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8B8C2" w14:textId="77777777" w:rsidR="00A54451" w:rsidRDefault="00A54451" w:rsidP="002B56CC">
      <w:pPr>
        <w:pStyle w:val="Style5"/>
        <w:spacing w:before="200" w:after="200" w:line="240" w:lineRule="auto"/>
        <w:jc w:val="left"/>
        <w:rPr>
          <w:rFonts w:ascii="Sylfaen" w:hAnsi="Sylfaen" w:cs="Sylfaen"/>
          <w:b/>
          <w:sz w:val="40"/>
          <w:szCs w:val="40"/>
        </w:rPr>
      </w:pPr>
      <w:r w:rsidRPr="00A54451">
        <w:rPr>
          <w:rFonts w:ascii="Sylfaen" w:hAnsi="Sylfaen" w:cs="Sylfaen"/>
          <w:b/>
          <w:noProof/>
          <w:sz w:val="40"/>
          <w:szCs w:val="40"/>
        </w:rPr>
        <w:drawing>
          <wp:anchor distT="0" distB="0" distL="114300" distR="114300" simplePos="0" relativeHeight="251661824" behindDoc="0" locked="0" layoutInCell="1" allowOverlap="1" wp14:anchorId="0BD325B2" wp14:editId="3E59E226">
            <wp:simplePos x="0" y="0"/>
            <wp:positionH relativeFrom="column">
              <wp:posOffset>-200025</wp:posOffset>
            </wp:positionH>
            <wp:positionV relativeFrom="paragraph">
              <wp:posOffset>-38100</wp:posOffset>
            </wp:positionV>
            <wp:extent cx="913130" cy="809625"/>
            <wp:effectExtent l="19050" t="0" r="1797" b="0"/>
            <wp:wrapNone/>
            <wp:docPr id="24" name="Bild 17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logo"/>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912603" cy="810883"/>
                    </a:xfrm>
                    <a:prstGeom prst="rect">
                      <a:avLst/>
                    </a:prstGeom>
                    <a:noFill/>
                    <a:ln>
                      <a:noFill/>
                    </a:ln>
                  </pic:spPr>
                </pic:pic>
              </a:graphicData>
            </a:graphic>
          </wp:anchor>
        </w:drawing>
      </w:r>
      <w:r>
        <w:rPr>
          <w:rFonts w:ascii="Sylfaen" w:hAnsi="Sylfaen" w:cs="Sylfaen"/>
          <w:b/>
          <w:sz w:val="40"/>
          <w:szCs w:val="40"/>
        </w:rPr>
        <w:t xml:space="preserve">                                                                                  </w:t>
      </w:r>
      <w:r w:rsidRPr="00A54451">
        <w:rPr>
          <w:rFonts w:ascii="Sylfaen" w:hAnsi="Sylfaen" w:cs="Sylfaen"/>
          <w:b/>
          <w:noProof/>
          <w:sz w:val="40"/>
          <w:szCs w:val="40"/>
        </w:rPr>
        <w:drawing>
          <wp:anchor distT="0" distB="0" distL="114300" distR="114300" simplePos="0" relativeHeight="251662848" behindDoc="0" locked="0" layoutInCell="1" allowOverlap="1" wp14:anchorId="1945A665" wp14:editId="200D3B52">
            <wp:simplePos x="0" y="0"/>
            <wp:positionH relativeFrom="column">
              <wp:posOffset>5095875</wp:posOffset>
            </wp:positionH>
            <wp:positionV relativeFrom="paragraph">
              <wp:posOffset>-9525</wp:posOffset>
            </wp:positionV>
            <wp:extent cx="1010285" cy="800100"/>
            <wp:effectExtent l="0" t="0" r="8890" b="0"/>
            <wp:wrapThrough wrapText="bothSides">
              <wp:wrapPolygon edited="0">
                <wp:start x="0" y="0"/>
                <wp:lineTo x="0" y="20588"/>
                <wp:lineTo x="21246" y="20588"/>
                <wp:lineTo x="21246" y="0"/>
                <wp:lineTo x="0" y="0"/>
              </wp:wrapPolygon>
            </wp:wrapThrough>
            <wp:docPr id="25" name="Bild 149" descr="Beschreibung: Georgia-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9" descr="Beschreibung: Georgia-wappen"/>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1007110" cy="799465"/>
                    </a:xfrm>
                    <a:prstGeom prst="rect">
                      <a:avLst/>
                    </a:prstGeom>
                    <a:noFill/>
                    <a:ln>
                      <a:noFill/>
                    </a:ln>
                  </pic:spPr>
                </pic:pic>
              </a:graphicData>
            </a:graphic>
          </wp:anchor>
        </w:drawing>
      </w:r>
    </w:p>
    <w:p w14:paraId="3474B75B" w14:textId="77777777" w:rsidR="00A54451" w:rsidRDefault="00A54451" w:rsidP="002B56CC">
      <w:pPr>
        <w:pStyle w:val="Style5"/>
        <w:spacing w:before="200" w:after="200" w:line="240" w:lineRule="auto"/>
        <w:rPr>
          <w:rFonts w:ascii="Sylfaen" w:hAnsi="Sylfaen" w:cs="Sylfaen"/>
          <w:b/>
          <w:sz w:val="40"/>
          <w:szCs w:val="40"/>
        </w:rPr>
      </w:pPr>
    </w:p>
    <w:p w14:paraId="7CAADF78" w14:textId="77777777" w:rsidR="00F45107" w:rsidRPr="00F45107" w:rsidRDefault="00F45107" w:rsidP="002B56CC">
      <w:pPr>
        <w:pStyle w:val="Style5"/>
        <w:spacing w:before="200" w:after="200" w:line="240" w:lineRule="auto"/>
        <w:rPr>
          <w:rFonts w:ascii="Sylfaen" w:hAnsi="Sylfaen" w:cs="Arial"/>
          <w:b/>
          <w:bCs/>
          <w:iCs/>
          <w:spacing w:val="-6"/>
          <w:sz w:val="40"/>
          <w:szCs w:val="40"/>
          <w:lang w:val="en-GB"/>
        </w:rPr>
      </w:pPr>
      <w:r w:rsidRPr="00F45107">
        <w:rPr>
          <w:rFonts w:ascii="Sylfaen" w:hAnsi="Sylfaen" w:cs="Sylfaen"/>
          <w:b/>
          <w:sz w:val="40"/>
          <w:szCs w:val="40"/>
          <w:lang w:val="ka-GE"/>
        </w:rPr>
        <w:t>საქართველოს</w:t>
      </w:r>
      <w:r w:rsidRPr="00F45107">
        <w:rPr>
          <w:rFonts w:ascii="Sylfaen" w:hAnsi="Sylfaen" w:cs="Arial"/>
          <w:b/>
          <w:sz w:val="40"/>
          <w:szCs w:val="40"/>
          <w:lang w:val="ka-GE"/>
        </w:rPr>
        <w:t xml:space="preserve"> </w:t>
      </w:r>
      <w:r w:rsidRPr="00F45107">
        <w:rPr>
          <w:rFonts w:ascii="Sylfaen" w:hAnsi="Sylfaen" w:cs="Sylfaen"/>
          <w:b/>
          <w:sz w:val="40"/>
          <w:szCs w:val="40"/>
          <w:lang w:val="ka-GE"/>
        </w:rPr>
        <w:t>რეგიონული</w:t>
      </w:r>
      <w:r w:rsidRPr="00F45107">
        <w:rPr>
          <w:rFonts w:ascii="Sylfaen" w:hAnsi="Sylfaen" w:cs="Arial"/>
          <w:b/>
          <w:sz w:val="40"/>
          <w:szCs w:val="40"/>
          <w:lang w:val="ka-GE"/>
        </w:rPr>
        <w:t xml:space="preserve"> </w:t>
      </w:r>
      <w:r w:rsidRPr="00F45107">
        <w:rPr>
          <w:rFonts w:ascii="Sylfaen" w:hAnsi="Sylfaen" w:cs="Sylfaen"/>
          <w:b/>
          <w:sz w:val="40"/>
          <w:szCs w:val="40"/>
          <w:lang w:val="ka-GE"/>
        </w:rPr>
        <w:t>განვითარებისა</w:t>
      </w:r>
      <w:r w:rsidRPr="00F45107">
        <w:rPr>
          <w:rFonts w:ascii="Sylfaen" w:hAnsi="Sylfaen" w:cs="Arial"/>
          <w:b/>
          <w:sz w:val="40"/>
          <w:szCs w:val="40"/>
          <w:lang w:val="ka-GE"/>
        </w:rPr>
        <w:t xml:space="preserve"> </w:t>
      </w:r>
      <w:r w:rsidRPr="00F45107">
        <w:rPr>
          <w:rFonts w:ascii="Sylfaen" w:hAnsi="Sylfaen" w:cs="Sylfaen"/>
          <w:b/>
          <w:sz w:val="40"/>
          <w:szCs w:val="40"/>
          <w:lang w:val="ka-GE"/>
        </w:rPr>
        <w:t>და</w:t>
      </w:r>
      <w:r w:rsidRPr="00F45107">
        <w:rPr>
          <w:rFonts w:ascii="Sylfaen" w:hAnsi="Sylfaen" w:cs="Arial"/>
          <w:b/>
          <w:sz w:val="40"/>
          <w:szCs w:val="40"/>
          <w:lang w:val="ka-GE"/>
        </w:rPr>
        <w:t xml:space="preserve"> </w:t>
      </w:r>
      <w:r w:rsidRPr="00F45107">
        <w:rPr>
          <w:rFonts w:ascii="Sylfaen" w:hAnsi="Sylfaen" w:cs="Sylfaen"/>
          <w:b/>
          <w:sz w:val="40"/>
          <w:szCs w:val="40"/>
          <w:lang w:val="ka-GE"/>
        </w:rPr>
        <w:t>ინფრასტრუქტურის</w:t>
      </w:r>
      <w:r w:rsidRPr="00F45107">
        <w:rPr>
          <w:rFonts w:ascii="Sylfaen" w:hAnsi="Sylfaen" w:cs="Arial"/>
          <w:b/>
          <w:sz w:val="40"/>
          <w:szCs w:val="40"/>
          <w:lang w:val="ka-GE"/>
        </w:rPr>
        <w:t xml:space="preserve"> </w:t>
      </w:r>
      <w:r w:rsidRPr="00F45107">
        <w:rPr>
          <w:rFonts w:ascii="Sylfaen" w:hAnsi="Sylfaen" w:cs="Sylfaen"/>
          <w:b/>
          <w:sz w:val="40"/>
          <w:szCs w:val="40"/>
          <w:lang w:val="ka-GE"/>
        </w:rPr>
        <w:t>სამინისტროს</w:t>
      </w:r>
      <w:r w:rsidRPr="00F45107">
        <w:rPr>
          <w:rFonts w:ascii="Sylfaen" w:hAnsi="Sylfaen" w:cs="Arial"/>
          <w:b/>
          <w:sz w:val="40"/>
          <w:szCs w:val="40"/>
          <w:lang w:val="ka-GE"/>
        </w:rPr>
        <w:t xml:space="preserve"> </w:t>
      </w:r>
      <w:r w:rsidRPr="00F45107">
        <w:rPr>
          <w:rFonts w:ascii="Sylfaen" w:hAnsi="Sylfaen" w:cs="Sylfaen"/>
          <w:b/>
          <w:sz w:val="40"/>
          <w:szCs w:val="40"/>
          <w:lang w:val="ka-GE"/>
        </w:rPr>
        <w:t>საავტომობილო</w:t>
      </w:r>
      <w:r w:rsidRPr="00F45107">
        <w:rPr>
          <w:rFonts w:ascii="Sylfaen" w:hAnsi="Sylfaen" w:cs="Arial"/>
          <w:b/>
          <w:sz w:val="40"/>
          <w:szCs w:val="40"/>
          <w:lang w:val="ka-GE"/>
        </w:rPr>
        <w:t xml:space="preserve"> </w:t>
      </w:r>
      <w:r w:rsidRPr="00F45107">
        <w:rPr>
          <w:rFonts w:ascii="Sylfaen" w:hAnsi="Sylfaen" w:cs="Sylfaen"/>
          <w:b/>
          <w:sz w:val="40"/>
          <w:szCs w:val="40"/>
          <w:lang w:val="ka-GE"/>
        </w:rPr>
        <w:t>გზების</w:t>
      </w:r>
      <w:r w:rsidRPr="00F45107">
        <w:rPr>
          <w:rFonts w:ascii="Sylfaen" w:hAnsi="Sylfaen" w:cs="Arial"/>
          <w:b/>
          <w:sz w:val="40"/>
          <w:szCs w:val="40"/>
          <w:lang w:val="ka-GE"/>
        </w:rPr>
        <w:t xml:space="preserve"> </w:t>
      </w:r>
      <w:r w:rsidRPr="00F45107">
        <w:rPr>
          <w:rFonts w:ascii="Sylfaen" w:hAnsi="Sylfaen" w:cs="Sylfaen"/>
          <w:b/>
          <w:sz w:val="40"/>
          <w:szCs w:val="40"/>
          <w:lang w:val="ka-GE"/>
        </w:rPr>
        <w:t>დეპარტამენტი</w:t>
      </w:r>
    </w:p>
    <w:p w14:paraId="424BEE63" w14:textId="77777777" w:rsidR="00F45107" w:rsidRPr="00F45107" w:rsidRDefault="00F45107" w:rsidP="002B56CC">
      <w:pPr>
        <w:spacing w:before="200" w:after="200"/>
        <w:rPr>
          <w:rFonts w:ascii="Sylfaen" w:hAnsi="Sylfaen"/>
          <w:b/>
          <w:sz w:val="40"/>
          <w:szCs w:val="40"/>
          <w:lang w:val="en-US"/>
        </w:rPr>
      </w:pPr>
    </w:p>
    <w:p w14:paraId="7C64BB00" w14:textId="5EEBCEB9" w:rsidR="000321C7" w:rsidRDefault="005F08BD" w:rsidP="000321C7">
      <w:pPr>
        <w:spacing w:before="200" w:after="200"/>
        <w:jc w:val="center"/>
        <w:rPr>
          <w:rFonts w:ascii="Sylfaen" w:hAnsi="Sylfaen" w:cs="Sylfaen"/>
          <w:b/>
          <w:sz w:val="40"/>
          <w:szCs w:val="40"/>
          <w:lang w:val="ka-GE"/>
        </w:rPr>
      </w:pPr>
      <w:r w:rsidRPr="005F08BD">
        <w:rPr>
          <w:rFonts w:ascii="Sylfaen" w:hAnsi="Sylfaen" w:cs="Sylfaen"/>
          <w:b/>
          <w:sz w:val="40"/>
          <w:szCs w:val="40"/>
          <w:lang w:val="ka-GE"/>
        </w:rPr>
        <w:t>გურჯაანის (ჩუმლაყი)-თელავის</w:t>
      </w:r>
      <w:r>
        <w:rPr>
          <w:rFonts w:ascii="Sylfaen" w:hAnsi="Sylfaen"/>
          <w:lang w:val="ka-GE"/>
        </w:rPr>
        <w:t xml:space="preserve"> </w:t>
      </w:r>
      <w:r w:rsidR="000321C7">
        <w:rPr>
          <w:rFonts w:ascii="Sylfaen" w:hAnsi="Sylfaen" w:cs="Sylfaen"/>
          <w:b/>
          <w:sz w:val="40"/>
          <w:szCs w:val="40"/>
          <w:lang w:val="ka-GE"/>
        </w:rPr>
        <w:t xml:space="preserve"> შემოვლითი გზის მონაკვეთის (30 კმ) სამშენებლო სამუშაოების</w:t>
      </w:r>
    </w:p>
    <w:p w14:paraId="3F66E28A" w14:textId="77777777" w:rsidR="000321C7" w:rsidRDefault="000321C7" w:rsidP="000321C7">
      <w:pPr>
        <w:spacing w:before="200" w:after="200"/>
        <w:jc w:val="center"/>
        <w:rPr>
          <w:rFonts w:ascii="Sylfaen" w:hAnsi="Sylfaen"/>
          <w:b/>
          <w:sz w:val="40"/>
          <w:szCs w:val="40"/>
        </w:rPr>
      </w:pPr>
      <w:r>
        <w:rPr>
          <w:rFonts w:ascii="Sylfaen" w:hAnsi="Sylfaen" w:cs="Sylfaen"/>
          <w:b/>
          <w:sz w:val="40"/>
          <w:szCs w:val="40"/>
          <w:lang w:val="ka-GE"/>
        </w:rPr>
        <w:t xml:space="preserve"> გარემოზე ზემოქმედების </w:t>
      </w:r>
      <w:r>
        <w:rPr>
          <w:rFonts w:ascii="Sylfaen" w:hAnsi="Sylfaen" w:cs="Sylfaen"/>
          <w:b/>
          <w:sz w:val="40"/>
          <w:szCs w:val="40"/>
          <w:lang w:val="en-US"/>
        </w:rPr>
        <w:t>შეფასები</w:t>
      </w:r>
      <w:r>
        <w:rPr>
          <w:rFonts w:ascii="Sylfaen" w:hAnsi="Sylfaen" w:cs="Sylfaen"/>
          <w:b/>
          <w:sz w:val="40"/>
          <w:szCs w:val="40"/>
          <w:lang w:val="ka-GE"/>
        </w:rPr>
        <w:t>ს</w:t>
      </w:r>
      <w:r>
        <w:rPr>
          <w:rFonts w:ascii="Sylfaen" w:hAnsi="Sylfaen" w:cs="Sylfaen"/>
          <w:b/>
          <w:sz w:val="40"/>
          <w:szCs w:val="40"/>
          <w:lang w:val="en-US"/>
        </w:rPr>
        <w:t xml:space="preserve"> </w:t>
      </w:r>
      <w:r>
        <w:rPr>
          <w:rFonts w:ascii="Sylfaen" w:hAnsi="Sylfaen" w:cs="Sylfaen"/>
          <w:b/>
          <w:sz w:val="40"/>
          <w:szCs w:val="40"/>
          <w:lang w:val="ka-GE"/>
        </w:rPr>
        <w:t xml:space="preserve">ანგარიში </w:t>
      </w:r>
    </w:p>
    <w:p w14:paraId="3E93A0FE" w14:textId="363B01CB" w:rsidR="00F45107" w:rsidRPr="00F45107" w:rsidRDefault="00F45107" w:rsidP="002B56CC">
      <w:pPr>
        <w:spacing w:before="200" w:after="200"/>
        <w:jc w:val="center"/>
        <w:rPr>
          <w:rFonts w:ascii="Sylfaen" w:hAnsi="Sylfaen"/>
          <w:b/>
          <w:sz w:val="40"/>
          <w:szCs w:val="40"/>
        </w:rPr>
      </w:pPr>
    </w:p>
    <w:p w14:paraId="4093F954" w14:textId="77777777" w:rsidR="00F45107" w:rsidRPr="00F45107" w:rsidRDefault="008069E4" w:rsidP="002B56CC">
      <w:pPr>
        <w:spacing w:before="200" w:after="200"/>
        <w:rPr>
          <w:rFonts w:ascii="Sylfaen" w:hAnsi="Sylfaen"/>
          <w:sz w:val="24"/>
          <w:lang w:val="en-US"/>
        </w:rPr>
      </w:pPr>
      <w:r>
        <w:rPr>
          <w:rFonts w:ascii="Sylfaen" w:hAnsi="Sylfaen"/>
          <w:noProof/>
          <w:sz w:val="24"/>
          <w:lang w:val="en-US" w:eastAsia="en-US"/>
        </w:rPr>
        <mc:AlternateContent>
          <mc:Choice Requires="wps">
            <w:drawing>
              <wp:anchor distT="0" distB="0" distL="114300" distR="114300" simplePos="0" relativeHeight="251667456" behindDoc="0" locked="0" layoutInCell="1" allowOverlap="1" wp14:anchorId="36A98F55" wp14:editId="21EC81DA">
                <wp:simplePos x="0" y="0"/>
                <wp:positionH relativeFrom="column">
                  <wp:posOffset>4832350</wp:posOffset>
                </wp:positionH>
                <wp:positionV relativeFrom="paragraph">
                  <wp:posOffset>1845945</wp:posOffset>
                </wp:positionV>
                <wp:extent cx="628650" cy="548640"/>
                <wp:effectExtent l="8255" t="6350" r="10795" b="26035"/>
                <wp:wrapNone/>
                <wp:docPr id="13"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 cy="548640"/>
                        </a:xfrm>
                        <a:custGeom>
                          <a:avLst/>
                          <a:gdLst>
                            <a:gd name="T0" fmla="*/ 0 w 628650"/>
                            <a:gd name="T1" fmla="*/ 0 h 548640"/>
                            <a:gd name="T2" fmla="*/ 628650 w 628650"/>
                            <a:gd name="T3" fmla="*/ 0 h 548640"/>
                            <a:gd name="T4" fmla="*/ 628650 w 628650"/>
                            <a:gd name="T5" fmla="*/ 548640 h 548640"/>
                            <a:gd name="T6" fmla="*/ 0 w 628650"/>
                            <a:gd name="T7" fmla="*/ 548640 h 548640"/>
                            <a:gd name="T8" fmla="*/ 0 w 628650"/>
                            <a:gd name="T9" fmla="*/ 0 h 548640"/>
                            <a:gd name="T10" fmla="*/ 68580 w 628650"/>
                            <a:gd name="T11" fmla="*/ 68580 h 548640"/>
                            <a:gd name="T12" fmla="*/ 68580 w 628650"/>
                            <a:gd name="T13" fmla="*/ 480060 h 548640"/>
                            <a:gd name="T14" fmla="*/ 560070 w 628650"/>
                            <a:gd name="T15" fmla="*/ 480060 h 548640"/>
                            <a:gd name="T16" fmla="*/ 560070 w 628650"/>
                            <a:gd name="T17" fmla="*/ 68580 h 548640"/>
                            <a:gd name="T18" fmla="*/ 68580 w 628650"/>
                            <a:gd name="T19" fmla="*/ 68580 h 54864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28650" h="548640">
                              <a:moveTo>
                                <a:pt x="0" y="0"/>
                              </a:moveTo>
                              <a:lnTo>
                                <a:pt x="628650" y="0"/>
                              </a:lnTo>
                              <a:lnTo>
                                <a:pt x="628650" y="548640"/>
                              </a:lnTo>
                              <a:lnTo>
                                <a:pt x="0" y="548640"/>
                              </a:lnTo>
                              <a:lnTo>
                                <a:pt x="0" y="0"/>
                              </a:lnTo>
                              <a:close/>
                              <a:moveTo>
                                <a:pt x="68580" y="68580"/>
                              </a:moveTo>
                              <a:lnTo>
                                <a:pt x="68580" y="480060"/>
                              </a:lnTo>
                              <a:lnTo>
                                <a:pt x="560070" y="480060"/>
                              </a:lnTo>
                              <a:lnTo>
                                <a:pt x="560070" y="68580"/>
                              </a:lnTo>
                              <a:lnTo>
                                <a:pt x="68580" y="68580"/>
                              </a:lnTo>
                              <a:close/>
                            </a:path>
                          </a:pathLst>
                        </a:custGeom>
                        <a:solidFill>
                          <a:srgbClr val="FF0000">
                            <a:alpha val="50195"/>
                          </a:srgbClr>
                        </a:solidFill>
                        <a:ln w="9525">
                          <a:solidFill>
                            <a:schemeClr val="accent1">
                              <a:lumMod val="95000"/>
                              <a:lumOff val="0"/>
                            </a:schemeClr>
                          </a:solidFill>
                          <a:round/>
                          <a:headEnd/>
                          <a:tailEnd/>
                        </a:ln>
                        <a:effectLst>
                          <a:outerShdw dist="23000" dir="5400000" rotWithShape="0">
                            <a:srgbClr val="808080">
                              <a:alpha val="34998"/>
                            </a:srgbClr>
                          </a:outerShdw>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6E35FA" id="Freeform 1" o:spid="_x0000_s1026" style="position:absolute;margin-left:380.5pt;margin-top:145.35pt;width:49.5pt;height:4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28650,54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" path="m,l628650,r,548640l,548640,,xm68580,68580r,411480l560070,480060r,-411480l68580,68580xe" fillcolor="red" strokecolor="#4e92d1 [3044]">
                <v:fill opacity="32896f"/>
                <v:shadow on="t" opacity="22936f" origin=",.5" offset="0,.63889mm"/>
                <v:path arrowok="t" o:connecttype="custom" o:connectlocs="0,0;628650,0;628650,548640;0,548640;0,0;68580,68580;68580,480060;560070,480060;560070,68580;68580,68580" o:connectangles="0,0,0,0,0,0,0,0,0,0"/>
              </v:shape>
            </w:pict>
          </mc:Fallback>
        </mc:AlternateContent>
      </w:r>
      <w:r w:rsidR="00F45107" w:rsidRPr="00F45107">
        <w:rPr>
          <w:rFonts w:ascii="Sylfaen" w:hAnsi="Sylfaen"/>
          <w:noProof/>
          <w:sz w:val="24"/>
          <w:lang w:val="en-US" w:eastAsia="en-US"/>
        </w:rPr>
        <w:drawing>
          <wp:inline distT="0" distB="0" distL="0" distR="0" wp14:anchorId="093E5719" wp14:editId="49F96E03">
            <wp:extent cx="6212840" cy="3148494"/>
            <wp:effectExtent l="0" t="0" r="10160" b="1270"/>
            <wp:docPr id="103" name="Picture 1" descr="2000px-Road Map of Georg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00px-Road Map of Georgia.pn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6242004" cy="3163273"/>
                    </a:xfrm>
                    <a:prstGeom prst="rect">
                      <a:avLst/>
                    </a:prstGeom>
                    <a:noFill/>
                    <a:ln>
                      <a:noFill/>
                    </a:ln>
                  </pic:spPr>
                </pic:pic>
              </a:graphicData>
            </a:graphic>
          </wp:inline>
        </w:drawing>
      </w:r>
    </w:p>
    <w:p w14:paraId="07D0E92E" w14:textId="77777777" w:rsidR="00F45107" w:rsidRPr="00F45107" w:rsidRDefault="00F46F0C" w:rsidP="00F46F0C">
      <w:pPr>
        <w:pStyle w:val="BetreffBr"/>
        <w:tabs>
          <w:tab w:val="clear" w:pos="9356"/>
          <w:tab w:val="left" w:pos="8475"/>
        </w:tabs>
        <w:spacing w:before="200" w:after="200" w:line="240" w:lineRule="auto"/>
        <w:rPr>
          <w:rFonts w:ascii="Sylfaen" w:hAnsi="Sylfaen"/>
          <w:b w:val="0"/>
          <w:bCs/>
          <w:i w:val="0"/>
          <w:iCs/>
          <w:sz w:val="24"/>
          <w:szCs w:val="24"/>
        </w:rPr>
      </w:pPr>
      <w:r>
        <w:rPr>
          <w:rFonts w:ascii="Sylfaen" w:hAnsi="Sylfaen"/>
          <w:b w:val="0"/>
          <w:bCs/>
          <w:i w:val="0"/>
          <w:iCs/>
          <w:sz w:val="24"/>
          <w:szCs w:val="24"/>
        </w:rPr>
        <w:tab/>
      </w:r>
    </w:p>
    <w:p w14:paraId="748E3F22" w14:textId="77777777" w:rsidR="00F45107" w:rsidRPr="00F45107" w:rsidRDefault="00F45107" w:rsidP="002B56CC">
      <w:pPr>
        <w:pStyle w:val="BetreffBr"/>
        <w:tabs>
          <w:tab w:val="left" w:pos="1980"/>
        </w:tabs>
        <w:spacing w:before="200" w:after="200" w:line="240" w:lineRule="auto"/>
        <w:jc w:val="center"/>
        <w:rPr>
          <w:rFonts w:ascii="Sylfaen" w:hAnsi="Sylfaen"/>
          <w:b w:val="0"/>
          <w:bCs/>
          <w:i w:val="0"/>
          <w:iCs/>
          <w:sz w:val="24"/>
          <w:szCs w:val="24"/>
        </w:rPr>
      </w:pPr>
    </w:p>
    <w:p w14:paraId="6D68727A" w14:textId="0F140402" w:rsidR="00F45107" w:rsidRDefault="00C6605E" w:rsidP="002B56CC">
      <w:pPr>
        <w:spacing w:before="200" w:after="200"/>
        <w:jc w:val="center"/>
        <w:rPr>
          <w:rFonts w:ascii="Sylfaen" w:hAnsi="Sylfaen"/>
          <w:sz w:val="24"/>
          <w:lang w:val="ka-GE"/>
        </w:rPr>
      </w:pPr>
      <w:r>
        <w:rPr>
          <w:rFonts w:ascii="Sylfaen" w:hAnsi="Sylfaen"/>
          <w:sz w:val="24"/>
          <w:lang w:val="ka-GE"/>
        </w:rPr>
        <w:t>თებერვალი</w:t>
      </w:r>
      <w:r w:rsidR="007029F4">
        <w:rPr>
          <w:rFonts w:ascii="Sylfaen" w:hAnsi="Sylfaen"/>
          <w:sz w:val="24"/>
          <w:lang w:val="ka-GE"/>
        </w:rPr>
        <w:t xml:space="preserve"> 201</w:t>
      </w:r>
      <w:r>
        <w:rPr>
          <w:rFonts w:ascii="Sylfaen" w:hAnsi="Sylfaen"/>
          <w:sz w:val="24"/>
          <w:lang w:val="ka-GE"/>
        </w:rPr>
        <w:t>9</w:t>
      </w:r>
    </w:p>
    <w:p w14:paraId="014BA5B6" w14:textId="37C4EE78" w:rsidR="00395B6B" w:rsidRDefault="00395B6B" w:rsidP="002B56CC">
      <w:pPr>
        <w:spacing w:before="200" w:after="200"/>
        <w:jc w:val="center"/>
        <w:rPr>
          <w:rFonts w:ascii="Sylfaen" w:hAnsi="Sylfaen"/>
          <w:sz w:val="24"/>
          <w:lang w:val="ka-GE"/>
        </w:rPr>
      </w:pPr>
    </w:p>
    <w:p w14:paraId="18FD430B" w14:textId="77777777" w:rsidR="00395B6B" w:rsidRPr="007029F4" w:rsidRDefault="00395B6B" w:rsidP="002B56CC">
      <w:pPr>
        <w:spacing w:before="200" w:after="200"/>
        <w:jc w:val="center"/>
        <w:rPr>
          <w:rFonts w:ascii="Sylfaen" w:hAnsi="Sylfaen"/>
          <w:sz w:val="24"/>
          <w:lang w:val="ka-GE"/>
        </w:rPr>
      </w:pPr>
    </w:p>
    <w:p w14:paraId="36149258" w14:textId="77777777" w:rsidR="00F45107" w:rsidRPr="00F45107" w:rsidRDefault="00F45107" w:rsidP="002B56CC">
      <w:pPr>
        <w:rPr>
          <w:rFonts w:ascii="Sylfaen" w:hAnsi="Sylfaen"/>
          <w:sz w:val="24"/>
          <w:lang w:val="ka-GE" w:eastAsia="en-US"/>
        </w:rPr>
      </w:pPr>
      <w:r w:rsidRPr="00F45107">
        <w:rPr>
          <w:rStyle w:val="shorttext"/>
          <w:rFonts w:ascii="Sylfaen" w:eastAsia="Calibri" w:hAnsi="Sylfaen" w:cs="Sylfaen"/>
          <w:sz w:val="24"/>
        </w:rPr>
        <w:t>ა</w:t>
      </w:r>
      <w:r w:rsidR="007029F4">
        <w:rPr>
          <w:rStyle w:val="shorttext"/>
          <w:rFonts w:ascii="Sylfaen" w:eastAsia="Calibri" w:hAnsi="Sylfaen" w:cs="Sylfaen"/>
          <w:sz w:val="24"/>
          <w:lang w:val="ka-GE"/>
        </w:rPr>
        <w:t>კ</w:t>
      </w:r>
      <w:r w:rsidRPr="00F45107">
        <w:rPr>
          <w:rStyle w:val="shorttext"/>
          <w:rFonts w:ascii="Sylfaen" w:eastAsia="Calibri" w:hAnsi="Sylfaen" w:cs="Sylfaen"/>
          <w:sz w:val="24"/>
        </w:rPr>
        <w:t>რონიმების</w:t>
      </w:r>
      <w:r w:rsidRPr="00F45107">
        <w:rPr>
          <w:rStyle w:val="shorttext"/>
          <w:rFonts w:ascii="Sylfaen" w:eastAsia="Calibri" w:hAnsi="Sylfaen" w:cs="Arial"/>
          <w:sz w:val="24"/>
        </w:rPr>
        <w:t xml:space="preserve"> </w:t>
      </w:r>
      <w:r w:rsidRPr="00F45107">
        <w:rPr>
          <w:rStyle w:val="shorttext"/>
          <w:rFonts w:ascii="Sylfaen" w:eastAsia="Calibri" w:hAnsi="Sylfaen" w:cs="Sylfaen"/>
          <w:sz w:val="24"/>
        </w:rPr>
        <w:t>სია</w:t>
      </w:r>
    </w:p>
    <w:tbl>
      <w:tblPr>
        <w:tblStyle w:val="PlainTable41"/>
        <w:tblW w:w="10075" w:type="dxa"/>
        <w:tblLook w:val="04A0" w:firstRow="1" w:lastRow="0" w:firstColumn="1" w:lastColumn="0" w:noHBand="0" w:noVBand="1"/>
      </w:tblPr>
      <w:tblGrid>
        <w:gridCol w:w="1293"/>
        <w:gridCol w:w="493"/>
        <w:gridCol w:w="8289"/>
      </w:tblGrid>
      <w:tr w:rsidR="00F45107" w:rsidRPr="00F45107" w14:paraId="1CA1FD8A" w14:textId="77777777" w:rsidTr="00E92D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14:paraId="4E3F165B" w14:textId="77777777" w:rsidR="00F45107" w:rsidRPr="00F45107" w:rsidRDefault="00F45107" w:rsidP="002B56CC">
            <w:pPr>
              <w:pStyle w:val="ADBTableEntry"/>
              <w:spacing w:before="0" w:after="0"/>
              <w:rPr>
                <w:rFonts w:ascii="Sylfaen" w:hAnsi="Sylfaen"/>
                <w:sz w:val="24"/>
                <w:szCs w:val="24"/>
              </w:rPr>
            </w:pPr>
            <w:r w:rsidRPr="00F45107">
              <w:rPr>
                <w:rFonts w:ascii="Sylfaen" w:hAnsi="Sylfaen"/>
                <w:sz w:val="24"/>
                <w:szCs w:val="24"/>
              </w:rPr>
              <w:t>EA</w:t>
            </w:r>
          </w:p>
        </w:tc>
        <w:tc>
          <w:tcPr>
            <w:tcW w:w="493" w:type="dxa"/>
          </w:tcPr>
          <w:p w14:paraId="65497979" w14:textId="77777777" w:rsidR="00F45107" w:rsidRPr="00F45107" w:rsidRDefault="00F45107" w:rsidP="002B56CC">
            <w:pPr>
              <w:pStyle w:val="ADBTableEntry"/>
              <w:spacing w:before="0" w:after="0"/>
              <w:cnfStyle w:val="100000000000" w:firstRow="1"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14:paraId="4EC5FDAF" w14:textId="77777777" w:rsidR="00F45107" w:rsidRPr="00F45107" w:rsidRDefault="00F45107" w:rsidP="002B56CC">
            <w:pPr>
              <w:pStyle w:val="ADBTableEntry"/>
              <w:spacing w:before="0" w:after="0"/>
              <w:cnfStyle w:val="100000000000" w:firstRow="1"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გარემოს შეფასება</w:t>
            </w:r>
          </w:p>
        </w:tc>
      </w:tr>
      <w:tr w:rsidR="00F45107" w:rsidRPr="00F45107" w14:paraId="42CEA5C6" w14:textId="77777777" w:rsidTr="00E92D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14:paraId="0D885E3E" w14:textId="77777777" w:rsidR="00F45107" w:rsidRPr="00F45107" w:rsidRDefault="00F45107" w:rsidP="002B56CC">
            <w:pPr>
              <w:pStyle w:val="ADBTableEntry"/>
              <w:spacing w:before="0" w:after="0"/>
              <w:rPr>
                <w:rFonts w:ascii="Sylfaen" w:hAnsi="Sylfaen"/>
                <w:sz w:val="24"/>
                <w:szCs w:val="24"/>
              </w:rPr>
            </w:pPr>
            <w:r w:rsidRPr="00F45107">
              <w:rPr>
                <w:rFonts w:ascii="Sylfaen" w:hAnsi="Sylfaen"/>
                <w:sz w:val="24"/>
                <w:szCs w:val="24"/>
              </w:rPr>
              <w:t>EIA</w:t>
            </w:r>
          </w:p>
        </w:tc>
        <w:tc>
          <w:tcPr>
            <w:tcW w:w="493" w:type="dxa"/>
          </w:tcPr>
          <w:p w14:paraId="43943276" w14:textId="77777777" w:rsidR="00F45107" w:rsidRPr="00F45107" w:rsidRDefault="00F45107" w:rsidP="002B56CC">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14:paraId="2760ACB7" w14:textId="77777777" w:rsidR="00F45107" w:rsidRPr="00F45107" w:rsidRDefault="00F45107" w:rsidP="002B56CC">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გარემოზე ზემოქმედების შეფასება</w:t>
            </w:r>
          </w:p>
        </w:tc>
      </w:tr>
      <w:tr w:rsidR="00F45107" w:rsidRPr="00F45107" w14:paraId="212F6A0F" w14:textId="77777777" w:rsidTr="00E92D4F">
        <w:tc>
          <w:tcPr>
            <w:cnfStyle w:val="001000000000" w:firstRow="0" w:lastRow="0" w:firstColumn="1" w:lastColumn="0" w:oddVBand="0" w:evenVBand="0" w:oddHBand="0" w:evenHBand="0" w:firstRowFirstColumn="0" w:firstRowLastColumn="0" w:lastRowFirstColumn="0" w:lastRowLastColumn="0"/>
            <w:tcW w:w="1293" w:type="dxa"/>
          </w:tcPr>
          <w:p w14:paraId="0CBA66BD" w14:textId="77777777" w:rsidR="00F45107" w:rsidRPr="00F45107" w:rsidRDefault="00F45107" w:rsidP="002B56CC">
            <w:pPr>
              <w:pStyle w:val="ADBTableEntry"/>
              <w:spacing w:before="0" w:after="0"/>
              <w:rPr>
                <w:rFonts w:ascii="Sylfaen" w:hAnsi="Sylfaen"/>
                <w:sz w:val="24"/>
                <w:szCs w:val="24"/>
              </w:rPr>
            </w:pPr>
            <w:r w:rsidRPr="00F45107">
              <w:rPr>
                <w:rFonts w:ascii="Sylfaen" w:hAnsi="Sylfaen"/>
                <w:sz w:val="24"/>
                <w:szCs w:val="24"/>
              </w:rPr>
              <w:t>EMP</w:t>
            </w:r>
          </w:p>
        </w:tc>
        <w:tc>
          <w:tcPr>
            <w:tcW w:w="493" w:type="dxa"/>
          </w:tcPr>
          <w:p w14:paraId="660410E9" w14:textId="77777777" w:rsidR="00F45107" w:rsidRPr="00F45107" w:rsidRDefault="00F45107" w:rsidP="002B56CC">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14:paraId="4509B9F3" w14:textId="77777777" w:rsidR="00F45107" w:rsidRPr="00F45107" w:rsidRDefault="00F45107" w:rsidP="002B56CC">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გარემოს მენეჯმენტის გეგმა</w:t>
            </w:r>
          </w:p>
        </w:tc>
      </w:tr>
      <w:tr w:rsidR="00F45107" w:rsidRPr="00F45107" w14:paraId="20482906" w14:textId="77777777" w:rsidTr="00E92D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14:paraId="33047F91" w14:textId="77777777" w:rsidR="00F45107" w:rsidRPr="00F45107" w:rsidRDefault="00F45107" w:rsidP="002B56CC">
            <w:pPr>
              <w:pStyle w:val="ADBTableEntry"/>
              <w:spacing w:before="0" w:after="0"/>
              <w:rPr>
                <w:rFonts w:ascii="Sylfaen" w:hAnsi="Sylfaen"/>
                <w:sz w:val="24"/>
                <w:szCs w:val="24"/>
              </w:rPr>
            </w:pPr>
            <w:r w:rsidRPr="00F45107">
              <w:rPr>
                <w:rFonts w:ascii="Sylfaen" w:hAnsi="Sylfaen"/>
                <w:sz w:val="24"/>
                <w:szCs w:val="24"/>
              </w:rPr>
              <w:t>ESIA</w:t>
            </w:r>
          </w:p>
        </w:tc>
        <w:tc>
          <w:tcPr>
            <w:tcW w:w="493" w:type="dxa"/>
          </w:tcPr>
          <w:p w14:paraId="4E9EA768" w14:textId="77777777" w:rsidR="00F45107" w:rsidRPr="00F45107" w:rsidRDefault="00F45107" w:rsidP="002B56CC">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14:paraId="3789106E" w14:textId="77777777" w:rsidR="00F45107" w:rsidRPr="00F45107" w:rsidRDefault="00F45107" w:rsidP="002B56CC">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გარემოსდაცვითი</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და</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სოციალური</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ზემოქმედების</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შეფასება</w:t>
            </w:r>
          </w:p>
        </w:tc>
      </w:tr>
      <w:tr w:rsidR="00F45107" w:rsidRPr="00F45107" w14:paraId="7794D2ED" w14:textId="77777777" w:rsidTr="00E92D4F">
        <w:tc>
          <w:tcPr>
            <w:cnfStyle w:val="001000000000" w:firstRow="0" w:lastRow="0" w:firstColumn="1" w:lastColumn="0" w:oddVBand="0" w:evenVBand="0" w:oddHBand="0" w:evenHBand="0" w:firstRowFirstColumn="0" w:firstRowLastColumn="0" w:lastRowFirstColumn="0" w:lastRowLastColumn="0"/>
            <w:tcW w:w="1293" w:type="dxa"/>
          </w:tcPr>
          <w:p w14:paraId="0B5A9596" w14:textId="77777777" w:rsidR="00F45107" w:rsidRPr="00F45107" w:rsidRDefault="00F45107" w:rsidP="002B56CC">
            <w:pPr>
              <w:pStyle w:val="ADBTableEntry"/>
              <w:spacing w:before="0" w:after="0"/>
              <w:rPr>
                <w:rFonts w:ascii="Sylfaen" w:hAnsi="Sylfaen"/>
                <w:sz w:val="24"/>
                <w:szCs w:val="24"/>
              </w:rPr>
            </w:pPr>
            <w:r w:rsidRPr="00F45107">
              <w:rPr>
                <w:rFonts w:ascii="Sylfaen" w:hAnsi="Sylfaen"/>
                <w:sz w:val="24"/>
                <w:szCs w:val="24"/>
              </w:rPr>
              <w:t>ESMP</w:t>
            </w:r>
          </w:p>
        </w:tc>
        <w:tc>
          <w:tcPr>
            <w:tcW w:w="493" w:type="dxa"/>
          </w:tcPr>
          <w:p w14:paraId="2D295D21" w14:textId="77777777" w:rsidR="00F45107" w:rsidRPr="00F45107" w:rsidRDefault="00F45107" w:rsidP="002B56CC">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14:paraId="26E69953" w14:textId="77777777" w:rsidR="00F45107" w:rsidRPr="00F45107" w:rsidRDefault="00F45107" w:rsidP="002B56CC">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გარემოსდაცვითი</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და</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სოციალური</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მენეჯმენტის</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გეგმა</w:t>
            </w:r>
          </w:p>
        </w:tc>
      </w:tr>
      <w:tr w:rsidR="00F45107" w:rsidRPr="00F45107" w14:paraId="1875858D" w14:textId="77777777" w:rsidTr="00E92D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14:paraId="236CBCC5" w14:textId="77777777" w:rsidR="00F45107" w:rsidRPr="00F45107" w:rsidRDefault="00F45107" w:rsidP="002B56CC">
            <w:pPr>
              <w:pStyle w:val="ADBTableEntry"/>
              <w:spacing w:before="0" w:after="0"/>
              <w:rPr>
                <w:rFonts w:ascii="Sylfaen" w:hAnsi="Sylfaen"/>
                <w:sz w:val="24"/>
                <w:szCs w:val="24"/>
              </w:rPr>
            </w:pPr>
            <w:r w:rsidRPr="00F45107">
              <w:rPr>
                <w:rFonts w:ascii="Sylfaen" w:hAnsi="Sylfaen"/>
                <w:sz w:val="24"/>
                <w:szCs w:val="24"/>
              </w:rPr>
              <w:t>HSE</w:t>
            </w:r>
          </w:p>
        </w:tc>
        <w:tc>
          <w:tcPr>
            <w:tcW w:w="493" w:type="dxa"/>
          </w:tcPr>
          <w:p w14:paraId="1D928FFC" w14:textId="77777777" w:rsidR="00F45107" w:rsidRPr="00F45107" w:rsidRDefault="00F45107" w:rsidP="002B56CC">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14:paraId="1AAA75CA" w14:textId="77777777" w:rsidR="00F45107" w:rsidRPr="00F45107" w:rsidRDefault="00F45107" w:rsidP="002B56CC">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ჯანდაცვა გარემოს დაცვა უსაფრთხოება</w:t>
            </w:r>
          </w:p>
        </w:tc>
      </w:tr>
      <w:tr w:rsidR="00F45107" w:rsidRPr="00F45107" w14:paraId="2FCA6CBE" w14:textId="77777777" w:rsidTr="00E92D4F">
        <w:tc>
          <w:tcPr>
            <w:cnfStyle w:val="001000000000" w:firstRow="0" w:lastRow="0" w:firstColumn="1" w:lastColumn="0" w:oddVBand="0" w:evenVBand="0" w:oddHBand="0" w:evenHBand="0" w:firstRowFirstColumn="0" w:firstRowLastColumn="0" w:lastRowFirstColumn="0" w:lastRowLastColumn="0"/>
            <w:tcW w:w="1293" w:type="dxa"/>
          </w:tcPr>
          <w:p w14:paraId="6F912A6B" w14:textId="77777777" w:rsidR="00F45107" w:rsidRPr="00F45107" w:rsidRDefault="00F45107" w:rsidP="002B56CC">
            <w:pPr>
              <w:pStyle w:val="ADBTableEntry"/>
              <w:spacing w:before="0" w:after="0"/>
              <w:rPr>
                <w:rFonts w:ascii="Sylfaen" w:hAnsi="Sylfaen"/>
                <w:sz w:val="24"/>
                <w:szCs w:val="24"/>
              </w:rPr>
            </w:pPr>
            <w:r w:rsidRPr="00F45107">
              <w:rPr>
                <w:rFonts w:ascii="Sylfaen" w:hAnsi="Sylfaen"/>
                <w:sz w:val="24"/>
                <w:szCs w:val="24"/>
              </w:rPr>
              <w:t>HS</w:t>
            </w:r>
          </w:p>
        </w:tc>
        <w:tc>
          <w:tcPr>
            <w:tcW w:w="493" w:type="dxa"/>
          </w:tcPr>
          <w:p w14:paraId="2F152D8E" w14:textId="77777777" w:rsidR="00F45107" w:rsidRPr="00F45107" w:rsidRDefault="00F45107" w:rsidP="002B56CC">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14:paraId="5A815C9A" w14:textId="77777777" w:rsidR="00F45107" w:rsidRPr="00F45107" w:rsidRDefault="00F45107" w:rsidP="002B56CC">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ჯანმრთელობა</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და</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უსაფრთხოება</w:t>
            </w:r>
          </w:p>
        </w:tc>
      </w:tr>
      <w:tr w:rsidR="00F45107" w:rsidRPr="00F45107" w14:paraId="113C5328" w14:textId="77777777" w:rsidTr="00E92D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14:paraId="03BA84FA" w14:textId="77777777" w:rsidR="00F45107" w:rsidRPr="00F45107" w:rsidRDefault="00F45107" w:rsidP="002B56CC">
            <w:pPr>
              <w:pStyle w:val="ADBTableEntry"/>
              <w:spacing w:before="0" w:after="0"/>
              <w:rPr>
                <w:rFonts w:ascii="Sylfaen" w:hAnsi="Sylfaen"/>
                <w:sz w:val="24"/>
                <w:szCs w:val="24"/>
              </w:rPr>
            </w:pPr>
            <w:r w:rsidRPr="00F45107">
              <w:rPr>
                <w:rFonts w:ascii="Sylfaen" w:hAnsi="Sylfaen"/>
                <w:sz w:val="24"/>
                <w:szCs w:val="24"/>
              </w:rPr>
              <w:t>GIS</w:t>
            </w:r>
          </w:p>
        </w:tc>
        <w:tc>
          <w:tcPr>
            <w:tcW w:w="493" w:type="dxa"/>
          </w:tcPr>
          <w:p w14:paraId="258C1708" w14:textId="77777777" w:rsidR="00F45107" w:rsidRPr="00F45107" w:rsidRDefault="00F45107" w:rsidP="002B56CC">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14:paraId="0A5C47D4" w14:textId="77777777" w:rsidR="00F45107" w:rsidRPr="00F45107" w:rsidRDefault="00F45107" w:rsidP="002B56CC">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გეოგრაფიული</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საინფორმაციო</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სისტემა</w:t>
            </w:r>
          </w:p>
        </w:tc>
      </w:tr>
      <w:tr w:rsidR="00F45107" w:rsidRPr="00F45107" w14:paraId="59BEEEAF" w14:textId="77777777" w:rsidTr="00E92D4F">
        <w:tc>
          <w:tcPr>
            <w:cnfStyle w:val="001000000000" w:firstRow="0" w:lastRow="0" w:firstColumn="1" w:lastColumn="0" w:oddVBand="0" w:evenVBand="0" w:oddHBand="0" w:evenHBand="0" w:firstRowFirstColumn="0" w:firstRowLastColumn="0" w:lastRowFirstColumn="0" w:lastRowLastColumn="0"/>
            <w:tcW w:w="1293" w:type="dxa"/>
          </w:tcPr>
          <w:p w14:paraId="524ECF6A" w14:textId="77777777" w:rsidR="00F45107" w:rsidRPr="00F45107" w:rsidRDefault="00F45107" w:rsidP="002B56CC">
            <w:pPr>
              <w:pStyle w:val="ADBTableEntry"/>
              <w:spacing w:before="0" w:after="0"/>
              <w:rPr>
                <w:rFonts w:ascii="Sylfaen" w:hAnsi="Sylfaen"/>
                <w:sz w:val="24"/>
                <w:szCs w:val="24"/>
              </w:rPr>
            </w:pPr>
            <w:r w:rsidRPr="00F45107">
              <w:rPr>
                <w:rFonts w:ascii="Sylfaen" w:hAnsi="Sylfaen"/>
                <w:sz w:val="24"/>
                <w:szCs w:val="24"/>
              </w:rPr>
              <w:t>GoG</w:t>
            </w:r>
          </w:p>
        </w:tc>
        <w:tc>
          <w:tcPr>
            <w:tcW w:w="493" w:type="dxa"/>
          </w:tcPr>
          <w:p w14:paraId="347803F4" w14:textId="77777777" w:rsidR="00F45107" w:rsidRPr="00F45107" w:rsidRDefault="00F45107" w:rsidP="002B56CC">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14:paraId="7B3C7770" w14:textId="77777777" w:rsidR="00F45107" w:rsidRPr="00F45107" w:rsidRDefault="00F45107" w:rsidP="002B56CC">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საქართველოს</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მთავრობა</w:t>
            </w:r>
          </w:p>
        </w:tc>
      </w:tr>
      <w:tr w:rsidR="00F45107" w:rsidRPr="00F45107" w14:paraId="3A89226A" w14:textId="77777777" w:rsidTr="00E92D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14:paraId="0CD7981A" w14:textId="77777777" w:rsidR="00F45107" w:rsidRPr="00F45107" w:rsidRDefault="00F45107" w:rsidP="002B56CC">
            <w:pPr>
              <w:pStyle w:val="ADBTableEntry"/>
              <w:spacing w:before="0" w:after="0"/>
              <w:rPr>
                <w:rFonts w:ascii="Sylfaen" w:hAnsi="Sylfaen"/>
                <w:sz w:val="24"/>
                <w:szCs w:val="24"/>
              </w:rPr>
            </w:pPr>
            <w:r w:rsidRPr="00F45107">
              <w:rPr>
                <w:rFonts w:ascii="Sylfaen" w:hAnsi="Sylfaen"/>
                <w:sz w:val="24"/>
                <w:szCs w:val="24"/>
              </w:rPr>
              <w:t>IPPC</w:t>
            </w:r>
          </w:p>
        </w:tc>
        <w:tc>
          <w:tcPr>
            <w:tcW w:w="493" w:type="dxa"/>
          </w:tcPr>
          <w:p w14:paraId="45F2DFD5" w14:textId="77777777" w:rsidR="00F45107" w:rsidRPr="00F45107" w:rsidRDefault="00F45107" w:rsidP="002B56CC">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14:paraId="1181C5AC" w14:textId="77777777" w:rsidR="00F45107" w:rsidRPr="00F45107" w:rsidRDefault="00F45107" w:rsidP="002B56CC">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ინტეგრირებული</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დაბინძურების</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პრევენცია</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და</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კონტროლი</w:t>
            </w:r>
          </w:p>
        </w:tc>
      </w:tr>
      <w:tr w:rsidR="00F45107" w:rsidRPr="00F45107" w14:paraId="12068E08" w14:textId="77777777" w:rsidTr="00E92D4F">
        <w:tc>
          <w:tcPr>
            <w:cnfStyle w:val="001000000000" w:firstRow="0" w:lastRow="0" w:firstColumn="1" w:lastColumn="0" w:oddVBand="0" w:evenVBand="0" w:oddHBand="0" w:evenHBand="0" w:firstRowFirstColumn="0" w:firstRowLastColumn="0" w:lastRowFirstColumn="0" w:lastRowLastColumn="0"/>
            <w:tcW w:w="1293" w:type="dxa"/>
          </w:tcPr>
          <w:p w14:paraId="39FA0890" w14:textId="77777777" w:rsidR="00F45107" w:rsidRPr="00F45107" w:rsidRDefault="00F45107" w:rsidP="002B56CC">
            <w:pPr>
              <w:pStyle w:val="ADBTableEntry"/>
              <w:spacing w:before="0" w:after="0"/>
              <w:rPr>
                <w:rFonts w:ascii="Sylfaen" w:hAnsi="Sylfaen"/>
                <w:sz w:val="24"/>
                <w:szCs w:val="24"/>
              </w:rPr>
            </w:pPr>
            <w:r w:rsidRPr="00F45107">
              <w:rPr>
                <w:rFonts w:ascii="Sylfaen" w:hAnsi="Sylfaen"/>
                <w:sz w:val="24"/>
                <w:szCs w:val="24"/>
              </w:rPr>
              <w:t>KP</w:t>
            </w:r>
          </w:p>
        </w:tc>
        <w:tc>
          <w:tcPr>
            <w:tcW w:w="493" w:type="dxa"/>
          </w:tcPr>
          <w:p w14:paraId="48273DCD" w14:textId="77777777" w:rsidR="00F45107" w:rsidRPr="00F45107" w:rsidRDefault="00F45107" w:rsidP="002B56CC">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14:paraId="247AB1DF" w14:textId="77777777" w:rsidR="00F45107" w:rsidRPr="00F45107" w:rsidRDefault="00F45107" w:rsidP="002B56CC">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კილომეტრის ნიშნული</w:t>
            </w:r>
          </w:p>
        </w:tc>
      </w:tr>
      <w:tr w:rsidR="00F45107" w:rsidRPr="00F45107" w14:paraId="42952FEE" w14:textId="77777777" w:rsidTr="00E92D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14:paraId="20839077" w14:textId="77777777" w:rsidR="00F45107" w:rsidRPr="00F45107" w:rsidRDefault="00F45107" w:rsidP="002B56CC">
            <w:pPr>
              <w:pStyle w:val="ADBTableEntry"/>
              <w:spacing w:before="0" w:after="0"/>
              <w:rPr>
                <w:rFonts w:ascii="Sylfaen" w:hAnsi="Sylfaen"/>
                <w:sz w:val="24"/>
                <w:szCs w:val="24"/>
              </w:rPr>
            </w:pPr>
            <w:r w:rsidRPr="00F45107">
              <w:rPr>
                <w:rFonts w:ascii="Sylfaen" w:hAnsi="Sylfaen"/>
                <w:sz w:val="24"/>
                <w:szCs w:val="24"/>
              </w:rPr>
              <w:t>MED</w:t>
            </w:r>
          </w:p>
        </w:tc>
        <w:tc>
          <w:tcPr>
            <w:tcW w:w="493" w:type="dxa"/>
          </w:tcPr>
          <w:p w14:paraId="7249EA9C" w14:textId="77777777" w:rsidR="00F45107" w:rsidRPr="00F45107" w:rsidRDefault="00F45107" w:rsidP="002B56CC">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14:paraId="18BA6A85" w14:textId="77777777" w:rsidR="00F45107" w:rsidRPr="00F45107" w:rsidRDefault="00F45107" w:rsidP="002B56CC">
            <w:pPr>
              <w:widowControl w:val="0"/>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Sylfaen" w:hAnsi="Sylfaen"/>
                <w:sz w:val="24"/>
              </w:rPr>
            </w:pPr>
            <w:r w:rsidRPr="00F45107">
              <w:rPr>
                <w:rStyle w:val="shorttext"/>
                <w:rFonts w:ascii="Sylfaen" w:eastAsia="Calibri" w:hAnsi="Sylfaen" w:cs="Sylfaen"/>
                <w:sz w:val="24"/>
              </w:rPr>
              <w:t>საქართველოს</w:t>
            </w:r>
            <w:r w:rsidRPr="00F45107">
              <w:rPr>
                <w:rStyle w:val="shorttext"/>
                <w:rFonts w:ascii="Sylfaen" w:eastAsia="Calibri" w:hAnsi="Sylfaen" w:cs="Arial"/>
                <w:sz w:val="24"/>
              </w:rPr>
              <w:t xml:space="preserve"> </w:t>
            </w:r>
            <w:r w:rsidRPr="00F45107">
              <w:rPr>
                <w:rStyle w:val="shorttext"/>
                <w:rFonts w:ascii="Sylfaen" w:eastAsia="Calibri" w:hAnsi="Sylfaen" w:cs="Sylfaen"/>
                <w:sz w:val="24"/>
              </w:rPr>
              <w:t>ეკონომიკური</w:t>
            </w:r>
            <w:r w:rsidRPr="00F45107">
              <w:rPr>
                <w:rStyle w:val="shorttext"/>
                <w:rFonts w:ascii="Sylfaen" w:eastAsia="Calibri" w:hAnsi="Sylfaen" w:cs="Arial"/>
                <w:sz w:val="24"/>
              </w:rPr>
              <w:t xml:space="preserve"> </w:t>
            </w:r>
            <w:r w:rsidRPr="00F45107">
              <w:rPr>
                <w:rStyle w:val="shorttext"/>
                <w:rFonts w:ascii="Sylfaen" w:eastAsia="Calibri" w:hAnsi="Sylfaen" w:cs="Sylfaen"/>
                <w:sz w:val="24"/>
              </w:rPr>
              <w:t>განვითარების</w:t>
            </w:r>
            <w:r w:rsidRPr="00F45107">
              <w:rPr>
                <w:rStyle w:val="shorttext"/>
                <w:rFonts w:ascii="Sylfaen" w:eastAsia="Calibri" w:hAnsi="Sylfaen" w:cs="Arial"/>
                <w:sz w:val="24"/>
              </w:rPr>
              <w:t xml:space="preserve"> </w:t>
            </w:r>
            <w:r w:rsidRPr="00F45107">
              <w:rPr>
                <w:rStyle w:val="shorttext"/>
                <w:rFonts w:ascii="Sylfaen" w:eastAsia="Calibri" w:hAnsi="Sylfaen" w:cs="Sylfaen"/>
                <w:sz w:val="24"/>
              </w:rPr>
              <w:t>სამინისტრო</w:t>
            </w:r>
          </w:p>
        </w:tc>
      </w:tr>
      <w:tr w:rsidR="00E92D4F" w:rsidRPr="00F45107" w14:paraId="16285E14" w14:textId="77777777" w:rsidTr="00E92D4F">
        <w:tc>
          <w:tcPr>
            <w:cnfStyle w:val="001000000000" w:firstRow="0" w:lastRow="0" w:firstColumn="1" w:lastColumn="0" w:oddVBand="0" w:evenVBand="0" w:oddHBand="0" w:evenHBand="0" w:firstRowFirstColumn="0" w:firstRowLastColumn="0" w:lastRowFirstColumn="0" w:lastRowLastColumn="0"/>
            <w:tcW w:w="1293" w:type="dxa"/>
          </w:tcPr>
          <w:p w14:paraId="705C9F77" w14:textId="77777777" w:rsidR="00E92D4F" w:rsidRPr="00E92D4F" w:rsidRDefault="00E92D4F" w:rsidP="004C4225">
            <w:pPr>
              <w:pStyle w:val="ADBTableEntry"/>
              <w:spacing w:before="0" w:after="0"/>
              <w:rPr>
                <w:rFonts w:ascii="Sylfaen" w:hAnsi="Sylfaen"/>
                <w:sz w:val="24"/>
                <w:szCs w:val="24"/>
              </w:rPr>
            </w:pPr>
            <w:r>
              <w:rPr>
                <w:rFonts w:ascii="Sylfaen" w:hAnsi="Sylfaen"/>
                <w:sz w:val="24"/>
                <w:szCs w:val="24"/>
              </w:rPr>
              <w:t>MEPA</w:t>
            </w:r>
          </w:p>
        </w:tc>
        <w:tc>
          <w:tcPr>
            <w:tcW w:w="493" w:type="dxa"/>
          </w:tcPr>
          <w:p w14:paraId="2C5E888D" w14:textId="77777777" w:rsidR="00E92D4F" w:rsidRPr="00E92D4F" w:rsidRDefault="00E92D4F" w:rsidP="002B56CC">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Pr>
                <w:rFonts w:ascii="Sylfaen" w:hAnsi="Sylfaen"/>
                <w:sz w:val="24"/>
                <w:szCs w:val="24"/>
              </w:rPr>
              <w:t>-</w:t>
            </w:r>
          </w:p>
        </w:tc>
        <w:tc>
          <w:tcPr>
            <w:tcW w:w="8289" w:type="dxa"/>
          </w:tcPr>
          <w:p w14:paraId="41A9477D" w14:textId="77777777" w:rsidR="00E92D4F" w:rsidRPr="00E92D4F" w:rsidRDefault="00E92D4F" w:rsidP="002B56CC">
            <w:pPr>
              <w:widowControl w:val="0"/>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Style w:val="shorttext"/>
                <w:rFonts w:ascii="Sylfaen" w:eastAsia="Calibri" w:hAnsi="Sylfaen" w:cs="Sylfaen"/>
                <w:sz w:val="24"/>
                <w:lang w:val="ka-GE"/>
              </w:rPr>
            </w:pPr>
            <w:r>
              <w:rPr>
                <w:rStyle w:val="shorttext"/>
                <w:rFonts w:ascii="Sylfaen" w:eastAsia="Calibri" w:hAnsi="Sylfaen" w:cs="Sylfaen"/>
                <w:sz w:val="24"/>
                <w:lang w:val="ka-GE"/>
              </w:rPr>
              <w:t>საქართველოს გარემოს დაცვისა და სოფლის მეურნეობის სამინისტრო</w:t>
            </w:r>
          </w:p>
        </w:tc>
      </w:tr>
      <w:tr w:rsidR="00F45107" w:rsidRPr="00F45107" w14:paraId="5DCC3D3F" w14:textId="77777777" w:rsidTr="00E92D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14:paraId="25ADECAD" w14:textId="77777777" w:rsidR="00F45107" w:rsidRPr="00F45107" w:rsidRDefault="00F45107" w:rsidP="002B56CC">
            <w:pPr>
              <w:pStyle w:val="ADBTableEntry"/>
              <w:spacing w:before="0" w:after="0"/>
              <w:rPr>
                <w:rFonts w:ascii="Sylfaen" w:hAnsi="Sylfaen"/>
                <w:sz w:val="24"/>
                <w:szCs w:val="24"/>
              </w:rPr>
            </w:pPr>
            <w:r w:rsidRPr="00F45107">
              <w:rPr>
                <w:rFonts w:ascii="Sylfaen" w:hAnsi="Sylfaen"/>
                <w:sz w:val="24"/>
                <w:szCs w:val="24"/>
              </w:rPr>
              <w:t>MLHSA</w:t>
            </w:r>
          </w:p>
        </w:tc>
        <w:tc>
          <w:tcPr>
            <w:tcW w:w="493" w:type="dxa"/>
          </w:tcPr>
          <w:p w14:paraId="1C5D604C" w14:textId="77777777" w:rsidR="00F45107" w:rsidRPr="00F45107" w:rsidRDefault="00F45107" w:rsidP="002B56CC">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14:paraId="454406F8" w14:textId="77777777" w:rsidR="00F45107" w:rsidRPr="00F45107" w:rsidRDefault="00F45107" w:rsidP="002B56CC">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შრომის</w:t>
            </w:r>
            <w:r w:rsidRPr="00F45107">
              <w:rPr>
                <w:rFonts w:ascii="Sylfaen" w:hAnsi="Sylfaen" w:cs="Arial"/>
                <w:sz w:val="24"/>
                <w:szCs w:val="24"/>
                <w:lang w:val="ka-GE"/>
              </w:rPr>
              <w:t xml:space="preserve">, </w:t>
            </w:r>
            <w:r w:rsidRPr="00F45107">
              <w:rPr>
                <w:rFonts w:ascii="Sylfaen" w:hAnsi="Sylfaen" w:cs="Sylfaen"/>
                <w:sz w:val="24"/>
                <w:szCs w:val="24"/>
                <w:lang w:val="ka-GE"/>
              </w:rPr>
              <w:t>ჯანმრთელობისა</w:t>
            </w:r>
            <w:r w:rsidRPr="00F45107">
              <w:rPr>
                <w:rFonts w:ascii="Sylfaen" w:hAnsi="Sylfaen" w:cs="Arial"/>
                <w:sz w:val="24"/>
                <w:szCs w:val="24"/>
                <w:lang w:val="ka-GE"/>
              </w:rPr>
              <w:t xml:space="preserve"> </w:t>
            </w:r>
            <w:r w:rsidRPr="00F45107">
              <w:rPr>
                <w:rFonts w:ascii="Sylfaen" w:hAnsi="Sylfaen" w:cs="Sylfaen"/>
                <w:sz w:val="24"/>
                <w:szCs w:val="24"/>
                <w:lang w:val="ka-GE"/>
              </w:rPr>
              <w:t>და</w:t>
            </w:r>
            <w:r w:rsidRPr="00F45107">
              <w:rPr>
                <w:rFonts w:ascii="Sylfaen" w:hAnsi="Sylfaen" w:cs="Arial"/>
                <w:sz w:val="24"/>
                <w:szCs w:val="24"/>
                <w:lang w:val="ka-GE"/>
              </w:rPr>
              <w:t xml:space="preserve"> </w:t>
            </w:r>
            <w:r w:rsidRPr="00F45107">
              <w:rPr>
                <w:rFonts w:ascii="Sylfaen" w:hAnsi="Sylfaen" w:cs="Sylfaen"/>
                <w:sz w:val="24"/>
                <w:szCs w:val="24"/>
                <w:lang w:val="ka-GE"/>
              </w:rPr>
              <w:t>სოციალური</w:t>
            </w:r>
            <w:r w:rsidRPr="00F45107">
              <w:rPr>
                <w:rFonts w:ascii="Sylfaen" w:hAnsi="Sylfaen"/>
                <w:sz w:val="24"/>
                <w:szCs w:val="24"/>
                <w:lang w:val="ka-GE"/>
              </w:rPr>
              <w:t xml:space="preserve"> </w:t>
            </w:r>
            <w:r w:rsidRPr="00F45107">
              <w:rPr>
                <w:rFonts w:ascii="Sylfaen" w:hAnsi="Sylfaen" w:cs="Sylfaen"/>
                <w:sz w:val="24"/>
                <w:szCs w:val="24"/>
                <w:lang w:val="ka-GE"/>
              </w:rPr>
              <w:t>დაცვის</w:t>
            </w:r>
            <w:r w:rsidRPr="00F45107">
              <w:rPr>
                <w:rFonts w:ascii="Sylfaen" w:hAnsi="Sylfaen" w:cs="Arial"/>
                <w:sz w:val="24"/>
                <w:szCs w:val="24"/>
                <w:lang w:val="ka-GE"/>
              </w:rPr>
              <w:t xml:space="preserve"> </w:t>
            </w:r>
            <w:r w:rsidRPr="00F45107">
              <w:rPr>
                <w:rFonts w:ascii="Sylfaen" w:hAnsi="Sylfaen" w:cs="Sylfaen"/>
                <w:sz w:val="24"/>
                <w:szCs w:val="24"/>
                <w:lang w:val="ka-GE"/>
              </w:rPr>
              <w:t>სამინისტრო</w:t>
            </w:r>
          </w:p>
        </w:tc>
      </w:tr>
      <w:tr w:rsidR="00F45107" w:rsidRPr="00F45107" w14:paraId="625F4489" w14:textId="77777777" w:rsidTr="00E92D4F">
        <w:tc>
          <w:tcPr>
            <w:cnfStyle w:val="001000000000" w:firstRow="0" w:lastRow="0" w:firstColumn="1" w:lastColumn="0" w:oddVBand="0" w:evenVBand="0" w:oddHBand="0" w:evenHBand="0" w:firstRowFirstColumn="0" w:firstRowLastColumn="0" w:lastRowFirstColumn="0" w:lastRowLastColumn="0"/>
            <w:tcW w:w="1293" w:type="dxa"/>
          </w:tcPr>
          <w:p w14:paraId="7F567BF7" w14:textId="77777777" w:rsidR="00F45107" w:rsidRPr="00F45107" w:rsidRDefault="00F45107" w:rsidP="002B56CC">
            <w:pPr>
              <w:pStyle w:val="ADBTableEntry"/>
              <w:spacing w:before="0" w:after="0"/>
              <w:rPr>
                <w:rFonts w:ascii="Sylfaen" w:hAnsi="Sylfaen"/>
                <w:sz w:val="24"/>
                <w:szCs w:val="24"/>
              </w:rPr>
            </w:pPr>
            <w:r w:rsidRPr="00F45107">
              <w:rPr>
                <w:rFonts w:ascii="Sylfaen" w:hAnsi="Sylfaen"/>
                <w:sz w:val="24"/>
                <w:szCs w:val="24"/>
              </w:rPr>
              <w:t>NGO</w:t>
            </w:r>
          </w:p>
        </w:tc>
        <w:tc>
          <w:tcPr>
            <w:tcW w:w="493" w:type="dxa"/>
          </w:tcPr>
          <w:p w14:paraId="33DEAA04" w14:textId="77777777" w:rsidR="00F45107" w:rsidRPr="00F45107" w:rsidRDefault="00F45107" w:rsidP="002B56CC">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14:paraId="002D3BE4" w14:textId="77777777" w:rsidR="00F45107" w:rsidRPr="00F45107" w:rsidRDefault="00F45107" w:rsidP="002B56CC">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არასამთავრობო</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ორგანიზაცია</w:t>
            </w:r>
          </w:p>
        </w:tc>
      </w:tr>
      <w:tr w:rsidR="00F45107" w:rsidRPr="00F45107" w14:paraId="1649CA37" w14:textId="77777777" w:rsidTr="00E92D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14:paraId="7BD52A23" w14:textId="77777777" w:rsidR="00F45107" w:rsidRPr="00F45107" w:rsidRDefault="00F45107" w:rsidP="002B56CC">
            <w:pPr>
              <w:pStyle w:val="ADBTableEntry"/>
              <w:spacing w:before="0" w:after="0"/>
              <w:rPr>
                <w:rFonts w:ascii="Sylfaen" w:hAnsi="Sylfaen"/>
                <w:sz w:val="24"/>
                <w:szCs w:val="24"/>
              </w:rPr>
            </w:pPr>
            <w:r w:rsidRPr="00F45107">
              <w:rPr>
                <w:rFonts w:ascii="Sylfaen" w:hAnsi="Sylfaen"/>
                <w:sz w:val="24"/>
                <w:szCs w:val="24"/>
              </w:rPr>
              <w:t>RD</w:t>
            </w:r>
          </w:p>
        </w:tc>
        <w:tc>
          <w:tcPr>
            <w:tcW w:w="493" w:type="dxa"/>
          </w:tcPr>
          <w:p w14:paraId="3BBE7E4C" w14:textId="77777777" w:rsidR="00F45107" w:rsidRPr="00F45107" w:rsidRDefault="00F45107" w:rsidP="002B56CC">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14:paraId="15FFED92" w14:textId="77777777" w:rsidR="00F45107" w:rsidRPr="00F45107" w:rsidRDefault="00F45107" w:rsidP="002B56CC">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საქართველოს</w:t>
            </w:r>
            <w:r w:rsidRPr="00F45107">
              <w:rPr>
                <w:rFonts w:ascii="Sylfaen" w:hAnsi="Sylfaen" w:cs="Arial"/>
                <w:sz w:val="24"/>
                <w:szCs w:val="24"/>
                <w:lang w:val="ka-GE"/>
              </w:rPr>
              <w:t xml:space="preserve"> </w:t>
            </w:r>
            <w:r w:rsidRPr="00F45107">
              <w:rPr>
                <w:rFonts w:ascii="Sylfaen" w:hAnsi="Sylfaen" w:cs="Sylfaen"/>
                <w:sz w:val="24"/>
                <w:szCs w:val="24"/>
                <w:lang w:val="ka-GE"/>
              </w:rPr>
              <w:t>რეგიონული</w:t>
            </w:r>
            <w:r w:rsidRPr="00F45107">
              <w:rPr>
                <w:rFonts w:ascii="Sylfaen" w:hAnsi="Sylfaen" w:cs="Arial"/>
                <w:sz w:val="24"/>
                <w:szCs w:val="24"/>
                <w:lang w:val="ka-GE"/>
              </w:rPr>
              <w:t xml:space="preserve"> </w:t>
            </w:r>
            <w:r w:rsidRPr="00F45107">
              <w:rPr>
                <w:rFonts w:ascii="Sylfaen" w:hAnsi="Sylfaen" w:cs="Sylfaen"/>
                <w:sz w:val="24"/>
                <w:szCs w:val="24"/>
                <w:lang w:val="ka-GE"/>
              </w:rPr>
              <w:t>განვითარებისა</w:t>
            </w:r>
            <w:r w:rsidRPr="00F45107">
              <w:rPr>
                <w:rFonts w:ascii="Sylfaen" w:hAnsi="Sylfaen" w:cs="Arial"/>
                <w:sz w:val="24"/>
                <w:szCs w:val="24"/>
                <w:lang w:val="ka-GE"/>
              </w:rPr>
              <w:t xml:space="preserve"> </w:t>
            </w:r>
            <w:r w:rsidRPr="00F45107">
              <w:rPr>
                <w:rFonts w:ascii="Sylfaen" w:hAnsi="Sylfaen" w:cs="Sylfaen"/>
                <w:sz w:val="24"/>
                <w:szCs w:val="24"/>
                <w:lang w:val="ka-GE"/>
              </w:rPr>
              <w:t>და</w:t>
            </w:r>
            <w:r w:rsidRPr="00F45107">
              <w:rPr>
                <w:rFonts w:ascii="Sylfaen" w:hAnsi="Sylfaen" w:cs="Arial"/>
                <w:sz w:val="24"/>
                <w:szCs w:val="24"/>
                <w:lang w:val="ka-GE"/>
              </w:rPr>
              <w:t xml:space="preserve"> </w:t>
            </w:r>
            <w:r w:rsidRPr="00F45107">
              <w:rPr>
                <w:rFonts w:ascii="Sylfaen" w:hAnsi="Sylfaen" w:cs="Sylfaen"/>
                <w:sz w:val="24"/>
                <w:szCs w:val="24"/>
                <w:lang w:val="ka-GE"/>
              </w:rPr>
              <w:t>ინფრასტრუქტურის</w:t>
            </w:r>
            <w:r w:rsidRPr="00F45107">
              <w:rPr>
                <w:rFonts w:ascii="Sylfaen" w:hAnsi="Sylfaen" w:cs="Arial"/>
                <w:sz w:val="24"/>
                <w:szCs w:val="24"/>
                <w:lang w:val="ka-GE"/>
              </w:rPr>
              <w:t xml:space="preserve"> </w:t>
            </w:r>
            <w:r w:rsidRPr="00F45107">
              <w:rPr>
                <w:rFonts w:ascii="Sylfaen" w:hAnsi="Sylfaen" w:cs="Sylfaen"/>
                <w:sz w:val="24"/>
                <w:szCs w:val="24"/>
                <w:lang w:val="ka-GE"/>
              </w:rPr>
              <w:t>სამინისტროს</w:t>
            </w:r>
            <w:r w:rsidRPr="00F45107">
              <w:rPr>
                <w:rFonts w:ascii="Sylfaen" w:hAnsi="Sylfaen" w:cs="Arial"/>
                <w:sz w:val="24"/>
                <w:szCs w:val="24"/>
                <w:lang w:val="ka-GE"/>
              </w:rPr>
              <w:t xml:space="preserve"> </w:t>
            </w:r>
            <w:r w:rsidRPr="00F45107">
              <w:rPr>
                <w:rFonts w:ascii="Sylfaen" w:hAnsi="Sylfaen" w:cs="Sylfaen"/>
                <w:sz w:val="24"/>
                <w:szCs w:val="24"/>
                <w:lang w:val="ka-GE"/>
              </w:rPr>
              <w:t>საავტომობილო</w:t>
            </w:r>
            <w:r w:rsidRPr="00F45107">
              <w:rPr>
                <w:rFonts w:ascii="Sylfaen" w:hAnsi="Sylfaen" w:cs="Arial"/>
                <w:sz w:val="24"/>
                <w:szCs w:val="24"/>
                <w:lang w:val="ka-GE"/>
              </w:rPr>
              <w:t xml:space="preserve"> </w:t>
            </w:r>
            <w:r w:rsidRPr="00F45107">
              <w:rPr>
                <w:rFonts w:ascii="Sylfaen" w:hAnsi="Sylfaen" w:cs="Sylfaen"/>
                <w:sz w:val="24"/>
                <w:szCs w:val="24"/>
                <w:lang w:val="ka-GE"/>
              </w:rPr>
              <w:t>გზების</w:t>
            </w:r>
            <w:r w:rsidRPr="00F45107">
              <w:rPr>
                <w:rFonts w:ascii="Sylfaen" w:hAnsi="Sylfaen" w:cs="Arial"/>
                <w:sz w:val="24"/>
                <w:szCs w:val="24"/>
                <w:lang w:val="ka-GE"/>
              </w:rPr>
              <w:t xml:space="preserve"> </w:t>
            </w:r>
            <w:r w:rsidRPr="00F45107">
              <w:rPr>
                <w:rFonts w:ascii="Sylfaen" w:hAnsi="Sylfaen" w:cs="Sylfaen"/>
                <w:sz w:val="24"/>
                <w:szCs w:val="24"/>
                <w:lang w:val="ka-GE"/>
              </w:rPr>
              <w:t>დეპარტამენტი</w:t>
            </w:r>
          </w:p>
        </w:tc>
      </w:tr>
      <w:tr w:rsidR="00F45107" w:rsidRPr="00F45107" w14:paraId="346D49CA" w14:textId="77777777" w:rsidTr="00E92D4F">
        <w:tc>
          <w:tcPr>
            <w:cnfStyle w:val="001000000000" w:firstRow="0" w:lastRow="0" w:firstColumn="1" w:lastColumn="0" w:oddVBand="0" w:evenVBand="0" w:oddHBand="0" w:evenHBand="0" w:firstRowFirstColumn="0" w:firstRowLastColumn="0" w:lastRowFirstColumn="0" w:lastRowLastColumn="0"/>
            <w:tcW w:w="1293" w:type="dxa"/>
          </w:tcPr>
          <w:p w14:paraId="27DF6118" w14:textId="77777777" w:rsidR="00F45107" w:rsidRPr="00F45107" w:rsidRDefault="00F45107" w:rsidP="002B56CC">
            <w:pPr>
              <w:pStyle w:val="ADBTableEntry"/>
              <w:spacing w:before="0" w:after="0"/>
              <w:rPr>
                <w:rFonts w:ascii="Sylfaen" w:hAnsi="Sylfaen"/>
                <w:sz w:val="24"/>
                <w:szCs w:val="24"/>
              </w:rPr>
            </w:pPr>
            <w:r w:rsidRPr="00F45107">
              <w:rPr>
                <w:rFonts w:ascii="Sylfaen" w:hAnsi="Sylfaen"/>
                <w:sz w:val="24"/>
                <w:szCs w:val="24"/>
              </w:rPr>
              <w:t>MRDI</w:t>
            </w:r>
          </w:p>
        </w:tc>
        <w:tc>
          <w:tcPr>
            <w:tcW w:w="493" w:type="dxa"/>
          </w:tcPr>
          <w:p w14:paraId="3F9CA9A4" w14:textId="77777777" w:rsidR="00F45107" w:rsidRPr="00F45107" w:rsidRDefault="00F45107" w:rsidP="002B56CC">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14:paraId="7824BCD6" w14:textId="77777777" w:rsidR="00F45107" w:rsidRPr="00F45107" w:rsidRDefault="00F45107" w:rsidP="002B56CC">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საქართველოს</w:t>
            </w:r>
            <w:r w:rsidRPr="00F45107">
              <w:rPr>
                <w:rFonts w:ascii="Sylfaen" w:hAnsi="Sylfaen" w:cs="Arial"/>
                <w:sz w:val="24"/>
                <w:szCs w:val="24"/>
                <w:lang w:val="ka-GE"/>
              </w:rPr>
              <w:t xml:space="preserve"> </w:t>
            </w:r>
            <w:r w:rsidRPr="00F45107">
              <w:rPr>
                <w:rFonts w:ascii="Sylfaen" w:hAnsi="Sylfaen" w:cs="Sylfaen"/>
                <w:sz w:val="24"/>
                <w:szCs w:val="24"/>
                <w:lang w:val="ka-GE"/>
              </w:rPr>
              <w:t>რეგიონული</w:t>
            </w:r>
            <w:r w:rsidRPr="00F45107">
              <w:rPr>
                <w:rFonts w:ascii="Sylfaen" w:hAnsi="Sylfaen" w:cs="Arial"/>
                <w:sz w:val="24"/>
                <w:szCs w:val="24"/>
                <w:lang w:val="ka-GE"/>
              </w:rPr>
              <w:t xml:space="preserve"> </w:t>
            </w:r>
            <w:r w:rsidRPr="00F45107">
              <w:rPr>
                <w:rFonts w:ascii="Sylfaen" w:hAnsi="Sylfaen" w:cs="Sylfaen"/>
                <w:sz w:val="24"/>
                <w:szCs w:val="24"/>
                <w:lang w:val="ka-GE"/>
              </w:rPr>
              <w:t>განვითარებისა</w:t>
            </w:r>
            <w:r w:rsidRPr="00F45107">
              <w:rPr>
                <w:rFonts w:ascii="Sylfaen" w:hAnsi="Sylfaen" w:cs="Arial"/>
                <w:sz w:val="24"/>
                <w:szCs w:val="24"/>
                <w:lang w:val="ka-GE"/>
              </w:rPr>
              <w:t xml:space="preserve"> </w:t>
            </w:r>
            <w:r w:rsidRPr="00F45107">
              <w:rPr>
                <w:rFonts w:ascii="Sylfaen" w:hAnsi="Sylfaen" w:cs="Sylfaen"/>
                <w:sz w:val="24"/>
                <w:szCs w:val="24"/>
                <w:lang w:val="ka-GE"/>
              </w:rPr>
              <w:t>და</w:t>
            </w:r>
            <w:r w:rsidRPr="00F45107">
              <w:rPr>
                <w:rFonts w:ascii="Sylfaen" w:hAnsi="Sylfaen" w:cs="Arial"/>
                <w:sz w:val="24"/>
                <w:szCs w:val="24"/>
                <w:lang w:val="ka-GE"/>
              </w:rPr>
              <w:t xml:space="preserve"> </w:t>
            </w:r>
            <w:r w:rsidRPr="00F45107">
              <w:rPr>
                <w:rFonts w:ascii="Sylfaen" w:hAnsi="Sylfaen" w:cs="Sylfaen"/>
                <w:sz w:val="24"/>
                <w:szCs w:val="24"/>
                <w:lang w:val="ka-GE"/>
              </w:rPr>
              <w:t>ინფრასტრუქტურის</w:t>
            </w:r>
            <w:r w:rsidRPr="00F45107">
              <w:rPr>
                <w:rFonts w:ascii="Sylfaen" w:hAnsi="Sylfaen" w:cs="Arial"/>
                <w:sz w:val="24"/>
                <w:szCs w:val="24"/>
                <w:lang w:val="ka-GE"/>
              </w:rPr>
              <w:t xml:space="preserve"> </w:t>
            </w:r>
            <w:r w:rsidRPr="00F45107">
              <w:rPr>
                <w:rFonts w:ascii="Sylfaen" w:hAnsi="Sylfaen" w:cs="Sylfaen"/>
                <w:sz w:val="24"/>
                <w:szCs w:val="24"/>
                <w:lang w:val="ka-GE"/>
              </w:rPr>
              <w:t>სამინისტრო</w:t>
            </w:r>
          </w:p>
        </w:tc>
      </w:tr>
      <w:tr w:rsidR="00F45107" w:rsidRPr="00F45107" w14:paraId="6540B169" w14:textId="77777777" w:rsidTr="00E92D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14:paraId="5FB4A186" w14:textId="77777777" w:rsidR="00F45107" w:rsidRPr="00F45107" w:rsidRDefault="00F45107" w:rsidP="002B56CC">
            <w:pPr>
              <w:pStyle w:val="ADBTableEntry"/>
              <w:spacing w:before="0" w:after="0"/>
              <w:rPr>
                <w:rFonts w:ascii="Sylfaen" w:hAnsi="Sylfaen"/>
                <w:sz w:val="24"/>
                <w:szCs w:val="24"/>
              </w:rPr>
            </w:pPr>
            <w:r w:rsidRPr="00F45107">
              <w:rPr>
                <w:rFonts w:ascii="Sylfaen" w:hAnsi="Sylfaen"/>
                <w:sz w:val="24"/>
                <w:szCs w:val="24"/>
              </w:rPr>
              <w:t>ToR</w:t>
            </w:r>
          </w:p>
        </w:tc>
        <w:tc>
          <w:tcPr>
            <w:tcW w:w="493" w:type="dxa"/>
          </w:tcPr>
          <w:p w14:paraId="2FA57509" w14:textId="77777777" w:rsidR="00F45107" w:rsidRPr="00F45107" w:rsidRDefault="00F45107" w:rsidP="002B56CC">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14:paraId="7987AE90" w14:textId="77777777" w:rsidR="00F45107" w:rsidRPr="00F45107" w:rsidRDefault="00F45107" w:rsidP="002B56CC">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F45107">
              <w:rPr>
                <w:rFonts w:ascii="Sylfaen" w:hAnsi="Sylfaen" w:cs="Sylfaen"/>
                <w:sz w:val="24"/>
                <w:szCs w:val="24"/>
                <w:lang w:val="ka-GE"/>
              </w:rPr>
              <w:t>ტექნიკური დავალება</w:t>
            </w:r>
          </w:p>
        </w:tc>
      </w:tr>
      <w:tr w:rsidR="00F45107" w:rsidRPr="00F45107" w14:paraId="21C0AB98" w14:textId="77777777" w:rsidTr="00E92D4F">
        <w:tc>
          <w:tcPr>
            <w:cnfStyle w:val="001000000000" w:firstRow="0" w:lastRow="0" w:firstColumn="1" w:lastColumn="0" w:oddVBand="0" w:evenVBand="0" w:oddHBand="0" w:evenHBand="0" w:firstRowFirstColumn="0" w:firstRowLastColumn="0" w:lastRowFirstColumn="0" w:lastRowLastColumn="0"/>
            <w:tcW w:w="1293" w:type="dxa"/>
          </w:tcPr>
          <w:p w14:paraId="7DE306F2" w14:textId="77777777" w:rsidR="00F45107" w:rsidRPr="00F45107" w:rsidRDefault="00F45107" w:rsidP="002B56CC">
            <w:pPr>
              <w:pStyle w:val="ADBTableEntry"/>
              <w:spacing w:before="0" w:after="0"/>
              <w:rPr>
                <w:rFonts w:ascii="Sylfaen" w:hAnsi="Sylfaen"/>
                <w:sz w:val="24"/>
                <w:szCs w:val="24"/>
              </w:rPr>
            </w:pPr>
            <w:r w:rsidRPr="00F45107">
              <w:rPr>
                <w:rFonts w:ascii="Sylfaen" w:hAnsi="Sylfaen"/>
                <w:sz w:val="24"/>
                <w:szCs w:val="24"/>
              </w:rPr>
              <w:t>WB</w:t>
            </w:r>
          </w:p>
        </w:tc>
        <w:tc>
          <w:tcPr>
            <w:tcW w:w="493" w:type="dxa"/>
          </w:tcPr>
          <w:p w14:paraId="098E7125" w14:textId="77777777" w:rsidR="00F45107" w:rsidRPr="00F45107" w:rsidRDefault="00F45107" w:rsidP="002B56CC">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14:paraId="38975C67" w14:textId="77777777" w:rsidR="00F45107" w:rsidRPr="00F45107" w:rsidRDefault="00F45107" w:rsidP="002B56CC">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F45107">
              <w:rPr>
                <w:rStyle w:val="shorttext"/>
                <w:rFonts w:ascii="Sylfaen" w:eastAsia="Calibri" w:hAnsi="Sylfaen" w:cs="Sylfaen"/>
                <w:sz w:val="24"/>
                <w:szCs w:val="24"/>
              </w:rPr>
              <w:t>მსოფლიო</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ბანკი</w:t>
            </w:r>
          </w:p>
        </w:tc>
      </w:tr>
    </w:tbl>
    <w:p w14:paraId="7783A754" w14:textId="77777777" w:rsidR="00F45107" w:rsidRPr="00F45107" w:rsidRDefault="00F45107" w:rsidP="002B56CC">
      <w:pPr>
        <w:spacing w:before="200" w:after="200"/>
        <w:rPr>
          <w:rFonts w:ascii="Sylfaen" w:hAnsi="Sylfaen"/>
          <w:sz w:val="24"/>
        </w:rPr>
      </w:pPr>
    </w:p>
    <w:p w14:paraId="10B73BCD" w14:textId="77777777" w:rsidR="00F45107" w:rsidRPr="00F45107" w:rsidRDefault="00F45107" w:rsidP="002B56CC">
      <w:pPr>
        <w:spacing w:before="200" w:after="200"/>
        <w:rPr>
          <w:rFonts w:ascii="Sylfaen" w:hAnsi="Sylfaen"/>
          <w:sz w:val="24"/>
        </w:rPr>
      </w:pPr>
    </w:p>
    <w:p w14:paraId="607DEBBB" w14:textId="77777777" w:rsidR="00F45107" w:rsidRPr="00F45107" w:rsidRDefault="00F45107" w:rsidP="002B56CC">
      <w:pPr>
        <w:spacing w:before="200" w:after="200"/>
        <w:rPr>
          <w:rFonts w:ascii="Sylfaen" w:hAnsi="Sylfaen"/>
          <w:sz w:val="24"/>
        </w:rPr>
      </w:pPr>
    </w:p>
    <w:p w14:paraId="59C950FB" w14:textId="77777777" w:rsidR="00F45107" w:rsidRPr="00F45107" w:rsidRDefault="00F45107" w:rsidP="002B56CC">
      <w:pPr>
        <w:spacing w:before="200" w:after="200"/>
        <w:rPr>
          <w:rFonts w:ascii="Sylfaen" w:hAnsi="Sylfaen"/>
          <w:sz w:val="24"/>
        </w:rPr>
      </w:pPr>
    </w:p>
    <w:p w14:paraId="1B34842E" w14:textId="123573A7" w:rsidR="00F45107" w:rsidRDefault="00F45107" w:rsidP="002B56CC">
      <w:pPr>
        <w:spacing w:before="200" w:after="200"/>
        <w:rPr>
          <w:rFonts w:ascii="Sylfaen" w:hAnsi="Sylfaen"/>
          <w:sz w:val="24"/>
        </w:rPr>
      </w:pPr>
    </w:p>
    <w:p w14:paraId="27A277DB" w14:textId="402BA78B" w:rsidR="003C781A" w:rsidRDefault="003C781A" w:rsidP="002B56CC">
      <w:pPr>
        <w:spacing w:before="200" w:after="200"/>
        <w:rPr>
          <w:rFonts w:ascii="Sylfaen" w:hAnsi="Sylfaen"/>
          <w:sz w:val="24"/>
        </w:rPr>
      </w:pPr>
    </w:p>
    <w:p w14:paraId="65C76253" w14:textId="524C4A5C" w:rsidR="003C781A" w:rsidRDefault="003C781A" w:rsidP="002B56CC">
      <w:pPr>
        <w:spacing w:before="200" w:after="200"/>
        <w:rPr>
          <w:rFonts w:ascii="Sylfaen" w:hAnsi="Sylfaen"/>
          <w:sz w:val="24"/>
        </w:rPr>
      </w:pPr>
    </w:p>
    <w:p w14:paraId="53CD7C45" w14:textId="634C6805" w:rsidR="005D3CC6" w:rsidRDefault="005D3CC6" w:rsidP="002B56CC">
      <w:pPr>
        <w:spacing w:before="200" w:after="200"/>
        <w:rPr>
          <w:rFonts w:ascii="Sylfaen" w:hAnsi="Sylfaen"/>
          <w:sz w:val="24"/>
        </w:rPr>
      </w:pPr>
    </w:p>
    <w:p w14:paraId="053F6DA6" w14:textId="34C1C039" w:rsidR="00680E6F" w:rsidRDefault="00680E6F" w:rsidP="002B56CC">
      <w:pPr>
        <w:spacing w:before="200" w:after="200"/>
        <w:rPr>
          <w:rFonts w:ascii="Sylfaen" w:hAnsi="Sylfaen"/>
          <w:sz w:val="24"/>
        </w:rPr>
      </w:pPr>
    </w:p>
    <w:p w14:paraId="07F80767" w14:textId="77777777" w:rsidR="000321C7" w:rsidRPr="00D4233F" w:rsidRDefault="000321C7" w:rsidP="002B56CC">
      <w:pPr>
        <w:spacing w:before="200" w:after="200"/>
        <w:rPr>
          <w:rFonts w:ascii="Sylfaen" w:hAnsi="Sylfaen"/>
          <w:sz w:val="24"/>
          <w:lang w:val="en-US"/>
        </w:rPr>
      </w:pPr>
    </w:p>
    <w:p w14:paraId="348B5F51" w14:textId="3ED5DDA6" w:rsidR="0087657A" w:rsidRDefault="0087657A" w:rsidP="002B56CC">
      <w:pPr>
        <w:spacing w:before="200" w:after="200"/>
        <w:rPr>
          <w:rFonts w:ascii="Sylfaen" w:hAnsi="Sylfaen"/>
          <w:sz w:val="24"/>
        </w:rPr>
      </w:pPr>
    </w:p>
    <w:p w14:paraId="2FED54BC" w14:textId="77777777" w:rsidR="0087657A" w:rsidRPr="0087657A" w:rsidRDefault="0087657A" w:rsidP="0087657A">
      <w:pPr>
        <w:rPr>
          <w:rFonts w:ascii="Sylfaen" w:hAnsi="Sylfaen"/>
          <w:sz w:val="24"/>
        </w:rPr>
      </w:pPr>
    </w:p>
    <w:p w14:paraId="2DA4FA61" w14:textId="76798B99" w:rsidR="00680E6F" w:rsidRPr="0087657A" w:rsidRDefault="00680E6F" w:rsidP="0087657A">
      <w:pPr>
        <w:jc w:val="right"/>
        <w:rPr>
          <w:rFonts w:ascii="Sylfaen" w:hAnsi="Sylfaen"/>
          <w:sz w:val="24"/>
        </w:rPr>
      </w:pPr>
    </w:p>
    <w:sdt>
      <w:sdtPr>
        <w:rPr>
          <w:rFonts w:ascii="Arial" w:hAnsi="Arial"/>
          <w:b w:val="0"/>
          <w:bCs w:val="0"/>
          <w:color w:val="auto"/>
          <w:sz w:val="22"/>
          <w:szCs w:val="24"/>
          <w:lang w:val="en-GB" w:eastAsia="de-DE"/>
        </w:rPr>
        <w:id w:val="-1103947506"/>
        <w:docPartObj>
          <w:docPartGallery w:val="Table of Contents"/>
          <w:docPartUnique/>
        </w:docPartObj>
      </w:sdtPr>
      <w:sdtEndPr>
        <w:rPr>
          <w:rFonts w:ascii="Sylfaen" w:hAnsi="Sylfaen"/>
          <w:noProof/>
          <w:sz w:val="24"/>
        </w:rPr>
      </w:sdtEndPr>
      <w:sdtContent>
        <w:p w14:paraId="7C4EA702" w14:textId="77777777" w:rsidR="00F45107" w:rsidRPr="00F45107" w:rsidRDefault="00F45107" w:rsidP="004B2357">
          <w:pPr>
            <w:pStyle w:val="TOCHeading"/>
          </w:pPr>
          <w:r w:rsidRPr="00F45107">
            <w:rPr>
              <w:rFonts w:ascii="Sylfaen" w:hAnsi="Sylfaen" w:cs="Sylfaen"/>
            </w:rPr>
            <w:t>სარჩევი</w:t>
          </w:r>
        </w:p>
        <w:p w14:paraId="54E363BF" w14:textId="388CEC97" w:rsidR="00AB50EE" w:rsidRDefault="00AD2CE8">
          <w:pPr>
            <w:pStyle w:val="TOC1"/>
            <w:rPr>
              <w:rFonts w:eastAsiaTheme="minorEastAsia"/>
              <w:b w:val="0"/>
              <w:bCs w:val="0"/>
              <w:sz w:val="22"/>
              <w:szCs w:val="22"/>
            </w:rPr>
          </w:pPr>
          <w:r w:rsidRPr="00F45107">
            <w:rPr>
              <w:rFonts w:ascii="Sylfaen" w:hAnsi="Sylfaen"/>
            </w:rPr>
            <w:fldChar w:fldCharType="begin"/>
          </w:r>
          <w:r w:rsidR="00F45107" w:rsidRPr="00F45107">
            <w:rPr>
              <w:rFonts w:ascii="Sylfaen" w:hAnsi="Sylfaen"/>
            </w:rPr>
            <w:instrText xml:space="preserve"> TOC \o "1-3" \h \z \u </w:instrText>
          </w:r>
          <w:r w:rsidRPr="00F45107">
            <w:rPr>
              <w:rFonts w:ascii="Sylfaen" w:hAnsi="Sylfaen"/>
            </w:rPr>
            <w:fldChar w:fldCharType="separate"/>
          </w:r>
          <w:hyperlink w:anchor="_Toc1581480" w:history="1">
            <w:r w:rsidR="00AB50EE" w:rsidRPr="006A1C5D">
              <w:rPr>
                <w:rStyle w:val="Hyperlink"/>
                <w:rFonts w:eastAsia="Arial"/>
              </w:rPr>
              <w:t>1.</w:t>
            </w:r>
            <w:r w:rsidR="00AB50EE">
              <w:rPr>
                <w:rFonts w:eastAsiaTheme="minorEastAsia"/>
                <w:b w:val="0"/>
                <w:bCs w:val="0"/>
                <w:sz w:val="22"/>
                <w:szCs w:val="22"/>
              </w:rPr>
              <w:tab/>
            </w:r>
            <w:r w:rsidR="00AB50EE" w:rsidRPr="006A1C5D">
              <w:rPr>
                <w:rStyle w:val="Hyperlink"/>
                <w:rFonts w:ascii="Sylfaen" w:eastAsia="Arial" w:hAnsi="Sylfaen" w:cs="Sylfaen"/>
              </w:rPr>
              <w:t>შესავალი</w:t>
            </w:r>
            <w:r w:rsidR="00AB50EE">
              <w:rPr>
                <w:webHidden/>
              </w:rPr>
              <w:tab/>
            </w:r>
            <w:r w:rsidR="00AB50EE">
              <w:rPr>
                <w:webHidden/>
              </w:rPr>
              <w:fldChar w:fldCharType="begin"/>
            </w:r>
            <w:r w:rsidR="00AB50EE">
              <w:rPr>
                <w:webHidden/>
              </w:rPr>
              <w:instrText xml:space="preserve"> PAGEREF _Toc1581480 \h </w:instrText>
            </w:r>
            <w:r w:rsidR="00AB50EE">
              <w:rPr>
                <w:webHidden/>
              </w:rPr>
            </w:r>
            <w:r w:rsidR="00AB50EE">
              <w:rPr>
                <w:webHidden/>
              </w:rPr>
              <w:fldChar w:fldCharType="separate"/>
            </w:r>
            <w:r w:rsidR="00AB50EE">
              <w:rPr>
                <w:webHidden/>
              </w:rPr>
              <w:t>1</w:t>
            </w:r>
            <w:r w:rsidR="00AB50EE">
              <w:rPr>
                <w:webHidden/>
              </w:rPr>
              <w:fldChar w:fldCharType="end"/>
            </w:r>
          </w:hyperlink>
        </w:p>
        <w:p w14:paraId="3276838F" w14:textId="6A14C81F" w:rsidR="00AB50EE" w:rsidRDefault="00AB50EE">
          <w:pPr>
            <w:pStyle w:val="TOC1"/>
            <w:rPr>
              <w:rFonts w:eastAsiaTheme="minorEastAsia"/>
              <w:b w:val="0"/>
              <w:bCs w:val="0"/>
              <w:sz w:val="22"/>
              <w:szCs w:val="22"/>
            </w:rPr>
          </w:pPr>
          <w:hyperlink w:anchor="_Toc1581481" w:history="1">
            <w:r w:rsidRPr="006A1C5D">
              <w:rPr>
                <w:rStyle w:val="Hyperlink"/>
              </w:rPr>
              <w:t>2.</w:t>
            </w:r>
            <w:r>
              <w:rPr>
                <w:rFonts w:eastAsiaTheme="minorEastAsia"/>
                <w:b w:val="0"/>
                <w:bCs w:val="0"/>
                <w:sz w:val="22"/>
                <w:szCs w:val="22"/>
              </w:rPr>
              <w:tab/>
            </w:r>
            <w:r w:rsidRPr="006A1C5D">
              <w:rPr>
                <w:rStyle w:val="Hyperlink"/>
                <w:rFonts w:ascii="Sylfaen" w:hAnsi="Sylfaen" w:cs="Sylfaen"/>
              </w:rPr>
              <w:t>იურიდიული</w:t>
            </w:r>
            <w:r w:rsidRPr="006A1C5D">
              <w:rPr>
                <w:rStyle w:val="Hyperlink"/>
              </w:rPr>
              <w:t xml:space="preserve"> </w:t>
            </w:r>
            <w:r w:rsidRPr="006A1C5D">
              <w:rPr>
                <w:rStyle w:val="Hyperlink"/>
                <w:rFonts w:ascii="Sylfaen" w:hAnsi="Sylfaen" w:cs="Sylfaen"/>
              </w:rPr>
              <w:t>და</w:t>
            </w:r>
            <w:r w:rsidRPr="006A1C5D">
              <w:rPr>
                <w:rStyle w:val="Hyperlink"/>
              </w:rPr>
              <w:t xml:space="preserve"> </w:t>
            </w:r>
            <w:r w:rsidRPr="006A1C5D">
              <w:rPr>
                <w:rStyle w:val="Hyperlink"/>
                <w:rFonts w:ascii="Sylfaen" w:hAnsi="Sylfaen" w:cs="Sylfaen"/>
              </w:rPr>
              <w:t>ინსტიტუციონალური</w:t>
            </w:r>
            <w:r w:rsidRPr="006A1C5D">
              <w:rPr>
                <w:rStyle w:val="Hyperlink"/>
              </w:rPr>
              <w:t xml:space="preserve"> </w:t>
            </w:r>
            <w:r w:rsidRPr="006A1C5D">
              <w:rPr>
                <w:rStyle w:val="Hyperlink"/>
                <w:rFonts w:ascii="Sylfaen" w:hAnsi="Sylfaen" w:cs="Sylfaen"/>
              </w:rPr>
              <w:t>ჩარჩო</w:t>
            </w:r>
            <w:r>
              <w:rPr>
                <w:webHidden/>
              </w:rPr>
              <w:tab/>
            </w:r>
            <w:r>
              <w:rPr>
                <w:webHidden/>
              </w:rPr>
              <w:fldChar w:fldCharType="begin"/>
            </w:r>
            <w:r>
              <w:rPr>
                <w:webHidden/>
              </w:rPr>
              <w:instrText xml:space="preserve"> PAGEREF _Toc1581481 \h </w:instrText>
            </w:r>
            <w:r>
              <w:rPr>
                <w:webHidden/>
              </w:rPr>
            </w:r>
            <w:r>
              <w:rPr>
                <w:webHidden/>
              </w:rPr>
              <w:fldChar w:fldCharType="separate"/>
            </w:r>
            <w:r>
              <w:rPr>
                <w:webHidden/>
              </w:rPr>
              <w:t>3</w:t>
            </w:r>
            <w:r>
              <w:rPr>
                <w:webHidden/>
              </w:rPr>
              <w:fldChar w:fldCharType="end"/>
            </w:r>
          </w:hyperlink>
        </w:p>
        <w:p w14:paraId="07A1D161" w14:textId="3C46C231" w:rsidR="00AB50EE" w:rsidRDefault="00AB50EE">
          <w:pPr>
            <w:pStyle w:val="TOC2"/>
            <w:rPr>
              <w:rFonts w:eastAsiaTheme="minorEastAsia"/>
              <w:bCs w:val="0"/>
            </w:rPr>
          </w:pPr>
          <w:hyperlink w:anchor="_Toc1581482" w:history="1">
            <w:r w:rsidRPr="006A1C5D">
              <w:rPr>
                <w:rStyle w:val="Hyperlink"/>
              </w:rPr>
              <w:t xml:space="preserve">2.1 </w:t>
            </w:r>
            <w:r w:rsidRPr="006A1C5D">
              <w:rPr>
                <w:rStyle w:val="Hyperlink"/>
                <w:rFonts w:ascii="Sylfaen" w:hAnsi="Sylfaen" w:cs="Sylfaen"/>
              </w:rPr>
              <w:t>ატმოსფერული</w:t>
            </w:r>
            <w:r w:rsidRPr="006A1C5D">
              <w:rPr>
                <w:rStyle w:val="Hyperlink"/>
              </w:rPr>
              <w:t xml:space="preserve"> </w:t>
            </w:r>
            <w:r w:rsidRPr="006A1C5D">
              <w:rPr>
                <w:rStyle w:val="Hyperlink"/>
                <w:rFonts w:ascii="Sylfaen" w:hAnsi="Sylfaen" w:cs="Sylfaen"/>
              </w:rPr>
              <w:t>ჰაერის</w:t>
            </w:r>
            <w:r w:rsidRPr="006A1C5D">
              <w:rPr>
                <w:rStyle w:val="Hyperlink"/>
              </w:rPr>
              <w:t xml:space="preserve"> </w:t>
            </w:r>
            <w:r w:rsidRPr="006A1C5D">
              <w:rPr>
                <w:rStyle w:val="Hyperlink"/>
                <w:rFonts w:ascii="Sylfaen" w:hAnsi="Sylfaen" w:cs="Sylfaen"/>
              </w:rPr>
              <w:t>ხარისხობრივი</w:t>
            </w:r>
            <w:r w:rsidRPr="006A1C5D">
              <w:rPr>
                <w:rStyle w:val="Hyperlink"/>
              </w:rPr>
              <w:t xml:space="preserve"> </w:t>
            </w:r>
            <w:r w:rsidRPr="006A1C5D">
              <w:rPr>
                <w:rStyle w:val="Hyperlink"/>
                <w:rFonts w:ascii="Sylfaen" w:hAnsi="Sylfaen" w:cs="Sylfaen"/>
              </w:rPr>
              <w:t>ნორმები</w:t>
            </w:r>
            <w:r>
              <w:rPr>
                <w:webHidden/>
              </w:rPr>
              <w:tab/>
            </w:r>
            <w:r>
              <w:rPr>
                <w:webHidden/>
              </w:rPr>
              <w:fldChar w:fldCharType="begin"/>
            </w:r>
            <w:r>
              <w:rPr>
                <w:webHidden/>
              </w:rPr>
              <w:instrText xml:space="preserve"> PAGEREF _Toc1581482 \h </w:instrText>
            </w:r>
            <w:r>
              <w:rPr>
                <w:webHidden/>
              </w:rPr>
            </w:r>
            <w:r>
              <w:rPr>
                <w:webHidden/>
              </w:rPr>
              <w:fldChar w:fldCharType="separate"/>
            </w:r>
            <w:r>
              <w:rPr>
                <w:webHidden/>
              </w:rPr>
              <w:t>5</w:t>
            </w:r>
            <w:r>
              <w:rPr>
                <w:webHidden/>
              </w:rPr>
              <w:fldChar w:fldCharType="end"/>
            </w:r>
          </w:hyperlink>
        </w:p>
        <w:p w14:paraId="65EA3434" w14:textId="1D6ED11E" w:rsidR="00AB50EE" w:rsidRDefault="00AB50EE">
          <w:pPr>
            <w:pStyle w:val="TOC2"/>
            <w:rPr>
              <w:rFonts w:eastAsiaTheme="minorEastAsia"/>
              <w:bCs w:val="0"/>
            </w:rPr>
          </w:pPr>
          <w:hyperlink w:anchor="_Toc1581483" w:history="1">
            <w:r w:rsidRPr="006A1C5D">
              <w:rPr>
                <w:rStyle w:val="Hyperlink"/>
              </w:rPr>
              <w:t xml:space="preserve">2.2 </w:t>
            </w:r>
            <w:r w:rsidRPr="006A1C5D">
              <w:rPr>
                <w:rStyle w:val="Hyperlink"/>
                <w:rFonts w:ascii="Sylfaen" w:hAnsi="Sylfaen" w:cs="Sylfaen"/>
              </w:rPr>
              <w:t>წყლის</w:t>
            </w:r>
            <w:r w:rsidRPr="006A1C5D">
              <w:rPr>
                <w:rStyle w:val="Hyperlink"/>
              </w:rPr>
              <w:t xml:space="preserve"> </w:t>
            </w:r>
            <w:r w:rsidRPr="006A1C5D">
              <w:rPr>
                <w:rStyle w:val="Hyperlink"/>
                <w:rFonts w:ascii="Sylfaen" w:hAnsi="Sylfaen" w:cs="Sylfaen"/>
              </w:rPr>
              <w:t>ხარისხობრივი</w:t>
            </w:r>
            <w:r w:rsidRPr="006A1C5D">
              <w:rPr>
                <w:rStyle w:val="Hyperlink"/>
              </w:rPr>
              <w:t xml:space="preserve"> </w:t>
            </w:r>
            <w:r w:rsidRPr="006A1C5D">
              <w:rPr>
                <w:rStyle w:val="Hyperlink"/>
                <w:rFonts w:ascii="Sylfaen" w:hAnsi="Sylfaen" w:cs="Sylfaen"/>
              </w:rPr>
              <w:t>სტანდარტები</w:t>
            </w:r>
            <w:r>
              <w:rPr>
                <w:webHidden/>
              </w:rPr>
              <w:tab/>
            </w:r>
            <w:r>
              <w:rPr>
                <w:webHidden/>
              </w:rPr>
              <w:fldChar w:fldCharType="begin"/>
            </w:r>
            <w:r>
              <w:rPr>
                <w:webHidden/>
              </w:rPr>
              <w:instrText xml:space="preserve"> PAGEREF _Toc1581483 \h </w:instrText>
            </w:r>
            <w:r>
              <w:rPr>
                <w:webHidden/>
              </w:rPr>
            </w:r>
            <w:r>
              <w:rPr>
                <w:webHidden/>
              </w:rPr>
              <w:fldChar w:fldCharType="separate"/>
            </w:r>
            <w:r>
              <w:rPr>
                <w:webHidden/>
              </w:rPr>
              <w:t>7</w:t>
            </w:r>
            <w:r>
              <w:rPr>
                <w:webHidden/>
              </w:rPr>
              <w:fldChar w:fldCharType="end"/>
            </w:r>
          </w:hyperlink>
        </w:p>
        <w:p w14:paraId="64E1910B" w14:textId="0BCEE9CD" w:rsidR="00AB50EE" w:rsidRDefault="00AB50EE">
          <w:pPr>
            <w:pStyle w:val="TOC2"/>
            <w:rPr>
              <w:rFonts w:eastAsiaTheme="minorEastAsia"/>
              <w:bCs w:val="0"/>
            </w:rPr>
          </w:pPr>
          <w:hyperlink w:anchor="_Toc1581484" w:history="1">
            <w:r w:rsidRPr="006A1C5D">
              <w:rPr>
                <w:rStyle w:val="Hyperlink"/>
              </w:rPr>
              <w:t xml:space="preserve">2.3 </w:t>
            </w:r>
            <w:r w:rsidRPr="006A1C5D">
              <w:rPr>
                <w:rStyle w:val="Hyperlink"/>
                <w:rFonts w:ascii="Sylfaen" w:hAnsi="Sylfaen" w:cs="Sylfaen"/>
              </w:rPr>
              <w:t>ხმაურის</w:t>
            </w:r>
            <w:r w:rsidRPr="006A1C5D">
              <w:rPr>
                <w:rStyle w:val="Hyperlink"/>
              </w:rPr>
              <w:t xml:space="preserve"> </w:t>
            </w:r>
            <w:r w:rsidRPr="006A1C5D">
              <w:rPr>
                <w:rStyle w:val="Hyperlink"/>
                <w:rFonts w:ascii="Sylfaen" w:hAnsi="Sylfaen" w:cs="Sylfaen"/>
              </w:rPr>
              <w:t>სტანდარტები</w:t>
            </w:r>
            <w:r>
              <w:rPr>
                <w:webHidden/>
              </w:rPr>
              <w:tab/>
            </w:r>
            <w:r>
              <w:rPr>
                <w:webHidden/>
              </w:rPr>
              <w:fldChar w:fldCharType="begin"/>
            </w:r>
            <w:r>
              <w:rPr>
                <w:webHidden/>
              </w:rPr>
              <w:instrText xml:space="preserve"> PAGEREF _Toc1581484 \h </w:instrText>
            </w:r>
            <w:r>
              <w:rPr>
                <w:webHidden/>
              </w:rPr>
            </w:r>
            <w:r>
              <w:rPr>
                <w:webHidden/>
              </w:rPr>
              <w:fldChar w:fldCharType="separate"/>
            </w:r>
            <w:r>
              <w:rPr>
                <w:webHidden/>
              </w:rPr>
              <w:t>8</w:t>
            </w:r>
            <w:r>
              <w:rPr>
                <w:webHidden/>
              </w:rPr>
              <w:fldChar w:fldCharType="end"/>
            </w:r>
          </w:hyperlink>
        </w:p>
        <w:p w14:paraId="3C865140" w14:textId="382BD924" w:rsidR="00AB50EE" w:rsidRDefault="00AB50EE">
          <w:pPr>
            <w:pStyle w:val="TOC1"/>
            <w:rPr>
              <w:rFonts w:eastAsiaTheme="minorEastAsia"/>
              <w:b w:val="0"/>
              <w:bCs w:val="0"/>
              <w:sz w:val="22"/>
              <w:szCs w:val="22"/>
            </w:rPr>
          </w:pPr>
          <w:hyperlink w:anchor="_Toc1581485" w:history="1">
            <w:r w:rsidRPr="006A1C5D">
              <w:rPr>
                <w:rStyle w:val="Hyperlink"/>
                <w:rFonts w:cs="Sylfaen"/>
              </w:rPr>
              <w:t>3</w:t>
            </w:r>
            <w:r>
              <w:rPr>
                <w:rFonts w:eastAsiaTheme="minorEastAsia"/>
                <w:b w:val="0"/>
                <w:bCs w:val="0"/>
                <w:sz w:val="22"/>
                <w:szCs w:val="22"/>
              </w:rPr>
              <w:tab/>
            </w:r>
            <w:r w:rsidRPr="006A1C5D">
              <w:rPr>
                <w:rStyle w:val="Hyperlink"/>
                <w:rFonts w:ascii="Sylfaen" w:hAnsi="Sylfaen" w:cs="Sylfaen"/>
              </w:rPr>
              <w:t>შერჩეული</w:t>
            </w:r>
            <w:r w:rsidRPr="006A1C5D">
              <w:rPr>
                <w:rStyle w:val="Hyperlink"/>
              </w:rPr>
              <w:t xml:space="preserve"> </w:t>
            </w:r>
            <w:r w:rsidRPr="006A1C5D">
              <w:rPr>
                <w:rStyle w:val="Hyperlink"/>
                <w:rFonts w:ascii="Sylfaen" w:hAnsi="Sylfaen" w:cs="Sylfaen"/>
              </w:rPr>
              <w:t>ალტერნატივის</w:t>
            </w:r>
            <w:r w:rsidRPr="006A1C5D">
              <w:rPr>
                <w:rStyle w:val="Hyperlink"/>
              </w:rPr>
              <w:t xml:space="preserve"> </w:t>
            </w:r>
            <w:r w:rsidRPr="006A1C5D">
              <w:rPr>
                <w:rStyle w:val="Hyperlink"/>
                <w:rFonts w:ascii="Sylfaen" w:hAnsi="Sylfaen" w:cs="Sylfaen"/>
              </w:rPr>
              <w:t>ზემოქმედების</w:t>
            </w:r>
            <w:r w:rsidRPr="006A1C5D">
              <w:rPr>
                <w:rStyle w:val="Hyperlink"/>
              </w:rPr>
              <w:t xml:space="preserve"> </w:t>
            </w:r>
            <w:r w:rsidRPr="006A1C5D">
              <w:rPr>
                <w:rStyle w:val="Hyperlink"/>
                <w:rFonts w:ascii="Sylfaen" w:hAnsi="Sylfaen" w:cs="Sylfaen"/>
              </w:rPr>
              <w:t>შეფასების</w:t>
            </w:r>
            <w:r w:rsidRPr="006A1C5D">
              <w:rPr>
                <w:rStyle w:val="Hyperlink"/>
              </w:rPr>
              <w:t xml:space="preserve"> </w:t>
            </w:r>
            <w:r w:rsidRPr="006A1C5D">
              <w:rPr>
                <w:rStyle w:val="Hyperlink"/>
                <w:rFonts w:ascii="Sylfaen" w:hAnsi="Sylfaen" w:cs="Sylfaen"/>
              </w:rPr>
              <w:t>რეზიუმე</w:t>
            </w:r>
            <w:r>
              <w:rPr>
                <w:webHidden/>
              </w:rPr>
              <w:tab/>
            </w:r>
            <w:r>
              <w:rPr>
                <w:webHidden/>
              </w:rPr>
              <w:fldChar w:fldCharType="begin"/>
            </w:r>
            <w:r>
              <w:rPr>
                <w:webHidden/>
              </w:rPr>
              <w:instrText xml:space="preserve"> PAGEREF _Toc1581485 \h </w:instrText>
            </w:r>
            <w:r>
              <w:rPr>
                <w:webHidden/>
              </w:rPr>
            </w:r>
            <w:r>
              <w:rPr>
                <w:webHidden/>
              </w:rPr>
              <w:fldChar w:fldCharType="separate"/>
            </w:r>
            <w:r>
              <w:rPr>
                <w:webHidden/>
              </w:rPr>
              <w:t>9</w:t>
            </w:r>
            <w:r>
              <w:rPr>
                <w:webHidden/>
              </w:rPr>
              <w:fldChar w:fldCharType="end"/>
            </w:r>
          </w:hyperlink>
        </w:p>
        <w:p w14:paraId="07E7E091" w14:textId="5F074FA8" w:rsidR="00AB50EE" w:rsidRDefault="00AB50EE">
          <w:pPr>
            <w:pStyle w:val="TOC2"/>
            <w:rPr>
              <w:rFonts w:eastAsiaTheme="minorEastAsia"/>
              <w:bCs w:val="0"/>
            </w:rPr>
          </w:pPr>
          <w:hyperlink w:anchor="_Toc1581486" w:history="1">
            <w:r w:rsidRPr="006A1C5D">
              <w:rPr>
                <w:rStyle w:val="Hyperlink"/>
                <w:lang w:val="it-IT"/>
              </w:rPr>
              <w:t xml:space="preserve">3.1 </w:t>
            </w:r>
            <w:r w:rsidRPr="006A1C5D">
              <w:rPr>
                <w:rStyle w:val="Hyperlink"/>
                <w:lang w:val="ka-GE" w:eastAsia="ko-KR"/>
              </w:rPr>
              <w:t>,,</w:t>
            </w:r>
            <w:r w:rsidRPr="006A1C5D">
              <w:rPr>
                <w:rStyle w:val="Hyperlink"/>
                <w:rFonts w:ascii="Sylfaen" w:hAnsi="Sylfaen" w:cs="Sylfaen"/>
                <w:lang w:val="ka-GE" w:eastAsia="ko-KR"/>
              </w:rPr>
              <w:t>ნულოვანი</w:t>
            </w:r>
            <w:r w:rsidRPr="006A1C5D">
              <w:rPr>
                <w:rStyle w:val="Hyperlink"/>
                <w:rFonts w:ascii="Arial" w:hAnsi="Arial" w:cs="Arial"/>
                <w:lang w:val="ka-GE" w:eastAsia="ko-KR"/>
              </w:rPr>
              <w:t>“</w:t>
            </w:r>
            <w:r w:rsidRPr="006A1C5D">
              <w:rPr>
                <w:rStyle w:val="Hyperlink"/>
                <w:lang w:val="ka-GE" w:eastAsia="ko-KR"/>
              </w:rPr>
              <w:t xml:space="preserve"> (</w:t>
            </w:r>
            <w:r w:rsidRPr="006A1C5D">
              <w:rPr>
                <w:rStyle w:val="Hyperlink"/>
                <w:rFonts w:ascii="Sylfaen" w:hAnsi="Sylfaen" w:cs="Sylfaen"/>
                <w:lang w:val="ka-GE" w:eastAsia="ko-KR"/>
              </w:rPr>
              <w:t>პროექტის</w:t>
            </w:r>
            <w:r w:rsidRPr="006A1C5D">
              <w:rPr>
                <w:rStyle w:val="Hyperlink"/>
                <w:lang w:val="ka-GE" w:eastAsia="ko-KR"/>
              </w:rPr>
              <w:t xml:space="preserve"> </w:t>
            </w:r>
            <w:r w:rsidRPr="006A1C5D">
              <w:rPr>
                <w:rStyle w:val="Hyperlink"/>
                <w:rFonts w:ascii="Sylfaen" w:hAnsi="Sylfaen" w:cs="Sylfaen"/>
                <w:lang w:val="ka-GE" w:eastAsia="ko-KR"/>
              </w:rPr>
              <w:t>განუხორციელებლობა</w:t>
            </w:r>
            <w:r w:rsidRPr="006A1C5D">
              <w:rPr>
                <w:rStyle w:val="Hyperlink"/>
                <w:lang w:val="ka-GE" w:eastAsia="ko-KR"/>
              </w:rPr>
              <w:t xml:space="preserve">) </w:t>
            </w:r>
            <w:r w:rsidRPr="006A1C5D">
              <w:rPr>
                <w:rStyle w:val="Hyperlink"/>
                <w:rFonts w:ascii="Sylfaen" w:hAnsi="Sylfaen" w:cs="Sylfaen"/>
                <w:lang w:val="ka-GE" w:eastAsia="ko-KR"/>
              </w:rPr>
              <w:t>ალტერნატივა</w:t>
            </w:r>
            <w:r w:rsidRPr="006A1C5D">
              <w:rPr>
                <w:rStyle w:val="Hyperlink"/>
                <w:lang w:val="ka-GE" w:eastAsia="ko-KR"/>
              </w:rPr>
              <w:t>.</w:t>
            </w:r>
            <w:r>
              <w:rPr>
                <w:webHidden/>
              </w:rPr>
              <w:tab/>
            </w:r>
            <w:r>
              <w:rPr>
                <w:webHidden/>
              </w:rPr>
              <w:fldChar w:fldCharType="begin"/>
            </w:r>
            <w:r>
              <w:rPr>
                <w:webHidden/>
              </w:rPr>
              <w:instrText xml:space="preserve"> PAGEREF _Toc1581486 \h </w:instrText>
            </w:r>
            <w:r>
              <w:rPr>
                <w:webHidden/>
              </w:rPr>
            </w:r>
            <w:r>
              <w:rPr>
                <w:webHidden/>
              </w:rPr>
              <w:fldChar w:fldCharType="separate"/>
            </w:r>
            <w:r>
              <w:rPr>
                <w:webHidden/>
              </w:rPr>
              <w:t>10</w:t>
            </w:r>
            <w:r>
              <w:rPr>
                <w:webHidden/>
              </w:rPr>
              <w:fldChar w:fldCharType="end"/>
            </w:r>
          </w:hyperlink>
        </w:p>
        <w:p w14:paraId="659EC5C2" w14:textId="236513C9" w:rsidR="00AB50EE" w:rsidRDefault="00AB50EE">
          <w:pPr>
            <w:pStyle w:val="TOC2"/>
            <w:rPr>
              <w:rFonts w:eastAsiaTheme="minorEastAsia"/>
              <w:bCs w:val="0"/>
            </w:rPr>
          </w:pPr>
          <w:hyperlink w:anchor="_Toc1581487" w:history="1">
            <w:r w:rsidRPr="006A1C5D">
              <w:rPr>
                <w:rStyle w:val="Hyperlink"/>
              </w:rPr>
              <w:t xml:space="preserve">3.2 </w:t>
            </w:r>
            <w:r w:rsidRPr="006A1C5D">
              <w:rPr>
                <w:rStyle w:val="Hyperlink"/>
                <w:rFonts w:ascii="Sylfaen" w:hAnsi="Sylfaen" w:cs="Sylfaen"/>
              </w:rPr>
              <w:t>ალტერნატიული</w:t>
            </w:r>
            <w:r w:rsidRPr="006A1C5D">
              <w:rPr>
                <w:rStyle w:val="Hyperlink"/>
              </w:rPr>
              <w:t xml:space="preserve"> </w:t>
            </w:r>
            <w:r w:rsidRPr="006A1C5D">
              <w:rPr>
                <w:rStyle w:val="Hyperlink"/>
                <w:rFonts w:ascii="Sylfaen" w:hAnsi="Sylfaen" w:cs="Sylfaen"/>
              </w:rPr>
              <w:t>განლაგებების</w:t>
            </w:r>
            <w:r w:rsidRPr="006A1C5D">
              <w:rPr>
                <w:rStyle w:val="Hyperlink"/>
              </w:rPr>
              <w:t xml:space="preserve"> </w:t>
            </w:r>
            <w:r w:rsidRPr="006A1C5D">
              <w:rPr>
                <w:rStyle w:val="Hyperlink"/>
                <w:rFonts w:ascii="Sylfaen" w:hAnsi="Sylfaen" w:cs="Sylfaen"/>
              </w:rPr>
              <w:t>შედარებითი</w:t>
            </w:r>
            <w:r w:rsidRPr="006A1C5D">
              <w:rPr>
                <w:rStyle w:val="Hyperlink"/>
              </w:rPr>
              <w:t xml:space="preserve"> </w:t>
            </w:r>
            <w:r w:rsidRPr="006A1C5D">
              <w:rPr>
                <w:rStyle w:val="Hyperlink"/>
                <w:rFonts w:ascii="Sylfaen" w:hAnsi="Sylfaen" w:cs="Sylfaen"/>
              </w:rPr>
              <w:t>ანალიზი</w:t>
            </w:r>
            <w:r>
              <w:rPr>
                <w:webHidden/>
              </w:rPr>
              <w:tab/>
            </w:r>
            <w:r>
              <w:rPr>
                <w:webHidden/>
              </w:rPr>
              <w:fldChar w:fldCharType="begin"/>
            </w:r>
            <w:r>
              <w:rPr>
                <w:webHidden/>
              </w:rPr>
              <w:instrText xml:space="preserve"> PAGEREF _Toc1581487 \h </w:instrText>
            </w:r>
            <w:r>
              <w:rPr>
                <w:webHidden/>
              </w:rPr>
            </w:r>
            <w:r>
              <w:rPr>
                <w:webHidden/>
              </w:rPr>
              <w:fldChar w:fldCharType="separate"/>
            </w:r>
            <w:r>
              <w:rPr>
                <w:webHidden/>
              </w:rPr>
              <w:t>14</w:t>
            </w:r>
            <w:r>
              <w:rPr>
                <w:webHidden/>
              </w:rPr>
              <w:fldChar w:fldCharType="end"/>
            </w:r>
          </w:hyperlink>
        </w:p>
        <w:p w14:paraId="17158E54" w14:textId="04BA77F0" w:rsidR="00AB50EE" w:rsidRDefault="00AB50EE">
          <w:pPr>
            <w:pStyle w:val="TOC2"/>
            <w:rPr>
              <w:rFonts w:eastAsiaTheme="minorEastAsia"/>
              <w:bCs w:val="0"/>
            </w:rPr>
          </w:pPr>
          <w:hyperlink w:anchor="_Toc1581488" w:history="1">
            <w:r w:rsidRPr="006A1C5D">
              <w:rPr>
                <w:rStyle w:val="Hyperlink"/>
                <w:lang w:val="it-IT"/>
              </w:rPr>
              <w:t xml:space="preserve">3.3 </w:t>
            </w:r>
            <w:r w:rsidRPr="006A1C5D">
              <w:rPr>
                <w:rStyle w:val="Hyperlink"/>
                <w:rFonts w:ascii="Sylfaen" w:hAnsi="Sylfaen"/>
                <w:lang w:val="ka-GE"/>
              </w:rPr>
              <w:t>გურჯაანის (ჩუმლაყი)</w:t>
            </w:r>
            <w:r w:rsidRPr="006A1C5D">
              <w:rPr>
                <w:rStyle w:val="Hyperlink"/>
                <w:rFonts w:ascii="Sylfaen" w:hAnsi="Sylfaen"/>
              </w:rPr>
              <w:t>-</w:t>
            </w:r>
            <w:r w:rsidRPr="006A1C5D">
              <w:rPr>
                <w:rStyle w:val="Hyperlink"/>
                <w:rFonts w:ascii="Sylfaen" w:hAnsi="Sylfaen"/>
                <w:lang w:val="ka-GE"/>
              </w:rPr>
              <w:t xml:space="preserve">თელავის </w:t>
            </w:r>
            <w:r w:rsidRPr="006A1C5D">
              <w:rPr>
                <w:rStyle w:val="Hyperlink"/>
                <w:rFonts w:ascii="Sylfaen" w:hAnsi="Sylfaen" w:cs="Sylfaen"/>
              </w:rPr>
              <w:t>ალტერნატივების</w:t>
            </w:r>
            <w:r w:rsidRPr="006A1C5D">
              <w:rPr>
                <w:rStyle w:val="Hyperlink"/>
                <w:lang w:val="it-IT"/>
              </w:rPr>
              <w:t xml:space="preserve"> </w:t>
            </w:r>
            <w:r w:rsidRPr="006A1C5D">
              <w:rPr>
                <w:rStyle w:val="Hyperlink"/>
                <w:rFonts w:ascii="Sylfaen" w:hAnsi="Sylfaen" w:cs="Sylfaen"/>
              </w:rPr>
              <w:t>საპროექტო</w:t>
            </w:r>
            <w:r w:rsidRPr="006A1C5D">
              <w:rPr>
                <w:rStyle w:val="Hyperlink"/>
                <w:lang w:val="it-IT"/>
              </w:rPr>
              <w:t xml:space="preserve"> </w:t>
            </w:r>
            <w:r w:rsidRPr="006A1C5D">
              <w:rPr>
                <w:rStyle w:val="Hyperlink"/>
                <w:rFonts w:ascii="Sylfaen" w:hAnsi="Sylfaen" w:cs="Sylfaen"/>
              </w:rPr>
              <w:t>ზემოქმედების</w:t>
            </w:r>
            <w:r w:rsidRPr="006A1C5D">
              <w:rPr>
                <w:rStyle w:val="Hyperlink"/>
                <w:lang w:val="it-IT"/>
              </w:rPr>
              <w:t xml:space="preserve"> </w:t>
            </w:r>
            <w:r w:rsidRPr="006A1C5D">
              <w:rPr>
                <w:rStyle w:val="Hyperlink"/>
                <w:rFonts w:ascii="Sylfaen" w:hAnsi="Sylfaen" w:cs="Sylfaen"/>
              </w:rPr>
              <w:t>შეჯამება</w:t>
            </w:r>
            <w:r>
              <w:rPr>
                <w:webHidden/>
              </w:rPr>
              <w:tab/>
            </w:r>
            <w:r>
              <w:rPr>
                <w:webHidden/>
              </w:rPr>
              <w:fldChar w:fldCharType="begin"/>
            </w:r>
            <w:r>
              <w:rPr>
                <w:webHidden/>
              </w:rPr>
              <w:instrText xml:space="preserve"> PAGEREF _Toc1581488 \h </w:instrText>
            </w:r>
            <w:r>
              <w:rPr>
                <w:webHidden/>
              </w:rPr>
            </w:r>
            <w:r>
              <w:rPr>
                <w:webHidden/>
              </w:rPr>
              <w:fldChar w:fldCharType="separate"/>
            </w:r>
            <w:r>
              <w:rPr>
                <w:webHidden/>
              </w:rPr>
              <w:t>14</w:t>
            </w:r>
            <w:r>
              <w:rPr>
                <w:webHidden/>
              </w:rPr>
              <w:fldChar w:fldCharType="end"/>
            </w:r>
          </w:hyperlink>
        </w:p>
        <w:p w14:paraId="3101E0BE" w14:textId="7A75DA7B" w:rsidR="00AB50EE" w:rsidRDefault="00AB50EE">
          <w:pPr>
            <w:pStyle w:val="TOC1"/>
            <w:rPr>
              <w:rFonts w:eastAsiaTheme="minorEastAsia"/>
              <w:b w:val="0"/>
              <w:bCs w:val="0"/>
              <w:sz w:val="22"/>
              <w:szCs w:val="22"/>
            </w:rPr>
          </w:pPr>
          <w:hyperlink w:anchor="_Toc1581489" w:history="1">
            <w:r w:rsidRPr="006A1C5D">
              <w:rPr>
                <w:rStyle w:val="Hyperlink"/>
                <w:lang w:val="ka-GE"/>
              </w:rPr>
              <w:t xml:space="preserve">4. </w:t>
            </w:r>
            <w:r w:rsidRPr="006A1C5D">
              <w:rPr>
                <w:rStyle w:val="Hyperlink"/>
                <w:rFonts w:ascii="Sylfaen" w:hAnsi="Sylfaen" w:cs="Sylfaen"/>
              </w:rPr>
              <w:t>პროექტის</w:t>
            </w:r>
            <w:r w:rsidRPr="006A1C5D">
              <w:rPr>
                <w:rStyle w:val="Hyperlink"/>
              </w:rPr>
              <w:t xml:space="preserve"> </w:t>
            </w:r>
            <w:r w:rsidRPr="006A1C5D">
              <w:rPr>
                <w:rStyle w:val="Hyperlink"/>
                <w:rFonts w:ascii="Sylfaen" w:hAnsi="Sylfaen" w:cs="Sylfaen"/>
              </w:rPr>
              <w:t>აღწერა</w:t>
            </w:r>
            <w:r>
              <w:rPr>
                <w:webHidden/>
              </w:rPr>
              <w:tab/>
            </w:r>
            <w:r>
              <w:rPr>
                <w:webHidden/>
              </w:rPr>
              <w:fldChar w:fldCharType="begin"/>
            </w:r>
            <w:r>
              <w:rPr>
                <w:webHidden/>
              </w:rPr>
              <w:instrText xml:space="preserve"> PAGEREF _Toc1581489 \h </w:instrText>
            </w:r>
            <w:r>
              <w:rPr>
                <w:webHidden/>
              </w:rPr>
            </w:r>
            <w:r>
              <w:rPr>
                <w:webHidden/>
              </w:rPr>
              <w:fldChar w:fldCharType="separate"/>
            </w:r>
            <w:r>
              <w:rPr>
                <w:webHidden/>
              </w:rPr>
              <w:t>16</w:t>
            </w:r>
            <w:r>
              <w:rPr>
                <w:webHidden/>
              </w:rPr>
              <w:fldChar w:fldCharType="end"/>
            </w:r>
          </w:hyperlink>
        </w:p>
        <w:p w14:paraId="3017A3A7" w14:textId="62F9D831" w:rsidR="00AB50EE" w:rsidRDefault="00AB50EE">
          <w:pPr>
            <w:pStyle w:val="TOC2"/>
            <w:rPr>
              <w:rFonts w:eastAsiaTheme="minorEastAsia"/>
              <w:bCs w:val="0"/>
            </w:rPr>
          </w:pPr>
          <w:hyperlink w:anchor="_Toc1581490" w:history="1">
            <w:r w:rsidRPr="006A1C5D">
              <w:rPr>
                <w:rStyle w:val="Hyperlink"/>
                <w:lang w:val="ka-GE"/>
              </w:rPr>
              <w:t xml:space="preserve">4.1 </w:t>
            </w:r>
            <w:r w:rsidRPr="006A1C5D">
              <w:rPr>
                <w:rStyle w:val="Hyperlink"/>
                <w:rFonts w:ascii="Sylfaen" w:hAnsi="Sylfaen" w:cs="Sylfaen"/>
                <w:lang w:val="ka-GE"/>
              </w:rPr>
              <w:t>კონცეპტუალური</w:t>
            </w:r>
            <w:r w:rsidRPr="006A1C5D">
              <w:rPr>
                <w:rStyle w:val="Hyperlink"/>
                <w:lang w:val="ka-GE"/>
              </w:rPr>
              <w:t xml:space="preserve"> </w:t>
            </w:r>
            <w:r w:rsidRPr="006A1C5D">
              <w:rPr>
                <w:rStyle w:val="Hyperlink"/>
                <w:rFonts w:ascii="Sylfaen" w:hAnsi="Sylfaen" w:cs="Sylfaen"/>
                <w:lang w:val="ka-GE"/>
              </w:rPr>
              <w:t>დიზაინის</w:t>
            </w:r>
            <w:r w:rsidRPr="006A1C5D">
              <w:rPr>
                <w:rStyle w:val="Hyperlink"/>
                <w:lang w:val="ka-GE"/>
              </w:rPr>
              <w:t xml:space="preserve"> </w:t>
            </w:r>
            <w:r w:rsidRPr="006A1C5D">
              <w:rPr>
                <w:rStyle w:val="Hyperlink"/>
                <w:rFonts w:ascii="Sylfaen" w:hAnsi="Sylfaen" w:cs="Sylfaen"/>
                <w:lang w:val="ka-GE"/>
              </w:rPr>
              <w:t>ვარიანტები</w:t>
            </w:r>
            <w:r>
              <w:rPr>
                <w:webHidden/>
              </w:rPr>
              <w:tab/>
            </w:r>
            <w:r>
              <w:rPr>
                <w:webHidden/>
              </w:rPr>
              <w:fldChar w:fldCharType="begin"/>
            </w:r>
            <w:r>
              <w:rPr>
                <w:webHidden/>
              </w:rPr>
              <w:instrText xml:space="preserve"> PAGEREF _Toc1581490 \h </w:instrText>
            </w:r>
            <w:r>
              <w:rPr>
                <w:webHidden/>
              </w:rPr>
            </w:r>
            <w:r>
              <w:rPr>
                <w:webHidden/>
              </w:rPr>
              <w:fldChar w:fldCharType="separate"/>
            </w:r>
            <w:r>
              <w:rPr>
                <w:webHidden/>
              </w:rPr>
              <w:t>17</w:t>
            </w:r>
            <w:r>
              <w:rPr>
                <w:webHidden/>
              </w:rPr>
              <w:fldChar w:fldCharType="end"/>
            </w:r>
          </w:hyperlink>
        </w:p>
        <w:p w14:paraId="15EE1437" w14:textId="465D4CD8" w:rsidR="00AB50EE" w:rsidRDefault="00AB50EE">
          <w:pPr>
            <w:pStyle w:val="TOC3"/>
            <w:tabs>
              <w:tab w:val="left" w:pos="1320"/>
              <w:tab w:val="right" w:leader="dot" w:pos="10430"/>
            </w:tabs>
            <w:rPr>
              <w:rFonts w:eastAsiaTheme="minorEastAsia"/>
              <w:noProof/>
            </w:rPr>
          </w:pPr>
          <w:hyperlink w:anchor="_Toc1581491" w:history="1">
            <w:r w:rsidRPr="006A1C5D">
              <w:rPr>
                <w:rStyle w:val="Hyperlink"/>
                <w:noProof/>
              </w:rPr>
              <w:t>4.1.</w:t>
            </w:r>
            <w:r w:rsidRPr="006A1C5D">
              <w:rPr>
                <w:rStyle w:val="Hyperlink"/>
                <w:noProof/>
                <w:lang w:val="ka-GE"/>
              </w:rPr>
              <w:t>1</w:t>
            </w:r>
            <w:r>
              <w:rPr>
                <w:rFonts w:eastAsiaTheme="minorEastAsia"/>
                <w:noProof/>
              </w:rPr>
              <w:tab/>
            </w:r>
            <w:r w:rsidRPr="006A1C5D">
              <w:rPr>
                <w:rStyle w:val="Hyperlink"/>
                <w:rFonts w:ascii="Sylfaen" w:hAnsi="Sylfaen" w:cs="Sylfaen"/>
                <w:noProof/>
              </w:rPr>
              <w:t>გზის</w:t>
            </w:r>
            <w:r w:rsidRPr="006A1C5D">
              <w:rPr>
                <w:rStyle w:val="Hyperlink"/>
                <w:noProof/>
              </w:rPr>
              <w:t xml:space="preserve"> </w:t>
            </w:r>
            <w:r w:rsidRPr="006A1C5D">
              <w:rPr>
                <w:rStyle w:val="Hyperlink"/>
                <w:rFonts w:ascii="Sylfaen" w:hAnsi="Sylfaen" w:cs="Sylfaen"/>
                <w:noProof/>
              </w:rPr>
              <w:t>გეომეტრიული</w:t>
            </w:r>
            <w:r w:rsidRPr="006A1C5D">
              <w:rPr>
                <w:rStyle w:val="Hyperlink"/>
                <w:noProof/>
              </w:rPr>
              <w:t xml:space="preserve"> </w:t>
            </w:r>
            <w:r w:rsidRPr="006A1C5D">
              <w:rPr>
                <w:rStyle w:val="Hyperlink"/>
                <w:rFonts w:ascii="Sylfaen" w:hAnsi="Sylfaen" w:cs="Sylfaen"/>
                <w:noProof/>
              </w:rPr>
              <w:t>დიზაინის</w:t>
            </w:r>
            <w:r w:rsidRPr="006A1C5D">
              <w:rPr>
                <w:rStyle w:val="Hyperlink"/>
                <w:noProof/>
              </w:rPr>
              <w:t xml:space="preserve"> </w:t>
            </w:r>
            <w:r w:rsidRPr="006A1C5D">
              <w:rPr>
                <w:rStyle w:val="Hyperlink"/>
                <w:rFonts w:ascii="Sylfaen" w:hAnsi="Sylfaen" w:cs="Sylfaen"/>
                <w:noProof/>
              </w:rPr>
              <w:t>სტანდარტი</w:t>
            </w:r>
            <w:r w:rsidRPr="006A1C5D">
              <w:rPr>
                <w:rStyle w:val="Hyperlink"/>
                <w:noProof/>
              </w:rPr>
              <w:t xml:space="preserve"> </w:t>
            </w:r>
            <w:r w:rsidRPr="006A1C5D">
              <w:rPr>
                <w:rStyle w:val="Hyperlink"/>
                <w:rFonts w:ascii="Sylfaen" w:hAnsi="Sylfaen" w:cs="Sylfaen"/>
                <w:noProof/>
              </w:rPr>
              <w:t>და</w:t>
            </w:r>
            <w:r w:rsidRPr="006A1C5D">
              <w:rPr>
                <w:rStyle w:val="Hyperlink"/>
                <w:noProof/>
              </w:rPr>
              <w:t xml:space="preserve"> </w:t>
            </w:r>
            <w:r w:rsidRPr="006A1C5D">
              <w:rPr>
                <w:rStyle w:val="Hyperlink"/>
                <w:rFonts w:ascii="Sylfaen" w:hAnsi="Sylfaen" w:cs="Sylfaen"/>
                <w:noProof/>
              </w:rPr>
              <w:t>პარამეტრი</w:t>
            </w:r>
            <w:r>
              <w:rPr>
                <w:noProof/>
                <w:webHidden/>
              </w:rPr>
              <w:tab/>
            </w:r>
            <w:r>
              <w:rPr>
                <w:noProof/>
                <w:webHidden/>
              </w:rPr>
              <w:fldChar w:fldCharType="begin"/>
            </w:r>
            <w:r>
              <w:rPr>
                <w:noProof/>
                <w:webHidden/>
              </w:rPr>
              <w:instrText xml:space="preserve"> PAGEREF _Toc1581491 \h </w:instrText>
            </w:r>
            <w:r>
              <w:rPr>
                <w:noProof/>
                <w:webHidden/>
              </w:rPr>
            </w:r>
            <w:r>
              <w:rPr>
                <w:noProof/>
                <w:webHidden/>
              </w:rPr>
              <w:fldChar w:fldCharType="separate"/>
            </w:r>
            <w:r>
              <w:rPr>
                <w:noProof/>
                <w:webHidden/>
              </w:rPr>
              <w:t>17</w:t>
            </w:r>
            <w:r>
              <w:rPr>
                <w:noProof/>
                <w:webHidden/>
              </w:rPr>
              <w:fldChar w:fldCharType="end"/>
            </w:r>
          </w:hyperlink>
        </w:p>
        <w:p w14:paraId="698A2D96" w14:textId="380EE9D5" w:rsidR="00AB50EE" w:rsidRDefault="00AB50EE">
          <w:pPr>
            <w:pStyle w:val="TOC2"/>
            <w:tabs>
              <w:tab w:val="left" w:pos="880"/>
            </w:tabs>
            <w:rPr>
              <w:rFonts w:eastAsiaTheme="minorEastAsia"/>
              <w:bCs w:val="0"/>
            </w:rPr>
          </w:pPr>
          <w:hyperlink w:anchor="_Toc1581492" w:history="1">
            <w:r w:rsidRPr="006A1C5D">
              <w:rPr>
                <w:rStyle w:val="Hyperlink"/>
              </w:rPr>
              <w:t>4.</w:t>
            </w:r>
            <w:r w:rsidRPr="006A1C5D">
              <w:rPr>
                <w:rStyle w:val="Hyperlink"/>
                <w:rFonts w:ascii="Sylfaen" w:hAnsi="Sylfaen"/>
                <w:lang w:val="ka-GE"/>
              </w:rPr>
              <w:t>2</w:t>
            </w:r>
            <w:r>
              <w:rPr>
                <w:rFonts w:eastAsiaTheme="minorEastAsia"/>
                <w:bCs w:val="0"/>
              </w:rPr>
              <w:tab/>
            </w:r>
            <w:r w:rsidRPr="006A1C5D">
              <w:rPr>
                <w:rStyle w:val="Hyperlink"/>
              </w:rPr>
              <w:t xml:space="preserve">   </w:t>
            </w:r>
            <w:r w:rsidRPr="006A1C5D">
              <w:rPr>
                <w:rStyle w:val="Hyperlink"/>
                <w:rFonts w:ascii="Sylfaen" w:hAnsi="Sylfaen" w:cs="Sylfaen"/>
              </w:rPr>
              <w:t>ხიდის</w:t>
            </w:r>
            <w:r w:rsidRPr="006A1C5D">
              <w:rPr>
                <w:rStyle w:val="Hyperlink"/>
              </w:rPr>
              <w:t xml:space="preserve"> </w:t>
            </w:r>
            <w:r w:rsidRPr="006A1C5D">
              <w:rPr>
                <w:rStyle w:val="Hyperlink"/>
                <w:rFonts w:ascii="Sylfaen" w:hAnsi="Sylfaen" w:cs="Sylfaen"/>
              </w:rPr>
              <w:t>დიზაინის</w:t>
            </w:r>
            <w:r w:rsidRPr="006A1C5D">
              <w:rPr>
                <w:rStyle w:val="Hyperlink"/>
              </w:rPr>
              <w:t xml:space="preserve"> </w:t>
            </w:r>
            <w:r w:rsidRPr="006A1C5D">
              <w:rPr>
                <w:rStyle w:val="Hyperlink"/>
                <w:rFonts w:ascii="Sylfaen" w:hAnsi="Sylfaen" w:cs="Sylfaen"/>
              </w:rPr>
              <w:t>კოდები</w:t>
            </w:r>
            <w:r w:rsidRPr="006A1C5D">
              <w:rPr>
                <w:rStyle w:val="Hyperlink"/>
              </w:rPr>
              <w:t xml:space="preserve"> </w:t>
            </w:r>
            <w:r w:rsidRPr="006A1C5D">
              <w:rPr>
                <w:rStyle w:val="Hyperlink"/>
                <w:rFonts w:ascii="Sylfaen" w:hAnsi="Sylfaen" w:cs="Sylfaen"/>
              </w:rPr>
              <w:t>და</w:t>
            </w:r>
            <w:r w:rsidRPr="006A1C5D">
              <w:rPr>
                <w:rStyle w:val="Hyperlink"/>
              </w:rPr>
              <w:t xml:space="preserve"> </w:t>
            </w:r>
            <w:r w:rsidRPr="006A1C5D">
              <w:rPr>
                <w:rStyle w:val="Hyperlink"/>
                <w:rFonts w:ascii="Sylfaen" w:hAnsi="Sylfaen" w:cs="Sylfaen"/>
              </w:rPr>
              <w:t>სტანდარტები</w:t>
            </w:r>
            <w:r>
              <w:rPr>
                <w:webHidden/>
              </w:rPr>
              <w:tab/>
            </w:r>
            <w:r>
              <w:rPr>
                <w:webHidden/>
              </w:rPr>
              <w:fldChar w:fldCharType="begin"/>
            </w:r>
            <w:r>
              <w:rPr>
                <w:webHidden/>
              </w:rPr>
              <w:instrText xml:space="preserve"> PAGEREF _Toc1581492 \h </w:instrText>
            </w:r>
            <w:r>
              <w:rPr>
                <w:webHidden/>
              </w:rPr>
            </w:r>
            <w:r>
              <w:rPr>
                <w:webHidden/>
              </w:rPr>
              <w:fldChar w:fldCharType="separate"/>
            </w:r>
            <w:r>
              <w:rPr>
                <w:webHidden/>
              </w:rPr>
              <w:t>20</w:t>
            </w:r>
            <w:r>
              <w:rPr>
                <w:webHidden/>
              </w:rPr>
              <w:fldChar w:fldCharType="end"/>
            </w:r>
          </w:hyperlink>
        </w:p>
        <w:p w14:paraId="7503C8C1" w14:textId="2DB6E2B6" w:rsidR="00AB50EE" w:rsidRDefault="00AB50EE">
          <w:pPr>
            <w:pStyle w:val="TOC2"/>
            <w:tabs>
              <w:tab w:val="left" w:pos="880"/>
            </w:tabs>
            <w:rPr>
              <w:rFonts w:eastAsiaTheme="minorEastAsia"/>
              <w:bCs w:val="0"/>
            </w:rPr>
          </w:pPr>
          <w:hyperlink w:anchor="_Toc1581493" w:history="1">
            <w:r w:rsidRPr="006A1C5D">
              <w:rPr>
                <w:rStyle w:val="Hyperlink"/>
                <w:lang w:val="ka-GE"/>
              </w:rPr>
              <w:t>4.</w:t>
            </w:r>
            <w:r w:rsidRPr="006A1C5D">
              <w:rPr>
                <w:rStyle w:val="Hyperlink"/>
                <w:rFonts w:ascii="Sylfaen" w:hAnsi="Sylfaen"/>
                <w:lang w:val="ka-GE"/>
              </w:rPr>
              <w:t>3</w:t>
            </w:r>
            <w:r>
              <w:rPr>
                <w:rFonts w:eastAsiaTheme="minorEastAsia"/>
                <w:bCs w:val="0"/>
              </w:rPr>
              <w:tab/>
            </w:r>
            <w:r w:rsidRPr="006A1C5D">
              <w:rPr>
                <w:rStyle w:val="Hyperlink"/>
                <w:rFonts w:ascii="Sylfaen" w:hAnsi="Sylfaen"/>
                <w:lang w:val="ka-GE"/>
              </w:rPr>
              <w:t>საგზაო სამოსის პროექტირების ნორმები</w:t>
            </w:r>
            <w:r>
              <w:rPr>
                <w:webHidden/>
              </w:rPr>
              <w:tab/>
            </w:r>
            <w:r>
              <w:rPr>
                <w:webHidden/>
              </w:rPr>
              <w:fldChar w:fldCharType="begin"/>
            </w:r>
            <w:r>
              <w:rPr>
                <w:webHidden/>
              </w:rPr>
              <w:instrText xml:space="preserve"> PAGEREF _Toc1581493 \h </w:instrText>
            </w:r>
            <w:r>
              <w:rPr>
                <w:webHidden/>
              </w:rPr>
            </w:r>
            <w:r>
              <w:rPr>
                <w:webHidden/>
              </w:rPr>
              <w:fldChar w:fldCharType="separate"/>
            </w:r>
            <w:r>
              <w:rPr>
                <w:webHidden/>
              </w:rPr>
              <w:t>25</w:t>
            </w:r>
            <w:r>
              <w:rPr>
                <w:webHidden/>
              </w:rPr>
              <w:fldChar w:fldCharType="end"/>
            </w:r>
          </w:hyperlink>
        </w:p>
        <w:p w14:paraId="2D397838" w14:textId="270CEDF3" w:rsidR="00AB50EE" w:rsidRDefault="00AB50EE">
          <w:pPr>
            <w:pStyle w:val="TOC2"/>
            <w:rPr>
              <w:rFonts w:eastAsiaTheme="minorEastAsia"/>
              <w:bCs w:val="0"/>
            </w:rPr>
          </w:pPr>
          <w:hyperlink w:anchor="_Toc1581494" w:history="1">
            <w:r w:rsidRPr="006A1C5D">
              <w:rPr>
                <w:rStyle w:val="Hyperlink"/>
                <w:rFonts w:ascii="Sylfaen" w:hAnsi="Sylfaen"/>
                <w:lang w:val="ka-GE"/>
              </w:rPr>
              <w:t>4.4 სადრენაჟე სისტემების პროექტირების ნორმები</w:t>
            </w:r>
            <w:r>
              <w:rPr>
                <w:webHidden/>
              </w:rPr>
              <w:tab/>
            </w:r>
            <w:r>
              <w:rPr>
                <w:webHidden/>
              </w:rPr>
              <w:fldChar w:fldCharType="begin"/>
            </w:r>
            <w:r>
              <w:rPr>
                <w:webHidden/>
              </w:rPr>
              <w:instrText xml:space="preserve"> PAGEREF _Toc1581494 \h </w:instrText>
            </w:r>
            <w:r>
              <w:rPr>
                <w:webHidden/>
              </w:rPr>
            </w:r>
            <w:r>
              <w:rPr>
                <w:webHidden/>
              </w:rPr>
              <w:fldChar w:fldCharType="separate"/>
            </w:r>
            <w:r>
              <w:rPr>
                <w:webHidden/>
              </w:rPr>
              <w:t>25</w:t>
            </w:r>
            <w:r>
              <w:rPr>
                <w:webHidden/>
              </w:rPr>
              <w:fldChar w:fldCharType="end"/>
            </w:r>
          </w:hyperlink>
        </w:p>
        <w:p w14:paraId="10C5C999" w14:textId="336127A4" w:rsidR="00AB50EE" w:rsidRDefault="00AB50EE">
          <w:pPr>
            <w:pStyle w:val="TOC2"/>
            <w:rPr>
              <w:rFonts w:eastAsiaTheme="minorEastAsia"/>
              <w:bCs w:val="0"/>
            </w:rPr>
          </w:pPr>
          <w:hyperlink w:anchor="_Toc1581495" w:history="1">
            <w:r w:rsidRPr="006A1C5D">
              <w:rPr>
                <w:rStyle w:val="Hyperlink"/>
              </w:rPr>
              <w:t xml:space="preserve">4.5 </w:t>
            </w:r>
            <w:r w:rsidRPr="006A1C5D">
              <w:rPr>
                <w:rStyle w:val="Hyperlink"/>
                <w:rFonts w:ascii="Sylfaen" w:hAnsi="Sylfaen"/>
                <w:lang w:val="ka-GE"/>
              </w:rPr>
              <w:t>გადახვევა პროექტირების ნორმებიდან</w:t>
            </w:r>
            <w:r>
              <w:rPr>
                <w:webHidden/>
              </w:rPr>
              <w:tab/>
            </w:r>
            <w:r>
              <w:rPr>
                <w:webHidden/>
              </w:rPr>
              <w:fldChar w:fldCharType="begin"/>
            </w:r>
            <w:r>
              <w:rPr>
                <w:webHidden/>
              </w:rPr>
              <w:instrText xml:space="preserve"> PAGEREF _Toc1581495 \h </w:instrText>
            </w:r>
            <w:r>
              <w:rPr>
                <w:webHidden/>
              </w:rPr>
            </w:r>
            <w:r>
              <w:rPr>
                <w:webHidden/>
              </w:rPr>
              <w:fldChar w:fldCharType="separate"/>
            </w:r>
            <w:r>
              <w:rPr>
                <w:webHidden/>
              </w:rPr>
              <w:t>26</w:t>
            </w:r>
            <w:r>
              <w:rPr>
                <w:webHidden/>
              </w:rPr>
              <w:fldChar w:fldCharType="end"/>
            </w:r>
          </w:hyperlink>
        </w:p>
        <w:p w14:paraId="0ED3B07A" w14:textId="425EBA5B" w:rsidR="00AB50EE" w:rsidRDefault="00AB50EE">
          <w:pPr>
            <w:pStyle w:val="TOC2"/>
            <w:rPr>
              <w:rFonts w:eastAsiaTheme="minorEastAsia"/>
              <w:bCs w:val="0"/>
            </w:rPr>
          </w:pPr>
          <w:hyperlink w:anchor="_Toc1581496" w:history="1">
            <w:r w:rsidRPr="006A1C5D">
              <w:rPr>
                <w:rStyle w:val="Hyperlink"/>
                <w:rFonts w:ascii="Sylfaen" w:hAnsi="Sylfaen"/>
                <w:lang w:val="ka-GE"/>
              </w:rPr>
              <w:t>4.6 არსებული საავტომობილო გზების ქსელი</w:t>
            </w:r>
            <w:r>
              <w:rPr>
                <w:webHidden/>
              </w:rPr>
              <w:tab/>
            </w:r>
            <w:r>
              <w:rPr>
                <w:webHidden/>
              </w:rPr>
              <w:fldChar w:fldCharType="begin"/>
            </w:r>
            <w:r>
              <w:rPr>
                <w:webHidden/>
              </w:rPr>
              <w:instrText xml:space="preserve"> PAGEREF _Toc1581496 \h </w:instrText>
            </w:r>
            <w:r>
              <w:rPr>
                <w:webHidden/>
              </w:rPr>
            </w:r>
            <w:r>
              <w:rPr>
                <w:webHidden/>
              </w:rPr>
              <w:fldChar w:fldCharType="separate"/>
            </w:r>
            <w:r>
              <w:rPr>
                <w:webHidden/>
              </w:rPr>
              <w:t>27</w:t>
            </w:r>
            <w:r>
              <w:rPr>
                <w:webHidden/>
              </w:rPr>
              <w:fldChar w:fldCharType="end"/>
            </w:r>
          </w:hyperlink>
        </w:p>
        <w:p w14:paraId="6A25ED24" w14:textId="5E0E0733" w:rsidR="00AB50EE" w:rsidRDefault="00AB50EE">
          <w:pPr>
            <w:pStyle w:val="TOC2"/>
            <w:rPr>
              <w:rFonts w:eastAsiaTheme="minorEastAsia"/>
              <w:bCs w:val="0"/>
            </w:rPr>
          </w:pPr>
          <w:hyperlink w:anchor="_Toc1581497" w:history="1">
            <w:r w:rsidRPr="006A1C5D">
              <w:rPr>
                <w:rStyle w:val="Hyperlink"/>
              </w:rPr>
              <w:t>4.</w:t>
            </w:r>
            <w:r w:rsidRPr="006A1C5D">
              <w:rPr>
                <w:rStyle w:val="Hyperlink"/>
                <w:lang w:val="ka-GE"/>
              </w:rPr>
              <w:t>7</w:t>
            </w:r>
            <w:r w:rsidRPr="006A1C5D">
              <w:rPr>
                <w:rStyle w:val="Hyperlink"/>
              </w:rPr>
              <w:t xml:space="preserve"> </w:t>
            </w:r>
            <w:r w:rsidRPr="006A1C5D">
              <w:rPr>
                <w:rStyle w:val="Hyperlink"/>
                <w:rFonts w:ascii="Sylfaen" w:hAnsi="Sylfaen" w:cs="Sylfaen"/>
              </w:rPr>
              <w:t>საგზაო</w:t>
            </w:r>
            <w:r w:rsidRPr="006A1C5D">
              <w:rPr>
                <w:rStyle w:val="Hyperlink"/>
              </w:rPr>
              <w:t xml:space="preserve"> </w:t>
            </w:r>
            <w:r w:rsidRPr="006A1C5D">
              <w:rPr>
                <w:rStyle w:val="Hyperlink"/>
                <w:rFonts w:ascii="Sylfaen" w:hAnsi="Sylfaen" w:cs="Sylfaen"/>
              </w:rPr>
              <w:t>მოძრაობის</w:t>
            </w:r>
            <w:r w:rsidRPr="006A1C5D">
              <w:rPr>
                <w:rStyle w:val="Hyperlink"/>
              </w:rPr>
              <w:t xml:space="preserve"> </w:t>
            </w:r>
            <w:r w:rsidRPr="006A1C5D">
              <w:rPr>
                <w:rStyle w:val="Hyperlink"/>
                <w:rFonts w:ascii="Sylfaen" w:hAnsi="Sylfaen" w:cs="Sylfaen"/>
              </w:rPr>
              <w:t>აღწერის</w:t>
            </w:r>
            <w:r w:rsidRPr="006A1C5D">
              <w:rPr>
                <w:rStyle w:val="Hyperlink"/>
              </w:rPr>
              <w:t xml:space="preserve"> </w:t>
            </w:r>
            <w:r w:rsidRPr="006A1C5D">
              <w:rPr>
                <w:rStyle w:val="Hyperlink"/>
                <w:rFonts w:ascii="Sylfaen" w:hAnsi="Sylfaen" w:cs="Sylfaen"/>
              </w:rPr>
              <w:t>მეთოდოლოგია</w:t>
            </w:r>
            <w:r>
              <w:rPr>
                <w:webHidden/>
              </w:rPr>
              <w:tab/>
            </w:r>
            <w:r>
              <w:rPr>
                <w:webHidden/>
              </w:rPr>
              <w:fldChar w:fldCharType="begin"/>
            </w:r>
            <w:r>
              <w:rPr>
                <w:webHidden/>
              </w:rPr>
              <w:instrText xml:space="preserve"> PAGEREF _Toc1581497 \h </w:instrText>
            </w:r>
            <w:r>
              <w:rPr>
                <w:webHidden/>
              </w:rPr>
            </w:r>
            <w:r>
              <w:rPr>
                <w:webHidden/>
              </w:rPr>
              <w:fldChar w:fldCharType="separate"/>
            </w:r>
            <w:r>
              <w:rPr>
                <w:webHidden/>
              </w:rPr>
              <w:t>27</w:t>
            </w:r>
            <w:r>
              <w:rPr>
                <w:webHidden/>
              </w:rPr>
              <w:fldChar w:fldCharType="end"/>
            </w:r>
          </w:hyperlink>
        </w:p>
        <w:p w14:paraId="4C078074" w14:textId="47FBB38B" w:rsidR="00AB50EE" w:rsidRDefault="00AB50EE">
          <w:pPr>
            <w:pStyle w:val="TOC3"/>
            <w:tabs>
              <w:tab w:val="right" w:leader="dot" w:pos="10430"/>
            </w:tabs>
            <w:rPr>
              <w:rFonts w:eastAsiaTheme="minorEastAsia"/>
              <w:noProof/>
            </w:rPr>
          </w:pPr>
          <w:hyperlink w:anchor="_Toc1581498" w:history="1">
            <w:r w:rsidRPr="006A1C5D">
              <w:rPr>
                <w:rStyle w:val="Hyperlink"/>
                <w:noProof/>
              </w:rPr>
              <w:t xml:space="preserve">4.7.1 </w:t>
            </w:r>
            <w:r w:rsidRPr="006A1C5D">
              <w:rPr>
                <w:rStyle w:val="Hyperlink"/>
                <w:rFonts w:ascii="Sylfaen" w:hAnsi="Sylfaen" w:cs="Sylfaen"/>
                <w:noProof/>
              </w:rPr>
              <w:t>საბაზისო</w:t>
            </w:r>
            <w:r w:rsidRPr="006A1C5D">
              <w:rPr>
                <w:rStyle w:val="Hyperlink"/>
                <w:noProof/>
              </w:rPr>
              <w:t xml:space="preserve"> (2017) </w:t>
            </w:r>
            <w:r w:rsidRPr="006A1C5D">
              <w:rPr>
                <w:rStyle w:val="Hyperlink"/>
                <w:rFonts w:ascii="Sylfaen" w:hAnsi="Sylfaen" w:cs="Sylfaen"/>
                <w:noProof/>
              </w:rPr>
              <w:t>წლის</w:t>
            </w:r>
            <w:r w:rsidRPr="006A1C5D">
              <w:rPr>
                <w:rStyle w:val="Hyperlink"/>
                <w:noProof/>
              </w:rPr>
              <w:t xml:space="preserve"> </w:t>
            </w:r>
            <w:r w:rsidRPr="006A1C5D">
              <w:rPr>
                <w:rStyle w:val="Hyperlink"/>
                <w:rFonts w:ascii="Sylfaen" w:hAnsi="Sylfaen" w:cs="Sylfaen"/>
                <w:noProof/>
              </w:rPr>
              <w:t>საგზაო</w:t>
            </w:r>
            <w:r w:rsidRPr="006A1C5D">
              <w:rPr>
                <w:rStyle w:val="Hyperlink"/>
                <w:noProof/>
              </w:rPr>
              <w:t xml:space="preserve"> </w:t>
            </w:r>
            <w:r w:rsidRPr="006A1C5D">
              <w:rPr>
                <w:rStyle w:val="Hyperlink"/>
                <w:rFonts w:ascii="Sylfaen" w:hAnsi="Sylfaen" w:cs="Sylfaen"/>
                <w:noProof/>
              </w:rPr>
              <w:t>მოძრაობა</w:t>
            </w:r>
            <w:r>
              <w:rPr>
                <w:noProof/>
                <w:webHidden/>
              </w:rPr>
              <w:tab/>
            </w:r>
            <w:r>
              <w:rPr>
                <w:noProof/>
                <w:webHidden/>
              </w:rPr>
              <w:fldChar w:fldCharType="begin"/>
            </w:r>
            <w:r>
              <w:rPr>
                <w:noProof/>
                <w:webHidden/>
              </w:rPr>
              <w:instrText xml:space="preserve"> PAGEREF _Toc1581498 \h </w:instrText>
            </w:r>
            <w:r>
              <w:rPr>
                <w:noProof/>
                <w:webHidden/>
              </w:rPr>
            </w:r>
            <w:r>
              <w:rPr>
                <w:noProof/>
                <w:webHidden/>
              </w:rPr>
              <w:fldChar w:fldCharType="separate"/>
            </w:r>
            <w:r>
              <w:rPr>
                <w:noProof/>
                <w:webHidden/>
              </w:rPr>
              <w:t>30</w:t>
            </w:r>
            <w:r>
              <w:rPr>
                <w:noProof/>
                <w:webHidden/>
              </w:rPr>
              <w:fldChar w:fldCharType="end"/>
            </w:r>
          </w:hyperlink>
        </w:p>
        <w:p w14:paraId="56D7BE14" w14:textId="709CE2F6" w:rsidR="00AB50EE" w:rsidRDefault="00AB50EE">
          <w:pPr>
            <w:pStyle w:val="TOC3"/>
            <w:tabs>
              <w:tab w:val="left" w:pos="1320"/>
              <w:tab w:val="right" w:leader="dot" w:pos="10430"/>
            </w:tabs>
            <w:rPr>
              <w:rFonts w:eastAsiaTheme="minorEastAsia"/>
              <w:noProof/>
            </w:rPr>
          </w:pPr>
          <w:hyperlink w:anchor="_Toc1581499" w:history="1">
            <w:r w:rsidRPr="006A1C5D">
              <w:rPr>
                <w:rStyle w:val="Hyperlink"/>
                <w:noProof/>
              </w:rPr>
              <w:t>4.</w:t>
            </w:r>
            <w:r w:rsidRPr="006A1C5D">
              <w:rPr>
                <w:rStyle w:val="Hyperlink"/>
                <w:noProof/>
                <w:lang w:val="ka-GE"/>
              </w:rPr>
              <w:t>7</w:t>
            </w:r>
            <w:r w:rsidRPr="006A1C5D">
              <w:rPr>
                <w:rStyle w:val="Hyperlink"/>
                <w:noProof/>
              </w:rPr>
              <w:t>.</w:t>
            </w:r>
            <w:r w:rsidRPr="006A1C5D">
              <w:rPr>
                <w:rStyle w:val="Hyperlink"/>
                <w:noProof/>
                <w:lang w:val="ka-GE"/>
              </w:rPr>
              <w:t>2</w:t>
            </w:r>
            <w:r w:rsidRPr="006A1C5D">
              <w:rPr>
                <w:rStyle w:val="Hyperlink"/>
                <w:noProof/>
              </w:rPr>
              <w:t>.</w:t>
            </w:r>
            <w:r>
              <w:rPr>
                <w:rFonts w:eastAsiaTheme="minorEastAsia"/>
                <w:noProof/>
              </w:rPr>
              <w:tab/>
            </w:r>
            <w:r w:rsidRPr="006A1C5D">
              <w:rPr>
                <w:rStyle w:val="Hyperlink"/>
                <w:rFonts w:ascii="Sylfaen" w:hAnsi="Sylfaen" w:cs="Sylfaen"/>
                <w:noProof/>
              </w:rPr>
              <w:t>საგზაო</w:t>
            </w:r>
            <w:r w:rsidRPr="006A1C5D">
              <w:rPr>
                <w:rStyle w:val="Hyperlink"/>
                <w:noProof/>
              </w:rPr>
              <w:t xml:space="preserve"> </w:t>
            </w:r>
            <w:r w:rsidRPr="006A1C5D">
              <w:rPr>
                <w:rStyle w:val="Hyperlink"/>
                <w:rFonts w:ascii="Sylfaen" w:hAnsi="Sylfaen" w:cs="Sylfaen"/>
                <w:noProof/>
              </w:rPr>
              <w:t>მოძრაობის</w:t>
            </w:r>
            <w:r w:rsidRPr="006A1C5D">
              <w:rPr>
                <w:rStyle w:val="Hyperlink"/>
                <w:noProof/>
              </w:rPr>
              <w:t xml:space="preserve"> </w:t>
            </w:r>
            <w:r w:rsidRPr="006A1C5D">
              <w:rPr>
                <w:rStyle w:val="Hyperlink"/>
                <w:rFonts w:ascii="Sylfaen" w:hAnsi="Sylfaen" w:cs="Sylfaen"/>
                <w:noProof/>
              </w:rPr>
              <w:t>ინტენსიურობის</w:t>
            </w:r>
            <w:r w:rsidRPr="006A1C5D">
              <w:rPr>
                <w:rStyle w:val="Hyperlink"/>
                <w:noProof/>
              </w:rPr>
              <w:t xml:space="preserve"> </w:t>
            </w:r>
            <w:r w:rsidRPr="006A1C5D">
              <w:rPr>
                <w:rStyle w:val="Hyperlink"/>
                <w:rFonts w:ascii="Sylfaen" w:hAnsi="Sylfaen" w:cs="Sylfaen"/>
                <w:noProof/>
              </w:rPr>
              <w:t>ზრდა</w:t>
            </w:r>
            <w:r>
              <w:rPr>
                <w:noProof/>
                <w:webHidden/>
              </w:rPr>
              <w:tab/>
            </w:r>
            <w:r>
              <w:rPr>
                <w:noProof/>
                <w:webHidden/>
              </w:rPr>
              <w:fldChar w:fldCharType="begin"/>
            </w:r>
            <w:r>
              <w:rPr>
                <w:noProof/>
                <w:webHidden/>
              </w:rPr>
              <w:instrText xml:space="preserve"> PAGEREF _Toc1581499 \h </w:instrText>
            </w:r>
            <w:r>
              <w:rPr>
                <w:noProof/>
                <w:webHidden/>
              </w:rPr>
            </w:r>
            <w:r>
              <w:rPr>
                <w:noProof/>
                <w:webHidden/>
              </w:rPr>
              <w:fldChar w:fldCharType="separate"/>
            </w:r>
            <w:r>
              <w:rPr>
                <w:noProof/>
                <w:webHidden/>
              </w:rPr>
              <w:t>32</w:t>
            </w:r>
            <w:r>
              <w:rPr>
                <w:noProof/>
                <w:webHidden/>
              </w:rPr>
              <w:fldChar w:fldCharType="end"/>
            </w:r>
          </w:hyperlink>
        </w:p>
        <w:p w14:paraId="2DA3DA3C" w14:textId="69E6FC66" w:rsidR="00AB50EE" w:rsidRDefault="00AB50EE">
          <w:pPr>
            <w:pStyle w:val="TOC3"/>
            <w:tabs>
              <w:tab w:val="left" w:pos="1320"/>
              <w:tab w:val="right" w:leader="dot" w:pos="10430"/>
            </w:tabs>
            <w:rPr>
              <w:rFonts w:eastAsiaTheme="minorEastAsia"/>
              <w:noProof/>
            </w:rPr>
          </w:pPr>
          <w:hyperlink w:anchor="_Toc1581500" w:history="1">
            <w:r w:rsidRPr="006A1C5D">
              <w:rPr>
                <w:rStyle w:val="Hyperlink"/>
                <w:noProof/>
              </w:rPr>
              <w:t>4.</w:t>
            </w:r>
            <w:r w:rsidRPr="006A1C5D">
              <w:rPr>
                <w:rStyle w:val="Hyperlink"/>
                <w:rFonts w:ascii="Sylfaen" w:hAnsi="Sylfaen"/>
                <w:noProof/>
                <w:lang w:val="ka-GE"/>
              </w:rPr>
              <w:t>7.3</w:t>
            </w:r>
            <w:r>
              <w:rPr>
                <w:rFonts w:eastAsiaTheme="minorEastAsia"/>
                <w:noProof/>
              </w:rPr>
              <w:tab/>
            </w:r>
            <w:r w:rsidRPr="006A1C5D">
              <w:rPr>
                <w:rStyle w:val="Hyperlink"/>
                <w:rFonts w:ascii="Sylfaen" w:hAnsi="Sylfaen" w:cs="Sylfaen"/>
                <w:noProof/>
              </w:rPr>
              <w:t>შემოთავაზებული</w:t>
            </w:r>
            <w:r w:rsidRPr="006A1C5D">
              <w:rPr>
                <w:rStyle w:val="Hyperlink"/>
                <w:noProof/>
              </w:rPr>
              <w:t xml:space="preserve"> </w:t>
            </w:r>
            <w:r w:rsidRPr="006A1C5D">
              <w:rPr>
                <w:rStyle w:val="Hyperlink"/>
                <w:rFonts w:ascii="Sylfaen" w:hAnsi="Sylfaen" w:cs="Sylfaen"/>
                <w:noProof/>
              </w:rPr>
              <w:t>ახალი</w:t>
            </w:r>
            <w:r w:rsidRPr="006A1C5D">
              <w:rPr>
                <w:rStyle w:val="Hyperlink"/>
                <w:noProof/>
              </w:rPr>
              <w:t xml:space="preserve"> (</w:t>
            </w:r>
            <w:r w:rsidRPr="006A1C5D">
              <w:rPr>
                <w:rStyle w:val="Hyperlink"/>
                <w:rFonts w:ascii="Sylfaen" w:hAnsi="Sylfaen" w:cs="Sylfaen"/>
                <w:noProof/>
              </w:rPr>
              <w:t>აცდენილი</w:t>
            </w:r>
            <w:r w:rsidRPr="006A1C5D">
              <w:rPr>
                <w:rStyle w:val="Hyperlink"/>
                <w:noProof/>
              </w:rPr>
              <w:t xml:space="preserve">) </w:t>
            </w:r>
            <w:r w:rsidRPr="006A1C5D">
              <w:rPr>
                <w:rStyle w:val="Hyperlink"/>
                <w:rFonts w:ascii="Sylfaen" w:hAnsi="Sylfaen" w:cs="Sylfaen"/>
                <w:noProof/>
              </w:rPr>
              <w:t>სქემა</w:t>
            </w:r>
            <w:r w:rsidRPr="006A1C5D">
              <w:rPr>
                <w:rStyle w:val="Hyperlink"/>
                <w:noProof/>
              </w:rPr>
              <w:t xml:space="preserve">: </w:t>
            </w:r>
            <w:r w:rsidRPr="006A1C5D">
              <w:rPr>
                <w:rStyle w:val="Hyperlink"/>
                <w:rFonts w:ascii="Sylfaen" w:hAnsi="Sylfaen" w:cs="Sylfaen"/>
                <w:noProof/>
              </w:rPr>
              <w:t>თელავი</w:t>
            </w:r>
            <w:r w:rsidRPr="006A1C5D">
              <w:rPr>
                <w:rStyle w:val="Hyperlink"/>
                <w:noProof/>
              </w:rPr>
              <w:t>-</w:t>
            </w:r>
            <w:r w:rsidRPr="006A1C5D">
              <w:rPr>
                <w:rStyle w:val="Hyperlink"/>
                <w:rFonts w:ascii="Sylfaen" w:hAnsi="Sylfaen" w:cs="Sylfaen"/>
                <w:noProof/>
              </w:rPr>
              <w:t>ბაკურციხე</w:t>
            </w:r>
            <w:r w:rsidRPr="006A1C5D">
              <w:rPr>
                <w:rStyle w:val="Hyperlink"/>
                <w:noProof/>
              </w:rPr>
              <w:t>-</w:t>
            </w:r>
            <w:r w:rsidRPr="006A1C5D">
              <w:rPr>
                <w:rStyle w:val="Hyperlink"/>
                <w:rFonts w:ascii="Sylfaen" w:hAnsi="Sylfaen" w:cs="Sylfaen"/>
                <w:noProof/>
              </w:rPr>
              <w:t>წნორი</w:t>
            </w:r>
            <w:r>
              <w:rPr>
                <w:noProof/>
                <w:webHidden/>
              </w:rPr>
              <w:tab/>
            </w:r>
            <w:r>
              <w:rPr>
                <w:noProof/>
                <w:webHidden/>
              </w:rPr>
              <w:fldChar w:fldCharType="begin"/>
            </w:r>
            <w:r>
              <w:rPr>
                <w:noProof/>
                <w:webHidden/>
              </w:rPr>
              <w:instrText xml:space="preserve"> PAGEREF _Toc1581500 \h </w:instrText>
            </w:r>
            <w:r>
              <w:rPr>
                <w:noProof/>
                <w:webHidden/>
              </w:rPr>
            </w:r>
            <w:r>
              <w:rPr>
                <w:noProof/>
                <w:webHidden/>
              </w:rPr>
              <w:fldChar w:fldCharType="separate"/>
            </w:r>
            <w:r>
              <w:rPr>
                <w:noProof/>
                <w:webHidden/>
              </w:rPr>
              <w:t>33</w:t>
            </w:r>
            <w:r>
              <w:rPr>
                <w:noProof/>
                <w:webHidden/>
              </w:rPr>
              <w:fldChar w:fldCharType="end"/>
            </w:r>
          </w:hyperlink>
        </w:p>
        <w:p w14:paraId="01F808E4" w14:textId="71172FEB" w:rsidR="00AB50EE" w:rsidRDefault="00AB50EE">
          <w:pPr>
            <w:pStyle w:val="TOC3"/>
            <w:tabs>
              <w:tab w:val="left" w:pos="1320"/>
              <w:tab w:val="right" w:leader="dot" w:pos="10430"/>
            </w:tabs>
            <w:rPr>
              <w:rFonts w:eastAsiaTheme="minorEastAsia"/>
              <w:noProof/>
            </w:rPr>
          </w:pPr>
          <w:hyperlink w:anchor="_Toc1581501" w:history="1">
            <w:r w:rsidRPr="006A1C5D">
              <w:rPr>
                <w:rStyle w:val="Hyperlink"/>
                <w:noProof/>
              </w:rPr>
              <w:t>4.</w:t>
            </w:r>
            <w:r w:rsidRPr="006A1C5D">
              <w:rPr>
                <w:rStyle w:val="Hyperlink"/>
                <w:rFonts w:ascii="Sylfaen" w:hAnsi="Sylfaen"/>
                <w:noProof/>
                <w:lang w:val="ka-GE"/>
              </w:rPr>
              <w:t>7.4</w:t>
            </w:r>
            <w:r>
              <w:rPr>
                <w:rFonts w:eastAsiaTheme="minorEastAsia"/>
                <w:noProof/>
              </w:rPr>
              <w:tab/>
            </w:r>
            <w:r w:rsidRPr="006A1C5D">
              <w:rPr>
                <w:rStyle w:val="Hyperlink"/>
                <w:rFonts w:ascii="Sylfaen" w:hAnsi="Sylfaen" w:cs="Sylfaen"/>
                <w:noProof/>
              </w:rPr>
              <w:t>საგზაო</w:t>
            </w:r>
            <w:r w:rsidRPr="006A1C5D">
              <w:rPr>
                <w:rStyle w:val="Hyperlink"/>
                <w:noProof/>
              </w:rPr>
              <w:t xml:space="preserve"> </w:t>
            </w:r>
            <w:r w:rsidRPr="006A1C5D">
              <w:rPr>
                <w:rStyle w:val="Hyperlink"/>
                <w:rFonts w:ascii="Sylfaen" w:hAnsi="Sylfaen" w:cs="Sylfaen"/>
                <w:noProof/>
              </w:rPr>
              <w:t>მოძრაობის</w:t>
            </w:r>
            <w:r w:rsidRPr="006A1C5D">
              <w:rPr>
                <w:rStyle w:val="Hyperlink"/>
                <w:noProof/>
              </w:rPr>
              <w:t xml:space="preserve"> </w:t>
            </w:r>
            <w:r w:rsidRPr="006A1C5D">
              <w:rPr>
                <w:rStyle w:val="Hyperlink"/>
                <w:rFonts w:ascii="Sylfaen" w:hAnsi="Sylfaen" w:cs="Sylfaen"/>
                <w:noProof/>
              </w:rPr>
              <w:t>მოდელირება</w:t>
            </w:r>
            <w:r>
              <w:rPr>
                <w:noProof/>
                <w:webHidden/>
              </w:rPr>
              <w:tab/>
            </w:r>
            <w:r>
              <w:rPr>
                <w:noProof/>
                <w:webHidden/>
              </w:rPr>
              <w:fldChar w:fldCharType="begin"/>
            </w:r>
            <w:r>
              <w:rPr>
                <w:noProof/>
                <w:webHidden/>
              </w:rPr>
              <w:instrText xml:space="preserve"> PAGEREF _Toc1581501 \h </w:instrText>
            </w:r>
            <w:r>
              <w:rPr>
                <w:noProof/>
                <w:webHidden/>
              </w:rPr>
            </w:r>
            <w:r>
              <w:rPr>
                <w:noProof/>
                <w:webHidden/>
              </w:rPr>
              <w:fldChar w:fldCharType="separate"/>
            </w:r>
            <w:r>
              <w:rPr>
                <w:noProof/>
                <w:webHidden/>
              </w:rPr>
              <w:t>33</w:t>
            </w:r>
            <w:r>
              <w:rPr>
                <w:noProof/>
                <w:webHidden/>
              </w:rPr>
              <w:fldChar w:fldCharType="end"/>
            </w:r>
          </w:hyperlink>
        </w:p>
        <w:p w14:paraId="2379C52F" w14:textId="3B1973C0" w:rsidR="00AB50EE" w:rsidRDefault="00AB50EE">
          <w:pPr>
            <w:pStyle w:val="TOC3"/>
            <w:tabs>
              <w:tab w:val="left" w:pos="1320"/>
              <w:tab w:val="right" w:leader="dot" w:pos="10430"/>
            </w:tabs>
            <w:rPr>
              <w:rFonts w:eastAsiaTheme="minorEastAsia"/>
              <w:noProof/>
            </w:rPr>
          </w:pPr>
          <w:hyperlink w:anchor="_Toc1581502" w:history="1">
            <w:r w:rsidRPr="006A1C5D">
              <w:rPr>
                <w:rStyle w:val="Hyperlink"/>
                <w:noProof/>
              </w:rPr>
              <w:t>4.7</w:t>
            </w:r>
            <w:r w:rsidRPr="006A1C5D">
              <w:rPr>
                <w:rStyle w:val="Hyperlink"/>
                <w:noProof/>
                <w:lang w:val="ka-GE"/>
              </w:rPr>
              <w:t>.5</w:t>
            </w:r>
            <w:r>
              <w:rPr>
                <w:rFonts w:eastAsiaTheme="minorEastAsia"/>
                <w:noProof/>
              </w:rPr>
              <w:tab/>
            </w:r>
            <w:r w:rsidRPr="006A1C5D">
              <w:rPr>
                <w:rStyle w:val="Hyperlink"/>
                <w:rFonts w:ascii="Sylfaen" w:hAnsi="Sylfaen" w:cs="Sylfaen"/>
                <w:noProof/>
              </w:rPr>
              <w:t>გენერირებული</w:t>
            </w:r>
            <w:r w:rsidRPr="006A1C5D">
              <w:rPr>
                <w:rStyle w:val="Hyperlink"/>
                <w:noProof/>
              </w:rPr>
              <w:t xml:space="preserve"> </w:t>
            </w:r>
            <w:r w:rsidRPr="006A1C5D">
              <w:rPr>
                <w:rStyle w:val="Hyperlink"/>
                <w:rFonts w:ascii="Sylfaen" w:hAnsi="Sylfaen" w:cs="Sylfaen"/>
                <w:noProof/>
              </w:rPr>
              <w:t>სატრანსპორტო</w:t>
            </w:r>
            <w:r w:rsidRPr="006A1C5D">
              <w:rPr>
                <w:rStyle w:val="Hyperlink"/>
                <w:noProof/>
              </w:rPr>
              <w:t xml:space="preserve"> </w:t>
            </w:r>
            <w:r w:rsidRPr="006A1C5D">
              <w:rPr>
                <w:rStyle w:val="Hyperlink"/>
                <w:rFonts w:ascii="Sylfaen" w:hAnsi="Sylfaen" w:cs="Sylfaen"/>
                <w:noProof/>
              </w:rPr>
              <w:t>ნაკადი</w:t>
            </w:r>
            <w:r>
              <w:rPr>
                <w:noProof/>
                <w:webHidden/>
              </w:rPr>
              <w:tab/>
            </w:r>
            <w:r>
              <w:rPr>
                <w:noProof/>
                <w:webHidden/>
              </w:rPr>
              <w:fldChar w:fldCharType="begin"/>
            </w:r>
            <w:r>
              <w:rPr>
                <w:noProof/>
                <w:webHidden/>
              </w:rPr>
              <w:instrText xml:space="preserve"> PAGEREF _Toc1581502 \h </w:instrText>
            </w:r>
            <w:r>
              <w:rPr>
                <w:noProof/>
                <w:webHidden/>
              </w:rPr>
            </w:r>
            <w:r>
              <w:rPr>
                <w:noProof/>
                <w:webHidden/>
              </w:rPr>
              <w:fldChar w:fldCharType="separate"/>
            </w:r>
            <w:r>
              <w:rPr>
                <w:noProof/>
                <w:webHidden/>
              </w:rPr>
              <w:t>36</w:t>
            </w:r>
            <w:r>
              <w:rPr>
                <w:noProof/>
                <w:webHidden/>
              </w:rPr>
              <w:fldChar w:fldCharType="end"/>
            </w:r>
          </w:hyperlink>
        </w:p>
        <w:p w14:paraId="118E51F4" w14:textId="7717EDA3" w:rsidR="00AB50EE" w:rsidRDefault="00AB50EE">
          <w:pPr>
            <w:pStyle w:val="TOC3"/>
            <w:tabs>
              <w:tab w:val="left" w:pos="1320"/>
              <w:tab w:val="right" w:leader="dot" w:pos="10430"/>
            </w:tabs>
            <w:rPr>
              <w:rFonts w:eastAsiaTheme="minorEastAsia"/>
              <w:noProof/>
            </w:rPr>
          </w:pPr>
          <w:hyperlink w:anchor="_Toc1581503" w:history="1">
            <w:r w:rsidRPr="006A1C5D">
              <w:rPr>
                <w:rStyle w:val="Hyperlink"/>
                <w:noProof/>
              </w:rPr>
              <w:t>4.</w:t>
            </w:r>
            <w:r w:rsidRPr="006A1C5D">
              <w:rPr>
                <w:rStyle w:val="Hyperlink"/>
                <w:noProof/>
                <w:lang w:val="ka-GE"/>
              </w:rPr>
              <w:t>7.6</w:t>
            </w:r>
            <w:r>
              <w:rPr>
                <w:rFonts w:eastAsiaTheme="minorEastAsia"/>
                <w:noProof/>
              </w:rPr>
              <w:tab/>
            </w:r>
            <w:r w:rsidRPr="006A1C5D">
              <w:rPr>
                <w:rStyle w:val="Hyperlink"/>
                <w:rFonts w:ascii="Sylfaen" w:hAnsi="Sylfaen" w:cs="Sylfaen"/>
                <w:noProof/>
              </w:rPr>
              <w:t>პროგნოზული</w:t>
            </w:r>
            <w:r w:rsidRPr="006A1C5D">
              <w:rPr>
                <w:rStyle w:val="Hyperlink"/>
                <w:noProof/>
              </w:rPr>
              <w:t xml:space="preserve"> </w:t>
            </w:r>
            <w:r w:rsidRPr="006A1C5D">
              <w:rPr>
                <w:rStyle w:val="Hyperlink"/>
                <w:rFonts w:ascii="Sylfaen" w:hAnsi="Sylfaen" w:cs="Sylfaen"/>
                <w:noProof/>
              </w:rPr>
              <w:t>სატრანსპორტო</w:t>
            </w:r>
            <w:r w:rsidRPr="006A1C5D">
              <w:rPr>
                <w:rStyle w:val="Hyperlink"/>
                <w:noProof/>
              </w:rPr>
              <w:t xml:space="preserve"> </w:t>
            </w:r>
            <w:r w:rsidRPr="006A1C5D">
              <w:rPr>
                <w:rStyle w:val="Hyperlink"/>
                <w:rFonts w:ascii="Sylfaen" w:hAnsi="Sylfaen" w:cs="Sylfaen"/>
                <w:noProof/>
              </w:rPr>
              <w:t>ნაკადები</w:t>
            </w:r>
            <w:r>
              <w:rPr>
                <w:noProof/>
                <w:webHidden/>
              </w:rPr>
              <w:tab/>
            </w:r>
            <w:r>
              <w:rPr>
                <w:noProof/>
                <w:webHidden/>
              </w:rPr>
              <w:fldChar w:fldCharType="begin"/>
            </w:r>
            <w:r>
              <w:rPr>
                <w:noProof/>
                <w:webHidden/>
              </w:rPr>
              <w:instrText xml:space="preserve"> PAGEREF _Toc1581503 \h </w:instrText>
            </w:r>
            <w:r>
              <w:rPr>
                <w:noProof/>
                <w:webHidden/>
              </w:rPr>
            </w:r>
            <w:r>
              <w:rPr>
                <w:noProof/>
                <w:webHidden/>
              </w:rPr>
              <w:fldChar w:fldCharType="separate"/>
            </w:r>
            <w:r>
              <w:rPr>
                <w:noProof/>
                <w:webHidden/>
              </w:rPr>
              <w:t>36</w:t>
            </w:r>
            <w:r>
              <w:rPr>
                <w:noProof/>
                <w:webHidden/>
              </w:rPr>
              <w:fldChar w:fldCharType="end"/>
            </w:r>
          </w:hyperlink>
        </w:p>
        <w:p w14:paraId="1BEAB8C3" w14:textId="4E7CF067" w:rsidR="00AB50EE" w:rsidRDefault="00AB50EE">
          <w:pPr>
            <w:pStyle w:val="TOC2"/>
            <w:tabs>
              <w:tab w:val="left" w:pos="880"/>
            </w:tabs>
            <w:rPr>
              <w:rFonts w:eastAsiaTheme="minorEastAsia"/>
              <w:bCs w:val="0"/>
            </w:rPr>
          </w:pPr>
          <w:hyperlink w:anchor="_Toc1581504" w:history="1">
            <w:r w:rsidRPr="006A1C5D">
              <w:rPr>
                <w:rStyle w:val="Hyperlink"/>
                <w:rFonts w:eastAsiaTheme="majorEastAsia"/>
              </w:rPr>
              <w:t>4.</w:t>
            </w:r>
            <w:r w:rsidRPr="006A1C5D">
              <w:rPr>
                <w:rStyle w:val="Hyperlink"/>
                <w:rFonts w:ascii="Sylfaen" w:eastAsiaTheme="majorEastAsia" w:hAnsi="Sylfaen"/>
                <w:lang w:val="ka-GE"/>
              </w:rPr>
              <w:t>8</w:t>
            </w:r>
            <w:r>
              <w:rPr>
                <w:rFonts w:eastAsiaTheme="minorEastAsia"/>
                <w:bCs w:val="0"/>
              </w:rPr>
              <w:tab/>
            </w:r>
            <w:r w:rsidRPr="006A1C5D">
              <w:rPr>
                <w:rStyle w:val="Hyperlink"/>
                <w:rFonts w:ascii="Sylfaen" w:eastAsiaTheme="majorEastAsia" w:hAnsi="Sylfaen" w:cs="Sylfaen"/>
              </w:rPr>
              <w:t>საირიგაციო</w:t>
            </w:r>
            <w:r w:rsidRPr="006A1C5D">
              <w:rPr>
                <w:rStyle w:val="Hyperlink"/>
                <w:rFonts w:eastAsiaTheme="majorEastAsia"/>
              </w:rPr>
              <w:t xml:space="preserve"> </w:t>
            </w:r>
            <w:r w:rsidRPr="006A1C5D">
              <w:rPr>
                <w:rStyle w:val="Hyperlink"/>
                <w:rFonts w:ascii="Sylfaen" w:eastAsiaTheme="majorEastAsia" w:hAnsi="Sylfaen" w:cs="Sylfaen"/>
              </w:rPr>
              <w:t>ნაგებობების</w:t>
            </w:r>
            <w:r w:rsidRPr="006A1C5D">
              <w:rPr>
                <w:rStyle w:val="Hyperlink"/>
                <w:rFonts w:eastAsiaTheme="majorEastAsia"/>
              </w:rPr>
              <w:t xml:space="preserve"> </w:t>
            </w:r>
            <w:r w:rsidRPr="006A1C5D">
              <w:rPr>
                <w:rStyle w:val="Hyperlink"/>
                <w:rFonts w:ascii="Sylfaen" w:eastAsiaTheme="majorEastAsia" w:hAnsi="Sylfaen" w:cs="Sylfaen"/>
              </w:rPr>
              <w:t>დაპროექტება</w:t>
            </w:r>
            <w:r>
              <w:rPr>
                <w:webHidden/>
              </w:rPr>
              <w:tab/>
            </w:r>
            <w:r>
              <w:rPr>
                <w:webHidden/>
              </w:rPr>
              <w:fldChar w:fldCharType="begin"/>
            </w:r>
            <w:r>
              <w:rPr>
                <w:webHidden/>
              </w:rPr>
              <w:instrText xml:space="preserve"> PAGEREF _Toc1581504 \h </w:instrText>
            </w:r>
            <w:r>
              <w:rPr>
                <w:webHidden/>
              </w:rPr>
            </w:r>
            <w:r>
              <w:rPr>
                <w:webHidden/>
              </w:rPr>
              <w:fldChar w:fldCharType="separate"/>
            </w:r>
            <w:r>
              <w:rPr>
                <w:webHidden/>
              </w:rPr>
              <w:t>38</w:t>
            </w:r>
            <w:r>
              <w:rPr>
                <w:webHidden/>
              </w:rPr>
              <w:fldChar w:fldCharType="end"/>
            </w:r>
          </w:hyperlink>
        </w:p>
        <w:p w14:paraId="16BED062" w14:textId="189FBFA9" w:rsidR="00AB50EE" w:rsidRDefault="00AB50EE">
          <w:pPr>
            <w:pStyle w:val="TOC3"/>
            <w:tabs>
              <w:tab w:val="left" w:pos="1320"/>
              <w:tab w:val="right" w:leader="dot" w:pos="10430"/>
            </w:tabs>
            <w:rPr>
              <w:rFonts w:eastAsiaTheme="minorEastAsia"/>
              <w:noProof/>
            </w:rPr>
          </w:pPr>
          <w:hyperlink w:anchor="_Toc1581505" w:history="1">
            <w:r w:rsidRPr="006A1C5D">
              <w:rPr>
                <w:rStyle w:val="Hyperlink"/>
                <w:noProof/>
              </w:rPr>
              <w:t>4.</w:t>
            </w:r>
            <w:r w:rsidRPr="006A1C5D">
              <w:rPr>
                <w:rStyle w:val="Hyperlink"/>
                <w:rFonts w:ascii="Sylfaen" w:hAnsi="Sylfaen"/>
                <w:noProof/>
                <w:lang w:val="ka-GE"/>
              </w:rPr>
              <w:t>8</w:t>
            </w:r>
            <w:r w:rsidRPr="006A1C5D">
              <w:rPr>
                <w:rStyle w:val="Hyperlink"/>
                <w:noProof/>
              </w:rPr>
              <w:t>.1</w:t>
            </w:r>
            <w:r>
              <w:rPr>
                <w:rFonts w:eastAsiaTheme="minorEastAsia"/>
                <w:noProof/>
              </w:rPr>
              <w:tab/>
            </w:r>
            <w:r w:rsidRPr="006A1C5D">
              <w:rPr>
                <w:rStyle w:val="Hyperlink"/>
                <w:rFonts w:ascii="Sylfaen" w:hAnsi="Sylfaen" w:cs="Sylfaen"/>
                <w:noProof/>
              </w:rPr>
              <w:t>არსებული</w:t>
            </w:r>
            <w:r w:rsidRPr="006A1C5D">
              <w:rPr>
                <w:rStyle w:val="Hyperlink"/>
                <w:noProof/>
              </w:rPr>
              <w:t xml:space="preserve"> </w:t>
            </w:r>
            <w:r w:rsidRPr="006A1C5D">
              <w:rPr>
                <w:rStyle w:val="Hyperlink"/>
                <w:rFonts w:ascii="Sylfaen" w:hAnsi="Sylfaen" w:cs="Sylfaen"/>
                <w:noProof/>
              </w:rPr>
              <w:t>მდგომარეობა</w:t>
            </w:r>
            <w:r>
              <w:rPr>
                <w:noProof/>
                <w:webHidden/>
              </w:rPr>
              <w:tab/>
            </w:r>
            <w:r>
              <w:rPr>
                <w:noProof/>
                <w:webHidden/>
              </w:rPr>
              <w:fldChar w:fldCharType="begin"/>
            </w:r>
            <w:r>
              <w:rPr>
                <w:noProof/>
                <w:webHidden/>
              </w:rPr>
              <w:instrText xml:space="preserve"> PAGEREF _Toc1581505 \h </w:instrText>
            </w:r>
            <w:r>
              <w:rPr>
                <w:noProof/>
                <w:webHidden/>
              </w:rPr>
            </w:r>
            <w:r>
              <w:rPr>
                <w:noProof/>
                <w:webHidden/>
              </w:rPr>
              <w:fldChar w:fldCharType="separate"/>
            </w:r>
            <w:r>
              <w:rPr>
                <w:noProof/>
                <w:webHidden/>
              </w:rPr>
              <w:t>38</w:t>
            </w:r>
            <w:r>
              <w:rPr>
                <w:noProof/>
                <w:webHidden/>
              </w:rPr>
              <w:fldChar w:fldCharType="end"/>
            </w:r>
          </w:hyperlink>
        </w:p>
        <w:p w14:paraId="314CF447" w14:textId="6A02F521" w:rsidR="00AB50EE" w:rsidRDefault="00AB50EE">
          <w:pPr>
            <w:pStyle w:val="TOC3"/>
            <w:tabs>
              <w:tab w:val="left" w:pos="1320"/>
              <w:tab w:val="right" w:leader="dot" w:pos="10430"/>
            </w:tabs>
            <w:rPr>
              <w:rFonts w:eastAsiaTheme="minorEastAsia"/>
              <w:noProof/>
            </w:rPr>
          </w:pPr>
          <w:hyperlink w:anchor="_Toc1581506" w:history="1">
            <w:r w:rsidRPr="006A1C5D">
              <w:rPr>
                <w:rStyle w:val="Hyperlink"/>
                <w:noProof/>
              </w:rPr>
              <w:t>4.</w:t>
            </w:r>
            <w:r w:rsidRPr="006A1C5D">
              <w:rPr>
                <w:rStyle w:val="Hyperlink"/>
                <w:rFonts w:ascii="Sylfaen" w:hAnsi="Sylfaen"/>
                <w:noProof/>
                <w:lang w:val="ka-GE"/>
              </w:rPr>
              <w:t>8</w:t>
            </w:r>
            <w:r w:rsidRPr="006A1C5D">
              <w:rPr>
                <w:rStyle w:val="Hyperlink"/>
                <w:noProof/>
              </w:rPr>
              <w:t>.2</w:t>
            </w:r>
            <w:r>
              <w:rPr>
                <w:rFonts w:eastAsiaTheme="minorEastAsia"/>
                <w:noProof/>
              </w:rPr>
              <w:tab/>
            </w:r>
            <w:r w:rsidRPr="006A1C5D">
              <w:rPr>
                <w:rStyle w:val="Hyperlink"/>
                <w:rFonts w:ascii="Sylfaen" w:hAnsi="Sylfaen" w:cs="Sylfaen"/>
                <w:noProof/>
              </w:rPr>
              <w:t>სამომავლო</w:t>
            </w:r>
            <w:r w:rsidRPr="006A1C5D">
              <w:rPr>
                <w:rStyle w:val="Hyperlink"/>
                <w:noProof/>
              </w:rPr>
              <w:t xml:space="preserve"> </w:t>
            </w:r>
            <w:r w:rsidRPr="006A1C5D">
              <w:rPr>
                <w:rStyle w:val="Hyperlink"/>
                <w:rFonts w:ascii="Sylfaen" w:hAnsi="Sylfaen" w:cs="Sylfaen"/>
                <w:noProof/>
              </w:rPr>
              <w:t>მდგომარეობა</w:t>
            </w:r>
            <w:r>
              <w:rPr>
                <w:noProof/>
                <w:webHidden/>
              </w:rPr>
              <w:tab/>
            </w:r>
            <w:r>
              <w:rPr>
                <w:noProof/>
                <w:webHidden/>
              </w:rPr>
              <w:fldChar w:fldCharType="begin"/>
            </w:r>
            <w:r>
              <w:rPr>
                <w:noProof/>
                <w:webHidden/>
              </w:rPr>
              <w:instrText xml:space="preserve"> PAGEREF _Toc1581506 \h </w:instrText>
            </w:r>
            <w:r>
              <w:rPr>
                <w:noProof/>
                <w:webHidden/>
              </w:rPr>
            </w:r>
            <w:r>
              <w:rPr>
                <w:noProof/>
                <w:webHidden/>
              </w:rPr>
              <w:fldChar w:fldCharType="separate"/>
            </w:r>
            <w:r>
              <w:rPr>
                <w:noProof/>
                <w:webHidden/>
              </w:rPr>
              <w:t>38</w:t>
            </w:r>
            <w:r>
              <w:rPr>
                <w:noProof/>
                <w:webHidden/>
              </w:rPr>
              <w:fldChar w:fldCharType="end"/>
            </w:r>
          </w:hyperlink>
        </w:p>
        <w:p w14:paraId="704415DE" w14:textId="52B68001" w:rsidR="00AB50EE" w:rsidRDefault="00AB50EE">
          <w:pPr>
            <w:pStyle w:val="TOC2"/>
            <w:rPr>
              <w:rFonts w:eastAsiaTheme="minorEastAsia"/>
              <w:bCs w:val="0"/>
            </w:rPr>
          </w:pPr>
          <w:hyperlink w:anchor="_Toc1581507" w:history="1">
            <w:r w:rsidRPr="006A1C5D">
              <w:rPr>
                <w:rStyle w:val="Hyperlink"/>
              </w:rPr>
              <w:t>4.</w:t>
            </w:r>
            <w:r w:rsidRPr="006A1C5D">
              <w:rPr>
                <w:rStyle w:val="Hyperlink"/>
                <w:rFonts w:ascii="Sylfaen" w:hAnsi="Sylfaen"/>
                <w:lang w:val="ka-GE"/>
              </w:rPr>
              <w:t>9</w:t>
            </w:r>
            <w:r w:rsidRPr="006A1C5D">
              <w:rPr>
                <w:rStyle w:val="Hyperlink"/>
              </w:rPr>
              <w:t xml:space="preserve"> </w:t>
            </w:r>
            <w:r w:rsidRPr="006A1C5D">
              <w:rPr>
                <w:rStyle w:val="Hyperlink"/>
                <w:rFonts w:ascii="Sylfaen" w:hAnsi="Sylfaen"/>
                <w:lang w:val="ka-GE"/>
              </w:rPr>
              <w:t>ს</w:t>
            </w:r>
            <w:r w:rsidRPr="006A1C5D">
              <w:rPr>
                <w:rStyle w:val="Hyperlink"/>
                <w:rFonts w:ascii="Sylfaen" w:hAnsi="Sylfaen" w:cs="Sylfaen"/>
              </w:rPr>
              <w:t>აგზაო</w:t>
            </w:r>
            <w:r w:rsidRPr="006A1C5D">
              <w:rPr>
                <w:rStyle w:val="Hyperlink"/>
              </w:rPr>
              <w:t xml:space="preserve"> </w:t>
            </w:r>
            <w:r w:rsidRPr="006A1C5D">
              <w:rPr>
                <w:rStyle w:val="Hyperlink"/>
                <w:rFonts w:ascii="Sylfaen" w:hAnsi="Sylfaen" w:cs="Sylfaen"/>
              </w:rPr>
              <w:t>სამოსის</w:t>
            </w:r>
            <w:r w:rsidRPr="006A1C5D">
              <w:rPr>
                <w:rStyle w:val="Hyperlink"/>
              </w:rPr>
              <w:t xml:space="preserve"> </w:t>
            </w:r>
            <w:r w:rsidRPr="006A1C5D">
              <w:rPr>
                <w:rStyle w:val="Hyperlink"/>
                <w:rFonts w:ascii="Sylfaen" w:hAnsi="Sylfaen" w:cs="Sylfaen"/>
              </w:rPr>
              <w:t>პროექტირება</w:t>
            </w:r>
            <w:r>
              <w:rPr>
                <w:webHidden/>
              </w:rPr>
              <w:tab/>
            </w:r>
            <w:r>
              <w:rPr>
                <w:webHidden/>
              </w:rPr>
              <w:fldChar w:fldCharType="begin"/>
            </w:r>
            <w:r>
              <w:rPr>
                <w:webHidden/>
              </w:rPr>
              <w:instrText xml:space="preserve"> PAGEREF _Toc1581507 \h </w:instrText>
            </w:r>
            <w:r>
              <w:rPr>
                <w:webHidden/>
              </w:rPr>
            </w:r>
            <w:r>
              <w:rPr>
                <w:webHidden/>
              </w:rPr>
              <w:fldChar w:fldCharType="separate"/>
            </w:r>
            <w:r>
              <w:rPr>
                <w:webHidden/>
              </w:rPr>
              <w:t>39</w:t>
            </w:r>
            <w:r>
              <w:rPr>
                <w:webHidden/>
              </w:rPr>
              <w:fldChar w:fldCharType="end"/>
            </w:r>
          </w:hyperlink>
        </w:p>
        <w:p w14:paraId="7F07C9D3" w14:textId="7149E9E1" w:rsidR="00AB50EE" w:rsidRDefault="00AB50EE">
          <w:pPr>
            <w:pStyle w:val="TOC3"/>
            <w:tabs>
              <w:tab w:val="left" w:pos="1320"/>
              <w:tab w:val="right" w:leader="dot" w:pos="10430"/>
            </w:tabs>
            <w:rPr>
              <w:rFonts w:eastAsiaTheme="minorEastAsia"/>
              <w:noProof/>
            </w:rPr>
          </w:pPr>
          <w:hyperlink w:anchor="_Toc1581508" w:history="1">
            <w:r w:rsidRPr="006A1C5D">
              <w:rPr>
                <w:rStyle w:val="Hyperlink"/>
                <w:noProof/>
              </w:rPr>
              <w:t>4.</w:t>
            </w:r>
            <w:r w:rsidRPr="006A1C5D">
              <w:rPr>
                <w:rStyle w:val="Hyperlink"/>
                <w:rFonts w:ascii="Sylfaen" w:hAnsi="Sylfaen"/>
                <w:noProof/>
                <w:lang w:val="ka-GE"/>
              </w:rPr>
              <w:t>9</w:t>
            </w:r>
            <w:r w:rsidRPr="006A1C5D">
              <w:rPr>
                <w:rStyle w:val="Hyperlink"/>
                <w:noProof/>
              </w:rPr>
              <w:t>.1</w:t>
            </w:r>
            <w:r>
              <w:rPr>
                <w:rFonts w:eastAsiaTheme="minorEastAsia"/>
                <w:noProof/>
              </w:rPr>
              <w:tab/>
            </w:r>
            <w:r w:rsidRPr="006A1C5D">
              <w:rPr>
                <w:rStyle w:val="Hyperlink"/>
                <w:noProof/>
              </w:rPr>
              <w:t xml:space="preserve"> </w:t>
            </w:r>
            <w:r w:rsidRPr="006A1C5D">
              <w:rPr>
                <w:rStyle w:val="Hyperlink"/>
                <w:rFonts w:ascii="Sylfaen" w:hAnsi="Sylfaen" w:cs="Sylfaen"/>
                <w:noProof/>
              </w:rPr>
              <w:t>საგზაო</w:t>
            </w:r>
            <w:r w:rsidRPr="006A1C5D">
              <w:rPr>
                <w:rStyle w:val="Hyperlink"/>
                <w:noProof/>
              </w:rPr>
              <w:t xml:space="preserve"> </w:t>
            </w:r>
            <w:r w:rsidRPr="006A1C5D">
              <w:rPr>
                <w:rStyle w:val="Hyperlink"/>
                <w:rFonts w:ascii="Sylfaen" w:hAnsi="Sylfaen" w:cs="Sylfaen"/>
                <w:noProof/>
              </w:rPr>
              <w:t>სამოსის</w:t>
            </w:r>
            <w:r w:rsidRPr="006A1C5D">
              <w:rPr>
                <w:rStyle w:val="Hyperlink"/>
                <w:noProof/>
              </w:rPr>
              <w:t xml:space="preserve"> </w:t>
            </w:r>
            <w:r w:rsidRPr="006A1C5D">
              <w:rPr>
                <w:rStyle w:val="Hyperlink"/>
                <w:rFonts w:ascii="Sylfaen" w:hAnsi="Sylfaen" w:cs="Sylfaen"/>
                <w:noProof/>
              </w:rPr>
              <w:t>პროექტირების</w:t>
            </w:r>
            <w:r w:rsidRPr="006A1C5D">
              <w:rPr>
                <w:rStyle w:val="Hyperlink"/>
                <w:noProof/>
              </w:rPr>
              <w:t xml:space="preserve"> </w:t>
            </w:r>
            <w:r w:rsidRPr="006A1C5D">
              <w:rPr>
                <w:rStyle w:val="Hyperlink"/>
                <w:rFonts w:ascii="Sylfaen" w:hAnsi="Sylfaen" w:cs="Sylfaen"/>
                <w:noProof/>
              </w:rPr>
              <w:t>პარამეტრები</w:t>
            </w:r>
            <w:r>
              <w:rPr>
                <w:noProof/>
                <w:webHidden/>
              </w:rPr>
              <w:tab/>
            </w:r>
            <w:r>
              <w:rPr>
                <w:noProof/>
                <w:webHidden/>
              </w:rPr>
              <w:fldChar w:fldCharType="begin"/>
            </w:r>
            <w:r>
              <w:rPr>
                <w:noProof/>
                <w:webHidden/>
              </w:rPr>
              <w:instrText xml:space="preserve"> PAGEREF _Toc1581508 \h </w:instrText>
            </w:r>
            <w:r>
              <w:rPr>
                <w:noProof/>
                <w:webHidden/>
              </w:rPr>
            </w:r>
            <w:r>
              <w:rPr>
                <w:noProof/>
                <w:webHidden/>
              </w:rPr>
              <w:fldChar w:fldCharType="separate"/>
            </w:r>
            <w:r>
              <w:rPr>
                <w:noProof/>
                <w:webHidden/>
              </w:rPr>
              <w:t>40</w:t>
            </w:r>
            <w:r>
              <w:rPr>
                <w:noProof/>
                <w:webHidden/>
              </w:rPr>
              <w:fldChar w:fldCharType="end"/>
            </w:r>
          </w:hyperlink>
        </w:p>
        <w:p w14:paraId="68D69E4F" w14:textId="512296E3" w:rsidR="00AB50EE" w:rsidRDefault="00AB50EE">
          <w:pPr>
            <w:pStyle w:val="TOC3"/>
            <w:tabs>
              <w:tab w:val="right" w:leader="dot" w:pos="10430"/>
            </w:tabs>
            <w:rPr>
              <w:rFonts w:eastAsiaTheme="minorEastAsia"/>
              <w:noProof/>
            </w:rPr>
          </w:pPr>
          <w:hyperlink w:anchor="_Toc1581509" w:history="1">
            <w:r w:rsidRPr="006A1C5D">
              <w:rPr>
                <w:rStyle w:val="Hyperlink"/>
                <w:noProof/>
              </w:rPr>
              <w:t>4.</w:t>
            </w:r>
            <w:r w:rsidRPr="006A1C5D">
              <w:rPr>
                <w:rStyle w:val="Hyperlink"/>
                <w:rFonts w:ascii="Sylfaen" w:hAnsi="Sylfaen"/>
                <w:noProof/>
                <w:lang w:val="ka-GE"/>
              </w:rPr>
              <w:t>9</w:t>
            </w:r>
            <w:r w:rsidRPr="006A1C5D">
              <w:rPr>
                <w:rStyle w:val="Hyperlink"/>
                <w:noProof/>
              </w:rPr>
              <w:t xml:space="preserve">.2 </w:t>
            </w:r>
            <w:r w:rsidRPr="006A1C5D">
              <w:rPr>
                <w:rStyle w:val="Hyperlink"/>
                <w:rFonts w:ascii="Sylfaen" w:hAnsi="Sylfaen"/>
                <w:noProof/>
                <w:lang w:val="ka-GE"/>
              </w:rPr>
              <w:t>საგზაო სამოსის აგებულების განსაზღვრა</w:t>
            </w:r>
            <w:r>
              <w:rPr>
                <w:noProof/>
                <w:webHidden/>
              </w:rPr>
              <w:tab/>
            </w:r>
            <w:r>
              <w:rPr>
                <w:noProof/>
                <w:webHidden/>
              </w:rPr>
              <w:fldChar w:fldCharType="begin"/>
            </w:r>
            <w:r>
              <w:rPr>
                <w:noProof/>
                <w:webHidden/>
              </w:rPr>
              <w:instrText xml:space="preserve"> PAGEREF _Toc1581509 \h </w:instrText>
            </w:r>
            <w:r>
              <w:rPr>
                <w:noProof/>
                <w:webHidden/>
              </w:rPr>
            </w:r>
            <w:r>
              <w:rPr>
                <w:noProof/>
                <w:webHidden/>
              </w:rPr>
              <w:fldChar w:fldCharType="separate"/>
            </w:r>
            <w:r>
              <w:rPr>
                <w:noProof/>
                <w:webHidden/>
              </w:rPr>
              <w:t>43</w:t>
            </w:r>
            <w:r>
              <w:rPr>
                <w:noProof/>
                <w:webHidden/>
              </w:rPr>
              <w:fldChar w:fldCharType="end"/>
            </w:r>
          </w:hyperlink>
        </w:p>
        <w:p w14:paraId="0C8423E1" w14:textId="223CD74A" w:rsidR="00AB50EE" w:rsidRDefault="00AB50EE">
          <w:pPr>
            <w:pStyle w:val="TOC3"/>
            <w:tabs>
              <w:tab w:val="right" w:leader="dot" w:pos="10430"/>
            </w:tabs>
            <w:rPr>
              <w:rFonts w:eastAsiaTheme="minorEastAsia"/>
              <w:noProof/>
            </w:rPr>
          </w:pPr>
          <w:hyperlink w:anchor="_Toc1581510" w:history="1">
            <w:r w:rsidRPr="006A1C5D">
              <w:rPr>
                <w:rStyle w:val="Hyperlink"/>
                <w:rFonts w:ascii="Sylfaen" w:hAnsi="Sylfaen"/>
                <w:noProof/>
              </w:rPr>
              <w:t xml:space="preserve">4.9.3 </w:t>
            </w:r>
            <w:r w:rsidRPr="006A1C5D">
              <w:rPr>
                <w:rStyle w:val="Hyperlink"/>
                <w:rFonts w:ascii="Sylfaen" w:hAnsi="Sylfaen"/>
                <w:noProof/>
                <w:lang w:val="ka-GE"/>
              </w:rPr>
              <w:t>საგზაო სამოსის ფენების გაანგარიშება</w:t>
            </w:r>
            <w:r>
              <w:rPr>
                <w:noProof/>
                <w:webHidden/>
              </w:rPr>
              <w:tab/>
            </w:r>
            <w:r>
              <w:rPr>
                <w:noProof/>
                <w:webHidden/>
              </w:rPr>
              <w:fldChar w:fldCharType="begin"/>
            </w:r>
            <w:r>
              <w:rPr>
                <w:noProof/>
                <w:webHidden/>
              </w:rPr>
              <w:instrText xml:space="preserve"> PAGEREF _Toc1581510 \h </w:instrText>
            </w:r>
            <w:r>
              <w:rPr>
                <w:noProof/>
                <w:webHidden/>
              </w:rPr>
            </w:r>
            <w:r>
              <w:rPr>
                <w:noProof/>
                <w:webHidden/>
              </w:rPr>
              <w:fldChar w:fldCharType="separate"/>
            </w:r>
            <w:r>
              <w:rPr>
                <w:noProof/>
                <w:webHidden/>
              </w:rPr>
              <w:t>44</w:t>
            </w:r>
            <w:r>
              <w:rPr>
                <w:noProof/>
                <w:webHidden/>
              </w:rPr>
              <w:fldChar w:fldCharType="end"/>
            </w:r>
          </w:hyperlink>
        </w:p>
        <w:p w14:paraId="446126C9" w14:textId="13086670" w:rsidR="00AB50EE" w:rsidRDefault="00AB50EE">
          <w:pPr>
            <w:pStyle w:val="TOC3"/>
            <w:tabs>
              <w:tab w:val="left" w:pos="1100"/>
              <w:tab w:val="right" w:leader="dot" w:pos="10430"/>
            </w:tabs>
            <w:rPr>
              <w:rFonts w:eastAsiaTheme="minorEastAsia"/>
              <w:noProof/>
            </w:rPr>
          </w:pPr>
          <w:hyperlink w:anchor="_Toc1581511" w:history="1">
            <w:r w:rsidRPr="006A1C5D">
              <w:rPr>
                <w:rStyle w:val="Hyperlink"/>
                <w:rFonts w:ascii="AcadNusx" w:hAnsi="AcadNusx"/>
                <w:noProof/>
              </w:rPr>
              <w:t>4.</w:t>
            </w:r>
            <w:r w:rsidRPr="006A1C5D">
              <w:rPr>
                <w:rStyle w:val="Hyperlink"/>
                <w:rFonts w:ascii="Sylfaen" w:hAnsi="Sylfaen"/>
                <w:noProof/>
                <w:lang w:val="ka-GE"/>
              </w:rPr>
              <w:t>9</w:t>
            </w:r>
            <w:r w:rsidRPr="006A1C5D">
              <w:rPr>
                <w:rStyle w:val="Hyperlink"/>
                <w:rFonts w:ascii="AcadNusx" w:hAnsi="AcadNusx"/>
                <w:noProof/>
              </w:rPr>
              <w:t>.4</w:t>
            </w:r>
            <w:r>
              <w:rPr>
                <w:rFonts w:eastAsiaTheme="minorEastAsia"/>
                <w:noProof/>
              </w:rPr>
              <w:tab/>
            </w:r>
            <w:r w:rsidRPr="006A1C5D">
              <w:rPr>
                <w:rStyle w:val="Hyperlink"/>
                <w:rFonts w:ascii="Sylfaen" w:hAnsi="Sylfaen"/>
                <w:noProof/>
                <w:lang w:val="ka-GE"/>
              </w:rPr>
              <w:t>საგზაო სამოსის კვლევის შეჯამება</w:t>
            </w:r>
            <w:r>
              <w:rPr>
                <w:noProof/>
                <w:webHidden/>
              </w:rPr>
              <w:tab/>
            </w:r>
            <w:r>
              <w:rPr>
                <w:noProof/>
                <w:webHidden/>
              </w:rPr>
              <w:fldChar w:fldCharType="begin"/>
            </w:r>
            <w:r>
              <w:rPr>
                <w:noProof/>
                <w:webHidden/>
              </w:rPr>
              <w:instrText xml:space="preserve"> PAGEREF _Toc1581511 \h </w:instrText>
            </w:r>
            <w:r>
              <w:rPr>
                <w:noProof/>
                <w:webHidden/>
              </w:rPr>
            </w:r>
            <w:r>
              <w:rPr>
                <w:noProof/>
                <w:webHidden/>
              </w:rPr>
              <w:fldChar w:fldCharType="separate"/>
            </w:r>
            <w:r>
              <w:rPr>
                <w:noProof/>
                <w:webHidden/>
              </w:rPr>
              <w:t>56</w:t>
            </w:r>
            <w:r>
              <w:rPr>
                <w:noProof/>
                <w:webHidden/>
              </w:rPr>
              <w:fldChar w:fldCharType="end"/>
            </w:r>
          </w:hyperlink>
        </w:p>
        <w:p w14:paraId="5E19C1C3" w14:textId="1C64ECCC" w:rsidR="00AB50EE" w:rsidRDefault="00AB50EE">
          <w:pPr>
            <w:pStyle w:val="TOC2"/>
            <w:rPr>
              <w:rFonts w:eastAsiaTheme="minorEastAsia"/>
              <w:bCs w:val="0"/>
            </w:rPr>
          </w:pPr>
          <w:hyperlink w:anchor="_Toc1581512" w:history="1">
            <w:r w:rsidRPr="006A1C5D">
              <w:rPr>
                <w:rStyle w:val="Hyperlink"/>
              </w:rPr>
              <w:t>4.</w:t>
            </w:r>
            <w:r w:rsidRPr="006A1C5D">
              <w:rPr>
                <w:rStyle w:val="Hyperlink"/>
                <w:rFonts w:ascii="Sylfaen" w:hAnsi="Sylfaen"/>
                <w:lang w:val="ka-GE"/>
              </w:rPr>
              <w:t>10</w:t>
            </w:r>
            <w:r w:rsidRPr="006A1C5D">
              <w:rPr>
                <w:rStyle w:val="Hyperlink"/>
              </w:rPr>
              <w:t xml:space="preserve"> </w:t>
            </w:r>
            <w:r w:rsidRPr="006A1C5D">
              <w:rPr>
                <w:rStyle w:val="Hyperlink"/>
                <w:rFonts w:ascii="Sylfaen" w:hAnsi="Sylfaen"/>
                <w:lang w:val="ka-GE"/>
              </w:rPr>
              <w:t>გზის დაპროექტება და სპროექტო გეომეტრიული სტანდარტების გამოყენება</w:t>
            </w:r>
            <w:r>
              <w:rPr>
                <w:webHidden/>
              </w:rPr>
              <w:tab/>
            </w:r>
            <w:r>
              <w:rPr>
                <w:webHidden/>
              </w:rPr>
              <w:fldChar w:fldCharType="begin"/>
            </w:r>
            <w:r>
              <w:rPr>
                <w:webHidden/>
              </w:rPr>
              <w:instrText xml:space="preserve"> PAGEREF _Toc1581512 \h </w:instrText>
            </w:r>
            <w:r>
              <w:rPr>
                <w:webHidden/>
              </w:rPr>
            </w:r>
            <w:r>
              <w:rPr>
                <w:webHidden/>
              </w:rPr>
              <w:fldChar w:fldCharType="separate"/>
            </w:r>
            <w:r>
              <w:rPr>
                <w:webHidden/>
              </w:rPr>
              <w:t>57</w:t>
            </w:r>
            <w:r>
              <w:rPr>
                <w:webHidden/>
              </w:rPr>
              <w:fldChar w:fldCharType="end"/>
            </w:r>
          </w:hyperlink>
        </w:p>
        <w:p w14:paraId="1D2B4064" w14:textId="0F484A66" w:rsidR="00AB50EE" w:rsidRDefault="00AB50EE">
          <w:pPr>
            <w:pStyle w:val="TOC3"/>
            <w:tabs>
              <w:tab w:val="right" w:leader="dot" w:pos="10430"/>
            </w:tabs>
            <w:rPr>
              <w:rFonts w:eastAsiaTheme="minorEastAsia"/>
              <w:noProof/>
            </w:rPr>
          </w:pPr>
          <w:hyperlink w:anchor="_Toc1581513" w:history="1">
            <w:r w:rsidRPr="006A1C5D">
              <w:rPr>
                <w:rStyle w:val="Hyperlink"/>
                <w:rFonts w:ascii="AcadNusx" w:hAnsi="AcadNusx"/>
                <w:noProof/>
              </w:rPr>
              <w:t>4.</w:t>
            </w:r>
            <w:r w:rsidRPr="006A1C5D">
              <w:rPr>
                <w:rStyle w:val="Hyperlink"/>
                <w:rFonts w:ascii="Sylfaen" w:hAnsi="Sylfaen"/>
                <w:noProof/>
                <w:lang w:val="ka-GE"/>
              </w:rPr>
              <w:t>10</w:t>
            </w:r>
            <w:r w:rsidRPr="006A1C5D">
              <w:rPr>
                <w:rStyle w:val="Hyperlink"/>
                <w:rFonts w:ascii="AcadNusx" w:hAnsi="AcadNusx"/>
                <w:noProof/>
              </w:rPr>
              <w:t xml:space="preserve">.1 </w:t>
            </w:r>
            <w:r w:rsidRPr="006A1C5D">
              <w:rPr>
                <w:rStyle w:val="Hyperlink"/>
                <w:rFonts w:ascii="Sylfaen" w:hAnsi="Sylfaen"/>
                <w:noProof/>
                <w:lang w:val="ka-GE"/>
              </w:rPr>
              <w:t>ჰორიზონტალური და ვერტიკალური ტრასირება</w:t>
            </w:r>
            <w:r>
              <w:rPr>
                <w:noProof/>
                <w:webHidden/>
              </w:rPr>
              <w:tab/>
            </w:r>
            <w:r>
              <w:rPr>
                <w:noProof/>
                <w:webHidden/>
              </w:rPr>
              <w:fldChar w:fldCharType="begin"/>
            </w:r>
            <w:r>
              <w:rPr>
                <w:noProof/>
                <w:webHidden/>
              </w:rPr>
              <w:instrText xml:space="preserve"> PAGEREF _Toc1581513 \h </w:instrText>
            </w:r>
            <w:r>
              <w:rPr>
                <w:noProof/>
                <w:webHidden/>
              </w:rPr>
            </w:r>
            <w:r>
              <w:rPr>
                <w:noProof/>
                <w:webHidden/>
              </w:rPr>
              <w:fldChar w:fldCharType="separate"/>
            </w:r>
            <w:r>
              <w:rPr>
                <w:noProof/>
                <w:webHidden/>
              </w:rPr>
              <w:t>57</w:t>
            </w:r>
            <w:r>
              <w:rPr>
                <w:noProof/>
                <w:webHidden/>
              </w:rPr>
              <w:fldChar w:fldCharType="end"/>
            </w:r>
          </w:hyperlink>
        </w:p>
        <w:p w14:paraId="1F51FB0C" w14:textId="2440ACBD" w:rsidR="00AB50EE" w:rsidRDefault="00AB50EE">
          <w:pPr>
            <w:pStyle w:val="TOC3"/>
            <w:tabs>
              <w:tab w:val="right" w:leader="dot" w:pos="10430"/>
            </w:tabs>
            <w:rPr>
              <w:rFonts w:eastAsiaTheme="minorEastAsia"/>
              <w:noProof/>
            </w:rPr>
          </w:pPr>
          <w:hyperlink w:anchor="_Toc1581514" w:history="1">
            <w:r w:rsidRPr="006A1C5D">
              <w:rPr>
                <w:rStyle w:val="Hyperlink"/>
                <w:noProof/>
              </w:rPr>
              <w:t>4.</w:t>
            </w:r>
            <w:r w:rsidRPr="006A1C5D">
              <w:rPr>
                <w:rStyle w:val="Hyperlink"/>
                <w:rFonts w:ascii="Sylfaen" w:hAnsi="Sylfaen"/>
                <w:noProof/>
                <w:lang w:val="ka-GE"/>
              </w:rPr>
              <w:t>10</w:t>
            </w:r>
            <w:r w:rsidRPr="006A1C5D">
              <w:rPr>
                <w:rStyle w:val="Hyperlink"/>
                <w:noProof/>
              </w:rPr>
              <w:t xml:space="preserve">.2 </w:t>
            </w:r>
            <w:r w:rsidRPr="006A1C5D">
              <w:rPr>
                <w:rStyle w:val="Hyperlink"/>
                <w:rFonts w:ascii="Sylfaen" w:hAnsi="Sylfaen"/>
                <w:noProof/>
                <w:lang w:val="ka-GE"/>
              </w:rPr>
              <w:t>სატრანსპორტო კვანძები</w:t>
            </w:r>
            <w:r>
              <w:rPr>
                <w:noProof/>
                <w:webHidden/>
              </w:rPr>
              <w:tab/>
            </w:r>
            <w:r>
              <w:rPr>
                <w:noProof/>
                <w:webHidden/>
              </w:rPr>
              <w:fldChar w:fldCharType="begin"/>
            </w:r>
            <w:r>
              <w:rPr>
                <w:noProof/>
                <w:webHidden/>
              </w:rPr>
              <w:instrText xml:space="preserve"> PAGEREF _Toc1581514 \h </w:instrText>
            </w:r>
            <w:r>
              <w:rPr>
                <w:noProof/>
                <w:webHidden/>
              </w:rPr>
            </w:r>
            <w:r>
              <w:rPr>
                <w:noProof/>
                <w:webHidden/>
              </w:rPr>
              <w:fldChar w:fldCharType="separate"/>
            </w:r>
            <w:r>
              <w:rPr>
                <w:noProof/>
                <w:webHidden/>
              </w:rPr>
              <w:t>62</w:t>
            </w:r>
            <w:r>
              <w:rPr>
                <w:noProof/>
                <w:webHidden/>
              </w:rPr>
              <w:fldChar w:fldCharType="end"/>
            </w:r>
          </w:hyperlink>
        </w:p>
        <w:p w14:paraId="2718B01C" w14:textId="02735EF5" w:rsidR="00AB50EE" w:rsidRDefault="00AB50EE">
          <w:pPr>
            <w:pStyle w:val="TOC3"/>
            <w:tabs>
              <w:tab w:val="left" w:pos="1320"/>
              <w:tab w:val="right" w:leader="dot" w:pos="10430"/>
            </w:tabs>
            <w:rPr>
              <w:rFonts w:eastAsiaTheme="minorEastAsia"/>
              <w:noProof/>
            </w:rPr>
          </w:pPr>
          <w:hyperlink w:anchor="_Toc1581515" w:history="1">
            <w:r w:rsidRPr="006A1C5D">
              <w:rPr>
                <w:rStyle w:val="Hyperlink"/>
                <w:rFonts w:ascii="AcadNusx" w:hAnsi="AcadNusx"/>
                <w:noProof/>
              </w:rPr>
              <w:t>4.</w:t>
            </w:r>
            <w:r w:rsidRPr="006A1C5D">
              <w:rPr>
                <w:rStyle w:val="Hyperlink"/>
                <w:rFonts w:ascii="AcadNusx" w:hAnsi="AcadNusx"/>
                <w:noProof/>
                <w:lang w:val="ka-GE"/>
              </w:rPr>
              <w:t>1</w:t>
            </w:r>
            <w:r w:rsidRPr="006A1C5D">
              <w:rPr>
                <w:rStyle w:val="Hyperlink"/>
                <w:rFonts w:ascii="Sylfaen" w:hAnsi="Sylfaen"/>
                <w:noProof/>
                <w:lang w:val="ka-GE"/>
              </w:rPr>
              <w:t>0</w:t>
            </w:r>
            <w:r w:rsidRPr="006A1C5D">
              <w:rPr>
                <w:rStyle w:val="Hyperlink"/>
                <w:rFonts w:ascii="AcadNusx" w:hAnsi="AcadNusx"/>
                <w:noProof/>
              </w:rPr>
              <w:t>.3</w:t>
            </w:r>
            <w:r>
              <w:rPr>
                <w:rFonts w:eastAsiaTheme="minorEastAsia"/>
                <w:noProof/>
              </w:rPr>
              <w:tab/>
            </w:r>
            <w:r w:rsidRPr="006A1C5D">
              <w:rPr>
                <w:rStyle w:val="Hyperlink"/>
                <w:rFonts w:ascii="Sylfaen" w:hAnsi="Sylfaen"/>
                <w:noProof/>
                <w:lang w:val="ka-GE"/>
              </w:rPr>
              <w:t>მისასვლელი გზები</w:t>
            </w:r>
            <w:r>
              <w:rPr>
                <w:noProof/>
                <w:webHidden/>
              </w:rPr>
              <w:tab/>
            </w:r>
            <w:r>
              <w:rPr>
                <w:noProof/>
                <w:webHidden/>
              </w:rPr>
              <w:fldChar w:fldCharType="begin"/>
            </w:r>
            <w:r>
              <w:rPr>
                <w:noProof/>
                <w:webHidden/>
              </w:rPr>
              <w:instrText xml:space="preserve"> PAGEREF _Toc1581515 \h </w:instrText>
            </w:r>
            <w:r>
              <w:rPr>
                <w:noProof/>
                <w:webHidden/>
              </w:rPr>
            </w:r>
            <w:r>
              <w:rPr>
                <w:noProof/>
                <w:webHidden/>
              </w:rPr>
              <w:fldChar w:fldCharType="separate"/>
            </w:r>
            <w:r>
              <w:rPr>
                <w:noProof/>
                <w:webHidden/>
              </w:rPr>
              <w:t>68</w:t>
            </w:r>
            <w:r>
              <w:rPr>
                <w:noProof/>
                <w:webHidden/>
              </w:rPr>
              <w:fldChar w:fldCharType="end"/>
            </w:r>
          </w:hyperlink>
        </w:p>
        <w:p w14:paraId="7928F736" w14:textId="7A4945A8" w:rsidR="00AB50EE" w:rsidRDefault="00AB50EE">
          <w:pPr>
            <w:pStyle w:val="TOC2"/>
            <w:rPr>
              <w:rFonts w:eastAsiaTheme="minorEastAsia"/>
              <w:bCs w:val="0"/>
            </w:rPr>
          </w:pPr>
          <w:hyperlink w:anchor="_Toc1581516" w:history="1">
            <w:r w:rsidRPr="006A1C5D">
              <w:rPr>
                <w:rStyle w:val="Hyperlink"/>
                <w:rFonts w:ascii="AcadNusx" w:hAnsi="AcadNusx"/>
              </w:rPr>
              <w:t>4.</w:t>
            </w:r>
            <w:r w:rsidRPr="006A1C5D">
              <w:rPr>
                <w:rStyle w:val="Hyperlink"/>
                <w:rFonts w:ascii="AcadNusx" w:hAnsi="AcadNusx"/>
                <w:lang w:val="ka-GE"/>
              </w:rPr>
              <w:t>1</w:t>
            </w:r>
            <w:r w:rsidRPr="006A1C5D">
              <w:rPr>
                <w:rStyle w:val="Hyperlink"/>
                <w:rFonts w:ascii="Sylfaen" w:hAnsi="Sylfaen"/>
                <w:lang w:val="ka-GE"/>
              </w:rPr>
              <w:t>1</w:t>
            </w:r>
            <w:r w:rsidRPr="006A1C5D">
              <w:rPr>
                <w:rStyle w:val="Hyperlink"/>
                <w:rFonts w:ascii="AcadNusx" w:hAnsi="AcadNusx"/>
              </w:rPr>
              <w:t xml:space="preserve"> </w:t>
            </w:r>
            <w:r w:rsidRPr="006A1C5D">
              <w:rPr>
                <w:rStyle w:val="Hyperlink"/>
                <w:rFonts w:ascii="Sylfaen" w:hAnsi="Sylfaen"/>
                <w:lang w:val="ka-GE"/>
              </w:rPr>
              <w:t>საგზაო ნიშნები, მონიშვნა და გზის სხვა კუთვნილებანი</w:t>
            </w:r>
            <w:r>
              <w:rPr>
                <w:webHidden/>
              </w:rPr>
              <w:tab/>
            </w:r>
            <w:r>
              <w:rPr>
                <w:webHidden/>
              </w:rPr>
              <w:fldChar w:fldCharType="begin"/>
            </w:r>
            <w:r>
              <w:rPr>
                <w:webHidden/>
              </w:rPr>
              <w:instrText xml:space="preserve"> PAGEREF _Toc1581516 \h </w:instrText>
            </w:r>
            <w:r>
              <w:rPr>
                <w:webHidden/>
              </w:rPr>
            </w:r>
            <w:r>
              <w:rPr>
                <w:webHidden/>
              </w:rPr>
              <w:fldChar w:fldCharType="separate"/>
            </w:r>
            <w:r>
              <w:rPr>
                <w:webHidden/>
              </w:rPr>
              <w:t>70</w:t>
            </w:r>
            <w:r>
              <w:rPr>
                <w:webHidden/>
              </w:rPr>
              <w:fldChar w:fldCharType="end"/>
            </w:r>
          </w:hyperlink>
        </w:p>
        <w:p w14:paraId="33A0D90A" w14:textId="6F8B88EB" w:rsidR="00AB50EE" w:rsidRDefault="00AB50EE">
          <w:pPr>
            <w:pStyle w:val="TOC2"/>
            <w:rPr>
              <w:rFonts w:eastAsiaTheme="minorEastAsia"/>
              <w:bCs w:val="0"/>
            </w:rPr>
          </w:pPr>
          <w:hyperlink w:anchor="_Toc1581517" w:history="1">
            <w:r w:rsidRPr="006A1C5D">
              <w:rPr>
                <w:rStyle w:val="Hyperlink"/>
                <w:rFonts w:ascii="Sylfaen" w:hAnsi="Sylfaen"/>
                <w:lang w:val="ka-GE"/>
              </w:rPr>
              <w:t>4.12 ხიდების დაპროექტება</w:t>
            </w:r>
            <w:r>
              <w:rPr>
                <w:webHidden/>
              </w:rPr>
              <w:tab/>
            </w:r>
            <w:r>
              <w:rPr>
                <w:webHidden/>
              </w:rPr>
              <w:fldChar w:fldCharType="begin"/>
            </w:r>
            <w:r>
              <w:rPr>
                <w:webHidden/>
              </w:rPr>
              <w:instrText xml:space="preserve"> PAGEREF _Toc1581517 \h </w:instrText>
            </w:r>
            <w:r>
              <w:rPr>
                <w:webHidden/>
              </w:rPr>
            </w:r>
            <w:r>
              <w:rPr>
                <w:webHidden/>
              </w:rPr>
              <w:fldChar w:fldCharType="separate"/>
            </w:r>
            <w:r>
              <w:rPr>
                <w:webHidden/>
              </w:rPr>
              <w:t>75</w:t>
            </w:r>
            <w:r>
              <w:rPr>
                <w:webHidden/>
              </w:rPr>
              <w:fldChar w:fldCharType="end"/>
            </w:r>
          </w:hyperlink>
        </w:p>
        <w:p w14:paraId="3CB32961" w14:textId="23AAA03D" w:rsidR="00AB50EE" w:rsidRDefault="00AB50EE">
          <w:pPr>
            <w:pStyle w:val="TOC3"/>
            <w:tabs>
              <w:tab w:val="left" w:pos="1320"/>
              <w:tab w:val="right" w:leader="dot" w:pos="10430"/>
            </w:tabs>
            <w:rPr>
              <w:rFonts w:eastAsiaTheme="minorEastAsia"/>
              <w:noProof/>
            </w:rPr>
          </w:pPr>
          <w:hyperlink w:anchor="_Toc1581518" w:history="1">
            <w:r w:rsidRPr="006A1C5D">
              <w:rPr>
                <w:rStyle w:val="Hyperlink"/>
                <w:rFonts w:ascii="AcadNusx" w:hAnsi="AcadNusx"/>
                <w:noProof/>
              </w:rPr>
              <w:t>4.</w:t>
            </w:r>
            <w:r w:rsidRPr="006A1C5D">
              <w:rPr>
                <w:rStyle w:val="Hyperlink"/>
                <w:rFonts w:ascii="Sylfaen" w:hAnsi="Sylfaen"/>
                <w:noProof/>
                <w:lang w:val="ka-GE"/>
              </w:rPr>
              <w:t>12</w:t>
            </w:r>
            <w:r w:rsidRPr="006A1C5D">
              <w:rPr>
                <w:rStyle w:val="Hyperlink"/>
                <w:rFonts w:ascii="AcadNusx" w:hAnsi="AcadNusx"/>
                <w:noProof/>
              </w:rPr>
              <w:t>.1</w:t>
            </w:r>
            <w:r>
              <w:rPr>
                <w:rFonts w:eastAsiaTheme="minorEastAsia"/>
                <w:noProof/>
              </w:rPr>
              <w:tab/>
            </w:r>
            <w:r w:rsidRPr="006A1C5D">
              <w:rPr>
                <w:rStyle w:val="Hyperlink"/>
                <w:rFonts w:ascii="Sylfaen" w:hAnsi="Sylfaen"/>
                <w:noProof/>
                <w:lang w:val="ka-GE"/>
              </w:rPr>
              <w:t>ხიდების სავალი ნაწილი</w:t>
            </w:r>
            <w:r>
              <w:rPr>
                <w:noProof/>
                <w:webHidden/>
              </w:rPr>
              <w:tab/>
            </w:r>
            <w:r>
              <w:rPr>
                <w:noProof/>
                <w:webHidden/>
              </w:rPr>
              <w:fldChar w:fldCharType="begin"/>
            </w:r>
            <w:r>
              <w:rPr>
                <w:noProof/>
                <w:webHidden/>
              </w:rPr>
              <w:instrText xml:space="preserve"> PAGEREF _Toc1581518 \h </w:instrText>
            </w:r>
            <w:r>
              <w:rPr>
                <w:noProof/>
                <w:webHidden/>
              </w:rPr>
            </w:r>
            <w:r>
              <w:rPr>
                <w:noProof/>
                <w:webHidden/>
              </w:rPr>
              <w:fldChar w:fldCharType="separate"/>
            </w:r>
            <w:r>
              <w:rPr>
                <w:noProof/>
                <w:webHidden/>
              </w:rPr>
              <w:t>76</w:t>
            </w:r>
            <w:r>
              <w:rPr>
                <w:noProof/>
                <w:webHidden/>
              </w:rPr>
              <w:fldChar w:fldCharType="end"/>
            </w:r>
          </w:hyperlink>
        </w:p>
        <w:p w14:paraId="4047326C" w14:textId="4737D76E" w:rsidR="00AB50EE" w:rsidRDefault="00AB50EE">
          <w:pPr>
            <w:pStyle w:val="TOC3"/>
            <w:tabs>
              <w:tab w:val="left" w:pos="1320"/>
              <w:tab w:val="right" w:leader="dot" w:pos="10430"/>
            </w:tabs>
            <w:rPr>
              <w:rFonts w:eastAsiaTheme="minorEastAsia"/>
              <w:noProof/>
            </w:rPr>
          </w:pPr>
          <w:hyperlink w:anchor="_Toc1581519" w:history="1">
            <w:r w:rsidRPr="006A1C5D">
              <w:rPr>
                <w:rStyle w:val="Hyperlink"/>
                <w:rFonts w:ascii="AcadNusx" w:hAnsi="AcadNusx"/>
                <w:noProof/>
              </w:rPr>
              <w:t>4.</w:t>
            </w:r>
            <w:r w:rsidRPr="006A1C5D">
              <w:rPr>
                <w:rStyle w:val="Hyperlink"/>
                <w:rFonts w:ascii="Sylfaen" w:hAnsi="Sylfaen"/>
                <w:noProof/>
                <w:lang w:val="ka-GE"/>
              </w:rPr>
              <w:t>12</w:t>
            </w:r>
            <w:r w:rsidRPr="006A1C5D">
              <w:rPr>
                <w:rStyle w:val="Hyperlink"/>
                <w:rFonts w:ascii="AcadNusx" w:hAnsi="AcadNusx"/>
                <w:noProof/>
              </w:rPr>
              <w:t>.2</w:t>
            </w:r>
            <w:r>
              <w:rPr>
                <w:rFonts w:eastAsiaTheme="minorEastAsia"/>
                <w:noProof/>
              </w:rPr>
              <w:tab/>
            </w:r>
            <w:r w:rsidRPr="006A1C5D">
              <w:rPr>
                <w:rStyle w:val="Hyperlink"/>
                <w:rFonts w:ascii="Sylfaen" w:hAnsi="Sylfaen"/>
                <w:noProof/>
                <w:lang w:val="ka-GE"/>
              </w:rPr>
              <w:t>კონსტრუქციული ტიპები და ფორმები</w:t>
            </w:r>
            <w:r>
              <w:rPr>
                <w:noProof/>
                <w:webHidden/>
              </w:rPr>
              <w:tab/>
            </w:r>
            <w:r>
              <w:rPr>
                <w:noProof/>
                <w:webHidden/>
              </w:rPr>
              <w:fldChar w:fldCharType="begin"/>
            </w:r>
            <w:r>
              <w:rPr>
                <w:noProof/>
                <w:webHidden/>
              </w:rPr>
              <w:instrText xml:space="preserve"> PAGEREF _Toc1581519 \h </w:instrText>
            </w:r>
            <w:r>
              <w:rPr>
                <w:noProof/>
                <w:webHidden/>
              </w:rPr>
            </w:r>
            <w:r>
              <w:rPr>
                <w:noProof/>
                <w:webHidden/>
              </w:rPr>
              <w:fldChar w:fldCharType="separate"/>
            </w:r>
            <w:r>
              <w:rPr>
                <w:noProof/>
                <w:webHidden/>
              </w:rPr>
              <w:t>78</w:t>
            </w:r>
            <w:r>
              <w:rPr>
                <w:noProof/>
                <w:webHidden/>
              </w:rPr>
              <w:fldChar w:fldCharType="end"/>
            </w:r>
          </w:hyperlink>
        </w:p>
        <w:p w14:paraId="06663E51" w14:textId="5C21D9D2" w:rsidR="00AB50EE" w:rsidRDefault="00AB50EE">
          <w:pPr>
            <w:pStyle w:val="TOC3"/>
            <w:tabs>
              <w:tab w:val="left" w:pos="1320"/>
              <w:tab w:val="right" w:leader="dot" w:pos="10430"/>
            </w:tabs>
            <w:rPr>
              <w:rFonts w:eastAsiaTheme="minorEastAsia"/>
              <w:noProof/>
            </w:rPr>
          </w:pPr>
          <w:hyperlink w:anchor="_Toc1581520" w:history="1">
            <w:r w:rsidRPr="006A1C5D">
              <w:rPr>
                <w:rStyle w:val="Hyperlink"/>
                <w:rFonts w:ascii="AcadNusx" w:hAnsi="AcadNusx"/>
                <w:noProof/>
              </w:rPr>
              <w:t>4.</w:t>
            </w:r>
            <w:r w:rsidRPr="006A1C5D">
              <w:rPr>
                <w:rStyle w:val="Hyperlink"/>
                <w:rFonts w:ascii="Sylfaen" w:hAnsi="Sylfaen"/>
                <w:noProof/>
                <w:lang w:val="ka-GE"/>
              </w:rPr>
              <w:t>12</w:t>
            </w:r>
            <w:r w:rsidRPr="006A1C5D">
              <w:rPr>
                <w:rStyle w:val="Hyperlink"/>
                <w:rFonts w:ascii="AcadNusx" w:hAnsi="AcadNusx"/>
                <w:noProof/>
              </w:rPr>
              <w:t>.3</w:t>
            </w:r>
            <w:r>
              <w:rPr>
                <w:rFonts w:eastAsiaTheme="minorEastAsia"/>
                <w:noProof/>
              </w:rPr>
              <w:tab/>
            </w:r>
            <w:r w:rsidRPr="006A1C5D">
              <w:rPr>
                <w:rStyle w:val="Hyperlink"/>
                <w:rFonts w:ascii="Sylfaen" w:hAnsi="Sylfaen"/>
                <w:noProof/>
                <w:lang w:val="ka-GE"/>
              </w:rPr>
              <w:t>ხელმისაწვდომი რესურსები</w:t>
            </w:r>
            <w:r>
              <w:rPr>
                <w:noProof/>
                <w:webHidden/>
              </w:rPr>
              <w:tab/>
            </w:r>
            <w:r>
              <w:rPr>
                <w:noProof/>
                <w:webHidden/>
              </w:rPr>
              <w:fldChar w:fldCharType="begin"/>
            </w:r>
            <w:r>
              <w:rPr>
                <w:noProof/>
                <w:webHidden/>
              </w:rPr>
              <w:instrText xml:space="preserve"> PAGEREF _Toc1581520 \h </w:instrText>
            </w:r>
            <w:r>
              <w:rPr>
                <w:noProof/>
                <w:webHidden/>
              </w:rPr>
            </w:r>
            <w:r>
              <w:rPr>
                <w:noProof/>
                <w:webHidden/>
              </w:rPr>
              <w:fldChar w:fldCharType="separate"/>
            </w:r>
            <w:r>
              <w:rPr>
                <w:noProof/>
                <w:webHidden/>
              </w:rPr>
              <w:t>80</w:t>
            </w:r>
            <w:r>
              <w:rPr>
                <w:noProof/>
                <w:webHidden/>
              </w:rPr>
              <w:fldChar w:fldCharType="end"/>
            </w:r>
          </w:hyperlink>
        </w:p>
        <w:p w14:paraId="1B715E2E" w14:textId="2FD470B1" w:rsidR="00AB50EE" w:rsidRDefault="00AB50EE">
          <w:pPr>
            <w:pStyle w:val="TOC3"/>
            <w:tabs>
              <w:tab w:val="left" w:pos="1320"/>
              <w:tab w:val="right" w:leader="dot" w:pos="10430"/>
            </w:tabs>
            <w:rPr>
              <w:rFonts w:eastAsiaTheme="minorEastAsia"/>
              <w:noProof/>
            </w:rPr>
          </w:pPr>
          <w:hyperlink w:anchor="_Toc1581521" w:history="1">
            <w:r w:rsidRPr="006A1C5D">
              <w:rPr>
                <w:rStyle w:val="Hyperlink"/>
                <w:rFonts w:ascii="AcadNusx" w:hAnsi="AcadNusx"/>
                <w:noProof/>
              </w:rPr>
              <w:t>4.1</w:t>
            </w:r>
            <w:r w:rsidRPr="006A1C5D">
              <w:rPr>
                <w:rStyle w:val="Hyperlink"/>
                <w:rFonts w:ascii="Sylfaen" w:hAnsi="Sylfaen"/>
                <w:noProof/>
                <w:lang w:val="ka-GE"/>
              </w:rPr>
              <w:t>2</w:t>
            </w:r>
            <w:r w:rsidRPr="006A1C5D">
              <w:rPr>
                <w:rStyle w:val="Hyperlink"/>
                <w:rFonts w:ascii="AcadNusx" w:hAnsi="AcadNusx"/>
                <w:noProof/>
              </w:rPr>
              <w:t>.4</w:t>
            </w:r>
            <w:r>
              <w:rPr>
                <w:rFonts w:eastAsiaTheme="minorEastAsia"/>
                <w:noProof/>
              </w:rPr>
              <w:tab/>
            </w:r>
            <w:r w:rsidRPr="006A1C5D">
              <w:rPr>
                <w:rStyle w:val="Hyperlink"/>
                <w:rFonts w:ascii="Sylfaen" w:hAnsi="Sylfaen"/>
                <w:noProof/>
                <w:lang w:val="ka-GE"/>
              </w:rPr>
              <w:t>ნორმები და სტანდარტები</w:t>
            </w:r>
            <w:r>
              <w:rPr>
                <w:noProof/>
                <w:webHidden/>
              </w:rPr>
              <w:tab/>
            </w:r>
            <w:r>
              <w:rPr>
                <w:noProof/>
                <w:webHidden/>
              </w:rPr>
              <w:fldChar w:fldCharType="begin"/>
            </w:r>
            <w:r>
              <w:rPr>
                <w:noProof/>
                <w:webHidden/>
              </w:rPr>
              <w:instrText xml:space="preserve"> PAGEREF _Toc1581521 \h </w:instrText>
            </w:r>
            <w:r>
              <w:rPr>
                <w:noProof/>
                <w:webHidden/>
              </w:rPr>
            </w:r>
            <w:r>
              <w:rPr>
                <w:noProof/>
                <w:webHidden/>
              </w:rPr>
              <w:fldChar w:fldCharType="separate"/>
            </w:r>
            <w:r>
              <w:rPr>
                <w:noProof/>
                <w:webHidden/>
              </w:rPr>
              <w:t>81</w:t>
            </w:r>
            <w:r>
              <w:rPr>
                <w:noProof/>
                <w:webHidden/>
              </w:rPr>
              <w:fldChar w:fldCharType="end"/>
            </w:r>
          </w:hyperlink>
        </w:p>
        <w:p w14:paraId="6736B964" w14:textId="43CC5DCA" w:rsidR="00AB50EE" w:rsidRDefault="00AB50EE">
          <w:pPr>
            <w:pStyle w:val="TOC3"/>
            <w:tabs>
              <w:tab w:val="left" w:pos="1320"/>
              <w:tab w:val="right" w:leader="dot" w:pos="10430"/>
            </w:tabs>
            <w:rPr>
              <w:rFonts w:eastAsiaTheme="minorEastAsia"/>
              <w:noProof/>
            </w:rPr>
          </w:pPr>
          <w:hyperlink w:anchor="_Toc1581522" w:history="1">
            <w:r w:rsidRPr="006A1C5D">
              <w:rPr>
                <w:rStyle w:val="Hyperlink"/>
                <w:noProof/>
              </w:rPr>
              <w:t>4.1</w:t>
            </w:r>
            <w:r w:rsidRPr="006A1C5D">
              <w:rPr>
                <w:rStyle w:val="Hyperlink"/>
                <w:rFonts w:ascii="Sylfaen" w:hAnsi="Sylfaen"/>
                <w:noProof/>
                <w:lang w:val="ka-GE"/>
              </w:rPr>
              <w:t>2</w:t>
            </w:r>
            <w:r w:rsidRPr="006A1C5D">
              <w:rPr>
                <w:rStyle w:val="Hyperlink"/>
                <w:noProof/>
              </w:rPr>
              <w:t>.5</w:t>
            </w:r>
            <w:r>
              <w:rPr>
                <w:rFonts w:eastAsiaTheme="minorEastAsia"/>
                <w:noProof/>
              </w:rPr>
              <w:tab/>
            </w:r>
            <w:r w:rsidRPr="006A1C5D">
              <w:rPr>
                <w:rStyle w:val="Hyperlink"/>
                <w:rFonts w:ascii="Sylfaen" w:hAnsi="Sylfaen"/>
                <w:noProof/>
                <w:lang w:val="ka-GE"/>
              </w:rPr>
              <w:t>სამშენებლო მასალები</w:t>
            </w:r>
            <w:r>
              <w:rPr>
                <w:noProof/>
                <w:webHidden/>
              </w:rPr>
              <w:tab/>
            </w:r>
            <w:r>
              <w:rPr>
                <w:noProof/>
                <w:webHidden/>
              </w:rPr>
              <w:fldChar w:fldCharType="begin"/>
            </w:r>
            <w:r>
              <w:rPr>
                <w:noProof/>
                <w:webHidden/>
              </w:rPr>
              <w:instrText xml:space="preserve"> PAGEREF _Toc1581522 \h </w:instrText>
            </w:r>
            <w:r>
              <w:rPr>
                <w:noProof/>
                <w:webHidden/>
              </w:rPr>
            </w:r>
            <w:r>
              <w:rPr>
                <w:noProof/>
                <w:webHidden/>
              </w:rPr>
              <w:fldChar w:fldCharType="separate"/>
            </w:r>
            <w:r>
              <w:rPr>
                <w:noProof/>
                <w:webHidden/>
              </w:rPr>
              <w:t>82</w:t>
            </w:r>
            <w:r>
              <w:rPr>
                <w:noProof/>
                <w:webHidden/>
              </w:rPr>
              <w:fldChar w:fldCharType="end"/>
            </w:r>
          </w:hyperlink>
        </w:p>
        <w:p w14:paraId="39731163" w14:textId="6651C00A" w:rsidR="00AB50EE" w:rsidRDefault="00AB50EE">
          <w:pPr>
            <w:pStyle w:val="TOC3"/>
            <w:tabs>
              <w:tab w:val="left" w:pos="1320"/>
              <w:tab w:val="right" w:leader="dot" w:pos="10430"/>
            </w:tabs>
            <w:rPr>
              <w:rFonts w:eastAsiaTheme="minorEastAsia"/>
              <w:noProof/>
            </w:rPr>
          </w:pPr>
          <w:hyperlink w:anchor="_Toc1581523" w:history="1">
            <w:r w:rsidRPr="006A1C5D">
              <w:rPr>
                <w:rStyle w:val="Hyperlink"/>
                <w:rFonts w:ascii="AcadNusx" w:hAnsi="AcadNusx"/>
                <w:noProof/>
              </w:rPr>
              <w:t>4.1</w:t>
            </w:r>
            <w:r w:rsidRPr="006A1C5D">
              <w:rPr>
                <w:rStyle w:val="Hyperlink"/>
                <w:rFonts w:ascii="Sylfaen" w:hAnsi="Sylfaen"/>
                <w:noProof/>
                <w:lang w:val="ka-GE"/>
              </w:rPr>
              <w:t>2</w:t>
            </w:r>
            <w:r w:rsidRPr="006A1C5D">
              <w:rPr>
                <w:rStyle w:val="Hyperlink"/>
                <w:rFonts w:ascii="AcadNusx" w:hAnsi="AcadNusx"/>
                <w:noProof/>
              </w:rPr>
              <w:t>.6</w:t>
            </w:r>
            <w:r>
              <w:rPr>
                <w:rFonts w:eastAsiaTheme="minorEastAsia"/>
                <w:noProof/>
              </w:rPr>
              <w:tab/>
            </w:r>
            <w:r w:rsidRPr="006A1C5D">
              <w:rPr>
                <w:rStyle w:val="Hyperlink"/>
                <w:rFonts w:ascii="Sylfaen" w:hAnsi="Sylfaen"/>
                <w:noProof/>
                <w:lang w:val="ka-GE"/>
              </w:rPr>
              <w:t>ხიდების დატვირთვები</w:t>
            </w:r>
            <w:r>
              <w:rPr>
                <w:noProof/>
                <w:webHidden/>
              </w:rPr>
              <w:tab/>
            </w:r>
            <w:r>
              <w:rPr>
                <w:noProof/>
                <w:webHidden/>
              </w:rPr>
              <w:fldChar w:fldCharType="begin"/>
            </w:r>
            <w:r>
              <w:rPr>
                <w:noProof/>
                <w:webHidden/>
              </w:rPr>
              <w:instrText xml:space="preserve"> PAGEREF _Toc1581523 \h </w:instrText>
            </w:r>
            <w:r>
              <w:rPr>
                <w:noProof/>
                <w:webHidden/>
              </w:rPr>
            </w:r>
            <w:r>
              <w:rPr>
                <w:noProof/>
                <w:webHidden/>
              </w:rPr>
              <w:fldChar w:fldCharType="separate"/>
            </w:r>
            <w:r>
              <w:rPr>
                <w:noProof/>
                <w:webHidden/>
              </w:rPr>
              <w:t>83</w:t>
            </w:r>
            <w:r>
              <w:rPr>
                <w:noProof/>
                <w:webHidden/>
              </w:rPr>
              <w:fldChar w:fldCharType="end"/>
            </w:r>
          </w:hyperlink>
        </w:p>
        <w:p w14:paraId="0E6ED790" w14:textId="7E7C1FB8" w:rsidR="00AB50EE" w:rsidRDefault="00AB50EE">
          <w:pPr>
            <w:pStyle w:val="TOC3"/>
            <w:tabs>
              <w:tab w:val="left" w:pos="1320"/>
              <w:tab w:val="right" w:leader="dot" w:pos="10430"/>
            </w:tabs>
            <w:rPr>
              <w:rFonts w:eastAsiaTheme="minorEastAsia"/>
              <w:noProof/>
            </w:rPr>
          </w:pPr>
          <w:hyperlink w:anchor="_Toc1581524" w:history="1">
            <w:r w:rsidRPr="006A1C5D">
              <w:rPr>
                <w:rStyle w:val="Hyperlink"/>
                <w:rFonts w:ascii="AcadNusx" w:hAnsi="AcadNusx"/>
                <w:noProof/>
              </w:rPr>
              <w:t>4.1</w:t>
            </w:r>
            <w:r w:rsidRPr="006A1C5D">
              <w:rPr>
                <w:rStyle w:val="Hyperlink"/>
                <w:rFonts w:ascii="Sylfaen" w:hAnsi="Sylfaen"/>
                <w:noProof/>
                <w:lang w:val="ka-GE"/>
              </w:rPr>
              <w:t>2</w:t>
            </w:r>
            <w:r w:rsidRPr="006A1C5D">
              <w:rPr>
                <w:rStyle w:val="Hyperlink"/>
                <w:rFonts w:ascii="AcadNusx" w:hAnsi="AcadNusx"/>
                <w:noProof/>
              </w:rPr>
              <w:t>.7</w:t>
            </w:r>
            <w:r>
              <w:rPr>
                <w:rFonts w:eastAsiaTheme="minorEastAsia"/>
                <w:noProof/>
              </w:rPr>
              <w:tab/>
            </w:r>
            <w:r w:rsidRPr="006A1C5D">
              <w:rPr>
                <w:rStyle w:val="Hyperlink"/>
                <w:rFonts w:ascii="Sylfaen" w:hAnsi="Sylfaen"/>
                <w:noProof/>
                <w:lang w:val="ka-GE"/>
              </w:rPr>
              <w:t>წინასწარი პროექტირება</w:t>
            </w:r>
            <w:r>
              <w:rPr>
                <w:noProof/>
                <w:webHidden/>
              </w:rPr>
              <w:tab/>
            </w:r>
            <w:r>
              <w:rPr>
                <w:noProof/>
                <w:webHidden/>
              </w:rPr>
              <w:fldChar w:fldCharType="begin"/>
            </w:r>
            <w:r>
              <w:rPr>
                <w:noProof/>
                <w:webHidden/>
              </w:rPr>
              <w:instrText xml:space="preserve"> PAGEREF _Toc1581524 \h </w:instrText>
            </w:r>
            <w:r>
              <w:rPr>
                <w:noProof/>
                <w:webHidden/>
              </w:rPr>
            </w:r>
            <w:r>
              <w:rPr>
                <w:noProof/>
                <w:webHidden/>
              </w:rPr>
              <w:fldChar w:fldCharType="separate"/>
            </w:r>
            <w:r>
              <w:rPr>
                <w:noProof/>
                <w:webHidden/>
              </w:rPr>
              <w:t>87</w:t>
            </w:r>
            <w:r>
              <w:rPr>
                <w:noProof/>
                <w:webHidden/>
              </w:rPr>
              <w:fldChar w:fldCharType="end"/>
            </w:r>
          </w:hyperlink>
        </w:p>
        <w:p w14:paraId="4D50658F" w14:textId="2AE2D8AC" w:rsidR="00AB50EE" w:rsidRDefault="00AB50EE">
          <w:pPr>
            <w:pStyle w:val="TOC3"/>
            <w:tabs>
              <w:tab w:val="left" w:pos="1320"/>
              <w:tab w:val="right" w:leader="dot" w:pos="10430"/>
            </w:tabs>
            <w:rPr>
              <w:rFonts w:eastAsiaTheme="minorEastAsia"/>
              <w:noProof/>
            </w:rPr>
          </w:pPr>
          <w:hyperlink w:anchor="_Toc1581525" w:history="1">
            <w:r w:rsidRPr="006A1C5D">
              <w:rPr>
                <w:rStyle w:val="Hyperlink"/>
                <w:rFonts w:ascii="AcadNusx" w:hAnsi="AcadNusx"/>
                <w:noProof/>
              </w:rPr>
              <w:t>4.1</w:t>
            </w:r>
            <w:r w:rsidRPr="006A1C5D">
              <w:rPr>
                <w:rStyle w:val="Hyperlink"/>
                <w:rFonts w:ascii="Sylfaen" w:hAnsi="Sylfaen"/>
                <w:noProof/>
                <w:lang w:val="ka-GE"/>
              </w:rPr>
              <w:t>2</w:t>
            </w:r>
            <w:r w:rsidRPr="006A1C5D">
              <w:rPr>
                <w:rStyle w:val="Hyperlink"/>
                <w:rFonts w:ascii="AcadNusx" w:hAnsi="AcadNusx"/>
                <w:noProof/>
              </w:rPr>
              <w:t>.8</w:t>
            </w:r>
            <w:r>
              <w:rPr>
                <w:rFonts w:eastAsiaTheme="minorEastAsia"/>
                <w:noProof/>
              </w:rPr>
              <w:tab/>
            </w:r>
            <w:r w:rsidRPr="006A1C5D">
              <w:rPr>
                <w:rStyle w:val="Hyperlink"/>
                <w:rFonts w:ascii="Sylfaen" w:hAnsi="Sylfaen"/>
                <w:noProof/>
                <w:lang w:val="ka-GE"/>
              </w:rPr>
              <w:t>ხიდის კუთვნილებანი</w:t>
            </w:r>
            <w:r>
              <w:rPr>
                <w:noProof/>
                <w:webHidden/>
              </w:rPr>
              <w:tab/>
            </w:r>
            <w:r>
              <w:rPr>
                <w:noProof/>
                <w:webHidden/>
              </w:rPr>
              <w:fldChar w:fldCharType="begin"/>
            </w:r>
            <w:r>
              <w:rPr>
                <w:noProof/>
                <w:webHidden/>
              </w:rPr>
              <w:instrText xml:space="preserve"> PAGEREF _Toc1581525 \h </w:instrText>
            </w:r>
            <w:r>
              <w:rPr>
                <w:noProof/>
                <w:webHidden/>
              </w:rPr>
            </w:r>
            <w:r>
              <w:rPr>
                <w:noProof/>
                <w:webHidden/>
              </w:rPr>
              <w:fldChar w:fldCharType="separate"/>
            </w:r>
            <w:r>
              <w:rPr>
                <w:noProof/>
                <w:webHidden/>
              </w:rPr>
              <w:t>93</w:t>
            </w:r>
            <w:r>
              <w:rPr>
                <w:noProof/>
                <w:webHidden/>
              </w:rPr>
              <w:fldChar w:fldCharType="end"/>
            </w:r>
          </w:hyperlink>
        </w:p>
        <w:p w14:paraId="20550C46" w14:textId="3A891F79" w:rsidR="00AB50EE" w:rsidRDefault="00AB50EE">
          <w:pPr>
            <w:pStyle w:val="TOC3"/>
            <w:tabs>
              <w:tab w:val="right" w:leader="dot" w:pos="10430"/>
            </w:tabs>
            <w:rPr>
              <w:rFonts w:eastAsiaTheme="minorEastAsia"/>
              <w:noProof/>
            </w:rPr>
          </w:pPr>
          <w:hyperlink w:anchor="_Toc1581526" w:history="1">
            <w:r w:rsidRPr="006A1C5D">
              <w:rPr>
                <w:rStyle w:val="Hyperlink"/>
                <w:noProof/>
                <w:lang w:val="ka-GE" w:bidi="bn-BD"/>
              </w:rPr>
              <w:t>4.1</w:t>
            </w:r>
            <w:r w:rsidRPr="006A1C5D">
              <w:rPr>
                <w:rStyle w:val="Hyperlink"/>
                <w:rFonts w:ascii="Sylfaen" w:hAnsi="Sylfaen"/>
                <w:noProof/>
                <w:lang w:val="ka-GE" w:bidi="bn-BD"/>
              </w:rPr>
              <w:t>2</w:t>
            </w:r>
            <w:r w:rsidRPr="006A1C5D">
              <w:rPr>
                <w:rStyle w:val="Hyperlink"/>
                <w:noProof/>
                <w:lang w:val="ka-GE" w:bidi="bn-BD"/>
              </w:rPr>
              <w:t xml:space="preserve">.9 </w:t>
            </w:r>
            <w:r w:rsidRPr="006A1C5D">
              <w:rPr>
                <w:rStyle w:val="Hyperlink"/>
                <w:rFonts w:ascii="Sylfaen" w:hAnsi="Sylfaen"/>
                <w:noProof/>
                <w:lang w:val="ka-GE" w:bidi="bn-BD"/>
              </w:rPr>
              <w:t>წინასწარდაძაბული კოჭოვანი ხიდის წინასაპროექტო გაანგარიშება</w:t>
            </w:r>
            <w:r>
              <w:rPr>
                <w:noProof/>
                <w:webHidden/>
              </w:rPr>
              <w:tab/>
            </w:r>
            <w:r>
              <w:rPr>
                <w:noProof/>
                <w:webHidden/>
              </w:rPr>
              <w:fldChar w:fldCharType="begin"/>
            </w:r>
            <w:r>
              <w:rPr>
                <w:noProof/>
                <w:webHidden/>
              </w:rPr>
              <w:instrText xml:space="preserve"> PAGEREF _Toc1581526 \h </w:instrText>
            </w:r>
            <w:r>
              <w:rPr>
                <w:noProof/>
                <w:webHidden/>
              </w:rPr>
            </w:r>
            <w:r>
              <w:rPr>
                <w:noProof/>
                <w:webHidden/>
              </w:rPr>
              <w:fldChar w:fldCharType="separate"/>
            </w:r>
            <w:r>
              <w:rPr>
                <w:noProof/>
                <w:webHidden/>
              </w:rPr>
              <w:t>96</w:t>
            </w:r>
            <w:r>
              <w:rPr>
                <w:noProof/>
                <w:webHidden/>
              </w:rPr>
              <w:fldChar w:fldCharType="end"/>
            </w:r>
          </w:hyperlink>
        </w:p>
        <w:p w14:paraId="79C48D6D" w14:textId="617699CC" w:rsidR="00AB50EE" w:rsidRDefault="00AB50EE">
          <w:pPr>
            <w:pStyle w:val="TOC3"/>
            <w:tabs>
              <w:tab w:val="right" w:leader="dot" w:pos="10430"/>
            </w:tabs>
            <w:rPr>
              <w:rFonts w:eastAsiaTheme="minorEastAsia"/>
              <w:noProof/>
            </w:rPr>
          </w:pPr>
          <w:hyperlink w:anchor="_Toc1581527" w:history="1">
            <w:r w:rsidRPr="006A1C5D">
              <w:rPr>
                <w:rStyle w:val="Hyperlink"/>
                <w:noProof/>
              </w:rPr>
              <w:t>4.1</w:t>
            </w:r>
            <w:r w:rsidRPr="006A1C5D">
              <w:rPr>
                <w:rStyle w:val="Hyperlink"/>
                <w:rFonts w:ascii="Sylfaen" w:hAnsi="Sylfaen"/>
                <w:noProof/>
                <w:lang w:val="ka-GE"/>
              </w:rPr>
              <w:t>2</w:t>
            </w:r>
            <w:r w:rsidRPr="006A1C5D">
              <w:rPr>
                <w:rStyle w:val="Hyperlink"/>
                <w:noProof/>
              </w:rPr>
              <w:t xml:space="preserve">.10 </w:t>
            </w:r>
            <w:r w:rsidRPr="006A1C5D">
              <w:rPr>
                <w:rStyle w:val="Hyperlink"/>
                <w:rFonts w:ascii="Sylfaen" w:hAnsi="Sylfaen" w:cs="Sylfaen"/>
                <w:noProof/>
              </w:rPr>
              <w:t>ინტეგრირებული</w:t>
            </w:r>
            <w:r w:rsidRPr="006A1C5D">
              <w:rPr>
                <w:rStyle w:val="Hyperlink"/>
                <w:noProof/>
              </w:rPr>
              <w:t xml:space="preserve"> </w:t>
            </w:r>
            <w:r w:rsidRPr="006A1C5D">
              <w:rPr>
                <w:rStyle w:val="Hyperlink"/>
                <w:rFonts w:ascii="Sylfaen" w:hAnsi="Sylfaen" w:cs="Sylfaen"/>
                <w:noProof/>
              </w:rPr>
              <w:t>რკინაბეტონის</w:t>
            </w:r>
            <w:r w:rsidRPr="006A1C5D">
              <w:rPr>
                <w:rStyle w:val="Hyperlink"/>
                <w:noProof/>
              </w:rPr>
              <w:t xml:space="preserve"> </w:t>
            </w:r>
            <w:r w:rsidRPr="006A1C5D">
              <w:rPr>
                <w:rStyle w:val="Hyperlink"/>
                <w:rFonts w:ascii="Sylfaen" w:hAnsi="Sylfaen" w:cs="Sylfaen"/>
                <w:noProof/>
              </w:rPr>
              <w:t>ხიდის</w:t>
            </w:r>
            <w:r w:rsidRPr="006A1C5D">
              <w:rPr>
                <w:rStyle w:val="Hyperlink"/>
                <w:noProof/>
              </w:rPr>
              <w:t xml:space="preserve"> </w:t>
            </w:r>
            <w:r w:rsidRPr="006A1C5D">
              <w:rPr>
                <w:rStyle w:val="Hyperlink"/>
                <w:rFonts w:ascii="Sylfaen" w:hAnsi="Sylfaen" w:cs="Sylfaen"/>
                <w:noProof/>
              </w:rPr>
              <w:t>წინასაპროექტო</w:t>
            </w:r>
            <w:r w:rsidRPr="006A1C5D">
              <w:rPr>
                <w:rStyle w:val="Hyperlink"/>
                <w:noProof/>
              </w:rPr>
              <w:t xml:space="preserve"> </w:t>
            </w:r>
            <w:r w:rsidRPr="006A1C5D">
              <w:rPr>
                <w:rStyle w:val="Hyperlink"/>
                <w:rFonts w:ascii="Sylfaen" w:hAnsi="Sylfaen" w:cs="Sylfaen"/>
                <w:noProof/>
              </w:rPr>
              <w:t>გაანგარიშება</w:t>
            </w:r>
            <w:r>
              <w:rPr>
                <w:noProof/>
                <w:webHidden/>
              </w:rPr>
              <w:tab/>
            </w:r>
            <w:r>
              <w:rPr>
                <w:noProof/>
                <w:webHidden/>
              </w:rPr>
              <w:fldChar w:fldCharType="begin"/>
            </w:r>
            <w:r>
              <w:rPr>
                <w:noProof/>
                <w:webHidden/>
              </w:rPr>
              <w:instrText xml:space="preserve"> PAGEREF _Toc1581527 \h </w:instrText>
            </w:r>
            <w:r>
              <w:rPr>
                <w:noProof/>
                <w:webHidden/>
              </w:rPr>
            </w:r>
            <w:r>
              <w:rPr>
                <w:noProof/>
                <w:webHidden/>
              </w:rPr>
              <w:fldChar w:fldCharType="separate"/>
            </w:r>
            <w:r>
              <w:rPr>
                <w:noProof/>
                <w:webHidden/>
              </w:rPr>
              <w:t>108</w:t>
            </w:r>
            <w:r>
              <w:rPr>
                <w:noProof/>
                <w:webHidden/>
              </w:rPr>
              <w:fldChar w:fldCharType="end"/>
            </w:r>
          </w:hyperlink>
        </w:p>
        <w:p w14:paraId="0472910D" w14:textId="0493B9AF" w:rsidR="00AB50EE" w:rsidRDefault="00AB50EE">
          <w:pPr>
            <w:pStyle w:val="TOC2"/>
            <w:tabs>
              <w:tab w:val="left" w:pos="880"/>
            </w:tabs>
            <w:rPr>
              <w:rFonts w:eastAsiaTheme="minorEastAsia"/>
              <w:bCs w:val="0"/>
            </w:rPr>
          </w:pPr>
          <w:hyperlink w:anchor="_Toc1581528" w:history="1">
            <w:r w:rsidRPr="006A1C5D">
              <w:rPr>
                <w:rStyle w:val="Hyperlink"/>
                <w:rFonts w:ascii="AcadNusx" w:hAnsi="AcadNusx"/>
                <w:lang w:val="ka-GE"/>
              </w:rPr>
              <w:t>4.1</w:t>
            </w:r>
            <w:r w:rsidRPr="006A1C5D">
              <w:rPr>
                <w:rStyle w:val="Hyperlink"/>
                <w:rFonts w:ascii="Sylfaen" w:hAnsi="Sylfaen"/>
                <w:lang w:val="ka-GE"/>
              </w:rPr>
              <w:t>3</w:t>
            </w:r>
            <w:r>
              <w:rPr>
                <w:rFonts w:eastAsiaTheme="minorEastAsia"/>
                <w:bCs w:val="0"/>
              </w:rPr>
              <w:tab/>
            </w:r>
            <w:r w:rsidRPr="006A1C5D">
              <w:rPr>
                <w:rStyle w:val="Hyperlink"/>
                <w:rFonts w:ascii="Sylfaen" w:hAnsi="Sylfaen"/>
                <w:lang w:val="ka-GE"/>
              </w:rPr>
              <w:t>საყრდენი ნაგებობანი</w:t>
            </w:r>
            <w:r>
              <w:rPr>
                <w:webHidden/>
              </w:rPr>
              <w:tab/>
            </w:r>
            <w:r>
              <w:rPr>
                <w:webHidden/>
              </w:rPr>
              <w:fldChar w:fldCharType="begin"/>
            </w:r>
            <w:r>
              <w:rPr>
                <w:webHidden/>
              </w:rPr>
              <w:instrText xml:space="preserve"> PAGEREF _Toc1581528 \h </w:instrText>
            </w:r>
            <w:r>
              <w:rPr>
                <w:webHidden/>
              </w:rPr>
            </w:r>
            <w:r>
              <w:rPr>
                <w:webHidden/>
              </w:rPr>
              <w:fldChar w:fldCharType="separate"/>
            </w:r>
            <w:r>
              <w:rPr>
                <w:webHidden/>
              </w:rPr>
              <w:t>115</w:t>
            </w:r>
            <w:r>
              <w:rPr>
                <w:webHidden/>
              </w:rPr>
              <w:fldChar w:fldCharType="end"/>
            </w:r>
          </w:hyperlink>
        </w:p>
        <w:p w14:paraId="3A335C57" w14:textId="7853976D" w:rsidR="00AB50EE" w:rsidRDefault="00AB50EE">
          <w:pPr>
            <w:pStyle w:val="TOC3"/>
            <w:tabs>
              <w:tab w:val="left" w:pos="1320"/>
              <w:tab w:val="right" w:leader="dot" w:pos="10430"/>
            </w:tabs>
            <w:rPr>
              <w:rFonts w:eastAsiaTheme="minorEastAsia"/>
              <w:noProof/>
            </w:rPr>
          </w:pPr>
          <w:hyperlink w:anchor="_Toc1581529" w:history="1">
            <w:r w:rsidRPr="006A1C5D">
              <w:rPr>
                <w:rStyle w:val="Hyperlink"/>
                <w:rFonts w:ascii="AcadNusx" w:hAnsi="AcadNusx"/>
                <w:noProof/>
              </w:rPr>
              <w:t>4.1</w:t>
            </w:r>
            <w:r w:rsidRPr="006A1C5D">
              <w:rPr>
                <w:rStyle w:val="Hyperlink"/>
                <w:rFonts w:ascii="Sylfaen" w:hAnsi="Sylfaen"/>
                <w:noProof/>
                <w:lang w:val="ka-GE"/>
              </w:rPr>
              <w:t>3</w:t>
            </w:r>
            <w:r w:rsidRPr="006A1C5D">
              <w:rPr>
                <w:rStyle w:val="Hyperlink"/>
                <w:rFonts w:ascii="AcadNusx" w:hAnsi="AcadNusx"/>
                <w:noProof/>
              </w:rPr>
              <w:t>.1</w:t>
            </w:r>
            <w:r>
              <w:rPr>
                <w:rFonts w:eastAsiaTheme="minorEastAsia"/>
                <w:noProof/>
              </w:rPr>
              <w:tab/>
            </w:r>
            <w:r w:rsidRPr="006A1C5D">
              <w:rPr>
                <w:rStyle w:val="Hyperlink"/>
                <w:rFonts w:ascii="Sylfaen" w:hAnsi="Sylfaen"/>
                <w:noProof/>
                <w:lang w:val="ka-GE"/>
              </w:rPr>
              <w:t>მექანიკურად სტაბილიზირებული გრუნტის კედლები</w:t>
            </w:r>
            <w:r>
              <w:rPr>
                <w:noProof/>
                <w:webHidden/>
              </w:rPr>
              <w:tab/>
            </w:r>
            <w:r>
              <w:rPr>
                <w:noProof/>
                <w:webHidden/>
              </w:rPr>
              <w:fldChar w:fldCharType="begin"/>
            </w:r>
            <w:r>
              <w:rPr>
                <w:noProof/>
                <w:webHidden/>
              </w:rPr>
              <w:instrText xml:space="preserve"> PAGEREF _Toc1581529 \h </w:instrText>
            </w:r>
            <w:r>
              <w:rPr>
                <w:noProof/>
                <w:webHidden/>
              </w:rPr>
            </w:r>
            <w:r>
              <w:rPr>
                <w:noProof/>
                <w:webHidden/>
              </w:rPr>
              <w:fldChar w:fldCharType="separate"/>
            </w:r>
            <w:r>
              <w:rPr>
                <w:noProof/>
                <w:webHidden/>
              </w:rPr>
              <w:t>115</w:t>
            </w:r>
            <w:r>
              <w:rPr>
                <w:noProof/>
                <w:webHidden/>
              </w:rPr>
              <w:fldChar w:fldCharType="end"/>
            </w:r>
          </w:hyperlink>
        </w:p>
        <w:p w14:paraId="5F6A4D6B" w14:textId="71741A24" w:rsidR="00AB50EE" w:rsidRDefault="00AB50EE">
          <w:pPr>
            <w:pStyle w:val="TOC3"/>
            <w:tabs>
              <w:tab w:val="left" w:pos="1320"/>
              <w:tab w:val="right" w:leader="dot" w:pos="10430"/>
            </w:tabs>
            <w:rPr>
              <w:rFonts w:eastAsiaTheme="minorEastAsia"/>
              <w:noProof/>
            </w:rPr>
          </w:pPr>
          <w:hyperlink w:anchor="_Toc1581530" w:history="1">
            <w:r w:rsidRPr="006A1C5D">
              <w:rPr>
                <w:rStyle w:val="Hyperlink"/>
                <w:noProof/>
              </w:rPr>
              <w:t>4.1</w:t>
            </w:r>
            <w:r w:rsidRPr="006A1C5D">
              <w:rPr>
                <w:rStyle w:val="Hyperlink"/>
                <w:rFonts w:ascii="Sylfaen" w:hAnsi="Sylfaen"/>
                <w:noProof/>
                <w:lang w:val="ka-GE"/>
              </w:rPr>
              <w:t>3</w:t>
            </w:r>
            <w:r w:rsidRPr="006A1C5D">
              <w:rPr>
                <w:rStyle w:val="Hyperlink"/>
                <w:noProof/>
              </w:rPr>
              <w:t xml:space="preserve">.2 </w:t>
            </w:r>
            <w:r>
              <w:rPr>
                <w:rFonts w:eastAsiaTheme="minorEastAsia"/>
                <w:noProof/>
              </w:rPr>
              <w:tab/>
            </w:r>
            <w:r w:rsidRPr="006A1C5D">
              <w:rPr>
                <w:rStyle w:val="Hyperlink"/>
                <w:rFonts w:ascii="Sylfaen" w:hAnsi="Sylfaen"/>
                <w:noProof/>
                <w:lang w:val="ka-GE"/>
              </w:rPr>
              <w:t>პროექტების ნორმების და გამოყენებული კომპიუტერული პროგრამები</w:t>
            </w:r>
            <w:r>
              <w:rPr>
                <w:noProof/>
                <w:webHidden/>
              </w:rPr>
              <w:tab/>
            </w:r>
            <w:r>
              <w:rPr>
                <w:noProof/>
                <w:webHidden/>
              </w:rPr>
              <w:fldChar w:fldCharType="begin"/>
            </w:r>
            <w:r>
              <w:rPr>
                <w:noProof/>
                <w:webHidden/>
              </w:rPr>
              <w:instrText xml:space="preserve"> PAGEREF _Toc1581530 \h </w:instrText>
            </w:r>
            <w:r>
              <w:rPr>
                <w:noProof/>
                <w:webHidden/>
              </w:rPr>
            </w:r>
            <w:r>
              <w:rPr>
                <w:noProof/>
                <w:webHidden/>
              </w:rPr>
              <w:fldChar w:fldCharType="separate"/>
            </w:r>
            <w:r>
              <w:rPr>
                <w:noProof/>
                <w:webHidden/>
              </w:rPr>
              <w:t>116</w:t>
            </w:r>
            <w:r>
              <w:rPr>
                <w:noProof/>
                <w:webHidden/>
              </w:rPr>
              <w:fldChar w:fldCharType="end"/>
            </w:r>
          </w:hyperlink>
        </w:p>
        <w:p w14:paraId="0C28FD95" w14:textId="2A749C40" w:rsidR="00AB50EE" w:rsidRDefault="00AB50EE">
          <w:pPr>
            <w:pStyle w:val="TOC3"/>
            <w:tabs>
              <w:tab w:val="left" w:pos="1320"/>
              <w:tab w:val="right" w:leader="dot" w:pos="10430"/>
            </w:tabs>
            <w:rPr>
              <w:rFonts w:eastAsiaTheme="minorEastAsia"/>
              <w:noProof/>
            </w:rPr>
          </w:pPr>
          <w:hyperlink w:anchor="_Toc1581531" w:history="1">
            <w:r w:rsidRPr="006A1C5D">
              <w:rPr>
                <w:rStyle w:val="Hyperlink"/>
                <w:rFonts w:ascii="AcadNusx" w:hAnsi="AcadNusx"/>
                <w:noProof/>
              </w:rPr>
              <w:t>4.1</w:t>
            </w:r>
            <w:r w:rsidRPr="006A1C5D">
              <w:rPr>
                <w:rStyle w:val="Hyperlink"/>
                <w:rFonts w:ascii="Sylfaen" w:hAnsi="Sylfaen"/>
                <w:noProof/>
                <w:lang w:val="ka-GE"/>
              </w:rPr>
              <w:t>3</w:t>
            </w:r>
            <w:r w:rsidRPr="006A1C5D">
              <w:rPr>
                <w:rStyle w:val="Hyperlink"/>
                <w:rFonts w:ascii="AcadNusx" w:hAnsi="AcadNusx"/>
                <w:noProof/>
              </w:rPr>
              <w:t xml:space="preserve">.3 </w:t>
            </w:r>
            <w:r>
              <w:rPr>
                <w:rFonts w:eastAsiaTheme="minorEastAsia"/>
                <w:noProof/>
              </w:rPr>
              <w:tab/>
            </w:r>
            <w:r w:rsidRPr="006A1C5D">
              <w:rPr>
                <w:rStyle w:val="Hyperlink"/>
                <w:rFonts w:ascii="Sylfaen" w:hAnsi="Sylfaen"/>
                <w:noProof/>
                <w:lang w:val="ka-GE"/>
              </w:rPr>
              <w:t>პროექტებისთვის საჭირო პარამეტრები და დაშვებები</w:t>
            </w:r>
            <w:r>
              <w:rPr>
                <w:noProof/>
                <w:webHidden/>
              </w:rPr>
              <w:tab/>
            </w:r>
            <w:r>
              <w:rPr>
                <w:noProof/>
                <w:webHidden/>
              </w:rPr>
              <w:fldChar w:fldCharType="begin"/>
            </w:r>
            <w:r>
              <w:rPr>
                <w:noProof/>
                <w:webHidden/>
              </w:rPr>
              <w:instrText xml:space="preserve"> PAGEREF _Toc1581531 \h </w:instrText>
            </w:r>
            <w:r>
              <w:rPr>
                <w:noProof/>
                <w:webHidden/>
              </w:rPr>
            </w:r>
            <w:r>
              <w:rPr>
                <w:noProof/>
                <w:webHidden/>
              </w:rPr>
              <w:fldChar w:fldCharType="separate"/>
            </w:r>
            <w:r>
              <w:rPr>
                <w:noProof/>
                <w:webHidden/>
              </w:rPr>
              <w:t>117</w:t>
            </w:r>
            <w:r>
              <w:rPr>
                <w:noProof/>
                <w:webHidden/>
              </w:rPr>
              <w:fldChar w:fldCharType="end"/>
            </w:r>
          </w:hyperlink>
        </w:p>
        <w:p w14:paraId="1B94EC56" w14:textId="5E93C91F" w:rsidR="00AB50EE" w:rsidRDefault="00AB50EE">
          <w:pPr>
            <w:pStyle w:val="TOC3"/>
            <w:tabs>
              <w:tab w:val="right" w:leader="dot" w:pos="10430"/>
            </w:tabs>
            <w:rPr>
              <w:rFonts w:eastAsiaTheme="minorEastAsia"/>
              <w:noProof/>
            </w:rPr>
          </w:pPr>
          <w:hyperlink w:anchor="_Toc1581532" w:history="1">
            <w:r w:rsidRPr="006A1C5D">
              <w:rPr>
                <w:rStyle w:val="Hyperlink"/>
                <w:rFonts w:ascii="AcadNusx" w:hAnsi="AcadNusx"/>
                <w:noProof/>
              </w:rPr>
              <w:t>4.1</w:t>
            </w:r>
            <w:r w:rsidRPr="006A1C5D">
              <w:rPr>
                <w:rStyle w:val="Hyperlink"/>
                <w:rFonts w:ascii="Sylfaen" w:hAnsi="Sylfaen"/>
                <w:noProof/>
                <w:lang w:val="ka-GE"/>
              </w:rPr>
              <w:t>3</w:t>
            </w:r>
            <w:r w:rsidRPr="006A1C5D">
              <w:rPr>
                <w:rStyle w:val="Hyperlink"/>
                <w:rFonts w:ascii="AcadNusx" w:hAnsi="AcadNusx"/>
                <w:noProof/>
              </w:rPr>
              <w:t xml:space="preserve">.4 </w:t>
            </w:r>
            <w:r w:rsidRPr="006A1C5D">
              <w:rPr>
                <w:rStyle w:val="Hyperlink"/>
                <w:rFonts w:ascii="Sylfaen" w:hAnsi="Sylfaen"/>
                <w:noProof/>
                <w:lang w:val="ka-GE"/>
              </w:rPr>
              <w:t>გამოთვლების შედეგები და მიგნებები</w:t>
            </w:r>
            <w:r>
              <w:rPr>
                <w:noProof/>
                <w:webHidden/>
              </w:rPr>
              <w:tab/>
            </w:r>
            <w:r>
              <w:rPr>
                <w:noProof/>
                <w:webHidden/>
              </w:rPr>
              <w:fldChar w:fldCharType="begin"/>
            </w:r>
            <w:r>
              <w:rPr>
                <w:noProof/>
                <w:webHidden/>
              </w:rPr>
              <w:instrText xml:space="preserve"> PAGEREF _Toc1581532 \h </w:instrText>
            </w:r>
            <w:r>
              <w:rPr>
                <w:noProof/>
                <w:webHidden/>
              </w:rPr>
            </w:r>
            <w:r>
              <w:rPr>
                <w:noProof/>
                <w:webHidden/>
              </w:rPr>
              <w:fldChar w:fldCharType="separate"/>
            </w:r>
            <w:r>
              <w:rPr>
                <w:noProof/>
                <w:webHidden/>
              </w:rPr>
              <w:t>118</w:t>
            </w:r>
            <w:r>
              <w:rPr>
                <w:noProof/>
                <w:webHidden/>
              </w:rPr>
              <w:fldChar w:fldCharType="end"/>
            </w:r>
          </w:hyperlink>
        </w:p>
        <w:p w14:paraId="3B3B635A" w14:textId="02B37989" w:rsidR="00AB50EE" w:rsidRDefault="00AB50EE">
          <w:pPr>
            <w:pStyle w:val="TOC3"/>
            <w:tabs>
              <w:tab w:val="left" w:pos="1320"/>
              <w:tab w:val="right" w:leader="dot" w:pos="10430"/>
            </w:tabs>
            <w:rPr>
              <w:rFonts w:eastAsiaTheme="minorEastAsia"/>
              <w:noProof/>
            </w:rPr>
          </w:pPr>
          <w:hyperlink w:anchor="_Toc1581533" w:history="1">
            <w:r w:rsidRPr="006A1C5D">
              <w:rPr>
                <w:rStyle w:val="Hyperlink"/>
                <w:rFonts w:ascii="AcadNusx" w:hAnsi="AcadNusx"/>
                <w:noProof/>
              </w:rPr>
              <w:t xml:space="preserve">4.13.5 </w:t>
            </w:r>
            <w:r>
              <w:rPr>
                <w:rFonts w:eastAsiaTheme="minorEastAsia"/>
                <w:noProof/>
              </w:rPr>
              <w:tab/>
            </w:r>
            <w:r w:rsidRPr="006A1C5D">
              <w:rPr>
                <w:rStyle w:val="Hyperlink"/>
                <w:rFonts w:ascii="Sylfaen" w:hAnsi="Sylfaen"/>
                <w:noProof/>
                <w:lang w:val="ka-GE"/>
              </w:rPr>
              <w:t>მექანიკურად სტაბილიზირებული გრუნტის კედლების მშენებლობა</w:t>
            </w:r>
            <w:r>
              <w:rPr>
                <w:noProof/>
                <w:webHidden/>
              </w:rPr>
              <w:tab/>
            </w:r>
            <w:r>
              <w:rPr>
                <w:noProof/>
                <w:webHidden/>
              </w:rPr>
              <w:fldChar w:fldCharType="begin"/>
            </w:r>
            <w:r>
              <w:rPr>
                <w:noProof/>
                <w:webHidden/>
              </w:rPr>
              <w:instrText xml:space="preserve"> PAGEREF _Toc1581533 \h </w:instrText>
            </w:r>
            <w:r>
              <w:rPr>
                <w:noProof/>
                <w:webHidden/>
              </w:rPr>
            </w:r>
            <w:r>
              <w:rPr>
                <w:noProof/>
                <w:webHidden/>
              </w:rPr>
              <w:fldChar w:fldCharType="separate"/>
            </w:r>
            <w:r>
              <w:rPr>
                <w:noProof/>
                <w:webHidden/>
              </w:rPr>
              <w:t>119</w:t>
            </w:r>
            <w:r>
              <w:rPr>
                <w:noProof/>
                <w:webHidden/>
              </w:rPr>
              <w:fldChar w:fldCharType="end"/>
            </w:r>
          </w:hyperlink>
        </w:p>
        <w:p w14:paraId="705F51CD" w14:textId="533B3346" w:rsidR="00AB50EE" w:rsidRDefault="00AB50EE">
          <w:pPr>
            <w:pStyle w:val="TOC2"/>
            <w:tabs>
              <w:tab w:val="left" w:pos="880"/>
            </w:tabs>
            <w:rPr>
              <w:rFonts w:eastAsiaTheme="minorEastAsia"/>
              <w:bCs w:val="0"/>
            </w:rPr>
          </w:pPr>
          <w:hyperlink w:anchor="_Toc1581534" w:history="1">
            <w:r w:rsidRPr="006A1C5D">
              <w:rPr>
                <w:rStyle w:val="Hyperlink"/>
                <w:rFonts w:ascii="AcadNusx" w:hAnsi="AcadNusx"/>
              </w:rPr>
              <w:t>4.1</w:t>
            </w:r>
            <w:r w:rsidRPr="006A1C5D">
              <w:rPr>
                <w:rStyle w:val="Hyperlink"/>
                <w:rFonts w:ascii="Sylfaen" w:hAnsi="Sylfaen"/>
                <w:lang w:val="ka-GE"/>
              </w:rPr>
              <w:t>4</w:t>
            </w:r>
            <w:r>
              <w:rPr>
                <w:rFonts w:eastAsiaTheme="minorEastAsia"/>
                <w:bCs w:val="0"/>
              </w:rPr>
              <w:tab/>
            </w:r>
            <w:r w:rsidRPr="006A1C5D">
              <w:rPr>
                <w:rStyle w:val="Hyperlink"/>
                <w:rFonts w:ascii="Sylfaen" w:hAnsi="Sylfaen"/>
                <w:lang w:val="ka-GE"/>
              </w:rPr>
              <w:t>ხაზოვანი ნაგებობანი</w:t>
            </w:r>
            <w:r>
              <w:rPr>
                <w:webHidden/>
              </w:rPr>
              <w:tab/>
            </w:r>
            <w:r>
              <w:rPr>
                <w:webHidden/>
              </w:rPr>
              <w:fldChar w:fldCharType="begin"/>
            </w:r>
            <w:r>
              <w:rPr>
                <w:webHidden/>
              </w:rPr>
              <w:instrText xml:space="preserve"> PAGEREF _Toc1581534 \h </w:instrText>
            </w:r>
            <w:r>
              <w:rPr>
                <w:webHidden/>
              </w:rPr>
            </w:r>
            <w:r>
              <w:rPr>
                <w:webHidden/>
              </w:rPr>
              <w:fldChar w:fldCharType="separate"/>
            </w:r>
            <w:r>
              <w:rPr>
                <w:webHidden/>
              </w:rPr>
              <w:t>120</w:t>
            </w:r>
            <w:r>
              <w:rPr>
                <w:webHidden/>
              </w:rPr>
              <w:fldChar w:fldCharType="end"/>
            </w:r>
          </w:hyperlink>
        </w:p>
        <w:p w14:paraId="13D22B13" w14:textId="2C9BAC6D" w:rsidR="00AB50EE" w:rsidRDefault="00AB50EE">
          <w:pPr>
            <w:pStyle w:val="TOC2"/>
            <w:rPr>
              <w:rFonts w:eastAsiaTheme="minorEastAsia"/>
              <w:bCs w:val="0"/>
            </w:rPr>
          </w:pPr>
          <w:hyperlink w:anchor="_Toc1581535" w:history="1">
            <w:r w:rsidRPr="006A1C5D">
              <w:rPr>
                <w:rStyle w:val="Hyperlink"/>
              </w:rPr>
              <w:t>4.1</w:t>
            </w:r>
            <w:r w:rsidRPr="006A1C5D">
              <w:rPr>
                <w:rStyle w:val="Hyperlink"/>
                <w:rFonts w:ascii="Sylfaen" w:hAnsi="Sylfaen"/>
                <w:lang w:val="ka-GE"/>
              </w:rPr>
              <w:t>5</w:t>
            </w:r>
            <w:r w:rsidRPr="006A1C5D">
              <w:rPr>
                <w:rStyle w:val="Hyperlink"/>
              </w:rPr>
              <w:t xml:space="preserve"> </w:t>
            </w:r>
            <w:r w:rsidRPr="006A1C5D">
              <w:rPr>
                <w:rStyle w:val="Hyperlink"/>
                <w:rFonts w:ascii="Sylfaen" w:hAnsi="Sylfaen" w:cs="Sylfaen"/>
              </w:rPr>
              <w:t>კარიერები</w:t>
            </w:r>
            <w:r>
              <w:rPr>
                <w:webHidden/>
              </w:rPr>
              <w:tab/>
            </w:r>
            <w:r>
              <w:rPr>
                <w:webHidden/>
              </w:rPr>
              <w:fldChar w:fldCharType="begin"/>
            </w:r>
            <w:r>
              <w:rPr>
                <w:webHidden/>
              </w:rPr>
              <w:instrText xml:space="preserve"> PAGEREF _Toc1581535 \h </w:instrText>
            </w:r>
            <w:r>
              <w:rPr>
                <w:webHidden/>
              </w:rPr>
            </w:r>
            <w:r>
              <w:rPr>
                <w:webHidden/>
              </w:rPr>
              <w:fldChar w:fldCharType="separate"/>
            </w:r>
            <w:r>
              <w:rPr>
                <w:webHidden/>
              </w:rPr>
              <w:t>124</w:t>
            </w:r>
            <w:r>
              <w:rPr>
                <w:webHidden/>
              </w:rPr>
              <w:fldChar w:fldCharType="end"/>
            </w:r>
          </w:hyperlink>
        </w:p>
        <w:p w14:paraId="00CB264A" w14:textId="2419E2FA" w:rsidR="00AB50EE" w:rsidRDefault="00AB50EE">
          <w:pPr>
            <w:pStyle w:val="TOC2"/>
            <w:rPr>
              <w:rFonts w:eastAsiaTheme="minorEastAsia"/>
              <w:bCs w:val="0"/>
            </w:rPr>
          </w:pPr>
          <w:hyperlink w:anchor="_Toc1581536" w:history="1">
            <w:r w:rsidRPr="006A1C5D">
              <w:rPr>
                <w:rStyle w:val="Hyperlink"/>
              </w:rPr>
              <w:t>4.</w:t>
            </w:r>
            <w:r w:rsidRPr="006A1C5D">
              <w:rPr>
                <w:rStyle w:val="Hyperlink"/>
                <w:lang w:val="ka-GE"/>
              </w:rPr>
              <w:t>1</w:t>
            </w:r>
            <w:r w:rsidRPr="006A1C5D">
              <w:rPr>
                <w:rStyle w:val="Hyperlink"/>
                <w:rFonts w:ascii="Sylfaen" w:hAnsi="Sylfaen"/>
                <w:lang w:val="ka-GE"/>
              </w:rPr>
              <w:t>6</w:t>
            </w:r>
            <w:r w:rsidRPr="006A1C5D">
              <w:rPr>
                <w:rStyle w:val="Hyperlink"/>
              </w:rPr>
              <w:t xml:space="preserve"> </w:t>
            </w:r>
            <w:r w:rsidRPr="006A1C5D">
              <w:rPr>
                <w:rStyle w:val="Hyperlink"/>
                <w:rFonts w:ascii="Sylfaen" w:hAnsi="Sylfaen" w:cs="Sylfaen"/>
              </w:rPr>
              <w:t>საგზაო</w:t>
            </w:r>
            <w:r w:rsidRPr="006A1C5D">
              <w:rPr>
                <w:rStyle w:val="Hyperlink"/>
              </w:rPr>
              <w:t xml:space="preserve"> </w:t>
            </w:r>
            <w:r w:rsidRPr="006A1C5D">
              <w:rPr>
                <w:rStyle w:val="Hyperlink"/>
                <w:rFonts w:ascii="Sylfaen" w:hAnsi="Sylfaen" w:cs="Sylfaen"/>
              </w:rPr>
              <w:t>მოძრაობის</w:t>
            </w:r>
            <w:r w:rsidRPr="006A1C5D">
              <w:rPr>
                <w:rStyle w:val="Hyperlink"/>
              </w:rPr>
              <w:t xml:space="preserve"> </w:t>
            </w:r>
            <w:r w:rsidRPr="006A1C5D">
              <w:rPr>
                <w:rStyle w:val="Hyperlink"/>
                <w:rFonts w:ascii="Sylfaen" w:hAnsi="Sylfaen" w:cs="Sylfaen"/>
              </w:rPr>
              <w:t>ნიშნები</w:t>
            </w:r>
            <w:r w:rsidRPr="006A1C5D">
              <w:rPr>
                <w:rStyle w:val="Hyperlink"/>
              </w:rPr>
              <w:t xml:space="preserve">, </w:t>
            </w:r>
            <w:r w:rsidRPr="006A1C5D">
              <w:rPr>
                <w:rStyle w:val="Hyperlink"/>
                <w:rFonts w:ascii="Sylfaen" w:hAnsi="Sylfaen" w:cs="Sylfaen"/>
              </w:rPr>
              <w:t>გზის</w:t>
            </w:r>
            <w:r w:rsidRPr="006A1C5D">
              <w:rPr>
                <w:rStyle w:val="Hyperlink"/>
              </w:rPr>
              <w:t xml:space="preserve"> </w:t>
            </w:r>
            <w:r w:rsidRPr="006A1C5D">
              <w:rPr>
                <w:rStyle w:val="Hyperlink"/>
                <w:rFonts w:ascii="Sylfaen" w:hAnsi="Sylfaen" w:cs="Sylfaen"/>
              </w:rPr>
              <w:t>მონიშვნა</w:t>
            </w:r>
            <w:r w:rsidRPr="006A1C5D">
              <w:rPr>
                <w:rStyle w:val="Hyperlink"/>
              </w:rPr>
              <w:t xml:space="preserve"> </w:t>
            </w:r>
            <w:r w:rsidRPr="006A1C5D">
              <w:rPr>
                <w:rStyle w:val="Hyperlink"/>
                <w:rFonts w:ascii="Sylfaen" w:hAnsi="Sylfaen" w:cs="Sylfaen"/>
              </w:rPr>
              <w:t>და</w:t>
            </w:r>
            <w:r w:rsidRPr="006A1C5D">
              <w:rPr>
                <w:rStyle w:val="Hyperlink"/>
              </w:rPr>
              <w:t xml:space="preserve"> </w:t>
            </w:r>
            <w:r w:rsidRPr="006A1C5D">
              <w:rPr>
                <w:rStyle w:val="Hyperlink"/>
                <w:rFonts w:ascii="Sylfaen" w:hAnsi="Sylfaen" w:cs="Sylfaen"/>
              </w:rPr>
              <w:t>გზის</w:t>
            </w:r>
            <w:r w:rsidRPr="006A1C5D">
              <w:rPr>
                <w:rStyle w:val="Hyperlink"/>
              </w:rPr>
              <w:t xml:space="preserve"> </w:t>
            </w:r>
            <w:r w:rsidRPr="006A1C5D">
              <w:rPr>
                <w:rStyle w:val="Hyperlink"/>
                <w:rFonts w:ascii="Sylfaen" w:hAnsi="Sylfaen" w:cs="Sylfaen"/>
              </w:rPr>
              <w:t>სხვა</w:t>
            </w:r>
            <w:r w:rsidRPr="006A1C5D">
              <w:rPr>
                <w:rStyle w:val="Hyperlink"/>
              </w:rPr>
              <w:t xml:space="preserve"> </w:t>
            </w:r>
            <w:r w:rsidRPr="006A1C5D">
              <w:rPr>
                <w:rStyle w:val="Hyperlink"/>
                <w:rFonts w:ascii="Sylfaen" w:hAnsi="Sylfaen" w:cs="Sylfaen"/>
              </w:rPr>
              <w:t>კუთვნილება</w:t>
            </w:r>
            <w:r w:rsidRPr="006A1C5D">
              <w:rPr>
                <w:rStyle w:val="Hyperlink"/>
              </w:rPr>
              <w:t>/</w:t>
            </w:r>
            <w:r w:rsidRPr="006A1C5D">
              <w:rPr>
                <w:rStyle w:val="Hyperlink"/>
                <w:rFonts w:ascii="Sylfaen" w:hAnsi="Sylfaen" w:cs="Sylfaen"/>
              </w:rPr>
              <w:t>მოწყობა</w:t>
            </w:r>
            <w:r>
              <w:rPr>
                <w:webHidden/>
              </w:rPr>
              <w:tab/>
            </w:r>
            <w:r>
              <w:rPr>
                <w:webHidden/>
              </w:rPr>
              <w:fldChar w:fldCharType="begin"/>
            </w:r>
            <w:r>
              <w:rPr>
                <w:webHidden/>
              </w:rPr>
              <w:instrText xml:space="preserve"> PAGEREF _Toc1581536 \h </w:instrText>
            </w:r>
            <w:r>
              <w:rPr>
                <w:webHidden/>
              </w:rPr>
            </w:r>
            <w:r>
              <w:rPr>
                <w:webHidden/>
              </w:rPr>
              <w:fldChar w:fldCharType="separate"/>
            </w:r>
            <w:r>
              <w:rPr>
                <w:webHidden/>
              </w:rPr>
              <w:t>125</w:t>
            </w:r>
            <w:r>
              <w:rPr>
                <w:webHidden/>
              </w:rPr>
              <w:fldChar w:fldCharType="end"/>
            </w:r>
          </w:hyperlink>
        </w:p>
        <w:p w14:paraId="0C8882B5" w14:textId="43525AC7" w:rsidR="00AB50EE" w:rsidRDefault="00AB50EE">
          <w:pPr>
            <w:pStyle w:val="TOC1"/>
            <w:rPr>
              <w:rFonts w:eastAsiaTheme="minorEastAsia"/>
              <w:b w:val="0"/>
              <w:bCs w:val="0"/>
              <w:sz w:val="22"/>
              <w:szCs w:val="22"/>
            </w:rPr>
          </w:pPr>
          <w:hyperlink w:anchor="_Toc1581537" w:history="1">
            <w:r w:rsidRPr="006A1C5D">
              <w:rPr>
                <w:rStyle w:val="Hyperlink"/>
                <w:rFonts w:eastAsia="Calibri" w:cs="Times New Roman"/>
                <w:lang w:val="ka-GE"/>
              </w:rPr>
              <w:t xml:space="preserve">5  </w:t>
            </w:r>
            <w:r w:rsidRPr="006A1C5D">
              <w:rPr>
                <w:rStyle w:val="Hyperlink"/>
                <w:rFonts w:ascii="Sylfaen" w:eastAsia="Calibri" w:hAnsi="Sylfaen" w:cs="Sylfaen"/>
                <w:lang w:val="ka-GE"/>
              </w:rPr>
              <w:t>გზშ</w:t>
            </w:r>
            <w:r w:rsidRPr="006A1C5D">
              <w:rPr>
                <w:rStyle w:val="Hyperlink"/>
                <w:rFonts w:eastAsia="Calibri" w:cs="Times New Roman"/>
                <w:lang w:val="ka-GE"/>
              </w:rPr>
              <w:t>-</w:t>
            </w:r>
            <w:r w:rsidRPr="006A1C5D">
              <w:rPr>
                <w:rStyle w:val="Hyperlink"/>
                <w:rFonts w:ascii="Sylfaen" w:eastAsia="Calibri" w:hAnsi="Sylfaen" w:cs="Sylfaen"/>
                <w:lang w:val="ka-GE"/>
              </w:rPr>
              <w:t>ს</w:t>
            </w:r>
            <w:r w:rsidRPr="006A1C5D">
              <w:rPr>
                <w:rStyle w:val="Hyperlink"/>
                <w:rFonts w:eastAsia="Calibri" w:cs="Times New Roman"/>
                <w:lang w:val="ka-GE"/>
              </w:rPr>
              <w:t xml:space="preserve"> </w:t>
            </w:r>
            <w:r w:rsidRPr="006A1C5D">
              <w:rPr>
                <w:rStyle w:val="Hyperlink"/>
                <w:rFonts w:ascii="Sylfaen" w:hAnsi="Sylfaen" w:cs="Sylfaen"/>
              </w:rPr>
              <w:t>მეთოდოლოგია</w:t>
            </w:r>
            <w:r>
              <w:rPr>
                <w:webHidden/>
              </w:rPr>
              <w:tab/>
            </w:r>
            <w:r>
              <w:rPr>
                <w:webHidden/>
              </w:rPr>
              <w:fldChar w:fldCharType="begin"/>
            </w:r>
            <w:r>
              <w:rPr>
                <w:webHidden/>
              </w:rPr>
              <w:instrText xml:space="preserve"> PAGEREF _Toc1581537 \h </w:instrText>
            </w:r>
            <w:r>
              <w:rPr>
                <w:webHidden/>
              </w:rPr>
            </w:r>
            <w:r>
              <w:rPr>
                <w:webHidden/>
              </w:rPr>
              <w:fldChar w:fldCharType="separate"/>
            </w:r>
            <w:r>
              <w:rPr>
                <w:webHidden/>
              </w:rPr>
              <w:t>127</w:t>
            </w:r>
            <w:r>
              <w:rPr>
                <w:webHidden/>
              </w:rPr>
              <w:fldChar w:fldCharType="end"/>
            </w:r>
          </w:hyperlink>
        </w:p>
        <w:p w14:paraId="6C0B1878" w14:textId="5E748076" w:rsidR="00AB50EE" w:rsidRDefault="00AB50EE">
          <w:pPr>
            <w:pStyle w:val="TOC2"/>
            <w:rPr>
              <w:rFonts w:eastAsiaTheme="minorEastAsia"/>
              <w:bCs w:val="0"/>
            </w:rPr>
          </w:pPr>
          <w:hyperlink w:anchor="_Toc1581538" w:history="1">
            <w:r w:rsidRPr="006A1C5D">
              <w:rPr>
                <w:rStyle w:val="Hyperlink"/>
              </w:rPr>
              <w:t xml:space="preserve">5.1 </w:t>
            </w:r>
            <w:r w:rsidRPr="006A1C5D">
              <w:rPr>
                <w:rStyle w:val="Hyperlink"/>
                <w:rFonts w:ascii="Sylfaen" w:hAnsi="Sylfaen" w:cs="Sylfaen"/>
              </w:rPr>
              <w:t>ბოტანიკური</w:t>
            </w:r>
            <w:r w:rsidRPr="006A1C5D">
              <w:rPr>
                <w:rStyle w:val="Hyperlink"/>
              </w:rPr>
              <w:t xml:space="preserve"> </w:t>
            </w:r>
            <w:r w:rsidRPr="006A1C5D">
              <w:rPr>
                <w:rStyle w:val="Hyperlink"/>
                <w:rFonts w:ascii="Sylfaen" w:hAnsi="Sylfaen" w:cs="Sylfaen"/>
              </w:rPr>
              <w:t>და</w:t>
            </w:r>
            <w:r w:rsidRPr="006A1C5D">
              <w:rPr>
                <w:rStyle w:val="Hyperlink"/>
              </w:rPr>
              <w:t xml:space="preserve"> </w:t>
            </w:r>
            <w:r w:rsidRPr="006A1C5D">
              <w:rPr>
                <w:rStyle w:val="Hyperlink"/>
                <w:rFonts w:ascii="Sylfaen" w:hAnsi="Sylfaen" w:cs="Sylfaen"/>
                <w:lang w:val="ka-GE"/>
              </w:rPr>
              <w:t>ფაუნისტური</w:t>
            </w:r>
            <w:r w:rsidRPr="006A1C5D">
              <w:rPr>
                <w:rStyle w:val="Hyperlink"/>
                <w:lang w:val="ka-GE"/>
              </w:rPr>
              <w:t xml:space="preserve"> </w:t>
            </w:r>
            <w:r w:rsidRPr="006A1C5D">
              <w:rPr>
                <w:rStyle w:val="Hyperlink"/>
                <w:rFonts w:ascii="Sylfaen" w:hAnsi="Sylfaen" w:cs="Sylfaen"/>
              </w:rPr>
              <w:t>კვლევები</w:t>
            </w:r>
            <w:r>
              <w:rPr>
                <w:webHidden/>
              </w:rPr>
              <w:tab/>
            </w:r>
            <w:r>
              <w:rPr>
                <w:webHidden/>
              </w:rPr>
              <w:fldChar w:fldCharType="begin"/>
            </w:r>
            <w:r>
              <w:rPr>
                <w:webHidden/>
              </w:rPr>
              <w:instrText xml:space="preserve"> PAGEREF _Toc1581538 \h </w:instrText>
            </w:r>
            <w:r>
              <w:rPr>
                <w:webHidden/>
              </w:rPr>
            </w:r>
            <w:r>
              <w:rPr>
                <w:webHidden/>
              </w:rPr>
              <w:fldChar w:fldCharType="separate"/>
            </w:r>
            <w:r>
              <w:rPr>
                <w:webHidden/>
              </w:rPr>
              <w:t>127</w:t>
            </w:r>
            <w:r>
              <w:rPr>
                <w:webHidden/>
              </w:rPr>
              <w:fldChar w:fldCharType="end"/>
            </w:r>
          </w:hyperlink>
        </w:p>
        <w:p w14:paraId="00B69A36" w14:textId="09154B69" w:rsidR="00AB50EE" w:rsidRDefault="00AB50EE">
          <w:pPr>
            <w:pStyle w:val="TOC2"/>
            <w:rPr>
              <w:rFonts w:eastAsiaTheme="minorEastAsia"/>
              <w:bCs w:val="0"/>
            </w:rPr>
          </w:pPr>
          <w:hyperlink w:anchor="_Toc1581539" w:history="1">
            <w:r w:rsidRPr="006A1C5D">
              <w:rPr>
                <w:rStyle w:val="Hyperlink"/>
              </w:rPr>
              <w:t xml:space="preserve">5.2 </w:t>
            </w:r>
            <w:r w:rsidRPr="006A1C5D">
              <w:rPr>
                <w:rStyle w:val="Hyperlink"/>
                <w:rFonts w:ascii="Sylfaen" w:hAnsi="Sylfaen"/>
                <w:lang w:val="ka-GE"/>
              </w:rPr>
              <w:t>ნიადაგის დაბინძურება</w:t>
            </w:r>
            <w:r>
              <w:rPr>
                <w:webHidden/>
              </w:rPr>
              <w:tab/>
            </w:r>
            <w:r>
              <w:rPr>
                <w:webHidden/>
              </w:rPr>
              <w:fldChar w:fldCharType="begin"/>
            </w:r>
            <w:r>
              <w:rPr>
                <w:webHidden/>
              </w:rPr>
              <w:instrText xml:space="preserve"> PAGEREF _Toc1581539 \h </w:instrText>
            </w:r>
            <w:r>
              <w:rPr>
                <w:webHidden/>
              </w:rPr>
            </w:r>
            <w:r>
              <w:rPr>
                <w:webHidden/>
              </w:rPr>
              <w:fldChar w:fldCharType="separate"/>
            </w:r>
            <w:r>
              <w:rPr>
                <w:webHidden/>
              </w:rPr>
              <w:t>128</w:t>
            </w:r>
            <w:r>
              <w:rPr>
                <w:webHidden/>
              </w:rPr>
              <w:fldChar w:fldCharType="end"/>
            </w:r>
          </w:hyperlink>
        </w:p>
        <w:p w14:paraId="7846C6FB" w14:textId="31CEF56F" w:rsidR="00AB50EE" w:rsidRDefault="00AB50EE">
          <w:pPr>
            <w:pStyle w:val="TOC2"/>
            <w:rPr>
              <w:rFonts w:eastAsiaTheme="minorEastAsia"/>
              <w:bCs w:val="0"/>
            </w:rPr>
          </w:pPr>
          <w:hyperlink w:anchor="_Toc1581540" w:history="1">
            <w:r w:rsidRPr="006A1C5D">
              <w:rPr>
                <w:rStyle w:val="Hyperlink"/>
                <w:rFonts w:ascii="Sylfaen" w:hAnsi="Sylfaen" w:cs="Sylfaen"/>
                <w:lang w:val="ka-GE"/>
              </w:rPr>
              <w:t xml:space="preserve">5.3 </w:t>
            </w:r>
            <w:r w:rsidRPr="006A1C5D">
              <w:rPr>
                <w:rStyle w:val="Hyperlink"/>
                <w:rFonts w:ascii="Sylfaen" w:hAnsi="Sylfaen" w:cs="Sylfaen"/>
              </w:rPr>
              <w:t>ნარჩენები</w:t>
            </w:r>
            <w:r>
              <w:rPr>
                <w:webHidden/>
              </w:rPr>
              <w:tab/>
            </w:r>
            <w:r>
              <w:rPr>
                <w:webHidden/>
              </w:rPr>
              <w:fldChar w:fldCharType="begin"/>
            </w:r>
            <w:r>
              <w:rPr>
                <w:webHidden/>
              </w:rPr>
              <w:instrText xml:space="preserve"> PAGEREF _Toc1581540 \h </w:instrText>
            </w:r>
            <w:r>
              <w:rPr>
                <w:webHidden/>
              </w:rPr>
            </w:r>
            <w:r>
              <w:rPr>
                <w:webHidden/>
              </w:rPr>
              <w:fldChar w:fldCharType="separate"/>
            </w:r>
            <w:r>
              <w:rPr>
                <w:webHidden/>
              </w:rPr>
              <w:t>128</w:t>
            </w:r>
            <w:r>
              <w:rPr>
                <w:webHidden/>
              </w:rPr>
              <w:fldChar w:fldCharType="end"/>
            </w:r>
          </w:hyperlink>
        </w:p>
        <w:p w14:paraId="4E4C8252" w14:textId="2A7CFE89" w:rsidR="00AB50EE" w:rsidRDefault="00AB50EE">
          <w:pPr>
            <w:pStyle w:val="TOC2"/>
            <w:rPr>
              <w:rFonts w:eastAsiaTheme="minorEastAsia"/>
              <w:bCs w:val="0"/>
            </w:rPr>
          </w:pPr>
          <w:hyperlink w:anchor="_Toc1581541" w:history="1">
            <w:r w:rsidRPr="006A1C5D">
              <w:rPr>
                <w:rStyle w:val="Hyperlink"/>
                <w:lang w:val="ka-GE"/>
              </w:rPr>
              <w:t>5.</w:t>
            </w:r>
            <w:r w:rsidRPr="006A1C5D">
              <w:rPr>
                <w:rStyle w:val="Hyperlink"/>
                <w:rFonts w:ascii="Sylfaen" w:hAnsi="Sylfaen"/>
                <w:lang w:val="ka-GE"/>
              </w:rPr>
              <w:t>4</w:t>
            </w:r>
            <w:r w:rsidRPr="006A1C5D">
              <w:rPr>
                <w:rStyle w:val="Hyperlink"/>
                <w:lang w:val="ka-GE"/>
              </w:rPr>
              <w:t xml:space="preserve"> </w:t>
            </w:r>
            <w:r w:rsidRPr="006A1C5D">
              <w:rPr>
                <w:rStyle w:val="Hyperlink"/>
                <w:rFonts w:ascii="Sylfaen" w:hAnsi="Sylfaen" w:cs="Sylfaen"/>
                <w:lang w:val="ka-GE"/>
              </w:rPr>
              <w:t>ფონური</w:t>
            </w:r>
            <w:r w:rsidRPr="006A1C5D">
              <w:rPr>
                <w:rStyle w:val="Hyperlink"/>
                <w:lang w:val="ka-GE"/>
              </w:rPr>
              <w:t xml:space="preserve"> </w:t>
            </w:r>
            <w:r w:rsidRPr="006A1C5D">
              <w:rPr>
                <w:rStyle w:val="Hyperlink"/>
                <w:rFonts w:ascii="Sylfaen" w:hAnsi="Sylfaen" w:cs="Sylfaen"/>
                <w:lang w:val="ka-GE"/>
              </w:rPr>
              <w:t>დაბინძურება</w:t>
            </w:r>
            <w:r>
              <w:rPr>
                <w:webHidden/>
              </w:rPr>
              <w:tab/>
            </w:r>
            <w:r>
              <w:rPr>
                <w:webHidden/>
              </w:rPr>
              <w:fldChar w:fldCharType="begin"/>
            </w:r>
            <w:r>
              <w:rPr>
                <w:webHidden/>
              </w:rPr>
              <w:instrText xml:space="preserve"> PAGEREF _Toc1581541 \h </w:instrText>
            </w:r>
            <w:r>
              <w:rPr>
                <w:webHidden/>
              </w:rPr>
            </w:r>
            <w:r>
              <w:rPr>
                <w:webHidden/>
              </w:rPr>
              <w:fldChar w:fldCharType="separate"/>
            </w:r>
            <w:r>
              <w:rPr>
                <w:webHidden/>
              </w:rPr>
              <w:t>128</w:t>
            </w:r>
            <w:r>
              <w:rPr>
                <w:webHidden/>
              </w:rPr>
              <w:fldChar w:fldCharType="end"/>
            </w:r>
          </w:hyperlink>
        </w:p>
        <w:p w14:paraId="683061D2" w14:textId="582D8A59" w:rsidR="00AB50EE" w:rsidRDefault="00AB50EE">
          <w:pPr>
            <w:pStyle w:val="TOC3"/>
            <w:tabs>
              <w:tab w:val="right" w:leader="dot" w:pos="10430"/>
            </w:tabs>
            <w:rPr>
              <w:rFonts w:eastAsiaTheme="minorEastAsia"/>
              <w:noProof/>
            </w:rPr>
          </w:pPr>
          <w:hyperlink w:anchor="_Toc1581542" w:history="1">
            <w:r w:rsidRPr="006A1C5D">
              <w:rPr>
                <w:rStyle w:val="Hyperlink"/>
                <w:noProof/>
              </w:rPr>
              <w:t>5.</w:t>
            </w:r>
            <w:r w:rsidRPr="006A1C5D">
              <w:rPr>
                <w:rStyle w:val="Hyperlink"/>
                <w:rFonts w:ascii="Sylfaen" w:hAnsi="Sylfaen"/>
                <w:noProof/>
                <w:lang w:val="ka-GE"/>
              </w:rPr>
              <w:t>4</w:t>
            </w:r>
            <w:r w:rsidRPr="006A1C5D">
              <w:rPr>
                <w:rStyle w:val="Hyperlink"/>
                <w:noProof/>
              </w:rPr>
              <w:t xml:space="preserve">.1 </w:t>
            </w:r>
            <w:r w:rsidRPr="006A1C5D">
              <w:rPr>
                <w:rStyle w:val="Hyperlink"/>
                <w:rFonts w:ascii="Sylfaen" w:hAnsi="Sylfaen" w:cs="Sylfaen"/>
                <w:noProof/>
              </w:rPr>
              <w:t>ჰაერი</w:t>
            </w:r>
            <w:r>
              <w:rPr>
                <w:noProof/>
                <w:webHidden/>
              </w:rPr>
              <w:tab/>
            </w:r>
            <w:r>
              <w:rPr>
                <w:noProof/>
                <w:webHidden/>
              </w:rPr>
              <w:fldChar w:fldCharType="begin"/>
            </w:r>
            <w:r>
              <w:rPr>
                <w:noProof/>
                <w:webHidden/>
              </w:rPr>
              <w:instrText xml:space="preserve"> PAGEREF _Toc1581542 \h </w:instrText>
            </w:r>
            <w:r>
              <w:rPr>
                <w:noProof/>
                <w:webHidden/>
              </w:rPr>
            </w:r>
            <w:r>
              <w:rPr>
                <w:noProof/>
                <w:webHidden/>
              </w:rPr>
              <w:fldChar w:fldCharType="separate"/>
            </w:r>
            <w:r>
              <w:rPr>
                <w:noProof/>
                <w:webHidden/>
              </w:rPr>
              <w:t>129</w:t>
            </w:r>
            <w:r>
              <w:rPr>
                <w:noProof/>
                <w:webHidden/>
              </w:rPr>
              <w:fldChar w:fldCharType="end"/>
            </w:r>
          </w:hyperlink>
        </w:p>
        <w:p w14:paraId="2325B3EC" w14:textId="158E0032" w:rsidR="00AB50EE" w:rsidRDefault="00AB50EE">
          <w:pPr>
            <w:pStyle w:val="TOC3"/>
            <w:tabs>
              <w:tab w:val="right" w:leader="dot" w:pos="10430"/>
            </w:tabs>
            <w:rPr>
              <w:rFonts w:eastAsiaTheme="minorEastAsia"/>
              <w:noProof/>
            </w:rPr>
          </w:pPr>
          <w:hyperlink w:anchor="_Toc1581543" w:history="1">
            <w:r w:rsidRPr="006A1C5D">
              <w:rPr>
                <w:rStyle w:val="Hyperlink"/>
                <w:noProof/>
              </w:rPr>
              <w:t xml:space="preserve">5.4.2 </w:t>
            </w:r>
            <w:r w:rsidRPr="006A1C5D">
              <w:rPr>
                <w:rStyle w:val="Hyperlink"/>
                <w:rFonts w:ascii="Sylfaen" w:hAnsi="Sylfaen" w:cs="Sylfaen"/>
                <w:noProof/>
              </w:rPr>
              <w:t>ხმაური</w:t>
            </w:r>
            <w:r>
              <w:rPr>
                <w:noProof/>
                <w:webHidden/>
              </w:rPr>
              <w:tab/>
            </w:r>
            <w:r>
              <w:rPr>
                <w:noProof/>
                <w:webHidden/>
              </w:rPr>
              <w:fldChar w:fldCharType="begin"/>
            </w:r>
            <w:r>
              <w:rPr>
                <w:noProof/>
                <w:webHidden/>
              </w:rPr>
              <w:instrText xml:space="preserve"> PAGEREF _Toc1581543 \h </w:instrText>
            </w:r>
            <w:r>
              <w:rPr>
                <w:noProof/>
                <w:webHidden/>
              </w:rPr>
            </w:r>
            <w:r>
              <w:rPr>
                <w:noProof/>
                <w:webHidden/>
              </w:rPr>
              <w:fldChar w:fldCharType="separate"/>
            </w:r>
            <w:r>
              <w:rPr>
                <w:noProof/>
                <w:webHidden/>
              </w:rPr>
              <w:t>129</w:t>
            </w:r>
            <w:r>
              <w:rPr>
                <w:noProof/>
                <w:webHidden/>
              </w:rPr>
              <w:fldChar w:fldCharType="end"/>
            </w:r>
          </w:hyperlink>
        </w:p>
        <w:p w14:paraId="78741728" w14:textId="2264D5D4" w:rsidR="00AB50EE" w:rsidRDefault="00AB50EE">
          <w:pPr>
            <w:pStyle w:val="TOC2"/>
            <w:rPr>
              <w:rFonts w:eastAsiaTheme="minorEastAsia"/>
              <w:bCs w:val="0"/>
            </w:rPr>
          </w:pPr>
          <w:hyperlink w:anchor="_Toc1581544" w:history="1">
            <w:r w:rsidRPr="006A1C5D">
              <w:rPr>
                <w:rStyle w:val="Hyperlink"/>
                <w:lang w:val="ka-GE"/>
              </w:rPr>
              <w:t xml:space="preserve">5.5 </w:t>
            </w:r>
            <w:r w:rsidRPr="006A1C5D">
              <w:rPr>
                <w:rStyle w:val="Hyperlink"/>
                <w:rFonts w:ascii="Sylfaen" w:hAnsi="Sylfaen" w:cs="Sylfaen"/>
                <w:lang w:val="ka-GE"/>
              </w:rPr>
              <w:t>მეთოდოლოგია</w:t>
            </w:r>
            <w:r w:rsidRPr="006A1C5D">
              <w:rPr>
                <w:rStyle w:val="Hyperlink"/>
                <w:lang w:val="ka-GE"/>
              </w:rPr>
              <w:t xml:space="preserve"> </w:t>
            </w:r>
            <w:r w:rsidRPr="006A1C5D">
              <w:rPr>
                <w:rStyle w:val="Hyperlink"/>
                <w:rFonts w:ascii="Sylfaen" w:hAnsi="Sylfaen" w:cs="Sylfaen"/>
                <w:lang w:val="ka-GE"/>
              </w:rPr>
              <w:t>ალტერნატივების</w:t>
            </w:r>
            <w:r w:rsidRPr="006A1C5D">
              <w:rPr>
                <w:rStyle w:val="Hyperlink"/>
                <w:lang w:val="ka-GE"/>
              </w:rPr>
              <w:t xml:space="preserve"> </w:t>
            </w:r>
            <w:r w:rsidRPr="006A1C5D">
              <w:rPr>
                <w:rStyle w:val="Hyperlink"/>
                <w:rFonts w:ascii="Sylfaen" w:hAnsi="Sylfaen" w:cs="Sylfaen"/>
                <w:lang w:val="ka-GE"/>
              </w:rPr>
              <w:t>ანალიზისათვის</w:t>
            </w:r>
            <w:r w:rsidRPr="006A1C5D">
              <w:rPr>
                <w:rStyle w:val="Hyperlink"/>
                <w:lang w:val="ka-GE"/>
              </w:rPr>
              <w:t xml:space="preserve"> (</w:t>
            </w:r>
            <w:r w:rsidRPr="006A1C5D">
              <w:rPr>
                <w:rStyle w:val="Hyperlink"/>
                <w:rFonts w:ascii="Sylfaen" w:hAnsi="Sylfaen" w:cs="Sylfaen"/>
                <w:lang w:val="ka-GE"/>
              </w:rPr>
              <w:t>რანჟირება</w:t>
            </w:r>
            <w:r w:rsidRPr="006A1C5D">
              <w:rPr>
                <w:rStyle w:val="Hyperlink"/>
                <w:lang w:val="ka-GE"/>
              </w:rPr>
              <w:t>)</w:t>
            </w:r>
            <w:r>
              <w:rPr>
                <w:webHidden/>
              </w:rPr>
              <w:tab/>
            </w:r>
            <w:r>
              <w:rPr>
                <w:webHidden/>
              </w:rPr>
              <w:fldChar w:fldCharType="begin"/>
            </w:r>
            <w:r>
              <w:rPr>
                <w:webHidden/>
              </w:rPr>
              <w:instrText xml:space="preserve"> PAGEREF _Toc1581544 \h </w:instrText>
            </w:r>
            <w:r>
              <w:rPr>
                <w:webHidden/>
              </w:rPr>
            </w:r>
            <w:r>
              <w:rPr>
                <w:webHidden/>
              </w:rPr>
              <w:fldChar w:fldCharType="separate"/>
            </w:r>
            <w:r>
              <w:rPr>
                <w:webHidden/>
              </w:rPr>
              <w:t>130</w:t>
            </w:r>
            <w:r>
              <w:rPr>
                <w:webHidden/>
              </w:rPr>
              <w:fldChar w:fldCharType="end"/>
            </w:r>
          </w:hyperlink>
        </w:p>
        <w:p w14:paraId="18A9631A" w14:textId="108516AD" w:rsidR="00AB50EE" w:rsidRDefault="00AB50EE">
          <w:pPr>
            <w:pStyle w:val="TOC1"/>
            <w:rPr>
              <w:rFonts w:eastAsiaTheme="minorEastAsia"/>
              <w:b w:val="0"/>
              <w:bCs w:val="0"/>
              <w:sz w:val="22"/>
              <w:szCs w:val="22"/>
            </w:rPr>
          </w:pPr>
          <w:hyperlink w:anchor="_Toc1581545" w:history="1">
            <w:r w:rsidRPr="006A1C5D">
              <w:rPr>
                <w:rStyle w:val="Hyperlink"/>
              </w:rPr>
              <w:t xml:space="preserve">6. </w:t>
            </w:r>
            <w:r w:rsidRPr="006A1C5D">
              <w:rPr>
                <w:rStyle w:val="Hyperlink"/>
                <w:rFonts w:ascii="Sylfaen" w:hAnsi="Sylfaen" w:cs="Sylfaen"/>
              </w:rPr>
              <w:t>საბაზისო</w:t>
            </w:r>
            <w:r w:rsidRPr="006A1C5D">
              <w:rPr>
                <w:rStyle w:val="Hyperlink"/>
              </w:rPr>
              <w:t xml:space="preserve"> </w:t>
            </w:r>
            <w:r w:rsidRPr="006A1C5D">
              <w:rPr>
                <w:rStyle w:val="Hyperlink"/>
                <w:rFonts w:ascii="Sylfaen" w:hAnsi="Sylfaen" w:cs="Sylfaen"/>
              </w:rPr>
              <w:t>ინფორმაცია</w:t>
            </w:r>
            <w:r>
              <w:rPr>
                <w:webHidden/>
              </w:rPr>
              <w:tab/>
            </w:r>
            <w:r>
              <w:rPr>
                <w:webHidden/>
              </w:rPr>
              <w:fldChar w:fldCharType="begin"/>
            </w:r>
            <w:r>
              <w:rPr>
                <w:webHidden/>
              </w:rPr>
              <w:instrText xml:space="preserve"> PAGEREF _Toc1581545 \h </w:instrText>
            </w:r>
            <w:r>
              <w:rPr>
                <w:webHidden/>
              </w:rPr>
            </w:r>
            <w:r>
              <w:rPr>
                <w:webHidden/>
              </w:rPr>
              <w:fldChar w:fldCharType="separate"/>
            </w:r>
            <w:r>
              <w:rPr>
                <w:webHidden/>
              </w:rPr>
              <w:t>131</w:t>
            </w:r>
            <w:r>
              <w:rPr>
                <w:webHidden/>
              </w:rPr>
              <w:fldChar w:fldCharType="end"/>
            </w:r>
          </w:hyperlink>
        </w:p>
        <w:p w14:paraId="354BA2CE" w14:textId="2967BCA1" w:rsidR="00AB50EE" w:rsidRDefault="00AB50EE">
          <w:pPr>
            <w:pStyle w:val="TOC2"/>
            <w:rPr>
              <w:rFonts w:eastAsiaTheme="minorEastAsia"/>
              <w:bCs w:val="0"/>
            </w:rPr>
          </w:pPr>
          <w:hyperlink w:anchor="_Toc1581546" w:history="1">
            <w:r w:rsidRPr="006A1C5D">
              <w:rPr>
                <w:rStyle w:val="Hyperlink"/>
                <w:lang w:val="ka-GE"/>
              </w:rPr>
              <w:t xml:space="preserve">6.1 </w:t>
            </w:r>
            <w:r w:rsidRPr="006A1C5D">
              <w:rPr>
                <w:rStyle w:val="Hyperlink"/>
                <w:rFonts w:ascii="Sylfaen" w:hAnsi="Sylfaen" w:cs="Sylfaen"/>
                <w:lang w:val="ka-GE"/>
              </w:rPr>
              <w:t>ბიოფიზიკური</w:t>
            </w:r>
            <w:r w:rsidRPr="006A1C5D">
              <w:rPr>
                <w:rStyle w:val="Hyperlink"/>
                <w:lang w:val="ka-GE"/>
              </w:rPr>
              <w:t xml:space="preserve"> </w:t>
            </w:r>
            <w:r w:rsidRPr="006A1C5D">
              <w:rPr>
                <w:rStyle w:val="Hyperlink"/>
                <w:rFonts w:ascii="Sylfaen" w:hAnsi="Sylfaen" w:cs="Sylfaen"/>
                <w:lang w:val="ka-GE"/>
              </w:rPr>
              <w:t>გარემო</w:t>
            </w:r>
            <w:r>
              <w:rPr>
                <w:webHidden/>
              </w:rPr>
              <w:tab/>
            </w:r>
            <w:r>
              <w:rPr>
                <w:webHidden/>
              </w:rPr>
              <w:fldChar w:fldCharType="begin"/>
            </w:r>
            <w:r>
              <w:rPr>
                <w:webHidden/>
              </w:rPr>
              <w:instrText xml:space="preserve"> PAGEREF _Toc1581546 \h </w:instrText>
            </w:r>
            <w:r>
              <w:rPr>
                <w:webHidden/>
              </w:rPr>
            </w:r>
            <w:r>
              <w:rPr>
                <w:webHidden/>
              </w:rPr>
              <w:fldChar w:fldCharType="separate"/>
            </w:r>
            <w:r>
              <w:rPr>
                <w:webHidden/>
              </w:rPr>
              <w:t>131</w:t>
            </w:r>
            <w:r>
              <w:rPr>
                <w:webHidden/>
              </w:rPr>
              <w:fldChar w:fldCharType="end"/>
            </w:r>
          </w:hyperlink>
        </w:p>
        <w:p w14:paraId="31B181D1" w14:textId="1C7A19DD" w:rsidR="00AB50EE" w:rsidRDefault="00AB50EE">
          <w:pPr>
            <w:pStyle w:val="TOC3"/>
            <w:tabs>
              <w:tab w:val="right" w:leader="dot" w:pos="10430"/>
            </w:tabs>
            <w:rPr>
              <w:rFonts w:eastAsiaTheme="minorEastAsia"/>
              <w:noProof/>
            </w:rPr>
          </w:pPr>
          <w:hyperlink w:anchor="_Toc1581547" w:history="1">
            <w:r w:rsidRPr="006A1C5D">
              <w:rPr>
                <w:rStyle w:val="Hyperlink"/>
                <w:noProof/>
              </w:rPr>
              <w:t xml:space="preserve">6.1.1 </w:t>
            </w:r>
            <w:r w:rsidRPr="006A1C5D">
              <w:rPr>
                <w:rStyle w:val="Hyperlink"/>
                <w:rFonts w:ascii="Sylfaen" w:hAnsi="Sylfaen" w:cs="Sylfaen"/>
                <w:noProof/>
              </w:rPr>
              <w:t>კლიმატი</w:t>
            </w:r>
            <w:r>
              <w:rPr>
                <w:noProof/>
                <w:webHidden/>
              </w:rPr>
              <w:tab/>
            </w:r>
            <w:r>
              <w:rPr>
                <w:noProof/>
                <w:webHidden/>
              </w:rPr>
              <w:fldChar w:fldCharType="begin"/>
            </w:r>
            <w:r>
              <w:rPr>
                <w:noProof/>
                <w:webHidden/>
              </w:rPr>
              <w:instrText xml:space="preserve"> PAGEREF _Toc1581547 \h </w:instrText>
            </w:r>
            <w:r>
              <w:rPr>
                <w:noProof/>
                <w:webHidden/>
              </w:rPr>
            </w:r>
            <w:r>
              <w:rPr>
                <w:noProof/>
                <w:webHidden/>
              </w:rPr>
              <w:fldChar w:fldCharType="separate"/>
            </w:r>
            <w:r>
              <w:rPr>
                <w:noProof/>
                <w:webHidden/>
              </w:rPr>
              <w:t>131</w:t>
            </w:r>
            <w:r>
              <w:rPr>
                <w:noProof/>
                <w:webHidden/>
              </w:rPr>
              <w:fldChar w:fldCharType="end"/>
            </w:r>
          </w:hyperlink>
        </w:p>
        <w:p w14:paraId="01CE059F" w14:textId="7F343126" w:rsidR="00AB50EE" w:rsidRDefault="00AB50EE">
          <w:pPr>
            <w:pStyle w:val="TOC2"/>
            <w:tabs>
              <w:tab w:val="left" w:pos="880"/>
            </w:tabs>
            <w:rPr>
              <w:rFonts w:eastAsiaTheme="minorEastAsia"/>
              <w:bCs w:val="0"/>
            </w:rPr>
          </w:pPr>
          <w:hyperlink w:anchor="_Toc1581548" w:history="1">
            <w:r w:rsidRPr="006A1C5D">
              <w:rPr>
                <w:rStyle w:val="Hyperlink"/>
                <w:rFonts w:ascii="Sylfaen" w:hAnsi="Sylfaen"/>
                <w:lang w:val="da-DK"/>
              </w:rPr>
              <w:t>6.2</w:t>
            </w:r>
            <w:r>
              <w:rPr>
                <w:rFonts w:eastAsiaTheme="minorEastAsia"/>
                <w:bCs w:val="0"/>
              </w:rPr>
              <w:tab/>
            </w:r>
            <w:r w:rsidRPr="006A1C5D">
              <w:rPr>
                <w:rStyle w:val="Hyperlink"/>
                <w:rFonts w:ascii="Sylfaen" w:hAnsi="Sylfaen"/>
                <w:lang w:val="ka-GE"/>
              </w:rPr>
              <w:t>გეომორფოლოგია და ნიადაგები</w:t>
            </w:r>
            <w:r>
              <w:rPr>
                <w:webHidden/>
              </w:rPr>
              <w:tab/>
            </w:r>
            <w:r>
              <w:rPr>
                <w:webHidden/>
              </w:rPr>
              <w:fldChar w:fldCharType="begin"/>
            </w:r>
            <w:r>
              <w:rPr>
                <w:webHidden/>
              </w:rPr>
              <w:instrText xml:space="preserve"> PAGEREF _Toc1581548 \h </w:instrText>
            </w:r>
            <w:r>
              <w:rPr>
                <w:webHidden/>
              </w:rPr>
            </w:r>
            <w:r>
              <w:rPr>
                <w:webHidden/>
              </w:rPr>
              <w:fldChar w:fldCharType="separate"/>
            </w:r>
            <w:r>
              <w:rPr>
                <w:webHidden/>
              </w:rPr>
              <w:t>133</w:t>
            </w:r>
            <w:r>
              <w:rPr>
                <w:webHidden/>
              </w:rPr>
              <w:fldChar w:fldCharType="end"/>
            </w:r>
          </w:hyperlink>
        </w:p>
        <w:p w14:paraId="57BA5E4E" w14:textId="5BE7BBD2" w:rsidR="00AB50EE" w:rsidRDefault="00AB50EE">
          <w:pPr>
            <w:pStyle w:val="TOC2"/>
            <w:rPr>
              <w:rFonts w:eastAsiaTheme="minorEastAsia"/>
              <w:bCs w:val="0"/>
            </w:rPr>
          </w:pPr>
          <w:hyperlink w:anchor="_Toc1581549" w:history="1">
            <w:r w:rsidRPr="006A1C5D">
              <w:rPr>
                <w:rStyle w:val="Hyperlink"/>
                <w:lang w:val="ka-GE"/>
              </w:rPr>
              <w:t>6.</w:t>
            </w:r>
            <w:r w:rsidRPr="006A1C5D">
              <w:rPr>
                <w:rStyle w:val="Hyperlink"/>
                <w:rFonts w:ascii="Sylfaen" w:hAnsi="Sylfaen"/>
                <w:lang w:val="ka-GE"/>
              </w:rPr>
              <w:t>3</w:t>
            </w:r>
            <w:r w:rsidRPr="006A1C5D">
              <w:rPr>
                <w:rStyle w:val="Hyperlink"/>
                <w:lang w:val="ka-GE"/>
              </w:rPr>
              <w:t xml:space="preserve"> </w:t>
            </w:r>
            <w:r w:rsidRPr="006A1C5D">
              <w:rPr>
                <w:rStyle w:val="Hyperlink"/>
                <w:rFonts w:ascii="Sylfaen" w:hAnsi="Sylfaen" w:cs="Sylfaen"/>
                <w:lang w:val="ka-GE"/>
              </w:rPr>
              <w:t>ჰიდროლოგია</w:t>
            </w:r>
            <w:r>
              <w:rPr>
                <w:webHidden/>
              </w:rPr>
              <w:tab/>
            </w:r>
            <w:r>
              <w:rPr>
                <w:webHidden/>
              </w:rPr>
              <w:fldChar w:fldCharType="begin"/>
            </w:r>
            <w:r>
              <w:rPr>
                <w:webHidden/>
              </w:rPr>
              <w:instrText xml:space="preserve"> PAGEREF _Toc1581549 \h </w:instrText>
            </w:r>
            <w:r>
              <w:rPr>
                <w:webHidden/>
              </w:rPr>
            </w:r>
            <w:r>
              <w:rPr>
                <w:webHidden/>
              </w:rPr>
              <w:fldChar w:fldCharType="separate"/>
            </w:r>
            <w:r>
              <w:rPr>
                <w:webHidden/>
              </w:rPr>
              <w:t>142</w:t>
            </w:r>
            <w:r>
              <w:rPr>
                <w:webHidden/>
              </w:rPr>
              <w:fldChar w:fldCharType="end"/>
            </w:r>
          </w:hyperlink>
        </w:p>
        <w:p w14:paraId="23C0C35C" w14:textId="479817A1" w:rsidR="00AB50EE" w:rsidRDefault="00AB50EE">
          <w:pPr>
            <w:pStyle w:val="TOC2"/>
            <w:rPr>
              <w:rFonts w:eastAsiaTheme="minorEastAsia"/>
              <w:bCs w:val="0"/>
            </w:rPr>
          </w:pPr>
          <w:hyperlink w:anchor="_Toc1581550" w:history="1">
            <w:r w:rsidRPr="006A1C5D">
              <w:rPr>
                <w:rStyle w:val="Hyperlink"/>
                <w:lang w:val="ka-GE"/>
              </w:rPr>
              <w:t>6.</w:t>
            </w:r>
            <w:r w:rsidRPr="006A1C5D">
              <w:rPr>
                <w:rStyle w:val="Hyperlink"/>
                <w:rFonts w:ascii="Sylfaen" w:hAnsi="Sylfaen"/>
                <w:lang w:val="ka-GE"/>
              </w:rPr>
              <w:t>4</w:t>
            </w:r>
            <w:r w:rsidRPr="006A1C5D">
              <w:rPr>
                <w:rStyle w:val="Hyperlink"/>
                <w:lang w:val="ka-GE"/>
              </w:rPr>
              <w:t xml:space="preserve"> </w:t>
            </w:r>
            <w:r w:rsidRPr="006A1C5D">
              <w:rPr>
                <w:rStyle w:val="Hyperlink"/>
                <w:rFonts w:ascii="Sylfaen" w:hAnsi="Sylfaen" w:cs="Sylfaen"/>
                <w:lang w:val="ka-GE"/>
              </w:rPr>
              <w:t>ბიოლოგიური</w:t>
            </w:r>
            <w:r w:rsidRPr="006A1C5D">
              <w:rPr>
                <w:rStyle w:val="Hyperlink"/>
                <w:lang w:val="ka-GE"/>
              </w:rPr>
              <w:t xml:space="preserve"> </w:t>
            </w:r>
            <w:r w:rsidRPr="006A1C5D">
              <w:rPr>
                <w:rStyle w:val="Hyperlink"/>
                <w:rFonts w:ascii="Sylfaen" w:hAnsi="Sylfaen" w:cs="Sylfaen"/>
                <w:lang w:val="ka-GE"/>
              </w:rPr>
              <w:t>გარემო</w:t>
            </w:r>
            <w:r>
              <w:rPr>
                <w:webHidden/>
              </w:rPr>
              <w:tab/>
            </w:r>
            <w:r>
              <w:rPr>
                <w:webHidden/>
              </w:rPr>
              <w:fldChar w:fldCharType="begin"/>
            </w:r>
            <w:r>
              <w:rPr>
                <w:webHidden/>
              </w:rPr>
              <w:instrText xml:space="preserve"> PAGEREF _Toc1581550 \h </w:instrText>
            </w:r>
            <w:r>
              <w:rPr>
                <w:webHidden/>
              </w:rPr>
            </w:r>
            <w:r>
              <w:rPr>
                <w:webHidden/>
              </w:rPr>
              <w:fldChar w:fldCharType="separate"/>
            </w:r>
            <w:r>
              <w:rPr>
                <w:webHidden/>
              </w:rPr>
              <w:t>149</w:t>
            </w:r>
            <w:r>
              <w:rPr>
                <w:webHidden/>
              </w:rPr>
              <w:fldChar w:fldCharType="end"/>
            </w:r>
          </w:hyperlink>
        </w:p>
        <w:p w14:paraId="351375EB" w14:textId="757BE9A8" w:rsidR="00AB50EE" w:rsidRDefault="00AB50EE">
          <w:pPr>
            <w:pStyle w:val="TOC2"/>
            <w:rPr>
              <w:rFonts w:eastAsiaTheme="minorEastAsia"/>
              <w:bCs w:val="0"/>
            </w:rPr>
          </w:pPr>
          <w:hyperlink w:anchor="_Toc1581551" w:history="1">
            <w:r w:rsidRPr="006A1C5D">
              <w:rPr>
                <w:rStyle w:val="Hyperlink"/>
                <w:lang w:val="ka-GE"/>
              </w:rPr>
              <w:t>6.</w:t>
            </w:r>
            <w:r w:rsidRPr="006A1C5D">
              <w:rPr>
                <w:rStyle w:val="Hyperlink"/>
                <w:rFonts w:ascii="Sylfaen" w:hAnsi="Sylfaen"/>
                <w:lang w:val="ka-GE"/>
              </w:rPr>
              <w:t>5</w:t>
            </w:r>
            <w:r w:rsidRPr="006A1C5D">
              <w:rPr>
                <w:rStyle w:val="Hyperlink"/>
                <w:lang w:val="ka-GE"/>
              </w:rPr>
              <w:t xml:space="preserve"> </w:t>
            </w:r>
            <w:r w:rsidRPr="006A1C5D">
              <w:rPr>
                <w:rStyle w:val="Hyperlink"/>
                <w:rFonts w:ascii="Sylfaen" w:hAnsi="Sylfaen" w:cs="Sylfaen"/>
                <w:lang w:val="ka-GE"/>
              </w:rPr>
              <w:t>დაცული</w:t>
            </w:r>
            <w:r w:rsidRPr="006A1C5D">
              <w:rPr>
                <w:rStyle w:val="Hyperlink"/>
                <w:lang w:val="ka-GE"/>
              </w:rPr>
              <w:t xml:space="preserve"> </w:t>
            </w:r>
            <w:r w:rsidRPr="006A1C5D">
              <w:rPr>
                <w:rStyle w:val="Hyperlink"/>
                <w:rFonts w:ascii="Sylfaen" w:hAnsi="Sylfaen" w:cs="Sylfaen"/>
                <w:lang w:val="ka-GE"/>
              </w:rPr>
              <w:t>ტერიტორიები</w:t>
            </w:r>
            <w:r>
              <w:rPr>
                <w:webHidden/>
              </w:rPr>
              <w:tab/>
            </w:r>
            <w:r>
              <w:rPr>
                <w:webHidden/>
              </w:rPr>
              <w:fldChar w:fldCharType="begin"/>
            </w:r>
            <w:r>
              <w:rPr>
                <w:webHidden/>
              </w:rPr>
              <w:instrText xml:space="preserve"> PAGEREF _Toc1581551 \h </w:instrText>
            </w:r>
            <w:r>
              <w:rPr>
                <w:webHidden/>
              </w:rPr>
            </w:r>
            <w:r>
              <w:rPr>
                <w:webHidden/>
              </w:rPr>
              <w:fldChar w:fldCharType="separate"/>
            </w:r>
            <w:r>
              <w:rPr>
                <w:webHidden/>
              </w:rPr>
              <w:t>153</w:t>
            </w:r>
            <w:r>
              <w:rPr>
                <w:webHidden/>
              </w:rPr>
              <w:fldChar w:fldCharType="end"/>
            </w:r>
          </w:hyperlink>
        </w:p>
        <w:p w14:paraId="469F7583" w14:textId="7DA7854D" w:rsidR="00AB50EE" w:rsidRDefault="00AB50EE">
          <w:pPr>
            <w:pStyle w:val="TOC2"/>
            <w:rPr>
              <w:rFonts w:eastAsiaTheme="minorEastAsia"/>
              <w:bCs w:val="0"/>
            </w:rPr>
          </w:pPr>
          <w:hyperlink w:anchor="_Toc1581552" w:history="1">
            <w:r w:rsidRPr="006A1C5D">
              <w:rPr>
                <w:rStyle w:val="Hyperlink"/>
              </w:rPr>
              <w:t>6.</w:t>
            </w:r>
            <w:r w:rsidRPr="006A1C5D">
              <w:rPr>
                <w:rStyle w:val="Hyperlink"/>
                <w:rFonts w:ascii="Sylfaen" w:hAnsi="Sylfaen"/>
                <w:lang w:val="ka-GE"/>
              </w:rPr>
              <w:t>6</w:t>
            </w:r>
            <w:r w:rsidRPr="006A1C5D">
              <w:rPr>
                <w:rStyle w:val="Hyperlink"/>
              </w:rPr>
              <w:t xml:space="preserve"> </w:t>
            </w:r>
            <w:r w:rsidRPr="006A1C5D">
              <w:rPr>
                <w:rStyle w:val="Hyperlink"/>
                <w:rFonts w:ascii="Sylfaen" w:hAnsi="Sylfaen" w:cs="Sylfaen"/>
              </w:rPr>
              <w:t>სოციო</w:t>
            </w:r>
            <w:r w:rsidRPr="006A1C5D">
              <w:rPr>
                <w:rStyle w:val="Hyperlink"/>
              </w:rPr>
              <w:t>-</w:t>
            </w:r>
            <w:r w:rsidRPr="006A1C5D">
              <w:rPr>
                <w:rStyle w:val="Hyperlink"/>
                <w:rFonts w:ascii="Sylfaen" w:hAnsi="Sylfaen" w:cs="Sylfaen"/>
              </w:rPr>
              <w:t>ეკონომიკური</w:t>
            </w:r>
            <w:r w:rsidRPr="006A1C5D">
              <w:rPr>
                <w:rStyle w:val="Hyperlink"/>
              </w:rPr>
              <w:t xml:space="preserve"> </w:t>
            </w:r>
            <w:r w:rsidRPr="006A1C5D">
              <w:rPr>
                <w:rStyle w:val="Hyperlink"/>
                <w:rFonts w:ascii="Sylfaen" w:hAnsi="Sylfaen" w:cs="Sylfaen"/>
              </w:rPr>
              <w:t>სიტუაცია</w:t>
            </w:r>
            <w:r>
              <w:rPr>
                <w:webHidden/>
              </w:rPr>
              <w:tab/>
            </w:r>
            <w:r>
              <w:rPr>
                <w:webHidden/>
              </w:rPr>
              <w:fldChar w:fldCharType="begin"/>
            </w:r>
            <w:r>
              <w:rPr>
                <w:webHidden/>
              </w:rPr>
              <w:instrText xml:space="preserve"> PAGEREF _Toc1581552 \h </w:instrText>
            </w:r>
            <w:r>
              <w:rPr>
                <w:webHidden/>
              </w:rPr>
            </w:r>
            <w:r>
              <w:rPr>
                <w:webHidden/>
              </w:rPr>
              <w:fldChar w:fldCharType="separate"/>
            </w:r>
            <w:r>
              <w:rPr>
                <w:webHidden/>
              </w:rPr>
              <w:t>154</w:t>
            </w:r>
            <w:r>
              <w:rPr>
                <w:webHidden/>
              </w:rPr>
              <w:fldChar w:fldCharType="end"/>
            </w:r>
          </w:hyperlink>
        </w:p>
        <w:p w14:paraId="6E6C04D1" w14:textId="2628C5E3" w:rsidR="00AB50EE" w:rsidRDefault="00AB50EE">
          <w:pPr>
            <w:pStyle w:val="TOC3"/>
            <w:tabs>
              <w:tab w:val="right" w:leader="dot" w:pos="10430"/>
            </w:tabs>
            <w:rPr>
              <w:rFonts w:eastAsiaTheme="minorEastAsia"/>
              <w:noProof/>
            </w:rPr>
          </w:pPr>
          <w:hyperlink w:anchor="_Toc1581553" w:history="1">
            <w:r w:rsidRPr="006A1C5D">
              <w:rPr>
                <w:rStyle w:val="Hyperlink"/>
                <w:noProof/>
              </w:rPr>
              <w:t>6.</w:t>
            </w:r>
            <w:r w:rsidRPr="006A1C5D">
              <w:rPr>
                <w:rStyle w:val="Hyperlink"/>
                <w:rFonts w:ascii="Sylfaen" w:hAnsi="Sylfaen"/>
                <w:noProof/>
                <w:lang w:val="ka-GE"/>
              </w:rPr>
              <w:t>6</w:t>
            </w:r>
            <w:r w:rsidRPr="006A1C5D">
              <w:rPr>
                <w:rStyle w:val="Hyperlink"/>
                <w:noProof/>
              </w:rPr>
              <w:t xml:space="preserve">.1 </w:t>
            </w:r>
            <w:r w:rsidRPr="006A1C5D">
              <w:rPr>
                <w:rStyle w:val="Hyperlink"/>
                <w:rFonts w:ascii="Sylfaen" w:hAnsi="Sylfaen" w:cs="Sylfaen"/>
                <w:noProof/>
              </w:rPr>
              <w:t>ზოგადი</w:t>
            </w:r>
            <w:r>
              <w:rPr>
                <w:noProof/>
                <w:webHidden/>
              </w:rPr>
              <w:tab/>
            </w:r>
            <w:r>
              <w:rPr>
                <w:noProof/>
                <w:webHidden/>
              </w:rPr>
              <w:fldChar w:fldCharType="begin"/>
            </w:r>
            <w:r>
              <w:rPr>
                <w:noProof/>
                <w:webHidden/>
              </w:rPr>
              <w:instrText xml:space="preserve"> PAGEREF _Toc1581553 \h </w:instrText>
            </w:r>
            <w:r>
              <w:rPr>
                <w:noProof/>
                <w:webHidden/>
              </w:rPr>
            </w:r>
            <w:r>
              <w:rPr>
                <w:noProof/>
                <w:webHidden/>
              </w:rPr>
              <w:fldChar w:fldCharType="separate"/>
            </w:r>
            <w:r>
              <w:rPr>
                <w:noProof/>
                <w:webHidden/>
              </w:rPr>
              <w:t>154</w:t>
            </w:r>
            <w:r>
              <w:rPr>
                <w:noProof/>
                <w:webHidden/>
              </w:rPr>
              <w:fldChar w:fldCharType="end"/>
            </w:r>
          </w:hyperlink>
        </w:p>
        <w:p w14:paraId="4101CB26" w14:textId="29715113" w:rsidR="00AB50EE" w:rsidRDefault="00AB50EE">
          <w:pPr>
            <w:pStyle w:val="TOC3"/>
            <w:tabs>
              <w:tab w:val="right" w:leader="dot" w:pos="10430"/>
            </w:tabs>
            <w:rPr>
              <w:rFonts w:eastAsiaTheme="minorEastAsia"/>
              <w:noProof/>
            </w:rPr>
          </w:pPr>
          <w:hyperlink w:anchor="_Toc1581554" w:history="1">
            <w:r w:rsidRPr="006A1C5D">
              <w:rPr>
                <w:rStyle w:val="Hyperlink"/>
                <w:noProof/>
              </w:rPr>
              <w:t>6.</w:t>
            </w:r>
            <w:r w:rsidRPr="006A1C5D">
              <w:rPr>
                <w:rStyle w:val="Hyperlink"/>
                <w:rFonts w:ascii="Sylfaen" w:hAnsi="Sylfaen"/>
                <w:noProof/>
                <w:lang w:val="ka-GE"/>
              </w:rPr>
              <w:t>6</w:t>
            </w:r>
            <w:r w:rsidRPr="006A1C5D">
              <w:rPr>
                <w:rStyle w:val="Hyperlink"/>
                <w:noProof/>
              </w:rPr>
              <w:t xml:space="preserve">.2 </w:t>
            </w:r>
            <w:r w:rsidRPr="006A1C5D">
              <w:rPr>
                <w:rStyle w:val="Hyperlink"/>
                <w:rFonts w:ascii="Sylfaen" w:hAnsi="Sylfaen" w:cs="Sylfaen"/>
                <w:noProof/>
              </w:rPr>
              <w:t>მოსახლეობა</w:t>
            </w:r>
            <w:r>
              <w:rPr>
                <w:noProof/>
                <w:webHidden/>
              </w:rPr>
              <w:tab/>
            </w:r>
            <w:r>
              <w:rPr>
                <w:noProof/>
                <w:webHidden/>
              </w:rPr>
              <w:fldChar w:fldCharType="begin"/>
            </w:r>
            <w:r>
              <w:rPr>
                <w:noProof/>
                <w:webHidden/>
              </w:rPr>
              <w:instrText xml:space="preserve"> PAGEREF _Toc1581554 \h </w:instrText>
            </w:r>
            <w:r>
              <w:rPr>
                <w:noProof/>
                <w:webHidden/>
              </w:rPr>
            </w:r>
            <w:r>
              <w:rPr>
                <w:noProof/>
                <w:webHidden/>
              </w:rPr>
              <w:fldChar w:fldCharType="separate"/>
            </w:r>
            <w:r>
              <w:rPr>
                <w:noProof/>
                <w:webHidden/>
              </w:rPr>
              <w:t>155</w:t>
            </w:r>
            <w:r>
              <w:rPr>
                <w:noProof/>
                <w:webHidden/>
              </w:rPr>
              <w:fldChar w:fldCharType="end"/>
            </w:r>
          </w:hyperlink>
        </w:p>
        <w:p w14:paraId="7CDB4924" w14:textId="6C5A6DE5" w:rsidR="00AB50EE" w:rsidRDefault="00AB50EE">
          <w:pPr>
            <w:pStyle w:val="TOC2"/>
            <w:rPr>
              <w:rFonts w:eastAsiaTheme="minorEastAsia"/>
              <w:bCs w:val="0"/>
            </w:rPr>
          </w:pPr>
          <w:hyperlink w:anchor="_Toc1581555" w:history="1">
            <w:r w:rsidRPr="006A1C5D">
              <w:rPr>
                <w:rStyle w:val="Hyperlink"/>
                <w:lang w:val="ka-GE"/>
              </w:rPr>
              <w:t>6.</w:t>
            </w:r>
            <w:r w:rsidRPr="006A1C5D">
              <w:rPr>
                <w:rStyle w:val="Hyperlink"/>
                <w:rFonts w:ascii="Sylfaen" w:hAnsi="Sylfaen"/>
                <w:lang w:val="ka-GE"/>
              </w:rPr>
              <w:t>7</w:t>
            </w:r>
            <w:r w:rsidRPr="006A1C5D">
              <w:rPr>
                <w:rStyle w:val="Hyperlink"/>
                <w:lang w:val="ka-GE"/>
              </w:rPr>
              <w:t xml:space="preserve"> </w:t>
            </w:r>
            <w:r w:rsidRPr="006A1C5D">
              <w:rPr>
                <w:rStyle w:val="Hyperlink"/>
                <w:rFonts w:ascii="Sylfaen" w:hAnsi="Sylfaen" w:cs="Sylfaen"/>
                <w:lang w:val="ka-GE"/>
              </w:rPr>
              <w:t>ისტორიულ</w:t>
            </w:r>
            <w:r w:rsidRPr="006A1C5D">
              <w:rPr>
                <w:rStyle w:val="Hyperlink"/>
                <w:lang w:val="ka-GE"/>
              </w:rPr>
              <w:t>-</w:t>
            </w:r>
            <w:r w:rsidRPr="006A1C5D">
              <w:rPr>
                <w:rStyle w:val="Hyperlink"/>
                <w:rFonts w:ascii="Sylfaen" w:hAnsi="Sylfaen" w:cs="Sylfaen"/>
                <w:lang w:val="ka-GE"/>
              </w:rPr>
              <w:t>კულტურული</w:t>
            </w:r>
            <w:r w:rsidRPr="006A1C5D">
              <w:rPr>
                <w:rStyle w:val="Hyperlink"/>
                <w:lang w:val="ka-GE"/>
              </w:rPr>
              <w:t xml:space="preserve"> </w:t>
            </w:r>
            <w:r w:rsidRPr="006A1C5D">
              <w:rPr>
                <w:rStyle w:val="Hyperlink"/>
                <w:rFonts w:ascii="Sylfaen" w:hAnsi="Sylfaen" w:cs="Sylfaen"/>
                <w:lang w:val="ka-GE"/>
              </w:rPr>
              <w:t>მემკვიდრეობა</w:t>
            </w:r>
            <w:r>
              <w:rPr>
                <w:webHidden/>
              </w:rPr>
              <w:tab/>
            </w:r>
            <w:r>
              <w:rPr>
                <w:webHidden/>
              </w:rPr>
              <w:fldChar w:fldCharType="begin"/>
            </w:r>
            <w:r>
              <w:rPr>
                <w:webHidden/>
              </w:rPr>
              <w:instrText xml:space="preserve"> PAGEREF _Toc1581555 \h </w:instrText>
            </w:r>
            <w:r>
              <w:rPr>
                <w:webHidden/>
              </w:rPr>
            </w:r>
            <w:r>
              <w:rPr>
                <w:webHidden/>
              </w:rPr>
              <w:fldChar w:fldCharType="separate"/>
            </w:r>
            <w:r>
              <w:rPr>
                <w:webHidden/>
              </w:rPr>
              <w:t>160</w:t>
            </w:r>
            <w:r>
              <w:rPr>
                <w:webHidden/>
              </w:rPr>
              <w:fldChar w:fldCharType="end"/>
            </w:r>
          </w:hyperlink>
        </w:p>
        <w:p w14:paraId="0391F034" w14:textId="4C93D468" w:rsidR="00AB50EE" w:rsidRDefault="00AB50EE">
          <w:pPr>
            <w:pStyle w:val="TOC1"/>
            <w:rPr>
              <w:rFonts w:eastAsiaTheme="minorEastAsia"/>
              <w:b w:val="0"/>
              <w:bCs w:val="0"/>
              <w:sz w:val="22"/>
              <w:szCs w:val="22"/>
            </w:rPr>
          </w:pPr>
          <w:hyperlink w:anchor="_Toc1581556" w:history="1">
            <w:r w:rsidRPr="006A1C5D">
              <w:rPr>
                <w:rStyle w:val="Hyperlink"/>
              </w:rPr>
              <w:t xml:space="preserve">7. </w:t>
            </w:r>
            <w:r w:rsidRPr="006A1C5D">
              <w:rPr>
                <w:rStyle w:val="Hyperlink"/>
                <w:rFonts w:ascii="Sylfaen" w:hAnsi="Sylfaen" w:cs="Sylfaen"/>
              </w:rPr>
              <w:t>გარემოზე</w:t>
            </w:r>
            <w:r w:rsidRPr="006A1C5D">
              <w:rPr>
                <w:rStyle w:val="Hyperlink"/>
              </w:rPr>
              <w:t xml:space="preserve"> </w:t>
            </w:r>
            <w:r w:rsidRPr="006A1C5D">
              <w:rPr>
                <w:rStyle w:val="Hyperlink"/>
                <w:rFonts w:ascii="Sylfaen" w:hAnsi="Sylfaen" w:cs="Sylfaen"/>
              </w:rPr>
              <w:t>ზემოქმედება</w:t>
            </w:r>
            <w:r w:rsidRPr="006A1C5D">
              <w:rPr>
                <w:rStyle w:val="Hyperlink"/>
              </w:rPr>
              <w:t xml:space="preserve"> </w:t>
            </w:r>
            <w:r w:rsidRPr="006A1C5D">
              <w:rPr>
                <w:rStyle w:val="Hyperlink"/>
                <w:rFonts w:ascii="Sylfaen" w:hAnsi="Sylfaen" w:cs="Sylfaen"/>
              </w:rPr>
              <w:t>და</w:t>
            </w:r>
            <w:r w:rsidRPr="006A1C5D">
              <w:rPr>
                <w:rStyle w:val="Hyperlink"/>
              </w:rPr>
              <w:t xml:space="preserve"> </w:t>
            </w:r>
            <w:r w:rsidRPr="006A1C5D">
              <w:rPr>
                <w:rStyle w:val="Hyperlink"/>
                <w:rFonts w:ascii="Sylfaen" w:hAnsi="Sylfaen" w:cs="Sylfaen"/>
              </w:rPr>
              <w:t>შემარბილებელი</w:t>
            </w:r>
            <w:r w:rsidRPr="006A1C5D">
              <w:rPr>
                <w:rStyle w:val="Hyperlink"/>
              </w:rPr>
              <w:t xml:space="preserve"> </w:t>
            </w:r>
            <w:r w:rsidRPr="006A1C5D">
              <w:rPr>
                <w:rStyle w:val="Hyperlink"/>
                <w:rFonts w:ascii="Sylfaen" w:hAnsi="Sylfaen" w:cs="Sylfaen"/>
              </w:rPr>
              <w:t>ღონისძიებები</w:t>
            </w:r>
            <w:r>
              <w:rPr>
                <w:webHidden/>
              </w:rPr>
              <w:tab/>
            </w:r>
            <w:r>
              <w:rPr>
                <w:webHidden/>
              </w:rPr>
              <w:fldChar w:fldCharType="begin"/>
            </w:r>
            <w:r>
              <w:rPr>
                <w:webHidden/>
              </w:rPr>
              <w:instrText xml:space="preserve"> PAGEREF _Toc1581556 \h </w:instrText>
            </w:r>
            <w:r>
              <w:rPr>
                <w:webHidden/>
              </w:rPr>
            </w:r>
            <w:r>
              <w:rPr>
                <w:webHidden/>
              </w:rPr>
              <w:fldChar w:fldCharType="separate"/>
            </w:r>
            <w:r>
              <w:rPr>
                <w:webHidden/>
              </w:rPr>
              <w:t>161</w:t>
            </w:r>
            <w:r>
              <w:rPr>
                <w:webHidden/>
              </w:rPr>
              <w:fldChar w:fldCharType="end"/>
            </w:r>
          </w:hyperlink>
        </w:p>
        <w:p w14:paraId="10B8B3C4" w14:textId="4FFAB83A" w:rsidR="00AB50EE" w:rsidRDefault="00AB50EE">
          <w:pPr>
            <w:pStyle w:val="TOC2"/>
            <w:rPr>
              <w:rFonts w:eastAsiaTheme="minorEastAsia"/>
              <w:bCs w:val="0"/>
            </w:rPr>
          </w:pPr>
          <w:hyperlink w:anchor="_Toc1581557" w:history="1">
            <w:r w:rsidRPr="006A1C5D">
              <w:rPr>
                <w:rStyle w:val="Hyperlink"/>
                <w:lang w:val="ka-GE"/>
              </w:rPr>
              <w:t xml:space="preserve">7.1 </w:t>
            </w:r>
            <w:r w:rsidRPr="006A1C5D">
              <w:rPr>
                <w:rStyle w:val="Hyperlink"/>
                <w:rFonts w:ascii="Sylfaen" w:hAnsi="Sylfaen" w:cs="Sylfaen"/>
                <w:lang w:val="ka-GE"/>
              </w:rPr>
              <w:t>ზემოქმედება</w:t>
            </w:r>
            <w:r w:rsidRPr="006A1C5D">
              <w:rPr>
                <w:rStyle w:val="Hyperlink"/>
                <w:lang w:val="ka-GE"/>
              </w:rPr>
              <w:t xml:space="preserve"> </w:t>
            </w:r>
            <w:r w:rsidRPr="006A1C5D">
              <w:rPr>
                <w:rStyle w:val="Hyperlink"/>
                <w:rFonts w:ascii="Sylfaen" w:hAnsi="Sylfaen" w:cs="Sylfaen"/>
                <w:lang w:val="ka-GE"/>
              </w:rPr>
              <w:t>ატმოსფერული</w:t>
            </w:r>
            <w:r w:rsidRPr="006A1C5D">
              <w:rPr>
                <w:rStyle w:val="Hyperlink"/>
                <w:lang w:val="ka-GE"/>
              </w:rPr>
              <w:t xml:space="preserve"> </w:t>
            </w:r>
            <w:r w:rsidRPr="006A1C5D">
              <w:rPr>
                <w:rStyle w:val="Hyperlink"/>
                <w:rFonts w:ascii="Sylfaen" w:hAnsi="Sylfaen" w:cs="Sylfaen"/>
                <w:lang w:val="ka-GE"/>
              </w:rPr>
              <w:t>ჰაერის</w:t>
            </w:r>
            <w:r w:rsidRPr="006A1C5D">
              <w:rPr>
                <w:rStyle w:val="Hyperlink"/>
                <w:lang w:val="ka-GE"/>
              </w:rPr>
              <w:t xml:space="preserve"> </w:t>
            </w:r>
            <w:r w:rsidRPr="006A1C5D">
              <w:rPr>
                <w:rStyle w:val="Hyperlink"/>
                <w:rFonts w:ascii="Sylfaen" w:hAnsi="Sylfaen" w:cs="Sylfaen"/>
                <w:lang w:val="ka-GE"/>
              </w:rPr>
              <w:t>ხარისხზე</w:t>
            </w:r>
            <w:r>
              <w:rPr>
                <w:webHidden/>
              </w:rPr>
              <w:tab/>
            </w:r>
            <w:r>
              <w:rPr>
                <w:webHidden/>
              </w:rPr>
              <w:fldChar w:fldCharType="begin"/>
            </w:r>
            <w:r>
              <w:rPr>
                <w:webHidden/>
              </w:rPr>
              <w:instrText xml:space="preserve"> PAGEREF _Toc1581557 \h </w:instrText>
            </w:r>
            <w:r>
              <w:rPr>
                <w:webHidden/>
              </w:rPr>
            </w:r>
            <w:r>
              <w:rPr>
                <w:webHidden/>
              </w:rPr>
              <w:fldChar w:fldCharType="separate"/>
            </w:r>
            <w:r>
              <w:rPr>
                <w:webHidden/>
              </w:rPr>
              <w:t>161</w:t>
            </w:r>
            <w:r>
              <w:rPr>
                <w:webHidden/>
              </w:rPr>
              <w:fldChar w:fldCharType="end"/>
            </w:r>
          </w:hyperlink>
        </w:p>
        <w:p w14:paraId="18D51483" w14:textId="09D32FA3" w:rsidR="00AB50EE" w:rsidRDefault="00AB50EE">
          <w:pPr>
            <w:pStyle w:val="TOC3"/>
            <w:tabs>
              <w:tab w:val="right" w:leader="dot" w:pos="10430"/>
            </w:tabs>
            <w:rPr>
              <w:rFonts w:eastAsiaTheme="minorEastAsia"/>
              <w:noProof/>
            </w:rPr>
          </w:pPr>
          <w:hyperlink w:anchor="_Toc1581558" w:history="1">
            <w:r w:rsidRPr="006A1C5D">
              <w:rPr>
                <w:rStyle w:val="Hyperlink"/>
                <w:noProof/>
                <w:lang w:val="ka-GE"/>
              </w:rPr>
              <w:t xml:space="preserve">7.1.1 </w:t>
            </w:r>
            <w:r w:rsidRPr="006A1C5D">
              <w:rPr>
                <w:rStyle w:val="Hyperlink"/>
                <w:rFonts w:ascii="Sylfaen" w:hAnsi="Sylfaen" w:cs="Sylfaen"/>
                <w:noProof/>
                <w:lang w:val="ka-GE"/>
              </w:rPr>
              <w:t>ატმოსფერული</w:t>
            </w:r>
            <w:r w:rsidRPr="006A1C5D">
              <w:rPr>
                <w:rStyle w:val="Hyperlink"/>
                <w:noProof/>
                <w:lang w:val="ka-GE"/>
              </w:rPr>
              <w:t xml:space="preserve"> </w:t>
            </w:r>
            <w:r w:rsidRPr="006A1C5D">
              <w:rPr>
                <w:rStyle w:val="Hyperlink"/>
                <w:rFonts w:ascii="Sylfaen" w:hAnsi="Sylfaen" w:cs="Sylfaen"/>
                <w:noProof/>
                <w:lang w:val="ka-GE"/>
              </w:rPr>
              <w:t>ჰაერის</w:t>
            </w:r>
            <w:r w:rsidRPr="006A1C5D">
              <w:rPr>
                <w:rStyle w:val="Hyperlink"/>
                <w:noProof/>
                <w:lang w:val="ka-GE"/>
              </w:rPr>
              <w:t xml:space="preserve"> </w:t>
            </w:r>
            <w:r w:rsidRPr="006A1C5D">
              <w:rPr>
                <w:rStyle w:val="Hyperlink"/>
                <w:rFonts w:ascii="Sylfaen" w:hAnsi="Sylfaen" w:cs="Sylfaen"/>
                <w:noProof/>
                <w:lang w:val="ka-GE"/>
              </w:rPr>
              <w:t>ხარისხზე</w:t>
            </w:r>
            <w:r w:rsidRPr="006A1C5D">
              <w:rPr>
                <w:rStyle w:val="Hyperlink"/>
                <w:noProof/>
                <w:lang w:val="ka-GE"/>
              </w:rPr>
              <w:t xml:space="preserve"> </w:t>
            </w:r>
            <w:r w:rsidRPr="006A1C5D">
              <w:rPr>
                <w:rStyle w:val="Hyperlink"/>
                <w:rFonts w:ascii="Sylfaen" w:hAnsi="Sylfaen" w:cs="Sylfaen"/>
                <w:noProof/>
                <w:lang w:val="ka-GE"/>
              </w:rPr>
              <w:t>ზემოქმედება</w:t>
            </w:r>
            <w:r w:rsidRPr="006A1C5D">
              <w:rPr>
                <w:rStyle w:val="Hyperlink"/>
                <w:noProof/>
                <w:lang w:val="ka-GE"/>
              </w:rPr>
              <w:t xml:space="preserve"> </w:t>
            </w:r>
            <w:r w:rsidRPr="006A1C5D">
              <w:rPr>
                <w:rStyle w:val="Hyperlink"/>
                <w:rFonts w:ascii="Sylfaen" w:hAnsi="Sylfaen" w:cs="Sylfaen"/>
                <w:noProof/>
                <w:lang w:val="ka-GE"/>
              </w:rPr>
              <w:t>მშენებლობის</w:t>
            </w:r>
            <w:r w:rsidRPr="006A1C5D">
              <w:rPr>
                <w:rStyle w:val="Hyperlink"/>
                <w:noProof/>
                <w:lang w:val="ka-GE"/>
              </w:rPr>
              <w:t xml:space="preserve"> </w:t>
            </w:r>
            <w:r w:rsidRPr="006A1C5D">
              <w:rPr>
                <w:rStyle w:val="Hyperlink"/>
                <w:rFonts w:ascii="Sylfaen" w:hAnsi="Sylfaen" w:cs="Sylfaen"/>
                <w:noProof/>
                <w:lang w:val="ka-GE"/>
              </w:rPr>
              <w:t>ეტაპზე</w:t>
            </w:r>
            <w:r>
              <w:rPr>
                <w:noProof/>
                <w:webHidden/>
              </w:rPr>
              <w:tab/>
            </w:r>
            <w:r>
              <w:rPr>
                <w:noProof/>
                <w:webHidden/>
              </w:rPr>
              <w:fldChar w:fldCharType="begin"/>
            </w:r>
            <w:r>
              <w:rPr>
                <w:noProof/>
                <w:webHidden/>
              </w:rPr>
              <w:instrText xml:space="preserve"> PAGEREF _Toc1581558 \h </w:instrText>
            </w:r>
            <w:r>
              <w:rPr>
                <w:noProof/>
                <w:webHidden/>
              </w:rPr>
            </w:r>
            <w:r>
              <w:rPr>
                <w:noProof/>
                <w:webHidden/>
              </w:rPr>
              <w:fldChar w:fldCharType="separate"/>
            </w:r>
            <w:r>
              <w:rPr>
                <w:noProof/>
                <w:webHidden/>
              </w:rPr>
              <w:t>161</w:t>
            </w:r>
            <w:r>
              <w:rPr>
                <w:noProof/>
                <w:webHidden/>
              </w:rPr>
              <w:fldChar w:fldCharType="end"/>
            </w:r>
          </w:hyperlink>
        </w:p>
        <w:p w14:paraId="4180A2CE" w14:textId="7D944F43" w:rsidR="00AB50EE" w:rsidRDefault="00AB50EE">
          <w:pPr>
            <w:pStyle w:val="TOC3"/>
            <w:tabs>
              <w:tab w:val="right" w:leader="dot" w:pos="10430"/>
            </w:tabs>
            <w:rPr>
              <w:rFonts w:eastAsiaTheme="minorEastAsia"/>
              <w:noProof/>
            </w:rPr>
          </w:pPr>
          <w:hyperlink w:anchor="_Toc1581559" w:history="1">
            <w:r w:rsidRPr="006A1C5D">
              <w:rPr>
                <w:rStyle w:val="Hyperlink"/>
                <w:noProof/>
              </w:rPr>
              <w:t xml:space="preserve">7.1.2 </w:t>
            </w:r>
            <w:r w:rsidRPr="006A1C5D">
              <w:rPr>
                <w:rStyle w:val="Hyperlink"/>
                <w:rFonts w:ascii="Sylfaen" w:hAnsi="Sylfaen" w:cs="Sylfaen"/>
                <w:noProof/>
              </w:rPr>
              <w:t>ატმოსფერული</w:t>
            </w:r>
            <w:r w:rsidRPr="006A1C5D">
              <w:rPr>
                <w:rStyle w:val="Hyperlink"/>
                <w:noProof/>
              </w:rPr>
              <w:t xml:space="preserve"> </w:t>
            </w:r>
            <w:r w:rsidRPr="006A1C5D">
              <w:rPr>
                <w:rStyle w:val="Hyperlink"/>
                <w:rFonts w:ascii="Sylfaen" w:hAnsi="Sylfaen" w:cs="Sylfaen"/>
                <w:noProof/>
              </w:rPr>
              <w:t>ჰაერის</w:t>
            </w:r>
            <w:r w:rsidRPr="006A1C5D">
              <w:rPr>
                <w:rStyle w:val="Hyperlink"/>
                <w:noProof/>
              </w:rPr>
              <w:t xml:space="preserve"> </w:t>
            </w:r>
            <w:r w:rsidRPr="006A1C5D">
              <w:rPr>
                <w:rStyle w:val="Hyperlink"/>
                <w:rFonts w:ascii="Sylfaen" w:hAnsi="Sylfaen" w:cs="Sylfaen"/>
                <w:noProof/>
              </w:rPr>
              <w:t>ხარისხზე</w:t>
            </w:r>
            <w:r w:rsidRPr="006A1C5D">
              <w:rPr>
                <w:rStyle w:val="Hyperlink"/>
                <w:noProof/>
              </w:rPr>
              <w:t xml:space="preserve"> </w:t>
            </w:r>
            <w:r w:rsidRPr="006A1C5D">
              <w:rPr>
                <w:rStyle w:val="Hyperlink"/>
                <w:rFonts w:ascii="Sylfaen" w:hAnsi="Sylfaen" w:cs="Sylfaen"/>
                <w:noProof/>
              </w:rPr>
              <w:t>ზემოქმედება</w:t>
            </w:r>
            <w:r w:rsidRPr="006A1C5D">
              <w:rPr>
                <w:rStyle w:val="Hyperlink"/>
                <w:noProof/>
              </w:rPr>
              <w:t xml:space="preserve"> </w:t>
            </w:r>
            <w:r w:rsidRPr="006A1C5D">
              <w:rPr>
                <w:rStyle w:val="Hyperlink"/>
                <w:rFonts w:ascii="Sylfaen" w:hAnsi="Sylfaen" w:cs="Sylfaen"/>
                <w:noProof/>
              </w:rPr>
              <w:t>ექსპლუატაციის</w:t>
            </w:r>
            <w:r w:rsidRPr="006A1C5D">
              <w:rPr>
                <w:rStyle w:val="Hyperlink"/>
                <w:noProof/>
              </w:rPr>
              <w:t xml:space="preserve"> </w:t>
            </w:r>
            <w:r w:rsidRPr="006A1C5D">
              <w:rPr>
                <w:rStyle w:val="Hyperlink"/>
                <w:rFonts w:ascii="Sylfaen" w:hAnsi="Sylfaen" w:cs="Sylfaen"/>
                <w:noProof/>
              </w:rPr>
              <w:t>ეტაპზე</w:t>
            </w:r>
            <w:r>
              <w:rPr>
                <w:noProof/>
                <w:webHidden/>
              </w:rPr>
              <w:tab/>
            </w:r>
            <w:r>
              <w:rPr>
                <w:noProof/>
                <w:webHidden/>
              </w:rPr>
              <w:fldChar w:fldCharType="begin"/>
            </w:r>
            <w:r>
              <w:rPr>
                <w:noProof/>
                <w:webHidden/>
              </w:rPr>
              <w:instrText xml:space="preserve"> PAGEREF _Toc1581559 \h </w:instrText>
            </w:r>
            <w:r>
              <w:rPr>
                <w:noProof/>
                <w:webHidden/>
              </w:rPr>
            </w:r>
            <w:r>
              <w:rPr>
                <w:noProof/>
                <w:webHidden/>
              </w:rPr>
              <w:fldChar w:fldCharType="separate"/>
            </w:r>
            <w:r>
              <w:rPr>
                <w:noProof/>
                <w:webHidden/>
              </w:rPr>
              <w:t>181</w:t>
            </w:r>
            <w:r>
              <w:rPr>
                <w:noProof/>
                <w:webHidden/>
              </w:rPr>
              <w:fldChar w:fldCharType="end"/>
            </w:r>
          </w:hyperlink>
        </w:p>
        <w:p w14:paraId="7EF2A208" w14:textId="7EDDAB99" w:rsidR="00AB50EE" w:rsidRDefault="00AB50EE">
          <w:pPr>
            <w:pStyle w:val="TOC2"/>
            <w:rPr>
              <w:rFonts w:eastAsiaTheme="minorEastAsia"/>
              <w:bCs w:val="0"/>
            </w:rPr>
          </w:pPr>
          <w:hyperlink w:anchor="_Toc1581560" w:history="1">
            <w:r w:rsidRPr="006A1C5D">
              <w:rPr>
                <w:rStyle w:val="Hyperlink"/>
              </w:rPr>
              <w:t xml:space="preserve">7.2 </w:t>
            </w:r>
            <w:r w:rsidRPr="006A1C5D">
              <w:rPr>
                <w:rStyle w:val="Hyperlink"/>
                <w:rFonts w:ascii="Sylfaen" w:hAnsi="Sylfaen" w:cs="Sylfaen"/>
              </w:rPr>
              <w:t>ზემოქმედება</w:t>
            </w:r>
            <w:r w:rsidRPr="006A1C5D">
              <w:rPr>
                <w:rStyle w:val="Hyperlink"/>
              </w:rPr>
              <w:t xml:space="preserve"> </w:t>
            </w:r>
            <w:r w:rsidRPr="006A1C5D">
              <w:rPr>
                <w:rStyle w:val="Hyperlink"/>
                <w:rFonts w:ascii="Sylfaen" w:hAnsi="Sylfaen" w:cs="Sylfaen"/>
              </w:rPr>
              <w:t>ხმაურზე</w:t>
            </w:r>
            <w:r w:rsidRPr="006A1C5D">
              <w:rPr>
                <w:rStyle w:val="Hyperlink"/>
              </w:rPr>
              <w:t xml:space="preserve"> </w:t>
            </w:r>
            <w:r w:rsidRPr="006A1C5D">
              <w:rPr>
                <w:rStyle w:val="Hyperlink"/>
                <w:rFonts w:ascii="Sylfaen" w:hAnsi="Sylfaen" w:cs="Sylfaen"/>
              </w:rPr>
              <w:t>და</w:t>
            </w:r>
            <w:r w:rsidRPr="006A1C5D">
              <w:rPr>
                <w:rStyle w:val="Hyperlink"/>
              </w:rPr>
              <w:t xml:space="preserve"> </w:t>
            </w:r>
            <w:r w:rsidRPr="006A1C5D">
              <w:rPr>
                <w:rStyle w:val="Hyperlink"/>
                <w:rFonts w:ascii="Sylfaen" w:hAnsi="Sylfaen" w:cs="Sylfaen"/>
              </w:rPr>
              <w:t>ვიბრაციაზე</w:t>
            </w:r>
            <w:r>
              <w:rPr>
                <w:webHidden/>
              </w:rPr>
              <w:tab/>
            </w:r>
            <w:r>
              <w:rPr>
                <w:webHidden/>
              </w:rPr>
              <w:fldChar w:fldCharType="begin"/>
            </w:r>
            <w:r>
              <w:rPr>
                <w:webHidden/>
              </w:rPr>
              <w:instrText xml:space="preserve"> PAGEREF _Toc1581560 \h </w:instrText>
            </w:r>
            <w:r>
              <w:rPr>
                <w:webHidden/>
              </w:rPr>
            </w:r>
            <w:r>
              <w:rPr>
                <w:webHidden/>
              </w:rPr>
              <w:fldChar w:fldCharType="separate"/>
            </w:r>
            <w:r>
              <w:rPr>
                <w:webHidden/>
              </w:rPr>
              <w:t>182</w:t>
            </w:r>
            <w:r>
              <w:rPr>
                <w:webHidden/>
              </w:rPr>
              <w:fldChar w:fldCharType="end"/>
            </w:r>
          </w:hyperlink>
        </w:p>
        <w:p w14:paraId="3D3F0E02" w14:textId="455C5277" w:rsidR="00AB50EE" w:rsidRDefault="00AB50EE">
          <w:pPr>
            <w:pStyle w:val="TOC3"/>
            <w:tabs>
              <w:tab w:val="right" w:leader="dot" w:pos="10430"/>
            </w:tabs>
            <w:rPr>
              <w:rFonts w:eastAsiaTheme="minorEastAsia"/>
              <w:noProof/>
            </w:rPr>
          </w:pPr>
          <w:hyperlink w:anchor="_Toc1581561" w:history="1">
            <w:r w:rsidRPr="006A1C5D">
              <w:rPr>
                <w:rStyle w:val="Hyperlink"/>
                <w:noProof/>
              </w:rPr>
              <w:t xml:space="preserve">7.2.1 </w:t>
            </w:r>
            <w:r w:rsidRPr="006A1C5D">
              <w:rPr>
                <w:rStyle w:val="Hyperlink"/>
                <w:rFonts w:ascii="Sylfaen" w:hAnsi="Sylfaen" w:cs="Sylfaen"/>
                <w:noProof/>
              </w:rPr>
              <w:t>მშენებლობის</w:t>
            </w:r>
            <w:r w:rsidRPr="006A1C5D">
              <w:rPr>
                <w:rStyle w:val="Hyperlink"/>
                <w:noProof/>
              </w:rPr>
              <w:t xml:space="preserve"> </w:t>
            </w:r>
            <w:r w:rsidRPr="006A1C5D">
              <w:rPr>
                <w:rStyle w:val="Hyperlink"/>
                <w:rFonts w:ascii="Sylfaen" w:hAnsi="Sylfaen" w:cs="Sylfaen"/>
                <w:noProof/>
              </w:rPr>
              <w:t>ფაზა</w:t>
            </w:r>
            <w:r>
              <w:rPr>
                <w:noProof/>
                <w:webHidden/>
              </w:rPr>
              <w:tab/>
            </w:r>
            <w:r>
              <w:rPr>
                <w:noProof/>
                <w:webHidden/>
              </w:rPr>
              <w:fldChar w:fldCharType="begin"/>
            </w:r>
            <w:r>
              <w:rPr>
                <w:noProof/>
                <w:webHidden/>
              </w:rPr>
              <w:instrText xml:space="preserve"> PAGEREF _Toc1581561 \h </w:instrText>
            </w:r>
            <w:r>
              <w:rPr>
                <w:noProof/>
                <w:webHidden/>
              </w:rPr>
            </w:r>
            <w:r>
              <w:rPr>
                <w:noProof/>
                <w:webHidden/>
              </w:rPr>
              <w:fldChar w:fldCharType="separate"/>
            </w:r>
            <w:r>
              <w:rPr>
                <w:noProof/>
                <w:webHidden/>
              </w:rPr>
              <w:t>182</w:t>
            </w:r>
            <w:r>
              <w:rPr>
                <w:noProof/>
                <w:webHidden/>
              </w:rPr>
              <w:fldChar w:fldCharType="end"/>
            </w:r>
          </w:hyperlink>
        </w:p>
        <w:p w14:paraId="37093B5E" w14:textId="19B8D8F3" w:rsidR="00AB50EE" w:rsidRDefault="00AB50EE">
          <w:pPr>
            <w:pStyle w:val="TOC3"/>
            <w:tabs>
              <w:tab w:val="right" w:leader="dot" w:pos="10430"/>
            </w:tabs>
            <w:rPr>
              <w:rFonts w:eastAsiaTheme="minorEastAsia"/>
              <w:noProof/>
            </w:rPr>
          </w:pPr>
          <w:hyperlink w:anchor="_Toc1581562" w:history="1">
            <w:r w:rsidRPr="006A1C5D">
              <w:rPr>
                <w:rStyle w:val="Hyperlink"/>
                <w:noProof/>
              </w:rPr>
              <w:t xml:space="preserve">7.2.2 </w:t>
            </w:r>
            <w:r w:rsidRPr="006A1C5D">
              <w:rPr>
                <w:rStyle w:val="Hyperlink"/>
                <w:rFonts w:ascii="Sylfaen" w:hAnsi="Sylfaen" w:cs="Sylfaen"/>
                <w:noProof/>
              </w:rPr>
              <w:t>ხმაურის</w:t>
            </w:r>
            <w:r w:rsidRPr="006A1C5D">
              <w:rPr>
                <w:rStyle w:val="Hyperlink"/>
                <w:noProof/>
              </w:rPr>
              <w:t xml:space="preserve"> </w:t>
            </w:r>
            <w:r w:rsidRPr="006A1C5D">
              <w:rPr>
                <w:rStyle w:val="Hyperlink"/>
                <w:rFonts w:ascii="Sylfaen" w:hAnsi="Sylfaen" w:cs="Sylfaen"/>
                <w:noProof/>
              </w:rPr>
              <w:t>და</w:t>
            </w:r>
            <w:r w:rsidRPr="006A1C5D">
              <w:rPr>
                <w:rStyle w:val="Hyperlink"/>
                <w:noProof/>
              </w:rPr>
              <w:t xml:space="preserve"> </w:t>
            </w:r>
            <w:r w:rsidRPr="006A1C5D">
              <w:rPr>
                <w:rStyle w:val="Hyperlink"/>
                <w:rFonts w:ascii="Sylfaen" w:hAnsi="Sylfaen" w:cs="Sylfaen"/>
                <w:noProof/>
              </w:rPr>
              <w:t>ვიბრაციის</w:t>
            </w:r>
            <w:r w:rsidRPr="006A1C5D">
              <w:rPr>
                <w:rStyle w:val="Hyperlink"/>
                <w:noProof/>
              </w:rPr>
              <w:t xml:space="preserve"> </w:t>
            </w:r>
            <w:r w:rsidRPr="006A1C5D">
              <w:rPr>
                <w:rStyle w:val="Hyperlink"/>
                <w:rFonts w:ascii="Sylfaen" w:hAnsi="Sylfaen" w:cs="Sylfaen"/>
                <w:noProof/>
              </w:rPr>
              <w:t>გავრცელება</w:t>
            </w:r>
            <w:r w:rsidRPr="006A1C5D">
              <w:rPr>
                <w:rStyle w:val="Hyperlink"/>
                <w:noProof/>
              </w:rPr>
              <w:t xml:space="preserve"> </w:t>
            </w:r>
            <w:r w:rsidRPr="006A1C5D">
              <w:rPr>
                <w:rStyle w:val="Hyperlink"/>
                <w:rFonts w:ascii="Sylfaen" w:hAnsi="Sylfaen" w:cs="Sylfaen"/>
                <w:noProof/>
              </w:rPr>
              <w:t>ექსპლუატაციის</w:t>
            </w:r>
            <w:r w:rsidRPr="006A1C5D">
              <w:rPr>
                <w:rStyle w:val="Hyperlink"/>
                <w:noProof/>
              </w:rPr>
              <w:t xml:space="preserve"> </w:t>
            </w:r>
            <w:r w:rsidRPr="006A1C5D">
              <w:rPr>
                <w:rStyle w:val="Hyperlink"/>
                <w:rFonts w:ascii="Sylfaen" w:hAnsi="Sylfaen" w:cs="Sylfaen"/>
                <w:noProof/>
              </w:rPr>
              <w:t>ფაზაზე</w:t>
            </w:r>
            <w:r>
              <w:rPr>
                <w:noProof/>
                <w:webHidden/>
              </w:rPr>
              <w:tab/>
            </w:r>
            <w:r>
              <w:rPr>
                <w:noProof/>
                <w:webHidden/>
              </w:rPr>
              <w:fldChar w:fldCharType="begin"/>
            </w:r>
            <w:r>
              <w:rPr>
                <w:noProof/>
                <w:webHidden/>
              </w:rPr>
              <w:instrText xml:space="preserve"> PAGEREF _Toc1581562 \h </w:instrText>
            </w:r>
            <w:r>
              <w:rPr>
                <w:noProof/>
                <w:webHidden/>
              </w:rPr>
            </w:r>
            <w:r>
              <w:rPr>
                <w:noProof/>
                <w:webHidden/>
              </w:rPr>
              <w:fldChar w:fldCharType="separate"/>
            </w:r>
            <w:r>
              <w:rPr>
                <w:noProof/>
                <w:webHidden/>
              </w:rPr>
              <w:t>183</w:t>
            </w:r>
            <w:r>
              <w:rPr>
                <w:noProof/>
                <w:webHidden/>
              </w:rPr>
              <w:fldChar w:fldCharType="end"/>
            </w:r>
          </w:hyperlink>
        </w:p>
        <w:p w14:paraId="78375A6A" w14:textId="545010DE" w:rsidR="00AB50EE" w:rsidRDefault="00AB50EE">
          <w:pPr>
            <w:pStyle w:val="TOC2"/>
            <w:rPr>
              <w:rFonts w:eastAsiaTheme="minorEastAsia"/>
              <w:bCs w:val="0"/>
            </w:rPr>
          </w:pPr>
          <w:hyperlink w:anchor="_Toc1581563" w:history="1">
            <w:r w:rsidRPr="006A1C5D">
              <w:rPr>
                <w:rStyle w:val="Hyperlink"/>
              </w:rPr>
              <w:t xml:space="preserve">7.3 </w:t>
            </w:r>
            <w:r w:rsidRPr="006A1C5D">
              <w:rPr>
                <w:rStyle w:val="Hyperlink"/>
                <w:rFonts w:ascii="Sylfaen" w:hAnsi="Sylfaen" w:cs="Sylfaen"/>
              </w:rPr>
              <w:t>გეოლოგიური</w:t>
            </w:r>
            <w:r w:rsidRPr="006A1C5D">
              <w:rPr>
                <w:rStyle w:val="Hyperlink"/>
              </w:rPr>
              <w:t xml:space="preserve"> </w:t>
            </w:r>
            <w:r w:rsidRPr="006A1C5D">
              <w:rPr>
                <w:rStyle w:val="Hyperlink"/>
                <w:rFonts w:ascii="Sylfaen" w:hAnsi="Sylfaen" w:cs="Sylfaen"/>
              </w:rPr>
              <w:t>გარემოს</w:t>
            </w:r>
            <w:r w:rsidRPr="006A1C5D">
              <w:rPr>
                <w:rStyle w:val="Hyperlink"/>
              </w:rPr>
              <w:t xml:space="preserve"> </w:t>
            </w:r>
            <w:r w:rsidRPr="006A1C5D">
              <w:rPr>
                <w:rStyle w:val="Hyperlink"/>
                <w:rFonts w:ascii="Sylfaen" w:hAnsi="Sylfaen" w:cs="Sylfaen"/>
              </w:rPr>
              <w:t>ცვლილება</w:t>
            </w:r>
            <w:r w:rsidRPr="006A1C5D">
              <w:rPr>
                <w:rStyle w:val="Hyperlink"/>
              </w:rPr>
              <w:t xml:space="preserve"> </w:t>
            </w:r>
            <w:r w:rsidRPr="006A1C5D">
              <w:rPr>
                <w:rStyle w:val="Hyperlink"/>
                <w:rFonts w:ascii="Sylfaen" w:hAnsi="Sylfaen" w:cs="Sylfaen"/>
              </w:rPr>
              <w:t>და</w:t>
            </w:r>
            <w:r w:rsidRPr="006A1C5D">
              <w:rPr>
                <w:rStyle w:val="Hyperlink"/>
              </w:rPr>
              <w:t xml:space="preserve"> </w:t>
            </w:r>
            <w:r w:rsidRPr="006A1C5D">
              <w:rPr>
                <w:rStyle w:val="Hyperlink"/>
                <w:rFonts w:ascii="Sylfaen" w:hAnsi="Sylfaen" w:cs="Sylfaen"/>
              </w:rPr>
              <w:t>მოსალოდნელი</w:t>
            </w:r>
            <w:r w:rsidRPr="006A1C5D">
              <w:rPr>
                <w:rStyle w:val="Hyperlink"/>
              </w:rPr>
              <w:t xml:space="preserve"> </w:t>
            </w:r>
            <w:r w:rsidRPr="006A1C5D">
              <w:rPr>
                <w:rStyle w:val="Hyperlink"/>
                <w:rFonts w:ascii="Sylfaen" w:hAnsi="Sylfaen" w:cs="Sylfaen"/>
              </w:rPr>
              <w:t>ზემოქმედებები</w:t>
            </w:r>
            <w:r>
              <w:rPr>
                <w:webHidden/>
              </w:rPr>
              <w:tab/>
            </w:r>
            <w:r>
              <w:rPr>
                <w:webHidden/>
              </w:rPr>
              <w:fldChar w:fldCharType="begin"/>
            </w:r>
            <w:r>
              <w:rPr>
                <w:webHidden/>
              </w:rPr>
              <w:instrText xml:space="preserve"> PAGEREF _Toc1581563 \h </w:instrText>
            </w:r>
            <w:r>
              <w:rPr>
                <w:webHidden/>
              </w:rPr>
            </w:r>
            <w:r>
              <w:rPr>
                <w:webHidden/>
              </w:rPr>
              <w:fldChar w:fldCharType="separate"/>
            </w:r>
            <w:r>
              <w:rPr>
                <w:webHidden/>
              </w:rPr>
              <w:t>184</w:t>
            </w:r>
            <w:r>
              <w:rPr>
                <w:webHidden/>
              </w:rPr>
              <w:fldChar w:fldCharType="end"/>
            </w:r>
          </w:hyperlink>
        </w:p>
        <w:p w14:paraId="7E948978" w14:textId="34F87225" w:rsidR="00AB50EE" w:rsidRDefault="00AB50EE">
          <w:pPr>
            <w:pStyle w:val="TOC3"/>
            <w:tabs>
              <w:tab w:val="right" w:leader="dot" w:pos="10430"/>
            </w:tabs>
            <w:rPr>
              <w:rFonts w:eastAsiaTheme="minorEastAsia"/>
              <w:noProof/>
            </w:rPr>
          </w:pPr>
          <w:hyperlink w:anchor="_Toc1581564" w:history="1">
            <w:r w:rsidRPr="006A1C5D">
              <w:rPr>
                <w:rStyle w:val="Hyperlink"/>
                <w:noProof/>
              </w:rPr>
              <w:t xml:space="preserve">7.3.1 </w:t>
            </w:r>
            <w:r w:rsidRPr="006A1C5D">
              <w:rPr>
                <w:rStyle w:val="Hyperlink"/>
                <w:rFonts w:ascii="Sylfaen" w:hAnsi="Sylfaen" w:cs="Sylfaen"/>
                <w:noProof/>
              </w:rPr>
              <w:t>მშენებლობის</w:t>
            </w:r>
            <w:r w:rsidRPr="006A1C5D">
              <w:rPr>
                <w:rStyle w:val="Hyperlink"/>
                <w:noProof/>
              </w:rPr>
              <w:t xml:space="preserve"> </w:t>
            </w:r>
            <w:r w:rsidRPr="006A1C5D">
              <w:rPr>
                <w:rStyle w:val="Hyperlink"/>
                <w:rFonts w:ascii="Sylfaen" w:hAnsi="Sylfaen" w:cs="Sylfaen"/>
                <w:noProof/>
              </w:rPr>
              <w:t>ფაზა</w:t>
            </w:r>
            <w:r>
              <w:rPr>
                <w:noProof/>
                <w:webHidden/>
              </w:rPr>
              <w:tab/>
            </w:r>
            <w:r>
              <w:rPr>
                <w:noProof/>
                <w:webHidden/>
              </w:rPr>
              <w:fldChar w:fldCharType="begin"/>
            </w:r>
            <w:r>
              <w:rPr>
                <w:noProof/>
                <w:webHidden/>
              </w:rPr>
              <w:instrText xml:space="preserve"> PAGEREF _Toc1581564 \h </w:instrText>
            </w:r>
            <w:r>
              <w:rPr>
                <w:noProof/>
                <w:webHidden/>
              </w:rPr>
            </w:r>
            <w:r>
              <w:rPr>
                <w:noProof/>
                <w:webHidden/>
              </w:rPr>
              <w:fldChar w:fldCharType="separate"/>
            </w:r>
            <w:r>
              <w:rPr>
                <w:noProof/>
                <w:webHidden/>
              </w:rPr>
              <w:t>184</w:t>
            </w:r>
            <w:r>
              <w:rPr>
                <w:noProof/>
                <w:webHidden/>
              </w:rPr>
              <w:fldChar w:fldCharType="end"/>
            </w:r>
          </w:hyperlink>
        </w:p>
        <w:p w14:paraId="236AAF44" w14:textId="1E400E52" w:rsidR="00AB50EE" w:rsidRDefault="00AB50EE">
          <w:pPr>
            <w:pStyle w:val="TOC3"/>
            <w:tabs>
              <w:tab w:val="right" w:leader="dot" w:pos="10430"/>
            </w:tabs>
            <w:rPr>
              <w:rFonts w:eastAsiaTheme="minorEastAsia"/>
              <w:noProof/>
            </w:rPr>
          </w:pPr>
          <w:hyperlink w:anchor="_Toc1581565" w:history="1">
            <w:r w:rsidRPr="006A1C5D">
              <w:rPr>
                <w:rStyle w:val="Hyperlink"/>
                <w:noProof/>
              </w:rPr>
              <w:t xml:space="preserve">7.3.2 </w:t>
            </w:r>
            <w:r w:rsidRPr="006A1C5D">
              <w:rPr>
                <w:rStyle w:val="Hyperlink"/>
                <w:rFonts w:ascii="Sylfaen" w:hAnsi="Sylfaen" w:cs="Sylfaen"/>
                <w:noProof/>
              </w:rPr>
              <w:t>ექსპლუატაციის</w:t>
            </w:r>
            <w:r w:rsidRPr="006A1C5D">
              <w:rPr>
                <w:rStyle w:val="Hyperlink"/>
                <w:noProof/>
              </w:rPr>
              <w:t xml:space="preserve"> </w:t>
            </w:r>
            <w:r w:rsidRPr="006A1C5D">
              <w:rPr>
                <w:rStyle w:val="Hyperlink"/>
                <w:rFonts w:ascii="Sylfaen" w:hAnsi="Sylfaen" w:cs="Sylfaen"/>
                <w:noProof/>
              </w:rPr>
              <w:t>ფაზა</w:t>
            </w:r>
            <w:r>
              <w:rPr>
                <w:noProof/>
                <w:webHidden/>
              </w:rPr>
              <w:tab/>
            </w:r>
            <w:r>
              <w:rPr>
                <w:noProof/>
                <w:webHidden/>
              </w:rPr>
              <w:fldChar w:fldCharType="begin"/>
            </w:r>
            <w:r>
              <w:rPr>
                <w:noProof/>
                <w:webHidden/>
              </w:rPr>
              <w:instrText xml:space="preserve"> PAGEREF _Toc1581565 \h </w:instrText>
            </w:r>
            <w:r>
              <w:rPr>
                <w:noProof/>
                <w:webHidden/>
              </w:rPr>
            </w:r>
            <w:r>
              <w:rPr>
                <w:noProof/>
                <w:webHidden/>
              </w:rPr>
              <w:fldChar w:fldCharType="separate"/>
            </w:r>
            <w:r>
              <w:rPr>
                <w:noProof/>
                <w:webHidden/>
              </w:rPr>
              <w:t>185</w:t>
            </w:r>
            <w:r>
              <w:rPr>
                <w:noProof/>
                <w:webHidden/>
              </w:rPr>
              <w:fldChar w:fldCharType="end"/>
            </w:r>
          </w:hyperlink>
        </w:p>
        <w:p w14:paraId="4ED2821E" w14:textId="2E4D043E" w:rsidR="00AB50EE" w:rsidRDefault="00AB50EE">
          <w:pPr>
            <w:pStyle w:val="TOC2"/>
            <w:rPr>
              <w:rFonts w:eastAsiaTheme="minorEastAsia"/>
              <w:bCs w:val="0"/>
            </w:rPr>
          </w:pPr>
          <w:hyperlink w:anchor="_Toc1581566" w:history="1">
            <w:r w:rsidRPr="006A1C5D">
              <w:rPr>
                <w:rStyle w:val="Hyperlink"/>
              </w:rPr>
              <w:t xml:space="preserve">7.4 </w:t>
            </w:r>
            <w:r w:rsidRPr="006A1C5D">
              <w:rPr>
                <w:rStyle w:val="Hyperlink"/>
                <w:rFonts w:ascii="Sylfaen" w:hAnsi="Sylfaen" w:cs="Sylfaen"/>
              </w:rPr>
              <w:t>ზემოქმედება</w:t>
            </w:r>
            <w:r w:rsidRPr="006A1C5D">
              <w:rPr>
                <w:rStyle w:val="Hyperlink"/>
              </w:rPr>
              <w:t xml:space="preserve"> </w:t>
            </w:r>
            <w:r w:rsidRPr="006A1C5D">
              <w:rPr>
                <w:rStyle w:val="Hyperlink"/>
                <w:rFonts w:ascii="Sylfaen" w:hAnsi="Sylfaen" w:cs="Sylfaen"/>
              </w:rPr>
              <w:t>წყლის</w:t>
            </w:r>
            <w:r w:rsidRPr="006A1C5D">
              <w:rPr>
                <w:rStyle w:val="Hyperlink"/>
              </w:rPr>
              <w:t xml:space="preserve"> </w:t>
            </w:r>
            <w:r w:rsidRPr="006A1C5D">
              <w:rPr>
                <w:rStyle w:val="Hyperlink"/>
                <w:rFonts w:ascii="Sylfaen" w:hAnsi="Sylfaen" w:cs="Sylfaen"/>
              </w:rPr>
              <w:t>გარემოზე</w:t>
            </w:r>
            <w:r>
              <w:rPr>
                <w:webHidden/>
              </w:rPr>
              <w:tab/>
            </w:r>
            <w:r>
              <w:rPr>
                <w:webHidden/>
              </w:rPr>
              <w:fldChar w:fldCharType="begin"/>
            </w:r>
            <w:r>
              <w:rPr>
                <w:webHidden/>
              </w:rPr>
              <w:instrText xml:space="preserve"> PAGEREF _Toc1581566 \h </w:instrText>
            </w:r>
            <w:r>
              <w:rPr>
                <w:webHidden/>
              </w:rPr>
            </w:r>
            <w:r>
              <w:rPr>
                <w:webHidden/>
              </w:rPr>
              <w:fldChar w:fldCharType="separate"/>
            </w:r>
            <w:r>
              <w:rPr>
                <w:webHidden/>
              </w:rPr>
              <w:t>186</w:t>
            </w:r>
            <w:r>
              <w:rPr>
                <w:webHidden/>
              </w:rPr>
              <w:fldChar w:fldCharType="end"/>
            </w:r>
          </w:hyperlink>
        </w:p>
        <w:p w14:paraId="7CD69E7F" w14:textId="7E409BC7" w:rsidR="00AB50EE" w:rsidRDefault="00AB50EE">
          <w:pPr>
            <w:pStyle w:val="TOC3"/>
            <w:tabs>
              <w:tab w:val="right" w:leader="dot" w:pos="10430"/>
            </w:tabs>
            <w:rPr>
              <w:rFonts w:eastAsiaTheme="minorEastAsia"/>
              <w:noProof/>
            </w:rPr>
          </w:pPr>
          <w:hyperlink w:anchor="_Toc1581567" w:history="1">
            <w:r w:rsidRPr="006A1C5D">
              <w:rPr>
                <w:rStyle w:val="Hyperlink"/>
                <w:noProof/>
              </w:rPr>
              <w:t xml:space="preserve">7.4.1 </w:t>
            </w:r>
            <w:r w:rsidRPr="006A1C5D">
              <w:rPr>
                <w:rStyle w:val="Hyperlink"/>
                <w:rFonts w:ascii="Sylfaen" w:hAnsi="Sylfaen" w:cs="Sylfaen"/>
                <w:noProof/>
              </w:rPr>
              <w:t>ცვლილება</w:t>
            </w:r>
            <w:r w:rsidRPr="006A1C5D">
              <w:rPr>
                <w:rStyle w:val="Hyperlink"/>
                <w:noProof/>
              </w:rPr>
              <w:t xml:space="preserve"> </w:t>
            </w:r>
            <w:r w:rsidRPr="006A1C5D">
              <w:rPr>
                <w:rStyle w:val="Hyperlink"/>
                <w:rFonts w:ascii="Sylfaen" w:hAnsi="Sylfaen" w:cs="Sylfaen"/>
                <w:noProof/>
              </w:rPr>
              <w:t>და</w:t>
            </w:r>
            <w:r w:rsidRPr="006A1C5D">
              <w:rPr>
                <w:rStyle w:val="Hyperlink"/>
                <w:noProof/>
              </w:rPr>
              <w:t xml:space="preserve"> </w:t>
            </w:r>
            <w:r w:rsidRPr="006A1C5D">
              <w:rPr>
                <w:rStyle w:val="Hyperlink"/>
                <w:rFonts w:ascii="Sylfaen" w:hAnsi="Sylfaen" w:cs="Sylfaen"/>
                <w:noProof/>
              </w:rPr>
              <w:t>დაბინძურების</w:t>
            </w:r>
            <w:r w:rsidRPr="006A1C5D">
              <w:rPr>
                <w:rStyle w:val="Hyperlink"/>
                <w:noProof/>
              </w:rPr>
              <w:t xml:space="preserve"> </w:t>
            </w:r>
            <w:r w:rsidRPr="006A1C5D">
              <w:rPr>
                <w:rStyle w:val="Hyperlink"/>
                <w:rFonts w:ascii="Sylfaen" w:hAnsi="Sylfaen" w:cs="Sylfaen"/>
                <w:noProof/>
              </w:rPr>
              <w:t>რისკები</w:t>
            </w:r>
            <w:r w:rsidRPr="006A1C5D">
              <w:rPr>
                <w:rStyle w:val="Hyperlink"/>
                <w:noProof/>
              </w:rPr>
              <w:t xml:space="preserve"> </w:t>
            </w:r>
            <w:r w:rsidRPr="006A1C5D">
              <w:rPr>
                <w:rStyle w:val="Hyperlink"/>
                <w:rFonts w:ascii="Sylfaen" w:hAnsi="Sylfaen" w:cs="Sylfaen"/>
                <w:noProof/>
              </w:rPr>
              <w:t>მშენებლობის</w:t>
            </w:r>
            <w:r w:rsidRPr="006A1C5D">
              <w:rPr>
                <w:rStyle w:val="Hyperlink"/>
                <w:noProof/>
              </w:rPr>
              <w:t xml:space="preserve"> </w:t>
            </w:r>
            <w:r w:rsidRPr="006A1C5D">
              <w:rPr>
                <w:rStyle w:val="Hyperlink"/>
                <w:rFonts w:ascii="Sylfaen" w:hAnsi="Sylfaen" w:cs="Sylfaen"/>
                <w:noProof/>
              </w:rPr>
              <w:t>ეტაპზე</w:t>
            </w:r>
            <w:r>
              <w:rPr>
                <w:noProof/>
                <w:webHidden/>
              </w:rPr>
              <w:tab/>
            </w:r>
            <w:r>
              <w:rPr>
                <w:noProof/>
                <w:webHidden/>
              </w:rPr>
              <w:fldChar w:fldCharType="begin"/>
            </w:r>
            <w:r>
              <w:rPr>
                <w:noProof/>
                <w:webHidden/>
              </w:rPr>
              <w:instrText xml:space="preserve"> PAGEREF _Toc1581567 \h </w:instrText>
            </w:r>
            <w:r>
              <w:rPr>
                <w:noProof/>
                <w:webHidden/>
              </w:rPr>
            </w:r>
            <w:r>
              <w:rPr>
                <w:noProof/>
                <w:webHidden/>
              </w:rPr>
              <w:fldChar w:fldCharType="separate"/>
            </w:r>
            <w:r>
              <w:rPr>
                <w:noProof/>
                <w:webHidden/>
              </w:rPr>
              <w:t>186</w:t>
            </w:r>
            <w:r>
              <w:rPr>
                <w:noProof/>
                <w:webHidden/>
              </w:rPr>
              <w:fldChar w:fldCharType="end"/>
            </w:r>
          </w:hyperlink>
        </w:p>
        <w:p w14:paraId="508B7A07" w14:textId="55D1ABB3" w:rsidR="00AB50EE" w:rsidRDefault="00AB50EE">
          <w:pPr>
            <w:pStyle w:val="TOC3"/>
            <w:tabs>
              <w:tab w:val="right" w:leader="dot" w:pos="10430"/>
            </w:tabs>
            <w:rPr>
              <w:rFonts w:eastAsiaTheme="minorEastAsia"/>
              <w:noProof/>
            </w:rPr>
          </w:pPr>
          <w:hyperlink w:anchor="_Toc1581568" w:history="1">
            <w:r w:rsidRPr="006A1C5D">
              <w:rPr>
                <w:rStyle w:val="Hyperlink"/>
                <w:noProof/>
              </w:rPr>
              <w:t xml:space="preserve">7.4.2 </w:t>
            </w:r>
            <w:r w:rsidRPr="006A1C5D">
              <w:rPr>
                <w:rStyle w:val="Hyperlink"/>
                <w:rFonts w:ascii="Sylfaen" w:hAnsi="Sylfaen" w:cs="Sylfaen"/>
                <w:noProof/>
              </w:rPr>
              <w:t>ცვლილება</w:t>
            </w:r>
            <w:r w:rsidRPr="006A1C5D">
              <w:rPr>
                <w:rStyle w:val="Hyperlink"/>
                <w:noProof/>
              </w:rPr>
              <w:t xml:space="preserve"> </w:t>
            </w:r>
            <w:r w:rsidRPr="006A1C5D">
              <w:rPr>
                <w:rStyle w:val="Hyperlink"/>
                <w:rFonts w:ascii="Sylfaen" w:hAnsi="Sylfaen" w:cs="Sylfaen"/>
                <w:noProof/>
              </w:rPr>
              <w:t>და</w:t>
            </w:r>
            <w:r w:rsidRPr="006A1C5D">
              <w:rPr>
                <w:rStyle w:val="Hyperlink"/>
                <w:noProof/>
              </w:rPr>
              <w:t xml:space="preserve"> </w:t>
            </w:r>
            <w:r w:rsidRPr="006A1C5D">
              <w:rPr>
                <w:rStyle w:val="Hyperlink"/>
                <w:rFonts w:ascii="Sylfaen" w:hAnsi="Sylfaen" w:cs="Sylfaen"/>
                <w:noProof/>
              </w:rPr>
              <w:t>დაბინძურების</w:t>
            </w:r>
            <w:r w:rsidRPr="006A1C5D">
              <w:rPr>
                <w:rStyle w:val="Hyperlink"/>
                <w:noProof/>
              </w:rPr>
              <w:t xml:space="preserve"> </w:t>
            </w:r>
            <w:r w:rsidRPr="006A1C5D">
              <w:rPr>
                <w:rStyle w:val="Hyperlink"/>
                <w:rFonts w:ascii="Sylfaen" w:hAnsi="Sylfaen" w:cs="Sylfaen"/>
                <w:noProof/>
              </w:rPr>
              <w:t>რისკები</w:t>
            </w:r>
            <w:r w:rsidRPr="006A1C5D">
              <w:rPr>
                <w:rStyle w:val="Hyperlink"/>
                <w:noProof/>
              </w:rPr>
              <w:t xml:space="preserve"> </w:t>
            </w:r>
            <w:r w:rsidRPr="006A1C5D">
              <w:rPr>
                <w:rStyle w:val="Hyperlink"/>
                <w:rFonts w:ascii="Sylfaen" w:hAnsi="Sylfaen" w:cs="Sylfaen"/>
                <w:noProof/>
              </w:rPr>
              <w:t>ექსპლუატაციის</w:t>
            </w:r>
            <w:r w:rsidRPr="006A1C5D">
              <w:rPr>
                <w:rStyle w:val="Hyperlink"/>
                <w:noProof/>
              </w:rPr>
              <w:t xml:space="preserve"> </w:t>
            </w:r>
            <w:r w:rsidRPr="006A1C5D">
              <w:rPr>
                <w:rStyle w:val="Hyperlink"/>
                <w:rFonts w:ascii="Sylfaen" w:hAnsi="Sylfaen" w:cs="Sylfaen"/>
                <w:noProof/>
              </w:rPr>
              <w:t>ეტაპზე</w:t>
            </w:r>
            <w:r>
              <w:rPr>
                <w:noProof/>
                <w:webHidden/>
              </w:rPr>
              <w:tab/>
            </w:r>
            <w:r>
              <w:rPr>
                <w:noProof/>
                <w:webHidden/>
              </w:rPr>
              <w:fldChar w:fldCharType="begin"/>
            </w:r>
            <w:r>
              <w:rPr>
                <w:noProof/>
                <w:webHidden/>
              </w:rPr>
              <w:instrText xml:space="preserve"> PAGEREF _Toc1581568 \h </w:instrText>
            </w:r>
            <w:r>
              <w:rPr>
                <w:noProof/>
                <w:webHidden/>
              </w:rPr>
            </w:r>
            <w:r>
              <w:rPr>
                <w:noProof/>
                <w:webHidden/>
              </w:rPr>
              <w:fldChar w:fldCharType="separate"/>
            </w:r>
            <w:r>
              <w:rPr>
                <w:noProof/>
                <w:webHidden/>
              </w:rPr>
              <w:t>187</w:t>
            </w:r>
            <w:r>
              <w:rPr>
                <w:noProof/>
                <w:webHidden/>
              </w:rPr>
              <w:fldChar w:fldCharType="end"/>
            </w:r>
          </w:hyperlink>
        </w:p>
        <w:p w14:paraId="11D53D2E" w14:textId="7E7B0C74" w:rsidR="00AB50EE" w:rsidRDefault="00AB50EE">
          <w:pPr>
            <w:pStyle w:val="TOC2"/>
            <w:rPr>
              <w:rFonts w:eastAsiaTheme="minorEastAsia"/>
              <w:bCs w:val="0"/>
            </w:rPr>
          </w:pPr>
          <w:hyperlink w:anchor="_Toc1581569" w:history="1">
            <w:r w:rsidRPr="006A1C5D">
              <w:rPr>
                <w:rStyle w:val="Hyperlink"/>
              </w:rPr>
              <w:t xml:space="preserve">7.5 </w:t>
            </w:r>
            <w:r w:rsidRPr="006A1C5D">
              <w:rPr>
                <w:rStyle w:val="Hyperlink"/>
                <w:rFonts w:ascii="Sylfaen" w:hAnsi="Sylfaen" w:cs="Sylfaen"/>
              </w:rPr>
              <w:t>ზემოქმედება</w:t>
            </w:r>
            <w:r w:rsidRPr="006A1C5D">
              <w:rPr>
                <w:rStyle w:val="Hyperlink"/>
              </w:rPr>
              <w:t xml:space="preserve"> </w:t>
            </w:r>
            <w:r w:rsidRPr="006A1C5D">
              <w:rPr>
                <w:rStyle w:val="Hyperlink"/>
                <w:rFonts w:ascii="Sylfaen" w:hAnsi="Sylfaen" w:cs="Sylfaen"/>
              </w:rPr>
              <w:t>ნიადაგის</w:t>
            </w:r>
            <w:r w:rsidRPr="006A1C5D">
              <w:rPr>
                <w:rStyle w:val="Hyperlink"/>
              </w:rPr>
              <w:t xml:space="preserve"> </w:t>
            </w:r>
            <w:r w:rsidRPr="006A1C5D">
              <w:rPr>
                <w:rStyle w:val="Hyperlink"/>
                <w:rFonts w:ascii="Sylfaen" w:hAnsi="Sylfaen" w:cs="Sylfaen"/>
              </w:rPr>
              <w:t>ნაყოფიერებაზე</w:t>
            </w:r>
            <w:r w:rsidRPr="006A1C5D">
              <w:rPr>
                <w:rStyle w:val="Hyperlink"/>
              </w:rPr>
              <w:t xml:space="preserve"> </w:t>
            </w:r>
            <w:r w:rsidRPr="006A1C5D">
              <w:rPr>
                <w:rStyle w:val="Hyperlink"/>
                <w:rFonts w:ascii="Sylfaen" w:hAnsi="Sylfaen" w:cs="Sylfaen"/>
              </w:rPr>
              <w:t>და</w:t>
            </w:r>
            <w:r w:rsidRPr="006A1C5D">
              <w:rPr>
                <w:rStyle w:val="Hyperlink"/>
              </w:rPr>
              <w:t xml:space="preserve"> </w:t>
            </w:r>
            <w:r w:rsidRPr="006A1C5D">
              <w:rPr>
                <w:rStyle w:val="Hyperlink"/>
                <w:rFonts w:ascii="Sylfaen" w:hAnsi="Sylfaen" w:cs="Sylfaen"/>
              </w:rPr>
              <w:t>ხარისხზე</w:t>
            </w:r>
            <w:r>
              <w:rPr>
                <w:webHidden/>
              </w:rPr>
              <w:tab/>
            </w:r>
            <w:r>
              <w:rPr>
                <w:webHidden/>
              </w:rPr>
              <w:fldChar w:fldCharType="begin"/>
            </w:r>
            <w:r>
              <w:rPr>
                <w:webHidden/>
              </w:rPr>
              <w:instrText xml:space="preserve"> PAGEREF _Toc1581569 \h </w:instrText>
            </w:r>
            <w:r>
              <w:rPr>
                <w:webHidden/>
              </w:rPr>
            </w:r>
            <w:r>
              <w:rPr>
                <w:webHidden/>
              </w:rPr>
              <w:fldChar w:fldCharType="separate"/>
            </w:r>
            <w:r>
              <w:rPr>
                <w:webHidden/>
              </w:rPr>
              <w:t>188</w:t>
            </w:r>
            <w:r>
              <w:rPr>
                <w:webHidden/>
              </w:rPr>
              <w:fldChar w:fldCharType="end"/>
            </w:r>
          </w:hyperlink>
        </w:p>
        <w:p w14:paraId="3C98D0FF" w14:textId="47E98968" w:rsidR="00AB50EE" w:rsidRDefault="00AB50EE">
          <w:pPr>
            <w:pStyle w:val="TOC3"/>
            <w:tabs>
              <w:tab w:val="right" w:leader="dot" w:pos="10430"/>
            </w:tabs>
            <w:rPr>
              <w:rFonts w:eastAsiaTheme="minorEastAsia"/>
              <w:noProof/>
            </w:rPr>
          </w:pPr>
          <w:hyperlink w:anchor="_Toc1581570" w:history="1">
            <w:r w:rsidRPr="006A1C5D">
              <w:rPr>
                <w:rStyle w:val="Hyperlink"/>
                <w:noProof/>
              </w:rPr>
              <w:t xml:space="preserve">7.5.1 </w:t>
            </w:r>
            <w:r w:rsidRPr="006A1C5D">
              <w:rPr>
                <w:rStyle w:val="Hyperlink"/>
                <w:rFonts w:ascii="Sylfaen" w:hAnsi="Sylfaen" w:cs="Sylfaen"/>
                <w:noProof/>
              </w:rPr>
              <w:t>ნიადაგზე</w:t>
            </w:r>
            <w:r w:rsidRPr="006A1C5D">
              <w:rPr>
                <w:rStyle w:val="Hyperlink"/>
                <w:noProof/>
              </w:rPr>
              <w:t xml:space="preserve"> </w:t>
            </w:r>
            <w:r w:rsidRPr="006A1C5D">
              <w:rPr>
                <w:rStyle w:val="Hyperlink"/>
                <w:rFonts w:ascii="Sylfaen" w:hAnsi="Sylfaen" w:cs="Sylfaen"/>
                <w:noProof/>
              </w:rPr>
              <w:t>ზემოქმედება</w:t>
            </w:r>
            <w:r w:rsidRPr="006A1C5D">
              <w:rPr>
                <w:rStyle w:val="Hyperlink"/>
                <w:noProof/>
              </w:rPr>
              <w:t xml:space="preserve"> </w:t>
            </w:r>
            <w:r w:rsidRPr="006A1C5D">
              <w:rPr>
                <w:rStyle w:val="Hyperlink"/>
                <w:rFonts w:ascii="Sylfaen" w:hAnsi="Sylfaen" w:cs="Sylfaen"/>
                <w:noProof/>
              </w:rPr>
              <w:t>მშენებლობის</w:t>
            </w:r>
            <w:r w:rsidRPr="006A1C5D">
              <w:rPr>
                <w:rStyle w:val="Hyperlink"/>
                <w:noProof/>
              </w:rPr>
              <w:t xml:space="preserve"> </w:t>
            </w:r>
            <w:r w:rsidRPr="006A1C5D">
              <w:rPr>
                <w:rStyle w:val="Hyperlink"/>
                <w:rFonts w:ascii="Sylfaen" w:hAnsi="Sylfaen" w:cs="Sylfaen"/>
                <w:noProof/>
              </w:rPr>
              <w:t>ეტაპზე</w:t>
            </w:r>
            <w:r>
              <w:rPr>
                <w:noProof/>
                <w:webHidden/>
              </w:rPr>
              <w:tab/>
            </w:r>
            <w:r>
              <w:rPr>
                <w:noProof/>
                <w:webHidden/>
              </w:rPr>
              <w:fldChar w:fldCharType="begin"/>
            </w:r>
            <w:r>
              <w:rPr>
                <w:noProof/>
                <w:webHidden/>
              </w:rPr>
              <w:instrText xml:space="preserve"> PAGEREF _Toc1581570 \h </w:instrText>
            </w:r>
            <w:r>
              <w:rPr>
                <w:noProof/>
                <w:webHidden/>
              </w:rPr>
            </w:r>
            <w:r>
              <w:rPr>
                <w:noProof/>
                <w:webHidden/>
              </w:rPr>
              <w:fldChar w:fldCharType="separate"/>
            </w:r>
            <w:r>
              <w:rPr>
                <w:noProof/>
                <w:webHidden/>
              </w:rPr>
              <w:t>188</w:t>
            </w:r>
            <w:r>
              <w:rPr>
                <w:noProof/>
                <w:webHidden/>
              </w:rPr>
              <w:fldChar w:fldCharType="end"/>
            </w:r>
          </w:hyperlink>
        </w:p>
        <w:p w14:paraId="4D96A4D2" w14:textId="476E2611" w:rsidR="00AB50EE" w:rsidRDefault="00AB50EE">
          <w:pPr>
            <w:pStyle w:val="TOC2"/>
            <w:rPr>
              <w:rFonts w:eastAsiaTheme="minorEastAsia"/>
              <w:bCs w:val="0"/>
            </w:rPr>
          </w:pPr>
          <w:hyperlink w:anchor="_Toc1581571" w:history="1">
            <w:r w:rsidRPr="006A1C5D">
              <w:rPr>
                <w:rStyle w:val="Hyperlink"/>
              </w:rPr>
              <w:t xml:space="preserve">7.6. </w:t>
            </w:r>
            <w:r w:rsidRPr="006A1C5D">
              <w:rPr>
                <w:rStyle w:val="Hyperlink"/>
                <w:rFonts w:ascii="Sylfaen" w:hAnsi="Sylfaen" w:cs="Sylfaen"/>
              </w:rPr>
              <w:t>ზემოქმედება</w:t>
            </w:r>
            <w:r w:rsidRPr="006A1C5D">
              <w:rPr>
                <w:rStyle w:val="Hyperlink"/>
              </w:rPr>
              <w:t xml:space="preserve"> </w:t>
            </w:r>
            <w:r w:rsidRPr="006A1C5D">
              <w:rPr>
                <w:rStyle w:val="Hyperlink"/>
                <w:rFonts w:ascii="Sylfaen" w:hAnsi="Sylfaen" w:cs="Sylfaen"/>
              </w:rPr>
              <w:t>მცენარეულ</w:t>
            </w:r>
            <w:r w:rsidRPr="006A1C5D">
              <w:rPr>
                <w:rStyle w:val="Hyperlink"/>
              </w:rPr>
              <w:t xml:space="preserve"> </w:t>
            </w:r>
            <w:r w:rsidRPr="006A1C5D">
              <w:rPr>
                <w:rStyle w:val="Hyperlink"/>
                <w:rFonts w:ascii="Sylfaen" w:hAnsi="Sylfaen" w:cs="Sylfaen"/>
              </w:rPr>
              <w:t>საფარზე</w:t>
            </w:r>
            <w:r>
              <w:rPr>
                <w:webHidden/>
              </w:rPr>
              <w:tab/>
            </w:r>
            <w:r>
              <w:rPr>
                <w:webHidden/>
              </w:rPr>
              <w:fldChar w:fldCharType="begin"/>
            </w:r>
            <w:r>
              <w:rPr>
                <w:webHidden/>
              </w:rPr>
              <w:instrText xml:space="preserve"> PAGEREF _Toc1581571 \h </w:instrText>
            </w:r>
            <w:r>
              <w:rPr>
                <w:webHidden/>
              </w:rPr>
            </w:r>
            <w:r>
              <w:rPr>
                <w:webHidden/>
              </w:rPr>
              <w:fldChar w:fldCharType="separate"/>
            </w:r>
            <w:r>
              <w:rPr>
                <w:webHidden/>
              </w:rPr>
              <w:t>191</w:t>
            </w:r>
            <w:r>
              <w:rPr>
                <w:webHidden/>
              </w:rPr>
              <w:fldChar w:fldCharType="end"/>
            </w:r>
          </w:hyperlink>
        </w:p>
        <w:p w14:paraId="273DF27E" w14:textId="5FE3D7A6" w:rsidR="00AB50EE" w:rsidRDefault="00AB50EE">
          <w:pPr>
            <w:pStyle w:val="TOC3"/>
            <w:tabs>
              <w:tab w:val="right" w:leader="dot" w:pos="10430"/>
            </w:tabs>
            <w:rPr>
              <w:rFonts w:eastAsiaTheme="minorEastAsia"/>
              <w:noProof/>
            </w:rPr>
          </w:pPr>
          <w:hyperlink w:anchor="_Toc1581572" w:history="1">
            <w:r w:rsidRPr="006A1C5D">
              <w:rPr>
                <w:rStyle w:val="Hyperlink"/>
                <w:noProof/>
              </w:rPr>
              <w:t xml:space="preserve">7.6.1 </w:t>
            </w:r>
            <w:r w:rsidRPr="006A1C5D">
              <w:rPr>
                <w:rStyle w:val="Hyperlink"/>
                <w:rFonts w:ascii="Sylfaen" w:hAnsi="Sylfaen" w:cs="Sylfaen"/>
                <w:noProof/>
              </w:rPr>
              <w:t>მცენარეულ</w:t>
            </w:r>
            <w:r w:rsidRPr="006A1C5D">
              <w:rPr>
                <w:rStyle w:val="Hyperlink"/>
                <w:noProof/>
              </w:rPr>
              <w:t xml:space="preserve"> </w:t>
            </w:r>
            <w:r w:rsidRPr="006A1C5D">
              <w:rPr>
                <w:rStyle w:val="Hyperlink"/>
                <w:rFonts w:ascii="Sylfaen" w:hAnsi="Sylfaen" w:cs="Sylfaen"/>
                <w:noProof/>
              </w:rPr>
              <w:t>საფარზე</w:t>
            </w:r>
            <w:r w:rsidRPr="006A1C5D">
              <w:rPr>
                <w:rStyle w:val="Hyperlink"/>
                <w:noProof/>
              </w:rPr>
              <w:t xml:space="preserve"> </w:t>
            </w:r>
            <w:r w:rsidRPr="006A1C5D">
              <w:rPr>
                <w:rStyle w:val="Hyperlink"/>
                <w:rFonts w:ascii="Sylfaen" w:hAnsi="Sylfaen" w:cs="Sylfaen"/>
                <w:noProof/>
              </w:rPr>
              <w:t>ზემოქმედება</w:t>
            </w:r>
            <w:r w:rsidRPr="006A1C5D">
              <w:rPr>
                <w:rStyle w:val="Hyperlink"/>
                <w:noProof/>
              </w:rPr>
              <w:t xml:space="preserve"> </w:t>
            </w:r>
            <w:r w:rsidRPr="006A1C5D">
              <w:rPr>
                <w:rStyle w:val="Hyperlink"/>
                <w:rFonts w:ascii="Sylfaen" w:hAnsi="Sylfaen" w:cs="Sylfaen"/>
                <w:noProof/>
              </w:rPr>
              <w:t>მშენებლობის</w:t>
            </w:r>
            <w:r w:rsidRPr="006A1C5D">
              <w:rPr>
                <w:rStyle w:val="Hyperlink"/>
                <w:noProof/>
              </w:rPr>
              <w:t xml:space="preserve"> </w:t>
            </w:r>
            <w:r w:rsidRPr="006A1C5D">
              <w:rPr>
                <w:rStyle w:val="Hyperlink"/>
                <w:rFonts w:ascii="Sylfaen" w:hAnsi="Sylfaen" w:cs="Sylfaen"/>
                <w:noProof/>
              </w:rPr>
              <w:t>ეტაპზე</w:t>
            </w:r>
            <w:r>
              <w:rPr>
                <w:noProof/>
                <w:webHidden/>
              </w:rPr>
              <w:tab/>
            </w:r>
            <w:r>
              <w:rPr>
                <w:noProof/>
                <w:webHidden/>
              </w:rPr>
              <w:fldChar w:fldCharType="begin"/>
            </w:r>
            <w:r>
              <w:rPr>
                <w:noProof/>
                <w:webHidden/>
              </w:rPr>
              <w:instrText xml:space="preserve"> PAGEREF _Toc1581572 \h </w:instrText>
            </w:r>
            <w:r>
              <w:rPr>
                <w:noProof/>
                <w:webHidden/>
              </w:rPr>
            </w:r>
            <w:r>
              <w:rPr>
                <w:noProof/>
                <w:webHidden/>
              </w:rPr>
              <w:fldChar w:fldCharType="separate"/>
            </w:r>
            <w:r>
              <w:rPr>
                <w:noProof/>
                <w:webHidden/>
              </w:rPr>
              <w:t>191</w:t>
            </w:r>
            <w:r>
              <w:rPr>
                <w:noProof/>
                <w:webHidden/>
              </w:rPr>
              <w:fldChar w:fldCharType="end"/>
            </w:r>
          </w:hyperlink>
        </w:p>
        <w:p w14:paraId="0E8C9C53" w14:textId="2AF41A00" w:rsidR="00AB50EE" w:rsidRDefault="00AB50EE">
          <w:pPr>
            <w:pStyle w:val="TOC3"/>
            <w:tabs>
              <w:tab w:val="right" w:leader="dot" w:pos="10430"/>
            </w:tabs>
            <w:rPr>
              <w:rFonts w:eastAsiaTheme="minorEastAsia"/>
              <w:noProof/>
            </w:rPr>
          </w:pPr>
          <w:hyperlink w:anchor="_Toc1581573" w:history="1">
            <w:r w:rsidRPr="006A1C5D">
              <w:rPr>
                <w:rStyle w:val="Hyperlink"/>
                <w:noProof/>
              </w:rPr>
              <w:t xml:space="preserve">7.6.2 </w:t>
            </w:r>
            <w:r w:rsidRPr="006A1C5D">
              <w:rPr>
                <w:rStyle w:val="Hyperlink"/>
                <w:rFonts w:ascii="Sylfaen" w:hAnsi="Sylfaen" w:cs="Sylfaen"/>
                <w:noProof/>
              </w:rPr>
              <w:t>მცენარეულ</w:t>
            </w:r>
            <w:r w:rsidRPr="006A1C5D">
              <w:rPr>
                <w:rStyle w:val="Hyperlink"/>
                <w:noProof/>
              </w:rPr>
              <w:t xml:space="preserve"> </w:t>
            </w:r>
            <w:r w:rsidRPr="006A1C5D">
              <w:rPr>
                <w:rStyle w:val="Hyperlink"/>
                <w:rFonts w:ascii="Sylfaen" w:hAnsi="Sylfaen" w:cs="Sylfaen"/>
                <w:noProof/>
              </w:rPr>
              <w:t>საფარზე</w:t>
            </w:r>
            <w:r w:rsidRPr="006A1C5D">
              <w:rPr>
                <w:rStyle w:val="Hyperlink"/>
                <w:noProof/>
              </w:rPr>
              <w:t xml:space="preserve"> </w:t>
            </w:r>
            <w:r w:rsidRPr="006A1C5D">
              <w:rPr>
                <w:rStyle w:val="Hyperlink"/>
                <w:rFonts w:ascii="Sylfaen" w:hAnsi="Sylfaen" w:cs="Sylfaen"/>
                <w:noProof/>
              </w:rPr>
              <w:t>ზემოქმედება</w:t>
            </w:r>
            <w:r w:rsidRPr="006A1C5D">
              <w:rPr>
                <w:rStyle w:val="Hyperlink"/>
                <w:noProof/>
              </w:rPr>
              <w:t xml:space="preserve"> </w:t>
            </w:r>
            <w:r w:rsidRPr="006A1C5D">
              <w:rPr>
                <w:rStyle w:val="Hyperlink"/>
                <w:rFonts w:ascii="Sylfaen" w:hAnsi="Sylfaen" w:cs="Sylfaen"/>
                <w:noProof/>
              </w:rPr>
              <w:t>ექსპლუატაციის</w:t>
            </w:r>
            <w:r w:rsidRPr="006A1C5D">
              <w:rPr>
                <w:rStyle w:val="Hyperlink"/>
                <w:noProof/>
              </w:rPr>
              <w:t xml:space="preserve"> </w:t>
            </w:r>
            <w:r w:rsidRPr="006A1C5D">
              <w:rPr>
                <w:rStyle w:val="Hyperlink"/>
                <w:rFonts w:ascii="Sylfaen" w:hAnsi="Sylfaen" w:cs="Sylfaen"/>
                <w:noProof/>
              </w:rPr>
              <w:t>ეტაპზე</w:t>
            </w:r>
            <w:r>
              <w:rPr>
                <w:noProof/>
                <w:webHidden/>
              </w:rPr>
              <w:tab/>
            </w:r>
            <w:r>
              <w:rPr>
                <w:noProof/>
                <w:webHidden/>
              </w:rPr>
              <w:fldChar w:fldCharType="begin"/>
            </w:r>
            <w:r>
              <w:rPr>
                <w:noProof/>
                <w:webHidden/>
              </w:rPr>
              <w:instrText xml:space="preserve"> PAGEREF _Toc1581573 \h </w:instrText>
            </w:r>
            <w:r>
              <w:rPr>
                <w:noProof/>
                <w:webHidden/>
              </w:rPr>
            </w:r>
            <w:r>
              <w:rPr>
                <w:noProof/>
                <w:webHidden/>
              </w:rPr>
              <w:fldChar w:fldCharType="separate"/>
            </w:r>
            <w:r>
              <w:rPr>
                <w:noProof/>
                <w:webHidden/>
              </w:rPr>
              <w:t>193</w:t>
            </w:r>
            <w:r>
              <w:rPr>
                <w:noProof/>
                <w:webHidden/>
              </w:rPr>
              <w:fldChar w:fldCharType="end"/>
            </w:r>
          </w:hyperlink>
        </w:p>
        <w:p w14:paraId="4355D9BE" w14:textId="3DB56066" w:rsidR="00AB50EE" w:rsidRDefault="00AB50EE">
          <w:pPr>
            <w:pStyle w:val="TOC2"/>
            <w:rPr>
              <w:rFonts w:eastAsiaTheme="minorEastAsia"/>
              <w:bCs w:val="0"/>
            </w:rPr>
          </w:pPr>
          <w:hyperlink w:anchor="_Toc1581574" w:history="1">
            <w:r w:rsidRPr="006A1C5D">
              <w:rPr>
                <w:rStyle w:val="Hyperlink"/>
              </w:rPr>
              <w:t>7.7.</w:t>
            </w:r>
            <w:r w:rsidRPr="006A1C5D">
              <w:rPr>
                <w:rStyle w:val="Hyperlink"/>
                <w:rFonts w:ascii="Sylfaen" w:hAnsi="Sylfaen" w:cs="Sylfaen"/>
              </w:rPr>
              <w:t>ზემოქმედება</w:t>
            </w:r>
            <w:r w:rsidRPr="006A1C5D">
              <w:rPr>
                <w:rStyle w:val="Hyperlink"/>
              </w:rPr>
              <w:t xml:space="preserve"> </w:t>
            </w:r>
            <w:r w:rsidRPr="006A1C5D">
              <w:rPr>
                <w:rStyle w:val="Hyperlink"/>
                <w:rFonts w:ascii="Sylfaen" w:hAnsi="Sylfaen" w:cs="Sylfaen"/>
              </w:rPr>
              <w:t>ცხოველთა</w:t>
            </w:r>
            <w:r w:rsidRPr="006A1C5D">
              <w:rPr>
                <w:rStyle w:val="Hyperlink"/>
              </w:rPr>
              <w:t xml:space="preserve"> </w:t>
            </w:r>
            <w:r w:rsidRPr="006A1C5D">
              <w:rPr>
                <w:rStyle w:val="Hyperlink"/>
                <w:rFonts w:ascii="Sylfaen" w:hAnsi="Sylfaen" w:cs="Sylfaen"/>
              </w:rPr>
              <w:t>სამყაროზე</w:t>
            </w:r>
            <w:r>
              <w:rPr>
                <w:webHidden/>
              </w:rPr>
              <w:tab/>
            </w:r>
            <w:r>
              <w:rPr>
                <w:webHidden/>
              </w:rPr>
              <w:fldChar w:fldCharType="begin"/>
            </w:r>
            <w:r>
              <w:rPr>
                <w:webHidden/>
              </w:rPr>
              <w:instrText xml:space="preserve"> PAGEREF _Toc1581574 \h </w:instrText>
            </w:r>
            <w:r>
              <w:rPr>
                <w:webHidden/>
              </w:rPr>
            </w:r>
            <w:r>
              <w:rPr>
                <w:webHidden/>
              </w:rPr>
              <w:fldChar w:fldCharType="separate"/>
            </w:r>
            <w:r>
              <w:rPr>
                <w:webHidden/>
              </w:rPr>
              <w:t>194</w:t>
            </w:r>
            <w:r>
              <w:rPr>
                <w:webHidden/>
              </w:rPr>
              <w:fldChar w:fldCharType="end"/>
            </w:r>
          </w:hyperlink>
        </w:p>
        <w:p w14:paraId="4F8F33B3" w14:textId="693A7A3F" w:rsidR="00AB50EE" w:rsidRDefault="00AB50EE">
          <w:pPr>
            <w:pStyle w:val="TOC3"/>
            <w:tabs>
              <w:tab w:val="right" w:leader="dot" w:pos="10430"/>
            </w:tabs>
            <w:rPr>
              <w:rFonts w:eastAsiaTheme="minorEastAsia"/>
              <w:noProof/>
            </w:rPr>
          </w:pPr>
          <w:hyperlink w:anchor="_Toc1581575" w:history="1">
            <w:r w:rsidRPr="006A1C5D">
              <w:rPr>
                <w:rStyle w:val="Hyperlink"/>
                <w:noProof/>
              </w:rPr>
              <w:t xml:space="preserve">7.7.1 </w:t>
            </w:r>
            <w:r w:rsidRPr="006A1C5D">
              <w:rPr>
                <w:rStyle w:val="Hyperlink"/>
                <w:rFonts w:ascii="Sylfaen" w:hAnsi="Sylfaen" w:cs="Sylfaen"/>
                <w:noProof/>
              </w:rPr>
              <w:t>ცხოველთა</w:t>
            </w:r>
            <w:r w:rsidRPr="006A1C5D">
              <w:rPr>
                <w:rStyle w:val="Hyperlink"/>
                <w:noProof/>
              </w:rPr>
              <w:t xml:space="preserve"> </w:t>
            </w:r>
            <w:r w:rsidRPr="006A1C5D">
              <w:rPr>
                <w:rStyle w:val="Hyperlink"/>
                <w:rFonts w:ascii="Sylfaen" w:hAnsi="Sylfaen" w:cs="Sylfaen"/>
                <w:noProof/>
              </w:rPr>
              <w:t>სამყაროზე</w:t>
            </w:r>
            <w:r w:rsidRPr="006A1C5D">
              <w:rPr>
                <w:rStyle w:val="Hyperlink"/>
                <w:noProof/>
              </w:rPr>
              <w:t xml:space="preserve"> </w:t>
            </w:r>
            <w:r w:rsidRPr="006A1C5D">
              <w:rPr>
                <w:rStyle w:val="Hyperlink"/>
                <w:rFonts w:ascii="Sylfaen" w:hAnsi="Sylfaen" w:cs="Sylfaen"/>
                <w:noProof/>
              </w:rPr>
              <w:t>ზემოქმედება</w:t>
            </w:r>
            <w:r w:rsidRPr="006A1C5D">
              <w:rPr>
                <w:rStyle w:val="Hyperlink"/>
                <w:noProof/>
              </w:rPr>
              <w:t xml:space="preserve"> </w:t>
            </w:r>
            <w:r w:rsidRPr="006A1C5D">
              <w:rPr>
                <w:rStyle w:val="Hyperlink"/>
                <w:rFonts w:ascii="Sylfaen" w:hAnsi="Sylfaen" w:cs="Sylfaen"/>
                <w:noProof/>
              </w:rPr>
              <w:t>მშენებლობის</w:t>
            </w:r>
            <w:r w:rsidRPr="006A1C5D">
              <w:rPr>
                <w:rStyle w:val="Hyperlink"/>
                <w:noProof/>
              </w:rPr>
              <w:t xml:space="preserve"> </w:t>
            </w:r>
            <w:r w:rsidRPr="006A1C5D">
              <w:rPr>
                <w:rStyle w:val="Hyperlink"/>
                <w:rFonts w:ascii="Sylfaen" w:hAnsi="Sylfaen" w:cs="Sylfaen"/>
                <w:noProof/>
              </w:rPr>
              <w:t>ეტაპზე</w:t>
            </w:r>
            <w:r>
              <w:rPr>
                <w:noProof/>
                <w:webHidden/>
              </w:rPr>
              <w:tab/>
            </w:r>
            <w:r>
              <w:rPr>
                <w:noProof/>
                <w:webHidden/>
              </w:rPr>
              <w:fldChar w:fldCharType="begin"/>
            </w:r>
            <w:r>
              <w:rPr>
                <w:noProof/>
                <w:webHidden/>
              </w:rPr>
              <w:instrText xml:space="preserve"> PAGEREF _Toc1581575 \h </w:instrText>
            </w:r>
            <w:r>
              <w:rPr>
                <w:noProof/>
                <w:webHidden/>
              </w:rPr>
            </w:r>
            <w:r>
              <w:rPr>
                <w:noProof/>
                <w:webHidden/>
              </w:rPr>
              <w:fldChar w:fldCharType="separate"/>
            </w:r>
            <w:r>
              <w:rPr>
                <w:noProof/>
                <w:webHidden/>
              </w:rPr>
              <w:t>194</w:t>
            </w:r>
            <w:r>
              <w:rPr>
                <w:noProof/>
                <w:webHidden/>
              </w:rPr>
              <w:fldChar w:fldCharType="end"/>
            </w:r>
          </w:hyperlink>
        </w:p>
        <w:p w14:paraId="43BF4686" w14:textId="54CC2DBB" w:rsidR="00AB50EE" w:rsidRDefault="00AB50EE">
          <w:pPr>
            <w:pStyle w:val="TOC3"/>
            <w:tabs>
              <w:tab w:val="right" w:leader="dot" w:pos="10430"/>
            </w:tabs>
            <w:rPr>
              <w:rFonts w:eastAsiaTheme="minorEastAsia"/>
              <w:noProof/>
            </w:rPr>
          </w:pPr>
          <w:hyperlink w:anchor="_Toc1581576" w:history="1">
            <w:r w:rsidRPr="006A1C5D">
              <w:rPr>
                <w:rStyle w:val="Hyperlink"/>
                <w:noProof/>
                <w:lang w:val="ka-GE"/>
              </w:rPr>
              <w:t xml:space="preserve">7.7.2 </w:t>
            </w:r>
            <w:r w:rsidRPr="006A1C5D">
              <w:rPr>
                <w:rStyle w:val="Hyperlink"/>
                <w:rFonts w:ascii="Sylfaen" w:hAnsi="Sylfaen" w:cs="Sylfaen"/>
                <w:noProof/>
                <w:lang w:val="ka-GE"/>
              </w:rPr>
              <w:t>ცხოველთა</w:t>
            </w:r>
            <w:r w:rsidRPr="006A1C5D">
              <w:rPr>
                <w:rStyle w:val="Hyperlink"/>
                <w:noProof/>
                <w:lang w:val="ka-GE"/>
              </w:rPr>
              <w:t xml:space="preserve"> </w:t>
            </w:r>
            <w:r w:rsidRPr="006A1C5D">
              <w:rPr>
                <w:rStyle w:val="Hyperlink"/>
                <w:rFonts w:ascii="Sylfaen" w:hAnsi="Sylfaen" w:cs="Sylfaen"/>
                <w:noProof/>
                <w:lang w:val="ka-GE"/>
              </w:rPr>
              <w:t>სამყაროზე</w:t>
            </w:r>
            <w:r w:rsidRPr="006A1C5D">
              <w:rPr>
                <w:rStyle w:val="Hyperlink"/>
                <w:noProof/>
                <w:lang w:val="ka-GE"/>
              </w:rPr>
              <w:t xml:space="preserve"> </w:t>
            </w:r>
            <w:r w:rsidRPr="006A1C5D">
              <w:rPr>
                <w:rStyle w:val="Hyperlink"/>
                <w:rFonts w:ascii="Sylfaen" w:hAnsi="Sylfaen" w:cs="Sylfaen"/>
                <w:noProof/>
                <w:lang w:val="ka-GE"/>
              </w:rPr>
              <w:t>ზემოქმედება</w:t>
            </w:r>
            <w:r w:rsidRPr="006A1C5D">
              <w:rPr>
                <w:rStyle w:val="Hyperlink"/>
                <w:noProof/>
                <w:lang w:val="ka-GE"/>
              </w:rPr>
              <w:t xml:space="preserve"> </w:t>
            </w:r>
            <w:r w:rsidRPr="006A1C5D">
              <w:rPr>
                <w:rStyle w:val="Hyperlink"/>
                <w:rFonts w:ascii="Sylfaen" w:hAnsi="Sylfaen" w:cs="Sylfaen"/>
                <w:noProof/>
                <w:lang w:val="ka-GE"/>
              </w:rPr>
              <w:t>ექსპლუატაციის</w:t>
            </w:r>
            <w:r w:rsidRPr="006A1C5D">
              <w:rPr>
                <w:rStyle w:val="Hyperlink"/>
                <w:noProof/>
                <w:lang w:val="ka-GE"/>
              </w:rPr>
              <w:t xml:space="preserve"> </w:t>
            </w:r>
            <w:r w:rsidRPr="006A1C5D">
              <w:rPr>
                <w:rStyle w:val="Hyperlink"/>
                <w:rFonts w:ascii="Sylfaen" w:hAnsi="Sylfaen" w:cs="Sylfaen"/>
                <w:noProof/>
                <w:lang w:val="ka-GE"/>
              </w:rPr>
              <w:t>ეტაპზე</w:t>
            </w:r>
            <w:r>
              <w:rPr>
                <w:noProof/>
                <w:webHidden/>
              </w:rPr>
              <w:tab/>
            </w:r>
            <w:r>
              <w:rPr>
                <w:noProof/>
                <w:webHidden/>
              </w:rPr>
              <w:fldChar w:fldCharType="begin"/>
            </w:r>
            <w:r>
              <w:rPr>
                <w:noProof/>
                <w:webHidden/>
              </w:rPr>
              <w:instrText xml:space="preserve"> PAGEREF _Toc1581576 \h </w:instrText>
            </w:r>
            <w:r>
              <w:rPr>
                <w:noProof/>
                <w:webHidden/>
              </w:rPr>
            </w:r>
            <w:r>
              <w:rPr>
                <w:noProof/>
                <w:webHidden/>
              </w:rPr>
              <w:fldChar w:fldCharType="separate"/>
            </w:r>
            <w:r>
              <w:rPr>
                <w:noProof/>
                <w:webHidden/>
              </w:rPr>
              <w:t>195</w:t>
            </w:r>
            <w:r>
              <w:rPr>
                <w:noProof/>
                <w:webHidden/>
              </w:rPr>
              <w:fldChar w:fldCharType="end"/>
            </w:r>
          </w:hyperlink>
        </w:p>
        <w:p w14:paraId="1C015D1F" w14:textId="2E702A3D" w:rsidR="00AB50EE" w:rsidRDefault="00AB50EE">
          <w:pPr>
            <w:pStyle w:val="TOC2"/>
            <w:rPr>
              <w:rFonts w:eastAsiaTheme="minorEastAsia"/>
              <w:bCs w:val="0"/>
            </w:rPr>
          </w:pPr>
          <w:hyperlink w:anchor="_Toc1581577" w:history="1">
            <w:r w:rsidRPr="006A1C5D">
              <w:rPr>
                <w:rStyle w:val="Hyperlink"/>
                <w:lang w:val="ka-GE"/>
              </w:rPr>
              <w:t xml:space="preserve">7.8 </w:t>
            </w:r>
            <w:r w:rsidRPr="006A1C5D">
              <w:rPr>
                <w:rStyle w:val="Hyperlink"/>
                <w:rFonts w:ascii="Sylfaen" w:hAnsi="Sylfaen" w:cs="Sylfaen"/>
                <w:lang w:val="ka-GE"/>
              </w:rPr>
              <w:t>ვიზუალურ</w:t>
            </w:r>
            <w:r w:rsidRPr="006A1C5D">
              <w:rPr>
                <w:rStyle w:val="Hyperlink"/>
                <w:lang w:val="ka-GE"/>
              </w:rPr>
              <w:t>-</w:t>
            </w:r>
            <w:r w:rsidRPr="006A1C5D">
              <w:rPr>
                <w:rStyle w:val="Hyperlink"/>
                <w:rFonts w:ascii="Sylfaen" w:hAnsi="Sylfaen" w:cs="Sylfaen"/>
                <w:lang w:val="ka-GE"/>
              </w:rPr>
              <w:t>ლანდშაფტური</w:t>
            </w:r>
            <w:r w:rsidRPr="006A1C5D">
              <w:rPr>
                <w:rStyle w:val="Hyperlink"/>
                <w:lang w:val="ka-GE"/>
              </w:rPr>
              <w:t xml:space="preserve"> </w:t>
            </w:r>
            <w:r w:rsidRPr="006A1C5D">
              <w:rPr>
                <w:rStyle w:val="Hyperlink"/>
                <w:rFonts w:ascii="Sylfaen" w:hAnsi="Sylfaen" w:cs="Sylfaen"/>
                <w:lang w:val="ka-GE"/>
              </w:rPr>
              <w:t>ცვლილება</w:t>
            </w:r>
            <w:r>
              <w:rPr>
                <w:webHidden/>
              </w:rPr>
              <w:tab/>
            </w:r>
            <w:r>
              <w:rPr>
                <w:webHidden/>
              </w:rPr>
              <w:fldChar w:fldCharType="begin"/>
            </w:r>
            <w:r>
              <w:rPr>
                <w:webHidden/>
              </w:rPr>
              <w:instrText xml:space="preserve"> PAGEREF _Toc1581577 \h </w:instrText>
            </w:r>
            <w:r>
              <w:rPr>
                <w:webHidden/>
              </w:rPr>
            </w:r>
            <w:r>
              <w:rPr>
                <w:webHidden/>
              </w:rPr>
              <w:fldChar w:fldCharType="separate"/>
            </w:r>
            <w:r>
              <w:rPr>
                <w:webHidden/>
              </w:rPr>
              <w:t>196</w:t>
            </w:r>
            <w:r>
              <w:rPr>
                <w:webHidden/>
              </w:rPr>
              <w:fldChar w:fldCharType="end"/>
            </w:r>
          </w:hyperlink>
        </w:p>
        <w:p w14:paraId="7B5E2AF3" w14:textId="4EA1E5D3" w:rsidR="00AB50EE" w:rsidRDefault="00AB50EE">
          <w:pPr>
            <w:pStyle w:val="TOC3"/>
            <w:tabs>
              <w:tab w:val="right" w:leader="dot" w:pos="10430"/>
            </w:tabs>
            <w:rPr>
              <w:rFonts w:eastAsiaTheme="minorEastAsia"/>
              <w:noProof/>
            </w:rPr>
          </w:pPr>
          <w:hyperlink w:anchor="_Toc1581578" w:history="1">
            <w:r w:rsidRPr="006A1C5D">
              <w:rPr>
                <w:rStyle w:val="Hyperlink"/>
                <w:noProof/>
                <w:lang w:val="ka-GE"/>
              </w:rPr>
              <w:t xml:space="preserve">7.8.1 </w:t>
            </w:r>
            <w:r w:rsidRPr="006A1C5D">
              <w:rPr>
                <w:rStyle w:val="Hyperlink"/>
                <w:rFonts w:ascii="Sylfaen" w:hAnsi="Sylfaen" w:cs="Sylfaen"/>
                <w:noProof/>
                <w:lang w:val="ka-GE"/>
              </w:rPr>
              <w:t>ვიზუალურ</w:t>
            </w:r>
            <w:r w:rsidRPr="006A1C5D">
              <w:rPr>
                <w:rStyle w:val="Hyperlink"/>
                <w:noProof/>
                <w:lang w:val="ka-GE"/>
              </w:rPr>
              <w:t>-</w:t>
            </w:r>
            <w:r w:rsidRPr="006A1C5D">
              <w:rPr>
                <w:rStyle w:val="Hyperlink"/>
                <w:rFonts w:ascii="Sylfaen" w:hAnsi="Sylfaen" w:cs="Sylfaen"/>
                <w:noProof/>
                <w:lang w:val="ka-GE"/>
              </w:rPr>
              <w:t>ლანდშაფტური</w:t>
            </w:r>
            <w:r w:rsidRPr="006A1C5D">
              <w:rPr>
                <w:rStyle w:val="Hyperlink"/>
                <w:noProof/>
                <w:lang w:val="ka-GE"/>
              </w:rPr>
              <w:t xml:space="preserve"> </w:t>
            </w:r>
            <w:r w:rsidRPr="006A1C5D">
              <w:rPr>
                <w:rStyle w:val="Hyperlink"/>
                <w:rFonts w:ascii="Sylfaen" w:hAnsi="Sylfaen" w:cs="Sylfaen"/>
                <w:noProof/>
                <w:lang w:val="ka-GE"/>
              </w:rPr>
              <w:t>ცვლილება</w:t>
            </w:r>
            <w:r w:rsidRPr="006A1C5D">
              <w:rPr>
                <w:rStyle w:val="Hyperlink"/>
                <w:noProof/>
                <w:lang w:val="ka-GE"/>
              </w:rPr>
              <w:t xml:space="preserve"> </w:t>
            </w:r>
            <w:r w:rsidRPr="006A1C5D">
              <w:rPr>
                <w:rStyle w:val="Hyperlink"/>
                <w:rFonts w:ascii="Sylfaen" w:hAnsi="Sylfaen" w:cs="Sylfaen"/>
                <w:noProof/>
                <w:lang w:val="ka-GE"/>
              </w:rPr>
              <w:t>მშენებლობის</w:t>
            </w:r>
            <w:r w:rsidRPr="006A1C5D">
              <w:rPr>
                <w:rStyle w:val="Hyperlink"/>
                <w:noProof/>
                <w:lang w:val="ka-GE"/>
              </w:rPr>
              <w:t xml:space="preserve"> </w:t>
            </w:r>
            <w:r w:rsidRPr="006A1C5D">
              <w:rPr>
                <w:rStyle w:val="Hyperlink"/>
                <w:rFonts w:ascii="Sylfaen" w:hAnsi="Sylfaen" w:cs="Sylfaen"/>
                <w:noProof/>
                <w:lang w:val="ka-GE"/>
              </w:rPr>
              <w:t>ეტაპზე</w:t>
            </w:r>
            <w:r>
              <w:rPr>
                <w:noProof/>
                <w:webHidden/>
              </w:rPr>
              <w:tab/>
            </w:r>
            <w:r>
              <w:rPr>
                <w:noProof/>
                <w:webHidden/>
              </w:rPr>
              <w:fldChar w:fldCharType="begin"/>
            </w:r>
            <w:r>
              <w:rPr>
                <w:noProof/>
                <w:webHidden/>
              </w:rPr>
              <w:instrText xml:space="preserve"> PAGEREF _Toc1581578 \h </w:instrText>
            </w:r>
            <w:r>
              <w:rPr>
                <w:noProof/>
                <w:webHidden/>
              </w:rPr>
            </w:r>
            <w:r>
              <w:rPr>
                <w:noProof/>
                <w:webHidden/>
              </w:rPr>
              <w:fldChar w:fldCharType="separate"/>
            </w:r>
            <w:r>
              <w:rPr>
                <w:noProof/>
                <w:webHidden/>
              </w:rPr>
              <w:t>196</w:t>
            </w:r>
            <w:r>
              <w:rPr>
                <w:noProof/>
                <w:webHidden/>
              </w:rPr>
              <w:fldChar w:fldCharType="end"/>
            </w:r>
          </w:hyperlink>
        </w:p>
        <w:p w14:paraId="66A2B16C" w14:textId="3B2DAE16" w:rsidR="00AB50EE" w:rsidRDefault="00AB50EE">
          <w:pPr>
            <w:pStyle w:val="TOC3"/>
            <w:tabs>
              <w:tab w:val="right" w:leader="dot" w:pos="10430"/>
            </w:tabs>
            <w:rPr>
              <w:rFonts w:eastAsiaTheme="minorEastAsia"/>
              <w:noProof/>
            </w:rPr>
          </w:pPr>
          <w:hyperlink w:anchor="_Toc1581579" w:history="1">
            <w:r w:rsidRPr="006A1C5D">
              <w:rPr>
                <w:rStyle w:val="Hyperlink"/>
                <w:noProof/>
                <w:lang w:val="ka-GE"/>
              </w:rPr>
              <w:t xml:space="preserve">7.8.2 </w:t>
            </w:r>
            <w:r w:rsidRPr="006A1C5D">
              <w:rPr>
                <w:rStyle w:val="Hyperlink"/>
                <w:rFonts w:ascii="Sylfaen" w:hAnsi="Sylfaen" w:cs="Sylfaen"/>
                <w:noProof/>
                <w:lang w:val="ka-GE"/>
              </w:rPr>
              <w:t>ვიზუალურ</w:t>
            </w:r>
            <w:r w:rsidRPr="006A1C5D">
              <w:rPr>
                <w:rStyle w:val="Hyperlink"/>
                <w:noProof/>
                <w:lang w:val="ka-GE"/>
              </w:rPr>
              <w:t>-</w:t>
            </w:r>
            <w:r w:rsidRPr="006A1C5D">
              <w:rPr>
                <w:rStyle w:val="Hyperlink"/>
                <w:rFonts w:ascii="Sylfaen" w:hAnsi="Sylfaen" w:cs="Sylfaen"/>
                <w:noProof/>
                <w:lang w:val="ka-GE"/>
              </w:rPr>
              <w:t>ლანდშაფტური</w:t>
            </w:r>
            <w:r w:rsidRPr="006A1C5D">
              <w:rPr>
                <w:rStyle w:val="Hyperlink"/>
                <w:noProof/>
                <w:lang w:val="ka-GE"/>
              </w:rPr>
              <w:t xml:space="preserve"> </w:t>
            </w:r>
            <w:r w:rsidRPr="006A1C5D">
              <w:rPr>
                <w:rStyle w:val="Hyperlink"/>
                <w:rFonts w:ascii="Sylfaen" w:hAnsi="Sylfaen" w:cs="Sylfaen"/>
                <w:noProof/>
                <w:lang w:val="ka-GE"/>
              </w:rPr>
              <w:t>ცვლილება</w:t>
            </w:r>
            <w:r w:rsidRPr="006A1C5D">
              <w:rPr>
                <w:rStyle w:val="Hyperlink"/>
                <w:noProof/>
                <w:lang w:val="ka-GE"/>
              </w:rPr>
              <w:t xml:space="preserve">  </w:t>
            </w:r>
            <w:r w:rsidRPr="006A1C5D">
              <w:rPr>
                <w:rStyle w:val="Hyperlink"/>
                <w:rFonts w:ascii="Sylfaen" w:hAnsi="Sylfaen" w:cs="Sylfaen"/>
                <w:noProof/>
                <w:lang w:val="ka-GE"/>
              </w:rPr>
              <w:t>ექსპლუატაციის</w:t>
            </w:r>
            <w:r w:rsidRPr="006A1C5D">
              <w:rPr>
                <w:rStyle w:val="Hyperlink"/>
                <w:noProof/>
                <w:lang w:val="ka-GE"/>
              </w:rPr>
              <w:t xml:space="preserve"> </w:t>
            </w:r>
            <w:r w:rsidRPr="006A1C5D">
              <w:rPr>
                <w:rStyle w:val="Hyperlink"/>
                <w:rFonts w:ascii="Sylfaen" w:hAnsi="Sylfaen" w:cs="Sylfaen"/>
                <w:noProof/>
                <w:lang w:val="ka-GE"/>
              </w:rPr>
              <w:t>ეტაპზე</w:t>
            </w:r>
            <w:r>
              <w:rPr>
                <w:noProof/>
                <w:webHidden/>
              </w:rPr>
              <w:tab/>
            </w:r>
            <w:r>
              <w:rPr>
                <w:noProof/>
                <w:webHidden/>
              </w:rPr>
              <w:fldChar w:fldCharType="begin"/>
            </w:r>
            <w:r>
              <w:rPr>
                <w:noProof/>
                <w:webHidden/>
              </w:rPr>
              <w:instrText xml:space="preserve"> PAGEREF _Toc1581579 \h </w:instrText>
            </w:r>
            <w:r>
              <w:rPr>
                <w:noProof/>
                <w:webHidden/>
              </w:rPr>
            </w:r>
            <w:r>
              <w:rPr>
                <w:noProof/>
                <w:webHidden/>
              </w:rPr>
              <w:fldChar w:fldCharType="separate"/>
            </w:r>
            <w:r>
              <w:rPr>
                <w:noProof/>
                <w:webHidden/>
              </w:rPr>
              <w:t>197</w:t>
            </w:r>
            <w:r>
              <w:rPr>
                <w:noProof/>
                <w:webHidden/>
              </w:rPr>
              <w:fldChar w:fldCharType="end"/>
            </w:r>
          </w:hyperlink>
        </w:p>
        <w:p w14:paraId="0A7D73E6" w14:textId="0DBFCD3C" w:rsidR="00AB50EE" w:rsidRDefault="00AB50EE">
          <w:pPr>
            <w:pStyle w:val="TOC2"/>
            <w:rPr>
              <w:rFonts w:eastAsiaTheme="minorEastAsia"/>
              <w:bCs w:val="0"/>
            </w:rPr>
          </w:pPr>
          <w:hyperlink w:anchor="_Toc1581580" w:history="1">
            <w:r w:rsidRPr="006A1C5D">
              <w:rPr>
                <w:rStyle w:val="Hyperlink"/>
                <w:lang w:val="ka-GE"/>
              </w:rPr>
              <w:t xml:space="preserve">7.9 </w:t>
            </w:r>
            <w:r w:rsidRPr="006A1C5D">
              <w:rPr>
                <w:rStyle w:val="Hyperlink"/>
                <w:rFonts w:ascii="Sylfaen" w:hAnsi="Sylfaen" w:cs="Sylfaen"/>
                <w:lang w:val="ka-GE"/>
              </w:rPr>
              <w:t>სამშენებლო</w:t>
            </w:r>
            <w:r w:rsidRPr="006A1C5D">
              <w:rPr>
                <w:rStyle w:val="Hyperlink"/>
                <w:lang w:val="ka-GE"/>
              </w:rPr>
              <w:t xml:space="preserve"> </w:t>
            </w:r>
            <w:r w:rsidRPr="006A1C5D">
              <w:rPr>
                <w:rStyle w:val="Hyperlink"/>
                <w:rFonts w:ascii="Sylfaen" w:hAnsi="Sylfaen" w:cs="Sylfaen"/>
                <w:lang w:val="ka-GE"/>
              </w:rPr>
              <w:t>ბანაკები</w:t>
            </w:r>
            <w:r>
              <w:rPr>
                <w:webHidden/>
              </w:rPr>
              <w:tab/>
            </w:r>
            <w:r>
              <w:rPr>
                <w:webHidden/>
              </w:rPr>
              <w:fldChar w:fldCharType="begin"/>
            </w:r>
            <w:r>
              <w:rPr>
                <w:webHidden/>
              </w:rPr>
              <w:instrText xml:space="preserve"> PAGEREF _Toc1581580 \h </w:instrText>
            </w:r>
            <w:r>
              <w:rPr>
                <w:webHidden/>
              </w:rPr>
            </w:r>
            <w:r>
              <w:rPr>
                <w:webHidden/>
              </w:rPr>
              <w:fldChar w:fldCharType="separate"/>
            </w:r>
            <w:r>
              <w:rPr>
                <w:webHidden/>
              </w:rPr>
              <w:t>197</w:t>
            </w:r>
            <w:r>
              <w:rPr>
                <w:webHidden/>
              </w:rPr>
              <w:fldChar w:fldCharType="end"/>
            </w:r>
          </w:hyperlink>
        </w:p>
        <w:p w14:paraId="09D3F51B" w14:textId="2E2AA756" w:rsidR="00AB50EE" w:rsidRDefault="00AB50EE">
          <w:pPr>
            <w:pStyle w:val="TOC2"/>
            <w:rPr>
              <w:rFonts w:eastAsiaTheme="minorEastAsia"/>
              <w:bCs w:val="0"/>
            </w:rPr>
          </w:pPr>
          <w:hyperlink w:anchor="_Toc1581581" w:history="1">
            <w:r w:rsidRPr="006A1C5D">
              <w:rPr>
                <w:rStyle w:val="Hyperlink"/>
                <w:rFonts w:ascii="Sylfaen" w:eastAsia="Arial" w:hAnsi="Sylfaen"/>
                <w:lang w:val="ka-GE"/>
              </w:rPr>
              <w:t xml:space="preserve">7.10 </w:t>
            </w:r>
            <w:r w:rsidRPr="006A1C5D">
              <w:rPr>
                <w:rStyle w:val="Hyperlink"/>
                <w:rFonts w:ascii="Sylfaen" w:hAnsi="Sylfaen" w:cs="Sylfaen"/>
              </w:rPr>
              <w:t>ზემოქმედება</w:t>
            </w:r>
            <w:r w:rsidRPr="006A1C5D">
              <w:rPr>
                <w:rStyle w:val="Hyperlink"/>
              </w:rPr>
              <w:t xml:space="preserve"> </w:t>
            </w:r>
            <w:r w:rsidRPr="006A1C5D">
              <w:rPr>
                <w:rStyle w:val="Hyperlink"/>
                <w:rFonts w:ascii="Sylfaen" w:hAnsi="Sylfaen" w:cs="Sylfaen"/>
              </w:rPr>
              <w:t>სოციალურ</w:t>
            </w:r>
            <w:r w:rsidRPr="006A1C5D">
              <w:rPr>
                <w:rStyle w:val="Hyperlink"/>
              </w:rPr>
              <w:t>-</w:t>
            </w:r>
            <w:r w:rsidRPr="006A1C5D">
              <w:rPr>
                <w:rStyle w:val="Hyperlink"/>
                <w:rFonts w:ascii="Sylfaen" w:hAnsi="Sylfaen" w:cs="Sylfaen"/>
              </w:rPr>
              <w:t>ეკონომიკურ</w:t>
            </w:r>
            <w:r w:rsidRPr="006A1C5D">
              <w:rPr>
                <w:rStyle w:val="Hyperlink"/>
              </w:rPr>
              <w:t xml:space="preserve"> </w:t>
            </w:r>
            <w:r w:rsidRPr="006A1C5D">
              <w:rPr>
                <w:rStyle w:val="Hyperlink"/>
                <w:rFonts w:ascii="Sylfaen" w:hAnsi="Sylfaen" w:cs="Sylfaen"/>
              </w:rPr>
              <w:t>გარემოზე</w:t>
            </w:r>
            <w:r>
              <w:rPr>
                <w:webHidden/>
              </w:rPr>
              <w:tab/>
            </w:r>
            <w:r>
              <w:rPr>
                <w:webHidden/>
              </w:rPr>
              <w:fldChar w:fldCharType="begin"/>
            </w:r>
            <w:r>
              <w:rPr>
                <w:webHidden/>
              </w:rPr>
              <w:instrText xml:space="preserve"> PAGEREF _Toc1581581 \h </w:instrText>
            </w:r>
            <w:r>
              <w:rPr>
                <w:webHidden/>
              </w:rPr>
            </w:r>
            <w:r>
              <w:rPr>
                <w:webHidden/>
              </w:rPr>
              <w:fldChar w:fldCharType="separate"/>
            </w:r>
            <w:r>
              <w:rPr>
                <w:webHidden/>
              </w:rPr>
              <w:t>199</w:t>
            </w:r>
            <w:r>
              <w:rPr>
                <w:webHidden/>
              </w:rPr>
              <w:fldChar w:fldCharType="end"/>
            </w:r>
          </w:hyperlink>
        </w:p>
        <w:p w14:paraId="236EC947" w14:textId="4DAA1C0F" w:rsidR="00AB50EE" w:rsidRDefault="00AB50EE">
          <w:pPr>
            <w:pStyle w:val="TOC2"/>
            <w:tabs>
              <w:tab w:val="left" w:pos="880"/>
            </w:tabs>
            <w:rPr>
              <w:rFonts w:eastAsiaTheme="minorEastAsia"/>
              <w:bCs w:val="0"/>
            </w:rPr>
          </w:pPr>
          <w:hyperlink w:anchor="_Toc1581582" w:history="1">
            <w:r w:rsidRPr="006A1C5D">
              <w:rPr>
                <w:rStyle w:val="Hyperlink"/>
                <w:rFonts w:ascii="Sylfaen" w:hAnsi="Sylfaen"/>
                <w:lang w:val="ka-GE"/>
              </w:rPr>
              <w:t>7.11</w:t>
            </w:r>
            <w:r>
              <w:rPr>
                <w:rFonts w:eastAsiaTheme="minorEastAsia"/>
                <w:bCs w:val="0"/>
              </w:rPr>
              <w:tab/>
            </w:r>
            <w:r w:rsidRPr="006A1C5D">
              <w:rPr>
                <w:rStyle w:val="Hyperlink"/>
                <w:rFonts w:ascii="Sylfaen" w:hAnsi="Sylfaen"/>
                <w:lang w:val="ka-GE"/>
              </w:rPr>
              <w:t>ზემოქმედება დაცულ ტერიტორიებზე და კრიტიკულ ჰაბიტატებზე</w:t>
            </w:r>
            <w:r>
              <w:rPr>
                <w:webHidden/>
              </w:rPr>
              <w:tab/>
            </w:r>
            <w:r>
              <w:rPr>
                <w:webHidden/>
              </w:rPr>
              <w:fldChar w:fldCharType="begin"/>
            </w:r>
            <w:r>
              <w:rPr>
                <w:webHidden/>
              </w:rPr>
              <w:instrText xml:space="preserve"> PAGEREF _Toc1581582 \h </w:instrText>
            </w:r>
            <w:r>
              <w:rPr>
                <w:webHidden/>
              </w:rPr>
            </w:r>
            <w:r>
              <w:rPr>
                <w:webHidden/>
              </w:rPr>
              <w:fldChar w:fldCharType="separate"/>
            </w:r>
            <w:r>
              <w:rPr>
                <w:webHidden/>
              </w:rPr>
              <w:t>205</w:t>
            </w:r>
            <w:r>
              <w:rPr>
                <w:webHidden/>
              </w:rPr>
              <w:fldChar w:fldCharType="end"/>
            </w:r>
          </w:hyperlink>
        </w:p>
        <w:p w14:paraId="6C2C72AB" w14:textId="75A651D8" w:rsidR="00AB50EE" w:rsidRDefault="00AB50EE">
          <w:pPr>
            <w:pStyle w:val="TOC2"/>
            <w:rPr>
              <w:rFonts w:eastAsiaTheme="minorEastAsia"/>
              <w:bCs w:val="0"/>
            </w:rPr>
          </w:pPr>
          <w:hyperlink w:anchor="_Toc1581583" w:history="1">
            <w:r w:rsidRPr="006A1C5D">
              <w:rPr>
                <w:rStyle w:val="Hyperlink"/>
                <w:rFonts w:ascii="Sylfaen" w:hAnsi="Sylfaen" w:cs="Sylfaen"/>
                <w:lang w:val="ka-GE"/>
              </w:rPr>
              <w:t>7.12 ზემოქმედება</w:t>
            </w:r>
            <w:r w:rsidRPr="006A1C5D">
              <w:rPr>
                <w:rStyle w:val="Hyperlink"/>
                <w:lang w:val="ka-GE"/>
              </w:rPr>
              <w:t xml:space="preserve"> </w:t>
            </w:r>
            <w:r w:rsidRPr="006A1C5D">
              <w:rPr>
                <w:rStyle w:val="Hyperlink"/>
                <w:rFonts w:ascii="Sylfaen" w:hAnsi="Sylfaen" w:cs="Sylfaen"/>
                <w:lang w:val="ka-GE"/>
              </w:rPr>
              <w:t>ისტორიულ</w:t>
            </w:r>
            <w:r w:rsidRPr="006A1C5D">
              <w:rPr>
                <w:rStyle w:val="Hyperlink"/>
                <w:lang w:val="ka-GE"/>
              </w:rPr>
              <w:t>-</w:t>
            </w:r>
            <w:r w:rsidRPr="006A1C5D">
              <w:rPr>
                <w:rStyle w:val="Hyperlink"/>
                <w:rFonts w:ascii="Sylfaen" w:hAnsi="Sylfaen" w:cs="Sylfaen"/>
                <w:lang w:val="ka-GE"/>
              </w:rPr>
              <w:t>კულტურულ</w:t>
            </w:r>
            <w:r w:rsidRPr="006A1C5D">
              <w:rPr>
                <w:rStyle w:val="Hyperlink"/>
                <w:lang w:val="ka-GE"/>
              </w:rPr>
              <w:t xml:space="preserve"> </w:t>
            </w:r>
            <w:r w:rsidRPr="006A1C5D">
              <w:rPr>
                <w:rStyle w:val="Hyperlink"/>
                <w:rFonts w:ascii="Sylfaen" w:hAnsi="Sylfaen" w:cs="Sylfaen"/>
                <w:lang w:val="ka-GE"/>
              </w:rPr>
              <w:t>გარემოზე</w:t>
            </w:r>
            <w:r>
              <w:rPr>
                <w:webHidden/>
              </w:rPr>
              <w:tab/>
            </w:r>
            <w:r>
              <w:rPr>
                <w:webHidden/>
              </w:rPr>
              <w:fldChar w:fldCharType="begin"/>
            </w:r>
            <w:r>
              <w:rPr>
                <w:webHidden/>
              </w:rPr>
              <w:instrText xml:space="preserve"> PAGEREF _Toc1581583 \h </w:instrText>
            </w:r>
            <w:r>
              <w:rPr>
                <w:webHidden/>
              </w:rPr>
            </w:r>
            <w:r>
              <w:rPr>
                <w:webHidden/>
              </w:rPr>
              <w:fldChar w:fldCharType="separate"/>
            </w:r>
            <w:r>
              <w:rPr>
                <w:webHidden/>
              </w:rPr>
              <w:t>205</w:t>
            </w:r>
            <w:r>
              <w:rPr>
                <w:webHidden/>
              </w:rPr>
              <w:fldChar w:fldCharType="end"/>
            </w:r>
          </w:hyperlink>
        </w:p>
        <w:p w14:paraId="00380E13" w14:textId="173A77CD" w:rsidR="00AB50EE" w:rsidRDefault="00AB50EE">
          <w:pPr>
            <w:pStyle w:val="TOC1"/>
            <w:rPr>
              <w:rFonts w:eastAsiaTheme="minorEastAsia"/>
              <w:b w:val="0"/>
              <w:bCs w:val="0"/>
              <w:sz w:val="22"/>
              <w:szCs w:val="22"/>
            </w:rPr>
          </w:pPr>
          <w:hyperlink w:anchor="_Toc1581584" w:history="1">
            <w:r w:rsidRPr="006A1C5D">
              <w:rPr>
                <w:rStyle w:val="Hyperlink"/>
              </w:rPr>
              <w:t xml:space="preserve">8. </w:t>
            </w:r>
            <w:r w:rsidRPr="006A1C5D">
              <w:rPr>
                <w:rStyle w:val="Hyperlink"/>
                <w:rFonts w:ascii="Sylfaen" w:hAnsi="Sylfaen" w:cs="Sylfaen"/>
                <w:lang w:val="ka-GE"/>
              </w:rPr>
              <w:t>ბუნებრივი</w:t>
            </w:r>
            <w:r w:rsidRPr="006A1C5D">
              <w:rPr>
                <w:rStyle w:val="Hyperlink"/>
                <w:rFonts w:cs="Sylfaen"/>
                <w:lang w:val="ka-GE"/>
              </w:rPr>
              <w:t xml:space="preserve"> </w:t>
            </w:r>
            <w:r w:rsidRPr="006A1C5D">
              <w:rPr>
                <w:rStyle w:val="Hyperlink"/>
                <w:rFonts w:ascii="Sylfaen" w:hAnsi="Sylfaen" w:cs="Sylfaen"/>
                <w:lang w:val="ka-GE"/>
              </w:rPr>
              <w:t>და</w:t>
            </w:r>
            <w:r w:rsidRPr="006A1C5D">
              <w:rPr>
                <w:rStyle w:val="Hyperlink"/>
                <w:rFonts w:cs="Sylfaen"/>
                <w:lang w:val="ka-GE"/>
              </w:rPr>
              <w:t xml:space="preserve"> </w:t>
            </w:r>
            <w:r w:rsidRPr="006A1C5D">
              <w:rPr>
                <w:rStyle w:val="Hyperlink"/>
                <w:rFonts w:ascii="Sylfaen" w:hAnsi="Sylfaen" w:cs="Sylfaen"/>
                <w:lang w:val="ka-GE"/>
              </w:rPr>
              <w:t>სოციალური</w:t>
            </w:r>
            <w:r w:rsidRPr="006A1C5D">
              <w:rPr>
                <w:rStyle w:val="Hyperlink"/>
                <w:rFonts w:cs="Sylfaen"/>
                <w:lang w:val="ka-GE"/>
              </w:rPr>
              <w:t xml:space="preserve"> </w:t>
            </w:r>
            <w:r w:rsidRPr="006A1C5D">
              <w:rPr>
                <w:rStyle w:val="Hyperlink"/>
                <w:rFonts w:ascii="Sylfaen" w:hAnsi="Sylfaen" w:cs="Sylfaen"/>
                <w:lang w:val="ka-GE"/>
              </w:rPr>
              <w:t>გარემოს</w:t>
            </w:r>
            <w:r w:rsidRPr="006A1C5D">
              <w:rPr>
                <w:rStyle w:val="Hyperlink"/>
                <w:rFonts w:cs="Sylfaen"/>
                <w:lang w:val="ka-GE"/>
              </w:rPr>
              <w:t xml:space="preserve"> </w:t>
            </w:r>
            <w:r w:rsidRPr="006A1C5D">
              <w:rPr>
                <w:rStyle w:val="Hyperlink"/>
                <w:lang w:val="ka-GE"/>
              </w:rPr>
              <w:t xml:space="preserve"> </w:t>
            </w:r>
            <w:r w:rsidRPr="006A1C5D">
              <w:rPr>
                <w:rStyle w:val="Hyperlink"/>
                <w:rFonts w:ascii="Sylfaen" w:hAnsi="Sylfaen" w:cs="Sylfaen"/>
                <w:lang w:val="ka-GE"/>
              </w:rPr>
              <w:t>მართვის</w:t>
            </w:r>
            <w:r w:rsidRPr="006A1C5D">
              <w:rPr>
                <w:rStyle w:val="Hyperlink"/>
                <w:lang w:val="ka-GE"/>
              </w:rPr>
              <w:t xml:space="preserve"> </w:t>
            </w:r>
            <w:r w:rsidRPr="006A1C5D">
              <w:rPr>
                <w:rStyle w:val="Hyperlink"/>
                <w:rFonts w:ascii="Sylfaen" w:hAnsi="Sylfaen" w:cs="Sylfaen"/>
                <w:lang w:val="ka-GE"/>
              </w:rPr>
              <w:t>გეგმა</w:t>
            </w:r>
            <w:r>
              <w:rPr>
                <w:webHidden/>
              </w:rPr>
              <w:tab/>
            </w:r>
            <w:r>
              <w:rPr>
                <w:webHidden/>
              </w:rPr>
              <w:fldChar w:fldCharType="begin"/>
            </w:r>
            <w:r>
              <w:rPr>
                <w:webHidden/>
              </w:rPr>
              <w:instrText xml:space="preserve"> PAGEREF _Toc1581584 \h </w:instrText>
            </w:r>
            <w:r>
              <w:rPr>
                <w:webHidden/>
              </w:rPr>
            </w:r>
            <w:r>
              <w:rPr>
                <w:webHidden/>
              </w:rPr>
              <w:fldChar w:fldCharType="separate"/>
            </w:r>
            <w:r>
              <w:rPr>
                <w:webHidden/>
              </w:rPr>
              <w:t>206</w:t>
            </w:r>
            <w:r>
              <w:rPr>
                <w:webHidden/>
              </w:rPr>
              <w:fldChar w:fldCharType="end"/>
            </w:r>
          </w:hyperlink>
        </w:p>
        <w:p w14:paraId="01809D70" w14:textId="21C5FF5D" w:rsidR="00AB50EE" w:rsidRDefault="00AB50EE">
          <w:pPr>
            <w:pStyle w:val="TOC2"/>
            <w:rPr>
              <w:rFonts w:eastAsiaTheme="minorEastAsia"/>
              <w:bCs w:val="0"/>
            </w:rPr>
          </w:pPr>
          <w:hyperlink w:anchor="_Toc1581585" w:history="1">
            <w:r w:rsidRPr="006A1C5D">
              <w:rPr>
                <w:rStyle w:val="Hyperlink"/>
                <w:rFonts w:ascii="Sylfaen" w:hAnsi="Sylfaen" w:cs="Sylfaen"/>
                <w:lang w:val="ka-GE"/>
              </w:rPr>
              <w:t>8.1</w:t>
            </w:r>
            <w:r w:rsidRPr="006A1C5D">
              <w:rPr>
                <w:rStyle w:val="Hyperlink"/>
                <w:rFonts w:ascii="Sylfaen" w:hAnsi="Sylfaen"/>
                <w:lang w:val="ka-GE"/>
              </w:rPr>
              <w:t xml:space="preserve"> </w:t>
            </w:r>
            <w:r w:rsidRPr="006A1C5D">
              <w:rPr>
                <w:rStyle w:val="Hyperlink"/>
                <w:rFonts w:ascii="Sylfaen" w:hAnsi="Sylfaen" w:cs="Sylfaen"/>
                <w:lang w:val="ka-GE"/>
              </w:rPr>
              <w:t>ბუნებრივი</w:t>
            </w:r>
            <w:r w:rsidRPr="006A1C5D">
              <w:rPr>
                <w:rStyle w:val="Hyperlink"/>
                <w:lang w:val="ka-GE"/>
              </w:rPr>
              <w:t xml:space="preserve"> </w:t>
            </w:r>
            <w:r w:rsidRPr="006A1C5D">
              <w:rPr>
                <w:rStyle w:val="Hyperlink"/>
                <w:rFonts w:ascii="Sylfaen" w:hAnsi="Sylfaen" w:cs="Sylfaen"/>
                <w:lang w:val="ka-GE"/>
              </w:rPr>
              <w:t>და</w:t>
            </w:r>
            <w:r w:rsidRPr="006A1C5D">
              <w:rPr>
                <w:rStyle w:val="Hyperlink"/>
                <w:lang w:val="ka-GE"/>
              </w:rPr>
              <w:t xml:space="preserve"> </w:t>
            </w:r>
            <w:r w:rsidRPr="006A1C5D">
              <w:rPr>
                <w:rStyle w:val="Hyperlink"/>
                <w:rFonts w:ascii="Sylfaen" w:hAnsi="Sylfaen" w:cs="Sylfaen"/>
                <w:lang w:val="ka-GE"/>
              </w:rPr>
              <w:t>სოციალური</w:t>
            </w:r>
            <w:r w:rsidRPr="006A1C5D">
              <w:rPr>
                <w:rStyle w:val="Hyperlink"/>
                <w:spacing w:val="-2"/>
                <w:lang w:val="ka-GE"/>
              </w:rPr>
              <w:t xml:space="preserve"> </w:t>
            </w:r>
            <w:r w:rsidRPr="006A1C5D">
              <w:rPr>
                <w:rStyle w:val="Hyperlink"/>
                <w:rFonts w:ascii="Sylfaen" w:hAnsi="Sylfaen" w:cs="Sylfaen"/>
                <w:spacing w:val="-2"/>
                <w:lang w:val="ka-GE"/>
              </w:rPr>
              <w:t>გარემოს</w:t>
            </w:r>
            <w:r w:rsidRPr="006A1C5D">
              <w:rPr>
                <w:rStyle w:val="Hyperlink"/>
                <w:spacing w:val="-2"/>
                <w:lang w:val="ka-GE"/>
              </w:rPr>
              <w:t xml:space="preserve"> </w:t>
            </w:r>
            <w:r w:rsidRPr="006A1C5D">
              <w:rPr>
                <w:rStyle w:val="Hyperlink"/>
                <w:rFonts w:ascii="Sylfaen" w:hAnsi="Sylfaen" w:cs="Sylfaen"/>
                <w:spacing w:val="-2"/>
                <w:lang w:val="ka-GE"/>
              </w:rPr>
              <w:t>მართვის</w:t>
            </w:r>
            <w:r w:rsidRPr="006A1C5D">
              <w:rPr>
                <w:rStyle w:val="Hyperlink"/>
                <w:spacing w:val="-2"/>
                <w:lang w:val="ka-GE"/>
              </w:rPr>
              <w:t xml:space="preserve"> </w:t>
            </w:r>
            <w:r w:rsidRPr="006A1C5D">
              <w:rPr>
                <w:rStyle w:val="Hyperlink"/>
                <w:rFonts w:ascii="Sylfaen" w:hAnsi="Sylfaen" w:cs="Sylfaen"/>
                <w:lang w:val="ka-GE"/>
              </w:rPr>
              <w:t>გეგმა</w:t>
            </w:r>
            <w:r w:rsidRPr="006A1C5D">
              <w:rPr>
                <w:rStyle w:val="Hyperlink"/>
                <w:lang w:val="ka-GE"/>
              </w:rPr>
              <w:t xml:space="preserve"> (</w:t>
            </w:r>
            <w:r w:rsidRPr="006A1C5D">
              <w:rPr>
                <w:rStyle w:val="Hyperlink"/>
                <w:rFonts w:ascii="Sylfaen" w:hAnsi="Sylfaen" w:cs="Sylfaen"/>
                <w:lang w:val="ka-GE"/>
              </w:rPr>
              <w:t>ბსგმგ</w:t>
            </w:r>
            <w:r w:rsidRPr="006A1C5D">
              <w:rPr>
                <w:rStyle w:val="Hyperlink"/>
                <w:lang w:val="ka-GE"/>
              </w:rPr>
              <w:t>)</w:t>
            </w:r>
            <w:r>
              <w:rPr>
                <w:webHidden/>
              </w:rPr>
              <w:tab/>
            </w:r>
            <w:r>
              <w:rPr>
                <w:webHidden/>
              </w:rPr>
              <w:fldChar w:fldCharType="begin"/>
            </w:r>
            <w:r>
              <w:rPr>
                <w:webHidden/>
              </w:rPr>
              <w:instrText xml:space="preserve"> PAGEREF _Toc1581585 \h </w:instrText>
            </w:r>
            <w:r>
              <w:rPr>
                <w:webHidden/>
              </w:rPr>
            </w:r>
            <w:r>
              <w:rPr>
                <w:webHidden/>
              </w:rPr>
              <w:fldChar w:fldCharType="separate"/>
            </w:r>
            <w:r>
              <w:rPr>
                <w:webHidden/>
              </w:rPr>
              <w:t>206</w:t>
            </w:r>
            <w:r>
              <w:rPr>
                <w:webHidden/>
              </w:rPr>
              <w:fldChar w:fldCharType="end"/>
            </w:r>
          </w:hyperlink>
        </w:p>
        <w:p w14:paraId="3E247D73" w14:textId="30321263" w:rsidR="00AB50EE" w:rsidRDefault="00AB50EE">
          <w:pPr>
            <w:pStyle w:val="TOC3"/>
            <w:tabs>
              <w:tab w:val="right" w:leader="dot" w:pos="10430"/>
            </w:tabs>
            <w:rPr>
              <w:rFonts w:eastAsiaTheme="minorEastAsia"/>
              <w:noProof/>
            </w:rPr>
          </w:pPr>
          <w:hyperlink w:anchor="_Toc1581586" w:history="1">
            <w:r w:rsidRPr="006A1C5D">
              <w:rPr>
                <w:rStyle w:val="Hyperlink"/>
                <w:noProof/>
              </w:rPr>
              <w:t xml:space="preserve">8.1.1 </w:t>
            </w:r>
            <w:r w:rsidRPr="006A1C5D">
              <w:rPr>
                <w:rStyle w:val="Hyperlink"/>
                <w:rFonts w:ascii="Sylfaen" w:hAnsi="Sylfaen" w:cs="Sylfaen"/>
                <w:noProof/>
              </w:rPr>
              <w:t>ინსტიტუციონალური</w:t>
            </w:r>
            <w:r w:rsidRPr="006A1C5D">
              <w:rPr>
                <w:rStyle w:val="Hyperlink"/>
                <w:noProof/>
              </w:rPr>
              <w:t xml:space="preserve"> </w:t>
            </w:r>
            <w:r w:rsidRPr="006A1C5D">
              <w:rPr>
                <w:rStyle w:val="Hyperlink"/>
                <w:rFonts w:ascii="Sylfaen" w:hAnsi="Sylfaen" w:cs="Sylfaen"/>
                <w:noProof/>
              </w:rPr>
              <w:t>ჩარჩო</w:t>
            </w:r>
            <w:r w:rsidRPr="006A1C5D">
              <w:rPr>
                <w:rStyle w:val="Hyperlink"/>
                <w:noProof/>
              </w:rPr>
              <w:t xml:space="preserve"> </w:t>
            </w:r>
            <w:r w:rsidRPr="006A1C5D">
              <w:rPr>
                <w:rStyle w:val="Hyperlink"/>
                <w:rFonts w:ascii="Sylfaen" w:hAnsi="Sylfaen" w:cs="Sylfaen"/>
                <w:noProof/>
              </w:rPr>
              <w:t>და</w:t>
            </w:r>
            <w:r w:rsidRPr="006A1C5D">
              <w:rPr>
                <w:rStyle w:val="Hyperlink"/>
                <w:noProof/>
              </w:rPr>
              <w:t xml:space="preserve"> </w:t>
            </w:r>
            <w:r w:rsidRPr="006A1C5D">
              <w:rPr>
                <w:rStyle w:val="Hyperlink"/>
                <w:rFonts w:ascii="Sylfaen" w:hAnsi="Sylfaen" w:cs="Sylfaen"/>
                <w:noProof/>
              </w:rPr>
              <w:t>გარემოსდაცვითი</w:t>
            </w:r>
            <w:r w:rsidRPr="006A1C5D">
              <w:rPr>
                <w:rStyle w:val="Hyperlink"/>
                <w:noProof/>
              </w:rPr>
              <w:t xml:space="preserve"> </w:t>
            </w:r>
            <w:r w:rsidRPr="006A1C5D">
              <w:rPr>
                <w:rStyle w:val="Hyperlink"/>
                <w:rFonts w:ascii="Sylfaen" w:hAnsi="Sylfaen" w:cs="Sylfaen"/>
                <w:noProof/>
              </w:rPr>
              <w:t>ადმინისტრირება</w:t>
            </w:r>
            <w:r>
              <w:rPr>
                <w:noProof/>
                <w:webHidden/>
              </w:rPr>
              <w:tab/>
            </w:r>
            <w:r>
              <w:rPr>
                <w:noProof/>
                <w:webHidden/>
              </w:rPr>
              <w:fldChar w:fldCharType="begin"/>
            </w:r>
            <w:r>
              <w:rPr>
                <w:noProof/>
                <w:webHidden/>
              </w:rPr>
              <w:instrText xml:space="preserve"> PAGEREF _Toc1581586 \h </w:instrText>
            </w:r>
            <w:r>
              <w:rPr>
                <w:noProof/>
                <w:webHidden/>
              </w:rPr>
            </w:r>
            <w:r>
              <w:rPr>
                <w:noProof/>
                <w:webHidden/>
              </w:rPr>
              <w:fldChar w:fldCharType="separate"/>
            </w:r>
            <w:r>
              <w:rPr>
                <w:noProof/>
                <w:webHidden/>
              </w:rPr>
              <w:t>207</w:t>
            </w:r>
            <w:r>
              <w:rPr>
                <w:noProof/>
                <w:webHidden/>
              </w:rPr>
              <w:fldChar w:fldCharType="end"/>
            </w:r>
          </w:hyperlink>
        </w:p>
        <w:p w14:paraId="18ED69A0" w14:textId="05877A4F" w:rsidR="00AB50EE" w:rsidRDefault="00AB50EE">
          <w:pPr>
            <w:pStyle w:val="TOC2"/>
            <w:rPr>
              <w:rFonts w:eastAsiaTheme="minorEastAsia"/>
              <w:bCs w:val="0"/>
            </w:rPr>
          </w:pPr>
          <w:hyperlink w:anchor="_Toc1581587" w:history="1">
            <w:r w:rsidRPr="006A1C5D">
              <w:rPr>
                <w:rStyle w:val="Hyperlink"/>
              </w:rPr>
              <w:t>8.</w:t>
            </w:r>
            <w:r w:rsidRPr="006A1C5D">
              <w:rPr>
                <w:rStyle w:val="Hyperlink"/>
                <w:rFonts w:ascii="Sylfaen" w:hAnsi="Sylfaen"/>
                <w:lang w:val="ka-GE"/>
              </w:rPr>
              <w:t>2</w:t>
            </w:r>
            <w:r w:rsidRPr="006A1C5D">
              <w:rPr>
                <w:rStyle w:val="Hyperlink"/>
              </w:rPr>
              <w:t xml:space="preserve"> </w:t>
            </w:r>
            <w:r w:rsidRPr="006A1C5D">
              <w:rPr>
                <w:rStyle w:val="Hyperlink"/>
                <w:rFonts w:ascii="Sylfaen" w:hAnsi="Sylfaen" w:cs="Sylfaen"/>
              </w:rPr>
              <w:t>ბსგმგ</w:t>
            </w:r>
            <w:r w:rsidRPr="006A1C5D">
              <w:rPr>
                <w:rStyle w:val="Hyperlink"/>
              </w:rPr>
              <w:t>-</w:t>
            </w:r>
            <w:r w:rsidRPr="006A1C5D">
              <w:rPr>
                <w:rStyle w:val="Hyperlink"/>
                <w:rFonts w:ascii="Sylfaen" w:hAnsi="Sylfaen" w:cs="Sylfaen"/>
              </w:rPr>
              <w:t>ს</w:t>
            </w:r>
            <w:r w:rsidRPr="006A1C5D">
              <w:rPr>
                <w:rStyle w:val="Hyperlink"/>
              </w:rPr>
              <w:t xml:space="preserve"> </w:t>
            </w:r>
            <w:r w:rsidRPr="006A1C5D">
              <w:rPr>
                <w:rStyle w:val="Hyperlink"/>
                <w:rFonts w:ascii="Sylfaen" w:hAnsi="Sylfaen" w:cs="Sylfaen"/>
              </w:rPr>
              <w:t>განხორციელების</w:t>
            </w:r>
            <w:r w:rsidRPr="006A1C5D">
              <w:rPr>
                <w:rStyle w:val="Hyperlink"/>
              </w:rPr>
              <w:t xml:space="preserve"> </w:t>
            </w:r>
            <w:r w:rsidRPr="006A1C5D">
              <w:rPr>
                <w:rStyle w:val="Hyperlink"/>
                <w:rFonts w:ascii="Sylfaen" w:hAnsi="Sylfaen" w:cs="Sylfaen"/>
              </w:rPr>
              <w:t>ხარჯები</w:t>
            </w:r>
            <w:r>
              <w:rPr>
                <w:webHidden/>
              </w:rPr>
              <w:tab/>
            </w:r>
            <w:r>
              <w:rPr>
                <w:webHidden/>
              </w:rPr>
              <w:fldChar w:fldCharType="begin"/>
            </w:r>
            <w:r>
              <w:rPr>
                <w:webHidden/>
              </w:rPr>
              <w:instrText xml:space="preserve"> PAGEREF _Toc1581587 \h </w:instrText>
            </w:r>
            <w:r>
              <w:rPr>
                <w:webHidden/>
              </w:rPr>
            </w:r>
            <w:r>
              <w:rPr>
                <w:webHidden/>
              </w:rPr>
              <w:fldChar w:fldCharType="separate"/>
            </w:r>
            <w:r>
              <w:rPr>
                <w:webHidden/>
              </w:rPr>
              <w:t>207</w:t>
            </w:r>
            <w:r>
              <w:rPr>
                <w:webHidden/>
              </w:rPr>
              <w:fldChar w:fldCharType="end"/>
            </w:r>
          </w:hyperlink>
        </w:p>
        <w:p w14:paraId="66F9EACD" w14:textId="51F02B35" w:rsidR="00AB50EE" w:rsidRDefault="00AB50EE">
          <w:pPr>
            <w:pStyle w:val="TOC3"/>
            <w:tabs>
              <w:tab w:val="right" w:leader="dot" w:pos="10430"/>
            </w:tabs>
            <w:rPr>
              <w:rFonts w:eastAsiaTheme="minorEastAsia"/>
              <w:noProof/>
            </w:rPr>
          </w:pPr>
          <w:hyperlink w:anchor="_Toc1581588" w:history="1">
            <w:r w:rsidRPr="006A1C5D">
              <w:rPr>
                <w:rStyle w:val="Hyperlink"/>
                <w:noProof/>
              </w:rPr>
              <w:t xml:space="preserve">8.2.1 </w:t>
            </w:r>
            <w:r w:rsidRPr="006A1C5D">
              <w:rPr>
                <w:rStyle w:val="Hyperlink"/>
                <w:rFonts w:ascii="Sylfaen" w:hAnsi="Sylfaen" w:cs="Sylfaen"/>
                <w:noProof/>
              </w:rPr>
              <w:t>გარემოსდაცვითი</w:t>
            </w:r>
            <w:r w:rsidRPr="006A1C5D">
              <w:rPr>
                <w:rStyle w:val="Hyperlink"/>
                <w:noProof/>
              </w:rPr>
              <w:t xml:space="preserve"> </w:t>
            </w:r>
            <w:r w:rsidRPr="006A1C5D">
              <w:rPr>
                <w:rStyle w:val="Hyperlink"/>
                <w:rFonts w:ascii="Sylfaen" w:hAnsi="Sylfaen" w:cs="Sylfaen"/>
                <w:noProof/>
              </w:rPr>
              <w:t>შემარბილებელი</w:t>
            </w:r>
            <w:r w:rsidRPr="006A1C5D">
              <w:rPr>
                <w:rStyle w:val="Hyperlink"/>
                <w:noProof/>
              </w:rPr>
              <w:t xml:space="preserve"> </w:t>
            </w:r>
            <w:r w:rsidRPr="006A1C5D">
              <w:rPr>
                <w:rStyle w:val="Hyperlink"/>
                <w:rFonts w:ascii="Sylfaen" w:hAnsi="Sylfaen" w:cs="Sylfaen"/>
                <w:noProof/>
              </w:rPr>
              <w:t>ზომების</w:t>
            </w:r>
            <w:r w:rsidRPr="006A1C5D">
              <w:rPr>
                <w:rStyle w:val="Hyperlink"/>
                <w:noProof/>
              </w:rPr>
              <w:t xml:space="preserve"> </w:t>
            </w:r>
            <w:r w:rsidRPr="006A1C5D">
              <w:rPr>
                <w:rStyle w:val="Hyperlink"/>
                <w:rFonts w:ascii="Sylfaen" w:hAnsi="Sylfaen" w:cs="Sylfaen"/>
                <w:noProof/>
              </w:rPr>
              <w:t>ხარჯთაღრიცხვა</w:t>
            </w:r>
            <w:r>
              <w:rPr>
                <w:noProof/>
                <w:webHidden/>
              </w:rPr>
              <w:tab/>
            </w:r>
            <w:r>
              <w:rPr>
                <w:noProof/>
                <w:webHidden/>
              </w:rPr>
              <w:fldChar w:fldCharType="begin"/>
            </w:r>
            <w:r>
              <w:rPr>
                <w:noProof/>
                <w:webHidden/>
              </w:rPr>
              <w:instrText xml:space="preserve"> PAGEREF _Toc1581588 \h </w:instrText>
            </w:r>
            <w:r>
              <w:rPr>
                <w:noProof/>
                <w:webHidden/>
              </w:rPr>
            </w:r>
            <w:r>
              <w:rPr>
                <w:noProof/>
                <w:webHidden/>
              </w:rPr>
              <w:fldChar w:fldCharType="separate"/>
            </w:r>
            <w:r>
              <w:rPr>
                <w:noProof/>
                <w:webHidden/>
              </w:rPr>
              <w:t>207</w:t>
            </w:r>
            <w:r>
              <w:rPr>
                <w:noProof/>
                <w:webHidden/>
              </w:rPr>
              <w:fldChar w:fldCharType="end"/>
            </w:r>
          </w:hyperlink>
        </w:p>
        <w:p w14:paraId="1CB1A5D9" w14:textId="5C232E58" w:rsidR="00AB50EE" w:rsidRDefault="00AB50EE">
          <w:pPr>
            <w:pStyle w:val="TOC1"/>
            <w:rPr>
              <w:rFonts w:eastAsiaTheme="minorEastAsia"/>
              <w:b w:val="0"/>
              <w:bCs w:val="0"/>
              <w:sz w:val="22"/>
              <w:szCs w:val="22"/>
            </w:rPr>
          </w:pPr>
          <w:hyperlink w:anchor="_Toc1581589" w:history="1">
            <w:r w:rsidRPr="006A1C5D">
              <w:rPr>
                <w:rStyle w:val="Hyperlink"/>
              </w:rPr>
              <w:t xml:space="preserve">9. </w:t>
            </w:r>
            <w:r w:rsidRPr="006A1C5D">
              <w:rPr>
                <w:rStyle w:val="Hyperlink"/>
                <w:rFonts w:ascii="Sylfaen" w:hAnsi="Sylfaen" w:cs="Sylfaen"/>
              </w:rPr>
              <w:t>გარემოს</w:t>
            </w:r>
            <w:r w:rsidRPr="006A1C5D">
              <w:rPr>
                <w:rStyle w:val="Hyperlink"/>
              </w:rPr>
              <w:t xml:space="preserve"> </w:t>
            </w:r>
            <w:r w:rsidRPr="006A1C5D">
              <w:rPr>
                <w:rStyle w:val="Hyperlink"/>
                <w:rFonts w:ascii="Sylfaen" w:hAnsi="Sylfaen" w:cs="Sylfaen"/>
              </w:rPr>
              <w:t>მონიტორინგის</w:t>
            </w:r>
            <w:r w:rsidRPr="006A1C5D">
              <w:rPr>
                <w:rStyle w:val="Hyperlink"/>
              </w:rPr>
              <w:t xml:space="preserve"> </w:t>
            </w:r>
            <w:r w:rsidRPr="006A1C5D">
              <w:rPr>
                <w:rStyle w:val="Hyperlink"/>
                <w:rFonts w:ascii="Sylfaen" w:hAnsi="Sylfaen" w:cs="Sylfaen"/>
              </w:rPr>
              <w:t>გეგმა</w:t>
            </w:r>
            <w:r>
              <w:rPr>
                <w:webHidden/>
              </w:rPr>
              <w:tab/>
            </w:r>
            <w:r>
              <w:rPr>
                <w:webHidden/>
              </w:rPr>
              <w:fldChar w:fldCharType="begin"/>
            </w:r>
            <w:r>
              <w:rPr>
                <w:webHidden/>
              </w:rPr>
              <w:instrText xml:space="preserve"> PAGEREF _Toc1581589 \h </w:instrText>
            </w:r>
            <w:r>
              <w:rPr>
                <w:webHidden/>
              </w:rPr>
            </w:r>
            <w:r>
              <w:rPr>
                <w:webHidden/>
              </w:rPr>
              <w:fldChar w:fldCharType="separate"/>
            </w:r>
            <w:r>
              <w:rPr>
                <w:webHidden/>
              </w:rPr>
              <w:t>218</w:t>
            </w:r>
            <w:r>
              <w:rPr>
                <w:webHidden/>
              </w:rPr>
              <w:fldChar w:fldCharType="end"/>
            </w:r>
          </w:hyperlink>
        </w:p>
        <w:p w14:paraId="66343478" w14:textId="5D38E6A8" w:rsidR="00AB50EE" w:rsidRDefault="00AB50EE">
          <w:pPr>
            <w:pStyle w:val="TOC2"/>
            <w:rPr>
              <w:rFonts w:eastAsiaTheme="minorEastAsia"/>
              <w:bCs w:val="0"/>
            </w:rPr>
          </w:pPr>
          <w:hyperlink w:anchor="_Toc1581590" w:history="1">
            <w:r w:rsidRPr="006A1C5D">
              <w:rPr>
                <w:rStyle w:val="Hyperlink"/>
              </w:rPr>
              <w:t xml:space="preserve">9.1 </w:t>
            </w:r>
            <w:r w:rsidRPr="006A1C5D">
              <w:rPr>
                <w:rStyle w:val="Hyperlink"/>
                <w:rFonts w:ascii="Sylfaen" w:hAnsi="Sylfaen" w:cs="Sylfaen"/>
                <w:lang w:val="ka-GE"/>
              </w:rPr>
              <w:t>შესავალი</w:t>
            </w:r>
            <w:r>
              <w:rPr>
                <w:webHidden/>
              </w:rPr>
              <w:tab/>
            </w:r>
            <w:r>
              <w:rPr>
                <w:webHidden/>
              </w:rPr>
              <w:fldChar w:fldCharType="begin"/>
            </w:r>
            <w:r>
              <w:rPr>
                <w:webHidden/>
              </w:rPr>
              <w:instrText xml:space="preserve"> PAGEREF _Toc1581590 \h </w:instrText>
            </w:r>
            <w:r>
              <w:rPr>
                <w:webHidden/>
              </w:rPr>
            </w:r>
            <w:r>
              <w:rPr>
                <w:webHidden/>
              </w:rPr>
              <w:fldChar w:fldCharType="separate"/>
            </w:r>
            <w:r>
              <w:rPr>
                <w:webHidden/>
              </w:rPr>
              <w:t>218</w:t>
            </w:r>
            <w:r>
              <w:rPr>
                <w:webHidden/>
              </w:rPr>
              <w:fldChar w:fldCharType="end"/>
            </w:r>
          </w:hyperlink>
        </w:p>
        <w:p w14:paraId="7BCDDA19" w14:textId="6EE4D7F9" w:rsidR="00AB50EE" w:rsidRDefault="00AB50EE">
          <w:pPr>
            <w:pStyle w:val="TOC2"/>
            <w:rPr>
              <w:rFonts w:eastAsiaTheme="minorEastAsia"/>
              <w:bCs w:val="0"/>
            </w:rPr>
          </w:pPr>
          <w:hyperlink w:anchor="_Toc1581591" w:history="1">
            <w:r w:rsidRPr="006A1C5D">
              <w:rPr>
                <w:rStyle w:val="Hyperlink"/>
              </w:rPr>
              <w:t xml:space="preserve">9.2 </w:t>
            </w:r>
            <w:r w:rsidRPr="006A1C5D">
              <w:rPr>
                <w:rStyle w:val="Hyperlink"/>
                <w:rFonts w:ascii="Sylfaen" w:hAnsi="Sylfaen" w:cs="Sylfaen"/>
              </w:rPr>
              <w:t>ინსტიტუციონალური</w:t>
            </w:r>
            <w:r w:rsidRPr="006A1C5D">
              <w:rPr>
                <w:rStyle w:val="Hyperlink"/>
              </w:rPr>
              <w:t xml:space="preserve"> </w:t>
            </w:r>
            <w:r w:rsidRPr="006A1C5D">
              <w:rPr>
                <w:rStyle w:val="Hyperlink"/>
                <w:rFonts w:ascii="Sylfaen" w:hAnsi="Sylfaen" w:cs="Sylfaen"/>
              </w:rPr>
              <w:t>ჩარჩო</w:t>
            </w:r>
            <w:r>
              <w:rPr>
                <w:webHidden/>
              </w:rPr>
              <w:tab/>
            </w:r>
            <w:r>
              <w:rPr>
                <w:webHidden/>
              </w:rPr>
              <w:fldChar w:fldCharType="begin"/>
            </w:r>
            <w:r>
              <w:rPr>
                <w:webHidden/>
              </w:rPr>
              <w:instrText xml:space="preserve"> PAGEREF _Toc1581591 \h </w:instrText>
            </w:r>
            <w:r>
              <w:rPr>
                <w:webHidden/>
              </w:rPr>
            </w:r>
            <w:r>
              <w:rPr>
                <w:webHidden/>
              </w:rPr>
              <w:fldChar w:fldCharType="separate"/>
            </w:r>
            <w:r>
              <w:rPr>
                <w:webHidden/>
              </w:rPr>
              <w:t>218</w:t>
            </w:r>
            <w:r>
              <w:rPr>
                <w:webHidden/>
              </w:rPr>
              <w:fldChar w:fldCharType="end"/>
            </w:r>
          </w:hyperlink>
        </w:p>
        <w:p w14:paraId="2334F09D" w14:textId="16935A00" w:rsidR="00AB50EE" w:rsidRDefault="00AB50EE">
          <w:pPr>
            <w:pStyle w:val="TOC1"/>
            <w:rPr>
              <w:rFonts w:eastAsiaTheme="minorEastAsia"/>
              <w:b w:val="0"/>
              <w:bCs w:val="0"/>
              <w:sz w:val="22"/>
              <w:szCs w:val="22"/>
            </w:rPr>
          </w:pPr>
          <w:hyperlink w:anchor="_Toc1581592" w:history="1">
            <w:r w:rsidRPr="006A1C5D">
              <w:rPr>
                <w:rStyle w:val="Hyperlink"/>
                <w:lang w:val="ka-GE"/>
              </w:rPr>
              <w:t xml:space="preserve">10. </w:t>
            </w:r>
            <w:r w:rsidRPr="006A1C5D">
              <w:rPr>
                <w:rStyle w:val="Hyperlink"/>
                <w:rFonts w:ascii="Sylfaen" w:hAnsi="Sylfaen" w:cs="Sylfaen"/>
              </w:rPr>
              <w:t>საზოგადოებრივი</w:t>
            </w:r>
            <w:r w:rsidRPr="006A1C5D">
              <w:rPr>
                <w:rStyle w:val="Hyperlink"/>
              </w:rPr>
              <w:t xml:space="preserve"> </w:t>
            </w:r>
            <w:r w:rsidRPr="006A1C5D">
              <w:rPr>
                <w:rStyle w:val="Hyperlink"/>
                <w:rFonts w:ascii="Sylfaen" w:hAnsi="Sylfaen" w:cs="Sylfaen"/>
              </w:rPr>
              <w:t>კონსულტაცია</w:t>
            </w:r>
            <w:r w:rsidRPr="006A1C5D">
              <w:rPr>
                <w:rStyle w:val="Hyperlink"/>
              </w:rPr>
              <w:t xml:space="preserve"> </w:t>
            </w:r>
            <w:r w:rsidRPr="006A1C5D">
              <w:rPr>
                <w:rStyle w:val="Hyperlink"/>
                <w:rFonts w:ascii="Sylfaen" w:hAnsi="Sylfaen" w:cs="Sylfaen"/>
              </w:rPr>
              <w:t>და</w:t>
            </w:r>
            <w:r w:rsidRPr="006A1C5D">
              <w:rPr>
                <w:rStyle w:val="Hyperlink"/>
              </w:rPr>
              <w:t xml:space="preserve"> </w:t>
            </w:r>
            <w:r w:rsidRPr="006A1C5D">
              <w:rPr>
                <w:rStyle w:val="Hyperlink"/>
                <w:rFonts w:ascii="Sylfaen" w:hAnsi="Sylfaen" w:cs="Sylfaen"/>
              </w:rPr>
              <w:t>საჩივრების</w:t>
            </w:r>
            <w:r w:rsidRPr="006A1C5D">
              <w:rPr>
                <w:rStyle w:val="Hyperlink"/>
              </w:rPr>
              <w:t xml:space="preserve"> </w:t>
            </w:r>
            <w:r w:rsidRPr="006A1C5D">
              <w:rPr>
                <w:rStyle w:val="Hyperlink"/>
                <w:rFonts w:ascii="Sylfaen" w:hAnsi="Sylfaen" w:cs="Sylfaen"/>
              </w:rPr>
              <w:t>განხილვის</w:t>
            </w:r>
            <w:r w:rsidRPr="006A1C5D">
              <w:rPr>
                <w:rStyle w:val="Hyperlink"/>
              </w:rPr>
              <w:t xml:space="preserve"> </w:t>
            </w:r>
            <w:r w:rsidRPr="006A1C5D">
              <w:rPr>
                <w:rStyle w:val="Hyperlink"/>
                <w:rFonts w:ascii="Sylfaen" w:hAnsi="Sylfaen" w:cs="Sylfaen"/>
              </w:rPr>
              <w:t>მექანიზმები</w:t>
            </w:r>
            <w:r>
              <w:rPr>
                <w:webHidden/>
              </w:rPr>
              <w:tab/>
            </w:r>
            <w:r>
              <w:rPr>
                <w:webHidden/>
              </w:rPr>
              <w:fldChar w:fldCharType="begin"/>
            </w:r>
            <w:r>
              <w:rPr>
                <w:webHidden/>
              </w:rPr>
              <w:instrText xml:space="preserve"> PAGEREF _Toc1581592 \h </w:instrText>
            </w:r>
            <w:r>
              <w:rPr>
                <w:webHidden/>
              </w:rPr>
            </w:r>
            <w:r>
              <w:rPr>
                <w:webHidden/>
              </w:rPr>
              <w:fldChar w:fldCharType="separate"/>
            </w:r>
            <w:r>
              <w:rPr>
                <w:webHidden/>
              </w:rPr>
              <w:t>230</w:t>
            </w:r>
            <w:r>
              <w:rPr>
                <w:webHidden/>
              </w:rPr>
              <w:fldChar w:fldCharType="end"/>
            </w:r>
          </w:hyperlink>
        </w:p>
        <w:p w14:paraId="40FF7081" w14:textId="31AC7E64" w:rsidR="00AB50EE" w:rsidRDefault="00AB50EE">
          <w:pPr>
            <w:pStyle w:val="TOC2"/>
            <w:rPr>
              <w:rFonts w:eastAsiaTheme="minorEastAsia"/>
              <w:bCs w:val="0"/>
            </w:rPr>
          </w:pPr>
          <w:hyperlink w:anchor="_Toc1581593" w:history="1">
            <w:r w:rsidRPr="006A1C5D">
              <w:rPr>
                <w:rStyle w:val="Hyperlink"/>
              </w:rPr>
              <w:t xml:space="preserve">10.1 </w:t>
            </w:r>
            <w:r w:rsidRPr="006A1C5D">
              <w:rPr>
                <w:rStyle w:val="Hyperlink"/>
                <w:rFonts w:ascii="Sylfaen" w:hAnsi="Sylfaen" w:cs="Sylfaen"/>
                <w:lang w:val="ka-GE"/>
              </w:rPr>
              <w:t>საზოგადოებრივი</w:t>
            </w:r>
            <w:r w:rsidRPr="006A1C5D">
              <w:rPr>
                <w:rStyle w:val="Hyperlink"/>
                <w:lang w:val="ka-GE"/>
              </w:rPr>
              <w:t xml:space="preserve"> </w:t>
            </w:r>
            <w:r w:rsidRPr="006A1C5D">
              <w:rPr>
                <w:rStyle w:val="Hyperlink"/>
                <w:rFonts w:ascii="Sylfaen" w:hAnsi="Sylfaen" w:cs="Sylfaen"/>
                <w:lang w:val="ka-GE"/>
              </w:rPr>
              <w:t>კონსულტაციები</w:t>
            </w:r>
            <w:r>
              <w:rPr>
                <w:webHidden/>
              </w:rPr>
              <w:tab/>
            </w:r>
            <w:r>
              <w:rPr>
                <w:webHidden/>
              </w:rPr>
              <w:fldChar w:fldCharType="begin"/>
            </w:r>
            <w:r>
              <w:rPr>
                <w:webHidden/>
              </w:rPr>
              <w:instrText xml:space="preserve"> PAGEREF _Toc1581593 \h </w:instrText>
            </w:r>
            <w:r>
              <w:rPr>
                <w:webHidden/>
              </w:rPr>
            </w:r>
            <w:r>
              <w:rPr>
                <w:webHidden/>
              </w:rPr>
              <w:fldChar w:fldCharType="separate"/>
            </w:r>
            <w:r>
              <w:rPr>
                <w:webHidden/>
              </w:rPr>
              <w:t>230</w:t>
            </w:r>
            <w:r>
              <w:rPr>
                <w:webHidden/>
              </w:rPr>
              <w:fldChar w:fldCharType="end"/>
            </w:r>
          </w:hyperlink>
        </w:p>
        <w:p w14:paraId="228BEAEB" w14:textId="089DA431" w:rsidR="00AB50EE" w:rsidRDefault="00AB50EE">
          <w:pPr>
            <w:pStyle w:val="TOC2"/>
            <w:rPr>
              <w:rFonts w:eastAsiaTheme="minorEastAsia"/>
              <w:bCs w:val="0"/>
            </w:rPr>
          </w:pPr>
          <w:hyperlink w:anchor="_Toc1581594" w:history="1">
            <w:r w:rsidRPr="006A1C5D">
              <w:rPr>
                <w:rStyle w:val="Hyperlink"/>
              </w:rPr>
              <w:t xml:space="preserve">10.2 </w:t>
            </w:r>
            <w:r w:rsidRPr="006A1C5D">
              <w:rPr>
                <w:rStyle w:val="Hyperlink"/>
                <w:rFonts w:ascii="Sylfaen" w:hAnsi="Sylfaen" w:cs="Sylfaen"/>
              </w:rPr>
              <w:t>საჩივრების</w:t>
            </w:r>
            <w:r w:rsidRPr="006A1C5D">
              <w:rPr>
                <w:rStyle w:val="Hyperlink"/>
              </w:rPr>
              <w:t xml:space="preserve"> </w:t>
            </w:r>
            <w:r w:rsidRPr="006A1C5D">
              <w:rPr>
                <w:rStyle w:val="Hyperlink"/>
                <w:rFonts w:ascii="Sylfaen" w:hAnsi="Sylfaen" w:cs="Sylfaen"/>
              </w:rPr>
              <w:t>განხილვის</w:t>
            </w:r>
            <w:r w:rsidRPr="006A1C5D">
              <w:rPr>
                <w:rStyle w:val="Hyperlink"/>
              </w:rPr>
              <w:t xml:space="preserve"> </w:t>
            </w:r>
            <w:r w:rsidRPr="006A1C5D">
              <w:rPr>
                <w:rStyle w:val="Hyperlink"/>
                <w:rFonts w:ascii="Sylfaen" w:hAnsi="Sylfaen" w:cs="Sylfaen"/>
              </w:rPr>
              <w:t>პროცედურები</w:t>
            </w:r>
            <w:r>
              <w:rPr>
                <w:webHidden/>
              </w:rPr>
              <w:tab/>
            </w:r>
            <w:r>
              <w:rPr>
                <w:webHidden/>
              </w:rPr>
              <w:fldChar w:fldCharType="begin"/>
            </w:r>
            <w:r>
              <w:rPr>
                <w:webHidden/>
              </w:rPr>
              <w:instrText xml:space="preserve"> PAGEREF _Toc1581594 \h </w:instrText>
            </w:r>
            <w:r>
              <w:rPr>
                <w:webHidden/>
              </w:rPr>
            </w:r>
            <w:r>
              <w:rPr>
                <w:webHidden/>
              </w:rPr>
              <w:fldChar w:fldCharType="separate"/>
            </w:r>
            <w:r>
              <w:rPr>
                <w:webHidden/>
              </w:rPr>
              <w:t>232</w:t>
            </w:r>
            <w:r>
              <w:rPr>
                <w:webHidden/>
              </w:rPr>
              <w:fldChar w:fldCharType="end"/>
            </w:r>
          </w:hyperlink>
        </w:p>
        <w:p w14:paraId="6CBFFBFB" w14:textId="10FCE9EE" w:rsidR="00AB50EE" w:rsidRDefault="00AB50EE">
          <w:pPr>
            <w:pStyle w:val="TOC2"/>
            <w:rPr>
              <w:rFonts w:eastAsiaTheme="minorEastAsia"/>
              <w:bCs w:val="0"/>
            </w:rPr>
          </w:pPr>
          <w:hyperlink w:anchor="_Toc1581595" w:history="1">
            <w:r w:rsidRPr="006A1C5D">
              <w:rPr>
                <w:rStyle w:val="Hyperlink"/>
              </w:rPr>
              <w:t>10.</w:t>
            </w:r>
            <w:r w:rsidRPr="006A1C5D">
              <w:rPr>
                <w:rStyle w:val="Hyperlink"/>
                <w:rFonts w:ascii="Sylfaen" w:hAnsi="Sylfaen"/>
                <w:lang w:val="ka-GE"/>
              </w:rPr>
              <w:t>3</w:t>
            </w:r>
            <w:r w:rsidRPr="006A1C5D">
              <w:rPr>
                <w:rStyle w:val="Hyperlink"/>
              </w:rPr>
              <w:t xml:space="preserve"> </w:t>
            </w:r>
            <w:r w:rsidRPr="006A1C5D">
              <w:rPr>
                <w:rStyle w:val="Hyperlink"/>
                <w:rFonts w:ascii="Sylfaen" w:hAnsi="Sylfaen" w:cs="Sylfaen"/>
              </w:rPr>
              <w:t>საჩივრების</w:t>
            </w:r>
            <w:r w:rsidRPr="006A1C5D">
              <w:rPr>
                <w:rStyle w:val="Hyperlink"/>
              </w:rPr>
              <w:t xml:space="preserve"> </w:t>
            </w:r>
            <w:r w:rsidRPr="006A1C5D">
              <w:rPr>
                <w:rStyle w:val="Hyperlink"/>
                <w:rFonts w:ascii="Sylfaen" w:hAnsi="Sylfaen" w:cs="Sylfaen"/>
              </w:rPr>
              <w:t>ჟურნალი</w:t>
            </w:r>
            <w:r>
              <w:rPr>
                <w:webHidden/>
              </w:rPr>
              <w:tab/>
            </w:r>
            <w:r>
              <w:rPr>
                <w:webHidden/>
              </w:rPr>
              <w:fldChar w:fldCharType="begin"/>
            </w:r>
            <w:r>
              <w:rPr>
                <w:webHidden/>
              </w:rPr>
              <w:instrText xml:space="preserve"> PAGEREF _Toc1581595 \h </w:instrText>
            </w:r>
            <w:r>
              <w:rPr>
                <w:webHidden/>
              </w:rPr>
            </w:r>
            <w:r>
              <w:rPr>
                <w:webHidden/>
              </w:rPr>
              <w:fldChar w:fldCharType="separate"/>
            </w:r>
            <w:r>
              <w:rPr>
                <w:webHidden/>
              </w:rPr>
              <w:t>233</w:t>
            </w:r>
            <w:r>
              <w:rPr>
                <w:webHidden/>
              </w:rPr>
              <w:fldChar w:fldCharType="end"/>
            </w:r>
          </w:hyperlink>
        </w:p>
        <w:p w14:paraId="1C32B862" w14:textId="3C5A85F1" w:rsidR="00AB50EE" w:rsidRDefault="00AB50EE">
          <w:pPr>
            <w:pStyle w:val="TOC1"/>
            <w:rPr>
              <w:rFonts w:eastAsiaTheme="minorEastAsia"/>
              <w:b w:val="0"/>
              <w:bCs w:val="0"/>
              <w:sz w:val="22"/>
              <w:szCs w:val="22"/>
            </w:rPr>
          </w:pPr>
          <w:hyperlink w:anchor="_Toc1581596" w:history="1">
            <w:r w:rsidRPr="006A1C5D">
              <w:rPr>
                <w:rStyle w:val="Hyperlink"/>
              </w:rPr>
              <w:t xml:space="preserve">11 </w:t>
            </w:r>
            <w:r w:rsidRPr="006A1C5D">
              <w:rPr>
                <w:rStyle w:val="Hyperlink"/>
                <w:rFonts w:ascii="Sylfaen" w:hAnsi="Sylfaen" w:cs="Sylfaen"/>
              </w:rPr>
              <w:t>დასკვნები</w:t>
            </w:r>
            <w:r w:rsidRPr="006A1C5D">
              <w:rPr>
                <w:rStyle w:val="Hyperlink"/>
              </w:rPr>
              <w:t xml:space="preserve"> </w:t>
            </w:r>
            <w:r w:rsidRPr="006A1C5D">
              <w:rPr>
                <w:rStyle w:val="Hyperlink"/>
                <w:rFonts w:ascii="Sylfaen" w:hAnsi="Sylfaen" w:cs="Sylfaen"/>
              </w:rPr>
              <w:t>და</w:t>
            </w:r>
            <w:r w:rsidRPr="006A1C5D">
              <w:rPr>
                <w:rStyle w:val="Hyperlink"/>
              </w:rPr>
              <w:t xml:space="preserve"> </w:t>
            </w:r>
            <w:r w:rsidRPr="006A1C5D">
              <w:rPr>
                <w:rStyle w:val="Hyperlink"/>
                <w:rFonts w:ascii="Sylfaen" w:hAnsi="Sylfaen" w:cs="Sylfaen"/>
              </w:rPr>
              <w:t>რეკომენდაციები</w:t>
            </w:r>
            <w:r>
              <w:rPr>
                <w:webHidden/>
              </w:rPr>
              <w:tab/>
            </w:r>
            <w:r>
              <w:rPr>
                <w:webHidden/>
              </w:rPr>
              <w:fldChar w:fldCharType="begin"/>
            </w:r>
            <w:r>
              <w:rPr>
                <w:webHidden/>
              </w:rPr>
              <w:instrText xml:space="preserve"> PAGEREF _Toc1581596 \h </w:instrText>
            </w:r>
            <w:r>
              <w:rPr>
                <w:webHidden/>
              </w:rPr>
            </w:r>
            <w:r>
              <w:rPr>
                <w:webHidden/>
              </w:rPr>
              <w:fldChar w:fldCharType="separate"/>
            </w:r>
            <w:r>
              <w:rPr>
                <w:webHidden/>
              </w:rPr>
              <w:t>234</w:t>
            </w:r>
            <w:r>
              <w:rPr>
                <w:webHidden/>
              </w:rPr>
              <w:fldChar w:fldCharType="end"/>
            </w:r>
          </w:hyperlink>
        </w:p>
        <w:p w14:paraId="60D8462A" w14:textId="6C9A2DDD" w:rsidR="00AB50EE" w:rsidRDefault="00AB50EE">
          <w:pPr>
            <w:pStyle w:val="TOC1"/>
            <w:rPr>
              <w:rFonts w:eastAsiaTheme="minorEastAsia"/>
              <w:b w:val="0"/>
              <w:bCs w:val="0"/>
              <w:sz w:val="22"/>
              <w:szCs w:val="22"/>
            </w:rPr>
          </w:pPr>
          <w:hyperlink w:anchor="_Toc1581597" w:history="1">
            <w:r w:rsidRPr="006A1C5D">
              <w:rPr>
                <w:rStyle w:val="Hyperlink"/>
              </w:rPr>
              <w:t xml:space="preserve">12 </w:t>
            </w:r>
            <w:r w:rsidRPr="006A1C5D">
              <w:rPr>
                <w:rStyle w:val="Hyperlink"/>
                <w:rFonts w:ascii="Sylfaen" w:hAnsi="Sylfaen" w:cs="Sylfaen"/>
              </w:rPr>
              <w:t>გამოყენებული</w:t>
            </w:r>
            <w:r w:rsidRPr="006A1C5D">
              <w:rPr>
                <w:rStyle w:val="Hyperlink"/>
              </w:rPr>
              <w:t xml:space="preserve"> </w:t>
            </w:r>
            <w:r w:rsidRPr="006A1C5D">
              <w:rPr>
                <w:rStyle w:val="Hyperlink"/>
                <w:rFonts w:ascii="Sylfaen" w:hAnsi="Sylfaen" w:cs="Sylfaen"/>
              </w:rPr>
              <w:t>ლიტერატურა</w:t>
            </w:r>
            <w:r>
              <w:rPr>
                <w:webHidden/>
              </w:rPr>
              <w:tab/>
            </w:r>
            <w:r>
              <w:rPr>
                <w:webHidden/>
              </w:rPr>
              <w:fldChar w:fldCharType="begin"/>
            </w:r>
            <w:r>
              <w:rPr>
                <w:webHidden/>
              </w:rPr>
              <w:instrText xml:space="preserve"> PAGEREF _Toc1581597 \h </w:instrText>
            </w:r>
            <w:r>
              <w:rPr>
                <w:webHidden/>
              </w:rPr>
            </w:r>
            <w:r>
              <w:rPr>
                <w:webHidden/>
              </w:rPr>
              <w:fldChar w:fldCharType="separate"/>
            </w:r>
            <w:r>
              <w:rPr>
                <w:webHidden/>
              </w:rPr>
              <w:t>235</w:t>
            </w:r>
            <w:r>
              <w:rPr>
                <w:webHidden/>
              </w:rPr>
              <w:fldChar w:fldCharType="end"/>
            </w:r>
          </w:hyperlink>
        </w:p>
        <w:p w14:paraId="6408ACCC" w14:textId="21E26B1E" w:rsidR="00AB50EE" w:rsidRDefault="00AB50EE">
          <w:pPr>
            <w:pStyle w:val="TOC1"/>
            <w:rPr>
              <w:rFonts w:eastAsiaTheme="minorEastAsia"/>
              <w:b w:val="0"/>
              <w:bCs w:val="0"/>
              <w:sz w:val="22"/>
              <w:szCs w:val="22"/>
            </w:rPr>
          </w:pPr>
          <w:hyperlink w:anchor="_Toc1581598" w:history="1">
            <w:r w:rsidRPr="006A1C5D">
              <w:rPr>
                <w:rStyle w:val="Hyperlink"/>
                <w:rFonts w:ascii="Sylfaen" w:hAnsi="Sylfaen" w:cs="Sylfaen"/>
              </w:rPr>
              <w:t>დანართი</w:t>
            </w:r>
            <w:r w:rsidRPr="006A1C5D">
              <w:rPr>
                <w:rStyle w:val="Hyperlink"/>
              </w:rPr>
              <w:t xml:space="preserve"> 1: </w:t>
            </w:r>
            <w:r w:rsidRPr="006A1C5D">
              <w:rPr>
                <w:rStyle w:val="Hyperlink"/>
                <w:rFonts w:ascii="Sylfaen" w:hAnsi="Sylfaen" w:cs="Sylfaen"/>
              </w:rPr>
              <w:t>გზის</w:t>
            </w:r>
            <w:r w:rsidRPr="006A1C5D">
              <w:rPr>
                <w:rStyle w:val="Hyperlink"/>
              </w:rPr>
              <w:t xml:space="preserve"> </w:t>
            </w:r>
            <w:r w:rsidRPr="006A1C5D">
              <w:rPr>
                <w:rStyle w:val="Hyperlink"/>
                <w:rFonts w:ascii="Sylfaen" w:hAnsi="Sylfaen" w:cs="Sylfaen"/>
              </w:rPr>
              <w:t>მშენებლობის</w:t>
            </w:r>
            <w:r w:rsidRPr="006A1C5D">
              <w:rPr>
                <w:rStyle w:val="Hyperlink"/>
              </w:rPr>
              <w:t xml:space="preserve"> </w:t>
            </w:r>
            <w:r w:rsidRPr="006A1C5D">
              <w:rPr>
                <w:rStyle w:val="Hyperlink"/>
                <w:rFonts w:ascii="Sylfaen" w:hAnsi="Sylfaen" w:cs="Sylfaen"/>
              </w:rPr>
              <w:t>პროცესში</w:t>
            </w:r>
            <w:r w:rsidRPr="006A1C5D">
              <w:rPr>
                <w:rStyle w:val="Hyperlink"/>
              </w:rPr>
              <w:t xml:space="preserve"> </w:t>
            </w:r>
            <w:r w:rsidRPr="006A1C5D">
              <w:rPr>
                <w:rStyle w:val="Hyperlink"/>
                <w:rFonts w:ascii="Sylfaen" w:hAnsi="Sylfaen" w:cs="Sylfaen"/>
              </w:rPr>
              <w:t>წარმოქმნილი</w:t>
            </w:r>
            <w:r w:rsidRPr="006A1C5D">
              <w:rPr>
                <w:rStyle w:val="Hyperlink"/>
              </w:rPr>
              <w:t xml:space="preserve"> </w:t>
            </w:r>
            <w:r w:rsidRPr="006A1C5D">
              <w:rPr>
                <w:rStyle w:val="Hyperlink"/>
                <w:rFonts w:ascii="Sylfaen" w:hAnsi="Sylfaen" w:cs="Sylfaen"/>
              </w:rPr>
              <w:t>ნარჩენების</w:t>
            </w:r>
            <w:r w:rsidRPr="006A1C5D">
              <w:rPr>
                <w:rStyle w:val="Hyperlink"/>
              </w:rPr>
              <w:t xml:space="preserve"> </w:t>
            </w:r>
            <w:r w:rsidRPr="006A1C5D">
              <w:rPr>
                <w:rStyle w:val="Hyperlink"/>
                <w:rFonts w:ascii="Sylfaen" w:hAnsi="Sylfaen" w:cs="Sylfaen"/>
              </w:rPr>
              <w:t>მართვის</w:t>
            </w:r>
            <w:r w:rsidRPr="006A1C5D">
              <w:rPr>
                <w:rStyle w:val="Hyperlink"/>
              </w:rPr>
              <w:t xml:space="preserve">   </w:t>
            </w:r>
            <w:r w:rsidRPr="006A1C5D">
              <w:rPr>
                <w:rStyle w:val="Hyperlink"/>
                <w:rFonts w:ascii="Sylfaen" w:hAnsi="Sylfaen" w:cs="Sylfaen"/>
              </w:rPr>
              <w:t>გეგმა</w:t>
            </w:r>
            <w:r>
              <w:rPr>
                <w:webHidden/>
              </w:rPr>
              <w:tab/>
            </w:r>
            <w:r>
              <w:rPr>
                <w:webHidden/>
              </w:rPr>
              <w:fldChar w:fldCharType="begin"/>
            </w:r>
            <w:r>
              <w:rPr>
                <w:webHidden/>
              </w:rPr>
              <w:instrText xml:space="preserve"> PAGEREF _Toc1581598 \h </w:instrText>
            </w:r>
            <w:r>
              <w:rPr>
                <w:webHidden/>
              </w:rPr>
            </w:r>
            <w:r>
              <w:rPr>
                <w:webHidden/>
              </w:rPr>
              <w:fldChar w:fldCharType="separate"/>
            </w:r>
            <w:r>
              <w:rPr>
                <w:webHidden/>
              </w:rPr>
              <w:t>237</w:t>
            </w:r>
            <w:r>
              <w:rPr>
                <w:webHidden/>
              </w:rPr>
              <w:fldChar w:fldCharType="end"/>
            </w:r>
          </w:hyperlink>
        </w:p>
        <w:p w14:paraId="3BD9EB65" w14:textId="391ED606" w:rsidR="00AB50EE" w:rsidRDefault="00AB50EE">
          <w:pPr>
            <w:pStyle w:val="TOC1"/>
            <w:rPr>
              <w:rFonts w:eastAsiaTheme="minorEastAsia"/>
              <w:b w:val="0"/>
              <w:bCs w:val="0"/>
              <w:sz w:val="22"/>
              <w:szCs w:val="22"/>
            </w:rPr>
          </w:pPr>
          <w:hyperlink w:anchor="_Toc1581599" w:history="1">
            <w:r w:rsidRPr="006A1C5D">
              <w:rPr>
                <w:rStyle w:val="Hyperlink"/>
                <w:rFonts w:ascii="Sylfaen" w:hAnsi="Sylfaen" w:cs="Sylfaen"/>
              </w:rPr>
              <w:t>დანართი</w:t>
            </w:r>
            <w:r w:rsidRPr="006A1C5D">
              <w:rPr>
                <w:rStyle w:val="Hyperlink"/>
              </w:rPr>
              <w:t xml:space="preserve"> 2 – </w:t>
            </w:r>
            <w:r w:rsidRPr="006A1C5D">
              <w:rPr>
                <w:rStyle w:val="Hyperlink"/>
                <w:rFonts w:ascii="Sylfaen" w:hAnsi="Sylfaen" w:cs="Sylfaen"/>
              </w:rPr>
              <w:t>ნიადაგის</w:t>
            </w:r>
            <w:r w:rsidRPr="006A1C5D">
              <w:rPr>
                <w:rStyle w:val="Hyperlink"/>
              </w:rPr>
              <w:t xml:space="preserve"> </w:t>
            </w:r>
            <w:r w:rsidRPr="006A1C5D">
              <w:rPr>
                <w:rStyle w:val="Hyperlink"/>
                <w:rFonts w:ascii="Sylfaen" w:hAnsi="Sylfaen" w:cs="Sylfaen"/>
              </w:rPr>
              <w:t>ზედა</w:t>
            </w:r>
            <w:r w:rsidRPr="006A1C5D">
              <w:rPr>
                <w:rStyle w:val="Hyperlink"/>
              </w:rPr>
              <w:t xml:space="preserve"> </w:t>
            </w:r>
            <w:r w:rsidRPr="006A1C5D">
              <w:rPr>
                <w:rStyle w:val="Hyperlink"/>
                <w:rFonts w:ascii="Sylfaen" w:hAnsi="Sylfaen" w:cs="Sylfaen"/>
              </w:rPr>
              <w:t>ფენის</w:t>
            </w:r>
            <w:r w:rsidRPr="006A1C5D">
              <w:rPr>
                <w:rStyle w:val="Hyperlink"/>
              </w:rPr>
              <w:t xml:space="preserve"> </w:t>
            </w:r>
            <w:r w:rsidRPr="006A1C5D">
              <w:rPr>
                <w:rStyle w:val="Hyperlink"/>
                <w:rFonts w:ascii="Sylfaen" w:hAnsi="Sylfaen" w:cs="Sylfaen"/>
              </w:rPr>
              <w:t>და</w:t>
            </w:r>
            <w:r w:rsidRPr="006A1C5D">
              <w:rPr>
                <w:rStyle w:val="Hyperlink"/>
              </w:rPr>
              <w:t xml:space="preserve"> </w:t>
            </w:r>
            <w:r w:rsidRPr="006A1C5D">
              <w:rPr>
                <w:rStyle w:val="Hyperlink"/>
                <w:rFonts w:ascii="Sylfaen" w:hAnsi="Sylfaen" w:cs="Sylfaen"/>
              </w:rPr>
              <w:t>გრუნტის</w:t>
            </w:r>
            <w:r w:rsidRPr="006A1C5D">
              <w:rPr>
                <w:rStyle w:val="Hyperlink"/>
              </w:rPr>
              <w:t xml:space="preserve"> </w:t>
            </w:r>
            <w:r w:rsidRPr="006A1C5D">
              <w:rPr>
                <w:rStyle w:val="Hyperlink"/>
                <w:rFonts w:ascii="Sylfaen" w:hAnsi="Sylfaen" w:cs="Sylfaen"/>
              </w:rPr>
              <w:t>მენეჯმენტის</w:t>
            </w:r>
            <w:r w:rsidRPr="006A1C5D">
              <w:rPr>
                <w:rStyle w:val="Hyperlink"/>
              </w:rPr>
              <w:t xml:space="preserve"> </w:t>
            </w:r>
            <w:r w:rsidRPr="006A1C5D">
              <w:rPr>
                <w:rStyle w:val="Hyperlink"/>
                <w:rFonts w:ascii="Sylfaen" w:hAnsi="Sylfaen" w:cs="Sylfaen"/>
              </w:rPr>
              <w:t>რეკომენდაციები</w:t>
            </w:r>
            <w:r>
              <w:rPr>
                <w:webHidden/>
              </w:rPr>
              <w:tab/>
            </w:r>
            <w:r>
              <w:rPr>
                <w:webHidden/>
              </w:rPr>
              <w:fldChar w:fldCharType="begin"/>
            </w:r>
            <w:r>
              <w:rPr>
                <w:webHidden/>
              </w:rPr>
              <w:instrText xml:space="preserve"> PAGEREF _Toc1581599 \h </w:instrText>
            </w:r>
            <w:r>
              <w:rPr>
                <w:webHidden/>
              </w:rPr>
            </w:r>
            <w:r>
              <w:rPr>
                <w:webHidden/>
              </w:rPr>
              <w:fldChar w:fldCharType="separate"/>
            </w:r>
            <w:r>
              <w:rPr>
                <w:webHidden/>
              </w:rPr>
              <w:t>244</w:t>
            </w:r>
            <w:r>
              <w:rPr>
                <w:webHidden/>
              </w:rPr>
              <w:fldChar w:fldCharType="end"/>
            </w:r>
          </w:hyperlink>
        </w:p>
        <w:p w14:paraId="32286100" w14:textId="5B87A930" w:rsidR="00AB50EE" w:rsidRDefault="00AB50EE">
          <w:pPr>
            <w:pStyle w:val="TOC1"/>
            <w:rPr>
              <w:rFonts w:eastAsiaTheme="minorEastAsia"/>
              <w:b w:val="0"/>
              <w:bCs w:val="0"/>
              <w:sz w:val="22"/>
              <w:szCs w:val="22"/>
            </w:rPr>
          </w:pPr>
          <w:hyperlink w:anchor="_Toc1581600" w:history="1">
            <w:r w:rsidRPr="006A1C5D">
              <w:rPr>
                <w:rStyle w:val="Hyperlink"/>
                <w:rFonts w:ascii="Sylfaen" w:hAnsi="Sylfaen" w:cs="Sylfaen"/>
              </w:rPr>
              <w:t>დანართი</w:t>
            </w:r>
            <w:r w:rsidRPr="006A1C5D">
              <w:rPr>
                <w:rStyle w:val="Hyperlink"/>
              </w:rPr>
              <w:t xml:space="preserve"> 3 </w:t>
            </w:r>
            <w:r w:rsidRPr="006A1C5D">
              <w:rPr>
                <w:rStyle w:val="Hyperlink"/>
                <w:rFonts w:ascii="Sylfaen" w:hAnsi="Sylfaen" w:cs="Sylfaen"/>
              </w:rPr>
              <w:t>ავარიულ</w:t>
            </w:r>
            <w:r w:rsidRPr="006A1C5D">
              <w:rPr>
                <w:rStyle w:val="Hyperlink"/>
              </w:rPr>
              <w:t xml:space="preserve"> </w:t>
            </w:r>
            <w:r w:rsidRPr="006A1C5D">
              <w:rPr>
                <w:rStyle w:val="Hyperlink"/>
                <w:rFonts w:ascii="Sylfaen" w:hAnsi="Sylfaen" w:cs="Sylfaen"/>
              </w:rPr>
              <w:t>სიტუაციებზე</w:t>
            </w:r>
            <w:r w:rsidRPr="006A1C5D">
              <w:rPr>
                <w:rStyle w:val="Hyperlink"/>
              </w:rPr>
              <w:t xml:space="preserve"> </w:t>
            </w:r>
            <w:r w:rsidRPr="006A1C5D">
              <w:rPr>
                <w:rStyle w:val="Hyperlink"/>
                <w:rFonts w:ascii="Sylfaen" w:hAnsi="Sylfaen" w:cs="Sylfaen"/>
              </w:rPr>
              <w:t>რეაგირების</w:t>
            </w:r>
            <w:r w:rsidRPr="006A1C5D">
              <w:rPr>
                <w:rStyle w:val="Hyperlink"/>
              </w:rPr>
              <w:t xml:space="preserve"> </w:t>
            </w:r>
            <w:r w:rsidRPr="006A1C5D">
              <w:rPr>
                <w:rStyle w:val="Hyperlink"/>
                <w:rFonts w:ascii="Sylfaen" w:hAnsi="Sylfaen" w:cs="Sylfaen"/>
              </w:rPr>
              <w:t>გეგმის</w:t>
            </w:r>
            <w:r w:rsidRPr="006A1C5D">
              <w:rPr>
                <w:rStyle w:val="Hyperlink"/>
              </w:rPr>
              <w:t xml:space="preserve"> </w:t>
            </w:r>
            <w:r w:rsidRPr="006A1C5D">
              <w:rPr>
                <w:rStyle w:val="Hyperlink"/>
                <w:rFonts w:ascii="Sylfaen" w:hAnsi="Sylfaen" w:cs="Sylfaen"/>
              </w:rPr>
              <w:t>მიზნები</w:t>
            </w:r>
            <w:r w:rsidRPr="006A1C5D">
              <w:rPr>
                <w:rStyle w:val="Hyperlink"/>
              </w:rPr>
              <w:t xml:space="preserve"> </w:t>
            </w:r>
            <w:r w:rsidRPr="006A1C5D">
              <w:rPr>
                <w:rStyle w:val="Hyperlink"/>
                <w:rFonts w:ascii="Sylfaen" w:hAnsi="Sylfaen" w:cs="Sylfaen"/>
              </w:rPr>
              <w:t>და</w:t>
            </w:r>
            <w:r w:rsidRPr="006A1C5D">
              <w:rPr>
                <w:rStyle w:val="Hyperlink"/>
              </w:rPr>
              <w:t xml:space="preserve"> </w:t>
            </w:r>
            <w:r w:rsidRPr="006A1C5D">
              <w:rPr>
                <w:rStyle w:val="Hyperlink"/>
                <w:rFonts w:ascii="Sylfaen" w:hAnsi="Sylfaen" w:cs="Sylfaen"/>
              </w:rPr>
              <w:t>ამოცანები</w:t>
            </w:r>
            <w:r>
              <w:rPr>
                <w:webHidden/>
              </w:rPr>
              <w:tab/>
            </w:r>
            <w:r>
              <w:rPr>
                <w:webHidden/>
              </w:rPr>
              <w:fldChar w:fldCharType="begin"/>
            </w:r>
            <w:r>
              <w:rPr>
                <w:webHidden/>
              </w:rPr>
              <w:instrText xml:space="preserve"> PAGEREF _Toc1581600 \h </w:instrText>
            </w:r>
            <w:r>
              <w:rPr>
                <w:webHidden/>
              </w:rPr>
            </w:r>
            <w:r>
              <w:rPr>
                <w:webHidden/>
              </w:rPr>
              <w:fldChar w:fldCharType="separate"/>
            </w:r>
            <w:r>
              <w:rPr>
                <w:webHidden/>
              </w:rPr>
              <w:t>246</w:t>
            </w:r>
            <w:r>
              <w:rPr>
                <w:webHidden/>
              </w:rPr>
              <w:fldChar w:fldCharType="end"/>
            </w:r>
          </w:hyperlink>
        </w:p>
        <w:p w14:paraId="521E18A3" w14:textId="4FC5D031" w:rsidR="00AB50EE" w:rsidRDefault="00AB50EE">
          <w:pPr>
            <w:pStyle w:val="TOC1"/>
            <w:rPr>
              <w:rFonts w:eastAsiaTheme="minorEastAsia"/>
              <w:b w:val="0"/>
              <w:bCs w:val="0"/>
              <w:sz w:val="22"/>
              <w:szCs w:val="22"/>
            </w:rPr>
          </w:pPr>
          <w:hyperlink w:anchor="_Toc1581601" w:history="1">
            <w:r w:rsidRPr="006A1C5D">
              <w:rPr>
                <w:rStyle w:val="Hyperlink"/>
                <w:rFonts w:ascii="Sylfaen" w:hAnsi="Sylfaen" w:cs="Sylfaen"/>
              </w:rPr>
              <w:t>დანართი</w:t>
            </w:r>
            <w:r w:rsidRPr="006A1C5D">
              <w:rPr>
                <w:rStyle w:val="Hyperlink"/>
              </w:rPr>
              <w:t xml:space="preserve"> 4 </w:t>
            </w:r>
            <w:r w:rsidRPr="006A1C5D">
              <w:rPr>
                <w:rStyle w:val="Hyperlink"/>
                <w:rFonts w:ascii="Sylfaen" w:hAnsi="Sylfaen" w:cs="Sylfaen"/>
              </w:rPr>
              <w:t>პროექტის</w:t>
            </w:r>
            <w:r w:rsidRPr="006A1C5D">
              <w:rPr>
                <w:rStyle w:val="Hyperlink"/>
              </w:rPr>
              <w:t xml:space="preserve"> </w:t>
            </w:r>
            <w:r w:rsidRPr="006A1C5D">
              <w:rPr>
                <w:rStyle w:val="Hyperlink"/>
                <w:rFonts w:ascii="Sylfaen" w:hAnsi="Sylfaen" w:cs="Sylfaen"/>
              </w:rPr>
              <w:t>ადგილმდებარეობა</w:t>
            </w:r>
            <w:r>
              <w:rPr>
                <w:webHidden/>
              </w:rPr>
              <w:tab/>
            </w:r>
            <w:r>
              <w:rPr>
                <w:webHidden/>
              </w:rPr>
              <w:fldChar w:fldCharType="begin"/>
            </w:r>
            <w:r>
              <w:rPr>
                <w:webHidden/>
              </w:rPr>
              <w:instrText xml:space="preserve"> PAGEREF _Toc1581601 \h </w:instrText>
            </w:r>
            <w:r>
              <w:rPr>
                <w:webHidden/>
              </w:rPr>
            </w:r>
            <w:r>
              <w:rPr>
                <w:webHidden/>
              </w:rPr>
              <w:fldChar w:fldCharType="separate"/>
            </w:r>
            <w:r>
              <w:rPr>
                <w:webHidden/>
              </w:rPr>
              <w:t>257</w:t>
            </w:r>
            <w:r>
              <w:rPr>
                <w:webHidden/>
              </w:rPr>
              <w:fldChar w:fldCharType="end"/>
            </w:r>
          </w:hyperlink>
        </w:p>
        <w:p w14:paraId="67A404AC" w14:textId="77EA4122" w:rsidR="00AB50EE" w:rsidRDefault="00AB50EE">
          <w:pPr>
            <w:pStyle w:val="TOC1"/>
            <w:rPr>
              <w:rFonts w:eastAsiaTheme="minorEastAsia"/>
              <w:b w:val="0"/>
              <w:bCs w:val="0"/>
              <w:sz w:val="22"/>
              <w:szCs w:val="22"/>
            </w:rPr>
          </w:pPr>
          <w:hyperlink w:anchor="_Toc1581602" w:history="1">
            <w:r w:rsidRPr="006A1C5D">
              <w:rPr>
                <w:rStyle w:val="Hyperlink"/>
                <w:rFonts w:ascii="Sylfaen" w:hAnsi="Sylfaen" w:cs="Sylfaen"/>
                <w:lang w:val="ka-GE"/>
              </w:rPr>
              <w:t>დანართი</w:t>
            </w:r>
            <w:r w:rsidRPr="006A1C5D">
              <w:rPr>
                <w:rStyle w:val="Hyperlink"/>
                <w:lang w:val="ka-GE"/>
              </w:rPr>
              <w:t xml:space="preserve"> 5 </w:t>
            </w:r>
            <w:r w:rsidRPr="006A1C5D">
              <w:rPr>
                <w:rStyle w:val="Hyperlink"/>
                <w:rFonts w:ascii="Sylfaen" w:eastAsiaTheme="majorEastAsia" w:hAnsi="Sylfaen" w:cs="Sylfaen"/>
                <w:lang w:val="ka-GE"/>
              </w:rPr>
              <w:t>ატმოსფერულ</w:t>
            </w:r>
            <w:r w:rsidRPr="006A1C5D">
              <w:rPr>
                <w:rStyle w:val="Hyperlink"/>
                <w:rFonts w:eastAsiaTheme="majorEastAsia" w:cstheme="majorBidi"/>
                <w:lang w:val="ka-GE"/>
              </w:rPr>
              <w:t xml:space="preserve"> </w:t>
            </w:r>
            <w:r w:rsidRPr="006A1C5D">
              <w:rPr>
                <w:rStyle w:val="Hyperlink"/>
                <w:rFonts w:ascii="Sylfaen" w:eastAsiaTheme="majorEastAsia" w:hAnsi="Sylfaen" w:cs="Sylfaen"/>
                <w:lang w:val="ka-GE"/>
              </w:rPr>
              <w:t>ჰაერში</w:t>
            </w:r>
            <w:r w:rsidRPr="006A1C5D">
              <w:rPr>
                <w:rStyle w:val="Hyperlink"/>
                <w:rFonts w:eastAsiaTheme="majorEastAsia" w:cstheme="majorBidi"/>
                <w:lang w:val="ka-GE"/>
              </w:rPr>
              <w:t xml:space="preserve"> </w:t>
            </w:r>
            <w:r w:rsidRPr="006A1C5D">
              <w:rPr>
                <w:rStyle w:val="Hyperlink"/>
                <w:rFonts w:ascii="Sylfaen" w:eastAsiaTheme="majorEastAsia" w:hAnsi="Sylfaen" w:cs="Sylfaen"/>
                <w:lang w:val="ka-GE"/>
              </w:rPr>
              <w:t>მავნე</w:t>
            </w:r>
            <w:r w:rsidRPr="006A1C5D">
              <w:rPr>
                <w:rStyle w:val="Hyperlink"/>
                <w:rFonts w:eastAsiaTheme="majorEastAsia" w:cstheme="majorBidi"/>
                <w:lang w:val="ka-GE"/>
              </w:rPr>
              <w:t xml:space="preserve"> </w:t>
            </w:r>
            <w:r w:rsidRPr="006A1C5D">
              <w:rPr>
                <w:rStyle w:val="Hyperlink"/>
                <w:rFonts w:ascii="Sylfaen" w:eastAsiaTheme="majorEastAsia" w:hAnsi="Sylfaen" w:cs="Sylfaen"/>
                <w:lang w:val="ka-GE"/>
              </w:rPr>
              <w:t>ნივთიერებათა</w:t>
            </w:r>
            <w:r w:rsidRPr="006A1C5D">
              <w:rPr>
                <w:rStyle w:val="Hyperlink"/>
                <w:rFonts w:eastAsiaTheme="majorEastAsia" w:cstheme="majorBidi"/>
                <w:lang w:val="ka-GE"/>
              </w:rPr>
              <w:t xml:space="preserve"> </w:t>
            </w:r>
            <w:r w:rsidRPr="006A1C5D">
              <w:rPr>
                <w:rStyle w:val="Hyperlink"/>
                <w:rFonts w:ascii="Sylfaen" w:eastAsiaTheme="majorEastAsia" w:hAnsi="Sylfaen" w:cs="Sylfaen"/>
                <w:lang w:val="ka-GE"/>
              </w:rPr>
              <w:t>გაბნევის</w:t>
            </w:r>
            <w:r w:rsidRPr="006A1C5D">
              <w:rPr>
                <w:rStyle w:val="Hyperlink"/>
                <w:rFonts w:eastAsiaTheme="majorEastAsia" w:cstheme="majorBidi"/>
                <w:lang w:val="ka-GE"/>
              </w:rPr>
              <w:t xml:space="preserve"> </w:t>
            </w:r>
            <w:r w:rsidRPr="006A1C5D">
              <w:rPr>
                <w:rStyle w:val="Hyperlink"/>
                <w:rFonts w:ascii="Sylfaen" w:eastAsiaTheme="majorEastAsia" w:hAnsi="Sylfaen" w:cs="Sylfaen"/>
                <w:lang w:val="ka-GE"/>
              </w:rPr>
              <w:t>ანგარიში</w:t>
            </w:r>
            <w:r>
              <w:rPr>
                <w:webHidden/>
              </w:rPr>
              <w:tab/>
            </w:r>
            <w:r>
              <w:rPr>
                <w:webHidden/>
              </w:rPr>
              <w:fldChar w:fldCharType="begin"/>
            </w:r>
            <w:r>
              <w:rPr>
                <w:webHidden/>
              </w:rPr>
              <w:instrText xml:space="preserve"> PAGEREF _Toc1581602 \h </w:instrText>
            </w:r>
            <w:r>
              <w:rPr>
                <w:webHidden/>
              </w:rPr>
            </w:r>
            <w:r>
              <w:rPr>
                <w:webHidden/>
              </w:rPr>
              <w:fldChar w:fldCharType="separate"/>
            </w:r>
            <w:r>
              <w:rPr>
                <w:webHidden/>
              </w:rPr>
              <w:t>258</w:t>
            </w:r>
            <w:r>
              <w:rPr>
                <w:webHidden/>
              </w:rPr>
              <w:fldChar w:fldCharType="end"/>
            </w:r>
          </w:hyperlink>
        </w:p>
        <w:p w14:paraId="1A542410" w14:textId="660DCE39" w:rsidR="00AB50EE" w:rsidRDefault="00AB50EE">
          <w:pPr>
            <w:pStyle w:val="TOC1"/>
            <w:rPr>
              <w:rFonts w:eastAsiaTheme="minorEastAsia"/>
              <w:b w:val="0"/>
              <w:bCs w:val="0"/>
              <w:sz w:val="22"/>
              <w:szCs w:val="22"/>
            </w:rPr>
          </w:pPr>
          <w:hyperlink w:anchor="_Toc1581603" w:history="1">
            <w:r w:rsidRPr="006A1C5D">
              <w:rPr>
                <w:rStyle w:val="Hyperlink"/>
                <w:rFonts w:ascii="Sylfaen" w:hAnsi="Sylfaen" w:cs="Sylfaen"/>
                <w:lang w:val="ka-GE"/>
              </w:rPr>
              <w:t>დანართი</w:t>
            </w:r>
            <w:r w:rsidRPr="006A1C5D">
              <w:rPr>
                <w:rStyle w:val="Hyperlink"/>
                <w:lang w:val="ka-GE"/>
              </w:rPr>
              <w:t xml:space="preserve"> 6  - </w:t>
            </w:r>
            <w:r w:rsidRPr="006A1C5D">
              <w:rPr>
                <w:rStyle w:val="Hyperlink"/>
                <w:rFonts w:ascii="Sylfaen" w:hAnsi="Sylfaen" w:cs="Sylfaen"/>
              </w:rPr>
              <w:t>საინჟინრო</w:t>
            </w:r>
            <w:r w:rsidRPr="006A1C5D">
              <w:rPr>
                <w:rStyle w:val="Hyperlink"/>
              </w:rPr>
              <w:t xml:space="preserve"> </w:t>
            </w:r>
            <w:r w:rsidRPr="006A1C5D">
              <w:rPr>
                <w:rStyle w:val="Hyperlink"/>
                <w:rFonts w:ascii="Sylfaen" w:hAnsi="Sylfaen" w:cs="Sylfaen"/>
              </w:rPr>
              <w:t>გეოლოგიური</w:t>
            </w:r>
            <w:r w:rsidRPr="006A1C5D">
              <w:rPr>
                <w:rStyle w:val="Hyperlink"/>
              </w:rPr>
              <w:t xml:space="preserve"> </w:t>
            </w:r>
            <w:r w:rsidRPr="006A1C5D">
              <w:rPr>
                <w:rStyle w:val="Hyperlink"/>
                <w:rFonts w:ascii="Sylfaen" w:hAnsi="Sylfaen" w:cs="Sylfaen"/>
              </w:rPr>
              <w:t>კვლევა</w:t>
            </w:r>
            <w:r>
              <w:rPr>
                <w:webHidden/>
              </w:rPr>
              <w:tab/>
            </w:r>
            <w:r>
              <w:rPr>
                <w:webHidden/>
              </w:rPr>
              <w:fldChar w:fldCharType="begin"/>
            </w:r>
            <w:r>
              <w:rPr>
                <w:webHidden/>
              </w:rPr>
              <w:instrText xml:space="preserve"> PAGEREF _Toc1581603 \h </w:instrText>
            </w:r>
            <w:r>
              <w:rPr>
                <w:webHidden/>
              </w:rPr>
            </w:r>
            <w:r>
              <w:rPr>
                <w:webHidden/>
              </w:rPr>
              <w:fldChar w:fldCharType="separate"/>
            </w:r>
            <w:r>
              <w:rPr>
                <w:webHidden/>
              </w:rPr>
              <w:t>270</w:t>
            </w:r>
            <w:r>
              <w:rPr>
                <w:webHidden/>
              </w:rPr>
              <w:fldChar w:fldCharType="end"/>
            </w:r>
          </w:hyperlink>
        </w:p>
        <w:p w14:paraId="28F82AAB" w14:textId="7B61E14E" w:rsidR="00AB50EE" w:rsidRDefault="00AB50EE">
          <w:pPr>
            <w:pStyle w:val="TOC1"/>
            <w:rPr>
              <w:rFonts w:eastAsiaTheme="minorEastAsia"/>
              <w:b w:val="0"/>
              <w:bCs w:val="0"/>
              <w:sz w:val="22"/>
              <w:szCs w:val="22"/>
            </w:rPr>
          </w:pPr>
          <w:hyperlink w:anchor="_Toc1581604" w:history="1">
            <w:r w:rsidRPr="006A1C5D">
              <w:rPr>
                <w:rStyle w:val="Hyperlink"/>
                <w:rFonts w:ascii="Sylfaen" w:hAnsi="Sylfaen" w:cs="Sylfaen"/>
              </w:rPr>
              <w:t>დანართი</w:t>
            </w:r>
            <w:r w:rsidRPr="006A1C5D">
              <w:rPr>
                <w:rStyle w:val="Hyperlink"/>
              </w:rPr>
              <w:t xml:space="preserve"> 7 </w:t>
            </w:r>
            <w:r w:rsidRPr="006A1C5D">
              <w:rPr>
                <w:rStyle w:val="Hyperlink"/>
                <w:rFonts w:ascii="Sylfaen" w:hAnsi="Sylfaen" w:cs="Sylfaen"/>
              </w:rPr>
              <w:t>პროექტის</w:t>
            </w:r>
            <w:r w:rsidRPr="006A1C5D">
              <w:rPr>
                <w:rStyle w:val="Hyperlink"/>
              </w:rPr>
              <w:t xml:space="preserve"> </w:t>
            </w:r>
            <w:r w:rsidRPr="006A1C5D">
              <w:rPr>
                <w:rStyle w:val="Hyperlink"/>
                <w:rFonts w:ascii="Sylfaen" w:hAnsi="Sylfaen" w:cs="Sylfaen"/>
              </w:rPr>
              <w:t>ზემოქმედების</w:t>
            </w:r>
            <w:r w:rsidRPr="006A1C5D">
              <w:rPr>
                <w:rStyle w:val="Hyperlink"/>
              </w:rPr>
              <w:t xml:space="preserve"> </w:t>
            </w:r>
            <w:r w:rsidRPr="006A1C5D">
              <w:rPr>
                <w:rStyle w:val="Hyperlink"/>
                <w:rFonts w:ascii="Sylfaen" w:hAnsi="Sylfaen" w:cs="Sylfaen"/>
              </w:rPr>
              <w:t>შეფასება</w:t>
            </w:r>
            <w:r w:rsidRPr="006A1C5D">
              <w:rPr>
                <w:rStyle w:val="Hyperlink"/>
              </w:rPr>
              <w:t xml:space="preserve"> „</w:t>
            </w:r>
            <w:r w:rsidRPr="006A1C5D">
              <w:rPr>
                <w:rStyle w:val="Hyperlink"/>
                <w:rFonts w:ascii="Sylfaen" w:hAnsi="Sylfaen" w:cs="Sylfaen"/>
              </w:rPr>
              <w:t>ზურმუხტის</w:t>
            </w:r>
            <w:r w:rsidRPr="006A1C5D">
              <w:rPr>
                <w:rStyle w:val="Hyperlink"/>
              </w:rPr>
              <w:t xml:space="preserve"> </w:t>
            </w:r>
            <w:r w:rsidRPr="006A1C5D">
              <w:rPr>
                <w:rStyle w:val="Hyperlink"/>
                <w:rFonts w:ascii="Sylfaen" w:hAnsi="Sylfaen" w:cs="Sylfaen"/>
              </w:rPr>
              <w:t>ქსელი</w:t>
            </w:r>
            <w:r w:rsidRPr="006A1C5D">
              <w:rPr>
                <w:rStyle w:val="Hyperlink"/>
              </w:rPr>
              <w:t>“-</w:t>
            </w:r>
            <w:r w:rsidRPr="006A1C5D">
              <w:rPr>
                <w:rStyle w:val="Hyperlink"/>
                <w:rFonts w:ascii="Sylfaen" w:hAnsi="Sylfaen" w:cs="Sylfaen"/>
              </w:rPr>
              <w:t>ს</w:t>
            </w:r>
            <w:r w:rsidRPr="006A1C5D">
              <w:rPr>
                <w:rStyle w:val="Hyperlink"/>
                <w:lang w:val="ka-GE"/>
              </w:rPr>
              <w:t xml:space="preserve"> </w:t>
            </w:r>
            <w:r w:rsidRPr="006A1C5D">
              <w:rPr>
                <w:rStyle w:val="Hyperlink"/>
              </w:rPr>
              <w:t xml:space="preserve"> </w:t>
            </w:r>
            <w:r w:rsidRPr="006A1C5D">
              <w:rPr>
                <w:rStyle w:val="Hyperlink"/>
                <w:rFonts w:ascii="Sylfaen" w:hAnsi="Sylfaen" w:cs="Sylfaen"/>
              </w:rPr>
              <w:t>კანდიდატ</w:t>
            </w:r>
            <w:r w:rsidRPr="006A1C5D">
              <w:rPr>
                <w:rStyle w:val="Hyperlink"/>
              </w:rPr>
              <w:t xml:space="preserve"> </w:t>
            </w:r>
            <w:r w:rsidRPr="006A1C5D">
              <w:rPr>
                <w:rStyle w:val="Hyperlink"/>
                <w:rFonts w:ascii="Sylfaen" w:hAnsi="Sylfaen" w:cs="Sylfaen"/>
              </w:rPr>
              <w:t>უბანზე</w:t>
            </w:r>
            <w:r w:rsidRPr="006A1C5D">
              <w:rPr>
                <w:rStyle w:val="Hyperlink"/>
              </w:rPr>
              <w:t>: „</w:t>
            </w:r>
            <w:r w:rsidRPr="006A1C5D">
              <w:rPr>
                <w:rStyle w:val="Hyperlink"/>
                <w:rFonts w:ascii="Sylfaen" w:hAnsi="Sylfaen" w:cs="Sylfaen"/>
              </w:rPr>
              <w:t>გომბორი</w:t>
            </w:r>
            <w:r w:rsidRPr="006A1C5D">
              <w:rPr>
                <w:rStyle w:val="Hyperlink"/>
              </w:rPr>
              <w:t>“ (</w:t>
            </w:r>
            <w:r w:rsidRPr="006A1C5D">
              <w:rPr>
                <w:rStyle w:val="Hyperlink"/>
                <w:rFonts w:ascii="Sylfaen" w:hAnsi="Sylfaen" w:cs="Sylfaen"/>
              </w:rPr>
              <w:t>კოდი</w:t>
            </w:r>
            <w:r w:rsidRPr="006A1C5D">
              <w:rPr>
                <w:rStyle w:val="Hyperlink"/>
              </w:rPr>
              <w:t>: GE0000027)</w:t>
            </w:r>
            <w:r>
              <w:rPr>
                <w:webHidden/>
              </w:rPr>
              <w:tab/>
            </w:r>
            <w:r>
              <w:rPr>
                <w:webHidden/>
              </w:rPr>
              <w:fldChar w:fldCharType="begin"/>
            </w:r>
            <w:r>
              <w:rPr>
                <w:webHidden/>
              </w:rPr>
              <w:instrText xml:space="preserve"> PAGEREF _Toc1581604 \h </w:instrText>
            </w:r>
            <w:r>
              <w:rPr>
                <w:webHidden/>
              </w:rPr>
            </w:r>
            <w:r>
              <w:rPr>
                <w:webHidden/>
              </w:rPr>
              <w:fldChar w:fldCharType="separate"/>
            </w:r>
            <w:r>
              <w:rPr>
                <w:webHidden/>
              </w:rPr>
              <w:t>271</w:t>
            </w:r>
            <w:r>
              <w:rPr>
                <w:webHidden/>
              </w:rPr>
              <w:fldChar w:fldCharType="end"/>
            </w:r>
          </w:hyperlink>
        </w:p>
        <w:p w14:paraId="1D71A6B6" w14:textId="6567A9A1" w:rsidR="00F45107" w:rsidRPr="00F45107" w:rsidRDefault="00AD2CE8" w:rsidP="002B56CC">
          <w:pPr>
            <w:rPr>
              <w:rFonts w:ascii="Sylfaen" w:hAnsi="Sylfaen"/>
              <w:sz w:val="24"/>
            </w:rPr>
          </w:pPr>
          <w:r w:rsidRPr="00F45107">
            <w:rPr>
              <w:rFonts w:ascii="Sylfaen" w:hAnsi="Sylfaen"/>
              <w:bCs/>
              <w:noProof/>
              <w:sz w:val="24"/>
            </w:rPr>
            <w:fldChar w:fldCharType="end"/>
          </w:r>
        </w:p>
      </w:sdtContent>
    </w:sdt>
    <w:p w14:paraId="2C155C33" w14:textId="77777777" w:rsidR="00F45107" w:rsidRPr="00F45107" w:rsidRDefault="00F45107" w:rsidP="002B56CC">
      <w:pPr>
        <w:pStyle w:val="NoSpacing"/>
        <w:rPr>
          <w:rFonts w:ascii="Sylfaen" w:hAnsi="Sylfaen"/>
          <w:sz w:val="24"/>
          <w:szCs w:val="24"/>
        </w:rPr>
      </w:pPr>
      <w:bookmarkStart w:id="0" w:name="_Toc496611036"/>
    </w:p>
    <w:p w14:paraId="4A7EE053" w14:textId="77777777" w:rsidR="00F45107" w:rsidRDefault="00F45107" w:rsidP="002B56CC">
      <w:pPr>
        <w:pStyle w:val="NoSpacing"/>
        <w:rPr>
          <w:rFonts w:ascii="Sylfaen" w:hAnsi="Sylfaen"/>
          <w:sz w:val="24"/>
          <w:szCs w:val="24"/>
        </w:rPr>
      </w:pPr>
    </w:p>
    <w:p w14:paraId="4F383628" w14:textId="53C73BD2" w:rsidR="00986CB9" w:rsidRDefault="00986CB9" w:rsidP="002B56CC">
      <w:pPr>
        <w:pStyle w:val="NoSpacing"/>
        <w:rPr>
          <w:rFonts w:ascii="Sylfaen" w:hAnsi="Sylfaen"/>
          <w:sz w:val="24"/>
          <w:szCs w:val="24"/>
        </w:rPr>
      </w:pPr>
    </w:p>
    <w:p w14:paraId="1D4EC58D" w14:textId="57276D78" w:rsidR="00986CB9" w:rsidRDefault="00986CB9" w:rsidP="002B56CC">
      <w:pPr>
        <w:pStyle w:val="NoSpacing"/>
        <w:rPr>
          <w:rFonts w:ascii="Sylfaen" w:hAnsi="Sylfaen"/>
          <w:sz w:val="24"/>
          <w:szCs w:val="24"/>
        </w:rPr>
      </w:pPr>
    </w:p>
    <w:p w14:paraId="1E9F84C4" w14:textId="71A29AC6" w:rsidR="00986CB9" w:rsidRDefault="00986CB9" w:rsidP="002B56CC">
      <w:pPr>
        <w:pStyle w:val="NoSpacing"/>
        <w:rPr>
          <w:rFonts w:ascii="Sylfaen" w:hAnsi="Sylfaen"/>
          <w:sz w:val="24"/>
          <w:szCs w:val="24"/>
        </w:rPr>
      </w:pPr>
    </w:p>
    <w:p w14:paraId="06189957" w14:textId="3AADC6E2" w:rsidR="00986CB9" w:rsidRDefault="00986CB9" w:rsidP="002B56CC">
      <w:pPr>
        <w:pStyle w:val="NoSpacing"/>
        <w:rPr>
          <w:rFonts w:ascii="Sylfaen" w:hAnsi="Sylfaen"/>
          <w:sz w:val="24"/>
          <w:szCs w:val="24"/>
        </w:rPr>
      </w:pPr>
    </w:p>
    <w:p w14:paraId="37B3A3EB" w14:textId="74231830" w:rsidR="00986CB9" w:rsidRDefault="00986CB9" w:rsidP="002B56CC">
      <w:pPr>
        <w:pStyle w:val="NoSpacing"/>
        <w:rPr>
          <w:rFonts w:ascii="Sylfaen" w:hAnsi="Sylfaen"/>
          <w:sz w:val="24"/>
          <w:szCs w:val="24"/>
        </w:rPr>
      </w:pPr>
    </w:p>
    <w:p w14:paraId="0163F1BC" w14:textId="0D186757" w:rsidR="00986CB9" w:rsidRDefault="00986CB9" w:rsidP="002B56CC">
      <w:pPr>
        <w:pStyle w:val="NoSpacing"/>
        <w:rPr>
          <w:rFonts w:ascii="Sylfaen" w:hAnsi="Sylfaen"/>
          <w:sz w:val="24"/>
          <w:szCs w:val="24"/>
        </w:rPr>
      </w:pPr>
    </w:p>
    <w:p w14:paraId="7C413B42" w14:textId="2D856EF1" w:rsidR="00680E6F" w:rsidRDefault="00680E6F" w:rsidP="002B56CC">
      <w:pPr>
        <w:pStyle w:val="NoSpacing"/>
        <w:rPr>
          <w:rFonts w:ascii="Sylfaen" w:hAnsi="Sylfaen"/>
          <w:sz w:val="24"/>
          <w:szCs w:val="24"/>
        </w:rPr>
      </w:pPr>
    </w:p>
    <w:p w14:paraId="72FDE884" w14:textId="2C137DF1" w:rsidR="00680E6F" w:rsidRDefault="00680E6F" w:rsidP="002B56CC">
      <w:pPr>
        <w:pStyle w:val="NoSpacing"/>
        <w:rPr>
          <w:rFonts w:ascii="Sylfaen" w:hAnsi="Sylfaen"/>
          <w:sz w:val="24"/>
          <w:szCs w:val="24"/>
        </w:rPr>
      </w:pPr>
    </w:p>
    <w:p w14:paraId="02D36437" w14:textId="4CA88E6D" w:rsidR="00680E6F" w:rsidRDefault="00680E6F" w:rsidP="002B56CC">
      <w:pPr>
        <w:pStyle w:val="NoSpacing"/>
        <w:rPr>
          <w:rFonts w:ascii="Sylfaen" w:hAnsi="Sylfaen"/>
          <w:sz w:val="24"/>
          <w:szCs w:val="24"/>
        </w:rPr>
      </w:pPr>
    </w:p>
    <w:p w14:paraId="796CBCF7" w14:textId="69EAD388" w:rsidR="00680E6F" w:rsidRDefault="00680E6F" w:rsidP="002B56CC">
      <w:pPr>
        <w:pStyle w:val="NoSpacing"/>
        <w:rPr>
          <w:rFonts w:ascii="Sylfaen" w:hAnsi="Sylfaen"/>
          <w:sz w:val="24"/>
          <w:szCs w:val="24"/>
        </w:rPr>
      </w:pPr>
    </w:p>
    <w:p w14:paraId="70C201F0" w14:textId="0AC8D391" w:rsidR="00680E6F" w:rsidRDefault="00680E6F" w:rsidP="002B56CC">
      <w:pPr>
        <w:pStyle w:val="NoSpacing"/>
        <w:rPr>
          <w:rFonts w:ascii="Sylfaen" w:hAnsi="Sylfaen"/>
          <w:sz w:val="24"/>
          <w:szCs w:val="24"/>
        </w:rPr>
      </w:pPr>
    </w:p>
    <w:p w14:paraId="55692722" w14:textId="5A032CD0" w:rsidR="00680E6F" w:rsidRDefault="00680E6F" w:rsidP="002B56CC">
      <w:pPr>
        <w:pStyle w:val="NoSpacing"/>
        <w:rPr>
          <w:rFonts w:ascii="Sylfaen" w:hAnsi="Sylfaen"/>
          <w:sz w:val="24"/>
          <w:szCs w:val="24"/>
        </w:rPr>
      </w:pPr>
    </w:p>
    <w:p w14:paraId="46DB07FF" w14:textId="5F8AB47D" w:rsidR="00680E6F" w:rsidRDefault="00680E6F" w:rsidP="002B56CC">
      <w:pPr>
        <w:pStyle w:val="NoSpacing"/>
        <w:rPr>
          <w:rFonts w:ascii="Sylfaen" w:hAnsi="Sylfaen"/>
          <w:sz w:val="24"/>
          <w:szCs w:val="24"/>
        </w:rPr>
      </w:pPr>
    </w:p>
    <w:p w14:paraId="673B0FF3" w14:textId="2996E17E" w:rsidR="00680E6F" w:rsidRDefault="00680E6F" w:rsidP="002B56CC">
      <w:pPr>
        <w:pStyle w:val="NoSpacing"/>
        <w:rPr>
          <w:rFonts w:ascii="Sylfaen" w:hAnsi="Sylfaen"/>
          <w:sz w:val="24"/>
          <w:szCs w:val="24"/>
        </w:rPr>
      </w:pPr>
    </w:p>
    <w:p w14:paraId="1C556D87" w14:textId="64128BF2" w:rsidR="00680E6F" w:rsidRDefault="00680E6F" w:rsidP="002B56CC">
      <w:pPr>
        <w:pStyle w:val="NoSpacing"/>
        <w:rPr>
          <w:rFonts w:ascii="Sylfaen" w:hAnsi="Sylfaen"/>
          <w:sz w:val="24"/>
          <w:szCs w:val="24"/>
        </w:rPr>
      </w:pPr>
    </w:p>
    <w:p w14:paraId="368FB33C" w14:textId="5BBE9825" w:rsidR="00680E6F" w:rsidRDefault="00680E6F" w:rsidP="002B56CC">
      <w:pPr>
        <w:pStyle w:val="NoSpacing"/>
        <w:rPr>
          <w:rFonts w:ascii="Sylfaen" w:hAnsi="Sylfaen"/>
          <w:sz w:val="24"/>
          <w:szCs w:val="24"/>
        </w:rPr>
      </w:pPr>
    </w:p>
    <w:p w14:paraId="39DFA0CE" w14:textId="1E4B5DA7" w:rsidR="00680E6F" w:rsidRDefault="00680E6F" w:rsidP="002B56CC">
      <w:pPr>
        <w:pStyle w:val="NoSpacing"/>
        <w:rPr>
          <w:rFonts w:ascii="Sylfaen" w:hAnsi="Sylfaen"/>
          <w:sz w:val="24"/>
          <w:szCs w:val="24"/>
        </w:rPr>
      </w:pPr>
    </w:p>
    <w:p w14:paraId="4C54A190" w14:textId="1B64D086" w:rsidR="00680E6F" w:rsidRDefault="00680E6F" w:rsidP="002B56CC">
      <w:pPr>
        <w:pStyle w:val="NoSpacing"/>
        <w:rPr>
          <w:rFonts w:ascii="Sylfaen" w:hAnsi="Sylfaen"/>
          <w:sz w:val="24"/>
          <w:szCs w:val="24"/>
        </w:rPr>
      </w:pPr>
    </w:p>
    <w:p w14:paraId="05A06CFD" w14:textId="6659C8E2" w:rsidR="00680E6F" w:rsidRDefault="00680E6F" w:rsidP="002B56CC">
      <w:pPr>
        <w:pStyle w:val="NoSpacing"/>
        <w:rPr>
          <w:rFonts w:ascii="Sylfaen" w:hAnsi="Sylfaen"/>
          <w:sz w:val="24"/>
          <w:szCs w:val="24"/>
        </w:rPr>
      </w:pPr>
    </w:p>
    <w:p w14:paraId="1D7C7AB1" w14:textId="1C5BBC1F" w:rsidR="00680E6F" w:rsidRDefault="00680E6F" w:rsidP="002B56CC">
      <w:pPr>
        <w:pStyle w:val="NoSpacing"/>
        <w:rPr>
          <w:rFonts w:ascii="Sylfaen" w:hAnsi="Sylfaen"/>
          <w:sz w:val="24"/>
          <w:szCs w:val="24"/>
        </w:rPr>
      </w:pPr>
    </w:p>
    <w:p w14:paraId="064CA724" w14:textId="2628E96C" w:rsidR="00680E6F" w:rsidRDefault="00680E6F" w:rsidP="002B56CC">
      <w:pPr>
        <w:pStyle w:val="NoSpacing"/>
        <w:rPr>
          <w:rFonts w:ascii="Sylfaen" w:hAnsi="Sylfaen"/>
          <w:sz w:val="24"/>
          <w:szCs w:val="24"/>
        </w:rPr>
      </w:pPr>
    </w:p>
    <w:p w14:paraId="0A8FA0D1" w14:textId="03348B01" w:rsidR="00680E6F" w:rsidRDefault="00680E6F" w:rsidP="002B56CC">
      <w:pPr>
        <w:pStyle w:val="NoSpacing"/>
        <w:rPr>
          <w:rFonts w:ascii="Sylfaen" w:hAnsi="Sylfaen"/>
          <w:sz w:val="24"/>
          <w:szCs w:val="24"/>
        </w:rPr>
      </w:pPr>
    </w:p>
    <w:p w14:paraId="11C54A02" w14:textId="094D2FC4" w:rsidR="00680E6F" w:rsidRDefault="00680E6F" w:rsidP="002B56CC">
      <w:pPr>
        <w:pStyle w:val="NoSpacing"/>
        <w:rPr>
          <w:rFonts w:ascii="Sylfaen" w:hAnsi="Sylfaen"/>
          <w:sz w:val="24"/>
          <w:szCs w:val="24"/>
        </w:rPr>
      </w:pPr>
    </w:p>
    <w:p w14:paraId="712E2993" w14:textId="78E2C059" w:rsidR="00680E6F" w:rsidRDefault="00680E6F" w:rsidP="002B56CC">
      <w:pPr>
        <w:pStyle w:val="NoSpacing"/>
        <w:rPr>
          <w:rFonts w:ascii="Sylfaen" w:hAnsi="Sylfaen"/>
          <w:sz w:val="24"/>
          <w:szCs w:val="24"/>
        </w:rPr>
      </w:pPr>
    </w:p>
    <w:p w14:paraId="2DFA1064" w14:textId="13DC538C" w:rsidR="00680E6F" w:rsidRDefault="00680E6F" w:rsidP="002B56CC">
      <w:pPr>
        <w:pStyle w:val="NoSpacing"/>
        <w:rPr>
          <w:rFonts w:ascii="Sylfaen" w:hAnsi="Sylfaen"/>
          <w:sz w:val="24"/>
          <w:szCs w:val="24"/>
        </w:rPr>
      </w:pPr>
    </w:p>
    <w:p w14:paraId="067DD005" w14:textId="56BF41EB" w:rsidR="00680E6F" w:rsidRDefault="00680E6F" w:rsidP="002B56CC">
      <w:pPr>
        <w:pStyle w:val="NoSpacing"/>
        <w:rPr>
          <w:rFonts w:ascii="Sylfaen" w:hAnsi="Sylfaen"/>
          <w:sz w:val="24"/>
          <w:szCs w:val="24"/>
        </w:rPr>
      </w:pPr>
    </w:p>
    <w:p w14:paraId="0250C3DE" w14:textId="69E4F4DA" w:rsidR="00680E6F" w:rsidRDefault="00680E6F" w:rsidP="002B56CC">
      <w:pPr>
        <w:pStyle w:val="NoSpacing"/>
        <w:rPr>
          <w:rFonts w:ascii="Sylfaen" w:hAnsi="Sylfaen"/>
          <w:sz w:val="24"/>
          <w:szCs w:val="24"/>
        </w:rPr>
      </w:pPr>
    </w:p>
    <w:p w14:paraId="0F924596" w14:textId="1CD2DE0C" w:rsidR="00680E6F" w:rsidRDefault="00680E6F" w:rsidP="002B56CC">
      <w:pPr>
        <w:pStyle w:val="NoSpacing"/>
        <w:rPr>
          <w:rFonts w:ascii="Sylfaen" w:hAnsi="Sylfaen"/>
          <w:sz w:val="24"/>
          <w:szCs w:val="24"/>
        </w:rPr>
      </w:pPr>
    </w:p>
    <w:p w14:paraId="609D20AA" w14:textId="77777777" w:rsidR="00680E6F" w:rsidRDefault="00680E6F" w:rsidP="002B56CC">
      <w:pPr>
        <w:pStyle w:val="NoSpacing"/>
        <w:rPr>
          <w:rFonts w:ascii="Sylfaen" w:hAnsi="Sylfaen"/>
          <w:sz w:val="24"/>
          <w:szCs w:val="24"/>
        </w:rPr>
      </w:pPr>
    </w:p>
    <w:p w14:paraId="4E0887AF" w14:textId="3D614B9C" w:rsidR="00986CB9" w:rsidRDefault="00986CB9" w:rsidP="002B56CC">
      <w:pPr>
        <w:pStyle w:val="NoSpacing"/>
        <w:rPr>
          <w:rFonts w:ascii="Sylfaen" w:hAnsi="Sylfaen"/>
          <w:sz w:val="24"/>
          <w:szCs w:val="24"/>
        </w:rPr>
      </w:pPr>
    </w:p>
    <w:p w14:paraId="589E6A90" w14:textId="54065D43" w:rsidR="00986CB9" w:rsidRDefault="00986CB9" w:rsidP="002B56CC">
      <w:pPr>
        <w:pStyle w:val="NoSpacing"/>
        <w:rPr>
          <w:rFonts w:ascii="Sylfaen" w:hAnsi="Sylfaen"/>
          <w:sz w:val="24"/>
          <w:szCs w:val="24"/>
        </w:rPr>
      </w:pPr>
    </w:p>
    <w:p w14:paraId="1334ACE2" w14:textId="3DEBEA0E" w:rsidR="00986CB9" w:rsidRDefault="00986CB9" w:rsidP="002B56CC">
      <w:pPr>
        <w:pStyle w:val="NoSpacing"/>
        <w:rPr>
          <w:rFonts w:ascii="Sylfaen" w:hAnsi="Sylfaen"/>
          <w:sz w:val="24"/>
          <w:szCs w:val="24"/>
        </w:rPr>
      </w:pPr>
    </w:p>
    <w:p w14:paraId="1E7EFBE5" w14:textId="5992BE27" w:rsidR="006B2E2A" w:rsidRDefault="006B2E2A" w:rsidP="002B56CC">
      <w:pPr>
        <w:pStyle w:val="NoSpacing"/>
        <w:rPr>
          <w:rFonts w:ascii="Sylfaen" w:hAnsi="Sylfaen"/>
          <w:sz w:val="24"/>
          <w:szCs w:val="24"/>
        </w:rPr>
      </w:pPr>
    </w:p>
    <w:p w14:paraId="6D95CFE8" w14:textId="229AF3FF" w:rsidR="006B2E2A" w:rsidRDefault="006B2E2A" w:rsidP="002B56CC">
      <w:pPr>
        <w:pStyle w:val="NoSpacing"/>
        <w:rPr>
          <w:rFonts w:ascii="Sylfaen" w:hAnsi="Sylfaen"/>
          <w:sz w:val="24"/>
          <w:szCs w:val="24"/>
        </w:rPr>
      </w:pPr>
    </w:p>
    <w:p w14:paraId="2D8F4BCA" w14:textId="77777777" w:rsidR="006B2E2A" w:rsidRDefault="006B2E2A" w:rsidP="002B56CC">
      <w:pPr>
        <w:pStyle w:val="NoSpacing"/>
        <w:rPr>
          <w:rFonts w:ascii="Sylfaen" w:hAnsi="Sylfaen"/>
          <w:sz w:val="24"/>
          <w:szCs w:val="24"/>
        </w:rPr>
      </w:pPr>
    </w:p>
    <w:p w14:paraId="54CCC788" w14:textId="753700A9" w:rsidR="00024DF4" w:rsidRDefault="00024DF4" w:rsidP="002B56CC">
      <w:pPr>
        <w:pStyle w:val="NoSpacing"/>
        <w:rPr>
          <w:rFonts w:ascii="Sylfaen" w:hAnsi="Sylfaen"/>
          <w:sz w:val="24"/>
          <w:szCs w:val="24"/>
        </w:rPr>
      </w:pPr>
    </w:p>
    <w:p w14:paraId="5A213CBE" w14:textId="2478C799" w:rsidR="007F2C2A" w:rsidRDefault="007F2C2A" w:rsidP="002B56CC">
      <w:pPr>
        <w:pStyle w:val="NoSpacing"/>
        <w:rPr>
          <w:rFonts w:ascii="Sylfaen" w:hAnsi="Sylfaen"/>
          <w:sz w:val="24"/>
          <w:szCs w:val="24"/>
        </w:rPr>
      </w:pPr>
    </w:p>
    <w:p w14:paraId="488DF739" w14:textId="77777777" w:rsidR="007F2C2A" w:rsidRDefault="007F2C2A" w:rsidP="002B56CC">
      <w:pPr>
        <w:pStyle w:val="NoSpacing"/>
        <w:rPr>
          <w:rFonts w:ascii="Sylfaen" w:hAnsi="Sylfaen"/>
          <w:sz w:val="24"/>
          <w:szCs w:val="24"/>
        </w:rPr>
      </w:pPr>
    </w:p>
    <w:p w14:paraId="3149CFB7" w14:textId="6C01D104" w:rsidR="005D3CC6" w:rsidRDefault="005D3CC6" w:rsidP="002B56CC">
      <w:pPr>
        <w:pStyle w:val="NoSpacing"/>
        <w:rPr>
          <w:rFonts w:ascii="Sylfaen" w:hAnsi="Sylfae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6514"/>
      </w:tblGrid>
      <w:tr w:rsidR="005D3CC6" w14:paraId="185E8365" w14:textId="77777777" w:rsidTr="00C6605E">
        <w:trPr>
          <w:trHeight w:val="1211"/>
        </w:trPr>
        <w:tc>
          <w:tcPr>
            <w:tcW w:w="2137" w:type="dxa"/>
            <w:hideMark/>
          </w:tcPr>
          <w:p w14:paraId="77505C2D" w14:textId="77777777" w:rsidR="005D3CC6" w:rsidRDefault="005D3CC6">
            <w:pPr>
              <w:autoSpaceDE w:val="0"/>
              <w:autoSpaceDN w:val="0"/>
              <w:adjustRightInd w:val="0"/>
              <w:spacing w:line="270" w:lineRule="atLeast"/>
              <w:rPr>
                <w:rFonts w:ascii="Sylfaen" w:hAnsi="Sylfaen"/>
                <w:b/>
                <w:color w:val="000000"/>
                <w:szCs w:val="22"/>
                <w:lang w:val="ka-GE" w:eastAsia="en-GB"/>
              </w:rPr>
            </w:pPr>
            <w:r>
              <w:rPr>
                <w:rFonts w:ascii="Sylfaen" w:hAnsi="Sylfaen" w:cs="Sylfaen"/>
                <w:b/>
                <w:color w:val="000000"/>
                <w:szCs w:val="22"/>
                <w:lang w:val="ka-GE"/>
              </w:rPr>
              <w:t>დოკუმენტის</w:t>
            </w:r>
            <w:r>
              <w:rPr>
                <w:b/>
                <w:color w:val="000000"/>
                <w:szCs w:val="22"/>
                <w:lang w:val="ka-GE"/>
              </w:rPr>
              <w:t xml:space="preserve"> </w:t>
            </w:r>
            <w:r>
              <w:rPr>
                <w:rFonts w:ascii="Sylfaen" w:hAnsi="Sylfaen" w:cs="Sylfaen"/>
                <w:b/>
                <w:color w:val="000000"/>
                <w:szCs w:val="22"/>
                <w:lang w:val="ka-GE"/>
              </w:rPr>
              <w:t>დასახელება</w:t>
            </w:r>
            <w:r>
              <w:rPr>
                <w:b/>
                <w:color w:val="000000"/>
                <w:szCs w:val="22"/>
                <w:lang w:val="ka-GE"/>
              </w:rPr>
              <w:t>:</w:t>
            </w:r>
          </w:p>
        </w:tc>
        <w:tc>
          <w:tcPr>
            <w:tcW w:w="6514" w:type="dxa"/>
          </w:tcPr>
          <w:p w14:paraId="0467EB5B" w14:textId="1F095D97" w:rsidR="005D3CC6" w:rsidRDefault="00373702">
            <w:pPr>
              <w:autoSpaceDE w:val="0"/>
              <w:autoSpaceDN w:val="0"/>
              <w:adjustRightInd w:val="0"/>
              <w:spacing w:line="270" w:lineRule="atLeast"/>
              <w:rPr>
                <w:rFonts w:ascii="Sylfaen" w:hAnsi="Sylfaen"/>
                <w:lang w:val="ka-GE"/>
              </w:rPr>
            </w:pPr>
            <w:r>
              <w:rPr>
                <w:rFonts w:ascii="Sylfaen" w:hAnsi="Sylfaen"/>
                <w:lang w:val="ka-GE"/>
              </w:rPr>
              <w:t xml:space="preserve">გურჯაანის </w:t>
            </w:r>
            <w:r w:rsidR="005D3CC6">
              <w:rPr>
                <w:rFonts w:ascii="Sylfaen" w:hAnsi="Sylfaen"/>
                <w:lang w:val="ka-GE"/>
              </w:rPr>
              <w:t>(ჩუმლაყი)</w:t>
            </w:r>
            <w:r>
              <w:rPr>
                <w:rFonts w:ascii="Sylfaen" w:hAnsi="Sylfaen"/>
                <w:lang w:val="ka-GE"/>
              </w:rPr>
              <w:t xml:space="preserve"> - თელავი </w:t>
            </w:r>
            <w:r w:rsidR="005D3CC6">
              <w:rPr>
                <w:rFonts w:ascii="Sylfaen" w:hAnsi="Sylfaen"/>
                <w:lang w:val="ka-GE"/>
              </w:rPr>
              <w:t>(30კმ) გზის მონაკვეთის გარემოზე ზემოქმედების შეფასება</w:t>
            </w:r>
          </w:p>
          <w:p w14:paraId="05D6B15A" w14:textId="6D0F70D1" w:rsidR="005D3CC6" w:rsidRDefault="005D3CC6">
            <w:pPr>
              <w:autoSpaceDE w:val="0"/>
              <w:autoSpaceDN w:val="0"/>
              <w:adjustRightInd w:val="0"/>
              <w:spacing w:line="270" w:lineRule="atLeast"/>
              <w:rPr>
                <w:rFonts w:ascii="Sylfaen" w:hAnsi="Sylfaen"/>
                <w:color w:val="000000"/>
                <w:szCs w:val="22"/>
                <w:lang w:val="ka-GE"/>
              </w:rPr>
            </w:pPr>
          </w:p>
        </w:tc>
      </w:tr>
      <w:tr w:rsidR="005D3CC6" w14:paraId="0B7B0740" w14:textId="77777777" w:rsidTr="00C6605E">
        <w:trPr>
          <w:trHeight w:val="1732"/>
        </w:trPr>
        <w:tc>
          <w:tcPr>
            <w:tcW w:w="2137" w:type="dxa"/>
            <w:hideMark/>
          </w:tcPr>
          <w:p w14:paraId="7CE367EB" w14:textId="77777777" w:rsidR="005D3CC6" w:rsidRDefault="005D3CC6">
            <w:pPr>
              <w:autoSpaceDE w:val="0"/>
              <w:autoSpaceDN w:val="0"/>
              <w:adjustRightInd w:val="0"/>
              <w:rPr>
                <w:b/>
                <w:color w:val="000000"/>
                <w:szCs w:val="22"/>
                <w:lang w:val="ka-GE"/>
              </w:rPr>
            </w:pPr>
            <w:r>
              <w:rPr>
                <w:rFonts w:ascii="Sylfaen" w:hAnsi="Sylfaen" w:cs="Sylfaen"/>
                <w:b/>
                <w:color w:val="000000"/>
                <w:szCs w:val="22"/>
                <w:lang w:val="ka-GE"/>
              </w:rPr>
              <w:t>მომზადებულია</w:t>
            </w:r>
            <w:r>
              <w:rPr>
                <w:b/>
                <w:color w:val="000000"/>
                <w:szCs w:val="22"/>
                <w:lang w:val="ka-GE"/>
              </w:rPr>
              <w:t xml:space="preserve">: </w:t>
            </w:r>
          </w:p>
        </w:tc>
        <w:tc>
          <w:tcPr>
            <w:tcW w:w="6514" w:type="dxa"/>
          </w:tcPr>
          <w:p w14:paraId="23C6D919" w14:textId="454F1C4C" w:rsidR="005D3CC6" w:rsidRDefault="005D3CC6" w:rsidP="005D3CC6">
            <w:pPr>
              <w:pStyle w:val="Header"/>
              <w:rPr>
                <w:rFonts w:ascii="Sylfaen" w:hAnsi="Sylfaen"/>
                <w:lang w:val="ka-GE"/>
              </w:rPr>
            </w:pPr>
            <w:r w:rsidRPr="000321C7">
              <w:rPr>
                <w:rFonts w:ascii="Times New Roman" w:hAnsi="Times New Roman"/>
                <w:spacing w:val="-2"/>
              </w:rPr>
              <w:t xml:space="preserve">Kocks Consult GMBH        </w:t>
            </w:r>
            <w:r>
              <w:rPr>
                <w:rFonts w:ascii="AcadNusx" w:hAnsi="AcadNusx"/>
                <w:b/>
                <w:noProof/>
                <w:sz w:val="18"/>
                <w:szCs w:val="18"/>
                <w:lang w:val="en-US" w:eastAsia="en-US"/>
              </w:rPr>
              <w:drawing>
                <wp:inline distT="0" distB="0" distL="0" distR="0" wp14:anchorId="5EB6BEE9" wp14:editId="0B1B8EE4">
                  <wp:extent cx="422910" cy="344805"/>
                  <wp:effectExtent l="0" t="0" r="0" b="0"/>
                  <wp:docPr id="6" name="Picture 6" descr="kocks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 descr="kocks_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2910" cy="344805"/>
                          </a:xfrm>
                          <a:prstGeom prst="rect">
                            <a:avLst/>
                          </a:prstGeom>
                          <a:noFill/>
                          <a:ln>
                            <a:noFill/>
                          </a:ln>
                        </pic:spPr>
                      </pic:pic>
                    </a:graphicData>
                  </a:graphic>
                </wp:inline>
              </w:drawing>
            </w:r>
          </w:p>
          <w:p w14:paraId="6ED20E49" w14:textId="77777777" w:rsidR="005D3CC6" w:rsidRDefault="005D3CC6">
            <w:pPr>
              <w:autoSpaceDE w:val="0"/>
              <w:autoSpaceDN w:val="0"/>
              <w:adjustRightInd w:val="0"/>
              <w:spacing w:line="270" w:lineRule="atLeast"/>
              <w:rPr>
                <w:color w:val="000000"/>
                <w:szCs w:val="22"/>
                <w:lang w:val="ka-GE"/>
              </w:rPr>
            </w:pPr>
          </w:p>
        </w:tc>
      </w:tr>
      <w:tr w:rsidR="005D3CC6" w14:paraId="4017BEB9" w14:textId="77777777" w:rsidTr="00C6605E">
        <w:trPr>
          <w:trHeight w:val="1379"/>
        </w:trPr>
        <w:tc>
          <w:tcPr>
            <w:tcW w:w="2137" w:type="dxa"/>
            <w:hideMark/>
          </w:tcPr>
          <w:p w14:paraId="09D1D821" w14:textId="77777777" w:rsidR="005D3CC6" w:rsidRDefault="005D3CC6">
            <w:pPr>
              <w:autoSpaceDE w:val="0"/>
              <w:autoSpaceDN w:val="0"/>
              <w:adjustRightInd w:val="0"/>
              <w:spacing w:line="270" w:lineRule="atLeast"/>
              <w:rPr>
                <w:b/>
                <w:color w:val="000000"/>
                <w:szCs w:val="22"/>
                <w:lang w:val="ka-GE"/>
              </w:rPr>
            </w:pPr>
            <w:r>
              <w:rPr>
                <w:rFonts w:ascii="Sylfaen" w:hAnsi="Sylfaen" w:cs="Sylfaen"/>
                <w:b/>
                <w:color w:val="000000"/>
                <w:szCs w:val="22"/>
                <w:lang w:val="ka-GE"/>
              </w:rPr>
              <w:t>მომზადების</w:t>
            </w:r>
            <w:r>
              <w:rPr>
                <w:b/>
                <w:color w:val="000000"/>
                <w:szCs w:val="22"/>
                <w:lang w:val="ka-GE"/>
              </w:rPr>
              <w:t xml:space="preserve"> </w:t>
            </w:r>
            <w:r>
              <w:rPr>
                <w:rFonts w:ascii="Sylfaen" w:hAnsi="Sylfaen" w:cs="Sylfaen"/>
                <w:b/>
                <w:color w:val="000000"/>
                <w:szCs w:val="22"/>
                <w:lang w:val="ka-GE"/>
              </w:rPr>
              <w:t>თარიღი</w:t>
            </w:r>
            <w:r>
              <w:rPr>
                <w:b/>
                <w:color w:val="000000"/>
                <w:szCs w:val="22"/>
                <w:lang w:val="ka-GE"/>
              </w:rPr>
              <w:t>:</w:t>
            </w:r>
          </w:p>
        </w:tc>
        <w:tc>
          <w:tcPr>
            <w:tcW w:w="6514" w:type="dxa"/>
          </w:tcPr>
          <w:p w14:paraId="5F23205A" w14:textId="77777777" w:rsidR="00C6605E" w:rsidRDefault="00C6605E" w:rsidP="00C6605E">
            <w:pPr>
              <w:spacing w:before="200" w:after="200"/>
              <w:rPr>
                <w:rFonts w:ascii="Sylfaen" w:hAnsi="Sylfaen"/>
                <w:sz w:val="24"/>
                <w:lang w:val="ka-GE"/>
              </w:rPr>
            </w:pPr>
            <w:r>
              <w:rPr>
                <w:rFonts w:ascii="Sylfaen" w:hAnsi="Sylfaen"/>
                <w:sz w:val="24"/>
                <w:lang w:val="ka-GE"/>
              </w:rPr>
              <w:t>თებერვალი 2019</w:t>
            </w:r>
          </w:p>
          <w:p w14:paraId="56F2EA6A" w14:textId="77777777" w:rsidR="005D3CC6" w:rsidRDefault="005D3CC6">
            <w:pPr>
              <w:autoSpaceDE w:val="0"/>
              <w:autoSpaceDN w:val="0"/>
              <w:adjustRightInd w:val="0"/>
              <w:spacing w:line="270" w:lineRule="atLeast"/>
              <w:rPr>
                <w:color w:val="000000"/>
                <w:szCs w:val="22"/>
                <w:lang w:val="ka-GE"/>
              </w:rPr>
            </w:pPr>
          </w:p>
        </w:tc>
      </w:tr>
    </w:tbl>
    <w:p w14:paraId="1CBC8250" w14:textId="1A5D0BEC" w:rsidR="005D3CC6" w:rsidRDefault="005D3CC6" w:rsidP="002B56CC">
      <w:pPr>
        <w:pStyle w:val="NoSpacing"/>
        <w:rPr>
          <w:rFonts w:ascii="Sylfaen" w:hAnsi="Sylfaen"/>
          <w:sz w:val="24"/>
          <w:szCs w:val="24"/>
        </w:rPr>
      </w:pPr>
    </w:p>
    <w:p w14:paraId="7E9F1DB2" w14:textId="5B437964" w:rsidR="005D3CC6" w:rsidRDefault="005D3CC6" w:rsidP="002B56CC">
      <w:pPr>
        <w:pStyle w:val="NoSpacing"/>
        <w:rPr>
          <w:rFonts w:ascii="Sylfaen" w:hAnsi="Sylfaen"/>
          <w:sz w:val="24"/>
          <w:szCs w:val="24"/>
        </w:rPr>
      </w:pPr>
    </w:p>
    <w:p w14:paraId="4694EA0A" w14:textId="0D7ECE8C" w:rsidR="005D3CC6" w:rsidRDefault="005D3CC6" w:rsidP="002B56CC">
      <w:pPr>
        <w:pStyle w:val="NoSpacing"/>
        <w:rPr>
          <w:rFonts w:ascii="Sylfaen" w:hAnsi="Sylfaen"/>
          <w:sz w:val="24"/>
          <w:szCs w:val="24"/>
        </w:rPr>
      </w:pPr>
    </w:p>
    <w:p w14:paraId="54C67785" w14:textId="65DE30AA" w:rsidR="005D3CC6" w:rsidRDefault="005D3CC6" w:rsidP="002B56CC">
      <w:pPr>
        <w:pStyle w:val="NoSpacing"/>
        <w:rPr>
          <w:rFonts w:ascii="Sylfaen" w:hAnsi="Sylfaen"/>
          <w:sz w:val="24"/>
          <w:szCs w:val="24"/>
        </w:rPr>
      </w:pPr>
    </w:p>
    <w:p w14:paraId="17FDD595" w14:textId="252ED0FD" w:rsidR="005D3CC6" w:rsidRDefault="005D3CC6" w:rsidP="002B56CC">
      <w:pPr>
        <w:pStyle w:val="NoSpacing"/>
        <w:rPr>
          <w:rFonts w:ascii="Sylfaen" w:hAnsi="Sylfaen"/>
          <w:sz w:val="24"/>
          <w:szCs w:val="24"/>
        </w:rPr>
      </w:pPr>
    </w:p>
    <w:p w14:paraId="101447D7" w14:textId="20A4F488" w:rsidR="005D3CC6" w:rsidRDefault="005D3CC6" w:rsidP="002B56CC">
      <w:pPr>
        <w:pStyle w:val="NoSpacing"/>
        <w:rPr>
          <w:rFonts w:ascii="Sylfaen" w:hAnsi="Sylfaen"/>
          <w:sz w:val="24"/>
          <w:szCs w:val="24"/>
        </w:rPr>
      </w:pPr>
    </w:p>
    <w:p w14:paraId="7345BF06" w14:textId="249C9515" w:rsidR="005D3CC6" w:rsidRDefault="005D3CC6" w:rsidP="002B56CC">
      <w:pPr>
        <w:pStyle w:val="NoSpacing"/>
        <w:rPr>
          <w:rFonts w:ascii="Sylfaen" w:hAnsi="Sylfaen"/>
          <w:sz w:val="24"/>
          <w:szCs w:val="24"/>
        </w:rPr>
      </w:pPr>
    </w:p>
    <w:p w14:paraId="260FFF80" w14:textId="2162B2FB" w:rsidR="005D3CC6" w:rsidRDefault="005D3CC6" w:rsidP="002B56CC">
      <w:pPr>
        <w:pStyle w:val="NoSpacing"/>
        <w:rPr>
          <w:rFonts w:ascii="Sylfaen" w:hAnsi="Sylfaen"/>
          <w:sz w:val="24"/>
          <w:szCs w:val="24"/>
        </w:rPr>
      </w:pPr>
    </w:p>
    <w:p w14:paraId="6278F929" w14:textId="300F8344" w:rsidR="005D3CC6" w:rsidRDefault="005D3CC6" w:rsidP="002B56CC">
      <w:pPr>
        <w:pStyle w:val="NoSpacing"/>
        <w:rPr>
          <w:rFonts w:ascii="Sylfaen" w:hAnsi="Sylfaen"/>
          <w:sz w:val="24"/>
          <w:szCs w:val="24"/>
        </w:rPr>
      </w:pPr>
    </w:p>
    <w:p w14:paraId="5E2B8691" w14:textId="74EAADCB" w:rsidR="005D3CC6" w:rsidRDefault="005D3CC6" w:rsidP="002B56CC">
      <w:pPr>
        <w:pStyle w:val="NoSpacing"/>
        <w:rPr>
          <w:rFonts w:ascii="Sylfaen" w:hAnsi="Sylfaen"/>
          <w:sz w:val="24"/>
          <w:szCs w:val="24"/>
        </w:rPr>
      </w:pPr>
    </w:p>
    <w:p w14:paraId="6A1A3104" w14:textId="0AA9E4F4" w:rsidR="005D3CC6" w:rsidRDefault="005D3CC6" w:rsidP="002B56CC">
      <w:pPr>
        <w:pStyle w:val="NoSpacing"/>
        <w:rPr>
          <w:rFonts w:ascii="Sylfaen" w:hAnsi="Sylfaen"/>
          <w:sz w:val="24"/>
          <w:szCs w:val="24"/>
        </w:rPr>
      </w:pPr>
    </w:p>
    <w:p w14:paraId="32C10FF3" w14:textId="018BC941" w:rsidR="005D3CC6" w:rsidRDefault="005D3CC6" w:rsidP="002B56CC">
      <w:pPr>
        <w:pStyle w:val="NoSpacing"/>
        <w:rPr>
          <w:rFonts w:ascii="Sylfaen" w:hAnsi="Sylfaen"/>
          <w:sz w:val="24"/>
          <w:szCs w:val="24"/>
        </w:rPr>
      </w:pPr>
    </w:p>
    <w:p w14:paraId="6AB46753" w14:textId="2DED4D17" w:rsidR="005D3CC6" w:rsidRDefault="005D3CC6" w:rsidP="002B56CC">
      <w:pPr>
        <w:pStyle w:val="NoSpacing"/>
        <w:rPr>
          <w:rFonts w:ascii="Sylfaen" w:hAnsi="Sylfaen"/>
          <w:sz w:val="24"/>
          <w:szCs w:val="24"/>
        </w:rPr>
      </w:pPr>
    </w:p>
    <w:p w14:paraId="03B336F6" w14:textId="3F8775A7" w:rsidR="005D3CC6" w:rsidRDefault="005D3CC6" w:rsidP="002B56CC">
      <w:pPr>
        <w:pStyle w:val="NoSpacing"/>
        <w:rPr>
          <w:rFonts w:ascii="Sylfaen" w:hAnsi="Sylfaen"/>
          <w:sz w:val="24"/>
          <w:szCs w:val="24"/>
        </w:rPr>
      </w:pPr>
    </w:p>
    <w:p w14:paraId="4AB96361" w14:textId="5F85FB21" w:rsidR="005D3CC6" w:rsidRDefault="005D3CC6" w:rsidP="002B56CC">
      <w:pPr>
        <w:pStyle w:val="NoSpacing"/>
        <w:rPr>
          <w:rFonts w:ascii="Sylfaen" w:hAnsi="Sylfaen"/>
          <w:sz w:val="24"/>
          <w:szCs w:val="24"/>
        </w:rPr>
      </w:pPr>
    </w:p>
    <w:p w14:paraId="3200034C" w14:textId="160CC315" w:rsidR="006B2E2A" w:rsidRDefault="006B2E2A" w:rsidP="002B56CC">
      <w:pPr>
        <w:pStyle w:val="NoSpacing"/>
        <w:rPr>
          <w:rFonts w:ascii="Sylfaen" w:hAnsi="Sylfaen"/>
          <w:sz w:val="24"/>
          <w:szCs w:val="24"/>
        </w:rPr>
      </w:pPr>
    </w:p>
    <w:p w14:paraId="02A4BDD2" w14:textId="58B7EAAD" w:rsidR="006B2E2A" w:rsidRDefault="006B2E2A" w:rsidP="002B56CC">
      <w:pPr>
        <w:pStyle w:val="NoSpacing"/>
        <w:rPr>
          <w:rFonts w:ascii="Sylfaen" w:hAnsi="Sylfaen"/>
          <w:sz w:val="24"/>
          <w:szCs w:val="24"/>
        </w:rPr>
      </w:pPr>
    </w:p>
    <w:p w14:paraId="22B2DC8B" w14:textId="29E7040F" w:rsidR="006B2E2A" w:rsidRDefault="006B2E2A" w:rsidP="002B56CC">
      <w:pPr>
        <w:pStyle w:val="NoSpacing"/>
        <w:rPr>
          <w:rFonts w:ascii="Sylfaen" w:hAnsi="Sylfaen"/>
          <w:sz w:val="24"/>
          <w:szCs w:val="24"/>
        </w:rPr>
      </w:pPr>
    </w:p>
    <w:p w14:paraId="1E93729E" w14:textId="3DABD05F" w:rsidR="006B2E2A" w:rsidRDefault="006B2E2A" w:rsidP="002B56CC">
      <w:pPr>
        <w:pStyle w:val="NoSpacing"/>
        <w:rPr>
          <w:rFonts w:ascii="Sylfaen" w:hAnsi="Sylfaen"/>
          <w:sz w:val="24"/>
          <w:szCs w:val="24"/>
        </w:rPr>
      </w:pPr>
    </w:p>
    <w:p w14:paraId="08BCB0DA" w14:textId="77777777" w:rsidR="00C6605E" w:rsidRDefault="00C6605E" w:rsidP="002B56CC">
      <w:pPr>
        <w:pStyle w:val="NoSpacing"/>
        <w:rPr>
          <w:rFonts w:ascii="Sylfaen" w:hAnsi="Sylfaen"/>
          <w:sz w:val="24"/>
          <w:szCs w:val="24"/>
        </w:rPr>
        <w:sectPr w:rsidR="00C6605E" w:rsidSect="005C724D">
          <w:headerReference w:type="default" r:id="rId12"/>
          <w:footerReference w:type="default" r:id="rId13"/>
          <w:headerReference w:type="first" r:id="rId14"/>
          <w:footerReference w:type="first" r:id="rId15"/>
          <w:pgSz w:w="11900" w:h="16840"/>
          <w:pgMar w:top="1417" w:right="560" w:bottom="1134" w:left="900" w:header="708" w:footer="708" w:gutter="0"/>
          <w:pgNumType w:fmt="lowerRoman" w:start="1"/>
          <w:cols w:space="720"/>
          <w:titlePg/>
          <w:docGrid w:linePitch="299"/>
        </w:sectPr>
      </w:pPr>
    </w:p>
    <w:p w14:paraId="1DB5B328" w14:textId="6CFD88DC" w:rsidR="00F45107" w:rsidRPr="001D2B74" w:rsidRDefault="00F45107" w:rsidP="001D2B74">
      <w:pPr>
        <w:pStyle w:val="EIAH1"/>
        <w:rPr>
          <w:rFonts w:eastAsia="Arial"/>
        </w:rPr>
      </w:pPr>
      <w:bookmarkStart w:id="1" w:name="_Toc1581480"/>
      <w:bookmarkEnd w:id="0"/>
      <w:r w:rsidRPr="001D2B74">
        <w:rPr>
          <w:rFonts w:eastAsia="Arial"/>
        </w:rPr>
        <w:lastRenderedPageBreak/>
        <w:t>შესავალი</w:t>
      </w:r>
      <w:bookmarkEnd w:id="1"/>
    </w:p>
    <w:p w14:paraId="28E2EA79" w14:textId="77777777" w:rsidR="00D848EC" w:rsidRDefault="00D848EC" w:rsidP="00DA02CD">
      <w:pPr>
        <w:spacing w:after="120"/>
        <w:rPr>
          <w:rFonts w:ascii="Sylfaen" w:hAnsi="Sylfaen" w:cs="Sylfaen"/>
          <w:szCs w:val="22"/>
          <w:lang w:val="ka-GE"/>
        </w:rPr>
      </w:pPr>
      <w:r>
        <w:rPr>
          <w:rFonts w:ascii="Sylfaen" w:hAnsi="Sylfaen" w:cs="Sylfaen"/>
          <w:szCs w:val="22"/>
          <w:lang w:val="ka-GE"/>
        </w:rPr>
        <w:t xml:space="preserve">2011 წლიდან  საქართველოს მთავრობის უმნიშვნელოვანეს პრიორიტეტს წარმოადგენდა საქართველოს, როგორც ტრანზიტული ქვეყნის კონკურენტუნარიანობის განვითარება მისი სატრანსპორტო კორიდორების გაუმჯობესების გზით. აღნიშნული მიმდინარე პროცესი მომავალშიც წარმატებით წარიმართება.  </w:t>
      </w:r>
    </w:p>
    <w:p w14:paraId="2449FA80" w14:textId="77777777" w:rsidR="00D848EC" w:rsidRDefault="00D848EC" w:rsidP="00D848EC">
      <w:pPr>
        <w:rPr>
          <w:rFonts w:ascii="Sylfaen" w:hAnsi="Sylfaen" w:cs="Sylfaen"/>
          <w:szCs w:val="22"/>
          <w:lang w:val="ka-GE"/>
        </w:rPr>
      </w:pPr>
      <w:r>
        <w:rPr>
          <w:rFonts w:ascii="Sylfaen" w:hAnsi="Sylfaen" w:cs="Sylfaen"/>
          <w:szCs w:val="22"/>
          <w:lang w:val="ka-GE"/>
        </w:rPr>
        <w:t xml:space="preserve">ქვეყნის ეკონომიკური განვითარების თვალსაზრისით, მეზობელ ქვეყნებთან ვაჭრობის ხელშეწყობასა და ტურიზმის ინფრასტრუქტურის განვითარებას უმთავრესი როლი ენიჭება, ამ მხრივ კი, როგორც სახელმწიფო ასევე ადგილობრივი მნიშვნელობის საგზაო ქსელის გაუმჯობესება მნიშვნელოვან ფაქტორებს განაპირობებს. სატრანსპორტო სექტორის განვითარება აუცილებელია სათანადო ეკონომიკური ზრდისთვის, და საქართველოს მოსახლეობის ცხოვრების პირობების გასაუმჯობესებლად. </w:t>
      </w:r>
    </w:p>
    <w:p w14:paraId="451BD279" w14:textId="77777777" w:rsidR="00D848EC" w:rsidRDefault="00D848EC" w:rsidP="00D848EC">
      <w:pPr>
        <w:spacing w:before="200" w:after="200"/>
        <w:rPr>
          <w:rFonts w:ascii="Sylfaen" w:hAnsi="Sylfaen" w:cs="Sylfaen"/>
          <w:szCs w:val="22"/>
          <w:lang w:val="ka-GE"/>
        </w:rPr>
      </w:pPr>
      <w:r>
        <w:rPr>
          <w:rFonts w:ascii="Sylfaen" w:hAnsi="Sylfaen" w:cs="Sylfaen"/>
          <w:szCs w:val="22"/>
          <w:lang w:val="ka-GE"/>
        </w:rPr>
        <w:t xml:space="preserve">საქართველოს მთავრობის გეგმა შეინარჩუნოს მაღალი ეკონომიკური განვითარება საქონლის გადაადგილების, ტურიზმის ზრდის, აგრო წარმოების მხარდაჭერით, ქვეყნის საგზაო სექტორს გამოწვევების წინაშე აყენებს: ა) ეკონომიკის მხარდაჭერისათვის საჭირო საგზაო ინფრასტრუქტურის ფორმირებისათვის საჭიროა მნიშვნელოვანი ინვესტიციები; ბ) საჭიროა საჭირო რესურსების გამოყენების პრიორიტეტების განსაზღვრა საგზაო აქტივების შენარჩუნების გრძელვადიანი პირობისათვის; გ) საჭიროა ლოკალური  დამაკავშირებელი ინფრასტრუქტურის გაუმჯობესება, რათა სოფლის მოსახლეობისთვის ადვილად ხელმისაწვდომი გახდეს სავაჭრო ობიექტებთან მისასვლელი გზები და დ) საგზაო სექტორში ინვესტიციების გაზრდამ უნდა შექმნას დამატებითი სამუშაო ადგილები. </w:t>
      </w:r>
    </w:p>
    <w:p w14:paraId="57663ADB" w14:textId="036FB4AB" w:rsidR="00D848EC" w:rsidRDefault="009F6AAF" w:rsidP="00D848EC">
      <w:pPr>
        <w:widowControl w:val="0"/>
        <w:autoSpaceDE w:val="0"/>
        <w:autoSpaceDN w:val="0"/>
        <w:adjustRightInd w:val="0"/>
        <w:spacing w:before="200" w:after="200"/>
        <w:rPr>
          <w:rStyle w:val="shorttext"/>
          <w:rFonts w:eastAsia="Calibri"/>
        </w:rPr>
      </w:pPr>
      <w:r>
        <w:rPr>
          <w:rFonts w:ascii="Sylfaen" w:hAnsi="Sylfaen"/>
          <w:lang w:val="ka-GE"/>
        </w:rPr>
        <w:t>გურჯაანის (ჩუმლაყი)</w:t>
      </w:r>
      <w:r>
        <w:rPr>
          <w:rFonts w:ascii="Sylfaen" w:hAnsi="Sylfaen"/>
          <w:lang w:val="en-US"/>
        </w:rPr>
        <w:t>-</w:t>
      </w:r>
      <w:r>
        <w:rPr>
          <w:rFonts w:ascii="Sylfaen" w:hAnsi="Sylfaen"/>
          <w:lang w:val="ka-GE"/>
        </w:rPr>
        <w:t xml:space="preserve">თელავის </w:t>
      </w:r>
      <w:r w:rsidR="00D848EC">
        <w:rPr>
          <w:rStyle w:val="shorttext"/>
          <w:rFonts w:ascii="Sylfaen" w:eastAsia="Calibri" w:hAnsi="Sylfaen" w:cs="Sylfaen"/>
          <w:lang w:val="ka-GE"/>
        </w:rPr>
        <w:t xml:space="preserve">გზის მონაკვეთის მშენებლობა წარმოადგენს საქართველოში ინფრასტრუქტურის განვითარების ეროვნული გეგმის ნაწილს. ტექნიკური კვლევები, სამშენებლო პროექტები, სოციალური და გარემოსდაცვითი კვლევები გზის მშენებლობისთვის განხორციელდა მსოფლიო ბანკის მიერ დაფინანსებული მესამე შიდასახელმწიფოებრივი და ადგილობრივი გზების პროექტის ფარგლებში (SLRPIII). მუშაობა ფიზიკური სამუშაოების დაფინანსების საკითხზე მიმდინარეობს.  წინამდებარე გარემოსდაცვითი და სოციალური ზემოქმედების შეფასების ანგარიში და გარემოსდაცვითი და სოციალური მენეჯმენტის გეგმა  მომზადდა  საქართველოს კანონმდებლობის, მსოფლიო ბანკის უსაფრთხოების პოლიტიკისა და საერთაშორისოდ მიღებული პრაქტიკის შესაბამისად.  </w:t>
      </w:r>
    </w:p>
    <w:p w14:paraId="4E865E08" w14:textId="27CECD64" w:rsidR="00DA02CD" w:rsidRPr="00DA02CD" w:rsidRDefault="00DA02CD" w:rsidP="00DA02CD">
      <w:pPr>
        <w:spacing w:before="120" w:after="120"/>
        <w:rPr>
          <w:rStyle w:val="shorttext"/>
          <w:rFonts w:ascii="Sylfaen" w:eastAsia="Calibri" w:hAnsi="Sylfaen" w:cs="Sylfaen"/>
        </w:rPr>
      </w:pPr>
      <w:r w:rsidRPr="00DA02CD">
        <w:rPr>
          <w:rStyle w:val="shorttext"/>
          <w:rFonts w:ascii="Sylfaen" w:eastAsia="Calibri" w:hAnsi="Sylfaen" w:cs="Sylfaen"/>
        </w:rPr>
        <w:t xml:space="preserve">წინამდებარე გზშ ანგარიში მომზადდა </w:t>
      </w:r>
      <w:r>
        <w:rPr>
          <w:rFonts w:ascii="Sylfaen" w:hAnsi="Sylfaen"/>
          <w:lang w:val="ka-GE"/>
        </w:rPr>
        <w:t>გურჯაანის (ჩუმლაყი)</w:t>
      </w:r>
      <w:r>
        <w:rPr>
          <w:rFonts w:ascii="Sylfaen" w:hAnsi="Sylfaen"/>
          <w:lang w:val="en-US"/>
        </w:rPr>
        <w:t>-</w:t>
      </w:r>
      <w:r>
        <w:rPr>
          <w:rFonts w:ascii="Sylfaen" w:hAnsi="Sylfaen"/>
          <w:lang w:val="ka-GE"/>
        </w:rPr>
        <w:t xml:space="preserve">თელავის </w:t>
      </w:r>
      <w:r w:rsidRPr="00DA02CD">
        <w:rPr>
          <w:rStyle w:val="shorttext"/>
          <w:rFonts w:ascii="Sylfaen" w:eastAsia="Calibri" w:hAnsi="Sylfaen" w:cs="Sylfaen"/>
        </w:rPr>
        <w:t xml:space="preserve">გზის მონაკვეთის </w:t>
      </w:r>
      <w:r>
        <w:rPr>
          <w:rStyle w:val="shorttext"/>
          <w:rFonts w:ascii="Sylfaen" w:eastAsia="Calibri" w:hAnsi="Sylfaen" w:cs="Sylfaen"/>
          <w:lang w:val="ka-GE"/>
        </w:rPr>
        <w:t xml:space="preserve">მშენებლობისთვის. </w:t>
      </w:r>
      <w:r w:rsidRPr="00DA02CD">
        <w:rPr>
          <w:rStyle w:val="shorttext"/>
          <w:rFonts w:ascii="Sylfaen" w:eastAsia="Calibri" w:hAnsi="Sylfaen" w:cs="Sylfaen"/>
        </w:rPr>
        <w:t xml:space="preserve">აღნიშნული მონაკვეთი წარმოადგენს ერთ-ერთ ყველაზე </w:t>
      </w:r>
      <w:r>
        <w:rPr>
          <w:rStyle w:val="shorttext"/>
          <w:rFonts w:ascii="Sylfaen" w:eastAsia="Calibri" w:hAnsi="Sylfaen" w:cs="Sylfaen"/>
          <w:lang w:val="ka-GE"/>
        </w:rPr>
        <w:t>ადვილ</w:t>
      </w:r>
      <w:r w:rsidRPr="00DA02CD">
        <w:rPr>
          <w:rStyle w:val="shorttext"/>
          <w:rFonts w:ascii="Sylfaen" w:eastAsia="Calibri" w:hAnsi="Sylfaen" w:cs="Sylfaen"/>
        </w:rPr>
        <w:t xml:space="preserve"> უბანს გამომდინარე დერეფნის კლიმატური, ტოპოგრაფიული და გეოლოგიური პირობებიდან. აღსანიშნავია, რომ </w:t>
      </w:r>
      <w:r>
        <w:rPr>
          <w:rFonts w:ascii="Sylfaen" w:hAnsi="Sylfaen"/>
          <w:lang w:val="ka-GE"/>
        </w:rPr>
        <w:t>გურჯაანის (ჩუმლაყი)</w:t>
      </w:r>
      <w:r>
        <w:rPr>
          <w:rFonts w:ascii="Sylfaen" w:hAnsi="Sylfaen"/>
          <w:lang w:val="en-US"/>
        </w:rPr>
        <w:t>-</w:t>
      </w:r>
      <w:r>
        <w:rPr>
          <w:rFonts w:ascii="Sylfaen" w:hAnsi="Sylfaen"/>
          <w:lang w:val="ka-GE"/>
        </w:rPr>
        <w:t>თელავის მიმართულებით არსებული გზ</w:t>
      </w:r>
      <w:r w:rsidRPr="00DA02CD">
        <w:rPr>
          <w:rStyle w:val="shorttext"/>
          <w:rFonts w:ascii="Sylfaen" w:eastAsia="Calibri" w:hAnsi="Sylfaen" w:cs="Sylfaen"/>
        </w:rPr>
        <w:t xml:space="preserve">ის მონაკვეთი ხასიათდება თავისუფალი გადაადგილების ხშირი შეფერხებით და მაღალი საავარიო რისკებით, განსაკუთრებით არახელსაყრელ მეტეოროლოგიურ პირობებში. ამდენად, მისი </w:t>
      </w:r>
      <w:r>
        <w:rPr>
          <w:rStyle w:val="shorttext"/>
          <w:rFonts w:ascii="Sylfaen" w:eastAsia="Calibri" w:hAnsi="Sylfaen" w:cs="Sylfaen"/>
          <w:lang w:val="ka-GE"/>
        </w:rPr>
        <w:t>მშენებლობის</w:t>
      </w:r>
      <w:r w:rsidRPr="00DA02CD">
        <w:rPr>
          <w:rStyle w:val="shorttext"/>
          <w:rFonts w:ascii="Sylfaen" w:eastAsia="Calibri" w:hAnsi="Sylfaen" w:cs="Sylfaen"/>
        </w:rPr>
        <w:t xml:space="preserve"> შედეგად მნიშვნელოვნად გაუმჯობესდება სატრანპორტო გადაადგილების პირობები, შემცირდება მგზავრობის დრო და ავარიების რისკი. </w:t>
      </w:r>
    </w:p>
    <w:p w14:paraId="13D2384B" w14:textId="6463FED8" w:rsidR="00DA02CD" w:rsidRPr="00DA02CD" w:rsidRDefault="00DA02CD" w:rsidP="00DA02CD">
      <w:pPr>
        <w:spacing w:before="120" w:after="120"/>
        <w:rPr>
          <w:rStyle w:val="shorttext"/>
          <w:rFonts w:ascii="Sylfaen" w:eastAsia="Calibri" w:hAnsi="Sylfaen" w:cs="Sylfaen"/>
        </w:rPr>
      </w:pPr>
      <w:r w:rsidRPr="00DA02CD">
        <w:rPr>
          <w:rStyle w:val="shorttext"/>
          <w:rFonts w:ascii="Sylfaen" w:eastAsia="Calibri" w:hAnsi="Sylfaen" w:cs="Sylfaen"/>
        </w:rPr>
        <w:t xml:space="preserve">შესრულებული გზშ ანგარიშის ამოცანას წარმოადგენდა </w:t>
      </w:r>
      <w:r>
        <w:rPr>
          <w:rFonts w:ascii="Sylfaen" w:hAnsi="Sylfaen"/>
          <w:lang w:val="ka-GE"/>
        </w:rPr>
        <w:t>გურჯაანის (ჩუმლაყი)</w:t>
      </w:r>
      <w:r>
        <w:rPr>
          <w:rFonts w:ascii="Sylfaen" w:hAnsi="Sylfaen"/>
          <w:lang w:val="en-US"/>
        </w:rPr>
        <w:t>-</w:t>
      </w:r>
      <w:r>
        <w:rPr>
          <w:rFonts w:ascii="Sylfaen" w:hAnsi="Sylfaen"/>
          <w:lang w:val="ka-GE"/>
        </w:rPr>
        <w:t xml:space="preserve">თელავის </w:t>
      </w:r>
      <w:r w:rsidRPr="00DA02CD">
        <w:rPr>
          <w:rStyle w:val="shorttext"/>
          <w:rFonts w:ascii="Sylfaen" w:eastAsia="Calibri" w:hAnsi="Sylfaen" w:cs="Sylfaen"/>
        </w:rPr>
        <w:t xml:space="preserve">შორის მდებარე </w:t>
      </w:r>
      <w:r>
        <w:rPr>
          <w:rStyle w:val="shorttext"/>
          <w:rFonts w:ascii="Sylfaen" w:eastAsia="Calibri" w:hAnsi="Sylfaen" w:cs="Sylfaen"/>
          <w:lang w:val="ka-GE"/>
        </w:rPr>
        <w:t xml:space="preserve">გზის მშენებლობის </w:t>
      </w:r>
      <w:r w:rsidRPr="00DA02CD">
        <w:rPr>
          <w:rStyle w:val="shorttext"/>
          <w:rFonts w:ascii="Sylfaen" w:eastAsia="Calibri" w:hAnsi="Sylfaen" w:cs="Sylfaen"/>
        </w:rPr>
        <w:t xml:space="preserve">მონაკვეთის მოსალოდნელი დადებითი და უარყოფითი ზემოქმედებების შეფასება ბუნებრივ და სოციალურ გარემოზე და ამ ზემოქმედებათა ალბათობის, მასშტაბებისა და გავრცელების არეალის შეფასება. ასევე, აღნიშნულ ზემოქმედებათა თავიდან აცილების ან შერბილების ზომების შემუშავება. გზშ ანგარიშში განხილულია მარშრუტისა და საპროექტო ალტერნატივები და იმ გადაწყვეტილებების შერჩევის პროცესი, რომლებიც ყველაზე მისაღებია ეკონომიკური, ფისკალური, ტექნიკური, სოციალური და გარემოსდაცვითი თვალსაზრისით. გზშ ანგარიშის შემუშავების პროცესში შემუშავებული გარემოსდაცვითი და სოციალური მართვის გეგმა შევა სამომავლო სამუშაოების კონტრაქტში და წარმოადგენს ეკოლოგიურად გამართლებული მეთოდებით მუშაობის სავალდებულო საველე მითითებებს.  </w:t>
      </w:r>
    </w:p>
    <w:p w14:paraId="02C6517E" w14:textId="4EFB9085" w:rsidR="00DA02CD" w:rsidRPr="00DA02CD" w:rsidRDefault="00DA02CD" w:rsidP="00DA02CD">
      <w:pPr>
        <w:rPr>
          <w:rStyle w:val="shorttext"/>
          <w:rFonts w:ascii="Sylfaen" w:eastAsia="Calibri" w:hAnsi="Sylfaen" w:cs="Sylfaen"/>
        </w:rPr>
      </w:pPr>
      <w:r w:rsidRPr="00DA02CD">
        <w:rPr>
          <w:rStyle w:val="shorttext"/>
          <w:rFonts w:ascii="Sylfaen" w:eastAsia="Calibri" w:hAnsi="Sylfaen" w:cs="Sylfaen"/>
        </w:rPr>
        <w:lastRenderedPageBreak/>
        <w:t xml:space="preserve">წინამდებარე გზშ ანგარიში მომზადდა </w:t>
      </w:r>
      <w:r>
        <w:rPr>
          <w:rStyle w:val="shorttext"/>
          <w:rFonts w:ascii="Sylfaen" w:eastAsia="Calibri" w:hAnsi="Sylfaen" w:cs="Sylfaen"/>
          <w:lang w:val="ka-GE"/>
        </w:rPr>
        <w:t>„</w:t>
      </w:r>
      <w:r w:rsidRPr="000321C7">
        <w:rPr>
          <w:rFonts w:ascii="Times New Roman" w:hAnsi="Times New Roman"/>
          <w:spacing w:val="-2"/>
        </w:rPr>
        <w:t>Kocks Consult GMBH</w:t>
      </w:r>
      <w:r>
        <w:rPr>
          <w:rFonts w:ascii="Sylfaen" w:hAnsi="Sylfaen"/>
          <w:spacing w:val="-2"/>
          <w:lang w:val="ka-GE"/>
        </w:rPr>
        <w:t>“</w:t>
      </w:r>
      <w:r w:rsidRPr="00DA02CD">
        <w:rPr>
          <w:rStyle w:val="shorttext"/>
          <w:rFonts w:ascii="Sylfaen" w:eastAsia="Calibri" w:hAnsi="Sylfaen" w:cs="Sylfaen"/>
        </w:rPr>
        <w:t xml:space="preserve"> მიერ საქართველოს რეგიონალური განვითარებისა და ინფრასტრუქტურის სამინისტროს საავტომობილო გზების დეპარტამენტისთვის. </w:t>
      </w:r>
    </w:p>
    <w:p w14:paraId="0D3103C0" w14:textId="73D5046D" w:rsidR="00DA02CD" w:rsidRPr="00DA02CD" w:rsidRDefault="00DA02CD" w:rsidP="00DA02CD">
      <w:pPr>
        <w:spacing w:before="120"/>
        <w:rPr>
          <w:rStyle w:val="shorttext"/>
          <w:rFonts w:ascii="Sylfaen" w:eastAsia="Calibri" w:hAnsi="Sylfaen" w:cs="Sylfaen"/>
        </w:rPr>
      </w:pPr>
      <w:r w:rsidRPr="00DA02CD">
        <w:rPr>
          <w:rStyle w:val="shorttext"/>
          <w:rFonts w:ascii="Sylfaen" w:eastAsia="Calibri" w:hAnsi="Sylfaen" w:cs="Sylfaen"/>
        </w:rPr>
        <w:t xml:space="preserve">საავტომობილო გზების დეპარტამენტის და საკონსულტაციო კომპანიის  - </w:t>
      </w:r>
      <w:r>
        <w:rPr>
          <w:rStyle w:val="shorttext"/>
          <w:rFonts w:ascii="Sylfaen" w:eastAsia="Calibri" w:hAnsi="Sylfaen" w:cs="Sylfaen"/>
          <w:lang w:val="ka-GE"/>
        </w:rPr>
        <w:t>„</w:t>
      </w:r>
      <w:r w:rsidRPr="000321C7">
        <w:rPr>
          <w:rFonts w:ascii="Times New Roman" w:hAnsi="Times New Roman"/>
          <w:spacing w:val="-2"/>
        </w:rPr>
        <w:t>Kocks Consult GMBH</w:t>
      </w:r>
      <w:r>
        <w:rPr>
          <w:rFonts w:ascii="Sylfaen" w:hAnsi="Sylfaen"/>
          <w:spacing w:val="-2"/>
          <w:lang w:val="ka-GE"/>
        </w:rPr>
        <w:t>“</w:t>
      </w:r>
      <w:r w:rsidRPr="00DA02CD">
        <w:rPr>
          <w:rStyle w:val="shorttext"/>
          <w:rFonts w:ascii="Sylfaen" w:eastAsia="Calibri" w:hAnsi="Sylfaen" w:cs="Sylfaen"/>
        </w:rPr>
        <w:t xml:space="preserve"> შესახებ ინფორმაცია მოცემულია ცხრილში</w:t>
      </w:r>
      <w:r>
        <w:rPr>
          <w:rStyle w:val="shorttext"/>
          <w:rFonts w:ascii="Sylfaen" w:eastAsia="Calibri" w:hAnsi="Sylfaen" w:cs="Sylfaen"/>
        </w:rPr>
        <w:t xml:space="preserve"> 1</w:t>
      </w:r>
      <w:r>
        <w:rPr>
          <w:rStyle w:val="shorttext"/>
          <w:rFonts w:ascii="Sylfaen" w:eastAsia="Calibri" w:hAnsi="Sylfaen" w:cs="Sylfaen"/>
          <w:lang w:val="ka-GE"/>
        </w:rPr>
        <w:t>-</w:t>
      </w:r>
      <w:r>
        <w:rPr>
          <w:rStyle w:val="shorttext"/>
          <w:rFonts w:ascii="Sylfaen" w:eastAsia="Calibri" w:hAnsi="Sylfaen" w:cs="Sylfaen"/>
        </w:rPr>
        <w:t>1</w:t>
      </w:r>
      <w:r w:rsidRPr="00DA02CD">
        <w:rPr>
          <w:rStyle w:val="shorttext"/>
          <w:rFonts w:ascii="Sylfaen" w:eastAsia="Calibri" w:hAnsi="Sylfaen" w:cs="Sylfaen"/>
        </w:rPr>
        <w:t>.</w:t>
      </w:r>
    </w:p>
    <w:p w14:paraId="2C69A057" w14:textId="2D99FA8D" w:rsidR="00DA02CD" w:rsidRPr="00DA02CD" w:rsidRDefault="00DA02CD" w:rsidP="00DA02CD">
      <w:pPr>
        <w:spacing w:before="120"/>
        <w:jc w:val="center"/>
        <w:rPr>
          <w:rStyle w:val="shorttext"/>
          <w:rFonts w:ascii="Sylfaen" w:eastAsia="Calibri" w:hAnsi="Sylfaen" w:cs="Sylfaen"/>
        </w:rPr>
      </w:pPr>
      <w:r w:rsidRPr="00DA02CD">
        <w:rPr>
          <w:rStyle w:val="shorttext"/>
          <w:rFonts w:ascii="Sylfaen" w:eastAsia="Calibri" w:hAnsi="Sylfaen" w:cs="Sylfaen"/>
        </w:rPr>
        <w:t>ცხრილი</w:t>
      </w:r>
      <w:r>
        <w:rPr>
          <w:rStyle w:val="shorttext"/>
          <w:rFonts w:ascii="Sylfaen" w:eastAsia="Calibri" w:hAnsi="Sylfaen" w:cs="Sylfaen"/>
        </w:rPr>
        <w:t xml:space="preserve"> 1</w:t>
      </w:r>
      <w:r>
        <w:rPr>
          <w:rStyle w:val="shorttext"/>
          <w:rFonts w:ascii="Sylfaen" w:eastAsia="Calibri" w:hAnsi="Sylfaen" w:cs="Sylfaen"/>
          <w:lang w:val="ka-GE"/>
        </w:rPr>
        <w:t>-1</w:t>
      </w:r>
      <w:r w:rsidRPr="00DA02CD">
        <w:rPr>
          <w:rStyle w:val="shorttext"/>
          <w:rFonts w:ascii="Sylfaen" w:eastAsia="Calibri" w:hAnsi="Sylfaen" w:cs="Sylfaen"/>
        </w:rPr>
        <w:t>. საკონტაქტო ინფორმაცია</w:t>
      </w:r>
    </w:p>
    <w:tbl>
      <w:tblPr>
        <w:tblStyle w:val="GridTable4-Accent31"/>
        <w:tblW w:w="10075" w:type="dxa"/>
        <w:tblLook w:val="04A0" w:firstRow="1" w:lastRow="0" w:firstColumn="1" w:lastColumn="0" w:noHBand="0" w:noVBand="1"/>
      </w:tblPr>
      <w:tblGrid>
        <w:gridCol w:w="2875"/>
        <w:gridCol w:w="7200"/>
      </w:tblGrid>
      <w:tr w:rsidR="00DA02CD" w:rsidRPr="00DA02CD" w14:paraId="3A78438C" w14:textId="77777777" w:rsidTr="00FC0FF4">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875" w:type="dxa"/>
          </w:tcPr>
          <w:p w14:paraId="6B38EDEE" w14:textId="77777777" w:rsidR="00DA02CD" w:rsidRPr="00FC0FF4" w:rsidRDefault="00DA02CD" w:rsidP="00DA02CD">
            <w:pPr>
              <w:jc w:val="left"/>
              <w:rPr>
                <w:rStyle w:val="shorttext"/>
                <w:rFonts w:ascii="Sylfaen" w:eastAsia="Calibri" w:hAnsi="Sylfaen" w:cs="Sylfaen"/>
                <w:color w:val="auto"/>
              </w:rPr>
            </w:pPr>
            <w:r w:rsidRPr="00FC0FF4">
              <w:rPr>
                <w:rStyle w:val="shorttext"/>
                <w:rFonts w:ascii="Sylfaen" w:eastAsia="Calibri" w:hAnsi="Sylfaen" w:cs="Sylfaen"/>
                <w:color w:val="auto"/>
              </w:rPr>
              <w:t xml:space="preserve">საქმიანობის განმხორციელებელი </w:t>
            </w:r>
          </w:p>
        </w:tc>
        <w:tc>
          <w:tcPr>
            <w:tcW w:w="7200" w:type="dxa"/>
          </w:tcPr>
          <w:p w14:paraId="020CA73B" w14:textId="77777777" w:rsidR="00DA02CD" w:rsidRPr="00FC0FF4" w:rsidRDefault="00DA02CD" w:rsidP="00DA02CD">
            <w:pPr>
              <w:jc w:val="left"/>
              <w:cnfStyle w:val="100000000000" w:firstRow="1" w:lastRow="0" w:firstColumn="0" w:lastColumn="0" w:oddVBand="0" w:evenVBand="0" w:oddHBand="0" w:evenHBand="0" w:firstRowFirstColumn="0" w:firstRowLastColumn="0" w:lastRowFirstColumn="0" w:lastRowLastColumn="0"/>
              <w:rPr>
                <w:rStyle w:val="shorttext"/>
                <w:rFonts w:ascii="Sylfaen" w:eastAsia="Calibri" w:hAnsi="Sylfaen" w:cs="Sylfaen"/>
                <w:color w:val="auto"/>
              </w:rPr>
            </w:pPr>
            <w:r w:rsidRPr="00FC0FF4">
              <w:rPr>
                <w:rStyle w:val="shorttext"/>
                <w:rFonts w:ascii="Sylfaen" w:eastAsia="Calibri" w:hAnsi="Sylfaen" w:cs="Sylfaen"/>
                <w:color w:val="auto"/>
              </w:rPr>
              <w:t>საქართველოს საავტომობილო გზების დეპარტამენტი</w:t>
            </w:r>
          </w:p>
        </w:tc>
      </w:tr>
      <w:tr w:rsidR="00DA02CD" w:rsidRPr="00DA02CD" w14:paraId="1B62CE5B" w14:textId="77777777" w:rsidTr="00FC0FF4">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875" w:type="dxa"/>
          </w:tcPr>
          <w:p w14:paraId="32C425C8" w14:textId="77777777" w:rsidR="00DA02CD" w:rsidRPr="00DA02CD" w:rsidRDefault="00DA02CD" w:rsidP="00DA02CD">
            <w:pPr>
              <w:jc w:val="left"/>
              <w:rPr>
                <w:rStyle w:val="shorttext"/>
                <w:rFonts w:ascii="Sylfaen" w:eastAsia="Calibri" w:hAnsi="Sylfaen" w:cs="Sylfaen"/>
              </w:rPr>
            </w:pPr>
            <w:r w:rsidRPr="00DA02CD">
              <w:rPr>
                <w:rStyle w:val="shorttext"/>
                <w:rFonts w:ascii="Sylfaen" w:eastAsia="Calibri" w:hAnsi="Sylfaen" w:cs="Sylfaen"/>
              </w:rPr>
              <w:t>იურიდიული მისამართი</w:t>
            </w:r>
          </w:p>
        </w:tc>
        <w:tc>
          <w:tcPr>
            <w:tcW w:w="7200" w:type="dxa"/>
          </w:tcPr>
          <w:p w14:paraId="29EA44EC" w14:textId="77777777" w:rsidR="00DA02CD" w:rsidRPr="00DA02CD" w:rsidRDefault="00DA02CD" w:rsidP="00DA02CD">
            <w:pPr>
              <w:jc w:val="left"/>
              <w:cnfStyle w:val="000000100000" w:firstRow="0" w:lastRow="0" w:firstColumn="0" w:lastColumn="0" w:oddVBand="0" w:evenVBand="0" w:oddHBand="1" w:evenHBand="0" w:firstRowFirstColumn="0" w:firstRowLastColumn="0" w:lastRowFirstColumn="0" w:lastRowLastColumn="0"/>
              <w:rPr>
                <w:rStyle w:val="shorttext"/>
                <w:rFonts w:ascii="Sylfaen" w:eastAsia="Calibri" w:hAnsi="Sylfaen" w:cs="Sylfaen"/>
              </w:rPr>
            </w:pPr>
            <w:r w:rsidRPr="00DA02CD">
              <w:rPr>
                <w:rStyle w:val="shorttext"/>
                <w:rFonts w:ascii="Sylfaen" w:eastAsia="Calibri" w:hAnsi="Sylfaen" w:cs="Sylfaen"/>
              </w:rPr>
              <w:t>საქართველო 0160, ქ. თბილისი, ალ ყაზბეგის №12</w:t>
            </w:r>
          </w:p>
        </w:tc>
      </w:tr>
      <w:tr w:rsidR="00DA02CD" w:rsidRPr="00DA02CD" w14:paraId="2F0D7E65" w14:textId="77777777" w:rsidTr="00FC0FF4">
        <w:trPr>
          <w:trHeight w:val="299"/>
        </w:trPr>
        <w:tc>
          <w:tcPr>
            <w:cnfStyle w:val="001000000000" w:firstRow="0" w:lastRow="0" w:firstColumn="1" w:lastColumn="0" w:oddVBand="0" w:evenVBand="0" w:oddHBand="0" w:evenHBand="0" w:firstRowFirstColumn="0" w:firstRowLastColumn="0" w:lastRowFirstColumn="0" w:lastRowLastColumn="0"/>
            <w:tcW w:w="2875" w:type="dxa"/>
          </w:tcPr>
          <w:p w14:paraId="38932A83" w14:textId="77777777" w:rsidR="00DA02CD" w:rsidRPr="00DA02CD" w:rsidRDefault="00DA02CD" w:rsidP="00DA02CD">
            <w:pPr>
              <w:jc w:val="left"/>
              <w:rPr>
                <w:rStyle w:val="shorttext"/>
                <w:rFonts w:ascii="Sylfaen" w:eastAsia="Calibri" w:hAnsi="Sylfaen" w:cs="Sylfaen"/>
              </w:rPr>
            </w:pPr>
            <w:r w:rsidRPr="00DA02CD">
              <w:rPr>
                <w:rStyle w:val="shorttext"/>
                <w:rFonts w:ascii="Sylfaen" w:eastAsia="Calibri" w:hAnsi="Sylfaen" w:cs="Sylfaen"/>
              </w:rPr>
              <w:t>საქმიანობის სახე</w:t>
            </w:r>
          </w:p>
        </w:tc>
        <w:tc>
          <w:tcPr>
            <w:tcW w:w="7200" w:type="dxa"/>
          </w:tcPr>
          <w:p w14:paraId="00D2B8F0" w14:textId="1633F408" w:rsidR="00DA02CD" w:rsidRPr="00DA02CD" w:rsidRDefault="00DA02CD" w:rsidP="00DA02CD">
            <w:pPr>
              <w:jc w:val="left"/>
              <w:cnfStyle w:val="000000000000" w:firstRow="0" w:lastRow="0" w:firstColumn="0" w:lastColumn="0" w:oddVBand="0" w:evenVBand="0" w:oddHBand="0" w:evenHBand="0" w:firstRowFirstColumn="0" w:firstRowLastColumn="0" w:lastRowFirstColumn="0" w:lastRowLastColumn="0"/>
              <w:rPr>
                <w:rStyle w:val="shorttext"/>
                <w:rFonts w:ascii="Sylfaen" w:eastAsia="Calibri" w:hAnsi="Sylfaen" w:cs="Sylfaen"/>
              </w:rPr>
            </w:pPr>
            <w:r>
              <w:rPr>
                <w:rFonts w:ascii="Sylfaen" w:hAnsi="Sylfaen"/>
                <w:lang w:val="ka-GE"/>
              </w:rPr>
              <w:t>გურჯაანის (ჩუმლაყი)</w:t>
            </w:r>
            <w:r>
              <w:rPr>
                <w:rFonts w:ascii="Sylfaen" w:hAnsi="Sylfaen"/>
                <w:lang w:val="en-US"/>
              </w:rPr>
              <w:t>-</w:t>
            </w:r>
            <w:r>
              <w:rPr>
                <w:rFonts w:ascii="Sylfaen" w:hAnsi="Sylfaen"/>
                <w:lang w:val="ka-GE"/>
              </w:rPr>
              <w:t>თელავის (30კმ) გზის მონაკვეთის მშენებლობა</w:t>
            </w:r>
          </w:p>
        </w:tc>
      </w:tr>
      <w:tr w:rsidR="00DA02CD" w:rsidRPr="00DA02CD" w14:paraId="3F5EF983" w14:textId="77777777" w:rsidTr="00FC0FF4">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875" w:type="dxa"/>
          </w:tcPr>
          <w:p w14:paraId="33B6ACCE" w14:textId="77777777" w:rsidR="00DA02CD" w:rsidRPr="00DA02CD" w:rsidRDefault="00DA02CD" w:rsidP="00DA02CD">
            <w:pPr>
              <w:jc w:val="left"/>
              <w:rPr>
                <w:rStyle w:val="shorttext"/>
                <w:rFonts w:ascii="Sylfaen" w:eastAsia="Calibri" w:hAnsi="Sylfaen" w:cs="Sylfaen"/>
              </w:rPr>
            </w:pPr>
            <w:r w:rsidRPr="00DA02CD">
              <w:rPr>
                <w:rStyle w:val="shorttext"/>
                <w:rFonts w:ascii="Sylfaen" w:eastAsia="Calibri" w:hAnsi="Sylfaen" w:cs="Sylfaen"/>
              </w:rPr>
              <w:t>საქართველოს საავტომობილო გზების დეპარტამენტის თავჯდომარე</w:t>
            </w:r>
          </w:p>
        </w:tc>
        <w:tc>
          <w:tcPr>
            <w:tcW w:w="7200" w:type="dxa"/>
          </w:tcPr>
          <w:p w14:paraId="02101E17" w14:textId="07BA44C0" w:rsidR="00DA02CD" w:rsidRPr="00DA02CD" w:rsidRDefault="00DA02CD" w:rsidP="00DA02CD">
            <w:pPr>
              <w:jc w:val="left"/>
              <w:cnfStyle w:val="000000100000" w:firstRow="0" w:lastRow="0" w:firstColumn="0" w:lastColumn="0" w:oddVBand="0" w:evenVBand="0" w:oddHBand="1" w:evenHBand="0" w:firstRowFirstColumn="0" w:firstRowLastColumn="0" w:lastRowFirstColumn="0" w:lastRowLastColumn="0"/>
              <w:rPr>
                <w:rStyle w:val="shorttext"/>
                <w:rFonts w:ascii="Sylfaen" w:eastAsia="Calibri" w:hAnsi="Sylfaen" w:cs="Sylfaen"/>
                <w:lang w:val="ka-GE"/>
              </w:rPr>
            </w:pPr>
            <w:r>
              <w:rPr>
                <w:rStyle w:val="shorttext"/>
                <w:rFonts w:ascii="Sylfaen" w:eastAsia="Calibri" w:hAnsi="Sylfaen" w:cs="Sylfaen"/>
                <w:lang w:val="ka-GE"/>
              </w:rPr>
              <w:t>ირაკლი ქარსელაძე</w:t>
            </w:r>
          </w:p>
        </w:tc>
      </w:tr>
      <w:tr w:rsidR="00DA02CD" w:rsidRPr="00DA02CD" w14:paraId="2DE44D8C" w14:textId="77777777" w:rsidTr="00FC0FF4">
        <w:trPr>
          <w:trHeight w:val="282"/>
        </w:trPr>
        <w:tc>
          <w:tcPr>
            <w:cnfStyle w:val="001000000000" w:firstRow="0" w:lastRow="0" w:firstColumn="1" w:lastColumn="0" w:oddVBand="0" w:evenVBand="0" w:oddHBand="0" w:evenHBand="0" w:firstRowFirstColumn="0" w:firstRowLastColumn="0" w:lastRowFirstColumn="0" w:lastRowLastColumn="0"/>
            <w:tcW w:w="2875" w:type="dxa"/>
          </w:tcPr>
          <w:p w14:paraId="3996EBAD" w14:textId="77777777" w:rsidR="00DA02CD" w:rsidRPr="00DA02CD" w:rsidRDefault="00DA02CD" w:rsidP="00DA02CD">
            <w:pPr>
              <w:jc w:val="left"/>
              <w:rPr>
                <w:rStyle w:val="shorttext"/>
                <w:rFonts w:ascii="Sylfaen" w:eastAsia="Calibri" w:hAnsi="Sylfaen" w:cs="Sylfaen"/>
              </w:rPr>
            </w:pPr>
            <w:r w:rsidRPr="00DA02CD">
              <w:rPr>
                <w:rStyle w:val="shorttext"/>
                <w:rFonts w:ascii="Sylfaen" w:eastAsia="Calibri" w:hAnsi="Sylfaen" w:cs="Sylfaen"/>
              </w:rPr>
              <w:t xml:space="preserve">საკონტაქტო პირი </w:t>
            </w:r>
          </w:p>
        </w:tc>
        <w:tc>
          <w:tcPr>
            <w:tcW w:w="7200" w:type="dxa"/>
          </w:tcPr>
          <w:p w14:paraId="6DDC0CCF" w14:textId="77777777" w:rsidR="00DA02CD" w:rsidRPr="00DA02CD" w:rsidRDefault="00DA02CD" w:rsidP="00DA02CD">
            <w:pPr>
              <w:jc w:val="left"/>
              <w:cnfStyle w:val="000000000000" w:firstRow="0" w:lastRow="0" w:firstColumn="0" w:lastColumn="0" w:oddVBand="0" w:evenVBand="0" w:oddHBand="0" w:evenHBand="0" w:firstRowFirstColumn="0" w:firstRowLastColumn="0" w:lastRowFirstColumn="0" w:lastRowLastColumn="0"/>
              <w:rPr>
                <w:rStyle w:val="shorttext"/>
                <w:rFonts w:ascii="Sylfaen" w:eastAsia="Calibri" w:hAnsi="Sylfaen" w:cs="Sylfaen"/>
              </w:rPr>
            </w:pPr>
            <w:r w:rsidRPr="00DA02CD">
              <w:rPr>
                <w:rStyle w:val="shorttext"/>
                <w:rFonts w:ascii="Sylfaen" w:eastAsia="Calibri" w:hAnsi="Sylfaen" w:cs="Sylfaen"/>
              </w:rPr>
              <w:t xml:space="preserve">გია სოფაძე </w:t>
            </w:r>
          </w:p>
        </w:tc>
      </w:tr>
      <w:tr w:rsidR="00DA02CD" w:rsidRPr="00DA02CD" w14:paraId="362E68A9" w14:textId="77777777" w:rsidTr="00FC0FF4">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875" w:type="dxa"/>
          </w:tcPr>
          <w:p w14:paraId="2A7FC083" w14:textId="77777777" w:rsidR="00DA02CD" w:rsidRPr="00DA02CD" w:rsidRDefault="00DA02CD" w:rsidP="00DA02CD">
            <w:pPr>
              <w:jc w:val="left"/>
              <w:rPr>
                <w:rStyle w:val="shorttext"/>
                <w:rFonts w:ascii="Sylfaen" w:eastAsia="Calibri" w:hAnsi="Sylfaen" w:cs="Sylfaen"/>
              </w:rPr>
            </w:pPr>
            <w:r w:rsidRPr="00DA02CD">
              <w:rPr>
                <w:rStyle w:val="shorttext"/>
                <w:rFonts w:ascii="Sylfaen" w:eastAsia="Calibri" w:hAnsi="Sylfaen" w:cs="Sylfaen"/>
              </w:rPr>
              <w:t>საკონტაქტო ტელეფონი</w:t>
            </w:r>
          </w:p>
        </w:tc>
        <w:tc>
          <w:tcPr>
            <w:tcW w:w="7200" w:type="dxa"/>
          </w:tcPr>
          <w:p w14:paraId="02093477" w14:textId="388D6576" w:rsidR="00DA02CD" w:rsidRPr="00FC0FF4" w:rsidRDefault="00FC0FF4" w:rsidP="00FC0FF4">
            <w:pPr>
              <w:jc w:val="left"/>
              <w:cnfStyle w:val="000000100000" w:firstRow="0" w:lastRow="0" w:firstColumn="0" w:lastColumn="0" w:oddVBand="0" w:evenVBand="0" w:oddHBand="1" w:evenHBand="0" w:firstRowFirstColumn="0" w:firstRowLastColumn="0" w:lastRowFirstColumn="0" w:lastRowLastColumn="0"/>
              <w:rPr>
                <w:rStyle w:val="shorttext"/>
                <w:rFonts w:ascii="Sylfaen" w:eastAsia="Calibri" w:hAnsi="Sylfaen" w:cs="Sylfaen"/>
                <w:lang w:val="ka-GE"/>
              </w:rPr>
            </w:pPr>
            <w:r>
              <w:rPr>
                <w:rStyle w:val="shorttext"/>
                <w:rFonts w:ascii="Sylfaen" w:eastAsia="Calibri" w:hAnsi="Sylfaen" w:cs="Sylfaen"/>
                <w:lang w:val="ka-GE"/>
              </w:rPr>
              <w:t>(</w:t>
            </w:r>
            <w:r w:rsidR="00DA02CD" w:rsidRPr="00DA02CD">
              <w:rPr>
                <w:rStyle w:val="shorttext"/>
                <w:rFonts w:ascii="Sylfaen" w:eastAsia="Calibri" w:hAnsi="Sylfaen" w:cs="Sylfaen"/>
              </w:rPr>
              <w:t>+995 3</w:t>
            </w:r>
            <w:r>
              <w:rPr>
                <w:rStyle w:val="shorttext"/>
                <w:rFonts w:ascii="Sylfaen" w:eastAsia="Calibri" w:hAnsi="Sylfaen" w:cs="Sylfaen"/>
                <w:lang w:val="ka-GE"/>
              </w:rPr>
              <w:t>2) 2 37 05 08</w:t>
            </w:r>
          </w:p>
        </w:tc>
      </w:tr>
      <w:tr w:rsidR="00DA02CD" w:rsidRPr="00DA02CD" w14:paraId="108B507C" w14:textId="77777777" w:rsidTr="00FC0FF4">
        <w:trPr>
          <w:trHeight w:val="299"/>
        </w:trPr>
        <w:tc>
          <w:tcPr>
            <w:cnfStyle w:val="001000000000" w:firstRow="0" w:lastRow="0" w:firstColumn="1" w:lastColumn="0" w:oddVBand="0" w:evenVBand="0" w:oddHBand="0" w:evenHBand="0" w:firstRowFirstColumn="0" w:firstRowLastColumn="0" w:lastRowFirstColumn="0" w:lastRowLastColumn="0"/>
            <w:tcW w:w="2875" w:type="dxa"/>
          </w:tcPr>
          <w:p w14:paraId="2D71F46A" w14:textId="77777777" w:rsidR="00DA02CD" w:rsidRPr="00DA02CD" w:rsidRDefault="00DA02CD" w:rsidP="00DA02CD">
            <w:pPr>
              <w:jc w:val="left"/>
              <w:rPr>
                <w:rStyle w:val="shorttext"/>
                <w:rFonts w:ascii="Sylfaen" w:eastAsia="Calibri" w:hAnsi="Sylfaen" w:cs="Sylfaen"/>
              </w:rPr>
            </w:pPr>
            <w:r w:rsidRPr="00DA02CD">
              <w:rPr>
                <w:rStyle w:val="shorttext"/>
                <w:rFonts w:ascii="Sylfaen" w:eastAsia="Calibri" w:hAnsi="Sylfaen" w:cs="Sylfaen"/>
              </w:rPr>
              <w:t xml:space="preserve">ელექტრონული ფოსტა </w:t>
            </w:r>
          </w:p>
        </w:tc>
        <w:tc>
          <w:tcPr>
            <w:tcW w:w="7200" w:type="dxa"/>
          </w:tcPr>
          <w:p w14:paraId="07BA48E6" w14:textId="77777777" w:rsidR="00DA02CD" w:rsidRPr="00DA02CD" w:rsidRDefault="006A7631" w:rsidP="00DA02CD">
            <w:pPr>
              <w:jc w:val="left"/>
              <w:cnfStyle w:val="000000000000" w:firstRow="0" w:lastRow="0" w:firstColumn="0" w:lastColumn="0" w:oddVBand="0" w:evenVBand="0" w:oddHBand="0" w:evenHBand="0" w:firstRowFirstColumn="0" w:firstRowLastColumn="0" w:lastRowFirstColumn="0" w:lastRowLastColumn="0"/>
              <w:rPr>
                <w:rStyle w:val="shorttext"/>
                <w:rFonts w:ascii="Sylfaen" w:eastAsia="Calibri" w:hAnsi="Sylfaen" w:cs="Sylfaen"/>
              </w:rPr>
            </w:pPr>
            <w:hyperlink r:id="rId16" w:history="1">
              <w:r w:rsidR="00DA02CD" w:rsidRPr="00DA02CD">
                <w:rPr>
                  <w:rStyle w:val="shorttext"/>
                  <w:rFonts w:ascii="Sylfaen" w:eastAsia="Calibri" w:hAnsi="Sylfaen" w:cs="Sylfaen"/>
                </w:rPr>
                <w:t>info@georoad.ge</w:t>
              </w:r>
            </w:hyperlink>
            <w:r w:rsidR="00DA02CD" w:rsidRPr="00DA02CD">
              <w:rPr>
                <w:rStyle w:val="shorttext"/>
                <w:rFonts w:ascii="Sylfaen" w:eastAsia="Calibri" w:hAnsi="Sylfaen" w:cs="Sylfaen"/>
              </w:rPr>
              <w:t xml:space="preserve">;  </w:t>
            </w:r>
            <w:hyperlink r:id="rId17" w:history="1">
              <w:r w:rsidR="00DA02CD" w:rsidRPr="00DA02CD">
                <w:rPr>
                  <w:rStyle w:val="shorttext"/>
                  <w:rFonts w:ascii="Sylfaen" w:eastAsia="Calibri" w:hAnsi="Sylfaen" w:cs="Sylfaen"/>
                </w:rPr>
                <w:t>maya_vashakidze@yahoo.co.uk</w:t>
              </w:r>
            </w:hyperlink>
            <w:r w:rsidR="00DA02CD" w:rsidRPr="00DA02CD">
              <w:rPr>
                <w:rStyle w:val="shorttext"/>
                <w:rFonts w:ascii="Sylfaen" w:eastAsia="Calibri" w:hAnsi="Sylfaen" w:cs="Sylfaen"/>
              </w:rPr>
              <w:t xml:space="preserve"> </w:t>
            </w:r>
          </w:p>
        </w:tc>
      </w:tr>
      <w:tr w:rsidR="00DA02CD" w:rsidRPr="00DA02CD" w14:paraId="613973DC" w14:textId="77777777" w:rsidTr="00FC0FF4">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875" w:type="dxa"/>
          </w:tcPr>
          <w:p w14:paraId="4B9B6FFA" w14:textId="77777777" w:rsidR="00DA02CD" w:rsidRPr="00DA02CD" w:rsidRDefault="00DA02CD" w:rsidP="00DA02CD">
            <w:pPr>
              <w:jc w:val="left"/>
              <w:rPr>
                <w:rStyle w:val="shorttext"/>
                <w:rFonts w:ascii="Sylfaen" w:eastAsia="Calibri" w:hAnsi="Sylfaen" w:cs="Sylfaen"/>
              </w:rPr>
            </w:pPr>
            <w:r w:rsidRPr="00DA02CD">
              <w:rPr>
                <w:rStyle w:val="shorttext"/>
                <w:rFonts w:ascii="Sylfaen" w:eastAsia="Calibri" w:hAnsi="Sylfaen" w:cs="Sylfaen"/>
              </w:rPr>
              <w:t>საკონსულტაციო კომპანია</w:t>
            </w:r>
          </w:p>
        </w:tc>
        <w:tc>
          <w:tcPr>
            <w:tcW w:w="7200" w:type="dxa"/>
          </w:tcPr>
          <w:p w14:paraId="252395E0" w14:textId="57006DC0" w:rsidR="00DA02CD" w:rsidRPr="002C0524" w:rsidRDefault="002C0524" w:rsidP="00DA02CD">
            <w:pPr>
              <w:jc w:val="left"/>
              <w:cnfStyle w:val="000000100000" w:firstRow="0" w:lastRow="0" w:firstColumn="0" w:lastColumn="0" w:oddVBand="0" w:evenVBand="0" w:oddHBand="1" w:evenHBand="0" w:firstRowFirstColumn="0" w:firstRowLastColumn="0" w:lastRowFirstColumn="0" w:lastRowLastColumn="0"/>
              <w:rPr>
                <w:rStyle w:val="shorttext"/>
                <w:rFonts w:ascii="Sylfaen" w:eastAsia="Calibri" w:hAnsi="Sylfaen" w:cs="Sylfaen"/>
                <w:lang w:val="ka-GE"/>
              </w:rPr>
            </w:pPr>
            <w:r>
              <w:rPr>
                <w:rStyle w:val="shorttext"/>
                <w:rFonts w:ascii="Sylfaen" w:eastAsia="Calibri" w:hAnsi="Sylfaen" w:cs="Sylfaen"/>
                <w:lang w:val="ka-GE"/>
              </w:rPr>
              <w:t>„</w:t>
            </w:r>
            <w:r w:rsidRPr="000321C7">
              <w:rPr>
                <w:rFonts w:ascii="Times New Roman" w:hAnsi="Times New Roman"/>
                <w:spacing w:val="-2"/>
              </w:rPr>
              <w:t>Kocks Consult GMBH</w:t>
            </w:r>
            <w:r>
              <w:rPr>
                <w:rFonts w:ascii="Sylfaen" w:hAnsi="Sylfaen"/>
                <w:spacing w:val="-2"/>
                <w:lang w:val="ka-GE"/>
              </w:rPr>
              <w:t>“</w:t>
            </w:r>
            <w:r>
              <w:rPr>
                <w:rFonts w:ascii="Sylfaen" w:hAnsi="Sylfaen"/>
                <w:spacing w:val="-2"/>
                <w:lang w:val="en-US"/>
              </w:rPr>
              <w:t>/</w:t>
            </w:r>
            <w:r>
              <w:rPr>
                <w:rFonts w:ascii="Sylfaen" w:hAnsi="Sylfaen"/>
                <w:spacing w:val="-2"/>
                <w:lang w:val="ka-GE"/>
              </w:rPr>
              <w:t>შპს „ბითი“</w:t>
            </w:r>
          </w:p>
        </w:tc>
      </w:tr>
      <w:tr w:rsidR="00DA02CD" w:rsidRPr="00AB50EE" w14:paraId="5799776B" w14:textId="77777777" w:rsidTr="00FC0FF4">
        <w:trPr>
          <w:trHeight w:val="282"/>
        </w:trPr>
        <w:tc>
          <w:tcPr>
            <w:cnfStyle w:val="001000000000" w:firstRow="0" w:lastRow="0" w:firstColumn="1" w:lastColumn="0" w:oddVBand="0" w:evenVBand="0" w:oddHBand="0" w:evenHBand="0" w:firstRowFirstColumn="0" w:firstRowLastColumn="0" w:lastRowFirstColumn="0" w:lastRowLastColumn="0"/>
            <w:tcW w:w="2875" w:type="dxa"/>
          </w:tcPr>
          <w:p w14:paraId="07E87DAE" w14:textId="1C62FE3B" w:rsidR="00DA02CD" w:rsidRPr="00DA02CD" w:rsidRDefault="00DA02CD" w:rsidP="00DA02CD">
            <w:pPr>
              <w:jc w:val="left"/>
              <w:rPr>
                <w:rStyle w:val="shorttext"/>
                <w:rFonts w:ascii="Sylfaen" w:eastAsia="Calibri" w:hAnsi="Sylfaen" w:cs="Sylfaen"/>
              </w:rPr>
            </w:pPr>
            <w:r w:rsidRPr="00DA02CD">
              <w:rPr>
                <w:rStyle w:val="shorttext"/>
                <w:rFonts w:ascii="Sylfaen" w:eastAsia="Calibri" w:hAnsi="Sylfaen" w:cs="Sylfaen"/>
              </w:rPr>
              <w:t xml:space="preserve">საკონტაქტო </w:t>
            </w:r>
            <w:r>
              <w:rPr>
                <w:rStyle w:val="shorttext"/>
                <w:rFonts w:ascii="Sylfaen" w:eastAsia="Calibri" w:hAnsi="Sylfaen" w:cs="Sylfaen"/>
                <w:lang w:val="ka-GE"/>
              </w:rPr>
              <w:t>ინფორმაცია</w:t>
            </w:r>
          </w:p>
        </w:tc>
        <w:tc>
          <w:tcPr>
            <w:tcW w:w="7200" w:type="dxa"/>
          </w:tcPr>
          <w:p w14:paraId="59817803" w14:textId="36F921BE" w:rsidR="00DA02CD" w:rsidRDefault="00FC0FF4" w:rsidP="00DA02CD">
            <w:pPr>
              <w:pStyle w:val="NormalWeb"/>
              <w:spacing w:before="0" w:beforeAutospacing="0" w:after="0" w:afterAutospacing="0"/>
              <w:ind w:left="61"/>
              <w:cnfStyle w:val="000000000000" w:firstRow="0" w:lastRow="0" w:firstColumn="0" w:lastColumn="0" w:oddVBand="0" w:evenVBand="0" w:oddHBand="0" w:evenHBand="0" w:firstRowFirstColumn="0" w:firstRowLastColumn="0" w:lastRowFirstColumn="0" w:lastRowLastColumn="0"/>
              <w:rPr>
                <w:rFonts w:ascii="Calibri" w:hAnsi="Calibri" w:cs="Calibri"/>
                <w:color w:val="222222"/>
                <w:sz w:val="22"/>
                <w:szCs w:val="22"/>
              </w:rPr>
            </w:pPr>
            <w:r w:rsidRPr="00FC0FF4">
              <w:rPr>
                <w:rFonts w:ascii="Sylfaen" w:hAnsi="Sylfaen" w:cs="Calibri"/>
                <w:color w:val="222222"/>
                <w:sz w:val="22"/>
                <w:szCs w:val="22"/>
                <w:lang w:val="ka-GE"/>
              </w:rPr>
              <w:t>საპროექტო-საკონსულტაციო კომპანია</w:t>
            </w:r>
            <w:r w:rsidR="00DA02CD">
              <w:rPr>
                <w:rStyle w:val="shorttext"/>
                <w:rFonts w:ascii="Sylfaen" w:eastAsia="Calibri" w:hAnsi="Sylfaen" w:cs="Sylfaen"/>
                <w:sz w:val="22"/>
                <w:lang w:val="ka-GE"/>
              </w:rPr>
              <w:t xml:space="preserve"> შპს „ბითი“</w:t>
            </w:r>
            <w:r w:rsidR="00DA02CD" w:rsidRPr="00DA02CD">
              <w:rPr>
                <w:rStyle w:val="shorttext"/>
                <w:rFonts w:ascii="Sylfaen" w:eastAsia="Calibri" w:hAnsi="Sylfaen" w:cs="Sylfaen"/>
                <w:sz w:val="22"/>
              </w:rPr>
              <w:t xml:space="preserve"> </w:t>
            </w:r>
          </w:p>
          <w:p w14:paraId="0BB9FCF5" w14:textId="77D978BF" w:rsidR="002C0524" w:rsidRDefault="002C0524" w:rsidP="00DA02CD">
            <w:pPr>
              <w:pStyle w:val="NormalWeb"/>
              <w:spacing w:before="0" w:beforeAutospacing="0" w:after="0" w:afterAutospacing="0"/>
              <w:ind w:left="61"/>
              <w:cnfStyle w:val="000000000000" w:firstRow="0" w:lastRow="0" w:firstColumn="0" w:lastColumn="0" w:oddVBand="0" w:evenVBand="0" w:oddHBand="0" w:evenHBand="0" w:firstRowFirstColumn="0" w:firstRowLastColumn="0" w:lastRowFirstColumn="0" w:lastRowLastColumn="0"/>
              <w:rPr>
                <w:rFonts w:ascii="Sylfaen" w:hAnsi="Sylfaen" w:cs="Calibri"/>
                <w:color w:val="222222"/>
                <w:sz w:val="22"/>
                <w:szCs w:val="22"/>
                <w:lang w:val="ka-GE"/>
              </w:rPr>
            </w:pPr>
            <w:r>
              <w:rPr>
                <w:rFonts w:ascii="Sylfaen" w:hAnsi="Sylfaen" w:cs="Calibri"/>
                <w:color w:val="222222"/>
                <w:sz w:val="22"/>
                <w:szCs w:val="22"/>
                <w:lang w:val="ka-GE"/>
              </w:rPr>
              <w:t>მის: ბიძინა კვერნაძის ქ. #30, 0171 თბილისი, საქართველო</w:t>
            </w:r>
          </w:p>
          <w:p w14:paraId="3B2AAC12" w14:textId="77777777" w:rsidR="00FC0FF4" w:rsidRPr="00FC0FF4" w:rsidRDefault="00FC0FF4" w:rsidP="00FC0FF4">
            <w:pPr>
              <w:pStyle w:val="NormalWeb"/>
              <w:spacing w:before="0" w:beforeAutospacing="0" w:after="0" w:afterAutospacing="0"/>
              <w:ind w:left="61"/>
              <w:cnfStyle w:val="000000000000" w:firstRow="0" w:lastRow="0" w:firstColumn="0" w:lastColumn="0" w:oddVBand="0" w:evenVBand="0" w:oddHBand="0" w:evenHBand="0" w:firstRowFirstColumn="0" w:firstRowLastColumn="0" w:lastRowFirstColumn="0" w:lastRowLastColumn="0"/>
              <w:rPr>
                <w:rFonts w:ascii="Calibri" w:hAnsi="Calibri" w:cs="Calibri"/>
                <w:color w:val="222222"/>
                <w:sz w:val="22"/>
                <w:szCs w:val="22"/>
                <w:lang w:val="ka-GE"/>
              </w:rPr>
            </w:pPr>
            <w:r>
              <w:rPr>
                <w:rFonts w:ascii="Sylfaen" w:hAnsi="Sylfaen" w:cs="Calibri"/>
                <w:color w:val="222222"/>
                <w:sz w:val="22"/>
                <w:szCs w:val="22"/>
                <w:lang w:val="ka-GE"/>
              </w:rPr>
              <w:t xml:space="preserve">ტელ: </w:t>
            </w:r>
            <w:r w:rsidRPr="00FC0FF4">
              <w:rPr>
                <w:rFonts w:ascii="Calibri" w:hAnsi="Calibri" w:cs="Calibri"/>
                <w:color w:val="222222"/>
                <w:sz w:val="22"/>
                <w:szCs w:val="22"/>
                <w:lang w:val="ka-GE"/>
              </w:rPr>
              <w:t> </w:t>
            </w:r>
            <w:hyperlink r:id="rId18" w:tgtFrame="_blank" w:history="1">
              <w:r w:rsidRPr="00FC0FF4">
                <w:rPr>
                  <w:rStyle w:val="Hyperlink"/>
                  <w:rFonts w:ascii="Calibri" w:hAnsi="Calibri" w:cs="Calibri"/>
                  <w:color w:val="1155CC"/>
                  <w:sz w:val="22"/>
                  <w:szCs w:val="22"/>
                  <w:lang w:val="ka-GE"/>
                </w:rPr>
                <w:t>(+995 32) 2-30 01 02</w:t>
              </w:r>
            </w:hyperlink>
          </w:p>
          <w:p w14:paraId="6CFA3530" w14:textId="77777777" w:rsidR="00FC0FF4" w:rsidRDefault="00FC0FF4" w:rsidP="00DA02CD">
            <w:pPr>
              <w:pStyle w:val="NormalWeb"/>
              <w:spacing w:before="0" w:beforeAutospacing="0" w:after="0" w:afterAutospacing="0"/>
              <w:ind w:left="61"/>
              <w:cnfStyle w:val="000000000000" w:firstRow="0" w:lastRow="0" w:firstColumn="0" w:lastColumn="0" w:oddVBand="0" w:evenVBand="0" w:oddHBand="0" w:evenHBand="0" w:firstRowFirstColumn="0" w:firstRowLastColumn="0" w:lastRowFirstColumn="0" w:lastRowLastColumn="0"/>
              <w:rPr>
                <w:rFonts w:ascii="Sylfaen" w:hAnsi="Sylfaen" w:cs="Calibri"/>
                <w:color w:val="222222"/>
                <w:sz w:val="22"/>
                <w:szCs w:val="22"/>
                <w:lang w:val="ka-GE"/>
              </w:rPr>
            </w:pPr>
          </w:p>
          <w:p w14:paraId="66521AD4" w14:textId="77777777" w:rsidR="0073591C" w:rsidRPr="00FC0FF4" w:rsidRDefault="0073591C" w:rsidP="00DA02CD">
            <w:pPr>
              <w:pStyle w:val="NormalWeb"/>
              <w:spacing w:before="0" w:beforeAutospacing="0" w:after="0" w:afterAutospacing="0"/>
              <w:ind w:left="61"/>
              <w:cnfStyle w:val="000000000000" w:firstRow="0" w:lastRow="0" w:firstColumn="0" w:lastColumn="0" w:oddVBand="0" w:evenVBand="0" w:oddHBand="0" w:evenHBand="0" w:firstRowFirstColumn="0" w:firstRowLastColumn="0" w:lastRowFirstColumn="0" w:lastRowLastColumn="0"/>
              <w:rPr>
                <w:lang w:val="ka-GE"/>
              </w:rPr>
            </w:pPr>
            <w:r w:rsidRPr="00FC0FF4">
              <w:rPr>
                <w:lang w:val="ka-GE"/>
              </w:rPr>
              <w:t xml:space="preserve">Kocks Consult GmbH </w:t>
            </w:r>
          </w:p>
          <w:p w14:paraId="06BF96CC" w14:textId="2385BF36" w:rsidR="0073591C" w:rsidRDefault="0073591C" w:rsidP="00DA02CD">
            <w:pPr>
              <w:pStyle w:val="NormalWeb"/>
              <w:spacing w:before="0" w:beforeAutospacing="0" w:after="0" w:afterAutospacing="0"/>
              <w:ind w:left="61"/>
              <w:cnfStyle w:val="000000000000" w:firstRow="0" w:lastRow="0" w:firstColumn="0" w:lastColumn="0" w:oddVBand="0" w:evenVBand="0" w:oddHBand="0" w:evenHBand="0" w:firstRowFirstColumn="0" w:firstRowLastColumn="0" w:lastRowFirstColumn="0" w:lastRowLastColumn="0"/>
              <w:rPr>
                <w:rFonts w:ascii="Sylfaen" w:hAnsi="Sylfaen" w:cs="Calibri"/>
                <w:color w:val="222222"/>
                <w:sz w:val="22"/>
                <w:szCs w:val="22"/>
                <w:lang w:val="ka-GE"/>
              </w:rPr>
            </w:pPr>
            <w:r>
              <w:rPr>
                <w:rFonts w:ascii="Sylfaen" w:hAnsi="Sylfaen"/>
                <w:lang w:val="ka-GE"/>
              </w:rPr>
              <w:t xml:space="preserve">მის: </w:t>
            </w:r>
            <w:r w:rsidRPr="00FC0FF4">
              <w:rPr>
                <w:lang w:val="ka-GE"/>
              </w:rPr>
              <w:t xml:space="preserve">Stegemannstr. 32-38 56068 </w:t>
            </w:r>
            <w:r>
              <w:rPr>
                <w:rFonts w:ascii="Sylfaen" w:hAnsi="Sylfaen"/>
                <w:lang w:val="ka-GE"/>
              </w:rPr>
              <w:t xml:space="preserve">კობლენც/გერმანია </w:t>
            </w:r>
          </w:p>
          <w:p w14:paraId="376B5176" w14:textId="77777777" w:rsidR="00DA02CD" w:rsidRPr="00FC0FF4" w:rsidRDefault="002C0524" w:rsidP="002C0524">
            <w:pPr>
              <w:pStyle w:val="NormalWeb"/>
              <w:spacing w:before="0" w:beforeAutospacing="0" w:after="0" w:afterAutospacing="0"/>
              <w:ind w:left="61"/>
              <w:cnfStyle w:val="000000000000" w:firstRow="0" w:lastRow="0" w:firstColumn="0" w:lastColumn="0" w:oddVBand="0" w:evenVBand="0" w:oddHBand="0" w:evenHBand="0" w:firstRowFirstColumn="0" w:firstRowLastColumn="0" w:lastRowFirstColumn="0" w:lastRowLastColumn="0"/>
              <w:rPr>
                <w:rFonts w:ascii="Calibri" w:hAnsi="Calibri" w:cs="Calibri"/>
                <w:color w:val="222222"/>
                <w:sz w:val="22"/>
                <w:szCs w:val="22"/>
                <w:lang w:val="ka-GE"/>
              </w:rPr>
            </w:pPr>
            <w:r>
              <w:rPr>
                <w:rFonts w:ascii="Sylfaen" w:hAnsi="Sylfaen" w:cs="Calibri"/>
                <w:color w:val="222222"/>
                <w:sz w:val="22"/>
                <w:szCs w:val="22"/>
                <w:lang w:val="ka-GE"/>
              </w:rPr>
              <w:t>ვებ გვერდი</w:t>
            </w:r>
            <w:r w:rsidR="00DA02CD" w:rsidRPr="00FC0FF4">
              <w:rPr>
                <w:rFonts w:ascii="Calibri" w:hAnsi="Calibri" w:cs="Calibri"/>
                <w:color w:val="222222"/>
                <w:sz w:val="22"/>
                <w:szCs w:val="22"/>
                <w:lang w:val="ka-GE"/>
              </w:rPr>
              <w:t>: </w:t>
            </w:r>
            <w:hyperlink r:id="rId19" w:tgtFrame="_blank" w:history="1">
              <w:r w:rsidR="00DA02CD" w:rsidRPr="00FC0FF4">
                <w:rPr>
                  <w:rStyle w:val="Hyperlink"/>
                  <w:rFonts w:ascii="Calibri" w:hAnsi="Calibri" w:cs="Calibri"/>
                  <w:color w:val="1155CC"/>
                  <w:sz w:val="22"/>
                  <w:szCs w:val="22"/>
                  <w:lang w:val="ka-GE"/>
                </w:rPr>
                <w:t>www.btconsult.ge</w:t>
              </w:r>
            </w:hyperlink>
          </w:p>
          <w:p w14:paraId="7D2A3753" w14:textId="09689F0F" w:rsidR="0073591C" w:rsidRPr="0073591C" w:rsidRDefault="0073591C" w:rsidP="0073591C">
            <w:pPr>
              <w:pStyle w:val="NormalWeb"/>
              <w:spacing w:before="0" w:beforeAutospacing="0" w:after="0" w:afterAutospacing="0"/>
              <w:ind w:left="61"/>
              <w:cnfStyle w:val="000000000000" w:firstRow="0" w:lastRow="0" w:firstColumn="0" w:lastColumn="0" w:oddVBand="0" w:evenVBand="0" w:oddHBand="0" w:evenHBand="0" w:firstRowFirstColumn="0" w:firstRowLastColumn="0" w:lastRowFirstColumn="0" w:lastRowLastColumn="0"/>
              <w:rPr>
                <w:rStyle w:val="shorttext"/>
                <w:rFonts w:ascii="Sylfaen" w:hAnsi="Sylfaen" w:cs="Calibri"/>
                <w:color w:val="222222"/>
                <w:sz w:val="22"/>
                <w:szCs w:val="22"/>
                <w:lang w:val="ka-GE"/>
              </w:rPr>
            </w:pPr>
            <w:r w:rsidRPr="00FC0FF4">
              <w:rPr>
                <w:rFonts w:ascii="Sylfaen" w:hAnsi="Sylfaen"/>
                <w:lang w:val="ka-GE"/>
              </w:rPr>
              <w:t xml:space="preserve">                     </w:t>
            </w:r>
            <w:hyperlink r:id="rId20" w:history="1">
              <w:r w:rsidRPr="00C6605E">
                <w:rPr>
                  <w:rStyle w:val="Hyperlink"/>
                  <w:rFonts w:ascii="Sylfaen" w:hAnsi="Sylfaen"/>
                  <w:lang w:val="ka-GE"/>
                </w:rPr>
                <w:t>www.kocks-ing.de/en/</w:t>
              </w:r>
            </w:hyperlink>
            <w:r w:rsidRPr="0073591C">
              <w:rPr>
                <w:rFonts w:ascii="Sylfaen" w:hAnsi="Sylfaen"/>
                <w:lang w:val="ka-GE"/>
              </w:rPr>
              <w:t xml:space="preserve"> </w:t>
            </w:r>
          </w:p>
        </w:tc>
      </w:tr>
    </w:tbl>
    <w:p w14:paraId="35871EE9" w14:textId="77777777" w:rsidR="00DA02CD" w:rsidRPr="000850E9" w:rsidRDefault="00DA02CD" w:rsidP="00DA02CD">
      <w:pPr>
        <w:spacing w:before="120"/>
        <w:rPr>
          <w:lang w:val="ka-GE"/>
        </w:rPr>
      </w:pPr>
    </w:p>
    <w:p w14:paraId="61F0C6B0" w14:textId="49C4BAE2" w:rsidR="00B65E69" w:rsidRPr="00C6605E" w:rsidRDefault="00B65E69" w:rsidP="002B56CC">
      <w:pPr>
        <w:pStyle w:val="NoSpacing"/>
        <w:rPr>
          <w:rFonts w:eastAsia="Arial"/>
          <w:lang w:val="ka-GE"/>
        </w:rPr>
      </w:pPr>
    </w:p>
    <w:p w14:paraId="1B42546F" w14:textId="327F6FFD" w:rsidR="00B65E69" w:rsidRPr="00C6605E" w:rsidRDefault="00B65E69" w:rsidP="002B56CC">
      <w:pPr>
        <w:pStyle w:val="NoSpacing"/>
        <w:rPr>
          <w:rFonts w:eastAsia="Arial"/>
          <w:lang w:val="ka-GE"/>
        </w:rPr>
      </w:pPr>
    </w:p>
    <w:p w14:paraId="5DF81BD8" w14:textId="396F97D6" w:rsidR="00B65E69" w:rsidRPr="00C6605E" w:rsidRDefault="00B65E69" w:rsidP="002B56CC">
      <w:pPr>
        <w:pStyle w:val="NoSpacing"/>
        <w:rPr>
          <w:rFonts w:eastAsia="Arial"/>
          <w:lang w:val="ka-GE"/>
        </w:rPr>
      </w:pPr>
    </w:p>
    <w:p w14:paraId="0920CC34" w14:textId="6E11CF24" w:rsidR="00B65E69" w:rsidRPr="00C6605E" w:rsidRDefault="00B65E69" w:rsidP="002B56CC">
      <w:pPr>
        <w:pStyle w:val="NoSpacing"/>
        <w:rPr>
          <w:rFonts w:eastAsia="Arial"/>
          <w:lang w:val="ka-GE"/>
        </w:rPr>
      </w:pPr>
    </w:p>
    <w:p w14:paraId="3C447E6E" w14:textId="0B91AEE7" w:rsidR="00B65E69" w:rsidRPr="00C6605E" w:rsidRDefault="00B65E69" w:rsidP="002B56CC">
      <w:pPr>
        <w:pStyle w:val="NoSpacing"/>
        <w:rPr>
          <w:rFonts w:eastAsia="Arial"/>
          <w:lang w:val="ka-GE"/>
        </w:rPr>
      </w:pPr>
    </w:p>
    <w:p w14:paraId="6EEF8A3D" w14:textId="6ECA2C6D" w:rsidR="00B65E69" w:rsidRPr="00C6605E" w:rsidRDefault="00B65E69" w:rsidP="002B56CC">
      <w:pPr>
        <w:pStyle w:val="NoSpacing"/>
        <w:rPr>
          <w:rFonts w:eastAsia="Arial"/>
          <w:lang w:val="ka-GE"/>
        </w:rPr>
      </w:pPr>
    </w:p>
    <w:p w14:paraId="5D1756E5" w14:textId="49FAB402" w:rsidR="00B65E69" w:rsidRPr="00C6605E" w:rsidRDefault="00B65E69" w:rsidP="002B56CC">
      <w:pPr>
        <w:pStyle w:val="NoSpacing"/>
        <w:rPr>
          <w:rFonts w:eastAsia="Arial"/>
          <w:lang w:val="ka-GE"/>
        </w:rPr>
      </w:pPr>
    </w:p>
    <w:p w14:paraId="31D89EDF" w14:textId="65C372E7" w:rsidR="00B65E69" w:rsidRPr="00C6605E" w:rsidRDefault="00B65E69" w:rsidP="002B56CC">
      <w:pPr>
        <w:pStyle w:val="NoSpacing"/>
        <w:rPr>
          <w:rFonts w:eastAsia="Arial"/>
          <w:lang w:val="ka-GE"/>
        </w:rPr>
      </w:pPr>
    </w:p>
    <w:p w14:paraId="161C026E" w14:textId="7A26FFB1" w:rsidR="00B65E69" w:rsidRPr="00C6605E" w:rsidRDefault="00B65E69" w:rsidP="002B56CC">
      <w:pPr>
        <w:pStyle w:val="NoSpacing"/>
        <w:rPr>
          <w:rFonts w:eastAsia="Arial"/>
          <w:lang w:val="ka-GE"/>
        </w:rPr>
      </w:pPr>
    </w:p>
    <w:p w14:paraId="452C2109" w14:textId="5FEE3749" w:rsidR="00DA02CD" w:rsidRPr="00C6605E" w:rsidRDefault="00DA02CD" w:rsidP="002B56CC">
      <w:pPr>
        <w:pStyle w:val="NoSpacing"/>
        <w:rPr>
          <w:rFonts w:eastAsia="Arial"/>
          <w:lang w:val="ka-GE"/>
        </w:rPr>
      </w:pPr>
    </w:p>
    <w:p w14:paraId="50CBD4F1" w14:textId="15C33BB6" w:rsidR="00DA02CD" w:rsidRPr="00C6605E" w:rsidRDefault="00DA02CD" w:rsidP="002B56CC">
      <w:pPr>
        <w:pStyle w:val="NoSpacing"/>
        <w:rPr>
          <w:rFonts w:eastAsia="Arial"/>
          <w:lang w:val="ka-GE"/>
        </w:rPr>
      </w:pPr>
    </w:p>
    <w:p w14:paraId="7DD6812A" w14:textId="6FFD524A" w:rsidR="00DA02CD" w:rsidRPr="00C6605E" w:rsidRDefault="00DA02CD" w:rsidP="002B56CC">
      <w:pPr>
        <w:pStyle w:val="NoSpacing"/>
        <w:rPr>
          <w:rFonts w:eastAsia="Arial"/>
          <w:lang w:val="ka-GE"/>
        </w:rPr>
      </w:pPr>
    </w:p>
    <w:p w14:paraId="644AC61C" w14:textId="2D940233" w:rsidR="00DA02CD" w:rsidRPr="00C6605E" w:rsidRDefault="00DA02CD" w:rsidP="002B56CC">
      <w:pPr>
        <w:pStyle w:val="NoSpacing"/>
        <w:rPr>
          <w:rFonts w:eastAsia="Arial"/>
          <w:lang w:val="ka-GE"/>
        </w:rPr>
      </w:pPr>
    </w:p>
    <w:p w14:paraId="222528C9" w14:textId="63A64F1C" w:rsidR="00DA02CD" w:rsidRPr="00C6605E" w:rsidRDefault="00DA02CD" w:rsidP="002B56CC">
      <w:pPr>
        <w:pStyle w:val="NoSpacing"/>
        <w:rPr>
          <w:rFonts w:eastAsia="Arial"/>
          <w:lang w:val="ka-GE"/>
        </w:rPr>
      </w:pPr>
    </w:p>
    <w:p w14:paraId="7E35D197" w14:textId="53D8A432" w:rsidR="00DA02CD" w:rsidRPr="00C6605E" w:rsidRDefault="00DA02CD" w:rsidP="002B56CC">
      <w:pPr>
        <w:pStyle w:val="NoSpacing"/>
        <w:rPr>
          <w:rFonts w:eastAsia="Arial"/>
          <w:lang w:val="ka-GE"/>
        </w:rPr>
      </w:pPr>
    </w:p>
    <w:p w14:paraId="391FFCA3" w14:textId="381BDA4B" w:rsidR="00DA02CD" w:rsidRPr="00C6605E" w:rsidRDefault="00DA02CD" w:rsidP="002B56CC">
      <w:pPr>
        <w:pStyle w:val="NoSpacing"/>
        <w:rPr>
          <w:rFonts w:eastAsia="Arial"/>
          <w:lang w:val="ka-GE"/>
        </w:rPr>
      </w:pPr>
    </w:p>
    <w:p w14:paraId="1F922F03" w14:textId="77777777" w:rsidR="00DA02CD" w:rsidRPr="00C6605E" w:rsidRDefault="00DA02CD" w:rsidP="002B56CC">
      <w:pPr>
        <w:pStyle w:val="NoSpacing"/>
        <w:rPr>
          <w:rFonts w:eastAsia="Arial"/>
          <w:lang w:val="ka-GE"/>
        </w:rPr>
      </w:pPr>
    </w:p>
    <w:p w14:paraId="7853CA0A" w14:textId="51D01B86" w:rsidR="00B65E69" w:rsidRPr="00C6605E" w:rsidRDefault="00B65E69" w:rsidP="002B56CC">
      <w:pPr>
        <w:pStyle w:val="NoSpacing"/>
        <w:rPr>
          <w:rFonts w:eastAsia="Arial"/>
          <w:lang w:val="ka-GE"/>
        </w:rPr>
      </w:pPr>
    </w:p>
    <w:p w14:paraId="37BCB594" w14:textId="4C31FEBB" w:rsidR="00B65E69" w:rsidRPr="00C6605E" w:rsidRDefault="00B65E69" w:rsidP="002B56CC">
      <w:pPr>
        <w:pStyle w:val="NoSpacing"/>
        <w:rPr>
          <w:rFonts w:eastAsia="Arial"/>
          <w:lang w:val="ka-GE"/>
        </w:rPr>
      </w:pPr>
    </w:p>
    <w:p w14:paraId="3506203B" w14:textId="4D43C571" w:rsidR="004B1ED5" w:rsidRPr="00C6605E" w:rsidRDefault="004B1ED5" w:rsidP="002B56CC">
      <w:pPr>
        <w:pStyle w:val="NoSpacing"/>
        <w:rPr>
          <w:rFonts w:eastAsia="Arial"/>
          <w:lang w:val="ka-GE"/>
        </w:rPr>
      </w:pPr>
    </w:p>
    <w:p w14:paraId="3BFA6042" w14:textId="4510D421" w:rsidR="004B1ED5" w:rsidRPr="00C6605E" w:rsidRDefault="004B1ED5" w:rsidP="002B56CC">
      <w:pPr>
        <w:pStyle w:val="NoSpacing"/>
        <w:rPr>
          <w:rFonts w:eastAsia="Arial"/>
          <w:lang w:val="ka-GE"/>
        </w:rPr>
      </w:pPr>
    </w:p>
    <w:p w14:paraId="38515291" w14:textId="77777777" w:rsidR="00C34EFD" w:rsidRDefault="00260459" w:rsidP="00C34EFD">
      <w:pPr>
        <w:pStyle w:val="EIAH1"/>
      </w:pPr>
      <w:bookmarkStart w:id="2" w:name="_Toc1581481"/>
      <w:r w:rsidRPr="00F45107">
        <w:lastRenderedPageBreak/>
        <w:t>იურიდიული და ინსტიტუცი</w:t>
      </w:r>
      <w:r w:rsidR="00D85C84" w:rsidRPr="00F45107">
        <w:t>ონალ</w:t>
      </w:r>
      <w:r w:rsidR="00F1617D" w:rsidRPr="00F45107">
        <w:t>ური ჩარჩო</w:t>
      </w:r>
      <w:bookmarkEnd w:id="2"/>
    </w:p>
    <w:p w14:paraId="025F101D" w14:textId="77777777" w:rsidR="00D848EC" w:rsidRPr="001352AB" w:rsidRDefault="00D848EC" w:rsidP="00D848EC">
      <w:pPr>
        <w:spacing w:before="120" w:after="120"/>
        <w:rPr>
          <w:lang w:val="ka-GE"/>
        </w:rPr>
      </w:pPr>
      <w:r w:rsidRPr="001352AB">
        <w:rPr>
          <w:rFonts w:ascii="Sylfaen" w:hAnsi="Sylfaen" w:cs="Sylfaen"/>
        </w:rPr>
        <w:t>პროექტის</w:t>
      </w:r>
      <w:r w:rsidRPr="001352AB">
        <w:t xml:space="preserve"> </w:t>
      </w:r>
      <w:r w:rsidRPr="001352AB">
        <w:rPr>
          <w:rFonts w:ascii="Sylfaen" w:hAnsi="Sylfaen" w:cs="Sylfaen"/>
        </w:rPr>
        <w:t>გარემოზე</w:t>
      </w:r>
      <w:r w:rsidRPr="001352AB">
        <w:t xml:space="preserve"> </w:t>
      </w:r>
      <w:r w:rsidRPr="001352AB">
        <w:rPr>
          <w:rFonts w:ascii="Sylfaen" w:hAnsi="Sylfaen" w:cs="Sylfaen"/>
        </w:rPr>
        <w:t>ზემოქმედების</w:t>
      </w:r>
      <w:r w:rsidRPr="001352AB">
        <w:t xml:space="preserve"> </w:t>
      </w:r>
      <w:r w:rsidRPr="001352AB">
        <w:rPr>
          <w:rFonts w:ascii="Sylfaen" w:hAnsi="Sylfaen" w:cs="Sylfaen"/>
        </w:rPr>
        <w:t>პროცესში</w:t>
      </w:r>
      <w:r w:rsidRPr="001352AB">
        <w:t xml:space="preserve"> </w:t>
      </w:r>
      <w:r w:rsidRPr="001352AB">
        <w:rPr>
          <w:rFonts w:ascii="Sylfaen" w:hAnsi="Sylfaen" w:cs="Sylfaen"/>
        </w:rPr>
        <w:t>გათვალისწინებულია</w:t>
      </w:r>
      <w:r w:rsidRPr="001352AB">
        <w:t xml:space="preserve"> </w:t>
      </w:r>
      <w:r w:rsidRPr="001352AB">
        <w:rPr>
          <w:rFonts w:ascii="Sylfaen" w:hAnsi="Sylfaen" w:cs="Sylfaen"/>
        </w:rPr>
        <w:t>საქართველოს</w:t>
      </w:r>
      <w:r w:rsidRPr="001352AB">
        <w:t xml:space="preserve"> </w:t>
      </w:r>
      <w:r w:rsidRPr="001352AB">
        <w:rPr>
          <w:rFonts w:ascii="Sylfaen" w:hAnsi="Sylfaen" w:cs="Sylfaen"/>
        </w:rPr>
        <w:t>შემდეგი</w:t>
      </w:r>
      <w:r w:rsidRPr="001352AB">
        <w:t xml:space="preserve"> </w:t>
      </w:r>
      <w:r w:rsidRPr="001352AB">
        <w:rPr>
          <w:rFonts w:ascii="Sylfaen" w:hAnsi="Sylfaen" w:cs="Sylfaen"/>
        </w:rPr>
        <w:t>გარემოს</w:t>
      </w:r>
      <w:r w:rsidRPr="001352AB">
        <w:t xml:space="preserve"> </w:t>
      </w:r>
      <w:r w:rsidRPr="001352AB">
        <w:rPr>
          <w:rFonts w:ascii="Sylfaen" w:hAnsi="Sylfaen" w:cs="Sylfaen"/>
        </w:rPr>
        <w:t>დაცვითი</w:t>
      </w:r>
      <w:r w:rsidRPr="001352AB">
        <w:t xml:space="preserve"> </w:t>
      </w:r>
      <w:r w:rsidRPr="001352AB">
        <w:rPr>
          <w:rFonts w:ascii="Sylfaen" w:hAnsi="Sylfaen" w:cs="Sylfaen"/>
        </w:rPr>
        <w:t>კანონების</w:t>
      </w:r>
      <w:r w:rsidRPr="001352AB">
        <w:t xml:space="preserve"> </w:t>
      </w:r>
      <w:r w:rsidRPr="001352AB">
        <w:rPr>
          <w:rFonts w:ascii="Sylfaen" w:hAnsi="Sylfaen" w:cs="Sylfaen"/>
        </w:rPr>
        <w:t>მოთხოვნები</w:t>
      </w:r>
      <w:r w:rsidRPr="001352AB">
        <w:t>.</w:t>
      </w:r>
    </w:p>
    <w:p w14:paraId="13F9D113" w14:textId="77777777" w:rsidR="00D848EC" w:rsidRPr="001352AB" w:rsidRDefault="00D848EC" w:rsidP="00D848EC">
      <w:pPr>
        <w:spacing w:before="120" w:after="120"/>
        <w:jc w:val="center"/>
      </w:pPr>
      <w:r w:rsidRPr="001352AB">
        <w:rPr>
          <w:rFonts w:ascii="Sylfaen" w:hAnsi="Sylfaen" w:cs="Sylfaen"/>
        </w:rPr>
        <w:t>საქართველოს</w:t>
      </w:r>
      <w:r w:rsidRPr="001352AB">
        <w:t xml:space="preserve"> </w:t>
      </w:r>
      <w:r w:rsidRPr="001352AB">
        <w:rPr>
          <w:rFonts w:ascii="Sylfaen" w:hAnsi="Sylfaen" w:cs="Sylfaen"/>
        </w:rPr>
        <w:t>გარემოს</w:t>
      </w:r>
      <w:r w:rsidRPr="001352AB">
        <w:t xml:space="preserve"> </w:t>
      </w:r>
      <w:r w:rsidRPr="001352AB">
        <w:rPr>
          <w:rFonts w:ascii="Sylfaen" w:hAnsi="Sylfaen" w:cs="Sylfaen"/>
        </w:rPr>
        <w:t>დაცვითი</w:t>
      </w:r>
      <w:r w:rsidRPr="001352AB">
        <w:t xml:space="preserve"> </w:t>
      </w:r>
      <w:r w:rsidRPr="001352AB">
        <w:rPr>
          <w:rFonts w:ascii="Sylfaen" w:hAnsi="Sylfaen" w:cs="Sylfaen"/>
        </w:rPr>
        <w:t>კანონების</w:t>
      </w:r>
      <w:r w:rsidRPr="001352AB">
        <w:t xml:space="preserve"> </w:t>
      </w:r>
      <w:r w:rsidRPr="001352AB">
        <w:rPr>
          <w:rFonts w:ascii="Sylfaen" w:hAnsi="Sylfaen" w:cs="Sylfaen"/>
        </w:rPr>
        <w:t>ნუსხა</w:t>
      </w:r>
    </w:p>
    <w:tbl>
      <w:tblPr>
        <w:tblW w:w="10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5504"/>
        <w:gridCol w:w="2727"/>
        <w:gridCol w:w="1267"/>
      </w:tblGrid>
      <w:tr w:rsidR="00D848EC" w:rsidRPr="00D848EC" w14:paraId="2D07B179" w14:textId="77777777" w:rsidTr="00943418">
        <w:trPr>
          <w:trHeight w:val="724"/>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71D683A5" w14:textId="77777777" w:rsidR="00D848EC" w:rsidRPr="00D848EC" w:rsidRDefault="00D848EC" w:rsidP="00D848EC">
            <w:pPr>
              <w:rPr>
                <w:sz w:val="20"/>
                <w:lang w:val="ka-GE"/>
              </w:rPr>
            </w:pPr>
            <w:r w:rsidRPr="00D848EC">
              <w:rPr>
                <w:rFonts w:ascii="Sylfaen" w:hAnsi="Sylfaen" w:cs="Sylfaen"/>
                <w:sz w:val="20"/>
              </w:rPr>
              <w:t>მიღების</w:t>
            </w:r>
            <w:r w:rsidRPr="00D848EC">
              <w:rPr>
                <w:sz w:val="20"/>
              </w:rPr>
              <w:t xml:space="preserve"> </w:t>
            </w:r>
            <w:r w:rsidRPr="00D848EC">
              <w:rPr>
                <w:rFonts w:ascii="Sylfaen" w:hAnsi="Sylfaen" w:cs="Sylfaen"/>
                <w:sz w:val="20"/>
              </w:rPr>
              <w:t>წელი</w:t>
            </w:r>
          </w:p>
        </w:tc>
        <w:tc>
          <w:tcPr>
            <w:tcW w:w="5504" w:type="dxa"/>
            <w:tcBorders>
              <w:top w:val="single" w:sz="4" w:space="0" w:color="auto"/>
              <w:left w:val="single" w:sz="4" w:space="0" w:color="auto"/>
              <w:bottom w:val="single" w:sz="4" w:space="0" w:color="auto"/>
              <w:right w:val="single" w:sz="4" w:space="0" w:color="auto"/>
            </w:tcBorders>
            <w:vAlign w:val="center"/>
            <w:hideMark/>
          </w:tcPr>
          <w:p w14:paraId="4D853532" w14:textId="77777777" w:rsidR="00D848EC" w:rsidRPr="00D848EC" w:rsidRDefault="00D848EC" w:rsidP="00D848EC">
            <w:pPr>
              <w:rPr>
                <w:sz w:val="20"/>
              </w:rPr>
            </w:pPr>
            <w:r w:rsidRPr="00D848EC">
              <w:rPr>
                <w:rFonts w:ascii="Sylfaen" w:hAnsi="Sylfaen" w:cs="Sylfaen"/>
                <w:sz w:val="20"/>
              </w:rPr>
              <w:t>კანონის</w:t>
            </w:r>
            <w:r w:rsidRPr="00D848EC">
              <w:rPr>
                <w:sz w:val="20"/>
              </w:rPr>
              <w:t xml:space="preserve"> </w:t>
            </w:r>
            <w:r w:rsidRPr="00D848EC">
              <w:rPr>
                <w:rFonts w:ascii="Sylfaen" w:hAnsi="Sylfaen" w:cs="Sylfaen"/>
                <w:sz w:val="20"/>
              </w:rPr>
              <w:t>დასახელება</w:t>
            </w:r>
          </w:p>
        </w:tc>
        <w:tc>
          <w:tcPr>
            <w:tcW w:w="2727" w:type="dxa"/>
            <w:tcBorders>
              <w:top w:val="single" w:sz="4" w:space="0" w:color="auto"/>
              <w:left w:val="single" w:sz="4" w:space="0" w:color="auto"/>
              <w:bottom w:val="single" w:sz="4" w:space="0" w:color="auto"/>
              <w:right w:val="single" w:sz="4" w:space="0" w:color="auto"/>
            </w:tcBorders>
            <w:vAlign w:val="center"/>
            <w:hideMark/>
          </w:tcPr>
          <w:p w14:paraId="0A569A81" w14:textId="77777777" w:rsidR="00D848EC" w:rsidRPr="00D848EC" w:rsidRDefault="00D848EC" w:rsidP="00D848EC">
            <w:pPr>
              <w:rPr>
                <w:sz w:val="20"/>
              </w:rPr>
            </w:pPr>
            <w:r w:rsidRPr="00D848EC">
              <w:rPr>
                <w:rFonts w:ascii="Sylfaen" w:hAnsi="Sylfaen" w:cs="Sylfaen"/>
                <w:sz w:val="20"/>
              </w:rPr>
              <w:t>სარეგისტრაციო</w:t>
            </w:r>
            <w:r w:rsidRPr="00D848EC">
              <w:rPr>
                <w:sz w:val="20"/>
              </w:rPr>
              <w:t xml:space="preserve"> </w:t>
            </w:r>
            <w:r w:rsidRPr="00D848EC">
              <w:rPr>
                <w:rFonts w:ascii="Sylfaen" w:hAnsi="Sylfaen" w:cs="Sylfaen"/>
                <w:sz w:val="20"/>
              </w:rPr>
              <w:t>კოდი</w:t>
            </w:r>
          </w:p>
        </w:tc>
        <w:tc>
          <w:tcPr>
            <w:tcW w:w="1267" w:type="dxa"/>
            <w:tcBorders>
              <w:top w:val="single" w:sz="4" w:space="0" w:color="auto"/>
              <w:left w:val="single" w:sz="4" w:space="0" w:color="auto"/>
              <w:bottom w:val="single" w:sz="4" w:space="0" w:color="auto"/>
              <w:right w:val="single" w:sz="4" w:space="0" w:color="auto"/>
            </w:tcBorders>
            <w:vAlign w:val="center"/>
            <w:hideMark/>
          </w:tcPr>
          <w:p w14:paraId="37720A73" w14:textId="77777777" w:rsidR="00D848EC" w:rsidRPr="00D848EC" w:rsidRDefault="00D848EC" w:rsidP="00D848EC">
            <w:pPr>
              <w:rPr>
                <w:sz w:val="20"/>
              </w:rPr>
            </w:pPr>
            <w:r w:rsidRPr="00D848EC">
              <w:rPr>
                <w:rFonts w:ascii="Sylfaen" w:hAnsi="Sylfaen" w:cs="Sylfaen"/>
                <w:sz w:val="20"/>
              </w:rPr>
              <w:t>საბოლოო</w:t>
            </w:r>
            <w:r w:rsidRPr="00D848EC">
              <w:rPr>
                <w:sz w:val="20"/>
              </w:rPr>
              <w:t xml:space="preserve"> </w:t>
            </w:r>
            <w:r w:rsidRPr="00D848EC">
              <w:rPr>
                <w:rFonts w:ascii="Sylfaen" w:hAnsi="Sylfaen" w:cs="Sylfaen"/>
                <w:sz w:val="20"/>
              </w:rPr>
              <w:t>ვარიანტი</w:t>
            </w:r>
          </w:p>
        </w:tc>
      </w:tr>
      <w:tr w:rsidR="00D848EC" w:rsidRPr="00D848EC" w14:paraId="72FB8C06" w14:textId="77777777" w:rsidTr="00943418">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1B3044AD" w14:textId="77777777" w:rsidR="00D848EC" w:rsidRPr="00D848EC" w:rsidRDefault="00D848EC" w:rsidP="00D848EC">
            <w:pPr>
              <w:rPr>
                <w:sz w:val="20"/>
              </w:rPr>
            </w:pPr>
            <w:r w:rsidRPr="00D848EC">
              <w:rPr>
                <w:sz w:val="20"/>
              </w:rPr>
              <w:t>1994</w:t>
            </w:r>
          </w:p>
        </w:tc>
        <w:tc>
          <w:tcPr>
            <w:tcW w:w="5504" w:type="dxa"/>
            <w:tcBorders>
              <w:top w:val="single" w:sz="4" w:space="0" w:color="auto"/>
              <w:left w:val="single" w:sz="4" w:space="0" w:color="auto"/>
              <w:bottom w:val="single" w:sz="4" w:space="0" w:color="auto"/>
              <w:right w:val="single" w:sz="4" w:space="0" w:color="auto"/>
            </w:tcBorders>
            <w:vAlign w:val="center"/>
            <w:hideMark/>
          </w:tcPr>
          <w:p w14:paraId="25C772E5"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t xml:space="preserve"> </w:t>
            </w:r>
            <w:r w:rsidRPr="00D848EC">
              <w:rPr>
                <w:rFonts w:ascii="Sylfaen" w:hAnsi="Sylfaen" w:cs="Sylfaen"/>
                <w:sz w:val="20"/>
              </w:rPr>
              <w:t>ნიადაგის</w:t>
            </w:r>
            <w:r w:rsidRPr="00D848EC">
              <w:rPr>
                <w:sz w:val="20"/>
              </w:rPr>
              <w:t xml:space="preserve"> </w:t>
            </w:r>
            <w:r w:rsidRPr="00D848EC">
              <w:rPr>
                <w:rFonts w:ascii="Sylfaen" w:hAnsi="Sylfaen" w:cs="Sylfaen"/>
                <w:sz w:val="20"/>
              </w:rPr>
              <w:t>დაცვის</w:t>
            </w:r>
            <w:r w:rsidRPr="00D848EC">
              <w:rPr>
                <w:sz w:val="20"/>
              </w:rPr>
              <w:t xml:space="preserve"> </w:t>
            </w:r>
            <w:r w:rsidRPr="00D848EC">
              <w:rPr>
                <w:rFonts w:ascii="Sylfaen" w:hAnsi="Sylfaen" w:cs="Sylfaen"/>
                <w:sz w:val="20"/>
              </w:rPr>
              <w:t>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14:paraId="6F8F910F" w14:textId="77777777" w:rsidR="00D848EC" w:rsidRPr="00D848EC" w:rsidRDefault="00D848EC" w:rsidP="00D848EC">
            <w:pPr>
              <w:rPr>
                <w:sz w:val="20"/>
                <w:lang w:val="ka-GE"/>
              </w:rPr>
            </w:pPr>
            <w:r w:rsidRPr="00D848EC">
              <w:rPr>
                <w:sz w:val="20"/>
              </w:rPr>
              <w:t>370010000.05.001.018678</w:t>
            </w:r>
          </w:p>
        </w:tc>
        <w:tc>
          <w:tcPr>
            <w:tcW w:w="1267" w:type="dxa"/>
            <w:tcBorders>
              <w:top w:val="single" w:sz="4" w:space="0" w:color="auto"/>
              <w:left w:val="single" w:sz="4" w:space="0" w:color="auto"/>
              <w:bottom w:val="single" w:sz="4" w:space="0" w:color="auto"/>
              <w:right w:val="single" w:sz="4" w:space="0" w:color="auto"/>
            </w:tcBorders>
            <w:vAlign w:val="center"/>
            <w:hideMark/>
          </w:tcPr>
          <w:p w14:paraId="71BCCC6E" w14:textId="77777777" w:rsidR="00D848EC" w:rsidRPr="00D848EC" w:rsidRDefault="00D848EC" w:rsidP="00D848EC">
            <w:pPr>
              <w:rPr>
                <w:sz w:val="20"/>
              </w:rPr>
            </w:pPr>
            <w:r w:rsidRPr="00D848EC">
              <w:rPr>
                <w:sz w:val="20"/>
              </w:rPr>
              <w:t>07/12/2017</w:t>
            </w:r>
          </w:p>
        </w:tc>
      </w:tr>
      <w:tr w:rsidR="00D848EC" w:rsidRPr="00D848EC" w14:paraId="63C97C9D" w14:textId="77777777" w:rsidTr="00943418">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3737A9F5" w14:textId="77777777" w:rsidR="00D848EC" w:rsidRPr="00D848EC" w:rsidRDefault="00D848EC" w:rsidP="00D848EC">
            <w:pPr>
              <w:rPr>
                <w:sz w:val="20"/>
              </w:rPr>
            </w:pPr>
            <w:r w:rsidRPr="00D848EC">
              <w:rPr>
                <w:sz w:val="20"/>
              </w:rPr>
              <w:t>1994</w:t>
            </w:r>
          </w:p>
        </w:tc>
        <w:tc>
          <w:tcPr>
            <w:tcW w:w="5504" w:type="dxa"/>
            <w:tcBorders>
              <w:top w:val="single" w:sz="4" w:space="0" w:color="auto"/>
              <w:left w:val="single" w:sz="4" w:space="0" w:color="auto"/>
              <w:bottom w:val="single" w:sz="4" w:space="0" w:color="auto"/>
              <w:right w:val="single" w:sz="4" w:space="0" w:color="auto"/>
            </w:tcBorders>
            <w:vAlign w:val="center"/>
            <w:hideMark/>
          </w:tcPr>
          <w:p w14:paraId="6D7FE582"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t xml:space="preserve"> </w:t>
            </w:r>
            <w:r w:rsidRPr="00D848EC">
              <w:rPr>
                <w:rFonts w:ascii="Sylfaen" w:hAnsi="Sylfaen" w:cs="Sylfaen"/>
                <w:sz w:val="20"/>
              </w:rPr>
              <w:t>საავტომობილო</w:t>
            </w:r>
            <w:r w:rsidRPr="00D848EC">
              <w:rPr>
                <w:sz w:val="20"/>
              </w:rPr>
              <w:t xml:space="preserve"> </w:t>
            </w:r>
            <w:r w:rsidRPr="00D848EC">
              <w:rPr>
                <w:rFonts w:ascii="Sylfaen" w:hAnsi="Sylfaen" w:cs="Sylfaen"/>
                <w:sz w:val="20"/>
              </w:rPr>
              <w:t>გზების</w:t>
            </w:r>
            <w:r w:rsidRPr="00D848EC">
              <w:rPr>
                <w:sz w:val="20"/>
              </w:rPr>
              <w:t xml:space="preserve"> </w:t>
            </w:r>
            <w:r w:rsidRPr="00D848EC">
              <w:rPr>
                <w:rFonts w:ascii="Sylfaen" w:hAnsi="Sylfaen" w:cs="Sylfaen"/>
                <w:sz w:val="20"/>
              </w:rPr>
              <w:t>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14:paraId="5E948D55" w14:textId="77777777" w:rsidR="00D848EC" w:rsidRPr="00D848EC" w:rsidRDefault="00D848EC" w:rsidP="00D848EC">
            <w:pPr>
              <w:rPr>
                <w:sz w:val="20"/>
                <w:lang w:val="ka-GE"/>
              </w:rPr>
            </w:pPr>
            <w:r w:rsidRPr="00D848EC">
              <w:rPr>
                <w:sz w:val="20"/>
              </w:rPr>
              <w:t>310090000.05.001.017311</w:t>
            </w:r>
          </w:p>
        </w:tc>
        <w:tc>
          <w:tcPr>
            <w:tcW w:w="1267" w:type="dxa"/>
            <w:tcBorders>
              <w:top w:val="single" w:sz="4" w:space="0" w:color="auto"/>
              <w:left w:val="single" w:sz="4" w:space="0" w:color="auto"/>
              <w:bottom w:val="single" w:sz="4" w:space="0" w:color="auto"/>
              <w:right w:val="single" w:sz="4" w:space="0" w:color="auto"/>
            </w:tcBorders>
            <w:vAlign w:val="center"/>
            <w:hideMark/>
          </w:tcPr>
          <w:p w14:paraId="03FEDF4F" w14:textId="77777777" w:rsidR="00D848EC" w:rsidRPr="00D848EC" w:rsidRDefault="00D848EC" w:rsidP="00D848EC">
            <w:pPr>
              <w:rPr>
                <w:sz w:val="20"/>
              </w:rPr>
            </w:pPr>
            <w:r w:rsidRPr="00D848EC">
              <w:rPr>
                <w:sz w:val="20"/>
              </w:rPr>
              <w:t>24/12/2013</w:t>
            </w:r>
          </w:p>
        </w:tc>
      </w:tr>
      <w:tr w:rsidR="00D848EC" w:rsidRPr="00D848EC" w14:paraId="23F1D137" w14:textId="77777777" w:rsidTr="00943418">
        <w:trPr>
          <w:trHeight w:val="87"/>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43BE859A" w14:textId="77777777" w:rsidR="00D848EC" w:rsidRPr="00D848EC" w:rsidRDefault="00D848EC" w:rsidP="00D848EC">
            <w:pPr>
              <w:rPr>
                <w:sz w:val="20"/>
              </w:rPr>
            </w:pPr>
            <w:r w:rsidRPr="00D848EC">
              <w:rPr>
                <w:sz w:val="20"/>
              </w:rPr>
              <w:t>1995</w:t>
            </w:r>
          </w:p>
        </w:tc>
        <w:tc>
          <w:tcPr>
            <w:tcW w:w="5504" w:type="dxa"/>
            <w:tcBorders>
              <w:top w:val="single" w:sz="4" w:space="0" w:color="auto"/>
              <w:left w:val="single" w:sz="4" w:space="0" w:color="auto"/>
              <w:bottom w:val="single" w:sz="4" w:space="0" w:color="auto"/>
              <w:right w:val="single" w:sz="4" w:space="0" w:color="auto"/>
            </w:tcBorders>
            <w:vAlign w:val="center"/>
            <w:hideMark/>
          </w:tcPr>
          <w:p w14:paraId="7F18345E"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კონსტიტუცია</w:t>
            </w:r>
          </w:p>
        </w:tc>
        <w:tc>
          <w:tcPr>
            <w:tcW w:w="2727" w:type="dxa"/>
            <w:tcBorders>
              <w:top w:val="single" w:sz="4" w:space="0" w:color="auto"/>
              <w:left w:val="single" w:sz="4" w:space="0" w:color="auto"/>
              <w:bottom w:val="single" w:sz="4" w:space="0" w:color="auto"/>
              <w:right w:val="single" w:sz="4" w:space="0" w:color="auto"/>
            </w:tcBorders>
            <w:vAlign w:val="center"/>
            <w:hideMark/>
          </w:tcPr>
          <w:p w14:paraId="5E9DE8AB" w14:textId="77777777" w:rsidR="00D848EC" w:rsidRPr="00D848EC" w:rsidRDefault="00D848EC" w:rsidP="00D848EC">
            <w:pPr>
              <w:rPr>
                <w:sz w:val="20"/>
                <w:lang w:val="ka-GE"/>
              </w:rPr>
            </w:pPr>
            <w:r w:rsidRPr="00D848EC">
              <w:rPr>
                <w:sz w:val="20"/>
              </w:rPr>
              <w:t>010010000.01.001.016012</w:t>
            </w:r>
          </w:p>
        </w:tc>
        <w:tc>
          <w:tcPr>
            <w:tcW w:w="1267" w:type="dxa"/>
            <w:tcBorders>
              <w:top w:val="single" w:sz="4" w:space="0" w:color="auto"/>
              <w:left w:val="single" w:sz="4" w:space="0" w:color="auto"/>
              <w:bottom w:val="single" w:sz="4" w:space="0" w:color="auto"/>
              <w:right w:val="single" w:sz="4" w:space="0" w:color="auto"/>
            </w:tcBorders>
            <w:vAlign w:val="center"/>
            <w:hideMark/>
          </w:tcPr>
          <w:p w14:paraId="6AF3BEF6" w14:textId="77777777" w:rsidR="00D848EC" w:rsidRPr="00D848EC" w:rsidRDefault="00D848EC" w:rsidP="00D848EC">
            <w:pPr>
              <w:rPr>
                <w:sz w:val="20"/>
              </w:rPr>
            </w:pPr>
            <w:r w:rsidRPr="00D848EC">
              <w:rPr>
                <w:sz w:val="20"/>
              </w:rPr>
              <w:t>13/10/2017</w:t>
            </w:r>
          </w:p>
        </w:tc>
      </w:tr>
      <w:tr w:rsidR="00D848EC" w:rsidRPr="00D848EC" w14:paraId="4A0A81D4" w14:textId="77777777" w:rsidTr="00943418">
        <w:trPr>
          <w:trHeight w:val="87"/>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0EF3E98D" w14:textId="77777777" w:rsidR="00D848EC" w:rsidRPr="00D848EC" w:rsidRDefault="00D848EC" w:rsidP="00D848EC">
            <w:pPr>
              <w:rPr>
                <w:sz w:val="20"/>
              </w:rPr>
            </w:pPr>
            <w:r w:rsidRPr="00D848EC">
              <w:rPr>
                <w:sz w:val="20"/>
              </w:rPr>
              <w:t>1995</w:t>
            </w:r>
          </w:p>
        </w:tc>
        <w:bookmarkStart w:id="3" w:name="part_10"/>
        <w:tc>
          <w:tcPr>
            <w:tcW w:w="5504" w:type="dxa"/>
            <w:tcBorders>
              <w:top w:val="single" w:sz="4" w:space="0" w:color="auto"/>
              <w:left w:val="single" w:sz="4" w:space="0" w:color="auto"/>
              <w:bottom w:val="single" w:sz="4" w:space="0" w:color="auto"/>
              <w:right w:val="single" w:sz="4" w:space="0" w:color="auto"/>
            </w:tcBorders>
            <w:vAlign w:val="center"/>
            <w:hideMark/>
          </w:tcPr>
          <w:p w14:paraId="3E536D09" w14:textId="77777777" w:rsidR="00D848EC" w:rsidRPr="00D848EC" w:rsidRDefault="00D848EC" w:rsidP="00D848EC">
            <w:pPr>
              <w:rPr>
                <w:sz w:val="20"/>
                <w:lang w:val="it-IT"/>
              </w:rPr>
            </w:pPr>
            <w:r w:rsidRPr="00D848EC">
              <w:rPr>
                <w:sz w:val="20"/>
              </w:rPr>
              <w:fldChar w:fldCharType="begin"/>
            </w:r>
            <w:r w:rsidRPr="00D848EC">
              <w:rPr>
                <w:sz w:val="20"/>
              </w:rPr>
              <w:instrText xml:space="preserve"> HYPERLINK "https://www.matsne.gov.ge/ka/document/view/28456" \l "!" </w:instrText>
            </w:r>
            <w:r w:rsidRPr="00D848EC">
              <w:rPr>
                <w:sz w:val="20"/>
              </w:rPr>
              <w:fldChar w:fldCharType="separate"/>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fldChar w:fldCharType="end"/>
            </w:r>
            <w:r w:rsidRPr="00D848EC">
              <w:rPr>
                <w:sz w:val="20"/>
              </w:rPr>
              <w:t xml:space="preserve"> </w:t>
            </w:r>
            <w:hyperlink r:id="rId21" w:anchor="!" w:history="1">
              <w:r w:rsidRPr="00D848EC">
                <w:rPr>
                  <w:rFonts w:ascii="Sylfaen" w:hAnsi="Sylfaen" w:cs="Sylfaen"/>
                  <w:sz w:val="20"/>
                </w:rPr>
                <w:t>ნარჩენების</w:t>
              </w:r>
              <w:r w:rsidRPr="00D848EC">
                <w:rPr>
                  <w:sz w:val="20"/>
                </w:rPr>
                <w:t xml:space="preserve"> </w:t>
              </w:r>
              <w:r w:rsidRPr="00D848EC">
                <w:rPr>
                  <w:rFonts w:ascii="Sylfaen" w:hAnsi="Sylfaen" w:cs="Sylfaen"/>
                  <w:sz w:val="20"/>
                </w:rPr>
                <w:t>იმპორტის</w:t>
              </w:r>
              <w:r w:rsidRPr="00D848EC">
                <w:rPr>
                  <w:sz w:val="20"/>
                </w:rPr>
                <w:t xml:space="preserve">, </w:t>
              </w:r>
              <w:r w:rsidRPr="00D848EC">
                <w:rPr>
                  <w:rFonts w:ascii="Sylfaen" w:hAnsi="Sylfaen" w:cs="Sylfaen"/>
                  <w:sz w:val="20"/>
                </w:rPr>
                <w:t>ექსპორტის</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ტრანზიტის</w:t>
              </w:r>
              <w:r w:rsidRPr="00D848EC">
                <w:rPr>
                  <w:sz w:val="20"/>
                </w:rPr>
                <w:t xml:space="preserve"> </w:t>
              </w:r>
              <w:r w:rsidRPr="00D848EC">
                <w:rPr>
                  <w:rFonts w:ascii="Sylfaen" w:hAnsi="Sylfaen" w:cs="Sylfaen"/>
                  <w:sz w:val="20"/>
                </w:rPr>
                <w:t>შესახებ</w:t>
              </w:r>
              <w:bookmarkEnd w:id="3"/>
            </w:hyperlink>
          </w:p>
        </w:tc>
        <w:tc>
          <w:tcPr>
            <w:tcW w:w="2727" w:type="dxa"/>
            <w:tcBorders>
              <w:top w:val="single" w:sz="4" w:space="0" w:color="auto"/>
              <w:left w:val="single" w:sz="4" w:space="0" w:color="auto"/>
              <w:bottom w:val="single" w:sz="4" w:space="0" w:color="auto"/>
              <w:right w:val="single" w:sz="4" w:space="0" w:color="auto"/>
            </w:tcBorders>
            <w:vAlign w:val="center"/>
            <w:hideMark/>
          </w:tcPr>
          <w:p w14:paraId="218ACF8F" w14:textId="77777777" w:rsidR="00D848EC" w:rsidRPr="00D848EC" w:rsidRDefault="00D848EC" w:rsidP="00D848EC">
            <w:pPr>
              <w:rPr>
                <w:sz w:val="20"/>
                <w:lang w:val="ka-GE"/>
              </w:rPr>
            </w:pPr>
            <w:r w:rsidRPr="00D848EC">
              <w:rPr>
                <w:sz w:val="20"/>
              </w:rPr>
              <w:t>300230000.05.001.018660</w:t>
            </w:r>
          </w:p>
        </w:tc>
        <w:tc>
          <w:tcPr>
            <w:tcW w:w="1267" w:type="dxa"/>
            <w:tcBorders>
              <w:top w:val="single" w:sz="4" w:space="0" w:color="auto"/>
              <w:left w:val="single" w:sz="4" w:space="0" w:color="auto"/>
              <w:bottom w:val="single" w:sz="4" w:space="0" w:color="auto"/>
              <w:right w:val="single" w:sz="4" w:space="0" w:color="auto"/>
            </w:tcBorders>
            <w:vAlign w:val="center"/>
            <w:hideMark/>
          </w:tcPr>
          <w:p w14:paraId="654959E5" w14:textId="77777777" w:rsidR="00D848EC" w:rsidRPr="00D848EC" w:rsidRDefault="00D848EC" w:rsidP="00D848EC">
            <w:pPr>
              <w:rPr>
                <w:sz w:val="20"/>
              </w:rPr>
            </w:pPr>
            <w:r w:rsidRPr="00D848EC">
              <w:rPr>
                <w:sz w:val="20"/>
              </w:rPr>
              <w:t>07/12/2017</w:t>
            </w:r>
          </w:p>
        </w:tc>
      </w:tr>
      <w:tr w:rsidR="00D848EC" w:rsidRPr="00D848EC" w14:paraId="7620A22A" w14:textId="77777777" w:rsidTr="00943418">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1023817A" w14:textId="77777777" w:rsidR="00D848EC" w:rsidRPr="00D848EC" w:rsidRDefault="00D848EC" w:rsidP="00D848EC">
            <w:pPr>
              <w:rPr>
                <w:sz w:val="20"/>
              </w:rPr>
            </w:pPr>
            <w:r w:rsidRPr="00D848EC">
              <w:rPr>
                <w:sz w:val="20"/>
              </w:rPr>
              <w:t>1996</w:t>
            </w:r>
          </w:p>
        </w:tc>
        <w:tc>
          <w:tcPr>
            <w:tcW w:w="5504" w:type="dxa"/>
            <w:tcBorders>
              <w:top w:val="single" w:sz="4" w:space="0" w:color="auto"/>
              <w:left w:val="single" w:sz="4" w:space="0" w:color="auto"/>
              <w:bottom w:val="single" w:sz="4" w:space="0" w:color="auto"/>
              <w:right w:val="single" w:sz="4" w:space="0" w:color="auto"/>
            </w:tcBorders>
            <w:vAlign w:val="center"/>
            <w:hideMark/>
          </w:tcPr>
          <w:p w14:paraId="3D2AE888"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t xml:space="preserve"> </w:t>
            </w:r>
            <w:r w:rsidRPr="00D848EC">
              <w:rPr>
                <w:rFonts w:ascii="Sylfaen" w:hAnsi="Sylfaen" w:cs="Sylfaen"/>
                <w:sz w:val="20"/>
              </w:rPr>
              <w:t>გარემოს</w:t>
            </w:r>
            <w:r w:rsidRPr="00D848EC">
              <w:rPr>
                <w:sz w:val="20"/>
              </w:rPr>
              <w:t xml:space="preserve"> </w:t>
            </w:r>
            <w:r w:rsidRPr="00D848EC">
              <w:rPr>
                <w:rFonts w:ascii="Sylfaen" w:hAnsi="Sylfaen" w:cs="Sylfaen"/>
                <w:sz w:val="20"/>
              </w:rPr>
              <w:t>დაცვის</w:t>
            </w:r>
            <w:r w:rsidRPr="00D848EC">
              <w:rPr>
                <w:sz w:val="20"/>
              </w:rPr>
              <w:t xml:space="preserve"> </w:t>
            </w:r>
            <w:r w:rsidRPr="00D848EC">
              <w:rPr>
                <w:rFonts w:ascii="Sylfaen" w:hAnsi="Sylfaen" w:cs="Sylfaen"/>
                <w:sz w:val="20"/>
              </w:rPr>
              <w:t>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14:paraId="322780A0" w14:textId="77777777" w:rsidR="00D848EC" w:rsidRPr="00D848EC" w:rsidRDefault="00D848EC" w:rsidP="00D848EC">
            <w:pPr>
              <w:rPr>
                <w:sz w:val="20"/>
                <w:lang w:val="ka-GE"/>
              </w:rPr>
            </w:pPr>
            <w:r w:rsidRPr="00D848EC">
              <w:rPr>
                <w:sz w:val="20"/>
              </w:rPr>
              <w:t>360000000.05.001.018613</w:t>
            </w:r>
          </w:p>
        </w:tc>
        <w:tc>
          <w:tcPr>
            <w:tcW w:w="1267" w:type="dxa"/>
            <w:tcBorders>
              <w:top w:val="single" w:sz="4" w:space="0" w:color="auto"/>
              <w:left w:val="single" w:sz="4" w:space="0" w:color="auto"/>
              <w:bottom w:val="single" w:sz="4" w:space="0" w:color="auto"/>
              <w:right w:val="single" w:sz="4" w:space="0" w:color="auto"/>
            </w:tcBorders>
            <w:vAlign w:val="center"/>
            <w:hideMark/>
          </w:tcPr>
          <w:p w14:paraId="307E3E16" w14:textId="77777777" w:rsidR="00D848EC" w:rsidRPr="00D848EC" w:rsidRDefault="00D848EC" w:rsidP="00D848EC">
            <w:pPr>
              <w:rPr>
                <w:sz w:val="20"/>
              </w:rPr>
            </w:pPr>
            <w:r w:rsidRPr="00D848EC">
              <w:rPr>
                <w:sz w:val="20"/>
              </w:rPr>
              <w:t>07/12/2017</w:t>
            </w:r>
          </w:p>
        </w:tc>
      </w:tr>
      <w:tr w:rsidR="00D848EC" w:rsidRPr="00D848EC" w14:paraId="1F560E78" w14:textId="77777777" w:rsidTr="00943418">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5CFA0CBB" w14:textId="77777777" w:rsidR="00D848EC" w:rsidRPr="00D848EC" w:rsidRDefault="00D848EC" w:rsidP="00D848EC">
            <w:pPr>
              <w:rPr>
                <w:sz w:val="20"/>
              </w:rPr>
            </w:pPr>
            <w:r w:rsidRPr="00D848EC">
              <w:rPr>
                <w:sz w:val="20"/>
              </w:rPr>
              <w:t>1997</w:t>
            </w:r>
          </w:p>
        </w:tc>
        <w:tc>
          <w:tcPr>
            <w:tcW w:w="5504" w:type="dxa"/>
            <w:tcBorders>
              <w:top w:val="single" w:sz="4" w:space="0" w:color="auto"/>
              <w:left w:val="single" w:sz="4" w:space="0" w:color="auto"/>
              <w:bottom w:val="single" w:sz="4" w:space="0" w:color="auto"/>
              <w:right w:val="single" w:sz="4" w:space="0" w:color="auto"/>
            </w:tcBorders>
            <w:vAlign w:val="center"/>
            <w:hideMark/>
          </w:tcPr>
          <w:p w14:paraId="7FC75C4A"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t xml:space="preserve"> </w:t>
            </w:r>
            <w:r w:rsidRPr="00D848EC">
              <w:rPr>
                <w:rFonts w:ascii="Sylfaen" w:hAnsi="Sylfaen" w:cs="Sylfaen"/>
                <w:sz w:val="20"/>
              </w:rPr>
              <w:t>ცხოველთა</w:t>
            </w:r>
            <w:r w:rsidRPr="00D848EC">
              <w:rPr>
                <w:sz w:val="20"/>
              </w:rPr>
              <w:t xml:space="preserve"> </w:t>
            </w:r>
            <w:r w:rsidRPr="00D848EC">
              <w:rPr>
                <w:rFonts w:ascii="Sylfaen" w:hAnsi="Sylfaen" w:cs="Sylfaen"/>
                <w:sz w:val="20"/>
              </w:rPr>
              <w:t>სამყაროს</w:t>
            </w:r>
            <w:r w:rsidRPr="00D848EC">
              <w:rPr>
                <w:sz w:val="20"/>
              </w:rPr>
              <w:t xml:space="preserve"> </w:t>
            </w:r>
            <w:r w:rsidRPr="00D848EC">
              <w:rPr>
                <w:rFonts w:ascii="Sylfaen" w:hAnsi="Sylfaen" w:cs="Sylfaen"/>
                <w:sz w:val="20"/>
              </w:rPr>
              <w:t>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14:paraId="1E2C747A" w14:textId="77777777" w:rsidR="00D848EC" w:rsidRPr="00D848EC" w:rsidRDefault="00D848EC" w:rsidP="00D848EC">
            <w:pPr>
              <w:rPr>
                <w:sz w:val="20"/>
                <w:lang w:val="ka-GE"/>
              </w:rPr>
            </w:pPr>
            <w:r w:rsidRPr="00D848EC">
              <w:rPr>
                <w:sz w:val="20"/>
              </w:rPr>
              <w:t>410000000.05.001.018606</w:t>
            </w:r>
          </w:p>
        </w:tc>
        <w:tc>
          <w:tcPr>
            <w:tcW w:w="1267" w:type="dxa"/>
            <w:tcBorders>
              <w:top w:val="single" w:sz="4" w:space="0" w:color="auto"/>
              <w:left w:val="single" w:sz="4" w:space="0" w:color="auto"/>
              <w:bottom w:val="single" w:sz="4" w:space="0" w:color="auto"/>
              <w:right w:val="single" w:sz="4" w:space="0" w:color="auto"/>
            </w:tcBorders>
            <w:vAlign w:val="center"/>
            <w:hideMark/>
          </w:tcPr>
          <w:p w14:paraId="2A7D2DE2" w14:textId="77777777" w:rsidR="00D848EC" w:rsidRPr="00D848EC" w:rsidRDefault="00D848EC" w:rsidP="00D848EC">
            <w:pPr>
              <w:rPr>
                <w:sz w:val="20"/>
              </w:rPr>
            </w:pPr>
            <w:r w:rsidRPr="00D848EC">
              <w:rPr>
                <w:sz w:val="20"/>
              </w:rPr>
              <w:t>07/12/2017</w:t>
            </w:r>
          </w:p>
        </w:tc>
      </w:tr>
      <w:tr w:rsidR="00D848EC" w:rsidRPr="00D848EC" w14:paraId="741A0034" w14:textId="77777777" w:rsidTr="00943418">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4375E37E" w14:textId="77777777" w:rsidR="00D848EC" w:rsidRPr="00D848EC" w:rsidRDefault="00D848EC" w:rsidP="00D848EC">
            <w:pPr>
              <w:rPr>
                <w:sz w:val="20"/>
              </w:rPr>
            </w:pPr>
            <w:r w:rsidRPr="00D848EC">
              <w:rPr>
                <w:sz w:val="20"/>
              </w:rPr>
              <w:t>1997</w:t>
            </w:r>
          </w:p>
        </w:tc>
        <w:tc>
          <w:tcPr>
            <w:tcW w:w="5504" w:type="dxa"/>
            <w:tcBorders>
              <w:top w:val="single" w:sz="4" w:space="0" w:color="auto"/>
              <w:left w:val="single" w:sz="4" w:space="0" w:color="auto"/>
              <w:bottom w:val="single" w:sz="4" w:space="0" w:color="auto"/>
              <w:right w:val="single" w:sz="4" w:space="0" w:color="auto"/>
            </w:tcBorders>
            <w:vAlign w:val="center"/>
            <w:hideMark/>
          </w:tcPr>
          <w:p w14:paraId="1CA520B5"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t xml:space="preserve"> </w:t>
            </w:r>
            <w:r w:rsidRPr="00D848EC">
              <w:rPr>
                <w:rFonts w:ascii="Sylfaen" w:hAnsi="Sylfaen" w:cs="Sylfaen"/>
                <w:sz w:val="20"/>
              </w:rPr>
              <w:t>წყლის</w:t>
            </w:r>
            <w:r w:rsidRPr="00D848EC">
              <w:rPr>
                <w:sz w:val="20"/>
              </w:rPr>
              <w:t xml:space="preserve"> </w:t>
            </w:r>
            <w:r w:rsidRPr="00D848EC">
              <w:rPr>
                <w:rFonts w:ascii="Sylfaen" w:hAnsi="Sylfaen" w:cs="Sylfaen"/>
                <w:sz w:val="20"/>
              </w:rPr>
              <w:t>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14:paraId="05E4819F" w14:textId="77777777" w:rsidR="00D848EC" w:rsidRPr="00D848EC" w:rsidRDefault="00D848EC" w:rsidP="00D848EC">
            <w:pPr>
              <w:rPr>
                <w:sz w:val="20"/>
                <w:lang w:val="ka-GE"/>
              </w:rPr>
            </w:pPr>
            <w:r w:rsidRPr="00D848EC">
              <w:rPr>
                <w:sz w:val="20"/>
              </w:rPr>
              <w:t>400000000.05.001.018653</w:t>
            </w:r>
          </w:p>
        </w:tc>
        <w:tc>
          <w:tcPr>
            <w:tcW w:w="1267" w:type="dxa"/>
            <w:tcBorders>
              <w:top w:val="single" w:sz="4" w:space="0" w:color="auto"/>
              <w:left w:val="single" w:sz="4" w:space="0" w:color="auto"/>
              <w:bottom w:val="single" w:sz="4" w:space="0" w:color="auto"/>
              <w:right w:val="single" w:sz="4" w:space="0" w:color="auto"/>
            </w:tcBorders>
            <w:vAlign w:val="center"/>
            <w:hideMark/>
          </w:tcPr>
          <w:p w14:paraId="2A4D5747" w14:textId="77777777" w:rsidR="00D848EC" w:rsidRPr="00D848EC" w:rsidRDefault="00D848EC" w:rsidP="00D848EC">
            <w:pPr>
              <w:rPr>
                <w:sz w:val="20"/>
              </w:rPr>
            </w:pPr>
            <w:r w:rsidRPr="00D848EC">
              <w:rPr>
                <w:sz w:val="20"/>
              </w:rPr>
              <w:t>07/12/2017</w:t>
            </w:r>
          </w:p>
        </w:tc>
      </w:tr>
      <w:tr w:rsidR="00D848EC" w:rsidRPr="00D848EC" w14:paraId="317E877C" w14:textId="77777777" w:rsidTr="00943418">
        <w:trPr>
          <w:trHeight w:val="269"/>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2486BAB0" w14:textId="77777777" w:rsidR="00D848EC" w:rsidRPr="00D848EC" w:rsidRDefault="00D848EC" w:rsidP="00D848EC">
            <w:pPr>
              <w:rPr>
                <w:sz w:val="20"/>
              </w:rPr>
            </w:pPr>
            <w:r w:rsidRPr="00D848EC">
              <w:rPr>
                <w:sz w:val="20"/>
              </w:rPr>
              <w:t>1997</w:t>
            </w:r>
          </w:p>
        </w:tc>
        <w:tc>
          <w:tcPr>
            <w:tcW w:w="5504" w:type="dxa"/>
            <w:tcBorders>
              <w:top w:val="single" w:sz="4" w:space="0" w:color="auto"/>
              <w:left w:val="single" w:sz="4" w:space="0" w:color="auto"/>
              <w:bottom w:val="single" w:sz="4" w:space="0" w:color="auto"/>
              <w:right w:val="single" w:sz="4" w:space="0" w:color="auto"/>
            </w:tcBorders>
            <w:vAlign w:val="center"/>
            <w:hideMark/>
          </w:tcPr>
          <w:p w14:paraId="5FB4A5B6"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საზღვაო</w:t>
            </w:r>
            <w:r w:rsidRPr="00D848EC">
              <w:rPr>
                <w:sz w:val="20"/>
              </w:rPr>
              <w:t xml:space="preserve"> </w:t>
            </w:r>
            <w:r w:rsidRPr="00D848EC">
              <w:rPr>
                <w:rFonts w:ascii="Sylfaen" w:hAnsi="Sylfaen" w:cs="Sylfaen"/>
                <w:sz w:val="20"/>
              </w:rPr>
              <w:t>კოდექსი</w:t>
            </w:r>
          </w:p>
        </w:tc>
        <w:tc>
          <w:tcPr>
            <w:tcW w:w="2727" w:type="dxa"/>
            <w:tcBorders>
              <w:top w:val="single" w:sz="4" w:space="0" w:color="auto"/>
              <w:left w:val="single" w:sz="4" w:space="0" w:color="auto"/>
              <w:bottom w:val="single" w:sz="4" w:space="0" w:color="auto"/>
              <w:right w:val="single" w:sz="4" w:space="0" w:color="auto"/>
            </w:tcBorders>
            <w:vAlign w:val="center"/>
            <w:hideMark/>
          </w:tcPr>
          <w:p w14:paraId="304624AA" w14:textId="77777777" w:rsidR="00D848EC" w:rsidRPr="00D848EC" w:rsidRDefault="00D848EC" w:rsidP="00D848EC">
            <w:pPr>
              <w:rPr>
                <w:sz w:val="20"/>
                <w:lang w:val="ka-GE"/>
              </w:rPr>
            </w:pPr>
            <w:r w:rsidRPr="00D848EC">
              <w:rPr>
                <w:sz w:val="20"/>
              </w:rPr>
              <w:t>400010020.05.001.018609</w:t>
            </w:r>
          </w:p>
        </w:tc>
        <w:tc>
          <w:tcPr>
            <w:tcW w:w="1267" w:type="dxa"/>
            <w:tcBorders>
              <w:top w:val="single" w:sz="4" w:space="0" w:color="auto"/>
              <w:left w:val="single" w:sz="4" w:space="0" w:color="auto"/>
              <w:bottom w:val="single" w:sz="4" w:space="0" w:color="auto"/>
              <w:right w:val="single" w:sz="4" w:space="0" w:color="auto"/>
            </w:tcBorders>
            <w:vAlign w:val="center"/>
            <w:hideMark/>
          </w:tcPr>
          <w:p w14:paraId="0DF956AB" w14:textId="77777777" w:rsidR="00D848EC" w:rsidRPr="00D848EC" w:rsidRDefault="00D848EC" w:rsidP="00D848EC">
            <w:pPr>
              <w:rPr>
                <w:sz w:val="20"/>
              </w:rPr>
            </w:pPr>
            <w:r w:rsidRPr="00D848EC">
              <w:rPr>
                <w:sz w:val="20"/>
              </w:rPr>
              <w:t>07/12/2017</w:t>
            </w:r>
          </w:p>
        </w:tc>
      </w:tr>
      <w:tr w:rsidR="00D848EC" w:rsidRPr="00D848EC" w14:paraId="4385D348" w14:textId="77777777" w:rsidTr="00943418">
        <w:trPr>
          <w:trHeight w:val="698"/>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5E205DB6" w14:textId="77777777" w:rsidR="00D848EC" w:rsidRPr="00D848EC" w:rsidRDefault="00D848EC" w:rsidP="00D848EC">
            <w:pPr>
              <w:rPr>
                <w:sz w:val="20"/>
              </w:rPr>
            </w:pPr>
            <w:r w:rsidRPr="00D848EC">
              <w:rPr>
                <w:sz w:val="20"/>
              </w:rPr>
              <w:t>1998</w:t>
            </w:r>
          </w:p>
        </w:tc>
        <w:tc>
          <w:tcPr>
            <w:tcW w:w="5504" w:type="dxa"/>
            <w:tcBorders>
              <w:top w:val="single" w:sz="4" w:space="0" w:color="auto"/>
              <w:left w:val="single" w:sz="4" w:space="0" w:color="auto"/>
              <w:bottom w:val="single" w:sz="4" w:space="0" w:color="auto"/>
              <w:right w:val="single" w:sz="4" w:space="0" w:color="auto"/>
            </w:tcBorders>
            <w:vAlign w:val="center"/>
            <w:hideMark/>
          </w:tcPr>
          <w:p w14:paraId="1AB7FBC4"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t xml:space="preserve"> </w:t>
            </w:r>
            <w:r w:rsidRPr="00D848EC">
              <w:rPr>
                <w:rFonts w:ascii="Sylfaen" w:hAnsi="Sylfaen" w:cs="Sylfaen"/>
                <w:sz w:val="20"/>
              </w:rPr>
              <w:t>კურორტებისა</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საკურორტო</w:t>
            </w:r>
            <w:r w:rsidRPr="00D848EC">
              <w:rPr>
                <w:sz w:val="20"/>
              </w:rPr>
              <w:t xml:space="preserve"> </w:t>
            </w:r>
            <w:r w:rsidRPr="00D848EC">
              <w:rPr>
                <w:rFonts w:ascii="Sylfaen" w:hAnsi="Sylfaen" w:cs="Sylfaen"/>
                <w:sz w:val="20"/>
              </w:rPr>
              <w:t>ადგილების</w:t>
            </w:r>
            <w:r w:rsidRPr="00D848EC">
              <w:rPr>
                <w:sz w:val="20"/>
              </w:rPr>
              <w:t xml:space="preserve"> </w:t>
            </w:r>
            <w:r w:rsidRPr="00D848EC">
              <w:rPr>
                <w:rFonts w:ascii="Sylfaen" w:hAnsi="Sylfaen" w:cs="Sylfaen"/>
                <w:sz w:val="20"/>
              </w:rPr>
              <w:t>სანიტარიული</w:t>
            </w:r>
            <w:r w:rsidRPr="00D848EC">
              <w:rPr>
                <w:sz w:val="20"/>
              </w:rPr>
              <w:t xml:space="preserve"> </w:t>
            </w:r>
            <w:r w:rsidRPr="00D848EC">
              <w:rPr>
                <w:rFonts w:ascii="Sylfaen" w:hAnsi="Sylfaen" w:cs="Sylfaen"/>
                <w:sz w:val="20"/>
              </w:rPr>
              <w:t>დაცვის</w:t>
            </w:r>
            <w:r w:rsidRPr="00D848EC">
              <w:rPr>
                <w:sz w:val="20"/>
              </w:rPr>
              <w:t xml:space="preserve"> </w:t>
            </w:r>
            <w:r w:rsidRPr="00D848EC">
              <w:rPr>
                <w:rFonts w:ascii="Sylfaen" w:hAnsi="Sylfaen" w:cs="Sylfaen"/>
                <w:sz w:val="20"/>
              </w:rPr>
              <w:t>ზონების</w:t>
            </w:r>
            <w:r w:rsidRPr="00D848EC">
              <w:rPr>
                <w:sz w:val="20"/>
              </w:rPr>
              <w:t xml:space="preserve"> </w:t>
            </w:r>
            <w:r w:rsidRPr="00D848EC">
              <w:rPr>
                <w:rFonts w:ascii="Sylfaen" w:hAnsi="Sylfaen" w:cs="Sylfaen"/>
                <w:sz w:val="20"/>
              </w:rPr>
              <w:t>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14:paraId="1F425038" w14:textId="77777777" w:rsidR="00D848EC" w:rsidRPr="00D848EC" w:rsidRDefault="00D848EC" w:rsidP="00D848EC">
            <w:pPr>
              <w:rPr>
                <w:sz w:val="20"/>
                <w:lang w:val="ka-GE"/>
              </w:rPr>
            </w:pPr>
            <w:r w:rsidRPr="00D848EC">
              <w:rPr>
                <w:sz w:val="20"/>
              </w:rPr>
              <w:t>470210000.05.001.018676</w:t>
            </w:r>
          </w:p>
        </w:tc>
        <w:tc>
          <w:tcPr>
            <w:tcW w:w="1267" w:type="dxa"/>
            <w:tcBorders>
              <w:top w:val="single" w:sz="4" w:space="0" w:color="auto"/>
              <w:left w:val="single" w:sz="4" w:space="0" w:color="auto"/>
              <w:bottom w:val="single" w:sz="4" w:space="0" w:color="auto"/>
              <w:right w:val="single" w:sz="4" w:space="0" w:color="auto"/>
            </w:tcBorders>
            <w:vAlign w:val="center"/>
            <w:hideMark/>
          </w:tcPr>
          <w:p w14:paraId="4E0C28CB" w14:textId="77777777" w:rsidR="00D848EC" w:rsidRPr="00D848EC" w:rsidRDefault="00D848EC" w:rsidP="00D848EC">
            <w:pPr>
              <w:rPr>
                <w:sz w:val="20"/>
              </w:rPr>
            </w:pPr>
            <w:r w:rsidRPr="00D848EC">
              <w:rPr>
                <w:sz w:val="20"/>
              </w:rPr>
              <w:t>07/12/2017</w:t>
            </w:r>
          </w:p>
        </w:tc>
      </w:tr>
      <w:tr w:rsidR="00D848EC" w:rsidRPr="00D848EC" w14:paraId="75907639" w14:textId="77777777" w:rsidTr="00943418">
        <w:trPr>
          <w:trHeight w:val="129"/>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00073B57" w14:textId="77777777" w:rsidR="00D848EC" w:rsidRPr="00D848EC" w:rsidRDefault="00D848EC" w:rsidP="00D848EC">
            <w:pPr>
              <w:rPr>
                <w:sz w:val="20"/>
              </w:rPr>
            </w:pPr>
            <w:r w:rsidRPr="00D848EC">
              <w:rPr>
                <w:sz w:val="20"/>
              </w:rPr>
              <w:t>1999</w:t>
            </w:r>
          </w:p>
        </w:tc>
        <w:tc>
          <w:tcPr>
            <w:tcW w:w="5504" w:type="dxa"/>
            <w:tcBorders>
              <w:top w:val="single" w:sz="4" w:space="0" w:color="auto"/>
              <w:left w:val="single" w:sz="4" w:space="0" w:color="auto"/>
              <w:bottom w:val="single" w:sz="4" w:space="0" w:color="auto"/>
              <w:right w:val="single" w:sz="4" w:space="0" w:color="auto"/>
            </w:tcBorders>
            <w:vAlign w:val="center"/>
            <w:hideMark/>
          </w:tcPr>
          <w:p w14:paraId="307C2557"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t xml:space="preserve"> </w:t>
            </w:r>
            <w:r w:rsidRPr="00D848EC">
              <w:rPr>
                <w:rFonts w:ascii="Sylfaen" w:hAnsi="Sylfaen" w:cs="Sylfaen"/>
                <w:sz w:val="20"/>
              </w:rPr>
              <w:t>ატმოსფერული</w:t>
            </w:r>
            <w:r w:rsidRPr="00D848EC">
              <w:rPr>
                <w:sz w:val="20"/>
              </w:rPr>
              <w:t xml:space="preserve"> </w:t>
            </w:r>
            <w:r w:rsidRPr="00D848EC">
              <w:rPr>
                <w:rFonts w:ascii="Sylfaen" w:hAnsi="Sylfaen" w:cs="Sylfaen"/>
                <w:sz w:val="20"/>
              </w:rPr>
              <w:t>ჰაერის</w:t>
            </w:r>
            <w:r w:rsidRPr="00D848EC">
              <w:rPr>
                <w:sz w:val="20"/>
              </w:rPr>
              <w:t xml:space="preserve"> </w:t>
            </w:r>
            <w:r w:rsidRPr="00D848EC">
              <w:rPr>
                <w:rFonts w:ascii="Sylfaen" w:hAnsi="Sylfaen" w:cs="Sylfaen"/>
                <w:sz w:val="20"/>
              </w:rPr>
              <w:t>დაცვის</w:t>
            </w:r>
            <w:r w:rsidRPr="00D848EC">
              <w:rPr>
                <w:sz w:val="20"/>
              </w:rPr>
              <w:t xml:space="preserve"> </w:t>
            </w:r>
            <w:r w:rsidRPr="00D848EC">
              <w:rPr>
                <w:rFonts w:ascii="Sylfaen" w:hAnsi="Sylfaen" w:cs="Sylfaen"/>
                <w:sz w:val="20"/>
              </w:rPr>
              <w:t>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14:paraId="25B13EF2" w14:textId="77777777" w:rsidR="00D848EC" w:rsidRPr="00D848EC" w:rsidRDefault="00D848EC" w:rsidP="00D848EC">
            <w:pPr>
              <w:rPr>
                <w:sz w:val="20"/>
                <w:lang w:val="ka-GE"/>
              </w:rPr>
            </w:pPr>
            <w:r w:rsidRPr="00D848EC">
              <w:rPr>
                <w:sz w:val="20"/>
              </w:rPr>
              <w:t>420000000.05.001.018620</w:t>
            </w:r>
          </w:p>
        </w:tc>
        <w:tc>
          <w:tcPr>
            <w:tcW w:w="1267" w:type="dxa"/>
            <w:tcBorders>
              <w:top w:val="single" w:sz="4" w:space="0" w:color="auto"/>
              <w:left w:val="single" w:sz="4" w:space="0" w:color="auto"/>
              <w:bottom w:val="single" w:sz="4" w:space="0" w:color="auto"/>
              <w:right w:val="single" w:sz="4" w:space="0" w:color="auto"/>
            </w:tcBorders>
            <w:vAlign w:val="center"/>
            <w:hideMark/>
          </w:tcPr>
          <w:p w14:paraId="1BC87DD8" w14:textId="77777777" w:rsidR="00D848EC" w:rsidRPr="00D848EC" w:rsidRDefault="00D848EC" w:rsidP="00D848EC">
            <w:pPr>
              <w:rPr>
                <w:sz w:val="20"/>
              </w:rPr>
            </w:pPr>
            <w:r w:rsidRPr="00D848EC">
              <w:rPr>
                <w:sz w:val="20"/>
              </w:rPr>
              <w:t>07/12/2017</w:t>
            </w:r>
          </w:p>
        </w:tc>
      </w:tr>
      <w:tr w:rsidR="00D848EC" w:rsidRPr="00D848EC" w14:paraId="03055825" w14:textId="77777777" w:rsidTr="00943418">
        <w:trPr>
          <w:trHeight w:val="129"/>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42144FBC" w14:textId="77777777" w:rsidR="00D848EC" w:rsidRPr="00D848EC" w:rsidRDefault="00D848EC" w:rsidP="00D848EC">
            <w:pPr>
              <w:rPr>
                <w:sz w:val="20"/>
              </w:rPr>
            </w:pPr>
            <w:r w:rsidRPr="00D848EC">
              <w:rPr>
                <w:sz w:val="20"/>
              </w:rPr>
              <w:t>1999</w:t>
            </w:r>
          </w:p>
        </w:tc>
        <w:tc>
          <w:tcPr>
            <w:tcW w:w="5504" w:type="dxa"/>
            <w:tcBorders>
              <w:top w:val="single" w:sz="4" w:space="0" w:color="auto"/>
              <w:left w:val="single" w:sz="4" w:space="0" w:color="auto"/>
              <w:bottom w:val="single" w:sz="4" w:space="0" w:color="auto"/>
              <w:right w:val="single" w:sz="4" w:space="0" w:color="auto"/>
            </w:tcBorders>
            <w:vAlign w:val="center"/>
            <w:hideMark/>
          </w:tcPr>
          <w:p w14:paraId="2043AFD9"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ტყის</w:t>
            </w:r>
            <w:r w:rsidRPr="00D848EC">
              <w:rPr>
                <w:sz w:val="20"/>
              </w:rPr>
              <w:t xml:space="preserve"> </w:t>
            </w:r>
            <w:r w:rsidRPr="00D848EC">
              <w:rPr>
                <w:rFonts w:ascii="Sylfaen" w:hAnsi="Sylfaen" w:cs="Sylfaen"/>
                <w:sz w:val="20"/>
              </w:rPr>
              <w:t>კოდექსი</w:t>
            </w:r>
          </w:p>
        </w:tc>
        <w:tc>
          <w:tcPr>
            <w:tcW w:w="2727" w:type="dxa"/>
            <w:tcBorders>
              <w:top w:val="single" w:sz="4" w:space="0" w:color="auto"/>
              <w:left w:val="single" w:sz="4" w:space="0" w:color="auto"/>
              <w:bottom w:val="single" w:sz="4" w:space="0" w:color="auto"/>
              <w:right w:val="single" w:sz="4" w:space="0" w:color="auto"/>
            </w:tcBorders>
            <w:vAlign w:val="center"/>
            <w:hideMark/>
          </w:tcPr>
          <w:p w14:paraId="5FBDD56C" w14:textId="77777777" w:rsidR="00D848EC" w:rsidRPr="00D848EC" w:rsidRDefault="00D848EC" w:rsidP="00D848EC">
            <w:pPr>
              <w:rPr>
                <w:sz w:val="20"/>
                <w:lang w:val="ka-GE"/>
              </w:rPr>
            </w:pPr>
            <w:r w:rsidRPr="00D848EC">
              <w:rPr>
                <w:sz w:val="20"/>
              </w:rPr>
              <w:t>390000000.05.001.018603</w:t>
            </w:r>
          </w:p>
        </w:tc>
        <w:tc>
          <w:tcPr>
            <w:tcW w:w="1267" w:type="dxa"/>
            <w:tcBorders>
              <w:top w:val="single" w:sz="4" w:space="0" w:color="auto"/>
              <w:left w:val="single" w:sz="4" w:space="0" w:color="auto"/>
              <w:bottom w:val="single" w:sz="4" w:space="0" w:color="auto"/>
              <w:right w:val="single" w:sz="4" w:space="0" w:color="auto"/>
            </w:tcBorders>
            <w:vAlign w:val="center"/>
            <w:hideMark/>
          </w:tcPr>
          <w:p w14:paraId="10B175EA" w14:textId="77777777" w:rsidR="00D848EC" w:rsidRPr="00D848EC" w:rsidRDefault="00D848EC" w:rsidP="00D848EC">
            <w:pPr>
              <w:rPr>
                <w:sz w:val="20"/>
              </w:rPr>
            </w:pPr>
            <w:r w:rsidRPr="00D848EC">
              <w:rPr>
                <w:sz w:val="20"/>
              </w:rPr>
              <w:t>07/12/2017</w:t>
            </w:r>
          </w:p>
        </w:tc>
      </w:tr>
      <w:tr w:rsidR="00D848EC" w:rsidRPr="00D848EC" w14:paraId="56BAD2D4" w14:textId="77777777" w:rsidTr="00943418">
        <w:trPr>
          <w:trHeight w:val="129"/>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7F133783" w14:textId="77777777" w:rsidR="00D848EC" w:rsidRPr="00D848EC" w:rsidRDefault="00D848EC" w:rsidP="00D848EC">
            <w:pPr>
              <w:rPr>
                <w:sz w:val="20"/>
              </w:rPr>
            </w:pPr>
            <w:r w:rsidRPr="00D848EC">
              <w:rPr>
                <w:sz w:val="20"/>
              </w:rPr>
              <w:t>2010</w:t>
            </w:r>
          </w:p>
        </w:tc>
        <w:tc>
          <w:tcPr>
            <w:tcW w:w="5504" w:type="dxa"/>
            <w:tcBorders>
              <w:top w:val="single" w:sz="4" w:space="0" w:color="auto"/>
              <w:left w:val="single" w:sz="4" w:space="0" w:color="auto"/>
              <w:bottom w:val="single" w:sz="4" w:space="0" w:color="auto"/>
              <w:right w:val="single" w:sz="4" w:space="0" w:color="auto"/>
            </w:tcBorders>
            <w:vAlign w:val="center"/>
            <w:hideMark/>
          </w:tcPr>
          <w:p w14:paraId="1F45A603"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t xml:space="preserve"> </w:t>
            </w:r>
            <w:r w:rsidRPr="00D848EC">
              <w:rPr>
                <w:rFonts w:ascii="Sylfaen" w:hAnsi="Sylfaen" w:cs="Sylfaen"/>
                <w:sz w:val="20"/>
              </w:rPr>
              <w:t>ტყის</w:t>
            </w:r>
            <w:r w:rsidRPr="00D848EC">
              <w:rPr>
                <w:sz w:val="20"/>
              </w:rPr>
              <w:t xml:space="preserve"> </w:t>
            </w:r>
            <w:r w:rsidRPr="00D848EC">
              <w:rPr>
                <w:rFonts w:ascii="Sylfaen" w:hAnsi="Sylfaen" w:cs="Sylfaen"/>
                <w:sz w:val="20"/>
              </w:rPr>
              <w:t>ფონდის</w:t>
            </w:r>
            <w:r w:rsidRPr="00D848EC">
              <w:rPr>
                <w:sz w:val="20"/>
              </w:rPr>
              <w:t xml:space="preserve"> </w:t>
            </w:r>
            <w:r w:rsidRPr="00D848EC">
              <w:rPr>
                <w:rFonts w:ascii="Sylfaen" w:hAnsi="Sylfaen" w:cs="Sylfaen"/>
                <w:sz w:val="20"/>
              </w:rPr>
              <w:t>მართვის</w:t>
            </w:r>
            <w:r w:rsidRPr="00D848EC">
              <w:rPr>
                <w:sz w:val="20"/>
              </w:rPr>
              <w:t xml:space="preserve"> </w:t>
            </w:r>
            <w:r w:rsidRPr="00D848EC">
              <w:rPr>
                <w:rFonts w:ascii="Sylfaen" w:hAnsi="Sylfaen" w:cs="Sylfaen"/>
                <w:sz w:val="20"/>
              </w:rPr>
              <w:t>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14:paraId="4DFE9097" w14:textId="77777777" w:rsidR="00D848EC" w:rsidRPr="00D848EC" w:rsidRDefault="00D848EC" w:rsidP="00D848EC">
            <w:pPr>
              <w:rPr>
                <w:sz w:val="20"/>
                <w:lang w:val="ka-GE"/>
              </w:rPr>
            </w:pPr>
            <w:r w:rsidRPr="00D848EC">
              <w:rPr>
                <w:sz w:val="20"/>
              </w:rPr>
              <w:t>040030000.05.001.018652</w:t>
            </w:r>
          </w:p>
        </w:tc>
        <w:tc>
          <w:tcPr>
            <w:tcW w:w="1267" w:type="dxa"/>
            <w:tcBorders>
              <w:top w:val="single" w:sz="4" w:space="0" w:color="auto"/>
              <w:left w:val="single" w:sz="4" w:space="0" w:color="auto"/>
              <w:bottom w:val="single" w:sz="4" w:space="0" w:color="auto"/>
              <w:right w:val="single" w:sz="4" w:space="0" w:color="auto"/>
            </w:tcBorders>
            <w:vAlign w:val="center"/>
            <w:hideMark/>
          </w:tcPr>
          <w:p w14:paraId="39FDBFFB" w14:textId="77777777" w:rsidR="00D848EC" w:rsidRPr="00D848EC" w:rsidRDefault="00D848EC" w:rsidP="00D848EC">
            <w:pPr>
              <w:rPr>
                <w:sz w:val="20"/>
              </w:rPr>
            </w:pPr>
            <w:r w:rsidRPr="00D848EC">
              <w:rPr>
                <w:sz w:val="20"/>
              </w:rPr>
              <w:t>07/12/2017</w:t>
            </w:r>
          </w:p>
        </w:tc>
      </w:tr>
      <w:tr w:rsidR="00D848EC" w:rsidRPr="00D848EC" w14:paraId="73B0D118" w14:textId="77777777" w:rsidTr="00943418">
        <w:trPr>
          <w:trHeight w:val="129"/>
          <w:jc w:val="center"/>
        </w:trPr>
        <w:tc>
          <w:tcPr>
            <w:tcW w:w="1151" w:type="dxa"/>
            <w:tcBorders>
              <w:top w:val="single" w:sz="4" w:space="0" w:color="auto"/>
              <w:left w:val="single" w:sz="4" w:space="0" w:color="auto"/>
              <w:bottom w:val="single" w:sz="4" w:space="0" w:color="auto"/>
              <w:right w:val="single" w:sz="4" w:space="0" w:color="auto"/>
            </w:tcBorders>
            <w:vAlign w:val="center"/>
          </w:tcPr>
          <w:p w14:paraId="5836F644" w14:textId="77777777" w:rsidR="00D848EC" w:rsidRPr="00D848EC" w:rsidRDefault="00D848EC" w:rsidP="00D848EC">
            <w:pPr>
              <w:rPr>
                <w:sz w:val="20"/>
              </w:rPr>
            </w:pPr>
            <w:r w:rsidRPr="00D848EC">
              <w:rPr>
                <w:sz w:val="20"/>
              </w:rPr>
              <w:br/>
              <w:t>10/11/200</w:t>
            </w:r>
          </w:p>
          <w:p w14:paraId="4F927415" w14:textId="77777777" w:rsidR="00D848EC" w:rsidRPr="00D848EC" w:rsidRDefault="00D848EC" w:rsidP="00D848EC">
            <w:pPr>
              <w:rPr>
                <w:sz w:val="20"/>
              </w:rPr>
            </w:pPr>
          </w:p>
        </w:tc>
        <w:tc>
          <w:tcPr>
            <w:tcW w:w="5504" w:type="dxa"/>
            <w:tcBorders>
              <w:top w:val="single" w:sz="4" w:space="0" w:color="auto"/>
              <w:left w:val="single" w:sz="4" w:space="0" w:color="auto"/>
              <w:bottom w:val="single" w:sz="4" w:space="0" w:color="auto"/>
              <w:right w:val="single" w:sz="4" w:space="0" w:color="auto"/>
            </w:tcBorders>
            <w:vAlign w:val="center"/>
            <w:hideMark/>
          </w:tcPr>
          <w:p w14:paraId="407C1A41" w14:textId="77777777" w:rsidR="00D848EC" w:rsidRPr="00D848EC" w:rsidRDefault="00D848EC" w:rsidP="00D848EC">
            <w:pPr>
              <w:rPr>
                <w:sz w:val="20"/>
                <w:lang w:val="it-IT"/>
              </w:rPr>
            </w:pPr>
            <w:bookmarkStart w:id="4" w:name="part_1"/>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t xml:space="preserve"> </w:t>
            </w:r>
            <w:hyperlink r:id="rId22" w:anchor="!" w:history="1">
              <w:r w:rsidRPr="00D848EC">
                <w:rPr>
                  <w:rFonts w:ascii="Sylfaen" w:hAnsi="Sylfaen" w:cs="Sylfaen"/>
                  <w:sz w:val="20"/>
                </w:rPr>
                <w:t>ქალაქ</w:t>
              </w:r>
              <w:r w:rsidRPr="00D848EC">
                <w:rPr>
                  <w:sz w:val="20"/>
                </w:rPr>
                <w:t xml:space="preserve"> </w:t>
              </w:r>
              <w:r w:rsidRPr="00D848EC">
                <w:rPr>
                  <w:rFonts w:ascii="Sylfaen" w:hAnsi="Sylfaen" w:cs="Sylfaen"/>
                  <w:sz w:val="20"/>
                </w:rPr>
                <w:t>თბილისის</w:t>
              </w:r>
              <w:r w:rsidRPr="00D848EC">
                <w:rPr>
                  <w:sz w:val="20"/>
                </w:rPr>
                <w:t xml:space="preserve"> </w:t>
              </w:r>
              <w:r w:rsidRPr="00D848EC">
                <w:rPr>
                  <w:rFonts w:ascii="Sylfaen" w:hAnsi="Sylfaen" w:cs="Sylfaen"/>
                  <w:sz w:val="20"/>
                </w:rPr>
                <w:t>საზღვრებში</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მიმდებარე</w:t>
              </w:r>
              <w:r w:rsidRPr="00D848EC">
                <w:rPr>
                  <w:sz w:val="20"/>
                </w:rPr>
                <w:t xml:space="preserve"> </w:t>
              </w:r>
              <w:r w:rsidRPr="00D848EC">
                <w:rPr>
                  <w:rFonts w:ascii="Sylfaen" w:hAnsi="Sylfaen" w:cs="Sylfaen"/>
                  <w:sz w:val="20"/>
                </w:rPr>
                <w:t>ტერიტორიაზე</w:t>
              </w:r>
              <w:r w:rsidRPr="00D848EC">
                <w:rPr>
                  <w:sz w:val="20"/>
                </w:rPr>
                <w:t xml:space="preserve"> </w:t>
              </w:r>
              <w:r w:rsidRPr="00D848EC">
                <w:rPr>
                  <w:rFonts w:ascii="Sylfaen" w:hAnsi="Sylfaen" w:cs="Sylfaen"/>
                  <w:sz w:val="20"/>
                </w:rPr>
                <w:t>არსებული</w:t>
              </w:r>
              <w:r w:rsidRPr="00D848EC">
                <w:rPr>
                  <w:sz w:val="20"/>
                </w:rPr>
                <w:t xml:space="preserve"> </w:t>
              </w:r>
              <w:r w:rsidRPr="00D848EC">
                <w:rPr>
                  <w:rFonts w:ascii="Sylfaen" w:hAnsi="Sylfaen" w:cs="Sylfaen"/>
                  <w:sz w:val="20"/>
                </w:rPr>
                <w:t>მწვანე</w:t>
              </w:r>
              <w:r w:rsidRPr="00D848EC">
                <w:rPr>
                  <w:sz w:val="20"/>
                </w:rPr>
                <w:t xml:space="preserve"> </w:t>
              </w:r>
              <w:r w:rsidRPr="00D848EC">
                <w:rPr>
                  <w:rFonts w:ascii="Sylfaen" w:hAnsi="Sylfaen" w:cs="Sylfaen"/>
                  <w:sz w:val="20"/>
                </w:rPr>
                <w:t>ნარგავებისა</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სახელმწიფო</w:t>
              </w:r>
              <w:r w:rsidRPr="00D848EC">
                <w:rPr>
                  <w:sz w:val="20"/>
                </w:rPr>
                <w:t xml:space="preserve"> </w:t>
              </w:r>
              <w:r w:rsidRPr="00D848EC">
                <w:rPr>
                  <w:rFonts w:ascii="Sylfaen" w:hAnsi="Sylfaen" w:cs="Sylfaen"/>
                  <w:sz w:val="20"/>
                </w:rPr>
                <w:t>ტყის</w:t>
              </w:r>
              <w:r w:rsidRPr="00D848EC">
                <w:rPr>
                  <w:sz w:val="20"/>
                </w:rPr>
                <w:t xml:space="preserve"> </w:t>
              </w:r>
              <w:r w:rsidRPr="00D848EC">
                <w:rPr>
                  <w:rFonts w:ascii="Sylfaen" w:hAnsi="Sylfaen" w:cs="Sylfaen"/>
                  <w:sz w:val="20"/>
                </w:rPr>
                <w:t>ფონდის</w:t>
              </w:r>
              <w:r w:rsidRPr="00D848EC">
                <w:rPr>
                  <w:sz w:val="20"/>
                </w:rPr>
                <w:t xml:space="preserve"> </w:t>
              </w:r>
              <w:r w:rsidRPr="00D848EC">
                <w:rPr>
                  <w:rFonts w:ascii="Sylfaen" w:hAnsi="Sylfaen" w:cs="Sylfaen"/>
                  <w:sz w:val="20"/>
                </w:rPr>
                <w:t>განსაკუთრებული</w:t>
              </w:r>
              <w:r w:rsidRPr="00D848EC">
                <w:rPr>
                  <w:sz w:val="20"/>
                </w:rPr>
                <w:t xml:space="preserve"> </w:t>
              </w:r>
              <w:r w:rsidRPr="00D848EC">
                <w:rPr>
                  <w:rFonts w:ascii="Sylfaen" w:hAnsi="Sylfaen" w:cs="Sylfaen"/>
                  <w:sz w:val="20"/>
                </w:rPr>
                <w:t>დაცვის</w:t>
              </w:r>
              <w:r w:rsidRPr="00D848EC">
                <w:rPr>
                  <w:sz w:val="20"/>
                </w:rPr>
                <w:t xml:space="preserve"> </w:t>
              </w:r>
              <w:r w:rsidRPr="00D848EC">
                <w:rPr>
                  <w:rFonts w:ascii="Sylfaen" w:hAnsi="Sylfaen" w:cs="Sylfaen"/>
                  <w:sz w:val="20"/>
                </w:rPr>
                <w:t>შესახებ</w:t>
              </w:r>
              <w:bookmarkEnd w:id="4"/>
            </w:hyperlink>
          </w:p>
        </w:tc>
        <w:tc>
          <w:tcPr>
            <w:tcW w:w="2727" w:type="dxa"/>
            <w:tcBorders>
              <w:top w:val="single" w:sz="4" w:space="0" w:color="auto"/>
              <w:left w:val="single" w:sz="4" w:space="0" w:color="auto"/>
              <w:bottom w:val="single" w:sz="4" w:space="0" w:color="auto"/>
              <w:right w:val="single" w:sz="4" w:space="0" w:color="auto"/>
            </w:tcBorders>
            <w:vAlign w:val="center"/>
            <w:hideMark/>
          </w:tcPr>
          <w:p w14:paraId="7407F42B" w14:textId="77777777" w:rsidR="00D848EC" w:rsidRPr="00D848EC" w:rsidRDefault="00D848EC" w:rsidP="00D848EC">
            <w:pPr>
              <w:rPr>
                <w:sz w:val="20"/>
                <w:lang w:val="ka-GE"/>
              </w:rPr>
            </w:pPr>
            <w:r w:rsidRPr="00D848EC">
              <w:rPr>
                <w:sz w:val="20"/>
              </w:rPr>
              <w:t>390040000.05.001.018623</w:t>
            </w:r>
          </w:p>
        </w:tc>
        <w:tc>
          <w:tcPr>
            <w:tcW w:w="1267" w:type="dxa"/>
            <w:tcBorders>
              <w:top w:val="single" w:sz="4" w:space="0" w:color="auto"/>
              <w:left w:val="single" w:sz="4" w:space="0" w:color="auto"/>
              <w:bottom w:val="single" w:sz="4" w:space="0" w:color="auto"/>
              <w:right w:val="single" w:sz="4" w:space="0" w:color="auto"/>
            </w:tcBorders>
            <w:vAlign w:val="center"/>
          </w:tcPr>
          <w:p w14:paraId="702F1D8A" w14:textId="77777777" w:rsidR="00D848EC" w:rsidRPr="00D848EC" w:rsidRDefault="00D848EC" w:rsidP="00D848EC">
            <w:pPr>
              <w:rPr>
                <w:sz w:val="20"/>
              </w:rPr>
            </w:pPr>
            <w:r w:rsidRPr="00D848EC">
              <w:rPr>
                <w:sz w:val="20"/>
              </w:rPr>
              <w:br/>
              <w:t>07/12/2017</w:t>
            </w:r>
          </w:p>
          <w:p w14:paraId="5A8D2427" w14:textId="77777777" w:rsidR="00D848EC" w:rsidRPr="00D848EC" w:rsidRDefault="00D848EC" w:rsidP="00D848EC">
            <w:pPr>
              <w:rPr>
                <w:sz w:val="20"/>
              </w:rPr>
            </w:pPr>
          </w:p>
        </w:tc>
      </w:tr>
      <w:tr w:rsidR="00D848EC" w:rsidRPr="00D848EC" w14:paraId="42800B6A" w14:textId="77777777" w:rsidTr="00943418">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61527942" w14:textId="77777777" w:rsidR="00D848EC" w:rsidRPr="00D848EC" w:rsidRDefault="00D848EC" w:rsidP="00D848EC">
            <w:pPr>
              <w:rPr>
                <w:sz w:val="20"/>
              </w:rPr>
            </w:pPr>
            <w:r w:rsidRPr="00D848EC">
              <w:rPr>
                <w:sz w:val="20"/>
              </w:rPr>
              <w:t>1999</w:t>
            </w:r>
          </w:p>
        </w:tc>
        <w:tc>
          <w:tcPr>
            <w:tcW w:w="5504" w:type="dxa"/>
            <w:tcBorders>
              <w:top w:val="single" w:sz="4" w:space="0" w:color="auto"/>
              <w:left w:val="single" w:sz="4" w:space="0" w:color="auto"/>
              <w:bottom w:val="single" w:sz="4" w:space="0" w:color="auto"/>
              <w:right w:val="single" w:sz="4" w:space="0" w:color="auto"/>
            </w:tcBorders>
            <w:vAlign w:val="center"/>
            <w:hideMark/>
          </w:tcPr>
          <w:p w14:paraId="3402B66A"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t xml:space="preserve"> </w:t>
            </w:r>
            <w:r w:rsidRPr="00D848EC">
              <w:rPr>
                <w:rFonts w:ascii="Sylfaen" w:hAnsi="Sylfaen" w:cs="Sylfaen"/>
                <w:sz w:val="20"/>
              </w:rPr>
              <w:t>საშიში</w:t>
            </w:r>
            <w:r w:rsidRPr="00D848EC">
              <w:rPr>
                <w:sz w:val="20"/>
              </w:rPr>
              <w:t xml:space="preserve"> </w:t>
            </w:r>
            <w:r w:rsidRPr="00D848EC">
              <w:rPr>
                <w:rFonts w:ascii="Sylfaen" w:hAnsi="Sylfaen" w:cs="Sylfaen"/>
                <w:sz w:val="20"/>
              </w:rPr>
              <w:t>ნივთიერებებით</w:t>
            </w:r>
            <w:r w:rsidRPr="00D848EC">
              <w:rPr>
                <w:sz w:val="20"/>
              </w:rPr>
              <w:t xml:space="preserve"> </w:t>
            </w:r>
            <w:r w:rsidRPr="00D848EC">
              <w:rPr>
                <w:rFonts w:ascii="Sylfaen" w:hAnsi="Sylfaen" w:cs="Sylfaen"/>
                <w:sz w:val="20"/>
              </w:rPr>
              <w:t>გამოწვეული</w:t>
            </w:r>
            <w:r w:rsidRPr="00D848EC">
              <w:rPr>
                <w:sz w:val="20"/>
              </w:rPr>
              <w:t xml:space="preserve"> </w:t>
            </w:r>
            <w:r w:rsidRPr="00D848EC">
              <w:rPr>
                <w:rFonts w:ascii="Sylfaen" w:hAnsi="Sylfaen" w:cs="Sylfaen"/>
                <w:sz w:val="20"/>
              </w:rPr>
              <w:t>ზიანის</w:t>
            </w:r>
            <w:r w:rsidRPr="00D848EC">
              <w:rPr>
                <w:sz w:val="20"/>
              </w:rPr>
              <w:t xml:space="preserve"> </w:t>
            </w:r>
            <w:r w:rsidRPr="00D848EC">
              <w:rPr>
                <w:rFonts w:ascii="Sylfaen" w:hAnsi="Sylfaen" w:cs="Sylfaen"/>
                <w:sz w:val="20"/>
              </w:rPr>
              <w:t>ანაზღაურების</w:t>
            </w:r>
            <w:r w:rsidRPr="00D848EC">
              <w:rPr>
                <w:sz w:val="20"/>
              </w:rPr>
              <w:t xml:space="preserve"> </w:t>
            </w:r>
            <w:r w:rsidRPr="00D848EC">
              <w:rPr>
                <w:rFonts w:ascii="Sylfaen" w:hAnsi="Sylfaen" w:cs="Sylfaen"/>
                <w:sz w:val="20"/>
              </w:rPr>
              <w:t>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14:paraId="671CC763" w14:textId="77777777" w:rsidR="00D848EC" w:rsidRPr="00D848EC" w:rsidRDefault="00D848EC" w:rsidP="00D848EC">
            <w:pPr>
              <w:rPr>
                <w:sz w:val="20"/>
                <w:lang w:val="ka-GE"/>
              </w:rPr>
            </w:pPr>
            <w:r w:rsidRPr="00D848EC">
              <w:rPr>
                <w:sz w:val="20"/>
              </w:rPr>
              <w:t>040160050.05.001.018679</w:t>
            </w:r>
          </w:p>
        </w:tc>
        <w:tc>
          <w:tcPr>
            <w:tcW w:w="1267" w:type="dxa"/>
            <w:tcBorders>
              <w:top w:val="single" w:sz="4" w:space="0" w:color="auto"/>
              <w:left w:val="single" w:sz="4" w:space="0" w:color="auto"/>
              <w:bottom w:val="single" w:sz="4" w:space="0" w:color="auto"/>
              <w:right w:val="single" w:sz="4" w:space="0" w:color="auto"/>
            </w:tcBorders>
            <w:vAlign w:val="center"/>
            <w:hideMark/>
          </w:tcPr>
          <w:p w14:paraId="561A1AB9" w14:textId="77777777" w:rsidR="00D848EC" w:rsidRPr="00D848EC" w:rsidRDefault="00D848EC" w:rsidP="00D848EC">
            <w:pPr>
              <w:rPr>
                <w:sz w:val="20"/>
              </w:rPr>
            </w:pPr>
            <w:r w:rsidRPr="00D848EC">
              <w:rPr>
                <w:sz w:val="20"/>
              </w:rPr>
              <w:t>07/12/2017</w:t>
            </w:r>
          </w:p>
        </w:tc>
      </w:tr>
      <w:tr w:rsidR="00D848EC" w:rsidRPr="00D848EC" w14:paraId="75B1A829" w14:textId="77777777" w:rsidTr="00943418">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4542C40A" w14:textId="77777777" w:rsidR="00D848EC" w:rsidRPr="00D848EC" w:rsidRDefault="00D848EC" w:rsidP="00D848EC">
            <w:pPr>
              <w:rPr>
                <w:sz w:val="20"/>
              </w:rPr>
            </w:pPr>
            <w:r w:rsidRPr="00D848EC">
              <w:rPr>
                <w:sz w:val="20"/>
              </w:rPr>
              <w:t>2003</w:t>
            </w:r>
          </w:p>
        </w:tc>
        <w:tc>
          <w:tcPr>
            <w:tcW w:w="5504" w:type="dxa"/>
            <w:tcBorders>
              <w:top w:val="single" w:sz="4" w:space="0" w:color="auto"/>
              <w:left w:val="single" w:sz="4" w:space="0" w:color="auto"/>
              <w:bottom w:val="single" w:sz="4" w:space="0" w:color="auto"/>
              <w:right w:val="single" w:sz="4" w:space="0" w:color="auto"/>
            </w:tcBorders>
            <w:vAlign w:val="center"/>
            <w:hideMark/>
          </w:tcPr>
          <w:p w14:paraId="2D678801"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წითელი</w:t>
            </w:r>
            <w:r w:rsidRPr="00D848EC">
              <w:rPr>
                <w:sz w:val="20"/>
              </w:rPr>
              <w:t xml:space="preserve"> </w:t>
            </w:r>
            <w:r w:rsidRPr="00D848EC">
              <w:rPr>
                <w:rFonts w:ascii="Sylfaen" w:hAnsi="Sylfaen" w:cs="Sylfaen"/>
                <w:sz w:val="20"/>
              </w:rPr>
              <w:t>ნუსხის</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წითელი</w:t>
            </w:r>
            <w:r w:rsidRPr="00D848EC">
              <w:rPr>
                <w:sz w:val="20"/>
              </w:rPr>
              <w:t xml:space="preserve"> </w:t>
            </w:r>
            <w:r w:rsidRPr="00D848EC">
              <w:rPr>
                <w:rFonts w:ascii="Sylfaen" w:hAnsi="Sylfaen" w:cs="Sylfaen"/>
                <w:sz w:val="20"/>
              </w:rPr>
              <w:t>წიგნის</w:t>
            </w:r>
            <w:r w:rsidRPr="00D848EC">
              <w:rPr>
                <w:sz w:val="20"/>
              </w:rPr>
              <w:t xml:space="preserve"> </w:t>
            </w:r>
            <w:r w:rsidRPr="00D848EC">
              <w:rPr>
                <w:rFonts w:ascii="Sylfaen" w:hAnsi="Sylfaen" w:cs="Sylfaen"/>
                <w:sz w:val="20"/>
              </w:rPr>
              <w:t>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14:paraId="77D95611" w14:textId="77777777" w:rsidR="00D848EC" w:rsidRPr="00D848EC" w:rsidRDefault="00D848EC" w:rsidP="00D848EC">
            <w:pPr>
              <w:rPr>
                <w:sz w:val="20"/>
                <w:lang w:val="ka-GE"/>
              </w:rPr>
            </w:pPr>
            <w:r w:rsidRPr="00D848EC">
              <w:rPr>
                <w:sz w:val="20"/>
              </w:rPr>
              <w:t>360060000.05.001.018650</w:t>
            </w:r>
          </w:p>
        </w:tc>
        <w:tc>
          <w:tcPr>
            <w:tcW w:w="1267" w:type="dxa"/>
            <w:tcBorders>
              <w:top w:val="single" w:sz="4" w:space="0" w:color="auto"/>
              <w:left w:val="single" w:sz="4" w:space="0" w:color="auto"/>
              <w:bottom w:val="single" w:sz="4" w:space="0" w:color="auto"/>
              <w:right w:val="single" w:sz="4" w:space="0" w:color="auto"/>
            </w:tcBorders>
            <w:vAlign w:val="center"/>
            <w:hideMark/>
          </w:tcPr>
          <w:p w14:paraId="67C7C3DB" w14:textId="77777777" w:rsidR="00D848EC" w:rsidRPr="00D848EC" w:rsidRDefault="00D848EC" w:rsidP="00D848EC">
            <w:pPr>
              <w:rPr>
                <w:sz w:val="20"/>
              </w:rPr>
            </w:pPr>
            <w:r w:rsidRPr="00D848EC">
              <w:rPr>
                <w:sz w:val="20"/>
              </w:rPr>
              <w:t>07/12/2017</w:t>
            </w:r>
          </w:p>
        </w:tc>
      </w:tr>
      <w:tr w:rsidR="00D848EC" w:rsidRPr="00D848EC" w14:paraId="45B4EEB0" w14:textId="77777777" w:rsidTr="00943418">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3B8D138C" w14:textId="77777777" w:rsidR="00D848EC" w:rsidRPr="00D848EC" w:rsidRDefault="00D848EC" w:rsidP="00D848EC">
            <w:pPr>
              <w:rPr>
                <w:sz w:val="20"/>
              </w:rPr>
            </w:pPr>
            <w:r w:rsidRPr="00D848EC">
              <w:rPr>
                <w:sz w:val="20"/>
              </w:rPr>
              <w:t>2003</w:t>
            </w:r>
          </w:p>
        </w:tc>
        <w:tc>
          <w:tcPr>
            <w:tcW w:w="5504" w:type="dxa"/>
            <w:tcBorders>
              <w:top w:val="single" w:sz="4" w:space="0" w:color="auto"/>
              <w:left w:val="single" w:sz="4" w:space="0" w:color="auto"/>
              <w:bottom w:val="single" w:sz="4" w:space="0" w:color="auto"/>
              <w:right w:val="single" w:sz="4" w:space="0" w:color="auto"/>
            </w:tcBorders>
            <w:vAlign w:val="center"/>
            <w:hideMark/>
          </w:tcPr>
          <w:p w14:paraId="2E33B601"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t xml:space="preserve"> </w:t>
            </w:r>
            <w:r w:rsidRPr="00D848EC">
              <w:rPr>
                <w:rFonts w:ascii="Sylfaen" w:hAnsi="Sylfaen" w:cs="Sylfaen"/>
                <w:sz w:val="20"/>
              </w:rPr>
              <w:t>ნიადაგების</w:t>
            </w:r>
            <w:r w:rsidRPr="00D848EC">
              <w:rPr>
                <w:sz w:val="20"/>
              </w:rPr>
              <w:t xml:space="preserve"> </w:t>
            </w:r>
            <w:r w:rsidRPr="00D848EC">
              <w:rPr>
                <w:rFonts w:ascii="Sylfaen" w:hAnsi="Sylfaen" w:cs="Sylfaen"/>
                <w:sz w:val="20"/>
              </w:rPr>
              <w:t>კონსერვაციისა</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ნაყოფიერების</w:t>
            </w:r>
            <w:r w:rsidRPr="00D848EC">
              <w:rPr>
                <w:sz w:val="20"/>
              </w:rPr>
              <w:t xml:space="preserve"> </w:t>
            </w:r>
            <w:r w:rsidRPr="00D848EC">
              <w:rPr>
                <w:rFonts w:ascii="Sylfaen" w:hAnsi="Sylfaen" w:cs="Sylfaen"/>
                <w:sz w:val="20"/>
              </w:rPr>
              <w:t>აღდგენა</w:t>
            </w:r>
            <w:r w:rsidRPr="00D848EC">
              <w:rPr>
                <w:sz w:val="20"/>
              </w:rPr>
              <w:t>-</w:t>
            </w:r>
            <w:r w:rsidRPr="00D848EC">
              <w:rPr>
                <w:rFonts w:ascii="Sylfaen" w:hAnsi="Sylfaen" w:cs="Sylfaen"/>
                <w:sz w:val="20"/>
              </w:rPr>
              <w:t>გაუმჯობესების</w:t>
            </w:r>
            <w:r w:rsidRPr="00D848EC">
              <w:rPr>
                <w:sz w:val="20"/>
              </w:rPr>
              <w:t xml:space="preserve"> </w:t>
            </w:r>
            <w:r w:rsidRPr="00D848EC">
              <w:rPr>
                <w:rFonts w:ascii="Sylfaen" w:hAnsi="Sylfaen" w:cs="Sylfaen"/>
                <w:sz w:val="20"/>
              </w:rPr>
              <w:t>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14:paraId="10DA1D88" w14:textId="77777777" w:rsidR="00D848EC" w:rsidRPr="00D848EC" w:rsidRDefault="00D848EC" w:rsidP="00D848EC">
            <w:pPr>
              <w:rPr>
                <w:sz w:val="20"/>
                <w:lang w:val="ka-GE"/>
              </w:rPr>
            </w:pPr>
            <w:r w:rsidRPr="00D848EC">
              <w:rPr>
                <w:sz w:val="20"/>
              </w:rPr>
              <w:t>370010000.05.001.018641</w:t>
            </w:r>
          </w:p>
        </w:tc>
        <w:tc>
          <w:tcPr>
            <w:tcW w:w="1267" w:type="dxa"/>
            <w:tcBorders>
              <w:top w:val="single" w:sz="4" w:space="0" w:color="auto"/>
              <w:left w:val="single" w:sz="4" w:space="0" w:color="auto"/>
              <w:bottom w:val="single" w:sz="4" w:space="0" w:color="auto"/>
              <w:right w:val="single" w:sz="4" w:space="0" w:color="auto"/>
            </w:tcBorders>
            <w:vAlign w:val="center"/>
            <w:hideMark/>
          </w:tcPr>
          <w:p w14:paraId="1AABA3BB" w14:textId="77777777" w:rsidR="00D848EC" w:rsidRPr="00D848EC" w:rsidRDefault="00D848EC" w:rsidP="00D848EC">
            <w:pPr>
              <w:rPr>
                <w:sz w:val="20"/>
              </w:rPr>
            </w:pPr>
            <w:r w:rsidRPr="00D848EC">
              <w:rPr>
                <w:sz w:val="20"/>
              </w:rPr>
              <w:t>07/12/2017</w:t>
            </w:r>
          </w:p>
        </w:tc>
      </w:tr>
      <w:tr w:rsidR="00D848EC" w:rsidRPr="00D848EC" w14:paraId="55999F5D" w14:textId="77777777" w:rsidTr="00943418">
        <w:trPr>
          <w:trHeight w:val="454"/>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4935A0CA" w14:textId="77777777" w:rsidR="00D848EC" w:rsidRPr="00D848EC" w:rsidRDefault="00D848EC" w:rsidP="00D848EC">
            <w:pPr>
              <w:rPr>
                <w:sz w:val="20"/>
              </w:rPr>
            </w:pPr>
            <w:r w:rsidRPr="00D848EC">
              <w:rPr>
                <w:sz w:val="20"/>
              </w:rPr>
              <w:t>2005</w:t>
            </w:r>
          </w:p>
        </w:tc>
        <w:tc>
          <w:tcPr>
            <w:tcW w:w="5504" w:type="dxa"/>
            <w:tcBorders>
              <w:top w:val="single" w:sz="4" w:space="0" w:color="auto"/>
              <w:left w:val="single" w:sz="4" w:space="0" w:color="auto"/>
              <w:bottom w:val="single" w:sz="4" w:space="0" w:color="auto"/>
              <w:right w:val="single" w:sz="4" w:space="0" w:color="auto"/>
            </w:tcBorders>
            <w:vAlign w:val="center"/>
            <w:hideMark/>
          </w:tcPr>
          <w:p w14:paraId="296650D5"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t xml:space="preserve"> </w:t>
            </w:r>
            <w:r w:rsidRPr="00D848EC">
              <w:rPr>
                <w:rFonts w:ascii="Sylfaen" w:hAnsi="Sylfaen" w:cs="Sylfaen"/>
                <w:sz w:val="20"/>
              </w:rPr>
              <w:t>ლიცენზიებისა</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ნებართვების</w:t>
            </w:r>
            <w:r w:rsidRPr="00D848EC">
              <w:rPr>
                <w:sz w:val="20"/>
              </w:rPr>
              <w:t xml:space="preserve"> </w:t>
            </w:r>
            <w:r w:rsidRPr="00D848EC">
              <w:rPr>
                <w:rFonts w:ascii="Sylfaen" w:hAnsi="Sylfaen" w:cs="Sylfaen"/>
                <w:sz w:val="20"/>
              </w:rPr>
              <w:t>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14:paraId="5537C0FC" w14:textId="77777777" w:rsidR="00D848EC" w:rsidRPr="00D848EC" w:rsidRDefault="00D848EC" w:rsidP="00D848EC">
            <w:pPr>
              <w:rPr>
                <w:sz w:val="20"/>
                <w:lang w:val="ka-GE"/>
              </w:rPr>
            </w:pPr>
            <w:r w:rsidRPr="00D848EC">
              <w:rPr>
                <w:sz w:val="20"/>
              </w:rPr>
              <w:t>300310000.05.001.018748</w:t>
            </w:r>
          </w:p>
        </w:tc>
        <w:tc>
          <w:tcPr>
            <w:tcW w:w="1267" w:type="dxa"/>
            <w:tcBorders>
              <w:top w:val="single" w:sz="4" w:space="0" w:color="auto"/>
              <w:left w:val="single" w:sz="4" w:space="0" w:color="auto"/>
              <w:bottom w:val="single" w:sz="4" w:space="0" w:color="auto"/>
              <w:right w:val="single" w:sz="4" w:space="0" w:color="auto"/>
            </w:tcBorders>
            <w:vAlign w:val="center"/>
            <w:hideMark/>
          </w:tcPr>
          <w:p w14:paraId="56F379EF" w14:textId="77777777" w:rsidR="00D848EC" w:rsidRPr="00D848EC" w:rsidRDefault="00D848EC" w:rsidP="00D848EC">
            <w:pPr>
              <w:rPr>
                <w:sz w:val="20"/>
              </w:rPr>
            </w:pPr>
            <w:r w:rsidRPr="00D848EC">
              <w:rPr>
                <w:sz w:val="20"/>
              </w:rPr>
              <w:t>23/12/2017</w:t>
            </w:r>
          </w:p>
        </w:tc>
      </w:tr>
      <w:tr w:rsidR="00D848EC" w:rsidRPr="00D848EC" w14:paraId="7D81CDE8" w14:textId="77777777" w:rsidTr="00943418">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01838EF3" w14:textId="77777777" w:rsidR="00D848EC" w:rsidRPr="00D848EC" w:rsidRDefault="00D848EC" w:rsidP="00D848EC">
            <w:pPr>
              <w:rPr>
                <w:sz w:val="20"/>
              </w:rPr>
            </w:pPr>
            <w:r w:rsidRPr="00D848EC">
              <w:rPr>
                <w:sz w:val="20"/>
              </w:rPr>
              <w:t>2006</w:t>
            </w:r>
          </w:p>
        </w:tc>
        <w:tc>
          <w:tcPr>
            <w:tcW w:w="5504" w:type="dxa"/>
            <w:tcBorders>
              <w:top w:val="single" w:sz="4" w:space="0" w:color="auto"/>
              <w:left w:val="single" w:sz="4" w:space="0" w:color="auto"/>
              <w:bottom w:val="single" w:sz="4" w:space="0" w:color="auto"/>
              <w:right w:val="single" w:sz="4" w:space="0" w:color="auto"/>
            </w:tcBorders>
            <w:vAlign w:val="center"/>
            <w:hideMark/>
          </w:tcPr>
          <w:p w14:paraId="2F0FC3CA"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ზღვისა</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მდინარეთა</w:t>
            </w:r>
            <w:r w:rsidRPr="00D848EC">
              <w:rPr>
                <w:sz w:val="20"/>
              </w:rPr>
              <w:t xml:space="preserve"> </w:t>
            </w:r>
            <w:r w:rsidRPr="00D848EC">
              <w:rPr>
                <w:rFonts w:ascii="Sylfaen" w:hAnsi="Sylfaen" w:cs="Sylfaen"/>
                <w:sz w:val="20"/>
              </w:rPr>
              <w:t>ნაპირების</w:t>
            </w:r>
            <w:r w:rsidRPr="00D848EC">
              <w:rPr>
                <w:sz w:val="20"/>
              </w:rPr>
              <w:t xml:space="preserve"> </w:t>
            </w:r>
            <w:r w:rsidRPr="00D848EC">
              <w:rPr>
                <w:rFonts w:ascii="Sylfaen" w:hAnsi="Sylfaen" w:cs="Sylfaen"/>
                <w:sz w:val="20"/>
              </w:rPr>
              <w:t>რეგულირებისა</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საინჟინრო</w:t>
            </w:r>
            <w:r w:rsidRPr="00D848EC">
              <w:rPr>
                <w:sz w:val="20"/>
              </w:rPr>
              <w:t xml:space="preserve"> </w:t>
            </w:r>
            <w:r w:rsidRPr="00D848EC">
              <w:rPr>
                <w:rFonts w:ascii="Sylfaen" w:hAnsi="Sylfaen" w:cs="Sylfaen"/>
                <w:sz w:val="20"/>
              </w:rPr>
              <w:t>დაცვის</w:t>
            </w:r>
            <w:r w:rsidRPr="00D848EC">
              <w:rPr>
                <w:sz w:val="20"/>
              </w:rPr>
              <w:t xml:space="preserve"> </w:t>
            </w:r>
            <w:r w:rsidRPr="00D848EC">
              <w:rPr>
                <w:rFonts w:ascii="Sylfaen" w:hAnsi="Sylfaen" w:cs="Sylfaen"/>
                <w:sz w:val="20"/>
              </w:rPr>
              <w:t>შესახებ</w:t>
            </w:r>
            <w:r w:rsidRPr="00D848EC">
              <w:rPr>
                <w:sz w:val="20"/>
              </w:rPr>
              <w:t>”</w:t>
            </w:r>
          </w:p>
        </w:tc>
        <w:tc>
          <w:tcPr>
            <w:tcW w:w="2727" w:type="dxa"/>
            <w:tcBorders>
              <w:top w:val="single" w:sz="4" w:space="0" w:color="auto"/>
              <w:left w:val="single" w:sz="4" w:space="0" w:color="auto"/>
              <w:bottom w:val="single" w:sz="4" w:space="0" w:color="auto"/>
              <w:right w:val="single" w:sz="4" w:space="0" w:color="auto"/>
            </w:tcBorders>
            <w:vAlign w:val="center"/>
            <w:hideMark/>
          </w:tcPr>
          <w:p w14:paraId="0AD6E91D" w14:textId="77777777" w:rsidR="00D848EC" w:rsidRPr="00D848EC" w:rsidRDefault="00D848EC" w:rsidP="00D848EC">
            <w:pPr>
              <w:rPr>
                <w:sz w:val="20"/>
                <w:lang w:val="ka-GE"/>
              </w:rPr>
            </w:pPr>
            <w:r w:rsidRPr="00D848EC">
              <w:rPr>
                <w:sz w:val="20"/>
              </w:rPr>
              <w:t>400010010.05.001.01629</w:t>
            </w:r>
          </w:p>
        </w:tc>
        <w:tc>
          <w:tcPr>
            <w:tcW w:w="1267" w:type="dxa"/>
            <w:tcBorders>
              <w:top w:val="single" w:sz="4" w:space="0" w:color="auto"/>
              <w:left w:val="single" w:sz="4" w:space="0" w:color="auto"/>
              <w:bottom w:val="single" w:sz="4" w:space="0" w:color="auto"/>
              <w:right w:val="single" w:sz="4" w:space="0" w:color="auto"/>
            </w:tcBorders>
            <w:vAlign w:val="center"/>
            <w:hideMark/>
          </w:tcPr>
          <w:p w14:paraId="71B9BC82" w14:textId="77777777" w:rsidR="00D848EC" w:rsidRPr="00D848EC" w:rsidRDefault="00D848EC" w:rsidP="00D848EC">
            <w:pPr>
              <w:rPr>
                <w:sz w:val="20"/>
              </w:rPr>
            </w:pPr>
            <w:r w:rsidRPr="00D848EC">
              <w:rPr>
                <w:sz w:val="20"/>
              </w:rPr>
              <w:t>05/05/2011</w:t>
            </w:r>
          </w:p>
        </w:tc>
      </w:tr>
      <w:tr w:rsidR="00D848EC" w:rsidRPr="00D848EC" w14:paraId="432B1F07" w14:textId="77777777" w:rsidTr="00943418">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77C53D7B" w14:textId="77777777" w:rsidR="00D848EC" w:rsidRPr="00D848EC" w:rsidRDefault="00D848EC" w:rsidP="00D848EC">
            <w:pPr>
              <w:rPr>
                <w:sz w:val="20"/>
              </w:rPr>
            </w:pPr>
            <w:r w:rsidRPr="00D848EC">
              <w:rPr>
                <w:sz w:val="20"/>
              </w:rPr>
              <w:t>2007</w:t>
            </w:r>
          </w:p>
        </w:tc>
        <w:tc>
          <w:tcPr>
            <w:tcW w:w="5504" w:type="dxa"/>
            <w:tcBorders>
              <w:top w:val="single" w:sz="4" w:space="0" w:color="auto"/>
              <w:left w:val="single" w:sz="4" w:space="0" w:color="auto"/>
              <w:bottom w:val="single" w:sz="4" w:space="0" w:color="auto"/>
              <w:right w:val="single" w:sz="4" w:space="0" w:color="auto"/>
            </w:tcBorders>
            <w:vAlign w:val="center"/>
            <w:hideMark/>
          </w:tcPr>
          <w:p w14:paraId="64D48FCB"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t xml:space="preserve"> </w:t>
            </w:r>
            <w:r w:rsidRPr="00D848EC">
              <w:rPr>
                <w:rFonts w:ascii="Sylfaen" w:hAnsi="Sylfaen" w:cs="Sylfaen"/>
                <w:sz w:val="20"/>
              </w:rPr>
              <w:t>ეკოლოგიური</w:t>
            </w:r>
            <w:r w:rsidRPr="00D848EC">
              <w:rPr>
                <w:sz w:val="20"/>
              </w:rPr>
              <w:t xml:space="preserve"> </w:t>
            </w:r>
            <w:r w:rsidRPr="00D848EC">
              <w:rPr>
                <w:rFonts w:ascii="Sylfaen" w:hAnsi="Sylfaen" w:cs="Sylfaen"/>
                <w:sz w:val="20"/>
              </w:rPr>
              <w:t>ექსპერტიზის</w:t>
            </w:r>
            <w:r w:rsidRPr="00D848EC">
              <w:rPr>
                <w:sz w:val="20"/>
              </w:rPr>
              <w:t xml:space="preserve"> </w:t>
            </w:r>
            <w:r w:rsidRPr="00D848EC">
              <w:rPr>
                <w:rFonts w:ascii="Sylfaen" w:hAnsi="Sylfaen" w:cs="Sylfaen"/>
                <w:sz w:val="20"/>
              </w:rPr>
              <w:t>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14:paraId="499D3F2E" w14:textId="77777777" w:rsidR="00D848EC" w:rsidRPr="00D848EC" w:rsidRDefault="00D848EC" w:rsidP="00D848EC">
            <w:pPr>
              <w:rPr>
                <w:sz w:val="20"/>
                <w:lang w:val="ka-GE"/>
              </w:rPr>
            </w:pPr>
            <w:r w:rsidRPr="00D848EC">
              <w:rPr>
                <w:sz w:val="20"/>
              </w:rPr>
              <w:t>360130000.05.001.018662</w:t>
            </w:r>
          </w:p>
        </w:tc>
        <w:tc>
          <w:tcPr>
            <w:tcW w:w="1267" w:type="dxa"/>
            <w:tcBorders>
              <w:top w:val="single" w:sz="4" w:space="0" w:color="auto"/>
              <w:left w:val="single" w:sz="4" w:space="0" w:color="auto"/>
              <w:bottom w:val="single" w:sz="4" w:space="0" w:color="auto"/>
              <w:right w:val="single" w:sz="4" w:space="0" w:color="auto"/>
            </w:tcBorders>
            <w:vAlign w:val="center"/>
            <w:hideMark/>
          </w:tcPr>
          <w:p w14:paraId="308D98C9" w14:textId="77777777" w:rsidR="00D848EC" w:rsidRPr="00D848EC" w:rsidRDefault="00D848EC" w:rsidP="00D848EC">
            <w:pPr>
              <w:rPr>
                <w:sz w:val="20"/>
              </w:rPr>
            </w:pPr>
            <w:r w:rsidRPr="00D848EC">
              <w:rPr>
                <w:sz w:val="20"/>
              </w:rPr>
              <w:t>07/12/2017</w:t>
            </w:r>
          </w:p>
        </w:tc>
      </w:tr>
      <w:tr w:rsidR="00D848EC" w:rsidRPr="00D848EC" w14:paraId="06AF8CF3" w14:textId="77777777" w:rsidTr="00943418">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6852185F" w14:textId="77777777" w:rsidR="00D848EC" w:rsidRPr="00D848EC" w:rsidRDefault="00D848EC" w:rsidP="00D848EC">
            <w:pPr>
              <w:rPr>
                <w:sz w:val="20"/>
              </w:rPr>
            </w:pPr>
            <w:r w:rsidRPr="00D848EC">
              <w:rPr>
                <w:sz w:val="20"/>
              </w:rPr>
              <w:t>2007</w:t>
            </w:r>
          </w:p>
        </w:tc>
        <w:tc>
          <w:tcPr>
            <w:tcW w:w="5504" w:type="dxa"/>
            <w:tcBorders>
              <w:top w:val="single" w:sz="4" w:space="0" w:color="auto"/>
              <w:left w:val="single" w:sz="4" w:space="0" w:color="auto"/>
              <w:bottom w:val="single" w:sz="4" w:space="0" w:color="auto"/>
              <w:right w:val="single" w:sz="4" w:space="0" w:color="auto"/>
            </w:tcBorders>
            <w:vAlign w:val="center"/>
            <w:hideMark/>
          </w:tcPr>
          <w:p w14:paraId="307DE3A2"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t xml:space="preserve"> </w:t>
            </w:r>
            <w:r w:rsidRPr="00D848EC">
              <w:rPr>
                <w:rFonts w:ascii="Sylfaen" w:hAnsi="Sylfaen" w:cs="Sylfaen"/>
                <w:sz w:val="20"/>
              </w:rPr>
              <w:t>საზოგადოებრივი</w:t>
            </w:r>
            <w:r w:rsidRPr="00D848EC">
              <w:rPr>
                <w:sz w:val="20"/>
              </w:rPr>
              <w:t xml:space="preserve"> </w:t>
            </w:r>
            <w:r w:rsidRPr="00D848EC">
              <w:rPr>
                <w:rFonts w:ascii="Sylfaen" w:hAnsi="Sylfaen" w:cs="Sylfaen"/>
                <w:sz w:val="20"/>
              </w:rPr>
              <w:t>ჯანმრთელობის</w:t>
            </w:r>
            <w:r w:rsidRPr="00D848EC">
              <w:rPr>
                <w:sz w:val="20"/>
              </w:rPr>
              <w:t xml:space="preserve"> </w:t>
            </w:r>
            <w:r w:rsidRPr="00D848EC">
              <w:rPr>
                <w:rFonts w:ascii="Sylfaen" w:hAnsi="Sylfaen" w:cs="Sylfaen"/>
                <w:sz w:val="20"/>
              </w:rPr>
              <w:t>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14:paraId="68927FA3" w14:textId="77777777" w:rsidR="00D848EC" w:rsidRPr="00D848EC" w:rsidRDefault="00D848EC" w:rsidP="00D848EC">
            <w:pPr>
              <w:rPr>
                <w:sz w:val="20"/>
                <w:lang w:val="ka-GE"/>
              </w:rPr>
            </w:pPr>
            <w:r w:rsidRPr="00D848EC">
              <w:rPr>
                <w:sz w:val="20"/>
              </w:rPr>
              <w:t>470000000.05.001.018607</w:t>
            </w:r>
          </w:p>
        </w:tc>
        <w:tc>
          <w:tcPr>
            <w:tcW w:w="1267" w:type="dxa"/>
            <w:tcBorders>
              <w:top w:val="single" w:sz="4" w:space="0" w:color="auto"/>
              <w:left w:val="single" w:sz="4" w:space="0" w:color="auto"/>
              <w:bottom w:val="single" w:sz="4" w:space="0" w:color="auto"/>
              <w:right w:val="single" w:sz="4" w:space="0" w:color="auto"/>
            </w:tcBorders>
            <w:vAlign w:val="center"/>
            <w:hideMark/>
          </w:tcPr>
          <w:p w14:paraId="57377C7C" w14:textId="77777777" w:rsidR="00D848EC" w:rsidRPr="00D848EC" w:rsidRDefault="00D848EC" w:rsidP="00D848EC">
            <w:pPr>
              <w:rPr>
                <w:sz w:val="20"/>
              </w:rPr>
            </w:pPr>
            <w:r w:rsidRPr="00D848EC">
              <w:rPr>
                <w:sz w:val="20"/>
              </w:rPr>
              <w:t>07/12/2017</w:t>
            </w:r>
          </w:p>
        </w:tc>
      </w:tr>
      <w:tr w:rsidR="00D848EC" w:rsidRPr="00D848EC" w14:paraId="3D9E699C" w14:textId="77777777" w:rsidTr="00943418">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17BEE8F9" w14:textId="77777777" w:rsidR="00D848EC" w:rsidRPr="00D848EC" w:rsidRDefault="00D848EC" w:rsidP="00D848EC">
            <w:pPr>
              <w:rPr>
                <w:sz w:val="20"/>
              </w:rPr>
            </w:pPr>
            <w:r w:rsidRPr="00D848EC">
              <w:rPr>
                <w:sz w:val="20"/>
              </w:rPr>
              <w:t>2007</w:t>
            </w:r>
          </w:p>
        </w:tc>
        <w:tc>
          <w:tcPr>
            <w:tcW w:w="5504" w:type="dxa"/>
            <w:tcBorders>
              <w:top w:val="single" w:sz="4" w:space="0" w:color="auto"/>
              <w:left w:val="single" w:sz="4" w:space="0" w:color="auto"/>
              <w:bottom w:val="single" w:sz="4" w:space="0" w:color="auto"/>
              <w:right w:val="single" w:sz="4" w:space="0" w:color="auto"/>
            </w:tcBorders>
            <w:vAlign w:val="center"/>
            <w:hideMark/>
          </w:tcPr>
          <w:p w14:paraId="11FC4FC2"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t xml:space="preserve"> </w:t>
            </w:r>
            <w:r w:rsidRPr="00D848EC">
              <w:rPr>
                <w:rFonts w:ascii="Sylfaen" w:hAnsi="Sylfaen" w:cs="Sylfaen"/>
                <w:sz w:val="20"/>
              </w:rPr>
              <w:t>კულტურული</w:t>
            </w:r>
            <w:r w:rsidRPr="00D848EC">
              <w:rPr>
                <w:sz w:val="20"/>
              </w:rPr>
              <w:t xml:space="preserve"> </w:t>
            </w:r>
            <w:r w:rsidRPr="00D848EC">
              <w:rPr>
                <w:rFonts w:ascii="Sylfaen" w:hAnsi="Sylfaen" w:cs="Sylfaen"/>
                <w:sz w:val="20"/>
              </w:rPr>
              <w:t>მემკვიდრეობის</w:t>
            </w:r>
            <w:r w:rsidRPr="00D848EC">
              <w:rPr>
                <w:sz w:val="20"/>
              </w:rPr>
              <w:t xml:space="preserve"> </w:t>
            </w:r>
            <w:r w:rsidRPr="00D848EC">
              <w:rPr>
                <w:rFonts w:ascii="Sylfaen" w:hAnsi="Sylfaen" w:cs="Sylfaen"/>
                <w:sz w:val="20"/>
              </w:rPr>
              <w:t>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14:paraId="178C7AE7" w14:textId="77777777" w:rsidR="00D848EC" w:rsidRPr="00D848EC" w:rsidRDefault="00D848EC" w:rsidP="00D848EC">
            <w:pPr>
              <w:rPr>
                <w:sz w:val="20"/>
                <w:lang w:val="ka-GE"/>
              </w:rPr>
            </w:pPr>
            <w:r w:rsidRPr="00D848EC">
              <w:rPr>
                <w:sz w:val="20"/>
              </w:rPr>
              <w:t>450030000.05.001.018687</w:t>
            </w:r>
          </w:p>
        </w:tc>
        <w:tc>
          <w:tcPr>
            <w:tcW w:w="1267" w:type="dxa"/>
            <w:tcBorders>
              <w:top w:val="single" w:sz="4" w:space="0" w:color="auto"/>
              <w:left w:val="single" w:sz="4" w:space="0" w:color="auto"/>
              <w:bottom w:val="single" w:sz="4" w:space="0" w:color="auto"/>
              <w:right w:val="single" w:sz="4" w:space="0" w:color="auto"/>
            </w:tcBorders>
            <w:vAlign w:val="center"/>
            <w:hideMark/>
          </w:tcPr>
          <w:p w14:paraId="0353B6F4" w14:textId="77777777" w:rsidR="00D848EC" w:rsidRPr="00D848EC" w:rsidRDefault="00D848EC" w:rsidP="00D848EC">
            <w:pPr>
              <w:rPr>
                <w:sz w:val="20"/>
              </w:rPr>
            </w:pPr>
            <w:r w:rsidRPr="00D848EC">
              <w:rPr>
                <w:sz w:val="20"/>
              </w:rPr>
              <w:t>07/12/2017</w:t>
            </w:r>
          </w:p>
        </w:tc>
      </w:tr>
      <w:tr w:rsidR="00D848EC" w:rsidRPr="00D848EC" w14:paraId="459E31DA" w14:textId="77777777" w:rsidTr="00943418">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01465DA5" w14:textId="77777777" w:rsidR="00D848EC" w:rsidRPr="00D848EC" w:rsidRDefault="00D848EC" w:rsidP="00D848EC">
            <w:pPr>
              <w:rPr>
                <w:sz w:val="20"/>
              </w:rPr>
            </w:pPr>
            <w:r w:rsidRPr="00D848EC">
              <w:rPr>
                <w:sz w:val="20"/>
              </w:rPr>
              <w:t>2014</w:t>
            </w:r>
          </w:p>
        </w:tc>
        <w:tc>
          <w:tcPr>
            <w:tcW w:w="5504" w:type="dxa"/>
            <w:tcBorders>
              <w:top w:val="single" w:sz="4" w:space="0" w:color="auto"/>
              <w:left w:val="single" w:sz="4" w:space="0" w:color="auto"/>
              <w:bottom w:val="single" w:sz="4" w:space="0" w:color="auto"/>
              <w:right w:val="single" w:sz="4" w:space="0" w:color="auto"/>
            </w:tcBorders>
            <w:vAlign w:val="center"/>
            <w:hideMark/>
          </w:tcPr>
          <w:p w14:paraId="03833080"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t xml:space="preserve"> </w:t>
            </w:r>
            <w:r w:rsidRPr="00D848EC">
              <w:rPr>
                <w:rFonts w:ascii="Sylfaen" w:hAnsi="Sylfaen" w:cs="Sylfaen"/>
                <w:sz w:val="20"/>
              </w:rPr>
              <w:t>სამოქალაქო</w:t>
            </w:r>
            <w:r w:rsidRPr="00D848EC">
              <w:rPr>
                <w:sz w:val="20"/>
              </w:rPr>
              <w:t xml:space="preserve"> </w:t>
            </w:r>
            <w:r w:rsidRPr="00D848EC">
              <w:rPr>
                <w:rFonts w:ascii="Sylfaen" w:hAnsi="Sylfaen" w:cs="Sylfaen"/>
                <w:sz w:val="20"/>
              </w:rPr>
              <w:t>უსაფრთხოების</w:t>
            </w:r>
            <w:r w:rsidRPr="00D848EC">
              <w:rPr>
                <w:sz w:val="20"/>
              </w:rPr>
              <w:t xml:space="preserve"> </w:t>
            </w:r>
            <w:r w:rsidRPr="00D848EC">
              <w:rPr>
                <w:rFonts w:ascii="Sylfaen" w:hAnsi="Sylfaen" w:cs="Sylfaen"/>
                <w:sz w:val="20"/>
              </w:rPr>
              <w:t>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14:paraId="5AE862C2" w14:textId="77777777" w:rsidR="00D848EC" w:rsidRPr="00D848EC" w:rsidRDefault="00D848EC" w:rsidP="00D848EC">
            <w:pPr>
              <w:rPr>
                <w:sz w:val="20"/>
                <w:lang w:val="ka-GE"/>
              </w:rPr>
            </w:pPr>
            <w:r w:rsidRPr="00D848EC">
              <w:rPr>
                <w:sz w:val="20"/>
              </w:rPr>
              <w:t>130000000.05.001.01860</w:t>
            </w:r>
          </w:p>
        </w:tc>
        <w:tc>
          <w:tcPr>
            <w:tcW w:w="1267" w:type="dxa"/>
            <w:tcBorders>
              <w:top w:val="single" w:sz="4" w:space="0" w:color="auto"/>
              <w:left w:val="single" w:sz="4" w:space="0" w:color="auto"/>
              <w:bottom w:val="single" w:sz="4" w:space="0" w:color="auto"/>
              <w:right w:val="single" w:sz="4" w:space="0" w:color="auto"/>
            </w:tcBorders>
            <w:vAlign w:val="center"/>
            <w:hideMark/>
          </w:tcPr>
          <w:p w14:paraId="2021A406" w14:textId="77777777" w:rsidR="00D848EC" w:rsidRPr="00D848EC" w:rsidRDefault="00D848EC" w:rsidP="00D848EC">
            <w:pPr>
              <w:rPr>
                <w:sz w:val="20"/>
              </w:rPr>
            </w:pPr>
            <w:r w:rsidRPr="00D848EC">
              <w:rPr>
                <w:sz w:val="20"/>
              </w:rPr>
              <w:t>07/12/2017</w:t>
            </w:r>
          </w:p>
        </w:tc>
      </w:tr>
      <w:tr w:rsidR="00D848EC" w:rsidRPr="00D848EC" w14:paraId="00E23C4D" w14:textId="77777777" w:rsidTr="00943418">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60EB5076" w14:textId="77777777" w:rsidR="00D848EC" w:rsidRPr="00D848EC" w:rsidRDefault="00D848EC" w:rsidP="00D848EC">
            <w:pPr>
              <w:rPr>
                <w:sz w:val="20"/>
              </w:rPr>
            </w:pPr>
            <w:r w:rsidRPr="00D848EC">
              <w:rPr>
                <w:sz w:val="20"/>
              </w:rPr>
              <w:t>2015</w:t>
            </w:r>
          </w:p>
        </w:tc>
        <w:tc>
          <w:tcPr>
            <w:tcW w:w="5504" w:type="dxa"/>
            <w:tcBorders>
              <w:top w:val="single" w:sz="4" w:space="0" w:color="auto"/>
              <w:left w:val="single" w:sz="4" w:space="0" w:color="auto"/>
              <w:bottom w:val="single" w:sz="4" w:space="0" w:color="auto"/>
              <w:right w:val="single" w:sz="4" w:space="0" w:color="auto"/>
            </w:tcBorders>
            <w:vAlign w:val="center"/>
            <w:hideMark/>
          </w:tcPr>
          <w:p w14:paraId="3E7A97A8" w14:textId="77777777" w:rsidR="00D848EC" w:rsidRPr="00D848EC" w:rsidRDefault="00D848EC" w:rsidP="00D848EC">
            <w:pPr>
              <w:rPr>
                <w:sz w:val="20"/>
                <w:lang w:val="it-IT"/>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კანონი</w:t>
            </w:r>
            <w:r w:rsidRPr="00D848EC">
              <w:rPr>
                <w:sz w:val="20"/>
              </w:rPr>
              <w:t xml:space="preserve"> </w:t>
            </w:r>
            <w:r w:rsidRPr="00D848EC">
              <w:rPr>
                <w:rFonts w:ascii="Sylfaen" w:hAnsi="Sylfaen" w:cs="Sylfaen"/>
                <w:sz w:val="20"/>
              </w:rPr>
              <w:t>რადიოაქტიური</w:t>
            </w:r>
            <w:r w:rsidRPr="00D848EC">
              <w:rPr>
                <w:sz w:val="20"/>
              </w:rPr>
              <w:t xml:space="preserve"> </w:t>
            </w:r>
            <w:r w:rsidRPr="00D848EC">
              <w:rPr>
                <w:rFonts w:ascii="Sylfaen" w:hAnsi="Sylfaen" w:cs="Sylfaen"/>
                <w:sz w:val="20"/>
              </w:rPr>
              <w:t>ნარჩენების</w:t>
            </w:r>
            <w:r w:rsidRPr="00D848EC">
              <w:rPr>
                <w:sz w:val="20"/>
              </w:rPr>
              <w:t xml:space="preserve"> </w:t>
            </w:r>
            <w:r w:rsidRPr="00D848EC">
              <w:rPr>
                <w:rFonts w:ascii="Sylfaen" w:hAnsi="Sylfaen" w:cs="Sylfaen"/>
                <w:sz w:val="20"/>
              </w:rPr>
              <w:t>შესახებ</w:t>
            </w:r>
          </w:p>
        </w:tc>
        <w:tc>
          <w:tcPr>
            <w:tcW w:w="2727" w:type="dxa"/>
            <w:tcBorders>
              <w:top w:val="single" w:sz="4" w:space="0" w:color="auto"/>
              <w:left w:val="single" w:sz="4" w:space="0" w:color="auto"/>
              <w:bottom w:val="single" w:sz="4" w:space="0" w:color="auto"/>
              <w:right w:val="single" w:sz="4" w:space="0" w:color="auto"/>
            </w:tcBorders>
            <w:vAlign w:val="center"/>
            <w:hideMark/>
          </w:tcPr>
          <w:p w14:paraId="0018EB3E" w14:textId="77777777" w:rsidR="00D848EC" w:rsidRPr="00D848EC" w:rsidRDefault="00D848EC" w:rsidP="00D848EC">
            <w:pPr>
              <w:rPr>
                <w:sz w:val="20"/>
                <w:lang w:val="ka-GE"/>
              </w:rPr>
            </w:pPr>
            <w:r w:rsidRPr="00D848EC">
              <w:rPr>
                <w:sz w:val="20"/>
              </w:rPr>
              <w:t>120210010.05.001.018680</w:t>
            </w:r>
          </w:p>
        </w:tc>
        <w:tc>
          <w:tcPr>
            <w:tcW w:w="1267" w:type="dxa"/>
            <w:tcBorders>
              <w:top w:val="single" w:sz="4" w:space="0" w:color="auto"/>
              <w:left w:val="single" w:sz="4" w:space="0" w:color="auto"/>
              <w:bottom w:val="single" w:sz="4" w:space="0" w:color="auto"/>
              <w:right w:val="single" w:sz="4" w:space="0" w:color="auto"/>
            </w:tcBorders>
            <w:vAlign w:val="center"/>
            <w:hideMark/>
          </w:tcPr>
          <w:p w14:paraId="57054984" w14:textId="77777777" w:rsidR="00D848EC" w:rsidRPr="00D848EC" w:rsidRDefault="00D848EC" w:rsidP="00D848EC">
            <w:pPr>
              <w:rPr>
                <w:sz w:val="20"/>
              </w:rPr>
            </w:pPr>
            <w:r w:rsidRPr="00D848EC">
              <w:rPr>
                <w:sz w:val="20"/>
              </w:rPr>
              <w:t>07/12/2017</w:t>
            </w:r>
          </w:p>
        </w:tc>
      </w:tr>
      <w:tr w:rsidR="00D848EC" w:rsidRPr="00D848EC" w14:paraId="28F57424" w14:textId="77777777" w:rsidTr="00943418">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023013F1" w14:textId="77777777" w:rsidR="00D848EC" w:rsidRPr="00D848EC" w:rsidRDefault="00D848EC" w:rsidP="00D848EC">
            <w:pPr>
              <w:rPr>
                <w:sz w:val="20"/>
              </w:rPr>
            </w:pPr>
            <w:r w:rsidRPr="00D848EC">
              <w:rPr>
                <w:sz w:val="20"/>
              </w:rPr>
              <w:t>2014</w:t>
            </w:r>
          </w:p>
        </w:tc>
        <w:tc>
          <w:tcPr>
            <w:tcW w:w="5504" w:type="dxa"/>
            <w:tcBorders>
              <w:top w:val="single" w:sz="4" w:space="0" w:color="auto"/>
              <w:left w:val="single" w:sz="4" w:space="0" w:color="auto"/>
              <w:bottom w:val="single" w:sz="4" w:space="0" w:color="auto"/>
              <w:right w:val="single" w:sz="4" w:space="0" w:color="auto"/>
            </w:tcBorders>
            <w:vAlign w:val="center"/>
            <w:hideMark/>
          </w:tcPr>
          <w:p w14:paraId="0979C059" w14:textId="77777777" w:rsidR="00D848EC" w:rsidRPr="00D848EC" w:rsidRDefault="00D848EC" w:rsidP="00D848EC">
            <w:pPr>
              <w:rPr>
                <w:sz w:val="20"/>
                <w:lang w:val="it-IT"/>
              </w:rPr>
            </w:pPr>
            <w:r w:rsidRPr="00D848EC">
              <w:rPr>
                <w:rFonts w:ascii="Sylfaen" w:hAnsi="Sylfaen" w:cs="Sylfaen"/>
                <w:sz w:val="20"/>
              </w:rPr>
              <w:t>ნარჩენების</w:t>
            </w:r>
            <w:r w:rsidRPr="00D848EC">
              <w:rPr>
                <w:sz w:val="20"/>
              </w:rPr>
              <w:t xml:space="preserve"> </w:t>
            </w:r>
            <w:r w:rsidRPr="00D848EC">
              <w:rPr>
                <w:rFonts w:ascii="Sylfaen" w:hAnsi="Sylfaen" w:cs="Sylfaen"/>
                <w:sz w:val="20"/>
              </w:rPr>
              <w:t>მართვის</w:t>
            </w:r>
            <w:r w:rsidRPr="00D848EC">
              <w:rPr>
                <w:sz w:val="20"/>
              </w:rPr>
              <w:t xml:space="preserve"> </w:t>
            </w:r>
            <w:r w:rsidRPr="00D848EC">
              <w:rPr>
                <w:rFonts w:ascii="Sylfaen" w:hAnsi="Sylfaen" w:cs="Sylfaen"/>
                <w:sz w:val="20"/>
              </w:rPr>
              <w:t>კოდექსი</w:t>
            </w:r>
          </w:p>
        </w:tc>
        <w:tc>
          <w:tcPr>
            <w:tcW w:w="2727" w:type="dxa"/>
            <w:tcBorders>
              <w:top w:val="single" w:sz="4" w:space="0" w:color="auto"/>
              <w:left w:val="single" w:sz="4" w:space="0" w:color="auto"/>
              <w:bottom w:val="single" w:sz="4" w:space="0" w:color="auto"/>
              <w:right w:val="single" w:sz="4" w:space="0" w:color="auto"/>
            </w:tcBorders>
            <w:vAlign w:val="center"/>
            <w:hideMark/>
          </w:tcPr>
          <w:p w14:paraId="1ED4D35C" w14:textId="77777777" w:rsidR="00D848EC" w:rsidRPr="00D848EC" w:rsidRDefault="00D848EC" w:rsidP="00D848EC">
            <w:pPr>
              <w:rPr>
                <w:sz w:val="20"/>
                <w:lang w:val="ka-GE"/>
              </w:rPr>
            </w:pPr>
            <w:r w:rsidRPr="00D848EC">
              <w:rPr>
                <w:sz w:val="20"/>
              </w:rPr>
              <w:t>360160000.05.001.018604</w:t>
            </w:r>
          </w:p>
        </w:tc>
        <w:tc>
          <w:tcPr>
            <w:tcW w:w="1267" w:type="dxa"/>
            <w:tcBorders>
              <w:top w:val="single" w:sz="4" w:space="0" w:color="auto"/>
              <w:left w:val="single" w:sz="4" w:space="0" w:color="auto"/>
              <w:bottom w:val="single" w:sz="4" w:space="0" w:color="auto"/>
              <w:right w:val="single" w:sz="4" w:space="0" w:color="auto"/>
            </w:tcBorders>
            <w:vAlign w:val="center"/>
            <w:hideMark/>
          </w:tcPr>
          <w:p w14:paraId="65BD4463" w14:textId="77777777" w:rsidR="00D848EC" w:rsidRPr="00D848EC" w:rsidRDefault="00D848EC" w:rsidP="00D848EC">
            <w:pPr>
              <w:rPr>
                <w:sz w:val="20"/>
              </w:rPr>
            </w:pPr>
            <w:r w:rsidRPr="00D848EC">
              <w:rPr>
                <w:sz w:val="20"/>
              </w:rPr>
              <w:t>07/12/2017</w:t>
            </w:r>
          </w:p>
        </w:tc>
      </w:tr>
      <w:tr w:rsidR="00D848EC" w:rsidRPr="00D848EC" w14:paraId="37340636" w14:textId="77777777" w:rsidTr="00943418">
        <w:trPr>
          <w:trHeight w:val="30"/>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14:paraId="6B754B50" w14:textId="77777777" w:rsidR="00D848EC" w:rsidRPr="00D848EC" w:rsidRDefault="00D848EC" w:rsidP="00D848EC">
            <w:pPr>
              <w:rPr>
                <w:sz w:val="20"/>
              </w:rPr>
            </w:pPr>
            <w:r w:rsidRPr="00D848EC">
              <w:rPr>
                <w:sz w:val="20"/>
              </w:rPr>
              <w:t>2017</w:t>
            </w:r>
          </w:p>
        </w:tc>
        <w:tc>
          <w:tcPr>
            <w:tcW w:w="5504" w:type="dxa"/>
            <w:tcBorders>
              <w:top w:val="single" w:sz="4" w:space="0" w:color="auto"/>
              <w:left w:val="single" w:sz="4" w:space="0" w:color="auto"/>
              <w:bottom w:val="single" w:sz="4" w:space="0" w:color="auto"/>
              <w:right w:val="single" w:sz="4" w:space="0" w:color="auto"/>
            </w:tcBorders>
            <w:vAlign w:val="center"/>
            <w:hideMark/>
          </w:tcPr>
          <w:p w14:paraId="0DD72BC9" w14:textId="77777777" w:rsidR="00D848EC" w:rsidRPr="00D848EC" w:rsidRDefault="00D848EC" w:rsidP="00D848EC">
            <w:pPr>
              <w:rPr>
                <w:sz w:val="20"/>
                <w:lang w:val="it-IT"/>
              </w:rPr>
            </w:pPr>
            <w:r w:rsidRPr="00D848EC">
              <w:rPr>
                <w:rFonts w:ascii="Sylfaen" w:hAnsi="Sylfaen" w:cs="Sylfaen"/>
                <w:sz w:val="20"/>
              </w:rPr>
              <w:t>გარემოსდაცვითი</w:t>
            </w:r>
            <w:r w:rsidRPr="00D848EC">
              <w:rPr>
                <w:sz w:val="20"/>
              </w:rPr>
              <w:t xml:space="preserve"> </w:t>
            </w:r>
            <w:r w:rsidRPr="00D848EC">
              <w:rPr>
                <w:rFonts w:ascii="Sylfaen" w:hAnsi="Sylfaen" w:cs="Sylfaen"/>
                <w:sz w:val="20"/>
              </w:rPr>
              <w:t>შეფასების</w:t>
            </w:r>
            <w:r w:rsidRPr="00D848EC">
              <w:rPr>
                <w:sz w:val="20"/>
              </w:rPr>
              <w:t xml:space="preserve"> </w:t>
            </w:r>
            <w:r w:rsidRPr="00D848EC">
              <w:rPr>
                <w:rFonts w:ascii="Sylfaen" w:hAnsi="Sylfaen" w:cs="Sylfaen"/>
                <w:sz w:val="20"/>
              </w:rPr>
              <w:t>კოდექსი</w:t>
            </w:r>
            <w:r w:rsidRPr="00D848EC">
              <w:rPr>
                <w:sz w:val="20"/>
              </w:rPr>
              <w:t xml:space="preserve"> </w:t>
            </w:r>
          </w:p>
        </w:tc>
        <w:tc>
          <w:tcPr>
            <w:tcW w:w="2727" w:type="dxa"/>
            <w:tcBorders>
              <w:top w:val="single" w:sz="4" w:space="0" w:color="auto"/>
              <w:left w:val="single" w:sz="4" w:space="0" w:color="auto"/>
              <w:bottom w:val="single" w:sz="4" w:space="0" w:color="auto"/>
              <w:right w:val="single" w:sz="4" w:space="0" w:color="auto"/>
            </w:tcBorders>
            <w:vAlign w:val="center"/>
            <w:hideMark/>
          </w:tcPr>
          <w:p w14:paraId="12B76AE8" w14:textId="77777777" w:rsidR="00D848EC" w:rsidRPr="00D848EC" w:rsidRDefault="00D848EC" w:rsidP="00D848EC">
            <w:pPr>
              <w:rPr>
                <w:sz w:val="20"/>
                <w:lang w:val="ka-GE"/>
              </w:rPr>
            </w:pPr>
            <w:r w:rsidRPr="00D848EC">
              <w:rPr>
                <w:sz w:val="20"/>
              </w:rPr>
              <w:t>360160000.05.001.018605</w:t>
            </w:r>
          </w:p>
        </w:tc>
        <w:tc>
          <w:tcPr>
            <w:tcW w:w="1267" w:type="dxa"/>
            <w:tcBorders>
              <w:top w:val="single" w:sz="4" w:space="0" w:color="auto"/>
              <w:left w:val="single" w:sz="4" w:space="0" w:color="auto"/>
              <w:bottom w:val="single" w:sz="4" w:space="0" w:color="auto"/>
              <w:right w:val="single" w:sz="4" w:space="0" w:color="auto"/>
            </w:tcBorders>
            <w:vAlign w:val="center"/>
            <w:hideMark/>
          </w:tcPr>
          <w:p w14:paraId="218CF231" w14:textId="77777777" w:rsidR="00D848EC" w:rsidRPr="00D848EC" w:rsidRDefault="00D848EC" w:rsidP="00D848EC">
            <w:pPr>
              <w:rPr>
                <w:sz w:val="20"/>
              </w:rPr>
            </w:pPr>
            <w:r w:rsidRPr="00D848EC">
              <w:rPr>
                <w:sz w:val="20"/>
              </w:rPr>
              <w:t>07/12/2017</w:t>
            </w:r>
          </w:p>
        </w:tc>
      </w:tr>
    </w:tbl>
    <w:p w14:paraId="61DF193C" w14:textId="242D8737" w:rsidR="00D848EC" w:rsidRDefault="00D848EC" w:rsidP="00D848EC"/>
    <w:p w14:paraId="01A8FFC2" w14:textId="77777777" w:rsidR="004E77BF" w:rsidRPr="001352AB" w:rsidRDefault="004E77BF" w:rsidP="00D848EC"/>
    <w:p w14:paraId="46D807E9" w14:textId="77777777" w:rsidR="00D848EC" w:rsidRPr="00D848EC" w:rsidRDefault="00D848EC" w:rsidP="00D848EC">
      <w:pPr>
        <w:spacing w:before="120" w:after="120"/>
        <w:jc w:val="center"/>
        <w:rPr>
          <w:b/>
          <w:lang w:val="ka-GE"/>
        </w:rPr>
      </w:pPr>
      <w:bookmarkStart w:id="5" w:name="_Toc522808059"/>
      <w:bookmarkStart w:id="6" w:name="_Toc480727085"/>
      <w:bookmarkStart w:id="7" w:name="_Toc450087851"/>
      <w:bookmarkStart w:id="8" w:name="_Toc446370160"/>
      <w:bookmarkStart w:id="9" w:name="_Toc527723304"/>
      <w:r w:rsidRPr="00D848EC">
        <w:rPr>
          <w:rFonts w:ascii="Sylfaen" w:eastAsia="Calibri" w:hAnsi="Sylfaen" w:cs="Sylfaen"/>
          <w:b/>
        </w:rPr>
        <w:lastRenderedPageBreak/>
        <w:t>გარემოსდაცვითი</w:t>
      </w:r>
      <w:r w:rsidRPr="00D848EC">
        <w:rPr>
          <w:rFonts w:eastAsia="Calibri"/>
          <w:b/>
        </w:rPr>
        <w:t xml:space="preserve"> </w:t>
      </w:r>
      <w:r w:rsidRPr="00D848EC">
        <w:rPr>
          <w:rFonts w:ascii="Sylfaen" w:eastAsia="Calibri" w:hAnsi="Sylfaen" w:cs="Sylfaen"/>
          <w:b/>
        </w:rPr>
        <w:t>სტანდარტები</w:t>
      </w:r>
      <w:bookmarkEnd w:id="5"/>
      <w:bookmarkEnd w:id="6"/>
      <w:bookmarkEnd w:id="7"/>
      <w:bookmarkEnd w:id="8"/>
    </w:p>
    <w:bookmarkEnd w:id="9"/>
    <w:p w14:paraId="68B44BCF" w14:textId="77777777" w:rsidR="00D848EC" w:rsidRPr="001352AB" w:rsidRDefault="00D848EC" w:rsidP="00980876">
      <w:pPr>
        <w:spacing w:before="120" w:after="120"/>
        <w:rPr>
          <w:rFonts w:eastAsia="Calibri"/>
        </w:rPr>
      </w:pPr>
      <w:r w:rsidRPr="001352AB">
        <w:rPr>
          <w:rFonts w:ascii="Sylfaen" w:eastAsia="Calibri" w:hAnsi="Sylfaen" w:cs="Sylfaen"/>
        </w:rPr>
        <w:t>წინამდებარე</w:t>
      </w:r>
      <w:r w:rsidRPr="001352AB">
        <w:rPr>
          <w:rFonts w:eastAsia="Calibri"/>
        </w:rPr>
        <w:t xml:space="preserve"> </w:t>
      </w:r>
      <w:r w:rsidRPr="001352AB">
        <w:rPr>
          <w:rFonts w:ascii="Sylfaen" w:eastAsia="Calibri" w:hAnsi="Sylfaen" w:cs="Sylfaen"/>
        </w:rPr>
        <w:t>ანგარიშის</w:t>
      </w:r>
      <w:r w:rsidRPr="001352AB">
        <w:rPr>
          <w:rFonts w:eastAsia="Calibri"/>
        </w:rPr>
        <w:t xml:space="preserve"> </w:t>
      </w:r>
      <w:r w:rsidRPr="001352AB">
        <w:rPr>
          <w:rFonts w:ascii="Sylfaen" w:eastAsia="Calibri" w:hAnsi="Sylfaen" w:cs="Sylfaen"/>
        </w:rPr>
        <w:t>დამუშავების</w:t>
      </w:r>
      <w:r w:rsidRPr="001352AB">
        <w:rPr>
          <w:rFonts w:eastAsia="Calibri"/>
        </w:rPr>
        <w:t xml:space="preserve"> </w:t>
      </w:r>
      <w:r w:rsidRPr="001352AB">
        <w:rPr>
          <w:rFonts w:ascii="Sylfaen" w:eastAsia="Calibri" w:hAnsi="Sylfaen" w:cs="Sylfaen"/>
        </w:rPr>
        <w:t>პროცესში</w:t>
      </w:r>
      <w:r w:rsidRPr="001352AB">
        <w:rPr>
          <w:rFonts w:eastAsia="Calibri"/>
        </w:rPr>
        <w:t xml:space="preserve"> </w:t>
      </w:r>
      <w:r w:rsidRPr="001352AB">
        <w:rPr>
          <w:rFonts w:ascii="Sylfaen" w:eastAsia="Calibri" w:hAnsi="Sylfaen" w:cs="Sylfaen"/>
        </w:rPr>
        <w:t>გარემო</w:t>
      </w:r>
      <w:r w:rsidRPr="001352AB">
        <w:rPr>
          <w:rFonts w:eastAsia="Calibri"/>
        </w:rPr>
        <w:t xml:space="preserve"> </w:t>
      </w:r>
      <w:r w:rsidRPr="001352AB">
        <w:rPr>
          <w:rFonts w:ascii="Sylfaen" w:eastAsia="Calibri" w:hAnsi="Sylfaen" w:cs="Sylfaen"/>
        </w:rPr>
        <w:t>ობიექტების</w:t>
      </w:r>
      <w:r w:rsidRPr="001352AB">
        <w:rPr>
          <w:rFonts w:eastAsia="Calibri"/>
        </w:rPr>
        <w:t xml:space="preserve"> (</w:t>
      </w:r>
      <w:r w:rsidRPr="001352AB">
        <w:rPr>
          <w:rFonts w:ascii="Sylfaen" w:eastAsia="Calibri" w:hAnsi="Sylfaen" w:cs="Sylfaen"/>
        </w:rPr>
        <w:t>ნიადაგი</w:t>
      </w:r>
      <w:r w:rsidRPr="001352AB">
        <w:rPr>
          <w:rFonts w:eastAsia="Calibri"/>
        </w:rPr>
        <w:t xml:space="preserve">, </w:t>
      </w:r>
      <w:r w:rsidRPr="001352AB">
        <w:rPr>
          <w:rFonts w:ascii="Sylfaen" w:eastAsia="Calibri" w:hAnsi="Sylfaen" w:cs="Sylfaen"/>
        </w:rPr>
        <w:t>წყალი</w:t>
      </w:r>
      <w:r w:rsidRPr="001352AB">
        <w:rPr>
          <w:rFonts w:eastAsia="Calibri"/>
        </w:rPr>
        <w:t xml:space="preserve">, </w:t>
      </w:r>
      <w:r w:rsidRPr="001352AB">
        <w:rPr>
          <w:rFonts w:ascii="Sylfaen" w:eastAsia="Calibri" w:hAnsi="Sylfaen" w:cs="Sylfaen"/>
        </w:rPr>
        <w:t>ჰაერი</w:t>
      </w:r>
      <w:r w:rsidRPr="001352AB">
        <w:rPr>
          <w:rFonts w:eastAsia="Calibri"/>
        </w:rPr>
        <w:t xml:space="preserve">) </w:t>
      </w:r>
      <w:r w:rsidRPr="001352AB">
        <w:rPr>
          <w:rFonts w:ascii="Sylfaen" w:eastAsia="Calibri" w:hAnsi="Sylfaen" w:cs="Sylfaen"/>
        </w:rPr>
        <w:t>ხარისხის</w:t>
      </w:r>
      <w:r w:rsidRPr="001352AB">
        <w:rPr>
          <w:rFonts w:eastAsia="Calibri"/>
        </w:rPr>
        <w:t xml:space="preserve"> </w:t>
      </w:r>
      <w:r w:rsidRPr="001352AB">
        <w:rPr>
          <w:rFonts w:ascii="Sylfaen" w:eastAsia="Calibri" w:hAnsi="Sylfaen" w:cs="Sylfaen"/>
        </w:rPr>
        <w:t>შეფასებისათვის</w:t>
      </w:r>
      <w:r w:rsidRPr="001352AB">
        <w:rPr>
          <w:rFonts w:eastAsia="Calibri"/>
        </w:rPr>
        <w:t xml:space="preserve"> </w:t>
      </w:r>
      <w:r w:rsidRPr="001352AB">
        <w:rPr>
          <w:rFonts w:ascii="Sylfaen" w:eastAsia="Calibri" w:hAnsi="Sylfaen" w:cs="Sylfaen"/>
        </w:rPr>
        <w:t>გამოყენებულია</w:t>
      </w:r>
      <w:r w:rsidRPr="001352AB">
        <w:rPr>
          <w:rFonts w:eastAsia="Calibri"/>
        </w:rPr>
        <w:t xml:space="preserve"> </w:t>
      </w:r>
      <w:r w:rsidRPr="001352AB">
        <w:rPr>
          <w:rFonts w:ascii="Sylfaen" w:eastAsia="Calibri" w:hAnsi="Sylfaen" w:cs="Sylfaen"/>
        </w:rPr>
        <w:t>შემდეგი</w:t>
      </w:r>
      <w:r w:rsidRPr="001352AB">
        <w:rPr>
          <w:rFonts w:eastAsia="Calibri"/>
        </w:rPr>
        <w:t xml:space="preserve"> </w:t>
      </w:r>
      <w:r w:rsidRPr="001352AB">
        <w:rPr>
          <w:rFonts w:ascii="Sylfaen" w:eastAsia="Calibri" w:hAnsi="Sylfaen" w:cs="Sylfaen"/>
        </w:rPr>
        <w:t>გარემოსდაცვითი</w:t>
      </w:r>
      <w:r w:rsidRPr="001352AB">
        <w:rPr>
          <w:rFonts w:eastAsia="Calibri"/>
        </w:rPr>
        <w:t xml:space="preserve"> </w:t>
      </w:r>
      <w:r w:rsidRPr="001352AB">
        <w:rPr>
          <w:rFonts w:ascii="Sylfaen" w:eastAsia="Calibri" w:hAnsi="Sylfaen" w:cs="Sylfaen"/>
        </w:rPr>
        <w:t>სტანდარტები</w:t>
      </w:r>
    </w:p>
    <w:p w14:paraId="67CD400E" w14:textId="77777777" w:rsidR="00D848EC" w:rsidRPr="001352AB" w:rsidRDefault="00D848EC" w:rsidP="00980876">
      <w:pPr>
        <w:spacing w:before="120" w:after="120"/>
        <w:rPr>
          <w:rFonts w:eastAsia="Calibri"/>
        </w:rPr>
      </w:pPr>
      <w:r w:rsidRPr="001352AB">
        <w:rPr>
          <w:rFonts w:ascii="Sylfaen" w:eastAsia="Calibri" w:hAnsi="Sylfaen" w:cs="Sylfaen"/>
        </w:rPr>
        <w:t>გარემოსდაცვითი</w:t>
      </w:r>
      <w:r w:rsidRPr="001352AB">
        <w:rPr>
          <w:rFonts w:eastAsia="Calibri"/>
        </w:rPr>
        <w:t xml:space="preserve"> </w:t>
      </w:r>
      <w:r w:rsidRPr="001352AB">
        <w:rPr>
          <w:rFonts w:ascii="Sylfaen" w:eastAsia="Calibri" w:hAnsi="Sylfaen" w:cs="Sylfaen"/>
        </w:rPr>
        <w:t>სტანდარტების</w:t>
      </w:r>
      <w:r w:rsidRPr="001352AB">
        <w:rPr>
          <w:rFonts w:eastAsia="Calibri"/>
        </w:rPr>
        <w:t xml:space="preserve"> </w:t>
      </w:r>
      <w:r w:rsidRPr="001352AB">
        <w:rPr>
          <w:rFonts w:ascii="Sylfaen" w:eastAsia="Calibri" w:hAnsi="Sylfaen" w:cs="Sylfaen"/>
        </w:rPr>
        <w:t>ნუსხა</w:t>
      </w:r>
    </w:p>
    <w:tbl>
      <w:tblPr>
        <w:tblW w:w="1076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347"/>
        <w:gridCol w:w="7020"/>
        <w:gridCol w:w="2396"/>
      </w:tblGrid>
      <w:tr w:rsidR="00D848EC" w:rsidRPr="00D848EC" w14:paraId="2DCEB121"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303ADDDA" w14:textId="77777777" w:rsidR="00D848EC" w:rsidRPr="00D848EC" w:rsidRDefault="00D848EC" w:rsidP="00D848EC">
            <w:pPr>
              <w:rPr>
                <w:sz w:val="20"/>
                <w:lang w:val="es-ES"/>
              </w:rPr>
            </w:pPr>
            <w:r w:rsidRPr="00D848EC">
              <w:rPr>
                <w:rFonts w:ascii="Sylfaen" w:hAnsi="Sylfaen" w:cs="Sylfaen"/>
                <w:sz w:val="20"/>
              </w:rPr>
              <w:t>მიღების</w:t>
            </w:r>
            <w:r w:rsidRPr="00D848EC">
              <w:rPr>
                <w:sz w:val="20"/>
              </w:rPr>
              <w:t xml:space="preserve"> </w:t>
            </w:r>
            <w:r w:rsidRPr="00D848EC">
              <w:rPr>
                <w:rFonts w:ascii="Sylfaen" w:hAnsi="Sylfaen" w:cs="Sylfaen"/>
                <w:sz w:val="20"/>
              </w:rPr>
              <w:t>თარიღი</w:t>
            </w:r>
          </w:p>
        </w:tc>
        <w:tc>
          <w:tcPr>
            <w:tcW w:w="7020" w:type="dxa"/>
            <w:tcBorders>
              <w:top w:val="single" w:sz="2" w:space="0" w:color="auto"/>
              <w:left w:val="single" w:sz="2" w:space="0" w:color="auto"/>
              <w:bottom w:val="single" w:sz="2" w:space="0" w:color="auto"/>
              <w:right w:val="single" w:sz="2" w:space="0" w:color="auto"/>
            </w:tcBorders>
            <w:vAlign w:val="center"/>
            <w:hideMark/>
          </w:tcPr>
          <w:p w14:paraId="5D5DCC89" w14:textId="77777777" w:rsidR="00D848EC" w:rsidRPr="00D848EC" w:rsidRDefault="00D848EC" w:rsidP="00D848EC">
            <w:pPr>
              <w:rPr>
                <w:sz w:val="20"/>
              </w:rPr>
            </w:pPr>
            <w:r w:rsidRPr="00D848EC">
              <w:rPr>
                <w:rFonts w:ascii="Sylfaen" w:hAnsi="Sylfaen" w:cs="Sylfaen"/>
                <w:sz w:val="20"/>
              </w:rPr>
              <w:t>ნორმატიული</w:t>
            </w:r>
            <w:r w:rsidRPr="00D848EC">
              <w:rPr>
                <w:sz w:val="20"/>
              </w:rPr>
              <w:t xml:space="preserve"> </w:t>
            </w:r>
            <w:r w:rsidRPr="00D848EC">
              <w:rPr>
                <w:rFonts w:ascii="Sylfaen" w:hAnsi="Sylfaen" w:cs="Sylfaen"/>
                <w:sz w:val="20"/>
              </w:rPr>
              <w:t>დოკუმენტის</w:t>
            </w:r>
            <w:r w:rsidRPr="00D848EC">
              <w:rPr>
                <w:sz w:val="20"/>
              </w:rPr>
              <w:t xml:space="preserve"> </w:t>
            </w:r>
            <w:r w:rsidRPr="00D848EC">
              <w:rPr>
                <w:rFonts w:ascii="Sylfaen" w:hAnsi="Sylfaen" w:cs="Sylfaen"/>
                <w:sz w:val="20"/>
              </w:rPr>
              <w:t>დასახელება</w:t>
            </w:r>
          </w:p>
        </w:tc>
        <w:tc>
          <w:tcPr>
            <w:tcW w:w="2396" w:type="dxa"/>
            <w:tcBorders>
              <w:top w:val="single" w:sz="2" w:space="0" w:color="auto"/>
              <w:left w:val="single" w:sz="2" w:space="0" w:color="auto"/>
              <w:bottom w:val="single" w:sz="2" w:space="0" w:color="auto"/>
              <w:right w:val="single" w:sz="2" w:space="0" w:color="auto"/>
            </w:tcBorders>
            <w:vAlign w:val="center"/>
            <w:hideMark/>
          </w:tcPr>
          <w:p w14:paraId="727C8386" w14:textId="77777777" w:rsidR="00D848EC" w:rsidRPr="00D848EC" w:rsidRDefault="00D848EC" w:rsidP="00D848EC">
            <w:pPr>
              <w:rPr>
                <w:sz w:val="20"/>
              </w:rPr>
            </w:pPr>
            <w:r w:rsidRPr="00D848EC">
              <w:rPr>
                <w:rFonts w:ascii="Sylfaen" w:hAnsi="Sylfaen" w:cs="Sylfaen"/>
                <w:sz w:val="20"/>
              </w:rPr>
              <w:t>სარეგისტრაციო</w:t>
            </w:r>
            <w:r w:rsidRPr="00D848EC">
              <w:rPr>
                <w:sz w:val="20"/>
              </w:rPr>
              <w:t xml:space="preserve"> </w:t>
            </w:r>
            <w:r w:rsidRPr="00D848EC">
              <w:rPr>
                <w:rFonts w:ascii="Sylfaen" w:hAnsi="Sylfaen" w:cs="Sylfaen"/>
                <w:sz w:val="20"/>
              </w:rPr>
              <w:t>კოდი</w:t>
            </w:r>
          </w:p>
        </w:tc>
      </w:tr>
      <w:tr w:rsidR="00D848EC" w:rsidRPr="00D848EC" w14:paraId="1DBDC43E"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6D6E05CB" w14:textId="77777777" w:rsidR="00D848EC" w:rsidRPr="00D848EC" w:rsidRDefault="00D848EC" w:rsidP="00D848EC">
            <w:pPr>
              <w:rPr>
                <w:sz w:val="20"/>
              </w:rPr>
            </w:pPr>
            <w:r w:rsidRPr="00D848EC">
              <w:rPr>
                <w:sz w:val="20"/>
              </w:rPr>
              <w:t>31/12/2013</w:t>
            </w:r>
          </w:p>
        </w:tc>
        <w:tc>
          <w:tcPr>
            <w:tcW w:w="7020" w:type="dxa"/>
            <w:tcBorders>
              <w:top w:val="single" w:sz="2" w:space="0" w:color="auto"/>
              <w:left w:val="single" w:sz="2" w:space="0" w:color="auto"/>
              <w:bottom w:val="single" w:sz="2" w:space="0" w:color="auto"/>
              <w:right w:val="single" w:sz="2" w:space="0" w:color="auto"/>
            </w:tcBorders>
            <w:vAlign w:val="center"/>
            <w:hideMark/>
          </w:tcPr>
          <w:p w14:paraId="30E12F8A"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ზედაპირული</w:t>
            </w:r>
            <w:r w:rsidRPr="00D848EC">
              <w:rPr>
                <w:sz w:val="20"/>
              </w:rPr>
              <w:t xml:space="preserve"> </w:t>
            </w:r>
            <w:r w:rsidRPr="00D848EC">
              <w:rPr>
                <w:rFonts w:ascii="Sylfaen" w:hAnsi="Sylfaen" w:cs="Sylfaen"/>
                <w:sz w:val="20"/>
              </w:rPr>
              <w:t>წყლის</w:t>
            </w:r>
            <w:r w:rsidRPr="00D848EC">
              <w:rPr>
                <w:sz w:val="20"/>
              </w:rPr>
              <w:t xml:space="preserve"> </w:t>
            </w:r>
            <w:r w:rsidRPr="00D848EC">
              <w:rPr>
                <w:rFonts w:ascii="Sylfaen" w:hAnsi="Sylfaen" w:cs="Sylfaen"/>
                <w:sz w:val="20"/>
              </w:rPr>
              <w:t>ობიექტებში</w:t>
            </w:r>
            <w:r w:rsidRPr="00D848EC">
              <w:rPr>
                <w:sz w:val="20"/>
              </w:rPr>
              <w:t xml:space="preserve"> </w:t>
            </w:r>
            <w:r w:rsidRPr="00D848EC">
              <w:rPr>
                <w:rFonts w:ascii="Sylfaen" w:hAnsi="Sylfaen" w:cs="Sylfaen"/>
                <w:sz w:val="20"/>
              </w:rPr>
              <w:t>ჩამდინარე</w:t>
            </w:r>
            <w:r w:rsidRPr="00D848EC">
              <w:rPr>
                <w:sz w:val="20"/>
              </w:rPr>
              <w:t xml:space="preserve"> </w:t>
            </w:r>
            <w:r w:rsidRPr="00D848EC">
              <w:rPr>
                <w:rFonts w:ascii="Sylfaen" w:hAnsi="Sylfaen" w:cs="Sylfaen"/>
                <w:sz w:val="20"/>
              </w:rPr>
              <w:t>წყლებთან</w:t>
            </w:r>
            <w:r w:rsidRPr="00D848EC">
              <w:rPr>
                <w:sz w:val="20"/>
              </w:rPr>
              <w:t xml:space="preserve"> </w:t>
            </w:r>
            <w:r w:rsidRPr="00D848EC">
              <w:rPr>
                <w:rFonts w:ascii="Sylfaen" w:hAnsi="Sylfaen" w:cs="Sylfaen"/>
                <w:sz w:val="20"/>
              </w:rPr>
              <w:t>ერთად</w:t>
            </w:r>
            <w:r w:rsidRPr="00D848EC">
              <w:rPr>
                <w:sz w:val="20"/>
              </w:rPr>
              <w:t xml:space="preserve"> </w:t>
            </w:r>
            <w:r w:rsidRPr="00D848EC">
              <w:rPr>
                <w:rFonts w:ascii="Sylfaen" w:hAnsi="Sylfaen" w:cs="Sylfaen"/>
                <w:sz w:val="20"/>
              </w:rPr>
              <w:t>ჩაშვებულ</w:t>
            </w:r>
            <w:r w:rsidRPr="00D848EC">
              <w:rPr>
                <w:sz w:val="20"/>
              </w:rPr>
              <w:t xml:space="preserve"> </w:t>
            </w:r>
            <w:r w:rsidRPr="00D848EC">
              <w:rPr>
                <w:rFonts w:ascii="Sylfaen" w:hAnsi="Sylfaen" w:cs="Sylfaen"/>
                <w:sz w:val="20"/>
              </w:rPr>
              <w:t>დამაბინძურებელ</w:t>
            </w:r>
            <w:r w:rsidRPr="00D848EC">
              <w:rPr>
                <w:sz w:val="20"/>
              </w:rPr>
              <w:t xml:space="preserve"> </w:t>
            </w:r>
            <w:r w:rsidRPr="00D848EC">
              <w:rPr>
                <w:rFonts w:ascii="Sylfaen" w:hAnsi="Sylfaen" w:cs="Sylfaen"/>
                <w:sz w:val="20"/>
              </w:rPr>
              <w:t>ნივთიერებათა</w:t>
            </w:r>
            <w:r w:rsidRPr="00D848EC">
              <w:rPr>
                <w:sz w:val="20"/>
              </w:rPr>
              <w:t xml:space="preserve"> </w:t>
            </w:r>
            <w:r w:rsidRPr="00D848EC">
              <w:rPr>
                <w:rFonts w:ascii="Sylfaen" w:hAnsi="Sylfaen" w:cs="Sylfaen"/>
                <w:sz w:val="20"/>
              </w:rPr>
              <w:t>ზღვრულად</w:t>
            </w:r>
            <w:r w:rsidRPr="00D848EC">
              <w:rPr>
                <w:sz w:val="20"/>
              </w:rPr>
              <w:t xml:space="preserve"> </w:t>
            </w:r>
            <w:r w:rsidRPr="00D848EC">
              <w:rPr>
                <w:rFonts w:ascii="Sylfaen" w:hAnsi="Sylfaen" w:cs="Sylfaen"/>
                <w:sz w:val="20"/>
              </w:rPr>
              <w:t>დასაშვები</w:t>
            </w:r>
            <w:r w:rsidRPr="00D848EC">
              <w:rPr>
                <w:sz w:val="20"/>
              </w:rPr>
              <w:t xml:space="preserve"> </w:t>
            </w:r>
            <w:r w:rsidRPr="00D848EC">
              <w:rPr>
                <w:rFonts w:ascii="Sylfaen" w:hAnsi="Sylfaen" w:cs="Sylfaen"/>
                <w:sz w:val="20"/>
              </w:rPr>
              <w:t>ჩაშვების</w:t>
            </w:r>
            <w:r w:rsidRPr="00D848EC">
              <w:rPr>
                <w:sz w:val="20"/>
              </w:rPr>
              <w:t xml:space="preserve"> (</w:t>
            </w:r>
            <w:r w:rsidRPr="00D848EC">
              <w:rPr>
                <w:rFonts w:ascii="Sylfaen" w:hAnsi="Sylfaen" w:cs="Sylfaen"/>
                <w:sz w:val="20"/>
              </w:rPr>
              <w:t>ზდჩ</w:t>
            </w:r>
            <w:r w:rsidRPr="00D848EC">
              <w:rPr>
                <w:sz w:val="20"/>
              </w:rPr>
              <w:t xml:space="preserve">) </w:t>
            </w:r>
            <w:r w:rsidRPr="00D848EC">
              <w:rPr>
                <w:rFonts w:ascii="Sylfaen" w:hAnsi="Sylfaen" w:cs="Sylfaen"/>
                <w:sz w:val="20"/>
              </w:rPr>
              <w:t>ნორმების</w:t>
            </w:r>
            <w:r w:rsidRPr="00D848EC">
              <w:rPr>
                <w:sz w:val="20"/>
              </w:rPr>
              <w:t xml:space="preserve"> </w:t>
            </w:r>
            <w:r w:rsidRPr="00D848EC">
              <w:rPr>
                <w:rFonts w:ascii="Sylfaen" w:hAnsi="Sylfaen" w:cs="Sylfaen"/>
                <w:sz w:val="20"/>
              </w:rPr>
              <w:t>გაანგარიშების</w:t>
            </w:r>
            <w:r w:rsidRPr="00D848EC">
              <w:rPr>
                <w:sz w:val="20"/>
              </w:rPr>
              <w:t xml:space="preserve"> </w:t>
            </w:r>
            <w:r w:rsidRPr="00D848EC">
              <w:rPr>
                <w:rFonts w:ascii="Sylfaen" w:hAnsi="Sylfaen" w:cs="Sylfaen"/>
                <w:sz w:val="20"/>
              </w:rPr>
              <w:t>მეთოდიკა</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№414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49E97F19" w14:textId="77777777" w:rsidR="00D848EC" w:rsidRPr="00D848EC" w:rsidRDefault="00D848EC" w:rsidP="00D848EC">
            <w:pPr>
              <w:rPr>
                <w:sz w:val="20"/>
              </w:rPr>
            </w:pPr>
            <w:r w:rsidRPr="00D848EC">
              <w:rPr>
                <w:sz w:val="20"/>
              </w:rPr>
              <w:t>300160070.10.003.017621</w:t>
            </w:r>
          </w:p>
        </w:tc>
      </w:tr>
      <w:tr w:rsidR="00D848EC" w:rsidRPr="00D848EC" w14:paraId="32141054"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141E300E" w14:textId="77777777" w:rsidR="00D848EC" w:rsidRPr="00D848EC" w:rsidRDefault="00D848EC" w:rsidP="00D848EC">
            <w:pPr>
              <w:rPr>
                <w:sz w:val="20"/>
              </w:rPr>
            </w:pPr>
            <w:r w:rsidRPr="00D848EC">
              <w:rPr>
                <w:sz w:val="20"/>
              </w:rPr>
              <w:t>31/12/2013</w:t>
            </w:r>
          </w:p>
        </w:tc>
        <w:tc>
          <w:tcPr>
            <w:tcW w:w="7020" w:type="dxa"/>
            <w:tcBorders>
              <w:top w:val="single" w:sz="2" w:space="0" w:color="auto"/>
              <w:left w:val="single" w:sz="2" w:space="0" w:color="auto"/>
              <w:bottom w:val="single" w:sz="2" w:space="0" w:color="auto"/>
              <w:right w:val="single" w:sz="2" w:space="0" w:color="auto"/>
            </w:tcBorders>
            <w:vAlign w:val="center"/>
            <w:hideMark/>
          </w:tcPr>
          <w:p w14:paraId="65263F08"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ზედაპირული</w:t>
            </w:r>
            <w:r w:rsidRPr="00D848EC">
              <w:rPr>
                <w:sz w:val="20"/>
              </w:rPr>
              <w:t xml:space="preserve"> </w:t>
            </w:r>
            <w:r w:rsidRPr="00D848EC">
              <w:rPr>
                <w:rFonts w:ascii="Sylfaen" w:hAnsi="Sylfaen" w:cs="Sylfaen"/>
                <w:sz w:val="20"/>
              </w:rPr>
              <w:t>წყლების</w:t>
            </w:r>
            <w:r w:rsidRPr="00D848EC">
              <w:rPr>
                <w:sz w:val="20"/>
              </w:rPr>
              <w:t xml:space="preserve"> </w:t>
            </w:r>
            <w:r w:rsidRPr="00D848EC">
              <w:rPr>
                <w:rFonts w:ascii="Sylfaen" w:hAnsi="Sylfaen" w:cs="Sylfaen"/>
                <w:sz w:val="20"/>
              </w:rPr>
              <w:t>დაბინძურებისაგან</w:t>
            </w:r>
            <w:r w:rsidRPr="00D848EC">
              <w:rPr>
                <w:sz w:val="20"/>
              </w:rPr>
              <w:t xml:space="preserve"> </w:t>
            </w:r>
            <w:r w:rsidRPr="00D848EC">
              <w:rPr>
                <w:rFonts w:ascii="Sylfaen" w:hAnsi="Sylfaen" w:cs="Sylfaen"/>
                <w:sz w:val="20"/>
              </w:rPr>
              <w:t>დაცვის</w:t>
            </w:r>
            <w:r w:rsidRPr="00D848EC">
              <w:rPr>
                <w:sz w:val="20"/>
              </w:rPr>
              <w:t xml:space="preserve"> </w:t>
            </w:r>
            <w:r w:rsidRPr="00D848EC">
              <w:rPr>
                <w:rFonts w:ascii="Sylfaen" w:hAnsi="Sylfaen" w:cs="Sylfaen"/>
                <w:sz w:val="20"/>
              </w:rPr>
              <w:t>შესახებ</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№425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074D0DB8" w14:textId="77777777" w:rsidR="00D848EC" w:rsidRPr="00D848EC" w:rsidRDefault="00D848EC" w:rsidP="00D848EC">
            <w:pPr>
              <w:rPr>
                <w:sz w:val="20"/>
              </w:rPr>
            </w:pPr>
            <w:r w:rsidRPr="00D848EC">
              <w:rPr>
                <w:sz w:val="20"/>
              </w:rPr>
              <w:t>300160070.10.003.017650</w:t>
            </w:r>
          </w:p>
        </w:tc>
      </w:tr>
      <w:tr w:rsidR="00D848EC" w:rsidRPr="00D848EC" w14:paraId="3240B768"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46C3411B" w14:textId="77777777" w:rsidR="00D848EC" w:rsidRPr="00D848EC" w:rsidRDefault="00D848EC" w:rsidP="00D848EC">
            <w:pPr>
              <w:rPr>
                <w:sz w:val="20"/>
              </w:rPr>
            </w:pPr>
            <w:r w:rsidRPr="00D848EC">
              <w:rPr>
                <w:sz w:val="20"/>
              </w:rPr>
              <w:t>03/01/2014</w:t>
            </w:r>
          </w:p>
        </w:tc>
        <w:tc>
          <w:tcPr>
            <w:tcW w:w="7020" w:type="dxa"/>
            <w:tcBorders>
              <w:top w:val="single" w:sz="2" w:space="0" w:color="auto"/>
              <w:left w:val="single" w:sz="2" w:space="0" w:color="auto"/>
              <w:bottom w:val="single" w:sz="2" w:space="0" w:color="auto"/>
              <w:right w:val="single" w:sz="2" w:space="0" w:color="auto"/>
            </w:tcBorders>
            <w:vAlign w:val="center"/>
            <w:hideMark/>
          </w:tcPr>
          <w:p w14:paraId="4BA57370"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აირმტვერდამჭერი</w:t>
            </w:r>
            <w:r w:rsidRPr="00D848EC">
              <w:rPr>
                <w:sz w:val="20"/>
              </w:rPr>
              <w:t xml:space="preserve"> </w:t>
            </w:r>
            <w:r w:rsidRPr="00D848EC">
              <w:rPr>
                <w:rFonts w:ascii="Sylfaen" w:hAnsi="Sylfaen" w:cs="Sylfaen"/>
                <w:sz w:val="20"/>
              </w:rPr>
              <w:t>მოწყობილობის</w:t>
            </w:r>
            <w:r w:rsidRPr="00D848EC">
              <w:rPr>
                <w:sz w:val="20"/>
              </w:rPr>
              <w:t xml:space="preserve"> </w:t>
            </w:r>
            <w:r w:rsidRPr="00D848EC">
              <w:rPr>
                <w:rFonts w:ascii="Sylfaen" w:hAnsi="Sylfaen" w:cs="Sylfaen"/>
                <w:sz w:val="20"/>
              </w:rPr>
              <w:t>ექსპლუატაციის</w:t>
            </w:r>
            <w:r w:rsidRPr="00D848EC">
              <w:rPr>
                <w:sz w:val="20"/>
              </w:rPr>
              <w:t xml:space="preserve"> </w:t>
            </w:r>
            <w:r w:rsidRPr="00D848EC">
              <w:rPr>
                <w:rFonts w:ascii="Sylfaen" w:hAnsi="Sylfaen" w:cs="Sylfaen"/>
                <w:sz w:val="20"/>
              </w:rPr>
              <w:t>შესახებ</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№21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254A663B" w14:textId="77777777" w:rsidR="00D848EC" w:rsidRPr="00D848EC" w:rsidRDefault="00D848EC" w:rsidP="00D848EC">
            <w:pPr>
              <w:rPr>
                <w:sz w:val="20"/>
              </w:rPr>
            </w:pPr>
            <w:r w:rsidRPr="00D848EC">
              <w:rPr>
                <w:sz w:val="20"/>
              </w:rPr>
              <w:t>300160070.10.003.017590</w:t>
            </w:r>
          </w:p>
        </w:tc>
      </w:tr>
      <w:tr w:rsidR="00D848EC" w:rsidRPr="00D848EC" w14:paraId="17ED4B2E"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77C8DFAD" w14:textId="77777777" w:rsidR="00D848EC" w:rsidRPr="00D848EC" w:rsidRDefault="00D848EC" w:rsidP="00D848EC">
            <w:pPr>
              <w:rPr>
                <w:sz w:val="20"/>
              </w:rPr>
            </w:pPr>
            <w:r w:rsidRPr="00D848EC">
              <w:rPr>
                <w:sz w:val="20"/>
              </w:rPr>
              <w:t>03/01/2014</w:t>
            </w:r>
          </w:p>
        </w:tc>
        <w:tc>
          <w:tcPr>
            <w:tcW w:w="7020" w:type="dxa"/>
            <w:tcBorders>
              <w:top w:val="single" w:sz="2" w:space="0" w:color="auto"/>
              <w:left w:val="single" w:sz="2" w:space="0" w:color="auto"/>
              <w:bottom w:val="single" w:sz="2" w:space="0" w:color="auto"/>
              <w:right w:val="single" w:sz="2" w:space="0" w:color="auto"/>
            </w:tcBorders>
            <w:vAlign w:val="center"/>
            <w:hideMark/>
          </w:tcPr>
          <w:p w14:paraId="7039FA50"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არახელსაყრელ</w:t>
            </w:r>
            <w:r w:rsidRPr="00D848EC">
              <w:rPr>
                <w:sz w:val="20"/>
              </w:rPr>
              <w:t xml:space="preserve"> </w:t>
            </w:r>
            <w:r w:rsidRPr="00D848EC">
              <w:rPr>
                <w:rFonts w:ascii="Sylfaen" w:hAnsi="Sylfaen" w:cs="Sylfaen"/>
                <w:sz w:val="20"/>
              </w:rPr>
              <w:t>მეტეოროლოგიურ</w:t>
            </w:r>
            <w:r w:rsidRPr="00D848EC">
              <w:rPr>
                <w:sz w:val="20"/>
              </w:rPr>
              <w:t xml:space="preserve"> </w:t>
            </w:r>
            <w:r w:rsidRPr="00D848EC">
              <w:rPr>
                <w:rFonts w:ascii="Sylfaen" w:hAnsi="Sylfaen" w:cs="Sylfaen"/>
                <w:sz w:val="20"/>
              </w:rPr>
              <w:t>პირობებში</w:t>
            </w:r>
            <w:r w:rsidRPr="00D848EC">
              <w:rPr>
                <w:sz w:val="20"/>
              </w:rPr>
              <w:t xml:space="preserve"> </w:t>
            </w:r>
            <w:r w:rsidRPr="00D848EC">
              <w:rPr>
                <w:rFonts w:ascii="Sylfaen" w:hAnsi="Sylfaen" w:cs="Sylfaen"/>
                <w:sz w:val="20"/>
              </w:rPr>
              <w:t>ატმოსფერული</w:t>
            </w:r>
            <w:r w:rsidRPr="00D848EC">
              <w:rPr>
                <w:sz w:val="20"/>
              </w:rPr>
              <w:t xml:space="preserve"> </w:t>
            </w:r>
            <w:r w:rsidRPr="00D848EC">
              <w:rPr>
                <w:rFonts w:ascii="Sylfaen" w:hAnsi="Sylfaen" w:cs="Sylfaen"/>
                <w:sz w:val="20"/>
              </w:rPr>
              <w:t>ჰაერის</w:t>
            </w:r>
            <w:r w:rsidRPr="00D848EC">
              <w:rPr>
                <w:sz w:val="20"/>
              </w:rPr>
              <w:t xml:space="preserve"> </w:t>
            </w:r>
            <w:r w:rsidRPr="00D848EC">
              <w:rPr>
                <w:rFonts w:ascii="Sylfaen" w:hAnsi="Sylfaen" w:cs="Sylfaen"/>
                <w:sz w:val="20"/>
              </w:rPr>
              <w:t>დაცვის</w:t>
            </w:r>
            <w:r w:rsidRPr="00D848EC">
              <w:rPr>
                <w:sz w:val="20"/>
              </w:rPr>
              <w:t xml:space="preserve"> </w:t>
            </w:r>
            <w:r w:rsidRPr="00D848EC">
              <w:rPr>
                <w:rFonts w:ascii="Sylfaen" w:hAnsi="Sylfaen" w:cs="Sylfaen"/>
                <w:sz w:val="20"/>
              </w:rPr>
              <w:t>შესახებ</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№8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7B44C2AC" w14:textId="77777777" w:rsidR="00D848EC" w:rsidRPr="00D848EC" w:rsidRDefault="00D848EC" w:rsidP="00D848EC">
            <w:pPr>
              <w:rPr>
                <w:sz w:val="20"/>
              </w:rPr>
            </w:pPr>
            <w:r w:rsidRPr="00D848EC">
              <w:rPr>
                <w:sz w:val="20"/>
              </w:rPr>
              <w:t>300160070.10.003.017603</w:t>
            </w:r>
          </w:p>
        </w:tc>
      </w:tr>
      <w:tr w:rsidR="00D848EC" w:rsidRPr="00D848EC" w14:paraId="2F4F0640"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0569DF95" w14:textId="77777777" w:rsidR="00D848EC" w:rsidRPr="00D848EC" w:rsidRDefault="00D848EC" w:rsidP="00D848EC">
            <w:pPr>
              <w:rPr>
                <w:sz w:val="20"/>
              </w:rPr>
            </w:pPr>
            <w:r w:rsidRPr="00D848EC">
              <w:rPr>
                <w:sz w:val="20"/>
              </w:rPr>
              <w:t>31/12/2013</w:t>
            </w:r>
          </w:p>
        </w:tc>
        <w:tc>
          <w:tcPr>
            <w:tcW w:w="7020" w:type="dxa"/>
            <w:tcBorders>
              <w:top w:val="single" w:sz="2" w:space="0" w:color="auto"/>
              <w:left w:val="single" w:sz="2" w:space="0" w:color="auto"/>
              <w:bottom w:val="single" w:sz="2" w:space="0" w:color="auto"/>
              <w:right w:val="single" w:sz="2" w:space="0" w:color="auto"/>
            </w:tcBorders>
            <w:vAlign w:val="center"/>
            <w:hideMark/>
          </w:tcPr>
          <w:p w14:paraId="49B30FA0"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ატმოსფერულ</w:t>
            </w:r>
            <w:r w:rsidRPr="00D848EC">
              <w:rPr>
                <w:sz w:val="20"/>
              </w:rPr>
              <w:t xml:space="preserve"> </w:t>
            </w:r>
            <w:r w:rsidRPr="00D848EC">
              <w:rPr>
                <w:rFonts w:ascii="Sylfaen" w:hAnsi="Sylfaen" w:cs="Sylfaen"/>
                <w:sz w:val="20"/>
              </w:rPr>
              <w:t>ჰაერში</w:t>
            </w:r>
            <w:r w:rsidRPr="00D848EC">
              <w:rPr>
                <w:sz w:val="20"/>
              </w:rPr>
              <w:t xml:space="preserve"> </w:t>
            </w:r>
            <w:r w:rsidRPr="00D848EC">
              <w:rPr>
                <w:rFonts w:ascii="Sylfaen" w:hAnsi="Sylfaen" w:cs="Sylfaen"/>
                <w:sz w:val="20"/>
              </w:rPr>
              <w:t>მავნე</w:t>
            </w:r>
            <w:r w:rsidRPr="00D848EC">
              <w:rPr>
                <w:sz w:val="20"/>
              </w:rPr>
              <w:t xml:space="preserve"> </w:t>
            </w:r>
            <w:r w:rsidRPr="00D848EC">
              <w:rPr>
                <w:rFonts w:ascii="Sylfaen" w:hAnsi="Sylfaen" w:cs="Sylfaen"/>
                <w:sz w:val="20"/>
              </w:rPr>
              <w:t>ნივთიერებათა</w:t>
            </w:r>
            <w:r w:rsidRPr="00D848EC">
              <w:rPr>
                <w:sz w:val="20"/>
              </w:rPr>
              <w:t xml:space="preserve"> </w:t>
            </w:r>
            <w:r w:rsidRPr="00D848EC">
              <w:rPr>
                <w:rFonts w:ascii="Sylfaen" w:hAnsi="Sylfaen" w:cs="Sylfaen"/>
                <w:sz w:val="20"/>
              </w:rPr>
              <w:t>ზღვრულად</w:t>
            </w:r>
            <w:r w:rsidRPr="00D848EC">
              <w:rPr>
                <w:sz w:val="20"/>
              </w:rPr>
              <w:t xml:space="preserve"> </w:t>
            </w:r>
            <w:r w:rsidRPr="00D848EC">
              <w:rPr>
                <w:rFonts w:ascii="Sylfaen" w:hAnsi="Sylfaen" w:cs="Sylfaen"/>
                <w:sz w:val="20"/>
              </w:rPr>
              <w:t>დასაშვები</w:t>
            </w:r>
            <w:r w:rsidRPr="00D848EC">
              <w:rPr>
                <w:sz w:val="20"/>
              </w:rPr>
              <w:t xml:space="preserve"> </w:t>
            </w:r>
            <w:r w:rsidRPr="00D848EC">
              <w:rPr>
                <w:rFonts w:ascii="Sylfaen" w:hAnsi="Sylfaen" w:cs="Sylfaen"/>
                <w:sz w:val="20"/>
              </w:rPr>
              <w:t>გაფრქვევის</w:t>
            </w:r>
            <w:r w:rsidRPr="00D848EC">
              <w:rPr>
                <w:sz w:val="20"/>
              </w:rPr>
              <w:t xml:space="preserve"> </w:t>
            </w:r>
            <w:r w:rsidRPr="00D848EC">
              <w:rPr>
                <w:rFonts w:ascii="Sylfaen" w:hAnsi="Sylfaen" w:cs="Sylfaen"/>
                <w:sz w:val="20"/>
              </w:rPr>
              <w:t>ნორმების</w:t>
            </w:r>
            <w:r w:rsidRPr="00D848EC">
              <w:rPr>
                <w:sz w:val="20"/>
              </w:rPr>
              <w:t xml:space="preserve"> </w:t>
            </w:r>
            <w:r w:rsidRPr="00D848EC">
              <w:rPr>
                <w:rFonts w:ascii="Sylfaen" w:hAnsi="Sylfaen" w:cs="Sylfaen"/>
                <w:sz w:val="20"/>
              </w:rPr>
              <w:t>გაანგარიშების</w:t>
            </w:r>
            <w:r w:rsidRPr="00D848EC">
              <w:rPr>
                <w:sz w:val="20"/>
              </w:rPr>
              <w:t xml:space="preserve"> </w:t>
            </w:r>
            <w:r w:rsidRPr="00D848EC">
              <w:rPr>
                <w:rFonts w:ascii="Sylfaen" w:hAnsi="Sylfaen" w:cs="Sylfaen"/>
                <w:sz w:val="20"/>
              </w:rPr>
              <w:t>მეთოდიკა</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№408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756B4550" w14:textId="77777777" w:rsidR="00D848EC" w:rsidRPr="00D848EC" w:rsidRDefault="00D848EC" w:rsidP="00D848EC">
            <w:pPr>
              <w:rPr>
                <w:sz w:val="20"/>
              </w:rPr>
            </w:pPr>
            <w:r w:rsidRPr="00D848EC">
              <w:rPr>
                <w:sz w:val="20"/>
              </w:rPr>
              <w:t>300160070.10.003.017622</w:t>
            </w:r>
          </w:p>
        </w:tc>
      </w:tr>
      <w:tr w:rsidR="00D848EC" w:rsidRPr="00D848EC" w14:paraId="13E24BBC"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05AF8637" w14:textId="77777777" w:rsidR="00D848EC" w:rsidRPr="00D848EC" w:rsidRDefault="00D848EC" w:rsidP="00D848EC">
            <w:pPr>
              <w:rPr>
                <w:sz w:val="20"/>
              </w:rPr>
            </w:pPr>
            <w:r w:rsidRPr="00D848EC">
              <w:rPr>
                <w:sz w:val="20"/>
              </w:rPr>
              <w:t>06/01/2014</w:t>
            </w:r>
          </w:p>
        </w:tc>
        <w:tc>
          <w:tcPr>
            <w:tcW w:w="7020" w:type="dxa"/>
            <w:tcBorders>
              <w:top w:val="single" w:sz="2" w:space="0" w:color="auto"/>
              <w:left w:val="single" w:sz="2" w:space="0" w:color="auto"/>
              <w:bottom w:val="single" w:sz="2" w:space="0" w:color="auto"/>
              <w:right w:val="single" w:sz="2" w:space="0" w:color="auto"/>
            </w:tcBorders>
            <w:vAlign w:val="center"/>
            <w:hideMark/>
          </w:tcPr>
          <w:p w14:paraId="39BCB1F7"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ატმოსფერული</w:t>
            </w:r>
            <w:r w:rsidRPr="00D848EC">
              <w:rPr>
                <w:sz w:val="20"/>
              </w:rPr>
              <w:t xml:space="preserve"> </w:t>
            </w:r>
            <w:r w:rsidRPr="00D848EC">
              <w:rPr>
                <w:rFonts w:ascii="Sylfaen" w:hAnsi="Sylfaen" w:cs="Sylfaen"/>
                <w:sz w:val="20"/>
              </w:rPr>
              <w:t>ჰაერის</w:t>
            </w:r>
            <w:r w:rsidRPr="00D848EC">
              <w:rPr>
                <w:sz w:val="20"/>
              </w:rPr>
              <w:t xml:space="preserve"> </w:t>
            </w:r>
            <w:r w:rsidRPr="00D848EC">
              <w:rPr>
                <w:rFonts w:ascii="Sylfaen" w:hAnsi="Sylfaen" w:cs="Sylfaen"/>
                <w:sz w:val="20"/>
              </w:rPr>
              <w:t>დაბინძურების</w:t>
            </w:r>
            <w:r w:rsidRPr="00D848EC">
              <w:rPr>
                <w:sz w:val="20"/>
              </w:rPr>
              <w:t xml:space="preserve"> </w:t>
            </w:r>
            <w:r w:rsidRPr="00D848EC">
              <w:rPr>
                <w:rFonts w:ascii="Sylfaen" w:hAnsi="Sylfaen" w:cs="Sylfaen"/>
                <w:sz w:val="20"/>
              </w:rPr>
              <w:t>სტაციონარული</w:t>
            </w:r>
            <w:r w:rsidRPr="00D848EC">
              <w:rPr>
                <w:sz w:val="20"/>
              </w:rPr>
              <w:t xml:space="preserve"> </w:t>
            </w:r>
            <w:r w:rsidRPr="00D848EC">
              <w:rPr>
                <w:rFonts w:ascii="Sylfaen" w:hAnsi="Sylfaen" w:cs="Sylfaen"/>
                <w:sz w:val="20"/>
              </w:rPr>
              <w:t>წყაროების</w:t>
            </w:r>
            <w:r w:rsidRPr="00D848EC">
              <w:rPr>
                <w:sz w:val="20"/>
              </w:rPr>
              <w:t xml:space="preserve"> </w:t>
            </w:r>
            <w:r w:rsidRPr="00D848EC">
              <w:rPr>
                <w:rFonts w:ascii="Sylfaen" w:hAnsi="Sylfaen" w:cs="Sylfaen"/>
                <w:sz w:val="20"/>
              </w:rPr>
              <w:t>ინვენტარიზაციის</w:t>
            </w:r>
            <w:r w:rsidRPr="00D848EC">
              <w:rPr>
                <w:sz w:val="20"/>
              </w:rPr>
              <w:t xml:space="preserve"> </w:t>
            </w:r>
            <w:r w:rsidRPr="00D848EC">
              <w:rPr>
                <w:rFonts w:ascii="Sylfaen" w:hAnsi="Sylfaen" w:cs="Sylfaen"/>
                <w:sz w:val="20"/>
              </w:rPr>
              <w:t>მეთოდიკა</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№42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17041D3C" w14:textId="77777777" w:rsidR="00D848EC" w:rsidRPr="00D848EC" w:rsidRDefault="00D848EC" w:rsidP="00D848EC">
            <w:pPr>
              <w:rPr>
                <w:sz w:val="20"/>
              </w:rPr>
            </w:pPr>
            <w:r w:rsidRPr="00D848EC">
              <w:rPr>
                <w:sz w:val="20"/>
              </w:rPr>
              <w:t>300160070.10.003.017588</w:t>
            </w:r>
          </w:p>
        </w:tc>
      </w:tr>
      <w:tr w:rsidR="00D848EC" w:rsidRPr="00D848EC" w14:paraId="65A1D090"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6B8022F7" w14:textId="77777777" w:rsidR="00D848EC" w:rsidRPr="00D848EC" w:rsidRDefault="00D848EC" w:rsidP="00D848EC">
            <w:pPr>
              <w:rPr>
                <w:sz w:val="20"/>
              </w:rPr>
            </w:pPr>
            <w:r w:rsidRPr="00D848EC">
              <w:rPr>
                <w:sz w:val="20"/>
              </w:rPr>
              <w:t>03/01/2014</w:t>
            </w:r>
          </w:p>
        </w:tc>
        <w:tc>
          <w:tcPr>
            <w:tcW w:w="7020" w:type="dxa"/>
            <w:tcBorders>
              <w:top w:val="single" w:sz="2" w:space="0" w:color="auto"/>
              <w:left w:val="single" w:sz="2" w:space="0" w:color="auto"/>
              <w:bottom w:val="single" w:sz="2" w:space="0" w:color="auto"/>
              <w:right w:val="single" w:sz="2" w:space="0" w:color="auto"/>
            </w:tcBorders>
            <w:vAlign w:val="center"/>
            <w:hideMark/>
          </w:tcPr>
          <w:p w14:paraId="2DCA5C5C" w14:textId="77777777" w:rsidR="00D848EC" w:rsidRPr="00D848EC" w:rsidRDefault="00D848EC" w:rsidP="00D848EC">
            <w:pPr>
              <w:rPr>
                <w:sz w:val="20"/>
              </w:rPr>
            </w:pPr>
            <w:r w:rsidRPr="00D848EC">
              <w:rPr>
                <w:rFonts w:ascii="Sylfaen" w:hAnsi="Sylfaen" w:cs="Sylfaen"/>
                <w:sz w:val="20"/>
              </w:rPr>
              <w:t>გარემოსდაცვითი</w:t>
            </w:r>
            <w:r w:rsidRPr="00D848EC">
              <w:rPr>
                <w:sz w:val="20"/>
              </w:rPr>
              <w:t xml:space="preserve"> </w:t>
            </w: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№17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47460E5D" w14:textId="77777777" w:rsidR="00D848EC" w:rsidRPr="00D848EC" w:rsidRDefault="00D848EC" w:rsidP="00D848EC">
            <w:pPr>
              <w:rPr>
                <w:sz w:val="20"/>
              </w:rPr>
            </w:pPr>
            <w:r w:rsidRPr="00D848EC">
              <w:rPr>
                <w:sz w:val="20"/>
              </w:rPr>
              <w:t>300160070.10.003.017608</w:t>
            </w:r>
          </w:p>
        </w:tc>
      </w:tr>
      <w:tr w:rsidR="00D848EC" w:rsidRPr="00D848EC" w14:paraId="4A2C2728"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0BCB08CB" w14:textId="77777777" w:rsidR="00D848EC" w:rsidRPr="00D848EC" w:rsidRDefault="00D848EC" w:rsidP="00D848EC">
            <w:pPr>
              <w:rPr>
                <w:sz w:val="20"/>
              </w:rPr>
            </w:pPr>
            <w:r w:rsidRPr="00D848EC">
              <w:rPr>
                <w:sz w:val="20"/>
              </w:rPr>
              <w:t>14/01/2014</w:t>
            </w:r>
          </w:p>
        </w:tc>
        <w:tc>
          <w:tcPr>
            <w:tcW w:w="7020" w:type="dxa"/>
            <w:tcBorders>
              <w:top w:val="single" w:sz="2" w:space="0" w:color="auto"/>
              <w:left w:val="single" w:sz="2" w:space="0" w:color="auto"/>
              <w:bottom w:val="single" w:sz="2" w:space="0" w:color="auto"/>
              <w:right w:val="single" w:sz="2" w:space="0" w:color="auto"/>
            </w:tcBorders>
            <w:vAlign w:val="center"/>
            <w:hideMark/>
          </w:tcPr>
          <w:p w14:paraId="071D1D7B"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რეგლამენტის</w:t>
            </w:r>
            <w:r w:rsidRPr="00D848EC">
              <w:rPr>
                <w:sz w:val="20"/>
              </w:rPr>
              <w:t xml:space="preserve"> - „</w:t>
            </w:r>
            <w:r w:rsidRPr="00D848EC">
              <w:rPr>
                <w:rFonts w:ascii="Sylfaen" w:hAnsi="Sylfaen" w:cs="Sylfaen"/>
                <w:sz w:val="20"/>
              </w:rPr>
              <w:t>გარემოსთვის</w:t>
            </w:r>
            <w:r w:rsidRPr="00D848EC">
              <w:rPr>
                <w:sz w:val="20"/>
              </w:rPr>
              <w:t xml:space="preserve"> </w:t>
            </w:r>
            <w:r w:rsidRPr="00D848EC">
              <w:rPr>
                <w:rFonts w:ascii="Sylfaen" w:hAnsi="Sylfaen" w:cs="Sylfaen"/>
                <w:sz w:val="20"/>
              </w:rPr>
              <w:t>მიყენებული</w:t>
            </w:r>
            <w:r w:rsidRPr="00D848EC">
              <w:rPr>
                <w:sz w:val="20"/>
              </w:rPr>
              <w:t xml:space="preserve"> </w:t>
            </w:r>
            <w:r w:rsidRPr="00D848EC">
              <w:rPr>
                <w:rFonts w:ascii="Sylfaen" w:hAnsi="Sylfaen" w:cs="Sylfaen"/>
                <w:sz w:val="20"/>
              </w:rPr>
              <w:t>ზიანის</w:t>
            </w:r>
            <w:r w:rsidRPr="00D848EC">
              <w:rPr>
                <w:sz w:val="20"/>
              </w:rPr>
              <w:t xml:space="preserve"> </w:t>
            </w:r>
            <w:r w:rsidRPr="00D848EC">
              <w:rPr>
                <w:rFonts w:ascii="Sylfaen" w:hAnsi="Sylfaen" w:cs="Sylfaen"/>
                <w:sz w:val="20"/>
              </w:rPr>
              <w:t>განსაზღვრის</w:t>
            </w:r>
            <w:r w:rsidRPr="00D848EC">
              <w:rPr>
                <w:sz w:val="20"/>
              </w:rPr>
              <w:t xml:space="preserve"> (</w:t>
            </w:r>
            <w:r w:rsidRPr="00D848EC">
              <w:rPr>
                <w:rFonts w:ascii="Sylfaen" w:hAnsi="Sylfaen" w:cs="Sylfaen"/>
                <w:sz w:val="20"/>
              </w:rPr>
              <w:t>გამოანგარიშების</w:t>
            </w:r>
            <w:r w:rsidRPr="00D848EC">
              <w:rPr>
                <w:sz w:val="20"/>
              </w:rPr>
              <w:t xml:space="preserve">) </w:t>
            </w:r>
            <w:r w:rsidRPr="00D848EC">
              <w:rPr>
                <w:rFonts w:ascii="Sylfaen" w:hAnsi="Sylfaen" w:cs="Sylfaen"/>
                <w:sz w:val="20"/>
              </w:rPr>
              <w:t>მეთოდიკა</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№54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0300A0F9" w14:textId="77777777" w:rsidR="00D848EC" w:rsidRPr="00D848EC" w:rsidRDefault="00D848EC" w:rsidP="00D848EC">
            <w:pPr>
              <w:rPr>
                <w:sz w:val="20"/>
              </w:rPr>
            </w:pPr>
            <w:r w:rsidRPr="00D848EC">
              <w:rPr>
                <w:sz w:val="20"/>
              </w:rPr>
              <w:t>300160070.10.003.017673</w:t>
            </w:r>
          </w:p>
        </w:tc>
      </w:tr>
      <w:tr w:rsidR="00D848EC" w:rsidRPr="00D848EC" w14:paraId="29A7F71F"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1AE6F3F1" w14:textId="77777777" w:rsidR="00D848EC" w:rsidRPr="00D848EC" w:rsidRDefault="00D848EC" w:rsidP="00D848EC">
            <w:pPr>
              <w:rPr>
                <w:sz w:val="20"/>
              </w:rPr>
            </w:pPr>
            <w:r w:rsidRPr="00D848EC">
              <w:rPr>
                <w:sz w:val="20"/>
              </w:rPr>
              <w:t>31/12/2013</w:t>
            </w:r>
          </w:p>
        </w:tc>
        <w:tc>
          <w:tcPr>
            <w:tcW w:w="7020" w:type="dxa"/>
            <w:tcBorders>
              <w:top w:val="single" w:sz="2" w:space="0" w:color="auto"/>
              <w:left w:val="single" w:sz="2" w:space="0" w:color="auto"/>
              <w:bottom w:val="single" w:sz="2" w:space="0" w:color="auto"/>
              <w:right w:val="single" w:sz="2" w:space="0" w:color="auto"/>
            </w:tcBorders>
            <w:vAlign w:val="center"/>
            <w:hideMark/>
          </w:tcPr>
          <w:p w14:paraId="292916D4"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დაბინძურების</w:t>
            </w:r>
            <w:r w:rsidRPr="00D848EC">
              <w:rPr>
                <w:sz w:val="20"/>
              </w:rPr>
              <w:t xml:space="preserve"> </w:t>
            </w:r>
            <w:r w:rsidRPr="00D848EC">
              <w:rPr>
                <w:rFonts w:ascii="Sylfaen" w:hAnsi="Sylfaen" w:cs="Sylfaen"/>
                <w:sz w:val="20"/>
              </w:rPr>
              <w:t>სტაციონარული</w:t>
            </w:r>
            <w:r w:rsidRPr="00D848EC">
              <w:rPr>
                <w:sz w:val="20"/>
              </w:rPr>
              <w:t xml:space="preserve"> </w:t>
            </w:r>
            <w:r w:rsidRPr="00D848EC">
              <w:rPr>
                <w:rFonts w:ascii="Sylfaen" w:hAnsi="Sylfaen" w:cs="Sylfaen"/>
                <w:sz w:val="20"/>
              </w:rPr>
              <w:t>წყაროებიდან</w:t>
            </w:r>
            <w:r w:rsidRPr="00D848EC">
              <w:rPr>
                <w:sz w:val="20"/>
              </w:rPr>
              <w:t xml:space="preserve"> </w:t>
            </w:r>
            <w:r w:rsidRPr="00D848EC">
              <w:rPr>
                <w:rFonts w:ascii="Sylfaen" w:hAnsi="Sylfaen" w:cs="Sylfaen"/>
                <w:sz w:val="20"/>
              </w:rPr>
              <w:t>ატმოსფერულ</w:t>
            </w:r>
            <w:r w:rsidRPr="00D848EC">
              <w:rPr>
                <w:sz w:val="20"/>
              </w:rPr>
              <w:t xml:space="preserve"> </w:t>
            </w:r>
            <w:r w:rsidRPr="00D848EC">
              <w:rPr>
                <w:rFonts w:ascii="Sylfaen" w:hAnsi="Sylfaen" w:cs="Sylfaen"/>
                <w:sz w:val="20"/>
              </w:rPr>
              <w:t>ჰაერში</w:t>
            </w:r>
            <w:r w:rsidRPr="00D848EC">
              <w:rPr>
                <w:sz w:val="20"/>
              </w:rPr>
              <w:t xml:space="preserve"> </w:t>
            </w:r>
            <w:r w:rsidRPr="00D848EC">
              <w:rPr>
                <w:rFonts w:ascii="Sylfaen" w:hAnsi="Sylfaen" w:cs="Sylfaen"/>
                <w:sz w:val="20"/>
              </w:rPr>
              <w:t>გაფრქვევების</w:t>
            </w:r>
            <w:r w:rsidRPr="00D848EC">
              <w:rPr>
                <w:sz w:val="20"/>
              </w:rPr>
              <w:t xml:space="preserve"> </w:t>
            </w:r>
            <w:r w:rsidRPr="00D848EC">
              <w:rPr>
                <w:rFonts w:ascii="Sylfaen" w:hAnsi="Sylfaen" w:cs="Sylfaen"/>
                <w:sz w:val="20"/>
              </w:rPr>
              <w:t>ფაქტობრივი</w:t>
            </w:r>
            <w:r w:rsidRPr="00D848EC">
              <w:rPr>
                <w:sz w:val="20"/>
              </w:rPr>
              <w:t xml:space="preserve"> </w:t>
            </w:r>
            <w:r w:rsidRPr="00D848EC">
              <w:rPr>
                <w:rFonts w:ascii="Sylfaen" w:hAnsi="Sylfaen" w:cs="Sylfaen"/>
                <w:sz w:val="20"/>
              </w:rPr>
              <w:t>რაოდენობის</w:t>
            </w:r>
            <w:r w:rsidRPr="00D848EC">
              <w:rPr>
                <w:sz w:val="20"/>
              </w:rPr>
              <w:t xml:space="preserve"> </w:t>
            </w:r>
            <w:r w:rsidRPr="00D848EC">
              <w:rPr>
                <w:rFonts w:ascii="Sylfaen" w:hAnsi="Sylfaen" w:cs="Sylfaen"/>
                <w:sz w:val="20"/>
              </w:rPr>
              <w:t>განსაზღვრის</w:t>
            </w:r>
            <w:r w:rsidRPr="00D848EC">
              <w:rPr>
                <w:sz w:val="20"/>
              </w:rPr>
              <w:t xml:space="preserve"> </w:t>
            </w:r>
            <w:r w:rsidRPr="00D848EC">
              <w:rPr>
                <w:rFonts w:ascii="Sylfaen" w:hAnsi="Sylfaen" w:cs="Sylfaen"/>
                <w:sz w:val="20"/>
              </w:rPr>
              <w:t>ინსტრუმენტული</w:t>
            </w:r>
            <w:r w:rsidRPr="00D848EC">
              <w:rPr>
                <w:sz w:val="20"/>
              </w:rPr>
              <w:t xml:space="preserve"> </w:t>
            </w:r>
            <w:r w:rsidRPr="00D848EC">
              <w:rPr>
                <w:rFonts w:ascii="Sylfaen" w:hAnsi="Sylfaen" w:cs="Sylfaen"/>
                <w:sz w:val="20"/>
              </w:rPr>
              <w:t>მეთოდის</w:t>
            </w:r>
            <w:r w:rsidRPr="00D848EC">
              <w:rPr>
                <w:sz w:val="20"/>
              </w:rPr>
              <w:t xml:space="preserve">, </w:t>
            </w:r>
            <w:r w:rsidRPr="00D848EC">
              <w:rPr>
                <w:rFonts w:ascii="Sylfaen" w:hAnsi="Sylfaen" w:cs="Sylfaen"/>
                <w:sz w:val="20"/>
              </w:rPr>
              <w:t>დაბინძურების</w:t>
            </w:r>
            <w:r w:rsidRPr="00D848EC">
              <w:rPr>
                <w:sz w:val="20"/>
              </w:rPr>
              <w:t xml:space="preserve"> </w:t>
            </w:r>
            <w:r w:rsidRPr="00D848EC">
              <w:rPr>
                <w:rFonts w:ascii="Sylfaen" w:hAnsi="Sylfaen" w:cs="Sylfaen"/>
                <w:sz w:val="20"/>
              </w:rPr>
              <w:t>სტაციონარული</w:t>
            </w:r>
            <w:r w:rsidRPr="00D848EC">
              <w:rPr>
                <w:sz w:val="20"/>
              </w:rPr>
              <w:t xml:space="preserve"> </w:t>
            </w:r>
            <w:r w:rsidRPr="00D848EC">
              <w:rPr>
                <w:rFonts w:ascii="Sylfaen" w:hAnsi="Sylfaen" w:cs="Sylfaen"/>
                <w:sz w:val="20"/>
              </w:rPr>
              <w:t>წყაროებიდან</w:t>
            </w:r>
            <w:r w:rsidRPr="00D848EC">
              <w:rPr>
                <w:sz w:val="20"/>
              </w:rPr>
              <w:t xml:space="preserve"> </w:t>
            </w:r>
            <w:r w:rsidRPr="00D848EC">
              <w:rPr>
                <w:rFonts w:ascii="Sylfaen" w:hAnsi="Sylfaen" w:cs="Sylfaen"/>
                <w:sz w:val="20"/>
              </w:rPr>
              <w:t>ატმოსფერულ</w:t>
            </w:r>
            <w:r w:rsidRPr="00D848EC">
              <w:rPr>
                <w:sz w:val="20"/>
              </w:rPr>
              <w:t xml:space="preserve"> </w:t>
            </w:r>
            <w:r w:rsidRPr="00D848EC">
              <w:rPr>
                <w:rFonts w:ascii="Sylfaen" w:hAnsi="Sylfaen" w:cs="Sylfaen"/>
                <w:sz w:val="20"/>
              </w:rPr>
              <w:t>ჰაერში</w:t>
            </w:r>
            <w:r w:rsidRPr="00D848EC">
              <w:rPr>
                <w:sz w:val="20"/>
              </w:rPr>
              <w:t xml:space="preserve"> </w:t>
            </w:r>
            <w:r w:rsidRPr="00D848EC">
              <w:rPr>
                <w:rFonts w:ascii="Sylfaen" w:hAnsi="Sylfaen" w:cs="Sylfaen"/>
                <w:sz w:val="20"/>
              </w:rPr>
              <w:t>გაფრქვევების</w:t>
            </w:r>
            <w:r w:rsidRPr="00D848EC">
              <w:rPr>
                <w:sz w:val="20"/>
              </w:rPr>
              <w:t xml:space="preserve"> </w:t>
            </w:r>
            <w:r w:rsidRPr="00D848EC">
              <w:rPr>
                <w:rFonts w:ascii="Sylfaen" w:hAnsi="Sylfaen" w:cs="Sylfaen"/>
                <w:sz w:val="20"/>
              </w:rPr>
              <w:t>ფაქტობრივი</w:t>
            </w:r>
            <w:r w:rsidRPr="00D848EC">
              <w:rPr>
                <w:sz w:val="20"/>
              </w:rPr>
              <w:t xml:space="preserve"> </w:t>
            </w:r>
            <w:r w:rsidRPr="00D848EC">
              <w:rPr>
                <w:rFonts w:ascii="Sylfaen" w:hAnsi="Sylfaen" w:cs="Sylfaen"/>
                <w:sz w:val="20"/>
              </w:rPr>
              <w:t>რაოდენობის</w:t>
            </w:r>
            <w:r w:rsidRPr="00D848EC">
              <w:rPr>
                <w:sz w:val="20"/>
              </w:rPr>
              <w:t xml:space="preserve"> </w:t>
            </w:r>
            <w:r w:rsidRPr="00D848EC">
              <w:rPr>
                <w:rFonts w:ascii="Sylfaen" w:hAnsi="Sylfaen" w:cs="Sylfaen"/>
                <w:sz w:val="20"/>
              </w:rPr>
              <w:t>დამდგენი</w:t>
            </w:r>
            <w:r w:rsidRPr="00D848EC">
              <w:rPr>
                <w:sz w:val="20"/>
              </w:rPr>
              <w:t xml:space="preserve"> </w:t>
            </w:r>
            <w:r w:rsidRPr="00D848EC">
              <w:rPr>
                <w:rFonts w:ascii="Sylfaen" w:hAnsi="Sylfaen" w:cs="Sylfaen"/>
                <w:sz w:val="20"/>
              </w:rPr>
              <w:t>სპეციალური</w:t>
            </w:r>
            <w:r w:rsidRPr="00D848EC">
              <w:rPr>
                <w:sz w:val="20"/>
              </w:rPr>
              <w:t xml:space="preserve"> </w:t>
            </w:r>
            <w:r w:rsidRPr="00D848EC">
              <w:rPr>
                <w:rFonts w:ascii="Sylfaen" w:hAnsi="Sylfaen" w:cs="Sylfaen"/>
                <w:sz w:val="20"/>
              </w:rPr>
              <w:t>გამზომ</w:t>
            </w:r>
            <w:r w:rsidRPr="00D848EC">
              <w:rPr>
                <w:sz w:val="20"/>
              </w:rPr>
              <w:t>-</w:t>
            </w:r>
            <w:r w:rsidRPr="00D848EC">
              <w:rPr>
                <w:rFonts w:ascii="Sylfaen" w:hAnsi="Sylfaen" w:cs="Sylfaen"/>
                <w:sz w:val="20"/>
              </w:rPr>
              <w:t>საკონტროლო</w:t>
            </w:r>
            <w:r w:rsidRPr="00D848EC">
              <w:rPr>
                <w:sz w:val="20"/>
              </w:rPr>
              <w:t xml:space="preserve"> </w:t>
            </w:r>
            <w:r w:rsidRPr="00D848EC">
              <w:rPr>
                <w:rFonts w:ascii="Sylfaen" w:hAnsi="Sylfaen" w:cs="Sylfaen"/>
                <w:sz w:val="20"/>
              </w:rPr>
              <w:t>აპარატურის</w:t>
            </w:r>
            <w:r w:rsidRPr="00D848EC">
              <w:rPr>
                <w:sz w:val="20"/>
              </w:rPr>
              <w:t xml:space="preserve"> </w:t>
            </w:r>
            <w:r w:rsidRPr="00D848EC">
              <w:rPr>
                <w:rFonts w:ascii="Sylfaen" w:hAnsi="Sylfaen" w:cs="Sylfaen"/>
                <w:sz w:val="20"/>
              </w:rPr>
              <w:t>სტანდარტული</w:t>
            </w:r>
            <w:r w:rsidRPr="00D848EC">
              <w:rPr>
                <w:sz w:val="20"/>
              </w:rPr>
              <w:t xml:space="preserve"> </w:t>
            </w:r>
            <w:r w:rsidRPr="00D848EC">
              <w:rPr>
                <w:rFonts w:ascii="Sylfaen" w:hAnsi="Sylfaen" w:cs="Sylfaen"/>
                <w:sz w:val="20"/>
              </w:rPr>
              <w:t>ჩამონათვალისა</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დაბინძურების</w:t>
            </w:r>
            <w:r w:rsidRPr="00D848EC">
              <w:rPr>
                <w:sz w:val="20"/>
              </w:rPr>
              <w:t xml:space="preserve"> </w:t>
            </w:r>
            <w:r w:rsidRPr="00D848EC">
              <w:rPr>
                <w:rFonts w:ascii="Sylfaen" w:hAnsi="Sylfaen" w:cs="Sylfaen"/>
                <w:sz w:val="20"/>
              </w:rPr>
              <w:t>სტაციონარული</w:t>
            </w:r>
            <w:r w:rsidRPr="00D848EC">
              <w:rPr>
                <w:sz w:val="20"/>
              </w:rPr>
              <w:t xml:space="preserve"> </w:t>
            </w:r>
            <w:r w:rsidRPr="00D848EC">
              <w:rPr>
                <w:rFonts w:ascii="Sylfaen" w:hAnsi="Sylfaen" w:cs="Sylfaen"/>
                <w:sz w:val="20"/>
              </w:rPr>
              <w:t>წყაროებიდან</w:t>
            </w:r>
            <w:r w:rsidRPr="00D848EC">
              <w:rPr>
                <w:sz w:val="20"/>
              </w:rPr>
              <w:t xml:space="preserve"> </w:t>
            </w:r>
            <w:r w:rsidRPr="00D848EC">
              <w:rPr>
                <w:rFonts w:ascii="Sylfaen" w:hAnsi="Sylfaen" w:cs="Sylfaen"/>
                <w:sz w:val="20"/>
              </w:rPr>
              <w:t>ტექნოლოგიური</w:t>
            </w:r>
            <w:r w:rsidRPr="00D848EC">
              <w:rPr>
                <w:sz w:val="20"/>
              </w:rPr>
              <w:t xml:space="preserve"> </w:t>
            </w:r>
            <w:r w:rsidRPr="00D848EC">
              <w:rPr>
                <w:rFonts w:ascii="Sylfaen" w:hAnsi="Sylfaen" w:cs="Sylfaen"/>
                <w:sz w:val="20"/>
              </w:rPr>
              <w:t>პროცესების</w:t>
            </w:r>
            <w:r w:rsidRPr="00D848EC">
              <w:rPr>
                <w:sz w:val="20"/>
              </w:rPr>
              <w:t xml:space="preserve"> </w:t>
            </w:r>
            <w:r w:rsidRPr="00D848EC">
              <w:rPr>
                <w:rFonts w:ascii="Sylfaen" w:hAnsi="Sylfaen" w:cs="Sylfaen"/>
                <w:sz w:val="20"/>
              </w:rPr>
              <w:t>მიხედვით</w:t>
            </w:r>
            <w:r w:rsidRPr="00D848EC">
              <w:rPr>
                <w:sz w:val="20"/>
              </w:rPr>
              <w:t xml:space="preserve"> </w:t>
            </w:r>
            <w:r w:rsidRPr="00D848EC">
              <w:rPr>
                <w:rFonts w:ascii="Sylfaen" w:hAnsi="Sylfaen" w:cs="Sylfaen"/>
                <w:sz w:val="20"/>
              </w:rPr>
              <w:t>ატმოსფერულ</w:t>
            </w:r>
            <w:r w:rsidRPr="00D848EC">
              <w:rPr>
                <w:sz w:val="20"/>
              </w:rPr>
              <w:t xml:space="preserve"> </w:t>
            </w:r>
            <w:r w:rsidRPr="00D848EC">
              <w:rPr>
                <w:rFonts w:ascii="Sylfaen" w:hAnsi="Sylfaen" w:cs="Sylfaen"/>
                <w:sz w:val="20"/>
              </w:rPr>
              <w:t>ჰაერში</w:t>
            </w:r>
            <w:r w:rsidRPr="00D848EC">
              <w:rPr>
                <w:sz w:val="20"/>
              </w:rPr>
              <w:t xml:space="preserve"> </w:t>
            </w:r>
            <w:r w:rsidRPr="00D848EC">
              <w:rPr>
                <w:rFonts w:ascii="Sylfaen" w:hAnsi="Sylfaen" w:cs="Sylfaen"/>
                <w:sz w:val="20"/>
              </w:rPr>
              <w:t>გაფრქვევების</w:t>
            </w:r>
            <w:r w:rsidRPr="00D848EC">
              <w:rPr>
                <w:sz w:val="20"/>
              </w:rPr>
              <w:t xml:space="preserve"> </w:t>
            </w:r>
            <w:r w:rsidRPr="00D848EC">
              <w:rPr>
                <w:rFonts w:ascii="Sylfaen" w:hAnsi="Sylfaen" w:cs="Sylfaen"/>
                <w:sz w:val="20"/>
              </w:rPr>
              <w:t>ფაქტობრივი</w:t>
            </w:r>
            <w:r w:rsidRPr="00D848EC">
              <w:rPr>
                <w:sz w:val="20"/>
              </w:rPr>
              <w:t xml:space="preserve"> </w:t>
            </w:r>
            <w:r w:rsidRPr="00D848EC">
              <w:rPr>
                <w:rFonts w:ascii="Sylfaen" w:hAnsi="Sylfaen" w:cs="Sylfaen"/>
                <w:sz w:val="20"/>
              </w:rPr>
              <w:t>რაოდენობის</w:t>
            </w:r>
            <w:r w:rsidRPr="00D848EC">
              <w:rPr>
                <w:sz w:val="20"/>
              </w:rPr>
              <w:t xml:space="preserve"> </w:t>
            </w:r>
            <w:r w:rsidRPr="00D848EC">
              <w:rPr>
                <w:rFonts w:ascii="Sylfaen" w:hAnsi="Sylfaen" w:cs="Sylfaen"/>
                <w:sz w:val="20"/>
              </w:rPr>
              <w:t>საანგარიშო</w:t>
            </w:r>
            <w:r w:rsidRPr="00D848EC">
              <w:rPr>
                <w:sz w:val="20"/>
              </w:rPr>
              <w:t xml:space="preserve"> </w:t>
            </w:r>
            <w:r w:rsidRPr="00D848EC">
              <w:rPr>
                <w:rFonts w:ascii="Sylfaen" w:hAnsi="Sylfaen" w:cs="Sylfaen"/>
                <w:sz w:val="20"/>
              </w:rPr>
              <w:t>მეთოდიკა</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№435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285D9849" w14:textId="77777777" w:rsidR="00D848EC" w:rsidRPr="00D848EC" w:rsidRDefault="00D848EC" w:rsidP="00D848EC">
            <w:pPr>
              <w:rPr>
                <w:sz w:val="20"/>
              </w:rPr>
            </w:pPr>
            <w:r w:rsidRPr="00D848EC">
              <w:rPr>
                <w:sz w:val="20"/>
              </w:rPr>
              <w:t>300160070.10.003.017660</w:t>
            </w:r>
          </w:p>
        </w:tc>
      </w:tr>
      <w:tr w:rsidR="00D848EC" w:rsidRPr="00D848EC" w14:paraId="72B30E74"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2BC0287F" w14:textId="77777777" w:rsidR="00D848EC" w:rsidRPr="00D848EC" w:rsidRDefault="00D848EC" w:rsidP="00D848EC">
            <w:pPr>
              <w:rPr>
                <w:sz w:val="20"/>
              </w:rPr>
            </w:pPr>
            <w:r w:rsidRPr="00D848EC">
              <w:rPr>
                <w:sz w:val="20"/>
              </w:rPr>
              <w:t>31/12/2013</w:t>
            </w:r>
          </w:p>
        </w:tc>
        <w:tc>
          <w:tcPr>
            <w:tcW w:w="7020" w:type="dxa"/>
            <w:tcBorders>
              <w:top w:val="single" w:sz="2" w:space="0" w:color="auto"/>
              <w:left w:val="single" w:sz="2" w:space="0" w:color="auto"/>
              <w:bottom w:val="single" w:sz="2" w:space="0" w:color="auto"/>
              <w:right w:val="single" w:sz="2" w:space="0" w:color="auto"/>
            </w:tcBorders>
            <w:vAlign w:val="center"/>
            <w:hideMark/>
          </w:tcPr>
          <w:p w14:paraId="05DE4783"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თევზჭერისა</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თევზის</w:t>
            </w:r>
            <w:r w:rsidRPr="00D848EC">
              <w:rPr>
                <w:sz w:val="20"/>
              </w:rPr>
              <w:t xml:space="preserve"> </w:t>
            </w:r>
            <w:r w:rsidRPr="00D848EC">
              <w:rPr>
                <w:rFonts w:ascii="Sylfaen" w:hAnsi="Sylfaen" w:cs="Sylfaen"/>
                <w:sz w:val="20"/>
              </w:rPr>
              <w:t>მარაგის</w:t>
            </w:r>
            <w:r w:rsidRPr="00D848EC">
              <w:rPr>
                <w:sz w:val="20"/>
              </w:rPr>
              <w:t xml:space="preserve"> </w:t>
            </w:r>
            <w:r w:rsidRPr="00D848EC">
              <w:rPr>
                <w:rFonts w:ascii="Sylfaen" w:hAnsi="Sylfaen" w:cs="Sylfaen"/>
                <w:sz w:val="20"/>
              </w:rPr>
              <w:t>დაცვის</w:t>
            </w:r>
            <w:r w:rsidRPr="00D848EC">
              <w:rPr>
                <w:sz w:val="20"/>
              </w:rPr>
              <w:t xml:space="preserve"> </w:t>
            </w:r>
            <w:r w:rsidRPr="00D848EC">
              <w:rPr>
                <w:rFonts w:ascii="Sylfaen" w:hAnsi="Sylfaen" w:cs="Sylfaen"/>
                <w:sz w:val="20"/>
              </w:rPr>
              <w:t>შესახებ</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№423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3B6A28FC" w14:textId="77777777" w:rsidR="00D848EC" w:rsidRPr="00D848EC" w:rsidRDefault="00D848EC" w:rsidP="00D848EC">
            <w:pPr>
              <w:rPr>
                <w:sz w:val="20"/>
              </w:rPr>
            </w:pPr>
            <w:r w:rsidRPr="00D848EC">
              <w:rPr>
                <w:sz w:val="20"/>
              </w:rPr>
              <w:t>300160070.10.003.017645</w:t>
            </w:r>
          </w:p>
        </w:tc>
      </w:tr>
      <w:tr w:rsidR="00D848EC" w:rsidRPr="00D848EC" w14:paraId="123F3A9D"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5A3E8036" w14:textId="77777777" w:rsidR="00D848EC" w:rsidRPr="00D848EC" w:rsidRDefault="00D848EC" w:rsidP="00D848EC">
            <w:pPr>
              <w:rPr>
                <w:sz w:val="20"/>
              </w:rPr>
            </w:pPr>
            <w:r w:rsidRPr="00D848EC">
              <w:rPr>
                <w:sz w:val="20"/>
              </w:rPr>
              <w:t>31/12/2013</w:t>
            </w:r>
          </w:p>
        </w:tc>
        <w:tc>
          <w:tcPr>
            <w:tcW w:w="7020" w:type="dxa"/>
            <w:tcBorders>
              <w:top w:val="single" w:sz="2" w:space="0" w:color="auto"/>
              <w:left w:val="single" w:sz="2" w:space="0" w:color="auto"/>
              <w:bottom w:val="single" w:sz="2" w:space="0" w:color="auto"/>
              <w:right w:val="single" w:sz="2" w:space="0" w:color="auto"/>
            </w:tcBorders>
            <w:vAlign w:val="center"/>
            <w:hideMark/>
          </w:tcPr>
          <w:p w14:paraId="2AC96C10"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კარიერების</w:t>
            </w:r>
            <w:r w:rsidRPr="00D848EC">
              <w:rPr>
                <w:sz w:val="20"/>
              </w:rPr>
              <w:t xml:space="preserve"> </w:t>
            </w:r>
            <w:r w:rsidRPr="00D848EC">
              <w:rPr>
                <w:rFonts w:ascii="Sylfaen" w:hAnsi="Sylfaen" w:cs="Sylfaen"/>
                <w:sz w:val="20"/>
              </w:rPr>
              <w:t>უსაფრთხოების</w:t>
            </w:r>
            <w:r w:rsidRPr="00D848EC">
              <w:rPr>
                <w:sz w:val="20"/>
              </w:rPr>
              <w:t xml:space="preserve"> </w:t>
            </w:r>
            <w:r w:rsidRPr="00D848EC">
              <w:rPr>
                <w:rFonts w:ascii="Sylfaen" w:hAnsi="Sylfaen" w:cs="Sylfaen"/>
                <w:sz w:val="20"/>
              </w:rPr>
              <w:t>შესახებ</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№450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0C43707E" w14:textId="77777777" w:rsidR="00D848EC" w:rsidRPr="00D848EC" w:rsidRDefault="00D848EC" w:rsidP="00D848EC">
            <w:pPr>
              <w:rPr>
                <w:sz w:val="20"/>
              </w:rPr>
            </w:pPr>
            <w:r w:rsidRPr="00D848EC">
              <w:rPr>
                <w:sz w:val="20"/>
              </w:rPr>
              <w:t>300160070.10.003.017633</w:t>
            </w:r>
          </w:p>
        </w:tc>
      </w:tr>
      <w:tr w:rsidR="00D848EC" w:rsidRPr="00D848EC" w14:paraId="15A1218E"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1EB84C4A" w14:textId="77777777" w:rsidR="00D848EC" w:rsidRPr="00D848EC" w:rsidRDefault="00D848EC" w:rsidP="00D848EC">
            <w:pPr>
              <w:rPr>
                <w:sz w:val="20"/>
              </w:rPr>
            </w:pPr>
            <w:r w:rsidRPr="00D848EC">
              <w:rPr>
                <w:sz w:val="20"/>
              </w:rPr>
              <w:t>31/12/2013</w:t>
            </w:r>
          </w:p>
        </w:tc>
        <w:tc>
          <w:tcPr>
            <w:tcW w:w="7020" w:type="dxa"/>
            <w:tcBorders>
              <w:top w:val="single" w:sz="2" w:space="0" w:color="auto"/>
              <w:left w:val="single" w:sz="2" w:space="0" w:color="auto"/>
              <w:bottom w:val="single" w:sz="2" w:space="0" w:color="auto"/>
              <w:right w:val="single" w:sz="2" w:space="0" w:color="auto"/>
            </w:tcBorders>
            <w:vAlign w:val="center"/>
            <w:hideMark/>
          </w:tcPr>
          <w:p w14:paraId="1F536FA7"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ნიადაგის</w:t>
            </w:r>
            <w:r w:rsidRPr="00D848EC">
              <w:rPr>
                <w:sz w:val="20"/>
              </w:rPr>
              <w:t xml:space="preserve"> </w:t>
            </w:r>
            <w:r w:rsidRPr="00D848EC">
              <w:rPr>
                <w:rFonts w:ascii="Sylfaen" w:hAnsi="Sylfaen" w:cs="Sylfaen"/>
                <w:sz w:val="20"/>
              </w:rPr>
              <w:t>ნაყოფიერების</w:t>
            </w:r>
            <w:r w:rsidRPr="00D848EC">
              <w:rPr>
                <w:sz w:val="20"/>
              </w:rPr>
              <w:t xml:space="preserve"> </w:t>
            </w:r>
            <w:r w:rsidRPr="00D848EC">
              <w:rPr>
                <w:rFonts w:ascii="Sylfaen" w:hAnsi="Sylfaen" w:cs="Sylfaen"/>
                <w:sz w:val="20"/>
              </w:rPr>
              <w:t>დონის</w:t>
            </w:r>
            <w:r w:rsidRPr="00D848EC">
              <w:rPr>
                <w:sz w:val="20"/>
              </w:rPr>
              <w:t xml:space="preserve"> </w:t>
            </w:r>
            <w:r w:rsidRPr="00D848EC">
              <w:rPr>
                <w:rFonts w:ascii="Sylfaen" w:hAnsi="Sylfaen" w:cs="Sylfaen"/>
                <w:sz w:val="20"/>
              </w:rPr>
              <w:t>განსაზღვრის</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ნიადაგის</w:t>
            </w:r>
            <w:r w:rsidRPr="00D848EC">
              <w:rPr>
                <w:sz w:val="20"/>
              </w:rPr>
              <w:t xml:space="preserve"> </w:t>
            </w:r>
            <w:r w:rsidRPr="00D848EC">
              <w:rPr>
                <w:rFonts w:ascii="Sylfaen" w:hAnsi="Sylfaen" w:cs="Sylfaen"/>
                <w:sz w:val="20"/>
              </w:rPr>
              <w:t>კონსერვაციისა</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ნაყოფიერების</w:t>
            </w:r>
            <w:r w:rsidRPr="00D848EC">
              <w:rPr>
                <w:sz w:val="20"/>
              </w:rPr>
              <w:t xml:space="preserve"> </w:t>
            </w:r>
            <w:r w:rsidRPr="00D848EC">
              <w:rPr>
                <w:rFonts w:ascii="Sylfaen" w:hAnsi="Sylfaen" w:cs="Sylfaen"/>
                <w:sz w:val="20"/>
              </w:rPr>
              <w:t>მონიტორიგის</w:t>
            </w:r>
            <w:r w:rsidRPr="00D848EC">
              <w:rPr>
                <w:sz w:val="20"/>
              </w:rPr>
              <w:t xml:space="preserve">” </w:t>
            </w:r>
            <w:r w:rsidRPr="00D848EC">
              <w:rPr>
                <w:rFonts w:ascii="Sylfaen" w:hAnsi="Sylfaen" w:cs="Sylfaen"/>
                <w:sz w:val="20"/>
              </w:rPr>
              <w:t>დებულებები</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№415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5EEF190E" w14:textId="77777777" w:rsidR="00D848EC" w:rsidRPr="00D848EC" w:rsidRDefault="00D848EC" w:rsidP="00D848EC">
            <w:pPr>
              <w:rPr>
                <w:sz w:val="20"/>
              </w:rPr>
            </w:pPr>
            <w:r w:rsidRPr="00D848EC">
              <w:rPr>
                <w:sz w:val="20"/>
              </w:rPr>
              <w:t>300160070.10.003.017618</w:t>
            </w:r>
          </w:p>
        </w:tc>
      </w:tr>
      <w:tr w:rsidR="00D848EC" w:rsidRPr="00D848EC" w14:paraId="19FBDA63"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6190F48A" w14:textId="77777777" w:rsidR="00D848EC" w:rsidRPr="00D848EC" w:rsidRDefault="00D848EC" w:rsidP="00D848EC">
            <w:pPr>
              <w:rPr>
                <w:sz w:val="20"/>
              </w:rPr>
            </w:pPr>
            <w:r w:rsidRPr="00D848EC">
              <w:rPr>
                <w:sz w:val="20"/>
              </w:rPr>
              <w:t>31/12/2013</w:t>
            </w:r>
          </w:p>
        </w:tc>
        <w:tc>
          <w:tcPr>
            <w:tcW w:w="7020" w:type="dxa"/>
            <w:tcBorders>
              <w:top w:val="single" w:sz="2" w:space="0" w:color="auto"/>
              <w:left w:val="single" w:sz="2" w:space="0" w:color="auto"/>
              <w:bottom w:val="single" w:sz="2" w:space="0" w:color="auto"/>
              <w:right w:val="single" w:sz="2" w:space="0" w:color="auto"/>
            </w:tcBorders>
            <w:vAlign w:val="center"/>
            <w:hideMark/>
          </w:tcPr>
          <w:p w14:paraId="11023591"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ნიადაგის</w:t>
            </w:r>
            <w:r w:rsidRPr="00D848EC">
              <w:rPr>
                <w:sz w:val="20"/>
              </w:rPr>
              <w:t xml:space="preserve"> </w:t>
            </w:r>
            <w:r w:rsidRPr="00D848EC">
              <w:rPr>
                <w:rFonts w:ascii="Sylfaen" w:hAnsi="Sylfaen" w:cs="Sylfaen"/>
                <w:sz w:val="20"/>
              </w:rPr>
              <w:t>ნაყოფიერი</w:t>
            </w:r>
            <w:r w:rsidRPr="00D848EC">
              <w:rPr>
                <w:sz w:val="20"/>
              </w:rPr>
              <w:t xml:space="preserve"> </w:t>
            </w:r>
            <w:r w:rsidRPr="00D848EC">
              <w:rPr>
                <w:rFonts w:ascii="Sylfaen" w:hAnsi="Sylfaen" w:cs="Sylfaen"/>
                <w:sz w:val="20"/>
              </w:rPr>
              <w:t>ფენის</w:t>
            </w:r>
            <w:r w:rsidRPr="00D848EC">
              <w:rPr>
                <w:sz w:val="20"/>
              </w:rPr>
              <w:t xml:space="preserve"> </w:t>
            </w:r>
            <w:r w:rsidRPr="00D848EC">
              <w:rPr>
                <w:rFonts w:ascii="Sylfaen" w:hAnsi="Sylfaen" w:cs="Sylfaen"/>
                <w:sz w:val="20"/>
              </w:rPr>
              <w:t>მოხსნის</w:t>
            </w:r>
            <w:r w:rsidRPr="00D848EC">
              <w:rPr>
                <w:sz w:val="20"/>
              </w:rPr>
              <w:t xml:space="preserve">, </w:t>
            </w:r>
            <w:r w:rsidRPr="00D848EC">
              <w:rPr>
                <w:rFonts w:ascii="Sylfaen" w:hAnsi="Sylfaen" w:cs="Sylfaen"/>
                <w:sz w:val="20"/>
              </w:rPr>
              <w:t>შენახვის</w:t>
            </w:r>
            <w:r w:rsidRPr="00D848EC">
              <w:rPr>
                <w:sz w:val="20"/>
              </w:rPr>
              <w:t xml:space="preserve">, </w:t>
            </w:r>
            <w:r w:rsidRPr="00D848EC">
              <w:rPr>
                <w:rFonts w:ascii="Sylfaen" w:hAnsi="Sylfaen" w:cs="Sylfaen"/>
                <w:sz w:val="20"/>
              </w:rPr>
              <w:t>გამოყენებისა</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რეკულტივაციის</w:t>
            </w:r>
            <w:r w:rsidRPr="00D848EC">
              <w:rPr>
                <w:sz w:val="20"/>
              </w:rPr>
              <w:t xml:space="preserve"> </w:t>
            </w:r>
            <w:r w:rsidRPr="00D848EC">
              <w:rPr>
                <w:rFonts w:ascii="Sylfaen" w:hAnsi="Sylfaen" w:cs="Sylfaen"/>
                <w:sz w:val="20"/>
              </w:rPr>
              <w:t>შესახებ</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№424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1CCDB094" w14:textId="77777777" w:rsidR="00D848EC" w:rsidRPr="00D848EC" w:rsidRDefault="00D848EC" w:rsidP="00D848EC">
            <w:pPr>
              <w:rPr>
                <w:sz w:val="20"/>
              </w:rPr>
            </w:pPr>
            <w:r w:rsidRPr="00D848EC">
              <w:rPr>
                <w:sz w:val="20"/>
              </w:rPr>
              <w:t>300160070.10.003.017647</w:t>
            </w:r>
          </w:p>
        </w:tc>
      </w:tr>
      <w:tr w:rsidR="00D848EC" w:rsidRPr="00D848EC" w14:paraId="67839733"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6DF5B96A" w14:textId="77777777" w:rsidR="00D848EC" w:rsidRPr="00D848EC" w:rsidRDefault="00D848EC" w:rsidP="00D848EC">
            <w:pPr>
              <w:rPr>
                <w:sz w:val="20"/>
              </w:rPr>
            </w:pPr>
            <w:r w:rsidRPr="00D848EC">
              <w:rPr>
                <w:sz w:val="20"/>
              </w:rPr>
              <w:lastRenderedPageBreak/>
              <w:t>15/01/2014</w:t>
            </w:r>
          </w:p>
        </w:tc>
        <w:tc>
          <w:tcPr>
            <w:tcW w:w="7020" w:type="dxa"/>
            <w:tcBorders>
              <w:top w:val="single" w:sz="2" w:space="0" w:color="auto"/>
              <w:left w:val="single" w:sz="2" w:space="0" w:color="auto"/>
              <w:bottom w:val="single" w:sz="2" w:space="0" w:color="auto"/>
              <w:right w:val="single" w:sz="2" w:space="0" w:color="auto"/>
            </w:tcBorders>
            <w:vAlign w:val="center"/>
            <w:hideMark/>
          </w:tcPr>
          <w:p w14:paraId="06D71338"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სამუშაო</w:t>
            </w:r>
            <w:r w:rsidRPr="00D848EC">
              <w:rPr>
                <w:sz w:val="20"/>
              </w:rPr>
              <w:t xml:space="preserve"> </w:t>
            </w:r>
            <w:r w:rsidRPr="00D848EC">
              <w:rPr>
                <w:rFonts w:ascii="Sylfaen" w:hAnsi="Sylfaen" w:cs="Sylfaen"/>
                <w:sz w:val="20"/>
              </w:rPr>
              <w:t>ზონის</w:t>
            </w:r>
            <w:r w:rsidRPr="00D848EC">
              <w:rPr>
                <w:sz w:val="20"/>
              </w:rPr>
              <w:t xml:space="preserve"> </w:t>
            </w:r>
            <w:r w:rsidRPr="00D848EC">
              <w:rPr>
                <w:rFonts w:ascii="Sylfaen" w:hAnsi="Sylfaen" w:cs="Sylfaen"/>
                <w:sz w:val="20"/>
              </w:rPr>
              <w:t>ჰაერში</w:t>
            </w:r>
            <w:r w:rsidRPr="00D848EC">
              <w:rPr>
                <w:sz w:val="20"/>
              </w:rPr>
              <w:t xml:space="preserve"> </w:t>
            </w:r>
            <w:r w:rsidRPr="00D848EC">
              <w:rPr>
                <w:rFonts w:ascii="Sylfaen" w:hAnsi="Sylfaen" w:cs="Sylfaen"/>
                <w:sz w:val="20"/>
              </w:rPr>
              <w:t>მავნე</w:t>
            </w:r>
            <w:r w:rsidRPr="00D848EC">
              <w:rPr>
                <w:sz w:val="20"/>
              </w:rPr>
              <w:t xml:space="preserve"> </w:t>
            </w:r>
            <w:r w:rsidRPr="00D848EC">
              <w:rPr>
                <w:rFonts w:ascii="Sylfaen" w:hAnsi="Sylfaen" w:cs="Sylfaen"/>
                <w:sz w:val="20"/>
              </w:rPr>
              <w:t>ნივთიერებების</w:t>
            </w:r>
            <w:r w:rsidRPr="00D848EC">
              <w:rPr>
                <w:sz w:val="20"/>
              </w:rPr>
              <w:t xml:space="preserve"> </w:t>
            </w:r>
            <w:r w:rsidRPr="00D848EC">
              <w:rPr>
                <w:rFonts w:ascii="Sylfaen" w:hAnsi="Sylfaen" w:cs="Sylfaen"/>
                <w:sz w:val="20"/>
              </w:rPr>
              <w:t>შემცველობის</w:t>
            </w:r>
            <w:r w:rsidRPr="00D848EC">
              <w:rPr>
                <w:sz w:val="20"/>
              </w:rPr>
              <w:t xml:space="preserve"> </w:t>
            </w:r>
            <w:r w:rsidRPr="00D848EC">
              <w:rPr>
                <w:rFonts w:ascii="Sylfaen" w:hAnsi="Sylfaen" w:cs="Sylfaen"/>
                <w:sz w:val="20"/>
              </w:rPr>
              <w:t>ზღვრულად</w:t>
            </w:r>
            <w:r w:rsidRPr="00D848EC">
              <w:rPr>
                <w:sz w:val="20"/>
              </w:rPr>
              <w:t xml:space="preserve"> </w:t>
            </w:r>
            <w:r w:rsidRPr="00D848EC">
              <w:rPr>
                <w:rFonts w:ascii="Sylfaen" w:hAnsi="Sylfaen" w:cs="Sylfaen"/>
                <w:sz w:val="20"/>
              </w:rPr>
              <w:t>დასაშვები</w:t>
            </w:r>
            <w:r w:rsidRPr="00D848EC">
              <w:rPr>
                <w:sz w:val="20"/>
              </w:rPr>
              <w:t xml:space="preserve"> </w:t>
            </w:r>
            <w:r w:rsidRPr="00D848EC">
              <w:rPr>
                <w:rFonts w:ascii="Sylfaen" w:hAnsi="Sylfaen" w:cs="Sylfaen"/>
                <w:sz w:val="20"/>
              </w:rPr>
              <w:t>კონცენტრაციების</w:t>
            </w:r>
            <w:r w:rsidRPr="00D848EC">
              <w:rPr>
                <w:sz w:val="20"/>
              </w:rPr>
              <w:t xml:space="preserve"> </w:t>
            </w:r>
            <w:r w:rsidRPr="00D848EC">
              <w:rPr>
                <w:rFonts w:ascii="Sylfaen" w:hAnsi="Sylfaen" w:cs="Sylfaen"/>
                <w:sz w:val="20"/>
              </w:rPr>
              <w:t>შესახებ</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№70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0408FAA1" w14:textId="77777777" w:rsidR="00D848EC" w:rsidRPr="00D848EC" w:rsidRDefault="00D848EC" w:rsidP="00D848EC">
            <w:pPr>
              <w:rPr>
                <w:sz w:val="20"/>
              </w:rPr>
            </w:pPr>
            <w:r w:rsidRPr="00D848EC">
              <w:rPr>
                <w:sz w:val="20"/>
              </w:rPr>
              <w:t>300160070.10.003.017688</w:t>
            </w:r>
          </w:p>
        </w:tc>
      </w:tr>
      <w:tr w:rsidR="00D848EC" w:rsidRPr="00D848EC" w14:paraId="632F72A8"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3E4C7FE1" w14:textId="77777777" w:rsidR="00D848EC" w:rsidRPr="00D848EC" w:rsidRDefault="00D848EC" w:rsidP="00D848EC">
            <w:pPr>
              <w:rPr>
                <w:sz w:val="20"/>
              </w:rPr>
            </w:pPr>
            <w:r w:rsidRPr="00D848EC">
              <w:rPr>
                <w:sz w:val="20"/>
              </w:rPr>
              <w:t>15/01/2014</w:t>
            </w:r>
          </w:p>
        </w:tc>
        <w:tc>
          <w:tcPr>
            <w:tcW w:w="7020" w:type="dxa"/>
            <w:tcBorders>
              <w:top w:val="single" w:sz="2" w:space="0" w:color="auto"/>
              <w:left w:val="single" w:sz="2" w:space="0" w:color="auto"/>
              <w:bottom w:val="single" w:sz="2" w:space="0" w:color="auto"/>
              <w:right w:val="single" w:sz="2" w:space="0" w:color="auto"/>
            </w:tcBorders>
            <w:vAlign w:val="center"/>
            <w:hideMark/>
          </w:tcPr>
          <w:p w14:paraId="17D2BA59"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სასმელი</w:t>
            </w:r>
            <w:r w:rsidRPr="00D848EC">
              <w:rPr>
                <w:sz w:val="20"/>
              </w:rPr>
              <w:t xml:space="preserve"> </w:t>
            </w:r>
            <w:r w:rsidRPr="00D848EC">
              <w:rPr>
                <w:rFonts w:ascii="Sylfaen" w:hAnsi="Sylfaen" w:cs="Sylfaen"/>
                <w:sz w:val="20"/>
              </w:rPr>
              <w:t>წყლის</w:t>
            </w:r>
            <w:r w:rsidRPr="00D848EC">
              <w:rPr>
                <w:sz w:val="20"/>
              </w:rPr>
              <w:t xml:space="preserve"> </w:t>
            </w:r>
            <w:r w:rsidRPr="00D848EC">
              <w:rPr>
                <w:rFonts w:ascii="Sylfaen" w:hAnsi="Sylfaen" w:cs="Sylfaen"/>
                <w:sz w:val="20"/>
              </w:rPr>
              <w:t>შესახებ</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№58 </w:t>
            </w:r>
            <w:r w:rsidRPr="00D848EC">
              <w:rPr>
                <w:rFonts w:ascii="Sylfaen" w:hAnsi="Sylfaen" w:cs="Sylfaen"/>
                <w:sz w:val="20"/>
              </w:rPr>
              <w:t>დადგენილებით</w:t>
            </w:r>
            <w:r w:rsidRPr="00D848EC">
              <w:rPr>
                <w:sz w:val="20"/>
              </w:rPr>
              <w:t xml:space="preserve">. </w:t>
            </w:r>
          </w:p>
        </w:tc>
        <w:tc>
          <w:tcPr>
            <w:tcW w:w="2396" w:type="dxa"/>
            <w:tcBorders>
              <w:top w:val="single" w:sz="2" w:space="0" w:color="auto"/>
              <w:left w:val="single" w:sz="2" w:space="0" w:color="auto"/>
              <w:bottom w:val="single" w:sz="2" w:space="0" w:color="auto"/>
              <w:right w:val="single" w:sz="2" w:space="0" w:color="auto"/>
            </w:tcBorders>
            <w:vAlign w:val="center"/>
            <w:hideMark/>
          </w:tcPr>
          <w:p w14:paraId="0A43B97C" w14:textId="77777777" w:rsidR="00D848EC" w:rsidRPr="00D848EC" w:rsidRDefault="00D848EC" w:rsidP="00D848EC">
            <w:pPr>
              <w:rPr>
                <w:sz w:val="20"/>
              </w:rPr>
            </w:pPr>
            <w:r w:rsidRPr="00D848EC">
              <w:rPr>
                <w:sz w:val="20"/>
              </w:rPr>
              <w:t>300160070.10.003.017676</w:t>
            </w:r>
          </w:p>
        </w:tc>
      </w:tr>
      <w:tr w:rsidR="00D848EC" w:rsidRPr="00D848EC" w14:paraId="7840B697"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2E4E821B" w14:textId="77777777" w:rsidR="00D848EC" w:rsidRPr="00D848EC" w:rsidRDefault="00D848EC" w:rsidP="00D848EC">
            <w:pPr>
              <w:rPr>
                <w:sz w:val="20"/>
              </w:rPr>
            </w:pPr>
            <w:r w:rsidRPr="00D848EC">
              <w:rPr>
                <w:sz w:val="20"/>
              </w:rPr>
              <w:t>31/12/2013</w:t>
            </w:r>
          </w:p>
        </w:tc>
        <w:tc>
          <w:tcPr>
            <w:tcW w:w="7020" w:type="dxa"/>
            <w:tcBorders>
              <w:top w:val="single" w:sz="2" w:space="0" w:color="auto"/>
              <w:left w:val="single" w:sz="2" w:space="0" w:color="auto"/>
              <w:bottom w:val="single" w:sz="2" w:space="0" w:color="auto"/>
              <w:right w:val="single" w:sz="2" w:space="0" w:color="auto"/>
            </w:tcBorders>
            <w:vAlign w:val="center"/>
            <w:hideMark/>
          </w:tcPr>
          <w:p w14:paraId="14E20EF1"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მცირე</w:t>
            </w:r>
            <w:r w:rsidRPr="00D848EC">
              <w:rPr>
                <w:sz w:val="20"/>
              </w:rPr>
              <w:t xml:space="preserve"> </w:t>
            </w:r>
            <w:r w:rsidRPr="00D848EC">
              <w:rPr>
                <w:rFonts w:ascii="Sylfaen" w:hAnsi="Sylfaen" w:cs="Sylfaen"/>
                <w:sz w:val="20"/>
              </w:rPr>
              <w:t>მდინარეების</w:t>
            </w:r>
            <w:r w:rsidRPr="00D848EC">
              <w:rPr>
                <w:sz w:val="20"/>
              </w:rPr>
              <w:t xml:space="preserve"> </w:t>
            </w:r>
            <w:r w:rsidRPr="00D848EC">
              <w:rPr>
                <w:rFonts w:ascii="Sylfaen" w:hAnsi="Sylfaen" w:cs="Sylfaen"/>
                <w:sz w:val="20"/>
              </w:rPr>
              <w:t>წყალდაცვითი</w:t>
            </w:r>
            <w:r w:rsidRPr="00D848EC">
              <w:rPr>
                <w:sz w:val="20"/>
              </w:rPr>
              <w:t xml:space="preserve"> </w:t>
            </w:r>
            <w:r w:rsidRPr="00D848EC">
              <w:rPr>
                <w:rFonts w:ascii="Sylfaen" w:hAnsi="Sylfaen" w:cs="Sylfaen"/>
                <w:sz w:val="20"/>
              </w:rPr>
              <w:t>ზოლების</w:t>
            </w:r>
            <w:r w:rsidRPr="00D848EC">
              <w:rPr>
                <w:sz w:val="20"/>
              </w:rPr>
              <w:t xml:space="preserve"> (</w:t>
            </w:r>
            <w:r w:rsidRPr="00D848EC">
              <w:rPr>
                <w:rFonts w:ascii="Sylfaen" w:hAnsi="Sylfaen" w:cs="Sylfaen"/>
                <w:sz w:val="20"/>
              </w:rPr>
              <w:t>ზონების</w:t>
            </w:r>
            <w:r w:rsidRPr="00D848EC">
              <w:rPr>
                <w:sz w:val="20"/>
              </w:rPr>
              <w:t xml:space="preserve">) </w:t>
            </w:r>
            <w:r w:rsidRPr="00D848EC">
              <w:rPr>
                <w:rFonts w:ascii="Sylfaen" w:hAnsi="Sylfaen" w:cs="Sylfaen"/>
                <w:sz w:val="20"/>
              </w:rPr>
              <w:t>შესახებ</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№445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3F63F1D1" w14:textId="77777777" w:rsidR="00D848EC" w:rsidRPr="00D848EC" w:rsidRDefault="00D848EC" w:rsidP="00D848EC">
            <w:pPr>
              <w:rPr>
                <w:sz w:val="20"/>
              </w:rPr>
            </w:pPr>
            <w:r w:rsidRPr="00D848EC">
              <w:rPr>
                <w:sz w:val="20"/>
              </w:rPr>
              <w:t>300160070.10.003.017646</w:t>
            </w:r>
          </w:p>
        </w:tc>
      </w:tr>
      <w:tr w:rsidR="00D848EC" w:rsidRPr="00D848EC" w14:paraId="601006E7"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65A9ACA0" w14:textId="77777777" w:rsidR="00D848EC" w:rsidRPr="00D848EC" w:rsidRDefault="00D848EC" w:rsidP="00D848EC">
            <w:pPr>
              <w:rPr>
                <w:sz w:val="20"/>
              </w:rPr>
            </w:pPr>
            <w:r w:rsidRPr="00D848EC">
              <w:rPr>
                <w:sz w:val="20"/>
              </w:rPr>
              <w:t>03/01/2014</w:t>
            </w:r>
          </w:p>
        </w:tc>
        <w:tc>
          <w:tcPr>
            <w:tcW w:w="7020" w:type="dxa"/>
            <w:tcBorders>
              <w:top w:val="single" w:sz="2" w:space="0" w:color="auto"/>
              <w:left w:val="single" w:sz="2" w:space="0" w:color="auto"/>
              <w:bottom w:val="single" w:sz="2" w:space="0" w:color="auto"/>
              <w:right w:val="single" w:sz="2" w:space="0" w:color="auto"/>
            </w:tcBorders>
            <w:vAlign w:val="center"/>
            <w:hideMark/>
          </w:tcPr>
          <w:p w14:paraId="39505403"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ტერიტორიაზე</w:t>
            </w:r>
            <w:r w:rsidRPr="00D848EC">
              <w:rPr>
                <w:sz w:val="20"/>
              </w:rPr>
              <w:t xml:space="preserve"> </w:t>
            </w:r>
            <w:r w:rsidRPr="00D848EC">
              <w:rPr>
                <w:rFonts w:ascii="Sylfaen" w:hAnsi="Sylfaen" w:cs="Sylfaen"/>
                <w:sz w:val="20"/>
              </w:rPr>
              <w:t>რადიაციული</w:t>
            </w:r>
            <w:r w:rsidRPr="00D848EC">
              <w:rPr>
                <w:sz w:val="20"/>
              </w:rPr>
              <w:t xml:space="preserve"> </w:t>
            </w:r>
            <w:r w:rsidRPr="00D848EC">
              <w:rPr>
                <w:rFonts w:ascii="Sylfaen" w:hAnsi="Sylfaen" w:cs="Sylfaen"/>
                <w:sz w:val="20"/>
              </w:rPr>
              <w:t>უსაფრთხოების</w:t>
            </w:r>
            <w:r w:rsidRPr="00D848EC">
              <w:rPr>
                <w:sz w:val="20"/>
              </w:rPr>
              <w:t xml:space="preserve"> </w:t>
            </w:r>
            <w:r w:rsidRPr="00D848EC">
              <w:rPr>
                <w:rFonts w:ascii="Sylfaen" w:hAnsi="Sylfaen" w:cs="Sylfaen"/>
                <w:sz w:val="20"/>
              </w:rPr>
              <w:t>ნორმების</w:t>
            </w:r>
            <w:r w:rsidRPr="00D848EC">
              <w:rPr>
                <w:sz w:val="20"/>
              </w:rPr>
              <w:t xml:space="preserve"> </w:t>
            </w:r>
            <w:r w:rsidRPr="00D848EC">
              <w:rPr>
                <w:rFonts w:ascii="Sylfaen" w:hAnsi="Sylfaen" w:cs="Sylfaen"/>
                <w:sz w:val="20"/>
              </w:rPr>
              <w:t>შესახებ</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№28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59B3C16B" w14:textId="77777777" w:rsidR="00D848EC" w:rsidRPr="00D848EC" w:rsidRDefault="00D848EC" w:rsidP="00D848EC">
            <w:pPr>
              <w:rPr>
                <w:sz w:val="20"/>
              </w:rPr>
            </w:pPr>
            <w:r w:rsidRPr="00D848EC">
              <w:rPr>
                <w:sz w:val="20"/>
              </w:rPr>
              <w:t>300160070.10.003.017585</w:t>
            </w:r>
          </w:p>
        </w:tc>
      </w:tr>
      <w:tr w:rsidR="00D848EC" w:rsidRPr="00D848EC" w14:paraId="5B570FB5"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61E5AE5F" w14:textId="77777777" w:rsidR="00D848EC" w:rsidRPr="00D848EC" w:rsidRDefault="00D848EC" w:rsidP="00D848EC">
            <w:pPr>
              <w:rPr>
                <w:sz w:val="20"/>
              </w:rPr>
            </w:pPr>
            <w:r w:rsidRPr="00D848EC">
              <w:rPr>
                <w:sz w:val="20"/>
              </w:rPr>
              <w:t>31/12/2013</w:t>
            </w:r>
          </w:p>
        </w:tc>
        <w:tc>
          <w:tcPr>
            <w:tcW w:w="7020" w:type="dxa"/>
            <w:tcBorders>
              <w:top w:val="single" w:sz="2" w:space="0" w:color="auto"/>
              <w:left w:val="single" w:sz="2" w:space="0" w:color="auto"/>
              <w:bottom w:val="single" w:sz="2" w:space="0" w:color="auto"/>
              <w:right w:val="single" w:sz="2" w:space="0" w:color="auto"/>
            </w:tcBorders>
            <w:vAlign w:val="center"/>
            <w:hideMark/>
          </w:tcPr>
          <w:p w14:paraId="435F6647"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წყალდაცვითი</w:t>
            </w:r>
            <w:r w:rsidRPr="00D848EC">
              <w:rPr>
                <w:sz w:val="20"/>
              </w:rPr>
              <w:t xml:space="preserve"> </w:t>
            </w:r>
            <w:r w:rsidRPr="00D848EC">
              <w:rPr>
                <w:rFonts w:ascii="Sylfaen" w:hAnsi="Sylfaen" w:cs="Sylfaen"/>
                <w:sz w:val="20"/>
              </w:rPr>
              <w:t>ზოლის</w:t>
            </w:r>
            <w:r w:rsidRPr="00D848EC">
              <w:rPr>
                <w:sz w:val="20"/>
              </w:rPr>
              <w:t xml:space="preserve"> </w:t>
            </w:r>
            <w:r w:rsidRPr="00D848EC">
              <w:rPr>
                <w:rFonts w:ascii="Sylfaen" w:hAnsi="Sylfaen" w:cs="Sylfaen"/>
                <w:sz w:val="20"/>
              </w:rPr>
              <w:t>შესახებ</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№440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3DE37D9F" w14:textId="77777777" w:rsidR="00D848EC" w:rsidRPr="00D848EC" w:rsidRDefault="00D848EC" w:rsidP="00D848EC">
            <w:pPr>
              <w:rPr>
                <w:sz w:val="20"/>
              </w:rPr>
            </w:pPr>
            <w:r w:rsidRPr="00D848EC">
              <w:rPr>
                <w:sz w:val="20"/>
              </w:rPr>
              <w:t>300160070.10.003.017640</w:t>
            </w:r>
          </w:p>
        </w:tc>
      </w:tr>
      <w:tr w:rsidR="00D848EC" w:rsidRPr="00D848EC" w14:paraId="6AF85279"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36026F84" w14:textId="77777777" w:rsidR="00D848EC" w:rsidRPr="00D848EC" w:rsidRDefault="00D848EC" w:rsidP="00D848EC">
            <w:pPr>
              <w:rPr>
                <w:sz w:val="20"/>
              </w:rPr>
            </w:pPr>
            <w:r w:rsidRPr="00D848EC">
              <w:rPr>
                <w:sz w:val="20"/>
              </w:rPr>
              <w:t>03/01/2014</w:t>
            </w:r>
          </w:p>
        </w:tc>
        <w:tc>
          <w:tcPr>
            <w:tcW w:w="7020" w:type="dxa"/>
            <w:tcBorders>
              <w:top w:val="single" w:sz="2" w:space="0" w:color="auto"/>
              <w:left w:val="single" w:sz="2" w:space="0" w:color="auto"/>
              <w:bottom w:val="single" w:sz="2" w:space="0" w:color="auto"/>
              <w:right w:val="single" w:sz="2" w:space="0" w:color="auto"/>
            </w:tcBorders>
            <w:vAlign w:val="center"/>
            <w:hideMark/>
          </w:tcPr>
          <w:p w14:paraId="167CEFDA"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წყლის</w:t>
            </w:r>
            <w:r w:rsidRPr="00D848EC">
              <w:rPr>
                <w:sz w:val="20"/>
              </w:rPr>
              <w:t xml:space="preserve"> </w:t>
            </w:r>
            <w:r w:rsidRPr="00D848EC">
              <w:rPr>
                <w:rFonts w:ascii="Sylfaen" w:hAnsi="Sylfaen" w:cs="Sylfaen"/>
                <w:sz w:val="20"/>
              </w:rPr>
              <w:t>სინჯის</w:t>
            </w:r>
            <w:r w:rsidRPr="00D848EC">
              <w:rPr>
                <w:sz w:val="20"/>
              </w:rPr>
              <w:t xml:space="preserve"> </w:t>
            </w:r>
            <w:r w:rsidRPr="00D848EC">
              <w:rPr>
                <w:rFonts w:ascii="Sylfaen" w:hAnsi="Sylfaen" w:cs="Sylfaen"/>
                <w:sz w:val="20"/>
              </w:rPr>
              <w:t>აღების</w:t>
            </w:r>
            <w:r w:rsidRPr="00D848EC">
              <w:rPr>
                <w:sz w:val="20"/>
              </w:rPr>
              <w:t xml:space="preserve"> </w:t>
            </w:r>
            <w:r w:rsidRPr="00D848EC">
              <w:rPr>
                <w:rFonts w:ascii="Sylfaen" w:hAnsi="Sylfaen" w:cs="Sylfaen"/>
                <w:sz w:val="20"/>
              </w:rPr>
              <w:t>სანიტარიული</w:t>
            </w:r>
            <w:r w:rsidRPr="00D848EC">
              <w:rPr>
                <w:sz w:val="20"/>
              </w:rPr>
              <w:t xml:space="preserve"> </w:t>
            </w:r>
            <w:r w:rsidRPr="00D848EC">
              <w:rPr>
                <w:rFonts w:ascii="Sylfaen" w:hAnsi="Sylfaen" w:cs="Sylfaen"/>
                <w:sz w:val="20"/>
              </w:rPr>
              <w:t>წესების</w:t>
            </w:r>
            <w:r w:rsidRPr="00D848EC">
              <w:rPr>
                <w:sz w:val="20"/>
              </w:rPr>
              <w:t xml:space="preserve"> </w:t>
            </w:r>
            <w:r w:rsidRPr="00D848EC">
              <w:rPr>
                <w:rFonts w:ascii="Sylfaen" w:hAnsi="Sylfaen" w:cs="Sylfaen"/>
                <w:sz w:val="20"/>
              </w:rPr>
              <w:t>მეთოდიკა</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№26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520A29F4" w14:textId="77777777" w:rsidR="00D848EC" w:rsidRPr="00D848EC" w:rsidRDefault="00D848EC" w:rsidP="00D848EC">
            <w:pPr>
              <w:rPr>
                <w:sz w:val="20"/>
              </w:rPr>
            </w:pPr>
            <w:r w:rsidRPr="00D848EC">
              <w:rPr>
                <w:sz w:val="20"/>
              </w:rPr>
              <w:t>300160070.10.003.017615</w:t>
            </w:r>
          </w:p>
        </w:tc>
      </w:tr>
      <w:tr w:rsidR="00D848EC" w:rsidRPr="00D848EC" w14:paraId="779629A7"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5380EE2E" w14:textId="77777777" w:rsidR="00D848EC" w:rsidRPr="00D848EC" w:rsidRDefault="00D848EC" w:rsidP="00D848EC">
            <w:pPr>
              <w:rPr>
                <w:sz w:val="20"/>
              </w:rPr>
            </w:pPr>
            <w:r w:rsidRPr="00D848EC">
              <w:rPr>
                <w:sz w:val="20"/>
              </w:rPr>
              <w:t>04/08/2015</w:t>
            </w:r>
          </w:p>
        </w:tc>
        <w:tc>
          <w:tcPr>
            <w:tcW w:w="7020" w:type="dxa"/>
            <w:tcBorders>
              <w:top w:val="single" w:sz="2" w:space="0" w:color="auto"/>
              <w:left w:val="single" w:sz="2" w:space="0" w:color="auto"/>
              <w:bottom w:val="single" w:sz="2" w:space="0" w:color="auto"/>
              <w:right w:val="single" w:sz="2" w:space="0" w:color="auto"/>
            </w:tcBorders>
            <w:vAlign w:val="center"/>
            <w:hideMark/>
          </w:tcPr>
          <w:p w14:paraId="143E4F3A"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კომპანიის</w:t>
            </w:r>
            <w:r w:rsidRPr="00D848EC">
              <w:rPr>
                <w:sz w:val="20"/>
              </w:rPr>
              <w:t xml:space="preserve"> </w:t>
            </w:r>
            <w:r w:rsidRPr="00D848EC">
              <w:rPr>
                <w:rFonts w:ascii="Sylfaen" w:hAnsi="Sylfaen" w:cs="Sylfaen"/>
                <w:sz w:val="20"/>
              </w:rPr>
              <w:t>ნარჩენების</w:t>
            </w:r>
            <w:r w:rsidRPr="00D848EC">
              <w:rPr>
                <w:sz w:val="20"/>
              </w:rPr>
              <w:t xml:space="preserve"> </w:t>
            </w:r>
            <w:r w:rsidRPr="00D848EC">
              <w:rPr>
                <w:rFonts w:ascii="Sylfaen" w:hAnsi="Sylfaen" w:cs="Sylfaen"/>
                <w:sz w:val="20"/>
              </w:rPr>
              <w:t>მართვის</w:t>
            </w:r>
            <w:r w:rsidRPr="00D848EC">
              <w:rPr>
                <w:sz w:val="20"/>
              </w:rPr>
              <w:t xml:space="preserve"> </w:t>
            </w:r>
            <w:r w:rsidRPr="00D848EC">
              <w:rPr>
                <w:rFonts w:ascii="Sylfaen" w:hAnsi="Sylfaen" w:cs="Sylfaen"/>
                <w:sz w:val="20"/>
              </w:rPr>
              <w:t>გეგმის</w:t>
            </w:r>
            <w:r w:rsidRPr="00D848EC">
              <w:rPr>
                <w:sz w:val="20"/>
              </w:rPr>
              <w:t xml:space="preserve"> </w:t>
            </w:r>
            <w:r w:rsidRPr="00D848EC">
              <w:rPr>
                <w:rFonts w:ascii="Sylfaen" w:hAnsi="Sylfaen" w:cs="Sylfaen"/>
                <w:sz w:val="20"/>
              </w:rPr>
              <w:t>განხილვისა</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შეთანხმების</w:t>
            </w:r>
            <w:r w:rsidRPr="00D848EC">
              <w:rPr>
                <w:sz w:val="20"/>
              </w:rPr>
              <w:t xml:space="preserve"> </w:t>
            </w:r>
            <w:r w:rsidRPr="00D848EC">
              <w:rPr>
                <w:rFonts w:ascii="Sylfaen" w:hAnsi="Sylfaen" w:cs="Sylfaen"/>
                <w:sz w:val="20"/>
              </w:rPr>
              <w:t>წესი</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გარემოსა</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ბუნებრივი</w:t>
            </w:r>
            <w:r w:rsidRPr="00D848EC">
              <w:rPr>
                <w:sz w:val="20"/>
              </w:rPr>
              <w:t xml:space="preserve"> </w:t>
            </w:r>
            <w:r w:rsidRPr="00D848EC">
              <w:rPr>
                <w:rFonts w:ascii="Sylfaen" w:hAnsi="Sylfaen" w:cs="Sylfaen"/>
                <w:sz w:val="20"/>
              </w:rPr>
              <w:t>რესურსების</w:t>
            </w:r>
            <w:r w:rsidRPr="00D848EC">
              <w:rPr>
                <w:sz w:val="20"/>
              </w:rPr>
              <w:t xml:space="preserve"> </w:t>
            </w:r>
            <w:r w:rsidRPr="00D848EC">
              <w:rPr>
                <w:rFonts w:ascii="Sylfaen" w:hAnsi="Sylfaen" w:cs="Sylfaen"/>
                <w:sz w:val="20"/>
              </w:rPr>
              <w:t>დაცვის</w:t>
            </w:r>
            <w:r w:rsidRPr="00D848EC">
              <w:rPr>
                <w:sz w:val="20"/>
              </w:rPr>
              <w:t xml:space="preserve"> </w:t>
            </w:r>
            <w:r w:rsidRPr="00D848EC">
              <w:rPr>
                <w:rFonts w:ascii="Sylfaen" w:hAnsi="Sylfaen" w:cs="Sylfaen"/>
                <w:sz w:val="20"/>
              </w:rPr>
              <w:t>მინისტრის</w:t>
            </w:r>
            <w:r w:rsidRPr="00D848EC">
              <w:rPr>
                <w:sz w:val="20"/>
              </w:rPr>
              <w:t xml:space="preserve">  №211 </w:t>
            </w:r>
            <w:r w:rsidRPr="00D848EC">
              <w:rPr>
                <w:rFonts w:ascii="Sylfaen" w:hAnsi="Sylfaen" w:cs="Sylfaen"/>
                <w:sz w:val="20"/>
              </w:rPr>
              <w:t>ბრძანებით</w:t>
            </w:r>
          </w:p>
        </w:tc>
        <w:tc>
          <w:tcPr>
            <w:tcW w:w="2396" w:type="dxa"/>
            <w:tcBorders>
              <w:top w:val="single" w:sz="2" w:space="0" w:color="auto"/>
              <w:left w:val="single" w:sz="2" w:space="0" w:color="auto"/>
              <w:bottom w:val="single" w:sz="2" w:space="0" w:color="auto"/>
              <w:right w:val="single" w:sz="2" w:space="0" w:color="auto"/>
            </w:tcBorders>
            <w:vAlign w:val="center"/>
            <w:hideMark/>
          </w:tcPr>
          <w:p w14:paraId="357228DB" w14:textId="77777777" w:rsidR="00D848EC" w:rsidRPr="00D848EC" w:rsidRDefault="00D848EC" w:rsidP="00D848EC">
            <w:pPr>
              <w:rPr>
                <w:sz w:val="20"/>
              </w:rPr>
            </w:pPr>
            <w:r w:rsidRPr="00D848EC">
              <w:rPr>
                <w:sz w:val="20"/>
              </w:rPr>
              <w:t>360160000.22.023.016334</w:t>
            </w:r>
          </w:p>
        </w:tc>
      </w:tr>
      <w:tr w:rsidR="00D848EC" w:rsidRPr="00D848EC" w14:paraId="02B4F128"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56C8F28A" w14:textId="77777777" w:rsidR="00D848EC" w:rsidRPr="00D848EC" w:rsidRDefault="00D848EC" w:rsidP="00D848EC">
            <w:pPr>
              <w:rPr>
                <w:sz w:val="20"/>
              </w:rPr>
            </w:pPr>
            <w:r w:rsidRPr="00D848EC">
              <w:rPr>
                <w:sz w:val="20"/>
              </w:rPr>
              <w:t>11/08/2015</w:t>
            </w:r>
          </w:p>
        </w:tc>
        <w:tc>
          <w:tcPr>
            <w:tcW w:w="7020" w:type="dxa"/>
            <w:tcBorders>
              <w:top w:val="single" w:sz="2" w:space="0" w:color="auto"/>
              <w:left w:val="single" w:sz="2" w:space="0" w:color="auto"/>
              <w:bottom w:val="single" w:sz="2" w:space="0" w:color="auto"/>
              <w:right w:val="single" w:sz="2" w:space="0" w:color="auto"/>
            </w:tcBorders>
            <w:vAlign w:val="center"/>
            <w:hideMark/>
          </w:tcPr>
          <w:p w14:paraId="760D702C"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ნაგავსაყრელების</w:t>
            </w:r>
            <w:r w:rsidRPr="00D848EC">
              <w:rPr>
                <w:sz w:val="20"/>
              </w:rPr>
              <w:t xml:space="preserve"> </w:t>
            </w:r>
            <w:r w:rsidRPr="00D848EC">
              <w:rPr>
                <w:rFonts w:ascii="Sylfaen" w:hAnsi="Sylfaen" w:cs="Sylfaen"/>
                <w:sz w:val="20"/>
              </w:rPr>
              <w:t>მოწყობის</w:t>
            </w:r>
            <w:r w:rsidRPr="00D848EC">
              <w:rPr>
                <w:sz w:val="20"/>
              </w:rPr>
              <w:t xml:space="preserve"> </w:t>
            </w:r>
            <w:r w:rsidRPr="00D848EC">
              <w:rPr>
                <w:rFonts w:ascii="Sylfaen" w:hAnsi="Sylfaen" w:cs="Sylfaen"/>
                <w:sz w:val="20"/>
              </w:rPr>
              <w:t>ოპერირების</w:t>
            </w:r>
            <w:r w:rsidRPr="00D848EC">
              <w:rPr>
                <w:sz w:val="20"/>
              </w:rPr>
              <w:t xml:space="preserve">, </w:t>
            </w:r>
            <w:r w:rsidRPr="00D848EC">
              <w:rPr>
                <w:rFonts w:ascii="Sylfaen" w:hAnsi="Sylfaen" w:cs="Sylfaen"/>
                <w:sz w:val="20"/>
              </w:rPr>
              <w:t>დახურვისა</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შემდგომი</w:t>
            </w:r>
            <w:r w:rsidRPr="00D848EC">
              <w:rPr>
                <w:sz w:val="20"/>
              </w:rPr>
              <w:t xml:space="preserve"> </w:t>
            </w:r>
            <w:r w:rsidRPr="00D848EC">
              <w:rPr>
                <w:rFonts w:ascii="Sylfaen" w:hAnsi="Sylfaen" w:cs="Sylfaen"/>
                <w:sz w:val="20"/>
              </w:rPr>
              <w:t>მოვლის</w:t>
            </w:r>
            <w:r w:rsidRPr="00D848EC">
              <w:rPr>
                <w:sz w:val="20"/>
              </w:rPr>
              <w:t xml:space="preserve"> </w:t>
            </w:r>
            <w:r w:rsidRPr="00D848EC">
              <w:rPr>
                <w:rFonts w:ascii="Sylfaen" w:hAnsi="Sylfaen" w:cs="Sylfaen"/>
                <w:sz w:val="20"/>
              </w:rPr>
              <w:t>შესახებ</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N421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7C95323B" w14:textId="77777777" w:rsidR="00D848EC" w:rsidRPr="00D848EC" w:rsidRDefault="00D848EC" w:rsidP="00D848EC">
            <w:pPr>
              <w:rPr>
                <w:sz w:val="20"/>
              </w:rPr>
            </w:pPr>
            <w:r w:rsidRPr="00D848EC">
              <w:rPr>
                <w:sz w:val="20"/>
              </w:rPr>
              <w:t>300160070.10.003.018807</w:t>
            </w:r>
          </w:p>
        </w:tc>
      </w:tr>
      <w:tr w:rsidR="00D848EC" w:rsidRPr="00D848EC" w14:paraId="4C2BCCF7"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72943869" w14:textId="77777777" w:rsidR="00D848EC" w:rsidRPr="00D848EC" w:rsidRDefault="00D848EC" w:rsidP="00D848EC">
            <w:pPr>
              <w:rPr>
                <w:sz w:val="20"/>
              </w:rPr>
            </w:pPr>
            <w:r w:rsidRPr="00D848EC">
              <w:rPr>
                <w:sz w:val="20"/>
              </w:rPr>
              <w:t>17/08/2015</w:t>
            </w:r>
          </w:p>
        </w:tc>
        <w:tc>
          <w:tcPr>
            <w:tcW w:w="7020" w:type="dxa"/>
            <w:tcBorders>
              <w:top w:val="single" w:sz="2" w:space="0" w:color="auto"/>
              <w:left w:val="single" w:sz="2" w:space="0" w:color="auto"/>
              <w:bottom w:val="single" w:sz="2" w:space="0" w:color="auto"/>
              <w:right w:val="single" w:sz="2" w:space="0" w:color="auto"/>
            </w:tcBorders>
            <w:vAlign w:val="center"/>
            <w:hideMark/>
          </w:tcPr>
          <w:p w14:paraId="3B450CC8"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სახეობებისა</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მახასიათებლების</w:t>
            </w:r>
            <w:r w:rsidRPr="00D848EC">
              <w:rPr>
                <w:sz w:val="20"/>
              </w:rPr>
              <w:t xml:space="preserve"> </w:t>
            </w:r>
            <w:r w:rsidRPr="00D848EC">
              <w:rPr>
                <w:rFonts w:ascii="Sylfaen" w:hAnsi="Sylfaen" w:cs="Sylfaen"/>
                <w:sz w:val="20"/>
              </w:rPr>
              <w:t>მიხედვით</w:t>
            </w:r>
            <w:r w:rsidRPr="00D848EC">
              <w:rPr>
                <w:sz w:val="20"/>
              </w:rPr>
              <w:t xml:space="preserve"> </w:t>
            </w:r>
            <w:r w:rsidRPr="00D848EC">
              <w:rPr>
                <w:rFonts w:ascii="Sylfaen" w:hAnsi="Sylfaen" w:cs="Sylfaen"/>
                <w:sz w:val="20"/>
              </w:rPr>
              <w:t>ნარჩენების</w:t>
            </w:r>
            <w:r w:rsidRPr="00D848EC">
              <w:rPr>
                <w:sz w:val="20"/>
              </w:rPr>
              <w:t xml:space="preserve"> </w:t>
            </w:r>
            <w:r w:rsidRPr="00D848EC">
              <w:rPr>
                <w:rFonts w:ascii="Sylfaen" w:hAnsi="Sylfaen" w:cs="Sylfaen"/>
                <w:sz w:val="20"/>
              </w:rPr>
              <w:t>ნუსხის</w:t>
            </w:r>
            <w:r w:rsidRPr="00D848EC">
              <w:rPr>
                <w:sz w:val="20"/>
              </w:rPr>
              <w:t xml:space="preserve"> </w:t>
            </w:r>
            <w:r w:rsidRPr="00D848EC">
              <w:rPr>
                <w:rFonts w:ascii="Sylfaen" w:hAnsi="Sylfaen" w:cs="Sylfaen"/>
                <w:sz w:val="20"/>
              </w:rPr>
              <w:t>განსაზღვრისა</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კლასიფიკაციის</w:t>
            </w:r>
            <w:r w:rsidRPr="00D848EC">
              <w:rPr>
                <w:sz w:val="20"/>
              </w:rPr>
              <w:t xml:space="preserve"> </w:t>
            </w:r>
            <w:r w:rsidRPr="00D848EC">
              <w:rPr>
                <w:rFonts w:ascii="Sylfaen" w:hAnsi="Sylfaen" w:cs="Sylfaen"/>
                <w:sz w:val="20"/>
              </w:rPr>
              <w:t>შესახებ</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N426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63083024" w14:textId="77777777" w:rsidR="00D848EC" w:rsidRPr="00D848EC" w:rsidRDefault="00D848EC" w:rsidP="00D848EC">
            <w:pPr>
              <w:rPr>
                <w:sz w:val="20"/>
              </w:rPr>
            </w:pPr>
            <w:r w:rsidRPr="00D848EC">
              <w:rPr>
                <w:sz w:val="20"/>
              </w:rPr>
              <w:t>300230000.10.003.018812</w:t>
            </w:r>
          </w:p>
        </w:tc>
      </w:tr>
      <w:tr w:rsidR="00D848EC" w:rsidRPr="00D848EC" w14:paraId="20300486"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4762EB2F" w14:textId="77777777" w:rsidR="00D848EC" w:rsidRPr="00D848EC" w:rsidRDefault="00D848EC" w:rsidP="00D848EC">
            <w:pPr>
              <w:rPr>
                <w:sz w:val="20"/>
              </w:rPr>
            </w:pPr>
            <w:r w:rsidRPr="00D848EC">
              <w:rPr>
                <w:sz w:val="20"/>
              </w:rPr>
              <w:t>01/08/2016</w:t>
            </w:r>
          </w:p>
        </w:tc>
        <w:tc>
          <w:tcPr>
            <w:tcW w:w="7020" w:type="dxa"/>
            <w:tcBorders>
              <w:top w:val="single" w:sz="2" w:space="0" w:color="auto"/>
              <w:left w:val="single" w:sz="2" w:space="0" w:color="auto"/>
              <w:bottom w:val="single" w:sz="2" w:space="0" w:color="auto"/>
              <w:right w:val="single" w:sz="2" w:space="0" w:color="auto"/>
            </w:tcBorders>
            <w:vAlign w:val="center"/>
            <w:hideMark/>
          </w:tcPr>
          <w:p w14:paraId="38E5408B" w14:textId="77777777" w:rsidR="00D848EC" w:rsidRPr="00D848EC" w:rsidRDefault="00D848EC" w:rsidP="00D848EC">
            <w:pPr>
              <w:rPr>
                <w:sz w:val="20"/>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2015 </w:t>
            </w:r>
            <w:r w:rsidRPr="00D848EC">
              <w:rPr>
                <w:rFonts w:ascii="Sylfaen" w:hAnsi="Sylfaen" w:cs="Sylfaen"/>
                <w:sz w:val="20"/>
              </w:rPr>
              <w:t>წლის</w:t>
            </w:r>
            <w:r w:rsidRPr="00D848EC">
              <w:rPr>
                <w:sz w:val="20"/>
              </w:rPr>
              <w:t xml:space="preserve"> 11 </w:t>
            </w:r>
            <w:r w:rsidRPr="00D848EC">
              <w:rPr>
                <w:rFonts w:ascii="Sylfaen" w:hAnsi="Sylfaen" w:cs="Sylfaen"/>
                <w:sz w:val="20"/>
              </w:rPr>
              <w:t>აგვისტოს</w:t>
            </w:r>
            <w:r w:rsidRPr="00D848EC">
              <w:rPr>
                <w:sz w:val="20"/>
              </w:rPr>
              <w:t xml:space="preserve"> #422 </w:t>
            </w:r>
            <w:r w:rsidRPr="00D848EC">
              <w:rPr>
                <w:rFonts w:ascii="Sylfaen" w:hAnsi="Sylfaen" w:cs="Sylfaen"/>
                <w:sz w:val="20"/>
              </w:rPr>
              <w:t>დადგენილება</w:t>
            </w:r>
            <w:r w:rsidRPr="00D848EC">
              <w:rPr>
                <w:sz w:val="20"/>
              </w:rPr>
              <w:t xml:space="preserve"> „</w:t>
            </w:r>
            <w:r w:rsidRPr="00D848EC">
              <w:rPr>
                <w:rFonts w:ascii="Sylfaen" w:hAnsi="Sylfaen" w:cs="Sylfaen"/>
                <w:sz w:val="20"/>
              </w:rPr>
              <w:t>ნარჩენების</w:t>
            </w:r>
            <w:r w:rsidRPr="00D848EC">
              <w:rPr>
                <w:sz w:val="20"/>
              </w:rPr>
              <w:t xml:space="preserve"> </w:t>
            </w:r>
            <w:r w:rsidRPr="00D848EC">
              <w:rPr>
                <w:rFonts w:ascii="Sylfaen" w:hAnsi="Sylfaen" w:cs="Sylfaen"/>
                <w:sz w:val="20"/>
              </w:rPr>
              <w:t>აღრიცხვის</w:t>
            </w:r>
            <w:r w:rsidRPr="00D848EC">
              <w:rPr>
                <w:sz w:val="20"/>
              </w:rPr>
              <w:t xml:space="preserve"> </w:t>
            </w:r>
            <w:r w:rsidRPr="00D848EC">
              <w:rPr>
                <w:rFonts w:ascii="Sylfaen" w:hAnsi="Sylfaen" w:cs="Sylfaen"/>
                <w:sz w:val="20"/>
              </w:rPr>
              <w:t>წარმოების</w:t>
            </w:r>
            <w:r w:rsidRPr="00D848EC">
              <w:rPr>
                <w:sz w:val="20"/>
              </w:rPr>
              <w:t xml:space="preserve">, </w:t>
            </w:r>
            <w:r w:rsidRPr="00D848EC">
              <w:rPr>
                <w:rFonts w:ascii="Sylfaen" w:hAnsi="Sylfaen" w:cs="Sylfaen"/>
                <w:sz w:val="20"/>
              </w:rPr>
              <w:t>ანგარიშგების</w:t>
            </w:r>
            <w:r w:rsidRPr="00D848EC">
              <w:rPr>
                <w:sz w:val="20"/>
              </w:rPr>
              <w:t xml:space="preserve"> </w:t>
            </w:r>
            <w:r w:rsidRPr="00D848EC">
              <w:rPr>
                <w:rFonts w:ascii="Sylfaen" w:hAnsi="Sylfaen" w:cs="Sylfaen"/>
                <w:sz w:val="20"/>
              </w:rPr>
              <w:t>განხორციელების</w:t>
            </w:r>
            <w:r w:rsidRPr="00D848EC">
              <w:rPr>
                <w:sz w:val="20"/>
              </w:rPr>
              <w:t xml:space="preserve"> </w:t>
            </w:r>
            <w:r w:rsidRPr="00D848EC">
              <w:rPr>
                <w:rFonts w:ascii="Sylfaen" w:hAnsi="Sylfaen" w:cs="Sylfaen"/>
                <w:sz w:val="20"/>
              </w:rPr>
              <w:t>ფორმისა</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შინაარსის</w:t>
            </w:r>
            <w:r w:rsidRPr="00D848EC">
              <w:rPr>
                <w:sz w:val="20"/>
              </w:rPr>
              <w:t xml:space="preserve"> </w:t>
            </w:r>
            <w:r w:rsidRPr="00D848EC">
              <w:rPr>
                <w:rFonts w:ascii="Sylfaen" w:hAnsi="Sylfaen" w:cs="Sylfaen"/>
                <w:sz w:val="20"/>
              </w:rPr>
              <w:t>შესახებ</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4DE9DF80" w14:textId="77777777" w:rsidR="00D848EC" w:rsidRPr="00D848EC" w:rsidRDefault="00D848EC" w:rsidP="00D848EC">
            <w:pPr>
              <w:rPr>
                <w:sz w:val="20"/>
              </w:rPr>
            </w:pPr>
            <w:r w:rsidRPr="00D848EC">
              <w:rPr>
                <w:sz w:val="20"/>
              </w:rPr>
              <w:t>360100000.10.003.018808</w:t>
            </w:r>
          </w:p>
        </w:tc>
      </w:tr>
      <w:tr w:rsidR="00D848EC" w:rsidRPr="00D848EC" w14:paraId="1F56C2E4"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6D2A460B" w14:textId="77777777" w:rsidR="00D848EC" w:rsidRPr="00D848EC" w:rsidRDefault="00D848EC" w:rsidP="00D848EC">
            <w:pPr>
              <w:rPr>
                <w:sz w:val="20"/>
              </w:rPr>
            </w:pPr>
            <w:r w:rsidRPr="00D848EC">
              <w:rPr>
                <w:sz w:val="20"/>
              </w:rPr>
              <w:t>15/01/2014</w:t>
            </w:r>
          </w:p>
        </w:tc>
        <w:tc>
          <w:tcPr>
            <w:tcW w:w="7020" w:type="dxa"/>
            <w:tcBorders>
              <w:top w:val="single" w:sz="2" w:space="0" w:color="auto"/>
              <w:left w:val="single" w:sz="2" w:space="0" w:color="auto"/>
              <w:bottom w:val="single" w:sz="2" w:space="0" w:color="auto"/>
              <w:right w:val="single" w:sz="2" w:space="0" w:color="auto"/>
            </w:tcBorders>
            <w:vAlign w:val="center"/>
            <w:hideMark/>
          </w:tcPr>
          <w:p w14:paraId="09CE0B23" w14:textId="77777777"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w:t>
            </w:r>
            <w:r w:rsidRPr="00D848EC">
              <w:rPr>
                <w:rFonts w:ascii="Sylfaen" w:hAnsi="Sylfaen" w:cs="Sylfaen"/>
                <w:sz w:val="20"/>
              </w:rPr>
              <w:t>სამკურნალო</w:t>
            </w:r>
            <w:r w:rsidRPr="00D848EC">
              <w:rPr>
                <w:sz w:val="20"/>
              </w:rPr>
              <w:t>-</w:t>
            </w:r>
            <w:r w:rsidRPr="00D848EC">
              <w:rPr>
                <w:rFonts w:ascii="Sylfaen" w:hAnsi="Sylfaen" w:cs="Sylfaen"/>
                <w:sz w:val="20"/>
              </w:rPr>
              <w:t>პროფილაქტიკური</w:t>
            </w:r>
            <w:r w:rsidRPr="00D848EC">
              <w:rPr>
                <w:sz w:val="20"/>
              </w:rPr>
              <w:t xml:space="preserve"> </w:t>
            </w:r>
            <w:r w:rsidRPr="00D848EC">
              <w:rPr>
                <w:rFonts w:ascii="Sylfaen" w:hAnsi="Sylfaen" w:cs="Sylfaen"/>
                <w:sz w:val="20"/>
              </w:rPr>
              <w:t>დაწესებულებების</w:t>
            </w:r>
            <w:r w:rsidRPr="00D848EC">
              <w:rPr>
                <w:sz w:val="20"/>
              </w:rPr>
              <w:t xml:space="preserve"> </w:t>
            </w:r>
            <w:r w:rsidRPr="00D848EC">
              <w:rPr>
                <w:rFonts w:ascii="Sylfaen" w:hAnsi="Sylfaen" w:cs="Sylfaen"/>
                <w:sz w:val="20"/>
              </w:rPr>
              <w:t>ნარჩენების</w:t>
            </w:r>
            <w:r w:rsidRPr="00D848EC">
              <w:rPr>
                <w:sz w:val="20"/>
              </w:rPr>
              <w:t xml:space="preserve"> </w:t>
            </w:r>
            <w:r w:rsidRPr="00D848EC">
              <w:rPr>
                <w:rFonts w:ascii="Sylfaen" w:hAnsi="Sylfaen" w:cs="Sylfaen"/>
                <w:sz w:val="20"/>
              </w:rPr>
              <w:t>შეგროვების</w:t>
            </w:r>
            <w:r w:rsidRPr="00D848EC">
              <w:rPr>
                <w:sz w:val="20"/>
              </w:rPr>
              <w:t xml:space="preserve">, </w:t>
            </w:r>
            <w:r w:rsidRPr="00D848EC">
              <w:rPr>
                <w:rFonts w:ascii="Sylfaen" w:hAnsi="Sylfaen" w:cs="Sylfaen"/>
                <w:sz w:val="20"/>
              </w:rPr>
              <w:t>შენახვისა</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გაუვნებლობის</w:t>
            </w:r>
            <w:r w:rsidRPr="00D848EC">
              <w:rPr>
                <w:sz w:val="20"/>
              </w:rPr>
              <w:t xml:space="preserve"> </w:t>
            </w:r>
            <w:r w:rsidRPr="00D848EC">
              <w:rPr>
                <w:rFonts w:ascii="Sylfaen" w:hAnsi="Sylfaen" w:cs="Sylfaen"/>
                <w:sz w:val="20"/>
              </w:rPr>
              <w:t>სანიტარიული</w:t>
            </w:r>
            <w:r w:rsidRPr="00D848EC">
              <w:rPr>
                <w:sz w:val="20"/>
              </w:rPr>
              <w:t xml:space="preserve"> </w:t>
            </w:r>
            <w:r w:rsidRPr="00D848EC">
              <w:rPr>
                <w:rFonts w:ascii="Sylfaen" w:hAnsi="Sylfaen" w:cs="Sylfaen"/>
                <w:sz w:val="20"/>
              </w:rPr>
              <w:t>წესები</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ნორმები</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მთავრობის</w:t>
            </w:r>
            <w:r w:rsidRPr="00D848EC">
              <w:rPr>
                <w:sz w:val="20"/>
              </w:rPr>
              <w:t xml:space="preserve"> 2014 </w:t>
            </w:r>
            <w:r w:rsidRPr="00D848EC">
              <w:rPr>
                <w:rFonts w:ascii="Sylfaen" w:hAnsi="Sylfaen" w:cs="Sylfaen"/>
                <w:sz w:val="20"/>
              </w:rPr>
              <w:t>წლის</w:t>
            </w:r>
            <w:r w:rsidRPr="00D848EC">
              <w:rPr>
                <w:sz w:val="20"/>
              </w:rPr>
              <w:t xml:space="preserve"> 15 </w:t>
            </w:r>
            <w:r w:rsidRPr="00D848EC">
              <w:rPr>
                <w:rFonts w:ascii="Sylfaen" w:hAnsi="Sylfaen" w:cs="Sylfaen"/>
                <w:sz w:val="20"/>
              </w:rPr>
              <w:t>იანვრის</w:t>
            </w:r>
            <w:r w:rsidRPr="00D848EC">
              <w:rPr>
                <w:sz w:val="20"/>
              </w:rPr>
              <w:t xml:space="preserve">  №64 </w:t>
            </w:r>
            <w:r w:rsidRPr="00D848EC">
              <w:rPr>
                <w:rFonts w:ascii="Sylfaen" w:hAnsi="Sylfaen" w:cs="Sylfaen"/>
                <w:sz w:val="20"/>
              </w:rPr>
              <w:t>დადგენილებით</w:t>
            </w:r>
            <w:r w:rsidRPr="00D848EC">
              <w:rPr>
                <w:sz w:val="20"/>
              </w:rPr>
              <w:t>.</w:t>
            </w:r>
          </w:p>
        </w:tc>
        <w:tc>
          <w:tcPr>
            <w:tcW w:w="2396" w:type="dxa"/>
            <w:tcBorders>
              <w:top w:val="single" w:sz="2" w:space="0" w:color="auto"/>
              <w:left w:val="single" w:sz="2" w:space="0" w:color="auto"/>
              <w:bottom w:val="single" w:sz="2" w:space="0" w:color="auto"/>
              <w:right w:val="single" w:sz="2" w:space="0" w:color="auto"/>
            </w:tcBorders>
            <w:vAlign w:val="center"/>
            <w:hideMark/>
          </w:tcPr>
          <w:p w14:paraId="408DE9FF" w14:textId="77777777" w:rsidR="00D848EC" w:rsidRPr="00D848EC" w:rsidRDefault="00D848EC" w:rsidP="00D848EC">
            <w:pPr>
              <w:rPr>
                <w:sz w:val="20"/>
              </w:rPr>
            </w:pPr>
            <w:r w:rsidRPr="00D848EC">
              <w:rPr>
                <w:sz w:val="20"/>
              </w:rPr>
              <w:t>300160070.10.003.017682</w:t>
            </w:r>
          </w:p>
        </w:tc>
      </w:tr>
      <w:tr w:rsidR="00D848EC" w:rsidRPr="00D848EC" w14:paraId="17D9245A"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hideMark/>
          </w:tcPr>
          <w:p w14:paraId="5E7F63D7" w14:textId="77777777" w:rsidR="00D848EC" w:rsidRPr="00D848EC" w:rsidRDefault="00D848EC" w:rsidP="00D848EC">
            <w:pPr>
              <w:rPr>
                <w:sz w:val="20"/>
              </w:rPr>
            </w:pPr>
            <w:r w:rsidRPr="00D848EC">
              <w:rPr>
                <w:sz w:val="20"/>
              </w:rPr>
              <w:t>16/03/2009</w:t>
            </w:r>
          </w:p>
        </w:tc>
        <w:tc>
          <w:tcPr>
            <w:tcW w:w="7020" w:type="dxa"/>
            <w:tcBorders>
              <w:top w:val="single" w:sz="2" w:space="0" w:color="auto"/>
              <w:left w:val="single" w:sz="2" w:space="0" w:color="auto"/>
              <w:bottom w:val="single" w:sz="2" w:space="0" w:color="auto"/>
              <w:right w:val="single" w:sz="2" w:space="0" w:color="auto"/>
            </w:tcBorders>
            <w:vAlign w:val="center"/>
            <w:hideMark/>
          </w:tcPr>
          <w:p w14:paraId="58262617" w14:textId="77777777" w:rsidR="00D848EC" w:rsidRPr="00D848EC" w:rsidRDefault="00D848EC" w:rsidP="00D848EC">
            <w:pPr>
              <w:rPr>
                <w:sz w:val="20"/>
              </w:rPr>
            </w:pPr>
            <w:r w:rsidRPr="00D848EC">
              <w:rPr>
                <w:sz w:val="20"/>
              </w:rPr>
              <w:t>„</w:t>
            </w:r>
            <w:r w:rsidRPr="00D848EC">
              <w:rPr>
                <w:rFonts w:ascii="Sylfaen" w:hAnsi="Sylfaen" w:cs="Sylfaen"/>
                <w:sz w:val="20"/>
              </w:rPr>
              <w:t>გარემოზე</w:t>
            </w:r>
            <w:r w:rsidRPr="00D848EC">
              <w:rPr>
                <w:sz w:val="20"/>
              </w:rPr>
              <w:t xml:space="preserve"> </w:t>
            </w:r>
            <w:r w:rsidRPr="00D848EC">
              <w:rPr>
                <w:rFonts w:ascii="Sylfaen" w:hAnsi="Sylfaen" w:cs="Sylfaen"/>
                <w:sz w:val="20"/>
              </w:rPr>
              <w:t>ზემოქმედების</w:t>
            </w:r>
            <w:r w:rsidRPr="00D848EC">
              <w:rPr>
                <w:sz w:val="20"/>
              </w:rPr>
              <w:t xml:space="preserve"> </w:t>
            </w:r>
            <w:r w:rsidRPr="00D848EC">
              <w:rPr>
                <w:rFonts w:ascii="Sylfaen" w:hAnsi="Sylfaen" w:cs="Sylfaen"/>
                <w:sz w:val="20"/>
              </w:rPr>
              <w:t>შეფასების</w:t>
            </w:r>
            <w:r w:rsidRPr="00D848EC">
              <w:rPr>
                <w:sz w:val="20"/>
              </w:rPr>
              <w:t xml:space="preserve"> </w:t>
            </w:r>
            <w:r w:rsidRPr="00D848EC">
              <w:rPr>
                <w:rFonts w:ascii="Sylfaen" w:hAnsi="Sylfaen" w:cs="Sylfaen"/>
                <w:sz w:val="20"/>
              </w:rPr>
              <w:t>შესახებ</w:t>
            </w:r>
            <w:r w:rsidRPr="00D848EC">
              <w:rPr>
                <w:sz w:val="20"/>
              </w:rPr>
              <w:t xml:space="preserve">“ </w:t>
            </w:r>
            <w:r w:rsidRPr="00D848EC">
              <w:rPr>
                <w:rFonts w:ascii="Sylfaen" w:hAnsi="Sylfaen" w:cs="Sylfaen"/>
                <w:sz w:val="20"/>
              </w:rPr>
              <w:t>დებულება</w:t>
            </w:r>
            <w:r w:rsidRPr="00D848EC">
              <w:rPr>
                <w:sz w:val="20"/>
              </w:rPr>
              <w:t xml:space="preserve"> </w:t>
            </w:r>
            <w:r w:rsidRPr="00D848EC">
              <w:rPr>
                <w:rFonts w:ascii="Sylfaen" w:hAnsi="Sylfaen" w:cs="Sylfaen"/>
                <w:sz w:val="20"/>
              </w:rPr>
              <w:t>დამტკიცებულია</w:t>
            </w:r>
            <w:r w:rsidRPr="00D848EC">
              <w:rPr>
                <w:sz w:val="20"/>
              </w:rPr>
              <w:t xml:space="preserve"> </w:t>
            </w:r>
            <w:r w:rsidRPr="00D848EC">
              <w:rPr>
                <w:rFonts w:ascii="Sylfaen" w:hAnsi="Sylfaen" w:cs="Sylfaen"/>
                <w:sz w:val="20"/>
              </w:rPr>
              <w:t>საქართველო</w:t>
            </w:r>
            <w:r w:rsidRPr="00D848EC">
              <w:rPr>
                <w:sz w:val="20"/>
              </w:rPr>
              <w:t xml:space="preserve"> </w:t>
            </w:r>
            <w:r w:rsidRPr="00D848EC">
              <w:rPr>
                <w:rFonts w:ascii="Sylfaen" w:hAnsi="Sylfaen" w:cs="Sylfaen"/>
                <w:sz w:val="20"/>
              </w:rPr>
              <w:t>გარემოს</w:t>
            </w:r>
            <w:r w:rsidRPr="00D848EC">
              <w:rPr>
                <w:sz w:val="20"/>
              </w:rPr>
              <w:t xml:space="preserve"> </w:t>
            </w:r>
            <w:r w:rsidRPr="00D848EC">
              <w:rPr>
                <w:rFonts w:ascii="Sylfaen" w:hAnsi="Sylfaen" w:cs="Sylfaen"/>
                <w:sz w:val="20"/>
              </w:rPr>
              <w:t>დაცვისა</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ბუნებრივი</w:t>
            </w:r>
            <w:r w:rsidRPr="00D848EC">
              <w:rPr>
                <w:sz w:val="20"/>
              </w:rPr>
              <w:t xml:space="preserve"> </w:t>
            </w:r>
            <w:r w:rsidRPr="00D848EC">
              <w:rPr>
                <w:rFonts w:ascii="Sylfaen" w:hAnsi="Sylfaen" w:cs="Sylfaen"/>
                <w:sz w:val="20"/>
              </w:rPr>
              <w:t>რესურსების</w:t>
            </w:r>
            <w:r w:rsidRPr="00D848EC">
              <w:rPr>
                <w:sz w:val="20"/>
              </w:rPr>
              <w:t xml:space="preserve"> </w:t>
            </w:r>
            <w:r w:rsidRPr="00D848EC">
              <w:rPr>
                <w:rFonts w:ascii="Sylfaen" w:hAnsi="Sylfaen" w:cs="Sylfaen"/>
                <w:sz w:val="20"/>
              </w:rPr>
              <w:t>მონისტრის</w:t>
            </w:r>
            <w:r w:rsidRPr="00D848EC">
              <w:rPr>
                <w:sz w:val="20"/>
              </w:rPr>
              <w:t xml:space="preserve"> 2009 </w:t>
            </w:r>
            <w:r w:rsidRPr="00D848EC">
              <w:rPr>
                <w:rFonts w:ascii="Sylfaen" w:hAnsi="Sylfaen" w:cs="Sylfaen"/>
                <w:sz w:val="20"/>
              </w:rPr>
              <w:t>წლის</w:t>
            </w:r>
            <w:r w:rsidRPr="00D848EC">
              <w:rPr>
                <w:sz w:val="20"/>
              </w:rPr>
              <w:t xml:space="preserve"> 9 </w:t>
            </w:r>
            <w:r w:rsidRPr="00D848EC">
              <w:rPr>
                <w:rFonts w:ascii="Sylfaen" w:hAnsi="Sylfaen" w:cs="Sylfaen"/>
                <w:sz w:val="20"/>
              </w:rPr>
              <w:t>მარტის</w:t>
            </w:r>
            <w:r w:rsidRPr="00D848EC">
              <w:rPr>
                <w:sz w:val="20"/>
              </w:rPr>
              <w:t xml:space="preserve"> </w:t>
            </w:r>
            <w:r w:rsidRPr="00D848EC">
              <w:rPr>
                <w:rFonts w:ascii="Sylfaen" w:hAnsi="Sylfaen" w:cs="Sylfaen"/>
                <w:sz w:val="20"/>
              </w:rPr>
              <w:t>ბრძანებით</w:t>
            </w:r>
            <w:r w:rsidRPr="00D848EC">
              <w:rPr>
                <w:sz w:val="20"/>
              </w:rPr>
              <w:t xml:space="preserve"> №8</w:t>
            </w:r>
          </w:p>
        </w:tc>
        <w:tc>
          <w:tcPr>
            <w:tcW w:w="2396" w:type="dxa"/>
            <w:tcBorders>
              <w:top w:val="single" w:sz="2" w:space="0" w:color="auto"/>
              <w:left w:val="single" w:sz="2" w:space="0" w:color="auto"/>
              <w:bottom w:val="single" w:sz="2" w:space="0" w:color="auto"/>
              <w:right w:val="single" w:sz="2" w:space="0" w:color="auto"/>
            </w:tcBorders>
            <w:vAlign w:val="center"/>
            <w:hideMark/>
          </w:tcPr>
          <w:p w14:paraId="4A902B47" w14:textId="77777777" w:rsidR="00D848EC" w:rsidRPr="00D848EC" w:rsidRDefault="00D848EC" w:rsidP="00D848EC">
            <w:pPr>
              <w:rPr>
                <w:sz w:val="20"/>
              </w:rPr>
            </w:pPr>
            <w:r w:rsidRPr="00D848EC">
              <w:rPr>
                <w:sz w:val="20"/>
              </w:rPr>
              <w:t>360160000.22.023.012.881</w:t>
            </w:r>
          </w:p>
        </w:tc>
      </w:tr>
      <w:tr w:rsidR="00D848EC" w:rsidRPr="00D848EC" w14:paraId="19A2EEBA"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tcPr>
          <w:p w14:paraId="00545735" w14:textId="77777777" w:rsidR="00D848EC" w:rsidRPr="00D848EC" w:rsidRDefault="00D848EC" w:rsidP="00D848EC">
            <w:pPr>
              <w:rPr>
                <w:sz w:val="20"/>
              </w:rPr>
            </w:pPr>
            <w:r w:rsidRPr="00D848EC">
              <w:rPr>
                <w:sz w:val="20"/>
              </w:rPr>
              <w:t xml:space="preserve">21/02/2017 </w:t>
            </w:r>
          </w:p>
          <w:p w14:paraId="3EA23CCF" w14:textId="77777777" w:rsidR="00D848EC" w:rsidRPr="00D848EC" w:rsidRDefault="00D848EC" w:rsidP="00D848EC">
            <w:pPr>
              <w:rPr>
                <w:sz w:val="20"/>
              </w:rPr>
            </w:pPr>
          </w:p>
        </w:tc>
        <w:tc>
          <w:tcPr>
            <w:tcW w:w="7020" w:type="dxa"/>
            <w:tcBorders>
              <w:top w:val="single" w:sz="2" w:space="0" w:color="auto"/>
              <w:left w:val="single" w:sz="2" w:space="0" w:color="auto"/>
              <w:bottom w:val="single" w:sz="2" w:space="0" w:color="auto"/>
              <w:right w:val="single" w:sz="2" w:space="0" w:color="auto"/>
            </w:tcBorders>
            <w:vAlign w:val="center"/>
            <w:hideMark/>
          </w:tcPr>
          <w:p w14:paraId="71039FA6" w14:textId="77777777" w:rsidR="00D848EC" w:rsidRPr="00D848EC" w:rsidRDefault="00D848EC" w:rsidP="00D848EC">
            <w:pPr>
              <w:rPr>
                <w:sz w:val="20"/>
              </w:rPr>
            </w:pPr>
            <w:r w:rsidRPr="00D848EC">
              <w:rPr>
                <w:rFonts w:ascii="Sylfaen" w:hAnsi="Sylfaen" w:cs="Sylfaen"/>
                <w:sz w:val="20"/>
              </w:rPr>
              <w:t>საქართველოს</w:t>
            </w:r>
            <w:r w:rsidRPr="00D848EC">
              <w:rPr>
                <w:sz w:val="20"/>
              </w:rPr>
              <w:t xml:space="preserve"> </w:t>
            </w:r>
            <w:r w:rsidRPr="00D848EC">
              <w:rPr>
                <w:rFonts w:ascii="Sylfaen" w:hAnsi="Sylfaen" w:cs="Sylfaen"/>
                <w:sz w:val="20"/>
              </w:rPr>
              <w:t>გარემოსა</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ბუნებრივი</w:t>
            </w:r>
            <w:r w:rsidRPr="00D848EC">
              <w:rPr>
                <w:sz w:val="20"/>
              </w:rPr>
              <w:t xml:space="preserve"> </w:t>
            </w:r>
            <w:r w:rsidRPr="00D848EC">
              <w:rPr>
                <w:rFonts w:ascii="Sylfaen" w:hAnsi="Sylfaen" w:cs="Sylfaen"/>
                <w:sz w:val="20"/>
              </w:rPr>
              <w:t>რესურსების</w:t>
            </w:r>
            <w:r w:rsidRPr="00D848EC">
              <w:rPr>
                <w:sz w:val="20"/>
              </w:rPr>
              <w:t xml:space="preserve"> </w:t>
            </w:r>
            <w:r w:rsidRPr="00D848EC">
              <w:rPr>
                <w:rFonts w:ascii="Sylfaen" w:hAnsi="Sylfaen" w:cs="Sylfaen"/>
                <w:sz w:val="20"/>
              </w:rPr>
              <w:t>დაცვის</w:t>
            </w:r>
            <w:r w:rsidRPr="00D848EC">
              <w:rPr>
                <w:sz w:val="20"/>
              </w:rPr>
              <w:t xml:space="preserve"> </w:t>
            </w:r>
            <w:r w:rsidRPr="00D848EC">
              <w:rPr>
                <w:rFonts w:ascii="Sylfaen" w:hAnsi="Sylfaen" w:cs="Sylfaen"/>
                <w:sz w:val="20"/>
              </w:rPr>
              <w:t>სამინისტროს</w:t>
            </w:r>
            <w:r w:rsidRPr="00D848EC">
              <w:rPr>
                <w:sz w:val="20"/>
              </w:rPr>
              <w:t xml:space="preserve"> </w:t>
            </w:r>
            <w:r w:rsidRPr="00D848EC">
              <w:rPr>
                <w:rFonts w:ascii="Sylfaen" w:hAnsi="Sylfaen" w:cs="Sylfaen"/>
                <w:sz w:val="20"/>
              </w:rPr>
              <w:t>სახელმწიფო</w:t>
            </w:r>
            <w:r w:rsidRPr="00D848EC">
              <w:rPr>
                <w:sz w:val="20"/>
              </w:rPr>
              <w:t xml:space="preserve"> </w:t>
            </w:r>
            <w:r w:rsidRPr="00D848EC">
              <w:rPr>
                <w:rFonts w:ascii="Sylfaen" w:hAnsi="Sylfaen" w:cs="Sylfaen"/>
                <w:sz w:val="20"/>
              </w:rPr>
              <w:t>საქვეუწყებო</w:t>
            </w:r>
            <w:r w:rsidRPr="00D848EC">
              <w:rPr>
                <w:sz w:val="20"/>
              </w:rPr>
              <w:t xml:space="preserve"> </w:t>
            </w:r>
            <w:r w:rsidRPr="00D848EC">
              <w:rPr>
                <w:rFonts w:ascii="Sylfaen" w:hAnsi="Sylfaen" w:cs="Sylfaen"/>
                <w:sz w:val="20"/>
              </w:rPr>
              <w:t>დაწესებულების</w:t>
            </w:r>
            <w:r w:rsidRPr="00D848EC">
              <w:rPr>
                <w:sz w:val="20"/>
              </w:rPr>
              <w:t xml:space="preserve"> - </w:t>
            </w:r>
            <w:r w:rsidRPr="00D848EC">
              <w:rPr>
                <w:rFonts w:ascii="Sylfaen" w:hAnsi="Sylfaen" w:cs="Sylfaen"/>
                <w:sz w:val="20"/>
              </w:rPr>
              <w:t>გარემოსდაცვითი</w:t>
            </w:r>
            <w:r w:rsidRPr="00D848EC">
              <w:rPr>
                <w:sz w:val="20"/>
              </w:rPr>
              <w:t xml:space="preserve"> </w:t>
            </w:r>
            <w:r w:rsidRPr="00D848EC">
              <w:rPr>
                <w:rFonts w:ascii="Sylfaen" w:hAnsi="Sylfaen" w:cs="Sylfaen"/>
                <w:sz w:val="20"/>
              </w:rPr>
              <w:t>ზედამხედველობის</w:t>
            </w:r>
            <w:r w:rsidRPr="00D848EC">
              <w:rPr>
                <w:sz w:val="20"/>
              </w:rPr>
              <w:t xml:space="preserve"> </w:t>
            </w:r>
            <w:r w:rsidRPr="00D848EC">
              <w:rPr>
                <w:rFonts w:ascii="Sylfaen" w:hAnsi="Sylfaen" w:cs="Sylfaen"/>
                <w:sz w:val="20"/>
              </w:rPr>
              <w:t>დეპარტამენტის</w:t>
            </w:r>
            <w:r w:rsidRPr="00D848EC">
              <w:rPr>
                <w:sz w:val="20"/>
              </w:rPr>
              <w:t xml:space="preserve"> </w:t>
            </w:r>
            <w:r w:rsidRPr="00D848EC">
              <w:rPr>
                <w:rFonts w:ascii="Sylfaen" w:hAnsi="Sylfaen" w:cs="Sylfaen"/>
                <w:sz w:val="20"/>
              </w:rPr>
              <w:t>მიერ</w:t>
            </w:r>
            <w:r w:rsidRPr="00D848EC">
              <w:rPr>
                <w:sz w:val="20"/>
              </w:rPr>
              <w:t xml:space="preserve"> </w:t>
            </w:r>
            <w:r w:rsidRPr="00D848EC">
              <w:rPr>
                <w:rFonts w:ascii="Sylfaen" w:hAnsi="Sylfaen" w:cs="Sylfaen"/>
                <w:sz w:val="20"/>
              </w:rPr>
              <w:t>სახელმწიფო</w:t>
            </w:r>
            <w:r w:rsidRPr="00D848EC">
              <w:rPr>
                <w:sz w:val="20"/>
              </w:rPr>
              <w:t xml:space="preserve"> </w:t>
            </w:r>
            <w:r w:rsidRPr="00D848EC">
              <w:rPr>
                <w:rFonts w:ascii="Sylfaen" w:hAnsi="Sylfaen" w:cs="Sylfaen"/>
                <w:sz w:val="20"/>
              </w:rPr>
              <w:t>კონტროლის</w:t>
            </w:r>
            <w:r w:rsidRPr="00D848EC">
              <w:rPr>
                <w:sz w:val="20"/>
              </w:rPr>
              <w:t xml:space="preserve"> </w:t>
            </w:r>
            <w:r w:rsidRPr="00D848EC">
              <w:rPr>
                <w:rFonts w:ascii="Sylfaen" w:hAnsi="Sylfaen" w:cs="Sylfaen"/>
                <w:sz w:val="20"/>
              </w:rPr>
              <w:t>განხორციელების</w:t>
            </w:r>
            <w:r w:rsidRPr="00D848EC">
              <w:rPr>
                <w:sz w:val="20"/>
              </w:rPr>
              <w:t xml:space="preserve"> </w:t>
            </w:r>
            <w:r w:rsidRPr="00D848EC">
              <w:rPr>
                <w:rFonts w:ascii="Sylfaen" w:hAnsi="Sylfaen" w:cs="Sylfaen"/>
                <w:sz w:val="20"/>
              </w:rPr>
              <w:t>წესის</w:t>
            </w:r>
            <w:r w:rsidRPr="00D848EC">
              <w:rPr>
                <w:sz w:val="20"/>
              </w:rPr>
              <w:t xml:space="preserve"> </w:t>
            </w:r>
            <w:r w:rsidRPr="00D848EC">
              <w:rPr>
                <w:rFonts w:ascii="Sylfaen" w:hAnsi="Sylfaen" w:cs="Sylfaen"/>
                <w:sz w:val="20"/>
              </w:rPr>
              <w:t>შესახებ</w:t>
            </w:r>
            <w:r w:rsidRPr="00D848EC">
              <w:rPr>
                <w:sz w:val="20"/>
              </w:rPr>
              <w:t xml:space="preserve">“ - </w:t>
            </w:r>
            <w:r w:rsidRPr="00D848EC">
              <w:rPr>
                <w:rFonts w:ascii="Sylfaen" w:hAnsi="Sylfaen" w:cs="Sylfaen"/>
                <w:sz w:val="20"/>
              </w:rPr>
              <w:t>დამტკიცებული</w:t>
            </w:r>
            <w:r w:rsidRPr="00D848EC">
              <w:rPr>
                <w:sz w:val="20"/>
              </w:rPr>
              <w:t xml:space="preserve"> </w:t>
            </w:r>
            <w:r w:rsidRPr="00D848EC">
              <w:rPr>
                <w:rFonts w:ascii="Sylfaen" w:hAnsi="Sylfaen" w:cs="Sylfaen"/>
                <w:sz w:val="20"/>
              </w:rPr>
              <w:t>მთავრობის</w:t>
            </w:r>
            <w:r w:rsidRPr="00D848EC">
              <w:rPr>
                <w:sz w:val="20"/>
              </w:rPr>
              <w:t xml:space="preserve"> </w:t>
            </w:r>
            <w:r w:rsidRPr="00D848EC">
              <w:rPr>
                <w:rFonts w:ascii="Sylfaen" w:hAnsi="Sylfaen" w:cs="Sylfaen"/>
                <w:sz w:val="20"/>
              </w:rPr>
              <w:t>დადგენილებით</w:t>
            </w:r>
            <w:r w:rsidRPr="00D848EC">
              <w:rPr>
                <w:sz w:val="20"/>
              </w:rPr>
              <w:t xml:space="preserve"> #61</w:t>
            </w:r>
          </w:p>
        </w:tc>
        <w:tc>
          <w:tcPr>
            <w:tcW w:w="2396" w:type="dxa"/>
            <w:tcBorders>
              <w:top w:val="single" w:sz="2" w:space="0" w:color="auto"/>
              <w:left w:val="single" w:sz="2" w:space="0" w:color="auto"/>
              <w:bottom w:val="single" w:sz="2" w:space="0" w:color="auto"/>
              <w:right w:val="single" w:sz="2" w:space="0" w:color="auto"/>
            </w:tcBorders>
            <w:vAlign w:val="center"/>
          </w:tcPr>
          <w:p w14:paraId="33109259" w14:textId="77777777" w:rsidR="00D848EC" w:rsidRPr="00D848EC" w:rsidRDefault="00D848EC" w:rsidP="00D848EC">
            <w:pPr>
              <w:rPr>
                <w:sz w:val="20"/>
              </w:rPr>
            </w:pPr>
            <w:r w:rsidRPr="00D848EC">
              <w:rPr>
                <w:sz w:val="20"/>
              </w:rPr>
              <w:t xml:space="preserve">040030000.10.003.018446 </w:t>
            </w:r>
          </w:p>
          <w:p w14:paraId="1DCB41AB" w14:textId="77777777" w:rsidR="00D848EC" w:rsidRPr="00D848EC" w:rsidRDefault="00D848EC" w:rsidP="00D848EC">
            <w:pPr>
              <w:rPr>
                <w:sz w:val="20"/>
              </w:rPr>
            </w:pPr>
          </w:p>
        </w:tc>
      </w:tr>
      <w:tr w:rsidR="00D848EC" w:rsidRPr="00D848EC" w14:paraId="38D18E15" w14:textId="77777777" w:rsidTr="00D848EC">
        <w:trPr>
          <w:trHeight w:val="18"/>
          <w:jc w:val="center"/>
        </w:trPr>
        <w:tc>
          <w:tcPr>
            <w:tcW w:w="1347" w:type="dxa"/>
            <w:tcBorders>
              <w:top w:val="single" w:sz="2" w:space="0" w:color="auto"/>
              <w:left w:val="single" w:sz="2" w:space="0" w:color="auto"/>
              <w:bottom w:val="single" w:sz="2" w:space="0" w:color="auto"/>
              <w:right w:val="single" w:sz="2" w:space="0" w:color="auto"/>
            </w:tcBorders>
            <w:vAlign w:val="center"/>
          </w:tcPr>
          <w:p w14:paraId="1AAD127D" w14:textId="77777777" w:rsidR="00D848EC" w:rsidRPr="00D848EC" w:rsidRDefault="00D848EC" w:rsidP="00D848EC">
            <w:pPr>
              <w:rPr>
                <w:sz w:val="20"/>
              </w:rPr>
            </w:pPr>
            <w:r w:rsidRPr="00D848EC">
              <w:rPr>
                <w:sz w:val="20"/>
              </w:rPr>
              <w:t xml:space="preserve">24/02/2017 </w:t>
            </w:r>
          </w:p>
          <w:p w14:paraId="7CAB12BC" w14:textId="77777777" w:rsidR="00D848EC" w:rsidRPr="00D848EC" w:rsidRDefault="00D848EC" w:rsidP="00D848EC">
            <w:pPr>
              <w:rPr>
                <w:sz w:val="20"/>
              </w:rPr>
            </w:pPr>
          </w:p>
        </w:tc>
        <w:tc>
          <w:tcPr>
            <w:tcW w:w="7020" w:type="dxa"/>
            <w:tcBorders>
              <w:top w:val="single" w:sz="2" w:space="0" w:color="auto"/>
              <w:left w:val="single" w:sz="2" w:space="0" w:color="auto"/>
              <w:bottom w:val="single" w:sz="2" w:space="0" w:color="auto"/>
              <w:right w:val="single" w:sz="2" w:space="0" w:color="auto"/>
            </w:tcBorders>
            <w:vAlign w:val="center"/>
          </w:tcPr>
          <w:p w14:paraId="2F134276" w14:textId="0231B7E1" w:rsidR="00D848EC" w:rsidRPr="00D848EC" w:rsidRDefault="00D848EC" w:rsidP="00D848EC">
            <w:pPr>
              <w:rPr>
                <w:sz w:val="20"/>
              </w:rPr>
            </w:pPr>
            <w:r w:rsidRPr="00D848EC">
              <w:rPr>
                <w:rFonts w:ascii="Sylfaen" w:hAnsi="Sylfaen" w:cs="Sylfaen"/>
                <w:sz w:val="20"/>
              </w:rPr>
              <w:t>ტექნიკური</w:t>
            </w:r>
            <w:r w:rsidRPr="00D848EC">
              <w:rPr>
                <w:sz w:val="20"/>
              </w:rPr>
              <w:t xml:space="preserve"> </w:t>
            </w:r>
            <w:r w:rsidRPr="00D848EC">
              <w:rPr>
                <w:rFonts w:ascii="Sylfaen" w:hAnsi="Sylfaen" w:cs="Sylfaen"/>
                <w:sz w:val="20"/>
              </w:rPr>
              <w:t>რეგლამენტი</w:t>
            </w:r>
            <w:r w:rsidRPr="00D848EC">
              <w:rPr>
                <w:sz w:val="20"/>
              </w:rPr>
              <w:t xml:space="preserve"> – “</w:t>
            </w:r>
            <w:r w:rsidRPr="00D848EC">
              <w:rPr>
                <w:rFonts w:ascii="Sylfaen" w:hAnsi="Sylfaen" w:cs="Sylfaen"/>
                <w:sz w:val="20"/>
              </w:rPr>
              <w:t>სპეციალური</w:t>
            </w:r>
            <w:r w:rsidRPr="00D848EC">
              <w:rPr>
                <w:sz w:val="20"/>
              </w:rPr>
              <w:t xml:space="preserve"> </w:t>
            </w:r>
            <w:r w:rsidRPr="00D848EC">
              <w:rPr>
                <w:rFonts w:ascii="Sylfaen" w:hAnsi="Sylfaen" w:cs="Sylfaen"/>
                <w:sz w:val="20"/>
              </w:rPr>
              <w:t>მოთხოვნები</w:t>
            </w:r>
            <w:r w:rsidRPr="00D848EC">
              <w:rPr>
                <w:sz w:val="20"/>
              </w:rPr>
              <w:t xml:space="preserve"> </w:t>
            </w:r>
            <w:r w:rsidRPr="00D848EC">
              <w:rPr>
                <w:rFonts w:ascii="Sylfaen" w:hAnsi="Sylfaen" w:cs="Sylfaen"/>
                <w:sz w:val="20"/>
              </w:rPr>
              <w:t>საშიში</w:t>
            </w:r>
            <w:r w:rsidRPr="00D848EC">
              <w:rPr>
                <w:sz w:val="20"/>
              </w:rPr>
              <w:t xml:space="preserve"> </w:t>
            </w:r>
            <w:r w:rsidRPr="00D848EC">
              <w:rPr>
                <w:rFonts w:ascii="Sylfaen" w:hAnsi="Sylfaen" w:cs="Sylfaen"/>
                <w:sz w:val="20"/>
              </w:rPr>
              <w:t>ნარჩენების</w:t>
            </w:r>
            <w:r w:rsidRPr="00D848EC">
              <w:rPr>
                <w:sz w:val="20"/>
              </w:rPr>
              <w:t xml:space="preserve"> </w:t>
            </w:r>
            <w:r w:rsidRPr="00D848EC">
              <w:rPr>
                <w:rFonts w:ascii="Sylfaen" w:hAnsi="Sylfaen" w:cs="Sylfaen"/>
                <w:sz w:val="20"/>
              </w:rPr>
              <w:t>შეგროვებასთან</w:t>
            </w:r>
            <w:r w:rsidRPr="00D848EC">
              <w:rPr>
                <w:sz w:val="20"/>
              </w:rPr>
              <w:t xml:space="preserve"> </w:t>
            </w:r>
            <w:r w:rsidRPr="00D848EC">
              <w:rPr>
                <w:rFonts w:ascii="Sylfaen" w:hAnsi="Sylfaen" w:cs="Sylfaen"/>
                <w:sz w:val="20"/>
              </w:rPr>
              <w:t>და</w:t>
            </w:r>
            <w:r w:rsidRPr="00D848EC">
              <w:rPr>
                <w:sz w:val="20"/>
              </w:rPr>
              <w:t xml:space="preserve"> </w:t>
            </w:r>
            <w:r w:rsidRPr="00D848EC">
              <w:rPr>
                <w:rFonts w:ascii="Sylfaen" w:hAnsi="Sylfaen" w:cs="Sylfaen"/>
                <w:sz w:val="20"/>
              </w:rPr>
              <w:t>დამუშავებასთან</w:t>
            </w:r>
            <w:r w:rsidRPr="00D848EC">
              <w:rPr>
                <w:sz w:val="20"/>
              </w:rPr>
              <w:t xml:space="preserve"> </w:t>
            </w:r>
            <w:r w:rsidRPr="00D848EC">
              <w:rPr>
                <w:rFonts w:ascii="Sylfaen" w:hAnsi="Sylfaen" w:cs="Sylfaen"/>
                <w:sz w:val="20"/>
              </w:rPr>
              <w:t>დაკავშირებით</w:t>
            </w:r>
            <w:r w:rsidRPr="00D848EC">
              <w:rPr>
                <w:sz w:val="20"/>
              </w:rPr>
              <w:t>“-</w:t>
            </w:r>
            <w:r w:rsidRPr="00D848EC">
              <w:rPr>
                <w:rFonts w:ascii="Sylfaen" w:hAnsi="Sylfaen" w:cs="Sylfaen"/>
                <w:sz w:val="20"/>
              </w:rPr>
              <w:t>დამტკიცებული</w:t>
            </w:r>
            <w:r w:rsidRPr="00D848EC">
              <w:rPr>
                <w:sz w:val="20"/>
              </w:rPr>
              <w:t xml:space="preserve"> </w:t>
            </w:r>
            <w:r w:rsidRPr="00D848EC">
              <w:rPr>
                <w:rFonts w:ascii="Sylfaen" w:hAnsi="Sylfaen" w:cs="Sylfaen"/>
                <w:sz w:val="20"/>
              </w:rPr>
              <w:t>მთავრობის</w:t>
            </w:r>
            <w:r w:rsidRPr="00D848EC">
              <w:rPr>
                <w:sz w:val="20"/>
              </w:rPr>
              <w:t xml:space="preserve"> #145 </w:t>
            </w:r>
            <w:r w:rsidRPr="00D848EC">
              <w:rPr>
                <w:rFonts w:ascii="Sylfaen" w:hAnsi="Sylfaen" w:cs="Sylfaen"/>
                <w:sz w:val="20"/>
              </w:rPr>
              <w:t>განკარგულებით</w:t>
            </w:r>
            <w:r w:rsidRPr="00D848EC">
              <w:rPr>
                <w:sz w:val="20"/>
              </w:rPr>
              <w:t xml:space="preserve"> </w:t>
            </w:r>
          </w:p>
        </w:tc>
        <w:tc>
          <w:tcPr>
            <w:tcW w:w="2396" w:type="dxa"/>
            <w:tcBorders>
              <w:top w:val="single" w:sz="2" w:space="0" w:color="auto"/>
              <w:left w:val="single" w:sz="2" w:space="0" w:color="auto"/>
              <w:bottom w:val="single" w:sz="2" w:space="0" w:color="auto"/>
              <w:right w:val="single" w:sz="2" w:space="0" w:color="auto"/>
            </w:tcBorders>
            <w:vAlign w:val="center"/>
          </w:tcPr>
          <w:p w14:paraId="10E965DD" w14:textId="77777777" w:rsidR="00D848EC" w:rsidRPr="00D848EC" w:rsidRDefault="00D848EC" w:rsidP="00D848EC">
            <w:pPr>
              <w:rPr>
                <w:sz w:val="20"/>
              </w:rPr>
            </w:pPr>
            <w:r w:rsidRPr="00D848EC">
              <w:rPr>
                <w:sz w:val="20"/>
              </w:rPr>
              <w:t xml:space="preserve">360160000.10.003.019210 </w:t>
            </w:r>
          </w:p>
          <w:p w14:paraId="64F57D37" w14:textId="77777777" w:rsidR="00D848EC" w:rsidRPr="00D848EC" w:rsidRDefault="00D848EC" w:rsidP="00D848EC">
            <w:pPr>
              <w:rPr>
                <w:sz w:val="20"/>
              </w:rPr>
            </w:pPr>
          </w:p>
        </w:tc>
      </w:tr>
    </w:tbl>
    <w:p w14:paraId="5A449312" w14:textId="77777777" w:rsidR="00D848EC" w:rsidRPr="001352AB" w:rsidRDefault="00D848EC" w:rsidP="00D848EC"/>
    <w:p w14:paraId="13CAF268" w14:textId="77777777" w:rsidR="00D848EC" w:rsidRPr="001352AB" w:rsidRDefault="00D848EC" w:rsidP="00980876">
      <w:pPr>
        <w:pStyle w:val="EIAheading2"/>
        <w:rPr>
          <w:rFonts w:eastAsia="Calibri"/>
        </w:rPr>
      </w:pPr>
      <w:bookmarkStart w:id="10" w:name="_Toc529977341"/>
      <w:bookmarkStart w:id="11" w:name="_Toc479167313"/>
      <w:bookmarkStart w:id="12" w:name="_Toc479166473"/>
      <w:bookmarkStart w:id="13" w:name="_Toc479164743"/>
      <w:bookmarkStart w:id="14" w:name="_Toc1581482"/>
      <w:r w:rsidRPr="001352AB">
        <w:t xml:space="preserve">2.1 </w:t>
      </w:r>
      <w:r w:rsidRPr="001352AB">
        <w:rPr>
          <w:rFonts w:ascii="Sylfaen" w:hAnsi="Sylfaen" w:cs="Sylfaen"/>
        </w:rPr>
        <w:t>ატმოსფერული</w:t>
      </w:r>
      <w:r w:rsidRPr="001352AB">
        <w:t xml:space="preserve"> </w:t>
      </w:r>
      <w:r w:rsidRPr="001352AB">
        <w:rPr>
          <w:rFonts w:ascii="Sylfaen" w:hAnsi="Sylfaen" w:cs="Sylfaen"/>
        </w:rPr>
        <w:t>ჰაერის</w:t>
      </w:r>
      <w:r w:rsidRPr="001352AB">
        <w:t xml:space="preserve"> </w:t>
      </w:r>
      <w:r w:rsidRPr="001352AB">
        <w:rPr>
          <w:rFonts w:ascii="Sylfaen" w:hAnsi="Sylfaen" w:cs="Sylfaen"/>
        </w:rPr>
        <w:t>ხარისხობრივი</w:t>
      </w:r>
      <w:r w:rsidRPr="001352AB">
        <w:t xml:space="preserve"> </w:t>
      </w:r>
      <w:r w:rsidRPr="001352AB">
        <w:rPr>
          <w:rFonts w:ascii="Sylfaen" w:hAnsi="Sylfaen" w:cs="Sylfaen"/>
        </w:rPr>
        <w:t>ნორმები</w:t>
      </w:r>
      <w:bookmarkEnd w:id="10"/>
      <w:bookmarkEnd w:id="11"/>
      <w:bookmarkEnd w:id="12"/>
      <w:bookmarkEnd w:id="13"/>
      <w:bookmarkEnd w:id="14"/>
    </w:p>
    <w:p w14:paraId="6BC24397" w14:textId="714EC33A" w:rsidR="00D848EC" w:rsidRPr="001352AB" w:rsidRDefault="00D848EC" w:rsidP="00D848EC">
      <w:pPr>
        <w:spacing w:before="120" w:after="120"/>
      </w:pPr>
      <w:r w:rsidRPr="001352AB">
        <w:rPr>
          <w:rFonts w:ascii="Sylfaen" w:hAnsi="Sylfaen" w:cs="Sylfaen"/>
        </w:rPr>
        <w:t>საქართველოს</w:t>
      </w:r>
      <w:r w:rsidRPr="001352AB">
        <w:t xml:space="preserve"> </w:t>
      </w:r>
      <w:r w:rsidRPr="001352AB">
        <w:rPr>
          <w:rFonts w:ascii="Sylfaen" w:hAnsi="Sylfaen" w:cs="Sylfaen"/>
        </w:rPr>
        <w:t>სტანდარტები</w:t>
      </w:r>
      <w:r w:rsidRPr="001352AB">
        <w:t xml:space="preserve"> </w:t>
      </w:r>
      <w:r w:rsidRPr="001352AB">
        <w:rPr>
          <w:rFonts w:ascii="Sylfaen" w:hAnsi="Sylfaen" w:cs="Sylfaen"/>
        </w:rPr>
        <w:t>და</w:t>
      </w:r>
      <w:r w:rsidRPr="001352AB">
        <w:t xml:space="preserve"> </w:t>
      </w:r>
      <w:r w:rsidRPr="001352AB">
        <w:rPr>
          <w:rFonts w:ascii="Sylfaen" w:hAnsi="Sylfaen" w:cs="Sylfaen"/>
        </w:rPr>
        <w:t>საერთაშორისო</w:t>
      </w:r>
      <w:r w:rsidRPr="001352AB">
        <w:t xml:space="preserve"> </w:t>
      </w:r>
      <w:r w:rsidRPr="001352AB">
        <w:rPr>
          <w:rFonts w:ascii="Sylfaen" w:hAnsi="Sylfaen" w:cs="Sylfaen"/>
        </w:rPr>
        <w:t>ფინანსური</w:t>
      </w:r>
      <w:r w:rsidRPr="001352AB">
        <w:t xml:space="preserve"> </w:t>
      </w:r>
      <w:r w:rsidRPr="001352AB">
        <w:rPr>
          <w:rFonts w:ascii="Sylfaen" w:hAnsi="Sylfaen" w:cs="Sylfaen"/>
        </w:rPr>
        <w:t>კორპორაციის</w:t>
      </w:r>
      <w:r w:rsidRPr="001352AB">
        <w:t xml:space="preserve"> </w:t>
      </w:r>
      <w:r w:rsidRPr="001352AB">
        <w:rPr>
          <w:rFonts w:ascii="Sylfaen" w:hAnsi="Sylfaen" w:cs="Sylfaen"/>
        </w:rPr>
        <w:t>მითითებები</w:t>
      </w:r>
      <w:r w:rsidRPr="001352AB">
        <w:t xml:space="preserve"> </w:t>
      </w:r>
      <w:r w:rsidRPr="001352AB">
        <w:rPr>
          <w:rFonts w:ascii="Sylfaen" w:hAnsi="Sylfaen" w:cs="Sylfaen"/>
        </w:rPr>
        <w:t>ატმოსფერული</w:t>
      </w:r>
      <w:r w:rsidRPr="001352AB">
        <w:t xml:space="preserve"> </w:t>
      </w:r>
      <w:r w:rsidRPr="001352AB">
        <w:rPr>
          <w:rFonts w:ascii="Sylfaen" w:hAnsi="Sylfaen" w:cs="Sylfaen"/>
        </w:rPr>
        <w:t>ჰაერის</w:t>
      </w:r>
      <w:r w:rsidRPr="001352AB">
        <w:t xml:space="preserve"> </w:t>
      </w:r>
      <w:r w:rsidRPr="001352AB">
        <w:rPr>
          <w:rFonts w:ascii="Sylfaen" w:hAnsi="Sylfaen" w:cs="Sylfaen"/>
        </w:rPr>
        <w:t>ხარისხობრივი</w:t>
      </w:r>
      <w:r w:rsidRPr="001352AB">
        <w:t xml:space="preserve"> </w:t>
      </w:r>
      <w:r w:rsidRPr="001352AB">
        <w:rPr>
          <w:rFonts w:ascii="Sylfaen" w:hAnsi="Sylfaen" w:cs="Sylfaen"/>
        </w:rPr>
        <w:t>სტანდარტების</w:t>
      </w:r>
      <w:r w:rsidRPr="001352AB">
        <w:t xml:space="preserve"> </w:t>
      </w:r>
      <w:r w:rsidRPr="001352AB">
        <w:rPr>
          <w:rFonts w:ascii="Sylfaen" w:hAnsi="Sylfaen" w:cs="Sylfaen"/>
        </w:rPr>
        <w:t>შესახებ</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ცხრილში</w:t>
      </w:r>
      <w:r w:rsidRPr="001352AB">
        <w:t xml:space="preserve"> 2-1 </w:t>
      </w:r>
      <w:r w:rsidRPr="001352AB">
        <w:rPr>
          <w:rFonts w:ascii="Sylfaen" w:hAnsi="Sylfaen" w:cs="Sylfaen"/>
        </w:rPr>
        <w:t>და</w:t>
      </w:r>
      <w:r w:rsidRPr="001352AB">
        <w:t xml:space="preserve"> </w:t>
      </w:r>
      <w:r w:rsidRPr="001352AB">
        <w:rPr>
          <w:rFonts w:ascii="Sylfaen" w:hAnsi="Sylfaen" w:cs="Sylfaen"/>
        </w:rPr>
        <w:t>ცხრილში</w:t>
      </w:r>
      <w:r w:rsidRPr="001352AB">
        <w:t xml:space="preserve"> 2-2. </w:t>
      </w:r>
    </w:p>
    <w:p w14:paraId="16A7E075" w14:textId="77777777" w:rsidR="00D848EC" w:rsidRPr="001352AB" w:rsidRDefault="00D848EC" w:rsidP="00D848EC">
      <w:pPr>
        <w:spacing w:before="120" w:after="120"/>
      </w:pPr>
      <w:r w:rsidRPr="001352AB">
        <w:rPr>
          <w:rFonts w:ascii="Sylfaen" w:hAnsi="Sylfaen" w:cs="Sylfaen"/>
        </w:rPr>
        <w:t>ცხრილი</w:t>
      </w:r>
      <w:r w:rsidRPr="001352AB">
        <w:t xml:space="preserve"> 2-1. </w:t>
      </w:r>
      <w:r w:rsidRPr="001352AB">
        <w:rPr>
          <w:rFonts w:ascii="Sylfaen" w:hAnsi="Sylfaen" w:cs="Sylfaen"/>
        </w:rPr>
        <w:t>ატმოსფერული</w:t>
      </w:r>
      <w:r w:rsidRPr="001352AB">
        <w:t xml:space="preserve"> </w:t>
      </w:r>
      <w:r w:rsidRPr="001352AB">
        <w:rPr>
          <w:rFonts w:ascii="Sylfaen" w:hAnsi="Sylfaen" w:cs="Sylfaen"/>
        </w:rPr>
        <w:t>ჰაერის</w:t>
      </w:r>
      <w:r w:rsidRPr="001352AB">
        <w:t xml:space="preserve"> </w:t>
      </w:r>
      <w:r w:rsidRPr="001352AB">
        <w:rPr>
          <w:rFonts w:ascii="Sylfaen" w:hAnsi="Sylfaen" w:cs="Sylfaen"/>
        </w:rPr>
        <w:t>ხარისხობრივი</w:t>
      </w:r>
      <w:r w:rsidRPr="001352AB">
        <w:t xml:space="preserve"> </w:t>
      </w:r>
      <w:r w:rsidRPr="001352AB">
        <w:rPr>
          <w:rFonts w:ascii="Sylfaen" w:hAnsi="Sylfaen" w:cs="Sylfaen"/>
        </w:rPr>
        <w:t>ნორმები</w:t>
      </w:r>
      <w:r w:rsidRPr="001352AB">
        <w:t xml:space="preserve"> </w:t>
      </w:r>
      <w:r w:rsidRPr="001352AB">
        <w:rPr>
          <w:rFonts w:ascii="Sylfaen" w:hAnsi="Sylfaen" w:cs="Sylfaen"/>
        </w:rPr>
        <w:t>საქართველოს</w:t>
      </w:r>
      <w:r w:rsidRPr="001352AB">
        <w:t xml:space="preserve"> </w:t>
      </w:r>
      <w:r w:rsidRPr="001352AB">
        <w:rPr>
          <w:rFonts w:ascii="Sylfaen" w:hAnsi="Sylfaen" w:cs="Sylfaen"/>
        </w:rPr>
        <w:t>კანონმდებლობის</w:t>
      </w:r>
      <w:r w:rsidRPr="001352AB">
        <w:t xml:space="preserve"> </w:t>
      </w:r>
      <w:r w:rsidRPr="001352AB">
        <w:rPr>
          <w:rFonts w:ascii="Sylfaen" w:hAnsi="Sylfaen" w:cs="Sylfaen"/>
        </w:rPr>
        <w:t>მიხედვით</w:t>
      </w:r>
    </w:p>
    <w:tbl>
      <w:tblPr>
        <w:tblW w:w="0" w:type="dxa"/>
        <w:jc w:val="center"/>
        <w:tblLayout w:type="fixed"/>
        <w:tblCellMar>
          <w:left w:w="0" w:type="dxa"/>
          <w:right w:w="0" w:type="dxa"/>
        </w:tblCellMar>
        <w:tblLook w:val="04A0" w:firstRow="1" w:lastRow="0" w:firstColumn="1" w:lastColumn="0" w:noHBand="0" w:noVBand="1"/>
      </w:tblPr>
      <w:tblGrid>
        <w:gridCol w:w="671"/>
        <w:gridCol w:w="3374"/>
        <w:gridCol w:w="1109"/>
        <w:gridCol w:w="1401"/>
        <w:gridCol w:w="1330"/>
        <w:gridCol w:w="1290"/>
        <w:gridCol w:w="773"/>
        <w:gridCol w:w="833"/>
      </w:tblGrid>
      <w:tr w:rsidR="00D848EC" w:rsidRPr="00D848EC" w14:paraId="1D7D40BB" w14:textId="77777777" w:rsidTr="00D848EC">
        <w:trPr>
          <w:trHeight w:val="1618"/>
          <w:jc w:val="center"/>
        </w:trPr>
        <w:tc>
          <w:tcPr>
            <w:tcW w:w="671" w:type="dxa"/>
            <w:tcBorders>
              <w:top w:val="single" w:sz="4" w:space="0" w:color="auto"/>
              <w:left w:val="single" w:sz="4" w:space="0" w:color="auto"/>
              <w:bottom w:val="nil"/>
              <w:right w:val="single" w:sz="4" w:space="0" w:color="auto"/>
            </w:tcBorders>
            <w:hideMark/>
          </w:tcPr>
          <w:p w14:paraId="415AB1DC" w14:textId="77777777" w:rsidR="00D848EC" w:rsidRPr="00D848EC" w:rsidRDefault="00D848EC" w:rsidP="00D848EC">
            <w:pPr>
              <w:rPr>
                <w:sz w:val="18"/>
                <w:lang w:val="ka-GE"/>
              </w:rPr>
            </w:pPr>
            <w:r w:rsidRPr="00D848EC">
              <w:rPr>
                <w:rFonts w:ascii="Sylfaen" w:hAnsi="Sylfaen" w:cs="Sylfaen"/>
                <w:sz w:val="18"/>
              </w:rPr>
              <w:lastRenderedPageBreak/>
              <w:t>კოდი</w:t>
            </w:r>
          </w:p>
        </w:tc>
        <w:tc>
          <w:tcPr>
            <w:tcW w:w="3374" w:type="dxa"/>
            <w:tcBorders>
              <w:top w:val="single" w:sz="4" w:space="0" w:color="auto"/>
              <w:left w:val="single" w:sz="4" w:space="0" w:color="auto"/>
              <w:bottom w:val="nil"/>
              <w:right w:val="single" w:sz="4" w:space="0" w:color="auto"/>
            </w:tcBorders>
            <w:hideMark/>
          </w:tcPr>
          <w:p w14:paraId="4F661817" w14:textId="77777777" w:rsidR="00D848EC" w:rsidRPr="00D848EC" w:rsidRDefault="00D848EC" w:rsidP="00D848EC">
            <w:pPr>
              <w:rPr>
                <w:sz w:val="18"/>
              </w:rPr>
            </w:pPr>
            <w:r w:rsidRPr="00D848EC">
              <w:rPr>
                <w:rFonts w:ascii="Sylfaen" w:hAnsi="Sylfaen" w:cs="Sylfaen"/>
                <w:sz w:val="18"/>
              </w:rPr>
              <w:t>ნივთიერება</w:t>
            </w:r>
          </w:p>
        </w:tc>
        <w:tc>
          <w:tcPr>
            <w:tcW w:w="3840" w:type="dxa"/>
            <w:gridSpan w:val="3"/>
            <w:tcBorders>
              <w:top w:val="single" w:sz="4" w:space="0" w:color="auto"/>
              <w:left w:val="single" w:sz="4" w:space="0" w:color="auto"/>
              <w:bottom w:val="single" w:sz="4" w:space="0" w:color="auto"/>
              <w:right w:val="single" w:sz="4" w:space="0" w:color="auto"/>
            </w:tcBorders>
            <w:hideMark/>
          </w:tcPr>
          <w:p w14:paraId="1AB71C06" w14:textId="77777777" w:rsidR="00D848EC" w:rsidRPr="00D848EC" w:rsidRDefault="00D848EC" w:rsidP="00D848EC">
            <w:pPr>
              <w:rPr>
                <w:sz w:val="18"/>
              </w:rPr>
            </w:pPr>
            <w:r w:rsidRPr="00D848EC">
              <w:rPr>
                <w:rFonts w:ascii="Sylfaen" w:hAnsi="Sylfaen" w:cs="Sylfaen"/>
                <w:sz w:val="18"/>
              </w:rPr>
              <w:t>ზღვრულად</w:t>
            </w:r>
            <w:r w:rsidRPr="00D848EC">
              <w:rPr>
                <w:sz w:val="18"/>
              </w:rPr>
              <w:t xml:space="preserve"> </w:t>
            </w:r>
            <w:r w:rsidRPr="00D848EC">
              <w:rPr>
                <w:rFonts w:ascii="Sylfaen" w:hAnsi="Sylfaen" w:cs="Sylfaen"/>
                <w:sz w:val="18"/>
              </w:rPr>
              <w:t>დასაშვები</w:t>
            </w:r>
            <w:r w:rsidRPr="00D848EC">
              <w:rPr>
                <w:sz w:val="18"/>
              </w:rPr>
              <w:t xml:space="preserve"> </w:t>
            </w:r>
            <w:r w:rsidRPr="00D848EC">
              <w:rPr>
                <w:rFonts w:ascii="Sylfaen" w:hAnsi="Sylfaen" w:cs="Sylfaen"/>
                <w:sz w:val="18"/>
              </w:rPr>
              <w:t>კონცენტრაცია</w:t>
            </w:r>
          </w:p>
        </w:tc>
        <w:tc>
          <w:tcPr>
            <w:tcW w:w="1290" w:type="dxa"/>
            <w:tcBorders>
              <w:top w:val="single" w:sz="4" w:space="0" w:color="auto"/>
              <w:left w:val="single" w:sz="4" w:space="0" w:color="auto"/>
              <w:bottom w:val="nil"/>
              <w:right w:val="single" w:sz="4" w:space="0" w:color="auto"/>
            </w:tcBorders>
            <w:hideMark/>
          </w:tcPr>
          <w:p w14:paraId="7DBADAB5" w14:textId="77777777" w:rsidR="00D848EC" w:rsidRPr="00D848EC" w:rsidRDefault="00D848EC" w:rsidP="00D848EC">
            <w:pPr>
              <w:rPr>
                <w:sz w:val="18"/>
              </w:rPr>
            </w:pPr>
            <w:r w:rsidRPr="00D848EC">
              <w:rPr>
                <w:sz w:val="18"/>
              </w:rPr>
              <w:t>*</w:t>
            </w:r>
            <w:r w:rsidRPr="00D848EC">
              <w:rPr>
                <w:rFonts w:ascii="Sylfaen" w:hAnsi="Sylfaen" w:cs="Sylfaen"/>
                <w:sz w:val="18"/>
              </w:rPr>
              <w:t>ზდკ</w:t>
            </w:r>
            <w:r w:rsidRPr="00D848EC">
              <w:rPr>
                <w:sz w:val="18"/>
              </w:rPr>
              <w:t>-</w:t>
            </w:r>
            <w:r w:rsidRPr="00D848EC">
              <w:rPr>
                <w:rFonts w:ascii="Sylfaen" w:hAnsi="Sylfaen" w:cs="Sylfaen"/>
                <w:sz w:val="18"/>
              </w:rPr>
              <w:t>ს</w:t>
            </w:r>
            <w:r w:rsidRPr="00D848EC">
              <w:rPr>
                <w:sz w:val="18"/>
              </w:rPr>
              <w:t xml:space="preserve"> </w:t>
            </w:r>
            <w:r w:rsidRPr="00D848EC">
              <w:rPr>
                <w:rFonts w:ascii="Sylfaen" w:hAnsi="Sylfaen" w:cs="Sylfaen"/>
                <w:sz w:val="18"/>
              </w:rPr>
              <w:t>შესწორების</w:t>
            </w:r>
            <w:r w:rsidRPr="00D848EC">
              <w:rPr>
                <w:sz w:val="18"/>
              </w:rPr>
              <w:t xml:space="preserve"> </w:t>
            </w:r>
            <w:r w:rsidRPr="00D848EC">
              <w:rPr>
                <w:rFonts w:ascii="Sylfaen" w:hAnsi="Sylfaen" w:cs="Sylfaen"/>
                <w:sz w:val="18"/>
              </w:rPr>
              <w:t>კოეფიციენტი</w:t>
            </w:r>
          </w:p>
          <w:p w14:paraId="04654B5E" w14:textId="77777777" w:rsidR="00D848EC" w:rsidRPr="00D848EC" w:rsidRDefault="00D848EC" w:rsidP="00D848EC">
            <w:pPr>
              <w:rPr>
                <w:sz w:val="18"/>
              </w:rPr>
            </w:pPr>
            <w:r w:rsidRPr="00D848EC">
              <w:rPr>
                <w:sz w:val="18"/>
              </w:rPr>
              <w:t>/</w:t>
            </w:r>
            <w:r w:rsidRPr="00D848EC">
              <w:rPr>
                <w:rFonts w:ascii="Sylfaen" w:hAnsi="Sylfaen" w:cs="Sylfaen"/>
                <w:sz w:val="18"/>
              </w:rPr>
              <w:t>საორ</w:t>
            </w:r>
            <w:r w:rsidRPr="00D848EC">
              <w:rPr>
                <w:sz w:val="18"/>
              </w:rPr>
              <w:t xml:space="preserve">. </w:t>
            </w:r>
            <w:r w:rsidRPr="00D848EC">
              <w:rPr>
                <w:rFonts w:ascii="Sylfaen" w:hAnsi="Sylfaen" w:cs="Sylfaen"/>
                <w:sz w:val="18"/>
              </w:rPr>
              <w:t>უსაფრ</w:t>
            </w:r>
            <w:r w:rsidRPr="00D848EC">
              <w:rPr>
                <w:sz w:val="18"/>
              </w:rPr>
              <w:t xml:space="preserve">. </w:t>
            </w:r>
            <w:r w:rsidRPr="00D848EC">
              <w:rPr>
                <w:rFonts w:ascii="Sylfaen" w:hAnsi="Sylfaen" w:cs="Sylfaen"/>
                <w:sz w:val="18"/>
              </w:rPr>
              <w:t>ზემოქ</w:t>
            </w:r>
            <w:r w:rsidRPr="00D848EC">
              <w:rPr>
                <w:sz w:val="18"/>
              </w:rPr>
              <w:t xml:space="preserve">. </w:t>
            </w:r>
            <w:r w:rsidRPr="00D848EC">
              <w:rPr>
                <w:rFonts w:ascii="Sylfaen" w:hAnsi="Sylfaen" w:cs="Sylfaen"/>
                <w:sz w:val="18"/>
              </w:rPr>
              <w:t>დონე</w:t>
            </w:r>
          </w:p>
        </w:tc>
        <w:tc>
          <w:tcPr>
            <w:tcW w:w="1606" w:type="dxa"/>
            <w:gridSpan w:val="2"/>
            <w:tcBorders>
              <w:top w:val="single" w:sz="4" w:space="0" w:color="auto"/>
              <w:left w:val="single" w:sz="4" w:space="0" w:color="auto"/>
              <w:bottom w:val="single" w:sz="4" w:space="0" w:color="auto"/>
              <w:right w:val="single" w:sz="4" w:space="0" w:color="auto"/>
            </w:tcBorders>
            <w:hideMark/>
          </w:tcPr>
          <w:p w14:paraId="3D090122" w14:textId="77777777" w:rsidR="00D848EC" w:rsidRPr="00D848EC" w:rsidRDefault="00D848EC" w:rsidP="00D848EC">
            <w:pPr>
              <w:rPr>
                <w:sz w:val="18"/>
              </w:rPr>
            </w:pPr>
            <w:r w:rsidRPr="00D848EC">
              <w:rPr>
                <w:rFonts w:ascii="Sylfaen" w:hAnsi="Sylfaen" w:cs="Sylfaen"/>
                <w:sz w:val="18"/>
              </w:rPr>
              <w:t>ფონური</w:t>
            </w:r>
            <w:r w:rsidRPr="00D848EC">
              <w:rPr>
                <w:sz w:val="18"/>
              </w:rPr>
              <w:t xml:space="preserve"> </w:t>
            </w:r>
            <w:r w:rsidRPr="00D848EC">
              <w:rPr>
                <w:rFonts w:ascii="Sylfaen" w:hAnsi="Sylfaen" w:cs="Sylfaen"/>
                <w:sz w:val="18"/>
              </w:rPr>
              <w:t>კონცენტრ</w:t>
            </w:r>
            <w:r w:rsidRPr="00D848EC">
              <w:rPr>
                <w:sz w:val="18"/>
              </w:rPr>
              <w:t>.</w:t>
            </w:r>
          </w:p>
        </w:tc>
      </w:tr>
      <w:tr w:rsidR="00D848EC" w:rsidRPr="00D848EC" w14:paraId="2778EFD9" w14:textId="77777777" w:rsidTr="00D848EC">
        <w:trPr>
          <w:jc w:val="center"/>
        </w:trPr>
        <w:tc>
          <w:tcPr>
            <w:tcW w:w="671" w:type="dxa"/>
            <w:tcBorders>
              <w:top w:val="nil"/>
              <w:left w:val="single" w:sz="4" w:space="0" w:color="auto"/>
              <w:bottom w:val="single" w:sz="4" w:space="0" w:color="auto"/>
              <w:right w:val="single" w:sz="4" w:space="0" w:color="auto"/>
            </w:tcBorders>
          </w:tcPr>
          <w:p w14:paraId="6929156E" w14:textId="77777777" w:rsidR="00D848EC" w:rsidRPr="00D848EC" w:rsidRDefault="00D848EC" w:rsidP="00D848EC">
            <w:pPr>
              <w:rPr>
                <w:sz w:val="18"/>
              </w:rPr>
            </w:pPr>
          </w:p>
        </w:tc>
        <w:tc>
          <w:tcPr>
            <w:tcW w:w="3374" w:type="dxa"/>
            <w:tcBorders>
              <w:top w:val="nil"/>
              <w:left w:val="single" w:sz="4" w:space="0" w:color="auto"/>
              <w:bottom w:val="single" w:sz="4" w:space="0" w:color="auto"/>
              <w:right w:val="single" w:sz="4" w:space="0" w:color="auto"/>
            </w:tcBorders>
          </w:tcPr>
          <w:p w14:paraId="68281272" w14:textId="77777777" w:rsidR="00D848EC" w:rsidRPr="00D848EC" w:rsidRDefault="00D848EC" w:rsidP="00D848EC">
            <w:pPr>
              <w:rPr>
                <w:sz w:val="18"/>
              </w:rPr>
            </w:pPr>
          </w:p>
        </w:tc>
        <w:tc>
          <w:tcPr>
            <w:tcW w:w="1109" w:type="dxa"/>
            <w:tcBorders>
              <w:top w:val="single" w:sz="4" w:space="0" w:color="auto"/>
              <w:left w:val="single" w:sz="4" w:space="0" w:color="auto"/>
              <w:bottom w:val="single" w:sz="4" w:space="0" w:color="auto"/>
              <w:right w:val="single" w:sz="4" w:space="0" w:color="auto"/>
            </w:tcBorders>
            <w:hideMark/>
          </w:tcPr>
          <w:p w14:paraId="6458986C" w14:textId="77777777" w:rsidR="00D848EC" w:rsidRPr="00D848EC" w:rsidRDefault="00D848EC" w:rsidP="00D848EC">
            <w:pPr>
              <w:rPr>
                <w:sz w:val="18"/>
              </w:rPr>
            </w:pPr>
            <w:r w:rsidRPr="00D848EC">
              <w:rPr>
                <w:rFonts w:ascii="Sylfaen" w:hAnsi="Sylfaen" w:cs="Sylfaen"/>
                <w:sz w:val="18"/>
              </w:rPr>
              <w:t>ტიპი</w:t>
            </w:r>
          </w:p>
        </w:tc>
        <w:tc>
          <w:tcPr>
            <w:tcW w:w="1401" w:type="dxa"/>
            <w:tcBorders>
              <w:top w:val="single" w:sz="4" w:space="0" w:color="auto"/>
              <w:left w:val="single" w:sz="4" w:space="0" w:color="auto"/>
              <w:bottom w:val="single" w:sz="4" w:space="0" w:color="auto"/>
              <w:right w:val="single" w:sz="4" w:space="0" w:color="auto"/>
            </w:tcBorders>
            <w:hideMark/>
          </w:tcPr>
          <w:p w14:paraId="35DC4E7D" w14:textId="77777777" w:rsidR="00D848EC" w:rsidRPr="00D848EC" w:rsidRDefault="00D848EC" w:rsidP="00D848EC">
            <w:pPr>
              <w:rPr>
                <w:sz w:val="18"/>
              </w:rPr>
            </w:pPr>
            <w:r w:rsidRPr="00D848EC">
              <w:rPr>
                <w:rFonts w:ascii="Sylfaen" w:hAnsi="Sylfaen" w:cs="Sylfaen"/>
                <w:sz w:val="18"/>
              </w:rPr>
              <w:t>საცნობარო</w:t>
            </w:r>
            <w:r w:rsidRPr="00D848EC">
              <w:rPr>
                <w:sz w:val="18"/>
              </w:rPr>
              <w:t xml:space="preserve"> </w:t>
            </w:r>
            <w:r w:rsidRPr="00D848EC">
              <w:rPr>
                <w:rFonts w:ascii="Sylfaen" w:hAnsi="Sylfaen" w:cs="Sylfaen"/>
                <w:sz w:val="18"/>
              </w:rPr>
              <w:t>მნიშვნელობა</w:t>
            </w:r>
          </w:p>
        </w:tc>
        <w:tc>
          <w:tcPr>
            <w:tcW w:w="1330" w:type="dxa"/>
            <w:tcBorders>
              <w:top w:val="single" w:sz="4" w:space="0" w:color="auto"/>
              <w:left w:val="single" w:sz="4" w:space="0" w:color="auto"/>
              <w:bottom w:val="single" w:sz="4" w:space="0" w:color="auto"/>
              <w:right w:val="single" w:sz="4" w:space="0" w:color="auto"/>
            </w:tcBorders>
            <w:hideMark/>
          </w:tcPr>
          <w:p w14:paraId="5FBBD06C" w14:textId="77777777" w:rsidR="00D848EC" w:rsidRPr="00D848EC" w:rsidRDefault="00D848EC" w:rsidP="00D848EC">
            <w:pPr>
              <w:rPr>
                <w:sz w:val="18"/>
              </w:rPr>
            </w:pPr>
            <w:r w:rsidRPr="00D848EC">
              <w:rPr>
                <w:rFonts w:ascii="Sylfaen" w:hAnsi="Sylfaen" w:cs="Sylfaen"/>
                <w:sz w:val="18"/>
              </w:rPr>
              <w:t>ანგარიშში</w:t>
            </w:r>
            <w:r w:rsidRPr="00D848EC">
              <w:rPr>
                <w:sz w:val="18"/>
              </w:rPr>
              <w:t xml:space="preserve"> </w:t>
            </w:r>
            <w:r w:rsidRPr="00D848EC">
              <w:rPr>
                <w:rFonts w:ascii="Sylfaen" w:hAnsi="Sylfaen" w:cs="Sylfaen"/>
                <w:sz w:val="18"/>
              </w:rPr>
              <w:t>გამოყენებ</w:t>
            </w:r>
            <w:r w:rsidRPr="00D848EC">
              <w:rPr>
                <w:sz w:val="18"/>
              </w:rPr>
              <w:t>.</w:t>
            </w:r>
          </w:p>
        </w:tc>
        <w:tc>
          <w:tcPr>
            <w:tcW w:w="1290" w:type="dxa"/>
            <w:tcBorders>
              <w:top w:val="nil"/>
              <w:left w:val="single" w:sz="4" w:space="0" w:color="auto"/>
              <w:bottom w:val="single" w:sz="4" w:space="0" w:color="auto"/>
              <w:right w:val="single" w:sz="4" w:space="0" w:color="auto"/>
            </w:tcBorders>
          </w:tcPr>
          <w:p w14:paraId="4337B638" w14:textId="77777777" w:rsidR="00D848EC" w:rsidRPr="00D848EC" w:rsidRDefault="00D848EC" w:rsidP="00D848EC">
            <w:pPr>
              <w:rPr>
                <w:sz w:val="18"/>
              </w:rPr>
            </w:pPr>
          </w:p>
        </w:tc>
        <w:tc>
          <w:tcPr>
            <w:tcW w:w="773" w:type="dxa"/>
            <w:tcBorders>
              <w:top w:val="single" w:sz="4" w:space="0" w:color="auto"/>
              <w:left w:val="single" w:sz="4" w:space="0" w:color="auto"/>
              <w:bottom w:val="single" w:sz="4" w:space="0" w:color="auto"/>
              <w:right w:val="single" w:sz="4" w:space="0" w:color="auto"/>
            </w:tcBorders>
            <w:hideMark/>
          </w:tcPr>
          <w:p w14:paraId="4B566D44" w14:textId="77777777" w:rsidR="00D848EC" w:rsidRPr="00D848EC" w:rsidRDefault="00D848EC" w:rsidP="00D848EC">
            <w:pPr>
              <w:rPr>
                <w:sz w:val="18"/>
              </w:rPr>
            </w:pPr>
            <w:r w:rsidRPr="00D848EC">
              <w:rPr>
                <w:rFonts w:ascii="Sylfaen" w:hAnsi="Sylfaen" w:cs="Sylfaen"/>
                <w:sz w:val="18"/>
              </w:rPr>
              <w:t>აღრიცხვა</w:t>
            </w:r>
          </w:p>
        </w:tc>
        <w:tc>
          <w:tcPr>
            <w:tcW w:w="833" w:type="dxa"/>
            <w:tcBorders>
              <w:top w:val="single" w:sz="4" w:space="0" w:color="auto"/>
              <w:left w:val="single" w:sz="4" w:space="0" w:color="auto"/>
              <w:bottom w:val="single" w:sz="4" w:space="0" w:color="auto"/>
              <w:right w:val="single" w:sz="4" w:space="0" w:color="auto"/>
            </w:tcBorders>
            <w:hideMark/>
          </w:tcPr>
          <w:p w14:paraId="4DAAAB42" w14:textId="77777777" w:rsidR="00D848EC" w:rsidRPr="00D848EC" w:rsidRDefault="00D848EC" w:rsidP="00D848EC">
            <w:pPr>
              <w:rPr>
                <w:sz w:val="18"/>
              </w:rPr>
            </w:pPr>
            <w:r w:rsidRPr="00D848EC">
              <w:rPr>
                <w:rFonts w:ascii="Sylfaen" w:hAnsi="Sylfaen" w:cs="Sylfaen"/>
                <w:sz w:val="18"/>
              </w:rPr>
              <w:t>ინტერპ</w:t>
            </w:r>
            <w:r w:rsidRPr="00D848EC">
              <w:rPr>
                <w:sz w:val="18"/>
              </w:rPr>
              <w:t>.</w:t>
            </w:r>
          </w:p>
        </w:tc>
      </w:tr>
      <w:tr w:rsidR="00D848EC" w:rsidRPr="00D848EC" w14:paraId="6E0E1F7A" w14:textId="77777777" w:rsidTr="00D848EC">
        <w:trPr>
          <w:jc w:val="center"/>
        </w:trPr>
        <w:tc>
          <w:tcPr>
            <w:tcW w:w="671" w:type="dxa"/>
            <w:tcBorders>
              <w:top w:val="single" w:sz="4" w:space="0" w:color="auto"/>
              <w:left w:val="single" w:sz="4" w:space="0" w:color="auto"/>
              <w:bottom w:val="single" w:sz="4" w:space="0" w:color="auto"/>
              <w:right w:val="single" w:sz="4" w:space="0" w:color="auto"/>
            </w:tcBorders>
            <w:hideMark/>
          </w:tcPr>
          <w:p w14:paraId="65962EBF" w14:textId="77777777" w:rsidR="00D848EC" w:rsidRPr="00D848EC" w:rsidRDefault="00D848EC" w:rsidP="00D848EC">
            <w:pPr>
              <w:rPr>
                <w:sz w:val="18"/>
              </w:rPr>
            </w:pPr>
            <w:r w:rsidRPr="00D848EC">
              <w:rPr>
                <w:sz w:val="18"/>
              </w:rPr>
              <w:t>0301</w:t>
            </w:r>
          </w:p>
        </w:tc>
        <w:tc>
          <w:tcPr>
            <w:tcW w:w="3374" w:type="dxa"/>
            <w:tcBorders>
              <w:top w:val="single" w:sz="4" w:space="0" w:color="auto"/>
              <w:left w:val="single" w:sz="4" w:space="0" w:color="auto"/>
              <w:bottom w:val="single" w:sz="4" w:space="0" w:color="auto"/>
              <w:right w:val="single" w:sz="4" w:space="0" w:color="auto"/>
            </w:tcBorders>
            <w:hideMark/>
          </w:tcPr>
          <w:p w14:paraId="4D8C4A33" w14:textId="77777777" w:rsidR="00D848EC" w:rsidRPr="00D848EC" w:rsidRDefault="00D848EC" w:rsidP="00D848EC">
            <w:pPr>
              <w:rPr>
                <w:sz w:val="18"/>
              </w:rPr>
            </w:pPr>
            <w:r w:rsidRPr="00D848EC">
              <w:rPr>
                <w:rFonts w:ascii="Sylfaen" w:hAnsi="Sylfaen" w:cs="Sylfaen"/>
                <w:sz w:val="18"/>
              </w:rPr>
              <w:t>აზოტის</w:t>
            </w:r>
            <w:r w:rsidRPr="00D848EC">
              <w:rPr>
                <w:sz w:val="18"/>
              </w:rPr>
              <w:t xml:space="preserve"> (IV) </w:t>
            </w:r>
            <w:r w:rsidRPr="00D848EC">
              <w:rPr>
                <w:rFonts w:ascii="Sylfaen" w:hAnsi="Sylfaen" w:cs="Sylfaen"/>
                <w:sz w:val="18"/>
              </w:rPr>
              <w:t>ოქსიდი</w:t>
            </w:r>
            <w:r w:rsidRPr="00D848EC">
              <w:rPr>
                <w:sz w:val="18"/>
              </w:rPr>
              <w:t xml:space="preserve"> (</w:t>
            </w:r>
            <w:r w:rsidRPr="00D848EC">
              <w:rPr>
                <w:rFonts w:ascii="Sylfaen" w:hAnsi="Sylfaen" w:cs="Sylfaen"/>
                <w:sz w:val="18"/>
              </w:rPr>
              <w:t>აზოტის</w:t>
            </w:r>
            <w:r w:rsidRPr="00D848EC">
              <w:rPr>
                <w:sz w:val="18"/>
              </w:rPr>
              <w:t xml:space="preserve"> </w:t>
            </w:r>
            <w:r w:rsidRPr="00D848EC">
              <w:rPr>
                <w:rFonts w:ascii="Sylfaen" w:hAnsi="Sylfaen" w:cs="Sylfaen"/>
                <w:sz w:val="18"/>
              </w:rPr>
              <w:t>დიოქსიდი</w:t>
            </w:r>
            <w:r w:rsidRPr="00D848EC">
              <w:rPr>
                <w:sz w:val="18"/>
              </w:rPr>
              <w:t>)</w:t>
            </w:r>
          </w:p>
        </w:tc>
        <w:tc>
          <w:tcPr>
            <w:tcW w:w="1109" w:type="dxa"/>
            <w:tcBorders>
              <w:top w:val="single" w:sz="4" w:space="0" w:color="auto"/>
              <w:left w:val="single" w:sz="4" w:space="0" w:color="auto"/>
              <w:bottom w:val="single" w:sz="4" w:space="0" w:color="auto"/>
              <w:right w:val="single" w:sz="4" w:space="0" w:color="auto"/>
            </w:tcBorders>
            <w:hideMark/>
          </w:tcPr>
          <w:p w14:paraId="1A076730" w14:textId="77777777" w:rsidR="00D848EC" w:rsidRPr="00D848EC" w:rsidRDefault="00D848EC" w:rsidP="00D848EC">
            <w:pPr>
              <w:rPr>
                <w:sz w:val="18"/>
              </w:rPr>
            </w:pPr>
            <w:r w:rsidRPr="00D848EC">
              <w:rPr>
                <w:rFonts w:ascii="Sylfaen" w:hAnsi="Sylfaen" w:cs="Sylfaen"/>
                <w:sz w:val="18"/>
              </w:rPr>
              <w:t>მაქს</w:t>
            </w:r>
            <w:r w:rsidRPr="00D848EC">
              <w:rPr>
                <w:sz w:val="18"/>
              </w:rPr>
              <w:t xml:space="preserve">. </w:t>
            </w:r>
            <w:r w:rsidRPr="00D848EC">
              <w:rPr>
                <w:rFonts w:ascii="Sylfaen" w:hAnsi="Sylfaen" w:cs="Sylfaen"/>
                <w:sz w:val="18"/>
              </w:rPr>
              <w:t>ერთ</w:t>
            </w:r>
            <w:r w:rsidRPr="00D848EC">
              <w:rPr>
                <w:sz w:val="18"/>
              </w:rPr>
              <w:t>.</w:t>
            </w:r>
          </w:p>
        </w:tc>
        <w:tc>
          <w:tcPr>
            <w:tcW w:w="1401" w:type="dxa"/>
            <w:tcBorders>
              <w:top w:val="single" w:sz="4" w:space="0" w:color="auto"/>
              <w:left w:val="single" w:sz="4" w:space="0" w:color="auto"/>
              <w:bottom w:val="single" w:sz="4" w:space="0" w:color="auto"/>
              <w:right w:val="single" w:sz="4" w:space="0" w:color="auto"/>
            </w:tcBorders>
            <w:hideMark/>
          </w:tcPr>
          <w:p w14:paraId="290E5C0E" w14:textId="77777777" w:rsidR="00D848EC" w:rsidRPr="00D848EC" w:rsidRDefault="00D848EC" w:rsidP="00D848EC">
            <w:pPr>
              <w:rPr>
                <w:sz w:val="18"/>
              </w:rPr>
            </w:pPr>
            <w:r w:rsidRPr="00D848EC">
              <w:rPr>
                <w:sz w:val="18"/>
              </w:rPr>
              <w:t>0,2000000</w:t>
            </w:r>
          </w:p>
        </w:tc>
        <w:tc>
          <w:tcPr>
            <w:tcW w:w="1330" w:type="dxa"/>
            <w:tcBorders>
              <w:top w:val="single" w:sz="4" w:space="0" w:color="auto"/>
              <w:left w:val="single" w:sz="4" w:space="0" w:color="auto"/>
              <w:bottom w:val="single" w:sz="4" w:space="0" w:color="auto"/>
              <w:right w:val="single" w:sz="4" w:space="0" w:color="auto"/>
            </w:tcBorders>
            <w:hideMark/>
          </w:tcPr>
          <w:p w14:paraId="26EE40BB" w14:textId="77777777" w:rsidR="00D848EC" w:rsidRPr="00D848EC" w:rsidRDefault="00D848EC" w:rsidP="00D848EC">
            <w:pPr>
              <w:rPr>
                <w:sz w:val="18"/>
              </w:rPr>
            </w:pPr>
            <w:r w:rsidRPr="00D848EC">
              <w:rPr>
                <w:sz w:val="18"/>
              </w:rPr>
              <w:t>0,2000000</w:t>
            </w:r>
          </w:p>
        </w:tc>
        <w:tc>
          <w:tcPr>
            <w:tcW w:w="1290" w:type="dxa"/>
            <w:tcBorders>
              <w:top w:val="single" w:sz="4" w:space="0" w:color="auto"/>
              <w:left w:val="single" w:sz="4" w:space="0" w:color="auto"/>
              <w:bottom w:val="single" w:sz="4" w:space="0" w:color="auto"/>
              <w:right w:val="single" w:sz="4" w:space="0" w:color="auto"/>
            </w:tcBorders>
            <w:hideMark/>
          </w:tcPr>
          <w:p w14:paraId="1D360FE4" w14:textId="77777777" w:rsidR="00D848EC" w:rsidRPr="00D848EC" w:rsidRDefault="00D848EC" w:rsidP="00D848EC">
            <w:pPr>
              <w:rPr>
                <w:sz w:val="18"/>
              </w:rPr>
            </w:pPr>
            <w:r w:rsidRPr="00D848EC">
              <w:rPr>
                <w:sz w:val="18"/>
              </w:rPr>
              <w:t>1</w:t>
            </w:r>
          </w:p>
        </w:tc>
        <w:tc>
          <w:tcPr>
            <w:tcW w:w="773" w:type="dxa"/>
            <w:tcBorders>
              <w:top w:val="single" w:sz="4" w:space="0" w:color="auto"/>
              <w:left w:val="single" w:sz="4" w:space="0" w:color="auto"/>
              <w:bottom w:val="single" w:sz="4" w:space="0" w:color="auto"/>
              <w:right w:val="single" w:sz="4" w:space="0" w:color="auto"/>
            </w:tcBorders>
            <w:hideMark/>
          </w:tcPr>
          <w:p w14:paraId="3E0C5C05" w14:textId="77777777" w:rsidR="00D848EC" w:rsidRPr="00D848EC" w:rsidRDefault="00D848EC" w:rsidP="00D848EC">
            <w:pPr>
              <w:rPr>
                <w:sz w:val="18"/>
              </w:rPr>
            </w:pPr>
            <w:r w:rsidRPr="00D848EC">
              <w:rPr>
                <w:rFonts w:ascii="Sylfaen" w:hAnsi="Sylfaen" w:cs="Sylfaen"/>
                <w:sz w:val="18"/>
              </w:rPr>
              <w:t>არა</w:t>
            </w:r>
          </w:p>
        </w:tc>
        <w:tc>
          <w:tcPr>
            <w:tcW w:w="833" w:type="dxa"/>
            <w:tcBorders>
              <w:top w:val="single" w:sz="4" w:space="0" w:color="auto"/>
              <w:left w:val="single" w:sz="4" w:space="0" w:color="auto"/>
              <w:bottom w:val="single" w:sz="4" w:space="0" w:color="auto"/>
              <w:right w:val="single" w:sz="4" w:space="0" w:color="auto"/>
            </w:tcBorders>
            <w:hideMark/>
          </w:tcPr>
          <w:p w14:paraId="7B32FC83" w14:textId="77777777" w:rsidR="00D848EC" w:rsidRPr="00D848EC" w:rsidRDefault="00D848EC" w:rsidP="00D848EC">
            <w:pPr>
              <w:rPr>
                <w:sz w:val="18"/>
              </w:rPr>
            </w:pPr>
            <w:r w:rsidRPr="00D848EC">
              <w:rPr>
                <w:rFonts w:ascii="Sylfaen" w:hAnsi="Sylfaen" w:cs="Sylfaen"/>
                <w:sz w:val="18"/>
              </w:rPr>
              <w:t>არა</w:t>
            </w:r>
          </w:p>
        </w:tc>
      </w:tr>
      <w:tr w:rsidR="00D848EC" w:rsidRPr="00D848EC" w14:paraId="634656FD" w14:textId="77777777" w:rsidTr="00D848EC">
        <w:trPr>
          <w:jc w:val="center"/>
        </w:trPr>
        <w:tc>
          <w:tcPr>
            <w:tcW w:w="671" w:type="dxa"/>
            <w:tcBorders>
              <w:top w:val="single" w:sz="4" w:space="0" w:color="auto"/>
              <w:left w:val="single" w:sz="4" w:space="0" w:color="auto"/>
              <w:bottom w:val="single" w:sz="4" w:space="0" w:color="auto"/>
              <w:right w:val="single" w:sz="4" w:space="0" w:color="auto"/>
            </w:tcBorders>
            <w:hideMark/>
          </w:tcPr>
          <w:p w14:paraId="2EDA8F1F" w14:textId="77777777" w:rsidR="00D848EC" w:rsidRPr="00D848EC" w:rsidRDefault="00D848EC" w:rsidP="00D848EC">
            <w:pPr>
              <w:rPr>
                <w:sz w:val="18"/>
              </w:rPr>
            </w:pPr>
            <w:r w:rsidRPr="00D848EC">
              <w:rPr>
                <w:sz w:val="18"/>
              </w:rPr>
              <w:t>0304</w:t>
            </w:r>
          </w:p>
        </w:tc>
        <w:tc>
          <w:tcPr>
            <w:tcW w:w="3374" w:type="dxa"/>
            <w:tcBorders>
              <w:top w:val="single" w:sz="4" w:space="0" w:color="auto"/>
              <w:left w:val="single" w:sz="4" w:space="0" w:color="auto"/>
              <w:bottom w:val="single" w:sz="4" w:space="0" w:color="auto"/>
              <w:right w:val="single" w:sz="4" w:space="0" w:color="auto"/>
            </w:tcBorders>
            <w:hideMark/>
          </w:tcPr>
          <w:p w14:paraId="11B15F39" w14:textId="77777777" w:rsidR="00D848EC" w:rsidRPr="00D848EC" w:rsidRDefault="00D848EC" w:rsidP="00D848EC">
            <w:pPr>
              <w:rPr>
                <w:sz w:val="18"/>
              </w:rPr>
            </w:pPr>
            <w:r w:rsidRPr="00D848EC">
              <w:rPr>
                <w:rFonts w:ascii="Sylfaen" w:hAnsi="Sylfaen" w:cs="Sylfaen"/>
                <w:sz w:val="18"/>
              </w:rPr>
              <w:t>აზოტის</w:t>
            </w:r>
            <w:r w:rsidRPr="00D848EC">
              <w:rPr>
                <w:sz w:val="18"/>
              </w:rPr>
              <w:t xml:space="preserve"> (II) </w:t>
            </w:r>
            <w:r w:rsidRPr="00D848EC">
              <w:rPr>
                <w:rFonts w:ascii="Sylfaen" w:hAnsi="Sylfaen" w:cs="Sylfaen"/>
                <w:sz w:val="18"/>
              </w:rPr>
              <w:t>ოქსიდი</w:t>
            </w:r>
            <w:r w:rsidRPr="00D848EC">
              <w:rPr>
                <w:sz w:val="18"/>
              </w:rPr>
              <w:t xml:space="preserve"> (</w:t>
            </w:r>
            <w:r w:rsidRPr="00D848EC">
              <w:rPr>
                <w:rFonts w:ascii="Sylfaen" w:hAnsi="Sylfaen" w:cs="Sylfaen"/>
                <w:sz w:val="18"/>
              </w:rPr>
              <w:t>აზოტის</w:t>
            </w:r>
            <w:r w:rsidRPr="00D848EC">
              <w:rPr>
                <w:sz w:val="18"/>
              </w:rPr>
              <w:t xml:space="preserve"> </w:t>
            </w:r>
            <w:r w:rsidRPr="00D848EC">
              <w:rPr>
                <w:rFonts w:ascii="Sylfaen" w:hAnsi="Sylfaen" w:cs="Sylfaen"/>
                <w:sz w:val="18"/>
              </w:rPr>
              <w:t>ოქსიდი</w:t>
            </w:r>
            <w:r w:rsidRPr="00D848EC">
              <w:rPr>
                <w:sz w:val="18"/>
              </w:rPr>
              <w:t>)</w:t>
            </w:r>
          </w:p>
        </w:tc>
        <w:tc>
          <w:tcPr>
            <w:tcW w:w="1109" w:type="dxa"/>
            <w:tcBorders>
              <w:top w:val="single" w:sz="4" w:space="0" w:color="auto"/>
              <w:left w:val="single" w:sz="4" w:space="0" w:color="auto"/>
              <w:bottom w:val="single" w:sz="4" w:space="0" w:color="auto"/>
              <w:right w:val="single" w:sz="4" w:space="0" w:color="auto"/>
            </w:tcBorders>
            <w:hideMark/>
          </w:tcPr>
          <w:p w14:paraId="5C9EC1B5" w14:textId="77777777" w:rsidR="00D848EC" w:rsidRPr="00D848EC" w:rsidRDefault="00D848EC" w:rsidP="00D848EC">
            <w:pPr>
              <w:rPr>
                <w:sz w:val="18"/>
              </w:rPr>
            </w:pPr>
            <w:r w:rsidRPr="00D848EC">
              <w:rPr>
                <w:rFonts w:ascii="Sylfaen" w:hAnsi="Sylfaen" w:cs="Sylfaen"/>
                <w:sz w:val="18"/>
              </w:rPr>
              <w:t>მაქს</w:t>
            </w:r>
            <w:r w:rsidRPr="00D848EC">
              <w:rPr>
                <w:sz w:val="18"/>
              </w:rPr>
              <w:t xml:space="preserve">. </w:t>
            </w:r>
            <w:r w:rsidRPr="00D848EC">
              <w:rPr>
                <w:rFonts w:ascii="Sylfaen" w:hAnsi="Sylfaen" w:cs="Sylfaen"/>
                <w:sz w:val="18"/>
              </w:rPr>
              <w:t>ერთ</w:t>
            </w:r>
            <w:r w:rsidRPr="00D848EC">
              <w:rPr>
                <w:sz w:val="18"/>
              </w:rPr>
              <w:t>.</w:t>
            </w:r>
          </w:p>
        </w:tc>
        <w:tc>
          <w:tcPr>
            <w:tcW w:w="1401" w:type="dxa"/>
            <w:tcBorders>
              <w:top w:val="single" w:sz="4" w:space="0" w:color="auto"/>
              <w:left w:val="single" w:sz="4" w:space="0" w:color="auto"/>
              <w:bottom w:val="single" w:sz="4" w:space="0" w:color="auto"/>
              <w:right w:val="single" w:sz="4" w:space="0" w:color="auto"/>
            </w:tcBorders>
            <w:hideMark/>
          </w:tcPr>
          <w:p w14:paraId="517A18D7" w14:textId="77777777" w:rsidR="00D848EC" w:rsidRPr="00D848EC" w:rsidRDefault="00D848EC" w:rsidP="00D848EC">
            <w:pPr>
              <w:rPr>
                <w:sz w:val="18"/>
              </w:rPr>
            </w:pPr>
            <w:r w:rsidRPr="00D848EC">
              <w:rPr>
                <w:sz w:val="18"/>
              </w:rPr>
              <w:t>0,4000000</w:t>
            </w:r>
          </w:p>
        </w:tc>
        <w:tc>
          <w:tcPr>
            <w:tcW w:w="1330" w:type="dxa"/>
            <w:tcBorders>
              <w:top w:val="single" w:sz="4" w:space="0" w:color="auto"/>
              <w:left w:val="single" w:sz="4" w:space="0" w:color="auto"/>
              <w:bottom w:val="single" w:sz="4" w:space="0" w:color="auto"/>
              <w:right w:val="single" w:sz="4" w:space="0" w:color="auto"/>
            </w:tcBorders>
            <w:hideMark/>
          </w:tcPr>
          <w:p w14:paraId="5417D303" w14:textId="77777777" w:rsidR="00D848EC" w:rsidRPr="00D848EC" w:rsidRDefault="00D848EC" w:rsidP="00D848EC">
            <w:pPr>
              <w:rPr>
                <w:sz w:val="18"/>
              </w:rPr>
            </w:pPr>
            <w:r w:rsidRPr="00D848EC">
              <w:rPr>
                <w:sz w:val="18"/>
              </w:rPr>
              <w:t>0,4000000</w:t>
            </w:r>
          </w:p>
        </w:tc>
        <w:tc>
          <w:tcPr>
            <w:tcW w:w="1290" w:type="dxa"/>
            <w:tcBorders>
              <w:top w:val="single" w:sz="4" w:space="0" w:color="auto"/>
              <w:left w:val="single" w:sz="4" w:space="0" w:color="auto"/>
              <w:bottom w:val="single" w:sz="4" w:space="0" w:color="auto"/>
              <w:right w:val="single" w:sz="4" w:space="0" w:color="auto"/>
            </w:tcBorders>
            <w:hideMark/>
          </w:tcPr>
          <w:p w14:paraId="3106EAF0" w14:textId="77777777" w:rsidR="00D848EC" w:rsidRPr="00D848EC" w:rsidRDefault="00D848EC" w:rsidP="00D848EC">
            <w:pPr>
              <w:rPr>
                <w:sz w:val="18"/>
              </w:rPr>
            </w:pPr>
            <w:r w:rsidRPr="00D848EC">
              <w:rPr>
                <w:sz w:val="18"/>
              </w:rPr>
              <w:t>1</w:t>
            </w:r>
          </w:p>
        </w:tc>
        <w:tc>
          <w:tcPr>
            <w:tcW w:w="773" w:type="dxa"/>
            <w:tcBorders>
              <w:top w:val="single" w:sz="4" w:space="0" w:color="auto"/>
              <w:left w:val="single" w:sz="4" w:space="0" w:color="auto"/>
              <w:bottom w:val="single" w:sz="4" w:space="0" w:color="auto"/>
              <w:right w:val="single" w:sz="4" w:space="0" w:color="auto"/>
            </w:tcBorders>
            <w:hideMark/>
          </w:tcPr>
          <w:p w14:paraId="716FD2A6" w14:textId="77777777" w:rsidR="00D848EC" w:rsidRPr="00D848EC" w:rsidRDefault="00D848EC" w:rsidP="00D848EC">
            <w:pPr>
              <w:rPr>
                <w:sz w:val="18"/>
              </w:rPr>
            </w:pPr>
            <w:r w:rsidRPr="00D848EC">
              <w:rPr>
                <w:rFonts w:ascii="Sylfaen" w:hAnsi="Sylfaen" w:cs="Sylfaen"/>
                <w:sz w:val="18"/>
              </w:rPr>
              <w:t>არა</w:t>
            </w:r>
          </w:p>
        </w:tc>
        <w:tc>
          <w:tcPr>
            <w:tcW w:w="833" w:type="dxa"/>
            <w:tcBorders>
              <w:top w:val="single" w:sz="4" w:space="0" w:color="auto"/>
              <w:left w:val="single" w:sz="4" w:space="0" w:color="auto"/>
              <w:bottom w:val="single" w:sz="4" w:space="0" w:color="auto"/>
              <w:right w:val="single" w:sz="4" w:space="0" w:color="auto"/>
            </w:tcBorders>
            <w:hideMark/>
          </w:tcPr>
          <w:p w14:paraId="69F125DC" w14:textId="77777777" w:rsidR="00D848EC" w:rsidRPr="00D848EC" w:rsidRDefault="00D848EC" w:rsidP="00D848EC">
            <w:pPr>
              <w:rPr>
                <w:sz w:val="18"/>
              </w:rPr>
            </w:pPr>
            <w:r w:rsidRPr="00D848EC">
              <w:rPr>
                <w:rFonts w:ascii="Sylfaen" w:hAnsi="Sylfaen" w:cs="Sylfaen"/>
                <w:sz w:val="18"/>
              </w:rPr>
              <w:t>არა</w:t>
            </w:r>
          </w:p>
        </w:tc>
      </w:tr>
      <w:tr w:rsidR="00D848EC" w:rsidRPr="00D848EC" w14:paraId="0C835E54" w14:textId="77777777" w:rsidTr="00D848EC">
        <w:trPr>
          <w:jc w:val="center"/>
        </w:trPr>
        <w:tc>
          <w:tcPr>
            <w:tcW w:w="671" w:type="dxa"/>
            <w:tcBorders>
              <w:top w:val="single" w:sz="4" w:space="0" w:color="auto"/>
              <w:left w:val="single" w:sz="4" w:space="0" w:color="auto"/>
              <w:bottom w:val="single" w:sz="4" w:space="0" w:color="auto"/>
              <w:right w:val="single" w:sz="4" w:space="0" w:color="auto"/>
            </w:tcBorders>
            <w:hideMark/>
          </w:tcPr>
          <w:p w14:paraId="1C842199" w14:textId="77777777" w:rsidR="00D848EC" w:rsidRPr="00D848EC" w:rsidRDefault="00D848EC" w:rsidP="00D848EC">
            <w:pPr>
              <w:rPr>
                <w:sz w:val="18"/>
              </w:rPr>
            </w:pPr>
            <w:r w:rsidRPr="00D848EC">
              <w:rPr>
                <w:sz w:val="18"/>
              </w:rPr>
              <w:t>0328</w:t>
            </w:r>
          </w:p>
        </w:tc>
        <w:tc>
          <w:tcPr>
            <w:tcW w:w="3374" w:type="dxa"/>
            <w:tcBorders>
              <w:top w:val="single" w:sz="4" w:space="0" w:color="auto"/>
              <w:left w:val="single" w:sz="4" w:space="0" w:color="auto"/>
              <w:bottom w:val="single" w:sz="4" w:space="0" w:color="auto"/>
              <w:right w:val="single" w:sz="4" w:space="0" w:color="auto"/>
            </w:tcBorders>
            <w:hideMark/>
          </w:tcPr>
          <w:p w14:paraId="14099D76" w14:textId="77777777" w:rsidR="00D848EC" w:rsidRPr="00D848EC" w:rsidRDefault="00D848EC" w:rsidP="00D848EC">
            <w:pPr>
              <w:rPr>
                <w:sz w:val="18"/>
              </w:rPr>
            </w:pPr>
            <w:r w:rsidRPr="00D848EC">
              <w:rPr>
                <w:rFonts w:ascii="Sylfaen" w:hAnsi="Sylfaen" w:cs="Sylfaen"/>
                <w:sz w:val="18"/>
              </w:rPr>
              <w:t>შავი</w:t>
            </w:r>
            <w:r w:rsidRPr="00D848EC">
              <w:rPr>
                <w:sz w:val="18"/>
              </w:rPr>
              <w:t xml:space="preserve"> </w:t>
            </w:r>
            <w:r w:rsidRPr="00D848EC">
              <w:rPr>
                <w:rFonts w:ascii="Sylfaen" w:hAnsi="Sylfaen" w:cs="Sylfaen"/>
                <w:sz w:val="18"/>
              </w:rPr>
              <w:t>ნახშირბადი</w:t>
            </w:r>
            <w:r w:rsidRPr="00D848EC">
              <w:rPr>
                <w:sz w:val="18"/>
              </w:rPr>
              <w:t xml:space="preserve"> (</w:t>
            </w:r>
            <w:r w:rsidRPr="00D848EC">
              <w:rPr>
                <w:rFonts w:ascii="Sylfaen" w:hAnsi="Sylfaen" w:cs="Sylfaen"/>
                <w:sz w:val="18"/>
              </w:rPr>
              <w:t>ჭვარტლი</w:t>
            </w:r>
            <w:r w:rsidRPr="00D848EC">
              <w:rPr>
                <w:sz w:val="18"/>
              </w:rPr>
              <w:t>)</w:t>
            </w:r>
          </w:p>
        </w:tc>
        <w:tc>
          <w:tcPr>
            <w:tcW w:w="1109" w:type="dxa"/>
            <w:tcBorders>
              <w:top w:val="single" w:sz="4" w:space="0" w:color="auto"/>
              <w:left w:val="single" w:sz="4" w:space="0" w:color="auto"/>
              <w:bottom w:val="single" w:sz="4" w:space="0" w:color="auto"/>
              <w:right w:val="single" w:sz="4" w:space="0" w:color="auto"/>
            </w:tcBorders>
            <w:hideMark/>
          </w:tcPr>
          <w:p w14:paraId="4FEA7828" w14:textId="77777777" w:rsidR="00D848EC" w:rsidRPr="00D848EC" w:rsidRDefault="00D848EC" w:rsidP="00D848EC">
            <w:pPr>
              <w:rPr>
                <w:sz w:val="18"/>
              </w:rPr>
            </w:pPr>
            <w:r w:rsidRPr="00D848EC">
              <w:rPr>
                <w:rFonts w:ascii="Sylfaen" w:hAnsi="Sylfaen" w:cs="Sylfaen"/>
                <w:sz w:val="18"/>
              </w:rPr>
              <w:t>მაქს</w:t>
            </w:r>
            <w:r w:rsidRPr="00D848EC">
              <w:rPr>
                <w:sz w:val="18"/>
              </w:rPr>
              <w:t xml:space="preserve">. </w:t>
            </w:r>
            <w:r w:rsidRPr="00D848EC">
              <w:rPr>
                <w:rFonts w:ascii="Sylfaen" w:hAnsi="Sylfaen" w:cs="Sylfaen"/>
                <w:sz w:val="18"/>
              </w:rPr>
              <w:t>ერთ</w:t>
            </w:r>
            <w:r w:rsidRPr="00D848EC">
              <w:rPr>
                <w:sz w:val="18"/>
              </w:rPr>
              <w:t>.</w:t>
            </w:r>
          </w:p>
        </w:tc>
        <w:tc>
          <w:tcPr>
            <w:tcW w:w="1401" w:type="dxa"/>
            <w:tcBorders>
              <w:top w:val="single" w:sz="4" w:space="0" w:color="auto"/>
              <w:left w:val="single" w:sz="4" w:space="0" w:color="auto"/>
              <w:bottom w:val="single" w:sz="4" w:space="0" w:color="auto"/>
              <w:right w:val="single" w:sz="4" w:space="0" w:color="auto"/>
            </w:tcBorders>
            <w:hideMark/>
          </w:tcPr>
          <w:p w14:paraId="71106A86" w14:textId="77777777" w:rsidR="00D848EC" w:rsidRPr="00D848EC" w:rsidRDefault="00D848EC" w:rsidP="00D848EC">
            <w:pPr>
              <w:rPr>
                <w:sz w:val="18"/>
              </w:rPr>
            </w:pPr>
            <w:r w:rsidRPr="00D848EC">
              <w:rPr>
                <w:sz w:val="18"/>
              </w:rPr>
              <w:t>0,1500000</w:t>
            </w:r>
          </w:p>
        </w:tc>
        <w:tc>
          <w:tcPr>
            <w:tcW w:w="1330" w:type="dxa"/>
            <w:tcBorders>
              <w:top w:val="single" w:sz="4" w:space="0" w:color="auto"/>
              <w:left w:val="single" w:sz="4" w:space="0" w:color="auto"/>
              <w:bottom w:val="single" w:sz="4" w:space="0" w:color="auto"/>
              <w:right w:val="single" w:sz="4" w:space="0" w:color="auto"/>
            </w:tcBorders>
            <w:hideMark/>
          </w:tcPr>
          <w:p w14:paraId="1DD38846" w14:textId="77777777" w:rsidR="00D848EC" w:rsidRPr="00D848EC" w:rsidRDefault="00D848EC" w:rsidP="00D848EC">
            <w:pPr>
              <w:rPr>
                <w:sz w:val="18"/>
              </w:rPr>
            </w:pPr>
            <w:r w:rsidRPr="00D848EC">
              <w:rPr>
                <w:sz w:val="18"/>
              </w:rPr>
              <w:t>0,1500000</w:t>
            </w:r>
          </w:p>
        </w:tc>
        <w:tc>
          <w:tcPr>
            <w:tcW w:w="1290" w:type="dxa"/>
            <w:tcBorders>
              <w:top w:val="single" w:sz="4" w:space="0" w:color="auto"/>
              <w:left w:val="single" w:sz="4" w:space="0" w:color="auto"/>
              <w:bottom w:val="single" w:sz="4" w:space="0" w:color="auto"/>
              <w:right w:val="single" w:sz="4" w:space="0" w:color="auto"/>
            </w:tcBorders>
            <w:hideMark/>
          </w:tcPr>
          <w:p w14:paraId="571FA6FE" w14:textId="77777777" w:rsidR="00D848EC" w:rsidRPr="00D848EC" w:rsidRDefault="00D848EC" w:rsidP="00D848EC">
            <w:pPr>
              <w:rPr>
                <w:sz w:val="18"/>
              </w:rPr>
            </w:pPr>
            <w:r w:rsidRPr="00D848EC">
              <w:rPr>
                <w:sz w:val="18"/>
              </w:rPr>
              <w:t>1</w:t>
            </w:r>
          </w:p>
        </w:tc>
        <w:tc>
          <w:tcPr>
            <w:tcW w:w="773" w:type="dxa"/>
            <w:tcBorders>
              <w:top w:val="single" w:sz="4" w:space="0" w:color="auto"/>
              <w:left w:val="single" w:sz="4" w:space="0" w:color="auto"/>
              <w:bottom w:val="single" w:sz="4" w:space="0" w:color="auto"/>
              <w:right w:val="single" w:sz="4" w:space="0" w:color="auto"/>
            </w:tcBorders>
            <w:hideMark/>
          </w:tcPr>
          <w:p w14:paraId="745635A3" w14:textId="77777777" w:rsidR="00D848EC" w:rsidRPr="00D848EC" w:rsidRDefault="00D848EC" w:rsidP="00D848EC">
            <w:pPr>
              <w:rPr>
                <w:sz w:val="18"/>
              </w:rPr>
            </w:pPr>
            <w:r w:rsidRPr="00D848EC">
              <w:rPr>
                <w:rFonts w:ascii="Sylfaen" w:hAnsi="Sylfaen" w:cs="Sylfaen"/>
                <w:sz w:val="18"/>
              </w:rPr>
              <w:t>არა</w:t>
            </w:r>
          </w:p>
        </w:tc>
        <w:tc>
          <w:tcPr>
            <w:tcW w:w="833" w:type="dxa"/>
            <w:tcBorders>
              <w:top w:val="single" w:sz="4" w:space="0" w:color="auto"/>
              <w:left w:val="single" w:sz="4" w:space="0" w:color="auto"/>
              <w:bottom w:val="single" w:sz="4" w:space="0" w:color="auto"/>
              <w:right w:val="single" w:sz="4" w:space="0" w:color="auto"/>
            </w:tcBorders>
            <w:hideMark/>
          </w:tcPr>
          <w:p w14:paraId="2A54A67A" w14:textId="77777777" w:rsidR="00D848EC" w:rsidRPr="00D848EC" w:rsidRDefault="00D848EC" w:rsidP="00D848EC">
            <w:pPr>
              <w:rPr>
                <w:sz w:val="18"/>
              </w:rPr>
            </w:pPr>
            <w:r w:rsidRPr="00D848EC">
              <w:rPr>
                <w:rFonts w:ascii="Sylfaen" w:hAnsi="Sylfaen" w:cs="Sylfaen"/>
                <w:sz w:val="18"/>
              </w:rPr>
              <w:t>არა</w:t>
            </w:r>
          </w:p>
        </w:tc>
      </w:tr>
      <w:tr w:rsidR="00D848EC" w:rsidRPr="00D848EC" w14:paraId="4E8053FB" w14:textId="77777777" w:rsidTr="00D848EC">
        <w:trPr>
          <w:jc w:val="center"/>
        </w:trPr>
        <w:tc>
          <w:tcPr>
            <w:tcW w:w="671" w:type="dxa"/>
            <w:tcBorders>
              <w:top w:val="single" w:sz="4" w:space="0" w:color="auto"/>
              <w:left w:val="single" w:sz="4" w:space="0" w:color="auto"/>
              <w:bottom w:val="single" w:sz="4" w:space="0" w:color="auto"/>
              <w:right w:val="single" w:sz="4" w:space="0" w:color="auto"/>
            </w:tcBorders>
            <w:hideMark/>
          </w:tcPr>
          <w:p w14:paraId="26C68559" w14:textId="77777777" w:rsidR="00D848EC" w:rsidRPr="00D848EC" w:rsidRDefault="00D848EC" w:rsidP="00D848EC">
            <w:pPr>
              <w:rPr>
                <w:sz w:val="18"/>
              </w:rPr>
            </w:pPr>
            <w:r w:rsidRPr="00D848EC">
              <w:rPr>
                <w:sz w:val="18"/>
              </w:rPr>
              <w:t>0330</w:t>
            </w:r>
          </w:p>
        </w:tc>
        <w:tc>
          <w:tcPr>
            <w:tcW w:w="3374" w:type="dxa"/>
            <w:tcBorders>
              <w:top w:val="single" w:sz="4" w:space="0" w:color="auto"/>
              <w:left w:val="single" w:sz="4" w:space="0" w:color="auto"/>
              <w:bottom w:val="single" w:sz="4" w:space="0" w:color="auto"/>
              <w:right w:val="single" w:sz="4" w:space="0" w:color="auto"/>
            </w:tcBorders>
            <w:hideMark/>
          </w:tcPr>
          <w:p w14:paraId="28F67017" w14:textId="77777777" w:rsidR="00D848EC" w:rsidRPr="00D848EC" w:rsidRDefault="00D848EC" w:rsidP="00D848EC">
            <w:pPr>
              <w:rPr>
                <w:sz w:val="18"/>
              </w:rPr>
            </w:pPr>
            <w:r w:rsidRPr="00D848EC">
              <w:rPr>
                <w:rFonts w:ascii="Sylfaen" w:hAnsi="Sylfaen" w:cs="Sylfaen"/>
                <w:sz w:val="18"/>
              </w:rPr>
              <w:t>გოგირდის</w:t>
            </w:r>
            <w:r w:rsidRPr="00D848EC">
              <w:rPr>
                <w:sz w:val="18"/>
              </w:rPr>
              <w:t xml:space="preserve"> </w:t>
            </w:r>
            <w:r w:rsidRPr="00D848EC">
              <w:rPr>
                <w:rFonts w:ascii="Sylfaen" w:hAnsi="Sylfaen" w:cs="Sylfaen"/>
                <w:sz w:val="18"/>
              </w:rPr>
              <w:t>დიოქსიდი</w:t>
            </w:r>
          </w:p>
        </w:tc>
        <w:tc>
          <w:tcPr>
            <w:tcW w:w="1109" w:type="dxa"/>
            <w:tcBorders>
              <w:top w:val="single" w:sz="4" w:space="0" w:color="auto"/>
              <w:left w:val="single" w:sz="4" w:space="0" w:color="auto"/>
              <w:bottom w:val="single" w:sz="4" w:space="0" w:color="auto"/>
              <w:right w:val="single" w:sz="4" w:space="0" w:color="auto"/>
            </w:tcBorders>
            <w:hideMark/>
          </w:tcPr>
          <w:p w14:paraId="1136E425" w14:textId="77777777" w:rsidR="00D848EC" w:rsidRPr="00D848EC" w:rsidRDefault="00D848EC" w:rsidP="00D848EC">
            <w:pPr>
              <w:rPr>
                <w:sz w:val="18"/>
              </w:rPr>
            </w:pPr>
            <w:r w:rsidRPr="00D848EC">
              <w:rPr>
                <w:rFonts w:ascii="Sylfaen" w:hAnsi="Sylfaen" w:cs="Sylfaen"/>
                <w:sz w:val="18"/>
              </w:rPr>
              <w:t>მაქს</w:t>
            </w:r>
            <w:r w:rsidRPr="00D848EC">
              <w:rPr>
                <w:sz w:val="18"/>
              </w:rPr>
              <w:t xml:space="preserve">. </w:t>
            </w:r>
            <w:r w:rsidRPr="00D848EC">
              <w:rPr>
                <w:rFonts w:ascii="Sylfaen" w:hAnsi="Sylfaen" w:cs="Sylfaen"/>
                <w:sz w:val="18"/>
              </w:rPr>
              <w:t>ერთ</w:t>
            </w:r>
            <w:r w:rsidRPr="00D848EC">
              <w:rPr>
                <w:sz w:val="18"/>
              </w:rPr>
              <w:t>.</w:t>
            </w:r>
          </w:p>
        </w:tc>
        <w:tc>
          <w:tcPr>
            <w:tcW w:w="1401" w:type="dxa"/>
            <w:tcBorders>
              <w:top w:val="single" w:sz="4" w:space="0" w:color="auto"/>
              <w:left w:val="single" w:sz="4" w:space="0" w:color="auto"/>
              <w:bottom w:val="single" w:sz="4" w:space="0" w:color="auto"/>
              <w:right w:val="single" w:sz="4" w:space="0" w:color="auto"/>
            </w:tcBorders>
            <w:hideMark/>
          </w:tcPr>
          <w:p w14:paraId="01DB255B" w14:textId="77777777" w:rsidR="00D848EC" w:rsidRPr="00D848EC" w:rsidRDefault="00D848EC" w:rsidP="00D848EC">
            <w:pPr>
              <w:rPr>
                <w:sz w:val="18"/>
              </w:rPr>
            </w:pPr>
            <w:r w:rsidRPr="00D848EC">
              <w:rPr>
                <w:sz w:val="18"/>
              </w:rPr>
              <w:t>0,5000000</w:t>
            </w:r>
          </w:p>
        </w:tc>
        <w:tc>
          <w:tcPr>
            <w:tcW w:w="1330" w:type="dxa"/>
            <w:tcBorders>
              <w:top w:val="single" w:sz="4" w:space="0" w:color="auto"/>
              <w:left w:val="single" w:sz="4" w:space="0" w:color="auto"/>
              <w:bottom w:val="single" w:sz="4" w:space="0" w:color="auto"/>
              <w:right w:val="single" w:sz="4" w:space="0" w:color="auto"/>
            </w:tcBorders>
            <w:hideMark/>
          </w:tcPr>
          <w:p w14:paraId="4F34B33A" w14:textId="77777777" w:rsidR="00D848EC" w:rsidRPr="00D848EC" w:rsidRDefault="00D848EC" w:rsidP="00D848EC">
            <w:pPr>
              <w:rPr>
                <w:sz w:val="18"/>
              </w:rPr>
            </w:pPr>
            <w:r w:rsidRPr="00D848EC">
              <w:rPr>
                <w:sz w:val="18"/>
              </w:rPr>
              <w:t>0,5000000</w:t>
            </w:r>
          </w:p>
        </w:tc>
        <w:tc>
          <w:tcPr>
            <w:tcW w:w="1290" w:type="dxa"/>
            <w:tcBorders>
              <w:top w:val="single" w:sz="4" w:space="0" w:color="auto"/>
              <w:left w:val="single" w:sz="4" w:space="0" w:color="auto"/>
              <w:bottom w:val="single" w:sz="4" w:space="0" w:color="auto"/>
              <w:right w:val="single" w:sz="4" w:space="0" w:color="auto"/>
            </w:tcBorders>
            <w:hideMark/>
          </w:tcPr>
          <w:p w14:paraId="33CCA77E" w14:textId="77777777" w:rsidR="00D848EC" w:rsidRPr="00D848EC" w:rsidRDefault="00D848EC" w:rsidP="00D848EC">
            <w:pPr>
              <w:rPr>
                <w:sz w:val="18"/>
              </w:rPr>
            </w:pPr>
            <w:r w:rsidRPr="00D848EC">
              <w:rPr>
                <w:sz w:val="18"/>
              </w:rPr>
              <w:t>1</w:t>
            </w:r>
          </w:p>
        </w:tc>
        <w:tc>
          <w:tcPr>
            <w:tcW w:w="773" w:type="dxa"/>
            <w:tcBorders>
              <w:top w:val="single" w:sz="4" w:space="0" w:color="auto"/>
              <w:left w:val="single" w:sz="4" w:space="0" w:color="auto"/>
              <w:bottom w:val="single" w:sz="4" w:space="0" w:color="auto"/>
              <w:right w:val="single" w:sz="4" w:space="0" w:color="auto"/>
            </w:tcBorders>
            <w:hideMark/>
          </w:tcPr>
          <w:p w14:paraId="4D425B13" w14:textId="77777777" w:rsidR="00D848EC" w:rsidRPr="00D848EC" w:rsidRDefault="00D848EC" w:rsidP="00D848EC">
            <w:pPr>
              <w:rPr>
                <w:sz w:val="18"/>
              </w:rPr>
            </w:pPr>
            <w:r w:rsidRPr="00D848EC">
              <w:rPr>
                <w:rFonts w:ascii="Sylfaen" w:hAnsi="Sylfaen" w:cs="Sylfaen"/>
                <w:sz w:val="18"/>
              </w:rPr>
              <w:t>არა</w:t>
            </w:r>
          </w:p>
        </w:tc>
        <w:tc>
          <w:tcPr>
            <w:tcW w:w="833" w:type="dxa"/>
            <w:tcBorders>
              <w:top w:val="single" w:sz="4" w:space="0" w:color="auto"/>
              <w:left w:val="single" w:sz="4" w:space="0" w:color="auto"/>
              <w:bottom w:val="single" w:sz="4" w:space="0" w:color="auto"/>
              <w:right w:val="single" w:sz="4" w:space="0" w:color="auto"/>
            </w:tcBorders>
            <w:hideMark/>
          </w:tcPr>
          <w:p w14:paraId="05ACBAA1" w14:textId="77777777" w:rsidR="00D848EC" w:rsidRPr="00D848EC" w:rsidRDefault="00D848EC" w:rsidP="00D848EC">
            <w:pPr>
              <w:rPr>
                <w:sz w:val="18"/>
              </w:rPr>
            </w:pPr>
            <w:r w:rsidRPr="00D848EC">
              <w:rPr>
                <w:rFonts w:ascii="Sylfaen" w:hAnsi="Sylfaen" w:cs="Sylfaen"/>
                <w:sz w:val="18"/>
              </w:rPr>
              <w:t>არა</w:t>
            </w:r>
          </w:p>
        </w:tc>
      </w:tr>
      <w:tr w:rsidR="00D848EC" w:rsidRPr="00D848EC" w14:paraId="696E7E12" w14:textId="77777777" w:rsidTr="00D848EC">
        <w:trPr>
          <w:jc w:val="center"/>
        </w:trPr>
        <w:tc>
          <w:tcPr>
            <w:tcW w:w="671" w:type="dxa"/>
            <w:tcBorders>
              <w:top w:val="single" w:sz="4" w:space="0" w:color="auto"/>
              <w:left w:val="single" w:sz="4" w:space="0" w:color="auto"/>
              <w:bottom w:val="single" w:sz="4" w:space="0" w:color="auto"/>
              <w:right w:val="single" w:sz="4" w:space="0" w:color="auto"/>
            </w:tcBorders>
            <w:hideMark/>
          </w:tcPr>
          <w:p w14:paraId="2C22A571" w14:textId="77777777" w:rsidR="00D848EC" w:rsidRPr="00D848EC" w:rsidRDefault="00D848EC" w:rsidP="00D848EC">
            <w:pPr>
              <w:rPr>
                <w:sz w:val="18"/>
              </w:rPr>
            </w:pPr>
            <w:r w:rsidRPr="00D848EC">
              <w:rPr>
                <w:sz w:val="18"/>
              </w:rPr>
              <w:t>0333</w:t>
            </w:r>
          </w:p>
        </w:tc>
        <w:tc>
          <w:tcPr>
            <w:tcW w:w="3374" w:type="dxa"/>
            <w:tcBorders>
              <w:top w:val="single" w:sz="4" w:space="0" w:color="auto"/>
              <w:left w:val="single" w:sz="4" w:space="0" w:color="auto"/>
              <w:bottom w:val="single" w:sz="4" w:space="0" w:color="auto"/>
              <w:right w:val="single" w:sz="4" w:space="0" w:color="auto"/>
            </w:tcBorders>
            <w:hideMark/>
          </w:tcPr>
          <w:p w14:paraId="4831B10C" w14:textId="77777777" w:rsidR="00D848EC" w:rsidRPr="00D848EC" w:rsidRDefault="00D848EC" w:rsidP="00D848EC">
            <w:pPr>
              <w:rPr>
                <w:sz w:val="18"/>
              </w:rPr>
            </w:pPr>
            <w:r w:rsidRPr="00D848EC">
              <w:rPr>
                <w:rFonts w:ascii="Sylfaen" w:hAnsi="Sylfaen" w:cs="Sylfaen"/>
                <w:sz w:val="18"/>
              </w:rPr>
              <w:t>გოგირდწყალბადი</w:t>
            </w:r>
          </w:p>
        </w:tc>
        <w:tc>
          <w:tcPr>
            <w:tcW w:w="1109" w:type="dxa"/>
            <w:tcBorders>
              <w:top w:val="single" w:sz="4" w:space="0" w:color="auto"/>
              <w:left w:val="single" w:sz="4" w:space="0" w:color="auto"/>
              <w:bottom w:val="single" w:sz="4" w:space="0" w:color="auto"/>
              <w:right w:val="single" w:sz="4" w:space="0" w:color="auto"/>
            </w:tcBorders>
            <w:hideMark/>
          </w:tcPr>
          <w:p w14:paraId="356200C3" w14:textId="77777777" w:rsidR="00D848EC" w:rsidRPr="00D848EC" w:rsidRDefault="00D848EC" w:rsidP="00D848EC">
            <w:pPr>
              <w:rPr>
                <w:sz w:val="18"/>
              </w:rPr>
            </w:pPr>
            <w:r w:rsidRPr="00D848EC">
              <w:rPr>
                <w:rFonts w:ascii="Sylfaen" w:hAnsi="Sylfaen" w:cs="Sylfaen"/>
                <w:sz w:val="18"/>
              </w:rPr>
              <w:t>მაქს</w:t>
            </w:r>
            <w:r w:rsidRPr="00D848EC">
              <w:rPr>
                <w:sz w:val="18"/>
              </w:rPr>
              <w:t xml:space="preserve">. </w:t>
            </w:r>
            <w:r w:rsidRPr="00D848EC">
              <w:rPr>
                <w:rFonts w:ascii="Sylfaen" w:hAnsi="Sylfaen" w:cs="Sylfaen"/>
                <w:sz w:val="18"/>
              </w:rPr>
              <w:t>ერთ</w:t>
            </w:r>
            <w:r w:rsidRPr="00D848EC">
              <w:rPr>
                <w:sz w:val="18"/>
              </w:rPr>
              <w:t>.</w:t>
            </w:r>
          </w:p>
        </w:tc>
        <w:tc>
          <w:tcPr>
            <w:tcW w:w="1401" w:type="dxa"/>
            <w:tcBorders>
              <w:top w:val="single" w:sz="4" w:space="0" w:color="auto"/>
              <w:left w:val="single" w:sz="4" w:space="0" w:color="auto"/>
              <w:bottom w:val="single" w:sz="4" w:space="0" w:color="auto"/>
              <w:right w:val="single" w:sz="4" w:space="0" w:color="auto"/>
            </w:tcBorders>
            <w:hideMark/>
          </w:tcPr>
          <w:p w14:paraId="0BC405CB" w14:textId="77777777" w:rsidR="00D848EC" w:rsidRPr="00D848EC" w:rsidRDefault="00D848EC" w:rsidP="00D848EC">
            <w:pPr>
              <w:rPr>
                <w:sz w:val="18"/>
              </w:rPr>
            </w:pPr>
            <w:r w:rsidRPr="00D848EC">
              <w:rPr>
                <w:sz w:val="18"/>
              </w:rPr>
              <w:t>0,0080000</w:t>
            </w:r>
          </w:p>
        </w:tc>
        <w:tc>
          <w:tcPr>
            <w:tcW w:w="1330" w:type="dxa"/>
            <w:tcBorders>
              <w:top w:val="single" w:sz="4" w:space="0" w:color="auto"/>
              <w:left w:val="single" w:sz="4" w:space="0" w:color="auto"/>
              <w:bottom w:val="single" w:sz="4" w:space="0" w:color="auto"/>
              <w:right w:val="single" w:sz="4" w:space="0" w:color="auto"/>
            </w:tcBorders>
            <w:hideMark/>
          </w:tcPr>
          <w:p w14:paraId="7A1F0520" w14:textId="77777777" w:rsidR="00D848EC" w:rsidRPr="00D848EC" w:rsidRDefault="00D848EC" w:rsidP="00D848EC">
            <w:pPr>
              <w:rPr>
                <w:sz w:val="18"/>
              </w:rPr>
            </w:pPr>
            <w:r w:rsidRPr="00D848EC">
              <w:rPr>
                <w:sz w:val="18"/>
              </w:rPr>
              <w:t>0,0080000</w:t>
            </w:r>
          </w:p>
        </w:tc>
        <w:tc>
          <w:tcPr>
            <w:tcW w:w="1290" w:type="dxa"/>
            <w:tcBorders>
              <w:top w:val="single" w:sz="4" w:space="0" w:color="auto"/>
              <w:left w:val="single" w:sz="4" w:space="0" w:color="auto"/>
              <w:bottom w:val="single" w:sz="4" w:space="0" w:color="auto"/>
              <w:right w:val="single" w:sz="4" w:space="0" w:color="auto"/>
            </w:tcBorders>
            <w:hideMark/>
          </w:tcPr>
          <w:p w14:paraId="1314884D" w14:textId="77777777" w:rsidR="00D848EC" w:rsidRPr="00D848EC" w:rsidRDefault="00D848EC" w:rsidP="00D848EC">
            <w:pPr>
              <w:rPr>
                <w:sz w:val="18"/>
              </w:rPr>
            </w:pPr>
            <w:r w:rsidRPr="00D848EC">
              <w:rPr>
                <w:sz w:val="18"/>
              </w:rPr>
              <w:t>1</w:t>
            </w:r>
          </w:p>
        </w:tc>
        <w:tc>
          <w:tcPr>
            <w:tcW w:w="773" w:type="dxa"/>
            <w:tcBorders>
              <w:top w:val="single" w:sz="4" w:space="0" w:color="auto"/>
              <w:left w:val="single" w:sz="4" w:space="0" w:color="auto"/>
              <w:bottom w:val="single" w:sz="4" w:space="0" w:color="auto"/>
              <w:right w:val="single" w:sz="4" w:space="0" w:color="auto"/>
            </w:tcBorders>
            <w:hideMark/>
          </w:tcPr>
          <w:p w14:paraId="15BDA633" w14:textId="77777777" w:rsidR="00D848EC" w:rsidRPr="00D848EC" w:rsidRDefault="00D848EC" w:rsidP="00D848EC">
            <w:pPr>
              <w:rPr>
                <w:sz w:val="18"/>
              </w:rPr>
            </w:pPr>
            <w:r w:rsidRPr="00D848EC">
              <w:rPr>
                <w:rFonts w:ascii="Sylfaen" w:hAnsi="Sylfaen" w:cs="Sylfaen"/>
                <w:sz w:val="18"/>
              </w:rPr>
              <w:t>არა</w:t>
            </w:r>
          </w:p>
        </w:tc>
        <w:tc>
          <w:tcPr>
            <w:tcW w:w="833" w:type="dxa"/>
            <w:tcBorders>
              <w:top w:val="single" w:sz="4" w:space="0" w:color="auto"/>
              <w:left w:val="single" w:sz="4" w:space="0" w:color="auto"/>
              <w:bottom w:val="single" w:sz="4" w:space="0" w:color="auto"/>
              <w:right w:val="single" w:sz="4" w:space="0" w:color="auto"/>
            </w:tcBorders>
            <w:hideMark/>
          </w:tcPr>
          <w:p w14:paraId="279DBD28" w14:textId="77777777" w:rsidR="00D848EC" w:rsidRPr="00D848EC" w:rsidRDefault="00D848EC" w:rsidP="00D848EC">
            <w:pPr>
              <w:rPr>
                <w:sz w:val="18"/>
              </w:rPr>
            </w:pPr>
            <w:r w:rsidRPr="00D848EC">
              <w:rPr>
                <w:rFonts w:ascii="Sylfaen" w:hAnsi="Sylfaen" w:cs="Sylfaen"/>
                <w:sz w:val="18"/>
              </w:rPr>
              <w:t>არა</w:t>
            </w:r>
          </w:p>
        </w:tc>
      </w:tr>
      <w:tr w:rsidR="00D848EC" w:rsidRPr="00D848EC" w14:paraId="5971C325" w14:textId="77777777" w:rsidTr="00D848EC">
        <w:trPr>
          <w:jc w:val="center"/>
        </w:trPr>
        <w:tc>
          <w:tcPr>
            <w:tcW w:w="671" w:type="dxa"/>
            <w:tcBorders>
              <w:top w:val="single" w:sz="4" w:space="0" w:color="auto"/>
              <w:left w:val="single" w:sz="4" w:space="0" w:color="auto"/>
              <w:bottom w:val="single" w:sz="4" w:space="0" w:color="auto"/>
              <w:right w:val="single" w:sz="4" w:space="0" w:color="auto"/>
            </w:tcBorders>
            <w:hideMark/>
          </w:tcPr>
          <w:p w14:paraId="4EE770E0" w14:textId="77777777" w:rsidR="00D848EC" w:rsidRPr="00D848EC" w:rsidRDefault="00D848EC" w:rsidP="00D848EC">
            <w:pPr>
              <w:rPr>
                <w:sz w:val="18"/>
              </w:rPr>
            </w:pPr>
            <w:r w:rsidRPr="00D848EC">
              <w:rPr>
                <w:sz w:val="18"/>
              </w:rPr>
              <w:t>0337</w:t>
            </w:r>
          </w:p>
        </w:tc>
        <w:tc>
          <w:tcPr>
            <w:tcW w:w="3374" w:type="dxa"/>
            <w:tcBorders>
              <w:top w:val="single" w:sz="4" w:space="0" w:color="auto"/>
              <w:left w:val="single" w:sz="4" w:space="0" w:color="auto"/>
              <w:bottom w:val="single" w:sz="4" w:space="0" w:color="auto"/>
              <w:right w:val="single" w:sz="4" w:space="0" w:color="auto"/>
            </w:tcBorders>
            <w:hideMark/>
          </w:tcPr>
          <w:p w14:paraId="1FE21047" w14:textId="77777777" w:rsidR="00D848EC" w:rsidRPr="00D848EC" w:rsidRDefault="00D848EC" w:rsidP="00D848EC">
            <w:pPr>
              <w:rPr>
                <w:sz w:val="18"/>
              </w:rPr>
            </w:pPr>
            <w:r w:rsidRPr="00D848EC">
              <w:rPr>
                <w:rFonts w:ascii="Sylfaen" w:hAnsi="Sylfaen" w:cs="Sylfaen"/>
                <w:sz w:val="18"/>
              </w:rPr>
              <w:t>ნახშირბადის</w:t>
            </w:r>
            <w:r w:rsidRPr="00D848EC">
              <w:rPr>
                <w:sz w:val="18"/>
              </w:rPr>
              <w:t xml:space="preserve"> </w:t>
            </w:r>
            <w:r w:rsidRPr="00D848EC">
              <w:rPr>
                <w:rFonts w:ascii="Sylfaen" w:hAnsi="Sylfaen" w:cs="Sylfaen"/>
                <w:sz w:val="18"/>
              </w:rPr>
              <w:t>ოქსიდი</w:t>
            </w:r>
          </w:p>
        </w:tc>
        <w:tc>
          <w:tcPr>
            <w:tcW w:w="1109" w:type="dxa"/>
            <w:tcBorders>
              <w:top w:val="single" w:sz="4" w:space="0" w:color="auto"/>
              <w:left w:val="single" w:sz="4" w:space="0" w:color="auto"/>
              <w:bottom w:val="single" w:sz="4" w:space="0" w:color="auto"/>
              <w:right w:val="single" w:sz="4" w:space="0" w:color="auto"/>
            </w:tcBorders>
            <w:hideMark/>
          </w:tcPr>
          <w:p w14:paraId="3E973189" w14:textId="77777777" w:rsidR="00D848EC" w:rsidRPr="00D848EC" w:rsidRDefault="00D848EC" w:rsidP="00D848EC">
            <w:pPr>
              <w:rPr>
                <w:sz w:val="18"/>
              </w:rPr>
            </w:pPr>
            <w:r w:rsidRPr="00D848EC">
              <w:rPr>
                <w:rFonts w:ascii="Sylfaen" w:hAnsi="Sylfaen" w:cs="Sylfaen"/>
                <w:sz w:val="18"/>
              </w:rPr>
              <w:t>მაქს</w:t>
            </w:r>
            <w:r w:rsidRPr="00D848EC">
              <w:rPr>
                <w:sz w:val="18"/>
              </w:rPr>
              <w:t xml:space="preserve">. </w:t>
            </w:r>
            <w:r w:rsidRPr="00D848EC">
              <w:rPr>
                <w:rFonts w:ascii="Sylfaen" w:hAnsi="Sylfaen" w:cs="Sylfaen"/>
                <w:sz w:val="18"/>
              </w:rPr>
              <w:t>ერთ</w:t>
            </w:r>
            <w:r w:rsidRPr="00D848EC">
              <w:rPr>
                <w:sz w:val="18"/>
              </w:rPr>
              <w:t>.</w:t>
            </w:r>
          </w:p>
        </w:tc>
        <w:tc>
          <w:tcPr>
            <w:tcW w:w="1401" w:type="dxa"/>
            <w:tcBorders>
              <w:top w:val="single" w:sz="4" w:space="0" w:color="auto"/>
              <w:left w:val="single" w:sz="4" w:space="0" w:color="auto"/>
              <w:bottom w:val="single" w:sz="4" w:space="0" w:color="auto"/>
              <w:right w:val="single" w:sz="4" w:space="0" w:color="auto"/>
            </w:tcBorders>
            <w:hideMark/>
          </w:tcPr>
          <w:p w14:paraId="49542205" w14:textId="77777777" w:rsidR="00D848EC" w:rsidRPr="00D848EC" w:rsidRDefault="00D848EC" w:rsidP="00D848EC">
            <w:pPr>
              <w:rPr>
                <w:sz w:val="18"/>
              </w:rPr>
            </w:pPr>
            <w:r w:rsidRPr="00D848EC">
              <w:rPr>
                <w:sz w:val="18"/>
              </w:rPr>
              <w:t>5,0000000</w:t>
            </w:r>
          </w:p>
        </w:tc>
        <w:tc>
          <w:tcPr>
            <w:tcW w:w="1330" w:type="dxa"/>
            <w:tcBorders>
              <w:top w:val="single" w:sz="4" w:space="0" w:color="auto"/>
              <w:left w:val="single" w:sz="4" w:space="0" w:color="auto"/>
              <w:bottom w:val="single" w:sz="4" w:space="0" w:color="auto"/>
              <w:right w:val="single" w:sz="4" w:space="0" w:color="auto"/>
            </w:tcBorders>
            <w:hideMark/>
          </w:tcPr>
          <w:p w14:paraId="3BA9FE12" w14:textId="77777777" w:rsidR="00D848EC" w:rsidRPr="00D848EC" w:rsidRDefault="00D848EC" w:rsidP="00D848EC">
            <w:pPr>
              <w:rPr>
                <w:sz w:val="18"/>
              </w:rPr>
            </w:pPr>
            <w:r w:rsidRPr="00D848EC">
              <w:rPr>
                <w:sz w:val="18"/>
              </w:rPr>
              <w:t>5,0000000</w:t>
            </w:r>
          </w:p>
        </w:tc>
        <w:tc>
          <w:tcPr>
            <w:tcW w:w="1290" w:type="dxa"/>
            <w:tcBorders>
              <w:top w:val="single" w:sz="4" w:space="0" w:color="auto"/>
              <w:left w:val="single" w:sz="4" w:space="0" w:color="auto"/>
              <w:bottom w:val="single" w:sz="4" w:space="0" w:color="auto"/>
              <w:right w:val="single" w:sz="4" w:space="0" w:color="auto"/>
            </w:tcBorders>
            <w:hideMark/>
          </w:tcPr>
          <w:p w14:paraId="0384D3BB" w14:textId="77777777" w:rsidR="00D848EC" w:rsidRPr="00D848EC" w:rsidRDefault="00D848EC" w:rsidP="00D848EC">
            <w:pPr>
              <w:rPr>
                <w:sz w:val="18"/>
              </w:rPr>
            </w:pPr>
            <w:r w:rsidRPr="00D848EC">
              <w:rPr>
                <w:sz w:val="18"/>
              </w:rPr>
              <w:t>1</w:t>
            </w:r>
          </w:p>
        </w:tc>
        <w:tc>
          <w:tcPr>
            <w:tcW w:w="773" w:type="dxa"/>
            <w:tcBorders>
              <w:top w:val="single" w:sz="4" w:space="0" w:color="auto"/>
              <w:left w:val="single" w:sz="4" w:space="0" w:color="auto"/>
              <w:bottom w:val="single" w:sz="4" w:space="0" w:color="auto"/>
              <w:right w:val="single" w:sz="4" w:space="0" w:color="auto"/>
            </w:tcBorders>
            <w:hideMark/>
          </w:tcPr>
          <w:p w14:paraId="19BB6296" w14:textId="77777777" w:rsidR="00D848EC" w:rsidRPr="00D848EC" w:rsidRDefault="00D848EC" w:rsidP="00D848EC">
            <w:pPr>
              <w:rPr>
                <w:sz w:val="18"/>
              </w:rPr>
            </w:pPr>
            <w:r w:rsidRPr="00D848EC">
              <w:rPr>
                <w:rFonts w:ascii="Sylfaen" w:hAnsi="Sylfaen" w:cs="Sylfaen"/>
                <w:sz w:val="18"/>
              </w:rPr>
              <w:t>არა</w:t>
            </w:r>
          </w:p>
        </w:tc>
        <w:tc>
          <w:tcPr>
            <w:tcW w:w="833" w:type="dxa"/>
            <w:tcBorders>
              <w:top w:val="single" w:sz="4" w:space="0" w:color="auto"/>
              <w:left w:val="single" w:sz="4" w:space="0" w:color="auto"/>
              <w:bottom w:val="single" w:sz="4" w:space="0" w:color="auto"/>
              <w:right w:val="single" w:sz="4" w:space="0" w:color="auto"/>
            </w:tcBorders>
            <w:hideMark/>
          </w:tcPr>
          <w:p w14:paraId="44C1CA11" w14:textId="77777777" w:rsidR="00D848EC" w:rsidRPr="00D848EC" w:rsidRDefault="00D848EC" w:rsidP="00D848EC">
            <w:pPr>
              <w:rPr>
                <w:sz w:val="18"/>
              </w:rPr>
            </w:pPr>
            <w:r w:rsidRPr="00D848EC">
              <w:rPr>
                <w:rFonts w:ascii="Sylfaen" w:hAnsi="Sylfaen" w:cs="Sylfaen"/>
                <w:sz w:val="18"/>
              </w:rPr>
              <w:t>არა</w:t>
            </w:r>
          </w:p>
        </w:tc>
      </w:tr>
      <w:tr w:rsidR="00D848EC" w:rsidRPr="00D848EC" w14:paraId="4DCC73BA" w14:textId="77777777" w:rsidTr="00D848EC">
        <w:trPr>
          <w:jc w:val="center"/>
        </w:trPr>
        <w:tc>
          <w:tcPr>
            <w:tcW w:w="671" w:type="dxa"/>
            <w:tcBorders>
              <w:top w:val="single" w:sz="4" w:space="0" w:color="auto"/>
              <w:left w:val="single" w:sz="4" w:space="0" w:color="auto"/>
              <w:bottom w:val="single" w:sz="4" w:space="0" w:color="auto"/>
              <w:right w:val="single" w:sz="4" w:space="0" w:color="auto"/>
            </w:tcBorders>
            <w:hideMark/>
          </w:tcPr>
          <w:p w14:paraId="7C583B87" w14:textId="77777777" w:rsidR="00D848EC" w:rsidRPr="00D848EC" w:rsidRDefault="00D848EC" w:rsidP="00D848EC">
            <w:pPr>
              <w:rPr>
                <w:sz w:val="18"/>
              </w:rPr>
            </w:pPr>
            <w:r w:rsidRPr="00D848EC">
              <w:rPr>
                <w:sz w:val="18"/>
              </w:rPr>
              <w:t>0703</w:t>
            </w:r>
          </w:p>
        </w:tc>
        <w:tc>
          <w:tcPr>
            <w:tcW w:w="3374" w:type="dxa"/>
            <w:tcBorders>
              <w:top w:val="single" w:sz="4" w:space="0" w:color="auto"/>
              <w:left w:val="single" w:sz="4" w:space="0" w:color="auto"/>
              <w:bottom w:val="single" w:sz="4" w:space="0" w:color="auto"/>
              <w:right w:val="single" w:sz="4" w:space="0" w:color="auto"/>
            </w:tcBorders>
            <w:hideMark/>
          </w:tcPr>
          <w:p w14:paraId="5FF0A91F" w14:textId="77777777" w:rsidR="00D848EC" w:rsidRPr="00D848EC" w:rsidRDefault="00D848EC" w:rsidP="00D848EC">
            <w:pPr>
              <w:rPr>
                <w:sz w:val="18"/>
              </w:rPr>
            </w:pPr>
            <w:r w:rsidRPr="00D848EC">
              <w:rPr>
                <w:rFonts w:ascii="Sylfaen" w:hAnsi="Sylfaen" w:cs="Sylfaen"/>
                <w:sz w:val="18"/>
              </w:rPr>
              <w:t>ბენზ</w:t>
            </w:r>
            <w:r w:rsidRPr="00D848EC">
              <w:rPr>
                <w:sz w:val="18"/>
              </w:rPr>
              <w:t>(</w:t>
            </w:r>
            <w:r w:rsidRPr="00D848EC">
              <w:rPr>
                <w:rFonts w:ascii="Sylfaen" w:hAnsi="Sylfaen" w:cs="Sylfaen"/>
                <w:sz w:val="18"/>
              </w:rPr>
              <w:t>ა</w:t>
            </w:r>
            <w:r w:rsidRPr="00D848EC">
              <w:rPr>
                <w:sz w:val="18"/>
              </w:rPr>
              <w:t>)</w:t>
            </w:r>
            <w:r w:rsidRPr="00D848EC">
              <w:rPr>
                <w:rFonts w:ascii="Sylfaen" w:hAnsi="Sylfaen" w:cs="Sylfaen"/>
                <w:sz w:val="18"/>
              </w:rPr>
              <w:t>პირენი</w:t>
            </w:r>
            <w:r w:rsidRPr="00D848EC">
              <w:rPr>
                <w:sz w:val="18"/>
              </w:rPr>
              <w:t xml:space="preserve"> (3,4-</w:t>
            </w:r>
            <w:r w:rsidRPr="00D848EC">
              <w:rPr>
                <w:rFonts w:ascii="Sylfaen" w:hAnsi="Sylfaen" w:cs="Sylfaen"/>
                <w:sz w:val="18"/>
              </w:rPr>
              <w:t>ბენზპირენი</w:t>
            </w:r>
            <w:r w:rsidRPr="00D848EC">
              <w:rPr>
                <w:sz w:val="18"/>
              </w:rPr>
              <w:t>)</w:t>
            </w:r>
          </w:p>
        </w:tc>
        <w:tc>
          <w:tcPr>
            <w:tcW w:w="1109" w:type="dxa"/>
            <w:tcBorders>
              <w:top w:val="single" w:sz="4" w:space="0" w:color="auto"/>
              <w:left w:val="single" w:sz="4" w:space="0" w:color="auto"/>
              <w:bottom w:val="single" w:sz="4" w:space="0" w:color="auto"/>
              <w:right w:val="single" w:sz="4" w:space="0" w:color="auto"/>
            </w:tcBorders>
            <w:hideMark/>
          </w:tcPr>
          <w:p w14:paraId="2E94E680" w14:textId="77777777" w:rsidR="00D848EC" w:rsidRPr="00D848EC" w:rsidRDefault="00D848EC" w:rsidP="00D848EC">
            <w:pPr>
              <w:rPr>
                <w:sz w:val="18"/>
              </w:rPr>
            </w:pPr>
            <w:r w:rsidRPr="00D848EC">
              <w:rPr>
                <w:rFonts w:ascii="Sylfaen" w:hAnsi="Sylfaen" w:cs="Sylfaen"/>
                <w:sz w:val="18"/>
              </w:rPr>
              <w:t>ზდკ</w:t>
            </w:r>
            <w:r w:rsidRPr="00D848EC">
              <w:rPr>
                <w:sz w:val="18"/>
              </w:rPr>
              <w:t xml:space="preserve"> </w:t>
            </w:r>
            <w:r w:rsidRPr="00D848EC">
              <w:rPr>
                <w:rFonts w:ascii="Sylfaen" w:hAnsi="Sylfaen" w:cs="Sylfaen"/>
                <w:sz w:val="18"/>
              </w:rPr>
              <w:t>საშ</w:t>
            </w:r>
            <w:r w:rsidRPr="00D848EC">
              <w:rPr>
                <w:sz w:val="18"/>
              </w:rPr>
              <w:t xml:space="preserve">. </w:t>
            </w:r>
            <w:r w:rsidRPr="00D848EC">
              <w:rPr>
                <w:rFonts w:ascii="Sylfaen" w:hAnsi="Sylfaen" w:cs="Sylfaen"/>
                <w:sz w:val="18"/>
              </w:rPr>
              <w:t>დ</w:t>
            </w:r>
            <w:r w:rsidRPr="00D848EC">
              <w:rPr>
                <w:sz w:val="18"/>
              </w:rPr>
              <w:t>/</w:t>
            </w:r>
            <w:r w:rsidRPr="00D848EC">
              <w:rPr>
                <w:rFonts w:ascii="Sylfaen" w:hAnsi="Sylfaen" w:cs="Sylfaen"/>
                <w:sz w:val="18"/>
              </w:rPr>
              <w:t>ღ</w:t>
            </w:r>
          </w:p>
        </w:tc>
        <w:tc>
          <w:tcPr>
            <w:tcW w:w="1401" w:type="dxa"/>
            <w:tcBorders>
              <w:top w:val="single" w:sz="4" w:space="0" w:color="auto"/>
              <w:left w:val="single" w:sz="4" w:space="0" w:color="auto"/>
              <w:bottom w:val="single" w:sz="4" w:space="0" w:color="auto"/>
              <w:right w:val="single" w:sz="4" w:space="0" w:color="auto"/>
            </w:tcBorders>
            <w:hideMark/>
          </w:tcPr>
          <w:p w14:paraId="215B86FB" w14:textId="77777777" w:rsidR="00D848EC" w:rsidRPr="00D848EC" w:rsidRDefault="00D848EC" w:rsidP="00D848EC">
            <w:pPr>
              <w:rPr>
                <w:sz w:val="18"/>
              </w:rPr>
            </w:pPr>
            <w:r w:rsidRPr="00D848EC">
              <w:rPr>
                <w:sz w:val="18"/>
              </w:rPr>
              <w:t>0,0000010</w:t>
            </w:r>
          </w:p>
        </w:tc>
        <w:tc>
          <w:tcPr>
            <w:tcW w:w="1330" w:type="dxa"/>
            <w:tcBorders>
              <w:top w:val="single" w:sz="4" w:space="0" w:color="auto"/>
              <w:left w:val="single" w:sz="4" w:space="0" w:color="auto"/>
              <w:bottom w:val="single" w:sz="4" w:space="0" w:color="auto"/>
              <w:right w:val="single" w:sz="4" w:space="0" w:color="auto"/>
            </w:tcBorders>
            <w:hideMark/>
          </w:tcPr>
          <w:p w14:paraId="4F5613CA" w14:textId="77777777" w:rsidR="00D848EC" w:rsidRPr="00D848EC" w:rsidRDefault="00D848EC" w:rsidP="00D848EC">
            <w:pPr>
              <w:rPr>
                <w:sz w:val="18"/>
              </w:rPr>
            </w:pPr>
            <w:r w:rsidRPr="00D848EC">
              <w:rPr>
                <w:sz w:val="18"/>
              </w:rPr>
              <w:t>0,0000100</w:t>
            </w:r>
          </w:p>
        </w:tc>
        <w:tc>
          <w:tcPr>
            <w:tcW w:w="1290" w:type="dxa"/>
            <w:tcBorders>
              <w:top w:val="single" w:sz="4" w:space="0" w:color="auto"/>
              <w:left w:val="single" w:sz="4" w:space="0" w:color="auto"/>
              <w:bottom w:val="single" w:sz="4" w:space="0" w:color="auto"/>
              <w:right w:val="single" w:sz="4" w:space="0" w:color="auto"/>
            </w:tcBorders>
            <w:hideMark/>
          </w:tcPr>
          <w:p w14:paraId="34420699" w14:textId="77777777" w:rsidR="00D848EC" w:rsidRPr="00D848EC" w:rsidRDefault="00D848EC" w:rsidP="00D848EC">
            <w:pPr>
              <w:rPr>
                <w:sz w:val="18"/>
              </w:rPr>
            </w:pPr>
            <w:r w:rsidRPr="00D848EC">
              <w:rPr>
                <w:sz w:val="18"/>
              </w:rPr>
              <w:t>1</w:t>
            </w:r>
          </w:p>
        </w:tc>
        <w:tc>
          <w:tcPr>
            <w:tcW w:w="773" w:type="dxa"/>
            <w:tcBorders>
              <w:top w:val="single" w:sz="4" w:space="0" w:color="auto"/>
              <w:left w:val="single" w:sz="4" w:space="0" w:color="auto"/>
              <w:bottom w:val="single" w:sz="4" w:space="0" w:color="auto"/>
              <w:right w:val="single" w:sz="4" w:space="0" w:color="auto"/>
            </w:tcBorders>
            <w:hideMark/>
          </w:tcPr>
          <w:p w14:paraId="6403E9BB" w14:textId="77777777" w:rsidR="00D848EC" w:rsidRPr="00D848EC" w:rsidRDefault="00D848EC" w:rsidP="00D848EC">
            <w:pPr>
              <w:rPr>
                <w:sz w:val="18"/>
              </w:rPr>
            </w:pPr>
            <w:r w:rsidRPr="00D848EC">
              <w:rPr>
                <w:rFonts w:ascii="Sylfaen" w:hAnsi="Sylfaen" w:cs="Sylfaen"/>
                <w:sz w:val="18"/>
              </w:rPr>
              <w:t>არა</w:t>
            </w:r>
          </w:p>
        </w:tc>
        <w:tc>
          <w:tcPr>
            <w:tcW w:w="833" w:type="dxa"/>
            <w:tcBorders>
              <w:top w:val="single" w:sz="4" w:space="0" w:color="auto"/>
              <w:left w:val="single" w:sz="4" w:space="0" w:color="auto"/>
              <w:bottom w:val="single" w:sz="4" w:space="0" w:color="auto"/>
              <w:right w:val="single" w:sz="4" w:space="0" w:color="auto"/>
            </w:tcBorders>
            <w:hideMark/>
          </w:tcPr>
          <w:p w14:paraId="052A9616" w14:textId="77777777" w:rsidR="00D848EC" w:rsidRPr="00D848EC" w:rsidRDefault="00D848EC" w:rsidP="00D848EC">
            <w:pPr>
              <w:rPr>
                <w:sz w:val="18"/>
              </w:rPr>
            </w:pPr>
            <w:r w:rsidRPr="00D848EC">
              <w:rPr>
                <w:rFonts w:ascii="Sylfaen" w:hAnsi="Sylfaen" w:cs="Sylfaen"/>
                <w:sz w:val="18"/>
              </w:rPr>
              <w:t>არა</w:t>
            </w:r>
          </w:p>
        </w:tc>
      </w:tr>
      <w:tr w:rsidR="00D848EC" w:rsidRPr="00D848EC" w14:paraId="1CA1D9D6" w14:textId="77777777" w:rsidTr="00D848EC">
        <w:trPr>
          <w:jc w:val="center"/>
        </w:trPr>
        <w:tc>
          <w:tcPr>
            <w:tcW w:w="671" w:type="dxa"/>
            <w:tcBorders>
              <w:top w:val="single" w:sz="4" w:space="0" w:color="auto"/>
              <w:left w:val="single" w:sz="4" w:space="0" w:color="auto"/>
              <w:bottom w:val="single" w:sz="4" w:space="0" w:color="auto"/>
              <w:right w:val="single" w:sz="4" w:space="0" w:color="auto"/>
            </w:tcBorders>
            <w:hideMark/>
          </w:tcPr>
          <w:p w14:paraId="37808714" w14:textId="77777777" w:rsidR="00D848EC" w:rsidRPr="00D848EC" w:rsidRDefault="00D848EC" w:rsidP="00D848EC">
            <w:pPr>
              <w:rPr>
                <w:sz w:val="18"/>
              </w:rPr>
            </w:pPr>
            <w:r w:rsidRPr="00D848EC">
              <w:rPr>
                <w:sz w:val="18"/>
              </w:rPr>
              <w:t>1325</w:t>
            </w:r>
          </w:p>
        </w:tc>
        <w:tc>
          <w:tcPr>
            <w:tcW w:w="3374" w:type="dxa"/>
            <w:tcBorders>
              <w:top w:val="single" w:sz="4" w:space="0" w:color="auto"/>
              <w:left w:val="single" w:sz="4" w:space="0" w:color="auto"/>
              <w:bottom w:val="single" w:sz="4" w:space="0" w:color="auto"/>
              <w:right w:val="single" w:sz="4" w:space="0" w:color="auto"/>
            </w:tcBorders>
            <w:hideMark/>
          </w:tcPr>
          <w:p w14:paraId="58CAE24E" w14:textId="77777777" w:rsidR="00D848EC" w:rsidRPr="00D848EC" w:rsidRDefault="00D848EC" w:rsidP="00D848EC">
            <w:pPr>
              <w:rPr>
                <w:sz w:val="18"/>
              </w:rPr>
            </w:pPr>
            <w:r w:rsidRPr="00D848EC">
              <w:rPr>
                <w:rFonts w:ascii="Sylfaen" w:hAnsi="Sylfaen" w:cs="Sylfaen"/>
                <w:sz w:val="18"/>
              </w:rPr>
              <w:t>ფორმალდეჰიდი</w:t>
            </w:r>
          </w:p>
        </w:tc>
        <w:tc>
          <w:tcPr>
            <w:tcW w:w="1109" w:type="dxa"/>
            <w:tcBorders>
              <w:top w:val="single" w:sz="4" w:space="0" w:color="auto"/>
              <w:left w:val="single" w:sz="4" w:space="0" w:color="auto"/>
              <w:bottom w:val="single" w:sz="4" w:space="0" w:color="auto"/>
              <w:right w:val="single" w:sz="4" w:space="0" w:color="auto"/>
            </w:tcBorders>
            <w:hideMark/>
          </w:tcPr>
          <w:p w14:paraId="7A58B495" w14:textId="77777777" w:rsidR="00D848EC" w:rsidRPr="00D848EC" w:rsidRDefault="00D848EC" w:rsidP="00D848EC">
            <w:pPr>
              <w:rPr>
                <w:sz w:val="18"/>
              </w:rPr>
            </w:pPr>
            <w:r w:rsidRPr="00D848EC">
              <w:rPr>
                <w:rFonts w:ascii="Sylfaen" w:hAnsi="Sylfaen" w:cs="Sylfaen"/>
                <w:sz w:val="18"/>
              </w:rPr>
              <w:t>მაქს</w:t>
            </w:r>
            <w:r w:rsidRPr="00D848EC">
              <w:rPr>
                <w:sz w:val="18"/>
              </w:rPr>
              <w:t xml:space="preserve">. </w:t>
            </w:r>
            <w:r w:rsidRPr="00D848EC">
              <w:rPr>
                <w:rFonts w:ascii="Sylfaen" w:hAnsi="Sylfaen" w:cs="Sylfaen"/>
                <w:sz w:val="18"/>
              </w:rPr>
              <w:t>ერთ</w:t>
            </w:r>
            <w:r w:rsidRPr="00D848EC">
              <w:rPr>
                <w:sz w:val="18"/>
              </w:rPr>
              <w:t>.</w:t>
            </w:r>
          </w:p>
        </w:tc>
        <w:tc>
          <w:tcPr>
            <w:tcW w:w="1401" w:type="dxa"/>
            <w:tcBorders>
              <w:top w:val="single" w:sz="4" w:space="0" w:color="auto"/>
              <w:left w:val="single" w:sz="4" w:space="0" w:color="auto"/>
              <w:bottom w:val="single" w:sz="4" w:space="0" w:color="auto"/>
              <w:right w:val="single" w:sz="4" w:space="0" w:color="auto"/>
            </w:tcBorders>
            <w:hideMark/>
          </w:tcPr>
          <w:p w14:paraId="3814A7B3" w14:textId="77777777" w:rsidR="00D848EC" w:rsidRPr="00D848EC" w:rsidRDefault="00D848EC" w:rsidP="00D848EC">
            <w:pPr>
              <w:rPr>
                <w:sz w:val="18"/>
              </w:rPr>
            </w:pPr>
            <w:r w:rsidRPr="00D848EC">
              <w:rPr>
                <w:sz w:val="18"/>
              </w:rPr>
              <w:t>0,0350000</w:t>
            </w:r>
          </w:p>
        </w:tc>
        <w:tc>
          <w:tcPr>
            <w:tcW w:w="1330" w:type="dxa"/>
            <w:tcBorders>
              <w:top w:val="single" w:sz="4" w:space="0" w:color="auto"/>
              <w:left w:val="single" w:sz="4" w:space="0" w:color="auto"/>
              <w:bottom w:val="single" w:sz="4" w:space="0" w:color="auto"/>
              <w:right w:val="single" w:sz="4" w:space="0" w:color="auto"/>
            </w:tcBorders>
            <w:hideMark/>
          </w:tcPr>
          <w:p w14:paraId="0B724357" w14:textId="77777777" w:rsidR="00D848EC" w:rsidRPr="00D848EC" w:rsidRDefault="00D848EC" w:rsidP="00D848EC">
            <w:pPr>
              <w:rPr>
                <w:sz w:val="18"/>
              </w:rPr>
            </w:pPr>
            <w:r w:rsidRPr="00D848EC">
              <w:rPr>
                <w:sz w:val="18"/>
              </w:rPr>
              <w:t>0,0350000</w:t>
            </w:r>
          </w:p>
        </w:tc>
        <w:tc>
          <w:tcPr>
            <w:tcW w:w="1290" w:type="dxa"/>
            <w:tcBorders>
              <w:top w:val="single" w:sz="4" w:space="0" w:color="auto"/>
              <w:left w:val="single" w:sz="4" w:space="0" w:color="auto"/>
              <w:bottom w:val="single" w:sz="4" w:space="0" w:color="auto"/>
              <w:right w:val="single" w:sz="4" w:space="0" w:color="auto"/>
            </w:tcBorders>
            <w:hideMark/>
          </w:tcPr>
          <w:p w14:paraId="398E14C2" w14:textId="77777777" w:rsidR="00D848EC" w:rsidRPr="00D848EC" w:rsidRDefault="00D848EC" w:rsidP="00D848EC">
            <w:pPr>
              <w:rPr>
                <w:sz w:val="18"/>
              </w:rPr>
            </w:pPr>
            <w:r w:rsidRPr="00D848EC">
              <w:rPr>
                <w:sz w:val="18"/>
              </w:rPr>
              <w:t>1</w:t>
            </w:r>
          </w:p>
        </w:tc>
        <w:tc>
          <w:tcPr>
            <w:tcW w:w="773" w:type="dxa"/>
            <w:tcBorders>
              <w:top w:val="single" w:sz="4" w:space="0" w:color="auto"/>
              <w:left w:val="single" w:sz="4" w:space="0" w:color="auto"/>
              <w:bottom w:val="single" w:sz="4" w:space="0" w:color="auto"/>
              <w:right w:val="single" w:sz="4" w:space="0" w:color="auto"/>
            </w:tcBorders>
            <w:hideMark/>
          </w:tcPr>
          <w:p w14:paraId="1ABF1A24" w14:textId="77777777" w:rsidR="00D848EC" w:rsidRPr="00D848EC" w:rsidRDefault="00D848EC" w:rsidP="00D848EC">
            <w:pPr>
              <w:rPr>
                <w:sz w:val="18"/>
              </w:rPr>
            </w:pPr>
            <w:r w:rsidRPr="00D848EC">
              <w:rPr>
                <w:rFonts w:ascii="Sylfaen" w:hAnsi="Sylfaen" w:cs="Sylfaen"/>
                <w:sz w:val="18"/>
              </w:rPr>
              <w:t>არა</w:t>
            </w:r>
          </w:p>
        </w:tc>
        <w:tc>
          <w:tcPr>
            <w:tcW w:w="833" w:type="dxa"/>
            <w:tcBorders>
              <w:top w:val="single" w:sz="4" w:space="0" w:color="auto"/>
              <w:left w:val="single" w:sz="4" w:space="0" w:color="auto"/>
              <w:bottom w:val="single" w:sz="4" w:space="0" w:color="auto"/>
              <w:right w:val="single" w:sz="4" w:space="0" w:color="auto"/>
            </w:tcBorders>
            <w:hideMark/>
          </w:tcPr>
          <w:p w14:paraId="305A8B61" w14:textId="77777777" w:rsidR="00D848EC" w:rsidRPr="00D848EC" w:rsidRDefault="00D848EC" w:rsidP="00D848EC">
            <w:pPr>
              <w:rPr>
                <w:sz w:val="18"/>
              </w:rPr>
            </w:pPr>
            <w:r w:rsidRPr="00D848EC">
              <w:rPr>
                <w:rFonts w:ascii="Sylfaen" w:hAnsi="Sylfaen" w:cs="Sylfaen"/>
                <w:sz w:val="18"/>
              </w:rPr>
              <w:t>არა</w:t>
            </w:r>
          </w:p>
        </w:tc>
      </w:tr>
      <w:tr w:rsidR="00D848EC" w:rsidRPr="00D848EC" w14:paraId="18CFC7A7" w14:textId="77777777" w:rsidTr="00D848EC">
        <w:trPr>
          <w:jc w:val="center"/>
        </w:trPr>
        <w:tc>
          <w:tcPr>
            <w:tcW w:w="671" w:type="dxa"/>
            <w:tcBorders>
              <w:top w:val="single" w:sz="4" w:space="0" w:color="auto"/>
              <w:left w:val="single" w:sz="4" w:space="0" w:color="auto"/>
              <w:bottom w:val="single" w:sz="4" w:space="0" w:color="auto"/>
              <w:right w:val="single" w:sz="4" w:space="0" w:color="auto"/>
            </w:tcBorders>
            <w:hideMark/>
          </w:tcPr>
          <w:p w14:paraId="082EB92B" w14:textId="77777777" w:rsidR="00D848EC" w:rsidRPr="00D848EC" w:rsidRDefault="00D848EC" w:rsidP="00D848EC">
            <w:pPr>
              <w:rPr>
                <w:sz w:val="18"/>
              </w:rPr>
            </w:pPr>
            <w:r w:rsidRPr="00D848EC">
              <w:rPr>
                <w:sz w:val="18"/>
              </w:rPr>
              <w:t>2732</w:t>
            </w:r>
          </w:p>
        </w:tc>
        <w:tc>
          <w:tcPr>
            <w:tcW w:w="3374" w:type="dxa"/>
            <w:tcBorders>
              <w:top w:val="single" w:sz="4" w:space="0" w:color="auto"/>
              <w:left w:val="single" w:sz="4" w:space="0" w:color="auto"/>
              <w:bottom w:val="single" w:sz="4" w:space="0" w:color="auto"/>
              <w:right w:val="single" w:sz="4" w:space="0" w:color="auto"/>
            </w:tcBorders>
            <w:hideMark/>
          </w:tcPr>
          <w:p w14:paraId="0382529C" w14:textId="77777777" w:rsidR="00D848EC" w:rsidRPr="00D848EC" w:rsidRDefault="00D848EC" w:rsidP="00D848EC">
            <w:pPr>
              <w:rPr>
                <w:sz w:val="18"/>
              </w:rPr>
            </w:pPr>
            <w:r w:rsidRPr="00D848EC">
              <w:rPr>
                <w:rFonts w:ascii="Sylfaen" w:hAnsi="Sylfaen" w:cs="Sylfaen"/>
                <w:sz w:val="18"/>
              </w:rPr>
              <w:t>ნავთის</w:t>
            </w:r>
            <w:r w:rsidRPr="00D848EC">
              <w:rPr>
                <w:sz w:val="18"/>
              </w:rPr>
              <w:t xml:space="preserve"> </w:t>
            </w:r>
            <w:r w:rsidRPr="00D848EC">
              <w:rPr>
                <w:rFonts w:ascii="Sylfaen" w:hAnsi="Sylfaen" w:cs="Sylfaen"/>
                <w:sz w:val="18"/>
              </w:rPr>
              <w:t>ფრაქცია</w:t>
            </w:r>
          </w:p>
        </w:tc>
        <w:tc>
          <w:tcPr>
            <w:tcW w:w="1109" w:type="dxa"/>
            <w:tcBorders>
              <w:top w:val="single" w:sz="4" w:space="0" w:color="auto"/>
              <w:left w:val="single" w:sz="4" w:space="0" w:color="auto"/>
              <w:bottom w:val="single" w:sz="4" w:space="0" w:color="auto"/>
              <w:right w:val="single" w:sz="4" w:space="0" w:color="auto"/>
            </w:tcBorders>
            <w:hideMark/>
          </w:tcPr>
          <w:p w14:paraId="39A7CFB0" w14:textId="77777777" w:rsidR="00D848EC" w:rsidRPr="00D848EC" w:rsidRDefault="00D848EC" w:rsidP="00D848EC">
            <w:pPr>
              <w:rPr>
                <w:sz w:val="18"/>
              </w:rPr>
            </w:pPr>
            <w:r w:rsidRPr="00D848EC">
              <w:rPr>
                <w:rFonts w:ascii="Sylfaen" w:hAnsi="Sylfaen" w:cs="Sylfaen"/>
                <w:sz w:val="18"/>
              </w:rPr>
              <w:t>საორ</w:t>
            </w:r>
            <w:r w:rsidRPr="00D848EC">
              <w:rPr>
                <w:sz w:val="18"/>
              </w:rPr>
              <w:t xml:space="preserve">. </w:t>
            </w:r>
            <w:r w:rsidRPr="00D848EC">
              <w:rPr>
                <w:rFonts w:ascii="Sylfaen" w:hAnsi="Sylfaen" w:cs="Sylfaen"/>
                <w:sz w:val="18"/>
              </w:rPr>
              <w:t>უსაფრ</w:t>
            </w:r>
            <w:r w:rsidRPr="00D848EC">
              <w:rPr>
                <w:sz w:val="18"/>
              </w:rPr>
              <w:t xml:space="preserve">. </w:t>
            </w:r>
            <w:r w:rsidRPr="00D848EC">
              <w:rPr>
                <w:rFonts w:ascii="Sylfaen" w:hAnsi="Sylfaen" w:cs="Sylfaen"/>
                <w:sz w:val="18"/>
              </w:rPr>
              <w:t>ზემოქ</w:t>
            </w:r>
            <w:r w:rsidRPr="00D848EC">
              <w:rPr>
                <w:sz w:val="18"/>
              </w:rPr>
              <w:t xml:space="preserve">. </w:t>
            </w:r>
            <w:r w:rsidRPr="00D848EC">
              <w:rPr>
                <w:rFonts w:ascii="Sylfaen" w:hAnsi="Sylfaen" w:cs="Sylfaen"/>
                <w:sz w:val="18"/>
              </w:rPr>
              <w:t>დონე</w:t>
            </w:r>
          </w:p>
        </w:tc>
        <w:tc>
          <w:tcPr>
            <w:tcW w:w="1401" w:type="dxa"/>
            <w:tcBorders>
              <w:top w:val="single" w:sz="4" w:space="0" w:color="auto"/>
              <w:left w:val="single" w:sz="4" w:space="0" w:color="auto"/>
              <w:bottom w:val="single" w:sz="4" w:space="0" w:color="auto"/>
              <w:right w:val="single" w:sz="4" w:space="0" w:color="auto"/>
            </w:tcBorders>
            <w:hideMark/>
          </w:tcPr>
          <w:p w14:paraId="75D7626F" w14:textId="77777777" w:rsidR="00D848EC" w:rsidRPr="00D848EC" w:rsidRDefault="00D848EC" w:rsidP="00D848EC">
            <w:pPr>
              <w:rPr>
                <w:sz w:val="18"/>
              </w:rPr>
            </w:pPr>
            <w:r w:rsidRPr="00D848EC">
              <w:rPr>
                <w:sz w:val="18"/>
              </w:rPr>
              <w:t>1,2000000</w:t>
            </w:r>
          </w:p>
        </w:tc>
        <w:tc>
          <w:tcPr>
            <w:tcW w:w="1330" w:type="dxa"/>
            <w:tcBorders>
              <w:top w:val="single" w:sz="4" w:space="0" w:color="auto"/>
              <w:left w:val="single" w:sz="4" w:space="0" w:color="auto"/>
              <w:bottom w:val="single" w:sz="4" w:space="0" w:color="auto"/>
              <w:right w:val="single" w:sz="4" w:space="0" w:color="auto"/>
            </w:tcBorders>
            <w:hideMark/>
          </w:tcPr>
          <w:p w14:paraId="62E831CF" w14:textId="77777777" w:rsidR="00D848EC" w:rsidRPr="00D848EC" w:rsidRDefault="00D848EC" w:rsidP="00D848EC">
            <w:pPr>
              <w:rPr>
                <w:sz w:val="18"/>
              </w:rPr>
            </w:pPr>
            <w:r w:rsidRPr="00D848EC">
              <w:rPr>
                <w:sz w:val="18"/>
              </w:rPr>
              <w:t>1,2000000</w:t>
            </w:r>
          </w:p>
        </w:tc>
        <w:tc>
          <w:tcPr>
            <w:tcW w:w="1290" w:type="dxa"/>
            <w:tcBorders>
              <w:top w:val="single" w:sz="4" w:space="0" w:color="auto"/>
              <w:left w:val="single" w:sz="4" w:space="0" w:color="auto"/>
              <w:bottom w:val="single" w:sz="4" w:space="0" w:color="auto"/>
              <w:right w:val="single" w:sz="4" w:space="0" w:color="auto"/>
            </w:tcBorders>
            <w:hideMark/>
          </w:tcPr>
          <w:p w14:paraId="00CBCB36" w14:textId="77777777" w:rsidR="00D848EC" w:rsidRPr="00D848EC" w:rsidRDefault="00D848EC" w:rsidP="00D848EC">
            <w:pPr>
              <w:rPr>
                <w:sz w:val="18"/>
              </w:rPr>
            </w:pPr>
            <w:r w:rsidRPr="00D848EC">
              <w:rPr>
                <w:sz w:val="18"/>
              </w:rPr>
              <w:t>1</w:t>
            </w:r>
          </w:p>
        </w:tc>
        <w:tc>
          <w:tcPr>
            <w:tcW w:w="773" w:type="dxa"/>
            <w:tcBorders>
              <w:top w:val="single" w:sz="4" w:space="0" w:color="auto"/>
              <w:left w:val="single" w:sz="4" w:space="0" w:color="auto"/>
              <w:bottom w:val="single" w:sz="4" w:space="0" w:color="auto"/>
              <w:right w:val="single" w:sz="4" w:space="0" w:color="auto"/>
            </w:tcBorders>
            <w:hideMark/>
          </w:tcPr>
          <w:p w14:paraId="253F9782" w14:textId="77777777" w:rsidR="00D848EC" w:rsidRPr="00D848EC" w:rsidRDefault="00D848EC" w:rsidP="00D848EC">
            <w:pPr>
              <w:rPr>
                <w:sz w:val="18"/>
              </w:rPr>
            </w:pPr>
            <w:r w:rsidRPr="00D848EC">
              <w:rPr>
                <w:rFonts w:ascii="Sylfaen" w:hAnsi="Sylfaen" w:cs="Sylfaen"/>
                <w:sz w:val="18"/>
              </w:rPr>
              <w:t>არა</w:t>
            </w:r>
          </w:p>
        </w:tc>
        <w:tc>
          <w:tcPr>
            <w:tcW w:w="833" w:type="dxa"/>
            <w:tcBorders>
              <w:top w:val="single" w:sz="4" w:space="0" w:color="auto"/>
              <w:left w:val="single" w:sz="4" w:space="0" w:color="auto"/>
              <w:bottom w:val="single" w:sz="4" w:space="0" w:color="auto"/>
              <w:right w:val="single" w:sz="4" w:space="0" w:color="auto"/>
            </w:tcBorders>
            <w:hideMark/>
          </w:tcPr>
          <w:p w14:paraId="13A4153F" w14:textId="77777777" w:rsidR="00D848EC" w:rsidRPr="00D848EC" w:rsidRDefault="00D848EC" w:rsidP="00D848EC">
            <w:pPr>
              <w:rPr>
                <w:sz w:val="18"/>
              </w:rPr>
            </w:pPr>
            <w:r w:rsidRPr="00D848EC">
              <w:rPr>
                <w:rFonts w:ascii="Sylfaen" w:hAnsi="Sylfaen" w:cs="Sylfaen"/>
                <w:sz w:val="18"/>
              </w:rPr>
              <w:t>არა</w:t>
            </w:r>
          </w:p>
        </w:tc>
      </w:tr>
      <w:tr w:rsidR="00D848EC" w:rsidRPr="00D848EC" w14:paraId="21BD0789" w14:textId="77777777" w:rsidTr="00D848EC">
        <w:trPr>
          <w:jc w:val="center"/>
        </w:trPr>
        <w:tc>
          <w:tcPr>
            <w:tcW w:w="671" w:type="dxa"/>
            <w:tcBorders>
              <w:top w:val="single" w:sz="4" w:space="0" w:color="auto"/>
              <w:left w:val="single" w:sz="4" w:space="0" w:color="auto"/>
              <w:bottom w:val="single" w:sz="4" w:space="0" w:color="auto"/>
              <w:right w:val="single" w:sz="4" w:space="0" w:color="auto"/>
            </w:tcBorders>
            <w:hideMark/>
          </w:tcPr>
          <w:p w14:paraId="762AFE82" w14:textId="77777777" w:rsidR="00D848EC" w:rsidRPr="00D848EC" w:rsidRDefault="00D848EC" w:rsidP="00D848EC">
            <w:pPr>
              <w:rPr>
                <w:sz w:val="18"/>
              </w:rPr>
            </w:pPr>
            <w:r w:rsidRPr="00D848EC">
              <w:rPr>
                <w:sz w:val="18"/>
              </w:rPr>
              <w:t>2754</w:t>
            </w:r>
          </w:p>
        </w:tc>
        <w:tc>
          <w:tcPr>
            <w:tcW w:w="3374" w:type="dxa"/>
            <w:tcBorders>
              <w:top w:val="single" w:sz="4" w:space="0" w:color="auto"/>
              <w:left w:val="single" w:sz="4" w:space="0" w:color="auto"/>
              <w:bottom w:val="single" w:sz="4" w:space="0" w:color="auto"/>
              <w:right w:val="single" w:sz="4" w:space="0" w:color="auto"/>
            </w:tcBorders>
            <w:hideMark/>
          </w:tcPr>
          <w:p w14:paraId="6A72C98E" w14:textId="77777777" w:rsidR="00D848EC" w:rsidRPr="00D848EC" w:rsidRDefault="00D848EC" w:rsidP="00D848EC">
            <w:pPr>
              <w:rPr>
                <w:sz w:val="18"/>
              </w:rPr>
            </w:pPr>
            <w:r w:rsidRPr="00D848EC">
              <w:rPr>
                <w:rFonts w:ascii="Sylfaen" w:hAnsi="Sylfaen" w:cs="Sylfaen"/>
                <w:sz w:val="18"/>
              </w:rPr>
              <w:t>ნაჯერი</w:t>
            </w:r>
            <w:r w:rsidRPr="00D848EC">
              <w:rPr>
                <w:sz w:val="18"/>
              </w:rPr>
              <w:t xml:space="preserve"> </w:t>
            </w:r>
            <w:r w:rsidRPr="00D848EC">
              <w:rPr>
                <w:rFonts w:ascii="Sylfaen" w:hAnsi="Sylfaen" w:cs="Sylfaen"/>
                <w:sz w:val="18"/>
              </w:rPr>
              <w:t>ნახშირწყალბადები</w:t>
            </w:r>
            <w:r w:rsidRPr="00D848EC">
              <w:rPr>
                <w:sz w:val="18"/>
              </w:rPr>
              <w:t xml:space="preserve"> C12-C19</w:t>
            </w:r>
          </w:p>
        </w:tc>
        <w:tc>
          <w:tcPr>
            <w:tcW w:w="1109" w:type="dxa"/>
            <w:tcBorders>
              <w:top w:val="single" w:sz="4" w:space="0" w:color="auto"/>
              <w:left w:val="single" w:sz="4" w:space="0" w:color="auto"/>
              <w:bottom w:val="single" w:sz="4" w:space="0" w:color="auto"/>
              <w:right w:val="single" w:sz="4" w:space="0" w:color="auto"/>
            </w:tcBorders>
            <w:hideMark/>
          </w:tcPr>
          <w:p w14:paraId="50AB4CA3" w14:textId="77777777" w:rsidR="00D848EC" w:rsidRPr="00D848EC" w:rsidRDefault="00D848EC" w:rsidP="00D848EC">
            <w:pPr>
              <w:rPr>
                <w:sz w:val="18"/>
              </w:rPr>
            </w:pPr>
            <w:r w:rsidRPr="00D848EC">
              <w:rPr>
                <w:rFonts w:ascii="Sylfaen" w:hAnsi="Sylfaen" w:cs="Sylfaen"/>
                <w:sz w:val="18"/>
              </w:rPr>
              <w:t>მაქს</w:t>
            </w:r>
            <w:r w:rsidRPr="00D848EC">
              <w:rPr>
                <w:sz w:val="18"/>
              </w:rPr>
              <w:t xml:space="preserve">. </w:t>
            </w:r>
            <w:r w:rsidRPr="00D848EC">
              <w:rPr>
                <w:rFonts w:ascii="Sylfaen" w:hAnsi="Sylfaen" w:cs="Sylfaen"/>
                <w:sz w:val="18"/>
              </w:rPr>
              <w:t>ერთ</w:t>
            </w:r>
            <w:r w:rsidRPr="00D848EC">
              <w:rPr>
                <w:sz w:val="18"/>
              </w:rPr>
              <w:t>.</w:t>
            </w:r>
          </w:p>
        </w:tc>
        <w:tc>
          <w:tcPr>
            <w:tcW w:w="1401" w:type="dxa"/>
            <w:tcBorders>
              <w:top w:val="single" w:sz="4" w:space="0" w:color="auto"/>
              <w:left w:val="single" w:sz="4" w:space="0" w:color="auto"/>
              <w:bottom w:val="single" w:sz="4" w:space="0" w:color="auto"/>
              <w:right w:val="single" w:sz="4" w:space="0" w:color="auto"/>
            </w:tcBorders>
            <w:hideMark/>
          </w:tcPr>
          <w:p w14:paraId="56A7F350" w14:textId="77777777" w:rsidR="00D848EC" w:rsidRPr="00D848EC" w:rsidRDefault="00D848EC" w:rsidP="00D848EC">
            <w:pPr>
              <w:rPr>
                <w:sz w:val="18"/>
              </w:rPr>
            </w:pPr>
            <w:r w:rsidRPr="00D848EC">
              <w:rPr>
                <w:sz w:val="18"/>
              </w:rPr>
              <w:t>1,0000000</w:t>
            </w:r>
          </w:p>
        </w:tc>
        <w:tc>
          <w:tcPr>
            <w:tcW w:w="1330" w:type="dxa"/>
            <w:tcBorders>
              <w:top w:val="single" w:sz="4" w:space="0" w:color="auto"/>
              <w:left w:val="single" w:sz="4" w:space="0" w:color="auto"/>
              <w:bottom w:val="single" w:sz="4" w:space="0" w:color="auto"/>
              <w:right w:val="single" w:sz="4" w:space="0" w:color="auto"/>
            </w:tcBorders>
            <w:hideMark/>
          </w:tcPr>
          <w:p w14:paraId="042E25B3" w14:textId="77777777" w:rsidR="00D848EC" w:rsidRPr="00D848EC" w:rsidRDefault="00D848EC" w:rsidP="00D848EC">
            <w:pPr>
              <w:rPr>
                <w:sz w:val="18"/>
              </w:rPr>
            </w:pPr>
            <w:r w:rsidRPr="00D848EC">
              <w:rPr>
                <w:sz w:val="18"/>
              </w:rPr>
              <w:t>1,0000000</w:t>
            </w:r>
          </w:p>
        </w:tc>
        <w:tc>
          <w:tcPr>
            <w:tcW w:w="1290" w:type="dxa"/>
            <w:tcBorders>
              <w:top w:val="single" w:sz="4" w:space="0" w:color="auto"/>
              <w:left w:val="single" w:sz="4" w:space="0" w:color="auto"/>
              <w:bottom w:val="single" w:sz="4" w:space="0" w:color="auto"/>
              <w:right w:val="single" w:sz="4" w:space="0" w:color="auto"/>
            </w:tcBorders>
            <w:hideMark/>
          </w:tcPr>
          <w:p w14:paraId="7968EB23" w14:textId="77777777" w:rsidR="00D848EC" w:rsidRPr="00D848EC" w:rsidRDefault="00D848EC" w:rsidP="00D848EC">
            <w:pPr>
              <w:rPr>
                <w:sz w:val="18"/>
              </w:rPr>
            </w:pPr>
            <w:r w:rsidRPr="00D848EC">
              <w:rPr>
                <w:sz w:val="18"/>
              </w:rPr>
              <w:t>1</w:t>
            </w:r>
          </w:p>
        </w:tc>
        <w:tc>
          <w:tcPr>
            <w:tcW w:w="773" w:type="dxa"/>
            <w:tcBorders>
              <w:top w:val="single" w:sz="4" w:space="0" w:color="auto"/>
              <w:left w:val="single" w:sz="4" w:space="0" w:color="auto"/>
              <w:bottom w:val="single" w:sz="4" w:space="0" w:color="auto"/>
              <w:right w:val="single" w:sz="4" w:space="0" w:color="auto"/>
            </w:tcBorders>
            <w:hideMark/>
          </w:tcPr>
          <w:p w14:paraId="491196E0" w14:textId="77777777" w:rsidR="00D848EC" w:rsidRPr="00D848EC" w:rsidRDefault="00D848EC" w:rsidP="00D848EC">
            <w:pPr>
              <w:rPr>
                <w:sz w:val="18"/>
              </w:rPr>
            </w:pPr>
            <w:r w:rsidRPr="00D848EC">
              <w:rPr>
                <w:rFonts w:ascii="Sylfaen" w:hAnsi="Sylfaen" w:cs="Sylfaen"/>
                <w:sz w:val="18"/>
              </w:rPr>
              <w:t>არა</w:t>
            </w:r>
          </w:p>
        </w:tc>
        <w:tc>
          <w:tcPr>
            <w:tcW w:w="833" w:type="dxa"/>
            <w:tcBorders>
              <w:top w:val="single" w:sz="4" w:space="0" w:color="auto"/>
              <w:left w:val="single" w:sz="4" w:space="0" w:color="auto"/>
              <w:bottom w:val="single" w:sz="4" w:space="0" w:color="auto"/>
              <w:right w:val="single" w:sz="4" w:space="0" w:color="auto"/>
            </w:tcBorders>
            <w:hideMark/>
          </w:tcPr>
          <w:p w14:paraId="42D5DE46" w14:textId="77777777" w:rsidR="00D848EC" w:rsidRPr="00D848EC" w:rsidRDefault="00D848EC" w:rsidP="00D848EC">
            <w:pPr>
              <w:rPr>
                <w:sz w:val="18"/>
              </w:rPr>
            </w:pPr>
            <w:r w:rsidRPr="00D848EC">
              <w:rPr>
                <w:rFonts w:ascii="Sylfaen" w:hAnsi="Sylfaen" w:cs="Sylfaen"/>
                <w:sz w:val="18"/>
              </w:rPr>
              <w:t>არა</w:t>
            </w:r>
          </w:p>
        </w:tc>
      </w:tr>
      <w:tr w:rsidR="00D848EC" w:rsidRPr="00D848EC" w14:paraId="374AC4AE" w14:textId="77777777" w:rsidTr="00D848EC">
        <w:trPr>
          <w:jc w:val="center"/>
        </w:trPr>
        <w:tc>
          <w:tcPr>
            <w:tcW w:w="671" w:type="dxa"/>
            <w:tcBorders>
              <w:top w:val="single" w:sz="4" w:space="0" w:color="auto"/>
              <w:left w:val="single" w:sz="4" w:space="0" w:color="auto"/>
              <w:bottom w:val="single" w:sz="4" w:space="0" w:color="auto"/>
              <w:right w:val="single" w:sz="4" w:space="0" w:color="auto"/>
            </w:tcBorders>
            <w:hideMark/>
          </w:tcPr>
          <w:p w14:paraId="6BD6E005" w14:textId="77777777" w:rsidR="00D848EC" w:rsidRPr="00D848EC" w:rsidRDefault="00D848EC" w:rsidP="00D848EC">
            <w:pPr>
              <w:rPr>
                <w:sz w:val="18"/>
              </w:rPr>
            </w:pPr>
            <w:r w:rsidRPr="00D848EC">
              <w:rPr>
                <w:sz w:val="18"/>
              </w:rPr>
              <w:t>2902</w:t>
            </w:r>
          </w:p>
        </w:tc>
        <w:tc>
          <w:tcPr>
            <w:tcW w:w="3374" w:type="dxa"/>
            <w:tcBorders>
              <w:top w:val="single" w:sz="4" w:space="0" w:color="auto"/>
              <w:left w:val="single" w:sz="4" w:space="0" w:color="auto"/>
              <w:bottom w:val="single" w:sz="4" w:space="0" w:color="auto"/>
              <w:right w:val="single" w:sz="4" w:space="0" w:color="auto"/>
            </w:tcBorders>
            <w:hideMark/>
          </w:tcPr>
          <w:p w14:paraId="2D5D0412" w14:textId="77777777" w:rsidR="00D848EC" w:rsidRPr="00D848EC" w:rsidRDefault="00D848EC" w:rsidP="00D848EC">
            <w:pPr>
              <w:rPr>
                <w:sz w:val="18"/>
              </w:rPr>
            </w:pPr>
            <w:r w:rsidRPr="00D848EC">
              <w:rPr>
                <w:rFonts w:ascii="Sylfaen" w:hAnsi="Sylfaen" w:cs="Sylfaen"/>
                <w:sz w:val="18"/>
              </w:rPr>
              <w:t>შეწონილი</w:t>
            </w:r>
            <w:r w:rsidRPr="00D848EC">
              <w:rPr>
                <w:sz w:val="18"/>
              </w:rPr>
              <w:t xml:space="preserve"> </w:t>
            </w:r>
            <w:r w:rsidRPr="00D848EC">
              <w:rPr>
                <w:rFonts w:ascii="Sylfaen" w:hAnsi="Sylfaen" w:cs="Sylfaen"/>
                <w:sz w:val="18"/>
              </w:rPr>
              <w:t>ნაწილაკები</w:t>
            </w:r>
          </w:p>
        </w:tc>
        <w:tc>
          <w:tcPr>
            <w:tcW w:w="1109" w:type="dxa"/>
            <w:tcBorders>
              <w:top w:val="single" w:sz="4" w:space="0" w:color="auto"/>
              <w:left w:val="single" w:sz="4" w:space="0" w:color="auto"/>
              <w:bottom w:val="single" w:sz="4" w:space="0" w:color="auto"/>
              <w:right w:val="single" w:sz="4" w:space="0" w:color="auto"/>
            </w:tcBorders>
            <w:hideMark/>
          </w:tcPr>
          <w:p w14:paraId="647201E0" w14:textId="77777777" w:rsidR="00D848EC" w:rsidRPr="00D848EC" w:rsidRDefault="00D848EC" w:rsidP="00D848EC">
            <w:pPr>
              <w:rPr>
                <w:sz w:val="18"/>
              </w:rPr>
            </w:pPr>
            <w:r w:rsidRPr="00D848EC">
              <w:rPr>
                <w:rFonts w:ascii="Sylfaen" w:hAnsi="Sylfaen" w:cs="Sylfaen"/>
                <w:sz w:val="18"/>
              </w:rPr>
              <w:t>მაქს</w:t>
            </w:r>
            <w:r w:rsidRPr="00D848EC">
              <w:rPr>
                <w:sz w:val="18"/>
              </w:rPr>
              <w:t xml:space="preserve">. </w:t>
            </w:r>
            <w:r w:rsidRPr="00D848EC">
              <w:rPr>
                <w:rFonts w:ascii="Sylfaen" w:hAnsi="Sylfaen" w:cs="Sylfaen"/>
                <w:sz w:val="18"/>
              </w:rPr>
              <w:t>ერთ</w:t>
            </w:r>
            <w:r w:rsidRPr="00D848EC">
              <w:rPr>
                <w:sz w:val="18"/>
              </w:rPr>
              <w:t>.</w:t>
            </w:r>
          </w:p>
        </w:tc>
        <w:tc>
          <w:tcPr>
            <w:tcW w:w="1401" w:type="dxa"/>
            <w:tcBorders>
              <w:top w:val="single" w:sz="4" w:space="0" w:color="auto"/>
              <w:left w:val="single" w:sz="4" w:space="0" w:color="auto"/>
              <w:bottom w:val="single" w:sz="4" w:space="0" w:color="auto"/>
              <w:right w:val="single" w:sz="4" w:space="0" w:color="auto"/>
            </w:tcBorders>
            <w:hideMark/>
          </w:tcPr>
          <w:p w14:paraId="04BED854" w14:textId="77777777" w:rsidR="00D848EC" w:rsidRPr="00D848EC" w:rsidRDefault="00D848EC" w:rsidP="00D848EC">
            <w:pPr>
              <w:rPr>
                <w:sz w:val="18"/>
              </w:rPr>
            </w:pPr>
            <w:r w:rsidRPr="00D848EC">
              <w:rPr>
                <w:sz w:val="18"/>
              </w:rPr>
              <w:t>0,5000000</w:t>
            </w:r>
          </w:p>
        </w:tc>
        <w:tc>
          <w:tcPr>
            <w:tcW w:w="1330" w:type="dxa"/>
            <w:tcBorders>
              <w:top w:val="single" w:sz="4" w:space="0" w:color="auto"/>
              <w:left w:val="single" w:sz="4" w:space="0" w:color="auto"/>
              <w:bottom w:val="single" w:sz="4" w:space="0" w:color="auto"/>
              <w:right w:val="single" w:sz="4" w:space="0" w:color="auto"/>
            </w:tcBorders>
            <w:hideMark/>
          </w:tcPr>
          <w:p w14:paraId="287DBBD9" w14:textId="77777777" w:rsidR="00D848EC" w:rsidRPr="00D848EC" w:rsidRDefault="00D848EC" w:rsidP="00D848EC">
            <w:pPr>
              <w:rPr>
                <w:sz w:val="18"/>
              </w:rPr>
            </w:pPr>
            <w:r w:rsidRPr="00D848EC">
              <w:rPr>
                <w:sz w:val="18"/>
              </w:rPr>
              <w:t>0,5000000</w:t>
            </w:r>
          </w:p>
        </w:tc>
        <w:tc>
          <w:tcPr>
            <w:tcW w:w="1290" w:type="dxa"/>
            <w:tcBorders>
              <w:top w:val="single" w:sz="4" w:space="0" w:color="auto"/>
              <w:left w:val="single" w:sz="4" w:space="0" w:color="auto"/>
              <w:bottom w:val="single" w:sz="4" w:space="0" w:color="auto"/>
              <w:right w:val="single" w:sz="4" w:space="0" w:color="auto"/>
            </w:tcBorders>
            <w:hideMark/>
          </w:tcPr>
          <w:p w14:paraId="7A9C498C" w14:textId="77777777" w:rsidR="00D848EC" w:rsidRPr="00D848EC" w:rsidRDefault="00D848EC" w:rsidP="00D848EC">
            <w:pPr>
              <w:rPr>
                <w:sz w:val="18"/>
              </w:rPr>
            </w:pPr>
            <w:r w:rsidRPr="00D848EC">
              <w:rPr>
                <w:sz w:val="18"/>
              </w:rPr>
              <w:t>1</w:t>
            </w:r>
          </w:p>
        </w:tc>
        <w:tc>
          <w:tcPr>
            <w:tcW w:w="773" w:type="dxa"/>
            <w:tcBorders>
              <w:top w:val="single" w:sz="4" w:space="0" w:color="auto"/>
              <w:left w:val="single" w:sz="4" w:space="0" w:color="auto"/>
              <w:bottom w:val="single" w:sz="4" w:space="0" w:color="auto"/>
              <w:right w:val="single" w:sz="4" w:space="0" w:color="auto"/>
            </w:tcBorders>
            <w:hideMark/>
          </w:tcPr>
          <w:p w14:paraId="58BE7845" w14:textId="77777777" w:rsidR="00D848EC" w:rsidRPr="00D848EC" w:rsidRDefault="00D848EC" w:rsidP="00D848EC">
            <w:pPr>
              <w:rPr>
                <w:sz w:val="18"/>
              </w:rPr>
            </w:pPr>
            <w:r w:rsidRPr="00D848EC">
              <w:rPr>
                <w:rFonts w:ascii="Sylfaen" w:hAnsi="Sylfaen" w:cs="Sylfaen"/>
                <w:sz w:val="18"/>
              </w:rPr>
              <w:t>არა</w:t>
            </w:r>
          </w:p>
        </w:tc>
        <w:tc>
          <w:tcPr>
            <w:tcW w:w="833" w:type="dxa"/>
            <w:tcBorders>
              <w:top w:val="single" w:sz="4" w:space="0" w:color="auto"/>
              <w:left w:val="single" w:sz="4" w:space="0" w:color="auto"/>
              <w:bottom w:val="single" w:sz="4" w:space="0" w:color="auto"/>
              <w:right w:val="single" w:sz="4" w:space="0" w:color="auto"/>
            </w:tcBorders>
            <w:hideMark/>
          </w:tcPr>
          <w:p w14:paraId="1E18C503" w14:textId="77777777" w:rsidR="00D848EC" w:rsidRPr="00D848EC" w:rsidRDefault="00D848EC" w:rsidP="00D848EC">
            <w:pPr>
              <w:rPr>
                <w:sz w:val="18"/>
              </w:rPr>
            </w:pPr>
            <w:r w:rsidRPr="00D848EC">
              <w:rPr>
                <w:rFonts w:ascii="Sylfaen" w:hAnsi="Sylfaen" w:cs="Sylfaen"/>
                <w:sz w:val="18"/>
              </w:rPr>
              <w:t>არა</w:t>
            </w:r>
          </w:p>
        </w:tc>
      </w:tr>
      <w:tr w:rsidR="00D848EC" w:rsidRPr="00D848EC" w14:paraId="66D3D5AC" w14:textId="77777777" w:rsidTr="00D848EC">
        <w:trPr>
          <w:jc w:val="center"/>
        </w:trPr>
        <w:tc>
          <w:tcPr>
            <w:tcW w:w="671" w:type="dxa"/>
            <w:tcBorders>
              <w:top w:val="single" w:sz="4" w:space="0" w:color="auto"/>
              <w:left w:val="single" w:sz="4" w:space="0" w:color="auto"/>
              <w:bottom w:val="single" w:sz="4" w:space="0" w:color="auto"/>
              <w:right w:val="single" w:sz="4" w:space="0" w:color="auto"/>
            </w:tcBorders>
            <w:hideMark/>
          </w:tcPr>
          <w:p w14:paraId="4A6810B7" w14:textId="77777777" w:rsidR="00D848EC" w:rsidRPr="00D848EC" w:rsidRDefault="00D848EC" w:rsidP="00D848EC">
            <w:pPr>
              <w:rPr>
                <w:sz w:val="18"/>
              </w:rPr>
            </w:pPr>
            <w:r w:rsidRPr="00D848EC">
              <w:rPr>
                <w:sz w:val="18"/>
              </w:rPr>
              <w:t>2908</w:t>
            </w:r>
          </w:p>
        </w:tc>
        <w:tc>
          <w:tcPr>
            <w:tcW w:w="3374" w:type="dxa"/>
            <w:tcBorders>
              <w:top w:val="single" w:sz="4" w:space="0" w:color="auto"/>
              <w:left w:val="single" w:sz="4" w:space="0" w:color="auto"/>
              <w:bottom w:val="single" w:sz="4" w:space="0" w:color="auto"/>
              <w:right w:val="single" w:sz="4" w:space="0" w:color="auto"/>
            </w:tcBorders>
            <w:hideMark/>
          </w:tcPr>
          <w:p w14:paraId="15561D97" w14:textId="77777777" w:rsidR="00D848EC" w:rsidRPr="00D848EC" w:rsidRDefault="00D848EC" w:rsidP="00D848EC">
            <w:pPr>
              <w:rPr>
                <w:sz w:val="18"/>
              </w:rPr>
            </w:pPr>
            <w:r w:rsidRPr="00D848EC">
              <w:rPr>
                <w:rFonts w:ascii="Sylfaen" w:hAnsi="Sylfaen" w:cs="Sylfaen"/>
                <w:sz w:val="18"/>
              </w:rPr>
              <w:t>არაოგანული</w:t>
            </w:r>
            <w:r w:rsidRPr="00D848EC">
              <w:rPr>
                <w:sz w:val="18"/>
              </w:rPr>
              <w:t xml:space="preserve"> </w:t>
            </w:r>
            <w:r w:rsidRPr="00D848EC">
              <w:rPr>
                <w:rFonts w:ascii="Sylfaen" w:hAnsi="Sylfaen" w:cs="Sylfaen"/>
                <w:sz w:val="18"/>
              </w:rPr>
              <w:t>მტვერი</w:t>
            </w:r>
            <w:r w:rsidRPr="00D848EC">
              <w:rPr>
                <w:sz w:val="18"/>
              </w:rPr>
              <w:t>: 70-20% SiO2</w:t>
            </w:r>
          </w:p>
        </w:tc>
        <w:tc>
          <w:tcPr>
            <w:tcW w:w="1109" w:type="dxa"/>
            <w:tcBorders>
              <w:top w:val="single" w:sz="4" w:space="0" w:color="auto"/>
              <w:left w:val="single" w:sz="4" w:space="0" w:color="auto"/>
              <w:bottom w:val="single" w:sz="4" w:space="0" w:color="auto"/>
              <w:right w:val="single" w:sz="4" w:space="0" w:color="auto"/>
            </w:tcBorders>
            <w:hideMark/>
          </w:tcPr>
          <w:p w14:paraId="23B9ECEB" w14:textId="77777777" w:rsidR="00D848EC" w:rsidRPr="00D848EC" w:rsidRDefault="00D848EC" w:rsidP="00D848EC">
            <w:pPr>
              <w:rPr>
                <w:sz w:val="18"/>
              </w:rPr>
            </w:pPr>
            <w:r w:rsidRPr="00D848EC">
              <w:rPr>
                <w:rFonts w:ascii="Sylfaen" w:hAnsi="Sylfaen" w:cs="Sylfaen"/>
                <w:sz w:val="18"/>
              </w:rPr>
              <w:t>მაქს</w:t>
            </w:r>
            <w:r w:rsidRPr="00D848EC">
              <w:rPr>
                <w:sz w:val="18"/>
              </w:rPr>
              <w:t xml:space="preserve">. </w:t>
            </w:r>
            <w:r w:rsidRPr="00D848EC">
              <w:rPr>
                <w:rFonts w:ascii="Sylfaen" w:hAnsi="Sylfaen" w:cs="Sylfaen"/>
                <w:sz w:val="18"/>
              </w:rPr>
              <w:t>ერთ</w:t>
            </w:r>
            <w:r w:rsidRPr="00D848EC">
              <w:rPr>
                <w:sz w:val="18"/>
              </w:rPr>
              <w:t>.</w:t>
            </w:r>
          </w:p>
        </w:tc>
        <w:tc>
          <w:tcPr>
            <w:tcW w:w="1401" w:type="dxa"/>
            <w:tcBorders>
              <w:top w:val="single" w:sz="4" w:space="0" w:color="auto"/>
              <w:left w:val="single" w:sz="4" w:space="0" w:color="auto"/>
              <w:bottom w:val="single" w:sz="4" w:space="0" w:color="auto"/>
              <w:right w:val="single" w:sz="4" w:space="0" w:color="auto"/>
            </w:tcBorders>
            <w:hideMark/>
          </w:tcPr>
          <w:p w14:paraId="2EC2BCA7" w14:textId="77777777" w:rsidR="00D848EC" w:rsidRPr="00D848EC" w:rsidRDefault="00D848EC" w:rsidP="00D848EC">
            <w:pPr>
              <w:rPr>
                <w:sz w:val="18"/>
              </w:rPr>
            </w:pPr>
            <w:r w:rsidRPr="00D848EC">
              <w:rPr>
                <w:sz w:val="18"/>
              </w:rPr>
              <w:t>0,3000000</w:t>
            </w:r>
          </w:p>
        </w:tc>
        <w:tc>
          <w:tcPr>
            <w:tcW w:w="1330" w:type="dxa"/>
            <w:tcBorders>
              <w:top w:val="single" w:sz="4" w:space="0" w:color="auto"/>
              <w:left w:val="single" w:sz="4" w:space="0" w:color="auto"/>
              <w:bottom w:val="single" w:sz="4" w:space="0" w:color="auto"/>
              <w:right w:val="single" w:sz="4" w:space="0" w:color="auto"/>
            </w:tcBorders>
            <w:hideMark/>
          </w:tcPr>
          <w:p w14:paraId="7FCC1EDE" w14:textId="77777777" w:rsidR="00D848EC" w:rsidRPr="00D848EC" w:rsidRDefault="00D848EC" w:rsidP="00D848EC">
            <w:pPr>
              <w:rPr>
                <w:sz w:val="18"/>
              </w:rPr>
            </w:pPr>
            <w:r w:rsidRPr="00D848EC">
              <w:rPr>
                <w:sz w:val="18"/>
              </w:rPr>
              <w:t>0,3000000</w:t>
            </w:r>
          </w:p>
        </w:tc>
        <w:tc>
          <w:tcPr>
            <w:tcW w:w="1290" w:type="dxa"/>
            <w:tcBorders>
              <w:top w:val="single" w:sz="4" w:space="0" w:color="auto"/>
              <w:left w:val="single" w:sz="4" w:space="0" w:color="auto"/>
              <w:bottom w:val="single" w:sz="4" w:space="0" w:color="auto"/>
              <w:right w:val="single" w:sz="4" w:space="0" w:color="auto"/>
            </w:tcBorders>
            <w:hideMark/>
          </w:tcPr>
          <w:p w14:paraId="54C9206F" w14:textId="77777777" w:rsidR="00D848EC" w:rsidRPr="00D848EC" w:rsidRDefault="00D848EC" w:rsidP="00D848EC">
            <w:pPr>
              <w:rPr>
                <w:sz w:val="18"/>
              </w:rPr>
            </w:pPr>
            <w:r w:rsidRPr="00D848EC">
              <w:rPr>
                <w:sz w:val="18"/>
              </w:rPr>
              <w:t>1</w:t>
            </w:r>
          </w:p>
        </w:tc>
        <w:tc>
          <w:tcPr>
            <w:tcW w:w="773" w:type="dxa"/>
            <w:tcBorders>
              <w:top w:val="single" w:sz="4" w:space="0" w:color="auto"/>
              <w:left w:val="single" w:sz="4" w:space="0" w:color="auto"/>
              <w:bottom w:val="single" w:sz="4" w:space="0" w:color="auto"/>
              <w:right w:val="single" w:sz="4" w:space="0" w:color="auto"/>
            </w:tcBorders>
            <w:hideMark/>
          </w:tcPr>
          <w:p w14:paraId="42EE30D8" w14:textId="77777777" w:rsidR="00D848EC" w:rsidRPr="00D848EC" w:rsidRDefault="00D848EC" w:rsidP="00D848EC">
            <w:pPr>
              <w:rPr>
                <w:sz w:val="18"/>
              </w:rPr>
            </w:pPr>
            <w:r w:rsidRPr="00D848EC">
              <w:rPr>
                <w:rFonts w:ascii="Sylfaen" w:hAnsi="Sylfaen" w:cs="Sylfaen"/>
                <w:sz w:val="18"/>
              </w:rPr>
              <w:t>არა</w:t>
            </w:r>
          </w:p>
        </w:tc>
        <w:tc>
          <w:tcPr>
            <w:tcW w:w="833" w:type="dxa"/>
            <w:tcBorders>
              <w:top w:val="single" w:sz="4" w:space="0" w:color="auto"/>
              <w:left w:val="single" w:sz="4" w:space="0" w:color="auto"/>
              <w:bottom w:val="single" w:sz="4" w:space="0" w:color="auto"/>
              <w:right w:val="single" w:sz="4" w:space="0" w:color="auto"/>
            </w:tcBorders>
            <w:hideMark/>
          </w:tcPr>
          <w:p w14:paraId="46D4A53C" w14:textId="77777777" w:rsidR="00D848EC" w:rsidRPr="00D848EC" w:rsidRDefault="00D848EC" w:rsidP="00D848EC">
            <w:pPr>
              <w:rPr>
                <w:sz w:val="18"/>
              </w:rPr>
            </w:pPr>
            <w:r w:rsidRPr="00D848EC">
              <w:rPr>
                <w:rFonts w:ascii="Sylfaen" w:hAnsi="Sylfaen" w:cs="Sylfaen"/>
                <w:sz w:val="18"/>
              </w:rPr>
              <w:t>არა</w:t>
            </w:r>
          </w:p>
        </w:tc>
      </w:tr>
      <w:tr w:rsidR="00D848EC" w:rsidRPr="00D848EC" w14:paraId="664E0EFC" w14:textId="77777777" w:rsidTr="00D848EC">
        <w:trPr>
          <w:jc w:val="center"/>
        </w:trPr>
        <w:tc>
          <w:tcPr>
            <w:tcW w:w="671" w:type="dxa"/>
            <w:tcBorders>
              <w:top w:val="single" w:sz="4" w:space="0" w:color="auto"/>
              <w:left w:val="single" w:sz="4" w:space="0" w:color="auto"/>
              <w:bottom w:val="single" w:sz="4" w:space="0" w:color="auto"/>
              <w:right w:val="single" w:sz="4" w:space="0" w:color="auto"/>
            </w:tcBorders>
            <w:hideMark/>
          </w:tcPr>
          <w:p w14:paraId="67B91062" w14:textId="77777777" w:rsidR="00D848EC" w:rsidRPr="00D848EC" w:rsidRDefault="00D848EC" w:rsidP="00D848EC">
            <w:pPr>
              <w:rPr>
                <w:sz w:val="18"/>
              </w:rPr>
            </w:pPr>
            <w:r w:rsidRPr="00D848EC">
              <w:rPr>
                <w:sz w:val="18"/>
              </w:rPr>
              <w:t>6009</w:t>
            </w:r>
          </w:p>
        </w:tc>
        <w:tc>
          <w:tcPr>
            <w:tcW w:w="3374" w:type="dxa"/>
            <w:tcBorders>
              <w:top w:val="single" w:sz="4" w:space="0" w:color="auto"/>
              <w:left w:val="single" w:sz="4" w:space="0" w:color="auto"/>
              <w:bottom w:val="single" w:sz="4" w:space="0" w:color="auto"/>
              <w:right w:val="single" w:sz="4" w:space="0" w:color="auto"/>
            </w:tcBorders>
            <w:hideMark/>
          </w:tcPr>
          <w:p w14:paraId="41B664D4" w14:textId="77777777" w:rsidR="00D848EC" w:rsidRPr="00D848EC" w:rsidRDefault="00D848EC" w:rsidP="00D848EC">
            <w:pPr>
              <w:rPr>
                <w:sz w:val="18"/>
              </w:rPr>
            </w:pPr>
            <w:r w:rsidRPr="00D848EC">
              <w:rPr>
                <w:rFonts w:ascii="Sylfaen" w:hAnsi="Sylfaen" w:cs="Sylfaen"/>
                <w:sz w:val="18"/>
              </w:rPr>
              <w:t>არასრული</w:t>
            </w:r>
            <w:r w:rsidRPr="00D848EC">
              <w:rPr>
                <w:sz w:val="18"/>
              </w:rPr>
              <w:t xml:space="preserve"> </w:t>
            </w:r>
            <w:r w:rsidRPr="00D848EC">
              <w:rPr>
                <w:rFonts w:ascii="Sylfaen" w:hAnsi="Sylfaen" w:cs="Sylfaen"/>
                <w:sz w:val="18"/>
              </w:rPr>
              <w:t>ჯამური</w:t>
            </w:r>
            <w:r w:rsidRPr="00D848EC">
              <w:rPr>
                <w:sz w:val="18"/>
              </w:rPr>
              <w:t xml:space="preserve"> </w:t>
            </w:r>
            <w:r w:rsidRPr="00D848EC">
              <w:rPr>
                <w:rFonts w:ascii="Sylfaen" w:hAnsi="Sylfaen" w:cs="Sylfaen"/>
                <w:sz w:val="18"/>
              </w:rPr>
              <w:t>ზემოქმედების</w:t>
            </w:r>
            <w:r w:rsidRPr="00D848EC">
              <w:rPr>
                <w:sz w:val="18"/>
              </w:rPr>
              <w:t xml:space="preserve"> </w:t>
            </w:r>
            <w:r w:rsidRPr="00D848EC">
              <w:rPr>
                <w:rFonts w:ascii="Sylfaen" w:hAnsi="Sylfaen" w:cs="Sylfaen"/>
                <w:sz w:val="18"/>
              </w:rPr>
              <w:t>ჯგუფი</w:t>
            </w:r>
            <w:r w:rsidRPr="00D848EC">
              <w:rPr>
                <w:sz w:val="18"/>
              </w:rPr>
              <w:t xml:space="preserve">, </w:t>
            </w:r>
            <w:r w:rsidRPr="00D848EC">
              <w:rPr>
                <w:rFonts w:ascii="Sylfaen" w:hAnsi="Sylfaen" w:cs="Sylfaen"/>
                <w:sz w:val="18"/>
              </w:rPr>
              <w:t>კოეფიციენტი</w:t>
            </w:r>
            <w:r w:rsidRPr="00D848EC">
              <w:rPr>
                <w:sz w:val="18"/>
              </w:rPr>
              <w:t xml:space="preserve"> "1,6": </w:t>
            </w:r>
            <w:r w:rsidRPr="00D848EC">
              <w:rPr>
                <w:rFonts w:ascii="Sylfaen" w:hAnsi="Sylfaen" w:cs="Sylfaen"/>
                <w:sz w:val="18"/>
              </w:rPr>
              <w:t>ჯამური</w:t>
            </w:r>
            <w:r w:rsidRPr="00D848EC">
              <w:rPr>
                <w:sz w:val="18"/>
              </w:rPr>
              <w:t xml:space="preserve"> </w:t>
            </w:r>
            <w:r w:rsidRPr="00D848EC">
              <w:rPr>
                <w:rFonts w:ascii="Sylfaen" w:hAnsi="Sylfaen" w:cs="Sylfaen"/>
                <w:sz w:val="18"/>
              </w:rPr>
              <w:t>ზემოქმედების</w:t>
            </w:r>
            <w:r w:rsidRPr="00D848EC">
              <w:rPr>
                <w:sz w:val="18"/>
              </w:rPr>
              <w:t xml:space="preserve"> </w:t>
            </w:r>
            <w:r w:rsidRPr="00D848EC">
              <w:rPr>
                <w:rFonts w:ascii="Sylfaen" w:hAnsi="Sylfaen" w:cs="Sylfaen"/>
                <w:sz w:val="18"/>
              </w:rPr>
              <w:t>ჯგუფი</w:t>
            </w:r>
            <w:r w:rsidRPr="00D848EC">
              <w:rPr>
                <w:sz w:val="18"/>
              </w:rPr>
              <w:t xml:space="preserve"> (2) 301 330</w:t>
            </w:r>
          </w:p>
        </w:tc>
        <w:tc>
          <w:tcPr>
            <w:tcW w:w="1109" w:type="dxa"/>
            <w:tcBorders>
              <w:top w:val="single" w:sz="4" w:space="0" w:color="auto"/>
              <w:left w:val="single" w:sz="4" w:space="0" w:color="auto"/>
              <w:bottom w:val="single" w:sz="4" w:space="0" w:color="auto"/>
              <w:right w:val="single" w:sz="4" w:space="0" w:color="auto"/>
            </w:tcBorders>
            <w:hideMark/>
          </w:tcPr>
          <w:p w14:paraId="0D470212" w14:textId="77777777" w:rsidR="00D848EC" w:rsidRPr="00D848EC" w:rsidRDefault="00D848EC" w:rsidP="00D848EC">
            <w:pPr>
              <w:rPr>
                <w:sz w:val="18"/>
              </w:rPr>
            </w:pPr>
            <w:r w:rsidRPr="00D848EC">
              <w:rPr>
                <w:rFonts w:ascii="Sylfaen" w:hAnsi="Sylfaen" w:cs="Sylfaen"/>
                <w:sz w:val="18"/>
              </w:rPr>
              <w:t>ჯგუფი</w:t>
            </w:r>
          </w:p>
        </w:tc>
        <w:tc>
          <w:tcPr>
            <w:tcW w:w="1401" w:type="dxa"/>
            <w:tcBorders>
              <w:top w:val="single" w:sz="4" w:space="0" w:color="auto"/>
              <w:left w:val="single" w:sz="4" w:space="0" w:color="auto"/>
              <w:bottom w:val="single" w:sz="4" w:space="0" w:color="auto"/>
              <w:right w:val="single" w:sz="4" w:space="0" w:color="auto"/>
            </w:tcBorders>
            <w:hideMark/>
          </w:tcPr>
          <w:p w14:paraId="782712F9" w14:textId="77777777" w:rsidR="00D848EC" w:rsidRPr="00D848EC" w:rsidRDefault="00D848EC" w:rsidP="00D848EC">
            <w:pPr>
              <w:rPr>
                <w:sz w:val="18"/>
              </w:rPr>
            </w:pPr>
            <w:r w:rsidRPr="00D848EC">
              <w:rPr>
                <w:sz w:val="18"/>
              </w:rPr>
              <w:t>-</w:t>
            </w:r>
          </w:p>
        </w:tc>
        <w:tc>
          <w:tcPr>
            <w:tcW w:w="1330" w:type="dxa"/>
            <w:tcBorders>
              <w:top w:val="single" w:sz="4" w:space="0" w:color="auto"/>
              <w:left w:val="single" w:sz="4" w:space="0" w:color="auto"/>
              <w:bottom w:val="single" w:sz="4" w:space="0" w:color="auto"/>
              <w:right w:val="single" w:sz="4" w:space="0" w:color="auto"/>
            </w:tcBorders>
            <w:hideMark/>
          </w:tcPr>
          <w:p w14:paraId="0E0FE1A2" w14:textId="77777777" w:rsidR="00D848EC" w:rsidRPr="00D848EC" w:rsidRDefault="00D848EC" w:rsidP="00D848EC">
            <w:pPr>
              <w:rPr>
                <w:sz w:val="18"/>
              </w:rPr>
            </w:pPr>
            <w:r w:rsidRPr="00D848EC">
              <w:rPr>
                <w:sz w:val="18"/>
              </w:rPr>
              <w:t>-</w:t>
            </w:r>
          </w:p>
        </w:tc>
        <w:tc>
          <w:tcPr>
            <w:tcW w:w="1290" w:type="dxa"/>
            <w:tcBorders>
              <w:top w:val="single" w:sz="4" w:space="0" w:color="auto"/>
              <w:left w:val="single" w:sz="4" w:space="0" w:color="auto"/>
              <w:bottom w:val="single" w:sz="4" w:space="0" w:color="auto"/>
              <w:right w:val="single" w:sz="4" w:space="0" w:color="auto"/>
            </w:tcBorders>
            <w:hideMark/>
          </w:tcPr>
          <w:p w14:paraId="124FAB0B" w14:textId="77777777" w:rsidR="00D848EC" w:rsidRPr="00D848EC" w:rsidRDefault="00D848EC" w:rsidP="00D848EC">
            <w:pPr>
              <w:rPr>
                <w:sz w:val="18"/>
              </w:rPr>
            </w:pPr>
            <w:r w:rsidRPr="00D848EC">
              <w:rPr>
                <w:sz w:val="18"/>
              </w:rPr>
              <w:t>1</w:t>
            </w:r>
          </w:p>
        </w:tc>
        <w:tc>
          <w:tcPr>
            <w:tcW w:w="773" w:type="dxa"/>
            <w:tcBorders>
              <w:top w:val="single" w:sz="4" w:space="0" w:color="auto"/>
              <w:left w:val="single" w:sz="4" w:space="0" w:color="auto"/>
              <w:bottom w:val="single" w:sz="4" w:space="0" w:color="auto"/>
              <w:right w:val="single" w:sz="4" w:space="0" w:color="auto"/>
            </w:tcBorders>
            <w:hideMark/>
          </w:tcPr>
          <w:p w14:paraId="15617866" w14:textId="77777777" w:rsidR="00D848EC" w:rsidRPr="00D848EC" w:rsidRDefault="00D848EC" w:rsidP="00D848EC">
            <w:pPr>
              <w:rPr>
                <w:sz w:val="18"/>
              </w:rPr>
            </w:pPr>
            <w:r w:rsidRPr="00D848EC">
              <w:rPr>
                <w:rFonts w:ascii="Sylfaen" w:hAnsi="Sylfaen" w:cs="Sylfaen"/>
                <w:sz w:val="18"/>
              </w:rPr>
              <w:t>არა</w:t>
            </w:r>
          </w:p>
        </w:tc>
        <w:tc>
          <w:tcPr>
            <w:tcW w:w="833" w:type="dxa"/>
            <w:tcBorders>
              <w:top w:val="single" w:sz="4" w:space="0" w:color="auto"/>
              <w:left w:val="single" w:sz="4" w:space="0" w:color="auto"/>
              <w:bottom w:val="single" w:sz="4" w:space="0" w:color="auto"/>
              <w:right w:val="single" w:sz="4" w:space="0" w:color="auto"/>
            </w:tcBorders>
            <w:hideMark/>
          </w:tcPr>
          <w:p w14:paraId="5754ABC2" w14:textId="77777777" w:rsidR="00D848EC" w:rsidRPr="00D848EC" w:rsidRDefault="00D848EC" w:rsidP="00D848EC">
            <w:pPr>
              <w:rPr>
                <w:sz w:val="18"/>
              </w:rPr>
            </w:pPr>
            <w:r w:rsidRPr="00D848EC">
              <w:rPr>
                <w:rFonts w:ascii="Sylfaen" w:hAnsi="Sylfaen" w:cs="Sylfaen"/>
                <w:sz w:val="18"/>
              </w:rPr>
              <w:t>არა</w:t>
            </w:r>
          </w:p>
        </w:tc>
      </w:tr>
      <w:tr w:rsidR="00D848EC" w:rsidRPr="00D848EC" w14:paraId="5D44A2E9" w14:textId="77777777" w:rsidTr="00D848EC">
        <w:trPr>
          <w:jc w:val="center"/>
        </w:trPr>
        <w:tc>
          <w:tcPr>
            <w:tcW w:w="671" w:type="dxa"/>
            <w:tcBorders>
              <w:top w:val="single" w:sz="4" w:space="0" w:color="auto"/>
              <w:left w:val="single" w:sz="4" w:space="0" w:color="auto"/>
              <w:bottom w:val="single" w:sz="4" w:space="0" w:color="auto"/>
              <w:right w:val="single" w:sz="4" w:space="0" w:color="auto"/>
            </w:tcBorders>
            <w:hideMark/>
          </w:tcPr>
          <w:p w14:paraId="5BA1CDC2" w14:textId="77777777" w:rsidR="00D848EC" w:rsidRPr="00D848EC" w:rsidRDefault="00D848EC" w:rsidP="00D848EC">
            <w:pPr>
              <w:rPr>
                <w:sz w:val="18"/>
              </w:rPr>
            </w:pPr>
            <w:r w:rsidRPr="00D848EC">
              <w:rPr>
                <w:sz w:val="18"/>
              </w:rPr>
              <w:t>6035</w:t>
            </w:r>
          </w:p>
        </w:tc>
        <w:tc>
          <w:tcPr>
            <w:tcW w:w="3374" w:type="dxa"/>
            <w:tcBorders>
              <w:top w:val="single" w:sz="4" w:space="0" w:color="auto"/>
              <w:left w:val="single" w:sz="4" w:space="0" w:color="auto"/>
              <w:bottom w:val="single" w:sz="4" w:space="0" w:color="auto"/>
              <w:right w:val="single" w:sz="4" w:space="0" w:color="auto"/>
            </w:tcBorders>
            <w:hideMark/>
          </w:tcPr>
          <w:p w14:paraId="695F811D" w14:textId="77777777" w:rsidR="00D848EC" w:rsidRPr="00D848EC" w:rsidRDefault="00D848EC" w:rsidP="00D848EC">
            <w:pPr>
              <w:rPr>
                <w:sz w:val="18"/>
              </w:rPr>
            </w:pPr>
            <w:r w:rsidRPr="00D848EC">
              <w:rPr>
                <w:rFonts w:ascii="Sylfaen" w:hAnsi="Sylfaen" w:cs="Sylfaen"/>
                <w:sz w:val="18"/>
              </w:rPr>
              <w:t>ჯამური</w:t>
            </w:r>
            <w:r w:rsidRPr="00D848EC">
              <w:rPr>
                <w:sz w:val="18"/>
              </w:rPr>
              <w:t xml:space="preserve"> </w:t>
            </w:r>
            <w:r w:rsidRPr="00D848EC">
              <w:rPr>
                <w:rFonts w:ascii="Sylfaen" w:hAnsi="Sylfaen" w:cs="Sylfaen"/>
                <w:sz w:val="18"/>
              </w:rPr>
              <w:t>ზემოქმედების</w:t>
            </w:r>
            <w:r w:rsidRPr="00D848EC">
              <w:rPr>
                <w:sz w:val="18"/>
              </w:rPr>
              <w:t xml:space="preserve"> </w:t>
            </w:r>
            <w:r w:rsidRPr="00D848EC">
              <w:rPr>
                <w:rFonts w:ascii="Sylfaen" w:hAnsi="Sylfaen" w:cs="Sylfaen"/>
                <w:sz w:val="18"/>
              </w:rPr>
              <w:t>ჯგუფი</w:t>
            </w:r>
            <w:r w:rsidRPr="00D848EC">
              <w:rPr>
                <w:sz w:val="18"/>
              </w:rPr>
              <w:t xml:space="preserve">: </w:t>
            </w:r>
            <w:r w:rsidRPr="00D848EC">
              <w:rPr>
                <w:rFonts w:ascii="Sylfaen" w:hAnsi="Sylfaen" w:cs="Sylfaen"/>
                <w:sz w:val="18"/>
              </w:rPr>
              <w:t>ჯამური</w:t>
            </w:r>
            <w:r w:rsidRPr="00D848EC">
              <w:rPr>
                <w:sz w:val="18"/>
              </w:rPr>
              <w:t xml:space="preserve"> </w:t>
            </w:r>
            <w:r w:rsidRPr="00D848EC">
              <w:rPr>
                <w:rFonts w:ascii="Sylfaen" w:hAnsi="Sylfaen" w:cs="Sylfaen"/>
                <w:sz w:val="18"/>
              </w:rPr>
              <w:t>ზემოქმედების</w:t>
            </w:r>
            <w:r w:rsidRPr="00D848EC">
              <w:rPr>
                <w:sz w:val="18"/>
              </w:rPr>
              <w:t xml:space="preserve"> </w:t>
            </w:r>
            <w:r w:rsidRPr="00D848EC">
              <w:rPr>
                <w:rFonts w:ascii="Sylfaen" w:hAnsi="Sylfaen" w:cs="Sylfaen"/>
                <w:sz w:val="18"/>
              </w:rPr>
              <w:t>ჯგუფი</w:t>
            </w:r>
            <w:r w:rsidRPr="00D848EC">
              <w:rPr>
                <w:sz w:val="18"/>
              </w:rPr>
              <w:t xml:space="preserve"> (2) 333 1325</w:t>
            </w:r>
          </w:p>
        </w:tc>
        <w:tc>
          <w:tcPr>
            <w:tcW w:w="1109" w:type="dxa"/>
            <w:tcBorders>
              <w:top w:val="single" w:sz="4" w:space="0" w:color="auto"/>
              <w:left w:val="single" w:sz="4" w:space="0" w:color="auto"/>
              <w:bottom w:val="single" w:sz="4" w:space="0" w:color="auto"/>
              <w:right w:val="single" w:sz="4" w:space="0" w:color="auto"/>
            </w:tcBorders>
            <w:hideMark/>
          </w:tcPr>
          <w:p w14:paraId="0FE9161F" w14:textId="77777777" w:rsidR="00D848EC" w:rsidRPr="00D848EC" w:rsidRDefault="00D848EC" w:rsidP="00D848EC">
            <w:pPr>
              <w:rPr>
                <w:sz w:val="18"/>
              </w:rPr>
            </w:pPr>
            <w:r w:rsidRPr="00D848EC">
              <w:rPr>
                <w:rFonts w:ascii="Sylfaen" w:hAnsi="Sylfaen" w:cs="Sylfaen"/>
                <w:sz w:val="18"/>
              </w:rPr>
              <w:t>ჯგუფი</w:t>
            </w:r>
          </w:p>
        </w:tc>
        <w:tc>
          <w:tcPr>
            <w:tcW w:w="1401" w:type="dxa"/>
            <w:tcBorders>
              <w:top w:val="single" w:sz="4" w:space="0" w:color="auto"/>
              <w:left w:val="single" w:sz="4" w:space="0" w:color="auto"/>
              <w:bottom w:val="single" w:sz="4" w:space="0" w:color="auto"/>
              <w:right w:val="single" w:sz="4" w:space="0" w:color="auto"/>
            </w:tcBorders>
            <w:hideMark/>
          </w:tcPr>
          <w:p w14:paraId="7C025BE7" w14:textId="77777777" w:rsidR="00D848EC" w:rsidRPr="00D848EC" w:rsidRDefault="00D848EC" w:rsidP="00D848EC">
            <w:pPr>
              <w:rPr>
                <w:sz w:val="18"/>
              </w:rPr>
            </w:pPr>
            <w:r w:rsidRPr="00D848EC">
              <w:rPr>
                <w:sz w:val="18"/>
              </w:rPr>
              <w:t>-</w:t>
            </w:r>
          </w:p>
        </w:tc>
        <w:tc>
          <w:tcPr>
            <w:tcW w:w="1330" w:type="dxa"/>
            <w:tcBorders>
              <w:top w:val="single" w:sz="4" w:space="0" w:color="auto"/>
              <w:left w:val="single" w:sz="4" w:space="0" w:color="auto"/>
              <w:bottom w:val="single" w:sz="4" w:space="0" w:color="auto"/>
              <w:right w:val="single" w:sz="4" w:space="0" w:color="auto"/>
            </w:tcBorders>
            <w:hideMark/>
          </w:tcPr>
          <w:p w14:paraId="018CB96A" w14:textId="77777777" w:rsidR="00D848EC" w:rsidRPr="00D848EC" w:rsidRDefault="00D848EC" w:rsidP="00D848EC">
            <w:pPr>
              <w:rPr>
                <w:sz w:val="18"/>
              </w:rPr>
            </w:pPr>
            <w:r w:rsidRPr="00D848EC">
              <w:rPr>
                <w:sz w:val="18"/>
              </w:rPr>
              <w:t>-</w:t>
            </w:r>
          </w:p>
        </w:tc>
        <w:tc>
          <w:tcPr>
            <w:tcW w:w="1290" w:type="dxa"/>
            <w:tcBorders>
              <w:top w:val="single" w:sz="4" w:space="0" w:color="auto"/>
              <w:left w:val="single" w:sz="4" w:space="0" w:color="auto"/>
              <w:bottom w:val="single" w:sz="4" w:space="0" w:color="auto"/>
              <w:right w:val="single" w:sz="4" w:space="0" w:color="auto"/>
            </w:tcBorders>
            <w:hideMark/>
          </w:tcPr>
          <w:p w14:paraId="0EB1BACD" w14:textId="77777777" w:rsidR="00D848EC" w:rsidRPr="00D848EC" w:rsidRDefault="00D848EC" w:rsidP="00D848EC">
            <w:pPr>
              <w:rPr>
                <w:sz w:val="18"/>
              </w:rPr>
            </w:pPr>
            <w:r w:rsidRPr="00D848EC">
              <w:rPr>
                <w:sz w:val="18"/>
              </w:rPr>
              <w:t>1</w:t>
            </w:r>
          </w:p>
        </w:tc>
        <w:tc>
          <w:tcPr>
            <w:tcW w:w="773" w:type="dxa"/>
            <w:tcBorders>
              <w:top w:val="single" w:sz="4" w:space="0" w:color="auto"/>
              <w:left w:val="single" w:sz="4" w:space="0" w:color="auto"/>
              <w:bottom w:val="single" w:sz="4" w:space="0" w:color="auto"/>
              <w:right w:val="single" w:sz="4" w:space="0" w:color="auto"/>
            </w:tcBorders>
            <w:hideMark/>
          </w:tcPr>
          <w:p w14:paraId="53581327" w14:textId="77777777" w:rsidR="00D848EC" w:rsidRPr="00D848EC" w:rsidRDefault="00D848EC" w:rsidP="00D848EC">
            <w:pPr>
              <w:rPr>
                <w:sz w:val="18"/>
              </w:rPr>
            </w:pPr>
            <w:r w:rsidRPr="00D848EC">
              <w:rPr>
                <w:rFonts w:ascii="Sylfaen" w:hAnsi="Sylfaen" w:cs="Sylfaen"/>
                <w:sz w:val="18"/>
              </w:rPr>
              <w:t>არა</w:t>
            </w:r>
          </w:p>
        </w:tc>
        <w:tc>
          <w:tcPr>
            <w:tcW w:w="833" w:type="dxa"/>
            <w:tcBorders>
              <w:top w:val="single" w:sz="4" w:space="0" w:color="auto"/>
              <w:left w:val="single" w:sz="4" w:space="0" w:color="auto"/>
              <w:bottom w:val="single" w:sz="4" w:space="0" w:color="auto"/>
              <w:right w:val="single" w:sz="4" w:space="0" w:color="auto"/>
            </w:tcBorders>
            <w:hideMark/>
          </w:tcPr>
          <w:p w14:paraId="74E3ABD9" w14:textId="77777777" w:rsidR="00D848EC" w:rsidRPr="00D848EC" w:rsidRDefault="00D848EC" w:rsidP="00D848EC">
            <w:pPr>
              <w:rPr>
                <w:sz w:val="18"/>
              </w:rPr>
            </w:pPr>
            <w:r w:rsidRPr="00D848EC">
              <w:rPr>
                <w:rFonts w:ascii="Sylfaen" w:hAnsi="Sylfaen" w:cs="Sylfaen"/>
                <w:sz w:val="18"/>
              </w:rPr>
              <w:t>არა</w:t>
            </w:r>
          </w:p>
        </w:tc>
      </w:tr>
      <w:tr w:rsidR="00D848EC" w:rsidRPr="00D848EC" w14:paraId="7449C9F0" w14:textId="77777777" w:rsidTr="00D848EC">
        <w:trPr>
          <w:jc w:val="center"/>
        </w:trPr>
        <w:tc>
          <w:tcPr>
            <w:tcW w:w="671" w:type="dxa"/>
            <w:tcBorders>
              <w:top w:val="single" w:sz="4" w:space="0" w:color="auto"/>
              <w:left w:val="single" w:sz="4" w:space="0" w:color="auto"/>
              <w:bottom w:val="single" w:sz="4" w:space="0" w:color="auto"/>
              <w:right w:val="single" w:sz="4" w:space="0" w:color="auto"/>
            </w:tcBorders>
            <w:hideMark/>
          </w:tcPr>
          <w:p w14:paraId="2D2AA0E2" w14:textId="77777777" w:rsidR="00D848EC" w:rsidRPr="00D848EC" w:rsidRDefault="00D848EC" w:rsidP="00D848EC">
            <w:pPr>
              <w:rPr>
                <w:sz w:val="18"/>
              </w:rPr>
            </w:pPr>
            <w:r w:rsidRPr="00D848EC">
              <w:rPr>
                <w:sz w:val="18"/>
              </w:rPr>
              <w:t>6043</w:t>
            </w:r>
          </w:p>
        </w:tc>
        <w:tc>
          <w:tcPr>
            <w:tcW w:w="3374" w:type="dxa"/>
            <w:tcBorders>
              <w:top w:val="single" w:sz="4" w:space="0" w:color="auto"/>
              <w:left w:val="single" w:sz="4" w:space="0" w:color="auto"/>
              <w:bottom w:val="single" w:sz="4" w:space="0" w:color="auto"/>
              <w:right w:val="single" w:sz="4" w:space="0" w:color="auto"/>
            </w:tcBorders>
            <w:hideMark/>
          </w:tcPr>
          <w:p w14:paraId="576AC894" w14:textId="77777777" w:rsidR="00D848EC" w:rsidRPr="00D848EC" w:rsidRDefault="00D848EC" w:rsidP="00D848EC">
            <w:pPr>
              <w:rPr>
                <w:sz w:val="18"/>
              </w:rPr>
            </w:pPr>
            <w:r w:rsidRPr="00D848EC">
              <w:rPr>
                <w:rFonts w:ascii="Sylfaen" w:hAnsi="Sylfaen" w:cs="Sylfaen"/>
                <w:sz w:val="18"/>
              </w:rPr>
              <w:t>ჯამური</w:t>
            </w:r>
            <w:r w:rsidRPr="00D848EC">
              <w:rPr>
                <w:sz w:val="18"/>
              </w:rPr>
              <w:t xml:space="preserve"> </w:t>
            </w:r>
            <w:r w:rsidRPr="00D848EC">
              <w:rPr>
                <w:rFonts w:ascii="Sylfaen" w:hAnsi="Sylfaen" w:cs="Sylfaen"/>
                <w:sz w:val="18"/>
              </w:rPr>
              <w:t>ზემოქმედების</w:t>
            </w:r>
            <w:r w:rsidRPr="00D848EC">
              <w:rPr>
                <w:sz w:val="18"/>
              </w:rPr>
              <w:t xml:space="preserve"> </w:t>
            </w:r>
            <w:r w:rsidRPr="00D848EC">
              <w:rPr>
                <w:rFonts w:ascii="Sylfaen" w:hAnsi="Sylfaen" w:cs="Sylfaen"/>
                <w:sz w:val="18"/>
              </w:rPr>
              <w:t>ჯგუფი</w:t>
            </w:r>
            <w:r w:rsidRPr="00D848EC">
              <w:rPr>
                <w:sz w:val="18"/>
              </w:rPr>
              <w:t xml:space="preserve">: </w:t>
            </w:r>
            <w:r w:rsidRPr="00D848EC">
              <w:rPr>
                <w:rFonts w:ascii="Sylfaen" w:hAnsi="Sylfaen" w:cs="Sylfaen"/>
                <w:sz w:val="18"/>
              </w:rPr>
              <w:t>ჯამური</w:t>
            </w:r>
            <w:r w:rsidRPr="00D848EC">
              <w:rPr>
                <w:sz w:val="18"/>
              </w:rPr>
              <w:t xml:space="preserve"> </w:t>
            </w:r>
            <w:r w:rsidRPr="00D848EC">
              <w:rPr>
                <w:rFonts w:ascii="Sylfaen" w:hAnsi="Sylfaen" w:cs="Sylfaen"/>
                <w:sz w:val="18"/>
              </w:rPr>
              <w:t>ზემოქმედების</w:t>
            </w:r>
            <w:r w:rsidRPr="00D848EC">
              <w:rPr>
                <w:sz w:val="18"/>
              </w:rPr>
              <w:t xml:space="preserve"> </w:t>
            </w:r>
            <w:r w:rsidRPr="00D848EC">
              <w:rPr>
                <w:rFonts w:ascii="Sylfaen" w:hAnsi="Sylfaen" w:cs="Sylfaen"/>
                <w:sz w:val="18"/>
              </w:rPr>
              <w:t>ჯგუფი</w:t>
            </w:r>
            <w:r w:rsidRPr="00D848EC">
              <w:rPr>
                <w:sz w:val="18"/>
              </w:rPr>
              <w:t xml:space="preserve"> (2) 330 333</w:t>
            </w:r>
          </w:p>
        </w:tc>
        <w:tc>
          <w:tcPr>
            <w:tcW w:w="1109" w:type="dxa"/>
            <w:tcBorders>
              <w:top w:val="single" w:sz="4" w:space="0" w:color="auto"/>
              <w:left w:val="single" w:sz="4" w:space="0" w:color="auto"/>
              <w:bottom w:val="single" w:sz="4" w:space="0" w:color="auto"/>
              <w:right w:val="single" w:sz="4" w:space="0" w:color="auto"/>
            </w:tcBorders>
            <w:hideMark/>
          </w:tcPr>
          <w:p w14:paraId="369DC4BC" w14:textId="77777777" w:rsidR="00D848EC" w:rsidRPr="00D848EC" w:rsidRDefault="00D848EC" w:rsidP="00D848EC">
            <w:pPr>
              <w:rPr>
                <w:sz w:val="18"/>
              </w:rPr>
            </w:pPr>
            <w:r w:rsidRPr="00D848EC">
              <w:rPr>
                <w:rFonts w:ascii="Sylfaen" w:hAnsi="Sylfaen" w:cs="Sylfaen"/>
                <w:sz w:val="18"/>
              </w:rPr>
              <w:t>ჯგუფი</w:t>
            </w:r>
          </w:p>
        </w:tc>
        <w:tc>
          <w:tcPr>
            <w:tcW w:w="1401" w:type="dxa"/>
            <w:tcBorders>
              <w:top w:val="single" w:sz="4" w:space="0" w:color="auto"/>
              <w:left w:val="single" w:sz="4" w:space="0" w:color="auto"/>
              <w:bottom w:val="single" w:sz="4" w:space="0" w:color="auto"/>
              <w:right w:val="single" w:sz="4" w:space="0" w:color="auto"/>
            </w:tcBorders>
            <w:hideMark/>
          </w:tcPr>
          <w:p w14:paraId="5D913A82" w14:textId="77777777" w:rsidR="00D848EC" w:rsidRPr="00D848EC" w:rsidRDefault="00D848EC" w:rsidP="00D848EC">
            <w:pPr>
              <w:rPr>
                <w:sz w:val="18"/>
              </w:rPr>
            </w:pPr>
            <w:r w:rsidRPr="00D848EC">
              <w:rPr>
                <w:sz w:val="18"/>
              </w:rPr>
              <w:t>-</w:t>
            </w:r>
          </w:p>
        </w:tc>
        <w:tc>
          <w:tcPr>
            <w:tcW w:w="1330" w:type="dxa"/>
            <w:tcBorders>
              <w:top w:val="single" w:sz="4" w:space="0" w:color="auto"/>
              <w:left w:val="single" w:sz="4" w:space="0" w:color="auto"/>
              <w:bottom w:val="single" w:sz="4" w:space="0" w:color="auto"/>
              <w:right w:val="single" w:sz="4" w:space="0" w:color="auto"/>
            </w:tcBorders>
            <w:hideMark/>
          </w:tcPr>
          <w:p w14:paraId="277E81BE" w14:textId="77777777" w:rsidR="00D848EC" w:rsidRPr="00D848EC" w:rsidRDefault="00D848EC" w:rsidP="00D848EC">
            <w:pPr>
              <w:rPr>
                <w:sz w:val="18"/>
              </w:rPr>
            </w:pPr>
            <w:r w:rsidRPr="00D848EC">
              <w:rPr>
                <w:sz w:val="18"/>
              </w:rPr>
              <w:t>-</w:t>
            </w:r>
          </w:p>
        </w:tc>
        <w:tc>
          <w:tcPr>
            <w:tcW w:w="1290" w:type="dxa"/>
            <w:tcBorders>
              <w:top w:val="single" w:sz="4" w:space="0" w:color="auto"/>
              <w:left w:val="single" w:sz="4" w:space="0" w:color="auto"/>
              <w:bottom w:val="single" w:sz="4" w:space="0" w:color="auto"/>
              <w:right w:val="single" w:sz="4" w:space="0" w:color="auto"/>
            </w:tcBorders>
            <w:hideMark/>
          </w:tcPr>
          <w:p w14:paraId="3B441ACF" w14:textId="77777777" w:rsidR="00D848EC" w:rsidRPr="00D848EC" w:rsidRDefault="00D848EC" w:rsidP="00D848EC">
            <w:pPr>
              <w:rPr>
                <w:sz w:val="18"/>
              </w:rPr>
            </w:pPr>
            <w:r w:rsidRPr="00D848EC">
              <w:rPr>
                <w:sz w:val="18"/>
              </w:rPr>
              <w:t>1</w:t>
            </w:r>
          </w:p>
        </w:tc>
        <w:tc>
          <w:tcPr>
            <w:tcW w:w="773" w:type="dxa"/>
            <w:tcBorders>
              <w:top w:val="single" w:sz="4" w:space="0" w:color="auto"/>
              <w:left w:val="single" w:sz="4" w:space="0" w:color="auto"/>
              <w:bottom w:val="single" w:sz="4" w:space="0" w:color="auto"/>
              <w:right w:val="single" w:sz="4" w:space="0" w:color="auto"/>
            </w:tcBorders>
            <w:hideMark/>
          </w:tcPr>
          <w:p w14:paraId="3EC5474C" w14:textId="77777777" w:rsidR="00D848EC" w:rsidRPr="00D848EC" w:rsidRDefault="00D848EC" w:rsidP="00D848EC">
            <w:pPr>
              <w:rPr>
                <w:sz w:val="18"/>
              </w:rPr>
            </w:pPr>
            <w:r w:rsidRPr="00D848EC">
              <w:rPr>
                <w:rFonts w:ascii="Sylfaen" w:hAnsi="Sylfaen" w:cs="Sylfaen"/>
                <w:sz w:val="18"/>
              </w:rPr>
              <w:t>არა</w:t>
            </w:r>
          </w:p>
        </w:tc>
        <w:tc>
          <w:tcPr>
            <w:tcW w:w="833" w:type="dxa"/>
            <w:tcBorders>
              <w:top w:val="single" w:sz="4" w:space="0" w:color="auto"/>
              <w:left w:val="single" w:sz="4" w:space="0" w:color="auto"/>
              <w:bottom w:val="single" w:sz="4" w:space="0" w:color="auto"/>
              <w:right w:val="single" w:sz="4" w:space="0" w:color="auto"/>
            </w:tcBorders>
            <w:hideMark/>
          </w:tcPr>
          <w:p w14:paraId="314D0F1E" w14:textId="77777777" w:rsidR="00D848EC" w:rsidRPr="00D848EC" w:rsidRDefault="00D848EC" w:rsidP="00D848EC">
            <w:pPr>
              <w:rPr>
                <w:sz w:val="18"/>
              </w:rPr>
            </w:pPr>
            <w:r w:rsidRPr="00D848EC">
              <w:rPr>
                <w:rFonts w:ascii="Sylfaen" w:hAnsi="Sylfaen" w:cs="Sylfaen"/>
                <w:sz w:val="18"/>
              </w:rPr>
              <w:t>არა</w:t>
            </w:r>
          </w:p>
        </w:tc>
      </w:tr>
      <w:tr w:rsidR="00D848EC" w:rsidRPr="00D848EC" w14:paraId="2395261A" w14:textId="77777777" w:rsidTr="00D848EC">
        <w:trPr>
          <w:jc w:val="center"/>
        </w:trPr>
        <w:tc>
          <w:tcPr>
            <w:tcW w:w="671" w:type="dxa"/>
            <w:tcBorders>
              <w:top w:val="single" w:sz="4" w:space="0" w:color="auto"/>
              <w:left w:val="single" w:sz="4" w:space="0" w:color="auto"/>
              <w:bottom w:val="single" w:sz="4" w:space="0" w:color="auto"/>
              <w:right w:val="single" w:sz="4" w:space="0" w:color="auto"/>
            </w:tcBorders>
            <w:hideMark/>
          </w:tcPr>
          <w:p w14:paraId="4DD4E66F" w14:textId="77777777" w:rsidR="00D848EC" w:rsidRPr="00D848EC" w:rsidRDefault="00D848EC" w:rsidP="00D848EC">
            <w:pPr>
              <w:rPr>
                <w:sz w:val="18"/>
              </w:rPr>
            </w:pPr>
            <w:r w:rsidRPr="00D848EC">
              <w:rPr>
                <w:sz w:val="18"/>
              </w:rPr>
              <w:t>6046</w:t>
            </w:r>
          </w:p>
        </w:tc>
        <w:tc>
          <w:tcPr>
            <w:tcW w:w="3374" w:type="dxa"/>
            <w:tcBorders>
              <w:top w:val="single" w:sz="4" w:space="0" w:color="auto"/>
              <w:left w:val="single" w:sz="4" w:space="0" w:color="auto"/>
              <w:bottom w:val="single" w:sz="4" w:space="0" w:color="auto"/>
              <w:right w:val="single" w:sz="4" w:space="0" w:color="auto"/>
            </w:tcBorders>
            <w:hideMark/>
          </w:tcPr>
          <w:p w14:paraId="7B99200A" w14:textId="77777777" w:rsidR="00D848EC" w:rsidRPr="00D848EC" w:rsidRDefault="00D848EC" w:rsidP="00D848EC">
            <w:pPr>
              <w:rPr>
                <w:sz w:val="18"/>
              </w:rPr>
            </w:pPr>
            <w:r w:rsidRPr="00D848EC">
              <w:rPr>
                <w:rFonts w:ascii="Sylfaen" w:hAnsi="Sylfaen" w:cs="Sylfaen"/>
                <w:sz w:val="18"/>
              </w:rPr>
              <w:t>ჯამური</w:t>
            </w:r>
            <w:r w:rsidRPr="00D848EC">
              <w:rPr>
                <w:sz w:val="18"/>
              </w:rPr>
              <w:t xml:space="preserve"> </w:t>
            </w:r>
            <w:r w:rsidRPr="00D848EC">
              <w:rPr>
                <w:rFonts w:ascii="Sylfaen" w:hAnsi="Sylfaen" w:cs="Sylfaen"/>
                <w:sz w:val="18"/>
              </w:rPr>
              <w:t>ზემოქმედების</w:t>
            </w:r>
            <w:r w:rsidRPr="00D848EC">
              <w:rPr>
                <w:sz w:val="18"/>
              </w:rPr>
              <w:t xml:space="preserve"> </w:t>
            </w:r>
            <w:r w:rsidRPr="00D848EC">
              <w:rPr>
                <w:rFonts w:ascii="Sylfaen" w:hAnsi="Sylfaen" w:cs="Sylfaen"/>
                <w:sz w:val="18"/>
              </w:rPr>
              <w:t>ჯგუფი</w:t>
            </w:r>
            <w:r w:rsidRPr="00D848EC">
              <w:rPr>
                <w:sz w:val="18"/>
              </w:rPr>
              <w:t xml:space="preserve">: </w:t>
            </w:r>
            <w:r w:rsidRPr="00D848EC">
              <w:rPr>
                <w:rFonts w:ascii="Sylfaen" w:hAnsi="Sylfaen" w:cs="Sylfaen"/>
                <w:sz w:val="18"/>
              </w:rPr>
              <w:t>ჯამური</w:t>
            </w:r>
            <w:r w:rsidRPr="00D848EC">
              <w:rPr>
                <w:sz w:val="18"/>
              </w:rPr>
              <w:t xml:space="preserve"> </w:t>
            </w:r>
            <w:r w:rsidRPr="00D848EC">
              <w:rPr>
                <w:rFonts w:ascii="Sylfaen" w:hAnsi="Sylfaen" w:cs="Sylfaen"/>
                <w:sz w:val="18"/>
              </w:rPr>
              <w:t>ზემოქმედების</w:t>
            </w:r>
            <w:r w:rsidRPr="00D848EC">
              <w:rPr>
                <w:sz w:val="18"/>
              </w:rPr>
              <w:t xml:space="preserve"> </w:t>
            </w:r>
            <w:r w:rsidRPr="00D848EC">
              <w:rPr>
                <w:rFonts w:ascii="Sylfaen" w:hAnsi="Sylfaen" w:cs="Sylfaen"/>
                <w:sz w:val="18"/>
              </w:rPr>
              <w:t>ჯგუფი</w:t>
            </w:r>
            <w:r w:rsidRPr="00D848EC">
              <w:rPr>
                <w:sz w:val="18"/>
              </w:rPr>
              <w:t xml:space="preserve"> (2) 337 2908</w:t>
            </w:r>
          </w:p>
        </w:tc>
        <w:tc>
          <w:tcPr>
            <w:tcW w:w="1109" w:type="dxa"/>
            <w:tcBorders>
              <w:top w:val="single" w:sz="4" w:space="0" w:color="auto"/>
              <w:left w:val="single" w:sz="4" w:space="0" w:color="auto"/>
              <w:bottom w:val="single" w:sz="4" w:space="0" w:color="auto"/>
              <w:right w:val="single" w:sz="4" w:space="0" w:color="auto"/>
            </w:tcBorders>
            <w:hideMark/>
          </w:tcPr>
          <w:p w14:paraId="3C6F192B" w14:textId="77777777" w:rsidR="00D848EC" w:rsidRPr="00D848EC" w:rsidRDefault="00D848EC" w:rsidP="00D848EC">
            <w:pPr>
              <w:rPr>
                <w:sz w:val="18"/>
              </w:rPr>
            </w:pPr>
            <w:r w:rsidRPr="00D848EC">
              <w:rPr>
                <w:rFonts w:ascii="Sylfaen" w:hAnsi="Sylfaen" w:cs="Sylfaen"/>
                <w:sz w:val="18"/>
              </w:rPr>
              <w:t>ჯგუფი</w:t>
            </w:r>
          </w:p>
        </w:tc>
        <w:tc>
          <w:tcPr>
            <w:tcW w:w="1401" w:type="dxa"/>
            <w:tcBorders>
              <w:top w:val="single" w:sz="4" w:space="0" w:color="auto"/>
              <w:left w:val="single" w:sz="4" w:space="0" w:color="auto"/>
              <w:bottom w:val="single" w:sz="4" w:space="0" w:color="auto"/>
              <w:right w:val="single" w:sz="4" w:space="0" w:color="auto"/>
            </w:tcBorders>
            <w:hideMark/>
          </w:tcPr>
          <w:p w14:paraId="0D255214" w14:textId="77777777" w:rsidR="00D848EC" w:rsidRPr="00D848EC" w:rsidRDefault="00D848EC" w:rsidP="00D848EC">
            <w:pPr>
              <w:rPr>
                <w:sz w:val="18"/>
              </w:rPr>
            </w:pPr>
            <w:r w:rsidRPr="00D848EC">
              <w:rPr>
                <w:sz w:val="18"/>
              </w:rPr>
              <w:t>-</w:t>
            </w:r>
          </w:p>
        </w:tc>
        <w:tc>
          <w:tcPr>
            <w:tcW w:w="1330" w:type="dxa"/>
            <w:tcBorders>
              <w:top w:val="single" w:sz="4" w:space="0" w:color="auto"/>
              <w:left w:val="single" w:sz="4" w:space="0" w:color="auto"/>
              <w:bottom w:val="single" w:sz="4" w:space="0" w:color="auto"/>
              <w:right w:val="single" w:sz="4" w:space="0" w:color="auto"/>
            </w:tcBorders>
            <w:hideMark/>
          </w:tcPr>
          <w:p w14:paraId="6BCA795E" w14:textId="77777777" w:rsidR="00D848EC" w:rsidRPr="00D848EC" w:rsidRDefault="00D848EC" w:rsidP="00D848EC">
            <w:pPr>
              <w:rPr>
                <w:sz w:val="18"/>
              </w:rPr>
            </w:pPr>
            <w:r w:rsidRPr="00D848EC">
              <w:rPr>
                <w:sz w:val="18"/>
              </w:rPr>
              <w:t>-</w:t>
            </w:r>
          </w:p>
        </w:tc>
        <w:tc>
          <w:tcPr>
            <w:tcW w:w="1290" w:type="dxa"/>
            <w:tcBorders>
              <w:top w:val="single" w:sz="4" w:space="0" w:color="auto"/>
              <w:left w:val="single" w:sz="4" w:space="0" w:color="auto"/>
              <w:bottom w:val="single" w:sz="4" w:space="0" w:color="auto"/>
              <w:right w:val="single" w:sz="4" w:space="0" w:color="auto"/>
            </w:tcBorders>
            <w:hideMark/>
          </w:tcPr>
          <w:p w14:paraId="519EFC84" w14:textId="77777777" w:rsidR="00D848EC" w:rsidRPr="00D848EC" w:rsidRDefault="00D848EC" w:rsidP="00D848EC">
            <w:pPr>
              <w:rPr>
                <w:sz w:val="18"/>
              </w:rPr>
            </w:pPr>
            <w:r w:rsidRPr="00D848EC">
              <w:rPr>
                <w:sz w:val="18"/>
              </w:rPr>
              <w:t>1</w:t>
            </w:r>
          </w:p>
        </w:tc>
        <w:tc>
          <w:tcPr>
            <w:tcW w:w="773" w:type="dxa"/>
            <w:tcBorders>
              <w:top w:val="single" w:sz="4" w:space="0" w:color="auto"/>
              <w:left w:val="single" w:sz="4" w:space="0" w:color="auto"/>
              <w:bottom w:val="single" w:sz="4" w:space="0" w:color="auto"/>
              <w:right w:val="single" w:sz="4" w:space="0" w:color="auto"/>
            </w:tcBorders>
            <w:hideMark/>
          </w:tcPr>
          <w:p w14:paraId="5B4A270C" w14:textId="77777777" w:rsidR="00D848EC" w:rsidRPr="00D848EC" w:rsidRDefault="00D848EC" w:rsidP="00D848EC">
            <w:pPr>
              <w:rPr>
                <w:sz w:val="18"/>
              </w:rPr>
            </w:pPr>
            <w:r w:rsidRPr="00D848EC">
              <w:rPr>
                <w:rFonts w:ascii="Sylfaen" w:hAnsi="Sylfaen" w:cs="Sylfaen"/>
                <w:sz w:val="18"/>
              </w:rPr>
              <w:t>არა</w:t>
            </w:r>
          </w:p>
        </w:tc>
        <w:tc>
          <w:tcPr>
            <w:tcW w:w="833" w:type="dxa"/>
            <w:tcBorders>
              <w:top w:val="single" w:sz="4" w:space="0" w:color="auto"/>
              <w:left w:val="single" w:sz="4" w:space="0" w:color="auto"/>
              <w:bottom w:val="single" w:sz="4" w:space="0" w:color="auto"/>
              <w:right w:val="single" w:sz="4" w:space="0" w:color="auto"/>
            </w:tcBorders>
            <w:hideMark/>
          </w:tcPr>
          <w:p w14:paraId="46C8E20F" w14:textId="77777777" w:rsidR="00D848EC" w:rsidRPr="00D848EC" w:rsidRDefault="00D848EC" w:rsidP="00D848EC">
            <w:pPr>
              <w:rPr>
                <w:sz w:val="18"/>
              </w:rPr>
            </w:pPr>
            <w:r w:rsidRPr="00D848EC">
              <w:rPr>
                <w:rFonts w:ascii="Sylfaen" w:hAnsi="Sylfaen" w:cs="Sylfaen"/>
                <w:sz w:val="18"/>
              </w:rPr>
              <w:t>არა</w:t>
            </w:r>
          </w:p>
        </w:tc>
      </w:tr>
    </w:tbl>
    <w:p w14:paraId="2BE38651" w14:textId="77777777" w:rsidR="00D848EC" w:rsidRPr="001352AB" w:rsidRDefault="00D848EC" w:rsidP="00D848EC">
      <w:pPr>
        <w:spacing w:before="120" w:after="120"/>
      </w:pPr>
      <w:r w:rsidRPr="001352AB">
        <w:rPr>
          <w:rFonts w:ascii="Sylfaen" w:hAnsi="Sylfaen" w:cs="Sylfaen"/>
        </w:rPr>
        <w:t>ცხრილი</w:t>
      </w:r>
      <w:r w:rsidRPr="001352AB">
        <w:t xml:space="preserve"> 2-2. </w:t>
      </w:r>
      <w:r w:rsidRPr="001352AB">
        <w:rPr>
          <w:rFonts w:ascii="Sylfaen" w:hAnsi="Sylfaen" w:cs="Sylfaen"/>
        </w:rPr>
        <w:t>ატმოსფერული</w:t>
      </w:r>
      <w:r w:rsidRPr="001352AB">
        <w:t xml:space="preserve"> </w:t>
      </w:r>
      <w:r w:rsidRPr="001352AB">
        <w:rPr>
          <w:rFonts w:ascii="Sylfaen" w:hAnsi="Sylfaen" w:cs="Sylfaen"/>
        </w:rPr>
        <w:t>ჰაერის</w:t>
      </w:r>
      <w:r w:rsidRPr="001352AB">
        <w:t xml:space="preserve"> </w:t>
      </w:r>
      <w:r w:rsidRPr="001352AB">
        <w:rPr>
          <w:rFonts w:ascii="Sylfaen" w:hAnsi="Sylfaen" w:cs="Sylfaen"/>
        </w:rPr>
        <w:t>ხარისხობრივი</w:t>
      </w:r>
      <w:r w:rsidRPr="001352AB">
        <w:t xml:space="preserve"> </w:t>
      </w:r>
      <w:r w:rsidRPr="001352AB">
        <w:rPr>
          <w:rFonts w:ascii="Sylfaen" w:hAnsi="Sylfaen" w:cs="Sylfaen"/>
        </w:rPr>
        <w:t>ნორმები</w:t>
      </w:r>
      <w:r w:rsidRPr="001352AB">
        <w:t xml:space="preserve"> </w:t>
      </w:r>
      <w:r w:rsidRPr="001352AB">
        <w:rPr>
          <w:rFonts w:ascii="Sylfaen" w:hAnsi="Sylfaen" w:cs="Sylfaen"/>
        </w:rPr>
        <w:t>საერთაშორისო</w:t>
      </w:r>
      <w:r w:rsidRPr="001352AB">
        <w:t xml:space="preserve"> </w:t>
      </w:r>
      <w:r w:rsidRPr="001352AB">
        <w:rPr>
          <w:rFonts w:ascii="Sylfaen" w:hAnsi="Sylfaen" w:cs="Sylfaen"/>
        </w:rPr>
        <w:t>ფინანსური</w:t>
      </w:r>
      <w:r w:rsidRPr="001352AB">
        <w:t xml:space="preserve"> </w:t>
      </w:r>
      <w:r w:rsidRPr="001352AB">
        <w:rPr>
          <w:rFonts w:ascii="Sylfaen" w:hAnsi="Sylfaen" w:cs="Sylfaen"/>
        </w:rPr>
        <w:t>კორპორაციის</w:t>
      </w:r>
      <w:r w:rsidRPr="001352AB">
        <w:t xml:space="preserve"> </w:t>
      </w:r>
      <w:r w:rsidRPr="001352AB">
        <w:rPr>
          <w:rFonts w:ascii="Sylfaen" w:hAnsi="Sylfaen" w:cs="Sylfaen"/>
        </w:rPr>
        <w:t>მითითებების</w:t>
      </w:r>
      <w:r w:rsidRPr="001352AB">
        <w:t xml:space="preserve"> </w:t>
      </w:r>
      <w:r w:rsidRPr="001352AB">
        <w:rPr>
          <w:rFonts w:ascii="Sylfaen" w:hAnsi="Sylfaen" w:cs="Sylfaen"/>
        </w:rPr>
        <w:t>მიხედვით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2922"/>
        <w:gridCol w:w="3296"/>
        <w:gridCol w:w="4212"/>
      </w:tblGrid>
      <w:tr w:rsidR="00D848EC" w:rsidRPr="00D848EC" w14:paraId="4024C8FB" w14:textId="77777777" w:rsidTr="00D848EC">
        <w:trPr>
          <w:jc w:val="center"/>
        </w:trPr>
        <w:tc>
          <w:tcPr>
            <w:tcW w:w="1401" w:type="pct"/>
            <w:tcBorders>
              <w:top w:val="single" w:sz="4" w:space="0" w:color="auto"/>
              <w:left w:val="single" w:sz="4" w:space="0" w:color="auto"/>
              <w:bottom w:val="single" w:sz="4" w:space="0" w:color="auto"/>
              <w:right w:val="single" w:sz="4" w:space="0" w:color="auto"/>
            </w:tcBorders>
            <w:noWrap/>
          </w:tcPr>
          <w:p w14:paraId="52A4A738" w14:textId="77777777" w:rsidR="00D848EC" w:rsidRPr="00D848EC" w:rsidRDefault="00D848EC" w:rsidP="00D848EC">
            <w:pPr>
              <w:rPr>
                <w:sz w:val="20"/>
              </w:rPr>
            </w:pPr>
          </w:p>
        </w:tc>
        <w:tc>
          <w:tcPr>
            <w:tcW w:w="1580" w:type="pct"/>
            <w:tcBorders>
              <w:top w:val="single" w:sz="4" w:space="0" w:color="auto"/>
              <w:left w:val="single" w:sz="4" w:space="0" w:color="auto"/>
              <w:bottom w:val="single" w:sz="4" w:space="0" w:color="auto"/>
              <w:right w:val="single" w:sz="4" w:space="0" w:color="auto"/>
            </w:tcBorders>
            <w:noWrap/>
            <w:hideMark/>
          </w:tcPr>
          <w:p w14:paraId="11AFE85D" w14:textId="77777777" w:rsidR="00D848EC" w:rsidRPr="00D848EC" w:rsidRDefault="00D848EC" w:rsidP="00D848EC">
            <w:pPr>
              <w:rPr>
                <w:rFonts w:eastAsia="Calibri"/>
                <w:sz w:val="20"/>
              </w:rPr>
            </w:pPr>
            <w:r w:rsidRPr="00D848EC">
              <w:rPr>
                <w:rFonts w:ascii="Sylfaen" w:eastAsia="Calibri" w:hAnsi="Sylfaen" w:cs="Sylfaen"/>
                <w:sz w:val="20"/>
              </w:rPr>
              <w:t>გასაშუალოებისპერიოდი</w:t>
            </w:r>
          </w:p>
        </w:tc>
        <w:tc>
          <w:tcPr>
            <w:tcW w:w="2019" w:type="pct"/>
            <w:tcBorders>
              <w:top w:val="single" w:sz="4" w:space="0" w:color="auto"/>
              <w:left w:val="single" w:sz="4" w:space="0" w:color="auto"/>
              <w:bottom w:val="single" w:sz="4" w:space="0" w:color="auto"/>
              <w:right w:val="single" w:sz="4" w:space="0" w:color="auto"/>
            </w:tcBorders>
            <w:noWrap/>
            <w:hideMark/>
          </w:tcPr>
          <w:p w14:paraId="2471E32C" w14:textId="77777777" w:rsidR="00D848EC" w:rsidRPr="00D848EC" w:rsidRDefault="00D848EC" w:rsidP="00D848EC">
            <w:pPr>
              <w:rPr>
                <w:rFonts w:eastAsia="Calibri"/>
                <w:sz w:val="20"/>
              </w:rPr>
            </w:pPr>
            <w:r w:rsidRPr="00D848EC">
              <w:rPr>
                <w:rFonts w:ascii="Sylfaen" w:eastAsia="Calibri" w:hAnsi="Sylfaen" w:cs="Sylfaen"/>
                <w:sz w:val="20"/>
              </w:rPr>
              <w:t>რეკომენდებულიმნიშვნელობა</w:t>
            </w:r>
            <w:r w:rsidRPr="00D848EC">
              <w:rPr>
                <w:rFonts w:eastAsia="Calibri"/>
                <w:sz w:val="20"/>
              </w:rPr>
              <w:t>,</w:t>
            </w:r>
            <w:r w:rsidRPr="00D848EC">
              <w:rPr>
                <w:sz w:val="20"/>
              </w:rPr>
              <w:t>„</w:t>
            </w:r>
            <w:r w:rsidRPr="00D848EC">
              <w:rPr>
                <w:rFonts w:ascii="Sylfaen" w:hAnsi="Sylfaen" w:cs="Sylfaen"/>
                <w:sz w:val="20"/>
              </w:rPr>
              <w:t>მკგ</w:t>
            </w:r>
            <w:r w:rsidRPr="00D848EC">
              <w:rPr>
                <w:rFonts w:eastAsia="Calibri"/>
                <w:sz w:val="20"/>
              </w:rPr>
              <w:t>/</w:t>
            </w:r>
            <w:r w:rsidRPr="00D848EC">
              <w:rPr>
                <w:rFonts w:ascii="Sylfaen" w:eastAsia="Calibri" w:hAnsi="Sylfaen" w:cs="Sylfaen"/>
                <w:sz w:val="20"/>
              </w:rPr>
              <w:t>მ</w:t>
            </w:r>
            <w:r w:rsidRPr="00D848EC">
              <w:rPr>
                <w:rFonts w:eastAsia="Calibri"/>
                <w:sz w:val="20"/>
              </w:rPr>
              <w:t>3</w:t>
            </w:r>
          </w:p>
        </w:tc>
      </w:tr>
      <w:tr w:rsidR="00D848EC" w:rsidRPr="00D848EC" w14:paraId="7C6D92F3" w14:textId="77777777" w:rsidTr="00D848EC">
        <w:trPr>
          <w:jc w:val="center"/>
        </w:trPr>
        <w:tc>
          <w:tcPr>
            <w:tcW w:w="1401" w:type="pct"/>
            <w:tcBorders>
              <w:top w:val="single" w:sz="4" w:space="0" w:color="auto"/>
              <w:left w:val="single" w:sz="4" w:space="0" w:color="auto"/>
              <w:bottom w:val="single" w:sz="4" w:space="0" w:color="auto"/>
              <w:right w:val="single" w:sz="4" w:space="0" w:color="auto"/>
            </w:tcBorders>
            <w:noWrap/>
            <w:hideMark/>
          </w:tcPr>
          <w:p w14:paraId="5E3F0F49" w14:textId="77777777" w:rsidR="00D848EC" w:rsidRPr="00D848EC" w:rsidRDefault="00D848EC" w:rsidP="00D848EC">
            <w:pPr>
              <w:rPr>
                <w:rFonts w:eastAsia="Calibri"/>
                <w:sz w:val="20"/>
              </w:rPr>
            </w:pPr>
            <w:r w:rsidRPr="00D848EC">
              <w:rPr>
                <w:rFonts w:ascii="Sylfaen" w:eastAsia="Calibri" w:hAnsi="Sylfaen" w:cs="Sylfaen"/>
                <w:sz w:val="20"/>
              </w:rPr>
              <w:t>გოგირდის</w:t>
            </w:r>
            <w:r w:rsidRPr="00D848EC">
              <w:rPr>
                <w:rFonts w:eastAsia="Calibri"/>
                <w:sz w:val="20"/>
              </w:rPr>
              <w:t xml:space="preserve"> </w:t>
            </w:r>
            <w:r w:rsidRPr="00D848EC">
              <w:rPr>
                <w:rFonts w:ascii="Sylfaen" w:eastAsia="Calibri" w:hAnsi="Sylfaen" w:cs="Sylfaen"/>
                <w:sz w:val="20"/>
              </w:rPr>
              <w:t>დიოქსიდი</w:t>
            </w:r>
            <w:r w:rsidRPr="00D848EC">
              <w:rPr>
                <w:rFonts w:eastAsia="Calibri"/>
                <w:sz w:val="20"/>
              </w:rPr>
              <w:t xml:space="preserve"> </w:t>
            </w:r>
          </w:p>
          <w:p w14:paraId="343A5603" w14:textId="77777777" w:rsidR="00D848EC" w:rsidRPr="00D848EC" w:rsidRDefault="00D848EC" w:rsidP="00D848EC">
            <w:pPr>
              <w:rPr>
                <w:rFonts w:eastAsia="Calibri"/>
                <w:sz w:val="20"/>
              </w:rPr>
            </w:pPr>
            <w:r w:rsidRPr="00D848EC">
              <w:rPr>
                <w:rFonts w:eastAsia="Calibri"/>
                <w:sz w:val="20"/>
              </w:rPr>
              <w:t xml:space="preserve"> (SO2)</w:t>
            </w:r>
          </w:p>
        </w:tc>
        <w:tc>
          <w:tcPr>
            <w:tcW w:w="1580" w:type="pct"/>
            <w:tcBorders>
              <w:top w:val="single" w:sz="4" w:space="0" w:color="auto"/>
              <w:left w:val="single" w:sz="4" w:space="0" w:color="auto"/>
              <w:bottom w:val="single" w:sz="4" w:space="0" w:color="auto"/>
              <w:right w:val="single" w:sz="4" w:space="0" w:color="auto"/>
            </w:tcBorders>
            <w:noWrap/>
          </w:tcPr>
          <w:p w14:paraId="3D02798C" w14:textId="77777777" w:rsidR="00D848EC" w:rsidRPr="00D848EC" w:rsidRDefault="00D848EC" w:rsidP="00D848EC">
            <w:pPr>
              <w:rPr>
                <w:rFonts w:eastAsia="Calibri"/>
                <w:sz w:val="20"/>
              </w:rPr>
            </w:pPr>
            <w:r w:rsidRPr="00D848EC">
              <w:rPr>
                <w:rFonts w:eastAsia="Calibri"/>
                <w:sz w:val="20"/>
              </w:rPr>
              <w:t>24-</w:t>
            </w:r>
            <w:r w:rsidRPr="00D848EC">
              <w:rPr>
                <w:rFonts w:ascii="Sylfaen" w:eastAsia="Calibri" w:hAnsi="Sylfaen" w:cs="Sylfaen"/>
                <w:sz w:val="20"/>
              </w:rPr>
              <w:t>საათი</w:t>
            </w:r>
          </w:p>
          <w:p w14:paraId="22FDBC23" w14:textId="77777777" w:rsidR="00D848EC" w:rsidRPr="00D848EC" w:rsidRDefault="00D848EC" w:rsidP="00D848EC">
            <w:pPr>
              <w:rPr>
                <w:rFonts w:eastAsia="Calibri"/>
                <w:sz w:val="20"/>
              </w:rPr>
            </w:pPr>
          </w:p>
          <w:p w14:paraId="7B27611B" w14:textId="77777777" w:rsidR="00D848EC" w:rsidRPr="00D848EC" w:rsidRDefault="00D848EC" w:rsidP="00D848EC">
            <w:pPr>
              <w:rPr>
                <w:rFonts w:eastAsia="Calibri"/>
                <w:sz w:val="20"/>
              </w:rPr>
            </w:pPr>
          </w:p>
          <w:p w14:paraId="30C53335" w14:textId="77777777" w:rsidR="00D848EC" w:rsidRPr="00D848EC" w:rsidRDefault="00D848EC" w:rsidP="00D848EC">
            <w:pPr>
              <w:rPr>
                <w:rFonts w:eastAsia="Calibri"/>
                <w:sz w:val="20"/>
              </w:rPr>
            </w:pPr>
            <w:r w:rsidRPr="00D848EC">
              <w:rPr>
                <w:rFonts w:eastAsia="Calibri"/>
                <w:sz w:val="20"/>
              </w:rPr>
              <w:t xml:space="preserve">10 </w:t>
            </w:r>
            <w:r w:rsidRPr="00D848EC">
              <w:rPr>
                <w:rFonts w:ascii="Sylfaen" w:eastAsia="Calibri" w:hAnsi="Sylfaen" w:cs="Sylfaen"/>
                <w:sz w:val="20"/>
              </w:rPr>
              <w:t>წუთი</w:t>
            </w:r>
          </w:p>
        </w:tc>
        <w:tc>
          <w:tcPr>
            <w:tcW w:w="2019" w:type="pct"/>
            <w:tcBorders>
              <w:top w:val="single" w:sz="4" w:space="0" w:color="auto"/>
              <w:left w:val="single" w:sz="4" w:space="0" w:color="auto"/>
              <w:bottom w:val="single" w:sz="4" w:space="0" w:color="auto"/>
              <w:right w:val="single" w:sz="4" w:space="0" w:color="auto"/>
            </w:tcBorders>
            <w:noWrap/>
            <w:hideMark/>
          </w:tcPr>
          <w:p w14:paraId="184A4F66" w14:textId="77777777" w:rsidR="00D848EC" w:rsidRPr="00D848EC" w:rsidRDefault="00D848EC" w:rsidP="00D848EC">
            <w:pPr>
              <w:rPr>
                <w:rFonts w:eastAsia="Calibri"/>
                <w:sz w:val="20"/>
              </w:rPr>
            </w:pPr>
            <w:r w:rsidRPr="00D848EC">
              <w:rPr>
                <w:rFonts w:eastAsia="Calibri"/>
                <w:sz w:val="20"/>
              </w:rPr>
              <w:t>125 (</w:t>
            </w:r>
            <w:r w:rsidRPr="00D848EC">
              <w:rPr>
                <w:rFonts w:ascii="Sylfaen" w:eastAsia="Calibri" w:hAnsi="Sylfaen" w:cs="Sylfaen"/>
                <w:sz w:val="20"/>
              </w:rPr>
              <w:t>შუალედური</w:t>
            </w:r>
            <w:r w:rsidRPr="00D848EC">
              <w:rPr>
                <w:rFonts w:eastAsia="Calibri"/>
                <w:sz w:val="20"/>
              </w:rPr>
              <w:t xml:space="preserve"> </w:t>
            </w:r>
            <w:r w:rsidRPr="00D848EC">
              <w:rPr>
                <w:rFonts w:ascii="Sylfaen" w:eastAsia="Calibri" w:hAnsi="Sylfaen" w:cs="Sylfaen"/>
                <w:sz w:val="20"/>
              </w:rPr>
              <w:t>სამიზნე</w:t>
            </w:r>
            <w:r w:rsidRPr="00D848EC">
              <w:rPr>
                <w:rFonts w:eastAsia="Calibri"/>
                <w:sz w:val="20"/>
              </w:rPr>
              <w:t xml:space="preserve">-1) </w:t>
            </w:r>
          </w:p>
          <w:p w14:paraId="75D4B90B" w14:textId="77777777" w:rsidR="00D848EC" w:rsidRPr="00D848EC" w:rsidRDefault="00D848EC" w:rsidP="00D848EC">
            <w:pPr>
              <w:rPr>
                <w:rFonts w:eastAsia="Calibri"/>
                <w:sz w:val="20"/>
              </w:rPr>
            </w:pPr>
            <w:r w:rsidRPr="00D848EC">
              <w:rPr>
                <w:rFonts w:eastAsia="Calibri"/>
                <w:sz w:val="20"/>
              </w:rPr>
              <w:t>50 (</w:t>
            </w:r>
            <w:r w:rsidRPr="00D848EC">
              <w:rPr>
                <w:rFonts w:ascii="Sylfaen" w:eastAsia="Calibri" w:hAnsi="Sylfaen" w:cs="Sylfaen"/>
                <w:sz w:val="20"/>
              </w:rPr>
              <w:t>შუალედური</w:t>
            </w:r>
            <w:r w:rsidRPr="00D848EC">
              <w:rPr>
                <w:rFonts w:eastAsia="Calibri"/>
                <w:sz w:val="20"/>
              </w:rPr>
              <w:t xml:space="preserve"> </w:t>
            </w:r>
            <w:r w:rsidRPr="00D848EC">
              <w:rPr>
                <w:rFonts w:ascii="Sylfaen" w:eastAsia="Calibri" w:hAnsi="Sylfaen" w:cs="Sylfaen"/>
                <w:sz w:val="20"/>
              </w:rPr>
              <w:t>სამიზნე</w:t>
            </w:r>
            <w:r w:rsidRPr="00D848EC">
              <w:rPr>
                <w:rFonts w:eastAsia="Calibri"/>
                <w:sz w:val="20"/>
              </w:rPr>
              <w:t xml:space="preserve">-2) </w:t>
            </w:r>
          </w:p>
          <w:p w14:paraId="7CCBD5A6" w14:textId="77777777" w:rsidR="00D848EC" w:rsidRPr="00D848EC" w:rsidRDefault="00D848EC" w:rsidP="00D848EC">
            <w:pPr>
              <w:rPr>
                <w:rFonts w:eastAsia="Calibri"/>
                <w:sz w:val="20"/>
              </w:rPr>
            </w:pPr>
            <w:r w:rsidRPr="00D848EC">
              <w:rPr>
                <w:rFonts w:eastAsia="Calibri"/>
                <w:sz w:val="20"/>
              </w:rPr>
              <w:t>20 (</w:t>
            </w:r>
            <w:r w:rsidRPr="00D848EC">
              <w:rPr>
                <w:rFonts w:ascii="Sylfaen" w:eastAsia="Calibri" w:hAnsi="Sylfaen" w:cs="Sylfaen"/>
                <w:sz w:val="20"/>
              </w:rPr>
              <w:t>რეკომენდებული</w:t>
            </w:r>
            <w:r w:rsidRPr="00D848EC">
              <w:rPr>
                <w:rFonts w:eastAsia="Calibri"/>
                <w:sz w:val="20"/>
              </w:rPr>
              <w:t xml:space="preserve">) </w:t>
            </w:r>
          </w:p>
          <w:p w14:paraId="32D04ED8" w14:textId="77777777" w:rsidR="00D848EC" w:rsidRPr="00D848EC" w:rsidRDefault="00D848EC" w:rsidP="00D848EC">
            <w:pPr>
              <w:rPr>
                <w:rFonts w:eastAsia="Calibri"/>
                <w:sz w:val="20"/>
              </w:rPr>
            </w:pPr>
            <w:r w:rsidRPr="00D848EC">
              <w:rPr>
                <w:rFonts w:eastAsia="Calibri"/>
                <w:sz w:val="20"/>
              </w:rPr>
              <w:t>500 (</w:t>
            </w:r>
            <w:r w:rsidRPr="00D848EC">
              <w:rPr>
                <w:rFonts w:ascii="Sylfaen" w:eastAsia="Calibri" w:hAnsi="Sylfaen" w:cs="Sylfaen"/>
                <w:sz w:val="20"/>
              </w:rPr>
              <w:t>რეკომენდებული</w:t>
            </w:r>
            <w:r w:rsidRPr="00D848EC">
              <w:rPr>
                <w:rFonts w:eastAsia="Calibri"/>
                <w:sz w:val="20"/>
              </w:rPr>
              <w:t>)</w:t>
            </w:r>
          </w:p>
        </w:tc>
      </w:tr>
      <w:tr w:rsidR="00D848EC" w:rsidRPr="00D848EC" w14:paraId="0837A78A" w14:textId="77777777" w:rsidTr="00D848EC">
        <w:trPr>
          <w:jc w:val="center"/>
        </w:trPr>
        <w:tc>
          <w:tcPr>
            <w:tcW w:w="1401" w:type="pct"/>
            <w:tcBorders>
              <w:top w:val="single" w:sz="4" w:space="0" w:color="auto"/>
              <w:left w:val="single" w:sz="4" w:space="0" w:color="auto"/>
              <w:bottom w:val="single" w:sz="4" w:space="0" w:color="auto"/>
              <w:right w:val="single" w:sz="4" w:space="0" w:color="auto"/>
            </w:tcBorders>
            <w:noWrap/>
            <w:hideMark/>
          </w:tcPr>
          <w:p w14:paraId="12AB765B" w14:textId="77777777" w:rsidR="00D848EC" w:rsidRPr="00D848EC" w:rsidRDefault="00D848EC" w:rsidP="00D848EC">
            <w:pPr>
              <w:rPr>
                <w:rFonts w:eastAsia="Calibri"/>
                <w:sz w:val="20"/>
              </w:rPr>
            </w:pPr>
            <w:r w:rsidRPr="00D848EC">
              <w:rPr>
                <w:rFonts w:ascii="Sylfaen" w:eastAsia="Calibri" w:hAnsi="Sylfaen" w:cs="Sylfaen"/>
                <w:sz w:val="20"/>
              </w:rPr>
              <w:t>აზოტის</w:t>
            </w:r>
            <w:r w:rsidRPr="00D848EC">
              <w:rPr>
                <w:rFonts w:eastAsia="Calibri"/>
                <w:sz w:val="20"/>
              </w:rPr>
              <w:t xml:space="preserve"> </w:t>
            </w:r>
            <w:r w:rsidRPr="00D848EC">
              <w:rPr>
                <w:rFonts w:ascii="Sylfaen" w:eastAsia="Calibri" w:hAnsi="Sylfaen" w:cs="Sylfaen"/>
                <w:sz w:val="20"/>
              </w:rPr>
              <w:t>დიოქსიდი</w:t>
            </w:r>
            <w:r w:rsidRPr="00D848EC">
              <w:rPr>
                <w:rFonts w:eastAsia="Calibri"/>
                <w:sz w:val="20"/>
              </w:rPr>
              <w:t xml:space="preserve"> (NO2)</w:t>
            </w:r>
          </w:p>
        </w:tc>
        <w:tc>
          <w:tcPr>
            <w:tcW w:w="1580" w:type="pct"/>
            <w:tcBorders>
              <w:top w:val="single" w:sz="4" w:space="0" w:color="auto"/>
              <w:left w:val="single" w:sz="4" w:space="0" w:color="auto"/>
              <w:bottom w:val="single" w:sz="4" w:space="0" w:color="auto"/>
              <w:right w:val="single" w:sz="4" w:space="0" w:color="auto"/>
            </w:tcBorders>
            <w:noWrap/>
            <w:hideMark/>
          </w:tcPr>
          <w:p w14:paraId="56E8411F" w14:textId="77777777" w:rsidR="00D848EC" w:rsidRPr="00D848EC" w:rsidRDefault="00D848EC" w:rsidP="00D848EC">
            <w:pPr>
              <w:rPr>
                <w:rFonts w:eastAsia="Calibri"/>
                <w:sz w:val="20"/>
              </w:rPr>
            </w:pPr>
            <w:r w:rsidRPr="00D848EC">
              <w:rPr>
                <w:rFonts w:eastAsia="Calibri"/>
                <w:sz w:val="20"/>
              </w:rPr>
              <w:t>1-</w:t>
            </w:r>
            <w:r w:rsidRPr="00D848EC">
              <w:rPr>
                <w:rFonts w:ascii="Sylfaen" w:eastAsia="Calibri" w:hAnsi="Sylfaen" w:cs="Sylfaen"/>
                <w:sz w:val="20"/>
              </w:rPr>
              <w:t>წელი</w:t>
            </w:r>
          </w:p>
          <w:p w14:paraId="271727B7" w14:textId="77777777" w:rsidR="00D848EC" w:rsidRPr="00D848EC" w:rsidRDefault="00D848EC" w:rsidP="00D848EC">
            <w:pPr>
              <w:rPr>
                <w:rFonts w:eastAsia="Calibri"/>
                <w:sz w:val="20"/>
              </w:rPr>
            </w:pPr>
            <w:r w:rsidRPr="00D848EC">
              <w:rPr>
                <w:rFonts w:eastAsia="Calibri"/>
                <w:sz w:val="20"/>
              </w:rPr>
              <w:t>1-</w:t>
            </w:r>
            <w:r w:rsidRPr="00D848EC">
              <w:rPr>
                <w:rFonts w:ascii="Sylfaen" w:eastAsia="Calibri" w:hAnsi="Sylfaen" w:cs="Sylfaen"/>
                <w:sz w:val="20"/>
              </w:rPr>
              <w:t>საათი</w:t>
            </w:r>
          </w:p>
        </w:tc>
        <w:tc>
          <w:tcPr>
            <w:tcW w:w="2019" w:type="pct"/>
            <w:tcBorders>
              <w:top w:val="single" w:sz="4" w:space="0" w:color="auto"/>
              <w:left w:val="single" w:sz="4" w:space="0" w:color="auto"/>
              <w:bottom w:val="single" w:sz="4" w:space="0" w:color="auto"/>
              <w:right w:val="single" w:sz="4" w:space="0" w:color="auto"/>
            </w:tcBorders>
            <w:noWrap/>
            <w:hideMark/>
          </w:tcPr>
          <w:p w14:paraId="3E5B6F12" w14:textId="77777777" w:rsidR="00D848EC" w:rsidRPr="00D848EC" w:rsidRDefault="00D848EC" w:rsidP="00D848EC">
            <w:pPr>
              <w:rPr>
                <w:rFonts w:eastAsia="Calibri"/>
                <w:sz w:val="20"/>
              </w:rPr>
            </w:pPr>
            <w:r w:rsidRPr="00D848EC">
              <w:rPr>
                <w:rFonts w:eastAsia="Calibri"/>
                <w:sz w:val="20"/>
              </w:rPr>
              <w:t>40 (</w:t>
            </w:r>
            <w:r w:rsidRPr="00D848EC">
              <w:rPr>
                <w:rFonts w:ascii="Sylfaen" w:eastAsia="Calibri" w:hAnsi="Sylfaen" w:cs="Sylfaen"/>
                <w:sz w:val="20"/>
              </w:rPr>
              <w:t>რეკომენდებული</w:t>
            </w:r>
            <w:r w:rsidRPr="00D848EC">
              <w:rPr>
                <w:rFonts w:eastAsia="Calibri"/>
                <w:sz w:val="20"/>
              </w:rPr>
              <w:t xml:space="preserve">) </w:t>
            </w:r>
          </w:p>
          <w:p w14:paraId="54C0EC57" w14:textId="77777777" w:rsidR="00D848EC" w:rsidRPr="00D848EC" w:rsidRDefault="00D848EC" w:rsidP="00D848EC">
            <w:pPr>
              <w:rPr>
                <w:rFonts w:eastAsia="Calibri"/>
                <w:sz w:val="20"/>
              </w:rPr>
            </w:pPr>
            <w:r w:rsidRPr="00D848EC">
              <w:rPr>
                <w:rFonts w:eastAsia="Calibri"/>
                <w:sz w:val="20"/>
              </w:rPr>
              <w:t>200 (</w:t>
            </w:r>
            <w:r w:rsidRPr="00D848EC">
              <w:rPr>
                <w:rFonts w:ascii="Sylfaen" w:eastAsia="Calibri" w:hAnsi="Sylfaen" w:cs="Sylfaen"/>
                <w:sz w:val="20"/>
              </w:rPr>
              <w:t>რეკომენდებული</w:t>
            </w:r>
            <w:r w:rsidRPr="00D848EC">
              <w:rPr>
                <w:rFonts w:eastAsia="Calibri"/>
                <w:sz w:val="20"/>
              </w:rPr>
              <w:t>)</w:t>
            </w:r>
          </w:p>
        </w:tc>
      </w:tr>
      <w:tr w:rsidR="00D848EC" w:rsidRPr="00D848EC" w14:paraId="243A2D83" w14:textId="77777777" w:rsidTr="00D848EC">
        <w:trPr>
          <w:jc w:val="center"/>
        </w:trPr>
        <w:tc>
          <w:tcPr>
            <w:tcW w:w="1401" w:type="pct"/>
            <w:tcBorders>
              <w:top w:val="single" w:sz="4" w:space="0" w:color="auto"/>
              <w:left w:val="single" w:sz="4" w:space="0" w:color="auto"/>
              <w:bottom w:val="single" w:sz="4" w:space="0" w:color="auto"/>
              <w:right w:val="single" w:sz="4" w:space="0" w:color="auto"/>
            </w:tcBorders>
            <w:noWrap/>
            <w:hideMark/>
          </w:tcPr>
          <w:p w14:paraId="5A231C1E" w14:textId="77777777" w:rsidR="00D848EC" w:rsidRPr="00D848EC" w:rsidRDefault="00D848EC" w:rsidP="00D848EC">
            <w:pPr>
              <w:rPr>
                <w:rFonts w:eastAsia="Calibri"/>
                <w:sz w:val="20"/>
              </w:rPr>
            </w:pPr>
            <w:r w:rsidRPr="00D848EC">
              <w:rPr>
                <w:rFonts w:ascii="Sylfaen" w:eastAsia="Calibri" w:hAnsi="Sylfaen" w:cs="Sylfaen"/>
                <w:sz w:val="20"/>
              </w:rPr>
              <w:t>მყარი</w:t>
            </w:r>
            <w:r w:rsidRPr="00D848EC">
              <w:rPr>
                <w:rFonts w:eastAsia="Calibri"/>
                <w:sz w:val="20"/>
              </w:rPr>
              <w:t xml:space="preserve"> </w:t>
            </w:r>
            <w:r w:rsidRPr="00D848EC">
              <w:rPr>
                <w:rFonts w:ascii="Sylfaen" w:eastAsia="Calibri" w:hAnsi="Sylfaen" w:cs="Sylfaen"/>
                <w:sz w:val="20"/>
              </w:rPr>
              <w:t>ნაწილაკები</w:t>
            </w:r>
            <w:r w:rsidRPr="00D848EC">
              <w:rPr>
                <w:rFonts w:eastAsia="Calibri"/>
                <w:sz w:val="20"/>
              </w:rPr>
              <w:t xml:space="preserve"> PM10</w:t>
            </w:r>
          </w:p>
        </w:tc>
        <w:tc>
          <w:tcPr>
            <w:tcW w:w="1580" w:type="pct"/>
            <w:tcBorders>
              <w:top w:val="single" w:sz="4" w:space="0" w:color="auto"/>
              <w:left w:val="single" w:sz="4" w:space="0" w:color="auto"/>
              <w:bottom w:val="single" w:sz="4" w:space="0" w:color="auto"/>
              <w:right w:val="single" w:sz="4" w:space="0" w:color="auto"/>
            </w:tcBorders>
            <w:noWrap/>
          </w:tcPr>
          <w:p w14:paraId="0FFA9394" w14:textId="77777777" w:rsidR="00D848EC" w:rsidRPr="00D848EC" w:rsidRDefault="00D848EC" w:rsidP="00D848EC">
            <w:pPr>
              <w:rPr>
                <w:rFonts w:eastAsia="Calibri"/>
                <w:sz w:val="20"/>
              </w:rPr>
            </w:pPr>
            <w:r w:rsidRPr="00D848EC">
              <w:rPr>
                <w:rFonts w:eastAsia="Calibri"/>
                <w:sz w:val="20"/>
              </w:rPr>
              <w:t>1-</w:t>
            </w:r>
            <w:r w:rsidRPr="00D848EC">
              <w:rPr>
                <w:rFonts w:ascii="Sylfaen" w:eastAsia="Calibri" w:hAnsi="Sylfaen" w:cs="Sylfaen"/>
                <w:sz w:val="20"/>
              </w:rPr>
              <w:t>წელი</w:t>
            </w:r>
          </w:p>
          <w:p w14:paraId="1AFC3EBA" w14:textId="77777777" w:rsidR="00D848EC" w:rsidRPr="00D848EC" w:rsidRDefault="00D848EC" w:rsidP="00D848EC">
            <w:pPr>
              <w:rPr>
                <w:rFonts w:eastAsia="Calibri"/>
                <w:sz w:val="20"/>
              </w:rPr>
            </w:pPr>
          </w:p>
          <w:p w14:paraId="59FF349E" w14:textId="77777777" w:rsidR="00D848EC" w:rsidRPr="00D848EC" w:rsidRDefault="00D848EC" w:rsidP="00D848EC">
            <w:pPr>
              <w:rPr>
                <w:rFonts w:eastAsia="Calibri"/>
                <w:sz w:val="20"/>
              </w:rPr>
            </w:pPr>
          </w:p>
          <w:p w14:paraId="2E928371" w14:textId="77777777" w:rsidR="00D848EC" w:rsidRPr="00D848EC" w:rsidRDefault="00D848EC" w:rsidP="00D848EC">
            <w:pPr>
              <w:rPr>
                <w:rFonts w:eastAsia="Calibri"/>
                <w:sz w:val="20"/>
              </w:rPr>
            </w:pPr>
          </w:p>
          <w:p w14:paraId="45C94B0F" w14:textId="77777777" w:rsidR="00D848EC" w:rsidRPr="00D848EC" w:rsidRDefault="00D848EC" w:rsidP="00D848EC">
            <w:pPr>
              <w:rPr>
                <w:rFonts w:eastAsia="Calibri"/>
                <w:sz w:val="20"/>
              </w:rPr>
            </w:pPr>
          </w:p>
          <w:p w14:paraId="56516374" w14:textId="77777777" w:rsidR="00D848EC" w:rsidRPr="00D848EC" w:rsidRDefault="00D848EC" w:rsidP="00D848EC">
            <w:pPr>
              <w:rPr>
                <w:rFonts w:eastAsia="Calibri"/>
                <w:sz w:val="20"/>
              </w:rPr>
            </w:pPr>
            <w:r w:rsidRPr="00D848EC">
              <w:rPr>
                <w:rFonts w:eastAsia="Calibri"/>
                <w:sz w:val="20"/>
              </w:rPr>
              <w:t>24-</w:t>
            </w:r>
            <w:r w:rsidRPr="00D848EC">
              <w:rPr>
                <w:rFonts w:ascii="Sylfaen" w:eastAsia="Calibri" w:hAnsi="Sylfaen" w:cs="Sylfaen"/>
                <w:sz w:val="20"/>
              </w:rPr>
              <w:t>საათი</w:t>
            </w:r>
          </w:p>
        </w:tc>
        <w:tc>
          <w:tcPr>
            <w:tcW w:w="2019" w:type="pct"/>
            <w:tcBorders>
              <w:top w:val="single" w:sz="4" w:space="0" w:color="auto"/>
              <w:left w:val="single" w:sz="4" w:space="0" w:color="auto"/>
              <w:bottom w:val="single" w:sz="4" w:space="0" w:color="auto"/>
              <w:right w:val="single" w:sz="4" w:space="0" w:color="auto"/>
            </w:tcBorders>
            <w:noWrap/>
          </w:tcPr>
          <w:p w14:paraId="0B612D4A" w14:textId="77777777" w:rsidR="00D848EC" w:rsidRPr="00D848EC" w:rsidRDefault="00D848EC" w:rsidP="00D848EC">
            <w:pPr>
              <w:rPr>
                <w:rFonts w:eastAsia="Calibri"/>
                <w:sz w:val="20"/>
              </w:rPr>
            </w:pPr>
            <w:r w:rsidRPr="00D848EC">
              <w:rPr>
                <w:rFonts w:eastAsia="Calibri"/>
                <w:sz w:val="20"/>
              </w:rPr>
              <w:t>70 (</w:t>
            </w:r>
            <w:r w:rsidRPr="00D848EC">
              <w:rPr>
                <w:rFonts w:ascii="Sylfaen" w:eastAsia="Calibri" w:hAnsi="Sylfaen" w:cs="Sylfaen"/>
                <w:sz w:val="20"/>
              </w:rPr>
              <w:t>შუალედური</w:t>
            </w:r>
            <w:r w:rsidRPr="00D848EC">
              <w:rPr>
                <w:rFonts w:eastAsia="Calibri"/>
                <w:sz w:val="20"/>
              </w:rPr>
              <w:t xml:space="preserve"> </w:t>
            </w:r>
            <w:r w:rsidRPr="00D848EC">
              <w:rPr>
                <w:rFonts w:ascii="Sylfaen" w:eastAsia="Calibri" w:hAnsi="Sylfaen" w:cs="Sylfaen"/>
                <w:sz w:val="20"/>
              </w:rPr>
              <w:t>სამიზნე</w:t>
            </w:r>
            <w:r w:rsidRPr="00D848EC">
              <w:rPr>
                <w:rFonts w:eastAsia="Calibri"/>
                <w:sz w:val="20"/>
              </w:rPr>
              <w:t xml:space="preserve">-1) </w:t>
            </w:r>
          </w:p>
          <w:p w14:paraId="2A1322B0" w14:textId="77777777" w:rsidR="00D848EC" w:rsidRPr="00D848EC" w:rsidRDefault="00D848EC" w:rsidP="00D848EC">
            <w:pPr>
              <w:rPr>
                <w:rFonts w:eastAsia="Calibri"/>
                <w:sz w:val="20"/>
              </w:rPr>
            </w:pPr>
            <w:r w:rsidRPr="00D848EC">
              <w:rPr>
                <w:rFonts w:eastAsia="Calibri"/>
                <w:sz w:val="20"/>
              </w:rPr>
              <w:t>50 (</w:t>
            </w:r>
            <w:r w:rsidRPr="00D848EC">
              <w:rPr>
                <w:rFonts w:ascii="Sylfaen" w:eastAsia="Calibri" w:hAnsi="Sylfaen" w:cs="Sylfaen"/>
                <w:sz w:val="20"/>
              </w:rPr>
              <w:t>შუალედური</w:t>
            </w:r>
            <w:r w:rsidRPr="00D848EC">
              <w:rPr>
                <w:rFonts w:eastAsia="Calibri"/>
                <w:sz w:val="20"/>
              </w:rPr>
              <w:t xml:space="preserve"> </w:t>
            </w:r>
            <w:r w:rsidRPr="00D848EC">
              <w:rPr>
                <w:rFonts w:ascii="Sylfaen" w:eastAsia="Calibri" w:hAnsi="Sylfaen" w:cs="Sylfaen"/>
                <w:sz w:val="20"/>
              </w:rPr>
              <w:t>სამიზნე</w:t>
            </w:r>
            <w:r w:rsidRPr="00D848EC">
              <w:rPr>
                <w:rFonts w:eastAsia="Calibri"/>
                <w:sz w:val="20"/>
              </w:rPr>
              <w:t xml:space="preserve">-2) </w:t>
            </w:r>
          </w:p>
          <w:p w14:paraId="3B267342" w14:textId="77777777" w:rsidR="00D848EC" w:rsidRPr="00D848EC" w:rsidRDefault="00D848EC" w:rsidP="00D848EC">
            <w:pPr>
              <w:rPr>
                <w:rFonts w:eastAsia="Calibri"/>
                <w:sz w:val="20"/>
              </w:rPr>
            </w:pPr>
            <w:r w:rsidRPr="00D848EC">
              <w:rPr>
                <w:rFonts w:eastAsia="Calibri"/>
                <w:sz w:val="20"/>
              </w:rPr>
              <w:t>30 (</w:t>
            </w:r>
            <w:r w:rsidRPr="00D848EC">
              <w:rPr>
                <w:rFonts w:ascii="Sylfaen" w:eastAsia="Calibri" w:hAnsi="Sylfaen" w:cs="Sylfaen"/>
                <w:sz w:val="20"/>
              </w:rPr>
              <w:t>შუალედური</w:t>
            </w:r>
            <w:r w:rsidRPr="00D848EC">
              <w:rPr>
                <w:rFonts w:eastAsia="Calibri"/>
                <w:sz w:val="20"/>
              </w:rPr>
              <w:t xml:space="preserve"> </w:t>
            </w:r>
            <w:r w:rsidRPr="00D848EC">
              <w:rPr>
                <w:rFonts w:ascii="Sylfaen" w:eastAsia="Calibri" w:hAnsi="Sylfaen" w:cs="Sylfaen"/>
                <w:sz w:val="20"/>
              </w:rPr>
              <w:t>სამიზნე</w:t>
            </w:r>
            <w:r w:rsidRPr="00D848EC">
              <w:rPr>
                <w:rFonts w:eastAsia="Calibri"/>
                <w:sz w:val="20"/>
              </w:rPr>
              <w:t xml:space="preserve">-3) </w:t>
            </w:r>
          </w:p>
          <w:p w14:paraId="4D208317" w14:textId="77777777" w:rsidR="00D848EC" w:rsidRPr="00D848EC" w:rsidRDefault="00D848EC" w:rsidP="00D848EC">
            <w:pPr>
              <w:rPr>
                <w:rFonts w:eastAsia="Calibri"/>
                <w:sz w:val="20"/>
              </w:rPr>
            </w:pPr>
            <w:r w:rsidRPr="00D848EC">
              <w:rPr>
                <w:rFonts w:eastAsia="Calibri"/>
                <w:sz w:val="20"/>
              </w:rPr>
              <w:t>20 (</w:t>
            </w:r>
            <w:r w:rsidRPr="00D848EC">
              <w:rPr>
                <w:rFonts w:ascii="Sylfaen" w:eastAsia="Calibri" w:hAnsi="Sylfaen" w:cs="Sylfaen"/>
                <w:sz w:val="20"/>
              </w:rPr>
              <w:t>რეკომენდებული</w:t>
            </w:r>
            <w:r w:rsidRPr="00D848EC">
              <w:rPr>
                <w:rFonts w:eastAsia="Calibri"/>
                <w:sz w:val="20"/>
              </w:rPr>
              <w:t xml:space="preserve">) </w:t>
            </w:r>
          </w:p>
          <w:p w14:paraId="7351FA92" w14:textId="77777777" w:rsidR="00D848EC" w:rsidRPr="00D848EC" w:rsidRDefault="00D848EC" w:rsidP="00D848EC">
            <w:pPr>
              <w:rPr>
                <w:rFonts w:eastAsia="Calibri"/>
                <w:sz w:val="20"/>
              </w:rPr>
            </w:pPr>
          </w:p>
          <w:p w14:paraId="2B069E7D" w14:textId="77777777" w:rsidR="00D848EC" w:rsidRPr="00D848EC" w:rsidRDefault="00D848EC" w:rsidP="00D848EC">
            <w:pPr>
              <w:rPr>
                <w:rFonts w:eastAsia="Calibri"/>
                <w:sz w:val="20"/>
              </w:rPr>
            </w:pPr>
            <w:r w:rsidRPr="00D848EC">
              <w:rPr>
                <w:rFonts w:eastAsia="Calibri"/>
                <w:sz w:val="20"/>
              </w:rPr>
              <w:t>150 (</w:t>
            </w:r>
            <w:r w:rsidRPr="00D848EC">
              <w:rPr>
                <w:rFonts w:ascii="Sylfaen" w:eastAsia="Calibri" w:hAnsi="Sylfaen" w:cs="Sylfaen"/>
                <w:sz w:val="20"/>
              </w:rPr>
              <w:t>შუალედური</w:t>
            </w:r>
            <w:r w:rsidRPr="00D848EC">
              <w:rPr>
                <w:rFonts w:eastAsia="Calibri"/>
                <w:sz w:val="20"/>
              </w:rPr>
              <w:t xml:space="preserve"> </w:t>
            </w:r>
            <w:r w:rsidRPr="00D848EC">
              <w:rPr>
                <w:rFonts w:ascii="Sylfaen" w:eastAsia="Calibri" w:hAnsi="Sylfaen" w:cs="Sylfaen"/>
                <w:sz w:val="20"/>
              </w:rPr>
              <w:t>სამიზნე</w:t>
            </w:r>
            <w:r w:rsidRPr="00D848EC">
              <w:rPr>
                <w:rFonts w:eastAsia="Calibri"/>
                <w:sz w:val="20"/>
              </w:rPr>
              <w:t>-1)</w:t>
            </w:r>
          </w:p>
          <w:p w14:paraId="37FAE72B" w14:textId="77777777" w:rsidR="00D848EC" w:rsidRPr="00D848EC" w:rsidRDefault="00D848EC" w:rsidP="00D848EC">
            <w:pPr>
              <w:rPr>
                <w:rFonts w:eastAsia="Calibri"/>
                <w:sz w:val="20"/>
              </w:rPr>
            </w:pPr>
            <w:r w:rsidRPr="00D848EC">
              <w:rPr>
                <w:rFonts w:eastAsia="Calibri"/>
                <w:sz w:val="20"/>
              </w:rPr>
              <w:t>100 (</w:t>
            </w:r>
            <w:r w:rsidRPr="00D848EC">
              <w:rPr>
                <w:rFonts w:ascii="Sylfaen" w:eastAsia="Calibri" w:hAnsi="Sylfaen" w:cs="Sylfaen"/>
                <w:sz w:val="20"/>
              </w:rPr>
              <w:t>შუალედური</w:t>
            </w:r>
            <w:r w:rsidRPr="00D848EC">
              <w:rPr>
                <w:rFonts w:eastAsia="Calibri"/>
                <w:sz w:val="20"/>
              </w:rPr>
              <w:t xml:space="preserve"> </w:t>
            </w:r>
            <w:r w:rsidRPr="00D848EC">
              <w:rPr>
                <w:rFonts w:ascii="Sylfaen" w:eastAsia="Calibri" w:hAnsi="Sylfaen" w:cs="Sylfaen"/>
                <w:sz w:val="20"/>
              </w:rPr>
              <w:t>სამიზნე</w:t>
            </w:r>
            <w:r w:rsidRPr="00D848EC">
              <w:rPr>
                <w:rFonts w:eastAsia="Calibri"/>
                <w:sz w:val="20"/>
              </w:rPr>
              <w:t>-2)</w:t>
            </w:r>
          </w:p>
          <w:p w14:paraId="2F833A95" w14:textId="77777777" w:rsidR="00D848EC" w:rsidRPr="00D848EC" w:rsidRDefault="00D848EC" w:rsidP="00D848EC">
            <w:pPr>
              <w:rPr>
                <w:rFonts w:eastAsia="Calibri"/>
                <w:sz w:val="20"/>
              </w:rPr>
            </w:pPr>
            <w:r w:rsidRPr="00D848EC">
              <w:rPr>
                <w:rFonts w:eastAsia="Calibri"/>
                <w:sz w:val="20"/>
              </w:rPr>
              <w:t>75 (</w:t>
            </w:r>
            <w:r w:rsidRPr="00D848EC">
              <w:rPr>
                <w:rFonts w:ascii="Sylfaen" w:eastAsia="Calibri" w:hAnsi="Sylfaen" w:cs="Sylfaen"/>
                <w:sz w:val="20"/>
              </w:rPr>
              <w:t>შუალედური</w:t>
            </w:r>
            <w:r w:rsidRPr="00D848EC">
              <w:rPr>
                <w:rFonts w:eastAsia="Calibri"/>
                <w:sz w:val="20"/>
              </w:rPr>
              <w:t xml:space="preserve"> </w:t>
            </w:r>
            <w:r w:rsidRPr="00D848EC">
              <w:rPr>
                <w:rFonts w:ascii="Sylfaen" w:eastAsia="Calibri" w:hAnsi="Sylfaen" w:cs="Sylfaen"/>
                <w:sz w:val="20"/>
              </w:rPr>
              <w:t>სამიზნე</w:t>
            </w:r>
            <w:r w:rsidRPr="00D848EC">
              <w:rPr>
                <w:rFonts w:eastAsia="Calibri"/>
                <w:sz w:val="20"/>
              </w:rPr>
              <w:t>-3)</w:t>
            </w:r>
          </w:p>
          <w:p w14:paraId="586B376D" w14:textId="77777777" w:rsidR="00D848EC" w:rsidRPr="00D848EC" w:rsidRDefault="00D848EC" w:rsidP="00D848EC">
            <w:pPr>
              <w:rPr>
                <w:rFonts w:eastAsia="Calibri"/>
                <w:sz w:val="20"/>
              </w:rPr>
            </w:pPr>
            <w:r w:rsidRPr="00D848EC">
              <w:rPr>
                <w:rFonts w:eastAsia="Calibri"/>
                <w:sz w:val="20"/>
              </w:rPr>
              <w:t>50 (</w:t>
            </w:r>
            <w:r w:rsidRPr="00D848EC">
              <w:rPr>
                <w:rFonts w:ascii="Sylfaen" w:eastAsia="Calibri" w:hAnsi="Sylfaen" w:cs="Sylfaen"/>
                <w:sz w:val="20"/>
              </w:rPr>
              <w:t>რეკომენდებული</w:t>
            </w:r>
            <w:r w:rsidRPr="00D848EC">
              <w:rPr>
                <w:rFonts w:eastAsia="Calibri"/>
                <w:sz w:val="20"/>
              </w:rPr>
              <w:t>)</w:t>
            </w:r>
          </w:p>
        </w:tc>
      </w:tr>
      <w:tr w:rsidR="00D848EC" w:rsidRPr="00D848EC" w14:paraId="3C883AB3" w14:textId="77777777" w:rsidTr="00D848EC">
        <w:trPr>
          <w:jc w:val="center"/>
        </w:trPr>
        <w:tc>
          <w:tcPr>
            <w:tcW w:w="1401" w:type="pct"/>
            <w:tcBorders>
              <w:top w:val="single" w:sz="4" w:space="0" w:color="auto"/>
              <w:left w:val="single" w:sz="4" w:space="0" w:color="auto"/>
              <w:bottom w:val="single" w:sz="4" w:space="0" w:color="auto"/>
              <w:right w:val="single" w:sz="4" w:space="0" w:color="auto"/>
            </w:tcBorders>
            <w:noWrap/>
            <w:hideMark/>
          </w:tcPr>
          <w:p w14:paraId="66F0B70E" w14:textId="77777777" w:rsidR="00D848EC" w:rsidRPr="00D848EC" w:rsidRDefault="00D848EC" w:rsidP="00D848EC">
            <w:pPr>
              <w:rPr>
                <w:rFonts w:eastAsia="Calibri"/>
                <w:sz w:val="20"/>
              </w:rPr>
            </w:pPr>
            <w:r w:rsidRPr="00D848EC">
              <w:rPr>
                <w:rFonts w:ascii="Sylfaen" w:eastAsia="Calibri" w:hAnsi="Sylfaen" w:cs="Sylfaen"/>
                <w:sz w:val="20"/>
              </w:rPr>
              <w:t>მყარი</w:t>
            </w:r>
            <w:r w:rsidRPr="00D848EC">
              <w:rPr>
                <w:rFonts w:eastAsia="Calibri"/>
                <w:sz w:val="20"/>
              </w:rPr>
              <w:t xml:space="preserve"> </w:t>
            </w:r>
            <w:r w:rsidRPr="00D848EC">
              <w:rPr>
                <w:rFonts w:ascii="Sylfaen" w:eastAsia="Calibri" w:hAnsi="Sylfaen" w:cs="Sylfaen"/>
                <w:sz w:val="20"/>
              </w:rPr>
              <w:t>ნაწილაკები</w:t>
            </w:r>
            <w:r w:rsidRPr="00D848EC">
              <w:rPr>
                <w:rFonts w:eastAsia="Calibri"/>
                <w:sz w:val="20"/>
              </w:rPr>
              <w:t xml:space="preserve"> PM2.5</w:t>
            </w:r>
          </w:p>
        </w:tc>
        <w:tc>
          <w:tcPr>
            <w:tcW w:w="1580" w:type="pct"/>
            <w:tcBorders>
              <w:top w:val="single" w:sz="4" w:space="0" w:color="auto"/>
              <w:left w:val="single" w:sz="4" w:space="0" w:color="auto"/>
              <w:bottom w:val="single" w:sz="4" w:space="0" w:color="auto"/>
              <w:right w:val="single" w:sz="4" w:space="0" w:color="auto"/>
            </w:tcBorders>
            <w:noWrap/>
          </w:tcPr>
          <w:p w14:paraId="3BAB8454" w14:textId="77777777" w:rsidR="00D848EC" w:rsidRPr="00D848EC" w:rsidRDefault="00D848EC" w:rsidP="00D848EC">
            <w:pPr>
              <w:rPr>
                <w:rFonts w:eastAsia="Calibri"/>
                <w:sz w:val="20"/>
              </w:rPr>
            </w:pPr>
            <w:r w:rsidRPr="00D848EC">
              <w:rPr>
                <w:rFonts w:eastAsia="Calibri"/>
                <w:sz w:val="20"/>
              </w:rPr>
              <w:t>1-</w:t>
            </w:r>
            <w:r w:rsidRPr="00D848EC">
              <w:rPr>
                <w:rFonts w:ascii="Sylfaen" w:eastAsia="Calibri" w:hAnsi="Sylfaen" w:cs="Sylfaen"/>
                <w:sz w:val="20"/>
              </w:rPr>
              <w:t>წელი</w:t>
            </w:r>
          </w:p>
          <w:p w14:paraId="3E00681A" w14:textId="77777777" w:rsidR="00D848EC" w:rsidRPr="00D848EC" w:rsidRDefault="00D848EC" w:rsidP="00D848EC">
            <w:pPr>
              <w:rPr>
                <w:rFonts w:eastAsia="Calibri"/>
                <w:sz w:val="20"/>
              </w:rPr>
            </w:pPr>
          </w:p>
          <w:p w14:paraId="30A68244" w14:textId="77777777" w:rsidR="00D848EC" w:rsidRPr="00D848EC" w:rsidRDefault="00D848EC" w:rsidP="00D848EC">
            <w:pPr>
              <w:rPr>
                <w:rFonts w:eastAsia="Calibri"/>
                <w:sz w:val="20"/>
              </w:rPr>
            </w:pPr>
          </w:p>
          <w:p w14:paraId="7EE035DA" w14:textId="77777777" w:rsidR="00D848EC" w:rsidRPr="00D848EC" w:rsidRDefault="00D848EC" w:rsidP="00D848EC">
            <w:pPr>
              <w:rPr>
                <w:rFonts w:eastAsia="Calibri"/>
                <w:sz w:val="20"/>
              </w:rPr>
            </w:pPr>
          </w:p>
          <w:p w14:paraId="7A7EF383" w14:textId="77777777" w:rsidR="00D848EC" w:rsidRPr="00D848EC" w:rsidRDefault="00D848EC" w:rsidP="00D848EC">
            <w:pPr>
              <w:rPr>
                <w:rFonts w:eastAsia="Calibri"/>
                <w:sz w:val="20"/>
              </w:rPr>
            </w:pPr>
          </w:p>
          <w:p w14:paraId="7350EA96" w14:textId="77777777" w:rsidR="00D848EC" w:rsidRPr="00D848EC" w:rsidRDefault="00D848EC" w:rsidP="00D848EC">
            <w:pPr>
              <w:rPr>
                <w:rFonts w:eastAsia="Calibri"/>
                <w:sz w:val="20"/>
              </w:rPr>
            </w:pPr>
            <w:r w:rsidRPr="00D848EC">
              <w:rPr>
                <w:rFonts w:eastAsia="Calibri"/>
                <w:sz w:val="20"/>
              </w:rPr>
              <w:t>24-</w:t>
            </w:r>
            <w:r w:rsidRPr="00D848EC">
              <w:rPr>
                <w:rFonts w:ascii="Sylfaen" w:eastAsia="Calibri" w:hAnsi="Sylfaen" w:cs="Sylfaen"/>
                <w:sz w:val="20"/>
              </w:rPr>
              <w:t>საათი</w:t>
            </w:r>
          </w:p>
        </w:tc>
        <w:tc>
          <w:tcPr>
            <w:tcW w:w="2019" w:type="pct"/>
            <w:tcBorders>
              <w:top w:val="single" w:sz="4" w:space="0" w:color="auto"/>
              <w:left w:val="single" w:sz="4" w:space="0" w:color="auto"/>
              <w:bottom w:val="single" w:sz="4" w:space="0" w:color="auto"/>
              <w:right w:val="single" w:sz="4" w:space="0" w:color="auto"/>
            </w:tcBorders>
            <w:noWrap/>
          </w:tcPr>
          <w:p w14:paraId="02448265" w14:textId="77777777" w:rsidR="00D848EC" w:rsidRPr="00D848EC" w:rsidRDefault="00D848EC" w:rsidP="00D848EC">
            <w:pPr>
              <w:rPr>
                <w:rFonts w:eastAsia="Calibri"/>
                <w:sz w:val="20"/>
              </w:rPr>
            </w:pPr>
            <w:r w:rsidRPr="00D848EC">
              <w:rPr>
                <w:rFonts w:eastAsia="Calibri"/>
                <w:sz w:val="20"/>
              </w:rPr>
              <w:lastRenderedPageBreak/>
              <w:t>35 (</w:t>
            </w:r>
            <w:r w:rsidRPr="00D848EC">
              <w:rPr>
                <w:rFonts w:ascii="Sylfaen" w:eastAsia="Calibri" w:hAnsi="Sylfaen" w:cs="Sylfaen"/>
                <w:sz w:val="20"/>
              </w:rPr>
              <w:t>შუალედური</w:t>
            </w:r>
            <w:r w:rsidRPr="00D848EC">
              <w:rPr>
                <w:rFonts w:eastAsia="Calibri"/>
                <w:sz w:val="20"/>
              </w:rPr>
              <w:t xml:space="preserve"> </w:t>
            </w:r>
            <w:r w:rsidRPr="00D848EC">
              <w:rPr>
                <w:rFonts w:ascii="Sylfaen" w:eastAsia="Calibri" w:hAnsi="Sylfaen" w:cs="Sylfaen"/>
                <w:sz w:val="20"/>
              </w:rPr>
              <w:t>სამიზნე</w:t>
            </w:r>
            <w:r w:rsidRPr="00D848EC">
              <w:rPr>
                <w:rFonts w:eastAsia="Calibri"/>
                <w:sz w:val="20"/>
              </w:rPr>
              <w:t>-1)</w:t>
            </w:r>
          </w:p>
          <w:p w14:paraId="194B0096" w14:textId="77777777" w:rsidR="00D848EC" w:rsidRPr="00D848EC" w:rsidRDefault="00D848EC" w:rsidP="00D848EC">
            <w:pPr>
              <w:rPr>
                <w:rFonts w:eastAsia="Calibri"/>
                <w:sz w:val="20"/>
              </w:rPr>
            </w:pPr>
            <w:r w:rsidRPr="00D848EC">
              <w:rPr>
                <w:rFonts w:eastAsia="Calibri"/>
                <w:sz w:val="20"/>
              </w:rPr>
              <w:t>25 (</w:t>
            </w:r>
            <w:r w:rsidRPr="00D848EC">
              <w:rPr>
                <w:rFonts w:ascii="Sylfaen" w:eastAsia="Calibri" w:hAnsi="Sylfaen" w:cs="Sylfaen"/>
                <w:sz w:val="20"/>
              </w:rPr>
              <w:t>შუალედური</w:t>
            </w:r>
            <w:r w:rsidRPr="00D848EC">
              <w:rPr>
                <w:rFonts w:eastAsia="Calibri"/>
                <w:sz w:val="20"/>
              </w:rPr>
              <w:t xml:space="preserve"> </w:t>
            </w:r>
            <w:r w:rsidRPr="00D848EC">
              <w:rPr>
                <w:rFonts w:ascii="Sylfaen" w:eastAsia="Calibri" w:hAnsi="Sylfaen" w:cs="Sylfaen"/>
                <w:sz w:val="20"/>
              </w:rPr>
              <w:t>სამიზნე</w:t>
            </w:r>
            <w:r w:rsidRPr="00D848EC">
              <w:rPr>
                <w:rFonts w:eastAsia="Calibri"/>
                <w:sz w:val="20"/>
              </w:rPr>
              <w:t>-2)</w:t>
            </w:r>
          </w:p>
          <w:p w14:paraId="6D622E31" w14:textId="77777777" w:rsidR="00D848EC" w:rsidRPr="00D848EC" w:rsidRDefault="00D848EC" w:rsidP="00D848EC">
            <w:pPr>
              <w:rPr>
                <w:rFonts w:eastAsia="Calibri"/>
                <w:sz w:val="20"/>
              </w:rPr>
            </w:pPr>
            <w:r w:rsidRPr="00D848EC">
              <w:rPr>
                <w:rFonts w:eastAsia="Calibri"/>
                <w:sz w:val="20"/>
              </w:rPr>
              <w:t>15 (</w:t>
            </w:r>
            <w:r w:rsidRPr="00D848EC">
              <w:rPr>
                <w:rFonts w:ascii="Sylfaen" w:eastAsia="Calibri" w:hAnsi="Sylfaen" w:cs="Sylfaen"/>
                <w:sz w:val="20"/>
              </w:rPr>
              <w:t>შუალედური</w:t>
            </w:r>
            <w:r w:rsidRPr="00D848EC">
              <w:rPr>
                <w:rFonts w:eastAsia="Calibri"/>
                <w:sz w:val="20"/>
              </w:rPr>
              <w:t xml:space="preserve"> </w:t>
            </w:r>
            <w:r w:rsidRPr="00D848EC">
              <w:rPr>
                <w:rFonts w:ascii="Sylfaen" w:eastAsia="Calibri" w:hAnsi="Sylfaen" w:cs="Sylfaen"/>
                <w:sz w:val="20"/>
              </w:rPr>
              <w:t>სამიზნე</w:t>
            </w:r>
            <w:r w:rsidRPr="00D848EC">
              <w:rPr>
                <w:rFonts w:eastAsia="Calibri"/>
                <w:sz w:val="20"/>
              </w:rPr>
              <w:t>-3)</w:t>
            </w:r>
          </w:p>
          <w:p w14:paraId="6A930B61" w14:textId="77777777" w:rsidR="00D848EC" w:rsidRPr="00D848EC" w:rsidRDefault="00D848EC" w:rsidP="00D848EC">
            <w:pPr>
              <w:rPr>
                <w:rFonts w:eastAsia="Calibri"/>
                <w:sz w:val="20"/>
              </w:rPr>
            </w:pPr>
            <w:r w:rsidRPr="00D848EC">
              <w:rPr>
                <w:rFonts w:eastAsia="Calibri"/>
                <w:sz w:val="20"/>
              </w:rPr>
              <w:lastRenderedPageBreak/>
              <w:t>10 (</w:t>
            </w:r>
            <w:r w:rsidRPr="00D848EC">
              <w:rPr>
                <w:rFonts w:ascii="Sylfaen" w:eastAsia="Calibri" w:hAnsi="Sylfaen" w:cs="Sylfaen"/>
                <w:sz w:val="20"/>
              </w:rPr>
              <w:t>რეკომენდებული</w:t>
            </w:r>
            <w:r w:rsidRPr="00D848EC">
              <w:rPr>
                <w:rFonts w:eastAsia="Calibri"/>
                <w:sz w:val="20"/>
              </w:rPr>
              <w:t xml:space="preserve">) </w:t>
            </w:r>
          </w:p>
          <w:p w14:paraId="26287290" w14:textId="77777777" w:rsidR="00D848EC" w:rsidRPr="00D848EC" w:rsidRDefault="00D848EC" w:rsidP="00D848EC">
            <w:pPr>
              <w:rPr>
                <w:rFonts w:eastAsia="Calibri"/>
                <w:sz w:val="20"/>
              </w:rPr>
            </w:pPr>
          </w:p>
          <w:p w14:paraId="78BFCE7C" w14:textId="77777777" w:rsidR="00D848EC" w:rsidRPr="00D848EC" w:rsidRDefault="00D848EC" w:rsidP="00D848EC">
            <w:pPr>
              <w:rPr>
                <w:rFonts w:eastAsia="Calibri"/>
                <w:sz w:val="20"/>
              </w:rPr>
            </w:pPr>
            <w:r w:rsidRPr="00D848EC">
              <w:rPr>
                <w:rFonts w:eastAsia="Calibri"/>
                <w:sz w:val="20"/>
              </w:rPr>
              <w:t>75 (</w:t>
            </w:r>
            <w:r w:rsidRPr="00D848EC">
              <w:rPr>
                <w:rFonts w:ascii="Sylfaen" w:eastAsia="Calibri" w:hAnsi="Sylfaen" w:cs="Sylfaen"/>
                <w:sz w:val="20"/>
              </w:rPr>
              <w:t>შუალედური</w:t>
            </w:r>
            <w:r w:rsidRPr="00D848EC">
              <w:rPr>
                <w:rFonts w:eastAsia="Calibri"/>
                <w:sz w:val="20"/>
              </w:rPr>
              <w:t xml:space="preserve"> </w:t>
            </w:r>
            <w:r w:rsidRPr="00D848EC">
              <w:rPr>
                <w:rFonts w:ascii="Sylfaen" w:eastAsia="Calibri" w:hAnsi="Sylfaen" w:cs="Sylfaen"/>
                <w:sz w:val="20"/>
              </w:rPr>
              <w:t>სამიზნე</w:t>
            </w:r>
            <w:r w:rsidRPr="00D848EC">
              <w:rPr>
                <w:rFonts w:eastAsia="Calibri"/>
                <w:sz w:val="20"/>
              </w:rPr>
              <w:t>-1</w:t>
            </w:r>
          </w:p>
          <w:p w14:paraId="71615285" w14:textId="77777777" w:rsidR="00D848EC" w:rsidRPr="00D848EC" w:rsidRDefault="00D848EC" w:rsidP="00D848EC">
            <w:pPr>
              <w:rPr>
                <w:rFonts w:eastAsia="Calibri"/>
                <w:sz w:val="20"/>
              </w:rPr>
            </w:pPr>
            <w:r w:rsidRPr="00D848EC">
              <w:rPr>
                <w:rFonts w:eastAsia="Calibri"/>
                <w:sz w:val="20"/>
              </w:rPr>
              <w:t xml:space="preserve"> 50 (</w:t>
            </w:r>
            <w:r w:rsidRPr="00D848EC">
              <w:rPr>
                <w:rFonts w:ascii="Sylfaen" w:eastAsia="Calibri" w:hAnsi="Sylfaen" w:cs="Sylfaen"/>
                <w:sz w:val="20"/>
              </w:rPr>
              <w:t>შუალედური</w:t>
            </w:r>
            <w:r w:rsidRPr="00D848EC">
              <w:rPr>
                <w:rFonts w:eastAsia="Calibri"/>
                <w:sz w:val="20"/>
              </w:rPr>
              <w:t xml:space="preserve"> </w:t>
            </w:r>
            <w:r w:rsidRPr="00D848EC">
              <w:rPr>
                <w:rFonts w:ascii="Sylfaen" w:eastAsia="Calibri" w:hAnsi="Sylfaen" w:cs="Sylfaen"/>
                <w:sz w:val="20"/>
              </w:rPr>
              <w:t>სამიზნე</w:t>
            </w:r>
            <w:r w:rsidRPr="00D848EC">
              <w:rPr>
                <w:rFonts w:eastAsia="Calibri"/>
                <w:sz w:val="20"/>
              </w:rPr>
              <w:t>-2)</w:t>
            </w:r>
          </w:p>
          <w:p w14:paraId="3DA7B2AD" w14:textId="77777777" w:rsidR="00D848EC" w:rsidRPr="00D848EC" w:rsidRDefault="00D848EC" w:rsidP="00D848EC">
            <w:pPr>
              <w:rPr>
                <w:rFonts w:eastAsia="Calibri"/>
                <w:sz w:val="20"/>
              </w:rPr>
            </w:pPr>
            <w:r w:rsidRPr="00D848EC">
              <w:rPr>
                <w:rFonts w:eastAsia="Calibri"/>
                <w:sz w:val="20"/>
              </w:rPr>
              <w:t>37.5 (</w:t>
            </w:r>
            <w:r w:rsidRPr="00D848EC">
              <w:rPr>
                <w:rFonts w:ascii="Sylfaen" w:eastAsia="Calibri" w:hAnsi="Sylfaen" w:cs="Sylfaen"/>
                <w:sz w:val="20"/>
              </w:rPr>
              <w:t>შუალედური</w:t>
            </w:r>
            <w:r w:rsidRPr="00D848EC">
              <w:rPr>
                <w:rFonts w:eastAsia="Calibri"/>
                <w:sz w:val="20"/>
              </w:rPr>
              <w:t xml:space="preserve"> </w:t>
            </w:r>
            <w:r w:rsidRPr="00D848EC">
              <w:rPr>
                <w:rFonts w:ascii="Sylfaen" w:eastAsia="Calibri" w:hAnsi="Sylfaen" w:cs="Sylfaen"/>
                <w:sz w:val="20"/>
              </w:rPr>
              <w:t>სამიზნე</w:t>
            </w:r>
            <w:r w:rsidRPr="00D848EC">
              <w:rPr>
                <w:rFonts w:eastAsia="Calibri"/>
                <w:sz w:val="20"/>
              </w:rPr>
              <w:t>-3)</w:t>
            </w:r>
          </w:p>
          <w:p w14:paraId="657E6226" w14:textId="77777777" w:rsidR="00D848EC" w:rsidRPr="00D848EC" w:rsidRDefault="00D848EC" w:rsidP="00D848EC">
            <w:pPr>
              <w:rPr>
                <w:rFonts w:eastAsia="Calibri"/>
                <w:sz w:val="20"/>
              </w:rPr>
            </w:pPr>
            <w:r w:rsidRPr="00D848EC">
              <w:rPr>
                <w:rFonts w:eastAsia="Calibri"/>
                <w:sz w:val="20"/>
              </w:rPr>
              <w:t>25 (</w:t>
            </w:r>
            <w:r w:rsidRPr="00D848EC">
              <w:rPr>
                <w:rFonts w:ascii="Sylfaen" w:eastAsia="Calibri" w:hAnsi="Sylfaen" w:cs="Sylfaen"/>
                <w:sz w:val="20"/>
              </w:rPr>
              <w:t>რეკომენდებული</w:t>
            </w:r>
            <w:r w:rsidRPr="00D848EC">
              <w:rPr>
                <w:rFonts w:eastAsia="Calibri"/>
                <w:sz w:val="20"/>
              </w:rPr>
              <w:t>)</w:t>
            </w:r>
          </w:p>
        </w:tc>
      </w:tr>
      <w:tr w:rsidR="00D848EC" w:rsidRPr="00D848EC" w14:paraId="56716B78" w14:textId="77777777" w:rsidTr="00D848EC">
        <w:trPr>
          <w:jc w:val="center"/>
        </w:trPr>
        <w:tc>
          <w:tcPr>
            <w:tcW w:w="1401" w:type="pct"/>
            <w:tcBorders>
              <w:top w:val="single" w:sz="4" w:space="0" w:color="auto"/>
              <w:left w:val="single" w:sz="4" w:space="0" w:color="auto"/>
              <w:bottom w:val="single" w:sz="4" w:space="0" w:color="auto"/>
              <w:right w:val="single" w:sz="4" w:space="0" w:color="auto"/>
            </w:tcBorders>
            <w:noWrap/>
            <w:hideMark/>
          </w:tcPr>
          <w:p w14:paraId="5140B846" w14:textId="77777777" w:rsidR="00D848EC" w:rsidRPr="00D848EC" w:rsidRDefault="00D848EC" w:rsidP="00D848EC">
            <w:pPr>
              <w:rPr>
                <w:rFonts w:eastAsia="Calibri"/>
                <w:sz w:val="20"/>
              </w:rPr>
            </w:pPr>
            <w:r w:rsidRPr="00D848EC">
              <w:rPr>
                <w:rFonts w:ascii="Sylfaen" w:eastAsia="Calibri" w:hAnsi="Sylfaen" w:cs="Sylfaen"/>
                <w:sz w:val="20"/>
              </w:rPr>
              <w:lastRenderedPageBreak/>
              <w:t>ოზონი</w:t>
            </w:r>
          </w:p>
        </w:tc>
        <w:tc>
          <w:tcPr>
            <w:tcW w:w="1580" w:type="pct"/>
            <w:tcBorders>
              <w:top w:val="single" w:sz="4" w:space="0" w:color="auto"/>
              <w:left w:val="single" w:sz="4" w:space="0" w:color="auto"/>
              <w:bottom w:val="single" w:sz="4" w:space="0" w:color="auto"/>
              <w:right w:val="single" w:sz="4" w:space="0" w:color="auto"/>
            </w:tcBorders>
            <w:noWrap/>
            <w:hideMark/>
          </w:tcPr>
          <w:p w14:paraId="3AEA27B4" w14:textId="77777777" w:rsidR="00D848EC" w:rsidRPr="00D848EC" w:rsidRDefault="00D848EC" w:rsidP="00D848EC">
            <w:pPr>
              <w:rPr>
                <w:rFonts w:eastAsia="Calibri"/>
                <w:sz w:val="20"/>
              </w:rPr>
            </w:pPr>
            <w:r w:rsidRPr="00D848EC">
              <w:rPr>
                <w:rFonts w:eastAsia="Calibri"/>
                <w:sz w:val="20"/>
              </w:rPr>
              <w:t>8-</w:t>
            </w:r>
            <w:r w:rsidRPr="00D848EC">
              <w:rPr>
                <w:rFonts w:ascii="Sylfaen" w:eastAsia="Calibri" w:hAnsi="Sylfaen" w:cs="Sylfaen"/>
                <w:sz w:val="20"/>
              </w:rPr>
              <w:t>საათი</w:t>
            </w:r>
            <w:r w:rsidRPr="00D848EC">
              <w:rPr>
                <w:rFonts w:eastAsia="Calibri"/>
                <w:sz w:val="20"/>
              </w:rPr>
              <w:t xml:space="preserve"> </w:t>
            </w:r>
            <w:r w:rsidRPr="00D848EC">
              <w:rPr>
                <w:rFonts w:ascii="Sylfaen" w:eastAsia="Calibri" w:hAnsi="Sylfaen" w:cs="Sylfaen"/>
                <w:sz w:val="20"/>
              </w:rPr>
              <w:t>დღიური</w:t>
            </w:r>
            <w:r w:rsidRPr="00D848EC">
              <w:rPr>
                <w:rFonts w:eastAsia="Calibri"/>
                <w:sz w:val="20"/>
              </w:rPr>
              <w:t xml:space="preserve"> </w:t>
            </w:r>
            <w:r w:rsidRPr="00D848EC">
              <w:rPr>
                <w:rFonts w:ascii="Sylfaen" w:eastAsia="Calibri" w:hAnsi="Sylfaen" w:cs="Sylfaen"/>
                <w:sz w:val="20"/>
              </w:rPr>
              <w:t>მაქსიმუმი</w:t>
            </w:r>
            <w:r w:rsidRPr="00D848EC">
              <w:rPr>
                <w:rFonts w:eastAsia="Calibri"/>
                <w:sz w:val="20"/>
              </w:rPr>
              <w:t xml:space="preserve"> </w:t>
            </w:r>
          </w:p>
        </w:tc>
        <w:tc>
          <w:tcPr>
            <w:tcW w:w="2019" w:type="pct"/>
            <w:tcBorders>
              <w:top w:val="single" w:sz="4" w:space="0" w:color="auto"/>
              <w:left w:val="single" w:sz="4" w:space="0" w:color="auto"/>
              <w:bottom w:val="single" w:sz="4" w:space="0" w:color="auto"/>
              <w:right w:val="single" w:sz="4" w:space="0" w:color="auto"/>
            </w:tcBorders>
            <w:noWrap/>
            <w:hideMark/>
          </w:tcPr>
          <w:p w14:paraId="4401E8CD" w14:textId="77777777" w:rsidR="00D848EC" w:rsidRPr="00D848EC" w:rsidRDefault="00D848EC" w:rsidP="00D848EC">
            <w:pPr>
              <w:rPr>
                <w:rFonts w:eastAsia="Calibri"/>
                <w:sz w:val="20"/>
              </w:rPr>
            </w:pPr>
            <w:r w:rsidRPr="00D848EC">
              <w:rPr>
                <w:rFonts w:eastAsia="Calibri"/>
                <w:sz w:val="20"/>
              </w:rPr>
              <w:t>160 (</w:t>
            </w:r>
            <w:r w:rsidRPr="00D848EC">
              <w:rPr>
                <w:rFonts w:ascii="Sylfaen" w:eastAsia="Calibri" w:hAnsi="Sylfaen" w:cs="Sylfaen"/>
                <w:sz w:val="20"/>
              </w:rPr>
              <w:t>შუალედური</w:t>
            </w:r>
            <w:r w:rsidRPr="00D848EC">
              <w:rPr>
                <w:rFonts w:eastAsia="Calibri"/>
                <w:sz w:val="20"/>
              </w:rPr>
              <w:t xml:space="preserve"> </w:t>
            </w:r>
            <w:r w:rsidRPr="00D848EC">
              <w:rPr>
                <w:rFonts w:ascii="Sylfaen" w:eastAsia="Calibri" w:hAnsi="Sylfaen" w:cs="Sylfaen"/>
                <w:sz w:val="20"/>
              </w:rPr>
              <w:t>სამიზნე</w:t>
            </w:r>
            <w:r w:rsidRPr="00D848EC">
              <w:rPr>
                <w:rFonts w:eastAsia="Calibri"/>
                <w:sz w:val="20"/>
              </w:rPr>
              <w:t>-1)</w:t>
            </w:r>
          </w:p>
          <w:p w14:paraId="184CD418" w14:textId="77777777" w:rsidR="00D848EC" w:rsidRPr="00D848EC" w:rsidRDefault="00D848EC" w:rsidP="00D848EC">
            <w:pPr>
              <w:rPr>
                <w:rFonts w:eastAsia="Calibri"/>
                <w:sz w:val="20"/>
              </w:rPr>
            </w:pPr>
            <w:r w:rsidRPr="00D848EC">
              <w:rPr>
                <w:rFonts w:eastAsia="Calibri"/>
                <w:sz w:val="20"/>
              </w:rPr>
              <w:t>100 (</w:t>
            </w:r>
            <w:r w:rsidRPr="00D848EC">
              <w:rPr>
                <w:rFonts w:ascii="Sylfaen" w:eastAsia="Calibri" w:hAnsi="Sylfaen" w:cs="Sylfaen"/>
                <w:sz w:val="20"/>
              </w:rPr>
              <w:t>რეკომენდებული</w:t>
            </w:r>
            <w:r w:rsidRPr="00D848EC">
              <w:rPr>
                <w:rFonts w:eastAsia="Calibri"/>
                <w:sz w:val="20"/>
              </w:rPr>
              <w:t>)</w:t>
            </w:r>
          </w:p>
        </w:tc>
      </w:tr>
    </w:tbl>
    <w:p w14:paraId="5834B0C3" w14:textId="77777777" w:rsidR="00D848EC" w:rsidRPr="001352AB" w:rsidRDefault="00D848EC" w:rsidP="00D848EC">
      <w:pPr>
        <w:spacing w:before="120" w:after="120"/>
        <w:rPr>
          <w:rFonts w:eastAsia="Calibri"/>
        </w:rPr>
      </w:pPr>
      <w:r w:rsidRPr="001352AB">
        <w:rPr>
          <w:rFonts w:ascii="Sylfaen" w:eastAsia="Calibri" w:hAnsi="Sylfaen" w:cs="Sylfaen"/>
        </w:rPr>
        <w:t>მსოფლიო</w:t>
      </w:r>
      <w:r w:rsidRPr="001352AB">
        <w:rPr>
          <w:rFonts w:eastAsia="Calibri"/>
        </w:rPr>
        <w:t xml:space="preserve"> </w:t>
      </w:r>
      <w:r w:rsidRPr="001352AB">
        <w:rPr>
          <w:rFonts w:ascii="Sylfaen" w:eastAsia="Calibri" w:hAnsi="Sylfaen" w:cs="Sylfaen"/>
        </w:rPr>
        <w:t>ჯანდაცვის</w:t>
      </w:r>
      <w:r w:rsidRPr="001352AB">
        <w:rPr>
          <w:rFonts w:eastAsia="Calibri"/>
        </w:rPr>
        <w:t xml:space="preserve"> </w:t>
      </w:r>
      <w:r w:rsidRPr="001352AB">
        <w:rPr>
          <w:rFonts w:ascii="Sylfaen" w:eastAsia="Calibri" w:hAnsi="Sylfaen" w:cs="Sylfaen"/>
        </w:rPr>
        <w:t>ორგანიზაცია</w:t>
      </w:r>
      <w:r w:rsidRPr="001352AB">
        <w:rPr>
          <w:rFonts w:eastAsia="Calibri"/>
        </w:rPr>
        <w:t>. Air Quality Guidelines Global Update, 2005.PM 24-</w:t>
      </w:r>
      <w:r w:rsidRPr="001352AB">
        <w:rPr>
          <w:rFonts w:ascii="Sylfaen" w:eastAsia="Calibri" w:hAnsi="Sylfaen" w:cs="Sylfaen"/>
        </w:rPr>
        <w:t>საათიანი</w:t>
      </w:r>
      <w:r w:rsidRPr="001352AB">
        <w:rPr>
          <w:rFonts w:eastAsia="Calibri"/>
        </w:rPr>
        <w:t xml:space="preserve"> </w:t>
      </w:r>
      <w:r w:rsidRPr="001352AB">
        <w:rPr>
          <w:rFonts w:ascii="Sylfaen" w:eastAsia="Calibri" w:hAnsi="Sylfaen" w:cs="Sylfaen"/>
        </w:rPr>
        <w:t>სიდიდე</w:t>
      </w:r>
      <w:r w:rsidRPr="001352AB">
        <w:rPr>
          <w:rFonts w:eastAsia="Calibri"/>
        </w:rPr>
        <w:t xml:space="preserve"> </w:t>
      </w:r>
      <w:r w:rsidRPr="001352AB">
        <w:rPr>
          <w:rFonts w:ascii="Sylfaen" w:eastAsia="Calibri" w:hAnsi="Sylfaen" w:cs="Sylfaen"/>
        </w:rPr>
        <w:t>შეადგენს</w:t>
      </w:r>
      <w:r w:rsidRPr="001352AB">
        <w:rPr>
          <w:rFonts w:eastAsia="Calibri"/>
        </w:rPr>
        <w:t xml:space="preserve"> 99-</w:t>
      </w:r>
      <w:r w:rsidRPr="001352AB">
        <w:rPr>
          <w:rFonts w:ascii="Sylfaen" w:eastAsia="Calibri" w:hAnsi="Sylfaen" w:cs="Sylfaen"/>
        </w:rPr>
        <w:t>ტედ</w:t>
      </w:r>
      <w:r w:rsidRPr="001352AB">
        <w:rPr>
          <w:rFonts w:eastAsia="Calibri"/>
        </w:rPr>
        <w:t xml:space="preserve"> </w:t>
      </w:r>
      <w:r w:rsidRPr="001352AB">
        <w:rPr>
          <w:rFonts w:ascii="Sylfaen" w:eastAsia="Calibri" w:hAnsi="Sylfaen" w:cs="Sylfaen"/>
        </w:rPr>
        <w:t>პროცენტილს</w:t>
      </w:r>
      <w:r w:rsidRPr="001352AB">
        <w:rPr>
          <w:rFonts w:eastAsia="Calibri"/>
        </w:rPr>
        <w:t>.</w:t>
      </w:r>
    </w:p>
    <w:p w14:paraId="786DFE54" w14:textId="77777777" w:rsidR="00D848EC" w:rsidRPr="001352AB" w:rsidRDefault="00D848EC" w:rsidP="00D848EC">
      <w:pPr>
        <w:spacing w:before="120" w:after="120"/>
        <w:rPr>
          <w:rFonts w:eastAsia="Calibri"/>
        </w:rPr>
      </w:pPr>
      <w:r w:rsidRPr="001352AB">
        <w:rPr>
          <w:rFonts w:ascii="Sylfaen" w:eastAsia="Calibri" w:hAnsi="Sylfaen" w:cs="Sylfaen"/>
        </w:rPr>
        <w:t>შუალედური</w:t>
      </w:r>
      <w:r w:rsidRPr="001352AB">
        <w:rPr>
          <w:rFonts w:eastAsia="Calibri"/>
        </w:rPr>
        <w:t xml:space="preserve"> </w:t>
      </w:r>
      <w:r w:rsidRPr="001352AB">
        <w:rPr>
          <w:rFonts w:ascii="Sylfaen" w:eastAsia="Calibri" w:hAnsi="Sylfaen" w:cs="Sylfaen"/>
        </w:rPr>
        <w:t>სამიზნე</w:t>
      </w:r>
      <w:r w:rsidRPr="001352AB">
        <w:rPr>
          <w:rFonts w:eastAsia="Calibri"/>
        </w:rPr>
        <w:t xml:space="preserve"> </w:t>
      </w:r>
      <w:r w:rsidRPr="001352AB">
        <w:rPr>
          <w:rFonts w:ascii="Sylfaen" w:eastAsia="Calibri" w:hAnsi="Sylfaen" w:cs="Sylfaen"/>
        </w:rPr>
        <w:t>მაჩვენებლები</w:t>
      </w:r>
      <w:r w:rsidRPr="001352AB">
        <w:rPr>
          <w:rFonts w:eastAsia="Calibri"/>
        </w:rPr>
        <w:t xml:space="preserve"> </w:t>
      </w:r>
      <w:r w:rsidRPr="001352AB">
        <w:rPr>
          <w:rFonts w:ascii="Sylfaen" w:eastAsia="Calibri" w:hAnsi="Sylfaen" w:cs="Sylfaen"/>
        </w:rPr>
        <w:t>მოცემულია</w:t>
      </w:r>
      <w:r w:rsidRPr="001352AB">
        <w:rPr>
          <w:rFonts w:eastAsia="Calibri"/>
        </w:rPr>
        <w:t xml:space="preserve"> </w:t>
      </w:r>
      <w:r w:rsidRPr="001352AB">
        <w:rPr>
          <w:rFonts w:ascii="Sylfaen" w:eastAsia="Calibri" w:hAnsi="Sylfaen" w:cs="Sylfaen"/>
        </w:rPr>
        <w:t>მითითებებით</w:t>
      </w:r>
      <w:r w:rsidRPr="001352AB">
        <w:rPr>
          <w:rFonts w:eastAsia="Calibri"/>
        </w:rPr>
        <w:t xml:space="preserve"> </w:t>
      </w:r>
      <w:r w:rsidRPr="001352AB">
        <w:rPr>
          <w:rFonts w:ascii="Sylfaen" w:eastAsia="Calibri" w:hAnsi="Sylfaen" w:cs="Sylfaen"/>
        </w:rPr>
        <w:t>რეკომენდებული</w:t>
      </w:r>
      <w:r w:rsidRPr="001352AB">
        <w:rPr>
          <w:rFonts w:eastAsia="Calibri"/>
        </w:rPr>
        <w:t xml:space="preserve"> </w:t>
      </w:r>
      <w:r w:rsidRPr="001352AB">
        <w:rPr>
          <w:rFonts w:ascii="Sylfaen" w:eastAsia="Calibri" w:hAnsi="Sylfaen" w:cs="Sylfaen"/>
        </w:rPr>
        <w:t>მნიშვნელობების</w:t>
      </w:r>
      <w:r w:rsidRPr="001352AB">
        <w:rPr>
          <w:rFonts w:eastAsia="Calibri"/>
        </w:rPr>
        <w:t xml:space="preserve"> </w:t>
      </w:r>
      <w:r w:rsidRPr="001352AB">
        <w:rPr>
          <w:rFonts w:ascii="Sylfaen" w:eastAsia="Calibri" w:hAnsi="Sylfaen" w:cs="Sylfaen"/>
        </w:rPr>
        <w:t>მიღწევისადმი</w:t>
      </w:r>
      <w:r w:rsidRPr="001352AB">
        <w:rPr>
          <w:rFonts w:eastAsia="Calibri"/>
        </w:rPr>
        <w:t xml:space="preserve"> </w:t>
      </w:r>
      <w:r w:rsidRPr="001352AB">
        <w:rPr>
          <w:rFonts w:ascii="Sylfaen" w:eastAsia="Calibri" w:hAnsi="Sylfaen" w:cs="Sylfaen"/>
        </w:rPr>
        <w:t>ეტაპობრივი</w:t>
      </w:r>
      <w:r w:rsidRPr="001352AB">
        <w:rPr>
          <w:rFonts w:eastAsia="Calibri"/>
        </w:rPr>
        <w:t xml:space="preserve"> </w:t>
      </w:r>
      <w:r w:rsidRPr="001352AB">
        <w:rPr>
          <w:rFonts w:ascii="Sylfaen" w:eastAsia="Calibri" w:hAnsi="Sylfaen" w:cs="Sylfaen"/>
        </w:rPr>
        <w:t>მიდგომის</w:t>
      </w:r>
      <w:r w:rsidRPr="001352AB">
        <w:rPr>
          <w:rFonts w:eastAsia="Calibri"/>
        </w:rPr>
        <w:t xml:space="preserve"> </w:t>
      </w:r>
      <w:r w:rsidRPr="001352AB">
        <w:rPr>
          <w:rFonts w:ascii="Sylfaen" w:eastAsia="Calibri" w:hAnsi="Sylfaen" w:cs="Sylfaen"/>
        </w:rPr>
        <w:t>საჭიროების</w:t>
      </w:r>
      <w:r w:rsidRPr="001352AB">
        <w:rPr>
          <w:rFonts w:eastAsia="Calibri"/>
        </w:rPr>
        <w:t xml:space="preserve"> </w:t>
      </w:r>
      <w:r w:rsidRPr="001352AB">
        <w:rPr>
          <w:rFonts w:ascii="Sylfaen" w:eastAsia="Calibri" w:hAnsi="Sylfaen" w:cs="Sylfaen"/>
        </w:rPr>
        <w:t>აღნიშვნის</w:t>
      </w:r>
      <w:r w:rsidRPr="001352AB">
        <w:rPr>
          <w:rFonts w:eastAsia="Calibri"/>
        </w:rPr>
        <w:t xml:space="preserve"> </w:t>
      </w:r>
      <w:r w:rsidRPr="001352AB">
        <w:rPr>
          <w:rFonts w:ascii="Sylfaen" w:eastAsia="Calibri" w:hAnsi="Sylfaen" w:cs="Sylfaen"/>
        </w:rPr>
        <w:t>მიზნით</w:t>
      </w:r>
      <w:r w:rsidRPr="001352AB">
        <w:rPr>
          <w:rFonts w:eastAsia="Calibri"/>
        </w:rPr>
        <w:t xml:space="preserve">. </w:t>
      </w:r>
    </w:p>
    <w:p w14:paraId="060D1FD6" w14:textId="77777777" w:rsidR="00D848EC" w:rsidRPr="001352AB" w:rsidRDefault="00D848EC" w:rsidP="00D848EC">
      <w:pPr>
        <w:spacing w:before="120" w:after="120"/>
      </w:pPr>
      <w:r w:rsidRPr="001352AB">
        <w:rPr>
          <w:rFonts w:ascii="Sylfaen" w:hAnsi="Sylfaen" w:cs="Sylfaen"/>
        </w:rPr>
        <w:t>ზოგადად</w:t>
      </w:r>
      <w:r w:rsidRPr="001352AB">
        <w:t xml:space="preserve">, </w:t>
      </w:r>
      <w:r w:rsidRPr="001352AB">
        <w:rPr>
          <w:rFonts w:ascii="Sylfaen" w:hAnsi="Sylfaen" w:cs="Sylfaen"/>
        </w:rPr>
        <w:t>საქართველოში</w:t>
      </w:r>
      <w:r w:rsidRPr="001352AB">
        <w:t xml:space="preserve"> </w:t>
      </w:r>
      <w:r w:rsidRPr="001352AB">
        <w:rPr>
          <w:rFonts w:ascii="Sylfaen" w:hAnsi="Sylfaen" w:cs="Sylfaen"/>
        </w:rPr>
        <w:t>ატმოსფერული</w:t>
      </w:r>
      <w:r w:rsidRPr="001352AB">
        <w:t xml:space="preserve"> </w:t>
      </w:r>
      <w:r w:rsidRPr="001352AB">
        <w:rPr>
          <w:rFonts w:ascii="Sylfaen" w:hAnsi="Sylfaen" w:cs="Sylfaen"/>
        </w:rPr>
        <w:t>ჰაერის</w:t>
      </w:r>
      <w:r w:rsidRPr="001352AB">
        <w:t xml:space="preserve"> </w:t>
      </w:r>
      <w:r w:rsidRPr="001352AB">
        <w:rPr>
          <w:rFonts w:ascii="Sylfaen" w:hAnsi="Sylfaen" w:cs="Sylfaen"/>
        </w:rPr>
        <w:t>ხარისხთან</w:t>
      </w:r>
      <w:r w:rsidRPr="001352AB">
        <w:t xml:space="preserve"> </w:t>
      </w:r>
      <w:r w:rsidRPr="001352AB">
        <w:rPr>
          <w:rFonts w:ascii="Sylfaen" w:hAnsi="Sylfaen" w:cs="Sylfaen"/>
        </w:rPr>
        <w:t>დაკავშირებით</w:t>
      </w:r>
      <w:r w:rsidRPr="001352AB">
        <w:t xml:space="preserve"> </w:t>
      </w:r>
      <w:r w:rsidRPr="001352AB">
        <w:rPr>
          <w:rFonts w:ascii="Sylfaen" w:hAnsi="Sylfaen" w:cs="Sylfaen"/>
        </w:rPr>
        <w:t>მოქმედი</w:t>
      </w:r>
      <w:r w:rsidRPr="001352AB">
        <w:t xml:space="preserve"> </w:t>
      </w:r>
      <w:r w:rsidRPr="001352AB">
        <w:rPr>
          <w:rFonts w:ascii="Sylfaen" w:hAnsi="Sylfaen" w:cs="Sylfaen"/>
        </w:rPr>
        <w:t>ნორმები</w:t>
      </w:r>
      <w:r w:rsidRPr="001352AB">
        <w:t xml:space="preserve"> </w:t>
      </w:r>
      <w:r w:rsidRPr="001352AB">
        <w:rPr>
          <w:rFonts w:ascii="Sylfaen" w:hAnsi="Sylfaen" w:cs="Sylfaen"/>
        </w:rPr>
        <w:t>შეესაბამება</w:t>
      </w:r>
      <w:r w:rsidRPr="001352AB">
        <w:t xml:space="preserve"> </w:t>
      </w:r>
      <w:r w:rsidRPr="001352AB">
        <w:rPr>
          <w:rFonts w:ascii="Sylfaen" w:hAnsi="Sylfaen" w:cs="Sylfaen"/>
        </w:rPr>
        <w:t>საერთაშორისო</w:t>
      </w:r>
      <w:r w:rsidRPr="001352AB">
        <w:t xml:space="preserve"> </w:t>
      </w:r>
      <w:r w:rsidRPr="001352AB">
        <w:rPr>
          <w:rFonts w:ascii="Sylfaen" w:hAnsi="Sylfaen" w:cs="Sylfaen"/>
        </w:rPr>
        <w:t>ფინანსური</w:t>
      </w:r>
      <w:r w:rsidRPr="001352AB">
        <w:t xml:space="preserve"> </w:t>
      </w:r>
      <w:r w:rsidRPr="001352AB">
        <w:rPr>
          <w:rFonts w:ascii="Sylfaen" w:hAnsi="Sylfaen" w:cs="Sylfaen"/>
        </w:rPr>
        <w:t>კორპორაციის</w:t>
      </w:r>
      <w:r w:rsidRPr="001352AB">
        <w:t xml:space="preserve"> (IFC)/</w:t>
      </w:r>
      <w:r w:rsidRPr="001352AB">
        <w:rPr>
          <w:rFonts w:ascii="Sylfaen" w:hAnsi="Sylfaen" w:cs="Sylfaen"/>
        </w:rPr>
        <w:t>მსოფლიო</w:t>
      </w:r>
      <w:r w:rsidRPr="001352AB">
        <w:t xml:space="preserve"> </w:t>
      </w:r>
      <w:r w:rsidRPr="001352AB">
        <w:rPr>
          <w:rFonts w:ascii="Sylfaen" w:hAnsi="Sylfaen" w:cs="Sylfaen"/>
        </w:rPr>
        <w:t>ბანკის</w:t>
      </w:r>
      <w:r w:rsidRPr="001352AB">
        <w:t xml:space="preserve"> (WB) </w:t>
      </w:r>
      <w:r w:rsidRPr="001352AB">
        <w:rPr>
          <w:rFonts w:ascii="Sylfaen" w:hAnsi="Sylfaen" w:cs="Sylfaen"/>
        </w:rPr>
        <w:t>სტანდარტებს</w:t>
      </w:r>
      <w:r w:rsidRPr="001352AB">
        <w:t xml:space="preserve">, </w:t>
      </w:r>
      <w:r w:rsidRPr="001352AB">
        <w:rPr>
          <w:rFonts w:ascii="Sylfaen" w:hAnsi="Sylfaen" w:cs="Sylfaen"/>
        </w:rPr>
        <w:t>თუმცა</w:t>
      </w:r>
      <w:r w:rsidRPr="001352AB">
        <w:t xml:space="preserve">, </w:t>
      </w:r>
      <w:r w:rsidRPr="001352AB">
        <w:rPr>
          <w:rFonts w:ascii="Sylfaen" w:hAnsi="Sylfaen" w:cs="Sylfaen"/>
        </w:rPr>
        <w:t>კონკრეტულ</w:t>
      </w:r>
      <w:r w:rsidRPr="001352AB">
        <w:t xml:space="preserve"> </w:t>
      </w:r>
      <w:r w:rsidRPr="001352AB">
        <w:rPr>
          <w:rFonts w:ascii="Sylfaen" w:hAnsi="Sylfaen" w:cs="Sylfaen"/>
        </w:rPr>
        <w:t>ნივთიერებებთან</w:t>
      </w:r>
      <w:r w:rsidRPr="001352AB">
        <w:t xml:space="preserve"> </w:t>
      </w:r>
      <w:r w:rsidRPr="001352AB">
        <w:rPr>
          <w:rFonts w:ascii="Sylfaen" w:hAnsi="Sylfaen" w:cs="Sylfaen"/>
        </w:rPr>
        <w:t>დაკავშირებით</w:t>
      </w:r>
      <w:r w:rsidRPr="001352AB">
        <w:t xml:space="preserve"> </w:t>
      </w:r>
      <w:r w:rsidRPr="001352AB">
        <w:rPr>
          <w:rFonts w:ascii="Sylfaen" w:hAnsi="Sylfaen" w:cs="Sylfaen"/>
        </w:rPr>
        <w:t>შეიძლება</w:t>
      </w:r>
      <w:r w:rsidRPr="001352AB">
        <w:t xml:space="preserve">, </w:t>
      </w:r>
      <w:r w:rsidRPr="001352AB">
        <w:rPr>
          <w:rFonts w:ascii="Sylfaen" w:hAnsi="Sylfaen" w:cs="Sylfaen"/>
        </w:rPr>
        <w:t>არსებობდეს</w:t>
      </w:r>
      <w:r w:rsidRPr="001352AB">
        <w:t xml:space="preserve"> </w:t>
      </w:r>
      <w:r w:rsidRPr="001352AB">
        <w:rPr>
          <w:rFonts w:ascii="Sylfaen" w:hAnsi="Sylfaen" w:cs="Sylfaen"/>
        </w:rPr>
        <w:t>მცირე</w:t>
      </w:r>
      <w:r w:rsidRPr="001352AB">
        <w:t xml:space="preserve"> </w:t>
      </w:r>
      <w:r w:rsidRPr="001352AB">
        <w:rPr>
          <w:rFonts w:ascii="Sylfaen" w:hAnsi="Sylfaen" w:cs="Sylfaen"/>
        </w:rPr>
        <w:t>განსხვავებები</w:t>
      </w:r>
      <w:r w:rsidRPr="001352AB">
        <w:t xml:space="preserve">, </w:t>
      </w:r>
      <w:r w:rsidRPr="001352AB">
        <w:rPr>
          <w:rFonts w:ascii="Sylfaen" w:hAnsi="Sylfaen" w:cs="Sylfaen"/>
        </w:rPr>
        <w:t>რა</w:t>
      </w:r>
      <w:r w:rsidRPr="001352AB">
        <w:t xml:space="preserve"> </w:t>
      </w:r>
      <w:r w:rsidRPr="001352AB">
        <w:rPr>
          <w:rFonts w:ascii="Sylfaen" w:hAnsi="Sylfaen" w:cs="Sylfaen"/>
        </w:rPr>
        <w:t>შემთხვევაშიც</w:t>
      </w:r>
      <w:r w:rsidRPr="001352AB">
        <w:t xml:space="preserve"> </w:t>
      </w:r>
      <w:r w:rsidRPr="001352AB">
        <w:rPr>
          <w:rFonts w:ascii="Sylfaen" w:hAnsi="Sylfaen" w:cs="Sylfaen"/>
        </w:rPr>
        <w:t>მოხდება</w:t>
      </w:r>
      <w:r w:rsidRPr="001352AB">
        <w:t xml:space="preserve"> </w:t>
      </w:r>
      <w:r w:rsidRPr="001352AB">
        <w:rPr>
          <w:rFonts w:ascii="Sylfaen" w:hAnsi="Sylfaen" w:cs="Sylfaen"/>
        </w:rPr>
        <w:t>უფრო</w:t>
      </w:r>
      <w:r w:rsidRPr="001352AB">
        <w:t xml:space="preserve"> </w:t>
      </w:r>
      <w:r w:rsidRPr="001352AB">
        <w:rPr>
          <w:rFonts w:ascii="Sylfaen" w:hAnsi="Sylfaen" w:cs="Sylfaen"/>
        </w:rPr>
        <w:t>მკაცრი</w:t>
      </w:r>
      <w:r w:rsidRPr="001352AB">
        <w:t xml:space="preserve"> </w:t>
      </w:r>
      <w:r w:rsidRPr="001352AB">
        <w:rPr>
          <w:rFonts w:ascii="Sylfaen" w:hAnsi="Sylfaen" w:cs="Sylfaen"/>
        </w:rPr>
        <w:t>სტანდარტის</w:t>
      </w:r>
      <w:r w:rsidRPr="001352AB">
        <w:t xml:space="preserve"> </w:t>
      </w:r>
      <w:r w:rsidRPr="001352AB">
        <w:rPr>
          <w:rFonts w:ascii="Sylfaen" w:hAnsi="Sylfaen" w:cs="Sylfaen"/>
        </w:rPr>
        <w:t>გამოყენება</w:t>
      </w:r>
      <w:r w:rsidRPr="001352AB">
        <w:t xml:space="preserve">. </w:t>
      </w:r>
    </w:p>
    <w:p w14:paraId="408B0D3D" w14:textId="77777777" w:rsidR="00D848EC" w:rsidRPr="001352AB" w:rsidRDefault="00D848EC" w:rsidP="00D848EC"/>
    <w:p w14:paraId="3187B55A" w14:textId="77777777" w:rsidR="00D848EC" w:rsidRPr="001352AB" w:rsidRDefault="00D848EC" w:rsidP="00980876">
      <w:pPr>
        <w:pStyle w:val="EIAheading2"/>
        <w:rPr>
          <w:rFonts w:eastAsia="Calibri"/>
        </w:rPr>
      </w:pPr>
      <w:bookmarkStart w:id="15" w:name="_Toc529977342"/>
      <w:bookmarkStart w:id="16" w:name="_Toc479167314"/>
      <w:bookmarkStart w:id="17" w:name="_Toc479166474"/>
      <w:bookmarkStart w:id="18" w:name="_Toc479164744"/>
      <w:bookmarkStart w:id="19" w:name="_Toc1581483"/>
      <w:r w:rsidRPr="001352AB">
        <w:t xml:space="preserve">2.2 </w:t>
      </w:r>
      <w:r w:rsidRPr="001352AB">
        <w:rPr>
          <w:rFonts w:ascii="Sylfaen" w:hAnsi="Sylfaen" w:cs="Sylfaen"/>
        </w:rPr>
        <w:t>წყლის</w:t>
      </w:r>
      <w:r w:rsidRPr="001352AB">
        <w:t xml:space="preserve"> </w:t>
      </w:r>
      <w:r w:rsidRPr="001352AB">
        <w:rPr>
          <w:rFonts w:ascii="Sylfaen" w:hAnsi="Sylfaen" w:cs="Sylfaen"/>
        </w:rPr>
        <w:t>ხარისხობრივი</w:t>
      </w:r>
      <w:r w:rsidRPr="001352AB">
        <w:t xml:space="preserve"> </w:t>
      </w:r>
      <w:r w:rsidRPr="001352AB">
        <w:rPr>
          <w:rFonts w:ascii="Sylfaen" w:hAnsi="Sylfaen" w:cs="Sylfaen"/>
        </w:rPr>
        <w:t>სტანდარტები</w:t>
      </w:r>
      <w:bookmarkEnd w:id="15"/>
      <w:bookmarkEnd w:id="16"/>
      <w:bookmarkEnd w:id="17"/>
      <w:bookmarkEnd w:id="18"/>
      <w:bookmarkEnd w:id="19"/>
    </w:p>
    <w:p w14:paraId="3E450F84" w14:textId="77777777" w:rsidR="00D848EC" w:rsidRPr="001352AB" w:rsidRDefault="00D848EC" w:rsidP="00D848EC">
      <w:pPr>
        <w:spacing w:before="120" w:after="120"/>
      </w:pPr>
      <w:r w:rsidRPr="001352AB">
        <w:rPr>
          <w:rFonts w:ascii="Sylfaen" w:hAnsi="Sylfaen" w:cs="Sylfaen"/>
        </w:rPr>
        <w:t>მავნე</w:t>
      </w:r>
      <w:r w:rsidRPr="001352AB">
        <w:t xml:space="preserve"> </w:t>
      </w:r>
      <w:r w:rsidRPr="001352AB">
        <w:rPr>
          <w:rFonts w:ascii="Sylfaen" w:hAnsi="Sylfaen" w:cs="Sylfaen"/>
        </w:rPr>
        <w:t>ნივთიერებების</w:t>
      </w:r>
      <w:r w:rsidRPr="001352AB">
        <w:t xml:space="preserve"> </w:t>
      </w:r>
      <w:r w:rsidRPr="001352AB">
        <w:rPr>
          <w:rFonts w:ascii="Sylfaen" w:hAnsi="Sylfaen" w:cs="Sylfaen"/>
        </w:rPr>
        <w:t>მაქსიმალურად</w:t>
      </w:r>
      <w:r w:rsidRPr="001352AB">
        <w:t xml:space="preserve"> </w:t>
      </w:r>
      <w:r w:rsidRPr="001352AB">
        <w:rPr>
          <w:rFonts w:ascii="Sylfaen" w:hAnsi="Sylfaen" w:cs="Sylfaen"/>
        </w:rPr>
        <w:t>დასაშვები</w:t>
      </w:r>
      <w:r w:rsidRPr="001352AB">
        <w:t xml:space="preserve"> </w:t>
      </w:r>
      <w:r w:rsidRPr="001352AB">
        <w:rPr>
          <w:rFonts w:ascii="Sylfaen" w:hAnsi="Sylfaen" w:cs="Sylfaen"/>
        </w:rPr>
        <w:t>კონცენტრაციები</w:t>
      </w:r>
      <w:r w:rsidRPr="001352AB">
        <w:t xml:space="preserve"> </w:t>
      </w:r>
      <w:r w:rsidRPr="001352AB">
        <w:rPr>
          <w:rFonts w:ascii="Sylfaen" w:hAnsi="Sylfaen" w:cs="Sylfaen"/>
        </w:rPr>
        <w:t>ზედაპირულ</w:t>
      </w:r>
      <w:r w:rsidRPr="001352AB">
        <w:t xml:space="preserve"> </w:t>
      </w:r>
      <w:r w:rsidRPr="001352AB">
        <w:rPr>
          <w:rFonts w:ascii="Sylfaen" w:hAnsi="Sylfaen" w:cs="Sylfaen"/>
        </w:rPr>
        <w:t>და</w:t>
      </w:r>
      <w:r w:rsidRPr="001352AB">
        <w:t xml:space="preserve"> </w:t>
      </w:r>
      <w:r w:rsidRPr="001352AB">
        <w:rPr>
          <w:rFonts w:ascii="Sylfaen" w:hAnsi="Sylfaen" w:cs="Sylfaen"/>
        </w:rPr>
        <w:t>გრუნტის</w:t>
      </w:r>
      <w:r w:rsidRPr="001352AB">
        <w:t xml:space="preserve"> </w:t>
      </w:r>
      <w:r w:rsidRPr="001352AB">
        <w:rPr>
          <w:rFonts w:ascii="Sylfaen" w:hAnsi="Sylfaen" w:cs="Sylfaen"/>
        </w:rPr>
        <w:t>წყლებში</w:t>
      </w:r>
      <w:r w:rsidRPr="001352AB">
        <w:t xml:space="preserve"> </w:t>
      </w:r>
      <w:r w:rsidRPr="001352AB">
        <w:rPr>
          <w:rFonts w:ascii="Sylfaen" w:hAnsi="Sylfaen" w:cs="Sylfaen"/>
        </w:rPr>
        <w:t>განსაზღვრულია</w:t>
      </w:r>
      <w:r w:rsidRPr="001352AB">
        <w:t xml:space="preserve"> “</w:t>
      </w:r>
      <w:r w:rsidRPr="001352AB">
        <w:rPr>
          <w:rFonts w:ascii="Sylfaen" w:hAnsi="Sylfaen" w:cs="Sylfaen"/>
        </w:rPr>
        <w:t>გარემოს</w:t>
      </w:r>
      <w:r w:rsidRPr="001352AB">
        <w:t xml:space="preserve"> </w:t>
      </w:r>
      <w:r w:rsidRPr="001352AB">
        <w:rPr>
          <w:rFonts w:ascii="Sylfaen" w:hAnsi="Sylfaen" w:cs="Sylfaen"/>
        </w:rPr>
        <w:t>ხარისხობრივი</w:t>
      </w:r>
      <w:r w:rsidRPr="001352AB">
        <w:t xml:space="preserve"> </w:t>
      </w:r>
      <w:r w:rsidRPr="001352AB">
        <w:rPr>
          <w:rFonts w:ascii="Sylfaen" w:hAnsi="Sylfaen" w:cs="Sylfaen"/>
        </w:rPr>
        <w:t>მდგომარეობის</w:t>
      </w:r>
      <w:r w:rsidRPr="001352AB">
        <w:t xml:space="preserve"> </w:t>
      </w:r>
      <w:r w:rsidRPr="001352AB">
        <w:rPr>
          <w:rFonts w:ascii="Sylfaen" w:hAnsi="Sylfaen" w:cs="Sylfaen"/>
        </w:rPr>
        <w:t>ნორმების</w:t>
      </w:r>
      <w:r w:rsidRPr="001352AB">
        <w:t xml:space="preserve"> </w:t>
      </w:r>
      <w:r w:rsidRPr="001352AB">
        <w:rPr>
          <w:rFonts w:ascii="Sylfaen" w:hAnsi="Sylfaen" w:cs="Sylfaen"/>
        </w:rPr>
        <w:t>დამტკიცების</w:t>
      </w:r>
      <w:r w:rsidRPr="001352AB">
        <w:t xml:space="preserve"> </w:t>
      </w:r>
      <w:r w:rsidRPr="001352AB">
        <w:rPr>
          <w:rFonts w:ascii="Sylfaen" w:hAnsi="Sylfaen" w:cs="Sylfaen"/>
        </w:rPr>
        <w:t>შესახებ</w:t>
      </w:r>
      <w:r w:rsidRPr="001352AB">
        <w:t xml:space="preserve">” </w:t>
      </w:r>
      <w:r w:rsidRPr="001352AB">
        <w:rPr>
          <w:rFonts w:ascii="Sylfaen" w:hAnsi="Sylfaen" w:cs="Sylfaen"/>
        </w:rPr>
        <w:t>საქართველოს</w:t>
      </w:r>
      <w:r w:rsidRPr="001352AB">
        <w:t xml:space="preserve"> </w:t>
      </w:r>
      <w:r w:rsidRPr="001352AB">
        <w:rPr>
          <w:rFonts w:ascii="Sylfaen" w:hAnsi="Sylfaen" w:cs="Sylfaen"/>
        </w:rPr>
        <w:t>შრომის</w:t>
      </w:r>
      <w:r w:rsidRPr="001352AB">
        <w:t xml:space="preserve">, </w:t>
      </w:r>
      <w:r w:rsidRPr="001352AB">
        <w:rPr>
          <w:rFonts w:ascii="Sylfaen" w:hAnsi="Sylfaen" w:cs="Sylfaen"/>
        </w:rPr>
        <w:t>ჯანმრთელობისა</w:t>
      </w:r>
      <w:r w:rsidRPr="001352AB">
        <w:t xml:space="preserve"> </w:t>
      </w:r>
      <w:r w:rsidRPr="001352AB">
        <w:rPr>
          <w:rFonts w:ascii="Sylfaen" w:hAnsi="Sylfaen" w:cs="Sylfaen"/>
        </w:rPr>
        <w:t>და</w:t>
      </w:r>
      <w:r w:rsidRPr="001352AB">
        <w:t xml:space="preserve"> </w:t>
      </w:r>
      <w:r w:rsidRPr="001352AB">
        <w:rPr>
          <w:rFonts w:ascii="Sylfaen" w:hAnsi="Sylfaen" w:cs="Sylfaen"/>
        </w:rPr>
        <w:t>სოციალური</w:t>
      </w:r>
      <w:r w:rsidRPr="001352AB">
        <w:t xml:space="preserve"> </w:t>
      </w:r>
      <w:r w:rsidRPr="001352AB">
        <w:rPr>
          <w:rFonts w:ascii="Sylfaen" w:hAnsi="Sylfaen" w:cs="Sylfaen"/>
        </w:rPr>
        <w:t>დაცვის</w:t>
      </w:r>
      <w:r w:rsidRPr="001352AB">
        <w:t xml:space="preserve"> </w:t>
      </w:r>
      <w:r w:rsidRPr="001352AB">
        <w:rPr>
          <w:rFonts w:ascii="Sylfaen" w:hAnsi="Sylfaen" w:cs="Sylfaen"/>
        </w:rPr>
        <w:t>მინისტრის</w:t>
      </w:r>
      <w:r w:rsidRPr="001352AB">
        <w:t xml:space="preserve"> 2001 </w:t>
      </w:r>
      <w:r w:rsidRPr="001352AB">
        <w:rPr>
          <w:rFonts w:ascii="Sylfaen" w:hAnsi="Sylfaen" w:cs="Sylfaen"/>
        </w:rPr>
        <w:t>წლის</w:t>
      </w:r>
      <w:r w:rsidRPr="001352AB">
        <w:t xml:space="preserve"> 16 </w:t>
      </w:r>
      <w:r w:rsidRPr="001352AB">
        <w:rPr>
          <w:rFonts w:ascii="Sylfaen" w:hAnsi="Sylfaen" w:cs="Sylfaen"/>
        </w:rPr>
        <w:t>აგვისტოს</w:t>
      </w:r>
      <w:r w:rsidRPr="001352AB">
        <w:t xml:space="preserve"> </w:t>
      </w:r>
      <w:r w:rsidRPr="001352AB">
        <w:rPr>
          <w:rFonts w:ascii="Sylfaen" w:hAnsi="Sylfaen" w:cs="Sylfaen"/>
        </w:rPr>
        <w:t>ბრძანებით</w:t>
      </w:r>
      <w:r w:rsidRPr="001352AB">
        <w:t xml:space="preserve"> № 297/</w:t>
      </w:r>
      <w:r w:rsidRPr="001352AB">
        <w:rPr>
          <w:rFonts w:ascii="Sylfaen" w:hAnsi="Sylfaen" w:cs="Sylfaen"/>
        </w:rPr>
        <w:t>ნ</w:t>
      </w:r>
      <w:r w:rsidRPr="001352AB">
        <w:t xml:space="preserve"> (</w:t>
      </w:r>
      <w:r w:rsidRPr="001352AB">
        <w:rPr>
          <w:rFonts w:ascii="Sylfaen" w:hAnsi="Sylfaen" w:cs="Sylfaen"/>
        </w:rPr>
        <w:t>ჩასწორებულია</w:t>
      </w:r>
      <w:r w:rsidRPr="001352AB">
        <w:t xml:space="preserve"> </w:t>
      </w:r>
      <w:r w:rsidRPr="001352AB">
        <w:rPr>
          <w:rFonts w:ascii="Sylfaen" w:hAnsi="Sylfaen" w:cs="Sylfaen"/>
        </w:rPr>
        <w:t>მინისტრის</w:t>
      </w:r>
      <w:r w:rsidRPr="001352AB">
        <w:t xml:space="preserve"> 24.02.2003 </w:t>
      </w:r>
      <w:r w:rsidRPr="001352AB">
        <w:rPr>
          <w:rFonts w:ascii="Sylfaen" w:hAnsi="Sylfaen" w:cs="Sylfaen"/>
        </w:rPr>
        <w:t>წლის</w:t>
      </w:r>
      <w:r w:rsidRPr="001352AB">
        <w:t xml:space="preserve"> №38/</w:t>
      </w:r>
      <w:r w:rsidRPr="001352AB">
        <w:rPr>
          <w:rFonts w:ascii="Sylfaen" w:hAnsi="Sylfaen" w:cs="Sylfaen"/>
        </w:rPr>
        <w:t>ნ</w:t>
      </w:r>
      <w:r w:rsidRPr="001352AB">
        <w:t xml:space="preserve"> </w:t>
      </w:r>
      <w:r w:rsidRPr="001352AB">
        <w:rPr>
          <w:rFonts w:ascii="Sylfaen" w:hAnsi="Sylfaen" w:cs="Sylfaen"/>
        </w:rPr>
        <w:t>ბრძანებით</w:t>
      </w:r>
      <w:r w:rsidRPr="001352AB">
        <w:t xml:space="preserve">). </w:t>
      </w:r>
      <w:r w:rsidRPr="001352AB">
        <w:rPr>
          <w:rFonts w:ascii="Sylfaen" w:hAnsi="Sylfaen" w:cs="Sylfaen"/>
        </w:rPr>
        <w:t>ზედაპირულ</w:t>
      </w:r>
      <w:r w:rsidRPr="001352AB">
        <w:t xml:space="preserve"> </w:t>
      </w:r>
      <w:r w:rsidRPr="001352AB">
        <w:rPr>
          <w:rFonts w:ascii="Sylfaen" w:hAnsi="Sylfaen" w:cs="Sylfaen"/>
        </w:rPr>
        <w:t>და</w:t>
      </w:r>
      <w:r w:rsidRPr="001352AB">
        <w:t xml:space="preserve"> </w:t>
      </w:r>
      <w:r w:rsidRPr="001352AB">
        <w:rPr>
          <w:rFonts w:ascii="Sylfaen" w:hAnsi="Sylfaen" w:cs="Sylfaen"/>
        </w:rPr>
        <w:t>გრუნტის</w:t>
      </w:r>
      <w:r w:rsidRPr="001352AB">
        <w:t xml:space="preserve"> </w:t>
      </w:r>
      <w:r w:rsidRPr="001352AB">
        <w:rPr>
          <w:rFonts w:ascii="Sylfaen" w:hAnsi="Sylfaen" w:cs="Sylfaen"/>
        </w:rPr>
        <w:t>წყლებში</w:t>
      </w:r>
      <w:r w:rsidRPr="001352AB">
        <w:t xml:space="preserve"> </w:t>
      </w:r>
      <w:r w:rsidRPr="001352AB">
        <w:rPr>
          <w:rFonts w:ascii="Sylfaen" w:hAnsi="Sylfaen" w:cs="Sylfaen"/>
        </w:rPr>
        <w:t>დამაბინძურებელი</w:t>
      </w:r>
      <w:r w:rsidRPr="001352AB">
        <w:t xml:space="preserve"> </w:t>
      </w:r>
      <w:r w:rsidRPr="001352AB">
        <w:rPr>
          <w:rFonts w:ascii="Sylfaen" w:hAnsi="Sylfaen" w:cs="Sylfaen"/>
        </w:rPr>
        <w:t>ნივთიერებების</w:t>
      </w:r>
      <w:r w:rsidRPr="001352AB">
        <w:t xml:space="preserve"> </w:t>
      </w:r>
      <w:r w:rsidRPr="001352AB">
        <w:rPr>
          <w:rFonts w:ascii="Sylfaen" w:hAnsi="Sylfaen" w:cs="Sylfaen"/>
        </w:rPr>
        <w:t>დასაშვები</w:t>
      </w:r>
      <w:r w:rsidRPr="001352AB">
        <w:t xml:space="preserve"> </w:t>
      </w:r>
      <w:r w:rsidRPr="001352AB">
        <w:rPr>
          <w:rFonts w:ascii="Sylfaen" w:hAnsi="Sylfaen" w:cs="Sylfaen"/>
        </w:rPr>
        <w:t>დონეები</w:t>
      </w:r>
      <w:r w:rsidRPr="001352AB">
        <w:t xml:space="preserve"> </w:t>
      </w:r>
      <w:r w:rsidRPr="001352AB">
        <w:rPr>
          <w:rFonts w:ascii="Sylfaen" w:hAnsi="Sylfaen" w:cs="Sylfaen"/>
        </w:rPr>
        <w:t>ნაჩვენებია</w:t>
      </w:r>
      <w:r w:rsidRPr="001352AB">
        <w:t xml:space="preserve"> </w:t>
      </w:r>
      <w:r w:rsidRPr="001352AB">
        <w:rPr>
          <w:rFonts w:ascii="Sylfaen" w:hAnsi="Sylfaen" w:cs="Sylfaen"/>
        </w:rPr>
        <w:t>ცხრილში</w:t>
      </w:r>
      <w:r w:rsidRPr="001352AB">
        <w:t xml:space="preserve"> 2-3. </w:t>
      </w:r>
    </w:p>
    <w:p w14:paraId="7A712247" w14:textId="77777777" w:rsidR="00D848EC" w:rsidRPr="001352AB" w:rsidRDefault="00D848EC" w:rsidP="00D848EC">
      <w:pPr>
        <w:spacing w:before="120" w:after="120"/>
      </w:pPr>
      <w:r w:rsidRPr="001352AB">
        <w:rPr>
          <w:rFonts w:ascii="Sylfaen" w:hAnsi="Sylfaen" w:cs="Sylfaen"/>
        </w:rPr>
        <w:t>ცხრილი</w:t>
      </w:r>
      <w:r w:rsidRPr="001352AB">
        <w:t xml:space="preserve"> 2-3. </w:t>
      </w:r>
      <w:r w:rsidRPr="001352AB">
        <w:rPr>
          <w:rFonts w:ascii="Sylfaen" w:hAnsi="Sylfaen" w:cs="Sylfaen"/>
        </w:rPr>
        <w:t>წყლის</w:t>
      </w:r>
      <w:r w:rsidRPr="001352AB">
        <w:t xml:space="preserve"> </w:t>
      </w:r>
      <w:r w:rsidRPr="001352AB">
        <w:rPr>
          <w:rFonts w:ascii="Sylfaen" w:hAnsi="Sylfaen" w:cs="Sylfaen"/>
        </w:rPr>
        <w:t>ხარისხობრივი</w:t>
      </w:r>
      <w:r w:rsidRPr="001352AB">
        <w:t xml:space="preserve"> </w:t>
      </w:r>
      <w:r w:rsidRPr="001352AB">
        <w:rPr>
          <w:rFonts w:ascii="Sylfaen" w:hAnsi="Sylfaen" w:cs="Sylfaen"/>
        </w:rPr>
        <w:t>სტანდარტები</w:t>
      </w:r>
      <w:r w:rsidRPr="001352AB">
        <w:t xml:space="preserve"> </w:t>
      </w:r>
      <w:r w:rsidRPr="001352AB">
        <w:rPr>
          <w:rFonts w:ascii="Sylfaen" w:hAnsi="Sylfaen" w:cs="Sylfaen"/>
        </w:rPr>
        <w:t>საქართველოს</w:t>
      </w:r>
      <w:r w:rsidRPr="001352AB">
        <w:t xml:space="preserve"> </w:t>
      </w:r>
      <w:r w:rsidRPr="001352AB">
        <w:rPr>
          <w:rFonts w:ascii="Sylfaen" w:hAnsi="Sylfaen" w:cs="Sylfaen"/>
        </w:rPr>
        <w:t>კანონმდებლობის</w:t>
      </w:r>
      <w:r w:rsidRPr="001352AB">
        <w:t xml:space="preserve"> </w:t>
      </w:r>
      <w:r w:rsidRPr="001352AB">
        <w:rPr>
          <w:rFonts w:ascii="Sylfaen" w:hAnsi="Sylfaen" w:cs="Sylfaen"/>
        </w:rPr>
        <w:t>მიხედვით</w:t>
      </w:r>
    </w:p>
    <w:tbl>
      <w:tblPr>
        <w:tblW w:w="47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857"/>
        <w:gridCol w:w="4346"/>
        <w:gridCol w:w="4697"/>
      </w:tblGrid>
      <w:tr w:rsidR="00D848EC" w:rsidRPr="001D2B74" w14:paraId="228837C8"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hideMark/>
          </w:tcPr>
          <w:p w14:paraId="613CEA23" w14:textId="77777777" w:rsidR="00D848EC" w:rsidRPr="001D2B74" w:rsidRDefault="00D848EC" w:rsidP="00D848EC">
            <w:pPr>
              <w:rPr>
                <w:sz w:val="20"/>
              </w:rPr>
            </w:pPr>
            <w:r w:rsidRPr="001D2B74">
              <w:rPr>
                <w:sz w:val="20"/>
              </w:rPr>
              <w:t>№</w:t>
            </w:r>
          </w:p>
        </w:tc>
        <w:tc>
          <w:tcPr>
            <w:tcW w:w="2195" w:type="pct"/>
            <w:tcBorders>
              <w:top w:val="single" w:sz="4" w:space="0" w:color="auto"/>
              <w:left w:val="single" w:sz="4" w:space="0" w:color="auto"/>
              <w:bottom w:val="single" w:sz="4" w:space="0" w:color="auto"/>
              <w:right w:val="single" w:sz="4" w:space="0" w:color="auto"/>
            </w:tcBorders>
            <w:hideMark/>
          </w:tcPr>
          <w:p w14:paraId="78EF33BA" w14:textId="77777777" w:rsidR="00D848EC" w:rsidRPr="001D2B74" w:rsidRDefault="00D848EC" w:rsidP="00D848EC">
            <w:pPr>
              <w:rPr>
                <w:sz w:val="20"/>
              </w:rPr>
            </w:pPr>
            <w:r w:rsidRPr="001D2B74">
              <w:rPr>
                <w:rFonts w:ascii="Sylfaen" w:hAnsi="Sylfaen" w:cs="Sylfaen"/>
                <w:sz w:val="20"/>
              </w:rPr>
              <w:t>ნივთიერების</w:t>
            </w:r>
            <w:r w:rsidRPr="001D2B74">
              <w:rPr>
                <w:sz w:val="20"/>
              </w:rPr>
              <w:t xml:space="preserve"> </w:t>
            </w:r>
            <w:r w:rsidRPr="001D2B74">
              <w:rPr>
                <w:rFonts w:ascii="Sylfaen" w:hAnsi="Sylfaen" w:cs="Sylfaen"/>
                <w:sz w:val="20"/>
              </w:rPr>
              <w:t>დასახელება</w:t>
            </w:r>
          </w:p>
        </w:tc>
        <w:tc>
          <w:tcPr>
            <w:tcW w:w="2372" w:type="pct"/>
            <w:tcBorders>
              <w:top w:val="single" w:sz="4" w:space="0" w:color="auto"/>
              <w:left w:val="single" w:sz="4" w:space="0" w:color="auto"/>
              <w:bottom w:val="single" w:sz="4" w:space="0" w:color="auto"/>
              <w:right w:val="single" w:sz="4" w:space="0" w:color="auto"/>
            </w:tcBorders>
            <w:hideMark/>
          </w:tcPr>
          <w:p w14:paraId="0BA05FCF" w14:textId="77777777" w:rsidR="00D848EC" w:rsidRPr="001D2B74" w:rsidRDefault="00D848EC" w:rsidP="00D848EC">
            <w:pPr>
              <w:rPr>
                <w:sz w:val="20"/>
              </w:rPr>
            </w:pPr>
            <w:r w:rsidRPr="001D2B74">
              <w:rPr>
                <w:rFonts w:ascii="Sylfaen" w:hAnsi="Sylfaen" w:cs="Sylfaen"/>
                <w:sz w:val="20"/>
              </w:rPr>
              <w:t>ზღვრულად</w:t>
            </w:r>
            <w:r w:rsidRPr="001D2B74">
              <w:rPr>
                <w:sz w:val="20"/>
              </w:rPr>
              <w:t xml:space="preserve"> </w:t>
            </w:r>
            <w:r w:rsidRPr="001D2B74">
              <w:rPr>
                <w:rFonts w:ascii="Sylfaen" w:hAnsi="Sylfaen" w:cs="Sylfaen"/>
                <w:sz w:val="20"/>
              </w:rPr>
              <w:t>დასაშვები</w:t>
            </w:r>
            <w:r w:rsidRPr="001D2B74">
              <w:rPr>
                <w:sz w:val="20"/>
              </w:rPr>
              <w:t xml:space="preserve"> </w:t>
            </w:r>
            <w:r w:rsidRPr="001D2B74">
              <w:rPr>
                <w:rFonts w:ascii="Sylfaen" w:hAnsi="Sylfaen" w:cs="Sylfaen"/>
                <w:sz w:val="20"/>
              </w:rPr>
              <w:t>კონცენტრაცია</w:t>
            </w:r>
          </w:p>
        </w:tc>
      </w:tr>
      <w:tr w:rsidR="00D848EC" w:rsidRPr="001D2B74" w14:paraId="079F9E65" w14:textId="77777777" w:rsidTr="00D848EC">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5ED0B43E" w14:textId="77777777" w:rsidR="00D848EC" w:rsidRPr="001D2B74" w:rsidRDefault="00D848EC" w:rsidP="00D848EC">
            <w:pPr>
              <w:rPr>
                <w:sz w:val="20"/>
              </w:rPr>
            </w:pPr>
            <w:r w:rsidRPr="001D2B74">
              <w:rPr>
                <w:rFonts w:ascii="Sylfaen" w:hAnsi="Sylfaen" w:cs="Sylfaen"/>
                <w:sz w:val="20"/>
              </w:rPr>
              <w:t>ზედაპირული</w:t>
            </w:r>
            <w:r w:rsidRPr="001D2B74">
              <w:rPr>
                <w:sz w:val="20"/>
              </w:rPr>
              <w:t xml:space="preserve"> </w:t>
            </w:r>
            <w:r w:rsidRPr="001D2B74">
              <w:rPr>
                <w:rFonts w:ascii="Sylfaen" w:hAnsi="Sylfaen" w:cs="Sylfaen"/>
                <w:sz w:val="20"/>
              </w:rPr>
              <w:t>წყალი</w:t>
            </w:r>
          </w:p>
        </w:tc>
      </w:tr>
      <w:tr w:rsidR="00D848EC" w:rsidRPr="001D2B74" w14:paraId="1847641C"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118C4370" w14:textId="77777777" w:rsidR="00D848EC" w:rsidRPr="001D2B74" w:rsidRDefault="00D848EC" w:rsidP="00D848EC">
            <w:pPr>
              <w:rPr>
                <w:sz w:val="20"/>
              </w:rPr>
            </w:pPr>
          </w:p>
        </w:tc>
        <w:tc>
          <w:tcPr>
            <w:tcW w:w="2195" w:type="pct"/>
            <w:tcBorders>
              <w:top w:val="single" w:sz="4" w:space="0" w:color="auto"/>
              <w:left w:val="single" w:sz="4" w:space="0" w:color="auto"/>
              <w:bottom w:val="single" w:sz="4" w:space="0" w:color="auto"/>
              <w:right w:val="single" w:sz="4" w:space="0" w:color="auto"/>
            </w:tcBorders>
            <w:hideMark/>
          </w:tcPr>
          <w:p w14:paraId="4D03E2BF" w14:textId="77777777" w:rsidR="00D848EC" w:rsidRPr="001D2B74" w:rsidRDefault="00D848EC" w:rsidP="00D848EC">
            <w:pPr>
              <w:rPr>
                <w:sz w:val="20"/>
              </w:rPr>
            </w:pPr>
            <w:r w:rsidRPr="001D2B74">
              <w:rPr>
                <w:sz w:val="20"/>
              </w:rPr>
              <w:t>pH</w:t>
            </w:r>
          </w:p>
        </w:tc>
        <w:tc>
          <w:tcPr>
            <w:tcW w:w="2372" w:type="pct"/>
            <w:tcBorders>
              <w:top w:val="single" w:sz="4" w:space="0" w:color="auto"/>
              <w:left w:val="single" w:sz="4" w:space="0" w:color="auto"/>
              <w:bottom w:val="single" w:sz="4" w:space="0" w:color="auto"/>
              <w:right w:val="single" w:sz="4" w:space="0" w:color="auto"/>
            </w:tcBorders>
            <w:hideMark/>
          </w:tcPr>
          <w:p w14:paraId="291EA908" w14:textId="77777777" w:rsidR="00D848EC" w:rsidRPr="001D2B74" w:rsidRDefault="00D848EC" w:rsidP="00D848EC">
            <w:pPr>
              <w:rPr>
                <w:sz w:val="20"/>
              </w:rPr>
            </w:pPr>
            <w:r w:rsidRPr="001D2B74">
              <w:rPr>
                <w:sz w:val="20"/>
              </w:rPr>
              <w:t>6.5-8.5</w:t>
            </w:r>
          </w:p>
        </w:tc>
      </w:tr>
      <w:tr w:rsidR="00D848EC" w:rsidRPr="001D2B74" w14:paraId="7A72E779"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05D8559A" w14:textId="77777777" w:rsidR="00D848EC" w:rsidRPr="001D2B74" w:rsidRDefault="00D848EC" w:rsidP="00D848EC">
            <w:pPr>
              <w:rPr>
                <w:sz w:val="20"/>
              </w:rPr>
            </w:pPr>
          </w:p>
        </w:tc>
        <w:tc>
          <w:tcPr>
            <w:tcW w:w="2195" w:type="pct"/>
            <w:tcBorders>
              <w:top w:val="single" w:sz="4" w:space="0" w:color="auto"/>
              <w:left w:val="single" w:sz="4" w:space="0" w:color="auto"/>
              <w:bottom w:val="single" w:sz="4" w:space="0" w:color="auto"/>
              <w:right w:val="single" w:sz="4" w:space="0" w:color="auto"/>
            </w:tcBorders>
            <w:vAlign w:val="bottom"/>
            <w:hideMark/>
          </w:tcPr>
          <w:p w14:paraId="575896BD" w14:textId="77777777" w:rsidR="00D848EC" w:rsidRPr="001D2B74" w:rsidRDefault="00D848EC" w:rsidP="00D848EC">
            <w:pPr>
              <w:rPr>
                <w:sz w:val="20"/>
              </w:rPr>
            </w:pPr>
            <w:r w:rsidRPr="001D2B74">
              <w:rPr>
                <w:rFonts w:ascii="Sylfaen" w:eastAsia="Calibri" w:hAnsi="Sylfaen" w:cs="Sylfaen"/>
                <w:sz w:val="20"/>
              </w:rPr>
              <w:t>გახსნილი</w:t>
            </w:r>
            <w:r w:rsidRPr="001D2B74">
              <w:rPr>
                <w:rFonts w:eastAsia="Calibri"/>
                <w:sz w:val="20"/>
              </w:rPr>
              <w:t xml:space="preserve"> </w:t>
            </w:r>
            <w:r w:rsidRPr="001D2B74">
              <w:rPr>
                <w:rFonts w:ascii="Sylfaen" w:eastAsia="Calibri" w:hAnsi="Sylfaen" w:cs="Sylfaen"/>
                <w:sz w:val="20"/>
              </w:rPr>
              <w:t>ჟანგბადი</w:t>
            </w:r>
            <w:r w:rsidRPr="001D2B74">
              <w:rPr>
                <w:rFonts w:eastAsia="Calibri"/>
                <w:sz w:val="20"/>
              </w:rPr>
              <w:t xml:space="preserve">, </w:t>
            </w:r>
            <w:r w:rsidRPr="001D2B74">
              <w:rPr>
                <w:rFonts w:ascii="Sylfaen" w:eastAsia="Calibri" w:hAnsi="Sylfaen" w:cs="Sylfaen"/>
                <w:sz w:val="20"/>
              </w:rPr>
              <w:t>მგ</w:t>
            </w:r>
            <w:r w:rsidRPr="001D2B74">
              <w:rPr>
                <w:rFonts w:eastAsia="Calibri"/>
                <w:sz w:val="20"/>
              </w:rPr>
              <w:t>/</w:t>
            </w:r>
            <w:r w:rsidRPr="001D2B74">
              <w:rPr>
                <w:rFonts w:ascii="Sylfaen" w:eastAsia="Calibri" w:hAnsi="Sylfaen" w:cs="Sylfaen"/>
                <w:sz w:val="20"/>
              </w:rPr>
              <w:t>ლ</w:t>
            </w:r>
          </w:p>
        </w:tc>
        <w:tc>
          <w:tcPr>
            <w:tcW w:w="2372" w:type="pct"/>
            <w:tcBorders>
              <w:top w:val="single" w:sz="4" w:space="0" w:color="auto"/>
              <w:left w:val="single" w:sz="4" w:space="0" w:color="auto"/>
              <w:bottom w:val="single" w:sz="4" w:space="0" w:color="auto"/>
              <w:right w:val="single" w:sz="4" w:space="0" w:color="auto"/>
            </w:tcBorders>
            <w:hideMark/>
          </w:tcPr>
          <w:p w14:paraId="7C9BA76C" w14:textId="77777777" w:rsidR="00D848EC" w:rsidRPr="001D2B74" w:rsidRDefault="00D848EC" w:rsidP="00D848EC">
            <w:pPr>
              <w:rPr>
                <w:rFonts w:eastAsia="Calibri"/>
                <w:sz w:val="20"/>
              </w:rPr>
            </w:pPr>
            <w:r w:rsidRPr="001D2B74">
              <w:rPr>
                <w:sz w:val="20"/>
              </w:rPr>
              <w:t>4 – 6</w:t>
            </w:r>
          </w:p>
        </w:tc>
      </w:tr>
      <w:tr w:rsidR="00D848EC" w:rsidRPr="001D2B74" w14:paraId="46E0D06F"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2526F5EF" w14:textId="77777777" w:rsidR="00D848EC" w:rsidRPr="001D2B74" w:rsidRDefault="00D848EC" w:rsidP="00D848EC">
            <w:pPr>
              <w:rPr>
                <w:sz w:val="20"/>
              </w:rPr>
            </w:pPr>
          </w:p>
        </w:tc>
        <w:tc>
          <w:tcPr>
            <w:tcW w:w="2195" w:type="pct"/>
            <w:tcBorders>
              <w:top w:val="single" w:sz="4" w:space="0" w:color="auto"/>
              <w:left w:val="single" w:sz="4" w:space="0" w:color="auto"/>
              <w:bottom w:val="single" w:sz="4" w:space="0" w:color="auto"/>
              <w:right w:val="single" w:sz="4" w:space="0" w:color="auto"/>
            </w:tcBorders>
            <w:vAlign w:val="bottom"/>
            <w:hideMark/>
          </w:tcPr>
          <w:p w14:paraId="62B597BB" w14:textId="77777777" w:rsidR="00D848EC" w:rsidRPr="001D2B74" w:rsidRDefault="00D848EC" w:rsidP="00D848EC">
            <w:pPr>
              <w:rPr>
                <w:sz w:val="20"/>
              </w:rPr>
            </w:pPr>
            <w:r w:rsidRPr="001D2B74">
              <w:rPr>
                <w:rFonts w:ascii="Sylfaen" w:eastAsia="Calibri" w:hAnsi="Sylfaen" w:cs="Sylfaen"/>
                <w:sz w:val="20"/>
              </w:rPr>
              <w:t>ნახშირწყალბადები</w:t>
            </w:r>
            <w:r w:rsidRPr="001D2B74">
              <w:rPr>
                <w:rFonts w:eastAsia="Calibri"/>
                <w:sz w:val="20"/>
              </w:rPr>
              <w:t xml:space="preserve">, </w:t>
            </w:r>
            <w:r w:rsidRPr="001D2B74">
              <w:rPr>
                <w:rFonts w:ascii="Sylfaen" w:eastAsia="Calibri" w:hAnsi="Sylfaen" w:cs="Sylfaen"/>
                <w:sz w:val="20"/>
              </w:rPr>
              <w:t>მგ</w:t>
            </w:r>
            <w:r w:rsidRPr="001D2B74">
              <w:rPr>
                <w:rFonts w:eastAsia="Calibri"/>
                <w:sz w:val="20"/>
              </w:rPr>
              <w:t>/</w:t>
            </w:r>
            <w:r w:rsidRPr="001D2B74">
              <w:rPr>
                <w:rFonts w:ascii="Sylfaen" w:eastAsia="Calibri" w:hAnsi="Sylfaen" w:cs="Sylfaen"/>
                <w:sz w:val="20"/>
              </w:rPr>
              <w:t>ლ</w:t>
            </w:r>
          </w:p>
        </w:tc>
        <w:tc>
          <w:tcPr>
            <w:tcW w:w="2372" w:type="pct"/>
            <w:tcBorders>
              <w:top w:val="single" w:sz="4" w:space="0" w:color="auto"/>
              <w:left w:val="single" w:sz="4" w:space="0" w:color="auto"/>
              <w:bottom w:val="single" w:sz="4" w:space="0" w:color="auto"/>
              <w:right w:val="single" w:sz="4" w:space="0" w:color="auto"/>
            </w:tcBorders>
          </w:tcPr>
          <w:p w14:paraId="6B8ACCD4" w14:textId="77777777" w:rsidR="00D848EC" w:rsidRPr="001D2B74" w:rsidRDefault="00D848EC" w:rsidP="00D848EC">
            <w:pPr>
              <w:rPr>
                <w:rFonts w:eastAsia="Calibri"/>
                <w:sz w:val="20"/>
              </w:rPr>
            </w:pPr>
          </w:p>
        </w:tc>
      </w:tr>
      <w:tr w:rsidR="00D848EC" w:rsidRPr="001D2B74" w14:paraId="321992F7"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39A9100F" w14:textId="77777777" w:rsidR="00D848EC" w:rsidRPr="001D2B74" w:rsidRDefault="00D848EC" w:rsidP="00D848EC">
            <w:pPr>
              <w:rPr>
                <w:sz w:val="20"/>
              </w:rPr>
            </w:pPr>
          </w:p>
        </w:tc>
        <w:tc>
          <w:tcPr>
            <w:tcW w:w="2195" w:type="pct"/>
            <w:tcBorders>
              <w:top w:val="single" w:sz="4" w:space="0" w:color="auto"/>
              <w:left w:val="single" w:sz="4" w:space="0" w:color="auto"/>
              <w:bottom w:val="single" w:sz="4" w:space="0" w:color="auto"/>
              <w:right w:val="single" w:sz="4" w:space="0" w:color="auto"/>
            </w:tcBorders>
            <w:vAlign w:val="bottom"/>
            <w:hideMark/>
          </w:tcPr>
          <w:p w14:paraId="25D9F235" w14:textId="77777777" w:rsidR="00D848EC" w:rsidRPr="001D2B74" w:rsidRDefault="00D848EC" w:rsidP="00D848EC">
            <w:pPr>
              <w:rPr>
                <w:sz w:val="20"/>
              </w:rPr>
            </w:pPr>
            <w:r w:rsidRPr="001D2B74">
              <w:rPr>
                <w:rFonts w:eastAsia="Calibri"/>
                <w:sz w:val="20"/>
              </w:rPr>
              <w:t xml:space="preserve">TDS, </w:t>
            </w:r>
            <w:r w:rsidRPr="001D2B74">
              <w:rPr>
                <w:rFonts w:ascii="Sylfaen" w:eastAsia="Calibri" w:hAnsi="Sylfaen" w:cs="Sylfaen"/>
                <w:sz w:val="20"/>
              </w:rPr>
              <w:t>მგ</w:t>
            </w:r>
            <w:r w:rsidRPr="001D2B74">
              <w:rPr>
                <w:rFonts w:eastAsia="Calibri"/>
                <w:sz w:val="20"/>
              </w:rPr>
              <w:t>/</w:t>
            </w:r>
            <w:r w:rsidRPr="001D2B74">
              <w:rPr>
                <w:rFonts w:ascii="Sylfaen" w:eastAsia="Calibri" w:hAnsi="Sylfaen" w:cs="Sylfaen"/>
                <w:sz w:val="20"/>
              </w:rPr>
              <w:t>ლ</w:t>
            </w:r>
          </w:p>
        </w:tc>
        <w:tc>
          <w:tcPr>
            <w:tcW w:w="2372" w:type="pct"/>
            <w:tcBorders>
              <w:top w:val="single" w:sz="4" w:space="0" w:color="auto"/>
              <w:left w:val="single" w:sz="4" w:space="0" w:color="auto"/>
              <w:bottom w:val="single" w:sz="4" w:space="0" w:color="auto"/>
              <w:right w:val="single" w:sz="4" w:space="0" w:color="auto"/>
            </w:tcBorders>
          </w:tcPr>
          <w:p w14:paraId="352D9E2A" w14:textId="77777777" w:rsidR="00D848EC" w:rsidRPr="001D2B74" w:rsidRDefault="00D848EC" w:rsidP="00D848EC">
            <w:pPr>
              <w:rPr>
                <w:rFonts w:eastAsia="Calibri"/>
                <w:sz w:val="20"/>
              </w:rPr>
            </w:pPr>
          </w:p>
        </w:tc>
      </w:tr>
      <w:tr w:rsidR="00D848EC" w:rsidRPr="001D2B74" w14:paraId="4DBE42DA"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1A27E22D" w14:textId="77777777" w:rsidR="00D848EC" w:rsidRPr="001D2B74" w:rsidRDefault="00D848EC" w:rsidP="00D848EC">
            <w:pPr>
              <w:rPr>
                <w:sz w:val="20"/>
              </w:rPr>
            </w:pPr>
          </w:p>
        </w:tc>
        <w:tc>
          <w:tcPr>
            <w:tcW w:w="2195" w:type="pct"/>
            <w:tcBorders>
              <w:top w:val="single" w:sz="4" w:space="0" w:color="auto"/>
              <w:left w:val="single" w:sz="4" w:space="0" w:color="auto"/>
              <w:bottom w:val="single" w:sz="4" w:space="0" w:color="auto"/>
              <w:right w:val="single" w:sz="4" w:space="0" w:color="auto"/>
            </w:tcBorders>
            <w:vAlign w:val="bottom"/>
            <w:hideMark/>
          </w:tcPr>
          <w:p w14:paraId="071CA707" w14:textId="77777777" w:rsidR="00D848EC" w:rsidRPr="001D2B74" w:rsidRDefault="00D848EC" w:rsidP="00D848EC">
            <w:pPr>
              <w:rPr>
                <w:sz w:val="20"/>
              </w:rPr>
            </w:pPr>
            <w:r w:rsidRPr="001D2B74">
              <w:rPr>
                <w:rFonts w:ascii="Sylfaen" w:eastAsia="Calibri" w:hAnsi="Sylfaen" w:cs="Sylfaen"/>
                <w:sz w:val="20"/>
              </w:rPr>
              <w:t>ჯამური</w:t>
            </w:r>
            <w:r w:rsidRPr="001D2B74">
              <w:rPr>
                <w:rFonts w:eastAsia="Calibri"/>
                <w:sz w:val="20"/>
              </w:rPr>
              <w:t xml:space="preserve"> </w:t>
            </w:r>
            <w:r w:rsidRPr="001D2B74">
              <w:rPr>
                <w:rFonts w:ascii="Sylfaen" w:eastAsia="Calibri" w:hAnsi="Sylfaen" w:cs="Sylfaen"/>
                <w:sz w:val="20"/>
              </w:rPr>
              <w:t>აზოტი</w:t>
            </w:r>
            <w:r w:rsidRPr="001D2B74">
              <w:rPr>
                <w:rFonts w:eastAsia="Calibri"/>
                <w:sz w:val="20"/>
              </w:rPr>
              <w:t xml:space="preserve">, </w:t>
            </w:r>
            <w:r w:rsidRPr="001D2B74">
              <w:rPr>
                <w:rFonts w:ascii="Sylfaen" w:eastAsia="Calibri" w:hAnsi="Sylfaen" w:cs="Sylfaen"/>
                <w:sz w:val="20"/>
              </w:rPr>
              <w:t>მგ</w:t>
            </w:r>
            <w:r w:rsidRPr="001D2B74">
              <w:rPr>
                <w:rFonts w:eastAsia="Calibri"/>
                <w:sz w:val="20"/>
              </w:rPr>
              <w:t>/</w:t>
            </w:r>
            <w:r w:rsidRPr="001D2B74">
              <w:rPr>
                <w:rFonts w:ascii="Sylfaen" w:eastAsia="Calibri" w:hAnsi="Sylfaen" w:cs="Sylfaen"/>
                <w:sz w:val="20"/>
              </w:rPr>
              <w:t>ლ</w:t>
            </w:r>
          </w:p>
        </w:tc>
        <w:tc>
          <w:tcPr>
            <w:tcW w:w="2372" w:type="pct"/>
            <w:tcBorders>
              <w:top w:val="single" w:sz="4" w:space="0" w:color="auto"/>
              <w:left w:val="single" w:sz="4" w:space="0" w:color="auto"/>
              <w:bottom w:val="single" w:sz="4" w:space="0" w:color="auto"/>
              <w:right w:val="single" w:sz="4" w:space="0" w:color="auto"/>
            </w:tcBorders>
          </w:tcPr>
          <w:p w14:paraId="71406060" w14:textId="77777777" w:rsidR="00D848EC" w:rsidRPr="001D2B74" w:rsidRDefault="00D848EC" w:rsidP="00D848EC">
            <w:pPr>
              <w:rPr>
                <w:rFonts w:eastAsia="Calibri"/>
                <w:sz w:val="20"/>
              </w:rPr>
            </w:pPr>
          </w:p>
        </w:tc>
      </w:tr>
      <w:tr w:rsidR="00D848EC" w:rsidRPr="001D2B74" w14:paraId="5E4397FE"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17178854" w14:textId="77777777" w:rsidR="00D848EC" w:rsidRPr="001D2B74" w:rsidRDefault="00D848EC" w:rsidP="00D848EC">
            <w:pPr>
              <w:rPr>
                <w:sz w:val="20"/>
              </w:rPr>
            </w:pPr>
          </w:p>
        </w:tc>
        <w:tc>
          <w:tcPr>
            <w:tcW w:w="2195" w:type="pct"/>
            <w:tcBorders>
              <w:top w:val="single" w:sz="4" w:space="0" w:color="auto"/>
              <w:left w:val="single" w:sz="4" w:space="0" w:color="auto"/>
              <w:bottom w:val="single" w:sz="4" w:space="0" w:color="auto"/>
              <w:right w:val="single" w:sz="4" w:space="0" w:color="auto"/>
            </w:tcBorders>
            <w:vAlign w:val="bottom"/>
            <w:hideMark/>
          </w:tcPr>
          <w:p w14:paraId="7CD5BDE7" w14:textId="77777777" w:rsidR="00D848EC" w:rsidRPr="001D2B74" w:rsidRDefault="00D848EC" w:rsidP="00D848EC">
            <w:pPr>
              <w:rPr>
                <w:sz w:val="20"/>
              </w:rPr>
            </w:pPr>
            <w:r w:rsidRPr="001D2B74">
              <w:rPr>
                <w:rFonts w:ascii="Sylfaen" w:eastAsia="Calibri" w:hAnsi="Sylfaen" w:cs="Sylfaen"/>
                <w:sz w:val="20"/>
              </w:rPr>
              <w:t>ჯამური</w:t>
            </w:r>
            <w:r w:rsidRPr="001D2B74">
              <w:rPr>
                <w:rFonts w:eastAsia="Calibri"/>
                <w:sz w:val="20"/>
              </w:rPr>
              <w:t xml:space="preserve"> </w:t>
            </w:r>
            <w:r w:rsidRPr="001D2B74">
              <w:rPr>
                <w:rFonts w:ascii="Sylfaen" w:eastAsia="Calibri" w:hAnsi="Sylfaen" w:cs="Sylfaen"/>
                <w:sz w:val="20"/>
              </w:rPr>
              <w:t>ფოსფატი</w:t>
            </w:r>
            <w:r w:rsidRPr="001D2B74">
              <w:rPr>
                <w:rFonts w:eastAsia="Calibri"/>
                <w:sz w:val="20"/>
              </w:rPr>
              <w:t xml:space="preserve">, </w:t>
            </w:r>
            <w:r w:rsidRPr="001D2B74">
              <w:rPr>
                <w:rFonts w:ascii="Sylfaen" w:eastAsia="Calibri" w:hAnsi="Sylfaen" w:cs="Sylfaen"/>
                <w:sz w:val="20"/>
              </w:rPr>
              <w:t>მგ</w:t>
            </w:r>
            <w:r w:rsidRPr="001D2B74">
              <w:rPr>
                <w:rFonts w:eastAsia="Calibri"/>
                <w:sz w:val="20"/>
              </w:rPr>
              <w:t>/</w:t>
            </w:r>
            <w:r w:rsidRPr="001D2B74">
              <w:rPr>
                <w:rFonts w:ascii="Sylfaen" w:eastAsia="Calibri" w:hAnsi="Sylfaen" w:cs="Sylfaen"/>
                <w:sz w:val="20"/>
              </w:rPr>
              <w:t>ლ</w:t>
            </w:r>
          </w:p>
        </w:tc>
        <w:tc>
          <w:tcPr>
            <w:tcW w:w="2372" w:type="pct"/>
            <w:tcBorders>
              <w:top w:val="single" w:sz="4" w:space="0" w:color="auto"/>
              <w:left w:val="single" w:sz="4" w:space="0" w:color="auto"/>
              <w:bottom w:val="single" w:sz="4" w:space="0" w:color="auto"/>
              <w:right w:val="single" w:sz="4" w:space="0" w:color="auto"/>
            </w:tcBorders>
          </w:tcPr>
          <w:p w14:paraId="2EE33A62" w14:textId="77777777" w:rsidR="00D848EC" w:rsidRPr="001D2B74" w:rsidRDefault="00D848EC" w:rsidP="00D848EC">
            <w:pPr>
              <w:rPr>
                <w:rFonts w:eastAsia="Calibri"/>
                <w:sz w:val="20"/>
              </w:rPr>
            </w:pPr>
          </w:p>
        </w:tc>
      </w:tr>
      <w:tr w:rsidR="00D848EC" w:rsidRPr="001D2B74" w14:paraId="56C9F9FA"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622AD5AB" w14:textId="77777777" w:rsidR="00D848EC" w:rsidRPr="001D2B74" w:rsidRDefault="00D848EC" w:rsidP="00D848EC">
            <w:pPr>
              <w:rPr>
                <w:sz w:val="20"/>
              </w:rPr>
            </w:pPr>
          </w:p>
        </w:tc>
        <w:tc>
          <w:tcPr>
            <w:tcW w:w="2195" w:type="pct"/>
            <w:tcBorders>
              <w:top w:val="single" w:sz="4" w:space="0" w:color="auto"/>
              <w:left w:val="single" w:sz="4" w:space="0" w:color="auto"/>
              <w:bottom w:val="single" w:sz="4" w:space="0" w:color="auto"/>
              <w:right w:val="single" w:sz="4" w:space="0" w:color="auto"/>
            </w:tcBorders>
            <w:vAlign w:val="bottom"/>
            <w:hideMark/>
          </w:tcPr>
          <w:p w14:paraId="2053FEA1" w14:textId="77777777" w:rsidR="00D848EC" w:rsidRPr="001D2B74" w:rsidRDefault="00D848EC" w:rsidP="00D848EC">
            <w:pPr>
              <w:rPr>
                <w:sz w:val="20"/>
              </w:rPr>
            </w:pPr>
            <w:r w:rsidRPr="001D2B74">
              <w:rPr>
                <w:rFonts w:ascii="Sylfaen" w:eastAsia="Calibri" w:hAnsi="Sylfaen" w:cs="Sylfaen"/>
                <w:sz w:val="20"/>
              </w:rPr>
              <w:t>ქლორიდები</w:t>
            </w:r>
            <w:r w:rsidRPr="001D2B74">
              <w:rPr>
                <w:rFonts w:eastAsia="Calibri"/>
                <w:sz w:val="20"/>
              </w:rPr>
              <w:t xml:space="preserve">, </w:t>
            </w:r>
            <w:r w:rsidRPr="001D2B74">
              <w:rPr>
                <w:rFonts w:ascii="Sylfaen" w:eastAsia="Calibri" w:hAnsi="Sylfaen" w:cs="Sylfaen"/>
                <w:sz w:val="20"/>
              </w:rPr>
              <w:t>მგ</w:t>
            </w:r>
            <w:r w:rsidRPr="001D2B74">
              <w:rPr>
                <w:rFonts w:eastAsia="Calibri"/>
                <w:sz w:val="20"/>
              </w:rPr>
              <w:t>/</w:t>
            </w:r>
            <w:r w:rsidRPr="001D2B74">
              <w:rPr>
                <w:rFonts w:ascii="Sylfaen" w:eastAsia="Calibri" w:hAnsi="Sylfaen" w:cs="Sylfaen"/>
                <w:sz w:val="20"/>
              </w:rPr>
              <w:t>ლ</w:t>
            </w:r>
          </w:p>
        </w:tc>
        <w:tc>
          <w:tcPr>
            <w:tcW w:w="2372" w:type="pct"/>
            <w:tcBorders>
              <w:top w:val="single" w:sz="4" w:space="0" w:color="auto"/>
              <w:left w:val="single" w:sz="4" w:space="0" w:color="auto"/>
              <w:bottom w:val="single" w:sz="4" w:space="0" w:color="auto"/>
              <w:right w:val="single" w:sz="4" w:space="0" w:color="auto"/>
            </w:tcBorders>
            <w:hideMark/>
          </w:tcPr>
          <w:p w14:paraId="515C237B" w14:textId="77777777" w:rsidR="00D848EC" w:rsidRPr="001D2B74" w:rsidRDefault="00D848EC" w:rsidP="00D848EC">
            <w:pPr>
              <w:rPr>
                <w:rFonts w:eastAsia="Calibri"/>
                <w:sz w:val="20"/>
              </w:rPr>
            </w:pPr>
            <w:r w:rsidRPr="001D2B74">
              <w:rPr>
                <w:sz w:val="20"/>
              </w:rPr>
              <w:t>350</w:t>
            </w:r>
          </w:p>
        </w:tc>
      </w:tr>
      <w:tr w:rsidR="00D848EC" w:rsidRPr="001D2B74" w14:paraId="1A4E93F1"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1D87D2ED" w14:textId="77777777" w:rsidR="00D848EC" w:rsidRPr="001D2B74" w:rsidRDefault="00D848EC" w:rsidP="00D848EC">
            <w:pPr>
              <w:rPr>
                <w:sz w:val="20"/>
              </w:rPr>
            </w:pPr>
          </w:p>
        </w:tc>
        <w:tc>
          <w:tcPr>
            <w:tcW w:w="2195" w:type="pct"/>
            <w:tcBorders>
              <w:top w:val="single" w:sz="4" w:space="0" w:color="auto"/>
              <w:left w:val="single" w:sz="4" w:space="0" w:color="auto"/>
              <w:bottom w:val="single" w:sz="4" w:space="0" w:color="auto"/>
              <w:right w:val="single" w:sz="4" w:space="0" w:color="auto"/>
            </w:tcBorders>
            <w:vAlign w:val="bottom"/>
            <w:hideMark/>
          </w:tcPr>
          <w:p w14:paraId="7EB37F2C" w14:textId="77777777" w:rsidR="00D848EC" w:rsidRPr="001D2B74" w:rsidRDefault="00D848EC" w:rsidP="00D848EC">
            <w:pPr>
              <w:rPr>
                <w:sz w:val="20"/>
              </w:rPr>
            </w:pPr>
            <w:r w:rsidRPr="001D2B74">
              <w:rPr>
                <w:rFonts w:ascii="Sylfaen" w:eastAsia="Calibri" w:hAnsi="Sylfaen" w:cs="Sylfaen"/>
                <w:sz w:val="20"/>
              </w:rPr>
              <w:t>ნავთობპროდუქტები</w:t>
            </w:r>
            <w:r w:rsidRPr="001D2B74">
              <w:rPr>
                <w:rFonts w:eastAsia="Calibri"/>
                <w:sz w:val="20"/>
              </w:rPr>
              <w:t xml:space="preserve">, </w:t>
            </w:r>
            <w:r w:rsidRPr="001D2B74">
              <w:rPr>
                <w:rFonts w:ascii="Sylfaen" w:eastAsia="Calibri" w:hAnsi="Sylfaen" w:cs="Sylfaen"/>
                <w:sz w:val="20"/>
              </w:rPr>
              <w:t>მგ</w:t>
            </w:r>
            <w:r w:rsidRPr="001D2B74">
              <w:rPr>
                <w:rFonts w:eastAsia="Calibri"/>
                <w:sz w:val="20"/>
              </w:rPr>
              <w:t>/</w:t>
            </w:r>
            <w:r w:rsidRPr="001D2B74">
              <w:rPr>
                <w:rFonts w:ascii="Sylfaen" w:eastAsia="Calibri" w:hAnsi="Sylfaen" w:cs="Sylfaen"/>
                <w:sz w:val="20"/>
              </w:rPr>
              <w:t>ლ</w:t>
            </w:r>
          </w:p>
        </w:tc>
        <w:tc>
          <w:tcPr>
            <w:tcW w:w="2372" w:type="pct"/>
            <w:tcBorders>
              <w:top w:val="single" w:sz="4" w:space="0" w:color="auto"/>
              <w:left w:val="single" w:sz="4" w:space="0" w:color="auto"/>
              <w:bottom w:val="single" w:sz="4" w:space="0" w:color="auto"/>
              <w:right w:val="single" w:sz="4" w:space="0" w:color="auto"/>
            </w:tcBorders>
            <w:hideMark/>
          </w:tcPr>
          <w:p w14:paraId="4722BA36" w14:textId="77777777" w:rsidR="00D848EC" w:rsidRPr="001D2B74" w:rsidRDefault="00D848EC" w:rsidP="00D848EC">
            <w:pPr>
              <w:rPr>
                <w:rFonts w:eastAsia="Calibri"/>
                <w:sz w:val="20"/>
              </w:rPr>
            </w:pPr>
            <w:r w:rsidRPr="001D2B74">
              <w:rPr>
                <w:sz w:val="20"/>
              </w:rPr>
              <w:t>0.3</w:t>
            </w:r>
          </w:p>
        </w:tc>
      </w:tr>
      <w:tr w:rsidR="00D848EC" w:rsidRPr="001D2B74" w14:paraId="04AAC966"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538E54B9" w14:textId="77777777" w:rsidR="00D848EC" w:rsidRPr="001D2B74" w:rsidRDefault="00D848EC" w:rsidP="00D848EC">
            <w:pPr>
              <w:rPr>
                <w:sz w:val="20"/>
                <w:lang w:val="ka-GE"/>
              </w:rPr>
            </w:pPr>
          </w:p>
        </w:tc>
        <w:tc>
          <w:tcPr>
            <w:tcW w:w="2195" w:type="pct"/>
            <w:tcBorders>
              <w:top w:val="single" w:sz="4" w:space="0" w:color="auto"/>
              <w:left w:val="single" w:sz="4" w:space="0" w:color="auto"/>
              <w:bottom w:val="single" w:sz="4" w:space="0" w:color="auto"/>
              <w:right w:val="single" w:sz="4" w:space="0" w:color="auto"/>
            </w:tcBorders>
            <w:hideMark/>
          </w:tcPr>
          <w:p w14:paraId="165524B0" w14:textId="77777777" w:rsidR="00D848EC" w:rsidRPr="001D2B74" w:rsidRDefault="00D848EC" w:rsidP="00D848EC">
            <w:pPr>
              <w:rPr>
                <w:sz w:val="20"/>
              </w:rPr>
            </w:pPr>
            <w:r w:rsidRPr="001D2B74">
              <w:rPr>
                <w:rFonts w:ascii="Sylfaen" w:eastAsia="Calibri" w:hAnsi="Sylfaen" w:cs="Sylfaen"/>
                <w:sz w:val="20"/>
              </w:rPr>
              <w:t>თუთია</w:t>
            </w:r>
            <w:r w:rsidRPr="001D2B74">
              <w:rPr>
                <w:rFonts w:eastAsia="Calibri"/>
                <w:sz w:val="20"/>
              </w:rPr>
              <w:t xml:space="preserve"> (Zn2+)</w:t>
            </w:r>
          </w:p>
        </w:tc>
        <w:tc>
          <w:tcPr>
            <w:tcW w:w="2372" w:type="pct"/>
            <w:tcBorders>
              <w:top w:val="single" w:sz="4" w:space="0" w:color="auto"/>
              <w:left w:val="single" w:sz="4" w:space="0" w:color="auto"/>
              <w:bottom w:val="single" w:sz="4" w:space="0" w:color="auto"/>
              <w:right w:val="single" w:sz="4" w:space="0" w:color="auto"/>
            </w:tcBorders>
            <w:hideMark/>
          </w:tcPr>
          <w:p w14:paraId="5B6D217E" w14:textId="77777777" w:rsidR="00D848EC" w:rsidRPr="001D2B74" w:rsidRDefault="00D848EC" w:rsidP="00D848EC">
            <w:pPr>
              <w:rPr>
                <w:rFonts w:eastAsia="Calibri"/>
                <w:sz w:val="20"/>
              </w:rPr>
            </w:pPr>
            <w:r w:rsidRPr="001D2B74">
              <w:rPr>
                <w:sz w:val="20"/>
              </w:rPr>
              <w:t>1</w:t>
            </w:r>
            <w:r w:rsidRPr="001D2B74">
              <w:rPr>
                <w:rFonts w:ascii="Sylfaen" w:hAnsi="Sylfaen" w:cs="Sylfaen"/>
                <w:sz w:val="20"/>
              </w:rPr>
              <w:t>გ</w:t>
            </w:r>
            <w:r w:rsidRPr="001D2B74">
              <w:rPr>
                <w:sz w:val="20"/>
              </w:rPr>
              <w:t>/</w:t>
            </w:r>
            <w:r w:rsidRPr="001D2B74">
              <w:rPr>
                <w:rFonts w:ascii="Sylfaen" w:hAnsi="Sylfaen" w:cs="Sylfaen"/>
                <w:sz w:val="20"/>
              </w:rPr>
              <w:t>კგ</w:t>
            </w:r>
          </w:p>
        </w:tc>
      </w:tr>
      <w:tr w:rsidR="00D848EC" w:rsidRPr="001D2B74" w14:paraId="06D8A488"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26FD13BD" w14:textId="77777777" w:rsidR="00D848EC" w:rsidRPr="001D2B74" w:rsidRDefault="00D848EC" w:rsidP="00D848EC">
            <w:pPr>
              <w:rPr>
                <w:sz w:val="20"/>
                <w:lang w:val="ka-GE"/>
              </w:rPr>
            </w:pPr>
          </w:p>
        </w:tc>
        <w:tc>
          <w:tcPr>
            <w:tcW w:w="2195" w:type="pct"/>
            <w:tcBorders>
              <w:top w:val="single" w:sz="4" w:space="0" w:color="auto"/>
              <w:left w:val="single" w:sz="4" w:space="0" w:color="auto"/>
              <w:bottom w:val="single" w:sz="4" w:space="0" w:color="auto"/>
              <w:right w:val="single" w:sz="4" w:space="0" w:color="auto"/>
            </w:tcBorders>
            <w:hideMark/>
          </w:tcPr>
          <w:p w14:paraId="55EB10A7" w14:textId="77777777" w:rsidR="00D848EC" w:rsidRPr="001D2B74" w:rsidRDefault="00D848EC" w:rsidP="00D848EC">
            <w:pPr>
              <w:rPr>
                <w:sz w:val="20"/>
              </w:rPr>
            </w:pPr>
            <w:r w:rsidRPr="001D2B74">
              <w:rPr>
                <w:rFonts w:ascii="Sylfaen" w:eastAsia="Calibri" w:hAnsi="Sylfaen" w:cs="Sylfaen"/>
                <w:sz w:val="20"/>
              </w:rPr>
              <w:t>თუთია</w:t>
            </w:r>
            <w:r w:rsidRPr="001D2B74">
              <w:rPr>
                <w:rFonts w:eastAsia="Calibri"/>
                <w:sz w:val="20"/>
              </w:rPr>
              <w:t xml:space="preserve"> (Pb total)</w:t>
            </w:r>
          </w:p>
        </w:tc>
        <w:tc>
          <w:tcPr>
            <w:tcW w:w="2372" w:type="pct"/>
            <w:tcBorders>
              <w:top w:val="single" w:sz="4" w:space="0" w:color="auto"/>
              <w:left w:val="single" w:sz="4" w:space="0" w:color="auto"/>
              <w:bottom w:val="single" w:sz="4" w:space="0" w:color="auto"/>
              <w:right w:val="single" w:sz="4" w:space="0" w:color="auto"/>
            </w:tcBorders>
            <w:hideMark/>
          </w:tcPr>
          <w:p w14:paraId="35EAAC16" w14:textId="77777777" w:rsidR="00D848EC" w:rsidRPr="001D2B74" w:rsidRDefault="00D848EC" w:rsidP="00D848EC">
            <w:pPr>
              <w:rPr>
                <w:rFonts w:eastAsia="Calibri"/>
                <w:sz w:val="20"/>
              </w:rPr>
            </w:pPr>
            <w:r w:rsidRPr="001D2B74">
              <w:rPr>
                <w:sz w:val="20"/>
              </w:rPr>
              <w:t>23,0</w:t>
            </w:r>
          </w:p>
        </w:tc>
      </w:tr>
      <w:tr w:rsidR="00D848EC" w:rsidRPr="001D2B74" w14:paraId="6C0B69E0"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402CB565" w14:textId="77777777" w:rsidR="00D848EC" w:rsidRPr="001D2B74" w:rsidRDefault="00D848EC" w:rsidP="00D848EC">
            <w:pPr>
              <w:rPr>
                <w:sz w:val="20"/>
                <w:lang w:val="ka-GE"/>
              </w:rPr>
            </w:pPr>
          </w:p>
        </w:tc>
        <w:tc>
          <w:tcPr>
            <w:tcW w:w="2195" w:type="pct"/>
            <w:tcBorders>
              <w:top w:val="single" w:sz="4" w:space="0" w:color="auto"/>
              <w:left w:val="single" w:sz="4" w:space="0" w:color="auto"/>
              <w:bottom w:val="single" w:sz="4" w:space="0" w:color="auto"/>
              <w:right w:val="single" w:sz="4" w:space="0" w:color="auto"/>
            </w:tcBorders>
            <w:hideMark/>
          </w:tcPr>
          <w:p w14:paraId="0E37C22E" w14:textId="77777777" w:rsidR="00D848EC" w:rsidRPr="001D2B74" w:rsidRDefault="00D848EC" w:rsidP="00D848EC">
            <w:pPr>
              <w:rPr>
                <w:sz w:val="20"/>
              </w:rPr>
            </w:pPr>
            <w:r w:rsidRPr="001D2B74">
              <w:rPr>
                <w:rFonts w:ascii="Sylfaen" w:eastAsia="Calibri" w:hAnsi="Sylfaen" w:cs="Sylfaen"/>
                <w:sz w:val="20"/>
              </w:rPr>
              <w:t>ქრომი</w:t>
            </w:r>
            <w:r w:rsidRPr="001D2B74">
              <w:rPr>
                <w:rFonts w:eastAsia="Calibri"/>
                <w:sz w:val="20"/>
              </w:rPr>
              <w:t xml:space="preserve"> (Cr6+)</w:t>
            </w:r>
          </w:p>
        </w:tc>
        <w:tc>
          <w:tcPr>
            <w:tcW w:w="2372" w:type="pct"/>
            <w:tcBorders>
              <w:top w:val="single" w:sz="4" w:space="0" w:color="auto"/>
              <w:left w:val="single" w:sz="4" w:space="0" w:color="auto"/>
              <w:bottom w:val="single" w:sz="4" w:space="0" w:color="auto"/>
              <w:right w:val="single" w:sz="4" w:space="0" w:color="auto"/>
            </w:tcBorders>
            <w:hideMark/>
          </w:tcPr>
          <w:p w14:paraId="0C211410" w14:textId="77777777" w:rsidR="00D848EC" w:rsidRPr="001D2B74" w:rsidRDefault="00D848EC" w:rsidP="00D848EC">
            <w:pPr>
              <w:rPr>
                <w:rFonts w:eastAsia="Calibri"/>
                <w:sz w:val="20"/>
              </w:rPr>
            </w:pPr>
            <w:r w:rsidRPr="001D2B74">
              <w:rPr>
                <w:sz w:val="20"/>
              </w:rPr>
              <w:t>32,0</w:t>
            </w:r>
          </w:p>
        </w:tc>
      </w:tr>
      <w:tr w:rsidR="00D848EC" w:rsidRPr="001D2B74" w14:paraId="5C7E6808"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0CE99BD5" w14:textId="77777777" w:rsidR="00D848EC" w:rsidRPr="001D2B74" w:rsidRDefault="00D848EC" w:rsidP="00D848EC">
            <w:pPr>
              <w:rPr>
                <w:sz w:val="20"/>
                <w:lang w:val="ka-GE"/>
              </w:rPr>
            </w:pPr>
          </w:p>
        </w:tc>
        <w:tc>
          <w:tcPr>
            <w:tcW w:w="2195" w:type="pct"/>
            <w:tcBorders>
              <w:top w:val="single" w:sz="4" w:space="0" w:color="auto"/>
              <w:left w:val="single" w:sz="4" w:space="0" w:color="auto"/>
              <w:bottom w:val="single" w:sz="4" w:space="0" w:color="auto"/>
              <w:right w:val="single" w:sz="4" w:space="0" w:color="auto"/>
            </w:tcBorders>
            <w:hideMark/>
          </w:tcPr>
          <w:p w14:paraId="790BEBC1" w14:textId="77777777" w:rsidR="00D848EC" w:rsidRPr="001D2B74" w:rsidRDefault="00D848EC" w:rsidP="00D848EC">
            <w:pPr>
              <w:rPr>
                <w:sz w:val="20"/>
              </w:rPr>
            </w:pPr>
            <w:r w:rsidRPr="001D2B74">
              <w:rPr>
                <w:rFonts w:ascii="Sylfaen" w:eastAsia="Calibri" w:hAnsi="Sylfaen" w:cs="Sylfaen"/>
                <w:sz w:val="20"/>
              </w:rPr>
              <w:t>კადმიუმი</w:t>
            </w:r>
            <w:r w:rsidRPr="001D2B74">
              <w:rPr>
                <w:rFonts w:eastAsia="Calibri"/>
                <w:sz w:val="20"/>
              </w:rPr>
              <w:t xml:space="preserve"> (Cd, total)</w:t>
            </w:r>
          </w:p>
        </w:tc>
        <w:tc>
          <w:tcPr>
            <w:tcW w:w="2372" w:type="pct"/>
            <w:tcBorders>
              <w:top w:val="single" w:sz="4" w:space="0" w:color="auto"/>
              <w:left w:val="single" w:sz="4" w:space="0" w:color="auto"/>
              <w:bottom w:val="single" w:sz="4" w:space="0" w:color="auto"/>
              <w:right w:val="single" w:sz="4" w:space="0" w:color="auto"/>
            </w:tcBorders>
            <w:hideMark/>
          </w:tcPr>
          <w:p w14:paraId="59603FDA" w14:textId="77777777" w:rsidR="00D848EC" w:rsidRPr="001D2B74" w:rsidRDefault="00D848EC" w:rsidP="00D848EC">
            <w:pPr>
              <w:rPr>
                <w:rFonts w:eastAsia="Calibri"/>
                <w:sz w:val="20"/>
              </w:rPr>
            </w:pPr>
            <w:r w:rsidRPr="001D2B74">
              <w:rPr>
                <w:sz w:val="20"/>
              </w:rPr>
              <w:t>6,0</w:t>
            </w:r>
          </w:p>
        </w:tc>
      </w:tr>
      <w:tr w:rsidR="00D848EC" w:rsidRPr="001D2B74" w14:paraId="1399E0F1" w14:textId="77777777" w:rsidTr="00D848EC">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7869F2F0" w14:textId="77777777" w:rsidR="00D848EC" w:rsidRPr="001D2B74" w:rsidRDefault="00D848EC" w:rsidP="00D848EC">
            <w:pPr>
              <w:rPr>
                <w:sz w:val="20"/>
              </w:rPr>
            </w:pPr>
            <w:r w:rsidRPr="001D2B74">
              <w:rPr>
                <w:rFonts w:ascii="Sylfaen" w:eastAsia="Calibri" w:hAnsi="Sylfaen" w:cs="Sylfaen"/>
                <w:sz w:val="20"/>
              </w:rPr>
              <w:t>გრუნტის</w:t>
            </w:r>
            <w:r w:rsidRPr="001D2B74">
              <w:rPr>
                <w:rFonts w:eastAsia="Calibri"/>
                <w:sz w:val="20"/>
              </w:rPr>
              <w:t xml:space="preserve"> </w:t>
            </w:r>
            <w:r w:rsidRPr="001D2B74">
              <w:rPr>
                <w:rFonts w:ascii="Sylfaen" w:eastAsia="Calibri" w:hAnsi="Sylfaen" w:cs="Sylfaen"/>
                <w:sz w:val="20"/>
              </w:rPr>
              <w:t>წყალი</w:t>
            </w:r>
          </w:p>
        </w:tc>
      </w:tr>
      <w:tr w:rsidR="00D848EC" w:rsidRPr="001D2B74" w14:paraId="24ABD154"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11574BDB" w14:textId="77777777" w:rsidR="00D848EC" w:rsidRPr="001D2B74" w:rsidRDefault="00D848EC" w:rsidP="00D848EC">
            <w:pPr>
              <w:rPr>
                <w:rFonts w:eastAsia="Calibri"/>
                <w:sz w:val="20"/>
                <w:lang w:val="ka-GE"/>
              </w:rPr>
            </w:pPr>
          </w:p>
        </w:tc>
        <w:tc>
          <w:tcPr>
            <w:tcW w:w="2195" w:type="pct"/>
            <w:tcBorders>
              <w:top w:val="single" w:sz="4" w:space="0" w:color="auto"/>
              <w:left w:val="single" w:sz="4" w:space="0" w:color="auto"/>
              <w:bottom w:val="single" w:sz="4" w:space="0" w:color="auto"/>
              <w:right w:val="single" w:sz="4" w:space="0" w:color="auto"/>
            </w:tcBorders>
            <w:hideMark/>
          </w:tcPr>
          <w:p w14:paraId="5D05BCEA" w14:textId="77777777" w:rsidR="00D848EC" w:rsidRPr="001D2B74" w:rsidRDefault="00D848EC" w:rsidP="00D848EC">
            <w:pPr>
              <w:rPr>
                <w:sz w:val="20"/>
              </w:rPr>
            </w:pPr>
            <w:r w:rsidRPr="001D2B74">
              <w:rPr>
                <w:sz w:val="20"/>
              </w:rPr>
              <w:t xml:space="preserve">TDS, </w:t>
            </w:r>
            <w:r w:rsidRPr="001D2B74">
              <w:rPr>
                <w:rFonts w:ascii="Sylfaen" w:eastAsia="Calibri" w:hAnsi="Sylfaen" w:cs="Sylfaen"/>
                <w:sz w:val="20"/>
              </w:rPr>
              <w:t>მგ</w:t>
            </w:r>
            <w:r w:rsidRPr="001D2B74">
              <w:rPr>
                <w:rFonts w:eastAsia="Calibri"/>
                <w:sz w:val="20"/>
              </w:rPr>
              <w:t>/</w:t>
            </w:r>
            <w:r w:rsidRPr="001D2B74">
              <w:rPr>
                <w:rFonts w:ascii="Sylfaen" w:eastAsia="Calibri" w:hAnsi="Sylfaen" w:cs="Sylfaen"/>
                <w:sz w:val="20"/>
              </w:rPr>
              <w:t>ლ</w:t>
            </w:r>
          </w:p>
        </w:tc>
        <w:tc>
          <w:tcPr>
            <w:tcW w:w="2372" w:type="pct"/>
            <w:tcBorders>
              <w:top w:val="single" w:sz="4" w:space="0" w:color="auto"/>
              <w:left w:val="single" w:sz="4" w:space="0" w:color="auto"/>
              <w:bottom w:val="single" w:sz="4" w:space="0" w:color="auto"/>
              <w:right w:val="single" w:sz="4" w:space="0" w:color="auto"/>
            </w:tcBorders>
          </w:tcPr>
          <w:p w14:paraId="402D4B3A" w14:textId="77777777" w:rsidR="00D848EC" w:rsidRPr="001D2B74" w:rsidRDefault="00D848EC" w:rsidP="00D848EC">
            <w:pPr>
              <w:rPr>
                <w:sz w:val="20"/>
              </w:rPr>
            </w:pPr>
          </w:p>
        </w:tc>
      </w:tr>
      <w:tr w:rsidR="00D848EC" w:rsidRPr="001D2B74" w14:paraId="48A42E73"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6E8A5483" w14:textId="77777777" w:rsidR="00D848EC" w:rsidRPr="001D2B74" w:rsidRDefault="00D848EC" w:rsidP="00D848EC">
            <w:pPr>
              <w:rPr>
                <w:sz w:val="20"/>
                <w:lang w:val="ka-GE"/>
              </w:rPr>
            </w:pPr>
          </w:p>
        </w:tc>
        <w:tc>
          <w:tcPr>
            <w:tcW w:w="2195" w:type="pct"/>
            <w:tcBorders>
              <w:top w:val="single" w:sz="4" w:space="0" w:color="auto"/>
              <w:left w:val="single" w:sz="4" w:space="0" w:color="auto"/>
              <w:bottom w:val="single" w:sz="4" w:space="0" w:color="auto"/>
              <w:right w:val="single" w:sz="4" w:space="0" w:color="auto"/>
            </w:tcBorders>
            <w:hideMark/>
          </w:tcPr>
          <w:p w14:paraId="4BD90CFE" w14:textId="77777777" w:rsidR="00D848EC" w:rsidRPr="001D2B74" w:rsidRDefault="00D848EC" w:rsidP="00D848EC">
            <w:pPr>
              <w:rPr>
                <w:sz w:val="20"/>
              </w:rPr>
            </w:pPr>
            <w:r w:rsidRPr="001D2B74">
              <w:rPr>
                <w:rFonts w:ascii="Sylfaen" w:eastAsia="Calibri" w:hAnsi="Sylfaen" w:cs="Sylfaen"/>
                <w:sz w:val="20"/>
              </w:rPr>
              <w:t>სულფატები</w:t>
            </w:r>
            <w:r w:rsidRPr="001D2B74">
              <w:rPr>
                <w:rFonts w:eastAsia="Calibri"/>
                <w:sz w:val="20"/>
              </w:rPr>
              <w:t xml:space="preserve">, </w:t>
            </w:r>
            <w:r w:rsidRPr="001D2B74">
              <w:rPr>
                <w:rFonts w:ascii="Sylfaen" w:eastAsia="Calibri" w:hAnsi="Sylfaen" w:cs="Sylfaen"/>
                <w:sz w:val="20"/>
              </w:rPr>
              <w:t>მგ</w:t>
            </w:r>
            <w:r w:rsidRPr="001D2B74">
              <w:rPr>
                <w:rFonts w:eastAsia="Calibri"/>
                <w:sz w:val="20"/>
              </w:rPr>
              <w:t>/</w:t>
            </w:r>
            <w:r w:rsidRPr="001D2B74">
              <w:rPr>
                <w:rFonts w:ascii="Sylfaen" w:eastAsia="Calibri" w:hAnsi="Sylfaen" w:cs="Sylfaen"/>
                <w:sz w:val="20"/>
              </w:rPr>
              <w:t>ლ</w:t>
            </w:r>
          </w:p>
        </w:tc>
        <w:tc>
          <w:tcPr>
            <w:tcW w:w="2372" w:type="pct"/>
            <w:tcBorders>
              <w:top w:val="single" w:sz="4" w:space="0" w:color="auto"/>
              <w:left w:val="single" w:sz="4" w:space="0" w:color="auto"/>
              <w:bottom w:val="single" w:sz="4" w:space="0" w:color="auto"/>
              <w:right w:val="single" w:sz="4" w:space="0" w:color="auto"/>
            </w:tcBorders>
            <w:hideMark/>
          </w:tcPr>
          <w:p w14:paraId="60D43939" w14:textId="77777777" w:rsidR="00D848EC" w:rsidRPr="001D2B74" w:rsidRDefault="00D848EC" w:rsidP="00D848EC">
            <w:pPr>
              <w:rPr>
                <w:rFonts w:eastAsia="Calibri"/>
                <w:sz w:val="20"/>
              </w:rPr>
            </w:pPr>
            <w:r w:rsidRPr="001D2B74">
              <w:rPr>
                <w:sz w:val="20"/>
              </w:rPr>
              <w:t>250</w:t>
            </w:r>
          </w:p>
        </w:tc>
      </w:tr>
      <w:tr w:rsidR="00D848EC" w:rsidRPr="001D2B74" w14:paraId="455F3605"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5D96DD73" w14:textId="77777777" w:rsidR="00D848EC" w:rsidRPr="001D2B74" w:rsidRDefault="00D848EC" w:rsidP="00D848EC">
            <w:pPr>
              <w:rPr>
                <w:sz w:val="20"/>
                <w:lang w:val="ka-GE"/>
              </w:rPr>
            </w:pPr>
          </w:p>
        </w:tc>
        <w:tc>
          <w:tcPr>
            <w:tcW w:w="2195" w:type="pct"/>
            <w:tcBorders>
              <w:top w:val="single" w:sz="4" w:space="0" w:color="auto"/>
              <w:left w:val="single" w:sz="4" w:space="0" w:color="auto"/>
              <w:bottom w:val="single" w:sz="4" w:space="0" w:color="auto"/>
              <w:right w:val="single" w:sz="4" w:space="0" w:color="auto"/>
            </w:tcBorders>
            <w:hideMark/>
          </w:tcPr>
          <w:p w14:paraId="7FBA5F4A" w14:textId="77777777" w:rsidR="00D848EC" w:rsidRPr="001D2B74" w:rsidRDefault="00D848EC" w:rsidP="00D848EC">
            <w:pPr>
              <w:rPr>
                <w:sz w:val="20"/>
              </w:rPr>
            </w:pPr>
            <w:r w:rsidRPr="001D2B74">
              <w:rPr>
                <w:rFonts w:ascii="Sylfaen" w:eastAsia="Calibri" w:hAnsi="Sylfaen" w:cs="Sylfaen"/>
                <w:sz w:val="20"/>
              </w:rPr>
              <w:t>ქლორიდები</w:t>
            </w:r>
            <w:r w:rsidRPr="001D2B74">
              <w:rPr>
                <w:rFonts w:eastAsia="Calibri"/>
                <w:sz w:val="20"/>
              </w:rPr>
              <w:t xml:space="preserve">, </w:t>
            </w:r>
            <w:r w:rsidRPr="001D2B74">
              <w:rPr>
                <w:rFonts w:ascii="Sylfaen" w:eastAsia="Calibri" w:hAnsi="Sylfaen" w:cs="Sylfaen"/>
                <w:sz w:val="20"/>
              </w:rPr>
              <w:t>მგ</w:t>
            </w:r>
            <w:r w:rsidRPr="001D2B74">
              <w:rPr>
                <w:rFonts w:eastAsia="Calibri"/>
                <w:sz w:val="20"/>
              </w:rPr>
              <w:t>/</w:t>
            </w:r>
            <w:r w:rsidRPr="001D2B74">
              <w:rPr>
                <w:rFonts w:ascii="Sylfaen" w:eastAsia="Calibri" w:hAnsi="Sylfaen" w:cs="Sylfaen"/>
                <w:sz w:val="20"/>
              </w:rPr>
              <w:t>ლ</w:t>
            </w:r>
          </w:p>
        </w:tc>
        <w:tc>
          <w:tcPr>
            <w:tcW w:w="2372" w:type="pct"/>
            <w:tcBorders>
              <w:top w:val="single" w:sz="4" w:space="0" w:color="auto"/>
              <w:left w:val="single" w:sz="4" w:space="0" w:color="auto"/>
              <w:bottom w:val="single" w:sz="4" w:space="0" w:color="auto"/>
              <w:right w:val="single" w:sz="4" w:space="0" w:color="auto"/>
            </w:tcBorders>
            <w:hideMark/>
          </w:tcPr>
          <w:p w14:paraId="2BE683E8" w14:textId="77777777" w:rsidR="00D848EC" w:rsidRPr="001D2B74" w:rsidRDefault="00D848EC" w:rsidP="00D848EC">
            <w:pPr>
              <w:rPr>
                <w:rFonts w:eastAsia="Calibri"/>
                <w:sz w:val="20"/>
              </w:rPr>
            </w:pPr>
            <w:r w:rsidRPr="001D2B74">
              <w:rPr>
                <w:sz w:val="20"/>
              </w:rPr>
              <w:t>250</w:t>
            </w:r>
          </w:p>
        </w:tc>
      </w:tr>
      <w:tr w:rsidR="00D848EC" w:rsidRPr="001D2B74" w14:paraId="7C5B1E4E"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70A83661" w14:textId="77777777" w:rsidR="00D848EC" w:rsidRPr="001D2B74" w:rsidRDefault="00D848EC" w:rsidP="00D848EC">
            <w:pPr>
              <w:rPr>
                <w:sz w:val="20"/>
                <w:lang w:val="ka-GE"/>
              </w:rPr>
            </w:pPr>
          </w:p>
        </w:tc>
        <w:tc>
          <w:tcPr>
            <w:tcW w:w="2195" w:type="pct"/>
            <w:tcBorders>
              <w:top w:val="single" w:sz="4" w:space="0" w:color="auto"/>
              <w:left w:val="single" w:sz="4" w:space="0" w:color="auto"/>
              <w:bottom w:val="single" w:sz="4" w:space="0" w:color="auto"/>
              <w:right w:val="single" w:sz="4" w:space="0" w:color="auto"/>
            </w:tcBorders>
            <w:hideMark/>
          </w:tcPr>
          <w:p w14:paraId="003B1BE8" w14:textId="77777777" w:rsidR="00D848EC" w:rsidRPr="001D2B74" w:rsidRDefault="00D848EC" w:rsidP="00D848EC">
            <w:pPr>
              <w:rPr>
                <w:sz w:val="20"/>
              </w:rPr>
            </w:pPr>
            <w:r w:rsidRPr="001D2B74">
              <w:rPr>
                <w:rFonts w:ascii="Sylfaen" w:eastAsia="Calibri" w:hAnsi="Sylfaen" w:cs="Sylfaen"/>
                <w:sz w:val="20"/>
              </w:rPr>
              <w:t>ნახშირწყალბადები</w:t>
            </w:r>
            <w:r w:rsidRPr="001D2B74">
              <w:rPr>
                <w:rFonts w:eastAsia="Calibri"/>
                <w:sz w:val="20"/>
              </w:rPr>
              <w:t xml:space="preserve">, </w:t>
            </w:r>
            <w:r w:rsidRPr="001D2B74">
              <w:rPr>
                <w:rFonts w:ascii="Sylfaen" w:eastAsia="Calibri" w:hAnsi="Sylfaen" w:cs="Sylfaen"/>
                <w:sz w:val="20"/>
              </w:rPr>
              <w:t>მგ</w:t>
            </w:r>
            <w:r w:rsidRPr="001D2B74">
              <w:rPr>
                <w:rFonts w:eastAsia="Calibri"/>
                <w:sz w:val="20"/>
              </w:rPr>
              <w:t>/</w:t>
            </w:r>
            <w:r w:rsidRPr="001D2B74">
              <w:rPr>
                <w:rFonts w:ascii="Sylfaen" w:eastAsia="Calibri" w:hAnsi="Sylfaen" w:cs="Sylfaen"/>
                <w:sz w:val="20"/>
              </w:rPr>
              <w:t>ლ</w:t>
            </w:r>
          </w:p>
        </w:tc>
        <w:tc>
          <w:tcPr>
            <w:tcW w:w="2372" w:type="pct"/>
            <w:tcBorders>
              <w:top w:val="single" w:sz="4" w:space="0" w:color="auto"/>
              <w:left w:val="single" w:sz="4" w:space="0" w:color="auto"/>
              <w:bottom w:val="single" w:sz="4" w:space="0" w:color="auto"/>
              <w:right w:val="single" w:sz="4" w:space="0" w:color="auto"/>
            </w:tcBorders>
          </w:tcPr>
          <w:p w14:paraId="76AA3FB6" w14:textId="77777777" w:rsidR="00D848EC" w:rsidRPr="001D2B74" w:rsidRDefault="00D848EC" w:rsidP="00D848EC">
            <w:pPr>
              <w:rPr>
                <w:rFonts w:eastAsia="Calibri"/>
                <w:sz w:val="20"/>
              </w:rPr>
            </w:pPr>
          </w:p>
        </w:tc>
      </w:tr>
      <w:tr w:rsidR="00D848EC" w:rsidRPr="001D2B74" w14:paraId="70C7EE38"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4EA681DC" w14:textId="77777777" w:rsidR="00D848EC" w:rsidRPr="001D2B74" w:rsidRDefault="00D848EC" w:rsidP="00D848EC">
            <w:pPr>
              <w:rPr>
                <w:sz w:val="20"/>
                <w:lang w:val="ka-GE"/>
              </w:rPr>
            </w:pPr>
          </w:p>
        </w:tc>
        <w:tc>
          <w:tcPr>
            <w:tcW w:w="2195" w:type="pct"/>
            <w:tcBorders>
              <w:top w:val="single" w:sz="4" w:space="0" w:color="auto"/>
              <w:left w:val="single" w:sz="4" w:space="0" w:color="auto"/>
              <w:bottom w:val="single" w:sz="4" w:space="0" w:color="auto"/>
              <w:right w:val="single" w:sz="4" w:space="0" w:color="auto"/>
            </w:tcBorders>
            <w:hideMark/>
          </w:tcPr>
          <w:p w14:paraId="64D0A192" w14:textId="77777777" w:rsidR="00D848EC" w:rsidRPr="001D2B74" w:rsidRDefault="00D848EC" w:rsidP="00D848EC">
            <w:pPr>
              <w:rPr>
                <w:sz w:val="20"/>
              </w:rPr>
            </w:pPr>
            <w:r w:rsidRPr="001D2B74">
              <w:rPr>
                <w:rFonts w:ascii="Sylfaen" w:eastAsia="Calibri" w:hAnsi="Sylfaen" w:cs="Sylfaen"/>
                <w:sz w:val="20"/>
              </w:rPr>
              <w:t>ნატრიუმი</w:t>
            </w:r>
            <w:r w:rsidRPr="001D2B74">
              <w:rPr>
                <w:rFonts w:eastAsia="Calibri"/>
                <w:sz w:val="20"/>
              </w:rPr>
              <w:t xml:space="preserve">, </w:t>
            </w:r>
            <w:r w:rsidRPr="001D2B74">
              <w:rPr>
                <w:rFonts w:ascii="Sylfaen" w:eastAsia="Calibri" w:hAnsi="Sylfaen" w:cs="Sylfaen"/>
                <w:sz w:val="20"/>
              </w:rPr>
              <w:t>მგ</w:t>
            </w:r>
            <w:r w:rsidRPr="001D2B74">
              <w:rPr>
                <w:rFonts w:eastAsia="Calibri"/>
                <w:sz w:val="20"/>
              </w:rPr>
              <w:t>/</w:t>
            </w:r>
            <w:r w:rsidRPr="001D2B74">
              <w:rPr>
                <w:rFonts w:ascii="Sylfaen" w:eastAsia="Calibri" w:hAnsi="Sylfaen" w:cs="Sylfaen"/>
                <w:sz w:val="20"/>
              </w:rPr>
              <w:t>ლ</w:t>
            </w:r>
          </w:p>
        </w:tc>
        <w:tc>
          <w:tcPr>
            <w:tcW w:w="2372" w:type="pct"/>
            <w:tcBorders>
              <w:top w:val="single" w:sz="4" w:space="0" w:color="auto"/>
              <w:left w:val="single" w:sz="4" w:space="0" w:color="auto"/>
              <w:bottom w:val="single" w:sz="4" w:space="0" w:color="auto"/>
              <w:right w:val="single" w:sz="4" w:space="0" w:color="auto"/>
            </w:tcBorders>
            <w:hideMark/>
          </w:tcPr>
          <w:p w14:paraId="32D35746" w14:textId="77777777" w:rsidR="00D848EC" w:rsidRPr="001D2B74" w:rsidRDefault="00D848EC" w:rsidP="00D848EC">
            <w:pPr>
              <w:rPr>
                <w:rFonts w:eastAsia="Calibri"/>
                <w:sz w:val="20"/>
              </w:rPr>
            </w:pPr>
            <w:r w:rsidRPr="001D2B74">
              <w:rPr>
                <w:sz w:val="20"/>
              </w:rPr>
              <w:t>200</w:t>
            </w:r>
          </w:p>
        </w:tc>
      </w:tr>
      <w:tr w:rsidR="00D848EC" w:rsidRPr="001D2B74" w14:paraId="233D6E1B"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410AD9B9" w14:textId="77777777" w:rsidR="00D848EC" w:rsidRPr="001D2B74" w:rsidRDefault="00D848EC" w:rsidP="00D848EC">
            <w:pPr>
              <w:rPr>
                <w:sz w:val="20"/>
                <w:lang w:val="ka-GE"/>
              </w:rPr>
            </w:pPr>
          </w:p>
        </w:tc>
        <w:tc>
          <w:tcPr>
            <w:tcW w:w="2195" w:type="pct"/>
            <w:tcBorders>
              <w:top w:val="single" w:sz="4" w:space="0" w:color="auto"/>
              <w:left w:val="single" w:sz="4" w:space="0" w:color="auto"/>
              <w:bottom w:val="single" w:sz="4" w:space="0" w:color="auto"/>
              <w:right w:val="single" w:sz="4" w:space="0" w:color="auto"/>
            </w:tcBorders>
            <w:hideMark/>
          </w:tcPr>
          <w:p w14:paraId="584F5FF4" w14:textId="77777777" w:rsidR="00D848EC" w:rsidRPr="001D2B74" w:rsidRDefault="00D848EC" w:rsidP="00D848EC">
            <w:pPr>
              <w:rPr>
                <w:sz w:val="20"/>
              </w:rPr>
            </w:pPr>
            <w:r w:rsidRPr="001D2B74">
              <w:rPr>
                <w:rFonts w:ascii="Sylfaen" w:eastAsia="Calibri" w:hAnsi="Sylfaen" w:cs="Sylfaen"/>
                <w:sz w:val="20"/>
              </w:rPr>
              <w:t>კალციუმი</w:t>
            </w:r>
            <w:r w:rsidRPr="001D2B74">
              <w:rPr>
                <w:rFonts w:eastAsia="Calibri"/>
                <w:sz w:val="20"/>
              </w:rPr>
              <w:t xml:space="preserve">, </w:t>
            </w:r>
            <w:r w:rsidRPr="001D2B74">
              <w:rPr>
                <w:rFonts w:ascii="Sylfaen" w:eastAsia="Calibri" w:hAnsi="Sylfaen" w:cs="Sylfaen"/>
                <w:sz w:val="20"/>
              </w:rPr>
              <w:t>მგ</w:t>
            </w:r>
            <w:r w:rsidRPr="001D2B74">
              <w:rPr>
                <w:rFonts w:eastAsia="Calibri"/>
                <w:sz w:val="20"/>
              </w:rPr>
              <w:t>/</w:t>
            </w:r>
            <w:r w:rsidRPr="001D2B74">
              <w:rPr>
                <w:rFonts w:ascii="Sylfaen" w:eastAsia="Calibri" w:hAnsi="Sylfaen" w:cs="Sylfaen"/>
                <w:sz w:val="20"/>
              </w:rPr>
              <w:t>ლ</w:t>
            </w:r>
          </w:p>
        </w:tc>
        <w:tc>
          <w:tcPr>
            <w:tcW w:w="2372" w:type="pct"/>
            <w:tcBorders>
              <w:top w:val="single" w:sz="4" w:space="0" w:color="auto"/>
              <w:left w:val="single" w:sz="4" w:space="0" w:color="auto"/>
              <w:bottom w:val="single" w:sz="4" w:space="0" w:color="auto"/>
              <w:right w:val="single" w:sz="4" w:space="0" w:color="auto"/>
            </w:tcBorders>
            <w:hideMark/>
          </w:tcPr>
          <w:p w14:paraId="7820F3FF" w14:textId="77777777" w:rsidR="00D848EC" w:rsidRPr="001D2B74" w:rsidRDefault="00D848EC" w:rsidP="00D848EC">
            <w:pPr>
              <w:rPr>
                <w:rFonts w:eastAsia="Calibri"/>
                <w:sz w:val="20"/>
              </w:rPr>
            </w:pPr>
            <w:r w:rsidRPr="001D2B74">
              <w:rPr>
                <w:sz w:val="20"/>
              </w:rPr>
              <w:t>140</w:t>
            </w:r>
          </w:p>
        </w:tc>
      </w:tr>
      <w:tr w:rsidR="00D848EC" w:rsidRPr="001D2B74" w14:paraId="04E530F1"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06B5CE04" w14:textId="77777777" w:rsidR="00D848EC" w:rsidRPr="001D2B74" w:rsidRDefault="00D848EC" w:rsidP="00D848EC">
            <w:pPr>
              <w:rPr>
                <w:sz w:val="20"/>
                <w:lang w:val="ka-GE"/>
              </w:rPr>
            </w:pPr>
          </w:p>
        </w:tc>
        <w:tc>
          <w:tcPr>
            <w:tcW w:w="2195" w:type="pct"/>
            <w:tcBorders>
              <w:top w:val="single" w:sz="4" w:space="0" w:color="auto"/>
              <w:left w:val="single" w:sz="4" w:space="0" w:color="auto"/>
              <w:bottom w:val="single" w:sz="4" w:space="0" w:color="auto"/>
              <w:right w:val="single" w:sz="4" w:space="0" w:color="auto"/>
            </w:tcBorders>
            <w:hideMark/>
          </w:tcPr>
          <w:p w14:paraId="07AD1885" w14:textId="77777777" w:rsidR="00D848EC" w:rsidRPr="001D2B74" w:rsidRDefault="00D848EC" w:rsidP="00D848EC">
            <w:pPr>
              <w:rPr>
                <w:sz w:val="20"/>
              </w:rPr>
            </w:pPr>
            <w:r w:rsidRPr="001D2B74">
              <w:rPr>
                <w:rFonts w:ascii="Sylfaen" w:eastAsia="Calibri" w:hAnsi="Sylfaen" w:cs="Sylfaen"/>
                <w:sz w:val="20"/>
              </w:rPr>
              <w:t>მაგნიუმი</w:t>
            </w:r>
            <w:r w:rsidRPr="001D2B74">
              <w:rPr>
                <w:rFonts w:eastAsia="Calibri"/>
                <w:sz w:val="20"/>
              </w:rPr>
              <w:t xml:space="preserve">, </w:t>
            </w:r>
            <w:r w:rsidRPr="001D2B74">
              <w:rPr>
                <w:rFonts w:ascii="Sylfaen" w:eastAsia="Calibri" w:hAnsi="Sylfaen" w:cs="Sylfaen"/>
                <w:sz w:val="20"/>
              </w:rPr>
              <w:t>მგ</w:t>
            </w:r>
            <w:r w:rsidRPr="001D2B74">
              <w:rPr>
                <w:rFonts w:eastAsia="Calibri"/>
                <w:sz w:val="20"/>
              </w:rPr>
              <w:t>/</w:t>
            </w:r>
            <w:r w:rsidRPr="001D2B74">
              <w:rPr>
                <w:rFonts w:ascii="Sylfaen" w:eastAsia="Calibri" w:hAnsi="Sylfaen" w:cs="Sylfaen"/>
                <w:sz w:val="20"/>
              </w:rPr>
              <w:t>ლ</w:t>
            </w:r>
          </w:p>
        </w:tc>
        <w:tc>
          <w:tcPr>
            <w:tcW w:w="2372" w:type="pct"/>
            <w:tcBorders>
              <w:top w:val="single" w:sz="4" w:space="0" w:color="auto"/>
              <w:left w:val="single" w:sz="4" w:space="0" w:color="auto"/>
              <w:bottom w:val="single" w:sz="4" w:space="0" w:color="auto"/>
              <w:right w:val="single" w:sz="4" w:space="0" w:color="auto"/>
            </w:tcBorders>
            <w:hideMark/>
          </w:tcPr>
          <w:p w14:paraId="1692481D" w14:textId="77777777" w:rsidR="00D848EC" w:rsidRPr="001D2B74" w:rsidRDefault="00D848EC" w:rsidP="00D848EC">
            <w:pPr>
              <w:rPr>
                <w:rFonts w:eastAsia="Calibri"/>
                <w:sz w:val="20"/>
              </w:rPr>
            </w:pPr>
            <w:r w:rsidRPr="001D2B74">
              <w:rPr>
                <w:sz w:val="20"/>
              </w:rPr>
              <w:t>85</w:t>
            </w:r>
          </w:p>
        </w:tc>
      </w:tr>
      <w:tr w:rsidR="00D848EC" w:rsidRPr="001D2B74" w14:paraId="117E7C05" w14:textId="77777777" w:rsidTr="00D848EC">
        <w:trPr>
          <w:jc w:val="center"/>
        </w:trPr>
        <w:tc>
          <w:tcPr>
            <w:tcW w:w="433" w:type="pct"/>
            <w:tcBorders>
              <w:top w:val="single" w:sz="4" w:space="0" w:color="auto"/>
              <w:left w:val="single" w:sz="4" w:space="0" w:color="auto"/>
              <w:bottom w:val="single" w:sz="4" w:space="0" w:color="auto"/>
              <w:right w:val="single" w:sz="4" w:space="0" w:color="auto"/>
            </w:tcBorders>
          </w:tcPr>
          <w:p w14:paraId="67934E10" w14:textId="77777777" w:rsidR="00D848EC" w:rsidRPr="001D2B74" w:rsidRDefault="00D848EC" w:rsidP="00D848EC">
            <w:pPr>
              <w:rPr>
                <w:sz w:val="20"/>
                <w:lang w:val="ka-GE"/>
              </w:rPr>
            </w:pPr>
          </w:p>
        </w:tc>
        <w:tc>
          <w:tcPr>
            <w:tcW w:w="2195" w:type="pct"/>
            <w:tcBorders>
              <w:top w:val="single" w:sz="4" w:space="0" w:color="auto"/>
              <w:left w:val="single" w:sz="4" w:space="0" w:color="auto"/>
              <w:bottom w:val="single" w:sz="4" w:space="0" w:color="auto"/>
              <w:right w:val="single" w:sz="4" w:space="0" w:color="auto"/>
            </w:tcBorders>
            <w:hideMark/>
          </w:tcPr>
          <w:p w14:paraId="1926A4B7" w14:textId="77777777" w:rsidR="00D848EC" w:rsidRPr="001D2B74" w:rsidRDefault="00D848EC" w:rsidP="00D848EC">
            <w:pPr>
              <w:rPr>
                <w:sz w:val="20"/>
              </w:rPr>
            </w:pPr>
            <w:r w:rsidRPr="001D2B74">
              <w:rPr>
                <w:rFonts w:ascii="Sylfaen" w:eastAsia="Calibri" w:hAnsi="Sylfaen" w:cs="Sylfaen"/>
                <w:sz w:val="20"/>
              </w:rPr>
              <w:t>საერთო</w:t>
            </w:r>
            <w:r w:rsidRPr="001D2B74">
              <w:rPr>
                <w:rFonts w:eastAsia="Calibri"/>
                <w:sz w:val="20"/>
              </w:rPr>
              <w:t xml:space="preserve"> </w:t>
            </w:r>
            <w:r w:rsidRPr="001D2B74">
              <w:rPr>
                <w:rFonts w:ascii="Sylfaen" w:eastAsia="Calibri" w:hAnsi="Sylfaen" w:cs="Sylfaen"/>
                <w:sz w:val="20"/>
              </w:rPr>
              <w:t>კოლიფორმები</w:t>
            </w:r>
            <w:r w:rsidRPr="001D2B74">
              <w:rPr>
                <w:rFonts w:eastAsia="Calibri"/>
                <w:sz w:val="20"/>
              </w:rPr>
              <w:t xml:space="preserve">, 250 </w:t>
            </w:r>
            <w:r w:rsidRPr="001D2B74">
              <w:rPr>
                <w:rFonts w:ascii="Sylfaen" w:eastAsia="Calibri" w:hAnsi="Sylfaen" w:cs="Sylfaen"/>
                <w:sz w:val="20"/>
              </w:rPr>
              <w:t>მლ</w:t>
            </w:r>
            <w:r w:rsidRPr="001D2B74">
              <w:rPr>
                <w:rFonts w:eastAsia="Calibri"/>
                <w:sz w:val="20"/>
              </w:rPr>
              <w:t>-</w:t>
            </w:r>
            <w:r w:rsidRPr="001D2B74">
              <w:rPr>
                <w:rFonts w:ascii="Sylfaen" w:eastAsia="Calibri" w:hAnsi="Sylfaen" w:cs="Sylfaen"/>
                <w:sz w:val="20"/>
              </w:rPr>
              <w:t>ში</w:t>
            </w:r>
          </w:p>
        </w:tc>
        <w:tc>
          <w:tcPr>
            <w:tcW w:w="2372" w:type="pct"/>
            <w:tcBorders>
              <w:top w:val="single" w:sz="4" w:space="0" w:color="auto"/>
              <w:left w:val="single" w:sz="4" w:space="0" w:color="auto"/>
              <w:bottom w:val="single" w:sz="4" w:space="0" w:color="auto"/>
              <w:right w:val="single" w:sz="4" w:space="0" w:color="auto"/>
            </w:tcBorders>
            <w:hideMark/>
          </w:tcPr>
          <w:p w14:paraId="7A89BF58" w14:textId="77777777" w:rsidR="00D848EC" w:rsidRPr="001D2B74" w:rsidRDefault="00D848EC" w:rsidP="00D848EC">
            <w:pPr>
              <w:rPr>
                <w:rFonts w:eastAsia="Calibri"/>
                <w:sz w:val="20"/>
              </w:rPr>
            </w:pPr>
            <w:r w:rsidRPr="001D2B74">
              <w:rPr>
                <w:rFonts w:ascii="Sylfaen" w:hAnsi="Sylfaen" w:cs="Sylfaen"/>
                <w:sz w:val="20"/>
              </w:rPr>
              <w:t>დაუშვებელი</w:t>
            </w:r>
          </w:p>
        </w:tc>
      </w:tr>
    </w:tbl>
    <w:p w14:paraId="3C6898C5" w14:textId="77777777" w:rsidR="00D848EC" w:rsidRPr="001352AB" w:rsidRDefault="00D848EC" w:rsidP="00D848EC">
      <w:bookmarkStart w:id="20" w:name="_Toc479167315"/>
      <w:bookmarkStart w:id="21" w:name="_Toc479166475"/>
      <w:bookmarkStart w:id="22" w:name="_Toc479164745"/>
    </w:p>
    <w:p w14:paraId="13B985F3" w14:textId="77777777" w:rsidR="00D848EC" w:rsidRPr="001352AB" w:rsidRDefault="00D848EC" w:rsidP="00980876">
      <w:pPr>
        <w:pStyle w:val="EIAheading2"/>
      </w:pPr>
      <w:bookmarkStart w:id="23" w:name="_Toc529977343"/>
      <w:bookmarkStart w:id="24" w:name="_Toc1581484"/>
      <w:r w:rsidRPr="001352AB">
        <w:t xml:space="preserve">2.3 </w:t>
      </w:r>
      <w:r w:rsidRPr="001352AB">
        <w:rPr>
          <w:rFonts w:ascii="Sylfaen" w:hAnsi="Sylfaen" w:cs="Sylfaen"/>
        </w:rPr>
        <w:t>ხმაურის</w:t>
      </w:r>
      <w:r w:rsidRPr="001352AB">
        <w:t xml:space="preserve"> </w:t>
      </w:r>
      <w:r w:rsidRPr="001352AB">
        <w:rPr>
          <w:rFonts w:ascii="Sylfaen" w:hAnsi="Sylfaen" w:cs="Sylfaen"/>
        </w:rPr>
        <w:t>სტანდარტები</w:t>
      </w:r>
      <w:bookmarkEnd w:id="20"/>
      <w:bookmarkEnd w:id="21"/>
      <w:bookmarkEnd w:id="22"/>
      <w:bookmarkEnd w:id="23"/>
      <w:bookmarkEnd w:id="24"/>
    </w:p>
    <w:p w14:paraId="4F548096" w14:textId="251E873F" w:rsidR="00D848EC" w:rsidRPr="001352AB" w:rsidRDefault="00D848EC" w:rsidP="00D848EC">
      <w:pPr>
        <w:spacing w:before="120" w:after="120"/>
      </w:pPr>
      <w:r w:rsidRPr="001352AB">
        <w:rPr>
          <w:rFonts w:ascii="Sylfaen" w:hAnsi="Sylfaen" w:cs="Sylfaen"/>
        </w:rPr>
        <w:t>ხმაურის</w:t>
      </w:r>
      <w:r w:rsidRPr="001352AB">
        <w:t xml:space="preserve"> </w:t>
      </w:r>
      <w:r w:rsidRPr="001352AB">
        <w:rPr>
          <w:rFonts w:ascii="Sylfaen" w:hAnsi="Sylfaen" w:cs="Sylfaen"/>
        </w:rPr>
        <w:t>დასაშვები</w:t>
      </w:r>
      <w:r w:rsidRPr="001352AB">
        <w:t xml:space="preserve"> </w:t>
      </w:r>
      <w:r w:rsidRPr="001352AB">
        <w:rPr>
          <w:rFonts w:ascii="Sylfaen" w:hAnsi="Sylfaen" w:cs="Sylfaen"/>
        </w:rPr>
        <w:t>ნორმები</w:t>
      </w:r>
      <w:r w:rsidRPr="001352AB">
        <w:t xml:space="preserve"> </w:t>
      </w:r>
      <w:r w:rsidRPr="001352AB">
        <w:rPr>
          <w:rFonts w:ascii="Sylfaen" w:hAnsi="Sylfaen" w:cs="Sylfaen"/>
        </w:rPr>
        <w:t>საქართველოს</w:t>
      </w:r>
      <w:r w:rsidRPr="001352AB">
        <w:t xml:space="preserve"> </w:t>
      </w:r>
      <w:r w:rsidRPr="001352AB">
        <w:rPr>
          <w:rFonts w:ascii="Sylfaen" w:hAnsi="Sylfaen" w:cs="Sylfaen"/>
        </w:rPr>
        <w:t>სტანდარტებისა</w:t>
      </w:r>
      <w:r w:rsidRPr="001352AB">
        <w:t xml:space="preserve"> </w:t>
      </w:r>
      <w:r w:rsidRPr="001352AB">
        <w:rPr>
          <w:rFonts w:ascii="Sylfaen" w:hAnsi="Sylfaen" w:cs="Sylfaen"/>
        </w:rPr>
        <w:t>და</w:t>
      </w:r>
      <w:r w:rsidRPr="001352AB">
        <w:t xml:space="preserve"> </w:t>
      </w:r>
      <w:r w:rsidRPr="001352AB">
        <w:rPr>
          <w:rFonts w:ascii="Sylfaen" w:hAnsi="Sylfaen" w:cs="Sylfaen"/>
        </w:rPr>
        <w:t>საერთაშორისო</w:t>
      </w:r>
      <w:r w:rsidRPr="001352AB">
        <w:t xml:space="preserve"> </w:t>
      </w:r>
      <w:r w:rsidRPr="001352AB">
        <w:rPr>
          <w:rFonts w:ascii="Sylfaen" w:hAnsi="Sylfaen" w:cs="Sylfaen"/>
        </w:rPr>
        <w:t>ფინანსური</w:t>
      </w:r>
      <w:r w:rsidRPr="001352AB">
        <w:t xml:space="preserve"> </w:t>
      </w:r>
      <w:r w:rsidRPr="001352AB">
        <w:rPr>
          <w:rFonts w:ascii="Sylfaen" w:hAnsi="Sylfaen" w:cs="Sylfaen"/>
        </w:rPr>
        <w:t>კორპორაციის</w:t>
      </w:r>
      <w:r w:rsidRPr="001352AB">
        <w:t xml:space="preserve"> </w:t>
      </w:r>
      <w:r w:rsidRPr="001352AB">
        <w:rPr>
          <w:rFonts w:ascii="Sylfaen" w:hAnsi="Sylfaen" w:cs="Sylfaen"/>
        </w:rPr>
        <w:t>მითითებების</w:t>
      </w:r>
      <w:r w:rsidRPr="001352AB">
        <w:t xml:space="preserve"> </w:t>
      </w:r>
      <w:r w:rsidRPr="001352AB">
        <w:rPr>
          <w:rFonts w:ascii="Sylfaen" w:hAnsi="Sylfaen" w:cs="Sylfaen"/>
        </w:rPr>
        <w:t>მიხედვით</w:t>
      </w:r>
      <w:r w:rsidRPr="001352AB">
        <w:t xml:space="preserve"> </w:t>
      </w:r>
      <w:r w:rsidRPr="001352AB">
        <w:rPr>
          <w:rFonts w:ascii="Sylfaen" w:hAnsi="Sylfaen" w:cs="Sylfaen"/>
        </w:rPr>
        <w:t>ანალოგიურია</w:t>
      </w:r>
      <w:r w:rsidRPr="001352AB">
        <w:t xml:space="preserve">. </w:t>
      </w:r>
      <w:r w:rsidRPr="001352AB">
        <w:rPr>
          <w:rFonts w:ascii="Sylfaen" w:hAnsi="Sylfaen" w:cs="Sylfaen"/>
        </w:rPr>
        <w:t>ხმაურის</w:t>
      </w:r>
      <w:r w:rsidRPr="001352AB">
        <w:t xml:space="preserve"> </w:t>
      </w:r>
      <w:r w:rsidRPr="001352AB">
        <w:rPr>
          <w:rFonts w:ascii="Sylfaen" w:hAnsi="Sylfaen" w:cs="Sylfaen"/>
        </w:rPr>
        <w:t>დასაშვები</w:t>
      </w:r>
      <w:r w:rsidRPr="001352AB">
        <w:t xml:space="preserve"> </w:t>
      </w:r>
      <w:r w:rsidRPr="001352AB">
        <w:rPr>
          <w:rFonts w:ascii="Sylfaen" w:hAnsi="Sylfaen" w:cs="Sylfaen"/>
        </w:rPr>
        <w:t>ნორმები</w:t>
      </w:r>
      <w:r w:rsidRPr="001352AB">
        <w:t xml:space="preserve"> </w:t>
      </w:r>
      <w:r w:rsidRPr="001352AB">
        <w:rPr>
          <w:rFonts w:ascii="Sylfaen" w:hAnsi="Sylfaen" w:cs="Sylfaen"/>
        </w:rPr>
        <w:t>განსაზღვრულია</w:t>
      </w:r>
      <w:r w:rsidRPr="001352AB">
        <w:t xml:space="preserve"> “</w:t>
      </w:r>
      <w:r w:rsidRPr="001352AB">
        <w:rPr>
          <w:rFonts w:ascii="Sylfaen" w:hAnsi="Sylfaen" w:cs="Sylfaen"/>
        </w:rPr>
        <w:t>გარემოს</w:t>
      </w:r>
      <w:r w:rsidRPr="001352AB">
        <w:t xml:space="preserve"> </w:t>
      </w:r>
      <w:r w:rsidRPr="001352AB">
        <w:rPr>
          <w:rFonts w:ascii="Sylfaen" w:hAnsi="Sylfaen" w:cs="Sylfaen"/>
        </w:rPr>
        <w:t>ხარისხობრივი</w:t>
      </w:r>
      <w:r w:rsidRPr="001352AB">
        <w:t xml:space="preserve"> </w:t>
      </w:r>
      <w:r w:rsidRPr="001352AB">
        <w:rPr>
          <w:rFonts w:ascii="Sylfaen" w:hAnsi="Sylfaen" w:cs="Sylfaen"/>
        </w:rPr>
        <w:t>მდგომარეობის</w:t>
      </w:r>
      <w:r w:rsidRPr="001352AB">
        <w:t xml:space="preserve"> </w:t>
      </w:r>
      <w:r w:rsidRPr="001352AB">
        <w:rPr>
          <w:rFonts w:ascii="Sylfaen" w:hAnsi="Sylfaen" w:cs="Sylfaen"/>
        </w:rPr>
        <w:t>ნორმების</w:t>
      </w:r>
      <w:r w:rsidRPr="001352AB">
        <w:t xml:space="preserve"> </w:t>
      </w:r>
      <w:r w:rsidRPr="001352AB">
        <w:rPr>
          <w:rFonts w:ascii="Sylfaen" w:hAnsi="Sylfaen" w:cs="Sylfaen"/>
        </w:rPr>
        <w:t>დამტკიცების</w:t>
      </w:r>
      <w:r w:rsidRPr="001352AB">
        <w:t xml:space="preserve"> </w:t>
      </w:r>
      <w:r w:rsidRPr="001352AB">
        <w:rPr>
          <w:rFonts w:ascii="Sylfaen" w:hAnsi="Sylfaen" w:cs="Sylfaen"/>
        </w:rPr>
        <w:t>შესახებ</w:t>
      </w:r>
      <w:r w:rsidRPr="001352AB">
        <w:t xml:space="preserve">” </w:t>
      </w:r>
      <w:r w:rsidRPr="001352AB">
        <w:rPr>
          <w:rFonts w:ascii="Sylfaen" w:hAnsi="Sylfaen" w:cs="Sylfaen"/>
        </w:rPr>
        <w:t>საქართველოს</w:t>
      </w:r>
      <w:r w:rsidRPr="001352AB">
        <w:t xml:space="preserve"> </w:t>
      </w:r>
      <w:r w:rsidRPr="001352AB">
        <w:rPr>
          <w:rFonts w:ascii="Sylfaen" w:hAnsi="Sylfaen" w:cs="Sylfaen"/>
        </w:rPr>
        <w:t>შრომის</w:t>
      </w:r>
      <w:r w:rsidRPr="001352AB">
        <w:t xml:space="preserve">, </w:t>
      </w:r>
      <w:r w:rsidRPr="001352AB">
        <w:rPr>
          <w:rFonts w:ascii="Sylfaen" w:hAnsi="Sylfaen" w:cs="Sylfaen"/>
        </w:rPr>
        <w:t>ჯანმრთელობისა</w:t>
      </w:r>
      <w:r w:rsidRPr="001352AB">
        <w:t xml:space="preserve"> </w:t>
      </w:r>
      <w:r w:rsidRPr="001352AB">
        <w:rPr>
          <w:rFonts w:ascii="Sylfaen" w:hAnsi="Sylfaen" w:cs="Sylfaen"/>
        </w:rPr>
        <w:t>და</w:t>
      </w:r>
      <w:r w:rsidRPr="001352AB">
        <w:t xml:space="preserve"> </w:t>
      </w:r>
      <w:r w:rsidRPr="001352AB">
        <w:rPr>
          <w:rFonts w:ascii="Sylfaen" w:hAnsi="Sylfaen" w:cs="Sylfaen"/>
        </w:rPr>
        <w:t>სოციალური</w:t>
      </w:r>
      <w:r w:rsidRPr="001352AB">
        <w:t xml:space="preserve"> </w:t>
      </w:r>
      <w:r w:rsidRPr="001352AB">
        <w:rPr>
          <w:rFonts w:ascii="Sylfaen" w:hAnsi="Sylfaen" w:cs="Sylfaen"/>
        </w:rPr>
        <w:t>დაცვის</w:t>
      </w:r>
      <w:r w:rsidRPr="001352AB">
        <w:t xml:space="preserve"> </w:t>
      </w:r>
      <w:r w:rsidRPr="001352AB">
        <w:rPr>
          <w:rFonts w:ascii="Sylfaen" w:hAnsi="Sylfaen" w:cs="Sylfaen"/>
        </w:rPr>
        <w:t>მინისტრის</w:t>
      </w:r>
      <w:r w:rsidRPr="001352AB">
        <w:t xml:space="preserve"> 2001 </w:t>
      </w:r>
      <w:r w:rsidRPr="001352AB">
        <w:rPr>
          <w:rFonts w:ascii="Sylfaen" w:hAnsi="Sylfaen" w:cs="Sylfaen"/>
        </w:rPr>
        <w:t>წლის</w:t>
      </w:r>
      <w:r w:rsidRPr="001352AB">
        <w:t xml:space="preserve"> 16 </w:t>
      </w:r>
      <w:r w:rsidRPr="001352AB">
        <w:rPr>
          <w:rFonts w:ascii="Sylfaen" w:hAnsi="Sylfaen" w:cs="Sylfaen"/>
        </w:rPr>
        <w:t>აგვისტოს</w:t>
      </w:r>
      <w:r w:rsidRPr="001352AB">
        <w:t xml:space="preserve"> </w:t>
      </w:r>
      <w:r w:rsidRPr="001352AB">
        <w:rPr>
          <w:rFonts w:ascii="Sylfaen" w:hAnsi="Sylfaen" w:cs="Sylfaen"/>
        </w:rPr>
        <w:t>ბრძანებით</w:t>
      </w:r>
      <w:r w:rsidRPr="001352AB">
        <w:t xml:space="preserve"> № 297/</w:t>
      </w:r>
      <w:r w:rsidRPr="001352AB">
        <w:rPr>
          <w:rFonts w:ascii="Sylfaen" w:hAnsi="Sylfaen" w:cs="Sylfaen"/>
        </w:rPr>
        <w:t>ნ</w:t>
      </w:r>
      <w:r w:rsidRPr="001352AB">
        <w:t xml:space="preserve">. </w:t>
      </w:r>
      <w:r w:rsidRPr="001352AB">
        <w:rPr>
          <w:rFonts w:ascii="Sylfaen" w:hAnsi="Sylfaen" w:cs="Sylfaen"/>
        </w:rPr>
        <w:t>ხმაურის</w:t>
      </w:r>
      <w:r w:rsidRPr="001352AB">
        <w:t xml:space="preserve"> </w:t>
      </w:r>
      <w:r w:rsidRPr="001352AB">
        <w:rPr>
          <w:rFonts w:ascii="Sylfaen" w:hAnsi="Sylfaen" w:cs="Sylfaen"/>
        </w:rPr>
        <w:t>დასაშვები</w:t>
      </w:r>
      <w:r w:rsidRPr="001352AB">
        <w:t xml:space="preserve"> </w:t>
      </w:r>
      <w:r w:rsidRPr="001352AB">
        <w:rPr>
          <w:rFonts w:ascii="Sylfaen" w:hAnsi="Sylfaen" w:cs="Sylfaen"/>
        </w:rPr>
        <w:t>დონე</w:t>
      </w:r>
      <w:r w:rsidRPr="001352AB">
        <w:t xml:space="preserve"> </w:t>
      </w:r>
      <w:r w:rsidRPr="001352AB">
        <w:rPr>
          <w:rFonts w:ascii="Sylfaen" w:hAnsi="Sylfaen" w:cs="Sylfaen"/>
        </w:rPr>
        <w:t>განსაზღვრულია</w:t>
      </w:r>
      <w:r w:rsidRPr="001352AB">
        <w:t xml:space="preserve">, </w:t>
      </w:r>
      <w:r w:rsidRPr="001352AB">
        <w:rPr>
          <w:rFonts w:ascii="Sylfaen" w:hAnsi="Sylfaen" w:cs="Sylfaen"/>
        </w:rPr>
        <w:t>როგორც</w:t>
      </w:r>
      <w:r w:rsidRPr="001352AB">
        <w:t xml:space="preserve"> </w:t>
      </w:r>
      <w:r w:rsidRPr="001352AB">
        <w:rPr>
          <w:rFonts w:ascii="Sylfaen" w:hAnsi="Sylfaen" w:cs="Sylfaen"/>
        </w:rPr>
        <w:t>სხვადასხვა</w:t>
      </w:r>
      <w:r w:rsidRPr="001352AB">
        <w:t xml:space="preserve"> </w:t>
      </w:r>
      <w:r w:rsidRPr="001352AB">
        <w:rPr>
          <w:rFonts w:ascii="Sylfaen" w:hAnsi="Sylfaen" w:cs="Sylfaen"/>
        </w:rPr>
        <w:t>უბნების</w:t>
      </w:r>
      <w:r w:rsidRPr="001352AB">
        <w:t xml:space="preserve"> </w:t>
      </w:r>
      <w:r w:rsidRPr="001352AB">
        <w:rPr>
          <w:rFonts w:ascii="Sylfaen" w:hAnsi="Sylfaen" w:cs="Sylfaen"/>
        </w:rPr>
        <w:t>ზოგიერთ</w:t>
      </w:r>
      <w:r w:rsidRPr="001352AB">
        <w:t xml:space="preserve"> </w:t>
      </w:r>
      <w:r w:rsidRPr="001352AB">
        <w:rPr>
          <w:rFonts w:ascii="Sylfaen" w:hAnsi="Sylfaen" w:cs="Sylfaen"/>
        </w:rPr>
        <w:t>ზონაში</w:t>
      </w:r>
      <w:r w:rsidRPr="001352AB">
        <w:t xml:space="preserve"> </w:t>
      </w:r>
      <w:r w:rsidRPr="001352AB">
        <w:rPr>
          <w:rFonts w:ascii="Sylfaen" w:hAnsi="Sylfaen" w:cs="Sylfaen"/>
        </w:rPr>
        <w:t>ხმაურის</w:t>
      </w:r>
      <w:r w:rsidRPr="001352AB">
        <w:t xml:space="preserve"> </w:t>
      </w:r>
      <w:r w:rsidRPr="001352AB">
        <w:rPr>
          <w:rFonts w:ascii="Sylfaen" w:hAnsi="Sylfaen" w:cs="Sylfaen"/>
        </w:rPr>
        <w:t>დასაშვები</w:t>
      </w:r>
      <w:r w:rsidRPr="001352AB">
        <w:t xml:space="preserve"> </w:t>
      </w:r>
      <w:r w:rsidRPr="001352AB">
        <w:rPr>
          <w:rFonts w:ascii="Sylfaen" w:hAnsi="Sylfaen" w:cs="Sylfaen"/>
        </w:rPr>
        <w:t>მაქსიმალური</w:t>
      </w:r>
      <w:r w:rsidRPr="001352AB">
        <w:t xml:space="preserve"> </w:t>
      </w:r>
      <w:r w:rsidRPr="001352AB">
        <w:rPr>
          <w:rFonts w:ascii="Sylfaen" w:hAnsi="Sylfaen" w:cs="Sylfaen"/>
        </w:rPr>
        <w:t>დონეები</w:t>
      </w:r>
      <w:r w:rsidRPr="001352AB">
        <w:t xml:space="preserve">. </w:t>
      </w:r>
      <w:r w:rsidRPr="001352AB">
        <w:rPr>
          <w:rFonts w:ascii="Sylfaen" w:hAnsi="Sylfaen" w:cs="Sylfaen"/>
        </w:rPr>
        <w:t>ხმაურის</w:t>
      </w:r>
      <w:r w:rsidRPr="001352AB">
        <w:t xml:space="preserve"> </w:t>
      </w:r>
      <w:r w:rsidRPr="001352AB">
        <w:rPr>
          <w:rFonts w:ascii="Sylfaen" w:hAnsi="Sylfaen" w:cs="Sylfaen"/>
        </w:rPr>
        <w:t>დასაშვები</w:t>
      </w:r>
      <w:r w:rsidRPr="001352AB">
        <w:t xml:space="preserve"> </w:t>
      </w:r>
      <w:r w:rsidRPr="001352AB">
        <w:rPr>
          <w:rFonts w:ascii="Sylfaen" w:hAnsi="Sylfaen" w:cs="Sylfaen"/>
        </w:rPr>
        <w:t>ნორმები</w:t>
      </w:r>
      <w:r w:rsidRPr="001352AB">
        <w:t xml:space="preserve"> </w:t>
      </w:r>
      <w:r w:rsidRPr="001352AB">
        <w:rPr>
          <w:rFonts w:ascii="Sylfaen" w:hAnsi="Sylfaen" w:cs="Sylfaen"/>
        </w:rPr>
        <w:t>საცხოვრებელ</w:t>
      </w:r>
      <w:r w:rsidRPr="001352AB">
        <w:t xml:space="preserve"> </w:t>
      </w:r>
      <w:r w:rsidRPr="001352AB">
        <w:rPr>
          <w:rFonts w:ascii="Sylfaen" w:hAnsi="Sylfaen" w:cs="Sylfaen"/>
        </w:rPr>
        <w:t>უბნებზე</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ცხრილში</w:t>
      </w:r>
      <w:r w:rsidRPr="001352AB">
        <w:t xml:space="preserve"> 2</w:t>
      </w:r>
      <w:r w:rsidR="00BB3920">
        <w:rPr>
          <w:rFonts w:ascii="Sylfaen" w:hAnsi="Sylfaen"/>
          <w:lang w:val="ka-GE"/>
        </w:rPr>
        <w:t>.3</w:t>
      </w:r>
      <w:r w:rsidRPr="001352AB">
        <w:t>-</w:t>
      </w:r>
      <w:r w:rsidR="00BB3920">
        <w:rPr>
          <w:rFonts w:ascii="Sylfaen" w:hAnsi="Sylfaen"/>
          <w:lang w:val="ka-GE"/>
        </w:rPr>
        <w:t>1</w:t>
      </w:r>
      <w:r w:rsidRPr="001352AB">
        <w:t>.</w:t>
      </w:r>
    </w:p>
    <w:p w14:paraId="77D5D501" w14:textId="77777777" w:rsidR="00D848EC" w:rsidRPr="001352AB" w:rsidRDefault="00D848EC" w:rsidP="00D848EC">
      <w:pPr>
        <w:spacing w:before="120" w:after="120"/>
      </w:pPr>
      <w:r w:rsidRPr="001352AB">
        <w:rPr>
          <w:rFonts w:ascii="Sylfaen" w:hAnsi="Sylfaen" w:cs="Sylfaen"/>
        </w:rPr>
        <w:t>საერთაშორისო</w:t>
      </w:r>
      <w:r w:rsidRPr="001352AB">
        <w:t xml:space="preserve"> </w:t>
      </w:r>
      <w:r w:rsidRPr="001352AB">
        <w:rPr>
          <w:rFonts w:ascii="Sylfaen" w:hAnsi="Sylfaen" w:cs="Sylfaen"/>
        </w:rPr>
        <w:t>ფინანსური</w:t>
      </w:r>
      <w:r w:rsidRPr="001352AB">
        <w:t xml:space="preserve"> </w:t>
      </w:r>
      <w:r w:rsidRPr="001352AB">
        <w:rPr>
          <w:rFonts w:ascii="Sylfaen" w:hAnsi="Sylfaen" w:cs="Sylfaen"/>
        </w:rPr>
        <w:t>კორპორაციის</w:t>
      </w:r>
      <w:r w:rsidRPr="001352AB">
        <w:t xml:space="preserve"> </w:t>
      </w:r>
      <w:r w:rsidRPr="001352AB">
        <w:rPr>
          <w:rFonts w:ascii="Sylfaen" w:hAnsi="Sylfaen" w:cs="Sylfaen"/>
        </w:rPr>
        <w:t>მითითებების</w:t>
      </w:r>
      <w:r w:rsidRPr="001352AB">
        <w:t xml:space="preserve"> </w:t>
      </w:r>
      <w:r w:rsidRPr="001352AB">
        <w:rPr>
          <w:rFonts w:ascii="Sylfaen" w:hAnsi="Sylfaen" w:cs="Sylfaen"/>
        </w:rPr>
        <w:t>მიხედვით</w:t>
      </w:r>
      <w:r w:rsidRPr="001352AB">
        <w:t xml:space="preserve">, </w:t>
      </w:r>
      <w:r w:rsidRPr="001352AB">
        <w:rPr>
          <w:rFonts w:ascii="Sylfaen" w:hAnsi="Sylfaen" w:cs="Sylfaen"/>
        </w:rPr>
        <w:t>ხმაურის</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არ</w:t>
      </w:r>
      <w:r w:rsidRPr="001352AB">
        <w:t xml:space="preserve"> </w:t>
      </w:r>
      <w:r w:rsidRPr="001352AB">
        <w:rPr>
          <w:rFonts w:ascii="Sylfaen" w:hAnsi="Sylfaen" w:cs="Sylfaen"/>
        </w:rPr>
        <w:t>უნდა</w:t>
      </w:r>
      <w:r w:rsidRPr="001352AB">
        <w:t xml:space="preserve"> </w:t>
      </w:r>
      <w:r w:rsidRPr="001352AB">
        <w:rPr>
          <w:rFonts w:ascii="Sylfaen" w:hAnsi="Sylfaen" w:cs="Sylfaen"/>
        </w:rPr>
        <w:t>აღემატებოდეს</w:t>
      </w:r>
      <w:r w:rsidRPr="001352AB">
        <w:t xml:space="preserve"> </w:t>
      </w:r>
      <w:r w:rsidRPr="001352AB">
        <w:rPr>
          <w:rFonts w:ascii="Sylfaen" w:hAnsi="Sylfaen" w:cs="Sylfaen"/>
        </w:rPr>
        <w:t>ცხრილში</w:t>
      </w:r>
      <w:r w:rsidRPr="001352AB">
        <w:t xml:space="preserve"> 3-5 </w:t>
      </w:r>
      <w:r w:rsidRPr="001352AB">
        <w:rPr>
          <w:rFonts w:ascii="Sylfaen" w:hAnsi="Sylfaen" w:cs="Sylfaen"/>
        </w:rPr>
        <w:t>მოცემულ</w:t>
      </w:r>
      <w:r w:rsidRPr="001352AB">
        <w:t xml:space="preserve"> </w:t>
      </w:r>
      <w:r w:rsidRPr="001352AB">
        <w:rPr>
          <w:rFonts w:ascii="Sylfaen" w:hAnsi="Sylfaen" w:cs="Sylfaen"/>
        </w:rPr>
        <w:t>მნიშვნელობებს</w:t>
      </w:r>
      <w:r w:rsidRPr="001352AB">
        <w:t xml:space="preserve"> </w:t>
      </w:r>
      <w:r w:rsidRPr="001352AB">
        <w:rPr>
          <w:rFonts w:ascii="Sylfaen" w:hAnsi="Sylfaen" w:cs="Sylfaen"/>
        </w:rPr>
        <w:t>და</w:t>
      </w:r>
      <w:r w:rsidRPr="001352AB">
        <w:t xml:space="preserve"> </w:t>
      </w:r>
      <w:r w:rsidRPr="001352AB">
        <w:rPr>
          <w:rFonts w:ascii="Sylfaen" w:hAnsi="Sylfaen" w:cs="Sylfaen"/>
        </w:rPr>
        <w:t>არ</w:t>
      </w:r>
      <w:r w:rsidRPr="001352AB">
        <w:t xml:space="preserve"> </w:t>
      </w:r>
      <w:r w:rsidRPr="001352AB">
        <w:rPr>
          <w:rFonts w:ascii="Sylfaen" w:hAnsi="Sylfaen" w:cs="Sylfaen"/>
        </w:rPr>
        <w:t>უნდა</w:t>
      </w:r>
      <w:r w:rsidRPr="001352AB">
        <w:t xml:space="preserve"> </w:t>
      </w:r>
      <w:r w:rsidRPr="001352AB">
        <w:rPr>
          <w:rFonts w:ascii="Sylfaen" w:hAnsi="Sylfaen" w:cs="Sylfaen"/>
        </w:rPr>
        <w:t>იწვევდეს</w:t>
      </w:r>
      <w:r w:rsidRPr="001352AB">
        <w:t xml:space="preserve"> </w:t>
      </w:r>
      <w:r w:rsidRPr="001352AB">
        <w:rPr>
          <w:rFonts w:ascii="Sylfaen" w:hAnsi="Sylfaen" w:cs="Sylfaen"/>
        </w:rPr>
        <w:t>სიდიდის</w:t>
      </w:r>
      <w:r w:rsidRPr="001352AB">
        <w:t xml:space="preserve"> </w:t>
      </w:r>
      <w:r w:rsidRPr="001352AB">
        <w:rPr>
          <w:rFonts w:ascii="Sylfaen" w:hAnsi="Sylfaen" w:cs="Sylfaen"/>
        </w:rPr>
        <w:t>ფონური</w:t>
      </w:r>
      <w:r w:rsidRPr="001352AB">
        <w:t xml:space="preserve"> </w:t>
      </w:r>
      <w:r w:rsidRPr="001352AB">
        <w:rPr>
          <w:rFonts w:ascii="Sylfaen" w:hAnsi="Sylfaen" w:cs="Sylfaen"/>
        </w:rPr>
        <w:t>მნიშვნელობების</w:t>
      </w:r>
      <w:r w:rsidRPr="001352AB">
        <w:t xml:space="preserve"> </w:t>
      </w:r>
      <w:r w:rsidRPr="001352AB">
        <w:rPr>
          <w:rFonts w:ascii="Sylfaen" w:hAnsi="Sylfaen" w:cs="Sylfaen"/>
        </w:rPr>
        <w:t>ზრდას</w:t>
      </w:r>
      <w:r w:rsidRPr="001352AB">
        <w:t xml:space="preserve"> 3 </w:t>
      </w:r>
      <w:r w:rsidRPr="001352AB">
        <w:rPr>
          <w:rFonts w:ascii="Sylfaen" w:hAnsi="Sylfaen" w:cs="Sylfaen"/>
        </w:rPr>
        <w:t>დბა</w:t>
      </w:r>
      <w:r w:rsidRPr="001352AB">
        <w:t>-</w:t>
      </w:r>
      <w:r w:rsidRPr="001352AB">
        <w:rPr>
          <w:rFonts w:ascii="Sylfaen" w:hAnsi="Sylfaen" w:cs="Sylfaen"/>
        </w:rPr>
        <w:t>ზე</w:t>
      </w:r>
      <w:r w:rsidRPr="001352AB">
        <w:t xml:space="preserve"> </w:t>
      </w:r>
      <w:r w:rsidRPr="001352AB">
        <w:rPr>
          <w:rFonts w:ascii="Sylfaen" w:hAnsi="Sylfaen" w:cs="Sylfaen"/>
        </w:rPr>
        <w:t>მეტად</w:t>
      </w:r>
      <w:r w:rsidRPr="001352AB">
        <w:t xml:space="preserve"> </w:t>
      </w:r>
      <w:r w:rsidRPr="001352AB">
        <w:rPr>
          <w:rFonts w:ascii="Sylfaen" w:hAnsi="Sylfaen" w:cs="Sylfaen"/>
        </w:rPr>
        <w:t>უბნიდან</w:t>
      </w:r>
      <w:r w:rsidRPr="001352AB">
        <w:t xml:space="preserve"> </w:t>
      </w:r>
      <w:r w:rsidRPr="001352AB">
        <w:rPr>
          <w:rFonts w:ascii="Sylfaen" w:hAnsi="Sylfaen" w:cs="Sylfaen"/>
        </w:rPr>
        <w:t>უახლოეს</w:t>
      </w:r>
      <w:r w:rsidRPr="001352AB">
        <w:t xml:space="preserve"> </w:t>
      </w:r>
      <w:r w:rsidRPr="001352AB">
        <w:rPr>
          <w:rFonts w:ascii="Sylfaen" w:hAnsi="Sylfaen" w:cs="Sylfaen"/>
        </w:rPr>
        <w:t>რეცეპტორთან</w:t>
      </w:r>
      <w:r w:rsidRPr="001352AB">
        <w:t xml:space="preserve">. </w:t>
      </w:r>
    </w:p>
    <w:p w14:paraId="61597163" w14:textId="3E6BA3AA" w:rsidR="00D848EC" w:rsidRPr="001352AB" w:rsidRDefault="00D848EC" w:rsidP="00D848EC">
      <w:pPr>
        <w:spacing w:before="120" w:after="120"/>
      </w:pPr>
      <w:r w:rsidRPr="001352AB">
        <w:rPr>
          <w:rFonts w:ascii="Sylfaen" w:hAnsi="Sylfaen" w:cs="Sylfaen"/>
        </w:rPr>
        <w:t>ცხრილი</w:t>
      </w:r>
      <w:r w:rsidRPr="001352AB">
        <w:t xml:space="preserve"> 2</w:t>
      </w:r>
      <w:r w:rsidR="00BB3920">
        <w:rPr>
          <w:rFonts w:ascii="Sylfaen" w:hAnsi="Sylfaen"/>
          <w:lang w:val="ka-GE"/>
        </w:rPr>
        <w:t>.3</w:t>
      </w:r>
      <w:r w:rsidRPr="001352AB">
        <w:t>-</w:t>
      </w:r>
      <w:r w:rsidR="00BB3920">
        <w:rPr>
          <w:rFonts w:ascii="Sylfaen" w:hAnsi="Sylfaen"/>
          <w:lang w:val="ka-GE"/>
        </w:rPr>
        <w:t>1</w:t>
      </w:r>
      <w:r w:rsidRPr="001352AB">
        <w:t xml:space="preserve">. </w:t>
      </w:r>
      <w:r w:rsidRPr="001352AB">
        <w:rPr>
          <w:rFonts w:ascii="Sylfaen" w:hAnsi="Sylfaen" w:cs="Sylfaen"/>
        </w:rPr>
        <w:t>ხმაურის</w:t>
      </w:r>
      <w:r w:rsidRPr="001352AB">
        <w:t xml:space="preserve"> </w:t>
      </w:r>
      <w:r w:rsidRPr="001352AB">
        <w:rPr>
          <w:rFonts w:ascii="Sylfaen" w:hAnsi="Sylfaen" w:cs="Sylfaen"/>
        </w:rPr>
        <w:t>ნორმები</w:t>
      </w:r>
      <w:r w:rsidRPr="001352AB">
        <w:t xml:space="preserve"> </w:t>
      </w:r>
      <w:r w:rsidRPr="001352AB">
        <w:rPr>
          <w:rFonts w:ascii="Sylfaen" w:hAnsi="Sylfaen" w:cs="Sylfaen"/>
        </w:rPr>
        <w:t>საქართველოს</w:t>
      </w:r>
      <w:r w:rsidRPr="001352AB">
        <w:t xml:space="preserve"> </w:t>
      </w:r>
      <w:r w:rsidRPr="001352AB">
        <w:rPr>
          <w:rFonts w:ascii="Sylfaen" w:hAnsi="Sylfaen" w:cs="Sylfaen"/>
        </w:rPr>
        <w:t>კანონმდებლობის</w:t>
      </w:r>
      <w:r w:rsidRPr="001352AB">
        <w:t xml:space="preserve"> </w:t>
      </w:r>
      <w:r w:rsidRPr="001352AB">
        <w:rPr>
          <w:rFonts w:ascii="Sylfaen" w:hAnsi="Sylfaen" w:cs="Sylfaen"/>
        </w:rPr>
        <w:t>მიხედვით</w:t>
      </w:r>
    </w:p>
    <w:tbl>
      <w:tblPr>
        <w:tblW w:w="48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5108"/>
        <w:gridCol w:w="2716"/>
        <w:gridCol w:w="2228"/>
      </w:tblGrid>
      <w:tr w:rsidR="00D848EC" w:rsidRPr="004E77BF" w14:paraId="5E742A97" w14:textId="77777777" w:rsidTr="00D848EC">
        <w:trPr>
          <w:trHeight w:val="655"/>
          <w:jc w:val="center"/>
        </w:trPr>
        <w:tc>
          <w:tcPr>
            <w:tcW w:w="2541" w:type="pct"/>
            <w:tcBorders>
              <w:top w:val="single" w:sz="4" w:space="0" w:color="auto"/>
              <w:left w:val="single" w:sz="4" w:space="0" w:color="auto"/>
              <w:bottom w:val="single" w:sz="4" w:space="0" w:color="auto"/>
              <w:right w:val="single" w:sz="4" w:space="0" w:color="auto"/>
            </w:tcBorders>
            <w:hideMark/>
          </w:tcPr>
          <w:p w14:paraId="3F5FBDB4" w14:textId="77777777" w:rsidR="00D848EC" w:rsidRPr="004E77BF" w:rsidRDefault="00D848EC" w:rsidP="00D848EC">
            <w:pPr>
              <w:rPr>
                <w:sz w:val="20"/>
              </w:rPr>
            </w:pPr>
            <w:r w:rsidRPr="004E77BF">
              <w:rPr>
                <w:rFonts w:ascii="Sylfaen" w:hAnsi="Sylfaen" w:cs="Sylfaen"/>
                <w:sz w:val="20"/>
              </w:rPr>
              <w:t>დრო</w:t>
            </w:r>
          </w:p>
        </w:tc>
        <w:tc>
          <w:tcPr>
            <w:tcW w:w="1351" w:type="pct"/>
            <w:tcBorders>
              <w:top w:val="single" w:sz="4" w:space="0" w:color="auto"/>
              <w:left w:val="single" w:sz="4" w:space="0" w:color="auto"/>
              <w:bottom w:val="single" w:sz="4" w:space="0" w:color="auto"/>
              <w:right w:val="single" w:sz="4" w:space="0" w:color="auto"/>
            </w:tcBorders>
            <w:hideMark/>
          </w:tcPr>
          <w:p w14:paraId="56FD7AF4" w14:textId="77777777" w:rsidR="00D848EC" w:rsidRPr="004E77BF" w:rsidRDefault="00D848EC" w:rsidP="00D848EC">
            <w:pPr>
              <w:rPr>
                <w:sz w:val="20"/>
              </w:rPr>
            </w:pPr>
            <w:r w:rsidRPr="004E77BF">
              <w:rPr>
                <w:rFonts w:ascii="Sylfaen" w:hAnsi="Sylfaen" w:cs="Sylfaen"/>
                <w:sz w:val="20"/>
              </w:rPr>
              <w:t>დღის</w:t>
            </w:r>
            <w:r w:rsidRPr="004E77BF">
              <w:rPr>
                <w:sz w:val="20"/>
              </w:rPr>
              <w:t xml:space="preserve"> </w:t>
            </w:r>
            <w:r w:rsidRPr="004E77BF">
              <w:rPr>
                <w:rFonts w:ascii="Sylfaen" w:hAnsi="Sylfaen" w:cs="Sylfaen"/>
                <w:sz w:val="20"/>
              </w:rPr>
              <w:t>საათებში</w:t>
            </w:r>
          </w:p>
          <w:p w14:paraId="5562D74E" w14:textId="77777777" w:rsidR="00D848EC" w:rsidRPr="004E77BF" w:rsidRDefault="00D848EC" w:rsidP="00D848EC">
            <w:pPr>
              <w:rPr>
                <w:sz w:val="20"/>
              </w:rPr>
            </w:pPr>
            <w:r w:rsidRPr="004E77BF">
              <w:rPr>
                <w:rFonts w:eastAsia="Calibri"/>
                <w:sz w:val="20"/>
              </w:rPr>
              <w:t xml:space="preserve">07.00-23.00 </w:t>
            </w:r>
          </w:p>
        </w:tc>
        <w:tc>
          <w:tcPr>
            <w:tcW w:w="1108" w:type="pct"/>
            <w:tcBorders>
              <w:top w:val="single" w:sz="4" w:space="0" w:color="auto"/>
              <w:left w:val="single" w:sz="4" w:space="0" w:color="auto"/>
              <w:bottom w:val="single" w:sz="4" w:space="0" w:color="auto"/>
              <w:right w:val="single" w:sz="4" w:space="0" w:color="auto"/>
            </w:tcBorders>
            <w:hideMark/>
          </w:tcPr>
          <w:p w14:paraId="4BEA9E0E" w14:textId="77777777" w:rsidR="00D848EC" w:rsidRPr="004E77BF" w:rsidRDefault="00D848EC" w:rsidP="00D848EC">
            <w:pPr>
              <w:rPr>
                <w:rFonts w:eastAsia="Calibri"/>
                <w:sz w:val="20"/>
              </w:rPr>
            </w:pPr>
            <w:r w:rsidRPr="004E77BF">
              <w:rPr>
                <w:rFonts w:ascii="Sylfaen" w:hAnsi="Sylfaen" w:cs="Sylfaen"/>
                <w:sz w:val="20"/>
              </w:rPr>
              <w:t>ღამის</w:t>
            </w:r>
            <w:r w:rsidRPr="004E77BF">
              <w:rPr>
                <w:sz w:val="20"/>
              </w:rPr>
              <w:t xml:space="preserve"> </w:t>
            </w:r>
            <w:r w:rsidRPr="004E77BF">
              <w:rPr>
                <w:rFonts w:ascii="Sylfaen" w:hAnsi="Sylfaen" w:cs="Sylfaen"/>
                <w:sz w:val="20"/>
              </w:rPr>
              <w:t>საათებში</w:t>
            </w:r>
          </w:p>
          <w:p w14:paraId="02BE6D4F" w14:textId="77777777" w:rsidR="00D848EC" w:rsidRPr="004E77BF" w:rsidRDefault="00D848EC" w:rsidP="00D848EC">
            <w:pPr>
              <w:rPr>
                <w:sz w:val="20"/>
              </w:rPr>
            </w:pPr>
            <w:r w:rsidRPr="004E77BF">
              <w:rPr>
                <w:sz w:val="20"/>
              </w:rPr>
              <w:t>23.00-7.00</w:t>
            </w:r>
          </w:p>
        </w:tc>
      </w:tr>
      <w:tr w:rsidR="00D848EC" w:rsidRPr="004E77BF" w14:paraId="7A106766" w14:textId="77777777" w:rsidTr="00D848EC">
        <w:trPr>
          <w:jc w:val="center"/>
        </w:trPr>
        <w:tc>
          <w:tcPr>
            <w:tcW w:w="2541" w:type="pct"/>
            <w:tcBorders>
              <w:top w:val="single" w:sz="4" w:space="0" w:color="auto"/>
              <w:left w:val="single" w:sz="4" w:space="0" w:color="auto"/>
              <w:bottom w:val="single" w:sz="4" w:space="0" w:color="auto"/>
              <w:right w:val="single" w:sz="4" w:space="0" w:color="auto"/>
            </w:tcBorders>
            <w:hideMark/>
          </w:tcPr>
          <w:p w14:paraId="2992DA38" w14:textId="77777777" w:rsidR="00D848EC" w:rsidRPr="004E77BF" w:rsidRDefault="00D848EC" w:rsidP="00D848EC">
            <w:pPr>
              <w:rPr>
                <w:sz w:val="20"/>
              </w:rPr>
            </w:pPr>
            <w:r w:rsidRPr="004E77BF">
              <w:rPr>
                <w:rFonts w:ascii="Sylfaen" w:hAnsi="Sylfaen" w:cs="Sylfaen"/>
                <w:sz w:val="20"/>
              </w:rPr>
              <w:t>ხმაურის</w:t>
            </w:r>
            <w:r w:rsidRPr="004E77BF">
              <w:rPr>
                <w:sz w:val="20"/>
              </w:rPr>
              <w:t xml:space="preserve"> </w:t>
            </w:r>
            <w:r w:rsidRPr="004E77BF">
              <w:rPr>
                <w:rFonts w:ascii="Sylfaen" w:hAnsi="Sylfaen" w:cs="Sylfaen"/>
                <w:sz w:val="20"/>
              </w:rPr>
              <w:t>საშ</w:t>
            </w:r>
            <w:r w:rsidRPr="004E77BF">
              <w:rPr>
                <w:sz w:val="20"/>
              </w:rPr>
              <w:t xml:space="preserve">. </w:t>
            </w:r>
            <w:r w:rsidRPr="004E77BF">
              <w:rPr>
                <w:rFonts w:ascii="Sylfaen" w:hAnsi="Sylfaen" w:cs="Sylfaen"/>
                <w:sz w:val="20"/>
              </w:rPr>
              <w:t>დასაშვები</w:t>
            </w:r>
            <w:r w:rsidRPr="004E77BF">
              <w:rPr>
                <w:sz w:val="20"/>
              </w:rPr>
              <w:t xml:space="preserve"> </w:t>
            </w:r>
            <w:r w:rsidRPr="004E77BF">
              <w:rPr>
                <w:rFonts w:ascii="Sylfaen" w:hAnsi="Sylfaen" w:cs="Sylfaen"/>
                <w:sz w:val="20"/>
              </w:rPr>
              <w:t>დონე</w:t>
            </w:r>
            <w:r w:rsidRPr="004E77BF">
              <w:rPr>
                <w:sz w:val="20"/>
              </w:rPr>
              <w:t xml:space="preserve">, </w:t>
            </w:r>
            <w:r w:rsidRPr="004E77BF">
              <w:rPr>
                <w:rFonts w:ascii="Sylfaen" w:hAnsi="Sylfaen" w:cs="Sylfaen"/>
                <w:sz w:val="20"/>
              </w:rPr>
              <w:t>დბა</w:t>
            </w:r>
          </w:p>
        </w:tc>
        <w:tc>
          <w:tcPr>
            <w:tcW w:w="1351" w:type="pct"/>
            <w:tcBorders>
              <w:top w:val="single" w:sz="4" w:space="0" w:color="auto"/>
              <w:left w:val="single" w:sz="4" w:space="0" w:color="auto"/>
              <w:bottom w:val="single" w:sz="4" w:space="0" w:color="auto"/>
              <w:right w:val="single" w:sz="4" w:space="0" w:color="auto"/>
            </w:tcBorders>
            <w:hideMark/>
          </w:tcPr>
          <w:p w14:paraId="01CA6E63" w14:textId="77777777" w:rsidR="00D848EC" w:rsidRPr="004E77BF" w:rsidRDefault="00D848EC" w:rsidP="00D848EC">
            <w:pPr>
              <w:rPr>
                <w:sz w:val="20"/>
              </w:rPr>
            </w:pPr>
            <w:r w:rsidRPr="004E77BF">
              <w:rPr>
                <w:sz w:val="20"/>
              </w:rPr>
              <w:t>55</w:t>
            </w:r>
          </w:p>
        </w:tc>
        <w:tc>
          <w:tcPr>
            <w:tcW w:w="1108" w:type="pct"/>
            <w:tcBorders>
              <w:top w:val="single" w:sz="4" w:space="0" w:color="auto"/>
              <w:left w:val="single" w:sz="4" w:space="0" w:color="auto"/>
              <w:bottom w:val="single" w:sz="4" w:space="0" w:color="auto"/>
              <w:right w:val="single" w:sz="4" w:space="0" w:color="auto"/>
            </w:tcBorders>
            <w:hideMark/>
          </w:tcPr>
          <w:p w14:paraId="4DF98FD9" w14:textId="77777777" w:rsidR="00D848EC" w:rsidRPr="004E77BF" w:rsidRDefault="00D848EC" w:rsidP="00D848EC">
            <w:pPr>
              <w:rPr>
                <w:sz w:val="20"/>
              </w:rPr>
            </w:pPr>
            <w:r w:rsidRPr="004E77BF">
              <w:rPr>
                <w:sz w:val="20"/>
              </w:rPr>
              <w:t>45</w:t>
            </w:r>
          </w:p>
        </w:tc>
      </w:tr>
      <w:tr w:rsidR="00D848EC" w:rsidRPr="004E77BF" w14:paraId="6901C16B" w14:textId="77777777" w:rsidTr="00D848EC">
        <w:trPr>
          <w:jc w:val="center"/>
        </w:trPr>
        <w:tc>
          <w:tcPr>
            <w:tcW w:w="2541" w:type="pct"/>
            <w:tcBorders>
              <w:top w:val="single" w:sz="4" w:space="0" w:color="auto"/>
              <w:left w:val="single" w:sz="4" w:space="0" w:color="auto"/>
              <w:bottom w:val="single" w:sz="4" w:space="0" w:color="auto"/>
              <w:right w:val="single" w:sz="4" w:space="0" w:color="auto"/>
            </w:tcBorders>
            <w:hideMark/>
          </w:tcPr>
          <w:p w14:paraId="625BB6A7" w14:textId="77777777" w:rsidR="00D848EC" w:rsidRPr="004E77BF" w:rsidRDefault="00D848EC" w:rsidP="00D848EC">
            <w:pPr>
              <w:rPr>
                <w:sz w:val="20"/>
              </w:rPr>
            </w:pPr>
            <w:r w:rsidRPr="004E77BF">
              <w:rPr>
                <w:rFonts w:ascii="Sylfaen" w:hAnsi="Sylfaen" w:cs="Sylfaen"/>
                <w:sz w:val="20"/>
              </w:rPr>
              <w:t>ხმაურის</w:t>
            </w:r>
            <w:r w:rsidRPr="004E77BF">
              <w:rPr>
                <w:sz w:val="20"/>
              </w:rPr>
              <w:t xml:space="preserve"> </w:t>
            </w:r>
            <w:r w:rsidRPr="004E77BF">
              <w:rPr>
                <w:rFonts w:ascii="Sylfaen" w:hAnsi="Sylfaen" w:cs="Sylfaen"/>
                <w:sz w:val="20"/>
              </w:rPr>
              <w:t>მაქსიმალურად</w:t>
            </w:r>
            <w:r w:rsidRPr="004E77BF">
              <w:rPr>
                <w:sz w:val="20"/>
              </w:rPr>
              <w:t xml:space="preserve"> </w:t>
            </w:r>
            <w:r w:rsidRPr="004E77BF">
              <w:rPr>
                <w:rFonts w:ascii="Sylfaen" w:hAnsi="Sylfaen" w:cs="Sylfaen"/>
                <w:sz w:val="20"/>
              </w:rPr>
              <w:t>დასაშვები</w:t>
            </w:r>
            <w:r w:rsidRPr="004E77BF">
              <w:rPr>
                <w:sz w:val="20"/>
              </w:rPr>
              <w:t xml:space="preserve"> </w:t>
            </w:r>
            <w:r w:rsidRPr="004E77BF">
              <w:rPr>
                <w:rFonts w:ascii="Sylfaen" w:hAnsi="Sylfaen" w:cs="Sylfaen"/>
                <w:sz w:val="20"/>
              </w:rPr>
              <w:t>დონე</w:t>
            </w:r>
            <w:r w:rsidRPr="004E77BF">
              <w:rPr>
                <w:sz w:val="20"/>
              </w:rPr>
              <w:t xml:space="preserve">, </w:t>
            </w:r>
            <w:r w:rsidRPr="004E77BF">
              <w:rPr>
                <w:rFonts w:ascii="Sylfaen" w:hAnsi="Sylfaen" w:cs="Sylfaen"/>
                <w:sz w:val="20"/>
              </w:rPr>
              <w:t>დბა</w:t>
            </w:r>
          </w:p>
        </w:tc>
        <w:tc>
          <w:tcPr>
            <w:tcW w:w="1351" w:type="pct"/>
            <w:tcBorders>
              <w:top w:val="single" w:sz="4" w:space="0" w:color="auto"/>
              <w:left w:val="single" w:sz="4" w:space="0" w:color="auto"/>
              <w:bottom w:val="single" w:sz="4" w:space="0" w:color="auto"/>
              <w:right w:val="single" w:sz="4" w:space="0" w:color="auto"/>
            </w:tcBorders>
            <w:hideMark/>
          </w:tcPr>
          <w:p w14:paraId="737B1595" w14:textId="77777777" w:rsidR="00D848EC" w:rsidRPr="004E77BF" w:rsidRDefault="00D848EC" w:rsidP="00D848EC">
            <w:pPr>
              <w:rPr>
                <w:sz w:val="20"/>
              </w:rPr>
            </w:pPr>
            <w:r w:rsidRPr="004E77BF">
              <w:rPr>
                <w:sz w:val="20"/>
              </w:rPr>
              <w:t>70</w:t>
            </w:r>
          </w:p>
        </w:tc>
        <w:tc>
          <w:tcPr>
            <w:tcW w:w="1108" w:type="pct"/>
            <w:tcBorders>
              <w:top w:val="single" w:sz="4" w:space="0" w:color="auto"/>
              <w:left w:val="single" w:sz="4" w:space="0" w:color="auto"/>
              <w:bottom w:val="single" w:sz="4" w:space="0" w:color="auto"/>
              <w:right w:val="single" w:sz="4" w:space="0" w:color="auto"/>
            </w:tcBorders>
            <w:hideMark/>
          </w:tcPr>
          <w:p w14:paraId="53F7EB11" w14:textId="77777777" w:rsidR="00D848EC" w:rsidRPr="004E77BF" w:rsidRDefault="00D848EC" w:rsidP="00D848EC">
            <w:pPr>
              <w:rPr>
                <w:sz w:val="20"/>
              </w:rPr>
            </w:pPr>
            <w:r w:rsidRPr="004E77BF">
              <w:rPr>
                <w:sz w:val="20"/>
              </w:rPr>
              <w:t>60</w:t>
            </w:r>
          </w:p>
        </w:tc>
      </w:tr>
    </w:tbl>
    <w:p w14:paraId="03660256" w14:textId="50439239" w:rsidR="00D848EC" w:rsidRPr="001352AB" w:rsidRDefault="00D848EC" w:rsidP="00D848EC">
      <w:pPr>
        <w:spacing w:before="120" w:after="120"/>
      </w:pPr>
      <w:bookmarkStart w:id="25" w:name="_Ref465965282"/>
      <w:bookmarkStart w:id="26" w:name="_Ref465965899"/>
      <w:bookmarkStart w:id="27" w:name="_Toc466018797"/>
      <w:r w:rsidRPr="001352AB">
        <w:rPr>
          <w:rFonts w:ascii="Sylfaen" w:hAnsi="Sylfaen" w:cs="Sylfaen"/>
        </w:rPr>
        <w:t>ცხრილი</w:t>
      </w:r>
      <w:r w:rsidRPr="001352AB">
        <w:t xml:space="preserve"> 2</w:t>
      </w:r>
      <w:r w:rsidR="00BB3920">
        <w:rPr>
          <w:rFonts w:ascii="Sylfaen" w:hAnsi="Sylfaen"/>
          <w:lang w:val="ka-GE"/>
        </w:rPr>
        <w:t>.3</w:t>
      </w:r>
      <w:r w:rsidRPr="001352AB">
        <w:t>-</w:t>
      </w:r>
      <w:bookmarkEnd w:id="25"/>
      <w:bookmarkEnd w:id="26"/>
      <w:r w:rsidR="00BB3920">
        <w:rPr>
          <w:rFonts w:ascii="Sylfaen" w:hAnsi="Sylfaen"/>
          <w:lang w:val="ka-GE"/>
        </w:rPr>
        <w:t>2</w:t>
      </w:r>
      <w:r w:rsidRPr="001352AB">
        <w:t xml:space="preserve">: </w:t>
      </w:r>
      <w:bookmarkEnd w:id="27"/>
      <w:r w:rsidRPr="001352AB">
        <w:rPr>
          <w:rFonts w:ascii="Sylfaen" w:hAnsi="Sylfaen" w:cs="Sylfaen"/>
        </w:rPr>
        <w:t>ხმაურის</w:t>
      </w:r>
      <w:r w:rsidRPr="001352AB">
        <w:t xml:space="preserve"> </w:t>
      </w:r>
      <w:r w:rsidRPr="001352AB">
        <w:rPr>
          <w:rFonts w:ascii="Sylfaen" w:hAnsi="Sylfaen" w:cs="Sylfaen"/>
        </w:rPr>
        <w:t>ნორმები</w:t>
      </w:r>
      <w:r w:rsidRPr="001352AB">
        <w:t xml:space="preserve"> </w:t>
      </w:r>
      <w:r w:rsidRPr="001352AB">
        <w:rPr>
          <w:rFonts w:ascii="Sylfaen" w:hAnsi="Sylfaen" w:cs="Sylfaen"/>
        </w:rPr>
        <w:t>საერთაშორისო</w:t>
      </w:r>
      <w:r w:rsidRPr="001352AB">
        <w:t xml:space="preserve"> </w:t>
      </w:r>
      <w:r w:rsidRPr="001352AB">
        <w:rPr>
          <w:rFonts w:ascii="Sylfaen" w:hAnsi="Sylfaen" w:cs="Sylfaen"/>
        </w:rPr>
        <w:t>ფინანსური</w:t>
      </w:r>
      <w:r w:rsidRPr="001352AB">
        <w:t xml:space="preserve"> </w:t>
      </w:r>
      <w:r w:rsidRPr="001352AB">
        <w:rPr>
          <w:rFonts w:ascii="Sylfaen" w:hAnsi="Sylfaen" w:cs="Sylfaen"/>
        </w:rPr>
        <w:t>ინსტიტუტის</w:t>
      </w:r>
      <w:r w:rsidRPr="001352AB">
        <w:t xml:space="preserve"> </w:t>
      </w:r>
      <w:r w:rsidRPr="001352AB">
        <w:rPr>
          <w:rFonts w:ascii="Sylfaen" w:hAnsi="Sylfaen" w:cs="Sylfaen"/>
        </w:rPr>
        <w:t>მითითებების</w:t>
      </w:r>
      <w:r w:rsidRPr="001352AB">
        <w:t xml:space="preserve"> </w:t>
      </w:r>
      <w:r w:rsidRPr="001352AB">
        <w:rPr>
          <w:rFonts w:ascii="Sylfaen" w:hAnsi="Sylfaen" w:cs="Sylfaen"/>
        </w:rPr>
        <w:t>მიხედვით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5409"/>
        <w:gridCol w:w="2678"/>
        <w:gridCol w:w="2343"/>
      </w:tblGrid>
      <w:tr w:rsidR="00D848EC" w:rsidRPr="004E77BF" w14:paraId="55626140" w14:textId="77777777" w:rsidTr="004E77BF">
        <w:trPr>
          <w:jc w:val="center"/>
        </w:trPr>
        <w:tc>
          <w:tcPr>
            <w:tcW w:w="2593" w:type="pct"/>
            <w:tcBorders>
              <w:top w:val="single" w:sz="4" w:space="0" w:color="auto"/>
              <w:left w:val="single" w:sz="4" w:space="0" w:color="auto"/>
              <w:bottom w:val="single" w:sz="4" w:space="0" w:color="auto"/>
              <w:right w:val="single" w:sz="4" w:space="0" w:color="auto"/>
            </w:tcBorders>
          </w:tcPr>
          <w:p w14:paraId="7B745642" w14:textId="77777777" w:rsidR="00D848EC" w:rsidRPr="004E77BF" w:rsidRDefault="00D848EC" w:rsidP="00D848EC">
            <w:pPr>
              <w:rPr>
                <w:sz w:val="20"/>
              </w:rPr>
            </w:pPr>
          </w:p>
        </w:tc>
        <w:tc>
          <w:tcPr>
            <w:tcW w:w="2407" w:type="pct"/>
            <w:gridSpan w:val="2"/>
            <w:tcBorders>
              <w:top w:val="single" w:sz="4" w:space="0" w:color="auto"/>
              <w:left w:val="single" w:sz="4" w:space="0" w:color="auto"/>
              <w:bottom w:val="single" w:sz="4" w:space="0" w:color="auto"/>
              <w:right w:val="single" w:sz="4" w:space="0" w:color="auto"/>
            </w:tcBorders>
            <w:hideMark/>
          </w:tcPr>
          <w:p w14:paraId="391E2AF2" w14:textId="77777777" w:rsidR="00D848EC" w:rsidRPr="004E77BF" w:rsidRDefault="00D848EC" w:rsidP="00D848EC">
            <w:pPr>
              <w:rPr>
                <w:sz w:val="20"/>
              </w:rPr>
            </w:pPr>
            <w:r w:rsidRPr="004E77BF">
              <w:rPr>
                <w:rFonts w:ascii="Sylfaen" w:hAnsi="Sylfaen" w:cs="Sylfaen"/>
                <w:sz w:val="20"/>
              </w:rPr>
              <w:t>ერტი</w:t>
            </w:r>
            <w:r w:rsidRPr="004E77BF">
              <w:rPr>
                <w:sz w:val="20"/>
              </w:rPr>
              <w:t xml:space="preserve"> </w:t>
            </w:r>
            <w:r w:rsidRPr="004E77BF">
              <w:rPr>
                <w:rFonts w:ascii="Sylfaen" w:hAnsi="Sylfaen" w:cs="Sylfaen"/>
                <w:sz w:val="20"/>
              </w:rPr>
              <w:t>საათი</w:t>
            </w:r>
            <w:r w:rsidRPr="004E77BF">
              <w:rPr>
                <w:sz w:val="20"/>
              </w:rPr>
              <w:t xml:space="preserve"> Laeq (</w:t>
            </w:r>
            <w:r w:rsidRPr="004E77BF">
              <w:rPr>
                <w:rFonts w:ascii="Sylfaen" w:hAnsi="Sylfaen" w:cs="Sylfaen"/>
                <w:sz w:val="20"/>
              </w:rPr>
              <w:t>დბ</w:t>
            </w:r>
            <w:r w:rsidRPr="004E77BF">
              <w:rPr>
                <w:sz w:val="20"/>
              </w:rPr>
              <w:t>)</w:t>
            </w:r>
          </w:p>
        </w:tc>
      </w:tr>
      <w:tr w:rsidR="00D848EC" w:rsidRPr="004E77BF" w14:paraId="191F352F" w14:textId="77777777" w:rsidTr="004E77BF">
        <w:trPr>
          <w:jc w:val="center"/>
        </w:trPr>
        <w:tc>
          <w:tcPr>
            <w:tcW w:w="2593" w:type="pct"/>
            <w:tcBorders>
              <w:top w:val="single" w:sz="4" w:space="0" w:color="auto"/>
              <w:left w:val="single" w:sz="4" w:space="0" w:color="auto"/>
              <w:bottom w:val="single" w:sz="4" w:space="0" w:color="auto"/>
              <w:right w:val="single" w:sz="4" w:space="0" w:color="auto"/>
            </w:tcBorders>
            <w:hideMark/>
          </w:tcPr>
          <w:p w14:paraId="3A39BE33" w14:textId="77777777" w:rsidR="00D848EC" w:rsidRPr="004E77BF" w:rsidRDefault="00D848EC" w:rsidP="00D848EC">
            <w:pPr>
              <w:rPr>
                <w:sz w:val="20"/>
              </w:rPr>
            </w:pPr>
            <w:r w:rsidRPr="004E77BF">
              <w:rPr>
                <w:rFonts w:ascii="Sylfaen" w:hAnsi="Sylfaen" w:cs="Sylfaen"/>
                <w:sz w:val="20"/>
              </w:rPr>
              <w:t>რეცეპტორი</w:t>
            </w:r>
          </w:p>
        </w:tc>
        <w:tc>
          <w:tcPr>
            <w:tcW w:w="1284" w:type="pct"/>
            <w:tcBorders>
              <w:top w:val="single" w:sz="4" w:space="0" w:color="auto"/>
              <w:left w:val="single" w:sz="4" w:space="0" w:color="auto"/>
              <w:bottom w:val="single" w:sz="4" w:space="0" w:color="auto"/>
              <w:right w:val="single" w:sz="4" w:space="0" w:color="auto"/>
            </w:tcBorders>
            <w:hideMark/>
          </w:tcPr>
          <w:p w14:paraId="54427E39" w14:textId="77777777" w:rsidR="00D848EC" w:rsidRPr="004E77BF" w:rsidRDefault="00D848EC" w:rsidP="00D848EC">
            <w:pPr>
              <w:rPr>
                <w:sz w:val="20"/>
              </w:rPr>
            </w:pPr>
            <w:r w:rsidRPr="004E77BF">
              <w:rPr>
                <w:rFonts w:ascii="Sylfaen" w:hAnsi="Sylfaen" w:cs="Sylfaen"/>
                <w:sz w:val="20"/>
              </w:rPr>
              <w:t>დღის</w:t>
            </w:r>
            <w:r w:rsidRPr="004E77BF">
              <w:rPr>
                <w:sz w:val="20"/>
              </w:rPr>
              <w:t xml:space="preserve"> </w:t>
            </w:r>
            <w:r w:rsidRPr="004E77BF">
              <w:rPr>
                <w:rFonts w:ascii="Sylfaen" w:hAnsi="Sylfaen" w:cs="Sylfaen"/>
                <w:sz w:val="20"/>
              </w:rPr>
              <w:t>საათებში</w:t>
            </w:r>
          </w:p>
          <w:p w14:paraId="15F1266E" w14:textId="77777777" w:rsidR="00D848EC" w:rsidRPr="004E77BF" w:rsidRDefault="00D848EC" w:rsidP="00D848EC">
            <w:pPr>
              <w:rPr>
                <w:sz w:val="20"/>
              </w:rPr>
            </w:pPr>
            <w:r w:rsidRPr="004E77BF">
              <w:rPr>
                <w:rFonts w:eastAsia="Calibri"/>
                <w:sz w:val="20"/>
              </w:rPr>
              <w:t xml:space="preserve">07.00-23.00 </w:t>
            </w:r>
          </w:p>
        </w:tc>
        <w:tc>
          <w:tcPr>
            <w:tcW w:w="1123" w:type="pct"/>
            <w:tcBorders>
              <w:top w:val="single" w:sz="4" w:space="0" w:color="auto"/>
              <w:left w:val="single" w:sz="4" w:space="0" w:color="auto"/>
              <w:bottom w:val="single" w:sz="4" w:space="0" w:color="auto"/>
              <w:right w:val="single" w:sz="4" w:space="0" w:color="auto"/>
            </w:tcBorders>
            <w:hideMark/>
          </w:tcPr>
          <w:p w14:paraId="5F5BF5A4" w14:textId="77777777" w:rsidR="00D848EC" w:rsidRPr="004E77BF" w:rsidRDefault="00D848EC" w:rsidP="00D848EC">
            <w:pPr>
              <w:rPr>
                <w:rFonts w:eastAsia="Calibri"/>
                <w:sz w:val="20"/>
              </w:rPr>
            </w:pPr>
            <w:r w:rsidRPr="004E77BF">
              <w:rPr>
                <w:rFonts w:ascii="Sylfaen" w:hAnsi="Sylfaen" w:cs="Sylfaen"/>
                <w:sz w:val="20"/>
              </w:rPr>
              <w:t>ღამის</w:t>
            </w:r>
            <w:r w:rsidRPr="004E77BF">
              <w:rPr>
                <w:sz w:val="20"/>
              </w:rPr>
              <w:t xml:space="preserve"> </w:t>
            </w:r>
            <w:r w:rsidRPr="004E77BF">
              <w:rPr>
                <w:rFonts w:ascii="Sylfaen" w:hAnsi="Sylfaen" w:cs="Sylfaen"/>
                <w:sz w:val="20"/>
              </w:rPr>
              <w:t>საათებში</w:t>
            </w:r>
          </w:p>
          <w:p w14:paraId="65EB90CF" w14:textId="77777777" w:rsidR="00D848EC" w:rsidRPr="004E77BF" w:rsidRDefault="00D848EC" w:rsidP="00D848EC">
            <w:pPr>
              <w:rPr>
                <w:sz w:val="20"/>
              </w:rPr>
            </w:pPr>
            <w:r w:rsidRPr="004E77BF">
              <w:rPr>
                <w:sz w:val="20"/>
              </w:rPr>
              <w:t>23.00-7.00</w:t>
            </w:r>
          </w:p>
        </w:tc>
      </w:tr>
      <w:tr w:rsidR="00D848EC" w:rsidRPr="004E77BF" w14:paraId="247BB81F" w14:textId="77777777" w:rsidTr="004E77BF">
        <w:trPr>
          <w:jc w:val="center"/>
        </w:trPr>
        <w:tc>
          <w:tcPr>
            <w:tcW w:w="2593" w:type="pct"/>
            <w:tcBorders>
              <w:top w:val="single" w:sz="4" w:space="0" w:color="auto"/>
              <w:left w:val="single" w:sz="4" w:space="0" w:color="auto"/>
              <w:bottom w:val="single" w:sz="4" w:space="0" w:color="auto"/>
              <w:right w:val="single" w:sz="4" w:space="0" w:color="auto"/>
            </w:tcBorders>
            <w:hideMark/>
          </w:tcPr>
          <w:p w14:paraId="5D4819B3" w14:textId="79B79529" w:rsidR="00D848EC" w:rsidRPr="004E77BF" w:rsidRDefault="00D848EC" w:rsidP="004E77BF">
            <w:pPr>
              <w:rPr>
                <w:sz w:val="20"/>
              </w:rPr>
            </w:pPr>
            <w:r w:rsidRPr="004E77BF">
              <w:rPr>
                <w:rFonts w:ascii="Sylfaen" w:hAnsi="Sylfaen" w:cs="Sylfaen"/>
                <w:sz w:val="20"/>
              </w:rPr>
              <w:t>საცხოვრებელი</w:t>
            </w:r>
            <w:r w:rsidRPr="004E77BF">
              <w:rPr>
                <w:sz w:val="20"/>
              </w:rPr>
              <w:t>,</w:t>
            </w:r>
            <w:r w:rsidR="004E77BF">
              <w:rPr>
                <w:sz w:val="20"/>
              </w:rPr>
              <w:t xml:space="preserve"> </w:t>
            </w:r>
            <w:r w:rsidRPr="004E77BF">
              <w:rPr>
                <w:rFonts w:ascii="Sylfaen" w:hAnsi="Sylfaen" w:cs="Sylfaen"/>
                <w:sz w:val="20"/>
              </w:rPr>
              <w:t>დაწესებულებები</w:t>
            </w:r>
            <w:r w:rsidRPr="004E77BF">
              <w:rPr>
                <w:sz w:val="20"/>
              </w:rPr>
              <w:t xml:space="preserve">, </w:t>
            </w:r>
            <w:r w:rsidRPr="004E77BF">
              <w:rPr>
                <w:rFonts w:ascii="Sylfaen" w:hAnsi="Sylfaen" w:cs="Sylfaen"/>
                <w:sz w:val="20"/>
              </w:rPr>
              <w:t>საგანმანათლებლო</w:t>
            </w:r>
            <w:r w:rsidRPr="004E77BF">
              <w:rPr>
                <w:sz w:val="20"/>
              </w:rPr>
              <w:t xml:space="preserve"> </w:t>
            </w:r>
          </w:p>
        </w:tc>
        <w:tc>
          <w:tcPr>
            <w:tcW w:w="1284" w:type="pct"/>
            <w:tcBorders>
              <w:top w:val="single" w:sz="4" w:space="0" w:color="auto"/>
              <w:left w:val="single" w:sz="4" w:space="0" w:color="auto"/>
              <w:bottom w:val="single" w:sz="4" w:space="0" w:color="auto"/>
              <w:right w:val="single" w:sz="4" w:space="0" w:color="auto"/>
            </w:tcBorders>
            <w:hideMark/>
          </w:tcPr>
          <w:p w14:paraId="320EC8C3" w14:textId="77777777" w:rsidR="00D848EC" w:rsidRPr="004E77BF" w:rsidRDefault="00D848EC" w:rsidP="00D848EC">
            <w:pPr>
              <w:rPr>
                <w:sz w:val="20"/>
              </w:rPr>
            </w:pPr>
            <w:r w:rsidRPr="004E77BF">
              <w:rPr>
                <w:sz w:val="20"/>
              </w:rPr>
              <w:t>55</w:t>
            </w:r>
          </w:p>
        </w:tc>
        <w:tc>
          <w:tcPr>
            <w:tcW w:w="1123" w:type="pct"/>
            <w:tcBorders>
              <w:top w:val="single" w:sz="4" w:space="0" w:color="auto"/>
              <w:left w:val="single" w:sz="4" w:space="0" w:color="auto"/>
              <w:bottom w:val="single" w:sz="4" w:space="0" w:color="auto"/>
              <w:right w:val="single" w:sz="4" w:space="0" w:color="auto"/>
            </w:tcBorders>
            <w:hideMark/>
          </w:tcPr>
          <w:p w14:paraId="7C38A76B" w14:textId="77777777" w:rsidR="00D848EC" w:rsidRPr="004E77BF" w:rsidRDefault="00D848EC" w:rsidP="00D848EC">
            <w:pPr>
              <w:rPr>
                <w:sz w:val="20"/>
              </w:rPr>
            </w:pPr>
            <w:r w:rsidRPr="004E77BF">
              <w:rPr>
                <w:sz w:val="20"/>
              </w:rPr>
              <w:t>45</w:t>
            </w:r>
          </w:p>
        </w:tc>
      </w:tr>
      <w:tr w:rsidR="00D848EC" w:rsidRPr="004E77BF" w14:paraId="6BDFB556" w14:textId="77777777" w:rsidTr="004E77BF">
        <w:trPr>
          <w:jc w:val="center"/>
        </w:trPr>
        <w:tc>
          <w:tcPr>
            <w:tcW w:w="2593" w:type="pct"/>
            <w:tcBorders>
              <w:top w:val="single" w:sz="4" w:space="0" w:color="auto"/>
              <w:left w:val="single" w:sz="4" w:space="0" w:color="auto"/>
              <w:bottom w:val="single" w:sz="4" w:space="0" w:color="auto"/>
              <w:right w:val="single" w:sz="4" w:space="0" w:color="auto"/>
            </w:tcBorders>
            <w:hideMark/>
          </w:tcPr>
          <w:p w14:paraId="395347AB" w14:textId="77777777" w:rsidR="00D848EC" w:rsidRPr="004E77BF" w:rsidRDefault="00D848EC" w:rsidP="00D848EC">
            <w:pPr>
              <w:rPr>
                <w:sz w:val="20"/>
              </w:rPr>
            </w:pPr>
            <w:r w:rsidRPr="004E77BF">
              <w:rPr>
                <w:rFonts w:ascii="Sylfaen" w:hAnsi="Sylfaen" w:cs="Sylfaen"/>
                <w:sz w:val="20"/>
              </w:rPr>
              <w:t>სამრეწველო</w:t>
            </w:r>
            <w:r w:rsidRPr="004E77BF">
              <w:rPr>
                <w:sz w:val="20"/>
              </w:rPr>
              <w:t xml:space="preserve">, </w:t>
            </w:r>
            <w:r w:rsidRPr="004E77BF">
              <w:rPr>
                <w:rFonts w:ascii="Sylfaen" w:hAnsi="Sylfaen" w:cs="Sylfaen"/>
                <w:sz w:val="20"/>
              </w:rPr>
              <w:t>კომერციული</w:t>
            </w:r>
          </w:p>
        </w:tc>
        <w:tc>
          <w:tcPr>
            <w:tcW w:w="1284" w:type="pct"/>
            <w:tcBorders>
              <w:top w:val="single" w:sz="4" w:space="0" w:color="auto"/>
              <w:left w:val="single" w:sz="4" w:space="0" w:color="auto"/>
              <w:bottom w:val="single" w:sz="4" w:space="0" w:color="auto"/>
              <w:right w:val="single" w:sz="4" w:space="0" w:color="auto"/>
            </w:tcBorders>
            <w:hideMark/>
          </w:tcPr>
          <w:p w14:paraId="4AF12CC2" w14:textId="77777777" w:rsidR="00D848EC" w:rsidRPr="004E77BF" w:rsidRDefault="00D848EC" w:rsidP="00D848EC">
            <w:pPr>
              <w:rPr>
                <w:sz w:val="20"/>
              </w:rPr>
            </w:pPr>
            <w:r w:rsidRPr="004E77BF">
              <w:rPr>
                <w:sz w:val="20"/>
              </w:rPr>
              <w:t>70</w:t>
            </w:r>
          </w:p>
        </w:tc>
        <w:tc>
          <w:tcPr>
            <w:tcW w:w="1123" w:type="pct"/>
            <w:tcBorders>
              <w:top w:val="single" w:sz="4" w:space="0" w:color="auto"/>
              <w:left w:val="single" w:sz="4" w:space="0" w:color="auto"/>
              <w:bottom w:val="single" w:sz="4" w:space="0" w:color="auto"/>
              <w:right w:val="single" w:sz="4" w:space="0" w:color="auto"/>
            </w:tcBorders>
            <w:hideMark/>
          </w:tcPr>
          <w:p w14:paraId="214EECD0" w14:textId="77777777" w:rsidR="00D848EC" w:rsidRPr="004E77BF" w:rsidRDefault="00D848EC" w:rsidP="00D848EC">
            <w:pPr>
              <w:rPr>
                <w:sz w:val="20"/>
              </w:rPr>
            </w:pPr>
            <w:r w:rsidRPr="004E77BF">
              <w:rPr>
                <w:sz w:val="20"/>
              </w:rPr>
              <w:t>70</w:t>
            </w:r>
          </w:p>
        </w:tc>
      </w:tr>
    </w:tbl>
    <w:p w14:paraId="003C92EA" w14:textId="10396855" w:rsidR="00D848EC" w:rsidRPr="001352AB" w:rsidRDefault="00D848EC" w:rsidP="00D848EC">
      <w:pPr>
        <w:spacing w:before="120" w:after="120"/>
      </w:pPr>
      <w:r w:rsidRPr="00BB3920">
        <w:rPr>
          <w:rFonts w:ascii="Sylfaen" w:eastAsia="Calibri" w:hAnsi="Sylfaen" w:cs="Sylfaen"/>
        </w:rPr>
        <w:t>როგორც</w:t>
      </w:r>
      <w:r w:rsidRPr="00BB3920">
        <w:rPr>
          <w:rFonts w:ascii="Sylfaen" w:eastAsia="Calibri" w:hAnsi="Sylfaen"/>
        </w:rPr>
        <w:t xml:space="preserve"> 2.</w:t>
      </w:r>
      <w:r w:rsidR="00BB3920" w:rsidRPr="00BB3920">
        <w:rPr>
          <w:rFonts w:ascii="Sylfaen" w:eastAsia="Calibri" w:hAnsi="Sylfaen"/>
          <w:lang w:val="ka-GE"/>
        </w:rPr>
        <w:t>3-</w:t>
      </w:r>
      <w:r w:rsidR="00BB3920">
        <w:rPr>
          <w:rFonts w:ascii="Sylfaen" w:eastAsia="Calibri" w:hAnsi="Sylfaen"/>
          <w:lang w:val="ka-GE"/>
        </w:rPr>
        <w:t>1</w:t>
      </w:r>
      <w:r w:rsidRPr="00BB3920">
        <w:rPr>
          <w:rFonts w:ascii="Sylfaen" w:eastAsia="Calibri" w:hAnsi="Sylfaen"/>
        </w:rPr>
        <w:t xml:space="preserve"> </w:t>
      </w:r>
      <w:r w:rsidRPr="00BB3920">
        <w:rPr>
          <w:rFonts w:ascii="Sylfaen" w:eastAsia="Calibri" w:hAnsi="Sylfaen" w:cs="Sylfaen"/>
        </w:rPr>
        <w:t>და</w:t>
      </w:r>
      <w:r w:rsidRPr="00BB3920">
        <w:rPr>
          <w:rFonts w:ascii="Sylfaen" w:eastAsia="Calibri" w:hAnsi="Sylfaen"/>
        </w:rPr>
        <w:t xml:space="preserve"> 2.</w:t>
      </w:r>
      <w:r w:rsidR="00BB3920">
        <w:rPr>
          <w:rFonts w:ascii="Sylfaen" w:eastAsia="Calibri" w:hAnsi="Sylfaen"/>
          <w:lang w:val="ka-GE"/>
        </w:rPr>
        <w:t>3-2</w:t>
      </w:r>
      <w:r w:rsidRPr="00BB3920">
        <w:rPr>
          <w:rFonts w:ascii="Sylfaen" w:eastAsia="Calibri" w:hAnsi="Sylfaen"/>
        </w:rPr>
        <w:t xml:space="preserve"> </w:t>
      </w:r>
      <w:r w:rsidRPr="00BB3920">
        <w:rPr>
          <w:rFonts w:ascii="Sylfaen" w:eastAsia="Calibri" w:hAnsi="Sylfaen" w:cs="Sylfaen"/>
        </w:rPr>
        <w:t>ცხრილებშია</w:t>
      </w:r>
      <w:r w:rsidRPr="001352AB">
        <w:rPr>
          <w:rFonts w:eastAsia="Calibri"/>
        </w:rPr>
        <w:t xml:space="preserve"> </w:t>
      </w:r>
      <w:r w:rsidRPr="001352AB">
        <w:rPr>
          <w:rFonts w:ascii="Sylfaen" w:eastAsia="Calibri" w:hAnsi="Sylfaen" w:cs="Sylfaen"/>
        </w:rPr>
        <w:t>ნაჩვენები</w:t>
      </w:r>
      <w:r w:rsidRPr="001352AB">
        <w:rPr>
          <w:rFonts w:eastAsia="Calibri"/>
        </w:rPr>
        <w:t xml:space="preserve">, </w:t>
      </w:r>
      <w:r w:rsidRPr="001352AB">
        <w:rPr>
          <w:rFonts w:ascii="Sylfaen" w:eastAsia="Calibri" w:hAnsi="Sylfaen" w:cs="Sylfaen"/>
        </w:rPr>
        <w:t>ორივე</w:t>
      </w:r>
      <w:r w:rsidRPr="001352AB">
        <w:rPr>
          <w:rFonts w:eastAsia="Calibri"/>
        </w:rPr>
        <w:t xml:space="preserve"> </w:t>
      </w:r>
      <w:r w:rsidRPr="001352AB">
        <w:rPr>
          <w:rFonts w:ascii="Sylfaen" w:eastAsia="Calibri" w:hAnsi="Sylfaen" w:cs="Sylfaen"/>
        </w:rPr>
        <w:t>სტანდარტი</w:t>
      </w:r>
      <w:r w:rsidRPr="001352AB">
        <w:rPr>
          <w:rFonts w:eastAsia="Calibri"/>
        </w:rPr>
        <w:t xml:space="preserve"> (IFC </w:t>
      </w:r>
      <w:r w:rsidRPr="001352AB">
        <w:rPr>
          <w:rFonts w:ascii="Sylfaen" w:eastAsia="Calibri" w:hAnsi="Sylfaen" w:cs="Sylfaen"/>
        </w:rPr>
        <w:t>და</w:t>
      </w:r>
      <w:r w:rsidRPr="001352AB">
        <w:rPr>
          <w:rFonts w:eastAsia="Calibri"/>
        </w:rPr>
        <w:t xml:space="preserve"> </w:t>
      </w:r>
      <w:r w:rsidRPr="001352AB">
        <w:rPr>
          <w:rFonts w:ascii="Sylfaen" w:eastAsia="Calibri" w:hAnsi="Sylfaen" w:cs="Sylfaen"/>
        </w:rPr>
        <w:t>საქართველოს</w:t>
      </w:r>
      <w:r w:rsidRPr="001352AB">
        <w:rPr>
          <w:rFonts w:eastAsia="Calibri"/>
        </w:rPr>
        <w:t xml:space="preserve">) </w:t>
      </w:r>
      <w:r w:rsidRPr="001352AB">
        <w:rPr>
          <w:rFonts w:ascii="Sylfaen" w:eastAsia="Calibri" w:hAnsi="Sylfaen" w:cs="Sylfaen"/>
        </w:rPr>
        <w:t>ითვალისწინებს</w:t>
      </w:r>
      <w:r w:rsidRPr="001352AB">
        <w:rPr>
          <w:rFonts w:eastAsia="Calibri"/>
        </w:rPr>
        <w:t xml:space="preserve"> </w:t>
      </w:r>
      <w:r w:rsidRPr="001352AB">
        <w:rPr>
          <w:rFonts w:ascii="Sylfaen" w:eastAsia="Calibri" w:hAnsi="Sylfaen" w:cs="Sylfaen"/>
        </w:rPr>
        <w:t>ეკვივალენტური</w:t>
      </w:r>
      <w:r w:rsidRPr="001352AB">
        <w:rPr>
          <w:rFonts w:eastAsia="Calibri"/>
        </w:rPr>
        <w:t xml:space="preserve"> </w:t>
      </w:r>
      <w:r w:rsidRPr="001352AB">
        <w:rPr>
          <w:rFonts w:ascii="Sylfaen" w:eastAsia="Calibri" w:hAnsi="Sylfaen" w:cs="Sylfaen"/>
        </w:rPr>
        <w:t>ხმაურის</w:t>
      </w:r>
      <w:r w:rsidRPr="001352AB">
        <w:rPr>
          <w:rFonts w:eastAsia="Calibri"/>
        </w:rPr>
        <w:t xml:space="preserve"> </w:t>
      </w:r>
      <w:r w:rsidRPr="001352AB">
        <w:rPr>
          <w:rFonts w:ascii="Sylfaen" w:eastAsia="Calibri" w:hAnsi="Sylfaen" w:cs="Sylfaen"/>
        </w:rPr>
        <w:t>ერთნაირ</w:t>
      </w:r>
      <w:r w:rsidRPr="001352AB">
        <w:rPr>
          <w:rFonts w:eastAsia="Calibri"/>
        </w:rPr>
        <w:t xml:space="preserve"> </w:t>
      </w:r>
      <w:r w:rsidRPr="001352AB">
        <w:rPr>
          <w:rFonts w:ascii="Sylfaen" w:eastAsia="Calibri" w:hAnsi="Sylfaen" w:cs="Sylfaen"/>
        </w:rPr>
        <w:t>დასაშვებ</w:t>
      </w:r>
      <w:r w:rsidRPr="001352AB">
        <w:rPr>
          <w:rFonts w:eastAsia="Calibri"/>
        </w:rPr>
        <w:t xml:space="preserve"> </w:t>
      </w:r>
      <w:r w:rsidRPr="001352AB">
        <w:rPr>
          <w:rFonts w:ascii="Sylfaen" w:eastAsia="Calibri" w:hAnsi="Sylfaen" w:cs="Sylfaen"/>
        </w:rPr>
        <w:t>ზღვრებს</w:t>
      </w:r>
      <w:r w:rsidRPr="001352AB">
        <w:rPr>
          <w:rFonts w:eastAsia="Calibri"/>
        </w:rPr>
        <w:t xml:space="preserve">: 45 </w:t>
      </w:r>
      <w:r w:rsidRPr="001352AB">
        <w:rPr>
          <w:rFonts w:ascii="Sylfaen" w:eastAsia="Calibri" w:hAnsi="Sylfaen" w:cs="Sylfaen"/>
        </w:rPr>
        <w:t>დბ</w:t>
      </w:r>
      <w:r w:rsidRPr="001352AB">
        <w:rPr>
          <w:rFonts w:eastAsia="Calibri"/>
        </w:rPr>
        <w:t xml:space="preserve"> </w:t>
      </w:r>
      <w:r w:rsidRPr="001352AB">
        <w:rPr>
          <w:rFonts w:ascii="Sylfaen" w:eastAsia="Calibri" w:hAnsi="Sylfaen" w:cs="Sylfaen"/>
        </w:rPr>
        <w:t>ღამით</w:t>
      </w:r>
      <w:r w:rsidRPr="001352AB">
        <w:rPr>
          <w:rFonts w:eastAsia="Calibri"/>
        </w:rPr>
        <w:t xml:space="preserve"> </w:t>
      </w:r>
      <w:r w:rsidRPr="001352AB">
        <w:rPr>
          <w:rFonts w:ascii="Sylfaen" w:eastAsia="Calibri" w:hAnsi="Sylfaen" w:cs="Sylfaen"/>
        </w:rPr>
        <w:t>და</w:t>
      </w:r>
      <w:r w:rsidRPr="001352AB">
        <w:rPr>
          <w:rFonts w:eastAsia="Calibri"/>
        </w:rPr>
        <w:t xml:space="preserve"> 55 </w:t>
      </w:r>
      <w:r w:rsidRPr="001352AB">
        <w:rPr>
          <w:rFonts w:ascii="Sylfaen" w:eastAsia="Calibri" w:hAnsi="Sylfaen" w:cs="Sylfaen"/>
        </w:rPr>
        <w:t>დბ</w:t>
      </w:r>
      <w:r w:rsidRPr="001352AB">
        <w:rPr>
          <w:rFonts w:eastAsia="Calibri"/>
        </w:rPr>
        <w:t xml:space="preserve"> </w:t>
      </w:r>
      <w:r w:rsidRPr="001352AB">
        <w:rPr>
          <w:rFonts w:ascii="Sylfaen" w:eastAsia="Calibri" w:hAnsi="Sylfaen" w:cs="Sylfaen"/>
        </w:rPr>
        <w:t>დღისით</w:t>
      </w:r>
      <w:r w:rsidRPr="001352AB">
        <w:rPr>
          <w:rFonts w:eastAsia="Calibri"/>
        </w:rPr>
        <w:t>.</w:t>
      </w:r>
    </w:p>
    <w:p w14:paraId="7651D0E6" w14:textId="30AD44BF" w:rsidR="00D848EC" w:rsidRDefault="00D848EC" w:rsidP="00D848EC">
      <w:pPr>
        <w:rPr>
          <w:rFonts w:eastAsia="Calibri"/>
        </w:rPr>
      </w:pPr>
    </w:p>
    <w:p w14:paraId="02331BFF" w14:textId="7DC5B97C" w:rsidR="004E77BF" w:rsidRDefault="004E77BF" w:rsidP="00D848EC">
      <w:pPr>
        <w:rPr>
          <w:rFonts w:eastAsia="Calibri"/>
        </w:rPr>
      </w:pPr>
    </w:p>
    <w:p w14:paraId="2569BE91" w14:textId="64C07619" w:rsidR="004E77BF" w:rsidRDefault="004E77BF" w:rsidP="00D848EC">
      <w:pPr>
        <w:rPr>
          <w:rFonts w:eastAsia="Calibri"/>
        </w:rPr>
      </w:pPr>
    </w:p>
    <w:p w14:paraId="467F8A7A" w14:textId="25F04BA7" w:rsidR="004E77BF" w:rsidRDefault="004E77BF" w:rsidP="00D848EC">
      <w:pPr>
        <w:rPr>
          <w:rFonts w:eastAsia="Calibri"/>
        </w:rPr>
      </w:pPr>
    </w:p>
    <w:p w14:paraId="0E931DA3" w14:textId="3CE4B322" w:rsidR="004E77BF" w:rsidRDefault="004E77BF" w:rsidP="00D848EC">
      <w:pPr>
        <w:rPr>
          <w:rFonts w:eastAsia="Calibri"/>
        </w:rPr>
      </w:pPr>
    </w:p>
    <w:p w14:paraId="2CB8ECAE" w14:textId="4D5C9412" w:rsidR="004E77BF" w:rsidRDefault="004E77BF" w:rsidP="00D848EC">
      <w:pPr>
        <w:rPr>
          <w:rFonts w:eastAsia="Calibri"/>
        </w:rPr>
      </w:pPr>
    </w:p>
    <w:p w14:paraId="73A94D9A" w14:textId="41130FB2" w:rsidR="004E77BF" w:rsidRDefault="004E77BF" w:rsidP="00D848EC">
      <w:pPr>
        <w:rPr>
          <w:rFonts w:eastAsia="Calibri"/>
        </w:rPr>
      </w:pPr>
    </w:p>
    <w:p w14:paraId="134DF828" w14:textId="3135DDDD" w:rsidR="004E77BF" w:rsidRDefault="004E77BF" w:rsidP="00D848EC">
      <w:pPr>
        <w:rPr>
          <w:rFonts w:eastAsia="Calibri"/>
        </w:rPr>
      </w:pPr>
    </w:p>
    <w:p w14:paraId="7A8D3E20" w14:textId="17953F79" w:rsidR="004E77BF" w:rsidRDefault="004E77BF" w:rsidP="00D848EC">
      <w:pPr>
        <w:rPr>
          <w:rFonts w:eastAsia="Calibri"/>
        </w:rPr>
      </w:pPr>
    </w:p>
    <w:p w14:paraId="53B0C385" w14:textId="3F49B8DB" w:rsidR="004E77BF" w:rsidRDefault="004E77BF" w:rsidP="00D848EC">
      <w:pPr>
        <w:rPr>
          <w:rFonts w:eastAsia="Calibri"/>
        </w:rPr>
      </w:pPr>
    </w:p>
    <w:p w14:paraId="0A4586D9" w14:textId="2852EBC8" w:rsidR="004E77BF" w:rsidRDefault="004E77BF" w:rsidP="00D848EC">
      <w:pPr>
        <w:rPr>
          <w:rFonts w:eastAsia="Calibri"/>
        </w:rPr>
      </w:pPr>
    </w:p>
    <w:p w14:paraId="102C0CEF" w14:textId="04F8E5EC" w:rsidR="004E77BF" w:rsidRDefault="004E77BF" w:rsidP="00D848EC">
      <w:pPr>
        <w:rPr>
          <w:rFonts w:eastAsia="Calibri"/>
        </w:rPr>
      </w:pPr>
    </w:p>
    <w:p w14:paraId="5B9951F2" w14:textId="23E98822" w:rsidR="004E77BF" w:rsidRDefault="004E77BF" w:rsidP="00D848EC">
      <w:pPr>
        <w:rPr>
          <w:rFonts w:eastAsia="Calibri"/>
        </w:rPr>
      </w:pPr>
    </w:p>
    <w:p w14:paraId="51184450" w14:textId="2B01813D" w:rsidR="004E77BF" w:rsidRDefault="004E77BF" w:rsidP="00D848EC">
      <w:pPr>
        <w:rPr>
          <w:rFonts w:eastAsia="Calibri"/>
        </w:rPr>
      </w:pPr>
    </w:p>
    <w:p w14:paraId="73C7C245" w14:textId="5174CB59" w:rsidR="004E77BF" w:rsidRDefault="004E77BF" w:rsidP="00D848EC">
      <w:pPr>
        <w:rPr>
          <w:rFonts w:eastAsia="Calibri"/>
        </w:rPr>
      </w:pPr>
    </w:p>
    <w:p w14:paraId="08A9FFF5" w14:textId="0B2A3D72" w:rsidR="004E77BF" w:rsidRDefault="004E77BF" w:rsidP="00D848EC">
      <w:pPr>
        <w:rPr>
          <w:rFonts w:eastAsia="Calibri"/>
        </w:rPr>
      </w:pPr>
    </w:p>
    <w:p w14:paraId="6E83E680" w14:textId="77777777" w:rsidR="004B1ED5" w:rsidRPr="001352AB" w:rsidRDefault="004B1ED5" w:rsidP="00D848EC">
      <w:pPr>
        <w:rPr>
          <w:rFonts w:eastAsia="Calibri"/>
        </w:rPr>
      </w:pPr>
    </w:p>
    <w:p w14:paraId="1B357A1F" w14:textId="55B850B1" w:rsidR="007D5393" w:rsidRDefault="007D5393" w:rsidP="00D27A8F">
      <w:pPr>
        <w:widowControl w:val="0"/>
        <w:overflowPunct w:val="0"/>
        <w:autoSpaceDE w:val="0"/>
        <w:autoSpaceDN w:val="0"/>
        <w:adjustRightInd w:val="0"/>
        <w:spacing w:before="120" w:line="250" w:lineRule="auto"/>
        <w:rPr>
          <w:rFonts w:ascii="Sylfaen" w:hAnsi="Sylfaen"/>
          <w:snapToGrid w:val="0"/>
          <w:szCs w:val="20"/>
          <w:lang w:val="ka-GE"/>
        </w:rPr>
      </w:pPr>
    </w:p>
    <w:p w14:paraId="5F191A39" w14:textId="40316799" w:rsidR="006963A5" w:rsidRPr="0000617A" w:rsidRDefault="00D848EC" w:rsidP="00821E4D">
      <w:pPr>
        <w:pStyle w:val="Heading1"/>
        <w:numPr>
          <w:ilvl w:val="0"/>
          <w:numId w:val="45"/>
        </w:numPr>
      </w:pPr>
      <w:bookmarkStart w:id="28" w:name="_Toc464212140"/>
      <w:bookmarkStart w:id="29" w:name="_Toc479164748"/>
      <w:bookmarkStart w:id="30" w:name="_Toc479166478"/>
      <w:bookmarkStart w:id="31" w:name="_Toc497979643"/>
      <w:bookmarkStart w:id="32" w:name="_Toc436594005"/>
      <w:bookmarkStart w:id="33" w:name="_Toc1581485"/>
      <w:r>
        <w:rPr>
          <w:rFonts w:cs="Sylfaen"/>
        </w:rPr>
        <w:lastRenderedPageBreak/>
        <w:t>შერჩეული</w:t>
      </w:r>
      <w:r>
        <w:t xml:space="preserve"> </w:t>
      </w:r>
      <w:r>
        <w:rPr>
          <w:rFonts w:cs="Sylfaen"/>
        </w:rPr>
        <w:t>ალტერნატივის</w:t>
      </w:r>
      <w:r>
        <w:t xml:space="preserve"> </w:t>
      </w:r>
      <w:r>
        <w:rPr>
          <w:rFonts w:cs="Sylfaen"/>
        </w:rPr>
        <w:t>ზემოქმედების</w:t>
      </w:r>
      <w:r>
        <w:t xml:space="preserve"> </w:t>
      </w:r>
      <w:r>
        <w:rPr>
          <w:rFonts w:cs="Sylfaen"/>
        </w:rPr>
        <w:t>შეფასების</w:t>
      </w:r>
      <w:r>
        <w:t xml:space="preserve"> </w:t>
      </w:r>
      <w:r>
        <w:rPr>
          <w:rFonts w:cs="Sylfaen"/>
        </w:rPr>
        <w:t>რეზიუმე</w:t>
      </w:r>
      <w:bookmarkEnd w:id="28"/>
      <w:bookmarkEnd w:id="29"/>
      <w:bookmarkEnd w:id="30"/>
      <w:bookmarkEnd w:id="31"/>
      <w:bookmarkEnd w:id="32"/>
      <w:bookmarkEnd w:id="33"/>
    </w:p>
    <w:p w14:paraId="652CCD7A" w14:textId="3F58C8FD" w:rsidR="00D848EC" w:rsidRDefault="00D848EC" w:rsidP="00D848EC">
      <w:pPr>
        <w:spacing w:before="120"/>
        <w:rPr>
          <w:rFonts w:ascii="Sylfaen" w:hAnsi="Sylfaen"/>
          <w:lang w:val="ka-GE"/>
        </w:rPr>
      </w:pPr>
      <w:r w:rsidRPr="00D848EC">
        <w:rPr>
          <w:rFonts w:ascii="Sylfaen" w:hAnsi="Sylfaen" w:cs="Sylfaen"/>
          <w:lang w:val="ka-GE"/>
        </w:rPr>
        <w:t>ტექნიკურ</w:t>
      </w:r>
      <w:r w:rsidRPr="00D848EC">
        <w:rPr>
          <w:rFonts w:cs="Sylfaen"/>
          <w:lang w:val="ka-GE"/>
        </w:rPr>
        <w:t>-</w:t>
      </w:r>
      <w:r w:rsidRPr="00D848EC">
        <w:rPr>
          <w:rFonts w:ascii="Sylfaen" w:hAnsi="Sylfaen" w:cs="Sylfaen"/>
          <w:lang w:val="ka-GE"/>
        </w:rPr>
        <w:t>ეკონომიკური</w:t>
      </w:r>
      <w:r w:rsidRPr="00D848EC">
        <w:rPr>
          <w:rFonts w:cs="Sylfaen"/>
          <w:lang w:val="ka-GE"/>
        </w:rPr>
        <w:t xml:space="preserve"> </w:t>
      </w:r>
      <w:r w:rsidRPr="00D848EC">
        <w:rPr>
          <w:rFonts w:ascii="Sylfaen" w:hAnsi="Sylfaen" w:cs="Sylfaen"/>
          <w:lang w:val="ka-GE"/>
        </w:rPr>
        <w:t>კვლევის</w:t>
      </w:r>
      <w:r w:rsidRPr="00D848EC">
        <w:rPr>
          <w:rFonts w:cs="Sylfaen"/>
          <w:lang w:val="ka-GE"/>
        </w:rPr>
        <w:t xml:space="preserve"> </w:t>
      </w:r>
      <w:r w:rsidRPr="00D848EC">
        <w:rPr>
          <w:rFonts w:ascii="Sylfaen" w:hAnsi="Sylfaen" w:cs="Sylfaen"/>
          <w:lang w:val="ka-GE"/>
        </w:rPr>
        <w:t>მომზადების</w:t>
      </w:r>
      <w:r w:rsidRPr="00D848EC">
        <w:rPr>
          <w:rFonts w:cs="Sylfaen"/>
          <w:lang w:val="ka-GE"/>
        </w:rPr>
        <w:t xml:space="preserve"> </w:t>
      </w:r>
      <w:r w:rsidRPr="00D848EC">
        <w:rPr>
          <w:rFonts w:ascii="Sylfaen" w:hAnsi="Sylfaen" w:cs="Sylfaen"/>
          <w:lang w:val="ka-GE"/>
        </w:rPr>
        <w:t>ეტაპზე</w:t>
      </w:r>
      <w:r w:rsidRPr="00D848EC">
        <w:rPr>
          <w:rFonts w:cs="Sylfaen"/>
          <w:lang w:val="ka-GE"/>
        </w:rPr>
        <w:t xml:space="preserve"> </w:t>
      </w:r>
      <w:r w:rsidRPr="00D848EC">
        <w:rPr>
          <w:rFonts w:ascii="Sylfaen" w:hAnsi="Sylfaen" w:cs="Sylfaen"/>
          <w:lang w:val="ka-GE"/>
        </w:rPr>
        <w:t>განიხილებოდა</w:t>
      </w:r>
      <w:r w:rsidRPr="00D848EC">
        <w:rPr>
          <w:rFonts w:cs="Sylfaen"/>
          <w:lang w:val="ka-GE"/>
        </w:rPr>
        <w:t xml:space="preserve"> </w:t>
      </w:r>
      <w:r w:rsidRPr="00D848EC">
        <w:rPr>
          <w:rFonts w:ascii="Sylfaen" w:hAnsi="Sylfaen" w:cs="Sylfaen"/>
          <w:lang w:val="ka-GE"/>
        </w:rPr>
        <w:t>რამოდენიმე</w:t>
      </w:r>
      <w:r w:rsidRPr="00D848EC">
        <w:rPr>
          <w:rFonts w:cs="Sylfaen"/>
          <w:lang w:val="ka-GE"/>
        </w:rPr>
        <w:t xml:space="preserve"> </w:t>
      </w:r>
      <w:r w:rsidRPr="00D848EC">
        <w:rPr>
          <w:rFonts w:ascii="Sylfaen" w:hAnsi="Sylfaen" w:cs="Sylfaen"/>
          <w:lang w:val="ka-GE"/>
        </w:rPr>
        <w:t>ალტერნატივა</w:t>
      </w:r>
      <w:r w:rsidRPr="00D848EC">
        <w:rPr>
          <w:rFonts w:cs="Sylfaen"/>
          <w:lang w:val="ka-GE"/>
        </w:rPr>
        <w:t xml:space="preserve">. </w:t>
      </w:r>
      <w:r w:rsidRPr="00D848EC">
        <w:rPr>
          <w:rFonts w:ascii="Sylfaen" w:hAnsi="Sylfaen" w:cs="Sylfaen"/>
          <w:lang w:val="ka-GE"/>
        </w:rPr>
        <w:t>არსებული</w:t>
      </w:r>
      <w:r w:rsidRPr="00D848EC">
        <w:rPr>
          <w:lang w:val="ka-GE"/>
        </w:rPr>
        <w:t xml:space="preserve"> </w:t>
      </w:r>
      <w:r w:rsidRPr="00D848EC">
        <w:rPr>
          <w:rFonts w:ascii="Sylfaen" w:hAnsi="Sylfaen" w:cs="Sylfaen"/>
          <w:lang w:val="ka-GE"/>
        </w:rPr>
        <w:t>გზის</w:t>
      </w:r>
      <w:r w:rsidRPr="00D848EC">
        <w:rPr>
          <w:lang w:val="ka-GE"/>
        </w:rPr>
        <w:t xml:space="preserve"> </w:t>
      </w:r>
      <w:r w:rsidRPr="00D848EC">
        <w:rPr>
          <w:rFonts w:ascii="Sylfaen" w:hAnsi="Sylfaen" w:cs="Sylfaen"/>
          <w:lang w:val="ka-GE"/>
        </w:rPr>
        <w:t>გასწვრივ</w:t>
      </w:r>
      <w:r w:rsidRPr="00D848EC">
        <w:rPr>
          <w:lang w:val="ka-GE"/>
        </w:rPr>
        <w:t xml:space="preserve"> </w:t>
      </w:r>
      <w:r w:rsidRPr="00D848EC">
        <w:rPr>
          <w:rFonts w:ascii="Sylfaen" w:hAnsi="Sylfaen" w:cs="Sylfaen"/>
          <w:lang w:val="ka-GE"/>
        </w:rPr>
        <w:t>სოფლების</w:t>
      </w:r>
      <w:r w:rsidRPr="00D848EC">
        <w:rPr>
          <w:lang w:val="ka-GE"/>
        </w:rPr>
        <w:t xml:space="preserve"> </w:t>
      </w:r>
      <w:r w:rsidRPr="00D848EC">
        <w:rPr>
          <w:rFonts w:ascii="Sylfaen" w:hAnsi="Sylfaen" w:cs="Sylfaen"/>
          <w:lang w:val="ka-GE"/>
        </w:rPr>
        <w:t>გვერდის</w:t>
      </w:r>
      <w:r w:rsidRPr="00D848EC">
        <w:rPr>
          <w:lang w:val="ka-GE"/>
        </w:rPr>
        <w:t xml:space="preserve"> </w:t>
      </w:r>
      <w:r w:rsidRPr="00D848EC">
        <w:rPr>
          <w:rFonts w:ascii="Sylfaen" w:hAnsi="Sylfaen" w:cs="Sylfaen"/>
          <w:lang w:val="ka-GE"/>
        </w:rPr>
        <w:t>ავლით</w:t>
      </w:r>
      <w:r w:rsidRPr="00D848EC">
        <w:rPr>
          <w:lang w:val="ka-GE"/>
        </w:rPr>
        <w:t xml:space="preserve"> </w:t>
      </w:r>
      <w:r w:rsidRPr="00D848EC">
        <w:rPr>
          <w:rFonts w:ascii="Sylfaen" w:hAnsi="Sylfaen" w:cs="Sylfaen"/>
          <w:lang w:val="ka-GE"/>
        </w:rPr>
        <w:t>დამუშავდა</w:t>
      </w:r>
      <w:r w:rsidRPr="00D848EC">
        <w:rPr>
          <w:lang w:val="ka-GE"/>
        </w:rPr>
        <w:t xml:space="preserve"> </w:t>
      </w:r>
      <w:r w:rsidRPr="00D848EC">
        <w:rPr>
          <w:rFonts w:ascii="Sylfaen" w:hAnsi="Sylfaen" w:cs="Sylfaen"/>
          <w:lang w:val="ka-GE"/>
        </w:rPr>
        <w:t>სამი</w:t>
      </w:r>
      <w:r w:rsidRPr="00D848EC">
        <w:rPr>
          <w:lang w:val="ka-GE"/>
        </w:rPr>
        <w:t xml:space="preserve"> </w:t>
      </w:r>
      <w:r w:rsidRPr="00D848EC">
        <w:rPr>
          <w:rFonts w:ascii="Sylfaen" w:hAnsi="Sylfaen" w:cs="Sylfaen"/>
          <w:lang w:val="ka-GE"/>
        </w:rPr>
        <w:t>განლაგების</w:t>
      </w:r>
      <w:r w:rsidRPr="00D848EC">
        <w:rPr>
          <w:lang w:val="ka-GE"/>
        </w:rPr>
        <w:t xml:space="preserve"> </w:t>
      </w:r>
      <w:r w:rsidRPr="00D848EC">
        <w:rPr>
          <w:rFonts w:ascii="Sylfaen" w:hAnsi="Sylfaen" w:cs="Sylfaen"/>
          <w:lang w:val="ka-GE"/>
        </w:rPr>
        <w:t>ალტერნატივა</w:t>
      </w:r>
      <w:r w:rsidRPr="00D848EC">
        <w:rPr>
          <w:lang w:val="ka-GE"/>
        </w:rPr>
        <w:t xml:space="preserve">. </w:t>
      </w:r>
      <w:r w:rsidRPr="00D848EC">
        <w:rPr>
          <w:rFonts w:ascii="Sylfaen" w:hAnsi="Sylfaen" w:cs="Sylfaen"/>
          <w:lang w:val="ka-GE"/>
        </w:rPr>
        <w:t>განლაგების</w:t>
      </w:r>
      <w:r w:rsidRPr="00D848EC">
        <w:rPr>
          <w:lang w:val="ka-GE"/>
        </w:rPr>
        <w:t xml:space="preserve"> </w:t>
      </w:r>
      <w:r w:rsidRPr="00D848EC">
        <w:rPr>
          <w:rFonts w:ascii="Sylfaen" w:hAnsi="Sylfaen" w:cs="Sylfaen"/>
          <w:lang w:val="ka-GE"/>
        </w:rPr>
        <w:t>ალტერნატივები</w:t>
      </w:r>
      <w:r w:rsidRPr="00D848EC">
        <w:rPr>
          <w:lang w:val="ka-GE"/>
        </w:rPr>
        <w:t xml:space="preserve"> </w:t>
      </w:r>
      <w:r w:rsidRPr="00D848EC">
        <w:rPr>
          <w:rFonts w:ascii="Sylfaen" w:hAnsi="Sylfaen" w:cs="Sylfaen"/>
          <w:lang w:val="ka-GE"/>
        </w:rPr>
        <w:t>მიზნად</w:t>
      </w:r>
      <w:r w:rsidRPr="00D848EC">
        <w:rPr>
          <w:lang w:val="ka-GE"/>
        </w:rPr>
        <w:t xml:space="preserve"> </w:t>
      </w:r>
      <w:r w:rsidRPr="00D848EC">
        <w:rPr>
          <w:rFonts w:ascii="Sylfaen" w:hAnsi="Sylfaen" w:cs="Sylfaen"/>
          <w:lang w:val="ka-GE"/>
        </w:rPr>
        <w:t>ისახავს</w:t>
      </w:r>
      <w:r w:rsidRPr="00D848EC">
        <w:rPr>
          <w:lang w:val="ka-GE"/>
        </w:rPr>
        <w:t xml:space="preserve"> </w:t>
      </w:r>
      <w:r w:rsidRPr="00D848EC">
        <w:rPr>
          <w:rFonts w:ascii="Sylfaen" w:hAnsi="Sylfaen" w:cs="Sylfaen"/>
          <w:lang w:val="ka-GE"/>
        </w:rPr>
        <w:t>სახნავი</w:t>
      </w:r>
      <w:r w:rsidRPr="00D848EC">
        <w:rPr>
          <w:lang w:val="ka-GE"/>
        </w:rPr>
        <w:t xml:space="preserve"> </w:t>
      </w:r>
      <w:r w:rsidRPr="00D848EC">
        <w:rPr>
          <w:rFonts w:ascii="Sylfaen" w:hAnsi="Sylfaen" w:cs="Sylfaen"/>
          <w:lang w:val="ka-GE"/>
        </w:rPr>
        <w:t>მიწის</w:t>
      </w:r>
      <w:r w:rsidRPr="00D848EC">
        <w:rPr>
          <w:lang w:val="ka-GE"/>
        </w:rPr>
        <w:t xml:space="preserve"> </w:t>
      </w:r>
      <w:r w:rsidRPr="00D848EC">
        <w:rPr>
          <w:rFonts w:ascii="Sylfaen" w:hAnsi="Sylfaen" w:cs="Sylfaen"/>
          <w:lang w:val="ka-GE"/>
        </w:rPr>
        <w:t>ნაკვეთებზე</w:t>
      </w:r>
      <w:r w:rsidRPr="00D848EC">
        <w:rPr>
          <w:lang w:val="ka-GE"/>
        </w:rPr>
        <w:t xml:space="preserve"> </w:t>
      </w:r>
      <w:r w:rsidRPr="00D848EC">
        <w:rPr>
          <w:rFonts w:ascii="Sylfaen" w:hAnsi="Sylfaen" w:cs="Sylfaen"/>
          <w:lang w:val="ka-GE"/>
        </w:rPr>
        <w:t>ზემოქმედების</w:t>
      </w:r>
      <w:r w:rsidRPr="00D848EC">
        <w:rPr>
          <w:lang w:val="ka-GE"/>
        </w:rPr>
        <w:t xml:space="preserve"> </w:t>
      </w:r>
      <w:r w:rsidRPr="00D848EC">
        <w:rPr>
          <w:rFonts w:ascii="Sylfaen" w:hAnsi="Sylfaen" w:cs="Sylfaen"/>
          <w:lang w:val="ka-GE"/>
        </w:rPr>
        <w:t>მინიმუმამდე</w:t>
      </w:r>
      <w:r w:rsidRPr="00D848EC">
        <w:rPr>
          <w:lang w:val="ka-GE"/>
        </w:rPr>
        <w:t xml:space="preserve"> </w:t>
      </w:r>
      <w:r w:rsidRPr="00D848EC">
        <w:rPr>
          <w:rFonts w:ascii="Sylfaen" w:hAnsi="Sylfaen" w:cs="Sylfaen"/>
          <w:lang w:val="ka-GE"/>
        </w:rPr>
        <w:t>შემცირებას</w:t>
      </w:r>
      <w:r w:rsidRPr="00D848EC">
        <w:rPr>
          <w:lang w:val="ka-GE"/>
        </w:rPr>
        <w:t xml:space="preserve">, </w:t>
      </w:r>
      <w:r w:rsidRPr="00D848EC">
        <w:rPr>
          <w:rFonts w:ascii="Sylfaen" w:hAnsi="Sylfaen" w:cs="Sylfaen"/>
          <w:lang w:val="ka-GE"/>
        </w:rPr>
        <w:t>განსაკუთრებით</w:t>
      </w:r>
      <w:r w:rsidRPr="00D848EC">
        <w:rPr>
          <w:lang w:val="ka-GE"/>
        </w:rPr>
        <w:t xml:space="preserve"> </w:t>
      </w:r>
      <w:r w:rsidRPr="00D848EC">
        <w:rPr>
          <w:rFonts w:ascii="Sylfaen" w:hAnsi="Sylfaen" w:cs="Sylfaen"/>
          <w:lang w:val="ka-GE"/>
        </w:rPr>
        <w:t>ვენახებსა</w:t>
      </w:r>
      <w:r w:rsidRPr="00D848EC">
        <w:rPr>
          <w:lang w:val="ka-GE"/>
        </w:rPr>
        <w:t xml:space="preserve"> </w:t>
      </w:r>
      <w:r w:rsidRPr="00D848EC">
        <w:rPr>
          <w:rFonts w:ascii="Sylfaen" w:hAnsi="Sylfaen" w:cs="Sylfaen"/>
          <w:lang w:val="ka-GE"/>
        </w:rPr>
        <w:t>და</w:t>
      </w:r>
      <w:r w:rsidRPr="00D848EC">
        <w:rPr>
          <w:lang w:val="ka-GE"/>
        </w:rPr>
        <w:t xml:space="preserve"> </w:t>
      </w:r>
      <w:r w:rsidRPr="00D848EC">
        <w:rPr>
          <w:rFonts w:ascii="Sylfaen" w:hAnsi="Sylfaen" w:cs="Sylfaen"/>
          <w:lang w:val="ka-GE"/>
        </w:rPr>
        <w:t>ატმის</w:t>
      </w:r>
      <w:r w:rsidRPr="00D848EC">
        <w:rPr>
          <w:lang w:val="ka-GE"/>
        </w:rPr>
        <w:t xml:space="preserve"> </w:t>
      </w:r>
      <w:r w:rsidRPr="00D848EC">
        <w:rPr>
          <w:rFonts w:ascii="Sylfaen" w:hAnsi="Sylfaen" w:cs="Sylfaen"/>
          <w:lang w:val="ka-GE"/>
        </w:rPr>
        <w:t>პლანტაციებზე</w:t>
      </w:r>
      <w:r w:rsidRPr="00D848EC">
        <w:rPr>
          <w:lang w:val="ka-GE"/>
        </w:rPr>
        <w:t>.</w:t>
      </w:r>
    </w:p>
    <w:p w14:paraId="6ADA4518" w14:textId="4E9F16FF" w:rsidR="005C296B" w:rsidRPr="005C296B" w:rsidRDefault="005C296B" w:rsidP="005C296B">
      <w:pPr>
        <w:spacing w:before="120"/>
        <w:rPr>
          <w:rFonts w:ascii="Sylfaen" w:hAnsi="Sylfaen"/>
          <w:lang w:val="ka-GE"/>
        </w:rPr>
      </w:pPr>
      <w:r w:rsidRPr="005C296B">
        <w:rPr>
          <w:rFonts w:ascii="Sylfaen" w:hAnsi="Sylfaen"/>
          <w:lang w:val="ka-GE"/>
        </w:rPr>
        <w:t xml:space="preserve">ალტერნატიული </w:t>
      </w:r>
      <w:r>
        <w:rPr>
          <w:rFonts w:ascii="Sylfaen" w:hAnsi="Sylfaen"/>
          <w:lang w:val="ka-GE"/>
        </w:rPr>
        <w:t>გზები წარმოდგენილია სურათზე 3-</w:t>
      </w:r>
      <w:r w:rsidRPr="005C296B">
        <w:rPr>
          <w:rFonts w:ascii="Sylfaen" w:hAnsi="Sylfaen"/>
          <w:lang w:val="ka-GE"/>
        </w:rPr>
        <w:t>1 ილუსტრირებული შემდეგი შემადგენლობით:</w:t>
      </w:r>
    </w:p>
    <w:p w14:paraId="5299A0C7" w14:textId="7CF4EC5C" w:rsidR="005C296B" w:rsidRPr="005C296B" w:rsidRDefault="005C296B" w:rsidP="005C296B">
      <w:pPr>
        <w:spacing w:before="120"/>
        <w:rPr>
          <w:rFonts w:ascii="Sylfaen" w:hAnsi="Sylfaen"/>
          <w:lang w:val="ka-GE"/>
        </w:rPr>
      </w:pPr>
      <w:r w:rsidRPr="005C296B">
        <w:rPr>
          <w:rFonts w:ascii="Sylfaen" w:hAnsi="Sylfaen"/>
          <w:lang w:val="ka-GE"/>
        </w:rPr>
        <w:t>•</w:t>
      </w:r>
      <w:r w:rsidRPr="005C296B">
        <w:rPr>
          <w:rFonts w:ascii="Sylfaen" w:hAnsi="Sylfaen"/>
          <w:lang w:val="ka-GE"/>
        </w:rPr>
        <w:tab/>
        <w:t xml:space="preserve">ალტერნატიული </w:t>
      </w:r>
      <w:r>
        <w:rPr>
          <w:rFonts w:ascii="Sylfaen" w:hAnsi="Sylfaen"/>
          <w:lang w:val="ka-GE"/>
        </w:rPr>
        <w:t xml:space="preserve">გზა </w:t>
      </w:r>
      <w:r>
        <w:rPr>
          <w:rFonts w:ascii="Sylfaen" w:hAnsi="Sylfaen"/>
          <w:lang w:val="en-US"/>
        </w:rPr>
        <w:t>TN</w:t>
      </w:r>
      <w:r w:rsidRPr="005C296B">
        <w:rPr>
          <w:rFonts w:ascii="Sylfaen" w:hAnsi="Sylfaen"/>
          <w:lang w:val="ka-GE"/>
        </w:rPr>
        <w:t xml:space="preserve"> – წითელი ხაზი</w:t>
      </w:r>
    </w:p>
    <w:p w14:paraId="6AB9E442" w14:textId="130D3F15" w:rsidR="005C296B" w:rsidRPr="005C296B" w:rsidRDefault="005C296B" w:rsidP="005C296B">
      <w:pPr>
        <w:spacing w:before="120"/>
        <w:rPr>
          <w:rFonts w:ascii="Sylfaen" w:hAnsi="Sylfaen"/>
          <w:lang w:val="ka-GE"/>
        </w:rPr>
      </w:pPr>
      <w:r>
        <w:rPr>
          <w:rFonts w:ascii="Sylfaen" w:hAnsi="Sylfaen"/>
          <w:lang w:val="ka-GE"/>
        </w:rPr>
        <w:t>•</w:t>
      </w:r>
      <w:r>
        <w:rPr>
          <w:rFonts w:ascii="Sylfaen" w:hAnsi="Sylfaen"/>
          <w:lang w:val="ka-GE"/>
        </w:rPr>
        <w:tab/>
        <w:t>ალტერნატიული გზა TS</w:t>
      </w:r>
      <w:r w:rsidRPr="005C296B">
        <w:rPr>
          <w:rFonts w:ascii="Sylfaen" w:hAnsi="Sylfaen"/>
          <w:lang w:val="ka-GE"/>
        </w:rPr>
        <w:t xml:space="preserve"> – ღია ლურჯი ხაზი</w:t>
      </w:r>
    </w:p>
    <w:p w14:paraId="4C236049" w14:textId="25F2FB4F" w:rsidR="005C296B" w:rsidRDefault="005C296B" w:rsidP="005C296B">
      <w:pPr>
        <w:spacing w:before="120"/>
        <w:rPr>
          <w:rFonts w:ascii="Sylfaen" w:hAnsi="Sylfaen"/>
          <w:lang w:val="ka-GE"/>
        </w:rPr>
      </w:pPr>
      <w:r>
        <w:rPr>
          <w:rFonts w:ascii="Sylfaen" w:hAnsi="Sylfaen"/>
          <w:lang w:val="ka-GE"/>
        </w:rPr>
        <w:t>•</w:t>
      </w:r>
      <w:r>
        <w:rPr>
          <w:rFonts w:ascii="Sylfaen" w:hAnsi="Sylfaen"/>
          <w:lang w:val="ka-GE"/>
        </w:rPr>
        <w:tab/>
        <w:t xml:space="preserve">ალტერნატიული გზა </w:t>
      </w:r>
      <w:r>
        <w:rPr>
          <w:rFonts w:ascii="Sylfaen" w:hAnsi="Sylfaen"/>
          <w:lang w:val="en-US"/>
        </w:rPr>
        <w:t>TS</w:t>
      </w:r>
      <w:r w:rsidRPr="005C296B">
        <w:rPr>
          <w:rFonts w:ascii="Sylfaen" w:hAnsi="Sylfaen"/>
          <w:lang w:val="ka-GE"/>
        </w:rPr>
        <w:t>-1 – მწვანე ხაზი</w:t>
      </w:r>
    </w:p>
    <w:p w14:paraId="07DE974F" w14:textId="4AE750DD" w:rsidR="00145737" w:rsidRDefault="00145737" w:rsidP="00D848EC">
      <w:pPr>
        <w:spacing w:before="120"/>
        <w:rPr>
          <w:rFonts w:ascii="Sylfaen" w:hAnsi="Sylfaen"/>
          <w:lang w:val="ka-GE"/>
        </w:rPr>
      </w:pPr>
      <w:r w:rsidRPr="00FF734A">
        <w:rPr>
          <w:noProof/>
          <w:lang w:val="en-US" w:eastAsia="en-US"/>
        </w:rPr>
        <w:drawing>
          <wp:inline distT="0" distB="0" distL="0" distR="0" wp14:anchorId="7809F856" wp14:editId="0B94052B">
            <wp:extent cx="5932805" cy="4312737"/>
            <wp:effectExtent l="0" t="0" r="10795" b="5715"/>
            <wp:docPr id="61" name="Bild 61" descr="Macintosh HD:Users:carstengriese:Documents:Chumlaki-Telav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stengriese:Documents:Chumlaki-Telavi 1.jpg"/>
                    <pic:cNvPicPr>
                      <a:picLocks noChangeAspect="1" noChangeArrowheads="1"/>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5934213" cy="4313760"/>
                    </a:xfrm>
                    <a:prstGeom prst="rect">
                      <a:avLst/>
                    </a:prstGeom>
                    <a:noFill/>
                    <a:ln>
                      <a:noFill/>
                    </a:ln>
                    <a:extLst>
                      <a:ext uri="{53640926-AAD7-44D8-BBD7-CCE9431645EC}">
                        <a14:shadowObscured xmlns:a14="http://schemas.microsoft.com/office/drawing/2010/main"/>
                      </a:ext>
                    </a:extLst>
                  </pic:spPr>
                </pic:pic>
              </a:graphicData>
            </a:graphic>
          </wp:inline>
        </w:drawing>
      </w:r>
    </w:p>
    <w:p w14:paraId="475B32B3" w14:textId="62358F64" w:rsidR="005C296B" w:rsidRPr="005C296B" w:rsidRDefault="00BD5DD6" w:rsidP="005C296B">
      <w:pPr>
        <w:rPr>
          <w:rFonts w:ascii="Sylfaen" w:hAnsi="Sylfaen"/>
          <w:lang w:val="ka-GE"/>
        </w:rPr>
      </w:pPr>
      <w:r>
        <w:rPr>
          <w:rFonts w:ascii="Sylfaen" w:hAnsi="Sylfaen"/>
          <w:lang w:val="ka-GE"/>
        </w:rPr>
        <w:t>რუკა</w:t>
      </w:r>
      <w:r w:rsidR="005C296B" w:rsidRPr="005C296B">
        <w:rPr>
          <w:rFonts w:ascii="Sylfaen" w:hAnsi="Sylfaen"/>
          <w:lang w:val="ka-GE"/>
        </w:rPr>
        <w:t xml:space="preserve"> 3</w:t>
      </w:r>
      <w:r w:rsidR="005C296B">
        <w:rPr>
          <w:rFonts w:ascii="Sylfaen" w:hAnsi="Sylfaen"/>
          <w:lang w:val="ka-GE"/>
        </w:rPr>
        <w:t>-</w:t>
      </w:r>
      <w:r w:rsidR="005C296B" w:rsidRPr="005C296B">
        <w:rPr>
          <w:rFonts w:ascii="Sylfaen" w:hAnsi="Sylfaen"/>
          <w:lang w:val="ka-GE"/>
        </w:rPr>
        <w:t>1.</w:t>
      </w:r>
      <w:r w:rsidR="005C296B" w:rsidRPr="005C296B">
        <w:rPr>
          <w:rFonts w:ascii="Sylfaen" w:hAnsi="Sylfaen"/>
          <w:lang w:val="ka-GE"/>
        </w:rPr>
        <w:tab/>
      </w:r>
      <w:r w:rsidR="009F6AAF">
        <w:rPr>
          <w:rFonts w:ascii="Sylfaen" w:hAnsi="Sylfaen"/>
          <w:lang w:val="ka-GE"/>
        </w:rPr>
        <w:t>გურჯაანის (ჩუმლაყი)</w:t>
      </w:r>
      <w:r w:rsidR="009F6AAF">
        <w:rPr>
          <w:rFonts w:ascii="Sylfaen" w:hAnsi="Sylfaen"/>
          <w:lang w:val="en-US"/>
        </w:rPr>
        <w:t>-</w:t>
      </w:r>
      <w:r w:rsidR="009F6AAF">
        <w:rPr>
          <w:rFonts w:ascii="Sylfaen" w:hAnsi="Sylfaen"/>
          <w:lang w:val="ka-GE"/>
        </w:rPr>
        <w:t xml:space="preserve">თელავის </w:t>
      </w:r>
      <w:r w:rsidR="005C296B" w:rsidRPr="005C296B">
        <w:rPr>
          <w:rFonts w:ascii="Sylfaen" w:hAnsi="Sylfaen"/>
          <w:lang w:val="ka-GE"/>
        </w:rPr>
        <w:t>საგზაო მონაკვეთის ალტერნატიული ტრასები</w:t>
      </w:r>
    </w:p>
    <w:p w14:paraId="03CF1DE5" w14:textId="1A5B6417" w:rsidR="005C296B" w:rsidRPr="005C296B" w:rsidRDefault="005C296B" w:rsidP="005C296B">
      <w:pPr>
        <w:spacing w:before="120"/>
        <w:rPr>
          <w:rFonts w:ascii="Sylfaen" w:hAnsi="Sylfaen"/>
          <w:lang w:val="ka-GE"/>
        </w:rPr>
      </w:pPr>
      <w:r w:rsidRPr="005C296B">
        <w:rPr>
          <w:rFonts w:ascii="Sylfaen" w:hAnsi="Sylfaen"/>
          <w:lang w:val="ka-GE"/>
        </w:rPr>
        <w:t xml:space="preserve">ე.წ. “ალტერნატიული </w:t>
      </w:r>
      <w:r>
        <w:rPr>
          <w:rFonts w:ascii="Sylfaen" w:hAnsi="Sylfaen"/>
          <w:lang w:val="ka-GE"/>
        </w:rPr>
        <w:t>გზა</w:t>
      </w:r>
      <w:r w:rsidRPr="005C296B">
        <w:rPr>
          <w:rFonts w:ascii="Sylfaen" w:hAnsi="Sylfaen"/>
          <w:lang w:val="ka-GE"/>
        </w:rPr>
        <w:t xml:space="preserve"> </w:t>
      </w:r>
      <w:r>
        <w:rPr>
          <w:rFonts w:ascii="Sylfaen" w:hAnsi="Sylfaen"/>
          <w:lang w:val="en-US"/>
        </w:rPr>
        <w:t>TN</w:t>
      </w:r>
      <w:r w:rsidRPr="005C296B">
        <w:rPr>
          <w:rFonts w:ascii="Sylfaen" w:hAnsi="Sylfaen"/>
          <w:lang w:val="ka-GE"/>
        </w:rPr>
        <w:t xml:space="preserve">” რკინიგზის ხაზის ჩრდილოეთ მხარეზე გადის. სოფ. ველისციხის ჩრდილოეთიდან შემოსავლელი უბნის გარდა, </w:t>
      </w:r>
      <w:r>
        <w:rPr>
          <w:rFonts w:ascii="Sylfaen" w:hAnsi="Sylfaen"/>
          <w:lang w:val="ka-GE"/>
        </w:rPr>
        <w:t>გზა</w:t>
      </w:r>
      <w:r w:rsidRPr="005C296B">
        <w:rPr>
          <w:rFonts w:ascii="Sylfaen" w:hAnsi="Sylfaen"/>
          <w:lang w:val="ka-GE"/>
        </w:rPr>
        <w:t xml:space="preserve"> ჩუმლაყიდან თელავამდე თითქმის მთლიანად სწორხაზოვანია. </w:t>
      </w:r>
    </w:p>
    <w:p w14:paraId="271601E8" w14:textId="143ACDAE" w:rsidR="005C296B" w:rsidRDefault="005C296B" w:rsidP="005C296B">
      <w:pPr>
        <w:spacing w:before="120"/>
        <w:rPr>
          <w:rFonts w:ascii="Sylfaen" w:hAnsi="Sylfaen"/>
          <w:lang w:val="ka-GE"/>
        </w:rPr>
      </w:pPr>
      <w:r w:rsidRPr="005C296B">
        <w:rPr>
          <w:rFonts w:ascii="Sylfaen" w:hAnsi="Sylfaen"/>
          <w:lang w:val="ka-GE"/>
        </w:rPr>
        <w:t xml:space="preserve">ალტერნატიული </w:t>
      </w:r>
      <w:r>
        <w:rPr>
          <w:rFonts w:ascii="Sylfaen" w:hAnsi="Sylfaen"/>
          <w:lang w:val="ka-GE"/>
        </w:rPr>
        <w:t>გზა</w:t>
      </w:r>
      <w:r w:rsidRPr="005C296B">
        <w:rPr>
          <w:rFonts w:ascii="Sylfaen" w:hAnsi="Sylfaen"/>
          <w:lang w:val="ka-GE"/>
        </w:rPr>
        <w:t xml:space="preserve"> </w:t>
      </w:r>
      <w:r>
        <w:rPr>
          <w:rFonts w:ascii="Sylfaen" w:hAnsi="Sylfaen"/>
          <w:lang w:val="en-US"/>
        </w:rPr>
        <w:t>TS</w:t>
      </w:r>
      <w:r w:rsidRPr="005C296B">
        <w:rPr>
          <w:rFonts w:ascii="Sylfaen" w:hAnsi="Sylfaen"/>
          <w:lang w:val="ka-GE"/>
        </w:rPr>
        <w:t xml:space="preserve"> თითქმის მთლიან სიგრძეზე, რამდენიმე გამონაკლისი ადგილის გარდა, არსებული რკინიგზის ხაზის ახლოს და პარალერულად გადის. ქვე</w:t>
      </w:r>
      <w:r>
        <w:rPr>
          <w:rFonts w:ascii="Sylfaen" w:hAnsi="Sylfaen"/>
          <w:lang w:val="en-US"/>
        </w:rPr>
        <w:t>-</w:t>
      </w:r>
      <w:r w:rsidRPr="005C296B">
        <w:rPr>
          <w:rFonts w:ascii="Sylfaen" w:hAnsi="Sylfaen"/>
          <w:lang w:val="ka-GE"/>
        </w:rPr>
        <w:t xml:space="preserve">ალტერნატიული </w:t>
      </w:r>
      <w:r>
        <w:rPr>
          <w:rFonts w:ascii="Sylfaen" w:hAnsi="Sylfaen"/>
          <w:lang w:val="ka-GE"/>
        </w:rPr>
        <w:t>გზა</w:t>
      </w:r>
      <w:r w:rsidRPr="005C296B">
        <w:rPr>
          <w:rFonts w:ascii="Sylfaen" w:hAnsi="Sylfaen"/>
          <w:lang w:val="ka-GE"/>
        </w:rPr>
        <w:t xml:space="preserve"> </w:t>
      </w:r>
      <w:r>
        <w:rPr>
          <w:rFonts w:ascii="Sylfaen" w:hAnsi="Sylfaen"/>
          <w:lang w:val="en-US"/>
        </w:rPr>
        <w:t>TS</w:t>
      </w:r>
      <w:r w:rsidRPr="005C296B">
        <w:rPr>
          <w:rFonts w:ascii="Sylfaen" w:hAnsi="Sylfaen"/>
          <w:lang w:val="ka-GE"/>
        </w:rPr>
        <w:t xml:space="preserve">-1 გარკვეულ ადგილებში </w:t>
      </w:r>
      <w:r>
        <w:rPr>
          <w:rFonts w:ascii="Sylfaen" w:hAnsi="Sylfaen"/>
          <w:lang w:val="en-US"/>
        </w:rPr>
        <w:t>TS</w:t>
      </w:r>
      <w:r>
        <w:rPr>
          <w:rFonts w:ascii="Sylfaen" w:hAnsi="Sylfaen"/>
          <w:lang w:val="ka-GE"/>
        </w:rPr>
        <w:t>-ის</w:t>
      </w:r>
      <w:r w:rsidRPr="005C296B">
        <w:rPr>
          <w:rFonts w:ascii="Sylfaen" w:hAnsi="Sylfaen"/>
          <w:lang w:val="ka-GE"/>
        </w:rPr>
        <w:t xml:space="preserve"> დასამოკლებლად და გასასწორებლად არის გამიზნული.</w:t>
      </w:r>
    </w:p>
    <w:p w14:paraId="2EF1399E" w14:textId="0DAFC676" w:rsidR="005C296B" w:rsidRDefault="005C296B" w:rsidP="005C296B">
      <w:pPr>
        <w:spacing w:before="120"/>
        <w:rPr>
          <w:rFonts w:ascii="Sylfaen" w:hAnsi="Sylfaen"/>
          <w:lang w:val="ka-GE"/>
        </w:rPr>
      </w:pPr>
      <w:r w:rsidRPr="00FF734A">
        <w:rPr>
          <w:noProof/>
          <w:lang w:val="en-US" w:eastAsia="en-US"/>
        </w:rPr>
        <w:lastRenderedPageBreak/>
        <w:drawing>
          <wp:inline distT="0" distB="0" distL="0" distR="0" wp14:anchorId="35CC87F4" wp14:editId="5DB1F5C6">
            <wp:extent cx="2839085" cy="2127925"/>
            <wp:effectExtent l="0" t="0" r="5715" b="5715"/>
            <wp:docPr id="62" name="Picture 9" descr="Z:\2017_FS and Rehabilitation Projects\Bakurtsikhe-Tsnori &amp; Gurj-Telavi Design Built Projects\PHOTOS\Photos_13. 04.17\DSC07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2017_FS and Rehabilitation Projects\Bakurtsikhe-Tsnori &amp; Gurj-Telavi Design Built Projects\PHOTOS\Photos_13. 04.17\DSC07162.jpg"/>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847195" cy="2134003"/>
                    </a:xfrm>
                    <a:prstGeom prst="rect">
                      <a:avLst/>
                    </a:prstGeom>
                    <a:noFill/>
                    <a:ln w="9525">
                      <a:noFill/>
                      <a:miter lim="800000"/>
                      <a:headEnd/>
                      <a:tailEnd/>
                    </a:ln>
                  </pic:spPr>
                </pic:pic>
              </a:graphicData>
            </a:graphic>
          </wp:inline>
        </w:drawing>
      </w:r>
      <w:r w:rsidRPr="00FF734A">
        <w:rPr>
          <w:noProof/>
          <w:lang w:val="en-US" w:eastAsia="en-US"/>
        </w:rPr>
        <w:drawing>
          <wp:inline distT="0" distB="0" distL="0" distR="0" wp14:anchorId="2B5D4E19" wp14:editId="7A1445E2">
            <wp:extent cx="2820388" cy="2113915"/>
            <wp:effectExtent l="0" t="0" r="0" b="0"/>
            <wp:docPr id="63" name="Picture 10" descr="Z:\2017_FS and Rehabilitation Projects\Bakurtsikhe-Tsnori &amp; Gurj-Telavi Design Built Projects\PHOTOS\Photos_13. 04.17\DSC07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2017_FS and Rehabilitation Projects\Bakurtsikhe-Tsnori &amp; Gurj-Telavi Design Built Projects\PHOTOS\Photos_13. 04.17\DSC07165.jpg"/>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827749" cy="2119432"/>
                    </a:xfrm>
                    <a:prstGeom prst="rect">
                      <a:avLst/>
                    </a:prstGeom>
                    <a:noFill/>
                    <a:ln w="9525">
                      <a:noFill/>
                      <a:miter lim="800000"/>
                      <a:headEnd/>
                      <a:tailEnd/>
                    </a:ln>
                  </pic:spPr>
                </pic:pic>
              </a:graphicData>
            </a:graphic>
          </wp:inline>
        </w:drawing>
      </w:r>
    </w:p>
    <w:p w14:paraId="550A013E" w14:textId="7D6E7029" w:rsidR="005C296B" w:rsidRPr="005C296B" w:rsidRDefault="005C296B" w:rsidP="005C296B">
      <w:pPr>
        <w:spacing w:before="120"/>
        <w:rPr>
          <w:rFonts w:ascii="Sylfaen" w:hAnsi="Sylfaen"/>
          <w:lang w:val="ka-GE"/>
        </w:rPr>
      </w:pPr>
      <w:r w:rsidRPr="005C296B">
        <w:rPr>
          <w:rFonts w:ascii="Sylfaen" w:hAnsi="Sylfaen"/>
          <w:lang w:val="ka-GE"/>
        </w:rPr>
        <w:t>სურათი 3</w:t>
      </w:r>
      <w:r>
        <w:rPr>
          <w:rFonts w:ascii="Sylfaen" w:hAnsi="Sylfaen"/>
          <w:lang w:val="ka-GE"/>
        </w:rPr>
        <w:t>-</w:t>
      </w:r>
      <w:r w:rsidRPr="005C296B">
        <w:rPr>
          <w:rFonts w:ascii="Sylfaen" w:hAnsi="Sylfaen"/>
          <w:lang w:val="ka-GE"/>
        </w:rPr>
        <w:t>2.</w:t>
      </w:r>
      <w:r w:rsidRPr="005C296B">
        <w:rPr>
          <w:rFonts w:ascii="Sylfaen" w:hAnsi="Sylfaen"/>
          <w:lang w:val="ka-GE"/>
        </w:rPr>
        <w:tab/>
      </w:r>
      <w:r w:rsidR="009F6AAF">
        <w:rPr>
          <w:rFonts w:ascii="Sylfaen" w:hAnsi="Sylfaen"/>
          <w:lang w:val="ka-GE"/>
        </w:rPr>
        <w:t>გურჯაანის (ჩუმლაყი)</w:t>
      </w:r>
      <w:r w:rsidR="009F6AAF">
        <w:rPr>
          <w:rFonts w:ascii="Sylfaen" w:hAnsi="Sylfaen"/>
          <w:lang w:val="en-US"/>
        </w:rPr>
        <w:t>-</w:t>
      </w:r>
      <w:r w:rsidR="009F6AAF">
        <w:rPr>
          <w:rFonts w:ascii="Sylfaen" w:hAnsi="Sylfaen"/>
          <w:lang w:val="ka-GE"/>
        </w:rPr>
        <w:t xml:space="preserve">თელავის </w:t>
      </w:r>
      <w:r w:rsidRPr="005C296B">
        <w:rPr>
          <w:rFonts w:ascii="Sylfaen" w:hAnsi="Sylfaen"/>
          <w:lang w:val="ka-GE"/>
        </w:rPr>
        <w:t>შემოვლითი გზის ტრასა მიახლოებით კმ 0+000 ნიშნულთან</w:t>
      </w:r>
    </w:p>
    <w:p w14:paraId="20A2CF24" w14:textId="03C1036F" w:rsidR="005C296B" w:rsidRPr="005C296B" w:rsidRDefault="005C296B" w:rsidP="005C296B">
      <w:pPr>
        <w:spacing w:before="120"/>
        <w:rPr>
          <w:rFonts w:ascii="Sylfaen" w:hAnsi="Sylfaen"/>
          <w:lang w:val="ka-GE"/>
        </w:rPr>
      </w:pPr>
      <w:r>
        <w:rPr>
          <w:rFonts w:ascii="Sylfaen" w:hAnsi="Sylfaen"/>
          <w:lang w:val="ka-GE"/>
        </w:rPr>
        <w:t>მომდევნო ცხრილში 3-</w:t>
      </w:r>
      <w:r w:rsidRPr="005C296B">
        <w:rPr>
          <w:rFonts w:ascii="Sylfaen" w:hAnsi="Sylfaen"/>
          <w:lang w:val="ka-GE"/>
        </w:rPr>
        <w:t>1 მოცემულია ალტერნატიული საგზაო მონაკვეთების სიგრძეები.</w:t>
      </w:r>
    </w:p>
    <w:p w14:paraId="0B5DA5A9" w14:textId="1F187760" w:rsidR="005C296B" w:rsidRDefault="005C296B" w:rsidP="005C296B">
      <w:pPr>
        <w:spacing w:before="120"/>
        <w:rPr>
          <w:rFonts w:ascii="Sylfaen" w:hAnsi="Sylfaen"/>
          <w:lang w:val="ka-GE"/>
        </w:rPr>
      </w:pPr>
      <w:r w:rsidRPr="005C296B">
        <w:rPr>
          <w:rFonts w:ascii="Sylfaen" w:hAnsi="Sylfaen"/>
          <w:lang w:val="ka-GE"/>
        </w:rPr>
        <w:t>ცხრილი 3.</w:t>
      </w:r>
      <w:r>
        <w:rPr>
          <w:rFonts w:ascii="Sylfaen" w:hAnsi="Sylfaen"/>
          <w:lang w:val="ka-GE"/>
        </w:rPr>
        <w:t>-</w:t>
      </w:r>
      <w:r w:rsidRPr="005C296B">
        <w:rPr>
          <w:rFonts w:ascii="Sylfaen" w:hAnsi="Sylfaen"/>
          <w:lang w:val="ka-GE"/>
        </w:rPr>
        <w:t>1.</w:t>
      </w:r>
      <w:r w:rsidRPr="005C296B">
        <w:rPr>
          <w:rFonts w:ascii="Sylfaen" w:hAnsi="Sylfaen"/>
          <w:lang w:val="ka-GE"/>
        </w:rPr>
        <w:tab/>
      </w:r>
      <w:r w:rsidR="009F6AAF">
        <w:rPr>
          <w:rFonts w:ascii="Sylfaen" w:hAnsi="Sylfaen"/>
          <w:lang w:val="ka-GE"/>
        </w:rPr>
        <w:t>გურჯაანის (ჩუმლაყი)</w:t>
      </w:r>
      <w:r w:rsidR="009F6AAF">
        <w:rPr>
          <w:rFonts w:ascii="Sylfaen" w:hAnsi="Sylfaen"/>
          <w:lang w:val="en-US"/>
        </w:rPr>
        <w:t>-</w:t>
      </w:r>
      <w:r w:rsidR="009F6AAF">
        <w:rPr>
          <w:rFonts w:ascii="Sylfaen" w:hAnsi="Sylfaen"/>
          <w:lang w:val="ka-GE"/>
        </w:rPr>
        <w:t xml:space="preserve">თელავის </w:t>
      </w:r>
      <w:r w:rsidRPr="005C296B">
        <w:rPr>
          <w:rFonts w:ascii="Sylfaen" w:hAnsi="Sylfaen"/>
          <w:lang w:val="ka-GE"/>
        </w:rPr>
        <w:t>არსებული და ალტერნატიული საგზაო მონაკვეთების/ტრასების სიგრძეები</w:t>
      </w:r>
    </w:p>
    <w:tbl>
      <w:tblPr>
        <w:tblStyle w:val="TableGrid"/>
        <w:tblW w:w="0" w:type="auto"/>
        <w:tblLook w:val="04A0" w:firstRow="1" w:lastRow="0" w:firstColumn="1" w:lastColumn="0" w:noHBand="0" w:noVBand="1"/>
      </w:tblPr>
      <w:tblGrid>
        <w:gridCol w:w="6835"/>
        <w:gridCol w:w="2807"/>
      </w:tblGrid>
      <w:tr w:rsidR="005C296B" w14:paraId="4BA96728" w14:textId="77777777" w:rsidTr="005C296B">
        <w:tc>
          <w:tcPr>
            <w:tcW w:w="6835" w:type="dxa"/>
            <w:shd w:val="clear" w:color="auto" w:fill="E2EFD9" w:themeFill="accent6" w:themeFillTint="33"/>
          </w:tcPr>
          <w:p w14:paraId="23F98D7C" w14:textId="1CA4B597" w:rsidR="005C296B" w:rsidRPr="005C296B" w:rsidRDefault="005C296B" w:rsidP="005C296B">
            <w:pPr>
              <w:spacing w:before="120"/>
              <w:jc w:val="center"/>
              <w:rPr>
                <w:rFonts w:ascii="Sylfaen" w:hAnsi="Sylfaen"/>
                <w:b/>
                <w:lang w:val="ka-GE"/>
              </w:rPr>
            </w:pPr>
            <w:r w:rsidRPr="005C296B">
              <w:rPr>
                <w:rFonts w:ascii="Sylfaen" w:hAnsi="Sylfaen"/>
                <w:b/>
                <w:lang w:val="ka-GE"/>
              </w:rPr>
              <w:t>არსებული და ალტერნატიული მონაკვეთები</w:t>
            </w:r>
          </w:p>
        </w:tc>
        <w:tc>
          <w:tcPr>
            <w:tcW w:w="2807" w:type="dxa"/>
            <w:shd w:val="clear" w:color="auto" w:fill="E2EFD9" w:themeFill="accent6" w:themeFillTint="33"/>
          </w:tcPr>
          <w:p w14:paraId="37B591DC" w14:textId="56B590F2" w:rsidR="005C296B" w:rsidRPr="005C296B" w:rsidRDefault="005C296B" w:rsidP="005C296B">
            <w:pPr>
              <w:spacing w:before="120"/>
              <w:jc w:val="center"/>
              <w:rPr>
                <w:rFonts w:ascii="Sylfaen" w:hAnsi="Sylfaen"/>
                <w:b/>
                <w:lang w:val="ka-GE"/>
              </w:rPr>
            </w:pPr>
            <w:r w:rsidRPr="005C296B">
              <w:rPr>
                <w:rFonts w:ascii="Sylfaen" w:hAnsi="Sylfaen"/>
                <w:b/>
                <w:lang w:val="ka-GE"/>
              </w:rPr>
              <w:t>მონაკვეთების სიგრძე (კმ)</w:t>
            </w:r>
          </w:p>
        </w:tc>
      </w:tr>
      <w:tr w:rsidR="005C296B" w14:paraId="4B575D89" w14:textId="77777777" w:rsidTr="005C296B">
        <w:tc>
          <w:tcPr>
            <w:tcW w:w="6835" w:type="dxa"/>
          </w:tcPr>
          <w:p w14:paraId="3CE75940" w14:textId="65C0D036" w:rsidR="005C296B" w:rsidRDefault="009F6AAF" w:rsidP="005C296B">
            <w:pPr>
              <w:spacing w:before="120"/>
              <w:rPr>
                <w:rFonts w:ascii="Sylfaen" w:hAnsi="Sylfaen"/>
                <w:lang w:val="ka-GE"/>
              </w:rPr>
            </w:pPr>
            <w:r>
              <w:rPr>
                <w:rFonts w:ascii="Sylfaen" w:hAnsi="Sylfaen"/>
                <w:lang w:val="ka-GE"/>
              </w:rPr>
              <w:t>გურჯაანის (ჩუმლაყი)</w:t>
            </w:r>
            <w:r>
              <w:rPr>
                <w:rFonts w:ascii="Sylfaen" w:hAnsi="Sylfaen"/>
                <w:lang w:val="en-US"/>
              </w:rPr>
              <w:t>-</w:t>
            </w:r>
            <w:r>
              <w:rPr>
                <w:rFonts w:ascii="Sylfaen" w:hAnsi="Sylfaen"/>
                <w:lang w:val="ka-GE"/>
              </w:rPr>
              <w:t xml:space="preserve">თელავის </w:t>
            </w:r>
            <w:r w:rsidR="005C296B">
              <w:rPr>
                <w:rFonts w:ascii="Sylfaen" w:hAnsi="Sylfaen"/>
                <w:lang w:val="ka-GE"/>
              </w:rPr>
              <w:t>არსებული საგზაო მონაკვეთი</w:t>
            </w:r>
          </w:p>
        </w:tc>
        <w:tc>
          <w:tcPr>
            <w:tcW w:w="2807" w:type="dxa"/>
          </w:tcPr>
          <w:p w14:paraId="1257BF6C" w14:textId="19AC0EA7" w:rsidR="005C296B" w:rsidRDefault="005C296B" w:rsidP="005C296B">
            <w:pPr>
              <w:spacing w:before="120"/>
              <w:jc w:val="center"/>
              <w:rPr>
                <w:rFonts w:ascii="Sylfaen" w:hAnsi="Sylfaen"/>
                <w:lang w:val="ka-GE"/>
              </w:rPr>
            </w:pPr>
            <w:r>
              <w:rPr>
                <w:rFonts w:ascii="Sylfaen" w:hAnsi="Sylfaen"/>
                <w:lang w:val="ka-GE"/>
              </w:rPr>
              <w:t>34,48</w:t>
            </w:r>
          </w:p>
        </w:tc>
      </w:tr>
      <w:tr w:rsidR="005C296B" w14:paraId="132568B6" w14:textId="77777777" w:rsidTr="005C296B">
        <w:tc>
          <w:tcPr>
            <w:tcW w:w="6835" w:type="dxa"/>
          </w:tcPr>
          <w:p w14:paraId="71AC3FA9" w14:textId="4DCE769E" w:rsidR="005C296B" w:rsidRDefault="005C296B" w:rsidP="005C296B">
            <w:pPr>
              <w:spacing w:before="120"/>
              <w:rPr>
                <w:rFonts w:ascii="Sylfaen" w:hAnsi="Sylfaen"/>
                <w:lang w:val="ka-GE"/>
              </w:rPr>
            </w:pPr>
            <w:r>
              <w:rPr>
                <w:rFonts w:ascii="Sylfaen" w:hAnsi="Sylfaen"/>
                <w:lang w:val="ka-GE"/>
              </w:rPr>
              <w:t xml:space="preserve">ალტერნატიული მონაკვეთი </w:t>
            </w:r>
            <w:r>
              <w:rPr>
                <w:rFonts w:ascii="Sylfaen" w:hAnsi="Sylfaen"/>
                <w:lang w:val="en-US"/>
              </w:rPr>
              <w:t>TN</w:t>
            </w:r>
            <w:r w:rsidRPr="005C296B">
              <w:rPr>
                <w:rFonts w:ascii="Sylfaen" w:hAnsi="Sylfaen"/>
                <w:lang w:val="ka-GE"/>
              </w:rPr>
              <w:t xml:space="preserve"> – წითელი ხაზი</w:t>
            </w:r>
          </w:p>
        </w:tc>
        <w:tc>
          <w:tcPr>
            <w:tcW w:w="2807" w:type="dxa"/>
          </w:tcPr>
          <w:p w14:paraId="78133000" w14:textId="4034DD57" w:rsidR="005C296B" w:rsidRDefault="005C296B" w:rsidP="005C296B">
            <w:pPr>
              <w:spacing w:before="120"/>
              <w:jc w:val="center"/>
              <w:rPr>
                <w:rFonts w:ascii="Sylfaen" w:hAnsi="Sylfaen"/>
                <w:lang w:val="ka-GE"/>
              </w:rPr>
            </w:pPr>
            <w:r>
              <w:rPr>
                <w:rFonts w:ascii="Sylfaen" w:hAnsi="Sylfaen"/>
                <w:lang w:val="ka-GE"/>
              </w:rPr>
              <w:t>36,77</w:t>
            </w:r>
          </w:p>
        </w:tc>
      </w:tr>
      <w:tr w:rsidR="005C296B" w14:paraId="04E4223C" w14:textId="77777777" w:rsidTr="005C296B">
        <w:tc>
          <w:tcPr>
            <w:tcW w:w="6835" w:type="dxa"/>
          </w:tcPr>
          <w:p w14:paraId="1D2ED993" w14:textId="47D0DB7E" w:rsidR="005C296B" w:rsidRDefault="005C296B" w:rsidP="005C296B">
            <w:pPr>
              <w:spacing w:before="120"/>
              <w:rPr>
                <w:rFonts w:ascii="Sylfaen" w:hAnsi="Sylfaen"/>
                <w:lang w:val="ka-GE"/>
              </w:rPr>
            </w:pPr>
            <w:r>
              <w:rPr>
                <w:rFonts w:ascii="Sylfaen" w:hAnsi="Sylfaen"/>
                <w:lang w:val="ka-GE"/>
              </w:rPr>
              <w:t>ალტერნატიული გზა TS – ღია ლურჯი ხაზი</w:t>
            </w:r>
          </w:p>
        </w:tc>
        <w:tc>
          <w:tcPr>
            <w:tcW w:w="2807" w:type="dxa"/>
          </w:tcPr>
          <w:p w14:paraId="295D8C82" w14:textId="32CB2FDD" w:rsidR="005C296B" w:rsidRDefault="005C296B" w:rsidP="005C296B">
            <w:pPr>
              <w:spacing w:before="120"/>
              <w:jc w:val="center"/>
              <w:rPr>
                <w:rFonts w:ascii="Sylfaen" w:hAnsi="Sylfaen"/>
                <w:lang w:val="ka-GE"/>
              </w:rPr>
            </w:pPr>
            <w:r>
              <w:rPr>
                <w:rFonts w:ascii="Sylfaen" w:hAnsi="Sylfaen"/>
                <w:lang w:val="ka-GE"/>
              </w:rPr>
              <w:t>35,95</w:t>
            </w:r>
          </w:p>
        </w:tc>
      </w:tr>
      <w:tr w:rsidR="005C296B" w14:paraId="197F892B" w14:textId="77777777" w:rsidTr="005C296B">
        <w:tc>
          <w:tcPr>
            <w:tcW w:w="6835" w:type="dxa"/>
          </w:tcPr>
          <w:p w14:paraId="321336B1" w14:textId="7A1D6088" w:rsidR="005C296B" w:rsidRPr="005C296B" w:rsidRDefault="005C296B" w:rsidP="005C296B">
            <w:pPr>
              <w:spacing w:before="120"/>
              <w:rPr>
                <w:rFonts w:ascii="Sylfaen" w:hAnsi="Sylfaen"/>
                <w:lang w:val="ka-GE"/>
              </w:rPr>
            </w:pPr>
            <w:r>
              <w:rPr>
                <w:rFonts w:ascii="Sylfaen" w:hAnsi="Sylfaen"/>
                <w:lang w:val="ka-GE"/>
              </w:rPr>
              <w:t xml:space="preserve">ალტერნატიული გზა </w:t>
            </w:r>
            <w:r>
              <w:rPr>
                <w:rFonts w:ascii="Sylfaen" w:hAnsi="Sylfaen"/>
                <w:lang w:val="en-US"/>
              </w:rPr>
              <w:t>TS</w:t>
            </w:r>
            <w:r w:rsidRPr="005C296B">
              <w:rPr>
                <w:rFonts w:ascii="Sylfaen" w:hAnsi="Sylfaen"/>
                <w:lang w:val="ka-GE"/>
              </w:rPr>
              <w:t>-1 – მწვანე ხაზი</w:t>
            </w:r>
          </w:p>
        </w:tc>
        <w:tc>
          <w:tcPr>
            <w:tcW w:w="2807" w:type="dxa"/>
          </w:tcPr>
          <w:p w14:paraId="2625F6F3" w14:textId="3DEACD84" w:rsidR="005C296B" w:rsidRDefault="005C296B" w:rsidP="005C296B">
            <w:pPr>
              <w:spacing w:before="120"/>
              <w:jc w:val="center"/>
              <w:rPr>
                <w:rFonts w:ascii="Sylfaen" w:hAnsi="Sylfaen"/>
                <w:lang w:val="ka-GE"/>
              </w:rPr>
            </w:pPr>
            <w:r>
              <w:rPr>
                <w:rFonts w:ascii="Sylfaen" w:hAnsi="Sylfaen"/>
                <w:lang w:val="ka-GE"/>
              </w:rPr>
              <w:t>36,21</w:t>
            </w:r>
          </w:p>
        </w:tc>
      </w:tr>
    </w:tbl>
    <w:p w14:paraId="23D42B82" w14:textId="77777777" w:rsidR="005C296B" w:rsidRPr="00145737" w:rsidRDefault="005C296B" w:rsidP="005C296B">
      <w:pPr>
        <w:spacing w:before="120"/>
        <w:rPr>
          <w:rFonts w:ascii="Sylfaen" w:hAnsi="Sylfaen"/>
          <w:lang w:val="ka-GE"/>
        </w:rPr>
      </w:pPr>
    </w:p>
    <w:p w14:paraId="0F9425E3" w14:textId="77777777" w:rsidR="00145737" w:rsidRDefault="00145737" w:rsidP="00145737">
      <w:pPr>
        <w:pStyle w:val="EIAheading2"/>
        <w:rPr>
          <w:lang w:val="it-IT"/>
        </w:rPr>
      </w:pPr>
      <w:bookmarkStart w:id="34" w:name="_Toc502053808"/>
      <w:bookmarkStart w:id="35" w:name="_Toc529977345"/>
      <w:bookmarkStart w:id="36" w:name="_Toc1581486"/>
      <w:r>
        <w:rPr>
          <w:lang w:val="it-IT"/>
        </w:rPr>
        <w:t xml:space="preserve">3.1 </w:t>
      </w:r>
      <w:bookmarkEnd w:id="34"/>
      <w:r>
        <w:rPr>
          <w:szCs w:val="22"/>
          <w:lang w:val="ka-GE" w:eastAsia="ko-KR"/>
        </w:rPr>
        <w:t>,,</w:t>
      </w:r>
      <w:r>
        <w:rPr>
          <w:rFonts w:ascii="Sylfaen" w:hAnsi="Sylfaen" w:cs="Sylfaen"/>
          <w:szCs w:val="22"/>
          <w:lang w:val="ka-GE" w:eastAsia="ko-KR"/>
        </w:rPr>
        <w:t>ნულოვანი</w:t>
      </w:r>
      <w:r>
        <w:rPr>
          <w:rFonts w:ascii="Arial" w:hAnsi="Arial" w:cs="Arial"/>
          <w:szCs w:val="22"/>
          <w:lang w:val="ka-GE" w:eastAsia="ko-KR"/>
        </w:rPr>
        <w:t>“</w:t>
      </w:r>
      <w:r>
        <w:rPr>
          <w:szCs w:val="22"/>
          <w:lang w:val="ka-GE" w:eastAsia="ko-KR"/>
        </w:rPr>
        <w:t xml:space="preserve"> (</w:t>
      </w:r>
      <w:r>
        <w:rPr>
          <w:rFonts w:ascii="Sylfaen" w:hAnsi="Sylfaen" w:cs="Sylfaen"/>
          <w:szCs w:val="22"/>
          <w:lang w:val="ka-GE" w:eastAsia="ko-KR"/>
        </w:rPr>
        <w:t>პროექტის</w:t>
      </w:r>
      <w:r>
        <w:rPr>
          <w:szCs w:val="22"/>
          <w:lang w:val="ka-GE" w:eastAsia="ko-KR"/>
        </w:rPr>
        <w:t xml:space="preserve"> </w:t>
      </w:r>
      <w:r>
        <w:rPr>
          <w:rFonts w:ascii="Sylfaen" w:hAnsi="Sylfaen" w:cs="Sylfaen"/>
          <w:szCs w:val="22"/>
          <w:lang w:val="ka-GE" w:eastAsia="ko-KR"/>
        </w:rPr>
        <w:t>განუხორციელებლობა</w:t>
      </w:r>
      <w:r>
        <w:rPr>
          <w:szCs w:val="22"/>
          <w:lang w:val="ka-GE" w:eastAsia="ko-KR"/>
        </w:rPr>
        <w:t xml:space="preserve">) </w:t>
      </w:r>
      <w:r>
        <w:rPr>
          <w:rFonts w:ascii="Sylfaen" w:hAnsi="Sylfaen" w:cs="Sylfaen"/>
          <w:szCs w:val="22"/>
          <w:lang w:val="ka-GE" w:eastAsia="ko-KR"/>
        </w:rPr>
        <w:t>ალტერნატივა</w:t>
      </w:r>
      <w:r>
        <w:rPr>
          <w:szCs w:val="22"/>
          <w:lang w:val="ka-GE" w:eastAsia="ko-KR"/>
        </w:rPr>
        <w:t>.</w:t>
      </w:r>
      <w:bookmarkEnd w:id="35"/>
      <w:bookmarkEnd w:id="36"/>
    </w:p>
    <w:p w14:paraId="417E353B" w14:textId="77777777" w:rsidR="00145737" w:rsidRDefault="00145737" w:rsidP="00145737">
      <w:pPr>
        <w:pStyle w:val="BodyText"/>
        <w:spacing w:before="200" w:after="200"/>
        <w:jc w:val="both"/>
        <w:rPr>
          <w:rFonts w:ascii="Sylfaen" w:hAnsi="Sylfaen"/>
          <w:noProof/>
          <w:sz w:val="22"/>
          <w:szCs w:val="22"/>
          <w:lang w:eastAsia="de-DE"/>
        </w:rPr>
      </w:pPr>
      <w:r>
        <w:rPr>
          <w:rFonts w:ascii="Sylfaen" w:hAnsi="Sylfaen"/>
          <w:noProof/>
          <w:sz w:val="22"/>
          <w:szCs w:val="22"/>
          <w:lang w:eastAsia="de-DE"/>
        </w:rPr>
        <w:t>ნულოვანი ალტერნატივის ანალიზისას განსაკუთრებული ყურადღება უნდა მიექცეს არსებული მოძრაობის შესაძლებლობას თავისუფალ გადაადგილებასთან არსებული გზის მონაკვეთის ფარგლებში. ზამთრის სეზონზე მყარი ნალექების პერიოდების დროს სატრანსპორტო დაბრკოლებები ხშირია, რადგან საგზაო ზოლის შემდეგ გზის გადაადგილება რთულია. მთავარი მარცხი და სატრანსპორტო მოძრაობისთვის ასევე ტურისტების მოგზაურობის რაოდენობა იზრდება კახეთის რეგიონში, ზაფხულისა და შემოდგომის სეზონზე.</w:t>
      </w:r>
    </w:p>
    <w:p w14:paraId="21CCE204" w14:textId="77777777" w:rsidR="00145737" w:rsidRDefault="00145737" w:rsidP="00145737">
      <w:pPr>
        <w:pStyle w:val="BodyText"/>
        <w:spacing w:before="200" w:after="200"/>
        <w:jc w:val="both"/>
        <w:rPr>
          <w:rFonts w:ascii="Sylfaen" w:hAnsi="Sylfaen"/>
          <w:noProof/>
          <w:sz w:val="22"/>
          <w:szCs w:val="22"/>
          <w:lang w:eastAsia="de-DE"/>
        </w:rPr>
      </w:pPr>
      <w:r>
        <w:rPr>
          <w:rFonts w:ascii="Sylfaen" w:hAnsi="Sylfaen"/>
          <w:noProof/>
          <w:sz w:val="22"/>
          <w:szCs w:val="22"/>
          <w:lang w:eastAsia="de-DE"/>
        </w:rPr>
        <w:t xml:space="preserve">ეს ალტერნატიული მარშრუტები მოგზაურობას ბევრად </w:t>
      </w:r>
      <w:r>
        <w:rPr>
          <w:rFonts w:ascii="Sylfaen" w:hAnsi="Sylfaen"/>
          <w:noProof/>
          <w:sz w:val="22"/>
          <w:szCs w:val="22"/>
          <w:lang w:val="ka-GE" w:eastAsia="de-DE"/>
        </w:rPr>
        <w:t>ზრდის</w:t>
      </w:r>
      <w:r>
        <w:rPr>
          <w:rFonts w:ascii="Sylfaen" w:hAnsi="Sylfaen"/>
          <w:noProof/>
          <w:sz w:val="22"/>
          <w:szCs w:val="22"/>
          <w:lang w:eastAsia="de-DE"/>
        </w:rPr>
        <w:t xml:space="preserve"> და საგზაო უსაფრთხოების რისკებს ზრდ</w:t>
      </w:r>
      <w:r>
        <w:rPr>
          <w:rFonts w:ascii="Sylfaen" w:hAnsi="Sylfaen"/>
          <w:noProof/>
          <w:sz w:val="22"/>
          <w:szCs w:val="22"/>
          <w:lang w:val="ka-GE" w:eastAsia="de-DE"/>
        </w:rPr>
        <w:t>ი</w:t>
      </w:r>
      <w:r>
        <w:rPr>
          <w:rFonts w:ascii="Sylfaen" w:hAnsi="Sylfaen"/>
          <w:noProof/>
          <w:sz w:val="22"/>
          <w:szCs w:val="22"/>
          <w:lang w:eastAsia="de-DE"/>
        </w:rPr>
        <w:t>ს (განსაკუთრებით დიდი მანქანებისათვის). გარდა ამისა, ალტერნატიული მარშრუტები კახეთის რეგიონის რამდენიმე დასახლებულ პუნქტშია გაშლილი და, შესაბამისად, გაზრდილი სატრანსპორტო ნაკადები უარყოფით გავლენას ახდენს ადგილობრივი მოსახლეობის საცხოვრებელი პირობებზე.</w:t>
      </w:r>
    </w:p>
    <w:p w14:paraId="4C07752A" w14:textId="77777777" w:rsidR="00145737" w:rsidRDefault="00145737" w:rsidP="00145737">
      <w:pPr>
        <w:pStyle w:val="BodyText"/>
        <w:spacing w:before="200" w:after="200"/>
        <w:jc w:val="both"/>
        <w:rPr>
          <w:rFonts w:ascii="Sylfaen" w:hAnsi="Sylfaen"/>
          <w:noProof/>
          <w:sz w:val="22"/>
          <w:szCs w:val="22"/>
          <w:lang w:eastAsia="de-DE"/>
        </w:rPr>
      </w:pPr>
      <w:r>
        <w:rPr>
          <w:rFonts w:ascii="Sylfaen" w:hAnsi="Sylfaen"/>
          <w:noProof/>
          <w:sz w:val="22"/>
          <w:szCs w:val="22"/>
          <w:lang w:val="ka-GE" w:eastAsia="de-DE"/>
        </w:rPr>
        <w:t>გასათვალისწინებელია კახეთის რეგიონში სამომავლო ტურისტული მიმოსვლის გაზრდა</w:t>
      </w:r>
      <w:r>
        <w:rPr>
          <w:rFonts w:ascii="Sylfaen" w:hAnsi="Sylfaen"/>
          <w:noProof/>
          <w:sz w:val="22"/>
          <w:szCs w:val="22"/>
          <w:lang w:eastAsia="de-DE"/>
        </w:rPr>
        <w:t xml:space="preserve">. საავტომობილო </w:t>
      </w:r>
      <w:r>
        <w:rPr>
          <w:rFonts w:ascii="Sylfaen" w:hAnsi="Sylfaen"/>
          <w:noProof/>
          <w:sz w:val="22"/>
          <w:szCs w:val="22"/>
          <w:lang w:val="ka-GE" w:eastAsia="de-DE"/>
        </w:rPr>
        <w:t>გზის</w:t>
      </w:r>
      <w:r>
        <w:rPr>
          <w:rFonts w:ascii="Sylfaen" w:hAnsi="Sylfaen"/>
          <w:noProof/>
          <w:sz w:val="22"/>
          <w:szCs w:val="22"/>
          <w:lang w:eastAsia="de-DE"/>
        </w:rPr>
        <w:t xml:space="preserve"> ამჟამინდელი მდგომარეობა კიდევ უფრო გაუარესდება</w:t>
      </w:r>
      <w:r>
        <w:rPr>
          <w:rFonts w:ascii="Sylfaen" w:hAnsi="Sylfaen"/>
          <w:noProof/>
          <w:sz w:val="22"/>
          <w:szCs w:val="22"/>
          <w:lang w:val="ka-GE" w:eastAsia="de-DE"/>
        </w:rPr>
        <w:t>,</w:t>
      </w:r>
      <w:r>
        <w:rPr>
          <w:rFonts w:ascii="Sylfaen" w:hAnsi="Sylfaen"/>
          <w:noProof/>
          <w:sz w:val="22"/>
          <w:szCs w:val="22"/>
          <w:lang w:eastAsia="de-DE"/>
        </w:rPr>
        <w:t xml:space="preserve"> რაც ქვეყნის სოციალურ-ეკონომიკური განვითარების</w:t>
      </w:r>
      <w:r>
        <w:rPr>
          <w:rFonts w:ascii="Sylfaen" w:hAnsi="Sylfaen"/>
          <w:noProof/>
          <w:sz w:val="22"/>
          <w:szCs w:val="22"/>
          <w:lang w:val="ka-GE" w:eastAsia="de-DE"/>
        </w:rPr>
        <w:t xml:space="preserve">თვის </w:t>
      </w:r>
      <w:r>
        <w:rPr>
          <w:rFonts w:ascii="Sylfaen" w:hAnsi="Sylfaen"/>
          <w:noProof/>
          <w:sz w:val="22"/>
          <w:szCs w:val="22"/>
          <w:lang w:eastAsia="de-DE"/>
        </w:rPr>
        <w:t>მნიშვნელოვანი შემაფერხებელი ფაქტორია. ასევე უნდა ითქვას, რომ ნულოვანი ალტერნატივა რადიკალურად შემცირდება თბილისი-ბაკურციხე-ლაგოდეხის უკვე მოდერნიზებული მონაკვეთების დადებითი სოციალურ-ეკონომიკური ეფექტი და უარყოფით გავლენას მოახდენს ქვეყნის მოსახლეობის და ბიზნეს</w:t>
      </w:r>
      <w:r>
        <w:rPr>
          <w:rFonts w:ascii="Sylfaen" w:hAnsi="Sylfaen"/>
          <w:noProof/>
          <w:sz w:val="22"/>
          <w:szCs w:val="22"/>
          <w:lang w:val="ka-GE" w:eastAsia="de-DE"/>
        </w:rPr>
        <w:t>ი</w:t>
      </w:r>
      <w:r>
        <w:rPr>
          <w:rFonts w:ascii="Sylfaen" w:hAnsi="Sylfaen"/>
          <w:noProof/>
          <w:sz w:val="22"/>
          <w:szCs w:val="22"/>
          <w:lang w:eastAsia="de-DE"/>
        </w:rPr>
        <w:t xml:space="preserve">ს </w:t>
      </w:r>
      <w:r>
        <w:rPr>
          <w:rFonts w:ascii="Sylfaen" w:hAnsi="Sylfaen"/>
          <w:noProof/>
          <w:sz w:val="22"/>
          <w:szCs w:val="22"/>
          <w:lang w:val="ka-GE" w:eastAsia="de-DE"/>
        </w:rPr>
        <w:t>განვითარებაზე</w:t>
      </w:r>
      <w:r>
        <w:rPr>
          <w:rFonts w:ascii="Sylfaen" w:hAnsi="Sylfaen"/>
          <w:noProof/>
          <w:sz w:val="22"/>
          <w:szCs w:val="22"/>
          <w:lang w:eastAsia="de-DE"/>
        </w:rPr>
        <w:t>.</w:t>
      </w:r>
    </w:p>
    <w:p w14:paraId="5526B18F" w14:textId="22AA63EA" w:rsidR="00145737" w:rsidRDefault="00145737" w:rsidP="00C71718">
      <w:pPr>
        <w:spacing w:before="120" w:after="120"/>
        <w:rPr>
          <w:rFonts w:ascii="Sylfaen" w:hAnsi="Sylfaen"/>
          <w:szCs w:val="22"/>
          <w:lang w:val="ka-GE" w:eastAsia="ko-KR"/>
        </w:rPr>
      </w:pPr>
      <w:r>
        <w:rPr>
          <w:rFonts w:ascii="Sylfaen" w:hAnsi="Sylfaen" w:cs="Sylfaen"/>
          <w:szCs w:val="22"/>
          <w:lang w:val="ka-GE" w:eastAsia="ko-KR"/>
        </w:rPr>
        <w:lastRenderedPageBreak/>
        <w:t>მომავალი</w:t>
      </w:r>
      <w:r>
        <w:rPr>
          <w:szCs w:val="22"/>
          <w:lang w:val="ka-GE" w:eastAsia="ko-KR"/>
        </w:rPr>
        <w:t xml:space="preserve"> </w:t>
      </w:r>
      <w:r>
        <w:rPr>
          <w:rFonts w:ascii="Sylfaen" w:hAnsi="Sylfaen" w:cs="Sylfaen"/>
          <w:szCs w:val="22"/>
          <w:lang w:val="ka-GE" w:eastAsia="ko-KR"/>
        </w:rPr>
        <w:t>პერსპექტივის</w:t>
      </w:r>
      <w:r>
        <w:rPr>
          <w:szCs w:val="22"/>
          <w:lang w:val="ka-GE" w:eastAsia="ko-KR"/>
        </w:rPr>
        <w:t xml:space="preserve"> </w:t>
      </w:r>
      <w:r>
        <w:rPr>
          <w:rFonts w:ascii="Sylfaen" w:hAnsi="Sylfaen" w:cs="Sylfaen"/>
          <w:szCs w:val="22"/>
          <w:lang w:val="ka-GE" w:eastAsia="ko-KR"/>
        </w:rPr>
        <w:t>გათვალისწინებით</w:t>
      </w:r>
      <w:r>
        <w:rPr>
          <w:szCs w:val="22"/>
          <w:lang w:val="ka-GE" w:eastAsia="ko-KR"/>
        </w:rPr>
        <w:t xml:space="preserve">, </w:t>
      </w:r>
      <w:r>
        <w:rPr>
          <w:rFonts w:ascii="Sylfaen" w:hAnsi="Sylfaen" w:cs="Sylfaen"/>
          <w:szCs w:val="22"/>
          <w:lang w:val="ka-GE" w:eastAsia="ko-KR"/>
        </w:rPr>
        <w:t>არსებული</w:t>
      </w:r>
      <w:r>
        <w:rPr>
          <w:szCs w:val="22"/>
          <w:lang w:val="ka-GE" w:eastAsia="ko-KR"/>
        </w:rPr>
        <w:t xml:space="preserve"> </w:t>
      </w:r>
      <w:r>
        <w:rPr>
          <w:rFonts w:ascii="Sylfaen" w:hAnsi="Sylfaen" w:cs="Sylfaen"/>
          <w:szCs w:val="22"/>
          <w:lang w:val="ka-GE" w:eastAsia="ko-KR"/>
        </w:rPr>
        <w:t>გზა</w:t>
      </w:r>
      <w:r>
        <w:rPr>
          <w:szCs w:val="22"/>
          <w:lang w:val="ka-GE" w:eastAsia="ko-KR"/>
        </w:rPr>
        <w:t xml:space="preserve">, </w:t>
      </w:r>
      <w:r>
        <w:rPr>
          <w:rFonts w:ascii="Sylfaen" w:hAnsi="Sylfaen" w:cs="Sylfaen"/>
          <w:szCs w:val="22"/>
          <w:lang w:val="ka-GE" w:eastAsia="ko-KR"/>
        </w:rPr>
        <w:t>რომელიც</w:t>
      </w:r>
      <w:r>
        <w:rPr>
          <w:szCs w:val="22"/>
          <w:lang w:val="ka-GE" w:eastAsia="ko-KR"/>
        </w:rPr>
        <w:t xml:space="preserve"> </w:t>
      </w:r>
      <w:r>
        <w:rPr>
          <w:rFonts w:ascii="Sylfaen" w:hAnsi="Sylfaen" w:cs="Sylfaen"/>
          <w:szCs w:val="22"/>
          <w:lang w:val="ka-GE" w:eastAsia="ko-KR"/>
        </w:rPr>
        <w:t>დასახლებულ</w:t>
      </w:r>
      <w:r>
        <w:rPr>
          <w:szCs w:val="22"/>
          <w:lang w:val="ka-GE" w:eastAsia="ko-KR"/>
        </w:rPr>
        <w:t xml:space="preserve"> </w:t>
      </w:r>
      <w:r>
        <w:rPr>
          <w:rFonts w:ascii="Sylfaen" w:hAnsi="Sylfaen" w:cs="Sylfaen"/>
          <w:szCs w:val="22"/>
          <w:lang w:val="ka-GE" w:eastAsia="ko-KR"/>
        </w:rPr>
        <w:t>ტერიტორიებს</w:t>
      </w:r>
      <w:r>
        <w:rPr>
          <w:szCs w:val="22"/>
          <w:lang w:val="ka-GE" w:eastAsia="ko-KR"/>
        </w:rPr>
        <w:t xml:space="preserve"> </w:t>
      </w:r>
      <w:r>
        <w:rPr>
          <w:rFonts w:ascii="Sylfaen" w:hAnsi="Sylfaen" w:cs="Sylfaen"/>
          <w:szCs w:val="22"/>
          <w:lang w:val="ka-GE" w:eastAsia="ko-KR"/>
        </w:rPr>
        <w:t>კვეთს</w:t>
      </w:r>
      <w:r>
        <w:rPr>
          <w:szCs w:val="22"/>
          <w:lang w:val="ka-GE" w:eastAsia="ko-KR"/>
        </w:rPr>
        <w:t xml:space="preserve"> </w:t>
      </w:r>
      <w:r>
        <w:rPr>
          <w:rFonts w:ascii="Sylfaen" w:hAnsi="Sylfaen" w:cs="Sylfaen"/>
          <w:szCs w:val="22"/>
          <w:lang w:val="ka-GE" w:eastAsia="ko-KR"/>
        </w:rPr>
        <w:t>არ</w:t>
      </w:r>
      <w:r>
        <w:rPr>
          <w:szCs w:val="22"/>
          <w:lang w:val="ka-GE" w:eastAsia="ko-KR"/>
        </w:rPr>
        <w:t xml:space="preserve"> </w:t>
      </w:r>
      <w:r>
        <w:rPr>
          <w:rFonts w:ascii="Sylfaen" w:hAnsi="Sylfaen" w:cs="Sylfaen"/>
          <w:szCs w:val="22"/>
          <w:lang w:val="ka-GE" w:eastAsia="ko-KR"/>
        </w:rPr>
        <w:t>იქნება</w:t>
      </w:r>
      <w:r>
        <w:rPr>
          <w:szCs w:val="22"/>
          <w:lang w:val="ka-GE" w:eastAsia="ko-KR"/>
        </w:rPr>
        <w:t xml:space="preserve"> </w:t>
      </w:r>
      <w:r>
        <w:rPr>
          <w:rFonts w:ascii="Sylfaen" w:hAnsi="Sylfaen" w:cs="Sylfaen"/>
          <w:szCs w:val="22"/>
          <w:lang w:val="ka-GE" w:eastAsia="ko-KR"/>
        </w:rPr>
        <w:t>საკმარისი</w:t>
      </w:r>
      <w:r>
        <w:rPr>
          <w:szCs w:val="22"/>
          <w:lang w:val="ka-GE" w:eastAsia="ko-KR"/>
        </w:rPr>
        <w:t xml:space="preserve"> </w:t>
      </w:r>
      <w:r>
        <w:rPr>
          <w:rFonts w:ascii="Sylfaen" w:hAnsi="Sylfaen" w:cs="Sylfaen"/>
          <w:szCs w:val="22"/>
          <w:lang w:val="ka-GE" w:eastAsia="ko-KR"/>
        </w:rPr>
        <w:t>შეუფერხებელი</w:t>
      </w:r>
      <w:r>
        <w:rPr>
          <w:szCs w:val="22"/>
          <w:lang w:val="ka-GE" w:eastAsia="ko-KR"/>
        </w:rPr>
        <w:t xml:space="preserve"> </w:t>
      </w:r>
      <w:r>
        <w:rPr>
          <w:rFonts w:ascii="Sylfaen" w:hAnsi="Sylfaen" w:cs="Sylfaen"/>
          <w:szCs w:val="22"/>
          <w:lang w:val="ka-GE" w:eastAsia="ko-KR"/>
        </w:rPr>
        <w:t>საგზაო</w:t>
      </w:r>
      <w:r>
        <w:rPr>
          <w:szCs w:val="22"/>
          <w:lang w:val="ka-GE" w:eastAsia="ko-KR"/>
        </w:rPr>
        <w:t xml:space="preserve"> </w:t>
      </w:r>
      <w:r>
        <w:rPr>
          <w:rFonts w:ascii="Sylfaen" w:hAnsi="Sylfaen" w:cs="Sylfaen"/>
          <w:szCs w:val="22"/>
          <w:lang w:val="ka-GE" w:eastAsia="ko-KR"/>
        </w:rPr>
        <w:t>მოძრაობისათვის</w:t>
      </w:r>
      <w:r>
        <w:rPr>
          <w:szCs w:val="22"/>
          <w:lang w:val="ka-GE" w:eastAsia="ko-KR"/>
        </w:rPr>
        <w:t xml:space="preserve">. </w:t>
      </w:r>
      <w:r>
        <w:rPr>
          <w:rFonts w:ascii="Sylfaen" w:hAnsi="Sylfaen" w:cs="Sylfaen"/>
          <w:szCs w:val="22"/>
          <w:lang w:val="ka-GE" w:eastAsia="ko-KR"/>
        </w:rPr>
        <w:t>იმ</w:t>
      </w:r>
      <w:r>
        <w:rPr>
          <w:szCs w:val="22"/>
          <w:lang w:val="ka-GE" w:eastAsia="ko-KR"/>
        </w:rPr>
        <w:t xml:space="preserve"> </w:t>
      </w:r>
      <w:r>
        <w:rPr>
          <w:rFonts w:ascii="Sylfaen" w:hAnsi="Sylfaen" w:cs="Sylfaen"/>
          <w:szCs w:val="22"/>
          <w:lang w:val="ka-GE" w:eastAsia="ko-KR"/>
        </w:rPr>
        <w:t>შემთხვევაშიც</w:t>
      </w:r>
      <w:r>
        <w:rPr>
          <w:szCs w:val="22"/>
          <w:lang w:val="ka-GE" w:eastAsia="ko-KR"/>
        </w:rPr>
        <w:t xml:space="preserve"> </w:t>
      </w:r>
      <w:r>
        <w:rPr>
          <w:rFonts w:ascii="Sylfaen" w:hAnsi="Sylfaen" w:cs="Sylfaen"/>
          <w:szCs w:val="22"/>
          <w:lang w:val="ka-GE" w:eastAsia="ko-KR"/>
        </w:rPr>
        <w:t>კი</w:t>
      </w:r>
      <w:r>
        <w:rPr>
          <w:szCs w:val="22"/>
          <w:lang w:val="ka-GE" w:eastAsia="ko-KR"/>
        </w:rPr>
        <w:t xml:space="preserve">, </w:t>
      </w:r>
      <w:r>
        <w:rPr>
          <w:rFonts w:ascii="Sylfaen" w:hAnsi="Sylfaen" w:cs="Sylfaen"/>
          <w:szCs w:val="22"/>
          <w:lang w:val="ka-GE" w:eastAsia="ko-KR"/>
        </w:rPr>
        <w:t>თუ</w:t>
      </w:r>
      <w:r>
        <w:rPr>
          <w:szCs w:val="22"/>
          <w:lang w:val="ka-GE" w:eastAsia="ko-KR"/>
        </w:rPr>
        <w:t xml:space="preserve"> </w:t>
      </w:r>
      <w:r>
        <w:rPr>
          <w:rFonts w:ascii="Sylfaen" w:hAnsi="Sylfaen" w:cs="Sylfaen"/>
          <w:szCs w:val="22"/>
          <w:lang w:val="ka-GE" w:eastAsia="ko-KR"/>
        </w:rPr>
        <w:t>გზა</w:t>
      </w:r>
      <w:r>
        <w:rPr>
          <w:szCs w:val="22"/>
          <w:lang w:val="ka-GE" w:eastAsia="ko-KR"/>
        </w:rPr>
        <w:t xml:space="preserve"> </w:t>
      </w:r>
      <w:r>
        <w:rPr>
          <w:rFonts w:ascii="Sylfaen" w:hAnsi="Sylfaen" w:cs="Sylfaen"/>
          <w:szCs w:val="22"/>
          <w:lang w:val="ka-GE" w:eastAsia="ko-KR"/>
        </w:rPr>
        <w:t>ტექნიკურად</w:t>
      </w:r>
      <w:r>
        <w:rPr>
          <w:szCs w:val="22"/>
          <w:lang w:val="ka-GE" w:eastAsia="ko-KR"/>
        </w:rPr>
        <w:t xml:space="preserve"> </w:t>
      </w:r>
      <w:r>
        <w:rPr>
          <w:rFonts w:ascii="Sylfaen" w:hAnsi="Sylfaen" w:cs="Sylfaen"/>
          <w:szCs w:val="22"/>
          <w:lang w:val="ka-GE" w:eastAsia="ko-KR"/>
        </w:rPr>
        <w:t>გამართული</w:t>
      </w:r>
      <w:r>
        <w:rPr>
          <w:szCs w:val="22"/>
          <w:lang w:val="ka-GE" w:eastAsia="ko-KR"/>
        </w:rPr>
        <w:t xml:space="preserve"> </w:t>
      </w:r>
      <w:r>
        <w:rPr>
          <w:rFonts w:ascii="Sylfaen" w:hAnsi="Sylfaen" w:cs="Sylfaen"/>
          <w:szCs w:val="22"/>
          <w:lang w:val="ka-GE" w:eastAsia="ko-KR"/>
        </w:rPr>
        <w:t>იქნება</w:t>
      </w:r>
      <w:r>
        <w:rPr>
          <w:szCs w:val="22"/>
          <w:lang w:val="ka-GE" w:eastAsia="ko-KR"/>
        </w:rPr>
        <w:t xml:space="preserve">, </w:t>
      </w:r>
      <w:r>
        <w:rPr>
          <w:rFonts w:ascii="Sylfaen" w:hAnsi="Sylfaen" w:cs="Sylfaen"/>
          <w:szCs w:val="22"/>
          <w:lang w:val="ka-GE" w:eastAsia="ko-KR"/>
        </w:rPr>
        <w:t>პრობლემას</w:t>
      </w:r>
      <w:r>
        <w:rPr>
          <w:szCs w:val="22"/>
          <w:lang w:val="ka-GE" w:eastAsia="ko-KR"/>
        </w:rPr>
        <w:t xml:space="preserve"> </w:t>
      </w:r>
      <w:r>
        <w:rPr>
          <w:rFonts w:ascii="Sylfaen" w:hAnsi="Sylfaen" w:cs="Sylfaen"/>
          <w:szCs w:val="22"/>
          <w:lang w:val="ka-GE" w:eastAsia="ko-KR"/>
        </w:rPr>
        <w:t>შექმნის</w:t>
      </w:r>
      <w:r>
        <w:rPr>
          <w:szCs w:val="22"/>
          <w:lang w:val="ka-GE" w:eastAsia="ko-KR"/>
        </w:rPr>
        <w:t xml:space="preserve"> </w:t>
      </w:r>
      <w:r>
        <w:rPr>
          <w:rFonts w:ascii="Sylfaen" w:hAnsi="Sylfaen" w:cs="Sylfaen"/>
          <w:szCs w:val="22"/>
          <w:lang w:val="ka-GE" w:eastAsia="ko-KR"/>
        </w:rPr>
        <w:t>ხმაური</w:t>
      </w:r>
      <w:r>
        <w:rPr>
          <w:szCs w:val="22"/>
          <w:lang w:val="ka-GE" w:eastAsia="ko-KR"/>
        </w:rPr>
        <w:t xml:space="preserve"> </w:t>
      </w:r>
      <w:r>
        <w:rPr>
          <w:rFonts w:ascii="Sylfaen" w:hAnsi="Sylfaen" w:cs="Sylfaen"/>
          <w:szCs w:val="22"/>
          <w:lang w:val="ka-GE" w:eastAsia="ko-KR"/>
        </w:rPr>
        <w:t>და</w:t>
      </w:r>
      <w:r>
        <w:rPr>
          <w:szCs w:val="22"/>
          <w:lang w:val="ka-GE" w:eastAsia="ko-KR"/>
        </w:rPr>
        <w:t xml:space="preserve"> </w:t>
      </w:r>
      <w:r>
        <w:rPr>
          <w:rFonts w:ascii="Sylfaen" w:hAnsi="Sylfaen" w:cs="Sylfaen"/>
          <w:szCs w:val="22"/>
          <w:lang w:val="ka-GE" w:eastAsia="ko-KR"/>
        </w:rPr>
        <w:t>საგზაო</w:t>
      </w:r>
      <w:r>
        <w:rPr>
          <w:szCs w:val="22"/>
          <w:lang w:val="ka-GE" w:eastAsia="ko-KR"/>
        </w:rPr>
        <w:t xml:space="preserve"> </w:t>
      </w:r>
      <w:r>
        <w:rPr>
          <w:rFonts w:ascii="Sylfaen" w:hAnsi="Sylfaen" w:cs="Sylfaen"/>
          <w:szCs w:val="22"/>
          <w:lang w:val="ka-GE" w:eastAsia="ko-KR"/>
        </w:rPr>
        <w:t>მოძრაობასთან</w:t>
      </w:r>
      <w:r>
        <w:rPr>
          <w:szCs w:val="22"/>
          <w:lang w:val="ka-GE" w:eastAsia="ko-KR"/>
        </w:rPr>
        <w:t xml:space="preserve"> </w:t>
      </w:r>
      <w:r>
        <w:rPr>
          <w:rFonts w:ascii="Sylfaen" w:hAnsi="Sylfaen" w:cs="Sylfaen"/>
          <w:szCs w:val="22"/>
          <w:lang w:val="ka-GE" w:eastAsia="ko-KR"/>
        </w:rPr>
        <w:t>დაკავშირებული</w:t>
      </w:r>
      <w:r>
        <w:rPr>
          <w:szCs w:val="22"/>
          <w:lang w:val="ka-GE" w:eastAsia="ko-KR"/>
        </w:rPr>
        <w:t xml:space="preserve"> </w:t>
      </w:r>
      <w:r>
        <w:rPr>
          <w:rFonts w:ascii="Sylfaen" w:hAnsi="Sylfaen" w:cs="Sylfaen"/>
          <w:szCs w:val="22"/>
          <w:lang w:val="ka-GE" w:eastAsia="ko-KR"/>
        </w:rPr>
        <w:t>ემისიები</w:t>
      </w:r>
      <w:r>
        <w:rPr>
          <w:szCs w:val="22"/>
          <w:lang w:val="ka-GE" w:eastAsia="ko-KR"/>
        </w:rPr>
        <w:t xml:space="preserve">, </w:t>
      </w:r>
      <w:r>
        <w:rPr>
          <w:rFonts w:ascii="Sylfaen" w:hAnsi="Sylfaen" w:cs="Sylfaen"/>
          <w:szCs w:val="22"/>
          <w:lang w:val="ka-GE" w:eastAsia="ko-KR"/>
        </w:rPr>
        <w:t>საგზაო</w:t>
      </w:r>
      <w:r>
        <w:rPr>
          <w:szCs w:val="22"/>
          <w:lang w:val="ka-GE" w:eastAsia="ko-KR"/>
        </w:rPr>
        <w:t xml:space="preserve"> </w:t>
      </w:r>
      <w:r>
        <w:rPr>
          <w:rFonts w:ascii="Sylfaen" w:hAnsi="Sylfaen" w:cs="Sylfaen"/>
          <w:szCs w:val="22"/>
          <w:lang w:val="ka-GE" w:eastAsia="ko-KR"/>
        </w:rPr>
        <w:t>საცობები</w:t>
      </w:r>
      <w:r>
        <w:rPr>
          <w:szCs w:val="22"/>
          <w:lang w:val="ka-GE" w:eastAsia="ko-KR"/>
        </w:rPr>
        <w:t xml:space="preserve"> </w:t>
      </w:r>
      <w:r>
        <w:rPr>
          <w:rFonts w:ascii="Sylfaen" w:hAnsi="Sylfaen" w:cs="Sylfaen"/>
          <w:szCs w:val="22"/>
          <w:lang w:val="ka-GE" w:eastAsia="ko-KR"/>
        </w:rPr>
        <w:t>და</w:t>
      </w:r>
      <w:r>
        <w:rPr>
          <w:szCs w:val="22"/>
          <w:lang w:val="ka-GE" w:eastAsia="ko-KR"/>
        </w:rPr>
        <w:t xml:space="preserve"> </w:t>
      </w:r>
      <w:r>
        <w:rPr>
          <w:rFonts w:ascii="Sylfaen" w:hAnsi="Sylfaen" w:cs="Sylfaen"/>
          <w:szCs w:val="22"/>
          <w:lang w:val="ka-GE" w:eastAsia="ko-KR"/>
        </w:rPr>
        <w:t>საგზაო</w:t>
      </w:r>
      <w:r>
        <w:rPr>
          <w:szCs w:val="22"/>
          <w:lang w:val="ka-GE" w:eastAsia="ko-KR"/>
        </w:rPr>
        <w:t>/</w:t>
      </w:r>
      <w:r>
        <w:rPr>
          <w:rFonts w:ascii="Sylfaen" w:hAnsi="Sylfaen" w:cs="Sylfaen"/>
          <w:szCs w:val="22"/>
          <w:lang w:val="ka-GE" w:eastAsia="ko-KR"/>
        </w:rPr>
        <w:t>საფეხმავლო</w:t>
      </w:r>
      <w:r>
        <w:rPr>
          <w:szCs w:val="22"/>
          <w:lang w:val="ka-GE" w:eastAsia="ko-KR"/>
        </w:rPr>
        <w:t xml:space="preserve"> </w:t>
      </w:r>
      <w:r>
        <w:rPr>
          <w:rFonts w:ascii="Sylfaen" w:hAnsi="Sylfaen" w:cs="Sylfaen"/>
          <w:szCs w:val="22"/>
          <w:lang w:val="ka-GE" w:eastAsia="ko-KR"/>
        </w:rPr>
        <w:t>მოძრაობის</w:t>
      </w:r>
      <w:r>
        <w:rPr>
          <w:szCs w:val="22"/>
          <w:lang w:val="ka-GE" w:eastAsia="ko-KR"/>
        </w:rPr>
        <w:t xml:space="preserve"> </w:t>
      </w:r>
      <w:r>
        <w:rPr>
          <w:rFonts w:ascii="Sylfaen" w:hAnsi="Sylfaen" w:cs="Sylfaen"/>
          <w:szCs w:val="22"/>
          <w:lang w:val="ka-GE" w:eastAsia="ko-KR"/>
        </w:rPr>
        <w:t>უსაფრთხოება</w:t>
      </w:r>
      <w:r>
        <w:rPr>
          <w:szCs w:val="22"/>
          <w:lang w:val="ka-GE" w:eastAsia="ko-KR"/>
        </w:rPr>
        <w:t xml:space="preserve">. </w:t>
      </w:r>
      <w:r>
        <w:rPr>
          <w:rFonts w:ascii="Sylfaen" w:hAnsi="Sylfaen" w:cs="Sylfaen"/>
          <w:szCs w:val="22"/>
          <w:lang w:val="ka-GE" w:eastAsia="ko-KR"/>
        </w:rPr>
        <w:t>და</w:t>
      </w:r>
      <w:r>
        <w:rPr>
          <w:szCs w:val="22"/>
          <w:lang w:val="ka-GE" w:eastAsia="ko-KR"/>
        </w:rPr>
        <w:t xml:space="preserve"> </w:t>
      </w:r>
      <w:r>
        <w:rPr>
          <w:rFonts w:ascii="Sylfaen" w:hAnsi="Sylfaen" w:cs="Sylfaen"/>
          <w:szCs w:val="22"/>
          <w:lang w:val="ka-GE" w:eastAsia="ko-KR"/>
        </w:rPr>
        <w:t>ბოლოს</w:t>
      </w:r>
      <w:r>
        <w:rPr>
          <w:szCs w:val="22"/>
          <w:lang w:val="ka-GE" w:eastAsia="ko-KR"/>
        </w:rPr>
        <w:t xml:space="preserve">, </w:t>
      </w:r>
      <w:r>
        <w:rPr>
          <w:rFonts w:ascii="Sylfaen" w:hAnsi="Sylfaen" w:cs="Sylfaen"/>
          <w:szCs w:val="22"/>
          <w:lang w:val="ka-GE" w:eastAsia="ko-KR"/>
        </w:rPr>
        <w:t>რაც</w:t>
      </w:r>
      <w:r>
        <w:rPr>
          <w:szCs w:val="22"/>
          <w:lang w:val="ka-GE" w:eastAsia="ko-KR"/>
        </w:rPr>
        <w:t xml:space="preserve"> </w:t>
      </w:r>
      <w:r>
        <w:rPr>
          <w:rFonts w:ascii="Sylfaen" w:hAnsi="Sylfaen" w:cs="Sylfaen"/>
          <w:szCs w:val="22"/>
          <w:lang w:val="ka-GE" w:eastAsia="ko-KR"/>
        </w:rPr>
        <w:t>არანაკლებ</w:t>
      </w:r>
      <w:r>
        <w:rPr>
          <w:szCs w:val="22"/>
          <w:lang w:val="ka-GE" w:eastAsia="ko-KR"/>
        </w:rPr>
        <w:t xml:space="preserve"> </w:t>
      </w:r>
      <w:r>
        <w:rPr>
          <w:rFonts w:ascii="Sylfaen" w:hAnsi="Sylfaen" w:cs="Sylfaen"/>
          <w:szCs w:val="22"/>
          <w:lang w:val="ka-GE" w:eastAsia="ko-KR"/>
        </w:rPr>
        <w:t>მნიშვნელოვანია</w:t>
      </w:r>
      <w:r>
        <w:rPr>
          <w:szCs w:val="22"/>
          <w:lang w:val="ka-GE" w:eastAsia="ko-KR"/>
        </w:rPr>
        <w:t xml:space="preserve"> - </w:t>
      </w:r>
      <w:r>
        <w:rPr>
          <w:rFonts w:ascii="Sylfaen" w:hAnsi="Sylfaen" w:cs="Sylfaen"/>
          <w:szCs w:val="22"/>
          <w:lang w:val="ka-GE" w:eastAsia="ko-KR"/>
        </w:rPr>
        <w:t>განაშენიანებული</w:t>
      </w:r>
      <w:r>
        <w:rPr>
          <w:szCs w:val="22"/>
          <w:lang w:val="ka-GE" w:eastAsia="ko-KR"/>
        </w:rPr>
        <w:t xml:space="preserve"> </w:t>
      </w:r>
      <w:r>
        <w:rPr>
          <w:rFonts w:ascii="Sylfaen" w:hAnsi="Sylfaen" w:cs="Sylfaen"/>
          <w:szCs w:val="22"/>
          <w:lang w:val="ka-GE" w:eastAsia="ko-KR"/>
        </w:rPr>
        <w:t>ტერიტორიის</w:t>
      </w:r>
      <w:r>
        <w:rPr>
          <w:szCs w:val="22"/>
          <w:lang w:val="ka-GE" w:eastAsia="ko-KR"/>
        </w:rPr>
        <w:t xml:space="preserve"> </w:t>
      </w:r>
      <w:r>
        <w:rPr>
          <w:rFonts w:ascii="Sylfaen" w:hAnsi="Sylfaen" w:cs="Sylfaen"/>
          <w:szCs w:val="22"/>
          <w:lang w:val="ka-GE" w:eastAsia="ko-KR"/>
        </w:rPr>
        <w:t>ფარგლებში</w:t>
      </w:r>
      <w:r>
        <w:rPr>
          <w:szCs w:val="22"/>
          <w:lang w:val="ka-GE" w:eastAsia="ko-KR"/>
        </w:rPr>
        <w:t xml:space="preserve"> </w:t>
      </w:r>
      <w:r>
        <w:rPr>
          <w:rFonts w:ascii="Sylfaen" w:hAnsi="Sylfaen" w:cs="Sylfaen"/>
          <w:szCs w:val="22"/>
          <w:lang w:val="ka-GE" w:eastAsia="ko-KR"/>
        </w:rPr>
        <w:t>გზების</w:t>
      </w:r>
      <w:r>
        <w:rPr>
          <w:szCs w:val="22"/>
          <w:lang w:val="ka-GE" w:eastAsia="ko-KR"/>
        </w:rPr>
        <w:t xml:space="preserve"> </w:t>
      </w:r>
      <w:r>
        <w:rPr>
          <w:rFonts w:ascii="Sylfaen" w:hAnsi="Sylfaen" w:cs="Sylfaen"/>
          <w:szCs w:val="22"/>
          <w:lang w:val="ka-GE" w:eastAsia="ko-KR"/>
        </w:rPr>
        <w:t>გაფართოება</w:t>
      </w:r>
      <w:r>
        <w:rPr>
          <w:szCs w:val="22"/>
          <w:lang w:val="ka-GE" w:eastAsia="ko-KR"/>
        </w:rPr>
        <w:t xml:space="preserve"> </w:t>
      </w:r>
      <w:r>
        <w:rPr>
          <w:rFonts w:ascii="Sylfaen" w:hAnsi="Sylfaen" w:cs="Sylfaen"/>
          <w:szCs w:val="22"/>
          <w:lang w:val="ka-GE" w:eastAsia="ko-KR"/>
        </w:rPr>
        <w:t>მოსახლეობის</w:t>
      </w:r>
      <w:r>
        <w:rPr>
          <w:szCs w:val="22"/>
          <w:lang w:val="ka-GE" w:eastAsia="ko-KR"/>
        </w:rPr>
        <w:t xml:space="preserve"> </w:t>
      </w:r>
      <w:r>
        <w:rPr>
          <w:rFonts w:ascii="Sylfaen" w:hAnsi="Sylfaen" w:cs="Sylfaen"/>
          <w:szCs w:val="22"/>
          <w:lang w:val="ka-GE" w:eastAsia="ko-KR"/>
        </w:rPr>
        <w:t>ფიზიკური</w:t>
      </w:r>
      <w:r>
        <w:rPr>
          <w:szCs w:val="22"/>
          <w:lang w:val="ka-GE" w:eastAsia="ko-KR"/>
        </w:rPr>
        <w:t xml:space="preserve"> </w:t>
      </w:r>
      <w:r>
        <w:rPr>
          <w:rFonts w:ascii="Sylfaen" w:hAnsi="Sylfaen" w:cs="Sylfaen"/>
          <w:szCs w:val="22"/>
          <w:lang w:val="ka-GE" w:eastAsia="ko-KR"/>
        </w:rPr>
        <w:t>განსახლების</w:t>
      </w:r>
      <w:r>
        <w:rPr>
          <w:szCs w:val="22"/>
          <w:lang w:val="ka-GE" w:eastAsia="ko-KR"/>
        </w:rPr>
        <w:t xml:space="preserve"> </w:t>
      </w:r>
      <w:r>
        <w:rPr>
          <w:rFonts w:ascii="Sylfaen" w:hAnsi="Sylfaen" w:cs="Sylfaen"/>
          <w:szCs w:val="22"/>
          <w:lang w:val="ka-GE" w:eastAsia="ko-KR"/>
        </w:rPr>
        <w:t>გარეშე</w:t>
      </w:r>
      <w:r>
        <w:rPr>
          <w:szCs w:val="22"/>
          <w:lang w:val="ka-GE" w:eastAsia="ko-KR"/>
        </w:rPr>
        <w:t xml:space="preserve"> </w:t>
      </w:r>
      <w:r>
        <w:rPr>
          <w:rFonts w:ascii="Sylfaen" w:hAnsi="Sylfaen" w:cs="Sylfaen"/>
          <w:szCs w:val="22"/>
          <w:lang w:val="ka-GE" w:eastAsia="ko-KR"/>
        </w:rPr>
        <w:t>შეუძლებელია</w:t>
      </w:r>
      <w:r>
        <w:rPr>
          <w:szCs w:val="22"/>
          <w:lang w:val="ka-GE" w:eastAsia="ko-KR"/>
        </w:rPr>
        <w:t xml:space="preserve">. </w:t>
      </w:r>
      <w:r>
        <w:rPr>
          <w:rFonts w:ascii="Sylfaen" w:hAnsi="Sylfaen" w:cs="Sylfaen"/>
          <w:szCs w:val="22"/>
          <w:lang w:val="ka-GE" w:eastAsia="ko-KR"/>
        </w:rPr>
        <w:t>ამიტომ</w:t>
      </w:r>
      <w:r>
        <w:rPr>
          <w:szCs w:val="22"/>
          <w:lang w:val="ka-GE" w:eastAsia="ko-KR"/>
        </w:rPr>
        <w:t xml:space="preserve">, </w:t>
      </w:r>
      <w:r>
        <w:rPr>
          <w:rFonts w:ascii="Sylfaen" w:hAnsi="Sylfaen" w:cs="Sylfaen"/>
          <w:szCs w:val="22"/>
          <w:lang w:val="ka-GE" w:eastAsia="ko-KR"/>
        </w:rPr>
        <w:t>ეს</w:t>
      </w:r>
      <w:r>
        <w:rPr>
          <w:szCs w:val="22"/>
          <w:lang w:val="ka-GE" w:eastAsia="ko-KR"/>
        </w:rPr>
        <w:t xml:space="preserve"> </w:t>
      </w:r>
      <w:r>
        <w:rPr>
          <w:rFonts w:ascii="Sylfaen" w:hAnsi="Sylfaen" w:cs="Sylfaen"/>
          <w:szCs w:val="22"/>
          <w:lang w:val="ka-GE" w:eastAsia="ko-KR"/>
        </w:rPr>
        <w:t>ალტერნატივა</w:t>
      </w:r>
      <w:r>
        <w:rPr>
          <w:szCs w:val="22"/>
          <w:lang w:val="ka-GE" w:eastAsia="ko-KR"/>
        </w:rPr>
        <w:t xml:space="preserve"> </w:t>
      </w:r>
      <w:r>
        <w:rPr>
          <w:rFonts w:ascii="Sylfaen" w:hAnsi="Sylfaen" w:cs="Sylfaen"/>
          <w:szCs w:val="22"/>
          <w:lang w:val="ka-GE" w:eastAsia="ko-KR"/>
        </w:rPr>
        <w:t>ამოღებულ</w:t>
      </w:r>
      <w:r>
        <w:rPr>
          <w:szCs w:val="22"/>
          <w:lang w:val="ka-GE" w:eastAsia="ko-KR"/>
        </w:rPr>
        <w:t xml:space="preserve"> </w:t>
      </w:r>
      <w:r>
        <w:rPr>
          <w:rFonts w:ascii="Sylfaen" w:hAnsi="Sylfaen" w:cs="Sylfaen"/>
          <w:szCs w:val="22"/>
          <w:lang w:val="ka-GE" w:eastAsia="ko-KR"/>
        </w:rPr>
        <w:t>იქნა</w:t>
      </w:r>
      <w:r>
        <w:rPr>
          <w:szCs w:val="22"/>
          <w:lang w:val="ka-GE" w:eastAsia="ko-KR"/>
        </w:rPr>
        <w:t xml:space="preserve"> </w:t>
      </w:r>
      <w:r>
        <w:rPr>
          <w:rFonts w:ascii="Sylfaen" w:hAnsi="Sylfaen" w:cs="Sylfaen"/>
          <w:szCs w:val="22"/>
          <w:lang w:val="ka-GE" w:eastAsia="ko-KR"/>
        </w:rPr>
        <w:t>მოყვანილი</w:t>
      </w:r>
      <w:r>
        <w:rPr>
          <w:szCs w:val="22"/>
          <w:lang w:val="ka-GE" w:eastAsia="ko-KR"/>
        </w:rPr>
        <w:t xml:space="preserve"> </w:t>
      </w:r>
      <w:r>
        <w:rPr>
          <w:rFonts w:ascii="Sylfaen" w:hAnsi="Sylfaen" w:cs="Sylfaen"/>
          <w:szCs w:val="22"/>
          <w:lang w:val="ka-GE" w:eastAsia="ko-KR"/>
        </w:rPr>
        <w:t>შედარებიდან</w:t>
      </w:r>
      <w:r>
        <w:rPr>
          <w:szCs w:val="22"/>
          <w:lang w:val="ka-GE" w:eastAsia="ko-KR"/>
        </w:rPr>
        <w:t xml:space="preserve">. </w:t>
      </w:r>
    </w:p>
    <w:p w14:paraId="76A6863D" w14:textId="5C495295" w:rsidR="00C71718" w:rsidRPr="00C71718" w:rsidRDefault="00C71718" w:rsidP="00C71718">
      <w:pPr>
        <w:spacing w:before="120" w:after="120"/>
        <w:rPr>
          <w:rFonts w:ascii="Sylfaen" w:hAnsi="Sylfaen"/>
          <w:szCs w:val="22"/>
          <w:lang w:val="ka-GE" w:eastAsia="ko-KR"/>
        </w:rPr>
      </w:pPr>
      <w:r w:rsidRPr="00C71718">
        <w:rPr>
          <w:rFonts w:ascii="Sylfaen" w:hAnsi="Sylfaen"/>
          <w:szCs w:val="22"/>
          <w:lang w:val="ka-GE" w:eastAsia="ko-KR"/>
        </w:rPr>
        <w:t xml:space="preserve">მრავალკრიტერიუმიანი ანალიზის შედეგების ურთიერთშედარების საფუძველზე, რეკომენდირებულია </w:t>
      </w:r>
      <w:r w:rsidR="009F6AAF">
        <w:rPr>
          <w:rFonts w:ascii="Sylfaen" w:hAnsi="Sylfaen"/>
          <w:lang w:val="ka-GE"/>
        </w:rPr>
        <w:t>გურჯაანის (ჩუმლაყი)</w:t>
      </w:r>
      <w:r w:rsidR="009F6AAF">
        <w:rPr>
          <w:rFonts w:ascii="Sylfaen" w:hAnsi="Sylfaen"/>
          <w:lang w:val="en-US"/>
        </w:rPr>
        <w:t>-</w:t>
      </w:r>
      <w:r w:rsidR="009F6AAF">
        <w:rPr>
          <w:rFonts w:ascii="Sylfaen" w:hAnsi="Sylfaen"/>
          <w:lang w:val="ka-GE"/>
        </w:rPr>
        <w:t xml:space="preserve">თელავის </w:t>
      </w:r>
      <w:r w:rsidR="00BD5DD6">
        <w:rPr>
          <w:rFonts w:ascii="Sylfaen" w:hAnsi="Sylfaen"/>
          <w:szCs w:val="22"/>
          <w:lang w:val="ka-GE" w:eastAsia="ko-KR"/>
        </w:rPr>
        <w:t xml:space="preserve"> </w:t>
      </w:r>
      <w:r w:rsidRPr="00C71718">
        <w:rPr>
          <w:rFonts w:ascii="Sylfaen" w:hAnsi="Sylfaen"/>
          <w:szCs w:val="22"/>
          <w:lang w:val="ka-GE" w:eastAsia="ko-KR"/>
        </w:rPr>
        <w:t>საგზაო მონაკვეთისთვის განსახორციელებლად შერჩე</w:t>
      </w:r>
      <w:r w:rsidR="00BD5DD6">
        <w:rPr>
          <w:rFonts w:ascii="Sylfaen" w:hAnsi="Sylfaen"/>
          <w:szCs w:val="22"/>
          <w:lang w:val="ka-GE" w:eastAsia="ko-KR"/>
        </w:rPr>
        <w:t>ულ იქნა</w:t>
      </w:r>
      <w:r w:rsidRPr="00C71718">
        <w:rPr>
          <w:rFonts w:ascii="Sylfaen" w:hAnsi="Sylfaen"/>
          <w:szCs w:val="22"/>
          <w:lang w:val="ka-GE" w:eastAsia="ko-KR"/>
        </w:rPr>
        <w:t xml:space="preserve"> ალტერნატიული ტრასა </w:t>
      </w:r>
      <w:r>
        <w:rPr>
          <w:rFonts w:ascii="Sylfaen" w:hAnsi="Sylfaen"/>
          <w:lang w:val="ka-GE"/>
        </w:rPr>
        <w:t>TS</w:t>
      </w:r>
      <w:r w:rsidRPr="00C71718">
        <w:rPr>
          <w:rFonts w:ascii="Sylfaen" w:hAnsi="Sylfaen"/>
          <w:szCs w:val="22"/>
          <w:lang w:val="ka-GE" w:eastAsia="ko-KR"/>
        </w:rPr>
        <w:t xml:space="preserve"> (მკრთალი ლურჯი ხაზი).</w:t>
      </w:r>
    </w:p>
    <w:p w14:paraId="7DC7CA2B" w14:textId="101B97A0" w:rsidR="00C71718" w:rsidRPr="00C71718" w:rsidRDefault="00C71718" w:rsidP="00C71718">
      <w:pPr>
        <w:rPr>
          <w:rFonts w:ascii="Sylfaen" w:hAnsi="Sylfaen"/>
          <w:szCs w:val="22"/>
          <w:lang w:val="ka-GE" w:eastAsia="ko-KR"/>
        </w:rPr>
      </w:pPr>
      <w:r w:rsidRPr="00C71718">
        <w:rPr>
          <w:rFonts w:ascii="Sylfaen" w:hAnsi="Sylfaen"/>
          <w:szCs w:val="22"/>
          <w:lang w:val="ka-GE" w:eastAsia="ko-KR"/>
        </w:rPr>
        <w:t>შერჩეული ალტერნატიული ტრასა ხასიათდება სხვებთან შედარებით უკეთესი ე</w:t>
      </w:r>
      <w:r>
        <w:rPr>
          <w:rFonts w:ascii="Sylfaen" w:hAnsi="Sylfaen"/>
          <w:szCs w:val="22"/>
          <w:lang w:val="ka-GE" w:eastAsia="ko-KR"/>
        </w:rPr>
        <w:t>კონომიკური მაჩვენებლები. აღნიშნული შერჩეული ალტერნატივა</w:t>
      </w:r>
      <w:r w:rsidRPr="00C71718">
        <w:rPr>
          <w:rFonts w:ascii="Sylfaen" w:hAnsi="Sylfaen"/>
          <w:szCs w:val="22"/>
          <w:lang w:val="ka-GE" w:eastAsia="ko-KR"/>
        </w:rPr>
        <w:t xml:space="preserve"> საჭიროებს შემდგომ დახვეწას მშენებლობის ხარჯების ოპტიმიზირებისა და სოციალური და ეკოლოგიური ზემოქმედებების მინიმიზირების მიზნით. რეკომენდირებული </w:t>
      </w:r>
      <w:r>
        <w:rPr>
          <w:rFonts w:ascii="Sylfaen" w:hAnsi="Sylfaen"/>
          <w:szCs w:val="22"/>
          <w:lang w:val="ka-GE" w:eastAsia="ko-KR"/>
        </w:rPr>
        <w:t>გზა</w:t>
      </w:r>
      <w:r w:rsidRPr="00C71718">
        <w:rPr>
          <w:rFonts w:ascii="Sylfaen" w:hAnsi="Sylfaen"/>
          <w:szCs w:val="22"/>
          <w:lang w:val="ka-GE" w:eastAsia="ko-KR"/>
        </w:rPr>
        <w:t xml:space="preserve"> გრძელ უბნებზე არსებულ რკინიგზის ხაზს მიუყვება. თავის მხრივ, კომბინირებული (საგზაო-სარკინიგზო) დერეფანი ნაკლებ შემაშფოთებელ გავლენას იქონიებს გარსმომცველ ლანდშაფტზე.</w:t>
      </w:r>
    </w:p>
    <w:p w14:paraId="0B89B4C7" w14:textId="77777777" w:rsidR="00145737" w:rsidRDefault="00145737" w:rsidP="005C296B">
      <w:pPr>
        <w:pStyle w:val="lentele"/>
        <w:numPr>
          <w:ilvl w:val="0"/>
          <w:numId w:val="0"/>
        </w:numPr>
        <w:spacing w:before="120" w:after="120" w:line="240" w:lineRule="auto"/>
        <w:rPr>
          <w:rFonts w:ascii="Sylfaen" w:hAnsi="Sylfaen"/>
          <w:i/>
          <w:szCs w:val="22"/>
          <w:lang w:val="ka-GE"/>
        </w:rPr>
      </w:pPr>
      <w:r>
        <w:rPr>
          <w:rFonts w:ascii="Sylfaen" w:hAnsi="Sylfaen"/>
          <w:i/>
          <w:lang w:val="ka-GE"/>
        </w:rPr>
        <w:t>ალტერნატივების დადებითი და უარყოფითი მხარეები</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0"/>
        <w:gridCol w:w="3165"/>
        <w:gridCol w:w="6"/>
      </w:tblGrid>
      <w:tr w:rsidR="00145737" w14:paraId="173A12D6" w14:textId="77777777" w:rsidTr="00145737">
        <w:trPr>
          <w:gridAfter w:val="1"/>
          <w:wAfter w:w="3" w:type="pct"/>
        </w:trPr>
        <w:tc>
          <w:tcPr>
            <w:tcW w:w="3511" w:type="pct"/>
            <w:tcBorders>
              <w:top w:val="single" w:sz="4" w:space="0" w:color="auto"/>
              <w:left w:val="single" w:sz="4" w:space="0" w:color="auto"/>
              <w:bottom w:val="single" w:sz="4" w:space="0" w:color="auto"/>
              <w:right w:val="single" w:sz="4" w:space="0" w:color="auto"/>
            </w:tcBorders>
            <w:hideMark/>
          </w:tcPr>
          <w:p w14:paraId="3CE8F11D" w14:textId="77777777" w:rsidR="00145737" w:rsidRDefault="00145737">
            <w:pPr>
              <w:spacing w:line="256" w:lineRule="auto"/>
              <w:rPr>
                <w:rFonts w:ascii="Sylfaen" w:hAnsi="Sylfaen"/>
                <w:sz w:val="18"/>
                <w:szCs w:val="18"/>
                <w:lang w:val="ka-GE" w:eastAsia="ko-KR"/>
              </w:rPr>
            </w:pPr>
            <w:r>
              <w:rPr>
                <w:rFonts w:ascii="Sylfaen" w:hAnsi="Sylfaen" w:cs="Sylfaen"/>
                <w:b/>
                <w:sz w:val="18"/>
                <w:szCs w:val="18"/>
                <w:lang w:val="ka-GE" w:eastAsia="ko-KR"/>
              </w:rPr>
              <w:t>დადებითი</w:t>
            </w:r>
            <w:r>
              <w:rPr>
                <w:b/>
                <w:sz w:val="18"/>
                <w:szCs w:val="18"/>
                <w:lang w:val="ka-GE" w:eastAsia="ko-KR"/>
              </w:rPr>
              <w:t xml:space="preserve"> </w:t>
            </w:r>
            <w:r>
              <w:rPr>
                <w:rFonts w:ascii="Sylfaen" w:hAnsi="Sylfaen" w:cs="Sylfaen"/>
                <w:b/>
                <w:sz w:val="18"/>
                <w:szCs w:val="18"/>
                <w:lang w:val="ka-GE" w:eastAsia="ko-KR"/>
              </w:rPr>
              <w:t>მხარეები</w:t>
            </w:r>
          </w:p>
        </w:tc>
        <w:tc>
          <w:tcPr>
            <w:tcW w:w="1486" w:type="pct"/>
            <w:tcBorders>
              <w:top w:val="single" w:sz="4" w:space="0" w:color="auto"/>
              <w:left w:val="single" w:sz="4" w:space="0" w:color="auto"/>
              <w:bottom w:val="single" w:sz="4" w:space="0" w:color="auto"/>
              <w:right w:val="single" w:sz="4" w:space="0" w:color="auto"/>
            </w:tcBorders>
            <w:hideMark/>
          </w:tcPr>
          <w:p w14:paraId="4F76AF90" w14:textId="77777777" w:rsidR="00145737" w:rsidRDefault="00145737">
            <w:pPr>
              <w:spacing w:line="256" w:lineRule="auto"/>
              <w:rPr>
                <w:sz w:val="18"/>
                <w:szCs w:val="18"/>
                <w:lang w:val="ka-GE" w:eastAsia="ko-KR"/>
              </w:rPr>
            </w:pPr>
            <w:r>
              <w:rPr>
                <w:rFonts w:ascii="Sylfaen" w:hAnsi="Sylfaen" w:cs="Sylfaen"/>
                <w:b/>
                <w:sz w:val="18"/>
                <w:szCs w:val="18"/>
                <w:lang w:val="ka-GE" w:eastAsia="ko-KR"/>
              </w:rPr>
              <w:t>უარყოფითი</w:t>
            </w:r>
            <w:r>
              <w:rPr>
                <w:b/>
                <w:sz w:val="18"/>
                <w:szCs w:val="18"/>
                <w:lang w:val="ka-GE" w:eastAsia="ko-KR"/>
              </w:rPr>
              <w:t xml:space="preserve"> </w:t>
            </w:r>
            <w:r>
              <w:rPr>
                <w:rFonts w:ascii="Sylfaen" w:hAnsi="Sylfaen" w:cs="Sylfaen"/>
                <w:b/>
                <w:sz w:val="18"/>
                <w:szCs w:val="18"/>
                <w:lang w:val="ka-GE" w:eastAsia="ko-KR"/>
              </w:rPr>
              <w:t>მხარეები</w:t>
            </w:r>
          </w:p>
        </w:tc>
      </w:tr>
      <w:tr w:rsidR="00145737" w14:paraId="2D3BDDB1" w14:textId="77777777" w:rsidTr="00145737">
        <w:tc>
          <w:tcPr>
            <w:tcW w:w="5000" w:type="pct"/>
            <w:gridSpan w:val="3"/>
            <w:tcBorders>
              <w:top w:val="single" w:sz="4" w:space="0" w:color="auto"/>
              <w:left w:val="single" w:sz="4" w:space="0" w:color="auto"/>
              <w:bottom w:val="single" w:sz="4" w:space="0" w:color="auto"/>
              <w:right w:val="single" w:sz="4" w:space="0" w:color="auto"/>
            </w:tcBorders>
            <w:hideMark/>
          </w:tcPr>
          <w:p w14:paraId="29F16852" w14:textId="09DCEA9F" w:rsidR="00145737" w:rsidRDefault="005C296B" w:rsidP="005C296B">
            <w:pPr>
              <w:spacing w:line="256" w:lineRule="auto"/>
              <w:rPr>
                <w:b/>
                <w:sz w:val="18"/>
                <w:szCs w:val="18"/>
                <w:lang w:val="ka-GE" w:eastAsia="ko-KR"/>
              </w:rPr>
            </w:pPr>
            <w:r>
              <w:rPr>
                <w:rFonts w:ascii="Sylfaen" w:hAnsi="Sylfaen"/>
                <w:lang w:val="en-US"/>
              </w:rPr>
              <w:t>TN</w:t>
            </w:r>
            <w:r>
              <w:rPr>
                <w:rFonts w:ascii="Sylfaen" w:hAnsi="Sylfaen" w:cs="Arial"/>
                <w:bCs/>
                <w:szCs w:val="20"/>
              </w:rPr>
              <w:t xml:space="preserve"> </w:t>
            </w:r>
            <w:r w:rsidR="00145737">
              <w:rPr>
                <w:rFonts w:ascii="Sylfaen" w:hAnsi="Sylfaen" w:cs="Arial"/>
                <w:bCs/>
                <w:szCs w:val="20"/>
              </w:rPr>
              <w:t>(წითელი ხაზი)</w:t>
            </w:r>
          </w:p>
        </w:tc>
      </w:tr>
      <w:tr w:rsidR="00145737" w14:paraId="583CF55A" w14:textId="77777777" w:rsidTr="00145737">
        <w:trPr>
          <w:gridAfter w:val="1"/>
          <w:wAfter w:w="3" w:type="pct"/>
        </w:trPr>
        <w:tc>
          <w:tcPr>
            <w:tcW w:w="3511" w:type="pct"/>
            <w:tcBorders>
              <w:top w:val="single" w:sz="4" w:space="0" w:color="auto"/>
              <w:left w:val="single" w:sz="4" w:space="0" w:color="auto"/>
              <w:bottom w:val="single" w:sz="4" w:space="0" w:color="auto"/>
              <w:right w:val="single" w:sz="4" w:space="0" w:color="auto"/>
            </w:tcBorders>
            <w:hideMark/>
          </w:tcPr>
          <w:p w14:paraId="6CB4A936" w14:textId="77777777"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 xml:space="preserve">სხვა ალტერნატივებისგან განსხვავებით მჭიდროდ დასახლებული პუნქტებიდან უფრო მეტად დაშორებულობა </w:t>
            </w:r>
          </w:p>
          <w:p w14:paraId="64AF581A" w14:textId="7F290BC1"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პრობლემური ტერიტორიების (მჭიდროდ დასახლებული ტერიტორიები</w:t>
            </w:r>
            <w:r w:rsidR="00BD5DD6">
              <w:rPr>
                <w:sz w:val="18"/>
                <w:szCs w:val="18"/>
                <w:lang w:val="ka-GE" w:eastAsia="ko-KR"/>
              </w:rPr>
              <w:t>)</w:t>
            </w:r>
            <w:r>
              <w:rPr>
                <w:sz w:val="18"/>
                <w:szCs w:val="18"/>
                <w:lang w:val="ka-GE" w:eastAsia="ko-KR"/>
              </w:rPr>
              <w:t xml:space="preserve"> გვერდის ავლა </w:t>
            </w:r>
          </w:p>
          <w:p w14:paraId="35D3D961" w14:textId="3B98577B"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ჰაერის უფრო ნაკლები დაბინძურება</w:t>
            </w:r>
          </w:p>
          <w:p w14:paraId="1B47225A" w14:textId="77777777"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მინიმალური ზემოქმედება ლანდშაფტზე - გზის ბოლო მონაკვეთზე</w:t>
            </w:r>
          </w:p>
          <w:p w14:paraId="12FD8E72" w14:textId="77777777"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 xml:space="preserve">ბიომრავალფეროვნებაზე ნაკლები ზემოქმედება </w:t>
            </w:r>
          </w:p>
          <w:p w14:paraId="6E6A1930" w14:textId="25262F30" w:rsidR="00145737" w:rsidRPr="00BD5DD6"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 xml:space="preserve">გაუმჯობესებული გზის უსაფრთხოება </w:t>
            </w:r>
          </w:p>
        </w:tc>
        <w:tc>
          <w:tcPr>
            <w:tcW w:w="1486" w:type="pct"/>
            <w:tcBorders>
              <w:top w:val="single" w:sz="4" w:space="0" w:color="auto"/>
              <w:left w:val="single" w:sz="4" w:space="0" w:color="auto"/>
              <w:bottom w:val="single" w:sz="4" w:space="0" w:color="auto"/>
              <w:right w:val="single" w:sz="4" w:space="0" w:color="auto"/>
            </w:tcBorders>
            <w:hideMark/>
          </w:tcPr>
          <w:p w14:paraId="77552A04" w14:textId="77777777"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 xml:space="preserve">მნიშვნელოვანი სამშენებლო და საექსპლუატაციო/ სარემონტო ხარჯები </w:t>
            </w:r>
          </w:p>
          <w:p w14:paraId="1939C4BB" w14:textId="25300F14"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სასოფლო-სამეურეო მიწების</w:t>
            </w:r>
            <w:r w:rsidR="00BD5DD6">
              <w:rPr>
                <w:sz w:val="18"/>
                <w:szCs w:val="18"/>
                <w:lang w:val="ka-GE" w:eastAsia="ko-KR"/>
              </w:rPr>
              <w:t>ა და უფრო მეტი კერძო სახლების</w:t>
            </w:r>
            <w:r>
              <w:rPr>
                <w:sz w:val="18"/>
                <w:szCs w:val="18"/>
                <w:lang w:val="ka-GE" w:eastAsia="ko-KR"/>
              </w:rPr>
              <w:t xml:space="preserve"> გამოსყიდვა</w:t>
            </w:r>
            <w:r w:rsidR="00BD5DD6">
              <w:rPr>
                <w:sz w:val="18"/>
                <w:szCs w:val="18"/>
                <w:lang w:val="ka-GE" w:eastAsia="ko-KR"/>
              </w:rPr>
              <w:t xml:space="preserve"> სოფ. კონდოლთან </w:t>
            </w:r>
            <w:r w:rsidR="00BD5DD6">
              <w:rPr>
                <w:rFonts w:cs="Sylfaen"/>
                <w:sz w:val="18"/>
                <w:szCs w:val="18"/>
                <w:lang w:val="ka-GE" w:eastAsia="ko-KR"/>
              </w:rPr>
              <w:t>(დასახლებულ პუნქტებთან სიახლოვე)</w:t>
            </w:r>
          </w:p>
        </w:tc>
      </w:tr>
      <w:tr w:rsidR="00145737" w14:paraId="707051B9" w14:textId="77777777" w:rsidTr="00145737">
        <w:tc>
          <w:tcPr>
            <w:tcW w:w="5000" w:type="pct"/>
            <w:gridSpan w:val="3"/>
            <w:tcBorders>
              <w:top w:val="single" w:sz="4" w:space="0" w:color="auto"/>
              <w:left w:val="single" w:sz="4" w:space="0" w:color="auto"/>
              <w:bottom w:val="single" w:sz="4" w:space="0" w:color="auto"/>
              <w:right w:val="single" w:sz="4" w:space="0" w:color="auto"/>
            </w:tcBorders>
            <w:hideMark/>
          </w:tcPr>
          <w:p w14:paraId="359D591C" w14:textId="4D0F258D" w:rsidR="00145737" w:rsidRDefault="00145737" w:rsidP="005C296B">
            <w:pPr>
              <w:spacing w:line="256" w:lineRule="auto"/>
              <w:rPr>
                <w:b/>
                <w:sz w:val="18"/>
                <w:szCs w:val="18"/>
                <w:lang w:val="ka-GE" w:eastAsia="ko-KR"/>
              </w:rPr>
            </w:pPr>
            <w:r>
              <w:rPr>
                <w:rFonts w:ascii="Sylfaen" w:hAnsi="Sylfaen" w:cs="Arial"/>
                <w:bCs/>
                <w:szCs w:val="20"/>
              </w:rPr>
              <w:t xml:space="preserve">ალტერნატივა </w:t>
            </w:r>
            <w:r w:rsidR="005C296B">
              <w:rPr>
                <w:rFonts w:ascii="Sylfaen" w:hAnsi="Sylfaen"/>
                <w:lang w:val="ka-GE"/>
              </w:rPr>
              <w:t>TS</w:t>
            </w:r>
            <w:r w:rsidR="005C296B" w:rsidRPr="005C296B">
              <w:rPr>
                <w:rFonts w:ascii="Sylfaen" w:hAnsi="Sylfaen"/>
                <w:lang w:val="ka-GE"/>
              </w:rPr>
              <w:t xml:space="preserve"> – ღია ლურჯი ხაზი</w:t>
            </w:r>
          </w:p>
        </w:tc>
      </w:tr>
      <w:tr w:rsidR="00145737" w14:paraId="596AAC47" w14:textId="77777777" w:rsidTr="00145737">
        <w:trPr>
          <w:gridAfter w:val="1"/>
          <w:wAfter w:w="3" w:type="pct"/>
          <w:cantSplit/>
          <w:trHeight w:val="1134"/>
        </w:trPr>
        <w:tc>
          <w:tcPr>
            <w:tcW w:w="3511" w:type="pct"/>
            <w:tcBorders>
              <w:top w:val="single" w:sz="4" w:space="0" w:color="auto"/>
              <w:left w:val="single" w:sz="4" w:space="0" w:color="auto"/>
              <w:bottom w:val="single" w:sz="4" w:space="0" w:color="auto"/>
              <w:right w:val="single" w:sz="4" w:space="0" w:color="auto"/>
            </w:tcBorders>
            <w:hideMark/>
          </w:tcPr>
          <w:p w14:paraId="1FFC1C25" w14:textId="44762D8B"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 xml:space="preserve">მჭიდროდ დასახლებული პუნქტებიდან დაშორებულობა (გარდა სოფ. </w:t>
            </w:r>
            <w:r w:rsidR="005D3CC6">
              <w:rPr>
                <w:sz w:val="18"/>
                <w:szCs w:val="18"/>
                <w:lang w:val="ka-GE" w:eastAsia="ko-KR"/>
              </w:rPr>
              <w:t>კონდოლის</w:t>
            </w:r>
            <w:r>
              <w:rPr>
                <w:sz w:val="18"/>
                <w:szCs w:val="18"/>
                <w:lang w:val="ka-GE" w:eastAsia="ko-KR"/>
              </w:rPr>
              <w:t>)</w:t>
            </w:r>
          </w:p>
          <w:p w14:paraId="25D08DB0" w14:textId="77777777"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მიწის ‘დაფარვის’ ყველაზე მცირე წილი</w:t>
            </w:r>
          </w:p>
          <w:p w14:paraId="4CD84F09" w14:textId="13FDF85F"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პრობლემური ტერიტორიების (მჭიდროდ დასახლებული ტერიტორიები</w:t>
            </w:r>
            <w:r w:rsidR="00BD5DD6">
              <w:rPr>
                <w:sz w:val="18"/>
                <w:szCs w:val="18"/>
                <w:lang w:val="ka-GE" w:eastAsia="ko-KR"/>
              </w:rPr>
              <w:t>)</w:t>
            </w:r>
            <w:r>
              <w:rPr>
                <w:sz w:val="18"/>
                <w:szCs w:val="18"/>
                <w:lang w:val="ka-GE" w:eastAsia="ko-KR"/>
              </w:rPr>
              <w:t xml:space="preserve"> გვერდის ავლა </w:t>
            </w:r>
          </w:p>
          <w:p w14:paraId="215CEBA8" w14:textId="23945333"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ჰაერის უფრო ნაკლები დაბინძურება</w:t>
            </w:r>
          </w:p>
          <w:p w14:paraId="04C94847" w14:textId="77777777"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მინიმალური ზემოქმედება ლანდშაფტზე - გზის ბოლო მონაკვეთზე</w:t>
            </w:r>
          </w:p>
          <w:p w14:paraId="53565455" w14:textId="77777777" w:rsidR="00BD5DD6"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 xml:space="preserve">ბიომრავალფეროვნებაზე ნაკლები ზემოქმედება </w:t>
            </w:r>
          </w:p>
          <w:p w14:paraId="19E0E7DF" w14:textId="77777777"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გაუმჯობესებული გზის უსაფრთხოება</w:t>
            </w:r>
          </w:p>
          <w:p w14:paraId="38E680C5" w14:textId="0CA35FDF" w:rsidR="00BD5DD6" w:rsidRDefault="00BD5DD6"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ადამიანების ფიზიკური განსახლების მინიმალური საჭიროება</w:t>
            </w:r>
          </w:p>
        </w:tc>
        <w:tc>
          <w:tcPr>
            <w:tcW w:w="1486" w:type="pct"/>
            <w:tcBorders>
              <w:top w:val="single" w:sz="4" w:space="0" w:color="auto"/>
              <w:left w:val="single" w:sz="4" w:space="0" w:color="auto"/>
              <w:bottom w:val="single" w:sz="4" w:space="0" w:color="auto"/>
              <w:right w:val="single" w:sz="4" w:space="0" w:color="auto"/>
            </w:tcBorders>
            <w:hideMark/>
          </w:tcPr>
          <w:p w14:paraId="7DE6C926" w14:textId="77777777"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 xml:space="preserve">მნიშვნელოვანი სამშენებლო და საექსპლუატაციო/ სარემონტო ხარჯები </w:t>
            </w:r>
          </w:p>
          <w:p w14:paraId="69F0E413" w14:textId="3EDC181C" w:rsidR="00145737" w:rsidRDefault="00BD5DD6"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 xml:space="preserve">სასოფლო-სამეურეო მიწებისა და უფრო ნაკლები კერძო სახლების გამოსყიდვა სოფ. კონდოლთან </w:t>
            </w:r>
            <w:r>
              <w:rPr>
                <w:rFonts w:cs="Sylfaen"/>
                <w:sz w:val="18"/>
                <w:szCs w:val="18"/>
                <w:lang w:val="ka-GE" w:eastAsia="ko-KR"/>
              </w:rPr>
              <w:t>(დასახლებულ პუნქტებთან სიახლოვე)</w:t>
            </w:r>
          </w:p>
        </w:tc>
      </w:tr>
      <w:tr w:rsidR="00145737" w14:paraId="3D81D947" w14:textId="77777777" w:rsidTr="00145737">
        <w:tc>
          <w:tcPr>
            <w:tcW w:w="5000" w:type="pct"/>
            <w:gridSpan w:val="3"/>
            <w:tcBorders>
              <w:top w:val="single" w:sz="4" w:space="0" w:color="auto"/>
              <w:left w:val="single" w:sz="4" w:space="0" w:color="auto"/>
              <w:bottom w:val="single" w:sz="4" w:space="0" w:color="auto"/>
              <w:right w:val="single" w:sz="4" w:space="0" w:color="auto"/>
            </w:tcBorders>
            <w:hideMark/>
          </w:tcPr>
          <w:p w14:paraId="6C6017E7" w14:textId="3D1640AF" w:rsidR="00145737" w:rsidRDefault="00145737" w:rsidP="005C296B">
            <w:pPr>
              <w:spacing w:line="256" w:lineRule="auto"/>
              <w:rPr>
                <w:b/>
                <w:sz w:val="18"/>
                <w:szCs w:val="18"/>
                <w:lang w:val="ka-GE" w:eastAsia="ko-KR"/>
              </w:rPr>
            </w:pPr>
            <w:r>
              <w:rPr>
                <w:rFonts w:ascii="Sylfaen" w:hAnsi="Sylfaen" w:cs="Arial"/>
                <w:bCs/>
                <w:szCs w:val="20"/>
              </w:rPr>
              <w:t xml:space="preserve">ალტერნატივა </w:t>
            </w:r>
            <w:r w:rsidR="005C296B">
              <w:rPr>
                <w:rFonts w:ascii="Sylfaen" w:hAnsi="Sylfaen"/>
                <w:lang w:val="en-US"/>
              </w:rPr>
              <w:t>TS</w:t>
            </w:r>
            <w:r w:rsidR="005C296B" w:rsidRPr="005C296B">
              <w:rPr>
                <w:rFonts w:ascii="Sylfaen" w:hAnsi="Sylfaen"/>
                <w:lang w:val="ka-GE"/>
              </w:rPr>
              <w:t>-1 – მწვანე ხაზი</w:t>
            </w:r>
          </w:p>
        </w:tc>
      </w:tr>
      <w:tr w:rsidR="00145737" w14:paraId="38607B0C" w14:textId="77777777" w:rsidTr="00145737">
        <w:trPr>
          <w:gridAfter w:val="1"/>
          <w:wAfter w:w="3" w:type="pct"/>
        </w:trPr>
        <w:tc>
          <w:tcPr>
            <w:tcW w:w="3511" w:type="pct"/>
            <w:tcBorders>
              <w:top w:val="single" w:sz="4" w:space="0" w:color="auto"/>
              <w:left w:val="single" w:sz="4" w:space="0" w:color="auto"/>
              <w:bottom w:val="single" w:sz="4" w:space="0" w:color="auto"/>
              <w:right w:val="single" w:sz="4" w:space="0" w:color="auto"/>
            </w:tcBorders>
            <w:hideMark/>
          </w:tcPr>
          <w:p w14:paraId="3979430C" w14:textId="283D1A99"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 xml:space="preserve">მჭიდროდ დასახლებული პუნქტებიდან დაშორებულობა (გარდა სოფ. </w:t>
            </w:r>
            <w:r w:rsidR="005D3CC6">
              <w:rPr>
                <w:sz w:val="18"/>
                <w:szCs w:val="18"/>
                <w:lang w:val="ka-GE" w:eastAsia="ko-KR"/>
              </w:rPr>
              <w:t>კონდოლის</w:t>
            </w:r>
            <w:r>
              <w:rPr>
                <w:sz w:val="18"/>
                <w:szCs w:val="18"/>
                <w:lang w:val="ka-GE" w:eastAsia="ko-KR"/>
              </w:rPr>
              <w:t>)</w:t>
            </w:r>
          </w:p>
          <w:p w14:paraId="7C0DFD6B" w14:textId="77777777"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მიწის ‘დაფარვის’ ყველაზე მცირე წილი</w:t>
            </w:r>
          </w:p>
          <w:p w14:paraId="3FBFFED0" w14:textId="7CEEF4B7"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პრობლემური ტერიტორიების (მჭიდროდ დასახლებული ტერიტორიები</w:t>
            </w:r>
            <w:r w:rsidR="00BD5DD6">
              <w:rPr>
                <w:sz w:val="18"/>
                <w:szCs w:val="18"/>
                <w:lang w:val="ka-GE" w:eastAsia="ko-KR"/>
              </w:rPr>
              <w:t>)</w:t>
            </w:r>
            <w:r>
              <w:rPr>
                <w:sz w:val="18"/>
                <w:szCs w:val="18"/>
                <w:lang w:val="ka-GE" w:eastAsia="ko-KR"/>
              </w:rPr>
              <w:t xml:space="preserve"> გვერდის ავლა </w:t>
            </w:r>
          </w:p>
          <w:p w14:paraId="439F3EAA" w14:textId="0FBD18B7"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ჰაერის უფრო ნაკლები დაბინძურება</w:t>
            </w:r>
          </w:p>
          <w:p w14:paraId="4F33D613" w14:textId="77777777"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მინიმალური ზემოქმედება ლანდშაფტზე - გზის ბოლო მონაკვეთზე</w:t>
            </w:r>
          </w:p>
          <w:p w14:paraId="6EADCD0B" w14:textId="77777777" w:rsidR="00BD5DD6"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 xml:space="preserve">ბიომრავალფეროვნებაზე ნაკლები ზემოქმედება </w:t>
            </w:r>
          </w:p>
          <w:p w14:paraId="39F4C130" w14:textId="31FDBFA4" w:rsidR="00145737" w:rsidRDefault="00145737"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გაუმჯობესებული გზის უსაფრთხოება</w:t>
            </w:r>
          </w:p>
          <w:p w14:paraId="12A87A56" w14:textId="71C4F289" w:rsidR="00BD5DD6" w:rsidRDefault="00BD5DD6"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ადამიანების ფიზიკური განსახლების მინიმალური საჭიროება</w:t>
            </w:r>
          </w:p>
        </w:tc>
        <w:tc>
          <w:tcPr>
            <w:tcW w:w="1486" w:type="pct"/>
            <w:tcBorders>
              <w:top w:val="single" w:sz="4" w:space="0" w:color="auto"/>
              <w:left w:val="single" w:sz="4" w:space="0" w:color="auto"/>
              <w:bottom w:val="single" w:sz="4" w:space="0" w:color="auto"/>
              <w:right w:val="single" w:sz="4" w:space="0" w:color="auto"/>
            </w:tcBorders>
            <w:hideMark/>
          </w:tcPr>
          <w:p w14:paraId="7DF95256" w14:textId="77777777" w:rsidR="00BD5DD6" w:rsidRDefault="00BD5DD6"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 xml:space="preserve">მნიშვნელოვანი სამშენებლო და საექსპლუატაციო/ სარემონტო ხარჯები </w:t>
            </w:r>
          </w:p>
          <w:p w14:paraId="464DF944" w14:textId="60D8B77C" w:rsidR="00145737" w:rsidRDefault="00BD5DD6" w:rsidP="00821E4D">
            <w:pPr>
              <w:pStyle w:val="ListParagraph"/>
              <w:numPr>
                <w:ilvl w:val="0"/>
                <w:numId w:val="46"/>
              </w:numPr>
              <w:spacing w:after="0" w:line="240" w:lineRule="auto"/>
              <w:ind w:left="247" w:hanging="247"/>
              <w:rPr>
                <w:sz w:val="18"/>
                <w:szCs w:val="18"/>
                <w:lang w:val="ka-GE" w:eastAsia="ko-KR"/>
              </w:rPr>
            </w:pPr>
            <w:r>
              <w:rPr>
                <w:sz w:val="18"/>
                <w:szCs w:val="18"/>
                <w:lang w:val="ka-GE" w:eastAsia="ko-KR"/>
              </w:rPr>
              <w:t xml:space="preserve">სასოფლო-სამეურეო მიწებისა და უფრო ნაკლები კერძო სახლების გამოსყიდვა სოფ. კონდოლთან </w:t>
            </w:r>
            <w:r>
              <w:rPr>
                <w:rFonts w:cs="Sylfaen"/>
                <w:sz w:val="18"/>
                <w:szCs w:val="18"/>
                <w:lang w:val="ka-GE" w:eastAsia="ko-KR"/>
              </w:rPr>
              <w:t>(დასახლებულ პუნქტებთან სიახლოვე)</w:t>
            </w:r>
          </w:p>
        </w:tc>
      </w:tr>
    </w:tbl>
    <w:p w14:paraId="685D50ED" w14:textId="77777777" w:rsidR="00145737" w:rsidRDefault="00145737" w:rsidP="00145737">
      <w:pPr>
        <w:jc w:val="left"/>
        <w:rPr>
          <w:szCs w:val="22"/>
          <w:lang w:val="ka-GE"/>
        </w:rPr>
      </w:pPr>
    </w:p>
    <w:p w14:paraId="5EF67E92" w14:textId="5B31266D" w:rsidR="00145737" w:rsidRDefault="00145737" w:rsidP="00145737">
      <w:pPr>
        <w:rPr>
          <w:rFonts w:ascii="Sylfaen" w:hAnsi="Sylfaen"/>
          <w:szCs w:val="22"/>
          <w:lang w:val="ka-GE"/>
        </w:rPr>
      </w:pPr>
      <w:r>
        <w:rPr>
          <w:rFonts w:ascii="Sylfaen" w:hAnsi="Sylfaen"/>
          <w:noProof/>
          <w:szCs w:val="22"/>
        </w:rPr>
        <w:t>სასურველი ალტერნატივების შერჩევისას, უპირველეს ყოვლისა, გათვალისწინებული</w:t>
      </w:r>
      <w:r w:rsidR="00C71718">
        <w:rPr>
          <w:rFonts w:ascii="Sylfaen" w:hAnsi="Sylfaen"/>
          <w:noProof/>
          <w:szCs w:val="22"/>
          <w:lang w:val="ka-GE"/>
        </w:rPr>
        <w:t>ა</w:t>
      </w:r>
      <w:r>
        <w:rPr>
          <w:rFonts w:ascii="Sylfaen" w:hAnsi="Sylfaen"/>
          <w:noProof/>
          <w:szCs w:val="22"/>
        </w:rPr>
        <w:t xml:space="preserve"> </w:t>
      </w:r>
      <w:r>
        <w:rPr>
          <w:rFonts w:ascii="Sylfaen" w:hAnsi="Sylfaen"/>
          <w:noProof/>
          <w:szCs w:val="22"/>
          <w:lang w:val="ka-GE"/>
        </w:rPr>
        <w:t>სა</w:t>
      </w:r>
      <w:r>
        <w:rPr>
          <w:rFonts w:ascii="Sylfaen" w:hAnsi="Sylfaen"/>
          <w:noProof/>
          <w:szCs w:val="22"/>
        </w:rPr>
        <w:t>პროექტ</w:t>
      </w:r>
      <w:r>
        <w:rPr>
          <w:rFonts w:ascii="Sylfaen" w:hAnsi="Sylfaen"/>
          <w:noProof/>
          <w:szCs w:val="22"/>
          <w:lang w:val="ka-GE"/>
        </w:rPr>
        <w:t>ო</w:t>
      </w:r>
      <w:r>
        <w:rPr>
          <w:rFonts w:ascii="Sylfaen" w:hAnsi="Sylfaen"/>
          <w:noProof/>
          <w:szCs w:val="22"/>
        </w:rPr>
        <w:t xml:space="preserve"> დერეფნის გეოლოგიური სტრუქტურა და გეოლოგიური საფრთხეები და გზის მშენებლობა და ექსპლუატაციის დროს მოსალოდნელი </w:t>
      </w:r>
      <w:r>
        <w:rPr>
          <w:rFonts w:ascii="Sylfaen" w:hAnsi="Sylfaen"/>
          <w:noProof/>
          <w:szCs w:val="22"/>
          <w:lang w:val="ka-GE"/>
        </w:rPr>
        <w:t>სირთულეები</w:t>
      </w:r>
      <w:r>
        <w:rPr>
          <w:rFonts w:ascii="Sylfaen" w:hAnsi="Sylfaen"/>
          <w:noProof/>
          <w:szCs w:val="22"/>
        </w:rPr>
        <w:t>.</w:t>
      </w:r>
    </w:p>
    <w:p w14:paraId="31628526" w14:textId="77777777" w:rsidR="00145737" w:rsidRDefault="00145737" w:rsidP="00145737">
      <w:pPr>
        <w:pStyle w:val="BodyText"/>
        <w:spacing w:before="200" w:after="200"/>
        <w:jc w:val="both"/>
        <w:rPr>
          <w:rFonts w:ascii="Sylfaen" w:hAnsi="Sylfaen"/>
          <w:noProof/>
          <w:sz w:val="22"/>
          <w:szCs w:val="22"/>
          <w:lang w:eastAsia="de-DE"/>
        </w:rPr>
      </w:pPr>
      <w:r>
        <w:rPr>
          <w:rFonts w:ascii="Sylfaen" w:hAnsi="Sylfaen"/>
          <w:noProof/>
          <w:sz w:val="22"/>
          <w:szCs w:val="22"/>
          <w:lang w:val="ka-GE" w:eastAsia="de-DE"/>
        </w:rPr>
        <w:lastRenderedPageBreak/>
        <w:t xml:space="preserve">შერჩეუილი </w:t>
      </w:r>
      <w:r>
        <w:rPr>
          <w:rFonts w:ascii="Sylfaen" w:hAnsi="Sylfaen"/>
          <w:noProof/>
          <w:sz w:val="22"/>
          <w:szCs w:val="22"/>
          <w:lang w:eastAsia="de-DE"/>
        </w:rPr>
        <w:t xml:space="preserve">სამი ალტერნატივა ბუნებრივ გარემოზე მეტ-ნაკლებად ანალოგიურია, </w:t>
      </w:r>
      <w:r>
        <w:rPr>
          <w:rFonts w:ascii="Sylfaen" w:hAnsi="Sylfaen"/>
          <w:noProof/>
          <w:sz w:val="22"/>
          <w:szCs w:val="22"/>
          <w:lang w:val="ka-GE" w:eastAsia="de-DE"/>
        </w:rPr>
        <w:t xml:space="preserve">არ არის </w:t>
      </w:r>
      <w:r>
        <w:rPr>
          <w:rFonts w:ascii="Sylfaen" w:hAnsi="Sylfaen"/>
          <w:noProof/>
          <w:sz w:val="22"/>
          <w:szCs w:val="22"/>
          <w:lang w:eastAsia="de-DE"/>
        </w:rPr>
        <w:t>ტყ</w:t>
      </w:r>
      <w:r>
        <w:rPr>
          <w:rFonts w:ascii="Sylfaen" w:hAnsi="Sylfaen"/>
          <w:noProof/>
          <w:sz w:val="22"/>
          <w:szCs w:val="22"/>
          <w:lang w:val="ka-GE" w:eastAsia="de-DE"/>
        </w:rPr>
        <w:t xml:space="preserve">ით დაფარული </w:t>
      </w:r>
      <w:r>
        <w:rPr>
          <w:rFonts w:ascii="Sylfaen" w:hAnsi="Sylfaen"/>
          <w:noProof/>
          <w:sz w:val="22"/>
          <w:szCs w:val="22"/>
          <w:lang w:eastAsia="de-DE"/>
        </w:rPr>
        <w:t>ან დაცული ტერიტორიები. სამივე ალტერნატივას ძირითადი ზეგავლენა სოციალურ გარემო</w:t>
      </w:r>
      <w:r>
        <w:rPr>
          <w:rFonts w:ascii="Sylfaen" w:hAnsi="Sylfaen"/>
          <w:noProof/>
          <w:sz w:val="22"/>
          <w:szCs w:val="22"/>
          <w:lang w:val="ka-GE" w:eastAsia="de-DE"/>
        </w:rPr>
        <w:t>ზე იქონიებს</w:t>
      </w:r>
      <w:r>
        <w:rPr>
          <w:rFonts w:ascii="Sylfaen" w:hAnsi="Sylfaen"/>
          <w:noProof/>
          <w:sz w:val="22"/>
          <w:szCs w:val="22"/>
          <w:lang w:eastAsia="de-DE"/>
        </w:rPr>
        <w:t xml:space="preserve">. ამავე დროს უნდა აღინიშნოს, რომ </w:t>
      </w:r>
      <w:r>
        <w:rPr>
          <w:rFonts w:ascii="Sylfaen" w:hAnsi="Sylfaen"/>
          <w:noProof/>
          <w:sz w:val="22"/>
          <w:szCs w:val="22"/>
          <w:lang w:val="ka-GE" w:eastAsia="de-DE"/>
        </w:rPr>
        <w:t>საპროექტო დერეფანი</w:t>
      </w:r>
      <w:r>
        <w:rPr>
          <w:rFonts w:ascii="Sylfaen" w:hAnsi="Sylfaen"/>
          <w:noProof/>
          <w:sz w:val="22"/>
          <w:szCs w:val="22"/>
          <w:lang w:eastAsia="de-DE"/>
        </w:rPr>
        <w:t xml:space="preserve"> არ </w:t>
      </w:r>
      <w:r>
        <w:rPr>
          <w:rFonts w:ascii="Sylfaen" w:hAnsi="Sylfaen"/>
          <w:noProof/>
          <w:sz w:val="22"/>
          <w:szCs w:val="22"/>
          <w:lang w:val="ka-GE" w:eastAsia="de-DE"/>
        </w:rPr>
        <w:t>გადის</w:t>
      </w:r>
      <w:r>
        <w:rPr>
          <w:rFonts w:ascii="Sylfaen" w:hAnsi="Sylfaen"/>
          <w:noProof/>
          <w:sz w:val="22"/>
          <w:szCs w:val="22"/>
          <w:lang w:eastAsia="de-DE"/>
        </w:rPr>
        <w:t xml:space="preserve"> დაცულ ტერიტორიებ</w:t>
      </w:r>
      <w:r>
        <w:rPr>
          <w:rFonts w:ascii="Sylfaen" w:hAnsi="Sylfaen"/>
          <w:noProof/>
          <w:sz w:val="22"/>
          <w:szCs w:val="22"/>
          <w:lang w:val="ka-GE" w:eastAsia="de-DE"/>
        </w:rPr>
        <w:t>ზე</w:t>
      </w:r>
      <w:r>
        <w:rPr>
          <w:rFonts w:ascii="Sylfaen" w:hAnsi="Sylfaen"/>
          <w:noProof/>
          <w:sz w:val="22"/>
          <w:szCs w:val="22"/>
          <w:lang w:eastAsia="de-DE"/>
        </w:rPr>
        <w:t>, პარკებს</w:t>
      </w:r>
      <w:r>
        <w:rPr>
          <w:rFonts w:ascii="Sylfaen" w:hAnsi="Sylfaen"/>
          <w:noProof/>
          <w:sz w:val="22"/>
          <w:szCs w:val="22"/>
          <w:lang w:val="ka-GE" w:eastAsia="de-DE"/>
        </w:rPr>
        <w:t>ა</w:t>
      </w:r>
      <w:r>
        <w:rPr>
          <w:rFonts w:ascii="Sylfaen" w:hAnsi="Sylfaen"/>
          <w:noProof/>
          <w:sz w:val="22"/>
          <w:szCs w:val="22"/>
          <w:lang w:eastAsia="de-DE"/>
        </w:rPr>
        <w:t xml:space="preserve"> ან ეკოლოგიურად მგრძნობიარე ტერიტორიებს, ასევე ზეგავლენას არ მოახდენს გადაშენების პირას მყოფი სახეობ</w:t>
      </w:r>
      <w:r>
        <w:rPr>
          <w:rFonts w:ascii="Sylfaen" w:hAnsi="Sylfaen"/>
          <w:noProof/>
          <w:sz w:val="22"/>
          <w:szCs w:val="22"/>
          <w:lang w:val="ka-GE" w:eastAsia="de-DE"/>
        </w:rPr>
        <w:t>ზე</w:t>
      </w:r>
      <w:r>
        <w:rPr>
          <w:rFonts w:ascii="Sylfaen" w:hAnsi="Sylfaen"/>
          <w:noProof/>
          <w:sz w:val="22"/>
          <w:szCs w:val="22"/>
          <w:lang w:eastAsia="de-DE"/>
        </w:rPr>
        <w:t>, არც არქეოლოგი</w:t>
      </w:r>
      <w:r>
        <w:rPr>
          <w:rFonts w:ascii="Sylfaen" w:hAnsi="Sylfaen"/>
          <w:noProof/>
          <w:sz w:val="22"/>
          <w:szCs w:val="22"/>
          <w:lang w:val="ka-GE" w:eastAsia="de-DE"/>
        </w:rPr>
        <w:t>ურ აღმოჩენებზე</w:t>
      </w:r>
      <w:r>
        <w:rPr>
          <w:rFonts w:ascii="Sylfaen" w:hAnsi="Sylfaen"/>
          <w:noProof/>
          <w:sz w:val="22"/>
          <w:szCs w:val="22"/>
          <w:lang w:eastAsia="de-DE"/>
        </w:rPr>
        <w:t>.</w:t>
      </w:r>
    </w:p>
    <w:p w14:paraId="451F9613" w14:textId="77777777" w:rsidR="00971C8E" w:rsidRPr="00D3359C" w:rsidRDefault="00971C8E" w:rsidP="00971C8E">
      <w:pPr>
        <w:tabs>
          <w:tab w:val="left" w:pos="1080"/>
        </w:tabs>
        <w:spacing w:before="200" w:after="200"/>
        <w:rPr>
          <w:rFonts w:ascii="Sylfaen" w:hAnsi="Sylfaen" w:cs="Sylfaen"/>
          <w:u w:val="single"/>
          <w:lang w:val="ka-GE"/>
        </w:rPr>
      </w:pPr>
      <w:r w:rsidRPr="00D3359C">
        <w:rPr>
          <w:rFonts w:ascii="Sylfaen" w:hAnsi="Sylfaen" w:cs="Sylfaen"/>
          <w:u w:val="single"/>
          <w:lang w:val="ka-GE"/>
        </w:rPr>
        <w:t>ალტერნატივა TN</w:t>
      </w:r>
    </w:p>
    <w:p w14:paraId="67CD2234" w14:textId="77777777" w:rsidR="00971C8E" w:rsidRDefault="00971C8E" w:rsidP="00971C8E">
      <w:pPr>
        <w:tabs>
          <w:tab w:val="left" w:pos="1080"/>
        </w:tabs>
        <w:spacing w:before="200" w:after="200"/>
        <w:rPr>
          <w:rFonts w:ascii="Sylfaen" w:hAnsi="Sylfaen" w:cs="Sylfaen"/>
          <w:lang w:val="ka-GE"/>
        </w:rPr>
      </w:pPr>
      <w:r>
        <w:rPr>
          <w:rFonts w:ascii="Sylfaen" w:hAnsi="Sylfaen" w:cs="Sylfaen"/>
          <w:lang w:val="ka-GE"/>
        </w:rPr>
        <w:t xml:space="preserve">ქვემოთ მოცემულ რუკაზე 1.1 წითელ ხაზად ნაჩვენებია ალერნატივა </w:t>
      </w:r>
      <w:r w:rsidRPr="00606841">
        <w:rPr>
          <w:rFonts w:ascii="Sylfaen" w:hAnsi="Sylfaen" w:cs="Sylfaen"/>
          <w:lang w:val="ka-GE"/>
        </w:rPr>
        <w:t>TN- ს</w:t>
      </w:r>
      <w:r>
        <w:rPr>
          <w:rFonts w:ascii="Sylfaen" w:hAnsi="Sylfaen" w:cs="Sylfaen"/>
          <w:lang w:val="ka-GE"/>
        </w:rPr>
        <w:t xml:space="preserve">, რომლის სიგრძე </w:t>
      </w:r>
      <w:r w:rsidRPr="00606841">
        <w:rPr>
          <w:rFonts w:ascii="Sylfaen" w:hAnsi="Sylfaen" w:cs="Sylfaen"/>
          <w:lang w:val="ka-GE"/>
        </w:rPr>
        <w:t xml:space="preserve"> 36,750 მეტრია. შემოთავაზებული ალტერნატივა მოითხოვს 1193 მიწის ნაკვეთის </w:t>
      </w:r>
      <w:r>
        <w:rPr>
          <w:rFonts w:ascii="Sylfaen" w:hAnsi="Sylfaen" w:cs="Sylfaen"/>
          <w:lang w:val="ka-GE"/>
        </w:rPr>
        <w:t xml:space="preserve">გამოსყიდვას </w:t>
      </w:r>
      <w:r w:rsidRPr="00606841">
        <w:rPr>
          <w:rFonts w:ascii="Sylfaen" w:hAnsi="Sylfaen" w:cs="Sylfaen"/>
          <w:lang w:val="ka-GE"/>
        </w:rPr>
        <w:t>1,082,296 კვ.მ.</w:t>
      </w:r>
      <w:r>
        <w:rPr>
          <w:rFonts w:ascii="Sylfaen" w:hAnsi="Sylfaen" w:cs="Sylfaen"/>
          <w:lang w:val="ka-GE"/>
        </w:rPr>
        <w:t xml:space="preserve"> ფართობით. აღნიშნული ტერიტორიიდან </w:t>
      </w:r>
      <w:r w:rsidRPr="00606841">
        <w:rPr>
          <w:rFonts w:ascii="Sylfaen" w:hAnsi="Sylfaen" w:cs="Sylfaen"/>
          <w:lang w:val="ka-GE"/>
        </w:rPr>
        <w:t xml:space="preserve">378 </w:t>
      </w:r>
      <w:r>
        <w:rPr>
          <w:rFonts w:ascii="Sylfaen" w:hAnsi="Sylfaen" w:cs="Sylfaen"/>
          <w:lang w:val="ka-GE"/>
        </w:rPr>
        <w:t xml:space="preserve">მიწის ნაკვეთი </w:t>
      </w:r>
      <w:r w:rsidRPr="00606841">
        <w:rPr>
          <w:rFonts w:ascii="Sylfaen" w:hAnsi="Sylfaen" w:cs="Sylfaen"/>
          <w:lang w:val="ka-GE"/>
        </w:rPr>
        <w:t xml:space="preserve">(117, 369 კვ.მ.) სახელმწიფო საკუთრებაში არსებული და ეკუთვნის მუნიციპალიტეტს. </w:t>
      </w:r>
      <w:r>
        <w:rPr>
          <w:rFonts w:ascii="Sylfaen" w:hAnsi="Sylfaen" w:cs="Sylfaen"/>
          <w:lang w:val="ka-GE"/>
        </w:rPr>
        <w:t xml:space="preserve">ხოლო </w:t>
      </w:r>
      <w:r w:rsidRPr="00606841">
        <w:rPr>
          <w:rFonts w:ascii="Sylfaen" w:hAnsi="Sylfaen" w:cs="Sylfaen"/>
          <w:lang w:val="ka-GE"/>
        </w:rPr>
        <w:t>დარჩენილი 815 მიწის ნაკვეთი (904,927 კვ.მ) კერძო საკუთრებაშია და/ან მფლობელობაშია.</w:t>
      </w:r>
      <w:r>
        <w:rPr>
          <w:rFonts w:ascii="Sylfaen" w:hAnsi="Sylfaen" w:cs="Sylfaen"/>
          <w:lang w:val="ka-GE"/>
        </w:rPr>
        <w:t xml:space="preserve"> </w:t>
      </w:r>
    </w:p>
    <w:p w14:paraId="43A613C9" w14:textId="77777777" w:rsidR="00971C8E" w:rsidRDefault="00971C8E" w:rsidP="00971C8E">
      <w:pPr>
        <w:tabs>
          <w:tab w:val="left" w:pos="1080"/>
        </w:tabs>
        <w:spacing w:before="200" w:after="200"/>
        <w:rPr>
          <w:rFonts w:ascii="Sylfaen" w:hAnsi="Sylfaen" w:cstheme="minorHAnsi"/>
          <w:lang w:val="ka-GE"/>
        </w:rPr>
      </w:pPr>
      <w:r>
        <w:rPr>
          <w:rFonts w:ascii="Sylfaen" w:hAnsi="Sylfaen" w:cs="Sylfaen"/>
          <w:lang w:val="ka-GE"/>
        </w:rPr>
        <w:t xml:space="preserve">საპროექტო გზის ქვეშ მოხვედრილი მიწა ძირითადად სასოფლო-სამეურნეო დანიშნულების არის, თუმცა 33 მიწის ნაკვეთი </w:t>
      </w:r>
      <w:r w:rsidRPr="00255AF5">
        <w:rPr>
          <w:rFonts w:cstheme="minorHAnsi"/>
        </w:rPr>
        <w:t>(20 534</w:t>
      </w:r>
      <w:r>
        <w:rPr>
          <w:rFonts w:ascii="Sylfaen" w:hAnsi="Sylfaen" w:cstheme="minorHAnsi"/>
          <w:lang w:val="ka-GE"/>
        </w:rPr>
        <w:t xml:space="preserve"> კვ.მ) დასახლებულია, ხოლო 22 (10, 766 კვ.მ) კერძო ბიზნესებს ეკუთვნის.</w:t>
      </w:r>
    </w:p>
    <w:p w14:paraId="5551D944" w14:textId="77777777" w:rsidR="00971C8E" w:rsidRPr="00E525A0" w:rsidRDefault="00971C8E" w:rsidP="00971C8E">
      <w:pPr>
        <w:tabs>
          <w:tab w:val="left" w:pos="1080"/>
        </w:tabs>
        <w:spacing w:before="200" w:after="200"/>
        <w:rPr>
          <w:rFonts w:ascii="Sylfaen" w:hAnsi="Sylfaen" w:cs="Sylfaen"/>
          <w:lang w:val="ka-GE"/>
        </w:rPr>
      </w:pPr>
      <w:r w:rsidRPr="00255AF5">
        <w:rPr>
          <w:rFonts w:cstheme="minorHAnsi"/>
          <w:noProof/>
          <w:lang w:val="en-US" w:eastAsia="en-US"/>
        </w:rPr>
        <w:drawing>
          <wp:inline distT="0" distB="0" distL="0" distR="0" wp14:anchorId="2823F59A" wp14:editId="3E5B198C">
            <wp:extent cx="5960340" cy="3145809"/>
            <wp:effectExtent l="0" t="0" r="2540" b="0"/>
            <wp:docPr id="20" name="Picture 3" descr="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6028581" cy="3181826"/>
                    </a:xfrm>
                    <a:prstGeom prst="rect">
                      <a:avLst/>
                    </a:prstGeom>
                    <a:noFill/>
                    <a:ln>
                      <a:noFill/>
                    </a:ln>
                  </pic:spPr>
                </pic:pic>
              </a:graphicData>
            </a:graphic>
          </wp:inline>
        </w:drawing>
      </w:r>
    </w:p>
    <w:p w14:paraId="4008D7FA" w14:textId="4BC33A20" w:rsidR="00971C8E" w:rsidRPr="00E52D2E" w:rsidRDefault="00971C8E" w:rsidP="00971C8E">
      <w:pPr>
        <w:tabs>
          <w:tab w:val="left" w:pos="1080"/>
        </w:tabs>
        <w:rPr>
          <w:rFonts w:ascii="Sylfaen" w:hAnsi="Sylfaen" w:cs="Sylfaen"/>
          <w:sz w:val="20"/>
          <w:lang w:val="ka-GE"/>
        </w:rPr>
      </w:pPr>
      <w:r w:rsidRPr="00E52D2E">
        <w:rPr>
          <w:rFonts w:ascii="Sylfaen" w:hAnsi="Sylfaen" w:cs="Sylfaen"/>
          <w:sz w:val="20"/>
          <w:szCs w:val="22"/>
          <w:lang w:val="ka-GE"/>
        </w:rPr>
        <w:t xml:space="preserve">რუკა </w:t>
      </w:r>
      <w:r w:rsidR="002E2E71">
        <w:rPr>
          <w:rFonts w:ascii="Sylfaen" w:hAnsi="Sylfaen" w:cs="Sylfaen"/>
          <w:sz w:val="20"/>
          <w:szCs w:val="22"/>
          <w:lang w:val="ka-GE"/>
        </w:rPr>
        <w:t>3-2</w:t>
      </w:r>
      <w:r w:rsidRPr="00E52D2E">
        <w:rPr>
          <w:rFonts w:ascii="Sylfaen" w:hAnsi="Sylfaen" w:cs="Sylfaen"/>
          <w:sz w:val="20"/>
          <w:szCs w:val="22"/>
          <w:lang w:val="ka-GE"/>
        </w:rPr>
        <w:t xml:space="preserve"> </w:t>
      </w:r>
      <w:r w:rsidRPr="00E52D2E">
        <w:rPr>
          <w:rFonts w:ascii="Sylfaen" w:hAnsi="Sylfaen" w:cs="Sylfaen"/>
          <w:sz w:val="20"/>
          <w:lang w:val="ka-GE"/>
        </w:rPr>
        <w:t>ალტერნატივა TN</w:t>
      </w:r>
    </w:p>
    <w:p w14:paraId="2E52563B" w14:textId="77777777" w:rsidR="00971C8E" w:rsidRDefault="00971C8E" w:rsidP="00971C8E">
      <w:pPr>
        <w:pStyle w:val="NormalWeb"/>
        <w:tabs>
          <w:tab w:val="left" w:pos="2520"/>
        </w:tabs>
        <w:spacing w:before="60" w:beforeAutospacing="0" w:after="60" w:afterAutospacing="0"/>
        <w:jc w:val="both"/>
        <w:rPr>
          <w:rFonts w:ascii="Sylfaen" w:hAnsi="Sylfaen" w:cs="Sylfaen"/>
          <w:sz w:val="22"/>
          <w:szCs w:val="22"/>
          <w:u w:val="single"/>
          <w:lang w:val="ka-GE"/>
        </w:rPr>
      </w:pPr>
    </w:p>
    <w:p w14:paraId="27C2E90E" w14:textId="77777777" w:rsidR="00971C8E" w:rsidRDefault="00971C8E" w:rsidP="00971C8E">
      <w:pPr>
        <w:pStyle w:val="NormalWeb"/>
        <w:tabs>
          <w:tab w:val="left" w:pos="2520"/>
        </w:tabs>
        <w:spacing w:before="60" w:beforeAutospacing="0" w:after="60" w:afterAutospacing="0"/>
        <w:jc w:val="both"/>
        <w:rPr>
          <w:rFonts w:ascii="Sylfaen" w:hAnsi="Sylfaen" w:cs="Sylfaen"/>
          <w:sz w:val="22"/>
          <w:szCs w:val="22"/>
          <w:u w:val="single"/>
        </w:rPr>
      </w:pPr>
      <w:r w:rsidRPr="00F97E76">
        <w:rPr>
          <w:rFonts w:ascii="Sylfaen" w:hAnsi="Sylfaen" w:cs="Sylfaen"/>
          <w:sz w:val="22"/>
          <w:szCs w:val="22"/>
          <w:u w:val="single"/>
          <w:lang w:val="ka-GE"/>
        </w:rPr>
        <w:t xml:space="preserve">ალტერნატივა </w:t>
      </w:r>
      <w:r w:rsidRPr="00F97E76">
        <w:rPr>
          <w:rFonts w:ascii="Sylfaen" w:hAnsi="Sylfaen" w:cs="Sylfaen"/>
          <w:sz w:val="22"/>
          <w:szCs w:val="22"/>
          <w:u w:val="single"/>
        </w:rPr>
        <w:t xml:space="preserve">TS </w:t>
      </w:r>
    </w:p>
    <w:p w14:paraId="7B738CD5" w14:textId="77777777" w:rsidR="00971C8E" w:rsidRDefault="00971C8E" w:rsidP="00971C8E">
      <w:pPr>
        <w:pStyle w:val="NormalWeb"/>
        <w:tabs>
          <w:tab w:val="left" w:pos="2520"/>
        </w:tabs>
        <w:spacing w:before="60" w:beforeAutospacing="0" w:after="60" w:afterAutospacing="0"/>
        <w:jc w:val="both"/>
        <w:rPr>
          <w:rFonts w:ascii="Sylfaen" w:hAnsi="Sylfaen" w:cs="Sylfaen"/>
          <w:sz w:val="22"/>
          <w:szCs w:val="22"/>
          <w:lang w:val="ka-GE"/>
        </w:rPr>
      </w:pPr>
      <w:r w:rsidRPr="00B67521">
        <w:rPr>
          <w:rFonts w:ascii="Sylfaen" w:hAnsi="Sylfaen" w:cs="Sylfaen"/>
          <w:sz w:val="22"/>
          <w:lang w:val="ka-GE"/>
        </w:rPr>
        <w:t xml:space="preserve">ქვემოთ მოცემულ რუკაზე 1.2 </w:t>
      </w:r>
      <w:r>
        <w:rPr>
          <w:rFonts w:ascii="Sylfaen" w:hAnsi="Sylfaen" w:cs="Sylfaen"/>
          <w:sz w:val="22"/>
          <w:lang w:val="ka-GE"/>
        </w:rPr>
        <w:t>ცისფერ</w:t>
      </w:r>
      <w:r w:rsidRPr="00B67521">
        <w:rPr>
          <w:rFonts w:ascii="Sylfaen" w:hAnsi="Sylfaen" w:cs="Sylfaen"/>
          <w:sz w:val="22"/>
        </w:rPr>
        <w:t xml:space="preserve"> ხაზად მოცემულია ალტერნატივა </w:t>
      </w:r>
      <w:r w:rsidRPr="00B67521">
        <w:rPr>
          <w:rFonts w:ascii="Sylfaen" w:hAnsi="Sylfaen" w:cs="Sylfaen"/>
          <w:sz w:val="22"/>
          <w:szCs w:val="22"/>
        </w:rPr>
        <w:t>TS</w:t>
      </w:r>
      <w:r>
        <w:rPr>
          <w:rFonts w:ascii="Sylfaen" w:hAnsi="Sylfaen" w:cs="Sylfaen"/>
          <w:sz w:val="22"/>
          <w:szCs w:val="22"/>
          <w:lang w:val="ka-GE"/>
        </w:rPr>
        <w:t>, რომლის სიგრძეც 36, 003 მეტრია. წარმოდგენილი ალტერნატივა გადის 1, 287 მიწის ნაკვეთზე, რომლის ფართობია 1, 068, 636 კვ.მ.</w:t>
      </w:r>
    </w:p>
    <w:p w14:paraId="1AEEC3EA" w14:textId="77777777" w:rsidR="00971C8E" w:rsidRDefault="00971C8E" w:rsidP="00971C8E">
      <w:pPr>
        <w:pStyle w:val="NormalWeb"/>
        <w:tabs>
          <w:tab w:val="left" w:pos="2520"/>
        </w:tabs>
        <w:spacing w:before="60" w:beforeAutospacing="0" w:after="60" w:afterAutospacing="0"/>
        <w:jc w:val="both"/>
        <w:rPr>
          <w:rFonts w:ascii="Sylfaen" w:hAnsi="Sylfaen" w:cs="Sylfaen"/>
          <w:sz w:val="22"/>
          <w:szCs w:val="22"/>
          <w:lang w:val="ka-GE"/>
        </w:rPr>
      </w:pPr>
      <w:r>
        <w:rPr>
          <w:rFonts w:ascii="Sylfaen" w:hAnsi="Sylfaen" w:cs="Sylfaen"/>
          <w:sz w:val="22"/>
          <w:szCs w:val="22"/>
          <w:lang w:val="ka-GE"/>
        </w:rPr>
        <w:t>წარმოდგენილი მიწის ნაკვეთებიდან 419 (272, 249 კმ.მ) მუნიციპალიტეტის საკუთრებაშია, ხოლო დანარჩენი 868 (796, 388 კმ.მ) კერძო საკუთრებაშია. საპროექტო გზის აღნიშნულ ალეტერნატივაში 21 მიწის ნაკვეთი (18 107კმ.მ) ხვდება დასახლებულ დერიტორიაზე, 26 მიწის ნაკვეთი (25 822კმ.მ) კერძო ბიზნესია, ხოლო 44 მიწის ნაკვეთი (29 044 კმ.მ) არასასოფლო-სამეურნეო დანიშნულებისაა, ხოლო 2 მიწის ნაკვეთი (124 კმ.მ) კავშირგაბმულობის ანძებია, რომელიც მობილური ქსელის საკუთრებაშია.</w:t>
      </w:r>
    </w:p>
    <w:p w14:paraId="54DE9749" w14:textId="77777777" w:rsidR="00971C8E" w:rsidRDefault="00971C8E" w:rsidP="00971C8E">
      <w:pPr>
        <w:pStyle w:val="NormalWeb"/>
        <w:tabs>
          <w:tab w:val="left" w:pos="2520"/>
        </w:tabs>
        <w:spacing w:before="60" w:beforeAutospacing="0" w:after="60" w:afterAutospacing="0"/>
        <w:jc w:val="both"/>
        <w:rPr>
          <w:rFonts w:ascii="Sylfaen" w:hAnsi="Sylfaen" w:cs="Sylfaen"/>
          <w:sz w:val="22"/>
          <w:szCs w:val="22"/>
          <w:lang w:val="ka-GE"/>
        </w:rPr>
      </w:pPr>
      <w:r w:rsidRPr="00255AF5">
        <w:rPr>
          <w:rFonts w:cstheme="minorHAnsi"/>
          <w:noProof/>
        </w:rPr>
        <w:lastRenderedPageBreak/>
        <w:drawing>
          <wp:inline distT="0" distB="0" distL="0" distR="0" wp14:anchorId="27575FA3" wp14:editId="20EE403C">
            <wp:extent cx="6086475" cy="2762250"/>
            <wp:effectExtent l="0" t="0" r="9525" b="0"/>
            <wp:docPr id="21" name="Picture 2" desc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6091224" cy="2764405"/>
                    </a:xfrm>
                    <a:prstGeom prst="rect">
                      <a:avLst/>
                    </a:prstGeom>
                    <a:noFill/>
                    <a:ln>
                      <a:noFill/>
                    </a:ln>
                  </pic:spPr>
                </pic:pic>
              </a:graphicData>
            </a:graphic>
          </wp:inline>
        </w:drawing>
      </w:r>
    </w:p>
    <w:p w14:paraId="7A5EBCF5" w14:textId="60E61515" w:rsidR="00971C8E" w:rsidRDefault="00971C8E" w:rsidP="00971C8E">
      <w:pPr>
        <w:tabs>
          <w:tab w:val="left" w:pos="1080"/>
        </w:tabs>
        <w:rPr>
          <w:rFonts w:ascii="Sylfaen" w:hAnsi="Sylfaen" w:cs="Sylfaen"/>
          <w:szCs w:val="22"/>
        </w:rPr>
      </w:pPr>
      <w:r w:rsidRPr="00E52D2E">
        <w:rPr>
          <w:rFonts w:ascii="Sylfaen" w:hAnsi="Sylfaen" w:cs="Sylfaen"/>
          <w:sz w:val="20"/>
          <w:szCs w:val="22"/>
          <w:lang w:val="ka-GE"/>
        </w:rPr>
        <w:t xml:space="preserve">რუკა </w:t>
      </w:r>
      <w:r w:rsidR="002E2E71">
        <w:rPr>
          <w:rFonts w:ascii="Sylfaen" w:hAnsi="Sylfaen" w:cs="Sylfaen"/>
          <w:sz w:val="20"/>
          <w:szCs w:val="22"/>
          <w:lang w:val="ka-GE"/>
        </w:rPr>
        <w:t>3-3</w:t>
      </w:r>
      <w:r w:rsidRPr="00E52D2E">
        <w:rPr>
          <w:rFonts w:ascii="Sylfaen" w:hAnsi="Sylfaen" w:cs="Sylfaen"/>
          <w:sz w:val="20"/>
          <w:szCs w:val="22"/>
          <w:lang w:val="ka-GE"/>
        </w:rPr>
        <w:t xml:space="preserve">. </w:t>
      </w:r>
      <w:r w:rsidRPr="00E52D2E">
        <w:rPr>
          <w:rFonts w:ascii="Sylfaen" w:hAnsi="Sylfaen" w:cs="Sylfaen"/>
          <w:sz w:val="20"/>
          <w:lang w:val="ka-GE"/>
        </w:rPr>
        <w:t xml:space="preserve">ალტერნატივა </w:t>
      </w:r>
      <w:r w:rsidRPr="00B67521">
        <w:rPr>
          <w:rFonts w:ascii="Sylfaen" w:hAnsi="Sylfaen" w:cs="Sylfaen"/>
          <w:szCs w:val="22"/>
        </w:rPr>
        <w:t>TS</w:t>
      </w:r>
    </w:p>
    <w:p w14:paraId="1F84035C" w14:textId="77777777" w:rsidR="00971C8E" w:rsidRDefault="00971C8E" w:rsidP="00971C8E">
      <w:pPr>
        <w:pStyle w:val="NormalWeb"/>
        <w:tabs>
          <w:tab w:val="left" w:pos="2520"/>
        </w:tabs>
        <w:spacing w:before="60" w:beforeAutospacing="0" w:after="60" w:afterAutospacing="0"/>
        <w:jc w:val="both"/>
        <w:rPr>
          <w:rFonts w:ascii="Sylfaen" w:hAnsi="Sylfaen" w:cs="Sylfaen"/>
          <w:sz w:val="22"/>
          <w:szCs w:val="22"/>
          <w:u w:val="single"/>
          <w:lang w:val="ka-GE"/>
        </w:rPr>
      </w:pPr>
    </w:p>
    <w:p w14:paraId="268199BE" w14:textId="77777777" w:rsidR="00971C8E" w:rsidRDefault="00971C8E" w:rsidP="00971C8E">
      <w:pPr>
        <w:pStyle w:val="NormalWeb"/>
        <w:tabs>
          <w:tab w:val="left" w:pos="2520"/>
        </w:tabs>
        <w:spacing w:before="60" w:beforeAutospacing="0" w:after="60" w:afterAutospacing="0"/>
        <w:jc w:val="both"/>
        <w:rPr>
          <w:rFonts w:ascii="Sylfaen" w:hAnsi="Sylfaen" w:cs="Sylfaen"/>
          <w:sz w:val="22"/>
          <w:szCs w:val="22"/>
          <w:u w:val="single"/>
        </w:rPr>
      </w:pPr>
      <w:r w:rsidRPr="00F97E76">
        <w:rPr>
          <w:rFonts w:ascii="Sylfaen" w:hAnsi="Sylfaen" w:cs="Sylfaen"/>
          <w:sz w:val="22"/>
          <w:szCs w:val="22"/>
          <w:u w:val="single"/>
          <w:lang w:val="ka-GE"/>
        </w:rPr>
        <w:t xml:space="preserve">ალტერნატივა </w:t>
      </w:r>
      <w:r w:rsidRPr="00F97E76">
        <w:rPr>
          <w:rFonts w:ascii="Sylfaen" w:hAnsi="Sylfaen" w:cs="Sylfaen"/>
          <w:sz w:val="22"/>
          <w:szCs w:val="22"/>
          <w:u w:val="single"/>
        </w:rPr>
        <w:t>TS</w:t>
      </w:r>
      <w:r>
        <w:rPr>
          <w:rFonts w:ascii="Sylfaen" w:hAnsi="Sylfaen" w:cs="Sylfaen"/>
          <w:sz w:val="22"/>
          <w:szCs w:val="22"/>
          <w:u w:val="single"/>
          <w:lang w:val="ka-GE"/>
        </w:rPr>
        <w:t>-1</w:t>
      </w:r>
      <w:r w:rsidRPr="00F97E76">
        <w:rPr>
          <w:rFonts w:ascii="Sylfaen" w:hAnsi="Sylfaen" w:cs="Sylfaen"/>
          <w:sz w:val="22"/>
          <w:szCs w:val="22"/>
          <w:u w:val="single"/>
        </w:rPr>
        <w:t xml:space="preserve"> </w:t>
      </w:r>
    </w:p>
    <w:p w14:paraId="54F3E623" w14:textId="77777777" w:rsidR="00971C8E" w:rsidRDefault="00971C8E" w:rsidP="00971C8E">
      <w:pPr>
        <w:pStyle w:val="NormalWeb"/>
        <w:tabs>
          <w:tab w:val="left" w:pos="2520"/>
        </w:tabs>
        <w:spacing w:before="60" w:beforeAutospacing="0" w:after="60" w:afterAutospacing="0"/>
        <w:jc w:val="both"/>
        <w:rPr>
          <w:rFonts w:ascii="Sylfaen" w:hAnsi="Sylfaen" w:cs="Sylfaen"/>
          <w:sz w:val="22"/>
          <w:szCs w:val="22"/>
          <w:lang w:val="ka-GE"/>
        </w:rPr>
      </w:pPr>
      <w:r w:rsidRPr="00B67521">
        <w:rPr>
          <w:rFonts w:ascii="Sylfaen" w:hAnsi="Sylfaen" w:cs="Sylfaen"/>
          <w:sz w:val="22"/>
          <w:lang w:val="ka-GE"/>
        </w:rPr>
        <w:t>ქვემოთ მოცემულ რუკაზე 1.</w:t>
      </w:r>
      <w:r>
        <w:rPr>
          <w:rFonts w:ascii="Sylfaen" w:hAnsi="Sylfaen" w:cs="Sylfaen"/>
          <w:sz w:val="22"/>
          <w:lang w:val="ka-GE"/>
        </w:rPr>
        <w:t>3</w:t>
      </w:r>
      <w:r w:rsidRPr="00B67521">
        <w:rPr>
          <w:rFonts w:ascii="Sylfaen" w:hAnsi="Sylfaen" w:cs="Sylfaen"/>
          <w:sz w:val="22"/>
          <w:lang w:val="ka-GE"/>
        </w:rPr>
        <w:t xml:space="preserve"> </w:t>
      </w:r>
      <w:r>
        <w:rPr>
          <w:rFonts w:ascii="Sylfaen" w:hAnsi="Sylfaen" w:cs="Sylfaen"/>
          <w:sz w:val="22"/>
          <w:lang w:val="ka-GE"/>
        </w:rPr>
        <w:t>ღია მწვანე</w:t>
      </w:r>
      <w:r w:rsidRPr="00B67521">
        <w:rPr>
          <w:rFonts w:ascii="Sylfaen" w:hAnsi="Sylfaen" w:cs="Sylfaen"/>
          <w:sz w:val="22"/>
        </w:rPr>
        <w:t xml:space="preserve"> ხაზად მოცემულია ალტერნატივა </w:t>
      </w:r>
      <w:r w:rsidRPr="00B67521">
        <w:rPr>
          <w:rFonts w:ascii="Sylfaen" w:hAnsi="Sylfaen" w:cs="Sylfaen"/>
          <w:sz w:val="22"/>
          <w:szCs w:val="22"/>
        </w:rPr>
        <w:t>TS</w:t>
      </w:r>
      <w:r>
        <w:rPr>
          <w:rFonts w:ascii="Sylfaen" w:hAnsi="Sylfaen" w:cs="Sylfaen"/>
          <w:sz w:val="22"/>
          <w:szCs w:val="22"/>
          <w:lang w:val="ka-GE"/>
        </w:rPr>
        <w:t>-1, რომლის სიგრძეც 36, 272 მეტრია. წარმოდგენილი ალტერნატივა გადის 1, 298 მიწის ნაკვეთზე, რომლის ფართობია 1, 074, 474 კვ.მ. წარმოდგენილი მიწის ნაკვეთებიდან 426 (273, 570 კმ.მ) მუნიციპალიტეტის საკუთრებაშია, ხოლო დანარჩენი 872 (800, 904 კმ.მ) კერძო საკუთრებაშია. საპროექტო გზის აღნიშნულ ალეტერნატივაში 21 მიწის ნაკვეთი (18 107კმ.მ) ხვდება დასახლებულ დერიტორიაზე, 26 მიწის ნაკვეთი (25 822კმ.მ) კერძო ბიზნესია, ხოლო 43 მიწის ნაკვეთი (29 285 კმ.მ) არასასოფლო-სამეურნეო დანიშნულებისაა, ხოლო 2 პატარა მიწის ნაკვეთი მობილური ქსელების ანძებს ეკუთვნის.</w:t>
      </w:r>
    </w:p>
    <w:p w14:paraId="2BD0BDEF" w14:textId="77777777" w:rsidR="00971C8E" w:rsidRDefault="00971C8E" w:rsidP="00971C8E">
      <w:pPr>
        <w:pStyle w:val="NormalWeb"/>
        <w:tabs>
          <w:tab w:val="left" w:pos="2520"/>
        </w:tabs>
        <w:spacing w:before="60" w:beforeAutospacing="0" w:after="60" w:afterAutospacing="0"/>
        <w:jc w:val="both"/>
        <w:rPr>
          <w:rFonts w:ascii="Sylfaen" w:hAnsi="Sylfaen" w:cs="Sylfaen"/>
          <w:sz w:val="22"/>
          <w:szCs w:val="22"/>
          <w:lang w:val="ka-GE"/>
        </w:rPr>
      </w:pPr>
      <w:r w:rsidRPr="00255AF5">
        <w:rPr>
          <w:rFonts w:cstheme="minorHAnsi"/>
          <w:noProof/>
        </w:rPr>
        <w:drawing>
          <wp:inline distT="0" distB="0" distL="0" distR="0" wp14:anchorId="423736EB" wp14:editId="2DBA119A">
            <wp:extent cx="5962650" cy="2733675"/>
            <wp:effectExtent l="0" t="0" r="0" b="9525"/>
            <wp:docPr id="22" name="Picture 1" descr="TS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S_1"/>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5962650" cy="2733675"/>
                    </a:xfrm>
                    <a:prstGeom prst="rect">
                      <a:avLst/>
                    </a:prstGeom>
                    <a:noFill/>
                    <a:ln>
                      <a:noFill/>
                    </a:ln>
                  </pic:spPr>
                </pic:pic>
              </a:graphicData>
            </a:graphic>
          </wp:inline>
        </w:drawing>
      </w:r>
    </w:p>
    <w:p w14:paraId="02133EEA" w14:textId="3883B84F" w:rsidR="00971C8E" w:rsidRPr="00D92769" w:rsidRDefault="00971C8E" w:rsidP="00971C8E">
      <w:pPr>
        <w:tabs>
          <w:tab w:val="left" w:pos="1080"/>
        </w:tabs>
        <w:rPr>
          <w:rFonts w:ascii="Sylfaen" w:hAnsi="Sylfaen" w:cs="Sylfaen"/>
          <w:szCs w:val="22"/>
          <w:lang w:val="ka-GE"/>
        </w:rPr>
      </w:pPr>
      <w:r w:rsidRPr="00E52D2E">
        <w:rPr>
          <w:rFonts w:ascii="Sylfaen" w:hAnsi="Sylfaen" w:cs="Sylfaen"/>
          <w:sz w:val="20"/>
          <w:szCs w:val="22"/>
          <w:lang w:val="ka-GE"/>
        </w:rPr>
        <w:t xml:space="preserve">რუკა </w:t>
      </w:r>
      <w:r>
        <w:rPr>
          <w:rFonts w:ascii="Sylfaen" w:hAnsi="Sylfaen" w:cs="Sylfaen"/>
          <w:sz w:val="20"/>
          <w:szCs w:val="22"/>
          <w:lang w:val="ka-GE"/>
        </w:rPr>
        <w:t>3</w:t>
      </w:r>
      <w:r w:rsidR="002E2E71">
        <w:rPr>
          <w:rFonts w:ascii="Sylfaen" w:hAnsi="Sylfaen" w:cs="Sylfaen"/>
          <w:sz w:val="20"/>
          <w:szCs w:val="22"/>
          <w:lang w:val="ka-GE"/>
        </w:rPr>
        <w:t>-4</w:t>
      </w:r>
      <w:r w:rsidRPr="00E52D2E">
        <w:rPr>
          <w:rFonts w:ascii="Sylfaen" w:hAnsi="Sylfaen" w:cs="Sylfaen"/>
          <w:sz w:val="20"/>
          <w:szCs w:val="22"/>
          <w:lang w:val="ka-GE"/>
        </w:rPr>
        <w:t xml:space="preserve"> </w:t>
      </w:r>
      <w:r w:rsidRPr="00E52D2E">
        <w:rPr>
          <w:rFonts w:ascii="Sylfaen" w:hAnsi="Sylfaen" w:cs="Sylfaen"/>
          <w:sz w:val="20"/>
          <w:lang w:val="ka-GE"/>
        </w:rPr>
        <w:t xml:space="preserve">ალტერნატივა </w:t>
      </w:r>
      <w:r w:rsidRPr="00B67521">
        <w:rPr>
          <w:rFonts w:ascii="Sylfaen" w:hAnsi="Sylfaen" w:cs="Sylfaen"/>
          <w:szCs w:val="22"/>
        </w:rPr>
        <w:t>TS</w:t>
      </w:r>
      <w:r>
        <w:rPr>
          <w:rFonts w:ascii="Sylfaen" w:hAnsi="Sylfaen" w:cs="Sylfaen"/>
          <w:szCs w:val="22"/>
          <w:lang w:val="ka-GE"/>
        </w:rPr>
        <w:t>-1</w:t>
      </w:r>
    </w:p>
    <w:p w14:paraId="37613641" w14:textId="77777777" w:rsidR="00915446" w:rsidRDefault="00915446" w:rsidP="00971C8E">
      <w:pPr>
        <w:rPr>
          <w:rFonts w:ascii="Sylfaen" w:hAnsi="Sylfaen" w:cs="Arial"/>
          <w:sz w:val="20"/>
          <w:lang w:val="ka-GE"/>
        </w:rPr>
      </w:pPr>
    </w:p>
    <w:p w14:paraId="276B2BA4" w14:textId="3DF3EACE" w:rsidR="00971C8E" w:rsidRPr="00987683" w:rsidRDefault="00971C8E" w:rsidP="00971C8E">
      <w:pPr>
        <w:rPr>
          <w:rFonts w:cs="Arial"/>
          <w:sz w:val="20"/>
          <w:lang w:val="ka-GE"/>
        </w:rPr>
      </w:pPr>
      <w:r>
        <w:rPr>
          <w:rFonts w:ascii="Sylfaen" w:hAnsi="Sylfaen" w:cs="Arial"/>
          <w:sz w:val="20"/>
          <w:lang w:val="ka-GE"/>
        </w:rPr>
        <w:t xml:space="preserve">ცხრილი </w:t>
      </w:r>
      <w:r w:rsidR="002E2E71">
        <w:rPr>
          <w:rFonts w:ascii="Sylfaen" w:hAnsi="Sylfaen" w:cs="Arial"/>
          <w:sz w:val="20"/>
          <w:lang w:val="en-US"/>
        </w:rPr>
        <w:t>3-</w:t>
      </w:r>
      <w:r>
        <w:rPr>
          <w:rFonts w:ascii="Sylfaen" w:hAnsi="Sylfaen" w:cs="Arial"/>
          <w:sz w:val="20"/>
          <w:lang w:val="ka-GE"/>
        </w:rPr>
        <w:t>1 ალტერნატივების შედარება</w:t>
      </w:r>
    </w:p>
    <w:tbl>
      <w:tblPr>
        <w:tblW w:w="10232" w:type="dxa"/>
        <w:tblInd w:w="108" w:type="dxa"/>
        <w:tblLayout w:type="fixed"/>
        <w:tblLook w:val="04A0" w:firstRow="1" w:lastRow="0" w:firstColumn="1" w:lastColumn="0" w:noHBand="0" w:noVBand="1"/>
      </w:tblPr>
      <w:tblGrid>
        <w:gridCol w:w="3212"/>
        <w:gridCol w:w="1217"/>
        <w:gridCol w:w="1188"/>
        <w:gridCol w:w="1208"/>
        <w:gridCol w:w="1127"/>
        <w:gridCol w:w="1200"/>
        <w:gridCol w:w="1080"/>
      </w:tblGrid>
      <w:tr w:rsidR="00971C8E" w:rsidRPr="0078046E" w14:paraId="4643AAEF" w14:textId="77777777" w:rsidTr="00D34C21">
        <w:trPr>
          <w:trHeight w:val="351"/>
        </w:trPr>
        <w:tc>
          <w:tcPr>
            <w:tcW w:w="3212" w:type="dxa"/>
            <w:vMerge w:val="restart"/>
            <w:tcBorders>
              <w:top w:val="single" w:sz="8" w:space="0" w:color="auto"/>
              <w:left w:val="single" w:sz="8" w:space="0" w:color="auto"/>
              <w:bottom w:val="single" w:sz="8" w:space="0" w:color="000000"/>
              <w:right w:val="single" w:sz="8" w:space="0" w:color="auto"/>
            </w:tcBorders>
            <w:shd w:val="clear" w:color="auto" w:fill="E0E0E0"/>
            <w:vAlign w:val="center"/>
            <w:hideMark/>
          </w:tcPr>
          <w:p w14:paraId="5575FCC2" w14:textId="77777777" w:rsidR="00971C8E" w:rsidRPr="0078046E" w:rsidRDefault="00971C8E" w:rsidP="00D34C21">
            <w:pPr>
              <w:jc w:val="center"/>
              <w:rPr>
                <w:rFonts w:cs="Arial"/>
                <w:b/>
                <w:bCs/>
                <w:color w:val="000000"/>
                <w:sz w:val="18"/>
                <w:szCs w:val="18"/>
              </w:rPr>
            </w:pPr>
            <w:r>
              <w:rPr>
                <w:rFonts w:ascii="Sylfaen" w:hAnsi="Sylfaen" w:cs="Arial"/>
                <w:b/>
                <w:bCs/>
                <w:color w:val="000000"/>
                <w:sz w:val="18"/>
                <w:szCs w:val="18"/>
                <w:lang w:val="ka-GE"/>
              </w:rPr>
              <w:t>მიწის ნაკვეთების კატეგორია</w:t>
            </w:r>
          </w:p>
        </w:tc>
        <w:tc>
          <w:tcPr>
            <w:tcW w:w="2405" w:type="dxa"/>
            <w:gridSpan w:val="2"/>
            <w:tcBorders>
              <w:top w:val="single" w:sz="8" w:space="0" w:color="auto"/>
              <w:left w:val="nil"/>
              <w:bottom w:val="single" w:sz="8" w:space="0" w:color="auto"/>
              <w:right w:val="single" w:sz="8" w:space="0" w:color="000000"/>
            </w:tcBorders>
            <w:shd w:val="clear" w:color="auto" w:fill="E0E0E0"/>
            <w:vAlign w:val="center"/>
            <w:hideMark/>
          </w:tcPr>
          <w:p w14:paraId="2A6E7193" w14:textId="77777777" w:rsidR="00971C8E" w:rsidRPr="0078046E" w:rsidRDefault="00971C8E" w:rsidP="00D34C21">
            <w:pPr>
              <w:jc w:val="center"/>
              <w:rPr>
                <w:rFonts w:cs="Arial"/>
                <w:b/>
                <w:bCs/>
                <w:color w:val="000000"/>
                <w:sz w:val="18"/>
                <w:szCs w:val="18"/>
              </w:rPr>
            </w:pPr>
            <w:r>
              <w:rPr>
                <w:rFonts w:ascii="Sylfaen" w:hAnsi="Sylfaen" w:cs="Arial"/>
                <w:b/>
                <w:bCs/>
                <w:color w:val="000000"/>
                <w:sz w:val="18"/>
                <w:szCs w:val="18"/>
                <w:lang w:val="ka-GE"/>
              </w:rPr>
              <w:t xml:space="preserve">ალტერნატივა </w:t>
            </w:r>
            <w:r w:rsidRPr="0078046E">
              <w:rPr>
                <w:rFonts w:cs="Arial"/>
                <w:b/>
                <w:bCs/>
                <w:color w:val="000000"/>
                <w:sz w:val="18"/>
                <w:szCs w:val="18"/>
              </w:rPr>
              <w:t>TN</w:t>
            </w:r>
          </w:p>
        </w:tc>
        <w:tc>
          <w:tcPr>
            <w:tcW w:w="2335" w:type="dxa"/>
            <w:gridSpan w:val="2"/>
            <w:tcBorders>
              <w:top w:val="single" w:sz="8" w:space="0" w:color="auto"/>
              <w:left w:val="nil"/>
              <w:bottom w:val="single" w:sz="8" w:space="0" w:color="auto"/>
              <w:right w:val="single" w:sz="8" w:space="0" w:color="000000"/>
            </w:tcBorders>
            <w:shd w:val="clear" w:color="auto" w:fill="E0E0E0"/>
            <w:vAlign w:val="center"/>
            <w:hideMark/>
          </w:tcPr>
          <w:p w14:paraId="6A07D8BC" w14:textId="77777777" w:rsidR="00971C8E" w:rsidRPr="0078046E" w:rsidRDefault="00971C8E" w:rsidP="00D34C21">
            <w:pPr>
              <w:jc w:val="center"/>
              <w:rPr>
                <w:rFonts w:cs="Arial"/>
                <w:b/>
                <w:bCs/>
                <w:color w:val="000000"/>
                <w:sz w:val="18"/>
                <w:szCs w:val="18"/>
              </w:rPr>
            </w:pPr>
            <w:r>
              <w:rPr>
                <w:rFonts w:ascii="Sylfaen" w:hAnsi="Sylfaen" w:cs="Arial"/>
                <w:b/>
                <w:bCs/>
                <w:color w:val="000000"/>
                <w:sz w:val="18"/>
                <w:szCs w:val="18"/>
                <w:lang w:val="ka-GE"/>
              </w:rPr>
              <w:t xml:space="preserve">ალტერნატივა </w:t>
            </w:r>
            <w:r w:rsidRPr="0078046E">
              <w:rPr>
                <w:rFonts w:cs="Arial"/>
                <w:b/>
                <w:bCs/>
                <w:color w:val="000000"/>
                <w:sz w:val="18"/>
                <w:szCs w:val="18"/>
              </w:rPr>
              <w:t>TS</w:t>
            </w:r>
          </w:p>
        </w:tc>
        <w:tc>
          <w:tcPr>
            <w:tcW w:w="2280" w:type="dxa"/>
            <w:gridSpan w:val="2"/>
            <w:tcBorders>
              <w:top w:val="single" w:sz="8" w:space="0" w:color="auto"/>
              <w:left w:val="nil"/>
              <w:bottom w:val="single" w:sz="8" w:space="0" w:color="auto"/>
              <w:right w:val="single" w:sz="8" w:space="0" w:color="000000"/>
            </w:tcBorders>
            <w:shd w:val="clear" w:color="auto" w:fill="E0E0E0"/>
            <w:vAlign w:val="center"/>
            <w:hideMark/>
          </w:tcPr>
          <w:p w14:paraId="4A129750" w14:textId="77777777" w:rsidR="00971C8E" w:rsidRPr="0078046E" w:rsidRDefault="00971C8E" w:rsidP="00D34C21">
            <w:pPr>
              <w:jc w:val="center"/>
              <w:rPr>
                <w:rFonts w:cs="Arial"/>
                <w:b/>
                <w:bCs/>
                <w:color w:val="000000"/>
                <w:sz w:val="18"/>
                <w:szCs w:val="18"/>
              </w:rPr>
            </w:pPr>
            <w:r>
              <w:rPr>
                <w:rFonts w:ascii="Sylfaen" w:hAnsi="Sylfaen" w:cs="Arial"/>
                <w:b/>
                <w:bCs/>
                <w:color w:val="000000"/>
                <w:sz w:val="18"/>
                <w:szCs w:val="18"/>
                <w:lang w:val="ka-GE"/>
              </w:rPr>
              <w:t xml:space="preserve">ალტერნატივა </w:t>
            </w:r>
            <w:r w:rsidRPr="0078046E">
              <w:rPr>
                <w:rFonts w:cs="Arial"/>
                <w:b/>
                <w:bCs/>
                <w:color w:val="000000"/>
                <w:sz w:val="18"/>
                <w:szCs w:val="18"/>
              </w:rPr>
              <w:t>TS_1</w:t>
            </w:r>
          </w:p>
        </w:tc>
      </w:tr>
      <w:tr w:rsidR="00971C8E" w:rsidRPr="0078046E" w14:paraId="35481381" w14:textId="77777777" w:rsidTr="00D34C21">
        <w:trPr>
          <w:trHeight w:val="832"/>
        </w:trPr>
        <w:tc>
          <w:tcPr>
            <w:tcW w:w="3212" w:type="dxa"/>
            <w:vMerge/>
            <w:tcBorders>
              <w:top w:val="single" w:sz="8" w:space="0" w:color="auto"/>
              <w:left w:val="single" w:sz="8" w:space="0" w:color="auto"/>
              <w:bottom w:val="single" w:sz="8" w:space="0" w:color="000000"/>
              <w:right w:val="single" w:sz="8" w:space="0" w:color="auto"/>
            </w:tcBorders>
            <w:vAlign w:val="center"/>
            <w:hideMark/>
          </w:tcPr>
          <w:p w14:paraId="2D01689E" w14:textId="77777777" w:rsidR="00971C8E" w:rsidRPr="0078046E" w:rsidRDefault="00971C8E" w:rsidP="00D34C21">
            <w:pPr>
              <w:rPr>
                <w:rFonts w:cs="Arial"/>
                <w:b/>
                <w:bCs/>
                <w:color w:val="000000"/>
                <w:sz w:val="18"/>
                <w:szCs w:val="18"/>
              </w:rPr>
            </w:pPr>
          </w:p>
        </w:tc>
        <w:tc>
          <w:tcPr>
            <w:tcW w:w="1217" w:type="dxa"/>
            <w:tcBorders>
              <w:top w:val="nil"/>
              <w:left w:val="nil"/>
              <w:bottom w:val="single" w:sz="8" w:space="0" w:color="auto"/>
              <w:right w:val="single" w:sz="8" w:space="0" w:color="auto"/>
            </w:tcBorders>
            <w:shd w:val="clear" w:color="auto" w:fill="E0E0E0"/>
            <w:vAlign w:val="center"/>
            <w:hideMark/>
          </w:tcPr>
          <w:p w14:paraId="2A174E6A" w14:textId="77777777" w:rsidR="00971C8E" w:rsidRPr="0078046E" w:rsidRDefault="00971C8E" w:rsidP="00D34C21">
            <w:pPr>
              <w:jc w:val="center"/>
              <w:rPr>
                <w:rFonts w:cs="Arial"/>
                <w:b/>
                <w:bCs/>
                <w:color w:val="000000"/>
                <w:sz w:val="18"/>
                <w:szCs w:val="18"/>
              </w:rPr>
            </w:pPr>
            <w:r>
              <w:rPr>
                <w:rFonts w:ascii="Sylfaen" w:hAnsi="Sylfaen" w:cs="Arial"/>
                <w:b/>
                <w:bCs/>
                <w:color w:val="000000"/>
                <w:sz w:val="18"/>
                <w:szCs w:val="18"/>
                <w:lang w:val="ka-GE"/>
              </w:rPr>
              <w:t>მიწის ნაკვეთების რაოდენობა</w:t>
            </w:r>
            <w:r w:rsidRPr="0078046E">
              <w:rPr>
                <w:rFonts w:cs="Arial"/>
                <w:b/>
                <w:bCs/>
                <w:color w:val="000000"/>
                <w:sz w:val="18"/>
                <w:szCs w:val="18"/>
              </w:rPr>
              <w:t xml:space="preserve">  </w:t>
            </w:r>
          </w:p>
        </w:tc>
        <w:tc>
          <w:tcPr>
            <w:tcW w:w="1188" w:type="dxa"/>
            <w:tcBorders>
              <w:top w:val="nil"/>
              <w:left w:val="nil"/>
              <w:bottom w:val="single" w:sz="8" w:space="0" w:color="auto"/>
              <w:right w:val="single" w:sz="8" w:space="0" w:color="auto"/>
            </w:tcBorders>
            <w:shd w:val="clear" w:color="auto" w:fill="E0E0E0"/>
            <w:vAlign w:val="center"/>
            <w:hideMark/>
          </w:tcPr>
          <w:p w14:paraId="5B280A41" w14:textId="77777777" w:rsidR="00971C8E" w:rsidRPr="0078046E" w:rsidRDefault="00971C8E" w:rsidP="00D34C21">
            <w:pPr>
              <w:jc w:val="center"/>
              <w:rPr>
                <w:rFonts w:cs="Arial"/>
                <w:b/>
                <w:bCs/>
                <w:color w:val="000000"/>
                <w:sz w:val="18"/>
                <w:szCs w:val="18"/>
              </w:rPr>
            </w:pPr>
            <w:r>
              <w:rPr>
                <w:rFonts w:ascii="Sylfaen" w:hAnsi="Sylfaen" w:cs="Arial"/>
                <w:b/>
                <w:bCs/>
                <w:color w:val="000000"/>
                <w:sz w:val="18"/>
                <w:szCs w:val="18"/>
                <w:lang w:val="ka-GE"/>
              </w:rPr>
              <w:t>ფართობი</w:t>
            </w:r>
          </w:p>
        </w:tc>
        <w:tc>
          <w:tcPr>
            <w:tcW w:w="1208" w:type="dxa"/>
            <w:tcBorders>
              <w:top w:val="nil"/>
              <w:left w:val="nil"/>
              <w:bottom w:val="single" w:sz="8" w:space="0" w:color="auto"/>
              <w:right w:val="single" w:sz="8" w:space="0" w:color="auto"/>
            </w:tcBorders>
            <w:shd w:val="clear" w:color="auto" w:fill="E0E0E0"/>
            <w:vAlign w:val="center"/>
            <w:hideMark/>
          </w:tcPr>
          <w:p w14:paraId="2A1E3FF9" w14:textId="77777777" w:rsidR="00971C8E" w:rsidRPr="0078046E" w:rsidRDefault="00971C8E" w:rsidP="00D34C21">
            <w:pPr>
              <w:jc w:val="center"/>
              <w:rPr>
                <w:rFonts w:cs="Arial"/>
                <w:b/>
                <w:bCs/>
                <w:color w:val="000000"/>
                <w:sz w:val="18"/>
                <w:szCs w:val="18"/>
              </w:rPr>
            </w:pPr>
            <w:r>
              <w:rPr>
                <w:rFonts w:ascii="Sylfaen" w:hAnsi="Sylfaen" w:cs="Arial"/>
                <w:b/>
                <w:bCs/>
                <w:color w:val="000000"/>
                <w:sz w:val="18"/>
                <w:szCs w:val="18"/>
                <w:lang w:val="ka-GE"/>
              </w:rPr>
              <w:t>მიწის ნაკვეთების რაოდენობა</w:t>
            </w:r>
            <w:r w:rsidRPr="0078046E">
              <w:rPr>
                <w:rFonts w:cs="Arial"/>
                <w:b/>
                <w:bCs/>
                <w:color w:val="000000"/>
                <w:sz w:val="18"/>
                <w:szCs w:val="18"/>
              </w:rPr>
              <w:t xml:space="preserve">  </w:t>
            </w:r>
          </w:p>
        </w:tc>
        <w:tc>
          <w:tcPr>
            <w:tcW w:w="1127" w:type="dxa"/>
            <w:tcBorders>
              <w:top w:val="nil"/>
              <w:left w:val="nil"/>
              <w:bottom w:val="single" w:sz="8" w:space="0" w:color="auto"/>
              <w:right w:val="single" w:sz="8" w:space="0" w:color="auto"/>
            </w:tcBorders>
            <w:shd w:val="clear" w:color="auto" w:fill="E0E0E0"/>
            <w:vAlign w:val="center"/>
            <w:hideMark/>
          </w:tcPr>
          <w:p w14:paraId="6588FD8F" w14:textId="77777777" w:rsidR="00971C8E" w:rsidRPr="0078046E" w:rsidRDefault="00971C8E" w:rsidP="00D34C21">
            <w:pPr>
              <w:jc w:val="center"/>
              <w:rPr>
                <w:rFonts w:cs="Arial"/>
                <w:b/>
                <w:bCs/>
                <w:color w:val="000000"/>
                <w:sz w:val="18"/>
                <w:szCs w:val="18"/>
              </w:rPr>
            </w:pPr>
            <w:r>
              <w:rPr>
                <w:rFonts w:ascii="Sylfaen" w:hAnsi="Sylfaen" w:cs="Arial"/>
                <w:b/>
                <w:bCs/>
                <w:color w:val="000000"/>
                <w:sz w:val="18"/>
                <w:szCs w:val="18"/>
                <w:lang w:val="ka-GE"/>
              </w:rPr>
              <w:t>ფართობი</w:t>
            </w:r>
          </w:p>
        </w:tc>
        <w:tc>
          <w:tcPr>
            <w:tcW w:w="1200" w:type="dxa"/>
            <w:tcBorders>
              <w:top w:val="nil"/>
              <w:left w:val="nil"/>
              <w:bottom w:val="single" w:sz="8" w:space="0" w:color="auto"/>
              <w:right w:val="single" w:sz="8" w:space="0" w:color="auto"/>
            </w:tcBorders>
            <w:shd w:val="clear" w:color="auto" w:fill="E0E0E0"/>
            <w:vAlign w:val="center"/>
            <w:hideMark/>
          </w:tcPr>
          <w:p w14:paraId="53744970" w14:textId="77777777" w:rsidR="00971C8E" w:rsidRPr="0078046E" w:rsidRDefault="00971C8E" w:rsidP="00D34C21">
            <w:pPr>
              <w:jc w:val="center"/>
              <w:rPr>
                <w:rFonts w:cs="Arial"/>
                <w:b/>
                <w:bCs/>
                <w:color w:val="000000"/>
                <w:sz w:val="18"/>
                <w:szCs w:val="18"/>
              </w:rPr>
            </w:pPr>
            <w:r>
              <w:rPr>
                <w:rFonts w:ascii="Sylfaen" w:hAnsi="Sylfaen" w:cs="Arial"/>
                <w:b/>
                <w:bCs/>
                <w:color w:val="000000"/>
                <w:sz w:val="18"/>
                <w:szCs w:val="18"/>
                <w:lang w:val="ka-GE"/>
              </w:rPr>
              <w:t>მიწის ნაკვეთების რაოდენობა</w:t>
            </w:r>
            <w:r w:rsidRPr="0078046E">
              <w:rPr>
                <w:rFonts w:cs="Arial"/>
                <w:b/>
                <w:bCs/>
                <w:color w:val="000000"/>
                <w:sz w:val="18"/>
                <w:szCs w:val="18"/>
              </w:rPr>
              <w:t xml:space="preserve">  </w:t>
            </w:r>
          </w:p>
        </w:tc>
        <w:tc>
          <w:tcPr>
            <w:tcW w:w="1080" w:type="dxa"/>
            <w:tcBorders>
              <w:top w:val="nil"/>
              <w:left w:val="nil"/>
              <w:bottom w:val="single" w:sz="8" w:space="0" w:color="auto"/>
              <w:right w:val="single" w:sz="8" w:space="0" w:color="auto"/>
            </w:tcBorders>
            <w:shd w:val="clear" w:color="auto" w:fill="E0E0E0"/>
            <w:vAlign w:val="center"/>
            <w:hideMark/>
          </w:tcPr>
          <w:p w14:paraId="2F323C82" w14:textId="77777777" w:rsidR="00971C8E" w:rsidRPr="0078046E" w:rsidRDefault="00971C8E" w:rsidP="00D34C21">
            <w:pPr>
              <w:jc w:val="center"/>
              <w:rPr>
                <w:rFonts w:cs="Arial"/>
                <w:b/>
                <w:bCs/>
                <w:color w:val="000000"/>
                <w:sz w:val="18"/>
                <w:szCs w:val="18"/>
              </w:rPr>
            </w:pPr>
            <w:r>
              <w:rPr>
                <w:rFonts w:ascii="Sylfaen" w:hAnsi="Sylfaen" w:cs="Arial"/>
                <w:b/>
                <w:bCs/>
                <w:color w:val="000000"/>
                <w:sz w:val="18"/>
                <w:szCs w:val="18"/>
                <w:lang w:val="ka-GE"/>
              </w:rPr>
              <w:t>ფართობი</w:t>
            </w:r>
          </w:p>
        </w:tc>
      </w:tr>
      <w:tr w:rsidR="00971C8E" w:rsidRPr="0078046E" w14:paraId="2A759648" w14:textId="77777777" w:rsidTr="00D34C21">
        <w:trPr>
          <w:trHeight w:val="351"/>
        </w:trPr>
        <w:tc>
          <w:tcPr>
            <w:tcW w:w="3212" w:type="dxa"/>
            <w:tcBorders>
              <w:top w:val="nil"/>
              <w:left w:val="single" w:sz="8" w:space="0" w:color="auto"/>
              <w:bottom w:val="single" w:sz="8" w:space="0" w:color="auto"/>
              <w:right w:val="single" w:sz="8" w:space="0" w:color="auto"/>
            </w:tcBorders>
            <w:noWrap/>
            <w:vAlign w:val="center"/>
            <w:hideMark/>
          </w:tcPr>
          <w:p w14:paraId="29211242" w14:textId="77777777" w:rsidR="00971C8E" w:rsidRPr="0078046E" w:rsidRDefault="00971C8E" w:rsidP="00D34C21">
            <w:pPr>
              <w:rPr>
                <w:rFonts w:cs="Arial"/>
                <w:color w:val="000000"/>
                <w:sz w:val="18"/>
                <w:szCs w:val="18"/>
              </w:rPr>
            </w:pPr>
            <w:r>
              <w:rPr>
                <w:rFonts w:ascii="Sylfaen" w:hAnsi="Sylfaen" w:cs="Arial"/>
                <w:color w:val="000000"/>
                <w:sz w:val="18"/>
                <w:szCs w:val="18"/>
                <w:lang w:val="ka-GE"/>
              </w:rPr>
              <w:lastRenderedPageBreak/>
              <w:t>დასახლებული პუნქტები</w:t>
            </w:r>
          </w:p>
        </w:tc>
        <w:tc>
          <w:tcPr>
            <w:tcW w:w="1217" w:type="dxa"/>
            <w:tcBorders>
              <w:top w:val="nil"/>
              <w:left w:val="nil"/>
              <w:bottom w:val="single" w:sz="8" w:space="0" w:color="auto"/>
              <w:right w:val="single" w:sz="8" w:space="0" w:color="auto"/>
            </w:tcBorders>
            <w:noWrap/>
            <w:vAlign w:val="center"/>
            <w:hideMark/>
          </w:tcPr>
          <w:p w14:paraId="74C63202" w14:textId="77777777" w:rsidR="00971C8E" w:rsidRPr="0078046E" w:rsidRDefault="00971C8E" w:rsidP="00D34C21">
            <w:pPr>
              <w:jc w:val="center"/>
              <w:rPr>
                <w:rFonts w:cs="Arial"/>
                <w:color w:val="000000"/>
                <w:sz w:val="18"/>
                <w:szCs w:val="18"/>
              </w:rPr>
            </w:pPr>
            <w:r w:rsidRPr="0078046E">
              <w:rPr>
                <w:rFonts w:cs="Arial"/>
                <w:color w:val="000000"/>
                <w:sz w:val="18"/>
                <w:szCs w:val="18"/>
              </w:rPr>
              <w:t>33</w:t>
            </w:r>
          </w:p>
        </w:tc>
        <w:tc>
          <w:tcPr>
            <w:tcW w:w="1188" w:type="dxa"/>
            <w:tcBorders>
              <w:top w:val="nil"/>
              <w:left w:val="nil"/>
              <w:bottom w:val="single" w:sz="8" w:space="0" w:color="auto"/>
              <w:right w:val="single" w:sz="8" w:space="0" w:color="auto"/>
            </w:tcBorders>
            <w:noWrap/>
            <w:vAlign w:val="center"/>
            <w:hideMark/>
          </w:tcPr>
          <w:p w14:paraId="7279743B" w14:textId="77777777" w:rsidR="00971C8E" w:rsidRPr="0078046E" w:rsidRDefault="00971C8E" w:rsidP="00D34C21">
            <w:pPr>
              <w:jc w:val="center"/>
              <w:rPr>
                <w:rFonts w:cs="Arial"/>
                <w:color w:val="000000"/>
                <w:sz w:val="18"/>
                <w:szCs w:val="18"/>
              </w:rPr>
            </w:pPr>
            <w:r w:rsidRPr="0078046E">
              <w:rPr>
                <w:rFonts w:cs="Arial"/>
                <w:color w:val="000000"/>
                <w:sz w:val="18"/>
                <w:szCs w:val="18"/>
              </w:rPr>
              <w:t>20534</w:t>
            </w:r>
          </w:p>
        </w:tc>
        <w:tc>
          <w:tcPr>
            <w:tcW w:w="1208" w:type="dxa"/>
            <w:tcBorders>
              <w:top w:val="nil"/>
              <w:left w:val="nil"/>
              <w:bottom w:val="single" w:sz="8" w:space="0" w:color="auto"/>
              <w:right w:val="single" w:sz="8" w:space="0" w:color="auto"/>
            </w:tcBorders>
            <w:noWrap/>
            <w:vAlign w:val="center"/>
            <w:hideMark/>
          </w:tcPr>
          <w:p w14:paraId="386CDEDD" w14:textId="77777777" w:rsidR="00971C8E" w:rsidRPr="0078046E" w:rsidRDefault="00971C8E" w:rsidP="00D34C21">
            <w:pPr>
              <w:jc w:val="center"/>
              <w:rPr>
                <w:rFonts w:cs="Arial"/>
                <w:color w:val="000000"/>
                <w:sz w:val="18"/>
                <w:szCs w:val="18"/>
              </w:rPr>
            </w:pPr>
            <w:r w:rsidRPr="0078046E">
              <w:rPr>
                <w:rFonts w:cs="Arial"/>
                <w:color w:val="000000"/>
                <w:sz w:val="18"/>
                <w:szCs w:val="18"/>
              </w:rPr>
              <w:t>21</w:t>
            </w:r>
          </w:p>
        </w:tc>
        <w:tc>
          <w:tcPr>
            <w:tcW w:w="1127" w:type="dxa"/>
            <w:tcBorders>
              <w:top w:val="nil"/>
              <w:left w:val="nil"/>
              <w:bottom w:val="single" w:sz="8" w:space="0" w:color="auto"/>
              <w:right w:val="single" w:sz="8" w:space="0" w:color="auto"/>
            </w:tcBorders>
            <w:noWrap/>
            <w:vAlign w:val="center"/>
            <w:hideMark/>
          </w:tcPr>
          <w:p w14:paraId="43AE9F9F" w14:textId="77777777" w:rsidR="00971C8E" w:rsidRPr="0078046E" w:rsidRDefault="00971C8E" w:rsidP="00D34C21">
            <w:pPr>
              <w:jc w:val="center"/>
              <w:rPr>
                <w:rFonts w:cs="Arial"/>
                <w:color w:val="000000"/>
                <w:sz w:val="18"/>
                <w:szCs w:val="18"/>
              </w:rPr>
            </w:pPr>
            <w:r w:rsidRPr="0078046E">
              <w:rPr>
                <w:rFonts w:cs="Arial"/>
                <w:color w:val="000000"/>
                <w:sz w:val="18"/>
                <w:szCs w:val="18"/>
              </w:rPr>
              <w:t>18107</w:t>
            </w:r>
          </w:p>
        </w:tc>
        <w:tc>
          <w:tcPr>
            <w:tcW w:w="1200" w:type="dxa"/>
            <w:tcBorders>
              <w:top w:val="nil"/>
              <w:left w:val="nil"/>
              <w:bottom w:val="single" w:sz="8" w:space="0" w:color="auto"/>
              <w:right w:val="single" w:sz="8" w:space="0" w:color="auto"/>
            </w:tcBorders>
            <w:noWrap/>
            <w:vAlign w:val="center"/>
            <w:hideMark/>
          </w:tcPr>
          <w:p w14:paraId="1D2E80B6" w14:textId="77777777" w:rsidR="00971C8E" w:rsidRPr="0078046E" w:rsidRDefault="00971C8E" w:rsidP="00D34C21">
            <w:pPr>
              <w:jc w:val="center"/>
              <w:rPr>
                <w:rFonts w:cs="Arial"/>
                <w:color w:val="000000"/>
                <w:sz w:val="18"/>
                <w:szCs w:val="18"/>
              </w:rPr>
            </w:pPr>
            <w:r w:rsidRPr="0078046E">
              <w:rPr>
                <w:rFonts w:cs="Arial"/>
                <w:color w:val="000000"/>
                <w:sz w:val="18"/>
                <w:szCs w:val="18"/>
              </w:rPr>
              <w:t>21</w:t>
            </w:r>
          </w:p>
        </w:tc>
        <w:tc>
          <w:tcPr>
            <w:tcW w:w="1080" w:type="dxa"/>
            <w:tcBorders>
              <w:top w:val="nil"/>
              <w:left w:val="nil"/>
              <w:bottom w:val="single" w:sz="8" w:space="0" w:color="auto"/>
              <w:right w:val="single" w:sz="8" w:space="0" w:color="auto"/>
            </w:tcBorders>
            <w:noWrap/>
            <w:vAlign w:val="center"/>
            <w:hideMark/>
          </w:tcPr>
          <w:p w14:paraId="1C0C99D1" w14:textId="77777777" w:rsidR="00971C8E" w:rsidRPr="0078046E" w:rsidRDefault="00971C8E" w:rsidP="00D34C21">
            <w:pPr>
              <w:jc w:val="center"/>
              <w:rPr>
                <w:rFonts w:cs="Arial"/>
                <w:color w:val="000000"/>
                <w:sz w:val="18"/>
                <w:szCs w:val="18"/>
              </w:rPr>
            </w:pPr>
            <w:r w:rsidRPr="0078046E">
              <w:rPr>
                <w:rFonts w:cs="Arial"/>
                <w:color w:val="000000"/>
                <w:sz w:val="18"/>
                <w:szCs w:val="18"/>
              </w:rPr>
              <w:t>18107</w:t>
            </w:r>
          </w:p>
        </w:tc>
      </w:tr>
      <w:tr w:rsidR="00971C8E" w:rsidRPr="0078046E" w14:paraId="03E112C3" w14:textId="77777777" w:rsidTr="00D34C21">
        <w:trPr>
          <w:trHeight w:val="349"/>
        </w:trPr>
        <w:tc>
          <w:tcPr>
            <w:tcW w:w="10232" w:type="dxa"/>
            <w:gridSpan w:val="7"/>
            <w:tcBorders>
              <w:top w:val="nil"/>
              <w:left w:val="single" w:sz="8" w:space="0" w:color="auto"/>
              <w:bottom w:val="single" w:sz="8" w:space="0" w:color="auto"/>
              <w:right w:val="single" w:sz="8" w:space="0" w:color="auto"/>
            </w:tcBorders>
            <w:noWrap/>
            <w:vAlign w:val="center"/>
            <w:hideMark/>
          </w:tcPr>
          <w:p w14:paraId="7C131A33" w14:textId="77777777" w:rsidR="00971C8E" w:rsidRPr="0078046E" w:rsidRDefault="00971C8E" w:rsidP="00D34C21">
            <w:pPr>
              <w:rPr>
                <w:rFonts w:cs="Arial"/>
                <w:b/>
                <w:color w:val="000000"/>
                <w:sz w:val="18"/>
                <w:szCs w:val="18"/>
              </w:rPr>
            </w:pPr>
            <w:r>
              <w:rPr>
                <w:rFonts w:ascii="Sylfaen" w:hAnsi="Sylfaen" w:cs="Arial"/>
                <w:b/>
                <w:color w:val="000000"/>
                <w:sz w:val="18"/>
                <w:szCs w:val="18"/>
                <w:lang w:val="ka-GE"/>
              </w:rPr>
              <w:t>აქედან ნგრევას ექვემდებარება</w:t>
            </w:r>
            <w:r w:rsidRPr="0078046E">
              <w:rPr>
                <w:rFonts w:cs="Arial"/>
                <w:b/>
                <w:color w:val="000000"/>
                <w:sz w:val="18"/>
                <w:szCs w:val="18"/>
              </w:rPr>
              <w:t>:</w:t>
            </w:r>
          </w:p>
        </w:tc>
      </w:tr>
      <w:tr w:rsidR="00971C8E" w:rsidRPr="0078046E" w14:paraId="7813C4CE" w14:textId="77777777" w:rsidTr="00D34C21">
        <w:trPr>
          <w:trHeight w:val="351"/>
        </w:trPr>
        <w:tc>
          <w:tcPr>
            <w:tcW w:w="3212" w:type="dxa"/>
            <w:tcBorders>
              <w:top w:val="nil"/>
              <w:left w:val="single" w:sz="8" w:space="0" w:color="auto"/>
              <w:bottom w:val="single" w:sz="8" w:space="0" w:color="auto"/>
              <w:right w:val="single" w:sz="8" w:space="0" w:color="auto"/>
            </w:tcBorders>
            <w:noWrap/>
            <w:vAlign w:val="center"/>
            <w:hideMark/>
          </w:tcPr>
          <w:p w14:paraId="6C997C9B" w14:textId="77777777" w:rsidR="00971C8E" w:rsidRPr="0078046E" w:rsidRDefault="00971C8E" w:rsidP="00D34C21">
            <w:pPr>
              <w:rPr>
                <w:rFonts w:cs="Arial"/>
                <w:color w:val="000000"/>
                <w:sz w:val="18"/>
                <w:szCs w:val="18"/>
              </w:rPr>
            </w:pPr>
            <w:r>
              <w:rPr>
                <w:rFonts w:ascii="Sylfaen" w:hAnsi="Sylfaen" w:cs="Arial"/>
                <w:color w:val="000000"/>
                <w:sz w:val="18"/>
                <w:szCs w:val="18"/>
                <w:lang w:val="ka-GE"/>
              </w:rPr>
              <w:t>სახლები/ ფიზიკური გადაადგილება</w:t>
            </w:r>
          </w:p>
        </w:tc>
        <w:tc>
          <w:tcPr>
            <w:tcW w:w="1217" w:type="dxa"/>
            <w:tcBorders>
              <w:top w:val="nil"/>
              <w:left w:val="nil"/>
              <w:bottom w:val="single" w:sz="8" w:space="0" w:color="auto"/>
              <w:right w:val="single" w:sz="8" w:space="0" w:color="auto"/>
            </w:tcBorders>
            <w:noWrap/>
            <w:vAlign w:val="center"/>
            <w:hideMark/>
          </w:tcPr>
          <w:p w14:paraId="574E483C" w14:textId="77777777" w:rsidR="00971C8E" w:rsidRPr="0078046E" w:rsidRDefault="00971C8E" w:rsidP="00D34C21">
            <w:pPr>
              <w:jc w:val="center"/>
              <w:rPr>
                <w:rFonts w:cs="Arial"/>
                <w:color w:val="000000"/>
                <w:sz w:val="18"/>
                <w:szCs w:val="18"/>
              </w:rPr>
            </w:pPr>
            <w:r w:rsidRPr="0078046E">
              <w:rPr>
                <w:rFonts w:cs="Arial"/>
                <w:color w:val="000000"/>
                <w:sz w:val="18"/>
                <w:szCs w:val="18"/>
              </w:rPr>
              <w:t>3</w:t>
            </w:r>
          </w:p>
        </w:tc>
        <w:tc>
          <w:tcPr>
            <w:tcW w:w="1188" w:type="dxa"/>
            <w:tcBorders>
              <w:top w:val="nil"/>
              <w:left w:val="nil"/>
              <w:bottom w:val="single" w:sz="8" w:space="0" w:color="auto"/>
              <w:right w:val="single" w:sz="8" w:space="0" w:color="auto"/>
            </w:tcBorders>
            <w:noWrap/>
            <w:vAlign w:val="center"/>
            <w:hideMark/>
          </w:tcPr>
          <w:p w14:paraId="7135FE6F" w14:textId="77777777" w:rsidR="00971C8E" w:rsidRPr="0078046E" w:rsidRDefault="00971C8E" w:rsidP="00D34C21">
            <w:pPr>
              <w:jc w:val="center"/>
              <w:rPr>
                <w:rFonts w:cs="Arial"/>
                <w:color w:val="000000"/>
                <w:sz w:val="18"/>
                <w:szCs w:val="18"/>
              </w:rPr>
            </w:pPr>
            <w:r w:rsidRPr="0078046E">
              <w:rPr>
                <w:rFonts w:cs="Arial"/>
                <w:color w:val="000000"/>
                <w:sz w:val="18"/>
                <w:szCs w:val="18"/>
              </w:rPr>
              <w:t>450</w:t>
            </w:r>
          </w:p>
        </w:tc>
        <w:tc>
          <w:tcPr>
            <w:tcW w:w="1208" w:type="dxa"/>
            <w:tcBorders>
              <w:top w:val="nil"/>
              <w:left w:val="nil"/>
              <w:bottom w:val="single" w:sz="8" w:space="0" w:color="auto"/>
              <w:right w:val="single" w:sz="8" w:space="0" w:color="auto"/>
            </w:tcBorders>
            <w:noWrap/>
            <w:vAlign w:val="center"/>
            <w:hideMark/>
          </w:tcPr>
          <w:p w14:paraId="3F6EE3F5" w14:textId="77777777" w:rsidR="00971C8E" w:rsidRPr="0078046E" w:rsidRDefault="00971C8E" w:rsidP="00D34C21">
            <w:pPr>
              <w:jc w:val="center"/>
              <w:rPr>
                <w:rFonts w:cs="Arial"/>
                <w:sz w:val="18"/>
                <w:szCs w:val="18"/>
              </w:rPr>
            </w:pPr>
            <w:r w:rsidRPr="0078046E">
              <w:rPr>
                <w:rFonts w:cs="Arial"/>
                <w:sz w:val="18"/>
                <w:szCs w:val="18"/>
              </w:rPr>
              <w:t>10</w:t>
            </w:r>
          </w:p>
        </w:tc>
        <w:tc>
          <w:tcPr>
            <w:tcW w:w="1127" w:type="dxa"/>
            <w:tcBorders>
              <w:top w:val="nil"/>
              <w:left w:val="nil"/>
              <w:bottom w:val="single" w:sz="8" w:space="0" w:color="auto"/>
              <w:right w:val="single" w:sz="8" w:space="0" w:color="auto"/>
            </w:tcBorders>
            <w:noWrap/>
            <w:vAlign w:val="center"/>
            <w:hideMark/>
          </w:tcPr>
          <w:p w14:paraId="1C2BFCC2" w14:textId="77777777" w:rsidR="00971C8E" w:rsidRPr="0078046E" w:rsidRDefault="00971C8E" w:rsidP="00D34C21">
            <w:pPr>
              <w:jc w:val="center"/>
              <w:rPr>
                <w:rFonts w:cs="Arial"/>
                <w:sz w:val="18"/>
                <w:szCs w:val="18"/>
              </w:rPr>
            </w:pPr>
            <w:r w:rsidRPr="0078046E">
              <w:rPr>
                <w:rFonts w:cs="Arial"/>
                <w:sz w:val="18"/>
                <w:szCs w:val="18"/>
              </w:rPr>
              <w:t>1512</w:t>
            </w:r>
          </w:p>
        </w:tc>
        <w:tc>
          <w:tcPr>
            <w:tcW w:w="1200" w:type="dxa"/>
            <w:tcBorders>
              <w:top w:val="nil"/>
              <w:left w:val="nil"/>
              <w:bottom w:val="single" w:sz="8" w:space="0" w:color="auto"/>
              <w:right w:val="single" w:sz="8" w:space="0" w:color="auto"/>
            </w:tcBorders>
            <w:noWrap/>
            <w:vAlign w:val="center"/>
            <w:hideMark/>
          </w:tcPr>
          <w:p w14:paraId="5E8C4E47" w14:textId="77777777" w:rsidR="00971C8E" w:rsidRPr="0078046E" w:rsidRDefault="00971C8E" w:rsidP="00D34C21">
            <w:pPr>
              <w:jc w:val="center"/>
              <w:rPr>
                <w:rFonts w:cs="Arial"/>
                <w:sz w:val="18"/>
                <w:szCs w:val="18"/>
              </w:rPr>
            </w:pPr>
            <w:r w:rsidRPr="0078046E">
              <w:rPr>
                <w:rFonts w:cs="Arial"/>
                <w:sz w:val="18"/>
                <w:szCs w:val="18"/>
              </w:rPr>
              <w:t>10</w:t>
            </w:r>
          </w:p>
        </w:tc>
        <w:tc>
          <w:tcPr>
            <w:tcW w:w="1080" w:type="dxa"/>
            <w:tcBorders>
              <w:top w:val="nil"/>
              <w:left w:val="nil"/>
              <w:bottom w:val="single" w:sz="8" w:space="0" w:color="auto"/>
              <w:right w:val="single" w:sz="8" w:space="0" w:color="auto"/>
            </w:tcBorders>
            <w:noWrap/>
            <w:vAlign w:val="center"/>
            <w:hideMark/>
          </w:tcPr>
          <w:p w14:paraId="47A3F5A6" w14:textId="77777777" w:rsidR="00971C8E" w:rsidRPr="0078046E" w:rsidRDefault="00971C8E" w:rsidP="00D34C21">
            <w:pPr>
              <w:jc w:val="center"/>
              <w:rPr>
                <w:rFonts w:cs="Arial"/>
                <w:sz w:val="18"/>
                <w:szCs w:val="18"/>
              </w:rPr>
            </w:pPr>
            <w:r w:rsidRPr="0078046E">
              <w:rPr>
                <w:rFonts w:cs="Arial"/>
                <w:sz w:val="18"/>
                <w:szCs w:val="18"/>
              </w:rPr>
              <w:t>1512</w:t>
            </w:r>
          </w:p>
        </w:tc>
      </w:tr>
      <w:tr w:rsidR="00971C8E" w:rsidRPr="0078046E" w14:paraId="651C3AC4" w14:textId="77777777" w:rsidTr="00D34C21">
        <w:trPr>
          <w:trHeight w:val="178"/>
        </w:trPr>
        <w:tc>
          <w:tcPr>
            <w:tcW w:w="3212" w:type="dxa"/>
            <w:tcBorders>
              <w:top w:val="nil"/>
              <w:left w:val="single" w:sz="8" w:space="0" w:color="auto"/>
              <w:bottom w:val="single" w:sz="8" w:space="0" w:color="auto"/>
              <w:right w:val="single" w:sz="8" w:space="0" w:color="auto"/>
            </w:tcBorders>
            <w:noWrap/>
            <w:vAlign w:val="center"/>
            <w:hideMark/>
          </w:tcPr>
          <w:p w14:paraId="29721B6F" w14:textId="77777777" w:rsidR="00971C8E" w:rsidRPr="00060B5F" w:rsidRDefault="00971C8E" w:rsidP="00D34C21">
            <w:pPr>
              <w:rPr>
                <w:rFonts w:ascii="Sylfaen" w:hAnsi="Sylfaen" w:cs="Arial"/>
                <w:color w:val="000000"/>
                <w:sz w:val="18"/>
                <w:szCs w:val="18"/>
                <w:lang w:val="ka-GE"/>
              </w:rPr>
            </w:pPr>
            <w:r>
              <w:rPr>
                <w:rFonts w:ascii="Sylfaen" w:hAnsi="Sylfaen" w:cs="Arial"/>
                <w:bCs/>
                <w:color w:val="000000"/>
                <w:sz w:val="18"/>
                <w:szCs w:val="18"/>
                <w:lang w:val="ka-GE"/>
              </w:rPr>
              <w:t>დამატებითი ნაგებობები</w:t>
            </w:r>
          </w:p>
        </w:tc>
        <w:tc>
          <w:tcPr>
            <w:tcW w:w="1217" w:type="dxa"/>
            <w:tcBorders>
              <w:top w:val="nil"/>
              <w:left w:val="nil"/>
              <w:bottom w:val="single" w:sz="8" w:space="0" w:color="auto"/>
              <w:right w:val="single" w:sz="8" w:space="0" w:color="auto"/>
            </w:tcBorders>
            <w:noWrap/>
            <w:vAlign w:val="center"/>
            <w:hideMark/>
          </w:tcPr>
          <w:p w14:paraId="199329E6" w14:textId="77777777" w:rsidR="00971C8E" w:rsidRPr="0078046E" w:rsidRDefault="00971C8E" w:rsidP="00D34C21">
            <w:pPr>
              <w:jc w:val="center"/>
              <w:rPr>
                <w:rFonts w:cs="Arial"/>
                <w:color w:val="000000"/>
                <w:sz w:val="18"/>
                <w:szCs w:val="18"/>
              </w:rPr>
            </w:pPr>
            <w:r w:rsidRPr="0078046E">
              <w:rPr>
                <w:rFonts w:cs="Arial"/>
                <w:color w:val="000000"/>
                <w:sz w:val="18"/>
                <w:szCs w:val="18"/>
              </w:rPr>
              <w:t>9</w:t>
            </w:r>
          </w:p>
        </w:tc>
        <w:tc>
          <w:tcPr>
            <w:tcW w:w="1188" w:type="dxa"/>
            <w:tcBorders>
              <w:top w:val="nil"/>
              <w:left w:val="nil"/>
              <w:bottom w:val="single" w:sz="8" w:space="0" w:color="auto"/>
              <w:right w:val="single" w:sz="8" w:space="0" w:color="auto"/>
            </w:tcBorders>
            <w:noWrap/>
            <w:vAlign w:val="center"/>
            <w:hideMark/>
          </w:tcPr>
          <w:p w14:paraId="3DBB155A" w14:textId="77777777" w:rsidR="00971C8E" w:rsidRPr="0078046E" w:rsidRDefault="00971C8E" w:rsidP="00D34C21">
            <w:pPr>
              <w:jc w:val="center"/>
              <w:rPr>
                <w:rFonts w:cs="Arial"/>
                <w:color w:val="000000"/>
                <w:sz w:val="18"/>
                <w:szCs w:val="18"/>
              </w:rPr>
            </w:pPr>
            <w:r w:rsidRPr="0078046E">
              <w:rPr>
                <w:rFonts w:cs="Arial"/>
                <w:color w:val="000000"/>
                <w:sz w:val="18"/>
                <w:szCs w:val="18"/>
              </w:rPr>
              <w:t>929</w:t>
            </w:r>
          </w:p>
        </w:tc>
        <w:tc>
          <w:tcPr>
            <w:tcW w:w="1208" w:type="dxa"/>
            <w:tcBorders>
              <w:top w:val="nil"/>
              <w:left w:val="nil"/>
              <w:bottom w:val="single" w:sz="8" w:space="0" w:color="auto"/>
              <w:right w:val="single" w:sz="8" w:space="0" w:color="auto"/>
            </w:tcBorders>
            <w:noWrap/>
            <w:vAlign w:val="center"/>
            <w:hideMark/>
          </w:tcPr>
          <w:p w14:paraId="4D2EEB65" w14:textId="77777777" w:rsidR="00971C8E" w:rsidRPr="0078046E" w:rsidRDefault="00971C8E" w:rsidP="00D34C21">
            <w:pPr>
              <w:jc w:val="center"/>
              <w:rPr>
                <w:rFonts w:cs="Arial"/>
                <w:sz w:val="18"/>
                <w:szCs w:val="18"/>
              </w:rPr>
            </w:pPr>
            <w:r w:rsidRPr="0078046E">
              <w:rPr>
                <w:rFonts w:cs="Arial"/>
                <w:sz w:val="18"/>
                <w:szCs w:val="18"/>
              </w:rPr>
              <w:t>13</w:t>
            </w:r>
          </w:p>
        </w:tc>
        <w:tc>
          <w:tcPr>
            <w:tcW w:w="1127" w:type="dxa"/>
            <w:tcBorders>
              <w:top w:val="nil"/>
              <w:left w:val="nil"/>
              <w:bottom w:val="single" w:sz="8" w:space="0" w:color="auto"/>
              <w:right w:val="single" w:sz="8" w:space="0" w:color="auto"/>
            </w:tcBorders>
            <w:noWrap/>
            <w:vAlign w:val="center"/>
            <w:hideMark/>
          </w:tcPr>
          <w:p w14:paraId="1C096965" w14:textId="77777777" w:rsidR="00971C8E" w:rsidRPr="0078046E" w:rsidRDefault="00971C8E" w:rsidP="00D34C21">
            <w:pPr>
              <w:jc w:val="center"/>
              <w:rPr>
                <w:rFonts w:cs="Arial"/>
                <w:sz w:val="18"/>
                <w:szCs w:val="18"/>
              </w:rPr>
            </w:pPr>
            <w:r w:rsidRPr="0078046E">
              <w:rPr>
                <w:rFonts w:cs="Arial"/>
                <w:sz w:val="18"/>
                <w:szCs w:val="18"/>
              </w:rPr>
              <w:t>1246</w:t>
            </w:r>
          </w:p>
        </w:tc>
        <w:tc>
          <w:tcPr>
            <w:tcW w:w="1200" w:type="dxa"/>
            <w:tcBorders>
              <w:top w:val="nil"/>
              <w:left w:val="nil"/>
              <w:bottom w:val="single" w:sz="8" w:space="0" w:color="auto"/>
              <w:right w:val="single" w:sz="8" w:space="0" w:color="auto"/>
            </w:tcBorders>
            <w:noWrap/>
            <w:vAlign w:val="center"/>
            <w:hideMark/>
          </w:tcPr>
          <w:p w14:paraId="301D0A27" w14:textId="77777777" w:rsidR="00971C8E" w:rsidRPr="0078046E" w:rsidRDefault="00971C8E" w:rsidP="00D34C21">
            <w:pPr>
              <w:jc w:val="center"/>
              <w:rPr>
                <w:rFonts w:cs="Arial"/>
                <w:sz w:val="18"/>
                <w:szCs w:val="18"/>
              </w:rPr>
            </w:pPr>
            <w:r w:rsidRPr="0078046E">
              <w:rPr>
                <w:rFonts w:cs="Arial"/>
                <w:sz w:val="18"/>
                <w:szCs w:val="18"/>
              </w:rPr>
              <w:t>13</w:t>
            </w:r>
          </w:p>
        </w:tc>
        <w:tc>
          <w:tcPr>
            <w:tcW w:w="1080" w:type="dxa"/>
            <w:tcBorders>
              <w:top w:val="nil"/>
              <w:left w:val="nil"/>
              <w:bottom w:val="single" w:sz="8" w:space="0" w:color="auto"/>
              <w:right w:val="single" w:sz="8" w:space="0" w:color="auto"/>
            </w:tcBorders>
            <w:noWrap/>
            <w:vAlign w:val="center"/>
            <w:hideMark/>
          </w:tcPr>
          <w:p w14:paraId="651B586D" w14:textId="77777777" w:rsidR="00971C8E" w:rsidRPr="0078046E" w:rsidRDefault="00971C8E" w:rsidP="00D34C21">
            <w:pPr>
              <w:jc w:val="center"/>
              <w:rPr>
                <w:rFonts w:cs="Arial"/>
                <w:sz w:val="18"/>
                <w:szCs w:val="18"/>
              </w:rPr>
            </w:pPr>
            <w:r w:rsidRPr="0078046E">
              <w:rPr>
                <w:rFonts w:cs="Arial"/>
                <w:sz w:val="18"/>
                <w:szCs w:val="18"/>
              </w:rPr>
              <w:t>1246</w:t>
            </w:r>
          </w:p>
        </w:tc>
      </w:tr>
      <w:tr w:rsidR="00971C8E" w:rsidRPr="0078046E" w14:paraId="1995A9B4" w14:textId="77777777" w:rsidTr="00D34C21">
        <w:trPr>
          <w:trHeight w:val="351"/>
        </w:trPr>
        <w:tc>
          <w:tcPr>
            <w:tcW w:w="3212" w:type="dxa"/>
            <w:tcBorders>
              <w:top w:val="single" w:sz="8" w:space="0" w:color="auto"/>
              <w:left w:val="single" w:sz="8" w:space="0" w:color="auto"/>
              <w:bottom w:val="single" w:sz="8" w:space="0" w:color="auto"/>
              <w:right w:val="single" w:sz="8" w:space="0" w:color="auto"/>
            </w:tcBorders>
            <w:noWrap/>
            <w:vAlign w:val="center"/>
            <w:hideMark/>
          </w:tcPr>
          <w:p w14:paraId="070763FF" w14:textId="77777777" w:rsidR="00971C8E" w:rsidRPr="00060B5F" w:rsidRDefault="00971C8E" w:rsidP="00D34C21">
            <w:pPr>
              <w:rPr>
                <w:rFonts w:ascii="Sylfaen" w:hAnsi="Sylfaen" w:cs="Arial"/>
                <w:bCs/>
                <w:color w:val="000000"/>
                <w:sz w:val="18"/>
                <w:szCs w:val="18"/>
                <w:lang w:val="ka-GE"/>
              </w:rPr>
            </w:pPr>
            <w:r w:rsidRPr="00060B5F">
              <w:rPr>
                <w:rFonts w:ascii="Sylfaen" w:hAnsi="Sylfaen" w:cs="Arial"/>
                <w:bCs/>
                <w:color w:val="000000"/>
                <w:sz w:val="18"/>
                <w:szCs w:val="18"/>
                <w:lang w:val="ka-GE"/>
              </w:rPr>
              <w:t>სახლ-კარის დაკარგვის ალბათობა</w:t>
            </w:r>
          </w:p>
        </w:tc>
        <w:tc>
          <w:tcPr>
            <w:tcW w:w="1217" w:type="dxa"/>
            <w:tcBorders>
              <w:top w:val="single" w:sz="8" w:space="0" w:color="auto"/>
              <w:left w:val="nil"/>
              <w:bottom w:val="single" w:sz="8" w:space="0" w:color="auto"/>
              <w:right w:val="single" w:sz="8" w:space="0" w:color="auto"/>
            </w:tcBorders>
            <w:noWrap/>
            <w:vAlign w:val="center"/>
            <w:hideMark/>
          </w:tcPr>
          <w:p w14:paraId="4193EB9A" w14:textId="77777777" w:rsidR="00971C8E" w:rsidRPr="0078046E" w:rsidRDefault="00971C8E" w:rsidP="00D34C21">
            <w:pPr>
              <w:jc w:val="center"/>
              <w:rPr>
                <w:rFonts w:cs="Arial"/>
                <w:b/>
                <w:bCs/>
                <w:color w:val="000000"/>
                <w:sz w:val="18"/>
                <w:szCs w:val="18"/>
              </w:rPr>
            </w:pPr>
            <w:r w:rsidRPr="0078046E">
              <w:rPr>
                <w:rFonts w:cs="Arial"/>
                <w:b/>
                <w:bCs/>
                <w:color w:val="000000"/>
                <w:sz w:val="18"/>
                <w:szCs w:val="18"/>
              </w:rPr>
              <w:t>3</w:t>
            </w:r>
          </w:p>
        </w:tc>
        <w:tc>
          <w:tcPr>
            <w:tcW w:w="1188" w:type="dxa"/>
            <w:tcBorders>
              <w:top w:val="single" w:sz="8" w:space="0" w:color="auto"/>
              <w:left w:val="nil"/>
              <w:bottom w:val="single" w:sz="8" w:space="0" w:color="auto"/>
              <w:right w:val="single" w:sz="8" w:space="0" w:color="auto"/>
            </w:tcBorders>
            <w:noWrap/>
            <w:vAlign w:val="center"/>
          </w:tcPr>
          <w:p w14:paraId="62C25519" w14:textId="77777777" w:rsidR="00971C8E" w:rsidRPr="0078046E" w:rsidRDefault="00971C8E" w:rsidP="00D34C21">
            <w:pPr>
              <w:jc w:val="center"/>
              <w:rPr>
                <w:rFonts w:cs="Arial"/>
                <w:b/>
                <w:bCs/>
                <w:color w:val="000000"/>
                <w:sz w:val="18"/>
                <w:szCs w:val="18"/>
              </w:rPr>
            </w:pPr>
          </w:p>
        </w:tc>
        <w:tc>
          <w:tcPr>
            <w:tcW w:w="1208" w:type="dxa"/>
            <w:tcBorders>
              <w:top w:val="single" w:sz="8" w:space="0" w:color="auto"/>
              <w:left w:val="nil"/>
              <w:bottom w:val="single" w:sz="8" w:space="0" w:color="auto"/>
              <w:right w:val="single" w:sz="8" w:space="0" w:color="auto"/>
            </w:tcBorders>
            <w:noWrap/>
            <w:vAlign w:val="center"/>
            <w:hideMark/>
          </w:tcPr>
          <w:p w14:paraId="54479E56" w14:textId="77777777" w:rsidR="00971C8E" w:rsidRPr="0078046E" w:rsidRDefault="00971C8E" w:rsidP="00D34C21">
            <w:pPr>
              <w:jc w:val="center"/>
              <w:rPr>
                <w:rFonts w:cs="Arial"/>
                <w:b/>
                <w:bCs/>
                <w:color w:val="000000"/>
                <w:sz w:val="18"/>
                <w:szCs w:val="18"/>
              </w:rPr>
            </w:pPr>
            <w:r w:rsidRPr="0078046E">
              <w:rPr>
                <w:rFonts w:cs="Arial"/>
                <w:b/>
                <w:bCs/>
                <w:color w:val="000000"/>
                <w:sz w:val="18"/>
                <w:szCs w:val="18"/>
              </w:rPr>
              <w:t>10</w:t>
            </w:r>
          </w:p>
        </w:tc>
        <w:tc>
          <w:tcPr>
            <w:tcW w:w="1127" w:type="dxa"/>
            <w:tcBorders>
              <w:top w:val="single" w:sz="8" w:space="0" w:color="auto"/>
              <w:left w:val="nil"/>
              <w:bottom w:val="single" w:sz="8" w:space="0" w:color="auto"/>
              <w:right w:val="single" w:sz="8" w:space="0" w:color="auto"/>
            </w:tcBorders>
            <w:noWrap/>
            <w:vAlign w:val="center"/>
          </w:tcPr>
          <w:p w14:paraId="5A92258D" w14:textId="77777777" w:rsidR="00971C8E" w:rsidRPr="0078046E" w:rsidRDefault="00971C8E" w:rsidP="00D34C21">
            <w:pPr>
              <w:jc w:val="center"/>
              <w:rPr>
                <w:rFonts w:cs="Arial"/>
                <w:b/>
                <w:bCs/>
                <w:color w:val="000000"/>
                <w:sz w:val="18"/>
                <w:szCs w:val="18"/>
              </w:rPr>
            </w:pPr>
          </w:p>
        </w:tc>
        <w:tc>
          <w:tcPr>
            <w:tcW w:w="1200" w:type="dxa"/>
            <w:tcBorders>
              <w:top w:val="single" w:sz="8" w:space="0" w:color="auto"/>
              <w:left w:val="nil"/>
              <w:bottom w:val="single" w:sz="8" w:space="0" w:color="auto"/>
              <w:right w:val="single" w:sz="8" w:space="0" w:color="auto"/>
            </w:tcBorders>
            <w:noWrap/>
            <w:vAlign w:val="center"/>
            <w:hideMark/>
          </w:tcPr>
          <w:p w14:paraId="33B78A09" w14:textId="77777777" w:rsidR="00971C8E" w:rsidRPr="0078046E" w:rsidRDefault="00971C8E" w:rsidP="00D34C21">
            <w:pPr>
              <w:jc w:val="center"/>
              <w:rPr>
                <w:rFonts w:cs="Arial"/>
                <w:b/>
                <w:bCs/>
                <w:color w:val="000000"/>
                <w:sz w:val="18"/>
                <w:szCs w:val="18"/>
              </w:rPr>
            </w:pPr>
            <w:r w:rsidRPr="0078046E">
              <w:rPr>
                <w:rFonts w:cs="Arial"/>
                <w:b/>
                <w:bCs/>
                <w:color w:val="000000"/>
                <w:sz w:val="18"/>
                <w:szCs w:val="18"/>
              </w:rPr>
              <w:t>10</w:t>
            </w:r>
          </w:p>
        </w:tc>
        <w:tc>
          <w:tcPr>
            <w:tcW w:w="1080" w:type="dxa"/>
            <w:tcBorders>
              <w:top w:val="single" w:sz="8" w:space="0" w:color="auto"/>
              <w:left w:val="nil"/>
              <w:bottom w:val="single" w:sz="8" w:space="0" w:color="auto"/>
              <w:right w:val="single" w:sz="8" w:space="0" w:color="auto"/>
            </w:tcBorders>
            <w:noWrap/>
            <w:vAlign w:val="center"/>
          </w:tcPr>
          <w:p w14:paraId="23373FC2" w14:textId="77777777" w:rsidR="00971C8E" w:rsidRPr="0078046E" w:rsidRDefault="00971C8E" w:rsidP="00D34C21">
            <w:pPr>
              <w:jc w:val="center"/>
              <w:rPr>
                <w:rFonts w:cs="Arial"/>
                <w:b/>
                <w:bCs/>
                <w:color w:val="000000"/>
                <w:sz w:val="18"/>
                <w:szCs w:val="18"/>
              </w:rPr>
            </w:pPr>
          </w:p>
        </w:tc>
      </w:tr>
    </w:tbl>
    <w:p w14:paraId="1D9C2906" w14:textId="77777777" w:rsidR="00971C8E" w:rsidRDefault="00971C8E" w:rsidP="00971C8E">
      <w:pPr>
        <w:rPr>
          <w:rFonts w:cs="Arial"/>
          <w:u w:val="single"/>
        </w:rPr>
      </w:pPr>
    </w:p>
    <w:p w14:paraId="3DBA8C8B" w14:textId="77777777" w:rsidR="00DA2E66" w:rsidRPr="00A220D4" w:rsidRDefault="00DA2E66" w:rsidP="00A220D4">
      <w:pPr>
        <w:pStyle w:val="EIAheading2"/>
      </w:pPr>
      <w:bookmarkStart w:id="37" w:name="_Toc496611053"/>
      <w:bookmarkStart w:id="38" w:name="_Toc1581487"/>
      <w:r w:rsidRPr="00A220D4">
        <w:t xml:space="preserve">3.2 </w:t>
      </w:r>
      <w:r w:rsidRPr="00A220D4">
        <w:rPr>
          <w:rFonts w:ascii="Sylfaen" w:hAnsi="Sylfaen" w:cs="Sylfaen"/>
        </w:rPr>
        <w:t>ალტერნატიული</w:t>
      </w:r>
      <w:r w:rsidRPr="00A220D4">
        <w:t xml:space="preserve"> </w:t>
      </w:r>
      <w:r w:rsidR="00A37409" w:rsidRPr="00A220D4">
        <w:rPr>
          <w:rFonts w:ascii="Sylfaen" w:hAnsi="Sylfaen" w:cs="Sylfaen"/>
        </w:rPr>
        <w:t>განლაგებების</w:t>
      </w:r>
      <w:r w:rsidRPr="00A220D4">
        <w:t xml:space="preserve"> </w:t>
      </w:r>
      <w:r w:rsidRPr="00A220D4">
        <w:rPr>
          <w:rFonts w:ascii="Sylfaen" w:hAnsi="Sylfaen" w:cs="Sylfaen"/>
        </w:rPr>
        <w:t>შედარებითი</w:t>
      </w:r>
      <w:r w:rsidRPr="00A220D4">
        <w:t xml:space="preserve"> </w:t>
      </w:r>
      <w:r w:rsidRPr="00A220D4">
        <w:rPr>
          <w:rFonts w:ascii="Sylfaen" w:hAnsi="Sylfaen" w:cs="Sylfaen"/>
        </w:rPr>
        <w:t>ანალიზი</w:t>
      </w:r>
      <w:bookmarkEnd w:id="37"/>
      <w:bookmarkEnd w:id="38"/>
    </w:p>
    <w:p w14:paraId="38AE8AB6" w14:textId="77777777" w:rsidR="00DA2E66" w:rsidRPr="001A72AA" w:rsidRDefault="00DA2E66" w:rsidP="002B56CC">
      <w:pPr>
        <w:spacing w:before="200" w:after="200"/>
        <w:rPr>
          <w:rFonts w:ascii="Sylfaen" w:hAnsi="Sylfaen"/>
          <w:lang w:val="it-IT"/>
        </w:rPr>
      </w:pPr>
      <w:r w:rsidRPr="001A72AA">
        <w:rPr>
          <w:rFonts w:ascii="Sylfaen" w:hAnsi="Sylfaen"/>
          <w:lang w:val="en-US"/>
        </w:rPr>
        <w:t>მთლიანობაში</w:t>
      </w:r>
      <w:r w:rsidR="00A37409" w:rsidRPr="001A72AA">
        <w:rPr>
          <w:rFonts w:ascii="Sylfaen" w:hAnsi="Sylfaen"/>
          <w:lang w:val="ka-GE"/>
        </w:rPr>
        <w:t>,</w:t>
      </w:r>
      <w:r w:rsidRPr="001A72AA">
        <w:rPr>
          <w:rFonts w:ascii="Sylfaen" w:hAnsi="Sylfaen"/>
          <w:lang w:val="it-IT"/>
        </w:rPr>
        <w:t xml:space="preserve"> </w:t>
      </w:r>
      <w:r w:rsidR="00A37409" w:rsidRPr="001A72AA">
        <w:rPr>
          <w:rFonts w:ascii="Sylfaen" w:hAnsi="Sylfaen"/>
          <w:lang w:val="ka-GE"/>
        </w:rPr>
        <w:t>განლაგებების</w:t>
      </w:r>
      <w:r w:rsidRPr="001A72AA">
        <w:rPr>
          <w:rFonts w:ascii="Sylfaen" w:hAnsi="Sylfaen"/>
          <w:lang w:val="it-IT"/>
        </w:rPr>
        <w:t xml:space="preserve"> </w:t>
      </w:r>
      <w:r w:rsidRPr="001A72AA">
        <w:rPr>
          <w:rFonts w:ascii="Sylfaen" w:hAnsi="Sylfaen"/>
          <w:lang w:val="en-US"/>
        </w:rPr>
        <w:t>შერჩეული</w:t>
      </w:r>
      <w:r w:rsidRPr="001A72AA">
        <w:rPr>
          <w:rFonts w:ascii="Sylfaen" w:hAnsi="Sylfaen"/>
          <w:lang w:val="it-IT"/>
        </w:rPr>
        <w:t xml:space="preserve"> </w:t>
      </w:r>
      <w:r w:rsidRPr="001A72AA">
        <w:rPr>
          <w:rFonts w:ascii="Sylfaen" w:hAnsi="Sylfaen"/>
          <w:lang w:val="en-US"/>
        </w:rPr>
        <w:t>ალტერნატივები</w:t>
      </w:r>
      <w:r w:rsidRPr="001A72AA">
        <w:rPr>
          <w:rFonts w:ascii="Sylfaen" w:hAnsi="Sylfaen"/>
          <w:lang w:val="it-IT"/>
        </w:rPr>
        <w:t xml:space="preserve"> </w:t>
      </w:r>
      <w:r w:rsidRPr="001A72AA">
        <w:rPr>
          <w:rFonts w:ascii="Sylfaen" w:hAnsi="Sylfaen"/>
          <w:lang w:val="en-US"/>
        </w:rPr>
        <w:t>მიმართულია</w:t>
      </w:r>
      <w:r w:rsidRPr="001A72AA">
        <w:rPr>
          <w:rFonts w:ascii="Sylfaen" w:hAnsi="Sylfaen"/>
          <w:lang w:val="it-IT"/>
        </w:rPr>
        <w:t xml:space="preserve"> </w:t>
      </w:r>
      <w:r w:rsidRPr="001A72AA">
        <w:rPr>
          <w:rFonts w:ascii="Sylfaen" w:hAnsi="Sylfaen"/>
          <w:lang w:val="en-US"/>
        </w:rPr>
        <w:t>სოფლების</w:t>
      </w:r>
      <w:r w:rsidRPr="001A72AA">
        <w:rPr>
          <w:rFonts w:ascii="Sylfaen" w:hAnsi="Sylfaen"/>
          <w:lang w:val="it-IT"/>
        </w:rPr>
        <w:t xml:space="preserve"> </w:t>
      </w:r>
      <w:r w:rsidR="00A220D4" w:rsidRPr="001A72AA">
        <w:rPr>
          <w:rFonts w:ascii="Sylfaen" w:hAnsi="Sylfaen"/>
          <w:lang w:val="ka-GE"/>
        </w:rPr>
        <w:t>შემოსავლელ</w:t>
      </w:r>
      <w:r w:rsidR="00A37409" w:rsidRPr="001A72AA">
        <w:rPr>
          <w:rFonts w:ascii="Sylfaen" w:hAnsi="Sylfaen"/>
          <w:lang w:val="it-IT"/>
        </w:rPr>
        <w:t xml:space="preserve"> </w:t>
      </w:r>
      <w:r w:rsidRPr="001A72AA">
        <w:rPr>
          <w:rFonts w:ascii="Sylfaen" w:hAnsi="Sylfaen"/>
          <w:lang w:val="it-IT"/>
        </w:rPr>
        <w:t>საკვლევი გზის გასწვრივ, ასევე მცდელობებია  სახნავ მი</w:t>
      </w:r>
      <w:r w:rsidR="00A37409" w:rsidRPr="001A72AA">
        <w:rPr>
          <w:rFonts w:ascii="Sylfaen" w:hAnsi="Sylfaen"/>
          <w:lang w:val="it-IT"/>
        </w:rPr>
        <w:t>წებზე ზემოქმედების მინიმიზაცი</w:t>
      </w:r>
      <w:r w:rsidR="00A37409" w:rsidRPr="001A72AA">
        <w:rPr>
          <w:rFonts w:ascii="Sylfaen" w:hAnsi="Sylfaen"/>
          <w:lang w:val="ka-GE"/>
        </w:rPr>
        <w:t>ის</w:t>
      </w:r>
      <w:r w:rsidRPr="001A72AA">
        <w:rPr>
          <w:rFonts w:ascii="Sylfaen" w:hAnsi="Sylfaen"/>
          <w:lang w:val="it-IT"/>
        </w:rPr>
        <w:t>, განსაკუთრებით ვენახებზე და ატმის პლანტაციებზე.</w:t>
      </w:r>
    </w:p>
    <w:p w14:paraId="1B0C3645" w14:textId="77777777" w:rsidR="00DA2E66" w:rsidRPr="001A72AA" w:rsidRDefault="00DA2E66" w:rsidP="002B56CC">
      <w:pPr>
        <w:spacing w:before="200" w:after="200"/>
        <w:rPr>
          <w:rFonts w:ascii="Sylfaen" w:hAnsi="Sylfaen" w:cs="Arial"/>
          <w:lang w:val="it-IT"/>
        </w:rPr>
      </w:pPr>
      <w:r w:rsidRPr="001A72AA">
        <w:rPr>
          <w:rFonts w:ascii="Sylfaen" w:hAnsi="Sylfaen"/>
          <w:lang w:val="en-US"/>
        </w:rPr>
        <w:t>არსებული</w:t>
      </w:r>
      <w:r w:rsidRPr="001A72AA">
        <w:rPr>
          <w:rFonts w:ascii="Sylfaen" w:hAnsi="Sylfaen"/>
          <w:lang w:val="it-IT"/>
        </w:rPr>
        <w:t xml:space="preserve"> </w:t>
      </w:r>
      <w:r w:rsidRPr="001A72AA">
        <w:rPr>
          <w:rFonts w:ascii="Sylfaen" w:hAnsi="Sylfaen"/>
          <w:lang w:val="en-US"/>
        </w:rPr>
        <w:t>გზიდან</w:t>
      </w:r>
      <w:r w:rsidRPr="001A72AA">
        <w:rPr>
          <w:rFonts w:ascii="Sylfaen" w:hAnsi="Sylfaen"/>
          <w:lang w:val="it-IT"/>
        </w:rPr>
        <w:t xml:space="preserve"> </w:t>
      </w:r>
      <w:r w:rsidRPr="001A72AA">
        <w:rPr>
          <w:rFonts w:ascii="Sylfaen" w:hAnsi="Sylfaen"/>
          <w:lang w:val="en-US"/>
        </w:rPr>
        <w:t>ჩრდილოეთ</w:t>
      </w:r>
      <w:r w:rsidRPr="001A72AA">
        <w:rPr>
          <w:rFonts w:ascii="Sylfaen" w:hAnsi="Sylfaen"/>
          <w:lang w:val="it-IT"/>
        </w:rPr>
        <w:t xml:space="preserve"> </w:t>
      </w:r>
      <w:r w:rsidRPr="001A72AA">
        <w:rPr>
          <w:rFonts w:ascii="Sylfaen" w:hAnsi="Sylfaen"/>
          <w:lang w:val="en-US"/>
        </w:rPr>
        <w:t>აღმოსავლეთით</w:t>
      </w:r>
      <w:r w:rsidRPr="001A72AA">
        <w:rPr>
          <w:rFonts w:ascii="Sylfaen" w:hAnsi="Sylfaen"/>
          <w:lang w:val="it-IT"/>
        </w:rPr>
        <w:t xml:space="preserve"> </w:t>
      </w:r>
      <w:r w:rsidRPr="001A72AA">
        <w:rPr>
          <w:rFonts w:ascii="Sylfaen" w:hAnsi="Sylfaen"/>
          <w:lang w:val="en-US"/>
        </w:rPr>
        <w:t>და</w:t>
      </w:r>
      <w:r w:rsidRPr="001A72AA">
        <w:rPr>
          <w:rFonts w:ascii="Sylfaen" w:hAnsi="Sylfaen"/>
          <w:lang w:val="it-IT"/>
        </w:rPr>
        <w:t xml:space="preserve"> </w:t>
      </w:r>
      <w:r w:rsidRPr="001A72AA">
        <w:rPr>
          <w:rFonts w:ascii="Sylfaen" w:hAnsi="Sylfaen"/>
          <w:lang w:val="en-US"/>
        </w:rPr>
        <w:t>ნაწილობრივ</w:t>
      </w:r>
      <w:r w:rsidRPr="001A72AA">
        <w:rPr>
          <w:rFonts w:ascii="Sylfaen" w:hAnsi="Sylfaen"/>
          <w:lang w:val="it-IT"/>
        </w:rPr>
        <w:t xml:space="preserve"> </w:t>
      </w:r>
      <w:r w:rsidRPr="001A72AA">
        <w:rPr>
          <w:rFonts w:ascii="Sylfaen" w:hAnsi="Sylfaen"/>
          <w:lang w:val="en-US"/>
        </w:rPr>
        <w:t>რკინიგზასთან</w:t>
      </w:r>
      <w:r w:rsidRPr="001A72AA">
        <w:rPr>
          <w:rFonts w:ascii="Sylfaen" w:hAnsi="Sylfaen"/>
          <w:lang w:val="it-IT"/>
        </w:rPr>
        <w:t xml:space="preserve"> </w:t>
      </w:r>
      <w:r w:rsidRPr="001A72AA">
        <w:rPr>
          <w:rFonts w:ascii="Sylfaen" w:hAnsi="Sylfaen"/>
          <w:lang w:val="en-US"/>
        </w:rPr>
        <w:t>ახლოს</w:t>
      </w:r>
      <w:r w:rsidRPr="001A72AA">
        <w:rPr>
          <w:rFonts w:ascii="Sylfaen" w:hAnsi="Sylfaen"/>
          <w:lang w:val="it-IT"/>
        </w:rPr>
        <w:t xml:space="preserve"> </w:t>
      </w:r>
      <w:r w:rsidRPr="001A72AA">
        <w:rPr>
          <w:rFonts w:ascii="Sylfaen" w:hAnsi="Sylfaen"/>
          <w:lang w:val="en-US"/>
        </w:rPr>
        <w:t>და</w:t>
      </w:r>
      <w:r w:rsidRPr="001A72AA">
        <w:rPr>
          <w:rFonts w:ascii="Sylfaen" w:hAnsi="Sylfaen"/>
          <w:lang w:val="it-IT"/>
        </w:rPr>
        <w:t xml:space="preserve"> </w:t>
      </w:r>
      <w:r w:rsidRPr="001A72AA">
        <w:rPr>
          <w:rFonts w:ascii="Sylfaen" w:hAnsi="Sylfaen"/>
          <w:lang w:val="en-US"/>
        </w:rPr>
        <w:t>არსებული</w:t>
      </w:r>
      <w:r w:rsidRPr="001A72AA">
        <w:rPr>
          <w:rFonts w:ascii="Sylfaen" w:hAnsi="Sylfaen"/>
          <w:lang w:val="it-IT"/>
        </w:rPr>
        <w:t xml:space="preserve"> </w:t>
      </w:r>
      <w:r w:rsidRPr="001A72AA">
        <w:rPr>
          <w:rFonts w:ascii="Sylfaen" w:hAnsi="Sylfaen"/>
          <w:lang w:val="en-US"/>
        </w:rPr>
        <w:t>არხის</w:t>
      </w:r>
      <w:r w:rsidRPr="001A72AA">
        <w:rPr>
          <w:rFonts w:ascii="Sylfaen" w:hAnsi="Sylfaen"/>
          <w:lang w:val="it-IT"/>
        </w:rPr>
        <w:t xml:space="preserve"> </w:t>
      </w:r>
      <w:r w:rsidRPr="001A72AA">
        <w:rPr>
          <w:rFonts w:ascii="Sylfaen" w:hAnsi="Sylfaen"/>
          <w:lang w:val="en-US"/>
        </w:rPr>
        <w:t>გასწვრივ</w:t>
      </w:r>
      <w:r w:rsidRPr="001A72AA">
        <w:rPr>
          <w:rFonts w:ascii="Sylfaen" w:hAnsi="Sylfaen"/>
          <w:lang w:val="it-IT"/>
        </w:rPr>
        <w:t xml:space="preserve"> </w:t>
      </w:r>
      <w:r w:rsidRPr="001A72AA">
        <w:rPr>
          <w:rFonts w:ascii="Sylfaen" w:hAnsi="Sylfaen"/>
          <w:lang w:val="en-US"/>
        </w:rPr>
        <w:t>შე</w:t>
      </w:r>
      <w:r w:rsidR="00A37409" w:rsidRPr="001A72AA">
        <w:rPr>
          <w:rFonts w:ascii="Sylfaen" w:hAnsi="Sylfaen"/>
          <w:lang w:val="ka-GE"/>
        </w:rPr>
        <w:t>მო</w:t>
      </w:r>
      <w:r w:rsidRPr="001A72AA">
        <w:rPr>
          <w:rFonts w:ascii="Sylfaen" w:hAnsi="Sylfaen"/>
          <w:lang w:val="en-US"/>
        </w:rPr>
        <w:t>თავაზებულია</w:t>
      </w:r>
      <w:r w:rsidRPr="001A72AA">
        <w:rPr>
          <w:rFonts w:ascii="Sylfaen" w:hAnsi="Sylfaen"/>
          <w:lang w:val="it-IT"/>
        </w:rPr>
        <w:t xml:space="preserve"> </w:t>
      </w:r>
      <w:r w:rsidRPr="001A72AA">
        <w:rPr>
          <w:rFonts w:ascii="Sylfaen" w:hAnsi="Sylfaen"/>
          <w:lang w:val="en-US"/>
        </w:rPr>
        <w:t>გზების</w:t>
      </w:r>
      <w:r w:rsidRPr="001A72AA">
        <w:rPr>
          <w:rFonts w:ascii="Sylfaen" w:hAnsi="Sylfaen"/>
          <w:lang w:val="it-IT"/>
        </w:rPr>
        <w:t xml:space="preserve"> </w:t>
      </w:r>
      <w:r w:rsidRPr="001A72AA">
        <w:rPr>
          <w:rFonts w:ascii="Sylfaen" w:hAnsi="Sylfaen"/>
          <w:lang w:val="en-US"/>
        </w:rPr>
        <w:t>ალტერნატიული</w:t>
      </w:r>
      <w:r w:rsidRPr="001A72AA">
        <w:rPr>
          <w:rFonts w:ascii="Sylfaen" w:hAnsi="Sylfaen"/>
          <w:lang w:val="it-IT"/>
        </w:rPr>
        <w:t xml:space="preserve"> </w:t>
      </w:r>
      <w:r w:rsidRPr="001A72AA">
        <w:rPr>
          <w:rFonts w:ascii="Sylfaen" w:hAnsi="Sylfaen"/>
          <w:lang w:val="en-US"/>
        </w:rPr>
        <w:t>ვარიანტები</w:t>
      </w:r>
      <w:r w:rsidR="00A37409" w:rsidRPr="001A72AA">
        <w:rPr>
          <w:rFonts w:ascii="Sylfaen" w:hAnsi="Sylfaen"/>
          <w:lang w:val="ka-GE"/>
        </w:rPr>
        <w:t xml:space="preserve">. </w:t>
      </w:r>
      <w:r w:rsidRPr="001A72AA">
        <w:rPr>
          <w:rFonts w:ascii="Sylfaen" w:hAnsi="Sylfaen"/>
          <w:lang w:val="it-IT"/>
        </w:rPr>
        <w:t xml:space="preserve"> </w:t>
      </w:r>
      <w:r w:rsidRPr="001A72AA">
        <w:rPr>
          <w:rFonts w:ascii="Sylfaen" w:hAnsi="Sylfaen"/>
          <w:lang w:val="en-US"/>
        </w:rPr>
        <w:t>ამ</w:t>
      </w:r>
      <w:r w:rsidRPr="001A72AA">
        <w:rPr>
          <w:rFonts w:ascii="Sylfaen" w:hAnsi="Sylfaen"/>
          <w:lang w:val="it-IT"/>
        </w:rPr>
        <w:t xml:space="preserve"> </w:t>
      </w:r>
      <w:r w:rsidRPr="001A72AA">
        <w:rPr>
          <w:rFonts w:ascii="Sylfaen" w:hAnsi="Sylfaen"/>
          <w:lang w:val="en-US"/>
        </w:rPr>
        <w:t>სფეროში</w:t>
      </w:r>
      <w:r w:rsidR="00A37409" w:rsidRPr="001A72AA">
        <w:rPr>
          <w:rFonts w:ascii="Sylfaen" w:hAnsi="Sylfaen"/>
          <w:lang w:val="ka-GE"/>
        </w:rPr>
        <w:t>,</w:t>
      </w:r>
      <w:r w:rsidRPr="001A72AA">
        <w:rPr>
          <w:rFonts w:ascii="Sylfaen" w:hAnsi="Sylfaen"/>
          <w:lang w:val="it-IT"/>
        </w:rPr>
        <w:t xml:space="preserve"> </w:t>
      </w:r>
      <w:r w:rsidR="00A37409" w:rsidRPr="001A72AA">
        <w:rPr>
          <w:rFonts w:ascii="Sylfaen" w:hAnsi="Sylfaen"/>
          <w:lang w:val="en-US"/>
        </w:rPr>
        <w:t>ალტერნატივები</w:t>
      </w:r>
      <w:r w:rsidR="00A37409" w:rsidRPr="001A72AA">
        <w:rPr>
          <w:rFonts w:ascii="Sylfaen" w:hAnsi="Sylfaen"/>
          <w:lang w:val="ka-GE"/>
        </w:rPr>
        <w:t>ს პარალელურად,</w:t>
      </w:r>
      <w:r w:rsidRPr="001A72AA">
        <w:rPr>
          <w:rFonts w:ascii="Sylfaen" w:hAnsi="Sylfaen"/>
          <w:lang w:val="it-IT"/>
        </w:rPr>
        <w:t xml:space="preserve"> </w:t>
      </w:r>
      <w:r w:rsidRPr="001A72AA">
        <w:rPr>
          <w:rFonts w:ascii="Sylfaen" w:hAnsi="Sylfaen"/>
          <w:lang w:val="en-US"/>
        </w:rPr>
        <w:t>ჩატარდა</w:t>
      </w:r>
      <w:r w:rsidRPr="001A72AA">
        <w:rPr>
          <w:rFonts w:ascii="Sylfaen" w:hAnsi="Sylfaen"/>
          <w:lang w:val="it-IT"/>
        </w:rPr>
        <w:t xml:space="preserve"> </w:t>
      </w:r>
      <w:r w:rsidRPr="001A72AA">
        <w:rPr>
          <w:rFonts w:ascii="Sylfaen" w:hAnsi="Sylfaen"/>
          <w:lang w:val="en-US"/>
        </w:rPr>
        <w:t>წინასწარი</w:t>
      </w:r>
      <w:r w:rsidRPr="001A72AA">
        <w:rPr>
          <w:rFonts w:ascii="Sylfaen" w:hAnsi="Sylfaen"/>
          <w:lang w:val="it-IT"/>
        </w:rPr>
        <w:t xml:space="preserve"> </w:t>
      </w:r>
      <w:r w:rsidRPr="001A72AA">
        <w:rPr>
          <w:rFonts w:ascii="Sylfaen" w:hAnsi="Sylfaen"/>
          <w:lang w:val="en-US"/>
        </w:rPr>
        <w:t>მოკვლევები</w:t>
      </w:r>
      <w:r w:rsidRPr="001A72AA">
        <w:rPr>
          <w:rFonts w:ascii="Sylfaen" w:hAnsi="Sylfaen"/>
          <w:lang w:val="it-IT"/>
        </w:rPr>
        <w:t xml:space="preserve"> </w:t>
      </w:r>
      <w:r w:rsidRPr="001A72AA">
        <w:rPr>
          <w:rFonts w:ascii="Sylfaen" w:hAnsi="Sylfaen"/>
          <w:lang w:val="en-US"/>
        </w:rPr>
        <w:t>ადგილზე</w:t>
      </w:r>
      <w:r w:rsidRPr="001A72AA">
        <w:rPr>
          <w:rFonts w:ascii="Sylfaen" w:hAnsi="Sylfaen"/>
          <w:lang w:val="it-IT"/>
        </w:rPr>
        <w:t xml:space="preserve"> </w:t>
      </w:r>
      <w:r w:rsidR="00A37409" w:rsidRPr="001A72AA">
        <w:rPr>
          <w:rFonts w:ascii="Sylfaen" w:hAnsi="Sylfaen"/>
          <w:lang w:val="ka-GE"/>
        </w:rPr>
        <w:t>ვიზიტით</w:t>
      </w:r>
      <w:r w:rsidRPr="001A72AA">
        <w:rPr>
          <w:rFonts w:ascii="Sylfaen" w:hAnsi="Sylfaen"/>
          <w:lang w:val="it-IT"/>
        </w:rPr>
        <w:t xml:space="preserve">, </w:t>
      </w:r>
      <w:r w:rsidRPr="001A72AA">
        <w:rPr>
          <w:rFonts w:ascii="Sylfaen" w:hAnsi="Sylfaen"/>
          <w:lang w:val="en-US"/>
        </w:rPr>
        <w:t>რათა</w:t>
      </w:r>
      <w:r w:rsidRPr="001A72AA">
        <w:rPr>
          <w:rFonts w:ascii="Sylfaen" w:hAnsi="Sylfaen"/>
          <w:lang w:val="it-IT"/>
        </w:rPr>
        <w:t xml:space="preserve"> </w:t>
      </w:r>
      <w:r w:rsidRPr="001A72AA">
        <w:rPr>
          <w:rFonts w:ascii="Sylfaen" w:hAnsi="Sylfaen"/>
          <w:lang w:val="en-US"/>
        </w:rPr>
        <w:t>ვიზუალურად</w:t>
      </w:r>
      <w:r w:rsidRPr="001A72AA">
        <w:rPr>
          <w:rFonts w:ascii="Sylfaen" w:hAnsi="Sylfaen"/>
          <w:lang w:val="it-IT"/>
        </w:rPr>
        <w:t xml:space="preserve"> </w:t>
      </w:r>
      <w:r w:rsidR="00A37409" w:rsidRPr="001A72AA">
        <w:rPr>
          <w:rFonts w:ascii="Sylfaen" w:hAnsi="Sylfaen"/>
          <w:lang w:val="ka-GE"/>
        </w:rPr>
        <w:t>ყოფილიყო</w:t>
      </w:r>
      <w:r w:rsidRPr="001A72AA">
        <w:rPr>
          <w:rFonts w:ascii="Sylfaen" w:hAnsi="Sylfaen"/>
          <w:lang w:val="it-IT"/>
        </w:rPr>
        <w:t xml:space="preserve"> </w:t>
      </w:r>
      <w:r w:rsidRPr="001A72AA">
        <w:rPr>
          <w:rFonts w:ascii="Sylfaen" w:hAnsi="Sylfaen"/>
          <w:lang w:val="en-US"/>
        </w:rPr>
        <w:t>შესწავლილი</w:t>
      </w:r>
      <w:r w:rsidRPr="001A72AA">
        <w:rPr>
          <w:rFonts w:ascii="Sylfaen" w:hAnsi="Sylfaen"/>
          <w:lang w:val="it-IT"/>
        </w:rPr>
        <w:t xml:space="preserve"> </w:t>
      </w:r>
      <w:r w:rsidRPr="001A72AA">
        <w:rPr>
          <w:rFonts w:ascii="Sylfaen" w:hAnsi="Sylfaen"/>
          <w:lang w:val="en-US"/>
        </w:rPr>
        <w:t>პოტენციალური</w:t>
      </w:r>
      <w:r w:rsidRPr="001A72AA">
        <w:rPr>
          <w:rFonts w:ascii="Sylfaen" w:hAnsi="Sylfaen"/>
          <w:lang w:val="it-IT"/>
        </w:rPr>
        <w:t xml:space="preserve"> </w:t>
      </w:r>
      <w:r w:rsidRPr="001A72AA">
        <w:rPr>
          <w:rFonts w:ascii="Sylfaen" w:hAnsi="Sylfaen"/>
          <w:lang w:val="en-US"/>
        </w:rPr>
        <w:t>ზემოქმედება</w:t>
      </w:r>
      <w:r w:rsidRPr="001A72AA">
        <w:rPr>
          <w:rFonts w:ascii="Sylfaen" w:hAnsi="Sylfaen"/>
          <w:lang w:val="it-IT"/>
        </w:rPr>
        <w:t xml:space="preserve"> </w:t>
      </w:r>
      <w:r w:rsidRPr="001A72AA">
        <w:rPr>
          <w:rFonts w:ascii="Sylfaen" w:hAnsi="Sylfaen"/>
          <w:lang w:val="en-US"/>
        </w:rPr>
        <w:t>კერძო</w:t>
      </w:r>
      <w:r w:rsidRPr="001A72AA">
        <w:rPr>
          <w:rFonts w:ascii="Sylfaen" w:hAnsi="Sylfaen"/>
          <w:lang w:val="it-IT"/>
        </w:rPr>
        <w:t xml:space="preserve"> </w:t>
      </w:r>
      <w:r w:rsidRPr="001A72AA">
        <w:rPr>
          <w:rFonts w:ascii="Sylfaen" w:hAnsi="Sylfaen"/>
          <w:lang w:val="en-US"/>
        </w:rPr>
        <w:t>მიწის</w:t>
      </w:r>
      <w:r w:rsidRPr="001A72AA">
        <w:rPr>
          <w:rFonts w:ascii="Sylfaen" w:hAnsi="Sylfaen"/>
          <w:lang w:val="it-IT"/>
        </w:rPr>
        <w:t xml:space="preserve"> </w:t>
      </w:r>
      <w:r w:rsidRPr="001A72AA">
        <w:rPr>
          <w:rFonts w:ascii="Sylfaen" w:hAnsi="Sylfaen"/>
          <w:lang w:val="en-US"/>
        </w:rPr>
        <w:t>ნაკვეთებზე</w:t>
      </w:r>
      <w:r w:rsidRPr="001A72AA">
        <w:rPr>
          <w:rFonts w:ascii="Sylfaen" w:hAnsi="Sylfaen"/>
          <w:lang w:val="it-IT"/>
        </w:rPr>
        <w:t xml:space="preserve">, </w:t>
      </w:r>
      <w:r w:rsidRPr="001A72AA">
        <w:rPr>
          <w:rFonts w:ascii="Sylfaen" w:hAnsi="Sylfaen"/>
          <w:lang w:val="en-US"/>
        </w:rPr>
        <w:t>აქ</w:t>
      </w:r>
      <w:r w:rsidR="00A37409" w:rsidRPr="001A72AA">
        <w:rPr>
          <w:rFonts w:ascii="Sylfaen" w:hAnsi="Sylfaen"/>
          <w:lang w:val="ka-GE"/>
        </w:rPr>
        <w:t>ტ</w:t>
      </w:r>
      <w:r w:rsidRPr="001A72AA">
        <w:rPr>
          <w:rFonts w:ascii="Sylfaen" w:hAnsi="Sylfaen"/>
          <w:lang w:val="en-US"/>
        </w:rPr>
        <w:t>ივებზე</w:t>
      </w:r>
      <w:r w:rsidRPr="001A72AA">
        <w:rPr>
          <w:rFonts w:ascii="Sylfaen" w:hAnsi="Sylfaen"/>
          <w:lang w:val="it-IT"/>
        </w:rPr>
        <w:t xml:space="preserve">, </w:t>
      </w:r>
      <w:r w:rsidRPr="001A72AA">
        <w:rPr>
          <w:rFonts w:ascii="Sylfaen" w:hAnsi="Sylfaen"/>
          <w:lang w:val="en-US"/>
        </w:rPr>
        <w:t>ინფრასტრუქტურაზე</w:t>
      </w:r>
      <w:r w:rsidR="00A37409" w:rsidRPr="001A72AA">
        <w:rPr>
          <w:rFonts w:ascii="Sylfaen" w:hAnsi="Sylfaen"/>
          <w:lang w:val="ka-GE"/>
        </w:rPr>
        <w:t>,</w:t>
      </w:r>
      <w:r w:rsidRPr="001A72AA">
        <w:rPr>
          <w:rFonts w:ascii="Sylfaen" w:hAnsi="Sylfaen"/>
          <w:lang w:val="it-IT"/>
        </w:rPr>
        <w:t xml:space="preserve"> </w:t>
      </w:r>
      <w:r w:rsidRPr="001A72AA">
        <w:rPr>
          <w:rFonts w:ascii="Sylfaen" w:hAnsi="Sylfaen"/>
          <w:lang w:val="en-US"/>
        </w:rPr>
        <w:t>პროექტის</w:t>
      </w:r>
      <w:r w:rsidRPr="001A72AA">
        <w:rPr>
          <w:rFonts w:ascii="Sylfaen" w:hAnsi="Sylfaen"/>
          <w:lang w:val="it-IT"/>
        </w:rPr>
        <w:t xml:space="preserve"> </w:t>
      </w:r>
      <w:r w:rsidRPr="001A72AA">
        <w:rPr>
          <w:rFonts w:ascii="Sylfaen" w:hAnsi="Sylfaen"/>
          <w:lang w:val="en-US"/>
        </w:rPr>
        <w:t>მოცულობის</w:t>
      </w:r>
      <w:r w:rsidRPr="001A72AA">
        <w:rPr>
          <w:rFonts w:ascii="Sylfaen" w:hAnsi="Sylfaen"/>
          <w:lang w:val="it-IT"/>
        </w:rPr>
        <w:t xml:space="preserve"> </w:t>
      </w:r>
      <w:r w:rsidRPr="001A72AA">
        <w:rPr>
          <w:rFonts w:ascii="Sylfaen" w:hAnsi="Sylfaen"/>
          <w:lang w:val="en-US"/>
        </w:rPr>
        <w:t>და</w:t>
      </w:r>
      <w:r w:rsidRPr="001A72AA">
        <w:rPr>
          <w:rFonts w:ascii="Sylfaen" w:hAnsi="Sylfaen"/>
          <w:lang w:val="it-IT"/>
        </w:rPr>
        <w:t xml:space="preserve"> </w:t>
      </w:r>
      <w:r w:rsidRPr="001A72AA">
        <w:rPr>
          <w:rFonts w:ascii="Sylfaen" w:hAnsi="Sylfaen"/>
          <w:lang w:val="en-US"/>
        </w:rPr>
        <w:t>ბიუჯეტის</w:t>
      </w:r>
      <w:r w:rsidRPr="001A72AA">
        <w:rPr>
          <w:rFonts w:ascii="Sylfaen" w:hAnsi="Sylfaen"/>
          <w:lang w:val="it-IT"/>
        </w:rPr>
        <w:t xml:space="preserve"> </w:t>
      </w:r>
      <w:r w:rsidRPr="001A72AA">
        <w:rPr>
          <w:rFonts w:ascii="Sylfaen" w:hAnsi="Sylfaen"/>
          <w:lang w:val="en-US"/>
        </w:rPr>
        <w:t>კომპენსაციის</w:t>
      </w:r>
      <w:r w:rsidRPr="001A72AA">
        <w:rPr>
          <w:rFonts w:ascii="Sylfaen" w:hAnsi="Sylfaen"/>
          <w:lang w:val="it-IT"/>
        </w:rPr>
        <w:t xml:space="preserve"> </w:t>
      </w:r>
      <w:r w:rsidRPr="001A72AA">
        <w:rPr>
          <w:rFonts w:ascii="Sylfaen" w:hAnsi="Sylfaen"/>
          <w:lang w:val="en-US"/>
        </w:rPr>
        <w:t>შესაფასებლად</w:t>
      </w:r>
      <w:r w:rsidRPr="001A72AA">
        <w:rPr>
          <w:rFonts w:ascii="Sylfaen" w:hAnsi="Sylfaen"/>
          <w:lang w:val="it-IT"/>
        </w:rPr>
        <w:t>.</w:t>
      </w:r>
      <w:r w:rsidRPr="001A72AA">
        <w:rPr>
          <w:rFonts w:ascii="Sylfaen" w:hAnsi="Sylfaen" w:cs="Arial"/>
          <w:lang w:val="it-IT"/>
        </w:rPr>
        <w:t xml:space="preserve"> </w:t>
      </w:r>
    </w:p>
    <w:p w14:paraId="3E8AB9DA" w14:textId="161E7EA3" w:rsidR="00DA2E66" w:rsidRPr="001A72AA" w:rsidRDefault="009F6AAF" w:rsidP="002B56CC">
      <w:pPr>
        <w:spacing w:before="200" w:after="200"/>
        <w:rPr>
          <w:rFonts w:ascii="Sylfaen" w:hAnsi="Sylfaen"/>
          <w:lang w:val="it-IT"/>
        </w:rPr>
      </w:pPr>
      <w:r>
        <w:rPr>
          <w:rFonts w:ascii="Sylfaen" w:hAnsi="Sylfaen"/>
          <w:lang w:val="ka-GE"/>
        </w:rPr>
        <w:t>გურჯაანის (ჩუმლაყი)</w:t>
      </w:r>
      <w:r>
        <w:rPr>
          <w:rFonts w:ascii="Sylfaen" w:hAnsi="Sylfaen"/>
          <w:lang w:val="en-US"/>
        </w:rPr>
        <w:t>-</w:t>
      </w:r>
      <w:r>
        <w:rPr>
          <w:rFonts w:ascii="Sylfaen" w:hAnsi="Sylfaen"/>
          <w:lang w:val="ka-GE"/>
        </w:rPr>
        <w:t xml:space="preserve">თელავის </w:t>
      </w:r>
      <w:r w:rsidR="00DA2E66" w:rsidRPr="001A72AA">
        <w:rPr>
          <w:rFonts w:ascii="Sylfaen" w:hAnsi="Sylfaen"/>
        </w:rPr>
        <w:t>გზის</w:t>
      </w:r>
      <w:r w:rsidR="00DA2E66" w:rsidRPr="001A72AA">
        <w:rPr>
          <w:rFonts w:ascii="Sylfaen" w:hAnsi="Sylfaen"/>
          <w:lang w:val="it-IT"/>
        </w:rPr>
        <w:t xml:space="preserve"> </w:t>
      </w:r>
      <w:r w:rsidR="00DA2E66" w:rsidRPr="001A72AA">
        <w:rPr>
          <w:rFonts w:ascii="Sylfaen" w:hAnsi="Sylfaen"/>
        </w:rPr>
        <w:t>მონაკვეთი</w:t>
      </w:r>
      <w:r w:rsidR="00DA2E66" w:rsidRPr="001A72AA">
        <w:rPr>
          <w:rFonts w:ascii="Sylfaen" w:hAnsi="Sylfaen"/>
          <w:lang w:val="it-IT"/>
        </w:rPr>
        <w:t xml:space="preserve"> </w:t>
      </w:r>
      <w:r w:rsidR="00DA2E66" w:rsidRPr="001A72AA">
        <w:rPr>
          <w:rFonts w:ascii="Sylfaen" w:hAnsi="Sylfaen"/>
        </w:rPr>
        <w:t>სავარაუდოდ</w:t>
      </w:r>
      <w:r w:rsidR="00DA2E66" w:rsidRPr="001A72AA">
        <w:rPr>
          <w:rFonts w:ascii="Sylfaen" w:hAnsi="Sylfaen"/>
          <w:lang w:val="it-IT"/>
        </w:rPr>
        <w:t xml:space="preserve"> </w:t>
      </w:r>
      <w:r w:rsidR="00073A7F" w:rsidRPr="001A72AA">
        <w:rPr>
          <w:rFonts w:ascii="Sylfaen" w:hAnsi="Sylfaen"/>
        </w:rPr>
        <w:t>დაგეგმარებული</w:t>
      </w:r>
      <w:r w:rsidR="00DA2E66" w:rsidRPr="001A72AA">
        <w:rPr>
          <w:rFonts w:ascii="Sylfaen" w:hAnsi="Sylfaen"/>
          <w:lang w:val="it-IT"/>
        </w:rPr>
        <w:t xml:space="preserve"> </w:t>
      </w:r>
      <w:r w:rsidR="00DA2E66" w:rsidRPr="001A72AA">
        <w:rPr>
          <w:rFonts w:ascii="Sylfaen" w:hAnsi="Sylfaen"/>
        </w:rPr>
        <w:t>და</w:t>
      </w:r>
      <w:r w:rsidR="00DA2E66" w:rsidRPr="001A72AA">
        <w:rPr>
          <w:rFonts w:ascii="Sylfaen" w:hAnsi="Sylfaen"/>
          <w:lang w:val="it-IT"/>
        </w:rPr>
        <w:t xml:space="preserve"> </w:t>
      </w:r>
      <w:r w:rsidR="00DA2E66" w:rsidRPr="001A72AA">
        <w:rPr>
          <w:rFonts w:ascii="Sylfaen" w:hAnsi="Sylfaen"/>
        </w:rPr>
        <w:t>აშენებული</w:t>
      </w:r>
      <w:r w:rsidR="00073A7F" w:rsidRPr="001A72AA">
        <w:rPr>
          <w:rFonts w:ascii="Sylfaen" w:hAnsi="Sylfaen"/>
          <w:lang w:val="ka-GE"/>
        </w:rPr>
        <w:t>ა</w:t>
      </w:r>
      <w:r w:rsidR="00DA2E66" w:rsidRPr="001A72AA">
        <w:rPr>
          <w:rFonts w:ascii="Sylfaen" w:hAnsi="Sylfaen"/>
          <w:lang w:val="it-IT"/>
        </w:rPr>
        <w:t xml:space="preserve"> </w:t>
      </w:r>
      <w:r w:rsidR="00DA2E66" w:rsidRPr="001A72AA">
        <w:rPr>
          <w:rFonts w:ascii="Sylfaen" w:hAnsi="Sylfaen"/>
        </w:rPr>
        <w:t>ალაზნის</w:t>
      </w:r>
      <w:r w:rsidR="00DA2E66" w:rsidRPr="001A72AA">
        <w:rPr>
          <w:rFonts w:ascii="Sylfaen" w:hAnsi="Sylfaen"/>
          <w:lang w:val="it-IT"/>
        </w:rPr>
        <w:t xml:space="preserve"> </w:t>
      </w:r>
      <w:r w:rsidR="00DA2E66" w:rsidRPr="001A72AA">
        <w:rPr>
          <w:rFonts w:ascii="Sylfaen" w:hAnsi="Sylfaen"/>
        </w:rPr>
        <w:t>ველზე</w:t>
      </w:r>
      <w:r w:rsidR="00DA2E66" w:rsidRPr="001A72AA">
        <w:rPr>
          <w:rFonts w:ascii="Sylfaen" w:hAnsi="Sylfaen"/>
          <w:lang w:val="it-IT"/>
        </w:rPr>
        <w:t xml:space="preserve"> </w:t>
      </w:r>
      <w:r w:rsidR="00DA2E66" w:rsidRPr="001A72AA">
        <w:rPr>
          <w:rFonts w:ascii="Sylfaen" w:hAnsi="Sylfaen"/>
        </w:rPr>
        <w:t>ახალი</w:t>
      </w:r>
      <w:r w:rsidR="00DA2E66" w:rsidRPr="001A72AA">
        <w:rPr>
          <w:rFonts w:ascii="Sylfaen" w:hAnsi="Sylfaen"/>
          <w:lang w:val="it-IT"/>
        </w:rPr>
        <w:t xml:space="preserve"> </w:t>
      </w:r>
      <w:r w:rsidR="00073A7F" w:rsidRPr="001A72AA">
        <w:rPr>
          <w:rFonts w:ascii="Sylfaen" w:hAnsi="Sylfaen"/>
          <w:lang w:val="ka-GE"/>
        </w:rPr>
        <w:t>განლაგების</w:t>
      </w:r>
      <w:r w:rsidR="00DA2E66" w:rsidRPr="001A72AA">
        <w:rPr>
          <w:rFonts w:ascii="Sylfaen" w:hAnsi="Sylfaen"/>
          <w:lang w:val="it-IT"/>
        </w:rPr>
        <w:t xml:space="preserve"> </w:t>
      </w:r>
      <w:r w:rsidR="00DA2E66" w:rsidRPr="001A72AA">
        <w:rPr>
          <w:rFonts w:ascii="Sylfaen" w:hAnsi="Sylfaen"/>
        </w:rPr>
        <w:t>გზის</w:t>
      </w:r>
      <w:r w:rsidR="00DA2E66" w:rsidRPr="001A72AA">
        <w:rPr>
          <w:rFonts w:ascii="Sylfaen" w:hAnsi="Sylfaen"/>
          <w:lang w:val="it-IT"/>
        </w:rPr>
        <w:t xml:space="preserve"> </w:t>
      </w:r>
      <w:r w:rsidR="00DA2E66" w:rsidRPr="001A72AA">
        <w:rPr>
          <w:rFonts w:ascii="Sylfaen" w:hAnsi="Sylfaen"/>
        </w:rPr>
        <w:t>გასწვრივ</w:t>
      </w:r>
      <w:r w:rsidR="00DA2E66" w:rsidRPr="001A72AA">
        <w:rPr>
          <w:rFonts w:ascii="Sylfaen" w:hAnsi="Sylfaen"/>
          <w:lang w:val="it-IT"/>
        </w:rPr>
        <w:t xml:space="preserve">, </w:t>
      </w:r>
      <w:r w:rsidR="00DA2E66" w:rsidRPr="001A72AA">
        <w:rPr>
          <w:rFonts w:ascii="Sylfaen" w:hAnsi="Sylfaen"/>
        </w:rPr>
        <w:t>დასახლებული</w:t>
      </w:r>
      <w:r w:rsidR="00DA2E66" w:rsidRPr="001A72AA">
        <w:rPr>
          <w:rFonts w:ascii="Sylfaen" w:hAnsi="Sylfaen"/>
          <w:lang w:val="it-IT"/>
        </w:rPr>
        <w:t xml:space="preserve"> </w:t>
      </w:r>
      <w:r w:rsidR="00DA2E66" w:rsidRPr="001A72AA">
        <w:rPr>
          <w:rFonts w:ascii="Sylfaen" w:hAnsi="Sylfaen"/>
        </w:rPr>
        <w:t>ტერიტორიის</w:t>
      </w:r>
      <w:r w:rsidR="00DA2E66" w:rsidRPr="001A72AA">
        <w:rPr>
          <w:rFonts w:ascii="Sylfaen" w:hAnsi="Sylfaen"/>
          <w:lang w:val="it-IT"/>
        </w:rPr>
        <w:t xml:space="preserve"> </w:t>
      </w:r>
      <w:r w:rsidR="00DA2E66" w:rsidRPr="001A72AA">
        <w:rPr>
          <w:rFonts w:ascii="Sylfaen" w:hAnsi="Sylfaen"/>
        </w:rPr>
        <w:t>და</w:t>
      </w:r>
      <w:r w:rsidR="00DA2E66" w:rsidRPr="001A72AA">
        <w:rPr>
          <w:rFonts w:ascii="Sylfaen" w:hAnsi="Sylfaen"/>
          <w:lang w:val="it-IT"/>
        </w:rPr>
        <w:t xml:space="preserve"> </w:t>
      </w:r>
      <w:r w:rsidR="00DA2E66" w:rsidRPr="001A72AA">
        <w:rPr>
          <w:rFonts w:ascii="Sylfaen" w:hAnsi="Sylfaen"/>
        </w:rPr>
        <w:t>მთის</w:t>
      </w:r>
      <w:r w:rsidR="00DA2E66" w:rsidRPr="001A72AA">
        <w:rPr>
          <w:rFonts w:ascii="Sylfaen" w:hAnsi="Sylfaen"/>
          <w:lang w:val="it-IT"/>
        </w:rPr>
        <w:t xml:space="preserve"> </w:t>
      </w:r>
      <w:r w:rsidR="00DA2E66" w:rsidRPr="001A72AA">
        <w:rPr>
          <w:rFonts w:ascii="Sylfaen" w:hAnsi="Sylfaen"/>
        </w:rPr>
        <w:t>ფერდობების</w:t>
      </w:r>
      <w:r w:rsidR="00DA2E66" w:rsidRPr="001A72AA">
        <w:rPr>
          <w:rFonts w:ascii="Sylfaen" w:hAnsi="Sylfaen"/>
          <w:lang w:val="it-IT"/>
        </w:rPr>
        <w:t xml:space="preserve">  </w:t>
      </w:r>
      <w:r w:rsidR="00DA2E66" w:rsidRPr="001A72AA">
        <w:rPr>
          <w:rFonts w:ascii="Sylfaen" w:hAnsi="Sylfaen"/>
        </w:rPr>
        <w:t>შემოვლით</w:t>
      </w:r>
      <w:r w:rsidR="00DA2E66" w:rsidRPr="001A72AA">
        <w:rPr>
          <w:rFonts w:ascii="Sylfaen" w:hAnsi="Sylfaen"/>
          <w:lang w:val="it-IT"/>
        </w:rPr>
        <w:t xml:space="preserve">. ის აერთებს არსებული გზის  104 კმ </w:t>
      </w:r>
      <w:r w:rsidR="00073A7F" w:rsidRPr="001A72AA">
        <w:rPr>
          <w:rFonts w:ascii="Sylfaen" w:hAnsi="Sylfaen"/>
          <w:lang w:val="ka-GE"/>
        </w:rPr>
        <w:t>(</w:t>
      </w:r>
      <w:r w:rsidR="00073A7F" w:rsidRPr="001A72AA">
        <w:rPr>
          <w:rFonts w:ascii="Sylfaen" w:hAnsi="Sylfaen"/>
          <w:lang w:val="it-IT"/>
        </w:rPr>
        <w:t>სოფლის გა</w:t>
      </w:r>
      <w:r w:rsidR="00073A7F" w:rsidRPr="001A72AA">
        <w:rPr>
          <w:rFonts w:ascii="Sylfaen" w:hAnsi="Sylfaen"/>
          <w:lang w:val="ka-GE"/>
        </w:rPr>
        <w:t>ვლით</w:t>
      </w:r>
      <w:r w:rsidR="00DA2E66" w:rsidRPr="001A72AA">
        <w:rPr>
          <w:rFonts w:ascii="Sylfaen" w:hAnsi="Sylfaen"/>
          <w:lang w:val="it-IT"/>
        </w:rPr>
        <w:t>)  იგივე გზის</w:t>
      </w:r>
      <w:r w:rsidR="00073A7F" w:rsidRPr="001A72AA">
        <w:rPr>
          <w:rFonts w:ascii="Sylfaen" w:hAnsi="Sylfaen"/>
          <w:lang w:val="ka-GE"/>
        </w:rPr>
        <w:t xml:space="preserve"> </w:t>
      </w:r>
      <w:r w:rsidR="00073A7F" w:rsidRPr="001A72AA">
        <w:rPr>
          <w:rFonts w:ascii="Sylfaen" w:hAnsi="Sylfaen"/>
          <w:lang w:val="it-IT"/>
        </w:rPr>
        <w:t>მონაკვეთთან</w:t>
      </w:r>
      <w:r w:rsidR="00DA2E66" w:rsidRPr="001A72AA">
        <w:rPr>
          <w:rFonts w:ascii="Sylfaen" w:hAnsi="Sylfaen"/>
          <w:lang w:val="it-IT"/>
        </w:rPr>
        <w:t xml:space="preserve"> 120 კმ</w:t>
      </w:r>
      <w:r w:rsidR="00073A7F" w:rsidRPr="001A72AA">
        <w:rPr>
          <w:rFonts w:ascii="Sylfaen" w:hAnsi="Sylfaen"/>
          <w:lang w:val="ka-GE"/>
        </w:rPr>
        <w:t>-ზე</w:t>
      </w:r>
      <w:r w:rsidR="00073A7F" w:rsidRPr="001A72AA">
        <w:rPr>
          <w:rFonts w:ascii="Sylfaen" w:hAnsi="Sylfaen"/>
          <w:lang w:val="it-IT"/>
        </w:rPr>
        <w:t xml:space="preserve"> (დაბა წნორი</w:t>
      </w:r>
      <w:r w:rsidR="00DA2E66" w:rsidRPr="001A72AA">
        <w:rPr>
          <w:rFonts w:ascii="Sylfaen" w:hAnsi="Sylfaen"/>
          <w:lang w:val="it-IT"/>
        </w:rPr>
        <w:t xml:space="preserve">). </w:t>
      </w:r>
    </w:p>
    <w:p w14:paraId="6B08B04B" w14:textId="6F03D621" w:rsidR="00DA2E66" w:rsidRPr="001A72AA" w:rsidRDefault="00DA2E66" w:rsidP="002B56CC">
      <w:pPr>
        <w:spacing w:before="200" w:after="200"/>
        <w:rPr>
          <w:rFonts w:ascii="Sylfaen" w:hAnsi="Sylfaen" w:cstheme="minorHAnsi"/>
          <w:lang w:val="it-IT"/>
        </w:rPr>
      </w:pPr>
      <w:r w:rsidRPr="001A72AA">
        <w:rPr>
          <w:rFonts w:ascii="Sylfaen" w:hAnsi="Sylfaen" w:cstheme="minorHAnsi"/>
        </w:rPr>
        <w:t>ეს</w:t>
      </w:r>
      <w:r w:rsidRPr="001A72AA">
        <w:rPr>
          <w:rFonts w:ascii="Sylfaen" w:hAnsi="Sylfaen" w:cstheme="minorHAnsi"/>
          <w:lang w:val="it-IT"/>
        </w:rPr>
        <w:t xml:space="preserve"> </w:t>
      </w:r>
      <w:r w:rsidRPr="001A72AA">
        <w:rPr>
          <w:rFonts w:ascii="Sylfaen" w:hAnsi="Sylfaen" w:cstheme="minorHAnsi"/>
        </w:rPr>
        <w:t>სამი</w:t>
      </w:r>
      <w:r w:rsidRPr="001A72AA">
        <w:rPr>
          <w:rFonts w:ascii="Sylfaen" w:hAnsi="Sylfaen" w:cstheme="minorHAnsi"/>
          <w:lang w:val="it-IT"/>
        </w:rPr>
        <w:t xml:space="preserve"> </w:t>
      </w:r>
      <w:r w:rsidRPr="001A72AA">
        <w:rPr>
          <w:rFonts w:ascii="Sylfaen" w:hAnsi="Sylfaen" w:cstheme="minorHAnsi"/>
        </w:rPr>
        <w:t>ძირითადი</w:t>
      </w:r>
      <w:r w:rsidRPr="001A72AA">
        <w:rPr>
          <w:rFonts w:ascii="Sylfaen" w:hAnsi="Sylfaen" w:cstheme="minorHAnsi"/>
          <w:lang w:val="it-IT"/>
        </w:rPr>
        <w:t xml:space="preserve"> </w:t>
      </w:r>
      <w:r w:rsidRPr="001A72AA">
        <w:rPr>
          <w:rFonts w:ascii="Sylfaen" w:hAnsi="Sylfaen" w:cstheme="minorHAnsi"/>
        </w:rPr>
        <w:t>ალტერნატივა</w:t>
      </w:r>
      <w:r w:rsidRPr="001A72AA">
        <w:rPr>
          <w:rFonts w:ascii="Sylfaen" w:hAnsi="Sylfaen" w:cstheme="minorHAnsi"/>
          <w:lang w:val="it-IT"/>
        </w:rPr>
        <w:t xml:space="preserve"> </w:t>
      </w:r>
      <w:r w:rsidRPr="001A72AA">
        <w:rPr>
          <w:rFonts w:ascii="Sylfaen" w:hAnsi="Sylfaen" w:cstheme="minorHAnsi"/>
        </w:rPr>
        <w:t>განსაზღვრული</w:t>
      </w:r>
      <w:r w:rsidRPr="001A72AA">
        <w:rPr>
          <w:rFonts w:ascii="Sylfaen" w:hAnsi="Sylfaen" w:cstheme="minorHAnsi"/>
          <w:lang w:val="it-IT"/>
        </w:rPr>
        <w:t xml:space="preserve"> </w:t>
      </w:r>
      <w:r w:rsidRPr="001A72AA">
        <w:rPr>
          <w:rFonts w:ascii="Sylfaen" w:hAnsi="Sylfaen" w:cstheme="minorHAnsi"/>
        </w:rPr>
        <w:t>იყო</w:t>
      </w:r>
      <w:r w:rsidRPr="001A72AA">
        <w:rPr>
          <w:rFonts w:ascii="Sylfaen" w:hAnsi="Sylfaen" w:cstheme="minorHAnsi"/>
          <w:lang w:val="it-IT"/>
        </w:rPr>
        <w:t xml:space="preserve"> </w:t>
      </w:r>
      <w:r w:rsidR="009F6AAF">
        <w:rPr>
          <w:rFonts w:ascii="Sylfaen" w:hAnsi="Sylfaen"/>
          <w:lang w:val="ka-GE"/>
        </w:rPr>
        <w:t>გურჯაანის (ჩუმლაყი)</w:t>
      </w:r>
      <w:r w:rsidR="009F6AAF">
        <w:rPr>
          <w:rFonts w:ascii="Sylfaen" w:hAnsi="Sylfaen"/>
          <w:lang w:val="en-US"/>
        </w:rPr>
        <w:t>-</w:t>
      </w:r>
      <w:r w:rsidR="009F6AAF">
        <w:rPr>
          <w:rFonts w:ascii="Sylfaen" w:hAnsi="Sylfaen"/>
          <w:lang w:val="ka-GE"/>
        </w:rPr>
        <w:t xml:space="preserve">თელავის </w:t>
      </w:r>
      <w:r w:rsidRPr="001A72AA">
        <w:rPr>
          <w:rFonts w:ascii="Sylfaen" w:hAnsi="Sylfaen" w:cstheme="minorHAnsi"/>
        </w:rPr>
        <w:t>გზის</w:t>
      </w:r>
      <w:r w:rsidRPr="001A72AA">
        <w:rPr>
          <w:rFonts w:ascii="Sylfaen" w:hAnsi="Sylfaen" w:cstheme="minorHAnsi"/>
          <w:lang w:val="it-IT"/>
        </w:rPr>
        <w:t xml:space="preserve"> </w:t>
      </w:r>
      <w:r w:rsidRPr="001A72AA">
        <w:rPr>
          <w:rFonts w:ascii="Sylfaen" w:hAnsi="Sylfaen" w:cstheme="minorHAnsi"/>
        </w:rPr>
        <w:t>მონაკვეთის</w:t>
      </w:r>
      <w:r w:rsidRPr="001A72AA">
        <w:rPr>
          <w:rFonts w:ascii="Sylfaen" w:hAnsi="Sylfaen" w:cstheme="minorHAnsi"/>
          <w:lang w:val="it-IT"/>
        </w:rPr>
        <w:t xml:space="preserve"> </w:t>
      </w:r>
      <w:r w:rsidRPr="001A72AA">
        <w:rPr>
          <w:rFonts w:ascii="Sylfaen" w:hAnsi="Sylfaen" w:cstheme="minorHAnsi"/>
        </w:rPr>
        <w:t>საინჟინრო</w:t>
      </w:r>
      <w:r w:rsidRPr="001A72AA">
        <w:rPr>
          <w:rFonts w:ascii="Sylfaen" w:hAnsi="Sylfaen" w:cstheme="minorHAnsi"/>
          <w:lang w:val="it-IT"/>
        </w:rPr>
        <w:t xml:space="preserve"> </w:t>
      </w:r>
      <w:r w:rsidRPr="001A72AA">
        <w:rPr>
          <w:rFonts w:ascii="Sylfaen" w:hAnsi="Sylfaen" w:cstheme="minorHAnsi"/>
        </w:rPr>
        <w:t>დიზაინზე</w:t>
      </w:r>
      <w:r w:rsidRPr="001A72AA">
        <w:rPr>
          <w:rFonts w:ascii="Sylfaen" w:hAnsi="Sylfaen" w:cstheme="minorHAnsi"/>
          <w:lang w:val="it-IT"/>
        </w:rPr>
        <w:t xml:space="preserve"> </w:t>
      </w:r>
      <w:r w:rsidRPr="001A72AA">
        <w:rPr>
          <w:rFonts w:ascii="Sylfaen" w:hAnsi="Sylfaen" w:cstheme="minorHAnsi"/>
        </w:rPr>
        <w:t>მუშაობის</w:t>
      </w:r>
      <w:r w:rsidRPr="001A72AA">
        <w:rPr>
          <w:rFonts w:ascii="Sylfaen" w:hAnsi="Sylfaen" w:cstheme="minorHAnsi"/>
          <w:lang w:val="it-IT"/>
        </w:rPr>
        <w:t xml:space="preserve"> </w:t>
      </w:r>
      <w:r w:rsidRPr="001A72AA">
        <w:rPr>
          <w:rFonts w:ascii="Sylfaen" w:hAnsi="Sylfaen" w:cstheme="minorHAnsi"/>
        </w:rPr>
        <w:t>დროს</w:t>
      </w:r>
      <w:r w:rsidRPr="001A72AA">
        <w:rPr>
          <w:rFonts w:ascii="Sylfaen" w:hAnsi="Sylfaen" w:cstheme="minorHAnsi"/>
          <w:lang w:val="it-IT"/>
        </w:rPr>
        <w:t xml:space="preserve">. </w:t>
      </w:r>
      <w:r w:rsidRPr="001A72AA">
        <w:rPr>
          <w:rFonts w:ascii="Sylfaen" w:hAnsi="Sylfaen" w:cstheme="minorHAnsi"/>
        </w:rPr>
        <w:t>ამ</w:t>
      </w:r>
      <w:r w:rsidRPr="001A72AA">
        <w:rPr>
          <w:rFonts w:ascii="Sylfaen" w:hAnsi="Sylfaen" w:cstheme="minorHAnsi"/>
          <w:lang w:val="it-IT"/>
        </w:rPr>
        <w:t xml:space="preserve"> </w:t>
      </w:r>
      <w:r w:rsidRPr="001A72AA">
        <w:rPr>
          <w:rFonts w:ascii="Sylfaen" w:hAnsi="Sylfaen" w:cstheme="minorHAnsi"/>
        </w:rPr>
        <w:t>ანგარიშში</w:t>
      </w:r>
      <w:r w:rsidRPr="001A72AA">
        <w:rPr>
          <w:rFonts w:ascii="Sylfaen" w:hAnsi="Sylfaen" w:cstheme="minorHAnsi"/>
          <w:lang w:val="it-IT"/>
        </w:rPr>
        <w:t xml:space="preserve"> </w:t>
      </w:r>
      <w:r w:rsidRPr="001A72AA">
        <w:rPr>
          <w:rFonts w:ascii="Sylfaen" w:hAnsi="Sylfaen" w:cstheme="minorHAnsi"/>
        </w:rPr>
        <w:t>წარმოდგენილი</w:t>
      </w:r>
      <w:r w:rsidRPr="001A72AA">
        <w:rPr>
          <w:rFonts w:ascii="Sylfaen" w:hAnsi="Sylfaen" w:cstheme="minorHAnsi"/>
          <w:lang w:val="it-IT"/>
        </w:rPr>
        <w:t xml:space="preserve"> </w:t>
      </w:r>
      <w:r w:rsidRPr="001A72AA">
        <w:rPr>
          <w:rFonts w:ascii="Sylfaen" w:hAnsi="Sylfaen" w:cstheme="minorHAnsi"/>
        </w:rPr>
        <w:t>სამივე</w:t>
      </w:r>
      <w:r w:rsidRPr="001A72AA">
        <w:rPr>
          <w:rFonts w:ascii="Sylfaen" w:hAnsi="Sylfaen" w:cstheme="minorHAnsi"/>
          <w:lang w:val="it-IT"/>
        </w:rPr>
        <w:t xml:space="preserve"> </w:t>
      </w:r>
      <w:r w:rsidRPr="001A72AA">
        <w:rPr>
          <w:rFonts w:ascii="Sylfaen" w:hAnsi="Sylfaen" w:cstheme="minorHAnsi"/>
        </w:rPr>
        <w:t>ალტერნატივა</w:t>
      </w:r>
      <w:r w:rsidRPr="001A72AA">
        <w:rPr>
          <w:rFonts w:ascii="Sylfaen" w:hAnsi="Sylfaen" w:cstheme="minorHAnsi"/>
          <w:lang w:val="it-IT"/>
        </w:rPr>
        <w:t xml:space="preserve"> </w:t>
      </w:r>
      <w:r w:rsidRPr="001A72AA">
        <w:rPr>
          <w:rFonts w:ascii="Sylfaen" w:hAnsi="Sylfaen" w:cstheme="minorHAnsi"/>
        </w:rPr>
        <w:t>მსგავსია</w:t>
      </w:r>
      <w:r w:rsidRPr="001A72AA">
        <w:rPr>
          <w:rFonts w:ascii="Sylfaen" w:hAnsi="Sylfaen" w:cstheme="minorHAnsi"/>
          <w:lang w:val="it-IT"/>
        </w:rPr>
        <w:t xml:space="preserve"> </w:t>
      </w:r>
      <w:r w:rsidRPr="001A72AA">
        <w:rPr>
          <w:rFonts w:ascii="Sylfaen" w:hAnsi="Sylfaen" w:cstheme="minorHAnsi"/>
        </w:rPr>
        <w:t>მიწის</w:t>
      </w:r>
      <w:r w:rsidRPr="001A72AA">
        <w:rPr>
          <w:rFonts w:ascii="Sylfaen" w:hAnsi="Sylfaen" w:cstheme="minorHAnsi"/>
          <w:lang w:val="it-IT"/>
        </w:rPr>
        <w:t xml:space="preserve"> </w:t>
      </w:r>
      <w:r w:rsidRPr="001A72AA">
        <w:rPr>
          <w:rFonts w:ascii="Sylfaen" w:hAnsi="Sylfaen" w:cstheme="minorHAnsi"/>
        </w:rPr>
        <w:t>მოპოვების</w:t>
      </w:r>
      <w:r w:rsidRPr="001A72AA">
        <w:rPr>
          <w:rFonts w:ascii="Sylfaen" w:hAnsi="Sylfaen" w:cstheme="minorHAnsi"/>
          <w:lang w:val="it-IT"/>
        </w:rPr>
        <w:t xml:space="preserve">, </w:t>
      </w:r>
      <w:r w:rsidRPr="001A72AA">
        <w:rPr>
          <w:rFonts w:ascii="Sylfaen" w:hAnsi="Sylfaen" w:cstheme="minorHAnsi"/>
        </w:rPr>
        <w:t>შემოსავლებში</w:t>
      </w:r>
      <w:r w:rsidRPr="001A72AA">
        <w:rPr>
          <w:rFonts w:ascii="Sylfaen" w:hAnsi="Sylfaen" w:cstheme="minorHAnsi"/>
          <w:lang w:val="it-IT"/>
        </w:rPr>
        <w:t xml:space="preserve"> </w:t>
      </w:r>
      <w:r w:rsidRPr="001A72AA">
        <w:rPr>
          <w:rFonts w:ascii="Sylfaen" w:hAnsi="Sylfaen" w:cstheme="minorHAnsi"/>
        </w:rPr>
        <w:t>ზარალის</w:t>
      </w:r>
      <w:r w:rsidRPr="001A72AA">
        <w:rPr>
          <w:rFonts w:ascii="Sylfaen" w:hAnsi="Sylfaen" w:cstheme="minorHAnsi"/>
          <w:lang w:val="it-IT"/>
        </w:rPr>
        <w:t xml:space="preserve"> </w:t>
      </w:r>
      <w:r w:rsidRPr="001A72AA">
        <w:rPr>
          <w:rFonts w:ascii="Sylfaen" w:hAnsi="Sylfaen" w:cstheme="minorHAnsi"/>
        </w:rPr>
        <w:t>და</w:t>
      </w:r>
      <w:r w:rsidRPr="001A72AA">
        <w:rPr>
          <w:rFonts w:ascii="Sylfaen" w:hAnsi="Sylfaen" w:cstheme="minorHAnsi"/>
          <w:lang w:val="it-IT"/>
        </w:rPr>
        <w:t xml:space="preserve"> </w:t>
      </w:r>
      <w:r w:rsidRPr="001A72AA">
        <w:rPr>
          <w:rFonts w:ascii="Sylfaen" w:hAnsi="Sylfaen" w:cstheme="minorHAnsi"/>
        </w:rPr>
        <w:t>პოტენციური</w:t>
      </w:r>
      <w:r w:rsidRPr="001A72AA">
        <w:rPr>
          <w:rFonts w:ascii="Sylfaen" w:hAnsi="Sylfaen" w:cstheme="minorHAnsi"/>
          <w:lang w:val="it-IT"/>
        </w:rPr>
        <w:t xml:space="preserve"> </w:t>
      </w:r>
      <w:r w:rsidRPr="001A72AA">
        <w:rPr>
          <w:rFonts w:ascii="Sylfaen" w:hAnsi="Sylfaen" w:cstheme="minorHAnsi"/>
        </w:rPr>
        <w:t>ეკონომიკური</w:t>
      </w:r>
      <w:r w:rsidRPr="001A72AA">
        <w:rPr>
          <w:rFonts w:ascii="Sylfaen" w:hAnsi="Sylfaen" w:cstheme="minorHAnsi"/>
          <w:lang w:val="it-IT"/>
        </w:rPr>
        <w:t xml:space="preserve"> </w:t>
      </w:r>
      <w:r w:rsidRPr="001A72AA">
        <w:rPr>
          <w:rFonts w:ascii="Sylfaen" w:hAnsi="Sylfaen" w:cstheme="minorHAnsi"/>
        </w:rPr>
        <w:t>ზემოქმედების</w:t>
      </w:r>
      <w:r w:rsidRPr="001A72AA">
        <w:rPr>
          <w:rFonts w:ascii="Sylfaen" w:hAnsi="Sylfaen" w:cstheme="minorHAnsi"/>
          <w:lang w:val="it-IT"/>
        </w:rPr>
        <w:t xml:space="preserve"> </w:t>
      </w:r>
      <w:r w:rsidRPr="001A72AA">
        <w:rPr>
          <w:rFonts w:ascii="Sylfaen" w:hAnsi="Sylfaen" w:cstheme="minorHAnsi"/>
        </w:rPr>
        <w:t>თვალსაზრისით</w:t>
      </w:r>
      <w:r w:rsidRPr="001A72AA">
        <w:rPr>
          <w:rFonts w:ascii="Sylfaen" w:hAnsi="Sylfaen" w:cstheme="minorHAnsi"/>
          <w:lang w:val="it-IT"/>
        </w:rPr>
        <w:t xml:space="preserve"> </w:t>
      </w:r>
      <w:r w:rsidRPr="001A72AA">
        <w:rPr>
          <w:rFonts w:ascii="Sylfaen" w:hAnsi="Sylfaen" w:cstheme="minorHAnsi"/>
        </w:rPr>
        <w:t>პროექტით</w:t>
      </w:r>
      <w:r w:rsidRPr="001A72AA">
        <w:rPr>
          <w:rFonts w:ascii="Sylfaen" w:hAnsi="Sylfaen" w:cstheme="minorHAnsi"/>
          <w:lang w:val="it-IT"/>
        </w:rPr>
        <w:t xml:space="preserve"> </w:t>
      </w:r>
      <w:r w:rsidRPr="001A72AA">
        <w:rPr>
          <w:rFonts w:ascii="Sylfaen" w:hAnsi="Sylfaen" w:cstheme="minorHAnsi"/>
        </w:rPr>
        <w:t>დაინტერესებული</w:t>
      </w:r>
      <w:r w:rsidRPr="001A72AA">
        <w:rPr>
          <w:rFonts w:ascii="Sylfaen" w:hAnsi="Sylfaen" w:cstheme="minorHAnsi"/>
          <w:lang w:val="it-IT"/>
        </w:rPr>
        <w:t xml:space="preserve"> </w:t>
      </w:r>
      <w:r w:rsidRPr="001A72AA">
        <w:rPr>
          <w:rFonts w:ascii="Sylfaen" w:hAnsi="Sylfaen" w:cstheme="minorHAnsi"/>
        </w:rPr>
        <w:t>უპირატესად</w:t>
      </w:r>
      <w:r w:rsidRPr="001A72AA">
        <w:rPr>
          <w:rFonts w:ascii="Sylfaen" w:hAnsi="Sylfaen" w:cstheme="minorHAnsi"/>
          <w:lang w:val="it-IT"/>
        </w:rPr>
        <w:t xml:space="preserve"> </w:t>
      </w:r>
      <w:r w:rsidRPr="001A72AA">
        <w:rPr>
          <w:rFonts w:ascii="Sylfaen" w:hAnsi="Sylfaen" w:cstheme="minorHAnsi"/>
        </w:rPr>
        <w:t>შერჩეული</w:t>
      </w:r>
      <w:r w:rsidRPr="001A72AA">
        <w:rPr>
          <w:rFonts w:ascii="Sylfaen" w:hAnsi="Sylfaen" w:cstheme="minorHAnsi"/>
          <w:lang w:val="it-IT"/>
        </w:rPr>
        <w:t xml:space="preserve"> </w:t>
      </w:r>
      <w:r w:rsidRPr="001A72AA">
        <w:rPr>
          <w:rFonts w:ascii="Sylfaen" w:hAnsi="Sylfaen" w:cstheme="minorHAnsi"/>
        </w:rPr>
        <w:t>გათანაბრების</w:t>
      </w:r>
      <w:r w:rsidRPr="001A72AA">
        <w:rPr>
          <w:rFonts w:ascii="Sylfaen" w:hAnsi="Sylfaen" w:cstheme="minorHAnsi"/>
          <w:lang w:val="it-IT"/>
        </w:rPr>
        <w:t xml:space="preserve"> </w:t>
      </w:r>
      <w:r w:rsidRPr="001A72AA">
        <w:rPr>
          <w:rFonts w:ascii="Sylfaen" w:hAnsi="Sylfaen" w:cstheme="minorHAnsi"/>
        </w:rPr>
        <w:t>მიწების</w:t>
      </w:r>
      <w:r w:rsidRPr="001A72AA">
        <w:rPr>
          <w:rFonts w:ascii="Sylfaen" w:hAnsi="Sylfaen" w:cstheme="minorHAnsi"/>
          <w:lang w:val="it-IT"/>
        </w:rPr>
        <w:t xml:space="preserve"> </w:t>
      </w:r>
      <w:r w:rsidRPr="001A72AA">
        <w:rPr>
          <w:rFonts w:ascii="Sylfaen" w:hAnsi="Sylfaen" w:cstheme="minorHAnsi"/>
        </w:rPr>
        <w:t>ფარგლებში</w:t>
      </w:r>
      <w:r w:rsidRPr="001A72AA">
        <w:rPr>
          <w:rFonts w:ascii="Sylfaen" w:hAnsi="Sylfaen" w:cstheme="minorHAnsi"/>
          <w:lang w:val="it-IT"/>
        </w:rPr>
        <w:t>. ალტერნატივებ</w:t>
      </w:r>
      <w:r w:rsidR="00073A7F" w:rsidRPr="001A72AA">
        <w:rPr>
          <w:rFonts w:ascii="Sylfaen" w:hAnsi="Sylfaen" w:cstheme="minorHAnsi"/>
          <w:lang w:val="it-IT"/>
        </w:rPr>
        <w:t>ი იყო იდენტიფიცირებული, მიენიჭა</w:t>
      </w:r>
      <w:r w:rsidR="00073A7F" w:rsidRPr="001A72AA">
        <w:rPr>
          <w:rFonts w:ascii="Sylfaen" w:hAnsi="Sylfaen" w:cstheme="minorHAnsi"/>
          <w:lang w:val="ka-GE"/>
        </w:rPr>
        <w:t>თ</w:t>
      </w:r>
      <w:r w:rsidR="00073A7F" w:rsidRPr="001A72AA">
        <w:rPr>
          <w:rFonts w:ascii="Sylfaen" w:hAnsi="Sylfaen" w:cstheme="minorHAnsi"/>
          <w:lang w:val="it-IT"/>
        </w:rPr>
        <w:t xml:space="preserve"> დასახელებები</w:t>
      </w:r>
      <w:r w:rsidR="00073A7F" w:rsidRPr="001A72AA">
        <w:rPr>
          <w:rFonts w:ascii="Sylfaen" w:hAnsi="Sylfaen" w:cstheme="minorHAnsi"/>
          <w:lang w:val="ka-GE"/>
        </w:rPr>
        <w:t xml:space="preserve"> და გამოყენებული იქნა</w:t>
      </w:r>
      <w:r w:rsidRPr="001A72AA">
        <w:rPr>
          <w:rFonts w:ascii="Sylfaen" w:hAnsi="Sylfaen" w:cstheme="minorHAnsi"/>
          <w:lang w:val="it-IT"/>
        </w:rPr>
        <w:t xml:space="preserve"> ქვემოთ </w:t>
      </w:r>
      <w:r w:rsidR="00073A7F" w:rsidRPr="001A72AA">
        <w:rPr>
          <w:rFonts w:ascii="Sylfaen" w:hAnsi="Sylfaen" w:cstheme="minorHAnsi"/>
          <w:lang w:val="ka-GE"/>
        </w:rPr>
        <w:t xml:space="preserve">მოცემულ </w:t>
      </w:r>
      <w:r w:rsidRPr="001A72AA">
        <w:rPr>
          <w:rFonts w:ascii="Sylfaen" w:hAnsi="Sylfaen" w:cstheme="minorHAnsi"/>
          <w:lang w:val="it-IT"/>
        </w:rPr>
        <w:t>რუკაზე სხვადასხვა ფერებში.</w:t>
      </w:r>
    </w:p>
    <w:p w14:paraId="47600DC1" w14:textId="77777777" w:rsidR="00DA2E66" w:rsidRPr="001A72AA" w:rsidRDefault="00073A7F" w:rsidP="002B56CC">
      <w:pPr>
        <w:spacing w:before="200" w:after="200"/>
        <w:rPr>
          <w:rFonts w:ascii="Sylfaen" w:hAnsi="Sylfaen"/>
          <w:lang w:val="it-IT"/>
        </w:rPr>
      </w:pPr>
      <w:r w:rsidRPr="001A72AA">
        <w:rPr>
          <w:rFonts w:ascii="Sylfaen" w:hAnsi="Sylfaen" w:cstheme="minorHAnsi"/>
        </w:rPr>
        <w:t>ქვემო</w:t>
      </w:r>
      <w:r w:rsidRPr="001A72AA">
        <w:rPr>
          <w:rFonts w:ascii="Sylfaen" w:hAnsi="Sylfaen" w:cstheme="minorHAnsi"/>
          <w:lang w:val="ka-GE"/>
        </w:rPr>
        <w:t>თ</w:t>
      </w:r>
      <w:r w:rsidR="00DA2E66" w:rsidRPr="001A72AA">
        <w:rPr>
          <w:rFonts w:ascii="Sylfaen" w:hAnsi="Sylfaen" w:cstheme="minorHAnsi"/>
          <w:lang w:val="it-IT"/>
        </w:rPr>
        <w:t xml:space="preserve"> </w:t>
      </w:r>
      <w:r w:rsidR="00DA2E66" w:rsidRPr="001A72AA">
        <w:rPr>
          <w:rFonts w:ascii="Sylfaen" w:hAnsi="Sylfaen" w:cstheme="minorHAnsi"/>
        </w:rPr>
        <w:t>აღწერილია</w:t>
      </w:r>
      <w:r w:rsidR="00DA2E66" w:rsidRPr="001A72AA">
        <w:rPr>
          <w:rFonts w:ascii="Sylfaen" w:hAnsi="Sylfaen" w:cstheme="minorHAnsi"/>
          <w:lang w:val="it-IT"/>
        </w:rPr>
        <w:t xml:space="preserve"> </w:t>
      </w:r>
      <w:r w:rsidR="001549F2">
        <w:rPr>
          <w:rFonts w:ascii="Sylfaen" w:hAnsi="Sylfaen" w:cs="Sylfaen"/>
          <w:lang w:val="ka-GE"/>
        </w:rPr>
        <w:t>გურჯაანი (ჩუმლაყი) - თელავის</w:t>
      </w:r>
      <w:r w:rsidR="001549F2" w:rsidRPr="00E625D3">
        <w:rPr>
          <w:rFonts w:ascii="Sylfaen" w:hAnsi="Sylfaen"/>
          <w:lang w:val="ka-GE"/>
        </w:rPr>
        <w:t xml:space="preserve"> </w:t>
      </w:r>
      <w:r w:rsidR="00DA2E66" w:rsidRPr="001A72AA">
        <w:rPr>
          <w:rFonts w:ascii="Sylfaen" w:hAnsi="Sylfaen" w:cstheme="minorHAnsi"/>
          <w:lang w:val="it-IT"/>
        </w:rPr>
        <w:t xml:space="preserve">ალტერნატივების </w:t>
      </w:r>
      <w:r w:rsidR="00DA2E66" w:rsidRPr="001A72AA">
        <w:rPr>
          <w:rFonts w:ascii="Sylfaen" w:hAnsi="Sylfaen" w:cstheme="minorHAnsi"/>
        </w:rPr>
        <w:t>გზის</w:t>
      </w:r>
      <w:r w:rsidR="00DA2E66" w:rsidRPr="001A72AA">
        <w:rPr>
          <w:rFonts w:ascii="Sylfaen" w:hAnsi="Sylfaen" w:cstheme="minorHAnsi"/>
          <w:lang w:val="it-IT"/>
        </w:rPr>
        <w:t xml:space="preserve"> </w:t>
      </w:r>
      <w:r w:rsidR="00DA2E66" w:rsidRPr="001A72AA">
        <w:rPr>
          <w:rFonts w:ascii="Sylfaen" w:hAnsi="Sylfaen" w:cstheme="minorHAnsi"/>
        </w:rPr>
        <w:t>მონაკვეთი</w:t>
      </w:r>
      <w:r w:rsidR="00DA2E66" w:rsidRPr="001A72AA">
        <w:rPr>
          <w:rFonts w:ascii="Sylfaen" w:hAnsi="Sylfaen" w:cstheme="minorHAnsi"/>
          <w:lang w:val="it-IT"/>
        </w:rPr>
        <w:t xml:space="preserve">, </w:t>
      </w:r>
      <w:r w:rsidR="00DA2E66" w:rsidRPr="001A72AA">
        <w:rPr>
          <w:rFonts w:ascii="Sylfaen" w:hAnsi="Sylfaen" w:cstheme="minorHAnsi"/>
        </w:rPr>
        <w:t>რომელიც</w:t>
      </w:r>
      <w:r w:rsidR="00DA2E66" w:rsidRPr="001A72AA">
        <w:rPr>
          <w:rFonts w:ascii="Sylfaen" w:hAnsi="Sylfaen" w:cstheme="minorHAnsi"/>
          <w:lang w:val="it-IT"/>
        </w:rPr>
        <w:t xml:space="preserve"> </w:t>
      </w:r>
      <w:r w:rsidR="00DA2E66" w:rsidRPr="001A72AA">
        <w:rPr>
          <w:rFonts w:ascii="Sylfaen" w:hAnsi="Sylfaen" w:cstheme="minorHAnsi"/>
        </w:rPr>
        <w:t>შედარე</w:t>
      </w:r>
      <w:r w:rsidRPr="001A72AA">
        <w:rPr>
          <w:rFonts w:ascii="Sylfaen" w:hAnsi="Sylfaen" w:cstheme="minorHAnsi"/>
        </w:rPr>
        <w:t>ბული</w:t>
      </w:r>
      <w:r w:rsidR="00DA2E66" w:rsidRPr="001A72AA">
        <w:rPr>
          <w:rFonts w:ascii="Sylfaen" w:hAnsi="Sylfaen" w:cstheme="minorHAnsi"/>
          <w:lang w:val="it-IT"/>
        </w:rPr>
        <w:t xml:space="preserve"> </w:t>
      </w:r>
      <w:r w:rsidR="00DA2E66" w:rsidRPr="001A72AA">
        <w:rPr>
          <w:rFonts w:ascii="Sylfaen" w:hAnsi="Sylfaen" w:cstheme="minorHAnsi"/>
        </w:rPr>
        <w:t>და</w:t>
      </w:r>
      <w:r w:rsidR="00DA2E66" w:rsidRPr="001A72AA">
        <w:rPr>
          <w:rFonts w:ascii="Sylfaen" w:hAnsi="Sylfaen" w:cstheme="minorHAnsi"/>
          <w:lang w:val="it-IT"/>
        </w:rPr>
        <w:t xml:space="preserve"> </w:t>
      </w:r>
      <w:r w:rsidR="00DA2E66" w:rsidRPr="001A72AA">
        <w:rPr>
          <w:rFonts w:ascii="Sylfaen" w:hAnsi="Sylfaen" w:cstheme="minorHAnsi"/>
        </w:rPr>
        <w:t>შეფასებული</w:t>
      </w:r>
      <w:r w:rsidRPr="001A72AA">
        <w:rPr>
          <w:rFonts w:ascii="Sylfaen" w:hAnsi="Sylfaen" w:cstheme="minorHAnsi"/>
          <w:lang w:val="ka-GE"/>
        </w:rPr>
        <w:t>ა</w:t>
      </w:r>
      <w:r w:rsidR="00DA2E66" w:rsidRPr="001A72AA">
        <w:rPr>
          <w:rFonts w:ascii="Sylfaen" w:hAnsi="Sylfaen" w:cstheme="minorHAnsi"/>
          <w:lang w:val="it-IT"/>
        </w:rPr>
        <w:t xml:space="preserve"> </w:t>
      </w:r>
      <w:r w:rsidR="00DA2E66" w:rsidRPr="001A72AA">
        <w:rPr>
          <w:rFonts w:ascii="Sylfaen" w:hAnsi="Sylfaen" w:cstheme="minorHAnsi"/>
        </w:rPr>
        <w:t>მიწის</w:t>
      </w:r>
      <w:r w:rsidR="00DA2E66" w:rsidRPr="001A72AA">
        <w:rPr>
          <w:rFonts w:ascii="Sylfaen" w:hAnsi="Sylfaen" w:cstheme="minorHAnsi"/>
          <w:lang w:val="it-IT"/>
        </w:rPr>
        <w:t>/</w:t>
      </w:r>
      <w:r w:rsidR="00DA2E66" w:rsidRPr="001A72AA">
        <w:rPr>
          <w:rFonts w:ascii="Sylfaen" w:hAnsi="Sylfaen" w:cstheme="minorHAnsi"/>
        </w:rPr>
        <w:t>აქტივების</w:t>
      </w:r>
      <w:r w:rsidR="00DA2E66" w:rsidRPr="001A72AA">
        <w:rPr>
          <w:rFonts w:ascii="Sylfaen" w:hAnsi="Sylfaen" w:cstheme="minorHAnsi"/>
          <w:lang w:val="it-IT"/>
        </w:rPr>
        <w:t xml:space="preserve"> </w:t>
      </w:r>
      <w:r w:rsidR="00DA2E66" w:rsidRPr="001A72AA">
        <w:rPr>
          <w:rFonts w:ascii="Sylfaen" w:hAnsi="Sylfaen" w:cstheme="minorHAnsi"/>
        </w:rPr>
        <w:t>მოპოვების</w:t>
      </w:r>
      <w:r w:rsidRPr="001A72AA">
        <w:rPr>
          <w:rFonts w:ascii="Sylfaen" w:hAnsi="Sylfaen" w:cstheme="minorHAnsi"/>
          <w:lang w:val="ka-GE"/>
        </w:rPr>
        <w:t>ა</w:t>
      </w:r>
      <w:r w:rsidR="00DA2E66" w:rsidRPr="001A72AA">
        <w:rPr>
          <w:rFonts w:ascii="Sylfaen" w:hAnsi="Sylfaen" w:cstheme="minorHAnsi"/>
          <w:lang w:val="it-IT"/>
        </w:rPr>
        <w:t xml:space="preserve"> </w:t>
      </w:r>
      <w:r w:rsidR="00DA2E66" w:rsidRPr="001A72AA">
        <w:rPr>
          <w:rFonts w:ascii="Sylfaen" w:hAnsi="Sylfaen" w:cstheme="minorHAnsi"/>
        </w:rPr>
        <w:t>და</w:t>
      </w:r>
      <w:r w:rsidR="00DA2E66" w:rsidRPr="001A72AA">
        <w:rPr>
          <w:rFonts w:ascii="Sylfaen" w:hAnsi="Sylfaen" w:cstheme="minorHAnsi"/>
          <w:lang w:val="it-IT"/>
        </w:rPr>
        <w:t xml:space="preserve"> </w:t>
      </w:r>
      <w:r w:rsidR="00DA2E66" w:rsidRPr="001A72AA">
        <w:rPr>
          <w:rFonts w:ascii="Sylfaen" w:hAnsi="Sylfaen" w:cstheme="minorHAnsi"/>
        </w:rPr>
        <w:t>ბიუჯეტის</w:t>
      </w:r>
      <w:r w:rsidR="00DA2E66" w:rsidRPr="001A72AA">
        <w:rPr>
          <w:rFonts w:ascii="Sylfaen" w:hAnsi="Sylfaen" w:cstheme="minorHAnsi"/>
          <w:lang w:val="it-IT"/>
        </w:rPr>
        <w:t xml:space="preserve"> </w:t>
      </w:r>
      <w:r w:rsidR="00DA2E66" w:rsidRPr="001A72AA">
        <w:rPr>
          <w:rFonts w:ascii="Sylfaen" w:hAnsi="Sylfaen" w:cstheme="minorHAnsi"/>
        </w:rPr>
        <w:t>შეფასების</w:t>
      </w:r>
      <w:r w:rsidR="00DA2E66" w:rsidRPr="001A72AA">
        <w:rPr>
          <w:rFonts w:ascii="Sylfaen" w:hAnsi="Sylfaen" w:cstheme="minorHAnsi"/>
          <w:lang w:val="it-IT"/>
        </w:rPr>
        <w:t xml:space="preserve"> </w:t>
      </w:r>
      <w:r w:rsidRPr="001A72AA">
        <w:rPr>
          <w:rFonts w:ascii="Sylfaen" w:hAnsi="Sylfaen" w:cstheme="minorHAnsi"/>
          <w:lang w:val="ka-GE"/>
        </w:rPr>
        <w:t>მხრივ</w:t>
      </w:r>
      <w:r w:rsidR="00DA2E66" w:rsidRPr="001A72AA">
        <w:rPr>
          <w:rFonts w:ascii="Sylfaen" w:hAnsi="Sylfaen" w:cstheme="minorHAnsi"/>
          <w:lang w:val="it-IT"/>
        </w:rPr>
        <w:t xml:space="preserve"> </w:t>
      </w:r>
      <w:r w:rsidR="00DA2E66" w:rsidRPr="001A72AA">
        <w:rPr>
          <w:rFonts w:ascii="Sylfaen" w:hAnsi="Sylfaen" w:cstheme="minorHAnsi"/>
        </w:rPr>
        <w:t>ფულად</w:t>
      </w:r>
      <w:r w:rsidRPr="001A72AA">
        <w:rPr>
          <w:rFonts w:ascii="Sylfaen" w:hAnsi="Sylfaen" w:cstheme="minorHAnsi"/>
          <w:lang w:val="ka-GE"/>
        </w:rPr>
        <w:t>ი</w:t>
      </w:r>
      <w:r w:rsidR="00DA2E66" w:rsidRPr="001A72AA">
        <w:rPr>
          <w:rFonts w:ascii="Sylfaen" w:hAnsi="Sylfaen" w:cstheme="minorHAnsi"/>
          <w:lang w:val="it-IT"/>
        </w:rPr>
        <w:t xml:space="preserve"> </w:t>
      </w:r>
      <w:r w:rsidR="00DA2E66" w:rsidRPr="001A72AA">
        <w:rPr>
          <w:rFonts w:ascii="Sylfaen" w:hAnsi="Sylfaen" w:cstheme="minorHAnsi"/>
        </w:rPr>
        <w:t>კომპენსაციისათვის</w:t>
      </w:r>
      <w:r w:rsidR="00DA2E66" w:rsidRPr="001A72AA">
        <w:rPr>
          <w:rFonts w:ascii="Sylfaen" w:hAnsi="Sylfaen" w:cstheme="minorHAnsi"/>
          <w:lang w:val="it-IT"/>
        </w:rPr>
        <w:t xml:space="preserve">, </w:t>
      </w:r>
      <w:r w:rsidR="00DA2E66" w:rsidRPr="001A72AA">
        <w:rPr>
          <w:rFonts w:ascii="Sylfaen" w:hAnsi="Sylfaen" w:cstheme="minorHAnsi"/>
        </w:rPr>
        <w:t>რომელიც</w:t>
      </w:r>
      <w:r w:rsidR="00DA2E66" w:rsidRPr="001A72AA">
        <w:rPr>
          <w:rFonts w:ascii="Sylfaen" w:hAnsi="Sylfaen" w:cstheme="minorHAnsi"/>
          <w:lang w:val="it-IT"/>
        </w:rPr>
        <w:t xml:space="preserve"> </w:t>
      </w:r>
      <w:r w:rsidR="00DA2E66" w:rsidRPr="001A72AA">
        <w:rPr>
          <w:rFonts w:ascii="Sylfaen" w:hAnsi="Sylfaen" w:cstheme="minorHAnsi"/>
        </w:rPr>
        <w:t>გამოთვლილია</w:t>
      </w:r>
      <w:r w:rsidR="00DA2E66" w:rsidRPr="001A72AA">
        <w:rPr>
          <w:rFonts w:ascii="Sylfaen" w:hAnsi="Sylfaen" w:cstheme="minorHAnsi"/>
          <w:lang w:val="it-IT"/>
        </w:rPr>
        <w:t xml:space="preserve"> </w:t>
      </w:r>
      <w:r w:rsidR="00DA2E66" w:rsidRPr="001A72AA">
        <w:rPr>
          <w:rFonts w:ascii="Sylfaen" w:hAnsi="Sylfaen" w:cstheme="minorHAnsi"/>
        </w:rPr>
        <w:t>კომპენსაციაზე</w:t>
      </w:r>
      <w:r w:rsidR="00DA2E66" w:rsidRPr="001A72AA">
        <w:rPr>
          <w:rFonts w:ascii="Sylfaen" w:hAnsi="Sylfaen" w:cstheme="minorHAnsi"/>
          <w:lang w:val="it-IT"/>
        </w:rPr>
        <w:t xml:space="preserve"> </w:t>
      </w:r>
      <w:r w:rsidR="00DA2E66" w:rsidRPr="001A72AA">
        <w:rPr>
          <w:rFonts w:ascii="Sylfaen" w:hAnsi="Sylfaen" w:cstheme="minorHAnsi"/>
        </w:rPr>
        <w:t>შეთანხმების</w:t>
      </w:r>
      <w:r w:rsidR="00DA2E66" w:rsidRPr="001A72AA">
        <w:rPr>
          <w:rFonts w:ascii="Sylfaen" w:hAnsi="Sylfaen" w:cstheme="minorHAnsi"/>
          <w:lang w:val="it-IT"/>
        </w:rPr>
        <w:t xml:space="preserve"> და საქართველოს კანონმდებლობის </w:t>
      </w:r>
      <w:r w:rsidR="00DA2E66" w:rsidRPr="001A72AA">
        <w:rPr>
          <w:rFonts w:ascii="Sylfaen" w:hAnsi="Sylfaen" w:cstheme="minorHAnsi"/>
        </w:rPr>
        <w:t>და</w:t>
      </w:r>
      <w:r w:rsidR="00DA2E66" w:rsidRPr="001A72AA">
        <w:rPr>
          <w:rFonts w:ascii="Sylfaen" w:hAnsi="Sylfaen" w:cstheme="minorHAnsi"/>
          <w:lang w:val="it-IT"/>
        </w:rPr>
        <w:t xml:space="preserve"> </w:t>
      </w:r>
      <w:r w:rsidRPr="001A72AA">
        <w:rPr>
          <w:rFonts w:ascii="Sylfaen" w:hAnsi="Sylfaen" w:cstheme="minorHAnsi"/>
          <w:lang w:val="ka-GE"/>
        </w:rPr>
        <w:t>მსოფლიო ბანკის</w:t>
      </w:r>
      <w:r w:rsidR="00DA2E66" w:rsidRPr="001A72AA">
        <w:rPr>
          <w:rFonts w:ascii="Sylfaen" w:hAnsi="Sylfaen" w:cstheme="minorHAnsi"/>
          <w:lang w:val="it-IT"/>
        </w:rPr>
        <w:t xml:space="preserve"> OP 4</w:t>
      </w:r>
      <w:r w:rsidRPr="001A72AA">
        <w:rPr>
          <w:rFonts w:ascii="Sylfaen" w:hAnsi="Sylfaen" w:cstheme="minorHAnsi"/>
          <w:lang w:val="it-IT"/>
        </w:rPr>
        <w:t>.12 არანებაყოფლობით განსახლებ</w:t>
      </w:r>
      <w:r w:rsidRPr="001A72AA">
        <w:rPr>
          <w:rFonts w:ascii="Sylfaen" w:hAnsi="Sylfaen" w:cstheme="minorHAnsi"/>
          <w:lang w:val="ka-GE"/>
        </w:rPr>
        <w:t>ის შესახებ</w:t>
      </w:r>
      <w:r w:rsidR="00DA2E66" w:rsidRPr="001A72AA">
        <w:rPr>
          <w:rFonts w:ascii="Sylfaen" w:hAnsi="Sylfaen" w:cstheme="minorHAnsi"/>
          <w:lang w:val="it-IT"/>
        </w:rPr>
        <w:t xml:space="preserve"> </w:t>
      </w:r>
      <w:r w:rsidR="00DA2E66" w:rsidRPr="001A72AA">
        <w:rPr>
          <w:rFonts w:ascii="Sylfaen" w:hAnsi="Sylfaen" w:cstheme="minorHAnsi"/>
        </w:rPr>
        <w:t>შესაბამისად</w:t>
      </w:r>
      <w:r w:rsidR="00DA2E66" w:rsidRPr="001A72AA">
        <w:rPr>
          <w:rFonts w:ascii="Sylfaen" w:hAnsi="Sylfaen" w:cstheme="minorHAnsi"/>
          <w:lang w:val="it-IT"/>
        </w:rPr>
        <w:t>. კომპენსაციის კოეფიციენტები, რომლებიც გამოყენებულია</w:t>
      </w:r>
      <w:r w:rsidR="00B9517B" w:rsidRPr="001A72AA">
        <w:rPr>
          <w:rFonts w:ascii="Sylfaen" w:hAnsi="Sylfaen" w:cstheme="minorHAnsi"/>
          <w:lang w:val="ka-GE"/>
        </w:rPr>
        <w:t xml:space="preserve"> </w:t>
      </w:r>
      <w:r w:rsidR="00B9517B" w:rsidRPr="001A72AA">
        <w:rPr>
          <w:rFonts w:ascii="Sylfaen" w:hAnsi="Sylfaen" w:cstheme="minorHAnsi"/>
          <w:lang w:val="it-IT"/>
        </w:rPr>
        <w:t>ხარჯების შესა</w:t>
      </w:r>
      <w:r w:rsidR="00B9517B" w:rsidRPr="001A72AA">
        <w:rPr>
          <w:rFonts w:ascii="Sylfaen" w:hAnsi="Sylfaen" w:cstheme="minorHAnsi"/>
          <w:lang w:val="ka-GE"/>
        </w:rPr>
        <w:t xml:space="preserve">ფასებლად </w:t>
      </w:r>
      <w:r w:rsidR="00DA2E66" w:rsidRPr="001A72AA">
        <w:rPr>
          <w:rFonts w:ascii="Sylfaen" w:hAnsi="Sylfaen" w:cstheme="minorHAnsi"/>
          <w:lang w:val="en-US"/>
        </w:rPr>
        <w:t>კონსულტანტმა</w:t>
      </w:r>
      <w:r w:rsidR="00DA2E66" w:rsidRPr="001A72AA">
        <w:rPr>
          <w:rFonts w:ascii="Sylfaen" w:hAnsi="Sylfaen" w:cstheme="minorHAnsi"/>
          <w:lang w:val="it-IT"/>
        </w:rPr>
        <w:t xml:space="preserve"> </w:t>
      </w:r>
      <w:r w:rsidR="00DA2E66" w:rsidRPr="001A72AA">
        <w:rPr>
          <w:rFonts w:ascii="Sylfaen" w:hAnsi="Sylfaen" w:cstheme="minorHAnsi"/>
          <w:lang w:val="en-US"/>
        </w:rPr>
        <w:t>დაკვირვებით</w:t>
      </w:r>
      <w:r w:rsidR="00DA2E66" w:rsidRPr="001A72AA">
        <w:rPr>
          <w:rFonts w:ascii="Sylfaen" w:hAnsi="Sylfaen" w:cstheme="minorHAnsi"/>
          <w:lang w:val="it-IT"/>
        </w:rPr>
        <w:t xml:space="preserve"> </w:t>
      </w:r>
      <w:r w:rsidR="00DA2E66" w:rsidRPr="001A72AA">
        <w:rPr>
          <w:rFonts w:ascii="Sylfaen" w:hAnsi="Sylfaen" w:cstheme="minorHAnsi"/>
          <w:lang w:val="en-US"/>
        </w:rPr>
        <w:t>შეისწავლა</w:t>
      </w:r>
      <w:r w:rsidR="00B9517B" w:rsidRPr="001A72AA">
        <w:rPr>
          <w:rFonts w:ascii="Sylfaen" w:hAnsi="Sylfaen" w:cstheme="minorHAnsi"/>
          <w:lang w:val="it-IT"/>
        </w:rPr>
        <w:t xml:space="preserve"> RPF</w:t>
      </w:r>
      <w:r w:rsidR="00696FA5">
        <w:rPr>
          <w:rFonts w:ascii="Sylfaen" w:hAnsi="Sylfaen" w:cstheme="minorHAnsi"/>
          <w:vertAlign w:val="superscript"/>
          <w:lang w:val="ka-GE"/>
        </w:rPr>
        <w:t xml:space="preserve"> </w:t>
      </w:r>
      <w:r w:rsidR="00DA2E66" w:rsidRPr="001A72AA">
        <w:rPr>
          <w:rFonts w:ascii="Sylfaen" w:hAnsi="Sylfaen" w:cstheme="minorHAnsi"/>
          <w:lang w:val="it-IT"/>
        </w:rPr>
        <w:t>მიზნები, რომლებიც შეთანხმებულია რეგიონალური განვითარების და ინფრასტრუქტურის სამინისტროს</w:t>
      </w:r>
      <w:r w:rsidR="00B9517B" w:rsidRPr="001A72AA">
        <w:rPr>
          <w:rFonts w:ascii="Sylfaen" w:hAnsi="Sylfaen" w:cstheme="minorHAnsi"/>
          <w:lang w:val="ka-GE"/>
        </w:rPr>
        <w:t xml:space="preserve"> </w:t>
      </w:r>
      <w:r w:rsidR="00B9517B" w:rsidRPr="001A72AA">
        <w:rPr>
          <w:rFonts w:ascii="Sylfaen" w:hAnsi="Sylfaen" w:cstheme="minorHAnsi"/>
          <w:lang w:val="it-IT"/>
        </w:rPr>
        <w:t xml:space="preserve">გზების დეპარტამენტთან </w:t>
      </w:r>
      <w:r w:rsidR="00B9517B" w:rsidRPr="001A72AA">
        <w:rPr>
          <w:rFonts w:ascii="Sylfaen" w:hAnsi="Sylfaen" w:cstheme="minorHAnsi"/>
          <w:lang w:val="ka-GE"/>
        </w:rPr>
        <w:t xml:space="preserve"> და მსოფლიო ბანკთან,</w:t>
      </w:r>
      <w:r w:rsidR="00DA2E66" w:rsidRPr="001A72AA">
        <w:rPr>
          <w:rFonts w:ascii="Sylfaen" w:hAnsi="Sylfaen" w:cstheme="minorHAnsi"/>
          <w:lang w:val="it-IT"/>
        </w:rPr>
        <w:t xml:space="preserve"> რაც გამოყენებული იქნება როგორც ძირითადი დოკუმენტი განსახლების სოციალური ზემოქმედების საკითხების გადასაჭრელად სხვადასხვა რეაბილიტაციის პროექტებში საქართველოში. შესაბამისად,</w:t>
      </w:r>
      <w:r w:rsidR="00B9517B" w:rsidRPr="001A72AA">
        <w:rPr>
          <w:rFonts w:ascii="Sylfaen" w:hAnsi="Sylfaen" w:cstheme="minorHAnsi"/>
          <w:lang w:val="it-IT"/>
        </w:rPr>
        <w:t xml:space="preserve"> ალტერნატივების შესწავლისას RPF</w:t>
      </w:r>
      <w:r w:rsidR="00DA2E66" w:rsidRPr="001A72AA">
        <w:rPr>
          <w:rFonts w:ascii="Sylfaen" w:hAnsi="Sylfaen" w:cstheme="minorHAnsi"/>
          <w:lang w:val="it-IT"/>
        </w:rPr>
        <w:t>-ს პრინციპები დეტალურად იყო შესწავლილი პროექტის ზემოქმედების</w:t>
      </w:r>
      <w:r w:rsidR="00B9517B" w:rsidRPr="001A72AA">
        <w:rPr>
          <w:rFonts w:ascii="Sylfaen" w:hAnsi="Sylfaen" w:cstheme="minorHAnsi"/>
          <w:lang w:val="ka-GE"/>
        </w:rPr>
        <w:t>თვის</w:t>
      </w:r>
      <w:r w:rsidR="00DA2E66" w:rsidRPr="001A72AA">
        <w:rPr>
          <w:rFonts w:ascii="Sylfaen" w:hAnsi="Sylfaen" w:cstheme="minorHAnsi"/>
          <w:lang w:val="it-IT"/>
        </w:rPr>
        <w:t xml:space="preserve"> და შეთავაზებული და შეფასებული RAP ბიუჯეტის თვალსაზრისით ცალკ-ცალკე ყოველ ალტერნატიულ საგზაო მონაკვეთზე</w:t>
      </w:r>
      <w:r w:rsidR="00DA2E66" w:rsidRPr="001A72AA">
        <w:rPr>
          <w:rFonts w:ascii="Sylfaen" w:hAnsi="Sylfaen"/>
          <w:lang w:val="it-IT"/>
        </w:rPr>
        <w:t>.</w:t>
      </w:r>
      <w:r w:rsidR="00DA2E66" w:rsidRPr="001A72AA">
        <w:rPr>
          <w:rFonts w:ascii="Sylfaen" w:hAnsi="Sylfaen"/>
          <w:lang w:val="it-IT"/>
        </w:rPr>
        <w:tab/>
      </w:r>
    </w:p>
    <w:p w14:paraId="4AFC7D27" w14:textId="35CEB9CB" w:rsidR="00DA2E66" w:rsidRPr="001A72AA" w:rsidRDefault="00DA2E66" w:rsidP="001A72AA">
      <w:pPr>
        <w:pStyle w:val="EIAheading2"/>
        <w:rPr>
          <w:lang w:val="it-IT"/>
        </w:rPr>
      </w:pPr>
      <w:bookmarkStart w:id="39" w:name="_Toc1581488"/>
      <w:r w:rsidRPr="001A72AA">
        <w:rPr>
          <w:lang w:val="it-IT"/>
        </w:rPr>
        <w:t xml:space="preserve">3.3 </w:t>
      </w:r>
      <w:r w:rsidR="009F6AAF">
        <w:rPr>
          <w:rFonts w:ascii="Sylfaen" w:hAnsi="Sylfaen"/>
          <w:lang w:val="ka-GE"/>
        </w:rPr>
        <w:t>გურჯაანის (ჩუმლაყი)</w:t>
      </w:r>
      <w:r w:rsidR="009F6AAF">
        <w:rPr>
          <w:rFonts w:ascii="Sylfaen" w:hAnsi="Sylfaen"/>
          <w:lang w:val="en-US"/>
        </w:rPr>
        <w:t>-</w:t>
      </w:r>
      <w:r w:rsidR="009F6AAF">
        <w:rPr>
          <w:rFonts w:ascii="Sylfaen" w:hAnsi="Sylfaen"/>
          <w:lang w:val="ka-GE"/>
        </w:rPr>
        <w:t xml:space="preserve">თელავის </w:t>
      </w:r>
      <w:r w:rsidRPr="001A72AA">
        <w:rPr>
          <w:rFonts w:ascii="Sylfaen" w:hAnsi="Sylfaen" w:cs="Sylfaen"/>
        </w:rPr>
        <w:t>ალტერნატივების</w:t>
      </w:r>
      <w:r w:rsidRPr="001A72AA">
        <w:rPr>
          <w:lang w:val="it-IT"/>
        </w:rPr>
        <w:t xml:space="preserve"> </w:t>
      </w:r>
      <w:r w:rsidRPr="001A72AA">
        <w:rPr>
          <w:rFonts w:ascii="Sylfaen" w:hAnsi="Sylfaen" w:cs="Sylfaen"/>
        </w:rPr>
        <w:t>საპროექტო</w:t>
      </w:r>
      <w:r w:rsidRPr="001A72AA">
        <w:rPr>
          <w:lang w:val="it-IT"/>
        </w:rPr>
        <w:t xml:space="preserve"> </w:t>
      </w:r>
      <w:r w:rsidRPr="001A72AA">
        <w:rPr>
          <w:rFonts w:ascii="Sylfaen" w:hAnsi="Sylfaen" w:cs="Sylfaen"/>
        </w:rPr>
        <w:t>ზემოქმედების</w:t>
      </w:r>
      <w:r w:rsidRPr="001A72AA">
        <w:rPr>
          <w:lang w:val="it-IT"/>
        </w:rPr>
        <w:t xml:space="preserve"> </w:t>
      </w:r>
      <w:r w:rsidR="0023451D">
        <w:rPr>
          <w:rFonts w:ascii="Sylfaen" w:hAnsi="Sylfaen" w:cs="Sylfaen"/>
        </w:rPr>
        <w:t>შეჯამება</w:t>
      </w:r>
      <w:bookmarkEnd w:id="39"/>
    </w:p>
    <w:p w14:paraId="535A2B6A" w14:textId="5A721FAD" w:rsidR="00DA2E66" w:rsidRPr="001A72AA" w:rsidRDefault="00DA2E66" w:rsidP="002B56CC">
      <w:pPr>
        <w:tabs>
          <w:tab w:val="left" w:pos="1080"/>
        </w:tabs>
        <w:spacing w:before="200" w:after="200"/>
        <w:rPr>
          <w:rFonts w:ascii="Sylfaen" w:hAnsi="Sylfaen" w:cstheme="minorHAnsi"/>
          <w:lang w:val="it-IT"/>
        </w:rPr>
      </w:pPr>
      <w:r w:rsidRPr="001A72AA">
        <w:rPr>
          <w:rFonts w:ascii="Sylfaen" w:hAnsi="Sylfaen" w:cs="Sylfaen"/>
          <w:lang w:val="ka-GE"/>
        </w:rPr>
        <w:t>დასასრულს</w:t>
      </w:r>
      <w:r w:rsidRPr="001A72AA">
        <w:rPr>
          <w:rFonts w:ascii="Sylfaen" w:hAnsi="Sylfaen" w:cs="Arial"/>
          <w:lang w:val="ka-GE"/>
        </w:rPr>
        <w:t xml:space="preserve"> </w:t>
      </w:r>
      <w:r w:rsidRPr="001A72AA">
        <w:rPr>
          <w:rFonts w:ascii="Sylfaen" w:hAnsi="Sylfaen" w:cs="Sylfaen"/>
          <w:lang w:val="ka-GE"/>
        </w:rPr>
        <w:t>შეიძლება</w:t>
      </w:r>
      <w:r w:rsidRPr="001A72AA">
        <w:rPr>
          <w:rFonts w:ascii="Sylfaen" w:hAnsi="Sylfaen"/>
          <w:lang w:val="ka-GE"/>
        </w:rPr>
        <w:t xml:space="preserve"> </w:t>
      </w:r>
      <w:r w:rsidRPr="001A72AA">
        <w:rPr>
          <w:rFonts w:ascii="Sylfaen" w:hAnsi="Sylfaen" w:cs="Sylfaen"/>
          <w:lang w:val="ka-GE"/>
        </w:rPr>
        <w:t>ითქვას</w:t>
      </w:r>
      <w:r w:rsidRPr="001A72AA">
        <w:rPr>
          <w:rFonts w:ascii="Sylfaen" w:hAnsi="Sylfaen" w:cs="Arial"/>
          <w:lang w:val="ka-GE"/>
        </w:rPr>
        <w:t xml:space="preserve">, </w:t>
      </w:r>
      <w:r w:rsidRPr="001A72AA">
        <w:rPr>
          <w:rFonts w:ascii="Sylfaen" w:hAnsi="Sylfaen" w:cs="Sylfaen"/>
          <w:lang w:val="ka-GE"/>
        </w:rPr>
        <w:t>რომ</w:t>
      </w:r>
      <w:r w:rsidRPr="001A72AA">
        <w:rPr>
          <w:rFonts w:ascii="Sylfaen" w:hAnsi="Sylfaen" w:cs="Arial"/>
          <w:lang w:val="ka-GE"/>
        </w:rPr>
        <w:t xml:space="preserve"> </w:t>
      </w:r>
      <w:r w:rsidRPr="001A72AA">
        <w:rPr>
          <w:rFonts w:ascii="Sylfaen" w:hAnsi="Sylfaen" w:cs="Sylfaen"/>
          <w:lang w:val="ka-GE"/>
        </w:rPr>
        <w:t>ალტერნატიული</w:t>
      </w:r>
      <w:r w:rsidRPr="001A72AA">
        <w:rPr>
          <w:rFonts w:ascii="Sylfaen" w:hAnsi="Sylfaen" w:cs="Arial"/>
          <w:lang w:val="ka-GE"/>
        </w:rPr>
        <w:t xml:space="preserve"> </w:t>
      </w:r>
      <w:r w:rsidR="002E2E71" w:rsidRPr="00980876">
        <w:rPr>
          <w:rFonts w:ascii="Sylfaen" w:hAnsi="Sylfaen" w:cs="Arial"/>
          <w:lang w:val="it-IT"/>
        </w:rPr>
        <w:t>TS</w:t>
      </w:r>
      <w:r w:rsidRPr="001A72AA">
        <w:rPr>
          <w:rFonts w:ascii="Sylfaen" w:hAnsi="Sylfaen" w:cs="Arial"/>
          <w:lang w:val="ka-GE"/>
        </w:rPr>
        <w:t xml:space="preserve"> </w:t>
      </w:r>
      <w:r w:rsidR="00BE4DCF" w:rsidRPr="00980876">
        <w:rPr>
          <w:rFonts w:ascii="Sylfaen" w:hAnsi="Sylfaen" w:cs="Arial"/>
          <w:lang w:val="it-IT"/>
        </w:rPr>
        <w:t>(</w:t>
      </w:r>
      <w:r w:rsidR="00BE4DCF" w:rsidRPr="005C296B">
        <w:rPr>
          <w:rFonts w:ascii="Sylfaen" w:hAnsi="Sylfaen"/>
          <w:lang w:val="ka-GE"/>
        </w:rPr>
        <w:t>ღია ლურჯი ხაზი</w:t>
      </w:r>
      <w:r w:rsidR="00BE4DCF" w:rsidRPr="00980876">
        <w:rPr>
          <w:rFonts w:ascii="Sylfaen" w:hAnsi="Sylfaen"/>
          <w:lang w:val="it-IT"/>
        </w:rPr>
        <w:t xml:space="preserve">) </w:t>
      </w:r>
      <w:r w:rsidRPr="001A72AA">
        <w:rPr>
          <w:rFonts w:ascii="Sylfaen" w:hAnsi="Sylfaen" w:cs="Sylfaen"/>
          <w:lang w:val="ka-GE"/>
        </w:rPr>
        <w:t>სასურველია</w:t>
      </w:r>
      <w:r w:rsidRPr="001A72AA">
        <w:rPr>
          <w:rFonts w:ascii="Sylfaen" w:hAnsi="Sylfaen" w:cs="Arial"/>
          <w:lang w:val="ka-GE"/>
        </w:rPr>
        <w:t xml:space="preserve"> </w:t>
      </w:r>
      <w:r w:rsidRPr="001A72AA">
        <w:rPr>
          <w:rFonts w:ascii="Sylfaen" w:hAnsi="Sylfaen" w:cs="Sylfaen"/>
          <w:lang w:val="ka-GE"/>
        </w:rPr>
        <w:t>გეომორფოლოგიის</w:t>
      </w:r>
      <w:r w:rsidRPr="001A72AA">
        <w:rPr>
          <w:rFonts w:ascii="Sylfaen" w:hAnsi="Sylfaen" w:cs="Arial"/>
          <w:lang w:val="ka-GE"/>
        </w:rPr>
        <w:t>,</w:t>
      </w:r>
      <w:r w:rsidRPr="001A72AA">
        <w:rPr>
          <w:rFonts w:ascii="Sylfaen" w:hAnsi="Sylfaen"/>
          <w:lang w:val="ka-GE"/>
        </w:rPr>
        <w:t xml:space="preserve"> </w:t>
      </w:r>
      <w:r w:rsidRPr="001A72AA">
        <w:rPr>
          <w:rFonts w:ascii="Sylfaen" w:hAnsi="Sylfaen" w:cs="Sylfaen"/>
          <w:lang w:val="ka-GE"/>
        </w:rPr>
        <w:t>ბუნებრივი</w:t>
      </w:r>
      <w:r w:rsidRPr="001A72AA">
        <w:rPr>
          <w:rFonts w:ascii="Sylfaen" w:hAnsi="Sylfaen" w:cs="Arial"/>
          <w:lang w:val="ka-GE"/>
        </w:rPr>
        <w:t xml:space="preserve"> </w:t>
      </w:r>
      <w:r w:rsidRPr="001A72AA">
        <w:rPr>
          <w:rFonts w:ascii="Sylfaen" w:hAnsi="Sylfaen" w:cs="Sylfaen"/>
          <w:lang w:val="ka-GE"/>
        </w:rPr>
        <w:t>და</w:t>
      </w:r>
      <w:r w:rsidRPr="001A72AA">
        <w:rPr>
          <w:rFonts w:ascii="Sylfaen" w:hAnsi="Sylfaen" w:cs="Arial"/>
          <w:lang w:val="ka-GE"/>
        </w:rPr>
        <w:t xml:space="preserve"> </w:t>
      </w:r>
      <w:r w:rsidRPr="001A72AA">
        <w:rPr>
          <w:rFonts w:ascii="Sylfaen" w:hAnsi="Sylfaen" w:cs="Sylfaen"/>
          <w:lang w:val="ka-GE"/>
        </w:rPr>
        <w:t>სოციალური</w:t>
      </w:r>
      <w:r w:rsidRPr="001A72AA">
        <w:rPr>
          <w:rFonts w:ascii="Sylfaen" w:hAnsi="Sylfaen" w:cs="Arial"/>
          <w:lang w:val="ka-GE"/>
        </w:rPr>
        <w:t xml:space="preserve"> </w:t>
      </w:r>
      <w:r w:rsidRPr="001A72AA">
        <w:rPr>
          <w:rFonts w:ascii="Sylfaen" w:hAnsi="Sylfaen" w:cs="Sylfaen"/>
          <w:lang w:val="ka-GE"/>
        </w:rPr>
        <w:t>გარემოს</w:t>
      </w:r>
      <w:r w:rsidRPr="001A72AA">
        <w:rPr>
          <w:rFonts w:ascii="Sylfaen" w:hAnsi="Sylfaen" w:cs="Arial"/>
          <w:lang w:val="ka-GE"/>
        </w:rPr>
        <w:t xml:space="preserve"> </w:t>
      </w:r>
      <w:r w:rsidRPr="001A72AA">
        <w:rPr>
          <w:rFonts w:ascii="Sylfaen" w:hAnsi="Sylfaen" w:cs="Sylfaen"/>
          <w:lang w:val="ka-GE"/>
        </w:rPr>
        <w:t>თვალსაზრისით</w:t>
      </w:r>
      <w:r w:rsidRPr="001A72AA">
        <w:rPr>
          <w:rFonts w:ascii="Sylfaen" w:hAnsi="Sylfaen" w:cs="Arial"/>
          <w:lang w:val="ka-GE"/>
        </w:rPr>
        <w:t xml:space="preserve">, </w:t>
      </w:r>
      <w:r w:rsidRPr="001A72AA">
        <w:rPr>
          <w:rFonts w:ascii="Sylfaen" w:hAnsi="Sylfaen" w:cs="Sylfaen"/>
          <w:lang w:val="ka-GE"/>
        </w:rPr>
        <w:t>სატრანსპორტო</w:t>
      </w:r>
      <w:r w:rsidRPr="001A72AA">
        <w:rPr>
          <w:rFonts w:ascii="Sylfaen" w:hAnsi="Sylfaen" w:cs="Arial"/>
          <w:lang w:val="ka-GE"/>
        </w:rPr>
        <w:t xml:space="preserve"> </w:t>
      </w:r>
      <w:r w:rsidRPr="001A72AA">
        <w:rPr>
          <w:rFonts w:ascii="Sylfaen" w:hAnsi="Sylfaen" w:cs="Sylfaen"/>
          <w:lang w:val="ka-GE"/>
        </w:rPr>
        <w:t>ნაკადის</w:t>
      </w:r>
      <w:r w:rsidRPr="001A72AA">
        <w:rPr>
          <w:rFonts w:ascii="Sylfaen" w:hAnsi="Sylfaen" w:cs="Arial"/>
          <w:lang w:val="ka-GE"/>
        </w:rPr>
        <w:t xml:space="preserve"> </w:t>
      </w:r>
      <w:r w:rsidRPr="001A72AA">
        <w:rPr>
          <w:rFonts w:ascii="Sylfaen" w:hAnsi="Sylfaen" w:cs="Sylfaen"/>
          <w:lang w:val="ka-GE"/>
        </w:rPr>
        <w:lastRenderedPageBreak/>
        <w:t>მართვ</w:t>
      </w:r>
      <w:r w:rsidR="00B9517B" w:rsidRPr="001A72AA">
        <w:rPr>
          <w:rFonts w:ascii="Sylfaen" w:hAnsi="Sylfaen" w:cs="Sylfaen"/>
          <w:lang w:val="ka-GE"/>
        </w:rPr>
        <w:t>ისთვის</w:t>
      </w:r>
      <w:r w:rsidRPr="001A72AA">
        <w:rPr>
          <w:rFonts w:ascii="Sylfaen" w:hAnsi="Sylfaen"/>
          <w:lang w:val="ka-GE"/>
        </w:rPr>
        <w:t xml:space="preserve"> </w:t>
      </w:r>
      <w:r w:rsidRPr="001A72AA">
        <w:rPr>
          <w:rFonts w:ascii="Sylfaen" w:hAnsi="Sylfaen" w:cs="Sylfaen"/>
          <w:lang w:val="ka-GE"/>
        </w:rPr>
        <w:t>მშენებლობის</w:t>
      </w:r>
      <w:r w:rsidRPr="001A72AA">
        <w:rPr>
          <w:rFonts w:ascii="Sylfaen" w:hAnsi="Sylfaen" w:cs="Arial"/>
          <w:lang w:val="ka-GE"/>
        </w:rPr>
        <w:t xml:space="preserve"> </w:t>
      </w:r>
      <w:r w:rsidR="00B9517B" w:rsidRPr="001A72AA">
        <w:rPr>
          <w:rFonts w:ascii="Sylfaen" w:hAnsi="Sylfaen" w:cs="Sylfaen"/>
          <w:lang w:val="ka-GE"/>
        </w:rPr>
        <w:t>ფაზის დროს</w:t>
      </w:r>
      <w:r w:rsidRPr="001A72AA">
        <w:rPr>
          <w:rFonts w:ascii="Sylfaen" w:hAnsi="Sylfaen" w:cs="Arial"/>
          <w:lang w:val="ka-GE"/>
        </w:rPr>
        <w:t>.</w:t>
      </w:r>
      <w:r w:rsidRPr="001A72AA">
        <w:rPr>
          <w:rFonts w:ascii="Sylfaen" w:hAnsi="Sylfaen"/>
          <w:lang w:val="ka-GE"/>
        </w:rPr>
        <w:t xml:space="preserve"> </w:t>
      </w:r>
      <w:r w:rsidRPr="001A72AA">
        <w:rPr>
          <w:rFonts w:ascii="Sylfaen" w:hAnsi="Sylfaen" w:cs="Sylfaen"/>
          <w:lang w:val="ka-GE"/>
        </w:rPr>
        <w:t>უარყოფითი</w:t>
      </w:r>
      <w:r w:rsidRPr="001A72AA">
        <w:rPr>
          <w:rFonts w:ascii="Sylfaen" w:hAnsi="Sylfaen" w:cs="Arial"/>
          <w:lang w:val="ka-GE"/>
        </w:rPr>
        <w:t xml:space="preserve"> </w:t>
      </w:r>
      <w:r w:rsidRPr="001A72AA">
        <w:rPr>
          <w:rFonts w:ascii="Sylfaen" w:hAnsi="Sylfaen" w:cs="Sylfaen"/>
          <w:lang w:val="ka-GE"/>
        </w:rPr>
        <w:t>გავლენა</w:t>
      </w:r>
      <w:r w:rsidRPr="001A72AA">
        <w:rPr>
          <w:rFonts w:ascii="Sylfaen" w:hAnsi="Sylfaen" w:cs="Arial"/>
          <w:lang w:val="ka-GE"/>
        </w:rPr>
        <w:t xml:space="preserve"> </w:t>
      </w:r>
      <w:r w:rsidRPr="001A72AA">
        <w:rPr>
          <w:rFonts w:ascii="Sylfaen" w:hAnsi="Sylfaen" w:cs="Sylfaen"/>
          <w:lang w:val="ka-GE"/>
        </w:rPr>
        <w:t>ბიოლოგიური</w:t>
      </w:r>
      <w:r w:rsidRPr="001A72AA">
        <w:rPr>
          <w:rFonts w:ascii="Sylfaen" w:hAnsi="Sylfaen" w:cs="Arial"/>
          <w:lang w:val="ka-GE"/>
        </w:rPr>
        <w:t xml:space="preserve"> </w:t>
      </w:r>
      <w:r w:rsidRPr="001A72AA">
        <w:rPr>
          <w:rFonts w:ascii="Sylfaen" w:hAnsi="Sylfaen" w:cs="Sylfaen"/>
          <w:lang w:val="ka-GE"/>
        </w:rPr>
        <w:t>გარემო</w:t>
      </w:r>
      <w:r w:rsidRPr="001A72AA">
        <w:rPr>
          <w:rFonts w:ascii="Sylfaen" w:hAnsi="Sylfaen" w:cs="Sylfaen"/>
          <w:lang w:val="en-US"/>
        </w:rPr>
        <w:t>ზე</w:t>
      </w:r>
      <w:r w:rsidRPr="001A72AA">
        <w:rPr>
          <w:rFonts w:ascii="Sylfaen" w:hAnsi="Sylfaen" w:cs="Arial"/>
          <w:lang w:val="ka-GE"/>
        </w:rPr>
        <w:t xml:space="preserve"> </w:t>
      </w:r>
      <w:r w:rsidRPr="001A72AA">
        <w:rPr>
          <w:rFonts w:ascii="Sylfaen" w:hAnsi="Sylfaen" w:cs="Sylfaen"/>
          <w:lang w:val="ka-GE"/>
        </w:rPr>
        <w:t>ეფექტიანად</w:t>
      </w:r>
      <w:r w:rsidRPr="001A72AA">
        <w:rPr>
          <w:rFonts w:ascii="Sylfaen" w:hAnsi="Sylfaen" w:cs="Arial"/>
          <w:lang w:val="ka-GE"/>
        </w:rPr>
        <w:t xml:space="preserve"> </w:t>
      </w:r>
      <w:r w:rsidRPr="001A72AA">
        <w:rPr>
          <w:rFonts w:ascii="Sylfaen" w:hAnsi="Sylfaen" w:cs="Sylfaen"/>
          <w:lang w:val="ka-GE"/>
        </w:rPr>
        <w:t>შემცირდება</w:t>
      </w:r>
      <w:r w:rsidRPr="001A72AA">
        <w:rPr>
          <w:rFonts w:ascii="Sylfaen" w:hAnsi="Sylfaen" w:cs="Arial"/>
          <w:lang w:val="ka-GE"/>
        </w:rPr>
        <w:t xml:space="preserve"> </w:t>
      </w:r>
      <w:r w:rsidRPr="001A72AA">
        <w:rPr>
          <w:rFonts w:ascii="Sylfaen" w:hAnsi="Sylfaen" w:cs="Sylfaen"/>
          <w:lang w:val="ka-GE"/>
        </w:rPr>
        <w:t>მიზნობრივი</w:t>
      </w:r>
      <w:r w:rsidRPr="001A72AA">
        <w:rPr>
          <w:rFonts w:ascii="Sylfaen" w:hAnsi="Sylfaen" w:cs="Arial"/>
          <w:lang w:val="ka-GE"/>
        </w:rPr>
        <w:t xml:space="preserve"> </w:t>
      </w:r>
      <w:r w:rsidRPr="001A72AA">
        <w:rPr>
          <w:rFonts w:ascii="Sylfaen" w:hAnsi="Sylfaen" w:cs="Sylfaen"/>
          <w:lang w:val="ka-GE"/>
        </w:rPr>
        <w:t>გარემოსდაცვითი</w:t>
      </w:r>
      <w:r w:rsidRPr="001A72AA">
        <w:rPr>
          <w:rFonts w:ascii="Sylfaen" w:hAnsi="Sylfaen" w:cs="Arial"/>
          <w:lang w:val="ka-GE"/>
        </w:rPr>
        <w:t xml:space="preserve"> </w:t>
      </w:r>
      <w:r w:rsidRPr="001A72AA">
        <w:rPr>
          <w:rFonts w:ascii="Sylfaen" w:hAnsi="Sylfaen" w:cs="Sylfaen"/>
          <w:lang w:val="ka-GE"/>
        </w:rPr>
        <w:t>შემარბილებელი</w:t>
      </w:r>
      <w:r w:rsidRPr="001A72AA">
        <w:rPr>
          <w:rFonts w:ascii="Sylfaen" w:hAnsi="Sylfaen" w:cs="Arial"/>
          <w:lang w:val="ka-GE"/>
        </w:rPr>
        <w:t xml:space="preserve"> </w:t>
      </w:r>
      <w:r w:rsidRPr="001A72AA">
        <w:rPr>
          <w:rFonts w:ascii="Sylfaen" w:hAnsi="Sylfaen" w:cs="Sylfaen"/>
          <w:lang w:val="ka-GE"/>
        </w:rPr>
        <w:t>ღონისძიებების</w:t>
      </w:r>
      <w:r w:rsidRPr="001A72AA">
        <w:rPr>
          <w:rFonts w:ascii="Sylfaen" w:hAnsi="Sylfaen" w:cs="Arial"/>
          <w:lang w:val="ka-GE"/>
        </w:rPr>
        <w:t xml:space="preserve"> </w:t>
      </w:r>
      <w:r w:rsidRPr="001A72AA">
        <w:rPr>
          <w:rFonts w:ascii="Sylfaen" w:hAnsi="Sylfaen" w:cs="Sylfaen"/>
          <w:lang w:val="ka-GE"/>
        </w:rPr>
        <w:t>მეშვეობით</w:t>
      </w:r>
      <w:r w:rsidRPr="001A72AA">
        <w:rPr>
          <w:rFonts w:ascii="Sylfaen" w:hAnsi="Sylfaen"/>
          <w:lang w:val="ka-GE"/>
        </w:rPr>
        <w:t>.</w:t>
      </w:r>
    </w:p>
    <w:p w14:paraId="45407113" w14:textId="77777777" w:rsidR="0084635D" w:rsidRPr="0084635D" w:rsidRDefault="0084635D" w:rsidP="0084635D">
      <w:pPr>
        <w:spacing w:before="200"/>
        <w:rPr>
          <w:rFonts w:ascii="Sylfaen" w:eastAsiaTheme="minorHAnsi" w:hAnsi="Sylfaen" w:cs="AcadNusx"/>
          <w:color w:val="000000"/>
          <w:szCs w:val="22"/>
          <w:lang w:val="ka-GE" w:eastAsia="en-US"/>
        </w:rPr>
      </w:pPr>
      <w:r w:rsidRPr="0084635D">
        <w:rPr>
          <w:rFonts w:ascii="Sylfaen" w:eastAsiaTheme="minorHAnsi" w:hAnsi="Sylfaen" w:cs="AcadNusx"/>
          <w:color w:val="000000"/>
          <w:szCs w:val="22"/>
          <w:lang w:val="ka-GE" w:eastAsia="en-US"/>
        </w:rPr>
        <w:t xml:space="preserve">პროექტი შემუშავდა მოცემული სატრანსპორტო მოძრაობის ნაკადისათვის ტერიტორიის რელიეფსა და შესაბამისი სტანდარტების და მახასიათებლების გათვალისწინებით, კერძოდ  პროექტი ითვალისწინებს მხედველობის დისტანციის, ხახუნის კოეფიციენტებისა და  ავტოსატრანსპორტო საშუალებების მანევრირებისათვის საჭირო სივრცის უზრუნველყოფით მძღოლებისათვის მინიმალური უსაფრთხოებისა და კომფორტის შექმნას; გარემოსდაცვას ნორმების და სატრანსპორტო მოძრაობის მახასიათებლების დაცვას. </w:t>
      </w:r>
    </w:p>
    <w:p w14:paraId="543ED180" w14:textId="77777777" w:rsidR="0084635D" w:rsidRPr="0084635D" w:rsidRDefault="0084635D" w:rsidP="0084635D">
      <w:pPr>
        <w:spacing w:before="200"/>
        <w:rPr>
          <w:rFonts w:ascii="Sylfaen" w:eastAsiaTheme="minorHAnsi" w:hAnsi="Sylfaen" w:cs="Arial"/>
          <w:color w:val="000000"/>
          <w:szCs w:val="22"/>
          <w:lang w:val="ka-GE" w:eastAsia="en-US"/>
        </w:rPr>
      </w:pPr>
      <w:r w:rsidRPr="0084635D">
        <w:rPr>
          <w:rFonts w:ascii="Sylfaen" w:eastAsiaTheme="minorHAnsi" w:hAnsi="Sylfaen" w:cs="AcadNusx"/>
          <w:color w:val="000000"/>
          <w:szCs w:val="22"/>
          <w:lang w:val="ka-GE" w:eastAsia="en-US"/>
        </w:rPr>
        <w:t xml:space="preserve">გზებისათვის გეომეტრიული საპროექტო პარამეტრები განსაზღვრულ იქნა ქართულ </w:t>
      </w:r>
      <w:r w:rsidRPr="0084635D">
        <w:rPr>
          <w:rFonts w:ascii="Sylfaen" w:eastAsiaTheme="minorHAnsi" w:hAnsi="Sylfaen"/>
          <w:szCs w:val="22"/>
          <w:lang w:val="ka-GE" w:eastAsia="en-US"/>
        </w:rPr>
        <w:t xml:space="preserve"> </w:t>
      </w:r>
      <w:r w:rsidRPr="0084635D">
        <w:rPr>
          <w:rFonts w:ascii="Sylfaen" w:eastAsiaTheme="minorHAnsi" w:hAnsi="Sylfaen" w:cs="AcadNusx"/>
          <w:color w:val="000000"/>
          <w:szCs w:val="22"/>
          <w:lang w:val="ka-GE" w:eastAsia="en-US"/>
        </w:rPr>
        <w:t xml:space="preserve">ეროვნულ სტანდარტის </w:t>
      </w:r>
      <w:r w:rsidRPr="0084635D">
        <w:rPr>
          <w:rFonts w:ascii="Sylfaen" w:eastAsiaTheme="minorHAnsi" w:hAnsi="Sylfaen" w:cs="Arial"/>
          <w:color w:val="000000"/>
          <w:szCs w:val="22"/>
          <w:lang w:val="ka-GE" w:eastAsia="en-US"/>
        </w:rPr>
        <w:t xml:space="preserve">(SST </w:t>
      </w:r>
      <w:r w:rsidRPr="0084635D">
        <w:rPr>
          <w:rFonts w:ascii="Sylfaen" w:eastAsiaTheme="minorHAnsi" w:hAnsi="Sylfaen" w:cs="AcadNusx"/>
          <w:color w:val="000000"/>
          <w:szCs w:val="22"/>
          <w:lang w:val="ka-GE" w:eastAsia="en-US"/>
        </w:rPr>
        <w:t>გზები</w:t>
      </w:r>
      <w:r w:rsidRPr="0084635D">
        <w:rPr>
          <w:rFonts w:ascii="Sylfaen" w:eastAsiaTheme="minorHAnsi" w:hAnsi="Sylfaen" w:cs="Arial"/>
          <w:color w:val="000000"/>
          <w:szCs w:val="22"/>
          <w:lang w:val="ka-GE" w:eastAsia="en-US"/>
        </w:rPr>
        <w:t xml:space="preserve"> 2009), </w:t>
      </w:r>
      <w:r w:rsidRPr="0084635D">
        <w:rPr>
          <w:rFonts w:ascii="Sylfaen" w:eastAsiaTheme="minorHAnsi" w:hAnsi="Sylfaen" w:cs="AcadNusx"/>
          <w:color w:val="000000"/>
          <w:szCs w:val="22"/>
          <w:lang w:val="ka-GE" w:eastAsia="en-US"/>
        </w:rPr>
        <w:t>ყოფილი საბჭოთა კავშირის ნორმების (</w:t>
      </w:r>
      <w:r w:rsidRPr="0084635D">
        <w:rPr>
          <w:rFonts w:ascii="Sylfaen" w:eastAsiaTheme="minorHAnsi" w:hAnsi="Sylfaen" w:cs="Arial"/>
          <w:color w:val="000000"/>
          <w:szCs w:val="22"/>
          <w:lang w:val="ka-GE" w:eastAsia="en-US"/>
        </w:rPr>
        <w:t>SNIP</w:t>
      </w:r>
      <w:r w:rsidRPr="0084635D">
        <w:rPr>
          <w:rFonts w:ascii="Sylfaen" w:eastAsiaTheme="minorHAnsi" w:hAnsi="Sylfaen" w:cs="Sylfaen"/>
          <w:color w:val="000000"/>
          <w:szCs w:val="22"/>
          <w:lang w:val="ka-GE" w:eastAsia="en-US"/>
        </w:rPr>
        <w:t xml:space="preserve"> </w:t>
      </w:r>
      <w:r w:rsidRPr="0084635D">
        <w:rPr>
          <w:rFonts w:ascii="Sylfaen" w:eastAsiaTheme="minorHAnsi" w:hAnsi="Sylfaen" w:cs="Arial"/>
          <w:color w:val="000000"/>
          <w:szCs w:val="22"/>
          <w:lang w:val="ka-GE" w:eastAsia="en-US"/>
        </w:rPr>
        <w:t>2.05.02-85)</w:t>
      </w:r>
      <w:r w:rsidRPr="0084635D">
        <w:rPr>
          <w:rFonts w:ascii="Sylfaen" w:eastAsiaTheme="minorHAnsi" w:hAnsi="Sylfaen" w:cs="AcadNusx"/>
          <w:color w:val="000000"/>
          <w:szCs w:val="22"/>
          <w:lang w:val="ka-GE" w:eastAsia="en-US"/>
        </w:rPr>
        <w:t xml:space="preserve"> და ტრანსევროპული ჩრდილო-სამხრეთ ავტომაგისტრალის </w:t>
      </w:r>
      <w:r w:rsidRPr="0084635D">
        <w:rPr>
          <w:rFonts w:ascii="Sylfaen" w:eastAsiaTheme="minorHAnsi" w:hAnsi="Sylfaen" w:cs="Arial"/>
          <w:color w:val="000000"/>
          <w:szCs w:val="22"/>
          <w:lang w:val="ka-GE" w:eastAsia="en-US"/>
        </w:rPr>
        <w:t>(TEM)</w:t>
      </w:r>
      <w:r w:rsidRPr="0084635D">
        <w:rPr>
          <w:rFonts w:ascii="Sylfaen" w:eastAsiaTheme="minorHAnsi" w:hAnsi="Sylfaen" w:cs="AcadNusx"/>
          <w:color w:val="000000"/>
          <w:szCs w:val="22"/>
          <w:lang w:val="ka-GE" w:eastAsia="en-US"/>
        </w:rPr>
        <w:t xml:space="preserve"> სტანდარტის შესაბამისად.</w:t>
      </w:r>
      <w:r w:rsidRPr="0084635D">
        <w:rPr>
          <w:rFonts w:ascii="Sylfaen" w:eastAsiaTheme="minorHAnsi" w:hAnsi="Sylfaen" w:cs="Arial"/>
          <w:color w:val="000000"/>
          <w:szCs w:val="22"/>
          <w:lang w:val="ka-GE" w:eastAsia="en-US"/>
        </w:rPr>
        <w:t xml:space="preserve"> </w:t>
      </w:r>
    </w:p>
    <w:p w14:paraId="2A9A6724" w14:textId="77777777" w:rsidR="0084635D" w:rsidRPr="0084635D" w:rsidRDefault="0084635D" w:rsidP="0084635D">
      <w:pPr>
        <w:autoSpaceDE w:val="0"/>
        <w:autoSpaceDN w:val="0"/>
        <w:adjustRightInd w:val="0"/>
        <w:rPr>
          <w:rFonts w:ascii="Sylfaen" w:eastAsiaTheme="minorHAnsi" w:hAnsi="Sylfaen" w:cs="AcadNusx"/>
          <w:color w:val="000000"/>
          <w:szCs w:val="22"/>
          <w:lang w:val="ka-GE" w:eastAsia="en-US"/>
        </w:rPr>
      </w:pPr>
      <w:r w:rsidRPr="0084635D">
        <w:rPr>
          <w:rFonts w:ascii="Sylfaen" w:eastAsiaTheme="minorHAnsi" w:hAnsi="Sylfaen" w:cs="AcadNusx"/>
          <w:color w:val="000000"/>
          <w:szCs w:val="22"/>
          <w:lang w:val="ka-GE" w:eastAsia="en-US"/>
        </w:rPr>
        <w:t xml:space="preserve">საპროექტო გზის გრძივი პროფილი დაპროექტებულია ტოპოგრაფიული, გეოლოგიური და არსებული პირობების და მისაღები გრძივი ქანობის და ვერტიკალური მრუდის გათვალისწინებით.  წითელი ხაზის შემუშავებისას გათვალისწინებულ იქნა გზაგამტარების ვერტიკალური გაბარიტი. ტექნიკური დავალების მოთხოვნების შესაბამისად, ჰორიზონტალური და </w:t>
      </w:r>
      <w:r w:rsidRPr="0084635D">
        <w:rPr>
          <w:rFonts w:ascii="Sylfaen" w:eastAsiaTheme="minorHAnsi" w:hAnsi="Sylfaen"/>
          <w:szCs w:val="22"/>
          <w:lang w:val="ka-GE" w:eastAsia="en-US"/>
        </w:rPr>
        <w:t xml:space="preserve"> </w:t>
      </w:r>
      <w:r w:rsidRPr="0084635D">
        <w:rPr>
          <w:rFonts w:ascii="Sylfaen" w:eastAsiaTheme="minorHAnsi" w:hAnsi="Sylfaen" w:cs="AcadNusx"/>
          <w:color w:val="000000"/>
          <w:szCs w:val="22"/>
          <w:lang w:val="ka-GE" w:eastAsia="en-US"/>
        </w:rPr>
        <w:t>ვერტიკალური მრუდების რადიუსი, გრძივი და განივი ქანობები და ვერტიკალური გაბარიტი შეესაბამება ოთხ-ზოლიანი (გამყოფით) გზის პარამეტრებს.</w:t>
      </w:r>
    </w:p>
    <w:p w14:paraId="705BAD44" w14:textId="77777777" w:rsidR="00696FA5" w:rsidRDefault="00696FA5" w:rsidP="00696FA5">
      <w:pPr>
        <w:pStyle w:val="NormalWeb"/>
        <w:tabs>
          <w:tab w:val="left" w:pos="2520"/>
        </w:tabs>
        <w:spacing w:before="60" w:beforeAutospacing="0" w:after="60" w:afterAutospacing="0"/>
        <w:jc w:val="both"/>
        <w:rPr>
          <w:rFonts w:ascii="Sylfaen" w:hAnsi="Sylfaen" w:cs="Sylfaen"/>
          <w:b/>
          <w:i/>
          <w:sz w:val="22"/>
          <w:szCs w:val="22"/>
          <w:u w:val="single"/>
          <w:lang w:val="ka-GE"/>
        </w:rPr>
      </w:pPr>
      <w:r w:rsidRPr="0009070D">
        <w:rPr>
          <w:rFonts w:ascii="Sylfaen" w:hAnsi="Sylfaen" w:cs="Sylfaen"/>
          <w:b/>
          <w:i/>
          <w:sz w:val="22"/>
          <w:szCs w:val="22"/>
          <w:u w:val="single"/>
          <w:lang w:val="ka-GE"/>
        </w:rPr>
        <w:t>დასკვნა</w:t>
      </w:r>
    </w:p>
    <w:p w14:paraId="0812F0BC" w14:textId="17BB596F" w:rsidR="00696FA5" w:rsidRDefault="00696FA5" w:rsidP="00696FA5">
      <w:pPr>
        <w:pStyle w:val="NormalWeb"/>
        <w:tabs>
          <w:tab w:val="left" w:pos="2520"/>
        </w:tabs>
        <w:spacing w:before="60" w:beforeAutospacing="0" w:after="60" w:afterAutospacing="0"/>
        <w:jc w:val="both"/>
        <w:rPr>
          <w:rFonts w:ascii="Sylfaen" w:hAnsi="Sylfaen"/>
          <w:sz w:val="22"/>
          <w:lang w:val="ka-GE"/>
        </w:rPr>
      </w:pPr>
      <w:r w:rsidRPr="00696FA5">
        <w:rPr>
          <w:rFonts w:ascii="Sylfaen" w:hAnsi="Sylfaen"/>
          <w:sz w:val="22"/>
          <w:lang w:val="ka-GE"/>
        </w:rPr>
        <w:t xml:space="preserve">შემოთავაზებული ალტერნატივების განხილვის შემდეგ შეირჩა </w:t>
      </w:r>
      <w:r w:rsidRPr="00696FA5">
        <w:rPr>
          <w:rFonts w:ascii="Sylfaen" w:hAnsi="Sylfaen" w:cs="Arial"/>
          <w:bCs/>
          <w:sz w:val="22"/>
          <w:lang w:val="ka-GE"/>
        </w:rPr>
        <w:t>ალტერნატივა</w:t>
      </w:r>
      <w:r w:rsidRPr="00980876">
        <w:rPr>
          <w:rFonts w:ascii="Sylfaen" w:hAnsi="Sylfaen" w:cs="Arial"/>
          <w:bCs/>
          <w:sz w:val="22"/>
          <w:lang w:val="it-IT"/>
        </w:rPr>
        <w:t xml:space="preserve"> </w:t>
      </w:r>
      <w:r w:rsidRPr="00980876">
        <w:rPr>
          <w:rFonts w:ascii="Sylfaen" w:hAnsi="Sylfaen" w:cs="Sylfaen"/>
          <w:sz w:val="20"/>
          <w:szCs w:val="22"/>
          <w:lang w:val="it-IT"/>
        </w:rPr>
        <w:t>TS</w:t>
      </w:r>
      <w:r w:rsidRPr="00980876">
        <w:rPr>
          <w:rFonts w:ascii="Sylfaen" w:hAnsi="Sylfaen" w:cs="Arial"/>
          <w:bCs/>
          <w:sz w:val="22"/>
          <w:lang w:val="it-IT"/>
        </w:rPr>
        <w:t xml:space="preserve"> (</w:t>
      </w:r>
      <w:r w:rsidRPr="00696FA5">
        <w:rPr>
          <w:rFonts w:ascii="Sylfaen" w:hAnsi="Sylfaen" w:cs="Arial"/>
          <w:bCs/>
          <w:sz w:val="22"/>
          <w:lang w:val="ka-GE"/>
        </w:rPr>
        <w:t>ცისფერი ხაზი</w:t>
      </w:r>
      <w:r w:rsidRPr="00980876">
        <w:rPr>
          <w:rFonts w:ascii="Sylfaen" w:hAnsi="Sylfaen" w:cs="Arial"/>
          <w:bCs/>
          <w:sz w:val="22"/>
          <w:lang w:val="it-IT"/>
        </w:rPr>
        <w:t>)</w:t>
      </w:r>
      <w:r w:rsidRPr="00696FA5">
        <w:rPr>
          <w:rFonts w:ascii="Sylfaen" w:hAnsi="Sylfaen" w:cs="Arial"/>
          <w:bCs/>
          <w:sz w:val="22"/>
          <w:lang w:val="ka-GE"/>
        </w:rPr>
        <w:t xml:space="preserve"> </w:t>
      </w:r>
      <w:r w:rsidRPr="00696FA5">
        <w:rPr>
          <w:rFonts w:ascii="Sylfaen" w:hAnsi="Sylfaen"/>
          <w:sz w:val="22"/>
          <w:lang w:val="ka-GE"/>
        </w:rPr>
        <w:t>ვარიაციით გეომორფოლოგიის, ბუნებრივ და სოციალური გარემოს თვალსაზრისით ყველაზე მეტად მისაღებია, რადგნა არსებულ ბუნებრივ გარემოს ნაკლები ზიანი მიადგება.</w:t>
      </w:r>
    </w:p>
    <w:p w14:paraId="0962A901" w14:textId="0CB332B2" w:rsidR="00C71718" w:rsidRPr="00696FA5" w:rsidRDefault="00C71718" w:rsidP="00696FA5">
      <w:pPr>
        <w:pStyle w:val="NormalWeb"/>
        <w:tabs>
          <w:tab w:val="left" w:pos="2520"/>
        </w:tabs>
        <w:spacing w:before="60" w:beforeAutospacing="0" w:after="60" w:afterAutospacing="0"/>
        <w:jc w:val="both"/>
        <w:rPr>
          <w:rFonts w:ascii="Sylfaen" w:hAnsi="Sylfaen"/>
          <w:sz w:val="22"/>
          <w:lang w:val="ka-GE"/>
        </w:rPr>
      </w:pPr>
      <w:r w:rsidRPr="00FF734A">
        <w:rPr>
          <w:rFonts w:cs="Arial"/>
          <w:noProof/>
          <w:szCs w:val="22"/>
        </w:rPr>
        <w:drawing>
          <wp:inline distT="0" distB="0" distL="0" distR="0" wp14:anchorId="51AC7CA7" wp14:editId="230D0FCF">
            <wp:extent cx="5923915" cy="3143250"/>
            <wp:effectExtent l="0" t="0" r="635" b="0"/>
            <wp:docPr id="245" name="Bild 245" descr="Macintosh HD:Users:carstengriese:Documents:Gurjaani-telavi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Macintosh HD:Users:carstengriese:Documents:Gurjaani-telavi A4.jpg"/>
                    <pic:cNvPicPr>
                      <a:picLocks noChangeAspect="1" noChangeArrowheads="1"/>
                    </pic:cNvPicPr>
                  </pic:nvPicPr>
                  <pic:blipFill rotWithShape="1">
                    <a:blip r:embed="rId29" cstate="email">
                      <a:extLst>
                        <a:ext uri="{28A0092B-C50C-407E-A947-70E740481C1C}">
                          <a14:useLocalDpi xmlns:a14="http://schemas.microsoft.com/office/drawing/2010/main"/>
                        </a:ext>
                      </a:extLst>
                    </a:blip>
                    <a:srcRect t="-1"/>
                    <a:stretch/>
                  </pic:blipFill>
                  <pic:spPr bwMode="auto">
                    <a:xfrm>
                      <a:off x="0" y="0"/>
                      <a:ext cx="5930864" cy="3146937"/>
                    </a:xfrm>
                    <a:prstGeom prst="rect">
                      <a:avLst/>
                    </a:prstGeom>
                    <a:noFill/>
                    <a:ln>
                      <a:noFill/>
                    </a:ln>
                    <a:extLst>
                      <a:ext uri="{53640926-AAD7-44D8-BBD7-CCE9431645EC}">
                        <a14:shadowObscured xmlns:a14="http://schemas.microsoft.com/office/drawing/2010/main"/>
                      </a:ext>
                    </a:extLst>
                  </pic:spPr>
                </pic:pic>
              </a:graphicData>
            </a:graphic>
          </wp:inline>
        </w:drawing>
      </w:r>
    </w:p>
    <w:p w14:paraId="59AA1205" w14:textId="1AF64D6B" w:rsidR="00DA2E66" w:rsidRDefault="00DA2E66" w:rsidP="002B56CC">
      <w:pPr>
        <w:tabs>
          <w:tab w:val="left" w:pos="1080"/>
        </w:tabs>
        <w:spacing w:before="200" w:after="200"/>
        <w:rPr>
          <w:rFonts w:ascii="Sylfaen" w:hAnsi="Sylfaen" w:cstheme="minorHAnsi"/>
          <w:lang w:val="it-IT"/>
        </w:rPr>
      </w:pPr>
    </w:p>
    <w:p w14:paraId="7604B51E" w14:textId="0923E7A7" w:rsidR="004B1ED5" w:rsidRDefault="004B1ED5" w:rsidP="002B56CC">
      <w:pPr>
        <w:tabs>
          <w:tab w:val="left" w:pos="1080"/>
        </w:tabs>
        <w:spacing w:before="200" w:after="200"/>
        <w:rPr>
          <w:rFonts w:ascii="Sylfaen" w:hAnsi="Sylfaen" w:cstheme="minorHAnsi"/>
          <w:lang w:val="it-IT"/>
        </w:rPr>
      </w:pPr>
    </w:p>
    <w:p w14:paraId="417A9B1B" w14:textId="4F5993EE" w:rsidR="004B1ED5" w:rsidRDefault="004B1ED5" w:rsidP="002B56CC">
      <w:pPr>
        <w:tabs>
          <w:tab w:val="left" w:pos="1080"/>
        </w:tabs>
        <w:spacing w:before="200" w:after="200"/>
        <w:rPr>
          <w:rFonts w:ascii="Sylfaen" w:hAnsi="Sylfaen" w:cstheme="minorHAnsi"/>
          <w:lang w:val="it-IT"/>
        </w:rPr>
      </w:pPr>
    </w:p>
    <w:p w14:paraId="3A8CEBC0" w14:textId="77777777" w:rsidR="004B1ED5" w:rsidRPr="004D22E7" w:rsidRDefault="004B1ED5" w:rsidP="002B56CC">
      <w:pPr>
        <w:tabs>
          <w:tab w:val="left" w:pos="1080"/>
        </w:tabs>
        <w:spacing w:before="200" w:after="200"/>
        <w:rPr>
          <w:rFonts w:ascii="Sylfaen" w:hAnsi="Sylfaen" w:cstheme="minorHAnsi"/>
          <w:lang w:val="it-IT"/>
        </w:rPr>
      </w:pPr>
    </w:p>
    <w:p w14:paraId="6C822CB8" w14:textId="77777777" w:rsidR="00DA2E66" w:rsidRPr="002B616A" w:rsidRDefault="00DB5EA2" w:rsidP="004D56CC">
      <w:pPr>
        <w:pStyle w:val="EIAH1"/>
        <w:numPr>
          <w:ilvl w:val="0"/>
          <w:numId w:val="0"/>
        </w:numPr>
        <w:ind w:left="720" w:hanging="720"/>
      </w:pPr>
      <w:bookmarkStart w:id="40" w:name="_Toc496611055"/>
      <w:bookmarkStart w:id="41" w:name="_Toc473478771"/>
      <w:bookmarkStart w:id="42" w:name="_Toc471745766"/>
      <w:bookmarkStart w:id="43" w:name="_Toc464212138"/>
      <w:bookmarkStart w:id="44" w:name="_Toc1581489"/>
      <w:r>
        <w:rPr>
          <w:lang w:val="ka-GE"/>
        </w:rPr>
        <w:lastRenderedPageBreak/>
        <w:t xml:space="preserve">4. </w:t>
      </w:r>
      <w:r w:rsidR="00DA2E66" w:rsidRPr="002B616A">
        <w:t>პროექტის აღწერა</w:t>
      </w:r>
      <w:bookmarkEnd w:id="40"/>
      <w:bookmarkEnd w:id="41"/>
      <w:bookmarkEnd w:id="42"/>
      <w:bookmarkEnd w:id="44"/>
    </w:p>
    <w:p w14:paraId="7F5ECF6D" w14:textId="2C4AA683" w:rsidR="00BE4DCF" w:rsidRPr="00BE4DCF" w:rsidRDefault="009F6AAF" w:rsidP="001D2B74">
      <w:pPr>
        <w:pStyle w:val="BodyText"/>
        <w:spacing w:before="120" w:after="120"/>
        <w:jc w:val="both"/>
        <w:rPr>
          <w:rFonts w:ascii="Sylfaen" w:hAnsi="Sylfaen" w:cs="Sylfaen"/>
          <w:sz w:val="22"/>
          <w:lang w:val="ka-GE" w:eastAsia="de-DE"/>
        </w:rPr>
      </w:pPr>
      <w:r>
        <w:rPr>
          <w:rFonts w:ascii="Sylfaen" w:hAnsi="Sylfaen"/>
          <w:lang w:val="ka-GE"/>
        </w:rPr>
        <w:t>გურჯაანის (ჩუმლაყი)</w:t>
      </w:r>
      <w:r>
        <w:rPr>
          <w:rFonts w:ascii="Sylfaen" w:hAnsi="Sylfaen"/>
          <w:lang w:val="en-US"/>
        </w:rPr>
        <w:t>-</w:t>
      </w:r>
      <w:r>
        <w:rPr>
          <w:rFonts w:ascii="Sylfaen" w:hAnsi="Sylfaen"/>
          <w:lang w:val="ka-GE"/>
        </w:rPr>
        <w:t xml:space="preserve">თელავის </w:t>
      </w:r>
      <w:r w:rsidR="00BE4DCF" w:rsidRPr="001D2B74">
        <w:rPr>
          <w:rFonts w:ascii="Sylfaen" w:hAnsi="Sylfaen" w:cs="Sylfaen"/>
          <w:sz w:val="22"/>
          <w:szCs w:val="22"/>
          <w:lang w:val="ka-GE" w:eastAsia="de-DE"/>
        </w:rPr>
        <w:t>საგზაო მონაკვეთი შეადგენს ახმეტა-თელავი-ბაკურციხის შიდასახელმწიფოებრივი მნიშვნელობის გზის (“ს-42”) შემადგენელ ნაწილს და ასრულებს</w:t>
      </w:r>
      <w:r w:rsidR="00BE4DCF" w:rsidRPr="00BE4DCF">
        <w:rPr>
          <w:rFonts w:ascii="Sylfaen" w:hAnsi="Sylfaen" w:cs="Sylfaen"/>
          <w:sz w:val="22"/>
          <w:lang w:val="ka-GE" w:eastAsia="de-DE"/>
        </w:rPr>
        <w:t xml:space="preserve"> თბილისის კახეთის მხარესთან დამაკავშირებელი მარშრუტის ერთ-ერთი ძირითადი კომპონენტის ფუნქციას. ბაკურციხეში “</w:t>
      </w:r>
      <w:r w:rsidR="00BE4DCF">
        <w:rPr>
          <w:rFonts w:ascii="Sylfaen" w:hAnsi="Sylfaen" w:cs="Sylfaen"/>
          <w:sz w:val="22"/>
          <w:lang w:val="ka-GE" w:eastAsia="de-DE"/>
        </w:rPr>
        <w:t>ს</w:t>
      </w:r>
      <w:r w:rsidR="00BE4DCF" w:rsidRPr="00BE4DCF">
        <w:rPr>
          <w:rFonts w:ascii="Sylfaen" w:hAnsi="Sylfaen" w:cs="Sylfaen"/>
          <w:sz w:val="22"/>
          <w:lang w:val="ka-GE" w:eastAsia="de-DE"/>
        </w:rPr>
        <w:t>-42” გზა უერთდება თბილისი-ბაკურციხე-ლაგოდეხის გზატკეცილს, რომელიც თბილისიდან აზერბაიჯანის საზღვრამდე (ლაგოდეხთან) გამავალ მთავარ გზას წარმოადგენს.</w:t>
      </w:r>
    </w:p>
    <w:p w14:paraId="3D50D947" w14:textId="77777777" w:rsidR="00BE4DCF" w:rsidRPr="00BE4DCF" w:rsidRDefault="00BE4DCF" w:rsidP="001D2B74">
      <w:pPr>
        <w:pStyle w:val="BodyText"/>
        <w:spacing w:before="120" w:after="120"/>
        <w:jc w:val="both"/>
        <w:rPr>
          <w:rFonts w:ascii="Sylfaen" w:hAnsi="Sylfaen" w:cs="Sylfaen"/>
          <w:sz w:val="22"/>
          <w:lang w:val="ka-GE" w:eastAsia="de-DE"/>
        </w:rPr>
      </w:pPr>
      <w:r w:rsidRPr="00BE4DCF">
        <w:rPr>
          <w:rFonts w:ascii="Sylfaen" w:hAnsi="Sylfaen" w:cs="Sylfaen"/>
          <w:sz w:val="22"/>
          <w:lang w:val="ka-GE" w:eastAsia="de-DE"/>
        </w:rPr>
        <w:t xml:space="preserve">პროექტის განხორციელების მიზანია პროექტის ფარგლებში გასაუმჯობესებელ მონაკვეთებზე საავტომობილო გადაზიდვების ხარჯების შემცირების და საგზაო მოძრაობის უსაფრთხოების პირობების გაუმჯობესების ხელშეწყობა. </w:t>
      </w:r>
    </w:p>
    <w:p w14:paraId="28B1BC22" w14:textId="77777777" w:rsidR="00BE4DCF" w:rsidRPr="00BE4DCF" w:rsidRDefault="00BE4DCF" w:rsidP="001D2B74">
      <w:pPr>
        <w:pStyle w:val="BodyText"/>
        <w:spacing w:before="120" w:after="120"/>
        <w:jc w:val="both"/>
        <w:rPr>
          <w:rFonts w:ascii="Sylfaen" w:hAnsi="Sylfaen" w:cs="Sylfaen"/>
          <w:sz w:val="22"/>
          <w:lang w:val="ka-GE" w:eastAsia="de-DE"/>
        </w:rPr>
      </w:pPr>
      <w:r w:rsidRPr="00BE4DCF">
        <w:rPr>
          <w:rFonts w:ascii="Sylfaen" w:hAnsi="Sylfaen" w:cs="Sylfaen"/>
          <w:sz w:val="22"/>
          <w:lang w:val="ka-GE" w:eastAsia="de-DE"/>
        </w:rPr>
        <w:t xml:space="preserve">არსებული თელავი-გურჯაანი-ბაკურციხე-წნორის გზას გააჩნია ორზოლიანი სავალი ნაწილი, რომლის მოასფალტებული ზედაპირის სიგანე 6.5-დან 9.0 მეტრამდე იცვლება, ხოლო უასფალტო გვერდულები 0.5-დან 1.0 მეტრამდე დიაპაზონში ვარირებენ. </w:t>
      </w:r>
    </w:p>
    <w:p w14:paraId="0599609F" w14:textId="77777777" w:rsidR="00BE4DCF" w:rsidRPr="00BE4DCF" w:rsidRDefault="00BE4DCF" w:rsidP="001D2B74">
      <w:pPr>
        <w:pStyle w:val="BodyText"/>
        <w:spacing w:before="120" w:after="120"/>
        <w:jc w:val="both"/>
        <w:rPr>
          <w:rFonts w:ascii="Sylfaen" w:hAnsi="Sylfaen" w:cs="Sylfaen"/>
          <w:sz w:val="22"/>
          <w:lang w:val="ka-GE" w:eastAsia="de-DE"/>
        </w:rPr>
      </w:pPr>
      <w:r w:rsidRPr="00BE4DCF">
        <w:rPr>
          <w:rFonts w:ascii="Sylfaen" w:hAnsi="Sylfaen" w:cs="Sylfaen"/>
          <w:sz w:val="22"/>
          <w:lang w:val="ka-GE" w:eastAsia="de-DE"/>
        </w:rPr>
        <w:t xml:space="preserve">მთლიანობაში, არსებული საგზაო სამოსი დამაკმაყოფილებელ ან ცუდ მდგომარეობაშია, ხოლო გზის საფარი დარღვევების ნიშნებს ავლენს. არსებული საგზაო მონაკვეთები გადიან ბევრ დასახლებაზე, რაც პრობლემებს უქმნის საგზაო მოძრაობის უსაფრთხოებას, ამცირებს მოძრაობის სიჩქარეს და ზღუდავს არსებული ტრასის გასწვრივ გზის გაუმჯობესების შესაძლებლობებს. </w:t>
      </w:r>
    </w:p>
    <w:p w14:paraId="2397AD82" w14:textId="77777777" w:rsidR="00BE4DCF" w:rsidRPr="00BE4DCF" w:rsidRDefault="00BE4DCF" w:rsidP="001D2B74">
      <w:pPr>
        <w:pStyle w:val="BodyText"/>
        <w:spacing w:before="120" w:after="120"/>
        <w:jc w:val="both"/>
        <w:rPr>
          <w:rFonts w:ascii="Sylfaen" w:hAnsi="Sylfaen" w:cs="Sylfaen"/>
          <w:sz w:val="22"/>
          <w:lang w:val="ka-GE" w:eastAsia="de-DE"/>
        </w:rPr>
      </w:pPr>
      <w:r w:rsidRPr="00BE4DCF">
        <w:rPr>
          <w:rFonts w:ascii="Sylfaen" w:hAnsi="Sylfaen" w:cs="Sylfaen"/>
          <w:sz w:val="22"/>
          <w:lang w:val="ka-GE" w:eastAsia="de-DE"/>
        </w:rPr>
        <w:t xml:space="preserve">მარშრუტის სამომავლო მოდერნიზებისთვის გარდაუვლად მიიჩნევა ახალი ალტერნატიული ტრასირება. </w:t>
      </w:r>
    </w:p>
    <w:p w14:paraId="1DF5A0A1" w14:textId="1ED4DF08" w:rsidR="00AB098E" w:rsidRPr="00F40F34" w:rsidRDefault="00AB098E" w:rsidP="001D2B74">
      <w:pPr>
        <w:pStyle w:val="BodyText"/>
        <w:spacing w:before="120" w:after="120" w:line="240" w:lineRule="auto"/>
        <w:jc w:val="both"/>
        <w:rPr>
          <w:rFonts w:ascii="Sylfaen" w:hAnsi="Sylfaen" w:cs="Sylfaen"/>
          <w:sz w:val="22"/>
          <w:lang w:val="ka-GE" w:eastAsia="de-DE"/>
        </w:rPr>
      </w:pPr>
      <w:r w:rsidRPr="00F40F34">
        <w:rPr>
          <w:rFonts w:ascii="Sylfaen" w:hAnsi="Sylfaen" w:cs="Sylfaen"/>
          <w:sz w:val="22"/>
          <w:lang w:val="ka-GE" w:eastAsia="de-DE"/>
        </w:rPr>
        <w:t>იგივე მდგომაროებაა გურჯაანი</w:t>
      </w:r>
      <w:r w:rsidR="006D3BB5">
        <w:rPr>
          <w:rFonts w:ascii="Sylfaen" w:hAnsi="Sylfaen" w:cs="Sylfaen"/>
          <w:sz w:val="22"/>
          <w:lang w:val="ka-GE" w:eastAsia="de-DE"/>
        </w:rPr>
        <w:t xml:space="preserve"> </w:t>
      </w:r>
      <w:r w:rsidRPr="00F40F34">
        <w:rPr>
          <w:rFonts w:ascii="Sylfaen" w:hAnsi="Sylfaen" w:cs="Sylfaen"/>
          <w:sz w:val="22"/>
          <w:lang w:val="ka-GE" w:eastAsia="de-DE"/>
        </w:rPr>
        <w:t xml:space="preserve">(ჩუმლაყი)–თელავის გზის ნაწილზე, რომელიც იგივე კორიდორში ბაკურციხე-წნორის ჩრდილო-დასავლეთით არსებული ნაწილია. გზის ეს მონაკვეთი აკავშირებს კახეთის ორ ქალაქს თელავსა და გურჯაანს, გადის 19 სოფელზე 94,000 (თელავისა და გურჯაანის მოსახლეობის ჩათვლით) მოსახლით. </w:t>
      </w:r>
      <w:r w:rsidR="006D3BB5">
        <w:rPr>
          <w:rFonts w:ascii="Sylfaen" w:hAnsi="Sylfaen"/>
          <w:lang w:val="ka-GE"/>
        </w:rPr>
        <w:t>გურჯაანის (ჩუმლაყი)</w:t>
      </w:r>
      <w:r w:rsidR="006D3BB5">
        <w:rPr>
          <w:rFonts w:ascii="Sylfaen" w:hAnsi="Sylfaen"/>
          <w:lang w:val="en-US"/>
        </w:rPr>
        <w:t>-</w:t>
      </w:r>
      <w:r w:rsidR="006D3BB5">
        <w:rPr>
          <w:rFonts w:ascii="Sylfaen" w:hAnsi="Sylfaen"/>
          <w:lang w:val="ka-GE"/>
        </w:rPr>
        <w:t xml:space="preserve">თელავის </w:t>
      </w:r>
      <w:r w:rsidRPr="00F40F34">
        <w:rPr>
          <w:rFonts w:ascii="Sylfaen" w:hAnsi="Sylfaen" w:cs="Sylfaen"/>
          <w:sz w:val="22"/>
          <w:lang w:val="ka-GE" w:eastAsia="de-DE"/>
        </w:rPr>
        <w:t>გზას ასევე აქვს საგზაო უსაფრთხოების მნიშვნელოვანი პრობლემები და ასევე ვერ კმაყოფილდება პარამეტრები (გზის სიგანე, სანიაღვრე სისტემა და ა.შ.).</w:t>
      </w:r>
    </w:p>
    <w:p w14:paraId="731FF649" w14:textId="724AF9F5" w:rsidR="00AB098E" w:rsidRDefault="006D3BB5" w:rsidP="001D2B74">
      <w:pPr>
        <w:pStyle w:val="BodyText"/>
        <w:spacing w:before="120" w:after="120" w:line="240" w:lineRule="auto"/>
        <w:jc w:val="both"/>
        <w:rPr>
          <w:rFonts w:ascii="Sylfaen" w:eastAsia="Arial" w:hAnsi="Sylfaen"/>
          <w:sz w:val="22"/>
          <w:szCs w:val="22"/>
        </w:rPr>
      </w:pPr>
      <w:r>
        <w:rPr>
          <w:rFonts w:ascii="Sylfaen" w:hAnsi="Sylfaen"/>
          <w:lang w:val="ka-GE"/>
        </w:rPr>
        <w:t>გურჯაანის (ჩუმლაყი)</w:t>
      </w:r>
      <w:r>
        <w:rPr>
          <w:rFonts w:ascii="Sylfaen" w:hAnsi="Sylfaen"/>
          <w:lang w:val="en-US"/>
        </w:rPr>
        <w:t>-</w:t>
      </w:r>
      <w:r>
        <w:rPr>
          <w:rFonts w:ascii="Sylfaen" w:hAnsi="Sylfaen"/>
          <w:lang w:val="ka-GE"/>
        </w:rPr>
        <w:t xml:space="preserve">თელავის </w:t>
      </w:r>
      <w:r w:rsidR="00AB098E" w:rsidRPr="00F40F34">
        <w:rPr>
          <w:rFonts w:ascii="Sylfaen" w:hAnsi="Sylfaen" w:cs="Sylfaen"/>
          <w:sz w:val="22"/>
          <w:lang w:val="ka-GE" w:eastAsia="de-DE"/>
        </w:rPr>
        <w:t xml:space="preserve">გზის მონაკვეთის ნაწილი </w:t>
      </w:r>
      <w:r w:rsidR="00BE4DCF">
        <w:rPr>
          <w:rFonts w:ascii="Sylfaen" w:hAnsi="Sylfaen" w:cs="Sylfaen"/>
          <w:sz w:val="22"/>
          <w:lang w:val="ka-GE" w:eastAsia="de-DE"/>
        </w:rPr>
        <w:t>დეტალური დიზაინის მომზადებისას დაიგეგმება და აშენდება</w:t>
      </w:r>
      <w:r w:rsidR="00AB098E" w:rsidRPr="00F40F34">
        <w:rPr>
          <w:rFonts w:ascii="Sylfaen" w:hAnsi="Sylfaen" w:cs="Sylfaen"/>
          <w:sz w:val="22"/>
          <w:lang w:val="ka-GE" w:eastAsia="de-DE"/>
        </w:rPr>
        <w:t xml:space="preserve"> ალაზნის დაბლობზე ზემოთნახსენებ დასახლებულ პუნქტებსა და მთიან ნაწილებზე შემოვლით. იგი არსებული გზის 104 კილომეტრს დააკავშირებს (სოფელ ბაკურციხეზე გავლით) იგივე გზის 120 კილომეტრიან მონაკვეთთან. </w:t>
      </w:r>
      <w:r>
        <w:rPr>
          <w:rFonts w:ascii="Sylfaen" w:hAnsi="Sylfaen"/>
          <w:lang w:val="ka-GE"/>
        </w:rPr>
        <w:t>გურჯაანის (ჩუმლაყი)</w:t>
      </w:r>
      <w:r>
        <w:rPr>
          <w:rFonts w:ascii="Sylfaen" w:hAnsi="Sylfaen"/>
          <w:lang w:val="en-US"/>
        </w:rPr>
        <w:t>-</w:t>
      </w:r>
      <w:r>
        <w:rPr>
          <w:rFonts w:ascii="Sylfaen" w:hAnsi="Sylfaen"/>
          <w:lang w:val="ka-GE"/>
        </w:rPr>
        <w:t xml:space="preserve">თელავის </w:t>
      </w:r>
      <w:r w:rsidR="00AB098E" w:rsidRPr="00F40F34">
        <w:rPr>
          <w:rFonts w:ascii="Sylfaen" w:hAnsi="Sylfaen" w:cs="Sylfaen"/>
          <w:sz w:val="22"/>
          <w:lang w:val="ka-GE" w:eastAsia="de-DE"/>
        </w:rPr>
        <w:t>ნაწილი სავარადოდ გაივლის მჭირდოდ დასახლებულ თელავის სოფლებზე, სადაც არსებობს აღნიშნულის საჭიროება და გამართლება. ამგზით არსებული გზა ვაზიანი-გომბორი-თელავის გზას ჟინვალი-ბაკურციხე-წნორის მეორად კორიდორთან დააკავშირებს.</w:t>
      </w:r>
    </w:p>
    <w:p w14:paraId="2C383865" w14:textId="25D66811" w:rsidR="0010055F" w:rsidRPr="007C708F" w:rsidRDefault="0010055F" w:rsidP="001D2B74">
      <w:pPr>
        <w:tabs>
          <w:tab w:val="left" w:pos="2520"/>
        </w:tabs>
        <w:spacing w:before="120" w:after="120"/>
        <w:rPr>
          <w:rFonts w:ascii="Sylfaen" w:hAnsi="Sylfaen"/>
          <w:lang w:val="ka-GE"/>
        </w:rPr>
      </w:pPr>
      <w:r>
        <w:rPr>
          <w:rFonts w:ascii="Sylfaen" w:hAnsi="Sylfaen"/>
          <w:lang w:val="ka-GE"/>
        </w:rPr>
        <w:t>წინამდებარე</w:t>
      </w:r>
      <w:r w:rsidRPr="007C708F">
        <w:rPr>
          <w:rFonts w:ascii="Sylfaen" w:hAnsi="Sylfaen"/>
          <w:lang w:val="ka-GE"/>
        </w:rPr>
        <w:t xml:space="preserve"> გარემოზე ზემოქმედების შეფასების ანგარიში წარმოადგენს </w:t>
      </w:r>
      <w:r w:rsidR="006D3BB5">
        <w:rPr>
          <w:rFonts w:ascii="Sylfaen" w:hAnsi="Sylfaen"/>
          <w:lang w:val="ka-GE"/>
        </w:rPr>
        <w:t>გურჯაანის (ჩუმლაყი)</w:t>
      </w:r>
      <w:r w:rsidR="006D3BB5">
        <w:rPr>
          <w:rFonts w:ascii="Sylfaen" w:hAnsi="Sylfaen"/>
          <w:lang w:val="en-US"/>
        </w:rPr>
        <w:t>-</w:t>
      </w:r>
      <w:r w:rsidR="006D3BB5">
        <w:rPr>
          <w:rFonts w:ascii="Sylfaen" w:hAnsi="Sylfaen"/>
          <w:lang w:val="ka-GE"/>
        </w:rPr>
        <w:t xml:space="preserve">თელავის </w:t>
      </w:r>
      <w:r w:rsidRPr="007C708F">
        <w:rPr>
          <w:rFonts w:ascii="Sylfaen" w:hAnsi="Sylfaen"/>
          <w:lang w:val="ka-GE"/>
        </w:rPr>
        <w:t xml:space="preserve">შემოსავლელი გზის დაახლოებით </w:t>
      </w:r>
      <w:r w:rsidR="00066B3D">
        <w:rPr>
          <w:rFonts w:ascii="Sylfaen" w:hAnsi="Sylfaen"/>
          <w:lang w:val="ka-GE"/>
        </w:rPr>
        <w:t>30</w:t>
      </w:r>
      <w:r w:rsidRPr="007C708F">
        <w:rPr>
          <w:rFonts w:ascii="Sylfaen" w:hAnsi="Sylfaen"/>
          <w:lang w:val="ka-GE"/>
        </w:rPr>
        <w:t xml:space="preserve">კმ სიგრძის მონაკვეთს, </w:t>
      </w:r>
      <w:r w:rsidR="00066B3D">
        <w:rPr>
          <w:rFonts w:ascii="Sylfaen" w:hAnsi="Sylfaen"/>
          <w:lang w:val="ka-GE"/>
        </w:rPr>
        <w:t>თელავიდან გურჯაანამდე</w:t>
      </w:r>
      <w:r w:rsidRPr="007C708F">
        <w:rPr>
          <w:rFonts w:ascii="Sylfaen" w:hAnsi="Sylfaen"/>
          <w:lang w:val="ka-GE"/>
        </w:rPr>
        <w:t>,</w:t>
      </w:r>
      <w:r>
        <w:rPr>
          <w:rFonts w:ascii="Sylfaen" w:hAnsi="Sylfaen"/>
          <w:lang w:val="ka-GE"/>
        </w:rPr>
        <w:t xml:space="preserve"> </w:t>
      </w:r>
      <w:r w:rsidRPr="007C708F">
        <w:rPr>
          <w:rFonts w:ascii="Sylfaen" w:hAnsi="Sylfaen"/>
          <w:lang w:val="ka-GE"/>
        </w:rPr>
        <w:t>კახეთის რეგიონში. ეს გზა წარმოადგენს კახეთის ერთ-ერთი ძირითადი გზის,</w:t>
      </w:r>
      <w:r>
        <w:rPr>
          <w:rFonts w:ascii="Sylfaen" w:hAnsi="Sylfaen"/>
          <w:lang w:val="ka-GE"/>
        </w:rPr>
        <w:t xml:space="preserve"> </w:t>
      </w:r>
      <w:r w:rsidRPr="007C708F">
        <w:rPr>
          <w:rFonts w:ascii="Sylfaen" w:hAnsi="Sylfaen"/>
          <w:lang w:val="ka-GE"/>
        </w:rPr>
        <w:t>ახმეტა-თელავი-ბაკურციხის შიდასახელმწიფო  გზის, ნაწილს. ახმეტა-თელავი-ბაკურციხის გზა მჭიდროდ დასახლებულ ტერიტორიაზე  გადის  და მის ზემოაღნიშნულ მონაკვეთზე ტრანსპორტის ინტენსიური  სატრანზიტო მოძრაობაა, რაც საგზაო შემთხვევების მაღალ სიხშირეს განაპირობებს.  დაგეგმილია შემოსავლელი გზის მოწყობა ალაზნის ველის მხარეს, რომელიც დააკავშირებს თბილისი-ბაკურციხე-ლაგოდეხი-აზერბაიჯანის საზღვრის საერთაშორისო გზას არსებულ შიდასახელმწიფო გზასთან, სოფლების</w:t>
      </w:r>
      <w:r w:rsidR="002A6457">
        <w:rPr>
          <w:rFonts w:ascii="Sylfaen" w:hAnsi="Sylfaen"/>
          <w:lang w:val="ka-GE"/>
        </w:rPr>
        <w:t xml:space="preserve"> ბაკურციხის, კარდენახის, ანაგის, </w:t>
      </w:r>
      <w:r w:rsidR="002D2A55">
        <w:rPr>
          <w:rFonts w:ascii="Sylfaen" w:hAnsi="Sylfaen"/>
          <w:lang w:val="ka-GE"/>
        </w:rPr>
        <w:t xml:space="preserve">ვაქირის, მანშაარის, საკობოს და წნორის </w:t>
      </w:r>
      <w:r w:rsidRPr="007C708F">
        <w:rPr>
          <w:rFonts w:ascii="Sylfaen" w:hAnsi="Sylfaen"/>
          <w:lang w:val="ka-GE"/>
        </w:rPr>
        <w:t xml:space="preserve">გვერდის ავლით. </w:t>
      </w:r>
    </w:p>
    <w:p w14:paraId="03D8477F" w14:textId="2D37FFEA" w:rsidR="002D2A55" w:rsidRDefault="002D2A55" w:rsidP="001D2B74">
      <w:pPr>
        <w:spacing w:before="120" w:after="120"/>
        <w:rPr>
          <w:rFonts w:ascii="Sylfaen" w:hAnsi="Sylfaen" w:cs="Sylfaen"/>
          <w:lang w:val="ka-GE"/>
        </w:rPr>
      </w:pPr>
      <w:r w:rsidRPr="007C708F">
        <w:rPr>
          <w:rFonts w:ascii="Sylfaen" w:hAnsi="Sylfaen" w:cs="Sylfaen"/>
          <w:lang w:val="ka-GE"/>
        </w:rPr>
        <w:t xml:space="preserve">პირვანდელი </w:t>
      </w:r>
      <w:r w:rsidR="00BE4DCF">
        <w:rPr>
          <w:rFonts w:ascii="Sylfaen" w:hAnsi="Sylfaen" w:cs="Sylfaen"/>
          <w:lang w:val="ka-GE"/>
        </w:rPr>
        <w:t>გზა</w:t>
      </w:r>
      <w:r w:rsidRPr="007C708F">
        <w:rPr>
          <w:rFonts w:ascii="Sylfaen" w:hAnsi="Sylfaen" w:cs="Sylfaen"/>
          <w:lang w:val="ka-GE"/>
        </w:rPr>
        <w:t xml:space="preserve"> განაშენიანებული ფართობების გარდა, სასოფლო-სამეურნეო მიწებზე გადის. ამ მიწების დიდ ნაწილზე ვენახებია გაშენებული. ტრასას კვეთს მრავალრიცხოვანი მცირე გზები, რომლებიც მიემართება სამხრეთ-დასავლეთიდან ჩრდილო-აღმოსავლეთისკენ (ალაზნის  ველისკენ).</w:t>
      </w:r>
      <w:r>
        <w:rPr>
          <w:rFonts w:ascii="Sylfaen" w:hAnsi="Sylfaen" w:cs="Sylfaen"/>
          <w:lang w:val="ka-GE"/>
        </w:rPr>
        <w:t xml:space="preserve"> </w:t>
      </w:r>
    </w:p>
    <w:p w14:paraId="1B3B8D95" w14:textId="77777777" w:rsidR="001B0E9F" w:rsidRDefault="00F70C8B" w:rsidP="001B0E9F">
      <w:pPr>
        <w:rPr>
          <w:rFonts w:ascii="Sylfaen" w:hAnsi="Sylfaen"/>
          <w:sz w:val="20"/>
          <w:lang w:val="ka-GE"/>
        </w:rPr>
      </w:pPr>
      <w:r>
        <w:rPr>
          <w:rFonts w:ascii="Sylfaen" w:hAnsi="Sylfaen"/>
          <w:sz w:val="20"/>
          <w:lang w:val="ka-GE"/>
        </w:rPr>
        <w:t>ცხრილი 4.1 გზის ნაწილები და სოფლების განლაგება</w:t>
      </w:r>
    </w:p>
    <w:p w14:paraId="56B35AAE" w14:textId="77777777" w:rsidR="00F70C8B" w:rsidRPr="006931A1" w:rsidRDefault="00F70C8B" w:rsidP="001B0E9F">
      <w:pPr>
        <w:rPr>
          <w:sz w:val="12"/>
        </w:rPr>
      </w:pPr>
    </w:p>
    <w:tbl>
      <w:tblPr>
        <w:tblW w:w="9796" w:type="dxa"/>
        <w:tblInd w:w="94" w:type="dxa"/>
        <w:tblLayout w:type="fixed"/>
        <w:tblLook w:val="04A0" w:firstRow="1" w:lastRow="0" w:firstColumn="1" w:lastColumn="0" w:noHBand="0" w:noVBand="1"/>
      </w:tblPr>
      <w:tblGrid>
        <w:gridCol w:w="440"/>
        <w:gridCol w:w="1976"/>
        <w:gridCol w:w="1350"/>
        <w:gridCol w:w="1350"/>
        <w:gridCol w:w="2340"/>
        <w:gridCol w:w="1170"/>
        <w:gridCol w:w="1170"/>
      </w:tblGrid>
      <w:tr w:rsidR="001B0E9F" w:rsidRPr="006931A1" w14:paraId="2C8E7D49" w14:textId="77777777" w:rsidTr="00E33BE0">
        <w:trPr>
          <w:trHeight w:val="1155"/>
        </w:trPr>
        <w:tc>
          <w:tcPr>
            <w:tcW w:w="4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9AA9EFA" w14:textId="77777777" w:rsidR="001B0E9F" w:rsidRPr="006931A1" w:rsidRDefault="001B0E9F" w:rsidP="001B0E9F">
            <w:pPr>
              <w:jc w:val="center"/>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w:t>
            </w:r>
          </w:p>
        </w:tc>
        <w:tc>
          <w:tcPr>
            <w:tcW w:w="1976" w:type="dxa"/>
            <w:tcBorders>
              <w:top w:val="single" w:sz="8" w:space="0" w:color="auto"/>
              <w:left w:val="nil"/>
              <w:bottom w:val="single" w:sz="4" w:space="0" w:color="auto"/>
              <w:right w:val="single" w:sz="4" w:space="0" w:color="auto"/>
            </w:tcBorders>
            <w:shd w:val="clear" w:color="auto" w:fill="auto"/>
            <w:vAlign w:val="center"/>
            <w:hideMark/>
          </w:tcPr>
          <w:p w14:paraId="61A1A786" w14:textId="77777777" w:rsidR="001B0E9F" w:rsidRPr="006931A1" w:rsidRDefault="00066B3D" w:rsidP="00066B3D">
            <w:pPr>
              <w:jc w:val="center"/>
              <w:rPr>
                <w:rFonts w:ascii="AcadNusx" w:hAnsi="AcadNusx" w:cs="Arial"/>
                <w:color w:val="000000"/>
                <w:sz w:val="20"/>
                <w:szCs w:val="20"/>
                <w:lang w:val="en-US" w:eastAsia="en-US"/>
              </w:rPr>
            </w:pPr>
            <w:r>
              <w:rPr>
                <w:rFonts w:ascii="Sylfaen" w:hAnsi="Sylfaen" w:cs="Arial"/>
                <w:color w:val="000000"/>
                <w:sz w:val="20"/>
                <w:szCs w:val="20"/>
                <w:lang w:val="ka-GE" w:eastAsia="en-US"/>
              </w:rPr>
              <w:t>გზის მონაკვეთი, გზების დეპარტამენტის სახელწოდების მიხედვით</w:t>
            </w:r>
          </w:p>
        </w:tc>
        <w:tc>
          <w:tcPr>
            <w:tcW w:w="2700" w:type="dxa"/>
            <w:gridSpan w:val="2"/>
            <w:tcBorders>
              <w:top w:val="single" w:sz="8" w:space="0" w:color="auto"/>
              <w:left w:val="nil"/>
              <w:bottom w:val="single" w:sz="4" w:space="0" w:color="auto"/>
              <w:right w:val="single" w:sz="4" w:space="0" w:color="auto"/>
            </w:tcBorders>
            <w:shd w:val="clear" w:color="auto" w:fill="auto"/>
            <w:vAlign w:val="center"/>
            <w:hideMark/>
          </w:tcPr>
          <w:p w14:paraId="11A49D31" w14:textId="77777777" w:rsidR="001B0E9F" w:rsidRPr="006931A1" w:rsidRDefault="00C07C18" w:rsidP="00C07C18">
            <w:pPr>
              <w:jc w:val="center"/>
              <w:rPr>
                <w:rFonts w:ascii="AcadNusx" w:hAnsi="AcadNusx" w:cs="Arial"/>
                <w:color w:val="000000"/>
                <w:sz w:val="20"/>
                <w:szCs w:val="20"/>
                <w:lang w:val="en-US" w:eastAsia="en-US"/>
              </w:rPr>
            </w:pPr>
            <w:r>
              <w:rPr>
                <w:rFonts w:ascii="Sylfaen" w:hAnsi="Sylfaen" w:cs="Arial"/>
                <w:color w:val="000000"/>
                <w:sz w:val="20"/>
                <w:szCs w:val="20"/>
                <w:lang w:val="ka-GE" w:eastAsia="en-US"/>
              </w:rPr>
              <w:t>საპროექტო გზის მონაკვეთების მდებარეობა სახელმწიფო გზების ქსელის მიხედვით</w:t>
            </w:r>
          </w:p>
        </w:tc>
        <w:tc>
          <w:tcPr>
            <w:tcW w:w="2340" w:type="dxa"/>
            <w:tcBorders>
              <w:top w:val="single" w:sz="8" w:space="0" w:color="auto"/>
              <w:left w:val="nil"/>
              <w:bottom w:val="single" w:sz="4" w:space="0" w:color="auto"/>
              <w:right w:val="single" w:sz="4" w:space="0" w:color="auto"/>
            </w:tcBorders>
            <w:shd w:val="clear" w:color="auto" w:fill="auto"/>
            <w:vAlign w:val="center"/>
            <w:hideMark/>
          </w:tcPr>
          <w:p w14:paraId="732F2EA6" w14:textId="77777777" w:rsidR="001B0E9F" w:rsidRPr="006931A1" w:rsidRDefault="00C07C18" w:rsidP="00C07C18">
            <w:pPr>
              <w:jc w:val="center"/>
              <w:rPr>
                <w:rFonts w:ascii="AcadNusx" w:hAnsi="AcadNusx" w:cs="Arial"/>
                <w:color w:val="000000"/>
                <w:sz w:val="20"/>
                <w:szCs w:val="20"/>
                <w:lang w:val="en-US" w:eastAsia="en-US"/>
              </w:rPr>
            </w:pPr>
            <w:r>
              <w:rPr>
                <w:rFonts w:ascii="Sylfaen" w:hAnsi="Sylfaen" w:cs="Arial"/>
                <w:color w:val="000000"/>
                <w:sz w:val="20"/>
                <w:szCs w:val="20"/>
                <w:lang w:val="ka-GE" w:eastAsia="en-US"/>
              </w:rPr>
              <w:t>საპროექტო გზების მონაკვეთებში არსებული სოფლების სახელწოდებები</w:t>
            </w:r>
          </w:p>
        </w:tc>
        <w:tc>
          <w:tcPr>
            <w:tcW w:w="2340" w:type="dxa"/>
            <w:gridSpan w:val="2"/>
            <w:tcBorders>
              <w:top w:val="single" w:sz="8" w:space="0" w:color="auto"/>
              <w:left w:val="nil"/>
              <w:bottom w:val="single" w:sz="4" w:space="0" w:color="auto"/>
              <w:right w:val="single" w:sz="8" w:space="0" w:color="000000"/>
            </w:tcBorders>
            <w:shd w:val="clear" w:color="auto" w:fill="auto"/>
            <w:vAlign w:val="center"/>
            <w:hideMark/>
          </w:tcPr>
          <w:p w14:paraId="741D8BF0" w14:textId="77777777" w:rsidR="001B0E9F" w:rsidRPr="006931A1" w:rsidRDefault="00C07C18" w:rsidP="00C07C18">
            <w:pPr>
              <w:jc w:val="center"/>
              <w:rPr>
                <w:rFonts w:ascii="AcadNusx" w:hAnsi="AcadNusx" w:cs="Arial"/>
                <w:color w:val="000000"/>
                <w:sz w:val="20"/>
                <w:szCs w:val="20"/>
                <w:lang w:val="en-US" w:eastAsia="en-US"/>
              </w:rPr>
            </w:pPr>
            <w:r>
              <w:rPr>
                <w:rFonts w:ascii="Sylfaen" w:hAnsi="Sylfaen" w:cs="Sylfaen"/>
                <w:color w:val="000000"/>
                <w:sz w:val="20"/>
                <w:szCs w:val="20"/>
                <w:lang w:val="ka-GE" w:eastAsia="en-US"/>
              </w:rPr>
              <w:t>სოფლების განლაგება გზების ქსელის მიხედვით (კმ)</w:t>
            </w:r>
          </w:p>
        </w:tc>
      </w:tr>
      <w:tr w:rsidR="001B0E9F" w:rsidRPr="006931A1" w14:paraId="098A6F1C" w14:textId="77777777" w:rsidTr="00E33BE0">
        <w:trPr>
          <w:trHeight w:val="300"/>
        </w:trPr>
        <w:tc>
          <w:tcPr>
            <w:tcW w:w="4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169202D" w14:textId="77777777" w:rsidR="001B0E9F" w:rsidRPr="001B0E9F" w:rsidRDefault="001B0E9F" w:rsidP="001B0E9F">
            <w:pPr>
              <w:jc w:val="center"/>
              <w:rPr>
                <w:rFonts w:ascii="Sylfaen" w:hAnsi="Sylfaen" w:cs="Arial"/>
                <w:color w:val="000000"/>
                <w:sz w:val="20"/>
                <w:szCs w:val="20"/>
                <w:lang w:val="ka-GE" w:eastAsia="en-US"/>
              </w:rPr>
            </w:pPr>
            <w:r>
              <w:rPr>
                <w:rFonts w:ascii="Sylfaen" w:hAnsi="Sylfaen" w:cs="Arial"/>
                <w:color w:val="000000"/>
                <w:sz w:val="20"/>
                <w:szCs w:val="20"/>
                <w:lang w:val="ka-GE" w:eastAsia="en-US"/>
              </w:rPr>
              <w:t>1</w:t>
            </w:r>
          </w:p>
        </w:tc>
        <w:tc>
          <w:tcPr>
            <w:tcW w:w="1976" w:type="dxa"/>
            <w:vMerge w:val="restart"/>
            <w:tcBorders>
              <w:top w:val="nil"/>
              <w:left w:val="single" w:sz="4" w:space="0" w:color="auto"/>
              <w:bottom w:val="single" w:sz="8" w:space="0" w:color="000000"/>
              <w:right w:val="single" w:sz="4" w:space="0" w:color="auto"/>
            </w:tcBorders>
            <w:shd w:val="clear" w:color="auto" w:fill="auto"/>
            <w:vAlign w:val="center"/>
            <w:hideMark/>
          </w:tcPr>
          <w:p w14:paraId="69044333" w14:textId="7291E08D" w:rsidR="001B0E9F" w:rsidRPr="006931A1" w:rsidRDefault="00C07C18" w:rsidP="004D31A1">
            <w:pPr>
              <w:jc w:val="center"/>
              <w:rPr>
                <w:rFonts w:ascii="AcadNusx" w:hAnsi="AcadNusx" w:cs="Arial"/>
                <w:color w:val="000000"/>
                <w:sz w:val="20"/>
                <w:szCs w:val="20"/>
                <w:lang w:val="en-US" w:eastAsia="en-US"/>
              </w:rPr>
            </w:pPr>
            <w:r>
              <w:rPr>
                <w:rFonts w:ascii="Sylfaen" w:hAnsi="Sylfaen" w:cs="Arial"/>
                <w:color w:val="000000"/>
                <w:sz w:val="20"/>
                <w:szCs w:val="20"/>
                <w:lang w:val="ka-GE" w:eastAsia="en-US"/>
              </w:rPr>
              <w:t>ახმეტა-თელავი-ბაკურციხე</w:t>
            </w:r>
          </w:p>
        </w:tc>
        <w:tc>
          <w:tcPr>
            <w:tcW w:w="1350" w:type="dxa"/>
            <w:vMerge w:val="restart"/>
            <w:tcBorders>
              <w:top w:val="nil"/>
              <w:left w:val="single" w:sz="4" w:space="0" w:color="auto"/>
              <w:bottom w:val="single" w:sz="8" w:space="0" w:color="000000"/>
              <w:right w:val="single" w:sz="4" w:space="0" w:color="auto"/>
            </w:tcBorders>
            <w:shd w:val="clear" w:color="auto" w:fill="auto"/>
            <w:vAlign w:val="center"/>
            <w:hideMark/>
          </w:tcPr>
          <w:p w14:paraId="6392E83F" w14:textId="61354F98" w:rsidR="001B0E9F" w:rsidRPr="006931A1" w:rsidRDefault="00C07C18" w:rsidP="00C07C18">
            <w:pPr>
              <w:jc w:val="center"/>
              <w:rPr>
                <w:rFonts w:ascii="AcadNusx" w:hAnsi="AcadNusx" w:cs="Arial"/>
                <w:color w:val="000000"/>
                <w:sz w:val="20"/>
                <w:szCs w:val="20"/>
                <w:lang w:val="en-US" w:eastAsia="en-US"/>
              </w:rPr>
            </w:pPr>
            <w:r>
              <w:rPr>
                <w:rFonts w:ascii="Sylfaen" w:hAnsi="Sylfaen" w:cs="Arial"/>
                <w:color w:val="000000"/>
                <w:sz w:val="20"/>
                <w:szCs w:val="20"/>
                <w:lang w:val="ka-GE" w:eastAsia="en-US"/>
              </w:rPr>
              <w:t xml:space="preserve">მონაკვეთი: </w:t>
            </w:r>
            <w:r w:rsidR="006D3BB5" w:rsidRPr="006D3BB5">
              <w:rPr>
                <w:rFonts w:ascii="Sylfaen" w:hAnsi="Sylfaen"/>
                <w:sz w:val="20"/>
                <w:lang w:val="ka-GE"/>
              </w:rPr>
              <w:t>გურჯაანის (ჩუმლაყი)</w:t>
            </w:r>
            <w:r w:rsidR="006D3BB5" w:rsidRPr="006D3BB5">
              <w:rPr>
                <w:rFonts w:ascii="Sylfaen" w:hAnsi="Sylfaen"/>
                <w:sz w:val="20"/>
                <w:lang w:val="en-US"/>
              </w:rPr>
              <w:t>-</w:t>
            </w:r>
            <w:r w:rsidR="006D3BB5" w:rsidRPr="006D3BB5">
              <w:rPr>
                <w:rFonts w:ascii="Sylfaen" w:hAnsi="Sylfaen"/>
                <w:sz w:val="20"/>
                <w:lang w:val="ka-GE"/>
              </w:rPr>
              <w:t xml:space="preserve">თელავის </w:t>
            </w:r>
            <w:r w:rsidRPr="006D3BB5">
              <w:rPr>
                <w:rFonts w:ascii="Sylfaen" w:hAnsi="Sylfaen" w:cs="Arial"/>
                <w:color w:val="000000"/>
                <w:sz w:val="18"/>
                <w:szCs w:val="20"/>
                <w:lang w:val="ka-GE" w:eastAsia="en-US"/>
              </w:rPr>
              <w:t xml:space="preserve"> </w:t>
            </w:r>
            <w:r w:rsidR="001B0E9F" w:rsidRPr="006931A1">
              <w:rPr>
                <w:rFonts w:ascii="AcadNusx" w:hAnsi="AcadNusx" w:cs="Arial"/>
                <w:color w:val="000000"/>
                <w:sz w:val="20"/>
                <w:szCs w:val="20"/>
                <w:lang w:val="en-US" w:eastAsia="en-US"/>
              </w:rPr>
              <w:t>(</w:t>
            </w:r>
            <w:r>
              <w:rPr>
                <w:rFonts w:ascii="Sylfaen" w:hAnsi="Sylfaen" w:cs="Arial"/>
                <w:color w:val="000000"/>
                <w:sz w:val="20"/>
                <w:szCs w:val="20"/>
                <w:lang w:val="ka-GE" w:eastAsia="en-US"/>
              </w:rPr>
              <w:t>კმ</w:t>
            </w:r>
            <w:r w:rsidR="001B0E9F" w:rsidRPr="006931A1">
              <w:rPr>
                <w:rFonts w:ascii="AcadNusx" w:hAnsi="AcadNusx" w:cs="Arial"/>
                <w:color w:val="000000"/>
                <w:sz w:val="20"/>
                <w:szCs w:val="20"/>
                <w:lang w:val="en-US" w:eastAsia="en-US"/>
              </w:rPr>
              <w:t>30)</w:t>
            </w:r>
          </w:p>
        </w:tc>
        <w:tc>
          <w:tcPr>
            <w:tcW w:w="1350" w:type="dxa"/>
            <w:vMerge w:val="restart"/>
            <w:tcBorders>
              <w:top w:val="nil"/>
              <w:left w:val="single" w:sz="4" w:space="0" w:color="auto"/>
              <w:bottom w:val="single" w:sz="8" w:space="0" w:color="000000"/>
              <w:right w:val="single" w:sz="4" w:space="0" w:color="auto"/>
            </w:tcBorders>
            <w:shd w:val="clear" w:color="auto" w:fill="auto"/>
            <w:vAlign w:val="center"/>
            <w:hideMark/>
          </w:tcPr>
          <w:p w14:paraId="15E4A83C" w14:textId="77777777" w:rsidR="001B0E9F" w:rsidRPr="006931A1" w:rsidRDefault="00C07C18" w:rsidP="00C07C18">
            <w:pPr>
              <w:jc w:val="center"/>
              <w:rPr>
                <w:rFonts w:ascii="AcadNusx" w:hAnsi="AcadNusx" w:cs="Arial"/>
                <w:color w:val="000000"/>
                <w:sz w:val="20"/>
                <w:szCs w:val="20"/>
                <w:lang w:val="en-US" w:eastAsia="en-US"/>
              </w:rPr>
            </w:pPr>
            <w:r>
              <w:rPr>
                <w:rFonts w:ascii="Sylfaen" w:hAnsi="Sylfaen" w:cs="Arial"/>
                <w:color w:val="000000"/>
                <w:sz w:val="20"/>
                <w:szCs w:val="20"/>
                <w:lang w:val="ka-GE" w:eastAsia="en-US"/>
              </w:rPr>
              <w:t>კმ</w:t>
            </w:r>
            <w:r w:rsidR="001B0E9F" w:rsidRPr="006931A1">
              <w:rPr>
                <w:rFonts w:ascii="AcadNusx" w:hAnsi="AcadNusx" w:cs="Arial"/>
                <w:color w:val="000000"/>
                <w:sz w:val="20"/>
                <w:szCs w:val="20"/>
                <w:lang w:val="en-US" w:eastAsia="en-US"/>
              </w:rPr>
              <w:t xml:space="preserve"> 27+270 -</w:t>
            </w:r>
            <w:r>
              <w:rPr>
                <w:rFonts w:ascii="Sylfaen" w:hAnsi="Sylfaen" w:cs="Arial"/>
                <w:color w:val="000000"/>
                <w:sz w:val="20"/>
                <w:szCs w:val="20"/>
                <w:lang w:val="ka-GE" w:eastAsia="en-US"/>
              </w:rPr>
              <w:t>კმ</w:t>
            </w:r>
            <w:r w:rsidR="001B0E9F" w:rsidRPr="006931A1">
              <w:rPr>
                <w:rFonts w:ascii="AcadNusx" w:hAnsi="AcadNusx" w:cs="Arial"/>
                <w:color w:val="000000"/>
                <w:sz w:val="20"/>
                <w:szCs w:val="20"/>
                <w:lang w:val="en-US" w:eastAsia="en-US"/>
              </w:rPr>
              <w:t xml:space="preserve"> 58+400</w:t>
            </w:r>
          </w:p>
        </w:tc>
        <w:tc>
          <w:tcPr>
            <w:tcW w:w="2340" w:type="dxa"/>
            <w:tcBorders>
              <w:top w:val="nil"/>
              <w:left w:val="nil"/>
              <w:bottom w:val="single" w:sz="4" w:space="0" w:color="auto"/>
              <w:right w:val="single" w:sz="4" w:space="0" w:color="auto"/>
            </w:tcBorders>
            <w:shd w:val="clear" w:color="auto" w:fill="auto"/>
            <w:noWrap/>
            <w:vAlign w:val="bottom"/>
            <w:hideMark/>
          </w:tcPr>
          <w:p w14:paraId="0016B621" w14:textId="77777777" w:rsidR="001B0E9F" w:rsidRPr="00C07C18" w:rsidRDefault="00C07C18" w:rsidP="001B0E9F">
            <w:pPr>
              <w:jc w:val="left"/>
              <w:rPr>
                <w:rFonts w:ascii="Sylfaen" w:hAnsi="Sylfaen" w:cs="Arial"/>
                <w:color w:val="000000"/>
                <w:sz w:val="20"/>
                <w:szCs w:val="20"/>
                <w:lang w:val="ka-GE" w:eastAsia="en-US"/>
              </w:rPr>
            </w:pPr>
            <w:r>
              <w:rPr>
                <w:rFonts w:ascii="Sylfaen" w:hAnsi="Sylfaen" w:cs="Arial"/>
                <w:color w:val="000000"/>
                <w:sz w:val="20"/>
                <w:szCs w:val="20"/>
                <w:lang w:val="ka-GE" w:eastAsia="en-US"/>
              </w:rPr>
              <w:t>თელავი</w:t>
            </w:r>
          </w:p>
        </w:tc>
        <w:tc>
          <w:tcPr>
            <w:tcW w:w="1170" w:type="dxa"/>
            <w:tcBorders>
              <w:top w:val="nil"/>
              <w:left w:val="nil"/>
              <w:bottom w:val="single" w:sz="4" w:space="0" w:color="auto"/>
              <w:right w:val="single" w:sz="4" w:space="0" w:color="auto"/>
            </w:tcBorders>
            <w:shd w:val="clear" w:color="auto" w:fill="auto"/>
            <w:noWrap/>
            <w:vAlign w:val="bottom"/>
            <w:hideMark/>
          </w:tcPr>
          <w:p w14:paraId="0255C98A"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27+270</w:t>
            </w:r>
          </w:p>
        </w:tc>
        <w:tc>
          <w:tcPr>
            <w:tcW w:w="1170" w:type="dxa"/>
            <w:tcBorders>
              <w:top w:val="nil"/>
              <w:left w:val="nil"/>
              <w:bottom w:val="single" w:sz="4" w:space="0" w:color="auto"/>
              <w:right w:val="single" w:sz="8" w:space="0" w:color="auto"/>
            </w:tcBorders>
            <w:shd w:val="clear" w:color="auto" w:fill="auto"/>
            <w:noWrap/>
            <w:vAlign w:val="bottom"/>
            <w:hideMark/>
          </w:tcPr>
          <w:p w14:paraId="3021536E"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29+100</w:t>
            </w:r>
          </w:p>
        </w:tc>
      </w:tr>
      <w:tr w:rsidR="001B0E9F" w:rsidRPr="006931A1" w14:paraId="66A04290" w14:textId="77777777" w:rsidTr="00E33BE0">
        <w:trPr>
          <w:trHeight w:val="300"/>
        </w:trPr>
        <w:tc>
          <w:tcPr>
            <w:tcW w:w="440" w:type="dxa"/>
            <w:vMerge/>
            <w:tcBorders>
              <w:top w:val="nil"/>
              <w:left w:val="single" w:sz="8" w:space="0" w:color="auto"/>
              <w:bottom w:val="single" w:sz="8" w:space="0" w:color="000000"/>
              <w:right w:val="single" w:sz="4" w:space="0" w:color="auto"/>
            </w:tcBorders>
            <w:vAlign w:val="center"/>
            <w:hideMark/>
          </w:tcPr>
          <w:p w14:paraId="1ED545C3" w14:textId="77777777" w:rsidR="001B0E9F" w:rsidRPr="006931A1" w:rsidRDefault="001B0E9F" w:rsidP="001B0E9F">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14:paraId="76E21357"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5A0CF813"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3E95DA54" w14:textId="77777777" w:rsidR="001B0E9F" w:rsidRPr="006931A1" w:rsidRDefault="001B0E9F" w:rsidP="001B0E9F">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14:paraId="15E591CC" w14:textId="77777777" w:rsidR="001B0E9F" w:rsidRPr="00C07C18" w:rsidRDefault="00C07C18" w:rsidP="001B0E9F">
            <w:pPr>
              <w:jc w:val="left"/>
              <w:rPr>
                <w:rFonts w:ascii="Sylfaen" w:hAnsi="Sylfaen" w:cs="Arial"/>
                <w:color w:val="000000"/>
                <w:sz w:val="20"/>
                <w:szCs w:val="20"/>
                <w:lang w:val="ka-GE" w:eastAsia="en-US"/>
              </w:rPr>
            </w:pPr>
            <w:r>
              <w:rPr>
                <w:rFonts w:ascii="Sylfaen" w:hAnsi="Sylfaen" w:cs="Arial"/>
                <w:color w:val="000000"/>
                <w:sz w:val="20"/>
                <w:szCs w:val="20"/>
                <w:lang w:val="ka-GE" w:eastAsia="en-US"/>
              </w:rPr>
              <w:t>შალაური</w:t>
            </w:r>
          </w:p>
        </w:tc>
        <w:tc>
          <w:tcPr>
            <w:tcW w:w="1170" w:type="dxa"/>
            <w:tcBorders>
              <w:top w:val="nil"/>
              <w:left w:val="nil"/>
              <w:bottom w:val="single" w:sz="4" w:space="0" w:color="auto"/>
              <w:right w:val="single" w:sz="4" w:space="0" w:color="auto"/>
            </w:tcBorders>
            <w:shd w:val="clear" w:color="auto" w:fill="auto"/>
            <w:noWrap/>
            <w:vAlign w:val="bottom"/>
            <w:hideMark/>
          </w:tcPr>
          <w:p w14:paraId="23170B50"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29+100</w:t>
            </w:r>
          </w:p>
        </w:tc>
        <w:tc>
          <w:tcPr>
            <w:tcW w:w="1170" w:type="dxa"/>
            <w:tcBorders>
              <w:top w:val="nil"/>
              <w:left w:val="nil"/>
              <w:bottom w:val="single" w:sz="4" w:space="0" w:color="auto"/>
              <w:right w:val="single" w:sz="8" w:space="0" w:color="auto"/>
            </w:tcBorders>
            <w:shd w:val="clear" w:color="auto" w:fill="auto"/>
            <w:noWrap/>
            <w:vAlign w:val="bottom"/>
            <w:hideMark/>
          </w:tcPr>
          <w:p w14:paraId="4619CB7D"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29+700</w:t>
            </w:r>
          </w:p>
        </w:tc>
      </w:tr>
      <w:tr w:rsidR="001B0E9F" w:rsidRPr="006931A1" w14:paraId="4624A27B" w14:textId="77777777" w:rsidTr="00E33BE0">
        <w:trPr>
          <w:trHeight w:val="300"/>
        </w:trPr>
        <w:tc>
          <w:tcPr>
            <w:tcW w:w="440" w:type="dxa"/>
            <w:vMerge/>
            <w:tcBorders>
              <w:top w:val="nil"/>
              <w:left w:val="single" w:sz="8" w:space="0" w:color="auto"/>
              <w:bottom w:val="single" w:sz="8" w:space="0" w:color="000000"/>
              <w:right w:val="single" w:sz="4" w:space="0" w:color="auto"/>
            </w:tcBorders>
            <w:vAlign w:val="center"/>
            <w:hideMark/>
          </w:tcPr>
          <w:p w14:paraId="2D268B72" w14:textId="77777777" w:rsidR="001B0E9F" w:rsidRPr="006931A1" w:rsidRDefault="001B0E9F" w:rsidP="001B0E9F">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14:paraId="3AC054EE"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7F86F0FE"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76D84BDD" w14:textId="77777777" w:rsidR="001B0E9F" w:rsidRPr="006931A1" w:rsidRDefault="001B0E9F" w:rsidP="001B0E9F">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14:paraId="62E34668" w14:textId="77777777" w:rsidR="001B0E9F" w:rsidRPr="006931A1" w:rsidRDefault="00C07C18" w:rsidP="00C07C18">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ნასამხრალი</w:t>
            </w:r>
          </w:p>
        </w:tc>
        <w:tc>
          <w:tcPr>
            <w:tcW w:w="1170" w:type="dxa"/>
            <w:tcBorders>
              <w:top w:val="nil"/>
              <w:left w:val="nil"/>
              <w:bottom w:val="single" w:sz="4" w:space="0" w:color="auto"/>
              <w:right w:val="single" w:sz="4" w:space="0" w:color="auto"/>
            </w:tcBorders>
            <w:shd w:val="clear" w:color="auto" w:fill="auto"/>
            <w:noWrap/>
            <w:vAlign w:val="bottom"/>
            <w:hideMark/>
          </w:tcPr>
          <w:p w14:paraId="4410FDFD"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30+860</w:t>
            </w:r>
          </w:p>
        </w:tc>
        <w:tc>
          <w:tcPr>
            <w:tcW w:w="1170" w:type="dxa"/>
            <w:tcBorders>
              <w:top w:val="nil"/>
              <w:left w:val="nil"/>
              <w:bottom w:val="single" w:sz="4" w:space="0" w:color="auto"/>
              <w:right w:val="single" w:sz="8" w:space="0" w:color="auto"/>
            </w:tcBorders>
            <w:shd w:val="clear" w:color="auto" w:fill="auto"/>
            <w:noWrap/>
            <w:vAlign w:val="bottom"/>
            <w:hideMark/>
          </w:tcPr>
          <w:p w14:paraId="5AECB690"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32+320</w:t>
            </w:r>
          </w:p>
        </w:tc>
      </w:tr>
      <w:tr w:rsidR="001B0E9F" w:rsidRPr="006931A1" w14:paraId="3346A0E9" w14:textId="77777777" w:rsidTr="00E33BE0">
        <w:trPr>
          <w:trHeight w:val="300"/>
        </w:trPr>
        <w:tc>
          <w:tcPr>
            <w:tcW w:w="440" w:type="dxa"/>
            <w:vMerge/>
            <w:tcBorders>
              <w:top w:val="nil"/>
              <w:left w:val="single" w:sz="8" w:space="0" w:color="auto"/>
              <w:bottom w:val="single" w:sz="8" w:space="0" w:color="000000"/>
              <w:right w:val="single" w:sz="4" w:space="0" w:color="auto"/>
            </w:tcBorders>
            <w:vAlign w:val="center"/>
            <w:hideMark/>
          </w:tcPr>
          <w:p w14:paraId="067A1F4E" w14:textId="77777777" w:rsidR="001B0E9F" w:rsidRPr="006931A1" w:rsidRDefault="001B0E9F" w:rsidP="001B0E9F">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14:paraId="160FA5EA"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715CCCC9"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10291F80" w14:textId="77777777" w:rsidR="001B0E9F" w:rsidRPr="006931A1" w:rsidRDefault="001B0E9F" w:rsidP="001B0E9F">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14:paraId="14AA3B4F" w14:textId="77777777" w:rsidR="001B0E9F" w:rsidRPr="006931A1" w:rsidRDefault="00C07C18" w:rsidP="00C07C18">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კისისხევი</w:t>
            </w:r>
          </w:p>
        </w:tc>
        <w:tc>
          <w:tcPr>
            <w:tcW w:w="1170" w:type="dxa"/>
            <w:tcBorders>
              <w:top w:val="nil"/>
              <w:left w:val="nil"/>
              <w:bottom w:val="single" w:sz="4" w:space="0" w:color="auto"/>
              <w:right w:val="single" w:sz="4" w:space="0" w:color="auto"/>
            </w:tcBorders>
            <w:shd w:val="clear" w:color="auto" w:fill="auto"/>
            <w:noWrap/>
            <w:vAlign w:val="bottom"/>
            <w:hideMark/>
          </w:tcPr>
          <w:p w14:paraId="61B1F5F4"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32+860</w:t>
            </w:r>
          </w:p>
        </w:tc>
        <w:tc>
          <w:tcPr>
            <w:tcW w:w="1170" w:type="dxa"/>
            <w:tcBorders>
              <w:top w:val="nil"/>
              <w:left w:val="nil"/>
              <w:bottom w:val="single" w:sz="4" w:space="0" w:color="auto"/>
              <w:right w:val="single" w:sz="8" w:space="0" w:color="auto"/>
            </w:tcBorders>
            <w:shd w:val="clear" w:color="auto" w:fill="auto"/>
            <w:noWrap/>
            <w:vAlign w:val="bottom"/>
            <w:hideMark/>
          </w:tcPr>
          <w:p w14:paraId="03356A96"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34+100</w:t>
            </w:r>
          </w:p>
        </w:tc>
      </w:tr>
      <w:tr w:rsidR="001B0E9F" w:rsidRPr="006931A1" w14:paraId="00259166" w14:textId="77777777" w:rsidTr="00E33BE0">
        <w:trPr>
          <w:trHeight w:val="300"/>
        </w:trPr>
        <w:tc>
          <w:tcPr>
            <w:tcW w:w="440" w:type="dxa"/>
            <w:vMerge/>
            <w:tcBorders>
              <w:top w:val="nil"/>
              <w:left w:val="single" w:sz="8" w:space="0" w:color="auto"/>
              <w:bottom w:val="single" w:sz="8" w:space="0" w:color="000000"/>
              <w:right w:val="single" w:sz="4" w:space="0" w:color="auto"/>
            </w:tcBorders>
            <w:vAlign w:val="center"/>
            <w:hideMark/>
          </w:tcPr>
          <w:p w14:paraId="3797C8C3" w14:textId="77777777" w:rsidR="001B0E9F" w:rsidRPr="006931A1" w:rsidRDefault="001B0E9F" w:rsidP="001B0E9F">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14:paraId="54FDC192"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25F7EAFD"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32FEA36F" w14:textId="77777777" w:rsidR="001B0E9F" w:rsidRPr="006931A1" w:rsidRDefault="001B0E9F" w:rsidP="001B0E9F">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14:paraId="6DD0A3A7" w14:textId="77777777" w:rsidR="001B0E9F" w:rsidRPr="006931A1" w:rsidRDefault="00E33BE0" w:rsidP="00E33BE0">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წინანდალი</w:t>
            </w:r>
          </w:p>
        </w:tc>
        <w:tc>
          <w:tcPr>
            <w:tcW w:w="1170" w:type="dxa"/>
            <w:tcBorders>
              <w:top w:val="nil"/>
              <w:left w:val="nil"/>
              <w:bottom w:val="single" w:sz="4" w:space="0" w:color="auto"/>
              <w:right w:val="single" w:sz="4" w:space="0" w:color="auto"/>
            </w:tcBorders>
            <w:shd w:val="clear" w:color="auto" w:fill="auto"/>
            <w:noWrap/>
            <w:vAlign w:val="bottom"/>
            <w:hideMark/>
          </w:tcPr>
          <w:p w14:paraId="78231EB2"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34+500</w:t>
            </w:r>
          </w:p>
        </w:tc>
        <w:tc>
          <w:tcPr>
            <w:tcW w:w="1170" w:type="dxa"/>
            <w:tcBorders>
              <w:top w:val="nil"/>
              <w:left w:val="nil"/>
              <w:bottom w:val="single" w:sz="4" w:space="0" w:color="auto"/>
              <w:right w:val="single" w:sz="8" w:space="0" w:color="auto"/>
            </w:tcBorders>
            <w:shd w:val="clear" w:color="auto" w:fill="auto"/>
            <w:noWrap/>
            <w:vAlign w:val="bottom"/>
            <w:hideMark/>
          </w:tcPr>
          <w:p w14:paraId="765D9B8E"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36+200</w:t>
            </w:r>
          </w:p>
        </w:tc>
      </w:tr>
      <w:tr w:rsidR="001B0E9F" w:rsidRPr="006931A1" w14:paraId="5CC442FA" w14:textId="77777777" w:rsidTr="00E33BE0">
        <w:trPr>
          <w:trHeight w:val="300"/>
        </w:trPr>
        <w:tc>
          <w:tcPr>
            <w:tcW w:w="440" w:type="dxa"/>
            <w:vMerge/>
            <w:tcBorders>
              <w:top w:val="nil"/>
              <w:left w:val="single" w:sz="8" w:space="0" w:color="auto"/>
              <w:bottom w:val="single" w:sz="8" w:space="0" w:color="000000"/>
              <w:right w:val="single" w:sz="4" w:space="0" w:color="auto"/>
            </w:tcBorders>
            <w:vAlign w:val="center"/>
            <w:hideMark/>
          </w:tcPr>
          <w:p w14:paraId="3C479E71" w14:textId="77777777" w:rsidR="001B0E9F" w:rsidRPr="006931A1" w:rsidRDefault="001B0E9F" w:rsidP="001B0E9F">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14:paraId="22962B39"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7604E738"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3527546B" w14:textId="77777777" w:rsidR="001B0E9F" w:rsidRPr="006931A1" w:rsidRDefault="001B0E9F" w:rsidP="001B0E9F">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14:paraId="40DE5720" w14:textId="77777777" w:rsidR="001B0E9F" w:rsidRPr="006931A1" w:rsidRDefault="00E33BE0" w:rsidP="00E33BE0">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ქვემოხოდაშენილი</w:t>
            </w:r>
          </w:p>
        </w:tc>
        <w:tc>
          <w:tcPr>
            <w:tcW w:w="1170" w:type="dxa"/>
            <w:tcBorders>
              <w:top w:val="nil"/>
              <w:left w:val="nil"/>
              <w:bottom w:val="single" w:sz="4" w:space="0" w:color="auto"/>
              <w:right w:val="single" w:sz="4" w:space="0" w:color="auto"/>
            </w:tcBorders>
            <w:shd w:val="clear" w:color="auto" w:fill="auto"/>
            <w:noWrap/>
            <w:vAlign w:val="bottom"/>
            <w:hideMark/>
          </w:tcPr>
          <w:p w14:paraId="2CC140B1"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36+320</w:t>
            </w:r>
          </w:p>
        </w:tc>
        <w:tc>
          <w:tcPr>
            <w:tcW w:w="1170" w:type="dxa"/>
            <w:tcBorders>
              <w:top w:val="nil"/>
              <w:left w:val="nil"/>
              <w:bottom w:val="single" w:sz="4" w:space="0" w:color="auto"/>
              <w:right w:val="single" w:sz="8" w:space="0" w:color="auto"/>
            </w:tcBorders>
            <w:shd w:val="clear" w:color="auto" w:fill="auto"/>
            <w:noWrap/>
            <w:vAlign w:val="bottom"/>
            <w:hideMark/>
          </w:tcPr>
          <w:p w14:paraId="0CDB8685"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37+950</w:t>
            </w:r>
          </w:p>
        </w:tc>
      </w:tr>
      <w:tr w:rsidR="001B0E9F" w:rsidRPr="006931A1" w14:paraId="0CC718D9" w14:textId="77777777" w:rsidTr="00E33BE0">
        <w:trPr>
          <w:trHeight w:val="300"/>
        </w:trPr>
        <w:tc>
          <w:tcPr>
            <w:tcW w:w="440" w:type="dxa"/>
            <w:vMerge/>
            <w:tcBorders>
              <w:top w:val="nil"/>
              <w:left w:val="single" w:sz="8" w:space="0" w:color="auto"/>
              <w:bottom w:val="single" w:sz="8" w:space="0" w:color="000000"/>
              <w:right w:val="single" w:sz="4" w:space="0" w:color="auto"/>
            </w:tcBorders>
            <w:vAlign w:val="center"/>
            <w:hideMark/>
          </w:tcPr>
          <w:p w14:paraId="704A6688" w14:textId="77777777" w:rsidR="001B0E9F" w:rsidRPr="006931A1" w:rsidRDefault="001B0E9F" w:rsidP="001B0E9F">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14:paraId="714C56F4"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18B0D00B"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522A0425" w14:textId="77777777" w:rsidR="001B0E9F" w:rsidRPr="006931A1" w:rsidRDefault="001B0E9F" w:rsidP="001B0E9F">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14:paraId="30EDEA97" w14:textId="77777777" w:rsidR="001B0E9F" w:rsidRPr="006931A1" w:rsidRDefault="00E33BE0" w:rsidP="00E33BE0">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ბუშეტი</w:t>
            </w:r>
          </w:p>
        </w:tc>
        <w:tc>
          <w:tcPr>
            <w:tcW w:w="1170" w:type="dxa"/>
            <w:tcBorders>
              <w:top w:val="nil"/>
              <w:left w:val="nil"/>
              <w:bottom w:val="single" w:sz="4" w:space="0" w:color="auto"/>
              <w:right w:val="single" w:sz="4" w:space="0" w:color="auto"/>
            </w:tcBorders>
            <w:shd w:val="clear" w:color="auto" w:fill="auto"/>
            <w:noWrap/>
            <w:vAlign w:val="bottom"/>
            <w:hideMark/>
          </w:tcPr>
          <w:p w14:paraId="324D72F4"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37+950</w:t>
            </w:r>
          </w:p>
        </w:tc>
        <w:tc>
          <w:tcPr>
            <w:tcW w:w="1170" w:type="dxa"/>
            <w:tcBorders>
              <w:top w:val="nil"/>
              <w:left w:val="nil"/>
              <w:bottom w:val="single" w:sz="4" w:space="0" w:color="auto"/>
              <w:right w:val="single" w:sz="8" w:space="0" w:color="auto"/>
            </w:tcBorders>
            <w:shd w:val="clear" w:color="auto" w:fill="auto"/>
            <w:noWrap/>
            <w:vAlign w:val="bottom"/>
            <w:hideMark/>
          </w:tcPr>
          <w:p w14:paraId="603FDB26"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39+170</w:t>
            </w:r>
          </w:p>
        </w:tc>
      </w:tr>
      <w:tr w:rsidR="001B0E9F" w:rsidRPr="006931A1" w14:paraId="6B65330B" w14:textId="77777777" w:rsidTr="00E33BE0">
        <w:trPr>
          <w:trHeight w:val="300"/>
        </w:trPr>
        <w:tc>
          <w:tcPr>
            <w:tcW w:w="440" w:type="dxa"/>
            <w:vMerge/>
            <w:tcBorders>
              <w:top w:val="nil"/>
              <w:left w:val="single" w:sz="8" w:space="0" w:color="auto"/>
              <w:bottom w:val="single" w:sz="8" w:space="0" w:color="000000"/>
              <w:right w:val="single" w:sz="4" w:space="0" w:color="auto"/>
            </w:tcBorders>
            <w:vAlign w:val="center"/>
            <w:hideMark/>
          </w:tcPr>
          <w:p w14:paraId="4D1100B7" w14:textId="77777777" w:rsidR="001B0E9F" w:rsidRPr="006931A1" w:rsidRDefault="001B0E9F" w:rsidP="001B0E9F">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14:paraId="20555C0D"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05B923F6"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2AA5418D" w14:textId="77777777" w:rsidR="001B0E9F" w:rsidRPr="006931A1" w:rsidRDefault="001B0E9F" w:rsidP="001B0E9F">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14:paraId="20D08602" w14:textId="77777777" w:rsidR="001B0E9F" w:rsidRPr="00E33BE0" w:rsidRDefault="00E33BE0" w:rsidP="001B0E9F">
            <w:pPr>
              <w:jc w:val="left"/>
              <w:rPr>
                <w:rFonts w:ascii="Sylfaen" w:hAnsi="Sylfaen" w:cs="Arial"/>
                <w:color w:val="000000"/>
                <w:sz w:val="20"/>
                <w:szCs w:val="20"/>
                <w:lang w:val="ka-GE" w:eastAsia="en-US"/>
              </w:rPr>
            </w:pPr>
            <w:r>
              <w:rPr>
                <w:rFonts w:ascii="Sylfaen" w:hAnsi="Sylfaen" w:cs="Arial"/>
                <w:color w:val="000000"/>
                <w:sz w:val="20"/>
                <w:szCs w:val="20"/>
                <w:lang w:val="ka-GE" w:eastAsia="en-US"/>
              </w:rPr>
              <w:t>ვანთა</w:t>
            </w:r>
          </w:p>
        </w:tc>
        <w:tc>
          <w:tcPr>
            <w:tcW w:w="1170" w:type="dxa"/>
            <w:tcBorders>
              <w:top w:val="nil"/>
              <w:left w:val="nil"/>
              <w:bottom w:val="single" w:sz="4" w:space="0" w:color="auto"/>
              <w:right w:val="single" w:sz="4" w:space="0" w:color="auto"/>
            </w:tcBorders>
            <w:shd w:val="clear" w:color="auto" w:fill="auto"/>
            <w:noWrap/>
            <w:vAlign w:val="bottom"/>
            <w:hideMark/>
          </w:tcPr>
          <w:p w14:paraId="7AB1AEA6"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39+170</w:t>
            </w:r>
          </w:p>
        </w:tc>
        <w:tc>
          <w:tcPr>
            <w:tcW w:w="1170" w:type="dxa"/>
            <w:tcBorders>
              <w:top w:val="nil"/>
              <w:left w:val="nil"/>
              <w:bottom w:val="single" w:sz="4" w:space="0" w:color="auto"/>
              <w:right w:val="single" w:sz="8" w:space="0" w:color="auto"/>
            </w:tcBorders>
            <w:shd w:val="clear" w:color="auto" w:fill="auto"/>
            <w:noWrap/>
            <w:vAlign w:val="bottom"/>
            <w:hideMark/>
          </w:tcPr>
          <w:p w14:paraId="0D8611CA"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40+510</w:t>
            </w:r>
          </w:p>
        </w:tc>
      </w:tr>
      <w:tr w:rsidR="001B0E9F" w:rsidRPr="006931A1" w14:paraId="541F9075" w14:textId="77777777" w:rsidTr="00E33BE0">
        <w:trPr>
          <w:trHeight w:val="300"/>
        </w:trPr>
        <w:tc>
          <w:tcPr>
            <w:tcW w:w="440" w:type="dxa"/>
            <w:vMerge/>
            <w:tcBorders>
              <w:top w:val="nil"/>
              <w:left w:val="single" w:sz="8" w:space="0" w:color="auto"/>
              <w:bottom w:val="single" w:sz="8" w:space="0" w:color="000000"/>
              <w:right w:val="single" w:sz="4" w:space="0" w:color="auto"/>
            </w:tcBorders>
            <w:vAlign w:val="center"/>
            <w:hideMark/>
          </w:tcPr>
          <w:p w14:paraId="246423D6" w14:textId="77777777" w:rsidR="001B0E9F" w:rsidRPr="006931A1" w:rsidRDefault="001B0E9F" w:rsidP="001B0E9F">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14:paraId="30BF7F84"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3D8BBC53"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34C4A008" w14:textId="77777777" w:rsidR="001B0E9F" w:rsidRPr="006931A1" w:rsidRDefault="001B0E9F" w:rsidP="001B0E9F">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14:paraId="763C319D" w14:textId="77777777" w:rsidR="001B0E9F" w:rsidRPr="00E33BE0" w:rsidRDefault="00E33BE0" w:rsidP="001B0E9F">
            <w:pPr>
              <w:jc w:val="left"/>
              <w:rPr>
                <w:rFonts w:ascii="Sylfaen" w:hAnsi="Sylfaen" w:cs="Arial"/>
                <w:color w:val="000000"/>
                <w:sz w:val="20"/>
                <w:szCs w:val="20"/>
                <w:lang w:val="ka-GE" w:eastAsia="en-US"/>
              </w:rPr>
            </w:pPr>
            <w:r>
              <w:rPr>
                <w:rFonts w:ascii="Sylfaen" w:hAnsi="Sylfaen" w:cs="Arial"/>
                <w:color w:val="000000"/>
                <w:sz w:val="20"/>
                <w:szCs w:val="20"/>
                <w:lang w:val="ka-GE" w:eastAsia="en-US"/>
              </w:rPr>
              <w:t>აკურა</w:t>
            </w:r>
          </w:p>
        </w:tc>
        <w:tc>
          <w:tcPr>
            <w:tcW w:w="1170" w:type="dxa"/>
            <w:tcBorders>
              <w:top w:val="nil"/>
              <w:left w:val="nil"/>
              <w:bottom w:val="single" w:sz="4" w:space="0" w:color="auto"/>
              <w:right w:val="single" w:sz="4" w:space="0" w:color="auto"/>
            </w:tcBorders>
            <w:shd w:val="clear" w:color="auto" w:fill="auto"/>
            <w:noWrap/>
            <w:vAlign w:val="bottom"/>
            <w:hideMark/>
          </w:tcPr>
          <w:p w14:paraId="7E4844A6"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40+610</w:t>
            </w:r>
          </w:p>
        </w:tc>
        <w:tc>
          <w:tcPr>
            <w:tcW w:w="1170" w:type="dxa"/>
            <w:tcBorders>
              <w:top w:val="nil"/>
              <w:left w:val="nil"/>
              <w:bottom w:val="single" w:sz="4" w:space="0" w:color="auto"/>
              <w:right w:val="single" w:sz="8" w:space="0" w:color="auto"/>
            </w:tcBorders>
            <w:shd w:val="clear" w:color="auto" w:fill="auto"/>
            <w:noWrap/>
            <w:vAlign w:val="bottom"/>
            <w:hideMark/>
          </w:tcPr>
          <w:p w14:paraId="357E94CF"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42+000</w:t>
            </w:r>
          </w:p>
        </w:tc>
      </w:tr>
      <w:tr w:rsidR="001B0E9F" w:rsidRPr="006931A1" w14:paraId="2E88F3A2" w14:textId="77777777" w:rsidTr="00E33BE0">
        <w:trPr>
          <w:trHeight w:val="300"/>
        </w:trPr>
        <w:tc>
          <w:tcPr>
            <w:tcW w:w="440" w:type="dxa"/>
            <w:vMerge/>
            <w:tcBorders>
              <w:top w:val="nil"/>
              <w:left w:val="single" w:sz="8" w:space="0" w:color="auto"/>
              <w:bottom w:val="single" w:sz="8" w:space="0" w:color="000000"/>
              <w:right w:val="single" w:sz="4" w:space="0" w:color="auto"/>
            </w:tcBorders>
            <w:vAlign w:val="center"/>
            <w:hideMark/>
          </w:tcPr>
          <w:p w14:paraId="59F5A860" w14:textId="77777777" w:rsidR="001B0E9F" w:rsidRPr="006931A1" w:rsidRDefault="001B0E9F" w:rsidP="001B0E9F">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14:paraId="40495CD7"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597B8882"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7330CC59" w14:textId="77777777" w:rsidR="001B0E9F" w:rsidRPr="006931A1" w:rsidRDefault="001B0E9F" w:rsidP="001B0E9F">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14:paraId="321C6C77" w14:textId="77777777" w:rsidR="001B0E9F" w:rsidRPr="006931A1" w:rsidRDefault="00E33BE0" w:rsidP="00E33BE0">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კახიფარი</w:t>
            </w:r>
          </w:p>
        </w:tc>
        <w:tc>
          <w:tcPr>
            <w:tcW w:w="1170" w:type="dxa"/>
            <w:tcBorders>
              <w:top w:val="nil"/>
              <w:left w:val="nil"/>
              <w:bottom w:val="single" w:sz="4" w:space="0" w:color="auto"/>
              <w:right w:val="single" w:sz="4" w:space="0" w:color="auto"/>
            </w:tcBorders>
            <w:shd w:val="clear" w:color="auto" w:fill="auto"/>
            <w:noWrap/>
            <w:vAlign w:val="bottom"/>
            <w:hideMark/>
          </w:tcPr>
          <w:p w14:paraId="0779EE12"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42+280</w:t>
            </w:r>
          </w:p>
        </w:tc>
        <w:tc>
          <w:tcPr>
            <w:tcW w:w="1170" w:type="dxa"/>
            <w:tcBorders>
              <w:top w:val="nil"/>
              <w:left w:val="nil"/>
              <w:bottom w:val="single" w:sz="4" w:space="0" w:color="auto"/>
              <w:right w:val="single" w:sz="8" w:space="0" w:color="auto"/>
            </w:tcBorders>
            <w:shd w:val="clear" w:color="auto" w:fill="auto"/>
            <w:noWrap/>
            <w:vAlign w:val="bottom"/>
            <w:hideMark/>
          </w:tcPr>
          <w:p w14:paraId="6BAEDE09"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43+150</w:t>
            </w:r>
          </w:p>
        </w:tc>
      </w:tr>
      <w:tr w:rsidR="001B0E9F" w:rsidRPr="006931A1" w14:paraId="0A2D37C3" w14:textId="77777777" w:rsidTr="00E33BE0">
        <w:trPr>
          <w:trHeight w:val="300"/>
        </w:trPr>
        <w:tc>
          <w:tcPr>
            <w:tcW w:w="440" w:type="dxa"/>
            <w:vMerge/>
            <w:tcBorders>
              <w:top w:val="nil"/>
              <w:left w:val="single" w:sz="8" w:space="0" w:color="auto"/>
              <w:bottom w:val="single" w:sz="8" w:space="0" w:color="000000"/>
              <w:right w:val="single" w:sz="4" w:space="0" w:color="auto"/>
            </w:tcBorders>
            <w:vAlign w:val="center"/>
            <w:hideMark/>
          </w:tcPr>
          <w:p w14:paraId="56F76B23" w14:textId="77777777" w:rsidR="001B0E9F" w:rsidRPr="006931A1" w:rsidRDefault="001B0E9F" w:rsidP="001B0E9F">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14:paraId="6CD5FD05"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6858AAD1"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2C9DF376" w14:textId="77777777" w:rsidR="001B0E9F" w:rsidRPr="006931A1" w:rsidRDefault="001B0E9F" w:rsidP="001B0E9F">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14:paraId="4291C00C" w14:textId="77777777" w:rsidR="001B0E9F" w:rsidRPr="006931A1" w:rsidRDefault="00E33BE0" w:rsidP="00E33BE0">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ვაჩნაძიანი</w:t>
            </w:r>
          </w:p>
        </w:tc>
        <w:tc>
          <w:tcPr>
            <w:tcW w:w="1170" w:type="dxa"/>
            <w:tcBorders>
              <w:top w:val="nil"/>
              <w:left w:val="nil"/>
              <w:bottom w:val="single" w:sz="4" w:space="0" w:color="auto"/>
              <w:right w:val="single" w:sz="4" w:space="0" w:color="auto"/>
            </w:tcBorders>
            <w:shd w:val="clear" w:color="auto" w:fill="auto"/>
            <w:noWrap/>
            <w:vAlign w:val="bottom"/>
            <w:hideMark/>
          </w:tcPr>
          <w:p w14:paraId="6C815F74"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43+780</w:t>
            </w:r>
          </w:p>
        </w:tc>
        <w:tc>
          <w:tcPr>
            <w:tcW w:w="1170" w:type="dxa"/>
            <w:tcBorders>
              <w:top w:val="nil"/>
              <w:left w:val="nil"/>
              <w:bottom w:val="single" w:sz="4" w:space="0" w:color="auto"/>
              <w:right w:val="single" w:sz="8" w:space="0" w:color="auto"/>
            </w:tcBorders>
            <w:shd w:val="clear" w:color="auto" w:fill="auto"/>
            <w:noWrap/>
            <w:vAlign w:val="bottom"/>
            <w:hideMark/>
          </w:tcPr>
          <w:p w14:paraId="3A37CFD7"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45+560</w:t>
            </w:r>
          </w:p>
        </w:tc>
      </w:tr>
      <w:tr w:rsidR="001B0E9F" w:rsidRPr="006931A1" w14:paraId="0CF35435" w14:textId="77777777" w:rsidTr="00E33BE0">
        <w:trPr>
          <w:trHeight w:val="300"/>
        </w:trPr>
        <w:tc>
          <w:tcPr>
            <w:tcW w:w="440" w:type="dxa"/>
            <w:vMerge/>
            <w:tcBorders>
              <w:top w:val="nil"/>
              <w:left w:val="single" w:sz="8" w:space="0" w:color="auto"/>
              <w:bottom w:val="single" w:sz="8" w:space="0" w:color="000000"/>
              <w:right w:val="single" w:sz="4" w:space="0" w:color="auto"/>
            </w:tcBorders>
            <w:vAlign w:val="center"/>
            <w:hideMark/>
          </w:tcPr>
          <w:p w14:paraId="03C0E05A" w14:textId="77777777" w:rsidR="001B0E9F" w:rsidRPr="006931A1" w:rsidRDefault="001B0E9F" w:rsidP="001B0E9F">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14:paraId="196B8C21"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4DEB80A4"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5EB2E553" w14:textId="77777777" w:rsidR="001B0E9F" w:rsidRPr="006931A1" w:rsidRDefault="001B0E9F" w:rsidP="001B0E9F">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14:paraId="10148183" w14:textId="77777777" w:rsidR="001B0E9F" w:rsidRPr="006931A1" w:rsidRDefault="00E33BE0" w:rsidP="00E33BE0">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კალაური</w:t>
            </w:r>
          </w:p>
        </w:tc>
        <w:tc>
          <w:tcPr>
            <w:tcW w:w="1170" w:type="dxa"/>
            <w:tcBorders>
              <w:top w:val="nil"/>
              <w:left w:val="nil"/>
              <w:bottom w:val="single" w:sz="4" w:space="0" w:color="auto"/>
              <w:right w:val="single" w:sz="4" w:space="0" w:color="auto"/>
            </w:tcBorders>
            <w:shd w:val="clear" w:color="auto" w:fill="auto"/>
            <w:noWrap/>
            <w:vAlign w:val="bottom"/>
            <w:hideMark/>
          </w:tcPr>
          <w:p w14:paraId="7DB948B1"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45+560</w:t>
            </w:r>
          </w:p>
        </w:tc>
        <w:tc>
          <w:tcPr>
            <w:tcW w:w="1170" w:type="dxa"/>
            <w:tcBorders>
              <w:top w:val="nil"/>
              <w:left w:val="nil"/>
              <w:bottom w:val="single" w:sz="4" w:space="0" w:color="auto"/>
              <w:right w:val="single" w:sz="8" w:space="0" w:color="auto"/>
            </w:tcBorders>
            <w:shd w:val="clear" w:color="auto" w:fill="auto"/>
            <w:noWrap/>
            <w:vAlign w:val="bottom"/>
            <w:hideMark/>
          </w:tcPr>
          <w:p w14:paraId="4826A0CB"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46+480</w:t>
            </w:r>
          </w:p>
        </w:tc>
      </w:tr>
      <w:tr w:rsidR="001B0E9F" w:rsidRPr="006931A1" w14:paraId="26D110F1" w14:textId="77777777" w:rsidTr="00E33BE0">
        <w:trPr>
          <w:trHeight w:val="300"/>
        </w:trPr>
        <w:tc>
          <w:tcPr>
            <w:tcW w:w="440" w:type="dxa"/>
            <w:vMerge/>
            <w:tcBorders>
              <w:top w:val="nil"/>
              <w:left w:val="single" w:sz="8" w:space="0" w:color="auto"/>
              <w:bottom w:val="single" w:sz="8" w:space="0" w:color="000000"/>
              <w:right w:val="single" w:sz="4" w:space="0" w:color="auto"/>
            </w:tcBorders>
            <w:vAlign w:val="center"/>
            <w:hideMark/>
          </w:tcPr>
          <w:p w14:paraId="6DF21B2A" w14:textId="77777777" w:rsidR="001B0E9F" w:rsidRPr="006931A1" w:rsidRDefault="001B0E9F" w:rsidP="001B0E9F">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14:paraId="7C091703"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03C4B891"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2CE94A80" w14:textId="77777777" w:rsidR="001B0E9F" w:rsidRPr="006931A1" w:rsidRDefault="001B0E9F" w:rsidP="001B0E9F">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14:paraId="0CDBD058" w14:textId="77777777" w:rsidR="001B0E9F" w:rsidRPr="006931A1" w:rsidRDefault="00E33BE0" w:rsidP="00E33BE0">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შაშიანი</w:t>
            </w:r>
          </w:p>
        </w:tc>
        <w:tc>
          <w:tcPr>
            <w:tcW w:w="1170" w:type="dxa"/>
            <w:tcBorders>
              <w:top w:val="nil"/>
              <w:left w:val="nil"/>
              <w:bottom w:val="single" w:sz="4" w:space="0" w:color="auto"/>
              <w:right w:val="single" w:sz="4" w:space="0" w:color="auto"/>
            </w:tcBorders>
            <w:shd w:val="clear" w:color="auto" w:fill="auto"/>
            <w:noWrap/>
            <w:vAlign w:val="bottom"/>
            <w:hideMark/>
          </w:tcPr>
          <w:p w14:paraId="67D46A27"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46+480</w:t>
            </w:r>
          </w:p>
        </w:tc>
        <w:tc>
          <w:tcPr>
            <w:tcW w:w="1170" w:type="dxa"/>
            <w:tcBorders>
              <w:top w:val="nil"/>
              <w:left w:val="nil"/>
              <w:bottom w:val="single" w:sz="4" w:space="0" w:color="auto"/>
              <w:right w:val="single" w:sz="8" w:space="0" w:color="auto"/>
            </w:tcBorders>
            <w:shd w:val="clear" w:color="auto" w:fill="auto"/>
            <w:noWrap/>
            <w:vAlign w:val="bottom"/>
            <w:hideMark/>
          </w:tcPr>
          <w:p w14:paraId="5AF93E1F"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48+540</w:t>
            </w:r>
          </w:p>
        </w:tc>
      </w:tr>
      <w:tr w:rsidR="001B0E9F" w:rsidRPr="006931A1" w14:paraId="21C8ACDC" w14:textId="77777777" w:rsidTr="00E33BE0">
        <w:trPr>
          <w:trHeight w:val="300"/>
        </w:trPr>
        <w:tc>
          <w:tcPr>
            <w:tcW w:w="440" w:type="dxa"/>
            <w:vMerge/>
            <w:tcBorders>
              <w:top w:val="nil"/>
              <w:left w:val="single" w:sz="8" w:space="0" w:color="auto"/>
              <w:bottom w:val="single" w:sz="8" w:space="0" w:color="000000"/>
              <w:right w:val="single" w:sz="4" w:space="0" w:color="auto"/>
            </w:tcBorders>
            <w:vAlign w:val="center"/>
            <w:hideMark/>
          </w:tcPr>
          <w:p w14:paraId="3D83B3AF" w14:textId="77777777" w:rsidR="001B0E9F" w:rsidRPr="006931A1" w:rsidRDefault="001B0E9F" w:rsidP="001B0E9F">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14:paraId="00911B04"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59C62525"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218BDB3B" w14:textId="77777777" w:rsidR="001B0E9F" w:rsidRPr="006931A1" w:rsidRDefault="001B0E9F" w:rsidP="001B0E9F">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14:paraId="0D661CC3" w14:textId="77777777" w:rsidR="001B0E9F" w:rsidRPr="006931A1" w:rsidRDefault="00E33BE0" w:rsidP="00E33BE0">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ვაზისუბანი</w:t>
            </w:r>
          </w:p>
        </w:tc>
        <w:tc>
          <w:tcPr>
            <w:tcW w:w="1170" w:type="dxa"/>
            <w:tcBorders>
              <w:top w:val="nil"/>
              <w:left w:val="nil"/>
              <w:bottom w:val="single" w:sz="4" w:space="0" w:color="auto"/>
              <w:right w:val="single" w:sz="4" w:space="0" w:color="auto"/>
            </w:tcBorders>
            <w:shd w:val="clear" w:color="auto" w:fill="auto"/>
            <w:noWrap/>
            <w:vAlign w:val="bottom"/>
            <w:hideMark/>
          </w:tcPr>
          <w:p w14:paraId="216A0C67"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48+540</w:t>
            </w:r>
          </w:p>
        </w:tc>
        <w:tc>
          <w:tcPr>
            <w:tcW w:w="1170" w:type="dxa"/>
            <w:tcBorders>
              <w:top w:val="nil"/>
              <w:left w:val="nil"/>
              <w:bottom w:val="single" w:sz="4" w:space="0" w:color="auto"/>
              <w:right w:val="single" w:sz="8" w:space="0" w:color="auto"/>
            </w:tcBorders>
            <w:shd w:val="clear" w:color="auto" w:fill="auto"/>
            <w:noWrap/>
            <w:vAlign w:val="bottom"/>
            <w:hideMark/>
          </w:tcPr>
          <w:p w14:paraId="7C6AA1A8"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51+280</w:t>
            </w:r>
          </w:p>
        </w:tc>
      </w:tr>
      <w:tr w:rsidR="001B0E9F" w:rsidRPr="006931A1" w14:paraId="5A8F38ED" w14:textId="77777777" w:rsidTr="00E33BE0">
        <w:trPr>
          <w:trHeight w:val="300"/>
        </w:trPr>
        <w:tc>
          <w:tcPr>
            <w:tcW w:w="440" w:type="dxa"/>
            <w:vMerge/>
            <w:tcBorders>
              <w:top w:val="nil"/>
              <w:left w:val="single" w:sz="8" w:space="0" w:color="auto"/>
              <w:bottom w:val="single" w:sz="8" w:space="0" w:color="000000"/>
              <w:right w:val="single" w:sz="4" w:space="0" w:color="auto"/>
            </w:tcBorders>
            <w:vAlign w:val="center"/>
            <w:hideMark/>
          </w:tcPr>
          <w:p w14:paraId="2A9C2D18" w14:textId="77777777" w:rsidR="001B0E9F" w:rsidRPr="006931A1" w:rsidRDefault="001B0E9F" w:rsidP="001B0E9F">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14:paraId="447ABBE6"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338739A7"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65BB8000" w14:textId="77777777" w:rsidR="001B0E9F" w:rsidRPr="006931A1" w:rsidRDefault="001B0E9F" w:rsidP="001B0E9F">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14:paraId="652A7303" w14:textId="77777777" w:rsidR="001B0E9F" w:rsidRPr="006931A1" w:rsidRDefault="00E33BE0" w:rsidP="00E33BE0">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მუკუზანი</w:t>
            </w:r>
          </w:p>
        </w:tc>
        <w:tc>
          <w:tcPr>
            <w:tcW w:w="1170" w:type="dxa"/>
            <w:tcBorders>
              <w:top w:val="nil"/>
              <w:left w:val="nil"/>
              <w:bottom w:val="single" w:sz="4" w:space="0" w:color="auto"/>
              <w:right w:val="single" w:sz="4" w:space="0" w:color="auto"/>
            </w:tcBorders>
            <w:shd w:val="clear" w:color="auto" w:fill="auto"/>
            <w:noWrap/>
            <w:vAlign w:val="bottom"/>
            <w:hideMark/>
          </w:tcPr>
          <w:p w14:paraId="288B3353"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52+160</w:t>
            </w:r>
          </w:p>
        </w:tc>
        <w:tc>
          <w:tcPr>
            <w:tcW w:w="1170" w:type="dxa"/>
            <w:tcBorders>
              <w:top w:val="nil"/>
              <w:left w:val="nil"/>
              <w:bottom w:val="single" w:sz="4" w:space="0" w:color="auto"/>
              <w:right w:val="single" w:sz="8" w:space="0" w:color="auto"/>
            </w:tcBorders>
            <w:shd w:val="clear" w:color="auto" w:fill="auto"/>
            <w:noWrap/>
            <w:vAlign w:val="bottom"/>
            <w:hideMark/>
          </w:tcPr>
          <w:p w14:paraId="7F3CCCF1"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54+100</w:t>
            </w:r>
          </w:p>
        </w:tc>
      </w:tr>
      <w:tr w:rsidR="001B0E9F" w:rsidRPr="006931A1" w14:paraId="60650B76" w14:textId="77777777" w:rsidTr="00E33BE0">
        <w:trPr>
          <w:trHeight w:val="300"/>
        </w:trPr>
        <w:tc>
          <w:tcPr>
            <w:tcW w:w="440" w:type="dxa"/>
            <w:vMerge/>
            <w:tcBorders>
              <w:top w:val="nil"/>
              <w:left w:val="single" w:sz="8" w:space="0" w:color="auto"/>
              <w:bottom w:val="single" w:sz="8" w:space="0" w:color="000000"/>
              <w:right w:val="single" w:sz="4" w:space="0" w:color="auto"/>
            </w:tcBorders>
            <w:vAlign w:val="center"/>
            <w:hideMark/>
          </w:tcPr>
          <w:p w14:paraId="4387D435" w14:textId="77777777" w:rsidR="001B0E9F" w:rsidRPr="006931A1" w:rsidRDefault="001B0E9F" w:rsidP="001B0E9F">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14:paraId="4CE4D59C"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01E3B225"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1735DB35" w14:textId="77777777" w:rsidR="001B0E9F" w:rsidRPr="006931A1" w:rsidRDefault="001B0E9F" w:rsidP="001B0E9F">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14:paraId="082748B7" w14:textId="77777777" w:rsidR="001B0E9F" w:rsidRPr="006931A1" w:rsidRDefault="00E33BE0" w:rsidP="00E33BE0">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ახალშენი</w:t>
            </w:r>
          </w:p>
        </w:tc>
        <w:tc>
          <w:tcPr>
            <w:tcW w:w="1170" w:type="dxa"/>
            <w:tcBorders>
              <w:top w:val="nil"/>
              <w:left w:val="nil"/>
              <w:bottom w:val="single" w:sz="4" w:space="0" w:color="auto"/>
              <w:right w:val="single" w:sz="4" w:space="0" w:color="auto"/>
            </w:tcBorders>
            <w:shd w:val="clear" w:color="auto" w:fill="auto"/>
            <w:noWrap/>
            <w:vAlign w:val="bottom"/>
            <w:hideMark/>
          </w:tcPr>
          <w:p w14:paraId="661D5165"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55+370</w:t>
            </w:r>
          </w:p>
        </w:tc>
        <w:tc>
          <w:tcPr>
            <w:tcW w:w="1170" w:type="dxa"/>
            <w:tcBorders>
              <w:top w:val="nil"/>
              <w:left w:val="nil"/>
              <w:bottom w:val="single" w:sz="4" w:space="0" w:color="auto"/>
              <w:right w:val="single" w:sz="8" w:space="0" w:color="auto"/>
            </w:tcBorders>
            <w:shd w:val="clear" w:color="auto" w:fill="auto"/>
            <w:noWrap/>
            <w:vAlign w:val="bottom"/>
            <w:hideMark/>
          </w:tcPr>
          <w:p w14:paraId="0DC88362"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56+820</w:t>
            </w:r>
          </w:p>
        </w:tc>
      </w:tr>
      <w:tr w:rsidR="001B0E9F" w:rsidRPr="006931A1" w14:paraId="31B40BF8" w14:textId="77777777" w:rsidTr="00E33BE0">
        <w:trPr>
          <w:trHeight w:val="315"/>
        </w:trPr>
        <w:tc>
          <w:tcPr>
            <w:tcW w:w="440" w:type="dxa"/>
            <w:vMerge/>
            <w:tcBorders>
              <w:top w:val="nil"/>
              <w:left w:val="single" w:sz="8" w:space="0" w:color="auto"/>
              <w:bottom w:val="single" w:sz="8" w:space="0" w:color="000000"/>
              <w:right w:val="single" w:sz="4" w:space="0" w:color="auto"/>
            </w:tcBorders>
            <w:vAlign w:val="center"/>
            <w:hideMark/>
          </w:tcPr>
          <w:p w14:paraId="1F7584F0" w14:textId="77777777" w:rsidR="001B0E9F" w:rsidRPr="006931A1" w:rsidRDefault="001B0E9F" w:rsidP="001B0E9F">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14:paraId="7A79A135"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272A6D09" w14:textId="77777777" w:rsidR="001B0E9F" w:rsidRPr="006931A1" w:rsidRDefault="001B0E9F" w:rsidP="001B0E9F">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14:paraId="21A5B2A3" w14:textId="77777777" w:rsidR="001B0E9F" w:rsidRPr="006931A1" w:rsidRDefault="001B0E9F" w:rsidP="001B0E9F">
            <w:pPr>
              <w:jc w:val="left"/>
              <w:rPr>
                <w:rFonts w:ascii="AcadNusx" w:hAnsi="AcadNusx" w:cs="Arial"/>
                <w:color w:val="000000"/>
                <w:sz w:val="20"/>
                <w:szCs w:val="20"/>
                <w:lang w:val="en-US" w:eastAsia="en-US"/>
              </w:rPr>
            </w:pPr>
          </w:p>
        </w:tc>
        <w:tc>
          <w:tcPr>
            <w:tcW w:w="2340" w:type="dxa"/>
            <w:tcBorders>
              <w:top w:val="nil"/>
              <w:left w:val="nil"/>
              <w:bottom w:val="single" w:sz="8" w:space="0" w:color="auto"/>
              <w:right w:val="single" w:sz="4" w:space="0" w:color="auto"/>
            </w:tcBorders>
            <w:shd w:val="clear" w:color="auto" w:fill="auto"/>
            <w:noWrap/>
            <w:vAlign w:val="bottom"/>
            <w:hideMark/>
          </w:tcPr>
          <w:p w14:paraId="6CC2CBD0" w14:textId="77777777" w:rsidR="001B0E9F" w:rsidRPr="00E33BE0" w:rsidRDefault="00E33BE0" w:rsidP="001B0E9F">
            <w:pPr>
              <w:jc w:val="left"/>
              <w:rPr>
                <w:rFonts w:ascii="Sylfaen" w:hAnsi="Sylfaen" w:cs="Arial"/>
                <w:color w:val="000000"/>
                <w:sz w:val="20"/>
                <w:szCs w:val="20"/>
                <w:lang w:val="ka-GE" w:eastAsia="en-US"/>
              </w:rPr>
            </w:pPr>
            <w:r>
              <w:rPr>
                <w:rFonts w:ascii="Sylfaen" w:hAnsi="Sylfaen" w:cs="Arial"/>
                <w:color w:val="000000"/>
                <w:sz w:val="20"/>
                <w:szCs w:val="20"/>
                <w:lang w:val="ka-GE" w:eastAsia="en-US"/>
              </w:rPr>
              <w:t>ჩუმლაყი</w:t>
            </w:r>
          </w:p>
        </w:tc>
        <w:tc>
          <w:tcPr>
            <w:tcW w:w="1170" w:type="dxa"/>
            <w:tcBorders>
              <w:top w:val="nil"/>
              <w:left w:val="nil"/>
              <w:bottom w:val="single" w:sz="8" w:space="0" w:color="auto"/>
              <w:right w:val="single" w:sz="4" w:space="0" w:color="auto"/>
            </w:tcBorders>
            <w:shd w:val="clear" w:color="auto" w:fill="auto"/>
            <w:noWrap/>
            <w:vAlign w:val="bottom"/>
            <w:hideMark/>
          </w:tcPr>
          <w:p w14:paraId="0811D809"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57+750</w:t>
            </w:r>
          </w:p>
        </w:tc>
        <w:tc>
          <w:tcPr>
            <w:tcW w:w="1170" w:type="dxa"/>
            <w:tcBorders>
              <w:top w:val="nil"/>
              <w:left w:val="nil"/>
              <w:bottom w:val="single" w:sz="8" w:space="0" w:color="auto"/>
              <w:right w:val="single" w:sz="8" w:space="0" w:color="auto"/>
            </w:tcBorders>
            <w:shd w:val="clear" w:color="auto" w:fill="auto"/>
            <w:noWrap/>
            <w:vAlign w:val="bottom"/>
            <w:hideMark/>
          </w:tcPr>
          <w:p w14:paraId="2F999348" w14:textId="77777777" w:rsidR="001B0E9F" w:rsidRPr="006931A1" w:rsidRDefault="001B0E9F" w:rsidP="001B0E9F">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58+400</w:t>
            </w:r>
          </w:p>
        </w:tc>
      </w:tr>
    </w:tbl>
    <w:p w14:paraId="633C08A0" w14:textId="77777777" w:rsidR="001B0E9F" w:rsidRDefault="001B0E9F" w:rsidP="002B56CC">
      <w:pPr>
        <w:spacing w:before="200" w:after="200"/>
        <w:rPr>
          <w:rFonts w:ascii="Sylfaen" w:hAnsi="Sylfaen" w:cs="Sylfaen"/>
          <w:lang w:val="ka-GE"/>
        </w:rPr>
      </w:pPr>
    </w:p>
    <w:p w14:paraId="1123D2AC" w14:textId="77777777" w:rsidR="0093057A" w:rsidRPr="007C708F" w:rsidRDefault="00905577" w:rsidP="0093057A">
      <w:pPr>
        <w:pStyle w:val="EIAheading2"/>
        <w:rPr>
          <w:lang w:val="ka-GE"/>
        </w:rPr>
      </w:pPr>
      <w:bookmarkStart w:id="45" w:name="_Toc408940604"/>
      <w:bookmarkStart w:id="46" w:name="_Toc431386002"/>
      <w:bookmarkStart w:id="47" w:name="_Toc1581490"/>
      <w:r>
        <w:rPr>
          <w:lang w:val="ka-GE"/>
        </w:rPr>
        <w:t>4</w:t>
      </w:r>
      <w:r w:rsidR="0093057A" w:rsidRPr="007C708F">
        <w:rPr>
          <w:lang w:val="ka-GE"/>
        </w:rPr>
        <w:t xml:space="preserve">.1 </w:t>
      </w:r>
      <w:r w:rsidR="0093057A" w:rsidRPr="007C708F">
        <w:rPr>
          <w:rFonts w:ascii="Sylfaen" w:hAnsi="Sylfaen" w:cs="Sylfaen"/>
          <w:lang w:val="ka-GE"/>
        </w:rPr>
        <w:t>კონცეპტუალური</w:t>
      </w:r>
      <w:r w:rsidR="0093057A" w:rsidRPr="007C708F">
        <w:rPr>
          <w:lang w:val="ka-GE"/>
        </w:rPr>
        <w:t xml:space="preserve"> </w:t>
      </w:r>
      <w:r w:rsidR="0093057A" w:rsidRPr="007C708F">
        <w:rPr>
          <w:rFonts w:ascii="Sylfaen" w:hAnsi="Sylfaen" w:cs="Sylfaen"/>
          <w:lang w:val="ka-GE"/>
        </w:rPr>
        <w:t>დიზაინის</w:t>
      </w:r>
      <w:r w:rsidR="0093057A" w:rsidRPr="007C708F">
        <w:rPr>
          <w:lang w:val="ka-GE"/>
        </w:rPr>
        <w:t xml:space="preserve"> </w:t>
      </w:r>
      <w:r w:rsidR="0093057A" w:rsidRPr="007C708F">
        <w:rPr>
          <w:rFonts w:ascii="Sylfaen" w:hAnsi="Sylfaen" w:cs="Sylfaen"/>
          <w:lang w:val="ka-GE"/>
        </w:rPr>
        <w:t>ვარიანტები</w:t>
      </w:r>
      <w:bookmarkEnd w:id="45"/>
      <w:bookmarkEnd w:id="46"/>
      <w:bookmarkEnd w:id="47"/>
    </w:p>
    <w:p w14:paraId="2655BD38" w14:textId="77777777" w:rsidR="00CE27E5" w:rsidRPr="00CE27E5" w:rsidRDefault="00CE27E5" w:rsidP="00CE27E5">
      <w:pPr>
        <w:pStyle w:val="EIAH3"/>
        <w:spacing w:before="200" w:after="200"/>
        <w:rPr>
          <w:sz w:val="24"/>
        </w:rPr>
      </w:pPr>
      <w:bookmarkStart w:id="48" w:name="_Toc408940605"/>
      <w:bookmarkStart w:id="49" w:name="_Toc431386003"/>
      <w:bookmarkStart w:id="50" w:name="_Toc1581491"/>
      <w:r w:rsidRPr="00CE27E5">
        <w:rPr>
          <w:sz w:val="24"/>
        </w:rPr>
        <w:t>4.1.</w:t>
      </w:r>
      <w:r w:rsidRPr="00CE27E5">
        <w:rPr>
          <w:sz w:val="24"/>
          <w:lang w:val="ka-GE"/>
        </w:rPr>
        <w:t>1</w:t>
      </w:r>
      <w:r w:rsidRPr="00CE27E5">
        <w:rPr>
          <w:sz w:val="24"/>
        </w:rPr>
        <w:tab/>
      </w:r>
      <w:r w:rsidRPr="00CE27E5">
        <w:rPr>
          <w:rFonts w:ascii="Sylfaen" w:hAnsi="Sylfaen" w:cs="Sylfaen"/>
          <w:sz w:val="24"/>
        </w:rPr>
        <w:t>გზის</w:t>
      </w:r>
      <w:r w:rsidRPr="00CE27E5">
        <w:rPr>
          <w:sz w:val="24"/>
        </w:rPr>
        <w:t xml:space="preserve"> </w:t>
      </w:r>
      <w:r w:rsidRPr="00CE27E5">
        <w:rPr>
          <w:rFonts w:ascii="Sylfaen" w:hAnsi="Sylfaen" w:cs="Sylfaen"/>
          <w:sz w:val="24"/>
        </w:rPr>
        <w:t>გეომეტრიული</w:t>
      </w:r>
      <w:r w:rsidRPr="00CE27E5">
        <w:rPr>
          <w:sz w:val="24"/>
        </w:rPr>
        <w:t xml:space="preserve"> </w:t>
      </w:r>
      <w:r w:rsidRPr="00CE27E5">
        <w:rPr>
          <w:rFonts w:ascii="Sylfaen" w:hAnsi="Sylfaen" w:cs="Sylfaen"/>
          <w:sz w:val="24"/>
        </w:rPr>
        <w:t>დიზაინის</w:t>
      </w:r>
      <w:r w:rsidRPr="00CE27E5">
        <w:rPr>
          <w:sz w:val="24"/>
        </w:rPr>
        <w:t xml:space="preserve"> </w:t>
      </w:r>
      <w:r w:rsidRPr="00CE27E5">
        <w:rPr>
          <w:rFonts w:ascii="Sylfaen" w:hAnsi="Sylfaen" w:cs="Sylfaen"/>
          <w:sz w:val="24"/>
        </w:rPr>
        <w:t>სტანდარტი</w:t>
      </w:r>
      <w:r w:rsidRPr="00CE27E5">
        <w:rPr>
          <w:sz w:val="24"/>
        </w:rPr>
        <w:t xml:space="preserve"> </w:t>
      </w:r>
      <w:r w:rsidRPr="00CE27E5">
        <w:rPr>
          <w:rFonts w:ascii="Sylfaen" w:hAnsi="Sylfaen" w:cs="Sylfaen"/>
          <w:sz w:val="24"/>
        </w:rPr>
        <w:t>და</w:t>
      </w:r>
      <w:r w:rsidRPr="00CE27E5">
        <w:rPr>
          <w:sz w:val="24"/>
        </w:rPr>
        <w:t xml:space="preserve"> </w:t>
      </w:r>
      <w:r w:rsidRPr="00CE27E5">
        <w:rPr>
          <w:rFonts w:ascii="Sylfaen" w:hAnsi="Sylfaen" w:cs="Sylfaen"/>
          <w:sz w:val="24"/>
        </w:rPr>
        <w:t>პარამეტრი</w:t>
      </w:r>
      <w:bookmarkEnd w:id="50"/>
    </w:p>
    <w:p w14:paraId="4248D1AE" w14:textId="77777777" w:rsidR="00CE27E5" w:rsidRPr="00CE27E5" w:rsidRDefault="00CE27E5" w:rsidP="00CE27E5">
      <w:pPr>
        <w:spacing w:before="200" w:after="200"/>
        <w:rPr>
          <w:rFonts w:ascii="Sylfaen" w:hAnsi="Sylfaen"/>
          <w:lang w:val="de-DE"/>
        </w:rPr>
      </w:pPr>
      <w:r w:rsidRPr="00CE27E5">
        <w:rPr>
          <w:rFonts w:ascii="Sylfaen" w:hAnsi="Sylfaen" w:cs="Arial"/>
          <w:lang w:val="de-DE"/>
        </w:rPr>
        <w:t>დიზაინი უნდა იყოს დასაბუთებული ეკონომიკურად და ოპტიმალური არჩევანი უნდა განსხვავდებოდეს მშენებლობის და გზის მომხმარებლის ხარჯების შესაბამისად. მშენებლობის ხარჯები დაკავშირებული იქნება მიდამოების ტიპთან და საგზაო საფარის კონტრუქციის არჩევანთან მაშინ, როდესაც გზის დანახარჯები დაკავშირებული იქნება გრაფიკის დონესთან და შემადგენლობასთან, გზის დროსთან, ტრანსპორტის ექსპლუატაციასთან და საგზაო შემთხვევებთან</w:t>
      </w:r>
      <w:r w:rsidRPr="00CE27E5">
        <w:rPr>
          <w:rFonts w:ascii="Sylfaen" w:hAnsi="Sylfaen"/>
          <w:lang w:val="de-DE"/>
        </w:rPr>
        <w:t>. 2009 წელს იყო წარდგენილი საქართველოს ახალი გეომეტრიული დიზაინის სტანდარტი</w:t>
      </w:r>
      <w:r w:rsidRPr="00CE27E5">
        <w:rPr>
          <w:rStyle w:val="FootnoteReference"/>
          <w:rFonts w:ascii="Sylfaen" w:hAnsi="Sylfaen"/>
        </w:rPr>
        <w:footnoteReference w:id="1"/>
      </w:r>
      <w:r w:rsidRPr="00CE27E5">
        <w:rPr>
          <w:rFonts w:ascii="Sylfaen" w:hAnsi="Sylfaen"/>
          <w:lang w:val="de-DE"/>
        </w:rPr>
        <w:t xml:space="preserve">. დიზაინის სტანდარტის შესაბამისად გზები კლასიფიცირებულია ფუნქციონალური კლასიფიკაციის, წლიური საშუალო ყოველდღიური საგზაო მოძრაობის (AADT) მოცულობის და ტერიტორიის ტიპის შესაბამისად. </w:t>
      </w:r>
    </w:p>
    <w:tbl>
      <w:tblPr>
        <w:tblStyle w:val="TableGrid"/>
        <w:tblW w:w="0" w:type="auto"/>
        <w:tblInd w:w="198" w:type="dxa"/>
        <w:tblLook w:val="04A0" w:firstRow="1" w:lastRow="0" w:firstColumn="1" w:lastColumn="0" w:noHBand="0" w:noVBand="1"/>
      </w:tblPr>
      <w:tblGrid>
        <w:gridCol w:w="5310"/>
        <w:gridCol w:w="4860"/>
      </w:tblGrid>
      <w:tr w:rsidR="00CE27E5" w:rsidRPr="00CE27E5" w14:paraId="5E9FE8EB" w14:textId="77777777" w:rsidTr="00CE27E5">
        <w:tc>
          <w:tcPr>
            <w:tcW w:w="5310" w:type="dxa"/>
            <w:tcBorders>
              <w:top w:val="single" w:sz="4" w:space="0" w:color="auto"/>
              <w:left w:val="single" w:sz="4" w:space="0" w:color="auto"/>
              <w:bottom w:val="single" w:sz="4" w:space="0" w:color="auto"/>
              <w:right w:val="single" w:sz="4" w:space="0" w:color="auto"/>
            </w:tcBorders>
          </w:tcPr>
          <w:p w14:paraId="7EA0CCDC" w14:textId="77777777" w:rsidR="00CE27E5" w:rsidRDefault="00CE27E5" w:rsidP="00CE27E5">
            <w:pPr>
              <w:rPr>
                <w:rFonts w:ascii="Sylfaen" w:hAnsi="Sylfaen"/>
                <w:sz w:val="18"/>
                <w:szCs w:val="20"/>
                <w:lang w:val="de-DE"/>
              </w:rPr>
            </w:pPr>
            <w:r w:rsidRPr="00CE27E5">
              <w:rPr>
                <w:rFonts w:ascii="Sylfaen" w:hAnsi="Sylfaen"/>
                <w:sz w:val="18"/>
                <w:szCs w:val="20"/>
                <w:lang w:val="de-DE"/>
              </w:rPr>
              <w:t>ფუნქციონალური კლასის განსაზღვრა</w:t>
            </w:r>
            <w:r>
              <w:rPr>
                <w:rFonts w:ascii="Sylfaen" w:hAnsi="Sylfaen"/>
                <w:sz w:val="18"/>
                <w:szCs w:val="20"/>
                <w:lang w:val="ka-GE"/>
              </w:rPr>
              <w:t xml:space="preserve"> </w:t>
            </w:r>
            <w:r w:rsidRPr="00CE27E5">
              <w:rPr>
                <w:rFonts w:ascii="Sylfaen" w:hAnsi="Sylfaen"/>
                <w:sz w:val="18"/>
                <w:szCs w:val="20"/>
                <w:lang w:val="de-DE"/>
              </w:rPr>
              <w:t>(საერთაშორისო, შიდასახელმწიფო, ადგილობრივი გზა)</w:t>
            </w:r>
          </w:p>
          <w:p w14:paraId="79E00D27" w14:textId="77777777" w:rsidR="00CE27E5" w:rsidRPr="00CE27E5" w:rsidRDefault="00CE27E5" w:rsidP="00CE27E5">
            <w:pPr>
              <w:rPr>
                <w:rFonts w:ascii="Sylfaen" w:hAnsi="Sylfaen"/>
                <w:sz w:val="18"/>
                <w:szCs w:val="20"/>
                <w:lang w:val="de-DE"/>
              </w:rPr>
            </w:pPr>
          </w:p>
          <w:p w14:paraId="23658D7A" w14:textId="77777777" w:rsidR="00CE27E5" w:rsidRPr="00CE27E5" w:rsidRDefault="00CE27E5" w:rsidP="00C071BD">
            <w:pPr>
              <w:rPr>
                <w:rFonts w:ascii="Sylfaen" w:hAnsi="Sylfaen"/>
                <w:sz w:val="18"/>
                <w:szCs w:val="20"/>
                <w:lang w:val="de-DE"/>
              </w:rPr>
            </w:pPr>
            <w:r w:rsidRPr="00CE27E5">
              <w:rPr>
                <w:rFonts w:ascii="Sylfaen" w:hAnsi="Sylfaen"/>
                <w:sz w:val="18"/>
                <w:szCs w:val="20"/>
                <w:lang w:val="de-DE"/>
              </w:rPr>
              <w:t>რელიეფის ტიპის განსაზღვრა</w:t>
            </w:r>
            <w:r>
              <w:rPr>
                <w:rFonts w:ascii="Sylfaen" w:hAnsi="Sylfaen"/>
                <w:sz w:val="18"/>
                <w:szCs w:val="20"/>
                <w:lang w:val="ka-GE"/>
              </w:rPr>
              <w:t xml:space="preserve"> </w:t>
            </w:r>
            <w:r w:rsidRPr="00CE27E5">
              <w:rPr>
                <w:rFonts w:ascii="Sylfaen" w:hAnsi="Sylfaen"/>
                <w:sz w:val="18"/>
                <w:szCs w:val="20"/>
                <w:lang w:val="de-DE"/>
              </w:rPr>
              <w:t>სადაც გზა გადის</w:t>
            </w:r>
          </w:p>
          <w:p w14:paraId="09F141FD" w14:textId="77777777" w:rsidR="00CE27E5" w:rsidRPr="00CE27E5" w:rsidRDefault="00CE27E5" w:rsidP="00C071BD">
            <w:pPr>
              <w:rPr>
                <w:rFonts w:ascii="Sylfaen" w:hAnsi="Sylfaen"/>
                <w:sz w:val="18"/>
                <w:szCs w:val="20"/>
                <w:lang w:val="de-DE"/>
              </w:rPr>
            </w:pPr>
          </w:p>
          <w:p w14:paraId="077D3106" w14:textId="77777777" w:rsidR="00CE27E5" w:rsidRPr="00CE27E5" w:rsidRDefault="00CE27E5" w:rsidP="00C071BD">
            <w:pPr>
              <w:rPr>
                <w:rFonts w:ascii="Sylfaen" w:hAnsi="Sylfaen"/>
                <w:sz w:val="18"/>
                <w:szCs w:val="20"/>
                <w:lang w:val="de-DE"/>
              </w:rPr>
            </w:pPr>
            <w:r w:rsidRPr="00CE27E5">
              <w:rPr>
                <w:rFonts w:ascii="Sylfaen" w:hAnsi="Sylfaen"/>
                <w:sz w:val="18"/>
                <w:szCs w:val="20"/>
                <w:lang w:val="de-DE"/>
              </w:rPr>
              <w:t>გზის დიზაინის სიჩქარის განსაზღვრა</w:t>
            </w:r>
          </w:p>
          <w:p w14:paraId="68CE69CD" w14:textId="77777777" w:rsidR="00CE27E5" w:rsidRPr="00CE27E5" w:rsidRDefault="00CE27E5" w:rsidP="00C071BD">
            <w:pPr>
              <w:rPr>
                <w:rFonts w:ascii="Sylfaen" w:hAnsi="Sylfaen"/>
                <w:sz w:val="18"/>
                <w:szCs w:val="20"/>
                <w:lang w:val="de-DE"/>
              </w:rPr>
            </w:pPr>
          </w:p>
          <w:p w14:paraId="51BDC745" w14:textId="77777777" w:rsidR="00CE27E5" w:rsidRPr="00CE27E5" w:rsidRDefault="00CE27E5" w:rsidP="00CE27E5">
            <w:pPr>
              <w:rPr>
                <w:rFonts w:ascii="Sylfaen" w:hAnsi="Sylfaen"/>
                <w:sz w:val="18"/>
                <w:szCs w:val="20"/>
                <w:lang w:val="de-DE"/>
              </w:rPr>
            </w:pPr>
            <w:r w:rsidRPr="00CE27E5">
              <w:rPr>
                <w:rFonts w:ascii="Sylfaen" w:hAnsi="Sylfaen"/>
                <w:sz w:val="18"/>
                <w:szCs w:val="20"/>
                <w:lang w:val="de-DE"/>
              </w:rPr>
              <w:lastRenderedPageBreak/>
              <w:t>დიზაინის ელემენტების განსაზღვრა</w:t>
            </w:r>
            <w:r>
              <w:rPr>
                <w:rFonts w:ascii="Sylfaen" w:hAnsi="Sylfaen"/>
                <w:sz w:val="18"/>
                <w:szCs w:val="20"/>
                <w:lang w:val="ka-GE"/>
              </w:rPr>
              <w:t xml:space="preserve"> </w:t>
            </w:r>
            <w:r w:rsidRPr="00CE27E5">
              <w:rPr>
                <w:rFonts w:ascii="Sylfaen" w:hAnsi="Sylfaen"/>
                <w:sz w:val="18"/>
                <w:szCs w:val="20"/>
                <w:lang w:val="de-DE"/>
              </w:rPr>
              <w:t>დიზაინის სიჩქარის გამოყენებით</w:t>
            </w:r>
          </w:p>
        </w:tc>
        <w:tc>
          <w:tcPr>
            <w:tcW w:w="4860" w:type="dxa"/>
            <w:tcBorders>
              <w:top w:val="single" w:sz="4" w:space="0" w:color="auto"/>
              <w:left w:val="single" w:sz="4" w:space="0" w:color="auto"/>
              <w:bottom w:val="single" w:sz="4" w:space="0" w:color="auto"/>
              <w:right w:val="single" w:sz="4" w:space="0" w:color="auto"/>
            </w:tcBorders>
          </w:tcPr>
          <w:p w14:paraId="78928E2F" w14:textId="77777777" w:rsidR="00CE27E5" w:rsidRPr="00CE27E5" w:rsidRDefault="00CE27E5" w:rsidP="00C071BD">
            <w:pPr>
              <w:spacing w:before="200" w:after="200"/>
              <w:rPr>
                <w:rFonts w:ascii="Sylfaen" w:hAnsi="Sylfaen"/>
                <w:sz w:val="18"/>
                <w:szCs w:val="20"/>
                <w:lang w:val="de-DE"/>
              </w:rPr>
            </w:pPr>
            <w:r w:rsidRPr="00CE27E5">
              <w:rPr>
                <w:rFonts w:ascii="Sylfaen" w:hAnsi="Sylfaen"/>
                <w:sz w:val="18"/>
                <w:szCs w:val="20"/>
                <w:lang w:val="de-DE"/>
              </w:rPr>
              <w:lastRenderedPageBreak/>
              <w:t>AADT-ს განსაზღვრა ტრანსპორტის დათვლით</w:t>
            </w:r>
          </w:p>
          <w:p w14:paraId="2965A566" w14:textId="77777777" w:rsidR="00CE27E5" w:rsidRPr="00CE27E5" w:rsidRDefault="00CE27E5" w:rsidP="00C071BD">
            <w:pPr>
              <w:spacing w:before="200" w:after="200"/>
              <w:rPr>
                <w:rFonts w:ascii="Sylfaen" w:hAnsi="Sylfaen"/>
                <w:sz w:val="18"/>
                <w:szCs w:val="20"/>
                <w:lang w:val="de-DE"/>
              </w:rPr>
            </w:pPr>
          </w:p>
          <w:p w14:paraId="3B870B81" w14:textId="77777777" w:rsidR="00CE27E5" w:rsidRPr="00CE27E5" w:rsidRDefault="00CE27E5" w:rsidP="00C071BD">
            <w:pPr>
              <w:spacing w:before="200" w:after="200"/>
              <w:rPr>
                <w:rFonts w:ascii="Sylfaen" w:hAnsi="Sylfaen"/>
                <w:sz w:val="18"/>
                <w:szCs w:val="20"/>
                <w:lang w:val="de-DE"/>
              </w:rPr>
            </w:pPr>
          </w:p>
          <w:p w14:paraId="46D11859" w14:textId="77777777" w:rsidR="00CE27E5" w:rsidRPr="00CE27E5" w:rsidRDefault="00CE27E5" w:rsidP="00C071BD">
            <w:pPr>
              <w:spacing w:before="200" w:after="200"/>
              <w:rPr>
                <w:rFonts w:ascii="Sylfaen" w:hAnsi="Sylfaen"/>
                <w:sz w:val="18"/>
                <w:szCs w:val="20"/>
                <w:lang w:val="de-DE"/>
              </w:rPr>
            </w:pPr>
            <w:r w:rsidRPr="00CE27E5">
              <w:rPr>
                <w:rFonts w:ascii="Sylfaen" w:hAnsi="Sylfaen"/>
                <w:sz w:val="18"/>
                <w:szCs w:val="20"/>
                <w:lang w:val="de-DE"/>
              </w:rPr>
              <w:lastRenderedPageBreak/>
              <w:t>დიზაინის ელემენტების განსაზღვრა გზის კლასის და სხვა შემავალი მნიშვნელობების შესაბამისად</w:t>
            </w:r>
          </w:p>
        </w:tc>
      </w:tr>
    </w:tbl>
    <w:p w14:paraId="37B7705D" w14:textId="77777777" w:rsidR="00CE27E5" w:rsidRPr="002B616A" w:rsidRDefault="00CE27E5" w:rsidP="00CE27E5">
      <w:pPr>
        <w:spacing w:before="200" w:after="200"/>
        <w:rPr>
          <w:rFonts w:ascii="Sylfaen" w:hAnsi="Sylfaen"/>
          <w:sz w:val="20"/>
          <w:szCs w:val="20"/>
          <w:lang w:val="de-DE"/>
        </w:rPr>
      </w:pPr>
    </w:p>
    <w:p w14:paraId="135E7655" w14:textId="084F5680" w:rsidR="00CE27E5" w:rsidRPr="002B616A" w:rsidRDefault="00BE4DCF" w:rsidP="00CE27E5">
      <w:pPr>
        <w:spacing w:before="200" w:after="200"/>
        <w:rPr>
          <w:rFonts w:ascii="Sylfaen" w:hAnsi="Sylfaen"/>
          <w:szCs w:val="22"/>
          <w:lang w:val="de-DE"/>
        </w:rPr>
      </w:pPr>
      <w:r>
        <w:rPr>
          <w:noProof/>
          <w:lang w:val="en-US" w:eastAsia="en-US"/>
        </w:rPr>
        <mc:AlternateContent>
          <mc:Choice Requires="wpg">
            <w:drawing>
              <wp:inline distT="0" distB="0" distL="0" distR="0" wp14:anchorId="7E9DF0F0" wp14:editId="43DCCA72">
                <wp:extent cx="5676265" cy="3305175"/>
                <wp:effectExtent l="9525" t="9525" r="10160" b="9525"/>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265" cy="3305175"/>
                          <a:chOff x="0" y="476"/>
                          <a:chExt cx="56763" cy="33052"/>
                        </a:xfrm>
                      </wpg:grpSpPr>
                      <wps:wsp>
                        <wps:cNvPr id="45" name="Text Box 11"/>
                        <wps:cNvSpPr txBox="1">
                          <a:spLocks noChangeArrowheads="1"/>
                        </wps:cNvSpPr>
                        <wps:spPr bwMode="auto">
                          <a:xfrm>
                            <a:off x="0" y="476"/>
                            <a:ext cx="24955" cy="7144"/>
                          </a:xfrm>
                          <a:prstGeom prst="rect">
                            <a:avLst/>
                          </a:prstGeom>
                          <a:solidFill>
                            <a:srgbClr val="FFFFFF"/>
                          </a:solidFill>
                          <a:ln w="19050">
                            <a:solidFill>
                              <a:srgbClr val="000000"/>
                            </a:solidFill>
                            <a:miter lim="800000"/>
                            <a:headEnd/>
                            <a:tailEnd/>
                          </a:ln>
                        </wps:spPr>
                        <wps:txbx>
                          <w:txbxContent>
                            <w:p w14:paraId="54D2384C" w14:textId="77777777" w:rsidR="00A2588D" w:rsidRDefault="00A2588D" w:rsidP="00BE4DCF">
                              <w:pPr>
                                <w:rPr>
                                  <w:rFonts w:ascii="AcadNusx" w:hAnsi="AcadNusx"/>
                                  <w:b/>
                                  <w:sz w:val="8"/>
                                  <w:szCs w:val="8"/>
                                </w:rPr>
                              </w:pPr>
                            </w:p>
                            <w:p w14:paraId="1FC6A99B" w14:textId="77777777" w:rsidR="00A2588D" w:rsidRDefault="00A2588D" w:rsidP="00BE4DCF">
                              <w:pPr>
                                <w:rPr>
                                  <w:rFonts w:ascii="AcadNusx" w:hAnsi="AcadNusx"/>
                                  <w:b/>
                                  <w:sz w:val="20"/>
                                  <w:szCs w:val="20"/>
                                </w:rPr>
                              </w:pPr>
                              <w:r>
                                <w:rPr>
                                  <w:rFonts w:ascii="Sylfaen" w:hAnsi="Sylfaen"/>
                                  <w:b/>
                                  <w:sz w:val="20"/>
                                  <w:szCs w:val="20"/>
                                  <w:lang w:val="ka-GE"/>
                                </w:rPr>
                                <w:t>ფუნქციონალური კლასის განსაზღვრა (საერთაშორისო, შიდასახელმწიფოებრივი, ადგილობრივი)</w:t>
                              </w:r>
                            </w:p>
                          </w:txbxContent>
                        </wps:txbx>
                        <wps:bodyPr rot="0" vert="horz" wrap="square" lIns="72000" tIns="0" rIns="0" bIns="0" anchor="t" anchorCtr="0" upright="1">
                          <a:noAutofit/>
                        </wps:bodyPr>
                      </wps:wsp>
                      <wps:wsp>
                        <wps:cNvPr id="46" name="Text Box 12"/>
                        <wps:cNvSpPr txBox="1">
                          <a:spLocks noChangeArrowheads="1"/>
                        </wps:cNvSpPr>
                        <wps:spPr bwMode="auto">
                          <a:xfrm>
                            <a:off x="0" y="11525"/>
                            <a:ext cx="26575" cy="4572"/>
                          </a:xfrm>
                          <a:prstGeom prst="rect">
                            <a:avLst/>
                          </a:prstGeom>
                          <a:solidFill>
                            <a:srgbClr val="FFFFFF"/>
                          </a:solidFill>
                          <a:ln w="19050">
                            <a:solidFill>
                              <a:srgbClr val="000000"/>
                            </a:solidFill>
                            <a:miter lim="800000"/>
                            <a:headEnd/>
                            <a:tailEnd/>
                          </a:ln>
                        </wps:spPr>
                        <wps:txbx>
                          <w:txbxContent>
                            <w:p w14:paraId="23656BAA" w14:textId="77777777" w:rsidR="00A2588D" w:rsidRDefault="00A2588D" w:rsidP="00BE4DCF">
                              <w:pPr>
                                <w:jc w:val="center"/>
                                <w:rPr>
                                  <w:rFonts w:ascii="AcadNusx" w:hAnsi="AcadNusx"/>
                                  <w:b/>
                                  <w:sz w:val="19"/>
                                  <w:szCs w:val="19"/>
                                  <w:lang w:val="en-US"/>
                                </w:rPr>
                              </w:pPr>
                              <w:r>
                                <w:rPr>
                                  <w:rFonts w:ascii="Sylfaen" w:hAnsi="Sylfaen" w:cs="Sylfaen"/>
                                  <w:b/>
                                  <w:sz w:val="19"/>
                                  <w:szCs w:val="19"/>
                                  <w:lang w:val="en-US"/>
                                </w:rPr>
                                <w:t>გზის</w:t>
                              </w:r>
                              <w:r>
                                <w:rPr>
                                  <w:rFonts w:ascii="AcadNusx" w:hAnsi="AcadNusx"/>
                                  <w:b/>
                                  <w:sz w:val="19"/>
                                  <w:szCs w:val="19"/>
                                  <w:lang w:val="en-US"/>
                                </w:rPr>
                                <w:t xml:space="preserve"> </w:t>
                              </w:r>
                              <w:r>
                                <w:rPr>
                                  <w:rFonts w:ascii="Sylfaen" w:hAnsi="Sylfaen" w:cs="Sylfaen"/>
                                  <w:b/>
                                  <w:sz w:val="19"/>
                                  <w:szCs w:val="19"/>
                                  <w:lang w:val="en-US"/>
                                </w:rPr>
                                <w:t>გარსმომცველი</w:t>
                              </w:r>
                              <w:r>
                                <w:rPr>
                                  <w:rFonts w:ascii="AcadNusx" w:hAnsi="AcadNusx"/>
                                  <w:b/>
                                  <w:sz w:val="19"/>
                                  <w:szCs w:val="19"/>
                                  <w:lang w:val="en-US"/>
                                </w:rPr>
                                <w:t xml:space="preserve"> </w:t>
                              </w:r>
                              <w:r>
                                <w:rPr>
                                  <w:rFonts w:ascii="Sylfaen" w:hAnsi="Sylfaen" w:cs="Sylfaen"/>
                                  <w:b/>
                                  <w:sz w:val="19"/>
                                  <w:szCs w:val="19"/>
                                  <w:lang w:val="en-US"/>
                                </w:rPr>
                                <w:t>რელიეფის</w:t>
                              </w:r>
                              <w:r>
                                <w:rPr>
                                  <w:rFonts w:ascii="AcadNusx" w:hAnsi="AcadNusx"/>
                                  <w:b/>
                                  <w:sz w:val="19"/>
                                  <w:szCs w:val="19"/>
                                  <w:lang w:val="en-US"/>
                                </w:rPr>
                                <w:t xml:space="preserve"> </w:t>
                              </w:r>
                              <w:r>
                                <w:rPr>
                                  <w:rFonts w:ascii="Sylfaen" w:hAnsi="Sylfaen" w:cs="Sylfaen"/>
                                  <w:b/>
                                  <w:sz w:val="19"/>
                                  <w:szCs w:val="19"/>
                                  <w:lang w:val="en-US"/>
                                </w:rPr>
                                <w:t>განსაზღვრა</w:t>
                              </w:r>
                            </w:p>
                          </w:txbxContent>
                        </wps:txbx>
                        <wps:bodyPr rot="0" vert="horz" wrap="square" lIns="72000" tIns="72000" rIns="0" bIns="0" anchor="t" anchorCtr="0" upright="1">
                          <a:noAutofit/>
                        </wps:bodyPr>
                      </wps:wsp>
                      <wps:wsp>
                        <wps:cNvPr id="47" name="Text Box 14"/>
                        <wps:cNvSpPr txBox="1">
                          <a:spLocks noChangeArrowheads="1"/>
                        </wps:cNvSpPr>
                        <wps:spPr bwMode="auto">
                          <a:xfrm>
                            <a:off x="0" y="19526"/>
                            <a:ext cx="31718" cy="4572"/>
                          </a:xfrm>
                          <a:prstGeom prst="rect">
                            <a:avLst/>
                          </a:prstGeom>
                          <a:solidFill>
                            <a:srgbClr val="FFFFFF"/>
                          </a:solidFill>
                          <a:ln w="19050">
                            <a:solidFill>
                              <a:srgbClr val="000000"/>
                            </a:solidFill>
                            <a:miter lim="800000"/>
                            <a:headEnd/>
                            <a:tailEnd/>
                          </a:ln>
                        </wps:spPr>
                        <wps:txbx>
                          <w:txbxContent>
                            <w:p w14:paraId="04E00FC2" w14:textId="77777777" w:rsidR="00A2588D" w:rsidRDefault="00A2588D" w:rsidP="00BE4DCF">
                              <w:pPr>
                                <w:rPr>
                                  <w:rFonts w:ascii="AcadNusx" w:hAnsi="AcadNusx"/>
                                  <w:b/>
                                  <w:sz w:val="19"/>
                                  <w:szCs w:val="19"/>
                                  <w:lang w:val="en-US"/>
                                </w:rPr>
                              </w:pPr>
                              <w:r>
                                <w:rPr>
                                  <w:rFonts w:ascii="Sylfaen" w:hAnsi="Sylfaen" w:cs="Sylfaen"/>
                                  <w:b/>
                                  <w:sz w:val="19"/>
                                  <w:szCs w:val="19"/>
                                  <w:lang w:val="en-US"/>
                                </w:rPr>
                                <w:t>გზაზე</w:t>
                              </w:r>
                              <w:r>
                                <w:rPr>
                                  <w:rFonts w:ascii="AcadNusx" w:hAnsi="AcadNusx"/>
                                  <w:b/>
                                  <w:sz w:val="19"/>
                                  <w:szCs w:val="19"/>
                                  <w:lang w:val="en-US"/>
                                </w:rPr>
                                <w:t xml:space="preserve"> </w:t>
                              </w:r>
                              <w:r>
                                <w:rPr>
                                  <w:rFonts w:ascii="Sylfaen" w:hAnsi="Sylfaen" w:cs="Sylfaen"/>
                                  <w:b/>
                                  <w:sz w:val="19"/>
                                  <w:szCs w:val="19"/>
                                  <w:lang w:val="en-US"/>
                                </w:rPr>
                                <w:t>მოძრაობის</w:t>
                              </w:r>
                              <w:r>
                                <w:rPr>
                                  <w:rFonts w:ascii="AcadNusx" w:hAnsi="AcadNusx"/>
                                  <w:b/>
                                  <w:sz w:val="19"/>
                                  <w:szCs w:val="19"/>
                                  <w:lang w:val="en-US"/>
                                </w:rPr>
                                <w:t xml:space="preserve"> </w:t>
                              </w:r>
                              <w:r>
                                <w:rPr>
                                  <w:rFonts w:ascii="Sylfaen" w:hAnsi="Sylfaen" w:cs="Sylfaen"/>
                                  <w:b/>
                                  <w:sz w:val="19"/>
                                  <w:szCs w:val="19"/>
                                  <w:lang w:val="en-US"/>
                                </w:rPr>
                                <w:t>საანგარიშო</w:t>
                              </w:r>
                              <w:r>
                                <w:rPr>
                                  <w:rFonts w:ascii="AcadNusx" w:hAnsi="AcadNusx"/>
                                  <w:b/>
                                  <w:sz w:val="19"/>
                                  <w:szCs w:val="19"/>
                                  <w:lang w:val="en-US"/>
                                </w:rPr>
                                <w:t xml:space="preserve"> </w:t>
                              </w:r>
                              <w:r>
                                <w:rPr>
                                  <w:rFonts w:ascii="Sylfaen" w:hAnsi="Sylfaen" w:cs="Sylfaen"/>
                                  <w:b/>
                                  <w:sz w:val="19"/>
                                  <w:szCs w:val="19"/>
                                  <w:lang w:val="en-US"/>
                                </w:rPr>
                                <w:t>სიჩქარის</w:t>
                              </w:r>
                              <w:r>
                                <w:rPr>
                                  <w:rFonts w:ascii="AcadNusx" w:hAnsi="AcadNusx"/>
                                  <w:b/>
                                  <w:sz w:val="19"/>
                                  <w:szCs w:val="19"/>
                                  <w:lang w:val="en-US"/>
                                </w:rPr>
                                <w:t xml:space="preserve"> </w:t>
                              </w:r>
                              <w:r>
                                <w:rPr>
                                  <w:rFonts w:ascii="Sylfaen" w:hAnsi="Sylfaen" w:cs="Sylfaen"/>
                                  <w:b/>
                                  <w:sz w:val="19"/>
                                  <w:szCs w:val="19"/>
                                  <w:lang w:val="en-US"/>
                                </w:rPr>
                                <w:t>განსაზღვრა</w:t>
                              </w:r>
                            </w:p>
                          </w:txbxContent>
                        </wps:txbx>
                        <wps:bodyPr rot="0" vert="horz" wrap="square" lIns="72000" tIns="72000" rIns="0" bIns="0" anchor="t" anchorCtr="0" upright="1">
                          <a:noAutofit/>
                        </wps:bodyPr>
                      </wps:wsp>
                      <wps:wsp>
                        <wps:cNvPr id="48" name="Text Box 15"/>
                        <wps:cNvSpPr txBox="1">
                          <a:spLocks noChangeArrowheads="1"/>
                        </wps:cNvSpPr>
                        <wps:spPr bwMode="auto">
                          <a:xfrm>
                            <a:off x="0" y="27432"/>
                            <a:ext cx="24955" cy="6096"/>
                          </a:xfrm>
                          <a:prstGeom prst="rect">
                            <a:avLst/>
                          </a:prstGeom>
                          <a:solidFill>
                            <a:srgbClr val="FFFFFF"/>
                          </a:solidFill>
                          <a:ln w="19050">
                            <a:solidFill>
                              <a:srgbClr val="000000"/>
                            </a:solidFill>
                            <a:miter lim="800000"/>
                            <a:headEnd/>
                            <a:tailEnd/>
                          </a:ln>
                        </wps:spPr>
                        <wps:txbx>
                          <w:txbxContent>
                            <w:p w14:paraId="22C94564" w14:textId="77777777" w:rsidR="00A2588D" w:rsidRDefault="00A2588D" w:rsidP="00BE4DCF">
                              <w:pPr>
                                <w:jc w:val="center"/>
                                <w:rPr>
                                  <w:rFonts w:ascii="AcadNusx" w:hAnsi="AcadNusx"/>
                                  <w:b/>
                                  <w:sz w:val="19"/>
                                  <w:szCs w:val="19"/>
                                  <w:lang w:val="en-US"/>
                                </w:rPr>
                              </w:pPr>
                              <w:r>
                                <w:rPr>
                                  <w:rFonts w:ascii="Sylfaen" w:hAnsi="Sylfaen" w:cs="Sylfaen"/>
                                  <w:b/>
                                  <w:sz w:val="19"/>
                                  <w:szCs w:val="19"/>
                                  <w:lang w:val="en-US"/>
                                </w:rPr>
                                <w:t>გზის</w:t>
                              </w:r>
                              <w:r>
                                <w:rPr>
                                  <w:rFonts w:ascii="AcadNusx" w:hAnsi="AcadNusx"/>
                                  <w:b/>
                                  <w:sz w:val="19"/>
                                  <w:szCs w:val="19"/>
                                  <w:lang w:val="en-US"/>
                                </w:rPr>
                                <w:t xml:space="preserve"> </w:t>
                              </w:r>
                              <w:r>
                                <w:rPr>
                                  <w:rFonts w:ascii="Sylfaen" w:hAnsi="Sylfaen" w:cs="Sylfaen"/>
                                  <w:b/>
                                  <w:sz w:val="19"/>
                                  <w:szCs w:val="19"/>
                                  <w:lang w:val="en-US"/>
                                </w:rPr>
                                <w:t>საანგარიშო</w:t>
                              </w:r>
                              <w:r>
                                <w:rPr>
                                  <w:rFonts w:ascii="AcadNusx" w:hAnsi="AcadNusx"/>
                                  <w:b/>
                                  <w:sz w:val="19"/>
                                  <w:szCs w:val="19"/>
                                  <w:lang w:val="en-US"/>
                                </w:rPr>
                                <w:t xml:space="preserve"> </w:t>
                              </w:r>
                              <w:r>
                                <w:rPr>
                                  <w:rFonts w:ascii="Sylfaen" w:hAnsi="Sylfaen" w:cs="Sylfaen"/>
                                  <w:b/>
                                  <w:sz w:val="19"/>
                                  <w:szCs w:val="19"/>
                                  <w:lang w:val="en-US"/>
                                </w:rPr>
                                <w:t>სიჩქარის</w:t>
                              </w:r>
                              <w:r>
                                <w:rPr>
                                  <w:rFonts w:ascii="AcadNusx" w:hAnsi="AcadNusx"/>
                                  <w:b/>
                                  <w:sz w:val="19"/>
                                  <w:szCs w:val="19"/>
                                  <w:lang w:val="en-US"/>
                                </w:rPr>
                                <w:t xml:space="preserve"> </w:t>
                              </w:r>
                              <w:r>
                                <w:rPr>
                                  <w:rFonts w:ascii="Sylfaen" w:hAnsi="Sylfaen" w:cs="Sylfaen"/>
                                  <w:b/>
                                  <w:sz w:val="19"/>
                                  <w:szCs w:val="19"/>
                                  <w:lang w:val="en-US"/>
                                </w:rPr>
                                <w:t>შესაბამისი</w:t>
                              </w:r>
                              <w:r>
                                <w:rPr>
                                  <w:rFonts w:ascii="AcadNusx" w:hAnsi="AcadNusx"/>
                                  <w:b/>
                                  <w:sz w:val="19"/>
                                  <w:szCs w:val="19"/>
                                  <w:lang w:val="en-US"/>
                                </w:rPr>
                                <w:t xml:space="preserve"> </w:t>
                              </w:r>
                              <w:r>
                                <w:rPr>
                                  <w:rFonts w:ascii="Sylfaen" w:hAnsi="Sylfaen" w:cs="Sylfaen"/>
                                  <w:b/>
                                  <w:sz w:val="19"/>
                                  <w:szCs w:val="19"/>
                                  <w:lang w:val="en-US"/>
                                </w:rPr>
                                <w:t>გეომეტრიული</w:t>
                              </w:r>
                              <w:r>
                                <w:rPr>
                                  <w:rFonts w:ascii="AcadNusx" w:hAnsi="AcadNusx"/>
                                  <w:b/>
                                  <w:sz w:val="19"/>
                                  <w:szCs w:val="19"/>
                                  <w:lang w:val="en-US"/>
                                </w:rPr>
                                <w:t xml:space="preserve"> </w:t>
                              </w:r>
                              <w:r>
                                <w:rPr>
                                  <w:rFonts w:ascii="Sylfaen" w:hAnsi="Sylfaen" w:cs="Sylfaen"/>
                                  <w:b/>
                                  <w:sz w:val="19"/>
                                  <w:szCs w:val="19"/>
                                  <w:lang w:val="en-US"/>
                                </w:rPr>
                                <w:t>ელემენტების</w:t>
                              </w:r>
                              <w:r>
                                <w:rPr>
                                  <w:rFonts w:ascii="AcadNusx" w:hAnsi="AcadNusx"/>
                                  <w:b/>
                                  <w:sz w:val="19"/>
                                  <w:szCs w:val="19"/>
                                  <w:lang w:val="en-US"/>
                                </w:rPr>
                                <w:t xml:space="preserve"> </w:t>
                              </w:r>
                              <w:r>
                                <w:rPr>
                                  <w:rFonts w:ascii="Sylfaen" w:hAnsi="Sylfaen" w:cs="Sylfaen"/>
                                  <w:b/>
                                  <w:sz w:val="19"/>
                                  <w:szCs w:val="19"/>
                                  <w:lang w:val="en-US"/>
                                </w:rPr>
                                <w:t>განსაზღვრა</w:t>
                              </w:r>
                            </w:p>
                          </w:txbxContent>
                        </wps:txbx>
                        <wps:bodyPr rot="0" vert="horz" wrap="square" lIns="72000" tIns="72000" rIns="0" bIns="0" anchor="t" anchorCtr="0" upright="1">
                          <a:noAutofit/>
                        </wps:bodyPr>
                      </wps:wsp>
                      <wps:wsp>
                        <wps:cNvPr id="49" name="Text Box 21"/>
                        <wps:cNvSpPr txBox="1">
                          <a:spLocks noChangeArrowheads="1"/>
                        </wps:cNvSpPr>
                        <wps:spPr bwMode="auto">
                          <a:xfrm>
                            <a:off x="28194" y="762"/>
                            <a:ext cx="28569" cy="6857"/>
                          </a:xfrm>
                          <a:prstGeom prst="rect">
                            <a:avLst/>
                          </a:prstGeom>
                          <a:solidFill>
                            <a:srgbClr val="FFFFFF"/>
                          </a:solidFill>
                          <a:ln w="19050">
                            <a:solidFill>
                              <a:srgbClr val="000000"/>
                            </a:solidFill>
                            <a:miter lim="800000"/>
                            <a:headEnd/>
                            <a:tailEnd/>
                          </a:ln>
                        </wps:spPr>
                        <wps:txbx>
                          <w:txbxContent>
                            <w:p w14:paraId="1E77E4D9" w14:textId="77777777" w:rsidR="00A2588D" w:rsidRDefault="00A2588D" w:rsidP="00BE4DCF">
                              <w:pPr>
                                <w:jc w:val="center"/>
                                <w:rPr>
                                  <w:rFonts w:ascii="AcadNusx" w:hAnsi="AcadNusx"/>
                                  <w:b/>
                                  <w:sz w:val="19"/>
                                  <w:szCs w:val="19"/>
                                  <w:lang w:val="en-US"/>
                                </w:rPr>
                              </w:pPr>
                              <w:r>
                                <w:rPr>
                                  <w:rFonts w:ascii="Sylfaen" w:hAnsi="Sylfaen" w:cs="Sylfaen"/>
                                  <w:b/>
                                  <w:sz w:val="19"/>
                                  <w:szCs w:val="19"/>
                                  <w:lang w:val="en-US"/>
                                </w:rPr>
                                <w:t>წლიური</w:t>
                              </w:r>
                              <w:r>
                                <w:rPr>
                                  <w:rFonts w:ascii="AcadNusx" w:hAnsi="AcadNusx"/>
                                  <w:b/>
                                  <w:sz w:val="19"/>
                                  <w:szCs w:val="19"/>
                                  <w:lang w:val="en-US"/>
                                </w:rPr>
                                <w:t xml:space="preserve"> </w:t>
                              </w:r>
                              <w:r>
                                <w:rPr>
                                  <w:rFonts w:ascii="Sylfaen" w:hAnsi="Sylfaen" w:cs="Sylfaen"/>
                                  <w:b/>
                                  <w:sz w:val="19"/>
                                  <w:szCs w:val="19"/>
                                  <w:lang w:val="en-US"/>
                                </w:rPr>
                                <w:t>საგზაო</w:t>
                              </w:r>
                              <w:r>
                                <w:rPr>
                                  <w:rFonts w:ascii="AcadNusx" w:hAnsi="AcadNusx"/>
                                  <w:b/>
                                  <w:sz w:val="19"/>
                                  <w:szCs w:val="19"/>
                                  <w:lang w:val="en-US"/>
                                </w:rPr>
                                <w:t xml:space="preserve"> </w:t>
                              </w:r>
                              <w:r>
                                <w:rPr>
                                  <w:rFonts w:ascii="Sylfaen" w:hAnsi="Sylfaen" w:cs="Sylfaen"/>
                                  <w:b/>
                                  <w:sz w:val="19"/>
                                  <w:szCs w:val="19"/>
                                  <w:lang w:val="en-US"/>
                                </w:rPr>
                                <w:t>მოძრაობის</w:t>
                              </w:r>
                              <w:r>
                                <w:rPr>
                                  <w:rFonts w:ascii="AcadNusx" w:hAnsi="AcadNusx"/>
                                  <w:b/>
                                  <w:sz w:val="19"/>
                                  <w:szCs w:val="19"/>
                                  <w:lang w:val="en-US"/>
                                </w:rPr>
                                <w:t xml:space="preserve"> </w:t>
                              </w:r>
                            </w:p>
                            <w:p w14:paraId="7893124D" w14:textId="77777777" w:rsidR="00A2588D" w:rsidRDefault="00A2588D" w:rsidP="00BE4DCF">
                              <w:pPr>
                                <w:jc w:val="center"/>
                                <w:rPr>
                                  <w:rFonts w:ascii="AcadNusx" w:hAnsi="AcadNusx"/>
                                  <w:b/>
                                  <w:sz w:val="19"/>
                                  <w:szCs w:val="19"/>
                                  <w:lang w:val="en-US"/>
                                </w:rPr>
                              </w:pPr>
                              <w:r>
                                <w:rPr>
                                  <w:rFonts w:ascii="Sylfaen" w:hAnsi="Sylfaen" w:cs="Sylfaen"/>
                                  <w:b/>
                                  <w:sz w:val="19"/>
                                  <w:szCs w:val="19"/>
                                  <w:lang w:val="en-US"/>
                                </w:rPr>
                                <w:t>დღიური</w:t>
                              </w:r>
                              <w:r>
                                <w:rPr>
                                  <w:rFonts w:ascii="AcadNusx" w:hAnsi="AcadNusx"/>
                                  <w:b/>
                                  <w:sz w:val="19"/>
                                  <w:szCs w:val="19"/>
                                  <w:lang w:val="en-US"/>
                                </w:rPr>
                                <w:t xml:space="preserve"> </w:t>
                              </w:r>
                              <w:r>
                                <w:rPr>
                                  <w:rFonts w:ascii="Sylfaen" w:hAnsi="Sylfaen" w:cs="Sylfaen"/>
                                  <w:b/>
                                  <w:sz w:val="19"/>
                                  <w:szCs w:val="19"/>
                                  <w:lang w:val="en-US"/>
                                </w:rPr>
                                <w:t>ინტენსიურობის</w:t>
                              </w:r>
                              <w:r>
                                <w:rPr>
                                  <w:rFonts w:ascii="AcadNusx" w:hAnsi="AcadNusx"/>
                                  <w:b/>
                                  <w:sz w:val="19"/>
                                  <w:szCs w:val="19"/>
                                  <w:lang w:val="en-US"/>
                                </w:rPr>
                                <w:t xml:space="preserve"> </w:t>
                              </w:r>
                            </w:p>
                            <w:p w14:paraId="3D31FA07" w14:textId="77777777" w:rsidR="00A2588D" w:rsidRDefault="00A2588D" w:rsidP="00BE4DCF">
                              <w:pPr>
                                <w:jc w:val="center"/>
                                <w:rPr>
                                  <w:rFonts w:ascii="AcadNusx" w:hAnsi="AcadNusx"/>
                                  <w:b/>
                                  <w:sz w:val="19"/>
                                  <w:szCs w:val="19"/>
                                  <w:lang w:val="en-US"/>
                                </w:rPr>
                              </w:pPr>
                              <w:r>
                                <w:rPr>
                                  <w:rFonts w:ascii="Sylfaen" w:hAnsi="Sylfaen" w:cs="Sylfaen"/>
                                  <w:b/>
                                  <w:sz w:val="19"/>
                                  <w:szCs w:val="19"/>
                                  <w:lang w:val="en-US"/>
                                </w:rPr>
                                <w:t>განსაზღვრა</w:t>
                              </w:r>
                              <w:r>
                                <w:rPr>
                                  <w:rFonts w:ascii="AcadNusx" w:hAnsi="AcadNusx"/>
                                  <w:b/>
                                  <w:sz w:val="19"/>
                                  <w:szCs w:val="19"/>
                                  <w:lang w:val="en-US"/>
                                </w:rPr>
                                <w:t xml:space="preserve"> </w:t>
                              </w:r>
                              <w:r>
                                <w:rPr>
                                  <w:rFonts w:ascii="Sylfaen" w:hAnsi="Sylfaen" w:cs="Sylfaen"/>
                                  <w:b/>
                                  <w:sz w:val="19"/>
                                  <w:szCs w:val="19"/>
                                  <w:lang w:val="en-US"/>
                                </w:rPr>
                                <w:t>სატრანსპორტო</w:t>
                              </w:r>
                              <w:r>
                                <w:rPr>
                                  <w:rFonts w:ascii="AcadNusx" w:hAnsi="AcadNusx"/>
                                  <w:b/>
                                  <w:sz w:val="19"/>
                                  <w:szCs w:val="19"/>
                                  <w:lang w:val="en-US"/>
                                </w:rPr>
                                <w:t xml:space="preserve"> </w:t>
                              </w:r>
                            </w:p>
                            <w:p w14:paraId="4151A14E" w14:textId="77777777" w:rsidR="00A2588D" w:rsidRDefault="00A2588D" w:rsidP="00BE4DCF">
                              <w:pPr>
                                <w:jc w:val="center"/>
                                <w:rPr>
                                  <w:rFonts w:ascii="AcadNusx" w:hAnsi="AcadNusx"/>
                                  <w:b/>
                                  <w:sz w:val="19"/>
                                  <w:szCs w:val="19"/>
                                  <w:lang w:val="en-US"/>
                                </w:rPr>
                              </w:pPr>
                              <w:r>
                                <w:rPr>
                                  <w:rFonts w:ascii="Sylfaen" w:hAnsi="Sylfaen" w:cs="Sylfaen"/>
                                  <w:b/>
                                  <w:sz w:val="19"/>
                                  <w:szCs w:val="19"/>
                                  <w:lang w:val="en-US"/>
                                </w:rPr>
                                <w:t>ნაკადის</w:t>
                              </w:r>
                              <w:r>
                                <w:rPr>
                                  <w:rFonts w:ascii="AcadNusx" w:hAnsi="AcadNusx"/>
                                  <w:b/>
                                  <w:sz w:val="19"/>
                                  <w:szCs w:val="19"/>
                                  <w:lang w:val="en-US"/>
                                </w:rPr>
                                <w:t xml:space="preserve"> </w:t>
                              </w:r>
                              <w:r>
                                <w:rPr>
                                  <w:rFonts w:ascii="Sylfaen" w:hAnsi="Sylfaen" w:cs="Sylfaen"/>
                                  <w:b/>
                                  <w:sz w:val="19"/>
                                  <w:szCs w:val="19"/>
                                  <w:lang w:val="en-US"/>
                                </w:rPr>
                                <w:t>დათვლების</w:t>
                              </w:r>
                              <w:r>
                                <w:rPr>
                                  <w:rFonts w:ascii="AcadNusx" w:hAnsi="AcadNusx"/>
                                  <w:b/>
                                  <w:sz w:val="19"/>
                                  <w:szCs w:val="19"/>
                                  <w:lang w:val="en-US"/>
                                </w:rPr>
                                <w:t xml:space="preserve"> </w:t>
                              </w:r>
                              <w:r>
                                <w:rPr>
                                  <w:rFonts w:ascii="Sylfaen" w:hAnsi="Sylfaen" w:cs="Sylfaen"/>
                                  <w:b/>
                                  <w:sz w:val="19"/>
                                  <w:szCs w:val="19"/>
                                  <w:lang w:val="en-US"/>
                                </w:rPr>
                                <w:t>საშუალებით</w:t>
                              </w:r>
                            </w:p>
                          </w:txbxContent>
                        </wps:txbx>
                        <wps:bodyPr rot="0" vert="horz" wrap="square" lIns="72000" tIns="0" rIns="0" bIns="0" anchor="t" anchorCtr="0" upright="1">
                          <a:noAutofit/>
                        </wps:bodyPr>
                      </wps:wsp>
                      <wps:wsp>
                        <wps:cNvPr id="50" name="Text Box 26"/>
                        <wps:cNvSpPr txBox="1">
                          <a:spLocks noChangeArrowheads="1"/>
                        </wps:cNvSpPr>
                        <wps:spPr bwMode="auto">
                          <a:xfrm>
                            <a:off x="31333" y="25813"/>
                            <a:ext cx="24956" cy="7714"/>
                          </a:xfrm>
                          <a:prstGeom prst="rect">
                            <a:avLst/>
                          </a:prstGeom>
                          <a:solidFill>
                            <a:srgbClr val="FFFFFF"/>
                          </a:solidFill>
                          <a:ln w="19050">
                            <a:solidFill>
                              <a:srgbClr val="000000"/>
                            </a:solidFill>
                            <a:miter lim="800000"/>
                            <a:headEnd/>
                            <a:tailEnd/>
                          </a:ln>
                        </wps:spPr>
                        <wps:txbx>
                          <w:txbxContent>
                            <w:p w14:paraId="73A6011A" w14:textId="77777777" w:rsidR="00A2588D" w:rsidRDefault="00A2588D" w:rsidP="00BE4DCF">
                              <w:pPr>
                                <w:jc w:val="center"/>
                                <w:rPr>
                                  <w:rFonts w:ascii="AcadNusx" w:hAnsi="AcadNusx"/>
                                  <w:b/>
                                  <w:sz w:val="19"/>
                                  <w:szCs w:val="19"/>
                                  <w:lang w:val="en-US"/>
                                </w:rPr>
                              </w:pPr>
                              <w:r>
                                <w:rPr>
                                  <w:rFonts w:ascii="Sylfaen" w:hAnsi="Sylfaen" w:cs="Sylfaen"/>
                                  <w:b/>
                                  <w:sz w:val="19"/>
                                  <w:szCs w:val="19"/>
                                  <w:lang w:val="en-US"/>
                                </w:rPr>
                                <w:t>გეომეტრიული</w:t>
                              </w:r>
                              <w:r>
                                <w:rPr>
                                  <w:rFonts w:ascii="AcadNusx" w:hAnsi="AcadNusx"/>
                                  <w:b/>
                                  <w:sz w:val="19"/>
                                  <w:szCs w:val="19"/>
                                  <w:lang w:val="en-US"/>
                                </w:rPr>
                                <w:t xml:space="preserve"> </w:t>
                              </w:r>
                              <w:r>
                                <w:rPr>
                                  <w:rFonts w:ascii="Sylfaen" w:hAnsi="Sylfaen" w:cs="Sylfaen"/>
                                  <w:b/>
                                  <w:sz w:val="19"/>
                                  <w:szCs w:val="19"/>
                                  <w:lang w:val="en-US"/>
                                </w:rPr>
                                <w:t>ელემენტების</w:t>
                              </w:r>
                              <w:r>
                                <w:rPr>
                                  <w:rFonts w:ascii="AcadNusx" w:hAnsi="AcadNusx"/>
                                  <w:b/>
                                  <w:sz w:val="19"/>
                                  <w:szCs w:val="19"/>
                                  <w:lang w:val="en-US"/>
                                </w:rPr>
                                <w:t xml:space="preserve">  </w:t>
                              </w:r>
                              <w:r>
                                <w:rPr>
                                  <w:rFonts w:ascii="Sylfaen" w:hAnsi="Sylfaen" w:cs="Sylfaen"/>
                                  <w:b/>
                                  <w:sz w:val="19"/>
                                  <w:szCs w:val="19"/>
                                  <w:lang w:val="en-US"/>
                                </w:rPr>
                                <w:t>განსაზღვრა</w:t>
                              </w:r>
                              <w:r>
                                <w:rPr>
                                  <w:rFonts w:ascii="AcadNusx" w:hAnsi="AcadNusx"/>
                                  <w:b/>
                                  <w:sz w:val="19"/>
                                  <w:szCs w:val="19"/>
                                  <w:lang w:val="en-US"/>
                                </w:rPr>
                                <w:t xml:space="preserve"> </w:t>
                              </w:r>
                              <w:r>
                                <w:rPr>
                                  <w:rFonts w:ascii="Sylfaen" w:hAnsi="Sylfaen" w:cs="Sylfaen"/>
                                  <w:b/>
                                  <w:sz w:val="19"/>
                                  <w:szCs w:val="19"/>
                                  <w:lang w:val="en-US"/>
                                </w:rPr>
                                <w:t>გზის</w:t>
                              </w:r>
                              <w:r>
                                <w:rPr>
                                  <w:rFonts w:ascii="AcadNusx" w:hAnsi="AcadNusx"/>
                                  <w:b/>
                                  <w:sz w:val="19"/>
                                  <w:szCs w:val="19"/>
                                  <w:lang w:val="en-US"/>
                                </w:rPr>
                                <w:t xml:space="preserve"> </w:t>
                              </w:r>
                              <w:r>
                                <w:rPr>
                                  <w:rFonts w:ascii="Sylfaen" w:hAnsi="Sylfaen" w:cs="Sylfaen"/>
                                  <w:b/>
                                  <w:sz w:val="19"/>
                                  <w:szCs w:val="19"/>
                                  <w:lang w:val="en-US"/>
                                </w:rPr>
                                <w:t>კატეგორიის</w:t>
                              </w:r>
                              <w:r>
                                <w:rPr>
                                  <w:rFonts w:ascii="AcadNusx" w:hAnsi="AcadNusx"/>
                                  <w:b/>
                                  <w:sz w:val="19"/>
                                  <w:szCs w:val="19"/>
                                  <w:lang w:val="en-US"/>
                                </w:rPr>
                                <w:t xml:space="preserve"> </w:t>
                              </w:r>
                              <w:r>
                                <w:rPr>
                                  <w:rFonts w:ascii="Sylfaen" w:hAnsi="Sylfaen" w:cs="Sylfaen"/>
                                  <w:b/>
                                  <w:sz w:val="19"/>
                                  <w:szCs w:val="19"/>
                                  <w:lang w:val="en-US"/>
                                </w:rPr>
                                <w:t>და</w:t>
                              </w:r>
                              <w:r>
                                <w:rPr>
                                  <w:rFonts w:ascii="AcadNusx" w:hAnsi="AcadNusx"/>
                                  <w:b/>
                                  <w:sz w:val="19"/>
                                  <w:szCs w:val="19"/>
                                  <w:lang w:val="en-US"/>
                                </w:rPr>
                                <w:t xml:space="preserve"> </w:t>
                              </w:r>
                              <w:r>
                                <w:rPr>
                                  <w:rFonts w:ascii="Sylfaen" w:hAnsi="Sylfaen" w:cs="Sylfaen"/>
                                  <w:b/>
                                  <w:sz w:val="19"/>
                                  <w:szCs w:val="19"/>
                                  <w:lang w:val="en-US"/>
                                </w:rPr>
                                <w:t>სხვა</w:t>
                              </w:r>
                              <w:r>
                                <w:rPr>
                                  <w:rFonts w:ascii="AcadNusx" w:hAnsi="AcadNusx"/>
                                  <w:b/>
                                  <w:sz w:val="19"/>
                                  <w:szCs w:val="19"/>
                                  <w:lang w:val="en-US"/>
                                </w:rPr>
                                <w:t xml:space="preserve"> </w:t>
                              </w:r>
                              <w:r>
                                <w:rPr>
                                  <w:rFonts w:ascii="Sylfaen" w:hAnsi="Sylfaen" w:cs="Sylfaen"/>
                                  <w:b/>
                                  <w:sz w:val="19"/>
                                  <w:szCs w:val="19"/>
                                  <w:lang w:val="en-US"/>
                                </w:rPr>
                                <w:t>საწყისი</w:t>
                              </w:r>
                              <w:r>
                                <w:rPr>
                                  <w:rFonts w:ascii="AcadNusx" w:hAnsi="AcadNusx"/>
                                  <w:b/>
                                  <w:sz w:val="19"/>
                                  <w:szCs w:val="19"/>
                                  <w:lang w:val="en-US"/>
                                </w:rPr>
                                <w:t xml:space="preserve"> </w:t>
                              </w:r>
                              <w:r>
                                <w:rPr>
                                  <w:rFonts w:ascii="Sylfaen" w:hAnsi="Sylfaen" w:cs="Sylfaen"/>
                                  <w:b/>
                                  <w:sz w:val="19"/>
                                  <w:szCs w:val="19"/>
                                  <w:lang w:val="en-US"/>
                                </w:rPr>
                                <w:t>მონაცემების</w:t>
                              </w:r>
                              <w:r>
                                <w:rPr>
                                  <w:rFonts w:ascii="AcadNusx" w:hAnsi="AcadNusx"/>
                                  <w:b/>
                                  <w:sz w:val="19"/>
                                  <w:szCs w:val="19"/>
                                  <w:lang w:val="en-US"/>
                                </w:rPr>
                                <w:t xml:space="preserve"> </w:t>
                              </w:r>
                              <w:r>
                                <w:rPr>
                                  <w:rFonts w:ascii="Sylfaen" w:hAnsi="Sylfaen" w:cs="Sylfaen"/>
                                  <w:b/>
                                  <w:sz w:val="19"/>
                                  <w:szCs w:val="19"/>
                                  <w:lang w:val="en-US"/>
                                </w:rPr>
                                <w:t>გათვალისწინებით</w:t>
                              </w:r>
                            </w:p>
                          </w:txbxContent>
                        </wps:txbx>
                        <wps:bodyPr rot="0" vert="horz" wrap="square" lIns="72000" tIns="72000" rIns="0" bIns="0" anchor="t" anchorCtr="0" upright="1">
                          <a:noAutofit/>
                        </wps:bodyPr>
                      </wps:wsp>
                      <wps:wsp>
                        <wps:cNvPr id="51" name="AutoShape 824"/>
                        <wps:cNvCnPr>
                          <a:cxnSpLocks noChangeShapeType="1"/>
                        </wps:cNvCnPr>
                        <wps:spPr bwMode="auto">
                          <a:xfrm>
                            <a:off x="12001" y="7620"/>
                            <a:ext cx="95" cy="1524"/>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 name="Straight Arrow Connector 29"/>
                        <wps:cNvCnPr>
                          <a:cxnSpLocks noChangeShapeType="1"/>
                        </wps:cNvCnPr>
                        <wps:spPr bwMode="auto">
                          <a:xfrm>
                            <a:off x="12096" y="9144"/>
                            <a:ext cx="96" cy="238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3" name="Straight Connector 30"/>
                        <wps:cNvCnPr>
                          <a:cxnSpLocks noChangeShapeType="1"/>
                        </wps:cNvCnPr>
                        <wps:spPr bwMode="auto">
                          <a:xfrm>
                            <a:off x="12192" y="9144"/>
                            <a:ext cx="319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Straight Arrow Connector 224"/>
                        <wps:cNvCnPr>
                          <a:cxnSpLocks noChangeShapeType="1"/>
                        </wps:cNvCnPr>
                        <wps:spPr bwMode="auto">
                          <a:xfrm>
                            <a:off x="12192" y="16097"/>
                            <a:ext cx="95" cy="342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5" name="Straight Arrow Connector 225"/>
                        <wps:cNvCnPr>
                          <a:cxnSpLocks noChangeShapeType="1"/>
                        </wps:cNvCnPr>
                        <wps:spPr bwMode="auto">
                          <a:xfrm>
                            <a:off x="12287" y="24098"/>
                            <a:ext cx="95" cy="3334"/>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6" name="Straight Arrow Connector 226"/>
                        <wps:cNvCnPr>
                          <a:cxnSpLocks noChangeShapeType="1"/>
                        </wps:cNvCnPr>
                        <wps:spPr bwMode="auto">
                          <a:xfrm>
                            <a:off x="36956" y="9144"/>
                            <a:ext cx="287" cy="16383"/>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7E9DF0F0" id="Group 44" o:spid="_x0000_s1026" style="width:446.95pt;height:260.25pt;mso-position-horizontal-relative:char;mso-position-vertical-relative:line" coordorigin=",476" coordsize="56763,33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">
                <v:shapetype id="_x0000_t202" coordsize="21600,21600" o:spt="202" path="m,l,21600r21600,l21600,xe">
                  <v:stroke joinstyle="miter"/>
                  <v:path gradientshapeok="t" o:connecttype="rect"/>
                </v:shapetype>
                <v:shape id="Text Box 11" o:spid="_x0000_s1027" type="#_x0000_t202" style="position:absolute;top:476;width:24955;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" strokeweight="1.5pt">
                  <v:textbox inset="2mm,0,0,0">
                    <w:txbxContent>
                      <w:p w14:paraId="54D2384C" w14:textId="77777777" w:rsidR="00A2588D" w:rsidRDefault="00A2588D" w:rsidP="00BE4DCF">
                        <w:pPr>
                          <w:rPr>
                            <w:rFonts w:ascii="AcadNusx" w:hAnsi="AcadNusx"/>
                            <w:b/>
                            <w:sz w:val="8"/>
                            <w:szCs w:val="8"/>
                          </w:rPr>
                        </w:pPr>
                      </w:p>
                      <w:p w14:paraId="1FC6A99B" w14:textId="77777777" w:rsidR="00A2588D" w:rsidRDefault="00A2588D" w:rsidP="00BE4DCF">
                        <w:pPr>
                          <w:rPr>
                            <w:rFonts w:ascii="AcadNusx" w:hAnsi="AcadNusx"/>
                            <w:b/>
                            <w:sz w:val="20"/>
                            <w:szCs w:val="20"/>
                          </w:rPr>
                        </w:pPr>
                        <w:r>
                          <w:rPr>
                            <w:rFonts w:ascii="Sylfaen" w:hAnsi="Sylfaen"/>
                            <w:b/>
                            <w:sz w:val="20"/>
                            <w:szCs w:val="20"/>
                            <w:lang w:val="ka-GE"/>
                          </w:rPr>
                          <w:t>ფუნქციონალური კლასის განსაზღვრა (საერთაშორისო, შიდასახელმწიფოებრივი, ადგილობრივი)</w:t>
                        </w:r>
                      </w:p>
                    </w:txbxContent>
                  </v:textbox>
                </v:shape>
                <v:shape id="Text Box 12" o:spid="_x0000_s1028" type="#_x0000_t202" style="position:absolute;top:11525;width:2657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" strokeweight="1.5pt">
                  <v:textbox inset="2mm,2mm,0,0">
                    <w:txbxContent>
                      <w:p w14:paraId="23656BAA" w14:textId="77777777" w:rsidR="00A2588D" w:rsidRDefault="00A2588D" w:rsidP="00BE4DCF">
                        <w:pPr>
                          <w:jc w:val="center"/>
                          <w:rPr>
                            <w:rFonts w:ascii="AcadNusx" w:hAnsi="AcadNusx"/>
                            <w:b/>
                            <w:sz w:val="19"/>
                            <w:szCs w:val="19"/>
                            <w:lang w:val="en-US"/>
                          </w:rPr>
                        </w:pPr>
                        <w:r>
                          <w:rPr>
                            <w:rFonts w:ascii="Sylfaen" w:hAnsi="Sylfaen" w:cs="Sylfaen"/>
                            <w:b/>
                            <w:sz w:val="19"/>
                            <w:szCs w:val="19"/>
                            <w:lang w:val="en-US"/>
                          </w:rPr>
                          <w:t>გზის</w:t>
                        </w:r>
                        <w:r>
                          <w:rPr>
                            <w:rFonts w:ascii="AcadNusx" w:hAnsi="AcadNusx"/>
                            <w:b/>
                            <w:sz w:val="19"/>
                            <w:szCs w:val="19"/>
                            <w:lang w:val="en-US"/>
                          </w:rPr>
                          <w:t xml:space="preserve"> </w:t>
                        </w:r>
                        <w:r>
                          <w:rPr>
                            <w:rFonts w:ascii="Sylfaen" w:hAnsi="Sylfaen" w:cs="Sylfaen"/>
                            <w:b/>
                            <w:sz w:val="19"/>
                            <w:szCs w:val="19"/>
                            <w:lang w:val="en-US"/>
                          </w:rPr>
                          <w:t>გარსმომცველი</w:t>
                        </w:r>
                        <w:r>
                          <w:rPr>
                            <w:rFonts w:ascii="AcadNusx" w:hAnsi="AcadNusx"/>
                            <w:b/>
                            <w:sz w:val="19"/>
                            <w:szCs w:val="19"/>
                            <w:lang w:val="en-US"/>
                          </w:rPr>
                          <w:t xml:space="preserve"> </w:t>
                        </w:r>
                        <w:r>
                          <w:rPr>
                            <w:rFonts w:ascii="Sylfaen" w:hAnsi="Sylfaen" w:cs="Sylfaen"/>
                            <w:b/>
                            <w:sz w:val="19"/>
                            <w:szCs w:val="19"/>
                            <w:lang w:val="en-US"/>
                          </w:rPr>
                          <w:t>რელიეფის</w:t>
                        </w:r>
                        <w:r>
                          <w:rPr>
                            <w:rFonts w:ascii="AcadNusx" w:hAnsi="AcadNusx"/>
                            <w:b/>
                            <w:sz w:val="19"/>
                            <w:szCs w:val="19"/>
                            <w:lang w:val="en-US"/>
                          </w:rPr>
                          <w:t xml:space="preserve"> </w:t>
                        </w:r>
                        <w:r>
                          <w:rPr>
                            <w:rFonts w:ascii="Sylfaen" w:hAnsi="Sylfaen" w:cs="Sylfaen"/>
                            <w:b/>
                            <w:sz w:val="19"/>
                            <w:szCs w:val="19"/>
                            <w:lang w:val="en-US"/>
                          </w:rPr>
                          <w:t>განსაზღვრა</w:t>
                        </w:r>
                      </w:p>
                    </w:txbxContent>
                  </v:textbox>
                </v:shape>
                <v:shape id="Text Box 14" o:spid="_x0000_s1029" type="#_x0000_t202" style="position:absolute;top:19526;width:3171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" strokeweight="1.5pt">
                  <v:textbox inset="2mm,2mm,0,0">
                    <w:txbxContent>
                      <w:p w14:paraId="04E00FC2" w14:textId="77777777" w:rsidR="00A2588D" w:rsidRDefault="00A2588D" w:rsidP="00BE4DCF">
                        <w:pPr>
                          <w:rPr>
                            <w:rFonts w:ascii="AcadNusx" w:hAnsi="AcadNusx"/>
                            <w:b/>
                            <w:sz w:val="19"/>
                            <w:szCs w:val="19"/>
                            <w:lang w:val="en-US"/>
                          </w:rPr>
                        </w:pPr>
                        <w:r>
                          <w:rPr>
                            <w:rFonts w:ascii="Sylfaen" w:hAnsi="Sylfaen" w:cs="Sylfaen"/>
                            <w:b/>
                            <w:sz w:val="19"/>
                            <w:szCs w:val="19"/>
                            <w:lang w:val="en-US"/>
                          </w:rPr>
                          <w:t>გზაზე</w:t>
                        </w:r>
                        <w:r>
                          <w:rPr>
                            <w:rFonts w:ascii="AcadNusx" w:hAnsi="AcadNusx"/>
                            <w:b/>
                            <w:sz w:val="19"/>
                            <w:szCs w:val="19"/>
                            <w:lang w:val="en-US"/>
                          </w:rPr>
                          <w:t xml:space="preserve"> </w:t>
                        </w:r>
                        <w:r>
                          <w:rPr>
                            <w:rFonts w:ascii="Sylfaen" w:hAnsi="Sylfaen" w:cs="Sylfaen"/>
                            <w:b/>
                            <w:sz w:val="19"/>
                            <w:szCs w:val="19"/>
                            <w:lang w:val="en-US"/>
                          </w:rPr>
                          <w:t>მოძრაობის</w:t>
                        </w:r>
                        <w:r>
                          <w:rPr>
                            <w:rFonts w:ascii="AcadNusx" w:hAnsi="AcadNusx"/>
                            <w:b/>
                            <w:sz w:val="19"/>
                            <w:szCs w:val="19"/>
                            <w:lang w:val="en-US"/>
                          </w:rPr>
                          <w:t xml:space="preserve"> </w:t>
                        </w:r>
                        <w:r>
                          <w:rPr>
                            <w:rFonts w:ascii="Sylfaen" w:hAnsi="Sylfaen" w:cs="Sylfaen"/>
                            <w:b/>
                            <w:sz w:val="19"/>
                            <w:szCs w:val="19"/>
                            <w:lang w:val="en-US"/>
                          </w:rPr>
                          <w:t>საანგარიშო</w:t>
                        </w:r>
                        <w:r>
                          <w:rPr>
                            <w:rFonts w:ascii="AcadNusx" w:hAnsi="AcadNusx"/>
                            <w:b/>
                            <w:sz w:val="19"/>
                            <w:szCs w:val="19"/>
                            <w:lang w:val="en-US"/>
                          </w:rPr>
                          <w:t xml:space="preserve"> </w:t>
                        </w:r>
                        <w:r>
                          <w:rPr>
                            <w:rFonts w:ascii="Sylfaen" w:hAnsi="Sylfaen" w:cs="Sylfaen"/>
                            <w:b/>
                            <w:sz w:val="19"/>
                            <w:szCs w:val="19"/>
                            <w:lang w:val="en-US"/>
                          </w:rPr>
                          <w:t>სიჩქარის</w:t>
                        </w:r>
                        <w:r>
                          <w:rPr>
                            <w:rFonts w:ascii="AcadNusx" w:hAnsi="AcadNusx"/>
                            <w:b/>
                            <w:sz w:val="19"/>
                            <w:szCs w:val="19"/>
                            <w:lang w:val="en-US"/>
                          </w:rPr>
                          <w:t xml:space="preserve"> </w:t>
                        </w:r>
                        <w:r>
                          <w:rPr>
                            <w:rFonts w:ascii="Sylfaen" w:hAnsi="Sylfaen" w:cs="Sylfaen"/>
                            <w:b/>
                            <w:sz w:val="19"/>
                            <w:szCs w:val="19"/>
                            <w:lang w:val="en-US"/>
                          </w:rPr>
                          <w:t>განსაზღვრა</w:t>
                        </w:r>
                      </w:p>
                    </w:txbxContent>
                  </v:textbox>
                </v:shape>
                <v:shape id="Text Box 15" o:spid="_x0000_s1030" type="#_x0000_t202" style="position:absolute;top:27432;width:24955;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" strokeweight="1.5pt">
                  <v:textbox inset="2mm,2mm,0,0">
                    <w:txbxContent>
                      <w:p w14:paraId="22C94564" w14:textId="77777777" w:rsidR="00A2588D" w:rsidRDefault="00A2588D" w:rsidP="00BE4DCF">
                        <w:pPr>
                          <w:jc w:val="center"/>
                          <w:rPr>
                            <w:rFonts w:ascii="AcadNusx" w:hAnsi="AcadNusx"/>
                            <w:b/>
                            <w:sz w:val="19"/>
                            <w:szCs w:val="19"/>
                            <w:lang w:val="en-US"/>
                          </w:rPr>
                        </w:pPr>
                        <w:r>
                          <w:rPr>
                            <w:rFonts w:ascii="Sylfaen" w:hAnsi="Sylfaen" w:cs="Sylfaen"/>
                            <w:b/>
                            <w:sz w:val="19"/>
                            <w:szCs w:val="19"/>
                            <w:lang w:val="en-US"/>
                          </w:rPr>
                          <w:t>გზის</w:t>
                        </w:r>
                        <w:r>
                          <w:rPr>
                            <w:rFonts w:ascii="AcadNusx" w:hAnsi="AcadNusx"/>
                            <w:b/>
                            <w:sz w:val="19"/>
                            <w:szCs w:val="19"/>
                            <w:lang w:val="en-US"/>
                          </w:rPr>
                          <w:t xml:space="preserve"> </w:t>
                        </w:r>
                        <w:r>
                          <w:rPr>
                            <w:rFonts w:ascii="Sylfaen" w:hAnsi="Sylfaen" w:cs="Sylfaen"/>
                            <w:b/>
                            <w:sz w:val="19"/>
                            <w:szCs w:val="19"/>
                            <w:lang w:val="en-US"/>
                          </w:rPr>
                          <w:t>საანგარიშო</w:t>
                        </w:r>
                        <w:r>
                          <w:rPr>
                            <w:rFonts w:ascii="AcadNusx" w:hAnsi="AcadNusx"/>
                            <w:b/>
                            <w:sz w:val="19"/>
                            <w:szCs w:val="19"/>
                            <w:lang w:val="en-US"/>
                          </w:rPr>
                          <w:t xml:space="preserve"> </w:t>
                        </w:r>
                        <w:r>
                          <w:rPr>
                            <w:rFonts w:ascii="Sylfaen" w:hAnsi="Sylfaen" w:cs="Sylfaen"/>
                            <w:b/>
                            <w:sz w:val="19"/>
                            <w:szCs w:val="19"/>
                            <w:lang w:val="en-US"/>
                          </w:rPr>
                          <w:t>სიჩქარის</w:t>
                        </w:r>
                        <w:r>
                          <w:rPr>
                            <w:rFonts w:ascii="AcadNusx" w:hAnsi="AcadNusx"/>
                            <w:b/>
                            <w:sz w:val="19"/>
                            <w:szCs w:val="19"/>
                            <w:lang w:val="en-US"/>
                          </w:rPr>
                          <w:t xml:space="preserve"> </w:t>
                        </w:r>
                        <w:r>
                          <w:rPr>
                            <w:rFonts w:ascii="Sylfaen" w:hAnsi="Sylfaen" w:cs="Sylfaen"/>
                            <w:b/>
                            <w:sz w:val="19"/>
                            <w:szCs w:val="19"/>
                            <w:lang w:val="en-US"/>
                          </w:rPr>
                          <w:t>შესაბამისი</w:t>
                        </w:r>
                        <w:r>
                          <w:rPr>
                            <w:rFonts w:ascii="AcadNusx" w:hAnsi="AcadNusx"/>
                            <w:b/>
                            <w:sz w:val="19"/>
                            <w:szCs w:val="19"/>
                            <w:lang w:val="en-US"/>
                          </w:rPr>
                          <w:t xml:space="preserve"> </w:t>
                        </w:r>
                        <w:r>
                          <w:rPr>
                            <w:rFonts w:ascii="Sylfaen" w:hAnsi="Sylfaen" w:cs="Sylfaen"/>
                            <w:b/>
                            <w:sz w:val="19"/>
                            <w:szCs w:val="19"/>
                            <w:lang w:val="en-US"/>
                          </w:rPr>
                          <w:t>გეომეტრიული</w:t>
                        </w:r>
                        <w:r>
                          <w:rPr>
                            <w:rFonts w:ascii="AcadNusx" w:hAnsi="AcadNusx"/>
                            <w:b/>
                            <w:sz w:val="19"/>
                            <w:szCs w:val="19"/>
                            <w:lang w:val="en-US"/>
                          </w:rPr>
                          <w:t xml:space="preserve"> </w:t>
                        </w:r>
                        <w:r>
                          <w:rPr>
                            <w:rFonts w:ascii="Sylfaen" w:hAnsi="Sylfaen" w:cs="Sylfaen"/>
                            <w:b/>
                            <w:sz w:val="19"/>
                            <w:szCs w:val="19"/>
                            <w:lang w:val="en-US"/>
                          </w:rPr>
                          <w:t>ელემენტების</w:t>
                        </w:r>
                        <w:r>
                          <w:rPr>
                            <w:rFonts w:ascii="AcadNusx" w:hAnsi="AcadNusx"/>
                            <w:b/>
                            <w:sz w:val="19"/>
                            <w:szCs w:val="19"/>
                            <w:lang w:val="en-US"/>
                          </w:rPr>
                          <w:t xml:space="preserve"> </w:t>
                        </w:r>
                        <w:r>
                          <w:rPr>
                            <w:rFonts w:ascii="Sylfaen" w:hAnsi="Sylfaen" w:cs="Sylfaen"/>
                            <w:b/>
                            <w:sz w:val="19"/>
                            <w:szCs w:val="19"/>
                            <w:lang w:val="en-US"/>
                          </w:rPr>
                          <w:t>განსაზღვრა</w:t>
                        </w:r>
                      </w:p>
                    </w:txbxContent>
                  </v:textbox>
                </v:shape>
                <v:shape id="Text Box 21" o:spid="_x0000_s1031" type="#_x0000_t202" style="position:absolute;left:28194;top:762;width:28569;height:6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" strokeweight="1.5pt">
                  <v:textbox inset="2mm,0,0,0">
                    <w:txbxContent>
                      <w:p w14:paraId="1E77E4D9" w14:textId="77777777" w:rsidR="00A2588D" w:rsidRDefault="00A2588D" w:rsidP="00BE4DCF">
                        <w:pPr>
                          <w:jc w:val="center"/>
                          <w:rPr>
                            <w:rFonts w:ascii="AcadNusx" w:hAnsi="AcadNusx"/>
                            <w:b/>
                            <w:sz w:val="19"/>
                            <w:szCs w:val="19"/>
                            <w:lang w:val="en-US"/>
                          </w:rPr>
                        </w:pPr>
                        <w:r>
                          <w:rPr>
                            <w:rFonts w:ascii="Sylfaen" w:hAnsi="Sylfaen" w:cs="Sylfaen"/>
                            <w:b/>
                            <w:sz w:val="19"/>
                            <w:szCs w:val="19"/>
                            <w:lang w:val="en-US"/>
                          </w:rPr>
                          <w:t>წლიური</w:t>
                        </w:r>
                        <w:r>
                          <w:rPr>
                            <w:rFonts w:ascii="AcadNusx" w:hAnsi="AcadNusx"/>
                            <w:b/>
                            <w:sz w:val="19"/>
                            <w:szCs w:val="19"/>
                            <w:lang w:val="en-US"/>
                          </w:rPr>
                          <w:t xml:space="preserve"> </w:t>
                        </w:r>
                        <w:r>
                          <w:rPr>
                            <w:rFonts w:ascii="Sylfaen" w:hAnsi="Sylfaen" w:cs="Sylfaen"/>
                            <w:b/>
                            <w:sz w:val="19"/>
                            <w:szCs w:val="19"/>
                            <w:lang w:val="en-US"/>
                          </w:rPr>
                          <w:t>საგზაო</w:t>
                        </w:r>
                        <w:r>
                          <w:rPr>
                            <w:rFonts w:ascii="AcadNusx" w:hAnsi="AcadNusx"/>
                            <w:b/>
                            <w:sz w:val="19"/>
                            <w:szCs w:val="19"/>
                            <w:lang w:val="en-US"/>
                          </w:rPr>
                          <w:t xml:space="preserve"> </w:t>
                        </w:r>
                        <w:r>
                          <w:rPr>
                            <w:rFonts w:ascii="Sylfaen" w:hAnsi="Sylfaen" w:cs="Sylfaen"/>
                            <w:b/>
                            <w:sz w:val="19"/>
                            <w:szCs w:val="19"/>
                            <w:lang w:val="en-US"/>
                          </w:rPr>
                          <w:t>მოძრაობის</w:t>
                        </w:r>
                        <w:r>
                          <w:rPr>
                            <w:rFonts w:ascii="AcadNusx" w:hAnsi="AcadNusx"/>
                            <w:b/>
                            <w:sz w:val="19"/>
                            <w:szCs w:val="19"/>
                            <w:lang w:val="en-US"/>
                          </w:rPr>
                          <w:t xml:space="preserve"> </w:t>
                        </w:r>
                      </w:p>
                      <w:p w14:paraId="7893124D" w14:textId="77777777" w:rsidR="00A2588D" w:rsidRDefault="00A2588D" w:rsidP="00BE4DCF">
                        <w:pPr>
                          <w:jc w:val="center"/>
                          <w:rPr>
                            <w:rFonts w:ascii="AcadNusx" w:hAnsi="AcadNusx"/>
                            <w:b/>
                            <w:sz w:val="19"/>
                            <w:szCs w:val="19"/>
                            <w:lang w:val="en-US"/>
                          </w:rPr>
                        </w:pPr>
                        <w:r>
                          <w:rPr>
                            <w:rFonts w:ascii="Sylfaen" w:hAnsi="Sylfaen" w:cs="Sylfaen"/>
                            <w:b/>
                            <w:sz w:val="19"/>
                            <w:szCs w:val="19"/>
                            <w:lang w:val="en-US"/>
                          </w:rPr>
                          <w:t>დღიური</w:t>
                        </w:r>
                        <w:r>
                          <w:rPr>
                            <w:rFonts w:ascii="AcadNusx" w:hAnsi="AcadNusx"/>
                            <w:b/>
                            <w:sz w:val="19"/>
                            <w:szCs w:val="19"/>
                            <w:lang w:val="en-US"/>
                          </w:rPr>
                          <w:t xml:space="preserve"> </w:t>
                        </w:r>
                        <w:r>
                          <w:rPr>
                            <w:rFonts w:ascii="Sylfaen" w:hAnsi="Sylfaen" w:cs="Sylfaen"/>
                            <w:b/>
                            <w:sz w:val="19"/>
                            <w:szCs w:val="19"/>
                            <w:lang w:val="en-US"/>
                          </w:rPr>
                          <w:t>ინტენსიურობის</w:t>
                        </w:r>
                        <w:r>
                          <w:rPr>
                            <w:rFonts w:ascii="AcadNusx" w:hAnsi="AcadNusx"/>
                            <w:b/>
                            <w:sz w:val="19"/>
                            <w:szCs w:val="19"/>
                            <w:lang w:val="en-US"/>
                          </w:rPr>
                          <w:t xml:space="preserve"> </w:t>
                        </w:r>
                      </w:p>
                      <w:p w14:paraId="3D31FA07" w14:textId="77777777" w:rsidR="00A2588D" w:rsidRDefault="00A2588D" w:rsidP="00BE4DCF">
                        <w:pPr>
                          <w:jc w:val="center"/>
                          <w:rPr>
                            <w:rFonts w:ascii="AcadNusx" w:hAnsi="AcadNusx"/>
                            <w:b/>
                            <w:sz w:val="19"/>
                            <w:szCs w:val="19"/>
                            <w:lang w:val="en-US"/>
                          </w:rPr>
                        </w:pPr>
                        <w:r>
                          <w:rPr>
                            <w:rFonts w:ascii="Sylfaen" w:hAnsi="Sylfaen" w:cs="Sylfaen"/>
                            <w:b/>
                            <w:sz w:val="19"/>
                            <w:szCs w:val="19"/>
                            <w:lang w:val="en-US"/>
                          </w:rPr>
                          <w:t>განსაზღვრა</w:t>
                        </w:r>
                        <w:r>
                          <w:rPr>
                            <w:rFonts w:ascii="AcadNusx" w:hAnsi="AcadNusx"/>
                            <w:b/>
                            <w:sz w:val="19"/>
                            <w:szCs w:val="19"/>
                            <w:lang w:val="en-US"/>
                          </w:rPr>
                          <w:t xml:space="preserve"> </w:t>
                        </w:r>
                        <w:r>
                          <w:rPr>
                            <w:rFonts w:ascii="Sylfaen" w:hAnsi="Sylfaen" w:cs="Sylfaen"/>
                            <w:b/>
                            <w:sz w:val="19"/>
                            <w:szCs w:val="19"/>
                            <w:lang w:val="en-US"/>
                          </w:rPr>
                          <w:t>სატრანსპორტო</w:t>
                        </w:r>
                        <w:r>
                          <w:rPr>
                            <w:rFonts w:ascii="AcadNusx" w:hAnsi="AcadNusx"/>
                            <w:b/>
                            <w:sz w:val="19"/>
                            <w:szCs w:val="19"/>
                            <w:lang w:val="en-US"/>
                          </w:rPr>
                          <w:t xml:space="preserve"> </w:t>
                        </w:r>
                      </w:p>
                      <w:p w14:paraId="4151A14E" w14:textId="77777777" w:rsidR="00A2588D" w:rsidRDefault="00A2588D" w:rsidP="00BE4DCF">
                        <w:pPr>
                          <w:jc w:val="center"/>
                          <w:rPr>
                            <w:rFonts w:ascii="AcadNusx" w:hAnsi="AcadNusx"/>
                            <w:b/>
                            <w:sz w:val="19"/>
                            <w:szCs w:val="19"/>
                            <w:lang w:val="en-US"/>
                          </w:rPr>
                        </w:pPr>
                        <w:r>
                          <w:rPr>
                            <w:rFonts w:ascii="Sylfaen" w:hAnsi="Sylfaen" w:cs="Sylfaen"/>
                            <w:b/>
                            <w:sz w:val="19"/>
                            <w:szCs w:val="19"/>
                            <w:lang w:val="en-US"/>
                          </w:rPr>
                          <w:t>ნაკადის</w:t>
                        </w:r>
                        <w:r>
                          <w:rPr>
                            <w:rFonts w:ascii="AcadNusx" w:hAnsi="AcadNusx"/>
                            <w:b/>
                            <w:sz w:val="19"/>
                            <w:szCs w:val="19"/>
                            <w:lang w:val="en-US"/>
                          </w:rPr>
                          <w:t xml:space="preserve"> </w:t>
                        </w:r>
                        <w:r>
                          <w:rPr>
                            <w:rFonts w:ascii="Sylfaen" w:hAnsi="Sylfaen" w:cs="Sylfaen"/>
                            <w:b/>
                            <w:sz w:val="19"/>
                            <w:szCs w:val="19"/>
                            <w:lang w:val="en-US"/>
                          </w:rPr>
                          <w:t>დათვლების</w:t>
                        </w:r>
                        <w:r>
                          <w:rPr>
                            <w:rFonts w:ascii="AcadNusx" w:hAnsi="AcadNusx"/>
                            <w:b/>
                            <w:sz w:val="19"/>
                            <w:szCs w:val="19"/>
                            <w:lang w:val="en-US"/>
                          </w:rPr>
                          <w:t xml:space="preserve"> </w:t>
                        </w:r>
                        <w:r>
                          <w:rPr>
                            <w:rFonts w:ascii="Sylfaen" w:hAnsi="Sylfaen" w:cs="Sylfaen"/>
                            <w:b/>
                            <w:sz w:val="19"/>
                            <w:szCs w:val="19"/>
                            <w:lang w:val="en-US"/>
                          </w:rPr>
                          <w:t>საშუალებით</w:t>
                        </w:r>
                      </w:p>
                    </w:txbxContent>
                  </v:textbox>
                </v:shape>
                <v:shape id="Text Box 26" o:spid="_x0000_s1032" type="#_x0000_t202" style="position:absolute;left:31333;top:25813;width:24956;height:7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" strokeweight="1.5pt">
                  <v:textbox inset="2mm,2mm,0,0">
                    <w:txbxContent>
                      <w:p w14:paraId="73A6011A" w14:textId="77777777" w:rsidR="00A2588D" w:rsidRDefault="00A2588D" w:rsidP="00BE4DCF">
                        <w:pPr>
                          <w:jc w:val="center"/>
                          <w:rPr>
                            <w:rFonts w:ascii="AcadNusx" w:hAnsi="AcadNusx"/>
                            <w:b/>
                            <w:sz w:val="19"/>
                            <w:szCs w:val="19"/>
                            <w:lang w:val="en-US"/>
                          </w:rPr>
                        </w:pPr>
                        <w:r>
                          <w:rPr>
                            <w:rFonts w:ascii="Sylfaen" w:hAnsi="Sylfaen" w:cs="Sylfaen"/>
                            <w:b/>
                            <w:sz w:val="19"/>
                            <w:szCs w:val="19"/>
                            <w:lang w:val="en-US"/>
                          </w:rPr>
                          <w:t>გეომეტრიული</w:t>
                        </w:r>
                        <w:r>
                          <w:rPr>
                            <w:rFonts w:ascii="AcadNusx" w:hAnsi="AcadNusx"/>
                            <w:b/>
                            <w:sz w:val="19"/>
                            <w:szCs w:val="19"/>
                            <w:lang w:val="en-US"/>
                          </w:rPr>
                          <w:t xml:space="preserve"> </w:t>
                        </w:r>
                        <w:r>
                          <w:rPr>
                            <w:rFonts w:ascii="Sylfaen" w:hAnsi="Sylfaen" w:cs="Sylfaen"/>
                            <w:b/>
                            <w:sz w:val="19"/>
                            <w:szCs w:val="19"/>
                            <w:lang w:val="en-US"/>
                          </w:rPr>
                          <w:t>ელემენტების</w:t>
                        </w:r>
                        <w:r>
                          <w:rPr>
                            <w:rFonts w:ascii="AcadNusx" w:hAnsi="AcadNusx"/>
                            <w:b/>
                            <w:sz w:val="19"/>
                            <w:szCs w:val="19"/>
                            <w:lang w:val="en-US"/>
                          </w:rPr>
                          <w:t xml:space="preserve">  </w:t>
                        </w:r>
                        <w:r>
                          <w:rPr>
                            <w:rFonts w:ascii="Sylfaen" w:hAnsi="Sylfaen" w:cs="Sylfaen"/>
                            <w:b/>
                            <w:sz w:val="19"/>
                            <w:szCs w:val="19"/>
                            <w:lang w:val="en-US"/>
                          </w:rPr>
                          <w:t>განსაზღვრა</w:t>
                        </w:r>
                        <w:r>
                          <w:rPr>
                            <w:rFonts w:ascii="AcadNusx" w:hAnsi="AcadNusx"/>
                            <w:b/>
                            <w:sz w:val="19"/>
                            <w:szCs w:val="19"/>
                            <w:lang w:val="en-US"/>
                          </w:rPr>
                          <w:t xml:space="preserve"> </w:t>
                        </w:r>
                        <w:r>
                          <w:rPr>
                            <w:rFonts w:ascii="Sylfaen" w:hAnsi="Sylfaen" w:cs="Sylfaen"/>
                            <w:b/>
                            <w:sz w:val="19"/>
                            <w:szCs w:val="19"/>
                            <w:lang w:val="en-US"/>
                          </w:rPr>
                          <w:t>გზის</w:t>
                        </w:r>
                        <w:r>
                          <w:rPr>
                            <w:rFonts w:ascii="AcadNusx" w:hAnsi="AcadNusx"/>
                            <w:b/>
                            <w:sz w:val="19"/>
                            <w:szCs w:val="19"/>
                            <w:lang w:val="en-US"/>
                          </w:rPr>
                          <w:t xml:space="preserve"> </w:t>
                        </w:r>
                        <w:r>
                          <w:rPr>
                            <w:rFonts w:ascii="Sylfaen" w:hAnsi="Sylfaen" w:cs="Sylfaen"/>
                            <w:b/>
                            <w:sz w:val="19"/>
                            <w:szCs w:val="19"/>
                            <w:lang w:val="en-US"/>
                          </w:rPr>
                          <w:t>კატეგორიის</w:t>
                        </w:r>
                        <w:r>
                          <w:rPr>
                            <w:rFonts w:ascii="AcadNusx" w:hAnsi="AcadNusx"/>
                            <w:b/>
                            <w:sz w:val="19"/>
                            <w:szCs w:val="19"/>
                            <w:lang w:val="en-US"/>
                          </w:rPr>
                          <w:t xml:space="preserve"> </w:t>
                        </w:r>
                        <w:r>
                          <w:rPr>
                            <w:rFonts w:ascii="Sylfaen" w:hAnsi="Sylfaen" w:cs="Sylfaen"/>
                            <w:b/>
                            <w:sz w:val="19"/>
                            <w:szCs w:val="19"/>
                            <w:lang w:val="en-US"/>
                          </w:rPr>
                          <w:t>და</w:t>
                        </w:r>
                        <w:r>
                          <w:rPr>
                            <w:rFonts w:ascii="AcadNusx" w:hAnsi="AcadNusx"/>
                            <w:b/>
                            <w:sz w:val="19"/>
                            <w:szCs w:val="19"/>
                            <w:lang w:val="en-US"/>
                          </w:rPr>
                          <w:t xml:space="preserve"> </w:t>
                        </w:r>
                        <w:r>
                          <w:rPr>
                            <w:rFonts w:ascii="Sylfaen" w:hAnsi="Sylfaen" w:cs="Sylfaen"/>
                            <w:b/>
                            <w:sz w:val="19"/>
                            <w:szCs w:val="19"/>
                            <w:lang w:val="en-US"/>
                          </w:rPr>
                          <w:t>სხვა</w:t>
                        </w:r>
                        <w:r>
                          <w:rPr>
                            <w:rFonts w:ascii="AcadNusx" w:hAnsi="AcadNusx"/>
                            <w:b/>
                            <w:sz w:val="19"/>
                            <w:szCs w:val="19"/>
                            <w:lang w:val="en-US"/>
                          </w:rPr>
                          <w:t xml:space="preserve"> </w:t>
                        </w:r>
                        <w:r>
                          <w:rPr>
                            <w:rFonts w:ascii="Sylfaen" w:hAnsi="Sylfaen" w:cs="Sylfaen"/>
                            <w:b/>
                            <w:sz w:val="19"/>
                            <w:szCs w:val="19"/>
                            <w:lang w:val="en-US"/>
                          </w:rPr>
                          <w:t>საწყისი</w:t>
                        </w:r>
                        <w:r>
                          <w:rPr>
                            <w:rFonts w:ascii="AcadNusx" w:hAnsi="AcadNusx"/>
                            <w:b/>
                            <w:sz w:val="19"/>
                            <w:szCs w:val="19"/>
                            <w:lang w:val="en-US"/>
                          </w:rPr>
                          <w:t xml:space="preserve"> </w:t>
                        </w:r>
                        <w:r>
                          <w:rPr>
                            <w:rFonts w:ascii="Sylfaen" w:hAnsi="Sylfaen" w:cs="Sylfaen"/>
                            <w:b/>
                            <w:sz w:val="19"/>
                            <w:szCs w:val="19"/>
                            <w:lang w:val="en-US"/>
                          </w:rPr>
                          <w:t>მონაცემების</w:t>
                        </w:r>
                        <w:r>
                          <w:rPr>
                            <w:rFonts w:ascii="AcadNusx" w:hAnsi="AcadNusx"/>
                            <w:b/>
                            <w:sz w:val="19"/>
                            <w:szCs w:val="19"/>
                            <w:lang w:val="en-US"/>
                          </w:rPr>
                          <w:t xml:space="preserve"> </w:t>
                        </w:r>
                        <w:r>
                          <w:rPr>
                            <w:rFonts w:ascii="Sylfaen" w:hAnsi="Sylfaen" w:cs="Sylfaen"/>
                            <w:b/>
                            <w:sz w:val="19"/>
                            <w:szCs w:val="19"/>
                            <w:lang w:val="en-US"/>
                          </w:rPr>
                          <w:t>გათვალისწინებით</w:t>
                        </w:r>
                      </w:p>
                    </w:txbxContent>
                  </v:textbox>
                </v:shape>
                <v:shapetype id="_x0000_t32" coordsize="21600,21600" o:spt="32" o:oned="t" path="m,l21600,21600e" filled="f">
                  <v:path arrowok="t" fillok="f" o:connecttype="none"/>
                  <o:lock v:ext="edit" shapetype="t"/>
                </v:shapetype>
                <v:shape id="AutoShape 824" o:spid="_x0000_s1033" type="#_x0000_t32" style="position:absolute;left:12001;top:7620;width:95;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">
                  <v:stroke endarrow="open"/>
                </v:shape>
                <v:shape id="Straight Arrow Connector 29" o:spid="_x0000_s1034" type="#_x0000_t32" style="position:absolute;left:12096;top:9144;width:96;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">
                  <v:stroke endarrow="open"/>
                </v:shape>
                <v:line id="Straight Connector 30" o:spid="_x0000_s1035" style="position:absolute;visibility:visible;mso-wrap-style:square" from="12192,9144" to="4410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xgAAANsAAAAPAAAAZHJzL2Rvd25yZXYueG1sRI9Pa8JA&#10;FMTvgt9heUJvurHS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3ZksP8YAAADbAAAA&#10;DwAAAAAAAAAAAAAAAAAHAgAAZHJzL2Rvd25yZXYueG1sUEsFBgAAAAADAAMAtwAAAPoCAAAAAA==&#10;"/>
                <v:shape id="Straight Arrow Connector 224" o:spid="_x0000_s1036" type="#_x0000_t32" style="position:absolute;left:12192;top:16097;width:95;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">
                  <v:stroke endarrow="open"/>
                </v:shape>
                <v:shape id="Straight Arrow Connector 225" o:spid="_x0000_s1037" type="#_x0000_t32" style="position:absolute;left:12287;top:24098;width:95;height:3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">
                  <v:stroke endarrow="open"/>
                </v:shape>
                <v:shape id="Straight Arrow Connector 226" o:spid="_x0000_s1038" type="#_x0000_t32" style="position:absolute;left:36956;top:9144;width:287;height:163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">
                  <v:stroke endarrow="open"/>
                </v:shape>
                <w10:anchorlock/>
              </v:group>
            </w:pict>
          </mc:Fallback>
        </mc:AlternateContent>
      </w:r>
    </w:p>
    <w:p w14:paraId="29EE467D" w14:textId="06C685F0" w:rsidR="00CE27E5" w:rsidRPr="00A81BE8" w:rsidRDefault="004D31A1" w:rsidP="00CE27E5">
      <w:pPr>
        <w:spacing w:before="200" w:after="200"/>
        <w:rPr>
          <w:rFonts w:ascii="Sylfaen" w:hAnsi="Sylfaen"/>
          <w:sz w:val="18"/>
          <w:szCs w:val="16"/>
          <w:lang w:val="de-DE"/>
        </w:rPr>
      </w:pPr>
      <w:r>
        <w:rPr>
          <w:rFonts w:ascii="Sylfaen" w:hAnsi="Sylfaen"/>
          <w:sz w:val="18"/>
          <w:szCs w:val="16"/>
          <w:lang w:val="de-DE"/>
        </w:rPr>
        <w:t>სურათი</w:t>
      </w:r>
      <w:r w:rsidR="00915446" w:rsidRPr="00A81BE8">
        <w:rPr>
          <w:rFonts w:ascii="Sylfaen" w:hAnsi="Sylfaen"/>
          <w:sz w:val="18"/>
          <w:szCs w:val="16"/>
          <w:lang w:val="de-DE"/>
        </w:rPr>
        <w:t>. 4</w:t>
      </w:r>
      <w:r w:rsidR="00142B71">
        <w:rPr>
          <w:rFonts w:ascii="Sylfaen" w:hAnsi="Sylfaen"/>
          <w:sz w:val="18"/>
          <w:szCs w:val="16"/>
          <w:lang w:val="ka-GE"/>
        </w:rPr>
        <w:t>.1.1</w:t>
      </w:r>
      <w:r>
        <w:rPr>
          <w:rFonts w:ascii="Sylfaen" w:hAnsi="Sylfaen"/>
          <w:sz w:val="18"/>
          <w:szCs w:val="16"/>
          <w:lang w:val="de-DE"/>
        </w:rPr>
        <w:t>-</w:t>
      </w:r>
      <w:r w:rsidR="00CE27E5" w:rsidRPr="00A81BE8">
        <w:rPr>
          <w:rFonts w:ascii="Sylfaen" w:hAnsi="Sylfaen"/>
          <w:sz w:val="18"/>
          <w:szCs w:val="16"/>
          <w:lang w:val="de-DE"/>
        </w:rPr>
        <w:t>1 ბლოკ-სქემა დიზაინის პარამეტრების შესარჩევად</w:t>
      </w:r>
    </w:p>
    <w:p w14:paraId="3512F850" w14:textId="77777777" w:rsidR="00CE27E5" w:rsidRPr="002B616A" w:rsidRDefault="00CE27E5" w:rsidP="00CE27E5">
      <w:pPr>
        <w:spacing w:before="200" w:after="200"/>
        <w:rPr>
          <w:rFonts w:ascii="Sylfaen" w:hAnsi="Sylfaen"/>
          <w:sz w:val="16"/>
          <w:szCs w:val="16"/>
          <w:lang w:val="de-DE"/>
        </w:rPr>
      </w:pPr>
      <w:r w:rsidRPr="002B616A">
        <w:rPr>
          <w:rFonts w:ascii="Sylfaen" w:hAnsi="Sylfaen"/>
          <w:sz w:val="16"/>
          <w:szCs w:val="16"/>
          <w:lang w:val="de-DE"/>
        </w:rPr>
        <w:t>წყარო: საქართველოს ეროვნული სტანდარტები, SST გზები 2009</w:t>
      </w:r>
    </w:p>
    <w:p w14:paraId="33CCD2CE" w14:textId="77777777" w:rsidR="00CE27E5" w:rsidRPr="00CE27E5" w:rsidRDefault="00CE27E5" w:rsidP="001D2B74">
      <w:pPr>
        <w:spacing w:before="120" w:after="120"/>
        <w:rPr>
          <w:rFonts w:ascii="Sylfaen" w:hAnsi="Sylfaen" w:cs="Times"/>
          <w:lang w:val="de-DE"/>
        </w:rPr>
      </w:pPr>
      <w:r w:rsidRPr="00CE27E5">
        <w:rPr>
          <w:rFonts w:ascii="Sylfaen" w:hAnsi="Sylfaen"/>
          <w:lang w:val="de-DE"/>
        </w:rPr>
        <w:t xml:space="preserve">რელიეფი (terrain) </w:t>
      </w:r>
      <w:r w:rsidRPr="00CE27E5">
        <w:rPr>
          <w:rFonts w:ascii="Sylfaen" w:hAnsi="Sylfaen"/>
        </w:rPr>
        <w:t>პროექტში</w:t>
      </w:r>
      <w:r w:rsidRPr="00CE27E5">
        <w:rPr>
          <w:rFonts w:ascii="Sylfaen" w:hAnsi="Sylfaen"/>
          <w:lang w:val="de-DE"/>
        </w:rPr>
        <w:t xml:space="preserve"> </w:t>
      </w:r>
      <w:r w:rsidRPr="00CE27E5">
        <w:rPr>
          <w:rFonts w:ascii="Sylfaen" w:hAnsi="Sylfaen"/>
        </w:rPr>
        <w:t>იგულისხმება</w:t>
      </w:r>
      <w:r w:rsidRPr="00CE27E5">
        <w:rPr>
          <w:rFonts w:ascii="Sylfaen" w:hAnsi="Sylfaen"/>
          <w:lang w:val="de-DE"/>
        </w:rPr>
        <w:t xml:space="preserve"> </w:t>
      </w:r>
      <w:r w:rsidRPr="00CE27E5">
        <w:rPr>
          <w:rFonts w:ascii="Sylfaen" w:hAnsi="Sylfaen"/>
        </w:rPr>
        <w:t>როგორც</w:t>
      </w:r>
      <w:r w:rsidRPr="00CE27E5">
        <w:rPr>
          <w:rFonts w:ascii="Sylfaen" w:hAnsi="Sylfaen"/>
          <w:lang w:val="de-DE"/>
        </w:rPr>
        <w:t xml:space="preserve"> </w:t>
      </w:r>
      <w:r w:rsidRPr="00CE27E5">
        <w:rPr>
          <w:rFonts w:ascii="Sylfaen" w:hAnsi="Sylfaen"/>
        </w:rPr>
        <w:t>ბრტყელი</w:t>
      </w:r>
      <w:r w:rsidRPr="00CE27E5">
        <w:rPr>
          <w:rFonts w:ascii="Sylfaen" w:hAnsi="Sylfaen"/>
          <w:lang w:val="de-DE"/>
        </w:rPr>
        <w:t xml:space="preserve"> </w:t>
      </w:r>
      <w:r w:rsidRPr="00CE27E5">
        <w:rPr>
          <w:rFonts w:ascii="Sylfaen" w:hAnsi="Sylfaen"/>
        </w:rPr>
        <w:t>ტერიტორია</w:t>
      </w:r>
      <w:r w:rsidRPr="00CE27E5">
        <w:rPr>
          <w:rFonts w:ascii="Sylfaen" w:hAnsi="Sylfaen"/>
          <w:lang w:val="de-DE"/>
        </w:rPr>
        <w:t xml:space="preserve">. </w:t>
      </w:r>
      <w:r w:rsidRPr="00CE27E5">
        <w:rPr>
          <w:rFonts w:ascii="Sylfaen" w:hAnsi="Sylfaen"/>
        </w:rPr>
        <w:t>რაც</w:t>
      </w:r>
      <w:r w:rsidRPr="00CE27E5">
        <w:rPr>
          <w:rFonts w:ascii="Sylfaen" w:hAnsi="Sylfaen"/>
          <w:lang w:val="de-DE"/>
        </w:rPr>
        <w:t xml:space="preserve"> </w:t>
      </w:r>
      <w:r w:rsidRPr="00CE27E5">
        <w:rPr>
          <w:rFonts w:ascii="Sylfaen" w:hAnsi="Sylfaen"/>
        </w:rPr>
        <w:t>შეეხება</w:t>
      </w:r>
      <w:r w:rsidRPr="00CE27E5">
        <w:rPr>
          <w:rFonts w:ascii="Sylfaen" w:hAnsi="Sylfaen"/>
          <w:lang w:val="de-DE"/>
        </w:rPr>
        <w:t xml:space="preserve"> </w:t>
      </w:r>
      <w:r w:rsidRPr="00CE27E5">
        <w:rPr>
          <w:rFonts w:ascii="Sylfaen" w:hAnsi="Sylfaen"/>
        </w:rPr>
        <w:t>საქართველოს</w:t>
      </w:r>
      <w:r w:rsidRPr="00CE27E5">
        <w:rPr>
          <w:rFonts w:ascii="Sylfaen" w:hAnsi="Sylfaen"/>
          <w:lang w:val="de-DE"/>
        </w:rPr>
        <w:t xml:space="preserve"> </w:t>
      </w:r>
      <w:r w:rsidRPr="00CE27E5">
        <w:rPr>
          <w:rFonts w:ascii="Sylfaen" w:hAnsi="Sylfaen"/>
        </w:rPr>
        <w:t>სტანდარტს</w:t>
      </w:r>
      <w:r w:rsidRPr="00CE27E5">
        <w:rPr>
          <w:rFonts w:ascii="Sylfaen" w:hAnsi="Sylfaen"/>
          <w:lang w:val="de-DE"/>
        </w:rPr>
        <w:t xml:space="preserve">, (flat terrain) </w:t>
      </w:r>
      <w:r w:rsidRPr="00CE27E5">
        <w:rPr>
          <w:rFonts w:ascii="Sylfaen" w:hAnsi="Sylfaen"/>
        </w:rPr>
        <w:t>ბრტყელი</w:t>
      </w:r>
      <w:r w:rsidRPr="00CE27E5">
        <w:rPr>
          <w:rFonts w:ascii="Sylfaen" w:hAnsi="Sylfaen"/>
          <w:lang w:val="de-DE"/>
        </w:rPr>
        <w:t xml:space="preserve"> </w:t>
      </w:r>
      <w:r w:rsidRPr="00CE27E5">
        <w:rPr>
          <w:rFonts w:ascii="Sylfaen" w:hAnsi="Sylfaen"/>
        </w:rPr>
        <w:t>ტერიტორია</w:t>
      </w:r>
      <w:r w:rsidRPr="00CE27E5">
        <w:rPr>
          <w:rFonts w:ascii="Sylfaen" w:hAnsi="Sylfaen"/>
          <w:lang w:val="de-DE"/>
        </w:rPr>
        <w:t xml:space="preserve"> </w:t>
      </w:r>
      <w:r w:rsidRPr="00CE27E5">
        <w:rPr>
          <w:rFonts w:ascii="Sylfaen" w:hAnsi="Sylfaen"/>
        </w:rPr>
        <w:t>ხასიათდება</w:t>
      </w:r>
      <w:r w:rsidRPr="00CE27E5">
        <w:rPr>
          <w:rFonts w:ascii="Sylfaen" w:hAnsi="Sylfaen"/>
          <w:lang w:val="de-DE"/>
        </w:rPr>
        <w:t xml:space="preserve"> </w:t>
      </w:r>
      <w:r w:rsidRPr="00CE27E5">
        <w:rPr>
          <w:rFonts w:ascii="Sylfaen" w:hAnsi="Sylfaen"/>
        </w:rPr>
        <w:t>ბუნებრივი</w:t>
      </w:r>
      <w:r w:rsidRPr="00CE27E5">
        <w:rPr>
          <w:rFonts w:ascii="Sylfaen" w:hAnsi="Sylfaen"/>
          <w:lang w:val="de-DE"/>
        </w:rPr>
        <w:t xml:space="preserve"> </w:t>
      </w:r>
      <w:r w:rsidRPr="00CE27E5">
        <w:rPr>
          <w:rFonts w:ascii="Sylfaen" w:hAnsi="Sylfaen"/>
        </w:rPr>
        <w:t>ფერდობის</w:t>
      </w:r>
      <w:r w:rsidRPr="00CE27E5">
        <w:rPr>
          <w:rFonts w:ascii="Sylfaen" w:hAnsi="Sylfaen"/>
          <w:lang w:val="de-DE"/>
        </w:rPr>
        <w:t xml:space="preserve"> </w:t>
      </w:r>
      <w:r w:rsidRPr="00CE27E5">
        <w:rPr>
          <w:rFonts w:ascii="Sylfaen" w:hAnsi="Sylfaen"/>
        </w:rPr>
        <w:t>კოეფიციენტით</w:t>
      </w:r>
      <w:r w:rsidRPr="00CE27E5">
        <w:rPr>
          <w:rFonts w:ascii="Sylfaen" w:hAnsi="Sylfaen"/>
          <w:lang w:val="de-DE"/>
        </w:rPr>
        <w:t xml:space="preserve"> 1:10-</w:t>
      </w:r>
      <w:r w:rsidRPr="00CE27E5">
        <w:rPr>
          <w:rFonts w:ascii="Sylfaen" w:hAnsi="Sylfaen"/>
        </w:rPr>
        <w:t>ზე</w:t>
      </w:r>
      <w:r w:rsidRPr="00CE27E5">
        <w:rPr>
          <w:rFonts w:ascii="Sylfaen" w:hAnsi="Sylfaen"/>
          <w:lang w:val="de-DE"/>
        </w:rPr>
        <w:t xml:space="preserve"> </w:t>
      </w:r>
      <w:r w:rsidRPr="00CE27E5">
        <w:rPr>
          <w:rFonts w:ascii="Sylfaen" w:hAnsi="Sylfaen"/>
        </w:rPr>
        <w:t>ნაკლები</w:t>
      </w:r>
      <w:r w:rsidRPr="00CE27E5">
        <w:rPr>
          <w:rFonts w:ascii="Sylfaen" w:hAnsi="Sylfaen"/>
          <w:lang w:val="de-DE"/>
        </w:rPr>
        <w:t xml:space="preserve"> </w:t>
      </w:r>
      <w:r w:rsidRPr="00CE27E5">
        <w:rPr>
          <w:rFonts w:ascii="Sylfaen" w:hAnsi="Sylfaen"/>
        </w:rPr>
        <w:t>და</w:t>
      </w:r>
      <w:r w:rsidRPr="00CE27E5">
        <w:rPr>
          <w:rFonts w:ascii="Sylfaen" w:hAnsi="Sylfaen"/>
          <w:lang w:val="de-DE"/>
        </w:rPr>
        <w:t xml:space="preserve"> </w:t>
      </w:r>
      <w:r w:rsidRPr="00CE27E5">
        <w:rPr>
          <w:rFonts w:ascii="Sylfaen" w:hAnsi="Sylfaen"/>
        </w:rPr>
        <w:t>ბუნებრივი</w:t>
      </w:r>
      <w:r w:rsidRPr="00CE27E5">
        <w:rPr>
          <w:rFonts w:ascii="Sylfaen" w:hAnsi="Sylfaen"/>
          <w:lang w:val="de-DE"/>
        </w:rPr>
        <w:t xml:space="preserve"> </w:t>
      </w:r>
      <w:r w:rsidRPr="00CE27E5">
        <w:rPr>
          <w:rFonts w:ascii="Sylfaen" w:hAnsi="Sylfaen"/>
        </w:rPr>
        <w:t>განსხვავება</w:t>
      </w:r>
      <w:r w:rsidRPr="00CE27E5">
        <w:rPr>
          <w:rFonts w:ascii="Sylfaen" w:hAnsi="Sylfaen"/>
          <w:lang w:val="de-DE"/>
        </w:rPr>
        <w:t xml:space="preserve"> </w:t>
      </w:r>
      <w:r w:rsidRPr="00CE27E5">
        <w:rPr>
          <w:rFonts w:ascii="Sylfaen" w:hAnsi="Sylfaen"/>
        </w:rPr>
        <w:t>სიმაღლეში</w:t>
      </w:r>
      <w:r w:rsidRPr="00CE27E5">
        <w:rPr>
          <w:rFonts w:ascii="Sylfaen" w:hAnsi="Sylfaen"/>
          <w:lang w:val="de-DE"/>
        </w:rPr>
        <w:t xml:space="preserve"> </w:t>
      </w:r>
      <w:r w:rsidRPr="00CE27E5">
        <w:rPr>
          <w:rFonts w:ascii="Sylfaen" w:hAnsi="Sylfaen"/>
        </w:rPr>
        <w:t>კილომეტრზე</w:t>
      </w:r>
      <w:r w:rsidRPr="00CE27E5">
        <w:rPr>
          <w:rFonts w:ascii="Sylfaen" w:hAnsi="Sylfaen"/>
          <w:lang w:val="de-DE"/>
        </w:rPr>
        <w:t xml:space="preserve"> 30 </w:t>
      </w:r>
      <w:r w:rsidRPr="00CE27E5">
        <w:rPr>
          <w:rFonts w:ascii="Sylfaen" w:hAnsi="Sylfaen"/>
        </w:rPr>
        <w:t>მ</w:t>
      </w:r>
      <w:r w:rsidRPr="00CE27E5">
        <w:rPr>
          <w:rFonts w:ascii="Sylfaen" w:hAnsi="Sylfaen"/>
          <w:lang w:val="de-DE"/>
        </w:rPr>
        <w:t>-</w:t>
      </w:r>
      <w:r w:rsidRPr="00CE27E5">
        <w:rPr>
          <w:rFonts w:ascii="Sylfaen" w:hAnsi="Sylfaen"/>
        </w:rPr>
        <w:t>ზე</w:t>
      </w:r>
      <w:r w:rsidRPr="00CE27E5">
        <w:rPr>
          <w:rFonts w:ascii="Sylfaen" w:hAnsi="Sylfaen"/>
          <w:lang w:val="de-DE"/>
        </w:rPr>
        <w:t xml:space="preserve"> </w:t>
      </w:r>
      <w:r w:rsidRPr="00CE27E5">
        <w:rPr>
          <w:rFonts w:ascii="Sylfaen" w:hAnsi="Sylfaen"/>
        </w:rPr>
        <w:t>ნაკლებია</w:t>
      </w:r>
      <w:r w:rsidRPr="00CE27E5">
        <w:rPr>
          <w:rFonts w:ascii="Sylfaen" w:hAnsi="Sylfaen"/>
          <w:lang w:val="de-DE"/>
        </w:rPr>
        <w:t>..</w:t>
      </w:r>
    </w:p>
    <w:p w14:paraId="53BFF616" w14:textId="77777777" w:rsidR="00CE27E5" w:rsidRPr="00CE27E5" w:rsidRDefault="00CE27E5" w:rsidP="001D2B74">
      <w:pPr>
        <w:spacing w:before="120" w:after="120"/>
        <w:rPr>
          <w:rFonts w:ascii="Sylfaen" w:hAnsi="Sylfaen"/>
          <w:lang w:val="de-DE"/>
        </w:rPr>
      </w:pPr>
      <w:r w:rsidRPr="00CE27E5">
        <w:rPr>
          <w:rFonts w:ascii="Sylfaen" w:hAnsi="Sylfaen"/>
        </w:rPr>
        <w:t>ფუნქციონალური</w:t>
      </w:r>
      <w:r w:rsidRPr="00CE27E5">
        <w:rPr>
          <w:rFonts w:ascii="Sylfaen" w:hAnsi="Sylfaen"/>
          <w:lang w:val="de-DE"/>
        </w:rPr>
        <w:t xml:space="preserve"> </w:t>
      </w:r>
      <w:r w:rsidRPr="00CE27E5">
        <w:rPr>
          <w:rFonts w:ascii="Sylfaen" w:hAnsi="Sylfaen"/>
        </w:rPr>
        <w:t>კლასიფიკაციის</w:t>
      </w:r>
      <w:r w:rsidRPr="00CE27E5">
        <w:rPr>
          <w:rFonts w:ascii="Sylfaen" w:hAnsi="Sylfaen"/>
          <w:lang w:val="de-DE"/>
        </w:rPr>
        <w:t xml:space="preserve"> </w:t>
      </w:r>
      <w:r w:rsidRPr="00CE27E5">
        <w:rPr>
          <w:rFonts w:ascii="Sylfaen" w:hAnsi="Sylfaen"/>
        </w:rPr>
        <w:t>და</w:t>
      </w:r>
      <w:r w:rsidRPr="00CE27E5">
        <w:rPr>
          <w:rFonts w:ascii="Sylfaen" w:hAnsi="Sylfaen"/>
          <w:lang w:val="de-DE"/>
        </w:rPr>
        <w:t xml:space="preserve"> </w:t>
      </w:r>
      <w:r w:rsidRPr="00CE27E5">
        <w:rPr>
          <w:rFonts w:ascii="Sylfaen" w:hAnsi="Sylfaen"/>
        </w:rPr>
        <w:t>რელიეფის</w:t>
      </w:r>
      <w:r w:rsidRPr="00CE27E5">
        <w:rPr>
          <w:rFonts w:ascii="Sylfaen" w:hAnsi="Sylfaen"/>
          <w:lang w:val="de-DE"/>
        </w:rPr>
        <w:t xml:space="preserve"> (terrain type) განსხვავებით დიზაინის სიჩქარე დაყენებული უნდა იყოს, როგორც 100 კმ/ს მონაკვეთებისათის AADT-თან უფრო ნაკლები ვიდრე 8,000 სატრანსპორტო საშუალება.</w:t>
      </w:r>
    </w:p>
    <w:p w14:paraId="06508E40" w14:textId="77777777" w:rsidR="00CE27E5" w:rsidRPr="00CE27E5" w:rsidRDefault="00CE27E5" w:rsidP="001D2B74">
      <w:pPr>
        <w:spacing w:before="120" w:after="120"/>
        <w:rPr>
          <w:rFonts w:ascii="Sylfaen" w:hAnsi="Sylfaen"/>
          <w:lang w:val="de-DE"/>
        </w:rPr>
      </w:pPr>
      <w:r w:rsidRPr="00CE27E5">
        <w:rPr>
          <w:rFonts w:ascii="Sylfaen" w:hAnsi="Sylfaen"/>
        </w:rPr>
        <w:t>თუმცა</w:t>
      </w:r>
      <w:r w:rsidRPr="00CE27E5">
        <w:rPr>
          <w:rFonts w:ascii="Sylfaen" w:hAnsi="Sylfaen"/>
          <w:lang w:val="de-DE"/>
        </w:rPr>
        <w:t xml:space="preserve">, </w:t>
      </w:r>
      <w:r w:rsidRPr="00CE27E5">
        <w:rPr>
          <w:rFonts w:ascii="Sylfaen" w:hAnsi="Sylfaen"/>
        </w:rPr>
        <w:t>უნდა</w:t>
      </w:r>
      <w:r w:rsidRPr="00CE27E5">
        <w:rPr>
          <w:rFonts w:ascii="Sylfaen" w:hAnsi="Sylfaen"/>
          <w:lang w:val="de-DE"/>
        </w:rPr>
        <w:t xml:space="preserve"> </w:t>
      </w:r>
      <w:r w:rsidRPr="00CE27E5">
        <w:rPr>
          <w:rFonts w:ascii="Sylfaen" w:hAnsi="Sylfaen"/>
        </w:rPr>
        <w:t>აღინიშნოს</w:t>
      </w:r>
      <w:r w:rsidRPr="00CE27E5">
        <w:rPr>
          <w:rFonts w:ascii="Sylfaen" w:hAnsi="Sylfaen"/>
          <w:lang w:val="de-DE"/>
        </w:rPr>
        <w:t xml:space="preserve">, </w:t>
      </w:r>
      <w:r w:rsidRPr="00CE27E5">
        <w:rPr>
          <w:rFonts w:ascii="Sylfaen" w:hAnsi="Sylfaen"/>
        </w:rPr>
        <w:t>რომ</w:t>
      </w:r>
      <w:r w:rsidRPr="00CE27E5">
        <w:rPr>
          <w:rFonts w:ascii="Sylfaen" w:hAnsi="Sylfaen"/>
          <w:lang w:val="de-DE"/>
        </w:rPr>
        <w:t xml:space="preserve"> </w:t>
      </w:r>
      <w:r w:rsidRPr="00CE27E5">
        <w:rPr>
          <w:rFonts w:ascii="Sylfaen" w:hAnsi="Sylfaen"/>
        </w:rPr>
        <w:t>ბაკურციხე</w:t>
      </w:r>
      <w:r w:rsidRPr="00CE27E5">
        <w:rPr>
          <w:rFonts w:ascii="Sylfaen" w:hAnsi="Sylfaen"/>
          <w:lang w:val="de-DE"/>
        </w:rPr>
        <w:t>-</w:t>
      </w:r>
      <w:r w:rsidRPr="00CE27E5">
        <w:rPr>
          <w:rFonts w:ascii="Sylfaen" w:hAnsi="Sylfaen"/>
        </w:rPr>
        <w:t>გურჯაანის</w:t>
      </w:r>
      <w:r w:rsidRPr="00CE27E5">
        <w:rPr>
          <w:rFonts w:ascii="Sylfaen" w:hAnsi="Sylfaen"/>
          <w:lang w:val="de-DE"/>
        </w:rPr>
        <w:t xml:space="preserve"> </w:t>
      </w:r>
      <w:r w:rsidRPr="00CE27E5">
        <w:rPr>
          <w:rFonts w:ascii="Sylfaen" w:hAnsi="Sylfaen"/>
        </w:rPr>
        <w:t>შემოვლით</w:t>
      </w:r>
      <w:r w:rsidRPr="00CE27E5">
        <w:rPr>
          <w:rFonts w:ascii="Sylfaen" w:hAnsi="Sylfaen"/>
          <w:lang w:val="de-DE"/>
        </w:rPr>
        <w:t xml:space="preserve"> </w:t>
      </w:r>
      <w:r w:rsidRPr="00CE27E5">
        <w:rPr>
          <w:rFonts w:ascii="Sylfaen" w:hAnsi="Sylfaen"/>
        </w:rPr>
        <w:t>მონაკვეთზე</w:t>
      </w:r>
      <w:r w:rsidRPr="00CE27E5">
        <w:rPr>
          <w:rFonts w:ascii="Sylfaen" w:hAnsi="Sylfaen"/>
          <w:lang w:val="de-DE"/>
        </w:rPr>
        <w:t xml:space="preserve">, </w:t>
      </w:r>
      <w:r w:rsidRPr="00CE27E5">
        <w:rPr>
          <w:rFonts w:ascii="Sylfaen" w:hAnsi="Sylfaen"/>
        </w:rPr>
        <w:t>რომელიც</w:t>
      </w:r>
      <w:r w:rsidRPr="00CE27E5">
        <w:rPr>
          <w:rFonts w:ascii="Sylfaen" w:hAnsi="Sylfaen"/>
          <w:lang w:val="de-DE"/>
        </w:rPr>
        <w:t xml:space="preserve"> </w:t>
      </w:r>
      <w:r w:rsidRPr="00CE27E5">
        <w:rPr>
          <w:rFonts w:ascii="Sylfaen" w:hAnsi="Sylfaen"/>
        </w:rPr>
        <w:t>ეხლა</w:t>
      </w:r>
      <w:r w:rsidRPr="00CE27E5">
        <w:rPr>
          <w:rFonts w:ascii="Sylfaen" w:hAnsi="Sylfaen"/>
          <w:lang w:val="de-DE"/>
        </w:rPr>
        <w:t xml:space="preserve"> </w:t>
      </w:r>
      <w:r w:rsidRPr="00CE27E5">
        <w:rPr>
          <w:rFonts w:ascii="Sylfaen" w:hAnsi="Sylfaen"/>
        </w:rPr>
        <w:t>შენდება</w:t>
      </w:r>
      <w:r w:rsidRPr="00CE27E5">
        <w:rPr>
          <w:rFonts w:ascii="Sylfaen" w:hAnsi="Sylfaen"/>
          <w:lang w:val="de-DE"/>
        </w:rPr>
        <w:t xml:space="preserve"> 80 </w:t>
      </w:r>
      <w:r w:rsidRPr="00CE27E5">
        <w:rPr>
          <w:rFonts w:ascii="Sylfaen" w:hAnsi="Sylfaen"/>
        </w:rPr>
        <w:t>კმ</w:t>
      </w:r>
      <w:r w:rsidRPr="00CE27E5">
        <w:rPr>
          <w:rFonts w:ascii="Sylfaen" w:hAnsi="Sylfaen"/>
          <w:lang w:val="de-DE"/>
        </w:rPr>
        <w:t>/</w:t>
      </w:r>
      <w:r w:rsidRPr="00CE27E5">
        <w:rPr>
          <w:rFonts w:ascii="Sylfaen" w:hAnsi="Sylfaen"/>
        </w:rPr>
        <w:t>ს</w:t>
      </w:r>
      <w:r w:rsidRPr="00CE27E5">
        <w:rPr>
          <w:rFonts w:ascii="Sylfaen" w:hAnsi="Sylfaen"/>
          <w:lang w:val="de-DE"/>
        </w:rPr>
        <w:t xml:space="preserve"> </w:t>
      </w:r>
      <w:r w:rsidRPr="00CE27E5">
        <w:rPr>
          <w:rFonts w:ascii="Sylfaen" w:hAnsi="Sylfaen"/>
        </w:rPr>
        <w:t>დიზაინის</w:t>
      </w:r>
      <w:r w:rsidRPr="00CE27E5">
        <w:rPr>
          <w:rFonts w:ascii="Sylfaen" w:hAnsi="Sylfaen"/>
          <w:lang w:val="de-DE"/>
        </w:rPr>
        <w:t xml:space="preserve"> </w:t>
      </w:r>
      <w:r w:rsidRPr="00CE27E5">
        <w:rPr>
          <w:rFonts w:ascii="Sylfaen" w:hAnsi="Sylfaen"/>
        </w:rPr>
        <w:t>სიჩქარე</w:t>
      </w:r>
      <w:r w:rsidRPr="00CE27E5">
        <w:rPr>
          <w:rFonts w:ascii="Sylfaen" w:hAnsi="Sylfaen"/>
          <w:lang w:val="de-DE"/>
        </w:rPr>
        <w:t xml:space="preserve"> </w:t>
      </w:r>
      <w:r w:rsidRPr="00CE27E5">
        <w:rPr>
          <w:rFonts w:ascii="Sylfaen" w:hAnsi="Sylfaen"/>
        </w:rPr>
        <w:t>გამოყენებულია</w:t>
      </w:r>
      <w:r w:rsidRPr="00CE27E5">
        <w:rPr>
          <w:rFonts w:ascii="Sylfaen" w:hAnsi="Sylfaen"/>
          <w:lang w:val="de-DE"/>
        </w:rPr>
        <w:t>.</w:t>
      </w:r>
    </w:p>
    <w:p w14:paraId="5B6DE213" w14:textId="77777777" w:rsidR="00CE27E5" w:rsidRPr="00CE27E5" w:rsidRDefault="00CE27E5" w:rsidP="001D2B74">
      <w:pPr>
        <w:spacing w:before="120" w:after="120"/>
        <w:rPr>
          <w:rFonts w:ascii="Sylfaen" w:hAnsi="Sylfaen"/>
          <w:lang w:val="de-DE"/>
        </w:rPr>
      </w:pPr>
      <w:r w:rsidRPr="00CE27E5">
        <w:rPr>
          <w:rFonts w:ascii="Sylfaen" w:hAnsi="Sylfaen"/>
          <w:lang w:val="en-US"/>
        </w:rPr>
        <w:t>თუ</w:t>
      </w:r>
      <w:r w:rsidRPr="00CE27E5">
        <w:rPr>
          <w:rFonts w:ascii="Sylfaen" w:hAnsi="Sylfaen"/>
          <w:lang w:val="de-DE"/>
        </w:rPr>
        <w:t xml:space="preserve"> </w:t>
      </w:r>
      <w:r w:rsidRPr="00CE27E5">
        <w:rPr>
          <w:rFonts w:ascii="Sylfaen" w:hAnsi="Sylfaen"/>
          <w:lang w:val="en-US"/>
        </w:rPr>
        <w:t>შერჩეულია</w:t>
      </w:r>
      <w:r w:rsidRPr="00CE27E5">
        <w:rPr>
          <w:rFonts w:ascii="Sylfaen" w:hAnsi="Sylfaen"/>
          <w:lang w:val="de-DE"/>
        </w:rPr>
        <w:t xml:space="preserve"> </w:t>
      </w:r>
      <w:r w:rsidRPr="00CE27E5">
        <w:rPr>
          <w:rFonts w:ascii="Sylfaen" w:hAnsi="Sylfaen"/>
          <w:lang w:val="en-US"/>
        </w:rPr>
        <w:t>დიზაინის</w:t>
      </w:r>
      <w:r w:rsidRPr="00CE27E5">
        <w:rPr>
          <w:rFonts w:ascii="Sylfaen" w:hAnsi="Sylfaen"/>
          <w:lang w:val="de-DE"/>
        </w:rPr>
        <w:t xml:space="preserve"> </w:t>
      </w:r>
      <w:r w:rsidRPr="00CE27E5">
        <w:rPr>
          <w:rFonts w:ascii="Sylfaen" w:hAnsi="Sylfaen"/>
          <w:lang w:val="en-US"/>
        </w:rPr>
        <w:t>სიჩქარე</w:t>
      </w:r>
      <w:r w:rsidRPr="00CE27E5">
        <w:rPr>
          <w:rFonts w:ascii="Sylfaen" w:hAnsi="Sylfaen"/>
          <w:lang w:val="de-DE"/>
        </w:rPr>
        <w:t xml:space="preserve"> შეიძლება </w:t>
      </w:r>
      <w:r w:rsidRPr="00CE27E5">
        <w:rPr>
          <w:rFonts w:ascii="Sylfaen" w:hAnsi="Sylfaen"/>
          <w:lang w:val="en-US"/>
        </w:rPr>
        <w:t>განისაზღვროს</w:t>
      </w:r>
      <w:r w:rsidRPr="00CE27E5">
        <w:rPr>
          <w:rFonts w:ascii="Sylfaen" w:hAnsi="Sylfaen"/>
          <w:lang w:val="de-DE"/>
        </w:rPr>
        <w:t xml:space="preserve"> </w:t>
      </w:r>
      <w:r w:rsidRPr="00CE27E5">
        <w:rPr>
          <w:rFonts w:ascii="Sylfaen" w:hAnsi="Sylfaen"/>
          <w:lang w:val="en-US"/>
        </w:rPr>
        <w:t>სათანადო</w:t>
      </w:r>
      <w:r w:rsidRPr="00CE27E5">
        <w:rPr>
          <w:rFonts w:ascii="Sylfaen" w:hAnsi="Sylfaen"/>
          <w:lang w:val="de-DE"/>
        </w:rPr>
        <w:t xml:space="preserve"> </w:t>
      </w:r>
      <w:r w:rsidRPr="00CE27E5">
        <w:rPr>
          <w:rFonts w:ascii="Sylfaen" w:hAnsi="Sylfaen"/>
          <w:lang w:val="en-US"/>
        </w:rPr>
        <w:t>მნიშვნელობები</w:t>
      </w:r>
      <w:r w:rsidRPr="00CE27E5">
        <w:rPr>
          <w:rFonts w:ascii="Sylfaen" w:hAnsi="Sylfaen"/>
          <w:lang w:val="de-DE"/>
        </w:rPr>
        <w:t xml:space="preserve"> </w:t>
      </w:r>
      <w:r w:rsidRPr="00CE27E5">
        <w:rPr>
          <w:rFonts w:ascii="Sylfaen" w:hAnsi="Sylfaen"/>
          <w:lang w:val="en-US"/>
        </w:rPr>
        <w:t>გეომეტრიულ</w:t>
      </w:r>
      <w:r w:rsidRPr="00CE27E5">
        <w:rPr>
          <w:rFonts w:ascii="Sylfaen" w:hAnsi="Sylfaen"/>
          <w:lang w:val="de-DE"/>
        </w:rPr>
        <w:t xml:space="preserve"> </w:t>
      </w:r>
      <w:r w:rsidRPr="00CE27E5">
        <w:rPr>
          <w:rFonts w:ascii="Sylfaen" w:hAnsi="Sylfaen"/>
          <w:lang w:val="en-US"/>
        </w:rPr>
        <w:t>ელემენტებისათვის</w:t>
      </w:r>
      <w:r w:rsidRPr="00CE27E5">
        <w:rPr>
          <w:rFonts w:ascii="Sylfaen" w:hAnsi="Sylfaen"/>
          <w:lang w:val="de-DE"/>
        </w:rPr>
        <w:t xml:space="preserve">, </w:t>
      </w:r>
      <w:r w:rsidRPr="00CE27E5">
        <w:rPr>
          <w:rFonts w:ascii="Sylfaen" w:hAnsi="Sylfaen"/>
          <w:lang w:val="en-US"/>
        </w:rPr>
        <w:t>რომლებიც</w:t>
      </w:r>
      <w:r w:rsidRPr="00CE27E5">
        <w:rPr>
          <w:rFonts w:ascii="Sylfaen" w:hAnsi="Sylfaen"/>
          <w:lang w:val="de-DE"/>
        </w:rPr>
        <w:t xml:space="preserve"> </w:t>
      </w:r>
      <w:r w:rsidRPr="00CE27E5">
        <w:rPr>
          <w:rFonts w:ascii="Sylfaen" w:hAnsi="Sylfaen"/>
          <w:lang w:val="en-US"/>
        </w:rPr>
        <w:t>ქმნიან</w:t>
      </w:r>
      <w:r w:rsidRPr="00CE27E5">
        <w:rPr>
          <w:rFonts w:ascii="Sylfaen" w:hAnsi="Sylfaen"/>
          <w:lang w:val="de-DE"/>
        </w:rPr>
        <w:t xml:space="preserve"> </w:t>
      </w:r>
      <w:r w:rsidRPr="00CE27E5">
        <w:rPr>
          <w:rFonts w:ascii="Sylfaen" w:hAnsi="Sylfaen"/>
          <w:lang w:val="en-US"/>
        </w:rPr>
        <w:t>გზას</w:t>
      </w:r>
      <w:r w:rsidRPr="00CE27E5">
        <w:rPr>
          <w:rFonts w:ascii="Sylfaen" w:hAnsi="Sylfaen"/>
          <w:lang w:val="de-DE"/>
        </w:rPr>
        <w:t>. ეს მოიცავს</w:t>
      </w:r>
      <w:r w:rsidRPr="00CE27E5">
        <w:rPr>
          <w:rFonts w:ascii="Sylfaen" w:hAnsi="Sylfaen"/>
          <w:lang w:val="ka-GE"/>
        </w:rPr>
        <w:t xml:space="preserve"> </w:t>
      </w:r>
      <w:r w:rsidRPr="00CE27E5">
        <w:rPr>
          <w:rFonts w:ascii="Sylfaen" w:hAnsi="Sylfaen" w:cs="Sylfaen"/>
          <w:lang w:val="ka-GE"/>
        </w:rPr>
        <w:t>გზის</w:t>
      </w:r>
      <w:r w:rsidRPr="00CE27E5">
        <w:rPr>
          <w:rFonts w:ascii="Sylfaen" w:hAnsi="Sylfaen" w:cs="Arial"/>
          <w:lang w:val="ka-GE"/>
        </w:rPr>
        <w:t xml:space="preserve"> </w:t>
      </w:r>
      <w:r w:rsidRPr="00CE27E5">
        <w:rPr>
          <w:rFonts w:ascii="Sylfaen" w:hAnsi="Sylfaen" w:cs="Sylfaen"/>
          <w:lang w:val="ka-GE"/>
        </w:rPr>
        <w:t>გადაკვეთას</w:t>
      </w:r>
      <w:r w:rsidRPr="00CE27E5">
        <w:rPr>
          <w:rFonts w:ascii="Sylfaen" w:hAnsi="Sylfaen" w:cs="Arial"/>
          <w:lang w:val="ka-GE"/>
        </w:rPr>
        <w:t xml:space="preserve">, </w:t>
      </w:r>
      <w:r w:rsidRPr="00CE27E5">
        <w:rPr>
          <w:rFonts w:ascii="Sylfaen" w:hAnsi="Sylfaen" w:cs="Sylfaen"/>
          <w:lang w:val="ka-GE"/>
        </w:rPr>
        <w:t>სასურველი</w:t>
      </w:r>
      <w:r w:rsidRPr="00CE27E5">
        <w:rPr>
          <w:rFonts w:ascii="Sylfaen" w:hAnsi="Sylfaen" w:cs="Arial"/>
          <w:lang w:val="ka-GE"/>
        </w:rPr>
        <w:t xml:space="preserve"> </w:t>
      </w:r>
      <w:r w:rsidRPr="00CE27E5">
        <w:rPr>
          <w:rFonts w:ascii="Sylfaen" w:hAnsi="Sylfaen" w:cs="Sylfaen"/>
          <w:lang w:val="ka-GE"/>
        </w:rPr>
        <w:t>ჰორიზონტალური</w:t>
      </w:r>
      <w:r w:rsidRPr="00CE27E5">
        <w:rPr>
          <w:rFonts w:ascii="Sylfaen" w:hAnsi="Sylfaen" w:cs="Arial"/>
          <w:lang w:val="ka-GE"/>
        </w:rPr>
        <w:t xml:space="preserve"> </w:t>
      </w:r>
      <w:r w:rsidRPr="00CE27E5">
        <w:rPr>
          <w:rFonts w:ascii="Sylfaen" w:hAnsi="Sylfaen" w:cs="Sylfaen"/>
          <w:lang w:val="ka-GE"/>
        </w:rPr>
        <w:t>განლაგება</w:t>
      </w:r>
      <w:r w:rsidRPr="00CE27E5">
        <w:rPr>
          <w:rFonts w:ascii="Sylfaen" w:hAnsi="Sylfaen" w:cs="Arial"/>
          <w:lang w:val="ka-GE"/>
        </w:rPr>
        <w:t xml:space="preserve"> </w:t>
      </w:r>
      <w:r w:rsidRPr="00CE27E5">
        <w:rPr>
          <w:rFonts w:ascii="Sylfaen" w:hAnsi="Sylfaen" w:cs="Sylfaen"/>
          <w:lang w:val="ka-GE"/>
        </w:rPr>
        <w:t>და</w:t>
      </w:r>
      <w:r w:rsidRPr="00CE27E5">
        <w:rPr>
          <w:rFonts w:ascii="Sylfaen" w:hAnsi="Sylfaen" w:cs="Arial"/>
          <w:lang w:val="ka-GE"/>
        </w:rPr>
        <w:t xml:space="preserve"> </w:t>
      </w:r>
      <w:r w:rsidRPr="00CE27E5">
        <w:rPr>
          <w:rFonts w:ascii="Sylfaen" w:hAnsi="Sylfaen" w:cs="Sylfaen"/>
          <w:lang w:val="ka-GE"/>
        </w:rPr>
        <w:t>ვერტიკალური</w:t>
      </w:r>
      <w:r w:rsidRPr="00CE27E5">
        <w:rPr>
          <w:rFonts w:ascii="Sylfaen" w:hAnsi="Sylfaen" w:cs="Arial"/>
          <w:lang w:val="ka-GE"/>
        </w:rPr>
        <w:t xml:space="preserve"> </w:t>
      </w:r>
      <w:r w:rsidRPr="00CE27E5">
        <w:rPr>
          <w:rFonts w:ascii="Sylfaen" w:hAnsi="Sylfaen" w:cs="Sylfaen"/>
          <w:lang w:val="ka-GE"/>
        </w:rPr>
        <w:t>განლაგების</w:t>
      </w:r>
      <w:r w:rsidRPr="00CE27E5">
        <w:rPr>
          <w:rFonts w:ascii="Sylfaen" w:hAnsi="Sylfaen" w:cs="Arial"/>
          <w:lang w:val="ka-GE"/>
        </w:rPr>
        <w:t xml:space="preserve"> </w:t>
      </w:r>
      <w:r w:rsidRPr="00CE27E5">
        <w:rPr>
          <w:rFonts w:ascii="Sylfaen" w:hAnsi="Sylfaen" w:cs="Sylfaen"/>
          <w:lang w:val="ka-GE"/>
        </w:rPr>
        <w:t>დიზაინის</w:t>
      </w:r>
      <w:r w:rsidRPr="00CE27E5">
        <w:rPr>
          <w:rFonts w:ascii="Sylfaen" w:hAnsi="Sylfaen" w:cs="Arial"/>
          <w:lang w:val="ka-GE"/>
        </w:rPr>
        <w:t xml:space="preserve"> </w:t>
      </w:r>
      <w:r w:rsidRPr="00CE27E5">
        <w:rPr>
          <w:rFonts w:ascii="Sylfaen" w:hAnsi="Sylfaen" w:cs="Sylfaen"/>
          <w:lang w:val="ka-GE"/>
        </w:rPr>
        <w:t>პარამეტრს</w:t>
      </w:r>
      <w:r w:rsidRPr="00CE27E5">
        <w:rPr>
          <w:rFonts w:ascii="Sylfaen" w:hAnsi="Sylfaen"/>
          <w:lang w:val="ka-GE"/>
        </w:rPr>
        <w:t>.</w:t>
      </w:r>
    </w:p>
    <w:p w14:paraId="2186CEEB" w14:textId="77777777" w:rsidR="00CE27E5" w:rsidRPr="00F07838" w:rsidRDefault="00CE27E5" w:rsidP="00CE27E5">
      <w:pPr>
        <w:spacing w:before="200" w:after="200"/>
        <w:rPr>
          <w:rFonts w:ascii="Sylfaen" w:hAnsi="Sylfaen"/>
          <w:b/>
          <w:u w:val="single"/>
          <w:lang w:val="de-DE"/>
        </w:rPr>
      </w:pPr>
      <w:r w:rsidRPr="00F07838">
        <w:rPr>
          <w:rFonts w:ascii="Sylfaen" w:hAnsi="Sylfaen"/>
          <w:b/>
          <w:u w:val="single"/>
          <w:lang w:val="de-DE"/>
        </w:rPr>
        <w:t xml:space="preserve">განივი მონაკვეთი </w:t>
      </w:r>
    </w:p>
    <w:p w14:paraId="2E97ADC9" w14:textId="77777777" w:rsidR="00F07838" w:rsidRPr="00F07838" w:rsidRDefault="00F07838" w:rsidP="00F07838">
      <w:pPr>
        <w:tabs>
          <w:tab w:val="left" w:pos="851"/>
          <w:tab w:val="left" w:pos="4536"/>
          <w:tab w:val="left" w:pos="7088"/>
        </w:tabs>
        <w:spacing w:before="120" w:after="120"/>
        <w:rPr>
          <w:rFonts w:ascii="Sylfaen" w:hAnsi="Sylfaen"/>
          <w:szCs w:val="22"/>
          <w:lang w:val="ka-GE" w:eastAsia="en-GB"/>
        </w:rPr>
      </w:pPr>
      <w:r w:rsidRPr="00F07838">
        <w:rPr>
          <w:rFonts w:ascii="Sylfaen" w:hAnsi="Sylfaen"/>
          <w:szCs w:val="22"/>
          <w:lang w:val="ka-GE" w:eastAsia="en-GB"/>
        </w:rPr>
        <w:t xml:space="preserve">გზის სიგანე, ერთის მხრივ, შეძლებისდაგვარად მაქსიმალურად უნდა შემცირდეს მშენებლობის და მოვლა-შენახვის ხარჯების დაზოგვის მიზნით, ხოლო მეორეს მხრივ, საკმარისი უნდა იყოს გეგმიური სატრანსპორტო ნაკადების ქმედითი გატარებისა და საპირისპირო მიმართულებით მოძრავი ავტომობილების ერთმანეთისთვის გვერდის უსაფრთხოდ ავლის უზრუნველსაყოფად. გზის სიგანე შეადგენს სავალი ნაწილის (მოძრაობის ზოლების) და გზის გვერდულების სიგანეების ჯამს. </w:t>
      </w:r>
    </w:p>
    <w:p w14:paraId="7BD468D3" w14:textId="77777777" w:rsidR="00F07838" w:rsidRPr="00F07838" w:rsidRDefault="00F07838" w:rsidP="00F07838">
      <w:pPr>
        <w:tabs>
          <w:tab w:val="left" w:pos="851"/>
          <w:tab w:val="left" w:pos="4536"/>
          <w:tab w:val="left" w:pos="7088"/>
        </w:tabs>
        <w:spacing w:before="120" w:after="120"/>
        <w:rPr>
          <w:rFonts w:ascii="Sylfaen" w:hAnsi="Sylfaen"/>
          <w:szCs w:val="22"/>
          <w:lang w:val="ka-GE" w:eastAsia="en-GB"/>
        </w:rPr>
      </w:pPr>
      <w:r w:rsidRPr="00F07838">
        <w:rPr>
          <w:rFonts w:ascii="Sylfaen" w:hAnsi="Sylfaen"/>
          <w:szCs w:val="22"/>
          <w:lang w:val="ka-GE" w:eastAsia="en-GB"/>
        </w:rPr>
        <w:t xml:space="preserve">საპროექტო გზის განივი კვეთის საანგარიშო ელემენტები განსაზღვრულია 100 კმ/სთ სიდიდის საანგარიშო მოძრაობის სიჩქარის გათვალისწინებით. საქართველოში მოქმედი გზების გეომეტრიული </w:t>
      </w:r>
      <w:r w:rsidRPr="00F07838">
        <w:rPr>
          <w:rFonts w:ascii="Sylfaen" w:hAnsi="Sylfaen"/>
          <w:szCs w:val="22"/>
          <w:lang w:val="ka-GE" w:eastAsia="en-GB"/>
        </w:rPr>
        <w:lastRenderedPageBreak/>
        <w:t>პროექტირების სტანდარტის მე-4 დანართის შესაბამისად, საპროექტო გზის განიკვეთი შედგება 7.00 მ სიგანის სავალი ნაწილისგან და 2×2.5 მ და 2×2.5 მ სიგანეების ხისტი და მისაყრელი გვერდულებისგან. შესაბამისად, გზის სრული სიგანე შეადგენს 13.00 მეტრს.</w:t>
      </w:r>
    </w:p>
    <w:p w14:paraId="3D2B084F" w14:textId="77777777" w:rsidR="00F07838" w:rsidRPr="00F07838" w:rsidRDefault="00F07838" w:rsidP="00F07838">
      <w:pPr>
        <w:tabs>
          <w:tab w:val="left" w:pos="851"/>
          <w:tab w:val="left" w:pos="4536"/>
          <w:tab w:val="left" w:pos="7088"/>
        </w:tabs>
        <w:spacing w:before="120" w:after="120"/>
        <w:rPr>
          <w:rFonts w:ascii="Sylfaen" w:hAnsi="Sylfaen"/>
          <w:szCs w:val="22"/>
          <w:lang w:val="ka-GE" w:eastAsia="en-GB"/>
        </w:rPr>
      </w:pPr>
      <w:r w:rsidRPr="00F07838">
        <w:rPr>
          <w:rFonts w:ascii="Sylfaen" w:hAnsi="Sylfaen"/>
          <w:szCs w:val="22"/>
          <w:lang w:val="ka-GE" w:eastAsia="en-GB"/>
        </w:rPr>
        <w:t>ამასთან უნდა აღინიშნოს, რომ ამჟამად მშენებარე ბაკურციხე-გურჯაანის შემოვლით საგზაო მონაკვეთზე გზის სრული სიგანე შეადგენს მხოლოდ 12 მეტრს, 0.50 მ სიგანის გამაგრებულ გვერდულთან ერთად, ვინაიდან ამ მონაკვეთზე საანგარიშო სიჩქარედ 100 კმ-სთ-ის ნაცვლად მიღებულია 80 კმ/სთ.</w:t>
      </w:r>
    </w:p>
    <w:p w14:paraId="5E7AF3DE" w14:textId="0F5937F0" w:rsidR="00F07838" w:rsidRPr="00F07838" w:rsidRDefault="00F07838" w:rsidP="00F07838">
      <w:pPr>
        <w:tabs>
          <w:tab w:val="left" w:pos="851"/>
          <w:tab w:val="left" w:pos="4536"/>
          <w:tab w:val="left" w:pos="7088"/>
        </w:tabs>
        <w:spacing w:before="120" w:after="120"/>
        <w:rPr>
          <w:rFonts w:ascii="Sylfaen" w:hAnsi="Sylfaen"/>
          <w:szCs w:val="22"/>
          <w:lang w:val="ka-GE" w:eastAsia="en-GB"/>
        </w:rPr>
      </w:pPr>
      <w:r w:rsidRPr="00F07838">
        <w:rPr>
          <w:rFonts w:ascii="Sylfaen" w:hAnsi="Sylfaen"/>
          <w:szCs w:val="22"/>
          <w:lang w:val="ka-GE" w:eastAsia="en-GB"/>
        </w:rPr>
        <w:t xml:space="preserve">ზემოაღნიშნული განსხვავება განიკვეთის ზომებს შორის განხილულ იქნა გზების დეპარტამენტთან და, </w:t>
      </w:r>
      <w:r w:rsidR="006D3BB5">
        <w:rPr>
          <w:rFonts w:ascii="Sylfaen" w:hAnsi="Sylfaen"/>
          <w:lang w:val="ka-GE"/>
        </w:rPr>
        <w:t>გურჯაანის (ჩუმლაყი)</w:t>
      </w:r>
      <w:r w:rsidR="006D3BB5">
        <w:rPr>
          <w:rFonts w:ascii="Sylfaen" w:hAnsi="Sylfaen"/>
          <w:lang w:val="en-US"/>
        </w:rPr>
        <w:t>-</w:t>
      </w:r>
      <w:r w:rsidR="006D3BB5">
        <w:rPr>
          <w:rFonts w:ascii="Sylfaen" w:hAnsi="Sylfaen"/>
          <w:lang w:val="ka-GE"/>
        </w:rPr>
        <w:t xml:space="preserve">თელავის </w:t>
      </w:r>
      <w:r w:rsidRPr="00F07838">
        <w:rPr>
          <w:rFonts w:ascii="Sylfaen" w:hAnsi="Sylfaen"/>
          <w:szCs w:val="22"/>
          <w:lang w:val="ka-GE" w:eastAsia="en-GB"/>
        </w:rPr>
        <w:t xml:space="preserve">და ბაკურციხე-გურჯაანის შემოვლითი გზების განიკვეთების ურთიერთშეთანხმების მიზნით, გადაწყდა </w:t>
      </w:r>
      <w:r w:rsidR="006D3BB5">
        <w:rPr>
          <w:rFonts w:ascii="Sylfaen" w:hAnsi="Sylfaen"/>
          <w:lang w:val="ka-GE"/>
        </w:rPr>
        <w:t>გურჯაანის (ჩუმლაყი)</w:t>
      </w:r>
      <w:r w:rsidR="006D3BB5">
        <w:rPr>
          <w:rFonts w:ascii="Sylfaen" w:hAnsi="Sylfaen"/>
          <w:lang w:val="en-US"/>
        </w:rPr>
        <w:t>-</w:t>
      </w:r>
      <w:r w:rsidR="006D3BB5">
        <w:rPr>
          <w:rFonts w:ascii="Sylfaen" w:hAnsi="Sylfaen"/>
          <w:lang w:val="ka-GE"/>
        </w:rPr>
        <w:t xml:space="preserve">თელავის </w:t>
      </w:r>
      <w:r w:rsidRPr="00F07838">
        <w:rPr>
          <w:rFonts w:ascii="Sylfaen" w:hAnsi="Sylfaen"/>
          <w:szCs w:val="22"/>
          <w:lang w:val="ka-GE" w:eastAsia="en-GB"/>
        </w:rPr>
        <w:t>გზის საფარიანი (ხისტი) გვერდულის სიგანის შემცირება 2.5 მეტრიდან 0.5 მეტრამდე. ამის შედეგად, ამ გზის საფარიანი სავალი ნაწილისა და გვერდულის ჯამური სიგანე შესაბამისობაში მოვა ამჟამად მშენებარე ბაკურციხე-გურჯაანის შემოვლით გზასთან და 80 კმ/სთ-ის ტოლ საანგარიშო მოძრაობის სიჩქარესთან. ამასთან, კვლავ იარსებებს მომავალში აღნიშნული განიკვეთის მოდერნიზების შესაძლებლობა 100 კმ/სთ-ის ტოლი საანგარიშო მოძრაობის სიჩქარისთვის საჭირო სახით.</w:t>
      </w:r>
      <w:r w:rsidR="00980876">
        <w:rPr>
          <w:rFonts w:ascii="Sylfaen" w:hAnsi="Sylfaen"/>
          <w:szCs w:val="22"/>
          <w:lang w:val="ka-GE" w:eastAsia="en-GB"/>
        </w:rPr>
        <w:t xml:space="preserve"> </w:t>
      </w:r>
    </w:p>
    <w:p w14:paraId="26BF1C6D" w14:textId="77777777" w:rsidR="00F07838" w:rsidRDefault="00F07838" w:rsidP="00F07838">
      <w:pPr>
        <w:tabs>
          <w:tab w:val="left" w:pos="851"/>
          <w:tab w:val="left" w:pos="4536"/>
          <w:tab w:val="left" w:pos="7088"/>
        </w:tabs>
        <w:spacing w:before="120" w:after="120"/>
        <w:rPr>
          <w:rFonts w:ascii="Sylfaen" w:hAnsi="Sylfaen"/>
          <w:szCs w:val="22"/>
          <w:lang w:val="ka-GE" w:eastAsia="en-GB"/>
        </w:rPr>
      </w:pPr>
      <w:r w:rsidRPr="00F07838">
        <w:rPr>
          <w:rFonts w:ascii="Sylfaen" w:hAnsi="Sylfaen"/>
          <w:szCs w:val="22"/>
          <w:lang w:val="ka-GE" w:eastAsia="en-GB"/>
        </w:rPr>
        <w:t>ქვემოთ წარმოდგენილია საპროექტო საგზაო მონაკვეთებისთვის შერჩეული გეომეტრიული ელემენტები 100 კმ/სთ საანგარიშო სიჩქარის ერთ სავალ ნაწილიანი ორზოლიანი გზების მშენებლობისთვის, რომლებიც შესაბამისობაშია გზების პროექტირების ქართული სტანდარტის მე-4 დანართის მოთხოვნებთან:</w:t>
      </w:r>
    </w:p>
    <w:p w14:paraId="51392E68" w14:textId="2C49D00C" w:rsidR="00CE27E5" w:rsidRPr="00CE27E5" w:rsidRDefault="00CE27E5" w:rsidP="00F07838">
      <w:pPr>
        <w:tabs>
          <w:tab w:val="left" w:pos="851"/>
          <w:tab w:val="left" w:pos="4536"/>
          <w:tab w:val="left" w:pos="7088"/>
        </w:tabs>
        <w:rPr>
          <w:rFonts w:ascii="Sylfaen" w:hAnsi="Sylfaen" w:cs="Arial"/>
          <w:lang w:val="de-DE"/>
        </w:rPr>
      </w:pPr>
      <w:r w:rsidRPr="00CE27E5">
        <w:rPr>
          <w:rFonts w:ascii="Sylfaen" w:hAnsi="Sylfaen" w:cs="Arial"/>
          <w:lang w:val="de-DE"/>
        </w:rPr>
        <w:tab/>
      </w:r>
      <w:r w:rsidRPr="00CE27E5">
        <w:rPr>
          <w:rFonts w:ascii="Sylfaen" w:hAnsi="Sylfaen" w:cs="Arial"/>
        </w:rPr>
        <w:t>შესახვევების</w:t>
      </w:r>
      <w:r w:rsidRPr="00CE27E5">
        <w:rPr>
          <w:rFonts w:ascii="Sylfaen" w:hAnsi="Sylfaen" w:cs="Arial"/>
          <w:lang w:val="de-DE"/>
        </w:rPr>
        <w:t xml:space="preserve"> </w:t>
      </w:r>
      <w:r w:rsidRPr="00CE27E5">
        <w:rPr>
          <w:rFonts w:ascii="Sylfaen" w:hAnsi="Sylfaen" w:cs="Arial"/>
        </w:rPr>
        <w:t>რაოდენობა</w:t>
      </w:r>
      <w:r w:rsidRPr="00CE27E5">
        <w:rPr>
          <w:rFonts w:ascii="Sylfaen" w:hAnsi="Sylfaen" w:cs="Arial"/>
          <w:lang w:val="de-DE"/>
        </w:rPr>
        <w:t>:</w:t>
      </w:r>
      <w:r w:rsidRPr="00CE27E5">
        <w:rPr>
          <w:rFonts w:ascii="Sylfaen" w:hAnsi="Sylfaen" w:cs="Arial"/>
          <w:lang w:val="de-DE"/>
        </w:rPr>
        <w:tab/>
        <w:t>2</w:t>
      </w:r>
    </w:p>
    <w:p w14:paraId="19B62A75" w14:textId="77777777" w:rsidR="00CE27E5" w:rsidRPr="00CE27E5" w:rsidRDefault="00CE27E5" w:rsidP="00CE27E5">
      <w:pPr>
        <w:tabs>
          <w:tab w:val="left" w:pos="851"/>
          <w:tab w:val="left" w:pos="4536"/>
          <w:tab w:val="left" w:pos="7088"/>
        </w:tabs>
        <w:rPr>
          <w:rFonts w:ascii="Sylfaen" w:hAnsi="Sylfaen" w:cs="Arial"/>
          <w:lang w:val="de-DE"/>
        </w:rPr>
      </w:pPr>
      <w:r w:rsidRPr="00CE27E5">
        <w:rPr>
          <w:rFonts w:ascii="Sylfaen" w:hAnsi="Sylfaen" w:cs="Arial"/>
          <w:lang w:val="de-DE"/>
        </w:rPr>
        <w:tab/>
      </w:r>
      <w:r w:rsidRPr="00CE27E5">
        <w:rPr>
          <w:rFonts w:ascii="Sylfaen" w:hAnsi="Sylfaen" w:cs="Arial"/>
        </w:rPr>
        <w:t>შესახვევის</w:t>
      </w:r>
      <w:r w:rsidRPr="00CE27E5">
        <w:rPr>
          <w:rFonts w:ascii="Sylfaen" w:hAnsi="Sylfaen" w:cs="Arial"/>
          <w:lang w:val="de-DE"/>
        </w:rPr>
        <w:t xml:space="preserve"> </w:t>
      </w:r>
      <w:r w:rsidRPr="00CE27E5">
        <w:rPr>
          <w:rFonts w:ascii="Sylfaen" w:hAnsi="Sylfaen" w:cs="Arial"/>
        </w:rPr>
        <w:t>სიგანე</w:t>
      </w:r>
      <w:r w:rsidRPr="00CE27E5">
        <w:rPr>
          <w:rFonts w:ascii="Sylfaen" w:hAnsi="Sylfaen" w:cs="Arial"/>
          <w:lang w:val="de-DE"/>
        </w:rPr>
        <w:t>:</w:t>
      </w:r>
      <w:r w:rsidRPr="00CE27E5">
        <w:rPr>
          <w:rFonts w:ascii="Sylfaen" w:hAnsi="Sylfaen" w:cs="Arial"/>
          <w:lang w:val="de-DE"/>
        </w:rPr>
        <w:tab/>
        <w:t xml:space="preserve">3.50 </w:t>
      </w:r>
      <w:r w:rsidRPr="00CE27E5">
        <w:rPr>
          <w:rFonts w:ascii="Sylfaen" w:hAnsi="Sylfaen" w:cs="Arial"/>
        </w:rPr>
        <w:t>მ</w:t>
      </w:r>
    </w:p>
    <w:p w14:paraId="7C877E0D" w14:textId="77777777" w:rsidR="00CE27E5" w:rsidRPr="00CE27E5" w:rsidRDefault="00CE27E5" w:rsidP="00CE27E5">
      <w:pPr>
        <w:tabs>
          <w:tab w:val="left" w:pos="851"/>
          <w:tab w:val="left" w:pos="4536"/>
          <w:tab w:val="left" w:pos="7088"/>
        </w:tabs>
        <w:rPr>
          <w:rFonts w:ascii="Sylfaen" w:hAnsi="Sylfaen" w:cs="Arial"/>
          <w:lang w:val="de-DE"/>
        </w:rPr>
      </w:pPr>
      <w:r w:rsidRPr="00CE27E5">
        <w:rPr>
          <w:rFonts w:ascii="Sylfaen" w:hAnsi="Sylfaen" w:cs="Arial"/>
          <w:lang w:val="de-DE"/>
        </w:rPr>
        <w:tab/>
      </w:r>
      <w:r w:rsidRPr="00CE27E5">
        <w:rPr>
          <w:rFonts w:ascii="Sylfaen" w:hAnsi="Sylfaen" w:cs="Arial"/>
        </w:rPr>
        <w:t>სავალი</w:t>
      </w:r>
      <w:r w:rsidRPr="00CE27E5">
        <w:rPr>
          <w:rFonts w:ascii="Sylfaen" w:hAnsi="Sylfaen" w:cs="Arial"/>
          <w:lang w:val="de-DE"/>
        </w:rPr>
        <w:t xml:space="preserve"> </w:t>
      </w:r>
      <w:r w:rsidRPr="00CE27E5">
        <w:rPr>
          <w:rFonts w:ascii="Sylfaen" w:hAnsi="Sylfaen" w:cs="Arial"/>
        </w:rPr>
        <w:t>გზის</w:t>
      </w:r>
      <w:r w:rsidRPr="00CE27E5">
        <w:rPr>
          <w:rFonts w:ascii="Sylfaen" w:hAnsi="Sylfaen" w:cs="Arial"/>
          <w:lang w:val="de-DE"/>
        </w:rPr>
        <w:t xml:space="preserve"> </w:t>
      </w:r>
      <w:r w:rsidRPr="00CE27E5">
        <w:rPr>
          <w:rFonts w:ascii="Sylfaen" w:hAnsi="Sylfaen" w:cs="Arial"/>
        </w:rPr>
        <w:t>სიგანე</w:t>
      </w:r>
      <w:r w:rsidRPr="00CE27E5">
        <w:rPr>
          <w:rFonts w:ascii="Sylfaen" w:hAnsi="Sylfaen" w:cs="Arial"/>
          <w:lang w:val="de-DE"/>
        </w:rPr>
        <w:t>:</w:t>
      </w:r>
      <w:r w:rsidRPr="00CE27E5">
        <w:rPr>
          <w:rFonts w:ascii="Sylfaen" w:hAnsi="Sylfaen" w:cs="Arial"/>
          <w:lang w:val="de-DE"/>
        </w:rPr>
        <w:tab/>
        <w:t xml:space="preserve">7.00 </w:t>
      </w:r>
      <w:r w:rsidRPr="00CE27E5">
        <w:rPr>
          <w:rFonts w:ascii="Sylfaen" w:hAnsi="Sylfaen" w:cs="Arial"/>
        </w:rPr>
        <w:t>მ</w:t>
      </w:r>
    </w:p>
    <w:p w14:paraId="74FBB7B9" w14:textId="77777777" w:rsidR="00CE27E5" w:rsidRPr="00CE27E5" w:rsidRDefault="00CE27E5" w:rsidP="00CE27E5">
      <w:pPr>
        <w:tabs>
          <w:tab w:val="left" w:pos="851"/>
          <w:tab w:val="left" w:pos="4536"/>
          <w:tab w:val="left" w:pos="7088"/>
        </w:tabs>
        <w:rPr>
          <w:rFonts w:ascii="Sylfaen" w:hAnsi="Sylfaen" w:cs="Arial"/>
          <w:lang w:val="de-DE"/>
        </w:rPr>
      </w:pPr>
      <w:r w:rsidRPr="00CE27E5">
        <w:rPr>
          <w:rFonts w:ascii="Sylfaen" w:hAnsi="Sylfaen" w:cs="Arial"/>
          <w:lang w:val="de-DE"/>
        </w:rPr>
        <w:tab/>
        <w:t>დაგებული მხარის სიგანე:</w:t>
      </w:r>
      <w:r w:rsidRPr="00CE27E5">
        <w:rPr>
          <w:rFonts w:ascii="Sylfaen" w:hAnsi="Sylfaen" w:cs="Arial"/>
          <w:lang w:val="de-DE"/>
        </w:rPr>
        <w:tab/>
        <w:t xml:space="preserve">2.50 </w:t>
      </w:r>
      <w:r w:rsidRPr="00CE27E5">
        <w:rPr>
          <w:rFonts w:ascii="Sylfaen" w:hAnsi="Sylfaen" w:cs="Arial"/>
        </w:rPr>
        <w:t>მ</w:t>
      </w:r>
    </w:p>
    <w:p w14:paraId="77C42FE9" w14:textId="77777777" w:rsidR="00CE27E5" w:rsidRPr="00CE27E5" w:rsidRDefault="00CE27E5" w:rsidP="00CE27E5">
      <w:pPr>
        <w:tabs>
          <w:tab w:val="left" w:pos="851"/>
          <w:tab w:val="left" w:pos="4536"/>
          <w:tab w:val="left" w:pos="7088"/>
        </w:tabs>
        <w:rPr>
          <w:rFonts w:ascii="Sylfaen" w:hAnsi="Sylfaen" w:cs="Arial"/>
          <w:lang w:val="de-DE"/>
        </w:rPr>
      </w:pPr>
      <w:r w:rsidRPr="00CE27E5">
        <w:rPr>
          <w:rFonts w:ascii="Sylfaen" w:hAnsi="Sylfaen" w:cs="Arial"/>
          <w:lang w:val="de-DE"/>
        </w:rPr>
        <w:tab/>
        <w:t>გზის მხარე (დაუგებელი)</w:t>
      </w:r>
      <w:r w:rsidRPr="00CE27E5">
        <w:rPr>
          <w:rFonts w:ascii="Sylfaen" w:hAnsi="Sylfaen" w:cs="Arial"/>
          <w:lang w:val="de-DE"/>
        </w:rPr>
        <w:tab/>
        <w:t xml:space="preserve">0.50 </w:t>
      </w:r>
      <w:r w:rsidRPr="00CE27E5">
        <w:rPr>
          <w:rFonts w:ascii="Sylfaen" w:hAnsi="Sylfaen" w:cs="Arial"/>
        </w:rPr>
        <w:t>მ</w:t>
      </w:r>
    </w:p>
    <w:p w14:paraId="3C6EF9A7" w14:textId="77777777" w:rsidR="00CE27E5" w:rsidRPr="004D31A1" w:rsidRDefault="00CE27E5" w:rsidP="00CE27E5">
      <w:pPr>
        <w:tabs>
          <w:tab w:val="left" w:pos="851"/>
          <w:tab w:val="left" w:pos="4536"/>
          <w:tab w:val="left" w:pos="7088"/>
        </w:tabs>
        <w:rPr>
          <w:rFonts w:ascii="Sylfaen" w:hAnsi="Sylfaen" w:cs="Arial"/>
          <w:lang w:val="de-DE"/>
        </w:rPr>
      </w:pPr>
      <w:r w:rsidRPr="00CE27E5">
        <w:rPr>
          <w:rFonts w:ascii="Sylfaen" w:hAnsi="Sylfaen" w:cs="Arial"/>
          <w:lang w:val="de-DE"/>
        </w:rPr>
        <w:tab/>
        <w:t>გზის საერთო სიგანე</w:t>
      </w:r>
      <w:r w:rsidRPr="004D31A1">
        <w:rPr>
          <w:rFonts w:ascii="Sylfaen" w:hAnsi="Sylfaen" w:cs="Arial"/>
          <w:lang w:val="de-DE"/>
        </w:rPr>
        <w:t>:</w:t>
      </w:r>
      <w:r w:rsidRPr="004D31A1">
        <w:rPr>
          <w:rFonts w:ascii="Sylfaen" w:hAnsi="Sylfaen" w:cs="Arial"/>
          <w:lang w:val="de-DE"/>
        </w:rPr>
        <w:tab/>
        <w:t xml:space="preserve">13.00 </w:t>
      </w:r>
      <w:r w:rsidRPr="00CE27E5">
        <w:rPr>
          <w:rFonts w:ascii="Sylfaen" w:hAnsi="Sylfaen" w:cs="Arial"/>
        </w:rPr>
        <w:t>მ</w:t>
      </w:r>
    </w:p>
    <w:p w14:paraId="3CE5C73F" w14:textId="1ADD17E9" w:rsidR="00CE27E5" w:rsidRPr="002B616A" w:rsidRDefault="00F07838" w:rsidP="00CE27E5">
      <w:pPr>
        <w:spacing w:before="200" w:after="200"/>
        <w:rPr>
          <w:rFonts w:ascii="Sylfaen" w:hAnsi="Sylfaen"/>
          <w:szCs w:val="22"/>
        </w:rPr>
      </w:pPr>
      <w:r w:rsidRPr="00FF734A">
        <w:rPr>
          <w:noProof/>
          <w:lang w:val="en-US" w:eastAsia="en-US"/>
        </w:rPr>
        <w:drawing>
          <wp:inline distT="0" distB="0" distL="0" distR="0" wp14:anchorId="1F31A699" wp14:editId="6023346B">
            <wp:extent cx="5935345" cy="1981200"/>
            <wp:effectExtent l="0" t="0" r="8255" b="0"/>
            <wp:docPr id="226" name="Bild 226" descr="Macintosh HD:Users:carstengriese:Documents:Typical CSTGurjaani_Telavi Bypass__06.1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acintosh HD:Users:carstengriese:Documents:Typical CSTGurjaani_Telavi Bypass__06.10.17.jpg"/>
                    <pic:cNvPicPr>
                      <a:picLocks noChangeAspect="1" noChangeArrowheads="1"/>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5938080" cy="1982113"/>
                    </a:xfrm>
                    <a:prstGeom prst="rect">
                      <a:avLst/>
                    </a:prstGeom>
                    <a:noFill/>
                    <a:ln>
                      <a:noFill/>
                    </a:ln>
                    <a:extLst>
                      <a:ext uri="{53640926-AAD7-44D8-BBD7-CCE9431645EC}">
                        <a14:shadowObscured xmlns:a14="http://schemas.microsoft.com/office/drawing/2010/main"/>
                      </a:ext>
                    </a:extLst>
                  </pic:spPr>
                </pic:pic>
              </a:graphicData>
            </a:graphic>
          </wp:inline>
        </w:drawing>
      </w:r>
    </w:p>
    <w:p w14:paraId="56199760" w14:textId="3E235F9E" w:rsidR="00CE27E5" w:rsidRPr="002B616A" w:rsidRDefault="004D31A1" w:rsidP="00CE27E5">
      <w:pPr>
        <w:spacing w:before="200" w:after="200"/>
        <w:rPr>
          <w:rFonts w:ascii="Sylfaen" w:hAnsi="Sylfaen"/>
          <w:szCs w:val="22"/>
        </w:rPr>
      </w:pPr>
      <w:r>
        <w:rPr>
          <w:rFonts w:ascii="Sylfaen" w:hAnsi="Sylfaen"/>
          <w:szCs w:val="22"/>
          <w:lang w:val="ka-GE"/>
        </w:rPr>
        <w:t>სურათი</w:t>
      </w:r>
      <w:r w:rsidR="00915446">
        <w:rPr>
          <w:rFonts w:ascii="Sylfaen" w:hAnsi="Sylfaen"/>
          <w:szCs w:val="22"/>
        </w:rPr>
        <w:t xml:space="preserve"> 4</w:t>
      </w:r>
      <w:r w:rsidR="00142B71">
        <w:rPr>
          <w:rFonts w:ascii="Sylfaen" w:hAnsi="Sylfaen"/>
          <w:szCs w:val="22"/>
          <w:lang w:val="ka-GE"/>
        </w:rPr>
        <w:t>.1.1</w:t>
      </w:r>
      <w:r>
        <w:rPr>
          <w:rFonts w:ascii="Sylfaen" w:hAnsi="Sylfaen"/>
          <w:szCs w:val="22"/>
          <w:lang w:val="ka-GE"/>
        </w:rPr>
        <w:t>-</w:t>
      </w:r>
      <w:r w:rsidR="00CE27E5" w:rsidRPr="002B616A">
        <w:rPr>
          <w:rFonts w:ascii="Sylfaen" w:hAnsi="Sylfaen"/>
          <w:szCs w:val="22"/>
        </w:rPr>
        <w:t xml:space="preserve">2. </w:t>
      </w:r>
      <w:r w:rsidR="00F07838">
        <w:rPr>
          <w:rFonts w:ascii="Sylfaen" w:hAnsi="Sylfaen"/>
          <w:szCs w:val="22"/>
          <w:lang w:val="ka-GE"/>
        </w:rPr>
        <w:t>გზის ტიპიური განიკვეთი შეჩეული გზის კლასისთვის</w:t>
      </w:r>
    </w:p>
    <w:p w14:paraId="2ED10F66" w14:textId="0DECAF7F" w:rsidR="00CE27E5" w:rsidRPr="00CE27E5" w:rsidRDefault="00F07838" w:rsidP="00CE27E5">
      <w:pPr>
        <w:spacing w:before="200" w:after="200"/>
        <w:rPr>
          <w:rFonts w:ascii="Sylfaen" w:eastAsia="MS Mincho" w:hAnsi="Sylfaen"/>
        </w:rPr>
      </w:pPr>
      <w:r>
        <w:rPr>
          <w:rFonts w:ascii="Sylfaen" w:hAnsi="Sylfaen"/>
          <w:lang w:val="ka-GE"/>
        </w:rPr>
        <w:t>მიწაყრილებზე, რომლებიც მოითხოვენ დამცავი ზღუდების დაყენებას, ერთ სავალ ნაწილიანი გზისთის საჭიროა დამა</w:t>
      </w:r>
      <w:r w:rsidR="00CE27E5" w:rsidRPr="00CE27E5">
        <w:rPr>
          <w:rFonts w:ascii="Sylfaen" w:hAnsi="Sylfaen"/>
          <w:lang w:val="en-US"/>
        </w:rPr>
        <w:t>ტებითი</w:t>
      </w:r>
      <w:r w:rsidR="00CE27E5" w:rsidRPr="00CE27E5">
        <w:rPr>
          <w:rFonts w:ascii="Sylfaen" w:hAnsi="Sylfaen"/>
        </w:rPr>
        <w:t xml:space="preserve"> 0,50მ გ</w:t>
      </w:r>
      <w:r>
        <w:rPr>
          <w:rFonts w:ascii="Sylfaen" w:hAnsi="Sylfaen"/>
          <w:lang w:val="ka-GE"/>
        </w:rPr>
        <w:t>სიგანის გაუმაგრებელი გვერდულები.</w:t>
      </w:r>
    </w:p>
    <w:p w14:paraId="25488782" w14:textId="2F918097" w:rsidR="00CE27E5" w:rsidRPr="00F07838" w:rsidRDefault="00CE27E5" w:rsidP="00CE27E5">
      <w:pPr>
        <w:spacing w:before="200" w:after="200"/>
        <w:rPr>
          <w:rFonts w:ascii="Sylfaen" w:hAnsi="Sylfaen"/>
          <w:b/>
          <w:u w:val="single"/>
        </w:rPr>
      </w:pPr>
      <w:r w:rsidRPr="00F07838">
        <w:rPr>
          <w:rFonts w:ascii="Sylfaen" w:hAnsi="Sylfaen"/>
          <w:b/>
          <w:u w:val="single"/>
        </w:rPr>
        <w:t xml:space="preserve">გეომეტრიული </w:t>
      </w:r>
      <w:r w:rsidR="00F07838" w:rsidRPr="00F07838">
        <w:rPr>
          <w:rFonts w:ascii="Sylfaen" w:hAnsi="Sylfaen"/>
          <w:b/>
          <w:u w:val="single"/>
          <w:lang w:val="ka-GE"/>
        </w:rPr>
        <w:t>ელემენტების საანგარიშო სიდიდეები</w:t>
      </w:r>
    </w:p>
    <w:p w14:paraId="6A835CB1" w14:textId="4BA479D2" w:rsidR="00CE27E5" w:rsidRPr="00CE27E5" w:rsidRDefault="00F07838" w:rsidP="00CE27E5">
      <w:pPr>
        <w:spacing w:before="200" w:after="200"/>
        <w:rPr>
          <w:rFonts w:ascii="Sylfaen" w:hAnsi="Sylfaen"/>
        </w:rPr>
      </w:pPr>
      <w:r>
        <w:rPr>
          <w:rFonts w:ascii="Sylfaen" w:hAnsi="Sylfaen"/>
          <w:lang w:val="ka-GE"/>
        </w:rPr>
        <w:t>შერჩეული საანგარიშო მოძრაობის სიჩქარის (100კმ/სთ) გათვალისწინების, გზის გეომეტრიული ელემენტების პარამეტრების სასურველი საანგარიშო სიდიდეებია:</w:t>
      </w:r>
    </w:p>
    <w:p w14:paraId="4C87E3AB" w14:textId="1A889238" w:rsidR="00CE27E5" w:rsidRPr="00CE27E5" w:rsidRDefault="00CE27E5" w:rsidP="00CE27E5">
      <w:pPr>
        <w:tabs>
          <w:tab w:val="left" w:pos="4111"/>
        </w:tabs>
        <w:ind w:left="1134"/>
        <w:rPr>
          <w:rFonts w:ascii="Sylfaen" w:hAnsi="Sylfaen"/>
          <w:lang w:val="en-US"/>
        </w:rPr>
      </w:pPr>
      <w:r w:rsidRPr="00CE27E5">
        <w:rPr>
          <w:rFonts w:ascii="Sylfaen" w:hAnsi="Sylfaen"/>
          <w:lang w:val="en-US"/>
        </w:rPr>
        <w:t xml:space="preserve">ჰორიზონტალური </w:t>
      </w:r>
      <w:r w:rsidR="00F07838">
        <w:rPr>
          <w:rFonts w:ascii="Sylfaen" w:hAnsi="Sylfaen"/>
          <w:lang w:val="ka-GE"/>
        </w:rPr>
        <w:t xml:space="preserve">მრუდის მინიმალური </w:t>
      </w:r>
      <w:r w:rsidRPr="00CE27E5">
        <w:rPr>
          <w:rFonts w:ascii="Sylfaen" w:hAnsi="Sylfaen"/>
          <w:lang w:val="en-US"/>
        </w:rPr>
        <w:t>რადიუსი</w:t>
      </w:r>
      <w:r w:rsidRPr="00CE27E5">
        <w:rPr>
          <w:rFonts w:ascii="Sylfaen" w:hAnsi="Sylfaen"/>
          <w:lang w:val="en-US"/>
        </w:rPr>
        <w:tab/>
        <w:t xml:space="preserve"> 450 მ</w:t>
      </w:r>
    </w:p>
    <w:p w14:paraId="1435EA25" w14:textId="41DDC931" w:rsidR="00CE27E5" w:rsidRPr="00CE27E5" w:rsidRDefault="00CE27E5" w:rsidP="00CE27E5">
      <w:pPr>
        <w:tabs>
          <w:tab w:val="left" w:pos="4111"/>
        </w:tabs>
        <w:ind w:left="1134"/>
        <w:rPr>
          <w:rFonts w:ascii="Sylfaen" w:hAnsi="Sylfaen"/>
          <w:lang w:val="en-US"/>
        </w:rPr>
      </w:pPr>
      <w:r w:rsidRPr="00CE27E5">
        <w:rPr>
          <w:rFonts w:ascii="Sylfaen" w:hAnsi="Sylfaen"/>
          <w:lang w:val="en-US"/>
        </w:rPr>
        <w:lastRenderedPageBreak/>
        <w:t xml:space="preserve">მაქს. ვერტიკალური </w:t>
      </w:r>
      <w:r w:rsidR="00F07838">
        <w:rPr>
          <w:rFonts w:ascii="Sylfaen" w:hAnsi="Sylfaen"/>
          <w:lang w:val="ka-GE"/>
        </w:rPr>
        <w:t xml:space="preserve">ქანობი                                   </w:t>
      </w:r>
      <w:r w:rsidRPr="00CE27E5">
        <w:rPr>
          <w:rFonts w:ascii="Sylfaen" w:hAnsi="Sylfaen"/>
          <w:lang w:val="en-US"/>
        </w:rPr>
        <w:tab/>
        <w:t xml:space="preserve"> 5%</w:t>
      </w:r>
    </w:p>
    <w:p w14:paraId="73644ACE" w14:textId="001A5F82" w:rsidR="00CE27E5" w:rsidRPr="00CE27E5" w:rsidRDefault="00CE27E5" w:rsidP="00CE27E5">
      <w:pPr>
        <w:tabs>
          <w:tab w:val="left" w:pos="4111"/>
        </w:tabs>
        <w:ind w:left="1134"/>
        <w:rPr>
          <w:rFonts w:ascii="Sylfaen" w:hAnsi="Sylfaen"/>
          <w:lang w:val="en-US"/>
        </w:rPr>
      </w:pPr>
      <w:r w:rsidRPr="00CE27E5">
        <w:rPr>
          <w:rFonts w:ascii="Sylfaen" w:hAnsi="Sylfaen"/>
          <w:lang w:val="en-US"/>
        </w:rPr>
        <w:t xml:space="preserve">მინ. გრძივი </w:t>
      </w:r>
      <w:r w:rsidR="00F07838">
        <w:rPr>
          <w:rFonts w:ascii="Sylfaen" w:hAnsi="Sylfaen"/>
          <w:lang w:val="ka-GE"/>
        </w:rPr>
        <w:t xml:space="preserve">ქანობი                                                       </w:t>
      </w:r>
      <w:r w:rsidRPr="00CE27E5">
        <w:rPr>
          <w:rFonts w:ascii="Sylfaen" w:hAnsi="Sylfaen"/>
          <w:lang w:val="en-US"/>
        </w:rPr>
        <w:tab/>
        <w:t>0.4 %</w:t>
      </w:r>
    </w:p>
    <w:p w14:paraId="6996B7F8" w14:textId="7BA2BEC7" w:rsidR="00CE27E5" w:rsidRPr="00CE27E5" w:rsidRDefault="00F07838" w:rsidP="00CE27E5">
      <w:pPr>
        <w:tabs>
          <w:tab w:val="left" w:pos="4111"/>
        </w:tabs>
        <w:ind w:left="1134"/>
        <w:rPr>
          <w:rFonts w:ascii="Sylfaen" w:hAnsi="Sylfaen"/>
          <w:lang w:val="en-US"/>
        </w:rPr>
      </w:pPr>
      <w:r>
        <w:rPr>
          <w:rFonts w:ascii="Sylfaen" w:hAnsi="Sylfaen"/>
          <w:lang w:val="ka-GE"/>
        </w:rPr>
        <w:t xml:space="preserve">ამოზნექილი მრუდის მინიმალური რადიუსი      </w:t>
      </w:r>
      <w:r w:rsidR="00CE27E5" w:rsidRPr="00CE27E5">
        <w:rPr>
          <w:rFonts w:ascii="Sylfaen" w:hAnsi="Sylfaen"/>
          <w:lang w:val="en-US"/>
        </w:rPr>
        <w:t xml:space="preserve"> </w:t>
      </w:r>
      <w:r w:rsidR="00CE27E5" w:rsidRPr="00CE27E5">
        <w:rPr>
          <w:rFonts w:ascii="Sylfaen" w:hAnsi="Sylfaen"/>
          <w:lang w:val="en-US"/>
        </w:rPr>
        <w:tab/>
        <w:t>10,000მ</w:t>
      </w:r>
    </w:p>
    <w:p w14:paraId="561C9E1A" w14:textId="06ED049A" w:rsidR="00CE27E5" w:rsidRPr="00CE27E5" w:rsidRDefault="00F07838" w:rsidP="00CE27E5">
      <w:pPr>
        <w:tabs>
          <w:tab w:val="left" w:pos="4111"/>
        </w:tabs>
        <w:ind w:left="1134"/>
        <w:rPr>
          <w:rFonts w:ascii="Sylfaen" w:hAnsi="Sylfaen"/>
          <w:lang w:val="en-US"/>
        </w:rPr>
      </w:pPr>
      <w:r>
        <w:rPr>
          <w:rFonts w:ascii="Sylfaen" w:hAnsi="Sylfaen"/>
          <w:lang w:val="ka-GE"/>
        </w:rPr>
        <w:t xml:space="preserve">ჩაზნექილი მრუდის მინიმალური რადიუსი          </w:t>
      </w:r>
      <w:r w:rsidR="00CE27E5" w:rsidRPr="00CE27E5">
        <w:rPr>
          <w:rFonts w:ascii="Sylfaen" w:hAnsi="Sylfaen"/>
          <w:lang w:val="en-US"/>
        </w:rPr>
        <w:tab/>
        <w:t xml:space="preserve">4,900 </w:t>
      </w:r>
    </w:p>
    <w:p w14:paraId="22EA32B3" w14:textId="2EE56854" w:rsidR="00CE27E5" w:rsidRPr="00CE27E5" w:rsidRDefault="00CE27E5" w:rsidP="00CE27E5">
      <w:pPr>
        <w:tabs>
          <w:tab w:val="left" w:pos="4111"/>
        </w:tabs>
        <w:ind w:left="1134"/>
        <w:rPr>
          <w:rFonts w:ascii="Sylfaen" w:hAnsi="Sylfaen"/>
          <w:lang w:val="en-US"/>
        </w:rPr>
      </w:pPr>
      <w:r w:rsidRPr="00CE27E5">
        <w:rPr>
          <w:rFonts w:ascii="Sylfaen" w:hAnsi="Sylfaen"/>
          <w:lang w:val="en-US"/>
        </w:rPr>
        <w:t xml:space="preserve">მინ. განივი </w:t>
      </w:r>
      <w:r w:rsidR="00F07838">
        <w:rPr>
          <w:rFonts w:ascii="Sylfaen" w:hAnsi="Sylfaen"/>
          <w:lang w:val="ka-GE"/>
        </w:rPr>
        <w:t xml:space="preserve">ქანობი                                                    </w:t>
      </w:r>
      <w:r w:rsidRPr="00CE27E5">
        <w:rPr>
          <w:rFonts w:ascii="Sylfaen" w:hAnsi="Sylfaen"/>
          <w:lang w:val="en-US"/>
        </w:rPr>
        <w:tab/>
        <w:t>2.5%</w:t>
      </w:r>
    </w:p>
    <w:p w14:paraId="0DA7BC0C" w14:textId="5DD6AE8F" w:rsidR="00CE27E5" w:rsidRPr="00CE27E5" w:rsidRDefault="00F07838" w:rsidP="00CE27E5">
      <w:pPr>
        <w:tabs>
          <w:tab w:val="left" w:pos="4111"/>
        </w:tabs>
        <w:ind w:left="1134"/>
        <w:rPr>
          <w:rFonts w:ascii="Sylfaen" w:hAnsi="Sylfaen"/>
          <w:lang w:val="en-US"/>
        </w:rPr>
      </w:pPr>
      <w:r>
        <w:rPr>
          <w:rFonts w:ascii="Sylfaen" w:hAnsi="Sylfaen"/>
          <w:lang w:val="ka-GE"/>
        </w:rPr>
        <w:t xml:space="preserve">ვირაჟის მაქსიმალური ქანობი                               </w:t>
      </w:r>
      <w:r w:rsidR="00CE27E5" w:rsidRPr="00CE27E5">
        <w:rPr>
          <w:rFonts w:ascii="Sylfaen" w:hAnsi="Sylfaen"/>
          <w:lang w:val="en-US"/>
        </w:rPr>
        <w:t xml:space="preserve"> </w:t>
      </w:r>
      <w:r w:rsidR="00CE27E5" w:rsidRPr="00CE27E5">
        <w:rPr>
          <w:rFonts w:ascii="Sylfaen" w:hAnsi="Sylfaen"/>
          <w:lang w:val="en-US"/>
        </w:rPr>
        <w:tab/>
        <w:t>7%</w:t>
      </w:r>
    </w:p>
    <w:p w14:paraId="67681252" w14:textId="42B8911C" w:rsidR="00CE27E5" w:rsidRPr="00CE27E5" w:rsidRDefault="00F07838" w:rsidP="00F07838">
      <w:pPr>
        <w:pStyle w:val="BodyText"/>
        <w:tabs>
          <w:tab w:val="left" w:pos="851"/>
        </w:tabs>
        <w:spacing w:before="200" w:after="200" w:line="240" w:lineRule="auto"/>
        <w:jc w:val="both"/>
        <w:rPr>
          <w:rFonts w:ascii="Sylfaen" w:hAnsi="Sylfaen" w:cs="Arial"/>
          <w:sz w:val="22"/>
          <w:szCs w:val="22"/>
        </w:rPr>
      </w:pPr>
      <w:r w:rsidRPr="00F07838">
        <w:rPr>
          <w:rFonts w:ascii="Sylfaen" w:hAnsi="Sylfaen" w:cs="Arial"/>
          <w:sz w:val="22"/>
        </w:rPr>
        <w:t>მიმართულებათა შემოთავაზებული ალტერნატივები მოსწორებულ რელიეფზე გადის, შესაბამისად დაბრკოლებები რომლები გამოიწვევს საპროექტო სიჩქარის შემცირებას, მოსალოდნელი არ არის.</w:t>
      </w:r>
    </w:p>
    <w:p w14:paraId="1E93B56C" w14:textId="77777777" w:rsidR="00CE27E5" w:rsidRPr="00CE27E5" w:rsidRDefault="00CE27E5" w:rsidP="00AB098E">
      <w:pPr>
        <w:pStyle w:val="Heading2"/>
      </w:pPr>
      <w:bookmarkStart w:id="51" w:name="_Toc1581492"/>
      <w:r w:rsidRPr="00CE27E5">
        <w:t>4.</w:t>
      </w:r>
      <w:r w:rsidR="00AB098E">
        <w:rPr>
          <w:rFonts w:ascii="Sylfaen" w:hAnsi="Sylfaen"/>
          <w:lang w:val="ka-GE"/>
        </w:rPr>
        <w:t>2</w:t>
      </w:r>
      <w:r w:rsidRPr="00CE27E5">
        <w:tab/>
        <w:t xml:space="preserve">   </w:t>
      </w:r>
      <w:r w:rsidRPr="00CE27E5">
        <w:rPr>
          <w:rFonts w:ascii="Sylfaen" w:hAnsi="Sylfaen" w:cs="Sylfaen"/>
        </w:rPr>
        <w:t>ხიდის</w:t>
      </w:r>
      <w:r w:rsidRPr="00CE27E5">
        <w:t xml:space="preserve"> </w:t>
      </w:r>
      <w:r w:rsidRPr="00CE27E5">
        <w:rPr>
          <w:rFonts w:ascii="Sylfaen" w:hAnsi="Sylfaen" w:cs="Sylfaen"/>
        </w:rPr>
        <w:t>დიზაინის</w:t>
      </w:r>
      <w:r w:rsidRPr="00CE27E5">
        <w:t xml:space="preserve"> </w:t>
      </w:r>
      <w:r w:rsidRPr="00CE27E5">
        <w:rPr>
          <w:rFonts w:ascii="Sylfaen" w:hAnsi="Sylfaen" w:cs="Sylfaen"/>
        </w:rPr>
        <w:t>კოდები</w:t>
      </w:r>
      <w:r w:rsidRPr="00CE27E5">
        <w:t xml:space="preserve"> </w:t>
      </w:r>
      <w:r w:rsidRPr="00CE27E5">
        <w:rPr>
          <w:rFonts w:ascii="Sylfaen" w:hAnsi="Sylfaen" w:cs="Sylfaen"/>
        </w:rPr>
        <w:t>და</w:t>
      </w:r>
      <w:r w:rsidRPr="00CE27E5">
        <w:t xml:space="preserve"> </w:t>
      </w:r>
      <w:r w:rsidRPr="00CE27E5">
        <w:rPr>
          <w:rFonts w:ascii="Sylfaen" w:hAnsi="Sylfaen" w:cs="Sylfaen"/>
        </w:rPr>
        <w:t>სტანდარტები</w:t>
      </w:r>
      <w:bookmarkEnd w:id="51"/>
    </w:p>
    <w:p w14:paraId="5A1E9C4D" w14:textId="625438EF" w:rsidR="002B361A" w:rsidRPr="002B361A" w:rsidRDefault="002B361A" w:rsidP="002B361A">
      <w:pPr>
        <w:spacing w:before="200" w:after="200"/>
        <w:rPr>
          <w:rFonts w:ascii="Sylfaen" w:hAnsi="Sylfaen"/>
        </w:rPr>
      </w:pPr>
      <w:r w:rsidRPr="002B361A">
        <w:rPr>
          <w:rFonts w:ascii="Sylfaen" w:hAnsi="Sylfaen"/>
        </w:rPr>
        <w:t xml:space="preserve">დამოუკიდებლობის მოპოვებამდე, საქართველოში და მის მეზობელ ამიერკავკასიის რესპუბლიკებში ხიდების პროექტირების საკითხები რეგულირდებოდა ე.წ. “სამშენებლო ნორმებით და წესებით” (სნდწ/СНиП).  დამოუკიდებლობის პერიოდში, ხიდების პროექტირების ნორმები ცალკე სახით მიღებული ჯერ კიდევ არ არის და სანაცვლოდ სახიდე ნაგებობების პროექტირებისას შერეული სახით გამოიყენება შესაბამისი ამერიკული და ევროპული სტანდარტები. საავტომობილო მაგისტრალური გზების დატვირთვების გაანგარიშების მიზნით ფართო გამოყენებით სარგებლობს </w:t>
      </w:r>
      <w:r>
        <w:rPr>
          <w:rFonts w:ascii="Sylfaen" w:hAnsi="Sylfaen"/>
        </w:rPr>
        <w:t>HL</w:t>
      </w:r>
      <w:r w:rsidRPr="002B361A">
        <w:rPr>
          <w:rFonts w:ascii="Sylfaen" w:hAnsi="Sylfaen"/>
        </w:rPr>
        <w:t>93 ტიპის სატრანსპორტო დატვირთვა, რომლითად უკვე დაპროექტებულია ხიდები როგორც საერთაშორისო, ასევე ადგილობრივი ბიუჯეტით დაფუნანსებული პროექტების ფარგლებში.</w:t>
      </w:r>
    </w:p>
    <w:p w14:paraId="526CBF08" w14:textId="03FF69F0" w:rsidR="002B361A" w:rsidRDefault="002B361A" w:rsidP="002B361A">
      <w:pPr>
        <w:spacing w:before="200" w:after="200"/>
        <w:rPr>
          <w:rFonts w:ascii="Sylfaen" w:hAnsi="Sylfaen"/>
        </w:rPr>
      </w:pPr>
      <w:r w:rsidRPr="002B361A">
        <w:rPr>
          <w:rFonts w:ascii="Sylfaen" w:hAnsi="Sylfaen"/>
        </w:rPr>
        <w:t xml:space="preserve">კონსულტანტის წინადადებაა ხიდები დაპროექტდნენ 75-წლიანი “საანგარიშო საექსპლუატაციო ვადის” გათვალისწინებით, </w:t>
      </w:r>
      <w:r>
        <w:rPr>
          <w:rFonts w:ascii="Sylfaen" w:hAnsi="Sylfaen"/>
        </w:rPr>
        <w:t>AASHTO/LRFD</w:t>
      </w:r>
      <w:r w:rsidRPr="002B361A">
        <w:rPr>
          <w:rFonts w:ascii="Sylfaen" w:hAnsi="Sylfaen"/>
        </w:rPr>
        <w:t>-ის “ხიდების პროექტირების სპეციფიკაციების” შესაბამისად, რომელშიც წარმოდგენილია მაქსიმალური დატვირთვების შემდეგი საკონტროლო უზრუნველყოფის (განმეორებადობის) სიდიდეები:</w:t>
      </w:r>
    </w:p>
    <w:p w14:paraId="718D8275" w14:textId="24D26F05" w:rsidR="002B361A" w:rsidRPr="001D2B74" w:rsidRDefault="002B361A" w:rsidP="00821E4D">
      <w:pPr>
        <w:pStyle w:val="ListParagraph"/>
        <w:numPr>
          <w:ilvl w:val="0"/>
          <w:numId w:val="48"/>
        </w:numPr>
        <w:spacing w:before="120"/>
        <w:ind w:left="270" w:hanging="270"/>
      </w:pPr>
      <w:r w:rsidRPr="001D2B74">
        <w:t>HL-93 ტიპის საანგარიშო დატვირთვა – 75-წლიანი განმეორებადობის მაქსიმალური დინამიკური დატვირთვის ეფექტი;</w:t>
      </w:r>
    </w:p>
    <w:p w14:paraId="5CD2C63A" w14:textId="2AD88C50" w:rsidR="002B361A" w:rsidRPr="001D2B74" w:rsidRDefault="002B361A" w:rsidP="00821E4D">
      <w:pPr>
        <w:pStyle w:val="ListParagraph"/>
        <w:numPr>
          <w:ilvl w:val="0"/>
          <w:numId w:val="48"/>
        </w:numPr>
        <w:spacing w:before="120"/>
        <w:ind w:left="270" w:hanging="270"/>
      </w:pPr>
      <w:r w:rsidRPr="001D2B74">
        <w:t>საანგარიშო მიწისძვრის ინტენსიურობა – 75 წლის განმავლობაში გადაჭარბების 7%-იანი ალბათობა (1000-წლიანი განმეორებადობა);</w:t>
      </w:r>
    </w:p>
    <w:p w14:paraId="1D0B8580" w14:textId="0EF45BC6" w:rsidR="002B361A" w:rsidRPr="001D2B74" w:rsidRDefault="002B361A" w:rsidP="00821E4D">
      <w:pPr>
        <w:pStyle w:val="ListParagraph"/>
        <w:numPr>
          <w:ilvl w:val="0"/>
          <w:numId w:val="48"/>
        </w:numPr>
        <w:spacing w:before="120"/>
        <w:ind w:left="270" w:hanging="270"/>
      </w:pPr>
      <w:r w:rsidRPr="001D2B74">
        <w:t>საანგარიშო ქარი – 50-წლიანი განმეორებადობის;</w:t>
      </w:r>
    </w:p>
    <w:p w14:paraId="5E0D3E97" w14:textId="3EB01C7E" w:rsidR="002B361A" w:rsidRPr="001D2B74" w:rsidRDefault="002B361A" w:rsidP="00821E4D">
      <w:pPr>
        <w:pStyle w:val="ListParagraph"/>
        <w:numPr>
          <w:ilvl w:val="0"/>
          <w:numId w:val="48"/>
        </w:numPr>
        <w:spacing w:before="120"/>
        <w:ind w:left="270" w:hanging="270"/>
      </w:pPr>
      <w:r w:rsidRPr="001D2B74">
        <w:t>საანგარიშო წყალდიდობა – 100-წლიანი განმეორებადობის</w:t>
      </w:r>
    </w:p>
    <w:p w14:paraId="1BFC4238" w14:textId="1D12B06F" w:rsidR="002B361A" w:rsidRPr="002B361A" w:rsidRDefault="002B361A" w:rsidP="002B361A">
      <w:pPr>
        <w:spacing w:before="200" w:after="200"/>
        <w:rPr>
          <w:rFonts w:ascii="Sylfaen" w:hAnsi="Sylfaen"/>
        </w:rPr>
      </w:pPr>
      <w:r>
        <w:rPr>
          <w:rFonts w:ascii="Sylfaen" w:hAnsi="Sylfaen"/>
        </w:rPr>
        <w:t>AASHTO/LRFD</w:t>
      </w:r>
      <w:r w:rsidRPr="002B361A">
        <w:rPr>
          <w:rFonts w:ascii="Sylfaen" w:hAnsi="Sylfaen"/>
        </w:rPr>
        <w:t>-ის “ხიდების პროექტირების სპეციფიკაციების” გამოყენების შეთავაზება განპირობებულია შემდეგი მიზეზებით:</w:t>
      </w:r>
    </w:p>
    <w:p w14:paraId="083FE8FF" w14:textId="25296938" w:rsidR="002B361A" w:rsidRPr="001D2B74" w:rsidRDefault="002B361A" w:rsidP="00821E4D">
      <w:pPr>
        <w:pStyle w:val="ListParagraph"/>
        <w:numPr>
          <w:ilvl w:val="0"/>
          <w:numId w:val="48"/>
        </w:numPr>
        <w:spacing w:before="200" w:after="200"/>
        <w:ind w:left="180" w:hanging="180"/>
      </w:pPr>
      <w:r w:rsidRPr="001D2B74">
        <w:t xml:space="preserve">საქართველოში საგზაო (სატრანსპორტო) დატვირთვების კონკრეტული სტატისტიკური მონაცემები ხელმისაწვდომი არ არის. უახლოეს წარსულში HL93 ტიპის საანგარიშო დატვირთვის გამოყენებით დაპროექტებული ნაგებობების ადექვატურობის მიმართ დღემდე რაიმე პრეტენზიები არ გამოთქმულა. აღნიშნულის გათვალისწინებით, სატრანსპორტო დატვირთვების უფრო მაღალი საანგარიშო სიდიდის მიყენება სათანადო კონკრეტული მიზეზის გარეშე ზედმეტად კონსერვატიული (ჭარბ მარაგიანი) გადაწყვეტა იქნება. </w:t>
      </w:r>
    </w:p>
    <w:p w14:paraId="16DA40F3" w14:textId="3771C0BE" w:rsidR="002B361A" w:rsidRPr="001D2B74" w:rsidRDefault="002B361A" w:rsidP="00821E4D">
      <w:pPr>
        <w:pStyle w:val="ListParagraph"/>
        <w:numPr>
          <w:ilvl w:val="0"/>
          <w:numId w:val="48"/>
        </w:numPr>
        <w:spacing w:before="200" w:after="200"/>
        <w:ind w:left="180" w:hanging="180"/>
      </w:pPr>
      <w:r w:rsidRPr="001D2B74">
        <w:t xml:space="preserve">AASHTO/LRFD-ის მიდგომა გამოირჩევა სიმარტივით. ეს მიდგომა ითვალისწინებს 3.5-ის ტოლი “საიმედოობის კოეფიციენტის” გამოყენებას ნაგებობის სიმტკიცის გასაანგარიშებლად 75-წლიან საანგარიშო საექსპლუატაციო პერიოდში, რაც ნიშნავს, რომ ნაგებობის კონსტრუქციული დარღვევის ექვივალენტური ალბათობა დადგენილი საექსპლუატაციო პერიოდისთვის მხოლოდ 0.0233%-ს </w:t>
      </w:r>
      <w:r w:rsidRPr="001D2B74">
        <w:lastRenderedPageBreak/>
        <w:t xml:space="preserve">შეადგენს. კონსულტანტი მიიჩნევს, რომ ასეთი მცირე ალბათობა მოცემული პროექტისთვის საკმარისზე მეტია. </w:t>
      </w:r>
    </w:p>
    <w:p w14:paraId="4DFA7A9A" w14:textId="2E90841B" w:rsidR="002B361A" w:rsidRPr="001D2B74" w:rsidRDefault="002B361A" w:rsidP="00821E4D">
      <w:pPr>
        <w:pStyle w:val="ListParagraph"/>
        <w:numPr>
          <w:ilvl w:val="0"/>
          <w:numId w:val="48"/>
        </w:numPr>
        <w:spacing w:before="200" w:after="200"/>
        <w:ind w:left="180" w:hanging="180"/>
      </w:pPr>
      <w:r w:rsidRPr="001D2B74">
        <w:t>შეთავაზებული მიდგომა იძლევა ხარჯების დაზოგვის შესაძლებლობას (თუმცა კონსტრუქციული ნაწილის ღირებულება საექსპლუატაციო ვადის ზრდის პროპორციულად არ მცირდება).</w:t>
      </w:r>
    </w:p>
    <w:p w14:paraId="7683E650" w14:textId="77777777" w:rsidR="002B361A" w:rsidRPr="001D2B74" w:rsidRDefault="002B361A" w:rsidP="00821E4D">
      <w:pPr>
        <w:pStyle w:val="ListParagraph"/>
        <w:numPr>
          <w:ilvl w:val="0"/>
          <w:numId w:val="49"/>
        </w:numPr>
        <w:spacing w:before="200" w:after="200"/>
        <w:ind w:left="180" w:hanging="180"/>
      </w:pPr>
      <w:r w:rsidRPr="001D2B74">
        <w:t xml:space="preserve">ზემოთ მოყვანილი განხილვის მიუხედავად, კონსულტანტი არ გამორიცხავს გზების დეპარტამენტის სათანადო სურვილის შემთხვევაში უფრო ხანგრძლივი “საანგარიშოს საექსპლუატაციო ვადით” ხელმძღვანელობას (სხვა სტანდარტის საფუძველზე). თუმცა, იმავდროულად, უნდა გვახსოვდეს, რომ ასეთი გადაწყვეტა გამოიწვევს საწყისი ღირებულების გაზრდას და ნაკლებად მკაფიოდ გახდის ინვესტიციით მიღებად სარგებელს. </w:t>
      </w:r>
    </w:p>
    <w:p w14:paraId="2DF76567" w14:textId="77777777" w:rsidR="002B361A" w:rsidRPr="002B361A" w:rsidRDefault="002B361A" w:rsidP="002B361A">
      <w:pPr>
        <w:spacing w:before="200" w:after="200"/>
        <w:rPr>
          <w:rFonts w:ascii="Sylfaen" w:hAnsi="Sylfaen"/>
        </w:rPr>
      </w:pPr>
      <w:r w:rsidRPr="002B361A">
        <w:rPr>
          <w:rFonts w:ascii="Sylfaen" w:hAnsi="Sylfaen"/>
        </w:rPr>
        <w:t>დატვირთვების შეფასებისა და ნაგებობების წინასწარი პროექტირების მიზნით, ზოგადად, მხედველობაში მიღებული იქნა შემდეგი სტანდარტების მოთხოვნები:</w:t>
      </w:r>
    </w:p>
    <w:p w14:paraId="3F336573" w14:textId="58A940E8" w:rsidR="002B361A" w:rsidRPr="001D2B74" w:rsidRDefault="002B361A" w:rsidP="00821E4D">
      <w:pPr>
        <w:pStyle w:val="ListParagraph"/>
        <w:numPr>
          <w:ilvl w:val="0"/>
          <w:numId w:val="49"/>
        </w:numPr>
        <w:spacing w:before="120"/>
        <w:ind w:left="360" w:hanging="360"/>
      </w:pPr>
      <w:r w:rsidRPr="001D2B74">
        <w:t>AASHTO LRFD Bridge Design Specification (SI Units) 2007</w:t>
      </w:r>
    </w:p>
    <w:p w14:paraId="31C7CCD6" w14:textId="026E43E5" w:rsidR="002B361A" w:rsidRPr="002B361A" w:rsidRDefault="002B361A" w:rsidP="001D2B74">
      <w:pPr>
        <w:spacing w:before="120" w:after="120"/>
        <w:rPr>
          <w:rFonts w:ascii="Sylfaen" w:hAnsi="Sylfaen"/>
        </w:rPr>
      </w:pPr>
      <w:r>
        <w:rPr>
          <w:rFonts w:ascii="Sylfaen" w:hAnsi="Sylfaen"/>
        </w:rPr>
        <w:t xml:space="preserve">      AASHTO/LRFD</w:t>
      </w:r>
      <w:r w:rsidRPr="002B361A">
        <w:rPr>
          <w:rFonts w:ascii="Sylfaen" w:hAnsi="Sylfaen"/>
        </w:rPr>
        <w:t xml:space="preserve"> -ის “ხიდების პროექტირების სპეციფიკაციები” (</w:t>
      </w:r>
      <w:r>
        <w:rPr>
          <w:rFonts w:ascii="Sylfaen" w:hAnsi="Sylfaen"/>
        </w:rPr>
        <w:t>SI</w:t>
      </w:r>
      <w:r w:rsidRPr="002B361A">
        <w:rPr>
          <w:rFonts w:ascii="Sylfaen" w:hAnsi="Sylfaen"/>
        </w:rPr>
        <w:t xml:space="preserve"> ერთეულებში), 2007წ.</w:t>
      </w:r>
    </w:p>
    <w:p w14:paraId="590A0256" w14:textId="45E311BA" w:rsidR="002B361A" w:rsidRPr="002B361A" w:rsidRDefault="002B361A" w:rsidP="001D2B74">
      <w:pPr>
        <w:spacing w:before="120" w:after="120"/>
        <w:ind w:left="360"/>
        <w:rPr>
          <w:rFonts w:ascii="Sylfaen" w:hAnsi="Sylfaen"/>
        </w:rPr>
      </w:pPr>
      <w:r w:rsidRPr="002B361A">
        <w:rPr>
          <w:rFonts w:ascii="Sylfaen" w:hAnsi="Sylfaen"/>
        </w:rPr>
        <w:t>ეს სტანდარტი ძირითადად გამოყენებული იყო ხიდების დატვირთვების და ნაგებობების კონსტრუქციული ელემენტების გაანგარიშების მიზნით.</w:t>
      </w:r>
    </w:p>
    <w:p w14:paraId="700879DA" w14:textId="31BB5931" w:rsidR="002B361A" w:rsidRPr="001D2B74" w:rsidRDefault="002B361A" w:rsidP="00821E4D">
      <w:pPr>
        <w:pStyle w:val="ListParagraph"/>
        <w:numPr>
          <w:ilvl w:val="0"/>
          <w:numId w:val="49"/>
        </w:numPr>
        <w:spacing w:before="120"/>
        <w:ind w:left="360" w:hanging="270"/>
      </w:pPr>
      <w:r w:rsidRPr="001D2B74">
        <w:t>AASHTO Guide Specification of LRFD Seismic Bridge Design - 2011</w:t>
      </w:r>
    </w:p>
    <w:p w14:paraId="10378D85" w14:textId="66C6BEE6" w:rsidR="002B361A" w:rsidRPr="002B361A" w:rsidRDefault="002B361A" w:rsidP="001D2B74">
      <w:pPr>
        <w:spacing w:before="120" w:after="120"/>
        <w:ind w:left="360"/>
        <w:rPr>
          <w:rFonts w:ascii="Sylfaen" w:hAnsi="Sylfaen"/>
        </w:rPr>
      </w:pPr>
      <w:r>
        <w:rPr>
          <w:rFonts w:ascii="Sylfaen" w:hAnsi="Sylfaen"/>
        </w:rPr>
        <w:t>AASHTO-</w:t>
      </w:r>
      <w:r>
        <w:rPr>
          <w:rFonts w:ascii="Sylfaen" w:hAnsi="Sylfaen"/>
          <w:lang w:val="ka-GE"/>
        </w:rPr>
        <w:t>ს</w:t>
      </w:r>
      <w:r w:rsidRPr="002B361A">
        <w:rPr>
          <w:rFonts w:ascii="Sylfaen" w:hAnsi="Sylfaen"/>
        </w:rPr>
        <w:t xml:space="preserve"> “სახელმძღვანელო სპეციფიკაციები ხიდები</w:t>
      </w:r>
      <w:r>
        <w:rPr>
          <w:rFonts w:ascii="Sylfaen" w:hAnsi="Sylfaen"/>
        </w:rPr>
        <w:t xml:space="preserve">ს სეისმომედეგი პროექტირებისთვის </w:t>
      </w:r>
      <w:r w:rsidRPr="002B361A">
        <w:rPr>
          <w:rFonts w:ascii="Sylfaen" w:hAnsi="Sylfaen"/>
        </w:rPr>
        <w:t>დატვირთვების და წინააღმდეგობების კოეფიციენტების გამოყენებით”, 2011 წ.</w:t>
      </w:r>
    </w:p>
    <w:p w14:paraId="3E3CDB64" w14:textId="3B4FDAB1" w:rsidR="002B361A" w:rsidRPr="001D2B74" w:rsidRDefault="002B361A" w:rsidP="00821E4D">
      <w:pPr>
        <w:pStyle w:val="ListParagraph"/>
        <w:numPr>
          <w:ilvl w:val="0"/>
          <w:numId w:val="49"/>
        </w:numPr>
        <w:spacing w:before="120"/>
        <w:ind w:left="450" w:hanging="270"/>
      </w:pPr>
      <w:r w:rsidRPr="001D2B74">
        <w:t xml:space="preserve">სნდწ “ხიდები და მილები” (СНиП 2.05.03-84). აღნიშნული სტანდარტიდან გამოიყენება მხოლოდ NK-100 ტიპის ნორმატიული დინამიკური დატვირთვების მონაცემები, რომლებიც საჭიროა ხიდის დატვირთვებზე რეაგირების გასაანგარიშებლად. </w:t>
      </w:r>
    </w:p>
    <w:p w14:paraId="3FB96E62" w14:textId="4FF2471B" w:rsidR="002B361A" w:rsidRPr="001D2B74" w:rsidRDefault="002B361A" w:rsidP="00821E4D">
      <w:pPr>
        <w:pStyle w:val="ListParagraph"/>
        <w:numPr>
          <w:ilvl w:val="0"/>
          <w:numId w:val="49"/>
        </w:numPr>
        <w:spacing w:before="120"/>
        <w:ind w:left="450" w:hanging="270"/>
      </w:pPr>
      <w:r w:rsidRPr="001D2B74">
        <w:t>სამშენებლო ნორმები და წესები “სეისმომედეგი მშენებლობა” (პნ 01.01.09)</w:t>
      </w:r>
    </w:p>
    <w:p w14:paraId="0BFF9B31" w14:textId="77777777" w:rsidR="002B361A" w:rsidRPr="002B361A" w:rsidRDefault="002B361A" w:rsidP="001D2B74">
      <w:pPr>
        <w:spacing w:before="120" w:after="120"/>
        <w:rPr>
          <w:rFonts w:ascii="Sylfaen" w:hAnsi="Sylfaen"/>
          <w:b/>
          <w:u w:val="single"/>
        </w:rPr>
      </w:pPr>
      <w:r w:rsidRPr="002B361A">
        <w:rPr>
          <w:rFonts w:ascii="Sylfaen" w:hAnsi="Sylfaen"/>
          <w:b/>
          <w:u w:val="single"/>
        </w:rPr>
        <w:t>ხიდის განივი კვეთი</w:t>
      </w:r>
    </w:p>
    <w:p w14:paraId="308BAE31" w14:textId="77777777" w:rsidR="002B361A" w:rsidRPr="002B361A" w:rsidRDefault="002B361A" w:rsidP="002B361A">
      <w:pPr>
        <w:spacing w:before="200" w:after="200"/>
        <w:rPr>
          <w:rFonts w:ascii="Sylfaen" w:hAnsi="Sylfaen"/>
        </w:rPr>
      </w:pPr>
      <w:r w:rsidRPr="002B361A">
        <w:rPr>
          <w:rFonts w:ascii="Sylfaen" w:hAnsi="Sylfaen"/>
        </w:rPr>
        <w:t>ხიდის სავალი ნაწილისთვის შერჩეული გეომეტრიული პარამეტრები დაფუძნებულია ნორმატიულ დოკუმენტზე “გეომეტრიული და კონსტრუქციული მოთხოვნები საქართველოს საერთო დანიშნულების საავტომობილო გზებისთვის”, კერძოდ:</w:t>
      </w:r>
    </w:p>
    <w:p w14:paraId="79A6574D" w14:textId="7DCBF6FF" w:rsidR="002B361A" w:rsidRPr="001D2B74" w:rsidRDefault="002B361A" w:rsidP="00821E4D">
      <w:pPr>
        <w:pStyle w:val="ListParagraph"/>
        <w:numPr>
          <w:ilvl w:val="0"/>
          <w:numId w:val="49"/>
        </w:numPr>
        <w:spacing w:before="200" w:after="200"/>
        <w:ind w:left="270" w:hanging="270"/>
      </w:pPr>
      <w:r w:rsidRPr="001D2B74">
        <w:t>მოძრაობის ზოლის სიგანე შეადგენს 3.0 მეტრს, საპროექტო გზის მოძრაობის ზოლის ანალოგიურად;</w:t>
      </w:r>
    </w:p>
    <w:p w14:paraId="7D702C71" w14:textId="202E783D" w:rsidR="002B361A" w:rsidRPr="001D2B74" w:rsidRDefault="002B361A" w:rsidP="00821E4D">
      <w:pPr>
        <w:pStyle w:val="ListParagraph"/>
        <w:numPr>
          <w:ilvl w:val="0"/>
          <w:numId w:val="49"/>
        </w:numPr>
        <w:spacing w:before="200" w:after="200"/>
        <w:ind w:left="270" w:hanging="270"/>
      </w:pPr>
      <w:r w:rsidRPr="001D2B74">
        <w:t xml:space="preserve">განაპირა ზოლი (უსაფრთხოების ზოლი, რომლის სიგანე იცვლება გზის პროექტირების მოთხოვნების გათვალისწინებით): 2.5 მ; </w:t>
      </w:r>
    </w:p>
    <w:p w14:paraId="5365D479" w14:textId="20B78890" w:rsidR="002B361A" w:rsidRPr="001D2B74" w:rsidRDefault="002B361A" w:rsidP="00821E4D">
      <w:pPr>
        <w:pStyle w:val="ListParagraph"/>
        <w:numPr>
          <w:ilvl w:val="0"/>
          <w:numId w:val="49"/>
        </w:numPr>
        <w:spacing w:before="200" w:after="200"/>
        <w:ind w:left="270" w:hanging="270"/>
      </w:pPr>
      <w:r w:rsidRPr="001D2B74">
        <w:t>საფეხმავლო ბილიკის (ტროტუარის) მინიმალური სიგანე: 1.5 მ (0.5+0.75+0.25);</w:t>
      </w:r>
    </w:p>
    <w:p w14:paraId="049515AE" w14:textId="39ECB59E" w:rsidR="002B361A" w:rsidRPr="001D2B74" w:rsidRDefault="002B361A" w:rsidP="00821E4D">
      <w:pPr>
        <w:pStyle w:val="ListParagraph"/>
        <w:numPr>
          <w:ilvl w:val="0"/>
          <w:numId w:val="49"/>
        </w:numPr>
        <w:spacing w:before="200" w:after="200"/>
        <w:ind w:left="270" w:hanging="270"/>
      </w:pPr>
      <w:r w:rsidRPr="001D2B74">
        <w:t>ბეტონის ჯებირის (თვალამრიდის) სიმაღლე: 0.80 მ;</w:t>
      </w:r>
    </w:p>
    <w:p w14:paraId="666D6104" w14:textId="42E1ACDF" w:rsidR="002B361A" w:rsidRPr="001D2B74" w:rsidRDefault="002B361A" w:rsidP="00821E4D">
      <w:pPr>
        <w:pStyle w:val="ListParagraph"/>
        <w:numPr>
          <w:ilvl w:val="0"/>
          <w:numId w:val="49"/>
        </w:numPr>
        <w:spacing w:before="200" w:after="200"/>
        <w:ind w:left="270" w:hanging="270"/>
      </w:pPr>
      <w:r w:rsidRPr="001D2B74">
        <w:t>სავალი ნაწილის საერთო განივი ქანობი: 2.5%.</w:t>
      </w:r>
    </w:p>
    <w:p w14:paraId="788FCD30" w14:textId="4477F148" w:rsidR="002B361A" w:rsidRDefault="002B361A" w:rsidP="002B361A">
      <w:pPr>
        <w:spacing w:before="200" w:after="200"/>
        <w:rPr>
          <w:rFonts w:ascii="Sylfaen" w:hAnsi="Sylfaen"/>
        </w:rPr>
      </w:pPr>
      <w:r w:rsidRPr="002B361A">
        <w:rPr>
          <w:rFonts w:ascii="Sylfaen" w:hAnsi="Sylfaen"/>
        </w:rPr>
        <w:t>ხიდის სრული სიგანე შეადგენს 15.0 მეტრს, როგორც ეს ილუსტრირებულია მომდევნო სურათზე 2.3.</w:t>
      </w:r>
    </w:p>
    <w:p w14:paraId="487021A3" w14:textId="0EF552DF" w:rsidR="002B361A" w:rsidRPr="002B361A" w:rsidRDefault="002B361A" w:rsidP="002B361A">
      <w:pPr>
        <w:spacing w:before="200" w:after="200"/>
        <w:rPr>
          <w:rFonts w:ascii="Sylfaen" w:hAnsi="Sylfaen"/>
        </w:rPr>
      </w:pPr>
      <w:r w:rsidRPr="00FF734A">
        <w:rPr>
          <w:noProof/>
          <w:lang w:val="en-US" w:eastAsia="en-US"/>
        </w:rPr>
        <w:lastRenderedPageBreak/>
        <w:drawing>
          <wp:inline distT="0" distB="0" distL="0" distR="0" wp14:anchorId="7478E88F" wp14:editId="3B2BEE02">
            <wp:extent cx="5932805" cy="2171666"/>
            <wp:effectExtent l="0" t="0" r="10795" b="0"/>
            <wp:docPr id="1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email">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5933167" cy="2171798"/>
                    </a:xfrm>
                    <a:prstGeom prst="rect">
                      <a:avLst/>
                    </a:prstGeom>
                    <a:noFill/>
                    <a:ln>
                      <a:noFill/>
                    </a:ln>
                  </pic:spPr>
                </pic:pic>
              </a:graphicData>
            </a:graphic>
          </wp:inline>
        </w:drawing>
      </w:r>
    </w:p>
    <w:p w14:paraId="05240987" w14:textId="6B34BD9E" w:rsidR="00915446" w:rsidRDefault="004D31A1" w:rsidP="00CE27E5">
      <w:pPr>
        <w:spacing w:before="200" w:after="200"/>
        <w:rPr>
          <w:rFonts w:ascii="Sylfaen" w:hAnsi="Sylfaen"/>
          <w:sz w:val="20"/>
          <w:lang w:val="ka-GE"/>
        </w:rPr>
      </w:pPr>
      <w:r>
        <w:rPr>
          <w:rFonts w:ascii="Sylfaen" w:hAnsi="Sylfaen"/>
          <w:sz w:val="20"/>
          <w:lang w:val="ka-GE"/>
        </w:rPr>
        <w:t>სურათი</w:t>
      </w:r>
      <w:r w:rsidR="00915446">
        <w:rPr>
          <w:rFonts w:ascii="Sylfaen" w:hAnsi="Sylfaen"/>
          <w:sz w:val="20"/>
          <w:lang w:val="ka-GE"/>
        </w:rPr>
        <w:t xml:space="preserve"> 4</w:t>
      </w:r>
      <w:r w:rsidR="00142B71">
        <w:rPr>
          <w:rFonts w:ascii="Sylfaen" w:hAnsi="Sylfaen"/>
          <w:sz w:val="20"/>
          <w:lang w:val="ka-GE"/>
        </w:rPr>
        <w:t>.2</w:t>
      </w:r>
      <w:r>
        <w:rPr>
          <w:rFonts w:ascii="Sylfaen" w:hAnsi="Sylfaen"/>
          <w:sz w:val="20"/>
          <w:lang w:val="ka-GE"/>
        </w:rPr>
        <w:t>-</w:t>
      </w:r>
      <w:r w:rsidR="00142B71">
        <w:rPr>
          <w:rFonts w:ascii="Sylfaen" w:hAnsi="Sylfaen"/>
          <w:sz w:val="20"/>
          <w:lang w:val="ka-GE"/>
        </w:rPr>
        <w:t>1</w:t>
      </w:r>
      <w:r w:rsidR="00915446">
        <w:rPr>
          <w:rFonts w:ascii="Sylfaen" w:hAnsi="Sylfaen"/>
          <w:sz w:val="20"/>
          <w:lang w:val="ka-GE"/>
        </w:rPr>
        <w:t xml:space="preserve"> </w:t>
      </w:r>
      <w:r w:rsidR="00A81BE8">
        <w:rPr>
          <w:rFonts w:ascii="Sylfaen" w:hAnsi="Sylfaen"/>
          <w:sz w:val="20"/>
          <w:lang w:val="ka-GE"/>
        </w:rPr>
        <w:t>წარმოდგენილი ხიდის ნიმუში პროექტის ფარგლებში</w:t>
      </w:r>
    </w:p>
    <w:p w14:paraId="0BC31065" w14:textId="5558BCB8" w:rsidR="0058787D" w:rsidRDefault="0058787D" w:rsidP="00CE27E5">
      <w:pPr>
        <w:spacing w:before="200" w:after="200"/>
        <w:rPr>
          <w:rFonts w:ascii="Sylfaen" w:hAnsi="Sylfaen"/>
          <w:sz w:val="20"/>
          <w:lang w:val="ka-GE"/>
        </w:rPr>
      </w:pPr>
    </w:p>
    <w:p w14:paraId="484CCA5E" w14:textId="44FC44BA" w:rsidR="0058787D" w:rsidRDefault="0058787D" w:rsidP="00CE27E5">
      <w:pPr>
        <w:spacing w:before="200" w:after="200"/>
        <w:rPr>
          <w:rFonts w:ascii="Sylfaen" w:hAnsi="Sylfaen"/>
          <w:sz w:val="20"/>
          <w:lang w:val="ka-GE"/>
        </w:rPr>
      </w:pPr>
    </w:p>
    <w:p w14:paraId="76EC09A6" w14:textId="16752A35" w:rsidR="0058787D" w:rsidRDefault="0058787D" w:rsidP="00CE27E5">
      <w:pPr>
        <w:spacing w:before="200" w:after="200"/>
        <w:rPr>
          <w:rFonts w:ascii="Sylfaen" w:hAnsi="Sylfaen"/>
          <w:sz w:val="20"/>
          <w:lang w:val="ka-GE"/>
        </w:rPr>
      </w:pPr>
    </w:p>
    <w:p w14:paraId="27E0E3F6" w14:textId="79960A63" w:rsidR="0058787D" w:rsidRDefault="0058787D" w:rsidP="00CE27E5">
      <w:pPr>
        <w:spacing w:before="200" w:after="200"/>
        <w:rPr>
          <w:rFonts w:ascii="Sylfaen" w:hAnsi="Sylfaen"/>
          <w:sz w:val="20"/>
          <w:lang w:val="ka-GE"/>
        </w:rPr>
      </w:pPr>
    </w:p>
    <w:p w14:paraId="0C1976BF" w14:textId="77777777" w:rsidR="0058787D" w:rsidRDefault="0058787D" w:rsidP="00CE27E5">
      <w:pPr>
        <w:spacing w:before="200" w:after="200"/>
        <w:rPr>
          <w:rFonts w:ascii="Sylfaen" w:hAnsi="Sylfaen"/>
          <w:sz w:val="20"/>
          <w:lang w:val="ka-GE"/>
        </w:rPr>
        <w:sectPr w:rsidR="0058787D" w:rsidSect="00AA2F2D">
          <w:pgSz w:w="11900" w:h="16840"/>
          <w:pgMar w:top="1417" w:right="560" w:bottom="1134" w:left="900" w:header="708" w:footer="708" w:gutter="0"/>
          <w:pgNumType w:start="1"/>
          <w:cols w:space="720"/>
          <w:titlePg/>
          <w:docGrid w:linePitch="299"/>
        </w:sectPr>
      </w:pPr>
    </w:p>
    <w:p w14:paraId="79A04590" w14:textId="2589E119" w:rsidR="0058787D" w:rsidRDefault="0058787D" w:rsidP="00EA6DAA">
      <w:pPr>
        <w:spacing w:before="200" w:after="200"/>
        <w:ind w:left="-990"/>
        <w:jc w:val="center"/>
        <w:rPr>
          <w:rFonts w:ascii="Sylfaen" w:hAnsi="Sylfaen"/>
          <w:sz w:val="20"/>
          <w:lang w:val="ka-GE"/>
        </w:rPr>
      </w:pPr>
      <w:r w:rsidRPr="0058787D">
        <w:rPr>
          <w:rFonts w:ascii="Sylfaen" w:hAnsi="Sylfaen"/>
          <w:noProof/>
          <w:sz w:val="20"/>
          <w:lang w:val="en-US" w:eastAsia="en-US"/>
        </w:rPr>
        <w:lastRenderedPageBreak/>
        <w:drawing>
          <wp:inline distT="0" distB="0" distL="0" distR="0" wp14:anchorId="7EBB63E7" wp14:editId="55B10FC3">
            <wp:extent cx="10362421" cy="5457825"/>
            <wp:effectExtent l="0" t="0" r="1270" b="0"/>
            <wp:docPr id="224" name="Picture 224" descr="D:\my docs\Bakurtsikhe-tsnori\bakurcixe-wnori\ESIA reports\მეორე ეტაპისტის\new\ხიდები თელავი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3" descr="D:\my docs\Bakurtsikhe-tsnori\bakurcixe-wnori\ESIA reports\მეორე ეტაპისტის\new\ხიდები თელავი 1.png"/>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0401452" cy="5478382"/>
                    </a:xfrm>
                    <a:prstGeom prst="rect">
                      <a:avLst/>
                    </a:prstGeom>
                    <a:noFill/>
                    <a:ln>
                      <a:noFill/>
                    </a:ln>
                  </pic:spPr>
                </pic:pic>
              </a:graphicData>
            </a:graphic>
          </wp:inline>
        </w:drawing>
      </w:r>
    </w:p>
    <w:p w14:paraId="77227CB5" w14:textId="3DBD8811" w:rsidR="0058787D" w:rsidRPr="003C781A" w:rsidRDefault="0058787D" w:rsidP="0058787D">
      <w:pPr>
        <w:rPr>
          <w:rFonts w:ascii="AcadNusx" w:hAnsi="AcadNusx"/>
          <w:sz w:val="20"/>
          <w:lang w:val="ka-GE"/>
        </w:rPr>
      </w:pPr>
      <w:r>
        <w:rPr>
          <w:rFonts w:ascii="Sylfaen" w:hAnsi="Sylfaen"/>
          <w:sz w:val="20"/>
          <w:lang w:val="ka-GE"/>
        </w:rPr>
        <w:t>სურათი 4.2-</w:t>
      </w:r>
      <w:r w:rsidR="00142B71">
        <w:rPr>
          <w:rFonts w:ascii="Sylfaen" w:hAnsi="Sylfaen"/>
          <w:sz w:val="20"/>
          <w:lang w:val="ka-GE"/>
        </w:rPr>
        <w:t>2</w:t>
      </w:r>
      <w:r>
        <w:rPr>
          <w:rFonts w:ascii="Sylfaen" w:hAnsi="Sylfaen"/>
          <w:sz w:val="20"/>
          <w:lang w:val="ka-GE"/>
        </w:rPr>
        <w:t xml:space="preserve"> ხიდების რაოდენობა და მათი მონაცემები</w:t>
      </w:r>
    </w:p>
    <w:p w14:paraId="03631653" w14:textId="0DB25776" w:rsidR="00905EBC" w:rsidRPr="003C781A" w:rsidRDefault="00905EBC" w:rsidP="00905EBC">
      <w:pPr>
        <w:rPr>
          <w:rFonts w:ascii="AcadNusx" w:hAnsi="AcadNusx"/>
          <w:sz w:val="20"/>
          <w:lang w:val="ka-GE"/>
        </w:rPr>
      </w:pPr>
      <w:r w:rsidRPr="00905EBC">
        <w:rPr>
          <w:rFonts w:ascii="Sylfaen" w:hAnsi="Sylfaen"/>
          <w:noProof/>
          <w:sz w:val="20"/>
          <w:lang w:val="en-US" w:eastAsia="en-US"/>
        </w:rPr>
        <w:lastRenderedPageBreak/>
        <w:drawing>
          <wp:inline distT="0" distB="0" distL="0" distR="0" wp14:anchorId="36F049F4" wp14:editId="55EF4CB0">
            <wp:extent cx="9544050" cy="5590540"/>
            <wp:effectExtent l="0" t="0" r="0" b="0"/>
            <wp:docPr id="449" name="Picture 449" descr="D:\my docs\Bakurtsikhe-tsnori\bakurcixe-wnori\ESIA reports\მეორე ეტაპისტის\new\ხიდის უწყის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my docs\Bakurtsikhe-tsnori\bakurcixe-wnori\ESIA reports\მეორე ეტაპისტის\new\ხიდის უწყისი.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550647" cy="5594404"/>
                    </a:xfrm>
                    <a:prstGeom prst="rect">
                      <a:avLst/>
                    </a:prstGeom>
                    <a:noFill/>
                    <a:ln>
                      <a:noFill/>
                    </a:ln>
                  </pic:spPr>
                </pic:pic>
              </a:graphicData>
            </a:graphic>
          </wp:inline>
        </w:drawing>
      </w:r>
      <w:r>
        <w:rPr>
          <w:rFonts w:ascii="Sylfaen" w:hAnsi="Sylfaen"/>
          <w:sz w:val="20"/>
          <w:lang w:val="ka-GE"/>
        </w:rPr>
        <w:t>სურათი 4.2-</w:t>
      </w:r>
      <w:r w:rsidR="00142B71">
        <w:rPr>
          <w:rFonts w:ascii="Sylfaen" w:hAnsi="Sylfaen"/>
          <w:sz w:val="20"/>
          <w:lang w:val="ka-GE"/>
        </w:rPr>
        <w:t>3</w:t>
      </w:r>
      <w:r>
        <w:rPr>
          <w:rFonts w:ascii="Sylfaen" w:hAnsi="Sylfaen"/>
          <w:sz w:val="20"/>
          <w:lang w:val="ka-GE"/>
        </w:rPr>
        <w:t xml:space="preserve"> ხიდების რაოდენობა და მათი მონაცემები</w:t>
      </w:r>
    </w:p>
    <w:p w14:paraId="5E2FAB1F" w14:textId="3DD4033D" w:rsidR="00905EBC" w:rsidRPr="00905EBC" w:rsidRDefault="00905EBC" w:rsidP="0058787D">
      <w:pPr>
        <w:jc w:val="left"/>
        <w:rPr>
          <w:rFonts w:ascii="Sylfaen" w:hAnsi="Sylfaen"/>
          <w:sz w:val="20"/>
          <w:lang w:val="ka-GE"/>
        </w:rPr>
        <w:sectPr w:rsidR="00905EBC" w:rsidRPr="00905EBC">
          <w:pgSz w:w="16840" w:h="11900" w:orient="landscape"/>
          <w:pgMar w:top="1350" w:right="1417" w:bottom="740" w:left="1134" w:header="708" w:footer="708" w:gutter="0"/>
          <w:cols w:space="720"/>
        </w:sectPr>
      </w:pPr>
    </w:p>
    <w:p w14:paraId="165372C5" w14:textId="77777777" w:rsidR="00F22D8B" w:rsidRDefault="00F22D8B" w:rsidP="00F22D8B">
      <w:pPr>
        <w:rPr>
          <w:lang w:val="ka-GE"/>
        </w:rPr>
      </w:pPr>
    </w:p>
    <w:p w14:paraId="528E2F9F" w14:textId="62634B7A" w:rsidR="00CE27E5" w:rsidRPr="00CE27E5" w:rsidRDefault="00CE27E5" w:rsidP="00C071BD">
      <w:pPr>
        <w:pStyle w:val="EIAheading2"/>
        <w:rPr>
          <w:lang w:val="ka-GE"/>
        </w:rPr>
      </w:pPr>
      <w:bookmarkStart w:id="52" w:name="_Toc1581493"/>
      <w:r w:rsidRPr="003C781A">
        <w:rPr>
          <w:lang w:val="ka-GE"/>
        </w:rPr>
        <w:t>4.</w:t>
      </w:r>
      <w:r w:rsidR="00AB098E">
        <w:rPr>
          <w:rFonts w:ascii="Sylfaen" w:hAnsi="Sylfaen"/>
          <w:lang w:val="ka-GE"/>
        </w:rPr>
        <w:t>3</w:t>
      </w:r>
      <w:r w:rsidRPr="003C781A">
        <w:rPr>
          <w:lang w:val="ka-GE"/>
        </w:rPr>
        <w:tab/>
      </w:r>
      <w:r w:rsidR="004D31A1">
        <w:rPr>
          <w:rFonts w:ascii="Sylfaen" w:hAnsi="Sylfaen"/>
          <w:lang w:val="ka-GE"/>
        </w:rPr>
        <w:t>საგზაო სამოსის პროექტირების ნორმები</w:t>
      </w:r>
      <w:bookmarkEnd w:id="52"/>
    </w:p>
    <w:p w14:paraId="12C310EB" w14:textId="77777777" w:rsidR="004D31A1" w:rsidRPr="004D31A1" w:rsidRDefault="004D31A1" w:rsidP="004D31A1">
      <w:pPr>
        <w:spacing w:before="200" w:after="200"/>
        <w:rPr>
          <w:rFonts w:ascii="Sylfaen" w:hAnsi="Sylfaen"/>
          <w:lang w:val="ka-GE"/>
        </w:rPr>
      </w:pPr>
      <w:r w:rsidRPr="004D31A1">
        <w:rPr>
          <w:rFonts w:ascii="Sylfaen" w:hAnsi="Sylfaen"/>
          <w:lang w:val="ka-GE"/>
        </w:rPr>
        <w:t>საგზაო სამოსის პროექტირების პროცესი მოიცავს სათანადო საგზაო სამოსისა და მოსაპირკეთებელი მასალების შერჩევას საგზაო სამოსის ადექვატური მუშაობის უზრუნველყოფის მიზნით და პროექტით განსაზღვრულ პერიოდში მოსალოდნელი სატრანსპორტო მოძრაობის დატვირთვების პირობებში მინიმალური ტექნიკური მომსახურების საჭიროების გათვალისწინებით.</w:t>
      </w:r>
    </w:p>
    <w:p w14:paraId="606CCDBA" w14:textId="67D68D7A" w:rsidR="004D31A1" w:rsidRPr="004D31A1" w:rsidRDefault="004D31A1" w:rsidP="004D31A1">
      <w:pPr>
        <w:spacing w:before="200" w:after="200"/>
        <w:rPr>
          <w:rFonts w:ascii="Sylfaen" w:hAnsi="Sylfaen"/>
          <w:lang w:val="ka-GE"/>
        </w:rPr>
      </w:pPr>
      <w:r w:rsidRPr="004D31A1">
        <w:rPr>
          <w:rFonts w:ascii="Sylfaen" w:hAnsi="Sylfaen"/>
          <w:lang w:val="ka-GE"/>
        </w:rPr>
        <w:t>საკვლევი გზის საგზაო სამოსის ტექნიკური გადაწყვეტა დაფუძნებულია პროექტირების მეთოდზე, რომელიც მოცემულია AASHTO-ს “საგზაო სამოსის კონსტრუქციების პროექტირების სახელმძღვანელო”, (1993წ.), ჳ ტომში (“ახალი მშენებლობის ან რეკონსტრუქციის სამუშაოების პროექტირების პროცედურები”)  (</w:t>
      </w:r>
      <w:r w:rsidRPr="004D31A1">
        <w:rPr>
          <w:rFonts w:ascii="Sylfaen" w:eastAsia="Lucida Sans Unicode" w:hAnsi="Sylfaen" w:cs="Arial"/>
          <w:i/>
          <w:iCs/>
          <w:szCs w:val="22"/>
          <w:lang w:val="ka-GE"/>
        </w:rPr>
        <w:t>AASHTO Guide for Design of Pavement Structures</w:t>
      </w:r>
      <w:r w:rsidRPr="004D31A1">
        <w:rPr>
          <w:rFonts w:ascii="Sylfaen" w:eastAsia="Lucida Sans Unicode" w:hAnsi="Sylfaen" w:cs="Arial"/>
          <w:szCs w:val="22"/>
          <w:lang w:val="ka-GE"/>
        </w:rPr>
        <w:t xml:space="preserve">, </w:t>
      </w:r>
      <w:r w:rsidRPr="004D31A1">
        <w:rPr>
          <w:rFonts w:ascii="Sylfaen" w:eastAsia="Lucida Sans Unicode" w:hAnsi="Sylfaen" w:cs="Arial"/>
          <w:i/>
          <w:szCs w:val="22"/>
          <w:lang w:val="ka-GE"/>
        </w:rPr>
        <w:t>1993, Volume 1,</w:t>
      </w:r>
      <w:r w:rsidRPr="004D31A1">
        <w:rPr>
          <w:rFonts w:ascii="Sylfaen" w:eastAsia="Lucida Sans Unicode" w:hAnsi="Sylfaen" w:cs="Arial"/>
          <w:szCs w:val="22"/>
          <w:lang w:val="ka-GE"/>
        </w:rPr>
        <w:t xml:space="preserve"> Design Procedures for New Construction or Reconstruction</w:t>
      </w:r>
      <w:r w:rsidRPr="004D31A1">
        <w:rPr>
          <w:rFonts w:ascii="Sylfaen" w:hAnsi="Sylfaen"/>
          <w:lang w:val="ka-GE"/>
        </w:rPr>
        <w:t>)</w:t>
      </w:r>
      <w:r>
        <w:rPr>
          <w:rFonts w:ascii="Sylfaen" w:hAnsi="Sylfaen"/>
          <w:lang w:val="ka-GE"/>
        </w:rPr>
        <w:t xml:space="preserve"> </w:t>
      </w:r>
      <w:r w:rsidRPr="004D31A1">
        <w:rPr>
          <w:rFonts w:ascii="Sylfaen" w:hAnsi="Sylfaen"/>
          <w:lang w:val="ka-GE"/>
        </w:rPr>
        <w:t>ეს მეთოდი უკვე აპრობირებულია საქართველოში და, აგრეთვე, აღიარებულია მსოფლიო მასშტაბით.</w:t>
      </w:r>
    </w:p>
    <w:p w14:paraId="035CB2B4" w14:textId="60C1158A" w:rsidR="004D31A1" w:rsidRPr="004D31A1" w:rsidRDefault="004D31A1" w:rsidP="004D31A1">
      <w:pPr>
        <w:spacing w:before="200" w:after="200"/>
        <w:rPr>
          <w:rFonts w:ascii="Sylfaen" w:hAnsi="Sylfaen"/>
          <w:lang w:val="ka-GE"/>
        </w:rPr>
      </w:pPr>
      <w:r w:rsidRPr="004D31A1">
        <w:rPr>
          <w:lang w:val="ka-GE"/>
        </w:rPr>
        <w:t>AASHTO</w:t>
      </w:r>
      <w:r w:rsidRPr="004D31A1">
        <w:rPr>
          <w:rFonts w:ascii="Sylfaen" w:hAnsi="Sylfaen"/>
          <w:lang w:val="ka-GE"/>
        </w:rPr>
        <w:t>-ს “საგზაო სამოსის ელემენტების პროექტირების სახელმძღვანელო” მოითხოვენ ზუსტ საწყის მონაცემებს, რომლებიც აღწერენ მასალების თვისებებს, კონსტრუქციის მუშა მახასიათებლებს, საიმედობას და საგზაო მოძრაობის ინტენსიურობას.</w:t>
      </w:r>
    </w:p>
    <w:p w14:paraId="3E3A29D8" w14:textId="50ECD48E" w:rsidR="004D31A1" w:rsidRPr="004D31A1" w:rsidRDefault="004D31A1" w:rsidP="004D31A1">
      <w:pPr>
        <w:spacing w:before="200" w:after="200"/>
        <w:rPr>
          <w:rFonts w:ascii="Sylfaen" w:hAnsi="Sylfaen"/>
          <w:lang w:val="ka-GE"/>
        </w:rPr>
      </w:pPr>
      <w:r w:rsidRPr="004D31A1">
        <w:rPr>
          <w:rFonts w:ascii="Sylfaen" w:hAnsi="Sylfaen"/>
          <w:lang w:val="ka-GE"/>
        </w:rPr>
        <w:t xml:space="preserve">ტექნიკურად და ეკონომიკურად ადექვატური აგებულების/შემადგენლობის საგზაო სამოსის შერჩევის მიზნით, უპირატესი ალტერნატიული ვარიანტისთვის, შესადარებლად, საგზაო სამოსი აგრეთვე გაანგარიშდა საგზაო სამოსების პროექტირების გერმანული სახელმძღვანელო ინსტრუქციის – </w:t>
      </w:r>
      <w:r w:rsidRPr="004D31A1">
        <w:rPr>
          <w:rFonts w:cs="Arial"/>
          <w:lang w:val="ka-GE"/>
        </w:rPr>
        <w:t>RStO</w:t>
      </w:r>
      <w:r w:rsidRPr="004D31A1">
        <w:rPr>
          <w:rFonts w:ascii="Sylfaen" w:hAnsi="Sylfaen"/>
          <w:lang w:val="ka-GE"/>
        </w:rPr>
        <w:t xml:space="preserve">-12-ის </w:t>
      </w:r>
      <w:r>
        <w:rPr>
          <w:rFonts w:ascii="Sylfaen" w:hAnsi="Sylfaen"/>
          <w:lang w:val="ka-GE"/>
        </w:rPr>
        <w:t>(</w:t>
      </w:r>
      <w:r w:rsidRPr="004D31A1">
        <w:rPr>
          <w:rFonts w:eastAsia="Lucida Sans Unicode" w:cs="Arial"/>
          <w:i/>
          <w:szCs w:val="20"/>
          <w:lang w:val="ka-GE"/>
        </w:rPr>
        <w:t>Richtlinien für die Standardisierung des Oberbaues von Verkehrsflächen</w:t>
      </w:r>
      <w:r w:rsidRPr="004D31A1">
        <w:rPr>
          <w:rFonts w:ascii="Sylfaen" w:hAnsi="Sylfaen"/>
          <w:lang w:val="ka-GE"/>
        </w:rPr>
        <w:t>) შესაბამისად. აღნიშნული გერმანული სტანდარტი დაფუძნებულია არსებული გზების და სხვა სამოძრაო ტერიტორიების ექსპლუატაციის გამოცდილებასა და მეცნიერულ შეფასებაზე.</w:t>
      </w:r>
    </w:p>
    <w:p w14:paraId="05741835" w14:textId="2FBC8659" w:rsidR="0093057A" w:rsidRDefault="004D31A1" w:rsidP="004D31A1">
      <w:pPr>
        <w:pStyle w:val="EIAheading2"/>
        <w:rPr>
          <w:rFonts w:ascii="Sylfaen" w:hAnsi="Sylfaen"/>
          <w:lang w:val="ka-GE"/>
        </w:rPr>
      </w:pPr>
      <w:bookmarkStart w:id="53" w:name="_Toc1581494"/>
      <w:bookmarkEnd w:id="48"/>
      <w:bookmarkEnd w:id="49"/>
      <w:r>
        <w:rPr>
          <w:rFonts w:ascii="Sylfaen" w:hAnsi="Sylfaen"/>
          <w:lang w:val="ka-GE"/>
        </w:rPr>
        <w:t>4.4 სადრენაჟე სისტემების პროექტირების ნორმები</w:t>
      </w:r>
      <w:bookmarkEnd w:id="53"/>
    </w:p>
    <w:p w14:paraId="1C2B9C89" w14:textId="77777777" w:rsidR="004D31A1" w:rsidRPr="004D31A1" w:rsidRDefault="004D31A1" w:rsidP="004D31A1">
      <w:pPr>
        <w:spacing w:before="120" w:after="120"/>
        <w:rPr>
          <w:lang w:val="ka-GE"/>
        </w:rPr>
      </w:pPr>
      <w:r w:rsidRPr="004D31A1">
        <w:rPr>
          <w:rFonts w:ascii="Sylfaen" w:hAnsi="Sylfaen" w:cs="Sylfaen"/>
          <w:lang w:val="ka-GE"/>
        </w:rPr>
        <w:t>წყლის</w:t>
      </w:r>
      <w:r w:rsidRPr="004D31A1">
        <w:rPr>
          <w:lang w:val="ka-GE"/>
        </w:rPr>
        <w:t xml:space="preserve"> </w:t>
      </w:r>
      <w:r w:rsidRPr="004D31A1">
        <w:rPr>
          <w:rFonts w:ascii="Sylfaen" w:hAnsi="Sylfaen" w:cs="Sylfaen"/>
          <w:lang w:val="ka-GE"/>
        </w:rPr>
        <w:t>ობიექტების</w:t>
      </w:r>
      <w:r w:rsidRPr="004D31A1">
        <w:rPr>
          <w:lang w:val="ka-GE"/>
        </w:rPr>
        <w:t xml:space="preserve"> </w:t>
      </w:r>
      <w:r w:rsidRPr="004D31A1">
        <w:rPr>
          <w:rFonts w:ascii="Sylfaen" w:hAnsi="Sylfaen" w:cs="Sylfaen"/>
          <w:lang w:val="ka-GE"/>
        </w:rPr>
        <w:t>გამოვლენილი</w:t>
      </w:r>
      <w:r w:rsidRPr="004D31A1">
        <w:rPr>
          <w:lang w:val="ka-GE"/>
        </w:rPr>
        <w:t xml:space="preserve"> </w:t>
      </w:r>
      <w:r w:rsidRPr="004D31A1">
        <w:rPr>
          <w:rFonts w:ascii="Sylfaen" w:hAnsi="Sylfaen" w:cs="Sylfaen"/>
          <w:lang w:val="ka-GE"/>
        </w:rPr>
        <w:t>გადაკვეთებისთვის</w:t>
      </w:r>
      <w:r w:rsidRPr="004D31A1">
        <w:rPr>
          <w:lang w:val="ka-GE"/>
        </w:rPr>
        <w:t xml:space="preserve"> </w:t>
      </w:r>
      <w:r w:rsidRPr="004D31A1">
        <w:rPr>
          <w:rFonts w:ascii="Sylfaen" w:hAnsi="Sylfaen" w:cs="Sylfaen"/>
          <w:lang w:val="ka-GE"/>
        </w:rPr>
        <w:t>წყლის</w:t>
      </w:r>
      <w:r w:rsidRPr="004D31A1">
        <w:rPr>
          <w:lang w:val="ka-GE"/>
        </w:rPr>
        <w:t xml:space="preserve"> </w:t>
      </w:r>
      <w:r w:rsidRPr="004D31A1">
        <w:rPr>
          <w:rFonts w:ascii="Sylfaen" w:hAnsi="Sylfaen" w:cs="Sylfaen"/>
          <w:lang w:val="ka-GE"/>
        </w:rPr>
        <w:t>პიკური</w:t>
      </w:r>
      <w:r w:rsidRPr="004D31A1">
        <w:rPr>
          <w:lang w:val="ka-GE"/>
        </w:rPr>
        <w:t xml:space="preserve"> </w:t>
      </w:r>
      <w:r w:rsidRPr="004D31A1">
        <w:rPr>
          <w:rFonts w:ascii="Sylfaen" w:hAnsi="Sylfaen" w:cs="Sylfaen"/>
          <w:lang w:val="ka-GE"/>
        </w:rPr>
        <w:t>ხარჯები</w:t>
      </w:r>
      <w:r w:rsidRPr="004D31A1">
        <w:rPr>
          <w:lang w:val="ka-GE"/>
        </w:rPr>
        <w:t xml:space="preserve"> </w:t>
      </w:r>
      <w:r w:rsidRPr="004D31A1">
        <w:rPr>
          <w:rFonts w:ascii="Sylfaen" w:hAnsi="Sylfaen" w:cs="Sylfaen"/>
          <w:lang w:val="ka-GE"/>
        </w:rPr>
        <w:t>გამოითვლება</w:t>
      </w:r>
      <w:r w:rsidRPr="004D31A1">
        <w:rPr>
          <w:lang w:val="ka-GE"/>
        </w:rPr>
        <w:t xml:space="preserve"> </w:t>
      </w:r>
      <w:r w:rsidRPr="004D31A1">
        <w:rPr>
          <w:rFonts w:ascii="Sylfaen" w:hAnsi="Sylfaen" w:cs="Sylfaen"/>
          <w:lang w:val="ka-GE"/>
        </w:rPr>
        <w:t>ე</w:t>
      </w:r>
      <w:r w:rsidRPr="004D31A1">
        <w:rPr>
          <w:lang w:val="ka-GE"/>
        </w:rPr>
        <w:t>.</w:t>
      </w:r>
      <w:r w:rsidRPr="004D31A1">
        <w:rPr>
          <w:rFonts w:ascii="Sylfaen" w:hAnsi="Sylfaen" w:cs="Sylfaen"/>
          <w:lang w:val="ka-GE"/>
        </w:rPr>
        <w:t>წ</w:t>
      </w:r>
      <w:r w:rsidRPr="004D31A1">
        <w:rPr>
          <w:lang w:val="ka-GE"/>
        </w:rPr>
        <w:t xml:space="preserve">. </w:t>
      </w:r>
      <w:r w:rsidRPr="004D31A1">
        <w:rPr>
          <w:rFonts w:cs="Arial"/>
          <w:lang w:val="ka-GE"/>
        </w:rPr>
        <w:t>“</w:t>
      </w:r>
      <w:r w:rsidRPr="004D31A1">
        <w:rPr>
          <w:rFonts w:ascii="Sylfaen" w:hAnsi="Sylfaen" w:cs="Sylfaen"/>
          <w:lang w:val="ka-GE"/>
        </w:rPr>
        <w:t>როსტომოვის</w:t>
      </w:r>
      <w:r w:rsidRPr="004D31A1">
        <w:rPr>
          <w:lang w:val="ka-GE"/>
        </w:rPr>
        <w:t xml:space="preserve"> </w:t>
      </w:r>
      <w:r w:rsidRPr="004D31A1">
        <w:rPr>
          <w:rFonts w:ascii="Sylfaen" w:hAnsi="Sylfaen" w:cs="Sylfaen"/>
          <w:lang w:val="ka-GE"/>
        </w:rPr>
        <w:t>მეთოდით</w:t>
      </w:r>
      <w:r w:rsidRPr="004D31A1">
        <w:rPr>
          <w:rFonts w:cs="Arial"/>
          <w:lang w:val="ka-GE"/>
        </w:rPr>
        <w:t>”</w:t>
      </w:r>
      <w:r w:rsidRPr="004D31A1">
        <w:rPr>
          <w:lang w:val="ka-GE"/>
        </w:rPr>
        <w:t>.</w:t>
      </w:r>
    </w:p>
    <w:p w14:paraId="1BF7AF2B" w14:textId="718AB32B" w:rsidR="004D31A1" w:rsidRPr="004D31A1" w:rsidRDefault="004D31A1" w:rsidP="004D31A1">
      <w:pPr>
        <w:spacing w:before="120" w:after="120"/>
        <w:rPr>
          <w:lang w:val="ka-GE"/>
        </w:rPr>
      </w:pPr>
      <w:r w:rsidRPr="004D31A1">
        <w:rPr>
          <w:rFonts w:ascii="Sylfaen" w:hAnsi="Sylfaen" w:cs="Sylfaen"/>
          <w:lang w:val="ka-GE"/>
        </w:rPr>
        <w:t>როსტომოვის</w:t>
      </w:r>
      <w:r w:rsidRPr="004D31A1">
        <w:rPr>
          <w:lang w:val="ka-GE"/>
        </w:rPr>
        <w:t xml:space="preserve"> </w:t>
      </w:r>
      <w:r w:rsidRPr="004D31A1">
        <w:rPr>
          <w:rFonts w:ascii="Sylfaen" w:hAnsi="Sylfaen" w:cs="Sylfaen"/>
          <w:lang w:val="ka-GE"/>
        </w:rPr>
        <w:t>მეთოდი</w:t>
      </w:r>
      <w:r w:rsidRPr="004D31A1">
        <w:rPr>
          <w:lang w:val="ka-GE"/>
        </w:rPr>
        <w:t xml:space="preserve"> </w:t>
      </w:r>
      <w:r w:rsidRPr="004D31A1">
        <w:rPr>
          <w:rFonts w:ascii="Sylfaen" w:hAnsi="Sylfaen" w:cs="Sylfaen"/>
          <w:lang w:val="ka-GE"/>
        </w:rPr>
        <w:t>გამოყენებულია</w:t>
      </w:r>
      <w:r w:rsidRPr="004D31A1">
        <w:rPr>
          <w:lang w:val="ka-GE"/>
        </w:rPr>
        <w:t xml:space="preserve"> </w:t>
      </w:r>
      <w:r w:rsidRPr="004D31A1">
        <w:rPr>
          <w:rFonts w:ascii="Sylfaen" w:hAnsi="Sylfaen" w:cs="Sylfaen"/>
          <w:lang w:val="ka-GE"/>
        </w:rPr>
        <w:t>საქართველოში</w:t>
      </w:r>
      <w:r w:rsidRPr="004D31A1">
        <w:rPr>
          <w:lang w:val="ka-GE"/>
        </w:rPr>
        <w:t xml:space="preserve"> </w:t>
      </w:r>
      <w:r w:rsidRPr="004D31A1">
        <w:rPr>
          <w:rFonts w:ascii="Sylfaen" w:hAnsi="Sylfaen" w:cs="Sylfaen"/>
          <w:lang w:val="ka-GE"/>
        </w:rPr>
        <w:t>განხორციელებულ</w:t>
      </w:r>
      <w:r w:rsidRPr="004D31A1">
        <w:rPr>
          <w:lang w:val="ka-GE"/>
        </w:rPr>
        <w:t xml:space="preserve"> </w:t>
      </w:r>
      <w:r w:rsidRPr="004D31A1">
        <w:rPr>
          <w:rFonts w:ascii="Sylfaen" w:hAnsi="Sylfaen" w:cs="Sylfaen"/>
          <w:lang w:val="ka-GE"/>
        </w:rPr>
        <w:t>რიგ</w:t>
      </w:r>
      <w:r w:rsidRPr="004D31A1">
        <w:rPr>
          <w:lang w:val="ka-GE"/>
        </w:rPr>
        <w:t xml:space="preserve"> </w:t>
      </w:r>
      <w:r w:rsidRPr="004D31A1">
        <w:rPr>
          <w:rFonts w:ascii="Sylfaen" w:hAnsi="Sylfaen" w:cs="Sylfaen"/>
          <w:lang w:val="ka-GE"/>
        </w:rPr>
        <w:t>პროექტებში</w:t>
      </w:r>
      <w:r w:rsidRPr="004D31A1">
        <w:rPr>
          <w:lang w:val="ka-GE"/>
        </w:rPr>
        <w:t xml:space="preserve">. </w:t>
      </w:r>
      <w:r w:rsidRPr="004D31A1">
        <w:rPr>
          <w:rFonts w:ascii="Sylfaen" w:hAnsi="Sylfaen" w:cs="Sylfaen"/>
          <w:lang w:val="ka-GE"/>
        </w:rPr>
        <w:t>აღნიშნული</w:t>
      </w:r>
      <w:r w:rsidRPr="004D31A1">
        <w:rPr>
          <w:lang w:val="ka-GE"/>
        </w:rPr>
        <w:t xml:space="preserve"> </w:t>
      </w:r>
      <w:r w:rsidRPr="004D31A1">
        <w:rPr>
          <w:rFonts w:ascii="Sylfaen" w:hAnsi="Sylfaen" w:cs="Sylfaen"/>
          <w:lang w:val="ka-GE"/>
        </w:rPr>
        <w:t>მეთოდით</w:t>
      </w:r>
      <w:r w:rsidRPr="004D31A1">
        <w:rPr>
          <w:lang w:val="ka-GE"/>
        </w:rPr>
        <w:t xml:space="preserve"> </w:t>
      </w:r>
      <w:r w:rsidRPr="004D31A1">
        <w:rPr>
          <w:rFonts w:ascii="Sylfaen" w:hAnsi="Sylfaen" w:cs="Sylfaen"/>
          <w:lang w:val="ka-GE"/>
        </w:rPr>
        <w:t>გათვალისწინებული</w:t>
      </w:r>
      <w:r w:rsidRPr="004D31A1">
        <w:rPr>
          <w:lang w:val="ka-GE"/>
        </w:rPr>
        <w:t xml:space="preserve"> </w:t>
      </w:r>
      <w:r w:rsidRPr="004D31A1">
        <w:rPr>
          <w:rFonts w:ascii="Sylfaen" w:hAnsi="Sylfaen" w:cs="Sylfaen"/>
          <w:lang w:val="ka-GE"/>
        </w:rPr>
        <w:t>გამოთვლები</w:t>
      </w:r>
      <w:r w:rsidRPr="004D31A1">
        <w:rPr>
          <w:lang w:val="ka-GE"/>
        </w:rPr>
        <w:t xml:space="preserve"> </w:t>
      </w:r>
      <w:r w:rsidRPr="004D31A1">
        <w:rPr>
          <w:rFonts w:ascii="Sylfaen" w:hAnsi="Sylfaen" w:cs="Sylfaen"/>
          <w:lang w:val="ka-GE"/>
        </w:rPr>
        <w:t>აღწერილია</w:t>
      </w:r>
      <w:r w:rsidRPr="004D31A1">
        <w:rPr>
          <w:lang w:val="ka-GE"/>
        </w:rPr>
        <w:t xml:space="preserve"> </w:t>
      </w:r>
      <w:r w:rsidRPr="004D31A1">
        <w:rPr>
          <w:rFonts w:ascii="Sylfaen" w:hAnsi="Sylfaen" w:cs="Sylfaen"/>
          <w:lang w:val="ka-GE"/>
        </w:rPr>
        <w:t>ცნობარში</w:t>
      </w:r>
      <w:r w:rsidRPr="004D31A1">
        <w:rPr>
          <w:lang w:val="ka-GE"/>
        </w:rPr>
        <w:t xml:space="preserve"> _ </w:t>
      </w:r>
      <w:r w:rsidRPr="004D31A1">
        <w:rPr>
          <w:rFonts w:cs="Arial"/>
          <w:lang w:val="ka-GE"/>
        </w:rPr>
        <w:t>“</w:t>
      </w:r>
      <w:r w:rsidRPr="004D31A1">
        <w:rPr>
          <w:rFonts w:ascii="Sylfaen" w:hAnsi="Sylfaen" w:cs="Sylfaen"/>
          <w:lang w:val="ka-GE"/>
        </w:rPr>
        <w:t>კავკასიის</w:t>
      </w:r>
      <w:r w:rsidRPr="004D31A1">
        <w:rPr>
          <w:lang w:val="ka-GE"/>
        </w:rPr>
        <w:t xml:space="preserve"> </w:t>
      </w:r>
      <w:r w:rsidRPr="004D31A1">
        <w:rPr>
          <w:rFonts w:ascii="Sylfaen" w:hAnsi="Sylfaen" w:cs="Sylfaen"/>
          <w:lang w:val="ka-GE"/>
        </w:rPr>
        <w:t>პირობებში</w:t>
      </w:r>
      <w:r w:rsidRPr="004D31A1">
        <w:rPr>
          <w:lang w:val="ka-GE"/>
        </w:rPr>
        <w:t xml:space="preserve"> </w:t>
      </w:r>
      <w:r w:rsidRPr="004D31A1">
        <w:rPr>
          <w:rFonts w:ascii="Sylfaen" w:hAnsi="Sylfaen" w:cs="Sylfaen"/>
          <w:lang w:val="ka-GE"/>
        </w:rPr>
        <w:t>მდინარეთა</w:t>
      </w:r>
      <w:r w:rsidRPr="004D31A1">
        <w:rPr>
          <w:lang w:val="ka-GE"/>
        </w:rPr>
        <w:t xml:space="preserve"> </w:t>
      </w:r>
      <w:r w:rsidRPr="004D31A1">
        <w:rPr>
          <w:rFonts w:ascii="Sylfaen" w:hAnsi="Sylfaen" w:cs="Sylfaen"/>
          <w:lang w:val="ka-GE"/>
        </w:rPr>
        <w:t>მაქსიმალური</w:t>
      </w:r>
      <w:r w:rsidRPr="004D31A1">
        <w:rPr>
          <w:lang w:val="ka-GE"/>
        </w:rPr>
        <w:t xml:space="preserve"> </w:t>
      </w:r>
      <w:r w:rsidRPr="004D31A1">
        <w:rPr>
          <w:rFonts w:ascii="Sylfaen" w:hAnsi="Sylfaen" w:cs="Sylfaen"/>
          <w:lang w:val="ka-GE"/>
        </w:rPr>
        <w:t>ჩამონადენის</w:t>
      </w:r>
      <w:r w:rsidRPr="004D31A1">
        <w:rPr>
          <w:lang w:val="ka-GE"/>
        </w:rPr>
        <w:t xml:space="preserve"> </w:t>
      </w:r>
      <w:r w:rsidRPr="004D31A1">
        <w:rPr>
          <w:rFonts w:ascii="Sylfaen" w:hAnsi="Sylfaen" w:cs="Sylfaen"/>
          <w:lang w:val="ka-GE"/>
        </w:rPr>
        <w:t>საანგარიშო</w:t>
      </w:r>
      <w:r w:rsidRPr="004D31A1">
        <w:rPr>
          <w:lang w:val="ka-GE"/>
        </w:rPr>
        <w:t xml:space="preserve"> </w:t>
      </w:r>
      <w:r w:rsidRPr="004D31A1">
        <w:rPr>
          <w:rFonts w:ascii="Sylfaen" w:hAnsi="Sylfaen" w:cs="Sylfaen"/>
          <w:lang w:val="ka-GE"/>
        </w:rPr>
        <w:t>ტექნიკური</w:t>
      </w:r>
      <w:r w:rsidRPr="004D31A1">
        <w:rPr>
          <w:lang w:val="ka-GE"/>
        </w:rPr>
        <w:t xml:space="preserve"> </w:t>
      </w:r>
      <w:r w:rsidRPr="004D31A1">
        <w:rPr>
          <w:rFonts w:ascii="Sylfaen" w:hAnsi="Sylfaen" w:cs="Sylfaen"/>
          <w:lang w:val="ka-GE"/>
        </w:rPr>
        <w:t>მითითებების</w:t>
      </w:r>
      <w:r w:rsidRPr="004D31A1">
        <w:rPr>
          <w:lang w:val="ka-GE"/>
        </w:rPr>
        <w:t xml:space="preserve">" </w:t>
      </w:r>
      <w:r w:rsidRPr="00F8565C">
        <w:rPr>
          <w:lang w:val="ka-GE"/>
        </w:rPr>
        <w:t>IV</w:t>
      </w:r>
      <w:r w:rsidRPr="004D31A1">
        <w:rPr>
          <w:lang w:val="ka-GE"/>
        </w:rPr>
        <w:t xml:space="preserve"> </w:t>
      </w:r>
      <w:r w:rsidRPr="004D31A1">
        <w:rPr>
          <w:rFonts w:ascii="Sylfaen" w:hAnsi="Sylfaen" w:cs="Sylfaen"/>
          <w:lang w:val="ka-GE"/>
        </w:rPr>
        <w:t>თავში</w:t>
      </w:r>
      <w:r w:rsidRPr="004D31A1">
        <w:rPr>
          <w:lang w:val="ka-GE"/>
        </w:rPr>
        <w:t xml:space="preserve">. </w:t>
      </w:r>
      <w:r w:rsidRPr="004D31A1">
        <w:rPr>
          <w:rFonts w:ascii="Sylfaen" w:hAnsi="Sylfaen" w:cs="Sylfaen"/>
          <w:lang w:val="ka-GE"/>
        </w:rPr>
        <w:t>ეს</w:t>
      </w:r>
      <w:r w:rsidRPr="004D31A1">
        <w:rPr>
          <w:lang w:val="ka-GE"/>
        </w:rPr>
        <w:t xml:space="preserve"> </w:t>
      </w:r>
      <w:r w:rsidRPr="004D31A1">
        <w:rPr>
          <w:rFonts w:ascii="Sylfaen" w:hAnsi="Sylfaen" w:cs="Sylfaen"/>
          <w:lang w:val="ka-GE"/>
        </w:rPr>
        <w:t>ცნობარი</w:t>
      </w:r>
      <w:r w:rsidRPr="004D31A1">
        <w:rPr>
          <w:lang w:val="ka-GE"/>
        </w:rPr>
        <w:t xml:space="preserve"> </w:t>
      </w:r>
      <w:r w:rsidRPr="004D31A1">
        <w:rPr>
          <w:rFonts w:ascii="Sylfaen" w:hAnsi="Sylfaen" w:cs="Sylfaen"/>
          <w:lang w:val="ka-GE"/>
        </w:rPr>
        <w:t>დაფუძნებულია</w:t>
      </w:r>
      <w:r w:rsidRPr="004D31A1">
        <w:rPr>
          <w:lang w:val="ka-GE"/>
        </w:rPr>
        <w:t xml:space="preserve"> </w:t>
      </w:r>
      <w:r w:rsidRPr="004D31A1">
        <w:rPr>
          <w:rFonts w:ascii="Sylfaen" w:hAnsi="Sylfaen" w:cs="Sylfaen"/>
          <w:lang w:val="ka-GE"/>
        </w:rPr>
        <w:t>კავკასიის</w:t>
      </w:r>
      <w:r w:rsidRPr="004D31A1">
        <w:rPr>
          <w:lang w:val="ka-GE"/>
        </w:rPr>
        <w:t xml:space="preserve"> </w:t>
      </w:r>
      <w:r w:rsidRPr="004D31A1">
        <w:rPr>
          <w:rFonts w:ascii="Sylfaen" w:hAnsi="Sylfaen" w:cs="Sylfaen"/>
          <w:lang w:val="ka-GE"/>
        </w:rPr>
        <w:t>რეგიონში</w:t>
      </w:r>
      <w:r w:rsidRPr="004D31A1">
        <w:rPr>
          <w:lang w:val="ka-GE"/>
        </w:rPr>
        <w:t xml:space="preserve"> </w:t>
      </w:r>
      <w:r w:rsidRPr="004D31A1">
        <w:rPr>
          <w:rFonts w:ascii="Sylfaen" w:hAnsi="Sylfaen" w:cs="Sylfaen"/>
          <w:lang w:val="ka-GE"/>
        </w:rPr>
        <w:t>ატმოსფერულ</w:t>
      </w:r>
      <w:r w:rsidRPr="004D31A1">
        <w:rPr>
          <w:lang w:val="ka-GE"/>
        </w:rPr>
        <w:t xml:space="preserve"> </w:t>
      </w:r>
      <w:r w:rsidRPr="004D31A1">
        <w:rPr>
          <w:rFonts w:ascii="Sylfaen" w:hAnsi="Sylfaen" w:cs="Sylfaen"/>
          <w:lang w:val="ka-GE"/>
        </w:rPr>
        <w:t>ნალექებსა</w:t>
      </w:r>
      <w:r w:rsidRPr="004D31A1">
        <w:rPr>
          <w:lang w:val="ka-GE"/>
        </w:rPr>
        <w:t xml:space="preserve"> </w:t>
      </w:r>
      <w:r w:rsidRPr="004D31A1">
        <w:rPr>
          <w:rFonts w:ascii="Sylfaen" w:hAnsi="Sylfaen" w:cs="Sylfaen"/>
          <w:lang w:val="ka-GE"/>
        </w:rPr>
        <w:t>და</w:t>
      </w:r>
      <w:r w:rsidRPr="004D31A1">
        <w:rPr>
          <w:lang w:val="ka-GE"/>
        </w:rPr>
        <w:t xml:space="preserve"> </w:t>
      </w:r>
      <w:r w:rsidRPr="004D31A1">
        <w:rPr>
          <w:rFonts w:ascii="Sylfaen" w:hAnsi="Sylfaen" w:cs="Sylfaen"/>
          <w:lang w:val="ka-GE"/>
        </w:rPr>
        <w:t>მდინარეების</w:t>
      </w:r>
      <w:r w:rsidRPr="004D31A1">
        <w:rPr>
          <w:lang w:val="ka-GE"/>
        </w:rPr>
        <w:t xml:space="preserve"> </w:t>
      </w:r>
      <w:r w:rsidRPr="004D31A1">
        <w:rPr>
          <w:rFonts w:ascii="Sylfaen" w:hAnsi="Sylfaen" w:cs="Sylfaen"/>
          <w:lang w:val="ka-GE"/>
        </w:rPr>
        <w:t>ხარჯებზე</w:t>
      </w:r>
      <w:r w:rsidRPr="004D31A1">
        <w:rPr>
          <w:lang w:val="ka-GE"/>
        </w:rPr>
        <w:t xml:space="preserve"> </w:t>
      </w:r>
      <w:r w:rsidRPr="004D31A1">
        <w:rPr>
          <w:rFonts w:ascii="Sylfaen" w:hAnsi="Sylfaen" w:cs="Sylfaen"/>
          <w:lang w:val="ka-GE"/>
        </w:rPr>
        <w:t>წარმოებული</w:t>
      </w:r>
      <w:r w:rsidRPr="004D31A1">
        <w:rPr>
          <w:lang w:val="ka-GE"/>
        </w:rPr>
        <w:t xml:space="preserve"> </w:t>
      </w:r>
      <w:r w:rsidRPr="004D31A1">
        <w:rPr>
          <w:rFonts w:ascii="Sylfaen" w:hAnsi="Sylfaen" w:cs="Sylfaen"/>
          <w:lang w:val="ka-GE"/>
        </w:rPr>
        <w:t>გრძელვადიანი</w:t>
      </w:r>
      <w:r w:rsidRPr="004D31A1">
        <w:rPr>
          <w:lang w:val="ka-GE"/>
        </w:rPr>
        <w:t xml:space="preserve"> </w:t>
      </w:r>
      <w:r w:rsidRPr="004D31A1">
        <w:rPr>
          <w:rFonts w:ascii="Sylfaen" w:hAnsi="Sylfaen" w:cs="Sylfaen"/>
          <w:lang w:val="ka-GE"/>
        </w:rPr>
        <w:t>ინსტრუმენტული</w:t>
      </w:r>
      <w:r w:rsidRPr="004D31A1">
        <w:rPr>
          <w:lang w:val="ka-GE"/>
        </w:rPr>
        <w:t xml:space="preserve"> </w:t>
      </w:r>
      <w:r w:rsidRPr="004D31A1">
        <w:rPr>
          <w:rFonts w:ascii="Sylfaen" w:hAnsi="Sylfaen" w:cs="Sylfaen"/>
          <w:lang w:val="ka-GE"/>
        </w:rPr>
        <w:t>დაკვირვებების</w:t>
      </w:r>
      <w:r w:rsidRPr="004D31A1">
        <w:rPr>
          <w:lang w:val="ka-GE"/>
        </w:rPr>
        <w:t xml:space="preserve"> </w:t>
      </w:r>
      <w:r w:rsidRPr="004D31A1">
        <w:rPr>
          <w:rFonts w:ascii="Sylfaen" w:hAnsi="Sylfaen" w:cs="Sylfaen"/>
          <w:lang w:val="ka-GE"/>
        </w:rPr>
        <w:t>მონაცემებსა</w:t>
      </w:r>
      <w:r w:rsidRPr="004D31A1">
        <w:rPr>
          <w:lang w:val="ka-GE"/>
        </w:rPr>
        <w:t xml:space="preserve"> </w:t>
      </w:r>
      <w:r w:rsidRPr="004D31A1">
        <w:rPr>
          <w:rFonts w:ascii="Sylfaen" w:hAnsi="Sylfaen" w:cs="Sylfaen"/>
          <w:lang w:val="ka-GE"/>
        </w:rPr>
        <w:t>და</w:t>
      </w:r>
      <w:r w:rsidRPr="004D31A1">
        <w:rPr>
          <w:lang w:val="ka-GE"/>
        </w:rPr>
        <w:t xml:space="preserve"> </w:t>
      </w:r>
      <w:r w:rsidRPr="004D31A1">
        <w:rPr>
          <w:rFonts w:ascii="Sylfaen" w:hAnsi="Sylfaen" w:cs="Sylfaen"/>
          <w:lang w:val="ka-GE"/>
        </w:rPr>
        <w:t>სტატისტიკური</w:t>
      </w:r>
      <w:r w:rsidRPr="004D31A1">
        <w:rPr>
          <w:lang w:val="ka-GE"/>
        </w:rPr>
        <w:t xml:space="preserve"> </w:t>
      </w:r>
      <w:r w:rsidRPr="004D31A1">
        <w:rPr>
          <w:rFonts w:ascii="Sylfaen" w:hAnsi="Sylfaen" w:cs="Sylfaen"/>
          <w:lang w:val="ka-GE"/>
        </w:rPr>
        <w:t>კვლევის</w:t>
      </w:r>
      <w:r w:rsidRPr="004D31A1">
        <w:rPr>
          <w:lang w:val="ka-GE"/>
        </w:rPr>
        <w:t xml:space="preserve"> </w:t>
      </w:r>
      <w:r w:rsidRPr="004D31A1">
        <w:rPr>
          <w:rFonts w:ascii="Sylfaen" w:hAnsi="Sylfaen" w:cs="Sylfaen"/>
          <w:lang w:val="ka-GE"/>
        </w:rPr>
        <w:t>შედეგებზე</w:t>
      </w:r>
      <w:r w:rsidRPr="004D31A1">
        <w:rPr>
          <w:lang w:val="ka-GE"/>
        </w:rPr>
        <w:t xml:space="preserve">. </w:t>
      </w:r>
    </w:p>
    <w:p w14:paraId="2F75977B" w14:textId="71AC2235" w:rsidR="004D31A1" w:rsidRPr="004D31A1" w:rsidRDefault="004D31A1" w:rsidP="004D31A1">
      <w:pPr>
        <w:spacing w:before="120" w:after="120"/>
        <w:rPr>
          <w:lang w:val="ka-GE"/>
        </w:rPr>
      </w:pPr>
      <w:r w:rsidRPr="004D31A1">
        <w:rPr>
          <w:rFonts w:ascii="Sylfaen" w:hAnsi="Sylfaen" w:cs="Sylfaen"/>
          <w:lang w:val="ka-GE"/>
        </w:rPr>
        <w:t>მოცემული</w:t>
      </w:r>
      <w:r w:rsidRPr="004D31A1">
        <w:rPr>
          <w:lang w:val="ka-GE"/>
        </w:rPr>
        <w:t xml:space="preserve"> </w:t>
      </w:r>
      <w:r w:rsidRPr="004D31A1">
        <w:rPr>
          <w:rFonts w:ascii="Sylfaen" w:hAnsi="Sylfaen" w:cs="Sylfaen"/>
          <w:lang w:val="ka-GE"/>
        </w:rPr>
        <w:t>პროექტის</w:t>
      </w:r>
      <w:r w:rsidRPr="004D31A1">
        <w:rPr>
          <w:lang w:val="ka-GE"/>
        </w:rPr>
        <w:t xml:space="preserve"> </w:t>
      </w:r>
      <w:r w:rsidRPr="004D31A1">
        <w:rPr>
          <w:rFonts w:ascii="Sylfaen" w:hAnsi="Sylfaen" w:cs="Sylfaen"/>
          <w:lang w:val="ka-GE"/>
        </w:rPr>
        <w:t>მიზნებისთვის</w:t>
      </w:r>
      <w:r w:rsidRPr="004D31A1">
        <w:rPr>
          <w:lang w:val="ka-GE"/>
        </w:rPr>
        <w:t xml:space="preserve"> </w:t>
      </w:r>
      <w:r w:rsidRPr="004D31A1">
        <w:rPr>
          <w:rFonts w:ascii="Sylfaen" w:hAnsi="Sylfaen" w:cs="Sylfaen"/>
          <w:lang w:val="ka-GE"/>
        </w:rPr>
        <w:t>როსტომოვის</w:t>
      </w:r>
      <w:r w:rsidRPr="004D31A1">
        <w:rPr>
          <w:lang w:val="ka-GE"/>
        </w:rPr>
        <w:t xml:space="preserve"> </w:t>
      </w:r>
      <w:r w:rsidRPr="004D31A1">
        <w:rPr>
          <w:rFonts w:ascii="Sylfaen" w:hAnsi="Sylfaen" w:cs="Sylfaen"/>
          <w:lang w:val="ka-GE"/>
        </w:rPr>
        <w:t>მეთოდის</w:t>
      </w:r>
      <w:r w:rsidRPr="004D31A1">
        <w:rPr>
          <w:lang w:val="ka-GE"/>
        </w:rPr>
        <w:t xml:space="preserve"> </w:t>
      </w:r>
      <w:r w:rsidRPr="004D31A1">
        <w:rPr>
          <w:rFonts w:ascii="Sylfaen" w:hAnsi="Sylfaen" w:cs="Sylfaen"/>
          <w:lang w:val="ka-GE"/>
        </w:rPr>
        <w:t>გამოყენების</w:t>
      </w:r>
      <w:r w:rsidRPr="004D31A1">
        <w:rPr>
          <w:lang w:val="ka-GE"/>
        </w:rPr>
        <w:t xml:space="preserve"> </w:t>
      </w:r>
      <w:r w:rsidRPr="004D31A1">
        <w:rPr>
          <w:rFonts w:ascii="Sylfaen" w:hAnsi="Sylfaen" w:cs="Sylfaen"/>
          <w:lang w:val="ka-GE"/>
        </w:rPr>
        <w:t>ერთ</w:t>
      </w:r>
      <w:r w:rsidRPr="004D31A1">
        <w:rPr>
          <w:lang w:val="ka-GE"/>
        </w:rPr>
        <w:t>-</w:t>
      </w:r>
      <w:r w:rsidRPr="004D31A1">
        <w:rPr>
          <w:rFonts w:ascii="Sylfaen" w:hAnsi="Sylfaen" w:cs="Sylfaen"/>
          <w:lang w:val="ka-GE"/>
        </w:rPr>
        <w:t>ერთი</w:t>
      </w:r>
      <w:r w:rsidRPr="004D31A1">
        <w:rPr>
          <w:lang w:val="ka-GE"/>
        </w:rPr>
        <w:t xml:space="preserve"> </w:t>
      </w:r>
      <w:r w:rsidRPr="004D31A1">
        <w:rPr>
          <w:rFonts w:ascii="Sylfaen" w:hAnsi="Sylfaen" w:cs="Sylfaen"/>
          <w:lang w:val="ka-GE"/>
        </w:rPr>
        <w:t>ყველაზე</w:t>
      </w:r>
      <w:r w:rsidRPr="004D31A1">
        <w:rPr>
          <w:lang w:val="ka-GE"/>
        </w:rPr>
        <w:t xml:space="preserve"> </w:t>
      </w:r>
      <w:r w:rsidRPr="004D31A1">
        <w:rPr>
          <w:rFonts w:ascii="Sylfaen" w:hAnsi="Sylfaen" w:cs="Sylfaen"/>
          <w:lang w:val="ka-GE"/>
        </w:rPr>
        <w:t>მნიშვნელოვანი</w:t>
      </w:r>
      <w:r w:rsidRPr="004D31A1">
        <w:rPr>
          <w:lang w:val="ka-GE"/>
        </w:rPr>
        <w:t xml:space="preserve"> </w:t>
      </w:r>
      <w:r w:rsidRPr="004D31A1">
        <w:rPr>
          <w:rFonts w:ascii="Sylfaen" w:hAnsi="Sylfaen" w:cs="Sylfaen"/>
          <w:lang w:val="ka-GE"/>
        </w:rPr>
        <w:t>უპირატესობა</w:t>
      </w:r>
      <w:r w:rsidRPr="004D31A1">
        <w:rPr>
          <w:lang w:val="ka-GE"/>
        </w:rPr>
        <w:t xml:space="preserve"> </w:t>
      </w:r>
      <w:r w:rsidRPr="004D31A1">
        <w:rPr>
          <w:rFonts w:ascii="Sylfaen" w:hAnsi="Sylfaen" w:cs="Sylfaen"/>
          <w:lang w:val="ka-GE"/>
        </w:rPr>
        <w:t>იმაში</w:t>
      </w:r>
      <w:r w:rsidRPr="004D31A1">
        <w:rPr>
          <w:lang w:val="ka-GE"/>
        </w:rPr>
        <w:t xml:space="preserve"> </w:t>
      </w:r>
      <w:r w:rsidRPr="004D31A1">
        <w:rPr>
          <w:rFonts w:ascii="Sylfaen" w:hAnsi="Sylfaen" w:cs="Sylfaen"/>
          <w:lang w:val="ka-GE"/>
        </w:rPr>
        <w:t>მდგომარეობს</w:t>
      </w:r>
      <w:r w:rsidRPr="004D31A1">
        <w:rPr>
          <w:lang w:val="ka-GE"/>
        </w:rPr>
        <w:t xml:space="preserve">, </w:t>
      </w:r>
      <w:r w:rsidRPr="004D31A1">
        <w:rPr>
          <w:rFonts w:ascii="Sylfaen" w:hAnsi="Sylfaen" w:cs="Sylfaen"/>
          <w:lang w:val="ka-GE"/>
        </w:rPr>
        <w:t>რომ</w:t>
      </w:r>
      <w:r w:rsidRPr="004D31A1">
        <w:rPr>
          <w:lang w:val="ka-GE"/>
        </w:rPr>
        <w:t xml:space="preserve"> </w:t>
      </w:r>
      <w:r w:rsidRPr="004D31A1">
        <w:rPr>
          <w:rFonts w:ascii="Sylfaen" w:hAnsi="Sylfaen" w:cs="Sylfaen"/>
          <w:lang w:val="ka-GE"/>
        </w:rPr>
        <w:t>ეს</w:t>
      </w:r>
      <w:r w:rsidRPr="004D31A1">
        <w:rPr>
          <w:lang w:val="ka-GE"/>
        </w:rPr>
        <w:t xml:space="preserve"> </w:t>
      </w:r>
      <w:r w:rsidRPr="004D31A1">
        <w:rPr>
          <w:rFonts w:ascii="Sylfaen" w:hAnsi="Sylfaen" w:cs="Sylfaen"/>
          <w:lang w:val="ka-GE"/>
        </w:rPr>
        <w:t>მიდგომა</w:t>
      </w:r>
      <w:r w:rsidRPr="004D31A1">
        <w:rPr>
          <w:lang w:val="ka-GE"/>
        </w:rPr>
        <w:t xml:space="preserve"> </w:t>
      </w:r>
      <w:r w:rsidRPr="004D31A1">
        <w:rPr>
          <w:rFonts w:ascii="Sylfaen" w:hAnsi="Sylfaen" w:cs="Sylfaen"/>
          <w:lang w:val="ka-GE"/>
        </w:rPr>
        <w:t>არ</w:t>
      </w:r>
      <w:r w:rsidRPr="004D31A1">
        <w:rPr>
          <w:lang w:val="ka-GE"/>
        </w:rPr>
        <w:t xml:space="preserve"> </w:t>
      </w:r>
      <w:r w:rsidRPr="004D31A1">
        <w:rPr>
          <w:rFonts w:ascii="Sylfaen" w:hAnsi="Sylfaen" w:cs="Sylfaen"/>
          <w:lang w:val="ka-GE"/>
        </w:rPr>
        <w:t>მოითხოვს</w:t>
      </w:r>
      <w:r w:rsidRPr="004D31A1">
        <w:rPr>
          <w:lang w:val="ka-GE"/>
        </w:rPr>
        <w:t xml:space="preserve"> </w:t>
      </w:r>
      <w:r w:rsidRPr="004D31A1">
        <w:rPr>
          <w:rFonts w:ascii="Sylfaen" w:hAnsi="Sylfaen" w:cs="Sylfaen"/>
          <w:lang w:val="ka-GE"/>
        </w:rPr>
        <w:t>გარე</w:t>
      </w:r>
      <w:r w:rsidRPr="004D31A1">
        <w:rPr>
          <w:lang w:val="ka-GE"/>
        </w:rPr>
        <w:t xml:space="preserve"> </w:t>
      </w:r>
      <w:r w:rsidRPr="004D31A1">
        <w:rPr>
          <w:rFonts w:ascii="Sylfaen" w:hAnsi="Sylfaen" w:cs="Sylfaen"/>
          <w:lang w:val="ka-GE"/>
        </w:rPr>
        <w:t>წყაროებიდან</w:t>
      </w:r>
      <w:r w:rsidRPr="004D31A1">
        <w:rPr>
          <w:lang w:val="ka-GE"/>
        </w:rPr>
        <w:t xml:space="preserve"> </w:t>
      </w:r>
      <w:r w:rsidRPr="004D31A1">
        <w:rPr>
          <w:rFonts w:ascii="Sylfaen" w:hAnsi="Sylfaen" w:cs="Sylfaen"/>
          <w:lang w:val="ka-GE"/>
        </w:rPr>
        <w:t>ატმოსფერული</w:t>
      </w:r>
      <w:r w:rsidRPr="004D31A1">
        <w:rPr>
          <w:lang w:val="ka-GE"/>
        </w:rPr>
        <w:t xml:space="preserve"> </w:t>
      </w:r>
      <w:r w:rsidRPr="004D31A1">
        <w:rPr>
          <w:rFonts w:ascii="Sylfaen" w:hAnsi="Sylfaen" w:cs="Sylfaen"/>
          <w:lang w:val="ka-GE"/>
        </w:rPr>
        <w:t>ნალექების</w:t>
      </w:r>
      <w:r w:rsidRPr="004D31A1">
        <w:rPr>
          <w:lang w:val="ka-GE"/>
        </w:rPr>
        <w:t xml:space="preserve"> </w:t>
      </w:r>
      <w:r w:rsidRPr="004D31A1">
        <w:rPr>
          <w:rFonts w:ascii="Sylfaen" w:hAnsi="Sylfaen" w:cs="Sylfaen"/>
          <w:lang w:val="ka-GE"/>
        </w:rPr>
        <w:t>მონაცემების</w:t>
      </w:r>
      <w:r w:rsidRPr="004D31A1">
        <w:rPr>
          <w:lang w:val="ka-GE"/>
        </w:rPr>
        <w:t xml:space="preserve"> </w:t>
      </w:r>
      <w:r w:rsidRPr="004D31A1">
        <w:rPr>
          <w:rFonts w:ascii="Sylfaen" w:hAnsi="Sylfaen" w:cs="Sylfaen"/>
          <w:lang w:val="ka-GE"/>
        </w:rPr>
        <w:t>მოპოვებას</w:t>
      </w:r>
      <w:r w:rsidRPr="004D31A1">
        <w:rPr>
          <w:lang w:val="ka-GE"/>
        </w:rPr>
        <w:t xml:space="preserve">, </w:t>
      </w:r>
      <w:r w:rsidRPr="004D31A1">
        <w:rPr>
          <w:rFonts w:ascii="Sylfaen" w:hAnsi="Sylfaen" w:cs="Sylfaen"/>
          <w:lang w:val="ka-GE"/>
        </w:rPr>
        <w:t>ვინაიდან</w:t>
      </w:r>
      <w:r w:rsidRPr="004D31A1">
        <w:rPr>
          <w:lang w:val="ka-GE"/>
        </w:rPr>
        <w:t xml:space="preserve"> </w:t>
      </w:r>
      <w:r w:rsidRPr="004D31A1">
        <w:rPr>
          <w:rFonts w:ascii="Sylfaen" w:hAnsi="Sylfaen" w:cs="Sylfaen"/>
          <w:lang w:val="ka-GE"/>
        </w:rPr>
        <w:t>ნალექებზე</w:t>
      </w:r>
      <w:r w:rsidRPr="004D31A1">
        <w:rPr>
          <w:lang w:val="ka-GE"/>
        </w:rPr>
        <w:t xml:space="preserve"> </w:t>
      </w:r>
      <w:r w:rsidRPr="004D31A1">
        <w:rPr>
          <w:rFonts w:ascii="Sylfaen" w:hAnsi="Sylfaen" w:cs="Sylfaen"/>
          <w:lang w:val="ka-GE"/>
        </w:rPr>
        <w:t>გრძელვადიანი</w:t>
      </w:r>
      <w:r w:rsidRPr="004D31A1">
        <w:rPr>
          <w:lang w:val="ka-GE"/>
        </w:rPr>
        <w:t xml:space="preserve"> </w:t>
      </w:r>
      <w:r w:rsidRPr="004D31A1">
        <w:rPr>
          <w:rFonts w:ascii="Sylfaen" w:hAnsi="Sylfaen" w:cs="Sylfaen"/>
          <w:lang w:val="ka-GE"/>
        </w:rPr>
        <w:t>დაკვირვების</w:t>
      </w:r>
      <w:r w:rsidRPr="004D31A1">
        <w:rPr>
          <w:lang w:val="ka-GE"/>
        </w:rPr>
        <w:t xml:space="preserve"> </w:t>
      </w:r>
      <w:r w:rsidRPr="004D31A1">
        <w:rPr>
          <w:rFonts w:ascii="Sylfaen" w:hAnsi="Sylfaen" w:cs="Sylfaen"/>
          <w:lang w:val="ka-GE"/>
        </w:rPr>
        <w:t>მონაცემები</w:t>
      </w:r>
      <w:r w:rsidRPr="004D31A1">
        <w:rPr>
          <w:lang w:val="ka-GE"/>
        </w:rPr>
        <w:t xml:space="preserve"> </w:t>
      </w:r>
      <w:r w:rsidRPr="004D31A1">
        <w:rPr>
          <w:rFonts w:ascii="Sylfaen" w:hAnsi="Sylfaen" w:cs="Sylfaen"/>
          <w:lang w:val="ka-GE"/>
        </w:rPr>
        <w:t>უკვე</w:t>
      </w:r>
      <w:r w:rsidRPr="004D31A1">
        <w:rPr>
          <w:lang w:val="ka-GE"/>
        </w:rPr>
        <w:t xml:space="preserve"> </w:t>
      </w:r>
      <w:r w:rsidRPr="004D31A1">
        <w:rPr>
          <w:rFonts w:ascii="Sylfaen" w:hAnsi="Sylfaen" w:cs="Sylfaen"/>
          <w:lang w:val="ka-GE"/>
        </w:rPr>
        <w:t>გათვალისწინებულია</w:t>
      </w:r>
      <w:r w:rsidRPr="004D31A1">
        <w:rPr>
          <w:lang w:val="ka-GE"/>
        </w:rPr>
        <w:t xml:space="preserve"> </w:t>
      </w:r>
      <w:r w:rsidRPr="004D31A1">
        <w:rPr>
          <w:rFonts w:ascii="Sylfaen" w:hAnsi="Sylfaen" w:cs="Sylfaen"/>
          <w:lang w:val="ka-GE"/>
        </w:rPr>
        <w:t>კლიმატურ</w:t>
      </w:r>
      <w:r w:rsidRPr="004D31A1">
        <w:rPr>
          <w:lang w:val="ka-GE"/>
        </w:rPr>
        <w:t xml:space="preserve"> </w:t>
      </w:r>
      <w:r w:rsidRPr="004D31A1">
        <w:rPr>
          <w:rFonts w:ascii="Sylfaen" w:hAnsi="Sylfaen" w:cs="Sylfaen"/>
          <w:lang w:val="ka-GE"/>
        </w:rPr>
        <w:t>კოეფიციენტში</w:t>
      </w:r>
      <w:r w:rsidRPr="004D31A1">
        <w:rPr>
          <w:lang w:val="ka-GE"/>
        </w:rPr>
        <w:t xml:space="preserve"> (</w:t>
      </w:r>
      <w:r w:rsidRPr="00F8565C">
        <w:rPr>
          <w:lang w:val="ka-GE"/>
        </w:rPr>
        <w:t>k</w:t>
      </w:r>
      <w:r w:rsidRPr="004D31A1">
        <w:rPr>
          <w:lang w:val="ka-GE"/>
        </w:rPr>
        <w:t xml:space="preserve">), </w:t>
      </w:r>
      <w:r w:rsidRPr="004D31A1">
        <w:rPr>
          <w:rFonts w:ascii="Sylfaen" w:hAnsi="Sylfaen" w:cs="Sylfaen"/>
          <w:lang w:val="ka-GE"/>
        </w:rPr>
        <w:t>რომლის</w:t>
      </w:r>
      <w:r w:rsidRPr="004D31A1">
        <w:rPr>
          <w:lang w:val="ka-GE"/>
        </w:rPr>
        <w:t xml:space="preserve"> </w:t>
      </w:r>
      <w:r w:rsidRPr="004D31A1">
        <w:rPr>
          <w:rFonts w:ascii="Sylfaen" w:hAnsi="Sylfaen" w:cs="Sylfaen"/>
          <w:lang w:val="ka-GE"/>
        </w:rPr>
        <w:t>სიდიდეებიც</w:t>
      </w:r>
      <w:r w:rsidRPr="004D31A1">
        <w:rPr>
          <w:lang w:val="ka-GE"/>
        </w:rPr>
        <w:t xml:space="preserve"> </w:t>
      </w:r>
      <w:r w:rsidRPr="004D31A1">
        <w:rPr>
          <w:rFonts w:ascii="Sylfaen" w:hAnsi="Sylfaen" w:cs="Sylfaen"/>
          <w:lang w:val="ka-GE"/>
        </w:rPr>
        <w:t>ცნობარში</w:t>
      </w:r>
      <w:r w:rsidRPr="004D31A1">
        <w:rPr>
          <w:lang w:val="ka-GE"/>
        </w:rPr>
        <w:t xml:space="preserve"> </w:t>
      </w:r>
      <w:r w:rsidRPr="004D31A1">
        <w:rPr>
          <w:rFonts w:ascii="Sylfaen" w:hAnsi="Sylfaen" w:cs="Sylfaen"/>
          <w:lang w:val="ka-GE"/>
        </w:rPr>
        <w:t>ილუსტრირებულია</w:t>
      </w:r>
      <w:r w:rsidRPr="004D31A1">
        <w:rPr>
          <w:lang w:val="ka-GE"/>
        </w:rPr>
        <w:t xml:space="preserve"> </w:t>
      </w:r>
      <w:r w:rsidRPr="004D31A1">
        <w:rPr>
          <w:rFonts w:ascii="Sylfaen" w:hAnsi="Sylfaen" w:cs="Sylfaen"/>
          <w:lang w:val="ka-GE"/>
        </w:rPr>
        <w:t>შესაბამის</w:t>
      </w:r>
      <w:r w:rsidRPr="004D31A1">
        <w:rPr>
          <w:lang w:val="ka-GE"/>
        </w:rPr>
        <w:t xml:space="preserve"> </w:t>
      </w:r>
      <w:r w:rsidRPr="004D31A1">
        <w:rPr>
          <w:rFonts w:ascii="Sylfaen" w:hAnsi="Sylfaen" w:cs="Sylfaen"/>
          <w:lang w:val="ka-GE"/>
        </w:rPr>
        <w:t>იზოხაზებიან</w:t>
      </w:r>
      <w:r w:rsidRPr="004D31A1">
        <w:rPr>
          <w:lang w:val="ka-GE"/>
        </w:rPr>
        <w:t xml:space="preserve"> </w:t>
      </w:r>
      <w:r w:rsidRPr="004D31A1">
        <w:rPr>
          <w:rFonts w:ascii="Sylfaen" w:hAnsi="Sylfaen" w:cs="Sylfaen"/>
          <w:lang w:val="ka-GE"/>
        </w:rPr>
        <w:t>რუკაზე</w:t>
      </w:r>
      <w:r w:rsidRPr="004D31A1">
        <w:rPr>
          <w:lang w:val="ka-GE"/>
        </w:rPr>
        <w:t xml:space="preserve">. </w:t>
      </w:r>
    </w:p>
    <w:p w14:paraId="5755B957" w14:textId="77777777" w:rsidR="004D31A1" w:rsidRPr="004D31A1" w:rsidRDefault="004D31A1" w:rsidP="004D31A1">
      <w:pPr>
        <w:spacing w:before="120" w:after="120"/>
        <w:rPr>
          <w:lang w:val="ka-GE"/>
        </w:rPr>
      </w:pPr>
      <w:r w:rsidRPr="004D31A1">
        <w:rPr>
          <w:rFonts w:ascii="Sylfaen" w:hAnsi="Sylfaen" w:cs="Sylfaen"/>
          <w:lang w:val="ka-GE"/>
        </w:rPr>
        <w:t>აღსანიშნავია</w:t>
      </w:r>
      <w:r w:rsidRPr="004D31A1">
        <w:rPr>
          <w:lang w:val="ka-GE"/>
        </w:rPr>
        <w:t xml:space="preserve">, </w:t>
      </w:r>
      <w:r w:rsidRPr="004D31A1">
        <w:rPr>
          <w:rFonts w:ascii="Sylfaen" w:hAnsi="Sylfaen" w:cs="Sylfaen"/>
          <w:lang w:val="ka-GE"/>
        </w:rPr>
        <w:t>რომ</w:t>
      </w:r>
      <w:r w:rsidRPr="004D31A1">
        <w:rPr>
          <w:lang w:val="ka-GE"/>
        </w:rPr>
        <w:t xml:space="preserve"> </w:t>
      </w:r>
      <w:r w:rsidRPr="004D31A1">
        <w:rPr>
          <w:rFonts w:ascii="Sylfaen" w:hAnsi="Sylfaen" w:cs="Sylfaen"/>
          <w:lang w:val="ka-GE"/>
        </w:rPr>
        <w:t>წყლის</w:t>
      </w:r>
      <w:r w:rsidRPr="004D31A1">
        <w:rPr>
          <w:lang w:val="ka-GE"/>
        </w:rPr>
        <w:t xml:space="preserve"> </w:t>
      </w:r>
      <w:r w:rsidRPr="004D31A1">
        <w:rPr>
          <w:rFonts w:ascii="Sylfaen" w:hAnsi="Sylfaen" w:cs="Sylfaen"/>
          <w:lang w:val="ka-GE"/>
        </w:rPr>
        <w:t>მაქსიმალური</w:t>
      </w:r>
      <w:r w:rsidRPr="004D31A1">
        <w:rPr>
          <w:lang w:val="ka-GE"/>
        </w:rPr>
        <w:t xml:space="preserve"> </w:t>
      </w:r>
      <w:r w:rsidRPr="004D31A1">
        <w:rPr>
          <w:rFonts w:ascii="Sylfaen" w:hAnsi="Sylfaen" w:cs="Sylfaen"/>
          <w:lang w:val="ka-GE"/>
        </w:rPr>
        <w:t>ხარჯები</w:t>
      </w:r>
      <w:r w:rsidRPr="004D31A1">
        <w:rPr>
          <w:lang w:val="ka-GE"/>
        </w:rPr>
        <w:t xml:space="preserve">, </w:t>
      </w:r>
      <w:r w:rsidRPr="004D31A1">
        <w:rPr>
          <w:rFonts w:ascii="Sylfaen" w:hAnsi="Sylfaen" w:cs="Sylfaen"/>
          <w:lang w:val="ka-GE"/>
        </w:rPr>
        <w:t>რომლებიც</w:t>
      </w:r>
      <w:r w:rsidRPr="004D31A1">
        <w:rPr>
          <w:lang w:val="ka-GE"/>
        </w:rPr>
        <w:t xml:space="preserve"> </w:t>
      </w:r>
      <w:r w:rsidRPr="004D31A1">
        <w:rPr>
          <w:rFonts w:ascii="Sylfaen" w:hAnsi="Sylfaen" w:cs="Sylfaen"/>
          <w:lang w:val="ka-GE"/>
        </w:rPr>
        <w:t>მიიღება</w:t>
      </w:r>
      <w:r w:rsidRPr="004D31A1">
        <w:rPr>
          <w:lang w:val="ka-GE"/>
        </w:rPr>
        <w:t xml:space="preserve"> </w:t>
      </w:r>
      <w:r w:rsidRPr="004D31A1">
        <w:rPr>
          <w:rFonts w:ascii="Sylfaen" w:hAnsi="Sylfaen" w:cs="Sylfaen"/>
          <w:lang w:val="ka-GE"/>
        </w:rPr>
        <w:t>როსტომოვის</w:t>
      </w:r>
      <w:r w:rsidRPr="004D31A1">
        <w:rPr>
          <w:lang w:val="ka-GE"/>
        </w:rPr>
        <w:t xml:space="preserve"> </w:t>
      </w:r>
      <w:r w:rsidRPr="004D31A1">
        <w:rPr>
          <w:rFonts w:ascii="Sylfaen" w:hAnsi="Sylfaen" w:cs="Sylfaen"/>
          <w:lang w:val="ka-GE"/>
        </w:rPr>
        <w:t>მეთოდის</w:t>
      </w:r>
      <w:r w:rsidRPr="004D31A1">
        <w:rPr>
          <w:lang w:val="ka-GE"/>
        </w:rPr>
        <w:t xml:space="preserve"> </w:t>
      </w:r>
      <w:r w:rsidRPr="004D31A1">
        <w:rPr>
          <w:rFonts w:ascii="Sylfaen" w:hAnsi="Sylfaen" w:cs="Sylfaen"/>
          <w:lang w:val="ka-GE"/>
        </w:rPr>
        <w:t>გამოყენებით</w:t>
      </w:r>
      <w:r w:rsidRPr="004D31A1">
        <w:rPr>
          <w:lang w:val="ka-GE"/>
        </w:rPr>
        <w:t xml:space="preserve"> 15%-18%-</w:t>
      </w:r>
      <w:r w:rsidRPr="004D31A1">
        <w:rPr>
          <w:rFonts w:ascii="Sylfaen" w:hAnsi="Sylfaen" w:cs="Sylfaen"/>
          <w:lang w:val="ka-GE"/>
        </w:rPr>
        <w:t>ით</w:t>
      </w:r>
      <w:r w:rsidRPr="004D31A1">
        <w:rPr>
          <w:lang w:val="ka-GE"/>
        </w:rPr>
        <w:t xml:space="preserve"> </w:t>
      </w:r>
      <w:r w:rsidRPr="004D31A1">
        <w:rPr>
          <w:rFonts w:ascii="Sylfaen" w:hAnsi="Sylfaen" w:cs="Sylfaen"/>
          <w:lang w:val="ka-GE"/>
        </w:rPr>
        <w:t>აღემატებიან</w:t>
      </w:r>
      <w:r w:rsidRPr="004D31A1">
        <w:rPr>
          <w:lang w:val="ka-GE"/>
        </w:rPr>
        <w:t xml:space="preserve"> </w:t>
      </w:r>
      <w:r w:rsidRPr="004D31A1">
        <w:rPr>
          <w:rFonts w:ascii="Sylfaen" w:hAnsi="Sylfaen" w:cs="Sylfaen"/>
          <w:lang w:val="ka-GE"/>
        </w:rPr>
        <w:t>სსრკ</w:t>
      </w:r>
      <w:r w:rsidRPr="004D31A1">
        <w:rPr>
          <w:lang w:val="ka-GE"/>
        </w:rPr>
        <w:t>-</w:t>
      </w:r>
      <w:r w:rsidRPr="004D31A1">
        <w:rPr>
          <w:rFonts w:ascii="Sylfaen" w:hAnsi="Sylfaen" w:cs="Sylfaen"/>
          <w:lang w:val="ka-GE"/>
        </w:rPr>
        <w:t>ში</w:t>
      </w:r>
      <w:r w:rsidRPr="004D31A1">
        <w:rPr>
          <w:lang w:val="ka-GE"/>
        </w:rPr>
        <w:t xml:space="preserve"> </w:t>
      </w:r>
      <w:r w:rsidRPr="004D31A1">
        <w:rPr>
          <w:rFonts w:ascii="Sylfaen" w:hAnsi="Sylfaen" w:cs="Sylfaen"/>
          <w:lang w:val="ka-GE"/>
        </w:rPr>
        <w:t>მდინარეებისთვის</w:t>
      </w:r>
      <w:r w:rsidRPr="004D31A1">
        <w:rPr>
          <w:lang w:val="ka-GE"/>
        </w:rPr>
        <w:t xml:space="preserve"> 1960-</w:t>
      </w:r>
      <w:r w:rsidRPr="004D31A1">
        <w:rPr>
          <w:rFonts w:ascii="Sylfaen" w:hAnsi="Sylfaen" w:cs="Sylfaen"/>
          <w:lang w:val="ka-GE"/>
        </w:rPr>
        <w:t>იან</w:t>
      </w:r>
      <w:r w:rsidRPr="004D31A1">
        <w:rPr>
          <w:lang w:val="ka-GE"/>
        </w:rPr>
        <w:t xml:space="preserve"> </w:t>
      </w:r>
      <w:r w:rsidRPr="004D31A1">
        <w:rPr>
          <w:rFonts w:ascii="Sylfaen" w:hAnsi="Sylfaen" w:cs="Sylfaen"/>
          <w:lang w:val="ka-GE"/>
        </w:rPr>
        <w:t>წლებში</w:t>
      </w:r>
      <w:r w:rsidRPr="004D31A1">
        <w:rPr>
          <w:lang w:val="ka-GE"/>
        </w:rPr>
        <w:t xml:space="preserve"> </w:t>
      </w:r>
      <w:r w:rsidRPr="004D31A1">
        <w:rPr>
          <w:rFonts w:ascii="Sylfaen" w:hAnsi="Sylfaen" w:cs="Sylfaen"/>
          <w:lang w:val="ka-GE"/>
        </w:rPr>
        <w:t>შედგენილ</w:t>
      </w:r>
      <w:r w:rsidRPr="004D31A1">
        <w:rPr>
          <w:lang w:val="ka-GE"/>
        </w:rPr>
        <w:t xml:space="preserve"> </w:t>
      </w:r>
      <w:r w:rsidRPr="004D31A1">
        <w:rPr>
          <w:rFonts w:ascii="Sylfaen" w:hAnsi="Sylfaen" w:cs="Sylfaen"/>
          <w:lang w:val="ka-GE"/>
        </w:rPr>
        <w:t>ნორმატიულ</w:t>
      </w:r>
      <w:r w:rsidRPr="004D31A1">
        <w:rPr>
          <w:lang w:val="ka-GE"/>
        </w:rPr>
        <w:t xml:space="preserve"> </w:t>
      </w:r>
      <w:r w:rsidRPr="004D31A1">
        <w:rPr>
          <w:rFonts w:ascii="Sylfaen" w:hAnsi="Sylfaen" w:cs="Sylfaen"/>
          <w:lang w:val="ka-GE"/>
        </w:rPr>
        <w:t>დოკუმენტში</w:t>
      </w:r>
      <w:r w:rsidRPr="004D31A1">
        <w:rPr>
          <w:lang w:val="ka-GE"/>
        </w:rPr>
        <w:t xml:space="preserve"> </w:t>
      </w:r>
      <w:r w:rsidRPr="004D31A1">
        <w:rPr>
          <w:rFonts w:ascii="Sylfaen" w:hAnsi="Sylfaen" w:cs="Sylfaen"/>
          <w:lang w:val="ka-GE"/>
        </w:rPr>
        <w:t>სნდწ</w:t>
      </w:r>
      <w:r w:rsidRPr="004D31A1">
        <w:rPr>
          <w:lang w:val="ka-GE"/>
        </w:rPr>
        <w:t xml:space="preserve"> 2.01.14-83 (</w:t>
      </w:r>
      <w:r w:rsidRPr="004D31A1">
        <w:rPr>
          <w:rFonts w:cs="Arial"/>
          <w:lang w:val="ka-GE"/>
        </w:rPr>
        <w:t>“</w:t>
      </w:r>
      <w:r w:rsidRPr="004D31A1">
        <w:rPr>
          <w:rFonts w:ascii="Sylfaen" w:hAnsi="Sylfaen" w:cs="Sylfaen"/>
          <w:lang w:val="ka-GE"/>
        </w:rPr>
        <w:t>ჰიდროლოგიური</w:t>
      </w:r>
      <w:r w:rsidRPr="004D31A1">
        <w:rPr>
          <w:lang w:val="ka-GE"/>
        </w:rPr>
        <w:t xml:space="preserve"> </w:t>
      </w:r>
      <w:r w:rsidRPr="004D31A1">
        <w:rPr>
          <w:rFonts w:ascii="Sylfaen" w:hAnsi="Sylfaen" w:cs="Sylfaen"/>
          <w:lang w:val="ka-GE"/>
        </w:rPr>
        <w:t>მახასიათებლების</w:t>
      </w:r>
      <w:r w:rsidRPr="004D31A1">
        <w:rPr>
          <w:lang w:val="ka-GE"/>
        </w:rPr>
        <w:t xml:space="preserve"> </w:t>
      </w:r>
      <w:r w:rsidRPr="004D31A1">
        <w:rPr>
          <w:rFonts w:ascii="Sylfaen" w:hAnsi="Sylfaen" w:cs="Sylfaen"/>
          <w:lang w:val="ka-GE"/>
        </w:rPr>
        <w:t>განსაზღვრა</w:t>
      </w:r>
      <w:r w:rsidRPr="004D31A1">
        <w:rPr>
          <w:rFonts w:cs="Arial"/>
          <w:lang w:val="ka-GE"/>
        </w:rPr>
        <w:t>”</w:t>
      </w:r>
      <w:r w:rsidRPr="004D31A1">
        <w:rPr>
          <w:lang w:val="ka-GE"/>
        </w:rPr>
        <w:t xml:space="preserve">) </w:t>
      </w:r>
      <w:r w:rsidRPr="004D31A1">
        <w:rPr>
          <w:rFonts w:ascii="Sylfaen" w:hAnsi="Sylfaen" w:cs="Sylfaen"/>
          <w:lang w:val="ka-GE"/>
        </w:rPr>
        <w:t>მოცემული</w:t>
      </w:r>
      <w:r w:rsidRPr="004D31A1">
        <w:rPr>
          <w:lang w:val="ka-GE"/>
        </w:rPr>
        <w:t xml:space="preserve"> </w:t>
      </w:r>
      <w:r w:rsidRPr="004D31A1">
        <w:rPr>
          <w:rFonts w:cs="Arial"/>
          <w:lang w:val="ka-GE"/>
        </w:rPr>
        <w:t>“</w:t>
      </w:r>
      <w:r w:rsidRPr="004D31A1">
        <w:rPr>
          <w:rFonts w:ascii="Sylfaen" w:hAnsi="Sylfaen" w:cs="Sylfaen"/>
          <w:lang w:val="ka-GE"/>
        </w:rPr>
        <w:t>ჩამონადენის</w:t>
      </w:r>
      <w:r w:rsidRPr="004D31A1">
        <w:rPr>
          <w:lang w:val="ka-GE"/>
        </w:rPr>
        <w:t xml:space="preserve"> </w:t>
      </w:r>
      <w:r w:rsidRPr="004D31A1">
        <w:rPr>
          <w:rFonts w:ascii="Sylfaen" w:hAnsi="Sylfaen" w:cs="Sylfaen"/>
          <w:lang w:val="ka-GE"/>
        </w:rPr>
        <w:t>ზღვრული</w:t>
      </w:r>
      <w:r w:rsidRPr="004D31A1">
        <w:rPr>
          <w:lang w:val="ka-GE"/>
        </w:rPr>
        <w:t xml:space="preserve"> </w:t>
      </w:r>
      <w:r w:rsidRPr="004D31A1">
        <w:rPr>
          <w:rFonts w:ascii="Sylfaen" w:hAnsi="Sylfaen" w:cs="Sylfaen"/>
          <w:lang w:val="ka-GE"/>
        </w:rPr>
        <w:t>ინტენსიურობის</w:t>
      </w:r>
      <w:r w:rsidRPr="004D31A1">
        <w:rPr>
          <w:rFonts w:cs="Arial"/>
          <w:lang w:val="ka-GE"/>
        </w:rPr>
        <w:t>”</w:t>
      </w:r>
      <w:r w:rsidRPr="004D31A1">
        <w:rPr>
          <w:lang w:val="ka-GE"/>
        </w:rPr>
        <w:t xml:space="preserve"> </w:t>
      </w:r>
      <w:r w:rsidRPr="004D31A1">
        <w:rPr>
          <w:rFonts w:ascii="Sylfaen" w:hAnsi="Sylfaen" w:cs="Sylfaen"/>
          <w:lang w:val="ka-GE"/>
        </w:rPr>
        <w:t>ფორმულით</w:t>
      </w:r>
      <w:r w:rsidRPr="004D31A1">
        <w:rPr>
          <w:lang w:val="ka-GE"/>
        </w:rPr>
        <w:t xml:space="preserve"> </w:t>
      </w:r>
      <w:r w:rsidRPr="004D31A1">
        <w:rPr>
          <w:rFonts w:ascii="Sylfaen" w:hAnsi="Sylfaen" w:cs="Sylfaen"/>
          <w:lang w:val="ka-GE"/>
        </w:rPr>
        <w:t>გამოთვლილ</w:t>
      </w:r>
      <w:r w:rsidRPr="004D31A1">
        <w:rPr>
          <w:lang w:val="ka-GE"/>
        </w:rPr>
        <w:t xml:space="preserve"> </w:t>
      </w:r>
      <w:r w:rsidRPr="004D31A1">
        <w:rPr>
          <w:rFonts w:ascii="Sylfaen" w:hAnsi="Sylfaen" w:cs="Sylfaen"/>
          <w:lang w:val="ka-GE"/>
        </w:rPr>
        <w:t>მაქსიმალურ</w:t>
      </w:r>
      <w:r w:rsidRPr="004D31A1">
        <w:rPr>
          <w:lang w:val="ka-GE"/>
        </w:rPr>
        <w:t xml:space="preserve"> </w:t>
      </w:r>
      <w:r w:rsidRPr="004D31A1">
        <w:rPr>
          <w:rFonts w:ascii="Sylfaen" w:hAnsi="Sylfaen" w:cs="Sylfaen"/>
          <w:lang w:val="ka-GE"/>
        </w:rPr>
        <w:t>ხარჯებს</w:t>
      </w:r>
      <w:r w:rsidRPr="004D31A1">
        <w:rPr>
          <w:lang w:val="ka-GE"/>
        </w:rPr>
        <w:t xml:space="preserve">. </w:t>
      </w:r>
      <w:r w:rsidRPr="004D31A1">
        <w:rPr>
          <w:rFonts w:ascii="Sylfaen" w:hAnsi="Sylfaen" w:cs="Sylfaen"/>
          <w:lang w:val="ka-GE"/>
        </w:rPr>
        <w:t>ეს</w:t>
      </w:r>
      <w:r w:rsidRPr="004D31A1">
        <w:rPr>
          <w:lang w:val="ka-GE"/>
        </w:rPr>
        <w:t xml:space="preserve"> </w:t>
      </w:r>
      <w:r w:rsidRPr="004D31A1">
        <w:rPr>
          <w:rFonts w:ascii="Sylfaen" w:hAnsi="Sylfaen" w:cs="Sylfaen"/>
          <w:lang w:val="ka-GE"/>
        </w:rPr>
        <w:t>იმით</w:t>
      </w:r>
      <w:r w:rsidRPr="004D31A1">
        <w:rPr>
          <w:lang w:val="ka-GE"/>
        </w:rPr>
        <w:t xml:space="preserve"> </w:t>
      </w:r>
      <w:r w:rsidRPr="004D31A1">
        <w:rPr>
          <w:rFonts w:ascii="Sylfaen" w:hAnsi="Sylfaen" w:cs="Sylfaen"/>
          <w:lang w:val="ka-GE"/>
        </w:rPr>
        <w:t>აიხსნება</w:t>
      </w:r>
      <w:r w:rsidRPr="004D31A1">
        <w:rPr>
          <w:lang w:val="ka-GE"/>
        </w:rPr>
        <w:t xml:space="preserve">, </w:t>
      </w:r>
      <w:r w:rsidRPr="004D31A1">
        <w:rPr>
          <w:rFonts w:ascii="Sylfaen" w:hAnsi="Sylfaen" w:cs="Sylfaen"/>
          <w:lang w:val="ka-GE"/>
        </w:rPr>
        <w:t>რომ</w:t>
      </w:r>
      <w:r w:rsidRPr="004D31A1">
        <w:rPr>
          <w:lang w:val="ka-GE"/>
        </w:rPr>
        <w:t xml:space="preserve"> </w:t>
      </w:r>
      <w:r w:rsidRPr="004D31A1">
        <w:rPr>
          <w:rFonts w:ascii="Sylfaen" w:hAnsi="Sylfaen" w:cs="Sylfaen"/>
          <w:lang w:val="ka-GE"/>
        </w:rPr>
        <w:t>ზღვრული</w:t>
      </w:r>
      <w:r w:rsidRPr="004D31A1">
        <w:rPr>
          <w:lang w:val="ka-GE"/>
        </w:rPr>
        <w:t xml:space="preserve"> </w:t>
      </w:r>
      <w:r w:rsidRPr="004D31A1">
        <w:rPr>
          <w:rFonts w:ascii="Sylfaen" w:hAnsi="Sylfaen" w:cs="Sylfaen"/>
          <w:lang w:val="ka-GE"/>
        </w:rPr>
        <w:t>ინტენსიურობის</w:t>
      </w:r>
      <w:r w:rsidRPr="004D31A1">
        <w:rPr>
          <w:lang w:val="ka-GE"/>
        </w:rPr>
        <w:t xml:space="preserve"> </w:t>
      </w:r>
      <w:r w:rsidRPr="004D31A1">
        <w:rPr>
          <w:rFonts w:ascii="Sylfaen" w:hAnsi="Sylfaen" w:cs="Sylfaen"/>
          <w:lang w:val="ka-GE"/>
        </w:rPr>
        <w:t>ფორმულაში</w:t>
      </w:r>
      <w:r w:rsidRPr="004D31A1">
        <w:rPr>
          <w:lang w:val="ka-GE"/>
        </w:rPr>
        <w:t xml:space="preserve"> </w:t>
      </w:r>
      <w:r w:rsidRPr="004D31A1">
        <w:rPr>
          <w:rFonts w:ascii="Sylfaen" w:hAnsi="Sylfaen" w:cs="Sylfaen"/>
          <w:lang w:val="ka-GE"/>
        </w:rPr>
        <w:t>მხედველობაში</w:t>
      </w:r>
      <w:r w:rsidRPr="004D31A1">
        <w:rPr>
          <w:lang w:val="ka-GE"/>
        </w:rPr>
        <w:t xml:space="preserve"> </w:t>
      </w:r>
      <w:r w:rsidRPr="004D31A1">
        <w:rPr>
          <w:rFonts w:ascii="Sylfaen" w:hAnsi="Sylfaen" w:cs="Sylfaen"/>
          <w:lang w:val="ka-GE"/>
        </w:rPr>
        <w:t>არ</w:t>
      </w:r>
      <w:r w:rsidRPr="004D31A1">
        <w:rPr>
          <w:lang w:val="ka-GE"/>
        </w:rPr>
        <w:t xml:space="preserve"> </w:t>
      </w:r>
      <w:r w:rsidRPr="004D31A1">
        <w:rPr>
          <w:rFonts w:ascii="Sylfaen" w:hAnsi="Sylfaen" w:cs="Sylfaen"/>
          <w:lang w:val="ka-GE"/>
        </w:rPr>
        <w:t>არის</w:t>
      </w:r>
      <w:r w:rsidRPr="004D31A1">
        <w:rPr>
          <w:lang w:val="ka-GE"/>
        </w:rPr>
        <w:t xml:space="preserve"> </w:t>
      </w:r>
      <w:r w:rsidRPr="004D31A1">
        <w:rPr>
          <w:rFonts w:ascii="Sylfaen" w:hAnsi="Sylfaen" w:cs="Sylfaen"/>
          <w:lang w:val="ka-GE"/>
        </w:rPr>
        <w:lastRenderedPageBreak/>
        <w:t>მიღებული</w:t>
      </w:r>
      <w:r w:rsidRPr="004D31A1">
        <w:rPr>
          <w:lang w:val="ka-GE"/>
        </w:rPr>
        <w:t xml:space="preserve"> </w:t>
      </w:r>
      <w:r w:rsidRPr="004D31A1">
        <w:rPr>
          <w:rFonts w:ascii="Sylfaen" w:hAnsi="Sylfaen" w:cs="Sylfaen"/>
          <w:lang w:val="ka-GE"/>
        </w:rPr>
        <w:t>კლიმატის</w:t>
      </w:r>
      <w:r w:rsidRPr="004D31A1">
        <w:rPr>
          <w:lang w:val="ka-GE"/>
        </w:rPr>
        <w:t xml:space="preserve"> </w:t>
      </w:r>
      <w:r w:rsidRPr="004D31A1">
        <w:rPr>
          <w:rFonts w:ascii="Sylfaen" w:hAnsi="Sylfaen" w:cs="Sylfaen"/>
          <w:lang w:val="ka-GE"/>
        </w:rPr>
        <w:t>გლობალური</w:t>
      </w:r>
      <w:r w:rsidRPr="004D31A1">
        <w:rPr>
          <w:lang w:val="ka-GE"/>
        </w:rPr>
        <w:t xml:space="preserve"> </w:t>
      </w:r>
      <w:r w:rsidRPr="004D31A1">
        <w:rPr>
          <w:rFonts w:ascii="Sylfaen" w:hAnsi="Sylfaen" w:cs="Sylfaen"/>
          <w:lang w:val="ka-GE"/>
        </w:rPr>
        <w:t>ცვლილებები</w:t>
      </w:r>
      <w:r w:rsidRPr="004D31A1">
        <w:rPr>
          <w:lang w:val="ka-GE"/>
        </w:rPr>
        <w:t xml:space="preserve"> </w:t>
      </w:r>
      <w:r w:rsidRPr="004D31A1">
        <w:rPr>
          <w:rFonts w:ascii="Sylfaen" w:hAnsi="Sylfaen" w:cs="Sylfaen"/>
          <w:lang w:val="ka-GE"/>
        </w:rPr>
        <w:t>ბოლო</w:t>
      </w:r>
      <w:r w:rsidRPr="004D31A1">
        <w:rPr>
          <w:lang w:val="ka-GE"/>
        </w:rPr>
        <w:t xml:space="preserve"> </w:t>
      </w:r>
      <w:r w:rsidRPr="004D31A1">
        <w:rPr>
          <w:rFonts w:ascii="Sylfaen" w:hAnsi="Sylfaen" w:cs="Sylfaen"/>
          <w:lang w:val="ka-GE"/>
        </w:rPr>
        <w:t>ათწლეულების</w:t>
      </w:r>
      <w:r w:rsidRPr="004D31A1">
        <w:rPr>
          <w:lang w:val="ka-GE"/>
        </w:rPr>
        <w:t xml:space="preserve"> </w:t>
      </w:r>
      <w:r w:rsidRPr="004D31A1">
        <w:rPr>
          <w:rFonts w:ascii="Sylfaen" w:hAnsi="Sylfaen" w:cs="Sylfaen"/>
          <w:lang w:val="ka-GE"/>
        </w:rPr>
        <w:t>მანძილზე</w:t>
      </w:r>
      <w:r w:rsidRPr="004D31A1">
        <w:rPr>
          <w:lang w:val="ka-GE"/>
        </w:rPr>
        <w:t xml:space="preserve">  </w:t>
      </w:r>
      <w:r w:rsidRPr="004D31A1">
        <w:rPr>
          <w:rFonts w:ascii="Sylfaen" w:hAnsi="Sylfaen" w:cs="Sylfaen"/>
          <w:lang w:val="ka-GE"/>
        </w:rPr>
        <w:t>და</w:t>
      </w:r>
      <w:r w:rsidRPr="004D31A1">
        <w:rPr>
          <w:lang w:val="ka-GE"/>
        </w:rPr>
        <w:t xml:space="preserve"> </w:t>
      </w:r>
      <w:r w:rsidRPr="004D31A1">
        <w:rPr>
          <w:rFonts w:ascii="Sylfaen" w:hAnsi="Sylfaen" w:cs="Sylfaen"/>
          <w:lang w:val="ka-GE"/>
        </w:rPr>
        <w:t>მათთან</w:t>
      </w:r>
      <w:r w:rsidRPr="004D31A1">
        <w:rPr>
          <w:lang w:val="ka-GE"/>
        </w:rPr>
        <w:t xml:space="preserve"> </w:t>
      </w:r>
      <w:r w:rsidRPr="004D31A1">
        <w:rPr>
          <w:rFonts w:ascii="Sylfaen" w:hAnsi="Sylfaen" w:cs="Sylfaen"/>
          <w:lang w:val="ka-GE"/>
        </w:rPr>
        <w:t>დაკავშირებული</w:t>
      </w:r>
      <w:r w:rsidRPr="004D31A1">
        <w:rPr>
          <w:lang w:val="ka-GE"/>
        </w:rPr>
        <w:t xml:space="preserve"> </w:t>
      </w:r>
      <w:r w:rsidRPr="004D31A1">
        <w:rPr>
          <w:rFonts w:ascii="Sylfaen" w:hAnsi="Sylfaen" w:cs="Sylfaen"/>
          <w:lang w:val="ka-GE"/>
        </w:rPr>
        <w:t>ატმოსფერული</w:t>
      </w:r>
      <w:r w:rsidRPr="004D31A1">
        <w:rPr>
          <w:lang w:val="ka-GE"/>
        </w:rPr>
        <w:t xml:space="preserve"> </w:t>
      </w:r>
      <w:r w:rsidRPr="004D31A1">
        <w:rPr>
          <w:rFonts w:ascii="Sylfaen" w:hAnsi="Sylfaen" w:cs="Sylfaen"/>
          <w:lang w:val="ka-GE"/>
        </w:rPr>
        <w:t>ნალექების</w:t>
      </w:r>
      <w:r w:rsidRPr="004D31A1">
        <w:rPr>
          <w:lang w:val="ka-GE"/>
        </w:rPr>
        <w:t xml:space="preserve"> </w:t>
      </w:r>
      <w:r w:rsidRPr="004D31A1">
        <w:rPr>
          <w:rFonts w:ascii="Sylfaen" w:hAnsi="Sylfaen" w:cs="Sylfaen"/>
          <w:lang w:val="ka-GE"/>
        </w:rPr>
        <w:t>ზრდის</w:t>
      </w:r>
      <w:r w:rsidRPr="004D31A1">
        <w:rPr>
          <w:lang w:val="ka-GE"/>
        </w:rPr>
        <w:t xml:space="preserve"> </w:t>
      </w:r>
      <w:r w:rsidRPr="004D31A1">
        <w:rPr>
          <w:rFonts w:ascii="Sylfaen" w:hAnsi="Sylfaen" w:cs="Sylfaen"/>
          <w:lang w:val="ka-GE"/>
        </w:rPr>
        <w:t>ტენდენცია</w:t>
      </w:r>
      <w:r w:rsidRPr="004D31A1">
        <w:rPr>
          <w:lang w:val="ka-GE"/>
        </w:rPr>
        <w:t xml:space="preserve">. </w:t>
      </w:r>
      <w:r w:rsidRPr="004D31A1">
        <w:rPr>
          <w:rFonts w:ascii="Sylfaen" w:hAnsi="Sylfaen" w:cs="Sylfaen"/>
          <w:lang w:val="ka-GE"/>
        </w:rPr>
        <w:t>კლიმატის</w:t>
      </w:r>
      <w:r w:rsidRPr="004D31A1">
        <w:rPr>
          <w:lang w:val="ka-GE"/>
        </w:rPr>
        <w:t xml:space="preserve"> </w:t>
      </w:r>
      <w:r w:rsidRPr="004D31A1">
        <w:rPr>
          <w:rFonts w:ascii="Sylfaen" w:hAnsi="Sylfaen" w:cs="Sylfaen"/>
          <w:lang w:val="ka-GE"/>
        </w:rPr>
        <w:t>გლობალური</w:t>
      </w:r>
      <w:r w:rsidRPr="004D31A1">
        <w:rPr>
          <w:lang w:val="ka-GE"/>
        </w:rPr>
        <w:t xml:space="preserve"> </w:t>
      </w:r>
      <w:r w:rsidRPr="004D31A1">
        <w:rPr>
          <w:rFonts w:ascii="Sylfaen" w:hAnsi="Sylfaen" w:cs="Sylfaen"/>
          <w:lang w:val="ka-GE"/>
        </w:rPr>
        <w:t>ცვლილებებით</w:t>
      </w:r>
      <w:r w:rsidRPr="004D31A1">
        <w:rPr>
          <w:lang w:val="ka-GE"/>
        </w:rPr>
        <w:t xml:space="preserve"> </w:t>
      </w:r>
      <w:r w:rsidRPr="004D31A1">
        <w:rPr>
          <w:rFonts w:ascii="Sylfaen" w:hAnsi="Sylfaen" w:cs="Sylfaen"/>
          <w:lang w:val="ka-GE"/>
        </w:rPr>
        <w:t>განპირობებული</w:t>
      </w:r>
      <w:r w:rsidRPr="004D31A1">
        <w:rPr>
          <w:lang w:val="ka-GE"/>
        </w:rPr>
        <w:t xml:space="preserve"> </w:t>
      </w:r>
      <w:r w:rsidRPr="004D31A1">
        <w:rPr>
          <w:rFonts w:ascii="Sylfaen" w:hAnsi="Sylfaen" w:cs="Sylfaen"/>
          <w:lang w:val="ka-GE"/>
        </w:rPr>
        <w:t>ატმოსფერული</w:t>
      </w:r>
      <w:r w:rsidRPr="004D31A1">
        <w:rPr>
          <w:lang w:val="ka-GE"/>
        </w:rPr>
        <w:t xml:space="preserve"> </w:t>
      </w:r>
      <w:r w:rsidRPr="004D31A1">
        <w:rPr>
          <w:rFonts w:ascii="Sylfaen" w:hAnsi="Sylfaen" w:cs="Sylfaen"/>
          <w:lang w:val="ka-GE"/>
        </w:rPr>
        <w:t>ნალექების</w:t>
      </w:r>
      <w:r w:rsidRPr="004D31A1">
        <w:rPr>
          <w:lang w:val="ka-GE"/>
        </w:rPr>
        <w:t xml:space="preserve"> </w:t>
      </w:r>
      <w:r w:rsidRPr="004D31A1">
        <w:rPr>
          <w:rFonts w:ascii="Sylfaen" w:hAnsi="Sylfaen" w:cs="Sylfaen"/>
          <w:lang w:val="ka-GE"/>
        </w:rPr>
        <w:t>ზრდის</w:t>
      </w:r>
      <w:r w:rsidRPr="004D31A1">
        <w:rPr>
          <w:lang w:val="ka-GE"/>
        </w:rPr>
        <w:t xml:space="preserve"> </w:t>
      </w:r>
      <w:r w:rsidRPr="004D31A1">
        <w:rPr>
          <w:rFonts w:ascii="Sylfaen" w:hAnsi="Sylfaen" w:cs="Sylfaen"/>
          <w:lang w:val="ka-GE"/>
        </w:rPr>
        <w:t>და</w:t>
      </w:r>
      <w:r w:rsidRPr="004D31A1">
        <w:rPr>
          <w:lang w:val="ka-GE"/>
        </w:rPr>
        <w:t xml:space="preserve">, </w:t>
      </w:r>
      <w:r w:rsidRPr="004D31A1">
        <w:rPr>
          <w:rFonts w:ascii="Sylfaen" w:hAnsi="Sylfaen" w:cs="Sylfaen"/>
          <w:lang w:val="ka-GE"/>
        </w:rPr>
        <w:t>შესაბამისად</w:t>
      </w:r>
      <w:r w:rsidRPr="004D31A1">
        <w:rPr>
          <w:lang w:val="ka-GE"/>
        </w:rPr>
        <w:t xml:space="preserve">, </w:t>
      </w:r>
      <w:r w:rsidRPr="004D31A1">
        <w:rPr>
          <w:rFonts w:ascii="Sylfaen" w:hAnsi="Sylfaen" w:cs="Sylfaen"/>
          <w:lang w:val="ka-GE"/>
        </w:rPr>
        <w:t>წყლის</w:t>
      </w:r>
      <w:r w:rsidRPr="004D31A1">
        <w:rPr>
          <w:lang w:val="ka-GE"/>
        </w:rPr>
        <w:t xml:space="preserve"> </w:t>
      </w:r>
      <w:r w:rsidRPr="004D31A1">
        <w:rPr>
          <w:rFonts w:ascii="Sylfaen" w:hAnsi="Sylfaen" w:cs="Sylfaen"/>
          <w:lang w:val="ka-GE"/>
        </w:rPr>
        <w:t>მაქსიმალური</w:t>
      </w:r>
      <w:r w:rsidRPr="004D31A1">
        <w:rPr>
          <w:lang w:val="ka-GE"/>
        </w:rPr>
        <w:t xml:space="preserve"> </w:t>
      </w:r>
      <w:r w:rsidRPr="004D31A1">
        <w:rPr>
          <w:rFonts w:ascii="Sylfaen" w:hAnsi="Sylfaen" w:cs="Sylfaen"/>
          <w:lang w:val="ka-GE"/>
        </w:rPr>
        <w:t>ხარჯების</w:t>
      </w:r>
      <w:r w:rsidRPr="004D31A1">
        <w:rPr>
          <w:lang w:val="ka-GE"/>
        </w:rPr>
        <w:t xml:space="preserve"> </w:t>
      </w:r>
      <w:r w:rsidRPr="004D31A1">
        <w:rPr>
          <w:rFonts w:ascii="Sylfaen" w:hAnsi="Sylfaen" w:cs="Sylfaen"/>
          <w:lang w:val="ka-GE"/>
        </w:rPr>
        <w:t>მომატებული</w:t>
      </w:r>
      <w:r w:rsidRPr="004D31A1">
        <w:rPr>
          <w:lang w:val="ka-GE"/>
        </w:rPr>
        <w:t xml:space="preserve"> </w:t>
      </w:r>
      <w:r w:rsidRPr="004D31A1">
        <w:rPr>
          <w:rFonts w:ascii="Sylfaen" w:hAnsi="Sylfaen" w:cs="Sylfaen"/>
          <w:lang w:val="ka-GE"/>
        </w:rPr>
        <w:t>სიდიდეების</w:t>
      </w:r>
      <w:r w:rsidRPr="004D31A1">
        <w:rPr>
          <w:lang w:val="ka-GE"/>
        </w:rPr>
        <w:t xml:space="preserve"> </w:t>
      </w:r>
      <w:r w:rsidRPr="004D31A1">
        <w:rPr>
          <w:rFonts w:ascii="Sylfaen" w:hAnsi="Sylfaen" w:cs="Sylfaen"/>
          <w:lang w:val="ka-GE"/>
        </w:rPr>
        <w:t>გათვალისწინებით</w:t>
      </w:r>
      <w:r w:rsidRPr="004D31A1">
        <w:rPr>
          <w:lang w:val="ka-GE"/>
        </w:rPr>
        <w:t xml:space="preserve">, </w:t>
      </w:r>
      <w:r w:rsidRPr="004D31A1">
        <w:rPr>
          <w:rFonts w:ascii="Sylfaen" w:hAnsi="Sylfaen" w:cs="Sylfaen"/>
          <w:lang w:val="ka-GE"/>
        </w:rPr>
        <w:t>წყლის</w:t>
      </w:r>
      <w:r w:rsidRPr="004D31A1">
        <w:rPr>
          <w:lang w:val="ka-GE"/>
        </w:rPr>
        <w:t xml:space="preserve"> </w:t>
      </w:r>
      <w:r w:rsidRPr="004D31A1">
        <w:rPr>
          <w:rFonts w:ascii="Sylfaen" w:hAnsi="Sylfaen" w:cs="Sylfaen"/>
          <w:lang w:val="ka-GE"/>
        </w:rPr>
        <w:t>ხარჯების</w:t>
      </w:r>
      <w:r w:rsidRPr="004D31A1">
        <w:rPr>
          <w:lang w:val="ka-GE"/>
        </w:rPr>
        <w:t xml:space="preserve"> </w:t>
      </w:r>
      <w:r w:rsidRPr="004D31A1">
        <w:rPr>
          <w:rFonts w:ascii="Sylfaen" w:hAnsi="Sylfaen" w:cs="Sylfaen"/>
          <w:lang w:val="ka-GE"/>
        </w:rPr>
        <w:t>გაანგარიშებისთვის</w:t>
      </w:r>
      <w:r w:rsidRPr="004D31A1">
        <w:rPr>
          <w:lang w:val="ka-GE"/>
        </w:rPr>
        <w:t xml:space="preserve"> </w:t>
      </w:r>
      <w:r w:rsidRPr="004D31A1">
        <w:rPr>
          <w:rFonts w:ascii="Sylfaen" w:hAnsi="Sylfaen" w:cs="Sylfaen"/>
          <w:lang w:val="ka-GE"/>
        </w:rPr>
        <w:t>რეკომენდირებულია</w:t>
      </w:r>
      <w:r w:rsidRPr="004D31A1">
        <w:rPr>
          <w:lang w:val="ka-GE"/>
        </w:rPr>
        <w:t xml:space="preserve"> </w:t>
      </w:r>
      <w:r w:rsidRPr="004D31A1">
        <w:rPr>
          <w:rFonts w:ascii="Sylfaen" w:hAnsi="Sylfaen" w:cs="Sylfaen"/>
          <w:lang w:val="ka-GE"/>
        </w:rPr>
        <w:t>როსტომოვის</w:t>
      </w:r>
      <w:r w:rsidRPr="004D31A1">
        <w:rPr>
          <w:lang w:val="ka-GE"/>
        </w:rPr>
        <w:t xml:space="preserve"> </w:t>
      </w:r>
      <w:r w:rsidRPr="004D31A1">
        <w:rPr>
          <w:rFonts w:ascii="Sylfaen" w:hAnsi="Sylfaen" w:cs="Sylfaen"/>
          <w:lang w:val="ka-GE"/>
        </w:rPr>
        <w:t>მეთოდის</w:t>
      </w:r>
      <w:r w:rsidRPr="004D31A1">
        <w:rPr>
          <w:lang w:val="ka-GE"/>
        </w:rPr>
        <w:t xml:space="preserve"> </w:t>
      </w:r>
      <w:r w:rsidRPr="004D31A1">
        <w:rPr>
          <w:rFonts w:ascii="Sylfaen" w:hAnsi="Sylfaen" w:cs="Sylfaen"/>
          <w:lang w:val="ka-GE"/>
        </w:rPr>
        <w:t>გამოყენება</w:t>
      </w:r>
      <w:r w:rsidRPr="004D31A1">
        <w:rPr>
          <w:lang w:val="ka-GE"/>
        </w:rPr>
        <w:t xml:space="preserve">. </w:t>
      </w:r>
      <w:r w:rsidRPr="004D31A1">
        <w:rPr>
          <w:rFonts w:ascii="Sylfaen" w:hAnsi="Sylfaen" w:cs="Sylfaen"/>
          <w:lang w:val="ka-GE"/>
        </w:rPr>
        <w:t>მითუმეტეს</w:t>
      </w:r>
      <w:r w:rsidRPr="004D31A1">
        <w:rPr>
          <w:lang w:val="ka-GE"/>
        </w:rPr>
        <w:t xml:space="preserve">, </w:t>
      </w:r>
      <w:r w:rsidRPr="004D31A1">
        <w:rPr>
          <w:rFonts w:ascii="Sylfaen" w:hAnsi="Sylfaen" w:cs="Sylfaen"/>
          <w:lang w:val="ka-GE"/>
        </w:rPr>
        <w:t>რომ</w:t>
      </w:r>
      <w:r w:rsidRPr="004D31A1">
        <w:rPr>
          <w:lang w:val="ka-GE"/>
        </w:rPr>
        <w:t xml:space="preserve"> </w:t>
      </w:r>
      <w:r w:rsidRPr="004D31A1">
        <w:rPr>
          <w:rFonts w:ascii="Sylfaen" w:hAnsi="Sylfaen" w:cs="Sylfaen"/>
          <w:lang w:val="ka-GE"/>
        </w:rPr>
        <w:t>აღნიშნული</w:t>
      </w:r>
      <w:r w:rsidRPr="004D31A1">
        <w:rPr>
          <w:lang w:val="ka-GE"/>
        </w:rPr>
        <w:t xml:space="preserve"> </w:t>
      </w:r>
      <w:r w:rsidRPr="004D31A1">
        <w:rPr>
          <w:rFonts w:ascii="Sylfaen" w:hAnsi="Sylfaen" w:cs="Sylfaen"/>
          <w:lang w:val="ka-GE"/>
        </w:rPr>
        <w:t>მეთოდი</w:t>
      </w:r>
      <w:r w:rsidRPr="004D31A1">
        <w:rPr>
          <w:lang w:val="ka-GE"/>
        </w:rPr>
        <w:t xml:space="preserve"> </w:t>
      </w:r>
      <w:r w:rsidRPr="004D31A1">
        <w:rPr>
          <w:rFonts w:ascii="Sylfaen" w:hAnsi="Sylfaen" w:cs="Sylfaen"/>
          <w:lang w:val="ka-GE"/>
        </w:rPr>
        <w:t>აპრობირებულია</w:t>
      </w:r>
      <w:r w:rsidRPr="004D31A1">
        <w:rPr>
          <w:lang w:val="ka-GE"/>
        </w:rPr>
        <w:t xml:space="preserve"> </w:t>
      </w:r>
      <w:r w:rsidRPr="004D31A1">
        <w:rPr>
          <w:rFonts w:ascii="Sylfaen" w:hAnsi="Sylfaen" w:cs="Sylfaen"/>
          <w:lang w:val="ka-GE"/>
        </w:rPr>
        <w:t>საქართველოში</w:t>
      </w:r>
      <w:r w:rsidRPr="004D31A1">
        <w:rPr>
          <w:lang w:val="ka-GE"/>
        </w:rPr>
        <w:t xml:space="preserve"> </w:t>
      </w:r>
      <w:r w:rsidRPr="004D31A1">
        <w:rPr>
          <w:rFonts w:ascii="Sylfaen" w:hAnsi="Sylfaen" w:cs="Sylfaen"/>
          <w:lang w:val="ka-GE"/>
        </w:rPr>
        <w:t>და</w:t>
      </w:r>
      <w:r w:rsidRPr="004D31A1">
        <w:rPr>
          <w:lang w:val="ka-GE"/>
        </w:rPr>
        <w:t xml:space="preserve"> </w:t>
      </w:r>
      <w:r w:rsidRPr="004D31A1">
        <w:rPr>
          <w:rFonts w:ascii="Sylfaen" w:hAnsi="Sylfaen" w:cs="Sylfaen"/>
          <w:lang w:val="ka-GE"/>
        </w:rPr>
        <w:t>აკმაყოფილებს</w:t>
      </w:r>
      <w:r w:rsidRPr="004D31A1">
        <w:rPr>
          <w:lang w:val="ka-GE"/>
        </w:rPr>
        <w:t xml:space="preserve"> </w:t>
      </w:r>
      <w:r w:rsidRPr="004D31A1">
        <w:rPr>
          <w:rFonts w:ascii="Sylfaen" w:hAnsi="Sylfaen" w:cs="Sylfaen"/>
          <w:lang w:val="ka-GE"/>
        </w:rPr>
        <w:t>თანამედროვე</w:t>
      </w:r>
      <w:r w:rsidRPr="004D31A1">
        <w:rPr>
          <w:lang w:val="ka-GE"/>
        </w:rPr>
        <w:t xml:space="preserve"> </w:t>
      </w:r>
      <w:r w:rsidRPr="004D31A1">
        <w:rPr>
          <w:rFonts w:ascii="Sylfaen" w:hAnsi="Sylfaen" w:cs="Sylfaen"/>
          <w:lang w:val="ka-GE"/>
        </w:rPr>
        <w:t>მოთხოვნებს</w:t>
      </w:r>
      <w:r w:rsidRPr="004D31A1">
        <w:rPr>
          <w:lang w:val="ka-GE"/>
        </w:rPr>
        <w:t xml:space="preserve">. </w:t>
      </w:r>
    </w:p>
    <w:p w14:paraId="31E35381" w14:textId="77777777" w:rsidR="004D31A1" w:rsidRPr="004D31A1" w:rsidRDefault="004D31A1" w:rsidP="004D31A1">
      <w:pPr>
        <w:spacing w:before="120" w:after="120"/>
        <w:rPr>
          <w:lang w:val="ka-GE"/>
        </w:rPr>
      </w:pPr>
      <w:r w:rsidRPr="004D31A1">
        <w:rPr>
          <w:rFonts w:ascii="Sylfaen" w:hAnsi="Sylfaen" w:cs="Sylfaen"/>
          <w:lang w:val="ka-GE"/>
        </w:rPr>
        <w:t>წყალსადინრების</w:t>
      </w:r>
      <w:r w:rsidRPr="004D31A1">
        <w:rPr>
          <w:lang w:val="ka-GE"/>
        </w:rPr>
        <w:t xml:space="preserve"> </w:t>
      </w:r>
      <w:r w:rsidRPr="004D31A1">
        <w:rPr>
          <w:rFonts w:ascii="Sylfaen" w:hAnsi="Sylfaen" w:cs="Sylfaen"/>
          <w:lang w:val="ka-GE"/>
        </w:rPr>
        <w:t>გადაკვეთები</w:t>
      </w:r>
      <w:r w:rsidRPr="004D31A1">
        <w:rPr>
          <w:lang w:val="ka-GE"/>
        </w:rPr>
        <w:t xml:space="preserve"> </w:t>
      </w:r>
      <w:r w:rsidRPr="004D31A1">
        <w:rPr>
          <w:rFonts w:ascii="Sylfaen" w:hAnsi="Sylfaen" w:cs="Sylfaen"/>
          <w:lang w:val="ka-GE"/>
        </w:rPr>
        <w:t>დაპროექტებულია</w:t>
      </w:r>
      <w:r w:rsidRPr="004D31A1">
        <w:rPr>
          <w:lang w:val="ka-GE"/>
        </w:rPr>
        <w:t xml:space="preserve"> 50-</w:t>
      </w:r>
      <w:r w:rsidRPr="004D31A1">
        <w:rPr>
          <w:rFonts w:ascii="Sylfaen" w:hAnsi="Sylfaen" w:cs="Sylfaen"/>
          <w:lang w:val="ka-GE"/>
        </w:rPr>
        <w:t>წლიანი</w:t>
      </w:r>
      <w:r w:rsidRPr="004D31A1">
        <w:rPr>
          <w:lang w:val="ka-GE"/>
        </w:rPr>
        <w:t xml:space="preserve"> </w:t>
      </w:r>
      <w:r w:rsidRPr="004D31A1">
        <w:rPr>
          <w:rFonts w:ascii="Sylfaen" w:hAnsi="Sylfaen" w:cs="Sylfaen"/>
          <w:lang w:val="ka-GE"/>
        </w:rPr>
        <w:t>საანგარიშო</w:t>
      </w:r>
      <w:r w:rsidRPr="004D31A1">
        <w:rPr>
          <w:lang w:val="ka-GE"/>
        </w:rPr>
        <w:t xml:space="preserve"> </w:t>
      </w:r>
      <w:r w:rsidRPr="004D31A1">
        <w:rPr>
          <w:rFonts w:ascii="Sylfaen" w:hAnsi="Sylfaen" w:cs="Sylfaen"/>
          <w:lang w:val="ka-GE"/>
        </w:rPr>
        <w:t>განმეორებადობის</w:t>
      </w:r>
      <w:r w:rsidRPr="004D31A1">
        <w:rPr>
          <w:lang w:val="ka-GE"/>
        </w:rPr>
        <w:t xml:space="preserve"> </w:t>
      </w:r>
      <w:r w:rsidRPr="004D31A1">
        <w:rPr>
          <w:rFonts w:ascii="Sylfaen" w:hAnsi="Sylfaen" w:cs="Sylfaen"/>
          <w:lang w:val="ka-GE"/>
        </w:rPr>
        <w:t>წყლის</w:t>
      </w:r>
      <w:r w:rsidRPr="004D31A1">
        <w:rPr>
          <w:lang w:val="ka-GE"/>
        </w:rPr>
        <w:t xml:space="preserve"> </w:t>
      </w:r>
      <w:r w:rsidRPr="004D31A1">
        <w:rPr>
          <w:rFonts w:ascii="Sylfaen" w:hAnsi="Sylfaen" w:cs="Sylfaen"/>
          <w:lang w:val="ka-GE"/>
        </w:rPr>
        <w:t>მაქსიმალური</w:t>
      </w:r>
      <w:r w:rsidRPr="004D31A1">
        <w:rPr>
          <w:lang w:val="ka-GE"/>
        </w:rPr>
        <w:t xml:space="preserve"> </w:t>
      </w:r>
      <w:r w:rsidRPr="004D31A1">
        <w:rPr>
          <w:rFonts w:ascii="Sylfaen" w:hAnsi="Sylfaen" w:cs="Sylfaen"/>
          <w:lang w:val="ka-GE"/>
        </w:rPr>
        <w:t>ხარჯების</w:t>
      </w:r>
      <w:r w:rsidRPr="004D31A1">
        <w:rPr>
          <w:lang w:val="ka-GE"/>
        </w:rPr>
        <w:t xml:space="preserve"> </w:t>
      </w:r>
      <w:r w:rsidRPr="004D31A1">
        <w:rPr>
          <w:rFonts w:ascii="Sylfaen" w:hAnsi="Sylfaen" w:cs="Sylfaen"/>
          <w:lang w:val="ka-GE"/>
        </w:rPr>
        <w:t>გათვალისწინებით</w:t>
      </w:r>
      <w:r w:rsidRPr="004D31A1">
        <w:rPr>
          <w:lang w:val="ka-GE"/>
        </w:rPr>
        <w:t xml:space="preserve">, </w:t>
      </w:r>
      <w:r w:rsidRPr="004D31A1">
        <w:rPr>
          <w:rFonts w:ascii="Sylfaen" w:hAnsi="Sylfaen" w:cs="Sylfaen"/>
          <w:lang w:val="ka-GE"/>
        </w:rPr>
        <w:t>როგორც</w:t>
      </w:r>
      <w:r w:rsidRPr="004D31A1">
        <w:rPr>
          <w:lang w:val="ka-GE"/>
        </w:rPr>
        <w:t xml:space="preserve"> </w:t>
      </w:r>
      <w:r w:rsidRPr="004D31A1">
        <w:rPr>
          <w:rFonts w:ascii="Sylfaen" w:hAnsi="Sylfaen" w:cs="Sylfaen"/>
          <w:lang w:val="ka-GE"/>
        </w:rPr>
        <w:t>ეს</w:t>
      </w:r>
      <w:r w:rsidRPr="004D31A1">
        <w:rPr>
          <w:lang w:val="ka-GE"/>
        </w:rPr>
        <w:t xml:space="preserve"> </w:t>
      </w:r>
      <w:r w:rsidRPr="004D31A1">
        <w:rPr>
          <w:rFonts w:ascii="Sylfaen" w:hAnsi="Sylfaen" w:cs="Sylfaen"/>
          <w:lang w:val="ka-GE"/>
        </w:rPr>
        <w:t>მოითხოვება</w:t>
      </w:r>
      <w:r w:rsidRPr="004D31A1">
        <w:rPr>
          <w:lang w:val="ka-GE"/>
        </w:rPr>
        <w:t xml:space="preserve"> </w:t>
      </w:r>
      <w:r w:rsidRPr="004D31A1">
        <w:rPr>
          <w:rFonts w:ascii="Sylfaen" w:hAnsi="Sylfaen" w:cs="Sylfaen"/>
          <w:lang w:val="ka-GE"/>
        </w:rPr>
        <w:t>სტანდარტით</w:t>
      </w:r>
      <w:r w:rsidRPr="004D31A1">
        <w:rPr>
          <w:lang w:val="ka-GE"/>
        </w:rPr>
        <w:t xml:space="preserve"> </w:t>
      </w:r>
      <w:r w:rsidRPr="004D31A1">
        <w:rPr>
          <w:rFonts w:ascii="Sylfaen" w:hAnsi="Sylfaen" w:cs="Sylfaen"/>
          <w:lang w:val="ka-GE"/>
        </w:rPr>
        <w:t>სნდწ</w:t>
      </w:r>
      <w:r w:rsidRPr="004D31A1">
        <w:rPr>
          <w:lang w:val="ka-GE"/>
        </w:rPr>
        <w:t xml:space="preserve"> (</w:t>
      </w:r>
      <w:r w:rsidRPr="004D31A1">
        <w:rPr>
          <w:rFonts w:cs="Arial"/>
          <w:lang w:val="ka-GE"/>
        </w:rPr>
        <w:t>СНиП</w:t>
      </w:r>
      <w:r w:rsidRPr="004D31A1">
        <w:rPr>
          <w:lang w:val="ka-GE"/>
        </w:rPr>
        <w:t xml:space="preserve">) 2.05.03-84 </w:t>
      </w:r>
      <w:r w:rsidRPr="004D31A1">
        <w:rPr>
          <w:rFonts w:ascii="Sylfaen" w:hAnsi="Sylfaen" w:cs="Sylfaen"/>
          <w:lang w:val="ka-GE"/>
        </w:rPr>
        <w:t>და</w:t>
      </w:r>
      <w:r w:rsidRPr="004D31A1">
        <w:rPr>
          <w:lang w:val="ka-GE"/>
        </w:rPr>
        <w:t xml:space="preserve"> </w:t>
      </w:r>
      <w:r w:rsidRPr="004D31A1">
        <w:rPr>
          <w:rFonts w:ascii="Sylfaen" w:hAnsi="Sylfaen" w:cs="Sylfaen"/>
          <w:lang w:val="ka-GE"/>
        </w:rPr>
        <w:t>დადასტურებულია</w:t>
      </w:r>
      <w:r w:rsidRPr="004D31A1">
        <w:rPr>
          <w:lang w:val="ka-GE"/>
        </w:rPr>
        <w:t xml:space="preserve"> </w:t>
      </w:r>
      <w:r w:rsidRPr="004D31A1">
        <w:rPr>
          <w:rFonts w:ascii="Sylfaen" w:hAnsi="Sylfaen" w:cs="Sylfaen"/>
          <w:lang w:val="ka-GE"/>
        </w:rPr>
        <w:t>გზების</w:t>
      </w:r>
      <w:r w:rsidRPr="004D31A1">
        <w:rPr>
          <w:lang w:val="ka-GE"/>
        </w:rPr>
        <w:t xml:space="preserve"> </w:t>
      </w:r>
      <w:r w:rsidRPr="004D31A1">
        <w:rPr>
          <w:rFonts w:ascii="Sylfaen" w:hAnsi="Sylfaen" w:cs="Sylfaen"/>
          <w:lang w:val="ka-GE"/>
        </w:rPr>
        <w:t>დეპარტამენტის</w:t>
      </w:r>
      <w:r w:rsidRPr="004D31A1">
        <w:rPr>
          <w:lang w:val="ka-GE"/>
        </w:rPr>
        <w:t xml:space="preserve"> </w:t>
      </w:r>
      <w:r w:rsidRPr="004D31A1">
        <w:rPr>
          <w:rFonts w:ascii="Sylfaen" w:hAnsi="Sylfaen" w:cs="Sylfaen"/>
          <w:lang w:val="ka-GE"/>
        </w:rPr>
        <w:t>მიერ</w:t>
      </w:r>
      <w:r w:rsidRPr="004D31A1">
        <w:rPr>
          <w:lang w:val="ka-GE"/>
        </w:rPr>
        <w:t>.</w:t>
      </w:r>
    </w:p>
    <w:p w14:paraId="6E7AC6A4" w14:textId="27B8543E" w:rsidR="004D31A1" w:rsidRDefault="004D31A1" w:rsidP="004D31A1">
      <w:pPr>
        <w:spacing w:before="120" w:after="120"/>
        <w:rPr>
          <w:rFonts w:ascii="Sylfaen" w:hAnsi="Sylfaen"/>
          <w:lang w:val="ka-GE"/>
        </w:rPr>
      </w:pPr>
      <w:r w:rsidRPr="004D31A1">
        <w:rPr>
          <w:rFonts w:ascii="Sylfaen" w:hAnsi="Sylfaen" w:cs="Sylfaen"/>
          <w:lang w:val="ka-GE"/>
        </w:rPr>
        <w:t>წყალშემკრები</w:t>
      </w:r>
      <w:r w:rsidRPr="004D31A1">
        <w:rPr>
          <w:lang w:val="ka-GE"/>
        </w:rPr>
        <w:t xml:space="preserve"> </w:t>
      </w:r>
      <w:r w:rsidRPr="004D31A1">
        <w:rPr>
          <w:rFonts w:ascii="Sylfaen" w:hAnsi="Sylfaen" w:cs="Sylfaen"/>
          <w:lang w:val="ka-GE"/>
        </w:rPr>
        <w:t>აუზების</w:t>
      </w:r>
      <w:r w:rsidRPr="004D31A1">
        <w:rPr>
          <w:lang w:val="ka-GE"/>
        </w:rPr>
        <w:t xml:space="preserve"> </w:t>
      </w:r>
      <w:r w:rsidRPr="004D31A1">
        <w:rPr>
          <w:rFonts w:ascii="Sylfaen" w:hAnsi="Sylfaen" w:cs="Sylfaen"/>
          <w:lang w:val="ka-GE"/>
        </w:rPr>
        <w:t>შესატყვისი</w:t>
      </w:r>
      <w:r w:rsidRPr="004D31A1">
        <w:rPr>
          <w:lang w:val="ka-GE"/>
        </w:rPr>
        <w:t xml:space="preserve"> </w:t>
      </w:r>
      <w:r w:rsidRPr="004D31A1">
        <w:rPr>
          <w:rFonts w:ascii="Sylfaen" w:hAnsi="Sylfaen" w:cs="Sylfaen"/>
          <w:lang w:val="ka-GE"/>
        </w:rPr>
        <w:t>მაქსიმალური</w:t>
      </w:r>
      <w:r w:rsidRPr="004D31A1">
        <w:rPr>
          <w:lang w:val="ka-GE"/>
        </w:rPr>
        <w:t xml:space="preserve"> </w:t>
      </w:r>
      <w:r w:rsidRPr="004D31A1">
        <w:rPr>
          <w:rFonts w:ascii="Sylfaen" w:hAnsi="Sylfaen" w:cs="Sylfaen"/>
          <w:lang w:val="ka-GE"/>
        </w:rPr>
        <w:t>წყლის</w:t>
      </w:r>
      <w:r w:rsidRPr="004D31A1">
        <w:rPr>
          <w:lang w:val="ka-GE"/>
        </w:rPr>
        <w:t xml:space="preserve"> </w:t>
      </w:r>
      <w:r w:rsidRPr="004D31A1">
        <w:rPr>
          <w:rFonts w:ascii="Sylfaen" w:hAnsi="Sylfaen" w:cs="Sylfaen"/>
          <w:lang w:val="ka-GE"/>
        </w:rPr>
        <w:t>ხარჯების</w:t>
      </w:r>
      <w:r w:rsidRPr="004D31A1">
        <w:rPr>
          <w:lang w:val="ka-GE"/>
        </w:rPr>
        <w:t xml:space="preserve"> </w:t>
      </w:r>
      <w:r w:rsidRPr="004D31A1">
        <w:rPr>
          <w:rFonts w:ascii="Sylfaen" w:hAnsi="Sylfaen" w:cs="Sylfaen"/>
          <w:lang w:val="ka-GE"/>
        </w:rPr>
        <w:t>გამოთვლის</w:t>
      </w:r>
      <w:r w:rsidRPr="004D31A1">
        <w:rPr>
          <w:lang w:val="ka-GE"/>
        </w:rPr>
        <w:t xml:space="preserve"> </w:t>
      </w:r>
      <w:r w:rsidRPr="004D31A1">
        <w:rPr>
          <w:rFonts w:ascii="Sylfaen" w:hAnsi="Sylfaen" w:cs="Sylfaen"/>
          <w:lang w:val="ka-GE"/>
        </w:rPr>
        <w:t>შემდეგ</w:t>
      </w:r>
      <w:r w:rsidRPr="004D31A1">
        <w:rPr>
          <w:lang w:val="ka-GE"/>
        </w:rPr>
        <w:t xml:space="preserve">, </w:t>
      </w:r>
      <w:r w:rsidRPr="004D31A1">
        <w:rPr>
          <w:rFonts w:ascii="Sylfaen" w:hAnsi="Sylfaen" w:cs="Sylfaen"/>
          <w:lang w:val="ka-GE"/>
        </w:rPr>
        <w:t>აშშ</w:t>
      </w:r>
      <w:r w:rsidRPr="004D31A1">
        <w:rPr>
          <w:lang w:val="ka-GE"/>
        </w:rPr>
        <w:t>-</w:t>
      </w:r>
      <w:r w:rsidRPr="004D31A1">
        <w:rPr>
          <w:rFonts w:ascii="Sylfaen" w:hAnsi="Sylfaen" w:cs="Sylfaen"/>
          <w:lang w:val="ka-GE"/>
        </w:rPr>
        <w:t>ს</w:t>
      </w:r>
      <w:r w:rsidRPr="004D31A1">
        <w:rPr>
          <w:lang w:val="ka-GE"/>
        </w:rPr>
        <w:t xml:space="preserve"> </w:t>
      </w:r>
      <w:r w:rsidRPr="004D31A1">
        <w:rPr>
          <w:rFonts w:cs="Arial"/>
          <w:lang w:val="ka-GE"/>
        </w:rPr>
        <w:t>“</w:t>
      </w:r>
      <w:r w:rsidRPr="004D31A1">
        <w:rPr>
          <w:rFonts w:ascii="Sylfaen" w:hAnsi="Sylfaen" w:cs="Sylfaen"/>
          <w:lang w:val="ka-GE"/>
        </w:rPr>
        <w:t>საავტომობილო</w:t>
      </w:r>
      <w:r w:rsidRPr="004D31A1">
        <w:rPr>
          <w:lang w:val="ka-GE"/>
        </w:rPr>
        <w:t xml:space="preserve"> </w:t>
      </w:r>
      <w:r w:rsidRPr="004D31A1">
        <w:rPr>
          <w:rFonts w:ascii="Sylfaen" w:hAnsi="Sylfaen" w:cs="Sylfaen"/>
          <w:lang w:val="ka-GE"/>
        </w:rPr>
        <w:t>გზების</w:t>
      </w:r>
      <w:r w:rsidRPr="004D31A1">
        <w:rPr>
          <w:lang w:val="ka-GE"/>
        </w:rPr>
        <w:t xml:space="preserve"> </w:t>
      </w:r>
      <w:r w:rsidRPr="004D31A1">
        <w:rPr>
          <w:rFonts w:ascii="Sylfaen" w:hAnsi="Sylfaen" w:cs="Sylfaen"/>
          <w:lang w:val="ka-GE"/>
        </w:rPr>
        <w:t>ფედერალური</w:t>
      </w:r>
      <w:r w:rsidRPr="004D31A1">
        <w:rPr>
          <w:lang w:val="ka-GE"/>
        </w:rPr>
        <w:t xml:space="preserve"> </w:t>
      </w:r>
      <w:r w:rsidRPr="004D31A1">
        <w:rPr>
          <w:rFonts w:ascii="Sylfaen" w:hAnsi="Sylfaen" w:cs="Sylfaen"/>
          <w:lang w:val="ka-GE"/>
        </w:rPr>
        <w:t>ადმინისტრაციის</w:t>
      </w:r>
      <w:r w:rsidRPr="004D31A1">
        <w:rPr>
          <w:rFonts w:cs="Arial"/>
          <w:lang w:val="ka-GE"/>
        </w:rPr>
        <w:t>”</w:t>
      </w:r>
      <w:r w:rsidRPr="004D31A1">
        <w:rPr>
          <w:lang w:val="ka-GE"/>
        </w:rPr>
        <w:t xml:space="preserve"> (</w:t>
      </w:r>
      <w:r w:rsidR="00F8565C" w:rsidRPr="00F8565C">
        <w:rPr>
          <w:lang w:val="ka-GE"/>
        </w:rPr>
        <w:t>FHWA</w:t>
      </w:r>
      <w:r w:rsidRPr="004D31A1">
        <w:rPr>
          <w:lang w:val="ka-GE"/>
        </w:rPr>
        <w:t xml:space="preserve">) </w:t>
      </w:r>
      <w:r w:rsidRPr="004D31A1">
        <w:rPr>
          <w:rFonts w:ascii="Sylfaen" w:hAnsi="Sylfaen" w:cs="Sylfaen"/>
          <w:lang w:val="ka-GE"/>
        </w:rPr>
        <w:t>კომპიუტერული</w:t>
      </w:r>
      <w:r w:rsidRPr="004D31A1">
        <w:rPr>
          <w:lang w:val="ka-GE"/>
        </w:rPr>
        <w:t xml:space="preserve"> </w:t>
      </w:r>
      <w:r w:rsidRPr="004D31A1">
        <w:rPr>
          <w:rFonts w:ascii="Sylfaen" w:hAnsi="Sylfaen" w:cs="Sylfaen"/>
          <w:lang w:val="ka-GE"/>
        </w:rPr>
        <w:t>პროგრამის</w:t>
      </w:r>
      <w:r w:rsidRPr="004D31A1">
        <w:rPr>
          <w:lang w:val="ka-GE"/>
        </w:rPr>
        <w:t xml:space="preserve"> </w:t>
      </w:r>
      <w:r w:rsidR="00F8565C" w:rsidRPr="00F8565C">
        <w:rPr>
          <w:lang w:val="ka-GE"/>
        </w:rPr>
        <w:t>HY</w:t>
      </w:r>
      <w:r w:rsidRPr="004D31A1">
        <w:rPr>
          <w:lang w:val="ka-GE"/>
        </w:rPr>
        <w:t xml:space="preserve">-8  </w:t>
      </w:r>
      <w:r w:rsidRPr="004D31A1">
        <w:rPr>
          <w:rFonts w:ascii="Sylfaen" w:hAnsi="Sylfaen" w:cs="Sylfaen"/>
          <w:lang w:val="ka-GE"/>
        </w:rPr>
        <w:t>საშუალებით</w:t>
      </w:r>
      <w:r w:rsidRPr="004D31A1">
        <w:rPr>
          <w:lang w:val="ka-GE"/>
        </w:rPr>
        <w:t xml:space="preserve">, </w:t>
      </w:r>
      <w:r w:rsidRPr="004D31A1">
        <w:rPr>
          <w:rFonts w:ascii="Sylfaen" w:hAnsi="Sylfaen" w:cs="Sylfaen"/>
          <w:lang w:val="ka-GE"/>
        </w:rPr>
        <w:t>შესრულდება</w:t>
      </w:r>
      <w:r w:rsidRPr="004D31A1">
        <w:rPr>
          <w:lang w:val="ka-GE"/>
        </w:rPr>
        <w:t xml:space="preserve"> </w:t>
      </w:r>
      <w:r w:rsidRPr="004D31A1">
        <w:rPr>
          <w:rFonts w:ascii="Sylfaen" w:hAnsi="Sylfaen" w:cs="Sylfaen"/>
          <w:lang w:val="ka-GE"/>
        </w:rPr>
        <w:t>ჰიდრავლიკური</w:t>
      </w:r>
      <w:r w:rsidRPr="004D31A1">
        <w:rPr>
          <w:lang w:val="ka-GE"/>
        </w:rPr>
        <w:t xml:space="preserve"> </w:t>
      </w:r>
      <w:r w:rsidRPr="004D31A1">
        <w:rPr>
          <w:rFonts w:ascii="Sylfaen" w:hAnsi="Sylfaen" w:cs="Sylfaen"/>
          <w:lang w:val="ka-GE"/>
        </w:rPr>
        <w:t>გაანგარიშებები</w:t>
      </w:r>
      <w:r w:rsidRPr="004D31A1">
        <w:rPr>
          <w:lang w:val="ka-GE"/>
        </w:rPr>
        <w:t xml:space="preserve">. </w:t>
      </w:r>
      <w:r w:rsidRPr="004D31A1">
        <w:rPr>
          <w:rFonts w:ascii="Sylfaen" w:hAnsi="Sylfaen" w:cs="Sylfaen"/>
          <w:lang w:val="ka-GE"/>
        </w:rPr>
        <w:t>აღნიშნული</w:t>
      </w:r>
      <w:r w:rsidRPr="004D31A1">
        <w:rPr>
          <w:lang w:val="ka-GE"/>
        </w:rPr>
        <w:t xml:space="preserve"> </w:t>
      </w:r>
      <w:r w:rsidRPr="004D31A1">
        <w:rPr>
          <w:rFonts w:ascii="Sylfaen" w:hAnsi="Sylfaen" w:cs="Sylfaen"/>
          <w:lang w:val="ka-GE"/>
        </w:rPr>
        <w:t>პროგრამა</w:t>
      </w:r>
      <w:r w:rsidRPr="004D31A1">
        <w:rPr>
          <w:lang w:val="ka-GE"/>
        </w:rPr>
        <w:t xml:space="preserve"> </w:t>
      </w:r>
      <w:r w:rsidRPr="004D31A1">
        <w:rPr>
          <w:rFonts w:ascii="Sylfaen" w:hAnsi="Sylfaen" w:cs="Sylfaen"/>
          <w:lang w:val="ka-GE"/>
        </w:rPr>
        <w:t>უშუალოდ</w:t>
      </w:r>
      <w:r w:rsidRPr="004D31A1">
        <w:rPr>
          <w:lang w:val="ka-GE"/>
        </w:rPr>
        <w:t xml:space="preserve"> </w:t>
      </w:r>
      <w:r w:rsidRPr="004D31A1">
        <w:rPr>
          <w:rFonts w:ascii="Sylfaen" w:hAnsi="Sylfaen" w:cs="Sylfaen"/>
          <w:lang w:val="ka-GE"/>
        </w:rPr>
        <w:t>არ</w:t>
      </w:r>
      <w:r w:rsidRPr="004D31A1">
        <w:rPr>
          <w:lang w:val="ka-GE"/>
        </w:rPr>
        <w:t xml:space="preserve"> </w:t>
      </w:r>
      <w:r w:rsidRPr="004D31A1">
        <w:rPr>
          <w:rFonts w:ascii="Sylfaen" w:hAnsi="Sylfaen" w:cs="Sylfaen"/>
          <w:lang w:val="ka-GE"/>
        </w:rPr>
        <w:t>არის</w:t>
      </w:r>
      <w:r w:rsidRPr="004D31A1">
        <w:rPr>
          <w:lang w:val="ka-GE"/>
        </w:rPr>
        <w:t xml:space="preserve"> </w:t>
      </w:r>
      <w:r w:rsidRPr="004D31A1">
        <w:rPr>
          <w:rFonts w:ascii="Sylfaen" w:hAnsi="Sylfaen" w:cs="Sylfaen"/>
          <w:lang w:val="ka-GE"/>
        </w:rPr>
        <w:t>შედგენილი</w:t>
      </w:r>
      <w:r w:rsidRPr="004D31A1">
        <w:rPr>
          <w:lang w:val="ka-GE"/>
        </w:rPr>
        <w:t xml:space="preserve"> </w:t>
      </w:r>
      <w:r w:rsidRPr="004D31A1">
        <w:rPr>
          <w:rFonts w:ascii="Sylfaen" w:hAnsi="Sylfaen" w:cs="Sylfaen"/>
          <w:lang w:val="ka-GE"/>
        </w:rPr>
        <w:t>წყლის</w:t>
      </w:r>
      <w:r w:rsidRPr="004D31A1">
        <w:rPr>
          <w:lang w:val="ka-GE"/>
        </w:rPr>
        <w:t xml:space="preserve"> </w:t>
      </w:r>
      <w:r w:rsidRPr="004D31A1">
        <w:rPr>
          <w:rFonts w:ascii="Sylfaen" w:hAnsi="Sylfaen" w:cs="Sylfaen"/>
          <w:lang w:val="ka-GE"/>
        </w:rPr>
        <w:t>ობიექტების</w:t>
      </w:r>
      <w:r w:rsidRPr="004D31A1">
        <w:rPr>
          <w:lang w:val="ka-GE"/>
        </w:rPr>
        <w:t xml:space="preserve"> </w:t>
      </w:r>
      <w:r w:rsidRPr="004D31A1">
        <w:rPr>
          <w:rFonts w:ascii="Sylfaen" w:hAnsi="Sylfaen" w:cs="Sylfaen"/>
          <w:lang w:val="ka-GE"/>
        </w:rPr>
        <w:t>ზედაპირების</w:t>
      </w:r>
      <w:r w:rsidRPr="004D31A1">
        <w:rPr>
          <w:lang w:val="ka-GE"/>
        </w:rPr>
        <w:t xml:space="preserve"> </w:t>
      </w:r>
      <w:r w:rsidRPr="004D31A1">
        <w:rPr>
          <w:rFonts w:ascii="Sylfaen" w:hAnsi="Sylfaen" w:cs="Sylfaen"/>
          <w:lang w:val="ka-GE"/>
        </w:rPr>
        <w:t>პროფილების</w:t>
      </w:r>
      <w:r w:rsidRPr="004D31A1">
        <w:rPr>
          <w:lang w:val="ka-GE"/>
        </w:rPr>
        <w:t xml:space="preserve"> </w:t>
      </w:r>
      <w:r w:rsidRPr="004D31A1">
        <w:rPr>
          <w:rFonts w:ascii="Sylfaen" w:hAnsi="Sylfaen" w:cs="Sylfaen"/>
          <w:lang w:val="ka-GE"/>
        </w:rPr>
        <w:t>განსასაზღვრად</w:t>
      </w:r>
      <w:r w:rsidRPr="004D31A1">
        <w:rPr>
          <w:lang w:val="ka-GE"/>
        </w:rPr>
        <w:t xml:space="preserve">, </w:t>
      </w:r>
      <w:r w:rsidRPr="004D31A1">
        <w:rPr>
          <w:rFonts w:ascii="Sylfaen" w:hAnsi="Sylfaen" w:cs="Sylfaen"/>
          <w:lang w:val="ka-GE"/>
        </w:rPr>
        <w:t>არამედ</w:t>
      </w:r>
      <w:r w:rsidRPr="004D31A1">
        <w:rPr>
          <w:lang w:val="ka-GE"/>
        </w:rPr>
        <w:t xml:space="preserve"> </w:t>
      </w:r>
      <w:r w:rsidRPr="004D31A1">
        <w:rPr>
          <w:rFonts w:ascii="Sylfaen" w:hAnsi="Sylfaen" w:cs="Sylfaen"/>
          <w:lang w:val="ka-GE"/>
        </w:rPr>
        <w:t>გამიზნულია</w:t>
      </w:r>
      <w:r w:rsidRPr="004D31A1">
        <w:rPr>
          <w:lang w:val="ka-GE"/>
        </w:rPr>
        <w:t xml:space="preserve"> </w:t>
      </w:r>
      <w:r w:rsidRPr="004D31A1">
        <w:rPr>
          <w:rFonts w:ascii="Sylfaen" w:hAnsi="Sylfaen" w:cs="Sylfaen"/>
          <w:lang w:val="ka-GE"/>
        </w:rPr>
        <w:t>წყალსატარი</w:t>
      </w:r>
      <w:r w:rsidRPr="004D31A1">
        <w:rPr>
          <w:lang w:val="ka-GE"/>
        </w:rPr>
        <w:t xml:space="preserve"> </w:t>
      </w:r>
      <w:r w:rsidRPr="004D31A1">
        <w:rPr>
          <w:rFonts w:ascii="Sylfaen" w:hAnsi="Sylfaen" w:cs="Sylfaen"/>
          <w:lang w:val="ka-GE"/>
        </w:rPr>
        <w:t>მილების</w:t>
      </w:r>
      <w:r w:rsidRPr="004D31A1">
        <w:rPr>
          <w:lang w:val="ka-GE"/>
        </w:rPr>
        <w:t xml:space="preserve"> </w:t>
      </w:r>
      <w:r w:rsidRPr="004D31A1">
        <w:rPr>
          <w:rFonts w:ascii="Sylfaen" w:hAnsi="Sylfaen" w:cs="Sylfaen"/>
          <w:lang w:val="ka-GE"/>
        </w:rPr>
        <w:t>ჰიდრავლიკური</w:t>
      </w:r>
      <w:r w:rsidRPr="004D31A1">
        <w:rPr>
          <w:lang w:val="ka-GE"/>
        </w:rPr>
        <w:t xml:space="preserve"> </w:t>
      </w:r>
      <w:r w:rsidRPr="004D31A1">
        <w:rPr>
          <w:rFonts w:ascii="Sylfaen" w:hAnsi="Sylfaen" w:cs="Sylfaen"/>
          <w:lang w:val="ka-GE"/>
        </w:rPr>
        <w:t>გაანგარიშებისთვის</w:t>
      </w:r>
      <w:r w:rsidRPr="004D31A1">
        <w:rPr>
          <w:lang w:val="ka-GE"/>
        </w:rPr>
        <w:t xml:space="preserve">. </w:t>
      </w:r>
      <w:r w:rsidRPr="004D31A1">
        <w:rPr>
          <w:rFonts w:ascii="Sylfaen" w:hAnsi="Sylfaen" w:cs="Sylfaen"/>
          <w:lang w:val="ka-GE"/>
        </w:rPr>
        <w:t>პროგრამული</w:t>
      </w:r>
      <w:r w:rsidRPr="004D31A1">
        <w:rPr>
          <w:lang w:val="ka-GE"/>
        </w:rPr>
        <w:t xml:space="preserve"> </w:t>
      </w:r>
      <w:r w:rsidRPr="004D31A1">
        <w:rPr>
          <w:rFonts w:ascii="Sylfaen" w:hAnsi="Sylfaen" w:cs="Sylfaen"/>
          <w:lang w:val="ka-GE"/>
        </w:rPr>
        <w:t>გამოთვლების</w:t>
      </w:r>
      <w:r w:rsidRPr="004D31A1">
        <w:rPr>
          <w:lang w:val="ka-GE"/>
        </w:rPr>
        <w:t xml:space="preserve"> </w:t>
      </w:r>
      <w:r w:rsidRPr="004D31A1">
        <w:rPr>
          <w:rFonts w:ascii="Sylfaen" w:hAnsi="Sylfaen" w:cs="Sylfaen"/>
          <w:lang w:val="ka-GE"/>
        </w:rPr>
        <w:t>შესრულებისას</w:t>
      </w:r>
      <w:r w:rsidRPr="004D31A1">
        <w:rPr>
          <w:lang w:val="ka-GE"/>
        </w:rPr>
        <w:t xml:space="preserve"> </w:t>
      </w:r>
      <w:r w:rsidRPr="004D31A1">
        <w:rPr>
          <w:rFonts w:ascii="Sylfaen" w:hAnsi="Sylfaen" w:cs="Sylfaen"/>
          <w:lang w:val="ka-GE"/>
        </w:rPr>
        <w:t>იგულისხმება</w:t>
      </w:r>
      <w:r w:rsidRPr="004D31A1">
        <w:rPr>
          <w:lang w:val="ka-GE"/>
        </w:rPr>
        <w:t xml:space="preserve">, </w:t>
      </w:r>
      <w:r w:rsidRPr="004D31A1">
        <w:rPr>
          <w:rFonts w:ascii="Sylfaen" w:hAnsi="Sylfaen" w:cs="Sylfaen"/>
          <w:lang w:val="ka-GE"/>
        </w:rPr>
        <w:t>რომ</w:t>
      </w:r>
      <w:r w:rsidRPr="004D31A1">
        <w:rPr>
          <w:lang w:val="ka-GE"/>
        </w:rPr>
        <w:t xml:space="preserve"> </w:t>
      </w:r>
      <w:r w:rsidRPr="004D31A1">
        <w:rPr>
          <w:rFonts w:ascii="Sylfaen" w:hAnsi="Sylfaen" w:cs="Sylfaen"/>
          <w:lang w:val="ka-GE"/>
        </w:rPr>
        <w:t>მილის</w:t>
      </w:r>
      <w:r w:rsidRPr="004D31A1">
        <w:rPr>
          <w:lang w:val="ka-GE"/>
        </w:rPr>
        <w:t xml:space="preserve"> </w:t>
      </w:r>
      <w:r w:rsidRPr="004D31A1">
        <w:rPr>
          <w:rFonts w:ascii="Sylfaen" w:hAnsi="Sylfaen" w:cs="Sylfaen"/>
          <w:lang w:val="ka-GE"/>
        </w:rPr>
        <w:t>ტანის</w:t>
      </w:r>
      <w:r w:rsidRPr="004D31A1">
        <w:rPr>
          <w:lang w:val="ka-GE"/>
        </w:rPr>
        <w:t xml:space="preserve"> </w:t>
      </w:r>
      <w:r w:rsidRPr="004D31A1">
        <w:rPr>
          <w:rFonts w:ascii="Sylfaen" w:hAnsi="Sylfaen" w:cs="Sylfaen"/>
          <w:lang w:val="ka-GE"/>
        </w:rPr>
        <w:t>განიკვეთის</w:t>
      </w:r>
      <w:r w:rsidRPr="004D31A1">
        <w:rPr>
          <w:lang w:val="ka-GE"/>
        </w:rPr>
        <w:t xml:space="preserve"> </w:t>
      </w:r>
      <w:r w:rsidRPr="004D31A1">
        <w:rPr>
          <w:rFonts w:ascii="Sylfaen" w:hAnsi="Sylfaen" w:cs="Sylfaen"/>
          <w:lang w:val="ka-GE"/>
        </w:rPr>
        <w:t>ფორმა</w:t>
      </w:r>
      <w:r w:rsidRPr="004D31A1">
        <w:rPr>
          <w:lang w:val="ka-GE"/>
        </w:rPr>
        <w:t xml:space="preserve">, </w:t>
      </w:r>
      <w:r w:rsidRPr="004D31A1">
        <w:rPr>
          <w:rFonts w:ascii="Sylfaen" w:hAnsi="Sylfaen" w:cs="Sylfaen"/>
          <w:lang w:val="ka-GE"/>
        </w:rPr>
        <w:t>ზომები</w:t>
      </w:r>
      <w:r w:rsidRPr="004D31A1">
        <w:rPr>
          <w:lang w:val="ka-GE"/>
        </w:rPr>
        <w:t xml:space="preserve"> </w:t>
      </w:r>
      <w:r w:rsidRPr="004D31A1">
        <w:rPr>
          <w:rFonts w:ascii="Sylfaen" w:hAnsi="Sylfaen" w:cs="Sylfaen"/>
          <w:lang w:val="ka-GE"/>
        </w:rPr>
        <w:t>და</w:t>
      </w:r>
      <w:r w:rsidRPr="004D31A1">
        <w:rPr>
          <w:lang w:val="ka-GE"/>
        </w:rPr>
        <w:t xml:space="preserve"> </w:t>
      </w:r>
      <w:r w:rsidRPr="004D31A1">
        <w:rPr>
          <w:rFonts w:ascii="Sylfaen" w:hAnsi="Sylfaen" w:cs="Sylfaen"/>
          <w:lang w:val="ka-GE"/>
        </w:rPr>
        <w:t>მასალა</w:t>
      </w:r>
      <w:r w:rsidRPr="004D31A1">
        <w:rPr>
          <w:lang w:val="ka-GE"/>
        </w:rPr>
        <w:t xml:space="preserve"> </w:t>
      </w:r>
      <w:r w:rsidRPr="004D31A1">
        <w:rPr>
          <w:rFonts w:ascii="Sylfaen" w:hAnsi="Sylfaen" w:cs="Sylfaen"/>
          <w:lang w:val="ka-GE"/>
        </w:rPr>
        <w:t>არ</w:t>
      </w:r>
      <w:r w:rsidRPr="004D31A1">
        <w:rPr>
          <w:lang w:val="ka-GE"/>
        </w:rPr>
        <w:t xml:space="preserve"> </w:t>
      </w:r>
      <w:r w:rsidRPr="004D31A1">
        <w:rPr>
          <w:rFonts w:ascii="Sylfaen" w:hAnsi="Sylfaen" w:cs="Sylfaen"/>
          <w:lang w:val="ka-GE"/>
        </w:rPr>
        <w:t>იცვლება</w:t>
      </w:r>
      <w:r w:rsidRPr="004D31A1">
        <w:rPr>
          <w:lang w:val="ka-GE"/>
        </w:rPr>
        <w:t xml:space="preserve"> </w:t>
      </w:r>
      <w:r w:rsidRPr="004D31A1">
        <w:rPr>
          <w:rFonts w:ascii="Sylfaen" w:hAnsi="Sylfaen" w:cs="Sylfaen"/>
          <w:lang w:val="ka-GE"/>
        </w:rPr>
        <w:t>გარდა</w:t>
      </w:r>
      <w:r w:rsidRPr="004D31A1">
        <w:rPr>
          <w:lang w:val="ka-GE"/>
        </w:rPr>
        <w:t xml:space="preserve"> </w:t>
      </w:r>
      <w:r w:rsidRPr="004D31A1">
        <w:rPr>
          <w:rFonts w:ascii="Sylfaen" w:hAnsi="Sylfaen" w:cs="Sylfaen"/>
          <w:lang w:val="ka-GE"/>
        </w:rPr>
        <w:t>ისეთი</w:t>
      </w:r>
      <w:r w:rsidRPr="004D31A1">
        <w:rPr>
          <w:lang w:val="ka-GE"/>
        </w:rPr>
        <w:t xml:space="preserve"> </w:t>
      </w:r>
      <w:r w:rsidRPr="004D31A1">
        <w:rPr>
          <w:rFonts w:ascii="Sylfaen" w:hAnsi="Sylfaen" w:cs="Sylfaen"/>
          <w:lang w:val="ka-GE"/>
        </w:rPr>
        <w:t>შემთხვევებისა</w:t>
      </w:r>
      <w:r w:rsidRPr="004D31A1">
        <w:rPr>
          <w:lang w:val="ka-GE"/>
        </w:rPr>
        <w:t xml:space="preserve">, </w:t>
      </w:r>
      <w:r w:rsidRPr="004D31A1">
        <w:rPr>
          <w:rFonts w:ascii="Sylfaen" w:hAnsi="Sylfaen" w:cs="Sylfaen"/>
          <w:lang w:val="ka-GE"/>
        </w:rPr>
        <w:t>როდესაც</w:t>
      </w:r>
      <w:r w:rsidRPr="004D31A1">
        <w:rPr>
          <w:lang w:val="ka-GE"/>
        </w:rPr>
        <w:t xml:space="preserve"> </w:t>
      </w:r>
      <w:r w:rsidRPr="004D31A1">
        <w:rPr>
          <w:rFonts w:ascii="Sylfaen" w:hAnsi="Sylfaen" w:cs="Sylfaen"/>
          <w:lang w:val="ka-GE"/>
        </w:rPr>
        <w:t>ადგილი</w:t>
      </w:r>
      <w:r w:rsidRPr="004D31A1">
        <w:rPr>
          <w:lang w:val="ka-GE"/>
        </w:rPr>
        <w:t xml:space="preserve"> </w:t>
      </w:r>
      <w:r w:rsidRPr="004D31A1">
        <w:rPr>
          <w:rFonts w:ascii="Sylfaen" w:hAnsi="Sylfaen" w:cs="Sylfaen"/>
          <w:lang w:val="ka-GE"/>
        </w:rPr>
        <w:t>აქვს</w:t>
      </w:r>
      <w:r w:rsidRPr="004D31A1">
        <w:rPr>
          <w:lang w:val="ka-GE"/>
        </w:rPr>
        <w:t xml:space="preserve"> </w:t>
      </w:r>
      <w:r w:rsidRPr="004D31A1">
        <w:rPr>
          <w:rFonts w:ascii="Sylfaen" w:hAnsi="Sylfaen" w:cs="Sylfaen"/>
          <w:lang w:val="ka-GE"/>
        </w:rPr>
        <w:t>მილის</w:t>
      </w:r>
      <w:r w:rsidRPr="004D31A1">
        <w:rPr>
          <w:lang w:val="ka-GE"/>
        </w:rPr>
        <w:t xml:space="preserve"> </w:t>
      </w:r>
      <w:r w:rsidRPr="004D31A1">
        <w:rPr>
          <w:rFonts w:ascii="Sylfaen" w:hAnsi="Sylfaen" w:cs="Sylfaen"/>
          <w:lang w:val="ka-GE"/>
        </w:rPr>
        <w:t>ცალკეული</w:t>
      </w:r>
      <w:r w:rsidRPr="004D31A1">
        <w:rPr>
          <w:lang w:val="ka-GE"/>
        </w:rPr>
        <w:t xml:space="preserve"> </w:t>
      </w:r>
      <w:r w:rsidRPr="004D31A1">
        <w:rPr>
          <w:rFonts w:ascii="Sylfaen" w:hAnsi="Sylfaen" w:cs="Sylfaen"/>
          <w:lang w:val="ka-GE"/>
        </w:rPr>
        <w:t>ნაწილების</w:t>
      </w:r>
      <w:r w:rsidRPr="004D31A1">
        <w:rPr>
          <w:lang w:val="ka-GE"/>
        </w:rPr>
        <w:t xml:space="preserve"> </w:t>
      </w:r>
      <w:r w:rsidRPr="004D31A1">
        <w:rPr>
          <w:rFonts w:ascii="Sylfaen" w:hAnsi="Sylfaen" w:cs="Sylfaen"/>
          <w:lang w:val="ka-GE"/>
        </w:rPr>
        <w:t>დამტვრევას</w:t>
      </w:r>
      <w:r w:rsidRPr="004D31A1">
        <w:rPr>
          <w:lang w:val="ka-GE"/>
        </w:rPr>
        <w:t>/</w:t>
      </w:r>
      <w:r w:rsidRPr="004D31A1">
        <w:rPr>
          <w:rFonts w:ascii="Sylfaen" w:hAnsi="Sylfaen" w:cs="Sylfaen"/>
          <w:lang w:val="ka-GE"/>
        </w:rPr>
        <w:t>გალევას</w:t>
      </w:r>
      <w:r w:rsidRPr="004D31A1">
        <w:rPr>
          <w:lang w:val="ka-GE"/>
        </w:rPr>
        <w:t>.</w:t>
      </w:r>
    </w:p>
    <w:p w14:paraId="658493AE" w14:textId="77777777" w:rsidR="00F8565C" w:rsidRPr="00F8565C" w:rsidRDefault="00F8565C" w:rsidP="004D31A1">
      <w:pPr>
        <w:spacing w:before="120" w:after="120"/>
        <w:rPr>
          <w:rFonts w:ascii="Sylfaen" w:hAnsi="Sylfaen"/>
          <w:lang w:val="ka-GE"/>
        </w:rPr>
      </w:pPr>
    </w:p>
    <w:p w14:paraId="374E3CBB" w14:textId="432ADB2F" w:rsidR="004D31A1" w:rsidRDefault="00F8565C" w:rsidP="00F8565C">
      <w:pPr>
        <w:pStyle w:val="EIAheading2"/>
        <w:rPr>
          <w:rFonts w:ascii="Sylfaen" w:hAnsi="Sylfaen"/>
          <w:lang w:val="ka-GE"/>
        </w:rPr>
      </w:pPr>
      <w:bookmarkStart w:id="54" w:name="_Toc1581495"/>
      <w:r>
        <w:rPr>
          <w:lang w:val="en-US"/>
        </w:rPr>
        <w:t xml:space="preserve">4.5 </w:t>
      </w:r>
      <w:r>
        <w:rPr>
          <w:rFonts w:ascii="Sylfaen" w:hAnsi="Sylfaen"/>
          <w:lang w:val="ka-GE"/>
        </w:rPr>
        <w:t>გადახვევა პროექტირების ნორმებიდან</w:t>
      </w:r>
      <w:bookmarkEnd w:id="54"/>
    </w:p>
    <w:p w14:paraId="65BF5701" w14:textId="77777777" w:rsidR="00F8565C" w:rsidRPr="00F8565C" w:rsidRDefault="00F8565C" w:rsidP="00F8565C">
      <w:pPr>
        <w:spacing w:before="120" w:after="120"/>
        <w:rPr>
          <w:lang w:val="ka-GE"/>
        </w:rPr>
      </w:pPr>
      <w:r w:rsidRPr="00F8565C">
        <w:rPr>
          <w:rFonts w:ascii="Sylfaen" w:hAnsi="Sylfaen" w:cs="Sylfaen"/>
          <w:lang w:val="ka-GE"/>
        </w:rPr>
        <w:t>უნდა</w:t>
      </w:r>
      <w:r w:rsidRPr="00F8565C">
        <w:rPr>
          <w:lang w:val="ka-GE"/>
        </w:rPr>
        <w:t xml:space="preserve"> </w:t>
      </w:r>
      <w:r w:rsidRPr="00F8565C">
        <w:rPr>
          <w:rFonts w:ascii="Sylfaen" w:hAnsi="Sylfaen" w:cs="Sylfaen"/>
          <w:lang w:val="ka-GE"/>
        </w:rPr>
        <w:t>აღინიშნოს</w:t>
      </w:r>
      <w:r w:rsidRPr="00F8565C">
        <w:rPr>
          <w:lang w:val="ka-GE"/>
        </w:rPr>
        <w:t xml:space="preserve">, </w:t>
      </w:r>
      <w:r w:rsidRPr="00F8565C">
        <w:rPr>
          <w:rFonts w:ascii="Sylfaen" w:hAnsi="Sylfaen" w:cs="Sylfaen"/>
          <w:lang w:val="ka-GE"/>
        </w:rPr>
        <w:t>რომ</w:t>
      </w:r>
      <w:r w:rsidRPr="00F8565C">
        <w:rPr>
          <w:lang w:val="ka-GE"/>
        </w:rPr>
        <w:t xml:space="preserve"> </w:t>
      </w:r>
      <w:r w:rsidRPr="00F8565C">
        <w:rPr>
          <w:rFonts w:ascii="Sylfaen" w:hAnsi="Sylfaen" w:cs="Sylfaen"/>
          <w:lang w:val="ka-GE"/>
        </w:rPr>
        <w:t>როგორც</w:t>
      </w:r>
      <w:r w:rsidRPr="00F8565C">
        <w:rPr>
          <w:lang w:val="ka-GE"/>
        </w:rPr>
        <w:t xml:space="preserve"> </w:t>
      </w:r>
      <w:r w:rsidRPr="00F8565C">
        <w:rPr>
          <w:rFonts w:ascii="Sylfaen" w:hAnsi="Sylfaen" w:cs="Sylfaen"/>
          <w:lang w:val="ka-GE"/>
        </w:rPr>
        <w:t>ეს</w:t>
      </w:r>
      <w:r w:rsidRPr="00F8565C">
        <w:rPr>
          <w:lang w:val="ka-GE"/>
        </w:rPr>
        <w:t xml:space="preserve"> </w:t>
      </w:r>
      <w:r w:rsidRPr="00F8565C">
        <w:rPr>
          <w:rFonts w:ascii="Sylfaen" w:hAnsi="Sylfaen" w:cs="Sylfaen"/>
          <w:lang w:val="ka-GE"/>
        </w:rPr>
        <w:t>ტექნიკურ</w:t>
      </w:r>
      <w:r w:rsidRPr="00F8565C">
        <w:rPr>
          <w:lang w:val="ka-GE"/>
        </w:rPr>
        <w:t xml:space="preserve"> </w:t>
      </w:r>
      <w:r w:rsidRPr="00F8565C">
        <w:rPr>
          <w:rFonts w:ascii="Sylfaen" w:hAnsi="Sylfaen" w:cs="Sylfaen"/>
          <w:lang w:val="ka-GE"/>
        </w:rPr>
        <w:t>დავალებაშია</w:t>
      </w:r>
      <w:r w:rsidRPr="00F8565C">
        <w:rPr>
          <w:lang w:val="ka-GE"/>
        </w:rPr>
        <w:t xml:space="preserve"> </w:t>
      </w:r>
      <w:r w:rsidRPr="00F8565C">
        <w:rPr>
          <w:rFonts w:ascii="Sylfaen" w:hAnsi="Sylfaen" w:cs="Sylfaen"/>
          <w:lang w:val="ka-GE"/>
        </w:rPr>
        <w:t>ხაზგასმული</w:t>
      </w:r>
      <w:r w:rsidRPr="00F8565C">
        <w:rPr>
          <w:lang w:val="ka-GE"/>
        </w:rPr>
        <w:t xml:space="preserve">, </w:t>
      </w:r>
      <w:r w:rsidRPr="00F8565C">
        <w:rPr>
          <w:rFonts w:ascii="Sylfaen" w:hAnsi="Sylfaen" w:cs="Sylfaen"/>
          <w:lang w:val="ka-GE"/>
        </w:rPr>
        <w:t>პროექტის</w:t>
      </w:r>
      <w:r w:rsidRPr="00F8565C">
        <w:rPr>
          <w:lang w:val="ka-GE"/>
        </w:rPr>
        <w:t xml:space="preserve"> </w:t>
      </w:r>
      <w:r w:rsidRPr="00F8565C">
        <w:rPr>
          <w:rFonts w:ascii="Sylfaen" w:hAnsi="Sylfaen" w:cs="Sylfaen"/>
          <w:lang w:val="ka-GE"/>
        </w:rPr>
        <w:t>ერთ</w:t>
      </w:r>
      <w:r w:rsidRPr="00F8565C">
        <w:rPr>
          <w:lang w:val="ka-GE"/>
        </w:rPr>
        <w:t>-</w:t>
      </w:r>
      <w:r w:rsidRPr="00F8565C">
        <w:rPr>
          <w:rFonts w:ascii="Sylfaen" w:hAnsi="Sylfaen" w:cs="Sylfaen"/>
          <w:lang w:val="ka-GE"/>
        </w:rPr>
        <w:t>ერთ</w:t>
      </w:r>
      <w:r w:rsidRPr="00F8565C">
        <w:rPr>
          <w:lang w:val="ka-GE"/>
        </w:rPr>
        <w:t xml:space="preserve"> </w:t>
      </w:r>
      <w:r w:rsidRPr="00F8565C">
        <w:rPr>
          <w:rFonts w:ascii="Sylfaen" w:hAnsi="Sylfaen" w:cs="Sylfaen"/>
          <w:lang w:val="ka-GE"/>
        </w:rPr>
        <w:t>უმთავრეს</w:t>
      </w:r>
      <w:r w:rsidRPr="00F8565C">
        <w:rPr>
          <w:lang w:val="ka-GE"/>
        </w:rPr>
        <w:t xml:space="preserve"> </w:t>
      </w:r>
      <w:r w:rsidRPr="00F8565C">
        <w:rPr>
          <w:rFonts w:ascii="Sylfaen" w:hAnsi="Sylfaen" w:cs="Sylfaen"/>
          <w:lang w:val="ka-GE"/>
        </w:rPr>
        <w:t>აქტუალურ</w:t>
      </w:r>
      <w:r w:rsidRPr="00F8565C">
        <w:rPr>
          <w:lang w:val="ka-GE"/>
        </w:rPr>
        <w:t xml:space="preserve"> </w:t>
      </w:r>
      <w:r w:rsidRPr="00F8565C">
        <w:rPr>
          <w:rFonts w:ascii="Sylfaen" w:hAnsi="Sylfaen" w:cs="Sylfaen"/>
          <w:lang w:val="ka-GE"/>
        </w:rPr>
        <w:t>ამოცანას</w:t>
      </w:r>
      <w:r w:rsidRPr="00F8565C">
        <w:rPr>
          <w:lang w:val="ka-GE"/>
        </w:rPr>
        <w:t xml:space="preserve"> </w:t>
      </w:r>
      <w:r w:rsidRPr="00F8565C">
        <w:rPr>
          <w:rFonts w:ascii="Sylfaen" w:hAnsi="Sylfaen" w:cs="Sylfaen"/>
          <w:lang w:val="ka-GE"/>
        </w:rPr>
        <w:t>შეადგენს</w:t>
      </w:r>
      <w:r w:rsidRPr="00F8565C">
        <w:rPr>
          <w:lang w:val="ka-GE"/>
        </w:rPr>
        <w:t xml:space="preserve"> </w:t>
      </w:r>
      <w:r w:rsidRPr="00F8565C">
        <w:rPr>
          <w:rFonts w:ascii="Sylfaen" w:hAnsi="Sylfaen" w:cs="Sylfaen"/>
          <w:lang w:val="ka-GE"/>
        </w:rPr>
        <w:t>გზის</w:t>
      </w:r>
      <w:r w:rsidRPr="00F8565C">
        <w:rPr>
          <w:lang w:val="ka-GE"/>
        </w:rPr>
        <w:t xml:space="preserve"> </w:t>
      </w:r>
      <w:r w:rsidRPr="00F8565C">
        <w:rPr>
          <w:rFonts w:ascii="Sylfaen" w:hAnsi="Sylfaen" w:cs="Sylfaen"/>
          <w:lang w:val="ka-GE"/>
        </w:rPr>
        <w:t>მშენებლობის</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მოვლა</w:t>
      </w:r>
      <w:r w:rsidRPr="00F8565C">
        <w:rPr>
          <w:lang w:val="ka-GE"/>
        </w:rPr>
        <w:t>-</w:t>
      </w:r>
      <w:r w:rsidRPr="00F8565C">
        <w:rPr>
          <w:rFonts w:ascii="Sylfaen" w:hAnsi="Sylfaen" w:cs="Sylfaen"/>
          <w:lang w:val="ka-GE"/>
        </w:rPr>
        <w:t>შენახვის</w:t>
      </w:r>
      <w:r w:rsidRPr="00F8565C">
        <w:rPr>
          <w:lang w:val="ka-GE"/>
        </w:rPr>
        <w:t xml:space="preserve"> </w:t>
      </w:r>
      <w:r w:rsidRPr="00F8565C">
        <w:rPr>
          <w:rFonts w:ascii="Sylfaen" w:hAnsi="Sylfaen" w:cs="Sylfaen"/>
          <w:lang w:val="ka-GE"/>
        </w:rPr>
        <w:t>ხარჯების</w:t>
      </w:r>
      <w:r w:rsidRPr="00F8565C">
        <w:rPr>
          <w:lang w:val="ka-GE"/>
        </w:rPr>
        <w:t xml:space="preserve"> </w:t>
      </w:r>
      <w:r w:rsidRPr="00F8565C">
        <w:rPr>
          <w:rFonts w:ascii="Sylfaen" w:hAnsi="Sylfaen" w:cs="Sylfaen"/>
          <w:lang w:val="ka-GE"/>
        </w:rPr>
        <w:t>მინიმუმამდე</w:t>
      </w:r>
      <w:r w:rsidRPr="00F8565C">
        <w:rPr>
          <w:lang w:val="ka-GE"/>
        </w:rPr>
        <w:t xml:space="preserve"> </w:t>
      </w:r>
      <w:r w:rsidRPr="00F8565C">
        <w:rPr>
          <w:rFonts w:ascii="Sylfaen" w:hAnsi="Sylfaen" w:cs="Sylfaen"/>
          <w:lang w:val="ka-GE"/>
        </w:rPr>
        <w:t>დაყვანა</w:t>
      </w:r>
      <w:r w:rsidRPr="00F8565C">
        <w:rPr>
          <w:lang w:val="ka-GE"/>
        </w:rPr>
        <w:t xml:space="preserve"> </w:t>
      </w:r>
      <w:r w:rsidRPr="00F8565C">
        <w:rPr>
          <w:rFonts w:ascii="Sylfaen" w:hAnsi="Sylfaen" w:cs="Sylfaen"/>
          <w:lang w:val="ka-GE"/>
        </w:rPr>
        <w:t>პროექტის</w:t>
      </w:r>
      <w:r w:rsidRPr="00F8565C">
        <w:rPr>
          <w:lang w:val="ka-GE"/>
        </w:rPr>
        <w:t xml:space="preserve"> </w:t>
      </w:r>
      <w:r w:rsidRPr="00F8565C">
        <w:rPr>
          <w:rFonts w:ascii="Sylfaen" w:hAnsi="Sylfaen" w:cs="Sylfaen"/>
          <w:lang w:val="ka-GE"/>
        </w:rPr>
        <w:t>ეკონომიკური</w:t>
      </w:r>
      <w:r w:rsidRPr="00F8565C">
        <w:rPr>
          <w:lang w:val="ka-GE"/>
        </w:rPr>
        <w:t xml:space="preserve"> </w:t>
      </w:r>
      <w:r w:rsidRPr="00F8565C">
        <w:rPr>
          <w:rFonts w:ascii="Sylfaen" w:hAnsi="Sylfaen" w:cs="Sylfaen"/>
          <w:lang w:val="ka-GE"/>
        </w:rPr>
        <w:t>სიცოცხლისუნარიანობის</w:t>
      </w:r>
      <w:r w:rsidRPr="00F8565C">
        <w:rPr>
          <w:lang w:val="ka-GE"/>
        </w:rPr>
        <w:t xml:space="preserve"> </w:t>
      </w:r>
      <w:r w:rsidRPr="00F8565C">
        <w:rPr>
          <w:rFonts w:ascii="Sylfaen" w:hAnsi="Sylfaen" w:cs="Sylfaen"/>
          <w:lang w:val="ka-GE"/>
        </w:rPr>
        <w:t>მიღწევის</w:t>
      </w:r>
      <w:r w:rsidRPr="00F8565C">
        <w:rPr>
          <w:lang w:val="ka-GE"/>
        </w:rPr>
        <w:t xml:space="preserve"> </w:t>
      </w:r>
      <w:r w:rsidRPr="00F8565C">
        <w:rPr>
          <w:rFonts w:ascii="Sylfaen" w:hAnsi="Sylfaen" w:cs="Sylfaen"/>
          <w:lang w:val="ka-GE"/>
        </w:rPr>
        <w:t>მიზნით</w:t>
      </w:r>
      <w:r w:rsidRPr="00F8565C">
        <w:rPr>
          <w:lang w:val="ka-GE"/>
        </w:rPr>
        <w:t xml:space="preserve">. </w:t>
      </w:r>
      <w:r w:rsidRPr="00F8565C">
        <w:rPr>
          <w:rFonts w:ascii="Sylfaen" w:hAnsi="Sylfaen" w:cs="Sylfaen"/>
          <w:lang w:val="ka-GE"/>
        </w:rPr>
        <w:t>ეს</w:t>
      </w:r>
      <w:r w:rsidRPr="00F8565C">
        <w:rPr>
          <w:lang w:val="ka-GE"/>
        </w:rPr>
        <w:t xml:space="preserve"> </w:t>
      </w:r>
      <w:r w:rsidRPr="00F8565C">
        <w:rPr>
          <w:rFonts w:ascii="Sylfaen" w:hAnsi="Sylfaen" w:cs="Sylfaen"/>
          <w:lang w:val="ka-GE"/>
        </w:rPr>
        <w:t>ნიშნავს</w:t>
      </w:r>
      <w:r w:rsidRPr="00F8565C">
        <w:rPr>
          <w:lang w:val="ka-GE"/>
        </w:rPr>
        <w:t xml:space="preserve">, </w:t>
      </w:r>
      <w:r w:rsidRPr="00F8565C">
        <w:rPr>
          <w:rFonts w:ascii="Sylfaen" w:hAnsi="Sylfaen" w:cs="Sylfaen"/>
          <w:lang w:val="ka-GE"/>
        </w:rPr>
        <w:t>რომ</w:t>
      </w:r>
      <w:r w:rsidRPr="00F8565C">
        <w:rPr>
          <w:lang w:val="ka-GE"/>
        </w:rPr>
        <w:t xml:space="preserve"> </w:t>
      </w:r>
      <w:r w:rsidRPr="00F8565C">
        <w:rPr>
          <w:rFonts w:ascii="Sylfaen" w:hAnsi="Sylfaen" w:cs="Sylfaen"/>
          <w:lang w:val="ka-GE"/>
        </w:rPr>
        <w:t>სავალდებულოა</w:t>
      </w:r>
      <w:r w:rsidRPr="00F8565C">
        <w:rPr>
          <w:lang w:val="ka-GE"/>
        </w:rPr>
        <w:t xml:space="preserve"> </w:t>
      </w:r>
      <w:r w:rsidRPr="00F8565C">
        <w:rPr>
          <w:rFonts w:ascii="Sylfaen" w:hAnsi="Sylfaen" w:cs="Sylfaen"/>
          <w:lang w:val="ka-GE"/>
        </w:rPr>
        <w:t>მოქმედი</w:t>
      </w:r>
      <w:r w:rsidRPr="00F8565C">
        <w:rPr>
          <w:lang w:val="ka-GE"/>
        </w:rPr>
        <w:t xml:space="preserve"> </w:t>
      </w:r>
      <w:r w:rsidRPr="00F8565C">
        <w:rPr>
          <w:rFonts w:ascii="Sylfaen" w:hAnsi="Sylfaen" w:cs="Sylfaen"/>
          <w:lang w:val="ka-GE"/>
        </w:rPr>
        <w:t>პროექტირების</w:t>
      </w:r>
      <w:r w:rsidRPr="00F8565C">
        <w:rPr>
          <w:lang w:val="ka-GE"/>
        </w:rPr>
        <w:t xml:space="preserve"> </w:t>
      </w:r>
      <w:r w:rsidRPr="00F8565C">
        <w:rPr>
          <w:rFonts w:ascii="Sylfaen" w:hAnsi="Sylfaen" w:cs="Sylfaen"/>
          <w:lang w:val="ka-GE"/>
        </w:rPr>
        <w:t>ნორმებიდან</w:t>
      </w:r>
      <w:r w:rsidRPr="00F8565C">
        <w:rPr>
          <w:lang w:val="ka-GE"/>
        </w:rPr>
        <w:t xml:space="preserve"> </w:t>
      </w:r>
      <w:r w:rsidRPr="00F8565C">
        <w:rPr>
          <w:rFonts w:ascii="Sylfaen" w:hAnsi="Sylfaen" w:cs="Sylfaen"/>
          <w:lang w:val="ka-GE"/>
        </w:rPr>
        <w:t>გადახრების</w:t>
      </w:r>
      <w:r w:rsidRPr="00F8565C">
        <w:rPr>
          <w:lang w:val="ka-GE"/>
        </w:rPr>
        <w:t xml:space="preserve"> </w:t>
      </w:r>
      <w:r w:rsidRPr="00F8565C">
        <w:rPr>
          <w:rFonts w:ascii="Sylfaen" w:hAnsi="Sylfaen" w:cs="Sylfaen"/>
          <w:lang w:val="ka-GE"/>
        </w:rPr>
        <w:t>გათვალისწინება</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შედარებისთვის</w:t>
      </w:r>
      <w:r w:rsidRPr="00F8565C">
        <w:rPr>
          <w:lang w:val="ka-GE"/>
        </w:rPr>
        <w:t xml:space="preserve">, </w:t>
      </w:r>
      <w:r w:rsidRPr="00F8565C">
        <w:rPr>
          <w:rFonts w:ascii="Sylfaen" w:hAnsi="Sylfaen" w:cs="Sylfaen"/>
          <w:lang w:val="ka-GE"/>
        </w:rPr>
        <w:t>ალტერნატიული</w:t>
      </w:r>
      <w:r w:rsidRPr="00F8565C">
        <w:rPr>
          <w:lang w:val="ka-GE"/>
        </w:rPr>
        <w:t xml:space="preserve"> </w:t>
      </w:r>
      <w:r w:rsidRPr="00F8565C">
        <w:rPr>
          <w:rFonts w:ascii="Sylfaen" w:hAnsi="Sylfaen" w:cs="Sylfaen"/>
          <w:lang w:val="ka-GE"/>
        </w:rPr>
        <w:t>ვარიანტების</w:t>
      </w:r>
      <w:r w:rsidRPr="00F8565C">
        <w:rPr>
          <w:lang w:val="ka-GE"/>
        </w:rPr>
        <w:t xml:space="preserve"> </w:t>
      </w:r>
      <w:r w:rsidRPr="00F8565C">
        <w:rPr>
          <w:rFonts w:ascii="Sylfaen" w:hAnsi="Sylfaen" w:cs="Sylfaen"/>
          <w:lang w:val="ka-GE"/>
        </w:rPr>
        <w:t>განხილვა</w:t>
      </w:r>
      <w:r w:rsidRPr="00F8565C">
        <w:rPr>
          <w:lang w:val="ka-GE"/>
        </w:rPr>
        <w:t xml:space="preserve">. </w:t>
      </w:r>
    </w:p>
    <w:p w14:paraId="706E5B94" w14:textId="77777777" w:rsidR="00F8565C" w:rsidRPr="00F8565C" w:rsidRDefault="00F8565C" w:rsidP="00F8565C">
      <w:pPr>
        <w:spacing w:before="120" w:after="120"/>
        <w:rPr>
          <w:lang w:val="ka-GE"/>
        </w:rPr>
      </w:pPr>
      <w:r w:rsidRPr="00F8565C">
        <w:rPr>
          <w:rFonts w:ascii="Sylfaen" w:hAnsi="Sylfaen" w:cs="Sylfaen"/>
          <w:lang w:val="ka-GE"/>
        </w:rPr>
        <w:t>გზის</w:t>
      </w:r>
      <w:r w:rsidRPr="00F8565C">
        <w:rPr>
          <w:lang w:val="ka-GE"/>
        </w:rPr>
        <w:t xml:space="preserve"> </w:t>
      </w:r>
      <w:r w:rsidRPr="00F8565C">
        <w:rPr>
          <w:rFonts w:ascii="Sylfaen" w:hAnsi="Sylfaen" w:cs="Sylfaen"/>
          <w:lang w:val="ka-GE"/>
        </w:rPr>
        <w:t>რენტაბელური</w:t>
      </w:r>
      <w:r w:rsidRPr="00F8565C">
        <w:rPr>
          <w:lang w:val="ka-GE"/>
        </w:rPr>
        <w:t xml:space="preserve"> </w:t>
      </w:r>
      <w:r w:rsidRPr="00F8565C">
        <w:rPr>
          <w:rFonts w:ascii="Sylfaen" w:hAnsi="Sylfaen" w:cs="Sylfaen"/>
          <w:lang w:val="ka-GE"/>
        </w:rPr>
        <w:t>პროექტირება</w:t>
      </w:r>
      <w:r w:rsidRPr="00F8565C">
        <w:rPr>
          <w:lang w:val="ka-GE"/>
        </w:rPr>
        <w:t xml:space="preserve"> </w:t>
      </w:r>
      <w:r w:rsidRPr="00F8565C">
        <w:rPr>
          <w:rFonts w:ascii="Sylfaen" w:hAnsi="Sylfaen" w:cs="Sylfaen"/>
          <w:lang w:val="ka-GE"/>
        </w:rPr>
        <w:t>საჭიროებს</w:t>
      </w:r>
      <w:r w:rsidRPr="00F8565C">
        <w:rPr>
          <w:lang w:val="ka-GE"/>
        </w:rPr>
        <w:t xml:space="preserve"> </w:t>
      </w:r>
      <w:r w:rsidRPr="00F8565C">
        <w:rPr>
          <w:rFonts w:ascii="Sylfaen" w:hAnsi="Sylfaen" w:cs="Sylfaen"/>
          <w:lang w:val="ka-GE"/>
        </w:rPr>
        <w:t>გრუნტის</w:t>
      </w:r>
      <w:r w:rsidRPr="00F8565C">
        <w:rPr>
          <w:lang w:val="ka-GE"/>
        </w:rPr>
        <w:t xml:space="preserve">, </w:t>
      </w:r>
      <w:r w:rsidRPr="00F8565C">
        <w:rPr>
          <w:rFonts w:ascii="Sylfaen" w:hAnsi="Sylfaen" w:cs="Sylfaen"/>
          <w:lang w:val="ka-GE"/>
        </w:rPr>
        <w:t>რელიეფის</w:t>
      </w:r>
      <w:r w:rsidRPr="00F8565C">
        <w:rPr>
          <w:lang w:val="ka-GE"/>
        </w:rPr>
        <w:t xml:space="preserve">, </w:t>
      </w:r>
      <w:r w:rsidRPr="00F8565C">
        <w:rPr>
          <w:rFonts w:ascii="Sylfaen" w:hAnsi="Sylfaen" w:cs="Sylfaen"/>
          <w:lang w:val="ka-GE"/>
        </w:rPr>
        <w:t>კლიმატის</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საგზაო</w:t>
      </w:r>
      <w:r w:rsidRPr="00F8565C">
        <w:rPr>
          <w:lang w:val="ka-GE"/>
        </w:rPr>
        <w:t xml:space="preserve"> </w:t>
      </w:r>
      <w:r w:rsidRPr="00F8565C">
        <w:rPr>
          <w:rFonts w:ascii="Sylfaen" w:hAnsi="Sylfaen" w:cs="Sylfaen"/>
          <w:lang w:val="ka-GE"/>
        </w:rPr>
        <w:t>მოძრაობის</w:t>
      </w:r>
      <w:r w:rsidRPr="00F8565C">
        <w:rPr>
          <w:lang w:val="ka-GE"/>
        </w:rPr>
        <w:t xml:space="preserve"> </w:t>
      </w:r>
      <w:r w:rsidRPr="00F8565C">
        <w:rPr>
          <w:rFonts w:ascii="Sylfaen" w:hAnsi="Sylfaen" w:cs="Sylfaen"/>
          <w:lang w:val="ka-GE"/>
        </w:rPr>
        <w:t>პირობების</w:t>
      </w:r>
      <w:r w:rsidRPr="00F8565C">
        <w:rPr>
          <w:lang w:val="ka-GE"/>
        </w:rPr>
        <w:t xml:space="preserve"> </w:t>
      </w:r>
      <w:r w:rsidRPr="00F8565C">
        <w:rPr>
          <w:rFonts w:ascii="Sylfaen" w:hAnsi="Sylfaen" w:cs="Sylfaen"/>
          <w:lang w:val="ka-GE"/>
        </w:rPr>
        <w:t>რთული</w:t>
      </w:r>
      <w:r w:rsidRPr="00F8565C">
        <w:rPr>
          <w:lang w:val="ka-GE"/>
        </w:rPr>
        <w:t xml:space="preserve"> </w:t>
      </w:r>
      <w:r w:rsidRPr="00F8565C">
        <w:rPr>
          <w:rFonts w:ascii="Sylfaen" w:hAnsi="Sylfaen" w:cs="Sylfaen"/>
          <w:lang w:val="ka-GE"/>
        </w:rPr>
        <w:t>ურთიერთდამოკიდებულებების</w:t>
      </w:r>
      <w:r w:rsidRPr="00F8565C">
        <w:rPr>
          <w:lang w:val="ka-GE"/>
        </w:rPr>
        <w:t xml:space="preserve"> </w:t>
      </w:r>
      <w:r w:rsidRPr="00F8565C">
        <w:rPr>
          <w:rFonts w:ascii="Sylfaen" w:hAnsi="Sylfaen" w:cs="Sylfaen"/>
          <w:lang w:val="ka-GE"/>
        </w:rPr>
        <w:t>სიღრმისეულ</w:t>
      </w:r>
      <w:r w:rsidRPr="00F8565C">
        <w:rPr>
          <w:lang w:val="ka-GE"/>
        </w:rPr>
        <w:t xml:space="preserve"> </w:t>
      </w:r>
      <w:r w:rsidRPr="00F8565C">
        <w:rPr>
          <w:rFonts w:ascii="Sylfaen" w:hAnsi="Sylfaen" w:cs="Sylfaen"/>
          <w:lang w:val="ka-GE"/>
        </w:rPr>
        <w:t>გააზრებას</w:t>
      </w:r>
      <w:r w:rsidRPr="00F8565C">
        <w:rPr>
          <w:lang w:val="ka-GE"/>
        </w:rPr>
        <w:t xml:space="preserve">. </w:t>
      </w:r>
      <w:r w:rsidRPr="00F8565C">
        <w:rPr>
          <w:rFonts w:ascii="Sylfaen" w:hAnsi="Sylfaen" w:cs="Sylfaen"/>
          <w:lang w:val="ka-GE"/>
        </w:rPr>
        <w:t>უფრო</w:t>
      </w:r>
      <w:r w:rsidRPr="00F8565C">
        <w:rPr>
          <w:lang w:val="ka-GE"/>
        </w:rPr>
        <w:t xml:space="preserve"> </w:t>
      </w:r>
      <w:r w:rsidRPr="00F8565C">
        <w:rPr>
          <w:rFonts w:ascii="Sylfaen" w:hAnsi="Sylfaen" w:cs="Sylfaen"/>
          <w:lang w:val="ka-GE"/>
        </w:rPr>
        <w:t>მეტიც</w:t>
      </w:r>
      <w:r w:rsidRPr="00F8565C">
        <w:rPr>
          <w:lang w:val="ka-GE"/>
        </w:rPr>
        <w:t xml:space="preserve">, </w:t>
      </w:r>
      <w:r w:rsidRPr="00F8565C">
        <w:rPr>
          <w:rFonts w:ascii="Sylfaen" w:hAnsi="Sylfaen" w:cs="Sylfaen"/>
          <w:lang w:val="ka-GE"/>
        </w:rPr>
        <w:t>ამ</w:t>
      </w:r>
      <w:r w:rsidRPr="00F8565C">
        <w:rPr>
          <w:lang w:val="ka-GE"/>
        </w:rPr>
        <w:t xml:space="preserve"> </w:t>
      </w:r>
      <w:r w:rsidRPr="00F8565C">
        <w:rPr>
          <w:rFonts w:ascii="Sylfaen" w:hAnsi="Sylfaen" w:cs="Sylfaen"/>
          <w:lang w:val="ka-GE"/>
        </w:rPr>
        <w:t>ურთიერთდამოკიდებულებებით</w:t>
      </w:r>
      <w:r w:rsidRPr="00F8565C">
        <w:rPr>
          <w:lang w:val="ka-GE"/>
        </w:rPr>
        <w:t xml:space="preserve"> </w:t>
      </w:r>
      <w:r w:rsidRPr="00F8565C">
        <w:rPr>
          <w:rFonts w:ascii="Sylfaen" w:hAnsi="Sylfaen" w:cs="Sylfaen"/>
          <w:lang w:val="ka-GE"/>
        </w:rPr>
        <w:t>გამოწვეული</w:t>
      </w:r>
      <w:r w:rsidRPr="00F8565C">
        <w:rPr>
          <w:lang w:val="ka-GE"/>
        </w:rPr>
        <w:t xml:space="preserve"> </w:t>
      </w:r>
      <w:r w:rsidRPr="00F8565C">
        <w:rPr>
          <w:rFonts w:ascii="Sylfaen" w:hAnsi="Sylfaen" w:cs="Sylfaen"/>
          <w:lang w:val="ka-GE"/>
        </w:rPr>
        <w:t>სირთულეების</w:t>
      </w:r>
      <w:r w:rsidRPr="00F8565C">
        <w:rPr>
          <w:lang w:val="ka-GE"/>
        </w:rPr>
        <w:t xml:space="preserve"> </w:t>
      </w:r>
      <w:r w:rsidRPr="00F8565C">
        <w:rPr>
          <w:rFonts w:ascii="Sylfaen" w:hAnsi="Sylfaen" w:cs="Sylfaen"/>
          <w:lang w:val="ka-GE"/>
        </w:rPr>
        <w:t>მდგრადი</w:t>
      </w:r>
      <w:r w:rsidRPr="00F8565C">
        <w:rPr>
          <w:lang w:val="ka-GE"/>
        </w:rPr>
        <w:t xml:space="preserve"> </w:t>
      </w:r>
      <w:r w:rsidRPr="00F8565C">
        <w:rPr>
          <w:rFonts w:ascii="Sylfaen" w:hAnsi="Sylfaen" w:cs="Sylfaen"/>
          <w:lang w:val="ka-GE"/>
        </w:rPr>
        <w:t>გადაწყვეტების</w:t>
      </w:r>
      <w:r w:rsidRPr="00F8565C">
        <w:rPr>
          <w:lang w:val="ka-GE"/>
        </w:rPr>
        <w:t xml:space="preserve"> </w:t>
      </w:r>
      <w:r w:rsidRPr="00F8565C">
        <w:rPr>
          <w:rFonts w:ascii="Sylfaen" w:hAnsi="Sylfaen" w:cs="Sylfaen"/>
          <w:lang w:val="ka-GE"/>
        </w:rPr>
        <w:t>დამუშავება</w:t>
      </w:r>
      <w:r w:rsidRPr="00F8565C">
        <w:rPr>
          <w:lang w:val="ka-GE"/>
        </w:rPr>
        <w:t xml:space="preserve"> </w:t>
      </w:r>
      <w:r w:rsidRPr="00F8565C">
        <w:rPr>
          <w:rFonts w:ascii="Sylfaen" w:hAnsi="Sylfaen" w:cs="Sylfaen"/>
          <w:lang w:val="ka-GE"/>
        </w:rPr>
        <w:t>მნიშვნელოვანი</w:t>
      </w:r>
      <w:r w:rsidRPr="00F8565C">
        <w:rPr>
          <w:lang w:val="ka-GE"/>
        </w:rPr>
        <w:t xml:space="preserve"> </w:t>
      </w:r>
      <w:r w:rsidRPr="00F8565C">
        <w:rPr>
          <w:rFonts w:ascii="Sylfaen" w:hAnsi="Sylfaen" w:cs="Sylfaen"/>
          <w:lang w:val="ka-GE"/>
        </w:rPr>
        <w:t>მოცულობის</w:t>
      </w:r>
      <w:r w:rsidRPr="00F8565C">
        <w:rPr>
          <w:lang w:val="ka-GE"/>
        </w:rPr>
        <w:t xml:space="preserve"> </w:t>
      </w:r>
      <w:r w:rsidRPr="00F8565C">
        <w:rPr>
          <w:rFonts w:ascii="Sylfaen" w:hAnsi="Sylfaen" w:cs="Sylfaen"/>
          <w:lang w:val="ka-GE"/>
        </w:rPr>
        <w:t>საინჟინრო</w:t>
      </w:r>
      <w:r w:rsidRPr="00F8565C">
        <w:rPr>
          <w:lang w:val="ka-GE"/>
        </w:rPr>
        <w:t xml:space="preserve"> </w:t>
      </w:r>
      <w:r w:rsidRPr="00F8565C">
        <w:rPr>
          <w:rFonts w:ascii="Sylfaen" w:hAnsi="Sylfaen" w:cs="Sylfaen"/>
          <w:lang w:val="ka-GE"/>
        </w:rPr>
        <w:t>განსჯებს</w:t>
      </w:r>
      <w:r w:rsidRPr="00F8565C">
        <w:rPr>
          <w:lang w:val="ka-GE"/>
        </w:rPr>
        <w:t xml:space="preserve">, </w:t>
      </w:r>
      <w:r w:rsidRPr="00F8565C">
        <w:rPr>
          <w:rFonts w:ascii="Sylfaen" w:hAnsi="Sylfaen" w:cs="Sylfaen"/>
          <w:lang w:val="ka-GE"/>
        </w:rPr>
        <w:t>ტექნიკური</w:t>
      </w:r>
      <w:r w:rsidRPr="00F8565C">
        <w:rPr>
          <w:lang w:val="ka-GE"/>
        </w:rPr>
        <w:t xml:space="preserve"> </w:t>
      </w:r>
      <w:r w:rsidRPr="00F8565C">
        <w:rPr>
          <w:rFonts w:ascii="Sylfaen" w:hAnsi="Sylfaen" w:cs="Sylfaen"/>
          <w:lang w:val="ka-GE"/>
        </w:rPr>
        <w:t>უნარებს</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ადგილობრივი</w:t>
      </w:r>
      <w:r w:rsidRPr="00F8565C">
        <w:rPr>
          <w:lang w:val="ka-GE"/>
        </w:rPr>
        <w:t xml:space="preserve"> </w:t>
      </w:r>
      <w:r w:rsidRPr="00F8565C">
        <w:rPr>
          <w:rFonts w:ascii="Sylfaen" w:hAnsi="Sylfaen" w:cs="Sylfaen"/>
          <w:lang w:val="ka-GE"/>
        </w:rPr>
        <w:t>პირობების</w:t>
      </w:r>
      <w:r w:rsidRPr="00F8565C">
        <w:rPr>
          <w:lang w:val="ka-GE"/>
        </w:rPr>
        <w:t xml:space="preserve"> </w:t>
      </w:r>
      <w:r w:rsidRPr="00F8565C">
        <w:rPr>
          <w:rFonts w:ascii="Sylfaen" w:hAnsi="Sylfaen" w:cs="Sylfaen"/>
          <w:lang w:val="ka-GE"/>
        </w:rPr>
        <w:t>სრულფასოვნად</w:t>
      </w:r>
      <w:r w:rsidRPr="00F8565C">
        <w:rPr>
          <w:lang w:val="ka-GE"/>
        </w:rPr>
        <w:t xml:space="preserve"> </w:t>
      </w:r>
      <w:r w:rsidRPr="00F8565C">
        <w:rPr>
          <w:rFonts w:ascii="Sylfaen" w:hAnsi="Sylfaen" w:cs="Sylfaen"/>
          <w:lang w:val="ka-GE"/>
        </w:rPr>
        <w:t>ცოდნას</w:t>
      </w:r>
      <w:r w:rsidRPr="00F8565C">
        <w:rPr>
          <w:lang w:val="ka-GE"/>
        </w:rPr>
        <w:t xml:space="preserve"> </w:t>
      </w:r>
      <w:r w:rsidRPr="00F8565C">
        <w:rPr>
          <w:rFonts w:ascii="Sylfaen" w:hAnsi="Sylfaen" w:cs="Sylfaen"/>
          <w:lang w:val="ka-GE"/>
        </w:rPr>
        <w:t>მოითხოვს</w:t>
      </w:r>
      <w:r w:rsidRPr="00F8565C">
        <w:rPr>
          <w:lang w:val="ka-GE"/>
        </w:rPr>
        <w:t xml:space="preserve">. </w:t>
      </w:r>
      <w:r w:rsidRPr="00F8565C">
        <w:rPr>
          <w:rFonts w:ascii="Sylfaen" w:hAnsi="Sylfaen" w:cs="Sylfaen"/>
          <w:lang w:val="ka-GE"/>
        </w:rPr>
        <w:t>ტიპიური</w:t>
      </w:r>
      <w:r w:rsidRPr="00F8565C">
        <w:rPr>
          <w:lang w:val="ka-GE"/>
        </w:rPr>
        <w:t xml:space="preserve"> </w:t>
      </w:r>
      <w:r w:rsidRPr="00F8565C">
        <w:rPr>
          <w:rFonts w:ascii="Sylfaen" w:hAnsi="Sylfaen" w:cs="Sylfaen"/>
          <w:lang w:val="ka-GE"/>
        </w:rPr>
        <w:t>გადაწყვეტები</w:t>
      </w:r>
      <w:r w:rsidRPr="00F8565C">
        <w:rPr>
          <w:lang w:val="ka-GE"/>
        </w:rPr>
        <w:t xml:space="preserve"> </w:t>
      </w:r>
      <w:r w:rsidRPr="00F8565C">
        <w:rPr>
          <w:rFonts w:ascii="Sylfaen" w:hAnsi="Sylfaen" w:cs="Sylfaen"/>
          <w:lang w:val="ka-GE"/>
        </w:rPr>
        <w:t>ხშირად</w:t>
      </w:r>
      <w:r w:rsidRPr="00F8565C">
        <w:rPr>
          <w:lang w:val="ka-GE"/>
        </w:rPr>
        <w:t xml:space="preserve"> </w:t>
      </w:r>
      <w:r w:rsidRPr="00F8565C">
        <w:rPr>
          <w:rFonts w:ascii="Sylfaen" w:hAnsi="Sylfaen" w:cs="Sylfaen"/>
          <w:lang w:val="ka-GE"/>
        </w:rPr>
        <w:t>არასაკმარისად</w:t>
      </w:r>
      <w:r w:rsidRPr="00F8565C">
        <w:rPr>
          <w:lang w:val="ka-GE"/>
        </w:rPr>
        <w:t xml:space="preserve"> </w:t>
      </w:r>
      <w:r w:rsidRPr="00F8565C">
        <w:rPr>
          <w:rFonts w:ascii="Sylfaen" w:hAnsi="Sylfaen" w:cs="Sylfaen"/>
          <w:lang w:val="ka-GE"/>
        </w:rPr>
        <w:t>ეფექტურია</w:t>
      </w:r>
      <w:r w:rsidRPr="00F8565C">
        <w:rPr>
          <w:lang w:val="ka-GE"/>
        </w:rPr>
        <w:t xml:space="preserve">, </w:t>
      </w:r>
      <w:r w:rsidRPr="00F8565C">
        <w:rPr>
          <w:rFonts w:ascii="Sylfaen" w:hAnsi="Sylfaen" w:cs="Sylfaen"/>
          <w:lang w:val="ka-GE"/>
        </w:rPr>
        <w:t>ხოლო</w:t>
      </w:r>
      <w:r w:rsidRPr="00F8565C">
        <w:rPr>
          <w:lang w:val="ka-GE"/>
        </w:rPr>
        <w:t xml:space="preserve"> </w:t>
      </w:r>
      <w:r w:rsidRPr="00F8565C">
        <w:rPr>
          <w:rFonts w:ascii="Sylfaen" w:hAnsi="Sylfaen" w:cs="Sylfaen"/>
          <w:lang w:val="ka-GE"/>
        </w:rPr>
        <w:t>რელიეფის</w:t>
      </w:r>
      <w:r w:rsidRPr="00F8565C">
        <w:rPr>
          <w:lang w:val="ka-GE"/>
        </w:rPr>
        <w:t xml:space="preserve"> </w:t>
      </w:r>
      <w:r w:rsidRPr="00F8565C">
        <w:rPr>
          <w:rFonts w:ascii="Sylfaen" w:hAnsi="Sylfaen" w:cs="Sylfaen"/>
          <w:lang w:val="ka-GE"/>
        </w:rPr>
        <w:t>პირობები</w:t>
      </w:r>
      <w:r w:rsidRPr="00F8565C">
        <w:rPr>
          <w:lang w:val="ka-GE"/>
        </w:rPr>
        <w:t xml:space="preserve"> </w:t>
      </w:r>
      <w:r w:rsidRPr="00F8565C">
        <w:rPr>
          <w:rFonts w:ascii="Sylfaen" w:hAnsi="Sylfaen" w:cs="Sylfaen"/>
          <w:lang w:val="ka-GE"/>
        </w:rPr>
        <w:t>შეიძლება</w:t>
      </w:r>
      <w:r w:rsidRPr="00F8565C">
        <w:rPr>
          <w:lang w:val="ka-GE"/>
        </w:rPr>
        <w:t xml:space="preserve"> </w:t>
      </w:r>
      <w:r w:rsidRPr="00F8565C">
        <w:rPr>
          <w:rFonts w:ascii="Sylfaen" w:hAnsi="Sylfaen" w:cs="Sylfaen"/>
          <w:lang w:val="ka-GE"/>
        </w:rPr>
        <w:t>მნიშვნელოვნად</w:t>
      </w:r>
      <w:r w:rsidRPr="00F8565C">
        <w:rPr>
          <w:lang w:val="ka-GE"/>
        </w:rPr>
        <w:t xml:space="preserve"> </w:t>
      </w:r>
      <w:r w:rsidRPr="00F8565C">
        <w:rPr>
          <w:rFonts w:ascii="Sylfaen" w:hAnsi="Sylfaen" w:cs="Sylfaen"/>
          <w:lang w:val="ka-GE"/>
        </w:rPr>
        <w:t>იცვლებოდეს</w:t>
      </w:r>
      <w:r w:rsidRPr="00F8565C">
        <w:rPr>
          <w:lang w:val="ka-GE"/>
        </w:rPr>
        <w:t xml:space="preserve"> </w:t>
      </w:r>
      <w:r w:rsidRPr="00F8565C">
        <w:rPr>
          <w:rFonts w:ascii="Sylfaen" w:hAnsi="Sylfaen" w:cs="Sylfaen"/>
          <w:lang w:val="ka-GE"/>
        </w:rPr>
        <w:t>ცალკეული</w:t>
      </w:r>
      <w:r w:rsidRPr="00F8565C">
        <w:rPr>
          <w:lang w:val="ka-GE"/>
        </w:rPr>
        <w:t xml:space="preserve"> </w:t>
      </w:r>
      <w:r w:rsidRPr="00F8565C">
        <w:rPr>
          <w:rFonts w:ascii="Sylfaen" w:hAnsi="Sylfaen" w:cs="Sylfaen"/>
          <w:lang w:val="ka-GE"/>
        </w:rPr>
        <w:t>ქვეყნების</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რეგიონების</w:t>
      </w:r>
      <w:r w:rsidRPr="00F8565C">
        <w:rPr>
          <w:lang w:val="ka-GE"/>
        </w:rPr>
        <w:t xml:space="preserve"> </w:t>
      </w:r>
      <w:r w:rsidRPr="00F8565C">
        <w:rPr>
          <w:rFonts w:ascii="Sylfaen" w:hAnsi="Sylfaen" w:cs="Sylfaen"/>
          <w:lang w:val="ka-GE"/>
        </w:rPr>
        <w:t>მიხედვით</w:t>
      </w:r>
      <w:r w:rsidRPr="00F8565C">
        <w:rPr>
          <w:lang w:val="ka-GE"/>
        </w:rPr>
        <w:t xml:space="preserve">. </w:t>
      </w:r>
      <w:r w:rsidRPr="00F8565C">
        <w:rPr>
          <w:rFonts w:ascii="Sylfaen" w:hAnsi="Sylfaen" w:cs="Sylfaen"/>
          <w:lang w:val="ka-GE"/>
        </w:rPr>
        <w:t>საგზაო</w:t>
      </w:r>
      <w:r w:rsidRPr="00F8565C">
        <w:rPr>
          <w:lang w:val="ka-GE"/>
        </w:rPr>
        <w:t xml:space="preserve"> </w:t>
      </w:r>
      <w:r w:rsidRPr="00F8565C">
        <w:rPr>
          <w:rFonts w:ascii="Sylfaen" w:hAnsi="Sylfaen" w:cs="Sylfaen"/>
          <w:lang w:val="ka-GE"/>
        </w:rPr>
        <w:t>მოძრაობის</w:t>
      </w:r>
      <w:r w:rsidRPr="00F8565C">
        <w:rPr>
          <w:lang w:val="ka-GE"/>
        </w:rPr>
        <w:t xml:space="preserve"> </w:t>
      </w:r>
      <w:r w:rsidRPr="00F8565C">
        <w:rPr>
          <w:rFonts w:ascii="Sylfaen" w:hAnsi="Sylfaen" w:cs="Sylfaen"/>
          <w:lang w:val="ka-GE"/>
        </w:rPr>
        <w:t>სახეობები</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საჭიროებები</w:t>
      </w:r>
      <w:r w:rsidRPr="00F8565C">
        <w:rPr>
          <w:lang w:val="ka-GE"/>
        </w:rPr>
        <w:t xml:space="preserve"> </w:t>
      </w:r>
      <w:r w:rsidRPr="00F8565C">
        <w:rPr>
          <w:rFonts w:ascii="Sylfaen" w:hAnsi="Sylfaen" w:cs="Sylfaen"/>
          <w:lang w:val="ka-GE"/>
        </w:rPr>
        <w:t>დამოკიდებულია</w:t>
      </w:r>
      <w:r w:rsidRPr="00F8565C">
        <w:rPr>
          <w:lang w:val="ka-GE"/>
        </w:rPr>
        <w:t xml:space="preserve"> </w:t>
      </w:r>
      <w:r w:rsidRPr="00F8565C">
        <w:rPr>
          <w:rFonts w:ascii="Sylfaen" w:hAnsi="Sylfaen" w:cs="Sylfaen"/>
          <w:lang w:val="ka-GE"/>
        </w:rPr>
        <w:t>ინდივიდუალური</w:t>
      </w:r>
      <w:r w:rsidRPr="00F8565C">
        <w:rPr>
          <w:lang w:val="ka-GE"/>
        </w:rPr>
        <w:t xml:space="preserve"> </w:t>
      </w:r>
      <w:r w:rsidRPr="00F8565C">
        <w:rPr>
          <w:rFonts w:ascii="Sylfaen" w:hAnsi="Sylfaen" w:cs="Sylfaen"/>
          <w:lang w:val="ka-GE"/>
        </w:rPr>
        <w:t>დასახლებებისთვის</w:t>
      </w:r>
      <w:r w:rsidRPr="00F8565C">
        <w:rPr>
          <w:lang w:val="ka-GE"/>
        </w:rPr>
        <w:t>/</w:t>
      </w:r>
      <w:r w:rsidRPr="00F8565C">
        <w:rPr>
          <w:rFonts w:ascii="Sylfaen" w:hAnsi="Sylfaen" w:cs="Sylfaen"/>
          <w:lang w:val="ka-GE"/>
        </w:rPr>
        <w:t>თემებისთვის</w:t>
      </w:r>
      <w:r w:rsidRPr="00F8565C">
        <w:rPr>
          <w:lang w:val="ka-GE"/>
        </w:rPr>
        <w:t xml:space="preserve"> </w:t>
      </w:r>
      <w:r w:rsidRPr="00F8565C">
        <w:rPr>
          <w:rFonts w:ascii="Sylfaen" w:hAnsi="Sylfaen" w:cs="Sylfaen"/>
          <w:lang w:val="ka-GE"/>
        </w:rPr>
        <w:t>დამახასიათებელ</w:t>
      </w:r>
      <w:r w:rsidRPr="00F8565C">
        <w:rPr>
          <w:lang w:val="ka-GE"/>
        </w:rPr>
        <w:t xml:space="preserve"> </w:t>
      </w:r>
      <w:r w:rsidRPr="00F8565C">
        <w:rPr>
          <w:rFonts w:ascii="Sylfaen" w:hAnsi="Sylfaen" w:cs="Sylfaen"/>
          <w:lang w:val="ka-GE"/>
        </w:rPr>
        <w:t>სპეციფიურ</w:t>
      </w:r>
      <w:r w:rsidRPr="00F8565C">
        <w:rPr>
          <w:lang w:val="ka-GE"/>
        </w:rPr>
        <w:t xml:space="preserve"> </w:t>
      </w:r>
      <w:r w:rsidRPr="00F8565C">
        <w:rPr>
          <w:rFonts w:ascii="Sylfaen" w:hAnsi="Sylfaen" w:cs="Sylfaen"/>
          <w:lang w:val="ka-GE"/>
        </w:rPr>
        <w:t>გარემოებებზე</w:t>
      </w:r>
      <w:r w:rsidRPr="00F8565C">
        <w:rPr>
          <w:lang w:val="ka-GE"/>
        </w:rPr>
        <w:t xml:space="preserve">. </w:t>
      </w:r>
      <w:r w:rsidRPr="00F8565C">
        <w:rPr>
          <w:rFonts w:ascii="Sylfaen" w:hAnsi="Sylfaen" w:cs="Sylfaen"/>
          <w:lang w:val="ka-GE"/>
        </w:rPr>
        <w:t>რენტაბელური</w:t>
      </w:r>
      <w:r w:rsidRPr="00F8565C">
        <w:rPr>
          <w:lang w:val="ka-GE"/>
        </w:rPr>
        <w:t xml:space="preserve"> </w:t>
      </w:r>
      <w:r w:rsidRPr="00F8565C">
        <w:rPr>
          <w:rFonts w:ascii="Sylfaen" w:hAnsi="Sylfaen" w:cs="Sylfaen"/>
          <w:lang w:val="ka-GE"/>
        </w:rPr>
        <w:t>გადაწყვეტების</w:t>
      </w:r>
      <w:r w:rsidRPr="00F8565C">
        <w:rPr>
          <w:lang w:val="ka-GE"/>
        </w:rPr>
        <w:t xml:space="preserve"> </w:t>
      </w:r>
      <w:r w:rsidRPr="00F8565C">
        <w:rPr>
          <w:rFonts w:ascii="Sylfaen" w:hAnsi="Sylfaen" w:cs="Sylfaen"/>
          <w:lang w:val="ka-GE"/>
        </w:rPr>
        <w:t>მისაღწევად</w:t>
      </w:r>
      <w:r w:rsidRPr="00F8565C">
        <w:rPr>
          <w:lang w:val="ka-GE"/>
        </w:rPr>
        <w:t xml:space="preserve">, </w:t>
      </w:r>
      <w:r w:rsidRPr="00F8565C">
        <w:rPr>
          <w:rFonts w:ascii="Sylfaen" w:hAnsi="Sylfaen" w:cs="Sylfaen"/>
          <w:lang w:val="ka-GE"/>
        </w:rPr>
        <w:t>სტანდარტული</w:t>
      </w:r>
      <w:r w:rsidRPr="00F8565C">
        <w:rPr>
          <w:lang w:val="ka-GE"/>
        </w:rPr>
        <w:t xml:space="preserve"> </w:t>
      </w:r>
      <w:r w:rsidRPr="00F8565C">
        <w:rPr>
          <w:rFonts w:ascii="Sylfaen" w:hAnsi="Sylfaen" w:cs="Sylfaen"/>
          <w:lang w:val="ka-GE"/>
        </w:rPr>
        <w:t>ტექნიკური</w:t>
      </w:r>
      <w:r w:rsidRPr="00F8565C">
        <w:rPr>
          <w:lang w:val="ka-GE"/>
        </w:rPr>
        <w:t xml:space="preserve"> </w:t>
      </w:r>
      <w:r w:rsidRPr="00F8565C">
        <w:rPr>
          <w:rFonts w:ascii="Sylfaen" w:hAnsi="Sylfaen" w:cs="Sylfaen"/>
          <w:lang w:val="ka-GE"/>
        </w:rPr>
        <w:t>გადაწყვეტების</w:t>
      </w:r>
      <w:r w:rsidRPr="00F8565C">
        <w:rPr>
          <w:lang w:val="ka-GE"/>
        </w:rPr>
        <w:t xml:space="preserve"> </w:t>
      </w:r>
      <w:r w:rsidRPr="00F8565C">
        <w:rPr>
          <w:rFonts w:ascii="Sylfaen" w:hAnsi="Sylfaen" w:cs="Sylfaen"/>
          <w:lang w:val="ka-GE"/>
        </w:rPr>
        <w:t>ხისტად</w:t>
      </w:r>
      <w:r w:rsidRPr="00F8565C">
        <w:rPr>
          <w:lang w:val="ka-GE"/>
        </w:rPr>
        <w:t xml:space="preserve"> </w:t>
      </w:r>
      <w:r w:rsidRPr="00F8565C">
        <w:rPr>
          <w:rFonts w:ascii="Sylfaen" w:hAnsi="Sylfaen" w:cs="Sylfaen"/>
          <w:lang w:val="ka-GE"/>
        </w:rPr>
        <w:t>მიყენების</w:t>
      </w:r>
      <w:r w:rsidRPr="00F8565C">
        <w:rPr>
          <w:lang w:val="ka-GE"/>
        </w:rPr>
        <w:t xml:space="preserve"> </w:t>
      </w:r>
      <w:r w:rsidRPr="00F8565C">
        <w:rPr>
          <w:rFonts w:ascii="Sylfaen" w:hAnsi="Sylfaen" w:cs="Sylfaen"/>
          <w:lang w:val="ka-GE"/>
        </w:rPr>
        <w:t>ნაცვლად</w:t>
      </w:r>
      <w:r w:rsidRPr="00F8565C">
        <w:rPr>
          <w:lang w:val="ka-GE"/>
        </w:rPr>
        <w:t xml:space="preserve">, </w:t>
      </w:r>
      <w:r w:rsidRPr="00F8565C">
        <w:rPr>
          <w:rFonts w:ascii="Sylfaen" w:hAnsi="Sylfaen" w:cs="Sylfaen"/>
          <w:lang w:val="ka-GE"/>
        </w:rPr>
        <w:t>მნიშვნელოვანია</w:t>
      </w:r>
      <w:r w:rsidRPr="00F8565C">
        <w:rPr>
          <w:lang w:val="ka-GE"/>
        </w:rPr>
        <w:t xml:space="preserve"> </w:t>
      </w:r>
      <w:r w:rsidRPr="00F8565C">
        <w:rPr>
          <w:rFonts w:ascii="Sylfaen" w:hAnsi="Sylfaen" w:cs="Sylfaen"/>
          <w:lang w:val="ka-GE"/>
        </w:rPr>
        <w:t>ჩარევის</w:t>
      </w:r>
      <w:r w:rsidRPr="00F8565C">
        <w:rPr>
          <w:lang w:val="ka-GE"/>
        </w:rPr>
        <w:t xml:space="preserve"> </w:t>
      </w:r>
      <w:r w:rsidRPr="00F8565C">
        <w:rPr>
          <w:rFonts w:ascii="Sylfaen" w:hAnsi="Sylfaen" w:cs="Sylfaen"/>
          <w:lang w:val="ka-GE"/>
        </w:rPr>
        <w:t>ღონისძიებების</w:t>
      </w:r>
      <w:r w:rsidRPr="00F8565C">
        <w:rPr>
          <w:lang w:val="ka-GE"/>
        </w:rPr>
        <w:t xml:space="preserve"> </w:t>
      </w:r>
      <w:r w:rsidRPr="00F8565C">
        <w:rPr>
          <w:rFonts w:ascii="Sylfaen" w:hAnsi="Sylfaen" w:cs="Sylfaen"/>
          <w:lang w:val="ka-GE"/>
        </w:rPr>
        <w:t>მოქნილად</w:t>
      </w:r>
      <w:r w:rsidRPr="00F8565C">
        <w:rPr>
          <w:lang w:val="ka-GE"/>
        </w:rPr>
        <w:t xml:space="preserve"> </w:t>
      </w:r>
      <w:r w:rsidRPr="00F8565C">
        <w:rPr>
          <w:rFonts w:ascii="Sylfaen" w:hAnsi="Sylfaen" w:cs="Sylfaen"/>
          <w:lang w:val="ka-GE"/>
        </w:rPr>
        <w:t>მორგება</w:t>
      </w:r>
      <w:r w:rsidRPr="00F8565C">
        <w:rPr>
          <w:lang w:val="ka-GE"/>
        </w:rPr>
        <w:t xml:space="preserve"> </w:t>
      </w:r>
      <w:r w:rsidRPr="00F8565C">
        <w:rPr>
          <w:rFonts w:ascii="Sylfaen" w:hAnsi="Sylfaen" w:cs="Sylfaen"/>
          <w:lang w:val="ka-GE"/>
        </w:rPr>
        <w:t>კონკრეტულ</w:t>
      </w:r>
      <w:r w:rsidRPr="00F8565C">
        <w:rPr>
          <w:lang w:val="ka-GE"/>
        </w:rPr>
        <w:t xml:space="preserve"> </w:t>
      </w:r>
      <w:r w:rsidRPr="00F8565C">
        <w:rPr>
          <w:rFonts w:ascii="Sylfaen" w:hAnsi="Sylfaen" w:cs="Sylfaen"/>
          <w:lang w:val="ka-GE"/>
        </w:rPr>
        <w:t>სიტუაციასთან</w:t>
      </w:r>
      <w:r w:rsidRPr="00F8565C">
        <w:rPr>
          <w:lang w:val="ka-GE"/>
        </w:rPr>
        <w:t>.</w:t>
      </w:r>
    </w:p>
    <w:p w14:paraId="5544FEC9" w14:textId="77777777" w:rsidR="00F8565C" w:rsidRPr="00F8565C" w:rsidRDefault="00F8565C" w:rsidP="00F8565C">
      <w:pPr>
        <w:spacing w:before="120" w:after="120"/>
        <w:rPr>
          <w:lang w:val="ka-GE"/>
        </w:rPr>
      </w:pPr>
      <w:r w:rsidRPr="00F8565C">
        <w:rPr>
          <w:rFonts w:ascii="Sylfaen" w:hAnsi="Sylfaen" w:cs="Sylfaen"/>
          <w:lang w:val="ka-GE"/>
        </w:rPr>
        <w:t>ამიტომ</w:t>
      </w:r>
      <w:r w:rsidRPr="00F8565C">
        <w:rPr>
          <w:lang w:val="ka-GE"/>
        </w:rPr>
        <w:t xml:space="preserve">, </w:t>
      </w:r>
      <w:r w:rsidRPr="00F8565C">
        <w:rPr>
          <w:rFonts w:ascii="Sylfaen" w:hAnsi="Sylfaen" w:cs="Sylfaen"/>
          <w:lang w:val="ka-GE"/>
        </w:rPr>
        <w:t>კონსულტანტი</w:t>
      </w:r>
      <w:r w:rsidRPr="00F8565C">
        <w:rPr>
          <w:lang w:val="ka-GE"/>
        </w:rPr>
        <w:t xml:space="preserve"> </w:t>
      </w:r>
      <w:r w:rsidRPr="00F8565C">
        <w:rPr>
          <w:rFonts w:ascii="Sylfaen" w:hAnsi="Sylfaen" w:cs="Sylfaen"/>
          <w:lang w:val="ka-GE"/>
        </w:rPr>
        <w:t>განიხილავს</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შეათანხმებს</w:t>
      </w:r>
      <w:r w:rsidRPr="00F8565C">
        <w:rPr>
          <w:lang w:val="ka-GE"/>
        </w:rPr>
        <w:t xml:space="preserve"> </w:t>
      </w:r>
      <w:r w:rsidRPr="00F8565C">
        <w:rPr>
          <w:rFonts w:ascii="Sylfaen" w:hAnsi="Sylfaen" w:cs="Sylfaen"/>
          <w:lang w:val="ka-GE"/>
        </w:rPr>
        <w:t>გზების</w:t>
      </w:r>
      <w:r w:rsidRPr="00F8565C">
        <w:rPr>
          <w:lang w:val="ka-GE"/>
        </w:rPr>
        <w:t xml:space="preserve"> </w:t>
      </w:r>
      <w:r w:rsidRPr="00F8565C">
        <w:rPr>
          <w:rFonts w:ascii="Sylfaen" w:hAnsi="Sylfaen" w:cs="Sylfaen"/>
          <w:lang w:val="ka-GE"/>
        </w:rPr>
        <w:t>დეპარტამენტთან</w:t>
      </w:r>
      <w:r w:rsidRPr="00F8565C">
        <w:rPr>
          <w:lang w:val="ka-GE"/>
        </w:rPr>
        <w:t xml:space="preserve"> </w:t>
      </w:r>
      <w:r w:rsidRPr="00F8565C">
        <w:rPr>
          <w:rFonts w:ascii="Sylfaen" w:hAnsi="Sylfaen" w:cs="Sylfaen"/>
          <w:lang w:val="ka-GE"/>
        </w:rPr>
        <w:t>მოქმედი</w:t>
      </w:r>
      <w:r w:rsidRPr="00F8565C">
        <w:rPr>
          <w:lang w:val="ka-GE"/>
        </w:rPr>
        <w:t xml:space="preserve"> </w:t>
      </w:r>
      <w:r w:rsidRPr="00F8565C">
        <w:rPr>
          <w:rFonts w:ascii="Sylfaen" w:hAnsi="Sylfaen" w:cs="Sylfaen"/>
          <w:lang w:val="ka-GE"/>
        </w:rPr>
        <w:t>სტანდარტებიდან</w:t>
      </w:r>
      <w:r w:rsidRPr="00F8565C">
        <w:rPr>
          <w:lang w:val="ka-GE"/>
        </w:rPr>
        <w:t xml:space="preserve"> </w:t>
      </w:r>
      <w:r w:rsidRPr="00F8565C">
        <w:rPr>
          <w:rFonts w:ascii="Sylfaen" w:hAnsi="Sylfaen" w:cs="Sylfaen"/>
          <w:lang w:val="ka-GE"/>
        </w:rPr>
        <w:t>გადახვევებს</w:t>
      </w:r>
      <w:r w:rsidRPr="00F8565C">
        <w:rPr>
          <w:lang w:val="ka-GE"/>
        </w:rPr>
        <w:t xml:space="preserve">, </w:t>
      </w:r>
      <w:r w:rsidRPr="00F8565C">
        <w:rPr>
          <w:rFonts w:ascii="Sylfaen" w:hAnsi="Sylfaen" w:cs="Sylfaen"/>
          <w:lang w:val="ka-GE"/>
        </w:rPr>
        <w:t>როდესაც</w:t>
      </w:r>
      <w:r w:rsidRPr="00F8565C">
        <w:rPr>
          <w:lang w:val="ka-GE"/>
        </w:rPr>
        <w:t xml:space="preserve"> </w:t>
      </w:r>
      <w:r w:rsidRPr="00F8565C">
        <w:rPr>
          <w:rFonts w:ascii="Sylfaen" w:hAnsi="Sylfaen" w:cs="Sylfaen"/>
          <w:lang w:val="ka-GE"/>
        </w:rPr>
        <w:t>ეს</w:t>
      </w:r>
      <w:r w:rsidRPr="00F8565C">
        <w:rPr>
          <w:lang w:val="ka-GE"/>
        </w:rPr>
        <w:t xml:space="preserve"> </w:t>
      </w:r>
      <w:r w:rsidRPr="00F8565C">
        <w:rPr>
          <w:rFonts w:ascii="Sylfaen" w:hAnsi="Sylfaen" w:cs="Sylfaen"/>
          <w:lang w:val="ka-GE"/>
        </w:rPr>
        <w:t>ეკონომიკურად</w:t>
      </w:r>
      <w:r w:rsidRPr="00F8565C">
        <w:rPr>
          <w:lang w:val="ka-GE"/>
        </w:rPr>
        <w:t xml:space="preserve"> </w:t>
      </w:r>
      <w:r w:rsidRPr="00F8565C">
        <w:rPr>
          <w:rFonts w:ascii="Sylfaen" w:hAnsi="Sylfaen" w:cs="Sylfaen"/>
          <w:lang w:val="ka-GE"/>
        </w:rPr>
        <w:t>დასაბუთებულია</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არ</w:t>
      </w:r>
      <w:r w:rsidRPr="00F8565C">
        <w:rPr>
          <w:lang w:val="ka-GE"/>
        </w:rPr>
        <w:t xml:space="preserve"> </w:t>
      </w:r>
      <w:r w:rsidRPr="00F8565C">
        <w:rPr>
          <w:rFonts w:ascii="Sylfaen" w:hAnsi="Sylfaen" w:cs="Sylfaen"/>
          <w:lang w:val="ka-GE"/>
        </w:rPr>
        <w:t>იწვევს</w:t>
      </w:r>
      <w:r w:rsidRPr="00F8565C">
        <w:rPr>
          <w:lang w:val="ka-GE"/>
        </w:rPr>
        <w:t xml:space="preserve"> </w:t>
      </w:r>
      <w:r w:rsidRPr="00F8565C">
        <w:rPr>
          <w:rFonts w:ascii="Sylfaen" w:hAnsi="Sylfaen" w:cs="Sylfaen"/>
          <w:lang w:val="ka-GE"/>
        </w:rPr>
        <w:t>უარყოფით</w:t>
      </w:r>
      <w:r w:rsidRPr="00F8565C">
        <w:rPr>
          <w:lang w:val="ka-GE"/>
        </w:rPr>
        <w:t xml:space="preserve"> </w:t>
      </w:r>
      <w:r w:rsidRPr="00F8565C">
        <w:rPr>
          <w:rFonts w:ascii="Sylfaen" w:hAnsi="Sylfaen" w:cs="Sylfaen"/>
          <w:lang w:val="ka-GE"/>
        </w:rPr>
        <w:t>გავლენას</w:t>
      </w:r>
      <w:r w:rsidRPr="00F8565C">
        <w:rPr>
          <w:lang w:val="ka-GE"/>
        </w:rPr>
        <w:t xml:space="preserve"> </w:t>
      </w:r>
      <w:r w:rsidRPr="00F8565C">
        <w:rPr>
          <w:rFonts w:ascii="Sylfaen" w:hAnsi="Sylfaen" w:cs="Sylfaen"/>
          <w:lang w:val="ka-GE"/>
        </w:rPr>
        <w:t>გზის</w:t>
      </w:r>
      <w:r w:rsidRPr="00F8565C">
        <w:rPr>
          <w:lang w:val="ka-GE"/>
        </w:rPr>
        <w:t xml:space="preserve"> </w:t>
      </w:r>
      <w:r w:rsidRPr="00F8565C">
        <w:rPr>
          <w:rFonts w:ascii="Sylfaen" w:hAnsi="Sylfaen" w:cs="Sylfaen"/>
          <w:lang w:val="ka-GE"/>
        </w:rPr>
        <w:t>უსაფრთხოებაზე</w:t>
      </w:r>
      <w:r w:rsidRPr="00F8565C">
        <w:rPr>
          <w:lang w:val="ka-GE"/>
        </w:rPr>
        <w:t xml:space="preserve">. </w:t>
      </w:r>
    </w:p>
    <w:p w14:paraId="43088487" w14:textId="77777777" w:rsidR="00F8565C" w:rsidRPr="00F8565C" w:rsidRDefault="00F8565C" w:rsidP="00F8565C">
      <w:pPr>
        <w:spacing w:before="120" w:after="120"/>
        <w:rPr>
          <w:lang w:val="ka-GE"/>
        </w:rPr>
      </w:pPr>
      <w:r w:rsidRPr="00F8565C">
        <w:rPr>
          <w:rFonts w:ascii="Sylfaen" w:hAnsi="Sylfaen" w:cs="Sylfaen"/>
          <w:lang w:val="ka-GE"/>
        </w:rPr>
        <w:t>გარდა</w:t>
      </w:r>
      <w:r w:rsidRPr="00F8565C">
        <w:rPr>
          <w:lang w:val="ka-GE"/>
        </w:rPr>
        <w:t xml:space="preserve"> </w:t>
      </w:r>
      <w:r w:rsidRPr="00F8565C">
        <w:rPr>
          <w:rFonts w:ascii="Sylfaen" w:hAnsi="Sylfaen" w:cs="Sylfaen"/>
          <w:lang w:val="ka-GE"/>
        </w:rPr>
        <w:t>ამისა</w:t>
      </w:r>
      <w:r w:rsidRPr="00F8565C">
        <w:rPr>
          <w:lang w:val="ka-GE"/>
        </w:rPr>
        <w:t xml:space="preserve">, </w:t>
      </w:r>
      <w:r w:rsidRPr="00F8565C">
        <w:rPr>
          <w:rFonts w:ascii="Sylfaen" w:hAnsi="Sylfaen" w:cs="Sylfaen"/>
          <w:lang w:val="ka-GE"/>
        </w:rPr>
        <w:t>გეომეტრიული</w:t>
      </w:r>
      <w:r w:rsidRPr="00F8565C">
        <w:rPr>
          <w:lang w:val="ka-GE"/>
        </w:rPr>
        <w:t xml:space="preserve"> </w:t>
      </w:r>
      <w:r w:rsidRPr="00F8565C">
        <w:rPr>
          <w:rFonts w:ascii="Sylfaen" w:hAnsi="Sylfaen" w:cs="Sylfaen"/>
          <w:lang w:val="ka-GE"/>
        </w:rPr>
        <w:t>ელემენტების</w:t>
      </w:r>
      <w:r w:rsidRPr="00F8565C">
        <w:rPr>
          <w:lang w:val="ka-GE"/>
        </w:rPr>
        <w:t xml:space="preserve"> </w:t>
      </w:r>
      <w:r w:rsidRPr="00F8565C">
        <w:rPr>
          <w:rFonts w:ascii="Sylfaen" w:hAnsi="Sylfaen" w:cs="Sylfaen"/>
          <w:lang w:val="ka-GE"/>
        </w:rPr>
        <w:t>პარამეტრების</w:t>
      </w:r>
      <w:r w:rsidRPr="00F8565C">
        <w:rPr>
          <w:lang w:val="ka-GE"/>
        </w:rPr>
        <w:t xml:space="preserve"> </w:t>
      </w:r>
      <w:r w:rsidRPr="00F8565C">
        <w:rPr>
          <w:rFonts w:ascii="Sylfaen" w:hAnsi="Sylfaen" w:cs="Sylfaen"/>
          <w:lang w:val="ka-GE"/>
        </w:rPr>
        <w:t>განსაზღვრისას</w:t>
      </w:r>
      <w:r w:rsidRPr="00F8565C">
        <w:rPr>
          <w:lang w:val="ka-GE"/>
        </w:rPr>
        <w:t xml:space="preserve">, </w:t>
      </w:r>
      <w:r w:rsidRPr="00F8565C">
        <w:rPr>
          <w:rFonts w:ascii="Sylfaen" w:hAnsi="Sylfaen" w:cs="Sylfaen"/>
          <w:lang w:val="ka-GE"/>
        </w:rPr>
        <w:t>მხედველობაში</w:t>
      </w:r>
      <w:r w:rsidRPr="00F8565C">
        <w:rPr>
          <w:lang w:val="ka-GE"/>
        </w:rPr>
        <w:t xml:space="preserve"> </w:t>
      </w:r>
      <w:r w:rsidRPr="00F8565C">
        <w:rPr>
          <w:rFonts w:ascii="Sylfaen" w:hAnsi="Sylfaen" w:cs="Sylfaen"/>
          <w:lang w:val="ka-GE"/>
        </w:rPr>
        <w:t>იქნება</w:t>
      </w:r>
      <w:r w:rsidRPr="00F8565C">
        <w:rPr>
          <w:lang w:val="ka-GE"/>
        </w:rPr>
        <w:t xml:space="preserve"> </w:t>
      </w:r>
      <w:r w:rsidRPr="00F8565C">
        <w:rPr>
          <w:rFonts w:ascii="Sylfaen" w:hAnsi="Sylfaen" w:cs="Sylfaen"/>
          <w:lang w:val="ka-GE"/>
        </w:rPr>
        <w:t>მიღებული</w:t>
      </w:r>
      <w:r w:rsidRPr="00F8565C">
        <w:rPr>
          <w:lang w:val="ka-GE"/>
        </w:rPr>
        <w:t xml:space="preserve"> </w:t>
      </w:r>
      <w:r w:rsidRPr="00F8565C">
        <w:rPr>
          <w:rFonts w:ascii="Sylfaen" w:hAnsi="Sylfaen" w:cs="Sylfaen"/>
          <w:lang w:val="ka-GE"/>
        </w:rPr>
        <w:t>მომიჯნავე</w:t>
      </w:r>
      <w:r w:rsidRPr="00F8565C">
        <w:rPr>
          <w:lang w:val="ka-GE"/>
        </w:rPr>
        <w:t xml:space="preserve"> </w:t>
      </w:r>
      <w:r w:rsidRPr="00F8565C">
        <w:rPr>
          <w:rFonts w:ascii="Sylfaen" w:hAnsi="Sylfaen" w:cs="Sylfaen"/>
          <w:lang w:val="ka-GE"/>
        </w:rPr>
        <w:t>საგზაო</w:t>
      </w:r>
      <w:r w:rsidRPr="00F8565C">
        <w:rPr>
          <w:lang w:val="ka-GE"/>
        </w:rPr>
        <w:t xml:space="preserve"> </w:t>
      </w:r>
      <w:r w:rsidRPr="00F8565C">
        <w:rPr>
          <w:rFonts w:ascii="Sylfaen" w:hAnsi="Sylfaen" w:cs="Sylfaen"/>
          <w:lang w:val="ka-GE"/>
        </w:rPr>
        <w:t>მონაკვეთების</w:t>
      </w:r>
      <w:r w:rsidRPr="00F8565C">
        <w:rPr>
          <w:lang w:val="ka-GE"/>
        </w:rPr>
        <w:t xml:space="preserve"> </w:t>
      </w:r>
      <w:r w:rsidRPr="00F8565C">
        <w:rPr>
          <w:rFonts w:ascii="Sylfaen" w:hAnsi="Sylfaen" w:cs="Sylfaen"/>
          <w:lang w:val="ka-GE"/>
        </w:rPr>
        <w:t>საანგარიშო</w:t>
      </w:r>
      <w:r w:rsidRPr="00F8565C">
        <w:rPr>
          <w:lang w:val="ka-GE"/>
        </w:rPr>
        <w:t xml:space="preserve"> </w:t>
      </w:r>
      <w:r w:rsidRPr="00F8565C">
        <w:rPr>
          <w:rFonts w:ascii="Sylfaen" w:hAnsi="Sylfaen" w:cs="Sylfaen"/>
          <w:lang w:val="ka-GE"/>
        </w:rPr>
        <w:t>პარამეტრები</w:t>
      </w:r>
      <w:r w:rsidRPr="00F8565C">
        <w:rPr>
          <w:lang w:val="ka-GE"/>
        </w:rPr>
        <w:t xml:space="preserve">, </w:t>
      </w:r>
      <w:r w:rsidRPr="00F8565C">
        <w:rPr>
          <w:rFonts w:ascii="Sylfaen" w:hAnsi="Sylfaen" w:cs="Sylfaen"/>
          <w:lang w:val="ka-GE"/>
        </w:rPr>
        <w:t>რათა</w:t>
      </w:r>
      <w:r w:rsidRPr="00F8565C">
        <w:rPr>
          <w:lang w:val="ka-GE"/>
        </w:rPr>
        <w:t xml:space="preserve"> </w:t>
      </w:r>
      <w:r w:rsidRPr="00F8565C">
        <w:rPr>
          <w:rFonts w:ascii="Sylfaen" w:hAnsi="Sylfaen" w:cs="Sylfaen"/>
          <w:lang w:val="ka-GE"/>
        </w:rPr>
        <w:t>მოსარგებლეებს</w:t>
      </w:r>
      <w:r w:rsidRPr="00F8565C">
        <w:rPr>
          <w:lang w:val="ka-GE"/>
        </w:rPr>
        <w:t xml:space="preserve"> </w:t>
      </w:r>
      <w:r w:rsidRPr="00F8565C">
        <w:rPr>
          <w:rFonts w:ascii="Sylfaen" w:hAnsi="Sylfaen" w:cs="Sylfaen"/>
          <w:lang w:val="ka-GE"/>
        </w:rPr>
        <w:t>შეექმნათ</w:t>
      </w:r>
      <w:r w:rsidRPr="00F8565C">
        <w:rPr>
          <w:lang w:val="ka-GE"/>
        </w:rPr>
        <w:t xml:space="preserve"> </w:t>
      </w:r>
      <w:r w:rsidRPr="00F8565C">
        <w:rPr>
          <w:rFonts w:ascii="Sylfaen" w:hAnsi="Sylfaen" w:cs="Sylfaen"/>
          <w:lang w:val="ka-GE"/>
        </w:rPr>
        <w:t>საგზაო</w:t>
      </w:r>
      <w:r w:rsidRPr="00F8565C">
        <w:rPr>
          <w:lang w:val="ka-GE"/>
        </w:rPr>
        <w:t xml:space="preserve"> </w:t>
      </w:r>
      <w:r w:rsidRPr="00F8565C">
        <w:rPr>
          <w:rFonts w:ascii="Sylfaen" w:hAnsi="Sylfaen" w:cs="Sylfaen"/>
          <w:lang w:val="ka-GE"/>
        </w:rPr>
        <w:t>დერეფნის</w:t>
      </w:r>
      <w:r w:rsidRPr="00F8565C">
        <w:rPr>
          <w:lang w:val="ka-GE"/>
        </w:rPr>
        <w:t xml:space="preserve"> </w:t>
      </w:r>
      <w:r w:rsidRPr="00F8565C">
        <w:rPr>
          <w:rFonts w:ascii="Sylfaen" w:hAnsi="Sylfaen" w:cs="Sylfaen"/>
          <w:lang w:val="ka-GE"/>
        </w:rPr>
        <w:t>შედარებით</w:t>
      </w:r>
      <w:r w:rsidRPr="00F8565C">
        <w:rPr>
          <w:lang w:val="ka-GE"/>
        </w:rPr>
        <w:t xml:space="preserve"> </w:t>
      </w:r>
      <w:r w:rsidRPr="00F8565C">
        <w:rPr>
          <w:rFonts w:ascii="Sylfaen" w:hAnsi="Sylfaen" w:cs="Sylfaen"/>
          <w:lang w:val="ka-GE"/>
        </w:rPr>
        <w:t>გრძელი</w:t>
      </w:r>
      <w:r w:rsidRPr="00F8565C">
        <w:rPr>
          <w:lang w:val="ka-GE"/>
        </w:rPr>
        <w:t xml:space="preserve"> </w:t>
      </w:r>
      <w:r w:rsidRPr="00F8565C">
        <w:rPr>
          <w:rFonts w:ascii="Sylfaen" w:hAnsi="Sylfaen" w:cs="Sylfaen"/>
          <w:lang w:val="ka-GE"/>
        </w:rPr>
        <w:t>ნაწილების</w:t>
      </w:r>
      <w:r w:rsidRPr="00F8565C">
        <w:rPr>
          <w:lang w:val="ka-GE"/>
        </w:rPr>
        <w:t xml:space="preserve"> </w:t>
      </w:r>
      <w:r w:rsidRPr="00F8565C">
        <w:rPr>
          <w:rFonts w:ascii="Sylfaen" w:hAnsi="Sylfaen" w:cs="Sylfaen"/>
          <w:lang w:val="ka-GE"/>
        </w:rPr>
        <w:t>უწყვეტობის</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ერთგვაროვნების</w:t>
      </w:r>
      <w:r w:rsidRPr="00F8565C">
        <w:rPr>
          <w:lang w:val="ka-GE"/>
        </w:rPr>
        <w:t xml:space="preserve"> </w:t>
      </w:r>
      <w:r w:rsidRPr="00F8565C">
        <w:rPr>
          <w:rFonts w:ascii="Sylfaen" w:hAnsi="Sylfaen" w:cs="Sylfaen"/>
          <w:lang w:val="ka-GE"/>
        </w:rPr>
        <w:t>აღქმა</w:t>
      </w:r>
      <w:r w:rsidRPr="00F8565C">
        <w:rPr>
          <w:lang w:val="ka-GE"/>
        </w:rPr>
        <w:t>.</w:t>
      </w:r>
    </w:p>
    <w:p w14:paraId="5E2779AE" w14:textId="12C5499C" w:rsidR="00F8565C" w:rsidRDefault="00F8565C" w:rsidP="00F8565C">
      <w:pPr>
        <w:spacing w:before="120" w:after="120"/>
        <w:rPr>
          <w:rFonts w:ascii="Sylfaen" w:hAnsi="Sylfaen"/>
          <w:lang w:val="ka-GE"/>
        </w:rPr>
      </w:pPr>
      <w:r w:rsidRPr="00F8565C">
        <w:rPr>
          <w:rFonts w:ascii="Sylfaen" w:hAnsi="Sylfaen" w:cs="Sylfaen"/>
          <w:lang w:val="ka-GE"/>
        </w:rPr>
        <w:lastRenderedPageBreak/>
        <w:t>აქვე</w:t>
      </w:r>
      <w:r w:rsidRPr="00F8565C">
        <w:rPr>
          <w:lang w:val="ka-GE"/>
        </w:rPr>
        <w:t xml:space="preserve"> </w:t>
      </w:r>
      <w:r w:rsidRPr="00F8565C">
        <w:rPr>
          <w:rFonts w:ascii="Sylfaen" w:hAnsi="Sylfaen" w:cs="Sylfaen"/>
          <w:lang w:val="ka-GE"/>
        </w:rPr>
        <w:t>უნდა</w:t>
      </w:r>
      <w:r w:rsidRPr="00F8565C">
        <w:rPr>
          <w:lang w:val="ka-GE"/>
        </w:rPr>
        <w:t xml:space="preserve"> </w:t>
      </w:r>
      <w:r w:rsidRPr="00F8565C">
        <w:rPr>
          <w:rFonts w:ascii="Sylfaen" w:hAnsi="Sylfaen" w:cs="Sylfaen"/>
          <w:lang w:val="ka-GE"/>
        </w:rPr>
        <w:t>აღინიშნოს</w:t>
      </w:r>
      <w:r w:rsidRPr="00F8565C">
        <w:rPr>
          <w:lang w:val="ka-GE"/>
        </w:rPr>
        <w:t xml:space="preserve">, </w:t>
      </w:r>
      <w:r w:rsidRPr="00F8565C">
        <w:rPr>
          <w:rFonts w:ascii="Sylfaen" w:hAnsi="Sylfaen" w:cs="Sylfaen"/>
          <w:lang w:val="ka-GE"/>
        </w:rPr>
        <w:t>რომ</w:t>
      </w:r>
      <w:r w:rsidRPr="00F8565C">
        <w:rPr>
          <w:lang w:val="ka-GE"/>
        </w:rPr>
        <w:t xml:space="preserve"> </w:t>
      </w:r>
      <w:r w:rsidRPr="00F8565C">
        <w:rPr>
          <w:rFonts w:ascii="Sylfaen" w:hAnsi="Sylfaen" w:cs="Sylfaen"/>
          <w:lang w:val="ka-GE"/>
        </w:rPr>
        <w:t>ალტერნატიული</w:t>
      </w:r>
      <w:r w:rsidRPr="00F8565C">
        <w:rPr>
          <w:lang w:val="ka-GE"/>
        </w:rPr>
        <w:t xml:space="preserve"> </w:t>
      </w:r>
      <w:r w:rsidRPr="00F8565C">
        <w:rPr>
          <w:rFonts w:ascii="Sylfaen" w:hAnsi="Sylfaen" w:cs="Sylfaen"/>
          <w:lang w:val="ka-GE"/>
        </w:rPr>
        <w:t>ტრასების</w:t>
      </w:r>
      <w:r w:rsidRPr="00F8565C">
        <w:rPr>
          <w:lang w:val="ka-GE"/>
        </w:rPr>
        <w:t xml:space="preserve"> </w:t>
      </w:r>
      <w:r w:rsidRPr="00F8565C">
        <w:rPr>
          <w:rFonts w:ascii="Sylfaen" w:hAnsi="Sylfaen" w:cs="Sylfaen"/>
          <w:lang w:val="ka-GE"/>
        </w:rPr>
        <w:t>დამუშავებისას</w:t>
      </w:r>
      <w:r w:rsidRPr="00F8565C">
        <w:rPr>
          <w:lang w:val="ka-GE"/>
        </w:rPr>
        <w:t xml:space="preserve"> </w:t>
      </w:r>
      <w:r w:rsidRPr="00F8565C">
        <w:rPr>
          <w:rFonts w:ascii="Sylfaen" w:hAnsi="Sylfaen" w:cs="Sylfaen"/>
          <w:lang w:val="ka-GE"/>
        </w:rPr>
        <w:t>უზრუნველყოფილი</w:t>
      </w:r>
      <w:r w:rsidRPr="00F8565C">
        <w:rPr>
          <w:lang w:val="ka-GE"/>
        </w:rPr>
        <w:t xml:space="preserve"> </w:t>
      </w:r>
      <w:r w:rsidRPr="00F8565C">
        <w:rPr>
          <w:rFonts w:ascii="Sylfaen" w:hAnsi="Sylfaen" w:cs="Sylfaen"/>
          <w:lang w:val="ka-GE"/>
        </w:rPr>
        <w:t>იყო</w:t>
      </w:r>
      <w:r w:rsidRPr="00F8565C">
        <w:rPr>
          <w:lang w:val="ka-GE"/>
        </w:rPr>
        <w:t xml:space="preserve"> </w:t>
      </w:r>
      <w:r w:rsidRPr="00F8565C">
        <w:rPr>
          <w:rFonts w:ascii="Sylfaen" w:hAnsi="Sylfaen" w:cs="Sylfaen"/>
          <w:lang w:val="ka-GE"/>
        </w:rPr>
        <w:t>გზის</w:t>
      </w:r>
      <w:r w:rsidRPr="00F8565C">
        <w:rPr>
          <w:lang w:val="ka-GE"/>
        </w:rPr>
        <w:t xml:space="preserve"> </w:t>
      </w:r>
      <w:r w:rsidRPr="00F8565C">
        <w:rPr>
          <w:rFonts w:ascii="Sylfaen" w:hAnsi="Sylfaen" w:cs="Sylfaen"/>
          <w:lang w:val="ka-GE"/>
        </w:rPr>
        <w:t>გეომეტრიული</w:t>
      </w:r>
      <w:r w:rsidRPr="00F8565C">
        <w:rPr>
          <w:lang w:val="ka-GE"/>
        </w:rPr>
        <w:t xml:space="preserve"> </w:t>
      </w:r>
      <w:r w:rsidRPr="00F8565C">
        <w:rPr>
          <w:rFonts w:ascii="Sylfaen" w:hAnsi="Sylfaen" w:cs="Sylfaen"/>
          <w:lang w:val="ka-GE"/>
        </w:rPr>
        <w:t>ელემენტების</w:t>
      </w:r>
      <w:r w:rsidRPr="00F8565C">
        <w:rPr>
          <w:lang w:val="ka-GE"/>
        </w:rPr>
        <w:t xml:space="preserve"> </w:t>
      </w:r>
      <w:r w:rsidRPr="00F8565C">
        <w:rPr>
          <w:rFonts w:ascii="Sylfaen" w:hAnsi="Sylfaen" w:cs="Sylfaen"/>
          <w:lang w:val="ka-GE"/>
        </w:rPr>
        <w:t>სასურველი</w:t>
      </w:r>
      <w:r w:rsidRPr="00F8565C">
        <w:rPr>
          <w:lang w:val="ka-GE"/>
        </w:rPr>
        <w:t xml:space="preserve"> </w:t>
      </w:r>
      <w:r w:rsidRPr="00F8565C">
        <w:rPr>
          <w:rFonts w:ascii="Sylfaen" w:hAnsi="Sylfaen" w:cs="Sylfaen"/>
          <w:lang w:val="ka-GE"/>
        </w:rPr>
        <w:t>სიდიდეების</w:t>
      </w:r>
      <w:r w:rsidRPr="00F8565C">
        <w:rPr>
          <w:lang w:val="ka-GE"/>
        </w:rPr>
        <w:t xml:space="preserve"> </w:t>
      </w:r>
      <w:r w:rsidRPr="00F8565C">
        <w:rPr>
          <w:rFonts w:ascii="Sylfaen" w:hAnsi="Sylfaen" w:cs="Sylfaen"/>
          <w:lang w:val="ka-GE"/>
        </w:rPr>
        <w:t>დაცვა</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შესაბამისად</w:t>
      </w:r>
      <w:r w:rsidRPr="00F8565C">
        <w:rPr>
          <w:lang w:val="ka-GE"/>
        </w:rPr>
        <w:t xml:space="preserve">, </w:t>
      </w:r>
      <w:r w:rsidRPr="00F8565C">
        <w:rPr>
          <w:rFonts w:ascii="Sylfaen" w:hAnsi="Sylfaen" w:cs="Sylfaen"/>
          <w:lang w:val="ka-GE"/>
        </w:rPr>
        <w:t>ნორმატივებიდან</w:t>
      </w:r>
      <w:r w:rsidRPr="00F8565C">
        <w:rPr>
          <w:lang w:val="ka-GE"/>
        </w:rPr>
        <w:t xml:space="preserve"> </w:t>
      </w:r>
      <w:r w:rsidRPr="00F8565C">
        <w:rPr>
          <w:rFonts w:ascii="Sylfaen" w:hAnsi="Sylfaen" w:cs="Sylfaen"/>
          <w:lang w:val="ka-GE"/>
        </w:rPr>
        <w:t>გადახვევა</w:t>
      </w:r>
      <w:r w:rsidRPr="00F8565C">
        <w:rPr>
          <w:lang w:val="ka-GE"/>
        </w:rPr>
        <w:t xml:space="preserve"> </w:t>
      </w:r>
      <w:r w:rsidRPr="00F8565C">
        <w:rPr>
          <w:rFonts w:ascii="Sylfaen" w:hAnsi="Sylfaen" w:cs="Sylfaen"/>
          <w:lang w:val="ka-GE"/>
        </w:rPr>
        <w:t>საჭირო</w:t>
      </w:r>
      <w:r w:rsidRPr="00F8565C">
        <w:rPr>
          <w:lang w:val="ka-GE"/>
        </w:rPr>
        <w:t xml:space="preserve"> </w:t>
      </w:r>
      <w:r w:rsidRPr="00F8565C">
        <w:rPr>
          <w:rFonts w:ascii="Sylfaen" w:hAnsi="Sylfaen" w:cs="Sylfaen"/>
          <w:lang w:val="ka-GE"/>
        </w:rPr>
        <w:t>არ</w:t>
      </w:r>
      <w:r w:rsidRPr="00F8565C">
        <w:rPr>
          <w:lang w:val="ka-GE"/>
        </w:rPr>
        <w:t xml:space="preserve"> </w:t>
      </w:r>
      <w:r w:rsidRPr="00F8565C">
        <w:rPr>
          <w:rFonts w:ascii="Sylfaen" w:hAnsi="Sylfaen" w:cs="Sylfaen"/>
          <w:lang w:val="ka-GE"/>
        </w:rPr>
        <w:t>აღმოჩნდა</w:t>
      </w:r>
      <w:r w:rsidRPr="00F8565C">
        <w:rPr>
          <w:lang w:val="ka-GE"/>
        </w:rPr>
        <w:t>.</w:t>
      </w:r>
    </w:p>
    <w:p w14:paraId="35A59687" w14:textId="2823C716" w:rsidR="00F8565C" w:rsidRDefault="00F8565C" w:rsidP="00F8565C">
      <w:pPr>
        <w:spacing w:before="120" w:after="120"/>
        <w:rPr>
          <w:rFonts w:ascii="Sylfaen" w:hAnsi="Sylfaen"/>
          <w:lang w:val="ka-GE"/>
        </w:rPr>
      </w:pPr>
    </w:p>
    <w:p w14:paraId="7F995554" w14:textId="16A0E2F6" w:rsidR="00F8565C" w:rsidRDefault="00F8565C" w:rsidP="00F8565C">
      <w:pPr>
        <w:pStyle w:val="EIAheading2"/>
        <w:rPr>
          <w:rFonts w:ascii="Sylfaen" w:hAnsi="Sylfaen"/>
          <w:lang w:val="ka-GE"/>
        </w:rPr>
      </w:pPr>
      <w:bookmarkStart w:id="55" w:name="_Toc1581496"/>
      <w:r>
        <w:rPr>
          <w:rFonts w:ascii="Sylfaen" w:hAnsi="Sylfaen"/>
          <w:lang w:val="ka-GE"/>
        </w:rPr>
        <w:t>4.6 არსებული საავტომობილო გზების ქსელი</w:t>
      </w:r>
      <w:bookmarkEnd w:id="55"/>
    </w:p>
    <w:p w14:paraId="352FC3DF" w14:textId="68E14104" w:rsidR="00F8565C" w:rsidRDefault="00F8565C" w:rsidP="00F8565C">
      <w:pPr>
        <w:spacing w:before="120" w:after="120"/>
        <w:rPr>
          <w:rFonts w:ascii="Sylfaen" w:hAnsi="Sylfaen"/>
          <w:lang w:val="ka-GE"/>
        </w:rPr>
      </w:pPr>
      <w:r>
        <w:rPr>
          <w:rFonts w:ascii="Sylfaen" w:hAnsi="Sylfaen"/>
          <w:lang w:val="ka-GE"/>
        </w:rPr>
        <w:t>მომდევნო ცხრილში 4</w:t>
      </w:r>
      <w:r w:rsidR="00142B71">
        <w:rPr>
          <w:rFonts w:ascii="Sylfaen" w:hAnsi="Sylfaen"/>
          <w:lang w:val="ka-GE"/>
        </w:rPr>
        <w:t>.6</w:t>
      </w:r>
      <w:r>
        <w:rPr>
          <w:rFonts w:ascii="Sylfaen" w:hAnsi="Sylfaen"/>
          <w:lang w:val="ka-GE"/>
        </w:rPr>
        <w:t>-</w:t>
      </w:r>
      <w:r w:rsidR="00142B71">
        <w:rPr>
          <w:rFonts w:ascii="Sylfaen" w:hAnsi="Sylfaen"/>
          <w:lang w:val="ka-GE"/>
        </w:rPr>
        <w:t>1</w:t>
      </w:r>
      <w:r>
        <w:rPr>
          <w:rFonts w:ascii="Sylfaen" w:hAnsi="Sylfaen"/>
          <w:lang w:val="ka-GE"/>
        </w:rPr>
        <w:t xml:space="preserve"> მოცემული არსებული საგზაო ქსელის მონაცემები</w:t>
      </w:r>
    </w:p>
    <w:p w14:paraId="22C643BA" w14:textId="433DBFF0" w:rsidR="00F8565C" w:rsidRPr="003D733D" w:rsidRDefault="00F8565C" w:rsidP="00F8565C">
      <w:pPr>
        <w:spacing w:before="120" w:after="120"/>
      </w:pPr>
      <w:r w:rsidRPr="003D733D">
        <w:rPr>
          <w:rFonts w:ascii="Sylfaen" w:hAnsi="Sylfaen" w:cs="Sylfaen"/>
        </w:rPr>
        <w:t>ცხრილი</w:t>
      </w:r>
      <w:r>
        <w:t xml:space="preserve"> 4</w:t>
      </w:r>
      <w:r w:rsidR="00142B71">
        <w:rPr>
          <w:rFonts w:ascii="Sylfaen" w:hAnsi="Sylfaen"/>
          <w:lang w:val="ka-GE"/>
        </w:rPr>
        <w:t>.6</w:t>
      </w:r>
      <w:r>
        <w:t>-</w:t>
      </w:r>
      <w:r w:rsidR="00142B71">
        <w:rPr>
          <w:rFonts w:ascii="Sylfaen" w:hAnsi="Sylfaen"/>
          <w:lang w:val="ka-GE"/>
        </w:rPr>
        <w:t>1</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ქსელი</w:t>
      </w:r>
      <w:r w:rsidRPr="003D733D">
        <w:t xml:space="preserve"> </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06"/>
        <w:gridCol w:w="2906"/>
        <w:gridCol w:w="1134"/>
        <w:gridCol w:w="1843"/>
      </w:tblGrid>
      <w:tr w:rsidR="00F8565C" w:rsidRPr="003D733D" w14:paraId="1F2D860E" w14:textId="77777777" w:rsidTr="00F8565C">
        <w:trPr>
          <w:tblHeader/>
        </w:trPr>
        <w:tc>
          <w:tcPr>
            <w:tcW w:w="56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B20F61C" w14:textId="77777777" w:rsidR="00F8565C" w:rsidRPr="003D733D" w:rsidRDefault="00F8565C" w:rsidP="00F8565C">
            <w:r w:rsidRPr="003D733D">
              <w:t>#</w:t>
            </w:r>
          </w:p>
        </w:tc>
        <w:tc>
          <w:tcPr>
            <w:tcW w:w="290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A8E6B36" w14:textId="77777777" w:rsidR="00F8565C" w:rsidRPr="003D733D" w:rsidRDefault="00F8565C" w:rsidP="00F8565C">
            <w:r w:rsidRPr="003D733D">
              <w:rPr>
                <w:rFonts w:ascii="Sylfaen" w:hAnsi="Sylfaen" w:cs="Sylfaen"/>
              </w:rPr>
              <w:t>მონაკვეთის</w:t>
            </w:r>
            <w:r w:rsidRPr="003D733D">
              <w:t xml:space="preserve"> </w:t>
            </w:r>
            <w:r w:rsidRPr="003D733D">
              <w:rPr>
                <w:rFonts w:ascii="Sylfaen" w:hAnsi="Sylfaen" w:cs="Sylfaen"/>
              </w:rPr>
              <w:t>დასაწყისი</w:t>
            </w:r>
          </w:p>
        </w:tc>
        <w:tc>
          <w:tcPr>
            <w:tcW w:w="290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4B3C4B2" w14:textId="77777777" w:rsidR="00F8565C" w:rsidRPr="003D733D" w:rsidRDefault="00F8565C" w:rsidP="00F8565C">
            <w:r w:rsidRPr="003D733D">
              <w:rPr>
                <w:rFonts w:ascii="Sylfaen" w:hAnsi="Sylfaen" w:cs="Sylfaen"/>
              </w:rPr>
              <w:t>მონაკვეთის</w:t>
            </w:r>
            <w:r w:rsidRPr="003D733D">
              <w:t xml:space="preserve"> </w:t>
            </w:r>
            <w:r w:rsidRPr="003D733D">
              <w:rPr>
                <w:rFonts w:ascii="Sylfaen" w:hAnsi="Sylfaen" w:cs="Sylfaen"/>
              </w:rPr>
              <w:t>დასასრული</w:t>
            </w:r>
            <w:r w:rsidRPr="003D733D">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F8D9E7A" w14:textId="77777777" w:rsidR="00F8565C" w:rsidRPr="003D733D" w:rsidRDefault="00F8565C" w:rsidP="00F8565C">
            <w:r w:rsidRPr="003D733D">
              <w:rPr>
                <w:rFonts w:ascii="Sylfaen" w:hAnsi="Sylfaen" w:cs="Sylfaen"/>
              </w:rPr>
              <w:t>კატეგორია</w:t>
            </w:r>
          </w:p>
        </w:tc>
        <w:tc>
          <w:tcPr>
            <w:tcW w:w="184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705A8E8" w14:textId="77777777" w:rsidR="00F8565C" w:rsidRPr="003D733D" w:rsidRDefault="00F8565C" w:rsidP="00F8565C">
            <w:r w:rsidRPr="003D733D">
              <w:rPr>
                <w:rFonts w:ascii="Sylfaen" w:hAnsi="Sylfaen" w:cs="Sylfaen"/>
              </w:rPr>
              <w:t>სიგრძე</w:t>
            </w:r>
            <w:r w:rsidRPr="003D733D">
              <w:br/>
              <w:t xml:space="preserve"> (</w:t>
            </w:r>
            <w:r w:rsidRPr="003D733D">
              <w:rPr>
                <w:rFonts w:ascii="Sylfaen" w:hAnsi="Sylfaen" w:cs="Sylfaen"/>
              </w:rPr>
              <w:t>კმ</w:t>
            </w:r>
            <w:r w:rsidRPr="003D733D">
              <w:t>))</w:t>
            </w:r>
          </w:p>
        </w:tc>
      </w:tr>
      <w:tr w:rsidR="00F8565C" w:rsidRPr="003D733D" w14:paraId="09AE0F0A" w14:textId="77777777" w:rsidTr="00F8565C">
        <w:tc>
          <w:tcPr>
            <w:tcW w:w="567" w:type="dxa"/>
            <w:tcBorders>
              <w:top w:val="single" w:sz="4" w:space="0" w:color="auto"/>
              <w:left w:val="single" w:sz="4" w:space="0" w:color="auto"/>
              <w:bottom w:val="single" w:sz="4" w:space="0" w:color="auto"/>
              <w:right w:val="single" w:sz="4" w:space="0" w:color="auto"/>
            </w:tcBorders>
            <w:vAlign w:val="center"/>
            <w:hideMark/>
          </w:tcPr>
          <w:p w14:paraId="307C7C49" w14:textId="77777777" w:rsidR="00F8565C" w:rsidRPr="003D733D" w:rsidRDefault="00F8565C" w:rsidP="00F8565C">
            <w:r w:rsidRPr="003D733D">
              <w:t>1</w:t>
            </w:r>
          </w:p>
        </w:tc>
        <w:tc>
          <w:tcPr>
            <w:tcW w:w="2906" w:type="dxa"/>
            <w:tcBorders>
              <w:top w:val="single" w:sz="4" w:space="0" w:color="auto"/>
              <w:left w:val="single" w:sz="4" w:space="0" w:color="auto"/>
              <w:bottom w:val="single" w:sz="4" w:space="0" w:color="auto"/>
              <w:right w:val="single" w:sz="4" w:space="0" w:color="auto"/>
            </w:tcBorders>
            <w:vAlign w:val="center"/>
            <w:hideMark/>
          </w:tcPr>
          <w:p w14:paraId="32B8D503" w14:textId="77777777" w:rsidR="00F8565C" w:rsidRPr="003D733D" w:rsidRDefault="00F8565C" w:rsidP="00F8565C">
            <w:pPr>
              <w:rPr>
                <w:lang w:val="ka-GE"/>
              </w:rPr>
            </w:pPr>
            <w:r w:rsidRPr="003D733D">
              <w:rPr>
                <w:rFonts w:ascii="Sylfaen" w:hAnsi="Sylfaen" w:cs="Sylfaen"/>
              </w:rPr>
              <w:t>თელავი</w:t>
            </w:r>
          </w:p>
        </w:tc>
        <w:tc>
          <w:tcPr>
            <w:tcW w:w="2906" w:type="dxa"/>
            <w:tcBorders>
              <w:top w:val="single" w:sz="4" w:space="0" w:color="auto"/>
              <w:left w:val="single" w:sz="4" w:space="0" w:color="auto"/>
              <w:bottom w:val="single" w:sz="4" w:space="0" w:color="auto"/>
              <w:right w:val="single" w:sz="4" w:space="0" w:color="auto"/>
            </w:tcBorders>
            <w:vAlign w:val="center"/>
            <w:hideMark/>
          </w:tcPr>
          <w:p w14:paraId="77D09B6B" w14:textId="77777777" w:rsidR="00F8565C" w:rsidRPr="003D733D" w:rsidRDefault="00F8565C" w:rsidP="00F8565C">
            <w:r w:rsidRPr="003D733D">
              <w:rPr>
                <w:rFonts w:ascii="Sylfaen" w:hAnsi="Sylfaen" w:cs="Sylfaen"/>
              </w:rPr>
              <w:t>აკურა</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E75514" w14:textId="77777777" w:rsidR="00F8565C" w:rsidRPr="003D733D" w:rsidRDefault="00F8565C" w:rsidP="00F8565C">
            <w:r w:rsidRPr="003D733D">
              <w:t>S2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DB7A7D2" w14:textId="77777777" w:rsidR="00F8565C" w:rsidRPr="003D733D" w:rsidRDefault="00F8565C" w:rsidP="00F8565C">
            <w:r w:rsidRPr="003D733D">
              <w:t>17.59</w:t>
            </w:r>
          </w:p>
        </w:tc>
      </w:tr>
      <w:tr w:rsidR="00F8565C" w:rsidRPr="003D733D" w14:paraId="49651B9A" w14:textId="77777777" w:rsidTr="00F8565C">
        <w:tc>
          <w:tcPr>
            <w:tcW w:w="567" w:type="dxa"/>
            <w:tcBorders>
              <w:top w:val="single" w:sz="4" w:space="0" w:color="auto"/>
              <w:left w:val="single" w:sz="4" w:space="0" w:color="auto"/>
              <w:bottom w:val="single" w:sz="4" w:space="0" w:color="auto"/>
              <w:right w:val="single" w:sz="4" w:space="0" w:color="auto"/>
            </w:tcBorders>
            <w:vAlign w:val="center"/>
            <w:hideMark/>
          </w:tcPr>
          <w:p w14:paraId="7583ADE6" w14:textId="77777777" w:rsidR="00F8565C" w:rsidRPr="003D733D" w:rsidRDefault="00F8565C" w:rsidP="00F8565C">
            <w:r w:rsidRPr="003D733D">
              <w:t>2</w:t>
            </w:r>
          </w:p>
        </w:tc>
        <w:tc>
          <w:tcPr>
            <w:tcW w:w="2906" w:type="dxa"/>
            <w:tcBorders>
              <w:top w:val="single" w:sz="4" w:space="0" w:color="auto"/>
              <w:left w:val="single" w:sz="4" w:space="0" w:color="auto"/>
              <w:bottom w:val="single" w:sz="4" w:space="0" w:color="auto"/>
              <w:right w:val="single" w:sz="4" w:space="0" w:color="auto"/>
            </w:tcBorders>
            <w:vAlign w:val="center"/>
            <w:hideMark/>
          </w:tcPr>
          <w:p w14:paraId="57B34465" w14:textId="77777777" w:rsidR="00F8565C" w:rsidRPr="003D733D" w:rsidRDefault="00F8565C" w:rsidP="00F8565C">
            <w:pPr>
              <w:rPr>
                <w:lang w:val="ka-GE"/>
              </w:rPr>
            </w:pPr>
            <w:r w:rsidRPr="003D733D">
              <w:rPr>
                <w:rFonts w:ascii="Sylfaen" w:hAnsi="Sylfaen" w:cs="Sylfaen"/>
              </w:rPr>
              <w:t>აკურა</w:t>
            </w:r>
          </w:p>
        </w:tc>
        <w:tc>
          <w:tcPr>
            <w:tcW w:w="2906" w:type="dxa"/>
            <w:tcBorders>
              <w:top w:val="single" w:sz="4" w:space="0" w:color="auto"/>
              <w:left w:val="single" w:sz="4" w:space="0" w:color="auto"/>
              <w:bottom w:val="single" w:sz="4" w:space="0" w:color="auto"/>
              <w:right w:val="single" w:sz="4" w:space="0" w:color="auto"/>
            </w:tcBorders>
            <w:vAlign w:val="center"/>
            <w:hideMark/>
          </w:tcPr>
          <w:p w14:paraId="1353A9A4" w14:textId="77777777" w:rsidR="00F8565C" w:rsidRPr="003D733D" w:rsidRDefault="00F8565C" w:rsidP="00F8565C">
            <w:r w:rsidRPr="003D733D">
              <w:rPr>
                <w:rFonts w:ascii="Sylfaen" w:hAnsi="Sylfaen" w:cs="Sylfaen"/>
              </w:rPr>
              <w:t>ველისციხის</w:t>
            </w:r>
            <w:r w:rsidRPr="003D733D">
              <w:t xml:space="preserve"> </w:t>
            </w:r>
            <w:r w:rsidRPr="003D733D">
              <w:rPr>
                <w:rFonts w:ascii="Sylfaen" w:hAnsi="Sylfaen" w:cs="Sylfaen"/>
              </w:rPr>
              <w:t>გადასახვევი</w:t>
            </w:r>
            <w:r w:rsidRPr="003D733D">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0B9FAEFB" w14:textId="77777777" w:rsidR="00F8565C" w:rsidRPr="003D733D" w:rsidRDefault="00F8565C" w:rsidP="00F8565C">
            <w:r w:rsidRPr="003D733D">
              <w:t>S2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80881B8" w14:textId="77777777" w:rsidR="00F8565C" w:rsidRPr="003D733D" w:rsidRDefault="00F8565C" w:rsidP="00F8565C">
            <w:r w:rsidRPr="003D733D">
              <w:t>12.22</w:t>
            </w:r>
          </w:p>
        </w:tc>
      </w:tr>
      <w:tr w:rsidR="00F8565C" w:rsidRPr="003D733D" w14:paraId="2FA6CB58" w14:textId="77777777" w:rsidTr="00F8565C">
        <w:tc>
          <w:tcPr>
            <w:tcW w:w="567" w:type="dxa"/>
            <w:tcBorders>
              <w:top w:val="single" w:sz="4" w:space="0" w:color="auto"/>
              <w:left w:val="single" w:sz="4" w:space="0" w:color="auto"/>
              <w:bottom w:val="single" w:sz="4" w:space="0" w:color="auto"/>
              <w:right w:val="single" w:sz="4" w:space="0" w:color="auto"/>
            </w:tcBorders>
            <w:vAlign w:val="center"/>
            <w:hideMark/>
          </w:tcPr>
          <w:p w14:paraId="46E0BFC8" w14:textId="77777777" w:rsidR="00F8565C" w:rsidRPr="003D733D" w:rsidRDefault="00F8565C" w:rsidP="00F8565C">
            <w:r w:rsidRPr="003D733D">
              <w:t>3</w:t>
            </w:r>
          </w:p>
        </w:tc>
        <w:tc>
          <w:tcPr>
            <w:tcW w:w="2906" w:type="dxa"/>
            <w:tcBorders>
              <w:top w:val="single" w:sz="4" w:space="0" w:color="auto"/>
              <w:left w:val="single" w:sz="4" w:space="0" w:color="auto"/>
              <w:bottom w:val="single" w:sz="4" w:space="0" w:color="auto"/>
              <w:right w:val="single" w:sz="4" w:space="0" w:color="auto"/>
            </w:tcBorders>
            <w:vAlign w:val="center"/>
            <w:hideMark/>
          </w:tcPr>
          <w:p w14:paraId="372A3785" w14:textId="77777777" w:rsidR="00F8565C" w:rsidRPr="003D733D" w:rsidRDefault="00F8565C" w:rsidP="00F8565C">
            <w:r w:rsidRPr="003D733D">
              <w:rPr>
                <w:rFonts w:ascii="Sylfaen" w:hAnsi="Sylfaen" w:cs="Sylfaen"/>
              </w:rPr>
              <w:t>ველისციხის</w:t>
            </w:r>
            <w:r w:rsidRPr="003D733D">
              <w:t xml:space="preserve"> </w:t>
            </w:r>
            <w:r w:rsidRPr="003D733D">
              <w:rPr>
                <w:rFonts w:ascii="Sylfaen" w:hAnsi="Sylfaen" w:cs="Sylfaen"/>
              </w:rPr>
              <w:t>გადასახვევი</w:t>
            </w:r>
          </w:p>
        </w:tc>
        <w:tc>
          <w:tcPr>
            <w:tcW w:w="2906" w:type="dxa"/>
            <w:tcBorders>
              <w:top w:val="single" w:sz="4" w:space="0" w:color="auto"/>
              <w:left w:val="single" w:sz="4" w:space="0" w:color="auto"/>
              <w:bottom w:val="single" w:sz="4" w:space="0" w:color="auto"/>
              <w:right w:val="single" w:sz="4" w:space="0" w:color="auto"/>
            </w:tcBorders>
            <w:vAlign w:val="center"/>
            <w:hideMark/>
          </w:tcPr>
          <w:p w14:paraId="69A0B751" w14:textId="77777777" w:rsidR="00F8565C" w:rsidRPr="003D733D" w:rsidRDefault="00F8565C" w:rsidP="00F8565C">
            <w:r w:rsidRPr="003D733D">
              <w:rPr>
                <w:rFonts w:ascii="Sylfaen" w:hAnsi="Sylfaen" w:cs="Sylfaen"/>
              </w:rPr>
              <w:t>ჩუმლაყი</w:t>
            </w:r>
          </w:p>
        </w:tc>
        <w:tc>
          <w:tcPr>
            <w:tcW w:w="1134" w:type="dxa"/>
            <w:tcBorders>
              <w:top w:val="single" w:sz="4" w:space="0" w:color="auto"/>
              <w:left w:val="single" w:sz="4" w:space="0" w:color="auto"/>
              <w:bottom w:val="single" w:sz="4" w:space="0" w:color="auto"/>
              <w:right w:val="single" w:sz="4" w:space="0" w:color="auto"/>
            </w:tcBorders>
            <w:hideMark/>
          </w:tcPr>
          <w:p w14:paraId="55A57BA3" w14:textId="77777777" w:rsidR="00F8565C" w:rsidRPr="003D733D" w:rsidRDefault="00F8565C" w:rsidP="00F8565C">
            <w:r w:rsidRPr="003D733D">
              <w:t>S2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884F48E" w14:textId="77777777" w:rsidR="00F8565C" w:rsidRPr="003D733D" w:rsidRDefault="00F8565C" w:rsidP="00F8565C">
            <w:r w:rsidRPr="003D733D">
              <w:t>4.67</w:t>
            </w:r>
          </w:p>
        </w:tc>
      </w:tr>
      <w:tr w:rsidR="00F8565C" w:rsidRPr="003D733D" w14:paraId="3C8D2C18" w14:textId="77777777" w:rsidTr="00F8565C">
        <w:tc>
          <w:tcPr>
            <w:tcW w:w="567" w:type="dxa"/>
            <w:tcBorders>
              <w:top w:val="single" w:sz="4" w:space="0" w:color="auto"/>
              <w:left w:val="single" w:sz="4" w:space="0" w:color="auto"/>
              <w:bottom w:val="single" w:sz="4" w:space="0" w:color="auto"/>
              <w:right w:val="single" w:sz="4" w:space="0" w:color="auto"/>
            </w:tcBorders>
            <w:vAlign w:val="center"/>
            <w:hideMark/>
          </w:tcPr>
          <w:p w14:paraId="2CD3CE0E" w14:textId="77777777" w:rsidR="00F8565C" w:rsidRPr="003D733D" w:rsidRDefault="00F8565C" w:rsidP="00F8565C">
            <w:r w:rsidRPr="003D733D">
              <w:t>4</w:t>
            </w:r>
          </w:p>
        </w:tc>
        <w:tc>
          <w:tcPr>
            <w:tcW w:w="2906" w:type="dxa"/>
            <w:tcBorders>
              <w:top w:val="single" w:sz="4" w:space="0" w:color="auto"/>
              <w:left w:val="single" w:sz="4" w:space="0" w:color="auto"/>
              <w:bottom w:val="single" w:sz="4" w:space="0" w:color="auto"/>
              <w:right w:val="single" w:sz="4" w:space="0" w:color="auto"/>
            </w:tcBorders>
            <w:vAlign w:val="center"/>
            <w:hideMark/>
          </w:tcPr>
          <w:p w14:paraId="5494B5D1" w14:textId="77777777" w:rsidR="00F8565C" w:rsidRPr="003D733D" w:rsidRDefault="00F8565C" w:rsidP="00F8565C">
            <w:r w:rsidRPr="003D733D">
              <w:rPr>
                <w:rFonts w:ascii="Sylfaen" w:hAnsi="Sylfaen" w:cs="Sylfaen"/>
              </w:rPr>
              <w:t>ჩუმლაყი</w:t>
            </w:r>
          </w:p>
        </w:tc>
        <w:tc>
          <w:tcPr>
            <w:tcW w:w="2906" w:type="dxa"/>
            <w:tcBorders>
              <w:top w:val="single" w:sz="4" w:space="0" w:color="auto"/>
              <w:left w:val="single" w:sz="4" w:space="0" w:color="auto"/>
              <w:bottom w:val="single" w:sz="4" w:space="0" w:color="auto"/>
              <w:right w:val="single" w:sz="4" w:space="0" w:color="auto"/>
            </w:tcBorders>
            <w:vAlign w:val="center"/>
            <w:hideMark/>
          </w:tcPr>
          <w:p w14:paraId="680FFEBF" w14:textId="77777777" w:rsidR="00F8565C" w:rsidRPr="003D733D" w:rsidRDefault="00F8565C" w:rsidP="00F8565C">
            <w:r w:rsidRPr="003D733D">
              <w:rPr>
                <w:rFonts w:ascii="Sylfaen" w:hAnsi="Sylfaen" w:cs="Sylfaen"/>
              </w:rPr>
              <w:t>გურჯაანი</w:t>
            </w:r>
          </w:p>
        </w:tc>
        <w:tc>
          <w:tcPr>
            <w:tcW w:w="1134" w:type="dxa"/>
            <w:tcBorders>
              <w:top w:val="single" w:sz="4" w:space="0" w:color="auto"/>
              <w:left w:val="single" w:sz="4" w:space="0" w:color="auto"/>
              <w:bottom w:val="single" w:sz="4" w:space="0" w:color="auto"/>
              <w:right w:val="single" w:sz="4" w:space="0" w:color="auto"/>
            </w:tcBorders>
            <w:hideMark/>
          </w:tcPr>
          <w:p w14:paraId="48ACCDD6" w14:textId="77777777" w:rsidR="00F8565C" w:rsidRPr="003D733D" w:rsidRDefault="00F8565C" w:rsidP="00F8565C">
            <w:r w:rsidRPr="003D733D">
              <w:t>S2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8616C86" w14:textId="77777777" w:rsidR="00F8565C" w:rsidRPr="003D733D" w:rsidRDefault="00F8565C" w:rsidP="00F8565C">
            <w:r w:rsidRPr="003D733D">
              <w:t>5.07</w:t>
            </w:r>
          </w:p>
        </w:tc>
      </w:tr>
      <w:tr w:rsidR="00F8565C" w:rsidRPr="003D733D" w14:paraId="623B6C5E" w14:textId="77777777" w:rsidTr="00F8565C">
        <w:tc>
          <w:tcPr>
            <w:tcW w:w="567" w:type="dxa"/>
            <w:tcBorders>
              <w:top w:val="single" w:sz="4" w:space="0" w:color="auto"/>
              <w:left w:val="single" w:sz="4" w:space="0" w:color="auto"/>
              <w:bottom w:val="single" w:sz="4" w:space="0" w:color="auto"/>
              <w:right w:val="single" w:sz="4" w:space="0" w:color="auto"/>
            </w:tcBorders>
            <w:vAlign w:val="center"/>
            <w:hideMark/>
          </w:tcPr>
          <w:p w14:paraId="0EE15F47" w14:textId="77777777" w:rsidR="00F8565C" w:rsidRPr="003D733D" w:rsidRDefault="00F8565C" w:rsidP="00F8565C">
            <w:r w:rsidRPr="003D733D">
              <w:t>5</w:t>
            </w:r>
          </w:p>
        </w:tc>
        <w:tc>
          <w:tcPr>
            <w:tcW w:w="2906" w:type="dxa"/>
            <w:tcBorders>
              <w:top w:val="single" w:sz="4" w:space="0" w:color="auto"/>
              <w:left w:val="single" w:sz="4" w:space="0" w:color="auto"/>
              <w:bottom w:val="single" w:sz="4" w:space="0" w:color="auto"/>
              <w:right w:val="single" w:sz="4" w:space="0" w:color="auto"/>
            </w:tcBorders>
            <w:vAlign w:val="center"/>
            <w:hideMark/>
          </w:tcPr>
          <w:p w14:paraId="7710D000" w14:textId="77777777" w:rsidR="00F8565C" w:rsidRPr="003D733D" w:rsidRDefault="00F8565C" w:rsidP="00F8565C">
            <w:r w:rsidRPr="003D733D">
              <w:rPr>
                <w:rFonts w:ascii="Sylfaen" w:hAnsi="Sylfaen" w:cs="Sylfaen"/>
              </w:rPr>
              <w:t>გურჯაანი</w:t>
            </w:r>
          </w:p>
        </w:tc>
        <w:tc>
          <w:tcPr>
            <w:tcW w:w="2906" w:type="dxa"/>
            <w:tcBorders>
              <w:top w:val="single" w:sz="4" w:space="0" w:color="auto"/>
              <w:left w:val="single" w:sz="4" w:space="0" w:color="auto"/>
              <w:bottom w:val="single" w:sz="4" w:space="0" w:color="auto"/>
              <w:right w:val="single" w:sz="4" w:space="0" w:color="auto"/>
            </w:tcBorders>
            <w:vAlign w:val="center"/>
            <w:hideMark/>
          </w:tcPr>
          <w:p w14:paraId="5B088C74" w14:textId="77777777" w:rsidR="00F8565C" w:rsidRPr="003D733D" w:rsidRDefault="00F8565C" w:rsidP="00F8565C">
            <w:r w:rsidRPr="003D733D">
              <w:rPr>
                <w:rFonts w:ascii="Sylfaen" w:hAnsi="Sylfaen" w:cs="Sylfaen"/>
              </w:rPr>
              <w:t>ბაკურციხე</w:t>
            </w:r>
          </w:p>
        </w:tc>
        <w:tc>
          <w:tcPr>
            <w:tcW w:w="1134" w:type="dxa"/>
            <w:tcBorders>
              <w:top w:val="single" w:sz="4" w:space="0" w:color="auto"/>
              <w:left w:val="single" w:sz="4" w:space="0" w:color="auto"/>
              <w:bottom w:val="single" w:sz="4" w:space="0" w:color="auto"/>
              <w:right w:val="single" w:sz="4" w:space="0" w:color="auto"/>
            </w:tcBorders>
            <w:hideMark/>
          </w:tcPr>
          <w:p w14:paraId="7201331A" w14:textId="77777777" w:rsidR="00F8565C" w:rsidRPr="003D733D" w:rsidRDefault="00F8565C" w:rsidP="00F8565C">
            <w:r w:rsidRPr="003D733D">
              <w:t>S2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3125B0A" w14:textId="77777777" w:rsidR="00F8565C" w:rsidRPr="003D733D" w:rsidRDefault="00F8565C" w:rsidP="00F8565C">
            <w:r w:rsidRPr="003D733D">
              <w:t>8.17</w:t>
            </w:r>
          </w:p>
        </w:tc>
      </w:tr>
      <w:tr w:rsidR="00F8565C" w:rsidRPr="003D733D" w14:paraId="3B969418" w14:textId="77777777" w:rsidTr="00F8565C">
        <w:tc>
          <w:tcPr>
            <w:tcW w:w="567" w:type="dxa"/>
            <w:tcBorders>
              <w:top w:val="single" w:sz="4" w:space="0" w:color="auto"/>
              <w:left w:val="single" w:sz="4" w:space="0" w:color="auto"/>
              <w:bottom w:val="single" w:sz="4" w:space="0" w:color="auto"/>
              <w:right w:val="single" w:sz="4" w:space="0" w:color="auto"/>
            </w:tcBorders>
            <w:vAlign w:val="center"/>
            <w:hideMark/>
          </w:tcPr>
          <w:p w14:paraId="1CB934E8" w14:textId="77777777" w:rsidR="00F8565C" w:rsidRPr="003D733D" w:rsidRDefault="00F8565C" w:rsidP="00F8565C">
            <w:r w:rsidRPr="003D733D">
              <w:t>6</w:t>
            </w:r>
          </w:p>
        </w:tc>
        <w:tc>
          <w:tcPr>
            <w:tcW w:w="2906" w:type="dxa"/>
            <w:tcBorders>
              <w:top w:val="single" w:sz="4" w:space="0" w:color="auto"/>
              <w:left w:val="single" w:sz="4" w:space="0" w:color="auto"/>
              <w:bottom w:val="single" w:sz="4" w:space="0" w:color="auto"/>
              <w:right w:val="single" w:sz="4" w:space="0" w:color="auto"/>
            </w:tcBorders>
            <w:vAlign w:val="center"/>
            <w:hideMark/>
          </w:tcPr>
          <w:p w14:paraId="082F6B32" w14:textId="77777777" w:rsidR="00F8565C" w:rsidRPr="003D733D" w:rsidRDefault="00F8565C" w:rsidP="00F8565C">
            <w:r w:rsidRPr="003D733D">
              <w:rPr>
                <w:rFonts w:ascii="Sylfaen" w:hAnsi="Sylfaen" w:cs="Sylfaen"/>
              </w:rPr>
              <w:t>ბაკურციხე</w:t>
            </w:r>
          </w:p>
        </w:tc>
        <w:tc>
          <w:tcPr>
            <w:tcW w:w="2906" w:type="dxa"/>
            <w:tcBorders>
              <w:top w:val="single" w:sz="4" w:space="0" w:color="auto"/>
              <w:left w:val="single" w:sz="4" w:space="0" w:color="auto"/>
              <w:bottom w:val="single" w:sz="4" w:space="0" w:color="auto"/>
              <w:right w:val="single" w:sz="4" w:space="0" w:color="auto"/>
            </w:tcBorders>
            <w:vAlign w:val="center"/>
            <w:hideMark/>
          </w:tcPr>
          <w:p w14:paraId="1E301882" w14:textId="77777777" w:rsidR="00F8565C" w:rsidRPr="003D733D" w:rsidRDefault="00F8565C" w:rsidP="00F8565C">
            <w:r w:rsidRPr="003D733D">
              <w:rPr>
                <w:rFonts w:ascii="Sylfaen" w:hAnsi="Sylfaen" w:cs="Sylfaen"/>
              </w:rPr>
              <w:t>წნორი</w:t>
            </w:r>
          </w:p>
        </w:tc>
        <w:tc>
          <w:tcPr>
            <w:tcW w:w="1134" w:type="dxa"/>
            <w:tcBorders>
              <w:top w:val="single" w:sz="4" w:space="0" w:color="auto"/>
              <w:left w:val="single" w:sz="4" w:space="0" w:color="auto"/>
              <w:bottom w:val="single" w:sz="4" w:space="0" w:color="auto"/>
              <w:right w:val="single" w:sz="4" w:space="0" w:color="auto"/>
            </w:tcBorders>
            <w:hideMark/>
          </w:tcPr>
          <w:p w14:paraId="362907AC" w14:textId="77777777" w:rsidR="00F8565C" w:rsidRPr="003D733D" w:rsidRDefault="00F8565C" w:rsidP="00F8565C">
            <w:r w:rsidRPr="003D733D">
              <w:t>S2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F182028" w14:textId="77777777" w:rsidR="00F8565C" w:rsidRPr="003D733D" w:rsidRDefault="00F8565C" w:rsidP="00F8565C">
            <w:r w:rsidRPr="003D733D">
              <w:t>15.91</w:t>
            </w:r>
          </w:p>
        </w:tc>
      </w:tr>
    </w:tbl>
    <w:p w14:paraId="1ABC3656" w14:textId="77777777" w:rsidR="00F8565C" w:rsidRPr="003D733D" w:rsidRDefault="00F8565C" w:rsidP="00F8565C">
      <w:r w:rsidRPr="003D733D">
        <w:rPr>
          <w:rFonts w:ascii="Sylfaen" w:hAnsi="Sylfaen" w:cs="Sylfaen"/>
        </w:rPr>
        <w:t>წყარო</w:t>
      </w:r>
      <w:r w:rsidRPr="003D733D">
        <w:t xml:space="preserve">: </w:t>
      </w:r>
      <w:r w:rsidRPr="003D733D">
        <w:rPr>
          <w:rFonts w:ascii="Sylfaen" w:hAnsi="Sylfaen" w:cs="Sylfaen"/>
        </w:rPr>
        <w:t>კონსულტანტი</w:t>
      </w:r>
    </w:p>
    <w:p w14:paraId="417D3E02" w14:textId="77777777" w:rsidR="00F8565C" w:rsidRPr="003D733D" w:rsidRDefault="00F8565C" w:rsidP="00F8565C"/>
    <w:p w14:paraId="7CC0B87A" w14:textId="0DF17815" w:rsidR="00F8565C" w:rsidRPr="003D733D" w:rsidRDefault="00F8565C" w:rsidP="00F8565C">
      <w:pPr>
        <w:pStyle w:val="EIAheading2"/>
      </w:pPr>
      <w:bookmarkStart w:id="56" w:name="_Toc529977358"/>
      <w:bookmarkStart w:id="57" w:name="_Toc494412110"/>
      <w:bookmarkStart w:id="58" w:name="_Toc494411969"/>
      <w:bookmarkStart w:id="59" w:name="_Toc494297154"/>
      <w:bookmarkStart w:id="60" w:name="_Toc359661740"/>
      <w:bookmarkStart w:id="61" w:name="_Toc1581497"/>
      <w:r w:rsidRPr="003D733D">
        <w:t>4.</w:t>
      </w:r>
      <w:r>
        <w:rPr>
          <w:lang w:val="ka-GE"/>
        </w:rPr>
        <w:t>7</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აღწერის</w:t>
      </w:r>
      <w:r w:rsidRPr="003D733D">
        <w:t xml:space="preserve"> </w:t>
      </w:r>
      <w:r w:rsidRPr="003D733D">
        <w:rPr>
          <w:rFonts w:ascii="Sylfaen" w:hAnsi="Sylfaen" w:cs="Sylfaen"/>
        </w:rPr>
        <w:t>მეთოდოლოგია</w:t>
      </w:r>
      <w:bookmarkEnd w:id="56"/>
      <w:bookmarkEnd w:id="61"/>
      <w:r w:rsidRPr="003D733D">
        <w:t xml:space="preserve"> </w:t>
      </w:r>
      <w:bookmarkEnd w:id="57"/>
      <w:bookmarkEnd w:id="58"/>
      <w:bookmarkEnd w:id="59"/>
      <w:bookmarkEnd w:id="60"/>
    </w:p>
    <w:p w14:paraId="087213CA" w14:textId="77777777" w:rsidR="00F8565C" w:rsidRPr="003D733D" w:rsidRDefault="00F8565C" w:rsidP="00F8565C">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აღსაწერად</w:t>
      </w:r>
      <w:r w:rsidRPr="003D733D">
        <w:rPr>
          <w:rFonts w:eastAsia="Calibri"/>
        </w:rPr>
        <w:t xml:space="preserve"> </w:t>
      </w:r>
      <w:r w:rsidRPr="003D733D">
        <w:rPr>
          <w:rFonts w:ascii="Sylfaen" w:eastAsia="Calibri" w:hAnsi="Sylfaen" w:cs="Sylfaen"/>
        </w:rPr>
        <w:t>გამოყენებული</w:t>
      </w:r>
      <w:r w:rsidRPr="003D733D">
        <w:rPr>
          <w:rFonts w:eastAsia="Calibri"/>
        </w:rPr>
        <w:t xml:space="preserve"> </w:t>
      </w:r>
      <w:r w:rsidRPr="003D733D">
        <w:rPr>
          <w:rFonts w:ascii="Sylfaen" w:eastAsia="Calibri" w:hAnsi="Sylfaen" w:cs="Sylfaen"/>
        </w:rPr>
        <w:t>მიდგომა</w:t>
      </w:r>
      <w:r w:rsidRPr="003D733D">
        <w:rPr>
          <w:rFonts w:eastAsia="Calibri"/>
        </w:rPr>
        <w:t xml:space="preserve"> </w:t>
      </w:r>
      <w:r w:rsidRPr="003D733D">
        <w:rPr>
          <w:rFonts w:ascii="Sylfaen" w:eastAsia="Calibri" w:hAnsi="Sylfaen" w:cs="Sylfaen"/>
        </w:rPr>
        <w:t>მოიცავს</w:t>
      </w:r>
      <w:r w:rsidRPr="003D733D">
        <w:rPr>
          <w:rFonts w:eastAsia="Calibri"/>
        </w:rPr>
        <w:t xml:space="preserve">, </w:t>
      </w:r>
      <w:r w:rsidRPr="003D733D">
        <w:rPr>
          <w:rFonts w:ascii="Sylfaen" w:eastAsia="Calibri" w:hAnsi="Sylfaen" w:cs="Sylfaen"/>
        </w:rPr>
        <w:t>საკვლევი</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ქსელის</w:t>
      </w:r>
      <w:r w:rsidRPr="003D733D">
        <w:rPr>
          <w:rFonts w:eastAsia="Calibri"/>
        </w:rPr>
        <w:t xml:space="preserve"> </w:t>
      </w:r>
      <w:r w:rsidRPr="003D733D">
        <w:rPr>
          <w:rFonts w:ascii="Sylfaen" w:eastAsia="Calibri" w:hAnsi="Sylfaen" w:cs="Sylfaen"/>
        </w:rPr>
        <w:t>იდენტიფიცირების</w:t>
      </w:r>
      <w:r w:rsidRPr="003D733D">
        <w:rPr>
          <w:rFonts w:eastAsia="Calibri"/>
        </w:rPr>
        <w:t xml:space="preserve"> </w:t>
      </w:r>
      <w:r w:rsidRPr="003D733D">
        <w:rPr>
          <w:rFonts w:ascii="Sylfaen" w:eastAsia="Calibri" w:hAnsi="Sylfaen" w:cs="Sylfaen"/>
        </w:rPr>
        <w:t>შემდეგ</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მონაკვეთებზე</w:t>
      </w:r>
      <w:r w:rsidRPr="003D733D">
        <w:rPr>
          <w:rFonts w:eastAsia="Calibri"/>
        </w:rPr>
        <w:t xml:space="preserve"> </w:t>
      </w:r>
      <w:r w:rsidRPr="003D733D">
        <w:rPr>
          <w:rFonts w:ascii="Sylfaen" w:eastAsia="Calibri" w:hAnsi="Sylfaen" w:cs="Sylfaen"/>
        </w:rPr>
        <w:t>მიმდინარე</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w:t>
      </w:r>
      <w:r w:rsidRPr="003D733D">
        <w:rPr>
          <w:rFonts w:ascii="Sylfaen" w:eastAsia="Calibri" w:hAnsi="Sylfaen" w:cs="Sylfaen"/>
        </w:rPr>
        <w:t>ხარისხის</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შემადგენლობის</w:t>
      </w:r>
      <w:r w:rsidRPr="003D733D">
        <w:rPr>
          <w:rFonts w:eastAsia="Calibri"/>
        </w:rPr>
        <w:t xml:space="preserve"> </w:t>
      </w:r>
      <w:r w:rsidRPr="003D733D">
        <w:rPr>
          <w:rFonts w:ascii="Sylfaen" w:eastAsia="Calibri" w:hAnsi="Sylfaen" w:cs="Sylfaen"/>
        </w:rPr>
        <w:t>დადასტურებას</w:t>
      </w:r>
      <w:r w:rsidRPr="003D733D">
        <w:rPr>
          <w:rFonts w:eastAsia="Calibri"/>
        </w:rPr>
        <w:t xml:space="preserve"> </w:t>
      </w: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ნაკადის</w:t>
      </w:r>
      <w:r w:rsidRPr="003D733D">
        <w:rPr>
          <w:rFonts w:eastAsia="Calibri"/>
        </w:rPr>
        <w:t xml:space="preserve"> (“</w:t>
      </w:r>
      <w:r w:rsidRPr="003D733D">
        <w:rPr>
          <w:rFonts w:ascii="Sylfaen" w:eastAsia="Calibri" w:hAnsi="Sylfaen" w:cs="Sylfaen"/>
        </w:rPr>
        <w:t>ხელის</w:t>
      </w:r>
      <w:r w:rsidRPr="003D733D">
        <w:rPr>
          <w:rFonts w:eastAsia="Calibri"/>
        </w:rPr>
        <w:t xml:space="preserve"> </w:t>
      </w:r>
      <w:r w:rsidRPr="003D733D">
        <w:rPr>
          <w:rFonts w:ascii="Sylfaen" w:eastAsia="Calibri" w:hAnsi="Sylfaen" w:cs="Sylfaen"/>
        </w:rPr>
        <w:t>რეჟიმში</w:t>
      </w:r>
      <w:r w:rsidRPr="003D733D">
        <w:rPr>
          <w:rFonts w:eastAsia="Calibri"/>
        </w:rPr>
        <w:t xml:space="preserve">”) </w:t>
      </w:r>
      <w:r w:rsidRPr="003D733D">
        <w:rPr>
          <w:rFonts w:ascii="Sylfaen" w:eastAsia="Calibri" w:hAnsi="Sylfaen" w:cs="Sylfaen"/>
        </w:rPr>
        <w:t>კლასიფიცირებული</w:t>
      </w:r>
      <w:r w:rsidRPr="003D733D">
        <w:rPr>
          <w:rFonts w:eastAsia="Calibri"/>
        </w:rPr>
        <w:t xml:space="preserve"> </w:t>
      </w:r>
      <w:r w:rsidRPr="003D733D">
        <w:rPr>
          <w:rFonts w:ascii="Sylfaen" w:eastAsia="Calibri" w:hAnsi="Sylfaen" w:cs="Sylfaen"/>
        </w:rPr>
        <w:t>დათვლების</w:t>
      </w:r>
      <w:r w:rsidRPr="003D733D">
        <w:rPr>
          <w:rFonts w:eastAsia="Calibri"/>
        </w:rPr>
        <w:t xml:space="preserve"> (MCC) </w:t>
      </w:r>
      <w:r w:rsidRPr="003D733D">
        <w:rPr>
          <w:rFonts w:ascii="Sylfaen" w:eastAsia="Calibri" w:hAnsi="Sylfaen" w:cs="Sylfaen"/>
        </w:rPr>
        <w:t>ჩატარების</w:t>
      </w:r>
      <w:r w:rsidRPr="003D733D">
        <w:rPr>
          <w:rFonts w:eastAsia="Calibri"/>
        </w:rPr>
        <w:t xml:space="preserve"> </w:t>
      </w:r>
      <w:r w:rsidRPr="003D733D">
        <w:rPr>
          <w:rFonts w:ascii="Sylfaen" w:eastAsia="Calibri" w:hAnsi="Sylfaen" w:cs="Sylfaen"/>
        </w:rPr>
        <w:t>საშუალებით</w:t>
      </w:r>
      <w:r w:rsidRPr="003D733D">
        <w:rPr>
          <w:rFonts w:eastAsia="Calibri"/>
        </w:rPr>
        <w:t>.</w:t>
      </w:r>
    </w:p>
    <w:p w14:paraId="1B6DDC6A" w14:textId="77777777" w:rsidR="00F8565C" w:rsidRPr="003D733D" w:rsidRDefault="00F8565C" w:rsidP="00F8565C">
      <w:pPr>
        <w:rPr>
          <w:rFonts w:eastAsia="Calibri"/>
        </w:rPr>
      </w:pP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ნაკადის</w:t>
      </w:r>
      <w:r w:rsidRPr="003D733D">
        <w:rPr>
          <w:rFonts w:eastAsia="Calibri"/>
        </w:rPr>
        <w:t xml:space="preserve"> </w:t>
      </w:r>
      <w:r w:rsidRPr="003D733D">
        <w:rPr>
          <w:rFonts w:ascii="Sylfaen" w:eastAsia="Calibri" w:hAnsi="Sylfaen" w:cs="Sylfaen"/>
        </w:rPr>
        <w:t>დათვლებთან</w:t>
      </w:r>
      <w:r w:rsidRPr="003D733D">
        <w:rPr>
          <w:rFonts w:eastAsia="Calibri"/>
        </w:rPr>
        <w:t xml:space="preserve"> </w:t>
      </w:r>
      <w:r w:rsidRPr="003D733D">
        <w:rPr>
          <w:rFonts w:ascii="Sylfaen" w:eastAsia="Calibri" w:hAnsi="Sylfaen" w:cs="Sylfaen"/>
        </w:rPr>
        <w:t>ერთად</w:t>
      </w:r>
      <w:r w:rsidRPr="003D733D">
        <w:rPr>
          <w:rFonts w:eastAsia="Calibri"/>
        </w:rPr>
        <w:t xml:space="preserve">, </w:t>
      </w:r>
      <w:r w:rsidRPr="003D733D">
        <w:rPr>
          <w:rFonts w:ascii="Sylfaen" w:eastAsia="Calibri" w:hAnsi="Sylfaen" w:cs="Sylfaen"/>
        </w:rPr>
        <w:t>გზაზე</w:t>
      </w:r>
      <w:r w:rsidRPr="003D733D">
        <w:rPr>
          <w:rFonts w:eastAsia="Calibri"/>
        </w:rPr>
        <w:t xml:space="preserve"> </w:t>
      </w:r>
      <w:r w:rsidRPr="003D733D">
        <w:rPr>
          <w:rFonts w:ascii="Sylfaen" w:eastAsia="Calibri" w:hAnsi="Sylfaen" w:cs="Sylfaen"/>
        </w:rPr>
        <w:t>მოძრავი</w:t>
      </w:r>
      <w:r w:rsidRPr="003D733D">
        <w:rPr>
          <w:rFonts w:eastAsia="Calibri"/>
        </w:rPr>
        <w:t xml:space="preserve"> </w:t>
      </w:r>
      <w:r w:rsidRPr="003D733D">
        <w:rPr>
          <w:rFonts w:ascii="Sylfaen" w:eastAsia="Calibri" w:hAnsi="Sylfaen" w:cs="Sylfaen"/>
        </w:rPr>
        <w:t>ავტოტრანსპორტის</w:t>
      </w:r>
      <w:r w:rsidRPr="003D733D">
        <w:rPr>
          <w:rFonts w:eastAsia="Calibri"/>
        </w:rPr>
        <w:t xml:space="preserve"> </w:t>
      </w:r>
      <w:r w:rsidRPr="003D733D">
        <w:rPr>
          <w:rFonts w:ascii="Sylfaen" w:eastAsia="Calibri" w:hAnsi="Sylfaen" w:cs="Sylfaen"/>
        </w:rPr>
        <w:t>სვლაგეზების</w:t>
      </w:r>
      <w:r w:rsidRPr="003D733D">
        <w:rPr>
          <w:rFonts w:eastAsia="Calibri"/>
        </w:rPr>
        <w:t xml:space="preserve">, </w:t>
      </w:r>
      <w:r w:rsidRPr="003D733D">
        <w:rPr>
          <w:rFonts w:ascii="Sylfaen" w:eastAsia="Calibri" w:hAnsi="Sylfaen" w:cs="Sylfaen"/>
        </w:rPr>
        <w:t>ტიპების</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მანძილების</w:t>
      </w:r>
      <w:r w:rsidRPr="003D733D">
        <w:rPr>
          <w:rFonts w:eastAsia="Calibri"/>
        </w:rPr>
        <w:t xml:space="preserve"> </w:t>
      </w:r>
      <w:r w:rsidRPr="003D733D">
        <w:rPr>
          <w:rFonts w:ascii="Sylfaen" w:eastAsia="Calibri" w:hAnsi="Sylfaen" w:cs="Sylfaen"/>
        </w:rPr>
        <w:t>განსაზღვრის</w:t>
      </w:r>
      <w:r w:rsidRPr="003D733D">
        <w:rPr>
          <w:rFonts w:eastAsia="Calibri"/>
        </w:rPr>
        <w:t xml:space="preserve"> </w:t>
      </w:r>
      <w:r w:rsidRPr="003D733D">
        <w:rPr>
          <w:rFonts w:ascii="Sylfaen" w:eastAsia="Calibri" w:hAnsi="Sylfaen" w:cs="Sylfaen"/>
        </w:rPr>
        <w:t>მიზნით</w:t>
      </w:r>
      <w:r w:rsidRPr="003D733D">
        <w:rPr>
          <w:rFonts w:eastAsia="Calibri"/>
        </w:rPr>
        <w:t>,</w:t>
      </w:r>
      <w:r w:rsidRPr="003D733D">
        <w:rPr>
          <w:rFonts w:ascii="Sylfaen" w:eastAsia="Calibri" w:hAnsi="Sylfaen" w:cs="Sylfaen"/>
        </w:rPr>
        <w:t>აგრეთვე</w:t>
      </w:r>
      <w:r w:rsidRPr="003D733D">
        <w:rPr>
          <w:rFonts w:eastAsia="Calibri"/>
        </w:rPr>
        <w:t xml:space="preserve"> </w:t>
      </w:r>
      <w:r w:rsidRPr="003D733D">
        <w:rPr>
          <w:rFonts w:ascii="Sylfaen" w:eastAsia="Calibri" w:hAnsi="Sylfaen" w:cs="Sylfaen"/>
        </w:rPr>
        <w:t>განხორციელდა</w:t>
      </w:r>
      <w:r w:rsidRPr="003D733D">
        <w:rPr>
          <w:rFonts w:eastAsia="Calibri"/>
        </w:rPr>
        <w:t xml:space="preserve"> “</w:t>
      </w:r>
      <w:r w:rsidRPr="003D733D">
        <w:rPr>
          <w:rFonts w:ascii="Sylfaen" w:eastAsia="Calibri" w:hAnsi="Sylfaen" w:cs="Sylfaen"/>
        </w:rPr>
        <w:t>საწყისი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საბოლოო</w:t>
      </w:r>
      <w:r w:rsidRPr="003D733D">
        <w:rPr>
          <w:rFonts w:eastAsia="Calibri"/>
        </w:rPr>
        <w:t xml:space="preserve"> </w:t>
      </w:r>
      <w:r w:rsidRPr="003D733D">
        <w:rPr>
          <w:rFonts w:ascii="Sylfaen" w:eastAsia="Calibri" w:hAnsi="Sylfaen" w:cs="Sylfaen"/>
        </w:rPr>
        <w:t>პუნქტების</w:t>
      </w:r>
      <w:r w:rsidRPr="003D733D">
        <w:rPr>
          <w:rFonts w:eastAsia="Calibri"/>
        </w:rPr>
        <w:t xml:space="preserve">” (OD) </w:t>
      </w:r>
      <w:r w:rsidRPr="003D733D">
        <w:rPr>
          <w:rFonts w:ascii="Sylfaen" w:eastAsia="Calibri" w:hAnsi="Sylfaen" w:cs="Sylfaen"/>
        </w:rPr>
        <w:t>გამოკითხვები</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ინფრასტრუქტურის</w:t>
      </w:r>
      <w:r w:rsidRPr="003D733D">
        <w:rPr>
          <w:rFonts w:eastAsia="Calibri"/>
        </w:rPr>
        <w:t xml:space="preserve"> </w:t>
      </w:r>
      <w:r w:rsidRPr="003D733D">
        <w:rPr>
          <w:rFonts w:ascii="Sylfaen" w:eastAsia="Calibri" w:hAnsi="Sylfaen" w:cs="Sylfaen"/>
        </w:rPr>
        <w:t>გეგმიური</w:t>
      </w:r>
      <w:r w:rsidRPr="003D733D">
        <w:rPr>
          <w:rFonts w:eastAsia="Calibri"/>
        </w:rPr>
        <w:t xml:space="preserve"> </w:t>
      </w:r>
      <w:r w:rsidRPr="003D733D">
        <w:rPr>
          <w:rFonts w:ascii="Sylfaen" w:eastAsia="Calibri" w:hAnsi="Sylfaen" w:cs="Sylfaen"/>
        </w:rPr>
        <w:t>გაუმჯობესებები</w:t>
      </w:r>
      <w:r w:rsidRPr="003D733D">
        <w:rPr>
          <w:rFonts w:eastAsia="Calibri"/>
        </w:rPr>
        <w:t xml:space="preserve"> </w:t>
      </w:r>
      <w:r w:rsidRPr="003D733D">
        <w:rPr>
          <w:rFonts w:ascii="Sylfaen" w:eastAsia="Calibri" w:hAnsi="Sylfaen" w:cs="Sylfaen"/>
        </w:rPr>
        <w:t>ფიზიკურად</w:t>
      </w:r>
      <w:r w:rsidRPr="003D733D">
        <w:rPr>
          <w:rFonts w:eastAsia="Calibri"/>
        </w:rPr>
        <w:t xml:space="preserve"> </w:t>
      </w:r>
      <w:r w:rsidRPr="003D733D">
        <w:rPr>
          <w:rFonts w:ascii="Sylfaen" w:eastAsia="Calibri" w:hAnsi="Sylfaen" w:cs="Sylfaen"/>
        </w:rPr>
        <w:t>აცდენილია</w:t>
      </w:r>
      <w:r w:rsidRPr="003D733D">
        <w:rPr>
          <w:rFonts w:eastAsia="Calibri"/>
        </w:rPr>
        <w:t xml:space="preserve"> </w:t>
      </w:r>
      <w:r w:rsidRPr="003D733D">
        <w:rPr>
          <w:rFonts w:ascii="Sylfaen" w:eastAsia="Calibri" w:hAnsi="Sylfaen" w:cs="Sylfaen"/>
        </w:rPr>
        <w:t>არსებული</w:t>
      </w:r>
      <w:r w:rsidRPr="003D733D">
        <w:rPr>
          <w:rFonts w:eastAsia="Calibri"/>
        </w:rPr>
        <w:t xml:space="preserve"> </w:t>
      </w:r>
      <w:r w:rsidRPr="003D733D">
        <w:rPr>
          <w:rFonts w:ascii="Sylfaen" w:eastAsia="Calibri" w:hAnsi="Sylfaen" w:cs="Sylfaen"/>
        </w:rPr>
        <w:t>გზისგან</w:t>
      </w:r>
      <w:r w:rsidRPr="003D733D">
        <w:rPr>
          <w:rFonts w:eastAsia="Calibri"/>
        </w:rPr>
        <w:t xml:space="preserve">, </w:t>
      </w:r>
      <w:r w:rsidRPr="003D733D">
        <w:rPr>
          <w:rFonts w:ascii="Sylfaen" w:eastAsia="Calibri" w:hAnsi="Sylfaen" w:cs="Sylfaen"/>
        </w:rPr>
        <w:t>რის</w:t>
      </w:r>
      <w:r w:rsidRPr="003D733D">
        <w:rPr>
          <w:rFonts w:eastAsia="Calibri"/>
        </w:rPr>
        <w:t xml:space="preserve"> </w:t>
      </w:r>
      <w:r w:rsidRPr="003D733D">
        <w:rPr>
          <w:rFonts w:ascii="Sylfaen" w:eastAsia="Calibri" w:hAnsi="Sylfaen" w:cs="Sylfaen"/>
        </w:rPr>
        <w:t>გამოც</w:t>
      </w:r>
      <w:r w:rsidRPr="003D733D">
        <w:rPr>
          <w:rFonts w:eastAsia="Calibri"/>
        </w:rPr>
        <w:t xml:space="preserve"> </w:t>
      </w:r>
      <w:r w:rsidRPr="003D733D">
        <w:rPr>
          <w:rFonts w:ascii="Sylfaen" w:eastAsia="Calibri" w:hAnsi="Sylfaen" w:cs="Sylfaen"/>
        </w:rPr>
        <w:t>საწყისი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საბოლოო</w:t>
      </w:r>
      <w:r w:rsidRPr="003D733D">
        <w:rPr>
          <w:rFonts w:eastAsia="Calibri"/>
        </w:rPr>
        <w:t xml:space="preserve"> </w:t>
      </w:r>
      <w:r w:rsidRPr="003D733D">
        <w:rPr>
          <w:rFonts w:ascii="Sylfaen" w:eastAsia="Calibri" w:hAnsi="Sylfaen" w:cs="Sylfaen"/>
        </w:rPr>
        <w:t>პუნქტების</w:t>
      </w:r>
      <w:r w:rsidRPr="003D733D">
        <w:rPr>
          <w:rFonts w:eastAsia="Calibri"/>
        </w:rPr>
        <w:t xml:space="preserve"> </w:t>
      </w:r>
      <w:r w:rsidRPr="003D733D">
        <w:rPr>
          <w:rFonts w:ascii="Sylfaen" w:eastAsia="Calibri" w:hAnsi="Sylfaen" w:cs="Sylfaen"/>
        </w:rPr>
        <w:t>გამოკითხვებს</w:t>
      </w:r>
      <w:r w:rsidRPr="003D733D">
        <w:rPr>
          <w:rFonts w:eastAsia="Calibri"/>
        </w:rPr>
        <w:t xml:space="preserve"> </w:t>
      </w:r>
      <w:r w:rsidRPr="003D733D">
        <w:rPr>
          <w:rFonts w:ascii="Sylfaen" w:eastAsia="Calibri" w:hAnsi="Sylfaen" w:cs="Sylfaen"/>
        </w:rPr>
        <w:t>გადამწყვეტი</w:t>
      </w:r>
      <w:r w:rsidRPr="003D733D">
        <w:rPr>
          <w:rFonts w:eastAsia="Calibri"/>
        </w:rPr>
        <w:t xml:space="preserve"> </w:t>
      </w:r>
      <w:r w:rsidRPr="003D733D">
        <w:rPr>
          <w:rFonts w:ascii="Sylfaen" w:eastAsia="Calibri" w:hAnsi="Sylfaen" w:cs="Sylfaen"/>
        </w:rPr>
        <w:t>მნიშვნელობა</w:t>
      </w:r>
      <w:r w:rsidRPr="003D733D">
        <w:rPr>
          <w:rFonts w:eastAsia="Calibri"/>
        </w:rPr>
        <w:t xml:space="preserve"> </w:t>
      </w:r>
      <w:r w:rsidRPr="003D733D">
        <w:rPr>
          <w:rFonts w:ascii="Sylfaen" w:eastAsia="Calibri" w:hAnsi="Sylfaen" w:cs="Sylfaen"/>
        </w:rPr>
        <w:t>აქვთ</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w:t>
      </w:r>
      <w:r w:rsidRPr="003D733D">
        <w:rPr>
          <w:rFonts w:ascii="Sylfaen" w:eastAsia="Calibri" w:hAnsi="Sylfaen" w:cs="Sylfaen"/>
        </w:rPr>
        <w:t>განსაზღვრისა</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ეკონომიკური</w:t>
      </w:r>
      <w:r w:rsidRPr="003D733D">
        <w:rPr>
          <w:rFonts w:eastAsia="Calibri"/>
        </w:rPr>
        <w:t xml:space="preserve"> </w:t>
      </w:r>
      <w:r w:rsidRPr="003D733D">
        <w:rPr>
          <w:rFonts w:ascii="Sylfaen" w:eastAsia="Calibri" w:hAnsi="Sylfaen" w:cs="Sylfaen"/>
        </w:rPr>
        <w:t>შეფასებებისთვის</w:t>
      </w:r>
      <w:r w:rsidRPr="003D733D">
        <w:rPr>
          <w:rFonts w:eastAsia="Calibri"/>
        </w:rPr>
        <w:t xml:space="preserve">. </w:t>
      </w:r>
      <w:r w:rsidRPr="003D733D">
        <w:rPr>
          <w:rFonts w:ascii="Sylfaen" w:eastAsia="Calibri" w:hAnsi="Sylfaen" w:cs="Sylfaen"/>
        </w:rPr>
        <w:t>შემოთავაზებული</w:t>
      </w:r>
      <w:r w:rsidRPr="003D733D">
        <w:rPr>
          <w:rFonts w:eastAsia="Calibri"/>
        </w:rPr>
        <w:t xml:space="preserve"> “</w:t>
      </w:r>
      <w:r w:rsidRPr="003D733D">
        <w:rPr>
          <w:rFonts w:ascii="Sylfaen" w:eastAsia="Calibri" w:hAnsi="Sylfaen" w:cs="Sylfaen"/>
        </w:rPr>
        <w:t>ჩრდილოეთი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სამხრეთი</w:t>
      </w:r>
      <w:r w:rsidRPr="003D733D">
        <w:rPr>
          <w:rFonts w:eastAsia="Calibri"/>
        </w:rPr>
        <w:t xml:space="preserve">” </w:t>
      </w:r>
      <w:r w:rsidRPr="003D733D">
        <w:rPr>
          <w:rFonts w:ascii="Sylfaen" w:eastAsia="Calibri" w:hAnsi="Sylfaen" w:cs="Sylfaen"/>
        </w:rPr>
        <w:t>ალტერნატიული</w:t>
      </w:r>
      <w:r w:rsidRPr="003D733D">
        <w:rPr>
          <w:rFonts w:eastAsia="Calibri"/>
        </w:rPr>
        <w:t xml:space="preserve"> </w:t>
      </w:r>
      <w:r w:rsidRPr="003D733D">
        <w:rPr>
          <w:rFonts w:ascii="Sylfaen" w:eastAsia="Calibri" w:hAnsi="Sylfaen" w:cs="Sylfaen"/>
        </w:rPr>
        <w:t>გზები</w:t>
      </w:r>
      <w:r w:rsidRPr="003D733D">
        <w:rPr>
          <w:rFonts w:eastAsia="Calibri"/>
        </w:rPr>
        <w:t xml:space="preserve"> </w:t>
      </w:r>
      <w:r w:rsidRPr="003D733D">
        <w:rPr>
          <w:rFonts w:ascii="Sylfaen" w:eastAsia="Calibri" w:hAnsi="Sylfaen" w:cs="Sylfaen"/>
        </w:rPr>
        <w:t>შედგებიან</w:t>
      </w:r>
      <w:r w:rsidRPr="003D733D">
        <w:rPr>
          <w:rFonts w:eastAsia="Calibri"/>
        </w:rPr>
        <w:t xml:space="preserve"> </w:t>
      </w:r>
      <w:r w:rsidRPr="003D733D">
        <w:rPr>
          <w:rFonts w:ascii="Sylfaen" w:eastAsia="Calibri" w:hAnsi="Sylfaen" w:cs="Sylfaen"/>
        </w:rPr>
        <w:t>არსებული</w:t>
      </w:r>
      <w:r w:rsidRPr="003D733D">
        <w:rPr>
          <w:rFonts w:eastAsia="Calibri"/>
        </w:rPr>
        <w:t xml:space="preserve"> </w:t>
      </w:r>
      <w:r w:rsidRPr="003D733D">
        <w:rPr>
          <w:rFonts w:ascii="Sylfaen" w:eastAsia="Calibri" w:hAnsi="Sylfaen" w:cs="Sylfaen"/>
        </w:rPr>
        <w:t>გზის</w:t>
      </w:r>
      <w:r w:rsidRPr="003D733D">
        <w:rPr>
          <w:rFonts w:eastAsia="Calibri"/>
        </w:rPr>
        <w:t xml:space="preserve"> </w:t>
      </w:r>
      <w:r w:rsidRPr="003D733D">
        <w:rPr>
          <w:rFonts w:ascii="Sylfaen" w:eastAsia="Calibri" w:hAnsi="Sylfaen" w:cs="Sylfaen"/>
        </w:rPr>
        <w:t>გასწვრივ</w:t>
      </w:r>
      <w:r w:rsidRPr="003D733D">
        <w:rPr>
          <w:rFonts w:eastAsia="Calibri"/>
        </w:rPr>
        <w:t xml:space="preserve"> </w:t>
      </w:r>
      <w:r w:rsidRPr="003D733D">
        <w:rPr>
          <w:rFonts w:ascii="Sylfaen" w:eastAsia="Calibri" w:hAnsi="Sylfaen" w:cs="Sylfaen"/>
        </w:rPr>
        <w:t>მდებარე</w:t>
      </w:r>
      <w:r w:rsidRPr="003D733D">
        <w:rPr>
          <w:rFonts w:eastAsia="Calibri"/>
        </w:rPr>
        <w:t xml:space="preserve"> </w:t>
      </w:r>
      <w:r w:rsidRPr="003D733D">
        <w:rPr>
          <w:rFonts w:ascii="Sylfaen" w:eastAsia="Calibri" w:hAnsi="Sylfaen" w:cs="Sylfaen"/>
        </w:rPr>
        <w:t>რიგი</w:t>
      </w:r>
      <w:r w:rsidRPr="003D733D">
        <w:rPr>
          <w:rFonts w:eastAsia="Calibri"/>
        </w:rPr>
        <w:t xml:space="preserve"> </w:t>
      </w:r>
      <w:r w:rsidRPr="003D733D">
        <w:rPr>
          <w:rFonts w:ascii="Sylfaen" w:eastAsia="Calibri" w:hAnsi="Sylfaen" w:cs="Sylfaen"/>
        </w:rPr>
        <w:t>დასახლებული</w:t>
      </w:r>
      <w:r w:rsidRPr="003D733D">
        <w:rPr>
          <w:rFonts w:eastAsia="Calibri"/>
        </w:rPr>
        <w:t xml:space="preserve"> </w:t>
      </w:r>
      <w:r w:rsidRPr="003D733D">
        <w:rPr>
          <w:rFonts w:ascii="Sylfaen" w:eastAsia="Calibri" w:hAnsi="Sylfaen" w:cs="Sylfaen"/>
        </w:rPr>
        <w:t>პუნქტების</w:t>
      </w:r>
      <w:r w:rsidRPr="003D733D">
        <w:rPr>
          <w:rFonts w:eastAsia="Calibri"/>
        </w:rPr>
        <w:t xml:space="preserve"> </w:t>
      </w:r>
      <w:r w:rsidRPr="003D733D">
        <w:rPr>
          <w:rFonts w:ascii="Sylfaen" w:eastAsia="Calibri" w:hAnsi="Sylfaen" w:cs="Sylfaen"/>
        </w:rPr>
        <w:t>გვერდის</w:t>
      </w:r>
      <w:r w:rsidRPr="003D733D">
        <w:rPr>
          <w:rFonts w:eastAsia="Calibri"/>
        </w:rPr>
        <w:t xml:space="preserve"> </w:t>
      </w:r>
      <w:r w:rsidRPr="003D733D">
        <w:rPr>
          <w:rFonts w:ascii="Sylfaen" w:eastAsia="Calibri" w:hAnsi="Sylfaen" w:cs="Sylfaen"/>
        </w:rPr>
        <w:t>ასავლელი</w:t>
      </w:r>
      <w:r w:rsidRPr="003D733D">
        <w:rPr>
          <w:rFonts w:eastAsia="Calibri"/>
        </w:rPr>
        <w:t xml:space="preserve"> </w:t>
      </w:r>
      <w:r w:rsidRPr="003D733D">
        <w:rPr>
          <w:rFonts w:ascii="Sylfaen" w:eastAsia="Calibri" w:hAnsi="Sylfaen" w:cs="Sylfaen"/>
        </w:rPr>
        <w:t>მონაკვეთებისგან</w:t>
      </w:r>
      <w:r w:rsidRPr="003D733D">
        <w:rPr>
          <w:rFonts w:eastAsia="Calibri"/>
        </w:rPr>
        <w:t xml:space="preserve">. </w:t>
      </w:r>
      <w:r w:rsidRPr="003D733D">
        <w:rPr>
          <w:rFonts w:ascii="Sylfaen" w:eastAsia="Calibri" w:hAnsi="Sylfaen" w:cs="Sylfaen"/>
        </w:rPr>
        <w:t>მოსალოდნელია</w:t>
      </w:r>
      <w:r w:rsidRPr="003D733D">
        <w:rPr>
          <w:rFonts w:eastAsia="Calibri"/>
        </w:rPr>
        <w:t xml:space="preserve">, </w:t>
      </w:r>
      <w:r w:rsidRPr="003D733D">
        <w:rPr>
          <w:rFonts w:ascii="Sylfaen" w:eastAsia="Calibri" w:hAnsi="Sylfaen" w:cs="Sylfaen"/>
        </w:rPr>
        <w:t>რომ</w:t>
      </w:r>
      <w:r w:rsidRPr="003D733D">
        <w:rPr>
          <w:rFonts w:eastAsia="Calibri"/>
        </w:rPr>
        <w:t xml:space="preserve"> </w:t>
      </w:r>
      <w:r w:rsidRPr="003D733D">
        <w:rPr>
          <w:rFonts w:ascii="Sylfaen" w:eastAsia="Calibri" w:hAnsi="Sylfaen" w:cs="Sylfaen"/>
        </w:rPr>
        <w:t>შერჩეული</w:t>
      </w:r>
      <w:r w:rsidRPr="003D733D">
        <w:rPr>
          <w:rFonts w:eastAsia="Calibri"/>
        </w:rPr>
        <w:t xml:space="preserve"> </w:t>
      </w:r>
      <w:r w:rsidRPr="003D733D">
        <w:rPr>
          <w:rFonts w:ascii="Sylfaen" w:eastAsia="Calibri" w:hAnsi="Sylfaen" w:cs="Sylfaen"/>
        </w:rPr>
        <w:t>ახალი</w:t>
      </w:r>
      <w:r w:rsidRPr="003D733D">
        <w:rPr>
          <w:rFonts w:eastAsia="Calibri"/>
        </w:rPr>
        <w:t xml:space="preserve"> </w:t>
      </w:r>
      <w:r w:rsidRPr="003D733D">
        <w:rPr>
          <w:rFonts w:ascii="Sylfaen" w:eastAsia="Calibri" w:hAnsi="Sylfaen" w:cs="Sylfaen"/>
        </w:rPr>
        <w:t>გზა</w:t>
      </w:r>
      <w:r w:rsidRPr="003D733D">
        <w:rPr>
          <w:rFonts w:eastAsia="Calibri"/>
        </w:rPr>
        <w:t xml:space="preserve"> </w:t>
      </w:r>
      <w:r w:rsidRPr="003D733D">
        <w:rPr>
          <w:rFonts w:ascii="Sylfaen" w:eastAsia="Calibri" w:hAnsi="Sylfaen" w:cs="Sylfaen"/>
        </w:rPr>
        <w:t>ძირითადად</w:t>
      </w:r>
      <w:r w:rsidRPr="003D733D">
        <w:rPr>
          <w:rFonts w:eastAsia="Calibri"/>
        </w:rPr>
        <w:t xml:space="preserve"> </w:t>
      </w:r>
      <w:r w:rsidRPr="003D733D">
        <w:rPr>
          <w:rFonts w:ascii="Sylfaen" w:eastAsia="Calibri" w:hAnsi="Sylfaen" w:cs="Sylfaen"/>
        </w:rPr>
        <w:t>გამოყენებულ</w:t>
      </w:r>
      <w:r w:rsidRPr="003D733D">
        <w:rPr>
          <w:rFonts w:eastAsia="Calibri"/>
        </w:rPr>
        <w:t xml:space="preserve"> </w:t>
      </w:r>
      <w:r w:rsidRPr="003D733D">
        <w:rPr>
          <w:rFonts w:ascii="Sylfaen" w:eastAsia="Calibri" w:hAnsi="Sylfaen" w:cs="Sylfaen"/>
        </w:rPr>
        <w:t>იქნება</w:t>
      </w:r>
      <w:r w:rsidRPr="003D733D">
        <w:rPr>
          <w:rFonts w:eastAsia="Calibri"/>
        </w:rPr>
        <w:t xml:space="preserve"> </w:t>
      </w:r>
      <w:r w:rsidRPr="003D733D">
        <w:rPr>
          <w:rFonts w:ascii="Sylfaen" w:eastAsia="Calibri" w:hAnsi="Sylfaen" w:cs="Sylfaen"/>
        </w:rPr>
        <w:t>გრძელ</w:t>
      </w:r>
      <w:r w:rsidRPr="003D733D">
        <w:rPr>
          <w:rFonts w:eastAsia="Calibri"/>
        </w:rPr>
        <w:t xml:space="preserve"> </w:t>
      </w:r>
      <w:r w:rsidRPr="003D733D">
        <w:rPr>
          <w:rFonts w:ascii="Sylfaen" w:eastAsia="Calibri" w:hAnsi="Sylfaen" w:cs="Sylfaen"/>
        </w:rPr>
        <w:t>მანძილებზე</w:t>
      </w:r>
      <w:r w:rsidRPr="003D733D">
        <w:rPr>
          <w:rFonts w:eastAsia="Calibri"/>
        </w:rPr>
        <w:t xml:space="preserve"> </w:t>
      </w:r>
      <w:r w:rsidRPr="003D733D">
        <w:rPr>
          <w:rFonts w:ascii="Sylfaen" w:eastAsia="Calibri" w:hAnsi="Sylfaen" w:cs="Sylfaen"/>
        </w:rPr>
        <w:t>მოძრავი</w:t>
      </w:r>
      <w:r w:rsidRPr="003D733D">
        <w:rPr>
          <w:rFonts w:eastAsia="Calibri"/>
        </w:rPr>
        <w:t xml:space="preserve"> </w:t>
      </w:r>
      <w:r w:rsidRPr="003D733D">
        <w:rPr>
          <w:rFonts w:ascii="Sylfaen" w:eastAsia="Calibri" w:hAnsi="Sylfaen" w:cs="Sylfaen"/>
        </w:rPr>
        <w:t>ავტოტრანსპორტის</w:t>
      </w:r>
      <w:r w:rsidRPr="003D733D">
        <w:rPr>
          <w:rFonts w:eastAsia="Calibri"/>
        </w:rPr>
        <w:t xml:space="preserve"> </w:t>
      </w:r>
      <w:r w:rsidRPr="003D733D">
        <w:rPr>
          <w:rFonts w:ascii="Sylfaen" w:eastAsia="Calibri" w:hAnsi="Sylfaen" w:cs="Sylfaen"/>
        </w:rPr>
        <w:t>მიერ</w:t>
      </w:r>
      <w:r w:rsidRPr="003D733D">
        <w:rPr>
          <w:rFonts w:eastAsia="Calibri"/>
        </w:rPr>
        <w:t xml:space="preserve">, </w:t>
      </w:r>
      <w:r w:rsidRPr="003D733D">
        <w:rPr>
          <w:rFonts w:ascii="Sylfaen" w:eastAsia="Calibri" w:hAnsi="Sylfaen" w:cs="Sylfaen"/>
        </w:rPr>
        <w:t>ხოლო</w:t>
      </w:r>
      <w:r w:rsidRPr="003D733D">
        <w:rPr>
          <w:rFonts w:eastAsia="Calibri"/>
        </w:rPr>
        <w:t xml:space="preserve"> </w:t>
      </w:r>
      <w:r w:rsidRPr="003D733D">
        <w:rPr>
          <w:rFonts w:ascii="Sylfaen" w:eastAsia="Calibri" w:hAnsi="Sylfaen" w:cs="Sylfaen"/>
        </w:rPr>
        <w:t>ადგილობრივი</w:t>
      </w:r>
      <w:r w:rsidRPr="003D733D">
        <w:rPr>
          <w:rFonts w:eastAsia="Calibri"/>
        </w:rPr>
        <w:t xml:space="preserve"> </w:t>
      </w: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საშუალებები</w:t>
      </w:r>
      <w:r w:rsidRPr="003D733D">
        <w:rPr>
          <w:rFonts w:eastAsia="Calibri"/>
        </w:rPr>
        <w:t xml:space="preserve"> </w:t>
      </w:r>
      <w:r w:rsidRPr="003D733D">
        <w:rPr>
          <w:rFonts w:ascii="Sylfaen" w:eastAsia="Calibri" w:hAnsi="Sylfaen" w:cs="Sylfaen"/>
        </w:rPr>
        <w:t>განაგრძობენ</w:t>
      </w:r>
      <w:r w:rsidRPr="003D733D">
        <w:rPr>
          <w:rFonts w:eastAsia="Calibri"/>
        </w:rPr>
        <w:t xml:space="preserve"> </w:t>
      </w:r>
      <w:r w:rsidRPr="003D733D">
        <w:rPr>
          <w:rFonts w:ascii="Sylfaen" w:eastAsia="Calibri" w:hAnsi="Sylfaen" w:cs="Sylfaen"/>
        </w:rPr>
        <w:t>არსებული</w:t>
      </w:r>
      <w:r w:rsidRPr="003D733D">
        <w:rPr>
          <w:rFonts w:eastAsia="Calibri"/>
        </w:rPr>
        <w:t xml:space="preserve"> </w:t>
      </w:r>
      <w:r w:rsidRPr="003D733D">
        <w:rPr>
          <w:rFonts w:ascii="Sylfaen" w:eastAsia="Calibri" w:hAnsi="Sylfaen" w:cs="Sylfaen"/>
        </w:rPr>
        <w:t>გზით</w:t>
      </w:r>
      <w:r w:rsidRPr="003D733D">
        <w:rPr>
          <w:rFonts w:eastAsia="Calibri"/>
        </w:rPr>
        <w:t xml:space="preserve"> </w:t>
      </w:r>
      <w:r w:rsidRPr="003D733D">
        <w:rPr>
          <w:rFonts w:ascii="Sylfaen" w:eastAsia="Calibri" w:hAnsi="Sylfaen" w:cs="Sylfaen"/>
        </w:rPr>
        <w:t>სარგებლობას</w:t>
      </w:r>
      <w:r w:rsidRPr="003D733D">
        <w:rPr>
          <w:rFonts w:eastAsia="Calibri"/>
        </w:rPr>
        <w:t xml:space="preserve">. </w:t>
      </w:r>
      <w:r w:rsidRPr="003D733D">
        <w:rPr>
          <w:rFonts w:ascii="Sylfaen" w:eastAsia="Calibri" w:hAnsi="Sylfaen" w:cs="Sylfaen"/>
        </w:rPr>
        <w:t>საწყისი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საბოლოო</w:t>
      </w:r>
      <w:r w:rsidRPr="003D733D">
        <w:rPr>
          <w:rFonts w:eastAsia="Calibri"/>
        </w:rPr>
        <w:t xml:space="preserve"> </w:t>
      </w:r>
      <w:r w:rsidRPr="003D733D">
        <w:rPr>
          <w:rFonts w:ascii="Sylfaen" w:eastAsia="Calibri" w:hAnsi="Sylfaen" w:cs="Sylfaen"/>
        </w:rPr>
        <w:t>პუნქტების</w:t>
      </w:r>
      <w:r w:rsidRPr="003D733D">
        <w:rPr>
          <w:rFonts w:eastAsia="Calibri"/>
        </w:rPr>
        <w:t xml:space="preserve"> </w:t>
      </w:r>
      <w:r w:rsidRPr="003D733D">
        <w:rPr>
          <w:rFonts w:ascii="Sylfaen" w:eastAsia="Calibri" w:hAnsi="Sylfaen" w:cs="Sylfaen"/>
        </w:rPr>
        <w:t>გამოკითხვები</w:t>
      </w:r>
      <w:r w:rsidRPr="003D733D">
        <w:rPr>
          <w:rFonts w:eastAsia="Calibri"/>
        </w:rPr>
        <w:t xml:space="preserve"> </w:t>
      </w:r>
      <w:r w:rsidRPr="003D733D">
        <w:rPr>
          <w:rFonts w:ascii="Sylfaen" w:eastAsia="Calibri" w:hAnsi="Sylfaen" w:cs="Sylfaen"/>
        </w:rPr>
        <w:t>შესაძლებელს</w:t>
      </w:r>
      <w:r w:rsidRPr="003D733D">
        <w:rPr>
          <w:rFonts w:eastAsia="Calibri"/>
        </w:rPr>
        <w:t xml:space="preserve"> </w:t>
      </w:r>
      <w:r w:rsidRPr="003D733D">
        <w:rPr>
          <w:rFonts w:ascii="Sylfaen" w:eastAsia="Calibri" w:hAnsi="Sylfaen" w:cs="Sylfaen"/>
        </w:rPr>
        <w:t>ხდიან</w:t>
      </w:r>
      <w:r w:rsidRPr="003D733D">
        <w:rPr>
          <w:rFonts w:eastAsia="Calibri"/>
        </w:rPr>
        <w:t xml:space="preserve"> </w:t>
      </w:r>
      <w:r w:rsidRPr="003D733D">
        <w:rPr>
          <w:rFonts w:ascii="Sylfaen" w:eastAsia="Calibri" w:hAnsi="Sylfaen" w:cs="Sylfaen"/>
        </w:rPr>
        <w:t>გრძელ</w:t>
      </w:r>
      <w:r w:rsidRPr="003D733D">
        <w:rPr>
          <w:rFonts w:eastAsia="Calibri"/>
        </w:rPr>
        <w:t xml:space="preserve"> </w:t>
      </w:r>
      <w:r w:rsidRPr="003D733D">
        <w:rPr>
          <w:rFonts w:ascii="Sylfaen" w:eastAsia="Calibri" w:hAnsi="Sylfaen" w:cs="Sylfaen"/>
        </w:rPr>
        <w:t>მანძილებზე</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ადგილობრივ</w:t>
      </w:r>
      <w:r w:rsidRPr="003D733D">
        <w:rPr>
          <w:rFonts w:eastAsia="Calibri"/>
        </w:rPr>
        <w:t xml:space="preserve"> </w:t>
      </w:r>
      <w:r w:rsidRPr="003D733D">
        <w:rPr>
          <w:rFonts w:ascii="Sylfaen" w:eastAsia="Calibri" w:hAnsi="Sylfaen" w:cs="Sylfaen"/>
        </w:rPr>
        <w:t>მარშრუტებზე</w:t>
      </w:r>
      <w:r w:rsidRPr="003D733D">
        <w:rPr>
          <w:rFonts w:eastAsia="Calibri"/>
        </w:rPr>
        <w:t xml:space="preserve"> </w:t>
      </w:r>
      <w:r w:rsidRPr="003D733D">
        <w:rPr>
          <w:rFonts w:ascii="Sylfaen" w:eastAsia="Calibri" w:hAnsi="Sylfaen" w:cs="Sylfaen"/>
        </w:rPr>
        <w:t>მოძრავი</w:t>
      </w:r>
      <w:r w:rsidRPr="003D733D">
        <w:rPr>
          <w:rFonts w:eastAsia="Calibri"/>
        </w:rPr>
        <w:t xml:space="preserve"> </w:t>
      </w: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ნაკადების</w:t>
      </w:r>
      <w:r w:rsidRPr="003D733D">
        <w:rPr>
          <w:rFonts w:eastAsia="Calibri"/>
        </w:rPr>
        <w:t xml:space="preserve"> </w:t>
      </w:r>
      <w:r w:rsidRPr="003D733D">
        <w:rPr>
          <w:rFonts w:ascii="Sylfaen" w:eastAsia="Calibri" w:hAnsi="Sylfaen" w:cs="Sylfaen"/>
        </w:rPr>
        <w:t>ერთმანეთისგან</w:t>
      </w:r>
      <w:r w:rsidRPr="003D733D">
        <w:rPr>
          <w:rFonts w:eastAsia="Calibri"/>
        </w:rPr>
        <w:t xml:space="preserve"> </w:t>
      </w:r>
      <w:r w:rsidRPr="003D733D">
        <w:rPr>
          <w:rFonts w:ascii="Sylfaen" w:eastAsia="Calibri" w:hAnsi="Sylfaen" w:cs="Sylfaen"/>
        </w:rPr>
        <w:t>გარჩევას</w:t>
      </w:r>
      <w:r w:rsidRPr="003D733D">
        <w:rPr>
          <w:rFonts w:eastAsia="Calibri"/>
        </w:rPr>
        <w:t xml:space="preserve">, </w:t>
      </w:r>
      <w:r w:rsidRPr="003D733D">
        <w:rPr>
          <w:rFonts w:ascii="Sylfaen" w:eastAsia="Calibri" w:hAnsi="Sylfaen" w:cs="Sylfaen"/>
        </w:rPr>
        <w:t>რაც</w:t>
      </w:r>
      <w:r w:rsidRPr="003D733D">
        <w:rPr>
          <w:rFonts w:eastAsia="Calibri"/>
        </w:rPr>
        <w:t xml:space="preserve"> </w:t>
      </w: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საშუალებების</w:t>
      </w:r>
      <w:r w:rsidRPr="003D733D">
        <w:rPr>
          <w:rFonts w:eastAsia="Calibri"/>
        </w:rPr>
        <w:t xml:space="preserve"> </w:t>
      </w:r>
      <w:r w:rsidRPr="003D733D">
        <w:rPr>
          <w:rFonts w:ascii="Sylfaen" w:eastAsia="Calibri" w:hAnsi="Sylfaen" w:cs="Sylfaen"/>
        </w:rPr>
        <w:t>მიერ</w:t>
      </w:r>
      <w:r w:rsidRPr="003D733D">
        <w:rPr>
          <w:rFonts w:eastAsia="Calibri"/>
        </w:rPr>
        <w:t xml:space="preserve"> </w:t>
      </w:r>
      <w:r w:rsidRPr="003D733D">
        <w:rPr>
          <w:rFonts w:ascii="Sylfaen" w:eastAsia="Calibri" w:hAnsi="Sylfaen" w:cs="Sylfaen"/>
        </w:rPr>
        <w:t>შეთავაზებული</w:t>
      </w:r>
      <w:r w:rsidRPr="003D733D">
        <w:rPr>
          <w:rFonts w:eastAsia="Calibri"/>
        </w:rPr>
        <w:t xml:space="preserve"> </w:t>
      </w:r>
      <w:r w:rsidRPr="003D733D">
        <w:rPr>
          <w:rFonts w:ascii="Sylfaen" w:eastAsia="Calibri" w:hAnsi="Sylfaen" w:cs="Sylfaen"/>
        </w:rPr>
        <w:t>ალტერნატიული</w:t>
      </w:r>
      <w:r w:rsidRPr="003D733D">
        <w:rPr>
          <w:rFonts w:eastAsia="Calibri"/>
        </w:rPr>
        <w:t xml:space="preserve"> </w:t>
      </w:r>
      <w:r w:rsidRPr="003D733D">
        <w:rPr>
          <w:rFonts w:ascii="Sylfaen" w:eastAsia="Calibri" w:hAnsi="Sylfaen" w:cs="Sylfaen"/>
        </w:rPr>
        <w:t>გზების</w:t>
      </w:r>
      <w:r w:rsidRPr="003D733D">
        <w:rPr>
          <w:rFonts w:eastAsia="Calibri"/>
        </w:rPr>
        <w:t xml:space="preserve"> </w:t>
      </w:r>
      <w:r w:rsidRPr="003D733D">
        <w:rPr>
          <w:rFonts w:ascii="Sylfaen" w:eastAsia="Calibri" w:hAnsi="Sylfaen" w:cs="Sylfaen"/>
        </w:rPr>
        <w:t>გამოყენების</w:t>
      </w:r>
      <w:r w:rsidRPr="003D733D">
        <w:rPr>
          <w:rFonts w:eastAsia="Calibri"/>
        </w:rPr>
        <w:t xml:space="preserve"> </w:t>
      </w:r>
      <w:r w:rsidRPr="003D733D">
        <w:rPr>
          <w:rFonts w:ascii="Sylfaen" w:eastAsia="Calibri" w:hAnsi="Sylfaen" w:cs="Sylfaen"/>
        </w:rPr>
        <w:t>მახასიათებლების</w:t>
      </w:r>
      <w:r w:rsidRPr="003D733D">
        <w:rPr>
          <w:rFonts w:eastAsia="Calibri"/>
        </w:rPr>
        <w:t xml:space="preserve"> </w:t>
      </w:r>
      <w:r w:rsidRPr="003D733D">
        <w:rPr>
          <w:rFonts w:ascii="Sylfaen" w:eastAsia="Calibri" w:hAnsi="Sylfaen" w:cs="Sylfaen"/>
        </w:rPr>
        <w:t>ადექვატურად</w:t>
      </w:r>
      <w:r w:rsidRPr="003D733D">
        <w:rPr>
          <w:rFonts w:eastAsia="Calibri"/>
        </w:rPr>
        <w:t xml:space="preserve"> </w:t>
      </w:r>
      <w:r w:rsidRPr="003D733D">
        <w:rPr>
          <w:rFonts w:ascii="Sylfaen" w:eastAsia="Calibri" w:hAnsi="Sylfaen" w:cs="Sylfaen"/>
        </w:rPr>
        <w:t>პროგნოზირებას</w:t>
      </w:r>
      <w:r w:rsidRPr="003D733D">
        <w:rPr>
          <w:rFonts w:eastAsia="Calibri"/>
        </w:rPr>
        <w:t xml:space="preserve"> </w:t>
      </w:r>
      <w:r w:rsidRPr="003D733D">
        <w:rPr>
          <w:rFonts w:ascii="Sylfaen" w:eastAsia="Calibri" w:hAnsi="Sylfaen" w:cs="Sylfaen"/>
        </w:rPr>
        <w:t>შეუწყობს</w:t>
      </w:r>
      <w:r w:rsidRPr="003D733D">
        <w:rPr>
          <w:rFonts w:eastAsia="Calibri"/>
        </w:rPr>
        <w:t xml:space="preserve"> </w:t>
      </w:r>
      <w:r w:rsidRPr="003D733D">
        <w:rPr>
          <w:rFonts w:ascii="Sylfaen" w:eastAsia="Calibri" w:hAnsi="Sylfaen" w:cs="Sylfaen"/>
        </w:rPr>
        <w:t>ხელს</w:t>
      </w:r>
      <w:r w:rsidRPr="003D733D">
        <w:rPr>
          <w:rFonts w:eastAsia="Calibri"/>
        </w:rPr>
        <w:t>.</w:t>
      </w:r>
    </w:p>
    <w:p w14:paraId="60AD928B" w14:textId="57A62AFF" w:rsidR="00F8565C" w:rsidRPr="003D733D" w:rsidRDefault="00F8565C" w:rsidP="00F8565C">
      <w:pPr>
        <w:rPr>
          <w:rFonts w:eastAsia="Calibri"/>
        </w:rPr>
      </w:pP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აღწერის</w:t>
      </w:r>
      <w:r w:rsidRPr="003D733D">
        <w:rPr>
          <w:rFonts w:eastAsia="Calibri"/>
        </w:rPr>
        <w:t xml:space="preserve"> </w:t>
      </w:r>
      <w:r w:rsidRPr="003D733D">
        <w:rPr>
          <w:rFonts w:ascii="Sylfaen" w:eastAsia="Calibri" w:hAnsi="Sylfaen" w:cs="Sylfaen"/>
        </w:rPr>
        <w:t>წარმოებისთვის</w:t>
      </w:r>
      <w:r w:rsidRPr="003D733D">
        <w:rPr>
          <w:rFonts w:eastAsia="Calibri"/>
        </w:rPr>
        <w:t xml:space="preserve"> </w:t>
      </w:r>
      <w:r w:rsidRPr="003D733D">
        <w:rPr>
          <w:rFonts w:ascii="Sylfaen" w:eastAsia="Calibri" w:hAnsi="Sylfaen" w:cs="Sylfaen"/>
        </w:rPr>
        <w:t>შერჩეული</w:t>
      </w:r>
      <w:r w:rsidRPr="003D733D">
        <w:rPr>
          <w:rFonts w:eastAsia="Calibri"/>
        </w:rPr>
        <w:t xml:space="preserve"> </w:t>
      </w:r>
      <w:r w:rsidRPr="003D733D">
        <w:rPr>
          <w:rFonts w:ascii="Sylfaen" w:eastAsia="Calibri" w:hAnsi="Sylfaen" w:cs="Sylfaen"/>
        </w:rPr>
        <w:t>ადგილების</w:t>
      </w:r>
      <w:r w:rsidRPr="003D733D">
        <w:rPr>
          <w:rFonts w:eastAsia="Calibri"/>
        </w:rPr>
        <w:t xml:space="preserve"> </w:t>
      </w:r>
      <w:r w:rsidRPr="003D733D">
        <w:rPr>
          <w:rFonts w:ascii="Sylfaen" w:eastAsia="Calibri" w:hAnsi="Sylfaen" w:cs="Sylfaen"/>
        </w:rPr>
        <w:t>მდებარეობები</w:t>
      </w:r>
      <w:r w:rsidRPr="003D733D">
        <w:rPr>
          <w:rFonts w:eastAsia="Calibri"/>
        </w:rPr>
        <w:t xml:space="preserve"> </w:t>
      </w:r>
      <w:r w:rsidRPr="003D733D">
        <w:rPr>
          <w:rFonts w:ascii="Sylfaen" w:eastAsia="Calibri" w:hAnsi="Sylfaen" w:cs="Sylfaen"/>
        </w:rPr>
        <w:t>მოცემულია</w:t>
      </w:r>
      <w:r w:rsidRPr="003D733D">
        <w:rPr>
          <w:rFonts w:eastAsia="Calibri"/>
        </w:rPr>
        <w:t xml:space="preserve"> </w:t>
      </w:r>
      <w:r w:rsidRPr="003D733D">
        <w:rPr>
          <w:rFonts w:ascii="Sylfaen" w:eastAsia="Calibri" w:hAnsi="Sylfaen" w:cs="Sylfaen"/>
        </w:rPr>
        <w:t>ცხრილში</w:t>
      </w:r>
      <w:r w:rsidRPr="003D733D">
        <w:rPr>
          <w:rFonts w:eastAsia="Calibri"/>
        </w:rPr>
        <w:t xml:space="preserve"> 4</w:t>
      </w:r>
      <w:r w:rsidR="00142B71">
        <w:rPr>
          <w:rFonts w:ascii="Sylfaen" w:eastAsia="Calibri" w:hAnsi="Sylfaen"/>
          <w:lang w:val="ka-GE"/>
        </w:rPr>
        <w:t>.7</w:t>
      </w:r>
      <w:r>
        <w:rPr>
          <w:rFonts w:ascii="Sylfaen" w:eastAsia="Calibri" w:hAnsi="Sylfaen"/>
          <w:lang w:val="ka-GE"/>
        </w:rPr>
        <w:t>-</w:t>
      </w:r>
      <w:r w:rsidR="00142B71">
        <w:rPr>
          <w:rFonts w:ascii="Sylfaen" w:eastAsia="Calibri" w:hAnsi="Sylfaen"/>
          <w:lang w:val="ka-GE"/>
        </w:rPr>
        <w:t>1</w:t>
      </w:r>
      <w:r w:rsidRPr="003D733D">
        <w:rPr>
          <w:rFonts w:eastAsia="Calibri"/>
        </w:rPr>
        <w:t xml:space="preserve">, </w:t>
      </w:r>
      <w:r w:rsidRPr="003D733D">
        <w:rPr>
          <w:rFonts w:ascii="Sylfaen" w:eastAsia="Calibri" w:hAnsi="Sylfaen" w:cs="Sylfaen"/>
        </w:rPr>
        <w:t>ხოლო</w:t>
      </w:r>
      <w:r w:rsidRPr="003D733D">
        <w:rPr>
          <w:rFonts w:eastAsia="Calibri"/>
        </w:rPr>
        <w:t xml:space="preserve"> </w:t>
      </w:r>
      <w:r w:rsidRPr="003D733D">
        <w:rPr>
          <w:rFonts w:ascii="Sylfaen" w:eastAsia="Calibri" w:hAnsi="Sylfaen" w:cs="Sylfaen"/>
        </w:rPr>
        <w:t>შესაბამისი</w:t>
      </w:r>
      <w:r w:rsidRPr="003D733D">
        <w:rPr>
          <w:rFonts w:eastAsia="Calibri"/>
        </w:rPr>
        <w:t xml:space="preserve"> </w:t>
      </w:r>
      <w:r w:rsidRPr="003D733D">
        <w:rPr>
          <w:rFonts w:ascii="Sylfaen" w:eastAsia="Calibri" w:hAnsi="Sylfaen" w:cs="Sylfaen"/>
        </w:rPr>
        <w:t>სქემა</w:t>
      </w:r>
      <w:r w:rsidRPr="003D733D">
        <w:rPr>
          <w:rFonts w:eastAsia="Calibri"/>
        </w:rPr>
        <w:t xml:space="preserve"> – </w:t>
      </w:r>
      <w:r w:rsidRPr="003D733D">
        <w:rPr>
          <w:rFonts w:ascii="Sylfaen" w:eastAsia="Calibri" w:hAnsi="Sylfaen" w:cs="Sylfaen"/>
        </w:rPr>
        <w:t>სურათზე</w:t>
      </w:r>
      <w:r w:rsidRPr="003D733D">
        <w:rPr>
          <w:rFonts w:eastAsia="Calibri"/>
        </w:rPr>
        <w:t xml:space="preserve"> 4.</w:t>
      </w:r>
      <w:r w:rsidR="000B139D">
        <w:rPr>
          <w:rFonts w:ascii="Sylfaen" w:eastAsia="Calibri" w:hAnsi="Sylfaen"/>
          <w:lang w:val="ka-GE"/>
        </w:rPr>
        <w:t>7</w:t>
      </w:r>
      <w:r w:rsidRPr="003D733D">
        <w:rPr>
          <w:rFonts w:eastAsia="Calibri"/>
        </w:rPr>
        <w:t>.1.</w:t>
      </w:r>
    </w:p>
    <w:p w14:paraId="7DDBB5A2" w14:textId="1121BAC3" w:rsidR="00F8565C" w:rsidRPr="003D733D" w:rsidRDefault="00F8565C" w:rsidP="00F8565C">
      <w:pPr>
        <w:rPr>
          <w:rFonts w:eastAsia="Calibri"/>
        </w:rPr>
      </w:pPr>
      <w:r w:rsidRPr="003D733D">
        <w:rPr>
          <w:rFonts w:ascii="Sylfaen" w:eastAsia="Calibri" w:hAnsi="Sylfaen" w:cs="Sylfaen"/>
        </w:rPr>
        <w:t>ცხრილი</w:t>
      </w:r>
      <w:r w:rsidRPr="003D733D">
        <w:rPr>
          <w:rFonts w:eastAsia="Calibri"/>
        </w:rPr>
        <w:t xml:space="preserve"> 4</w:t>
      </w:r>
      <w:r w:rsidR="00142B71">
        <w:rPr>
          <w:rFonts w:ascii="Sylfaen" w:eastAsia="Calibri" w:hAnsi="Sylfaen"/>
          <w:lang w:val="ka-GE"/>
        </w:rPr>
        <w:t>.7</w:t>
      </w:r>
      <w:r>
        <w:rPr>
          <w:rFonts w:ascii="Sylfaen" w:eastAsia="Calibri" w:hAnsi="Sylfaen"/>
          <w:lang w:val="ka-GE"/>
        </w:rPr>
        <w:t>-</w:t>
      </w:r>
      <w:r w:rsidR="00142B71">
        <w:rPr>
          <w:rFonts w:ascii="Sylfaen" w:eastAsia="Calibri" w:hAnsi="Sylfaen"/>
          <w:lang w:val="ka-GE"/>
        </w:rPr>
        <w:t>1</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აღწერის</w:t>
      </w:r>
      <w:r w:rsidRPr="003D733D">
        <w:rPr>
          <w:rFonts w:eastAsia="Calibri"/>
        </w:rPr>
        <w:t xml:space="preserve"> </w:t>
      </w:r>
      <w:r w:rsidRPr="003D733D">
        <w:rPr>
          <w:rFonts w:ascii="Sylfaen" w:eastAsia="Calibri" w:hAnsi="Sylfaen" w:cs="Sylfaen"/>
        </w:rPr>
        <w:t>პუნქტების</w:t>
      </w:r>
      <w:r w:rsidRPr="003D733D">
        <w:rPr>
          <w:rFonts w:eastAsia="Calibri"/>
        </w:rPr>
        <w:t xml:space="preserve"> </w:t>
      </w:r>
      <w:r w:rsidRPr="003D733D">
        <w:rPr>
          <w:rFonts w:ascii="Sylfaen" w:eastAsia="Calibri" w:hAnsi="Sylfaen" w:cs="Sylfaen"/>
        </w:rPr>
        <w:t>მდებარეობები</w:t>
      </w:r>
      <w:r w:rsidRPr="003D733D">
        <w:rPr>
          <w:rFonts w:eastAsia="Calibri"/>
        </w:rPr>
        <w:t xml:space="preserve"> </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119"/>
        <w:gridCol w:w="1417"/>
      </w:tblGrid>
      <w:tr w:rsidR="00F8565C" w:rsidRPr="003D733D" w14:paraId="7B91D146" w14:textId="77777777" w:rsidTr="00F8565C">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14:paraId="70D41191" w14:textId="77777777" w:rsidR="00F8565C" w:rsidRPr="003D733D" w:rsidRDefault="00F8565C" w:rsidP="00F8565C">
            <w:pPr>
              <w:rPr>
                <w:rFonts w:eastAsia="Calibri"/>
                <w:lang w:eastAsia="en-GB"/>
              </w:rPr>
            </w:pPr>
            <w:r w:rsidRPr="003D733D">
              <w:rPr>
                <w:rFonts w:ascii="Sylfaen" w:hAnsi="Sylfaen" w:cs="Sylfaen"/>
              </w:rPr>
              <w:t>პუნქტის</w:t>
            </w:r>
            <w:r w:rsidRPr="003D733D">
              <w:t xml:space="preserve"> </w:t>
            </w:r>
            <w:r w:rsidRPr="003D733D">
              <w:rPr>
                <w:rFonts w:ascii="Sylfaen" w:hAnsi="Sylfaen" w:cs="Sylfaen"/>
              </w:rPr>
              <w:t>საიდენტიფიკაციო</w:t>
            </w:r>
            <w:r w:rsidRPr="003D733D">
              <w:t xml:space="preserve"> </w:t>
            </w:r>
            <w:r w:rsidRPr="003D733D">
              <w:rPr>
                <w:rFonts w:ascii="Sylfaen" w:hAnsi="Sylfaen" w:cs="Sylfaen"/>
              </w:rPr>
              <w:t>ნომერი</w:t>
            </w:r>
          </w:p>
        </w:tc>
        <w:tc>
          <w:tcPr>
            <w:tcW w:w="3119"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14:paraId="12B2E27D" w14:textId="77777777" w:rsidR="00F8565C" w:rsidRPr="003D733D" w:rsidRDefault="00F8565C" w:rsidP="00F8565C">
            <w:pPr>
              <w:rPr>
                <w:lang w:val="ka-GE"/>
              </w:rPr>
            </w:pPr>
            <w:r w:rsidRPr="003D733D">
              <w:rPr>
                <w:rFonts w:ascii="Sylfaen" w:hAnsi="Sylfaen" w:cs="Sylfaen"/>
              </w:rPr>
              <w:t>მდებარეობა</w:t>
            </w:r>
          </w:p>
        </w:tc>
        <w:tc>
          <w:tcPr>
            <w:tcW w:w="1417"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14:paraId="73A77DCB" w14:textId="77777777" w:rsidR="00F8565C" w:rsidRPr="003D733D" w:rsidRDefault="00F8565C" w:rsidP="00F8565C">
            <w:r w:rsidRPr="003D733D">
              <w:rPr>
                <w:rFonts w:ascii="Sylfaen" w:hAnsi="Sylfaen" w:cs="Sylfaen"/>
              </w:rPr>
              <w:t>კმ</w:t>
            </w:r>
            <w:r w:rsidRPr="003D733D">
              <w:t xml:space="preserve"> </w:t>
            </w:r>
            <w:r w:rsidRPr="003D733D">
              <w:rPr>
                <w:rFonts w:ascii="Sylfaen" w:hAnsi="Sylfaen" w:cs="Sylfaen"/>
              </w:rPr>
              <w:t>ნიშნული</w:t>
            </w:r>
            <w:r w:rsidRPr="003D733D">
              <w:t xml:space="preserve"> </w:t>
            </w:r>
          </w:p>
        </w:tc>
      </w:tr>
      <w:tr w:rsidR="00F8565C" w:rsidRPr="003D733D" w14:paraId="3F06BF4D" w14:textId="77777777" w:rsidTr="00F8565C">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24166670" w14:textId="77777777" w:rsidR="00F8565C" w:rsidRPr="003D733D" w:rsidRDefault="00F8565C" w:rsidP="00F8565C">
            <w:r w:rsidRPr="003D733D">
              <w:t>OD1/MCC1</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0A64A1D8" w14:textId="77777777" w:rsidR="00F8565C" w:rsidRPr="003D733D" w:rsidRDefault="00F8565C" w:rsidP="00F8565C">
            <w:pPr>
              <w:rPr>
                <w:lang w:val="ka-GE"/>
              </w:rPr>
            </w:pPr>
            <w:r w:rsidRPr="003D733D">
              <w:rPr>
                <w:rFonts w:ascii="Sylfaen" w:hAnsi="Sylfaen" w:cs="Sylfaen"/>
              </w:rPr>
              <w:t>ნასამხლარი</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1A19610" w14:textId="77777777" w:rsidR="00F8565C" w:rsidRPr="003D733D" w:rsidRDefault="00F8565C" w:rsidP="00F8565C">
            <w:pPr>
              <w:rPr>
                <w:lang w:eastAsia="en-GB"/>
              </w:rPr>
            </w:pPr>
            <w:r w:rsidRPr="003D733D">
              <w:t>32</w:t>
            </w:r>
          </w:p>
        </w:tc>
      </w:tr>
      <w:tr w:rsidR="00F8565C" w:rsidRPr="003D733D" w14:paraId="0D55E2A9" w14:textId="77777777" w:rsidTr="00F8565C">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00E5BE80" w14:textId="77777777" w:rsidR="00F8565C" w:rsidRPr="003D733D" w:rsidRDefault="00F8565C" w:rsidP="00F8565C">
            <w:r w:rsidRPr="003D733D">
              <w:t>OD2/MCC2</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08C9D998" w14:textId="77777777" w:rsidR="00F8565C" w:rsidRPr="003D733D" w:rsidRDefault="00F8565C" w:rsidP="00F8565C">
            <w:r w:rsidRPr="003D733D">
              <w:rPr>
                <w:rFonts w:ascii="Sylfaen" w:hAnsi="Sylfaen" w:cs="Sylfaen"/>
              </w:rPr>
              <w:t>ნასამხლარი</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2AD4C53" w14:textId="77777777" w:rsidR="00F8565C" w:rsidRPr="003D733D" w:rsidRDefault="00F8565C" w:rsidP="00F8565C">
            <w:pPr>
              <w:rPr>
                <w:lang w:eastAsia="en-GB"/>
              </w:rPr>
            </w:pPr>
            <w:r w:rsidRPr="003D733D">
              <w:t>33</w:t>
            </w:r>
          </w:p>
        </w:tc>
      </w:tr>
      <w:tr w:rsidR="00F8565C" w:rsidRPr="003D733D" w14:paraId="3C6EFD3F" w14:textId="77777777" w:rsidTr="00F8565C">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2E528BD" w14:textId="77777777" w:rsidR="00F8565C" w:rsidRPr="003D733D" w:rsidRDefault="00F8565C" w:rsidP="00F8565C">
            <w:r w:rsidRPr="003D733D">
              <w:lastRenderedPageBreak/>
              <w:t>MCC3</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1C58AF1B" w14:textId="77777777" w:rsidR="00F8565C" w:rsidRPr="003D733D" w:rsidRDefault="00F8565C" w:rsidP="00F8565C">
            <w:pPr>
              <w:rPr>
                <w:lang w:val="ka-GE"/>
              </w:rPr>
            </w:pPr>
            <w:r w:rsidRPr="003D733D">
              <w:rPr>
                <w:rFonts w:ascii="Sylfaen" w:hAnsi="Sylfaen" w:cs="Sylfaen"/>
              </w:rPr>
              <w:t>აკურა</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1426D7D" w14:textId="77777777" w:rsidR="00F8565C" w:rsidRPr="003D733D" w:rsidRDefault="00F8565C" w:rsidP="00F8565C">
            <w:pPr>
              <w:rPr>
                <w:lang w:eastAsia="en-GB"/>
              </w:rPr>
            </w:pPr>
            <w:r w:rsidRPr="003D733D">
              <w:t>44</w:t>
            </w:r>
          </w:p>
        </w:tc>
      </w:tr>
      <w:tr w:rsidR="00F8565C" w:rsidRPr="003D733D" w14:paraId="2BCE9DA0" w14:textId="77777777" w:rsidTr="00F8565C">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08F63381" w14:textId="77777777" w:rsidR="00F8565C" w:rsidRPr="003D733D" w:rsidRDefault="00F8565C" w:rsidP="00F8565C">
            <w:r w:rsidRPr="003D733D">
              <w:t>TMC1</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682298A1" w14:textId="77777777" w:rsidR="00F8565C" w:rsidRPr="003D733D" w:rsidRDefault="00F8565C" w:rsidP="00F8565C">
            <w:r w:rsidRPr="003D733D">
              <w:rPr>
                <w:rFonts w:ascii="Sylfaen" w:hAnsi="Sylfaen" w:cs="Sylfaen"/>
              </w:rPr>
              <w:t>ველისციხის</w:t>
            </w:r>
            <w:r w:rsidRPr="003D733D">
              <w:t xml:space="preserve"> </w:t>
            </w:r>
            <w:r w:rsidRPr="003D733D">
              <w:rPr>
                <w:rFonts w:ascii="Sylfaen" w:hAnsi="Sylfaen" w:cs="Sylfaen"/>
              </w:rPr>
              <w:t>გადასახვევი</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2463E3E" w14:textId="77777777" w:rsidR="00F8565C" w:rsidRPr="003D733D" w:rsidRDefault="00F8565C" w:rsidP="00F8565C">
            <w:pPr>
              <w:rPr>
                <w:lang w:eastAsia="en-GB"/>
              </w:rPr>
            </w:pPr>
            <w:r w:rsidRPr="003D733D">
              <w:t>55</w:t>
            </w:r>
          </w:p>
        </w:tc>
      </w:tr>
      <w:tr w:rsidR="00F8565C" w:rsidRPr="003D733D" w14:paraId="55E9CAE5" w14:textId="77777777" w:rsidTr="00F8565C">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081D972" w14:textId="77777777" w:rsidR="00F8565C" w:rsidRPr="003D733D" w:rsidRDefault="00F8565C" w:rsidP="00F8565C">
            <w:r w:rsidRPr="003D733D">
              <w:t>MCC4</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007FA77C" w14:textId="77777777" w:rsidR="00F8565C" w:rsidRPr="003D733D" w:rsidRDefault="00F8565C" w:rsidP="00F8565C">
            <w:r w:rsidRPr="003D733D">
              <w:rPr>
                <w:rFonts w:ascii="Sylfaen" w:hAnsi="Sylfaen" w:cs="Sylfaen"/>
              </w:rPr>
              <w:t>ჩუმლაყი</w:t>
            </w:r>
            <w:r w:rsidRPr="003D733D">
              <w:t>-</w:t>
            </w:r>
            <w:r w:rsidRPr="003D733D">
              <w:rPr>
                <w:rFonts w:ascii="Sylfaen" w:hAnsi="Sylfaen" w:cs="Sylfaen"/>
              </w:rPr>
              <w:t>ახაშენი</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C48F4F2" w14:textId="77777777" w:rsidR="00F8565C" w:rsidRPr="003D733D" w:rsidRDefault="00F8565C" w:rsidP="00F8565C">
            <w:pPr>
              <w:rPr>
                <w:lang w:eastAsia="en-GB"/>
              </w:rPr>
            </w:pPr>
            <w:r w:rsidRPr="003D733D">
              <w:t>57</w:t>
            </w:r>
          </w:p>
        </w:tc>
      </w:tr>
      <w:tr w:rsidR="00F8565C" w:rsidRPr="003D733D" w14:paraId="2302B64F" w14:textId="77777777" w:rsidTr="00F8565C">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0519967A" w14:textId="77777777" w:rsidR="00F8565C" w:rsidRPr="003D733D" w:rsidRDefault="00F8565C" w:rsidP="00F8565C">
            <w:r w:rsidRPr="003D733D">
              <w:t>MCC5</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41AE6D49" w14:textId="77777777" w:rsidR="00F8565C" w:rsidRPr="003D733D" w:rsidRDefault="00F8565C" w:rsidP="00F8565C">
            <w:r w:rsidRPr="003D733D">
              <w:rPr>
                <w:rFonts w:ascii="Sylfaen" w:hAnsi="Sylfaen" w:cs="Sylfaen"/>
              </w:rPr>
              <w:t>გურჯაანი</w:t>
            </w:r>
            <w:r w:rsidRPr="003D733D">
              <w:t>-</w:t>
            </w:r>
            <w:r w:rsidRPr="003D733D">
              <w:rPr>
                <w:rFonts w:ascii="Sylfaen" w:hAnsi="Sylfaen" w:cs="Sylfaen"/>
              </w:rPr>
              <w:t>ბაკურციხე</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BA34E61" w14:textId="77777777" w:rsidR="00F8565C" w:rsidRPr="003D733D" w:rsidRDefault="00F8565C" w:rsidP="00F8565C">
            <w:pPr>
              <w:rPr>
                <w:lang w:eastAsia="en-GB"/>
              </w:rPr>
            </w:pPr>
            <w:r w:rsidRPr="003D733D">
              <w:t>68</w:t>
            </w:r>
          </w:p>
        </w:tc>
      </w:tr>
      <w:tr w:rsidR="00F8565C" w:rsidRPr="003D733D" w14:paraId="6545535F" w14:textId="77777777" w:rsidTr="00F8565C">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A18AAB9" w14:textId="77777777" w:rsidR="00F8565C" w:rsidRPr="003D733D" w:rsidRDefault="00F8565C" w:rsidP="00F8565C">
            <w:r w:rsidRPr="003D733D">
              <w:t>TMC2</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5F5A539F" w14:textId="77777777" w:rsidR="00F8565C" w:rsidRPr="003D733D" w:rsidRDefault="00F8565C" w:rsidP="00F8565C">
            <w:r w:rsidRPr="003D733D">
              <w:rPr>
                <w:rFonts w:ascii="Sylfaen" w:hAnsi="Sylfaen" w:cs="Sylfaen"/>
              </w:rPr>
              <w:t>ბაკურციხის</w:t>
            </w:r>
            <w:r w:rsidRPr="003D733D">
              <w:t xml:space="preserve"> </w:t>
            </w:r>
            <w:r w:rsidRPr="003D733D">
              <w:rPr>
                <w:rFonts w:ascii="Sylfaen" w:hAnsi="Sylfaen" w:cs="Sylfaen"/>
              </w:rPr>
              <w:t>გადასახვევი</w:t>
            </w:r>
            <w:r w:rsidRPr="003D733D">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46E17E" w14:textId="77777777" w:rsidR="00F8565C" w:rsidRPr="003D733D" w:rsidRDefault="00F8565C" w:rsidP="00F8565C">
            <w:pPr>
              <w:rPr>
                <w:lang w:eastAsia="en-GB"/>
              </w:rPr>
            </w:pPr>
            <w:r w:rsidRPr="003D733D">
              <w:t>103</w:t>
            </w:r>
          </w:p>
        </w:tc>
      </w:tr>
      <w:tr w:rsidR="00F8565C" w:rsidRPr="003D733D" w14:paraId="7D70D37B" w14:textId="77777777" w:rsidTr="00F8565C">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2F9C50FC" w14:textId="77777777" w:rsidR="00F8565C" w:rsidRPr="003D733D" w:rsidRDefault="00F8565C" w:rsidP="00F8565C">
            <w:r w:rsidRPr="003D733D">
              <w:t>OD3/MCC6</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1ADB957D" w14:textId="77777777" w:rsidR="00F8565C" w:rsidRPr="003D733D" w:rsidRDefault="00F8565C" w:rsidP="00F8565C">
            <w:r w:rsidRPr="003D733D">
              <w:rPr>
                <w:rFonts w:ascii="Sylfaen" w:hAnsi="Sylfaen" w:cs="Sylfaen"/>
              </w:rPr>
              <w:t>ვაქირი</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50289E4" w14:textId="77777777" w:rsidR="00F8565C" w:rsidRPr="003D733D" w:rsidRDefault="00F8565C" w:rsidP="00F8565C">
            <w:pPr>
              <w:rPr>
                <w:lang w:eastAsia="en-GB"/>
              </w:rPr>
            </w:pPr>
            <w:r w:rsidRPr="003D733D">
              <w:t>110</w:t>
            </w:r>
          </w:p>
        </w:tc>
      </w:tr>
      <w:tr w:rsidR="00F8565C" w:rsidRPr="003D733D" w14:paraId="569CDFCF" w14:textId="77777777" w:rsidTr="00F8565C">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6C6E0600" w14:textId="77777777" w:rsidR="00F8565C" w:rsidRPr="003D733D" w:rsidRDefault="00F8565C" w:rsidP="00F8565C">
            <w:r w:rsidRPr="003D733D">
              <w:t>OD4/MCC7</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53E912A1" w14:textId="77777777" w:rsidR="00F8565C" w:rsidRPr="003D733D" w:rsidRDefault="00F8565C" w:rsidP="00F8565C">
            <w:r w:rsidRPr="003D733D">
              <w:rPr>
                <w:rFonts w:ascii="Sylfaen" w:hAnsi="Sylfaen" w:cs="Sylfaen"/>
              </w:rPr>
              <w:t>მაშნაარი</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F7C823B" w14:textId="77777777" w:rsidR="00F8565C" w:rsidRPr="003D733D" w:rsidRDefault="00F8565C" w:rsidP="00F8565C">
            <w:pPr>
              <w:rPr>
                <w:lang w:eastAsia="en-GB"/>
              </w:rPr>
            </w:pPr>
            <w:r w:rsidRPr="003D733D">
              <w:t>114</w:t>
            </w:r>
          </w:p>
        </w:tc>
      </w:tr>
    </w:tbl>
    <w:p w14:paraId="5B42E1E3" w14:textId="79238F52" w:rsidR="00F8565C" w:rsidRPr="00F8565C" w:rsidRDefault="00F8565C" w:rsidP="00F8565C">
      <w:pPr>
        <w:rPr>
          <w:sz w:val="18"/>
          <w:lang w:val="ka-GE"/>
        </w:rPr>
      </w:pPr>
      <w:r w:rsidRPr="00F8565C">
        <w:rPr>
          <w:rFonts w:ascii="Sylfaen" w:eastAsia="Calibri" w:hAnsi="Sylfaen" w:cs="Sylfaen"/>
          <w:b/>
          <w:sz w:val="18"/>
        </w:rPr>
        <w:t>აღნიშვნები</w:t>
      </w:r>
      <w:r w:rsidRPr="00F8565C">
        <w:rPr>
          <w:rFonts w:eastAsia="Calibri"/>
          <w:b/>
          <w:sz w:val="18"/>
        </w:rPr>
        <w:t>:</w:t>
      </w:r>
      <w:r w:rsidRPr="00F8565C">
        <w:rPr>
          <w:rFonts w:eastAsia="Calibri"/>
          <w:sz w:val="18"/>
        </w:rPr>
        <w:t xml:space="preserve">  MCC </w:t>
      </w:r>
      <w:r w:rsidRPr="00F8565C">
        <w:rPr>
          <w:rFonts w:ascii="Sylfaen" w:eastAsia="Calibri" w:hAnsi="Sylfaen"/>
          <w:sz w:val="18"/>
          <w:lang w:val="ka-GE"/>
        </w:rPr>
        <w:t>სატრანპორტო ნაკადის კლასიფიცირებული დათვლა (ხელით)</w:t>
      </w:r>
      <w:r w:rsidRPr="00F8565C">
        <w:rPr>
          <w:rFonts w:eastAsia="Calibri"/>
          <w:sz w:val="18"/>
        </w:rPr>
        <w:t xml:space="preserve">, OD – </w:t>
      </w:r>
      <w:r w:rsidRPr="00F8565C">
        <w:rPr>
          <w:rFonts w:ascii="Sylfaen" w:eastAsia="Calibri" w:hAnsi="Sylfaen"/>
          <w:sz w:val="18"/>
          <w:lang w:val="ka-GE"/>
        </w:rPr>
        <w:t>საწყისი და საბოლოო პუნქტების გამოკითხვა</w:t>
      </w:r>
      <w:r w:rsidRPr="00F8565C">
        <w:rPr>
          <w:rFonts w:eastAsia="Calibri"/>
          <w:sz w:val="18"/>
        </w:rPr>
        <w:t xml:space="preserve">, TMC – </w:t>
      </w:r>
      <w:r w:rsidRPr="00F8565C">
        <w:rPr>
          <w:rFonts w:ascii="Sylfaen" w:eastAsia="Calibri" w:hAnsi="Sylfaen" w:cs="Sylfaen"/>
          <w:sz w:val="18"/>
        </w:rPr>
        <w:t>გზიდან</w:t>
      </w:r>
      <w:r w:rsidRPr="00F8565C">
        <w:rPr>
          <w:rFonts w:eastAsia="Calibri"/>
          <w:sz w:val="18"/>
        </w:rPr>
        <w:t xml:space="preserve"> </w:t>
      </w:r>
      <w:r w:rsidRPr="00F8565C">
        <w:rPr>
          <w:rFonts w:ascii="Sylfaen" w:eastAsia="Calibri" w:hAnsi="Sylfaen" w:cs="Sylfaen"/>
          <w:sz w:val="18"/>
        </w:rPr>
        <w:t>გასული</w:t>
      </w:r>
      <w:r w:rsidRPr="00F8565C">
        <w:rPr>
          <w:rFonts w:eastAsia="Calibri"/>
          <w:sz w:val="18"/>
        </w:rPr>
        <w:t>/</w:t>
      </w:r>
      <w:r w:rsidRPr="00F8565C">
        <w:rPr>
          <w:rFonts w:ascii="Sylfaen" w:eastAsia="Calibri" w:hAnsi="Sylfaen" w:cs="Sylfaen"/>
          <w:sz w:val="18"/>
        </w:rPr>
        <w:t>გზაზე</w:t>
      </w:r>
      <w:r w:rsidRPr="00F8565C">
        <w:rPr>
          <w:rFonts w:eastAsia="Calibri"/>
          <w:sz w:val="18"/>
        </w:rPr>
        <w:t xml:space="preserve"> </w:t>
      </w:r>
      <w:r w:rsidRPr="00F8565C">
        <w:rPr>
          <w:rFonts w:ascii="Sylfaen" w:eastAsia="Calibri" w:hAnsi="Sylfaen" w:cs="Sylfaen"/>
          <w:sz w:val="18"/>
        </w:rPr>
        <w:t>შემოსული</w:t>
      </w:r>
      <w:r w:rsidRPr="00F8565C">
        <w:rPr>
          <w:rFonts w:eastAsia="Calibri"/>
          <w:sz w:val="18"/>
        </w:rPr>
        <w:t xml:space="preserve"> </w:t>
      </w:r>
      <w:r w:rsidRPr="00F8565C">
        <w:rPr>
          <w:rFonts w:ascii="Sylfaen" w:eastAsia="Calibri" w:hAnsi="Sylfaen" w:cs="Sylfaen"/>
          <w:sz w:val="18"/>
        </w:rPr>
        <w:t>სატრანსპორტო</w:t>
      </w:r>
      <w:r w:rsidRPr="00F8565C">
        <w:rPr>
          <w:rFonts w:eastAsia="Calibri"/>
          <w:sz w:val="18"/>
        </w:rPr>
        <w:t xml:space="preserve"> </w:t>
      </w:r>
      <w:r w:rsidRPr="00F8565C">
        <w:rPr>
          <w:rFonts w:ascii="Sylfaen" w:eastAsia="Calibri" w:hAnsi="Sylfaen" w:cs="Sylfaen"/>
          <w:sz w:val="18"/>
        </w:rPr>
        <w:t>ნაკადების</w:t>
      </w:r>
      <w:r w:rsidRPr="00F8565C">
        <w:rPr>
          <w:rFonts w:eastAsia="Calibri"/>
          <w:sz w:val="18"/>
        </w:rPr>
        <w:t xml:space="preserve"> </w:t>
      </w:r>
      <w:r w:rsidRPr="00F8565C">
        <w:rPr>
          <w:rFonts w:ascii="Sylfaen" w:eastAsia="Calibri" w:hAnsi="Sylfaen" w:cs="Sylfaen"/>
          <w:sz w:val="18"/>
        </w:rPr>
        <w:t>დათვლა</w:t>
      </w:r>
      <w:r w:rsidRPr="00F8565C">
        <w:rPr>
          <w:rFonts w:eastAsia="Calibri"/>
          <w:sz w:val="18"/>
        </w:rPr>
        <w:t xml:space="preserve">. </w:t>
      </w:r>
    </w:p>
    <w:p w14:paraId="2FE0AB91" w14:textId="77777777" w:rsidR="00F8565C" w:rsidRPr="00F8565C" w:rsidRDefault="00F8565C" w:rsidP="00F8565C">
      <w:pPr>
        <w:rPr>
          <w:rFonts w:eastAsia="Calibri"/>
          <w:sz w:val="18"/>
        </w:rPr>
      </w:pPr>
      <w:r w:rsidRPr="00F8565C">
        <w:rPr>
          <w:rFonts w:ascii="Sylfaen" w:eastAsia="Calibri" w:hAnsi="Sylfaen" w:cs="Sylfaen"/>
          <w:b/>
          <w:sz w:val="18"/>
        </w:rPr>
        <w:t>შენიშვნა</w:t>
      </w:r>
      <w:r w:rsidRPr="00F8565C">
        <w:rPr>
          <w:rFonts w:eastAsia="Calibri"/>
          <w:b/>
          <w:sz w:val="18"/>
        </w:rPr>
        <w:t>:</w:t>
      </w:r>
      <w:r w:rsidRPr="00F8565C">
        <w:rPr>
          <w:rFonts w:eastAsia="Calibri"/>
          <w:sz w:val="18"/>
        </w:rPr>
        <w:t xml:space="preserve"> </w:t>
      </w:r>
      <w:r w:rsidRPr="00F8565C">
        <w:rPr>
          <w:rFonts w:ascii="Sylfaen" w:eastAsia="Calibri" w:hAnsi="Sylfaen" w:cs="Sylfaen"/>
          <w:sz w:val="18"/>
        </w:rPr>
        <w:t>თელავი</w:t>
      </w:r>
      <w:r w:rsidRPr="00F8565C">
        <w:rPr>
          <w:rFonts w:eastAsia="Calibri"/>
          <w:sz w:val="18"/>
        </w:rPr>
        <w:t>-</w:t>
      </w:r>
      <w:r w:rsidRPr="00F8565C">
        <w:rPr>
          <w:rFonts w:ascii="Sylfaen" w:eastAsia="Calibri" w:hAnsi="Sylfaen" w:cs="Sylfaen"/>
          <w:sz w:val="18"/>
        </w:rPr>
        <w:t>ბაკურციხის</w:t>
      </w:r>
      <w:r w:rsidRPr="00F8565C">
        <w:rPr>
          <w:rFonts w:eastAsia="Calibri"/>
          <w:sz w:val="18"/>
        </w:rPr>
        <w:t xml:space="preserve"> </w:t>
      </w:r>
      <w:r w:rsidRPr="00F8565C">
        <w:rPr>
          <w:rFonts w:ascii="Sylfaen" w:eastAsia="Calibri" w:hAnsi="Sylfaen" w:cs="Sylfaen"/>
          <w:sz w:val="18"/>
        </w:rPr>
        <w:t>მონაკვეთზე</w:t>
      </w:r>
      <w:r w:rsidRPr="00F8565C">
        <w:rPr>
          <w:rFonts w:eastAsia="Calibri"/>
          <w:sz w:val="18"/>
        </w:rPr>
        <w:t xml:space="preserve"> </w:t>
      </w:r>
      <w:r w:rsidRPr="00F8565C">
        <w:rPr>
          <w:rFonts w:ascii="Sylfaen" w:eastAsia="Calibri" w:hAnsi="Sylfaen" w:cs="Sylfaen"/>
          <w:sz w:val="18"/>
        </w:rPr>
        <w:t>კოლიმეტრაჟი</w:t>
      </w:r>
      <w:r w:rsidRPr="00F8565C">
        <w:rPr>
          <w:rFonts w:eastAsia="Calibri"/>
          <w:sz w:val="18"/>
        </w:rPr>
        <w:t xml:space="preserve"> (</w:t>
      </w:r>
      <w:r w:rsidRPr="00F8565C">
        <w:rPr>
          <w:rFonts w:ascii="Sylfaen" w:eastAsia="Calibri" w:hAnsi="Sylfaen" w:cs="Sylfaen"/>
          <w:sz w:val="18"/>
        </w:rPr>
        <w:t>კმ</w:t>
      </w:r>
      <w:r w:rsidRPr="00F8565C">
        <w:rPr>
          <w:rFonts w:eastAsia="Calibri"/>
          <w:sz w:val="18"/>
        </w:rPr>
        <w:t xml:space="preserve"> </w:t>
      </w:r>
      <w:r w:rsidRPr="00F8565C">
        <w:rPr>
          <w:rFonts w:ascii="Sylfaen" w:eastAsia="Calibri" w:hAnsi="Sylfaen" w:cs="Sylfaen"/>
          <w:sz w:val="18"/>
        </w:rPr>
        <w:t>ნიშნულები</w:t>
      </w:r>
      <w:r w:rsidRPr="00F8565C">
        <w:rPr>
          <w:rFonts w:eastAsia="Calibri"/>
          <w:sz w:val="18"/>
        </w:rPr>
        <w:t xml:space="preserve">) </w:t>
      </w:r>
      <w:r w:rsidRPr="00F8565C">
        <w:rPr>
          <w:rFonts w:ascii="Sylfaen" w:eastAsia="Calibri" w:hAnsi="Sylfaen" w:cs="Sylfaen"/>
          <w:sz w:val="18"/>
        </w:rPr>
        <w:t>აითვლება</w:t>
      </w:r>
      <w:r w:rsidRPr="00F8565C">
        <w:rPr>
          <w:rFonts w:eastAsia="Calibri"/>
          <w:sz w:val="18"/>
        </w:rPr>
        <w:t xml:space="preserve"> </w:t>
      </w:r>
      <w:r w:rsidRPr="00F8565C">
        <w:rPr>
          <w:rFonts w:ascii="Sylfaen" w:eastAsia="Calibri" w:hAnsi="Sylfaen" w:cs="Sylfaen"/>
          <w:sz w:val="18"/>
        </w:rPr>
        <w:t>ახმეტიდან</w:t>
      </w:r>
      <w:r w:rsidRPr="00F8565C">
        <w:rPr>
          <w:rFonts w:eastAsia="Calibri"/>
          <w:sz w:val="18"/>
        </w:rPr>
        <w:t xml:space="preserve">, </w:t>
      </w:r>
      <w:r w:rsidRPr="00F8565C">
        <w:rPr>
          <w:rFonts w:ascii="Sylfaen" w:eastAsia="Calibri" w:hAnsi="Sylfaen" w:cs="Sylfaen"/>
          <w:sz w:val="18"/>
        </w:rPr>
        <w:t>ხოლო</w:t>
      </w:r>
      <w:r w:rsidRPr="00F8565C">
        <w:rPr>
          <w:rFonts w:eastAsia="Calibri"/>
          <w:sz w:val="18"/>
        </w:rPr>
        <w:t xml:space="preserve"> </w:t>
      </w:r>
      <w:r w:rsidRPr="00F8565C">
        <w:rPr>
          <w:rFonts w:ascii="Sylfaen" w:eastAsia="Calibri" w:hAnsi="Sylfaen" w:cs="Sylfaen"/>
          <w:sz w:val="18"/>
        </w:rPr>
        <w:t>ბაკურციხე</w:t>
      </w:r>
      <w:r w:rsidRPr="00F8565C">
        <w:rPr>
          <w:rFonts w:eastAsia="Calibri"/>
          <w:sz w:val="18"/>
        </w:rPr>
        <w:t>-</w:t>
      </w:r>
      <w:r w:rsidRPr="00F8565C">
        <w:rPr>
          <w:rFonts w:ascii="Sylfaen" w:eastAsia="Calibri" w:hAnsi="Sylfaen" w:cs="Sylfaen"/>
          <w:sz w:val="18"/>
        </w:rPr>
        <w:t>წნორის</w:t>
      </w:r>
      <w:r w:rsidRPr="00F8565C">
        <w:rPr>
          <w:rFonts w:eastAsia="Calibri"/>
          <w:sz w:val="18"/>
        </w:rPr>
        <w:t xml:space="preserve"> </w:t>
      </w:r>
      <w:r w:rsidRPr="00F8565C">
        <w:rPr>
          <w:rFonts w:ascii="Sylfaen" w:eastAsia="Calibri" w:hAnsi="Sylfaen" w:cs="Sylfaen"/>
          <w:sz w:val="18"/>
        </w:rPr>
        <w:t>მონაკვეთზე</w:t>
      </w:r>
      <w:r w:rsidRPr="00F8565C">
        <w:rPr>
          <w:rFonts w:eastAsia="Calibri"/>
          <w:sz w:val="18"/>
        </w:rPr>
        <w:t xml:space="preserve"> - </w:t>
      </w:r>
      <w:r w:rsidRPr="00F8565C">
        <w:rPr>
          <w:rFonts w:ascii="Sylfaen" w:eastAsia="Calibri" w:hAnsi="Sylfaen" w:cs="Sylfaen"/>
          <w:sz w:val="18"/>
        </w:rPr>
        <w:t>თბილისიდან</w:t>
      </w:r>
      <w:r w:rsidRPr="00F8565C">
        <w:rPr>
          <w:rFonts w:eastAsia="Calibri"/>
          <w:sz w:val="18"/>
        </w:rPr>
        <w:t>.</w:t>
      </w:r>
    </w:p>
    <w:p w14:paraId="592294F1" w14:textId="77777777" w:rsidR="00F8565C" w:rsidRPr="00F8565C" w:rsidRDefault="00F8565C" w:rsidP="00F8565C">
      <w:pPr>
        <w:rPr>
          <w:rFonts w:eastAsia="Calibri"/>
          <w:sz w:val="18"/>
        </w:rPr>
      </w:pPr>
      <w:r w:rsidRPr="00F8565C">
        <w:rPr>
          <w:rFonts w:ascii="Sylfaen" w:eastAsia="Calibri" w:hAnsi="Sylfaen" w:cs="Sylfaen"/>
          <w:b/>
          <w:sz w:val="18"/>
        </w:rPr>
        <w:t>წყარო</w:t>
      </w:r>
      <w:r w:rsidRPr="00F8565C">
        <w:rPr>
          <w:rFonts w:eastAsia="Calibri"/>
          <w:b/>
          <w:sz w:val="18"/>
        </w:rPr>
        <w:t>:</w:t>
      </w:r>
      <w:r w:rsidRPr="00F8565C">
        <w:rPr>
          <w:rFonts w:eastAsia="Calibri"/>
          <w:sz w:val="18"/>
        </w:rPr>
        <w:t xml:space="preserve"> </w:t>
      </w:r>
      <w:r w:rsidRPr="00F8565C">
        <w:rPr>
          <w:rFonts w:ascii="Sylfaen" w:eastAsia="Calibri" w:hAnsi="Sylfaen" w:cs="Sylfaen"/>
          <w:sz w:val="18"/>
        </w:rPr>
        <w:t>კონსულტანტი</w:t>
      </w:r>
    </w:p>
    <w:p w14:paraId="1EB8D564" w14:textId="77777777" w:rsidR="00F8565C" w:rsidRPr="003D733D" w:rsidRDefault="00F8565C" w:rsidP="00F8565C">
      <w:pPr>
        <w:rPr>
          <w:rFonts w:eastAsia="Calibri"/>
        </w:rPr>
      </w:pPr>
    </w:p>
    <w:p w14:paraId="33DF3020" w14:textId="77777777" w:rsidR="00F8565C" w:rsidRPr="003D733D" w:rsidRDefault="00F8565C" w:rsidP="00F8565C">
      <w:r w:rsidRPr="003D733D">
        <w:rPr>
          <w:rFonts w:ascii="Sylfaen" w:hAnsi="Sylfaen" w:cs="Sylfaen"/>
        </w:rPr>
        <w:t>საწყისი</w:t>
      </w:r>
      <w:r w:rsidRPr="003D733D">
        <w:t xml:space="preserve"> </w:t>
      </w:r>
      <w:r w:rsidRPr="003D733D">
        <w:rPr>
          <w:rFonts w:ascii="Sylfaen" w:hAnsi="Sylfaen" w:cs="Sylfaen"/>
        </w:rPr>
        <w:t>და</w:t>
      </w:r>
      <w:r w:rsidRPr="003D733D">
        <w:t xml:space="preserve"> </w:t>
      </w:r>
      <w:r w:rsidRPr="003D733D">
        <w:rPr>
          <w:rFonts w:ascii="Sylfaen" w:hAnsi="Sylfaen" w:cs="Sylfaen"/>
        </w:rPr>
        <w:t>საბოლოო</w:t>
      </w:r>
      <w:r w:rsidRPr="003D733D">
        <w:t xml:space="preserve"> </w:t>
      </w:r>
      <w:r w:rsidRPr="003D733D">
        <w:rPr>
          <w:rFonts w:ascii="Sylfaen" w:hAnsi="Sylfaen" w:cs="Sylfaen"/>
        </w:rPr>
        <w:t>პუნქტების</w:t>
      </w:r>
      <w:r w:rsidRPr="003D733D">
        <w:t xml:space="preserve"> </w:t>
      </w:r>
      <w:r w:rsidRPr="003D733D">
        <w:rPr>
          <w:rFonts w:ascii="Sylfaen" w:hAnsi="Sylfaen" w:cs="Sylfaen"/>
        </w:rPr>
        <w:t>გამოკითხვა</w:t>
      </w:r>
      <w:r w:rsidRPr="003D733D">
        <w:t xml:space="preserve"> </w:t>
      </w:r>
      <w:r w:rsidRPr="003D733D">
        <w:rPr>
          <w:rFonts w:ascii="Sylfaen" w:hAnsi="Sylfaen" w:cs="Sylfaen"/>
        </w:rPr>
        <w:t>ცალკეულ</w:t>
      </w:r>
      <w:r w:rsidRPr="003D733D">
        <w:t xml:space="preserve"> </w:t>
      </w:r>
      <w:r w:rsidRPr="003D733D">
        <w:rPr>
          <w:rFonts w:ascii="Sylfaen" w:hAnsi="Sylfaen" w:cs="Sylfaen"/>
        </w:rPr>
        <w:t>პუნქტებში</w:t>
      </w:r>
      <w:r w:rsidRPr="003D733D">
        <w:t xml:space="preserve"> </w:t>
      </w:r>
      <w:r w:rsidRPr="003D733D">
        <w:rPr>
          <w:rFonts w:ascii="Sylfaen" w:hAnsi="Sylfaen" w:cs="Sylfaen"/>
        </w:rPr>
        <w:t>თითო</w:t>
      </w:r>
      <w:r w:rsidRPr="003D733D">
        <w:t xml:space="preserve"> </w:t>
      </w:r>
      <w:r w:rsidRPr="003D733D">
        <w:rPr>
          <w:rFonts w:ascii="Sylfaen" w:hAnsi="Sylfaen" w:cs="Sylfaen"/>
        </w:rPr>
        <w:t>მიმართულებას</w:t>
      </w:r>
      <w:r w:rsidRPr="003D733D">
        <w:t xml:space="preserve"> </w:t>
      </w:r>
      <w:r w:rsidRPr="003D733D">
        <w:rPr>
          <w:rFonts w:ascii="Sylfaen" w:hAnsi="Sylfaen" w:cs="Sylfaen"/>
        </w:rPr>
        <w:t>მოიცავდა</w:t>
      </w:r>
      <w:r w:rsidRPr="003D733D">
        <w:t xml:space="preserve">, </w:t>
      </w:r>
      <w:r w:rsidRPr="003D733D">
        <w:rPr>
          <w:rFonts w:ascii="Sylfaen" w:hAnsi="Sylfaen" w:cs="Sylfaen"/>
        </w:rPr>
        <w:t>რის</w:t>
      </w:r>
      <w:r w:rsidRPr="003D733D">
        <w:t xml:space="preserve"> </w:t>
      </w:r>
      <w:r w:rsidRPr="003D733D">
        <w:rPr>
          <w:rFonts w:ascii="Sylfaen" w:hAnsi="Sylfaen" w:cs="Sylfaen"/>
        </w:rPr>
        <w:t>გამოც</w:t>
      </w:r>
      <w:r w:rsidRPr="003D733D">
        <w:t xml:space="preserve"> </w:t>
      </w:r>
      <w:r w:rsidRPr="003D733D">
        <w:rPr>
          <w:rFonts w:ascii="Sylfaen" w:hAnsi="Sylfaen" w:cs="Sylfaen"/>
        </w:rPr>
        <w:t>გამოკითხვის</w:t>
      </w:r>
      <w:r w:rsidRPr="003D733D">
        <w:t xml:space="preserve"> </w:t>
      </w:r>
      <w:r w:rsidRPr="003D733D">
        <w:rPr>
          <w:rFonts w:ascii="Sylfaen" w:hAnsi="Sylfaen" w:cs="Sylfaen"/>
        </w:rPr>
        <w:t>შედეგები</w:t>
      </w:r>
      <w:r w:rsidRPr="003D733D">
        <w:t xml:space="preserve"> </w:t>
      </w:r>
      <w:r w:rsidRPr="003D733D">
        <w:rPr>
          <w:rFonts w:ascii="Sylfaen" w:hAnsi="Sylfaen" w:cs="Sylfaen"/>
        </w:rPr>
        <w:t>ორი</w:t>
      </w:r>
      <w:r w:rsidRPr="003D733D">
        <w:t xml:space="preserve"> </w:t>
      </w:r>
      <w:r w:rsidRPr="003D733D">
        <w:rPr>
          <w:rFonts w:ascii="Sylfaen" w:hAnsi="Sylfaen" w:cs="Sylfaen"/>
        </w:rPr>
        <w:t>წყვილისგან</w:t>
      </w:r>
      <w:r w:rsidRPr="003D733D">
        <w:t xml:space="preserve"> </w:t>
      </w:r>
      <w:r w:rsidRPr="003D733D">
        <w:rPr>
          <w:rFonts w:ascii="Sylfaen" w:hAnsi="Sylfaen" w:cs="Sylfaen"/>
        </w:rPr>
        <w:t>შედგება</w:t>
      </w:r>
      <w:r w:rsidRPr="003D733D">
        <w:t xml:space="preserve">. </w:t>
      </w:r>
      <w:r w:rsidRPr="003D733D">
        <w:rPr>
          <w:rFonts w:ascii="Sylfaen" w:hAnsi="Sylfaen" w:cs="Sylfaen"/>
        </w:rPr>
        <w:t>ლოჯისტიკური</w:t>
      </w:r>
      <w:r w:rsidRPr="003D733D">
        <w:t xml:space="preserve"> </w:t>
      </w:r>
      <w:r w:rsidRPr="003D733D">
        <w:rPr>
          <w:rFonts w:ascii="Sylfaen" w:hAnsi="Sylfaen" w:cs="Sylfaen"/>
        </w:rPr>
        <w:t>და</w:t>
      </w:r>
      <w:r w:rsidRPr="003D733D">
        <w:t xml:space="preserve"> </w:t>
      </w:r>
      <w:r w:rsidRPr="003D733D">
        <w:rPr>
          <w:rFonts w:ascii="Sylfaen" w:hAnsi="Sylfaen" w:cs="Sylfaen"/>
        </w:rPr>
        <w:t>უსაფრთხოების</w:t>
      </w:r>
      <w:r w:rsidRPr="003D733D">
        <w:t xml:space="preserve"> </w:t>
      </w:r>
      <w:r w:rsidRPr="003D733D">
        <w:rPr>
          <w:rFonts w:ascii="Sylfaen" w:hAnsi="Sylfaen" w:cs="Sylfaen"/>
        </w:rPr>
        <w:t>მოსაზრებების</w:t>
      </w:r>
      <w:r w:rsidRPr="003D733D">
        <w:t xml:space="preserve"> </w:t>
      </w:r>
      <w:r w:rsidRPr="003D733D">
        <w:rPr>
          <w:rFonts w:ascii="Sylfaen" w:hAnsi="Sylfaen" w:cs="Sylfaen"/>
        </w:rPr>
        <w:t>გამო</w:t>
      </w:r>
      <w:r w:rsidRPr="003D733D">
        <w:t xml:space="preserve">, </w:t>
      </w:r>
      <w:r w:rsidRPr="003D733D">
        <w:rPr>
          <w:rFonts w:ascii="Sylfaen" w:hAnsi="Sylfaen" w:cs="Sylfaen"/>
        </w:rPr>
        <w:t>ერთსა</w:t>
      </w:r>
      <w:r w:rsidRPr="003D733D">
        <w:t xml:space="preserve"> </w:t>
      </w:r>
      <w:r w:rsidRPr="003D733D">
        <w:rPr>
          <w:rFonts w:ascii="Sylfaen" w:hAnsi="Sylfaen" w:cs="Sylfaen"/>
        </w:rPr>
        <w:t>და</w:t>
      </w:r>
      <w:r w:rsidRPr="003D733D">
        <w:t xml:space="preserve"> </w:t>
      </w:r>
      <w:r w:rsidRPr="003D733D">
        <w:rPr>
          <w:rFonts w:ascii="Sylfaen" w:hAnsi="Sylfaen" w:cs="Sylfaen"/>
        </w:rPr>
        <w:t>იმავე</w:t>
      </w:r>
      <w:r w:rsidRPr="003D733D">
        <w:t xml:space="preserve"> </w:t>
      </w:r>
      <w:r w:rsidRPr="003D733D">
        <w:rPr>
          <w:rFonts w:ascii="Sylfaen" w:hAnsi="Sylfaen" w:cs="Sylfaen"/>
        </w:rPr>
        <w:t>პუნქტში</w:t>
      </w:r>
      <w:r w:rsidRPr="003D733D">
        <w:t xml:space="preserve"> </w:t>
      </w:r>
      <w:r w:rsidRPr="003D733D">
        <w:rPr>
          <w:rFonts w:ascii="Sylfaen" w:hAnsi="Sylfaen" w:cs="Sylfaen"/>
        </w:rPr>
        <w:t>ორივე</w:t>
      </w:r>
      <w:r w:rsidRPr="003D733D">
        <w:t xml:space="preserve"> </w:t>
      </w:r>
      <w:r w:rsidRPr="003D733D">
        <w:rPr>
          <w:rFonts w:ascii="Sylfaen" w:hAnsi="Sylfaen" w:cs="Sylfaen"/>
        </w:rPr>
        <w:t>მიმართულების</w:t>
      </w:r>
      <w:r w:rsidRPr="003D733D">
        <w:t xml:space="preserve"> </w:t>
      </w:r>
      <w:r w:rsidRPr="003D733D">
        <w:rPr>
          <w:rFonts w:ascii="Sylfaen" w:hAnsi="Sylfaen" w:cs="Sylfaen"/>
        </w:rPr>
        <w:t>აღწერა</w:t>
      </w:r>
      <w:r w:rsidRPr="003D733D">
        <w:t xml:space="preserve"> </w:t>
      </w:r>
      <w:r w:rsidRPr="003D733D">
        <w:rPr>
          <w:rFonts w:ascii="Sylfaen" w:hAnsi="Sylfaen" w:cs="Sylfaen"/>
        </w:rPr>
        <w:t>შეუძლებელი</w:t>
      </w:r>
      <w:r w:rsidRPr="003D733D">
        <w:t xml:space="preserve"> </w:t>
      </w:r>
      <w:r w:rsidRPr="003D733D">
        <w:rPr>
          <w:rFonts w:ascii="Sylfaen" w:hAnsi="Sylfaen" w:cs="Sylfaen"/>
        </w:rPr>
        <w:t>აღმოჩნდა</w:t>
      </w:r>
      <w:r w:rsidRPr="003D733D">
        <w:t>.</w:t>
      </w:r>
    </w:p>
    <w:p w14:paraId="14460A74" w14:textId="0F59899A" w:rsidR="00F8565C" w:rsidRPr="003D733D" w:rsidRDefault="00F8565C" w:rsidP="00F8565C">
      <w:r w:rsidRPr="003D733D">
        <w:rPr>
          <w:noProof/>
          <w:lang w:val="en-US" w:eastAsia="en-US"/>
        </w:rPr>
        <mc:AlternateContent>
          <mc:Choice Requires="wpc">
            <w:drawing>
              <wp:inline distT="0" distB="0" distL="0" distR="0" wp14:anchorId="0B7D962D" wp14:editId="273B185A">
                <wp:extent cx="6202392" cy="3728720"/>
                <wp:effectExtent l="0" t="0" r="0" b="0"/>
                <wp:docPr id="223" name="Canvas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6" name="Rectangle 5"/>
                        <wps:cNvSpPr>
                          <a:spLocks noChangeArrowheads="1"/>
                        </wps:cNvSpPr>
                        <wps:spPr bwMode="auto">
                          <a:xfrm>
                            <a:off x="20900" y="27300"/>
                            <a:ext cx="73025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69442" w14:textId="77777777" w:rsidR="00A2588D" w:rsidRPr="00F8565C" w:rsidRDefault="00A2588D" w:rsidP="00F8565C">
                              <w:pPr>
                                <w:rPr>
                                  <w:rFonts w:ascii="AcadNusx" w:hAnsi="AcadNusx"/>
                                </w:rPr>
                              </w:pPr>
                              <w:r w:rsidRPr="00F8565C">
                                <w:rPr>
                                  <w:rFonts w:ascii="AcadNusx" w:hAnsi="AcadNusx"/>
                                </w:rPr>
                                <w:t>axmetisken</w:t>
                              </w:r>
                            </w:p>
                          </w:txbxContent>
                        </wps:txbx>
                        <wps:bodyPr rot="0" vert="horz" wrap="none" lIns="0" tIns="0" rIns="0" bIns="0" anchor="t" anchorCtr="0" upright="1">
                          <a:spAutoFit/>
                        </wps:bodyPr>
                      </wps:wsp>
                      <wps:wsp>
                        <wps:cNvPr id="87" name="Rectangle 6"/>
                        <wps:cNvSpPr>
                          <a:spLocks noChangeArrowheads="1"/>
                        </wps:cNvSpPr>
                        <wps:spPr bwMode="auto">
                          <a:xfrm>
                            <a:off x="536509" y="151701"/>
                            <a:ext cx="51244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56637" w14:textId="77777777" w:rsidR="00A2588D" w:rsidRPr="00F8565C" w:rsidRDefault="00A2588D" w:rsidP="00F8565C">
                              <w:pPr>
                                <w:rPr>
                                  <w:rFonts w:ascii="AcadNusx" w:hAnsi="AcadNusx"/>
                                </w:rPr>
                              </w:pPr>
                              <w:r w:rsidRPr="00F8565C">
                                <w:rPr>
                                  <w:rFonts w:ascii="AcadNusx" w:hAnsi="AcadNusx"/>
                                </w:rPr>
                                <w:t>Telavi</w:t>
                              </w:r>
                            </w:p>
                          </w:txbxContent>
                        </wps:txbx>
                        <wps:bodyPr rot="0" vert="horz" wrap="none" lIns="0" tIns="0" rIns="0" bIns="0" anchor="t" anchorCtr="0" upright="1">
                          <a:spAutoFit/>
                        </wps:bodyPr>
                      </wps:wsp>
                      <wps:wsp>
                        <wps:cNvPr id="88" name="Rectangle 7"/>
                        <wps:cNvSpPr>
                          <a:spLocks noChangeArrowheads="1"/>
                        </wps:cNvSpPr>
                        <wps:spPr bwMode="auto">
                          <a:xfrm>
                            <a:off x="900865" y="440602"/>
                            <a:ext cx="97345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7F60C" w14:textId="77777777" w:rsidR="00A2588D" w:rsidRPr="00F8565C" w:rsidRDefault="00A2588D" w:rsidP="00F8565C">
                              <w:pPr>
                                <w:rPr>
                                  <w:rFonts w:ascii="Sylfaen" w:hAnsi="Sylfaen"/>
                                </w:rPr>
                              </w:pPr>
                              <w:r w:rsidRPr="00F8565C">
                                <w:rPr>
                                  <w:rFonts w:ascii="Sylfaen" w:hAnsi="Sylfaen"/>
                                </w:rPr>
                                <w:t>OD1&amp;2/mcc1&amp;2</w:t>
                              </w:r>
                            </w:p>
                          </w:txbxContent>
                        </wps:txbx>
                        <wps:bodyPr rot="0" vert="horz" wrap="none" lIns="0" tIns="0" rIns="0" bIns="0" anchor="t" anchorCtr="0" upright="1">
                          <a:spAutoFit/>
                        </wps:bodyPr>
                      </wps:wsp>
                      <wps:wsp>
                        <wps:cNvPr id="89" name="Rectangle 8"/>
                        <wps:cNvSpPr>
                          <a:spLocks noChangeArrowheads="1"/>
                        </wps:cNvSpPr>
                        <wps:spPr bwMode="auto">
                          <a:xfrm>
                            <a:off x="2249837" y="440602"/>
                            <a:ext cx="78994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EF069" w14:textId="77777777" w:rsidR="00A2588D" w:rsidRPr="00F8565C" w:rsidRDefault="00A2588D" w:rsidP="00F8565C">
                              <w:pPr>
                                <w:rPr>
                                  <w:rFonts w:ascii="AcadNusx" w:hAnsi="AcadNusx"/>
                                </w:rPr>
                              </w:pPr>
                              <w:r w:rsidRPr="00F8565C">
                                <w:rPr>
                                  <w:rFonts w:ascii="AcadNusx" w:hAnsi="AcadNusx"/>
                                </w:rPr>
                                <w:t>yvarlisken</w:t>
                              </w:r>
                            </w:p>
                          </w:txbxContent>
                        </wps:txbx>
                        <wps:bodyPr rot="0" vert="horz" wrap="none" lIns="0" tIns="0" rIns="0" bIns="0" anchor="t" anchorCtr="0" upright="1">
                          <a:spAutoFit/>
                        </wps:bodyPr>
                      </wps:wsp>
                      <wps:wsp>
                        <wps:cNvPr id="90" name="Rectangle 9"/>
                        <wps:cNvSpPr>
                          <a:spLocks noChangeArrowheads="1"/>
                        </wps:cNvSpPr>
                        <wps:spPr bwMode="auto">
                          <a:xfrm>
                            <a:off x="901015" y="716204"/>
                            <a:ext cx="3340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21EDD" w14:textId="77777777" w:rsidR="00A2588D" w:rsidRPr="003D733D" w:rsidRDefault="00A2588D" w:rsidP="00F8565C">
                              <w:r w:rsidRPr="003D733D">
                                <w:t>mcc3</w:t>
                              </w:r>
                            </w:p>
                          </w:txbxContent>
                        </wps:txbx>
                        <wps:bodyPr rot="0" vert="horz" wrap="none" lIns="0" tIns="0" rIns="0" bIns="0" anchor="t" anchorCtr="0" upright="1">
                          <a:spAutoFit/>
                        </wps:bodyPr>
                      </wps:wsp>
                      <wps:wsp>
                        <wps:cNvPr id="91" name="Rectangle 10"/>
                        <wps:cNvSpPr>
                          <a:spLocks noChangeArrowheads="1"/>
                        </wps:cNvSpPr>
                        <wps:spPr bwMode="auto">
                          <a:xfrm>
                            <a:off x="1341722" y="702904"/>
                            <a:ext cx="39687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DC0B5" w14:textId="77777777" w:rsidR="00A2588D" w:rsidRPr="00F8565C" w:rsidRDefault="00A2588D" w:rsidP="00F8565C">
                              <w:pPr>
                                <w:rPr>
                                  <w:rFonts w:ascii="AcadNusx" w:hAnsi="AcadNusx"/>
                                </w:rPr>
                              </w:pPr>
                              <w:r w:rsidRPr="00F8565C">
                                <w:rPr>
                                  <w:rFonts w:ascii="AcadNusx" w:hAnsi="AcadNusx"/>
                                </w:rPr>
                                <w:t>akura</w:t>
                              </w:r>
                            </w:p>
                          </w:txbxContent>
                        </wps:txbx>
                        <wps:bodyPr rot="0" vert="horz" wrap="none" lIns="0" tIns="0" rIns="0" bIns="0" anchor="t" anchorCtr="0" upright="1">
                          <a:spAutoFit/>
                        </wps:bodyPr>
                      </wps:wsp>
                      <wps:wsp>
                        <wps:cNvPr id="92" name="Rectangle 11"/>
                        <wps:cNvSpPr>
                          <a:spLocks noChangeArrowheads="1"/>
                        </wps:cNvSpPr>
                        <wps:spPr bwMode="auto">
                          <a:xfrm>
                            <a:off x="1781829" y="978505"/>
                            <a:ext cx="72961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EED49" w14:textId="77777777" w:rsidR="00A2588D" w:rsidRPr="00F8565C" w:rsidRDefault="00A2588D" w:rsidP="00F8565C">
                              <w:pPr>
                                <w:rPr>
                                  <w:rFonts w:ascii="AcadNusx" w:hAnsi="AcadNusx"/>
                                </w:rPr>
                              </w:pPr>
                              <w:r w:rsidRPr="00F8565C">
                                <w:rPr>
                                  <w:rFonts w:ascii="AcadNusx" w:hAnsi="AcadNusx"/>
                                </w:rPr>
                                <w:t>veliscixe</w:t>
                              </w:r>
                            </w:p>
                          </w:txbxContent>
                        </wps:txbx>
                        <wps:bodyPr rot="0" vert="horz" wrap="none" lIns="0" tIns="0" rIns="0" bIns="0" anchor="t" anchorCtr="0" upright="1">
                          <a:spAutoFit/>
                        </wps:bodyPr>
                      </wps:wsp>
                      <wps:wsp>
                        <wps:cNvPr id="93" name="Rectangle 12"/>
                        <wps:cNvSpPr>
                          <a:spLocks noChangeArrowheads="1"/>
                        </wps:cNvSpPr>
                        <wps:spPr bwMode="auto">
                          <a:xfrm>
                            <a:off x="1451624" y="1129606"/>
                            <a:ext cx="3028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54F32" w14:textId="77777777" w:rsidR="00A2588D" w:rsidRPr="003D733D" w:rsidRDefault="00A2588D" w:rsidP="00F8565C">
                              <w:r w:rsidRPr="003D733D">
                                <w:t>tmc1</w:t>
                              </w:r>
                            </w:p>
                          </w:txbxContent>
                        </wps:txbx>
                        <wps:bodyPr rot="0" vert="horz" wrap="none" lIns="0" tIns="0" rIns="0" bIns="0" anchor="t" anchorCtr="0" upright="1">
                          <a:spAutoFit/>
                        </wps:bodyPr>
                      </wps:wsp>
                      <wps:wsp>
                        <wps:cNvPr id="94" name="Rectangle 13"/>
                        <wps:cNvSpPr>
                          <a:spLocks noChangeArrowheads="1"/>
                        </wps:cNvSpPr>
                        <wps:spPr bwMode="auto">
                          <a:xfrm>
                            <a:off x="1885331" y="1405208"/>
                            <a:ext cx="3340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80EC6" w14:textId="77777777" w:rsidR="00A2588D" w:rsidRPr="003D733D" w:rsidRDefault="00A2588D" w:rsidP="00F8565C">
                              <w:r w:rsidRPr="003D733D">
                                <w:t>mcc4</w:t>
                              </w:r>
                            </w:p>
                          </w:txbxContent>
                        </wps:txbx>
                        <wps:bodyPr rot="0" vert="horz" wrap="none" lIns="0" tIns="0" rIns="0" bIns="0" anchor="t" anchorCtr="0" upright="1">
                          <a:spAutoFit/>
                        </wps:bodyPr>
                      </wps:wsp>
                      <wps:wsp>
                        <wps:cNvPr id="95" name="Rectangle 14"/>
                        <wps:cNvSpPr>
                          <a:spLocks noChangeArrowheads="1"/>
                        </wps:cNvSpPr>
                        <wps:spPr bwMode="auto">
                          <a:xfrm>
                            <a:off x="3137552" y="1543008"/>
                            <a:ext cx="90106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D131A" w14:textId="77777777" w:rsidR="00A2588D" w:rsidRPr="00F8565C" w:rsidRDefault="00A2588D" w:rsidP="00F8565C">
                              <w:pPr>
                                <w:rPr>
                                  <w:rFonts w:ascii="AcadNusx" w:hAnsi="AcadNusx"/>
                                </w:rPr>
                              </w:pPr>
                              <w:r w:rsidRPr="00F8565C">
                                <w:rPr>
                                  <w:rFonts w:ascii="AcadNusx" w:hAnsi="AcadNusx"/>
                                </w:rPr>
                                <w:t>lelianisken</w:t>
                              </w:r>
                            </w:p>
                          </w:txbxContent>
                        </wps:txbx>
                        <wps:bodyPr rot="0" vert="horz" wrap="none" lIns="0" tIns="0" rIns="0" bIns="0" anchor="t" anchorCtr="0" upright="1">
                          <a:spAutoFit/>
                        </wps:bodyPr>
                      </wps:wsp>
                      <wps:wsp>
                        <wps:cNvPr id="96" name="Rectangle 15"/>
                        <wps:cNvSpPr>
                          <a:spLocks noChangeArrowheads="1"/>
                        </wps:cNvSpPr>
                        <wps:spPr bwMode="auto">
                          <a:xfrm>
                            <a:off x="1781829" y="1667509"/>
                            <a:ext cx="56070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C4C33" w14:textId="77777777" w:rsidR="00A2588D" w:rsidRPr="00F8565C" w:rsidRDefault="00A2588D" w:rsidP="00F8565C">
                              <w:pPr>
                                <w:rPr>
                                  <w:rFonts w:ascii="AcadNusx" w:hAnsi="AcadNusx"/>
                                </w:rPr>
                              </w:pPr>
                              <w:r w:rsidRPr="00F8565C">
                                <w:rPr>
                                  <w:rFonts w:ascii="AcadNusx" w:hAnsi="AcadNusx"/>
                                </w:rPr>
                                <w:t>Cumlayi</w:t>
                              </w:r>
                            </w:p>
                          </w:txbxContent>
                        </wps:txbx>
                        <wps:bodyPr rot="0" vert="horz" wrap="none" lIns="0" tIns="0" rIns="0" bIns="0" anchor="t" anchorCtr="0" upright="1">
                          <a:spAutoFit/>
                        </wps:bodyPr>
                      </wps:wsp>
                      <wps:wsp>
                        <wps:cNvPr id="97" name="Rectangle 16"/>
                        <wps:cNvSpPr>
                          <a:spLocks noChangeArrowheads="1"/>
                        </wps:cNvSpPr>
                        <wps:spPr bwMode="auto">
                          <a:xfrm>
                            <a:off x="2222537" y="2080811"/>
                            <a:ext cx="65659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D24F2" w14:textId="77777777" w:rsidR="00A2588D" w:rsidRPr="00F8565C" w:rsidRDefault="00A2588D" w:rsidP="00F8565C">
                              <w:pPr>
                                <w:rPr>
                                  <w:rFonts w:ascii="AcadNusx" w:hAnsi="AcadNusx"/>
                                </w:rPr>
                              </w:pPr>
                              <w:r w:rsidRPr="00F8565C">
                                <w:rPr>
                                  <w:rFonts w:ascii="AcadNusx" w:hAnsi="AcadNusx"/>
                                </w:rPr>
                                <w:t>gurjaani</w:t>
                              </w:r>
                            </w:p>
                          </w:txbxContent>
                        </wps:txbx>
                        <wps:bodyPr rot="0" vert="horz" wrap="none" lIns="0" tIns="0" rIns="0" bIns="0" anchor="t" anchorCtr="0" upright="1">
                          <a:spAutoFit/>
                        </wps:bodyPr>
                      </wps:wsp>
                      <wps:wsp>
                        <wps:cNvPr id="98" name="Rectangle 17"/>
                        <wps:cNvSpPr>
                          <a:spLocks noChangeArrowheads="1"/>
                        </wps:cNvSpPr>
                        <wps:spPr bwMode="auto">
                          <a:xfrm>
                            <a:off x="2868947" y="2232612"/>
                            <a:ext cx="3340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23DFF" w14:textId="77777777" w:rsidR="00A2588D" w:rsidRPr="003D733D" w:rsidRDefault="00A2588D" w:rsidP="00F8565C">
                              <w:r w:rsidRPr="003D733D">
                                <w:t>mcc5</w:t>
                              </w:r>
                            </w:p>
                          </w:txbxContent>
                        </wps:txbx>
                        <wps:bodyPr rot="0" vert="horz" wrap="none" lIns="0" tIns="0" rIns="0" bIns="0" anchor="t" anchorCtr="0" upright="1">
                          <a:spAutoFit/>
                        </wps:bodyPr>
                      </wps:wsp>
                      <wps:wsp>
                        <wps:cNvPr id="99" name="Rectangle 18"/>
                        <wps:cNvSpPr>
                          <a:spLocks noChangeArrowheads="1"/>
                        </wps:cNvSpPr>
                        <wps:spPr bwMode="auto">
                          <a:xfrm>
                            <a:off x="2821347" y="2508213"/>
                            <a:ext cx="39624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EEC26" w14:textId="77777777" w:rsidR="00A2588D" w:rsidRPr="003D733D" w:rsidRDefault="00A2588D" w:rsidP="00F8565C">
                              <w:r w:rsidRPr="003D733D">
                                <w:t>(tmc2)</w:t>
                              </w:r>
                            </w:p>
                          </w:txbxContent>
                        </wps:txbx>
                        <wps:bodyPr rot="0" vert="horz" wrap="none" lIns="0" tIns="0" rIns="0" bIns="0" anchor="t" anchorCtr="0" upright="1">
                          <a:spAutoFit/>
                        </wps:bodyPr>
                      </wps:wsp>
                      <wps:wsp>
                        <wps:cNvPr id="100" name="Rectangle 19"/>
                        <wps:cNvSpPr>
                          <a:spLocks noChangeArrowheads="1"/>
                        </wps:cNvSpPr>
                        <wps:spPr bwMode="auto">
                          <a:xfrm>
                            <a:off x="3103251" y="2632014"/>
                            <a:ext cx="71564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BAB9F" w14:textId="77777777" w:rsidR="00A2588D" w:rsidRPr="00F8565C" w:rsidRDefault="00A2588D" w:rsidP="00F8565C">
                              <w:pPr>
                                <w:rPr>
                                  <w:rFonts w:ascii="AcadNusx" w:hAnsi="AcadNusx"/>
                                </w:rPr>
                              </w:pPr>
                              <w:r w:rsidRPr="00F8565C">
                                <w:rPr>
                                  <w:rFonts w:ascii="AcadNusx" w:hAnsi="AcadNusx"/>
                                </w:rPr>
                                <w:t xml:space="preserve">bakurcixe </w:t>
                              </w:r>
                            </w:p>
                          </w:txbxContent>
                        </wps:txbx>
                        <wps:bodyPr rot="0" vert="horz" wrap="none" lIns="0" tIns="0" rIns="0" bIns="0" anchor="t" anchorCtr="0" upright="1">
                          <a:spAutoFit/>
                        </wps:bodyPr>
                      </wps:wsp>
                      <wps:wsp>
                        <wps:cNvPr id="101" name="Rectangle 20"/>
                        <wps:cNvSpPr>
                          <a:spLocks noChangeArrowheads="1"/>
                        </wps:cNvSpPr>
                        <wps:spPr bwMode="auto">
                          <a:xfrm>
                            <a:off x="1858031" y="2783815"/>
                            <a:ext cx="8870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B2B0F" w14:textId="77777777" w:rsidR="00A2588D" w:rsidRPr="00F8565C" w:rsidRDefault="00A2588D" w:rsidP="00F8565C">
                              <w:pPr>
                                <w:rPr>
                                  <w:rFonts w:ascii="AcadNusx" w:hAnsi="AcadNusx"/>
                                </w:rPr>
                              </w:pPr>
                              <w:r w:rsidRPr="00F8565C">
                                <w:rPr>
                                  <w:rFonts w:ascii="AcadNusx" w:hAnsi="AcadNusx"/>
                                </w:rPr>
                                <w:t>Tbilisisken</w:t>
                              </w:r>
                            </w:p>
                          </w:txbxContent>
                        </wps:txbx>
                        <wps:bodyPr rot="0" vert="horz" wrap="none" lIns="0" tIns="0" rIns="0" bIns="0" anchor="t" anchorCtr="0" upright="1">
                          <a:spAutoFit/>
                        </wps:bodyPr>
                      </wps:wsp>
                      <wps:wsp>
                        <wps:cNvPr id="102" name="Rectangle 21"/>
                        <wps:cNvSpPr>
                          <a:spLocks noChangeArrowheads="1"/>
                        </wps:cNvSpPr>
                        <wps:spPr bwMode="auto">
                          <a:xfrm>
                            <a:off x="4864781" y="2921616"/>
                            <a:ext cx="98361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3ABCD" w14:textId="77777777" w:rsidR="00A2588D" w:rsidRPr="00F8565C" w:rsidRDefault="00A2588D" w:rsidP="00F8565C">
                              <w:pPr>
                                <w:rPr>
                                  <w:rFonts w:ascii="AcadNusx" w:hAnsi="AcadNusx"/>
                                </w:rPr>
                              </w:pPr>
                              <w:r w:rsidRPr="00F8565C">
                                <w:rPr>
                                  <w:rFonts w:ascii="AcadNusx" w:hAnsi="AcadNusx"/>
                                </w:rPr>
                                <w:t>lagodexisken</w:t>
                              </w:r>
                            </w:p>
                          </w:txbxContent>
                        </wps:txbx>
                        <wps:bodyPr rot="0" vert="horz" wrap="none" lIns="0" tIns="0" rIns="0" bIns="0" anchor="t" anchorCtr="0" upright="1">
                          <a:spAutoFit/>
                        </wps:bodyPr>
                      </wps:wsp>
                      <wps:wsp>
                        <wps:cNvPr id="104" name="Rectangle 22"/>
                        <wps:cNvSpPr>
                          <a:spLocks noChangeArrowheads="1"/>
                        </wps:cNvSpPr>
                        <wps:spPr bwMode="auto">
                          <a:xfrm>
                            <a:off x="3329955" y="3059416"/>
                            <a:ext cx="10020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7435A" w14:textId="77777777" w:rsidR="00A2588D" w:rsidRPr="003D733D" w:rsidRDefault="00A2588D" w:rsidP="00F8565C">
                              <w:r w:rsidRPr="003D733D">
                                <w:t>OD3&amp;4/mcc6&amp;7</w:t>
                              </w:r>
                            </w:p>
                          </w:txbxContent>
                        </wps:txbx>
                        <wps:bodyPr rot="0" vert="horz" wrap="none" lIns="0" tIns="0" rIns="0" bIns="0" anchor="t" anchorCtr="0" upright="1">
                          <a:spAutoFit/>
                        </wps:bodyPr>
                      </wps:wsp>
                      <wps:wsp>
                        <wps:cNvPr id="105" name="Rectangle 23"/>
                        <wps:cNvSpPr>
                          <a:spLocks noChangeArrowheads="1"/>
                        </wps:cNvSpPr>
                        <wps:spPr bwMode="auto">
                          <a:xfrm>
                            <a:off x="4424038" y="3458819"/>
                            <a:ext cx="42354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DE6C0" w14:textId="77777777" w:rsidR="00A2588D" w:rsidRPr="00F8565C" w:rsidRDefault="00A2588D" w:rsidP="00F8565C">
                              <w:pPr>
                                <w:rPr>
                                  <w:rFonts w:ascii="AcadNusx" w:hAnsi="AcadNusx"/>
                                </w:rPr>
                              </w:pPr>
                              <w:r w:rsidRPr="00F8565C">
                                <w:rPr>
                                  <w:rFonts w:ascii="AcadNusx" w:hAnsi="AcadNusx"/>
                                </w:rPr>
                                <w:t>wnori</w:t>
                              </w:r>
                            </w:p>
                          </w:txbxContent>
                        </wps:txbx>
                        <wps:bodyPr rot="0" vert="horz" wrap="none" lIns="0" tIns="0" rIns="0" bIns="0" anchor="t" anchorCtr="0" upright="1">
                          <a:spAutoFit/>
                        </wps:bodyPr>
                      </wps:wsp>
                      <wps:wsp>
                        <wps:cNvPr id="106" name="Line 24"/>
                        <wps:cNvCnPr>
                          <a:cxnSpLocks noChangeShapeType="1"/>
                        </wps:cNvCnPr>
                        <wps:spPr bwMode="auto">
                          <a:xfrm>
                            <a:off x="440007" y="0"/>
                            <a:ext cx="0" cy="69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07" name="Rectangle 25"/>
                        <wps:cNvSpPr>
                          <a:spLocks noChangeArrowheads="1"/>
                        </wps:cNvSpPr>
                        <wps:spPr bwMode="auto">
                          <a:xfrm>
                            <a:off x="440007" y="0"/>
                            <a:ext cx="7000" cy="69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26"/>
                        <wps:cNvCnPr>
                          <a:cxnSpLocks noChangeShapeType="1"/>
                        </wps:cNvCnPr>
                        <wps:spPr bwMode="auto">
                          <a:xfrm>
                            <a:off x="1320822" y="0"/>
                            <a:ext cx="0" cy="420302"/>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09" name="Rectangle 27"/>
                        <wps:cNvSpPr>
                          <a:spLocks noChangeArrowheads="1"/>
                        </wps:cNvSpPr>
                        <wps:spPr bwMode="auto">
                          <a:xfrm>
                            <a:off x="1320822" y="0"/>
                            <a:ext cx="6900" cy="42030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28"/>
                        <wps:cNvCnPr>
                          <a:cxnSpLocks noChangeShapeType="1"/>
                        </wps:cNvCnPr>
                        <wps:spPr bwMode="auto">
                          <a:xfrm>
                            <a:off x="2201536" y="0"/>
                            <a:ext cx="0" cy="971505"/>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11" name="Rectangle 29"/>
                        <wps:cNvSpPr>
                          <a:spLocks noChangeArrowheads="1"/>
                        </wps:cNvSpPr>
                        <wps:spPr bwMode="auto">
                          <a:xfrm>
                            <a:off x="2201536" y="0"/>
                            <a:ext cx="7000" cy="97150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30"/>
                        <wps:cNvCnPr>
                          <a:cxnSpLocks noChangeShapeType="1"/>
                        </wps:cNvCnPr>
                        <wps:spPr bwMode="auto">
                          <a:xfrm>
                            <a:off x="3522958" y="0"/>
                            <a:ext cx="0" cy="2625014"/>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13" name="Rectangle 31"/>
                        <wps:cNvSpPr>
                          <a:spLocks noChangeArrowheads="1"/>
                        </wps:cNvSpPr>
                        <wps:spPr bwMode="auto">
                          <a:xfrm>
                            <a:off x="3522958" y="0"/>
                            <a:ext cx="7000" cy="262501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Line 32"/>
                        <wps:cNvCnPr>
                          <a:cxnSpLocks noChangeShapeType="1"/>
                        </wps:cNvCnPr>
                        <wps:spPr bwMode="auto">
                          <a:xfrm>
                            <a:off x="5284487" y="0"/>
                            <a:ext cx="0" cy="2900616"/>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15" name="Rectangle 33"/>
                        <wps:cNvSpPr>
                          <a:spLocks noChangeArrowheads="1"/>
                        </wps:cNvSpPr>
                        <wps:spPr bwMode="auto">
                          <a:xfrm>
                            <a:off x="5284487" y="0"/>
                            <a:ext cx="7000" cy="29006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34"/>
                        <wps:cNvCnPr>
                          <a:cxnSpLocks noChangeShapeType="1"/>
                        </wps:cNvCnPr>
                        <wps:spPr bwMode="auto">
                          <a:xfrm>
                            <a:off x="3522958" y="2762815"/>
                            <a:ext cx="0" cy="275601"/>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17" name="Rectangle 35"/>
                        <wps:cNvSpPr>
                          <a:spLocks noChangeArrowheads="1"/>
                        </wps:cNvSpPr>
                        <wps:spPr bwMode="auto">
                          <a:xfrm>
                            <a:off x="3522958" y="2762815"/>
                            <a:ext cx="7000" cy="27560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Line 36"/>
                        <wps:cNvCnPr>
                          <a:cxnSpLocks noChangeShapeType="1"/>
                        </wps:cNvCnPr>
                        <wps:spPr bwMode="auto">
                          <a:xfrm>
                            <a:off x="0" y="0"/>
                            <a:ext cx="600" cy="3589619"/>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19" name="Rectangle 37"/>
                        <wps:cNvSpPr>
                          <a:spLocks noChangeArrowheads="1"/>
                        </wps:cNvSpPr>
                        <wps:spPr bwMode="auto">
                          <a:xfrm>
                            <a:off x="0" y="0"/>
                            <a:ext cx="6900" cy="35966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Line 38"/>
                        <wps:cNvCnPr>
                          <a:cxnSpLocks noChangeShapeType="1"/>
                        </wps:cNvCnPr>
                        <wps:spPr bwMode="auto">
                          <a:xfrm>
                            <a:off x="440007" y="144701"/>
                            <a:ext cx="600" cy="3444918"/>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21" name="Rectangle 39"/>
                        <wps:cNvSpPr>
                          <a:spLocks noChangeArrowheads="1"/>
                        </wps:cNvSpPr>
                        <wps:spPr bwMode="auto">
                          <a:xfrm>
                            <a:off x="440007" y="144701"/>
                            <a:ext cx="7000" cy="34519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Line 40"/>
                        <wps:cNvCnPr>
                          <a:cxnSpLocks noChangeShapeType="1"/>
                        </wps:cNvCnPr>
                        <wps:spPr bwMode="auto">
                          <a:xfrm>
                            <a:off x="880715" y="0"/>
                            <a:ext cx="600" cy="3589619"/>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23" name="Rectangle 41"/>
                        <wps:cNvSpPr>
                          <a:spLocks noChangeArrowheads="1"/>
                        </wps:cNvSpPr>
                        <wps:spPr bwMode="auto">
                          <a:xfrm>
                            <a:off x="880715" y="0"/>
                            <a:ext cx="7000" cy="35966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Line 42"/>
                        <wps:cNvCnPr>
                          <a:cxnSpLocks noChangeShapeType="1"/>
                        </wps:cNvCnPr>
                        <wps:spPr bwMode="auto">
                          <a:xfrm>
                            <a:off x="1320122" y="572103"/>
                            <a:ext cx="700" cy="3031516"/>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25" name="Rectangle 43"/>
                        <wps:cNvSpPr>
                          <a:spLocks noChangeArrowheads="1"/>
                        </wps:cNvSpPr>
                        <wps:spPr bwMode="auto">
                          <a:xfrm>
                            <a:off x="1320822" y="558103"/>
                            <a:ext cx="6900" cy="30385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44"/>
                        <wps:cNvCnPr>
                          <a:cxnSpLocks noChangeShapeType="1"/>
                        </wps:cNvCnPr>
                        <wps:spPr bwMode="auto">
                          <a:xfrm>
                            <a:off x="1761429" y="0"/>
                            <a:ext cx="700" cy="3589619"/>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27" name="Rectangle 45"/>
                        <wps:cNvSpPr>
                          <a:spLocks noChangeArrowheads="1"/>
                        </wps:cNvSpPr>
                        <wps:spPr bwMode="auto">
                          <a:xfrm>
                            <a:off x="1761429" y="0"/>
                            <a:ext cx="7000" cy="35966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46"/>
                        <wps:cNvCnPr>
                          <a:cxnSpLocks noChangeShapeType="1"/>
                        </wps:cNvCnPr>
                        <wps:spPr bwMode="auto">
                          <a:xfrm>
                            <a:off x="2201536" y="1109306"/>
                            <a:ext cx="600" cy="2480313"/>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29" name="Rectangle 47"/>
                        <wps:cNvSpPr>
                          <a:spLocks noChangeArrowheads="1"/>
                        </wps:cNvSpPr>
                        <wps:spPr bwMode="auto">
                          <a:xfrm>
                            <a:off x="2201536" y="1109306"/>
                            <a:ext cx="7000" cy="248731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48"/>
                        <wps:cNvCnPr>
                          <a:cxnSpLocks noChangeShapeType="1"/>
                        </wps:cNvCnPr>
                        <wps:spPr bwMode="auto">
                          <a:xfrm>
                            <a:off x="2642244" y="0"/>
                            <a:ext cx="600" cy="3589619"/>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31" name="Rectangle 49"/>
                        <wps:cNvSpPr>
                          <a:spLocks noChangeArrowheads="1"/>
                        </wps:cNvSpPr>
                        <wps:spPr bwMode="auto">
                          <a:xfrm>
                            <a:off x="2642244" y="0"/>
                            <a:ext cx="7000" cy="35966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50"/>
                        <wps:cNvCnPr>
                          <a:cxnSpLocks noChangeShapeType="1"/>
                        </wps:cNvCnPr>
                        <wps:spPr bwMode="auto">
                          <a:xfrm>
                            <a:off x="3082251" y="0"/>
                            <a:ext cx="700" cy="3589619"/>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33" name="Rectangle 51"/>
                        <wps:cNvSpPr>
                          <a:spLocks noChangeArrowheads="1"/>
                        </wps:cNvSpPr>
                        <wps:spPr bwMode="auto">
                          <a:xfrm>
                            <a:off x="3082251" y="0"/>
                            <a:ext cx="7000" cy="35966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52"/>
                        <wps:cNvCnPr>
                          <a:cxnSpLocks noChangeShapeType="1"/>
                        </wps:cNvCnPr>
                        <wps:spPr bwMode="auto">
                          <a:xfrm>
                            <a:off x="3522958" y="3176217"/>
                            <a:ext cx="700" cy="413402"/>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35" name="Rectangle 53"/>
                        <wps:cNvSpPr>
                          <a:spLocks noChangeArrowheads="1"/>
                        </wps:cNvSpPr>
                        <wps:spPr bwMode="auto">
                          <a:xfrm>
                            <a:off x="3522958" y="3176217"/>
                            <a:ext cx="7000" cy="42040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Line 54"/>
                        <wps:cNvCnPr>
                          <a:cxnSpLocks noChangeShapeType="1"/>
                        </wps:cNvCnPr>
                        <wps:spPr bwMode="auto">
                          <a:xfrm>
                            <a:off x="3963066" y="0"/>
                            <a:ext cx="600" cy="3589619"/>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37" name="Rectangle 55"/>
                        <wps:cNvSpPr>
                          <a:spLocks noChangeArrowheads="1"/>
                        </wps:cNvSpPr>
                        <wps:spPr bwMode="auto">
                          <a:xfrm>
                            <a:off x="3963066" y="0"/>
                            <a:ext cx="7000" cy="35966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56"/>
                        <wps:cNvCnPr>
                          <a:cxnSpLocks noChangeShapeType="1"/>
                        </wps:cNvCnPr>
                        <wps:spPr bwMode="auto">
                          <a:xfrm>
                            <a:off x="4403773" y="0"/>
                            <a:ext cx="600" cy="3589619"/>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39" name="Rectangle 57"/>
                        <wps:cNvSpPr>
                          <a:spLocks noChangeArrowheads="1"/>
                        </wps:cNvSpPr>
                        <wps:spPr bwMode="auto">
                          <a:xfrm>
                            <a:off x="4403773" y="0"/>
                            <a:ext cx="7000" cy="35966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58"/>
                        <wps:cNvCnPr>
                          <a:cxnSpLocks noChangeShapeType="1"/>
                        </wps:cNvCnPr>
                        <wps:spPr bwMode="auto">
                          <a:xfrm>
                            <a:off x="4843780" y="0"/>
                            <a:ext cx="700" cy="3589619"/>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41" name="Rectangle 59"/>
                        <wps:cNvSpPr>
                          <a:spLocks noChangeArrowheads="1"/>
                        </wps:cNvSpPr>
                        <wps:spPr bwMode="auto">
                          <a:xfrm>
                            <a:off x="4843780" y="0"/>
                            <a:ext cx="7000" cy="35966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60"/>
                        <wps:cNvCnPr>
                          <a:cxnSpLocks noChangeShapeType="1"/>
                        </wps:cNvCnPr>
                        <wps:spPr bwMode="auto">
                          <a:xfrm>
                            <a:off x="5284487" y="3038416"/>
                            <a:ext cx="700" cy="551203"/>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43" name="Rectangle 61"/>
                        <wps:cNvSpPr>
                          <a:spLocks noChangeArrowheads="1"/>
                        </wps:cNvSpPr>
                        <wps:spPr bwMode="auto">
                          <a:xfrm>
                            <a:off x="5284487" y="3038416"/>
                            <a:ext cx="7000" cy="558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Line 62"/>
                        <wps:cNvCnPr>
                          <a:cxnSpLocks noChangeShapeType="1"/>
                        </wps:cNvCnPr>
                        <wps:spPr bwMode="auto">
                          <a:xfrm>
                            <a:off x="5724595" y="0"/>
                            <a:ext cx="600" cy="3589619"/>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45" name="Rectangle 63"/>
                        <wps:cNvSpPr>
                          <a:spLocks noChangeArrowheads="1"/>
                        </wps:cNvSpPr>
                        <wps:spPr bwMode="auto">
                          <a:xfrm>
                            <a:off x="5724595" y="0"/>
                            <a:ext cx="7000" cy="35966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64"/>
                        <wps:cNvCnPr>
                          <a:cxnSpLocks noChangeShapeType="1"/>
                        </wps:cNvCnPr>
                        <wps:spPr bwMode="auto">
                          <a:xfrm>
                            <a:off x="0" y="0"/>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47" name="Rectangle 65"/>
                        <wps:cNvSpPr>
                          <a:spLocks noChangeArrowheads="1"/>
                        </wps:cNvSpPr>
                        <wps:spPr bwMode="auto">
                          <a:xfrm>
                            <a:off x="0" y="0"/>
                            <a:ext cx="5738495" cy="69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Line 66"/>
                        <wps:cNvCnPr>
                          <a:cxnSpLocks noChangeShapeType="1"/>
                        </wps:cNvCnPr>
                        <wps:spPr bwMode="auto">
                          <a:xfrm>
                            <a:off x="0" y="137701"/>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50" name="Rectangle 67"/>
                        <wps:cNvSpPr>
                          <a:spLocks noChangeArrowheads="1"/>
                        </wps:cNvSpPr>
                        <wps:spPr bwMode="auto">
                          <a:xfrm>
                            <a:off x="0" y="137701"/>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68"/>
                        <wps:cNvCnPr>
                          <a:cxnSpLocks noChangeShapeType="1"/>
                        </wps:cNvCnPr>
                        <wps:spPr bwMode="auto">
                          <a:xfrm>
                            <a:off x="0" y="275501"/>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52" name="Rectangle 69"/>
                        <wps:cNvSpPr>
                          <a:spLocks noChangeArrowheads="1"/>
                        </wps:cNvSpPr>
                        <wps:spPr bwMode="auto">
                          <a:xfrm>
                            <a:off x="0" y="275501"/>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70"/>
                        <wps:cNvCnPr>
                          <a:cxnSpLocks noChangeShapeType="1"/>
                        </wps:cNvCnPr>
                        <wps:spPr bwMode="auto">
                          <a:xfrm>
                            <a:off x="0" y="413302"/>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54" name="Rectangle 71"/>
                        <wps:cNvSpPr>
                          <a:spLocks noChangeArrowheads="1"/>
                        </wps:cNvSpPr>
                        <wps:spPr bwMode="auto">
                          <a:xfrm>
                            <a:off x="0" y="413302"/>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72"/>
                        <wps:cNvCnPr>
                          <a:cxnSpLocks noChangeShapeType="1"/>
                        </wps:cNvCnPr>
                        <wps:spPr bwMode="auto">
                          <a:xfrm>
                            <a:off x="0" y="551103"/>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56" name="Rectangle 73"/>
                        <wps:cNvSpPr>
                          <a:spLocks noChangeArrowheads="1"/>
                        </wps:cNvSpPr>
                        <wps:spPr bwMode="auto">
                          <a:xfrm>
                            <a:off x="0" y="551103"/>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74"/>
                        <wps:cNvCnPr>
                          <a:cxnSpLocks noChangeShapeType="1"/>
                        </wps:cNvCnPr>
                        <wps:spPr bwMode="auto">
                          <a:xfrm>
                            <a:off x="0" y="688904"/>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58" name="Rectangle 75"/>
                        <wps:cNvSpPr>
                          <a:spLocks noChangeArrowheads="1"/>
                        </wps:cNvSpPr>
                        <wps:spPr bwMode="auto">
                          <a:xfrm>
                            <a:off x="0" y="688904"/>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76"/>
                        <wps:cNvCnPr>
                          <a:cxnSpLocks noChangeShapeType="1"/>
                        </wps:cNvCnPr>
                        <wps:spPr bwMode="auto">
                          <a:xfrm>
                            <a:off x="0" y="826704"/>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60" name="Rectangle 77"/>
                        <wps:cNvSpPr>
                          <a:spLocks noChangeArrowheads="1"/>
                        </wps:cNvSpPr>
                        <wps:spPr bwMode="auto">
                          <a:xfrm>
                            <a:off x="0" y="826704"/>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78"/>
                        <wps:cNvCnPr>
                          <a:cxnSpLocks noChangeShapeType="1"/>
                        </wps:cNvCnPr>
                        <wps:spPr bwMode="auto">
                          <a:xfrm>
                            <a:off x="0" y="964505"/>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62" name="Rectangle 79"/>
                        <wps:cNvSpPr>
                          <a:spLocks noChangeArrowheads="1"/>
                        </wps:cNvSpPr>
                        <wps:spPr bwMode="auto">
                          <a:xfrm>
                            <a:off x="0" y="964505"/>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80"/>
                        <wps:cNvCnPr>
                          <a:cxnSpLocks noChangeShapeType="1"/>
                        </wps:cNvCnPr>
                        <wps:spPr bwMode="auto">
                          <a:xfrm>
                            <a:off x="0" y="1102306"/>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64" name="Rectangle 81"/>
                        <wps:cNvSpPr>
                          <a:spLocks noChangeArrowheads="1"/>
                        </wps:cNvSpPr>
                        <wps:spPr bwMode="auto">
                          <a:xfrm>
                            <a:off x="0" y="1102306"/>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82"/>
                        <wps:cNvCnPr>
                          <a:cxnSpLocks noChangeShapeType="1"/>
                        </wps:cNvCnPr>
                        <wps:spPr bwMode="auto">
                          <a:xfrm>
                            <a:off x="0" y="1240107"/>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66" name="Rectangle 83"/>
                        <wps:cNvSpPr>
                          <a:spLocks noChangeArrowheads="1"/>
                        </wps:cNvSpPr>
                        <wps:spPr bwMode="auto">
                          <a:xfrm>
                            <a:off x="0" y="1240107"/>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84"/>
                        <wps:cNvCnPr>
                          <a:cxnSpLocks noChangeShapeType="1"/>
                        </wps:cNvCnPr>
                        <wps:spPr bwMode="auto">
                          <a:xfrm>
                            <a:off x="0" y="1377907"/>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68" name="Rectangle 85"/>
                        <wps:cNvSpPr>
                          <a:spLocks noChangeArrowheads="1"/>
                        </wps:cNvSpPr>
                        <wps:spPr bwMode="auto">
                          <a:xfrm>
                            <a:off x="0" y="1377907"/>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86"/>
                        <wps:cNvCnPr>
                          <a:cxnSpLocks noChangeShapeType="1"/>
                        </wps:cNvCnPr>
                        <wps:spPr bwMode="auto">
                          <a:xfrm>
                            <a:off x="0" y="1515708"/>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70" name="Rectangle 87"/>
                        <wps:cNvSpPr>
                          <a:spLocks noChangeArrowheads="1"/>
                        </wps:cNvSpPr>
                        <wps:spPr bwMode="auto">
                          <a:xfrm>
                            <a:off x="0" y="1515708"/>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88"/>
                        <wps:cNvCnPr>
                          <a:cxnSpLocks noChangeShapeType="1"/>
                        </wps:cNvCnPr>
                        <wps:spPr bwMode="auto">
                          <a:xfrm>
                            <a:off x="0" y="1653509"/>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72" name="Rectangle 89"/>
                        <wps:cNvSpPr>
                          <a:spLocks noChangeArrowheads="1"/>
                        </wps:cNvSpPr>
                        <wps:spPr bwMode="auto">
                          <a:xfrm>
                            <a:off x="0" y="1653509"/>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90"/>
                        <wps:cNvCnPr>
                          <a:cxnSpLocks noChangeShapeType="1"/>
                        </wps:cNvCnPr>
                        <wps:spPr bwMode="auto">
                          <a:xfrm>
                            <a:off x="0" y="1791310"/>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74" name="Rectangle 91"/>
                        <wps:cNvSpPr>
                          <a:spLocks noChangeArrowheads="1"/>
                        </wps:cNvSpPr>
                        <wps:spPr bwMode="auto">
                          <a:xfrm>
                            <a:off x="0" y="1791310"/>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92"/>
                        <wps:cNvCnPr>
                          <a:cxnSpLocks noChangeShapeType="1"/>
                        </wps:cNvCnPr>
                        <wps:spPr bwMode="auto">
                          <a:xfrm>
                            <a:off x="0" y="1929110"/>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76" name="Rectangle 93"/>
                        <wps:cNvSpPr>
                          <a:spLocks noChangeArrowheads="1"/>
                        </wps:cNvSpPr>
                        <wps:spPr bwMode="auto">
                          <a:xfrm>
                            <a:off x="0" y="1929110"/>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94"/>
                        <wps:cNvCnPr>
                          <a:cxnSpLocks noChangeShapeType="1"/>
                        </wps:cNvCnPr>
                        <wps:spPr bwMode="auto">
                          <a:xfrm>
                            <a:off x="0" y="2066911"/>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78" name="Rectangle 95"/>
                        <wps:cNvSpPr>
                          <a:spLocks noChangeArrowheads="1"/>
                        </wps:cNvSpPr>
                        <wps:spPr bwMode="auto">
                          <a:xfrm>
                            <a:off x="0" y="2066911"/>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96"/>
                        <wps:cNvCnPr>
                          <a:cxnSpLocks noChangeShapeType="1"/>
                        </wps:cNvCnPr>
                        <wps:spPr bwMode="auto">
                          <a:xfrm>
                            <a:off x="0" y="2204712"/>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80" name="Rectangle 97"/>
                        <wps:cNvSpPr>
                          <a:spLocks noChangeArrowheads="1"/>
                        </wps:cNvSpPr>
                        <wps:spPr bwMode="auto">
                          <a:xfrm>
                            <a:off x="0" y="2204712"/>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98"/>
                        <wps:cNvCnPr>
                          <a:cxnSpLocks noChangeShapeType="1"/>
                        </wps:cNvCnPr>
                        <wps:spPr bwMode="auto">
                          <a:xfrm>
                            <a:off x="0" y="2342513"/>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82" name="Rectangle 99"/>
                        <wps:cNvSpPr>
                          <a:spLocks noChangeArrowheads="1"/>
                        </wps:cNvSpPr>
                        <wps:spPr bwMode="auto">
                          <a:xfrm>
                            <a:off x="0" y="2342513"/>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00"/>
                        <wps:cNvCnPr>
                          <a:cxnSpLocks noChangeShapeType="1"/>
                        </wps:cNvCnPr>
                        <wps:spPr bwMode="auto">
                          <a:xfrm>
                            <a:off x="0" y="2480313"/>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84" name="Rectangle 101"/>
                        <wps:cNvSpPr>
                          <a:spLocks noChangeArrowheads="1"/>
                        </wps:cNvSpPr>
                        <wps:spPr bwMode="auto">
                          <a:xfrm>
                            <a:off x="0" y="2480313"/>
                            <a:ext cx="5738495" cy="69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02"/>
                        <wps:cNvCnPr>
                          <a:cxnSpLocks noChangeShapeType="1"/>
                        </wps:cNvCnPr>
                        <wps:spPr bwMode="auto">
                          <a:xfrm>
                            <a:off x="0" y="2618114"/>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86" name="Rectangle 103"/>
                        <wps:cNvSpPr>
                          <a:spLocks noChangeArrowheads="1"/>
                        </wps:cNvSpPr>
                        <wps:spPr bwMode="auto">
                          <a:xfrm>
                            <a:off x="0" y="2618114"/>
                            <a:ext cx="5738495" cy="69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04"/>
                        <wps:cNvCnPr>
                          <a:cxnSpLocks noChangeShapeType="1"/>
                        </wps:cNvCnPr>
                        <wps:spPr bwMode="auto">
                          <a:xfrm>
                            <a:off x="0" y="2755915"/>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88" name="Rectangle 105"/>
                        <wps:cNvSpPr>
                          <a:spLocks noChangeArrowheads="1"/>
                        </wps:cNvSpPr>
                        <wps:spPr bwMode="auto">
                          <a:xfrm>
                            <a:off x="0" y="2755915"/>
                            <a:ext cx="5738495" cy="69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06"/>
                        <wps:cNvCnPr>
                          <a:cxnSpLocks noChangeShapeType="1"/>
                        </wps:cNvCnPr>
                        <wps:spPr bwMode="auto">
                          <a:xfrm>
                            <a:off x="0" y="2893616"/>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90" name="Rectangle 107"/>
                        <wps:cNvSpPr>
                          <a:spLocks noChangeArrowheads="1"/>
                        </wps:cNvSpPr>
                        <wps:spPr bwMode="auto">
                          <a:xfrm>
                            <a:off x="0" y="2893616"/>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08"/>
                        <wps:cNvCnPr>
                          <a:cxnSpLocks noChangeShapeType="1"/>
                        </wps:cNvCnPr>
                        <wps:spPr bwMode="auto">
                          <a:xfrm>
                            <a:off x="0" y="3031416"/>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92" name="Rectangle 109"/>
                        <wps:cNvSpPr>
                          <a:spLocks noChangeArrowheads="1"/>
                        </wps:cNvSpPr>
                        <wps:spPr bwMode="auto">
                          <a:xfrm>
                            <a:off x="0" y="3031416"/>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10"/>
                        <wps:cNvCnPr>
                          <a:cxnSpLocks noChangeShapeType="1"/>
                        </wps:cNvCnPr>
                        <wps:spPr bwMode="auto">
                          <a:xfrm>
                            <a:off x="0" y="3169217"/>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94" name="Rectangle 111"/>
                        <wps:cNvSpPr>
                          <a:spLocks noChangeArrowheads="1"/>
                        </wps:cNvSpPr>
                        <wps:spPr bwMode="auto">
                          <a:xfrm>
                            <a:off x="0" y="3169217"/>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12"/>
                        <wps:cNvCnPr>
                          <a:cxnSpLocks noChangeShapeType="1"/>
                        </wps:cNvCnPr>
                        <wps:spPr bwMode="auto">
                          <a:xfrm>
                            <a:off x="0" y="3307018"/>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96" name="Rectangle 113"/>
                        <wps:cNvSpPr>
                          <a:spLocks noChangeArrowheads="1"/>
                        </wps:cNvSpPr>
                        <wps:spPr bwMode="auto">
                          <a:xfrm>
                            <a:off x="0" y="3307018"/>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14"/>
                        <wps:cNvCnPr>
                          <a:cxnSpLocks noChangeShapeType="1"/>
                        </wps:cNvCnPr>
                        <wps:spPr bwMode="auto">
                          <a:xfrm>
                            <a:off x="0" y="3444818"/>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98" name="Rectangle 115"/>
                        <wps:cNvSpPr>
                          <a:spLocks noChangeArrowheads="1"/>
                        </wps:cNvSpPr>
                        <wps:spPr bwMode="auto">
                          <a:xfrm>
                            <a:off x="0" y="3444818"/>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16"/>
                        <wps:cNvCnPr>
                          <a:cxnSpLocks noChangeShapeType="1"/>
                        </wps:cNvCnPr>
                        <wps:spPr bwMode="auto">
                          <a:xfrm>
                            <a:off x="0" y="3582619"/>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200" name="Rectangle 117"/>
                        <wps:cNvSpPr>
                          <a:spLocks noChangeArrowheads="1"/>
                        </wps:cNvSpPr>
                        <wps:spPr bwMode="auto">
                          <a:xfrm>
                            <a:off x="0" y="3582619"/>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18"/>
                        <wps:cNvCnPr>
                          <a:cxnSpLocks noChangeShapeType="1"/>
                        </wps:cNvCnPr>
                        <wps:spPr bwMode="auto">
                          <a:xfrm>
                            <a:off x="1520825" y="1095306"/>
                            <a:ext cx="852814" cy="875105"/>
                          </a:xfrm>
                          <a:prstGeom prst="line">
                            <a:avLst/>
                          </a:prstGeom>
                          <a:noFill/>
                          <a:ln w="6985">
                            <a:solidFill>
                              <a:srgbClr val="4472C4"/>
                            </a:solidFill>
                            <a:miter lim="800000"/>
                            <a:headEnd/>
                            <a:tailEnd/>
                          </a:ln>
                          <a:extLst>
                            <a:ext uri="{909E8E84-426E-40DD-AFC4-6F175D3DCCD1}">
                              <a14:hiddenFill xmlns:a14="http://schemas.microsoft.com/office/drawing/2010/main">
                                <a:noFill/>
                              </a14:hiddenFill>
                            </a:ext>
                          </a:extLst>
                        </wps:spPr>
                        <wps:bodyPr/>
                      </wps:wsp>
                      <wps:wsp>
                        <wps:cNvPr id="202" name="Line 119"/>
                        <wps:cNvCnPr>
                          <a:cxnSpLocks noChangeShapeType="1"/>
                        </wps:cNvCnPr>
                        <wps:spPr bwMode="auto">
                          <a:xfrm flipH="1">
                            <a:off x="1541126" y="572103"/>
                            <a:ext cx="832514" cy="537203"/>
                          </a:xfrm>
                          <a:prstGeom prst="line">
                            <a:avLst/>
                          </a:prstGeom>
                          <a:noFill/>
                          <a:ln w="6985">
                            <a:solidFill>
                              <a:srgbClr val="4472C4"/>
                            </a:solidFill>
                            <a:miter lim="800000"/>
                            <a:headEnd/>
                            <a:tailEnd/>
                          </a:ln>
                          <a:extLst>
                            <a:ext uri="{909E8E84-426E-40DD-AFC4-6F175D3DCCD1}">
                              <a14:hiddenFill xmlns:a14="http://schemas.microsoft.com/office/drawing/2010/main">
                                <a:noFill/>
                              </a14:hiddenFill>
                            </a:ext>
                          </a:extLst>
                        </wps:spPr>
                        <wps:bodyPr/>
                      </wps:wsp>
                      <wps:wsp>
                        <wps:cNvPr id="203" name="Line 120"/>
                        <wps:cNvCnPr>
                          <a:cxnSpLocks noChangeShapeType="1"/>
                        </wps:cNvCnPr>
                        <wps:spPr bwMode="auto">
                          <a:xfrm flipH="1">
                            <a:off x="2442840" y="1584909"/>
                            <a:ext cx="633110" cy="433702"/>
                          </a:xfrm>
                          <a:prstGeom prst="line">
                            <a:avLst/>
                          </a:prstGeom>
                          <a:noFill/>
                          <a:ln w="6985">
                            <a:solidFill>
                              <a:srgbClr val="4472C4"/>
                            </a:solidFill>
                            <a:miter lim="800000"/>
                            <a:headEnd/>
                            <a:tailEnd/>
                          </a:ln>
                          <a:extLst>
                            <a:ext uri="{909E8E84-426E-40DD-AFC4-6F175D3DCCD1}">
                              <a14:hiddenFill xmlns:a14="http://schemas.microsoft.com/office/drawing/2010/main">
                                <a:noFill/>
                              </a14:hiddenFill>
                            </a:ext>
                          </a:extLst>
                        </wps:spPr>
                        <wps:bodyPr/>
                      </wps:wsp>
                      <wps:wsp>
                        <wps:cNvPr id="204" name="Line 121"/>
                        <wps:cNvCnPr>
                          <a:cxnSpLocks noChangeShapeType="1"/>
                        </wps:cNvCnPr>
                        <wps:spPr bwMode="auto">
                          <a:xfrm flipH="1" flipV="1">
                            <a:off x="137702" y="123801"/>
                            <a:ext cx="623610" cy="210201"/>
                          </a:xfrm>
                          <a:prstGeom prst="line">
                            <a:avLst/>
                          </a:prstGeom>
                          <a:noFill/>
                          <a:ln w="6985">
                            <a:solidFill>
                              <a:srgbClr val="4472C4"/>
                            </a:solidFill>
                            <a:miter lim="800000"/>
                            <a:headEnd/>
                            <a:tailEnd/>
                          </a:ln>
                          <a:extLst>
                            <a:ext uri="{909E8E84-426E-40DD-AFC4-6F175D3DCCD1}">
                              <a14:hiddenFill xmlns:a14="http://schemas.microsoft.com/office/drawing/2010/main">
                                <a:noFill/>
                              </a14:hiddenFill>
                            </a:ext>
                          </a:extLst>
                        </wps:spPr>
                        <wps:bodyPr/>
                      </wps:wsp>
                      <wps:wsp>
                        <wps:cNvPr id="205" name="Line 122"/>
                        <wps:cNvCnPr>
                          <a:cxnSpLocks noChangeShapeType="1"/>
                        </wps:cNvCnPr>
                        <wps:spPr bwMode="auto">
                          <a:xfrm>
                            <a:off x="756913" y="330802"/>
                            <a:ext cx="777213" cy="771504"/>
                          </a:xfrm>
                          <a:prstGeom prst="line">
                            <a:avLst/>
                          </a:prstGeom>
                          <a:noFill/>
                          <a:ln w="6985">
                            <a:solidFill>
                              <a:srgbClr val="4472C4"/>
                            </a:solidFill>
                            <a:miter lim="800000"/>
                            <a:headEnd/>
                            <a:tailEnd/>
                          </a:ln>
                          <a:extLst>
                            <a:ext uri="{909E8E84-426E-40DD-AFC4-6F175D3DCCD1}">
                              <a14:hiddenFill xmlns:a14="http://schemas.microsoft.com/office/drawing/2010/main">
                                <a:noFill/>
                              </a14:hiddenFill>
                            </a:ext>
                          </a:extLst>
                        </wps:spPr>
                        <wps:bodyPr/>
                      </wps:wsp>
                      <wps:wsp>
                        <wps:cNvPr id="206" name="Line 123"/>
                        <wps:cNvCnPr>
                          <a:cxnSpLocks noChangeShapeType="1"/>
                        </wps:cNvCnPr>
                        <wps:spPr bwMode="auto">
                          <a:xfrm>
                            <a:off x="2360239" y="1956410"/>
                            <a:ext cx="2022533" cy="1557608"/>
                          </a:xfrm>
                          <a:prstGeom prst="line">
                            <a:avLst/>
                          </a:prstGeom>
                          <a:noFill/>
                          <a:ln w="6985">
                            <a:solidFill>
                              <a:srgbClr val="4472C4"/>
                            </a:solidFill>
                            <a:miter lim="800000"/>
                            <a:headEnd/>
                            <a:tailEnd/>
                          </a:ln>
                          <a:extLst>
                            <a:ext uri="{909E8E84-426E-40DD-AFC4-6F175D3DCCD1}">
                              <a14:hiddenFill xmlns:a14="http://schemas.microsoft.com/office/drawing/2010/main">
                                <a:noFill/>
                              </a14:hiddenFill>
                            </a:ext>
                          </a:extLst>
                        </wps:spPr>
                        <wps:bodyPr/>
                      </wps:wsp>
                      <wps:wsp>
                        <wps:cNvPr id="207" name="Line 124"/>
                        <wps:cNvCnPr>
                          <a:cxnSpLocks noChangeShapeType="1"/>
                        </wps:cNvCnPr>
                        <wps:spPr bwMode="auto">
                          <a:xfrm flipV="1">
                            <a:off x="4389773" y="3038416"/>
                            <a:ext cx="715712" cy="468703"/>
                          </a:xfrm>
                          <a:prstGeom prst="line">
                            <a:avLst/>
                          </a:prstGeom>
                          <a:noFill/>
                          <a:ln w="6985">
                            <a:solidFill>
                              <a:srgbClr val="4472C4"/>
                            </a:solidFill>
                            <a:miter lim="800000"/>
                            <a:headEnd/>
                            <a:tailEnd/>
                          </a:ln>
                          <a:extLst>
                            <a:ext uri="{909E8E84-426E-40DD-AFC4-6F175D3DCCD1}">
                              <a14:hiddenFill xmlns:a14="http://schemas.microsoft.com/office/drawing/2010/main">
                                <a:noFill/>
                              </a14:hiddenFill>
                            </a:ext>
                          </a:extLst>
                        </wps:spPr>
                        <wps:bodyPr/>
                      </wps:wsp>
                      <wps:wsp>
                        <wps:cNvPr id="208" name="Line 125"/>
                        <wps:cNvCnPr>
                          <a:cxnSpLocks noChangeShapeType="1"/>
                        </wps:cNvCnPr>
                        <wps:spPr bwMode="auto">
                          <a:xfrm flipV="1">
                            <a:off x="2256737" y="2555814"/>
                            <a:ext cx="901715" cy="296602"/>
                          </a:xfrm>
                          <a:prstGeom prst="line">
                            <a:avLst/>
                          </a:prstGeom>
                          <a:noFill/>
                          <a:ln w="6985">
                            <a:solidFill>
                              <a:srgbClr val="4472C4"/>
                            </a:solidFill>
                            <a:miter lim="800000"/>
                            <a:headEnd/>
                            <a:tailEnd/>
                          </a:ln>
                          <a:extLst>
                            <a:ext uri="{909E8E84-426E-40DD-AFC4-6F175D3DCCD1}">
                              <a14:hiddenFill xmlns:a14="http://schemas.microsoft.com/office/drawing/2010/main">
                                <a:noFill/>
                              </a14:hiddenFill>
                            </a:ext>
                          </a:extLst>
                        </wps:spPr>
                        <wps:bodyPr/>
                      </wps:wsp>
                      <wps:wsp>
                        <wps:cNvPr id="209" name="Freeform 126"/>
                        <wps:cNvSpPr>
                          <a:spLocks/>
                        </wps:cNvSpPr>
                        <wps:spPr bwMode="auto">
                          <a:xfrm>
                            <a:off x="3103851" y="2526014"/>
                            <a:ext cx="68001" cy="81300"/>
                          </a:xfrm>
                          <a:custGeom>
                            <a:avLst/>
                            <a:gdLst>
                              <a:gd name="T0" fmla="*/ 0 w 107"/>
                              <a:gd name="T1" fmla="*/ 2147483646 h 128"/>
                              <a:gd name="T2" fmla="*/ 2147483646 w 107"/>
                              <a:gd name="T3" fmla="*/ 0 h 128"/>
                              <a:gd name="T4" fmla="*/ 2147483646 w 107"/>
                              <a:gd name="T5" fmla="*/ 2147483646 h 128"/>
                              <a:gd name="T6" fmla="*/ 2147483646 w 107"/>
                              <a:gd name="T7" fmla="*/ 0 h 128"/>
                              <a:gd name="T8" fmla="*/ 2147483646 w 107"/>
                              <a:gd name="T9" fmla="*/ 2147483646 h 128"/>
                              <a:gd name="T10" fmla="*/ 2147483646 w 107"/>
                              <a:gd name="T11" fmla="*/ 2147483646 h 128"/>
                              <a:gd name="T12" fmla="*/ 2147483646 w 107"/>
                              <a:gd name="T13" fmla="*/ 2147483646 h 128"/>
                              <a:gd name="T14" fmla="*/ 2147483646 w 107"/>
                              <a:gd name="T15" fmla="*/ 2147483646 h 128"/>
                              <a:gd name="T16" fmla="*/ 2147483646 w 107"/>
                              <a:gd name="T17" fmla="*/ 2147483646 h 128"/>
                              <a:gd name="T18" fmla="*/ 2147483646 w 107"/>
                              <a:gd name="T19" fmla="*/ 2147483646 h 128"/>
                              <a:gd name="T20" fmla="*/ 0 w 107"/>
                              <a:gd name="T21" fmla="*/ 2147483646 h 128"/>
                              <a:gd name="T22" fmla="*/ 2147483646 w 107"/>
                              <a:gd name="T23" fmla="*/ 2147483646 h 128"/>
                              <a:gd name="T24" fmla="*/ 0 w 107"/>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8">
                                <a:moveTo>
                                  <a:pt x="0" y="21"/>
                                </a:moveTo>
                                <a:lnTo>
                                  <a:pt x="28" y="0"/>
                                </a:lnTo>
                                <a:lnTo>
                                  <a:pt x="53" y="34"/>
                                </a:lnTo>
                                <a:lnTo>
                                  <a:pt x="78" y="0"/>
                                </a:lnTo>
                                <a:lnTo>
                                  <a:pt x="107" y="21"/>
                                </a:lnTo>
                                <a:lnTo>
                                  <a:pt x="75" y="64"/>
                                </a:lnTo>
                                <a:lnTo>
                                  <a:pt x="107" y="107"/>
                                </a:lnTo>
                                <a:lnTo>
                                  <a:pt x="78" y="128"/>
                                </a:lnTo>
                                <a:lnTo>
                                  <a:pt x="53" y="94"/>
                                </a:lnTo>
                                <a:lnTo>
                                  <a:pt x="28" y="128"/>
                                </a:lnTo>
                                <a:lnTo>
                                  <a:pt x="0" y="107"/>
                                </a:lnTo>
                                <a:lnTo>
                                  <a:pt x="31" y="64"/>
                                </a:lnTo>
                                <a:lnTo>
                                  <a:pt x="0" y="21"/>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27"/>
                        <wps:cNvSpPr>
                          <a:spLocks/>
                        </wps:cNvSpPr>
                        <wps:spPr bwMode="auto">
                          <a:xfrm>
                            <a:off x="3103851" y="2526014"/>
                            <a:ext cx="68001" cy="81300"/>
                          </a:xfrm>
                          <a:custGeom>
                            <a:avLst/>
                            <a:gdLst>
                              <a:gd name="T0" fmla="*/ 0 w 107"/>
                              <a:gd name="T1" fmla="*/ 2147483646 h 128"/>
                              <a:gd name="T2" fmla="*/ 2147483646 w 107"/>
                              <a:gd name="T3" fmla="*/ 0 h 128"/>
                              <a:gd name="T4" fmla="*/ 2147483646 w 107"/>
                              <a:gd name="T5" fmla="*/ 2147483646 h 128"/>
                              <a:gd name="T6" fmla="*/ 2147483646 w 107"/>
                              <a:gd name="T7" fmla="*/ 0 h 128"/>
                              <a:gd name="T8" fmla="*/ 2147483646 w 107"/>
                              <a:gd name="T9" fmla="*/ 2147483646 h 128"/>
                              <a:gd name="T10" fmla="*/ 2147483646 w 107"/>
                              <a:gd name="T11" fmla="*/ 2147483646 h 128"/>
                              <a:gd name="T12" fmla="*/ 2147483646 w 107"/>
                              <a:gd name="T13" fmla="*/ 2147483646 h 128"/>
                              <a:gd name="T14" fmla="*/ 2147483646 w 107"/>
                              <a:gd name="T15" fmla="*/ 2147483646 h 128"/>
                              <a:gd name="T16" fmla="*/ 2147483646 w 107"/>
                              <a:gd name="T17" fmla="*/ 2147483646 h 128"/>
                              <a:gd name="T18" fmla="*/ 2147483646 w 107"/>
                              <a:gd name="T19" fmla="*/ 2147483646 h 128"/>
                              <a:gd name="T20" fmla="*/ 0 w 107"/>
                              <a:gd name="T21" fmla="*/ 2147483646 h 128"/>
                              <a:gd name="T22" fmla="*/ 2147483646 w 107"/>
                              <a:gd name="T23" fmla="*/ 2147483646 h 128"/>
                              <a:gd name="T24" fmla="*/ 0 w 107"/>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8">
                                <a:moveTo>
                                  <a:pt x="0" y="21"/>
                                </a:moveTo>
                                <a:lnTo>
                                  <a:pt x="28" y="0"/>
                                </a:lnTo>
                                <a:lnTo>
                                  <a:pt x="53" y="34"/>
                                </a:lnTo>
                                <a:lnTo>
                                  <a:pt x="78" y="0"/>
                                </a:lnTo>
                                <a:lnTo>
                                  <a:pt x="107" y="21"/>
                                </a:lnTo>
                                <a:lnTo>
                                  <a:pt x="75" y="64"/>
                                </a:lnTo>
                                <a:lnTo>
                                  <a:pt x="107" y="107"/>
                                </a:lnTo>
                                <a:lnTo>
                                  <a:pt x="78" y="128"/>
                                </a:lnTo>
                                <a:lnTo>
                                  <a:pt x="53" y="94"/>
                                </a:lnTo>
                                <a:lnTo>
                                  <a:pt x="28" y="128"/>
                                </a:lnTo>
                                <a:lnTo>
                                  <a:pt x="0" y="107"/>
                                </a:lnTo>
                                <a:lnTo>
                                  <a:pt x="31" y="64"/>
                                </a:lnTo>
                                <a:lnTo>
                                  <a:pt x="0" y="21"/>
                                </a:lnTo>
                                <a:close/>
                              </a:path>
                            </a:pathLst>
                          </a:custGeom>
                          <a:noFill/>
                          <a:ln w="6985">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Freeform 128"/>
                        <wps:cNvSpPr>
                          <a:spLocks/>
                        </wps:cNvSpPr>
                        <wps:spPr bwMode="auto">
                          <a:xfrm>
                            <a:off x="3743362" y="3014916"/>
                            <a:ext cx="68601" cy="81900"/>
                          </a:xfrm>
                          <a:custGeom>
                            <a:avLst/>
                            <a:gdLst>
                              <a:gd name="T0" fmla="*/ 0 w 108"/>
                              <a:gd name="T1" fmla="*/ 2147483646 h 129"/>
                              <a:gd name="T2" fmla="*/ 2147483646 w 108"/>
                              <a:gd name="T3" fmla="*/ 0 h 129"/>
                              <a:gd name="T4" fmla="*/ 2147483646 w 108"/>
                              <a:gd name="T5" fmla="*/ 2147483646 h 129"/>
                              <a:gd name="T6" fmla="*/ 2147483646 w 108"/>
                              <a:gd name="T7" fmla="*/ 0 h 129"/>
                              <a:gd name="T8" fmla="*/ 2147483646 w 108"/>
                              <a:gd name="T9" fmla="*/ 2147483646 h 129"/>
                              <a:gd name="T10" fmla="*/ 2147483646 w 108"/>
                              <a:gd name="T11" fmla="*/ 2147483646 h 129"/>
                              <a:gd name="T12" fmla="*/ 2147483646 w 108"/>
                              <a:gd name="T13" fmla="*/ 2147483646 h 129"/>
                              <a:gd name="T14" fmla="*/ 2147483646 w 108"/>
                              <a:gd name="T15" fmla="*/ 2147483646 h 129"/>
                              <a:gd name="T16" fmla="*/ 2147483646 w 108"/>
                              <a:gd name="T17" fmla="*/ 2147483646 h 129"/>
                              <a:gd name="T18" fmla="*/ 2147483646 w 108"/>
                              <a:gd name="T19" fmla="*/ 2147483646 h 129"/>
                              <a:gd name="T20" fmla="*/ 0 w 108"/>
                              <a:gd name="T21" fmla="*/ 2147483646 h 129"/>
                              <a:gd name="T22" fmla="*/ 2147483646 w 108"/>
                              <a:gd name="T23" fmla="*/ 2147483646 h 129"/>
                              <a:gd name="T24" fmla="*/ 0 w 108"/>
                              <a:gd name="T25" fmla="*/ 2147483646 h 12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8" h="129">
                                <a:moveTo>
                                  <a:pt x="0" y="21"/>
                                </a:moveTo>
                                <a:lnTo>
                                  <a:pt x="29" y="0"/>
                                </a:lnTo>
                                <a:lnTo>
                                  <a:pt x="54" y="34"/>
                                </a:lnTo>
                                <a:lnTo>
                                  <a:pt x="79" y="0"/>
                                </a:lnTo>
                                <a:lnTo>
                                  <a:pt x="108" y="21"/>
                                </a:lnTo>
                                <a:lnTo>
                                  <a:pt x="76" y="64"/>
                                </a:lnTo>
                                <a:lnTo>
                                  <a:pt x="108" y="108"/>
                                </a:lnTo>
                                <a:lnTo>
                                  <a:pt x="79" y="129"/>
                                </a:lnTo>
                                <a:lnTo>
                                  <a:pt x="54" y="95"/>
                                </a:lnTo>
                                <a:lnTo>
                                  <a:pt x="29" y="129"/>
                                </a:lnTo>
                                <a:lnTo>
                                  <a:pt x="0" y="108"/>
                                </a:lnTo>
                                <a:lnTo>
                                  <a:pt x="32" y="64"/>
                                </a:lnTo>
                                <a:lnTo>
                                  <a:pt x="0" y="21"/>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129"/>
                        <wps:cNvSpPr>
                          <a:spLocks/>
                        </wps:cNvSpPr>
                        <wps:spPr bwMode="auto">
                          <a:xfrm>
                            <a:off x="3743362" y="3014916"/>
                            <a:ext cx="68601" cy="81900"/>
                          </a:xfrm>
                          <a:custGeom>
                            <a:avLst/>
                            <a:gdLst>
                              <a:gd name="T0" fmla="*/ 0 w 108"/>
                              <a:gd name="T1" fmla="*/ 2147483646 h 129"/>
                              <a:gd name="T2" fmla="*/ 2147483646 w 108"/>
                              <a:gd name="T3" fmla="*/ 0 h 129"/>
                              <a:gd name="T4" fmla="*/ 2147483646 w 108"/>
                              <a:gd name="T5" fmla="*/ 2147483646 h 129"/>
                              <a:gd name="T6" fmla="*/ 2147483646 w 108"/>
                              <a:gd name="T7" fmla="*/ 0 h 129"/>
                              <a:gd name="T8" fmla="*/ 2147483646 w 108"/>
                              <a:gd name="T9" fmla="*/ 2147483646 h 129"/>
                              <a:gd name="T10" fmla="*/ 2147483646 w 108"/>
                              <a:gd name="T11" fmla="*/ 2147483646 h 129"/>
                              <a:gd name="T12" fmla="*/ 2147483646 w 108"/>
                              <a:gd name="T13" fmla="*/ 2147483646 h 129"/>
                              <a:gd name="T14" fmla="*/ 2147483646 w 108"/>
                              <a:gd name="T15" fmla="*/ 2147483646 h 129"/>
                              <a:gd name="T16" fmla="*/ 2147483646 w 108"/>
                              <a:gd name="T17" fmla="*/ 2147483646 h 129"/>
                              <a:gd name="T18" fmla="*/ 2147483646 w 108"/>
                              <a:gd name="T19" fmla="*/ 2147483646 h 129"/>
                              <a:gd name="T20" fmla="*/ 0 w 108"/>
                              <a:gd name="T21" fmla="*/ 2147483646 h 129"/>
                              <a:gd name="T22" fmla="*/ 2147483646 w 108"/>
                              <a:gd name="T23" fmla="*/ 2147483646 h 129"/>
                              <a:gd name="T24" fmla="*/ 0 w 108"/>
                              <a:gd name="T25" fmla="*/ 2147483646 h 12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8" h="129">
                                <a:moveTo>
                                  <a:pt x="0" y="21"/>
                                </a:moveTo>
                                <a:lnTo>
                                  <a:pt x="29" y="0"/>
                                </a:lnTo>
                                <a:lnTo>
                                  <a:pt x="54" y="34"/>
                                </a:lnTo>
                                <a:lnTo>
                                  <a:pt x="79" y="0"/>
                                </a:lnTo>
                                <a:lnTo>
                                  <a:pt x="108" y="21"/>
                                </a:lnTo>
                                <a:lnTo>
                                  <a:pt x="76" y="64"/>
                                </a:lnTo>
                                <a:lnTo>
                                  <a:pt x="108" y="108"/>
                                </a:lnTo>
                                <a:lnTo>
                                  <a:pt x="79" y="129"/>
                                </a:lnTo>
                                <a:lnTo>
                                  <a:pt x="54" y="95"/>
                                </a:lnTo>
                                <a:lnTo>
                                  <a:pt x="29" y="129"/>
                                </a:lnTo>
                                <a:lnTo>
                                  <a:pt x="0" y="108"/>
                                </a:lnTo>
                                <a:lnTo>
                                  <a:pt x="32" y="64"/>
                                </a:lnTo>
                                <a:lnTo>
                                  <a:pt x="0" y="21"/>
                                </a:lnTo>
                                <a:close/>
                              </a:path>
                            </a:pathLst>
                          </a:custGeom>
                          <a:noFill/>
                          <a:ln w="6985">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Freeform 130"/>
                        <wps:cNvSpPr>
                          <a:spLocks/>
                        </wps:cNvSpPr>
                        <wps:spPr bwMode="auto">
                          <a:xfrm>
                            <a:off x="1170319" y="727704"/>
                            <a:ext cx="67901" cy="81200"/>
                          </a:xfrm>
                          <a:custGeom>
                            <a:avLst/>
                            <a:gdLst>
                              <a:gd name="T0" fmla="*/ 0 w 107"/>
                              <a:gd name="T1" fmla="*/ 2147483646 h 128"/>
                              <a:gd name="T2" fmla="*/ 2147483646 w 107"/>
                              <a:gd name="T3" fmla="*/ 0 h 128"/>
                              <a:gd name="T4" fmla="*/ 2147483646 w 107"/>
                              <a:gd name="T5" fmla="*/ 2147483646 h 128"/>
                              <a:gd name="T6" fmla="*/ 2147483646 w 107"/>
                              <a:gd name="T7" fmla="*/ 0 h 128"/>
                              <a:gd name="T8" fmla="*/ 2147483646 w 107"/>
                              <a:gd name="T9" fmla="*/ 2147483646 h 128"/>
                              <a:gd name="T10" fmla="*/ 2147483646 w 107"/>
                              <a:gd name="T11" fmla="*/ 2147483646 h 128"/>
                              <a:gd name="T12" fmla="*/ 2147483646 w 107"/>
                              <a:gd name="T13" fmla="*/ 2147483646 h 128"/>
                              <a:gd name="T14" fmla="*/ 2147483646 w 107"/>
                              <a:gd name="T15" fmla="*/ 2147483646 h 128"/>
                              <a:gd name="T16" fmla="*/ 2147483646 w 107"/>
                              <a:gd name="T17" fmla="*/ 2147483646 h 128"/>
                              <a:gd name="T18" fmla="*/ 2147483646 w 107"/>
                              <a:gd name="T19" fmla="*/ 2147483646 h 128"/>
                              <a:gd name="T20" fmla="*/ 0 w 107"/>
                              <a:gd name="T21" fmla="*/ 2147483646 h 128"/>
                              <a:gd name="T22" fmla="*/ 2147483646 w 107"/>
                              <a:gd name="T23" fmla="*/ 2147483646 h 128"/>
                              <a:gd name="T24" fmla="*/ 0 w 107"/>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8">
                                <a:moveTo>
                                  <a:pt x="0" y="21"/>
                                </a:moveTo>
                                <a:lnTo>
                                  <a:pt x="28" y="0"/>
                                </a:lnTo>
                                <a:lnTo>
                                  <a:pt x="53" y="34"/>
                                </a:lnTo>
                                <a:lnTo>
                                  <a:pt x="78" y="0"/>
                                </a:lnTo>
                                <a:lnTo>
                                  <a:pt x="107" y="21"/>
                                </a:lnTo>
                                <a:lnTo>
                                  <a:pt x="76" y="64"/>
                                </a:lnTo>
                                <a:lnTo>
                                  <a:pt x="107" y="107"/>
                                </a:lnTo>
                                <a:lnTo>
                                  <a:pt x="78" y="128"/>
                                </a:lnTo>
                                <a:lnTo>
                                  <a:pt x="53" y="94"/>
                                </a:lnTo>
                                <a:lnTo>
                                  <a:pt x="28" y="128"/>
                                </a:lnTo>
                                <a:lnTo>
                                  <a:pt x="0" y="107"/>
                                </a:lnTo>
                                <a:lnTo>
                                  <a:pt x="32" y="64"/>
                                </a:lnTo>
                                <a:lnTo>
                                  <a:pt x="0" y="21"/>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131"/>
                        <wps:cNvSpPr>
                          <a:spLocks/>
                        </wps:cNvSpPr>
                        <wps:spPr bwMode="auto">
                          <a:xfrm>
                            <a:off x="1170319" y="727704"/>
                            <a:ext cx="67901" cy="81200"/>
                          </a:xfrm>
                          <a:custGeom>
                            <a:avLst/>
                            <a:gdLst>
                              <a:gd name="T0" fmla="*/ 0 w 107"/>
                              <a:gd name="T1" fmla="*/ 2147483646 h 128"/>
                              <a:gd name="T2" fmla="*/ 2147483646 w 107"/>
                              <a:gd name="T3" fmla="*/ 0 h 128"/>
                              <a:gd name="T4" fmla="*/ 2147483646 w 107"/>
                              <a:gd name="T5" fmla="*/ 2147483646 h 128"/>
                              <a:gd name="T6" fmla="*/ 2147483646 w 107"/>
                              <a:gd name="T7" fmla="*/ 0 h 128"/>
                              <a:gd name="T8" fmla="*/ 2147483646 w 107"/>
                              <a:gd name="T9" fmla="*/ 2147483646 h 128"/>
                              <a:gd name="T10" fmla="*/ 2147483646 w 107"/>
                              <a:gd name="T11" fmla="*/ 2147483646 h 128"/>
                              <a:gd name="T12" fmla="*/ 2147483646 w 107"/>
                              <a:gd name="T13" fmla="*/ 2147483646 h 128"/>
                              <a:gd name="T14" fmla="*/ 2147483646 w 107"/>
                              <a:gd name="T15" fmla="*/ 2147483646 h 128"/>
                              <a:gd name="T16" fmla="*/ 2147483646 w 107"/>
                              <a:gd name="T17" fmla="*/ 2147483646 h 128"/>
                              <a:gd name="T18" fmla="*/ 2147483646 w 107"/>
                              <a:gd name="T19" fmla="*/ 2147483646 h 128"/>
                              <a:gd name="T20" fmla="*/ 0 w 107"/>
                              <a:gd name="T21" fmla="*/ 2147483646 h 128"/>
                              <a:gd name="T22" fmla="*/ 2147483646 w 107"/>
                              <a:gd name="T23" fmla="*/ 2147483646 h 128"/>
                              <a:gd name="T24" fmla="*/ 0 w 107"/>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8">
                                <a:moveTo>
                                  <a:pt x="0" y="21"/>
                                </a:moveTo>
                                <a:lnTo>
                                  <a:pt x="28" y="0"/>
                                </a:lnTo>
                                <a:lnTo>
                                  <a:pt x="53" y="34"/>
                                </a:lnTo>
                                <a:lnTo>
                                  <a:pt x="78" y="0"/>
                                </a:lnTo>
                                <a:lnTo>
                                  <a:pt x="107" y="21"/>
                                </a:lnTo>
                                <a:lnTo>
                                  <a:pt x="76" y="64"/>
                                </a:lnTo>
                                <a:lnTo>
                                  <a:pt x="107" y="107"/>
                                </a:lnTo>
                                <a:lnTo>
                                  <a:pt x="78" y="128"/>
                                </a:lnTo>
                                <a:lnTo>
                                  <a:pt x="53" y="94"/>
                                </a:lnTo>
                                <a:lnTo>
                                  <a:pt x="28" y="128"/>
                                </a:lnTo>
                                <a:lnTo>
                                  <a:pt x="0" y="107"/>
                                </a:lnTo>
                                <a:lnTo>
                                  <a:pt x="32" y="64"/>
                                </a:lnTo>
                                <a:lnTo>
                                  <a:pt x="0" y="21"/>
                                </a:lnTo>
                                <a:close/>
                              </a:path>
                            </a:pathLst>
                          </a:custGeom>
                          <a:noFill/>
                          <a:ln w="6985">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Freeform 132"/>
                        <wps:cNvSpPr>
                          <a:spLocks/>
                        </wps:cNvSpPr>
                        <wps:spPr bwMode="auto">
                          <a:xfrm>
                            <a:off x="915615" y="500303"/>
                            <a:ext cx="68001" cy="81300"/>
                          </a:xfrm>
                          <a:custGeom>
                            <a:avLst/>
                            <a:gdLst>
                              <a:gd name="T0" fmla="*/ 0 w 107"/>
                              <a:gd name="T1" fmla="*/ 2147483646 h 128"/>
                              <a:gd name="T2" fmla="*/ 2147483646 w 107"/>
                              <a:gd name="T3" fmla="*/ 0 h 128"/>
                              <a:gd name="T4" fmla="*/ 2147483646 w 107"/>
                              <a:gd name="T5" fmla="*/ 2147483646 h 128"/>
                              <a:gd name="T6" fmla="*/ 2147483646 w 107"/>
                              <a:gd name="T7" fmla="*/ 0 h 128"/>
                              <a:gd name="T8" fmla="*/ 2147483646 w 107"/>
                              <a:gd name="T9" fmla="*/ 2147483646 h 128"/>
                              <a:gd name="T10" fmla="*/ 2147483646 w 107"/>
                              <a:gd name="T11" fmla="*/ 2147483646 h 128"/>
                              <a:gd name="T12" fmla="*/ 2147483646 w 107"/>
                              <a:gd name="T13" fmla="*/ 2147483646 h 128"/>
                              <a:gd name="T14" fmla="*/ 2147483646 w 107"/>
                              <a:gd name="T15" fmla="*/ 2147483646 h 128"/>
                              <a:gd name="T16" fmla="*/ 2147483646 w 107"/>
                              <a:gd name="T17" fmla="*/ 2147483646 h 128"/>
                              <a:gd name="T18" fmla="*/ 2147483646 w 107"/>
                              <a:gd name="T19" fmla="*/ 2147483646 h 128"/>
                              <a:gd name="T20" fmla="*/ 0 w 107"/>
                              <a:gd name="T21" fmla="*/ 2147483646 h 128"/>
                              <a:gd name="T22" fmla="*/ 2147483646 w 107"/>
                              <a:gd name="T23" fmla="*/ 2147483646 h 128"/>
                              <a:gd name="T24" fmla="*/ 0 w 107"/>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8">
                                <a:moveTo>
                                  <a:pt x="0" y="21"/>
                                </a:moveTo>
                                <a:lnTo>
                                  <a:pt x="28" y="0"/>
                                </a:lnTo>
                                <a:lnTo>
                                  <a:pt x="53" y="34"/>
                                </a:lnTo>
                                <a:lnTo>
                                  <a:pt x="78" y="0"/>
                                </a:lnTo>
                                <a:lnTo>
                                  <a:pt x="107" y="21"/>
                                </a:lnTo>
                                <a:lnTo>
                                  <a:pt x="76" y="64"/>
                                </a:lnTo>
                                <a:lnTo>
                                  <a:pt x="107" y="107"/>
                                </a:lnTo>
                                <a:lnTo>
                                  <a:pt x="78" y="128"/>
                                </a:lnTo>
                                <a:lnTo>
                                  <a:pt x="53" y="94"/>
                                </a:lnTo>
                                <a:lnTo>
                                  <a:pt x="28" y="128"/>
                                </a:lnTo>
                                <a:lnTo>
                                  <a:pt x="0" y="107"/>
                                </a:lnTo>
                                <a:lnTo>
                                  <a:pt x="32" y="64"/>
                                </a:lnTo>
                                <a:lnTo>
                                  <a:pt x="0" y="21"/>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33"/>
                        <wps:cNvSpPr>
                          <a:spLocks/>
                        </wps:cNvSpPr>
                        <wps:spPr bwMode="auto">
                          <a:xfrm>
                            <a:off x="915615" y="500303"/>
                            <a:ext cx="68001" cy="81300"/>
                          </a:xfrm>
                          <a:custGeom>
                            <a:avLst/>
                            <a:gdLst>
                              <a:gd name="T0" fmla="*/ 0 w 107"/>
                              <a:gd name="T1" fmla="*/ 2147483646 h 128"/>
                              <a:gd name="T2" fmla="*/ 2147483646 w 107"/>
                              <a:gd name="T3" fmla="*/ 0 h 128"/>
                              <a:gd name="T4" fmla="*/ 2147483646 w 107"/>
                              <a:gd name="T5" fmla="*/ 2147483646 h 128"/>
                              <a:gd name="T6" fmla="*/ 2147483646 w 107"/>
                              <a:gd name="T7" fmla="*/ 0 h 128"/>
                              <a:gd name="T8" fmla="*/ 2147483646 w 107"/>
                              <a:gd name="T9" fmla="*/ 2147483646 h 128"/>
                              <a:gd name="T10" fmla="*/ 2147483646 w 107"/>
                              <a:gd name="T11" fmla="*/ 2147483646 h 128"/>
                              <a:gd name="T12" fmla="*/ 2147483646 w 107"/>
                              <a:gd name="T13" fmla="*/ 2147483646 h 128"/>
                              <a:gd name="T14" fmla="*/ 2147483646 w 107"/>
                              <a:gd name="T15" fmla="*/ 2147483646 h 128"/>
                              <a:gd name="T16" fmla="*/ 2147483646 w 107"/>
                              <a:gd name="T17" fmla="*/ 2147483646 h 128"/>
                              <a:gd name="T18" fmla="*/ 2147483646 w 107"/>
                              <a:gd name="T19" fmla="*/ 2147483646 h 128"/>
                              <a:gd name="T20" fmla="*/ 0 w 107"/>
                              <a:gd name="T21" fmla="*/ 2147483646 h 128"/>
                              <a:gd name="T22" fmla="*/ 2147483646 w 107"/>
                              <a:gd name="T23" fmla="*/ 2147483646 h 128"/>
                              <a:gd name="T24" fmla="*/ 0 w 107"/>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8">
                                <a:moveTo>
                                  <a:pt x="0" y="21"/>
                                </a:moveTo>
                                <a:lnTo>
                                  <a:pt x="28" y="0"/>
                                </a:lnTo>
                                <a:lnTo>
                                  <a:pt x="53" y="34"/>
                                </a:lnTo>
                                <a:lnTo>
                                  <a:pt x="78" y="0"/>
                                </a:lnTo>
                                <a:lnTo>
                                  <a:pt x="107" y="21"/>
                                </a:lnTo>
                                <a:lnTo>
                                  <a:pt x="76" y="64"/>
                                </a:lnTo>
                                <a:lnTo>
                                  <a:pt x="107" y="107"/>
                                </a:lnTo>
                                <a:lnTo>
                                  <a:pt x="78" y="128"/>
                                </a:lnTo>
                                <a:lnTo>
                                  <a:pt x="53" y="94"/>
                                </a:lnTo>
                                <a:lnTo>
                                  <a:pt x="28" y="128"/>
                                </a:lnTo>
                                <a:lnTo>
                                  <a:pt x="0" y="107"/>
                                </a:lnTo>
                                <a:lnTo>
                                  <a:pt x="32" y="64"/>
                                </a:lnTo>
                                <a:lnTo>
                                  <a:pt x="0" y="21"/>
                                </a:lnTo>
                                <a:close/>
                              </a:path>
                            </a:pathLst>
                          </a:custGeom>
                          <a:noFill/>
                          <a:ln w="6985">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Freeform 134"/>
                        <wps:cNvSpPr>
                          <a:spLocks/>
                        </wps:cNvSpPr>
                        <wps:spPr bwMode="auto">
                          <a:xfrm>
                            <a:off x="1514425" y="1078806"/>
                            <a:ext cx="68001" cy="81900"/>
                          </a:xfrm>
                          <a:custGeom>
                            <a:avLst/>
                            <a:gdLst>
                              <a:gd name="T0" fmla="*/ 0 w 107"/>
                              <a:gd name="T1" fmla="*/ 2147483646 h 129"/>
                              <a:gd name="T2" fmla="*/ 2147483646 w 107"/>
                              <a:gd name="T3" fmla="*/ 0 h 129"/>
                              <a:gd name="T4" fmla="*/ 2147483646 w 107"/>
                              <a:gd name="T5" fmla="*/ 2147483646 h 129"/>
                              <a:gd name="T6" fmla="*/ 2147483646 w 107"/>
                              <a:gd name="T7" fmla="*/ 0 h 129"/>
                              <a:gd name="T8" fmla="*/ 2147483646 w 107"/>
                              <a:gd name="T9" fmla="*/ 2147483646 h 129"/>
                              <a:gd name="T10" fmla="*/ 2147483646 w 107"/>
                              <a:gd name="T11" fmla="*/ 2147483646 h 129"/>
                              <a:gd name="T12" fmla="*/ 2147483646 w 107"/>
                              <a:gd name="T13" fmla="*/ 2147483646 h 129"/>
                              <a:gd name="T14" fmla="*/ 2147483646 w 107"/>
                              <a:gd name="T15" fmla="*/ 2147483646 h 129"/>
                              <a:gd name="T16" fmla="*/ 2147483646 w 107"/>
                              <a:gd name="T17" fmla="*/ 2147483646 h 129"/>
                              <a:gd name="T18" fmla="*/ 2147483646 w 107"/>
                              <a:gd name="T19" fmla="*/ 2147483646 h 129"/>
                              <a:gd name="T20" fmla="*/ 0 w 107"/>
                              <a:gd name="T21" fmla="*/ 2147483646 h 129"/>
                              <a:gd name="T22" fmla="*/ 2147483646 w 107"/>
                              <a:gd name="T23" fmla="*/ 2147483646 h 129"/>
                              <a:gd name="T24" fmla="*/ 0 w 107"/>
                              <a:gd name="T25" fmla="*/ 2147483646 h 12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9">
                                <a:moveTo>
                                  <a:pt x="0" y="21"/>
                                </a:moveTo>
                                <a:lnTo>
                                  <a:pt x="28" y="0"/>
                                </a:lnTo>
                                <a:lnTo>
                                  <a:pt x="53" y="34"/>
                                </a:lnTo>
                                <a:lnTo>
                                  <a:pt x="78" y="0"/>
                                </a:lnTo>
                                <a:lnTo>
                                  <a:pt x="107" y="21"/>
                                </a:lnTo>
                                <a:lnTo>
                                  <a:pt x="75" y="64"/>
                                </a:lnTo>
                                <a:lnTo>
                                  <a:pt x="107" y="108"/>
                                </a:lnTo>
                                <a:lnTo>
                                  <a:pt x="78" y="129"/>
                                </a:lnTo>
                                <a:lnTo>
                                  <a:pt x="53" y="95"/>
                                </a:lnTo>
                                <a:lnTo>
                                  <a:pt x="28" y="129"/>
                                </a:lnTo>
                                <a:lnTo>
                                  <a:pt x="0" y="108"/>
                                </a:lnTo>
                                <a:lnTo>
                                  <a:pt x="31" y="64"/>
                                </a:lnTo>
                                <a:lnTo>
                                  <a:pt x="0" y="21"/>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135"/>
                        <wps:cNvSpPr>
                          <a:spLocks/>
                        </wps:cNvSpPr>
                        <wps:spPr bwMode="auto">
                          <a:xfrm>
                            <a:off x="1514425" y="1078806"/>
                            <a:ext cx="68001" cy="81900"/>
                          </a:xfrm>
                          <a:custGeom>
                            <a:avLst/>
                            <a:gdLst>
                              <a:gd name="T0" fmla="*/ 0 w 107"/>
                              <a:gd name="T1" fmla="*/ 2147483646 h 129"/>
                              <a:gd name="T2" fmla="*/ 2147483646 w 107"/>
                              <a:gd name="T3" fmla="*/ 0 h 129"/>
                              <a:gd name="T4" fmla="*/ 2147483646 w 107"/>
                              <a:gd name="T5" fmla="*/ 2147483646 h 129"/>
                              <a:gd name="T6" fmla="*/ 2147483646 w 107"/>
                              <a:gd name="T7" fmla="*/ 0 h 129"/>
                              <a:gd name="T8" fmla="*/ 2147483646 w 107"/>
                              <a:gd name="T9" fmla="*/ 2147483646 h 129"/>
                              <a:gd name="T10" fmla="*/ 2147483646 w 107"/>
                              <a:gd name="T11" fmla="*/ 2147483646 h 129"/>
                              <a:gd name="T12" fmla="*/ 2147483646 w 107"/>
                              <a:gd name="T13" fmla="*/ 2147483646 h 129"/>
                              <a:gd name="T14" fmla="*/ 2147483646 w 107"/>
                              <a:gd name="T15" fmla="*/ 2147483646 h 129"/>
                              <a:gd name="T16" fmla="*/ 2147483646 w 107"/>
                              <a:gd name="T17" fmla="*/ 2147483646 h 129"/>
                              <a:gd name="T18" fmla="*/ 2147483646 w 107"/>
                              <a:gd name="T19" fmla="*/ 2147483646 h 129"/>
                              <a:gd name="T20" fmla="*/ 0 w 107"/>
                              <a:gd name="T21" fmla="*/ 2147483646 h 129"/>
                              <a:gd name="T22" fmla="*/ 2147483646 w 107"/>
                              <a:gd name="T23" fmla="*/ 2147483646 h 129"/>
                              <a:gd name="T24" fmla="*/ 0 w 107"/>
                              <a:gd name="T25" fmla="*/ 2147483646 h 12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9">
                                <a:moveTo>
                                  <a:pt x="0" y="21"/>
                                </a:moveTo>
                                <a:lnTo>
                                  <a:pt x="28" y="0"/>
                                </a:lnTo>
                                <a:lnTo>
                                  <a:pt x="53" y="34"/>
                                </a:lnTo>
                                <a:lnTo>
                                  <a:pt x="78" y="0"/>
                                </a:lnTo>
                                <a:lnTo>
                                  <a:pt x="107" y="21"/>
                                </a:lnTo>
                                <a:lnTo>
                                  <a:pt x="75" y="64"/>
                                </a:lnTo>
                                <a:lnTo>
                                  <a:pt x="107" y="108"/>
                                </a:lnTo>
                                <a:lnTo>
                                  <a:pt x="78" y="129"/>
                                </a:lnTo>
                                <a:lnTo>
                                  <a:pt x="53" y="95"/>
                                </a:lnTo>
                                <a:lnTo>
                                  <a:pt x="28" y="129"/>
                                </a:lnTo>
                                <a:lnTo>
                                  <a:pt x="0" y="108"/>
                                </a:lnTo>
                                <a:lnTo>
                                  <a:pt x="31" y="64"/>
                                </a:lnTo>
                                <a:lnTo>
                                  <a:pt x="0" y="21"/>
                                </a:lnTo>
                                <a:close/>
                              </a:path>
                            </a:pathLst>
                          </a:custGeom>
                          <a:noFill/>
                          <a:ln w="6985">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Freeform 136"/>
                        <wps:cNvSpPr>
                          <a:spLocks/>
                        </wps:cNvSpPr>
                        <wps:spPr bwMode="auto">
                          <a:xfrm>
                            <a:off x="1803430" y="1389307"/>
                            <a:ext cx="67901" cy="81300"/>
                          </a:xfrm>
                          <a:custGeom>
                            <a:avLst/>
                            <a:gdLst>
                              <a:gd name="T0" fmla="*/ 0 w 107"/>
                              <a:gd name="T1" fmla="*/ 2147483646 h 128"/>
                              <a:gd name="T2" fmla="*/ 2147483646 w 107"/>
                              <a:gd name="T3" fmla="*/ 0 h 128"/>
                              <a:gd name="T4" fmla="*/ 2147483646 w 107"/>
                              <a:gd name="T5" fmla="*/ 2147483646 h 128"/>
                              <a:gd name="T6" fmla="*/ 2147483646 w 107"/>
                              <a:gd name="T7" fmla="*/ 0 h 128"/>
                              <a:gd name="T8" fmla="*/ 2147483646 w 107"/>
                              <a:gd name="T9" fmla="*/ 2147483646 h 128"/>
                              <a:gd name="T10" fmla="*/ 2147483646 w 107"/>
                              <a:gd name="T11" fmla="*/ 2147483646 h 128"/>
                              <a:gd name="T12" fmla="*/ 2147483646 w 107"/>
                              <a:gd name="T13" fmla="*/ 2147483646 h 128"/>
                              <a:gd name="T14" fmla="*/ 2147483646 w 107"/>
                              <a:gd name="T15" fmla="*/ 2147483646 h 128"/>
                              <a:gd name="T16" fmla="*/ 2147483646 w 107"/>
                              <a:gd name="T17" fmla="*/ 2147483646 h 128"/>
                              <a:gd name="T18" fmla="*/ 2147483646 w 107"/>
                              <a:gd name="T19" fmla="*/ 2147483646 h 128"/>
                              <a:gd name="T20" fmla="*/ 0 w 107"/>
                              <a:gd name="T21" fmla="*/ 2147483646 h 128"/>
                              <a:gd name="T22" fmla="*/ 2147483646 w 107"/>
                              <a:gd name="T23" fmla="*/ 2147483646 h 128"/>
                              <a:gd name="T24" fmla="*/ 0 w 107"/>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8">
                                <a:moveTo>
                                  <a:pt x="0" y="21"/>
                                </a:moveTo>
                                <a:lnTo>
                                  <a:pt x="28" y="0"/>
                                </a:lnTo>
                                <a:lnTo>
                                  <a:pt x="53" y="34"/>
                                </a:lnTo>
                                <a:lnTo>
                                  <a:pt x="78" y="0"/>
                                </a:lnTo>
                                <a:lnTo>
                                  <a:pt x="107" y="21"/>
                                </a:lnTo>
                                <a:lnTo>
                                  <a:pt x="75" y="63"/>
                                </a:lnTo>
                                <a:lnTo>
                                  <a:pt x="107" y="107"/>
                                </a:lnTo>
                                <a:lnTo>
                                  <a:pt x="78" y="128"/>
                                </a:lnTo>
                                <a:lnTo>
                                  <a:pt x="53" y="94"/>
                                </a:lnTo>
                                <a:lnTo>
                                  <a:pt x="28" y="128"/>
                                </a:lnTo>
                                <a:lnTo>
                                  <a:pt x="0" y="107"/>
                                </a:lnTo>
                                <a:lnTo>
                                  <a:pt x="31" y="63"/>
                                </a:lnTo>
                                <a:lnTo>
                                  <a:pt x="0" y="21"/>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37"/>
                        <wps:cNvSpPr>
                          <a:spLocks/>
                        </wps:cNvSpPr>
                        <wps:spPr bwMode="auto">
                          <a:xfrm>
                            <a:off x="1803430" y="1389307"/>
                            <a:ext cx="67901" cy="81300"/>
                          </a:xfrm>
                          <a:custGeom>
                            <a:avLst/>
                            <a:gdLst>
                              <a:gd name="T0" fmla="*/ 0 w 107"/>
                              <a:gd name="T1" fmla="*/ 2147483646 h 128"/>
                              <a:gd name="T2" fmla="*/ 2147483646 w 107"/>
                              <a:gd name="T3" fmla="*/ 0 h 128"/>
                              <a:gd name="T4" fmla="*/ 2147483646 w 107"/>
                              <a:gd name="T5" fmla="*/ 2147483646 h 128"/>
                              <a:gd name="T6" fmla="*/ 2147483646 w 107"/>
                              <a:gd name="T7" fmla="*/ 0 h 128"/>
                              <a:gd name="T8" fmla="*/ 2147483646 w 107"/>
                              <a:gd name="T9" fmla="*/ 2147483646 h 128"/>
                              <a:gd name="T10" fmla="*/ 2147483646 w 107"/>
                              <a:gd name="T11" fmla="*/ 2147483646 h 128"/>
                              <a:gd name="T12" fmla="*/ 2147483646 w 107"/>
                              <a:gd name="T13" fmla="*/ 2147483646 h 128"/>
                              <a:gd name="T14" fmla="*/ 2147483646 w 107"/>
                              <a:gd name="T15" fmla="*/ 2147483646 h 128"/>
                              <a:gd name="T16" fmla="*/ 2147483646 w 107"/>
                              <a:gd name="T17" fmla="*/ 2147483646 h 128"/>
                              <a:gd name="T18" fmla="*/ 2147483646 w 107"/>
                              <a:gd name="T19" fmla="*/ 2147483646 h 128"/>
                              <a:gd name="T20" fmla="*/ 0 w 107"/>
                              <a:gd name="T21" fmla="*/ 2147483646 h 128"/>
                              <a:gd name="T22" fmla="*/ 2147483646 w 107"/>
                              <a:gd name="T23" fmla="*/ 2147483646 h 128"/>
                              <a:gd name="T24" fmla="*/ 0 w 107"/>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8">
                                <a:moveTo>
                                  <a:pt x="0" y="21"/>
                                </a:moveTo>
                                <a:lnTo>
                                  <a:pt x="28" y="0"/>
                                </a:lnTo>
                                <a:lnTo>
                                  <a:pt x="53" y="34"/>
                                </a:lnTo>
                                <a:lnTo>
                                  <a:pt x="78" y="0"/>
                                </a:lnTo>
                                <a:lnTo>
                                  <a:pt x="107" y="21"/>
                                </a:lnTo>
                                <a:lnTo>
                                  <a:pt x="75" y="63"/>
                                </a:lnTo>
                                <a:lnTo>
                                  <a:pt x="107" y="107"/>
                                </a:lnTo>
                                <a:lnTo>
                                  <a:pt x="78" y="128"/>
                                </a:lnTo>
                                <a:lnTo>
                                  <a:pt x="53" y="94"/>
                                </a:lnTo>
                                <a:lnTo>
                                  <a:pt x="28" y="128"/>
                                </a:lnTo>
                                <a:lnTo>
                                  <a:pt x="0" y="107"/>
                                </a:lnTo>
                                <a:lnTo>
                                  <a:pt x="31" y="63"/>
                                </a:lnTo>
                                <a:lnTo>
                                  <a:pt x="0" y="21"/>
                                </a:lnTo>
                                <a:close/>
                              </a:path>
                            </a:pathLst>
                          </a:custGeom>
                          <a:noFill/>
                          <a:ln w="6985">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Freeform 138"/>
                        <wps:cNvSpPr>
                          <a:spLocks/>
                        </wps:cNvSpPr>
                        <wps:spPr bwMode="auto">
                          <a:xfrm>
                            <a:off x="2773046" y="2264412"/>
                            <a:ext cx="68601" cy="81200"/>
                          </a:xfrm>
                          <a:custGeom>
                            <a:avLst/>
                            <a:gdLst>
                              <a:gd name="T0" fmla="*/ 0 w 108"/>
                              <a:gd name="T1" fmla="*/ 2147483646 h 128"/>
                              <a:gd name="T2" fmla="*/ 2147483646 w 108"/>
                              <a:gd name="T3" fmla="*/ 0 h 128"/>
                              <a:gd name="T4" fmla="*/ 2147483646 w 108"/>
                              <a:gd name="T5" fmla="*/ 2147483646 h 128"/>
                              <a:gd name="T6" fmla="*/ 2147483646 w 108"/>
                              <a:gd name="T7" fmla="*/ 0 h 128"/>
                              <a:gd name="T8" fmla="*/ 2147483646 w 108"/>
                              <a:gd name="T9" fmla="*/ 2147483646 h 128"/>
                              <a:gd name="T10" fmla="*/ 2147483646 w 108"/>
                              <a:gd name="T11" fmla="*/ 2147483646 h 128"/>
                              <a:gd name="T12" fmla="*/ 2147483646 w 108"/>
                              <a:gd name="T13" fmla="*/ 2147483646 h 128"/>
                              <a:gd name="T14" fmla="*/ 2147483646 w 108"/>
                              <a:gd name="T15" fmla="*/ 2147483646 h 128"/>
                              <a:gd name="T16" fmla="*/ 2147483646 w 108"/>
                              <a:gd name="T17" fmla="*/ 2147483646 h 128"/>
                              <a:gd name="T18" fmla="*/ 2147483646 w 108"/>
                              <a:gd name="T19" fmla="*/ 2147483646 h 128"/>
                              <a:gd name="T20" fmla="*/ 0 w 108"/>
                              <a:gd name="T21" fmla="*/ 2147483646 h 128"/>
                              <a:gd name="T22" fmla="*/ 2147483646 w 108"/>
                              <a:gd name="T23" fmla="*/ 2147483646 h 128"/>
                              <a:gd name="T24" fmla="*/ 0 w 108"/>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8" h="128">
                                <a:moveTo>
                                  <a:pt x="0" y="21"/>
                                </a:moveTo>
                                <a:lnTo>
                                  <a:pt x="29" y="0"/>
                                </a:lnTo>
                                <a:lnTo>
                                  <a:pt x="54" y="34"/>
                                </a:lnTo>
                                <a:lnTo>
                                  <a:pt x="79" y="0"/>
                                </a:lnTo>
                                <a:lnTo>
                                  <a:pt x="108" y="21"/>
                                </a:lnTo>
                                <a:lnTo>
                                  <a:pt x="76" y="63"/>
                                </a:lnTo>
                                <a:lnTo>
                                  <a:pt x="108" y="107"/>
                                </a:lnTo>
                                <a:lnTo>
                                  <a:pt x="79" y="128"/>
                                </a:lnTo>
                                <a:lnTo>
                                  <a:pt x="54" y="94"/>
                                </a:lnTo>
                                <a:lnTo>
                                  <a:pt x="29" y="128"/>
                                </a:lnTo>
                                <a:lnTo>
                                  <a:pt x="0" y="107"/>
                                </a:lnTo>
                                <a:lnTo>
                                  <a:pt x="32" y="63"/>
                                </a:lnTo>
                                <a:lnTo>
                                  <a:pt x="0" y="21"/>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139"/>
                        <wps:cNvSpPr>
                          <a:spLocks/>
                        </wps:cNvSpPr>
                        <wps:spPr bwMode="auto">
                          <a:xfrm>
                            <a:off x="2773046" y="2264412"/>
                            <a:ext cx="68601" cy="81200"/>
                          </a:xfrm>
                          <a:custGeom>
                            <a:avLst/>
                            <a:gdLst>
                              <a:gd name="T0" fmla="*/ 0 w 108"/>
                              <a:gd name="T1" fmla="*/ 2147483646 h 128"/>
                              <a:gd name="T2" fmla="*/ 2147483646 w 108"/>
                              <a:gd name="T3" fmla="*/ 0 h 128"/>
                              <a:gd name="T4" fmla="*/ 2147483646 w 108"/>
                              <a:gd name="T5" fmla="*/ 2147483646 h 128"/>
                              <a:gd name="T6" fmla="*/ 2147483646 w 108"/>
                              <a:gd name="T7" fmla="*/ 0 h 128"/>
                              <a:gd name="T8" fmla="*/ 2147483646 w 108"/>
                              <a:gd name="T9" fmla="*/ 2147483646 h 128"/>
                              <a:gd name="T10" fmla="*/ 2147483646 w 108"/>
                              <a:gd name="T11" fmla="*/ 2147483646 h 128"/>
                              <a:gd name="T12" fmla="*/ 2147483646 w 108"/>
                              <a:gd name="T13" fmla="*/ 2147483646 h 128"/>
                              <a:gd name="T14" fmla="*/ 2147483646 w 108"/>
                              <a:gd name="T15" fmla="*/ 2147483646 h 128"/>
                              <a:gd name="T16" fmla="*/ 2147483646 w 108"/>
                              <a:gd name="T17" fmla="*/ 2147483646 h 128"/>
                              <a:gd name="T18" fmla="*/ 2147483646 w 108"/>
                              <a:gd name="T19" fmla="*/ 2147483646 h 128"/>
                              <a:gd name="T20" fmla="*/ 0 w 108"/>
                              <a:gd name="T21" fmla="*/ 2147483646 h 128"/>
                              <a:gd name="T22" fmla="*/ 2147483646 w 108"/>
                              <a:gd name="T23" fmla="*/ 2147483646 h 128"/>
                              <a:gd name="T24" fmla="*/ 0 w 108"/>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8" h="128">
                                <a:moveTo>
                                  <a:pt x="0" y="21"/>
                                </a:moveTo>
                                <a:lnTo>
                                  <a:pt x="29" y="0"/>
                                </a:lnTo>
                                <a:lnTo>
                                  <a:pt x="54" y="34"/>
                                </a:lnTo>
                                <a:lnTo>
                                  <a:pt x="79" y="0"/>
                                </a:lnTo>
                                <a:lnTo>
                                  <a:pt x="108" y="21"/>
                                </a:lnTo>
                                <a:lnTo>
                                  <a:pt x="76" y="63"/>
                                </a:lnTo>
                                <a:lnTo>
                                  <a:pt x="108" y="107"/>
                                </a:lnTo>
                                <a:lnTo>
                                  <a:pt x="79" y="128"/>
                                </a:lnTo>
                                <a:lnTo>
                                  <a:pt x="54" y="94"/>
                                </a:lnTo>
                                <a:lnTo>
                                  <a:pt x="29" y="128"/>
                                </a:lnTo>
                                <a:lnTo>
                                  <a:pt x="0" y="107"/>
                                </a:lnTo>
                                <a:lnTo>
                                  <a:pt x="32" y="63"/>
                                </a:lnTo>
                                <a:lnTo>
                                  <a:pt x="0" y="21"/>
                                </a:lnTo>
                                <a:close/>
                              </a:path>
                            </a:pathLst>
                          </a:custGeom>
                          <a:noFill/>
                          <a:ln w="6985">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0B7D962D" id="Canvas 223" o:spid="_x0000_s1039" editas="canvas" style="width:488.4pt;height:293.6pt;mso-position-horizontal-relative:char;mso-position-vertical-relative:line" coordsize="62020,37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width:62020;height:37287;visibility:visible;mso-wrap-style:square">
                  <v:fill o:detectmouseclick="t"/>
                  <v:path o:connecttype="none"/>
                </v:shape>
                <v:rect id="Rectangle 5" o:spid="_x0000_s1041" style="position:absolute;left:209;top:273;width:7302;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14:paraId="61069442" w14:textId="77777777" w:rsidR="00A2588D" w:rsidRPr="00F8565C" w:rsidRDefault="00A2588D" w:rsidP="00F8565C">
                        <w:pPr>
                          <w:rPr>
                            <w:rFonts w:ascii="AcadNusx" w:hAnsi="AcadNusx"/>
                          </w:rPr>
                        </w:pPr>
                        <w:r w:rsidRPr="00F8565C">
                          <w:rPr>
                            <w:rFonts w:ascii="AcadNusx" w:hAnsi="AcadNusx"/>
                          </w:rPr>
                          <w:t>axmetisken</w:t>
                        </w:r>
                      </w:p>
                    </w:txbxContent>
                  </v:textbox>
                </v:rect>
                <v:rect id="Rectangle 6" o:spid="_x0000_s1042" style="position:absolute;left:5365;top:1517;width:5124;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4A356637" w14:textId="77777777" w:rsidR="00A2588D" w:rsidRPr="00F8565C" w:rsidRDefault="00A2588D" w:rsidP="00F8565C">
                        <w:pPr>
                          <w:rPr>
                            <w:rFonts w:ascii="AcadNusx" w:hAnsi="AcadNusx"/>
                          </w:rPr>
                        </w:pPr>
                        <w:r w:rsidRPr="00F8565C">
                          <w:rPr>
                            <w:rFonts w:ascii="AcadNusx" w:hAnsi="AcadNusx"/>
                          </w:rPr>
                          <w:t>Telavi</w:t>
                        </w:r>
                      </w:p>
                    </w:txbxContent>
                  </v:textbox>
                </v:rect>
                <v:rect id="Rectangle 7" o:spid="_x0000_s1043" style="position:absolute;left:9008;top:4406;width:9735;height:18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5DE7F60C" w14:textId="77777777" w:rsidR="00A2588D" w:rsidRPr="00F8565C" w:rsidRDefault="00A2588D" w:rsidP="00F8565C">
                        <w:pPr>
                          <w:rPr>
                            <w:rFonts w:ascii="Sylfaen" w:hAnsi="Sylfaen"/>
                          </w:rPr>
                        </w:pPr>
                        <w:r w:rsidRPr="00F8565C">
                          <w:rPr>
                            <w:rFonts w:ascii="Sylfaen" w:hAnsi="Sylfaen"/>
                          </w:rPr>
                          <w:t>OD1&amp;2/mcc1&amp;2</w:t>
                        </w:r>
                      </w:p>
                    </w:txbxContent>
                  </v:textbox>
                </v:rect>
                <v:rect id="Rectangle 8" o:spid="_x0000_s1044" style="position:absolute;left:22498;top:4406;width:7899;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14:paraId="213EF069" w14:textId="77777777" w:rsidR="00A2588D" w:rsidRPr="00F8565C" w:rsidRDefault="00A2588D" w:rsidP="00F8565C">
                        <w:pPr>
                          <w:rPr>
                            <w:rFonts w:ascii="AcadNusx" w:hAnsi="AcadNusx"/>
                          </w:rPr>
                        </w:pPr>
                        <w:r w:rsidRPr="00F8565C">
                          <w:rPr>
                            <w:rFonts w:ascii="AcadNusx" w:hAnsi="AcadNusx"/>
                          </w:rPr>
                          <w:t>yvarlisken</w:t>
                        </w:r>
                      </w:p>
                    </w:txbxContent>
                  </v:textbox>
                </v:rect>
                <v:rect id="Rectangle 9" o:spid="_x0000_s1045" style="position:absolute;left:9010;top:7162;width:3340;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4F621EDD" w14:textId="77777777" w:rsidR="00A2588D" w:rsidRPr="003D733D" w:rsidRDefault="00A2588D" w:rsidP="00F8565C">
                        <w:r w:rsidRPr="003D733D">
                          <w:t>mcc3</w:t>
                        </w:r>
                      </w:p>
                    </w:txbxContent>
                  </v:textbox>
                </v:rect>
                <v:rect id="Rectangle 10" o:spid="_x0000_s1046" style="position:absolute;left:13417;top:7029;width:3968;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14:paraId="73FDC0B5" w14:textId="77777777" w:rsidR="00A2588D" w:rsidRPr="00F8565C" w:rsidRDefault="00A2588D" w:rsidP="00F8565C">
                        <w:pPr>
                          <w:rPr>
                            <w:rFonts w:ascii="AcadNusx" w:hAnsi="AcadNusx"/>
                          </w:rPr>
                        </w:pPr>
                        <w:r w:rsidRPr="00F8565C">
                          <w:rPr>
                            <w:rFonts w:ascii="AcadNusx" w:hAnsi="AcadNusx"/>
                          </w:rPr>
                          <w:t>akura</w:t>
                        </w:r>
                      </w:p>
                    </w:txbxContent>
                  </v:textbox>
                </v:rect>
                <v:rect id="Rectangle 11" o:spid="_x0000_s1047" style="position:absolute;left:17818;top:9785;width:7296;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14:paraId="156EED49" w14:textId="77777777" w:rsidR="00A2588D" w:rsidRPr="00F8565C" w:rsidRDefault="00A2588D" w:rsidP="00F8565C">
                        <w:pPr>
                          <w:rPr>
                            <w:rFonts w:ascii="AcadNusx" w:hAnsi="AcadNusx"/>
                          </w:rPr>
                        </w:pPr>
                        <w:r w:rsidRPr="00F8565C">
                          <w:rPr>
                            <w:rFonts w:ascii="AcadNusx" w:hAnsi="AcadNusx"/>
                          </w:rPr>
                          <w:t>veliscixe</w:t>
                        </w:r>
                      </w:p>
                    </w:txbxContent>
                  </v:textbox>
                </v:rect>
                <v:rect id="Rectangle 12" o:spid="_x0000_s1048" style="position:absolute;left:14516;top:11296;width:3029;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14:paraId="04454F32" w14:textId="77777777" w:rsidR="00A2588D" w:rsidRPr="003D733D" w:rsidRDefault="00A2588D" w:rsidP="00F8565C">
                        <w:r w:rsidRPr="003D733D">
                          <w:t>tmc1</w:t>
                        </w:r>
                      </w:p>
                    </w:txbxContent>
                  </v:textbox>
                </v:rect>
                <v:rect id="Rectangle 13" o:spid="_x0000_s1049" style="position:absolute;left:18853;top:14052;width:3340;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14:paraId="68680EC6" w14:textId="77777777" w:rsidR="00A2588D" w:rsidRPr="003D733D" w:rsidRDefault="00A2588D" w:rsidP="00F8565C">
                        <w:r w:rsidRPr="003D733D">
                          <w:t>mcc4</w:t>
                        </w:r>
                      </w:p>
                    </w:txbxContent>
                  </v:textbox>
                </v:rect>
                <v:rect id="Rectangle 14" o:spid="_x0000_s1050" style="position:absolute;left:31375;top:15430;width:9011;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14:paraId="090D131A" w14:textId="77777777" w:rsidR="00A2588D" w:rsidRPr="00F8565C" w:rsidRDefault="00A2588D" w:rsidP="00F8565C">
                        <w:pPr>
                          <w:rPr>
                            <w:rFonts w:ascii="AcadNusx" w:hAnsi="AcadNusx"/>
                          </w:rPr>
                        </w:pPr>
                        <w:r w:rsidRPr="00F8565C">
                          <w:rPr>
                            <w:rFonts w:ascii="AcadNusx" w:hAnsi="AcadNusx"/>
                          </w:rPr>
                          <w:t>lelianisken</w:t>
                        </w:r>
                      </w:p>
                    </w:txbxContent>
                  </v:textbox>
                </v:rect>
                <v:rect id="Rectangle 15" o:spid="_x0000_s1051" style="position:absolute;left:17818;top:16675;width:5607;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14:paraId="569C4C33" w14:textId="77777777" w:rsidR="00A2588D" w:rsidRPr="00F8565C" w:rsidRDefault="00A2588D" w:rsidP="00F8565C">
                        <w:pPr>
                          <w:rPr>
                            <w:rFonts w:ascii="AcadNusx" w:hAnsi="AcadNusx"/>
                          </w:rPr>
                        </w:pPr>
                        <w:r w:rsidRPr="00F8565C">
                          <w:rPr>
                            <w:rFonts w:ascii="AcadNusx" w:hAnsi="AcadNusx"/>
                          </w:rPr>
                          <w:t>Cumlayi</w:t>
                        </w:r>
                      </w:p>
                    </w:txbxContent>
                  </v:textbox>
                </v:rect>
                <v:rect id="Rectangle 16" o:spid="_x0000_s1052" style="position:absolute;left:22225;top:20808;width:6566;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14:paraId="141D24F2" w14:textId="77777777" w:rsidR="00A2588D" w:rsidRPr="00F8565C" w:rsidRDefault="00A2588D" w:rsidP="00F8565C">
                        <w:pPr>
                          <w:rPr>
                            <w:rFonts w:ascii="AcadNusx" w:hAnsi="AcadNusx"/>
                          </w:rPr>
                        </w:pPr>
                        <w:r w:rsidRPr="00F8565C">
                          <w:rPr>
                            <w:rFonts w:ascii="AcadNusx" w:hAnsi="AcadNusx"/>
                          </w:rPr>
                          <w:t>gurjaani</w:t>
                        </w:r>
                      </w:p>
                    </w:txbxContent>
                  </v:textbox>
                </v:rect>
                <v:rect id="Rectangle 17" o:spid="_x0000_s1053" style="position:absolute;left:28689;top:22326;width:3340;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6C523DFF" w14:textId="77777777" w:rsidR="00A2588D" w:rsidRPr="003D733D" w:rsidRDefault="00A2588D" w:rsidP="00F8565C">
                        <w:r w:rsidRPr="003D733D">
                          <w:t>mcc5</w:t>
                        </w:r>
                      </w:p>
                    </w:txbxContent>
                  </v:textbox>
                </v:rect>
                <v:rect id="Rectangle 18" o:spid="_x0000_s1054" style="position:absolute;left:28213;top:25082;width:3962;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14:paraId="5AAEEC26" w14:textId="77777777" w:rsidR="00A2588D" w:rsidRPr="003D733D" w:rsidRDefault="00A2588D" w:rsidP="00F8565C">
                        <w:r w:rsidRPr="003D733D">
                          <w:t>(tmc2)</w:t>
                        </w:r>
                      </w:p>
                    </w:txbxContent>
                  </v:textbox>
                </v:rect>
                <v:rect id="Rectangle 19" o:spid="_x0000_s1055" style="position:absolute;left:31032;top:26320;width:7156;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14:paraId="1E0BAB9F" w14:textId="77777777" w:rsidR="00A2588D" w:rsidRPr="00F8565C" w:rsidRDefault="00A2588D" w:rsidP="00F8565C">
                        <w:pPr>
                          <w:rPr>
                            <w:rFonts w:ascii="AcadNusx" w:hAnsi="AcadNusx"/>
                          </w:rPr>
                        </w:pPr>
                        <w:r w:rsidRPr="00F8565C">
                          <w:rPr>
                            <w:rFonts w:ascii="AcadNusx" w:hAnsi="AcadNusx"/>
                          </w:rPr>
                          <w:t xml:space="preserve">bakurcixe </w:t>
                        </w:r>
                      </w:p>
                    </w:txbxContent>
                  </v:textbox>
                </v:rect>
                <v:rect id="Rectangle 20" o:spid="_x0000_s1056" style="position:absolute;left:18580;top:27838;width:8871;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14:paraId="31BB2B0F" w14:textId="77777777" w:rsidR="00A2588D" w:rsidRPr="00F8565C" w:rsidRDefault="00A2588D" w:rsidP="00F8565C">
                        <w:pPr>
                          <w:rPr>
                            <w:rFonts w:ascii="AcadNusx" w:hAnsi="AcadNusx"/>
                          </w:rPr>
                        </w:pPr>
                        <w:r w:rsidRPr="00F8565C">
                          <w:rPr>
                            <w:rFonts w:ascii="AcadNusx" w:hAnsi="AcadNusx"/>
                          </w:rPr>
                          <w:t>Tbilisisken</w:t>
                        </w:r>
                      </w:p>
                    </w:txbxContent>
                  </v:textbox>
                </v:rect>
                <v:rect id="Rectangle 21" o:spid="_x0000_s1057" style="position:absolute;left:48647;top:29216;width:9836;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14:paraId="7C03ABCD" w14:textId="77777777" w:rsidR="00A2588D" w:rsidRPr="00F8565C" w:rsidRDefault="00A2588D" w:rsidP="00F8565C">
                        <w:pPr>
                          <w:rPr>
                            <w:rFonts w:ascii="AcadNusx" w:hAnsi="AcadNusx"/>
                          </w:rPr>
                        </w:pPr>
                        <w:r w:rsidRPr="00F8565C">
                          <w:rPr>
                            <w:rFonts w:ascii="AcadNusx" w:hAnsi="AcadNusx"/>
                          </w:rPr>
                          <w:t>lagodexisken</w:t>
                        </w:r>
                      </w:p>
                    </w:txbxContent>
                  </v:textbox>
                </v:rect>
                <v:rect id="Rectangle 22" o:spid="_x0000_s1058" style="position:absolute;left:33299;top:30594;width:10020;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14:paraId="2267435A" w14:textId="77777777" w:rsidR="00A2588D" w:rsidRPr="003D733D" w:rsidRDefault="00A2588D" w:rsidP="00F8565C">
                        <w:r w:rsidRPr="003D733D">
                          <w:t>OD3&amp;4/mcc6&amp;7</w:t>
                        </w:r>
                      </w:p>
                    </w:txbxContent>
                  </v:textbox>
                </v:rect>
                <v:rect id="Rectangle 23" o:spid="_x0000_s1059" style="position:absolute;left:44240;top:34588;width:4235;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14:paraId="173DE6C0" w14:textId="77777777" w:rsidR="00A2588D" w:rsidRPr="00F8565C" w:rsidRDefault="00A2588D" w:rsidP="00F8565C">
                        <w:pPr>
                          <w:rPr>
                            <w:rFonts w:ascii="AcadNusx" w:hAnsi="AcadNusx"/>
                          </w:rPr>
                        </w:pPr>
                        <w:r w:rsidRPr="00F8565C">
                          <w:rPr>
                            <w:rFonts w:ascii="AcadNusx" w:hAnsi="AcadNusx"/>
                          </w:rPr>
                          <w:t>wnori</w:t>
                        </w:r>
                      </w:p>
                    </w:txbxContent>
                  </v:textbox>
                </v:rect>
                <v:line id="Line 24" o:spid="_x0000_s1060" style="position:absolute;visibility:visible;mso-wrap-style:square" from="4400,0" to="440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" strokecolor="#d4d4d4" strokeweight="0"/>
                <v:rect id="Rectangle 25" o:spid="_x0000_s1061" style="position:absolute;left:4400;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" fillcolor="#d4d4d4" stroked="f"/>
                <v:line id="Line 26" o:spid="_x0000_s1062" style="position:absolute;visibility:visible;mso-wrap-style:square" from="13208,0" to="13208,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" strokecolor="#d4d4d4" strokeweight="0"/>
                <v:rect id="Rectangle 27" o:spid="_x0000_s1063" style="position:absolute;left:13208;width:69;height:4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" fillcolor="#d4d4d4" stroked="f"/>
                <v:line id="Line 28" o:spid="_x0000_s1064" style="position:absolute;visibility:visible;mso-wrap-style:square" from="22015,0" to="22015,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" strokecolor="#d4d4d4" strokeweight="0"/>
                <v:rect id="Rectangle 29" o:spid="_x0000_s1065" style="position:absolute;left:22015;width:70;height:9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" fillcolor="#d4d4d4" stroked="f"/>
                <v:line id="Line 30" o:spid="_x0000_s1066" style="position:absolute;visibility:visible;mso-wrap-style:square" from="35229,0" to="35229,2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" strokecolor="#d4d4d4" strokeweight="0"/>
                <v:rect id="Rectangle 31" o:spid="_x0000_s1067" style="position:absolute;left:35229;width:70;height:26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EY0wgAAANwAAAAPAAAAZHJzL2Rvd25yZXYueG1sRE/dasIw&#10;FL4f7B3CGXgzNFVR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CVbEY0wgAAANwAAAAPAAAA&#10;AAAAAAAAAAAAAAcCAABkcnMvZG93bnJldi54bWxQSwUGAAAAAAMAAwC3AAAA9gIAAAAA&#10;" fillcolor="#d4d4d4" stroked="f"/>
                <v:line id="Line 32" o:spid="_x0000_s1068" style="position:absolute;visibility:visible;mso-wrap-style:square" from="52844,0" to="52844,29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" strokecolor="#d4d4d4" strokeweight="0"/>
                <v:rect id="Rectangle 33" o:spid="_x0000_s1069" style="position:absolute;left:52844;width:70;height:29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" fillcolor="#d4d4d4" stroked="f"/>
                <v:line id="Line 34" o:spid="_x0000_s1070" style="position:absolute;visibility:visible;mso-wrap-style:square" from="35229,27628" to="35229,30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" strokecolor="#d4d4d4" strokeweight="0"/>
                <v:rect id="Rectangle 35" o:spid="_x0000_s1071" style="position:absolute;left:35229;top:27628;width:70;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" fillcolor="#d4d4d4" stroked="f"/>
                <v:line id="Line 36" o:spid="_x0000_s1072" style="position:absolute;visibility:visible;mso-wrap-style:square" from="0,0" to="6,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" strokecolor="#d4d4d4" strokeweight="0"/>
                <v:rect id="Rectangle 37" o:spid="_x0000_s1073" style="position:absolute;width:69;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" fillcolor="#d4d4d4" stroked="f"/>
                <v:line id="Line 38" o:spid="_x0000_s1074" style="position:absolute;visibility:visible;mso-wrap-style:square" from="4400,1447" to="4406,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J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" strokecolor="#d4d4d4" strokeweight="0"/>
                <v:rect id="Rectangle 39" o:spid="_x0000_s1075" style="position:absolute;left:4400;top:1447;width:70;height:34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" fillcolor="#d4d4d4" stroked="f"/>
                <v:line id="Line 40" o:spid="_x0000_s1076" style="position:absolute;visibility:visible;mso-wrap-style:square" from="8807,0" to="8813,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" strokecolor="#d4d4d4" strokeweight="0"/>
                <v:rect id="Rectangle 41" o:spid="_x0000_s1077" style="position:absolute;left:8807;width:70;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IyJwgAAANwAAAAPAAAAZHJzL2Rvd25yZXYueG1sRE/dasIw&#10;FL4f7B3CGXgzNFVR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BbAIyJwgAAANwAAAAPAAAA&#10;AAAAAAAAAAAAAAcCAABkcnMvZG93bnJldi54bWxQSwUGAAAAAAMAAwC3AAAA9gIAAAAA&#10;" fillcolor="#d4d4d4" stroked="f"/>
                <v:line id="Line 42" o:spid="_x0000_s1078" style="position:absolute;visibility:visible;mso-wrap-style:square" from="13201,5721" to="13208,36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" strokecolor="#d4d4d4" strokeweight="0"/>
                <v:rect id="Rectangle 43" o:spid="_x0000_s1079" style="position:absolute;left:13208;top:5581;width:69;height:30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" fillcolor="#d4d4d4" stroked="f"/>
                <v:line id="Line 44" o:spid="_x0000_s1080" style="position:absolute;visibility:visible;mso-wrap-style:square" from="17614,0" to="17621,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" strokecolor="#d4d4d4" strokeweight="0"/>
                <v:rect id="Rectangle 45" o:spid="_x0000_s1081" style="position:absolute;left:17614;width:70;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46" o:spid="_x0000_s1082" style="position:absolute;visibility:visible;mso-wrap-style:square" from="22015,11093" to="22021,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47" o:spid="_x0000_s1083" style="position:absolute;left:22015;top:11093;width:70;height:24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48" o:spid="_x0000_s1084" style="position:absolute;visibility:visible;mso-wrap-style:square" from="26422,0" to="26428,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49" o:spid="_x0000_s1085" style="position:absolute;left:26422;width:70;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50" o:spid="_x0000_s1086" style="position:absolute;visibility:visible;mso-wrap-style:square" from="30822,0" to="30829,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" strokecolor="#d4d4d4" strokeweight="0"/>
                <v:rect id="Rectangle 51" o:spid="_x0000_s1087" style="position:absolute;left:30822;width:70;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line id="Line 52" o:spid="_x0000_s1088" style="position:absolute;visibility:visible;mso-wrap-style:square" from="35229,31762" to="35236,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XjXxQAAANwAAAAPAAAAZHJzL2Rvd25yZXYueG1sRE/bagIx&#10;EH0v9B/CFHwpmtVK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13XjXxQAAANwAAAAP&#10;AAAAAAAAAAAAAAAAAAcCAABkcnMvZG93bnJldi54bWxQSwUGAAAAAAMAAwC3AAAA+QIAAAAA&#10;" strokecolor="#d4d4d4" strokeweight="0"/>
                <v:rect id="Rectangle 53" o:spid="_x0000_s1089" style="position:absolute;left:35229;top:31762;width:70;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" fillcolor="#d4d4d4" stroked="f"/>
                <v:line id="Line 54" o:spid="_x0000_s1090" style="position:absolute;visibility:visible;mso-wrap-style:square" from="39630,0" to="39636,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" strokecolor="#d4d4d4" strokeweight="0"/>
                <v:rect id="Rectangle 55" o:spid="_x0000_s1091" style="position:absolute;left:39630;width:70;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" fillcolor="#d4d4d4" stroked="f"/>
                <v:line id="Line 56" o:spid="_x0000_s1092" style="position:absolute;visibility:visible;mso-wrap-style:square" from="44037,0" to="44043,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LS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" strokecolor="#d4d4d4" strokeweight="0"/>
                <v:rect id="Rectangle 57" o:spid="_x0000_s1093" style="position:absolute;left:44037;width:70;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" fillcolor="#d4d4d4" stroked="f"/>
                <v:line id="Line 58" o:spid="_x0000_s1094" style="position:absolute;visibility:visible;mso-wrap-style:square" from="48437,0" to="48444,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A2pyAAAANwAAAAPAAAAZHJzL2Rvd25yZXYueG1sRI9LawJB&#10;EITvQv7D0IFcgs4aQg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BS4A2pyAAAANwA&#10;AAAPAAAAAAAAAAAAAAAAAAcCAABkcnMvZG93bnJldi54bWxQSwUGAAAAAAMAAwC3AAAA/AIAAAAA&#10;" strokecolor="#d4d4d4" strokeweight="0"/>
                <v:rect id="Rectangle 59" o:spid="_x0000_s1095" style="position:absolute;left:48437;width:70;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VLFwgAAANwAAAAPAAAAZHJzL2Rvd25yZXYueG1sRE/dasIw&#10;FL4f7B3CGXgzNFVU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AZQVLFwgAAANwAAAAPAAAA&#10;AAAAAAAAAAAAAAcCAABkcnMvZG93bnJldi54bWxQSwUGAAAAAAMAAwC3AAAA9gIAAAAA&#10;" fillcolor="#d4d4d4" stroked="f"/>
                <v:line id="Line 60" o:spid="_x0000_s1096" style="position:absolute;visibility:visible;mso-wrap-style:square" from="52844,30384" to="52851,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" strokecolor="#d4d4d4" strokeweight="0"/>
                <v:rect id="Rectangle 61" o:spid="_x0000_s1097" style="position:absolute;left:52844;top:30384;width:70;height:5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" fillcolor="#d4d4d4" stroked="f"/>
                <v:line id="Line 62" o:spid="_x0000_s1098" style="position:absolute;visibility:visible;mso-wrap-style:square" from="57245,0" to="57251,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wuqxQAAANwAAAAPAAAAZHJzL2Rvd25yZXYueG1sRE/fa8Iw&#10;EH4X/B/CCXuRmSoy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At2wuqxQAAANwAAAAP&#10;AAAAAAAAAAAAAAAAAAcCAABkcnMvZG93bnJldi54bWxQSwUGAAAAAAMAAwC3AAAA+QIAAAAA&#10;" strokecolor="#d4d4d4" strokeweight="0"/>
                <v:rect id="Rectangle 63" o:spid="_x0000_s1099" style="position:absolute;left:57245;width:70;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" fillcolor="#d4d4d4" stroked="f"/>
                <v:line id="Line 64" o:spid="_x0000_s1100" style="position:absolute;visibility:visible;mso-wrap-style:square" from="0,0" to="573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" strokecolor="#d4d4d4" strokeweight="0"/>
                <v:rect id="Rectangle 65" o:spid="_x0000_s1101" style="position:absolute;width:57384;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" fillcolor="#d4d4d4" stroked="f"/>
                <v:line id="Line 66" o:spid="_x0000_s1102" style="position:absolute;visibility:visible;mso-wrap-style:square" from="0,1377" to="5731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" strokecolor="#d4d4d4" strokeweight="0"/>
                <v:rect id="Rectangle 67" o:spid="_x0000_s1103" style="position:absolute;top:1377;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68" o:spid="_x0000_s1104" style="position:absolute;visibility:visible;mso-wrap-style:square" from="0,2755" to="5731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69" o:spid="_x0000_s1105" style="position:absolute;top:2755;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70" o:spid="_x0000_s1106" style="position:absolute;visibility:visible;mso-wrap-style:square" from="0,4133" to="57315,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71" o:spid="_x0000_s1107" style="position:absolute;top:4133;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72" o:spid="_x0000_s1108" style="position:absolute;visibility:visible;mso-wrap-style:square" from="0,5511" to="57315,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73" o:spid="_x0000_s1109" style="position:absolute;top:5511;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74" o:spid="_x0000_s1110" style="position:absolute;visibility:visible;mso-wrap-style:square" from="0,6889" to="57315,6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75" o:spid="_x0000_s1111" style="position:absolute;top:6889;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76" o:spid="_x0000_s1112" style="position:absolute;visibility:visible;mso-wrap-style:square" from="0,8267" to="57315,8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77" o:spid="_x0000_s1113" style="position:absolute;top:8267;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78" o:spid="_x0000_s1114" style="position:absolute;visibility:visible;mso-wrap-style:square" from="0,9645" to="57315,9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79" o:spid="_x0000_s1115" style="position:absolute;top:9645;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80" o:spid="_x0000_s1116" style="position:absolute;visibility:visible;mso-wrap-style:square" from="0,11023" to="57315,11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81" o:spid="_x0000_s1117" style="position:absolute;top:11023;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82" o:spid="_x0000_s1118" style="position:absolute;visibility:visible;mso-wrap-style:square" from="0,12401" to="57315,12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83" o:spid="_x0000_s1119" style="position:absolute;top:12401;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84" o:spid="_x0000_s1120" style="position:absolute;visibility:visible;mso-wrap-style:square" from="0,13779" to="57315,13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85" o:spid="_x0000_s1121" style="position:absolute;top:13779;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86" o:spid="_x0000_s1122" style="position:absolute;visibility:visible;mso-wrap-style:square" from="0,15157" to="57315,15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87" o:spid="_x0000_s1123" style="position:absolute;top:15157;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88" o:spid="_x0000_s1124" style="position:absolute;visibility:visible;mso-wrap-style:square" from="0,16535" to="57315,16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89" o:spid="_x0000_s1125" style="position:absolute;top:16535;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90" o:spid="_x0000_s1126" style="position:absolute;visibility:visible;mso-wrap-style:square" from="0,17913" to="57315,17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91" o:spid="_x0000_s1127" style="position:absolute;top:17913;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92" o:spid="_x0000_s1128" style="position:absolute;visibility:visible;mso-wrap-style:square" from="0,19291" to="57315,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93" o:spid="_x0000_s1129" style="position:absolute;top:19291;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94" o:spid="_x0000_s1130" style="position:absolute;visibility:visible;mso-wrap-style:square" from="0,20669" to="57315,20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95" o:spid="_x0000_s1131" style="position:absolute;top:20669;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96" o:spid="_x0000_s1132" style="position:absolute;visibility:visible;mso-wrap-style:square" from="0,22047" to="57315,22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97" o:spid="_x0000_s1133" style="position:absolute;top:22047;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98" o:spid="_x0000_s1134" style="position:absolute;visibility:visible;mso-wrap-style:square" from="0,23425" to="57315,2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99" o:spid="_x0000_s1135" style="position:absolute;top:23425;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00" o:spid="_x0000_s1136" style="position:absolute;visibility:visible;mso-wrap-style:square" from="0,24803" to="57315,2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01" o:spid="_x0000_s1137" style="position:absolute;top:24803;width:57384;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02" o:spid="_x0000_s1138" style="position:absolute;visibility:visible;mso-wrap-style:square" from="0,26181" to="57315,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03" o:spid="_x0000_s1139" style="position:absolute;top:26181;width:57384;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04" o:spid="_x0000_s1140" style="position:absolute;visibility:visible;mso-wrap-style:square" from="0,27559" to="57315,27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05" o:spid="_x0000_s1141" style="position:absolute;top:27559;width:57384;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06" o:spid="_x0000_s1142" style="position:absolute;visibility:visible;mso-wrap-style:square" from="0,28936" to="57315,28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07" o:spid="_x0000_s1143" style="position:absolute;top:28936;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08" o:spid="_x0000_s1144" style="position:absolute;visibility:visible;mso-wrap-style:square" from="0,30314" to="57315,3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09" o:spid="_x0000_s1145" style="position:absolute;top:30314;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10" o:spid="_x0000_s1146" style="position:absolute;visibility:visible;mso-wrap-style:square" from="0,31692" to="57315,31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11" o:spid="_x0000_s1147" style="position:absolute;top:31692;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12" o:spid="_x0000_s1148" style="position:absolute;visibility:visible;mso-wrap-style:square" from="0,33070" to="57315,3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13" o:spid="_x0000_s1149" style="position:absolute;top:33070;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14" o:spid="_x0000_s1150" style="position:absolute;visibility:visible;mso-wrap-style:square" from="0,34448" to="57315,3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15" o:spid="_x0000_s1151" style="position:absolute;top:34448;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16" o:spid="_x0000_s1152" style="position:absolute;visibility:visible;mso-wrap-style:square" from="0,35826" to="57315,35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17" o:spid="_x0000_s1153" style="position:absolute;top:35826;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18" o:spid="_x0000_s1154" style="position:absolute;visibility:visible;mso-wrap-style:square" from="15208,10953" to="23736,19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" strokecolor="#4472c4" strokeweight=".55pt">
                  <v:stroke joinstyle="miter"/>
                </v:line>
                <v:line id="Line 119" o:spid="_x0000_s1155" style="position:absolute;flip:x;visibility:visible;mso-wrap-style:square" from="15411,5721" to="23736,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" strokecolor="#4472c4" strokeweight=".55pt">
                  <v:stroke joinstyle="miter"/>
                </v:line>
                <v:line id="Line 120" o:spid="_x0000_s1156" style="position:absolute;flip:x;visibility:visible;mso-wrap-style:square" from="24428,15849" to="30759,20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" strokecolor="#4472c4" strokeweight=".55pt">
                  <v:stroke joinstyle="miter"/>
                </v:line>
                <v:line id="Line 121" o:spid="_x0000_s1157" style="position:absolute;flip:x y;visibility:visible;mso-wrap-style:square" from="1377,1238" to="7613,3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" strokecolor="#4472c4" strokeweight=".55pt">
                  <v:stroke joinstyle="miter"/>
                </v:line>
                <v:line id="Line 122" o:spid="_x0000_s1158" style="position:absolute;visibility:visible;mso-wrap-style:square" from="7569,3308" to="15341,1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" strokecolor="#4472c4" strokeweight=".55pt">
                  <v:stroke joinstyle="miter"/>
                </v:line>
                <v:line id="Line 123" o:spid="_x0000_s1159" style="position:absolute;visibility:visible;mso-wrap-style:square" from="23602,19564" to="43827,3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" strokecolor="#4472c4" strokeweight=".55pt">
                  <v:stroke joinstyle="miter"/>
                </v:line>
                <v:line id="Line 124" o:spid="_x0000_s1160" style="position:absolute;flip:y;visibility:visible;mso-wrap-style:square" from="43897,30384" to="51054,35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" strokecolor="#4472c4" strokeweight=".55pt">
                  <v:stroke joinstyle="miter"/>
                </v:line>
                <v:line id="Line 125" o:spid="_x0000_s1161" style="position:absolute;flip:y;visibility:visible;mso-wrap-style:square" from="22567,25558" to="31584,28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" strokecolor="#4472c4" strokeweight=".55pt">
                  <v:stroke joinstyle="miter"/>
                </v:line>
                <v:shape id="Freeform 126" o:spid="_x0000_s1162" style="position:absolute;left:31038;top:25260;width:680;height:813;visibility:visible;mso-wrap-style:square;v-text-anchor:top" coordsize="10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" path="m,21l28,,53,34,78,r29,21l75,64r32,43l78,128,53,94,28,128,,107,31,64,,21xe" fillcolor="#4472c4" stroked="f">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27" o:spid="_x0000_s1163" style="position:absolute;left:31038;top:25260;width:680;height:813;visibility:visible;mso-wrap-style:square;v-text-anchor:top" coordsize="10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" path="m,21l28,,53,34,78,r29,21l75,64r32,43l78,128,53,94,28,128,,107,31,64,,21xe" filled="f" strokecolor="#2f528f" strokeweight=".55pt">
                  <v:stroke joinstyle="miter"/>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28" o:spid="_x0000_s1164" style="position:absolute;left:37433;top:30149;width:686;height:819;visibility:visible;mso-wrap-style:square;v-text-anchor:top" coordsize="108,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" path="m,21l29,,54,34,79,r29,21l76,64r32,44l79,129,54,95,29,129,,108,32,64,,21xe" fillcolor="#4472c4" stroked="f">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29" o:spid="_x0000_s1165" style="position:absolute;left:37433;top:30149;width:686;height:819;visibility:visible;mso-wrap-style:square;v-text-anchor:top" coordsize="108,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" path="m,21l29,,54,34,79,r29,21l76,64r32,44l79,129,54,95,29,129,,108,32,64,,21xe" filled="f" strokecolor="#2f528f" strokeweight=".55pt">
                  <v:stroke joinstyle="miter"/>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0" o:spid="_x0000_s1166" style="position:absolute;left:11703;top:7277;width:679;height:812;visibility:visible;mso-wrap-style:square;v-text-anchor:top" coordsize="10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" path="m,21l28,,53,34,78,r29,21l76,64r31,43l78,128,53,94,28,128,,107,32,64,,21xe" fillcolor="#4472c4" stroked="f">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1" o:spid="_x0000_s1167" style="position:absolute;left:11703;top:7277;width:679;height:812;visibility:visible;mso-wrap-style:square;v-text-anchor:top" coordsize="10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" path="m,21l28,,53,34,78,r29,21l76,64r31,43l78,128,53,94,28,128,,107,32,64,,21xe" filled="f" strokecolor="#2f528f" strokeweight=".55pt">
                  <v:stroke joinstyle="miter"/>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2" o:spid="_x0000_s1168" style="position:absolute;left:9156;top:5003;width:680;height:813;visibility:visible;mso-wrap-style:square;v-text-anchor:top" coordsize="10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" path="m,21l28,,53,34,78,r29,21l76,64r31,43l78,128,53,94,28,128,,107,32,64,,21xe" fillcolor="#4472c4" stroked="f">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3" o:spid="_x0000_s1169" style="position:absolute;left:9156;top:5003;width:680;height:813;visibility:visible;mso-wrap-style:square;v-text-anchor:top" coordsize="10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" path="m,21l28,,53,34,78,r29,21l76,64r31,43l78,128,53,94,28,128,,107,32,64,,21xe" filled="f" strokecolor="#2f528f" strokeweight=".55pt">
                  <v:stroke joinstyle="miter"/>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4" o:spid="_x0000_s1170" style="position:absolute;left:15144;top:10788;width:680;height:819;visibility:visible;mso-wrap-style:square;v-text-anchor:top" coordsize="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" path="m,21l28,,53,34,78,r29,21l75,64r32,44l78,129,53,95,28,129,,108,31,64,,21xe" fillcolor="#4472c4" stroked="f">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5" o:spid="_x0000_s1171" style="position:absolute;left:15144;top:10788;width:680;height:819;visibility:visible;mso-wrap-style:square;v-text-anchor:top" coordsize="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" path="m,21l28,,53,34,78,r29,21l75,64r32,44l78,129,53,95,28,129,,108,31,64,,21xe" filled="f" strokecolor="#2f528f" strokeweight=".55pt">
                  <v:stroke joinstyle="miter"/>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6" o:spid="_x0000_s1172" style="position:absolute;left:18034;top:13893;width:679;height:813;visibility:visible;mso-wrap-style:square;v-text-anchor:top" coordsize="10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" path="m,21l28,,53,34,78,r29,21l75,63r32,44l78,128,53,94,28,128,,107,31,63,,21xe" fillcolor="#4472c4" stroked="f">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7" o:spid="_x0000_s1173" style="position:absolute;left:18034;top:13893;width:679;height:813;visibility:visible;mso-wrap-style:square;v-text-anchor:top" coordsize="10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" path="m,21l28,,53,34,78,r29,21l75,63r32,44l78,128,53,94,28,128,,107,31,63,,21xe" filled="f" strokecolor="#2f528f" strokeweight=".55pt">
                  <v:stroke joinstyle="miter"/>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8" o:spid="_x0000_s1174" style="position:absolute;left:27730;top:22644;width:686;height:812;visibility:visible;mso-wrap-style:square;v-text-anchor:top" coordsize="10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" path="m,21l29,,54,34,79,r29,21l76,63r32,44l79,128,54,94,29,128,,107,32,63,,21xe" fillcolor="#4472c4" stroked="f">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9" o:spid="_x0000_s1175" style="position:absolute;left:27730;top:22644;width:686;height:812;visibility:visible;mso-wrap-style:square;v-text-anchor:top" coordsize="10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" path="m,21l29,,54,34,79,r29,21l76,63r32,44l79,128,54,94,29,128,,107,32,63,,21xe" filled="f" strokecolor="#2f528f" strokeweight=".55pt">
                  <v:stroke joinstyle="miter"/>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w10:anchorlock/>
              </v:group>
            </w:pict>
          </mc:Fallback>
        </mc:AlternateContent>
      </w:r>
    </w:p>
    <w:p w14:paraId="5E0BBAE9" w14:textId="7AEDFCE6" w:rsidR="00F8565C" w:rsidRPr="003D733D" w:rsidRDefault="00F8565C" w:rsidP="00F8565C">
      <w:r w:rsidRPr="003D733D">
        <w:rPr>
          <w:rFonts w:ascii="Sylfaen" w:eastAsia="Calibri" w:hAnsi="Sylfaen" w:cs="Sylfaen"/>
        </w:rPr>
        <w:t>სურათი</w:t>
      </w:r>
      <w:r w:rsidRPr="003D733D">
        <w:rPr>
          <w:rFonts w:eastAsia="Calibri"/>
        </w:rPr>
        <w:t xml:space="preserve"> 4.</w:t>
      </w:r>
      <w:r w:rsidR="000B139D">
        <w:rPr>
          <w:rFonts w:ascii="Sylfaen" w:eastAsia="Calibri" w:hAnsi="Sylfaen"/>
          <w:lang w:val="ka-GE"/>
        </w:rPr>
        <w:t>7</w:t>
      </w:r>
      <w:r w:rsidRPr="003D733D">
        <w:rPr>
          <w:rFonts w:eastAsia="Calibri"/>
        </w:rPr>
        <w:t>.1.</w:t>
      </w:r>
      <w:r w:rsidRPr="003D733D">
        <w:rPr>
          <w:rFonts w:eastAsia="Calibri"/>
        </w:rPr>
        <w:tab/>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აღწერის</w:t>
      </w:r>
      <w:r w:rsidRPr="003D733D">
        <w:rPr>
          <w:rFonts w:eastAsia="Calibri"/>
        </w:rPr>
        <w:t xml:space="preserve"> </w:t>
      </w:r>
      <w:r w:rsidRPr="003D733D">
        <w:rPr>
          <w:rFonts w:ascii="Sylfaen" w:eastAsia="Calibri" w:hAnsi="Sylfaen" w:cs="Sylfaen"/>
        </w:rPr>
        <w:t>პუნქტების</w:t>
      </w:r>
      <w:r w:rsidRPr="003D733D">
        <w:rPr>
          <w:rFonts w:eastAsia="Calibri"/>
        </w:rPr>
        <w:t xml:space="preserve"> </w:t>
      </w:r>
      <w:r w:rsidRPr="003D733D">
        <w:rPr>
          <w:rFonts w:ascii="Sylfaen" w:eastAsia="Calibri" w:hAnsi="Sylfaen" w:cs="Sylfaen"/>
        </w:rPr>
        <w:t>მდებარეობები</w:t>
      </w:r>
    </w:p>
    <w:p w14:paraId="030E7462" w14:textId="77777777" w:rsidR="00F8565C" w:rsidRPr="003D733D" w:rsidRDefault="00F8565C" w:rsidP="00F8565C">
      <w:pPr>
        <w:rPr>
          <w:rFonts w:eastAsia="Calibri"/>
        </w:rPr>
      </w:pPr>
      <w:r w:rsidRPr="00960921">
        <w:rPr>
          <w:rFonts w:ascii="Sylfaen" w:eastAsia="Calibri" w:hAnsi="Sylfaen" w:cs="Sylfaen"/>
          <w:b/>
        </w:rPr>
        <w:t>წყარო</w:t>
      </w:r>
      <w:r w:rsidRPr="00960921">
        <w:rPr>
          <w:rFonts w:eastAsia="Calibri"/>
          <w:b/>
        </w:rPr>
        <w:t>:</w:t>
      </w:r>
      <w:r w:rsidRPr="003D733D">
        <w:rPr>
          <w:rFonts w:eastAsia="Calibri"/>
        </w:rPr>
        <w:t xml:space="preserve"> </w:t>
      </w:r>
      <w:r w:rsidRPr="003D733D">
        <w:rPr>
          <w:rFonts w:ascii="Sylfaen" w:eastAsia="Calibri" w:hAnsi="Sylfaen" w:cs="Sylfaen"/>
        </w:rPr>
        <w:t>კონსულტანტი</w:t>
      </w:r>
    </w:p>
    <w:p w14:paraId="24330A9D" w14:textId="77777777" w:rsidR="00F8565C" w:rsidRPr="003D733D" w:rsidRDefault="00F8565C" w:rsidP="000B139D">
      <w:pPr>
        <w:spacing w:before="120" w:after="120"/>
      </w:pPr>
      <w:r w:rsidRPr="003D733D">
        <w:rPr>
          <w:rFonts w:ascii="Sylfaen" w:hAnsi="Sylfaen" w:cs="Sylfaen"/>
        </w:rPr>
        <w:t>ორ</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მიერთებასთან</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ნაკადის</w:t>
      </w:r>
      <w:r w:rsidRPr="003D733D">
        <w:t xml:space="preserve"> </w:t>
      </w:r>
      <w:r w:rsidRPr="003D733D">
        <w:rPr>
          <w:rFonts w:ascii="Sylfaen" w:hAnsi="Sylfaen" w:cs="Sylfaen"/>
        </w:rPr>
        <w:t>დათვლები</w:t>
      </w:r>
      <w:r w:rsidRPr="003D733D">
        <w:t xml:space="preserve"> </w:t>
      </w:r>
      <w:r w:rsidRPr="003D733D">
        <w:rPr>
          <w:rFonts w:ascii="Sylfaen" w:hAnsi="Sylfaen" w:cs="Sylfaen"/>
        </w:rPr>
        <w:t>შესრულდა</w:t>
      </w:r>
      <w:r w:rsidRPr="003D733D">
        <w:t xml:space="preserve"> “</w:t>
      </w:r>
      <w:r w:rsidRPr="003D733D">
        <w:rPr>
          <w:rFonts w:ascii="Sylfaen" w:hAnsi="Sylfaen" w:cs="Sylfaen"/>
        </w:rPr>
        <w:t>გადამხვევი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ნაკადების</w:t>
      </w:r>
      <w:r w:rsidRPr="003D733D">
        <w:t xml:space="preserve"> </w:t>
      </w:r>
      <w:r w:rsidRPr="003D733D">
        <w:rPr>
          <w:rFonts w:ascii="Sylfaen" w:hAnsi="Sylfaen" w:cs="Sylfaen"/>
        </w:rPr>
        <w:t>დათვლების</w:t>
      </w:r>
      <w:r w:rsidRPr="003D733D">
        <w:t xml:space="preserve">” (TMC) </w:t>
      </w:r>
      <w:r w:rsidRPr="003D733D">
        <w:rPr>
          <w:rFonts w:ascii="Sylfaen" w:hAnsi="Sylfaen" w:cs="Sylfaen"/>
        </w:rPr>
        <w:t>სახით</w:t>
      </w:r>
      <w:r w:rsidRPr="003D733D">
        <w:t xml:space="preserve">, </w:t>
      </w:r>
      <w:r w:rsidRPr="003D733D">
        <w:rPr>
          <w:rFonts w:ascii="Sylfaen" w:hAnsi="Sylfaen" w:cs="Sylfaen"/>
        </w:rPr>
        <w:t>რაც</w:t>
      </w:r>
      <w:r w:rsidRPr="003D733D">
        <w:t xml:space="preserve"> </w:t>
      </w:r>
      <w:r w:rsidRPr="003D733D">
        <w:rPr>
          <w:rFonts w:ascii="Sylfaen" w:hAnsi="Sylfaen" w:cs="Sylfaen"/>
        </w:rPr>
        <w:t>მოიცავდა</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მიერთებაზე</w:t>
      </w:r>
      <w:r w:rsidRPr="003D733D">
        <w:t xml:space="preserve"> </w:t>
      </w:r>
      <w:r w:rsidRPr="003D733D">
        <w:rPr>
          <w:rFonts w:ascii="Sylfaen" w:hAnsi="Sylfaen" w:cs="Sylfaen"/>
        </w:rPr>
        <w:t>გავლილი</w:t>
      </w:r>
      <w:r w:rsidRPr="003D733D">
        <w:t xml:space="preserve"> </w:t>
      </w:r>
      <w:r w:rsidRPr="003D733D">
        <w:rPr>
          <w:rFonts w:ascii="Sylfaen" w:hAnsi="Sylfaen" w:cs="Sylfaen"/>
        </w:rPr>
        <w:t>თითოეული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საშუალების</w:t>
      </w:r>
      <w:r w:rsidRPr="003D733D">
        <w:t xml:space="preserve"> </w:t>
      </w:r>
      <w:r w:rsidRPr="003D733D">
        <w:rPr>
          <w:rFonts w:ascii="Sylfaen" w:hAnsi="Sylfaen" w:cs="Sylfaen"/>
        </w:rPr>
        <w:t>დათვლას</w:t>
      </w:r>
      <w:r w:rsidRPr="003D733D">
        <w:t xml:space="preserve"> </w:t>
      </w:r>
      <w:r w:rsidRPr="003D733D">
        <w:rPr>
          <w:rFonts w:ascii="Sylfaen" w:hAnsi="Sylfaen" w:cs="Sylfaen"/>
        </w:rPr>
        <w:t>და</w:t>
      </w:r>
      <w:r w:rsidRPr="003D733D">
        <w:t xml:space="preserve"> </w:t>
      </w:r>
      <w:r w:rsidRPr="003D733D">
        <w:rPr>
          <w:rFonts w:ascii="Sylfaen" w:hAnsi="Sylfaen" w:cs="Sylfaen"/>
        </w:rPr>
        <w:t>კლასიფიცირებას</w:t>
      </w:r>
      <w:r w:rsidRPr="003D733D">
        <w:t>. “</w:t>
      </w:r>
      <w:r w:rsidRPr="003D733D">
        <w:rPr>
          <w:rFonts w:ascii="Sylfaen" w:hAnsi="Sylfaen" w:cs="Sylfaen"/>
        </w:rPr>
        <w:t>სატრანსპორტო</w:t>
      </w:r>
      <w:r w:rsidRPr="003D733D">
        <w:t xml:space="preserve"> </w:t>
      </w:r>
      <w:r w:rsidRPr="003D733D">
        <w:rPr>
          <w:rFonts w:ascii="Sylfaen" w:hAnsi="Sylfaen" w:cs="Sylfaen"/>
        </w:rPr>
        <w:t>ნაკადის</w:t>
      </w:r>
      <w:r w:rsidRPr="003D733D">
        <w:t xml:space="preserve"> </w:t>
      </w:r>
      <w:r w:rsidRPr="003D733D">
        <w:rPr>
          <w:rFonts w:ascii="Sylfaen" w:hAnsi="Sylfaen" w:cs="Sylfaen"/>
        </w:rPr>
        <w:t>დათვლების</w:t>
      </w:r>
      <w:r w:rsidRPr="003D733D">
        <w:t xml:space="preserve">” (MCC) </w:t>
      </w:r>
      <w:r w:rsidRPr="003D733D">
        <w:rPr>
          <w:rFonts w:ascii="Sylfaen" w:hAnsi="Sylfaen" w:cs="Sylfaen"/>
        </w:rPr>
        <w:t>და</w:t>
      </w:r>
      <w:r w:rsidRPr="003D733D">
        <w:t xml:space="preserve"> “</w:t>
      </w:r>
      <w:r w:rsidRPr="003D733D">
        <w:rPr>
          <w:rFonts w:ascii="Sylfaen" w:hAnsi="Sylfaen" w:cs="Sylfaen"/>
        </w:rPr>
        <w:t>გადამხვევი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ნაკადის</w:t>
      </w:r>
      <w:r w:rsidRPr="003D733D">
        <w:t xml:space="preserve"> </w:t>
      </w:r>
      <w:r w:rsidRPr="003D733D">
        <w:rPr>
          <w:rFonts w:ascii="Sylfaen" w:hAnsi="Sylfaen" w:cs="Sylfaen"/>
        </w:rPr>
        <w:t>დათვლების</w:t>
      </w:r>
      <w:r w:rsidRPr="003D733D">
        <w:t xml:space="preserve">” (TMC) </w:t>
      </w:r>
      <w:r w:rsidRPr="003D733D">
        <w:rPr>
          <w:rFonts w:ascii="Sylfaen" w:hAnsi="Sylfaen" w:cs="Sylfaen"/>
        </w:rPr>
        <w:t>წარმოების</w:t>
      </w:r>
      <w:r w:rsidRPr="003D733D">
        <w:t xml:space="preserve"> </w:t>
      </w:r>
      <w:r w:rsidRPr="003D733D">
        <w:rPr>
          <w:rFonts w:ascii="Sylfaen" w:hAnsi="Sylfaen" w:cs="Sylfaen"/>
        </w:rPr>
        <w:t>პროცესში</w:t>
      </w:r>
      <w:r w:rsidRPr="003D733D">
        <w:t xml:space="preserve"> </w:t>
      </w:r>
      <w:r w:rsidRPr="003D733D">
        <w:rPr>
          <w:rFonts w:ascii="Sylfaen" w:hAnsi="Sylfaen" w:cs="Sylfaen"/>
        </w:rPr>
        <w:t>ფიქსირდებოდა</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საშუალებების</w:t>
      </w:r>
      <w:r w:rsidRPr="003D733D">
        <w:t xml:space="preserve"> </w:t>
      </w:r>
      <w:r w:rsidRPr="003D733D">
        <w:rPr>
          <w:rFonts w:ascii="Sylfaen" w:hAnsi="Sylfaen" w:cs="Sylfaen"/>
        </w:rPr>
        <w:t>კატეგორიები</w:t>
      </w:r>
      <w:r w:rsidRPr="003D733D">
        <w:t xml:space="preserve">, </w:t>
      </w:r>
      <w:r w:rsidRPr="003D733D">
        <w:rPr>
          <w:rFonts w:ascii="Sylfaen" w:hAnsi="Sylfaen" w:cs="Sylfaen"/>
        </w:rPr>
        <w:t>დრო</w:t>
      </w:r>
      <w:r w:rsidRPr="003D733D">
        <w:t xml:space="preserve"> </w:t>
      </w:r>
      <w:r w:rsidRPr="003D733D">
        <w:rPr>
          <w:rFonts w:ascii="Sylfaen" w:hAnsi="Sylfaen" w:cs="Sylfaen"/>
        </w:rPr>
        <w:t>და</w:t>
      </w:r>
      <w:r w:rsidRPr="003D733D">
        <w:t xml:space="preserve"> </w:t>
      </w:r>
      <w:r w:rsidRPr="003D733D">
        <w:rPr>
          <w:rFonts w:ascii="Sylfaen" w:hAnsi="Sylfaen" w:cs="Sylfaen"/>
        </w:rPr>
        <w:t>მიმართულება</w:t>
      </w:r>
      <w:r w:rsidRPr="003D733D">
        <w:t xml:space="preserve">. </w:t>
      </w:r>
    </w:p>
    <w:p w14:paraId="552AE3EE" w14:textId="77777777" w:rsidR="00F8565C" w:rsidRPr="003D733D" w:rsidRDefault="00F8565C" w:rsidP="000B139D">
      <w:pPr>
        <w:spacing w:before="120" w:after="120"/>
      </w:pPr>
      <w:r w:rsidRPr="003D733D">
        <w:rPr>
          <w:rFonts w:ascii="Sylfaen" w:hAnsi="Sylfaen" w:cs="Sylfaen"/>
        </w:rPr>
        <w:t>აღწერის</w:t>
      </w:r>
      <w:r w:rsidRPr="003D733D">
        <w:t xml:space="preserve"> </w:t>
      </w:r>
      <w:r w:rsidRPr="003D733D">
        <w:rPr>
          <w:rFonts w:ascii="Sylfaen" w:hAnsi="Sylfaen" w:cs="Sylfaen"/>
        </w:rPr>
        <w:t>პროცესში</w:t>
      </w:r>
      <w:r w:rsidRPr="003D733D">
        <w:t xml:space="preserve"> </w:t>
      </w:r>
      <w:r w:rsidRPr="003D733D">
        <w:rPr>
          <w:rFonts w:ascii="Sylfaen" w:hAnsi="Sylfaen" w:cs="Sylfaen"/>
        </w:rPr>
        <w:t>აღრიცხული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საშუალებები</w:t>
      </w:r>
      <w:r w:rsidRPr="003D733D">
        <w:t xml:space="preserve"> </w:t>
      </w:r>
      <w:r w:rsidRPr="003D733D">
        <w:rPr>
          <w:rFonts w:ascii="Sylfaen" w:hAnsi="Sylfaen" w:cs="Sylfaen"/>
        </w:rPr>
        <w:t>კლასიფიცირდებოდნენ</w:t>
      </w:r>
      <w:r w:rsidRPr="003D733D">
        <w:t xml:space="preserve"> </w:t>
      </w:r>
      <w:r w:rsidRPr="003D733D">
        <w:rPr>
          <w:rFonts w:ascii="Sylfaen" w:hAnsi="Sylfaen" w:cs="Sylfaen"/>
        </w:rPr>
        <w:t>შემდეგი</w:t>
      </w:r>
      <w:r w:rsidRPr="003D733D">
        <w:t xml:space="preserve"> </w:t>
      </w:r>
      <w:r w:rsidRPr="003D733D">
        <w:rPr>
          <w:rFonts w:ascii="Sylfaen" w:hAnsi="Sylfaen" w:cs="Sylfaen"/>
        </w:rPr>
        <w:t>კატეგორიების</w:t>
      </w:r>
      <w:r w:rsidRPr="003D733D">
        <w:t xml:space="preserve"> </w:t>
      </w:r>
      <w:r w:rsidRPr="003D733D">
        <w:rPr>
          <w:rFonts w:ascii="Sylfaen" w:hAnsi="Sylfaen" w:cs="Sylfaen"/>
        </w:rPr>
        <w:t>მიხედვით</w:t>
      </w:r>
      <w:r w:rsidRPr="003D733D">
        <w:t>:</w:t>
      </w:r>
    </w:p>
    <w:p w14:paraId="6976F275" w14:textId="77777777" w:rsidR="00F8565C" w:rsidRPr="003D733D" w:rsidRDefault="00F8565C" w:rsidP="000B139D">
      <w:pPr>
        <w:spacing w:before="120" w:after="120"/>
      </w:pPr>
      <w:r w:rsidRPr="003D733D">
        <w:rPr>
          <w:rFonts w:ascii="Sylfaen" w:hAnsi="Sylfaen" w:cs="Sylfaen"/>
        </w:rPr>
        <w:lastRenderedPageBreak/>
        <w:t>ერთღერძიანი</w:t>
      </w:r>
      <w:r w:rsidRPr="003D733D">
        <w:t xml:space="preserve"> </w:t>
      </w:r>
      <w:r w:rsidRPr="003D733D">
        <w:rPr>
          <w:rFonts w:ascii="Sylfaen" w:hAnsi="Sylfaen" w:cs="Sylfaen"/>
        </w:rPr>
        <w:t>და</w:t>
      </w:r>
      <w:r w:rsidRPr="003D733D">
        <w:t xml:space="preserve"> </w:t>
      </w:r>
      <w:r w:rsidRPr="003D733D">
        <w:rPr>
          <w:rFonts w:ascii="Sylfaen" w:hAnsi="Sylfaen" w:cs="Sylfaen"/>
        </w:rPr>
        <w:t>მაღალი</w:t>
      </w:r>
      <w:r w:rsidRPr="003D733D">
        <w:t xml:space="preserve"> </w:t>
      </w:r>
      <w:r w:rsidRPr="003D733D">
        <w:rPr>
          <w:rFonts w:ascii="Sylfaen" w:hAnsi="Sylfaen" w:cs="Sylfaen"/>
        </w:rPr>
        <w:t>გამავლობის</w:t>
      </w:r>
      <w:r w:rsidRPr="003D733D">
        <w:t xml:space="preserve"> (4x4) </w:t>
      </w:r>
      <w:r w:rsidRPr="003D733D">
        <w:rPr>
          <w:rFonts w:ascii="Sylfaen" w:hAnsi="Sylfaen" w:cs="Sylfaen"/>
        </w:rPr>
        <w:t>მსუბუქი</w:t>
      </w:r>
      <w:r w:rsidRPr="003D733D">
        <w:t xml:space="preserve"> </w:t>
      </w:r>
      <w:r w:rsidRPr="003D733D">
        <w:rPr>
          <w:rFonts w:ascii="Sylfaen" w:hAnsi="Sylfaen" w:cs="Sylfaen"/>
        </w:rPr>
        <w:t>ავტომობილები</w:t>
      </w:r>
      <w:r w:rsidRPr="003D733D">
        <w:t xml:space="preserve">: </w:t>
      </w:r>
      <w:r w:rsidRPr="003D733D">
        <w:rPr>
          <w:rFonts w:ascii="Sylfaen" w:hAnsi="Sylfaen" w:cs="Sylfaen"/>
        </w:rPr>
        <w:t>კერძო</w:t>
      </w:r>
      <w:r w:rsidRPr="003D733D">
        <w:t xml:space="preserve"> </w:t>
      </w:r>
      <w:r w:rsidRPr="003D733D">
        <w:rPr>
          <w:rFonts w:ascii="Sylfaen" w:hAnsi="Sylfaen" w:cs="Sylfaen"/>
        </w:rPr>
        <w:t>და</w:t>
      </w:r>
      <w:r w:rsidRPr="003D733D">
        <w:t xml:space="preserve"> </w:t>
      </w:r>
      <w:r w:rsidRPr="003D733D">
        <w:rPr>
          <w:rFonts w:ascii="Sylfaen" w:hAnsi="Sylfaen" w:cs="Sylfaen"/>
        </w:rPr>
        <w:t>სხვა</w:t>
      </w:r>
      <w:r w:rsidRPr="003D733D">
        <w:t xml:space="preserve"> </w:t>
      </w:r>
      <w:r w:rsidRPr="003D733D">
        <w:rPr>
          <w:rFonts w:ascii="Sylfaen" w:hAnsi="Sylfaen" w:cs="Sylfaen"/>
        </w:rPr>
        <w:t>მცირეგაბარიტიანი</w:t>
      </w:r>
      <w:r w:rsidRPr="003D733D">
        <w:t xml:space="preserve"> </w:t>
      </w:r>
      <w:r w:rsidRPr="003D733D">
        <w:rPr>
          <w:rFonts w:ascii="Sylfaen" w:hAnsi="Sylfaen" w:cs="Sylfaen"/>
        </w:rPr>
        <w:t>ავტომობილები</w:t>
      </w:r>
      <w:r w:rsidRPr="003D733D">
        <w:t xml:space="preserve">, </w:t>
      </w:r>
      <w:r w:rsidRPr="003D733D">
        <w:rPr>
          <w:rFonts w:ascii="Sylfaen" w:hAnsi="Sylfaen" w:cs="Sylfaen"/>
        </w:rPr>
        <w:t>მათ</w:t>
      </w:r>
      <w:r w:rsidRPr="003D733D">
        <w:t xml:space="preserve"> </w:t>
      </w:r>
      <w:r w:rsidRPr="003D733D">
        <w:rPr>
          <w:rFonts w:ascii="Sylfaen" w:hAnsi="Sylfaen" w:cs="Sylfaen"/>
        </w:rPr>
        <w:t>შორის</w:t>
      </w:r>
      <w:r w:rsidRPr="003D733D">
        <w:t xml:space="preserve"> </w:t>
      </w:r>
      <w:r w:rsidRPr="003D733D">
        <w:rPr>
          <w:rFonts w:ascii="Sylfaen" w:hAnsi="Sylfaen" w:cs="Sylfaen"/>
        </w:rPr>
        <w:t>მაღალი</w:t>
      </w:r>
      <w:r w:rsidRPr="003D733D">
        <w:t xml:space="preserve"> </w:t>
      </w:r>
      <w:r w:rsidRPr="003D733D">
        <w:rPr>
          <w:rFonts w:ascii="Sylfaen" w:hAnsi="Sylfaen" w:cs="Sylfaen"/>
        </w:rPr>
        <w:t>გამავლობის</w:t>
      </w:r>
      <w:r w:rsidRPr="003D733D">
        <w:t xml:space="preserve"> </w:t>
      </w:r>
      <w:r w:rsidRPr="003D733D">
        <w:rPr>
          <w:rFonts w:ascii="Sylfaen" w:hAnsi="Sylfaen" w:cs="Sylfaen"/>
        </w:rPr>
        <w:t>მსუბუქი</w:t>
      </w:r>
      <w:r w:rsidRPr="003D733D">
        <w:t xml:space="preserve"> </w:t>
      </w:r>
      <w:r w:rsidRPr="003D733D">
        <w:rPr>
          <w:rFonts w:ascii="Sylfaen" w:hAnsi="Sylfaen" w:cs="Sylfaen"/>
        </w:rPr>
        <w:t>ავტომობილები</w:t>
      </w:r>
      <w:r w:rsidRPr="003D733D">
        <w:t xml:space="preserve">, </w:t>
      </w:r>
      <w:r w:rsidRPr="003D733D">
        <w:rPr>
          <w:rFonts w:ascii="Sylfaen" w:hAnsi="Sylfaen" w:cs="Sylfaen"/>
        </w:rPr>
        <w:t>სამგზავრო</w:t>
      </w:r>
      <w:r w:rsidRPr="003D733D">
        <w:t xml:space="preserve"> </w:t>
      </w:r>
      <w:r w:rsidRPr="003D733D">
        <w:rPr>
          <w:rFonts w:ascii="Sylfaen" w:hAnsi="Sylfaen" w:cs="Sylfaen"/>
        </w:rPr>
        <w:t>მიკროავტობუსები</w:t>
      </w:r>
      <w:r w:rsidRPr="003D733D">
        <w:t xml:space="preserve"> </w:t>
      </w:r>
      <w:r w:rsidRPr="003D733D">
        <w:rPr>
          <w:rFonts w:ascii="Sylfaen" w:hAnsi="Sylfaen" w:cs="Sylfaen"/>
        </w:rPr>
        <w:t>და</w:t>
      </w:r>
      <w:r w:rsidRPr="003D733D">
        <w:t xml:space="preserve"> </w:t>
      </w:r>
      <w:r w:rsidRPr="003D733D">
        <w:rPr>
          <w:rFonts w:ascii="Sylfaen" w:hAnsi="Sylfaen" w:cs="Sylfaen"/>
        </w:rPr>
        <w:t>ა</w:t>
      </w:r>
      <w:r w:rsidRPr="003D733D">
        <w:t>.</w:t>
      </w:r>
      <w:r w:rsidRPr="003D733D">
        <w:rPr>
          <w:rFonts w:ascii="Sylfaen" w:hAnsi="Sylfaen" w:cs="Sylfaen"/>
        </w:rPr>
        <w:t>შ</w:t>
      </w:r>
      <w:r w:rsidRPr="003D733D">
        <w:t xml:space="preserve">., </w:t>
      </w:r>
      <w:r w:rsidRPr="003D733D">
        <w:rPr>
          <w:rFonts w:ascii="Sylfaen" w:hAnsi="Sylfaen" w:cs="Sylfaen"/>
        </w:rPr>
        <w:t>რომლებიც</w:t>
      </w:r>
      <w:r w:rsidRPr="003D733D">
        <w:t xml:space="preserve"> </w:t>
      </w:r>
      <w:r w:rsidRPr="003D733D">
        <w:rPr>
          <w:rFonts w:ascii="Sylfaen" w:hAnsi="Sylfaen" w:cs="Sylfaen"/>
        </w:rPr>
        <w:t>გამოიყენებიან</w:t>
      </w:r>
      <w:r w:rsidRPr="003D733D">
        <w:t xml:space="preserve"> </w:t>
      </w:r>
      <w:r w:rsidRPr="003D733D">
        <w:rPr>
          <w:rFonts w:ascii="Sylfaen" w:hAnsi="Sylfaen" w:cs="Sylfaen"/>
        </w:rPr>
        <w:t>პირადი</w:t>
      </w:r>
      <w:r w:rsidRPr="003D733D">
        <w:t xml:space="preserve"> </w:t>
      </w:r>
      <w:r w:rsidRPr="003D733D">
        <w:rPr>
          <w:rFonts w:ascii="Sylfaen" w:hAnsi="Sylfaen" w:cs="Sylfaen"/>
        </w:rPr>
        <w:t>ავტომობილების</w:t>
      </w:r>
      <w:r w:rsidRPr="003D733D">
        <w:t xml:space="preserve"> </w:t>
      </w:r>
      <w:r w:rsidRPr="003D733D">
        <w:rPr>
          <w:rFonts w:ascii="Sylfaen" w:hAnsi="Sylfaen" w:cs="Sylfaen"/>
        </w:rPr>
        <w:t>სახით</w:t>
      </w:r>
      <w:r w:rsidRPr="003D733D">
        <w:t>.</w:t>
      </w:r>
    </w:p>
    <w:p w14:paraId="134059E8" w14:textId="77777777" w:rsidR="00F8565C" w:rsidRPr="003D733D" w:rsidRDefault="00F8565C" w:rsidP="000B139D">
      <w:pPr>
        <w:spacing w:before="120" w:after="120"/>
      </w:pPr>
      <w:r w:rsidRPr="003D733D">
        <w:rPr>
          <w:rFonts w:ascii="Sylfaen" w:hAnsi="Sylfaen" w:cs="Sylfaen"/>
        </w:rPr>
        <w:t>მიკროავტობუსები</w:t>
      </w:r>
      <w:r w:rsidRPr="003D733D">
        <w:t xml:space="preserve">: </w:t>
      </w:r>
      <w:r w:rsidRPr="003D733D">
        <w:rPr>
          <w:rFonts w:ascii="Sylfaen" w:hAnsi="Sylfaen" w:cs="Sylfaen"/>
        </w:rPr>
        <w:t>მიკროავტობუსები</w:t>
      </w:r>
      <w:r w:rsidRPr="003D733D">
        <w:t xml:space="preserve"> </w:t>
      </w:r>
      <w:r w:rsidRPr="003D733D">
        <w:rPr>
          <w:rFonts w:ascii="Sylfaen" w:hAnsi="Sylfaen" w:cs="Sylfaen"/>
        </w:rPr>
        <w:t>და</w:t>
      </w:r>
      <w:r w:rsidRPr="003D733D">
        <w:t xml:space="preserve"> </w:t>
      </w:r>
      <w:r w:rsidRPr="003D733D">
        <w:rPr>
          <w:rFonts w:ascii="Sylfaen" w:hAnsi="Sylfaen" w:cs="Sylfaen"/>
        </w:rPr>
        <w:t>სხვა</w:t>
      </w:r>
      <w:r w:rsidRPr="003D733D">
        <w:t xml:space="preserve"> </w:t>
      </w:r>
      <w:r w:rsidRPr="003D733D">
        <w:rPr>
          <w:rFonts w:ascii="Sylfaen" w:hAnsi="Sylfaen" w:cs="Sylfaen"/>
        </w:rPr>
        <w:t>მცირეგაბარიტიანი</w:t>
      </w:r>
      <w:r w:rsidRPr="003D733D">
        <w:t xml:space="preserve"> </w:t>
      </w:r>
      <w:r w:rsidRPr="003D733D">
        <w:rPr>
          <w:rFonts w:ascii="Sylfaen" w:hAnsi="Sylfaen" w:cs="Sylfaen"/>
        </w:rPr>
        <w:t>ავტობუსები</w:t>
      </w:r>
      <w:r w:rsidRPr="003D733D">
        <w:t xml:space="preserve">, </w:t>
      </w:r>
      <w:r w:rsidRPr="003D733D">
        <w:rPr>
          <w:rFonts w:ascii="Sylfaen" w:hAnsi="Sylfaen" w:cs="Sylfaen"/>
        </w:rPr>
        <w:t>მაქსიმუმ</w:t>
      </w:r>
      <w:r w:rsidRPr="003D733D">
        <w:t xml:space="preserve"> 15 </w:t>
      </w:r>
      <w:r w:rsidRPr="003D733D">
        <w:rPr>
          <w:rFonts w:ascii="Sylfaen" w:hAnsi="Sylfaen" w:cs="Sylfaen"/>
        </w:rPr>
        <w:t>სამგზავრო</w:t>
      </w:r>
      <w:r w:rsidRPr="003D733D">
        <w:t xml:space="preserve"> </w:t>
      </w:r>
      <w:r w:rsidRPr="003D733D">
        <w:rPr>
          <w:rFonts w:ascii="Sylfaen" w:hAnsi="Sylfaen" w:cs="Sylfaen"/>
        </w:rPr>
        <w:t>ადგილით</w:t>
      </w:r>
      <w:r w:rsidRPr="003D733D">
        <w:t xml:space="preserve">, </w:t>
      </w:r>
      <w:r w:rsidRPr="003D733D">
        <w:rPr>
          <w:rFonts w:ascii="Sylfaen" w:hAnsi="Sylfaen" w:cs="Sylfaen"/>
        </w:rPr>
        <w:t>რომლებიც</w:t>
      </w:r>
      <w:r w:rsidRPr="003D733D">
        <w:t xml:space="preserve"> </w:t>
      </w:r>
      <w:r w:rsidRPr="003D733D">
        <w:rPr>
          <w:rFonts w:ascii="Sylfaen" w:hAnsi="Sylfaen" w:cs="Sylfaen"/>
        </w:rPr>
        <w:t>გამოიყენებიან</w:t>
      </w:r>
      <w:r w:rsidRPr="003D733D">
        <w:t xml:space="preserve"> </w:t>
      </w:r>
      <w:r w:rsidRPr="003D733D">
        <w:rPr>
          <w:rFonts w:ascii="Sylfaen" w:hAnsi="Sylfaen" w:cs="Sylfaen"/>
        </w:rPr>
        <w:t>მგზავრობის</w:t>
      </w:r>
      <w:r w:rsidRPr="003D733D">
        <w:t xml:space="preserve"> </w:t>
      </w:r>
      <w:r w:rsidRPr="003D733D">
        <w:rPr>
          <w:rFonts w:ascii="Sylfaen" w:hAnsi="Sylfaen" w:cs="Sylfaen"/>
        </w:rPr>
        <w:t>საფასურის</w:t>
      </w:r>
      <w:r w:rsidRPr="003D733D">
        <w:t xml:space="preserve"> </w:t>
      </w:r>
      <w:r w:rsidRPr="003D733D">
        <w:rPr>
          <w:rFonts w:ascii="Sylfaen" w:hAnsi="Sylfaen" w:cs="Sylfaen"/>
        </w:rPr>
        <w:t>გადამხდელი</w:t>
      </w:r>
      <w:r w:rsidRPr="003D733D">
        <w:t xml:space="preserve"> </w:t>
      </w:r>
      <w:r w:rsidRPr="003D733D">
        <w:rPr>
          <w:rFonts w:ascii="Sylfaen" w:hAnsi="Sylfaen" w:cs="Sylfaen"/>
        </w:rPr>
        <w:t>მგზავრების</w:t>
      </w:r>
      <w:r w:rsidRPr="003D733D">
        <w:t xml:space="preserve"> </w:t>
      </w:r>
      <w:r w:rsidRPr="003D733D">
        <w:rPr>
          <w:rFonts w:ascii="Sylfaen" w:hAnsi="Sylfaen" w:cs="Sylfaen"/>
        </w:rPr>
        <w:t>გადასაყვანად</w:t>
      </w:r>
      <w:r w:rsidRPr="003D733D">
        <w:t>.</w:t>
      </w:r>
    </w:p>
    <w:p w14:paraId="26C5E63C" w14:textId="77777777" w:rsidR="00F8565C" w:rsidRPr="003D733D" w:rsidRDefault="00F8565C" w:rsidP="000B139D">
      <w:pPr>
        <w:spacing w:before="120" w:after="120"/>
      </w:pPr>
      <w:r w:rsidRPr="003D733D">
        <w:rPr>
          <w:rFonts w:ascii="Sylfaen" w:hAnsi="Sylfaen" w:cs="Sylfaen"/>
        </w:rPr>
        <w:t>საშუალო</w:t>
      </w:r>
      <w:r w:rsidRPr="003D733D">
        <w:t>/</w:t>
      </w:r>
      <w:r w:rsidRPr="003D733D">
        <w:rPr>
          <w:rFonts w:ascii="Sylfaen" w:hAnsi="Sylfaen" w:cs="Sylfaen"/>
        </w:rPr>
        <w:t>დიდი</w:t>
      </w:r>
      <w:r w:rsidRPr="003D733D">
        <w:t xml:space="preserve"> </w:t>
      </w:r>
      <w:r w:rsidRPr="003D733D">
        <w:rPr>
          <w:rFonts w:ascii="Sylfaen" w:hAnsi="Sylfaen" w:cs="Sylfaen"/>
        </w:rPr>
        <w:t>ავტობუსები</w:t>
      </w:r>
      <w:r w:rsidRPr="003D733D">
        <w:t xml:space="preserve">: </w:t>
      </w:r>
      <w:r w:rsidRPr="003D733D">
        <w:rPr>
          <w:rFonts w:ascii="Sylfaen" w:hAnsi="Sylfaen" w:cs="Sylfaen"/>
        </w:rPr>
        <w:t>ყველა</w:t>
      </w:r>
      <w:r w:rsidRPr="003D733D">
        <w:t xml:space="preserve"> </w:t>
      </w:r>
      <w:r w:rsidRPr="003D733D">
        <w:rPr>
          <w:rFonts w:ascii="Sylfaen" w:hAnsi="Sylfaen" w:cs="Sylfaen"/>
        </w:rPr>
        <w:t>სტანდარტული</w:t>
      </w:r>
      <w:r w:rsidRPr="003D733D">
        <w:t xml:space="preserve"> </w:t>
      </w:r>
      <w:r w:rsidRPr="003D733D">
        <w:rPr>
          <w:rFonts w:ascii="Sylfaen" w:hAnsi="Sylfaen" w:cs="Sylfaen"/>
        </w:rPr>
        <w:t>და</w:t>
      </w:r>
      <w:r w:rsidRPr="003D733D">
        <w:t xml:space="preserve"> </w:t>
      </w:r>
      <w:r w:rsidRPr="003D733D">
        <w:rPr>
          <w:rFonts w:ascii="Sylfaen" w:hAnsi="Sylfaen" w:cs="Sylfaen"/>
        </w:rPr>
        <w:t>დიდი</w:t>
      </w:r>
      <w:r w:rsidRPr="003D733D">
        <w:t xml:space="preserve"> </w:t>
      </w:r>
      <w:r w:rsidRPr="003D733D">
        <w:rPr>
          <w:rFonts w:ascii="Sylfaen" w:hAnsi="Sylfaen" w:cs="Sylfaen"/>
        </w:rPr>
        <w:t>ავტობუსი</w:t>
      </w:r>
      <w:r w:rsidRPr="003D733D">
        <w:t xml:space="preserve"> 15-</w:t>
      </w:r>
      <w:r w:rsidRPr="003D733D">
        <w:rPr>
          <w:rFonts w:ascii="Sylfaen" w:hAnsi="Sylfaen" w:cs="Sylfaen"/>
        </w:rPr>
        <w:t>ზე</w:t>
      </w:r>
      <w:r w:rsidRPr="003D733D">
        <w:t xml:space="preserve"> </w:t>
      </w:r>
      <w:r w:rsidRPr="003D733D">
        <w:rPr>
          <w:rFonts w:ascii="Sylfaen" w:hAnsi="Sylfaen" w:cs="Sylfaen"/>
        </w:rPr>
        <w:t>მეტი</w:t>
      </w:r>
      <w:r w:rsidRPr="003D733D">
        <w:t xml:space="preserve"> </w:t>
      </w:r>
      <w:r w:rsidRPr="003D733D">
        <w:rPr>
          <w:rFonts w:ascii="Sylfaen" w:hAnsi="Sylfaen" w:cs="Sylfaen"/>
        </w:rPr>
        <w:t>სავარძლით</w:t>
      </w:r>
      <w:r w:rsidRPr="003D733D">
        <w:t xml:space="preserve">, </w:t>
      </w:r>
      <w:r w:rsidRPr="003D733D">
        <w:rPr>
          <w:rFonts w:ascii="Sylfaen" w:hAnsi="Sylfaen" w:cs="Sylfaen"/>
        </w:rPr>
        <w:t>რომლებიც</w:t>
      </w:r>
      <w:r w:rsidRPr="003D733D">
        <w:t xml:space="preserve"> </w:t>
      </w:r>
      <w:r w:rsidRPr="003D733D">
        <w:rPr>
          <w:rFonts w:ascii="Sylfaen" w:hAnsi="Sylfaen" w:cs="Sylfaen"/>
        </w:rPr>
        <w:t>გამოიყენებიან</w:t>
      </w:r>
      <w:r w:rsidRPr="003D733D">
        <w:t xml:space="preserve"> </w:t>
      </w:r>
      <w:r w:rsidRPr="003D733D">
        <w:rPr>
          <w:rFonts w:ascii="Sylfaen" w:hAnsi="Sylfaen" w:cs="Sylfaen"/>
        </w:rPr>
        <w:t>მგზავრების</w:t>
      </w:r>
      <w:r w:rsidRPr="003D733D">
        <w:t xml:space="preserve"> </w:t>
      </w:r>
      <w:r w:rsidRPr="003D733D">
        <w:rPr>
          <w:rFonts w:ascii="Sylfaen" w:hAnsi="Sylfaen" w:cs="Sylfaen"/>
        </w:rPr>
        <w:t>გადასაყვანად</w:t>
      </w:r>
      <w:r w:rsidRPr="003D733D">
        <w:t>.</w:t>
      </w:r>
    </w:p>
    <w:p w14:paraId="111E542E" w14:textId="77777777" w:rsidR="00F8565C" w:rsidRPr="003D733D" w:rsidRDefault="00F8565C" w:rsidP="000B139D">
      <w:pPr>
        <w:spacing w:before="120" w:after="120"/>
      </w:pPr>
      <w:r w:rsidRPr="003D733D">
        <w:rPr>
          <w:rFonts w:ascii="Sylfaen" w:hAnsi="Sylfaen" w:cs="Sylfaen"/>
        </w:rPr>
        <w:t>მსუბუქი</w:t>
      </w:r>
      <w:r w:rsidRPr="003D733D">
        <w:t xml:space="preserve"> </w:t>
      </w:r>
      <w:r w:rsidRPr="003D733D">
        <w:rPr>
          <w:rFonts w:ascii="Sylfaen" w:hAnsi="Sylfaen" w:cs="Sylfaen"/>
        </w:rPr>
        <w:t>სატვირთო</w:t>
      </w:r>
      <w:r w:rsidRPr="003D733D">
        <w:t xml:space="preserve"> </w:t>
      </w:r>
      <w:r w:rsidRPr="003D733D">
        <w:rPr>
          <w:rFonts w:ascii="Sylfaen" w:hAnsi="Sylfaen" w:cs="Sylfaen"/>
        </w:rPr>
        <w:t>ავტომობილები</w:t>
      </w:r>
      <w:r w:rsidRPr="003D733D">
        <w:t xml:space="preserve"> (4-</w:t>
      </w:r>
      <w:r w:rsidRPr="003D733D">
        <w:rPr>
          <w:rFonts w:ascii="Sylfaen" w:hAnsi="Sylfaen" w:cs="Sylfaen"/>
        </w:rPr>
        <w:t>თვლიანი</w:t>
      </w:r>
      <w:r w:rsidRPr="003D733D">
        <w:t xml:space="preserve">):  </w:t>
      </w:r>
      <w:r w:rsidRPr="003D733D">
        <w:rPr>
          <w:rFonts w:ascii="Sylfaen" w:hAnsi="Sylfaen" w:cs="Sylfaen"/>
        </w:rPr>
        <w:t>ფურგონები</w:t>
      </w:r>
      <w:r w:rsidRPr="003D733D">
        <w:t xml:space="preserve"> </w:t>
      </w:r>
      <w:r w:rsidRPr="003D733D">
        <w:rPr>
          <w:rFonts w:ascii="Sylfaen" w:hAnsi="Sylfaen" w:cs="Sylfaen"/>
        </w:rPr>
        <w:t>და</w:t>
      </w:r>
      <w:r w:rsidRPr="003D733D">
        <w:t xml:space="preserve"> </w:t>
      </w:r>
      <w:r w:rsidRPr="003D733D">
        <w:rPr>
          <w:rFonts w:ascii="Sylfaen" w:hAnsi="Sylfaen" w:cs="Sylfaen"/>
        </w:rPr>
        <w:t>პიკაპები</w:t>
      </w:r>
      <w:r w:rsidRPr="003D733D">
        <w:t xml:space="preserve">, </w:t>
      </w:r>
      <w:r w:rsidRPr="003D733D">
        <w:rPr>
          <w:rFonts w:ascii="Sylfaen" w:hAnsi="Sylfaen" w:cs="Sylfaen"/>
        </w:rPr>
        <w:t>რომელთა</w:t>
      </w:r>
      <w:r w:rsidRPr="003D733D">
        <w:t xml:space="preserve"> </w:t>
      </w:r>
      <w:r w:rsidRPr="003D733D">
        <w:rPr>
          <w:rFonts w:ascii="Sylfaen" w:hAnsi="Sylfaen" w:cs="Sylfaen"/>
        </w:rPr>
        <w:t>ძირითადი</w:t>
      </w:r>
      <w:r w:rsidRPr="003D733D">
        <w:t xml:space="preserve"> </w:t>
      </w:r>
      <w:r w:rsidRPr="003D733D">
        <w:rPr>
          <w:rFonts w:ascii="Sylfaen" w:hAnsi="Sylfaen" w:cs="Sylfaen"/>
        </w:rPr>
        <w:t>დანიშნულებაა</w:t>
      </w:r>
      <w:r w:rsidRPr="003D733D">
        <w:t xml:space="preserve"> </w:t>
      </w:r>
      <w:r w:rsidRPr="003D733D">
        <w:rPr>
          <w:rFonts w:ascii="Sylfaen" w:hAnsi="Sylfaen" w:cs="Sylfaen"/>
        </w:rPr>
        <w:t>ტვირთების</w:t>
      </w:r>
      <w:r w:rsidRPr="003D733D">
        <w:t xml:space="preserve"> </w:t>
      </w:r>
      <w:r w:rsidRPr="003D733D">
        <w:rPr>
          <w:rFonts w:ascii="Sylfaen" w:hAnsi="Sylfaen" w:cs="Sylfaen"/>
        </w:rPr>
        <w:t>გადაზიდვა</w:t>
      </w:r>
      <w:r w:rsidRPr="003D733D">
        <w:t>.</w:t>
      </w:r>
    </w:p>
    <w:p w14:paraId="53902E05" w14:textId="77777777" w:rsidR="00F8565C" w:rsidRPr="003D733D" w:rsidRDefault="00F8565C" w:rsidP="000B139D">
      <w:pPr>
        <w:spacing w:before="120" w:after="120"/>
      </w:pPr>
      <w:r w:rsidRPr="003D733D">
        <w:t>2-</w:t>
      </w:r>
      <w:r w:rsidRPr="003D733D">
        <w:rPr>
          <w:rFonts w:ascii="Sylfaen" w:hAnsi="Sylfaen" w:cs="Sylfaen"/>
        </w:rPr>
        <w:t>ღერძიანი</w:t>
      </w:r>
      <w:r w:rsidRPr="003D733D">
        <w:t xml:space="preserve"> </w:t>
      </w:r>
      <w:r w:rsidRPr="003D733D">
        <w:rPr>
          <w:rFonts w:ascii="Sylfaen" w:hAnsi="Sylfaen" w:cs="Sylfaen"/>
        </w:rPr>
        <w:t>სატვირთო</w:t>
      </w:r>
      <w:r w:rsidRPr="003D733D">
        <w:t xml:space="preserve"> </w:t>
      </w:r>
      <w:r w:rsidRPr="003D733D">
        <w:rPr>
          <w:rFonts w:ascii="Sylfaen" w:hAnsi="Sylfaen" w:cs="Sylfaen"/>
        </w:rPr>
        <w:t>ავტომობილები</w:t>
      </w:r>
      <w:r w:rsidRPr="003D733D">
        <w:t xml:space="preserve">: </w:t>
      </w:r>
      <w:r w:rsidRPr="003D733D">
        <w:rPr>
          <w:rFonts w:ascii="Sylfaen" w:hAnsi="Sylfaen" w:cs="Sylfaen"/>
        </w:rPr>
        <w:t>სატვირთო</w:t>
      </w:r>
      <w:r w:rsidRPr="003D733D">
        <w:t xml:space="preserve"> </w:t>
      </w:r>
      <w:r w:rsidRPr="003D733D">
        <w:rPr>
          <w:rFonts w:ascii="Sylfaen" w:hAnsi="Sylfaen" w:cs="Sylfaen"/>
        </w:rPr>
        <w:t>ავტომობილები</w:t>
      </w:r>
      <w:r w:rsidRPr="003D733D">
        <w:t xml:space="preserve"> </w:t>
      </w:r>
      <w:r w:rsidRPr="003D733D">
        <w:rPr>
          <w:rFonts w:ascii="Sylfaen" w:hAnsi="Sylfaen" w:cs="Sylfaen"/>
        </w:rPr>
        <w:t>ორი</w:t>
      </w:r>
      <w:r w:rsidRPr="003D733D">
        <w:t xml:space="preserve"> </w:t>
      </w:r>
      <w:r w:rsidRPr="003D733D">
        <w:rPr>
          <w:rFonts w:ascii="Sylfaen" w:hAnsi="Sylfaen" w:cs="Sylfaen"/>
        </w:rPr>
        <w:t>წამყვანი</w:t>
      </w:r>
      <w:r w:rsidRPr="003D733D">
        <w:t xml:space="preserve"> </w:t>
      </w:r>
      <w:r w:rsidRPr="003D733D">
        <w:rPr>
          <w:rFonts w:ascii="Sylfaen" w:hAnsi="Sylfaen" w:cs="Sylfaen"/>
        </w:rPr>
        <w:t>ღერძით</w:t>
      </w:r>
      <w:r w:rsidRPr="003D733D">
        <w:t xml:space="preserve"> </w:t>
      </w:r>
      <w:r w:rsidRPr="003D733D">
        <w:rPr>
          <w:rFonts w:ascii="Sylfaen" w:hAnsi="Sylfaen" w:cs="Sylfaen"/>
        </w:rPr>
        <w:t>და</w:t>
      </w:r>
      <w:r w:rsidRPr="003D733D">
        <w:t xml:space="preserve"> </w:t>
      </w:r>
      <w:r w:rsidRPr="003D733D">
        <w:rPr>
          <w:rFonts w:ascii="Sylfaen" w:hAnsi="Sylfaen" w:cs="Sylfaen"/>
        </w:rPr>
        <w:t>ექვსი</w:t>
      </w:r>
      <w:r w:rsidRPr="003D733D">
        <w:t xml:space="preserve"> </w:t>
      </w:r>
      <w:r w:rsidRPr="003D733D">
        <w:rPr>
          <w:rFonts w:ascii="Sylfaen" w:hAnsi="Sylfaen" w:cs="Sylfaen"/>
        </w:rPr>
        <w:t>ბორბლით</w:t>
      </w:r>
      <w:r w:rsidRPr="003D733D">
        <w:t>.</w:t>
      </w:r>
    </w:p>
    <w:p w14:paraId="5D425054" w14:textId="77777777" w:rsidR="00F8565C" w:rsidRPr="003D733D" w:rsidRDefault="00F8565C" w:rsidP="000B139D">
      <w:pPr>
        <w:spacing w:before="120" w:after="120"/>
      </w:pPr>
      <w:r w:rsidRPr="003D733D">
        <w:t>3-</w:t>
      </w:r>
      <w:r w:rsidRPr="003D733D">
        <w:rPr>
          <w:rFonts w:ascii="Sylfaen" w:hAnsi="Sylfaen" w:cs="Sylfaen"/>
        </w:rPr>
        <w:t>ღერძიანი</w:t>
      </w:r>
      <w:r w:rsidRPr="003D733D">
        <w:t xml:space="preserve"> </w:t>
      </w:r>
      <w:r w:rsidRPr="003D733D">
        <w:rPr>
          <w:rFonts w:ascii="Sylfaen" w:hAnsi="Sylfaen" w:cs="Sylfaen"/>
        </w:rPr>
        <w:t>სატვირთო</w:t>
      </w:r>
      <w:r w:rsidRPr="003D733D">
        <w:t xml:space="preserve"> </w:t>
      </w:r>
      <w:r w:rsidRPr="003D733D">
        <w:rPr>
          <w:rFonts w:ascii="Sylfaen" w:hAnsi="Sylfaen" w:cs="Sylfaen"/>
        </w:rPr>
        <w:t>ავტომობილები</w:t>
      </w:r>
      <w:r w:rsidRPr="003D733D">
        <w:t>: 3-</w:t>
      </w:r>
      <w:r w:rsidRPr="003D733D">
        <w:rPr>
          <w:rFonts w:ascii="Sylfaen" w:hAnsi="Sylfaen" w:cs="Sylfaen"/>
        </w:rPr>
        <w:t>ღერძიანი</w:t>
      </w:r>
      <w:r w:rsidRPr="003D733D">
        <w:t xml:space="preserve"> </w:t>
      </w:r>
      <w:r w:rsidRPr="003D733D">
        <w:rPr>
          <w:rFonts w:ascii="Sylfaen" w:hAnsi="Sylfaen" w:cs="Sylfaen"/>
        </w:rPr>
        <w:t>სატვირთო</w:t>
      </w:r>
      <w:r w:rsidRPr="003D733D">
        <w:t xml:space="preserve"> </w:t>
      </w:r>
      <w:r w:rsidRPr="003D733D">
        <w:rPr>
          <w:rFonts w:ascii="Sylfaen" w:hAnsi="Sylfaen" w:cs="Sylfaen"/>
        </w:rPr>
        <w:t>ავტომობილები</w:t>
      </w:r>
      <w:r w:rsidRPr="003D733D">
        <w:t xml:space="preserve"> </w:t>
      </w:r>
      <w:r w:rsidRPr="003D733D">
        <w:rPr>
          <w:rFonts w:ascii="Sylfaen" w:hAnsi="Sylfaen" w:cs="Sylfaen"/>
        </w:rPr>
        <w:t>ერთი</w:t>
      </w:r>
      <w:r w:rsidRPr="003D733D">
        <w:t xml:space="preserve"> </w:t>
      </w:r>
      <w:r w:rsidRPr="003D733D">
        <w:rPr>
          <w:rFonts w:ascii="Sylfaen" w:hAnsi="Sylfaen" w:cs="Sylfaen"/>
        </w:rPr>
        <w:t>წინა</w:t>
      </w:r>
      <w:r w:rsidRPr="003D733D">
        <w:t xml:space="preserve"> </w:t>
      </w:r>
      <w:r w:rsidRPr="003D733D">
        <w:rPr>
          <w:rFonts w:ascii="Sylfaen" w:hAnsi="Sylfaen" w:cs="Sylfaen"/>
        </w:rPr>
        <w:t>და</w:t>
      </w:r>
      <w:r w:rsidRPr="003D733D">
        <w:t xml:space="preserve"> </w:t>
      </w:r>
      <w:r w:rsidRPr="003D733D">
        <w:rPr>
          <w:rFonts w:ascii="Sylfaen" w:hAnsi="Sylfaen" w:cs="Sylfaen"/>
        </w:rPr>
        <w:t>ორი</w:t>
      </w:r>
      <w:r w:rsidRPr="003D733D">
        <w:t xml:space="preserve"> </w:t>
      </w:r>
      <w:r w:rsidRPr="003D733D">
        <w:rPr>
          <w:rFonts w:ascii="Sylfaen" w:hAnsi="Sylfaen" w:cs="Sylfaen"/>
        </w:rPr>
        <w:t>უკანა</w:t>
      </w:r>
      <w:r w:rsidRPr="003D733D">
        <w:t xml:space="preserve"> </w:t>
      </w:r>
      <w:r w:rsidRPr="003D733D">
        <w:rPr>
          <w:rFonts w:ascii="Sylfaen" w:hAnsi="Sylfaen" w:cs="Sylfaen"/>
        </w:rPr>
        <w:t>წამყვანი</w:t>
      </w:r>
      <w:r w:rsidRPr="003D733D">
        <w:t xml:space="preserve"> </w:t>
      </w:r>
      <w:r w:rsidRPr="003D733D">
        <w:rPr>
          <w:rFonts w:ascii="Sylfaen" w:hAnsi="Sylfaen" w:cs="Sylfaen"/>
        </w:rPr>
        <w:t>ღერძით</w:t>
      </w:r>
      <w:r w:rsidRPr="003D733D">
        <w:t>.</w:t>
      </w:r>
    </w:p>
    <w:p w14:paraId="5410908A" w14:textId="77777777" w:rsidR="00F8565C" w:rsidRPr="003D733D" w:rsidRDefault="00F8565C" w:rsidP="000B139D">
      <w:pPr>
        <w:spacing w:before="120" w:after="120"/>
      </w:pPr>
      <w:r w:rsidRPr="003D733D">
        <w:t xml:space="preserve">4- </w:t>
      </w:r>
      <w:r w:rsidRPr="003D733D">
        <w:rPr>
          <w:rFonts w:ascii="Sylfaen" w:hAnsi="Sylfaen" w:cs="Sylfaen"/>
        </w:rPr>
        <w:t>და</w:t>
      </w:r>
      <w:r w:rsidRPr="003D733D">
        <w:t xml:space="preserve"> </w:t>
      </w:r>
      <w:r w:rsidRPr="003D733D">
        <w:rPr>
          <w:rFonts w:ascii="Sylfaen" w:hAnsi="Sylfaen" w:cs="Sylfaen"/>
        </w:rPr>
        <w:t>მეტღერძიანი</w:t>
      </w:r>
      <w:r w:rsidRPr="003D733D">
        <w:t xml:space="preserve"> </w:t>
      </w:r>
      <w:r w:rsidRPr="003D733D">
        <w:rPr>
          <w:rFonts w:ascii="Sylfaen" w:hAnsi="Sylfaen" w:cs="Sylfaen"/>
        </w:rPr>
        <w:t>სატვირთო</w:t>
      </w:r>
      <w:r w:rsidRPr="003D733D">
        <w:t xml:space="preserve"> </w:t>
      </w:r>
      <w:r w:rsidRPr="003D733D">
        <w:rPr>
          <w:rFonts w:ascii="Sylfaen" w:hAnsi="Sylfaen" w:cs="Sylfaen"/>
        </w:rPr>
        <w:t>ავტომობილები</w:t>
      </w:r>
      <w:r w:rsidRPr="003D733D">
        <w:t xml:space="preserve">: </w:t>
      </w:r>
      <w:r w:rsidRPr="003D733D">
        <w:rPr>
          <w:rFonts w:ascii="Sylfaen" w:hAnsi="Sylfaen" w:cs="Sylfaen"/>
        </w:rPr>
        <w:t>სატვირთო</w:t>
      </w:r>
      <w:r w:rsidRPr="003D733D">
        <w:t xml:space="preserve"> </w:t>
      </w:r>
      <w:r w:rsidRPr="003D733D">
        <w:rPr>
          <w:rFonts w:ascii="Sylfaen" w:hAnsi="Sylfaen" w:cs="Sylfaen"/>
        </w:rPr>
        <w:t>ავტომობილები</w:t>
      </w:r>
      <w:r w:rsidRPr="003D733D">
        <w:t xml:space="preserve"> </w:t>
      </w:r>
      <w:r w:rsidRPr="003D733D">
        <w:rPr>
          <w:rFonts w:ascii="Sylfaen" w:hAnsi="Sylfaen" w:cs="Sylfaen"/>
        </w:rPr>
        <w:t>ან</w:t>
      </w:r>
      <w:r w:rsidRPr="003D733D">
        <w:t xml:space="preserve"> </w:t>
      </w:r>
      <w:r w:rsidRPr="003D733D">
        <w:rPr>
          <w:rFonts w:ascii="Sylfaen" w:hAnsi="Sylfaen" w:cs="Sylfaen"/>
        </w:rPr>
        <w:t>სატვირთო</w:t>
      </w:r>
      <w:r w:rsidRPr="003D733D">
        <w:t xml:space="preserve"> </w:t>
      </w:r>
      <w:r w:rsidRPr="003D733D">
        <w:rPr>
          <w:rFonts w:ascii="Sylfaen" w:hAnsi="Sylfaen" w:cs="Sylfaen"/>
        </w:rPr>
        <w:t>და</w:t>
      </w:r>
      <w:r w:rsidRPr="003D733D">
        <w:t xml:space="preserve"> </w:t>
      </w:r>
      <w:r w:rsidRPr="003D733D">
        <w:rPr>
          <w:rFonts w:ascii="Sylfaen" w:hAnsi="Sylfaen" w:cs="Sylfaen"/>
        </w:rPr>
        <w:t>მისაბმელი</w:t>
      </w:r>
      <w:r w:rsidRPr="003D733D">
        <w:t xml:space="preserve"> </w:t>
      </w:r>
      <w:r w:rsidRPr="003D733D">
        <w:rPr>
          <w:rFonts w:ascii="Sylfaen" w:hAnsi="Sylfaen" w:cs="Sylfaen"/>
        </w:rPr>
        <w:t>ავტომობილების</w:t>
      </w:r>
      <w:r w:rsidRPr="003D733D">
        <w:t xml:space="preserve"> </w:t>
      </w:r>
      <w:r w:rsidRPr="003D733D">
        <w:rPr>
          <w:rFonts w:ascii="Sylfaen" w:hAnsi="Sylfaen" w:cs="Sylfaen"/>
        </w:rPr>
        <w:t>კომბინაციები</w:t>
      </w:r>
      <w:r w:rsidRPr="003D733D">
        <w:t xml:space="preserve"> (</w:t>
      </w:r>
      <w:r w:rsidRPr="003D733D">
        <w:rPr>
          <w:rFonts w:ascii="Sylfaen" w:hAnsi="Sylfaen" w:cs="Sylfaen"/>
        </w:rPr>
        <w:t>ავტომატარებლები</w:t>
      </w:r>
      <w:r w:rsidRPr="003D733D">
        <w:t xml:space="preserve">) 4 </w:t>
      </w:r>
      <w:r w:rsidRPr="003D733D">
        <w:rPr>
          <w:rFonts w:ascii="Sylfaen" w:hAnsi="Sylfaen" w:cs="Sylfaen"/>
        </w:rPr>
        <w:t>ან</w:t>
      </w:r>
      <w:r w:rsidRPr="003D733D">
        <w:t xml:space="preserve"> </w:t>
      </w:r>
      <w:r w:rsidRPr="003D733D">
        <w:rPr>
          <w:rFonts w:ascii="Sylfaen" w:hAnsi="Sylfaen" w:cs="Sylfaen"/>
        </w:rPr>
        <w:t>მეტი</w:t>
      </w:r>
      <w:r w:rsidRPr="003D733D">
        <w:t xml:space="preserve"> </w:t>
      </w:r>
      <w:r w:rsidRPr="003D733D">
        <w:rPr>
          <w:rFonts w:ascii="Sylfaen" w:hAnsi="Sylfaen" w:cs="Sylfaen"/>
        </w:rPr>
        <w:t>წამყვანი</w:t>
      </w:r>
      <w:r w:rsidRPr="003D733D">
        <w:t xml:space="preserve"> </w:t>
      </w:r>
      <w:r w:rsidRPr="003D733D">
        <w:rPr>
          <w:rFonts w:ascii="Sylfaen" w:hAnsi="Sylfaen" w:cs="Sylfaen"/>
        </w:rPr>
        <w:t>ღერძით</w:t>
      </w:r>
      <w:r w:rsidRPr="003D733D">
        <w:t xml:space="preserve"> </w:t>
      </w:r>
    </w:p>
    <w:p w14:paraId="1A85D8CC" w14:textId="77777777" w:rsidR="00F8565C" w:rsidRPr="003D733D" w:rsidRDefault="00F8565C" w:rsidP="000B139D">
      <w:pPr>
        <w:spacing w:before="120" w:after="120"/>
      </w:pPr>
      <w:r w:rsidRPr="003D733D">
        <w:rPr>
          <w:rFonts w:ascii="Sylfaen" w:hAnsi="Sylfaen" w:cs="Sylfaen"/>
        </w:rPr>
        <w:t>მოტოციკლები</w:t>
      </w:r>
    </w:p>
    <w:p w14:paraId="1BDADBB5" w14:textId="77777777" w:rsidR="00F8565C" w:rsidRPr="003D733D" w:rsidRDefault="00F8565C" w:rsidP="000B139D">
      <w:pPr>
        <w:spacing w:before="120" w:after="120"/>
      </w:pPr>
      <w:r w:rsidRPr="003D733D">
        <w:rPr>
          <w:rFonts w:ascii="Sylfaen" w:hAnsi="Sylfaen" w:cs="Sylfaen"/>
        </w:rPr>
        <w:t>თვითმავალი</w:t>
      </w:r>
      <w:r w:rsidRPr="003D733D">
        <w:t xml:space="preserve"> </w:t>
      </w:r>
      <w:r w:rsidRPr="003D733D">
        <w:rPr>
          <w:rFonts w:ascii="Sylfaen" w:hAnsi="Sylfaen" w:cs="Sylfaen"/>
        </w:rPr>
        <w:t>ტრანსპორტი</w:t>
      </w:r>
    </w:p>
    <w:p w14:paraId="362B812D" w14:textId="77777777" w:rsidR="00F8565C" w:rsidRPr="003D733D" w:rsidRDefault="00F8565C" w:rsidP="000B139D">
      <w:pPr>
        <w:spacing w:before="120" w:after="120"/>
      </w:pPr>
      <w:r w:rsidRPr="003D733D">
        <w:rPr>
          <w:rFonts w:ascii="Sylfaen" w:hAnsi="Sylfaen" w:cs="Sylfaen"/>
        </w:rPr>
        <w:t>სატრანსპორტო</w:t>
      </w:r>
      <w:r w:rsidRPr="003D733D">
        <w:t xml:space="preserve"> </w:t>
      </w:r>
      <w:r w:rsidRPr="003D733D">
        <w:rPr>
          <w:rFonts w:ascii="Sylfaen" w:hAnsi="Sylfaen" w:cs="Sylfaen"/>
        </w:rPr>
        <w:t>ნაკადის</w:t>
      </w:r>
      <w:r w:rsidRPr="003D733D">
        <w:t xml:space="preserve"> </w:t>
      </w:r>
      <w:r w:rsidRPr="003D733D">
        <w:rPr>
          <w:rFonts w:ascii="Sylfaen" w:hAnsi="Sylfaen" w:cs="Sylfaen"/>
        </w:rPr>
        <w:t>კლასიფიცირებული</w:t>
      </w:r>
      <w:r w:rsidRPr="003D733D">
        <w:t xml:space="preserve"> </w:t>
      </w:r>
      <w:r w:rsidRPr="003D733D">
        <w:rPr>
          <w:rFonts w:ascii="Sylfaen" w:hAnsi="Sylfaen" w:cs="Sylfaen"/>
        </w:rPr>
        <w:t>დათვლები</w:t>
      </w:r>
      <w:r w:rsidRPr="003D733D">
        <w:t xml:space="preserve"> </w:t>
      </w:r>
      <w:r w:rsidRPr="003D733D">
        <w:rPr>
          <w:rFonts w:ascii="Sylfaen" w:hAnsi="Sylfaen" w:cs="Sylfaen"/>
        </w:rPr>
        <w:t>შესრულდა</w:t>
      </w:r>
      <w:r w:rsidRPr="003D733D">
        <w:t xml:space="preserve"> 2017 </w:t>
      </w:r>
      <w:r w:rsidRPr="003D733D">
        <w:rPr>
          <w:rFonts w:ascii="Sylfaen" w:hAnsi="Sylfaen" w:cs="Sylfaen"/>
        </w:rPr>
        <w:t>წლის</w:t>
      </w:r>
      <w:r w:rsidRPr="003D733D">
        <w:t xml:space="preserve"> 5 </w:t>
      </w:r>
      <w:r w:rsidRPr="003D733D">
        <w:rPr>
          <w:rFonts w:ascii="Sylfaen" w:hAnsi="Sylfaen" w:cs="Sylfaen"/>
        </w:rPr>
        <w:t>ივნისიდან</w:t>
      </w:r>
      <w:r w:rsidRPr="003D733D">
        <w:t xml:space="preserve"> 21 </w:t>
      </w:r>
      <w:r w:rsidRPr="003D733D">
        <w:rPr>
          <w:rFonts w:ascii="Sylfaen" w:hAnsi="Sylfaen" w:cs="Sylfaen"/>
        </w:rPr>
        <w:t>ივნისამდე</w:t>
      </w:r>
      <w:r w:rsidRPr="003D733D">
        <w:t xml:space="preserve"> </w:t>
      </w:r>
      <w:r w:rsidRPr="003D733D">
        <w:rPr>
          <w:rFonts w:ascii="Sylfaen" w:hAnsi="Sylfaen" w:cs="Sylfaen"/>
        </w:rPr>
        <w:t>პერიოდში</w:t>
      </w:r>
      <w:r w:rsidRPr="003D733D">
        <w:t xml:space="preserve">. </w:t>
      </w:r>
      <w:r w:rsidRPr="003D733D">
        <w:rPr>
          <w:rFonts w:ascii="Sylfaen" w:hAnsi="Sylfaen" w:cs="Sylfaen"/>
        </w:rPr>
        <w:t>თითოეული</w:t>
      </w:r>
      <w:r w:rsidRPr="003D733D">
        <w:t xml:space="preserve"> </w:t>
      </w:r>
      <w:r w:rsidRPr="003D733D">
        <w:rPr>
          <w:rFonts w:ascii="Sylfaen" w:hAnsi="Sylfaen" w:cs="Sylfaen"/>
        </w:rPr>
        <w:t>დათვლა</w:t>
      </w:r>
      <w:r w:rsidRPr="003D733D">
        <w:t xml:space="preserve"> </w:t>
      </w:r>
      <w:r w:rsidRPr="003D733D">
        <w:rPr>
          <w:rFonts w:ascii="Sylfaen" w:hAnsi="Sylfaen" w:cs="Sylfaen"/>
        </w:rPr>
        <w:t>ერთი</w:t>
      </w:r>
      <w:r w:rsidRPr="003D733D">
        <w:t xml:space="preserve"> </w:t>
      </w:r>
      <w:r w:rsidRPr="003D733D">
        <w:rPr>
          <w:rFonts w:ascii="Sylfaen" w:hAnsi="Sylfaen" w:cs="Sylfaen"/>
        </w:rPr>
        <w:t>დღის</w:t>
      </w:r>
      <w:r w:rsidRPr="003D733D">
        <w:t xml:space="preserve"> 12 </w:t>
      </w:r>
      <w:r w:rsidRPr="003D733D">
        <w:rPr>
          <w:rFonts w:ascii="Sylfaen" w:hAnsi="Sylfaen" w:cs="Sylfaen"/>
        </w:rPr>
        <w:t>საათის</w:t>
      </w:r>
      <w:r w:rsidRPr="003D733D">
        <w:t xml:space="preserve"> </w:t>
      </w:r>
      <w:r w:rsidRPr="003D733D">
        <w:rPr>
          <w:rFonts w:ascii="Sylfaen" w:hAnsi="Sylfaen" w:cs="Sylfaen"/>
        </w:rPr>
        <w:t>განმავლობაში</w:t>
      </w:r>
      <w:r w:rsidRPr="003D733D">
        <w:t xml:space="preserve"> (08:00-20:00) </w:t>
      </w:r>
      <w:r w:rsidRPr="003D733D">
        <w:rPr>
          <w:rFonts w:ascii="Sylfaen" w:hAnsi="Sylfaen" w:cs="Sylfaen"/>
        </w:rPr>
        <w:t>ტარდებოდა</w:t>
      </w:r>
      <w:r w:rsidRPr="003D733D">
        <w:t xml:space="preserve">, </w:t>
      </w:r>
      <w:r w:rsidRPr="003D733D">
        <w:rPr>
          <w:rFonts w:ascii="Sylfaen" w:hAnsi="Sylfaen" w:cs="Sylfaen"/>
        </w:rPr>
        <w:t>ჩუმლაყი</w:t>
      </w:r>
      <w:r w:rsidRPr="003D733D">
        <w:t>-</w:t>
      </w:r>
      <w:r w:rsidRPr="003D733D">
        <w:rPr>
          <w:rFonts w:ascii="Sylfaen" w:hAnsi="Sylfaen" w:cs="Sylfaen"/>
        </w:rPr>
        <w:t>ახაშენის</w:t>
      </w:r>
      <w:r w:rsidRPr="003D733D">
        <w:t xml:space="preserve"> (MCC4) </w:t>
      </w:r>
      <w:r w:rsidRPr="003D733D">
        <w:rPr>
          <w:rFonts w:ascii="Sylfaen" w:hAnsi="Sylfaen" w:cs="Sylfaen"/>
        </w:rPr>
        <w:t>საკონტროლო</w:t>
      </w:r>
      <w:r w:rsidRPr="003D733D">
        <w:t xml:space="preserve"> </w:t>
      </w:r>
      <w:r w:rsidRPr="003D733D">
        <w:rPr>
          <w:rFonts w:ascii="Sylfaen" w:hAnsi="Sylfaen" w:cs="Sylfaen"/>
        </w:rPr>
        <w:t>დათვლის</w:t>
      </w:r>
      <w:r w:rsidRPr="003D733D">
        <w:t xml:space="preserve"> </w:t>
      </w:r>
      <w:r w:rsidRPr="003D733D">
        <w:rPr>
          <w:rFonts w:ascii="Sylfaen" w:hAnsi="Sylfaen" w:cs="Sylfaen"/>
        </w:rPr>
        <w:t>პუნქტის</w:t>
      </w:r>
      <w:r w:rsidRPr="003D733D">
        <w:t xml:space="preserve"> </w:t>
      </w:r>
      <w:r w:rsidRPr="003D733D">
        <w:rPr>
          <w:rFonts w:ascii="Sylfaen" w:hAnsi="Sylfaen" w:cs="Sylfaen"/>
        </w:rPr>
        <w:t>გარდა</w:t>
      </w:r>
      <w:r w:rsidRPr="003D733D">
        <w:t xml:space="preserve">, </w:t>
      </w:r>
      <w:r w:rsidRPr="003D733D">
        <w:rPr>
          <w:rFonts w:ascii="Sylfaen" w:hAnsi="Sylfaen" w:cs="Sylfaen"/>
        </w:rPr>
        <w:t>სადაც</w:t>
      </w:r>
      <w:r w:rsidRPr="003D733D">
        <w:t xml:space="preserve"> </w:t>
      </w:r>
      <w:r w:rsidRPr="003D733D">
        <w:rPr>
          <w:rFonts w:ascii="Sylfaen" w:hAnsi="Sylfaen" w:cs="Sylfaen"/>
        </w:rPr>
        <w:t>დათვლები</w:t>
      </w:r>
      <w:r w:rsidRPr="003D733D">
        <w:t xml:space="preserve"> </w:t>
      </w:r>
      <w:r w:rsidRPr="003D733D">
        <w:rPr>
          <w:rFonts w:ascii="Sylfaen" w:hAnsi="Sylfaen" w:cs="Sylfaen"/>
        </w:rPr>
        <w:t>ჩატარდა</w:t>
      </w:r>
      <w:r w:rsidRPr="003D733D">
        <w:t xml:space="preserve"> 7 </w:t>
      </w:r>
      <w:r w:rsidRPr="003D733D">
        <w:rPr>
          <w:rFonts w:ascii="Sylfaen" w:hAnsi="Sylfaen" w:cs="Sylfaen"/>
        </w:rPr>
        <w:t>დღის</w:t>
      </w:r>
      <w:r w:rsidRPr="003D733D">
        <w:t xml:space="preserve"> </w:t>
      </w:r>
      <w:r w:rsidRPr="003D733D">
        <w:rPr>
          <w:rFonts w:ascii="Sylfaen" w:hAnsi="Sylfaen" w:cs="Sylfaen"/>
        </w:rPr>
        <w:t>განმავლობაში</w:t>
      </w:r>
      <w:r w:rsidRPr="003D733D">
        <w:t xml:space="preserve"> </w:t>
      </w:r>
      <w:r w:rsidRPr="003D733D">
        <w:rPr>
          <w:rFonts w:ascii="Sylfaen" w:hAnsi="Sylfaen" w:cs="Sylfaen"/>
        </w:rPr>
        <w:t>ყოველი</w:t>
      </w:r>
      <w:r w:rsidRPr="003D733D">
        <w:t xml:space="preserve"> 12 </w:t>
      </w:r>
      <w:r w:rsidRPr="003D733D">
        <w:rPr>
          <w:rFonts w:ascii="Sylfaen" w:hAnsi="Sylfaen" w:cs="Sylfaen"/>
        </w:rPr>
        <w:t>საათიდან</w:t>
      </w:r>
      <w:r w:rsidRPr="003D733D">
        <w:t xml:space="preserve"> 6 </w:t>
      </w:r>
      <w:r w:rsidRPr="003D733D">
        <w:rPr>
          <w:rFonts w:ascii="Sylfaen" w:hAnsi="Sylfaen" w:cs="Sylfaen"/>
        </w:rPr>
        <w:t>საათის</w:t>
      </w:r>
      <w:r w:rsidRPr="003D733D">
        <w:t xml:space="preserve"> </w:t>
      </w:r>
      <w:r w:rsidRPr="003D733D">
        <w:rPr>
          <w:rFonts w:ascii="Sylfaen" w:hAnsi="Sylfaen" w:cs="Sylfaen"/>
        </w:rPr>
        <w:t>ხანგრძლივობით</w:t>
      </w:r>
      <w:r w:rsidRPr="003D733D">
        <w:t xml:space="preserve">, </w:t>
      </w:r>
      <w:r w:rsidRPr="003D733D">
        <w:rPr>
          <w:rFonts w:ascii="Sylfaen" w:hAnsi="Sylfaen" w:cs="Sylfaen"/>
        </w:rPr>
        <w:t>რასაც</w:t>
      </w:r>
      <w:r w:rsidRPr="003D733D">
        <w:t xml:space="preserve"> </w:t>
      </w:r>
      <w:r w:rsidRPr="003D733D">
        <w:rPr>
          <w:rFonts w:ascii="Sylfaen" w:hAnsi="Sylfaen" w:cs="Sylfaen"/>
        </w:rPr>
        <w:t>დაემატა</w:t>
      </w:r>
      <w:r w:rsidRPr="003D733D">
        <w:t xml:space="preserve"> </w:t>
      </w:r>
      <w:r w:rsidRPr="003D733D">
        <w:rPr>
          <w:rFonts w:ascii="Sylfaen" w:hAnsi="Sylfaen" w:cs="Sylfaen"/>
        </w:rPr>
        <w:t>ერთი</w:t>
      </w:r>
      <w:r w:rsidRPr="003D733D">
        <w:t xml:space="preserve"> 24-</w:t>
      </w:r>
      <w:r w:rsidRPr="003D733D">
        <w:rPr>
          <w:rFonts w:ascii="Sylfaen" w:hAnsi="Sylfaen" w:cs="Sylfaen"/>
        </w:rPr>
        <w:t>საათიანი</w:t>
      </w:r>
      <w:r w:rsidRPr="003D733D">
        <w:t xml:space="preserve"> </w:t>
      </w:r>
      <w:r w:rsidRPr="003D733D">
        <w:rPr>
          <w:rFonts w:ascii="Sylfaen" w:hAnsi="Sylfaen" w:cs="Sylfaen"/>
        </w:rPr>
        <w:t>დათვლა</w:t>
      </w:r>
      <w:r w:rsidRPr="003D733D">
        <w:t xml:space="preserve">. </w:t>
      </w:r>
      <w:r w:rsidRPr="003D733D">
        <w:rPr>
          <w:rFonts w:ascii="Sylfaen" w:hAnsi="Sylfaen" w:cs="Sylfaen"/>
        </w:rPr>
        <w:t>აღნიშნული</w:t>
      </w:r>
      <w:r w:rsidRPr="003D733D">
        <w:t xml:space="preserve"> </w:t>
      </w:r>
      <w:r w:rsidRPr="003D733D">
        <w:rPr>
          <w:rFonts w:ascii="Sylfaen" w:hAnsi="Sylfaen" w:cs="Sylfaen"/>
        </w:rPr>
        <w:t>საკონტროლო</w:t>
      </w:r>
      <w:r w:rsidRPr="003D733D">
        <w:t xml:space="preserve"> </w:t>
      </w:r>
      <w:r w:rsidRPr="003D733D">
        <w:rPr>
          <w:rFonts w:ascii="Sylfaen" w:hAnsi="Sylfaen" w:cs="Sylfaen"/>
        </w:rPr>
        <w:t>დათვლები</w:t>
      </w:r>
      <w:r w:rsidRPr="003D733D">
        <w:t xml:space="preserve"> </w:t>
      </w:r>
      <w:r w:rsidRPr="003D733D">
        <w:rPr>
          <w:rFonts w:ascii="Sylfaen" w:hAnsi="Sylfaen" w:cs="Sylfaen"/>
        </w:rPr>
        <w:t>გამიზნული</w:t>
      </w:r>
      <w:r w:rsidRPr="003D733D">
        <w:t xml:space="preserve"> </w:t>
      </w:r>
      <w:r w:rsidRPr="003D733D">
        <w:rPr>
          <w:rFonts w:ascii="Sylfaen" w:hAnsi="Sylfaen" w:cs="Sylfaen"/>
        </w:rPr>
        <w:t>იყო</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ნაკადის</w:t>
      </w:r>
      <w:r w:rsidRPr="003D733D">
        <w:t xml:space="preserve"> </w:t>
      </w:r>
      <w:r w:rsidRPr="003D733D">
        <w:rPr>
          <w:rFonts w:ascii="Sylfaen" w:hAnsi="Sylfaen" w:cs="Sylfaen"/>
        </w:rPr>
        <w:t>დღიური</w:t>
      </w:r>
      <w:r w:rsidRPr="003D733D">
        <w:t xml:space="preserve"> </w:t>
      </w:r>
      <w:r w:rsidRPr="003D733D">
        <w:rPr>
          <w:rFonts w:ascii="Sylfaen" w:hAnsi="Sylfaen" w:cs="Sylfaen"/>
        </w:rPr>
        <w:t>და</w:t>
      </w:r>
      <w:r w:rsidRPr="003D733D">
        <w:t xml:space="preserve"> </w:t>
      </w:r>
      <w:r w:rsidRPr="003D733D">
        <w:rPr>
          <w:rFonts w:ascii="Sylfaen" w:hAnsi="Sylfaen" w:cs="Sylfaen"/>
        </w:rPr>
        <w:t>საათობრივი</w:t>
      </w:r>
      <w:r w:rsidRPr="003D733D">
        <w:t xml:space="preserve"> </w:t>
      </w:r>
      <w:r w:rsidRPr="003D733D">
        <w:rPr>
          <w:rFonts w:ascii="Sylfaen" w:hAnsi="Sylfaen" w:cs="Sylfaen"/>
        </w:rPr>
        <w:t>ცვალებადობის</w:t>
      </w:r>
      <w:r w:rsidRPr="003D733D">
        <w:t xml:space="preserve"> </w:t>
      </w:r>
      <w:r w:rsidRPr="003D733D">
        <w:rPr>
          <w:rFonts w:ascii="Sylfaen" w:hAnsi="Sylfaen" w:cs="Sylfaen"/>
        </w:rPr>
        <w:t>დასადგენად</w:t>
      </w:r>
      <w:r w:rsidRPr="003D733D">
        <w:t xml:space="preserve">, </w:t>
      </w:r>
      <w:r w:rsidRPr="003D733D">
        <w:rPr>
          <w:rFonts w:ascii="Sylfaen" w:hAnsi="Sylfaen" w:cs="Sylfaen"/>
        </w:rPr>
        <w:t>ღამის</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წილის</w:t>
      </w:r>
      <w:r w:rsidRPr="003D733D">
        <w:t xml:space="preserve"> </w:t>
      </w:r>
      <w:r w:rsidRPr="003D733D">
        <w:rPr>
          <w:rFonts w:ascii="Sylfaen" w:hAnsi="Sylfaen" w:cs="Sylfaen"/>
        </w:rPr>
        <w:t>შეფასებასთან</w:t>
      </w:r>
      <w:r w:rsidRPr="003D733D">
        <w:t xml:space="preserve"> </w:t>
      </w:r>
      <w:r w:rsidRPr="003D733D">
        <w:rPr>
          <w:rFonts w:ascii="Sylfaen" w:hAnsi="Sylfaen" w:cs="Sylfaen"/>
        </w:rPr>
        <w:t>ერთად</w:t>
      </w:r>
      <w:r w:rsidRPr="003D733D">
        <w:t>.</w:t>
      </w:r>
    </w:p>
    <w:p w14:paraId="3E076DB2" w14:textId="77777777" w:rsidR="00F8565C" w:rsidRPr="003D733D" w:rsidRDefault="00F8565C" w:rsidP="000B139D">
      <w:pPr>
        <w:spacing w:before="120" w:after="120"/>
      </w:pPr>
      <w:r w:rsidRPr="003D733D">
        <w:rPr>
          <w:rFonts w:ascii="Sylfaen" w:hAnsi="Sylfaen" w:cs="Sylfaen"/>
        </w:rPr>
        <w:t>საწყისი</w:t>
      </w:r>
      <w:r w:rsidRPr="003D733D">
        <w:t xml:space="preserve"> </w:t>
      </w:r>
      <w:r w:rsidRPr="003D733D">
        <w:rPr>
          <w:rFonts w:ascii="Sylfaen" w:hAnsi="Sylfaen" w:cs="Sylfaen"/>
        </w:rPr>
        <w:t>და</w:t>
      </w:r>
      <w:r w:rsidRPr="003D733D">
        <w:t xml:space="preserve"> </w:t>
      </w:r>
      <w:r w:rsidRPr="003D733D">
        <w:rPr>
          <w:rFonts w:ascii="Sylfaen" w:hAnsi="Sylfaen" w:cs="Sylfaen"/>
        </w:rPr>
        <w:t>საბოლოო</w:t>
      </w:r>
      <w:r w:rsidRPr="003D733D">
        <w:t xml:space="preserve"> </w:t>
      </w:r>
      <w:r w:rsidRPr="003D733D">
        <w:rPr>
          <w:rFonts w:ascii="Sylfaen" w:hAnsi="Sylfaen" w:cs="Sylfaen"/>
        </w:rPr>
        <w:t>პუნქტების</w:t>
      </w:r>
      <w:r w:rsidRPr="003D733D">
        <w:t xml:space="preserve"> </w:t>
      </w:r>
      <w:r w:rsidRPr="003D733D">
        <w:rPr>
          <w:rFonts w:ascii="Sylfaen" w:hAnsi="Sylfaen" w:cs="Sylfaen"/>
        </w:rPr>
        <w:t>გამოკითხვები</w:t>
      </w:r>
      <w:r w:rsidRPr="003D733D">
        <w:t xml:space="preserve">: </w:t>
      </w:r>
      <w:r w:rsidRPr="003D733D">
        <w:rPr>
          <w:rFonts w:ascii="Sylfaen" w:hAnsi="Sylfaen" w:cs="Sylfaen"/>
        </w:rPr>
        <w:t>პოლიციის</w:t>
      </w:r>
      <w:r w:rsidRPr="003D733D">
        <w:t xml:space="preserve"> </w:t>
      </w:r>
      <w:r w:rsidRPr="003D733D">
        <w:rPr>
          <w:rFonts w:ascii="Sylfaen" w:hAnsi="Sylfaen" w:cs="Sylfaen"/>
        </w:rPr>
        <w:t>დახმარებით</w:t>
      </w:r>
      <w:r w:rsidRPr="003D733D">
        <w:t xml:space="preserve">, </w:t>
      </w:r>
      <w:r w:rsidRPr="003D733D">
        <w:rPr>
          <w:rFonts w:ascii="Sylfaen" w:hAnsi="Sylfaen" w:cs="Sylfaen"/>
        </w:rPr>
        <w:t>წარმოებდა</w:t>
      </w:r>
      <w:r w:rsidRPr="003D733D">
        <w:t xml:space="preserve"> </w:t>
      </w:r>
      <w:r w:rsidRPr="003D733D">
        <w:rPr>
          <w:rFonts w:ascii="Sylfaen" w:hAnsi="Sylfaen" w:cs="Sylfaen"/>
        </w:rPr>
        <w:t>ავტომობილების</w:t>
      </w:r>
      <w:r w:rsidRPr="003D733D">
        <w:t xml:space="preserve"> </w:t>
      </w:r>
      <w:r w:rsidRPr="003D733D">
        <w:rPr>
          <w:rFonts w:ascii="Sylfaen" w:hAnsi="Sylfaen" w:cs="Sylfaen"/>
        </w:rPr>
        <w:t>გზისპირას</w:t>
      </w:r>
      <w:r w:rsidRPr="003D733D">
        <w:t xml:space="preserve"> </w:t>
      </w:r>
      <w:r w:rsidRPr="003D733D">
        <w:rPr>
          <w:rFonts w:ascii="Sylfaen" w:hAnsi="Sylfaen" w:cs="Sylfaen"/>
        </w:rPr>
        <w:t>გაჩერება</w:t>
      </w:r>
      <w:r w:rsidRPr="003D733D">
        <w:t xml:space="preserve"> </w:t>
      </w:r>
      <w:r w:rsidRPr="003D733D">
        <w:rPr>
          <w:rFonts w:ascii="Sylfaen" w:hAnsi="Sylfaen" w:cs="Sylfaen"/>
        </w:rPr>
        <w:t>და</w:t>
      </w:r>
      <w:r w:rsidRPr="003D733D">
        <w:t xml:space="preserve"> </w:t>
      </w:r>
      <w:r w:rsidRPr="003D733D">
        <w:rPr>
          <w:rFonts w:ascii="Sylfaen" w:hAnsi="Sylfaen" w:cs="Sylfaen"/>
        </w:rPr>
        <w:t>მძღოლების</w:t>
      </w:r>
      <w:r w:rsidRPr="003D733D">
        <w:t xml:space="preserve"> </w:t>
      </w:r>
      <w:r w:rsidRPr="003D733D">
        <w:rPr>
          <w:rFonts w:ascii="Sylfaen" w:hAnsi="Sylfaen" w:cs="Sylfaen"/>
        </w:rPr>
        <w:t>გამოკითხვა</w:t>
      </w:r>
      <w:r w:rsidRPr="003D733D">
        <w:t xml:space="preserve"> </w:t>
      </w:r>
      <w:r w:rsidRPr="003D733D">
        <w:rPr>
          <w:rFonts w:ascii="Sylfaen" w:hAnsi="Sylfaen" w:cs="Sylfaen"/>
        </w:rPr>
        <w:t>მათი</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შესახებ</w:t>
      </w:r>
      <w:r w:rsidRPr="003D733D">
        <w:t>.</w:t>
      </w:r>
    </w:p>
    <w:p w14:paraId="3E08110B" w14:textId="77777777" w:rsidR="00F8565C" w:rsidRPr="003D733D" w:rsidRDefault="00F8565C" w:rsidP="000B139D">
      <w:pPr>
        <w:spacing w:before="120" w:after="120"/>
      </w:pPr>
      <w:r w:rsidRPr="003D733D">
        <w:rPr>
          <w:rFonts w:ascii="Sylfaen" w:hAnsi="Sylfaen" w:cs="Sylfaen"/>
        </w:rPr>
        <w:t>გამოკითხვის</w:t>
      </w:r>
      <w:r w:rsidRPr="003D733D">
        <w:t xml:space="preserve"> </w:t>
      </w:r>
      <w:r w:rsidRPr="003D733D">
        <w:rPr>
          <w:rFonts w:ascii="Sylfaen" w:hAnsi="Sylfaen" w:cs="Sylfaen"/>
        </w:rPr>
        <w:t>პროცესში</w:t>
      </w:r>
      <w:r w:rsidRPr="003D733D">
        <w:t xml:space="preserve"> </w:t>
      </w:r>
      <w:r w:rsidRPr="003D733D">
        <w:rPr>
          <w:rFonts w:ascii="Sylfaen" w:hAnsi="Sylfaen" w:cs="Sylfaen"/>
        </w:rPr>
        <w:t>დაფიქსირდება</w:t>
      </w:r>
      <w:r w:rsidRPr="003D733D">
        <w:t xml:space="preserve"> </w:t>
      </w:r>
      <w:r w:rsidRPr="003D733D">
        <w:rPr>
          <w:rFonts w:ascii="Sylfaen" w:hAnsi="Sylfaen" w:cs="Sylfaen"/>
        </w:rPr>
        <w:t>შემდეგი</w:t>
      </w:r>
      <w:r w:rsidRPr="003D733D">
        <w:t xml:space="preserve"> </w:t>
      </w:r>
      <w:r w:rsidRPr="003D733D">
        <w:rPr>
          <w:rFonts w:ascii="Sylfaen" w:hAnsi="Sylfaen" w:cs="Sylfaen"/>
        </w:rPr>
        <w:t>ინფორმაცია</w:t>
      </w:r>
      <w:r w:rsidRPr="003D733D">
        <w:t>:</w:t>
      </w:r>
    </w:p>
    <w:p w14:paraId="5682A27E" w14:textId="77777777" w:rsidR="00F8565C" w:rsidRPr="003D733D" w:rsidRDefault="00F8565C" w:rsidP="000B139D">
      <w:pPr>
        <w:spacing w:before="120" w:after="120"/>
      </w:pPr>
      <w:r w:rsidRPr="003D733D">
        <w:rPr>
          <w:rFonts w:ascii="Sylfaen" w:hAnsi="Sylfaen" w:cs="Sylfaen"/>
        </w:rPr>
        <w:t>გამოკითხვის</w:t>
      </w:r>
      <w:r w:rsidRPr="003D733D">
        <w:t xml:space="preserve"> </w:t>
      </w:r>
      <w:r w:rsidRPr="003D733D">
        <w:rPr>
          <w:rFonts w:ascii="Sylfaen" w:hAnsi="Sylfaen" w:cs="Sylfaen"/>
        </w:rPr>
        <w:t>დრო</w:t>
      </w:r>
    </w:p>
    <w:p w14:paraId="6CA0B142" w14:textId="77777777" w:rsidR="00F8565C" w:rsidRPr="003D733D" w:rsidRDefault="00F8565C" w:rsidP="000B139D">
      <w:pPr>
        <w:spacing w:before="120" w:after="120"/>
      </w:pPr>
      <w:r w:rsidRPr="003D733D">
        <w:rPr>
          <w:rFonts w:ascii="Sylfaen" w:hAnsi="Sylfaen" w:cs="Sylfaen"/>
        </w:rPr>
        <w:t>ავტომობილის</w:t>
      </w:r>
      <w:r w:rsidRPr="003D733D">
        <w:t xml:space="preserve"> </w:t>
      </w:r>
      <w:r w:rsidRPr="003D733D">
        <w:rPr>
          <w:rFonts w:ascii="Sylfaen" w:hAnsi="Sylfaen" w:cs="Sylfaen"/>
        </w:rPr>
        <w:t>კატეგორია</w:t>
      </w:r>
    </w:p>
    <w:p w14:paraId="6BBD29FC" w14:textId="77777777" w:rsidR="00F8565C" w:rsidRPr="003D733D" w:rsidRDefault="00F8565C" w:rsidP="000B139D">
      <w:pPr>
        <w:spacing w:before="120" w:after="120"/>
      </w:pPr>
      <w:r w:rsidRPr="003D733D">
        <w:rPr>
          <w:rFonts w:ascii="Sylfaen" w:hAnsi="Sylfaen" w:cs="Sylfaen"/>
        </w:rPr>
        <w:t>ავტომობილში</w:t>
      </w:r>
      <w:r w:rsidRPr="003D733D">
        <w:t xml:space="preserve"> </w:t>
      </w:r>
      <w:r w:rsidRPr="003D733D">
        <w:rPr>
          <w:rFonts w:ascii="Sylfaen" w:hAnsi="Sylfaen" w:cs="Sylfaen"/>
        </w:rPr>
        <w:t>მსხდომი</w:t>
      </w:r>
      <w:r w:rsidRPr="003D733D">
        <w:t xml:space="preserve"> </w:t>
      </w:r>
      <w:r w:rsidRPr="003D733D">
        <w:rPr>
          <w:rFonts w:ascii="Sylfaen" w:hAnsi="Sylfaen" w:cs="Sylfaen"/>
        </w:rPr>
        <w:t>პირების</w:t>
      </w:r>
      <w:r w:rsidRPr="003D733D">
        <w:t xml:space="preserve"> </w:t>
      </w:r>
      <w:r w:rsidRPr="003D733D">
        <w:rPr>
          <w:rFonts w:ascii="Sylfaen" w:hAnsi="Sylfaen" w:cs="Sylfaen"/>
        </w:rPr>
        <w:t>რაოდენობა</w:t>
      </w:r>
    </w:p>
    <w:p w14:paraId="53008FDF" w14:textId="77777777" w:rsidR="00F8565C" w:rsidRPr="003D733D" w:rsidRDefault="00F8565C" w:rsidP="000B139D">
      <w:pPr>
        <w:spacing w:before="120" w:after="120"/>
      </w:pPr>
      <w:r w:rsidRPr="003D733D">
        <w:rPr>
          <w:rFonts w:ascii="Sylfaen" w:hAnsi="Sylfaen" w:cs="Sylfaen"/>
        </w:rPr>
        <w:t>მოძრაობის</w:t>
      </w:r>
      <w:r w:rsidRPr="003D733D">
        <w:t xml:space="preserve"> </w:t>
      </w:r>
      <w:r w:rsidRPr="003D733D">
        <w:rPr>
          <w:rFonts w:ascii="Sylfaen" w:hAnsi="Sylfaen" w:cs="Sylfaen"/>
        </w:rPr>
        <w:t>საწყისი</w:t>
      </w:r>
      <w:r w:rsidRPr="003D733D">
        <w:t xml:space="preserve"> </w:t>
      </w:r>
      <w:r w:rsidRPr="003D733D">
        <w:rPr>
          <w:rFonts w:ascii="Sylfaen" w:hAnsi="Sylfaen" w:cs="Sylfaen"/>
        </w:rPr>
        <w:t>პუნქტი</w:t>
      </w:r>
    </w:p>
    <w:p w14:paraId="579C4A6F" w14:textId="77777777" w:rsidR="00F8565C" w:rsidRPr="003D733D" w:rsidRDefault="00F8565C" w:rsidP="000B139D">
      <w:pPr>
        <w:spacing w:before="120" w:after="120"/>
      </w:pPr>
      <w:r w:rsidRPr="003D733D">
        <w:rPr>
          <w:rFonts w:ascii="Sylfaen" w:hAnsi="Sylfaen" w:cs="Sylfaen"/>
        </w:rPr>
        <w:t>მოძრაობის</w:t>
      </w:r>
      <w:r w:rsidRPr="003D733D">
        <w:t xml:space="preserve"> </w:t>
      </w:r>
      <w:r w:rsidRPr="003D733D">
        <w:rPr>
          <w:rFonts w:ascii="Sylfaen" w:hAnsi="Sylfaen" w:cs="Sylfaen"/>
        </w:rPr>
        <w:t>საბოლოო</w:t>
      </w:r>
      <w:r w:rsidRPr="003D733D">
        <w:t xml:space="preserve"> (</w:t>
      </w:r>
      <w:r w:rsidRPr="003D733D">
        <w:rPr>
          <w:rFonts w:ascii="Sylfaen" w:hAnsi="Sylfaen" w:cs="Sylfaen"/>
        </w:rPr>
        <w:t>დანიშნულების</w:t>
      </w:r>
      <w:r w:rsidRPr="003D733D">
        <w:t xml:space="preserve">) </w:t>
      </w:r>
      <w:r w:rsidRPr="003D733D">
        <w:rPr>
          <w:rFonts w:ascii="Sylfaen" w:hAnsi="Sylfaen" w:cs="Sylfaen"/>
        </w:rPr>
        <w:t>პუნქტი</w:t>
      </w:r>
    </w:p>
    <w:p w14:paraId="21E057CC" w14:textId="77777777" w:rsidR="00F8565C" w:rsidRPr="003D733D" w:rsidRDefault="00F8565C" w:rsidP="000B139D">
      <w:pPr>
        <w:spacing w:before="120" w:after="120"/>
      </w:pPr>
      <w:r w:rsidRPr="003D733D">
        <w:rPr>
          <w:rFonts w:ascii="Sylfaen" w:hAnsi="Sylfaen" w:cs="Sylfaen"/>
        </w:rPr>
        <w:t>მგზავრობის</w:t>
      </w:r>
      <w:r w:rsidRPr="003D733D">
        <w:t xml:space="preserve"> </w:t>
      </w:r>
      <w:r w:rsidRPr="003D733D">
        <w:rPr>
          <w:rFonts w:ascii="Sylfaen" w:hAnsi="Sylfaen" w:cs="Sylfaen"/>
        </w:rPr>
        <w:t>მიზანი</w:t>
      </w:r>
    </w:p>
    <w:p w14:paraId="3694EDEC" w14:textId="77777777" w:rsidR="00F8565C" w:rsidRPr="003D733D" w:rsidRDefault="00F8565C" w:rsidP="000B139D">
      <w:pPr>
        <w:spacing w:before="120" w:after="120"/>
      </w:pPr>
      <w:r w:rsidRPr="003D733D">
        <w:rPr>
          <w:rFonts w:ascii="Sylfaen" w:hAnsi="Sylfaen" w:cs="Sylfaen"/>
        </w:rPr>
        <w:t>მოძრაობის</w:t>
      </w:r>
      <w:r w:rsidRPr="003D733D">
        <w:t xml:space="preserve"> </w:t>
      </w:r>
      <w:r w:rsidRPr="003D733D">
        <w:rPr>
          <w:rFonts w:ascii="Sylfaen" w:hAnsi="Sylfaen" w:cs="Sylfaen"/>
        </w:rPr>
        <w:t>სიხშირე</w:t>
      </w:r>
    </w:p>
    <w:p w14:paraId="0A785526" w14:textId="77777777" w:rsidR="00F8565C" w:rsidRPr="003D733D" w:rsidRDefault="00F8565C" w:rsidP="000B139D">
      <w:pPr>
        <w:spacing w:before="120" w:after="120"/>
      </w:pPr>
      <w:r w:rsidRPr="003D733D">
        <w:rPr>
          <w:rFonts w:ascii="Sylfaen" w:hAnsi="Sylfaen" w:cs="Sylfaen"/>
        </w:rPr>
        <w:t>გადაზიდული</w:t>
      </w:r>
      <w:r w:rsidRPr="003D733D">
        <w:t xml:space="preserve"> </w:t>
      </w:r>
      <w:r w:rsidRPr="003D733D">
        <w:rPr>
          <w:rFonts w:ascii="Sylfaen" w:hAnsi="Sylfaen" w:cs="Sylfaen"/>
        </w:rPr>
        <w:t>საქონელი</w:t>
      </w:r>
      <w:r w:rsidRPr="003D733D">
        <w:t xml:space="preserve"> (</w:t>
      </w:r>
      <w:r w:rsidRPr="003D733D">
        <w:rPr>
          <w:rFonts w:ascii="Sylfaen" w:hAnsi="Sylfaen" w:cs="Sylfaen"/>
        </w:rPr>
        <w:t>ასეთის</w:t>
      </w:r>
      <w:r w:rsidRPr="003D733D">
        <w:t xml:space="preserve"> </w:t>
      </w:r>
      <w:r w:rsidRPr="003D733D">
        <w:rPr>
          <w:rFonts w:ascii="Sylfaen" w:hAnsi="Sylfaen" w:cs="Sylfaen"/>
        </w:rPr>
        <w:t>არსებობის</w:t>
      </w:r>
      <w:r w:rsidRPr="003D733D">
        <w:t xml:space="preserve"> </w:t>
      </w:r>
      <w:r w:rsidRPr="003D733D">
        <w:rPr>
          <w:rFonts w:ascii="Sylfaen" w:hAnsi="Sylfaen" w:cs="Sylfaen"/>
        </w:rPr>
        <w:t>შემთხვევაში</w:t>
      </w:r>
      <w:r w:rsidRPr="003D733D">
        <w:t>)</w:t>
      </w:r>
    </w:p>
    <w:p w14:paraId="4567412F" w14:textId="77777777" w:rsidR="00F8565C" w:rsidRPr="003D733D" w:rsidRDefault="00F8565C" w:rsidP="000B139D">
      <w:pPr>
        <w:spacing w:before="120" w:after="120"/>
      </w:pPr>
      <w:r w:rsidRPr="003D733D">
        <w:rPr>
          <w:rFonts w:ascii="Sylfaen" w:hAnsi="Sylfaen" w:cs="Sylfaen"/>
        </w:rPr>
        <w:t>საწყისი</w:t>
      </w:r>
      <w:r w:rsidRPr="003D733D">
        <w:t xml:space="preserve"> </w:t>
      </w:r>
      <w:r w:rsidRPr="003D733D">
        <w:rPr>
          <w:rFonts w:ascii="Sylfaen" w:hAnsi="Sylfaen" w:cs="Sylfaen"/>
        </w:rPr>
        <w:t>და</w:t>
      </w:r>
      <w:r w:rsidRPr="003D733D">
        <w:t xml:space="preserve"> </w:t>
      </w:r>
      <w:r w:rsidRPr="003D733D">
        <w:rPr>
          <w:rFonts w:ascii="Sylfaen" w:hAnsi="Sylfaen" w:cs="Sylfaen"/>
        </w:rPr>
        <w:t>საბოლოო</w:t>
      </w:r>
      <w:r w:rsidRPr="003D733D">
        <w:t xml:space="preserve"> </w:t>
      </w:r>
      <w:r w:rsidRPr="003D733D">
        <w:rPr>
          <w:rFonts w:ascii="Sylfaen" w:hAnsi="Sylfaen" w:cs="Sylfaen"/>
        </w:rPr>
        <w:t>პუნქტების</w:t>
      </w:r>
      <w:r w:rsidRPr="003D733D">
        <w:t xml:space="preserve"> </w:t>
      </w:r>
      <w:r w:rsidRPr="003D733D">
        <w:rPr>
          <w:rFonts w:ascii="Sylfaen" w:hAnsi="Sylfaen" w:cs="Sylfaen"/>
        </w:rPr>
        <w:t>გამოკითხვები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ნაკადის</w:t>
      </w:r>
      <w:r w:rsidRPr="003D733D">
        <w:t xml:space="preserve"> </w:t>
      </w:r>
      <w:r w:rsidRPr="003D733D">
        <w:rPr>
          <w:rFonts w:ascii="Sylfaen" w:hAnsi="Sylfaen" w:cs="Sylfaen"/>
        </w:rPr>
        <w:t>თანმხლებ</w:t>
      </w:r>
      <w:r w:rsidRPr="003D733D">
        <w:t xml:space="preserve"> </w:t>
      </w:r>
      <w:r w:rsidRPr="003D733D">
        <w:rPr>
          <w:rFonts w:ascii="Sylfaen" w:hAnsi="Sylfaen" w:cs="Sylfaen"/>
        </w:rPr>
        <w:t>დათვლებთან</w:t>
      </w:r>
      <w:r w:rsidRPr="003D733D">
        <w:t xml:space="preserve"> </w:t>
      </w:r>
      <w:r w:rsidRPr="003D733D">
        <w:rPr>
          <w:rFonts w:ascii="Sylfaen" w:hAnsi="Sylfaen" w:cs="Sylfaen"/>
        </w:rPr>
        <w:t>ერთად</w:t>
      </w:r>
      <w:r w:rsidRPr="003D733D">
        <w:t xml:space="preserve"> </w:t>
      </w:r>
      <w:r w:rsidRPr="003D733D">
        <w:rPr>
          <w:rFonts w:ascii="Sylfaen" w:hAnsi="Sylfaen" w:cs="Sylfaen"/>
        </w:rPr>
        <w:t>შესრულდა</w:t>
      </w:r>
      <w:r w:rsidRPr="003D733D">
        <w:t xml:space="preserve"> 2017 </w:t>
      </w:r>
      <w:r w:rsidRPr="003D733D">
        <w:rPr>
          <w:rFonts w:ascii="Sylfaen" w:hAnsi="Sylfaen" w:cs="Sylfaen"/>
        </w:rPr>
        <w:t>წლის</w:t>
      </w:r>
      <w:r w:rsidRPr="003D733D">
        <w:t xml:space="preserve"> 19-</w:t>
      </w:r>
      <w:r w:rsidRPr="003D733D">
        <w:rPr>
          <w:rFonts w:ascii="Sylfaen" w:hAnsi="Sylfaen" w:cs="Sylfaen"/>
        </w:rPr>
        <w:t>დან</w:t>
      </w:r>
      <w:r w:rsidRPr="003D733D">
        <w:t xml:space="preserve"> 22 </w:t>
      </w:r>
      <w:r w:rsidRPr="003D733D">
        <w:rPr>
          <w:rFonts w:ascii="Sylfaen" w:hAnsi="Sylfaen" w:cs="Sylfaen"/>
        </w:rPr>
        <w:t>ივნისის</w:t>
      </w:r>
      <w:r w:rsidRPr="003D733D">
        <w:t xml:space="preserve"> </w:t>
      </w:r>
      <w:r w:rsidRPr="003D733D">
        <w:rPr>
          <w:rFonts w:ascii="Sylfaen" w:hAnsi="Sylfaen" w:cs="Sylfaen"/>
        </w:rPr>
        <w:t>ჩათვლით</w:t>
      </w:r>
      <w:r w:rsidRPr="003D733D">
        <w:t xml:space="preserve">, </w:t>
      </w:r>
      <w:r w:rsidRPr="003D733D">
        <w:rPr>
          <w:rFonts w:ascii="Sylfaen" w:hAnsi="Sylfaen" w:cs="Sylfaen"/>
        </w:rPr>
        <w:t>ყოველდღიურად</w:t>
      </w:r>
      <w:r w:rsidRPr="003D733D">
        <w:t xml:space="preserve"> </w:t>
      </w:r>
      <w:r w:rsidRPr="003D733D">
        <w:rPr>
          <w:rFonts w:ascii="Sylfaen" w:hAnsi="Sylfaen" w:cs="Sylfaen"/>
        </w:rPr>
        <w:t>თითოეული</w:t>
      </w:r>
      <w:r w:rsidRPr="003D733D">
        <w:t xml:space="preserve"> </w:t>
      </w:r>
      <w:r w:rsidRPr="003D733D">
        <w:rPr>
          <w:rFonts w:ascii="Sylfaen" w:hAnsi="Sylfaen" w:cs="Sylfaen"/>
        </w:rPr>
        <w:t>მიმართულების</w:t>
      </w:r>
      <w:r w:rsidRPr="003D733D">
        <w:t xml:space="preserve"> </w:t>
      </w:r>
      <w:r w:rsidRPr="003D733D">
        <w:rPr>
          <w:rFonts w:ascii="Sylfaen" w:hAnsi="Sylfaen" w:cs="Sylfaen"/>
        </w:rPr>
        <w:t>მომცველი</w:t>
      </w:r>
      <w:r w:rsidRPr="003D733D">
        <w:t xml:space="preserve"> </w:t>
      </w:r>
      <w:r w:rsidRPr="003D733D">
        <w:rPr>
          <w:rFonts w:ascii="Sylfaen" w:hAnsi="Sylfaen" w:cs="Sylfaen"/>
        </w:rPr>
        <w:t>თითო</w:t>
      </w:r>
      <w:r w:rsidRPr="003D733D">
        <w:t xml:space="preserve"> 12-</w:t>
      </w:r>
      <w:r w:rsidRPr="003D733D">
        <w:rPr>
          <w:rFonts w:ascii="Sylfaen" w:hAnsi="Sylfaen" w:cs="Sylfaen"/>
        </w:rPr>
        <w:t>საათიანი</w:t>
      </w:r>
      <w:r w:rsidRPr="003D733D">
        <w:t xml:space="preserve"> (08:00-18:00) </w:t>
      </w:r>
      <w:r w:rsidRPr="003D733D">
        <w:rPr>
          <w:rFonts w:ascii="Sylfaen" w:hAnsi="Sylfaen" w:cs="Sylfaen"/>
        </w:rPr>
        <w:t>სამუშაო</w:t>
      </w:r>
      <w:r w:rsidRPr="003D733D">
        <w:t xml:space="preserve"> </w:t>
      </w:r>
      <w:r w:rsidRPr="003D733D">
        <w:rPr>
          <w:rFonts w:ascii="Sylfaen" w:hAnsi="Sylfaen" w:cs="Sylfaen"/>
        </w:rPr>
        <w:t>ციკლების</w:t>
      </w:r>
      <w:r w:rsidRPr="003D733D">
        <w:t xml:space="preserve"> </w:t>
      </w:r>
      <w:r w:rsidRPr="003D733D">
        <w:rPr>
          <w:rFonts w:ascii="Sylfaen" w:hAnsi="Sylfaen" w:cs="Sylfaen"/>
        </w:rPr>
        <w:t>სახით</w:t>
      </w:r>
      <w:r w:rsidRPr="003D733D">
        <w:t>.</w:t>
      </w:r>
    </w:p>
    <w:p w14:paraId="253C92A0" w14:textId="77777777" w:rsidR="00F8565C" w:rsidRPr="003D733D" w:rsidRDefault="00F8565C" w:rsidP="00F8565C"/>
    <w:p w14:paraId="1FD1C2D8" w14:textId="6355686A" w:rsidR="00F8565C" w:rsidRPr="003D733D" w:rsidRDefault="00F8565C" w:rsidP="000B139D">
      <w:pPr>
        <w:pStyle w:val="Heading3"/>
      </w:pPr>
      <w:bookmarkStart w:id="62" w:name="_Toc529977359"/>
      <w:bookmarkStart w:id="63" w:name="_Toc494412111"/>
      <w:bookmarkStart w:id="64" w:name="_Toc494411970"/>
      <w:bookmarkStart w:id="65" w:name="_Toc494297155"/>
      <w:bookmarkStart w:id="66" w:name="_Toc359661744"/>
      <w:bookmarkStart w:id="67" w:name="_Toc1581498"/>
      <w:r w:rsidRPr="003D733D">
        <w:t>4.</w:t>
      </w:r>
      <w:r w:rsidR="000B139D">
        <w:t>7.1</w:t>
      </w:r>
      <w:r w:rsidRPr="003D733D">
        <w:t xml:space="preserve"> </w:t>
      </w:r>
      <w:r w:rsidRPr="003D733D">
        <w:rPr>
          <w:rFonts w:ascii="Sylfaen" w:hAnsi="Sylfaen" w:cs="Sylfaen"/>
        </w:rPr>
        <w:t>საბაზისო</w:t>
      </w:r>
      <w:r w:rsidRPr="003D733D">
        <w:t xml:space="preserve"> (2017) </w:t>
      </w:r>
      <w:r w:rsidRPr="003D733D">
        <w:rPr>
          <w:rFonts w:ascii="Sylfaen" w:hAnsi="Sylfaen" w:cs="Sylfaen"/>
        </w:rPr>
        <w:t>წლის</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მოძრაობა</w:t>
      </w:r>
      <w:bookmarkEnd w:id="62"/>
      <w:bookmarkEnd w:id="63"/>
      <w:bookmarkEnd w:id="64"/>
      <w:bookmarkEnd w:id="65"/>
      <w:bookmarkEnd w:id="66"/>
      <w:bookmarkEnd w:id="67"/>
    </w:p>
    <w:p w14:paraId="41327263" w14:textId="77777777" w:rsidR="00F8565C" w:rsidRPr="003D733D" w:rsidRDefault="00F8565C" w:rsidP="000B139D">
      <w:pPr>
        <w:spacing w:before="120" w:after="120"/>
        <w:rPr>
          <w:rFonts w:eastAsia="Calibri"/>
        </w:rPr>
      </w:pP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ნაკადის</w:t>
      </w:r>
      <w:r w:rsidRPr="003D733D">
        <w:rPr>
          <w:rFonts w:eastAsia="Calibri"/>
        </w:rPr>
        <w:t xml:space="preserve"> </w:t>
      </w:r>
      <w:r w:rsidRPr="003D733D">
        <w:rPr>
          <w:rFonts w:ascii="Sylfaen" w:eastAsia="Calibri" w:hAnsi="Sylfaen" w:cs="Sylfaen"/>
        </w:rPr>
        <w:t>კლასიფიცირებული</w:t>
      </w:r>
      <w:r w:rsidRPr="003D733D">
        <w:rPr>
          <w:rFonts w:eastAsia="Calibri"/>
        </w:rPr>
        <w:t xml:space="preserve"> </w:t>
      </w:r>
      <w:r w:rsidRPr="003D733D">
        <w:rPr>
          <w:rFonts w:ascii="Sylfaen" w:eastAsia="Calibri" w:hAnsi="Sylfaen" w:cs="Sylfaen"/>
        </w:rPr>
        <w:t>დათვლების</w:t>
      </w:r>
      <w:r w:rsidRPr="003D733D">
        <w:rPr>
          <w:rFonts w:eastAsia="Calibri"/>
        </w:rPr>
        <w:t xml:space="preserve"> (MCC)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გადამხვევი</w:t>
      </w:r>
      <w:r w:rsidRPr="003D733D">
        <w:rPr>
          <w:rFonts w:eastAsia="Calibri"/>
        </w:rPr>
        <w:t xml:space="preserve"> </w:t>
      </w: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ნაკადის</w:t>
      </w:r>
      <w:r w:rsidRPr="003D733D">
        <w:rPr>
          <w:rFonts w:eastAsia="Calibri"/>
        </w:rPr>
        <w:t xml:space="preserve"> </w:t>
      </w:r>
      <w:r w:rsidRPr="003D733D">
        <w:rPr>
          <w:rFonts w:ascii="Sylfaen" w:eastAsia="Calibri" w:hAnsi="Sylfaen" w:cs="Sylfaen"/>
        </w:rPr>
        <w:t>დათვლების</w:t>
      </w:r>
      <w:r w:rsidRPr="003D733D">
        <w:rPr>
          <w:rFonts w:eastAsia="Calibri"/>
        </w:rPr>
        <w:t xml:space="preserve"> (TMC) </w:t>
      </w:r>
      <w:r w:rsidRPr="003D733D">
        <w:rPr>
          <w:rFonts w:ascii="Sylfaen" w:eastAsia="Calibri" w:hAnsi="Sylfaen" w:cs="Sylfaen"/>
        </w:rPr>
        <w:t>შედეგების</w:t>
      </w:r>
      <w:r w:rsidRPr="003D733D">
        <w:rPr>
          <w:rFonts w:eastAsia="Calibri"/>
        </w:rPr>
        <w:t xml:space="preserve"> </w:t>
      </w:r>
      <w:r w:rsidRPr="003D733D">
        <w:rPr>
          <w:rFonts w:ascii="Sylfaen" w:eastAsia="Calibri" w:hAnsi="Sylfaen" w:cs="Sylfaen"/>
        </w:rPr>
        <w:t>საშუალებით</w:t>
      </w:r>
      <w:r w:rsidRPr="003D733D">
        <w:rPr>
          <w:rFonts w:eastAsia="Calibri"/>
        </w:rPr>
        <w:t xml:space="preserve">, </w:t>
      </w:r>
      <w:r w:rsidRPr="003D733D">
        <w:rPr>
          <w:rFonts w:ascii="Sylfaen" w:eastAsia="Calibri" w:hAnsi="Sylfaen" w:cs="Sylfaen"/>
        </w:rPr>
        <w:t>ეკონომიკური</w:t>
      </w:r>
      <w:r w:rsidRPr="003D733D">
        <w:rPr>
          <w:rFonts w:eastAsia="Calibri"/>
        </w:rPr>
        <w:t xml:space="preserve"> </w:t>
      </w:r>
      <w:r w:rsidRPr="003D733D">
        <w:rPr>
          <w:rFonts w:ascii="Sylfaen" w:eastAsia="Calibri" w:hAnsi="Sylfaen" w:cs="Sylfaen"/>
        </w:rPr>
        <w:t>ანალიზისთვის</w:t>
      </w:r>
      <w:r w:rsidRPr="003D733D">
        <w:rPr>
          <w:rFonts w:eastAsia="Calibri"/>
        </w:rPr>
        <w:t xml:space="preserve">, </w:t>
      </w:r>
      <w:r w:rsidRPr="003D733D">
        <w:rPr>
          <w:rFonts w:ascii="Sylfaen" w:eastAsia="Calibri" w:hAnsi="Sylfaen" w:cs="Sylfaen"/>
        </w:rPr>
        <w:t>ცალკეული</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მონაკვეთების</w:t>
      </w:r>
      <w:r w:rsidRPr="003D733D">
        <w:rPr>
          <w:rFonts w:eastAsia="Calibri"/>
        </w:rPr>
        <w:t xml:space="preserve"> </w:t>
      </w:r>
      <w:r w:rsidRPr="003D733D">
        <w:rPr>
          <w:rFonts w:ascii="Sylfaen" w:eastAsia="Calibri" w:hAnsi="Sylfaen" w:cs="Sylfaen"/>
        </w:rPr>
        <w:t>მიხედვით</w:t>
      </w:r>
      <w:r w:rsidRPr="003D733D">
        <w:rPr>
          <w:rFonts w:eastAsia="Calibri"/>
        </w:rPr>
        <w:t xml:space="preserve"> </w:t>
      </w:r>
      <w:r w:rsidRPr="003D733D">
        <w:rPr>
          <w:rFonts w:ascii="Sylfaen" w:eastAsia="Calibri" w:hAnsi="Sylfaen" w:cs="Sylfaen"/>
        </w:rPr>
        <w:t>გაანგარიშდა</w:t>
      </w:r>
      <w:r w:rsidRPr="003D733D">
        <w:rPr>
          <w:rFonts w:eastAsia="Calibri"/>
        </w:rPr>
        <w:t xml:space="preserve"> 2017 </w:t>
      </w:r>
      <w:r w:rsidRPr="003D733D">
        <w:rPr>
          <w:rFonts w:ascii="Sylfaen" w:eastAsia="Calibri" w:hAnsi="Sylfaen" w:cs="Sylfaen"/>
        </w:rPr>
        <w:t>წლის</w:t>
      </w:r>
      <w:r w:rsidRPr="003D733D">
        <w:rPr>
          <w:rFonts w:eastAsia="Calibri"/>
        </w:rPr>
        <w:t xml:space="preserve"> “</w:t>
      </w:r>
      <w:r w:rsidRPr="003D733D">
        <w:rPr>
          <w:rFonts w:ascii="Sylfaen" w:eastAsia="Calibri" w:hAnsi="Sylfaen" w:cs="Sylfaen"/>
        </w:rPr>
        <w:t>წლიური</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საშუალო</w:t>
      </w:r>
      <w:r w:rsidRPr="003D733D">
        <w:rPr>
          <w:rFonts w:eastAsia="Calibri"/>
        </w:rPr>
        <w:t xml:space="preserve"> </w:t>
      </w:r>
      <w:r w:rsidRPr="003D733D">
        <w:rPr>
          <w:rFonts w:ascii="Sylfaen" w:eastAsia="Calibri" w:hAnsi="Sylfaen" w:cs="Sylfaen"/>
        </w:rPr>
        <w:t>დღიური</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(AADT) </w:t>
      </w:r>
      <w:r w:rsidRPr="003D733D">
        <w:rPr>
          <w:rFonts w:ascii="Sylfaen" w:eastAsia="Calibri" w:hAnsi="Sylfaen" w:cs="Sylfaen"/>
        </w:rPr>
        <w:t>სიდიდეები</w:t>
      </w:r>
      <w:r w:rsidRPr="003D733D">
        <w:rPr>
          <w:rFonts w:eastAsia="Calibri"/>
        </w:rPr>
        <w:t xml:space="preserve">. </w:t>
      </w:r>
      <w:r w:rsidRPr="003D733D">
        <w:rPr>
          <w:rFonts w:ascii="Sylfaen" w:eastAsia="Calibri" w:hAnsi="Sylfaen" w:cs="Sylfaen"/>
        </w:rPr>
        <w:t>კერძოდ</w:t>
      </w:r>
      <w:r w:rsidRPr="003D733D">
        <w:rPr>
          <w:rFonts w:eastAsia="Calibri"/>
        </w:rPr>
        <w:t xml:space="preserve">, </w:t>
      </w:r>
      <w:r w:rsidRPr="003D733D">
        <w:rPr>
          <w:rFonts w:ascii="Sylfaen" w:eastAsia="Calibri" w:hAnsi="Sylfaen" w:cs="Sylfaen"/>
        </w:rPr>
        <w:t>შესრულდა</w:t>
      </w:r>
      <w:r w:rsidRPr="003D733D">
        <w:rPr>
          <w:rFonts w:eastAsia="Calibri"/>
        </w:rPr>
        <w:t xml:space="preserve"> </w:t>
      </w:r>
      <w:r w:rsidRPr="003D733D">
        <w:rPr>
          <w:rFonts w:ascii="Sylfaen" w:eastAsia="Calibri" w:hAnsi="Sylfaen" w:cs="Sylfaen"/>
        </w:rPr>
        <w:t>შემდეგი</w:t>
      </w:r>
      <w:r w:rsidRPr="003D733D">
        <w:rPr>
          <w:rFonts w:eastAsia="Calibri"/>
        </w:rPr>
        <w:t xml:space="preserve"> </w:t>
      </w:r>
      <w:r w:rsidRPr="003D733D">
        <w:rPr>
          <w:rFonts w:ascii="Sylfaen" w:eastAsia="Calibri" w:hAnsi="Sylfaen" w:cs="Sylfaen"/>
        </w:rPr>
        <w:t>გადამყვანი</w:t>
      </w:r>
      <w:r w:rsidRPr="003D733D">
        <w:rPr>
          <w:rFonts w:eastAsia="Calibri"/>
        </w:rPr>
        <w:t xml:space="preserve"> </w:t>
      </w:r>
      <w:r w:rsidRPr="003D733D">
        <w:rPr>
          <w:rFonts w:ascii="Sylfaen" w:eastAsia="Calibri" w:hAnsi="Sylfaen" w:cs="Sylfaen"/>
        </w:rPr>
        <w:t>გამოთვლები</w:t>
      </w:r>
      <w:r w:rsidRPr="003D733D">
        <w:rPr>
          <w:rFonts w:eastAsia="Calibri"/>
        </w:rPr>
        <w:t>:</w:t>
      </w:r>
    </w:p>
    <w:p w14:paraId="0DE85AC7" w14:textId="77777777" w:rsidR="00F8565C" w:rsidRPr="003D733D" w:rsidRDefault="00F8565C" w:rsidP="000B139D">
      <w:pPr>
        <w:spacing w:before="120" w:after="120"/>
        <w:rPr>
          <w:rFonts w:eastAsia="Calibri"/>
        </w:rPr>
      </w:pPr>
      <w:r w:rsidRPr="003D733D">
        <w:rPr>
          <w:rFonts w:eastAsia="Calibri"/>
        </w:rPr>
        <w:t xml:space="preserve">2017 </w:t>
      </w:r>
      <w:r w:rsidRPr="003D733D">
        <w:rPr>
          <w:rFonts w:ascii="Sylfaen" w:eastAsia="Calibri" w:hAnsi="Sylfaen" w:cs="Sylfaen"/>
        </w:rPr>
        <w:t>წლის</w:t>
      </w:r>
      <w:r w:rsidRPr="003D733D">
        <w:rPr>
          <w:rFonts w:eastAsia="Calibri"/>
        </w:rPr>
        <w:t xml:space="preserve"> </w:t>
      </w:r>
      <w:r w:rsidRPr="003D733D">
        <w:rPr>
          <w:rFonts w:ascii="Sylfaen" w:eastAsia="Calibri" w:hAnsi="Sylfaen" w:cs="Sylfaen"/>
        </w:rPr>
        <w:t>ივნისის</w:t>
      </w:r>
      <w:r w:rsidRPr="003D733D">
        <w:rPr>
          <w:rFonts w:eastAsia="Calibri"/>
        </w:rPr>
        <w:t xml:space="preserve"> </w:t>
      </w:r>
      <w:r w:rsidRPr="003D733D">
        <w:rPr>
          <w:rFonts w:ascii="Sylfaen" w:eastAsia="Calibri" w:hAnsi="Sylfaen" w:cs="Sylfaen"/>
        </w:rPr>
        <w:t>თვის</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საშუალო</w:t>
      </w:r>
      <w:r w:rsidRPr="003D733D">
        <w:rPr>
          <w:rFonts w:eastAsia="Calibri"/>
        </w:rPr>
        <w:t xml:space="preserve"> </w:t>
      </w:r>
      <w:r w:rsidRPr="003D733D">
        <w:rPr>
          <w:rFonts w:ascii="Sylfaen" w:eastAsia="Calibri" w:hAnsi="Sylfaen" w:cs="Sylfaen"/>
        </w:rPr>
        <w:t>დღიური</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w:t>
      </w:r>
      <w:r w:rsidRPr="003D733D">
        <w:rPr>
          <w:rFonts w:ascii="Sylfaen" w:eastAsia="Calibri" w:hAnsi="Sylfaen" w:cs="Sylfaen"/>
        </w:rPr>
        <w:t>გამოთვლა</w:t>
      </w:r>
      <w:r w:rsidRPr="003D733D">
        <w:rPr>
          <w:rFonts w:eastAsia="Calibri"/>
        </w:rPr>
        <w:t xml:space="preserve"> </w:t>
      </w:r>
      <w:r w:rsidRPr="003D733D">
        <w:rPr>
          <w:rFonts w:ascii="Sylfaen" w:eastAsia="Calibri" w:hAnsi="Sylfaen" w:cs="Sylfaen"/>
        </w:rPr>
        <w:t>საათობრივი</w:t>
      </w:r>
      <w:r w:rsidRPr="003D733D">
        <w:rPr>
          <w:rFonts w:eastAsia="Calibri"/>
        </w:rPr>
        <w:t>/</w:t>
      </w:r>
      <w:r w:rsidRPr="003D733D">
        <w:rPr>
          <w:rFonts w:ascii="Sylfaen" w:eastAsia="Calibri" w:hAnsi="Sylfaen" w:cs="Sylfaen"/>
        </w:rPr>
        <w:t>ღამის</w:t>
      </w:r>
      <w:r w:rsidRPr="003D733D">
        <w:rPr>
          <w:rFonts w:eastAsia="Calibri"/>
        </w:rPr>
        <w:t xml:space="preserve"> </w:t>
      </w:r>
      <w:r w:rsidRPr="003D733D">
        <w:rPr>
          <w:rFonts w:ascii="Sylfaen" w:eastAsia="Calibri" w:hAnsi="Sylfaen" w:cs="Sylfaen"/>
        </w:rPr>
        <w:t>საათების</w:t>
      </w:r>
      <w:r w:rsidRPr="003D733D">
        <w:rPr>
          <w:rFonts w:eastAsia="Calibri"/>
        </w:rPr>
        <w:t>/</w:t>
      </w:r>
      <w:r w:rsidRPr="003D733D">
        <w:rPr>
          <w:rFonts w:ascii="Sylfaen" w:eastAsia="Calibri" w:hAnsi="Sylfaen" w:cs="Sylfaen"/>
        </w:rPr>
        <w:t>დღის</w:t>
      </w:r>
      <w:r w:rsidRPr="003D733D">
        <w:rPr>
          <w:rFonts w:eastAsia="Calibri"/>
        </w:rPr>
        <w:t xml:space="preserve"> </w:t>
      </w:r>
      <w:r w:rsidRPr="003D733D">
        <w:rPr>
          <w:rFonts w:ascii="Sylfaen" w:eastAsia="Calibri" w:hAnsi="Sylfaen" w:cs="Sylfaen"/>
        </w:rPr>
        <w:t>საათების</w:t>
      </w:r>
      <w:r w:rsidRPr="003D733D">
        <w:rPr>
          <w:rFonts w:eastAsia="Calibri"/>
        </w:rPr>
        <w:t xml:space="preserve"> </w:t>
      </w:r>
      <w:r w:rsidRPr="003D733D">
        <w:rPr>
          <w:rFonts w:ascii="Sylfaen" w:eastAsia="Calibri" w:hAnsi="Sylfaen" w:cs="Sylfaen"/>
        </w:rPr>
        <w:t>გადამყვანი</w:t>
      </w:r>
      <w:r w:rsidRPr="003D733D">
        <w:rPr>
          <w:rFonts w:eastAsia="Calibri"/>
        </w:rPr>
        <w:t xml:space="preserve"> </w:t>
      </w:r>
      <w:r w:rsidRPr="003D733D">
        <w:rPr>
          <w:rFonts w:ascii="Sylfaen" w:eastAsia="Calibri" w:hAnsi="Sylfaen" w:cs="Sylfaen"/>
        </w:rPr>
        <w:t>კოეფიციენტე</w:t>
      </w:r>
      <w:r w:rsidRPr="003D733D">
        <w:rPr>
          <w:rFonts w:eastAsia="Calibri"/>
        </w:rPr>
        <w:t>-</w:t>
      </w:r>
      <w:r w:rsidRPr="003D733D">
        <w:rPr>
          <w:rFonts w:ascii="Sylfaen" w:eastAsia="Calibri" w:hAnsi="Sylfaen" w:cs="Sylfaen"/>
        </w:rPr>
        <w:t>ბის</w:t>
      </w:r>
      <w:r w:rsidRPr="003D733D">
        <w:rPr>
          <w:rFonts w:eastAsia="Calibri"/>
        </w:rPr>
        <w:t xml:space="preserve"> </w:t>
      </w:r>
      <w:r w:rsidRPr="003D733D">
        <w:rPr>
          <w:rFonts w:ascii="Sylfaen" w:eastAsia="Calibri" w:hAnsi="Sylfaen" w:cs="Sylfaen"/>
        </w:rPr>
        <w:t>გამოყენებით</w:t>
      </w:r>
      <w:r w:rsidRPr="003D733D">
        <w:rPr>
          <w:rFonts w:eastAsia="Calibri"/>
        </w:rPr>
        <w:t xml:space="preserve">, </w:t>
      </w:r>
      <w:r w:rsidRPr="003D733D">
        <w:rPr>
          <w:rFonts w:ascii="Sylfaen" w:eastAsia="Calibri" w:hAnsi="Sylfaen" w:cs="Sylfaen"/>
        </w:rPr>
        <w:t>რომლებიც</w:t>
      </w:r>
      <w:r w:rsidRPr="003D733D">
        <w:rPr>
          <w:rFonts w:eastAsia="Calibri"/>
        </w:rPr>
        <w:t xml:space="preserve"> </w:t>
      </w:r>
      <w:r w:rsidRPr="003D733D">
        <w:rPr>
          <w:rFonts w:ascii="Sylfaen" w:eastAsia="Calibri" w:hAnsi="Sylfaen" w:cs="Sylfaen"/>
        </w:rPr>
        <w:t>განისაზღვრა</w:t>
      </w:r>
      <w:r w:rsidRPr="003D733D">
        <w:rPr>
          <w:rFonts w:eastAsia="Calibri"/>
        </w:rPr>
        <w:t xml:space="preserve"> </w:t>
      </w:r>
      <w:r w:rsidRPr="003D733D">
        <w:rPr>
          <w:rFonts w:ascii="Sylfaen" w:eastAsia="Calibri" w:hAnsi="Sylfaen" w:cs="Sylfaen"/>
        </w:rPr>
        <w:t>ახმეტა</w:t>
      </w:r>
      <w:r w:rsidRPr="003D733D">
        <w:rPr>
          <w:rFonts w:eastAsia="Calibri"/>
        </w:rPr>
        <w:t>-</w:t>
      </w:r>
      <w:r w:rsidRPr="003D733D">
        <w:rPr>
          <w:rFonts w:ascii="Sylfaen" w:eastAsia="Calibri" w:hAnsi="Sylfaen" w:cs="Sylfaen"/>
        </w:rPr>
        <w:t>თელავი</w:t>
      </w:r>
      <w:r w:rsidRPr="003D733D">
        <w:rPr>
          <w:rFonts w:eastAsia="Calibri"/>
        </w:rPr>
        <w:t>-</w:t>
      </w:r>
      <w:r w:rsidRPr="003D733D">
        <w:rPr>
          <w:rFonts w:ascii="Sylfaen" w:eastAsia="Calibri" w:hAnsi="Sylfaen" w:cs="Sylfaen"/>
        </w:rPr>
        <w:t>ბაკურციხის</w:t>
      </w:r>
      <w:r w:rsidRPr="003D733D">
        <w:rPr>
          <w:rFonts w:eastAsia="Calibri"/>
        </w:rPr>
        <w:t xml:space="preserve"> </w:t>
      </w:r>
      <w:r w:rsidRPr="003D733D">
        <w:rPr>
          <w:rFonts w:ascii="Sylfaen" w:eastAsia="Calibri" w:hAnsi="Sylfaen" w:cs="Sylfaen"/>
        </w:rPr>
        <w:t>გზის</w:t>
      </w:r>
      <w:r w:rsidRPr="003D733D">
        <w:rPr>
          <w:rFonts w:eastAsia="Calibri"/>
        </w:rPr>
        <w:t xml:space="preserve"> 57-</w:t>
      </w:r>
      <w:r w:rsidRPr="003D733D">
        <w:rPr>
          <w:rFonts w:ascii="Sylfaen" w:eastAsia="Calibri" w:hAnsi="Sylfaen" w:cs="Sylfaen"/>
        </w:rPr>
        <w:t>ე</w:t>
      </w:r>
      <w:r w:rsidRPr="003D733D">
        <w:rPr>
          <w:rFonts w:eastAsia="Calibri"/>
        </w:rPr>
        <w:t xml:space="preserve"> </w:t>
      </w:r>
      <w:r w:rsidRPr="003D733D">
        <w:rPr>
          <w:rFonts w:ascii="Sylfaen" w:eastAsia="Calibri" w:hAnsi="Sylfaen" w:cs="Sylfaen"/>
        </w:rPr>
        <w:t>კილომეტრზე</w:t>
      </w:r>
      <w:r w:rsidRPr="003D733D">
        <w:rPr>
          <w:rFonts w:eastAsia="Calibri"/>
        </w:rPr>
        <w:t xml:space="preserve"> </w:t>
      </w:r>
      <w:r w:rsidRPr="003D733D">
        <w:rPr>
          <w:rFonts w:ascii="Sylfaen" w:eastAsia="Calibri" w:hAnsi="Sylfaen" w:cs="Sylfaen"/>
        </w:rPr>
        <w:t>ჩატარებული</w:t>
      </w:r>
      <w:r w:rsidRPr="003D733D">
        <w:rPr>
          <w:rFonts w:eastAsia="Calibri"/>
        </w:rPr>
        <w:t xml:space="preserve"> 7-</w:t>
      </w:r>
      <w:r w:rsidRPr="003D733D">
        <w:rPr>
          <w:rFonts w:ascii="Sylfaen" w:eastAsia="Calibri" w:hAnsi="Sylfaen" w:cs="Sylfaen"/>
        </w:rPr>
        <w:t>დღიანი</w:t>
      </w:r>
      <w:r w:rsidRPr="003D733D">
        <w:rPr>
          <w:rFonts w:eastAsia="Calibri"/>
        </w:rPr>
        <w:t xml:space="preserve"> </w:t>
      </w:r>
      <w:r w:rsidRPr="003D733D">
        <w:rPr>
          <w:rFonts w:ascii="Sylfaen" w:eastAsia="Calibri" w:hAnsi="Sylfaen" w:cs="Sylfaen"/>
        </w:rPr>
        <w:t>საკონტროლ</w:t>
      </w:r>
      <w:r w:rsidRPr="003D733D">
        <w:rPr>
          <w:rFonts w:eastAsia="Calibri"/>
        </w:rPr>
        <w:t xml:space="preserve"> </w:t>
      </w:r>
      <w:r w:rsidRPr="003D733D">
        <w:rPr>
          <w:rFonts w:ascii="Sylfaen" w:eastAsia="Calibri" w:hAnsi="Sylfaen" w:cs="Sylfaen"/>
        </w:rPr>
        <w:t>დათვლების</w:t>
      </w:r>
      <w:r w:rsidRPr="003D733D">
        <w:rPr>
          <w:rFonts w:eastAsia="Calibri"/>
        </w:rPr>
        <w:t xml:space="preserve"> </w:t>
      </w:r>
      <w:r w:rsidRPr="003D733D">
        <w:rPr>
          <w:rFonts w:ascii="Sylfaen" w:eastAsia="Calibri" w:hAnsi="Sylfaen" w:cs="Sylfaen"/>
        </w:rPr>
        <w:t>შედეგების</w:t>
      </w:r>
      <w:r w:rsidRPr="003D733D">
        <w:rPr>
          <w:rFonts w:eastAsia="Calibri"/>
        </w:rPr>
        <w:t xml:space="preserve"> </w:t>
      </w:r>
      <w:r w:rsidRPr="003D733D">
        <w:rPr>
          <w:rFonts w:ascii="Sylfaen" w:eastAsia="Calibri" w:hAnsi="Sylfaen" w:cs="Sylfaen"/>
        </w:rPr>
        <w:t>გამოყენებით</w:t>
      </w:r>
      <w:r w:rsidRPr="003D733D">
        <w:rPr>
          <w:rFonts w:eastAsia="Calibri"/>
        </w:rPr>
        <w:t>;</w:t>
      </w:r>
    </w:p>
    <w:p w14:paraId="25EF3A8B" w14:textId="77777777" w:rsidR="00F8565C" w:rsidRPr="003D733D" w:rsidRDefault="00F8565C" w:rsidP="000B139D">
      <w:pPr>
        <w:spacing w:before="120" w:after="120"/>
        <w:rPr>
          <w:rFonts w:eastAsia="Calibri"/>
        </w:rPr>
      </w:pP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გრძელვადიანი</w:t>
      </w:r>
      <w:r w:rsidRPr="003D733D">
        <w:rPr>
          <w:rFonts w:eastAsia="Calibri"/>
        </w:rPr>
        <w:t xml:space="preserve"> </w:t>
      </w:r>
      <w:r w:rsidRPr="003D733D">
        <w:rPr>
          <w:rFonts w:ascii="Sylfaen" w:eastAsia="Calibri" w:hAnsi="Sylfaen" w:cs="Sylfaen"/>
        </w:rPr>
        <w:t>მონაცემების</w:t>
      </w:r>
      <w:r w:rsidRPr="003D733D">
        <w:rPr>
          <w:rFonts w:eastAsia="Calibri"/>
        </w:rPr>
        <w:t xml:space="preserve"> </w:t>
      </w:r>
      <w:r w:rsidRPr="003D733D">
        <w:rPr>
          <w:rFonts w:ascii="Sylfaen" w:eastAsia="Calibri" w:hAnsi="Sylfaen" w:cs="Sylfaen"/>
        </w:rPr>
        <w:t>დამუშავებით</w:t>
      </w:r>
      <w:r w:rsidRPr="003D733D">
        <w:rPr>
          <w:rFonts w:eastAsia="Calibri"/>
        </w:rPr>
        <w:t xml:space="preserve"> </w:t>
      </w:r>
      <w:r w:rsidRPr="003D733D">
        <w:rPr>
          <w:rFonts w:ascii="Sylfaen" w:eastAsia="Calibri" w:hAnsi="Sylfaen" w:cs="Sylfaen"/>
        </w:rPr>
        <w:t>განსაზღვრული</w:t>
      </w:r>
      <w:r w:rsidRPr="003D733D">
        <w:rPr>
          <w:rFonts w:eastAsia="Calibri"/>
        </w:rPr>
        <w:t xml:space="preserve"> </w:t>
      </w:r>
      <w:r w:rsidRPr="003D733D">
        <w:rPr>
          <w:rFonts w:ascii="Sylfaen" w:eastAsia="Calibri" w:hAnsi="Sylfaen" w:cs="Sylfaen"/>
        </w:rPr>
        <w:t>თვიური</w:t>
      </w:r>
      <w:r w:rsidRPr="003D733D">
        <w:rPr>
          <w:rFonts w:eastAsia="Calibri"/>
        </w:rPr>
        <w:t xml:space="preserve"> </w:t>
      </w:r>
      <w:r w:rsidRPr="003D733D">
        <w:rPr>
          <w:rFonts w:ascii="Sylfaen" w:eastAsia="Calibri" w:hAnsi="Sylfaen" w:cs="Sylfaen"/>
        </w:rPr>
        <w:t>ვარიაციული</w:t>
      </w:r>
      <w:r w:rsidRPr="003D733D">
        <w:rPr>
          <w:rFonts w:eastAsia="Calibri"/>
        </w:rPr>
        <w:t xml:space="preserve"> </w:t>
      </w:r>
      <w:r w:rsidRPr="003D733D">
        <w:rPr>
          <w:rFonts w:ascii="Sylfaen" w:eastAsia="Calibri" w:hAnsi="Sylfaen" w:cs="Sylfaen"/>
        </w:rPr>
        <w:t>კოეფიციენტების</w:t>
      </w:r>
      <w:r w:rsidRPr="003D733D">
        <w:rPr>
          <w:rFonts w:eastAsia="Calibri"/>
        </w:rPr>
        <w:t xml:space="preserve"> </w:t>
      </w:r>
      <w:r w:rsidRPr="003D733D">
        <w:rPr>
          <w:rFonts w:ascii="Sylfaen" w:eastAsia="Calibri" w:hAnsi="Sylfaen" w:cs="Sylfaen"/>
        </w:rPr>
        <w:t>მიყენება</w:t>
      </w:r>
      <w:r w:rsidRPr="003D733D">
        <w:rPr>
          <w:rFonts w:eastAsia="Calibri"/>
        </w:rPr>
        <w:t xml:space="preserve"> </w:t>
      </w:r>
      <w:r w:rsidRPr="003D733D">
        <w:rPr>
          <w:rFonts w:ascii="Sylfaen" w:eastAsia="Calibri" w:hAnsi="Sylfaen" w:cs="Sylfaen"/>
        </w:rPr>
        <w:t>წინა</w:t>
      </w:r>
      <w:r w:rsidRPr="003D733D">
        <w:rPr>
          <w:rFonts w:eastAsia="Calibri"/>
        </w:rPr>
        <w:t xml:space="preserve"> </w:t>
      </w:r>
      <w:r w:rsidRPr="003D733D">
        <w:rPr>
          <w:rFonts w:ascii="Sylfaen" w:eastAsia="Calibri" w:hAnsi="Sylfaen" w:cs="Sylfaen"/>
        </w:rPr>
        <w:t>აბზაცში</w:t>
      </w:r>
      <w:r w:rsidRPr="003D733D">
        <w:rPr>
          <w:rFonts w:eastAsia="Calibri"/>
        </w:rPr>
        <w:t xml:space="preserve"> </w:t>
      </w:r>
      <w:r w:rsidRPr="003D733D">
        <w:rPr>
          <w:rFonts w:ascii="Sylfaen" w:eastAsia="Calibri" w:hAnsi="Sylfaen" w:cs="Sylfaen"/>
        </w:rPr>
        <w:t>მითითებული</w:t>
      </w:r>
      <w:r w:rsidRPr="003D733D">
        <w:rPr>
          <w:rFonts w:eastAsia="Calibri"/>
        </w:rPr>
        <w:t xml:space="preserve"> </w:t>
      </w:r>
      <w:r w:rsidRPr="003D733D">
        <w:rPr>
          <w:rFonts w:ascii="Sylfaen" w:eastAsia="Calibri" w:hAnsi="Sylfaen" w:cs="Sylfaen"/>
        </w:rPr>
        <w:t>სიდიდეების</w:t>
      </w:r>
      <w:r w:rsidRPr="003D733D">
        <w:rPr>
          <w:rFonts w:eastAsia="Calibri"/>
        </w:rPr>
        <w:t xml:space="preserve"> </w:t>
      </w:r>
      <w:r w:rsidRPr="003D733D">
        <w:rPr>
          <w:rFonts w:ascii="Sylfaen" w:eastAsia="Calibri" w:hAnsi="Sylfaen" w:cs="Sylfaen"/>
        </w:rPr>
        <w:t>მიმართ</w:t>
      </w:r>
      <w:r w:rsidRPr="003D733D">
        <w:rPr>
          <w:rFonts w:eastAsia="Calibri"/>
        </w:rPr>
        <w:t xml:space="preserve">, </w:t>
      </w:r>
      <w:r w:rsidRPr="003D733D">
        <w:rPr>
          <w:rFonts w:ascii="Sylfaen" w:eastAsia="Calibri" w:hAnsi="Sylfaen" w:cs="Sylfaen"/>
        </w:rPr>
        <w:t>ივნისის</w:t>
      </w:r>
      <w:r w:rsidRPr="003D733D">
        <w:rPr>
          <w:rFonts w:eastAsia="Calibri"/>
        </w:rPr>
        <w:t xml:space="preserve"> </w:t>
      </w: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ნაკადების</w:t>
      </w:r>
      <w:r w:rsidRPr="003D733D">
        <w:rPr>
          <w:rFonts w:eastAsia="Calibri"/>
        </w:rPr>
        <w:t xml:space="preserve"> </w:t>
      </w:r>
      <w:r w:rsidRPr="003D733D">
        <w:rPr>
          <w:rFonts w:ascii="Sylfaen" w:eastAsia="Calibri" w:hAnsi="Sylfaen" w:cs="Sylfaen"/>
        </w:rPr>
        <w:t>კორექტირების</w:t>
      </w:r>
      <w:r w:rsidRPr="003D733D">
        <w:rPr>
          <w:rFonts w:eastAsia="Calibri"/>
        </w:rPr>
        <w:t xml:space="preserve"> </w:t>
      </w:r>
      <w:r w:rsidRPr="003D733D">
        <w:rPr>
          <w:rFonts w:ascii="Sylfaen" w:eastAsia="Calibri" w:hAnsi="Sylfaen" w:cs="Sylfaen"/>
        </w:rPr>
        <w:t>და</w:t>
      </w:r>
      <w:r w:rsidRPr="003D733D">
        <w:rPr>
          <w:rFonts w:eastAsia="Calibri"/>
        </w:rPr>
        <w:t xml:space="preserve"> 2017 </w:t>
      </w:r>
      <w:r w:rsidRPr="003D733D">
        <w:rPr>
          <w:rFonts w:ascii="Sylfaen" w:eastAsia="Calibri" w:hAnsi="Sylfaen" w:cs="Sylfaen"/>
        </w:rPr>
        <w:t>წლის</w:t>
      </w:r>
      <w:r w:rsidRPr="003D733D">
        <w:rPr>
          <w:rFonts w:eastAsia="Calibri"/>
        </w:rPr>
        <w:t xml:space="preserve"> “</w:t>
      </w:r>
      <w:r w:rsidRPr="003D733D">
        <w:rPr>
          <w:rFonts w:ascii="Sylfaen" w:eastAsia="Calibri" w:hAnsi="Sylfaen" w:cs="Sylfaen"/>
        </w:rPr>
        <w:t>წლიური</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საშუალო</w:t>
      </w:r>
      <w:r w:rsidRPr="003D733D">
        <w:rPr>
          <w:rFonts w:eastAsia="Calibri"/>
        </w:rPr>
        <w:t xml:space="preserve"> </w:t>
      </w:r>
      <w:r w:rsidRPr="003D733D">
        <w:rPr>
          <w:rFonts w:ascii="Sylfaen" w:eastAsia="Calibri" w:hAnsi="Sylfaen" w:cs="Sylfaen"/>
        </w:rPr>
        <w:t>დღიური</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w:t>
      </w:r>
      <w:r w:rsidRPr="003D733D">
        <w:t xml:space="preserve">(AADT) </w:t>
      </w:r>
      <w:r w:rsidRPr="003D733D">
        <w:rPr>
          <w:rFonts w:ascii="Sylfaen" w:hAnsi="Sylfaen" w:cs="Sylfaen"/>
        </w:rPr>
        <w:t>გამოსათვლელად</w:t>
      </w:r>
    </w:p>
    <w:p w14:paraId="65A5AD74" w14:textId="1ECB7941" w:rsidR="00F8565C" w:rsidRPr="003D733D" w:rsidRDefault="00F8565C" w:rsidP="000B139D">
      <w:pPr>
        <w:spacing w:before="120" w:after="120"/>
      </w:pPr>
      <w:r w:rsidRPr="003D733D">
        <w:rPr>
          <w:rFonts w:ascii="Sylfaen" w:hAnsi="Sylfaen" w:cs="Sylfaen"/>
        </w:rPr>
        <w:t>ცხრილში</w:t>
      </w:r>
      <w:r w:rsidRPr="003D733D">
        <w:t xml:space="preserve"> 4.</w:t>
      </w:r>
      <w:r w:rsidR="000B139D">
        <w:rPr>
          <w:rFonts w:ascii="Sylfaen" w:hAnsi="Sylfaen"/>
          <w:lang w:val="ka-GE"/>
        </w:rPr>
        <w:t>7</w:t>
      </w:r>
      <w:r w:rsidR="000B139D">
        <w:t>.1</w:t>
      </w:r>
      <w:r w:rsidR="000B139D">
        <w:rPr>
          <w:rFonts w:ascii="Sylfaen" w:hAnsi="Sylfaen"/>
          <w:lang w:val="ka-GE"/>
        </w:rPr>
        <w:t>-1</w:t>
      </w:r>
      <w:r w:rsidRPr="003D733D">
        <w:rPr>
          <w:rFonts w:ascii="Sylfaen" w:hAnsi="Sylfaen" w:cs="Sylfaen"/>
        </w:rPr>
        <w:t>მოცემულია</w:t>
      </w:r>
      <w:r w:rsidRPr="003D733D">
        <w:t xml:space="preserve"> </w:t>
      </w:r>
      <w:r w:rsidRPr="003D733D">
        <w:rPr>
          <w:rFonts w:ascii="Sylfaen" w:hAnsi="Sylfaen" w:cs="Sylfaen"/>
        </w:rPr>
        <w:t>წლიური</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დღიური</w:t>
      </w:r>
      <w:r w:rsidRPr="003D733D">
        <w:t xml:space="preserve"> </w:t>
      </w:r>
      <w:r w:rsidRPr="003D733D">
        <w:rPr>
          <w:rFonts w:ascii="Sylfaen" w:hAnsi="Sylfaen" w:cs="Sylfaen"/>
        </w:rPr>
        <w:t>ინტენსიურობის</w:t>
      </w:r>
      <w:r w:rsidRPr="003D733D">
        <w:t xml:space="preserve"> (AADT) </w:t>
      </w:r>
      <w:r w:rsidRPr="003D733D">
        <w:rPr>
          <w:rFonts w:ascii="Sylfaen" w:hAnsi="Sylfaen" w:cs="Sylfaen"/>
        </w:rPr>
        <w:t>სიდიდეები</w:t>
      </w:r>
      <w:r w:rsidRPr="003D733D">
        <w:t xml:space="preserve"> </w:t>
      </w:r>
      <w:r w:rsidRPr="003D733D">
        <w:rPr>
          <w:rFonts w:ascii="Sylfaen" w:hAnsi="Sylfaen" w:cs="Sylfaen"/>
        </w:rPr>
        <w:t>ცალკეული</w:t>
      </w:r>
      <w:r w:rsidRPr="003D733D">
        <w:t xml:space="preserve"> </w:t>
      </w:r>
      <w:r w:rsidRPr="003D733D">
        <w:rPr>
          <w:rFonts w:ascii="Sylfaen" w:hAnsi="Sylfaen" w:cs="Sylfaen"/>
        </w:rPr>
        <w:t>მონაკვეთებისთვის</w:t>
      </w:r>
      <w:r w:rsidRPr="003D733D">
        <w:t xml:space="preserve">, </w:t>
      </w:r>
      <w:r w:rsidRPr="003D733D">
        <w:rPr>
          <w:rFonts w:ascii="Sylfaen" w:hAnsi="Sylfaen" w:cs="Sylfaen"/>
        </w:rPr>
        <w:t>ხოლო</w:t>
      </w:r>
      <w:r w:rsidRPr="003D733D">
        <w:t xml:space="preserve"> </w:t>
      </w:r>
      <w:r w:rsidRPr="003D733D">
        <w:rPr>
          <w:rFonts w:ascii="Sylfaen" w:hAnsi="Sylfaen" w:cs="Sylfaen"/>
        </w:rPr>
        <w:t>ცხრილში</w:t>
      </w:r>
      <w:r w:rsidRPr="003D733D">
        <w:t xml:space="preserve"> 4.1.4 </w:t>
      </w:r>
      <w:r w:rsidRPr="003D733D">
        <w:rPr>
          <w:rFonts w:ascii="Sylfaen" w:hAnsi="Sylfaen" w:cs="Sylfaen"/>
        </w:rPr>
        <w:t>იგივე</w:t>
      </w:r>
      <w:r w:rsidRPr="003D733D">
        <w:t xml:space="preserve"> </w:t>
      </w:r>
      <w:r w:rsidRPr="003D733D">
        <w:rPr>
          <w:rFonts w:ascii="Sylfaen" w:hAnsi="Sylfaen" w:cs="Sylfaen"/>
        </w:rPr>
        <w:t>მონაცემები</w:t>
      </w:r>
      <w:r w:rsidRPr="003D733D">
        <w:t xml:space="preserve"> </w:t>
      </w:r>
      <w:r w:rsidRPr="003D733D">
        <w:rPr>
          <w:rFonts w:ascii="Sylfaen" w:hAnsi="Sylfaen" w:cs="Sylfaen"/>
        </w:rPr>
        <w:t>გნდეტალებულია</w:t>
      </w:r>
      <w:r w:rsidRPr="003D733D">
        <w:t xml:space="preserve"> </w:t>
      </w:r>
      <w:r w:rsidRPr="003D733D">
        <w:rPr>
          <w:rFonts w:ascii="Sylfaen" w:hAnsi="Sylfaen" w:cs="Sylfaen"/>
        </w:rPr>
        <w:t>ავტომობილების</w:t>
      </w:r>
      <w:r w:rsidRPr="003D733D">
        <w:t xml:space="preserve"> </w:t>
      </w:r>
      <w:r w:rsidRPr="003D733D">
        <w:rPr>
          <w:rFonts w:ascii="Sylfaen" w:hAnsi="Sylfaen" w:cs="Sylfaen"/>
        </w:rPr>
        <w:t>კატეგორიების</w:t>
      </w:r>
      <w:r w:rsidRPr="003D733D">
        <w:t xml:space="preserve"> </w:t>
      </w:r>
      <w:r w:rsidRPr="003D733D">
        <w:rPr>
          <w:rFonts w:ascii="Sylfaen" w:hAnsi="Sylfaen" w:cs="Sylfaen"/>
        </w:rPr>
        <w:t>მიხედვით</w:t>
      </w:r>
      <w:r w:rsidRPr="003D733D">
        <w:t>.</w:t>
      </w:r>
    </w:p>
    <w:p w14:paraId="24D1D1F4" w14:textId="2CF86AD4" w:rsidR="00F8565C" w:rsidRPr="003D733D" w:rsidRDefault="00F8565C" w:rsidP="000B139D">
      <w:pPr>
        <w:spacing w:before="120" w:after="120"/>
      </w:pPr>
      <w:r w:rsidRPr="003D733D">
        <w:rPr>
          <w:rFonts w:ascii="Sylfaen" w:hAnsi="Sylfaen" w:cs="Sylfaen"/>
        </w:rPr>
        <w:t>ცხრილი</w:t>
      </w:r>
      <w:r w:rsidRPr="003D733D">
        <w:t xml:space="preserve"> 4.</w:t>
      </w:r>
      <w:r w:rsidR="000B139D">
        <w:rPr>
          <w:rFonts w:ascii="Sylfaen" w:hAnsi="Sylfaen"/>
          <w:lang w:val="ka-GE"/>
        </w:rPr>
        <w:t>7.1-1</w:t>
      </w:r>
      <w:r w:rsidRPr="003D733D">
        <w:t xml:space="preserve"> 2017 </w:t>
      </w:r>
      <w:r w:rsidRPr="003D733D">
        <w:rPr>
          <w:rFonts w:ascii="Sylfaen" w:hAnsi="Sylfaen" w:cs="Sylfaen"/>
        </w:rPr>
        <w:t>წლის</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დღიური</w:t>
      </w:r>
      <w:r w:rsidRPr="003D733D">
        <w:t xml:space="preserve"> </w:t>
      </w:r>
      <w:r w:rsidRPr="003D733D">
        <w:rPr>
          <w:rFonts w:ascii="Sylfaen" w:hAnsi="Sylfaen" w:cs="Sylfaen"/>
        </w:rPr>
        <w:t>ინტენსიურობის</w:t>
      </w:r>
      <w:r w:rsidRPr="003D733D">
        <w:t xml:space="preserve"> (AADT) </w:t>
      </w:r>
      <w:r w:rsidRPr="003D733D">
        <w:rPr>
          <w:rFonts w:ascii="Sylfaen" w:hAnsi="Sylfaen" w:cs="Sylfaen"/>
        </w:rPr>
        <w:t>სიდიდეები</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მონაკვეთების</w:t>
      </w:r>
      <w:r w:rsidRPr="003D733D">
        <w:t xml:space="preserve"> </w:t>
      </w:r>
      <w:r w:rsidRPr="003D733D">
        <w:rPr>
          <w:rFonts w:ascii="Sylfaen" w:hAnsi="Sylfaen" w:cs="Sylfaen"/>
        </w:rPr>
        <w:t>მიხედვით</w:t>
      </w:r>
    </w:p>
    <w:tbl>
      <w:tblPr>
        <w:tblW w:w="8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650"/>
        <w:gridCol w:w="2878"/>
        <w:gridCol w:w="1676"/>
      </w:tblGrid>
      <w:tr w:rsidR="00F8565C" w:rsidRPr="003D733D" w14:paraId="647545E9" w14:textId="77777777" w:rsidTr="00F8565C">
        <w:trPr>
          <w:tblHeader/>
        </w:trPr>
        <w:tc>
          <w:tcPr>
            <w:tcW w:w="99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0703A2F" w14:textId="77777777" w:rsidR="00F8565C" w:rsidRPr="003D733D" w:rsidRDefault="00F8565C" w:rsidP="00F8565C">
            <w:r w:rsidRPr="003D733D">
              <w:t>#</w:t>
            </w:r>
          </w:p>
        </w:tc>
        <w:tc>
          <w:tcPr>
            <w:tcW w:w="265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C74EDED" w14:textId="77777777" w:rsidR="00F8565C" w:rsidRPr="003D733D" w:rsidRDefault="00F8565C" w:rsidP="00F8565C">
            <w:r w:rsidRPr="003D733D">
              <w:rPr>
                <w:rFonts w:ascii="Sylfaen" w:hAnsi="Sylfaen" w:cs="Sylfaen"/>
              </w:rPr>
              <w:t>მონაკვეთის</w:t>
            </w:r>
            <w:r w:rsidRPr="003D733D">
              <w:t xml:space="preserve"> </w:t>
            </w:r>
            <w:r w:rsidRPr="003D733D">
              <w:rPr>
                <w:rFonts w:ascii="Sylfaen" w:hAnsi="Sylfaen" w:cs="Sylfaen"/>
              </w:rPr>
              <w:t>დასაწყისი</w:t>
            </w:r>
            <w:r w:rsidRPr="003D733D">
              <w:t xml:space="preserve"> </w:t>
            </w:r>
          </w:p>
        </w:tc>
        <w:tc>
          <w:tcPr>
            <w:tcW w:w="287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CD85032" w14:textId="77777777" w:rsidR="00F8565C" w:rsidRPr="003D733D" w:rsidRDefault="00F8565C" w:rsidP="00F8565C">
            <w:r w:rsidRPr="003D733D">
              <w:rPr>
                <w:rFonts w:ascii="Sylfaen" w:hAnsi="Sylfaen" w:cs="Sylfaen"/>
              </w:rPr>
              <w:t>მონაკვეთის</w:t>
            </w:r>
            <w:r w:rsidRPr="003D733D">
              <w:t xml:space="preserve"> </w:t>
            </w:r>
            <w:r w:rsidRPr="003D733D">
              <w:rPr>
                <w:rFonts w:ascii="Sylfaen" w:hAnsi="Sylfaen" w:cs="Sylfaen"/>
              </w:rPr>
              <w:t>დასასრული</w:t>
            </w:r>
            <w:r w:rsidRPr="003D733D">
              <w:t xml:space="preserve"> </w:t>
            </w:r>
          </w:p>
        </w:tc>
        <w:tc>
          <w:tcPr>
            <w:tcW w:w="167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18989B9" w14:textId="77777777" w:rsidR="00F8565C" w:rsidRPr="003D733D" w:rsidRDefault="00F8565C" w:rsidP="00F8565C">
            <w:r w:rsidRPr="003D733D">
              <w:t xml:space="preserve">AADT </w:t>
            </w:r>
          </w:p>
        </w:tc>
      </w:tr>
      <w:tr w:rsidR="00F8565C" w:rsidRPr="003D733D" w14:paraId="01962532" w14:textId="77777777" w:rsidTr="00F8565C">
        <w:tc>
          <w:tcPr>
            <w:tcW w:w="993" w:type="dxa"/>
            <w:tcBorders>
              <w:top w:val="single" w:sz="4" w:space="0" w:color="auto"/>
              <w:left w:val="single" w:sz="4" w:space="0" w:color="auto"/>
              <w:bottom w:val="single" w:sz="4" w:space="0" w:color="auto"/>
              <w:right w:val="single" w:sz="4" w:space="0" w:color="auto"/>
            </w:tcBorders>
            <w:vAlign w:val="center"/>
            <w:hideMark/>
          </w:tcPr>
          <w:p w14:paraId="0207F555" w14:textId="77777777" w:rsidR="00F8565C" w:rsidRPr="003D733D" w:rsidRDefault="00F8565C" w:rsidP="00F8565C">
            <w:r w:rsidRPr="003D733D">
              <w:t>1</w:t>
            </w:r>
          </w:p>
        </w:tc>
        <w:tc>
          <w:tcPr>
            <w:tcW w:w="2650" w:type="dxa"/>
            <w:tcBorders>
              <w:top w:val="single" w:sz="4" w:space="0" w:color="auto"/>
              <w:left w:val="single" w:sz="4" w:space="0" w:color="auto"/>
              <w:bottom w:val="single" w:sz="4" w:space="0" w:color="auto"/>
              <w:right w:val="single" w:sz="4" w:space="0" w:color="auto"/>
            </w:tcBorders>
            <w:vAlign w:val="center"/>
            <w:hideMark/>
          </w:tcPr>
          <w:p w14:paraId="065B70C2" w14:textId="77777777" w:rsidR="00F8565C" w:rsidRPr="003D733D" w:rsidRDefault="00F8565C" w:rsidP="00F8565C">
            <w:r w:rsidRPr="003D733D">
              <w:rPr>
                <w:rFonts w:ascii="Sylfaen" w:hAnsi="Sylfaen" w:cs="Sylfaen"/>
              </w:rPr>
              <w:t>თელავი</w:t>
            </w:r>
            <w:r w:rsidRPr="003D733D">
              <w:t xml:space="preserve"> </w:t>
            </w:r>
          </w:p>
        </w:tc>
        <w:tc>
          <w:tcPr>
            <w:tcW w:w="2878" w:type="dxa"/>
            <w:tcBorders>
              <w:top w:val="single" w:sz="4" w:space="0" w:color="auto"/>
              <w:left w:val="single" w:sz="4" w:space="0" w:color="auto"/>
              <w:bottom w:val="single" w:sz="4" w:space="0" w:color="auto"/>
              <w:right w:val="single" w:sz="4" w:space="0" w:color="auto"/>
            </w:tcBorders>
            <w:vAlign w:val="center"/>
            <w:hideMark/>
          </w:tcPr>
          <w:p w14:paraId="7D0182C4" w14:textId="77777777" w:rsidR="00F8565C" w:rsidRPr="003D733D" w:rsidRDefault="00F8565C" w:rsidP="00F8565C">
            <w:r w:rsidRPr="003D733D">
              <w:rPr>
                <w:rFonts w:ascii="Sylfaen" w:hAnsi="Sylfaen" w:cs="Sylfaen"/>
              </w:rPr>
              <w:t>აკურა</w:t>
            </w:r>
          </w:p>
        </w:tc>
        <w:tc>
          <w:tcPr>
            <w:tcW w:w="1676" w:type="dxa"/>
            <w:tcBorders>
              <w:top w:val="single" w:sz="4" w:space="0" w:color="auto"/>
              <w:left w:val="single" w:sz="4" w:space="0" w:color="auto"/>
              <w:bottom w:val="single" w:sz="4" w:space="0" w:color="auto"/>
              <w:right w:val="single" w:sz="4" w:space="0" w:color="auto"/>
            </w:tcBorders>
            <w:vAlign w:val="center"/>
            <w:hideMark/>
          </w:tcPr>
          <w:p w14:paraId="3E028431" w14:textId="77777777" w:rsidR="00F8565C" w:rsidRPr="003D733D" w:rsidRDefault="00F8565C" w:rsidP="00F8565C">
            <w:r w:rsidRPr="003D733D">
              <w:t>6 183</w:t>
            </w:r>
          </w:p>
        </w:tc>
      </w:tr>
      <w:tr w:rsidR="00F8565C" w:rsidRPr="003D733D" w14:paraId="64B5C972" w14:textId="77777777" w:rsidTr="00F8565C">
        <w:tc>
          <w:tcPr>
            <w:tcW w:w="993" w:type="dxa"/>
            <w:tcBorders>
              <w:top w:val="single" w:sz="4" w:space="0" w:color="auto"/>
              <w:left w:val="single" w:sz="4" w:space="0" w:color="auto"/>
              <w:bottom w:val="single" w:sz="4" w:space="0" w:color="auto"/>
              <w:right w:val="single" w:sz="4" w:space="0" w:color="auto"/>
            </w:tcBorders>
            <w:vAlign w:val="center"/>
            <w:hideMark/>
          </w:tcPr>
          <w:p w14:paraId="781D9706" w14:textId="77777777" w:rsidR="00F8565C" w:rsidRPr="003D733D" w:rsidRDefault="00F8565C" w:rsidP="00F8565C">
            <w:r w:rsidRPr="003D733D">
              <w:t>2</w:t>
            </w:r>
          </w:p>
        </w:tc>
        <w:tc>
          <w:tcPr>
            <w:tcW w:w="2650" w:type="dxa"/>
            <w:tcBorders>
              <w:top w:val="single" w:sz="4" w:space="0" w:color="auto"/>
              <w:left w:val="single" w:sz="4" w:space="0" w:color="auto"/>
              <w:bottom w:val="single" w:sz="4" w:space="0" w:color="auto"/>
              <w:right w:val="single" w:sz="4" w:space="0" w:color="auto"/>
            </w:tcBorders>
            <w:vAlign w:val="center"/>
            <w:hideMark/>
          </w:tcPr>
          <w:p w14:paraId="2237B34C" w14:textId="77777777" w:rsidR="00F8565C" w:rsidRPr="003D733D" w:rsidRDefault="00F8565C" w:rsidP="00F8565C">
            <w:r w:rsidRPr="003D733D">
              <w:rPr>
                <w:rFonts w:ascii="Sylfaen" w:hAnsi="Sylfaen" w:cs="Sylfaen"/>
              </w:rPr>
              <w:t>აკურა</w:t>
            </w:r>
            <w:r w:rsidRPr="003D733D">
              <w:t xml:space="preserve"> </w:t>
            </w:r>
          </w:p>
        </w:tc>
        <w:tc>
          <w:tcPr>
            <w:tcW w:w="2878" w:type="dxa"/>
            <w:tcBorders>
              <w:top w:val="single" w:sz="4" w:space="0" w:color="auto"/>
              <w:left w:val="single" w:sz="4" w:space="0" w:color="auto"/>
              <w:bottom w:val="single" w:sz="4" w:space="0" w:color="auto"/>
              <w:right w:val="single" w:sz="4" w:space="0" w:color="auto"/>
            </w:tcBorders>
            <w:vAlign w:val="center"/>
            <w:hideMark/>
          </w:tcPr>
          <w:p w14:paraId="4DE64233" w14:textId="77777777" w:rsidR="00F8565C" w:rsidRPr="003D733D" w:rsidRDefault="00F8565C" w:rsidP="00F8565C">
            <w:r w:rsidRPr="003D733D">
              <w:rPr>
                <w:rFonts w:ascii="Sylfaen" w:hAnsi="Sylfaen" w:cs="Sylfaen"/>
              </w:rPr>
              <w:t>ველისციხის</w:t>
            </w:r>
            <w:r w:rsidRPr="003D733D">
              <w:t xml:space="preserve"> </w:t>
            </w:r>
            <w:r w:rsidRPr="003D733D">
              <w:rPr>
                <w:rFonts w:ascii="Sylfaen" w:hAnsi="Sylfaen" w:cs="Sylfaen"/>
              </w:rPr>
              <w:t>გადასახვევი</w:t>
            </w:r>
            <w:r w:rsidRPr="003D733D">
              <w:t xml:space="preserve"> </w:t>
            </w:r>
          </w:p>
        </w:tc>
        <w:tc>
          <w:tcPr>
            <w:tcW w:w="1676" w:type="dxa"/>
            <w:tcBorders>
              <w:top w:val="single" w:sz="4" w:space="0" w:color="auto"/>
              <w:left w:val="single" w:sz="4" w:space="0" w:color="auto"/>
              <w:bottom w:val="single" w:sz="4" w:space="0" w:color="auto"/>
              <w:right w:val="single" w:sz="4" w:space="0" w:color="auto"/>
            </w:tcBorders>
            <w:vAlign w:val="center"/>
            <w:hideMark/>
          </w:tcPr>
          <w:p w14:paraId="15868555" w14:textId="77777777" w:rsidR="00F8565C" w:rsidRPr="003D733D" w:rsidRDefault="00F8565C" w:rsidP="00F8565C">
            <w:r w:rsidRPr="003D733D">
              <w:t>6 045</w:t>
            </w:r>
          </w:p>
        </w:tc>
      </w:tr>
      <w:tr w:rsidR="00F8565C" w:rsidRPr="003D733D" w14:paraId="259D0426" w14:textId="77777777" w:rsidTr="00F8565C">
        <w:tc>
          <w:tcPr>
            <w:tcW w:w="993" w:type="dxa"/>
            <w:tcBorders>
              <w:top w:val="single" w:sz="4" w:space="0" w:color="auto"/>
              <w:left w:val="single" w:sz="4" w:space="0" w:color="auto"/>
              <w:bottom w:val="single" w:sz="4" w:space="0" w:color="auto"/>
              <w:right w:val="single" w:sz="4" w:space="0" w:color="auto"/>
            </w:tcBorders>
            <w:vAlign w:val="center"/>
            <w:hideMark/>
          </w:tcPr>
          <w:p w14:paraId="2CFE03C4" w14:textId="77777777" w:rsidR="00F8565C" w:rsidRPr="003D733D" w:rsidRDefault="00F8565C" w:rsidP="00F8565C">
            <w:r w:rsidRPr="003D733D">
              <w:t>3</w:t>
            </w:r>
          </w:p>
        </w:tc>
        <w:tc>
          <w:tcPr>
            <w:tcW w:w="2650" w:type="dxa"/>
            <w:tcBorders>
              <w:top w:val="single" w:sz="4" w:space="0" w:color="auto"/>
              <w:left w:val="single" w:sz="4" w:space="0" w:color="auto"/>
              <w:bottom w:val="single" w:sz="4" w:space="0" w:color="auto"/>
              <w:right w:val="single" w:sz="4" w:space="0" w:color="auto"/>
            </w:tcBorders>
            <w:vAlign w:val="center"/>
            <w:hideMark/>
          </w:tcPr>
          <w:p w14:paraId="27E33884" w14:textId="77777777" w:rsidR="00F8565C" w:rsidRPr="003D733D" w:rsidRDefault="00F8565C" w:rsidP="00F8565C">
            <w:r w:rsidRPr="003D733D">
              <w:rPr>
                <w:rFonts w:ascii="Sylfaen" w:hAnsi="Sylfaen" w:cs="Sylfaen"/>
              </w:rPr>
              <w:t>ველისციხის</w:t>
            </w:r>
            <w:r w:rsidRPr="003D733D">
              <w:t xml:space="preserve"> </w:t>
            </w:r>
            <w:r w:rsidRPr="003D733D">
              <w:rPr>
                <w:rFonts w:ascii="Sylfaen" w:hAnsi="Sylfaen" w:cs="Sylfaen"/>
              </w:rPr>
              <w:t>გადასახვევი</w:t>
            </w:r>
          </w:p>
        </w:tc>
        <w:tc>
          <w:tcPr>
            <w:tcW w:w="2878" w:type="dxa"/>
            <w:tcBorders>
              <w:top w:val="single" w:sz="4" w:space="0" w:color="auto"/>
              <w:left w:val="single" w:sz="4" w:space="0" w:color="auto"/>
              <w:bottom w:val="single" w:sz="4" w:space="0" w:color="auto"/>
              <w:right w:val="single" w:sz="4" w:space="0" w:color="auto"/>
            </w:tcBorders>
            <w:vAlign w:val="center"/>
            <w:hideMark/>
          </w:tcPr>
          <w:p w14:paraId="52FBF047" w14:textId="77777777" w:rsidR="00F8565C" w:rsidRPr="003D733D" w:rsidRDefault="00F8565C" w:rsidP="00F8565C">
            <w:pPr>
              <w:rPr>
                <w:lang w:val="ka-GE"/>
              </w:rPr>
            </w:pPr>
            <w:r w:rsidRPr="003D733D">
              <w:rPr>
                <w:rFonts w:ascii="Sylfaen" w:hAnsi="Sylfaen" w:cs="Sylfaen"/>
              </w:rPr>
              <w:t>ჩუმლაყი</w:t>
            </w:r>
          </w:p>
        </w:tc>
        <w:tc>
          <w:tcPr>
            <w:tcW w:w="1676" w:type="dxa"/>
            <w:tcBorders>
              <w:top w:val="single" w:sz="4" w:space="0" w:color="auto"/>
              <w:left w:val="single" w:sz="4" w:space="0" w:color="auto"/>
              <w:bottom w:val="single" w:sz="4" w:space="0" w:color="auto"/>
              <w:right w:val="single" w:sz="4" w:space="0" w:color="auto"/>
            </w:tcBorders>
            <w:vAlign w:val="center"/>
            <w:hideMark/>
          </w:tcPr>
          <w:p w14:paraId="263DA2D8" w14:textId="77777777" w:rsidR="00F8565C" w:rsidRPr="003D733D" w:rsidRDefault="00F8565C" w:rsidP="00F8565C">
            <w:r w:rsidRPr="003D733D">
              <w:t>7 336</w:t>
            </w:r>
          </w:p>
        </w:tc>
      </w:tr>
      <w:tr w:rsidR="00F8565C" w:rsidRPr="003D733D" w14:paraId="166A86D4" w14:textId="77777777" w:rsidTr="00F8565C">
        <w:tc>
          <w:tcPr>
            <w:tcW w:w="993" w:type="dxa"/>
            <w:tcBorders>
              <w:top w:val="single" w:sz="4" w:space="0" w:color="auto"/>
              <w:left w:val="single" w:sz="4" w:space="0" w:color="auto"/>
              <w:bottom w:val="single" w:sz="4" w:space="0" w:color="auto"/>
              <w:right w:val="single" w:sz="4" w:space="0" w:color="auto"/>
            </w:tcBorders>
            <w:vAlign w:val="center"/>
            <w:hideMark/>
          </w:tcPr>
          <w:p w14:paraId="13B4EAD1" w14:textId="77777777" w:rsidR="00F8565C" w:rsidRPr="003D733D" w:rsidRDefault="00F8565C" w:rsidP="00F8565C">
            <w:r w:rsidRPr="003D733D">
              <w:t>4</w:t>
            </w:r>
          </w:p>
        </w:tc>
        <w:tc>
          <w:tcPr>
            <w:tcW w:w="2650" w:type="dxa"/>
            <w:tcBorders>
              <w:top w:val="single" w:sz="4" w:space="0" w:color="auto"/>
              <w:left w:val="single" w:sz="4" w:space="0" w:color="auto"/>
              <w:bottom w:val="single" w:sz="4" w:space="0" w:color="auto"/>
              <w:right w:val="single" w:sz="4" w:space="0" w:color="auto"/>
            </w:tcBorders>
            <w:vAlign w:val="center"/>
            <w:hideMark/>
          </w:tcPr>
          <w:p w14:paraId="1EA11291" w14:textId="77777777" w:rsidR="00F8565C" w:rsidRPr="003D733D" w:rsidRDefault="00F8565C" w:rsidP="00F8565C">
            <w:pPr>
              <w:rPr>
                <w:lang w:val="ka-GE"/>
              </w:rPr>
            </w:pPr>
            <w:r w:rsidRPr="003D733D">
              <w:rPr>
                <w:rFonts w:ascii="Sylfaen" w:hAnsi="Sylfaen" w:cs="Sylfaen"/>
              </w:rPr>
              <w:t>ჩუმლაყი</w:t>
            </w:r>
          </w:p>
        </w:tc>
        <w:tc>
          <w:tcPr>
            <w:tcW w:w="2878" w:type="dxa"/>
            <w:tcBorders>
              <w:top w:val="single" w:sz="4" w:space="0" w:color="auto"/>
              <w:left w:val="single" w:sz="4" w:space="0" w:color="auto"/>
              <w:bottom w:val="single" w:sz="4" w:space="0" w:color="auto"/>
              <w:right w:val="single" w:sz="4" w:space="0" w:color="auto"/>
            </w:tcBorders>
            <w:vAlign w:val="center"/>
            <w:hideMark/>
          </w:tcPr>
          <w:p w14:paraId="245218D3" w14:textId="77777777" w:rsidR="00F8565C" w:rsidRPr="003D733D" w:rsidRDefault="00F8565C" w:rsidP="00F8565C">
            <w:r w:rsidRPr="003D733D">
              <w:rPr>
                <w:rFonts w:ascii="Sylfaen" w:hAnsi="Sylfaen" w:cs="Sylfaen"/>
              </w:rPr>
              <w:t>გურჯაანი</w:t>
            </w:r>
          </w:p>
        </w:tc>
        <w:tc>
          <w:tcPr>
            <w:tcW w:w="1676" w:type="dxa"/>
            <w:tcBorders>
              <w:top w:val="single" w:sz="4" w:space="0" w:color="auto"/>
              <w:left w:val="single" w:sz="4" w:space="0" w:color="auto"/>
              <w:bottom w:val="single" w:sz="4" w:space="0" w:color="auto"/>
              <w:right w:val="single" w:sz="4" w:space="0" w:color="auto"/>
            </w:tcBorders>
            <w:vAlign w:val="center"/>
            <w:hideMark/>
          </w:tcPr>
          <w:p w14:paraId="7C8F0973" w14:textId="77777777" w:rsidR="00F8565C" w:rsidRPr="003D733D" w:rsidRDefault="00F8565C" w:rsidP="00F8565C">
            <w:r w:rsidRPr="003D733D">
              <w:t>7 128</w:t>
            </w:r>
          </w:p>
        </w:tc>
      </w:tr>
      <w:tr w:rsidR="00F8565C" w:rsidRPr="003D733D" w14:paraId="5010EB99" w14:textId="77777777" w:rsidTr="00F8565C">
        <w:tc>
          <w:tcPr>
            <w:tcW w:w="993" w:type="dxa"/>
            <w:tcBorders>
              <w:top w:val="single" w:sz="4" w:space="0" w:color="auto"/>
              <w:left w:val="single" w:sz="4" w:space="0" w:color="auto"/>
              <w:bottom w:val="single" w:sz="4" w:space="0" w:color="auto"/>
              <w:right w:val="single" w:sz="4" w:space="0" w:color="auto"/>
            </w:tcBorders>
            <w:vAlign w:val="center"/>
            <w:hideMark/>
          </w:tcPr>
          <w:p w14:paraId="0FC324D9" w14:textId="77777777" w:rsidR="00F8565C" w:rsidRPr="003D733D" w:rsidRDefault="00F8565C" w:rsidP="00F8565C">
            <w:r w:rsidRPr="003D733D">
              <w:t>5</w:t>
            </w:r>
          </w:p>
        </w:tc>
        <w:tc>
          <w:tcPr>
            <w:tcW w:w="2650" w:type="dxa"/>
            <w:tcBorders>
              <w:top w:val="single" w:sz="4" w:space="0" w:color="auto"/>
              <w:left w:val="single" w:sz="4" w:space="0" w:color="auto"/>
              <w:bottom w:val="single" w:sz="4" w:space="0" w:color="auto"/>
              <w:right w:val="single" w:sz="4" w:space="0" w:color="auto"/>
            </w:tcBorders>
            <w:vAlign w:val="center"/>
            <w:hideMark/>
          </w:tcPr>
          <w:p w14:paraId="4C69444A" w14:textId="77777777" w:rsidR="00F8565C" w:rsidRPr="003D733D" w:rsidRDefault="00F8565C" w:rsidP="00F8565C">
            <w:pPr>
              <w:rPr>
                <w:lang w:val="ka-GE"/>
              </w:rPr>
            </w:pPr>
            <w:r w:rsidRPr="003D733D">
              <w:rPr>
                <w:rFonts w:ascii="Sylfaen" w:hAnsi="Sylfaen" w:cs="Sylfaen"/>
              </w:rPr>
              <w:t>გურჯაანი</w:t>
            </w:r>
          </w:p>
        </w:tc>
        <w:tc>
          <w:tcPr>
            <w:tcW w:w="2878" w:type="dxa"/>
            <w:tcBorders>
              <w:top w:val="single" w:sz="4" w:space="0" w:color="auto"/>
              <w:left w:val="single" w:sz="4" w:space="0" w:color="auto"/>
              <w:bottom w:val="single" w:sz="4" w:space="0" w:color="auto"/>
              <w:right w:val="single" w:sz="4" w:space="0" w:color="auto"/>
            </w:tcBorders>
            <w:vAlign w:val="center"/>
            <w:hideMark/>
          </w:tcPr>
          <w:p w14:paraId="7D6DB235" w14:textId="77777777" w:rsidR="00F8565C" w:rsidRPr="003D733D" w:rsidRDefault="00F8565C" w:rsidP="00F8565C">
            <w:r w:rsidRPr="003D733D">
              <w:rPr>
                <w:rFonts w:ascii="Sylfaen" w:hAnsi="Sylfaen" w:cs="Sylfaen"/>
              </w:rPr>
              <w:t>ბაკურციხე</w:t>
            </w:r>
          </w:p>
        </w:tc>
        <w:tc>
          <w:tcPr>
            <w:tcW w:w="1676" w:type="dxa"/>
            <w:tcBorders>
              <w:top w:val="single" w:sz="4" w:space="0" w:color="auto"/>
              <w:left w:val="single" w:sz="4" w:space="0" w:color="auto"/>
              <w:bottom w:val="single" w:sz="4" w:space="0" w:color="auto"/>
              <w:right w:val="single" w:sz="4" w:space="0" w:color="auto"/>
            </w:tcBorders>
            <w:vAlign w:val="center"/>
            <w:hideMark/>
          </w:tcPr>
          <w:p w14:paraId="745A8799" w14:textId="77777777" w:rsidR="00F8565C" w:rsidRPr="003D733D" w:rsidRDefault="00F8565C" w:rsidP="00F8565C">
            <w:r w:rsidRPr="003D733D">
              <w:t>8 146</w:t>
            </w:r>
          </w:p>
        </w:tc>
      </w:tr>
      <w:tr w:rsidR="00F8565C" w:rsidRPr="003D733D" w14:paraId="55B99ACB" w14:textId="77777777" w:rsidTr="00F8565C">
        <w:tc>
          <w:tcPr>
            <w:tcW w:w="993" w:type="dxa"/>
            <w:tcBorders>
              <w:top w:val="single" w:sz="4" w:space="0" w:color="auto"/>
              <w:left w:val="single" w:sz="4" w:space="0" w:color="auto"/>
              <w:bottom w:val="single" w:sz="4" w:space="0" w:color="auto"/>
              <w:right w:val="single" w:sz="4" w:space="0" w:color="auto"/>
            </w:tcBorders>
            <w:vAlign w:val="center"/>
            <w:hideMark/>
          </w:tcPr>
          <w:p w14:paraId="342B1F87" w14:textId="77777777" w:rsidR="00F8565C" w:rsidRPr="003D733D" w:rsidRDefault="00F8565C" w:rsidP="00F8565C">
            <w:r w:rsidRPr="003D733D">
              <w:t>6</w:t>
            </w:r>
          </w:p>
        </w:tc>
        <w:tc>
          <w:tcPr>
            <w:tcW w:w="2650" w:type="dxa"/>
            <w:tcBorders>
              <w:top w:val="single" w:sz="4" w:space="0" w:color="auto"/>
              <w:left w:val="single" w:sz="4" w:space="0" w:color="auto"/>
              <w:bottom w:val="single" w:sz="4" w:space="0" w:color="auto"/>
              <w:right w:val="single" w:sz="4" w:space="0" w:color="auto"/>
            </w:tcBorders>
            <w:vAlign w:val="center"/>
            <w:hideMark/>
          </w:tcPr>
          <w:p w14:paraId="75655ACD" w14:textId="77777777" w:rsidR="00F8565C" w:rsidRPr="003D733D" w:rsidRDefault="00F8565C" w:rsidP="00F8565C">
            <w:pPr>
              <w:rPr>
                <w:lang w:val="ka-GE"/>
              </w:rPr>
            </w:pPr>
            <w:r w:rsidRPr="003D733D">
              <w:rPr>
                <w:rFonts w:ascii="Sylfaen" w:hAnsi="Sylfaen" w:cs="Sylfaen"/>
              </w:rPr>
              <w:t>ბაკურციხე</w:t>
            </w:r>
          </w:p>
        </w:tc>
        <w:tc>
          <w:tcPr>
            <w:tcW w:w="2878" w:type="dxa"/>
            <w:tcBorders>
              <w:top w:val="single" w:sz="4" w:space="0" w:color="auto"/>
              <w:left w:val="single" w:sz="4" w:space="0" w:color="auto"/>
              <w:bottom w:val="single" w:sz="4" w:space="0" w:color="auto"/>
              <w:right w:val="single" w:sz="4" w:space="0" w:color="auto"/>
            </w:tcBorders>
            <w:vAlign w:val="center"/>
            <w:hideMark/>
          </w:tcPr>
          <w:p w14:paraId="4C5965BB" w14:textId="77777777" w:rsidR="00F8565C" w:rsidRPr="003D733D" w:rsidRDefault="00F8565C" w:rsidP="00F8565C">
            <w:r w:rsidRPr="003D733D">
              <w:rPr>
                <w:rFonts w:ascii="Sylfaen" w:hAnsi="Sylfaen" w:cs="Sylfaen"/>
              </w:rPr>
              <w:t>წნორი</w:t>
            </w:r>
          </w:p>
        </w:tc>
        <w:tc>
          <w:tcPr>
            <w:tcW w:w="1676" w:type="dxa"/>
            <w:tcBorders>
              <w:top w:val="single" w:sz="4" w:space="0" w:color="auto"/>
              <w:left w:val="single" w:sz="4" w:space="0" w:color="auto"/>
              <w:bottom w:val="single" w:sz="4" w:space="0" w:color="auto"/>
              <w:right w:val="single" w:sz="4" w:space="0" w:color="auto"/>
            </w:tcBorders>
            <w:vAlign w:val="center"/>
            <w:hideMark/>
          </w:tcPr>
          <w:p w14:paraId="1CA08922" w14:textId="77777777" w:rsidR="00F8565C" w:rsidRPr="003D733D" w:rsidRDefault="00F8565C" w:rsidP="00F8565C">
            <w:r w:rsidRPr="003D733D">
              <w:t>4 127</w:t>
            </w:r>
          </w:p>
        </w:tc>
      </w:tr>
    </w:tbl>
    <w:p w14:paraId="4C74357D" w14:textId="77777777" w:rsidR="00F8565C" w:rsidRPr="003D733D" w:rsidRDefault="00F8565C" w:rsidP="00F8565C">
      <w:r w:rsidRPr="003D733D">
        <w:rPr>
          <w:rFonts w:ascii="Sylfaen" w:hAnsi="Sylfaen" w:cs="Sylfaen"/>
        </w:rPr>
        <w:t>წყარო</w:t>
      </w:r>
      <w:r w:rsidRPr="003D733D">
        <w:t xml:space="preserve">: </w:t>
      </w:r>
      <w:r w:rsidRPr="003D733D">
        <w:rPr>
          <w:rFonts w:ascii="Sylfaen" w:hAnsi="Sylfaen" w:cs="Sylfaen"/>
        </w:rPr>
        <w:t>კონსულტანტი</w:t>
      </w:r>
    </w:p>
    <w:p w14:paraId="2134CACA" w14:textId="77777777" w:rsidR="00F8565C" w:rsidRPr="003D733D" w:rsidRDefault="00F8565C" w:rsidP="00F8565C"/>
    <w:p w14:paraId="01545AB6" w14:textId="77777777" w:rsidR="00F8565C" w:rsidRPr="003D733D" w:rsidRDefault="00F8565C" w:rsidP="00F8565C">
      <w:pPr>
        <w:sectPr w:rsidR="00F8565C" w:rsidRPr="003D733D" w:rsidSect="0058787D">
          <w:pgSz w:w="11900" w:h="16840"/>
          <w:pgMar w:top="1417" w:right="740" w:bottom="1134" w:left="1350" w:header="708" w:footer="708" w:gutter="0"/>
          <w:cols w:space="720"/>
          <w:docGrid w:linePitch="299"/>
        </w:sectPr>
      </w:pPr>
    </w:p>
    <w:p w14:paraId="1C28BBDB" w14:textId="4D72298E" w:rsidR="00F8565C" w:rsidRPr="003D733D" w:rsidRDefault="00F8565C" w:rsidP="00F8565C">
      <w:r w:rsidRPr="003D733D">
        <w:rPr>
          <w:rFonts w:ascii="Sylfaen" w:hAnsi="Sylfaen" w:cs="Sylfaen"/>
        </w:rPr>
        <w:lastRenderedPageBreak/>
        <w:t>ცრილი</w:t>
      </w:r>
      <w:r w:rsidRPr="003D733D">
        <w:t xml:space="preserve"> 4.</w:t>
      </w:r>
      <w:r w:rsidR="00960921">
        <w:rPr>
          <w:rFonts w:ascii="Sylfaen" w:hAnsi="Sylfaen"/>
          <w:lang w:val="ka-GE"/>
        </w:rPr>
        <w:t>7</w:t>
      </w:r>
      <w:r w:rsidRPr="003D733D">
        <w:t>.</w:t>
      </w:r>
      <w:r w:rsidR="00960921">
        <w:rPr>
          <w:rFonts w:ascii="Sylfaen" w:hAnsi="Sylfaen"/>
          <w:lang w:val="ka-GE"/>
        </w:rPr>
        <w:t>1-2</w:t>
      </w:r>
      <w:r w:rsidRPr="003D733D">
        <w:t xml:space="preserve"> 2017 </w:t>
      </w:r>
      <w:r w:rsidRPr="003D733D">
        <w:rPr>
          <w:rFonts w:ascii="Sylfaen" w:hAnsi="Sylfaen" w:cs="Sylfaen"/>
        </w:rPr>
        <w:t>წლის</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საშუალო</w:t>
      </w:r>
      <w:r w:rsidRPr="003D733D">
        <w:t xml:space="preserve"> </w:t>
      </w:r>
      <w:r w:rsidRPr="003D733D">
        <w:rPr>
          <w:rFonts w:ascii="Sylfaen" w:hAnsi="Sylfaen" w:cs="Sylfaen"/>
        </w:rPr>
        <w:t>ინტენსიურობის</w:t>
      </w:r>
      <w:r w:rsidRPr="003D733D">
        <w:t xml:space="preserve"> (AADT) </w:t>
      </w:r>
      <w:r w:rsidRPr="003D733D">
        <w:rPr>
          <w:rFonts w:ascii="Sylfaen" w:hAnsi="Sylfaen" w:cs="Sylfaen"/>
        </w:rPr>
        <w:t>კლასიფიცირებული</w:t>
      </w:r>
      <w:r w:rsidRPr="003D733D">
        <w:t xml:space="preserve"> </w:t>
      </w:r>
      <w:r w:rsidRPr="003D733D">
        <w:rPr>
          <w:rFonts w:ascii="Sylfaen" w:hAnsi="Sylfaen" w:cs="Sylfaen"/>
        </w:rPr>
        <w:t>მონაცემები</w:t>
      </w:r>
      <w:r w:rsidRPr="003D733D">
        <w:t xml:space="preserve"> </w:t>
      </w:r>
      <w:r w:rsidRPr="003D733D">
        <w:rPr>
          <w:rFonts w:ascii="Sylfaen" w:hAnsi="Sylfaen" w:cs="Sylfaen"/>
        </w:rPr>
        <w:t>ავტომობილების</w:t>
      </w:r>
      <w:r w:rsidRPr="003D733D">
        <w:t xml:space="preserve"> </w:t>
      </w:r>
      <w:r w:rsidRPr="003D733D">
        <w:rPr>
          <w:rFonts w:ascii="Sylfaen" w:hAnsi="Sylfaen" w:cs="Sylfaen"/>
        </w:rPr>
        <w:t>კატეგორიების</w:t>
      </w:r>
      <w:r w:rsidRPr="003D733D">
        <w:t xml:space="preserve"> </w:t>
      </w:r>
      <w:r w:rsidRPr="003D733D">
        <w:rPr>
          <w:rFonts w:ascii="Sylfaen" w:hAnsi="Sylfaen" w:cs="Sylfaen"/>
        </w:rPr>
        <w:t>და</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მონაკვეთების</w:t>
      </w:r>
      <w:r w:rsidRPr="003D733D">
        <w:t xml:space="preserve"> </w:t>
      </w:r>
      <w:r w:rsidRPr="003D733D">
        <w:rPr>
          <w:rFonts w:ascii="Sylfaen" w:hAnsi="Sylfaen" w:cs="Sylfaen"/>
        </w:rPr>
        <w:t>მიხედვით</w:t>
      </w:r>
      <w:r w:rsidRPr="003D733D">
        <w:t xml:space="preserve"> </w:t>
      </w:r>
    </w:p>
    <w:tbl>
      <w:tblPr>
        <w:tblW w:w="144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279"/>
        <w:gridCol w:w="1530"/>
        <w:gridCol w:w="1530"/>
        <w:gridCol w:w="1110"/>
        <w:gridCol w:w="1526"/>
        <w:gridCol w:w="1396"/>
        <w:gridCol w:w="1658"/>
        <w:gridCol w:w="1530"/>
        <w:gridCol w:w="1377"/>
        <w:gridCol w:w="1013"/>
      </w:tblGrid>
      <w:tr w:rsidR="00F8565C" w:rsidRPr="001D2B74" w14:paraId="494CE1BC" w14:textId="77777777" w:rsidTr="000B139D">
        <w:trPr>
          <w:trHeight w:val="610"/>
        </w:trPr>
        <w:tc>
          <w:tcPr>
            <w:tcW w:w="498"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vAlign w:val="center"/>
            <w:hideMark/>
          </w:tcPr>
          <w:p w14:paraId="61BB7BD4" w14:textId="77777777" w:rsidR="00F8565C" w:rsidRPr="001D2B74" w:rsidRDefault="00F8565C" w:rsidP="00F8565C">
            <w:pPr>
              <w:rPr>
                <w:sz w:val="20"/>
                <w:lang w:val="ka-GE" w:eastAsia="en-GB"/>
              </w:rPr>
            </w:pPr>
            <w:r w:rsidRPr="001D2B74">
              <w:rPr>
                <w:rFonts w:ascii="Sylfaen" w:hAnsi="Sylfaen" w:cs="Sylfaen"/>
                <w:sz w:val="20"/>
              </w:rPr>
              <w:t>მონ</w:t>
            </w:r>
            <w:r w:rsidRPr="001D2B74">
              <w:rPr>
                <w:sz w:val="20"/>
              </w:rPr>
              <w:t>.</w:t>
            </w:r>
          </w:p>
          <w:p w14:paraId="708A4CFE" w14:textId="77777777" w:rsidR="00F8565C" w:rsidRPr="001D2B74" w:rsidRDefault="00F8565C" w:rsidP="00F8565C">
            <w:pPr>
              <w:rPr>
                <w:sz w:val="20"/>
              </w:rPr>
            </w:pPr>
            <w:r w:rsidRPr="001D2B74">
              <w:rPr>
                <w:sz w:val="20"/>
              </w:rPr>
              <w:t>№</w:t>
            </w:r>
          </w:p>
        </w:tc>
        <w:tc>
          <w:tcPr>
            <w:tcW w:w="1279"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vAlign w:val="center"/>
            <w:hideMark/>
          </w:tcPr>
          <w:p w14:paraId="04B88DAF" w14:textId="77777777" w:rsidR="00F8565C" w:rsidRPr="001D2B74" w:rsidRDefault="00F8565C" w:rsidP="00F8565C">
            <w:pPr>
              <w:rPr>
                <w:sz w:val="20"/>
              </w:rPr>
            </w:pPr>
            <w:r w:rsidRPr="001D2B74">
              <w:rPr>
                <w:rFonts w:ascii="Sylfaen" w:hAnsi="Sylfaen" w:cs="Sylfaen"/>
                <w:sz w:val="20"/>
              </w:rPr>
              <w:t>დასაწყისი</w:t>
            </w:r>
          </w:p>
        </w:tc>
        <w:tc>
          <w:tcPr>
            <w:tcW w:w="1530"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vAlign w:val="center"/>
            <w:hideMark/>
          </w:tcPr>
          <w:p w14:paraId="37202B25" w14:textId="77777777" w:rsidR="00F8565C" w:rsidRPr="001D2B74" w:rsidRDefault="00F8565C" w:rsidP="00F8565C">
            <w:pPr>
              <w:rPr>
                <w:sz w:val="20"/>
              </w:rPr>
            </w:pPr>
            <w:r w:rsidRPr="001D2B74">
              <w:rPr>
                <w:rFonts w:ascii="Sylfaen" w:hAnsi="Sylfaen" w:cs="Sylfaen"/>
                <w:sz w:val="20"/>
              </w:rPr>
              <w:t>დასასრული</w:t>
            </w:r>
          </w:p>
        </w:tc>
        <w:tc>
          <w:tcPr>
            <w:tcW w:w="1530"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14:paraId="68240999" w14:textId="77777777" w:rsidR="00F8565C" w:rsidRPr="001D2B74" w:rsidRDefault="00F8565C" w:rsidP="00F8565C">
            <w:pPr>
              <w:rPr>
                <w:sz w:val="20"/>
              </w:rPr>
            </w:pPr>
            <w:r w:rsidRPr="001D2B74">
              <w:rPr>
                <w:rFonts w:ascii="Sylfaen" w:hAnsi="Sylfaen" w:cs="Sylfaen"/>
                <w:sz w:val="20"/>
              </w:rPr>
              <w:t>მსუბუქი</w:t>
            </w:r>
            <w:r w:rsidRPr="001D2B74">
              <w:rPr>
                <w:sz w:val="20"/>
              </w:rPr>
              <w:t xml:space="preserve"> </w:t>
            </w:r>
            <w:r w:rsidRPr="001D2B74">
              <w:rPr>
                <w:rFonts w:ascii="Sylfaen" w:hAnsi="Sylfaen" w:cs="Sylfaen"/>
                <w:sz w:val="20"/>
              </w:rPr>
              <w:t>მსუბუქი</w:t>
            </w:r>
            <w:r w:rsidRPr="001D2B74">
              <w:rPr>
                <w:sz w:val="20"/>
              </w:rPr>
              <w:t xml:space="preserve"> </w:t>
            </w:r>
            <w:r w:rsidRPr="001D2B74">
              <w:rPr>
                <w:rFonts w:ascii="Sylfaen" w:hAnsi="Sylfaen" w:cs="Sylfaen"/>
                <w:sz w:val="20"/>
              </w:rPr>
              <w:t>ავტომობილი</w:t>
            </w:r>
          </w:p>
        </w:tc>
        <w:tc>
          <w:tcPr>
            <w:tcW w:w="1110"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14:paraId="499126A5" w14:textId="65B8E0A5" w:rsidR="00F8565C" w:rsidRPr="001D2B74" w:rsidRDefault="00F8565C" w:rsidP="000B139D">
            <w:pPr>
              <w:rPr>
                <w:sz w:val="20"/>
              </w:rPr>
            </w:pPr>
            <w:r w:rsidRPr="001D2B74">
              <w:rPr>
                <w:rFonts w:ascii="Sylfaen" w:hAnsi="Sylfaen" w:cs="Sylfaen"/>
                <w:sz w:val="20"/>
              </w:rPr>
              <w:t>მიკროავტ</w:t>
            </w:r>
            <w:r w:rsidR="000B139D" w:rsidRPr="001D2B74">
              <w:rPr>
                <w:rFonts w:ascii="Sylfaen" w:hAnsi="Sylfaen" w:cs="Sylfaen"/>
                <w:sz w:val="20"/>
                <w:lang w:val="ka-GE"/>
              </w:rPr>
              <w:t>.</w:t>
            </w:r>
          </w:p>
        </w:tc>
        <w:tc>
          <w:tcPr>
            <w:tcW w:w="1410"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14:paraId="60846FA4" w14:textId="77777777" w:rsidR="00F8565C" w:rsidRPr="001D2B74" w:rsidRDefault="00F8565C" w:rsidP="00F8565C">
            <w:pPr>
              <w:rPr>
                <w:sz w:val="20"/>
                <w:lang w:val="ka-GE"/>
              </w:rPr>
            </w:pPr>
            <w:r w:rsidRPr="001D2B74">
              <w:rPr>
                <w:rFonts w:ascii="Sylfaen" w:hAnsi="Sylfaen" w:cs="Sylfaen"/>
                <w:sz w:val="20"/>
              </w:rPr>
              <w:t>საშუალო</w:t>
            </w:r>
            <w:r w:rsidRPr="001D2B74">
              <w:rPr>
                <w:sz w:val="20"/>
              </w:rPr>
              <w:t>/</w:t>
            </w:r>
            <w:r w:rsidRPr="001D2B74">
              <w:rPr>
                <w:rFonts w:ascii="Sylfaen" w:hAnsi="Sylfaen" w:cs="Sylfaen"/>
                <w:sz w:val="20"/>
              </w:rPr>
              <w:t>დიდი</w:t>
            </w:r>
          </w:p>
          <w:p w14:paraId="53BBCF67" w14:textId="77777777" w:rsidR="00F8565C" w:rsidRPr="001D2B74" w:rsidRDefault="00F8565C" w:rsidP="00F8565C">
            <w:pPr>
              <w:rPr>
                <w:sz w:val="20"/>
              </w:rPr>
            </w:pPr>
            <w:r w:rsidRPr="001D2B74">
              <w:rPr>
                <w:rFonts w:ascii="Sylfaen" w:hAnsi="Sylfaen" w:cs="Sylfaen"/>
                <w:sz w:val="20"/>
              </w:rPr>
              <w:t>ავტობუსი</w:t>
            </w:r>
          </w:p>
        </w:tc>
        <w:tc>
          <w:tcPr>
            <w:tcW w:w="1396"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14:paraId="671080AD" w14:textId="77777777" w:rsidR="00F8565C" w:rsidRPr="001D2B74" w:rsidRDefault="00F8565C" w:rsidP="00F8565C">
            <w:pPr>
              <w:rPr>
                <w:sz w:val="20"/>
              </w:rPr>
            </w:pPr>
            <w:r w:rsidRPr="001D2B74">
              <w:rPr>
                <w:rFonts w:ascii="Sylfaen" w:hAnsi="Sylfaen" w:cs="Sylfaen"/>
                <w:sz w:val="20"/>
              </w:rPr>
              <w:t>მსუბუქი</w:t>
            </w:r>
            <w:r w:rsidRPr="001D2B74">
              <w:rPr>
                <w:sz w:val="20"/>
              </w:rPr>
              <w:t xml:space="preserve"> </w:t>
            </w:r>
            <w:r w:rsidRPr="001D2B74">
              <w:rPr>
                <w:rFonts w:ascii="Sylfaen" w:hAnsi="Sylfaen" w:cs="Sylfaen"/>
                <w:sz w:val="20"/>
              </w:rPr>
              <w:t>სატვირთო</w:t>
            </w:r>
            <w:r w:rsidRPr="001D2B74">
              <w:rPr>
                <w:sz w:val="20"/>
              </w:rPr>
              <w:t xml:space="preserve"> </w:t>
            </w:r>
            <w:r w:rsidRPr="001D2B74">
              <w:rPr>
                <w:rFonts w:ascii="Sylfaen" w:hAnsi="Sylfaen" w:cs="Sylfaen"/>
                <w:sz w:val="20"/>
              </w:rPr>
              <w:t>ავტომობილი</w:t>
            </w:r>
          </w:p>
        </w:tc>
        <w:tc>
          <w:tcPr>
            <w:tcW w:w="1658"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14:paraId="7F255A04" w14:textId="77777777" w:rsidR="00F8565C" w:rsidRPr="001D2B74" w:rsidRDefault="00F8565C" w:rsidP="00F8565C">
            <w:pPr>
              <w:rPr>
                <w:sz w:val="20"/>
              </w:rPr>
            </w:pPr>
            <w:r w:rsidRPr="001D2B74">
              <w:rPr>
                <w:rFonts w:ascii="Sylfaen" w:hAnsi="Sylfaen" w:cs="Sylfaen"/>
                <w:sz w:val="20"/>
              </w:rPr>
              <w:t>საშუალო</w:t>
            </w:r>
            <w:r w:rsidRPr="001D2B74">
              <w:rPr>
                <w:sz w:val="20"/>
              </w:rPr>
              <w:t xml:space="preserve"> </w:t>
            </w:r>
            <w:r w:rsidRPr="001D2B74">
              <w:rPr>
                <w:rFonts w:ascii="Sylfaen" w:hAnsi="Sylfaen" w:cs="Sylfaen"/>
                <w:sz w:val="20"/>
              </w:rPr>
              <w:t>სატვირთო</w:t>
            </w:r>
            <w:r w:rsidRPr="001D2B74">
              <w:rPr>
                <w:sz w:val="20"/>
              </w:rPr>
              <w:t xml:space="preserve"> </w:t>
            </w:r>
            <w:r w:rsidRPr="001D2B74">
              <w:rPr>
                <w:rFonts w:ascii="Sylfaen" w:hAnsi="Sylfaen" w:cs="Sylfaen"/>
                <w:sz w:val="20"/>
              </w:rPr>
              <w:t>ავტომობილი</w:t>
            </w:r>
          </w:p>
        </w:tc>
        <w:tc>
          <w:tcPr>
            <w:tcW w:w="1530"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14:paraId="56FB3E3E" w14:textId="77777777" w:rsidR="00F8565C" w:rsidRPr="001D2B74" w:rsidRDefault="00F8565C" w:rsidP="00F8565C">
            <w:pPr>
              <w:rPr>
                <w:sz w:val="20"/>
              </w:rPr>
            </w:pPr>
            <w:r w:rsidRPr="001D2B74">
              <w:rPr>
                <w:sz w:val="20"/>
              </w:rPr>
              <w:t xml:space="preserve">3 </w:t>
            </w:r>
            <w:r w:rsidRPr="001D2B74">
              <w:rPr>
                <w:rFonts w:ascii="Sylfaen" w:hAnsi="Sylfaen" w:cs="Sylfaen"/>
                <w:sz w:val="20"/>
              </w:rPr>
              <w:t>ღერძიანი</w:t>
            </w:r>
            <w:r w:rsidRPr="001D2B74">
              <w:rPr>
                <w:sz w:val="20"/>
              </w:rPr>
              <w:t xml:space="preserve"> </w:t>
            </w:r>
            <w:r w:rsidRPr="001D2B74">
              <w:rPr>
                <w:rFonts w:ascii="Sylfaen" w:hAnsi="Sylfaen" w:cs="Sylfaen"/>
                <w:sz w:val="20"/>
              </w:rPr>
              <w:t>მძიმე</w:t>
            </w:r>
            <w:r w:rsidRPr="001D2B74">
              <w:rPr>
                <w:sz w:val="20"/>
              </w:rPr>
              <w:t xml:space="preserve"> </w:t>
            </w:r>
            <w:r w:rsidRPr="001D2B74">
              <w:rPr>
                <w:rFonts w:ascii="Sylfaen" w:hAnsi="Sylfaen" w:cs="Sylfaen"/>
                <w:sz w:val="20"/>
              </w:rPr>
              <w:t>სატვირთო</w:t>
            </w:r>
            <w:r w:rsidRPr="001D2B74">
              <w:rPr>
                <w:sz w:val="20"/>
              </w:rPr>
              <w:t xml:space="preserve"> </w:t>
            </w:r>
            <w:r w:rsidRPr="001D2B74">
              <w:rPr>
                <w:rFonts w:ascii="Sylfaen" w:hAnsi="Sylfaen" w:cs="Sylfaen"/>
                <w:sz w:val="20"/>
              </w:rPr>
              <w:t>ავტომობილი</w:t>
            </w:r>
          </w:p>
        </w:tc>
        <w:tc>
          <w:tcPr>
            <w:tcW w:w="1396"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14:paraId="7F8FB4D9" w14:textId="77777777" w:rsidR="00F8565C" w:rsidRPr="001D2B74" w:rsidRDefault="00F8565C" w:rsidP="00F8565C">
            <w:pPr>
              <w:rPr>
                <w:sz w:val="20"/>
              </w:rPr>
            </w:pPr>
            <w:r w:rsidRPr="001D2B74">
              <w:rPr>
                <w:sz w:val="20"/>
              </w:rPr>
              <w:t xml:space="preserve">4 </w:t>
            </w:r>
            <w:r w:rsidRPr="001D2B74">
              <w:rPr>
                <w:rFonts w:ascii="Sylfaen" w:hAnsi="Sylfaen" w:cs="Sylfaen"/>
                <w:sz w:val="20"/>
              </w:rPr>
              <w:t>და</w:t>
            </w:r>
            <w:r w:rsidRPr="001D2B74">
              <w:rPr>
                <w:sz w:val="20"/>
              </w:rPr>
              <w:t xml:space="preserve"> </w:t>
            </w:r>
            <w:r w:rsidRPr="001D2B74">
              <w:rPr>
                <w:rFonts w:ascii="Sylfaen" w:hAnsi="Sylfaen" w:cs="Sylfaen"/>
                <w:sz w:val="20"/>
              </w:rPr>
              <w:t>მეტ</w:t>
            </w:r>
            <w:r w:rsidRPr="001D2B74">
              <w:rPr>
                <w:sz w:val="20"/>
              </w:rPr>
              <w:t xml:space="preserve"> </w:t>
            </w:r>
            <w:r w:rsidRPr="001D2B74">
              <w:rPr>
                <w:rFonts w:ascii="Sylfaen" w:hAnsi="Sylfaen" w:cs="Sylfaen"/>
                <w:sz w:val="20"/>
              </w:rPr>
              <w:t>ღერძიანი</w:t>
            </w:r>
            <w:r w:rsidRPr="001D2B74">
              <w:rPr>
                <w:sz w:val="20"/>
              </w:rPr>
              <w:t xml:space="preserve"> </w:t>
            </w:r>
            <w:r w:rsidRPr="001D2B74">
              <w:rPr>
                <w:rFonts w:ascii="Sylfaen" w:hAnsi="Sylfaen" w:cs="Sylfaen"/>
                <w:sz w:val="20"/>
              </w:rPr>
              <w:t>მძიმე</w:t>
            </w:r>
            <w:r w:rsidRPr="001D2B74">
              <w:rPr>
                <w:sz w:val="20"/>
              </w:rPr>
              <w:t xml:space="preserve"> </w:t>
            </w:r>
            <w:r w:rsidRPr="001D2B74">
              <w:rPr>
                <w:rFonts w:ascii="Sylfaen" w:hAnsi="Sylfaen" w:cs="Sylfaen"/>
                <w:sz w:val="20"/>
              </w:rPr>
              <w:t>ავტომობილი</w:t>
            </w:r>
          </w:p>
        </w:tc>
        <w:tc>
          <w:tcPr>
            <w:tcW w:w="1110"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14:paraId="4719F15A" w14:textId="77777777" w:rsidR="00F8565C" w:rsidRPr="001D2B74" w:rsidRDefault="00F8565C" w:rsidP="00F8565C">
            <w:pPr>
              <w:rPr>
                <w:sz w:val="20"/>
                <w:lang w:val="ka-GE"/>
              </w:rPr>
            </w:pPr>
            <w:r w:rsidRPr="001D2B74">
              <w:rPr>
                <w:rFonts w:ascii="Sylfaen" w:hAnsi="Sylfaen" w:cs="Sylfaen"/>
                <w:sz w:val="20"/>
              </w:rPr>
              <w:t>სულ</w:t>
            </w:r>
          </w:p>
        </w:tc>
      </w:tr>
      <w:tr w:rsidR="00F8565C" w:rsidRPr="001D2B74" w14:paraId="3DBD6DD1" w14:textId="77777777" w:rsidTr="000B139D">
        <w:trPr>
          <w:trHeight w:val="300"/>
        </w:trPr>
        <w:tc>
          <w:tcPr>
            <w:tcW w:w="498" w:type="dxa"/>
            <w:tcBorders>
              <w:top w:val="single" w:sz="4" w:space="0" w:color="auto"/>
              <w:left w:val="single" w:sz="4" w:space="0" w:color="auto"/>
              <w:bottom w:val="single" w:sz="4" w:space="0" w:color="auto"/>
              <w:right w:val="single" w:sz="4" w:space="0" w:color="auto"/>
            </w:tcBorders>
            <w:noWrap/>
            <w:vAlign w:val="center"/>
            <w:hideMark/>
          </w:tcPr>
          <w:p w14:paraId="257CD38C" w14:textId="77777777" w:rsidR="00F8565C" w:rsidRPr="001D2B74" w:rsidRDefault="00F8565C" w:rsidP="00F8565C">
            <w:pPr>
              <w:rPr>
                <w:sz w:val="20"/>
              </w:rPr>
            </w:pPr>
            <w:r w:rsidRPr="001D2B74">
              <w:rPr>
                <w:sz w:val="20"/>
              </w:rPr>
              <w:t>1</w:t>
            </w:r>
          </w:p>
        </w:tc>
        <w:tc>
          <w:tcPr>
            <w:tcW w:w="1279"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14:paraId="40CC6B11" w14:textId="77777777" w:rsidR="00F8565C" w:rsidRPr="001D2B74" w:rsidRDefault="00F8565C" w:rsidP="00F8565C">
            <w:pPr>
              <w:rPr>
                <w:sz w:val="20"/>
                <w:lang w:val="ka-GE"/>
              </w:rPr>
            </w:pPr>
            <w:r w:rsidRPr="001D2B74">
              <w:rPr>
                <w:rFonts w:ascii="Sylfaen" w:hAnsi="Sylfaen" w:cs="Sylfaen"/>
                <w:sz w:val="20"/>
              </w:rPr>
              <w:t>თელავი</w:t>
            </w:r>
          </w:p>
        </w:tc>
        <w:tc>
          <w:tcPr>
            <w:tcW w:w="1530"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14:paraId="7D343068" w14:textId="77777777" w:rsidR="00F8565C" w:rsidRPr="001D2B74" w:rsidRDefault="00F8565C" w:rsidP="00F8565C">
            <w:pPr>
              <w:rPr>
                <w:sz w:val="20"/>
              </w:rPr>
            </w:pPr>
            <w:r w:rsidRPr="001D2B74">
              <w:rPr>
                <w:rFonts w:ascii="Sylfaen" w:hAnsi="Sylfaen" w:cs="Sylfaen"/>
                <w:sz w:val="20"/>
              </w:rPr>
              <w:t>აკურა</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631FFB0" w14:textId="77777777" w:rsidR="00F8565C" w:rsidRPr="001D2B74" w:rsidRDefault="00F8565C" w:rsidP="00F8565C">
            <w:pPr>
              <w:rPr>
                <w:sz w:val="20"/>
              </w:rPr>
            </w:pPr>
            <w:r w:rsidRPr="001D2B74">
              <w:rPr>
                <w:sz w:val="20"/>
              </w:rPr>
              <w:t>4 743</w:t>
            </w:r>
          </w:p>
        </w:tc>
        <w:tc>
          <w:tcPr>
            <w:tcW w:w="1110" w:type="dxa"/>
            <w:tcBorders>
              <w:top w:val="single" w:sz="4" w:space="0" w:color="auto"/>
              <w:left w:val="nil"/>
              <w:bottom w:val="single" w:sz="4" w:space="0" w:color="auto"/>
              <w:right w:val="single" w:sz="4" w:space="0" w:color="auto"/>
            </w:tcBorders>
            <w:vAlign w:val="center"/>
            <w:hideMark/>
          </w:tcPr>
          <w:p w14:paraId="572AF128" w14:textId="77777777" w:rsidR="00F8565C" w:rsidRPr="001D2B74" w:rsidRDefault="00F8565C" w:rsidP="00F8565C">
            <w:pPr>
              <w:rPr>
                <w:sz w:val="20"/>
              </w:rPr>
            </w:pPr>
            <w:r w:rsidRPr="001D2B74">
              <w:rPr>
                <w:sz w:val="20"/>
              </w:rPr>
              <w:t>461</w:t>
            </w:r>
          </w:p>
        </w:tc>
        <w:tc>
          <w:tcPr>
            <w:tcW w:w="1410" w:type="dxa"/>
            <w:tcBorders>
              <w:top w:val="single" w:sz="4" w:space="0" w:color="auto"/>
              <w:left w:val="nil"/>
              <w:bottom w:val="single" w:sz="4" w:space="0" w:color="auto"/>
              <w:right w:val="single" w:sz="4" w:space="0" w:color="auto"/>
            </w:tcBorders>
            <w:vAlign w:val="center"/>
            <w:hideMark/>
          </w:tcPr>
          <w:p w14:paraId="25726CCA" w14:textId="77777777" w:rsidR="00F8565C" w:rsidRPr="001D2B74" w:rsidRDefault="00F8565C" w:rsidP="00F8565C">
            <w:pPr>
              <w:rPr>
                <w:sz w:val="20"/>
              </w:rPr>
            </w:pPr>
            <w:r w:rsidRPr="001D2B74">
              <w:rPr>
                <w:sz w:val="20"/>
              </w:rPr>
              <w:t>17</w:t>
            </w:r>
          </w:p>
        </w:tc>
        <w:tc>
          <w:tcPr>
            <w:tcW w:w="1396" w:type="dxa"/>
            <w:tcBorders>
              <w:top w:val="single" w:sz="4" w:space="0" w:color="auto"/>
              <w:left w:val="nil"/>
              <w:bottom w:val="single" w:sz="4" w:space="0" w:color="auto"/>
              <w:right w:val="single" w:sz="4" w:space="0" w:color="auto"/>
            </w:tcBorders>
            <w:vAlign w:val="center"/>
            <w:hideMark/>
          </w:tcPr>
          <w:p w14:paraId="31C45262" w14:textId="77777777" w:rsidR="00F8565C" w:rsidRPr="001D2B74" w:rsidRDefault="00F8565C" w:rsidP="00F8565C">
            <w:pPr>
              <w:rPr>
                <w:sz w:val="20"/>
              </w:rPr>
            </w:pPr>
            <w:r w:rsidRPr="001D2B74">
              <w:rPr>
                <w:sz w:val="20"/>
              </w:rPr>
              <w:t>639</w:t>
            </w:r>
          </w:p>
        </w:tc>
        <w:tc>
          <w:tcPr>
            <w:tcW w:w="1658" w:type="dxa"/>
            <w:tcBorders>
              <w:top w:val="single" w:sz="4" w:space="0" w:color="auto"/>
              <w:left w:val="nil"/>
              <w:bottom w:val="single" w:sz="4" w:space="0" w:color="auto"/>
              <w:right w:val="single" w:sz="4" w:space="0" w:color="auto"/>
            </w:tcBorders>
            <w:vAlign w:val="center"/>
            <w:hideMark/>
          </w:tcPr>
          <w:p w14:paraId="53993AA3" w14:textId="77777777" w:rsidR="00F8565C" w:rsidRPr="001D2B74" w:rsidRDefault="00F8565C" w:rsidP="00F8565C">
            <w:pPr>
              <w:rPr>
                <w:sz w:val="20"/>
              </w:rPr>
            </w:pPr>
            <w:r w:rsidRPr="001D2B74">
              <w:rPr>
                <w:sz w:val="20"/>
              </w:rPr>
              <w:t>121</w:t>
            </w:r>
          </w:p>
        </w:tc>
        <w:tc>
          <w:tcPr>
            <w:tcW w:w="1530" w:type="dxa"/>
            <w:tcBorders>
              <w:top w:val="single" w:sz="4" w:space="0" w:color="auto"/>
              <w:left w:val="nil"/>
              <w:bottom w:val="single" w:sz="4" w:space="0" w:color="auto"/>
              <w:right w:val="single" w:sz="4" w:space="0" w:color="auto"/>
            </w:tcBorders>
            <w:vAlign w:val="center"/>
            <w:hideMark/>
          </w:tcPr>
          <w:p w14:paraId="386B7288" w14:textId="77777777" w:rsidR="00F8565C" w:rsidRPr="001D2B74" w:rsidRDefault="00F8565C" w:rsidP="00F8565C">
            <w:pPr>
              <w:rPr>
                <w:sz w:val="20"/>
              </w:rPr>
            </w:pPr>
            <w:r w:rsidRPr="001D2B74">
              <w:rPr>
                <w:sz w:val="20"/>
              </w:rPr>
              <w:t>127</w:t>
            </w:r>
          </w:p>
        </w:tc>
        <w:tc>
          <w:tcPr>
            <w:tcW w:w="1396" w:type="dxa"/>
            <w:tcBorders>
              <w:top w:val="single" w:sz="4" w:space="0" w:color="auto"/>
              <w:left w:val="single" w:sz="4" w:space="0" w:color="auto"/>
              <w:bottom w:val="single" w:sz="4" w:space="0" w:color="auto"/>
              <w:right w:val="single" w:sz="4" w:space="0" w:color="auto"/>
            </w:tcBorders>
            <w:vAlign w:val="center"/>
            <w:hideMark/>
          </w:tcPr>
          <w:p w14:paraId="0D1593CA" w14:textId="77777777" w:rsidR="00F8565C" w:rsidRPr="001D2B74" w:rsidRDefault="00F8565C" w:rsidP="00F8565C">
            <w:pPr>
              <w:rPr>
                <w:sz w:val="20"/>
              </w:rPr>
            </w:pPr>
            <w:r w:rsidRPr="001D2B74">
              <w:rPr>
                <w:sz w:val="20"/>
              </w:rPr>
              <w:t>76</w:t>
            </w:r>
          </w:p>
        </w:tc>
        <w:tc>
          <w:tcPr>
            <w:tcW w:w="1110" w:type="dxa"/>
            <w:tcBorders>
              <w:top w:val="single" w:sz="4" w:space="0" w:color="auto"/>
              <w:left w:val="single" w:sz="4" w:space="0" w:color="auto"/>
              <w:bottom w:val="single" w:sz="4" w:space="0" w:color="auto"/>
              <w:right w:val="single" w:sz="4" w:space="0" w:color="auto"/>
            </w:tcBorders>
            <w:vAlign w:val="center"/>
            <w:hideMark/>
          </w:tcPr>
          <w:p w14:paraId="0FD371B2" w14:textId="77777777" w:rsidR="00F8565C" w:rsidRPr="001D2B74" w:rsidRDefault="00F8565C" w:rsidP="00F8565C">
            <w:pPr>
              <w:rPr>
                <w:sz w:val="20"/>
              </w:rPr>
            </w:pPr>
            <w:r w:rsidRPr="001D2B74">
              <w:rPr>
                <w:sz w:val="20"/>
              </w:rPr>
              <w:t>6 183</w:t>
            </w:r>
          </w:p>
        </w:tc>
      </w:tr>
      <w:tr w:rsidR="00F8565C" w:rsidRPr="001D2B74" w14:paraId="41DC0FA8" w14:textId="77777777" w:rsidTr="000B139D">
        <w:trPr>
          <w:trHeight w:val="300"/>
        </w:trPr>
        <w:tc>
          <w:tcPr>
            <w:tcW w:w="498" w:type="dxa"/>
            <w:tcBorders>
              <w:top w:val="single" w:sz="4" w:space="0" w:color="auto"/>
              <w:left w:val="single" w:sz="4" w:space="0" w:color="auto"/>
              <w:bottom w:val="single" w:sz="4" w:space="0" w:color="auto"/>
              <w:right w:val="single" w:sz="4" w:space="0" w:color="auto"/>
            </w:tcBorders>
            <w:noWrap/>
            <w:vAlign w:val="center"/>
            <w:hideMark/>
          </w:tcPr>
          <w:p w14:paraId="272AAE96" w14:textId="77777777" w:rsidR="00F8565C" w:rsidRPr="001D2B74" w:rsidRDefault="00F8565C" w:rsidP="00F8565C">
            <w:pPr>
              <w:rPr>
                <w:sz w:val="20"/>
              </w:rPr>
            </w:pPr>
            <w:r w:rsidRPr="001D2B74">
              <w:rPr>
                <w:sz w:val="20"/>
              </w:rPr>
              <w:t>2</w:t>
            </w:r>
          </w:p>
        </w:tc>
        <w:tc>
          <w:tcPr>
            <w:tcW w:w="1279"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14:paraId="2B788B28" w14:textId="77777777" w:rsidR="00F8565C" w:rsidRPr="001D2B74" w:rsidRDefault="00F8565C" w:rsidP="00F8565C">
            <w:pPr>
              <w:rPr>
                <w:sz w:val="20"/>
              </w:rPr>
            </w:pPr>
            <w:r w:rsidRPr="001D2B74">
              <w:rPr>
                <w:rFonts w:ascii="Sylfaen" w:hAnsi="Sylfaen" w:cs="Sylfaen"/>
                <w:sz w:val="20"/>
              </w:rPr>
              <w:t>აკურა</w:t>
            </w:r>
          </w:p>
        </w:tc>
        <w:tc>
          <w:tcPr>
            <w:tcW w:w="1530"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14:paraId="4A7F4F21" w14:textId="77777777" w:rsidR="00F8565C" w:rsidRPr="001D2B74" w:rsidRDefault="00F8565C" w:rsidP="00F8565C">
            <w:pPr>
              <w:rPr>
                <w:sz w:val="20"/>
              </w:rPr>
            </w:pPr>
            <w:r w:rsidRPr="001D2B74">
              <w:rPr>
                <w:rFonts w:ascii="Sylfaen" w:hAnsi="Sylfaen" w:cs="Sylfaen"/>
                <w:sz w:val="20"/>
              </w:rPr>
              <w:t>ველისციხის</w:t>
            </w:r>
            <w:r w:rsidRPr="001D2B74">
              <w:rPr>
                <w:sz w:val="20"/>
              </w:rPr>
              <w:t xml:space="preserve"> </w:t>
            </w:r>
            <w:r w:rsidRPr="001D2B74">
              <w:rPr>
                <w:rFonts w:ascii="Sylfaen" w:hAnsi="Sylfaen" w:cs="Sylfaen"/>
                <w:sz w:val="20"/>
              </w:rPr>
              <w:t>გადასახვევი</w:t>
            </w:r>
          </w:p>
        </w:tc>
        <w:tc>
          <w:tcPr>
            <w:tcW w:w="1530" w:type="dxa"/>
            <w:tcBorders>
              <w:top w:val="nil"/>
              <w:left w:val="single" w:sz="4" w:space="0" w:color="auto"/>
              <w:bottom w:val="single" w:sz="4" w:space="0" w:color="auto"/>
              <w:right w:val="single" w:sz="4" w:space="0" w:color="auto"/>
            </w:tcBorders>
            <w:vAlign w:val="center"/>
            <w:hideMark/>
          </w:tcPr>
          <w:p w14:paraId="110B776A" w14:textId="77777777" w:rsidR="00F8565C" w:rsidRPr="001D2B74" w:rsidRDefault="00F8565C" w:rsidP="00F8565C">
            <w:pPr>
              <w:rPr>
                <w:sz w:val="20"/>
              </w:rPr>
            </w:pPr>
            <w:r w:rsidRPr="001D2B74">
              <w:rPr>
                <w:sz w:val="20"/>
              </w:rPr>
              <w:t>4 559</w:t>
            </w:r>
          </w:p>
        </w:tc>
        <w:tc>
          <w:tcPr>
            <w:tcW w:w="1110" w:type="dxa"/>
            <w:tcBorders>
              <w:top w:val="nil"/>
              <w:left w:val="nil"/>
              <w:bottom w:val="single" w:sz="4" w:space="0" w:color="auto"/>
              <w:right w:val="single" w:sz="4" w:space="0" w:color="auto"/>
            </w:tcBorders>
            <w:vAlign w:val="center"/>
            <w:hideMark/>
          </w:tcPr>
          <w:p w14:paraId="7FF0C97D" w14:textId="77777777" w:rsidR="00F8565C" w:rsidRPr="001D2B74" w:rsidRDefault="00F8565C" w:rsidP="00F8565C">
            <w:pPr>
              <w:rPr>
                <w:sz w:val="20"/>
              </w:rPr>
            </w:pPr>
            <w:r w:rsidRPr="001D2B74">
              <w:rPr>
                <w:sz w:val="20"/>
              </w:rPr>
              <w:t>268</w:t>
            </w:r>
          </w:p>
        </w:tc>
        <w:tc>
          <w:tcPr>
            <w:tcW w:w="1410" w:type="dxa"/>
            <w:tcBorders>
              <w:top w:val="nil"/>
              <w:left w:val="nil"/>
              <w:bottom w:val="single" w:sz="4" w:space="0" w:color="auto"/>
              <w:right w:val="single" w:sz="4" w:space="0" w:color="auto"/>
            </w:tcBorders>
            <w:vAlign w:val="center"/>
            <w:hideMark/>
          </w:tcPr>
          <w:p w14:paraId="536EB227" w14:textId="77777777" w:rsidR="00F8565C" w:rsidRPr="001D2B74" w:rsidRDefault="00F8565C" w:rsidP="00F8565C">
            <w:pPr>
              <w:rPr>
                <w:sz w:val="20"/>
              </w:rPr>
            </w:pPr>
            <w:r w:rsidRPr="001D2B74">
              <w:rPr>
                <w:sz w:val="20"/>
              </w:rPr>
              <w:t>17</w:t>
            </w:r>
          </w:p>
        </w:tc>
        <w:tc>
          <w:tcPr>
            <w:tcW w:w="1396" w:type="dxa"/>
            <w:tcBorders>
              <w:top w:val="nil"/>
              <w:left w:val="nil"/>
              <w:bottom w:val="single" w:sz="4" w:space="0" w:color="auto"/>
              <w:right w:val="single" w:sz="4" w:space="0" w:color="auto"/>
            </w:tcBorders>
            <w:vAlign w:val="center"/>
            <w:hideMark/>
          </w:tcPr>
          <w:p w14:paraId="58B551D1" w14:textId="77777777" w:rsidR="00F8565C" w:rsidRPr="001D2B74" w:rsidRDefault="00F8565C" w:rsidP="00F8565C">
            <w:pPr>
              <w:rPr>
                <w:sz w:val="20"/>
              </w:rPr>
            </w:pPr>
            <w:r w:rsidRPr="001D2B74">
              <w:rPr>
                <w:sz w:val="20"/>
              </w:rPr>
              <w:t>853</w:t>
            </w:r>
          </w:p>
        </w:tc>
        <w:tc>
          <w:tcPr>
            <w:tcW w:w="1658" w:type="dxa"/>
            <w:tcBorders>
              <w:top w:val="nil"/>
              <w:left w:val="nil"/>
              <w:bottom w:val="single" w:sz="4" w:space="0" w:color="auto"/>
              <w:right w:val="single" w:sz="4" w:space="0" w:color="auto"/>
            </w:tcBorders>
            <w:vAlign w:val="center"/>
            <w:hideMark/>
          </w:tcPr>
          <w:p w14:paraId="3F109BFD" w14:textId="77777777" w:rsidR="00F8565C" w:rsidRPr="001D2B74" w:rsidRDefault="00F8565C" w:rsidP="00F8565C">
            <w:pPr>
              <w:rPr>
                <w:sz w:val="20"/>
              </w:rPr>
            </w:pPr>
            <w:r w:rsidRPr="001D2B74">
              <w:rPr>
                <w:sz w:val="20"/>
              </w:rPr>
              <w:t>139</w:t>
            </w:r>
          </w:p>
        </w:tc>
        <w:tc>
          <w:tcPr>
            <w:tcW w:w="1530" w:type="dxa"/>
            <w:tcBorders>
              <w:top w:val="nil"/>
              <w:left w:val="nil"/>
              <w:bottom w:val="single" w:sz="4" w:space="0" w:color="auto"/>
              <w:right w:val="single" w:sz="4" w:space="0" w:color="auto"/>
            </w:tcBorders>
            <w:vAlign w:val="center"/>
            <w:hideMark/>
          </w:tcPr>
          <w:p w14:paraId="7B3D0350" w14:textId="77777777" w:rsidR="00F8565C" w:rsidRPr="001D2B74" w:rsidRDefault="00F8565C" w:rsidP="00F8565C">
            <w:pPr>
              <w:rPr>
                <w:sz w:val="20"/>
              </w:rPr>
            </w:pPr>
            <w:r w:rsidRPr="001D2B74">
              <w:rPr>
                <w:sz w:val="20"/>
              </w:rPr>
              <w:t>98</w:t>
            </w:r>
          </w:p>
        </w:tc>
        <w:tc>
          <w:tcPr>
            <w:tcW w:w="1396" w:type="dxa"/>
            <w:tcBorders>
              <w:top w:val="nil"/>
              <w:left w:val="single" w:sz="4" w:space="0" w:color="auto"/>
              <w:bottom w:val="single" w:sz="4" w:space="0" w:color="auto"/>
              <w:right w:val="single" w:sz="4" w:space="0" w:color="auto"/>
            </w:tcBorders>
            <w:vAlign w:val="center"/>
            <w:hideMark/>
          </w:tcPr>
          <w:p w14:paraId="6EB4FC0F" w14:textId="77777777" w:rsidR="00F8565C" w:rsidRPr="001D2B74" w:rsidRDefault="00F8565C" w:rsidP="00F8565C">
            <w:pPr>
              <w:rPr>
                <w:sz w:val="20"/>
              </w:rPr>
            </w:pPr>
            <w:r w:rsidRPr="001D2B74">
              <w:rPr>
                <w:sz w:val="20"/>
              </w:rPr>
              <w:t>111</w:t>
            </w:r>
          </w:p>
        </w:tc>
        <w:tc>
          <w:tcPr>
            <w:tcW w:w="1110" w:type="dxa"/>
            <w:tcBorders>
              <w:top w:val="nil"/>
              <w:left w:val="single" w:sz="4" w:space="0" w:color="auto"/>
              <w:bottom w:val="single" w:sz="4" w:space="0" w:color="auto"/>
              <w:right w:val="single" w:sz="4" w:space="0" w:color="auto"/>
            </w:tcBorders>
            <w:vAlign w:val="center"/>
            <w:hideMark/>
          </w:tcPr>
          <w:p w14:paraId="3036D026" w14:textId="77777777" w:rsidR="00F8565C" w:rsidRPr="001D2B74" w:rsidRDefault="00F8565C" w:rsidP="00F8565C">
            <w:pPr>
              <w:rPr>
                <w:sz w:val="20"/>
              </w:rPr>
            </w:pPr>
            <w:r w:rsidRPr="001D2B74">
              <w:rPr>
                <w:sz w:val="20"/>
              </w:rPr>
              <w:t>6 045</w:t>
            </w:r>
          </w:p>
        </w:tc>
      </w:tr>
      <w:tr w:rsidR="00F8565C" w:rsidRPr="001D2B74" w14:paraId="576B6A2B" w14:textId="77777777" w:rsidTr="000B139D">
        <w:trPr>
          <w:trHeight w:val="300"/>
        </w:trPr>
        <w:tc>
          <w:tcPr>
            <w:tcW w:w="498" w:type="dxa"/>
            <w:tcBorders>
              <w:top w:val="single" w:sz="4" w:space="0" w:color="auto"/>
              <w:left w:val="single" w:sz="4" w:space="0" w:color="auto"/>
              <w:bottom w:val="single" w:sz="4" w:space="0" w:color="auto"/>
              <w:right w:val="single" w:sz="4" w:space="0" w:color="auto"/>
            </w:tcBorders>
            <w:noWrap/>
            <w:vAlign w:val="center"/>
            <w:hideMark/>
          </w:tcPr>
          <w:p w14:paraId="32516F4E" w14:textId="77777777" w:rsidR="00F8565C" w:rsidRPr="001D2B74" w:rsidRDefault="00F8565C" w:rsidP="00F8565C">
            <w:pPr>
              <w:rPr>
                <w:sz w:val="20"/>
              </w:rPr>
            </w:pPr>
            <w:r w:rsidRPr="001D2B74">
              <w:rPr>
                <w:sz w:val="20"/>
              </w:rPr>
              <w:t>3</w:t>
            </w:r>
          </w:p>
        </w:tc>
        <w:tc>
          <w:tcPr>
            <w:tcW w:w="1279"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14:paraId="7927E3EA" w14:textId="77777777" w:rsidR="00F8565C" w:rsidRPr="001D2B74" w:rsidRDefault="00F8565C" w:rsidP="00F8565C">
            <w:pPr>
              <w:rPr>
                <w:sz w:val="20"/>
              </w:rPr>
            </w:pPr>
            <w:r w:rsidRPr="001D2B74">
              <w:rPr>
                <w:rFonts w:ascii="Sylfaen" w:hAnsi="Sylfaen" w:cs="Sylfaen"/>
                <w:sz w:val="20"/>
              </w:rPr>
              <w:t>ველისციხის</w:t>
            </w:r>
            <w:r w:rsidRPr="001D2B74">
              <w:rPr>
                <w:sz w:val="20"/>
              </w:rPr>
              <w:t xml:space="preserve"> </w:t>
            </w:r>
            <w:r w:rsidRPr="001D2B74">
              <w:rPr>
                <w:rFonts w:ascii="Sylfaen" w:hAnsi="Sylfaen" w:cs="Sylfaen"/>
                <w:sz w:val="20"/>
              </w:rPr>
              <w:t>გადასახვევი</w:t>
            </w:r>
          </w:p>
        </w:tc>
        <w:tc>
          <w:tcPr>
            <w:tcW w:w="1530"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14:paraId="0A5F8D62" w14:textId="77777777" w:rsidR="00F8565C" w:rsidRPr="001D2B74" w:rsidRDefault="00F8565C" w:rsidP="00F8565C">
            <w:pPr>
              <w:rPr>
                <w:sz w:val="20"/>
                <w:lang w:val="ka-GE"/>
              </w:rPr>
            </w:pPr>
            <w:r w:rsidRPr="001D2B74">
              <w:rPr>
                <w:rFonts w:ascii="Sylfaen" w:hAnsi="Sylfaen" w:cs="Sylfaen"/>
                <w:sz w:val="20"/>
              </w:rPr>
              <w:t>ჩუმლაყი</w:t>
            </w:r>
          </w:p>
        </w:tc>
        <w:tc>
          <w:tcPr>
            <w:tcW w:w="1530" w:type="dxa"/>
            <w:tcBorders>
              <w:top w:val="nil"/>
              <w:left w:val="single" w:sz="4" w:space="0" w:color="auto"/>
              <w:bottom w:val="single" w:sz="4" w:space="0" w:color="auto"/>
              <w:right w:val="single" w:sz="4" w:space="0" w:color="auto"/>
            </w:tcBorders>
            <w:vAlign w:val="center"/>
            <w:hideMark/>
          </w:tcPr>
          <w:p w14:paraId="0EBFA85E" w14:textId="77777777" w:rsidR="00F8565C" w:rsidRPr="001D2B74" w:rsidRDefault="00F8565C" w:rsidP="00F8565C">
            <w:pPr>
              <w:rPr>
                <w:sz w:val="20"/>
              </w:rPr>
            </w:pPr>
            <w:r w:rsidRPr="001D2B74">
              <w:rPr>
                <w:sz w:val="20"/>
              </w:rPr>
              <w:t>5 250</w:t>
            </w:r>
          </w:p>
        </w:tc>
        <w:tc>
          <w:tcPr>
            <w:tcW w:w="1110" w:type="dxa"/>
            <w:tcBorders>
              <w:top w:val="nil"/>
              <w:left w:val="nil"/>
              <w:bottom w:val="single" w:sz="4" w:space="0" w:color="auto"/>
              <w:right w:val="single" w:sz="4" w:space="0" w:color="auto"/>
            </w:tcBorders>
            <w:vAlign w:val="center"/>
            <w:hideMark/>
          </w:tcPr>
          <w:p w14:paraId="69AAE7BA" w14:textId="77777777" w:rsidR="00F8565C" w:rsidRPr="001D2B74" w:rsidRDefault="00F8565C" w:rsidP="00F8565C">
            <w:pPr>
              <w:rPr>
                <w:sz w:val="20"/>
              </w:rPr>
            </w:pPr>
            <w:r w:rsidRPr="001D2B74">
              <w:rPr>
                <w:sz w:val="20"/>
              </w:rPr>
              <w:t>535</w:t>
            </w:r>
          </w:p>
        </w:tc>
        <w:tc>
          <w:tcPr>
            <w:tcW w:w="1410" w:type="dxa"/>
            <w:tcBorders>
              <w:top w:val="nil"/>
              <w:left w:val="nil"/>
              <w:bottom w:val="single" w:sz="4" w:space="0" w:color="auto"/>
              <w:right w:val="single" w:sz="4" w:space="0" w:color="auto"/>
            </w:tcBorders>
            <w:vAlign w:val="center"/>
            <w:hideMark/>
          </w:tcPr>
          <w:p w14:paraId="5C88B2A5" w14:textId="77777777" w:rsidR="00F8565C" w:rsidRPr="001D2B74" w:rsidRDefault="00F8565C" w:rsidP="00F8565C">
            <w:pPr>
              <w:rPr>
                <w:sz w:val="20"/>
              </w:rPr>
            </w:pPr>
            <w:r w:rsidRPr="001D2B74">
              <w:rPr>
                <w:sz w:val="20"/>
              </w:rPr>
              <w:t>51</w:t>
            </w:r>
          </w:p>
        </w:tc>
        <w:tc>
          <w:tcPr>
            <w:tcW w:w="1396" w:type="dxa"/>
            <w:tcBorders>
              <w:top w:val="nil"/>
              <w:left w:val="nil"/>
              <w:bottom w:val="single" w:sz="4" w:space="0" w:color="auto"/>
              <w:right w:val="single" w:sz="4" w:space="0" w:color="auto"/>
            </w:tcBorders>
            <w:vAlign w:val="center"/>
            <w:hideMark/>
          </w:tcPr>
          <w:p w14:paraId="033A4940" w14:textId="77777777" w:rsidR="00F8565C" w:rsidRPr="001D2B74" w:rsidRDefault="00F8565C" w:rsidP="00F8565C">
            <w:pPr>
              <w:rPr>
                <w:sz w:val="20"/>
              </w:rPr>
            </w:pPr>
            <w:r w:rsidRPr="001D2B74">
              <w:rPr>
                <w:sz w:val="20"/>
              </w:rPr>
              <w:t>1156</w:t>
            </w:r>
          </w:p>
        </w:tc>
        <w:tc>
          <w:tcPr>
            <w:tcW w:w="1658" w:type="dxa"/>
            <w:tcBorders>
              <w:top w:val="nil"/>
              <w:left w:val="nil"/>
              <w:bottom w:val="single" w:sz="4" w:space="0" w:color="auto"/>
              <w:right w:val="single" w:sz="4" w:space="0" w:color="auto"/>
            </w:tcBorders>
            <w:vAlign w:val="center"/>
            <w:hideMark/>
          </w:tcPr>
          <w:p w14:paraId="6E18BF8A" w14:textId="77777777" w:rsidR="00F8565C" w:rsidRPr="001D2B74" w:rsidRDefault="00F8565C" w:rsidP="00F8565C">
            <w:pPr>
              <w:rPr>
                <w:sz w:val="20"/>
              </w:rPr>
            </w:pPr>
            <w:r w:rsidRPr="001D2B74">
              <w:rPr>
                <w:sz w:val="20"/>
              </w:rPr>
              <w:t>132</w:t>
            </w:r>
          </w:p>
        </w:tc>
        <w:tc>
          <w:tcPr>
            <w:tcW w:w="1530" w:type="dxa"/>
            <w:tcBorders>
              <w:top w:val="nil"/>
              <w:left w:val="nil"/>
              <w:bottom w:val="single" w:sz="4" w:space="0" w:color="auto"/>
              <w:right w:val="single" w:sz="4" w:space="0" w:color="auto"/>
            </w:tcBorders>
            <w:vAlign w:val="center"/>
            <w:hideMark/>
          </w:tcPr>
          <w:p w14:paraId="4679002E" w14:textId="77777777" w:rsidR="00F8565C" w:rsidRPr="001D2B74" w:rsidRDefault="00F8565C" w:rsidP="00F8565C">
            <w:pPr>
              <w:rPr>
                <w:sz w:val="20"/>
              </w:rPr>
            </w:pPr>
            <w:r w:rsidRPr="001D2B74">
              <w:rPr>
                <w:sz w:val="20"/>
              </w:rPr>
              <w:t>103</w:t>
            </w:r>
          </w:p>
        </w:tc>
        <w:tc>
          <w:tcPr>
            <w:tcW w:w="1396" w:type="dxa"/>
            <w:tcBorders>
              <w:top w:val="nil"/>
              <w:left w:val="single" w:sz="4" w:space="0" w:color="auto"/>
              <w:bottom w:val="single" w:sz="4" w:space="0" w:color="auto"/>
              <w:right w:val="single" w:sz="4" w:space="0" w:color="auto"/>
            </w:tcBorders>
            <w:vAlign w:val="center"/>
            <w:hideMark/>
          </w:tcPr>
          <w:p w14:paraId="2B08B69C" w14:textId="77777777" w:rsidR="00F8565C" w:rsidRPr="001D2B74" w:rsidRDefault="00F8565C" w:rsidP="00F8565C">
            <w:pPr>
              <w:rPr>
                <w:sz w:val="20"/>
              </w:rPr>
            </w:pPr>
            <w:r w:rsidRPr="001D2B74">
              <w:rPr>
                <w:sz w:val="20"/>
              </w:rPr>
              <w:t>108</w:t>
            </w:r>
          </w:p>
        </w:tc>
        <w:tc>
          <w:tcPr>
            <w:tcW w:w="1110" w:type="dxa"/>
            <w:tcBorders>
              <w:top w:val="nil"/>
              <w:left w:val="single" w:sz="4" w:space="0" w:color="auto"/>
              <w:bottom w:val="single" w:sz="4" w:space="0" w:color="auto"/>
              <w:right w:val="single" w:sz="4" w:space="0" w:color="auto"/>
            </w:tcBorders>
            <w:vAlign w:val="center"/>
            <w:hideMark/>
          </w:tcPr>
          <w:p w14:paraId="0852469B" w14:textId="77777777" w:rsidR="00F8565C" w:rsidRPr="001D2B74" w:rsidRDefault="00F8565C" w:rsidP="00F8565C">
            <w:pPr>
              <w:rPr>
                <w:sz w:val="20"/>
              </w:rPr>
            </w:pPr>
            <w:r w:rsidRPr="001D2B74">
              <w:rPr>
                <w:sz w:val="20"/>
              </w:rPr>
              <w:t>7 336</w:t>
            </w:r>
          </w:p>
        </w:tc>
      </w:tr>
      <w:tr w:rsidR="00F8565C" w:rsidRPr="001D2B74" w14:paraId="072802F6" w14:textId="77777777" w:rsidTr="000B139D">
        <w:trPr>
          <w:trHeight w:val="300"/>
        </w:trPr>
        <w:tc>
          <w:tcPr>
            <w:tcW w:w="498" w:type="dxa"/>
            <w:tcBorders>
              <w:top w:val="single" w:sz="4" w:space="0" w:color="auto"/>
              <w:left w:val="single" w:sz="4" w:space="0" w:color="auto"/>
              <w:bottom w:val="single" w:sz="4" w:space="0" w:color="auto"/>
              <w:right w:val="single" w:sz="4" w:space="0" w:color="auto"/>
            </w:tcBorders>
            <w:noWrap/>
            <w:vAlign w:val="center"/>
            <w:hideMark/>
          </w:tcPr>
          <w:p w14:paraId="4ED4E6DC" w14:textId="77777777" w:rsidR="00F8565C" w:rsidRPr="001D2B74" w:rsidRDefault="00F8565C" w:rsidP="00F8565C">
            <w:pPr>
              <w:rPr>
                <w:sz w:val="20"/>
              </w:rPr>
            </w:pPr>
            <w:r w:rsidRPr="001D2B74">
              <w:rPr>
                <w:sz w:val="20"/>
              </w:rPr>
              <w:t>4</w:t>
            </w:r>
          </w:p>
        </w:tc>
        <w:tc>
          <w:tcPr>
            <w:tcW w:w="1279"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14:paraId="58A96DB2" w14:textId="77777777" w:rsidR="00F8565C" w:rsidRPr="001D2B74" w:rsidRDefault="00F8565C" w:rsidP="00F8565C">
            <w:pPr>
              <w:rPr>
                <w:sz w:val="20"/>
              </w:rPr>
            </w:pPr>
            <w:r w:rsidRPr="001D2B74">
              <w:rPr>
                <w:rFonts w:ascii="Sylfaen" w:hAnsi="Sylfaen" w:cs="Sylfaen"/>
                <w:sz w:val="20"/>
              </w:rPr>
              <w:t>ჩუმლაყი</w:t>
            </w:r>
          </w:p>
        </w:tc>
        <w:tc>
          <w:tcPr>
            <w:tcW w:w="1530"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14:paraId="76E23574" w14:textId="77777777" w:rsidR="00F8565C" w:rsidRPr="001D2B74" w:rsidRDefault="00F8565C" w:rsidP="00F8565C">
            <w:pPr>
              <w:rPr>
                <w:sz w:val="20"/>
                <w:lang w:val="ka-GE"/>
              </w:rPr>
            </w:pPr>
            <w:r w:rsidRPr="001D2B74">
              <w:rPr>
                <w:rFonts w:ascii="Sylfaen" w:hAnsi="Sylfaen" w:cs="Sylfaen"/>
                <w:sz w:val="20"/>
              </w:rPr>
              <w:t>გურჯაანი</w:t>
            </w:r>
          </w:p>
        </w:tc>
        <w:tc>
          <w:tcPr>
            <w:tcW w:w="1530" w:type="dxa"/>
            <w:tcBorders>
              <w:top w:val="nil"/>
              <w:left w:val="single" w:sz="4" w:space="0" w:color="auto"/>
              <w:bottom w:val="single" w:sz="4" w:space="0" w:color="auto"/>
              <w:right w:val="single" w:sz="4" w:space="0" w:color="auto"/>
            </w:tcBorders>
            <w:vAlign w:val="center"/>
            <w:hideMark/>
          </w:tcPr>
          <w:p w14:paraId="5F29A3A4" w14:textId="77777777" w:rsidR="00F8565C" w:rsidRPr="001D2B74" w:rsidRDefault="00F8565C" w:rsidP="00F8565C">
            <w:pPr>
              <w:rPr>
                <w:sz w:val="20"/>
              </w:rPr>
            </w:pPr>
            <w:r w:rsidRPr="001D2B74">
              <w:rPr>
                <w:sz w:val="20"/>
              </w:rPr>
              <w:t>4 765</w:t>
            </w:r>
          </w:p>
        </w:tc>
        <w:tc>
          <w:tcPr>
            <w:tcW w:w="1110" w:type="dxa"/>
            <w:tcBorders>
              <w:top w:val="nil"/>
              <w:left w:val="nil"/>
              <w:bottom w:val="single" w:sz="4" w:space="0" w:color="auto"/>
              <w:right w:val="single" w:sz="4" w:space="0" w:color="auto"/>
            </w:tcBorders>
            <w:vAlign w:val="center"/>
            <w:hideMark/>
          </w:tcPr>
          <w:p w14:paraId="5B77B832" w14:textId="77777777" w:rsidR="00F8565C" w:rsidRPr="001D2B74" w:rsidRDefault="00F8565C" w:rsidP="00F8565C">
            <w:pPr>
              <w:rPr>
                <w:sz w:val="20"/>
              </w:rPr>
            </w:pPr>
            <w:r w:rsidRPr="001D2B74">
              <w:rPr>
                <w:sz w:val="20"/>
              </w:rPr>
              <w:t>666</w:t>
            </w:r>
          </w:p>
        </w:tc>
        <w:tc>
          <w:tcPr>
            <w:tcW w:w="1410" w:type="dxa"/>
            <w:tcBorders>
              <w:top w:val="nil"/>
              <w:left w:val="nil"/>
              <w:bottom w:val="single" w:sz="4" w:space="0" w:color="auto"/>
              <w:right w:val="single" w:sz="4" w:space="0" w:color="auto"/>
            </w:tcBorders>
            <w:vAlign w:val="center"/>
            <w:hideMark/>
          </w:tcPr>
          <w:p w14:paraId="1AE24C67" w14:textId="77777777" w:rsidR="00F8565C" w:rsidRPr="001D2B74" w:rsidRDefault="00F8565C" w:rsidP="00F8565C">
            <w:pPr>
              <w:rPr>
                <w:sz w:val="20"/>
              </w:rPr>
            </w:pPr>
            <w:r w:rsidRPr="001D2B74">
              <w:rPr>
                <w:sz w:val="20"/>
              </w:rPr>
              <w:t>53</w:t>
            </w:r>
          </w:p>
        </w:tc>
        <w:tc>
          <w:tcPr>
            <w:tcW w:w="1396" w:type="dxa"/>
            <w:tcBorders>
              <w:top w:val="nil"/>
              <w:left w:val="nil"/>
              <w:bottom w:val="single" w:sz="4" w:space="0" w:color="auto"/>
              <w:right w:val="single" w:sz="4" w:space="0" w:color="auto"/>
            </w:tcBorders>
            <w:vAlign w:val="center"/>
            <w:hideMark/>
          </w:tcPr>
          <w:p w14:paraId="7699D705" w14:textId="77777777" w:rsidR="00F8565C" w:rsidRPr="001D2B74" w:rsidRDefault="00F8565C" w:rsidP="00F8565C">
            <w:pPr>
              <w:rPr>
                <w:sz w:val="20"/>
              </w:rPr>
            </w:pPr>
            <w:r w:rsidRPr="001D2B74">
              <w:rPr>
                <w:sz w:val="20"/>
              </w:rPr>
              <w:t>1243</w:t>
            </w:r>
          </w:p>
        </w:tc>
        <w:tc>
          <w:tcPr>
            <w:tcW w:w="1658" w:type="dxa"/>
            <w:tcBorders>
              <w:top w:val="nil"/>
              <w:left w:val="nil"/>
              <w:bottom w:val="single" w:sz="4" w:space="0" w:color="auto"/>
              <w:right w:val="single" w:sz="4" w:space="0" w:color="auto"/>
            </w:tcBorders>
            <w:vAlign w:val="center"/>
            <w:hideMark/>
          </w:tcPr>
          <w:p w14:paraId="06DABF39" w14:textId="77777777" w:rsidR="00F8565C" w:rsidRPr="001D2B74" w:rsidRDefault="00F8565C" w:rsidP="00F8565C">
            <w:pPr>
              <w:rPr>
                <w:sz w:val="20"/>
              </w:rPr>
            </w:pPr>
            <w:r w:rsidRPr="001D2B74">
              <w:rPr>
                <w:sz w:val="20"/>
              </w:rPr>
              <w:t>130</w:t>
            </w:r>
          </w:p>
        </w:tc>
        <w:tc>
          <w:tcPr>
            <w:tcW w:w="1530" w:type="dxa"/>
            <w:tcBorders>
              <w:top w:val="nil"/>
              <w:left w:val="nil"/>
              <w:bottom w:val="single" w:sz="4" w:space="0" w:color="auto"/>
              <w:right w:val="single" w:sz="4" w:space="0" w:color="auto"/>
            </w:tcBorders>
            <w:vAlign w:val="center"/>
            <w:hideMark/>
          </w:tcPr>
          <w:p w14:paraId="10E6B079" w14:textId="77777777" w:rsidR="00F8565C" w:rsidRPr="001D2B74" w:rsidRDefault="00F8565C" w:rsidP="00F8565C">
            <w:pPr>
              <w:rPr>
                <w:sz w:val="20"/>
              </w:rPr>
            </w:pPr>
            <w:r w:rsidRPr="001D2B74">
              <w:rPr>
                <w:sz w:val="20"/>
              </w:rPr>
              <w:t>129</w:t>
            </w:r>
          </w:p>
        </w:tc>
        <w:tc>
          <w:tcPr>
            <w:tcW w:w="1396" w:type="dxa"/>
            <w:tcBorders>
              <w:top w:val="nil"/>
              <w:left w:val="single" w:sz="4" w:space="0" w:color="auto"/>
              <w:bottom w:val="single" w:sz="4" w:space="0" w:color="auto"/>
              <w:right w:val="single" w:sz="4" w:space="0" w:color="auto"/>
            </w:tcBorders>
            <w:vAlign w:val="center"/>
            <w:hideMark/>
          </w:tcPr>
          <w:p w14:paraId="7D0CBF5C" w14:textId="77777777" w:rsidR="00F8565C" w:rsidRPr="001D2B74" w:rsidRDefault="00F8565C" w:rsidP="00F8565C">
            <w:pPr>
              <w:rPr>
                <w:sz w:val="20"/>
              </w:rPr>
            </w:pPr>
            <w:r w:rsidRPr="001D2B74">
              <w:rPr>
                <w:sz w:val="20"/>
              </w:rPr>
              <w:t>141</w:t>
            </w:r>
          </w:p>
        </w:tc>
        <w:tc>
          <w:tcPr>
            <w:tcW w:w="1110" w:type="dxa"/>
            <w:tcBorders>
              <w:top w:val="nil"/>
              <w:left w:val="single" w:sz="4" w:space="0" w:color="auto"/>
              <w:bottom w:val="single" w:sz="4" w:space="0" w:color="auto"/>
              <w:right w:val="single" w:sz="4" w:space="0" w:color="auto"/>
            </w:tcBorders>
            <w:vAlign w:val="center"/>
            <w:hideMark/>
          </w:tcPr>
          <w:p w14:paraId="6D162F78" w14:textId="77777777" w:rsidR="00F8565C" w:rsidRPr="001D2B74" w:rsidRDefault="00F8565C" w:rsidP="00F8565C">
            <w:pPr>
              <w:rPr>
                <w:sz w:val="20"/>
              </w:rPr>
            </w:pPr>
            <w:r w:rsidRPr="001D2B74">
              <w:rPr>
                <w:sz w:val="20"/>
              </w:rPr>
              <w:t>7 128</w:t>
            </w:r>
          </w:p>
        </w:tc>
      </w:tr>
      <w:tr w:rsidR="00F8565C" w:rsidRPr="001D2B74" w14:paraId="19B0DBE3" w14:textId="77777777" w:rsidTr="000B139D">
        <w:trPr>
          <w:trHeight w:val="300"/>
        </w:trPr>
        <w:tc>
          <w:tcPr>
            <w:tcW w:w="498" w:type="dxa"/>
            <w:tcBorders>
              <w:top w:val="single" w:sz="4" w:space="0" w:color="auto"/>
              <w:left w:val="single" w:sz="4" w:space="0" w:color="auto"/>
              <w:bottom w:val="single" w:sz="4" w:space="0" w:color="auto"/>
              <w:right w:val="single" w:sz="4" w:space="0" w:color="auto"/>
            </w:tcBorders>
            <w:noWrap/>
            <w:vAlign w:val="center"/>
            <w:hideMark/>
          </w:tcPr>
          <w:p w14:paraId="25064E4B" w14:textId="77777777" w:rsidR="00F8565C" w:rsidRPr="001D2B74" w:rsidRDefault="00F8565C" w:rsidP="00F8565C">
            <w:pPr>
              <w:rPr>
                <w:sz w:val="20"/>
              </w:rPr>
            </w:pPr>
            <w:r w:rsidRPr="001D2B74">
              <w:rPr>
                <w:sz w:val="20"/>
              </w:rPr>
              <w:t>5</w:t>
            </w:r>
          </w:p>
        </w:tc>
        <w:tc>
          <w:tcPr>
            <w:tcW w:w="1279"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14:paraId="7DF64C30" w14:textId="77777777" w:rsidR="00F8565C" w:rsidRPr="001D2B74" w:rsidRDefault="00F8565C" w:rsidP="00F8565C">
            <w:pPr>
              <w:rPr>
                <w:sz w:val="20"/>
              </w:rPr>
            </w:pPr>
            <w:r w:rsidRPr="001D2B74">
              <w:rPr>
                <w:rFonts w:ascii="Sylfaen" w:hAnsi="Sylfaen" w:cs="Sylfaen"/>
                <w:sz w:val="20"/>
              </w:rPr>
              <w:t>გურჯაანი</w:t>
            </w:r>
          </w:p>
        </w:tc>
        <w:tc>
          <w:tcPr>
            <w:tcW w:w="1530"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14:paraId="6CD5CF70" w14:textId="77777777" w:rsidR="00F8565C" w:rsidRPr="001D2B74" w:rsidRDefault="00F8565C" w:rsidP="00F8565C">
            <w:pPr>
              <w:rPr>
                <w:sz w:val="20"/>
                <w:lang w:val="ka-GE"/>
              </w:rPr>
            </w:pPr>
            <w:r w:rsidRPr="001D2B74">
              <w:rPr>
                <w:rFonts w:ascii="Sylfaen" w:hAnsi="Sylfaen" w:cs="Sylfaen"/>
                <w:sz w:val="20"/>
              </w:rPr>
              <w:t>ბაკურციხე</w:t>
            </w:r>
          </w:p>
        </w:tc>
        <w:tc>
          <w:tcPr>
            <w:tcW w:w="1530" w:type="dxa"/>
            <w:tcBorders>
              <w:top w:val="nil"/>
              <w:left w:val="single" w:sz="4" w:space="0" w:color="auto"/>
              <w:bottom w:val="single" w:sz="4" w:space="0" w:color="auto"/>
              <w:right w:val="single" w:sz="4" w:space="0" w:color="auto"/>
            </w:tcBorders>
            <w:noWrap/>
            <w:vAlign w:val="center"/>
            <w:hideMark/>
          </w:tcPr>
          <w:p w14:paraId="6183DB38" w14:textId="77777777" w:rsidR="00F8565C" w:rsidRPr="001D2B74" w:rsidRDefault="00F8565C" w:rsidP="00F8565C">
            <w:pPr>
              <w:rPr>
                <w:sz w:val="20"/>
              </w:rPr>
            </w:pPr>
            <w:r w:rsidRPr="001D2B74">
              <w:rPr>
                <w:sz w:val="20"/>
              </w:rPr>
              <w:t>5 099</w:t>
            </w:r>
          </w:p>
        </w:tc>
        <w:tc>
          <w:tcPr>
            <w:tcW w:w="1110" w:type="dxa"/>
            <w:tcBorders>
              <w:top w:val="nil"/>
              <w:left w:val="nil"/>
              <w:bottom w:val="single" w:sz="4" w:space="0" w:color="auto"/>
              <w:right w:val="single" w:sz="4" w:space="0" w:color="auto"/>
            </w:tcBorders>
            <w:noWrap/>
            <w:vAlign w:val="center"/>
            <w:hideMark/>
          </w:tcPr>
          <w:p w14:paraId="1A7DE3F7" w14:textId="77777777" w:rsidR="00F8565C" w:rsidRPr="001D2B74" w:rsidRDefault="00F8565C" w:rsidP="00F8565C">
            <w:pPr>
              <w:rPr>
                <w:sz w:val="20"/>
              </w:rPr>
            </w:pPr>
            <w:r w:rsidRPr="001D2B74">
              <w:rPr>
                <w:sz w:val="20"/>
              </w:rPr>
              <w:t>912</w:t>
            </w:r>
          </w:p>
        </w:tc>
        <w:tc>
          <w:tcPr>
            <w:tcW w:w="1410" w:type="dxa"/>
            <w:tcBorders>
              <w:top w:val="nil"/>
              <w:left w:val="nil"/>
              <w:bottom w:val="single" w:sz="4" w:space="0" w:color="auto"/>
              <w:right w:val="single" w:sz="4" w:space="0" w:color="auto"/>
            </w:tcBorders>
            <w:noWrap/>
            <w:vAlign w:val="center"/>
            <w:hideMark/>
          </w:tcPr>
          <w:p w14:paraId="6A9F2E6E" w14:textId="77777777" w:rsidR="00F8565C" w:rsidRPr="001D2B74" w:rsidRDefault="00F8565C" w:rsidP="00F8565C">
            <w:pPr>
              <w:rPr>
                <w:sz w:val="20"/>
              </w:rPr>
            </w:pPr>
            <w:r w:rsidRPr="001D2B74">
              <w:rPr>
                <w:sz w:val="20"/>
              </w:rPr>
              <w:t>64</w:t>
            </w:r>
          </w:p>
        </w:tc>
        <w:tc>
          <w:tcPr>
            <w:tcW w:w="1396" w:type="dxa"/>
            <w:tcBorders>
              <w:top w:val="nil"/>
              <w:left w:val="nil"/>
              <w:bottom w:val="single" w:sz="4" w:space="0" w:color="auto"/>
              <w:right w:val="single" w:sz="4" w:space="0" w:color="auto"/>
            </w:tcBorders>
            <w:noWrap/>
            <w:vAlign w:val="center"/>
            <w:hideMark/>
          </w:tcPr>
          <w:p w14:paraId="77C51889" w14:textId="77777777" w:rsidR="00F8565C" w:rsidRPr="001D2B74" w:rsidRDefault="00F8565C" w:rsidP="00F8565C">
            <w:pPr>
              <w:rPr>
                <w:sz w:val="20"/>
              </w:rPr>
            </w:pPr>
            <w:r w:rsidRPr="001D2B74">
              <w:rPr>
                <w:sz w:val="20"/>
              </w:rPr>
              <w:t>1543</w:t>
            </w:r>
          </w:p>
        </w:tc>
        <w:tc>
          <w:tcPr>
            <w:tcW w:w="1658" w:type="dxa"/>
            <w:tcBorders>
              <w:top w:val="nil"/>
              <w:left w:val="nil"/>
              <w:bottom w:val="single" w:sz="4" w:space="0" w:color="auto"/>
              <w:right w:val="single" w:sz="4" w:space="0" w:color="auto"/>
            </w:tcBorders>
            <w:noWrap/>
            <w:vAlign w:val="center"/>
            <w:hideMark/>
          </w:tcPr>
          <w:p w14:paraId="5F4B3328" w14:textId="77777777" w:rsidR="00F8565C" w:rsidRPr="001D2B74" w:rsidRDefault="00F8565C" w:rsidP="00F8565C">
            <w:pPr>
              <w:rPr>
                <w:sz w:val="20"/>
              </w:rPr>
            </w:pPr>
            <w:r w:rsidRPr="001D2B74">
              <w:rPr>
                <w:sz w:val="20"/>
              </w:rPr>
              <w:t>150</w:t>
            </w:r>
          </w:p>
        </w:tc>
        <w:tc>
          <w:tcPr>
            <w:tcW w:w="1530" w:type="dxa"/>
            <w:tcBorders>
              <w:top w:val="nil"/>
              <w:left w:val="nil"/>
              <w:bottom w:val="single" w:sz="4" w:space="0" w:color="auto"/>
              <w:right w:val="single" w:sz="4" w:space="0" w:color="auto"/>
            </w:tcBorders>
            <w:noWrap/>
            <w:vAlign w:val="center"/>
            <w:hideMark/>
          </w:tcPr>
          <w:p w14:paraId="62F67B3E" w14:textId="77777777" w:rsidR="00F8565C" w:rsidRPr="001D2B74" w:rsidRDefault="00F8565C" w:rsidP="00F8565C">
            <w:pPr>
              <w:rPr>
                <w:sz w:val="20"/>
              </w:rPr>
            </w:pPr>
            <w:r w:rsidRPr="001D2B74">
              <w:rPr>
                <w:sz w:val="20"/>
              </w:rPr>
              <w:t>178</w:t>
            </w:r>
          </w:p>
        </w:tc>
        <w:tc>
          <w:tcPr>
            <w:tcW w:w="1396" w:type="dxa"/>
            <w:tcBorders>
              <w:top w:val="nil"/>
              <w:left w:val="single" w:sz="4" w:space="0" w:color="auto"/>
              <w:bottom w:val="single" w:sz="4" w:space="0" w:color="auto"/>
              <w:right w:val="single" w:sz="4" w:space="0" w:color="auto"/>
            </w:tcBorders>
            <w:vAlign w:val="center"/>
            <w:hideMark/>
          </w:tcPr>
          <w:p w14:paraId="24E2E114" w14:textId="77777777" w:rsidR="00F8565C" w:rsidRPr="001D2B74" w:rsidRDefault="00F8565C" w:rsidP="00F8565C">
            <w:pPr>
              <w:rPr>
                <w:sz w:val="20"/>
              </w:rPr>
            </w:pPr>
            <w:r w:rsidRPr="001D2B74">
              <w:rPr>
                <w:sz w:val="20"/>
              </w:rPr>
              <w:t>199</w:t>
            </w:r>
          </w:p>
        </w:tc>
        <w:tc>
          <w:tcPr>
            <w:tcW w:w="1110" w:type="dxa"/>
            <w:tcBorders>
              <w:top w:val="nil"/>
              <w:left w:val="single" w:sz="4" w:space="0" w:color="auto"/>
              <w:bottom w:val="single" w:sz="4" w:space="0" w:color="auto"/>
              <w:right w:val="single" w:sz="4" w:space="0" w:color="auto"/>
            </w:tcBorders>
            <w:vAlign w:val="center"/>
            <w:hideMark/>
          </w:tcPr>
          <w:p w14:paraId="2EE170CB" w14:textId="77777777" w:rsidR="00F8565C" w:rsidRPr="001D2B74" w:rsidRDefault="00F8565C" w:rsidP="00F8565C">
            <w:pPr>
              <w:rPr>
                <w:sz w:val="20"/>
              </w:rPr>
            </w:pPr>
            <w:r w:rsidRPr="001D2B74">
              <w:rPr>
                <w:sz w:val="20"/>
              </w:rPr>
              <w:t>8 146</w:t>
            </w:r>
          </w:p>
        </w:tc>
      </w:tr>
      <w:tr w:rsidR="00F8565C" w:rsidRPr="001D2B74" w14:paraId="2E556E2C" w14:textId="77777777" w:rsidTr="000B139D">
        <w:trPr>
          <w:trHeight w:val="300"/>
        </w:trPr>
        <w:tc>
          <w:tcPr>
            <w:tcW w:w="498" w:type="dxa"/>
            <w:tcBorders>
              <w:top w:val="single" w:sz="4" w:space="0" w:color="auto"/>
              <w:left w:val="single" w:sz="4" w:space="0" w:color="auto"/>
              <w:bottom w:val="single" w:sz="4" w:space="0" w:color="auto"/>
              <w:right w:val="single" w:sz="4" w:space="0" w:color="auto"/>
            </w:tcBorders>
            <w:noWrap/>
            <w:vAlign w:val="center"/>
            <w:hideMark/>
          </w:tcPr>
          <w:p w14:paraId="30F05986" w14:textId="77777777" w:rsidR="00F8565C" w:rsidRPr="001D2B74" w:rsidRDefault="00F8565C" w:rsidP="00F8565C">
            <w:pPr>
              <w:rPr>
                <w:sz w:val="20"/>
              </w:rPr>
            </w:pPr>
            <w:r w:rsidRPr="001D2B74">
              <w:rPr>
                <w:sz w:val="20"/>
              </w:rPr>
              <w:t>6</w:t>
            </w:r>
          </w:p>
        </w:tc>
        <w:tc>
          <w:tcPr>
            <w:tcW w:w="1279"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14:paraId="0FA73D27" w14:textId="77777777" w:rsidR="00F8565C" w:rsidRPr="001D2B74" w:rsidRDefault="00F8565C" w:rsidP="00F8565C">
            <w:pPr>
              <w:rPr>
                <w:sz w:val="20"/>
              </w:rPr>
            </w:pPr>
            <w:r w:rsidRPr="001D2B74">
              <w:rPr>
                <w:rFonts w:ascii="Sylfaen" w:hAnsi="Sylfaen" w:cs="Sylfaen"/>
                <w:sz w:val="20"/>
              </w:rPr>
              <w:t>ბაკურციხე</w:t>
            </w:r>
          </w:p>
        </w:tc>
        <w:tc>
          <w:tcPr>
            <w:tcW w:w="1530"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14:paraId="1DE1C1FC" w14:textId="77777777" w:rsidR="00F8565C" w:rsidRPr="001D2B74" w:rsidRDefault="00F8565C" w:rsidP="00F8565C">
            <w:pPr>
              <w:rPr>
                <w:sz w:val="20"/>
                <w:lang w:val="ka-GE"/>
              </w:rPr>
            </w:pPr>
            <w:r w:rsidRPr="001D2B74">
              <w:rPr>
                <w:rFonts w:ascii="Sylfaen" w:hAnsi="Sylfaen" w:cs="Sylfaen"/>
                <w:sz w:val="20"/>
              </w:rPr>
              <w:t>წნორი</w:t>
            </w:r>
          </w:p>
        </w:tc>
        <w:tc>
          <w:tcPr>
            <w:tcW w:w="1530" w:type="dxa"/>
            <w:tcBorders>
              <w:top w:val="nil"/>
              <w:left w:val="single" w:sz="4" w:space="0" w:color="auto"/>
              <w:bottom w:val="single" w:sz="4" w:space="0" w:color="auto"/>
              <w:right w:val="single" w:sz="4" w:space="0" w:color="auto"/>
            </w:tcBorders>
            <w:noWrap/>
            <w:vAlign w:val="center"/>
            <w:hideMark/>
          </w:tcPr>
          <w:p w14:paraId="78DB9897" w14:textId="77777777" w:rsidR="00F8565C" w:rsidRPr="001D2B74" w:rsidRDefault="00F8565C" w:rsidP="00F8565C">
            <w:pPr>
              <w:rPr>
                <w:sz w:val="20"/>
              </w:rPr>
            </w:pPr>
            <w:r w:rsidRPr="001D2B74">
              <w:rPr>
                <w:sz w:val="20"/>
              </w:rPr>
              <w:t>2 844</w:t>
            </w:r>
          </w:p>
        </w:tc>
        <w:tc>
          <w:tcPr>
            <w:tcW w:w="1110" w:type="dxa"/>
            <w:tcBorders>
              <w:top w:val="nil"/>
              <w:left w:val="nil"/>
              <w:bottom w:val="single" w:sz="4" w:space="0" w:color="auto"/>
              <w:right w:val="single" w:sz="4" w:space="0" w:color="auto"/>
            </w:tcBorders>
            <w:noWrap/>
            <w:vAlign w:val="center"/>
            <w:hideMark/>
          </w:tcPr>
          <w:p w14:paraId="1B79D3F7" w14:textId="77777777" w:rsidR="00F8565C" w:rsidRPr="001D2B74" w:rsidRDefault="00F8565C" w:rsidP="00F8565C">
            <w:pPr>
              <w:rPr>
                <w:sz w:val="20"/>
              </w:rPr>
            </w:pPr>
            <w:r w:rsidRPr="001D2B74">
              <w:rPr>
                <w:sz w:val="20"/>
              </w:rPr>
              <w:t>360</w:t>
            </w:r>
          </w:p>
        </w:tc>
        <w:tc>
          <w:tcPr>
            <w:tcW w:w="1410" w:type="dxa"/>
            <w:tcBorders>
              <w:top w:val="nil"/>
              <w:left w:val="nil"/>
              <w:bottom w:val="single" w:sz="4" w:space="0" w:color="auto"/>
              <w:right w:val="single" w:sz="4" w:space="0" w:color="auto"/>
            </w:tcBorders>
            <w:noWrap/>
            <w:vAlign w:val="center"/>
            <w:hideMark/>
          </w:tcPr>
          <w:p w14:paraId="2BC56EFE" w14:textId="77777777" w:rsidR="00F8565C" w:rsidRPr="001D2B74" w:rsidRDefault="00F8565C" w:rsidP="00F8565C">
            <w:pPr>
              <w:rPr>
                <w:sz w:val="20"/>
              </w:rPr>
            </w:pPr>
            <w:r w:rsidRPr="001D2B74">
              <w:rPr>
                <w:sz w:val="20"/>
              </w:rPr>
              <w:t>9</w:t>
            </w:r>
          </w:p>
        </w:tc>
        <w:tc>
          <w:tcPr>
            <w:tcW w:w="1396" w:type="dxa"/>
            <w:tcBorders>
              <w:top w:val="nil"/>
              <w:left w:val="nil"/>
              <w:bottom w:val="single" w:sz="4" w:space="0" w:color="auto"/>
              <w:right w:val="single" w:sz="4" w:space="0" w:color="auto"/>
            </w:tcBorders>
            <w:noWrap/>
            <w:vAlign w:val="center"/>
            <w:hideMark/>
          </w:tcPr>
          <w:p w14:paraId="503FCBF5" w14:textId="77777777" w:rsidR="00F8565C" w:rsidRPr="001D2B74" w:rsidRDefault="00F8565C" w:rsidP="00F8565C">
            <w:pPr>
              <w:rPr>
                <w:sz w:val="20"/>
              </w:rPr>
            </w:pPr>
            <w:r w:rsidRPr="001D2B74">
              <w:rPr>
                <w:sz w:val="20"/>
              </w:rPr>
              <w:t>547</w:t>
            </w:r>
          </w:p>
        </w:tc>
        <w:tc>
          <w:tcPr>
            <w:tcW w:w="1658" w:type="dxa"/>
            <w:tcBorders>
              <w:top w:val="nil"/>
              <w:left w:val="nil"/>
              <w:bottom w:val="single" w:sz="4" w:space="0" w:color="auto"/>
              <w:right w:val="single" w:sz="4" w:space="0" w:color="auto"/>
            </w:tcBorders>
            <w:noWrap/>
            <w:vAlign w:val="center"/>
            <w:hideMark/>
          </w:tcPr>
          <w:p w14:paraId="3A804CFF" w14:textId="77777777" w:rsidR="00F8565C" w:rsidRPr="001D2B74" w:rsidRDefault="00F8565C" w:rsidP="00F8565C">
            <w:pPr>
              <w:rPr>
                <w:sz w:val="20"/>
              </w:rPr>
            </w:pPr>
            <w:r w:rsidRPr="001D2B74">
              <w:rPr>
                <w:sz w:val="20"/>
              </w:rPr>
              <w:t>128</w:t>
            </w:r>
          </w:p>
        </w:tc>
        <w:tc>
          <w:tcPr>
            <w:tcW w:w="1530" w:type="dxa"/>
            <w:tcBorders>
              <w:top w:val="nil"/>
              <w:left w:val="nil"/>
              <w:bottom w:val="single" w:sz="4" w:space="0" w:color="auto"/>
              <w:right w:val="single" w:sz="4" w:space="0" w:color="auto"/>
            </w:tcBorders>
            <w:noWrap/>
            <w:vAlign w:val="center"/>
            <w:hideMark/>
          </w:tcPr>
          <w:p w14:paraId="6716A80E" w14:textId="77777777" w:rsidR="00F8565C" w:rsidRPr="001D2B74" w:rsidRDefault="00F8565C" w:rsidP="00F8565C">
            <w:pPr>
              <w:rPr>
                <w:sz w:val="20"/>
              </w:rPr>
            </w:pPr>
            <w:r w:rsidRPr="001D2B74">
              <w:rPr>
                <w:sz w:val="20"/>
              </w:rPr>
              <w:t>149</w:t>
            </w:r>
          </w:p>
        </w:tc>
        <w:tc>
          <w:tcPr>
            <w:tcW w:w="1396" w:type="dxa"/>
            <w:tcBorders>
              <w:top w:val="nil"/>
              <w:left w:val="single" w:sz="4" w:space="0" w:color="auto"/>
              <w:bottom w:val="single" w:sz="4" w:space="0" w:color="auto"/>
              <w:right w:val="single" w:sz="4" w:space="0" w:color="auto"/>
            </w:tcBorders>
            <w:vAlign w:val="center"/>
            <w:hideMark/>
          </w:tcPr>
          <w:p w14:paraId="6B39FD9F" w14:textId="77777777" w:rsidR="00F8565C" w:rsidRPr="001D2B74" w:rsidRDefault="00F8565C" w:rsidP="00F8565C">
            <w:pPr>
              <w:rPr>
                <w:sz w:val="20"/>
              </w:rPr>
            </w:pPr>
            <w:r w:rsidRPr="001D2B74">
              <w:rPr>
                <w:sz w:val="20"/>
              </w:rPr>
              <w:t>90</w:t>
            </w:r>
          </w:p>
        </w:tc>
        <w:tc>
          <w:tcPr>
            <w:tcW w:w="1110" w:type="dxa"/>
            <w:tcBorders>
              <w:top w:val="nil"/>
              <w:left w:val="single" w:sz="4" w:space="0" w:color="auto"/>
              <w:bottom w:val="single" w:sz="4" w:space="0" w:color="auto"/>
              <w:right w:val="single" w:sz="4" w:space="0" w:color="auto"/>
            </w:tcBorders>
            <w:vAlign w:val="center"/>
            <w:hideMark/>
          </w:tcPr>
          <w:p w14:paraId="2AC3A31E" w14:textId="77777777" w:rsidR="00F8565C" w:rsidRPr="001D2B74" w:rsidRDefault="00F8565C" w:rsidP="00F8565C">
            <w:pPr>
              <w:rPr>
                <w:sz w:val="20"/>
              </w:rPr>
            </w:pPr>
            <w:r w:rsidRPr="001D2B74">
              <w:rPr>
                <w:sz w:val="20"/>
              </w:rPr>
              <w:t>4 127</w:t>
            </w:r>
          </w:p>
        </w:tc>
      </w:tr>
    </w:tbl>
    <w:p w14:paraId="1E705146" w14:textId="77777777" w:rsidR="00F8565C" w:rsidRPr="003D733D" w:rsidRDefault="00F8565C" w:rsidP="00F8565C">
      <w:r w:rsidRPr="00960921">
        <w:rPr>
          <w:rFonts w:ascii="Sylfaen" w:hAnsi="Sylfaen" w:cs="Sylfaen"/>
          <w:b/>
        </w:rPr>
        <w:t>წყარო</w:t>
      </w:r>
      <w:r w:rsidRPr="00960921">
        <w:rPr>
          <w:b/>
        </w:rPr>
        <w:t>:</w:t>
      </w:r>
      <w:r w:rsidRPr="003D733D">
        <w:t xml:space="preserve"> </w:t>
      </w:r>
      <w:r w:rsidRPr="003D733D">
        <w:rPr>
          <w:rFonts w:ascii="Sylfaen" w:hAnsi="Sylfaen" w:cs="Sylfaen"/>
        </w:rPr>
        <w:t>კონსულტანტი</w:t>
      </w:r>
    </w:p>
    <w:p w14:paraId="55EAA240" w14:textId="77777777" w:rsidR="00F8565C" w:rsidRPr="003D733D" w:rsidRDefault="00F8565C" w:rsidP="00F8565C"/>
    <w:p w14:paraId="255F5774" w14:textId="77777777" w:rsidR="00F8565C" w:rsidRPr="003D733D" w:rsidRDefault="00F8565C" w:rsidP="00F8565C">
      <w:r w:rsidRPr="003D733D">
        <w:rPr>
          <w:rFonts w:ascii="Sylfaen" w:hAnsi="Sylfaen" w:cs="Sylfaen"/>
        </w:rPr>
        <w:t>წინასწარი</w:t>
      </w:r>
      <w:r w:rsidRPr="003D733D">
        <w:t xml:space="preserve"> </w:t>
      </w:r>
      <w:r w:rsidRPr="003D733D">
        <w:rPr>
          <w:rFonts w:ascii="Sylfaen" w:hAnsi="Sylfaen" w:cs="Sylfaen"/>
        </w:rPr>
        <w:t>შეთანხმებით</w:t>
      </w:r>
      <w:r w:rsidRPr="003D733D">
        <w:t xml:space="preserve">, </w:t>
      </w:r>
      <w:r w:rsidRPr="003D733D">
        <w:rPr>
          <w:rFonts w:ascii="Sylfaen" w:hAnsi="Sylfaen" w:cs="Sylfaen"/>
        </w:rPr>
        <w:t>მოტოციკლეტები</w:t>
      </w:r>
      <w:r w:rsidRPr="003D733D">
        <w:t xml:space="preserve"> </w:t>
      </w:r>
      <w:r w:rsidRPr="003D733D">
        <w:rPr>
          <w:rFonts w:ascii="Sylfaen" w:hAnsi="Sylfaen" w:cs="Sylfaen"/>
        </w:rPr>
        <w:t>და</w:t>
      </w:r>
      <w:r w:rsidRPr="003D733D">
        <w:t xml:space="preserve"> </w:t>
      </w:r>
      <w:r w:rsidRPr="003D733D">
        <w:rPr>
          <w:rFonts w:ascii="Sylfaen" w:hAnsi="Sylfaen" w:cs="Sylfaen"/>
        </w:rPr>
        <w:t>თვითმავალი</w:t>
      </w:r>
      <w:r w:rsidRPr="003D733D">
        <w:t xml:space="preserve"> </w:t>
      </w:r>
      <w:r w:rsidRPr="003D733D">
        <w:rPr>
          <w:rFonts w:ascii="Sylfaen" w:hAnsi="Sylfaen" w:cs="Sylfaen"/>
        </w:rPr>
        <w:t>ტრანსპორტი</w:t>
      </w:r>
      <w:r w:rsidRPr="003D733D">
        <w:t xml:space="preserve"> </w:t>
      </w:r>
      <w:r w:rsidRPr="003D733D">
        <w:rPr>
          <w:rFonts w:ascii="Sylfaen" w:hAnsi="Sylfaen" w:cs="Sylfaen"/>
        </w:rPr>
        <w:t>წლიური</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დღიური</w:t>
      </w:r>
      <w:r w:rsidRPr="003D733D">
        <w:t xml:space="preserve"> </w:t>
      </w:r>
      <w:r w:rsidRPr="003D733D">
        <w:rPr>
          <w:rFonts w:ascii="Sylfaen" w:hAnsi="Sylfaen" w:cs="Sylfaen"/>
        </w:rPr>
        <w:t>ინტენსიურობის</w:t>
      </w:r>
      <w:r w:rsidRPr="003D733D">
        <w:t xml:space="preserve"> (AADT) </w:t>
      </w:r>
      <w:r w:rsidRPr="003D733D">
        <w:rPr>
          <w:rFonts w:ascii="Sylfaen" w:hAnsi="Sylfaen" w:cs="Sylfaen"/>
        </w:rPr>
        <w:t>სიდიდეებში</w:t>
      </w:r>
      <w:r w:rsidRPr="003D733D">
        <w:t xml:space="preserve"> </w:t>
      </w:r>
      <w:r w:rsidRPr="003D733D">
        <w:rPr>
          <w:rFonts w:ascii="Sylfaen" w:hAnsi="Sylfaen" w:cs="Sylfaen"/>
        </w:rPr>
        <w:t>გათვალისწინებული</w:t>
      </w:r>
      <w:r w:rsidRPr="003D733D">
        <w:t xml:space="preserve"> </w:t>
      </w:r>
      <w:r w:rsidRPr="003D733D">
        <w:rPr>
          <w:rFonts w:ascii="Sylfaen" w:hAnsi="Sylfaen" w:cs="Sylfaen"/>
        </w:rPr>
        <w:t>არ</w:t>
      </w:r>
      <w:r w:rsidRPr="003D733D">
        <w:t xml:space="preserve"> </w:t>
      </w:r>
      <w:r w:rsidRPr="003D733D">
        <w:rPr>
          <w:rFonts w:ascii="Sylfaen" w:hAnsi="Sylfaen" w:cs="Sylfaen"/>
        </w:rPr>
        <w:t>არის</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აღწერის</w:t>
      </w:r>
      <w:r w:rsidRPr="003D733D">
        <w:t xml:space="preserve"> </w:t>
      </w:r>
      <w:r w:rsidRPr="003D733D">
        <w:rPr>
          <w:rFonts w:ascii="Sylfaen" w:hAnsi="Sylfaen" w:cs="Sylfaen"/>
        </w:rPr>
        <w:t>შედეგებმა</w:t>
      </w:r>
      <w:r w:rsidRPr="003D733D">
        <w:t xml:space="preserve"> </w:t>
      </w:r>
      <w:r w:rsidRPr="003D733D">
        <w:rPr>
          <w:rFonts w:ascii="Sylfaen" w:hAnsi="Sylfaen" w:cs="Sylfaen"/>
        </w:rPr>
        <w:t>უჩვენა</w:t>
      </w:r>
      <w:r w:rsidRPr="003D733D">
        <w:t xml:space="preserve">, </w:t>
      </w:r>
      <w:r w:rsidRPr="003D733D">
        <w:rPr>
          <w:rFonts w:ascii="Sylfaen" w:hAnsi="Sylfaen" w:cs="Sylfaen"/>
        </w:rPr>
        <w:t>რომ</w:t>
      </w:r>
      <w:r w:rsidRPr="003D733D">
        <w:t xml:space="preserve"> </w:t>
      </w:r>
      <w:r w:rsidRPr="003D733D">
        <w:rPr>
          <w:rFonts w:ascii="Sylfaen" w:hAnsi="Sylfaen" w:cs="Sylfaen"/>
        </w:rPr>
        <w:t>ორთავე</w:t>
      </w:r>
      <w:r w:rsidRPr="003D733D">
        <w:t xml:space="preserve"> </w:t>
      </w:r>
      <w:r w:rsidRPr="003D733D">
        <w:rPr>
          <w:rFonts w:ascii="Sylfaen" w:hAnsi="Sylfaen" w:cs="Sylfaen"/>
        </w:rPr>
        <w:t>ამ</w:t>
      </w:r>
      <w:r w:rsidRPr="003D733D">
        <w:t xml:space="preserve"> </w:t>
      </w:r>
      <w:r w:rsidRPr="003D733D">
        <w:rPr>
          <w:rFonts w:ascii="Sylfaen" w:hAnsi="Sylfaen" w:cs="Sylfaen"/>
        </w:rPr>
        <w:t>კატეგორიის</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საშუალებები</w:t>
      </w:r>
      <w:r w:rsidRPr="003D733D">
        <w:t xml:space="preserve"> </w:t>
      </w:r>
      <w:r w:rsidRPr="003D733D">
        <w:rPr>
          <w:rFonts w:ascii="Sylfaen" w:hAnsi="Sylfaen" w:cs="Sylfaen"/>
        </w:rPr>
        <w:t>უმნიშვნელოდ</w:t>
      </w:r>
      <w:r w:rsidRPr="003D733D">
        <w:t xml:space="preserve"> </w:t>
      </w:r>
      <w:r w:rsidRPr="003D733D">
        <w:rPr>
          <w:rFonts w:ascii="Sylfaen" w:hAnsi="Sylfaen" w:cs="Sylfaen"/>
        </w:rPr>
        <w:t>არიან</w:t>
      </w:r>
      <w:r w:rsidRPr="003D733D">
        <w:t xml:space="preserve"> </w:t>
      </w:r>
      <w:r w:rsidRPr="003D733D">
        <w:rPr>
          <w:rFonts w:ascii="Sylfaen" w:hAnsi="Sylfaen" w:cs="Sylfaen"/>
        </w:rPr>
        <w:t>წარმოდგენილი</w:t>
      </w:r>
      <w:r w:rsidRPr="003D733D">
        <w:t xml:space="preserve"> </w:t>
      </w:r>
      <w:r w:rsidRPr="003D733D">
        <w:rPr>
          <w:rFonts w:ascii="Sylfaen" w:hAnsi="Sylfaen" w:cs="Sylfaen"/>
        </w:rPr>
        <w:t>საკვლევ</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ქსელში</w:t>
      </w:r>
      <w:r w:rsidRPr="003D733D">
        <w:t>.</w:t>
      </w:r>
    </w:p>
    <w:p w14:paraId="55AACDB0" w14:textId="77777777" w:rsidR="00F8565C" w:rsidRPr="003D733D" w:rsidRDefault="00F8565C" w:rsidP="00F8565C"/>
    <w:p w14:paraId="14A1BCE5" w14:textId="77777777" w:rsidR="00F8565C" w:rsidRPr="003D733D" w:rsidRDefault="00F8565C" w:rsidP="00F8565C">
      <w:pPr>
        <w:sectPr w:rsidR="00F8565C" w:rsidRPr="003D733D">
          <w:pgSz w:w="15840" w:h="12240" w:orient="landscape"/>
          <w:pgMar w:top="1417" w:right="1134" w:bottom="1417" w:left="1134" w:header="708" w:footer="708" w:gutter="0"/>
          <w:cols w:space="720"/>
        </w:sectPr>
      </w:pPr>
    </w:p>
    <w:p w14:paraId="1BD85C82" w14:textId="079AF1EE" w:rsidR="00F8565C" w:rsidRPr="003D733D" w:rsidRDefault="00F8565C" w:rsidP="000B139D">
      <w:pPr>
        <w:pStyle w:val="Heading3"/>
        <w:rPr>
          <w:lang w:val="ka-GE"/>
        </w:rPr>
      </w:pPr>
      <w:bookmarkStart w:id="68" w:name="_Toc359661745"/>
      <w:bookmarkStart w:id="69" w:name="_Toc529977360"/>
      <w:bookmarkStart w:id="70" w:name="_Toc494412112"/>
      <w:bookmarkStart w:id="71" w:name="_Toc494411971"/>
      <w:bookmarkStart w:id="72" w:name="_Toc494297156"/>
      <w:bookmarkStart w:id="73" w:name="_Toc1581499"/>
      <w:r w:rsidRPr="003D733D">
        <w:lastRenderedPageBreak/>
        <w:t>4.</w:t>
      </w:r>
      <w:r w:rsidR="000B139D">
        <w:rPr>
          <w:lang w:val="ka-GE"/>
        </w:rPr>
        <w:t>7</w:t>
      </w:r>
      <w:r w:rsidRPr="003D733D">
        <w:t>.</w:t>
      </w:r>
      <w:r w:rsidR="000B139D">
        <w:rPr>
          <w:lang w:val="ka-GE"/>
        </w:rPr>
        <w:t>2</w:t>
      </w:r>
      <w:r w:rsidRPr="003D733D">
        <w:t>.</w:t>
      </w:r>
      <w:r w:rsidRPr="003D733D">
        <w:tab/>
      </w:r>
      <w:bookmarkEnd w:id="68"/>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ინტენსიურობის</w:t>
      </w:r>
      <w:r w:rsidRPr="003D733D">
        <w:t xml:space="preserve"> </w:t>
      </w:r>
      <w:r w:rsidRPr="003D733D">
        <w:rPr>
          <w:rFonts w:ascii="Sylfaen" w:hAnsi="Sylfaen" w:cs="Sylfaen"/>
        </w:rPr>
        <w:t>ზრდა</w:t>
      </w:r>
      <w:bookmarkEnd w:id="69"/>
      <w:bookmarkEnd w:id="73"/>
      <w:r w:rsidRPr="003D733D">
        <w:t xml:space="preserve"> </w:t>
      </w:r>
      <w:bookmarkEnd w:id="70"/>
      <w:bookmarkEnd w:id="71"/>
      <w:bookmarkEnd w:id="72"/>
    </w:p>
    <w:p w14:paraId="5661AD5C" w14:textId="77777777" w:rsidR="00F8565C" w:rsidRPr="003D733D" w:rsidRDefault="00F8565C" w:rsidP="00F8565C"/>
    <w:p w14:paraId="7C447CDB" w14:textId="77777777" w:rsidR="00F8565C" w:rsidRPr="003D733D" w:rsidRDefault="00F8565C" w:rsidP="00F8565C">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პროგნოზები</w:t>
      </w:r>
      <w:r w:rsidRPr="003D733D">
        <w:rPr>
          <w:rFonts w:eastAsia="Calibri"/>
        </w:rPr>
        <w:t xml:space="preserve"> </w:t>
      </w:r>
      <w:r w:rsidRPr="003D733D">
        <w:rPr>
          <w:rFonts w:ascii="Sylfaen" w:eastAsia="Calibri" w:hAnsi="Sylfaen" w:cs="Sylfaen"/>
        </w:rPr>
        <w:t>დამუშავდა</w:t>
      </w:r>
      <w:r w:rsidRPr="003D733D">
        <w:rPr>
          <w:rFonts w:eastAsia="Calibri"/>
        </w:rPr>
        <w:t xml:space="preserve"> 2040 </w:t>
      </w:r>
      <w:r w:rsidRPr="003D733D">
        <w:rPr>
          <w:rFonts w:ascii="Sylfaen" w:eastAsia="Calibri" w:hAnsi="Sylfaen" w:cs="Sylfaen"/>
        </w:rPr>
        <w:t>წლამდე</w:t>
      </w:r>
      <w:r w:rsidRPr="003D733D">
        <w:rPr>
          <w:rFonts w:eastAsia="Calibri"/>
        </w:rPr>
        <w:t xml:space="preserve"> </w:t>
      </w:r>
      <w:r w:rsidRPr="003D733D">
        <w:rPr>
          <w:rFonts w:ascii="Sylfaen" w:eastAsia="Calibri" w:hAnsi="Sylfaen" w:cs="Sylfaen"/>
        </w:rPr>
        <w:t>პერიოდისთვის</w:t>
      </w:r>
      <w:r w:rsidRPr="003D733D">
        <w:rPr>
          <w:rFonts w:eastAsia="Calibri"/>
        </w:rPr>
        <w:t xml:space="preserve">, </w:t>
      </w:r>
      <w:r w:rsidRPr="003D733D">
        <w:rPr>
          <w:rFonts w:ascii="Sylfaen" w:eastAsia="Calibri" w:hAnsi="Sylfaen" w:cs="Sylfaen"/>
        </w:rPr>
        <w:t>რომელიც</w:t>
      </w:r>
      <w:r w:rsidRPr="003D733D">
        <w:rPr>
          <w:rFonts w:eastAsia="Calibri"/>
        </w:rPr>
        <w:t xml:space="preserve"> </w:t>
      </w:r>
      <w:r w:rsidRPr="003D733D">
        <w:rPr>
          <w:rFonts w:ascii="Sylfaen" w:eastAsia="Calibri" w:hAnsi="Sylfaen" w:cs="Sylfaen"/>
        </w:rPr>
        <w:t>მოიცავს</w:t>
      </w:r>
      <w:r w:rsidRPr="003D733D">
        <w:rPr>
          <w:rFonts w:eastAsia="Calibri"/>
        </w:rPr>
        <w:t xml:space="preserve"> 20 </w:t>
      </w:r>
      <w:r w:rsidRPr="003D733D">
        <w:rPr>
          <w:rFonts w:ascii="Sylfaen" w:eastAsia="Calibri" w:hAnsi="Sylfaen" w:cs="Sylfaen"/>
        </w:rPr>
        <w:t>წელიწადს</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გახსნის</w:t>
      </w:r>
      <w:r w:rsidRPr="003D733D">
        <w:rPr>
          <w:rFonts w:eastAsia="Calibri"/>
        </w:rPr>
        <w:t xml:space="preserve"> </w:t>
      </w:r>
      <w:r w:rsidRPr="003D733D">
        <w:rPr>
          <w:rFonts w:ascii="Sylfaen" w:eastAsia="Calibri" w:hAnsi="Sylfaen" w:cs="Sylfaen"/>
        </w:rPr>
        <w:t>პირობითი</w:t>
      </w:r>
      <w:r w:rsidRPr="003D733D">
        <w:rPr>
          <w:rFonts w:eastAsia="Calibri"/>
        </w:rPr>
        <w:t xml:space="preserve"> (2020) </w:t>
      </w:r>
      <w:r w:rsidRPr="003D733D">
        <w:rPr>
          <w:rFonts w:ascii="Sylfaen" w:eastAsia="Calibri" w:hAnsi="Sylfaen" w:cs="Sylfaen"/>
        </w:rPr>
        <w:t>წლიდან</w:t>
      </w:r>
      <w:r w:rsidRPr="003D733D">
        <w:rPr>
          <w:rFonts w:eastAsia="Calibri"/>
        </w:rPr>
        <w:t>.</w:t>
      </w:r>
    </w:p>
    <w:p w14:paraId="6A76E6FA" w14:textId="77777777" w:rsidR="00F8565C" w:rsidRPr="003D733D" w:rsidRDefault="00F8565C" w:rsidP="00F8565C">
      <w:pPr>
        <w:rPr>
          <w:rFonts w:eastAsia="Calibri"/>
        </w:rPr>
      </w:pP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w:t>
      </w:r>
      <w:r w:rsidRPr="003D733D">
        <w:rPr>
          <w:rFonts w:ascii="Sylfaen" w:eastAsia="Calibri" w:hAnsi="Sylfaen" w:cs="Sylfaen"/>
        </w:rPr>
        <w:t>ნორმალური</w:t>
      </w:r>
      <w:r w:rsidRPr="003D733D">
        <w:rPr>
          <w:rFonts w:eastAsia="Calibri"/>
        </w:rPr>
        <w:t xml:space="preserve"> </w:t>
      </w:r>
      <w:r w:rsidRPr="003D733D">
        <w:rPr>
          <w:rFonts w:ascii="Sylfaen" w:eastAsia="Calibri" w:hAnsi="Sylfaen" w:cs="Sylfaen"/>
        </w:rPr>
        <w:t>ზრდა</w:t>
      </w:r>
    </w:p>
    <w:p w14:paraId="6E87E3C0" w14:textId="77777777" w:rsidR="00F8565C" w:rsidRPr="003D733D" w:rsidRDefault="00F8565C" w:rsidP="00F8565C">
      <w:pPr>
        <w:rPr>
          <w:rFonts w:eastAsia="Calibri"/>
        </w:rPr>
      </w:pP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w:t>
      </w:r>
      <w:r w:rsidRPr="003D733D">
        <w:rPr>
          <w:rFonts w:ascii="Sylfaen" w:eastAsia="Calibri" w:hAnsi="Sylfaen" w:cs="Sylfaen"/>
        </w:rPr>
        <w:t>ნორმალური</w:t>
      </w:r>
      <w:r w:rsidRPr="003D733D">
        <w:rPr>
          <w:rFonts w:eastAsia="Calibri"/>
        </w:rPr>
        <w:t xml:space="preserve"> </w:t>
      </w:r>
      <w:r w:rsidRPr="003D733D">
        <w:rPr>
          <w:rFonts w:ascii="Sylfaen" w:eastAsia="Calibri" w:hAnsi="Sylfaen" w:cs="Sylfaen"/>
        </w:rPr>
        <w:t>ზრდა</w:t>
      </w:r>
      <w:r w:rsidRPr="003D733D">
        <w:rPr>
          <w:rFonts w:eastAsia="Calibri"/>
        </w:rPr>
        <w:t xml:space="preserve"> </w:t>
      </w:r>
      <w:r w:rsidRPr="003D733D">
        <w:rPr>
          <w:rFonts w:ascii="Sylfaen" w:eastAsia="Calibri" w:hAnsi="Sylfaen" w:cs="Sylfaen"/>
        </w:rPr>
        <w:t>განპირობებულია</w:t>
      </w:r>
      <w:r w:rsidRPr="003D733D">
        <w:rPr>
          <w:rFonts w:eastAsia="Calibri"/>
        </w:rPr>
        <w:t xml:space="preserve"> </w:t>
      </w:r>
      <w:r w:rsidRPr="003D733D">
        <w:rPr>
          <w:rFonts w:ascii="Sylfaen" w:eastAsia="Calibri" w:hAnsi="Sylfaen" w:cs="Sylfaen"/>
        </w:rPr>
        <w:t>ეკონომიკური</w:t>
      </w:r>
      <w:r w:rsidRPr="003D733D">
        <w:rPr>
          <w:rFonts w:eastAsia="Calibri"/>
        </w:rPr>
        <w:t xml:space="preserve"> </w:t>
      </w:r>
      <w:r w:rsidRPr="003D733D">
        <w:rPr>
          <w:rFonts w:ascii="Sylfaen" w:eastAsia="Calibri" w:hAnsi="Sylfaen" w:cs="Sylfaen"/>
        </w:rPr>
        <w:t>განვითარებით</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ასახავს</w:t>
      </w:r>
      <w:r w:rsidRPr="003D733D">
        <w:rPr>
          <w:rFonts w:eastAsia="Calibri"/>
        </w:rPr>
        <w:t xml:space="preserve"> </w:t>
      </w:r>
      <w:r w:rsidRPr="003D733D">
        <w:rPr>
          <w:rFonts w:ascii="Sylfaen" w:eastAsia="Calibri" w:hAnsi="Sylfaen" w:cs="Sylfaen"/>
        </w:rPr>
        <w:t>საზოგადოების</w:t>
      </w:r>
      <w:r w:rsidRPr="003D733D">
        <w:rPr>
          <w:rFonts w:eastAsia="Calibri"/>
        </w:rPr>
        <w:t xml:space="preserve"> </w:t>
      </w:r>
      <w:r w:rsidRPr="003D733D">
        <w:rPr>
          <w:rFonts w:ascii="Sylfaen" w:eastAsia="Calibri" w:hAnsi="Sylfaen" w:cs="Sylfaen"/>
        </w:rPr>
        <w:t>კეთილდღეობის</w:t>
      </w:r>
      <w:r w:rsidRPr="003D733D">
        <w:rPr>
          <w:rFonts w:eastAsia="Calibri"/>
        </w:rPr>
        <w:t xml:space="preserve"> </w:t>
      </w:r>
      <w:r w:rsidRPr="003D733D">
        <w:rPr>
          <w:rFonts w:ascii="Sylfaen" w:eastAsia="Calibri" w:hAnsi="Sylfaen" w:cs="Sylfaen"/>
        </w:rPr>
        <w:t>დონის</w:t>
      </w:r>
      <w:r w:rsidRPr="003D733D">
        <w:rPr>
          <w:rFonts w:eastAsia="Calibri"/>
        </w:rPr>
        <w:t xml:space="preserve"> </w:t>
      </w:r>
      <w:r w:rsidRPr="003D733D">
        <w:rPr>
          <w:rFonts w:ascii="Sylfaen" w:eastAsia="Calibri" w:hAnsi="Sylfaen" w:cs="Sylfaen"/>
        </w:rPr>
        <w:t>ამაღლებას</w:t>
      </w:r>
      <w:r w:rsidRPr="003D733D">
        <w:rPr>
          <w:rFonts w:eastAsia="Calibri"/>
        </w:rPr>
        <w:t xml:space="preserve"> </w:t>
      </w:r>
      <w:r w:rsidRPr="003D733D">
        <w:rPr>
          <w:rFonts w:ascii="Sylfaen" w:eastAsia="Calibri" w:hAnsi="Sylfaen" w:cs="Sylfaen"/>
        </w:rPr>
        <w:t>რასაც</w:t>
      </w:r>
      <w:r w:rsidRPr="003D733D">
        <w:rPr>
          <w:rFonts w:eastAsia="Calibri"/>
        </w:rPr>
        <w:t xml:space="preserve"> </w:t>
      </w:r>
      <w:r w:rsidRPr="003D733D">
        <w:rPr>
          <w:rFonts w:ascii="Sylfaen" w:eastAsia="Calibri" w:hAnsi="Sylfaen" w:cs="Sylfaen"/>
        </w:rPr>
        <w:t>თან</w:t>
      </w:r>
      <w:r w:rsidRPr="003D733D">
        <w:rPr>
          <w:rFonts w:eastAsia="Calibri"/>
        </w:rPr>
        <w:t xml:space="preserve"> </w:t>
      </w:r>
      <w:r w:rsidRPr="003D733D">
        <w:rPr>
          <w:rFonts w:ascii="Sylfaen" w:eastAsia="Calibri" w:hAnsi="Sylfaen" w:cs="Sylfaen"/>
        </w:rPr>
        <w:t>ახლავს</w:t>
      </w:r>
      <w:r w:rsidRPr="003D733D">
        <w:rPr>
          <w:rFonts w:eastAsia="Calibri"/>
        </w:rPr>
        <w:t xml:space="preserve"> </w:t>
      </w:r>
      <w:r w:rsidRPr="003D733D">
        <w:rPr>
          <w:rFonts w:ascii="Sylfaen" w:eastAsia="Calibri" w:hAnsi="Sylfaen" w:cs="Sylfaen"/>
        </w:rPr>
        <w:t>კერძო</w:t>
      </w:r>
      <w:r w:rsidRPr="003D733D">
        <w:rPr>
          <w:rFonts w:eastAsia="Calibri"/>
        </w:rPr>
        <w:t xml:space="preserve"> </w:t>
      </w:r>
      <w:r w:rsidRPr="003D733D">
        <w:rPr>
          <w:rFonts w:ascii="Sylfaen" w:eastAsia="Calibri" w:hAnsi="Sylfaen" w:cs="Sylfaen"/>
        </w:rPr>
        <w:t>საკუთრებაში</w:t>
      </w:r>
      <w:r w:rsidRPr="003D733D">
        <w:rPr>
          <w:rFonts w:eastAsia="Calibri"/>
        </w:rPr>
        <w:t xml:space="preserve"> </w:t>
      </w:r>
      <w:r w:rsidRPr="003D733D">
        <w:rPr>
          <w:rFonts w:ascii="Sylfaen" w:eastAsia="Calibri" w:hAnsi="Sylfaen" w:cs="Sylfaen"/>
        </w:rPr>
        <w:t>არსებული</w:t>
      </w:r>
      <w:r w:rsidRPr="003D733D">
        <w:rPr>
          <w:rFonts w:eastAsia="Calibri"/>
        </w:rPr>
        <w:t xml:space="preserve"> </w:t>
      </w:r>
      <w:r w:rsidRPr="003D733D">
        <w:rPr>
          <w:rFonts w:ascii="Sylfaen" w:eastAsia="Calibri" w:hAnsi="Sylfaen" w:cs="Sylfaen"/>
        </w:rPr>
        <w:t>ავტომობილების</w:t>
      </w:r>
      <w:r w:rsidRPr="003D733D">
        <w:rPr>
          <w:rFonts w:eastAsia="Calibri"/>
        </w:rPr>
        <w:t xml:space="preserve"> </w:t>
      </w:r>
      <w:r w:rsidRPr="003D733D">
        <w:rPr>
          <w:rFonts w:ascii="Sylfaen" w:eastAsia="Calibri" w:hAnsi="Sylfaen" w:cs="Sylfaen"/>
        </w:rPr>
        <w:t>რაოდენობისა</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მათი</w:t>
      </w:r>
      <w:r w:rsidRPr="003D733D">
        <w:rPr>
          <w:rFonts w:eastAsia="Calibri"/>
        </w:rPr>
        <w:t xml:space="preserve"> </w:t>
      </w:r>
      <w:r w:rsidRPr="003D733D">
        <w:rPr>
          <w:rFonts w:ascii="Sylfaen" w:eastAsia="Calibri" w:hAnsi="Sylfaen" w:cs="Sylfaen"/>
        </w:rPr>
        <w:t>გამოყენების</w:t>
      </w:r>
      <w:r w:rsidRPr="003D733D">
        <w:rPr>
          <w:rFonts w:eastAsia="Calibri"/>
        </w:rPr>
        <w:t xml:space="preserve"> </w:t>
      </w:r>
      <w:r w:rsidRPr="003D733D">
        <w:rPr>
          <w:rFonts w:ascii="Sylfaen" w:eastAsia="Calibri" w:hAnsi="Sylfaen" w:cs="Sylfaen"/>
        </w:rPr>
        <w:t>სიხშირის</w:t>
      </w:r>
      <w:r w:rsidRPr="003D733D">
        <w:rPr>
          <w:rFonts w:eastAsia="Calibri"/>
        </w:rPr>
        <w:t xml:space="preserve"> </w:t>
      </w:r>
      <w:r w:rsidRPr="003D733D">
        <w:rPr>
          <w:rFonts w:ascii="Sylfaen" w:eastAsia="Calibri" w:hAnsi="Sylfaen" w:cs="Sylfaen"/>
        </w:rPr>
        <w:t>მატება</w:t>
      </w:r>
      <w:r w:rsidRPr="003D733D">
        <w:rPr>
          <w:rFonts w:eastAsia="Calibri"/>
        </w:rPr>
        <w:t xml:space="preserve">. </w:t>
      </w:r>
      <w:r w:rsidRPr="003D733D">
        <w:rPr>
          <w:rFonts w:ascii="Sylfaen" w:eastAsia="Calibri" w:hAnsi="Sylfaen" w:cs="Sylfaen"/>
        </w:rPr>
        <w:t>ეროვნული</w:t>
      </w:r>
      <w:r w:rsidRPr="003D733D">
        <w:rPr>
          <w:rFonts w:eastAsia="Calibri"/>
        </w:rPr>
        <w:t xml:space="preserve"> </w:t>
      </w:r>
      <w:r w:rsidRPr="003D733D">
        <w:rPr>
          <w:rFonts w:ascii="Sylfaen" w:eastAsia="Calibri" w:hAnsi="Sylfaen" w:cs="Sylfaen"/>
        </w:rPr>
        <w:t>ეკონომიკის</w:t>
      </w:r>
      <w:r w:rsidRPr="003D733D">
        <w:rPr>
          <w:rFonts w:eastAsia="Calibri"/>
        </w:rPr>
        <w:t xml:space="preserve"> </w:t>
      </w:r>
      <w:r w:rsidRPr="003D733D">
        <w:rPr>
          <w:rFonts w:ascii="Sylfaen" w:eastAsia="Calibri" w:hAnsi="Sylfaen" w:cs="Sylfaen"/>
        </w:rPr>
        <w:t>განვითარების</w:t>
      </w:r>
      <w:r w:rsidRPr="003D733D">
        <w:rPr>
          <w:rFonts w:eastAsia="Calibri"/>
        </w:rPr>
        <w:t xml:space="preserve"> </w:t>
      </w:r>
      <w:r w:rsidRPr="003D733D">
        <w:rPr>
          <w:rFonts w:ascii="Sylfaen" w:eastAsia="Calibri" w:hAnsi="Sylfaen" w:cs="Sylfaen"/>
        </w:rPr>
        <w:t>საუკეთესო</w:t>
      </w:r>
      <w:r w:rsidRPr="003D733D">
        <w:rPr>
          <w:rFonts w:eastAsia="Calibri"/>
        </w:rPr>
        <w:t xml:space="preserve"> </w:t>
      </w:r>
      <w:r w:rsidRPr="003D733D">
        <w:rPr>
          <w:rFonts w:ascii="Sylfaen" w:eastAsia="Calibri" w:hAnsi="Sylfaen" w:cs="Sylfaen"/>
        </w:rPr>
        <w:t>საზომია</w:t>
      </w:r>
      <w:r w:rsidRPr="003D733D">
        <w:rPr>
          <w:rFonts w:eastAsia="Calibri"/>
        </w:rPr>
        <w:t xml:space="preserve"> </w:t>
      </w:r>
      <w:r w:rsidRPr="003D733D">
        <w:rPr>
          <w:rFonts w:ascii="Sylfaen" w:eastAsia="Calibri" w:hAnsi="Sylfaen" w:cs="Sylfaen"/>
        </w:rPr>
        <w:t>რეალური</w:t>
      </w:r>
      <w:r w:rsidRPr="003D733D">
        <w:rPr>
          <w:rFonts w:eastAsia="Calibri"/>
        </w:rPr>
        <w:t xml:space="preserve"> </w:t>
      </w:r>
      <w:r w:rsidRPr="003D733D">
        <w:rPr>
          <w:rFonts w:ascii="Sylfaen" w:eastAsia="Calibri" w:hAnsi="Sylfaen" w:cs="Sylfaen"/>
        </w:rPr>
        <w:t>მთლიანი</w:t>
      </w:r>
      <w:r w:rsidRPr="003D733D">
        <w:rPr>
          <w:rFonts w:eastAsia="Calibri"/>
        </w:rPr>
        <w:t xml:space="preserve"> </w:t>
      </w:r>
      <w:r w:rsidRPr="003D733D">
        <w:rPr>
          <w:rFonts w:ascii="Sylfaen" w:eastAsia="Calibri" w:hAnsi="Sylfaen" w:cs="Sylfaen"/>
        </w:rPr>
        <w:t>შიდა</w:t>
      </w:r>
      <w:r w:rsidRPr="003D733D">
        <w:rPr>
          <w:rFonts w:eastAsia="Calibri"/>
        </w:rPr>
        <w:t xml:space="preserve"> </w:t>
      </w:r>
      <w:r w:rsidRPr="003D733D">
        <w:rPr>
          <w:rFonts w:ascii="Sylfaen" w:eastAsia="Calibri" w:hAnsi="Sylfaen" w:cs="Sylfaen"/>
        </w:rPr>
        <w:t>პროდუქტის</w:t>
      </w:r>
      <w:r w:rsidRPr="003D733D">
        <w:rPr>
          <w:rFonts w:eastAsia="Calibri"/>
        </w:rPr>
        <w:t xml:space="preserve"> (“</w:t>
      </w:r>
      <w:r w:rsidRPr="003D733D">
        <w:rPr>
          <w:rFonts w:ascii="Sylfaen" w:eastAsia="Calibri" w:hAnsi="Sylfaen" w:cs="Sylfaen"/>
        </w:rPr>
        <w:t>მშპ</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ტემპი</w:t>
      </w:r>
      <w:r w:rsidRPr="003D733D">
        <w:rPr>
          <w:rFonts w:eastAsia="Calibri"/>
        </w:rPr>
        <w:t xml:space="preserve">. </w:t>
      </w:r>
    </w:p>
    <w:p w14:paraId="6E394245" w14:textId="77777777" w:rsidR="00F8565C" w:rsidRPr="003D733D" w:rsidRDefault="00F8565C" w:rsidP="00F8565C">
      <w:pPr>
        <w:rPr>
          <w:rFonts w:eastAsia="Calibri"/>
          <w:lang w:val="it-IT" w:eastAsia="en-GB"/>
        </w:rPr>
      </w:pPr>
      <w:r w:rsidRPr="003D733D">
        <w:rPr>
          <w:rFonts w:ascii="Sylfaen" w:eastAsia="Calibri" w:hAnsi="Sylfaen" w:cs="Sylfaen"/>
        </w:rPr>
        <w:t>საქართველოს</w:t>
      </w:r>
      <w:r w:rsidRPr="003D733D">
        <w:rPr>
          <w:rFonts w:eastAsia="Calibri"/>
        </w:rPr>
        <w:t xml:space="preserve"> </w:t>
      </w:r>
      <w:r w:rsidRPr="003D733D">
        <w:rPr>
          <w:rFonts w:ascii="Sylfaen" w:eastAsia="Calibri" w:hAnsi="Sylfaen" w:cs="Sylfaen"/>
        </w:rPr>
        <w:t>ეკონომიკის</w:t>
      </w:r>
      <w:r w:rsidRPr="003D733D">
        <w:rPr>
          <w:rFonts w:eastAsia="Calibri"/>
        </w:rPr>
        <w:t xml:space="preserve"> </w:t>
      </w:r>
      <w:r w:rsidRPr="003D733D">
        <w:rPr>
          <w:rFonts w:ascii="Sylfaen" w:eastAsia="Calibri" w:hAnsi="Sylfaen" w:cs="Sylfaen"/>
        </w:rPr>
        <w:t>ცენტრალური</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ტემპის</w:t>
      </w:r>
      <w:r w:rsidRPr="003D733D">
        <w:rPr>
          <w:rFonts w:eastAsia="Calibri"/>
        </w:rPr>
        <w:t xml:space="preserve"> </w:t>
      </w:r>
      <w:r w:rsidRPr="003D733D">
        <w:rPr>
          <w:rFonts w:ascii="Sylfaen" w:eastAsia="Calibri" w:hAnsi="Sylfaen" w:cs="Sylfaen"/>
        </w:rPr>
        <w:t>გასაანგარიშებლად</w:t>
      </w:r>
      <w:r w:rsidRPr="003D733D">
        <w:rPr>
          <w:rFonts w:eastAsia="Calibri"/>
        </w:rPr>
        <w:t xml:space="preserve">, </w:t>
      </w:r>
      <w:r w:rsidRPr="003D733D">
        <w:rPr>
          <w:rFonts w:ascii="Sylfaen" w:eastAsia="Calibri" w:hAnsi="Sylfaen" w:cs="Sylfaen"/>
        </w:rPr>
        <w:t>საწყისი</w:t>
      </w:r>
      <w:r w:rsidRPr="003D733D">
        <w:rPr>
          <w:rFonts w:eastAsia="Calibri"/>
        </w:rPr>
        <w:t xml:space="preserve"> </w:t>
      </w:r>
      <w:r w:rsidRPr="003D733D">
        <w:rPr>
          <w:rFonts w:ascii="Sylfaen" w:eastAsia="Calibri" w:hAnsi="Sylfaen" w:cs="Sylfaen"/>
        </w:rPr>
        <w:t>მონაცემების</w:t>
      </w:r>
      <w:r w:rsidRPr="003D733D">
        <w:rPr>
          <w:rFonts w:eastAsia="Calibri"/>
        </w:rPr>
        <w:t xml:space="preserve"> </w:t>
      </w:r>
      <w:r w:rsidRPr="003D733D">
        <w:rPr>
          <w:rFonts w:ascii="Sylfaen" w:eastAsia="Calibri" w:hAnsi="Sylfaen" w:cs="Sylfaen"/>
        </w:rPr>
        <w:t>სახით</w:t>
      </w:r>
      <w:r w:rsidRPr="003D733D">
        <w:rPr>
          <w:rFonts w:eastAsia="Calibri"/>
        </w:rPr>
        <w:t xml:space="preserve">, </w:t>
      </w:r>
      <w:r w:rsidRPr="003D733D">
        <w:rPr>
          <w:rFonts w:ascii="Sylfaen" w:eastAsia="Calibri" w:hAnsi="Sylfaen" w:cs="Sylfaen"/>
        </w:rPr>
        <w:t>გამოყენებულ</w:t>
      </w:r>
      <w:r w:rsidRPr="003D733D">
        <w:rPr>
          <w:rFonts w:eastAsia="Calibri"/>
        </w:rPr>
        <w:t xml:space="preserve"> </w:t>
      </w:r>
      <w:r w:rsidRPr="003D733D">
        <w:rPr>
          <w:rFonts w:ascii="Sylfaen" w:eastAsia="Calibri" w:hAnsi="Sylfaen" w:cs="Sylfaen"/>
        </w:rPr>
        <w:t>იქნა</w:t>
      </w:r>
      <w:r w:rsidRPr="003D733D">
        <w:rPr>
          <w:rFonts w:eastAsia="Calibri"/>
        </w:rPr>
        <w:t xml:space="preserve"> </w:t>
      </w:r>
      <w:r w:rsidRPr="003D733D">
        <w:rPr>
          <w:rFonts w:ascii="Sylfaen" w:eastAsia="Calibri" w:hAnsi="Sylfaen" w:cs="Sylfaen"/>
        </w:rPr>
        <w:t>საქართველოსთვის</w:t>
      </w:r>
      <w:r w:rsidRPr="003D733D">
        <w:rPr>
          <w:rFonts w:eastAsia="Calibri"/>
        </w:rPr>
        <w:t xml:space="preserve"> “</w:t>
      </w:r>
      <w:r w:rsidRPr="003D733D">
        <w:rPr>
          <w:rFonts w:ascii="Sylfaen" w:eastAsia="Calibri" w:hAnsi="Sylfaen" w:cs="Sylfaen"/>
        </w:rPr>
        <w:t>საერთაშორისო</w:t>
      </w:r>
      <w:r w:rsidRPr="003D733D">
        <w:rPr>
          <w:rFonts w:eastAsia="Calibri"/>
        </w:rPr>
        <w:t xml:space="preserve"> </w:t>
      </w:r>
      <w:r w:rsidRPr="003D733D">
        <w:rPr>
          <w:rFonts w:ascii="Sylfaen" w:eastAsia="Calibri" w:hAnsi="Sylfaen" w:cs="Sylfaen"/>
        </w:rPr>
        <w:t>სავალუტო</w:t>
      </w:r>
      <w:r w:rsidRPr="003D733D">
        <w:rPr>
          <w:rFonts w:eastAsia="Calibri"/>
        </w:rPr>
        <w:t xml:space="preserve"> </w:t>
      </w:r>
      <w:r w:rsidRPr="003D733D">
        <w:rPr>
          <w:rFonts w:ascii="Sylfaen" w:eastAsia="Calibri" w:hAnsi="Sylfaen" w:cs="Sylfaen"/>
        </w:rPr>
        <w:t>ფონდის</w:t>
      </w:r>
      <w:r w:rsidRPr="003D733D">
        <w:rPr>
          <w:rFonts w:eastAsia="Calibri"/>
        </w:rPr>
        <w:t>”</w:t>
      </w:r>
      <w:r w:rsidRPr="003D733D">
        <w:t xml:space="preserve"> (IMF) </w:t>
      </w:r>
      <w:r w:rsidRPr="003D733D">
        <w:rPr>
          <w:rFonts w:ascii="Sylfaen" w:hAnsi="Sylfaen" w:cs="Sylfaen"/>
        </w:rPr>
        <w:t>მიერ</w:t>
      </w:r>
      <w:r w:rsidRPr="003D733D">
        <w:t xml:space="preserve"> 2021 </w:t>
      </w:r>
      <w:r w:rsidRPr="003D733D">
        <w:rPr>
          <w:rFonts w:ascii="Sylfaen" w:hAnsi="Sylfaen" w:cs="Sylfaen"/>
        </w:rPr>
        <w:t>წლამდე</w:t>
      </w:r>
      <w:r w:rsidRPr="003D733D">
        <w:t xml:space="preserve"> </w:t>
      </w:r>
      <w:r w:rsidRPr="003D733D">
        <w:rPr>
          <w:rFonts w:ascii="Sylfaen" w:hAnsi="Sylfaen" w:cs="Sylfaen"/>
        </w:rPr>
        <w:t>პერიოდისთვის</w:t>
      </w:r>
      <w:r w:rsidRPr="003D733D">
        <w:t xml:space="preserve"> </w:t>
      </w:r>
      <w:r w:rsidRPr="003D733D">
        <w:rPr>
          <w:rFonts w:ascii="Sylfaen" w:hAnsi="Sylfaen" w:cs="Sylfaen"/>
        </w:rPr>
        <w:t>შედგენილი</w:t>
      </w:r>
      <w:r w:rsidRPr="003D733D">
        <w:t xml:space="preserve"> </w:t>
      </w:r>
      <w:r w:rsidRPr="003D733D">
        <w:rPr>
          <w:rFonts w:ascii="Sylfaen" w:hAnsi="Sylfaen" w:cs="Sylfaen"/>
        </w:rPr>
        <w:t>პროგნოზები</w:t>
      </w:r>
      <w:r w:rsidRPr="003D733D">
        <w:t xml:space="preserve">.  </w:t>
      </w:r>
      <w:r w:rsidRPr="003D733D">
        <w:rPr>
          <w:rFonts w:ascii="Sylfaen" w:hAnsi="Sylfaen" w:cs="Sylfaen"/>
        </w:rPr>
        <w:t>შესაფასებელი</w:t>
      </w:r>
      <w:r w:rsidRPr="003D733D">
        <w:t xml:space="preserve"> </w:t>
      </w:r>
      <w:r w:rsidRPr="003D733D">
        <w:rPr>
          <w:rFonts w:ascii="Sylfaen" w:hAnsi="Sylfaen" w:cs="Sylfaen"/>
        </w:rPr>
        <w:t>პერიოდის</w:t>
      </w:r>
      <w:r w:rsidRPr="003D733D">
        <w:t xml:space="preserve"> (2040 </w:t>
      </w:r>
      <w:r w:rsidRPr="003D733D">
        <w:rPr>
          <w:rFonts w:ascii="Sylfaen" w:hAnsi="Sylfaen" w:cs="Sylfaen"/>
        </w:rPr>
        <w:t>წლამდე</w:t>
      </w:r>
      <w:r w:rsidRPr="003D733D">
        <w:t xml:space="preserve">) </w:t>
      </w:r>
      <w:r w:rsidRPr="003D733D">
        <w:rPr>
          <w:rFonts w:ascii="Sylfaen" w:hAnsi="Sylfaen" w:cs="Sylfaen"/>
        </w:rPr>
        <w:t>დარჩენილი</w:t>
      </w:r>
      <w:r w:rsidRPr="003D733D">
        <w:t xml:space="preserve"> </w:t>
      </w:r>
      <w:r w:rsidRPr="003D733D">
        <w:rPr>
          <w:rFonts w:ascii="Sylfaen" w:hAnsi="Sylfaen" w:cs="Sylfaen"/>
        </w:rPr>
        <w:t>ნაწილისთვის</w:t>
      </w:r>
      <w:r w:rsidRPr="003D733D">
        <w:t xml:space="preserve"> </w:t>
      </w:r>
      <w:r w:rsidRPr="003D733D">
        <w:rPr>
          <w:rFonts w:ascii="Sylfaen" w:hAnsi="Sylfaen" w:cs="Sylfaen"/>
        </w:rPr>
        <w:t>გამოყენებული</w:t>
      </w:r>
      <w:r w:rsidRPr="003D733D">
        <w:t xml:space="preserve"> </w:t>
      </w:r>
      <w:r w:rsidRPr="003D733D">
        <w:rPr>
          <w:rFonts w:ascii="Sylfaen" w:hAnsi="Sylfaen" w:cs="Sylfaen"/>
        </w:rPr>
        <w:t>იქნა</w:t>
      </w:r>
      <w:r w:rsidRPr="003D733D">
        <w:t xml:space="preserve"> “</w:t>
      </w:r>
      <w:r w:rsidRPr="003D733D">
        <w:rPr>
          <w:rFonts w:ascii="Sylfaen" w:hAnsi="Sylfaen" w:cs="Sylfaen"/>
        </w:rPr>
        <w:t>ეკონომიკური</w:t>
      </w:r>
      <w:r w:rsidRPr="003D733D">
        <w:t xml:space="preserve"> </w:t>
      </w:r>
      <w:r w:rsidRPr="003D733D">
        <w:rPr>
          <w:rFonts w:ascii="Sylfaen" w:hAnsi="Sylfaen" w:cs="Sylfaen"/>
        </w:rPr>
        <w:t>განვითარების</w:t>
      </w:r>
      <w:r w:rsidRPr="003D733D">
        <w:t xml:space="preserve"> </w:t>
      </w:r>
      <w:r w:rsidRPr="003D733D">
        <w:rPr>
          <w:rFonts w:ascii="Sylfaen" w:hAnsi="Sylfaen" w:cs="Sylfaen"/>
        </w:rPr>
        <w:t>და</w:t>
      </w:r>
      <w:r w:rsidRPr="003D733D">
        <w:t xml:space="preserve"> </w:t>
      </w:r>
      <w:r w:rsidRPr="003D733D">
        <w:rPr>
          <w:rFonts w:ascii="Sylfaen" w:hAnsi="Sylfaen" w:cs="Sylfaen"/>
        </w:rPr>
        <w:t>თანამშრომლობის</w:t>
      </w:r>
      <w:r w:rsidRPr="003D733D">
        <w:t xml:space="preserve"> </w:t>
      </w:r>
      <w:r w:rsidRPr="003D733D">
        <w:rPr>
          <w:rFonts w:ascii="Sylfaen" w:hAnsi="Sylfaen" w:cs="Sylfaen"/>
        </w:rPr>
        <w:t>ორგანიზაციის</w:t>
      </w:r>
      <w:r w:rsidRPr="003D733D">
        <w:t xml:space="preserve"> (OECD) </w:t>
      </w:r>
      <w:r w:rsidRPr="003D733D">
        <w:rPr>
          <w:rFonts w:ascii="Sylfaen" w:hAnsi="Sylfaen" w:cs="Sylfaen"/>
        </w:rPr>
        <w:t>მიერ</w:t>
      </w:r>
      <w:r w:rsidRPr="003D733D">
        <w:t xml:space="preserve"> </w:t>
      </w:r>
      <w:r w:rsidRPr="003D733D">
        <w:rPr>
          <w:rFonts w:ascii="Sylfaen" w:hAnsi="Sylfaen" w:cs="Sylfaen"/>
        </w:rPr>
        <w:t>არაწევრი</w:t>
      </w:r>
      <w:r w:rsidRPr="003D733D">
        <w:t xml:space="preserve"> </w:t>
      </w:r>
      <w:r w:rsidRPr="003D733D">
        <w:rPr>
          <w:rFonts w:ascii="Sylfaen" w:hAnsi="Sylfaen" w:cs="Sylfaen"/>
        </w:rPr>
        <w:t>ქვეყნებისთვის</w:t>
      </w:r>
      <w:r w:rsidRPr="003D733D">
        <w:t xml:space="preserve"> </w:t>
      </w:r>
      <w:r w:rsidRPr="003D733D">
        <w:rPr>
          <w:rFonts w:ascii="Sylfaen" w:hAnsi="Sylfaen" w:cs="Sylfaen"/>
        </w:rPr>
        <w:t>დამუშავებული</w:t>
      </w:r>
      <w:r w:rsidRPr="003D733D">
        <w:t xml:space="preserve"> </w:t>
      </w:r>
      <w:r w:rsidRPr="003D733D">
        <w:rPr>
          <w:rFonts w:ascii="Sylfaen" w:hAnsi="Sylfaen" w:cs="Sylfaen"/>
        </w:rPr>
        <w:t>შედარებითი</w:t>
      </w:r>
      <w:r w:rsidRPr="003D733D">
        <w:t xml:space="preserve"> </w:t>
      </w:r>
      <w:r w:rsidRPr="003D733D">
        <w:rPr>
          <w:rFonts w:ascii="Sylfaen" w:hAnsi="Sylfaen" w:cs="Sylfaen"/>
        </w:rPr>
        <w:t>გრძელვადიანი</w:t>
      </w:r>
      <w:r w:rsidRPr="003D733D">
        <w:t xml:space="preserve"> </w:t>
      </w:r>
      <w:r w:rsidRPr="003D733D">
        <w:rPr>
          <w:rFonts w:ascii="Sylfaen" w:hAnsi="Sylfaen" w:cs="Sylfaen"/>
        </w:rPr>
        <w:t>ეკონომიკური</w:t>
      </w:r>
      <w:r w:rsidRPr="003D733D">
        <w:t xml:space="preserve"> </w:t>
      </w:r>
      <w:r w:rsidRPr="003D733D">
        <w:rPr>
          <w:rFonts w:ascii="Sylfaen" w:hAnsi="Sylfaen" w:cs="Sylfaen"/>
        </w:rPr>
        <w:t>პროგნოზები</w:t>
      </w:r>
      <w:r w:rsidRPr="003D733D">
        <w:t xml:space="preserve"> (</w:t>
      </w:r>
      <w:r w:rsidRPr="003D733D">
        <w:rPr>
          <w:rFonts w:ascii="Sylfaen" w:hAnsi="Sylfaen" w:cs="Sylfaen"/>
        </w:rPr>
        <w:t>განსაკუთრებული</w:t>
      </w:r>
      <w:r w:rsidRPr="003D733D">
        <w:t xml:space="preserve"> </w:t>
      </w:r>
      <w:r w:rsidRPr="003D733D">
        <w:rPr>
          <w:rFonts w:ascii="Sylfaen" w:hAnsi="Sylfaen" w:cs="Sylfaen"/>
        </w:rPr>
        <w:t>ფოკუსირებით</w:t>
      </w:r>
      <w:r w:rsidRPr="003D733D">
        <w:t xml:space="preserve"> </w:t>
      </w:r>
      <w:r w:rsidRPr="003D733D">
        <w:rPr>
          <w:rFonts w:ascii="Sylfaen" w:hAnsi="Sylfaen" w:cs="Sylfaen"/>
        </w:rPr>
        <w:t>საქართველოს</w:t>
      </w:r>
      <w:r w:rsidRPr="003D733D">
        <w:t xml:space="preserve"> </w:t>
      </w:r>
      <w:r w:rsidRPr="003D733D">
        <w:rPr>
          <w:rFonts w:ascii="Sylfaen" w:hAnsi="Sylfaen" w:cs="Sylfaen"/>
        </w:rPr>
        <w:t>ორ</w:t>
      </w:r>
      <w:r w:rsidRPr="003D733D">
        <w:t xml:space="preserve"> </w:t>
      </w:r>
      <w:r w:rsidRPr="003D733D">
        <w:rPr>
          <w:rFonts w:ascii="Sylfaen" w:hAnsi="Sylfaen" w:cs="Sylfaen"/>
        </w:rPr>
        <w:t>მძლავრ</w:t>
      </w:r>
      <w:r w:rsidRPr="003D733D">
        <w:t xml:space="preserve"> </w:t>
      </w:r>
      <w:r w:rsidRPr="003D733D">
        <w:rPr>
          <w:rFonts w:ascii="Sylfaen" w:hAnsi="Sylfaen" w:cs="Sylfaen"/>
        </w:rPr>
        <w:t>მეზობელზე</w:t>
      </w:r>
      <w:r w:rsidRPr="003D733D">
        <w:t xml:space="preserve"> – </w:t>
      </w:r>
      <w:r w:rsidRPr="003D733D">
        <w:rPr>
          <w:rFonts w:ascii="Sylfaen" w:hAnsi="Sylfaen" w:cs="Sylfaen"/>
        </w:rPr>
        <w:t>თურქეთსა</w:t>
      </w:r>
      <w:r w:rsidRPr="003D733D">
        <w:t xml:space="preserve"> </w:t>
      </w:r>
      <w:r w:rsidRPr="003D733D">
        <w:rPr>
          <w:rFonts w:ascii="Sylfaen" w:hAnsi="Sylfaen" w:cs="Sylfaen"/>
        </w:rPr>
        <w:t>და</w:t>
      </w:r>
      <w:r w:rsidRPr="003D733D">
        <w:t xml:space="preserve"> </w:t>
      </w:r>
      <w:r w:rsidRPr="003D733D">
        <w:rPr>
          <w:rFonts w:ascii="Sylfaen" w:hAnsi="Sylfaen" w:cs="Sylfaen"/>
        </w:rPr>
        <w:t>რუსეთზე</w:t>
      </w:r>
      <w:r w:rsidRPr="003D733D">
        <w:t>).</w:t>
      </w:r>
    </w:p>
    <w:p w14:paraId="25B04548" w14:textId="418E7CE5" w:rsidR="00F8565C" w:rsidRPr="003D733D" w:rsidRDefault="00F8565C" w:rsidP="00F8565C">
      <w:r w:rsidRPr="003D733D">
        <w:rPr>
          <w:rFonts w:ascii="Sylfaen" w:hAnsi="Sylfaen" w:cs="Sylfaen"/>
        </w:rPr>
        <w:t>მომდევნო</w:t>
      </w:r>
      <w:r w:rsidRPr="003D733D">
        <w:t xml:space="preserve"> </w:t>
      </w:r>
      <w:r w:rsidRPr="003D733D">
        <w:rPr>
          <w:rFonts w:ascii="Sylfaen" w:hAnsi="Sylfaen" w:cs="Sylfaen"/>
        </w:rPr>
        <w:t>ცხრილში</w:t>
      </w:r>
      <w:r w:rsidRPr="003D733D">
        <w:t xml:space="preserve"> 4.</w:t>
      </w:r>
      <w:r w:rsidR="000B139D">
        <w:rPr>
          <w:rFonts w:ascii="Sylfaen" w:hAnsi="Sylfaen"/>
          <w:lang w:val="ka-GE"/>
        </w:rPr>
        <w:t>7</w:t>
      </w:r>
      <w:r w:rsidRPr="003D733D">
        <w:t>.</w:t>
      </w:r>
      <w:r w:rsidR="000B139D">
        <w:rPr>
          <w:rFonts w:ascii="Sylfaen" w:hAnsi="Sylfaen"/>
          <w:lang w:val="ka-GE"/>
        </w:rPr>
        <w:t>2-1</w:t>
      </w:r>
      <w:r w:rsidRPr="003D733D">
        <w:t xml:space="preserve"> </w:t>
      </w:r>
      <w:r w:rsidRPr="003D733D">
        <w:rPr>
          <w:rFonts w:ascii="Sylfaen" w:hAnsi="Sylfaen" w:cs="Sylfaen"/>
        </w:rPr>
        <w:t>წარმოდგენილია</w:t>
      </w:r>
      <w:r w:rsidRPr="003D733D">
        <w:t xml:space="preserve"> </w:t>
      </w:r>
      <w:r w:rsidRPr="003D733D">
        <w:rPr>
          <w:rFonts w:ascii="Sylfaen" w:hAnsi="Sylfaen" w:cs="Sylfaen"/>
        </w:rPr>
        <w:t>საქართველოს</w:t>
      </w:r>
      <w:r w:rsidRPr="003D733D">
        <w:t xml:space="preserve"> </w:t>
      </w:r>
      <w:r w:rsidRPr="003D733D">
        <w:rPr>
          <w:rFonts w:ascii="Sylfaen" w:hAnsi="Sylfaen" w:cs="Sylfaen"/>
        </w:rPr>
        <w:t>მშპ</w:t>
      </w:r>
      <w:r w:rsidRPr="003D733D">
        <w:t>-</w:t>
      </w:r>
      <w:r w:rsidRPr="003D733D">
        <w:rPr>
          <w:rFonts w:ascii="Sylfaen" w:hAnsi="Sylfaen" w:cs="Sylfaen"/>
        </w:rPr>
        <w:t>ის</w:t>
      </w:r>
      <w:r w:rsidRPr="003D733D">
        <w:t xml:space="preserve"> </w:t>
      </w:r>
      <w:r w:rsidRPr="003D733D">
        <w:rPr>
          <w:rFonts w:ascii="Sylfaen" w:hAnsi="Sylfaen" w:cs="Sylfaen"/>
        </w:rPr>
        <w:t>პროგნოზული</w:t>
      </w:r>
      <w:r w:rsidRPr="003D733D">
        <w:t xml:space="preserve"> </w:t>
      </w:r>
      <w:r w:rsidRPr="003D733D">
        <w:rPr>
          <w:rFonts w:ascii="Sylfaen" w:hAnsi="Sylfaen" w:cs="Sylfaen"/>
        </w:rPr>
        <w:t>ზრდის</w:t>
      </w:r>
      <w:r w:rsidRPr="003D733D">
        <w:t xml:space="preserve"> </w:t>
      </w:r>
      <w:r w:rsidRPr="003D733D">
        <w:rPr>
          <w:rFonts w:ascii="Sylfaen" w:hAnsi="Sylfaen" w:cs="Sylfaen"/>
        </w:rPr>
        <w:t>შედეგობრივი</w:t>
      </w:r>
      <w:r w:rsidRPr="003D733D">
        <w:t xml:space="preserve"> </w:t>
      </w:r>
      <w:r w:rsidRPr="003D733D">
        <w:rPr>
          <w:rFonts w:ascii="Sylfaen" w:hAnsi="Sylfaen" w:cs="Sylfaen"/>
        </w:rPr>
        <w:t>სიდიდეები</w:t>
      </w:r>
      <w:r w:rsidRPr="003D733D">
        <w:t xml:space="preserve">. </w:t>
      </w:r>
    </w:p>
    <w:p w14:paraId="765EAA81" w14:textId="45D38F09" w:rsidR="00F8565C" w:rsidRPr="003D733D" w:rsidRDefault="00F8565C" w:rsidP="00F8565C">
      <w:r w:rsidRPr="003D733D">
        <w:rPr>
          <w:rFonts w:ascii="Sylfaen" w:hAnsi="Sylfaen" w:cs="Sylfaen"/>
        </w:rPr>
        <w:t>ცხრილი</w:t>
      </w:r>
      <w:r w:rsidRPr="003D733D">
        <w:t xml:space="preserve"> 4.</w:t>
      </w:r>
      <w:r w:rsidR="000B139D">
        <w:rPr>
          <w:rFonts w:ascii="Sylfaen" w:hAnsi="Sylfaen"/>
          <w:lang w:val="ka-GE"/>
        </w:rPr>
        <w:t>7.2-1</w:t>
      </w:r>
      <w:r w:rsidRPr="003D733D">
        <w:tab/>
      </w:r>
      <w:r w:rsidRPr="003D733D">
        <w:rPr>
          <w:rFonts w:ascii="Sylfaen" w:hAnsi="Sylfaen" w:cs="Sylfaen"/>
        </w:rPr>
        <w:t>საქართველოს</w:t>
      </w:r>
      <w:r w:rsidRPr="003D733D">
        <w:t xml:space="preserve"> </w:t>
      </w:r>
      <w:r w:rsidRPr="003D733D">
        <w:rPr>
          <w:rFonts w:ascii="Sylfaen" w:hAnsi="Sylfaen" w:cs="Sylfaen"/>
        </w:rPr>
        <w:t>მშპ</w:t>
      </w:r>
      <w:r w:rsidRPr="003D733D">
        <w:t>-</w:t>
      </w:r>
      <w:r w:rsidRPr="003D733D">
        <w:rPr>
          <w:rFonts w:ascii="Sylfaen" w:hAnsi="Sylfaen" w:cs="Sylfaen"/>
        </w:rPr>
        <w:t>ის</w:t>
      </w:r>
      <w:r w:rsidRPr="003D733D">
        <w:t xml:space="preserve"> </w:t>
      </w:r>
      <w:r w:rsidRPr="003D733D">
        <w:rPr>
          <w:rFonts w:ascii="Sylfaen" w:hAnsi="Sylfaen" w:cs="Sylfaen"/>
        </w:rPr>
        <w:t>ზრდის</w:t>
      </w:r>
      <w:r w:rsidRPr="003D733D">
        <w:t xml:space="preserve"> </w:t>
      </w:r>
      <w:r w:rsidRPr="003D733D">
        <w:rPr>
          <w:rFonts w:ascii="Sylfaen" w:hAnsi="Sylfaen" w:cs="Sylfaen"/>
        </w:rPr>
        <w:t>საორიენტაციო</w:t>
      </w:r>
      <w:r w:rsidRPr="003D733D">
        <w:t xml:space="preserve"> </w:t>
      </w:r>
      <w:r w:rsidRPr="003D733D">
        <w:rPr>
          <w:rFonts w:ascii="Sylfaen" w:hAnsi="Sylfaen" w:cs="Sylfaen"/>
        </w:rPr>
        <w:t>პროგნოზული</w:t>
      </w:r>
      <w:r w:rsidRPr="003D733D">
        <w:t xml:space="preserve"> </w:t>
      </w:r>
      <w:r w:rsidRPr="003D733D">
        <w:rPr>
          <w:rFonts w:ascii="Sylfaen" w:hAnsi="Sylfaen" w:cs="Sylfaen"/>
        </w:rPr>
        <w:t>ტემპები</w:t>
      </w:r>
      <w:r w:rsidRPr="003D733D">
        <w:t xml:space="preserve"> (</w:t>
      </w:r>
      <w:r w:rsidRPr="003D733D">
        <w:rPr>
          <w:rFonts w:ascii="Sylfaen" w:hAnsi="Sylfaen" w:cs="Sylfaen"/>
        </w:rPr>
        <w:t>ცენტრალური</w:t>
      </w:r>
      <w:r w:rsidRPr="003D733D">
        <w:t xml:space="preserve"> </w:t>
      </w:r>
      <w:r w:rsidRPr="003D733D">
        <w:rPr>
          <w:rFonts w:ascii="Sylfaen" w:hAnsi="Sylfaen" w:cs="Sylfaen"/>
        </w:rPr>
        <w:t>ზრდა</w:t>
      </w:r>
      <w:r w:rsidRPr="003D733D">
        <w:t>)</w:t>
      </w:r>
    </w:p>
    <w:tbl>
      <w:tblPr>
        <w:tblW w:w="4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7"/>
        <w:gridCol w:w="1985"/>
      </w:tblGrid>
      <w:tr w:rsidR="00F8565C" w:rsidRPr="003D733D" w14:paraId="226FB801" w14:textId="77777777" w:rsidTr="00F8565C">
        <w:trPr>
          <w:trHeight w:val="255"/>
          <w:jc w:val="center"/>
        </w:trPr>
        <w:tc>
          <w:tcPr>
            <w:tcW w:w="1418" w:type="dxa"/>
            <w:tcBorders>
              <w:top w:val="single" w:sz="4" w:space="0" w:color="auto"/>
              <w:left w:val="single" w:sz="4" w:space="0" w:color="auto"/>
              <w:bottom w:val="single" w:sz="4" w:space="0" w:color="auto"/>
              <w:right w:val="single" w:sz="4" w:space="0" w:color="auto"/>
            </w:tcBorders>
            <w:shd w:val="clear" w:color="auto" w:fill="E0E0E0"/>
            <w:noWrap/>
            <w:hideMark/>
          </w:tcPr>
          <w:p w14:paraId="28BFFE6A" w14:textId="77777777" w:rsidR="00F8565C" w:rsidRPr="003D733D" w:rsidRDefault="00F8565C" w:rsidP="00F8565C">
            <w:pPr>
              <w:rPr>
                <w:rFonts w:eastAsia="Calibri"/>
                <w:lang w:eastAsia="en-GB"/>
              </w:rPr>
            </w:pPr>
            <w:r w:rsidRPr="003D733D">
              <w:rPr>
                <w:rFonts w:eastAsia="Calibri"/>
              </w:rPr>
              <w:t>-</w:t>
            </w:r>
            <w:r w:rsidRPr="003D733D">
              <w:rPr>
                <w:rFonts w:ascii="Sylfaen" w:eastAsia="Calibri" w:hAnsi="Sylfaen" w:cs="Sylfaen"/>
              </w:rPr>
              <w:t>დან</w:t>
            </w:r>
          </w:p>
        </w:tc>
        <w:tc>
          <w:tcPr>
            <w:tcW w:w="1417" w:type="dxa"/>
            <w:tcBorders>
              <w:top w:val="single" w:sz="4" w:space="0" w:color="auto"/>
              <w:left w:val="single" w:sz="4" w:space="0" w:color="auto"/>
              <w:bottom w:val="single" w:sz="4" w:space="0" w:color="auto"/>
              <w:right w:val="single" w:sz="4" w:space="0" w:color="auto"/>
            </w:tcBorders>
            <w:shd w:val="clear" w:color="auto" w:fill="E0E0E0"/>
            <w:noWrap/>
            <w:hideMark/>
          </w:tcPr>
          <w:p w14:paraId="6890038B" w14:textId="77777777" w:rsidR="00F8565C" w:rsidRPr="003D733D" w:rsidRDefault="00F8565C" w:rsidP="00F8565C">
            <w:pPr>
              <w:rPr>
                <w:rFonts w:eastAsia="Calibri"/>
              </w:rPr>
            </w:pPr>
            <w:r w:rsidRPr="003D733D">
              <w:rPr>
                <w:rFonts w:eastAsia="Calibri"/>
              </w:rPr>
              <w:t>-</w:t>
            </w:r>
            <w:r w:rsidRPr="003D733D">
              <w:rPr>
                <w:rFonts w:ascii="Sylfaen" w:eastAsia="Calibri" w:hAnsi="Sylfaen" w:cs="Sylfaen"/>
              </w:rPr>
              <w:t>მდე</w:t>
            </w:r>
          </w:p>
        </w:tc>
        <w:tc>
          <w:tcPr>
            <w:tcW w:w="1985" w:type="dxa"/>
            <w:tcBorders>
              <w:top w:val="single" w:sz="4" w:space="0" w:color="auto"/>
              <w:left w:val="single" w:sz="4" w:space="0" w:color="auto"/>
              <w:bottom w:val="single" w:sz="4" w:space="0" w:color="auto"/>
              <w:right w:val="single" w:sz="4" w:space="0" w:color="auto"/>
            </w:tcBorders>
            <w:shd w:val="clear" w:color="auto" w:fill="E0E0E0"/>
            <w:noWrap/>
            <w:hideMark/>
          </w:tcPr>
          <w:p w14:paraId="77E4DFEE" w14:textId="77777777" w:rsidR="00F8565C" w:rsidRPr="003D733D" w:rsidRDefault="00F8565C" w:rsidP="00F8565C">
            <w:pPr>
              <w:rPr>
                <w:rFonts w:eastAsia="Calibri"/>
              </w:rPr>
            </w:pP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ტემპი</w:t>
            </w:r>
            <w:r w:rsidRPr="003D733D">
              <w:rPr>
                <w:rFonts w:eastAsia="Calibri"/>
              </w:rPr>
              <w:t xml:space="preserve"> (% </w:t>
            </w:r>
            <w:r w:rsidRPr="003D733D">
              <w:rPr>
                <w:rFonts w:ascii="Sylfaen" w:eastAsia="Calibri" w:hAnsi="Sylfaen" w:cs="Sylfaen"/>
              </w:rPr>
              <w:t>წელიწადში</w:t>
            </w:r>
            <w:r w:rsidRPr="003D733D">
              <w:rPr>
                <w:rFonts w:eastAsia="Calibri"/>
              </w:rPr>
              <w:t>)</w:t>
            </w:r>
          </w:p>
        </w:tc>
      </w:tr>
      <w:tr w:rsidR="00F8565C" w:rsidRPr="003D733D" w14:paraId="3CA0E59D" w14:textId="77777777" w:rsidTr="00F8565C">
        <w:trPr>
          <w:trHeight w:val="255"/>
          <w:jc w:val="center"/>
        </w:trPr>
        <w:tc>
          <w:tcPr>
            <w:tcW w:w="1418" w:type="dxa"/>
            <w:tcBorders>
              <w:top w:val="single" w:sz="4" w:space="0" w:color="auto"/>
              <w:left w:val="single" w:sz="4" w:space="0" w:color="auto"/>
              <w:bottom w:val="single" w:sz="4" w:space="0" w:color="auto"/>
              <w:right w:val="single" w:sz="4" w:space="0" w:color="auto"/>
            </w:tcBorders>
            <w:noWrap/>
            <w:hideMark/>
          </w:tcPr>
          <w:p w14:paraId="32F2D2A9" w14:textId="77777777" w:rsidR="00F8565C" w:rsidRPr="003D733D" w:rsidRDefault="00F8565C" w:rsidP="00F8565C">
            <w:pPr>
              <w:rPr>
                <w:rFonts w:eastAsia="Calibri"/>
              </w:rPr>
            </w:pPr>
            <w:r w:rsidRPr="003D733D">
              <w:rPr>
                <w:rFonts w:eastAsia="Calibri"/>
              </w:rPr>
              <w:t>2017</w:t>
            </w:r>
            <w:r w:rsidRPr="003D733D">
              <w:rPr>
                <w:rFonts w:ascii="Sylfaen" w:eastAsia="Calibri" w:hAnsi="Sylfaen" w:cs="Sylfaen"/>
              </w:rPr>
              <w:t>წ</w:t>
            </w:r>
            <w:r w:rsidRPr="003D733D">
              <w:rPr>
                <w:rFonts w:eastAsia="Calibri"/>
              </w:rPr>
              <w:t>..</w:t>
            </w:r>
          </w:p>
        </w:tc>
        <w:tc>
          <w:tcPr>
            <w:tcW w:w="1417" w:type="dxa"/>
            <w:tcBorders>
              <w:top w:val="single" w:sz="4" w:space="0" w:color="auto"/>
              <w:left w:val="single" w:sz="4" w:space="0" w:color="auto"/>
              <w:bottom w:val="single" w:sz="4" w:space="0" w:color="auto"/>
              <w:right w:val="single" w:sz="4" w:space="0" w:color="auto"/>
            </w:tcBorders>
            <w:noWrap/>
            <w:hideMark/>
          </w:tcPr>
          <w:p w14:paraId="28885E22" w14:textId="77777777" w:rsidR="00F8565C" w:rsidRPr="003D733D" w:rsidRDefault="00F8565C" w:rsidP="00F8565C">
            <w:pPr>
              <w:rPr>
                <w:rFonts w:eastAsia="Calibri"/>
              </w:rPr>
            </w:pPr>
            <w:r w:rsidRPr="003D733D">
              <w:rPr>
                <w:rFonts w:eastAsia="Calibri"/>
              </w:rPr>
              <w:t xml:space="preserve">2021 </w:t>
            </w:r>
            <w:r w:rsidRPr="003D733D">
              <w:rPr>
                <w:rFonts w:ascii="Sylfaen" w:eastAsia="Calibri" w:hAnsi="Sylfaen" w:cs="Sylfaen"/>
              </w:rPr>
              <w:t>წ</w:t>
            </w:r>
            <w:r w:rsidRPr="003D733D">
              <w:rPr>
                <w:rFonts w:eastAsia="Calibri"/>
              </w:rPr>
              <w:t>.</w:t>
            </w:r>
          </w:p>
        </w:tc>
        <w:tc>
          <w:tcPr>
            <w:tcW w:w="1985" w:type="dxa"/>
            <w:tcBorders>
              <w:top w:val="single" w:sz="4" w:space="0" w:color="auto"/>
              <w:left w:val="single" w:sz="4" w:space="0" w:color="auto"/>
              <w:bottom w:val="single" w:sz="4" w:space="0" w:color="auto"/>
              <w:right w:val="single" w:sz="4" w:space="0" w:color="auto"/>
            </w:tcBorders>
            <w:noWrap/>
            <w:hideMark/>
          </w:tcPr>
          <w:p w14:paraId="129015CC" w14:textId="77777777" w:rsidR="00F8565C" w:rsidRPr="003D733D" w:rsidRDefault="00F8565C" w:rsidP="00F8565C">
            <w:pPr>
              <w:rPr>
                <w:rFonts w:eastAsia="Calibri"/>
              </w:rPr>
            </w:pPr>
            <w:r w:rsidRPr="003D733D">
              <w:rPr>
                <w:rFonts w:eastAsia="Calibri"/>
              </w:rPr>
              <w:t>5.00</w:t>
            </w:r>
          </w:p>
        </w:tc>
      </w:tr>
      <w:tr w:rsidR="00F8565C" w:rsidRPr="003D733D" w14:paraId="340BF95D" w14:textId="77777777" w:rsidTr="00F8565C">
        <w:trPr>
          <w:trHeight w:val="255"/>
          <w:jc w:val="center"/>
        </w:trPr>
        <w:tc>
          <w:tcPr>
            <w:tcW w:w="1418" w:type="dxa"/>
            <w:tcBorders>
              <w:top w:val="single" w:sz="4" w:space="0" w:color="auto"/>
              <w:left w:val="single" w:sz="4" w:space="0" w:color="auto"/>
              <w:bottom w:val="single" w:sz="4" w:space="0" w:color="auto"/>
              <w:right w:val="single" w:sz="4" w:space="0" w:color="auto"/>
            </w:tcBorders>
            <w:noWrap/>
            <w:hideMark/>
          </w:tcPr>
          <w:p w14:paraId="03957BD9" w14:textId="77777777" w:rsidR="00F8565C" w:rsidRPr="003D733D" w:rsidRDefault="00F8565C" w:rsidP="00F8565C">
            <w:pPr>
              <w:rPr>
                <w:rFonts w:eastAsia="Calibri"/>
              </w:rPr>
            </w:pPr>
            <w:r w:rsidRPr="003D733D">
              <w:rPr>
                <w:rFonts w:eastAsia="Calibri"/>
              </w:rPr>
              <w:t xml:space="preserve">2021 </w:t>
            </w:r>
            <w:r w:rsidRPr="003D733D">
              <w:rPr>
                <w:rFonts w:ascii="Sylfaen" w:eastAsia="Calibri" w:hAnsi="Sylfaen" w:cs="Sylfaen"/>
              </w:rPr>
              <w:t>წ</w:t>
            </w:r>
            <w:r w:rsidRPr="003D733D">
              <w:rPr>
                <w:rFonts w:eastAsia="Calibri"/>
              </w:rPr>
              <w:t>.</w:t>
            </w:r>
          </w:p>
        </w:tc>
        <w:tc>
          <w:tcPr>
            <w:tcW w:w="1417" w:type="dxa"/>
            <w:tcBorders>
              <w:top w:val="single" w:sz="4" w:space="0" w:color="auto"/>
              <w:left w:val="single" w:sz="4" w:space="0" w:color="auto"/>
              <w:bottom w:val="single" w:sz="4" w:space="0" w:color="auto"/>
              <w:right w:val="single" w:sz="4" w:space="0" w:color="auto"/>
            </w:tcBorders>
            <w:noWrap/>
            <w:hideMark/>
          </w:tcPr>
          <w:p w14:paraId="18BCF612" w14:textId="77777777" w:rsidR="00F8565C" w:rsidRPr="003D733D" w:rsidRDefault="00F8565C" w:rsidP="00F8565C">
            <w:pPr>
              <w:rPr>
                <w:rFonts w:eastAsia="Calibri"/>
              </w:rPr>
            </w:pPr>
            <w:r w:rsidRPr="003D733D">
              <w:rPr>
                <w:rFonts w:eastAsia="Calibri"/>
              </w:rPr>
              <w:t xml:space="preserve">2030 </w:t>
            </w:r>
            <w:r w:rsidRPr="003D733D">
              <w:rPr>
                <w:rFonts w:ascii="Sylfaen" w:eastAsia="Calibri" w:hAnsi="Sylfaen" w:cs="Sylfaen"/>
              </w:rPr>
              <w:t>წ</w:t>
            </w:r>
            <w:r w:rsidRPr="003D733D">
              <w:rPr>
                <w:rFonts w:eastAsia="Calibri"/>
              </w:rPr>
              <w:t>.</w:t>
            </w:r>
          </w:p>
        </w:tc>
        <w:tc>
          <w:tcPr>
            <w:tcW w:w="1985" w:type="dxa"/>
            <w:tcBorders>
              <w:top w:val="single" w:sz="4" w:space="0" w:color="auto"/>
              <w:left w:val="single" w:sz="4" w:space="0" w:color="auto"/>
              <w:bottom w:val="single" w:sz="4" w:space="0" w:color="auto"/>
              <w:right w:val="single" w:sz="4" w:space="0" w:color="auto"/>
            </w:tcBorders>
            <w:noWrap/>
            <w:hideMark/>
          </w:tcPr>
          <w:p w14:paraId="2438D9E5" w14:textId="77777777" w:rsidR="00F8565C" w:rsidRPr="003D733D" w:rsidRDefault="00F8565C" w:rsidP="00F8565C">
            <w:pPr>
              <w:rPr>
                <w:rFonts w:eastAsia="Calibri"/>
              </w:rPr>
            </w:pPr>
            <w:r w:rsidRPr="003D733D">
              <w:rPr>
                <w:rFonts w:eastAsia="Calibri"/>
              </w:rPr>
              <w:t>4.10</w:t>
            </w:r>
          </w:p>
        </w:tc>
      </w:tr>
      <w:tr w:rsidR="00F8565C" w:rsidRPr="003D733D" w14:paraId="6938AD63" w14:textId="77777777" w:rsidTr="00F8565C">
        <w:trPr>
          <w:trHeight w:val="255"/>
          <w:jc w:val="center"/>
        </w:trPr>
        <w:tc>
          <w:tcPr>
            <w:tcW w:w="1418" w:type="dxa"/>
            <w:tcBorders>
              <w:top w:val="single" w:sz="4" w:space="0" w:color="auto"/>
              <w:left w:val="single" w:sz="4" w:space="0" w:color="auto"/>
              <w:bottom w:val="single" w:sz="4" w:space="0" w:color="auto"/>
              <w:right w:val="single" w:sz="4" w:space="0" w:color="auto"/>
            </w:tcBorders>
            <w:noWrap/>
            <w:hideMark/>
          </w:tcPr>
          <w:p w14:paraId="4A6A3016" w14:textId="77777777" w:rsidR="00F8565C" w:rsidRPr="003D733D" w:rsidRDefault="00F8565C" w:rsidP="00F8565C">
            <w:pPr>
              <w:rPr>
                <w:rFonts w:eastAsia="Calibri"/>
              </w:rPr>
            </w:pPr>
            <w:r w:rsidRPr="003D733D">
              <w:rPr>
                <w:rFonts w:eastAsia="Calibri"/>
              </w:rPr>
              <w:t xml:space="preserve">2030 </w:t>
            </w:r>
            <w:r w:rsidRPr="003D733D">
              <w:rPr>
                <w:rFonts w:ascii="Sylfaen" w:eastAsia="Calibri" w:hAnsi="Sylfaen" w:cs="Sylfaen"/>
              </w:rPr>
              <w:t>წ</w:t>
            </w:r>
            <w:r w:rsidRPr="003D733D">
              <w:rPr>
                <w:rFonts w:eastAsia="Calibri"/>
              </w:rPr>
              <w:t>.</w:t>
            </w:r>
          </w:p>
        </w:tc>
        <w:tc>
          <w:tcPr>
            <w:tcW w:w="1417" w:type="dxa"/>
            <w:tcBorders>
              <w:top w:val="single" w:sz="4" w:space="0" w:color="auto"/>
              <w:left w:val="single" w:sz="4" w:space="0" w:color="auto"/>
              <w:bottom w:val="single" w:sz="4" w:space="0" w:color="auto"/>
              <w:right w:val="single" w:sz="4" w:space="0" w:color="auto"/>
            </w:tcBorders>
            <w:noWrap/>
            <w:hideMark/>
          </w:tcPr>
          <w:p w14:paraId="66C3AAE2" w14:textId="77777777" w:rsidR="00F8565C" w:rsidRPr="003D733D" w:rsidRDefault="00F8565C" w:rsidP="00F8565C">
            <w:pPr>
              <w:rPr>
                <w:rFonts w:eastAsia="Calibri"/>
              </w:rPr>
            </w:pPr>
            <w:r w:rsidRPr="003D733D">
              <w:rPr>
                <w:rFonts w:eastAsia="Calibri"/>
              </w:rPr>
              <w:t xml:space="preserve">2040 </w:t>
            </w:r>
            <w:r w:rsidRPr="003D733D">
              <w:rPr>
                <w:rFonts w:ascii="Sylfaen" w:eastAsia="Calibri" w:hAnsi="Sylfaen" w:cs="Sylfaen"/>
              </w:rPr>
              <w:t>წ</w:t>
            </w:r>
            <w:r w:rsidRPr="003D733D">
              <w:rPr>
                <w:rFonts w:eastAsia="Calibri"/>
              </w:rPr>
              <w:t>.</w:t>
            </w:r>
          </w:p>
        </w:tc>
        <w:tc>
          <w:tcPr>
            <w:tcW w:w="1985" w:type="dxa"/>
            <w:tcBorders>
              <w:top w:val="single" w:sz="4" w:space="0" w:color="auto"/>
              <w:left w:val="single" w:sz="4" w:space="0" w:color="auto"/>
              <w:bottom w:val="single" w:sz="4" w:space="0" w:color="auto"/>
              <w:right w:val="single" w:sz="4" w:space="0" w:color="auto"/>
            </w:tcBorders>
            <w:noWrap/>
            <w:hideMark/>
          </w:tcPr>
          <w:p w14:paraId="7B7F99B5" w14:textId="77777777" w:rsidR="00F8565C" w:rsidRPr="003D733D" w:rsidRDefault="00F8565C" w:rsidP="00F8565C">
            <w:pPr>
              <w:rPr>
                <w:rFonts w:eastAsia="Calibri"/>
              </w:rPr>
            </w:pPr>
            <w:r w:rsidRPr="003D733D">
              <w:rPr>
                <w:rFonts w:eastAsia="Calibri"/>
              </w:rPr>
              <w:t>3.30</w:t>
            </w:r>
          </w:p>
        </w:tc>
      </w:tr>
    </w:tbl>
    <w:p w14:paraId="3E6099E3" w14:textId="77777777" w:rsidR="00F8565C" w:rsidRPr="003D733D" w:rsidRDefault="00F8565C" w:rsidP="00F8565C">
      <w:pPr>
        <w:rPr>
          <w:rFonts w:eastAsia="Calibri"/>
        </w:rPr>
      </w:pPr>
      <w:r w:rsidRPr="003D733D">
        <w:rPr>
          <w:rFonts w:ascii="Sylfaen" w:eastAsia="Calibri" w:hAnsi="Sylfaen" w:cs="Sylfaen"/>
        </w:rPr>
        <w:t>წყარო</w:t>
      </w:r>
      <w:r w:rsidRPr="003D733D">
        <w:rPr>
          <w:rFonts w:eastAsia="Calibri"/>
        </w:rPr>
        <w:t xml:space="preserve">: </w:t>
      </w:r>
      <w:r w:rsidRPr="003D733D">
        <w:rPr>
          <w:rFonts w:ascii="Sylfaen" w:eastAsia="Calibri" w:hAnsi="Sylfaen" w:cs="Sylfaen"/>
        </w:rPr>
        <w:t>კონსულტანტი</w:t>
      </w:r>
      <w:r w:rsidRPr="003D733D">
        <w:rPr>
          <w:rFonts w:eastAsia="Calibri"/>
        </w:rPr>
        <w:t>, IMF-</w:t>
      </w:r>
      <w:r w:rsidRPr="003D733D">
        <w:rPr>
          <w:rFonts w:ascii="Sylfaen" w:eastAsia="Calibri" w:hAnsi="Sylfaen" w:cs="Sylfaen"/>
        </w:rPr>
        <w:t>ის</w:t>
      </w:r>
      <w:r w:rsidRPr="003D733D">
        <w:rPr>
          <w:rFonts w:eastAsia="Calibri"/>
        </w:rPr>
        <w:t>/OECD-</w:t>
      </w:r>
      <w:r w:rsidRPr="003D733D">
        <w:rPr>
          <w:rFonts w:ascii="Sylfaen" w:eastAsia="Calibri" w:hAnsi="Sylfaen" w:cs="Sylfaen"/>
        </w:rPr>
        <w:t>ის</w:t>
      </w:r>
      <w:r w:rsidRPr="003D733D">
        <w:rPr>
          <w:rFonts w:eastAsia="Calibri"/>
        </w:rPr>
        <w:t xml:space="preserve"> </w:t>
      </w:r>
      <w:r w:rsidRPr="003D733D">
        <w:rPr>
          <w:rFonts w:ascii="Sylfaen" w:eastAsia="Calibri" w:hAnsi="Sylfaen" w:cs="Sylfaen"/>
        </w:rPr>
        <w:t>მონაცემების</w:t>
      </w:r>
      <w:r w:rsidRPr="003D733D">
        <w:rPr>
          <w:rFonts w:eastAsia="Calibri"/>
        </w:rPr>
        <w:t xml:space="preserve"> </w:t>
      </w:r>
      <w:r w:rsidRPr="003D733D">
        <w:rPr>
          <w:rFonts w:ascii="Sylfaen" w:eastAsia="Calibri" w:hAnsi="Sylfaen" w:cs="Sylfaen"/>
        </w:rPr>
        <w:t>გამოყენებით</w:t>
      </w:r>
    </w:p>
    <w:p w14:paraId="1AFC7B06" w14:textId="77777777" w:rsidR="00F8565C" w:rsidRPr="003D733D" w:rsidRDefault="00F8565C" w:rsidP="00F8565C">
      <w:pPr>
        <w:rPr>
          <w:rFonts w:eastAsia="Calibri"/>
        </w:rPr>
      </w:pPr>
    </w:p>
    <w:p w14:paraId="63085BAF" w14:textId="77777777" w:rsidR="00F8565C" w:rsidRPr="003D733D" w:rsidRDefault="00F8565C" w:rsidP="00F8565C">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ინტენსიურობის</w:t>
      </w:r>
      <w:r w:rsidRPr="003D733D">
        <w:t xml:space="preserve"> </w:t>
      </w:r>
      <w:r w:rsidRPr="003D733D">
        <w:rPr>
          <w:rFonts w:ascii="Sylfaen" w:hAnsi="Sylfaen" w:cs="Sylfaen"/>
        </w:rPr>
        <w:t>ნორმალური</w:t>
      </w:r>
      <w:r w:rsidRPr="003D733D">
        <w:t xml:space="preserve"> </w:t>
      </w:r>
      <w:r w:rsidRPr="003D733D">
        <w:rPr>
          <w:rFonts w:ascii="Sylfaen" w:hAnsi="Sylfaen" w:cs="Sylfaen"/>
        </w:rPr>
        <w:t>ზრდის</w:t>
      </w:r>
      <w:r w:rsidRPr="003D733D">
        <w:t xml:space="preserve"> </w:t>
      </w:r>
      <w:r w:rsidRPr="003D733D">
        <w:rPr>
          <w:rFonts w:ascii="Sylfaen" w:hAnsi="Sylfaen" w:cs="Sylfaen"/>
        </w:rPr>
        <w:t>პროგნოზები</w:t>
      </w:r>
    </w:p>
    <w:p w14:paraId="52B245DA" w14:textId="77777777" w:rsidR="00F8565C" w:rsidRPr="003D733D" w:rsidRDefault="00F8565C" w:rsidP="00F8565C">
      <w:r w:rsidRPr="003D733D">
        <w:rPr>
          <w:rFonts w:ascii="Sylfaen" w:eastAsia="Calibri" w:hAnsi="Sylfaen" w:cs="Sylfaen"/>
        </w:rPr>
        <w:t>მჭიდრო</w:t>
      </w:r>
      <w:r w:rsidRPr="003D733D">
        <w:rPr>
          <w:rFonts w:eastAsia="Calibri"/>
        </w:rPr>
        <w:t xml:space="preserve"> </w:t>
      </w:r>
      <w:r w:rsidRPr="003D733D">
        <w:rPr>
          <w:rFonts w:ascii="Sylfaen" w:eastAsia="Calibri" w:hAnsi="Sylfaen" w:cs="Sylfaen"/>
        </w:rPr>
        <w:t>დამოკიდებულება</w:t>
      </w:r>
      <w:r w:rsidRPr="003D733D">
        <w:rPr>
          <w:rFonts w:eastAsia="Calibri"/>
        </w:rPr>
        <w:t xml:space="preserve"> </w:t>
      </w:r>
      <w:r w:rsidRPr="003D733D">
        <w:rPr>
          <w:rFonts w:ascii="Sylfaen" w:eastAsia="Calibri" w:hAnsi="Sylfaen" w:cs="Sylfaen"/>
        </w:rPr>
        <w:t>ეკონომიკის</w:t>
      </w:r>
      <w:r w:rsidRPr="003D733D">
        <w:rPr>
          <w:rFonts w:eastAsia="Calibri"/>
        </w:rPr>
        <w:t xml:space="preserve"> </w:t>
      </w:r>
      <w:r w:rsidRPr="003D733D">
        <w:rPr>
          <w:rFonts w:ascii="Sylfaen" w:eastAsia="Calibri" w:hAnsi="Sylfaen" w:cs="Sylfaen"/>
        </w:rPr>
        <w:t>ზრდასა</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w:t>
      </w:r>
      <w:r w:rsidRPr="003D733D">
        <w:rPr>
          <w:rFonts w:ascii="Sylfaen" w:eastAsia="Calibri" w:hAnsi="Sylfaen" w:cs="Sylfaen"/>
        </w:rPr>
        <w:t>ზრდას</w:t>
      </w:r>
      <w:r w:rsidRPr="003D733D">
        <w:rPr>
          <w:rFonts w:eastAsia="Calibri"/>
        </w:rPr>
        <w:t xml:space="preserve"> </w:t>
      </w:r>
      <w:r w:rsidRPr="003D733D">
        <w:rPr>
          <w:rFonts w:ascii="Sylfaen" w:eastAsia="Calibri" w:hAnsi="Sylfaen" w:cs="Sylfaen"/>
        </w:rPr>
        <w:t>შორის</w:t>
      </w:r>
      <w:r w:rsidRPr="003D733D">
        <w:rPr>
          <w:rFonts w:eastAsia="Calibri"/>
        </w:rPr>
        <w:t xml:space="preserve"> </w:t>
      </w:r>
      <w:r w:rsidRPr="003D733D">
        <w:rPr>
          <w:rFonts w:ascii="Sylfaen" w:eastAsia="Calibri" w:hAnsi="Sylfaen" w:cs="Sylfaen"/>
        </w:rPr>
        <w:t>ფართოდ</w:t>
      </w:r>
      <w:r w:rsidRPr="003D733D">
        <w:rPr>
          <w:rFonts w:eastAsia="Calibri"/>
        </w:rPr>
        <w:t xml:space="preserve"> </w:t>
      </w:r>
      <w:r w:rsidRPr="003D733D">
        <w:rPr>
          <w:rFonts w:ascii="Sylfaen" w:eastAsia="Calibri" w:hAnsi="Sylfaen" w:cs="Sylfaen"/>
        </w:rPr>
        <w:t>არის</w:t>
      </w:r>
      <w:r w:rsidRPr="003D733D">
        <w:rPr>
          <w:rFonts w:eastAsia="Calibri"/>
        </w:rPr>
        <w:t xml:space="preserve"> </w:t>
      </w:r>
      <w:r w:rsidRPr="003D733D">
        <w:rPr>
          <w:rFonts w:ascii="Sylfaen" w:eastAsia="Calibri" w:hAnsi="Sylfaen" w:cs="Sylfaen"/>
        </w:rPr>
        <w:t>აღიარებული</w:t>
      </w:r>
      <w:r w:rsidRPr="003D733D">
        <w:rPr>
          <w:rFonts w:eastAsia="Calibri"/>
        </w:rPr>
        <w:t xml:space="preserve">. </w:t>
      </w:r>
      <w:r w:rsidRPr="003D733D">
        <w:rPr>
          <w:rFonts w:ascii="Sylfaen" w:eastAsia="Calibri" w:hAnsi="Sylfaen" w:cs="Sylfaen"/>
        </w:rPr>
        <w:t>ზოგადად</w:t>
      </w:r>
      <w:r w:rsidRPr="003D733D">
        <w:rPr>
          <w:rFonts w:eastAsia="Calibri"/>
        </w:rPr>
        <w:t xml:space="preserve"> </w:t>
      </w:r>
      <w:r w:rsidRPr="003D733D">
        <w:rPr>
          <w:rFonts w:ascii="Sylfaen" w:eastAsia="Calibri" w:hAnsi="Sylfaen" w:cs="Sylfaen"/>
        </w:rPr>
        <w:t>მიიჩნევა</w:t>
      </w:r>
      <w:r w:rsidRPr="003D733D">
        <w:rPr>
          <w:rFonts w:eastAsia="Calibri"/>
        </w:rPr>
        <w:t xml:space="preserve">, </w:t>
      </w:r>
      <w:r w:rsidRPr="003D733D">
        <w:rPr>
          <w:rFonts w:ascii="Sylfaen" w:eastAsia="Calibri" w:hAnsi="Sylfaen" w:cs="Sylfaen"/>
        </w:rPr>
        <w:t>რომ</w:t>
      </w:r>
      <w:r w:rsidRPr="003D733D">
        <w:rPr>
          <w:rFonts w:eastAsia="Calibri"/>
        </w:rPr>
        <w:t xml:space="preserve"> </w:t>
      </w:r>
      <w:r w:rsidRPr="003D733D">
        <w:rPr>
          <w:rFonts w:ascii="Sylfaen" w:eastAsia="Calibri" w:hAnsi="Sylfaen" w:cs="Sylfaen"/>
        </w:rPr>
        <w:t>ეკონომიკის</w:t>
      </w:r>
      <w:r w:rsidRPr="003D733D">
        <w:rPr>
          <w:rFonts w:eastAsia="Calibri"/>
        </w:rPr>
        <w:t xml:space="preserve"> </w:t>
      </w:r>
      <w:r w:rsidRPr="003D733D">
        <w:rPr>
          <w:rFonts w:ascii="Sylfaen" w:eastAsia="Calibri" w:hAnsi="Sylfaen" w:cs="Sylfaen"/>
        </w:rPr>
        <w:t>განვითარების</w:t>
      </w:r>
      <w:r w:rsidRPr="003D733D">
        <w:rPr>
          <w:rFonts w:eastAsia="Calibri"/>
        </w:rPr>
        <w:t xml:space="preserve"> </w:t>
      </w:r>
      <w:r w:rsidRPr="003D733D">
        <w:rPr>
          <w:rFonts w:ascii="Sylfaen" w:eastAsia="Calibri" w:hAnsi="Sylfaen" w:cs="Sylfaen"/>
        </w:rPr>
        <w:t>ეტაპზე</w:t>
      </w:r>
      <w:r w:rsidRPr="003D733D">
        <w:rPr>
          <w:rFonts w:eastAsia="Calibri"/>
        </w:rPr>
        <w:t xml:space="preserve"> </w:t>
      </w:r>
      <w:r w:rsidRPr="003D733D">
        <w:rPr>
          <w:rFonts w:ascii="Sylfaen" w:eastAsia="Calibri" w:hAnsi="Sylfaen" w:cs="Sylfaen"/>
        </w:rPr>
        <w:t>მსუბუქი</w:t>
      </w:r>
      <w:r w:rsidRPr="003D733D">
        <w:rPr>
          <w:rFonts w:eastAsia="Calibri"/>
        </w:rPr>
        <w:t xml:space="preserve"> </w:t>
      </w:r>
      <w:r w:rsidRPr="003D733D">
        <w:rPr>
          <w:rFonts w:ascii="Sylfaen" w:eastAsia="Calibri" w:hAnsi="Sylfaen" w:cs="Sylfaen"/>
        </w:rPr>
        <w:t>ავტომობილების</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სხვა</w:t>
      </w:r>
      <w:r w:rsidRPr="003D733D">
        <w:rPr>
          <w:rFonts w:eastAsia="Calibri"/>
        </w:rPr>
        <w:t xml:space="preserve"> </w:t>
      </w:r>
      <w:r w:rsidRPr="003D733D">
        <w:rPr>
          <w:rFonts w:ascii="Sylfaen" w:eastAsia="Calibri" w:hAnsi="Sylfaen" w:cs="Sylfaen"/>
        </w:rPr>
        <w:t>მსგავსი</w:t>
      </w:r>
      <w:r w:rsidRPr="003D733D">
        <w:rPr>
          <w:rFonts w:eastAsia="Calibri"/>
        </w:rPr>
        <w:t xml:space="preserve"> </w:t>
      </w:r>
      <w:r w:rsidRPr="003D733D">
        <w:rPr>
          <w:rFonts w:ascii="Sylfaen" w:eastAsia="Calibri" w:hAnsi="Sylfaen" w:cs="Sylfaen"/>
        </w:rPr>
        <w:t>მცირეგაბარიტიანი</w:t>
      </w:r>
      <w:r w:rsidRPr="003D733D">
        <w:rPr>
          <w:rFonts w:eastAsia="Calibri"/>
        </w:rPr>
        <w:t xml:space="preserve"> </w:t>
      </w:r>
      <w:r w:rsidRPr="003D733D">
        <w:rPr>
          <w:rFonts w:ascii="Sylfaen" w:eastAsia="Calibri" w:hAnsi="Sylfaen" w:cs="Sylfaen"/>
        </w:rPr>
        <w:t>სამგზავრო</w:t>
      </w:r>
      <w:r w:rsidRPr="003D733D">
        <w:rPr>
          <w:rFonts w:eastAsia="Calibri"/>
        </w:rPr>
        <w:t xml:space="preserve"> </w:t>
      </w: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საშუალებების</w:t>
      </w:r>
      <w:r w:rsidRPr="003D733D">
        <w:rPr>
          <w:rFonts w:eastAsia="Calibri"/>
        </w:rPr>
        <w:t xml:space="preserve"> </w:t>
      </w:r>
      <w:r w:rsidRPr="003D733D">
        <w:rPr>
          <w:rFonts w:ascii="Sylfaen" w:eastAsia="Calibri" w:hAnsi="Sylfaen" w:cs="Sylfaen"/>
        </w:rPr>
        <w:t>რაოდენობა</w:t>
      </w:r>
      <w:r w:rsidRPr="003D733D">
        <w:rPr>
          <w:rFonts w:eastAsia="Calibri"/>
        </w:rPr>
        <w:t xml:space="preserve"> </w:t>
      </w:r>
      <w:r w:rsidRPr="003D733D">
        <w:rPr>
          <w:rFonts w:ascii="Sylfaen" w:eastAsia="Calibri" w:hAnsi="Sylfaen" w:cs="Sylfaen"/>
        </w:rPr>
        <w:t>მშპ</w:t>
      </w:r>
      <w:r w:rsidRPr="003D733D">
        <w:rPr>
          <w:rFonts w:eastAsia="Calibri"/>
        </w:rPr>
        <w:t>-</w:t>
      </w:r>
      <w:r w:rsidRPr="003D733D">
        <w:rPr>
          <w:rFonts w:ascii="Sylfaen" w:eastAsia="Calibri" w:hAnsi="Sylfaen" w:cs="Sylfaen"/>
        </w:rPr>
        <w:t>ზე</w:t>
      </w:r>
      <w:r w:rsidRPr="003D733D">
        <w:rPr>
          <w:rFonts w:eastAsia="Calibri"/>
        </w:rPr>
        <w:t xml:space="preserve"> </w:t>
      </w:r>
      <w:r w:rsidRPr="003D733D">
        <w:rPr>
          <w:rFonts w:ascii="Sylfaen" w:eastAsia="Calibri" w:hAnsi="Sylfaen" w:cs="Sylfaen"/>
        </w:rPr>
        <w:t>მცირედ</w:t>
      </w:r>
      <w:r w:rsidRPr="003D733D">
        <w:rPr>
          <w:rFonts w:eastAsia="Calibri"/>
        </w:rPr>
        <w:t xml:space="preserve"> </w:t>
      </w:r>
      <w:r w:rsidRPr="003D733D">
        <w:rPr>
          <w:rFonts w:ascii="Sylfaen" w:eastAsia="Calibri" w:hAnsi="Sylfaen" w:cs="Sylfaen"/>
        </w:rPr>
        <w:t>სწრაფად</w:t>
      </w:r>
      <w:r w:rsidRPr="003D733D">
        <w:rPr>
          <w:rFonts w:eastAsia="Calibri"/>
        </w:rPr>
        <w:t xml:space="preserve"> </w:t>
      </w:r>
      <w:r w:rsidRPr="003D733D">
        <w:rPr>
          <w:rFonts w:ascii="Sylfaen" w:eastAsia="Calibri" w:hAnsi="Sylfaen" w:cs="Sylfaen"/>
        </w:rPr>
        <w:t>იზრდება</w:t>
      </w:r>
      <w:r w:rsidRPr="003D733D">
        <w:rPr>
          <w:rFonts w:eastAsia="Calibri"/>
        </w:rPr>
        <w:t xml:space="preserve"> </w:t>
      </w:r>
      <w:r w:rsidRPr="003D733D">
        <w:rPr>
          <w:rFonts w:ascii="Sylfaen" w:eastAsia="Calibri" w:hAnsi="Sylfaen" w:cs="Sylfaen"/>
        </w:rPr>
        <w:t>მაშინ</w:t>
      </w:r>
      <w:r w:rsidRPr="003D733D">
        <w:rPr>
          <w:rFonts w:eastAsia="Calibri"/>
        </w:rPr>
        <w:t xml:space="preserve">, </w:t>
      </w:r>
      <w:r w:rsidRPr="003D733D">
        <w:rPr>
          <w:rFonts w:ascii="Sylfaen" w:eastAsia="Calibri" w:hAnsi="Sylfaen" w:cs="Sylfaen"/>
        </w:rPr>
        <w:t>როდესაც</w:t>
      </w:r>
      <w:r w:rsidRPr="003D733D">
        <w:rPr>
          <w:rFonts w:eastAsia="Calibri"/>
        </w:rPr>
        <w:t xml:space="preserve"> </w:t>
      </w:r>
      <w:r w:rsidRPr="003D733D">
        <w:rPr>
          <w:rFonts w:ascii="Sylfaen" w:eastAsia="Calibri" w:hAnsi="Sylfaen" w:cs="Sylfaen"/>
        </w:rPr>
        <w:t>სატვირთო</w:t>
      </w:r>
      <w:r w:rsidRPr="003D733D">
        <w:rPr>
          <w:rFonts w:eastAsia="Calibri"/>
        </w:rPr>
        <w:t xml:space="preserve"> </w:t>
      </w:r>
      <w:r w:rsidRPr="003D733D">
        <w:rPr>
          <w:rFonts w:ascii="Sylfaen" w:eastAsia="Calibri" w:hAnsi="Sylfaen" w:cs="Sylfaen"/>
        </w:rPr>
        <w:t>ავტოტრანსპორტის</w:t>
      </w:r>
      <w:r w:rsidRPr="003D733D">
        <w:rPr>
          <w:rFonts w:eastAsia="Calibri"/>
        </w:rPr>
        <w:t xml:space="preserve"> </w:t>
      </w:r>
      <w:r w:rsidRPr="003D733D">
        <w:rPr>
          <w:rFonts w:ascii="Sylfaen" w:eastAsia="Calibri" w:hAnsi="Sylfaen" w:cs="Sylfaen"/>
        </w:rPr>
        <w:t>პარკის</w:t>
      </w:r>
      <w:r w:rsidRPr="003D733D">
        <w:rPr>
          <w:rFonts w:eastAsia="Calibri"/>
        </w:rPr>
        <w:t xml:space="preserve"> </w:t>
      </w:r>
      <w:r w:rsidRPr="003D733D">
        <w:rPr>
          <w:rFonts w:ascii="Sylfaen" w:eastAsia="Calibri" w:hAnsi="Sylfaen" w:cs="Sylfaen"/>
        </w:rPr>
        <w:t>ზრდა</w:t>
      </w:r>
      <w:r w:rsidRPr="003D733D">
        <w:rPr>
          <w:rFonts w:eastAsia="Calibri"/>
        </w:rPr>
        <w:t xml:space="preserve">, </w:t>
      </w:r>
      <w:r w:rsidRPr="003D733D">
        <w:rPr>
          <w:rFonts w:ascii="Sylfaen" w:eastAsia="Calibri" w:hAnsi="Sylfaen" w:cs="Sylfaen"/>
        </w:rPr>
        <w:t>რაც</w:t>
      </w:r>
      <w:r w:rsidRPr="003D733D">
        <w:rPr>
          <w:rFonts w:eastAsia="Calibri"/>
        </w:rPr>
        <w:t xml:space="preserve"> </w:t>
      </w:r>
      <w:r w:rsidRPr="003D733D">
        <w:rPr>
          <w:rFonts w:ascii="Sylfaen" w:eastAsia="Calibri" w:hAnsi="Sylfaen" w:cs="Sylfaen"/>
        </w:rPr>
        <w:t>უშუალოდ</w:t>
      </w:r>
      <w:r w:rsidRPr="003D733D">
        <w:rPr>
          <w:rFonts w:eastAsia="Calibri"/>
        </w:rPr>
        <w:t xml:space="preserve"> </w:t>
      </w:r>
      <w:r w:rsidRPr="003D733D">
        <w:rPr>
          <w:rFonts w:ascii="Sylfaen" w:eastAsia="Calibri" w:hAnsi="Sylfaen" w:cs="Sylfaen"/>
        </w:rPr>
        <w:t>ეკონომიკის</w:t>
      </w:r>
      <w:r w:rsidRPr="003D733D">
        <w:rPr>
          <w:rFonts w:eastAsia="Calibri"/>
        </w:rPr>
        <w:t xml:space="preserve"> </w:t>
      </w:r>
      <w:r w:rsidRPr="003D733D">
        <w:rPr>
          <w:rFonts w:ascii="Sylfaen" w:eastAsia="Calibri" w:hAnsi="Sylfaen" w:cs="Sylfaen"/>
        </w:rPr>
        <w:t>განვითარებით</w:t>
      </w:r>
      <w:r w:rsidRPr="003D733D">
        <w:rPr>
          <w:rFonts w:eastAsia="Calibri"/>
        </w:rPr>
        <w:t xml:space="preserve"> </w:t>
      </w:r>
      <w:r w:rsidRPr="003D733D">
        <w:rPr>
          <w:rFonts w:ascii="Sylfaen" w:eastAsia="Calibri" w:hAnsi="Sylfaen" w:cs="Sylfaen"/>
        </w:rPr>
        <w:t>არის</w:t>
      </w:r>
      <w:r w:rsidRPr="003D733D">
        <w:rPr>
          <w:rFonts w:eastAsia="Calibri"/>
        </w:rPr>
        <w:t xml:space="preserve"> </w:t>
      </w:r>
      <w:r w:rsidRPr="003D733D">
        <w:rPr>
          <w:rFonts w:ascii="Sylfaen" w:eastAsia="Calibri" w:hAnsi="Sylfaen" w:cs="Sylfaen"/>
        </w:rPr>
        <w:t>განპირობებული</w:t>
      </w:r>
      <w:r w:rsidRPr="003D733D">
        <w:rPr>
          <w:rFonts w:eastAsia="Calibri"/>
        </w:rPr>
        <w:t xml:space="preserve">, </w:t>
      </w:r>
      <w:r w:rsidRPr="003D733D">
        <w:rPr>
          <w:rFonts w:ascii="Sylfaen" w:eastAsia="Calibri" w:hAnsi="Sylfaen" w:cs="Sylfaen"/>
        </w:rPr>
        <w:t>ჩვეულებრივ</w:t>
      </w:r>
      <w:r w:rsidRPr="003D733D">
        <w:rPr>
          <w:rFonts w:eastAsia="Calibri"/>
        </w:rPr>
        <w:t xml:space="preserve"> </w:t>
      </w:r>
      <w:r w:rsidRPr="003D733D">
        <w:rPr>
          <w:rFonts w:ascii="Sylfaen" w:eastAsia="Calibri" w:hAnsi="Sylfaen" w:cs="Sylfaen"/>
        </w:rPr>
        <w:t>მშპ</w:t>
      </w:r>
      <w:r w:rsidRPr="003D733D">
        <w:rPr>
          <w:rFonts w:eastAsia="Calibri"/>
        </w:rPr>
        <w:t>-</w:t>
      </w:r>
      <w:r w:rsidRPr="003D733D">
        <w:rPr>
          <w:rFonts w:ascii="Sylfaen" w:eastAsia="Calibri" w:hAnsi="Sylfaen" w:cs="Sylfaen"/>
        </w:rPr>
        <w:t>ს</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ტემპებს</w:t>
      </w:r>
      <w:r w:rsidRPr="003D733D">
        <w:rPr>
          <w:rFonts w:eastAsia="Calibri"/>
        </w:rPr>
        <w:t xml:space="preserve"> </w:t>
      </w:r>
      <w:r w:rsidRPr="003D733D">
        <w:rPr>
          <w:rFonts w:ascii="Sylfaen" w:eastAsia="Calibri" w:hAnsi="Sylfaen" w:cs="Sylfaen"/>
        </w:rPr>
        <w:t>იმეორებს</w:t>
      </w:r>
      <w:r w:rsidRPr="003D733D">
        <w:rPr>
          <w:rFonts w:eastAsia="Calibri"/>
        </w:rPr>
        <w:t xml:space="preserve">. </w:t>
      </w:r>
      <w:r w:rsidRPr="003D733D">
        <w:rPr>
          <w:rFonts w:ascii="Sylfaen" w:eastAsia="Calibri" w:hAnsi="Sylfaen" w:cs="Sylfaen"/>
        </w:rPr>
        <w:t>დროთა</w:t>
      </w:r>
      <w:r w:rsidRPr="003D733D">
        <w:rPr>
          <w:rFonts w:eastAsia="Calibri"/>
        </w:rPr>
        <w:t xml:space="preserve"> </w:t>
      </w:r>
      <w:r w:rsidRPr="003D733D">
        <w:rPr>
          <w:rFonts w:ascii="Sylfaen" w:eastAsia="Calibri" w:hAnsi="Sylfaen" w:cs="Sylfaen"/>
        </w:rPr>
        <w:t>განმავლობაში</w:t>
      </w:r>
      <w:r w:rsidRPr="003D733D">
        <w:rPr>
          <w:rFonts w:eastAsia="Calibri"/>
        </w:rPr>
        <w:t xml:space="preserve"> </w:t>
      </w:r>
      <w:r w:rsidRPr="003D733D">
        <w:rPr>
          <w:rFonts w:ascii="Sylfaen" w:eastAsia="Calibri" w:hAnsi="Sylfaen" w:cs="Sylfaen"/>
        </w:rPr>
        <w:t>სამგზავრო</w:t>
      </w:r>
      <w:r w:rsidRPr="003D733D">
        <w:rPr>
          <w:rFonts w:eastAsia="Calibri"/>
        </w:rPr>
        <w:t xml:space="preserve"> </w:t>
      </w:r>
      <w:r w:rsidRPr="003D733D">
        <w:rPr>
          <w:rFonts w:ascii="Sylfaen" w:eastAsia="Calibri" w:hAnsi="Sylfaen" w:cs="Sylfaen"/>
        </w:rPr>
        <w:t>ავტომობილების</w:t>
      </w:r>
      <w:r w:rsidRPr="003D733D">
        <w:rPr>
          <w:rFonts w:eastAsia="Calibri"/>
        </w:rPr>
        <w:t xml:space="preserve"> </w:t>
      </w:r>
      <w:r w:rsidRPr="003D733D">
        <w:rPr>
          <w:rFonts w:ascii="Sylfaen" w:eastAsia="Calibri" w:hAnsi="Sylfaen" w:cs="Sylfaen"/>
        </w:rPr>
        <w:t>რაოდენობრივი</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ელასტიურობა</w:t>
      </w:r>
      <w:r w:rsidRPr="003D733D">
        <w:rPr>
          <w:rFonts w:eastAsia="Calibri"/>
        </w:rPr>
        <w:t xml:space="preserve"> </w:t>
      </w:r>
      <w:r w:rsidRPr="003D733D">
        <w:rPr>
          <w:rFonts w:ascii="Sylfaen" w:eastAsia="Calibri" w:hAnsi="Sylfaen" w:cs="Sylfaen"/>
        </w:rPr>
        <w:t>მდოვრდება</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ამ</w:t>
      </w:r>
      <w:r w:rsidRPr="003D733D">
        <w:rPr>
          <w:rFonts w:eastAsia="Calibri"/>
        </w:rPr>
        <w:t xml:space="preserve"> </w:t>
      </w:r>
      <w:r w:rsidRPr="003D733D">
        <w:rPr>
          <w:rFonts w:ascii="Sylfaen" w:eastAsia="Calibri" w:hAnsi="Sylfaen" w:cs="Sylfaen"/>
        </w:rPr>
        <w:t>სახეობის</w:t>
      </w:r>
      <w:r w:rsidRPr="003D733D">
        <w:rPr>
          <w:rFonts w:eastAsia="Calibri"/>
        </w:rPr>
        <w:t xml:space="preserve"> </w:t>
      </w:r>
      <w:r w:rsidRPr="003D733D">
        <w:rPr>
          <w:rFonts w:ascii="Sylfaen" w:eastAsia="Calibri" w:hAnsi="Sylfaen" w:cs="Sylfaen"/>
        </w:rPr>
        <w:t>საავტომობილო</w:t>
      </w:r>
      <w:r w:rsidRPr="003D733D">
        <w:rPr>
          <w:rFonts w:eastAsia="Calibri"/>
        </w:rPr>
        <w:t xml:space="preserve"> </w:t>
      </w:r>
      <w:r w:rsidRPr="003D733D">
        <w:rPr>
          <w:rFonts w:ascii="Sylfaen" w:eastAsia="Calibri" w:hAnsi="Sylfaen" w:cs="Sylfaen"/>
        </w:rPr>
        <w:t>პარკის</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ტემპები</w:t>
      </w:r>
      <w:r w:rsidRPr="003D733D">
        <w:rPr>
          <w:rFonts w:eastAsia="Calibri"/>
        </w:rPr>
        <w:t xml:space="preserve"> </w:t>
      </w:r>
      <w:r w:rsidRPr="003D733D">
        <w:rPr>
          <w:rFonts w:ascii="Sylfaen" w:eastAsia="Calibri" w:hAnsi="Sylfaen" w:cs="Sylfaen"/>
        </w:rPr>
        <w:t>მშპ</w:t>
      </w:r>
      <w:r w:rsidRPr="003D733D">
        <w:rPr>
          <w:rFonts w:eastAsia="Calibri"/>
        </w:rPr>
        <w:t>-</w:t>
      </w:r>
      <w:r w:rsidRPr="003D733D">
        <w:rPr>
          <w:rFonts w:ascii="Sylfaen" w:eastAsia="Calibri" w:hAnsi="Sylfaen" w:cs="Sylfaen"/>
        </w:rPr>
        <w:t>ის</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ტემპებს</w:t>
      </w:r>
      <w:r w:rsidRPr="003D733D">
        <w:rPr>
          <w:rFonts w:eastAsia="Calibri"/>
        </w:rPr>
        <w:t xml:space="preserve"> </w:t>
      </w:r>
      <w:r w:rsidRPr="003D733D">
        <w:rPr>
          <w:rFonts w:ascii="Sylfaen" w:eastAsia="Calibri" w:hAnsi="Sylfaen" w:cs="Sylfaen"/>
        </w:rPr>
        <w:t>უსწორდება</w:t>
      </w:r>
      <w:r w:rsidRPr="003D733D">
        <w:rPr>
          <w:rFonts w:eastAsia="Calibri"/>
        </w:rPr>
        <w:t>.</w:t>
      </w:r>
    </w:p>
    <w:p w14:paraId="1C2EB103" w14:textId="77777777" w:rsidR="00F8565C" w:rsidRPr="003D733D" w:rsidRDefault="00F8565C" w:rsidP="00F8565C">
      <w:pPr>
        <w:rPr>
          <w:rFonts w:eastAsia="Calibri"/>
        </w:rPr>
      </w:pPr>
    </w:p>
    <w:p w14:paraId="46497A62" w14:textId="77777777" w:rsidR="00F8565C" w:rsidRPr="003D733D" w:rsidRDefault="00F8565C" w:rsidP="00F8565C">
      <w:pPr>
        <w:rPr>
          <w:rFonts w:eastAsia="Calibri"/>
        </w:rPr>
      </w:pPr>
      <w:r w:rsidRPr="003D733D">
        <w:rPr>
          <w:rFonts w:ascii="Sylfaen" w:eastAsia="Calibri" w:hAnsi="Sylfaen" w:cs="Sylfaen"/>
        </w:rPr>
        <w:t>ზემოაღნიშნულიდან</w:t>
      </w:r>
      <w:r w:rsidRPr="003D733D">
        <w:rPr>
          <w:rFonts w:eastAsia="Calibri"/>
        </w:rPr>
        <w:t xml:space="preserve"> </w:t>
      </w:r>
      <w:r w:rsidRPr="003D733D">
        <w:rPr>
          <w:rFonts w:ascii="Sylfaen" w:eastAsia="Calibri" w:hAnsi="Sylfaen" w:cs="Sylfaen"/>
        </w:rPr>
        <w:t>გამომდინარე</w:t>
      </w:r>
      <w:r w:rsidRPr="003D733D">
        <w:rPr>
          <w:rFonts w:eastAsia="Calibri"/>
        </w:rPr>
        <w:t xml:space="preserve">, </w:t>
      </w:r>
      <w:r w:rsidRPr="003D733D">
        <w:rPr>
          <w:rFonts w:ascii="Sylfaen" w:eastAsia="Calibri" w:hAnsi="Sylfaen" w:cs="Sylfaen"/>
        </w:rPr>
        <w:t>მშპ</w:t>
      </w:r>
      <w:r w:rsidRPr="003D733D">
        <w:rPr>
          <w:rFonts w:eastAsia="Calibri"/>
        </w:rPr>
        <w:t>-</w:t>
      </w:r>
      <w:r w:rsidRPr="003D733D">
        <w:rPr>
          <w:rFonts w:ascii="Sylfaen" w:eastAsia="Calibri" w:hAnsi="Sylfaen" w:cs="Sylfaen"/>
        </w:rPr>
        <w:t>ის</w:t>
      </w:r>
      <w:r w:rsidRPr="003D733D">
        <w:rPr>
          <w:rFonts w:eastAsia="Calibri"/>
        </w:rPr>
        <w:t xml:space="preserve"> </w:t>
      </w:r>
      <w:r w:rsidRPr="003D733D">
        <w:rPr>
          <w:rFonts w:ascii="Sylfaen" w:eastAsia="Calibri" w:hAnsi="Sylfaen" w:cs="Sylfaen"/>
        </w:rPr>
        <w:t>პროგნოზული</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ტემპის</w:t>
      </w:r>
      <w:r w:rsidRPr="003D733D">
        <w:rPr>
          <w:rFonts w:eastAsia="Calibri"/>
        </w:rPr>
        <w:t xml:space="preserve"> </w:t>
      </w:r>
      <w:r w:rsidRPr="003D733D">
        <w:rPr>
          <w:rFonts w:ascii="Sylfaen" w:eastAsia="Calibri" w:hAnsi="Sylfaen" w:cs="Sylfaen"/>
        </w:rPr>
        <w:t>მიმართ</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w:t>
      </w:r>
      <w:r w:rsidRPr="003D733D">
        <w:rPr>
          <w:rFonts w:ascii="Sylfaen" w:eastAsia="Calibri" w:hAnsi="Sylfaen" w:cs="Sylfaen"/>
        </w:rPr>
        <w:t>ნაზრდის</w:t>
      </w:r>
      <w:r w:rsidRPr="003D733D">
        <w:rPr>
          <w:rFonts w:eastAsia="Calibri"/>
        </w:rPr>
        <w:t xml:space="preserve"> </w:t>
      </w:r>
      <w:r w:rsidRPr="003D733D">
        <w:rPr>
          <w:rFonts w:ascii="Sylfaen" w:eastAsia="Calibri" w:hAnsi="Sylfaen" w:cs="Sylfaen"/>
        </w:rPr>
        <w:t>კოეფიციენტის</w:t>
      </w:r>
      <w:r w:rsidRPr="003D733D">
        <w:rPr>
          <w:rFonts w:eastAsia="Calibri"/>
        </w:rPr>
        <w:t xml:space="preserve"> </w:t>
      </w:r>
      <w:r w:rsidRPr="003D733D">
        <w:rPr>
          <w:rFonts w:ascii="Sylfaen" w:eastAsia="Calibri" w:hAnsi="Sylfaen" w:cs="Sylfaen"/>
        </w:rPr>
        <w:t>სიდიდეებად</w:t>
      </w:r>
      <w:r w:rsidRPr="003D733D">
        <w:rPr>
          <w:rFonts w:eastAsia="Calibri"/>
        </w:rPr>
        <w:t xml:space="preserve"> </w:t>
      </w:r>
      <w:r w:rsidRPr="003D733D">
        <w:rPr>
          <w:rFonts w:ascii="Sylfaen" w:eastAsia="Calibri" w:hAnsi="Sylfaen" w:cs="Sylfaen"/>
        </w:rPr>
        <w:t>მსუბუქი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სამგზავრო</w:t>
      </w:r>
      <w:r w:rsidRPr="003D733D">
        <w:rPr>
          <w:rFonts w:eastAsia="Calibri"/>
        </w:rPr>
        <w:t xml:space="preserve"> </w:t>
      </w:r>
      <w:r w:rsidRPr="003D733D">
        <w:rPr>
          <w:rFonts w:ascii="Sylfaen" w:eastAsia="Calibri" w:hAnsi="Sylfaen" w:cs="Sylfaen"/>
        </w:rPr>
        <w:t>ავტომობილებისთვის</w:t>
      </w:r>
      <w:r w:rsidRPr="003D733D">
        <w:rPr>
          <w:rFonts w:eastAsia="Calibri"/>
        </w:rPr>
        <w:t xml:space="preserve"> </w:t>
      </w:r>
      <w:r w:rsidRPr="003D733D">
        <w:rPr>
          <w:rFonts w:ascii="Sylfaen" w:eastAsia="Calibri" w:hAnsi="Sylfaen" w:cs="Sylfaen"/>
        </w:rPr>
        <w:t>მიღებული</w:t>
      </w:r>
      <w:r w:rsidRPr="003D733D">
        <w:rPr>
          <w:rFonts w:eastAsia="Calibri"/>
        </w:rPr>
        <w:t xml:space="preserve"> </w:t>
      </w:r>
      <w:r w:rsidRPr="003D733D">
        <w:rPr>
          <w:rFonts w:ascii="Sylfaen" w:eastAsia="Calibri" w:hAnsi="Sylfaen" w:cs="Sylfaen"/>
        </w:rPr>
        <w:t>იქნა</w:t>
      </w:r>
      <w:r w:rsidRPr="003D733D">
        <w:rPr>
          <w:rFonts w:eastAsia="Calibri"/>
        </w:rPr>
        <w:t xml:space="preserve"> 1.20 (2020 </w:t>
      </w:r>
      <w:r w:rsidRPr="003D733D">
        <w:rPr>
          <w:rFonts w:ascii="Sylfaen" w:eastAsia="Calibri" w:hAnsi="Sylfaen" w:cs="Sylfaen"/>
        </w:rPr>
        <w:t>წლამდე</w:t>
      </w:r>
      <w:r w:rsidRPr="003D733D">
        <w:rPr>
          <w:rFonts w:eastAsia="Calibri"/>
        </w:rPr>
        <w:t xml:space="preserve">) </w:t>
      </w:r>
      <w:r w:rsidRPr="003D733D">
        <w:rPr>
          <w:rFonts w:ascii="Sylfaen" w:eastAsia="Calibri" w:hAnsi="Sylfaen" w:cs="Sylfaen"/>
        </w:rPr>
        <w:t>და</w:t>
      </w:r>
      <w:r w:rsidRPr="003D733D">
        <w:rPr>
          <w:rFonts w:eastAsia="Calibri"/>
        </w:rPr>
        <w:t xml:space="preserve"> 1.05 (2020 </w:t>
      </w:r>
      <w:r w:rsidRPr="003D733D">
        <w:rPr>
          <w:rFonts w:ascii="Sylfaen" w:eastAsia="Calibri" w:hAnsi="Sylfaen" w:cs="Sylfaen"/>
        </w:rPr>
        <w:t>წლის</w:t>
      </w:r>
      <w:r w:rsidRPr="003D733D">
        <w:rPr>
          <w:rFonts w:eastAsia="Calibri"/>
        </w:rPr>
        <w:t xml:space="preserve"> </w:t>
      </w:r>
      <w:r w:rsidRPr="003D733D">
        <w:rPr>
          <w:rFonts w:ascii="Sylfaen" w:eastAsia="Calibri" w:hAnsi="Sylfaen" w:cs="Sylfaen"/>
        </w:rPr>
        <w:t>შემდეგ</w:t>
      </w:r>
      <w:r w:rsidRPr="003D733D">
        <w:rPr>
          <w:rFonts w:eastAsia="Calibri"/>
        </w:rPr>
        <w:t xml:space="preserve">), </w:t>
      </w:r>
      <w:r w:rsidRPr="003D733D">
        <w:rPr>
          <w:rFonts w:ascii="Sylfaen" w:eastAsia="Calibri" w:hAnsi="Sylfaen" w:cs="Sylfaen"/>
        </w:rPr>
        <w:t>ხოლო</w:t>
      </w:r>
      <w:r w:rsidRPr="003D733D">
        <w:rPr>
          <w:rFonts w:eastAsia="Calibri"/>
        </w:rPr>
        <w:t xml:space="preserve"> </w:t>
      </w:r>
      <w:r w:rsidRPr="003D733D">
        <w:rPr>
          <w:rFonts w:ascii="Sylfaen" w:eastAsia="Calibri" w:hAnsi="Sylfaen" w:cs="Sylfaen"/>
        </w:rPr>
        <w:t>სატვირთო</w:t>
      </w:r>
      <w:r w:rsidRPr="003D733D">
        <w:rPr>
          <w:rFonts w:eastAsia="Calibri"/>
        </w:rPr>
        <w:t xml:space="preserve"> </w:t>
      </w:r>
      <w:r w:rsidRPr="003D733D">
        <w:rPr>
          <w:rFonts w:ascii="Sylfaen" w:eastAsia="Calibri" w:hAnsi="Sylfaen" w:cs="Sylfaen"/>
        </w:rPr>
        <w:t>ავტომობილებისთვის</w:t>
      </w:r>
      <w:r w:rsidRPr="003D733D">
        <w:rPr>
          <w:rFonts w:eastAsia="Calibri"/>
        </w:rPr>
        <w:t xml:space="preserve"> _ 1.0, </w:t>
      </w:r>
      <w:r w:rsidRPr="003D733D">
        <w:rPr>
          <w:rFonts w:ascii="Sylfaen" w:eastAsia="Calibri" w:hAnsi="Sylfaen" w:cs="Sylfaen"/>
        </w:rPr>
        <w:t>რაც</w:t>
      </w:r>
      <w:r w:rsidRPr="003D733D">
        <w:rPr>
          <w:rFonts w:eastAsia="Calibri"/>
        </w:rPr>
        <w:t xml:space="preserve"> </w:t>
      </w:r>
      <w:r w:rsidRPr="003D733D">
        <w:rPr>
          <w:rFonts w:ascii="Sylfaen" w:eastAsia="Calibri" w:hAnsi="Sylfaen" w:cs="Sylfaen"/>
        </w:rPr>
        <w:t>ამ</w:t>
      </w:r>
      <w:r w:rsidRPr="003D733D">
        <w:rPr>
          <w:rFonts w:eastAsia="Calibri"/>
        </w:rPr>
        <w:t xml:space="preserve"> </w:t>
      </w:r>
      <w:r w:rsidRPr="003D733D">
        <w:rPr>
          <w:rFonts w:ascii="Sylfaen" w:eastAsia="Calibri" w:hAnsi="Sylfaen" w:cs="Sylfaen"/>
        </w:rPr>
        <w:t>სახეობის</w:t>
      </w:r>
      <w:r w:rsidRPr="003D733D">
        <w:rPr>
          <w:rFonts w:eastAsia="Calibri"/>
        </w:rPr>
        <w:t xml:space="preserve"> </w:t>
      </w:r>
      <w:r w:rsidRPr="003D733D">
        <w:rPr>
          <w:rFonts w:ascii="Sylfaen" w:eastAsia="Calibri" w:hAnsi="Sylfaen" w:cs="Sylfaen"/>
        </w:rPr>
        <w:t>ავტოტრანსპორტისთვის</w:t>
      </w:r>
      <w:r w:rsidRPr="003D733D">
        <w:rPr>
          <w:rFonts w:eastAsia="Calibri"/>
        </w:rPr>
        <w:t xml:space="preserve"> </w:t>
      </w:r>
      <w:r w:rsidRPr="003D733D">
        <w:rPr>
          <w:rFonts w:ascii="Sylfaen" w:eastAsia="Calibri" w:hAnsi="Sylfaen" w:cs="Sylfaen"/>
        </w:rPr>
        <w:t>ტრადიციულ</w:t>
      </w:r>
      <w:r w:rsidRPr="003D733D">
        <w:rPr>
          <w:rFonts w:eastAsia="Calibri"/>
        </w:rPr>
        <w:t xml:space="preserve"> </w:t>
      </w:r>
      <w:r w:rsidRPr="003D733D">
        <w:rPr>
          <w:rFonts w:ascii="Sylfaen" w:eastAsia="Calibri" w:hAnsi="Sylfaen" w:cs="Sylfaen"/>
        </w:rPr>
        <w:t>სიდიდეს</w:t>
      </w:r>
      <w:r w:rsidRPr="003D733D">
        <w:rPr>
          <w:rFonts w:eastAsia="Calibri"/>
        </w:rPr>
        <w:t xml:space="preserve"> </w:t>
      </w:r>
      <w:r w:rsidRPr="003D733D">
        <w:rPr>
          <w:rFonts w:ascii="Sylfaen" w:eastAsia="Calibri" w:hAnsi="Sylfaen" w:cs="Sylfaen"/>
        </w:rPr>
        <w:t>წარმოადგენს</w:t>
      </w:r>
      <w:r w:rsidRPr="003D733D">
        <w:rPr>
          <w:rFonts w:eastAsia="Calibri"/>
        </w:rPr>
        <w:t xml:space="preserve">. </w:t>
      </w:r>
    </w:p>
    <w:p w14:paraId="0BE8E795" w14:textId="28A0DE36" w:rsidR="00F8565C" w:rsidRPr="003D733D" w:rsidRDefault="00F8565C" w:rsidP="00F8565C">
      <w:pPr>
        <w:rPr>
          <w:rFonts w:eastAsia="Calibri"/>
        </w:rPr>
      </w:pPr>
      <w:r w:rsidRPr="003D733D">
        <w:rPr>
          <w:rFonts w:ascii="Sylfaen" w:eastAsia="Calibri" w:hAnsi="Sylfaen" w:cs="Sylfaen"/>
        </w:rPr>
        <w:lastRenderedPageBreak/>
        <w:t>ზრდის</w:t>
      </w:r>
      <w:r w:rsidRPr="003D733D">
        <w:rPr>
          <w:rFonts w:eastAsia="Calibri"/>
        </w:rPr>
        <w:t xml:space="preserve"> </w:t>
      </w:r>
      <w:r w:rsidRPr="003D733D">
        <w:rPr>
          <w:rFonts w:ascii="Sylfaen" w:eastAsia="Calibri" w:hAnsi="Sylfaen" w:cs="Sylfaen"/>
        </w:rPr>
        <w:t>ტემპები</w:t>
      </w:r>
      <w:r w:rsidRPr="003D733D">
        <w:rPr>
          <w:rFonts w:eastAsia="Calibri"/>
        </w:rPr>
        <w:t xml:space="preserve"> </w:t>
      </w:r>
      <w:r w:rsidRPr="003D733D">
        <w:rPr>
          <w:rFonts w:ascii="Sylfaen" w:eastAsia="Calibri" w:hAnsi="Sylfaen" w:cs="Sylfaen"/>
        </w:rPr>
        <w:t>მოყვანილია</w:t>
      </w:r>
      <w:r w:rsidRPr="003D733D">
        <w:rPr>
          <w:rFonts w:eastAsia="Calibri"/>
        </w:rPr>
        <w:t xml:space="preserve"> </w:t>
      </w:r>
      <w:r w:rsidRPr="003D733D">
        <w:rPr>
          <w:rFonts w:ascii="Sylfaen" w:eastAsia="Calibri" w:hAnsi="Sylfaen" w:cs="Sylfaen"/>
        </w:rPr>
        <w:t>მომდევნო</w:t>
      </w:r>
      <w:r w:rsidRPr="003D733D">
        <w:rPr>
          <w:rFonts w:eastAsia="Calibri"/>
        </w:rPr>
        <w:t xml:space="preserve"> </w:t>
      </w:r>
      <w:r w:rsidRPr="003D733D">
        <w:rPr>
          <w:rFonts w:ascii="Sylfaen" w:eastAsia="Calibri" w:hAnsi="Sylfaen" w:cs="Sylfaen"/>
        </w:rPr>
        <w:t>ცხრილში</w:t>
      </w:r>
      <w:r w:rsidRPr="003D733D">
        <w:rPr>
          <w:rFonts w:eastAsia="Calibri"/>
        </w:rPr>
        <w:t xml:space="preserve"> 4.</w:t>
      </w:r>
      <w:r w:rsidR="000B139D">
        <w:rPr>
          <w:rFonts w:ascii="Sylfaen" w:eastAsia="Calibri" w:hAnsi="Sylfaen"/>
          <w:lang w:val="ka-GE"/>
        </w:rPr>
        <w:t>7.2-2</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დაბალი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მაღალი</w:t>
      </w:r>
      <w:r w:rsidRPr="003D733D">
        <w:rPr>
          <w:rFonts w:eastAsia="Calibri"/>
        </w:rPr>
        <w:t xml:space="preserve"> </w:t>
      </w:r>
      <w:r w:rsidRPr="003D733D">
        <w:rPr>
          <w:rFonts w:ascii="Sylfaen" w:eastAsia="Calibri" w:hAnsi="Sylfaen" w:cs="Sylfaen"/>
        </w:rPr>
        <w:t>ტემპები</w:t>
      </w:r>
      <w:r w:rsidRPr="003D733D">
        <w:rPr>
          <w:rFonts w:eastAsia="Calibri"/>
        </w:rPr>
        <w:t xml:space="preserve"> </w:t>
      </w:r>
      <w:r w:rsidRPr="003D733D">
        <w:rPr>
          <w:rFonts w:ascii="Sylfaen" w:eastAsia="Calibri" w:hAnsi="Sylfaen" w:cs="Sylfaen"/>
        </w:rPr>
        <w:t>შეადგენენ</w:t>
      </w:r>
      <w:r w:rsidRPr="003D733D">
        <w:rPr>
          <w:rFonts w:eastAsia="Calibri"/>
        </w:rPr>
        <w:t xml:space="preserve"> </w:t>
      </w:r>
      <w:r w:rsidRPr="003D733D">
        <w:rPr>
          <w:rFonts w:ascii="Sylfaen" w:eastAsia="Calibri" w:hAnsi="Sylfaen" w:cs="Sylfaen"/>
        </w:rPr>
        <w:t>ცენტრალური</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ტემპის</w:t>
      </w:r>
      <w:r w:rsidRPr="003D733D">
        <w:rPr>
          <w:rFonts w:eastAsia="Calibri"/>
        </w:rPr>
        <w:t xml:space="preserve">, </w:t>
      </w:r>
      <w:r w:rsidRPr="003D733D">
        <w:rPr>
          <w:rFonts w:ascii="Sylfaen" w:eastAsia="Calibri" w:hAnsi="Sylfaen" w:cs="Sylfaen"/>
        </w:rPr>
        <w:t>შესაბამისად</w:t>
      </w:r>
      <w:r w:rsidRPr="003D733D">
        <w:rPr>
          <w:rFonts w:eastAsia="Calibri"/>
        </w:rPr>
        <w:t>, 80%-</w:t>
      </w:r>
      <w:r w:rsidRPr="003D733D">
        <w:rPr>
          <w:rFonts w:ascii="Sylfaen" w:eastAsia="Calibri" w:hAnsi="Sylfaen" w:cs="Sylfaen"/>
        </w:rPr>
        <w:t>ს</w:t>
      </w:r>
      <w:r w:rsidRPr="003D733D">
        <w:rPr>
          <w:rFonts w:eastAsia="Calibri"/>
        </w:rPr>
        <w:t xml:space="preserve"> </w:t>
      </w:r>
      <w:r w:rsidRPr="003D733D">
        <w:rPr>
          <w:rFonts w:ascii="Sylfaen" w:eastAsia="Calibri" w:hAnsi="Sylfaen" w:cs="Sylfaen"/>
        </w:rPr>
        <w:t>და</w:t>
      </w:r>
      <w:r w:rsidRPr="003D733D">
        <w:rPr>
          <w:rFonts w:eastAsia="Calibri"/>
        </w:rPr>
        <w:t xml:space="preserve"> 120%-</w:t>
      </w:r>
      <w:r w:rsidRPr="003D733D">
        <w:rPr>
          <w:rFonts w:ascii="Sylfaen" w:eastAsia="Calibri" w:hAnsi="Sylfaen" w:cs="Sylfaen"/>
        </w:rPr>
        <w:t>ს</w:t>
      </w:r>
      <w:r w:rsidRPr="003D733D">
        <w:rPr>
          <w:rFonts w:eastAsia="Calibri"/>
        </w:rPr>
        <w:t xml:space="preserve">. </w:t>
      </w:r>
    </w:p>
    <w:p w14:paraId="0108FAC7" w14:textId="7E17B164" w:rsidR="00F8565C" w:rsidRPr="003D733D" w:rsidRDefault="00F8565C" w:rsidP="00F8565C">
      <w:pPr>
        <w:rPr>
          <w:rFonts w:eastAsia="Calibri"/>
        </w:rPr>
      </w:pPr>
      <w:r w:rsidRPr="003D733D">
        <w:rPr>
          <w:rFonts w:ascii="Sylfaen" w:eastAsia="Calibri" w:hAnsi="Sylfaen" w:cs="Sylfaen"/>
        </w:rPr>
        <w:t>ცხრილი</w:t>
      </w:r>
      <w:r w:rsidRPr="003D733D">
        <w:rPr>
          <w:rFonts w:eastAsia="Calibri"/>
        </w:rPr>
        <w:t xml:space="preserve"> 4.</w:t>
      </w:r>
      <w:r w:rsidR="000B139D">
        <w:rPr>
          <w:rFonts w:ascii="Sylfaen" w:eastAsia="Calibri" w:hAnsi="Sylfaen"/>
          <w:lang w:val="ka-GE"/>
        </w:rPr>
        <w:t>7.2-2</w:t>
      </w:r>
      <w:r w:rsidRPr="003D733D">
        <w:rPr>
          <w:rFonts w:eastAsia="Calibri"/>
        </w:rPr>
        <w:t>.</w:t>
      </w:r>
      <w:r w:rsidRPr="003D733D">
        <w:rPr>
          <w:rFonts w:eastAsia="Calibri"/>
        </w:rPr>
        <w:tab/>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w:t>
      </w:r>
      <w:r w:rsidRPr="003D733D">
        <w:rPr>
          <w:rFonts w:ascii="Sylfaen" w:eastAsia="Calibri" w:hAnsi="Sylfaen" w:cs="Sylfaen"/>
        </w:rPr>
        <w:t>ნორმალური</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პროგნოზული</w:t>
      </w:r>
      <w:r w:rsidRPr="003D733D">
        <w:rPr>
          <w:rFonts w:eastAsia="Calibri"/>
        </w:rPr>
        <w:t xml:space="preserve"> </w:t>
      </w:r>
      <w:r w:rsidRPr="003D733D">
        <w:rPr>
          <w:rFonts w:ascii="Sylfaen" w:eastAsia="Calibri" w:hAnsi="Sylfaen" w:cs="Sylfaen"/>
        </w:rPr>
        <w:t>ტემპები</w:t>
      </w:r>
      <w:r w:rsidRPr="003D733D">
        <w:rPr>
          <w:rFonts w:eastAsia="Calibri"/>
        </w:rPr>
        <w:t xml:space="preserve"> (% </w:t>
      </w:r>
      <w:r w:rsidRPr="003D733D">
        <w:rPr>
          <w:rFonts w:ascii="Sylfaen" w:eastAsia="Calibri" w:hAnsi="Sylfaen" w:cs="Sylfaen"/>
        </w:rPr>
        <w:t>წელიწადში</w:t>
      </w:r>
      <w:r w:rsidRPr="003D733D">
        <w:rPr>
          <w:rFonts w:eastAsia="Calibri"/>
        </w:rPr>
        <w:t>)</w:t>
      </w:r>
    </w:p>
    <w:tbl>
      <w:tblPr>
        <w:tblW w:w="95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989"/>
        <w:gridCol w:w="1616"/>
        <w:gridCol w:w="1098"/>
        <w:gridCol w:w="1065"/>
        <w:gridCol w:w="1616"/>
        <w:gridCol w:w="1444"/>
      </w:tblGrid>
      <w:tr w:rsidR="00F8565C" w:rsidRPr="003D733D" w14:paraId="60C828A6" w14:textId="77777777" w:rsidTr="00F8565C">
        <w:trPr>
          <w:trHeight w:val="255"/>
          <w:tblHeader/>
        </w:trPr>
        <w:tc>
          <w:tcPr>
            <w:tcW w:w="1985" w:type="dxa"/>
            <w:vMerge w:val="restart"/>
            <w:tcBorders>
              <w:top w:val="single" w:sz="4" w:space="0" w:color="auto"/>
              <w:left w:val="single" w:sz="4" w:space="0" w:color="auto"/>
              <w:bottom w:val="single" w:sz="4" w:space="0" w:color="auto"/>
              <w:right w:val="single" w:sz="4" w:space="0" w:color="auto"/>
            </w:tcBorders>
            <w:shd w:val="clear" w:color="auto" w:fill="E0E0E0"/>
            <w:noWrap/>
            <w:vAlign w:val="center"/>
            <w:hideMark/>
          </w:tcPr>
          <w:p w14:paraId="508947E2" w14:textId="77777777" w:rsidR="00F8565C" w:rsidRPr="003D733D" w:rsidRDefault="00F8565C" w:rsidP="00F8565C">
            <w:pPr>
              <w:rPr>
                <w:rFonts w:eastAsia="Calibri"/>
                <w:lang w:val="ka-GE" w:eastAsia="en-GB"/>
              </w:rPr>
            </w:pPr>
            <w:r w:rsidRPr="003D733D">
              <w:rPr>
                <w:rFonts w:ascii="Sylfaen" w:eastAsia="Calibri" w:hAnsi="Sylfaen" w:cs="Sylfaen"/>
              </w:rPr>
              <w:t>პერიოდი</w:t>
            </w:r>
          </w:p>
          <w:p w14:paraId="3D978DA8" w14:textId="77777777" w:rsidR="00F8565C" w:rsidRPr="003D733D" w:rsidRDefault="00F8565C" w:rsidP="00F8565C">
            <w:pPr>
              <w:rPr>
                <w:rFonts w:eastAsia="Calibri"/>
              </w:rPr>
            </w:pPr>
            <w:r w:rsidRPr="003D733D">
              <w:rPr>
                <w:rFonts w:eastAsia="Calibri"/>
              </w:rPr>
              <w:t>(</w:t>
            </w:r>
            <w:r w:rsidRPr="003D733D">
              <w:rPr>
                <w:rFonts w:ascii="Sylfaen" w:eastAsia="Calibri" w:hAnsi="Sylfaen" w:cs="Sylfaen"/>
              </w:rPr>
              <w:t>საწყისი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საბოლოო</w:t>
            </w:r>
            <w:r w:rsidRPr="003D733D">
              <w:rPr>
                <w:rFonts w:eastAsia="Calibri"/>
              </w:rPr>
              <w:t xml:space="preserve"> </w:t>
            </w:r>
            <w:r w:rsidRPr="003D733D">
              <w:rPr>
                <w:rFonts w:ascii="Sylfaen" w:eastAsia="Calibri" w:hAnsi="Sylfaen" w:cs="Sylfaen"/>
              </w:rPr>
              <w:t>წლები</w:t>
            </w:r>
            <w:r w:rsidRPr="003D733D">
              <w:rPr>
                <w:rFonts w:eastAsia="Calibri"/>
              </w:rPr>
              <w:t>)</w:t>
            </w:r>
          </w:p>
        </w:tc>
        <w:tc>
          <w:tcPr>
            <w:tcW w:w="3515" w:type="dxa"/>
            <w:gridSpan w:val="3"/>
            <w:tcBorders>
              <w:top w:val="single" w:sz="4" w:space="0" w:color="auto"/>
              <w:left w:val="single" w:sz="4" w:space="0" w:color="auto"/>
              <w:bottom w:val="single" w:sz="4" w:space="0" w:color="auto"/>
              <w:right w:val="single" w:sz="4" w:space="0" w:color="auto"/>
            </w:tcBorders>
            <w:shd w:val="clear" w:color="auto" w:fill="E0E0E0"/>
            <w:noWrap/>
            <w:vAlign w:val="center"/>
            <w:hideMark/>
          </w:tcPr>
          <w:p w14:paraId="7A224231" w14:textId="77777777" w:rsidR="00F8565C" w:rsidRPr="003D733D" w:rsidRDefault="00F8565C" w:rsidP="00F8565C">
            <w:pPr>
              <w:rPr>
                <w:rFonts w:eastAsia="Calibri"/>
              </w:rPr>
            </w:pPr>
            <w:r w:rsidRPr="003D733D">
              <w:rPr>
                <w:rFonts w:ascii="Sylfaen" w:eastAsia="Calibri" w:hAnsi="Sylfaen" w:cs="Sylfaen"/>
              </w:rPr>
              <w:t>სამგზავრო</w:t>
            </w:r>
            <w:r w:rsidRPr="003D733D">
              <w:rPr>
                <w:rFonts w:eastAsia="Calibri"/>
              </w:rPr>
              <w:t xml:space="preserve"> </w:t>
            </w:r>
            <w:r w:rsidRPr="003D733D">
              <w:rPr>
                <w:rFonts w:ascii="Sylfaen" w:eastAsia="Calibri" w:hAnsi="Sylfaen" w:cs="Sylfaen"/>
              </w:rPr>
              <w:t>ავტომობილები</w:t>
            </w:r>
          </w:p>
        </w:tc>
        <w:tc>
          <w:tcPr>
            <w:tcW w:w="4010" w:type="dxa"/>
            <w:gridSpan w:val="3"/>
            <w:tcBorders>
              <w:top w:val="single" w:sz="4" w:space="0" w:color="auto"/>
              <w:left w:val="single" w:sz="4" w:space="0" w:color="auto"/>
              <w:bottom w:val="single" w:sz="4" w:space="0" w:color="auto"/>
              <w:right w:val="single" w:sz="4" w:space="0" w:color="auto"/>
            </w:tcBorders>
            <w:shd w:val="clear" w:color="auto" w:fill="E0E0E0"/>
            <w:noWrap/>
            <w:vAlign w:val="center"/>
            <w:hideMark/>
          </w:tcPr>
          <w:p w14:paraId="0F523BAE" w14:textId="77777777" w:rsidR="00F8565C" w:rsidRPr="003D733D" w:rsidRDefault="00F8565C" w:rsidP="00F8565C">
            <w:pPr>
              <w:rPr>
                <w:rFonts w:eastAsia="Calibri"/>
              </w:rPr>
            </w:pPr>
            <w:r w:rsidRPr="003D733D">
              <w:rPr>
                <w:rFonts w:ascii="Sylfaen" w:eastAsia="Calibri" w:hAnsi="Sylfaen" w:cs="Sylfaen"/>
              </w:rPr>
              <w:t>სატვირთო</w:t>
            </w:r>
            <w:r w:rsidRPr="003D733D">
              <w:rPr>
                <w:rFonts w:eastAsia="Calibri"/>
              </w:rPr>
              <w:t xml:space="preserve"> </w:t>
            </w:r>
            <w:r w:rsidRPr="003D733D">
              <w:rPr>
                <w:rFonts w:ascii="Sylfaen" w:eastAsia="Calibri" w:hAnsi="Sylfaen" w:cs="Sylfaen"/>
              </w:rPr>
              <w:t>ავტომობილები</w:t>
            </w:r>
          </w:p>
        </w:tc>
      </w:tr>
      <w:tr w:rsidR="00F8565C" w:rsidRPr="003D733D" w14:paraId="6CB31A32" w14:textId="77777777" w:rsidTr="00F8565C">
        <w:trPr>
          <w:trHeight w:val="255"/>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CC491C" w14:textId="77777777" w:rsidR="00F8565C" w:rsidRPr="003D733D" w:rsidRDefault="00F8565C" w:rsidP="00F8565C">
            <w:pPr>
              <w:rPr>
                <w:rFonts w:eastAsiaTheme="minorHAns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vAlign w:val="center"/>
            <w:hideMark/>
          </w:tcPr>
          <w:p w14:paraId="2D1DAB16" w14:textId="77777777" w:rsidR="00F8565C" w:rsidRPr="003D733D" w:rsidRDefault="00F8565C" w:rsidP="00F8565C">
            <w:pPr>
              <w:rPr>
                <w:rFonts w:eastAsia="Calibri"/>
                <w:lang w:val="ka-GE"/>
              </w:rPr>
            </w:pPr>
            <w:r w:rsidRPr="003D733D">
              <w:rPr>
                <w:rFonts w:ascii="Sylfaen" w:eastAsia="Calibri" w:hAnsi="Sylfaen" w:cs="Sylfaen"/>
              </w:rPr>
              <w:t>დაბალი</w:t>
            </w:r>
          </w:p>
        </w:tc>
        <w:tc>
          <w:tcPr>
            <w:tcW w:w="1421"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vAlign w:val="center"/>
            <w:hideMark/>
          </w:tcPr>
          <w:p w14:paraId="663944D4" w14:textId="77777777" w:rsidR="00F8565C" w:rsidRPr="003D733D" w:rsidRDefault="00F8565C" w:rsidP="00F8565C">
            <w:pPr>
              <w:rPr>
                <w:rFonts w:eastAsia="Calibri"/>
              </w:rPr>
            </w:pPr>
            <w:r w:rsidRPr="003D733D">
              <w:rPr>
                <w:rFonts w:ascii="Sylfaen" w:eastAsia="Calibri" w:hAnsi="Sylfaen" w:cs="Sylfaen"/>
              </w:rPr>
              <w:t>ცენტრატლური</w:t>
            </w:r>
          </w:p>
        </w:tc>
        <w:tc>
          <w:tcPr>
            <w:tcW w:w="1102"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vAlign w:val="center"/>
            <w:hideMark/>
          </w:tcPr>
          <w:p w14:paraId="3E12710D" w14:textId="77777777" w:rsidR="00F8565C" w:rsidRPr="003D733D" w:rsidRDefault="00F8565C" w:rsidP="00F8565C">
            <w:pPr>
              <w:rPr>
                <w:rFonts w:eastAsia="Calibri"/>
              </w:rPr>
            </w:pPr>
            <w:r w:rsidRPr="003D733D">
              <w:rPr>
                <w:rFonts w:ascii="Sylfaen" w:eastAsia="Calibri" w:hAnsi="Sylfaen" w:cs="Sylfaen"/>
              </w:rPr>
              <w:t>მაღალი</w:t>
            </w:r>
          </w:p>
        </w:tc>
        <w:tc>
          <w:tcPr>
            <w:tcW w:w="1069"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vAlign w:val="center"/>
            <w:hideMark/>
          </w:tcPr>
          <w:p w14:paraId="6487D91C" w14:textId="77777777" w:rsidR="00F8565C" w:rsidRPr="003D733D" w:rsidRDefault="00F8565C" w:rsidP="00F8565C">
            <w:pPr>
              <w:rPr>
                <w:rFonts w:eastAsia="Calibri"/>
              </w:rPr>
            </w:pPr>
            <w:r w:rsidRPr="003D733D">
              <w:rPr>
                <w:rFonts w:ascii="Sylfaen" w:eastAsia="Calibri" w:hAnsi="Sylfaen" w:cs="Sylfaen"/>
              </w:rPr>
              <w:t>დაბალი</w:t>
            </w:r>
          </w:p>
        </w:tc>
        <w:tc>
          <w:tcPr>
            <w:tcW w:w="1492"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vAlign w:val="center"/>
            <w:hideMark/>
          </w:tcPr>
          <w:p w14:paraId="4AA0FBC3" w14:textId="77777777" w:rsidR="00F8565C" w:rsidRPr="003D733D" w:rsidRDefault="00F8565C" w:rsidP="00F8565C">
            <w:pPr>
              <w:rPr>
                <w:rFonts w:eastAsia="Calibri"/>
              </w:rPr>
            </w:pPr>
            <w:r w:rsidRPr="003D733D">
              <w:rPr>
                <w:rFonts w:ascii="Sylfaen" w:eastAsia="Calibri" w:hAnsi="Sylfaen" w:cs="Sylfaen"/>
              </w:rPr>
              <w:t>ცენტრატლური</w:t>
            </w:r>
          </w:p>
        </w:tc>
        <w:tc>
          <w:tcPr>
            <w:tcW w:w="1449"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vAlign w:val="center"/>
            <w:hideMark/>
          </w:tcPr>
          <w:p w14:paraId="1CE73398" w14:textId="77777777" w:rsidR="00F8565C" w:rsidRPr="003D733D" w:rsidRDefault="00F8565C" w:rsidP="00F8565C">
            <w:pPr>
              <w:rPr>
                <w:rFonts w:eastAsia="Calibri"/>
              </w:rPr>
            </w:pPr>
            <w:r w:rsidRPr="003D733D">
              <w:rPr>
                <w:rFonts w:ascii="Sylfaen" w:eastAsia="Calibri" w:hAnsi="Sylfaen" w:cs="Sylfaen"/>
              </w:rPr>
              <w:t>მაღალი</w:t>
            </w:r>
          </w:p>
        </w:tc>
      </w:tr>
      <w:tr w:rsidR="00F8565C" w:rsidRPr="003D733D" w14:paraId="12AD4D6B" w14:textId="77777777" w:rsidTr="00F8565C">
        <w:trPr>
          <w:trHeight w:val="255"/>
        </w:trPr>
        <w:tc>
          <w:tcPr>
            <w:tcW w:w="1985" w:type="dxa"/>
            <w:tcBorders>
              <w:top w:val="single" w:sz="4" w:space="0" w:color="auto"/>
              <w:left w:val="single" w:sz="4" w:space="0" w:color="auto"/>
              <w:bottom w:val="single" w:sz="4" w:space="0" w:color="auto"/>
              <w:right w:val="single" w:sz="4" w:space="0" w:color="auto"/>
            </w:tcBorders>
            <w:noWrap/>
            <w:vAlign w:val="bottom"/>
            <w:hideMark/>
          </w:tcPr>
          <w:p w14:paraId="2E00D10C" w14:textId="77777777" w:rsidR="00F8565C" w:rsidRPr="003D733D" w:rsidRDefault="00F8565C" w:rsidP="00F8565C">
            <w:pPr>
              <w:rPr>
                <w:rFonts w:eastAsia="Calibri"/>
              </w:rPr>
            </w:pPr>
            <w:r w:rsidRPr="003D733D">
              <w:rPr>
                <w:rFonts w:eastAsia="Calibri"/>
              </w:rPr>
              <w:t>2017-2021</w:t>
            </w:r>
          </w:p>
        </w:tc>
        <w:tc>
          <w:tcPr>
            <w:tcW w:w="992" w:type="dxa"/>
            <w:tcBorders>
              <w:top w:val="single" w:sz="4" w:space="0" w:color="auto"/>
              <w:left w:val="single" w:sz="4" w:space="0" w:color="auto"/>
              <w:bottom w:val="single" w:sz="4" w:space="0" w:color="auto"/>
              <w:right w:val="single" w:sz="4" w:space="0" w:color="auto"/>
            </w:tcBorders>
            <w:noWrap/>
            <w:hideMark/>
          </w:tcPr>
          <w:p w14:paraId="70608DF3" w14:textId="77777777" w:rsidR="00F8565C" w:rsidRPr="003D733D" w:rsidRDefault="00F8565C" w:rsidP="00F8565C">
            <w:pPr>
              <w:rPr>
                <w:rFonts w:eastAsia="Calibri"/>
              </w:rPr>
            </w:pPr>
            <w:r w:rsidRPr="003D733D">
              <w:rPr>
                <w:rFonts w:eastAsia="Calibri"/>
              </w:rPr>
              <w:t>4.7</w:t>
            </w:r>
          </w:p>
        </w:tc>
        <w:tc>
          <w:tcPr>
            <w:tcW w:w="1421" w:type="dxa"/>
            <w:tcBorders>
              <w:top w:val="single" w:sz="4" w:space="0" w:color="auto"/>
              <w:left w:val="single" w:sz="4" w:space="0" w:color="auto"/>
              <w:bottom w:val="single" w:sz="4" w:space="0" w:color="auto"/>
              <w:right w:val="single" w:sz="4" w:space="0" w:color="auto"/>
            </w:tcBorders>
            <w:noWrap/>
            <w:hideMark/>
          </w:tcPr>
          <w:p w14:paraId="4332A641" w14:textId="77777777" w:rsidR="00F8565C" w:rsidRPr="003D733D" w:rsidRDefault="00F8565C" w:rsidP="00F8565C">
            <w:pPr>
              <w:rPr>
                <w:rFonts w:eastAsia="Calibri"/>
              </w:rPr>
            </w:pPr>
            <w:r w:rsidRPr="003D733D">
              <w:rPr>
                <w:rFonts w:eastAsia="Calibri"/>
              </w:rPr>
              <w:t>5.9</w:t>
            </w:r>
          </w:p>
        </w:tc>
        <w:tc>
          <w:tcPr>
            <w:tcW w:w="1102" w:type="dxa"/>
            <w:tcBorders>
              <w:top w:val="single" w:sz="4" w:space="0" w:color="auto"/>
              <w:left w:val="single" w:sz="4" w:space="0" w:color="auto"/>
              <w:bottom w:val="single" w:sz="4" w:space="0" w:color="auto"/>
              <w:right w:val="single" w:sz="4" w:space="0" w:color="auto"/>
            </w:tcBorders>
            <w:noWrap/>
            <w:hideMark/>
          </w:tcPr>
          <w:p w14:paraId="0920D293" w14:textId="77777777" w:rsidR="00F8565C" w:rsidRPr="003D733D" w:rsidRDefault="00F8565C" w:rsidP="00F8565C">
            <w:pPr>
              <w:rPr>
                <w:rFonts w:eastAsia="Calibri"/>
              </w:rPr>
            </w:pPr>
            <w:r w:rsidRPr="003D733D">
              <w:rPr>
                <w:rFonts w:eastAsia="Calibri"/>
              </w:rPr>
              <w:t>7.0</w:t>
            </w:r>
          </w:p>
        </w:tc>
        <w:tc>
          <w:tcPr>
            <w:tcW w:w="1069" w:type="dxa"/>
            <w:tcBorders>
              <w:top w:val="single" w:sz="4" w:space="0" w:color="auto"/>
              <w:left w:val="single" w:sz="4" w:space="0" w:color="auto"/>
              <w:bottom w:val="single" w:sz="4" w:space="0" w:color="auto"/>
              <w:right w:val="single" w:sz="4" w:space="0" w:color="auto"/>
            </w:tcBorders>
            <w:noWrap/>
            <w:hideMark/>
          </w:tcPr>
          <w:p w14:paraId="4B3B0567" w14:textId="77777777" w:rsidR="00F8565C" w:rsidRPr="003D733D" w:rsidRDefault="00F8565C" w:rsidP="00F8565C">
            <w:pPr>
              <w:rPr>
                <w:rFonts w:eastAsia="Calibri"/>
              </w:rPr>
            </w:pPr>
            <w:r w:rsidRPr="003D733D">
              <w:rPr>
                <w:rFonts w:eastAsia="Calibri"/>
              </w:rPr>
              <w:t>4.0</w:t>
            </w:r>
          </w:p>
        </w:tc>
        <w:tc>
          <w:tcPr>
            <w:tcW w:w="1492" w:type="dxa"/>
            <w:tcBorders>
              <w:top w:val="single" w:sz="4" w:space="0" w:color="auto"/>
              <w:left w:val="single" w:sz="4" w:space="0" w:color="auto"/>
              <w:bottom w:val="single" w:sz="4" w:space="0" w:color="auto"/>
              <w:right w:val="single" w:sz="4" w:space="0" w:color="auto"/>
            </w:tcBorders>
            <w:noWrap/>
            <w:hideMark/>
          </w:tcPr>
          <w:p w14:paraId="324B1C82" w14:textId="77777777" w:rsidR="00F8565C" w:rsidRPr="003D733D" w:rsidRDefault="00F8565C" w:rsidP="00F8565C">
            <w:pPr>
              <w:rPr>
                <w:rFonts w:eastAsia="Calibri"/>
              </w:rPr>
            </w:pPr>
            <w:r w:rsidRPr="003D733D">
              <w:rPr>
                <w:rFonts w:eastAsia="Calibri"/>
              </w:rPr>
              <w:t>5.0</w:t>
            </w:r>
          </w:p>
        </w:tc>
        <w:tc>
          <w:tcPr>
            <w:tcW w:w="1449" w:type="dxa"/>
            <w:tcBorders>
              <w:top w:val="single" w:sz="4" w:space="0" w:color="auto"/>
              <w:left w:val="single" w:sz="4" w:space="0" w:color="auto"/>
              <w:bottom w:val="single" w:sz="4" w:space="0" w:color="auto"/>
              <w:right w:val="single" w:sz="4" w:space="0" w:color="auto"/>
            </w:tcBorders>
            <w:noWrap/>
            <w:hideMark/>
          </w:tcPr>
          <w:p w14:paraId="069163C6" w14:textId="77777777" w:rsidR="00F8565C" w:rsidRPr="003D733D" w:rsidRDefault="00F8565C" w:rsidP="00F8565C">
            <w:pPr>
              <w:rPr>
                <w:rFonts w:eastAsia="Calibri"/>
              </w:rPr>
            </w:pPr>
            <w:r w:rsidRPr="003D733D">
              <w:rPr>
                <w:rFonts w:eastAsia="Calibri"/>
              </w:rPr>
              <w:t>6.0</w:t>
            </w:r>
          </w:p>
        </w:tc>
      </w:tr>
      <w:tr w:rsidR="00F8565C" w:rsidRPr="003D733D" w14:paraId="24922418" w14:textId="77777777" w:rsidTr="00F8565C">
        <w:trPr>
          <w:trHeight w:val="255"/>
        </w:trPr>
        <w:tc>
          <w:tcPr>
            <w:tcW w:w="1985" w:type="dxa"/>
            <w:tcBorders>
              <w:top w:val="single" w:sz="4" w:space="0" w:color="auto"/>
              <w:left w:val="single" w:sz="4" w:space="0" w:color="auto"/>
              <w:bottom w:val="single" w:sz="4" w:space="0" w:color="auto"/>
              <w:right w:val="single" w:sz="4" w:space="0" w:color="auto"/>
            </w:tcBorders>
            <w:noWrap/>
            <w:vAlign w:val="bottom"/>
            <w:hideMark/>
          </w:tcPr>
          <w:p w14:paraId="1D7FB4FA" w14:textId="77777777" w:rsidR="00F8565C" w:rsidRPr="003D733D" w:rsidRDefault="00F8565C" w:rsidP="00F8565C">
            <w:pPr>
              <w:rPr>
                <w:rFonts w:eastAsia="Calibri"/>
                <w:lang w:eastAsia="en-GB"/>
              </w:rPr>
            </w:pPr>
            <w:r w:rsidRPr="003D733D">
              <w:rPr>
                <w:rFonts w:eastAsia="Calibri"/>
              </w:rPr>
              <w:t>2021-2030</w:t>
            </w:r>
          </w:p>
        </w:tc>
        <w:tc>
          <w:tcPr>
            <w:tcW w:w="992" w:type="dxa"/>
            <w:tcBorders>
              <w:top w:val="single" w:sz="4" w:space="0" w:color="auto"/>
              <w:left w:val="single" w:sz="4" w:space="0" w:color="auto"/>
              <w:bottom w:val="single" w:sz="4" w:space="0" w:color="auto"/>
              <w:right w:val="single" w:sz="4" w:space="0" w:color="auto"/>
            </w:tcBorders>
            <w:noWrap/>
            <w:hideMark/>
          </w:tcPr>
          <w:p w14:paraId="474E89A6" w14:textId="77777777" w:rsidR="00F8565C" w:rsidRPr="003D733D" w:rsidRDefault="00F8565C" w:rsidP="00F8565C">
            <w:pPr>
              <w:rPr>
                <w:rFonts w:eastAsia="Calibri"/>
              </w:rPr>
            </w:pPr>
            <w:r w:rsidRPr="003D733D">
              <w:rPr>
                <w:rFonts w:eastAsia="Calibri"/>
              </w:rPr>
              <w:t>3.5</w:t>
            </w:r>
          </w:p>
        </w:tc>
        <w:tc>
          <w:tcPr>
            <w:tcW w:w="1421" w:type="dxa"/>
            <w:tcBorders>
              <w:top w:val="single" w:sz="4" w:space="0" w:color="auto"/>
              <w:left w:val="single" w:sz="4" w:space="0" w:color="auto"/>
              <w:bottom w:val="single" w:sz="4" w:space="0" w:color="auto"/>
              <w:right w:val="single" w:sz="4" w:space="0" w:color="auto"/>
            </w:tcBorders>
            <w:noWrap/>
            <w:hideMark/>
          </w:tcPr>
          <w:p w14:paraId="2B03934D" w14:textId="77777777" w:rsidR="00F8565C" w:rsidRPr="003D733D" w:rsidRDefault="00F8565C" w:rsidP="00F8565C">
            <w:pPr>
              <w:rPr>
                <w:rFonts w:eastAsia="Calibri"/>
              </w:rPr>
            </w:pPr>
            <w:r w:rsidRPr="003D733D">
              <w:rPr>
                <w:rFonts w:eastAsia="Calibri"/>
              </w:rPr>
              <w:t>4.3</w:t>
            </w:r>
          </w:p>
        </w:tc>
        <w:tc>
          <w:tcPr>
            <w:tcW w:w="1102" w:type="dxa"/>
            <w:tcBorders>
              <w:top w:val="single" w:sz="4" w:space="0" w:color="auto"/>
              <w:left w:val="single" w:sz="4" w:space="0" w:color="auto"/>
              <w:bottom w:val="single" w:sz="4" w:space="0" w:color="auto"/>
              <w:right w:val="single" w:sz="4" w:space="0" w:color="auto"/>
            </w:tcBorders>
            <w:noWrap/>
            <w:hideMark/>
          </w:tcPr>
          <w:p w14:paraId="4336BD53" w14:textId="77777777" w:rsidR="00F8565C" w:rsidRPr="003D733D" w:rsidRDefault="00F8565C" w:rsidP="00F8565C">
            <w:pPr>
              <w:rPr>
                <w:rFonts w:eastAsia="Calibri"/>
              </w:rPr>
            </w:pPr>
            <w:r w:rsidRPr="003D733D">
              <w:rPr>
                <w:rFonts w:eastAsia="Calibri"/>
              </w:rPr>
              <w:t>5.2</w:t>
            </w:r>
          </w:p>
        </w:tc>
        <w:tc>
          <w:tcPr>
            <w:tcW w:w="1069" w:type="dxa"/>
            <w:tcBorders>
              <w:top w:val="single" w:sz="4" w:space="0" w:color="auto"/>
              <w:left w:val="single" w:sz="4" w:space="0" w:color="auto"/>
              <w:bottom w:val="single" w:sz="4" w:space="0" w:color="auto"/>
              <w:right w:val="single" w:sz="4" w:space="0" w:color="auto"/>
            </w:tcBorders>
            <w:noWrap/>
            <w:hideMark/>
          </w:tcPr>
          <w:p w14:paraId="2609F684" w14:textId="77777777" w:rsidR="00F8565C" w:rsidRPr="003D733D" w:rsidRDefault="00F8565C" w:rsidP="00F8565C">
            <w:pPr>
              <w:rPr>
                <w:rFonts w:eastAsia="Calibri"/>
              </w:rPr>
            </w:pPr>
            <w:r w:rsidRPr="003D733D">
              <w:rPr>
                <w:rFonts w:eastAsia="Calibri"/>
              </w:rPr>
              <w:t>3.3</w:t>
            </w:r>
          </w:p>
        </w:tc>
        <w:tc>
          <w:tcPr>
            <w:tcW w:w="1492" w:type="dxa"/>
            <w:tcBorders>
              <w:top w:val="single" w:sz="4" w:space="0" w:color="auto"/>
              <w:left w:val="single" w:sz="4" w:space="0" w:color="auto"/>
              <w:bottom w:val="single" w:sz="4" w:space="0" w:color="auto"/>
              <w:right w:val="single" w:sz="4" w:space="0" w:color="auto"/>
            </w:tcBorders>
            <w:noWrap/>
            <w:hideMark/>
          </w:tcPr>
          <w:p w14:paraId="6742E5DD" w14:textId="77777777" w:rsidR="00F8565C" w:rsidRPr="003D733D" w:rsidRDefault="00F8565C" w:rsidP="00F8565C">
            <w:pPr>
              <w:rPr>
                <w:rFonts w:eastAsia="Calibri"/>
              </w:rPr>
            </w:pPr>
            <w:r w:rsidRPr="003D733D">
              <w:rPr>
                <w:rFonts w:eastAsia="Calibri"/>
              </w:rPr>
              <w:t>4.1</w:t>
            </w:r>
          </w:p>
        </w:tc>
        <w:tc>
          <w:tcPr>
            <w:tcW w:w="1449" w:type="dxa"/>
            <w:tcBorders>
              <w:top w:val="single" w:sz="4" w:space="0" w:color="auto"/>
              <w:left w:val="single" w:sz="4" w:space="0" w:color="auto"/>
              <w:bottom w:val="single" w:sz="4" w:space="0" w:color="auto"/>
              <w:right w:val="single" w:sz="4" w:space="0" w:color="auto"/>
            </w:tcBorders>
            <w:noWrap/>
            <w:hideMark/>
          </w:tcPr>
          <w:p w14:paraId="0C794D2B" w14:textId="77777777" w:rsidR="00F8565C" w:rsidRPr="003D733D" w:rsidRDefault="00F8565C" w:rsidP="00F8565C">
            <w:pPr>
              <w:rPr>
                <w:rFonts w:eastAsia="Calibri"/>
              </w:rPr>
            </w:pPr>
            <w:r w:rsidRPr="003D733D">
              <w:rPr>
                <w:rFonts w:eastAsia="Calibri"/>
              </w:rPr>
              <w:t>5.0</w:t>
            </w:r>
          </w:p>
        </w:tc>
      </w:tr>
      <w:tr w:rsidR="00F8565C" w:rsidRPr="003D733D" w14:paraId="2E9D4DB4" w14:textId="77777777" w:rsidTr="00F8565C">
        <w:trPr>
          <w:trHeight w:val="255"/>
        </w:trPr>
        <w:tc>
          <w:tcPr>
            <w:tcW w:w="1985" w:type="dxa"/>
            <w:tcBorders>
              <w:top w:val="single" w:sz="4" w:space="0" w:color="auto"/>
              <w:left w:val="single" w:sz="4" w:space="0" w:color="auto"/>
              <w:bottom w:val="single" w:sz="4" w:space="0" w:color="auto"/>
              <w:right w:val="single" w:sz="4" w:space="0" w:color="auto"/>
            </w:tcBorders>
            <w:noWrap/>
            <w:vAlign w:val="bottom"/>
            <w:hideMark/>
          </w:tcPr>
          <w:p w14:paraId="157F6C69" w14:textId="77777777" w:rsidR="00F8565C" w:rsidRPr="003D733D" w:rsidRDefault="00F8565C" w:rsidP="00F8565C">
            <w:pPr>
              <w:rPr>
                <w:rFonts w:eastAsia="Calibri"/>
                <w:lang w:eastAsia="en-GB"/>
              </w:rPr>
            </w:pPr>
            <w:r w:rsidRPr="003D733D">
              <w:rPr>
                <w:rFonts w:eastAsia="Calibri"/>
              </w:rPr>
              <w:t>2030-2040</w:t>
            </w:r>
          </w:p>
        </w:tc>
        <w:tc>
          <w:tcPr>
            <w:tcW w:w="992" w:type="dxa"/>
            <w:tcBorders>
              <w:top w:val="single" w:sz="4" w:space="0" w:color="auto"/>
              <w:left w:val="single" w:sz="4" w:space="0" w:color="auto"/>
              <w:bottom w:val="single" w:sz="4" w:space="0" w:color="auto"/>
              <w:right w:val="single" w:sz="4" w:space="0" w:color="auto"/>
            </w:tcBorders>
            <w:noWrap/>
            <w:hideMark/>
          </w:tcPr>
          <w:p w14:paraId="546EBAC1" w14:textId="77777777" w:rsidR="00F8565C" w:rsidRPr="003D733D" w:rsidRDefault="00F8565C" w:rsidP="00F8565C">
            <w:pPr>
              <w:rPr>
                <w:rFonts w:eastAsia="Calibri"/>
              </w:rPr>
            </w:pPr>
            <w:r w:rsidRPr="003D733D">
              <w:rPr>
                <w:rFonts w:eastAsia="Calibri"/>
              </w:rPr>
              <w:t>2.7</w:t>
            </w:r>
          </w:p>
        </w:tc>
        <w:tc>
          <w:tcPr>
            <w:tcW w:w="1421" w:type="dxa"/>
            <w:tcBorders>
              <w:top w:val="single" w:sz="4" w:space="0" w:color="auto"/>
              <w:left w:val="single" w:sz="4" w:space="0" w:color="auto"/>
              <w:bottom w:val="single" w:sz="4" w:space="0" w:color="auto"/>
              <w:right w:val="single" w:sz="4" w:space="0" w:color="auto"/>
            </w:tcBorders>
            <w:noWrap/>
            <w:hideMark/>
          </w:tcPr>
          <w:p w14:paraId="36FF6A50" w14:textId="77777777" w:rsidR="00F8565C" w:rsidRPr="003D733D" w:rsidRDefault="00F8565C" w:rsidP="00F8565C">
            <w:pPr>
              <w:rPr>
                <w:rFonts w:eastAsia="Calibri"/>
              </w:rPr>
            </w:pPr>
            <w:r w:rsidRPr="003D733D">
              <w:rPr>
                <w:rFonts w:eastAsia="Calibri"/>
              </w:rPr>
              <w:t>3.4</w:t>
            </w:r>
          </w:p>
        </w:tc>
        <w:tc>
          <w:tcPr>
            <w:tcW w:w="1102" w:type="dxa"/>
            <w:tcBorders>
              <w:top w:val="single" w:sz="4" w:space="0" w:color="auto"/>
              <w:left w:val="single" w:sz="4" w:space="0" w:color="auto"/>
              <w:bottom w:val="single" w:sz="4" w:space="0" w:color="auto"/>
              <w:right w:val="single" w:sz="4" w:space="0" w:color="auto"/>
            </w:tcBorders>
            <w:noWrap/>
            <w:hideMark/>
          </w:tcPr>
          <w:p w14:paraId="7F9E3DA0" w14:textId="77777777" w:rsidR="00F8565C" w:rsidRPr="003D733D" w:rsidRDefault="00F8565C" w:rsidP="00F8565C">
            <w:pPr>
              <w:rPr>
                <w:rFonts w:eastAsia="Calibri"/>
              </w:rPr>
            </w:pPr>
            <w:r w:rsidRPr="003D733D">
              <w:rPr>
                <w:rFonts w:eastAsia="Calibri"/>
              </w:rPr>
              <w:t>4.1</w:t>
            </w:r>
          </w:p>
        </w:tc>
        <w:tc>
          <w:tcPr>
            <w:tcW w:w="1069" w:type="dxa"/>
            <w:tcBorders>
              <w:top w:val="single" w:sz="4" w:space="0" w:color="auto"/>
              <w:left w:val="single" w:sz="4" w:space="0" w:color="auto"/>
              <w:bottom w:val="single" w:sz="4" w:space="0" w:color="auto"/>
              <w:right w:val="single" w:sz="4" w:space="0" w:color="auto"/>
            </w:tcBorders>
            <w:noWrap/>
            <w:hideMark/>
          </w:tcPr>
          <w:p w14:paraId="74AF16A9" w14:textId="77777777" w:rsidR="00F8565C" w:rsidRPr="003D733D" w:rsidRDefault="00F8565C" w:rsidP="00F8565C">
            <w:pPr>
              <w:rPr>
                <w:rFonts w:eastAsia="Calibri"/>
              </w:rPr>
            </w:pPr>
            <w:r w:rsidRPr="003D733D">
              <w:rPr>
                <w:rFonts w:eastAsia="Calibri"/>
              </w:rPr>
              <w:t>2.6</w:t>
            </w:r>
          </w:p>
        </w:tc>
        <w:tc>
          <w:tcPr>
            <w:tcW w:w="1492" w:type="dxa"/>
            <w:tcBorders>
              <w:top w:val="single" w:sz="4" w:space="0" w:color="auto"/>
              <w:left w:val="single" w:sz="4" w:space="0" w:color="auto"/>
              <w:bottom w:val="single" w:sz="4" w:space="0" w:color="auto"/>
              <w:right w:val="single" w:sz="4" w:space="0" w:color="auto"/>
            </w:tcBorders>
            <w:noWrap/>
            <w:hideMark/>
          </w:tcPr>
          <w:p w14:paraId="7C055531" w14:textId="77777777" w:rsidR="00F8565C" w:rsidRPr="003D733D" w:rsidRDefault="00F8565C" w:rsidP="00F8565C">
            <w:pPr>
              <w:rPr>
                <w:rFonts w:eastAsia="Calibri"/>
              </w:rPr>
            </w:pPr>
            <w:r w:rsidRPr="003D733D">
              <w:rPr>
                <w:rFonts w:eastAsia="Calibri"/>
              </w:rPr>
              <w:t>3.3</w:t>
            </w:r>
          </w:p>
        </w:tc>
        <w:tc>
          <w:tcPr>
            <w:tcW w:w="1449" w:type="dxa"/>
            <w:tcBorders>
              <w:top w:val="single" w:sz="4" w:space="0" w:color="auto"/>
              <w:left w:val="single" w:sz="4" w:space="0" w:color="auto"/>
              <w:bottom w:val="single" w:sz="4" w:space="0" w:color="auto"/>
              <w:right w:val="single" w:sz="4" w:space="0" w:color="auto"/>
            </w:tcBorders>
            <w:noWrap/>
            <w:hideMark/>
          </w:tcPr>
          <w:p w14:paraId="73A2261E" w14:textId="77777777" w:rsidR="00F8565C" w:rsidRPr="003D733D" w:rsidRDefault="00F8565C" w:rsidP="00F8565C">
            <w:pPr>
              <w:rPr>
                <w:rFonts w:eastAsia="Calibri"/>
              </w:rPr>
            </w:pPr>
            <w:r w:rsidRPr="003D733D">
              <w:rPr>
                <w:rFonts w:eastAsia="Calibri"/>
              </w:rPr>
              <w:t>3.9</w:t>
            </w:r>
          </w:p>
        </w:tc>
      </w:tr>
    </w:tbl>
    <w:p w14:paraId="63BAAF28" w14:textId="77777777" w:rsidR="00F8565C" w:rsidRPr="003D733D" w:rsidRDefault="00F8565C" w:rsidP="00F8565C">
      <w:pPr>
        <w:rPr>
          <w:rFonts w:eastAsia="Calibri"/>
        </w:rPr>
      </w:pPr>
      <w:r w:rsidRPr="003D733D">
        <w:rPr>
          <w:rFonts w:ascii="Sylfaen" w:eastAsia="Calibri" w:hAnsi="Sylfaen" w:cs="Sylfaen"/>
        </w:rPr>
        <w:t>წყარო</w:t>
      </w:r>
      <w:r w:rsidRPr="003D733D">
        <w:rPr>
          <w:rFonts w:eastAsia="Calibri"/>
        </w:rPr>
        <w:t xml:space="preserve">: </w:t>
      </w:r>
      <w:r w:rsidRPr="003D733D">
        <w:rPr>
          <w:rFonts w:ascii="Sylfaen" w:eastAsia="Calibri" w:hAnsi="Sylfaen" w:cs="Sylfaen"/>
        </w:rPr>
        <w:t>კონსულტანტი</w:t>
      </w:r>
    </w:p>
    <w:p w14:paraId="0BDE774A" w14:textId="77777777" w:rsidR="00F8565C" w:rsidRPr="003D733D" w:rsidRDefault="00F8565C" w:rsidP="00F8565C">
      <w:pPr>
        <w:rPr>
          <w:rFonts w:eastAsia="Calibri"/>
        </w:rPr>
      </w:pPr>
    </w:p>
    <w:p w14:paraId="7092F89E" w14:textId="77777777" w:rsidR="00F8565C" w:rsidRPr="003D733D" w:rsidRDefault="00F8565C" w:rsidP="00F8565C">
      <w:pPr>
        <w:rPr>
          <w:rFonts w:eastAsia="Calibri"/>
        </w:rPr>
      </w:pPr>
      <w:r w:rsidRPr="003D733D">
        <w:rPr>
          <w:rFonts w:ascii="Sylfaen" w:eastAsia="Calibri" w:hAnsi="Sylfaen" w:cs="Sylfaen"/>
        </w:rPr>
        <w:t>აღნიშნული</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ტემპები</w:t>
      </w:r>
      <w:r w:rsidRPr="003D733D">
        <w:rPr>
          <w:rFonts w:eastAsia="Calibri"/>
        </w:rPr>
        <w:t xml:space="preserve"> </w:t>
      </w:r>
      <w:r w:rsidRPr="003D733D">
        <w:rPr>
          <w:rFonts w:ascii="Sylfaen" w:eastAsia="Calibri" w:hAnsi="Sylfaen" w:cs="Sylfaen"/>
        </w:rPr>
        <w:t>გავრცელებულია</w:t>
      </w:r>
      <w:r w:rsidRPr="003D733D">
        <w:rPr>
          <w:rFonts w:eastAsia="Calibri"/>
        </w:rPr>
        <w:t xml:space="preserve"> </w:t>
      </w:r>
      <w:r w:rsidRPr="003D733D">
        <w:rPr>
          <w:rFonts w:ascii="Sylfaen" w:eastAsia="Calibri" w:hAnsi="Sylfaen" w:cs="Sylfaen"/>
        </w:rPr>
        <w:t>ყველა</w:t>
      </w:r>
      <w:r w:rsidRPr="003D733D">
        <w:rPr>
          <w:rFonts w:eastAsia="Calibri"/>
        </w:rPr>
        <w:t xml:space="preserve"> </w:t>
      </w:r>
      <w:r w:rsidRPr="003D733D">
        <w:rPr>
          <w:rFonts w:ascii="Sylfaen" w:eastAsia="Calibri" w:hAnsi="Sylfaen" w:cs="Sylfaen"/>
        </w:rPr>
        <w:t>კლასის</w:t>
      </w:r>
      <w:r w:rsidRPr="003D733D">
        <w:rPr>
          <w:rFonts w:eastAsia="Calibri"/>
        </w:rPr>
        <w:t xml:space="preserve"> </w:t>
      </w: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საშუალებებზე</w:t>
      </w:r>
      <w:r w:rsidRPr="003D733D">
        <w:rPr>
          <w:rFonts w:eastAsia="Calibri"/>
        </w:rPr>
        <w:t>.</w:t>
      </w:r>
    </w:p>
    <w:p w14:paraId="5158C214" w14:textId="77777777" w:rsidR="00F8565C" w:rsidRPr="003D733D" w:rsidRDefault="00F8565C" w:rsidP="00F8565C">
      <w:pPr>
        <w:rPr>
          <w:rFonts w:eastAsia="Calibri"/>
        </w:rPr>
      </w:pPr>
    </w:p>
    <w:p w14:paraId="551A5CB2" w14:textId="094B8696" w:rsidR="00F8565C" w:rsidRPr="003D733D" w:rsidRDefault="00F8565C" w:rsidP="000B139D">
      <w:pPr>
        <w:pStyle w:val="Heading3"/>
      </w:pPr>
      <w:bookmarkStart w:id="74" w:name="_Toc529977361"/>
      <w:bookmarkStart w:id="75" w:name="_Toc494412113"/>
      <w:bookmarkStart w:id="76" w:name="_Toc494411972"/>
      <w:bookmarkStart w:id="77" w:name="_Toc494297157"/>
      <w:bookmarkStart w:id="78" w:name="_Toc359661748"/>
      <w:bookmarkStart w:id="79" w:name="_Toc1581500"/>
      <w:r w:rsidRPr="003D733D">
        <w:t>4.</w:t>
      </w:r>
      <w:r w:rsidR="000B139D">
        <w:rPr>
          <w:rFonts w:ascii="Sylfaen" w:hAnsi="Sylfaen"/>
          <w:lang w:val="ka-GE"/>
        </w:rPr>
        <w:t>7.3</w:t>
      </w:r>
      <w:r w:rsidRPr="003D733D">
        <w:tab/>
      </w:r>
      <w:r w:rsidRPr="003D733D">
        <w:rPr>
          <w:rFonts w:ascii="Sylfaen" w:hAnsi="Sylfaen" w:cs="Sylfaen"/>
        </w:rPr>
        <w:t>შემოთავაზებული</w:t>
      </w:r>
      <w:r w:rsidRPr="003D733D">
        <w:t xml:space="preserve"> </w:t>
      </w:r>
      <w:r w:rsidRPr="003D733D">
        <w:rPr>
          <w:rFonts w:ascii="Sylfaen" w:hAnsi="Sylfaen" w:cs="Sylfaen"/>
        </w:rPr>
        <w:t>ახალი</w:t>
      </w:r>
      <w:r w:rsidRPr="003D733D">
        <w:t xml:space="preserve"> (</w:t>
      </w:r>
      <w:r w:rsidRPr="003D733D">
        <w:rPr>
          <w:rFonts w:ascii="Sylfaen" w:hAnsi="Sylfaen" w:cs="Sylfaen"/>
        </w:rPr>
        <w:t>აცდენილი</w:t>
      </w:r>
      <w:r w:rsidRPr="003D733D">
        <w:t xml:space="preserve">) </w:t>
      </w:r>
      <w:r w:rsidRPr="003D733D">
        <w:rPr>
          <w:rFonts w:ascii="Sylfaen" w:hAnsi="Sylfaen" w:cs="Sylfaen"/>
        </w:rPr>
        <w:t>სქემა</w:t>
      </w:r>
      <w:r w:rsidRPr="003D733D">
        <w:t xml:space="preserve">: </w:t>
      </w:r>
      <w:r w:rsidRPr="003D733D">
        <w:rPr>
          <w:rFonts w:ascii="Sylfaen" w:hAnsi="Sylfaen" w:cs="Sylfaen"/>
        </w:rPr>
        <w:t>თელავი</w:t>
      </w:r>
      <w:r w:rsidRPr="003D733D">
        <w:t>-</w:t>
      </w:r>
      <w:r w:rsidRPr="003D733D">
        <w:rPr>
          <w:rFonts w:ascii="Sylfaen" w:hAnsi="Sylfaen" w:cs="Sylfaen"/>
        </w:rPr>
        <w:t>ბაკურციხე</w:t>
      </w:r>
      <w:r w:rsidRPr="003D733D">
        <w:t>-</w:t>
      </w:r>
      <w:r w:rsidRPr="003D733D">
        <w:rPr>
          <w:rFonts w:ascii="Sylfaen" w:hAnsi="Sylfaen" w:cs="Sylfaen"/>
        </w:rPr>
        <w:t>წნორი</w:t>
      </w:r>
      <w:bookmarkEnd w:id="74"/>
      <w:bookmarkEnd w:id="75"/>
      <w:bookmarkEnd w:id="76"/>
      <w:bookmarkEnd w:id="77"/>
      <w:bookmarkEnd w:id="79"/>
    </w:p>
    <w:p w14:paraId="6F62F3ED" w14:textId="77777777" w:rsidR="00F8565C" w:rsidRPr="003D733D" w:rsidRDefault="00F8565C" w:rsidP="000B139D">
      <w:pPr>
        <w:spacing w:before="120" w:after="120"/>
      </w:pPr>
      <w:r w:rsidRPr="003D733D">
        <w:rPr>
          <w:rFonts w:ascii="Sylfaen" w:hAnsi="Sylfaen" w:cs="Sylfaen"/>
        </w:rPr>
        <w:t>თელავი</w:t>
      </w:r>
      <w:r w:rsidRPr="003D733D">
        <w:t>-</w:t>
      </w:r>
      <w:r w:rsidRPr="003D733D">
        <w:rPr>
          <w:rFonts w:ascii="Sylfaen" w:hAnsi="Sylfaen" w:cs="Sylfaen"/>
        </w:rPr>
        <w:t>ბაკურციხე</w:t>
      </w:r>
      <w:r w:rsidRPr="003D733D">
        <w:t>-</w:t>
      </w:r>
      <w:r w:rsidRPr="003D733D">
        <w:rPr>
          <w:rFonts w:ascii="Sylfaen" w:hAnsi="Sylfaen" w:cs="Sylfaen"/>
        </w:rPr>
        <w:t>წნორის</w:t>
      </w:r>
      <w:r w:rsidRPr="003D733D">
        <w:t xml:space="preserve"> </w:t>
      </w:r>
      <w:r w:rsidRPr="003D733D">
        <w:rPr>
          <w:rFonts w:ascii="Sylfaen" w:hAnsi="Sylfaen" w:cs="Sylfaen"/>
        </w:rPr>
        <w:t>გზის</w:t>
      </w:r>
      <w:r w:rsidRPr="003D733D">
        <w:t xml:space="preserve"> </w:t>
      </w:r>
      <w:r w:rsidRPr="003D733D">
        <w:rPr>
          <w:rFonts w:ascii="Sylfaen" w:hAnsi="Sylfaen" w:cs="Sylfaen"/>
        </w:rPr>
        <w:t>შემოთავაზებული</w:t>
      </w:r>
      <w:r w:rsidRPr="003D733D">
        <w:t xml:space="preserve"> </w:t>
      </w:r>
      <w:r w:rsidRPr="003D733D">
        <w:rPr>
          <w:rFonts w:ascii="Sylfaen" w:hAnsi="Sylfaen" w:cs="Sylfaen"/>
        </w:rPr>
        <w:t>მოდერნიზაციის</w:t>
      </w:r>
      <w:r w:rsidRPr="003D733D">
        <w:t xml:space="preserve"> </w:t>
      </w:r>
      <w:r w:rsidRPr="003D733D">
        <w:rPr>
          <w:rFonts w:ascii="Sylfaen" w:hAnsi="Sylfaen" w:cs="Sylfaen"/>
        </w:rPr>
        <w:t>პროექტი</w:t>
      </w:r>
      <w:r w:rsidRPr="003D733D">
        <w:t xml:space="preserve"> </w:t>
      </w:r>
      <w:r w:rsidRPr="003D733D">
        <w:rPr>
          <w:rFonts w:ascii="Sylfaen" w:hAnsi="Sylfaen" w:cs="Sylfaen"/>
        </w:rPr>
        <w:t>მოიცავს</w:t>
      </w:r>
      <w:r w:rsidRPr="003D733D">
        <w:t xml:space="preserve"> </w:t>
      </w:r>
      <w:bookmarkStart w:id="80" w:name="_Toc494412114"/>
      <w:bookmarkStart w:id="81" w:name="_Toc494411973"/>
      <w:bookmarkStart w:id="82" w:name="_Toc494297158"/>
      <w:r w:rsidRPr="003D733D">
        <w:rPr>
          <w:rFonts w:ascii="Sylfaen" w:hAnsi="Sylfaen" w:cs="Sylfaen"/>
        </w:rPr>
        <w:t>სრულიად</w:t>
      </w:r>
      <w:r w:rsidRPr="003D733D">
        <w:t xml:space="preserve"> </w:t>
      </w:r>
      <w:r w:rsidRPr="003D733D">
        <w:rPr>
          <w:rFonts w:ascii="Sylfaen" w:hAnsi="Sylfaen" w:cs="Sylfaen"/>
        </w:rPr>
        <w:t>ახალ</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გზისგან</w:t>
      </w:r>
      <w:r w:rsidRPr="003D733D">
        <w:t xml:space="preserve"> </w:t>
      </w:r>
      <w:r w:rsidRPr="003D733D">
        <w:rPr>
          <w:rFonts w:ascii="Sylfaen" w:hAnsi="Sylfaen" w:cs="Sylfaen"/>
        </w:rPr>
        <w:t>აცდენილ</w:t>
      </w:r>
      <w:r w:rsidRPr="003D733D">
        <w:t xml:space="preserve"> (</w:t>
      </w:r>
      <w:r w:rsidRPr="003D733D">
        <w:rPr>
          <w:rFonts w:ascii="Sylfaen" w:hAnsi="Sylfaen" w:cs="Sylfaen"/>
        </w:rPr>
        <w:t>ალტერნატიულ</w:t>
      </w:r>
      <w:r w:rsidRPr="003D733D">
        <w:t xml:space="preserve">) </w:t>
      </w:r>
      <w:r w:rsidRPr="003D733D">
        <w:rPr>
          <w:rFonts w:ascii="Sylfaen" w:hAnsi="Sylfaen" w:cs="Sylfaen"/>
        </w:rPr>
        <w:t>მარშრუტს</w:t>
      </w:r>
      <w:r w:rsidRPr="003D733D">
        <w:t xml:space="preserve">, </w:t>
      </w:r>
      <w:r w:rsidRPr="003D733D">
        <w:rPr>
          <w:rFonts w:ascii="Sylfaen" w:hAnsi="Sylfaen" w:cs="Sylfaen"/>
        </w:rPr>
        <w:t>რომელიც</w:t>
      </w:r>
      <w:r w:rsidRPr="003D733D">
        <w:t xml:space="preserve"> </w:t>
      </w:r>
      <w:r w:rsidRPr="003D733D">
        <w:rPr>
          <w:rFonts w:ascii="Sylfaen" w:hAnsi="Sylfaen" w:cs="Sylfaen"/>
        </w:rPr>
        <w:t>გადის</w:t>
      </w:r>
      <w:r w:rsidRPr="003D733D">
        <w:t xml:space="preserve"> </w:t>
      </w:r>
      <w:r w:rsidRPr="003D733D">
        <w:rPr>
          <w:rFonts w:ascii="Sylfaen" w:hAnsi="Sylfaen" w:cs="Sylfaen"/>
        </w:rPr>
        <w:t>თელავის</w:t>
      </w:r>
      <w:r w:rsidRPr="003D733D">
        <w:t xml:space="preserve"> </w:t>
      </w:r>
      <w:r w:rsidRPr="003D733D">
        <w:rPr>
          <w:rFonts w:ascii="Sylfaen" w:hAnsi="Sylfaen" w:cs="Sylfaen"/>
        </w:rPr>
        <w:t>დასავლეთსა</w:t>
      </w:r>
      <w:r w:rsidRPr="003D733D">
        <w:t xml:space="preserve"> </w:t>
      </w:r>
      <w:r w:rsidRPr="003D733D">
        <w:rPr>
          <w:rFonts w:ascii="Sylfaen" w:hAnsi="Sylfaen" w:cs="Sylfaen"/>
        </w:rPr>
        <w:t>და</w:t>
      </w:r>
      <w:r w:rsidRPr="003D733D">
        <w:t xml:space="preserve"> </w:t>
      </w:r>
      <w:r w:rsidRPr="003D733D">
        <w:rPr>
          <w:rFonts w:ascii="Sylfaen" w:hAnsi="Sylfaen" w:cs="Sylfaen"/>
        </w:rPr>
        <w:t>წნორის</w:t>
      </w:r>
      <w:r w:rsidRPr="003D733D">
        <w:t xml:space="preserve"> </w:t>
      </w:r>
      <w:r w:rsidRPr="003D733D">
        <w:rPr>
          <w:rFonts w:ascii="Sylfaen" w:hAnsi="Sylfaen" w:cs="Sylfaen"/>
        </w:rPr>
        <w:t>აღმოსავლეთს</w:t>
      </w:r>
      <w:r w:rsidRPr="003D733D">
        <w:t xml:space="preserve"> </w:t>
      </w:r>
      <w:r w:rsidRPr="003D733D">
        <w:rPr>
          <w:rFonts w:ascii="Sylfaen" w:hAnsi="Sylfaen" w:cs="Sylfaen"/>
        </w:rPr>
        <w:t>შორის</w:t>
      </w:r>
      <w:r w:rsidRPr="003D733D">
        <w:t xml:space="preserve">. </w:t>
      </w:r>
    </w:p>
    <w:p w14:paraId="4234AE14" w14:textId="77777777" w:rsidR="00F8565C" w:rsidRPr="003D733D" w:rsidRDefault="00F8565C" w:rsidP="000B139D">
      <w:pPr>
        <w:spacing w:before="120" w:after="120"/>
      </w:pPr>
      <w:r w:rsidRPr="003D733D">
        <w:rPr>
          <w:rFonts w:ascii="Sylfaen" w:hAnsi="Sylfaen" w:cs="Sylfaen"/>
        </w:rPr>
        <w:t>აღნიშნული</w:t>
      </w:r>
      <w:r w:rsidRPr="003D733D">
        <w:t xml:space="preserve"> </w:t>
      </w:r>
      <w:r w:rsidRPr="003D733D">
        <w:rPr>
          <w:rFonts w:ascii="Sylfaen" w:hAnsi="Sylfaen" w:cs="Sylfaen"/>
        </w:rPr>
        <w:t>ალტერნატიული</w:t>
      </w:r>
      <w:r w:rsidRPr="003D733D">
        <w:t xml:space="preserve"> </w:t>
      </w:r>
      <w:r w:rsidRPr="003D733D">
        <w:rPr>
          <w:rFonts w:ascii="Sylfaen" w:hAnsi="Sylfaen" w:cs="Sylfaen"/>
        </w:rPr>
        <w:t>მარშრუტის</w:t>
      </w:r>
      <w:r w:rsidRPr="003D733D">
        <w:t xml:space="preserve"> </w:t>
      </w:r>
      <w:r w:rsidRPr="003D733D">
        <w:rPr>
          <w:rFonts w:ascii="Sylfaen" w:hAnsi="Sylfaen" w:cs="Sylfaen"/>
        </w:rPr>
        <w:t>მომცველი</w:t>
      </w:r>
      <w:r w:rsidRPr="003D733D">
        <w:t xml:space="preserve"> </w:t>
      </w:r>
      <w:r w:rsidRPr="003D733D">
        <w:rPr>
          <w:rFonts w:ascii="Sylfaen" w:hAnsi="Sylfaen" w:cs="Sylfaen"/>
        </w:rPr>
        <w:t>პროექტი</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დაიყოს</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სამ</w:t>
      </w:r>
      <w:r w:rsidRPr="003D733D">
        <w:t xml:space="preserve"> </w:t>
      </w:r>
      <w:r w:rsidRPr="003D733D">
        <w:rPr>
          <w:rFonts w:ascii="Sylfaen" w:hAnsi="Sylfaen" w:cs="Sylfaen"/>
        </w:rPr>
        <w:t>კომპონენტად</w:t>
      </w:r>
      <w:r w:rsidRPr="003D733D">
        <w:t>:</w:t>
      </w:r>
    </w:p>
    <w:p w14:paraId="7A070D27" w14:textId="77777777" w:rsidR="00F8565C" w:rsidRPr="003D733D" w:rsidRDefault="00F8565C" w:rsidP="000B139D">
      <w:pPr>
        <w:spacing w:before="120" w:after="120"/>
      </w:pPr>
      <w:r w:rsidRPr="003D733D">
        <w:rPr>
          <w:rFonts w:ascii="Sylfaen" w:hAnsi="Sylfaen" w:cs="Sylfaen"/>
        </w:rPr>
        <w:t>თელავი</w:t>
      </w:r>
      <w:r w:rsidRPr="003D733D">
        <w:t>-</w:t>
      </w:r>
      <w:r w:rsidRPr="003D733D">
        <w:rPr>
          <w:rFonts w:ascii="Sylfaen" w:hAnsi="Sylfaen" w:cs="Sylfaen"/>
        </w:rPr>
        <w:t>ჩუმლაყი</w:t>
      </w:r>
    </w:p>
    <w:p w14:paraId="7B9093D7" w14:textId="77777777" w:rsidR="00F8565C" w:rsidRPr="003D733D" w:rsidRDefault="00F8565C" w:rsidP="000B139D">
      <w:pPr>
        <w:spacing w:before="120" w:after="120"/>
      </w:pPr>
      <w:r w:rsidRPr="003D733D">
        <w:rPr>
          <w:rFonts w:ascii="Sylfaen" w:hAnsi="Sylfaen" w:cs="Sylfaen"/>
        </w:rPr>
        <w:t>ჩუმლაყი</w:t>
      </w:r>
      <w:r w:rsidRPr="003D733D">
        <w:t>-</w:t>
      </w:r>
      <w:r w:rsidRPr="003D733D">
        <w:rPr>
          <w:rFonts w:ascii="Sylfaen" w:hAnsi="Sylfaen" w:cs="Sylfaen"/>
        </w:rPr>
        <w:t>ბაკურციხე</w:t>
      </w:r>
    </w:p>
    <w:p w14:paraId="748496EA" w14:textId="77777777" w:rsidR="00F8565C" w:rsidRPr="003D733D" w:rsidRDefault="00F8565C" w:rsidP="000B139D">
      <w:pPr>
        <w:spacing w:before="120" w:after="120"/>
      </w:pPr>
      <w:r w:rsidRPr="003D733D">
        <w:rPr>
          <w:rFonts w:ascii="Sylfaen" w:hAnsi="Sylfaen" w:cs="Sylfaen"/>
        </w:rPr>
        <w:t>ბაკურციხე</w:t>
      </w:r>
      <w:r w:rsidRPr="003D733D">
        <w:t>-</w:t>
      </w:r>
      <w:r w:rsidRPr="003D733D">
        <w:rPr>
          <w:rFonts w:ascii="Sylfaen" w:hAnsi="Sylfaen" w:cs="Sylfaen"/>
        </w:rPr>
        <w:t>წნორი</w:t>
      </w:r>
    </w:p>
    <w:p w14:paraId="1D9E79EF" w14:textId="77777777" w:rsidR="00F8565C" w:rsidRPr="003D733D" w:rsidRDefault="00F8565C" w:rsidP="000B139D">
      <w:pPr>
        <w:spacing w:before="120" w:after="120"/>
      </w:pPr>
      <w:r w:rsidRPr="003D733D">
        <w:rPr>
          <w:rFonts w:ascii="Sylfaen" w:hAnsi="Sylfaen" w:cs="Sylfaen"/>
        </w:rPr>
        <w:t>ამ</w:t>
      </w:r>
      <w:r w:rsidRPr="003D733D">
        <w:t xml:space="preserve"> </w:t>
      </w:r>
      <w:r w:rsidRPr="003D733D">
        <w:rPr>
          <w:rFonts w:ascii="Sylfaen" w:hAnsi="Sylfaen" w:cs="Sylfaen"/>
        </w:rPr>
        <w:t>კომპონენტებს</w:t>
      </w:r>
      <w:r w:rsidRPr="003D733D">
        <w:t xml:space="preserve"> </w:t>
      </w:r>
      <w:r w:rsidRPr="003D733D">
        <w:rPr>
          <w:rFonts w:ascii="Sylfaen" w:hAnsi="Sylfaen" w:cs="Sylfaen"/>
        </w:rPr>
        <w:t>გააჩნიათ</w:t>
      </w:r>
      <w:r w:rsidRPr="003D733D">
        <w:t xml:space="preserve"> </w:t>
      </w:r>
      <w:r w:rsidRPr="003D733D">
        <w:rPr>
          <w:rFonts w:ascii="Sylfaen" w:hAnsi="Sylfaen" w:cs="Sylfaen"/>
        </w:rPr>
        <w:t>შემდეგი</w:t>
      </w:r>
      <w:r w:rsidRPr="003D733D">
        <w:t xml:space="preserve"> </w:t>
      </w:r>
      <w:r w:rsidRPr="003D733D">
        <w:rPr>
          <w:rFonts w:ascii="Sylfaen" w:hAnsi="Sylfaen" w:cs="Sylfaen"/>
        </w:rPr>
        <w:t>ძირითადი</w:t>
      </w:r>
      <w:r w:rsidRPr="003D733D">
        <w:t xml:space="preserve"> </w:t>
      </w:r>
      <w:r w:rsidRPr="003D733D">
        <w:rPr>
          <w:rFonts w:ascii="Sylfaen" w:hAnsi="Sylfaen" w:cs="Sylfaen"/>
        </w:rPr>
        <w:t>ალტერნატიული</w:t>
      </w:r>
      <w:r w:rsidRPr="003D733D">
        <w:t xml:space="preserve"> </w:t>
      </w:r>
      <w:r w:rsidRPr="003D733D">
        <w:rPr>
          <w:rFonts w:ascii="Sylfaen" w:hAnsi="Sylfaen" w:cs="Sylfaen"/>
        </w:rPr>
        <w:t>ვარიანტები</w:t>
      </w:r>
      <w:r w:rsidRPr="003D733D">
        <w:t>:</w:t>
      </w:r>
    </w:p>
    <w:p w14:paraId="63B88117" w14:textId="77777777" w:rsidR="00F8565C" w:rsidRPr="003D733D" w:rsidRDefault="00F8565C" w:rsidP="000B139D">
      <w:pPr>
        <w:spacing w:before="120" w:after="120"/>
      </w:pPr>
      <w:r w:rsidRPr="003D733D">
        <w:rPr>
          <w:rFonts w:ascii="Sylfaen" w:hAnsi="Sylfaen" w:cs="Sylfaen"/>
        </w:rPr>
        <w:t>თელავი</w:t>
      </w:r>
      <w:r w:rsidRPr="003D733D">
        <w:t>-</w:t>
      </w:r>
      <w:r w:rsidRPr="003D733D">
        <w:rPr>
          <w:rFonts w:ascii="Sylfaen" w:hAnsi="Sylfaen" w:cs="Sylfaen"/>
        </w:rPr>
        <w:t>ჩუმლაყი</w:t>
      </w:r>
      <w:r w:rsidRPr="003D733D">
        <w:t>: (</w:t>
      </w:r>
      <w:r w:rsidRPr="003D733D">
        <w:rPr>
          <w:rFonts w:ascii="Sylfaen" w:hAnsi="Sylfaen" w:cs="Sylfaen"/>
        </w:rPr>
        <w:t>ა</w:t>
      </w:r>
      <w:r w:rsidRPr="003D733D">
        <w:t>) “</w:t>
      </w:r>
      <w:r w:rsidRPr="003D733D">
        <w:rPr>
          <w:rFonts w:ascii="Sylfaen" w:hAnsi="Sylfaen" w:cs="Sylfaen"/>
        </w:rPr>
        <w:t>ჩრდილოეთი</w:t>
      </w:r>
      <w:r w:rsidRPr="003D733D">
        <w:t>”, (</w:t>
      </w:r>
      <w:r w:rsidRPr="003D733D">
        <w:rPr>
          <w:rFonts w:ascii="Sylfaen" w:hAnsi="Sylfaen" w:cs="Sylfaen"/>
        </w:rPr>
        <w:t>ბ</w:t>
      </w:r>
      <w:r w:rsidRPr="003D733D">
        <w:t>) “</w:t>
      </w:r>
      <w:r w:rsidRPr="003D733D">
        <w:rPr>
          <w:rFonts w:ascii="Sylfaen" w:hAnsi="Sylfaen" w:cs="Sylfaen"/>
        </w:rPr>
        <w:t>სამხრეთი</w:t>
      </w:r>
      <w:r w:rsidRPr="003D733D">
        <w:t>”, (</w:t>
      </w:r>
      <w:r w:rsidRPr="003D733D">
        <w:rPr>
          <w:rFonts w:ascii="Sylfaen" w:hAnsi="Sylfaen" w:cs="Sylfaen"/>
        </w:rPr>
        <w:t>გ</w:t>
      </w:r>
      <w:r w:rsidRPr="003D733D">
        <w:t>) “</w:t>
      </w:r>
      <w:r w:rsidRPr="003D733D">
        <w:rPr>
          <w:rFonts w:ascii="Sylfaen" w:hAnsi="Sylfaen" w:cs="Sylfaen"/>
        </w:rPr>
        <w:t>სამხრეთი</w:t>
      </w:r>
      <w:r w:rsidRPr="003D733D">
        <w:t>-1”</w:t>
      </w:r>
    </w:p>
    <w:p w14:paraId="383D4332" w14:textId="77777777" w:rsidR="00F8565C" w:rsidRPr="003D733D" w:rsidRDefault="00F8565C" w:rsidP="000B139D">
      <w:pPr>
        <w:spacing w:before="120" w:after="120"/>
      </w:pPr>
      <w:r w:rsidRPr="003D733D">
        <w:rPr>
          <w:rFonts w:ascii="Sylfaen" w:hAnsi="Sylfaen" w:cs="Sylfaen"/>
        </w:rPr>
        <w:t>ჩუმლაყი</w:t>
      </w:r>
      <w:r w:rsidRPr="003D733D">
        <w:t>-</w:t>
      </w:r>
      <w:r w:rsidRPr="003D733D">
        <w:rPr>
          <w:rFonts w:ascii="Sylfaen" w:hAnsi="Sylfaen" w:cs="Sylfaen"/>
        </w:rPr>
        <w:t>ბაკურციხე</w:t>
      </w:r>
      <w:r w:rsidRPr="003D733D">
        <w:t>: (</w:t>
      </w:r>
      <w:r w:rsidRPr="003D733D">
        <w:rPr>
          <w:rFonts w:ascii="Sylfaen" w:hAnsi="Sylfaen" w:cs="Sylfaen"/>
        </w:rPr>
        <w:t>ა</w:t>
      </w:r>
      <w:r w:rsidRPr="003D733D">
        <w:t>) “</w:t>
      </w:r>
      <w:r w:rsidRPr="003D733D">
        <w:rPr>
          <w:rFonts w:ascii="Sylfaen" w:hAnsi="Sylfaen" w:cs="Sylfaen"/>
        </w:rPr>
        <w:t>ჩრდილოეთი</w:t>
      </w:r>
      <w:r w:rsidRPr="003D733D">
        <w:t>”</w:t>
      </w:r>
    </w:p>
    <w:p w14:paraId="2147A7F6" w14:textId="77777777" w:rsidR="00F8565C" w:rsidRPr="003D733D" w:rsidRDefault="00F8565C" w:rsidP="000B139D">
      <w:pPr>
        <w:spacing w:before="120" w:after="120"/>
      </w:pPr>
      <w:r w:rsidRPr="003D733D">
        <w:rPr>
          <w:rFonts w:ascii="Sylfaen" w:hAnsi="Sylfaen" w:cs="Sylfaen"/>
        </w:rPr>
        <w:t>ბაკურციხე</w:t>
      </w:r>
      <w:r w:rsidRPr="003D733D">
        <w:t xml:space="preserve"> </w:t>
      </w:r>
      <w:r w:rsidRPr="003D733D">
        <w:rPr>
          <w:rFonts w:ascii="Sylfaen" w:hAnsi="Sylfaen" w:cs="Sylfaen"/>
        </w:rPr>
        <w:t>წნორი</w:t>
      </w:r>
      <w:r w:rsidRPr="003D733D">
        <w:t>: (</w:t>
      </w:r>
      <w:r w:rsidRPr="003D733D">
        <w:rPr>
          <w:rFonts w:ascii="Sylfaen" w:hAnsi="Sylfaen" w:cs="Sylfaen"/>
        </w:rPr>
        <w:t>ა</w:t>
      </w:r>
      <w:r w:rsidRPr="003D733D">
        <w:t>) “</w:t>
      </w:r>
      <w:r w:rsidRPr="003D733D">
        <w:rPr>
          <w:rFonts w:ascii="Sylfaen" w:hAnsi="Sylfaen" w:cs="Sylfaen"/>
        </w:rPr>
        <w:t>ჩრდილოეთი</w:t>
      </w:r>
      <w:r w:rsidRPr="003D733D">
        <w:t>”, (</w:t>
      </w:r>
      <w:r w:rsidRPr="003D733D">
        <w:rPr>
          <w:rFonts w:ascii="Sylfaen" w:hAnsi="Sylfaen" w:cs="Sylfaen"/>
        </w:rPr>
        <w:t>ბ</w:t>
      </w:r>
      <w:r w:rsidRPr="003D733D">
        <w:t>) “</w:t>
      </w:r>
      <w:r w:rsidRPr="003D733D">
        <w:rPr>
          <w:rFonts w:ascii="Sylfaen" w:hAnsi="Sylfaen" w:cs="Sylfaen"/>
        </w:rPr>
        <w:t>ჩრდილოეთი</w:t>
      </w:r>
      <w:r w:rsidRPr="003D733D">
        <w:t>-1”, (</w:t>
      </w:r>
      <w:r w:rsidRPr="003D733D">
        <w:rPr>
          <w:rFonts w:ascii="Sylfaen" w:hAnsi="Sylfaen" w:cs="Sylfaen"/>
        </w:rPr>
        <w:t>გ</w:t>
      </w:r>
      <w:r w:rsidRPr="003D733D">
        <w:t>) “</w:t>
      </w:r>
      <w:r w:rsidRPr="003D733D">
        <w:rPr>
          <w:rFonts w:ascii="Sylfaen" w:hAnsi="Sylfaen" w:cs="Sylfaen"/>
        </w:rPr>
        <w:t>სამხრეთი</w:t>
      </w:r>
      <w:r w:rsidRPr="003D733D">
        <w:t>”</w:t>
      </w:r>
    </w:p>
    <w:p w14:paraId="55035731" w14:textId="77777777" w:rsidR="00F8565C" w:rsidRPr="003D733D" w:rsidRDefault="00F8565C" w:rsidP="000B139D">
      <w:pPr>
        <w:spacing w:before="120" w:after="120"/>
      </w:pPr>
      <w:r w:rsidRPr="003D733D">
        <w:rPr>
          <w:rFonts w:ascii="Sylfaen" w:hAnsi="Sylfaen" w:cs="Sylfaen"/>
        </w:rPr>
        <w:t>როგორც</w:t>
      </w:r>
      <w:r w:rsidRPr="003D733D">
        <w:t xml:space="preserve"> </w:t>
      </w:r>
      <w:r w:rsidRPr="003D733D">
        <w:rPr>
          <w:rFonts w:ascii="Sylfaen" w:hAnsi="Sylfaen" w:cs="Sylfaen"/>
        </w:rPr>
        <w:t>ეს</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ინახოს</w:t>
      </w:r>
      <w:r w:rsidRPr="003D733D">
        <w:t xml:space="preserve">, </w:t>
      </w:r>
      <w:r w:rsidRPr="003D733D">
        <w:rPr>
          <w:rFonts w:ascii="Sylfaen" w:hAnsi="Sylfaen" w:cs="Sylfaen"/>
        </w:rPr>
        <w:t>მარშრუტის</w:t>
      </w:r>
      <w:r w:rsidRPr="003D733D">
        <w:t xml:space="preserve"> </w:t>
      </w:r>
      <w:r w:rsidRPr="003D733D">
        <w:rPr>
          <w:rFonts w:ascii="Sylfaen" w:hAnsi="Sylfaen" w:cs="Sylfaen"/>
        </w:rPr>
        <w:t>შუა</w:t>
      </w:r>
      <w:r w:rsidRPr="003D733D">
        <w:t xml:space="preserve"> (</w:t>
      </w:r>
      <w:r w:rsidRPr="003D733D">
        <w:rPr>
          <w:rFonts w:ascii="Sylfaen" w:hAnsi="Sylfaen" w:cs="Sylfaen"/>
        </w:rPr>
        <w:t>ჩუმლაყიდან</w:t>
      </w:r>
      <w:r w:rsidRPr="003D733D">
        <w:t xml:space="preserve"> </w:t>
      </w:r>
      <w:r w:rsidRPr="003D733D">
        <w:rPr>
          <w:rFonts w:ascii="Sylfaen" w:hAnsi="Sylfaen" w:cs="Sylfaen"/>
        </w:rPr>
        <w:t>ბაკურციხემდე</w:t>
      </w:r>
      <w:r w:rsidRPr="003D733D">
        <w:t xml:space="preserve">) </w:t>
      </w:r>
      <w:r w:rsidRPr="003D733D">
        <w:rPr>
          <w:rFonts w:ascii="Sylfaen" w:hAnsi="Sylfaen" w:cs="Sylfaen"/>
        </w:rPr>
        <w:t>მონაკვეთის</w:t>
      </w:r>
      <w:r w:rsidRPr="003D733D">
        <w:t xml:space="preserve"> </w:t>
      </w:r>
      <w:r w:rsidRPr="003D733D">
        <w:rPr>
          <w:rFonts w:ascii="Sylfaen" w:hAnsi="Sylfaen" w:cs="Sylfaen"/>
        </w:rPr>
        <w:t>უპირატესი</w:t>
      </w:r>
      <w:r w:rsidRPr="003D733D">
        <w:t xml:space="preserve"> </w:t>
      </w:r>
      <w:r w:rsidRPr="003D733D">
        <w:rPr>
          <w:rFonts w:ascii="Sylfaen" w:hAnsi="Sylfaen" w:cs="Sylfaen"/>
        </w:rPr>
        <w:t>ალტერნატიული</w:t>
      </w:r>
      <w:r w:rsidRPr="003D733D">
        <w:t xml:space="preserve"> </w:t>
      </w:r>
      <w:r w:rsidRPr="003D733D">
        <w:rPr>
          <w:rFonts w:ascii="Sylfaen" w:hAnsi="Sylfaen" w:cs="Sylfaen"/>
        </w:rPr>
        <w:t>გზა</w:t>
      </w:r>
      <w:r w:rsidRPr="003D733D">
        <w:t xml:space="preserve"> </w:t>
      </w:r>
      <w:r w:rsidRPr="003D733D">
        <w:rPr>
          <w:rFonts w:ascii="Sylfaen" w:hAnsi="Sylfaen" w:cs="Sylfaen"/>
        </w:rPr>
        <w:t>უკვე</w:t>
      </w:r>
      <w:r w:rsidRPr="003D733D">
        <w:t xml:space="preserve"> </w:t>
      </w:r>
      <w:r w:rsidRPr="003D733D">
        <w:rPr>
          <w:rFonts w:ascii="Sylfaen" w:hAnsi="Sylfaen" w:cs="Sylfaen"/>
        </w:rPr>
        <w:t>შერჩეულია</w:t>
      </w:r>
      <w:r w:rsidRPr="003D733D">
        <w:t xml:space="preserve"> </w:t>
      </w:r>
      <w:r w:rsidRPr="003D733D">
        <w:rPr>
          <w:rFonts w:ascii="Sylfaen" w:hAnsi="Sylfaen" w:cs="Sylfaen"/>
        </w:rPr>
        <w:t>შესაბამისი</w:t>
      </w:r>
      <w:r w:rsidRPr="003D733D">
        <w:t xml:space="preserve"> </w:t>
      </w:r>
      <w:r w:rsidRPr="003D733D">
        <w:rPr>
          <w:rFonts w:ascii="Sylfaen" w:hAnsi="Sylfaen" w:cs="Sylfaen"/>
        </w:rPr>
        <w:t>წინასწარი</w:t>
      </w:r>
      <w:r w:rsidRPr="003D733D">
        <w:t xml:space="preserve"> </w:t>
      </w:r>
      <w:r w:rsidRPr="003D733D">
        <w:rPr>
          <w:rFonts w:ascii="Sylfaen" w:hAnsi="Sylfaen" w:cs="Sylfaen"/>
        </w:rPr>
        <w:t>სამუშაოების</w:t>
      </w:r>
      <w:r w:rsidRPr="003D733D">
        <w:t xml:space="preserve"> </w:t>
      </w:r>
      <w:r w:rsidRPr="003D733D">
        <w:rPr>
          <w:rFonts w:ascii="Sylfaen" w:hAnsi="Sylfaen" w:cs="Sylfaen"/>
        </w:rPr>
        <w:t>სფუძველზე</w:t>
      </w:r>
      <w:r w:rsidRPr="003D733D">
        <w:t>.</w:t>
      </w:r>
    </w:p>
    <w:p w14:paraId="7C34CFEF" w14:textId="77777777" w:rsidR="00F8565C" w:rsidRPr="003D733D" w:rsidRDefault="00F8565C" w:rsidP="00F8565C"/>
    <w:p w14:paraId="1119FB90" w14:textId="4FD9F6B2" w:rsidR="00F8565C" w:rsidRPr="003D733D" w:rsidRDefault="00F8565C" w:rsidP="000B139D">
      <w:pPr>
        <w:pStyle w:val="Heading3"/>
      </w:pPr>
      <w:bookmarkStart w:id="83" w:name="_Toc529977362"/>
      <w:bookmarkStart w:id="84" w:name="_Toc1581501"/>
      <w:r w:rsidRPr="003D733D">
        <w:t>4.</w:t>
      </w:r>
      <w:r w:rsidR="000B139D">
        <w:rPr>
          <w:rFonts w:ascii="Sylfaen" w:hAnsi="Sylfaen"/>
          <w:lang w:val="ka-GE"/>
        </w:rPr>
        <w:t>7.4</w:t>
      </w:r>
      <w:r w:rsidRPr="003D733D">
        <w:tab/>
      </w:r>
      <w:bookmarkEnd w:id="78"/>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მოდელირება</w:t>
      </w:r>
      <w:bookmarkEnd w:id="80"/>
      <w:bookmarkEnd w:id="81"/>
      <w:bookmarkEnd w:id="82"/>
      <w:bookmarkEnd w:id="83"/>
      <w:bookmarkEnd w:id="84"/>
    </w:p>
    <w:p w14:paraId="2CD480FB" w14:textId="77777777" w:rsidR="00F8565C" w:rsidRPr="003D733D" w:rsidRDefault="00F8565C" w:rsidP="00F8565C"/>
    <w:p w14:paraId="6F64E377" w14:textId="77777777" w:rsidR="00F8565C" w:rsidRPr="003D733D" w:rsidRDefault="00F8565C" w:rsidP="000B139D">
      <w:pPr>
        <w:spacing w:before="120" w:after="120"/>
      </w:pPr>
      <w:r w:rsidRPr="003D733D">
        <w:rPr>
          <w:rFonts w:ascii="Sylfaen" w:eastAsia="Calibri" w:hAnsi="Sylfaen" w:cs="Sylfaen"/>
        </w:rPr>
        <w:t>აღნიშნულ</w:t>
      </w:r>
      <w:r w:rsidRPr="003D733D">
        <w:rPr>
          <w:rFonts w:eastAsia="Calibri"/>
        </w:rPr>
        <w:t xml:space="preserve"> </w:t>
      </w:r>
      <w:r w:rsidRPr="003D733D">
        <w:rPr>
          <w:rFonts w:ascii="Sylfaen" w:eastAsia="Calibri" w:hAnsi="Sylfaen" w:cs="Sylfaen"/>
        </w:rPr>
        <w:t>ალტერნატიულ</w:t>
      </w:r>
      <w:r w:rsidRPr="003D733D">
        <w:rPr>
          <w:rFonts w:eastAsia="Calibri"/>
        </w:rPr>
        <w:t xml:space="preserve"> </w:t>
      </w:r>
      <w:r w:rsidRPr="003D733D">
        <w:rPr>
          <w:rFonts w:ascii="Sylfaen" w:eastAsia="Calibri" w:hAnsi="Sylfaen" w:cs="Sylfaen"/>
        </w:rPr>
        <w:t>მარშრუტებზე</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მოდელირებისთვის</w:t>
      </w:r>
      <w:r w:rsidRPr="003D733D">
        <w:rPr>
          <w:rFonts w:eastAsia="Calibri"/>
        </w:rPr>
        <w:t xml:space="preserve"> </w:t>
      </w:r>
      <w:r w:rsidRPr="003D733D">
        <w:rPr>
          <w:rFonts w:ascii="Sylfaen" w:eastAsia="Calibri" w:hAnsi="Sylfaen" w:cs="Sylfaen"/>
        </w:rPr>
        <w:t>გამოყენებულ</w:t>
      </w:r>
      <w:r w:rsidRPr="003D733D">
        <w:rPr>
          <w:rFonts w:eastAsia="Calibri"/>
        </w:rPr>
        <w:t xml:space="preserve"> </w:t>
      </w:r>
      <w:r w:rsidRPr="003D733D">
        <w:rPr>
          <w:rFonts w:ascii="Sylfaen" w:eastAsia="Calibri" w:hAnsi="Sylfaen" w:cs="Sylfaen"/>
        </w:rPr>
        <w:t>იქნა</w:t>
      </w:r>
      <w:r w:rsidRPr="003D733D">
        <w:rPr>
          <w:rFonts w:eastAsia="Calibri"/>
        </w:rPr>
        <w:t xml:space="preserve"> </w:t>
      </w:r>
      <w:r w:rsidRPr="003D733D">
        <w:rPr>
          <w:rFonts w:ascii="Sylfaen" w:eastAsia="Calibri" w:hAnsi="Sylfaen" w:cs="Sylfaen"/>
        </w:rPr>
        <w:t>საწყისი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საბოლოო</w:t>
      </w:r>
      <w:r w:rsidRPr="003D733D">
        <w:rPr>
          <w:rFonts w:eastAsia="Calibri"/>
        </w:rPr>
        <w:t xml:space="preserve"> </w:t>
      </w:r>
      <w:r w:rsidRPr="003D733D">
        <w:rPr>
          <w:rFonts w:ascii="Sylfaen" w:eastAsia="Calibri" w:hAnsi="Sylfaen" w:cs="Sylfaen"/>
        </w:rPr>
        <w:t>პუნქტების</w:t>
      </w:r>
      <w:r w:rsidRPr="003D733D">
        <w:rPr>
          <w:rFonts w:eastAsia="Calibri"/>
        </w:rPr>
        <w:t xml:space="preserve"> </w:t>
      </w:r>
      <w:r w:rsidRPr="003D733D">
        <w:rPr>
          <w:rFonts w:ascii="Sylfaen" w:eastAsia="Calibri" w:hAnsi="Sylfaen" w:cs="Sylfaen"/>
        </w:rPr>
        <w:t>გამოკითხვის</w:t>
      </w:r>
      <w:r w:rsidRPr="003D733D">
        <w:rPr>
          <w:rFonts w:eastAsia="Calibri"/>
        </w:rPr>
        <w:t xml:space="preserve"> </w:t>
      </w:r>
      <w:r w:rsidRPr="003D733D">
        <w:rPr>
          <w:rFonts w:ascii="Sylfaen" w:eastAsia="Calibri" w:hAnsi="Sylfaen" w:cs="Sylfaen"/>
        </w:rPr>
        <w:t>გაანალიზებული</w:t>
      </w:r>
      <w:r w:rsidRPr="003D733D">
        <w:rPr>
          <w:rFonts w:eastAsia="Calibri"/>
        </w:rPr>
        <w:t xml:space="preserve"> </w:t>
      </w:r>
      <w:r w:rsidRPr="003D733D">
        <w:rPr>
          <w:rFonts w:ascii="Sylfaen" w:eastAsia="Calibri" w:hAnsi="Sylfaen" w:cs="Sylfaen"/>
        </w:rPr>
        <w:t>შედეგები</w:t>
      </w:r>
      <w:r w:rsidRPr="003D733D">
        <w:rPr>
          <w:rFonts w:eastAsia="Calibri"/>
        </w:rPr>
        <w:t xml:space="preserve"> </w:t>
      </w:r>
      <w:r w:rsidRPr="003D733D">
        <w:rPr>
          <w:rFonts w:ascii="Sylfaen" w:eastAsia="Calibri" w:hAnsi="Sylfaen" w:cs="Sylfaen"/>
        </w:rPr>
        <w:t>ცალკეული</w:t>
      </w:r>
      <w:r w:rsidRPr="003D733D">
        <w:rPr>
          <w:rFonts w:eastAsia="Calibri"/>
        </w:rPr>
        <w:t xml:space="preserve"> </w:t>
      </w:r>
      <w:r w:rsidRPr="003D733D">
        <w:rPr>
          <w:rFonts w:ascii="Sylfaen" w:eastAsia="Calibri" w:hAnsi="Sylfaen" w:cs="Sylfaen"/>
        </w:rPr>
        <w:t>მონაკვეთებისთვის</w:t>
      </w:r>
      <w:r w:rsidRPr="003D733D">
        <w:rPr>
          <w:rFonts w:eastAsia="Calibri"/>
        </w:rPr>
        <w:t xml:space="preserve"> </w:t>
      </w:r>
      <w:r w:rsidRPr="003D733D">
        <w:rPr>
          <w:rFonts w:ascii="Sylfaen" w:eastAsia="Calibri" w:hAnsi="Sylfaen" w:cs="Sylfaen"/>
        </w:rPr>
        <w:t>შედგენილ</w:t>
      </w:r>
      <w:r w:rsidRPr="003D733D">
        <w:rPr>
          <w:rFonts w:eastAsia="Calibri"/>
        </w:rPr>
        <w:t xml:space="preserve"> “</w:t>
      </w:r>
      <w:r w:rsidRPr="003D733D">
        <w:rPr>
          <w:rFonts w:ascii="Sylfaen" w:eastAsia="Calibri" w:hAnsi="Sylfaen" w:cs="Sylfaen"/>
        </w:rPr>
        <w:t>გადასვლის</w:t>
      </w:r>
      <w:r w:rsidRPr="003D733D">
        <w:rPr>
          <w:rFonts w:eastAsia="Calibri"/>
        </w:rPr>
        <w:t xml:space="preserve"> </w:t>
      </w:r>
      <w:r w:rsidRPr="003D733D">
        <w:rPr>
          <w:rFonts w:ascii="Sylfaen" w:eastAsia="Calibri" w:hAnsi="Sylfaen" w:cs="Sylfaen"/>
        </w:rPr>
        <w:t>მრუდებთან</w:t>
      </w:r>
      <w:r w:rsidRPr="003D733D">
        <w:rPr>
          <w:rFonts w:eastAsia="Calibri"/>
        </w:rPr>
        <w:t xml:space="preserve">” </w:t>
      </w:r>
      <w:r w:rsidRPr="003D733D">
        <w:rPr>
          <w:rFonts w:ascii="Sylfaen" w:eastAsia="Calibri" w:hAnsi="Sylfaen" w:cs="Sylfaen"/>
        </w:rPr>
        <w:t>ერთად</w:t>
      </w:r>
      <w:r w:rsidRPr="003D733D">
        <w:rPr>
          <w:rFonts w:eastAsia="Calibri"/>
        </w:rPr>
        <w:t xml:space="preserve">. </w:t>
      </w:r>
      <w:r w:rsidRPr="003D733D">
        <w:rPr>
          <w:rFonts w:ascii="Sylfaen" w:eastAsia="Calibri" w:hAnsi="Sylfaen" w:cs="Sylfaen"/>
        </w:rPr>
        <w:t>საწყისი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საბოლოო</w:t>
      </w:r>
      <w:r w:rsidRPr="003D733D">
        <w:rPr>
          <w:rFonts w:eastAsia="Calibri"/>
        </w:rPr>
        <w:t xml:space="preserve"> </w:t>
      </w:r>
      <w:r w:rsidRPr="003D733D">
        <w:rPr>
          <w:rFonts w:ascii="Sylfaen" w:eastAsia="Calibri" w:hAnsi="Sylfaen" w:cs="Sylfaen"/>
        </w:rPr>
        <w:t>პუნქტების</w:t>
      </w:r>
      <w:r w:rsidRPr="003D733D">
        <w:rPr>
          <w:rFonts w:eastAsia="Calibri"/>
        </w:rPr>
        <w:t xml:space="preserve"> </w:t>
      </w:r>
      <w:r w:rsidRPr="003D733D">
        <w:rPr>
          <w:rFonts w:ascii="Sylfaen" w:eastAsia="Calibri" w:hAnsi="Sylfaen" w:cs="Sylfaen"/>
        </w:rPr>
        <w:t>გამოკითხვის</w:t>
      </w:r>
      <w:r w:rsidRPr="003D733D">
        <w:rPr>
          <w:rFonts w:eastAsia="Calibri"/>
        </w:rPr>
        <w:t xml:space="preserve"> </w:t>
      </w:r>
      <w:r w:rsidRPr="003D733D">
        <w:rPr>
          <w:rFonts w:ascii="Sylfaen" w:eastAsia="Calibri" w:hAnsi="Sylfaen" w:cs="Sylfaen"/>
        </w:rPr>
        <w:t>მონაცემები</w:t>
      </w:r>
      <w:r w:rsidRPr="003D733D">
        <w:rPr>
          <w:rFonts w:eastAsia="Calibri"/>
        </w:rPr>
        <w:t xml:space="preserve"> </w:t>
      </w:r>
      <w:r w:rsidRPr="003D733D">
        <w:rPr>
          <w:rFonts w:ascii="Sylfaen" w:eastAsia="Calibri" w:hAnsi="Sylfaen" w:cs="Sylfaen"/>
        </w:rPr>
        <w:t>განაწილდა</w:t>
      </w:r>
      <w:r w:rsidRPr="003D733D">
        <w:rPr>
          <w:rFonts w:eastAsia="Calibri"/>
        </w:rPr>
        <w:t xml:space="preserve"> </w:t>
      </w:r>
      <w:r w:rsidRPr="003D733D">
        <w:rPr>
          <w:rFonts w:ascii="Sylfaen" w:eastAsia="Calibri" w:hAnsi="Sylfaen" w:cs="Sylfaen"/>
        </w:rPr>
        <w:t>შემდეგი</w:t>
      </w:r>
      <w:r w:rsidRPr="003D733D">
        <w:rPr>
          <w:rFonts w:eastAsia="Calibri"/>
        </w:rPr>
        <w:t xml:space="preserve"> </w:t>
      </w:r>
      <w:r w:rsidRPr="003D733D">
        <w:rPr>
          <w:rFonts w:ascii="Sylfaen" w:eastAsia="Calibri" w:hAnsi="Sylfaen" w:cs="Sylfaen"/>
        </w:rPr>
        <w:t>ზონირების</w:t>
      </w:r>
      <w:r w:rsidRPr="003D733D">
        <w:rPr>
          <w:rFonts w:eastAsia="Calibri"/>
        </w:rPr>
        <w:t xml:space="preserve"> </w:t>
      </w:r>
      <w:r w:rsidRPr="003D733D">
        <w:rPr>
          <w:rFonts w:ascii="Sylfaen" w:eastAsia="Calibri" w:hAnsi="Sylfaen" w:cs="Sylfaen"/>
        </w:rPr>
        <w:t>სისტემის</w:t>
      </w:r>
      <w:r w:rsidRPr="003D733D">
        <w:rPr>
          <w:rFonts w:eastAsia="Calibri"/>
        </w:rPr>
        <w:t xml:space="preserve"> (</w:t>
      </w:r>
      <w:r w:rsidRPr="003D733D">
        <w:rPr>
          <w:rFonts w:ascii="Sylfaen" w:eastAsia="Calibri" w:hAnsi="Sylfaen" w:cs="Sylfaen"/>
        </w:rPr>
        <w:t>ზონების</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გეგმის</w:t>
      </w:r>
      <w:r w:rsidRPr="003D733D">
        <w:rPr>
          <w:rFonts w:eastAsia="Calibri"/>
        </w:rPr>
        <w:t xml:space="preserve"> </w:t>
      </w:r>
      <w:r w:rsidRPr="003D733D">
        <w:rPr>
          <w:rFonts w:ascii="Sylfaen" w:eastAsia="Calibri" w:hAnsi="Sylfaen" w:cs="Sylfaen"/>
        </w:rPr>
        <w:t>გამოყენებით</w:t>
      </w:r>
      <w:r w:rsidRPr="003D733D">
        <w:rPr>
          <w:rFonts w:eastAsia="Calibri"/>
        </w:rPr>
        <w:t>:</w:t>
      </w:r>
    </w:p>
    <w:p w14:paraId="0C77349C" w14:textId="77777777" w:rsidR="00F8565C" w:rsidRPr="003D733D" w:rsidRDefault="00F8565C" w:rsidP="000B139D">
      <w:pPr>
        <w:spacing w:before="120" w:after="120"/>
        <w:rPr>
          <w:rFonts w:eastAsia="Calibri"/>
        </w:rPr>
      </w:pPr>
      <w:r w:rsidRPr="003D733D">
        <w:rPr>
          <w:rFonts w:ascii="Sylfaen" w:eastAsia="Calibri" w:hAnsi="Sylfaen" w:cs="Sylfaen"/>
        </w:rPr>
        <w:t>თბილისი</w:t>
      </w:r>
    </w:p>
    <w:p w14:paraId="5429F932" w14:textId="77777777" w:rsidR="00F8565C" w:rsidRPr="003D733D" w:rsidRDefault="00F8565C" w:rsidP="000B139D">
      <w:pPr>
        <w:spacing w:before="120" w:after="120"/>
        <w:rPr>
          <w:rFonts w:eastAsia="Calibri"/>
        </w:rPr>
      </w:pPr>
      <w:r w:rsidRPr="003D733D">
        <w:rPr>
          <w:rFonts w:ascii="Sylfaen" w:eastAsia="Calibri" w:hAnsi="Sylfaen" w:cs="Sylfaen"/>
        </w:rPr>
        <w:lastRenderedPageBreak/>
        <w:t>ბაკურციხე</w:t>
      </w:r>
    </w:p>
    <w:p w14:paraId="6949D9AA" w14:textId="77777777" w:rsidR="00F8565C" w:rsidRPr="003D733D" w:rsidRDefault="00F8565C" w:rsidP="000B139D">
      <w:pPr>
        <w:spacing w:before="120" w:after="120"/>
        <w:rPr>
          <w:rFonts w:eastAsia="Calibri"/>
        </w:rPr>
      </w:pPr>
      <w:r w:rsidRPr="003D733D">
        <w:rPr>
          <w:rFonts w:ascii="Sylfaen" w:eastAsia="Calibri" w:hAnsi="Sylfaen" w:cs="Sylfaen"/>
        </w:rPr>
        <w:t>წნორი</w:t>
      </w:r>
    </w:p>
    <w:p w14:paraId="51303B2E" w14:textId="77777777" w:rsidR="00F8565C" w:rsidRPr="003D733D" w:rsidRDefault="00F8565C" w:rsidP="000B139D">
      <w:pPr>
        <w:spacing w:before="120" w:after="120"/>
        <w:rPr>
          <w:rFonts w:eastAsia="Calibri"/>
        </w:rPr>
      </w:pPr>
      <w:r w:rsidRPr="003D733D">
        <w:rPr>
          <w:rFonts w:ascii="Sylfaen" w:eastAsia="Calibri" w:hAnsi="Sylfaen" w:cs="Sylfaen"/>
        </w:rPr>
        <w:t>ლაგოდეხი</w:t>
      </w:r>
    </w:p>
    <w:p w14:paraId="425B272E" w14:textId="77777777" w:rsidR="00F8565C" w:rsidRPr="003D733D" w:rsidRDefault="00F8565C" w:rsidP="000B139D">
      <w:pPr>
        <w:spacing w:before="120" w:after="120"/>
        <w:rPr>
          <w:rFonts w:eastAsia="Calibri"/>
        </w:rPr>
      </w:pPr>
      <w:r w:rsidRPr="003D733D">
        <w:rPr>
          <w:rFonts w:ascii="Sylfaen" w:eastAsia="Calibri" w:hAnsi="Sylfaen" w:cs="Sylfaen"/>
        </w:rPr>
        <w:t>გურჯაანი</w:t>
      </w:r>
    </w:p>
    <w:p w14:paraId="3DFAF6E3" w14:textId="77777777" w:rsidR="00F8565C" w:rsidRPr="003D733D" w:rsidRDefault="00F8565C" w:rsidP="000B139D">
      <w:pPr>
        <w:spacing w:before="120" w:after="120"/>
        <w:rPr>
          <w:rFonts w:eastAsia="Calibri"/>
        </w:rPr>
      </w:pPr>
      <w:r w:rsidRPr="003D733D">
        <w:rPr>
          <w:rFonts w:ascii="Sylfaen" w:eastAsia="Calibri" w:hAnsi="Sylfaen" w:cs="Sylfaen"/>
        </w:rPr>
        <w:t>ყვარელი</w:t>
      </w:r>
    </w:p>
    <w:p w14:paraId="5FDE40DF" w14:textId="77777777" w:rsidR="00F8565C" w:rsidRPr="003D733D" w:rsidRDefault="00F8565C" w:rsidP="000B139D">
      <w:pPr>
        <w:spacing w:before="120" w:after="120"/>
        <w:rPr>
          <w:rFonts w:eastAsia="Calibri"/>
        </w:rPr>
      </w:pPr>
      <w:r w:rsidRPr="003D733D">
        <w:rPr>
          <w:rFonts w:ascii="Sylfaen" w:eastAsia="Calibri" w:hAnsi="Sylfaen" w:cs="Sylfaen"/>
        </w:rPr>
        <w:t>თელავი</w:t>
      </w:r>
    </w:p>
    <w:p w14:paraId="6C6BA61E" w14:textId="77777777" w:rsidR="00F8565C" w:rsidRPr="003D733D" w:rsidRDefault="00F8565C" w:rsidP="000B139D">
      <w:pPr>
        <w:spacing w:before="120" w:after="120"/>
        <w:rPr>
          <w:rFonts w:eastAsia="Calibri"/>
        </w:rPr>
      </w:pPr>
      <w:r w:rsidRPr="003D733D">
        <w:rPr>
          <w:rFonts w:ascii="Sylfaen" w:eastAsia="Calibri" w:hAnsi="Sylfaen" w:cs="Sylfaen"/>
        </w:rPr>
        <w:t>თურქეთი</w:t>
      </w:r>
    </w:p>
    <w:p w14:paraId="78D0B771" w14:textId="77777777" w:rsidR="00F8565C" w:rsidRPr="003D733D" w:rsidRDefault="00F8565C" w:rsidP="000B139D">
      <w:pPr>
        <w:spacing w:before="120" w:after="120"/>
        <w:rPr>
          <w:rFonts w:eastAsia="Calibri"/>
        </w:rPr>
      </w:pPr>
      <w:r w:rsidRPr="003D733D">
        <w:rPr>
          <w:rFonts w:ascii="Sylfaen" w:eastAsia="Calibri" w:hAnsi="Sylfaen" w:cs="Sylfaen"/>
        </w:rPr>
        <w:t>რუსეთის</w:t>
      </w:r>
      <w:r w:rsidRPr="003D733D">
        <w:rPr>
          <w:rFonts w:eastAsia="Calibri"/>
        </w:rPr>
        <w:t xml:space="preserve"> </w:t>
      </w:r>
      <w:r w:rsidRPr="003D733D">
        <w:rPr>
          <w:rFonts w:ascii="Sylfaen" w:eastAsia="Calibri" w:hAnsi="Sylfaen" w:cs="Sylfaen"/>
        </w:rPr>
        <w:t>ფედერაცია</w:t>
      </w:r>
    </w:p>
    <w:p w14:paraId="7A1A75A4" w14:textId="77777777" w:rsidR="00F8565C" w:rsidRPr="003D733D" w:rsidRDefault="00F8565C" w:rsidP="000B139D">
      <w:pPr>
        <w:spacing w:before="120" w:after="120"/>
        <w:rPr>
          <w:rFonts w:eastAsia="Calibri"/>
        </w:rPr>
      </w:pPr>
      <w:r w:rsidRPr="003D733D">
        <w:rPr>
          <w:rFonts w:ascii="Sylfaen" w:eastAsia="Calibri" w:hAnsi="Sylfaen" w:cs="Sylfaen"/>
        </w:rPr>
        <w:t>თბილისის</w:t>
      </w:r>
      <w:r w:rsidRPr="003D733D">
        <w:rPr>
          <w:rFonts w:eastAsia="Calibri"/>
        </w:rPr>
        <w:t xml:space="preserve"> </w:t>
      </w:r>
      <w:r w:rsidRPr="003D733D">
        <w:rPr>
          <w:rFonts w:ascii="Sylfaen" w:eastAsia="Calibri" w:hAnsi="Sylfaen" w:cs="Sylfaen"/>
        </w:rPr>
        <w:t>რეგიონი</w:t>
      </w:r>
    </w:p>
    <w:p w14:paraId="641FFDB3" w14:textId="77777777" w:rsidR="00F8565C" w:rsidRPr="003D733D" w:rsidRDefault="00F8565C" w:rsidP="000B139D">
      <w:pPr>
        <w:spacing w:before="120" w:after="120"/>
        <w:rPr>
          <w:rFonts w:eastAsia="Calibri"/>
        </w:rPr>
      </w:pPr>
      <w:r w:rsidRPr="003D733D">
        <w:rPr>
          <w:rFonts w:ascii="Sylfaen" w:eastAsia="Calibri" w:hAnsi="Sylfaen" w:cs="Sylfaen"/>
        </w:rPr>
        <w:t>საგარეჯოს</w:t>
      </w:r>
      <w:r w:rsidRPr="003D733D">
        <w:rPr>
          <w:rFonts w:eastAsia="Calibri"/>
        </w:rPr>
        <w:t xml:space="preserve"> </w:t>
      </w:r>
      <w:r w:rsidRPr="003D733D">
        <w:rPr>
          <w:rFonts w:ascii="Sylfaen" w:eastAsia="Calibri" w:hAnsi="Sylfaen" w:cs="Sylfaen"/>
        </w:rPr>
        <w:t>რაიონი</w:t>
      </w:r>
    </w:p>
    <w:p w14:paraId="3A54B63C" w14:textId="77777777" w:rsidR="00F8565C" w:rsidRPr="003D733D" w:rsidRDefault="00F8565C" w:rsidP="000B139D">
      <w:pPr>
        <w:spacing w:before="120" w:after="120"/>
        <w:rPr>
          <w:rFonts w:eastAsia="Calibri"/>
        </w:rPr>
      </w:pPr>
      <w:r w:rsidRPr="003D733D">
        <w:rPr>
          <w:rFonts w:ascii="Sylfaen" w:eastAsia="Calibri" w:hAnsi="Sylfaen" w:cs="Sylfaen"/>
        </w:rPr>
        <w:t>ყარაჯალა</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თელავის</w:t>
      </w:r>
      <w:r w:rsidRPr="003D733D">
        <w:rPr>
          <w:rFonts w:eastAsia="Calibri"/>
        </w:rPr>
        <w:t xml:space="preserve"> </w:t>
      </w:r>
      <w:r w:rsidRPr="003D733D">
        <w:rPr>
          <w:rFonts w:ascii="Sylfaen" w:eastAsia="Calibri" w:hAnsi="Sylfaen" w:cs="Sylfaen"/>
        </w:rPr>
        <w:t>ჩრდილოეთი</w:t>
      </w:r>
    </w:p>
    <w:p w14:paraId="5EDFFF73" w14:textId="77777777" w:rsidR="00F8565C" w:rsidRPr="003D733D" w:rsidRDefault="00F8565C" w:rsidP="000B139D">
      <w:pPr>
        <w:spacing w:before="120" w:after="120"/>
        <w:rPr>
          <w:rFonts w:eastAsia="Calibri"/>
        </w:rPr>
      </w:pPr>
      <w:r w:rsidRPr="003D733D">
        <w:rPr>
          <w:rFonts w:ascii="Sylfaen" w:eastAsia="Calibri" w:hAnsi="Sylfaen" w:cs="Sylfaen"/>
        </w:rPr>
        <w:t>თელავსა</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გურჯაანს</w:t>
      </w:r>
      <w:r w:rsidRPr="003D733D">
        <w:rPr>
          <w:rFonts w:eastAsia="Calibri"/>
        </w:rPr>
        <w:t xml:space="preserve"> </w:t>
      </w:r>
      <w:r w:rsidRPr="003D733D">
        <w:rPr>
          <w:rFonts w:ascii="Sylfaen" w:eastAsia="Calibri" w:hAnsi="Sylfaen" w:cs="Sylfaen"/>
        </w:rPr>
        <w:t>შორის</w:t>
      </w:r>
      <w:r w:rsidRPr="003D733D">
        <w:rPr>
          <w:rFonts w:eastAsia="Calibri"/>
        </w:rPr>
        <w:t xml:space="preserve"> </w:t>
      </w:r>
      <w:r w:rsidRPr="003D733D">
        <w:rPr>
          <w:rFonts w:ascii="Sylfaen" w:eastAsia="Calibri" w:hAnsi="Sylfaen" w:cs="Sylfaen"/>
        </w:rPr>
        <w:t>მდებარე</w:t>
      </w:r>
      <w:r w:rsidRPr="003D733D">
        <w:rPr>
          <w:rFonts w:eastAsia="Calibri"/>
        </w:rPr>
        <w:t xml:space="preserve"> </w:t>
      </w:r>
      <w:r w:rsidRPr="003D733D">
        <w:rPr>
          <w:rFonts w:ascii="Sylfaen" w:eastAsia="Calibri" w:hAnsi="Sylfaen" w:cs="Sylfaen"/>
        </w:rPr>
        <w:t>დასახლებული</w:t>
      </w:r>
      <w:r w:rsidRPr="003D733D">
        <w:rPr>
          <w:rFonts w:eastAsia="Calibri"/>
        </w:rPr>
        <w:t xml:space="preserve"> </w:t>
      </w:r>
      <w:r w:rsidRPr="003D733D">
        <w:rPr>
          <w:rFonts w:ascii="Sylfaen" w:eastAsia="Calibri" w:hAnsi="Sylfaen" w:cs="Sylfaen"/>
        </w:rPr>
        <w:t>პუნქტები</w:t>
      </w:r>
    </w:p>
    <w:p w14:paraId="5257CEF2" w14:textId="77777777" w:rsidR="00F8565C" w:rsidRPr="003D733D" w:rsidRDefault="00F8565C" w:rsidP="000B139D">
      <w:pPr>
        <w:spacing w:before="120" w:after="120"/>
        <w:rPr>
          <w:rFonts w:eastAsia="Calibri"/>
        </w:rPr>
      </w:pPr>
      <w:r w:rsidRPr="003D733D">
        <w:rPr>
          <w:rFonts w:ascii="Sylfaen" w:eastAsia="Calibri" w:hAnsi="Sylfaen" w:cs="Sylfaen"/>
        </w:rPr>
        <w:t>გურჯაანსა</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ბაკურციხეს</w:t>
      </w:r>
      <w:r w:rsidRPr="003D733D">
        <w:rPr>
          <w:rFonts w:eastAsia="Calibri"/>
        </w:rPr>
        <w:t xml:space="preserve"> </w:t>
      </w:r>
      <w:r w:rsidRPr="003D733D">
        <w:rPr>
          <w:rFonts w:ascii="Sylfaen" w:eastAsia="Calibri" w:hAnsi="Sylfaen" w:cs="Sylfaen"/>
        </w:rPr>
        <w:t>შორის</w:t>
      </w:r>
      <w:r w:rsidRPr="003D733D">
        <w:rPr>
          <w:rFonts w:eastAsia="Calibri"/>
        </w:rPr>
        <w:t xml:space="preserve"> </w:t>
      </w:r>
      <w:r w:rsidRPr="003D733D">
        <w:rPr>
          <w:rFonts w:ascii="Sylfaen" w:eastAsia="Calibri" w:hAnsi="Sylfaen" w:cs="Sylfaen"/>
        </w:rPr>
        <w:t>მდებარე</w:t>
      </w:r>
      <w:r w:rsidRPr="003D733D">
        <w:rPr>
          <w:rFonts w:eastAsia="Calibri"/>
        </w:rPr>
        <w:t xml:space="preserve"> </w:t>
      </w:r>
      <w:r w:rsidRPr="003D733D">
        <w:rPr>
          <w:rFonts w:ascii="Sylfaen" w:eastAsia="Calibri" w:hAnsi="Sylfaen" w:cs="Sylfaen"/>
        </w:rPr>
        <w:t>დასახლებული</w:t>
      </w:r>
      <w:r w:rsidRPr="003D733D">
        <w:rPr>
          <w:rFonts w:eastAsia="Calibri"/>
        </w:rPr>
        <w:t xml:space="preserve"> </w:t>
      </w:r>
      <w:r w:rsidRPr="003D733D">
        <w:rPr>
          <w:rFonts w:ascii="Sylfaen" w:eastAsia="Calibri" w:hAnsi="Sylfaen" w:cs="Sylfaen"/>
        </w:rPr>
        <w:t>პუნქტები</w:t>
      </w:r>
    </w:p>
    <w:p w14:paraId="0DAAF089" w14:textId="77777777" w:rsidR="00F8565C" w:rsidRPr="003D733D" w:rsidRDefault="00F8565C" w:rsidP="000B139D">
      <w:pPr>
        <w:spacing w:before="120" w:after="120"/>
        <w:rPr>
          <w:rFonts w:eastAsia="Calibri"/>
        </w:rPr>
      </w:pPr>
      <w:r w:rsidRPr="003D733D">
        <w:rPr>
          <w:rFonts w:ascii="Sylfaen" w:eastAsia="Calibri" w:hAnsi="Sylfaen" w:cs="Sylfaen"/>
        </w:rPr>
        <w:t>ბაკურციხეს</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წნორს</w:t>
      </w:r>
      <w:r w:rsidRPr="003D733D">
        <w:rPr>
          <w:rFonts w:eastAsia="Calibri"/>
        </w:rPr>
        <w:t xml:space="preserve"> </w:t>
      </w:r>
      <w:r w:rsidRPr="003D733D">
        <w:rPr>
          <w:rFonts w:ascii="Sylfaen" w:eastAsia="Calibri" w:hAnsi="Sylfaen" w:cs="Sylfaen"/>
        </w:rPr>
        <w:t>შორის</w:t>
      </w:r>
      <w:r w:rsidRPr="003D733D">
        <w:rPr>
          <w:rFonts w:eastAsia="Calibri"/>
        </w:rPr>
        <w:t xml:space="preserve"> </w:t>
      </w:r>
      <w:r w:rsidRPr="003D733D">
        <w:rPr>
          <w:rFonts w:ascii="Sylfaen" w:eastAsia="Calibri" w:hAnsi="Sylfaen" w:cs="Sylfaen"/>
        </w:rPr>
        <w:t>მდებარე</w:t>
      </w:r>
      <w:r w:rsidRPr="003D733D">
        <w:rPr>
          <w:rFonts w:eastAsia="Calibri"/>
        </w:rPr>
        <w:t xml:space="preserve"> </w:t>
      </w:r>
      <w:r w:rsidRPr="003D733D">
        <w:rPr>
          <w:rFonts w:ascii="Sylfaen" w:eastAsia="Calibri" w:hAnsi="Sylfaen" w:cs="Sylfaen"/>
        </w:rPr>
        <w:t>დასახლებული</w:t>
      </w:r>
      <w:r w:rsidRPr="003D733D">
        <w:rPr>
          <w:rFonts w:eastAsia="Calibri"/>
        </w:rPr>
        <w:t xml:space="preserve"> </w:t>
      </w:r>
      <w:r w:rsidRPr="003D733D">
        <w:rPr>
          <w:rFonts w:ascii="Sylfaen" w:eastAsia="Calibri" w:hAnsi="Sylfaen" w:cs="Sylfaen"/>
        </w:rPr>
        <w:t>პუნქტები</w:t>
      </w:r>
    </w:p>
    <w:p w14:paraId="71DA6A58" w14:textId="77777777" w:rsidR="00F8565C" w:rsidRPr="003D733D" w:rsidRDefault="00F8565C" w:rsidP="000B139D">
      <w:pPr>
        <w:spacing w:before="120" w:after="120"/>
        <w:rPr>
          <w:rFonts w:eastAsia="Calibri"/>
        </w:rPr>
      </w:pPr>
      <w:r w:rsidRPr="003D733D">
        <w:rPr>
          <w:rFonts w:ascii="Sylfaen" w:eastAsia="Calibri" w:hAnsi="Sylfaen" w:cs="Sylfaen"/>
        </w:rPr>
        <w:t>სიღნაღი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ბაკურციხის</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წნორის</w:t>
      </w:r>
      <w:r w:rsidRPr="003D733D">
        <w:rPr>
          <w:rFonts w:eastAsia="Calibri"/>
        </w:rPr>
        <w:t xml:space="preserve"> </w:t>
      </w:r>
      <w:r w:rsidRPr="003D733D">
        <w:rPr>
          <w:rFonts w:ascii="Sylfaen" w:eastAsia="Calibri" w:hAnsi="Sylfaen" w:cs="Sylfaen"/>
        </w:rPr>
        <w:t>სამხრეთით</w:t>
      </w:r>
      <w:r w:rsidRPr="003D733D">
        <w:rPr>
          <w:rFonts w:eastAsia="Calibri"/>
        </w:rPr>
        <w:t xml:space="preserve"> </w:t>
      </w:r>
      <w:r w:rsidRPr="003D733D">
        <w:rPr>
          <w:rFonts w:ascii="Sylfaen" w:eastAsia="Calibri" w:hAnsi="Sylfaen" w:cs="Sylfaen"/>
        </w:rPr>
        <w:t>მდებარე</w:t>
      </w:r>
      <w:r w:rsidRPr="003D733D">
        <w:rPr>
          <w:rFonts w:eastAsia="Calibri"/>
        </w:rPr>
        <w:t xml:space="preserve"> </w:t>
      </w:r>
      <w:r w:rsidRPr="003D733D">
        <w:rPr>
          <w:rFonts w:ascii="Sylfaen" w:eastAsia="Calibri" w:hAnsi="Sylfaen" w:cs="Sylfaen"/>
        </w:rPr>
        <w:t>დასახლებული</w:t>
      </w:r>
      <w:r w:rsidRPr="003D733D">
        <w:rPr>
          <w:rFonts w:eastAsia="Calibri"/>
        </w:rPr>
        <w:t xml:space="preserve"> </w:t>
      </w:r>
      <w:r w:rsidRPr="003D733D">
        <w:rPr>
          <w:rFonts w:ascii="Sylfaen" w:eastAsia="Calibri" w:hAnsi="Sylfaen" w:cs="Sylfaen"/>
        </w:rPr>
        <w:t>პუნქტები</w:t>
      </w:r>
    </w:p>
    <w:p w14:paraId="632EA31C" w14:textId="77777777" w:rsidR="00F8565C" w:rsidRPr="003D733D" w:rsidRDefault="00F8565C" w:rsidP="000B139D">
      <w:pPr>
        <w:spacing w:before="120" w:after="120"/>
        <w:rPr>
          <w:rFonts w:eastAsia="Calibri"/>
        </w:rPr>
      </w:pPr>
      <w:r w:rsidRPr="003D733D">
        <w:rPr>
          <w:rFonts w:ascii="Sylfaen" w:eastAsia="Calibri" w:hAnsi="Sylfaen" w:cs="Sylfaen"/>
        </w:rPr>
        <w:t>გურჯაანის</w:t>
      </w:r>
      <w:r w:rsidRPr="003D733D">
        <w:rPr>
          <w:rFonts w:eastAsia="Calibri"/>
        </w:rPr>
        <w:t xml:space="preserve"> </w:t>
      </w:r>
      <w:r w:rsidRPr="003D733D">
        <w:rPr>
          <w:rFonts w:ascii="Sylfaen" w:eastAsia="Calibri" w:hAnsi="Sylfaen" w:cs="Sylfaen"/>
        </w:rPr>
        <w:t>აღმოსავლეთით</w:t>
      </w:r>
      <w:r w:rsidRPr="003D733D">
        <w:rPr>
          <w:rFonts w:eastAsia="Calibri"/>
        </w:rPr>
        <w:t xml:space="preserve"> </w:t>
      </w:r>
      <w:r w:rsidRPr="003D733D">
        <w:rPr>
          <w:rFonts w:ascii="Sylfaen" w:eastAsia="Calibri" w:hAnsi="Sylfaen" w:cs="Sylfaen"/>
        </w:rPr>
        <w:t>მდებარე</w:t>
      </w:r>
      <w:r w:rsidRPr="003D733D">
        <w:rPr>
          <w:rFonts w:eastAsia="Calibri"/>
        </w:rPr>
        <w:t xml:space="preserve"> </w:t>
      </w:r>
      <w:r w:rsidRPr="003D733D">
        <w:rPr>
          <w:rFonts w:ascii="Sylfaen" w:eastAsia="Calibri" w:hAnsi="Sylfaen" w:cs="Sylfaen"/>
        </w:rPr>
        <w:t>დასახლებული</w:t>
      </w:r>
      <w:r w:rsidRPr="003D733D">
        <w:rPr>
          <w:rFonts w:eastAsia="Calibri"/>
        </w:rPr>
        <w:t xml:space="preserve"> </w:t>
      </w:r>
      <w:r w:rsidRPr="003D733D">
        <w:rPr>
          <w:rFonts w:ascii="Sylfaen" w:eastAsia="Calibri" w:hAnsi="Sylfaen" w:cs="Sylfaen"/>
        </w:rPr>
        <w:t>პუნქტები</w:t>
      </w:r>
    </w:p>
    <w:p w14:paraId="0F344DCE" w14:textId="77777777" w:rsidR="00F8565C" w:rsidRPr="003D733D" w:rsidRDefault="00F8565C" w:rsidP="000B139D">
      <w:pPr>
        <w:spacing w:before="120" w:after="120"/>
        <w:rPr>
          <w:rFonts w:eastAsia="Calibri"/>
        </w:rPr>
      </w:pPr>
      <w:r w:rsidRPr="003D733D">
        <w:rPr>
          <w:rFonts w:ascii="Sylfaen" w:eastAsia="Calibri" w:hAnsi="Sylfaen" w:cs="Sylfaen"/>
        </w:rPr>
        <w:t>წნორის</w:t>
      </w:r>
      <w:r w:rsidRPr="003D733D">
        <w:rPr>
          <w:rFonts w:eastAsia="Calibri"/>
        </w:rPr>
        <w:t xml:space="preserve"> </w:t>
      </w:r>
      <w:r w:rsidRPr="003D733D">
        <w:rPr>
          <w:rFonts w:ascii="Sylfaen" w:eastAsia="Calibri" w:hAnsi="Sylfaen" w:cs="Sylfaen"/>
        </w:rPr>
        <w:t>სამხრეთ</w:t>
      </w:r>
      <w:r w:rsidRPr="003D733D">
        <w:rPr>
          <w:rFonts w:eastAsia="Calibri"/>
        </w:rPr>
        <w:t>-</w:t>
      </w:r>
      <w:r w:rsidRPr="003D733D">
        <w:rPr>
          <w:rFonts w:ascii="Sylfaen" w:eastAsia="Calibri" w:hAnsi="Sylfaen" w:cs="Sylfaen"/>
        </w:rPr>
        <w:t>აღმოსავლეთით</w:t>
      </w:r>
      <w:r w:rsidRPr="003D733D">
        <w:rPr>
          <w:rFonts w:eastAsia="Calibri"/>
        </w:rPr>
        <w:t xml:space="preserve"> </w:t>
      </w:r>
      <w:r w:rsidRPr="003D733D">
        <w:rPr>
          <w:rFonts w:ascii="Sylfaen" w:eastAsia="Calibri" w:hAnsi="Sylfaen" w:cs="Sylfaen"/>
        </w:rPr>
        <w:t>მდებარე</w:t>
      </w:r>
      <w:r w:rsidRPr="003D733D">
        <w:rPr>
          <w:rFonts w:eastAsia="Calibri"/>
        </w:rPr>
        <w:t xml:space="preserve"> </w:t>
      </w:r>
      <w:r w:rsidRPr="003D733D">
        <w:rPr>
          <w:rFonts w:ascii="Sylfaen" w:eastAsia="Calibri" w:hAnsi="Sylfaen" w:cs="Sylfaen"/>
        </w:rPr>
        <w:t>დასახლებული</w:t>
      </w:r>
      <w:r w:rsidRPr="003D733D">
        <w:rPr>
          <w:rFonts w:eastAsia="Calibri"/>
        </w:rPr>
        <w:t xml:space="preserve"> </w:t>
      </w:r>
      <w:r w:rsidRPr="003D733D">
        <w:rPr>
          <w:rFonts w:ascii="Sylfaen" w:eastAsia="Calibri" w:hAnsi="Sylfaen" w:cs="Sylfaen"/>
        </w:rPr>
        <w:t>პუნქტები</w:t>
      </w:r>
    </w:p>
    <w:p w14:paraId="64998923" w14:textId="77777777" w:rsidR="00F8565C" w:rsidRPr="003D733D" w:rsidRDefault="00F8565C" w:rsidP="000B139D">
      <w:pPr>
        <w:spacing w:before="120" w:after="120"/>
        <w:rPr>
          <w:rFonts w:eastAsia="Calibri"/>
        </w:rPr>
      </w:pPr>
      <w:r w:rsidRPr="003D733D">
        <w:rPr>
          <w:rFonts w:ascii="Sylfaen" w:eastAsia="Calibri" w:hAnsi="Sylfaen" w:cs="Sylfaen"/>
        </w:rPr>
        <w:t>ჩრდილოეთი</w:t>
      </w:r>
      <w:r w:rsidRPr="003D733D">
        <w:rPr>
          <w:rFonts w:eastAsia="Calibri"/>
        </w:rPr>
        <w:t xml:space="preserve"> </w:t>
      </w:r>
      <w:r w:rsidRPr="003D733D">
        <w:rPr>
          <w:rFonts w:ascii="Sylfaen" w:eastAsia="Calibri" w:hAnsi="Sylfaen" w:cs="Sylfaen"/>
        </w:rPr>
        <w:t>კახეთი</w:t>
      </w:r>
    </w:p>
    <w:p w14:paraId="712EF17B" w14:textId="77777777" w:rsidR="00F8565C" w:rsidRPr="003D733D" w:rsidRDefault="00F8565C" w:rsidP="000B139D">
      <w:pPr>
        <w:spacing w:before="120" w:after="120"/>
        <w:rPr>
          <w:rFonts w:eastAsia="Calibri"/>
        </w:rPr>
      </w:pPr>
      <w:r w:rsidRPr="003D733D">
        <w:rPr>
          <w:rFonts w:ascii="Sylfaen" w:eastAsia="Calibri" w:hAnsi="Sylfaen" w:cs="Sylfaen"/>
        </w:rPr>
        <w:t>წნორსა</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ლაგოდეხს</w:t>
      </w:r>
      <w:r w:rsidRPr="003D733D">
        <w:rPr>
          <w:rFonts w:eastAsia="Calibri"/>
        </w:rPr>
        <w:t xml:space="preserve"> </w:t>
      </w:r>
      <w:r w:rsidRPr="003D733D">
        <w:rPr>
          <w:rFonts w:ascii="Sylfaen" w:eastAsia="Calibri" w:hAnsi="Sylfaen" w:cs="Sylfaen"/>
        </w:rPr>
        <w:t>შორის</w:t>
      </w:r>
      <w:r w:rsidRPr="003D733D">
        <w:rPr>
          <w:rFonts w:eastAsia="Calibri"/>
        </w:rPr>
        <w:t xml:space="preserve"> </w:t>
      </w:r>
      <w:r w:rsidRPr="003D733D">
        <w:rPr>
          <w:rFonts w:ascii="Sylfaen" w:eastAsia="Calibri" w:hAnsi="Sylfaen" w:cs="Sylfaen"/>
        </w:rPr>
        <w:t>მდებარე</w:t>
      </w:r>
      <w:r w:rsidRPr="003D733D">
        <w:rPr>
          <w:rFonts w:eastAsia="Calibri"/>
        </w:rPr>
        <w:t xml:space="preserve"> </w:t>
      </w:r>
      <w:r w:rsidRPr="003D733D">
        <w:rPr>
          <w:rFonts w:ascii="Sylfaen" w:eastAsia="Calibri" w:hAnsi="Sylfaen" w:cs="Sylfaen"/>
        </w:rPr>
        <w:t>დასახლებული</w:t>
      </w:r>
      <w:r w:rsidRPr="003D733D">
        <w:rPr>
          <w:rFonts w:eastAsia="Calibri"/>
        </w:rPr>
        <w:t xml:space="preserve"> </w:t>
      </w:r>
      <w:r w:rsidRPr="003D733D">
        <w:rPr>
          <w:rFonts w:ascii="Sylfaen" w:eastAsia="Calibri" w:hAnsi="Sylfaen" w:cs="Sylfaen"/>
        </w:rPr>
        <w:t>პუნქტები</w:t>
      </w:r>
    </w:p>
    <w:p w14:paraId="30F2FFDC" w14:textId="5CF2A0C5" w:rsidR="00F8565C" w:rsidRPr="003D733D" w:rsidRDefault="00F8565C" w:rsidP="00F8565C">
      <w:pPr>
        <w:rPr>
          <w:rFonts w:eastAsia="Calibri"/>
        </w:rPr>
      </w:pPr>
      <w:r w:rsidRPr="003D733D">
        <w:rPr>
          <w:noProof/>
          <w:lang w:val="en-US" w:eastAsia="en-US"/>
        </w:rPr>
        <w:drawing>
          <wp:inline distT="0" distB="0" distL="0" distR="0" wp14:anchorId="136F7519" wp14:editId="5A2DE546">
            <wp:extent cx="6141720" cy="25019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6141720" cy="2501900"/>
                    </a:xfrm>
                    <a:prstGeom prst="rect">
                      <a:avLst/>
                    </a:prstGeom>
                    <a:noFill/>
                    <a:ln>
                      <a:noFill/>
                    </a:ln>
                  </pic:spPr>
                </pic:pic>
              </a:graphicData>
            </a:graphic>
          </wp:inline>
        </w:drawing>
      </w:r>
    </w:p>
    <w:p w14:paraId="754E5E48" w14:textId="7EF99EC8" w:rsidR="00F8565C" w:rsidRPr="003D733D" w:rsidRDefault="00F8565C" w:rsidP="00F8565C">
      <w:r w:rsidRPr="003D733D">
        <w:rPr>
          <w:rFonts w:ascii="Sylfaen" w:hAnsi="Sylfaen" w:cs="Sylfaen"/>
        </w:rPr>
        <w:t>სურათი</w:t>
      </w:r>
      <w:r w:rsidRPr="003D733D">
        <w:t xml:space="preserve"> 4.</w:t>
      </w:r>
      <w:r w:rsidR="000B139D">
        <w:rPr>
          <w:rFonts w:ascii="Sylfaen" w:hAnsi="Sylfaen"/>
          <w:lang w:val="ka-GE"/>
        </w:rPr>
        <w:t>7.4-1</w:t>
      </w:r>
      <w:r w:rsidRPr="003D733D">
        <w:t>.</w:t>
      </w:r>
      <w:r w:rsidRPr="003D733D">
        <w:tab/>
      </w:r>
      <w:r w:rsidRPr="003D733D">
        <w:rPr>
          <w:rFonts w:ascii="Sylfaen" w:hAnsi="Sylfaen" w:cs="Sylfaen"/>
        </w:rPr>
        <w:t>საწყისი</w:t>
      </w:r>
      <w:r w:rsidRPr="003D733D">
        <w:t>/</w:t>
      </w:r>
      <w:r w:rsidRPr="003D733D">
        <w:rPr>
          <w:rFonts w:ascii="Sylfaen" w:hAnsi="Sylfaen" w:cs="Sylfaen"/>
        </w:rPr>
        <w:t>საბოლოო</w:t>
      </w:r>
      <w:r w:rsidRPr="003D733D">
        <w:t xml:space="preserve"> </w:t>
      </w:r>
      <w:r w:rsidRPr="003D733D">
        <w:rPr>
          <w:rFonts w:ascii="Sylfaen" w:hAnsi="Sylfaen" w:cs="Sylfaen"/>
        </w:rPr>
        <w:t>პუნქტების</w:t>
      </w:r>
      <w:r w:rsidRPr="003D733D">
        <w:t xml:space="preserve"> </w:t>
      </w:r>
      <w:r w:rsidRPr="003D733D">
        <w:rPr>
          <w:rFonts w:ascii="Sylfaen" w:hAnsi="Sylfaen" w:cs="Sylfaen"/>
        </w:rPr>
        <w:t>გამოკითხვის</w:t>
      </w:r>
      <w:r w:rsidRPr="003D733D">
        <w:t xml:space="preserve"> </w:t>
      </w:r>
      <w:r w:rsidRPr="003D733D">
        <w:rPr>
          <w:rFonts w:ascii="Sylfaen" w:hAnsi="Sylfaen" w:cs="Sylfaen"/>
        </w:rPr>
        <w:t>მონაცემების</w:t>
      </w:r>
      <w:r w:rsidRPr="003D733D">
        <w:t xml:space="preserve"> </w:t>
      </w:r>
      <w:r w:rsidRPr="003D733D">
        <w:rPr>
          <w:rFonts w:ascii="Sylfaen" w:hAnsi="Sylfaen" w:cs="Sylfaen"/>
        </w:rPr>
        <w:t>ზონალური</w:t>
      </w:r>
      <w:r w:rsidRPr="003D733D">
        <w:t xml:space="preserve"> </w:t>
      </w:r>
      <w:r w:rsidRPr="003D733D">
        <w:rPr>
          <w:rFonts w:ascii="Sylfaen" w:hAnsi="Sylfaen" w:cs="Sylfaen"/>
        </w:rPr>
        <w:t>კოდირების</w:t>
      </w:r>
      <w:r w:rsidRPr="003D733D">
        <w:t xml:space="preserve"> </w:t>
      </w:r>
      <w:r w:rsidRPr="003D733D">
        <w:rPr>
          <w:rFonts w:ascii="Sylfaen" w:hAnsi="Sylfaen" w:cs="Sylfaen"/>
        </w:rPr>
        <w:t>გეგმა</w:t>
      </w:r>
      <w:r w:rsidRPr="003D733D">
        <w:t>,</w:t>
      </w:r>
    </w:p>
    <w:p w14:paraId="5A83D54F" w14:textId="77777777" w:rsidR="00F8565C" w:rsidRPr="003D733D" w:rsidRDefault="00F8565C" w:rsidP="00F8565C">
      <w:r w:rsidRPr="003D733D">
        <w:rPr>
          <w:rFonts w:ascii="Sylfaen" w:hAnsi="Sylfaen" w:cs="Sylfaen"/>
        </w:rPr>
        <w:t>წყარო</w:t>
      </w:r>
      <w:r w:rsidRPr="003D733D">
        <w:t xml:space="preserve">: </w:t>
      </w:r>
      <w:r w:rsidRPr="003D733D">
        <w:rPr>
          <w:rFonts w:ascii="Sylfaen" w:hAnsi="Sylfaen" w:cs="Sylfaen"/>
        </w:rPr>
        <w:t>კონსულტანტი</w:t>
      </w:r>
    </w:p>
    <w:p w14:paraId="0E9B19EF" w14:textId="77777777" w:rsidR="00F8565C" w:rsidRPr="003D733D" w:rsidRDefault="00F8565C" w:rsidP="000B139D">
      <w:pPr>
        <w:spacing w:before="120" w:after="120"/>
      </w:pPr>
      <w:r w:rsidRPr="003D733D">
        <w:rPr>
          <w:rFonts w:ascii="Sylfaen" w:hAnsi="Sylfaen" w:cs="Sylfaen"/>
        </w:rPr>
        <w:lastRenderedPageBreak/>
        <w:t>საწყისი</w:t>
      </w:r>
      <w:r w:rsidRPr="003D733D">
        <w:t xml:space="preserve"> </w:t>
      </w:r>
      <w:r w:rsidRPr="003D733D">
        <w:rPr>
          <w:rFonts w:ascii="Sylfaen" w:hAnsi="Sylfaen" w:cs="Sylfaen"/>
        </w:rPr>
        <w:t>და</w:t>
      </w:r>
      <w:r w:rsidRPr="003D733D">
        <w:t xml:space="preserve"> </w:t>
      </w:r>
      <w:r w:rsidRPr="003D733D">
        <w:rPr>
          <w:rFonts w:ascii="Sylfaen" w:hAnsi="Sylfaen" w:cs="Sylfaen"/>
        </w:rPr>
        <w:t>საბოლოო</w:t>
      </w:r>
      <w:r w:rsidRPr="003D733D">
        <w:t xml:space="preserve"> </w:t>
      </w:r>
      <w:r w:rsidRPr="003D733D">
        <w:rPr>
          <w:rFonts w:ascii="Sylfaen" w:hAnsi="Sylfaen" w:cs="Sylfaen"/>
        </w:rPr>
        <w:t>პუნქტების</w:t>
      </w:r>
      <w:r w:rsidRPr="003D733D">
        <w:t xml:space="preserve"> </w:t>
      </w:r>
      <w:r w:rsidRPr="003D733D">
        <w:rPr>
          <w:rFonts w:ascii="Sylfaen" w:hAnsi="Sylfaen" w:cs="Sylfaen"/>
        </w:rPr>
        <w:t>გამოკითხვის</w:t>
      </w:r>
      <w:r w:rsidRPr="003D733D">
        <w:t xml:space="preserve"> </w:t>
      </w:r>
      <w:r w:rsidRPr="003D733D">
        <w:rPr>
          <w:rFonts w:ascii="Sylfaen" w:hAnsi="Sylfaen" w:cs="Sylfaen"/>
        </w:rPr>
        <w:t>ზონების</w:t>
      </w:r>
      <w:r w:rsidRPr="003D733D">
        <w:t xml:space="preserve"> </w:t>
      </w:r>
      <w:r w:rsidRPr="003D733D">
        <w:rPr>
          <w:rFonts w:ascii="Sylfaen" w:hAnsi="Sylfaen" w:cs="Sylfaen"/>
        </w:rPr>
        <w:t>მიხედვით</w:t>
      </w:r>
      <w:r w:rsidRPr="003D733D">
        <w:t xml:space="preserve"> </w:t>
      </w:r>
      <w:r w:rsidRPr="003D733D">
        <w:rPr>
          <w:rFonts w:ascii="Sylfaen" w:hAnsi="Sylfaen" w:cs="Sylfaen"/>
        </w:rPr>
        <w:t>კოდირებული</w:t>
      </w:r>
      <w:r w:rsidRPr="003D733D">
        <w:t xml:space="preserve"> </w:t>
      </w:r>
      <w:r w:rsidRPr="003D733D">
        <w:rPr>
          <w:rFonts w:ascii="Sylfaen" w:hAnsi="Sylfaen" w:cs="Sylfaen"/>
        </w:rPr>
        <w:t>მონაცემების</w:t>
      </w:r>
      <w:r w:rsidRPr="003D733D">
        <w:t xml:space="preserve"> </w:t>
      </w:r>
      <w:r w:rsidRPr="003D733D">
        <w:rPr>
          <w:rFonts w:ascii="Sylfaen" w:hAnsi="Sylfaen" w:cs="Sylfaen"/>
        </w:rPr>
        <w:t>გაანალიზებამ</w:t>
      </w:r>
      <w:r w:rsidRPr="003D733D">
        <w:t xml:space="preserve"> </w:t>
      </w:r>
      <w:r w:rsidRPr="003D733D">
        <w:rPr>
          <w:rFonts w:ascii="Sylfaen" w:hAnsi="Sylfaen" w:cs="Sylfaen"/>
        </w:rPr>
        <w:t>შესაძლებელი</w:t>
      </w:r>
      <w:r w:rsidRPr="003D733D">
        <w:t xml:space="preserve"> </w:t>
      </w:r>
      <w:r w:rsidRPr="003D733D">
        <w:rPr>
          <w:rFonts w:ascii="Sylfaen" w:hAnsi="Sylfaen" w:cs="Sylfaen"/>
        </w:rPr>
        <w:t>გახადა</w:t>
      </w:r>
      <w:r w:rsidRPr="003D733D">
        <w:t xml:space="preserve"> </w:t>
      </w:r>
      <w:r w:rsidRPr="003D733D">
        <w:rPr>
          <w:rFonts w:ascii="Sylfaen" w:hAnsi="Sylfaen" w:cs="Sylfaen"/>
        </w:rPr>
        <w:t>საკვლევი</w:t>
      </w:r>
      <w:r w:rsidRPr="003D733D">
        <w:t xml:space="preserve"> </w:t>
      </w:r>
      <w:r w:rsidRPr="003D733D">
        <w:rPr>
          <w:rFonts w:ascii="Sylfaen" w:hAnsi="Sylfaen" w:cs="Sylfaen"/>
        </w:rPr>
        <w:t>დერეფნის</w:t>
      </w:r>
      <w:r w:rsidRPr="003D733D">
        <w:t xml:space="preserve"> </w:t>
      </w:r>
      <w:r w:rsidRPr="003D733D">
        <w:rPr>
          <w:rFonts w:ascii="Sylfaen" w:hAnsi="Sylfaen" w:cs="Sylfaen"/>
        </w:rPr>
        <w:t>დაყოფა</w:t>
      </w:r>
      <w:r w:rsidRPr="003D733D">
        <w:t xml:space="preserve"> </w:t>
      </w:r>
      <w:r w:rsidRPr="003D733D">
        <w:rPr>
          <w:rFonts w:ascii="Sylfaen" w:hAnsi="Sylfaen" w:cs="Sylfaen"/>
        </w:rPr>
        <w:t>შემდეგი</w:t>
      </w:r>
      <w:r w:rsidRPr="003D733D">
        <w:t xml:space="preserve"> </w:t>
      </w:r>
      <w:r w:rsidRPr="003D733D">
        <w:rPr>
          <w:rFonts w:ascii="Sylfaen" w:hAnsi="Sylfaen" w:cs="Sylfaen"/>
        </w:rPr>
        <w:t>გამსხვილებული</w:t>
      </w:r>
      <w:r w:rsidRPr="003D733D">
        <w:t xml:space="preserve"> </w:t>
      </w:r>
      <w:r w:rsidRPr="003D733D">
        <w:rPr>
          <w:rFonts w:ascii="Sylfaen" w:hAnsi="Sylfaen" w:cs="Sylfaen"/>
        </w:rPr>
        <w:t>კატეგორიების</w:t>
      </w:r>
      <w:r w:rsidRPr="003D733D">
        <w:t xml:space="preserve"> </w:t>
      </w:r>
      <w:r w:rsidRPr="003D733D">
        <w:rPr>
          <w:rFonts w:ascii="Sylfaen" w:hAnsi="Sylfaen" w:cs="Sylfaen"/>
        </w:rPr>
        <w:t>მიხედვით</w:t>
      </w:r>
      <w:r w:rsidRPr="003D733D">
        <w:t>:</w:t>
      </w:r>
    </w:p>
    <w:p w14:paraId="6F3E9E51" w14:textId="77777777" w:rsidR="00F8565C" w:rsidRPr="003D733D" w:rsidRDefault="00F8565C" w:rsidP="000B139D">
      <w:pPr>
        <w:spacing w:before="120" w:after="120"/>
      </w:pPr>
      <w:r w:rsidRPr="003D733D">
        <w:t>-</w:t>
      </w:r>
      <w:r w:rsidRPr="003D733D">
        <w:tab/>
      </w:r>
      <w:r w:rsidRPr="003D733D">
        <w:rPr>
          <w:rFonts w:ascii="Sylfaen" w:hAnsi="Sylfaen" w:cs="Sylfaen"/>
        </w:rPr>
        <w:t>ადგილობრივი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გზის</w:t>
      </w:r>
      <w:r w:rsidRPr="003D733D">
        <w:t xml:space="preserve"> </w:t>
      </w:r>
      <w:r w:rsidRPr="003D733D">
        <w:rPr>
          <w:rFonts w:ascii="Sylfaen" w:hAnsi="Sylfaen" w:cs="Sylfaen"/>
        </w:rPr>
        <w:t>ერთი</w:t>
      </w:r>
      <w:r w:rsidRPr="003D733D">
        <w:t xml:space="preserve"> </w:t>
      </w:r>
      <w:r w:rsidRPr="003D733D">
        <w:rPr>
          <w:rFonts w:ascii="Sylfaen" w:hAnsi="Sylfaen" w:cs="Sylfaen"/>
        </w:rPr>
        <w:t>მონაკვეთის</w:t>
      </w:r>
      <w:r w:rsidRPr="003D733D">
        <w:t xml:space="preserve"> </w:t>
      </w:r>
      <w:r w:rsidRPr="003D733D">
        <w:rPr>
          <w:rFonts w:ascii="Sylfaen" w:hAnsi="Sylfaen" w:cs="Sylfaen"/>
        </w:rPr>
        <w:t>ექვივალენტური</w:t>
      </w:r>
      <w:r w:rsidRPr="003D733D">
        <w:t xml:space="preserve"> </w:t>
      </w:r>
      <w:r w:rsidRPr="003D733D">
        <w:rPr>
          <w:rFonts w:ascii="Sylfaen" w:hAnsi="Sylfaen" w:cs="Sylfaen"/>
        </w:rPr>
        <w:t>ალტერნატიული</w:t>
      </w:r>
      <w:r w:rsidRPr="003D733D">
        <w:t xml:space="preserve"> </w:t>
      </w:r>
      <w:r w:rsidRPr="003D733D">
        <w:rPr>
          <w:rFonts w:ascii="Sylfaen" w:hAnsi="Sylfaen" w:cs="Sylfaen"/>
        </w:rPr>
        <w:t>მონაკვეთის</w:t>
      </w:r>
      <w:r w:rsidRPr="003D733D">
        <w:t xml:space="preserve"> </w:t>
      </w:r>
      <w:r w:rsidRPr="003D733D">
        <w:rPr>
          <w:rFonts w:ascii="Sylfaen" w:hAnsi="Sylfaen" w:cs="Sylfaen"/>
        </w:rPr>
        <w:t>საზღვერბში</w:t>
      </w:r>
      <w:r w:rsidRPr="003D733D">
        <w:t xml:space="preserve"> </w:t>
      </w:r>
      <w:r w:rsidRPr="003D733D">
        <w:rPr>
          <w:rFonts w:ascii="Sylfaen" w:hAnsi="Sylfaen" w:cs="Sylfaen"/>
        </w:rPr>
        <w:t>მოძრავი</w:t>
      </w:r>
      <w:r w:rsidRPr="003D733D">
        <w:t xml:space="preserve"> </w:t>
      </w:r>
      <w:r w:rsidRPr="003D733D">
        <w:rPr>
          <w:rFonts w:ascii="Sylfaen" w:hAnsi="Sylfaen" w:cs="Sylfaen"/>
        </w:rPr>
        <w:t>ავტოტრანსპორტი</w:t>
      </w:r>
      <w:r w:rsidRPr="003D733D">
        <w:t xml:space="preserve">. </w:t>
      </w:r>
    </w:p>
    <w:p w14:paraId="504C87FB" w14:textId="77777777" w:rsidR="00F8565C" w:rsidRPr="003D733D" w:rsidRDefault="00F8565C" w:rsidP="000B139D">
      <w:pPr>
        <w:spacing w:before="120" w:after="120"/>
      </w:pPr>
      <w:r w:rsidRPr="003D733D">
        <w:t>-</w:t>
      </w:r>
      <w:r w:rsidRPr="003D733D">
        <w:tab/>
      </w:r>
      <w:r w:rsidRPr="003D733D">
        <w:rPr>
          <w:rFonts w:ascii="Sylfaen" w:hAnsi="Sylfaen" w:cs="Sylfaen"/>
        </w:rPr>
        <w:t>შუალედური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გზის</w:t>
      </w:r>
      <w:r w:rsidRPr="003D733D">
        <w:t xml:space="preserve"> </w:t>
      </w:r>
      <w:r w:rsidRPr="003D733D">
        <w:rPr>
          <w:rFonts w:ascii="Sylfaen" w:hAnsi="Sylfaen" w:cs="Sylfaen"/>
        </w:rPr>
        <w:t>ერთი</w:t>
      </w:r>
      <w:r w:rsidRPr="003D733D">
        <w:t xml:space="preserve"> </w:t>
      </w:r>
      <w:r w:rsidRPr="003D733D">
        <w:rPr>
          <w:rFonts w:ascii="Sylfaen" w:hAnsi="Sylfaen" w:cs="Sylfaen"/>
        </w:rPr>
        <w:t>ან</w:t>
      </w:r>
      <w:r w:rsidRPr="003D733D">
        <w:t xml:space="preserve"> </w:t>
      </w:r>
      <w:r w:rsidRPr="003D733D">
        <w:rPr>
          <w:rFonts w:ascii="Sylfaen" w:hAnsi="Sylfaen" w:cs="Sylfaen"/>
        </w:rPr>
        <w:t>ორი</w:t>
      </w:r>
      <w:r w:rsidRPr="003D733D">
        <w:t xml:space="preserve"> </w:t>
      </w:r>
      <w:r w:rsidRPr="003D733D">
        <w:rPr>
          <w:rFonts w:ascii="Sylfaen" w:hAnsi="Sylfaen" w:cs="Sylfaen"/>
        </w:rPr>
        <w:t>მონაკვეთის</w:t>
      </w:r>
      <w:r w:rsidRPr="003D733D">
        <w:t xml:space="preserve"> </w:t>
      </w:r>
      <w:r w:rsidRPr="003D733D">
        <w:rPr>
          <w:rFonts w:ascii="Sylfaen" w:hAnsi="Sylfaen" w:cs="Sylfaen"/>
        </w:rPr>
        <w:t>ექვივალენტური</w:t>
      </w:r>
      <w:r w:rsidRPr="003D733D">
        <w:t xml:space="preserve"> </w:t>
      </w:r>
      <w:r w:rsidRPr="003D733D">
        <w:rPr>
          <w:rFonts w:ascii="Sylfaen" w:hAnsi="Sylfaen" w:cs="Sylfaen"/>
        </w:rPr>
        <w:t>ალტერნატიული</w:t>
      </w:r>
      <w:r w:rsidRPr="003D733D">
        <w:t xml:space="preserve"> </w:t>
      </w:r>
      <w:r w:rsidRPr="003D733D">
        <w:rPr>
          <w:rFonts w:ascii="Sylfaen" w:hAnsi="Sylfaen" w:cs="Sylfaen"/>
        </w:rPr>
        <w:t>მონაკვეთების</w:t>
      </w:r>
      <w:r w:rsidRPr="003D733D">
        <w:t xml:space="preserve"> </w:t>
      </w:r>
      <w:r w:rsidRPr="003D733D">
        <w:rPr>
          <w:rFonts w:ascii="Sylfaen" w:hAnsi="Sylfaen" w:cs="Sylfaen"/>
        </w:rPr>
        <w:t>საზღვრებში</w:t>
      </w:r>
      <w:r w:rsidRPr="003D733D">
        <w:t xml:space="preserve"> </w:t>
      </w:r>
      <w:r w:rsidRPr="003D733D">
        <w:rPr>
          <w:rFonts w:ascii="Sylfaen" w:hAnsi="Sylfaen" w:cs="Sylfaen"/>
        </w:rPr>
        <w:t>მოძრავი</w:t>
      </w:r>
      <w:r w:rsidRPr="003D733D">
        <w:t xml:space="preserve"> </w:t>
      </w:r>
      <w:r w:rsidRPr="003D733D">
        <w:rPr>
          <w:rFonts w:ascii="Sylfaen" w:hAnsi="Sylfaen" w:cs="Sylfaen"/>
        </w:rPr>
        <w:t>ავტოტრანსპორტი</w:t>
      </w:r>
      <w:r w:rsidRPr="003D733D">
        <w:t>);</w:t>
      </w:r>
    </w:p>
    <w:p w14:paraId="23097A15" w14:textId="77777777" w:rsidR="00F8565C" w:rsidRPr="003D733D" w:rsidRDefault="00F8565C" w:rsidP="000B139D">
      <w:pPr>
        <w:spacing w:before="120" w:after="120"/>
      </w:pPr>
      <w:r w:rsidRPr="003D733D">
        <w:t>-</w:t>
      </w:r>
      <w:r w:rsidRPr="003D733D">
        <w:tab/>
      </w:r>
      <w:r w:rsidRPr="003D733D">
        <w:rPr>
          <w:rFonts w:ascii="Sylfaen" w:hAnsi="Sylfaen" w:cs="Sylfaen"/>
        </w:rPr>
        <w:t>გრძელ</w:t>
      </w:r>
      <w:r w:rsidRPr="003D733D">
        <w:t xml:space="preserve"> </w:t>
      </w:r>
      <w:r w:rsidRPr="003D733D">
        <w:rPr>
          <w:rFonts w:ascii="Sylfaen" w:hAnsi="Sylfaen" w:cs="Sylfaen"/>
        </w:rPr>
        <w:t>დისტანციებზე</w:t>
      </w:r>
      <w:r w:rsidRPr="003D733D">
        <w:t xml:space="preserve"> </w:t>
      </w:r>
      <w:r w:rsidRPr="003D733D">
        <w:rPr>
          <w:rFonts w:ascii="Sylfaen" w:hAnsi="Sylfaen" w:cs="Sylfaen"/>
        </w:rPr>
        <w:t>მოძრავი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w:t>
      </w:r>
      <w:r w:rsidRPr="003D733D">
        <w:t>(</w:t>
      </w:r>
      <w:r w:rsidRPr="003D733D">
        <w:rPr>
          <w:rFonts w:ascii="Sylfaen" w:hAnsi="Sylfaen" w:cs="Sylfaen"/>
        </w:rPr>
        <w:t>არსებული</w:t>
      </w:r>
      <w:r w:rsidRPr="003D733D">
        <w:t xml:space="preserve"> </w:t>
      </w:r>
      <w:r w:rsidRPr="003D733D">
        <w:rPr>
          <w:rFonts w:ascii="Sylfaen" w:hAnsi="Sylfaen" w:cs="Sylfaen"/>
        </w:rPr>
        <w:t>გზის</w:t>
      </w:r>
      <w:r w:rsidRPr="003D733D">
        <w:t xml:space="preserve"> </w:t>
      </w:r>
      <w:r w:rsidRPr="003D733D">
        <w:rPr>
          <w:rFonts w:ascii="Sylfaen" w:hAnsi="Sylfaen" w:cs="Sylfaen"/>
        </w:rPr>
        <w:t>ორი</w:t>
      </w:r>
      <w:r w:rsidRPr="003D733D">
        <w:t xml:space="preserve"> </w:t>
      </w:r>
      <w:r w:rsidRPr="003D733D">
        <w:rPr>
          <w:rFonts w:ascii="Sylfaen" w:hAnsi="Sylfaen" w:cs="Sylfaen"/>
        </w:rPr>
        <w:t>ან</w:t>
      </w:r>
      <w:r w:rsidRPr="003D733D">
        <w:t xml:space="preserve"> </w:t>
      </w:r>
      <w:r w:rsidRPr="003D733D">
        <w:rPr>
          <w:rFonts w:ascii="Sylfaen" w:hAnsi="Sylfaen" w:cs="Sylfaen"/>
        </w:rPr>
        <w:t>მეტი</w:t>
      </w:r>
      <w:r w:rsidRPr="003D733D">
        <w:t xml:space="preserve"> </w:t>
      </w:r>
      <w:r w:rsidRPr="003D733D">
        <w:rPr>
          <w:rFonts w:ascii="Sylfaen" w:hAnsi="Sylfaen" w:cs="Sylfaen"/>
        </w:rPr>
        <w:t>მონაკვეთის</w:t>
      </w:r>
      <w:r w:rsidRPr="003D733D">
        <w:t xml:space="preserve"> </w:t>
      </w:r>
      <w:r w:rsidRPr="003D733D">
        <w:rPr>
          <w:rFonts w:ascii="Sylfaen" w:hAnsi="Sylfaen" w:cs="Sylfaen"/>
        </w:rPr>
        <w:t>ექვივალენტურ</w:t>
      </w:r>
      <w:r w:rsidRPr="003D733D">
        <w:t xml:space="preserve"> </w:t>
      </w:r>
      <w:r w:rsidRPr="003D733D">
        <w:rPr>
          <w:rFonts w:ascii="Sylfaen" w:hAnsi="Sylfaen" w:cs="Sylfaen"/>
        </w:rPr>
        <w:t>მონაკვეთებზე</w:t>
      </w:r>
      <w:r w:rsidRPr="003D733D">
        <w:t xml:space="preserve"> </w:t>
      </w:r>
      <w:r w:rsidRPr="003D733D">
        <w:rPr>
          <w:rFonts w:ascii="Sylfaen" w:hAnsi="Sylfaen" w:cs="Sylfaen"/>
        </w:rPr>
        <w:t>მოძრავი</w:t>
      </w:r>
      <w:r w:rsidRPr="003D733D">
        <w:t xml:space="preserve"> </w:t>
      </w:r>
      <w:r w:rsidRPr="003D733D">
        <w:rPr>
          <w:rFonts w:ascii="Sylfaen" w:hAnsi="Sylfaen" w:cs="Sylfaen"/>
        </w:rPr>
        <w:t>ავტოტრანსპორტი</w:t>
      </w:r>
      <w:r w:rsidRPr="003D733D">
        <w:t>).</w:t>
      </w:r>
    </w:p>
    <w:p w14:paraId="3D9D3F8F" w14:textId="77777777" w:rsidR="00F8565C" w:rsidRPr="003D733D" w:rsidRDefault="00F8565C" w:rsidP="000B139D">
      <w:pPr>
        <w:spacing w:before="120" w:after="120"/>
      </w:pPr>
      <w:r w:rsidRPr="003D733D">
        <w:rPr>
          <w:rFonts w:ascii="Sylfaen" w:hAnsi="Sylfaen" w:cs="Sylfaen"/>
        </w:rPr>
        <w:t>დაშვებულია</w:t>
      </w:r>
      <w:r w:rsidRPr="003D733D">
        <w:t xml:space="preserve">, </w:t>
      </w:r>
      <w:r w:rsidRPr="003D733D">
        <w:rPr>
          <w:rFonts w:ascii="Sylfaen" w:hAnsi="Sylfaen" w:cs="Sylfaen"/>
        </w:rPr>
        <w:t>რომ</w:t>
      </w:r>
      <w:r w:rsidRPr="003D733D">
        <w:t xml:space="preserve"> </w:t>
      </w:r>
      <w:r w:rsidRPr="003D733D">
        <w:rPr>
          <w:rFonts w:ascii="Sylfaen" w:hAnsi="Sylfaen" w:cs="Sylfaen"/>
        </w:rPr>
        <w:t>პირველი</w:t>
      </w:r>
      <w:r w:rsidRPr="003D733D">
        <w:t xml:space="preserve"> (</w:t>
      </w:r>
      <w:r w:rsidRPr="003D733D">
        <w:rPr>
          <w:rFonts w:ascii="Sylfaen" w:hAnsi="Sylfaen" w:cs="Sylfaen"/>
        </w:rPr>
        <w:t>ადგილობრივი</w:t>
      </w:r>
      <w:r w:rsidRPr="003D733D">
        <w:t xml:space="preserve">) </w:t>
      </w:r>
      <w:r w:rsidRPr="003D733D">
        <w:rPr>
          <w:rFonts w:ascii="Sylfaen" w:hAnsi="Sylfaen" w:cs="Sylfaen"/>
        </w:rPr>
        <w:t>კატეგორიის</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w:t>
      </w:r>
      <w:r w:rsidRPr="003D733D">
        <w:t xml:space="preserve"> </w:t>
      </w:r>
      <w:r w:rsidRPr="003D733D">
        <w:rPr>
          <w:rFonts w:ascii="Sylfaen" w:hAnsi="Sylfaen" w:cs="Sylfaen"/>
        </w:rPr>
        <w:t>არსებულ</w:t>
      </w:r>
      <w:r w:rsidRPr="003D733D">
        <w:t xml:space="preserve"> </w:t>
      </w:r>
      <w:r w:rsidRPr="003D733D">
        <w:rPr>
          <w:rFonts w:ascii="Sylfaen" w:hAnsi="Sylfaen" w:cs="Sylfaen"/>
        </w:rPr>
        <w:t>გზაზე</w:t>
      </w:r>
      <w:r w:rsidRPr="003D733D">
        <w:t xml:space="preserve"> </w:t>
      </w:r>
      <w:r w:rsidRPr="003D733D">
        <w:rPr>
          <w:rFonts w:ascii="Sylfaen" w:hAnsi="Sylfaen" w:cs="Sylfaen"/>
        </w:rPr>
        <w:t>დარჩება</w:t>
      </w:r>
      <w:r w:rsidRPr="003D733D">
        <w:t xml:space="preserve"> </w:t>
      </w:r>
      <w:r w:rsidRPr="003D733D">
        <w:rPr>
          <w:rFonts w:ascii="Sylfaen" w:hAnsi="Sylfaen" w:cs="Sylfaen"/>
        </w:rPr>
        <w:t>და</w:t>
      </w:r>
      <w:r w:rsidRPr="003D733D">
        <w:t xml:space="preserve"> </w:t>
      </w:r>
      <w:r w:rsidRPr="003D733D">
        <w:rPr>
          <w:rFonts w:ascii="Sylfaen" w:hAnsi="Sylfaen" w:cs="Sylfaen"/>
        </w:rPr>
        <w:t>ალტერნატივის</w:t>
      </w:r>
      <w:r w:rsidRPr="003D733D">
        <w:t xml:space="preserve"> </w:t>
      </w:r>
      <w:r w:rsidRPr="003D733D">
        <w:rPr>
          <w:rFonts w:ascii="Sylfaen" w:hAnsi="Sylfaen" w:cs="Sylfaen"/>
        </w:rPr>
        <w:t>სახით</w:t>
      </w:r>
      <w:r w:rsidRPr="003D733D">
        <w:t xml:space="preserve"> </w:t>
      </w:r>
      <w:r w:rsidRPr="003D733D">
        <w:rPr>
          <w:rFonts w:ascii="Sylfaen" w:hAnsi="Sylfaen" w:cs="Sylfaen"/>
        </w:rPr>
        <w:t>სხვა</w:t>
      </w:r>
      <w:r w:rsidRPr="003D733D">
        <w:t xml:space="preserve"> </w:t>
      </w:r>
      <w:r w:rsidRPr="003D733D">
        <w:rPr>
          <w:rFonts w:ascii="Sylfaen" w:hAnsi="Sylfaen" w:cs="Sylfaen"/>
        </w:rPr>
        <w:t>მარშრუტს</w:t>
      </w:r>
      <w:r w:rsidRPr="003D733D">
        <w:t xml:space="preserve"> </w:t>
      </w:r>
      <w:r w:rsidRPr="003D733D">
        <w:rPr>
          <w:rFonts w:ascii="Sylfaen" w:hAnsi="Sylfaen" w:cs="Sylfaen"/>
        </w:rPr>
        <w:t>არ</w:t>
      </w:r>
      <w:r w:rsidRPr="003D733D">
        <w:t xml:space="preserve"> </w:t>
      </w:r>
      <w:r w:rsidRPr="003D733D">
        <w:rPr>
          <w:rFonts w:ascii="Sylfaen" w:hAnsi="Sylfaen" w:cs="Sylfaen"/>
        </w:rPr>
        <w:t>გამოიყენებს</w:t>
      </w:r>
      <w:r w:rsidRPr="003D733D">
        <w:t xml:space="preserve">. </w:t>
      </w:r>
      <w:r w:rsidRPr="003D733D">
        <w:rPr>
          <w:rFonts w:ascii="Sylfaen" w:hAnsi="Sylfaen" w:cs="Sylfaen"/>
        </w:rPr>
        <w:t>მეორეს</w:t>
      </w:r>
      <w:r w:rsidRPr="003D733D">
        <w:t xml:space="preserve"> </w:t>
      </w:r>
      <w:r w:rsidRPr="003D733D">
        <w:rPr>
          <w:rFonts w:ascii="Sylfaen" w:hAnsi="Sylfaen" w:cs="Sylfaen"/>
        </w:rPr>
        <w:t>მხრივ</w:t>
      </w:r>
      <w:r w:rsidRPr="003D733D">
        <w:t xml:space="preserve">, </w:t>
      </w:r>
      <w:r w:rsidRPr="003D733D">
        <w:rPr>
          <w:rFonts w:ascii="Sylfaen" w:hAnsi="Sylfaen" w:cs="Sylfaen"/>
        </w:rPr>
        <w:t>გრძელ</w:t>
      </w:r>
      <w:r w:rsidRPr="003D733D">
        <w:t xml:space="preserve"> </w:t>
      </w:r>
      <w:r w:rsidRPr="003D733D">
        <w:rPr>
          <w:rFonts w:ascii="Sylfaen" w:hAnsi="Sylfaen" w:cs="Sylfaen"/>
        </w:rPr>
        <w:t>დისტანციებზე</w:t>
      </w:r>
      <w:r w:rsidRPr="003D733D">
        <w:t xml:space="preserve"> </w:t>
      </w:r>
      <w:r w:rsidRPr="003D733D">
        <w:rPr>
          <w:rFonts w:ascii="Sylfaen" w:hAnsi="Sylfaen" w:cs="Sylfaen"/>
        </w:rPr>
        <w:t>მოძრავი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w:t>
      </w:r>
      <w:r w:rsidRPr="003D733D">
        <w:t xml:space="preserve"> </w:t>
      </w:r>
      <w:r w:rsidRPr="003D733D">
        <w:rPr>
          <w:rFonts w:ascii="Sylfaen" w:hAnsi="Sylfaen" w:cs="Sylfaen"/>
        </w:rPr>
        <w:t>ახალ</w:t>
      </w:r>
      <w:r w:rsidRPr="003D733D">
        <w:t xml:space="preserve"> (</w:t>
      </w:r>
      <w:r w:rsidRPr="003D733D">
        <w:rPr>
          <w:rFonts w:ascii="Sylfaen" w:hAnsi="Sylfaen" w:cs="Sylfaen"/>
        </w:rPr>
        <w:t>ალტერნატიულ</w:t>
      </w:r>
      <w:r w:rsidRPr="003D733D">
        <w:t xml:space="preserve">) </w:t>
      </w:r>
      <w:r w:rsidRPr="003D733D">
        <w:rPr>
          <w:rFonts w:ascii="Sylfaen" w:hAnsi="Sylfaen" w:cs="Sylfaen"/>
        </w:rPr>
        <w:t>გზაზე</w:t>
      </w:r>
      <w:r w:rsidRPr="003D733D">
        <w:t xml:space="preserve"> </w:t>
      </w:r>
      <w:r w:rsidRPr="003D733D">
        <w:rPr>
          <w:rFonts w:ascii="Sylfaen" w:hAnsi="Sylfaen" w:cs="Sylfaen"/>
        </w:rPr>
        <w:t>გადავა</w:t>
      </w:r>
      <w:r w:rsidRPr="003D733D">
        <w:t xml:space="preserve">. </w:t>
      </w:r>
      <w:r w:rsidRPr="003D733D">
        <w:rPr>
          <w:rFonts w:ascii="Sylfaen" w:hAnsi="Sylfaen" w:cs="Sylfaen"/>
        </w:rPr>
        <w:t>აღნიშნული</w:t>
      </w:r>
      <w:r w:rsidRPr="003D733D">
        <w:t xml:space="preserve"> </w:t>
      </w:r>
      <w:r w:rsidRPr="003D733D">
        <w:rPr>
          <w:rFonts w:ascii="Sylfaen" w:hAnsi="Sylfaen" w:cs="Sylfaen"/>
        </w:rPr>
        <w:t>დაშვება</w:t>
      </w:r>
      <w:r w:rsidRPr="003D733D">
        <w:t xml:space="preserve"> </w:t>
      </w:r>
      <w:r w:rsidRPr="003D733D">
        <w:rPr>
          <w:rFonts w:ascii="Sylfaen" w:hAnsi="Sylfaen" w:cs="Sylfaen"/>
        </w:rPr>
        <w:t>ფაქტიურად</w:t>
      </w:r>
      <w:r w:rsidRPr="003D733D">
        <w:t xml:space="preserve"> </w:t>
      </w:r>
      <w:r w:rsidRPr="003D733D">
        <w:rPr>
          <w:rFonts w:ascii="Sylfaen" w:hAnsi="Sylfaen" w:cs="Sylfaen"/>
        </w:rPr>
        <w:t>შეესაბამება</w:t>
      </w:r>
      <w:r w:rsidRPr="003D733D">
        <w:t xml:space="preserve"> “</w:t>
      </w:r>
      <w:r w:rsidRPr="003D733D">
        <w:rPr>
          <w:rFonts w:ascii="Sylfaen" w:hAnsi="Sylfaen" w:cs="Sylfaen"/>
        </w:rPr>
        <w:t>ყველაფერი</w:t>
      </w:r>
      <w:r w:rsidRPr="003D733D">
        <w:t xml:space="preserve"> </w:t>
      </w:r>
      <w:r w:rsidRPr="003D733D">
        <w:rPr>
          <w:rFonts w:ascii="Sylfaen" w:hAnsi="Sylfaen" w:cs="Sylfaen"/>
        </w:rPr>
        <w:t>ან</w:t>
      </w:r>
      <w:r w:rsidRPr="003D733D">
        <w:t xml:space="preserve"> </w:t>
      </w:r>
      <w:r w:rsidRPr="003D733D">
        <w:rPr>
          <w:rFonts w:ascii="Sylfaen" w:hAnsi="Sylfaen" w:cs="Sylfaen"/>
        </w:rPr>
        <w:t>არაფერი</w:t>
      </w:r>
      <w:r w:rsidRPr="003D733D">
        <w:t xml:space="preserve">” </w:t>
      </w:r>
      <w:r w:rsidRPr="003D733D">
        <w:rPr>
          <w:rFonts w:ascii="Sylfaen" w:hAnsi="Sylfaen" w:cs="Sylfaen"/>
        </w:rPr>
        <w:t>ტიპის</w:t>
      </w:r>
      <w:r w:rsidRPr="003D733D">
        <w:t xml:space="preserve"> </w:t>
      </w:r>
      <w:r w:rsidRPr="003D733D">
        <w:rPr>
          <w:rFonts w:ascii="Sylfaen" w:hAnsi="Sylfaen" w:cs="Sylfaen"/>
        </w:rPr>
        <w:t>გადაწყვეტილებებს</w:t>
      </w:r>
      <w:r w:rsidRPr="003D733D">
        <w:t xml:space="preserve">. </w:t>
      </w:r>
    </w:p>
    <w:p w14:paraId="549C392C" w14:textId="77777777" w:rsidR="00F8565C" w:rsidRPr="003D733D" w:rsidRDefault="00F8565C" w:rsidP="000B139D">
      <w:pPr>
        <w:spacing w:before="120" w:after="120"/>
      </w:pPr>
      <w:r w:rsidRPr="003D733D">
        <w:rPr>
          <w:rFonts w:ascii="Sylfaen" w:hAnsi="Sylfaen" w:cs="Sylfaen"/>
        </w:rPr>
        <w:t>საწყისი</w:t>
      </w:r>
      <w:r w:rsidRPr="003D733D">
        <w:t>/</w:t>
      </w:r>
      <w:r w:rsidRPr="003D733D">
        <w:rPr>
          <w:rFonts w:ascii="Sylfaen" w:hAnsi="Sylfaen" w:cs="Sylfaen"/>
        </w:rPr>
        <w:t>საბოლოო</w:t>
      </w:r>
      <w:r w:rsidRPr="003D733D">
        <w:t xml:space="preserve"> </w:t>
      </w:r>
      <w:r w:rsidRPr="003D733D">
        <w:rPr>
          <w:rFonts w:ascii="Sylfaen" w:hAnsi="Sylfaen" w:cs="Sylfaen"/>
        </w:rPr>
        <w:t>პუნქტების</w:t>
      </w:r>
      <w:r w:rsidRPr="003D733D">
        <w:t xml:space="preserve"> </w:t>
      </w:r>
      <w:r w:rsidRPr="003D733D">
        <w:rPr>
          <w:rFonts w:ascii="Sylfaen" w:hAnsi="Sylfaen" w:cs="Sylfaen"/>
        </w:rPr>
        <w:t>გამოკითხვების</w:t>
      </w:r>
      <w:r w:rsidRPr="003D733D">
        <w:t xml:space="preserve"> </w:t>
      </w:r>
      <w:r w:rsidRPr="003D733D">
        <w:rPr>
          <w:rFonts w:ascii="Sylfaen" w:hAnsi="Sylfaen" w:cs="Sylfaen"/>
        </w:rPr>
        <w:t>შედეგების</w:t>
      </w:r>
      <w:r w:rsidRPr="003D733D">
        <w:t xml:space="preserve"> </w:t>
      </w:r>
      <w:r w:rsidRPr="003D733D">
        <w:rPr>
          <w:rFonts w:ascii="Sylfaen" w:hAnsi="Sylfaen" w:cs="Sylfaen"/>
        </w:rPr>
        <w:t>შეფასების</w:t>
      </w:r>
      <w:r w:rsidRPr="003D733D">
        <w:t xml:space="preserve"> </w:t>
      </w:r>
      <w:r w:rsidRPr="003D733D">
        <w:rPr>
          <w:rFonts w:ascii="Sylfaen" w:hAnsi="Sylfaen" w:cs="Sylfaen"/>
        </w:rPr>
        <w:t>საფუძველზე</w:t>
      </w:r>
      <w:r w:rsidRPr="003D733D">
        <w:t xml:space="preserve"> </w:t>
      </w:r>
      <w:r w:rsidRPr="003D733D">
        <w:rPr>
          <w:rFonts w:ascii="Sylfaen" w:hAnsi="Sylfaen" w:cs="Sylfaen"/>
        </w:rPr>
        <w:t>და</w:t>
      </w:r>
      <w:r w:rsidRPr="003D733D">
        <w:t xml:space="preserve"> </w:t>
      </w:r>
      <w:r w:rsidRPr="003D733D">
        <w:rPr>
          <w:rFonts w:ascii="Sylfaen" w:hAnsi="Sylfaen" w:cs="Sylfaen"/>
        </w:rPr>
        <w:t>გზების</w:t>
      </w:r>
      <w:r w:rsidRPr="003D733D">
        <w:t xml:space="preserve"> </w:t>
      </w:r>
      <w:r w:rsidRPr="003D733D">
        <w:rPr>
          <w:rFonts w:ascii="Sylfaen" w:hAnsi="Sylfaen" w:cs="Sylfaen"/>
        </w:rPr>
        <w:t>დეპარტამენტის</w:t>
      </w:r>
      <w:r w:rsidRPr="003D733D">
        <w:t xml:space="preserve"> </w:t>
      </w:r>
      <w:r w:rsidRPr="003D733D">
        <w:rPr>
          <w:rFonts w:ascii="Sylfaen" w:hAnsi="Sylfaen" w:cs="Sylfaen"/>
        </w:rPr>
        <w:t>და</w:t>
      </w:r>
      <w:r w:rsidRPr="003D733D">
        <w:t xml:space="preserve"> </w:t>
      </w:r>
      <w:r w:rsidRPr="003D733D">
        <w:rPr>
          <w:rFonts w:ascii="Sylfaen" w:hAnsi="Sylfaen" w:cs="Sylfaen"/>
        </w:rPr>
        <w:t>ჳბღდ</w:t>
      </w:r>
      <w:r w:rsidRPr="003D733D">
        <w:t>-</w:t>
      </w:r>
      <w:r w:rsidRPr="003D733D">
        <w:rPr>
          <w:rFonts w:ascii="Sylfaen" w:hAnsi="Sylfaen" w:cs="Sylfaen"/>
        </w:rPr>
        <w:t>ის</w:t>
      </w:r>
      <w:r w:rsidRPr="003D733D">
        <w:t xml:space="preserve"> </w:t>
      </w:r>
      <w:r w:rsidRPr="003D733D">
        <w:rPr>
          <w:rFonts w:ascii="Sylfaen" w:hAnsi="Sylfaen" w:cs="Sylfaen"/>
        </w:rPr>
        <w:t>სახელით</w:t>
      </w:r>
      <w:r w:rsidRPr="003D733D">
        <w:t xml:space="preserve"> “</w:t>
      </w:r>
      <w:r w:rsidRPr="003D733D">
        <w:rPr>
          <w:rFonts w:ascii="Sylfaen" w:hAnsi="Sylfaen" w:cs="Sylfaen"/>
        </w:rPr>
        <w:t>ბაკურციხე</w:t>
      </w:r>
      <w:r w:rsidRPr="003D733D">
        <w:t>-</w:t>
      </w:r>
      <w:r w:rsidRPr="003D733D">
        <w:rPr>
          <w:rFonts w:ascii="Sylfaen" w:hAnsi="Sylfaen" w:cs="Sylfaen"/>
        </w:rPr>
        <w:t>გურჯაანის</w:t>
      </w:r>
      <w:r w:rsidRPr="003D733D">
        <w:t xml:space="preserve"> </w:t>
      </w:r>
      <w:r w:rsidRPr="003D733D">
        <w:rPr>
          <w:rFonts w:ascii="Sylfaen" w:hAnsi="Sylfaen" w:cs="Sylfaen"/>
        </w:rPr>
        <w:t>შემოვლითი</w:t>
      </w:r>
      <w:r w:rsidRPr="003D733D">
        <w:t xml:space="preserve"> </w:t>
      </w:r>
      <w:r w:rsidRPr="003D733D">
        <w:rPr>
          <w:rFonts w:ascii="Sylfaen" w:hAnsi="Sylfaen" w:cs="Sylfaen"/>
        </w:rPr>
        <w:t>გზის</w:t>
      </w:r>
      <w:r w:rsidRPr="003D733D">
        <w:t xml:space="preserve"> </w:t>
      </w:r>
      <w:r w:rsidRPr="003D733D">
        <w:rPr>
          <w:rFonts w:ascii="Sylfaen" w:hAnsi="Sylfaen" w:cs="Sylfaen"/>
        </w:rPr>
        <w:t>პროექტისთვის</w:t>
      </w:r>
      <w:r w:rsidRPr="003D733D">
        <w:t xml:space="preserve">” </w:t>
      </w:r>
      <w:r w:rsidRPr="003D733D">
        <w:rPr>
          <w:rFonts w:ascii="Sylfaen" w:hAnsi="Sylfaen" w:cs="Sylfaen"/>
        </w:rPr>
        <w:t>შესრულებული</w:t>
      </w:r>
      <w:r w:rsidRPr="003D733D">
        <w:t xml:space="preserve"> </w:t>
      </w:r>
      <w:r w:rsidRPr="003D733D">
        <w:rPr>
          <w:rFonts w:ascii="Sylfaen" w:hAnsi="Sylfaen" w:cs="Sylfaen"/>
        </w:rPr>
        <w:t>სამუშაოს</w:t>
      </w:r>
      <w:r w:rsidRPr="003D733D">
        <w:t xml:space="preserve"> </w:t>
      </w:r>
      <w:r w:rsidRPr="003D733D">
        <w:rPr>
          <w:rFonts w:ascii="Sylfaen" w:hAnsi="Sylfaen" w:cs="Sylfaen"/>
        </w:rPr>
        <w:t>გათვალისწინებით</w:t>
      </w:r>
      <w:r w:rsidRPr="003D733D">
        <w:t xml:space="preserve">, </w:t>
      </w:r>
      <w:r w:rsidRPr="003D733D">
        <w:rPr>
          <w:rFonts w:ascii="Sylfaen" w:hAnsi="Sylfaen" w:cs="Sylfaen"/>
        </w:rPr>
        <w:t>დაშვებულ</w:t>
      </w:r>
      <w:r w:rsidRPr="003D733D">
        <w:t xml:space="preserve"> </w:t>
      </w:r>
      <w:r w:rsidRPr="003D733D">
        <w:rPr>
          <w:rFonts w:ascii="Sylfaen" w:hAnsi="Sylfaen" w:cs="Sylfaen"/>
        </w:rPr>
        <w:t>იქნა</w:t>
      </w:r>
      <w:r w:rsidRPr="003D733D">
        <w:t xml:space="preserve">, </w:t>
      </w:r>
      <w:r w:rsidRPr="003D733D">
        <w:rPr>
          <w:rFonts w:ascii="Sylfaen" w:hAnsi="Sylfaen" w:cs="Sylfaen"/>
        </w:rPr>
        <w:t>რომ</w:t>
      </w:r>
      <w:r w:rsidRPr="003D733D">
        <w:t xml:space="preserve"> </w:t>
      </w:r>
      <w:r w:rsidRPr="003D733D">
        <w:rPr>
          <w:rFonts w:ascii="Sylfaen" w:hAnsi="Sylfaen" w:cs="Sylfaen"/>
        </w:rPr>
        <w:t>შუალედური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w:t>
      </w:r>
      <w:r w:rsidRPr="003D733D">
        <w:t xml:space="preserve"> </w:t>
      </w:r>
      <w:r w:rsidRPr="003D733D">
        <w:rPr>
          <w:rFonts w:ascii="Sylfaen" w:hAnsi="Sylfaen" w:cs="Sylfaen"/>
        </w:rPr>
        <w:t>შემოთავაზებულ</w:t>
      </w:r>
      <w:r w:rsidRPr="003D733D">
        <w:t xml:space="preserve"> </w:t>
      </w:r>
      <w:r w:rsidRPr="003D733D">
        <w:rPr>
          <w:rFonts w:ascii="Sylfaen" w:hAnsi="Sylfaen" w:cs="Sylfaen"/>
        </w:rPr>
        <w:t>ალტერნატიულ</w:t>
      </w:r>
      <w:r w:rsidRPr="003D733D">
        <w:t xml:space="preserve"> </w:t>
      </w:r>
      <w:r w:rsidRPr="003D733D">
        <w:rPr>
          <w:rFonts w:ascii="Sylfaen" w:hAnsi="Sylfaen" w:cs="Sylfaen"/>
        </w:rPr>
        <w:t>მარშრუტს</w:t>
      </w:r>
      <w:r w:rsidRPr="003D733D">
        <w:t xml:space="preserve"> </w:t>
      </w:r>
      <w:r w:rsidRPr="003D733D">
        <w:rPr>
          <w:rFonts w:ascii="Sylfaen" w:hAnsi="Sylfaen" w:cs="Sylfaen"/>
        </w:rPr>
        <w:t>გამოიყენებს</w:t>
      </w:r>
      <w:r w:rsidRPr="003D733D">
        <w:t xml:space="preserve">. </w:t>
      </w:r>
      <w:r w:rsidRPr="003D733D">
        <w:rPr>
          <w:rFonts w:ascii="Sylfaen" w:hAnsi="Sylfaen" w:cs="Sylfaen"/>
        </w:rPr>
        <w:t>ბაკურციხე</w:t>
      </w:r>
      <w:r w:rsidRPr="003D733D">
        <w:t>-</w:t>
      </w:r>
      <w:r w:rsidRPr="003D733D">
        <w:rPr>
          <w:rFonts w:ascii="Sylfaen" w:hAnsi="Sylfaen" w:cs="Sylfaen"/>
        </w:rPr>
        <w:t>წნორის</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მონაკვეთზე</w:t>
      </w:r>
      <w:r w:rsidRPr="003D733D">
        <w:t xml:space="preserve"> </w:t>
      </w:r>
      <w:r w:rsidRPr="003D733D">
        <w:rPr>
          <w:rFonts w:ascii="Sylfaen" w:hAnsi="Sylfaen" w:cs="Sylfaen"/>
        </w:rPr>
        <w:t>ჩატარებული</w:t>
      </w:r>
      <w:r w:rsidRPr="003D733D">
        <w:t xml:space="preserve"> </w:t>
      </w:r>
      <w:r w:rsidRPr="003D733D">
        <w:rPr>
          <w:rFonts w:ascii="Sylfaen" w:hAnsi="Sylfaen" w:cs="Sylfaen"/>
        </w:rPr>
        <w:t>საწყისი</w:t>
      </w:r>
      <w:r w:rsidRPr="003D733D">
        <w:t xml:space="preserve"> </w:t>
      </w:r>
      <w:r w:rsidRPr="003D733D">
        <w:rPr>
          <w:rFonts w:ascii="Sylfaen" w:hAnsi="Sylfaen" w:cs="Sylfaen"/>
        </w:rPr>
        <w:t>და</w:t>
      </w:r>
      <w:r w:rsidRPr="003D733D">
        <w:t xml:space="preserve"> </w:t>
      </w:r>
      <w:r w:rsidRPr="003D733D">
        <w:rPr>
          <w:rFonts w:ascii="Sylfaen" w:hAnsi="Sylfaen" w:cs="Sylfaen"/>
        </w:rPr>
        <w:t>საბოლოო</w:t>
      </w:r>
      <w:r w:rsidRPr="003D733D">
        <w:t xml:space="preserve"> </w:t>
      </w:r>
      <w:r w:rsidRPr="003D733D">
        <w:rPr>
          <w:rFonts w:ascii="Sylfaen" w:hAnsi="Sylfaen" w:cs="Sylfaen"/>
        </w:rPr>
        <w:t>პუნქტების</w:t>
      </w:r>
      <w:r w:rsidRPr="003D733D">
        <w:t xml:space="preserve"> </w:t>
      </w:r>
      <w:r w:rsidRPr="003D733D">
        <w:rPr>
          <w:rFonts w:ascii="Sylfaen" w:hAnsi="Sylfaen" w:cs="Sylfaen"/>
        </w:rPr>
        <w:t>გამოკითხვის</w:t>
      </w:r>
      <w:r w:rsidRPr="003D733D">
        <w:t xml:space="preserve"> </w:t>
      </w:r>
      <w:r w:rsidRPr="003D733D">
        <w:rPr>
          <w:rFonts w:ascii="Sylfaen" w:hAnsi="Sylfaen" w:cs="Sylfaen"/>
        </w:rPr>
        <w:t>შედეგად</w:t>
      </w:r>
      <w:r w:rsidRPr="003D733D">
        <w:t xml:space="preserve"> </w:t>
      </w:r>
      <w:r w:rsidRPr="003D733D">
        <w:rPr>
          <w:rFonts w:ascii="Sylfaen" w:hAnsi="Sylfaen" w:cs="Sylfaen"/>
        </w:rPr>
        <w:t>გაანგარიშებული</w:t>
      </w:r>
      <w:r w:rsidRPr="003D733D">
        <w:t xml:space="preserve"> </w:t>
      </w:r>
      <w:r w:rsidRPr="003D733D">
        <w:rPr>
          <w:rFonts w:ascii="Sylfaen" w:hAnsi="Sylfaen" w:cs="Sylfaen"/>
        </w:rPr>
        <w:t>სვლაგეზების</w:t>
      </w:r>
      <w:r w:rsidRPr="003D733D">
        <w:t xml:space="preserve"> </w:t>
      </w:r>
      <w:r w:rsidRPr="003D733D">
        <w:rPr>
          <w:rFonts w:ascii="Sylfaen" w:hAnsi="Sylfaen" w:cs="Sylfaen"/>
        </w:rPr>
        <w:t>კატეგორიების</w:t>
      </w:r>
      <w:r w:rsidRPr="003D733D">
        <w:t xml:space="preserve"> </w:t>
      </w:r>
      <w:r w:rsidRPr="003D733D">
        <w:rPr>
          <w:rFonts w:ascii="Sylfaen" w:hAnsi="Sylfaen" w:cs="Sylfaen"/>
        </w:rPr>
        <w:t>გამოყენებით</w:t>
      </w:r>
      <w:r w:rsidRPr="003D733D">
        <w:t xml:space="preserve">, </w:t>
      </w:r>
      <w:r w:rsidRPr="003D733D">
        <w:rPr>
          <w:rFonts w:ascii="Sylfaen" w:hAnsi="Sylfaen" w:cs="Sylfaen"/>
        </w:rPr>
        <w:t>ასეთი</w:t>
      </w:r>
      <w:r w:rsidRPr="003D733D">
        <w:t xml:space="preserve"> </w:t>
      </w:r>
      <w:r w:rsidRPr="003D733D">
        <w:rPr>
          <w:rFonts w:ascii="Sylfaen" w:hAnsi="Sylfaen" w:cs="Sylfaen"/>
        </w:rPr>
        <w:t>დაშვება</w:t>
      </w:r>
      <w:r w:rsidRPr="003D733D">
        <w:t xml:space="preserve"> </w:t>
      </w:r>
      <w:r w:rsidRPr="003D733D">
        <w:rPr>
          <w:rFonts w:ascii="Sylfaen" w:hAnsi="Sylfaen" w:cs="Sylfaen"/>
        </w:rPr>
        <w:t>იძლევა</w:t>
      </w:r>
      <w:r w:rsidRPr="003D733D">
        <w:t xml:space="preserve"> “</w:t>
      </w:r>
      <w:r w:rsidRPr="003D733D">
        <w:rPr>
          <w:rFonts w:ascii="Sylfaen" w:hAnsi="Sylfaen" w:cs="Sylfaen"/>
        </w:rPr>
        <w:t>გადასვლის</w:t>
      </w:r>
      <w:r w:rsidRPr="003D733D">
        <w:t xml:space="preserve"> </w:t>
      </w:r>
      <w:r w:rsidRPr="003D733D">
        <w:rPr>
          <w:rFonts w:ascii="Sylfaen" w:hAnsi="Sylfaen" w:cs="Sylfaen"/>
        </w:rPr>
        <w:t>კოეფიციენტების</w:t>
      </w:r>
      <w:r w:rsidRPr="003D733D">
        <w:t xml:space="preserve">” 50%-55% </w:t>
      </w:r>
      <w:r w:rsidRPr="003D733D">
        <w:rPr>
          <w:rFonts w:ascii="Sylfaen" w:hAnsi="Sylfaen" w:cs="Sylfaen"/>
        </w:rPr>
        <w:t>შუალედს</w:t>
      </w:r>
      <w:r w:rsidRPr="003D733D">
        <w:t xml:space="preserve"> (</w:t>
      </w:r>
      <w:r w:rsidRPr="003D733D">
        <w:rPr>
          <w:rFonts w:ascii="Sylfaen" w:hAnsi="Sylfaen" w:cs="Sylfaen"/>
        </w:rPr>
        <w:t>მსუბუქი</w:t>
      </w:r>
      <w:r w:rsidRPr="003D733D">
        <w:t xml:space="preserve"> </w:t>
      </w:r>
      <w:r w:rsidRPr="003D733D">
        <w:rPr>
          <w:rFonts w:ascii="Sylfaen" w:hAnsi="Sylfaen" w:cs="Sylfaen"/>
        </w:rPr>
        <w:t>და</w:t>
      </w:r>
      <w:r w:rsidRPr="003D733D">
        <w:t xml:space="preserve"> </w:t>
      </w:r>
      <w:r w:rsidRPr="003D733D">
        <w:rPr>
          <w:rFonts w:ascii="Sylfaen" w:hAnsi="Sylfaen" w:cs="Sylfaen"/>
        </w:rPr>
        <w:t>სატვირთო</w:t>
      </w:r>
      <w:r w:rsidRPr="003D733D">
        <w:t xml:space="preserve"> </w:t>
      </w:r>
      <w:r w:rsidRPr="003D733D">
        <w:rPr>
          <w:rFonts w:ascii="Sylfaen" w:hAnsi="Sylfaen" w:cs="Sylfaen"/>
        </w:rPr>
        <w:t>ავტომობილების</w:t>
      </w:r>
      <w:r w:rsidRPr="003D733D">
        <w:t xml:space="preserve"> </w:t>
      </w:r>
      <w:r w:rsidRPr="003D733D">
        <w:rPr>
          <w:rFonts w:ascii="Sylfaen" w:hAnsi="Sylfaen" w:cs="Sylfaen"/>
        </w:rPr>
        <w:t>ნაკადები</w:t>
      </w:r>
      <w:r w:rsidRPr="003D733D">
        <w:t xml:space="preserve"> </w:t>
      </w:r>
      <w:r w:rsidRPr="003D733D">
        <w:rPr>
          <w:rFonts w:ascii="Sylfaen" w:hAnsi="Sylfaen" w:cs="Sylfaen"/>
        </w:rPr>
        <w:t>ცალ</w:t>
      </w:r>
      <w:r w:rsidRPr="003D733D">
        <w:t>-</w:t>
      </w:r>
      <w:r w:rsidRPr="003D733D">
        <w:rPr>
          <w:rFonts w:ascii="Sylfaen" w:hAnsi="Sylfaen" w:cs="Sylfaen"/>
        </w:rPr>
        <w:t>ცალკე</w:t>
      </w:r>
      <w:r w:rsidRPr="003D733D">
        <w:t xml:space="preserve"> </w:t>
      </w:r>
      <w:r w:rsidRPr="003D733D">
        <w:rPr>
          <w:rFonts w:ascii="Sylfaen" w:hAnsi="Sylfaen" w:cs="Sylfaen"/>
        </w:rPr>
        <w:t>მოდელირდა</w:t>
      </w:r>
      <w:r w:rsidRPr="003D733D">
        <w:t xml:space="preserve">, </w:t>
      </w:r>
      <w:r w:rsidRPr="003D733D">
        <w:rPr>
          <w:rFonts w:ascii="Sylfaen" w:hAnsi="Sylfaen" w:cs="Sylfaen"/>
        </w:rPr>
        <w:t>რის</w:t>
      </w:r>
      <w:r w:rsidRPr="003D733D">
        <w:t xml:space="preserve"> </w:t>
      </w:r>
      <w:r w:rsidRPr="003D733D">
        <w:rPr>
          <w:rFonts w:ascii="Sylfaen" w:hAnsi="Sylfaen" w:cs="Sylfaen"/>
        </w:rPr>
        <w:t>გამოც</w:t>
      </w:r>
      <w:r w:rsidRPr="003D733D">
        <w:t xml:space="preserve"> </w:t>
      </w:r>
      <w:r w:rsidRPr="003D733D">
        <w:rPr>
          <w:rFonts w:ascii="Sylfaen" w:hAnsi="Sylfaen" w:cs="Sylfaen"/>
        </w:rPr>
        <w:t>მონაკვეთებს</w:t>
      </w:r>
      <w:r w:rsidRPr="003D733D">
        <w:t xml:space="preserve"> </w:t>
      </w:r>
      <w:r w:rsidRPr="003D733D">
        <w:rPr>
          <w:rFonts w:ascii="Sylfaen" w:hAnsi="Sylfaen" w:cs="Sylfaen"/>
        </w:rPr>
        <w:t>შორის</w:t>
      </w:r>
      <w:r w:rsidRPr="003D733D">
        <w:t xml:space="preserve"> </w:t>
      </w:r>
      <w:r w:rsidRPr="003D733D">
        <w:rPr>
          <w:rFonts w:ascii="Sylfaen" w:hAnsi="Sylfaen" w:cs="Sylfaen"/>
        </w:rPr>
        <w:t>მცირეოდენი</w:t>
      </w:r>
      <w:r w:rsidRPr="003D733D">
        <w:t xml:space="preserve"> </w:t>
      </w:r>
      <w:r w:rsidRPr="003D733D">
        <w:rPr>
          <w:rFonts w:ascii="Sylfaen" w:hAnsi="Sylfaen" w:cs="Sylfaen"/>
        </w:rPr>
        <w:t>ვარიაციები</w:t>
      </w:r>
      <w:r w:rsidRPr="003D733D">
        <w:t xml:space="preserve"> </w:t>
      </w:r>
      <w:r w:rsidRPr="003D733D">
        <w:rPr>
          <w:rFonts w:ascii="Sylfaen" w:hAnsi="Sylfaen" w:cs="Sylfaen"/>
        </w:rPr>
        <w:t>არსებობს</w:t>
      </w:r>
      <w:r w:rsidRPr="003D733D">
        <w:t xml:space="preserve">). </w:t>
      </w:r>
      <w:r w:rsidRPr="003D733D">
        <w:rPr>
          <w:rFonts w:ascii="Sylfaen" w:hAnsi="Sylfaen" w:cs="Sylfaen"/>
        </w:rPr>
        <w:t>აღნიშნული</w:t>
      </w:r>
      <w:r w:rsidRPr="003D733D">
        <w:t xml:space="preserve"> </w:t>
      </w:r>
      <w:r w:rsidRPr="003D733D">
        <w:rPr>
          <w:rFonts w:ascii="Sylfaen" w:hAnsi="Sylfaen" w:cs="Sylfaen"/>
        </w:rPr>
        <w:t>შუალედი</w:t>
      </w:r>
      <w:r w:rsidRPr="003D733D">
        <w:t xml:space="preserve"> </w:t>
      </w:r>
      <w:r w:rsidRPr="003D733D">
        <w:rPr>
          <w:rFonts w:ascii="Sylfaen" w:hAnsi="Sylfaen" w:cs="Sylfaen"/>
        </w:rPr>
        <w:t>არ</w:t>
      </w:r>
      <w:r w:rsidRPr="003D733D">
        <w:t xml:space="preserve"> </w:t>
      </w:r>
      <w:r w:rsidRPr="003D733D">
        <w:rPr>
          <w:rFonts w:ascii="Sylfaen" w:hAnsi="Sylfaen" w:cs="Sylfaen"/>
        </w:rPr>
        <w:t>ემთხვევა</w:t>
      </w:r>
      <w:r w:rsidRPr="003D733D">
        <w:t xml:space="preserve"> </w:t>
      </w:r>
      <w:r w:rsidRPr="003D733D">
        <w:rPr>
          <w:rFonts w:ascii="Sylfaen" w:hAnsi="Sylfaen" w:cs="Sylfaen"/>
        </w:rPr>
        <w:t>ბაკურციხე</w:t>
      </w:r>
      <w:r w:rsidRPr="003D733D">
        <w:t>-</w:t>
      </w:r>
      <w:r w:rsidRPr="003D733D">
        <w:rPr>
          <w:rFonts w:ascii="Sylfaen" w:hAnsi="Sylfaen" w:cs="Sylfaen"/>
        </w:rPr>
        <w:t>გურჯაანის</w:t>
      </w:r>
      <w:r w:rsidRPr="003D733D">
        <w:t xml:space="preserve"> </w:t>
      </w:r>
      <w:r w:rsidRPr="003D733D">
        <w:rPr>
          <w:rFonts w:ascii="Sylfaen" w:hAnsi="Sylfaen" w:cs="Sylfaen"/>
        </w:rPr>
        <w:t>შემოვლითი</w:t>
      </w:r>
      <w:r w:rsidRPr="003D733D">
        <w:t xml:space="preserve"> </w:t>
      </w:r>
      <w:r w:rsidRPr="003D733D">
        <w:rPr>
          <w:rFonts w:ascii="Sylfaen" w:hAnsi="Sylfaen" w:cs="Sylfaen"/>
        </w:rPr>
        <w:t>გზისთვის</w:t>
      </w:r>
      <w:r w:rsidRPr="003D733D">
        <w:t xml:space="preserve"> </w:t>
      </w:r>
      <w:r w:rsidRPr="003D733D">
        <w:rPr>
          <w:rFonts w:ascii="Sylfaen" w:hAnsi="Sylfaen" w:cs="Sylfaen"/>
        </w:rPr>
        <w:t>ჩატარებული</w:t>
      </w:r>
      <w:r w:rsidRPr="003D733D">
        <w:t xml:space="preserve"> </w:t>
      </w:r>
      <w:r w:rsidRPr="003D733D">
        <w:rPr>
          <w:rFonts w:ascii="Sylfaen" w:hAnsi="Sylfaen" w:cs="Sylfaen"/>
        </w:rPr>
        <w:t>კვლევის</w:t>
      </w:r>
      <w:r w:rsidRPr="003D733D">
        <w:t xml:space="preserve"> </w:t>
      </w:r>
      <w:r w:rsidRPr="003D733D">
        <w:rPr>
          <w:rFonts w:ascii="Sylfaen" w:hAnsi="Sylfaen" w:cs="Sylfaen"/>
        </w:rPr>
        <w:t>შედეგად</w:t>
      </w:r>
      <w:r w:rsidRPr="003D733D">
        <w:t xml:space="preserve"> </w:t>
      </w:r>
      <w:r w:rsidRPr="003D733D">
        <w:rPr>
          <w:rFonts w:ascii="Sylfaen" w:hAnsi="Sylfaen" w:cs="Sylfaen"/>
        </w:rPr>
        <w:t>მიღებულ</w:t>
      </w:r>
      <w:r w:rsidRPr="003D733D">
        <w:t xml:space="preserve"> </w:t>
      </w:r>
      <w:r w:rsidRPr="003D733D">
        <w:rPr>
          <w:rFonts w:ascii="Sylfaen" w:hAnsi="Sylfaen" w:cs="Sylfaen"/>
        </w:rPr>
        <w:t>გადასვლის</w:t>
      </w:r>
      <w:r w:rsidRPr="003D733D">
        <w:t xml:space="preserve"> </w:t>
      </w:r>
      <w:r w:rsidRPr="003D733D">
        <w:rPr>
          <w:rFonts w:ascii="Sylfaen" w:hAnsi="Sylfaen" w:cs="Sylfaen"/>
        </w:rPr>
        <w:t>კოეფიციენტს</w:t>
      </w:r>
      <w:r w:rsidRPr="003D733D">
        <w:t xml:space="preserve"> (67%), </w:t>
      </w:r>
      <w:r w:rsidRPr="003D733D">
        <w:rPr>
          <w:rFonts w:ascii="Sylfaen" w:hAnsi="Sylfaen" w:cs="Sylfaen"/>
        </w:rPr>
        <w:t>რომელიც</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აღწერების</w:t>
      </w:r>
      <w:r w:rsidRPr="003D733D">
        <w:t xml:space="preserve"> </w:t>
      </w:r>
      <w:r w:rsidRPr="003D733D">
        <w:rPr>
          <w:rFonts w:ascii="Sylfaen" w:hAnsi="Sylfaen" w:cs="Sylfaen"/>
        </w:rPr>
        <w:t>შედეგების</w:t>
      </w:r>
      <w:r w:rsidRPr="003D733D">
        <w:t xml:space="preserve"> </w:t>
      </w:r>
      <w:r w:rsidRPr="003D733D">
        <w:rPr>
          <w:rFonts w:ascii="Sylfaen" w:hAnsi="Sylfaen" w:cs="Sylfaen"/>
        </w:rPr>
        <w:t>გათვალისწინებით</w:t>
      </w:r>
      <w:r w:rsidRPr="003D733D">
        <w:t xml:space="preserve">, </w:t>
      </w:r>
      <w:r w:rsidRPr="003D733D">
        <w:rPr>
          <w:rFonts w:ascii="Sylfaen" w:hAnsi="Sylfaen" w:cs="Sylfaen"/>
        </w:rPr>
        <w:t>მიმდინარე</w:t>
      </w:r>
      <w:r w:rsidRPr="003D733D">
        <w:t xml:space="preserve"> </w:t>
      </w:r>
      <w:r w:rsidRPr="003D733D">
        <w:rPr>
          <w:rFonts w:ascii="Sylfaen" w:hAnsi="Sylfaen" w:cs="Sylfaen"/>
        </w:rPr>
        <w:t>კვლევისთვის</w:t>
      </w:r>
      <w:r w:rsidRPr="003D733D">
        <w:t xml:space="preserve"> </w:t>
      </w:r>
      <w:r w:rsidRPr="003D733D">
        <w:rPr>
          <w:rFonts w:ascii="Sylfaen" w:hAnsi="Sylfaen" w:cs="Sylfaen"/>
        </w:rPr>
        <w:t>დაუსაბუთებლად</w:t>
      </w:r>
      <w:r w:rsidRPr="003D733D">
        <w:t xml:space="preserve"> </w:t>
      </w:r>
      <w:r w:rsidRPr="003D733D">
        <w:rPr>
          <w:rFonts w:ascii="Sylfaen" w:hAnsi="Sylfaen" w:cs="Sylfaen"/>
        </w:rPr>
        <w:t>გამოიყურება</w:t>
      </w:r>
      <w:r w:rsidRPr="003D733D">
        <w:t xml:space="preserve">. </w:t>
      </w:r>
    </w:p>
    <w:p w14:paraId="084A403A" w14:textId="7C9A5C9E" w:rsidR="00F8565C" w:rsidRPr="003D733D" w:rsidRDefault="00F8565C" w:rsidP="000B139D">
      <w:pPr>
        <w:spacing w:before="120" w:after="120"/>
      </w:pPr>
      <w:r w:rsidRPr="003D733D">
        <w:rPr>
          <w:rFonts w:ascii="Sylfaen" w:hAnsi="Sylfaen" w:cs="Sylfaen"/>
        </w:rPr>
        <w:t>მომდევნო</w:t>
      </w:r>
      <w:r w:rsidRPr="003D733D">
        <w:t xml:space="preserve"> </w:t>
      </w:r>
      <w:r w:rsidRPr="003D733D">
        <w:rPr>
          <w:rFonts w:ascii="Sylfaen" w:hAnsi="Sylfaen" w:cs="Sylfaen"/>
        </w:rPr>
        <w:t>ცხრილში</w:t>
      </w:r>
      <w:r w:rsidRPr="003D733D">
        <w:t xml:space="preserve"> 4.7</w:t>
      </w:r>
      <w:r w:rsidR="000B139D">
        <w:rPr>
          <w:rFonts w:ascii="Sylfaen" w:hAnsi="Sylfaen"/>
          <w:lang w:val="ka-GE"/>
        </w:rPr>
        <w:t>.4-1</w:t>
      </w:r>
      <w:r w:rsidRPr="003D733D">
        <w:t xml:space="preserve"> </w:t>
      </w:r>
      <w:r w:rsidRPr="003D733D">
        <w:rPr>
          <w:rFonts w:ascii="Sylfaen" w:hAnsi="Sylfaen" w:cs="Sylfaen"/>
        </w:rPr>
        <w:t>წარმოდგენილია</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დროის</w:t>
      </w:r>
      <w:r w:rsidRPr="003D733D">
        <w:t xml:space="preserve"> </w:t>
      </w:r>
      <w:r w:rsidRPr="003D733D">
        <w:rPr>
          <w:rFonts w:ascii="Sylfaen" w:hAnsi="Sylfaen" w:cs="Sylfaen"/>
        </w:rPr>
        <w:t>და</w:t>
      </w:r>
      <w:r w:rsidRPr="003D733D">
        <w:t xml:space="preserve"> </w:t>
      </w:r>
      <w:r w:rsidRPr="003D733D">
        <w:rPr>
          <w:rFonts w:ascii="Sylfaen" w:hAnsi="Sylfaen" w:cs="Sylfaen"/>
        </w:rPr>
        <w:t>მანძილის</w:t>
      </w:r>
      <w:r w:rsidRPr="003D733D">
        <w:t xml:space="preserve"> </w:t>
      </w:r>
      <w:r w:rsidRPr="003D733D">
        <w:rPr>
          <w:rFonts w:ascii="Sylfaen" w:hAnsi="Sylfaen" w:cs="Sylfaen"/>
        </w:rPr>
        <w:t>საწყისი</w:t>
      </w:r>
      <w:r w:rsidRPr="003D733D">
        <w:t xml:space="preserve"> </w:t>
      </w:r>
      <w:r w:rsidRPr="003D733D">
        <w:rPr>
          <w:rFonts w:ascii="Sylfaen" w:hAnsi="Sylfaen" w:cs="Sylfaen"/>
        </w:rPr>
        <w:t>საინდიკაციო</w:t>
      </w:r>
      <w:r w:rsidRPr="003D733D">
        <w:t xml:space="preserve"> </w:t>
      </w:r>
      <w:r w:rsidRPr="003D733D">
        <w:rPr>
          <w:rFonts w:ascii="Sylfaen" w:hAnsi="Sylfaen" w:cs="Sylfaen"/>
        </w:rPr>
        <w:t>სიდიდეები</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გზისა</w:t>
      </w:r>
      <w:r w:rsidRPr="003D733D">
        <w:t xml:space="preserve"> </w:t>
      </w:r>
      <w:r w:rsidRPr="003D733D">
        <w:rPr>
          <w:rFonts w:ascii="Sylfaen" w:hAnsi="Sylfaen" w:cs="Sylfaen"/>
        </w:rPr>
        <w:t>და</w:t>
      </w:r>
      <w:r w:rsidRPr="003D733D">
        <w:t xml:space="preserve"> </w:t>
      </w:r>
      <w:r w:rsidRPr="003D733D">
        <w:rPr>
          <w:rFonts w:ascii="Sylfaen" w:hAnsi="Sylfaen" w:cs="Sylfaen"/>
        </w:rPr>
        <w:t>ძირითადი</w:t>
      </w:r>
      <w:r w:rsidRPr="003D733D">
        <w:t xml:space="preserve"> </w:t>
      </w:r>
      <w:r w:rsidRPr="003D733D">
        <w:rPr>
          <w:rFonts w:ascii="Sylfaen" w:hAnsi="Sylfaen" w:cs="Sylfaen"/>
        </w:rPr>
        <w:t>ახალი</w:t>
      </w:r>
      <w:r w:rsidRPr="003D733D">
        <w:t xml:space="preserve"> </w:t>
      </w:r>
      <w:r w:rsidRPr="003D733D">
        <w:rPr>
          <w:rFonts w:ascii="Sylfaen" w:hAnsi="Sylfaen" w:cs="Sylfaen"/>
        </w:rPr>
        <w:t>ალტერნატიული</w:t>
      </w:r>
      <w:r w:rsidRPr="003D733D">
        <w:t xml:space="preserve"> </w:t>
      </w:r>
      <w:r w:rsidRPr="003D733D">
        <w:rPr>
          <w:rFonts w:ascii="Sylfaen" w:hAnsi="Sylfaen" w:cs="Sylfaen"/>
        </w:rPr>
        <w:t>გზებისთვის</w:t>
      </w:r>
      <w:r w:rsidRPr="003D733D">
        <w:t xml:space="preserve">. </w:t>
      </w:r>
    </w:p>
    <w:p w14:paraId="238EB27C" w14:textId="74C915A6" w:rsidR="00F8565C" w:rsidRPr="003D733D" w:rsidRDefault="00F8565C" w:rsidP="000B139D">
      <w:pPr>
        <w:spacing w:before="120" w:after="120"/>
      </w:pPr>
      <w:r w:rsidRPr="003D733D">
        <w:rPr>
          <w:rFonts w:ascii="Sylfaen" w:hAnsi="Sylfaen" w:cs="Sylfaen"/>
        </w:rPr>
        <w:t>ცხრილი</w:t>
      </w:r>
      <w:r w:rsidRPr="003D733D">
        <w:t xml:space="preserve"> 4.7.</w:t>
      </w:r>
      <w:r w:rsidR="000B139D">
        <w:rPr>
          <w:rFonts w:ascii="Sylfaen" w:hAnsi="Sylfaen"/>
          <w:lang w:val="ka-GE"/>
        </w:rPr>
        <w:t>4-1</w:t>
      </w:r>
      <w:r w:rsidRPr="003D733D">
        <w:tab/>
      </w:r>
      <w:r w:rsidRPr="003D733D">
        <w:rPr>
          <w:rFonts w:ascii="Sylfaen" w:hAnsi="Sylfaen" w:cs="Sylfaen"/>
        </w:rPr>
        <w:t>თელავი</w:t>
      </w:r>
      <w:r w:rsidRPr="003D733D">
        <w:t>-</w:t>
      </w:r>
      <w:r w:rsidRPr="003D733D">
        <w:rPr>
          <w:rFonts w:ascii="Sylfaen" w:hAnsi="Sylfaen" w:cs="Sylfaen"/>
        </w:rPr>
        <w:t>წნორის</w:t>
      </w:r>
      <w:r w:rsidRPr="003D733D">
        <w:t xml:space="preserve"> </w:t>
      </w:r>
      <w:r w:rsidRPr="003D733D">
        <w:rPr>
          <w:rFonts w:ascii="Sylfaen" w:hAnsi="Sylfaen" w:cs="Sylfaen"/>
        </w:rPr>
        <w:t>არსებულ</w:t>
      </w:r>
      <w:r w:rsidRPr="003D733D">
        <w:t xml:space="preserve"> </w:t>
      </w:r>
      <w:r w:rsidRPr="003D733D">
        <w:rPr>
          <w:rFonts w:ascii="Sylfaen" w:hAnsi="Sylfaen" w:cs="Sylfaen"/>
        </w:rPr>
        <w:t>და</w:t>
      </w:r>
      <w:r w:rsidRPr="003D733D">
        <w:t xml:space="preserve"> </w:t>
      </w:r>
      <w:r w:rsidRPr="003D733D">
        <w:rPr>
          <w:rFonts w:ascii="Sylfaen" w:hAnsi="Sylfaen" w:cs="Sylfaen"/>
        </w:rPr>
        <w:t>მოდერნიზებულ</w:t>
      </w:r>
      <w:r w:rsidRPr="003D733D">
        <w:t xml:space="preserve"> </w:t>
      </w:r>
      <w:r w:rsidRPr="003D733D">
        <w:rPr>
          <w:rFonts w:ascii="Sylfaen" w:hAnsi="Sylfaen" w:cs="Sylfaen"/>
        </w:rPr>
        <w:t>მონაკვეთებზე</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დროის</w:t>
      </w:r>
      <w:r w:rsidRPr="003D733D">
        <w:t xml:space="preserve"> </w:t>
      </w:r>
      <w:r w:rsidRPr="003D733D">
        <w:rPr>
          <w:rFonts w:ascii="Sylfaen" w:hAnsi="Sylfaen" w:cs="Sylfaen"/>
        </w:rPr>
        <w:t>და</w:t>
      </w:r>
      <w:r w:rsidRPr="003D733D">
        <w:t xml:space="preserve"> </w:t>
      </w:r>
      <w:r w:rsidRPr="003D733D">
        <w:rPr>
          <w:rFonts w:ascii="Sylfaen" w:hAnsi="Sylfaen" w:cs="Sylfaen"/>
        </w:rPr>
        <w:t>მანძილების</w:t>
      </w:r>
      <w:r w:rsidRPr="003D733D">
        <w:t xml:space="preserve"> </w:t>
      </w:r>
      <w:r w:rsidRPr="003D733D">
        <w:rPr>
          <w:rFonts w:ascii="Sylfaen" w:hAnsi="Sylfaen" w:cs="Sylfaen"/>
        </w:rPr>
        <w:t>შესადარებელი</w:t>
      </w:r>
      <w:r w:rsidRPr="003D733D">
        <w:t xml:space="preserve"> </w:t>
      </w:r>
      <w:r w:rsidRPr="003D733D">
        <w:rPr>
          <w:rFonts w:ascii="Sylfaen" w:hAnsi="Sylfaen" w:cs="Sylfaen"/>
        </w:rPr>
        <w:t>მონაცემები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126"/>
        <w:gridCol w:w="1701"/>
        <w:gridCol w:w="1984"/>
      </w:tblGrid>
      <w:tr w:rsidR="00F8565C" w:rsidRPr="003D733D" w14:paraId="044276A7" w14:textId="77777777" w:rsidTr="00F8565C">
        <w:tc>
          <w:tcPr>
            <w:tcW w:w="382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462087A" w14:textId="77777777" w:rsidR="00F8565C" w:rsidRPr="003D733D" w:rsidRDefault="00F8565C" w:rsidP="00F8565C">
            <w:r w:rsidRPr="003D733D">
              <w:rPr>
                <w:rFonts w:ascii="Sylfaen" w:hAnsi="Sylfaen" w:cs="Sylfaen"/>
              </w:rPr>
              <w:t>მარშუტი</w:t>
            </w:r>
          </w:p>
        </w:tc>
        <w:tc>
          <w:tcPr>
            <w:tcW w:w="212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FEC0A76" w14:textId="77777777" w:rsidR="00F8565C" w:rsidRPr="003D733D" w:rsidRDefault="00F8565C" w:rsidP="00F8565C">
            <w:r w:rsidRPr="003D733D">
              <w:rPr>
                <w:rFonts w:ascii="Sylfaen" w:hAnsi="Sylfaen" w:cs="Sylfaen"/>
              </w:rPr>
              <w:t>სიგრძე</w:t>
            </w:r>
            <w:r w:rsidRPr="003D733D">
              <w:t>/</w:t>
            </w:r>
            <w:r w:rsidRPr="003D733D">
              <w:rPr>
                <w:rFonts w:ascii="Sylfaen" w:hAnsi="Sylfaen" w:cs="Sylfaen"/>
              </w:rPr>
              <w:t>დისტანცია</w:t>
            </w:r>
            <w:r w:rsidRPr="003D733D">
              <w:t xml:space="preserve"> (</w:t>
            </w:r>
            <w:r w:rsidRPr="003D733D">
              <w:rPr>
                <w:rFonts w:ascii="Sylfaen" w:hAnsi="Sylfaen" w:cs="Sylfaen"/>
              </w:rPr>
              <w:t>კმ</w:t>
            </w:r>
            <w:r w:rsidRPr="003D733D">
              <w:t>)</w:t>
            </w: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D5A180D" w14:textId="77777777" w:rsidR="00F8565C" w:rsidRPr="003D733D" w:rsidRDefault="00F8565C" w:rsidP="00F8565C">
            <w:r w:rsidRPr="003D733D">
              <w:rPr>
                <w:rFonts w:ascii="Sylfaen" w:hAnsi="Sylfaen" w:cs="Sylfaen"/>
              </w:rPr>
              <w:t>გავლის</w:t>
            </w:r>
            <w:r w:rsidRPr="003D733D">
              <w:t xml:space="preserve"> </w:t>
            </w:r>
            <w:r w:rsidRPr="003D733D">
              <w:rPr>
                <w:rFonts w:ascii="Sylfaen" w:hAnsi="Sylfaen" w:cs="Sylfaen"/>
              </w:rPr>
              <w:t>დრო</w:t>
            </w:r>
            <w:r w:rsidRPr="003D733D">
              <w:t xml:space="preserve"> (</w:t>
            </w:r>
            <w:r w:rsidRPr="003D733D">
              <w:rPr>
                <w:rFonts w:ascii="Sylfaen" w:hAnsi="Sylfaen" w:cs="Sylfaen"/>
              </w:rPr>
              <w:t>წთ</w:t>
            </w:r>
            <w:r w:rsidRPr="003D733D">
              <w:t>)</w:t>
            </w:r>
          </w:p>
        </w:tc>
        <w:tc>
          <w:tcPr>
            <w:tcW w:w="1984"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45973A1" w14:textId="77777777" w:rsidR="00F8565C" w:rsidRPr="003D733D" w:rsidRDefault="00F8565C" w:rsidP="00F8565C">
            <w:r w:rsidRPr="003D733D">
              <w:rPr>
                <w:rFonts w:ascii="Sylfaen" w:hAnsi="Sylfaen" w:cs="Sylfaen"/>
              </w:rPr>
              <w:t>საშუალო</w:t>
            </w:r>
            <w:r w:rsidRPr="003D733D">
              <w:t xml:space="preserve"> </w:t>
            </w:r>
            <w:r w:rsidRPr="003D733D">
              <w:rPr>
                <w:rFonts w:ascii="Sylfaen" w:hAnsi="Sylfaen" w:cs="Sylfaen"/>
              </w:rPr>
              <w:t>სიჩწარე</w:t>
            </w:r>
          </w:p>
          <w:p w14:paraId="06B5B737" w14:textId="77777777" w:rsidR="00F8565C" w:rsidRPr="003D733D" w:rsidRDefault="00F8565C" w:rsidP="00F8565C">
            <w:r w:rsidRPr="003D733D">
              <w:t>(</w:t>
            </w:r>
            <w:r w:rsidRPr="003D733D">
              <w:rPr>
                <w:rFonts w:ascii="Sylfaen" w:hAnsi="Sylfaen" w:cs="Sylfaen"/>
              </w:rPr>
              <w:t>კმ</w:t>
            </w:r>
            <w:r w:rsidRPr="003D733D">
              <w:t>/</w:t>
            </w:r>
            <w:r w:rsidRPr="003D733D">
              <w:rPr>
                <w:rFonts w:ascii="Sylfaen" w:hAnsi="Sylfaen" w:cs="Sylfaen"/>
              </w:rPr>
              <w:t>სთ</w:t>
            </w:r>
            <w:r w:rsidRPr="003D733D">
              <w:t>)</w:t>
            </w:r>
          </w:p>
        </w:tc>
      </w:tr>
      <w:tr w:rsidR="00F8565C" w:rsidRPr="003D733D" w14:paraId="7959EB99" w14:textId="77777777" w:rsidTr="00F8565C">
        <w:tc>
          <w:tcPr>
            <w:tcW w:w="3828" w:type="dxa"/>
            <w:tcBorders>
              <w:top w:val="single" w:sz="4" w:space="0" w:color="auto"/>
              <w:left w:val="single" w:sz="4" w:space="0" w:color="auto"/>
              <w:bottom w:val="single" w:sz="4" w:space="0" w:color="auto"/>
              <w:right w:val="single" w:sz="4" w:space="0" w:color="auto"/>
            </w:tcBorders>
            <w:hideMark/>
          </w:tcPr>
          <w:p w14:paraId="04CE8497" w14:textId="77777777" w:rsidR="00F8565C" w:rsidRPr="003D733D" w:rsidRDefault="00F8565C" w:rsidP="00F8565C">
            <w:r w:rsidRPr="003D733D">
              <w:rPr>
                <w:rFonts w:ascii="Sylfaen" w:hAnsi="Sylfaen" w:cs="Sylfaen"/>
              </w:rPr>
              <w:t>არსებული</w:t>
            </w:r>
            <w:r w:rsidRPr="003D733D">
              <w:t xml:space="preserve"> </w:t>
            </w:r>
            <w:r w:rsidRPr="003D733D">
              <w:rPr>
                <w:rFonts w:ascii="Sylfaen" w:hAnsi="Sylfaen" w:cs="Sylfaen"/>
              </w:rPr>
              <w:t>გზა</w:t>
            </w:r>
          </w:p>
        </w:tc>
        <w:tc>
          <w:tcPr>
            <w:tcW w:w="2126" w:type="dxa"/>
            <w:tcBorders>
              <w:top w:val="single" w:sz="4" w:space="0" w:color="auto"/>
              <w:left w:val="single" w:sz="4" w:space="0" w:color="auto"/>
              <w:bottom w:val="single" w:sz="4" w:space="0" w:color="auto"/>
              <w:right w:val="single" w:sz="4" w:space="0" w:color="auto"/>
            </w:tcBorders>
            <w:hideMark/>
          </w:tcPr>
          <w:p w14:paraId="01C156DF" w14:textId="77777777" w:rsidR="00F8565C" w:rsidRPr="003D733D" w:rsidRDefault="00F8565C" w:rsidP="00F8565C">
            <w:r w:rsidRPr="003D733D">
              <w:t>63.6</w:t>
            </w:r>
          </w:p>
        </w:tc>
        <w:tc>
          <w:tcPr>
            <w:tcW w:w="1701" w:type="dxa"/>
            <w:tcBorders>
              <w:top w:val="single" w:sz="4" w:space="0" w:color="auto"/>
              <w:left w:val="single" w:sz="4" w:space="0" w:color="auto"/>
              <w:bottom w:val="single" w:sz="4" w:space="0" w:color="auto"/>
              <w:right w:val="single" w:sz="4" w:space="0" w:color="auto"/>
            </w:tcBorders>
            <w:hideMark/>
          </w:tcPr>
          <w:p w14:paraId="712E5D75" w14:textId="77777777" w:rsidR="00F8565C" w:rsidRPr="003D733D" w:rsidRDefault="00F8565C" w:rsidP="00F8565C">
            <w:r w:rsidRPr="003D733D">
              <w:t>74.0</w:t>
            </w:r>
          </w:p>
        </w:tc>
        <w:tc>
          <w:tcPr>
            <w:tcW w:w="1984" w:type="dxa"/>
            <w:tcBorders>
              <w:top w:val="single" w:sz="4" w:space="0" w:color="auto"/>
              <w:left w:val="single" w:sz="4" w:space="0" w:color="auto"/>
              <w:bottom w:val="single" w:sz="4" w:space="0" w:color="auto"/>
              <w:right w:val="single" w:sz="4" w:space="0" w:color="auto"/>
            </w:tcBorders>
            <w:hideMark/>
          </w:tcPr>
          <w:p w14:paraId="1AC45768" w14:textId="77777777" w:rsidR="00F8565C" w:rsidRPr="003D733D" w:rsidRDefault="00F8565C" w:rsidP="00F8565C">
            <w:r w:rsidRPr="003D733D">
              <w:t>52</w:t>
            </w:r>
          </w:p>
        </w:tc>
      </w:tr>
      <w:tr w:rsidR="00F8565C" w:rsidRPr="003D733D" w14:paraId="57365B03" w14:textId="77777777" w:rsidTr="00F8565C">
        <w:tc>
          <w:tcPr>
            <w:tcW w:w="3828" w:type="dxa"/>
            <w:tcBorders>
              <w:top w:val="single" w:sz="4" w:space="0" w:color="auto"/>
              <w:left w:val="single" w:sz="4" w:space="0" w:color="auto"/>
              <w:bottom w:val="single" w:sz="4" w:space="0" w:color="auto"/>
              <w:right w:val="single" w:sz="4" w:space="0" w:color="auto"/>
            </w:tcBorders>
            <w:hideMark/>
          </w:tcPr>
          <w:p w14:paraId="09B03CFA" w14:textId="77777777" w:rsidR="00F8565C" w:rsidRPr="003D733D" w:rsidRDefault="00F8565C" w:rsidP="00F8565C">
            <w:r w:rsidRPr="003D733D">
              <w:rPr>
                <w:rFonts w:ascii="Sylfaen" w:hAnsi="Sylfaen" w:cs="Sylfaen"/>
              </w:rPr>
              <w:t>ჩრდილოეთით</w:t>
            </w:r>
            <w:r w:rsidRPr="003D733D">
              <w:t xml:space="preserve"> </w:t>
            </w:r>
            <w:r w:rsidRPr="003D733D">
              <w:rPr>
                <w:rFonts w:ascii="Sylfaen" w:hAnsi="Sylfaen" w:cs="Sylfaen"/>
              </w:rPr>
              <w:t>ალტერნატიული</w:t>
            </w:r>
            <w:r w:rsidRPr="003D733D">
              <w:t xml:space="preserve"> </w:t>
            </w:r>
            <w:r w:rsidRPr="003D733D">
              <w:rPr>
                <w:rFonts w:ascii="Sylfaen" w:hAnsi="Sylfaen" w:cs="Sylfaen"/>
              </w:rPr>
              <w:t>გზა</w:t>
            </w:r>
          </w:p>
        </w:tc>
        <w:tc>
          <w:tcPr>
            <w:tcW w:w="2126" w:type="dxa"/>
            <w:tcBorders>
              <w:top w:val="single" w:sz="4" w:space="0" w:color="auto"/>
              <w:left w:val="single" w:sz="4" w:space="0" w:color="auto"/>
              <w:bottom w:val="single" w:sz="4" w:space="0" w:color="auto"/>
              <w:right w:val="single" w:sz="4" w:space="0" w:color="auto"/>
            </w:tcBorders>
            <w:hideMark/>
          </w:tcPr>
          <w:p w14:paraId="492007FB" w14:textId="77777777" w:rsidR="00F8565C" w:rsidRPr="003D733D" w:rsidRDefault="00F8565C" w:rsidP="00F8565C">
            <w:r w:rsidRPr="003D733D">
              <w:t>66.8</w:t>
            </w:r>
          </w:p>
        </w:tc>
        <w:tc>
          <w:tcPr>
            <w:tcW w:w="1701" w:type="dxa"/>
            <w:tcBorders>
              <w:top w:val="single" w:sz="4" w:space="0" w:color="auto"/>
              <w:left w:val="single" w:sz="4" w:space="0" w:color="auto"/>
              <w:bottom w:val="single" w:sz="4" w:space="0" w:color="auto"/>
              <w:right w:val="single" w:sz="4" w:space="0" w:color="auto"/>
            </w:tcBorders>
            <w:hideMark/>
          </w:tcPr>
          <w:p w14:paraId="6CDEF4C2" w14:textId="77777777" w:rsidR="00F8565C" w:rsidRPr="003D733D" w:rsidRDefault="00F8565C" w:rsidP="00F8565C">
            <w:r w:rsidRPr="003D733D">
              <w:t>50.1</w:t>
            </w:r>
          </w:p>
        </w:tc>
        <w:tc>
          <w:tcPr>
            <w:tcW w:w="1984" w:type="dxa"/>
            <w:tcBorders>
              <w:top w:val="single" w:sz="4" w:space="0" w:color="auto"/>
              <w:left w:val="single" w:sz="4" w:space="0" w:color="auto"/>
              <w:bottom w:val="single" w:sz="4" w:space="0" w:color="auto"/>
              <w:right w:val="single" w:sz="4" w:space="0" w:color="auto"/>
            </w:tcBorders>
            <w:hideMark/>
          </w:tcPr>
          <w:p w14:paraId="4060A8BE" w14:textId="77777777" w:rsidR="00F8565C" w:rsidRPr="003D733D" w:rsidRDefault="00F8565C" w:rsidP="00F8565C">
            <w:r w:rsidRPr="003D733D">
              <w:t>80</w:t>
            </w:r>
          </w:p>
        </w:tc>
      </w:tr>
      <w:tr w:rsidR="00F8565C" w:rsidRPr="003D733D" w14:paraId="756AE56A" w14:textId="77777777" w:rsidTr="00F8565C">
        <w:tc>
          <w:tcPr>
            <w:tcW w:w="3828" w:type="dxa"/>
            <w:tcBorders>
              <w:top w:val="single" w:sz="4" w:space="0" w:color="auto"/>
              <w:left w:val="single" w:sz="4" w:space="0" w:color="auto"/>
              <w:bottom w:val="single" w:sz="4" w:space="0" w:color="auto"/>
              <w:right w:val="single" w:sz="4" w:space="0" w:color="auto"/>
            </w:tcBorders>
            <w:hideMark/>
          </w:tcPr>
          <w:p w14:paraId="5B4E61B2" w14:textId="77777777" w:rsidR="00F8565C" w:rsidRPr="003D733D" w:rsidRDefault="00F8565C" w:rsidP="00F8565C">
            <w:r w:rsidRPr="003D733D">
              <w:rPr>
                <w:rFonts w:ascii="Sylfaen" w:hAnsi="Sylfaen" w:cs="Sylfaen"/>
              </w:rPr>
              <w:t>სამხრეთი</w:t>
            </w:r>
            <w:r w:rsidRPr="003D733D">
              <w:t xml:space="preserve"> </w:t>
            </w:r>
            <w:r w:rsidRPr="003D733D">
              <w:rPr>
                <w:rFonts w:ascii="Sylfaen" w:hAnsi="Sylfaen" w:cs="Sylfaen"/>
              </w:rPr>
              <w:t>ალტერნატიული</w:t>
            </w:r>
            <w:r w:rsidRPr="003D733D">
              <w:t xml:space="preserve"> </w:t>
            </w:r>
            <w:r w:rsidRPr="003D733D">
              <w:rPr>
                <w:rFonts w:ascii="Sylfaen" w:hAnsi="Sylfaen" w:cs="Sylfaen"/>
              </w:rPr>
              <w:t>გზა</w:t>
            </w:r>
            <w:r w:rsidRPr="003D733D">
              <w:t>*</w:t>
            </w:r>
          </w:p>
        </w:tc>
        <w:tc>
          <w:tcPr>
            <w:tcW w:w="2126" w:type="dxa"/>
            <w:tcBorders>
              <w:top w:val="single" w:sz="4" w:space="0" w:color="auto"/>
              <w:left w:val="single" w:sz="4" w:space="0" w:color="auto"/>
              <w:bottom w:val="single" w:sz="4" w:space="0" w:color="auto"/>
              <w:right w:val="single" w:sz="4" w:space="0" w:color="auto"/>
            </w:tcBorders>
            <w:hideMark/>
          </w:tcPr>
          <w:p w14:paraId="6906E12C" w14:textId="77777777" w:rsidR="00F8565C" w:rsidRPr="003D733D" w:rsidRDefault="00F8565C" w:rsidP="00F8565C">
            <w:r w:rsidRPr="003D733D">
              <w:t>65.0</w:t>
            </w:r>
          </w:p>
        </w:tc>
        <w:tc>
          <w:tcPr>
            <w:tcW w:w="1701" w:type="dxa"/>
            <w:tcBorders>
              <w:top w:val="single" w:sz="4" w:space="0" w:color="auto"/>
              <w:left w:val="single" w:sz="4" w:space="0" w:color="auto"/>
              <w:bottom w:val="single" w:sz="4" w:space="0" w:color="auto"/>
              <w:right w:val="single" w:sz="4" w:space="0" w:color="auto"/>
            </w:tcBorders>
            <w:hideMark/>
          </w:tcPr>
          <w:p w14:paraId="47F94A52" w14:textId="77777777" w:rsidR="00F8565C" w:rsidRPr="003D733D" w:rsidRDefault="00F8565C" w:rsidP="00F8565C">
            <w:r w:rsidRPr="003D733D">
              <w:t>48.8</w:t>
            </w:r>
          </w:p>
        </w:tc>
        <w:tc>
          <w:tcPr>
            <w:tcW w:w="1984" w:type="dxa"/>
            <w:tcBorders>
              <w:top w:val="single" w:sz="4" w:space="0" w:color="auto"/>
              <w:left w:val="single" w:sz="4" w:space="0" w:color="auto"/>
              <w:bottom w:val="single" w:sz="4" w:space="0" w:color="auto"/>
              <w:right w:val="single" w:sz="4" w:space="0" w:color="auto"/>
            </w:tcBorders>
            <w:hideMark/>
          </w:tcPr>
          <w:p w14:paraId="41A516DD" w14:textId="77777777" w:rsidR="00F8565C" w:rsidRPr="003D733D" w:rsidRDefault="00F8565C" w:rsidP="00F8565C">
            <w:r w:rsidRPr="003D733D">
              <w:t>80</w:t>
            </w:r>
          </w:p>
        </w:tc>
      </w:tr>
    </w:tbl>
    <w:p w14:paraId="20EFF824" w14:textId="77777777" w:rsidR="00F8565C" w:rsidRPr="000B139D" w:rsidRDefault="00F8565C" w:rsidP="00F8565C">
      <w:pPr>
        <w:rPr>
          <w:sz w:val="20"/>
        </w:rPr>
      </w:pPr>
      <w:bookmarkStart w:id="85" w:name="_Toc359661749"/>
      <w:bookmarkStart w:id="86" w:name="_Toc494412115"/>
      <w:bookmarkStart w:id="87" w:name="_Toc494411974"/>
      <w:bookmarkStart w:id="88" w:name="_Toc494297159"/>
      <w:r w:rsidRPr="000B139D">
        <w:rPr>
          <w:rFonts w:ascii="Sylfaen" w:hAnsi="Sylfaen" w:cs="Sylfaen"/>
          <w:sz w:val="20"/>
        </w:rPr>
        <w:t>შენიშვნა</w:t>
      </w:r>
      <w:r w:rsidRPr="000B139D">
        <w:rPr>
          <w:sz w:val="20"/>
        </w:rPr>
        <w:t>: *</w:t>
      </w:r>
      <w:r w:rsidRPr="000B139D">
        <w:rPr>
          <w:rFonts w:ascii="Sylfaen" w:hAnsi="Sylfaen" w:cs="Sylfaen"/>
          <w:sz w:val="20"/>
        </w:rPr>
        <w:t>ძალიან</w:t>
      </w:r>
      <w:r w:rsidRPr="000B139D">
        <w:rPr>
          <w:sz w:val="20"/>
        </w:rPr>
        <w:t xml:space="preserve"> </w:t>
      </w:r>
      <w:r w:rsidRPr="000B139D">
        <w:rPr>
          <w:rFonts w:ascii="Sylfaen" w:hAnsi="Sylfaen" w:cs="Sylfaen"/>
          <w:sz w:val="20"/>
        </w:rPr>
        <w:t>ემსგავსება</w:t>
      </w:r>
      <w:r w:rsidRPr="000B139D">
        <w:rPr>
          <w:sz w:val="20"/>
        </w:rPr>
        <w:t xml:space="preserve"> </w:t>
      </w:r>
      <w:r w:rsidRPr="000B139D">
        <w:rPr>
          <w:rFonts w:ascii="Sylfaen" w:hAnsi="Sylfaen" w:cs="Sylfaen"/>
          <w:sz w:val="20"/>
        </w:rPr>
        <w:t>ალტერნატიული</w:t>
      </w:r>
      <w:r w:rsidRPr="000B139D">
        <w:rPr>
          <w:sz w:val="20"/>
        </w:rPr>
        <w:t xml:space="preserve"> </w:t>
      </w:r>
      <w:r w:rsidRPr="000B139D">
        <w:rPr>
          <w:rFonts w:ascii="Sylfaen" w:hAnsi="Sylfaen" w:cs="Sylfaen"/>
          <w:sz w:val="20"/>
        </w:rPr>
        <w:t>გზას</w:t>
      </w:r>
      <w:r w:rsidRPr="000B139D">
        <w:rPr>
          <w:sz w:val="20"/>
        </w:rPr>
        <w:t xml:space="preserve"> “</w:t>
      </w:r>
      <w:r w:rsidRPr="000B139D">
        <w:rPr>
          <w:rFonts w:ascii="Sylfaen" w:hAnsi="Sylfaen" w:cs="Sylfaen"/>
          <w:sz w:val="20"/>
        </w:rPr>
        <w:t>სამხრეთი</w:t>
      </w:r>
      <w:r w:rsidRPr="000B139D">
        <w:rPr>
          <w:sz w:val="20"/>
        </w:rPr>
        <w:t xml:space="preserve">-1” </w:t>
      </w:r>
      <w:r w:rsidRPr="000B139D">
        <w:rPr>
          <w:rFonts w:ascii="Sylfaen" w:hAnsi="Sylfaen" w:cs="Sylfaen"/>
          <w:sz w:val="20"/>
        </w:rPr>
        <w:t>გავლის</w:t>
      </w:r>
      <w:r w:rsidRPr="000B139D">
        <w:rPr>
          <w:sz w:val="20"/>
        </w:rPr>
        <w:t xml:space="preserve"> </w:t>
      </w:r>
      <w:r w:rsidRPr="000B139D">
        <w:rPr>
          <w:rFonts w:ascii="Sylfaen" w:hAnsi="Sylfaen" w:cs="Sylfaen"/>
          <w:sz w:val="20"/>
        </w:rPr>
        <w:t>დროის</w:t>
      </w:r>
      <w:r w:rsidRPr="000B139D">
        <w:rPr>
          <w:sz w:val="20"/>
        </w:rPr>
        <w:t xml:space="preserve"> </w:t>
      </w:r>
      <w:r w:rsidRPr="000B139D">
        <w:rPr>
          <w:rFonts w:ascii="Sylfaen" w:hAnsi="Sylfaen" w:cs="Sylfaen"/>
          <w:sz w:val="20"/>
        </w:rPr>
        <w:t>სიდიდეები</w:t>
      </w:r>
      <w:r w:rsidRPr="000B139D">
        <w:rPr>
          <w:sz w:val="20"/>
        </w:rPr>
        <w:t xml:space="preserve"> </w:t>
      </w:r>
      <w:r w:rsidRPr="000B139D">
        <w:rPr>
          <w:rFonts w:ascii="Sylfaen" w:hAnsi="Sylfaen" w:cs="Sylfaen"/>
          <w:sz w:val="20"/>
        </w:rPr>
        <w:t>შეესაბამება</w:t>
      </w:r>
      <w:r w:rsidRPr="000B139D">
        <w:rPr>
          <w:sz w:val="20"/>
        </w:rPr>
        <w:t xml:space="preserve"> </w:t>
      </w:r>
      <w:r w:rsidRPr="000B139D">
        <w:rPr>
          <w:rFonts w:ascii="Sylfaen" w:hAnsi="Sylfaen" w:cs="Sylfaen"/>
          <w:sz w:val="20"/>
        </w:rPr>
        <w:t>მსუბუქ</w:t>
      </w:r>
      <w:r w:rsidRPr="000B139D">
        <w:rPr>
          <w:sz w:val="20"/>
        </w:rPr>
        <w:t xml:space="preserve"> </w:t>
      </w:r>
      <w:r w:rsidRPr="000B139D">
        <w:rPr>
          <w:rFonts w:ascii="Sylfaen" w:hAnsi="Sylfaen" w:cs="Sylfaen"/>
          <w:sz w:val="20"/>
        </w:rPr>
        <w:t>ავტომობილს</w:t>
      </w:r>
      <w:r w:rsidRPr="000B139D">
        <w:rPr>
          <w:sz w:val="20"/>
        </w:rPr>
        <w:t xml:space="preserve"> </w:t>
      </w:r>
    </w:p>
    <w:p w14:paraId="310F2E75" w14:textId="77777777" w:rsidR="00F8565C" w:rsidRPr="000B139D" w:rsidRDefault="00F8565C" w:rsidP="00F8565C">
      <w:pPr>
        <w:rPr>
          <w:sz w:val="20"/>
        </w:rPr>
      </w:pPr>
      <w:r w:rsidRPr="000B139D">
        <w:rPr>
          <w:rFonts w:ascii="Sylfaen" w:hAnsi="Sylfaen" w:cs="Sylfaen"/>
          <w:sz w:val="20"/>
        </w:rPr>
        <w:t>წყარო</w:t>
      </w:r>
      <w:r w:rsidRPr="000B139D">
        <w:rPr>
          <w:sz w:val="20"/>
        </w:rPr>
        <w:t xml:space="preserve">: </w:t>
      </w:r>
      <w:r w:rsidRPr="000B139D">
        <w:rPr>
          <w:rFonts w:ascii="Sylfaen" w:hAnsi="Sylfaen" w:cs="Sylfaen"/>
          <w:sz w:val="20"/>
        </w:rPr>
        <w:t>კონსულტანტი</w:t>
      </w:r>
    </w:p>
    <w:p w14:paraId="2E760CE1" w14:textId="77777777" w:rsidR="00F8565C" w:rsidRPr="003D733D" w:rsidRDefault="00F8565C" w:rsidP="000B139D">
      <w:pPr>
        <w:spacing w:before="120" w:after="100" w:afterAutospacing="1"/>
      </w:pPr>
      <w:r w:rsidRPr="003D733D">
        <w:rPr>
          <w:rFonts w:ascii="Sylfaen" w:hAnsi="Sylfaen" w:cs="Sylfaen"/>
        </w:rPr>
        <w:lastRenderedPageBreak/>
        <w:t>ვინაიდან</w:t>
      </w:r>
      <w:r w:rsidRPr="003D733D">
        <w:t xml:space="preserve"> </w:t>
      </w:r>
      <w:r w:rsidRPr="003D733D">
        <w:rPr>
          <w:rFonts w:ascii="Sylfaen" w:hAnsi="Sylfaen" w:cs="Sylfaen"/>
        </w:rPr>
        <w:t>ცხრილში</w:t>
      </w:r>
      <w:r w:rsidRPr="003D733D">
        <w:t xml:space="preserve"> </w:t>
      </w:r>
      <w:r w:rsidRPr="003D733D">
        <w:rPr>
          <w:rFonts w:ascii="Sylfaen" w:hAnsi="Sylfaen" w:cs="Sylfaen"/>
        </w:rPr>
        <w:t>ალტერნატიული</w:t>
      </w:r>
      <w:r w:rsidRPr="003D733D">
        <w:t xml:space="preserve"> </w:t>
      </w:r>
      <w:r w:rsidRPr="003D733D">
        <w:rPr>
          <w:rFonts w:ascii="Sylfaen" w:hAnsi="Sylfaen" w:cs="Sylfaen"/>
        </w:rPr>
        <w:t>გზებისთვის</w:t>
      </w:r>
      <w:r w:rsidRPr="003D733D">
        <w:t xml:space="preserve"> </w:t>
      </w:r>
      <w:r w:rsidRPr="003D733D">
        <w:rPr>
          <w:rFonts w:ascii="Sylfaen" w:hAnsi="Sylfaen" w:cs="Sylfaen"/>
        </w:rPr>
        <w:t>მოცემული</w:t>
      </w:r>
      <w:r w:rsidRPr="003D733D">
        <w:t xml:space="preserve"> </w:t>
      </w:r>
      <w:r w:rsidRPr="003D733D">
        <w:rPr>
          <w:rFonts w:ascii="Sylfaen" w:hAnsi="Sylfaen" w:cs="Sylfaen"/>
        </w:rPr>
        <w:t>მანძილის</w:t>
      </w:r>
      <w:r w:rsidRPr="003D733D">
        <w:t xml:space="preserve"> </w:t>
      </w:r>
      <w:r w:rsidRPr="003D733D">
        <w:rPr>
          <w:rFonts w:ascii="Sylfaen" w:hAnsi="Sylfaen" w:cs="Sylfaen"/>
        </w:rPr>
        <w:t>და</w:t>
      </w:r>
      <w:r w:rsidRPr="003D733D">
        <w:t xml:space="preserve"> </w:t>
      </w:r>
      <w:r w:rsidRPr="003D733D">
        <w:rPr>
          <w:rFonts w:ascii="Sylfaen" w:hAnsi="Sylfaen" w:cs="Sylfaen"/>
        </w:rPr>
        <w:t>დროის</w:t>
      </w:r>
      <w:r w:rsidRPr="003D733D">
        <w:t xml:space="preserve"> </w:t>
      </w:r>
      <w:r w:rsidRPr="003D733D">
        <w:rPr>
          <w:rFonts w:ascii="Sylfaen" w:hAnsi="Sylfaen" w:cs="Sylfaen"/>
        </w:rPr>
        <w:t>სიდიდეები</w:t>
      </w:r>
      <w:r w:rsidRPr="003D733D">
        <w:t xml:space="preserve"> </w:t>
      </w:r>
      <w:r w:rsidRPr="003D733D">
        <w:rPr>
          <w:rFonts w:ascii="Sylfaen" w:hAnsi="Sylfaen" w:cs="Sylfaen"/>
        </w:rPr>
        <w:t>ერთმანეთისგან</w:t>
      </w:r>
      <w:r w:rsidRPr="003D733D">
        <w:t xml:space="preserve"> </w:t>
      </w:r>
      <w:r w:rsidRPr="003D733D">
        <w:rPr>
          <w:rFonts w:ascii="Sylfaen" w:hAnsi="Sylfaen" w:cs="Sylfaen"/>
        </w:rPr>
        <w:t>მნიშვნელოვნად</w:t>
      </w:r>
      <w:r w:rsidRPr="003D733D">
        <w:t xml:space="preserve"> </w:t>
      </w:r>
      <w:r w:rsidRPr="003D733D">
        <w:rPr>
          <w:rFonts w:ascii="Sylfaen" w:hAnsi="Sylfaen" w:cs="Sylfaen"/>
        </w:rPr>
        <w:t>არ</w:t>
      </w:r>
      <w:r w:rsidRPr="003D733D">
        <w:t xml:space="preserve"> </w:t>
      </w:r>
      <w:r w:rsidRPr="003D733D">
        <w:rPr>
          <w:rFonts w:ascii="Sylfaen" w:hAnsi="Sylfaen" w:cs="Sylfaen"/>
        </w:rPr>
        <w:t>განსხვავდებიან</w:t>
      </w:r>
      <w:r w:rsidRPr="003D733D">
        <w:t xml:space="preserve">, </w:t>
      </w:r>
      <w:r w:rsidRPr="003D733D">
        <w:rPr>
          <w:rFonts w:ascii="Sylfaen" w:hAnsi="Sylfaen" w:cs="Sylfaen"/>
        </w:rPr>
        <w:t>ამიტომ</w:t>
      </w:r>
      <w:r w:rsidRPr="003D733D">
        <w:t xml:space="preserve"> </w:t>
      </w:r>
      <w:r w:rsidRPr="003D733D">
        <w:rPr>
          <w:rFonts w:ascii="Sylfaen" w:hAnsi="Sylfaen" w:cs="Sylfaen"/>
        </w:rPr>
        <w:t>ალტერნატიულ</w:t>
      </w:r>
      <w:r w:rsidRPr="003D733D">
        <w:t xml:space="preserve"> </w:t>
      </w:r>
      <w:r w:rsidRPr="003D733D">
        <w:rPr>
          <w:rFonts w:ascii="Sylfaen" w:hAnsi="Sylfaen" w:cs="Sylfaen"/>
        </w:rPr>
        <w:t>მარშრუტზე</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პროგნოზული</w:t>
      </w:r>
      <w:r w:rsidRPr="003D733D">
        <w:t xml:space="preserve"> </w:t>
      </w:r>
      <w:r w:rsidRPr="003D733D">
        <w:rPr>
          <w:rFonts w:ascii="Sylfaen" w:hAnsi="Sylfaen" w:cs="Sylfaen"/>
        </w:rPr>
        <w:t>მონაცემების</w:t>
      </w:r>
      <w:r w:rsidRPr="003D733D">
        <w:t xml:space="preserve"> </w:t>
      </w:r>
      <w:r w:rsidRPr="003D733D">
        <w:rPr>
          <w:rFonts w:ascii="Sylfaen" w:hAnsi="Sylfaen" w:cs="Sylfaen"/>
        </w:rPr>
        <w:t>მხოლოდ</w:t>
      </w:r>
      <w:r w:rsidRPr="003D733D">
        <w:t xml:space="preserve"> </w:t>
      </w:r>
      <w:r w:rsidRPr="003D733D">
        <w:rPr>
          <w:rFonts w:ascii="Sylfaen" w:hAnsi="Sylfaen" w:cs="Sylfaen"/>
        </w:rPr>
        <w:t>ერთი</w:t>
      </w:r>
      <w:r w:rsidRPr="003D733D">
        <w:t xml:space="preserve"> </w:t>
      </w:r>
      <w:r w:rsidRPr="003D733D">
        <w:rPr>
          <w:rFonts w:ascii="Sylfaen" w:hAnsi="Sylfaen" w:cs="Sylfaen"/>
        </w:rPr>
        <w:t>კრებული</w:t>
      </w:r>
      <w:r w:rsidRPr="003D733D">
        <w:t xml:space="preserve"> </w:t>
      </w:r>
      <w:r w:rsidRPr="003D733D">
        <w:rPr>
          <w:rFonts w:ascii="Sylfaen" w:hAnsi="Sylfaen" w:cs="Sylfaen"/>
        </w:rPr>
        <w:t>მომზადდა</w:t>
      </w:r>
      <w:r w:rsidRPr="003D733D">
        <w:t xml:space="preserve">. </w:t>
      </w:r>
    </w:p>
    <w:p w14:paraId="01D8ED6E" w14:textId="77777777" w:rsidR="00F8565C" w:rsidRPr="003D733D" w:rsidRDefault="00F8565C" w:rsidP="00F8565C"/>
    <w:p w14:paraId="7A1958B1" w14:textId="1CC9DD2C" w:rsidR="00F8565C" w:rsidRPr="003D733D" w:rsidRDefault="00F8565C" w:rsidP="000B139D">
      <w:pPr>
        <w:pStyle w:val="Heading3"/>
      </w:pPr>
      <w:bookmarkStart w:id="89" w:name="_Toc529977363"/>
      <w:bookmarkStart w:id="90" w:name="_Toc1581502"/>
      <w:r w:rsidRPr="003D733D">
        <w:t>4.7</w:t>
      </w:r>
      <w:r w:rsidR="000B139D">
        <w:rPr>
          <w:lang w:val="ka-GE"/>
        </w:rPr>
        <w:t>.5</w:t>
      </w:r>
      <w:r w:rsidRPr="003D733D">
        <w:tab/>
      </w:r>
      <w:bookmarkEnd w:id="85"/>
      <w:r w:rsidRPr="003D733D">
        <w:rPr>
          <w:rFonts w:ascii="Sylfaen" w:hAnsi="Sylfaen" w:cs="Sylfaen"/>
        </w:rPr>
        <w:t>გენერირებული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w:t>
      </w:r>
      <w:bookmarkEnd w:id="86"/>
      <w:bookmarkEnd w:id="87"/>
      <w:bookmarkEnd w:id="88"/>
      <w:bookmarkEnd w:id="89"/>
      <w:bookmarkEnd w:id="90"/>
    </w:p>
    <w:p w14:paraId="396C864C" w14:textId="77777777" w:rsidR="00F8565C" w:rsidRPr="003D733D" w:rsidRDefault="00F8565C" w:rsidP="00F8565C"/>
    <w:p w14:paraId="1368F617" w14:textId="047FD4FD" w:rsidR="00F8565C" w:rsidRPr="003D733D" w:rsidRDefault="000B139D" w:rsidP="00F8565C">
      <w:pPr>
        <w:rPr>
          <w:rFonts w:eastAsia="Calibri"/>
        </w:rPr>
      </w:pPr>
      <w:r>
        <w:rPr>
          <w:rFonts w:ascii="Sylfaen" w:eastAsia="Calibri" w:hAnsi="Sylfaen"/>
          <w:lang w:val="ka-GE"/>
        </w:rPr>
        <w:t>არსებული გზის მთლიანობაში ადექვატური მდგომარეობიდან გამომდინარე, გენერირებული სტრანსპორტო ნაკადი ანალის გათვალისწინებული არ არის</w:t>
      </w:r>
      <w:r w:rsidR="00F8565C" w:rsidRPr="003D733D">
        <w:rPr>
          <w:rFonts w:eastAsia="Calibri"/>
        </w:rPr>
        <w:t xml:space="preserve"> </w:t>
      </w:r>
    </w:p>
    <w:p w14:paraId="3CB59A16" w14:textId="77777777" w:rsidR="00F8565C" w:rsidRPr="003D733D" w:rsidRDefault="00F8565C" w:rsidP="00F8565C">
      <w:pPr>
        <w:rPr>
          <w:rFonts w:eastAsia="Calibri"/>
        </w:rPr>
      </w:pPr>
    </w:p>
    <w:p w14:paraId="1DE50DA5" w14:textId="44999300" w:rsidR="00F8565C" w:rsidRPr="003D733D" w:rsidRDefault="00F8565C" w:rsidP="000B139D">
      <w:pPr>
        <w:pStyle w:val="Heading3"/>
      </w:pPr>
      <w:bookmarkStart w:id="91" w:name="_Toc529977364"/>
      <w:bookmarkStart w:id="92" w:name="_Toc494412116"/>
      <w:bookmarkStart w:id="93" w:name="_Toc494411975"/>
      <w:bookmarkStart w:id="94" w:name="_Toc494297160"/>
      <w:bookmarkStart w:id="95" w:name="_Toc1581503"/>
      <w:r w:rsidRPr="003D733D">
        <w:t>4.</w:t>
      </w:r>
      <w:r w:rsidR="000B139D">
        <w:rPr>
          <w:lang w:val="ka-GE"/>
        </w:rPr>
        <w:t>7.6</w:t>
      </w:r>
      <w:r w:rsidRPr="003D733D">
        <w:tab/>
      </w:r>
      <w:r w:rsidRPr="003D733D">
        <w:rPr>
          <w:rFonts w:ascii="Sylfaen" w:hAnsi="Sylfaen" w:cs="Sylfaen"/>
        </w:rPr>
        <w:t>პროგნოზული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ნაკადები</w:t>
      </w:r>
      <w:bookmarkEnd w:id="91"/>
      <w:bookmarkEnd w:id="92"/>
      <w:bookmarkEnd w:id="93"/>
      <w:bookmarkEnd w:id="94"/>
      <w:bookmarkEnd w:id="95"/>
    </w:p>
    <w:p w14:paraId="774929A3" w14:textId="77777777" w:rsidR="00F8565C" w:rsidRPr="003D733D" w:rsidRDefault="00F8565C" w:rsidP="00F8565C"/>
    <w:p w14:paraId="4CCF42FB" w14:textId="20813A5B" w:rsidR="00F8565C" w:rsidRPr="003D733D" w:rsidRDefault="00F8565C" w:rsidP="00F8565C">
      <w:pPr>
        <w:rPr>
          <w:rFonts w:eastAsia="Calibri"/>
        </w:rPr>
      </w:pPr>
      <w:r w:rsidRPr="003D733D">
        <w:rPr>
          <w:rFonts w:ascii="Sylfaen" w:hAnsi="Sylfaen" w:cs="Sylfaen"/>
        </w:rPr>
        <w:t>მომდევნო</w:t>
      </w:r>
      <w:r w:rsidRPr="003D733D">
        <w:t xml:space="preserve"> </w:t>
      </w:r>
      <w:r w:rsidRPr="003D733D">
        <w:rPr>
          <w:rFonts w:ascii="Sylfaen" w:hAnsi="Sylfaen" w:cs="Sylfaen"/>
        </w:rPr>
        <w:t>ცხრილებში</w:t>
      </w:r>
      <w:r w:rsidRPr="003D733D">
        <w:t xml:space="preserve"> 4.</w:t>
      </w:r>
      <w:r w:rsidR="000B139D">
        <w:rPr>
          <w:rFonts w:ascii="Sylfaen" w:hAnsi="Sylfaen"/>
          <w:lang w:val="ka-GE"/>
        </w:rPr>
        <w:t>7.6-1</w:t>
      </w:r>
      <w:r w:rsidRPr="003D733D">
        <w:t xml:space="preserve"> </w:t>
      </w:r>
      <w:r w:rsidRPr="003D733D">
        <w:rPr>
          <w:rFonts w:ascii="Sylfaen" w:hAnsi="Sylfaen" w:cs="Sylfaen"/>
        </w:rPr>
        <w:t>და</w:t>
      </w:r>
      <w:r w:rsidRPr="003D733D">
        <w:t xml:space="preserve"> </w:t>
      </w:r>
      <w:r w:rsidR="000B139D">
        <w:rPr>
          <w:rFonts w:ascii="Sylfaen" w:hAnsi="Sylfaen"/>
          <w:lang w:val="ka-GE"/>
        </w:rPr>
        <w:t>4.7.6-2</w:t>
      </w:r>
      <w:r w:rsidRPr="003D733D">
        <w:t xml:space="preserve"> </w:t>
      </w:r>
      <w:r w:rsidRPr="003D733D">
        <w:rPr>
          <w:rFonts w:ascii="Sylfaen" w:hAnsi="Sylfaen" w:cs="Sylfaen"/>
        </w:rPr>
        <w:t>მოცემულია</w:t>
      </w:r>
      <w:r w:rsidRPr="003D733D">
        <w:t xml:space="preserve"> </w:t>
      </w:r>
      <w:r w:rsidRPr="003D733D">
        <w:rPr>
          <w:rFonts w:ascii="Sylfaen" w:hAnsi="Sylfaen" w:cs="Sylfaen"/>
        </w:rPr>
        <w:t>თელავი</w:t>
      </w:r>
      <w:r w:rsidRPr="003D733D">
        <w:t>-</w:t>
      </w:r>
      <w:r w:rsidRPr="003D733D">
        <w:rPr>
          <w:rFonts w:ascii="Sylfaen" w:hAnsi="Sylfaen" w:cs="Sylfaen"/>
        </w:rPr>
        <w:t>ბაკურციხე</w:t>
      </w:r>
      <w:r w:rsidRPr="003D733D">
        <w:t>-</w:t>
      </w:r>
      <w:r w:rsidRPr="003D733D">
        <w:rPr>
          <w:rFonts w:ascii="Sylfaen" w:hAnsi="Sylfaen" w:cs="Sylfaen"/>
        </w:rPr>
        <w:t>წნორის</w:t>
      </w:r>
      <w:r w:rsidRPr="003D733D">
        <w:t xml:space="preserve"> </w:t>
      </w:r>
      <w:r w:rsidRPr="003D733D">
        <w:rPr>
          <w:rFonts w:ascii="Sylfaen" w:hAnsi="Sylfaen" w:cs="Sylfaen"/>
        </w:rPr>
        <w:t>არსებულ</w:t>
      </w:r>
      <w:r w:rsidRPr="003D733D">
        <w:t xml:space="preserve"> </w:t>
      </w:r>
      <w:r w:rsidRPr="003D733D">
        <w:rPr>
          <w:rFonts w:ascii="Sylfaen" w:hAnsi="Sylfaen" w:cs="Sylfaen"/>
        </w:rPr>
        <w:t>გზაზე</w:t>
      </w:r>
      <w:r w:rsidRPr="003D733D">
        <w:t xml:space="preserve"> </w:t>
      </w:r>
      <w:r w:rsidRPr="003D733D">
        <w:rPr>
          <w:rFonts w:ascii="Sylfaen" w:hAnsi="Sylfaen" w:cs="Sylfaen"/>
        </w:rPr>
        <w:t>და</w:t>
      </w:r>
      <w:r w:rsidRPr="003D733D">
        <w:t xml:space="preserve"> </w:t>
      </w:r>
      <w:r w:rsidRPr="003D733D">
        <w:rPr>
          <w:rFonts w:ascii="Sylfaen" w:hAnsi="Sylfaen" w:cs="Sylfaen"/>
        </w:rPr>
        <w:t>ალტერნატიულ</w:t>
      </w:r>
      <w:r w:rsidRPr="003D733D">
        <w:t xml:space="preserve"> </w:t>
      </w:r>
      <w:r w:rsidRPr="003D733D">
        <w:rPr>
          <w:rFonts w:ascii="Sylfaen" w:hAnsi="Sylfaen" w:cs="Sylfaen"/>
        </w:rPr>
        <w:t>მარშრუტზე</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ინტენსიურობის</w:t>
      </w:r>
      <w:r w:rsidRPr="003D733D">
        <w:t xml:space="preserve"> </w:t>
      </w:r>
      <w:r w:rsidRPr="003D733D">
        <w:rPr>
          <w:rFonts w:ascii="Sylfaen" w:hAnsi="Sylfaen" w:cs="Sylfaen"/>
        </w:rPr>
        <w:t>პროგნოზები</w:t>
      </w:r>
      <w:r w:rsidRPr="003D733D">
        <w:t xml:space="preserve"> </w:t>
      </w:r>
      <w:r w:rsidRPr="003D733D">
        <w:rPr>
          <w:rFonts w:ascii="Sylfaen" w:hAnsi="Sylfaen" w:cs="Sylfaen"/>
        </w:rPr>
        <w:t>დაბალი</w:t>
      </w:r>
      <w:r w:rsidRPr="003D733D">
        <w:t xml:space="preserve">, </w:t>
      </w:r>
      <w:r w:rsidRPr="003D733D">
        <w:rPr>
          <w:rFonts w:ascii="Sylfaen" w:hAnsi="Sylfaen" w:cs="Sylfaen"/>
        </w:rPr>
        <w:t>ცენტრალური</w:t>
      </w:r>
      <w:r w:rsidRPr="003D733D">
        <w:t xml:space="preserve"> </w:t>
      </w:r>
      <w:r w:rsidRPr="003D733D">
        <w:rPr>
          <w:rFonts w:ascii="Sylfaen" w:hAnsi="Sylfaen" w:cs="Sylfaen"/>
        </w:rPr>
        <w:t>და</w:t>
      </w:r>
      <w:r w:rsidRPr="003D733D">
        <w:t xml:space="preserve"> </w:t>
      </w:r>
      <w:r w:rsidRPr="003D733D">
        <w:rPr>
          <w:rFonts w:ascii="Sylfaen" w:hAnsi="Sylfaen" w:cs="Sylfaen"/>
        </w:rPr>
        <w:t>მაღალი</w:t>
      </w:r>
      <w:r w:rsidRPr="003D733D">
        <w:t xml:space="preserve"> </w:t>
      </w:r>
      <w:r w:rsidRPr="003D733D">
        <w:rPr>
          <w:rFonts w:ascii="Sylfaen" w:hAnsi="Sylfaen" w:cs="Sylfaen"/>
        </w:rPr>
        <w:t>ზრდის</w:t>
      </w:r>
      <w:r w:rsidRPr="003D733D">
        <w:t xml:space="preserve"> </w:t>
      </w:r>
      <w:r w:rsidRPr="003D733D">
        <w:rPr>
          <w:rFonts w:ascii="Sylfaen" w:hAnsi="Sylfaen" w:cs="Sylfaen"/>
        </w:rPr>
        <w:t>ტემპების</w:t>
      </w:r>
      <w:r w:rsidRPr="003D733D">
        <w:t xml:space="preserve"> </w:t>
      </w:r>
      <w:r w:rsidRPr="003D733D">
        <w:rPr>
          <w:rFonts w:ascii="Sylfaen" w:hAnsi="Sylfaen" w:cs="Sylfaen"/>
        </w:rPr>
        <w:t>გათვალისწინებით</w:t>
      </w:r>
      <w:r w:rsidRPr="003D733D">
        <w:t xml:space="preserve">. </w:t>
      </w:r>
    </w:p>
    <w:p w14:paraId="46497F42" w14:textId="77777777" w:rsidR="00F8565C" w:rsidRPr="003D733D" w:rsidRDefault="00F8565C" w:rsidP="00F8565C">
      <w:pPr>
        <w:sectPr w:rsidR="00F8565C" w:rsidRPr="003D733D">
          <w:pgSz w:w="12240" w:h="15840"/>
          <w:pgMar w:top="1134" w:right="900" w:bottom="1417" w:left="1417" w:header="708" w:footer="708" w:gutter="0"/>
          <w:cols w:space="720"/>
        </w:sectPr>
      </w:pPr>
    </w:p>
    <w:p w14:paraId="0CA3EC48" w14:textId="1428736B" w:rsidR="00F8565C" w:rsidRPr="003D733D" w:rsidRDefault="00F8565C" w:rsidP="00F8565C">
      <w:r w:rsidRPr="003D733D">
        <w:rPr>
          <w:rFonts w:ascii="Sylfaen" w:hAnsi="Sylfaen" w:cs="Sylfaen"/>
        </w:rPr>
        <w:lastRenderedPageBreak/>
        <w:t>ცხრილი</w:t>
      </w:r>
      <w:r w:rsidRPr="003D733D">
        <w:t xml:space="preserve"> 4.</w:t>
      </w:r>
      <w:r w:rsidR="000B139D">
        <w:rPr>
          <w:rFonts w:ascii="Sylfaen" w:hAnsi="Sylfaen"/>
          <w:lang w:val="ka-GE"/>
        </w:rPr>
        <w:t>7.6-1</w:t>
      </w:r>
      <w:r w:rsidRPr="003D733D">
        <w:t>.</w:t>
      </w:r>
      <w:r w:rsidRPr="003D733D">
        <w:tab/>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პროგნოზული</w:t>
      </w:r>
      <w:r w:rsidRPr="003D733D">
        <w:t xml:space="preserve"> </w:t>
      </w:r>
      <w:r w:rsidRPr="003D733D">
        <w:rPr>
          <w:rFonts w:ascii="Sylfaen" w:hAnsi="Sylfaen" w:cs="Sylfaen"/>
        </w:rPr>
        <w:t>მონაცემები</w:t>
      </w:r>
      <w:r w:rsidRPr="003D733D">
        <w:t xml:space="preserve"> _ </w:t>
      </w:r>
      <w:r w:rsidRPr="003D733D">
        <w:rPr>
          <w:rFonts w:ascii="Sylfaen" w:hAnsi="Sylfaen" w:cs="Sylfaen"/>
        </w:rPr>
        <w:t>არსებულიგზა</w:t>
      </w:r>
      <w:r w:rsidRPr="003D733D">
        <w:t xml:space="preserve"> (AADT)</w:t>
      </w:r>
    </w:p>
    <w:tbl>
      <w:tblPr>
        <w:tblW w:w="14379" w:type="dxa"/>
        <w:tblLook w:val="04A0" w:firstRow="1" w:lastRow="0" w:firstColumn="1" w:lastColumn="0" w:noHBand="0" w:noVBand="1"/>
      </w:tblPr>
      <w:tblGrid>
        <w:gridCol w:w="2235"/>
        <w:gridCol w:w="2080"/>
        <w:gridCol w:w="1731"/>
        <w:gridCol w:w="1134"/>
        <w:gridCol w:w="1577"/>
        <w:gridCol w:w="1276"/>
        <w:gridCol w:w="1276"/>
        <w:gridCol w:w="1577"/>
        <w:gridCol w:w="1493"/>
      </w:tblGrid>
      <w:tr w:rsidR="00F8565C" w:rsidRPr="001D2B74" w14:paraId="64C00E2D" w14:textId="77777777" w:rsidTr="001D2B74">
        <w:trPr>
          <w:trHeight w:val="300"/>
        </w:trPr>
        <w:tc>
          <w:tcPr>
            <w:tcW w:w="2235"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07AC4FD1" w14:textId="77777777" w:rsidR="00F8565C" w:rsidRPr="001D2B74" w:rsidRDefault="00F8565C" w:rsidP="00F8565C">
            <w:pPr>
              <w:rPr>
                <w:b/>
                <w:sz w:val="20"/>
                <w:lang w:eastAsia="en-GB"/>
              </w:rPr>
            </w:pPr>
            <w:r w:rsidRPr="001D2B74">
              <w:rPr>
                <w:rFonts w:ascii="Sylfaen" w:hAnsi="Sylfaen" w:cs="Sylfaen"/>
                <w:b/>
                <w:sz w:val="20"/>
              </w:rPr>
              <w:t>დასაწყისი</w:t>
            </w:r>
          </w:p>
        </w:tc>
        <w:tc>
          <w:tcPr>
            <w:tcW w:w="2080"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87EA73D" w14:textId="77777777" w:rsidR="00F8565C" w:rsidRPr="001D2B74" w:rsidRDefault="00F8565C" w:rsidP="00F8565C">
            <w:pPr>
              <w:rPr>
                <w:b/>
                <w:sz w:val="20"/>
              </w:rPr>
            </w:pPr>
            <w:r w:rsidRPr="001D2B74">
              <w:rPr>
                <w:rFonts w:ascii="Sylfaen" w:hAnsi="Sylfaen" w:cs="Sylfaen"/>
                <w:b/>
                <w:sz w:val="20"/>
              </w:rPr>
              <w:t>დასასრული</w:t>
            </w:r>
          </w:p>
        </w:tc>
        <w:tc>
          <w:tcPr>
            <w:tcW w:w="173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DE2D6B5" w14:textId="77777777" w:rsidR="00F8565C" w:rsidRPr="001D2B74" w:rsidRDefault="00F8565C" w:rsidP="00F8565C">
            <w:pPr>
              <w:rPr>
                <w:b/>
                <w:sz w:val="20"/>
              </w:rPr>
            </w:pPr>
            <w:r w:rsidRPr="001D2B74">
              <w:rPr>
                <w:b/>
                <w:sz w:val="20"/>
              </w:rPr>
              <w:t xml:space="preserve">2017 </w:t>
            </w:r>
            <w:r w:rsidRPr="001D2B74">
              <w:rPr>
                <w:rFonts w:ascii="Sylfaen" w:hAnsi="Sylfaen" w:cs="Sylfaen"/>
                <w:b/>
                <w:sz w:val="20"/>
              </w:rPr>
              <w:t>წ</w:t>
            </w:r>
            <w:r w:rsidRPr="001D2B74">
              <w:rPr>
                <w:b/>
                <w:sz w:val="20"/>
              </w:rPr>
              <w:t>.</w:t>
            </w:r>
          </w:p>
        </w:tc>
        <w:tc>
          <w:tcPr>
            <w:tcW w:w="398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253A7DB" w14:textId="77777777" w:rsidR="00F8565C" w:rsidRPr="001D2B74" w:rsidRDefault="00F8565C" w:rsidP="00F8565C">
            <w:pPr>
              <w:rPr>
                <w:b/>
                <w:sz w:val="20"/>
              </w:rPr>
            </w:pPr>
            <w:r w:rsidRPr="001D2B74">
              <w:rPr>
                <w:b/>
                <w:sz w:val="20"/>
              </w:rPr>
              <w:t xml:space="preserve">2020 </w:t>
            </w:r>
            <w:r w:rsidRPr="001D2B74">
              <w:rPr>
                <w:rFonts w:ascii="Sylfaen" w:hAnsi="Sylfaen" w:cs="Sylfaen"/>
                <w:b/>
                <w:sz w:val="20"/>
              </w:rPr>
              <w:t>წ</w:t>
            </w:r>
            <w:r w:rsidRPr="001D2B74">
              <w:rPr>
                <w:b/>
                <w:sz w:val="20"/>
              </w:rPr>
              <w:t>. (</w:t>
            </w:r>
            <w:r w:rsidRPr="001D2B74">
              <w:rPr>
                <w:rFonts w:ascii="Sylfaen" w:hAnsi="Sylfaen" w:cs="Sylfaen"/>
                <w:b/>
                <w:sz w:val="20"/>
              </w:rPr>
              <w:t>გზის</w:t>
            </w:r>
            <w:r w:rsidRPr="001D2B74">
              <w:rPr>
                <w:b/>
                <w:sz w:val="20"/>
              </w:rPr>
              <w:t xml:space="preserve"> </w:t>
            </w:r>
            <w:r w:rsidRPr="001D2B74">
              <w:rPr>
                <w:rFonts w:ascii="Sylfaen" w:hAnsi="Sylfaen" w:cs="Sylfaen"/>
                <w:b/>
                <w:sz w:val="20"/>
              </w:rPr>
              <w:t>გახსნის</w:t>
            </w:r>
            <w:r w:rsidRPr="001D2B74">
              <w:rPr>
                <w:b/>
                <w:sz w:val="20"/>
              </w:rPr>
              <w:t xml:space="preserve"> </w:t>
            </w:r>
            <w:r w:rsidRPr="001D2B74">
              <w:rPr>
                <w:rFonts w:ascii="Sylfaen" w:hAnsi="Sylfaen" w:cs="Sylfaen"/>
                <w:b/>
                <w:sz w:val="20"/>
              </w:rPr>
              <w:t>წელი</w:t>
            </w:r>
            <w:r w:rsidRPr="001D2B74">
              <w:rPr>
                <w:b/>
                <w:sz w:val="20"/>
              </w:rPr>
              <w:t>)</w:t>
            </w:r>
          </w:p>
        </w:tc>
        <w:tc>
          <w:tcPr>
            <w:tcW w:w="4346"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0E5B6F0D" w14:textId="77777777" w:rsidR="00F8565C" w:rsidRPr="001D2B74" w:rsidRDefault="00F8565C" w:rsidP="00F8565C">
            <w:pPr>
              <w:rPr>
                <w:b/>
                <w:sz w:val="20"/>
              </w:rPr>
            </w:pPr>
            <w:r w:rsidRPr="001D2B74">
              <w:rPr>
                <w:b/>
                <w:sz w:val="20"/>
              </w:rPr>
              <w:t xml:space="preserve">2040 </w:t>
            </w:r>
            <w:r w:rsidRPr="001D2B74">
              <w:rPr>
                <w:rFonts w:ascii="Sylfaen" w:hAnsi="Sylfaen" w:cs="Sylfaen"/>
                <w:b/>
                <w:sz w:val="20"/>
              </w:rPr>
              <w:t>წ</w:t>
            </w:r>
            <w:r w:rsidRPr="001D2B74">
              <w:rPr>
                <w:b/>
                <w:sz w:val="20"/>
              </w:rPr>
              <w:t>. (</w:t>
            </w:r>
            <w:r w:rsidRPr="001D2B74">
              <w:rPr>
                <w:rFonts w:ascii="Sylfaen" w:hAnsi="Sylfaen" w:cs="Sylfaen"/>
                <w:b/>
                <w:sz w:val="20"/>
              </w:rPr>
              <w:t>გახსნიდან</w:t>
            </w:r>
            <w:r w:rsidRPr="001D2B74">
              <w:rPr>
                <w:b/>
                <w:sz w:val="20"/>
              </w:rPr>
              <w:t xml:space="preserve"> </w:t>
            </w:r>
            <w:r w:rsidRPr="001D2B74">
              <w:rPr>
                <w:rFonts w:ascii="Sylfaen" w:hAnsi="Sylfaen" w:cs="Sylfaen"/>
                <w:b/>
                <w:sz w:val="20"/>
              </w:rPr>
              <w:t>მე</w:t>
            </w:r>
            <w:r w:rsidRPr="001D2B74">
              <w:rPr>
                <w:b/>
                <w:sz w:val="20"/>
              </w:rPr>
              <w:t xml:space="preserve">-20 </w:t>
            </w:r>
            <w:r w:rsidRPr="001D2B74">
              <w:rPr>
                <w:rFonts w:ascii="Sylfaen" w:hAnsi="Sylfaen" w:cs="Sylfaen"/>
                <w:b/>
                <w:sz w:val="20"/>
              </w:rPr>
              <w:t>წელი</w:t>
            </w:r>
            <w:r w:rsidRPr="001D2B74">
              <w:rPr>
                <w:b/>
                <w:sz w:val="20"/>
              </w:rPr>
              <w:t>)</w:t>
            </w:r>
          </w:p>
        </w:tc>
      </w:tr>
      <w:tr w:rsidR="00F8565C" w:rsidRPr="001D2B74" w14:paraId="345D437A" w14:textId="77777777" w:rsidTr="001D2B74">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6ECC6FD" w14:textId="77777777" w:rsidR="00F8565C" w:rsidRPr="001D2B74" w:rsidRDefault="00F8565C" w:rsidP="00F8565C">
            <w:pPr>
              <w:rPr>
                <w:rFonts w:eastAsiaTheme="minorHAnsi"/>
                <w:b/>
                <w:sz w:val="20"/>
                <w:lang w:eastAsia="en-GB"/>
              </w:rPr>
            </w:pPr>
          </w:p>
        </w:tc>
        <w:tc>
          <w:tcPr>
            <w:tcW w:w="2080"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49AAE4E" w14:textId="77777777" w:rsidR="00F8565C" w:rsidRPr="001D2B74" w:rsidRDefault="00F8565C" w:rsidP="00F8565C">
            <w:pPr>
              <w:rPr>
                <w:rFonts w:eastAsiaTheme="minorHAnsi"/>
                <w:b/>
                <w:sz w:val="20"/>
                <w:lang w:eastAsia="en-GB"/>
              </w:rPr>
            </w:pPr>
          </w:p>
        </w:tc>
        <w:tc>
          <w:tcPr>
            <w:tcW w:w="173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D1DAA5F" w14:textId="77777777" w:rsidR="00F8565C" w:rsidRPr="001D2B74" w:rsidRDefault="00F8565C" w:rsidP="00F8565C">
            <w:pPr>
              <w:rPr>
                <w:b/>
                <w:sz w:val="20"/>
              </w:rPr>
            </w:pPr>
            <w:r w:rsidRPr="001D2B74">
              <w:rPr>
                <w:rFonts w:ascii="Sylfaen" w:hAnsi="Sylfaen" w:cs="Sylfaen"/>
                <w:b/>
                <w:sz w:val="20"/>
              </w:rPr>
              <w:t>დაკვირვებული</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61DD5A7" w14:textId="77777777" w:rsidR="00F8565C" w:rsidRPr="001D2B74" w:rsidRDefault="00F8565C" w:rsidP="00F8565C">
            <w:pPr>
              <w:rPr>
                <w:b/>
                <w:sz w:val="20"/>
              </w:rPr>
            </w:pPr>
            <w:r w:rsidRPr="001D2B74">
              <w:rPr>
                <w:rFonts w:ascii="Sylfaen" w:hAnsi="Sylfaen" w:cs="Sylfaen"/>
                <w:b/>
                <w:sz w:val="20"/>
              </w:rPr>
              <w:t>დაბალი</w:t>
            </w:r>
          </w:p>
        </w:tc>
        <w:tc>
          <w:tcPr>
            <w:tcW w:w="15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19A4B06" w14:textId="77777777" w:rsidR="00F8565C" w:rsidRPr="001D2B74" w:rsidRDefault="00F8565C" w:rsidP="00F8565C">
            <w:pPr>
              <w:rPr>
                <w:b/>
                <w:sz w:val="20"/>
              </w:rPr>
            </w:pPr>
            <w:r w:rsidRPr="001D2B74">
              <w:rPr>
                <w:rFonts w:ascii="Sylfaen" w:hAnsi="Sylfaen" w:cs="Sylfaen"/>
                <w:b/>
                <w:sz w:val="20"/>
              </w:rPr>
              <w:t>ცენტრალური</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73CF97A" w14:textId="77777777" w:rsidR="00F8565C" w:rsidRPr="001D2B74" w:rsidRDefault="00F8565C" w:rsidP="00F8565C">
            <w:pPr>
              <w:rPr>
                <w:b/>
                <w:sz w:val="20"/>
              </w:rPr>
            </w:pPr>
            <w:r w:rsidRPr="001D2B74">
              <w:rPr>
                <w:rFonts w:ascii="Sylfaen" w:hAnsi="Sylfaen" w:cs="Sylfaen"/>
                <w:b/>
                <w:sz w:val="20"/>
              </w:rPr>
              <w:t>მაღალი</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93B7E0F" w14:textId="77777777" w:rsidR="00F8565C" w:rsidRPr="001D2B74" w:rsidRDefault="00F8565C" w:rsidP="00F8565C">
            <w:pPr>
              <w:rPr>
                <w:b/>
                <w:sz w:val="20"/>
              </w:rPr>
            </w:pPr>
            <w:r w:rsidRPr="001D2B74">
              <w:rPr>
                <w:rFonts w:ascii="Sylfaen" w:hAnsi="Sylfaen" w:cs="Sylfaen"/>
                <w:b/>
                <w:sz w:val="20"/>
              </w:rPr>
              <w:t>დაბალი</w:t>
            </w:r>
          </w:p>
        </w:tc>
        <w:tc>
          <w:tcPr>
            <w:tcW w:w="15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A5FDCE4" w14:textId="77777777" w:rsidR="00F8565C" w:rsidRPr="001D2B74" w:rsidRDefault="00F8565C" w:rsidP="00F8565C">
            <w:pPr>
              <w:rPr>
                <w:b/>
                <w:sz w:val="20"/>
              </w:rPr>
            </w:pPr>
            <w:r w:rsidRPr="001D2B74">
              <w:rPr>
                <w:rFonts w:ascii="Sylfaen" w:hAnsi="Sylfaen" w:cs="Sylfaen"/>
                <w:b/>
                <w:sz w:val="20"/>
              </w:rPr>
              <w:t>ცენტრალური</w:t>
            </w:r>
          </w:p>
        </w:tc>
        <w:tc>
          <w:tcPr>
            <w:tcW w:w="149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0AA9EFB2" w14:textId="77777777" w:rsidR="00F8565C" w:rsidRPr="001D2B74" w:rsidRDefault="00F8565C" w:rsidP="00F8565C">
            <w:pPr>
              <w:rPr>
                <w:b/>
                <w:sz w:val="20"/>
              </w:rPr>
            </w:pPr>
            <w:r w:rsidRPr="001D2B74">
              <w:rPr>
                <w:rFonts w:ascii="Sylfaen" w:hAnsi="Sylfaen" w:cs="Sylfaen"/>
                <w:b/>
                <w:sz w:val="20"/>
              </w:rPr>
              <w:t>მაღალი</w:t>
            </w:r>
          </w:p>
        </w:tc>
      </w:tr>
      <w:tr w:rsidR="00F8565C" w:rsidRPr="001D2B74" w14:paraId="1491E8DE" w14:textId="77777777" w:rsidTr="000B139D">
        <w:trPr>
          <w:trHeight w:val="300"/>
        </w:trPr>
        <w:tc>
          <w:tcPr>
            <w:tcW w:w="2235" w:type="dxa"/>
            <w:tcBorders>
              <w:top w:val="single" w:sz="4" w:space="0" w:color="auto"/>
              <w:left w:val="single" w:sz="4" w:space="0" w:color="auto"/>
              <w:bottom w:val="single" w:sz="4" w:space="0" w:color="auto"/>
              <w:right w:val="single" w:sz="4" w:space="0" w:color="auto"/>
            </w:tcBorders>
            <w:noWrap/>
            <w:hideMark/>
          </w:tcPr>
          <w:p w14:paraId="78F2618E" w14:textId="77777777" w:rsidR="00F8565C" w:rsidRPr="001D2B74" w:rsidRDefault="00F8565C" w:rsidP="00F8565C">
            <w:pPr>
              <w:rPr>
                <w:sz w:val="20"/>
              </w:rPr>
            </w:pPr>
            <w:r w:rsidRPr="001D2B74">
              <w:rPr>
                <w:rFonts w:ascii="Sylfaen" w:hAnsi="Sylfaen" w:cs="Sylfaen"/>
                <w:sz w:val="20"/>
              </w:rPr>
              <w:t>თელავი</w:t>
            </w:r>
          </w:p>
        </w:tc>
        <w:tc>
          <w:tcPr>
            <w:tcW w:w="2080" w:type="dxa"/>
            <w:tcBorders>
              <w:top w:val="single" w:sz="4" w:space="0" w:color="auto"/>
              <w:left w:val="single" w:sz="4" w:space="0" w:color="auto"/>
              <w:bottom w:val="single" w:sz="4" w:space="0" w:color="auto"/>
              <w:right w:val="single" w:sz="4" w:space="0" w:color="auto"/>
            </w:tcBorders>
            <w:noWrap/>
            <w:hideMark/>
          </w:tcPr>
          <w:p w14:paraId="0595744F" w14:textId="77777777" w:rsidR="00F8565C" w:rsidRPr="001D2B74" w:rsidRDefault="00F8565C" w:rsidP="00F8565C">
            <w:pPr>
              <w:rPr>
                <w:sz w:val="20"/>
              </w:rPr>
            </w:pPr>
            <w:r w:rsidRPr="001D2B74">
              <w:rPr>
                <w:rFonts w:ascii="Sylfaen" w:hAnsi="Sylfaen" w:cs="Sylfaen"/>
                <w:sz w:val="20"/>
              </w:rPr>
              <w:t>აკურა</w:t>
            </w:r>
          </w:p>
        </w:tc>
        <w:tc>
          <w:tcPr>
            <w:tcW w:w="1731" w:type="dxa"/>
            <w:tcBorders>
              <w:top w:val="single" w:sz="4" w:space="0" w:color="auto"/>
              <w:left w:val="single" w:sz="4" w:space="0" w:color="auto"/>
              <w:bottom w:val="single" w:sz="4" w:space="0" w:color="auto"/>
              <w:right w:val="single" w:sz="4" w:space="0" w:color="auto"/>
            </w:tcBorders>
            <w:noWrap/>
            <w:hideMark/>
          </w:tcPr>
          <w:p w14:paraId="519BA795" w14:textId="77777777" w:rsidR="00F8565C" w:rsidRPr="001D2B74" w:rsidRDefault="00F8565C" w:rsidP="00F8565C">
            <w:pPr>
              <w:rPr>
                <w:sz w:val="20"/>
              </w:rPr>
            </w:pPr>
            <w:r w:rsidRPr="001D2B74">
              <w:rPr>
                <w:sz w:val="20"/>
              </w:rPr>
              <w:t>6183</w:t>
            </w:r>
          </w:p>
        </w:tc>
        <w:tc>
          <w:tcPr>
            <w:tcW w:w="1134" w:type="dxa"/>
            <w:tcBorders>
              <w:top w:val="single" w:sz="4" w:space="0" w:color="auto"/>
              <w:left w:val="single" w:sz="4" w:space="0" w:color="auto"/>
              <w:bottom w:val="single" w:sz="4" w:space="0" w:color="auto"/>
              <w:right w:val="single" w:sz="4" w:space="0" w:color="auto"/>
            </w:tcBorders>
            <w:noWrap/>
            <w:hideMark/>
          </w:tcPr>
          <w:p w14:paraId="5B78D166" w14:textId="77777777" w:rsidR="00F8565C" w:rsidRPr="001D2B74" w:rsidRDefault="00F8565C" w:rsidP="00F8565C">
            <w:pPr>
              <w:rPr>
                <w:sz w:val="20"/>
              </w:rPr>
            </w:pPr>
            <w:r w:rsidRPr="001D2B74">
              <w:rPr>
                <w:sz w:val="20"/>
              </w:rPr>
              <w:t>3271</w:t>
            </w:r>
          </w:p>
        </w:tc>
        <w:tc>
          <w:tcPr>
            <w:tcW w:w="1577" w:type="dxa"/>
            <w:tcBorders>
              <w:top w:val="single" w:sz="4" w:space="0" w:color="auto"/>
              <w:left w:val="single" w:sz="4" w:space="0" w:color="auto"/>
              <w:bottom w:val="single" w:sz="4" w:space="0" w:color="auto"/>
              <w:right w:val="single" w:sz="4" w:space="0" w:color="auto"/>
            </w:tcBorders>
            <w:noWrap/>
            <w:hideMark/>
          </w:tcPr>
          <w:p w14:paraId="450620D4" w14:textId="77777777" w:rsidR="00F8565C" w:rsidRPr="001D2B74" w:rsidRDefault="00F8565C" w:rsidP="00F8565C">
            <w:pPr>
              <w:rPr>
                <w:sz w:val="20"/>
              </w:rPr>
            </w:pPr>
            <w:r w:rsidRPr="001D2B74">
              <w:rPr>
                <w:sz w:val="20"/>
              </w:rPr>
              <w:t>3382</w:t>
            </w:r>
          </w:p>
        </w:tc>
        <w:tc>
          <w:tcPr>
            <w:tcW w:w="1276" w:type="dxa"/>
            <w:tcBorders>
              <w:top w:val="single" w:sz="4" w:space="0" w:color="auto"/>
              <w:left w:val="single" w:sz="4" w:space="0" w:color="auto"/>
              <w:bottom w:val="single" w:sz="4" w:space="0" w:color="auto"/>
              <w:right w:val="single" w:sz="4" w:space="0" w:color="auto"/>
            </w:tcBorders>
            <w:noWrap/>
            <w:hideMark/>
          </w:tcPr>
          <w:p w14:paraId="172638A3" w14:textId="77777777" w:rsidR="00F8565C" w:rsidRPr="001D2B74" w:rsidRDefault="00F8565C" w:rsidP="00F8565C">
            <w:pPr>
              <w:rPr>
                <w:sz w:val="20"/>
              </w:rPr>
            </w:pPr>
            <w:r w:rsidRPr="001D2B74">
              <w:rPr>
                <w:sz w:val="20"/>
              </w:rPr>
              <w:t>3487</w:t>
            </w:r>
          </w:p>
        </w:tc>
        <w:tc>
          <w:tcPr>
            <w:tcW w:w="1276" w:type="dxa"/>
            <w:tcBorders>
              <w:top w:val="single" w:sz="4" w:space="0" w:color="auto"/>
              <w:left w:val="single" w:sz="4" w:space="0" w:color="auto"/>
              <w:bottom w:val="single" w:sz="4" w:space="0" w:color="auto"/>
              <w:right w:val="single" w:sz="4" w:space="0" w:color="auto"/>
            </w:tcBorders>
            <w:noWrap/>
            <w:hideMark/>
          </w:tcPr>
          <w:p w14:paraId="305793F7" w14:textId="77777777" w:rsidR="00F8565C" w:rsidRPr="001D2B74" w:rsidRDefault="00F8565C" w:rsidP="00F8565C">
            <w:pPr>
              <w:rPr>
                <w:sz w:val="20"/>
              </w:rPr>
            </w:pPr>
            <w:r w:rsidRPr="001D2B74">
              <w:rPr>
                <w:sz w:val="20"/>
              </w:rPr>
              <w:t>6071</w:t>
            </w:r>
          </w:p>
        </w:tc>
        <w:tc>
          <w:tcPr>
            <w:tcW w:w="1577" w:type="dxa"/>
            <w:tcBorders>
              <w:top w:val="single" w:sz="4" w:space="0" w:color="auto"/>
              <w:left w:val="single" w:sz="4" w:space="0" w:color="auto"/>
              <w:bottom w:val="single" w:sz="4" w:space="0" w:color="auto"/>
              <w:right w:val="single" w:sz="4" w:space="0" w:color="auto"/>
            </w:tcBorders>
            <w:noWrap/>
            <w:hideMark/>
          </w:tcPr>
          <w:p w14:paraId="2AD440E6" w14:textId="77777777" w:rsidR="00F8565C" w:rsidRPr="001D2B74" w:rsidRDefault="00F8565C" w:rsidP="00F8565C">
            <w:pPr>
              <w:rPr>
                <w:sz w:val="20"/>
              </w:rPr>
            </w:pPr>
            <w:r w:rsidRPr="001D2B74">
              <w:rPr>
                <w:sz w:val="20"/>
              </w:rPr>
              <w:t>7282</w:t>
            </w:r>
          </w:p>
        </w:tc>
        <w:tc>
          <w:tcPr>
            <w:tcW w:w="1493" w:type="dxa"/>
            <w:tcBorders>
              <w:top w:val="single" w:sz="4" w:space="0" w:color="auto"/>
              <w:left w:val="single" w:sz="4" w:space="0" w:color="auto"/>
              <w:bottom w:val="single" w:sz="4" w:space="0" w:color="auto"/>
              <w:right w:val="single" w:sz="4" w:space="0" w:color="auto"/>
            </w:tcBorders>
            <w:noWrap/>
            <w:hideMark/>
          </w:tcPr>
          <w:p w14:paraId="2BCA8D0D" w14:textId="77777777" w:rsidR="00F8565C" w:rsidRPr="001D2B74" w:rsidRDefault="00F8565C" w:rsidP="00F8565C">
            <w:pPr>
              <w:rPr>
                <w:sz w:val="20"/>
              </w:rPr>
            </w:pPr>
            <w:r w:rsidRPr="001D2B74">
              <w:rPr>
                <w:sz w:val="20"/>
              </w:rPr>
              <w:t>8767</w:t>
            </w:r>
          </w:p>
        </w:tc>
      </w:tr>
      <w:tr w:rsidR="00F8565C" w:rsidRPr="001D2B74" w14:paraId="7F7D199E" w14:textId="77777777" w:rsidTr="000B139D">
        <w:trPr>
          <w:trHeight w:val="300"/>
        </w:trPr>
        <w:tc>
          <w:tcPr>
            <w:tcW w:w="2235" w:type="dxa"/>
            <w:tcBorders>
              <w:top w:val="single" w:sz="4" w:space="0" w:color="auto"/>
              <w:left w:val="single" w:sz="4" w:space="0" w:color="auto"/>
              <w:bottom w:val="single" w:sz="4" w:space="0" w:color="auto"/>
              <w:right w:val="single" w:sz="4" w:space="0" w:color="auto"/>
            </w:tcBorders>
            <w:noWrap/>
            <w:hideMark/>
          </w:tcPr>
          <w:p w14:paraId="3C9F4884" w14:textId="77777777" w:rsidR="00F8565C" w:rsidRPr="001D2B74" w:rsidRDefault="00F8565C" w:rsidP="00F8565C">
            <w:pPr>
              <w:rPr>
                <w:sz w:val="20"/>
              </w:rPr>
            </w:pPr>
            <w:r w:rsidRPr="001D2B74">
              <w:rPr>
                <w:rFonts w:ascii="Sylfaen" w:hAnsi="Sylfaen" w:cs="Sylfaen"/>
                <w:sz w:val="20"/>
              </w:rPr>
              <w:t>აკურა</w:t>
            </w:r>
          </w:p>
        </w:tc>
        <w:tc>
          <w:tcPr>
            <w:tcW w:w="2080" w:type="dxa"/>
            <w:tcBorders>
              <w:top w:val="single" w:sz="4" w:space="0" w:color="auto"/>
              <w:left w:val="single" w:sz="4" w:space="0" w:color="auto"/>
              <w:bottom w:val="single" w:sz="4" w:space="0" w:color="auto"/>
              <w:right w:val="single" w:sz="4" w:space="0" w:color="auto"/>
            </w:tcBorders>
            <w:noWrap/>
            <w:hideMark/>
          </w:tcPr>
          <w:p w14:paraId="45ADCED0" w14:textId="77777777" w:rsidR="00F8565C" w:rsidRPr="001D2B74" w:rsidRDefault="00F8565C" w:rsidP="00F8565C">
            <w:pPr>
              <w:rPr>
                <w:sz w:val="20"/>
              </w:rPr>
            </w:pPr>
            <w:r w:rsidRPr="001D2B74">
              <w:rPr>
                <w:rFonts w:ascii="Sylfaen" w:hAnsi="Sylfaen" w:cs="Sylfaen"/>
                <w:sz w:val="20"/>
              </w:rPr>
              <w:t>ველისციხის</w:t>
            </w:r>
            <w:r w:rsidRPr="001D2B74">
              <w:rPr>
                <w:sz w:val="20"/>
              </w:rPr>
              <w:t xml:space="preserve"> </w:t>
            </w:r>
            <w:r w:rsidRPr="001D2B74">
              <w:rPr>
                <w:rFonts w:ascii="Sylfaen" w:hAnsi="Sylfaen" w:cs="Sylfaen"/>
                <w:sz w:val="20"/>
              </w:rPr>
              <w:t>გადასახვევი</w:t>
            </w:r>
          </w:p>
        </w:tc>
        <w:tc>
          <w:tcPr>
            <w:tcW w:w="1731" w:type="dxa"/>
            <w:tcBorders>
              <w:top w:val="single" w:sz="4" w:space="0" w:color="auto"/>
              <w:left w:val="single" w:sz="4" w:space="0" w:color="auto"/>
              <w:bottom w:val="single" w:sz="4" w:space="0" w:color="auto"/>
              <w:right w:val="single" w:sz="4" w:space="0" w:color="auto"/>
            </w:tcBorders>
            <w:noWrap/>
            <w:hideMark/>
          </w:tcPr>
          <w:p w14:paraId="37E3D9C1" w14:textId="77777777" w:rsidR="00F8565C" w:rsidRPr="001D2B74" w:rsidRDefault="00F8565C" w:rsidP="00F8565C">
            <w:pPr>
              <w:rPr>
                <w:sz w:val="20"/>
              </w:rPr>
            </w:pPr>
            <w:r w:rsidRPr="001D2B74">
              <w:rPr>
                <w:sz w:val="20"/>
              </w:rPr>
              <w:t>6045</w:t>
            </w:r>
          </w:p>
        </w:tc>
        <w:tc>
          <w:tcPr>
            <w:tcW w:w="1134" w:type="dxa"/>
            <w:tcBorders>
              <w:top w:val="single" w:sz="4" w:space="0" w:color="auto"/>
              <w:left w:val="single" w:sz="4" w:space="0" w:color="auto"/>
              <w:bottom w:val="single" w:sz="4" w:space="0" w:color="auto"/>
              <w:right w:val="single" w:sz="4" w:space="0" w:color="auto"/>
            </w:tcBorders>
            <w:noWrap/>
            <w:hideMark/>
          </w:tcPr>
          <w:p w14:paraId="3B2592F0" w14:textId="77777777" w:rsidR="00F8565C" w:rsidRPr="001D2B74" w:rsidRDefault="00F8565C" w:rsidP="00F8565C">
            <w:pPr>
              <w:rPr>
                <w:sz w:val="20"/>
              </w:rPr>
            </w:pPr>
            <w:r w:rsidRPr="001D2B74">
              <w:rPr>
                <w:sz w:val="20"/>
              </w:rPr>
              <w:t>3190</w:t>
            </w:r>
          </w:p>
        </w:tc>
        <w:tc>
          <w:tcPr>
            <w:tcW w:w="1577" w:type="dxa"/>
            <w:tcBorders>
              <w:top w:val="single" w:sz="4" w:space="0" w:color="auto"/>
              <w:left w:val="single" w:sz="4" w:space="0" w:color="auto"/>
              <w:bottom w:val="single" w:sz="4" w:space="0" w:color="auto"/>
              <w:right w:val="single" w:sz="4" w:space="0" w:color="auto"/>
            </w:tcBorders>
            <w:noWrap/>
            <w:hideMark/>
          </w:tcPr>
          <w:p w14:paraId="2B82C227" w14:textId="77777777" w:rsidR="00F8565C" w:rsidRPr="001D2B74" w:rsidRDefault="00F8565C" w:rsidP="00F8565C">
            <w:pPr>
              <w:rPr>
                <w:sz w:val="20"/>
              </w:rPr>
            </w:pPr>
            <w:r w:rsidRPr="001D2B74">
              <w:rPr>
                <w:sz w:val="20"/>
              </w:rPr>
              <w:t>3298</w:t>
            </w:r>
          </w:p>
        </w:tc>
        <w:tc>
          <w:tcPr>
            <w:tcW w:w="1276" w:type="dxa"/>
            <w:tcBorders>
              <w:top w:val="single" w:sz="4" w:space="0" w:color="auto"/>
              <w:left w:val="single" w:sz="4" w:space="0" w:color="auto"/>
              <w:bottom w:val="single" w:sz="4" w:space="0" w:color="auto"/>
              <w:right w:val="single" w:sz="4" w:space="0" w:color="auto"/>
            </w:tcBorders>
            <w:noWrap/>
            <w:hideMark/>
          </w:tcPr>
          <w:p w14:paraId="525F1826" w14:textId="77777777" w:rsidR="00F8565C" w:rsidRPr="001D2B74" w:rsidRDefault="00F8565C" w:rsidP="00F8565C">
            <w:pPr>
              <w:rPr>
                <w:sz w:val="20"/>
              </w:rPr>
            </w:pPr>
            <w:r w:rsidRPr="001D2B74">
              <w:rPr>
                <w:sz w:val="20"/>
              </w:rPr>
              <w:t>3400</w:t>
            </w:r>
          </w:p>
        </w:tc>
        <w:tc>
          <w:tcPr>
            <w:tcW w:w="1276" w:type="dxa"/>
            <w:tcBorders>
              <w:top w:val="single" w:sz="4" w:space="0" w:color="auto"/>
              <w:left w:val="single" w:sz="4" w:space="0" w:color="auto"/>
              <w:bottom w:val="single" w:sz="4" w:space="0" w:color="auto"/>
              <w:right w:val="single" w:sz="4" w:space="0" w:color="auto"/>
            </w:tcBorders>
            <w:noWrap/>
            <w:hideMark/>
          </w:tcPr>
          <w:p w14:paraId="252E5CAC" w14:textId="77777777" w:rsidR="00F8565C" w:rsidRPr="001D2B74" w:rsidRDefault="00F8565C" w:rsidP="00F8565C">
            <w:pPr>
              <w:rPr>
                <w:sz w:val="20"/>
              </w:rPr>
            </w:pPr>
            <w:r w:rsidRPr="001D2B74">
              <w:rPr>
                <w:sz w:val="20"/>
              </w:rPr>
              <w:t>5916</w:t>
            </w:r>
          </w:p>
        </w:tc>
        <w:tc>
          <w:tcPr>
            <w:tcW w:w="1577" w:type="dxa"/>
            <w:tcBorders>
              <w:top w:val="single" w:sz="4" w:space="0" w:color="auto"/>
              <w:left w:val="single" w:sz="4" w:space="0" w:color="auto"/>
              <w:bottom w:val="single" w:sz="4" w:space="0" w:color="auto"/>
              <w:right w:val="single" w:sz="4" w:space="0" w:color="auto"/>
            </w:tcBorders>
            <w:noWrap/>
            <w:hideMark/>
          </w:tcPr>
          <w:p w14:paraId="7EA5F76A" w14:textId="77777777" w:rsidR="00F8565C" w:rsidRPr="001D2B74" w:rsidRDefault="00F8565C" w:rsidP="00F8565C">
            <w:pPr>
              <w:rPr>
                <w:sz w:val="20"/>
              </w:rPr>
            </w:pPr>
            <w:r w:rsidRPr="001D2B74">
              <w:rPr>
                <w:sz w:val="20"/>
              </w:rPr>
              <w:t>7094</w:t>
            </w:r>
          </w:p>
        </w:tc>
        <w:tc>
          <w:tcPr>
            <w:tcW w:w="1493" w:type="dxa"/>
            <w:tcBorders>
              <w:top w:val="single" w:sz="4" w:space="0" w:color="auto"/>
              <w:left w:val="single" w:sz="4" w:space="0" w:color="auto"/>
              <w:bottom w:val="single" w:sz="4" w:space="0" w:color="auto"/>
              <w:right w:val="single" w:sz="4" w:space="0" w:color="auto"/>
            </w:tcBorders>
            <w:noWrap/>
            <w:hideMark/>
          </w:tcPr>
          <w:p w14:paraId="4011A1E8" w14:textId="77777777" w:rsidR="00F8565C" w:rsidRPr="001D2B74" w:rsidRDefault="00F8565C" w:rsidP="00F8565C">
            <w:pPr>
              <w:rPr>
                <w:sz w:val="20"/>
              </w:rPr>
            </w:pPr>
            <w:r w:rsidRPr="001D2B74">
              <w:rPr>
                <w:sz w:val="20"/>
              </w:rPr>
              <w:t>8540</w:t>
            </w:r>
          </w:p>
        </w:tc>
      </w:tr>
      <w:tr w:rsidR="00F8565C" w:rsidRPr="001D2B74" w14:paraId="1A52D43F" w14:textId="77777777" w:rsidTr="000B139D">
        <w:trPr>
          <w:trHeight w:val="300"/>
        </w:trPr>
        <w:tc>
          <w:tcPr>
            <w:tcW w:w="2235" w:type="dxa"/>
            <w:tcBorders>
              <w:top w:val="single" w:sz="4" w:space="0" w:color="auto"/>
              <w:left w:val="single" w:sz="4" w:space="0" w:color="auto"/>
              <w:bottom w:val="single" w:sz="4" w:space="0" w:color="auto"/>
              <w:right w:val="single" w:sz="4" w:space="0" w:color="auto"/>
            </w:tcBorders>
            <w:noWrap/>
            <w:hideMark/>
          </w:tcPr>
          <w:p w14:paraId="7D4CC884" w14:textId="77777777" w:rsidR="00F8565C" w:rsidRPr="001D2B74" w:rsidRDefault="00F8565C" w:rsidP="00F8565C">
            <w:pPr>
              <w:rPr>
                <w:sz w:val="20"/>
              </w:rPr>
            </w:pPr>
            <w:r w:rsidRPr="001D2B74">
              <w:rPr>
                <w:rFonts w:ascii="Sylfaen" w:hAnsi="Sylfaen" w:cs="Sylfaen"/>
                <w:sz w:val="20"/>
              </w:rPr>
              <w:t>ველისციხის</w:t>
            </w:r>
            <w:r w:rsidRPr="001D2B74">
              <w:rPr>
                <w:sz w:val="20"/>
              </w:rPr>
              <w:t xml:space="preserve"> </w:t>
            </w:r>
            <w:r w:rsidRPr="001D2B74">
              <w:rPr>
                <w:rFonts w:ascii="Sylfaen" w:hAnsi="Sylfaen" w:cs="Sylfaen"/>
                <w:sz w:val="20"/>
              </w:rPr>
              <w:t>გადასახვევი</w:t>
            </w:r>
          </w:p>
        </w:tc>
        <w:tc>
          <w:tcPr>
            <w:tcW w:w="2080" w:type="dxa"/>
            <w:tcBorders>
              <w:top w:val="single" w:sz="4" w:space="0" w:color="auto"/>
              <w:left w:val="single" w:sz="4" w:space="0" w:color="auto"/>
              <w:bottom w:val="single" w:sz="4" w:space="0" w:color="auto"/>
              <w:right w:val="single" w:sz="4" w:space="0" w:color="auto"/>
            </w:tcBorders>
            <w:noWrap/>
            <w:hideMark/>
          </w:tcPr>
          <w:p w14:paraId="05B5758E" w14:textId="77777777" w:rsidR="00F8565C" w:rsidRPr="001D2B74" w:rsidRDefault="00F8565C" w:rsidP="00F8565C">
            <w:pPr>
              <w:rPr>
                <w:sz w:val="20"/>
              </w:rPr>
            </w:pPr>
            <w:r w:rsidRPr="001D2B74">
              <w:rPr>
                <w:rFonts w:ascii="Sylfaen" w:hAnsi="Sylfaen" w:cs="Sylfaen"/>
                <w:sz w:val="20"/>
              </w:rPr>
              <w:t>ჩუმლაყი</w:t>
            </w:r>
          </w:p>
        </w:tc>
        <w:tc>
          <w:tcPr>
            <w:tcW w:w="1731" w:type="dxa"/>
            <w:tcBorders>
              <w:top w:val="single" w:sz="4" w:space="0" w:color="auto"/>
              <w:left w:val="single" w:sz="4" w:space="0" w:color="auto"/>
              <w:bottom w:val="single" w:sz="4" w:space="0" w:color="auto"/>
              <w:right w:val="single" w:sz="4" w:space="0" w:color="auto"/>
            </w:tcBorders>
            <w:noWrap/>
            <w:hideMark/>
          </w:tcPr>
          <w:p w14:paraId="1D6B76F8" w14:textId="77777777" w:rsidR="00F8565C" w:rsidRPr="001D2B74" w:rsidRDefault="00F8565C" w:rsidP="00F8565C">
            <w:pPr>
              <w:rPr>
                <w:sz w:val="20"/>
              </w:rPr>
            </w:pPr>
            <w:r w:rsidRPr="001D2B74">
              <w:rPr>
                <w:sz w:val="20"/>
              </w:rPr>
              <w:t>7336</w:t>
            </w:r>
          </w:p>
        </w:tc>
        <w:tc>
          <w:tcPr>
            <w:tcW w:w="1134" w:type="dxa"/>
            <w:tcBorders>
              <w:top w:val="single" w:sz="4" w:space="0" w:color="auto"/>
              <w:left w:val="single" w:sz="4" w:space="0" w:color="auto"/>
              <w:bottom w:val="single" w:sz="4" w:space="0" w:color="auto"/>
              <w:right w:val="single" w:sz="4" w:space="0" w:color="auto"/>
            </w:tcBorders>
            <w:noWrap/>
            <w:hideMark/>
          </w:tcPr>
          <w:p w14:paraId="3EBFCC47" w14:textId="77777777" w:rsidR="00F8565C" w:rsidRPr="001D2B74" w:rsidRDefault="00F8565C" w:rsidP="00F8565C">
            <w:pPr>
              <w:rPr>
                <w:sz w:val="20"/>
              </w:rPr>
            </w:pPr>
            <w:r w:rsidRPr="001D2B74">
              <w:rPr>
                <w:sz w:val="20"/>
              </w:rPr>
              <w:t>3878</w:t>
            </w:r>
          </w:p>
        </w:tc>
        <w:tc>
          <w:tcPr>
            <w:tcW w:w="1577" w:type="dxa"/>
            <w:tcBorders>
              <w:top w:val="single" w:sz="4" w:space="0" w:color="auto"/>
              <w:left w:val="single" w:sz="4" w:space="0" w:color="auto"/>
              <w:bottom w:val="single" w:sz="4" w:space="0" w:color="auto"/>
              <w:right w:val="single" w:sz="4" w:space="0" w:color="auto"/>
            </w:tcBorders>
            <w:noWrap/>
            <w:hideMark/>
          </w:tcPr>
          <w:p w14:paraId="5F0CA4DF" w14:textId="77777777" w:rsidR="00F8565C" w:rsidRPr="001D2B74" w:rsidRDefault="00F8565C" w:rsidP="00F8565C">
            <w:pPr>
              <w:rPr>
                <w:sz w:val="20"/>
              </w:rPr>
            </w:pPr>
            <w:r w:rsidRPr="001D2B74">
              <w:rPr>
                <w:sz w:val="20"/>
              </w:rPr>
              <w:t>4008</w:t>
            </w:r>
          </w:p>
        </w:tc>
        <w:tc>
          <w:tcPr>
            <w:tcW w:w="1276" w:type="dxa"/>
            <w:tcBorders>
              <w:top w:val="single" w:sz="4" w:space="0" w:color="auto"/>
              <w:left w:val="single" w:sz="4" w:space="0" w:color="auto"/>
              <w:bottom w:val="single" w:sz="4" w:space="0" w:color="auto"/>
              <w:right w:val="single" w:sz="4" w:space="0" w:color="auto"/>
            </w:tcBorders>
            <w:noWrap/>
            <w:hideMark/>
          </w:tcPr>
          <w:p w14:paraId="031DDA21" w14:textId="77777777" w:rsidR="00F8565C" w:rsidRPr="001D2B74" w:rsidRDefault="00F8565C" w:rsidP="00F8565C">
            <w:pPr>
              <w:rPr>
                <w:sz w:val="20"/>
              </w:rPr>
            </w:pPr>
            <w:r w:rsidRPr="001D2B74">
              <w:rPr>
                <w:sz w:val="20"/>
              </w:rPr>
              <w:t>4132</w:t>
            </w:r>
          </w:p>
        </w:tc>
        <w:tc>
          <w:tcPr>
            <w:tcW w:w="1276" w:type="dxa"/>
            <w:tcBorders>
              <w:top w:val="single" w:sz="4" w:space="0" w:color="auto"/>
              <w:left w:val="single" w:sz="4" w:space="0" w:color="auto"/>
              <w:bottom w:val="single" w:sz="4" w:space="0" w:color="auto"/>
              <w:right w:val="single" w:sz="4" w:space="0" w:color="auto"/>
            </w:tcBorders>
            <w:noWrap/>
            <w:hideMark/>
          </w:tcPr>
          <w:p w14:paraId="2B45D2AC" w14:textId="77777777" w:rsidR="00F8565C" w:rsidRPr="001D2B74" w:rsidRDefault="00F8565C" w:rsidP="00F8565C">
            <w:pPr>
              <w:rPr>
                <w:sz w:val="20"/>
              </w:rPr>
            </w:pPr>
            <w:r w:rsidRPr="001D2B74">
              <w:rPr>
                <w:sz w:val="20"/>
              </w:rPr>
              <w:t>7189</w:t>
            </w:r>
          </w:p>
        </w:tc>
        <w:tc>
          <w:tcPr>
            <w:tcW w:w="1577" w:type="dxa"/>
            <w:tcBorders>
              <w:top w:val="single" w:sz="4" w:space="0" w:color="auto"/>
              <w:left w:val="single" w:sz="4" w:space="0" w:color="auto"/>
              <w:bottom w:val="single" w:sz="4" w:space="0" w:color="auto"/>
              <w:right w:val="single" w:sz="4" w:space="0" w:color="auto"/>
            </w:tcBorders>
            <w:noWrap/>
            <w:hideMark/>
          </w:tcPr>
          <w:p w14:paraId="30AFCA2F" w14:textId="77777777" w:rsidR="00F8565C" w:rsidRPr="001D2B74" w:rsidRDefault="00F8565C" w:rsidP="00F8565C">
            <w:pPr>
              <w:rPr>
                <w:sz w:val="20"/>
              </w:rPr>
            </w:pPr>
            <w:r w:rsidRPr="001D2B74">
              <w:rPr>
                <w:sz w:val="20"/>
              </w:rPr>
              <w:t>8620</w:t>
            </w:r>
          </w:p>
        </w:tc>
        <w:tc>
          <w:tcPr>
            <w:tcW w:w="1493" w:type="dxa"/>
            <w:tcBorders>
              <w:top w:val="single" w:sz="4" w:space="0" w:color="auto"/>
              <w:left w:val="single" w:sz="4" w:space="0" w:color="auto"/>
              <w:bottom w:val="single" w:sz="4" w:space="0" w:color="auto"/>
              <w:right w:val="single" w:sz="4" w:space="0" w:color="auto"/>
            </w:tcBorders>
            <w:noWrap/>
            <w:hideMark/>
          </w:tcPr>
          <w:p w14:paraId="62EC324E" w14:textId="77777777" w:rsidR="00F8565C" w:rsidRPr="001D2B74" w:rsidRDefault="00F8565C" w:rsidP="00F8565C">
            <w:pPr>
              <w:rPr>
                <w:sz w:val="20"/>
              </w:rPr>
            </w:pPr>
            <w:r w:rsidRPr="001D2B74">
              <w:rPr>
                <w:sz w:val="20"/>
              </w:rPr>
              <w:t>10377</w:t>
            </w:r>
          </w:p>
        </w:tc>
      </w:tr>
      <w:tr w:rsidR="00F8565C" w:rsidRPr="001D2B74" w14:paraId="243663D9" w14:textId="77777777" w:rsidTr="000B139D">
        <w:trPr>
          <w:trHeight w:val="300"/>
        </w:trPr>
        <w:tc>
          <w:tcPr>
            <w:tcW w:w="2235" w:type="dxa"/>
            <w:tcBorders>
              <w:top w:val="single" w:sz="4" w:space="0" w:color="auto"/>
              <w:left w:val="single" w:sz="4" w:space="0" w:color="auto"/>
              <w:bottom w:val="single" w:sz="4" w:space="0" w:color="auto"/>
              <w:right w:val="single" w:sz="4" w:space="0" w:color="auto"/>
            </w:tcBorders>
            <w:noWrap/>
            <w:hideMark/>
          </w:tcPr>
          <w:p w14:paraId="76A53CAA" w14:textId="77777777" w:rsidR="00F8565C" w:rsidRPr="001D2B74" w:rsidRDefault="00F8565C" w:rsidP="00F8565C">
            <w:pPr>
              <w:rPr>
                <w:sz w:val="20"/>
              </w:rPr>
            </w:pPr>
            <w:r w:rsidRPr="001D2B74">
              <w:rPr>
                <w:rFonts w:ascii="Sylfaen" w:hAnsi="Sylfaen" w:cs="Sylfaen"/>
                <w:sz w:val="20"/>
              </w:rPr>
              <w:t>ჩუმლაყი</w:t>
            </w:r>
          </w:p>
        </w:tc>
        <w:tc>
          <w:tcPr>
            <w:tcW w:w="2080" w:type="dxa"/>
            <w:tcBorders>
              <w:top w:val="single" w:sz="4" w:space="0" w:color="auto"/>
              <w:left w:val="single" w:sz="4" w:space="0" w:color="auto"/>
              <w:bottom w:val="single" w:sz="4" w:space="0" w:color="auto"/>
              <w:right w:val="single" w:sz="4" w:space="0" w:color="auto"/>
            </w:tcBorders>
            <w:noWrap/>
            <w:hideMark/>
          </w:tcPr>
          <w:p w14:paraId="3C154669" w14:textId="77777777" w:rsidR="00F8565C" w:rsidRPr="001D2B74" w:rsidRDefault="00F8565C" w:rsidP="00F8565C">
            <w:pPr>
              <w:rPr>
                <w:sz w:val="20"/>
              </w:rPr>
            </w:pPr>
            <w:r w:rsidRPr="001D2B74">
              <w:rPr>
                <w:rFonts w:ascii="Sylfaen" w:hAnsi="Sylfaen" w:cs="Sylfaen"/>
                <w:sz w:val="20"/>
              </w:rPr>
              <w:t>გურჯაანი</w:t>
            </w:r>
          </w:p>
        </w:tc>
        <w:tc>
          <w:tcPr>
            <w:tcW w:w="1731" w:type="dxa"/>
            <w:tcBorders>
              <w:top w:val="single" w:sz="4" w:space="0" w:color="auto"/>
              <w:left w:val="single" w:sz="4" w:space="0" w:color="auto"/>
              <w:bottom w:val="single" w:sz="4" w:space="0" w:color="auto"/>
              <w:right w:val="single" w:sz="4" w:space="0" w:color="auto"/>
            </w:tcBorders>
            <w:noWrap/>
            <w:hideMark/>
          </w:tcPr>
          <w:p w14:paraId="173AFF57" w14:textId="77777777" w:rsidR="00F8565C" w:rsidRPr="001D2B74" w:rsidRDefault="00F8565C" w:rsidP="00F8565C">
            <w:pPr>
              <w:rPr>
                <w:sz w:val="20"/>
              </w:rPr>
            </w:pPr>
            <w:r w:rsidRPr="001D2B74">
              <w:rPr>
                <w:sz w:val="20"/>
              </w:rPr>
              <w:t>7128</w:t>
            </w:r>
          </w:p>
        </w:tc>
        <w:tc>
          <w:tcPr>
            <w:tcW w:w="1134" w:type="dxa"/>
            <w:tcBorders>
              <w:top w:val="single" w:sz="4" w:space="0" w:color="auto"/>
              <w:left w:val="single" w:sz="4" w:space="0" w:color="auto"/>
              <w:bottom w:val="single" w:sz="4" w:space="0" w:color="auto"/>
              <w:right w:val="single" w:sz="4" w:space="0" w:color="auto"/>
            </w:tcBorders>
            <w:noWrap/>
            <w:hideMark/>
          </w:tcPr>
          <w:p w14:paraId="4D62743D" w14:textId="77777777" w:rsidR="00F8565C" w:rsidRPr="001D2B74" w:rsidRDefault="00F8565C" w:rsidP="00F8565C">
            <w:pPr>
              <w:rPr>
                <w:sz w:val="20"/>
              </w:rPr>
            </w:pPr>
            <w:r w:rsidRPr="001D2B74">
              <w:rPr>
                <w:sz w:val="20"/>
              </w:rPr>
              <w:t>3756</w:t>
            </w:r>
          </w:p>
        </w:tc>
        <w:tc>
          <w:tcPr>
            <w:tcW w:w="1577" w:type="dxa"/>
            <w:tcBorders>
              <w:top w:val="single" w:sz="4" w:space="0" w:color="auto"/>
              <w:left w:val="single" w:sz="4" w:space="0" w:color="auto"/>
              <w:bottom w:val="single" w:sz="4" w:space="0" w:color="auto"/>
              <w:right w:val="single" w:sz="4" w:space="0" w:color="auto"/>
            </w:tcBorders>
            <w:noWrap/>
            <w:hideMark/>
          </w:tcPr>
          <w:p w14:paraId="55121483" w14:textId="77777777" w:rsidR="00F8565C" w:rsidRPr="001D2B74" w:rsidRDefault="00F8565C" w:rsidP="00F8565C">
            <w:pPr>
              <w:rPr>
                <w:sz w:val="20"/>
              </w:rPr>
            </w:pPr>
            <w:r w:rsidRPr="001D2B74">
              <w:rPr>
                <w:sz w:val="20"/>
              </w:rPr>
              <w:t>3882</w:t>
            </w:r>
          </w:p>
        </w:tc>
        <w:tc>
          <w:tcPr>
            <w:tcW w:w="1276" w:type="dxa"/>
            <w:tcBorders>
              <w:top w:val="single" w:sz="4" w:space="0" w:color="auto"/>
              <w:left w:val="single" w:sz="4" w:space="0" w:color="auto"/>
              <w:bottom w:val="single" w:sz="4" w:space="0" w:color="auto"/>
              <w:right w:val="single" w:sz="4" w:space="0" w:color="auto"/>
            </w:tcBorders>
            <w:noWrap/>
            <w:hideMark/>
          </w:tcPr>
          <w:p w14:paraId="31A9C2F4" w14:textId="77777777" w:rsidR="00F8565C" w:rsidRPr="001D2B74" w:rsidRDefault="00F8565C" w:rsidP="00F8565C">
            <w:pPr>
              <w:rPr>
                <w:sz w:val="20"/>
              </w:rPr>
            </w:pPr>
            <w:r w:rsidRPr="001D2B74">
              <w:rPr>
                <w:sz w:val="20"/>
              </w:rPr>
              <w:t>4002</w:t>
            </w:r>
          </w:p>
        </w:tc>
        <w:tc>
          <w:tcPr>
            <w:tcW w:w="1276" w:type="dxa"/>
            <w:tcBorders>
              <w:top w:val="single" w:sz="4" w:space="0" w:color="auto"/>
              <w:left w:val="single" w:sz="4" w:space="0" w:color="auto"/>
              <w:bottom w:val="single" w:sz="4" w:space="0" w:color="auto"/>
              <w:right w:val="single" w:sz="4" w:space="0" w:color="auto"/>
            </w:tcBorders>
            <w:noWrap/>
            <w:hideMark/>
          </w:tcPr>
          <w:p w14:paraId="58A8CA8E" w14:textId="77777777" w:rsidR="00F8565C" w:rsidRPr="001D2B74" w:rsidRDefault="00F8565C" w:rsidP="00F8565C">
            <w:pPr>
              <w:rPr>
                <w:sz w:val="20"/>
              </w:rPr>
            </w:pPr>
            <w:r w:rsidRPr="001D2B74">
              <w:rPr>
                <w:sz w:val="20"/>
              </w:rPr>
              <w:t>6960</w:t>
            </w:r>
          </w:p>
        </w:tc>
        <w:tc>
          <w:tcPr>
            <w:tcW w:w="1577" w:type="dxa"/>
            <w:tcBorders>
              <w:top w:val="single" w:sz="4" w:space="0" w:color="auto"/>
              <w:left w:val="single" w:sz="4" w:space="0" w:color="auto"/>
              <w:bottom w:val="single" w:sz="4" w:space="0" w:color="auto"/>
              <w:right w:val="single" w:sz="4" w:space="0" w:color="auto"/>
            </w:tcBorders>
            <w:noWrap/>
            <w:hideMark/>
          </w:tcPr>
          <w:p w14:paraId="5E6F811A" w14:textId="77777777" w:rsidR="00F8565C" w:rsidRPr="001D2B74" w:rsidRDefault="00F8565C" w:rsidP="00F8565C">
            <w:pPr>
              <w:rPr>
                <w:sz w:val="20"/>
              </w:rPr>
            </w:pPr>
            <w:r w:rsidRPr="001D2B74">
              <w:rPr>
                <w:sz w:val="20"/>
              </w:rPr>
              <w:t>8343</w:t>
            </w:r>
          </w:p>
        </w:tc>
        <w:tc>
          <w:tcPr>
            <w:tcW w:w="1493" w:type="dxa"/>
            <w:tcBorders>
              <w:top w:val="single" w:sz="4" w:space="0" w:color="auto"/>
              <w:left w:val="single" w:sz="4" w:space="0" w:color="auto"/>
              <w:bottom w:val="single" w:sz="4" w:space="0" w:color="auto"/>
              <w:right w:val="single" w:sz="4" w:space="0" w:color="auto"/>
            </w:tcBorders>
            <w:noWrap/>
            <w:hideMark/>
          </w:tcPr>
          <w:p w14:paraId="76B8A247" w14:textId="77777777" w:rsidR="00F8565C" w:rsidRPr="001D2B74" w:rsidRDefault="00F8565C" w:rsidP="00F8565C">
            <w:pPr>
              <w:rPr>
                <w:sz w:val="20"/>
              </w:rPr>
            </w:pPr>
            <w:r w:rsidRPr="001D2B74">
              <w:rPr>
                <w:sz w:val="20"/>
              </w:rPr>
              <w:t>10043</w:t>
            </w:r>
          </w:p>
        </w:tc>
      </w:tr>
      <w:tr w:rsidR="00F8565C" w:rsidRPr="001D2B74" w14:paraId="5FB5473B" w14:textId="77777777" w:rsidTr="000B139D">
        <w:trPr>
          <w:trHeight w:val="300"/>
        </w:trPr>
        <w:tc>
          <w:tcPr>
            <w:tcW w:w="2235" w:type="dxa"/>
            <w:tcBorders>
              <w:top w:val="single" w:sz="4" w:space="0" w:color="auto"/>
              <w:left w:val="single" w:sz="4" w:space="0" w:color="auto"/>
              <w:bottom w:val="single" w:sz="4" w:space="0" w:color="auto"/>
              <w:right w:val="single" w:sz="4" w:space="0" w:color="auto"/>
            </w:tcBorders>
            <w:noWrap/>
            <w:hideMark/>
          </w:tcPr>
          <w:p w14:paraId="55A13E98" w14:textId="77777777" w:rsidR="00F8565C" w:rsidRPr="001D2B74" w:rsidRDefault="00F8565C" w:rsidP="00F8565C">
            <w:pPr>
              <w:rPr>
                <w:sz w:val="20"/>
              </w:rPr>
            </w:pPr>
            <w:r w:rsidRPr="001D2B74">
              <w:rPr>
                <w:rFonts w:ascii="Sylfaen" w:hAnsi="Sylfaen" w:cs="Sylfaen"/>
                <w:sz w:val="20"/>
              </w:rPr>
              <w:t>გურჯაანი</w:t>
            </w:r>
          </w:p>
        </w:tc>
        <w:tc>
          <w:tcPr>
            <w:tcW w:w="2080" w:type="dxa"/>
            <w:tcBorders>
              <w:top w:val="single" w:sz="4" w:space="0" w:color="auto"/>
              <w:left w:val="single" w:sz="4" w:space="0" w:color="auto"/>
              <w:bottom w:val="single" w:sz="4" w:space="0" w:color="auto"/>
              <w:right w:val="single" w:sz="4" w:space="0" w:color="auto"/>
            </w:tcBorders>
            <w:noWrap/>
            <w:hideMark/>
          </w:tcPr>
          <w:p w14:paraId="25EB20FE" w14:textId="77777777" w:rsidR="00F8565C" w:rsidRPr="001D2B74" w:rsidRDefault="00F8565C" w:rsidP="00F8565C">
            <w:pPr>
              <w:rPr>
                <w:sz w:val="20"/>
              </w:rPr>
            </w:pPr>
            <w:r w:rsidRPr="001D2B74">
              <w:rPr>
                <w:rFonts w:ascii="Sylfaen" w:hAnsi="Sylfaen" w:cs="Sylfaen"/>
                <w:sz w:val="20"/>
              </w:rPr>
              <w:t>ბაკურციხე</w:t>
            </w:r>
          </w:p>
        </w:tc>
        <w:tc>
          <w:tcPr>
            <w:tcW w:w="1731" w:type="dxa"/>
            <w:tcBorders>
              <w:top w:val="single" w:sz="4" w:space="0" w:color="auto"/>
              <w:left w:val="single" w:sz="4" w:space="0" w:color="auto"/>
              <w:bottom w:val="single" w:sz="4" w:space="0" w:color="auto"/>
              <w:right w:val="single" w:sz="4" w:space="0" w:color="auto"/>
            </w:tcBorders>
            <w:noWrap/>
            <w:hideMark/>
          </w:tcPr>
          <w:p w14:paraId="485D6699" w14:textId="77777777" w:rsidR="00F8565C" w:rsidRPr="001D2B74" w:rsidRDefault="00F8565C" w:rsidP="00F8565C">
            <w:pPr>
              <w:rPr>
                <w:sz w:val="20"/>
              </w:rPr>
            </w:pPr>
            <w:r w:rsidRPr="001D2B74">
              <w:rPr>
                <w:sz w:val="20"/>
              </w:rPr>
              <w:t>8146</w:t>
            </w:r>
          </w:p>
        </w:tc>
        <w:tc>
          <w:tcPr>
            <w:tcW w:w="1134" w:type="dxa"/>
            <w:tcBorders>
              <w:top w:val="single" w:sz="4" w:space="0" w:color="auto"/>
              <w:left w:val="single" w:sz="4" w:space="0" w:color="auto"/>
              <w:bottom w:val="single" w:sz="4" w:space="0" w:color="auto"/>
              <w:right w:val="single" w:sz="4" w:space="0" w:color="auto"/>
            </w:tcBorders>
            <w:noWrap/>
            <w:hideMark/>
          </w:tcPr>
          <w:p w14:paraId="4235C982" w14:textId="77777777" w:rsidR="00F8565C" w:rsidRPr="001D2B74" w:rsidRDefault="00F8565C" w:rsidP="00F8565C">
            <w:pPr>
              <w:rPr>
                <w:sz w:val="20"/>
              </w:rPr>
            </w:pPr>
            <w:r w:rsidRPr="001D2B74">
              <w:rPr>
                <w:sz w:val="20"/>
              </w:rPr>
              <w:t>4280</w:t>
            </w:r>
          </w:p>
        </w:tc>
        <w:tc>
          <w:tcPr>
            <w:tcW w:w="1577" w:type="dxa"/>
            <w:tcBorders>
              <w:top w:val="single" w:sz="4" w:space="0" w:color="auto"/>
              <w:left w:val="single" w:sz="4" w:space="0" w:color="auto"/>
              <w:bottom w:val="single" w:sz="4" w:space="0" w:color="auto"/>
              <w:right w:val="single" w:sz="4" w:space="0" w:color="auto"/>
            </w:tcBorders>
            <w:noWrap/>
            <w:hideMark/>
          </w:tcPr>
          <w:p w14:paraId="24805679" w14:textId="77777777" w:rsidR="00F8565C" w:rsidRPr="001D2B74" w:rsidRDefault="00F8565C" w:rsidP="00F8565C">
            <w:pPr>
              <w:rPr>
                <w:sz w:val="20"/>
              </w:rPr>
            </w:pPr>
            <w:r w:rsidRPr="001D2B74">
              <w:rPr>
                <w:sz w:val="20"/>
              </w:rPr>
              <w:t>4423</w:t>
            </w:r>
          </w:p>
        </w:tc>
        <w:tc>
          <w:tcPr>
            <w:tcW w:w="1276" w:type="dxa"/>
            <w:tcBorders>
              <w:top w:val="single" w:sz="4" w:space="0" w:color="auto"/>
              <w:left w:val="single" w:sz="4" w:space="0" w:color="auto"/>
              <w:bottom w:val="single" w:sz="4" w:space="0" w:color="auto"/>
              <w:right w:val="single" w:sz="4" w:space="0" w:color="auto"/>
            </w:tcBorders>
            <w:noWrap/>
            <w:hideMark/>
          </w:tcPr>
          <w:p w14:paraId="6A82160E" w14:textId="77777777" w:rsidR="00F8565C" w:rsidRPr="001D2B74" w:rsidRDefault="00F8565C" w:rsidP="00F8565C">
            <w:pPr>
              <w:rPr>
                <w:sz w:val="20"/>
              </w:rPr>
            </w:pPr>
            <w:r w:rsidRPr="001D2B74">
              <w:rPr>
                <w:sz w:val="20"/>
              </w:rPr>
              <w:t>4560</w:t>
            </w:r>
          </w:p>
        </w:tc>
        <w:tc>
          <w:tcPr>
            <w:tcW w:w="1276" w:type="dxa"/>
            <w:tcBorders>
              <w:top w:val="single" w:sz="4" w:space="0" w:color="auto"/>
              <w:left w:val="single" w:sz="4" w:space="0" w:color="auto"/>
              <w:bottom w:val="single" w:sz="4" w:space="0" w:color="auto"/>
              <w:right w:val="single" w:sz="4" w:space="0" w:color="auto"/>
            </w:tcBorders>
            <w:noWrap/>
            <w:hideMark/>
          </w:tcPr>
          <w:p w14:paraId="1B94F679" w14:textId="77777777" w:rsidR="00F8565C" w:rsidRPr="001D2B74" w:rsidRDefault="00F8565C" w:rsidP="00F8565C">
            <w:pPr>
              <w:rPr>
                <w:sz w:val="20"/>
              </w:rPr>
            </w:pPr>
            <w:r w:rsidRPr="001D2B74">
              <w:rPr>
                <w:sz w:val="20"/>
              </w:rPr>
              <w:t>7927</w:t>
            </w:r>
          </w:p>
        </w:tc>
        <w:tc>
          <w:tcPr>
            <w:tcW w:w="1577" w:type="dxa"/>
            <w:tcBorders>
              <w:top w:val="single" w:sz="4" w:space="0" w:color="auto"/>
              <w:left w:val="single" w:sz="4" w:space="0" w:color="auto"/>
              <w:bottom w:val="single" w:sz="4" w:space="0" w:color="auto"/>
              <w:right w:val="single" w:sz="4" w:space="0" w:color="auto"/>
            </w:tcBorders>
            <w:noWrap/>
            <w:hideMark/>
          </w:tcPr>
          <w:p w14:paraId="3CC03C33" w14:textId="77777777" w:rsidR="00F8565C" w:rsidRPr="001D2B74" w:rsidRDefault="00F8565C" w:rsidP="00F8565C">
            <w:pPr>
              <w:rPr>
                <w:sz w:val="20"/>
              </w:rPr>
            </w:pPr>
            <w:r w:rsidRPr="001D2B74">
              <w:rPr>
                <w:sz w:val="20"/>
              </w:rPr>
              <w:t>9501</w:t>
            </w:r>
          </w:p>
        </w:tc>
        <w:tc>
          <w:tcPr>
            <w:tcW w:w="1493" w:type="dxa"/>
            <w:tcBorders>
              <w:top w:val="single" w:sz="4" w:space="0" w:color="auto"/>
              <w:left w:val="single" w:sz="4" w:space="0" w:color="auto"/>
              <w:bottom w:val="single" w:sz="4" w:space="0" w:color="auto"/>
              <w:right w:val="single" w:sz="4" w:space="0" w:color="auto"/>
            </w:tcBorders>
            <w:noWrap/>
            <w:hideMark/>
          </w:tcPr>
          <w:p w14:paraId="35D24BDE" w14:textId="77777777" w:rsidR="00F8565C" w:rsidRPr="001D2B74" w:rsidRDefault="00F8565C" w:rsidP="00F8565C">
            <w:pPr>
              <w:rPr>
                <w:sz w:val="20"/>
              </w:rPr>
            </w:pPr>
            <w:r w:rsidRPr="001D2B74">
              <w:rPr>
                <w:sz w:val="20"/>
              </w:rPr>
              <w:t>11436</w:t>
            </w:r>
          </w:p>
        </w:tc>
      </w:tr>
      <w:tr w:rsidR="00F8565C" w:rsidRPr="001D2B74" w14:paraId="3FCF2D80" w14:textId="77777777" w:rsidTr="000B139D">
        <w:trPr>
          <w:trHeight w:val="300"/>
        </w:trPr>
        <w:tc>
          <w:tcPr>
            <w:tcW w:w="2235" w:type="dxa"/>
            <w:tcBorders>
              <w:top w:val="single" w:sz="4" w:space="0" w:color="auto"/>
              <w:left w:val="single" w:sz="4" w:space="0" w:color="auto"/>
              <w:bottom w:val="single" w:sz="4" w:space="0" w:color="auto"/>
              <w:right w:val="single" w:sz="4" w:space="0" w:color="auto"/>
            </w:tcBorders>
            <w:noWrap/>
            <w:hideMark/>
          </w:tcPr>
          <w:p w14:paraId="487A9C7E" w14:textId="77777777" w:rsidR="00F8565C" w:rsidRPr="001D2B74" w:rsidRDefault="00F8565C" w:rsidP="00F8565C">
            <w:pPr>
              <w:rPr>
                <w:sz w:val="20"/>
              </w:rPr>
            </w:pPr>
            <w:r w:rsidRPr="001D2B74">
              <w:rPr>
                <w:rFonts w:ascii="Sylfaen" w:hAnsi="Sylfaen" w:cs="Sylfaen"/>
                <w:sz w:val="20"/>
              </w:rPr>
              <w:t>ბაკურციხე</w:t>
            </w:r>
          </w:p>
        </w:tc>
        <w:tc>
          <w:tcPr>
            <w:tcW w:w="2080" w:type="dxa"/>
            <w:tcBorders>
              <w:top w:val="single" w:sz="4" w:space="0" w:color="auto"/>
              <w:left w:val="single" w:sz="4" w:space="0" w:color="auto"/>
              <w:bottom w:val="single" w:sz="4" w:space="0" w:color="auto"/>
              <w:right w:val="single" w:sz="4" w:space="0" w:color="auto"/>
            </w:tcBorders>
            <w:noWrap/>
            <w:hideMark/>
          </w:tcPr>
          <w:p w14:paraId="22D2637E" w14:textId="77777777" w:rsidR="00F8565C" w:rsidRPr="001D2B74" w:rsidRDefault="00F8565C" w:rsidP="00F8565C">
            <w:pPr>
              <w:rPr>
                <w:sz w:val="20"/>
              </w:rPr>
            </w:pPr>
            <w:r w:rsidRPr="001D2B74">
              <w:rPr>
                <w:rFonts w:ascii="Sylfaen" w:hAnsi="Sylfaen" w:cs="Sylfaen"/>
                <w:sz w:val="20"/>
              </w:rPr>
              <w:t>წნორი</w:t>
            </w:r>
          </w:p>
        </w:tc>
        <w:tc>
          <w:tcPr>
            <w:tcW w:w="1731" w:type="dxa"/>
            <w:tcBorders>
              <w:top w:val="single" w:sz="4" w:space="0" w:color="auto"/>
              <w:left w:val="single" w:sz="4" w:space="0" w:color="auto"/>
              <w:bottom w:val="single" w:sz="4" w:space="0" w:color="auto"/>
              <w:right w:val="single" w:sz="4" w:space="0" w:color="auto"/>
            </w:tcBorders>
            <w:noWrap/>
            <w:hideMark/>
          </w:tcPr>
          <w:p w14:paraId="7C3FAAD1" w14:textId="77777777" w:rsidR="00F8565C" w:rsidRPr="001D2B74" w:rsidRDefault="00F8565C" w:rsidP="00F8565C">
            <w:pPr>
              <w:rPr>
                <w:sz w:val="20"/>
              </w:rPr>
            </w:pPr>
            <w:r w:rsidRPr="001D2B74">
              <w:rPr>
                <w:sz w:val="20"/>
              </w:rPr>
              <w:t>4127</w:t>
            </w:r>
          </w:p>
        </w:tc>
        <w:tc>
          <w:tcPr>
            <w:tcW w:w="1134" w:type="dxa"/>
            <w:tcBorders>
              <w:top w:val="single" w:sz="4" w:space="0" w:color="auto"/>
              <w:left w:val="single" w:sz="4" w:space="0" w:color="auto"/>
              <w:bottom w:val="single" w:sz="4" w:space="0" w:color="auto"/>
              <w:right w:val="single" w:sz="4" w:space="0" w:color="auto"/>
            </w:tcBorders>
            <w:noWrap/>
            <w:hideMark/>
          </w:tcPr>
          <w:p w14:paraId="31891028" w14:textId="77777777" w:rsidR="00F8565C" w:rsidRPr="001D2B74" w:rsidRDefault="00F8565C" w:rsidP="00F8565C">
            <w:pPr>
              <w:rPr>
                <w:sz w:val="20"/>
              </w:rPr>
            </w:pPr>
            <w:r w:rsidRPr="001D2B74">
              <w:rPr>
                <w:sz w:val="20"/>
              </w:rPr>
              <w:t>2159</w:t>
            </w:r>
          </w:p>
        </w:tc>
        <w:tc>
          <w:tcPr>
            <w:tcW w:w="1577" w:type="dxa"/>
            <w:tcBorders>
              <w:top w:val="single" w:sz="4" w:space="0" w:color="auto"/>
              <w:left w:val="single" w:sz="4" w:space="0" w:color="auto"/>
              <w:bottom w:val="single" w:sz="4" w:space="0" w:color="auto"/>
              <w:right w:val="single" w:sz="4" w:space="0" w:color="auto"/>
            </w:tcBorders>
            <w:noWrap/>
            <w:hideMark/>
          </w:tcPr>
          <w:p w14:paraId="723DAEA9" w14:textId="77777777" w:rsidR="00F8565C" w:rsidRPr="001D2B74" w:rsidRDefault="00F8565C" w:rsidP="00F8565C">
            <w:pPr>
              <w:rPr>
                <w:sz w:val="20"/>
              </w:rPr>
            </w:pPr>
            <w:r w:rsidRPr="001D2B74">
              <w:rPr>
                <w:sz w:val="20"/>
              </w:rPr>
              <w:t>2232</w:t>
            </w:r>
          </w:p>
        </w:tc>
        <w:tc>
          <w:tcPr>
            <w:tcW w:w="1276" w:type="dxa"/>
            <w:tcBorders>
              <w:top w:val="single" w:sz="4" w:space="0" w:color="auto"/>
              <w:left w:val="single" w:sz="4" w:space="0" w:color="auto"/>
              <w:bottom w:val="single" w:sz="4" w:space="0" w:color="auto"/>
              <w:right w:val="single" w:sz="4" w:space="0" w:color="auto"/>
            </w:tcBorders>
            <w:noWrap/>
            <w:hideMark/>
          </w:tcPr>
          <w:p w14:paraId="43628B52" w14:textId="77777777" w:rsidR="00F8565C" w:rsidRPr="001D2B74" w:rsidRDefault="00F8565C" w:rsidP="00F8565C">
            <w:pPr>
              <w:rPr>
                <w:sz w:val="20"/>
              </w:rPr>
            </w:pPr>
            <w:r w:rsidRPr="001D2B74">
              <w:rPr>
                <w:sz w:val="20"/>
              </w:rPr>
              <w:t>2301</w:t>
            </w:r>
          </w:p>
        </w:tc>
        <w:tc>
          <w:tcPr>
            <w:tcW w:w="1276" w:type="dxa"/>
            <w:tcBorders>
              <w:top w:val="single" w:sz="4" w:space="0" w:color="auto"/>
              <w:left w:val="single" w:sz="4" w:space="0" w:color="auto"/>
              <w:bottom w:val="single" w:sz="4" w:space="0" w:color="auto"/>
              <w:right w:val="single" w:sz="4" w:space="0" w:color="auto"/>
            </w:tcBorders>
            <w:noWrap/>
            <w:hideMark/>
          </w:tcPr>
          <w:p w14:paraId="3687A16E" w14:textId="77777777" w:rsidR="00F8565C" w:rsidRPr="001D2B74" w:rsidRDefault="00F8565C" w:rsidP="00F8565C">
            <w:pPr>
              <w:rPr>
                <w:sz w:val="20"/>
              </w:rPr>
            </w:pPr>
            <w:r w:rsidRPr="001D2B74">
              <w:rPr>
                <w:sz w:val="20"/>
              </w:rPr>
              <w:t>4003</w:t>
            </w:r>
          </w:p>
        </w:tc>
        <w:tc>
          <w:tcPr>
            <w:tcW w:w="1577" w:type="dxa"/>
            <w:tcBorders>
              <w:top w:val="single" w:sz="4" w:space="0" w:color="auto"/>
              <w:left w:val="single" w:sz="4" w:space="0" w:color="auto"/>
              <w:bottom w:val="single" w:sz="4" w:space="0" w:color="auto"/>
              <w:right w:val="single" w:sz="4" w:space="0" w:color="auto"/>
            </w:tcBorders>
            <w:noWrap/>
            <w:hideMark/>
          </w:tcPr>
          <w:p w14:paraId="0C48CE3C" w14:textId="77777777" w:rsidR="00F8565C" w:rsidRPr="001D2B74" w:rsidRDefault="00F8565C" w:rsidP="00F8565C">
            <w:pPr>
              <w:rPr>
                <w:sz w:val="20"/>
              </w:rPr>
            </w:pPr>
            <w:r w:rsidRPr="001D2B74">
              <w:rPr>
                <w:sz w:val="20"/>
              </w:rPr>
              <w:t>4799</w:t>
            </w:r>
          </w:p>
        </w:tc>
        <w:tc>
          <w:tcPr>
            <w:tcW w:w="1493" w:type="dxa"/>
            <w:tcBorders>
              <w:top w:val="single" w:sz="4" w:space="0" w:color="auto"/>
              <w:left w:val="single" w:sz="4" w:space="0" w:color="auto"/>
              <w:bottom w:val="single" w:sz="4" w:space="0" w:color="auto"/>
              <w:right w:val="single" w:sz="4" w:space="0" w:color="auto"/>
            </w:tcBorders>
            <w:noWrap/>
            <w:hideMark/>
          </w:tcPr>
          <w:p w14:paraId="601C7C08" w14:textId="77777777" w:rsidR="00F8565C" w:rsidRPr="001D2B74" w:rsidRDefault="00F8565C" w:rsidP="00F8565C">
            <w:pPr>
              <w:rPr>
                <w:sz w:val="20"/>
              </w:rPr>
            </w:pPr>
            <w:r w:rsidRPr="001D2B74">
              <w:rPr>
                <w:sz w:val="20"/>
              </w:rPr>
              <w:t>5777</w:t>
            </w:r>
          </w:p>
        </w:tc>
      </w:tr>
    </w:tbl>
    <w:p w14:paraId="0A11653D" w14:textId="1CF77551" w:rsidR="00F8565C" w:rsidRPr="003D733D" w:rsidRDefault="000B139D" w:rsidP="00F8565C">
      <w:r>
        <w:rPr>
          <w:rFonts w:ascii="Sylfaen" w:hAnsi="Sylfaen"/>
          <w:lang w:val="ka-GE"/>
        </w:rPr>
        <w:t>წყარო: კონსულტანტი</w:t>
      </w:r>
    </w:p>
    <w:p w14:paraId="5865918D" w14:textId="77777777" w:rsidR="00F8565C" w:rsidRPr="003D733D" w:rsidRDefault="00F8565C" w:rsidP="00F8565C"/>
    <w:p w14:paraId="4B8DB77F" w14:textId="2517A7F6" w:rsidR="00F8565C" w:rsidRPr="003D733D" w:rsidRDefault="00F8565C" w:rsidP="00F8565C">
      <w:r w:rsidRPr="003D733D">
        <w:rPr>
          <w:rFonts w:ascii="Sylfaen" w:hAnsi="Sylfaen" w:cs="Sylfaen"/>
        </w:rPr>
        <w:t>ცხრილი</w:t>
      </w:r>
      <w:r w:rsidRPr="003D733D">
        <w:t xml:space="preserve"> </w:t>
      </w:r>
      <w:r w:rsidR="000B139D" w:rsidRPr="003D733D">
        <w:t>4.</w:t>
      </w:r>
      <w:r w:rsidR="000B139D">
        <w:rPr>
          <w:rFonts w:ascii="Sylfaen" w:hAnsi="Sylfaen"/>
          <w:lang w:val="ka-GE"/>
        </w:rPr>
        <w:t>7.6-2</w:t>
      </w:r>
      <w:r w:rsidR="000B139D" w:rsidRPr="003D733D">
        <w:t>.</w:t>
      </w:r>
      <w:r w:rsidRPr="003D733D">
        <w:tab/>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პროგნოზული</w:t>
      </w:r>
      <w:r w:rsidRPr="003D733D">
        <w:t xml:space="preserve"> </w:t>
      </w:r>
      <w:r w:rsidRPr="003D733D">
        <w:rPr>
          <w:rFonts w:ascii="Sylfaen" w:hAnsi="Sylfaen" w:cs="Sylfaen"/>
        </w:rPr>
        <w:t>მონაცემები</w:t>
      </w:r>
      <w:r w:rsidRPr="003D733D">
        <w:t xml:space="preserve"> _ </w:t>
      </w:r>
      <w:r w:rsidRPr="003D733D">
        <w:rPr>
          <w:rFonts w:ascii="Sylfaen" w:hAnsi="Sylfaen" w:cs="Sylfaen"/>
        </w:rPr>
        <w:t>ახალი</w:t>
      </w:r>
      <w:r w:rsidRPr="003D733D">
        <w:t xml:space="preserve"> </w:t>
      </w:r>
      <w:r w:rsidRPr="003D733D">
        <w:rPr>
          <w:rFonts w:ascii="Sylfaen" w:hAnsi="Sylfaen" w:cs="Sylfaen"/>
        </w:rPr>
        <w:t>მარშრუტი</w:t>
      </w:r>
      <w:r w:rsidRPr="003D733D">
        <w:t xml:space="preserve"> (AADT)</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953"/>
        <w:gridCol w:w="1533"/>
        <w:gridCol w:w="1302"/>
        <w:gridCol w:w="1308"/>
        <w:gridCol w:w="1385"/>
        <w:gridCol w:w="1559"/>
        <w:gridCol w:w="1418"/>
      </w:tblGrid>
      <w:tr w:rsidR="00F8565C" w:rsidRPr="001D2B74" w14:paraId="6416228B" w14:textId="77777777" w:rsidTr="00F8565C">
        <w:trPr>
          <w:trHeight w:val="300"/>
        </w:trPr>
        <w:tc>
          <w:tcPr>
            <w:tcW w:w="2694" w:type="dxa"/>
            <w:vMerge w:val="restart"/>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14:paraId="16C564D9" w14:textId="77777777" w:rsidR="00F8565C" w:rsidRPr="001D2B74" w:rsidRDefault="00F8565C" w:rsidP="00F8565C">
            <w:pPr>
              <w:rPr>
                <w:b/>
                <w:sz w:val="20"/>
                <w:lang w:eastAsia="en-GB"/>
              </w:rPr>
            </w:pPr>
            <w:r w:rsidRPr="001D2B74">
              <w:rPr>
                <w:rFonts w:ascii="Sylfaen" w:hAnsi="Sylfaen" w:cs="Sylfaen"/>
                <w:b/>
                <w:sz w:val="20"/>
              </w:rPr>
              <w:t>დასაწყისი</w:t>
            </w:r>
          </w:p>
        </w:tc>
        <w:tc>
          <w:tcPr>
            <w:tcW w:w="2953" w:type="dxa"/>
            <w:vMerge w:val="restart"/>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14:paraId="2DBA86EA" w14:textId="77777777" w:rsidR="00F8565C" w:rsidRPr="001D2B74" w:rsidRDefault="00F8565C" w:rsidP="00F8565C">
            <w:pPr>
              <w:rPr>
                <w:b/>
                <w:sz w:val="20"/>
              </w:rPr>
            </w:pPr>
            <w:r w:rsidRPr="001D2B74">
              <w:rPr>
                <w:rFonts w:ascii="Sylfaen" w:hAnsi="Sylfaen" w:cs="Sylfaen"/>
                <w:b/>
                <w:sz w:val="20"/>
              </w:rPr>
              <w:t>დასასრული</w:t>
            </w:r>
          </w:p>
        </w:tc>
        <w:tc>
          <w:tcPr>
            <w:tcW w:w="4143" w:type="dxa"/>
            <w:gridSpan w:val="3"/>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14:paraId="67D68DAE" w14:textId="77777777" w:rsidR="00F8565C" w:rsidRPr="001D2B74" w:rsidRDefault="00F8565C" w:rsidP="00F8565C">
            <w:pPr>
              <w:rPr>
                <w:b/>
                <w:sz w:val="20"/>
              </w:rPr>
            </w:pPr>
            <w:r w:rsidRPr="001D2B74">
              <w:rPr>
                <w:b/>
                <w:sz w:val="20"/>
              </w:rPr>
              <w:t xml:space="preserve">2020 </w:t>
            </w:r>
            <w:r w:rsidRPr="001D2B74">
              <w:rPr>
                <w:rFonts w:ascii="Sylfaen" w:hAnsi="Sylfaen" w:cs="Sylfaen"/>
                <w:b/>
                <w:sz w:val="20"/>
              </w:rPr>
              <w:t>წ</w:t>
            </w:r>
            <w:r w:rsidRPr="001D2B74">
              <w:rPr>
                <w:b/>
                <w:sz w:val="20"/>
              </w:rPr>
              <w:t>. (</w:t>
            </w:r>
            <w:r w:rsidRPr="001D2B74">
              <w:rPr>
                <w:rFonts w:ascii="Sylfaen" w:hAnsi="Sylfaen" w:cs="Sylfaen"/>
                <w:b/>
                <w:sz w:val="20"/>
              </w:rPr>
              <w:t>გზის</w:t>
            </w:r>
            <w:r w:rsidRPr="001D2B74">
              <w:rPr>
                <w:b/>
                <w:sz w:val="20"/>
              </w:rPr>
              <w:t xml:space="preserve"> </w:t>
            </w:r>
            <w:r w:rsidRPr="001D2B74">
              <w:rPr>
                <w:rFonts w:ascii="Sylfaen" w:hAnsi="Sylfaen" w:cs="Sylfaen"/>
                <w:b/>
                <w:sz w:val="20"/>
              </w:rPr>
              <w:t>გახსნის</w:t>
            </w:r>
            <w:r w:rsidRPr="001D2B74">
              <w:rPr>
                <w:b/>
                <w:sz w:val="20"/>
              </w:rPr>
              <w:t xml:space="preserve"> </w:t>
            </w:r>
            <w:r w:rsidRPr="001D2B74">
              <w:rPr>
                <w:rFonts w:ascii="Sylfaen" w:hAnsi="Sylfaen" w:cs="Sylfaen"/>
                <w:b/>
                <w:sz w:val="20"/>
              </w:rPr>
              <w:t>წელი</w:t>
            </w:r>
            <w:r w:rsidRPr="001D2B74">
              <w:rPr>
                <w:b/>
                <w:sz w:val="20"/>
              </w:rPr>
              <w:t>)</w:t>
            </w:r>
          </w:p>
        </w:tc>
        <w:tc>
          <w:tcPr>
            <w:tcW w:w="4362" w:type="dxa"/>
            <w:gridSpan w:val="3"/>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14:paraId="2D0641C6" w14:textId="77777777" w:rsidR="00F8565C" w:rsidRPr="001D2B74" w:rsidRDefault="00F8565C" w:rsidP="00F8565C">
            <w:pPr>
              <w:rPr>
                <w:b/>
                <w:sz w:val="20"/>
              </w:rPr>
            </w:pPr>
            <w:r w:rsidRPr="001D2B74">
              <w:rPr>
                <w:b/>
                <w:sz w:val="20"/>
              </w:rPr>
              <w:t xml:space="preserve">2040 </w:t>
            </w:r>
            <w:r w:rsidRPr="001D2B74">
              <w:rPr>
                <w:rFonts w:ascii="Sylfaen" w:hAnsi="Sylfaen" w:cs="Sylfaen"/>
                <w:b/>
                <w:sz w:val="20"/>
              </w:rPr>
              <w:t>წ</w:t>
            </w:r>
            <w:r w:rsidRPr="001D2B74">
              <w:rPr>
                <w:b/>
                <w:sz w:val="20"/>
              </w:rPr>
              <w:t>. (</w:t>
            </w:r>
            <w:r w:rsidRPr="001D2B74">
              <w:rPr>
                <w:rFonts w:ascii="Sylfaen" w:hAnsi="Sylfaen" w:cs="Sylfaen"/>
                <w:b/>
                <w:sz w:val="20"/>
              </w:rPr>
              <w:t>გახსნიდან</w:t>
            </w:r>
            <w:r w:rsidRPr="001D2B74">
              <w:rPr>
                <w:b/>
                <w:sz w:val="20"/>
              </w:rPr>
              <w:t xml:space="preserve"> </w:t>
            </w:r>
            <w:r w:rsidRPr="001D2B74">
              <w:rPr>
                <w:rFonts w:ascii="Sylfaen" w:hAnsi="Sylfaen" w:cs="Sylfaen"/>
                <w:b/>
                <w:sz w:val="20"/>
              </w:rPr>
              <w:t>მე</w:t>
            </w:r>
            <w:r w:rsidRPr="001D2B74">
              <w:rPr>
                <w:b/>
                <w:sz w:val="20"/>
              </w:rPr>
              <w:t xml:space="preserve">-20 </w:t>
            </w:r>
            <w:r w:rsidRPr="001D2B74">
              <w:rPr>
                <w:rFonts w:ascii="Sylfaen" w:hAnsi="Sylfaen" w:cs="Sylfaen"/>
                <w:b/>
                <w:sz w:val="20"/>
              </w:rPr>
              <w:t>წელი</w:t>
            </w:r>
            <w:r w:rsidRPr="001D2B74">
              <w:rPr>
                <w:b/>
                <w:sz w:val="20"/>
              </w:rPr>
              <w:t>)</w:t>
            </w:r>
          </w:p>
        </w:tc>
      </w:tr>
      <w:tr w:rsidR="00F8565C" w:rsidRPr="001D2B74" w14:paraId="3535E171" w14:textId="77777777" w:rsidTr="00F8565C">
        <w:trPr>
          <w:trHeight w:val="30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403811A0" w14:textId="77777777" w:rsidR="00F8565C" w:rsidRPr="001D2B74" w:rsidRDefault="00F8565C" w:rsidP="00F8565C">
            <w:pPr>
              <w:rPr>
                <w:rFonts w:eastAsiaTheme="minorHAnsi"/>
                <w:b/>
                <w:sz w:val="20"/>
                <w:lang w:eastAsia="en-GB"/>
              </w:rPr>
            </w:pPr>
          </w:p>
        </w:tc>
        <w:tc>
          <w:tcPr>
            <w:tcW w:w="2953" w:type="dxa"/>
            <w:vMerge/>
            <w:tcBorders>
              <w:top w:val="single" w:sz="4" w:space="0" w:color="auto"/>
              <w:left w:val="single" w:sz="4" w:space="0" w:color="auto"/>
              <w:bottom w:val="single" w:sz="4" w:space="0" w:color="auto"/>
              <w:right w:val="single" w:sz="4" w:space="0" w:color="auto"/>
            </w:tcBorders>
            <w:vAlign w:val="center"/>
            <w:hideMark/>
          </w:tcPr>
          <w:p w14:paraId="42090CE1" w14:textId="77777777" w:rsidR="00F8565C" w:rsidRPr="001D2B74" w:rsidRDefault="00F8565C" w:rsidP="00F8565C">
            <w:pPr>
              <w:rPr>
                <w:rFonts w:eastAsiaTheme="minorHAnsi"/>
                <w:b/>
                <w:sz w:val="20"/>
                <w:lang w:eastAsia="en-GB"/>
              </w:rPr>
            </w:pPr>
          </w:p>
        </w:tc>
        <w:tc>
          <w:tcPr>
            <w:tcW w:w="1533"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14:paraId="703FE0D6" w14:textId="77777777" w:rsidR="00F8565C" w:rsidRPr="001D2B74" w:rsidRDefault="00F8565C" w:rsidP="00F8565C">
            <w:pPr>
              <w:rPr>
                <w:b/>
                <w:sz w:val="20"/>
              </w:rPr>
            </w:pPr>
            <w:r w:rsidRPr="001D2B74">
              <w:rPr>
                <w:rFonts w:ascii="Sylfaen" w:hAnsi="Sylfaen" w:cs="Sylfaen"/>
                <w:b/>
                <w:sz w:val="20"/>
              </w:rPr>
              <w:t>დაკვირვებული</w:t>
            </w:r>
          </w:p>
        </w:tc>
        <w:tc>
          <w:tcPr>
            <w:tcW w:w="1302"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14:paraId="5DA16E6C" w14:textId="77777777" w:rsidR="00F8565C" w:rsidRPr="001D2B74" w:rsidRDefault="00F8565C" w:rsidP="00F8565C">
            <w:pPr>
              <w:rPr>
                <w:b/>
                <w:sz w:val="20"/>
              </w:rPr>
            </w:pPr>
            <w:r w:rsidRPr="001D2B74">
              <w:rPr>
                <w:rFonts w:ascii="Sylfaen" w:hAnsi="Sylfaen" w:cs="Sylfaen"/>
                <w:b/>
                <w:sz w:val="20"/>
              </w:rPr>
              <w:t>დაბალი</w:t>
            </w:r>
          </w:p>
        </w:tc>
        <w:tc>
          <w:tcPr>
            <w:tcW w:w="1308"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14:paraId="151608AB" w14:textId="77777777" w:rsidR="00F8565C" w:rsidRPr="001D2B74" w:rsidRDefault="00F8565C" w:rsidP="00F8565C">
            <w:pPr>
              <w:rPr>
                <w:b/>
                <w:sz w:val="20"/>
              </w:rPr>
            </w:pPr>
            <w:r w:rsidRPr="001D2B74">
              <w:rPr>
                <w:rFonts w:ascii="Sylfaen" w:hAnsi="Sylfaen" w:cs="Sylfaen"/>
                <w:b/>
                <w:sz w:val="20"/>
              </w:rPr>
              <w:t>ცენტრალური</w:t>
            </w:r>
          </w:p>
        </w:tc>
        <w:tc>
          <w:tcPr>
            <w:tcW w:w="1385"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14:paraId="09573D06" w14:textId="77777777" w:rsidR="00F8565C" w:rsidRPr="001D2B74" w:rsidRDefault="00F8565C" w:rsidP="00F8565C">
            <w:pPr>
              <w:rPr>
                <w:b/>
                <w:sz w:val="20"/>
              </w:rPr>
            </w:pPr>
            <w:r w:rsidRPr="001D2B74">
              <w:rPr>
                <w:rFonts w:ascii="Sylfaen" w:hAnsi="Sylfaen" w:cs="Sylfaen"/>
                <w:b/>
                <w:sz w:val="20"/>
              </w:rPr>
              <w:t>მაღალი</w:t>
            </w:r>
          </w:p>
        </w:tc>
        <w:tc>
          <w:tcPr>
            <w:tcW w:w="1559"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14:paraId="72CCCBCB" w14:textId="77777777" w:rsidR="00F8565C" w:rsidRPr="001D2B74" w:rsidRDefault="00F8565C" w:rsidP="00F8565C">
            <w:pPr>
              <w:rPr>
                <w:b/>
                <w:sz w:val="20"/>
              </w:rPr>
            </w:pPr>
            <w:r w:rsidRPr="001D2B74">
              <w:rPr>
                <w:rFonts w:ascii="Sylfaen" w:hAnsi="Sylfaen" w:cs="Sylfaen"/>
                <w:b/>
                <w:sz w:val="20"/>
              </w:rPr>
              <w:t>დაბალი</w:t>
            </w:r>
          </w:p>
        </w:tc>
        <w:tc>
          <w:tcPr>
            <w:tcW w:w="1418"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14:paraId="35B328ED" w14:textId="77777777" w:rsidR="00F8565C" w:rsidRPr="001D2B74" w:rsidRDefault="00F8565C" w:rsidP="00F8565C">
            <w:pPr>
              <w:rPr>
                <w:b/>
                <w:sz w:val="20"/>
              </w:rPr>
            </w:pPr>
            <w:r w:rsidRPr="001D2B74">
              <w:rPr>
                <w:rFonts w:ascii="Sylfaen" w:hAnsi="Sylfaen" w:cs="Sylfaen"/>
                <w:b/>
                <w:sz w:val="20"/>
              </w:rPr>
              <w:t>ცენტრალური</w:t>
            </w:r>
          </w:p>
        </w:tc>
      </w:tr>
      <w:tr w:rsidR="00F8565C" w:rsidRPr="001D2B74" w14:paraId="02D6EE7F" w14:textId="77777777" w:rsidTr="00F8565C">
        <w:trPr>
          <w:trHeight w:val="300"/>
        </w:trPr>
        <w:tc>
          <w:tcPr>
            <w:tcW w:w="2694" w:type="dxa"/>
            <w:tcBorders>
              <w:top w:val="single" w:sz="4" w:space="0" w:color="auto"/>
              <w:left w:val="single" w:sz="4" w:space="0" w:color="auto"/>
              <w:bottom w:val="single" w:sz="4" w:space="0" w:color="auto"/>
              <w:right w:val="single" w:sz="4" w:space="0" w:color="auto"/>
            </w:tcBorders>
            <w:noWrap/>
            <w:hideMark/>
          </w:tcPr>
          <w:p w14:paraId="6F16819E" w14:textId="77777777" w:rsidR="00F8565C" w:rsidRPr="001D2B74" w:rsidRDefault="00F8565C" w:rsidP="00F8565C">
            <w:pPr>
              <w:rPr>
                <w:sz w:val="20"/>
              </w:rPr>
            </w:pPr>
            <w:r w:rsidRPr="001D2B74">
              <w:rPr>
                <w:rFonts w:ascii="Sylfaen" w:hAnsi="Sylfaen" w:cs="Sylfaen"/>
                <w:sz w:val="20"/>
              </w:rPr>
              <w:t>თელავი</w:t>
            </w:r>
          </w:p>
        </w:tc>
        <w:tc>
          <w:tcPr>
            <w:tcW w:w="2953" w:type="dxa"/>
            <w:tcBorders>
              <w:top w:val="single" w:sz="4" w:space="0" w:color="auto"/>
              <w:left w:val="single" w:sz="4" w:space="0" w:color="auto"/>
              <w:bottom w:val="single" w:sz="4" w:space="0" w:color="auto"/>
              <w:right w:val="single" w:sz="4" w:space="0" w:color="auto"/>
            </w:tcBorders>
            <w:noWrap/>
            <w:hideMark/>
          </w:tcPr>
          <w:p w14:paraId="4D7774DF" w14:textId="77777777" w:rsidR="00F8565C" w:rsidRPr="001D2B74" w:rsidRDefault="00F8565C" w:rsidP="00F8565C">
            <w:pPr>
              <w:rPr>
                <w:sz w:val="20"/>
              </w:rPr>
            </w:pPr>
            <w:r w:rsidRPr="001D2B74">
              <w:rPr>
                <w:rFonts w:ascii="Sylfaen" w:hAnsi="Sylfaen" w:cs="Sylfaen"/>
                <w:sz w:val="20"/>
              </w:rPr>
              <w:t>აკურა</w:t>
            </w:r>
          </w:p>
        </w:tc>
        <w:tc>
          <w:tcPr>
            <w:tcW w:w="1533" w:type="dxa"/>
            <w:tcBorders>
              <w:top w:val="single" w:sz="4" w:space="0" w:color="auto"/>
              <w:left w:val="single" w:sz="4" w:space="0" w:color="auto"/>
              <w:bottom w:val="single" w:sz="4" w:space="0" w:color="auto"/>
              <w:right w:val="single" w:sz="4" w:space="0" w:color="auto"/>
            </w:tcBorders>
            <w:noWrap/>
            <w:hideMark/>
          </w:tcPr>
          <w:p w14:paraId="7ACB6D31" w14:textId="77777777" w:rsidR="00F8565C" w:rsidRPr="001D2B74" w:rsidRDefault="00F8565C" w:rsidP="00F8565C">
            <w:pPr>
              <w:rPr>
                <w:sz w:val="20"/>
              </w:rPr>
            </w:pPr>
            <w:r w:rsidRPr="001D2B74">
              <w:rPr>
                <w:sz w:val="20"/>
              </w:rPr>
              <w:t>3 804</w:t>
            </w:r>
          </w:p>
        </w:tc>
        <w:tc>
          <w:tcPr>
            <w:tcW w:w="1302" w:type="dxa"/>
            <w:tcBorders>
              <w:top w:val="single" w:sz="4" w:space="0" w:color="auto"/>
              <w:left w:val="single" w:sz="4" w:space="0" w:color="auto"/>
              <w:bottom w:val="single" w:sz="4" w:space="0" w:color="auto"/>
              <w:right w:val="single" w:sz="4" w:space="0" w:color="auto"/>
            </w:tcBorders>
            <w:noWrap/>
            <w:hideMark/>
          </w:tcPr>
          <w:p w14:paraId="6928FD5D" w14:textId="77777777" w:rsidR="00F8565C" w:rsidRPr="001D2B74" w:rsidRDefault="00F8565C" w:rsidP="00F8565C">
            <w:pPr>
              <w:rPr>
                <w:sz w:val="20"/>
              </w:rPr>
            </w:pPr>
            <w:r w:rsidRPr="001D2B74">
              <w:rPr>
                <w:sz w:val="20"/>
              </w:rPr>
              <w:t>3 933</w:t>
            </w:r>
          </w:p>
        </w:tc>
        <w:tc>
          <w:tcPr>
            <w:tcW w:w="1308" w:type="dxa"/>
            <w:tcBorders>
              <w:top w:val="single" w:sz="4" w:space="0" w:color="auto"/>
              <w:left w:val="single" w:sz="4" w:space="0" w:color="auto"/>
              <w:bottom w:val="single" w:sz="4" w:space="0" w:color="auto"/>
              <w:right w:val="single" w:sz="4" w:space="0" w:color="auto"/>
            </w:tcBorders>
            <w:noWrap/>
            <w:hideMark/>
          </w:tcPr>
          <w:p w14:paraId="648CCFB2" w14:textId="77777777" w:rsidR="00F8565C" w:rsidRPr="001D2B74" w:rsidRDefault="00F8565C" w:rsidP="00F8565C">
            <w:pPr>
              <w:rPr>
                <w:sz w:val="20"/>
              </w:rPr>
            </w:pPr>
            <w:r w:rsidRPr="001D2B74">
              <w:rPr>
                <w:sz w:val="20"/>
              </w:rPr>
              <w:t>4 055</w:t>
            </w:r>
          </w:p>
        </w:tc>
        <w:tc>
          <w:tcPr>
            <w:tcW w:w="1385" w:type="dxa"/>
            <w:tcBorders>
              <w:top w:val="single" w:sz="4" w:space="0" w:color="auto"/>
              <w:left w:val="single" w:sz="4" w:space="0" w:color="auto"/>
              <w:bottom w:val="single" w:sz="4" w:space="0" w:color="auto"/>
              <w:right w:val="single" w:sz="4" w:space="0" w:color="auto"/>
            </w:tcBorders>
            <w:noWrap/>
            <w:hideMark/>
          </w:tcPr>
          <w:p w14:paraId="0908C39F" w14:textId="77777777" w:rsidR="00F8565C" w:rsidRPr="001D2B74" w:rsidRDefault="00F8565C" w:rsidP="00F8565C">
            <w:pPr>
              <w:rPr>
                <w:sz w:val="20"/>
              </w:rPr>
            </w:pPr>
            <w:r w:rsidRPr="001D2B74">
              <w:rPr>
                <w:sz w:val="20"/>
              </w:rPr>
              <w:t>7 058</w:t>
            </w:r>
          </w:p>
        </w:tc>
        <w:tc>
          <w:tcPr>
            <w:tcW w:w="1559" w:type="dxa"/>
            <w:tcBorders>
              <w:top w:val="single" w:sz="4" w:space="0" w:color="auto"/>
              <w:left w:val="single" w:sz="4" w:space="0" w:color="auto"/>
              <w:bottom w:val="single" w:sz="4" w:space="0" w:color="auto"/>
              <w:right w:val="single" w:sz="4" w:space="0" w:color="auto"/>
            </w:tcBorders>
            <w:noWrap/>
            <w:hideMark/>
          </w:tcPr>
          <w:p w14:paraId="30456A14" w14:textId="77777777" w:rsidR="00F8565C" w:rsidRPr="001D2B74" w:rsidRDefault="00F8565C" w:rsidP="00F8565C">
            <w:pPr>
              <w:rPr>
                <w:sz w:val="20"/>
              </w:rPr>
            </w:pPr>
            <w:r w:rsidRPr="001D2B74">
              <w:rPr>
                <w:sz w:val="20"/>
              </w:rPr>
              <w:t>8 465</w:t>
            </w:r>
          </w:p>
        </w:tc>
        <w:tc>
          <w:tcPr>
            <w:tcW w:w="1418" w:type="dxa"/>
            <w:tcBorders>
              <w:top w:val="single" w:sz="4" w:space="0" w:color="auto"/>
              <w:left w:val="single" w:sz="4" w:space="0" w:color="auto"/>
              <w:bottom w:val="single" w:sz="4" w:space="0" w:color="auto"/>
              <w:right w:val="single" w:sz="4" w:space="0" w:color="auto"/>
            </w:tcBorders>
            <w:noWrap/>
            <w:hideMark/>
          </w:tcPr>
          <w:p w14:paraId="72034765" w14:textId="77777777" w:rsidR="00F8565C" w:rsidRPr="001D2B74" w:rsidRDefault="00F8565C" w:rsidP="00F8565C">
            <w:pPr>
              <w:rPr>
                <w:sz w:val="20"/>
              </w:rPr>
            </w:pPr>
            <w:r w:rsidRPr="001D2B74">
              <w:rPr>
                <w:sz w:val="20"/>
              </w:rPr>
              <w:t>10 191</w:t>
            </w:r>
          </w:p>
        </w:tc>
      </w:tr>
      <w:tr w:rsidR="00F8565C" w:rsidRPr="001D2B74" w14:paraId="3C5866D4" w14:textId="77777777" w:rsidTr="00F8565C">
        <w:trPr>
          <w:trHeight w:val="300"/>
        </w:trPr>
        <w:tc>
          <w:tcPr>
            <w:tcW w:w="2694" w:type="dxa"/>
            <w:tcBorders>
              <w:top w:val="single" w:sz="4" w:space="0" w:color="auto"/>
              <w:left w:val="single" w:sz="4" w:space="0" w:color="auto"/>
              <w:bottom w:val="single" w:sz="4" w:space="0" w:color="auto"/>
              <w:right w:val="single" w:sz="4" w:space="0" w:color="auto"/>
            </w:tcBorders>
            <w:noWrap/>
            <w:hideMark/>
          </w:tcPr>
          <w:p w14:paraId="0A883AE8" w14:textId="77777777" w:rsidR="00F8565C" w:rsidRPr="001D2B74" w:rsidRDefault="00F8565C" w:rsidP="00F8565C">
            <w:pPr>
              <w:rPr>
                <w:sz w:val="20"/>
              </w:rPr>
            </w:pPr>
            <w:r w:rsidRPr="001D2B74">
              <w:rPr>
                <w:rFonts w:ascii="Sylfaen" w:hAnsi="Sylfaen" w:cs="Sylfaen"/>
                <w:sz w:val="20"/>
              </w:rPr>
              <w:t>აკურა</w:t>
            </w:r>
          </w:p>
        </w:tc>
        <w:tc>
          <w:tcPr>
            <w:tcW w:w="2953" w:type="dxa"/>
            <w:tcBorders>
              <w:top w:val="single" w:sz="4" w:space="0" w:color="auto"/>
              <w:left w:val="single" w:sz="4" w:space="0" w:color="auto"/>
              <w:bottom w:val="single" w:sz="4" w:space="0" w:color="auto"/>
              <w:right w:val="single" w:sz="4" w:space="0" w:color="auto"/>
            </w:tcBorders>
            <w:noWrap/>
            <w:hideMark/>
          </w:tcPr>
          <w:p w14:paraId="274895AD" w14:textId="77777777" w:rsidR="00F8565C" w:rsidRPr="001D2B74" w:rsidRDefault="00F8565C" w:rsidP="00F8565C">
            <w:pPr>
              <w:rPr>
                <w:sz w:val="20"/>
              </w:rPr>
            </w:pPr>
            <w:r w:rsidRPr="001D2B74">
              <w:rPr>
                <w:rFonts w:ascii="Sylfaen" w:hAnsi="Sylfaen" w:cs="Sylfaen"/>
                <w:sz w:val="20"/>
              </w:rPr>
              <w:t>ველისციხის</w:t>
            </w:r>
            <w:r w:rsidRPr="001D2B74">
              <w:rPr>
                <w:sz w:val="20"/>
              </w:rPr>
              <w:t xml:space="preserve"> </w:t>
            </w:r>
            <w:r w:rsidRPr="001D2B74">
              <w:rPr>
                <w:rFonts w:ascii="Sylfaen" w:hAnsi="Sylfaen" w:cs="Sylfaen"/>
                <w:sz w:val="20"/>
              </w:rPr>
              <w:t>გადასახვევი</w:t>
            </w:r>
          </w:p>
        </w:tc>
        <w:tc>
          <w:tcPr>
            <w:tcW w:w="1533" w:type="dxa"/>
            <w:tcBorders>
              <w:top w:val="single" w:sz="4" w:space="0" w:color="auto"/>
              <w:left w:val="single" w:sz="4" w:space="0" w:color="auto"/>
              <w:bottom w:val="single" w:sz="4" w:space="0" w:color="auto"/>
              <w:right w:val="single" w:sz="4" w:space="0" w:color="auto"/>
            </w:tcBorders>
            <w:noWrap/>
            <w:hideMark/>
          </w:tcPr>
          <w:p w14:paraId="26A2CB95" w14:textId="77777777" w:rsidR="00F8565C" w:rsidRPr="001D2B74" w:rsidRDefault="00F8565C" w:rsidP="00F8565C">
            <w:pPr>
              <w:rPr>
                <w:sz w:val="20"/>
              </w:rPr>
            </w:pPr>
            <w:r w:rsidRPr="001D2B74">
              <w:rPr>
                <w:sz w:val="20"/>
              </w:rPr>
              <w:t>3 720</w:t>
            </w:r>
          </w:p>
        </w:tc>
        <w:tc>
          <w:tcPr>
            <w:tcW w:w="1302" w:type="dxa"/>
            <w:tcBorders>
              <w:top w:val="single" w:sz="4" w:space="0" w:color="auto"/>
              <w:left w:val="single" w:sz="4" w:space="0" w:color="auto"/>
              <w:bottom w:val="single" w:sz="4" w:space="0" w:color="auto"/>
              <w:right w:val="single" w:sz="4" w:space="0" w:color="auto"/>
            </w:tcBorders>
            <w:noWrap/>
            <w:hideMark/>
          </w:tcPr>
          <w:p w14:paraId="4E68D122" w14:textId="77777777" w:rsidR="00F8565C" w:rsidRPr="001D2B74" w:rsidRDefault="00F8565C" w:rsidP="00F8565C">
            <w:pPr>
              <w:rPr>
                <w:sz w:val="20"/>
              </w:rPr>
            </w:pPr>
            <w:r w:rsidRPr="001D2B74">
              <w:rPr>
                <w:sz w:val="20"/>
              </w:rPr>
              <w:t>3 845</w:t>
            </w:r>
          </w:p>
        </w:tc>
        <w:tc>
          <w:tcPr>
            <w:tcW w:w="1308" w:type="dxa"/>
            <w:tcBorders>
              <w:top w:val="single" w:sz="4" w:space="0" w:color="auto"/>
              <w:left w:val="single" w:sz="4" w:space="0" w:color="auto"/>
              <w:bottom w:val="single" w:sz="4" w:space="0" w:color="auto"/>
              <w:right w:val="single" w:sz="4" w:space="0" w:color="auto"/>
            </w:tcBorders>
            <w:noWrap/>
            <w:hideMark/>
          </w:tcPr>
          <w:p w14:paraId="262BD7D0" w14:textId="77777777" w:rsidR="00F8565C" w:rsidRPr="001D2B74" w:rsidRDefault="00F8565C" w:rsidP="00F8565C">
            <w:pPr>
              <w:rPr>
                <w:sz w:val="20"/>
              </w:rPr>
            </w:pPr>
            <w:r w:rsidRPr="001D2B74">
              <w:rPr>
                <w:sz w:val="20"/>
              </w:rPr>
              <w:t>3 964</w:t>
            </w:r>
          </w:p>
        </w:tc>
        <w:tc>
          <w:tcPr>
            <w:tcW w:w="1385" w:type="dxa"/>
            <w:tcBorders>
              <w:top w:val="single" w:sz="4" w:space="0" w:color="auto"/>
              <w:left w:val="single" w:sz="4" w:space="0" w:color="auto"/>
              <w:bottom w:val="single" w:sz="4" w:space="0" w:color="auto"/>
              <w:right w:val="single" w:sz="4" w:space="0" w:color="auto"/>
            </w:tcBorders>
            <w:noWrap/>
            <w:hideMark/>
          </w:tcPr>
          <w:p w14:paraId="7B03093F" w14:textId="77777777" w:rsidR="00F8565C" w:rsidRPr="001D2B74" w:rsidRDefault="00F8565C" w:rsidP="00F8565C">
            <w:pPr>
              <w:rPr>
                <w:sz w:val="20"/>
              </w:rPr>
            </w:pPr>
            <w:r w:rsidRPr="001D2B74">
              <w:rPr>
                <w:sz w:val="20"/>
              </w:rPr>
              <w:t>6 896</w:t>
            </w:r>
          </w:p>
        </w:tc>
        <w:tc>
          <w:tcPr>
            <w:tcW w:w="1559" w:type="dxa"/>
            <w:tcBorders>
              <w:top w:val="single" w:sz="4" w:space="0" w:color="auto"/>
              <w:left w:val="single" w:sz="4" w:space="0" w:color="auto"/>
              <w:bottom w:val="single" w:sz="4" w:space="0" w:color="auto"/>
              <w:right w:val="single" w:sz="4" w:space="0" w:color="auto"/>
            </w:tcBorders>
            <w:noWrap/>
            <w:hideMark/>
          </w:tcPr>
          <w:p w14:paraId="3E86A90D" w14:textId="77777777" w:rsidR="00F8565C" w:rsidRPr="001D2B74" w:rsidRDefault="00F8565C" w:rsidP="00F8565C">
            <w:pPr>
              <w:rPr>
                <w:sz w:val="20"/>
              </w:rPr>
            </w:pPr>
            <w:r w:rsidRPr="001D2B74">
              <w:rPr>
                <w:sz w:val="20"/>
              </w:rPr>
              <w:t>8 267</w:t>
            </w:r>
          </w:p>
        </w:tc>
        <w:tc>
          <w:tcPr>
            <w:tcW w:w="1418" w:type="dxa"/>
            <w:tcBorders>
              <w:top w:val="single" w:sz="4" w:space="0" w:color="auto"/>
              <w:left w:val="single" w:sz="4" w:space="0" w:color="auto"/>
              <w:bottom w:val="single" w:sz="4" w:space="0" w:color="auto"/>
              <w:right w:val="single" w:sz="4" w:space="0" w:color="auto"/>
            </w:tcBorders>
            <w:noWrap/>
            <w:hideMark/>
          </w:tcPr>
          <w:p w14:paraId="4F10389B" w14:textId="77777777" w:rsidR="00F8565C" w:rsidRPr="001D2B74" w:rsidRDefault="00F8565C" w:rsidP="00F8565C">
            <w:pPr>
              <w:rPr>
                <w:sz w:val="20"/>
              </w:rPr>
            </w:pPr>
            <w:r w:rsidRPr="001D2B74">
              <w:rPr>
                <w:sz w:val="20"/>
              </w:rPr>
              <w:t>9 951</w:t>
            </w:r>
          </w:p>
        </w:tc>
      </w:tr>
      <w:tr w:rsidR="00F8565C" w:rsidRPr="001D2B74" w14:paraId="6BADFD79" w14:textId="77777777" w:rsidTr="00F8565C">
        <w:trPr>
          <w:trHeight w:val="300"/>
        </w:trPr>
        <w:tc>
          <w:tcPr>
            <w:tcW w:w="2694" w:type="dxa"/>
            <w:tcBorders>
              <w:top w:val="single" w:sz="4" w:space="0" w:color="auto"/>
              <w:left w:val="single" w:sz="4" w:space="0" w:color="auto"/>
              <w:bottom w:val="single" w:sz="4" w:space="0" w:color="auto"/>
              <w:right w:val="single" w:sz="4" w:space="0" w:color="auto"/>
            </w:tcBorders>
            <w:noWrap/>
            <w:hideMark/>
          </w:tcPr>
          <w:p w14:paraId="266DA8A9" w14:textId="77777777" w:rsidR="00F8565C" w:rsidRPr="001D2B74" w:rsidRDefault="00F8565C" w:rsidP="00F8565C">
            <w:pPr>
              <w:rPr>
                <w:sz w:val="20"/>
              </w:rPr>
            </w:pPr>
            <w:r w:rsidRPr="001D2B74">
              <w:rPr>
                <w:rFonts w:ascii="Sylfaen" w:hAnsi="Sylfaen" w:cs="Sylfaen"/>
                <w:sz w:val="20"/>
              </w:rPr>
              <w:t>ველისციხის</w:t>
            </w:r>
            <w:r w:rsidRPr="001D2B74">
              <w:rPr>
                <w:sz w:val="20"/>
              </w:rPr>
              <w:t xml:space="preserve"> </w:t>
            </w:r>
            <w:r w:rsidRPr="001D2B74">
              <w:rPr>
                <w:rFonts w:ascii="Sylfaen" w:hAnsi="Sylfaen" w:cs="Sylfaen"/>
                <w:sz w:val="20"/>
              </w:rPr>
              <w:t>გადასახვევი</w:t>
            </w:r>
          </w:p>
        </w:tc>
        <w:tc>
          <w:tcPr>
            <w:tcW w:w="2953" w:type="dxa"/>
            <w:tcBorders>
              <w:top w:val="single" w:sz="4" w:space="0" w:color="auto"/>
              <w:left w:val="single" w:sz="4" w:space="0" w:color="auto"/>
              <w:bottom w:val="single" w:sz="4" w:space="0" w:color="auto"/>
              <w:right w:val="single" w:sz="4" w:space="0" w:color="auto"/>
            </w:tcBorders>
            <w:noWrap/>
            <w:hideMark/>
          </w:tcPr>
          <w:p w14:paraId="57EC2679" w14:textId="77777777" w:rsidR="00F8565C" w:rsidRPr="001D2B74" w:rsidRDefault="00F8565C" w:rsidP="00F8565C">
            <w:pPr>
              <w:rPr>
                <w:sz w:val="20"/>
              </w:rPr>
            </w:pPr>
            <w:r w:rsidRPr="001D2B74">
              <w:rPr>
                <w:rFonts w:ascii="Sylfaen" w:hAnsi="Sylfaen" w:cs="Sylfaen"/>
                <w:sz w:val="20"/>
              </w:rPr>
              <w:t>ჩუმლაყი</w:t>
            </w:r>
          </w:p>
        </w:tc>
        <w:tc>
          <w:tcPr>
            <w:tcW w:w="1533" w:type="dxa"/>
            <w:tcBorders>
              <w:top w:val="single" w:sz="4" w:space="0" w:color="auto"/>
              <w:left w:val="single" w:sz="4" w:space="0" w:color="auto"/>
              <w:bottom w:val="single" w:sz="4" w:space="0" w:color="auto"/>
              <w:right w:val="single" w:sz="4" w:space="0" w:color="auto"/>
            </w:tcBorders>
            <w:noWrap/>
            <w:hideMark/>
          </w:tcPr>
          <w:p w14:paraId="198CC9F3" w14:textId="77777777" w:rsidR="00F8565C" w:rsidRPr="001D2B74" w:rsidRDefault="00F8565C" w:rsidP="00F8565C">
            <w:pPr>
              <w:rPr>
                <w:sz w:val="20"/>
              </w:rPr>
            </w:pPr>
            <w:r w:rsidRPr="001D2B74">
              <w:rPr>
                <w:sz w:val="20"/>
              </w:rPr>
              <w:t>4 508</w:t>
            </w:r>
          </w:p>
        </w:tc>
        <w:tc>
          <w:tcPr>
            <w:tcW w:w="1302" w:type="dxa"/>
            <w:tcBorders>
              <w:top w:val="single" w:sz="4" w:space="0" w:color="auto"/>
              <w:left w:val="single" w:sz="4" w:space="0" w:color="auto"/>
              <w:bottom w:val="single" w:sz="4" w:space="0" w:color="auto"/>
              <w:right w:val="single" w:sz="4" w:space="0" w:color="auto"/>
            </w:tcBorders>
            <w:noWrap/>
            <w:hideMark/>
          </w:tcPr>
          <w:p w14:paraId="492C2886" w14:textId="77777777" w:rsidR="00F8565C" w:rsidRPr="001D2B74" w:rsidRDefault="00F8565C" w:rsidP="00F8565C">
            <w:pPr>
              <w:rPr>
                <w:sz w:val="20"/>
              </w:rPr>
            </w:pPr>
            <w:r w:rsidRPr="001D2B74">
              <w:rPr>
                <w:sz w:val="20"/>
              </w:rPr>
              <w:t>4 659</w:t>
            </w:r>
          </w:p>
        </w:tc>
        <w:tc>
          <w:tcPr>
            <w:tcW w:w="1308" w:type="dxa"/>
            <w:tcBorders>
              <w:top w:val="single" w:sz="4" w:space="0" w:color="auto"/>
              <w:left w:val="single" w:sz="4" w:space="0" w:color="auto"/>
              <w:bottom w:val="single" w:sz="4" w:space="0" w:color="auto"/>
              <w:right w:val="single" w:sz="4" w:space="0" w:color="auto"/>
            </w:tcBorders>
            <w:noWrap/>
            <w:hideMark/>
          </w:tcPr>
          <w:p w14:paraId="3E1B6DD4" w14:textId="77777777" w:rsidR="00F8565C" w:rsidRPr="001D2B74" w:rsidRDefault="00F8565C" w:rsidP="00F8565C">
            <w:pPr>
              <w:rPr>
                <w:sz w:val="20"/>
              </w:rPr>
            </w:pPr>
            <w:r w:rsidRPr="001D2B74">
              <w:rPr>
                <w:sz w:val="20"/>
              </w:rPr>
              <w:t>4 803</w:t>
            </w:r>
          </w:p>
        </w:tc>
        <w:tc>
          <w:tcPr>
            <w:tcW w:w="1385" w:type="dxa"/>
            <w:tcBorders>
              <w:top w:val="single" w:sz="4" w:space="0" w:color="auto"/>
              <w:left w:val="single" w:sz="4" w:space="0" w:color="auto"/>
              <w:bottom w:val="single" w:sz="4" w:space="0" w:color="auto"/>
              <w:right w:val="single" w:sz="4" w:space="0" w:color="auto"/>
            </w:tcBorders>
            <w:noWrap/>
            <w:hideMark/>
          </w:tcPr>
          <w:p w14:paraId="3D512CFE" w14:textId="77777777" w:rsidR="00F8565C" w:rsidRPr="001D2B74" w:rsidRDefault="00F8565C" w:rsidP="00F8565C">
            <w:pPr>
              <w:rPr>
                <w:sz w:val="20"/>
              </w:rPr>
            </w:pPr>
            <w:r w:rsidRPr="001D2B74">
              <w:rPr>
                <w:sz w:val="20"/>
              </w:rPr>
              <w:t>8 354</w:t>
            </w:r>
          </w:p>
        </w:tc>
        <w:tc>
          <w:tcPr>
            <w:tcW w:w="1559" w:type="dxa"/>
            <w:tcBorders>
              <w:top w:val="single" w:sz="4" w:space="0" w:color="auto"/>
              <w:left w:val="single" w:sz="4" w:space="0" w:color="auto"/>
              <w:bottom w:val="single" w:sz="4" w:space="0" w:color="auto"/>
              <w:right w:val="single" w:sz="4" w:space="0" w:color="auto"/>
            </w:tcBorders>
            <w:noWrap/>
            <w:hideMark/>
          </w:tcPr>
          <w:p w14:paraId="6E37D0FB" w14:textId="77777777" w:rsidR="00F8565C" w:rsidRPr="001D2B74" w:rsidRDefault="00F8565C" w:rsidP="00F8565C">
            <w:pPr>
              <w:rPr>
                <w:sz w:val="20"/>
              </w:rPr>
            </w:pPr>
            <w:r w:rsidRPr="001D2B74">
              <w:rPr>
                <w:sz w:val="20"/>
              </w:rPr>
              <w:t>10 015</w:t>
            </w:r>
          </w:p>
        </w:tc>
        <w:tc>
          <w:tcPr>
            <w:tcW w:w="1418" w:type="dxa"/>
            <w:tcBorders>
              <w:top w:val="single" w:sz="4" w:space="0" w:color="auto"/>
              <w:left w:val="single" w:sz="4" w:space="0" w:color="auto"/>
              <w:bottom w:val="single" w:sz="4" w:space="0" w:color="auto"/>
              <w:right w:val="single" w:sz="4" w:space="0" w:color="auto"/>
            </w:tcBorders>
            <w:noWrap/>
            <w:hideMark/>
          </w:tcPr>
          <w:p w14:paraId="6E591CAD" w14:textId="77777777" w:rsidR="00F8565C" w:rsidRPr="001D2B74" w:rsidRDefault="00F8565C" w:rsidP="00F8565C">
            <w:pPr>
              <w:rPr>
                <w:sz w:val="20"/>
              </w:rPr>
            </w:pPr>
            <w:r w:rsidRPr="001D2B74">
              <w:rPr>
                <w:sz w:val="20"/>
              </w:rPr>
              <w:t>12 056</w:t>
            </w:r>
          </w:p>
        </w:tc>
      </w:tr>
      <w:tr w:rsidR="00F8565C" w:rsidRPr="001D2B74" w14:paraId="3AC5EBCB" w14:textId="77777777" w:rsidTr="00F8565C">
        <w:trPr>
          <w:trHeight w:val="300"/>
        </w:trPr>
        <w:tc>
          <w:tcPr>
            <w:tcW w:w="2694" w:type="dxa"/>
            <w:tcBorders>
              <w:top w:val="single" w:sz="4" w:space="0" w:color="auto"/>
              <w:left w:val="single" w:sz="4" w:space="0" w:color="auto"/>
              <w:bottom w:val="single" w:sz="4" w:space="0" w:color="auto"/>
              <w:right w:val="single" w:sz="4" w:space="0" w:color="auto"/>
            </w:tcBorders>
            <w:noWrap/>
            <w:hideMark/>
          </w:tcPr>
          <w:p w14:paraId="0CE20911" w14:textId="77777777" w:rsidR="00F8565C" w:rsidRPr="001D2B74" w:rsidRDefault="00F8565C" w:rsidP="00F8565C">
            <w:pPr>
              <w:rPr>
                <w:sz w:val="20"/>
              </w:rPr>
            </w:pPr>
            <w:r w:rsidRPr="001D2B74">
              <w:rPr>
                <w:rFonts w:ascii="Sylfaen" w:hAnsi="Sylfaen" w:cs="Sylfaen"/>
                <w:sz w:val="20"/>
              </w:rPr>
              <w:t>ჩუმლაყი</w:t>
            </w:r>
          </w:p>
        </w:tc>
        <w:tc>
          <w:tcPr>
            <w:tcW w:w="2953" w:type="dxa"/>
            <w:tcBorders>
              <w:top w:val="single" w:sz="4" w:space="0" w:color="auto"/>
              <w:left w:val="single" w:sz="4" w:space="0" w:color="auto"/>
              <w:bottom w:val="single" w:sz="4" w:space="0" w:color="auto"/>
              <w:right w:val="single" w:sz="4" w:space="0" w:color="auto"/>
            </w:tcBorders>
            <w:noWrap/>
            <w:hideMark/>
          </w:tcPr>
          <w:p w14:paraId="56827943" w14:textId="77777777" w:rsidR="00F8565C" w:rsidRPr="001D2B74" w:rsidRDefault="00F8565C" w:rsidP="00F8565C">
            <w:pPr>
              <w:rPr>
                <w:sz w:val="20"/>
              </w:rPr>
            </w:pPr>
            <w:r w:rsidRPr="001D2B74">
              <w:rPr>
                <w:rFonts w:ascii="Sylfaen" w:hAnsi="Sylfaen" w:cs="Sylfaen"/>
                <w:sz w:val="20"/>
              </w:rPr>
              <w:t>გურჯაანი</w:t>
            </w:r>
          </w:p>
        </w:tc>
        <w:tc>
          <w:tcPr>
            <w:tcW w:w="1533" w:type="dxa"/>
            <w:tcBorders>
              <w:top w:val="single" w:sz="4" w:space="0" w:color="auto"/>
              <w:left w:val="single" w:sz="4" w:space="0" w:color="auto"/>
              <w:bottom w:val="single" w:sz="4" w:space="0" w:color="auto"/>
              <w:right w:val="single" w:sz="4" w:space="0" w:color="auto"/>
            </w:tcBorders>
            <w:noWrap/>
            <w:hideMark/>
          </w:tcPr>
          <w:p w14:paraId="6672DFFF" w14:textId="77777777" w:rsidR="00F8565C" w:rsidRPr="001D2B74" w:rsidRDefault="00F8565C" w:rsidP="00F8565C">
            <w:pPr>
              <w:rPr>
                <w:sz w:val="20"/>
              </w:rPr>
            </w:pPr>
            <w:r w:rsidRPr="001D2B74">
              <w:rPr>
                <w:sz w:val="20"/>
              </w:rPr>
              <w:t>4 387</w:t>
            </w:r>
          </w:p>
        </w:tc>
        <w:tc>
          <w:tcPr>
            <w:tcW w:w="1302" w:type="dxa"/>
            <w:tcBorders>
              <w:top w:val="single" w:sz="4" w:space="0" w:color="auto"/>
              <w:left w:val="single" w:sz="4" w:space="0" w:color="auto"/>
              <w:bottom w:val="single" w:sz="4" w:space="0" w:color="auto"/>
              <w:right w:val="single" w:sz="4" w:space="0" w:color="auto"/>
            </w:tcBorders>
            <w:noWrap/>
            <w:hideMark/>
          </w:tcPr>
          <w:p w14:paraId="60081F9D" w14:textId="77777777" w:rsidR="00F8565C" w:rsidRPr="001D2B74" w:rsidRDefault="00F8565C" w:rsidP="00F8565C">
            <w:pPr>
              <w:rPr>
                <w:sz w:val="20"/>
              </w:rPr>
            </w:pPr>
            <w:r w:rsidRPr="001D2B74">
              <w:rPr>
                <w:sz w:val="20"/>
              </w:rPr>
              <w:t>4 534</w:t>
            </w:r>
          </w:p>
        </w:tc>
        <w:tc>
          <w:tcPr>
            <w:tcW w:w="1308" w:type="dxa"/>
            <w:tcBorders>
              <w:top w:val="single" w:sz="4" w:space="0" w:color="auto"/>
              <w:left w:val="single" w:sz="4" w:space="0" w:color="auto"/>
              <w:bottom w:val="single" w:sz="4" w:space="0" w:color="auto"/>
              <w:right w:val="single" w:sz="4" w:space="0" w:color="auto"/>
            </w:tcBorders>
            <w:noWrap/>
            <w:hideMark/>
          </w:tcPr>
          <w:p w14:paraId="32B1AC0B" w14:textId="77777777" w:rsidR="00F8565C" w:rsidRPr="001D2B74" w:rsidRDefault="00F8565C" w:rsidP="00F8565C">
            <w:pPr>
              <w:rPr>
                <w:sz w:val="20"/>
              </w:rPr>
            </w:pPr>
            <w:r w:rsidRPr="001D2B74">
              <w:rPr>
                <w:sz w:val="20"/>
              </w:rPr>
              <w:t>4 674</w:t>
            </w:r>
          </w:p>
        </w:tc>
        <w:tc>
          <w:tcPr>
            <w:tcW w:w="1385" w:type="dxa"/>
            <w:tcBorders>
              <w:top w:val="single" w:sz="4" w:space="0" w:color="auto"/>
              <w:left w:val="single" w:sz="4" w:space="0" w:color="auto"/>
              <w:bottom w:val="single" w:sz="4" w:space="0" w:color="auto"/>
              <w:right w:val="single" w:sz="4" w:space="0" w:color="auto"/>
            </w:tcBorders>
            <w:noWrap/>
            <w:hideMark/>
          </w:tcPr>
          <w:p w14:paraId="6521EBF3" w14:textId="77777777" w:rsidR="00F8565C" w:rsidRPr="001D2B74" w:rsidRDefault="00F8565C" w:rsidP="00F8565C">
            <w:pPr>
              <w:rPr>
                <w:sz w:val="20"/>
              </w:rPr>
            </w:pPr>
            <w:r w:rsidRPr="001D2B74">
              <w:rPr>
                <w:sz w:val="20"/>
              </w:rPr>
              <w:t>8 126</w:t>
            </w:r>
          </w:p>
        </w:tc>
        <w:tc>
          <w:tcPr>
            <w:tcW w:w="1559" w:type="dxa"/>
            <w:tcBorders>
              <w:top w:val="single" w:sz="4" w:space="0" w:color="auto"/>
              <w:left w:val="single" w:sz="4" w:space="0" w:color="auto"/>
              <w:bottom w:val="single" w:sz="4" w:space="0" w:color="auto"/>
              <w:right w:val="single" w:sz="4" w:space="0" w:color="auto"/>
            </w:tcBorders>
            <w:noWrap/>
            <w:hideMark/>
          </w:tcPr>
          <w:p w14:paraId="6165ADD4" w14:textId="77777777" w:rsidR="00F8565C" w:rsidRPr="001D2B74" w:rsidRDefault="00F8565C" w:rsidP="00F8565C">
            <w:pPr>
              <w:rPr>
                <w:sz w:val="20"/>
              </w:rPr>
            </w:pPr>
            <w:r w:rsidRPr="001D2B74">
              <w:rPr>
                <w:sz w:val="20"/>
              </w:rPr>
              <w:t>9 739</w:t>
            </w:r>
          </w:p>
        </w:tc>
        <w:tc>
          <w:tcPr>
            <w:tcW w:w="1418" w:type="dxa"/>
            <w:tcBorders>
              <w:top w:val="single" w:sz="4" w:space="0" w:color="auto"/>
              <w:left w:val="single" w:sz="4" w:space="0" w:color="auto"/>
              <w:bottom w:val="single" w:sz="4" w:space="0" w:color="auto"/>
              <w:right w:val="single" w:sz="4" w:space="0" w:color="auto"/>
            </w:tcBorders>
            <w:noWrap/>
            <w:hideMark/>
          </w:tcPr>
          <w:p w14:paraId="14CA9514" w14:textId="77777777" w:rsidR="00F8565C" w:rsidRPr="001D2B74" w:rsidRDefault="00F8565C" w:rsidP="00F8565C">
            <w:pPr>
              <w:rPr>
                <w:sz w:val="20"/>
              </w:rPr>
            </w:pPr>
            <w:r w:rsidRPr="001D2B74">
              <w:rPr>
                <w:sz w:val="20"/>
              </w:rPr>
              <w:t>11 723</w:t>
            </w:r>
          </w:p>
        </w:tc>
      </w:tr>
      <w:tr w:rsidR="00F8565C" w:rsidRPr="001D2B74" w14:paraId="396199DB" w14:textId="77777777" w:rsidTr="00F8565C">
        <w:trPr>
          <w:trHeight w:val="300"/>
        </w:trPr>
        <w:tc>
          <w:tcPr>
            <w:tcW w:w="2694" w:type="dxa"/>
            <w:tcBorders>
              <w:top w:val="single" w:sz="4" w:space="0" w:color="auto"/>
              <w:left w:val="single" w:sz="4" w:space="0" w:color="auto"/>
              <w:bottom w:val="single" w:sz="4" w:space="0" w:color="auto"/>
              <w:right w:val="single" w:sz="4" w:space="0" w:color="auto"/>
            </w:tcBorders>
            <w:noWrap/>
            <w:hideMark/>
          </w:tcPr>
          <w:p w14:paraId="55F3A82E" w14:textId="77777777" w:rsidR="00F8565C" w:rsidRPr="001D2B74" w:rsidRDefault="00F8565C" w:rsidP="00F8565C">
            <w:pPr>
              <w:rPr>
                <w:sz w:val="20"/>
              </w:rPr>
            </w:pPr>
            <w:r w:rsidRPr="001D2B74">
              <w:rPr>
                <w:rFonts w:ascii="Sylfaen" w:hAnsi="Sylfaen" w:cs="Sylfaen"/>
                <w:sz w:val="20"/>
              </w:rPr>
              <w:t>გურჯაანი</w:t>
            </w:r>
          </w:p>
        </w:tc>
        <w:tc>
          <w:tcPr>
            <w:tcW w:w="2953" w:type="dxa"/>
            <w:tcBorders>
              <w:top w:val="single" w:sz="4" w:space="0" w:color="auto"/>
              <w:left w:val="single" w:sz="4" w:space="0" w:color="auto"/>
              <w:bottom w:val="single" w:sz="4" w:space="0" w:color="auto"/>
              <w:right w:val="single" w:sz="4" w:space="0" w:color="auto"/>
            </w:tcBorders>
            <w:noWrap/>
            <w:hideMark/>
          </w:tcPr>
          <w:p w14:paraId="7F87D9F4" w14:textId="77777777" w:rsidR="00F8565C" w:rsidRPr="001D2B74" w:rsidRDefault="00F8565C" w:rsidP="00F8565C">
            <w:pPr>
              <w:rPr>
                <w:sz w:val="20"/>
              </w:rPr>
            </w:pPr>
            <w:r w:rsidRPr="001D2B74">
              <w:rPr>
                <w:rFonts w:ascii="Sylfaen" w:hAnsi="Sylfaen" w:cs="Sylfaen"/>
                <w:sz w:val="20"/>
              </w:rPr>
              <w:t>ბაკურციხე</w:t>
            </w:r>
          </w:p>
        </w:tc>
        <w:tc>
          <w:tcPr>
            <w:tcW w:w="1533" w:type="dxa"/>
            <w:tcBorders>
              <w:top w:val="single" w:sz="4" w:space="0" w:color="auto"/>
              <w:left w:val="single" w:sz="4" w:space="0" w:color="auto"/>
              <w:bottom w:val="single" w:sz="4" w:space="0" w:color="auto"/>
              <w:right w:val="single" w:sz="4" w:space="0" w:color="auto"/>
            </w:tcBorders>
            <w:noWrap/>
            <w:hideMark/>
          </w:tcPr>
          <w:p w14:paraId="19C15F67" w14:textId="77777777" w:rsidR="00F8565C" w:rsidRPr="001D2B74" w:rsidRDefault="00F8565C" w:rsidP="00F8565C">
            <w:pPr>
              <w:rPr>
                <w:sz w:val="20"/>
              </w:rPr>
            </w:pPr>
            <w:r w:rsidRPr="001D2B74">
              <w:rPr>
                <w:sz w:val="20"/>
              </w:rPr>
              <w:t>5 022</w:t>
            </w:r>
          </w:p>
        </w:tc>
        <w:tc>
          <w:tcPr>
            <w:tcW w:w="1302" w:type="dxa"/>
            <w:tcBorders>
              <w:top w:val="single" w:sz="4" w:space="0" w:color="auto"/>
              <w:left w:val="single" w:sz="4" w:space="0" w:color="auto"/>
              <w:bottom w:val="single" w:sz="4" w:space="0" w:color="auto"/>
              <w:right w:val="single" w:sz="4" w:space="0" w:color="auto"/>
            </w:tcBorders>
            <w:noWrap/>
            <w:hideMark/>
          </w:tcPr>
          <w:p w14:paraId="2A75AC57" w14:textId="77777777" w:rsidR="00F8565C" w:rsidRPr="001D2B74" w:rsidRDefault="00F8565C" w:rsidP="00F8565C">
            <w:pPr>
              <w:rPr>
                <w:sz w:val="20"/>
              </w:rPr>
            </w:pPr>
            <w:r w:rsidRPr="001D2B74">
              <w:rPr>
                <w:sz w:val="20"/>
              </w:rPr>
              <w:t>5 189</w:t>
            </w:r>
          </w:p>
        </w:tc>
        <w:tc>
          <w:tcPr>
            <w:tcW w:w="1308" w:type="dxa"/>
            <w:tcBorders>
              <w:top w:val="single" w:sz="4" w:space="0" w:color="auto"/>
              <w:left w:val="single" w:sz="4" w:space="0" w:color="auto"/>
              <w:bottom w:val="single" w:sz="4" w:space="0" w:color="auto"/>
              <w:right w:val="single" w:sz="4" w:space="0" w:color="auto"/>
            </w:tcBorders>
            <w:noWrap/>
            <w:hideMark/>
          </w:tcPr>
          <w:p w14:paraId="7F6148BD" w14:textId="77777777" w:rsidR="00F8565C" w:rsidRPr="001D2B74" w:rsidRDefault="00F8565C" w:rsidP="00F8565C">
            <w:pPr>
              <w:rPr>
                <w:sz w:val="20"/>
              </w:rPr>
            </w:pPr>
            <w:r w:rsidRPr="001D2B74">
              <w:rPr>
                <w:sz w:val="20"/>
              </w:rPr>
              <w:t>5 349</w:t>
            </w:r>
          </w:p>
        </w:tc>
        <w:tc>
          <w:tcPr>
            <w:tcW w:w="1385" w:type="dxa"/>
            <w:tcBorders>
              <w:top w:val="single" w:sz="4" w:space="0" w:color="auto"/>
              <w:left w:val="single" w:sz="4" w:space="0" w:color="auto"/>
              <w:bottom w:val="single" w:sz="4" w:space="0" w:color="auto"/>
              <w:right w:val="single" w:sz="4" w:space="0" w:color="auto"/>
            </w:tcBorders>
            <w:noWrap/>
            <w:hideMark/>
          </w:tcPr>
          <w:p w14:paraId="52307145" w14:textId="77777777" w:rsidR="00F8565C" w:rsidRPr="001D2B74" w:rsidRDefault="00F8565C" w:rsidP="00F8565C">
            <w:pPr>
              <w:rPr>
                <w:sz w:val="20"/>
              </w:rPr>
            </w:pPr>
            <w:r w:rsidRPr="001D2B74">
              <w:rPr>
                <w:sz w:val="20"/>
              </w:rPr>
              <w:t>9 295</w:t>
            </w:r>
          </w:p>
        </w:tc>
        <w:tc>
          <w:tcPr>
            <w:tcW w:w="1559" w:type="dxa"/>
            <w:tcBorders>
              <w:top w:val="single" w:sz="4" w:space="0" w:color="auto"/>
              <w:left w:val="single" w:sz="4" w:space="0" w:color="auto"/>
              <w:bottom w:val="single" w:sz="4" w:space="0" w:color="auto"/>
              <w:right w:val="single" w:sz="4" w:space="0" w:color="auto"/>
            </w:tcBorders>
            <w:noWrap/>
            <w:hideMark/>
          </w:tcPr>
          <w:p w14:paraId="27765296" w14:textId="77777777" w:rsidR="00F8565C" w:rsidRPr="001D2B74" w:rsidRDefault="00F8565C" w:rsidP="00F8565C">
            <w:pPr>
              <w:rPr>
                <w:sz w:val="20"/>
              </w:rPr>
            </w:pPr>
            <w:r w:rsidRPr="001D2B74">
              <w:rPr>
                <w:sz w:val="20"/>
              </w:rPr>
              <w:t>11 139</w:t>
            </w:r>
          </w:p>
        </w:tc>
        <w:tc>
          <w:tcPr>
            <w:tcW w:w="1418" w:type="dxa"/>
            <w:tcBorders>
              <w:top w:val="single" w:sz="4" w:space="0" w:color="auto"/>
              <w:left w:val="single" w:sz="4" w:space="0" w:color="auto"/>
              <w:bottom w:val="single" w:sz="4" w:space="0" w:color="auto"/>
              <w:right w:val="single" w:sz="4" w:space="0" w:color="auto"/>
            </w:tcBorders>
            <w:noWrap/>
            <w:hideMark/>
          </w:tcPr>
          <w:p w14:paraId="014B1B43" w14:textId="77777777" w:rsidR="00F8565C" w:rsidRPr="001D2B74" w:rsidRDefault="00F8565C" w:rsidP="00F8565C">
            <w:pPr>
              <w:rPr>
                <w:sz w:val="20"/>
              </w:rPr>
            </w:pPr>
            <w:r w:rsidRPr="001D2B74">
              <w:rPr>
                <w:sz w:val="20"/>
              </w:rPr>
              <w:t>13 407</w:t>
            </w:r>
          </w:p>
        </w:tc>
      </w:tr>
      <w:tr w:rsidR="00F8565C" w:rsidRPr="001D2B74" w14:paraId="02FB3A25" w14:textId="77777777" w:rsidTr="00F8565C">
        <w:trPr>
          <w:trHeight w:val="300"/>
        </w:trPr>
        <w:tc>
          <w:tcPr>
            <w:tcW w:w="2694" w:type="dxa"/>
            <w:tcBorders>
              <w:top w:val="single" w:sz="4" w:space="0" w:color="auto"/>
              <w:left w:val="single" w:sz="4" w:space="0" w:color="auto"/>
              <w:bottom w:val="single" w:sz="4" w:space="0" w:color="auto"/>
              <w:right w:val="single" w:sz="4" w:space="0" w:color="auto"/>
            </w:tcBorders>
            <w:noWrap/>
            <w:hideMark/>
          </w:tcPr>
          <w:p w14:paraId="70582918" w14:textId="77777777" w:rsidR="00F8565C" w:rsidRPr="001D2B74" w:rsidRDefault="00F8565C" w:rsidP="00F8565C">
            <w:pPr>
              <w:rPr>
                <w:sz w:val="20"/>
              </w:rPr>
            </w:pPr>
            <w:r w:rsidRPr="001D2B74">
              <w:rPr>
                <w:rFonts w:ascii="Sylfaen" w:hAnsi="Sylfaen" w:cs="Sylfaen"/>
                <w:sz w:val="20"/>
              </w:rPr>
              <w:t>ბაკურციხე</w:t>
            </w:r>
          </w:p>
        </w:tc>
        <w:tc>
          <w:tcPr>
            <w:tcW w:w="2953" w:type="dxa"/>
            <w:tcBorders>
              <w:top w:val="single" w:sz="4" w:space="0" w:color="auto"/>
              <w:left w:val="single" w:sz="4" w:space="0" w:color="auto"/>
              <w:bottom w:val="single" w:sz="4" w:space="0" w:color="auto"/>
              <w:right w:val="single" w:sz="4" w:space="0" w:color="auto"/>
            </w:tcBorders>
            <w:noWrap/>
            <w:hideMark/>
          </w:tcPr>
          <w:p w14:paraId="012D6E6A" w14:textId="77777777" w:rsidR="00F8565C" w:rsidRPr="001D2B74" w:rsidRDefault="00F8565C" w:rsidP="00F8565C">
            <w:pPr>
              <w:rPr>
                <w:sz w:val="20"/>
              </w:rPr>
            </w:pPr>
            <w:r w:rsidRPr="001D2B74">
              <w:rPr>
                <w:rFonts w:ascii="Sylfaen" w:hAnsi="Sylfaen" w:cs="Sylfaen"/>
                <w:sz w:val="20"/>
              </w:rPr>
              <w:t>წნორი</w:t>
            </w:r>
          </w:p>
        </w:tc>
        <w:tc>
          <w:tcPr>
            <w:tcW w:w="1533" w:type="dxa"/>
            <w:tcBorders>
              <w:top w:val="single" w:sz="4" w:space="0" w:color="auto"/>
              <w:left w:val="single" w:sz="4" w:space="0" w:color="auto"/>
              <w:bottom w:val="single" w:sz="4" w:space="0" w:color="auto"/>
              <w:right w:val="single" w:sz="4" w:space="0" w:color="auto"/>
            </w:tcBorders>
            <w:noWrap/>
            <w:hideMark/>
          </w:tcPr>
          <w:p w14:paraId="46F1932D" w14:textId="77777777" w:rsidR="00F8565C" w:rsidRPr="001D2B74" w:rsidRDefault="00F8565C" w:rsidP="00F8565C">
            <w:pPr>
              <w:rPr>
                <w:sz w:val="20"/>
              </w:rPr>
            </w:pPr>
            <w:r w:rsidRPr="001D2B74">
              <w:rPr>
                <w:sz w:val="20"/>
              </w:rPr>
              <w:t>2 556</w:t>
            </w:r>
          </w:p>
        </w:tc>
        <w:tc>
          <w:tcPr>
            <w:tcW w:w="1302" w:type="dxa"/>
            <w:tcBorders>
              <w:top w:val="single" w:sz="4" w:space="0" w:color="auto"/>
              <w:left w:val="single" w:sz="4" w:space="0" w:color="auto"/>
              <w:bottom w:val="single" w:sz="4" w:space="0" w:color="auto"/>
              <w:right w:val="single" w:sz="4" w:space="0" w:color="auto"/>
            </w:tcBorders>
            <w:noWrap/>
            <w:hideMark/>
          </w:tcPr>
          <w:p w14:paraId="3CA807CE" w14:textId="77777777" w:rsidR="00F8565C" w:rsidRPr="001D2B74" w:rsidRDefault="00F8565C" w:rsidP="00F8565C">
            <w:pPr>
              <w:rPr>
                <w:sz w:val="20"/>
              </w:rPr>
            </w:pPr>
            <w:r w:rsidRPr="001D2B74">
              <w:rPr>
                <w:sz w:val="20"/>
              </w:rPr>
              <w:t>2 642</w:t>
            </w:r>
          </w:p>
        </w:tc>
        <w:tc>
          <w:tcPr>
            <w:tcW w:w="1308" w:type="dxa"/>
            <w:tcBorders>
              <w:top w:val="single" w:sz="4" w:space="0" w:color="auto"/>
              <w:left w:val="single" w:sz="4" w:space="0" w:color="auto"/>
              <w:bottom w:val="single" w:sz="4" w:space="0" w:color="auto"/>
              <w:right w:val="single" w:sz="4" w:space="0" w:color="auto"/>
            </w:tcBorders>
            <w:noWrap/>
            <w:hideMark/>
          </w:tcPr>
          <w:p w14:paraId="154042B4" w14:textId="77777777" w:rsidR="00F8565C" w:rsidRPr="001D2B74" w:rsidRDefault="00F8565C" w:rsidP="00F8565C">
            <w:pPr>
              <w:rPr>
                <w:sz w:val="20"/>
              </w:rPr>
            </w:pPr>
            <w:r w:rsidRPr="001D2B74">
              <w:rPr>
                <w:sz w:val="20"/>
              </w:rPr>
              <w:t>2 724</w:t>
            </w:r>
          </w:p>
        </w:tc>
        <w:tc>
          <w:tcPr>
            <w:tcW w:w="1385" w:type="dxa"/>
            <w:tcBorders>
              <w:top w:val="single" w:sz="4" w:space="0" w:color="auto"/>
              <w:left w:val="single" w:sz="4" w:space="0" w:color="auto"/>
              <w:bottom w:val="single" w:sz="4" w:space="0" w:color="auto"/>
              <w:right w:val="single" w:sz="4" w:space="0" w:color="auto"/>
            </w:tcBorders>
            <w:noWrap/>
            <w:hideMark/>
          </w:tcPr>
          <w:p w14:paraId="5D4BB733" w14:textId="77777777" w:rsidR="00F8565C" w:rsidRPr="001D2B74" w:rsidRDefault="00F8565C" w:rsidP="00F8565C">
            <w:pPr>
              <w:rPr>
                <w:sz w:val="20"/>
              </w:rPr>
            </w:pPr>
            <w:r w:rsidRPr="001D2B74">
              <w:rPr>
                <w:sz w:val="20"/>
              </w:rPr>
              <w:t>4 735</w:t>
            </w:r>
          </w:p>
        </w:tc>
        <w:tc>
          <w:tcPr>
            <w:tcW w:w="1559" w:type="dxa"/>
            <w:tcBorders>
              <w:top w:val="single" w:sz="4" w:space="0" w:color="auto"/>
              <w:left w:val="single" w:sz="4" w:space="0" w:color="auto"/>
              <w:bottom w:val="single" w:sz="4" w:space="0" w:color="auto"/>
              <w:right w:val="single" w:sz="4" w:space="0" w:color="auto"/>
            </w:tcBorders>
            <w:noWrap/>
            <w:hideMark/>
          </w:tcPr>
          <w:p w14:paraId="3CC00821" w14:textId="77777777" w:rsidR="00F8565C" w:rsidRPr="001D2B74" w:rsidRDefault="00F8565C" w:rsidP="00F8565C">
            <w:pPr>
              <w:rPr>
                <w:sz w:val="20"/>
              </w:rPr>
            </w:pPr>
            <w:r w:rsidRPr="001D2B74">
              <w:rPr>
                <w:sz w:val="20"/>
              </w:rPr>
              <w:t>5 676</w:t>
            </w:r>
          </w:p>
        </w:tc>
        <w:tc>
          <w:tcPr>
            <w:tcW w:w="1418" w:type="dxa"/>
            <w:tcBorders>
              <w:top w:val="single" w:sz="4" w:space="0" w:color="auto"/>
              <w:left w:val="single" w:sz="4" w:space="0" w:color="auto"/>
              <w:bottom w:val="single" w:sz="4" w:space="0" w:color="auto"/>
              <w:right w:val="single" w:sz="4" w:space="0" w:color="auto"/>
            </w:tcBorders>
            <w:noWrap/>
            <w:hideMark/>
          </w:tcPr>
          <w:p w14:paraId="2E04A358" w14:textId="77777777" w:rsidR="00F8565C" w:rsidRPr="001D2B74" w:rsidRDefault="00F8565C" w:rsidP="00F8565C">
            <w:pPr>
              <w:rPr>
                <w:sz w:val="20"/>
              </w:rPr>
            </w:pPr>
            <w:r w:rsidRPr="001D2B74">
              <w:rPr>
                <w:sz w:val="20"/>
              </w:rPr>
              <w:t>6 832</w:t>
            </w:r>
          </w:p>
        </w:tc>
      </w:tr>
    </w:tbl>
    <w:p w14:paraId="7AF24261" w14:textId="77777777" w:rsidR="00F8565C" w:rsidRPr="003D733D" w:rsidRDefault="00F8565C" w:rsidP="00F8565C">
      <w:r w:rsidRPr="003D733D">
        <w:rPr>
          <w:rFonts w:ascii="Sylfaen" w:hAnsi="Sylfaen" w:cs="Sylfaen"/>
        </w:rPr>
        <w:t>წყარო</w:t>
      </w:r>
      <w:r w:rsidRPr="003D733D">
        <w:t xml:space="preserve">: </w:t>
      </w:r>
      <w:r w:rsidRPr="003D733D">
        <w:rPr>
          <w:rFonts w:ascii="Sylfaen" w:hAnsi="Sylfaen" w:cs="Sylfaen"/>
        </w:rPr>
        <w:t>კონსულტანტი</w:t>
      </w:r>
    </w:p>
    <w:p w14:paraId="3AE97223" w14:textId="77777777" w:rsidR="00F8565C" w:rsidRPr="003D733D" w:rsidRDefault="00F8565C" w:rsidP="00F8565C">
      <w:pPr>
        <w:sectPr w:rsidR="00F8565C" w:rsidRPr="003D733D">
          <w:pgSz w:w="15840" w:h="12240" w:orient="landscape"/>
          <w:pgMar w:top="1417" w:right="1134" w:bottom="1417" w:left="1134" w:header="708" w:footer="708" w:gutter="0"/>
          <w:cols w:space="720"/>
        </w:sectPr>
      </w:pPr>
    </w:p>
    <w:p w14:paraId="011834AA" w14:textId="2856B836" w:rsidR="00F8565C" w:rsidRPr="003D733D" w:rsidRDefault="009E41F2" w:rsidP="009E41F2">
      <w:pPr>
        <w:pStyle w:val="EIAheading2"/>
      </w:pPr>
      <w:bookmarkStart w:id="96" w:name="_Toc529977371"/>
      <w:bookmarkStart w:id="97" w:name="_Toc1581504"/>
      <w:r>
        <w:rPr>
          <w:rFonts w:eastAsiaTheme="majorEastAsia"/>
        </w:rPr>
        <w:lastRenderedPageBreak/>
        <w:t>4.</w:t>
      </w:r>
      <w:r w:rsidR="00EA6DAA">
        <w:rPr>
          <w:rFonts w:ascii="Sylfaen" w:eastAsiaTheme="majorEastAsia" w:hAnsi="Sylfaen"/>
          <w:lang w:val="ka-GE"/>
        </w:rPr>
        <w:t>8</w:t>
      </w:r>
      <w:r w:rsidR="00F8565C" w:rsidRPr="003D733D">
        <w:rPr>
          <w:rFonts w:eastAsiaTheme="majorEastAsia"/>
        </w:rPr>
        <w:tab/>
      </w:r>
      <w:r w:rsidR="00F8565C" w:rsidRPr="003D733D">
        <w:rPr>
          <w:rFonts w:ascii="Sylfaen" w:eastAsiaTheme="majorEastAsia" w:hAnsi="Sylfaen" w:cs="Sylfaen"/>
        </w:rPr>
        <w:t>საირიგაციო</w:t>
      </w:r>
      <w:r w:rsidR="00F8565C" w:rsidRPr="003D733D">
        <w:rPr>
          <w:rFonts w:eastAsiaTheme="majorEastAsia"/>
        </w:rPr>
        <w:t xml:space="preserve"> </w:t>
      </w:r>
      <w:r w:rsidR="00F8565C" w:rsidRPr="003D733D">
        <w:rPr>
          <w:rFonts w:ascii="Sylfaen" w:eastAsiaTheme="majorEastAsia" w:hAnsi="Sylfaen" w:cs="Sylfaen"/>
        </w:rPr>
        <w:t>ნაგებობების</w:t>
      </w:r>
      <w:r w:rsidR="00F8565C" w:rsidRPr="003D733D">
        <w:rPr>
          <w:rFonts w:eastAsiaTheme="majorEastAsia"/>
        </w:rPr>
        <w:t xml:space="preserve"> </w:t>
      </w:r>
      <w:r w:rsidR="00F8565C" w:rsidRPr="003D733D">
        <w:rPr>
          <w:rFonts w:ascii="Sylfaen" w:eastAsiaTheme="majorEastAsia" w:hAnsi="Sylfaen" w:cs="Sylfaen"/>
        </w:rPr>
        <w:t>დაპროექტება</w:t>
      </w:r>
      <w:bookmarkEnd w:id="96"/>
      <w:bookmarkEnd w:id="97"/>
    </w:p>
    <w:p w14:paraId="18A91821" w14:textId="77777777" w:rsidR="00F8565C" w:rsidRPr="003D733D" w:rsidRDefault="00F8565C" w:rsidP="00F8565C">
      <w:pPr>
        <w:rPr>
          <w:rFonts w:eastAsiaTheme="majorEastAsia"/>
        </w:rPr>
      </w:pPr>
    </w:p>
    <w:p w14:paraId="2A0F7093" w14:textId="4170CDAD" w:rsidR="00F8565C" w:rsidRPr="003D733D" w:rsidRDefault="00F8565C" w:rsidP="009E41F2">
      <w:pPr>
        <w:pStyle w:val="Heading3"/>
      </w:pPr>
      <w:bookmarkStart w:id="98" w:name="_Toc529977372"/>
      <w:bookmarkStart w:id="99" w:name="_Toc1581505"/>
      <w:r w:rsidRPr="003D733D">
        <w:t>4.</w:t>
      </w:r>
      <w:r w:rsidR="00EA6DAA">
        <w:rPr>
          <w:rFonts w:ascii="Sylfaen" w:hAnsi="Sylfaen"/>
          <w:lang w:val="ka-GE"/>
        </w:rPr>
        <w:t>8</w:t>
      </w:r>
      <w:r w:rsidRPr="003D733D">
        <w:t>.1</w:t>
      </w:r>
      <w:r w:rsidRPr="003D733D">
        <w:tab/>
      </w:r>
      <w:r w:rsidRPr="003D733D">
        <w:rPr>
          <w:rFonts w:ascii="Sylfaen" w:hAnsi="Sylfaen" w:cs="Sylfaen"/>
        </w:rPr>
        <w:t>არსებული</w:t>
      </w:r>
      <w:r w:rsidRPr="003D733D">
        <w:t xml:space="preserve"> </w:t>
      </w:r>
      <w:r w:rsidRPr="003D733D">
        <w:rPr>
          <w:rFonts w:ascii="Sylfaen" w:hAnsi="Sylfaen" w:cs="Sylfaen"/>
        </w:rPr>
        <w:t>მდგომარეობა</w:t>
      </w:r>
      <w:bookmarkEnd w:id="98"/>
      <w:bookmarkEnd w:id="99"/>
    </w:p>
    <w:p w14:paraId="1C8B8094" w14:textId="77777777" w:rsidR="00F8565C" w:rsidRPr="003D733D" w:rsidRDefault="00F8565C" w:rsidP="009E41F2">
      <w:pPr>
        <w:spacing w:before="120" w:after="120"/>
      </w:pPr>
      <w:r w:rsidRPr="003D733D">
        <w:rPr>
          <w:rFonts w:ascii="Sylfaen" w:hAnsi="Sylfaen" w:cs="Sylfaen"/>
        </w:rPr>
        <w:t>პროექტის</w:t>
      </w:r>
      <w:r w:rsidRPr="003D733D">
        <w:t xml:space="preserve"> </w:t>
      </w:r>
      <w:r w:rsidRPr="003D733D">
        <w:rPr>
          <w:rFonts w:ascii="Sylfaen" w:hAnsi="Sylfaen" w:cs="Sylfaen"/>
        </w:rPr>
        <w:t>ტერიტორიაზე</w:t>
      </w:r>
      <w:r w:rsidRPr="003D733D">
        <w:t xml:space="preserve"> </w:t>
      </w:r>
      <w:r w:rsidRPr="003D733D">
        <w:rPr>
          <w:rFonts w:ascii="Sylfaen" w:hAnsi="Sylfaen" w:cs="Sylfaen"/>
        </w:rPr>
        <w:t>გადის</w:t>
      </w:r>
      <w:r w:rsidRPr="003D733D">
        <w:t xml:space="preserve"> </w:t>
      </w:r>
      <w:r w:rsidRPr="003D733D">
        <w:rPr>
          <w:rFonts w:ascii="Sylfaen" w:hAnsi="Sylfaen" w:cs="Sylfaen"/>
        </w:rPr>
        <w:t>მაგისტრალური</w:t>
      </w:r>
      <w:r w:rsidRPr="003D733D">
        <w:t xml:space="preserve"> </w:t>
      </w:r>
      <w:r w:rsidRPr="003D733D">
        <w:rPr>
          <w:rFonts w:ascii="Sylfaen" w:hAnsi="Sylfaen" w:cs="Sylfaen"/>
        </w:rPr>
        <w:t>სარწყავი</w:t>
      </w:r>
      <w:r w:rsidRPr="003D733D">
        <w:t xml:space="preserve"> </w:t>
      </w:r>
      <w:r w:rsidRPr="003D733D">
        <w:rPr>
          <w:rFonts w:ascii="Sylfaen" w:hAnsi="Sylfaen" w:cs="Sylfaen"/>
        </w:rPr>
        <w:t>არხი</w:t>
      </w:r>
      <w:r w:rsidRPr="003D733D">
        <w:t xml:space="preserve">, </w:t>
      </w:r>
      <w:r w:rsidRPr="003D733D">
        <w:rPr>
          <w:rFonts w:ascii="Sylfaen" w:hAnsi="Sylfaen" w:cs="Sylfaen"/>
        </w:rPr>
        <w:t>რომელიც</w:t>
      </w:r>
      <w:r w:rsidRPr="003D733D">
        <w:t xml:space="preserve"> </w:t>
      </w:r>
      <w:r w:rsidRPr="003D733D">
        <w:rPr>
          <w:rFonts w:ascii="Sylfaen" w:hAnsi="Sylfaen" w:cs="Sylfaen"/>
        </w:rPr>
        <w:t>ბაკურციხის</w:t>
      </w:r>
      <w:r w:rsidRPr="003D733D">
        <w:t xml:space="preserve"> </w:t>
      </w:r>
      <w:r w:rsidRPr="003D733D">
        <w:rPr>
          <w:rFonts w:ascii="Sylfaen" w:hAnsi="Sylfaen" w:cs="Sylfaen"/>
        </w:rPr>
        <w:t>აღმოსავლეთიდან</w:t>
      </w:r>
      <w:r w:rsidRPr="003D733D">
        <w:t xml:space="preserve"> </w:t>
      </w:r>
      <w:r w:rsidRPr="003D733D">
        <w:rPr>
          <w:rFonts w:ascii="Sylfaen" w:hAnsi="Sylfaen" w:cs="Sylfaen"/>
        </w:rPr>
        <w:t>წნორის</w:t>
      </w:r>
      <w:r w:rsidRPr="003D733D">
        <w:t xml:space="preserve"> </w:t>
      </w:r>
      <w:r w:rsidRPr="003D733D">
        <w:rPr>
          <w:rFonts w:ascii="Sylfaen" w:hAnsi="Sylfaen" w:cs="Sylfaen"/>
        </w:rPr>
        <w:t>სამხრეთ</w:t>
      </w:r>
      <w:r w:rsidRPr="003D733D">
        <w:t>-</w:t>
      </w:r>
      <w:r w:rsidRPr="003D733D">
        <w:rPr>
          <w:rFonts w:ascii="Sylfaen" w:hAnsi="Sylfaen" w:cs="Sylfaen"/>
        </w:rPr>
        <w:t>აღმოსავლეთისკენ</w:t>
      </w:r>
      <w:r w:rsidRPr="003D733D">
        <w:t xml:space="preserve"> </w:t>
      </w:r>
      <w:r w:rsidRPr="003D733D">
        <w:rPr>
          <w:rFonts w:ascii="Sylfaen" w:hAnsi="Sylfaen" w:cs="Sylfaen"/>
        </w:rPr>
        <w:t>არის</w:t>
      </w:r>
      <w:r w:rsidRPr="003D733D">
        <w:t xml:space="preserve"> </w:t>
      </w:r>
      <w:r w:rsidRPr="003D733D">
        <w:rPr>
          <w:rFonts w:ascii="Sylfaen" w:hAnsi="Sylfaen" w:cs="Sylfaen"/>
        </w:rPr>
        <w:t>დამხრობილი</w:t>
      </w:r>
      <w:r w:rsidRPr="003D733D">
        <w:t>.</w:t>
      </w:r>
    </w:p>
    <w:p w14:paraId="2ED068D9" w14:textId="77777777" w:rsidR="00F8565C" w:rsidRPr="003D733D" w:rsidRDefault="00F8565C" w:rsidP="009E41F2">
      <w:pPr>
        <w:spacing w:before="120" w:after="120"/>
      </w:pPr>
      <w:r w:rsidRPr="003D733D">
        <w:rPr>
          <w:rFonts w:ascii="Sylfaen" w:hAnsi="Sylfaen" w:cs="Sylfaen"/>
        </w:rPr>
        <w:t>მაგისტრალური</w:t>
      </w:r>
      <w:r w:rsidRPr="003D733D">
        <w:t xml:space="preserve"> </w:t>
      </w:r>
      <w:r w:rsidRPr="003D733D">
        <w:rPr>
          <w:rFonts w:ascii="Sylfaen" w:hAnsi="Sylfaen" w:cs="Sylfaen"/>
        </w:rPr>
        <w:t>არხი</w:t>
      </w:r>
      <w:r w:rsidRPr="003D733D">
        <w:t xml:space="preserve"> </w:t>
      </w:r>
      <w:r w:rsidRPr="003D733D">
        <w:rPr>
          <w:rFonts w:ascii="Sylfaen" w:hAnsi="Sylfaen" w:cs="Sylfaen"/>
        </w:rPr>
        <w:t>დაკავშირებულია</w:t>
      </w:r>
      <w:r w:rsidRPr="003D733D">
        <w:t xml:space="preserve"> 34 </w:t>
      </w:r>
      <w:r w:rsidRPr="003D733D">
        <w:rPr>
          <w:rFonts w:ascii="Sylfaen" w:hAnsi="Sylfaen" w:cs="Sylfaen"/>
        </w:rPr>
        <w:t>გამანაწილებელ</w:t>
      </w:r>
      <w:r w:rsidRPr="003D733D">
        <w:t xml:space="preserve"> </w:t>
      </w:r>
      <w:r w:rsidRPr="003D733D">
        <w:rPr>
          <w:rFonts w:ascii="Sylfaen" w:hAnsi="Sylfaen" w:cs="Sylfaen"/>
        </w:rPr>
        <w:t>არხთან</w:t>
      </w:r>
      <w:r w:rsidRPr="003D733D">
        <w:t xml:space="preserve">, </w:t>
      </w:r>
      <w:r w:rsidRPr="003D733D">
        <w:rPr>
          <w:rFonts w:ascii="Sylfaen" w:hAnsi="Sylfaen" w:cs="Sylfaen"/>
        </w:rPr>
        <w:t>რომლებიც</w:t>
      </w:r>
      <w:r w:rsidRPr="003D733D">
        <w:t xml:space="preserve"> </w:t>
      </w:r>
      <w:r w:rsidRPr="003D733D">
        <w:rPr>
          <w:rFonts w:ascii="Sylfaen" w:hAnsi="Sylfaen" w:cs="Sylfaen"/>
        </w:rPr>
        <w:t>უზრუნველყოფენ</w:t>
      </w:r>
      <w:r w:rsidRPr="003D733D">
        <w:t xml:space="preserve"> </w:t>
      </w:r>
      <w:r w:rsidRPr="003D733D">
        <w:rPr>
          <w:rFonts w:ascii="Sylfaen" w:hAnsi="Sylfaen" w:cs="Sylfaen"/>
        </w:rPr>
        <w:t>არხის</w:t>
      </w:r>
      <w:r w:rsidRPr="003D733D">
        <w:t xml:space="preserve"> </w:t>
      </w:r>
      <w:r w:rsidRPr="003D733D">
        <w:rPr>
          <w:rFonts w:ascii="Sylfaen" w:hAnsi="Sylfaen" w:cs="Sylfaen"/>
        </w:rPr>
        <w:t>აღმოსავლეთ</w:t>
      </w:r>
      <w:r w:rsidRPr="003D733D">
        <w:t xml:space="preserve"> </w:t>
      </w:r>
      <w:r w:rsidRPr="003D733D">
        <w:rPr>
          <w:rFonts w:ascii="Sylfaen" w:hAnsi="Sylfaen" w:cs="Sylfaen"/>
        </w:rPr>
        <w:t>მხარეს</w:t>
      </w:r>
      <w:r w:rsidRPr="003D733D">
        <w:t xml:space="preserve"> </w:t>
      </w:r>
      <w:r w:rsidRPr="003D733D">
        <w:rPr>
          <w:rFonts w:ascii="Sylfaen" w:hAnsi="Sylfaen" w:cs="Sylfaen"/>
        </w:rPr>
        <w:t>მდებარე</w:t>
      </w:r>
      <w:r w:rsidRPr="003D733D">
        <w:t xml:space="preserve"> </w:t>
      </w:r>
      <w:r w:rsidRPr="003D733D">
        <w:rPr>
          <w:rFonts w:ascii="Sylfaen" w:hAnsi="Sylfaen" w:cs="Sylfaen"/>
        </w:rPr>
        <w:t>სასოფლო</w:t>
      </w:r>
      <w:r w:rsidRPr="003D733D">
        <w:t>-</w:t>
      </w:r>
      <w:r w:rsidRPr="003D733D">
        <w:rPr>
          <w:rFonts w:ascii="Sylfaen" w:hAnsi="Sylfaen" w:cs="Sylfaen"/>
        </w:rPr>
        <w:t>სამეურნეო</w:t>
      </w:r>
      <w:r w:rsidRPr="003D733D">
        <w:t xml:space="preserve"> </w:t>
      </w:r>
      <w:r w:rsidRPr="003D733D">
        <w:rPr>
          <w:rFonts w:ascii="Sylfaen" w:hAnsi="Sylfaen" w:cs="Sylfaen"/>
        </w:rPr>
        <w:t>სავარგულების</w:t>
      </w:r>
      <w:r w:rsidRPr="003D733D">
        <w:t xml:space="preserve"> </w:t>
      </w:r>
      <w:r w:rsidRPr="003D733D">
        <w:rPr>
          <w:rFonts w:ascii="Sylfaen" w:hAnsi="Sylfaen" w:cs="Sylfaen"/>
        </w:rPr>
        <w:t>მორწყვას</w:t>
      </w:r>
      <w:r w:rsidRPr="003D733D">
        <w:t xml:space="preserve">. </w:t>
      </w:r>
    </w:p>
    <w:p w14:paraId="6B68A874" w14:textId="77777777" w:rsidR="00F8565C" w:rsidRPr="003D733D" w:rsidRDefault="00F8565C" w:rsidP="009E41F2">
      <w:pPr>
        <w:spacing w:before="120" w:after="120"/>
      </w:pPr>
      <w:r w:rsidRPr="003D733D">
        <w:rPr>
          <w:rFonts w:ascii="Sylfaen" w:hAnsi="Sylfaen" w:cs="Sylfaen"/>
        </w:rPr>
        <w:t>არსებულ</w:t>
      </w:r>
      <w:r w:rsidRPr="003D733D">
        <w:t xml:space="preserve"> </w:t>
      </w:r>
      <w:r w:rsidRPr="003D733D">
        <w:rPr>
          <w:rFonts w:ascii="Sylfaen" w:hAnsi="Sylfaen" w:cs="Sylfaen"/>
        </w:rPr>
        <w:t>სარწყავ</w:t>
      </w:r>
      <w:r w:rsidRPr="003D733D">
        <w:t xml:space="preserve"> </w:t>
      </w:r>
      <w:r w:rsidRPr="003D733D">
        <w:rPr>
          <w:rFonts w:ascii="Sylfaen" w:hAnsi="Sylfaen" w:cs="Sylfaen"/>
        </w:rPr>
        <w:t>სისტემაში</w:t>
      </w:r>
      <w:r w:rsidRPr="003D733D">
        <w:t xml:space="preserve"> </w:t>
      </w:r>
      <w:r w:rsidRPr="003D733D">
        <w:rPr>
          <w:rFonts w:ascii="Sylfaen" w:hAnsi="Sylfaen" w:cs="Sylfaen"/>
        </w:rPr>
        <w:t>წყლის</w:t>
      </w:r>
      <w:r w:rsidRPr="003D733D">
        <w:t xml:space="preserve"> </w:t>
      </w:r>
      <w:r w:rsidRPr="003D733D">
        <w:rPr>
          <w:rFonts w:ascii="Sylfaen" w:hAnsi="Sylfaen" w:cs="Sylfaen"/>
        </w:rPr>
        <w:t>ნაკადი</w:t>
      </w:r>
      <w:r w:rsidRPr="003D733D">
        <w:t xml:space="preserve"> </w:t>
      </w:r>
      <w:r w:rsidRPr="003D733D">
        <w:rPr>
          <w:rFonts w:ascii="Sylfaen" w:hAnsi="Sylfaen" w:cs="Sylfaen"/>
        </w:rPr>
        <w:t>რეგულირდება</w:t>
      </w:r>
      <w:r w:rsidRPr="003D733D">
        <w:t xml:space="preserve"> </w:t>
      </w:r>
      <w:r w:rsidRPr="003D733D">
        <w:rPr>
          <w:rFonts w:ascii="Sylfaen" w:hAnsi="Sylfaen" w:cs="Sylfaen"/>
        </w:rPr>
        <w:t>არხში</w:t>
      </w:r>
      <w:r w:rsidRPr="003D733D">
        <w:t xml:space="preserve"> </w:t>
      </w:r>
      <w:r w:rsidRPr="003D733D">
        <w:rPr>
          <w:rFonts w:ascii="Sylfaen" w:hAnsi="Sylfaen" w:cs="Sylfaen"/>
        </w:rPr>
        <w:t>დამონტაჟებული</w:t>
      </w:r>
      <w:r w:rsidRPr="003D733D">
        <w:t xml:space="preserve"> </w:t>
      </w:r>
      <w:r w:rsidRPr="003D733D">
        <w:rPr>
          <w:rFonts w:ascii="Sylfaen" w:hAnsi="Sylfaen" w:cs="Sylfaen"/>
        </w:rPr>
        <w:t>ბრტყელი</w:t>
      </w:r>
      <w:r w:rsidRPr="003D733D">
        <w:t xml:space="preserve"> </w:t>
      </w:r>
      <w:r w:rsidRPr="003D733D">
        <w:rPr>
          <w:rFonts w:ascii="Sylfaen" w:hAnsi="Sylfaen" w:cs="Sylfaen"/>
        </w:rPr>
        <w:t>ფარით</w:t>
      </w:r>
      <w:r w:rsidRPr="003D733D">
        <w:t xml:space="preserve">. </w:t>
      </w:r>
      <w:r w:rsidRPr="003D733D">
        <w:rPr>
          <w:rFonts w:ascii="Sylfaen" w:hAnsi="Sylfaen" w:cs="Sylfaen"/>
        </w:rPr>
        <w:t>არხის</w:t>
      </w:r>
      <w:r w:rsidRPr="003D733D">
        <w:t xml:space="preserve"> </w:t>
      </w:r>
      <w:r w:rsidRPr="003D733D">
        <w:rPr>
          <w:rFonts w:ascii="Sylfaen" w:hAnsi="Sylfaen" w:cs="Sylfaen"/>
        </w:rPr>
        <w:t>სამომსახურებო</w:t>
      </w:r>
      <w:r w:rsidRPr="003D733D">
        <w:t xml:space="preserve"> </w:t>
      </w:r>
      <w:r w:rsidRPr="003D733D">
        <w:rPr>
          <w:rFonts w:ascii="Sylfaen" w:hAnsi="Sylfaen" w:cs="Sylfaen"/>
        </w:rPr>
        <w:t>გზის</w:t>
      </w:r>
      <w:r w:rsidRPr="003D733D">
        <w:t xml:space="preserve"> </w:t>
      </w:r>
      <w:r w:rsidRPr="003D733D">
        <w:rPr>
          <w:rFonts w:ascii="Sylfaen" w:hAnsi="Sylfaen" w:cs="Sylfaen"/>
        </w:rPr>
        <w:t>მილით</w:t>
      </w:r>
      <w:r w:rsidRPr="003D733D">
        <w:t xml:space="preserve"> </w:t>
      </w:r>
      <w:r w:rsidRPr="003D733D">
        <w:rPr>
          <w:rFonts w:ascii="Sylfaen" w:hAnsi="Sylfaen" w:cs="Sylfaen"/>
        </w:rPr>
        <w:t>გადაკვეთის</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წყალი</w:t>
      </w:r>
      <w:r w:rsidRPr="003D733D">
        <w:t xml:space="preserve"> </w:t>
      </w:r>
      <w:r w:rsidRPr="003D733D">
        <w:rPr>
          <w:rFonts w:ascii="Sylfaen" w:hAnsi="Sylfaen" w:cs="Sylfaen"/>
        </w:rPr>
        <w:t>წყალსაშვი</w:t>
      </w:r>
      <w:r w:rsidRPr="003D733D">
        <w:t xml:space="preserve"> </w:t>
      </w:r>
      <w:r w:rsidRPr="003D733D">
        <w:rPr>
          <w:rFonts w:ascii="Sylfaen" w:hAnsi="Sylfaen" w:cs="Sylfaen"/>
        </w:rPr>
        <w:t>ლუკის</w:t>
      </w:r>
      <w:r w:rsidRPr="003D733D">
        <w:t xml:space="preserve"> </w:t>
      </w:r>
      <w:r w:rsidRPr="003D733D">
        <w:rPr>
          <w:rFonts w:ascii="Sylfaen" w:hAnsi="Sylfaen" w:cs="Sylfaen"/>
        </w:rPr>
        <w:t>გავლით</w:t>
      </w:r>
      <w:r w:rsidRPr="003D733D">
        <w:t xml:space="preserve"> </w:t>
      </w:r>
      <w:r w:rsidRPr="003D733D">
        <w:rPr>
          <w:rFonts w:ascii="Sylfaen" w:hAnsi="Sylfaen" w:cs="Sylfaen"/>
        </w:rPr>
        <w:t>მიედინება</w:t>
      </w:r>
      <w:r w:rsidRPr="003D733D">
        <w:t xml:space="preserve"> </w:t>
      </w:r>
      <w:r w:rsidRPr="003D733D">
        <w:rPr>
          <w:rFonts w:ascii="Sylfaen" w:hAnsi="Sylfaen" w:cs="Sylfaen"/>
        </w:rPr>
        <w:t>სასოფლო</w:t>
      </w:r>
      <w:r w:rsidRPr="003D733D">
        <w:t>-</w:t>
      </w:r>
      <w:r w:rsidRPr="003D733D">
        <w:rPr>
          <w:rFonts w:ascii="Sylfaen" w:hAnsi="Sylfaen" w:cs="Sylfaen"/>
        </w:rPr>
        <w:t>სამეურნეო</w:t>
      </w:r>
      <w:r w:rsidRPr="003D733D">
        <w:t xml:space="preserve"> </w:t>
      </w:r>
      <w:r w:rsidRPr="003D733D">
        <w:rPr>
          <w:rFonts w:ascii="Sylfaen" w:hAnsi="Sylfaen" w:cs="Sylfaen"/>
        </w:rPr>
        <w:t>ტერიტორიებზე</w:t>
      </w:r>
      <w:r w:rsidRPr="003D733D">
        <w:t>.</w:t>
      </w:r>
    </w:p>
    <w:p w14:paraId="29135E65" w14:textId="77777777" w:rsidR="00F8565C" w:rsidRPr="003D733D" w:rsidRDefault="00F8565C" w:rsidP="00F8565C"/>
    <w:p w14:paraId="6719084E" w14:textId="78D694DC" w:rsidR="00F8565C" w:rsidRPr="003D733D" w:rsidRDefault="00F8565C" w:rsidP="009E41F2">
      <w:pPr>
        <w:pStyle w:val="Heading3"/>
      </w:pPr>
      <w:bookmarkStart w:id="100" w:name="_Toc529977373"/>
      <w:bookmarkStart w:id="101" w:name="_Toc1581506"/>
      <w:r w:rsidRPr="003D733D">
        <w:t>4.</w:t>
      </w:r>
      <w:r w:rsidR="00EA6DAA">
        <w:rPr>
          <w:rFonts w:ascii="Sylfaen" w:hAnsi="Sylfaen"/>
          <w:lang w:val="ka-GE"/>
        </w:rPr>
        <w:t>8</w:t>
      </w:r>
      <w:r w:rsidRPr="003D733D">
        <w:t>.2</w:t>
      </w:r>
      <w:r w:rsidRPr="003D733D">
        <w:tab/>
      </w:r>
      <w:r w:rsidRPr="003D733D">
        <w:rPr>
          <w:rFonts w:ascii="Sylfaen" w:hAnsi="Sylfaen" w:cs="Sylfaen"/>
        </w:rPr>
        <w:t>სამომავლო</w:t>
      </w:r>
      <w:r w:rsidRPr="003D733D">
        <w:t xml:space="preserve"> </w:t>
      </w:r>
      <w:r w:rsidRPr="003D733D">
        <w:rPr>
          <w:rFonts w:ascii="Sylfaen" w:hAnsi="Sylfaen" w:cs="Sylfaen"/>
        </w:rPr>
        <w:t>მდგომარეობა</w:t>
      </w:r>
      <w:bookmarkEnd w:id="100"/>
      <w:bookmarkEnd w:id="101"/>
    </w:p>
    <w:p w14:paraId="46607A58" w14:textId="77777777" w:rsidR="00F8565C" w:rsidRPr="003D733D" w:rsidRDefault="00F8565C" w:rsidP="00F8565C">
      <w:r w:rsidRPr="003D733D">
        <w:rPr>
          <w:rFonts w:ascii="Sylfaen" w:hAnsi="Sylfaen" w:cs="Sylfaen"/>
        </w:rPr>
        <w:t>საპროექტო</w:t>
      </w:r>
      <w:r w:rsidRPr="003D733D">
        <w:t xml:space="preserve"> </w:t>
      </w:r>
      <w:r w:rsidRPr="003D733D">
        <w:rPr>
          <w:rFonts w:ascii="Sylfaen" w:hAnsi="Sylfaen" w:cs="Sylfaen"/>
        </w:rPr>
        <w:t>გზა</w:t>
      </w:r>
      <w:r w:rsidRPr="003D733D">
        <w:t xml:space="preserve"> </w:t>
      </w:r>
      <w:r w:rsidRPr="003D733D">
        <w:rPr>
          <w:rFonts w:ascii="Sylfaen" w:hAnsi="Sylfaen" w:cs="Sylfaen"/>
        </w:rPr>
        <w:t>კმ</w:t>
      </w:r>
      <w:r w:rsidRPr="003D733D">
        <w:t xml:space="preserve"> 1.9 </w:t>
      </w:r>
      <w:r w:rsidRPr="003D733D">
        <w:rPr>
          <w:rFonts w:ascii="Sylfaen" w:hAnsi="Sylfaen" w:cs="Sylfaen"/>
        </w:rPr>
        <w:t>ნიშნულთან</w:t>
      </w:r>
      <w:r w:rsidRPr="003D733D">
        <w:t xml:space="preserve"> </w:t>
      </w:r>
      <w:r w:rsidRPr="003D733D">
        <w:rPr>
          <w:rFonts w:ascii="Sylfaen" w:hAnsi="Sylfaen" w:cs="Sylfaen"/>
        </w:rPr>
        <w:t>გადაკვეთს</w:t>
      </w:r>
      <w:r w:rsidRPr="003D733D">
        <w:t xml:space="preserve"> </w:t>
      </w:r>
      <w:r w:rsidRPr="003D733D">
        <w:rPr>
          <w:rFonts w:ascii="Sylfaen" w:hAnsi="Sylfaen" w:cs="Sylfaen"/>
        </w:rPr>
        <w:t>მაგისტრალურ</w:t>
      </w:r>
      <w:r w:rsidRPr="003D733D">
        <w:t xml:space="preserve"> </w:t>
      </w:r>
      <w:r w:rsidRPr="003D733D">
        <w:rPr>
          <w:rFonts w:ascii="Sylfaen" w:hAnsi="Sylfaen" w:cs="Sylfaen"/>
        </w:rPr>
        <w:t>არხს</w:t>
      </w:r>
      <w:r w:rsidRPr="003D733D">
        <w:t xml:space="preserve">, </w:t>
      </w:r>
      <w:r w:rsidRPr="003D733D">
        <w:rPr>
          <w:rFonts w:ascii="Sylfaen" w:hAnsi="Sylfaen" w:cs="Sylfaen"/>
        </w:rPr>
        <w:t>რის</w:t>
      </w:r>
      <w:r w:rsidRPr="003D733D">
        <w:t xml:space="preserve"> </w:t>
      </w:r>
      <w:r w:rsidRPr="003D733D">
        <w:rPr>
          <w:rFonts w:ascii="Sylfaen" w:hAnsi="Sylfaen" w:cs="Sylfaen"/>
        </w:rPr>
        <w:t>შემდეგაც</w:t>
      </w:r>
      <w:r w:rsidRPr="003D733D">
        <w:t xml:space="preserve"> 13 </w:t>
      </w:r>
      <w:r w:rsidRPr="003D733D">
        <w:rPr>
          <w:rFonts w:ascii="Sylfaen" w:hAnsi="Sylfaen" w:cs="Sylfaen"/>
        </w:rPr>
        <w:t>კმ</w:t>
      </w:r>
      <w:r w:rsidRPr="003D733D">
        <w:t xml:space="preserve"> </w:t>
      </w:r>
      <w:r w:rsidRPr="003D733D">
        <w:rPr>
          <w:rFonts w:ascii="Sylfaen" w:hAnsi="Sylfaen" w:cs="Sylfaen"/>
        </w:rPr>
        <w:t>მანძილზე</w:t>
      </w:r>
      <w:r w:rsidRPr="003D733D">
        <w:t xml:space="preserve"> </w:t>
      </w:r>
      <w:r w:rsidRPr="003D733D">
        <w:rPr>
          <w:rFonts w:ascii="Sylfaen" w:hAnsi="Sylfaen" w:cs="Sylfaen"/>
        </w:rPr>
        <w:t>მას</w:t>
      </w:r>
      <w:r w:rsidRPr="003D733D">
        <w:t xml:space="preserve"> </w:t>
      </w:r>
      <w:r w:rsidRPr="003D733D">
        <w:rPr>
          <w:rFonts w:ascii="Sylfaen" w:hAnsi="Sylfaen" w:cs="Sylfaen"/>
        </w:rPr>
        <w:t>თითქმის</w:t>
      </w:r>
      <w:r w:rsidRPr="003D733D">
        <w:t xml:space="preserve"> </w:t>
      </w:r>
      <w:r w:rsidRPr="003D733D">
        <w:rPr>
          <w:rFonts w:ascii="Sylfaen" w:hAnsi="Sylfaen" w:cs="Sylfaen"/>
        </w:rPr>
        <w:t>პარალელურად</w:t>
      </w:r>
      <w:r w:rsidRPr="003D733D">
        <w:t xml:space="preserve"> </w:t>
      </w:r>
      <w:r w:rsidRPr="003D733D">
        <w:rPr>
          <w:rFonts w:ascii="Sylfaen" w:hAnsi="Sylfaen" w:cs="Sylfaen"/>
        </w:rPr>
        <w:t>მიუყვება</w:t>
      </w:r>
      <w:r w:rsidRPr="003D733D">
        <w:t xml:space="preserve">. </w:t>
      </w:r>
    </w:p>
    <w:p w14:paraId="7E424BEB" w14:textId="77777777" w:rsidR="00F8565C" w:rsidRPr="003D733D" w:rsidRDefault="00F8565C" w:rsidP="00F8565C">
      <w:r w:rsidRPr="003D733D">
        <w:rPr>
          <w:rFonts w:ascii="Sylfaen" w:hAnsi="Sylfaen" w:cs="Sylfaen"/>
        </w:rPr>
        <w:t>მომდევნო</w:t>
      </w:r>
      <w:r w:rsidRPr="003D733D">
        <w:t xml:space="preserve"> </w:t>
      </w:r>
      <w:r w:rsidRPr="003D733D">
        <w:rPr>
          <w:rFonts w:ascii="Sylfaen" w:hAnsi="Sylfaen" w:cs="Sylfaen"/>
        </w:rPr>
        <w:t>ცხრილში</w:t>
      </w:r>
      <w:r w:rsidRPr="003D733D">
        <w:t xml:space="preserve"> </w:t>
      </w:r>
      <w:r w:rsidRPr="003D733D">
        <w:rPr>
          <w:rFonts w:ascii="Sylfaen" w:hAnsi="Sylfaen" w:cs="Sylfaen"/>
        </w:rPr>
        <w:t>მოცემულია</w:t>
      </w:r>
      <w:r w:rsidRPr="003D733D">
        <w:t xml:space="preserve"> </w:t>
      </w:r>
      <w:r w:rsidRPr="003D733D">
        <w:rPr>
          <w:rFonts w:ascii="Sylfaen" w:hAnsi="Sylfaen" w:cs="Sylfaen"/>
        </w:rPr>
        <w:t>ზემოაღნიშნული</w:t>
      </w:r>
      <w:r w:rsidRPr="003D733D">
        <w:t xml:space="preserve"> </w:t>
      </w:r>
      <w:r w:rsidRPr="003D733D">
        <w:rPr>
          <w:rFonts w:ascii="Sylfaen" w:hAnsi="Sylfaen" w:cs="Sylfaen"/>
        </w:rPr>
        <w:t>გამანაწილებელი</w:t>
      </w:r>
      <w:r w:rsidRPr="003D733D">
        <w:t xml:space="preserve"> </w:t>
      </w:r>
      <w:r w:rsidRPr="003D733D">
        <w:rPr>
          <w:rFonts w:ascii="Sylfaen" w:hAnsi="Sylfaen" w:cs="Sylfaen"/>
        </w:rPr>
        <w:t>არხების</w:t>
      </w:r>
      <w:r w:rsidRPr="003D733D">
        <w:t xml:space="preserve"> </w:t>
      </w:r>
      <w:r w:rsidRPr="003D733D">
        <w:rPr>
          <w:rFonts w:ascii="Sylfaen" w:hAnsi="Sylfaen" w:cs="Sylfaen"/>
        </w:rPr>
        <w:t>საპროექტო</w:t>
      </w:r>
      <w:r w:rsidRPr="003D733D">
        <w:t xml:space="preserve"> </w:t>
      </w:r>
      <w:r w:rsidRPr="003D733D">
        <w:rPr>
          <w:rFonts w:ascii="Sylfaen" w:hAnsi="Sylfaen" w:cs="Sylfaen"/>
        </w:rPr>
        <w:t>გზით</w:t>
      </w:r>
      <w:r w:rsidRPr="003D733D">
        <w:t xml:space="preserve"> </w:t>
      </w:r>
      <w:r w:rsidRPr="003D733D">
        <w:rPr>
          <w:rFonts w:ascii="Sylfaen" w:hAnsi="Sylfaen" w:cs="Sylfaen"/>
        </w:rPr>
        <w:t>გადაკვეთის</w:t>
      </w:r>
      <w:r w:rsidRPr="003D733D">
        <w:t xml:space="preserve"> </w:t>
      </w:r>
      <w:r w:rsidRPr="003D733D">
        <w:rPr>
          <w:rFonts w:ascii="Sylfaen" w:hAnsi="Sylfaen" w:cs="Sylfaen"/>
        </w:rPr>
        <w:t>ადგილები</w:t>
      </w:r>
      <w:r w:rsidRPr="003D733D">
        <w:t>.</w:t>
      </w:r>
    </w:p>
    <w:p w14:paraId="5067814A" w14:textId="77777777" w:rsidR="00F8565C" w:rsidRPr="003D733D" w:rsidRDefault="00F8565C" w:rsidP="00F8565C"/>
    <w:p w14:paraId="102C0540" w14:textId="1B5EC57E" w:rsidR="00F8565C" w:rsidRPr="003D733D" w:rsidRDefault="00F8565C" w:rsidP="00F8565C">
      <w:r w:rsidRPr="003D733D">
        <w:rPr>
          <w:rFonts w:ascii="Sylfaen" w:hAnsi="Sylfaen" w:cs="Sylfaen"/>
        </w:rPr>
        <w:t>ცხრილი</w:t>
      </w:r>
      <w:r w:rsidRPr="003D733D">
        <w:t xml:space="preserve"> 4.</w:t>
      </w:r>
      <w:r w:rsidR="00EA6DAA">
        <w:rPr>
          <w:rFonts w:ascii="Sylfaen" w:hAnsi="Sylfaen"/>
          <w:lang w:val="ka-GE"/>
        </w:rPr>
        <w:t>8</w:t>
      </w:r>
      <w:r w:rsidR="009E41F2">
        <w:t>.2-1</w:t>
      </w:r>
      <w:r w:rsidRPr="003D733D">
        <w:t>.</w:t>
      </w:r>
      <w:r w:rsidRPr="003D733D">
        <w:tab/>
      </w:r>
      <w:r w:rsidRPr="003D733D">
        <w:rPr>
          <w:rFonts w:ascii="Sylfaen" w:hAnsi="Sylfaen" w:cs="Sylfaen"/>
        </w:rPr>
        <w:t>საპროექტო</w:t>
      </w:r>
      <w:r w:rsidRPr="003D733D">
        <w:t xml:space="preserve"> </w:t>
      </w:r>
      <w:r w:rsidRPr="003D733D">
        <w:rPr>
          <w:rFonts w:ascii="Sylfaen" w:hAnsi="Sylfaen" w:cs="Sylfaen"/>
        </w:rPr>
        <w:t>გზის</w:t>
      </w:r>
      <w:r w:rsidRPr="003D733D">
        <w:t xml:space="preserve"> </w:t>
      </w:r>
      <w:r w:rsidRPr="003D733D">
        <w:rPr>
          <w:rFonts w:ascii="Sylfaen" w:hAnsi="Sylfaen" w:cs="Sylfaen"/>
        </w:rPr>
        <w:t>გადამკვეთი</w:t>
      </w:r>
      <w:r w:rsidRPr="003D733D">
        <w:t xml:space="preserve"> </w:t>
      </w:r>
      <w:r w:rsidRPr="003D733D">
        <w:rPr>
          <w:rFonts w:ascii="Sylfaen" w:hAnsi="Sylfaen" w:cs="Sylfaen"/>
        </w:rPr>
        <w:t>გამანაწილებელი</w:t>
      </w:r>
      <w:r w:rsidRPr="003D733D">
        <w:t xml:space="preserve"> </w:t>
      </w:r>
      <w:r w:rsidRPr="003D733D">
        <w:rPr>
          <w:rFonts w:ascii="Sylfaen" w:hAnsi="Sylfaen" w:cs="Sylfaen"/>
        </w:rPr>
        <w:t>სარწყავი</w:t>
      </w:r>
      <w:r w:rsidRPr="003D733D">
        <w:t xml:space="preserve"> </w:t>
      </w:r>
      <w:r w:rsidRPr="003D733D">
        <w:rPr>
          <w:rFonts w:ascii="Sylfaen" w:hAnsi="Sylfaen" w:cs="Sylfaen"/>
        </w:rPr>
        <w:t>არხები</w:t>
      </w:r>
    </w:p>
    <w:tbl>
      <w:tblPr>
        <w:tblW w:w="0" w:type="dxa"/>
        <w:jc w:val="center"/>
        <w:tblLayout w:type="fixed"/>
        <w:tblLook w:val="04A0" w:firstRow="1" w:lastRow="0" w:firstColumn="1" w:lastColumn="0" w:noHBand="0" w:noVBand="1"/>
      </w:tblPr>
      <w:tblGrid>
        <w:gridCol w:w="715"/>
        <w:gridCol w:w="1890"/>
        <w:gridCol w:w="475"/>
        <w:gridCol w:w="610"/>
        <w:gridCol w:w="1975"/>
      </w:tblGrid>
      <w:tr w:rsidR="00F8565C" w:rsidRPr="003D733D" w14:paraId="0733A4FC" w14:textId="77777777" w:rsidTr="00F8565C">
        <w:trPr>
          <w:tblHeader/>
          <w:jc w:val="center"/>
        </w:trPr>
        <w:tc>
          <w:tcPr>
            <w:tcW w:w="71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3D22FE3" w14:textId="77777777" w:rsidR="00F8565C" w:rsidRPr="003D733D" w:rsidRDefault="00F8565C" w:rsidP="00F8565C">
            <w:r w:rsidRPr="003D733D">
              <w:t>№</w:t>
            </w:r>
          </w:p>
        </w:tc>
        <w:tc>
          <w:tcPr>
            <w:tcW w:w="189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183BD74" w14:textId="77777777" w:rsidR="00F8565C" w:rsidRPr="003D733D" w:rsidRDefault="00F8565C" w:rsidP="00F8565C">
            <w:r w:rsidRPr="003D733D">
              <w:rPr>
                <w:rFonts w:ascii="Sylfaen" w:hAnsi="Sylfaen" w:cs="Sylfaen"/>
              </w:rPr>
              <w:t>გზის</w:t>
            </w:r>
            <w:r w:rsidRPr="003D733D">
              <w:t xml:space="preserve"> </w:t>
            </w:r>
            <w:r w:rsidRPr="003D733D">
              <w:rPr>
                <w:rFonts w:ascii="Sylfaen" w:hAnsi="Sylfaen" w:cs="Sylfaen"/>
              </w:rPr>
              <w:t>პიკეტაჟი</w:t>
            </w:r>
          </w:p>
          <w:p w14:paraId="2607E881" w14:textId="77777777" w:rsidR="00F8565C" w:rsidRPr="003D733D" w:rsidRDefault="00F8565C" w:rsidP="00F8565C">
            <w:r w:rsidRPr="003D733D">
              <w:t>[</w:t>
            </w:r>
            <w:r w:rsidRPr="003D733D">
              <w:rPr>
                <w:rFonts w:ascii="Sylfaen" w:hAnsi="Sylfaen" w:cs="Sylfaen"/>
              </w:rPr>
              <w:t>მ</w:t>
            </w:r>
            <w:r w:rsidRPr="003D733D">
              <w:t>]</w:t>
            </w:r>
          </w:p>
        </w:tc>
        <w:tc>
          <w:tcPr>
            <w:tcW w:w="475" w:type="dxa"/>
            <w:tcBorders>
              <w:top w:val="nil"/>
              <w:left w:val="single" w:sz="4" w:space="0" w:color="auto"/>
              <w:bottom w:val="nil"/>
              <w:right w:val="single" w:sz="4" w:space="0" w:color="auto"/>
            </w:tcBorders>
            <w:vAlign w:val="center"/>
          </w:tcPr>
          <w:p w14:paraId="186F5CC8" w14:textId="77777777" w:rsidR="00F8565C" w:rsidRPr="003D733D" w:rsidRDefault="00F8565C" w:rsidP="00F8565C"/>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34715D0" w14:textId="77777777" w:rsidR="00F8565C" w:rsidRPr="003D733D" w:rsidRDefault="00F8565C" w:rsidP="00F8565C">
            <w:r w:rsidRPr="003D733D">
              <w:t>№</w:t>
            </w:r>
          </w:p>
        </w:tc>
        <w:tc>
          <w:tcPr>
            <w:tcW w:w="19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1C8608" w14:textId="77777777" w:rsidR="00F8565C" w:rsidRPr="003D733D" w:rsidRDefault="00F8565C" w:rsidP="00F8565C">
            <w:r w:rsidRPr="003D733D">
              <w:rPr>
                <w:rFonts w:ascii="Sylfaen" w:hAnsi="Sylfaen" w:cs="Sylfaen"/>
              </w:rPr>
              <w:t>გზის</w:t>
            </w:r>
            <w:r w:rsidRPr="003D733D">
              <w:t xml:space="preserve"> </w:t>
            </w:r>
            <w:r w:rsidRPr="003D733D">
              <w:rPr>
                <w:rFonts w:ascii="Sylfaen" w:hAnsi="Sylfaen" w:cs="Sylfaen"/>
              </w:rPr>
              <w:t>პიკეტაჟი</w:t>
            </w:r>
          </w:p>
          <w:p w14:paraId="364EC6F6" w14:textId="77777777" w:rsidR="00F8565C" w:rsidRPr="003D733D" w:rsidRDefault="00F8565C" w:rsidP="00F8565C">
            <w:r w:rsidRPr="003D733D">
              <w:t>[</w:t>
            </w:r>
            <w:r w:rsidRPr="003D733D">
              <w:rPr>
                <w:rFonts w:ascii="Sylfaen" w:hAnsi="Sylfaen" w:cs="Sylfaen"/>
              </w:rPr>
              <w:t>მ</w:t>
            </w:r>
            <w:r w:rsidRPr="003D733D">
              <w:t>]</w:t>
            </w:r>
          </w:p>
        </w:tc>
      </w:tr>
      <w:tr w:rsidR="00F8565C" w:rsidRPr="003D733D" w14:paraId="7563FA08" w14:textId="77777777" w:rsidTr="00F8565C">
        <w:trPr>
          <w:jc w:val="center"/>
        </w:trPr>
        <w:tc>
          <w:tcPr>
            <w:tcW w:w="715" w:type="dxa"/>
            <w:tcBorders>
              <w:top w:val="single" w:sz="4" w:space="0" w:color="auto"/>
              <w:left w:val="single" w:sz="4" w:space="0" w:color="auto"/>
              <w:bottom w:val="single" w:sz="4" w:space="0" w:color="auto"/>
              <w:right w:val="single" w:sz="4" w:space="0" w:color="auto"/>
            </w:tcBorders>
            <w:vAlign w:val="bottom"/>
            <w:hideMark/>
          </w:tcPr>
          <w:p w14:paraId="634D1450" w14:textId="77777777" w:rsidR="00F8565C" w:rsidRPr="003D733D" w:rsidRDefault="00F8565C" w:rsidP="00F8565C">
            <w:r w:rsidRPr="003D733D">
              <w:t>1</w:t>
            </w:r>
          </w:p>
        </w:tc>
        <w:tc>
          <w:tcPr>
            <w:tcW w:w="1890" w:type="dxa"/>
            <w:tcBorders>
              <w:top w:val="single" w:sz="4" w:space="0" w:color="auto"/>
              <w:left w:val="nil"/>
              <w:bottom w:val="single" w:sz="4" w:space="0" w:color="auto"/>
              <w:right w:val="single" w:sz="4" w:space="0" w:color="auto"/>
            </w:tcBorders>
            <w:hideMark/>
          </w:tcPr>
          <w:p w14:paraId="1F1126D1" w14:textId="77777777" w:rsidR="00F8565C" w:rsidRPr="003D733D" w:rsidRDefault="00F8565C" w:rsidP="00F8565C">
            <w:r w:rsidRPr="003D733D">
              <w:t>1 993</w:t>
            </w:r>
          </w:p>
        </w:tc>
        <w:tc>
          <w:tcPr>
            <w:tcW w:w="475" w:type="dxa"/>
            <w:tcBorders>
              <w:top w:val="nil"/>
              <w:left w:val="nil"/>
              <w:bottom w:val="nil"/>
              <w:right w:val="single" w:sz="4" w:space="0" w:color="auto"/>
            </w:tcBorders>
          </w:tcPr>
          <w:p w14:paraId="700AED06" w14:textId="77777777" w:rsidR="00F8565C" w:rsidRPr="003D733D" w:rsidRDefault="00F8565C" w:rsidP="00F8565C"/>
        </w:tc>
        <w:tc>
          <w:tcPr>
            <w:tcW w:w="610" w:type="dxa"/>
            <w:tcBorders>
              <w:top w:val="single" w:sz="4" w:space="0" w:color="auto"/>
              <w:left w:val="single" w:sz="4" w:space="0" w:color="auto"/>
              <w:bottom w:val="single" w:sz="4" w:space="0" w:color="auto"/>
              <w:right w:val="single" w:sz="4" w:space="0" w:color="auto"/>
            </w:tcBorders>
            <w:vAlign w:val="bottom"/>
            <w:hideMark/>
          </w:tcPr>
          <w:p w14:paraId="6E33FBDC" w14:textId="77777777" w:rsidR="00F8565C" w:rsidRPr="003D733D" w:rsidRDefault="00F8565C" w:rsidP="00F8565C">
            <w:r w:rsidRPr="003D733D">
              <w:t>18</w:t>
            </w:r>
          </w:p>
        </w:tc>
        <w:tc>
          <w:tcPr>
            <w:tcW w:w="1975" w:type="dxa"/>
            <w:tcBorders>
              <w:top w:val="single" w:sz="4" w:space="0" w:color="auto"/>
              <w:left w:val="single" w:sz="4" w:space="0" w:color="auto"/>
              <w:bottom w:val="single" w:sz="4" w:space="0" w:color="auto"/>
              <w:right w:val="single" w:sz="4" w:space="0" w:color="auto"/>
            </w:tcBorders>
            <w:hideMark/>
          </w:tcPr>
          <w:p w14:paraId="5B520A5A" w14:textId="77777777" w:rsidR="00F8565C" w:rsidRPr="003D733D" w:rsidRDefault="00F8565C" w:rsidP="00F8565C">
            <w:r w:rsidRPr="003D733D">
              <w:t>6 686</w:t>
            </w:r>
          </w:p>
        </w:tc>
      </w:tr>
      <w:tr w:rsidR="00F8565C" w:rsidRPr="003D733D" w14:paraId="52934F73" w14:textId="77777777" w:rsidTr="00F8565C">
        <w:trPr>
          <w:jc w:val="center"/>
        </w:trPr>
        <w:tc>
          <w:tcPr>
            <w:tcW w:w="715" w:type="dxa"/>
            <w:tcBorders>
              <w:top w:val="nil"/>
              <w:left w:val="single" w:sz="4" w:space="0" w:color="auto"/>
              <w:bottom w:val="single" w:sz="4" w:space="0" w:color="auto"/>
              <w:right w:val="single" w:sz="4" w:space="0" w:color="auto"/>
            </w:tcBorders>
            <w:vAlign w:val="bottom"/>
            <w:hideMark/>
          </w:tcPr>
          <w:p w14:paraId="177BEEDC" w14:textId="77777777" w:rsidR="00F8565C" w:rsidRPr="003D733D" w:rsidRDefault="00F8565C" w:rsidP="00F8565C">
            <w:r w:rsidRPr="003D733D">
              <w:t>2</w:t>
            </w:r>
          </w:p>
        </w:tc>
        <w:tc>
          <w:tcPr>
            <w:tcW w:w="1890" w:type="dxa"/>
            <w:tcBorders>
              <w:top w:val="nil"/>
              <w:left w:val="nil"/>
              <w:bottom w:val="single" w:sz="4" w:space="0" w:color="auto"/>
              <w:right w:val="single" w:sz="4" w:space="0" w:color="auto"/>
            </w:tcBorders>
            <w:hideMark/>
          </w:tcPr>
          <w:p w14:paraId="08871B68" w14:textId="77777777" w:rsidR="00F8565C" w:rsidRPr="003D733D" w:rsidRDefault="00F8565C" w:rsidP="00F8565C">
            <w:r w:rsidRPr="003D733D">
              <w:t>2 068</w:t>
            </w:r>
          </w:p>
        </w:tc>
        <w:tc>
          <w:tcPr>
            <w:tcW w:w="475" w:type="dxa"/>
            <w:tcBorders>
              <w:top w:val="nil"/>
              <w:left w:val="nil"/>
              <w:bottom w:val="nil"/>
              <w:right w:val="single" w:sz="4" w:space="0" w:color="auto"/>
            </w:tcBorders>
          </w:tcPr>
          <w:p w14:paraId="42332213" w14:textId="77777777" w:rsidR="00F8565C" w:rsidRPr="003D733D" w:rsidRDefault="00F8565C" w:rsidP="00F8565C"/>
        </w:tc>
        <w:tc>
          <w:tcPr>
            <w:tcW w:w="610" w:type="dxa"/>
            <w:tcBorders>
              <w:top w:val="single" w:sz="4" w:space="0" w:color="auto"/>
              <w:left w:val="single" w:sz="4" w:space="0" w:color="auto"/>
              <w:bottom w:val="single" w:sz="4" w:space="0" w:color="auto"/>
              <w:right w:val="single" w:sz="4" w:space="0" w:color="auto"/>
            </w:tcBorders>
            <w:vAlign w:val="bottom"/>
            <w:hideMark/>
          </w:tcPr>
          <w:p w14:paraId="3EAEFCB5" w14:textId="77777777" w:rsidR="00F8565C" w:rsidRPr="003D733D" w:rsidRDefault="00F8565C" w:rsidP="00F8565C">
            <w:r w:rsidRPr="003D733D">
              <w:t>19</w:t>
            </w:r>
          </w:p>
        </w:tc>
        <w:tc>
          <w:tcPr>
            <w:tcW w:w="1975" w:type="dxa"/>
            <w:tcBorders>
              <w:top w:val="single" w:sz="4" w:space="0" w:color="auto"/>
              <w:left w:val="single" w:sz="4" w:space="0" w:color="auto"/>
              <w:bottom w:val="single" w:sz="4" w:space="0" w:color="auto"/>
              <w:right w:val="single" w:sz="4" w:space="0" w:color="auto"/>
            </w:tcBorders>
            <w:hideMark/>
          </w:tcPr>
          <w:p w14:paraId="5A21825F" w14:textId="77777777" w:rsidR="00F8565C" w:rsidRPr="003D733D" w:rsidRDefault="00F8565C" w:rsidP="00F8565C">
            <w:r w:rsidRPr="003D733D">
              <w:t>7 221</w:t>
            </w:r>
          </w:p>
        </w:tc>
      </w:tr>
      <w:tr w:rsidR="00F8565C" w:rsidRPr="003D733D" w14:paraId="10DAB947" w14:textId="77777777" w:rsidTr="00F8565C">
        <w:trPr>
          <w:jc w:val="center"/>
        </w:trPr>
        <w:tc>
          <w:tcPr>
            <w:tcW w:w="715" w:type="dxa"/>
            <w:tcBorders>
              <w:top w:val="nil"/>
              <w:left w:val="single" w:sz="4" w:space="0" w:color="auto"/>
              <w:bottom w:val="single" w:sz="4" w:space="0" w:color="auto"/>
              <w:right w:val="single" w:sz="4" w:space="0" w:color="auto"/>
            </w:tcBorders>
            <w:vAlign w:val="bottom"/>
            <w:hideMark/>
          </w:tcPr>
          <w:p w14:paraId="785BDFEA" w14:textId="77777777" w:rsidR="00F8565C" w:rsidRPr="003D733D" w:rsidRDefault="00F8565C" w:rsidP="00F8565C">
            <w:r w:rsidRPr="003D733D">
              <w:t>3</w:t>
            </w:r>
          </w:p>
        </w:tc>
        <w:tc>
          <w:tcPr>
            <w:tcW w:w="1890" w:type="dxa"/>
            <w:tcBorders>
              <w:top w:val="nil"/>
              <w:left w:val="nil"/>
              <w:bottom w:val="single" w:sz="4" w:space="0" w:color="auto"/>
              <w:right w:val="single" w:sz="4" w:space="0" w:color="auto"/>
            </w:tcBorders>
            <w:hideMark/>
          </w:tcPr>
          <w:p w14:paraId="77AA1ED9" w14:textId="77777777" w:rsidR="00F8565C" w:rsidRPr="003D733D" w:rsidRDefault="00F8565C" w:rsidP="00F8565C">
            <w:r w:rsidRPr="003D733D">
              <w:t>2 281</w:t>
            </w:r>
          </w:p>
        </w:tc>
        <w:tc>
          <w:tcPr>
            <w:tcW w:w="475" w:type="dxa"/>
            <w:tcBorders>
              <w:top w:val="nil"/>
              <w:left w:val="nil"/>
              <w:bottom w:val="nil"/>
              <w:right w:val="single" w:sz="4" w:space="0" w:color="auto"/>
            </w:tcBorders>
          </w:tcPr>
          <w:p w14:paraId="546E5B00" w14:textId="77777777" w:rsidR="00F8565C" w:rsidRPr="003D733D" w:rsidRDefault="00F8565C" w:rsidP="00F8565C"/>
        </w:tc>
        <w:tc>
          <w:tcPr>
            <w:tcW w:w="610" w:type="dxa"/>
            <w:tcBorders>
              <w:top w:val="single" w:sz="4" w:space="0" w:color="auto"/>
              <w:left w:val="single" w:sz="4" w:space="0" w:color="auto"/>
              <w:bottom w:val="single" w:sz="4" w:space="0" w:color="auto"/>
              <w:right w:val="single" w:sz="4" w:space="0" w:color="auto"/>
            </w:tcBorders>
            <w:vAlign w:val="bottom"/>
            <w:hideMark/>
          </w:tcPr>
          <w:p w14:paraId="28A5E5B2" w14:textId="77777777" w:rsidR="00F8565C" w:rsidRPr="003D733D" w:rsidRDefault="00F8565C" w:rsidP="00F8565C">
            <w:r w:rsidRPr="003D733D">
              <w:t>20</w:t>
            </w:r>
          </w:p>
        </w:tc>
        <w:tc>
          <w:tcPr>
            <w:tcW w:w="1975" w:type="dxa"/>
            <w:tcBorders>
              <w:top w:val="single" w:sz="4" w:space="0" w:color="auto"/>
              <w:left w:val="single" w:sz="4" w:space="0" w:color="auto"/>
              <w:bottom w:val="single" w:sz="4" w:space="0" w:color="auto"/>
              <w:right w:val="single" w:sz="4" w:space="0" w:color="auto"/>
            </w:tcBorders>
            <w:hideMark/>
          </w:tcPr>
          <w:p w14:paraId="7F699735" w14:textId="77777777" w:rsidR="00F8565C" w:rsidRPr="003D733D" w:rsidRDefault="00F8565C" w:rsidP="00F8565C">
            <w:r w:rsidRPr="003D733D">
              <w:t>7 548</w:t>
            </w:r>
          </w:p>
        </w:tc>
      </w:tr>
      <w:tr w:rsidR="00F8565C" w:rsidRPr="003D733D" w14:paraId="3FBF2B0A" w14:textId="77777777" w:rsidTr="00F8565C">
        <w:trPr>
          <w:jc w:val="center"/>
        </w:trPr>
        <w:tc>
          <w:tcPr>
            <w:tcW w:w="715" w:type="dxa"/>
            <w:tcBorders>
              <w:top w:val="nil"/>
              <w:left w:val="single" w:sz="4" w:space="0" w:color="auto"/>
              <w:bottom w:val="single" w:sz="4" w:space="0" w:color="auto"/>
              <w:right w:val="single" w:sz="4" w:space="0" w:color="auto"/>
            </w:tcBorders>
            <w:vAlign w:val="bottom"/>
            <w:hideMark/>
          </w:tcPr>
          <w:p w14:paraId="3202975C" w14:textId="77777777" w:rsidR="00F8565C" w:rsidRPr="003D733D" w:rsidRDefault="00F8565C" w:rsidP="00F8565C">
            <w:r w:rsidRPr="003D733D">
              <w:t>4</w:t>
            </w:r>
          </w:p>
        </w:tc>
        <w:tc>
          <w:tcPr>
            <w:tcW w:w="1890" w:type="dxa"/>
            <w:tcBorders>
              <w:top w:val="nil"/>
              <w:left w:val="nil"/>
              <w:bottom w:val="single" w:sz="4" w:space="0" w:color="auto"/>
              <w:right w:val="single" w:sz="4" w:space="0" w:color="auto"/>
            </w:tcBorders>
            <w:hideMark/>
          </w:tcPr>
          <w:p w14:paraId="2875719A" w14:textId="77777777" w:rsidR="00F8565C" w:rsidRPr="003D733D" w:rsidRDefault="00F8565C" w:rsidP="00F8565C">
            <w:r w:rsidRPr="003D733D">
              <w:t>2 703</w:t>
            </w:r>
          </w:p>
        </w:tc>
        <w:tc>
          <w:tcPr>
            <w:tcW w:w="475" w:type="dxa"/>
            <w:tcBorders>
              <w:top w:val="nil"/>
              <w:left w:val="nil"/>
              <w:bottom w:val="nil"/>
              <w:right w:val="single" w:sz="4" w:space="0" w:color="auto"/>
            </w:tcBorders>
          </w:tcPr>
          <w:p w14:paraId="3C93D7DE" w14:textId="77777777" w:rsidR="00F8565C" w:rsidRPr="003D733D" w:rsidRDefault="00F8565C" w:rsidP="00F8565C"/>
        </w:tc>
        <w:tc>
          <w:tcPr>
            <w:tcW w:w="610" w:type="dxa"/>
            <w:tcBorders>
              <w:top w:val="single" w:sz="4" w:space="0" w:color="auto"/>
              <w:left w:val="single" w:sz="4" w:space="0" w:color="auto"/>
              <w:bottom w:val="single" w:sz="4" w:space="0" w:color="auto"/>
              <w:right w:val="single" w:sz="4" w:space="0" w:color="auto"/>
            </w:tcBorders>
            <w:vAlign w:val="bottom"/>
            <w:hideMark/>
          </w:tcPr>
          <w:p w14:paraId="0ECD3EF6" w14:textId="77777777" w:rsidR="00F8565C" w:rsidRPr="003D733D" w:rsidRDefault="00F8565C" w:rsidP="00F8565C">
            <w:r w:rsidRPr="003D733D">
              <w:t>21</w:t>
            </w:r>
          </w:p>
        </w:tc>
        <w:tc>
          <w:tcPr>
            <w:tcW w:w="1975" w:type="dxa"/>
            <w:tcBorders>
              <w:top w:val="single" w:sz="4" w:space="0" w:color="auto"/>
              <w:left w:val="single" w:sz="4" w:space="0" w:color="auto"/>
              <w:bottom w:val="single" w:sz="4" w:space="0" w:color="auto"/>
              <w:right w:val="single" w:sz="4" w:space="0" w:color="auto"/>
            </w:tcBorders>
            <w:hideMark/>
          </w:tcPr>
          <w:p w14:paraId="72F518A3" w14:textId="77777777" w:rsidR="00F8565C" w:rsidRPr="003D733D" w:rsidRDefault="00F8565C" w:rsidP="00F8565C">
            <w:r w:rsidRPr="003D733D">
              <w:t>8 005</w:t>
            </w:r>
          </w:p>
        </w:tc>
      </w:tr>
      <w:tr w:rsidR="00F8565C" w:rsidRPr="003D733D" w14:paraId="085C712C" w14:textId="77777777" w:rsidTr="00F8565C">
        <w:trPr>
          <w:jc w:val="center"/>
        </w:trPr>
        <w:tc>
          <w:tcPr>
            <w:tcW w:w="715" w:type="dxa"/>
            <w:tcBorders>
              <w:top w:val="nil"/>
              <w:left w:val="single" w:sz="4" w:space="0" w:color="auto"/>
              <w:bottom w:val="single" w:sz="4" w:space="0" w:color="auto"/>
              <w:right w:val="single" w:sz="4" w:space="0" w:color="auto"/>
            </w:tcBorders>
            <w:vAlign w:val="bottom"/>
            <w:hideMark/>
          </w:tcPr>
          <w:p w14:paraId="23E2E1FF" w14:textId="77777777" w:rsidR="00F8565C" w:rsidRPr="003D733D" w:rsidRDefault="00F8565C" w:rsidP="00F8565C">
            <w:r w:rsidRPr="003D733D">
              <w:t>5</w:t>
            </w:r>
          </w:p>
        </w:tc>
        <w:tc>
          <w:tcPr>
            <w:tcW w:w="1890" w:type="dxa"/>
            <w:tcBorders>
              <w:top w:val="nil"/>
              <w:left w:val="nil"/>
              <w:bottom w:val="single" w:sz="4" w:space="0" w:color="auto"/>
              <w:right w:val="single" w:sz="4" w:space="0" w:color="auto"/>
            </w:tcBorders>
            <w:hideMark/>
          </w:tcPr>
          <w:p w14:paraId="5204B26D" w14:textId="77777777" w:rsidR="00F8565C" w:rsidRPr="003D733D" w:rsidRDefault="00F8565C" w:rsidP="00F8565C">
            <w:r w:rsidRPr="003D733D">
              <w:t>2 811</w:t>
            </w:r>
          </w:p>
        </w:tc>
        <w:tc>
          <w:tcPr>
            <w:tcW w:w="475" w:type="dxa"/>
            <w:tcBorders>
              <w:top w:val="nil"/>
              <w:left w:val="nil"/>
              <w:bottom w:val="nil"/>
              <w:right w:val="single" w:sz="4" w:space="0" w:color="auto"/>
            </w:tcBorders>
          </w:tcPr>
          <w:p w14:paraId="193DE1AE" w14:textId="77777777" w:rsidR="00F8565C" w:rsidRPr="003D733D" w:rsidRDefault="00F8565C" w:rsidP="00F8565C"/>
        </w:tc>
        <w:tc>
          <w:tcPr>
            <w:tcW w:w="610" w:type="dxa"/>
            <w:tcBorders>
              <w:top w:val="single" w:sz="4" w:space="0" w:color="auto"/>
              <w:left w:val="single" w:sz="4" w:space="0" w:color="auto"/>
              <w:bottom w:val="single" w:sz="4" w:space="0" w:color="auto"/>
              <w:right w:val="single" w:sz="4" w:space="0" w:color="auto"/>
            </w:tcBorders>
            <w:vAlign w:val="bottom"/>
            <w:hideMark/>
          </w:tcPr>
          <w:p w14:paraId="7607A121" w14:textId="77777777" w:rsidR="00F8565C" w:rsidRPr="003D733D" w:rsidRDefault="00F8565C" w:rsidP="00F8565C">
            <w:r w:rsidRPr="003D733D">
              <w:t>22</w:t>
            </w:r>
          </w:p>
        </w:tc>
        <w:tc>
          <w:tcPr>
            <w:tcW w:w="1975" w:type="dxa"/>
            <w:tcBorders>
              <w:top w:val="single" w:sz="4" w:space="0" w:color="auto"/>
              <w:left w:val="single" w:sz="4" w:space="0" w:color="auto"/>
              <w:bottom w:val="single" w:sz="4" w:space="0" w:color="auto"/>
              <w:right w:val="single" w:sz="4" w:space="0" w:color="auto"/>
            </w:tcBorders>
            <w:hideMark/>
          </w:tcPr>
          <w:p w14:paraId="1DBD75C9" w14:textId="77777777" w:rsidR="00F8565C" w:rsidRPr="003D733D" w:rsidRDefault="00F8565C" w:rsidP="00F8565C">
            <w:r w:rsidRPr="003D733D">
              <w:t>8 658</w:t>
            </w:r>
          </w:p>
        </w:tc>
      </w:tr>
      <w:tr w:rsidR="00F8565C" w:rsidRPr="003D733D" w14:paraId="79C2A859" w14:textId="77777777" w:rsidTr="00F8565C">
        <w:trPr>
          <w:jc w:val="center"/>
        </w:trPr>
        <w:tc>
          <w:tcPr>
            <w:tcW w:w="715" w:type="dxa"/>
            <w:tcBorders>
              <w:top w:val="nil"/>
              <w:left w:val="single" w:sz="4" w:space="0" w:color="auto"/>
              <w:bottom w:val="single" w:sz="4" w:space="0" w:color="auto"/>
              <w:right w:val="single" w:sz="4" w:space="0" w:color="auto"/>
            </w:tcBorders>
            <w:vAlign w:val="bottom"/>
            <w:hideMark/>
          </w:tcPr>
          <w:p w14:paraId="5D6E4D98" w14:textId="77777777" w:rsidR="00F8565C" w:rsidRPr="003D733D" w:rsidRDefault="00F8565C" w:rsidP="00F8565C">
            <w:r w:rsidRPr="003D733D">
              <w:t>6</w:t>
            </w:r>
          </w:p>
        </w:tc>
        <w:tc>
          <w:tcPr>
            <w:tcW w:w="1890" w:type="dxa"/>
            <w:tcBorders>
              <w:top w:val="nil"/>
              <w:left w:val="nil"/>
              <w:bottom w:val="single" w:sz="4" w:space="0" w:color="auto"/>
              <w:right w:val="single" w:sz="4" w:space="0" w:color="auto"/>
            </w:tcBorders>
            <w:hideMark/>
          </w:tcPr>
          <w:p w14:paraId="6BA3AB4A" w14:textId="77777777" w:rsidR="00F8565C" w:rsidRPr="003D733D" w:rsidRDefault="00F8565C" w:rsidP="00F8565C">
            <w:r w:rsidRPr="003D733D">
              <w:t>2 956</w:t>
            </w:r>
          </w:p>
        </w:tc>
        <w:tc>
          <w:tcPr>
            <w:tcW w:w="475" w:type="dxa"/>
            <w:tcBorders>
              <w:top w:val="nil"/>
              <w:left w:val="nil"/>
              <w:bottom w:val="nil"/>
              <w:right w:val="single" w:sz="4" w:space="0" w:color="auto"/>
            </w:tcBorders>
          </w:tcPr>
          <w:p w14:paraId="00EF2561" w14:textId="77777777" w:rsidR="00F8565C" w:rsidRPr="003D733D" w:rsidRDefault="00F8565C" w:rsidP="00F8565C"/>
        </w:tc>
        <w:tc>
          <w:tcPr>
            <w:tcW w:w="610" w:type="dxa"/>
            <w:tcBorders>
              <w:top w:val="single" w:sz="4" w:space="0" w:color="auto"/>
              <w:left w:val="single" w:sz="4" w:space="0" w:color="auto"/>
              <w:bottom w:val="single" w:sz="4" w:space="0" w:color="auto"/>
              <w:right w:val="single" w:sz="4" w:space="0" w:color="auto"/>
            </w:tcBorders>
            <w:vAlign w:val="bottom"/>
            <w:hideMark/>
          </w:tcPr>
          <w:p w14:paraId="7179B880" w14:textId="77777777" w:rsidR="00F8565C" w:rsidRPr="003D733D" w:rsidRDefault="00F8565C" w:rsidP="00F8565C">
            <w:r w:rsidRPr="003D733D">
              <w:t>23</w:t>
            </w:r>
          </w:p>
        </w:tc>
        <w:tc>
          <w:tcPr>
            <w:tcW w:w="1975" w:type="dxa"/>
            <w:tcBorders>
              <w:top w:val="single" w:sz="4" w:space="0" w:color="auto"/>
              <w:left w:val="single" w:sz="4" w:space="0" w:color="auto"/>
              <w:bottom w:val="single" w:sz="4" w:space="0" w:color="auto"/>
              <w:right w:val="single" w:sz="4" w:space="0" w:color="auto"/>
            </w:tcBorders>
            <w:hideMark/>
          </w:tcPr>
          <w:p w14:paraId="65A80487" w14:textId="77777777" w:rsidR="00F8565C" w:rsidRPr="003D733D" w:rsidRDefault="00F8565C" w:rsidP="00F8565C">
            <w:r w:rsidRPr="003D733D">
              <w:t>8 977</w:t>
            </w:r>
          </w:p>
        </w:tc>
      </w:tr>
      <w:tr w:rsidR="00F8565C" w:rsidRPr="003D733D" w14:paraId="4FC0F5ED" w14:textId="77777777" w:rsidTr="00F8565C">
        <w:trPr>
          <w:jc w:val="center"/>
        </w:trPr>
        <w:tc>
          <w:tcPr>
            <w:tcW w:w="715" w:type="dxa"/>
            <w:tcBorders>
              <w:top w:val="nil"/>
              <w:left w:val="single" w:sz="4" w:space="0" w:color="auto"/>
              <w:bottom w:val="single" w:sz="4" w:space="0" w:color="auto"/>
              <w:right w:val="single" w:sz="4" w:space="0" w:color="auto"/>
            </w:tcBorders>
            <w:vAlign w:val="bottom"/>
            <w:hideMark/>
          </w:tcPr>
          <w:p w14:paraId="3BC16175" w14:textId="77777777" w:rsidR="00F8565C" w:rsidRPr="003D733D" w:rsidRDefault="00F8565C" w:rsidP="00F8565C">
            <w:r w:rsidRPr="003D733D">
              <w:t>7</w:t>
            </w:r>
          </w:p>
        </w:tc>
        <w:tc>
          <w:tcPr>
            <w:tcW w:w="1890" w:type="dxa"/>
            <w:tcBorders>
              <w:top w:val="nil"/>
              <w:left w:val="nil"/>
              <w:bottom w:val="single" w:sz="4" w:space="0" w:color="auto"/>
              <w:right w:val="single" w:sz="4" w:space="0" w:color="auto"/>
            </w:tcBorders>
            <w:hideMark/>
          </w:tcPr>
          <w:p w14:paraId="04C49A8D" w14:textId="77777777" w:rsidR="00F8565C" w:rsidRPr="003D733D" w:rsidRDefault="00F8565C" w:rsidP="00F8565C">
            <w:r w:rsidRPr="003D733D">
              <w:t>3 259</w:t>
            </w:r>
          </w:p>
        </w:tc>
        <w:tc>
          <w:tcPr>
            <w:tcW w:w="475" w:type="dxa"/>
            <w:tcBorders>
              <w:top w:val="nil"/>
              <w:left w:val="nil"/>
              <w:bottom w:val="nil"/>
              <w:right w:val="single" w:sz="4" w:space="0" w:color="auto"/>
            </w:tcBorders>
          </w:tcPr>
          <w:p w14:paraId="0569CCEC" w14:textId="77777777" w:rsidR="00F8565C" w:rsidRPr="003D733D" w:rsidRDefault="00F8565C" w:rsidP="00F8565C"/>
        </w:tc>
        <w:tc>
          <w:tcPr>
            <w:tcW w:w="610" w:type="dxa"/>
            <w:tcBorders>
              <w:top w:val="single" w:sz="4" w:space="0" w:color="auto"/>
              <w:left w:val="single" w:sz="4" w:space="0" w:color="auto"/>
              <w:bottom w:val="single" w:sz="4" w:space="0" w:color="auto"/>
              <w:right w:val="single" w:sz="4" w:space="0" w:color="auto"/>
            </w:tcBorders>
            <w:vAlign w:val="bottom"/>
            <w:hideMark/>
          </w:tcPr>
          <w:p w14:paraId="46E727F7" w14:textId="77777777" w:rsidR="00F8565C" w:rsidRPr="003D733D" w:rsidRDefault="00F8565C" w:rsidP="00F8565C">
            <w:r w:rsidRPr="003D733D">
              <w:t>24</w:t>
            </w:r>
          </w:p>
        </w:tc>
        <w:tc>
          <w:tcPr>
            <w:tcW w:w="1975" w:type="dxa"/>
            <w:tcBorders>
              <w:top w:val="single" w:sz="4" w:space="0" w:color="auto"/>
              <w:left w:val="single" w:sz="4" w:space="0" w:color="auto"/>
              <w:bottom w:val="single" w:sz="4" w:space="0" w:color="auto"/>
              <w:right w:val="single" w:sz="4" w:space="0" w:color="auto"/>
            </w:tcBorders>
            <w:hideMark/>
          </w:tcPr>
          <w:p w14:paraId="2CF50B58" w14:textId="77777777" w:rsidR="00F8565C" w:rsidRPr="003D733D" w:rsidRDefault="00F8565C" w:rsidP="00F8565C">
            <w:r w:rsidRPr="003D733D">
              <w:t>9 373</w:t>
            </w:r>
          </w:p>
        </w:tc>
      </w:tr>
      <w:tr w:rsidR="00F8565C" w:rsidRPr="003D733D" w14:paraId="2BF5CD69" w14:textId="77777777" w:rsidTr="00F8565C">
        <w:trPr>
          <w:jc w:val="center"/>
        </w:trPr>
        <w:tc>
          <w:tcPr>
            <w:tcW w:w="715" w:type="dxa"/>
            <w:tcBorders>
              <w:top w:val="nil"/>
              <w:left w:val="single" w:sz="4" w:space="0" w:color="auto"/>
              <w:bottom w:val="single" w:sz="4" w:space="0" w:color="auto"/>
              <w:right w:val="single" w:sz="4" w:space="0" w:color="auto"/>
            </w:tcBorders>
            <w:vAlign w:val="bottom"/>
            <w:hideMark/>
          </w:tcPr>
          <w:p w14:paraId="38A75F76" w14:textId="77777777" w:rsidR="00F8565C" w:rsidRPr="003D733D" w:rsidRDefault="00F8565C" w:rsidP="00F8565C">
            <w:r w:rsidRPr="003D733D">
              <w:t>8</w:t>
            </w:r>
          </w:p>
        </w:tc>
        <w:tc>
          <w:tcPr>
            <w:tcW w:w="1890" w:type="dxa"/>
            <w:tcBorders>
              <w:top w:val="nil"/>
              <w:left w:val="nil"/>
              <w:bottom w:val="single" w:sz="4" w:space="0" w:color="auto"/>
              <w:right w:val="single" w:sz="4" w:space="0" w:color="auto"/>
            </w:tcBorders>
            <w:hideMark/>
          </w:tcPr>
          <w:p w14:paraId="08060DF5" w14:textId="77777777" w:rsidR="00F8565C" w:rsidRPr="003D733D" w:rsidRDefault="00F8565C" w:rsidP="00F8565C">
            <w:r w:rsidRPr="003D733D">
              <w:t>3 290</w:t>
            </w:r>
          </w:p>
        </w:tc>
        <w:tc>
          <w:tcPr>
            <w:tcW w:w="475" w:type="dxa"/>
            <w:tcBorders>
              <w:top w:val="nil"/>
              <w:left w:val="nil"/>
              <w:bottom w:val="nil"/>
              <w:right w:val="single" w:sz="4" w:space="0" w:color="auto"/>
            </w:tcBorders>
          </w:tcPr>
          <w:p w14:paraId="6B522C8B" w14:textId="77777777" w:rsidR="00F8565C" w:rsidRPr="003D733D" w:rsidRDefault="00F8565C" w:rsidP="00F8565C"/>
        </w:tc>
        <w:tc>
          <w:tcPr>
            <w:tcW w:w="610" w:type="dxa"/>
            <w:tcBorders>
              <w:top w:val="single" w:sz="4" w:space="0" w:color="auto"/>
              <w:left w:val="single" w:sz="4" w:space="0" w:color="auto"/>
              <w:bottom w:val="single" w:sz="4" w:space="0" w:color="auto"/>
              <w:right w:val="single" w:sz="4" w:space="0" w:color="auto"/>
            </w:tcBorders>
            <w:vAlign w:val="bottom"/>
            <w:hideMark/>
          </w:tcPr>
          <w:p w14:paraId="4A83C7B5" w14:textId="77777777" w:rsidR="00F8565C" w:rsidRPr="003D733D" w:rsidRDefault="00F8565C" w:rsidP="00F8565C">
            <w:r w:rsidRPr="003D733D">
              <w:t>25</w:t>
            </w:r>
          </w:p>
        </w:tc>
        <w:tc>
          <w:tcPr>
            <w:tcW w:w="1975" w:type="dxa"/>
            <w:tcBorders>
              <w:top w:val="single" w:sz="4" w:space="0" w:color="auto"/>
              <w:left w:val="single" w:sz="4" w:space="0" w:color="auto"/>
              <w:bottom w:val="single" w:sz="4" w:space="0" w:color="auto"/>
              <w:right w:val="single" w:sz="4" w:space="0" w:color="auto"/>
            </w:tcBorders>
            <w:hideMark/>
          </w:tcPr>
          <w:p w14:paraId="3C91444B" w14:textId="77777777" w:rsidR="00F8565C" w:rsidRPr="003D733D" w:rsidRDefault="00F8565C" w:rsidP="00F8565C">
            <w:r w:rsidRPr="003D733D">
              <w:t>10 542</w:t>
            </w:r>
          </w:p>
        </w:tc>
      </w:tr>
      <w:tr w:rsidR="00F8565C" w:rsidRPr="003D733D" w14:paraId="1DC7022F" w14:textId="77777777" w:rsidTr="00F8565C">
        <w:trPr>
          <w:jc w:val="center"/>
        </w:trPr>
        <w:tc>
          <w:tcPr>
            <w:tcW w:w="715" w:type="dxa"/>
            <w:tcBorders>
              <w:top w:val="nil"/>
              <w:left w:val="single" w:sz="4" w:space="0" w:color="auto"/>
              <w:bottom w:val="single" w:sz="4" w:space="0" w:color="auto"/>
              <w:right w:val="single" w:sz="4" w:space="0" w:color="auto"/>
            </w:tcBorders>
            <w:vAlign w:val="bottom"/>
            <w:hideMark/>
          </w:tcPr>
          <w:p w14:paraId="0FD5F8A8" w14:textId="77777777" w:rsidR="00F8565C" w:rsidRPr="003D733D" w:rsidRDefault="00F8565C" w:rsidP="00F8565C">
            <w:r w:rsidRPr="003D733D">
              <w:t>9</w:t>
            </w:r>
          </w:p>
        </w:tc>
        <w:tc>
          <w:tcPr>
            <w:tcW w:w="1890" w:type="dxa"/>
            <w:tcBorders>
              <w:top w:val="nil"/>
              <w:left w:val="nil"/>
              <w:bottom w:val="single" w:sz="4" w:space="0" w:color="auto"/>
              <w:right w:val="single" w:sz="4" w:space="0" w:color="auto"/>
            </w:tcBorders>
            <w:hideMark/>
          </w:tcPr>
          <w:p w14:paraId="1EB111C3" w14:textId="77777777" w:rsidR="00F8565C" w:rsidRPr="003D733D" w:rsidRDefault="00F8565C" w:rsidP="00F8565C">
            <w:r w:rsidRPr="003D733D">
              <w:t>3 522</w:t>
            </w:r>
          </w:p>
        </w:tc>
        <w:tc>
          <w:tcPr>
            <w:tcW w:w="475" w:type="dxa"/>
            <w:tcBorders>
              <w:top w:val="nil"/>
              <w:left w:val="nil"/>
              <w:bottom w:val="nil"/>
              <w:right w:val="single" w:sz="4" w:space="0" w:color="auto"/>
            </w:tcBorders>
          </w:tcPr>
          <w:p w14:paraId="0A031952" w14:textId="77777777" w:rsidR="00F8565C" w:rsidRPr="003D733D" w:rsidRDefault="00F8565C" w:rsidP="00F8565C"/>
        </w:tc>
        <w:tc>
          <w:tcPr>
            <w:tcW w:w="610" w:type="dxa"/>
            <w:tcBorders>
              <w:top w:val="single" w:sz="4" w:space="0" w:color="auto"/>
              <w:left w:val="single" w:sz="4" w:space="0" w:color="auto"/>
              <w:bottom w:val="single" w:sz="4" w:space="0" w:color="auto"/>
              <w:right w:val="single" w:sz="4" w:space="0" w:color="auto"/>
            </w:tcBorders>
            <w:vAlign w:val="bottom"/>
            <w:hideMark/>
          </w:tcPr>
          <w:p w14:paraId="33EF0A19" w14:textId="77777777" w:rsidR="00F8565C" w:rsidRPr="003D733D" w:rsidRDefault="00F8565C" w:rsidP="00F8565C">
            <w:r w:rsidRPr="003D733D">
              <w:t>26</w:t>
            </w:r>
          </w:p>
        </w:tc>
        <w:tc>
          <w:tcPr>
            <w:tcW w:w="1975" w:type="dxa"/>
            <w:tcBorders>
              <w:top w:val="single" w:sz="4" w:space="0" w:color="auto"/>
              <w:left w:val="single" w:sz="4" w:space="0" w:color="auto"/>
              <w:bottom w:val="single" w:sz="4" w:space="0" w:color="auto"/>
              <w:right w:val="single" w:sz="4" w:space="0" w:color="auto"/>
            </w:tcBorders>
            <w:hideMark/>
          </w:tcPr>
          <w:p w14:paraId="74633A78" w14:textId="77777777" w:rsidR="00F8565C" w:rsidRPr="003D733D" w:rsidRDefault="00F8565C" w:rsidP="00F8565C">
            <w:r w:rsidRPr="003D733D">
              <w:t>10 717</w:t>
            </w:r>
          </w:p>
        </w:tc>
      </w:tr>
      <w:tr w:rsidR="00F8565C" w:rsidRPr="003D733D" w14:paraId="0B7D69A3" w14:textId="77777777" w:rsidTr="00F8565C">
        <w:trPr>
          <w:jc w:val="center"/>
        </w:trPr>
        <w:tc>
          <w:tcPr>
            <w:tcW w:w="715" w:type="dxa"/>
            <w:tcBorders>
              <w:top w:val="nil"/>
              <w:left w:val="single" w:sz="4" w:space="0" w:color="auto"/>
              <w:bottom w:val="single" w:sz="4" w:space="0" w:color="auto"/>
              <w:right w:val="single" w:sz="4" w:space="0" w:color="auto"/>
            </w:tcBorders>
            <w:vAlign w:val="bottom"/>
            <w:hideMark/>
          </w:tcPr>
          <w:p w14:paraId="76AB90D3" w14:textId="77777777" w:rsidR="00F8565C" w:rsidRPr="003D733D" w:rsidRDefault="00F8565C" w:rsidP="00F8565C">
            <w:r w:rsidRPr="003D733D">
              <w:t>10</w:t>
            </w:r>
          </w:p>
        </w:tc>
        <w:tc>
          <w:tcPr>
            <w:tcW w:w="1890" w:type="dxa"/>
            <w:tcBorders>
              <w:top w:val="nil"/>
              <w:left w:val="nil"/>
              <w:bottom w:val="single" w:sz="4" w:space="0" w:color="auto"/>
              <w:right w:val="single" w:sz="4" w:space="0" w:color="auto"/>
            </w:tcBorders>
            <w:hideMark/>
          </w:tcPr>
          <w:p w14:paraId="2EDFE0FF" w14:textId="77777777" w:rsidR="00F8565C" w:rsidRPr="003D733D" w:rsidRDefault="00F8565C" w:rsidP="00F8565C">
            <w:r w:rsidRPr="003D733D">
              <w:t>3 716</w:t>
            </w:r>
          </w:p>
        </w:tc>
        <w:tc>
          <w:tcPr>
            <w:tcW w:w="475" w:type="dxa"/>
            <w:tcBorders>
              <w:top w:val="nil"/>
              <w:left w:val="nil"/>
              <w:bottom w:val="nil"/>
              <w:right w:val="single" w:sz="4" w:space="0" w:color="auto"/>
            </w:tcBorders>
          </w:tcPr>
          <w:p w14:paraId="5DC7514E" w14:textId="77777777" w:rsidR="00F8565C" w:rsidRPr="003D733D" w:rsidRDefault="00F8565C" w:rsidP="00F8565C"/>
        </w:tc>
        <w:tc>
          <w:tcPr>
            <w:tcW w:w="610" w:type="dxa"/>
            <w:tcBorders>
              <w:top w:val="single" w:sz="4" w:space="0" w:color="auto"/>
              <w:left w:val="single" w:sz="4" w:space="0" w:color="auto"/>
              <w:bottom w:val="single" w:sz="4" w:space="0" w:color="auto"/>
              <w:right w:val="single" w:sz="4" w:space="0" w:color="auto"/>
            </w:tcBorders>
            <w:vAlign w:val="bottom"/>
            <w:hideMark/>
          </w:tcPr>
          <w:p w14:paraId="4286FFCB" w14:textId="77777777" w:rsidR="00F8565C" w:rsidRPr="003D733D" w:rsidRDefault="00F8565C" w:rsidP="00F8565C">
            <w:r w:rsidRPr="003D733D">
              <w:t>27</w:t>
            </w:r>
          </w:p>
        </w:tc>
        <w:tc>
          <w:tcPr>
            <w:tcW w:w="1975" w:type="dxa"/>
            <w:tcBorders>
              <w:top w:val="single" w:sz="4" w:space="0" w:color="auto"/>
              <w:left w:val="single" w:sz="4" w:space="0" w:color="auto"/>
              <w:bottom w:val="single" w:sz="4" w:space="0" w:color="auto"/>
              <w:right w:val="single" w:sz="4" w:space="0" w:color="auto"/>
            </w:tcBorders>
            <w:hideMark/>
          </w:tcPr>
          <w:p w14:paraId="500FDC25" w14:textId="77777777" w:rsidR="00F8565C" w:rsidRPr="003D733D" w:rsidRDefault="00F8565C" w:rsidP="00F8565C">
            <w:r w:rsidRPr="003D733D">
              <w:t>10 865</w:t>
            </w:r>
          </w:p>
        </w:tc>
      </w:tr>
      <w:tr w:rsidR="00F8565C" w:rsidRPr="003D733D" w14:paraId="6720D45D" w14:textId="77777777" w:rsidTr="00F8565C">
        <w:trPr>
          <w:jc w:val="center"/>
        </w:trPr>
        <w:tc>
          <w:tcPr>
            <w:tcW w:w="715" w:type="dxa"/>
            <w:tcBorders>
              <w:top w:val="nil"/>
              <w:left w:val="single" w:sz="4" w:space="0" w:color="auto"/>
              <w:bottom w:val="single" w:sz="4" w:space="0" w:color="auto"/>
              <w:right w:val="single" w:sz="4" w:space="0" w:color="auto"/>
            </w:tcBorders>
            <w:vAlign w:val="bottom"/>
            <w:hideMark/>
          </w:tcPr>
          <w:p w14:paraId="654A3ECC" w14:textId="77777777" w:rsidR="00F8565C" w:rsidRPr="003D733D" w:rsidRDefault="00F8565C" w:rsidP="00F8565C">
            <w:r w:rsidRPr="003D733D">
              <w:t>11</w:t>
            </w:r>
          </w:p>
        </w:tc>
        <w:tc>
          <w:tcPr>
            <w:tcW w:w="1890" w:type="dxa"/>
            <w:tcBorders>
              <w:top w:val="nil"/>
              <w:left w:val="nil"/>
              <w:bottom w:val="single" w:sz="4" w:space="0" w:color="auto"/>
              <w:right w:val="single" w:sz="4" w:space="0" w:color="auto"/>
            </w:tcBorders>
            <w:hideMark/>
          </w:tcPr>
          <w:p w14:paraId="6C57F4DE" w14:textId="77777777" w:rsidR="00F8565C" w:rsidRPr="003D733D" w:rsidRDefault="00F8565C" w:rsidP="00F8565C">
            <w:r w:rsidRPr="003D733D">
              <w:t>3 876</w:t>
            </w:r>
          </w:p>
        </w:tc>
        <w:tc>
          <w:tcPr>
            <w:tcW w:w="475" w:type="dxa"/>
            <w:tcBorders>
              <w:top w:val="nil"/>
              <w:left w:val="nil"/>
              <w:bottom w:val="nil"/>
              <w:right w:val="single" w:sz="4" w:space="0" w:color="auto"/>
            </w:tcBorders>
          </w:tcPr>
          <w:p w14:paraId="0559E3E9" w14:textId="77777777" w:rsidR="00F8565C" w:rsidRPr="003D733D" w:rsidRDefault="00F8565C" w:rsidP="00F8565C"/>
        </w:tc>
        <w:tc>
          <w:tcPr>
            <w:tcW w:w="610" w:type="dxa"/>
            <w:tcBorders>
              <w:top w:val="single" w:sz="4" w:space="0" w:color="auto"/>
              <w:left w:val="single" w:sz="4" w:space="0" w:color="auto"/>
              <w:bottom w:val="single" w:sz="4" w:space="0" w:color="auto"/>
              <w:right w:val="single" w:sz="4" w:space="0" w:color="auto"/>
            </w:tcBorders>
            <w:vAlign w:val="bottom"/>
            <w:hideMark/>
          </w:tcPr>
          <w:p w14:paraId="64890D7A" w14:textId="77777777" w:rsidR="00F8565C" w:rsidRPr="003D733D" w:rsidRDefault="00F8565C" w:rsidP="00F8565C">
            <w:r w:rsidRPr="003D733D">
              <w:t>28</w:t>
            </w:r>
          </w:p>
        </w:tc>
        <w:tc>
          <w:tcPr>
            <w:tcW w:w="1975" w:type="dxa"/>
            <w:tcBorders>
              <w:top w:val="single" w:sz="4" w:space="0" w:color="auto"/>
              <w:left w:val="single" w:sz="4" w:space="0" w:color="auto"/>
              <w:bottom w:val="single" w:sz="4" w:space="0" w:color="auto"/>
              <w:right w:val="single" w:sz="4" w:space="0" w:color="auto"/>
            </w:tcBorders>
            <w:hideMark/>
          </w:tcPr>
          <w:p w14:paraId="78D6E51F" w14:textId="77777777" w:rsidR="00F8565C" w:rsidRPr="003D733D" w:rsidRDefault="00F8565C" w:rsidP="00F8565C">
            <w:r w:rsidRPr="003D733D">
              <w:t>11 124</w:t>
            </w:r>
          </w:p>
        </w:tc>
      </w:tr>
      <w:tr w:rsidR="00F8565C" w:rsidRPr="003D733D" w14:paraId="04DB4899" w14:textId="77777777" w:rsidTr="00F8565C">
        <w:trPr>
          <w:jc w:val="center"/>
        </w:trPr>
        <w:tc>
          <w:tcPr>
            <w:tcW w:w="715" w:type="dxa"/>
            <w:tcBorders>
              <w:top w:val="nil"/>
              <w:left w:val="single" w:sz="4" w:space="0" w:color="auto"/>
              <w:bottom w:val="single" w:sz="4" w:space="0" w:color="auto"/>
              <w:right w:val="single" w:sz="4" w:space="0" w:color="auto"/>
            </w:tcBorders>
            <w:vAlign w:val="bottom"/>
            <w:hideMark/>
          </w:tcPr>
          <w:p w14:paraId="717FE898" w14:textId="77777777" w:rsidR="00F8565C" w:rsidRPr="003D733D" w:rsidRDefault="00F8565C" w:rsidP="00F8565C">
            <w:r w:rsidRPr="003D733D">
              <w:t>12</w:t>
            </w:r>
          </w:p>
        </w:tc>
        <w:tc>
          <w:tcPr>
            <w:tcW w:w="1890" w:type="dxa"/>
            <w:tcBorders>
              <w:top w:val="nil"/>
              <w:left w:val="nil"/>
              <w:bottom w:val="single" w:sz="4" w:space="0" w:color="auto"/>
              <w:right w:val="single" w:sz="4" w:space="0" w:color="auto"/>
            </w:tcBorders>
            <w:hideMark/>
          </w:tcPr>
          <w:p w14:paraId="530B163D" w14:textId="77777777" w:rsidR="00F8565C" w:rsidRPr="003D733D" w:rsidRDefault="00F8565C" w:rsidP="00F8565C">
            <w:r w:rsidRPr="003D733D">
              <w:t>4 344</w:t>
            </w:r>
          </w:p>
        </w:tc>
        <w:tc>
          <w:tcPr>
            <w:tcW w:w="475" w:type="dxa"/>
            <w:tcBorders>
              <w:top w:val="nil"/>
              <w:left w:val="nil"/>
              <w:bottom w:val="nil"/>
              <w:right w:val="single" w:sz="4" w:space="0" w:color="auto"/>
            </w:tcBorders>
          </w:tcPr>
          <w:p w14:paraId="6B610849" w14:textId="77777777" w:rsidR="00F8565C" w:rsidRPr="003D733D" w:rsidRDefault="00F8565C" w:rsidP="00F8565C"/>
        </w:tc>
        <w:tc>
          <w:tcPr>
            <w:tcW w:w="610" w:type="dxa"/>
            <w:tcBorders>
              <w:top w:val="single" w:sz="4" w:space="0" w:color="auto"/>
              <w:left w:val="single" w:sz="4" w:space="0" w:color="auto"/>
              <w:bottom w:val="single" w:sz="4" w:space="0" w:color="auto"/>
              <w:right w:val="single" w:sz="4" w:space="0" w:color="auto"/>
            </w:tcBorders>
            <w:vAlign w:val="bottom"/>
            <w:hideMark/>
          </w:tcPr>
          <w:p w14:paraId="0487C877" w14:textId="77777777" w:rsidR="00F8565C" w:rsidRPr="003D733D" w:rsidRDefault="00F8565C" w:rsidP="00F8565C">
            <w:r w:rsidRPr="003D733D">
              <w:t>29</w:t>
            </w:r>
          </w:p>
        </w:tc>
        <w:tc>
          <w:tcPr>
            <w:tcW w:w="1975" w:type="dxa"/>
            <w:tcBorders>
              <w:top w:val="single" w:sz="4" w:space="0" w:color="auto"/>
              <w:left w:val="single" w:sz="4" w:space="0" w:color="auto"/>
              <w:bottom w:val="single" w:sz="4" w:space="0" w:color="auto"/>
              <w:right w:val="single" w:sz="4" w:space="0" w:color="auto"/>
            </w:tcBorders>
            <w:hideMark/>
          </w:tcPr>
          <w:p w14:paraId="68223F17" w14:textId="77777777" w:rsidR="00F8565C" w:rsidRPr="003D733D" w:rsidRDefault="00F8565C" w:rsidP="00F8565C">
            <w:r w:rsidRPr="003D733D">
              <w:t>11 808</w:t>
            </w:r>
          </w:p>
        </w:tc>
      </w:tr>
      <w:tr w:rsidR="00F8565C" w:rsidRPr="003D733D" w14:paraId="1507B87E" w14:textId="77777777" w:rsidTr="00F8565C">
        <w:trPr>
          <w:jc w:val="center"/>
        </w:trPr>
        <w:tc>
          <w:tcPr>
            <w:tcW w:w="715" w:type="dxa"/>
            <w:tcBorders>
              <w:top w:val="nil"/>
              <w:left w:val="single" w:sz="4" w:space="0" w:color="auto"/>
              <w:bottom w:val="single" w:sz="4" w:space="0" w:color="auto"/>
              <w:right w:val="single" w:sz="4" w:space="0" w:color="auto"/>
            </w:tcBorders>
            <w:vAlign w:val="bottom"/>
            <w:hideMark/>
          </w:tcPr>
          <w:p w14:paraId="6B7CD6FE" w14:textId="77777777" w:rsidR="00F8565C" w:rsidRPr="003D733D" w:rsidRDefault="00F8565C" w:rsidP="00F8565C">
            <w:r w:rsidRPr="003D733D">
              <w:t>13</w:t>
            </w:r>
          </w:p>
        </w:tc>
        <w:tc>
          <w:tcPr>
            <w:tcW w:w="1890" w:type="dxa"/>
            <w:tcBorders>
              <w:top w:val="nil"/>
              <w:left w:val="nil"/>
              <w:bottom w:val="single" w:sz="4" w:space="0" w:color="auto"/>
              <w:right w:val="single" w:sz="4" w:space="0" w:color="auto"/>
            </w:tcBorders>
            <w:hideMark/>
          </w:tcPr>
          <w:p w14:paraId="2F50BE11" w14:textId="77777777" w:rsidR="00F8565C" w:rsidRPr="003D733D" w:rsidRDefault="00F8565C" w:rsidP="00F8565C">
            <w:r w:rsidRPr="003D733D">
              <w:t>4 945</w:t>
            </w:r>
          </w:p>
        </w:tc>
        <w:tc>
          <w:tcPr>
            <w:tcW w:w="475" w:type="dxa"/>
            <w:tcBorders>
              <w:top w:val="nil"/>
              <w:left w:val="nil"/>
              <w:bottom w:val="nil"/>
              <w:right w:val="single" w:sz="4" w:space="0" w:color="auto"/>
            </w:tcBorders>
          </w:tcPr>
          <w:p w14:paraId="47986C50" w14:textId="77777777" w:rsidR="00F8565C" w:rsidRPr="003D733D" w:rsidRDefault="00F8565C" w:rsidP="00F8565C"/>
        </w:tc>
        <w:tc>
          <w:tcPr>
            <w:tcW w:w="610" w:type="dxa"/>
            <w:tcBorders>
              <w:top w:val="single" w:sz="4" w:space="0" w:color="auto"/>
              <w:left w:val="single" w:sz="4" w:space="0" w:color="auto"/>
              <w:bottom w:val="single" w:sz="4" w:space="0" w:color="auto"/>
              <w:right w:val="single" w:sz="4" w:space="0" w:color="auto"/>
            </w:tcBorders>
            <w:vAlign w:val="bottom"/>
            <w:hideMark/>
          </w:tcPr>
          <w:p w14:paraId="3D80269C" w14:textId="77777777" w:rsidR="00F8565C" w:rsidRPr="003D733D" w:rsidRDefault="00F8565C" w:rsidP="00F8565C">
            <w:r w:rsidRPr="003D733D">
              <w:t>30</w:t>
            </w:r>
          </w:p>
        </w:tc>
        <w:tc>
          <w:tcPr>
            <w:tcW w:w="1975" w:type="dxa"/>
            <w:tcBorders>
              <w:top w:val="single" w:sz="4" w:space="0" w:color="auto"/>
              <w:left w:val="single" w:sz="4" w:space="0" w:color="auto"/>
              <w:bottom w:val="single" w:sz="4" w:space="0" w:color="auto"/>
              <w:right w:val="single" w:sz="4" w:space="0" w:color="auto"/>
            </w:tcBorders>
            <w:hideMark/>
          </w:tcPr>
          <w:p w14:paraId="7855F793" w14:textId="77777777" w:rsidR="00F8565C" w:rsidRPr="003D733D" w:rsidRDefault="00F8565C" w:rsidP="00F8565C">
            <w:r w:rsidRPr="003D733D">
              <w:t>12 317</w:t>
            </w:r>
          </w:p>
        </w:tc>
      </w:tr>
      <w:tr w:rsidR="00F8565C" w:rsidRPr="003D733D" w14:paraId="3E48A488" w14:textId="77777777" w:rsidTr="00F8565C">
        <w:trPr>
          <w:jc w:val="center"/>
        </w:trPr>
        <w:tc>
          <w:tcPr>
            <w:tcW w:w="715" w:type="dxa"/>
            <w:tcBorders>
              <w:top w:val="nil"/>
              <w:left w:val="single" w:sz="4" w:space="0" w:color="auto"/>
              <w:bottom w:val="single" w:sz="4" w:space="0" w:color="auto"/>
              <w:right w:val="single" w:sz="4" w:space="0" w:color="auto"/>
            </w:tcBorders>
            <w:vAlign w:val="bottom"/>
            <w:hideMark/>
          </w:tcPr>
          <w:p w14:paraId="643D7770" w14:textId="77777777" w:rsidR="00F8565C" w:rsidRPr="003D733D" w:rsidRDefault="00F8565C" w:rsidP="00F8565C">
            <w:r w:rsidRPr="003D733D">
              <w:t>14</w:t>
            </w:r>
          </w:p>
        </w:tc>
        <w:tc>
          <w:tcPr>
            <w:tcW w:w="1890" w:type="dxa"/>
            <w:tcBorders>
              <w:top w:val="nil"/>
              <w:left w:val="nil"/>
              <w:bottom w:val="single" w:sz="4" w:space="0" w:color="auto"/>
              <w:right w:val="single" w:sz="4" w:space="0" w:color="auto"/>
            </w:tcBorders>
            <w:hideMark/>
          </w:tcPr>
          <w:p w14:paraId="251BF056" w14:textId="77777777" w:rsidR="00F8565C" w:rsidRPr="003D733D" w:rsidRDefault="00F8565C" w:rsidP="00F8565C">
            <w:r w:rsidRPr="003D733D">
              <w:t>5 226</w:t>
            </w:r>
          </w:p>
        </w:tc>
        <w:tc>
          <w:tcPr>
            <w:tcW w:w="475" w:type="dxa"/>
            <w:tcBorders>
              <w:top w:val="nil"/>
              <w:left w:val="nil"/>
              <w:bottom w:val="nil"/>
              <w:right w:val="single" w:sz="4" w:space="0" w:color="auto"/>
            </w:tcBorders>
          </w:tcPr>
          <w:p w14:paraId="3BDFD541" w14:textId="77777777" w:rsidR="00F8565C" w:rsidRPr="003D733D" w:rsidRDefault="00F8565C" w:rsidP="00F8565C"/>
        </w:tc>
        <w:tc>
          <w:tcPr>
            <w:tcW w:w="610" w:type="dxa"/>
            <w:tcBorders>
              <w:top w:val="single" w:sz="4" w:space="0" w:color="auto"/>
              <w:left w:val="single" w:sz="4" w:space="0" w:color="auto"/>
              <w:bottom w:val="single" w:sz="4" w:space="0" w:color="auto"/>
              <w:right w:val="single" w:sz="4" w:space="0" w:color="auto"/>
            </w:tcBorders>
            <w:vAlign w:val="bottom"/>
            <w:hideMark/>
          </w:tcPr>
          <w:p w14:paraId="1504F96E" w14:textId="77777777" w:rsidR="00F8565C" w:rsidRPr="003D733D" w:rsidRDefault="00F8565C" w:rsidP="00F8565C">
            <w:r w:rsidRPr="003D733D">
              <w:t>31</w:t>
            </w:r>
          </w:p>
        </w:tc>
        <w:tc>
          <w:tcPr>
            <w:tcW w:w="1975" w:type="dxa"/>
            <w:tcBorders>
              <w:top w:val="single" w:sz="4" w:space="0" w:color="auto"/>
              <w:left w:val="single" w:sz="4" w:space="0" w:color="auto"/>
              <w:bottom w:val="single" w:sz="4" w:space="0" w:color="auto"/>
              <w:right w:val="single" w:sz="4" w:space="0" w:color="auto"/>
            </w:tcBorders>
            <w:hideMark/>
          </w:tcPr>
          <w:p w14:paraId="7AE1AA21" w14:textId="77777777" w:rsidR="00F8565C" w:rsidRPr="003D733D" w:rsidRDefault="00F8565C" w:rsidP="00F8565C">
            <w:r w:rsidRPr="003D733D">
              <w:t>12 760</w:t>
            </w:r>
          </w:p>
        </w:tc>
      </w:tr>
      <w:tr w:rsidR="00F8565C" w:rsidRPr="003D733D" w14:paraId="11A51691" w14:textId="77777777" w:rsidTr="00F8565C">
        <w:trPr>
          <w:jc w:val="center"/>
        </w:trPr>
        <w:tc>
          <w:tcPr>
            <w:tcW w:w="715" w:type="dxa"/>
            <w:tcBorders>
              <w:top w:val="nil"/>
              <w:left w:val="single" w:sz="4" w:space="0" w:color="auto"/>
              <w:bottom w:val="single" w:sz="4" w:space="0" w:color="auto"/>
              <w:right w:val="single" w:sz="4" w:space="0" w:color="auto"/>
            </w:tcBorders>
            <w:vAlign w:val="bottom"/>
            <w:hideMark/>
          </w:tcPr>
          <w:p w14:paraId="03DCC8A8" w14:textId="77777777" w:rsidR="00F8565C" w:rsidRPr="003D733D" w:rsidRDefault="00F8565C" w:rsidP="00F8565C">
            <w:r w:rsidRPr="003D733D">
              <w:t>15</w:t>
            </w:r>
          </w:p>
        </w:tc>
        <w:tc>
          <w:tcPr>
            <w:tcW w:w="1890" w:type="dxa"/>
            <w:tcBorders>
              <w:top w:val="nil"/>
              <w:left w:val="nil"/>
              <w:bottom w:val="single" w:sz="4" w:space="0" w:color="auto"/>
              <w:right w:val="single" w:sz="4" w:space="0" w:color="auto"/>
            </w:tcBorders>
            <w:hideMark/>
          </w:tcPr>
          <w:p w14:paraId="480A80F0" w14:textId="77777777" w:rsidR="00F8565C" w:rsidRPr="003D733D" w:rsidRDefault="00F8565C" w:rsidP="00F8565C">
            <w:r w:rsidRPr="003D733D">
              <w:t>5 504</w:t>
            </w:r>
          </w:p>
        </w:tc>
        <w:tc>
          <w:tcPr>
            <w:tcW w:w="475" w:type="dxa"/>
            <w:tcBorders>
              <w:top w:val="nil"/>
              <w:left w:val="nil"/>
              <w:bottom w:val="nil"/>
              <w:right w:val="single" w:sz="4" w:space="0" w:color="auto"/>
            </w:tcBorders>
          </w:tcPr>
          <w:p w14:paraId="560161F6" w14:textId="77777777" w:rsidR="00F8565C" w:rsidRPr="003D733D" w:rsidRDefault="00F8565C" w:rsidP="00F8565C"/>
        </w:tc>
        <w:tc>
          <w:tcPr>
            <w:tcW w:w="610" w:type="dxa"/>
            <w:tcBorders>
              <w:top w:val="single" w:sz="4" w:space="0" w:color="auto"/>
              <w:left w:val="single" w:sz="4" w:space="0" w:color="auto"/>
              <w:bottom w:val="single" w:sz="4" w:space="0" w:color="auto"/>
              <w:right w:val="single" w:sz="4" w:space="0" w:color="auto"/>
            </w:tcBorders>
            <w:vAlign w:val="bottom"/>
            <w:hideMark/>
          </w:tcPr>
          <w:p w14:paraId="0E17EDFE" w14:textId="77777777" w:rsidR="00F8565C" w:rsidRPr="003D733D" w:rsidRDefault="00F8565C" w:rsidP="00F8565C">
            <w:r w:rsidRPr="003D733D">
              <w:t>32</w:t>
            </w:r>
          </w:p>
        </w:tc>
        <w:tc>
          <w:tcPr>
            <w:tcW w:w="1975" w:type="dxa"/>
            <w:tcBorders>
              <w:top w:val="single" w:sz="4" w:space="0" w:color="auto"/>
              <w:left w:val="single" w:sz="4" w:space="0" w:color="auto"/>
              <w:bottom w:val="single" w:sz="4" w:space="0" w:color="auto"/>
              <w:right w:val="single" w:sz="4" w:space="0" w:color="auto"/>
            </w:tcBorders>
            <w:hideMark/>
          </w:tcPr>
          <w:p w14:paraId="4711D1A9" w14:textId="77777777" w:rsidR="00F8565C" w:rsidRPr="003D733D" w:rsidRDefault="00F8565C" w:rsidP="00F8565C">
            <w:r w:rsidRPr="003D733D">
              <w:t>13135</w:t>
            </w:r>
          </w:p>
        </w:tc>
      </w:tr>
      <w:tr w:rsidR="00F8565C" w:rsidRPr="003D733D" w14:paraId="6C7C5047" w14:textId="77777777" w:rsidTr="00F8565C">
        <w:trPr>
          <w:jc w:val="center"/>
        </w:trPr>
        <w:tc>
          <w:tcPr>
            <w:tcW w:w="715" w:type="dxa"/>
            <w:tcBorders>
              <w:top w:val="nil"/>
              <w:left w:val="single" w:sz="4" w:space="0" w:color="auto"/>
              <w:bottom w:val="single" w:sz="4" w:space="0" w:color="auto"/>
              <w:right w:val="single" w:sz="4" w:space="0" w:color="auto"/>
            </w:tcBorders>
            <w:vAlign w:val="bottom"/>
            <w:hideMark/>
          </w:tcPr>
          <w:p w14:paraId="055F67CF" w14:textId="77777777" w:rsidR="00F8565C" w:rsidRPr="003D733D" w:rsidRDefault="00F8565C" w:rsidP="00F8565C">
            <w:r w:rsidRPr="003D733D">
              <w:t>16</w:t>
            </w:r>
          </w:p>
        </w:tc>
        <w:tc>
          <w:tcPr>
            <w:tcW w:w="1890" w:type="dxa"/>
            <w:tcBorders>
              <w:top w:val="nil"/>
              <w:left w:val="nil"/>
              <w:bottom w:val="single" w:sz="4" w:space="0" w:color="auto"/>
              <w:right w:val="single" w:sz="4" w:space="0" w:color="auto"/>
            </w:tcBorders>
            <w:hideMark/>
          </w:tcPr>
          <w:p w14:paraId="381E2D57" w14:textId="77777777" w:rsidR="00F8565C" w:rsidRPr="003D733D" w:rsidRDefault="00F8565C" w:rsidP="00F8565C">
            <w:r w:rsidRPr="003D733D">
              <w:t>5 892</w:t>
            </w:r>
          </w:p>
        </w:tc>
        <w:tc>
          <w:tcPr>
            <w:tcW w:w="475" w:type="dxa"/>
            <w:tcBorders>
              <w:top w:val="nil"/>
              <w:left w:val="nil"/>
              <w:bottom w:val="nil"/>
              <w:right w:val="single" w:sz="4" w:space="0" w:color="auto"/>
            </w:tcBorders>
          </w:tcPr>
          <w:p w14:paraId="78BE44D5" w14:textId="77777777" w:rsidR="00F8565C" w:rsidRPr="003D733D" w:rsidRDefault="00F8565C" w:rsidP="00F8565C"/>
        </w:tc>
        <w:tc>
          <w:tcPr>
            <w:tcW w:w="610" w:type="dxa"/>
            <w:tcBorders>
              <w:top w:val="single" w:sz="4" w:space="0" w:color="auto"/>
              <w:left w:val="single" w:sz="4" w:space="0" w:color="auto"/>
              <w:bottom w:val="single" w:sz="4" w:space="0" w:color="auto"/>
              <w:right w:val="single" w:sz="4" w:space="0" w:color="auto"/>
            </w:tcBorders>
            <w:vAlign w:val="bottom"/>
            <w:hideMark/>
          </w:tcPr>
          <w:p w14:paraId="3663A49A" w14:textId="77777777" w:rsidR="00F8565C" w:rsidRPr="003D733D" w:rsidRDefault="00F8565C" w:rsidP="00F8565C">
            <w:r w:rsidRPr="003D733D">
              <w:t>33</w:t>
            </w:r>
          </w:p>
        </w:tc>
        <w:tc>
          <w:tcPr>
            <w:tcW w:w="1975" w:type="dxa"/>
            <w:tcBorders>
              <w:top w:val="single" w:sz="4" w:space="0" w:color="auto"/>
              <w:left w:val="single" w:sz="4" w:space="0" w:color="auto"/>
              <w:bottom w:val="single" w:sz="4" w:space="0" w:color="auto"/>
              <w:right w:val="single" w:sz="4" w:space="0" w:color="auto"/>
            </w:tcBorders>
            <w:hideMark/>
          </w:tcPr>
          <w:p w14:paraId="27AE804A" w14:textId="77777777" w:rsidR="00F8565C" w:rsidRPr="003D733D" w:rsidRDefault="00F8565C" w:rsidP="00F8565C">
            <w:r w:rsidRPr="003D733D">
              <w:t>13 937</w:t>
            </w:r>
          </w:p>
        </w:tc>
      </w:tr>
      <w:tr w:rsidR="00F8565C" w:rsidRPr="003D733D" w14:paraId="37817F01" w14:textId="77777777" w:rsidTr="00F8565C">
        <w:trPr>
          <w:jc w:val="center"/>
        </w:trPr>
        <w:tc>
          <w:tcPr>
            <w:tcW w:w="715" w:type="dxa"/>
            <w:tcBorders>
              <w:top w:val="nil"/>
              <w:left w:val="single" w:sz="4" w:space="0" w:color="auto"/>
              <w:bottom w:val="single" w:sz="4" w:space="0" w:color="auto"/>
              <w:right w:val="single" w:sz="4" w:space="0" w:color="auto"/>
            </w:tcBorders>
            <w:vAlign w:val="bottom"/>
            <w:hideMark/>
          </w:tcPr>
          <w:p w14:paraId="782092E0" w14:textId="77777777" w:rsidR="00F8565C" w:rsidRPr="003D733D" w:rsidRDefault="00F8565C" w:rsidP="00F8565C">
            <w:r w:rsidRPr="003D733D">
              <w:t>17</w:t>
            </w:r>
          </w:p>
        </w:tc>
        <w:tc>
          <w:tcPr>
            <w:tcW w:w="1890" w:type="dxa"/>
            <w:tcBorders>
              <w:top w:val="nil"/>
              <w:left w:val="nil"/>
              <w:bottom w:val="single" w:sz="4" w:space="0" w:color="auto"/>
              <w:right w:val="single" w:sz="4" w:space="0" w:color="auto"/>
            </w:tcBorders>
            <w:hideMark/>
          </w:tcPr>
          <w:p w14:paraId="14AF888C" w14:textId="77777777" w:rsidR="00F8565C" w:rsidRPr="003D733D" w:rsidRDefault="00F8565C" w:rsidP="00F8565C">
            <w:r w:rsidRPr="003D733D">
              <w:t>6 405</w:t>
            </w:r>
          </w:p>
        </w:tc>
        <w:tc>
          <w:tcPr>
            <w:tcW w:w="475" w:type="dxa"/>
            <w:tcBorders>
              <w:top w:val="nil"/>
              <w:left w:val="nil"/>
              <w:bottom w:val="nil"/>
              <w:right w:val="single" w:sz="4" w:space="0" w:color="auto"/>
            </w:tcBorders>
          </w:tcPr>
          <w:p w14:paraId="2D162F5D" w14:textId="77777777" w:rsidR="00F8565C" w:rsidRPr="003D733D" w:rsidRDefault="00F8565C" w:rsidP="00F8565C"/>
        </w:tc>
        <w:tc>
          <w:tcPr>
            <w:tcW w:w="610" w:type="dxa"/>
            <w:tcBorders>
              <w:top w:val="single" w:sz="4" w:space="0" w:color="auto"/>
              <w:left w:val="single" w:sz="4" w:space="0" w:color="auto"/>
              <w:bottom w:val="single" w:sz="4" w:space="0" w:color="auto"/>
              <w:right w:val="single" w:sz="4" w:space="0" w:color="auto"/>
            </w:tcBorders>
            <w:vAlign w:val="bottom"/>
            <w:hideMark/>
          </w:tcPr>
          <w:p w14:paraId="4723C7B8" w14:textId="77777777" w:rsidR="00F8565C" w:rsidRPr="003D733D" w:rsidRDefault="00F8565C" w:rsidP="00F8565C">
            <w:r w:rsidRPr="003D733D">
              <w:t>34</w:t>
            </w:r>
          </w:p>
        </w:tc>
        <w:tc>
          <w:tcPr>
            <w:tcW w:w="1975" w:type="dxa"/>
            <w:tcBorders>
              <w:top w:val="single" w:sz="4" w:space="0" w:color="auto"/>
              <w:left w:val="single" w:sz="4" w:space="0" w:color="auto"/>
              <w:bottom w:val="single" w:sz="4" w:space="0" w:color="auto"/>
              <w:right w:val="single" w:sz="4" w:space="0" w:color="auto"/>
            </w:tcBorders>
            <w:hideMark/>
          </w:tcPr>
          <w:p w14:paraId="42B1BBE1" w14:textId="77777777" w:rsidR="00F8565C" w:rsidRPr="003D733D" w:rsidRDefault="00F8565C" w:rsidP="00F8565C">
            <w:r w:rsidRPr="003D733D">
              <w:t>14 000</w:t>
            </w:r>
          </w:p>
        </w:tc>
      </w:tr>
    </w:tbl>
    <w:p w14:paraId="7DF22226" w14:textId="77777777" w:rsidR="00F8565C" w:rsidRPr="003D733D" w:rsidRDefault="00F8565C" w:rsidP="00F8565C"/>
    <w:p w14:paraId="4D15155F" w14:textId="77777777" w:rsidR="00F8565C" w:rsidRPr="003D733D" w:rsidRDefault="00F8565C" w:rsidP="00F8565C">
      <w:r w:rsidRPr="003D733D">
        <w:rPr>
          <w:rFonts w:ascii="Sylfaen" w:hAnsi="Sylfaen" w:cs="Sylfaen"/>
        </w:rPr>
        <w:t>ანუ</w:t>
      </w:r>
      <w:r w:rsidRPr="003D733D">
        <w:t xml:space="preserve"> </w:t>
      </w:r>
      <w:r w:rsidRPr="003D733D">
        <w:rPr>
          <w:rFonts w:ascii="Sylfaen" w:hAnsi="Sylfaen" w:cs="Sylfaen"/>
        </w:rPr>
        <w:t>პროექტის</w:t>
      </w:r>
      <w:r w:rsidRPr="003D733D">
        <w:t xml:space="preserve"> </w:t>
      </w:r>
      <w:r w:rsidRPr="003D733D">
        <w:rPr>
          <w:rFonts w:ascii="Sylfaen" w:hAnsi="Sylfaen" w:cs="Sylfaen"/>
        </w:rPr>
        <w:t>განხორციელების</w:t>
      </w:r>
      <w:r w:rsidRPr="003D733D">
        <w:t xml:space="preserve"> </w:t>
      </w:r>
      <w:r w:rsidRPr="003D733D">
        <w:rPr>
          <w:rFonts w:ascii="Sylfaen" w:hAnsi="Sylfaen" w:cs="Sylfaen"/>
        </w:rPr>
        <w:t>ამჟამინდელი</w:t>
      </w:r>
      <w:r w:rsidRPr="003D733D">
        <w:t xml:space="preserve"> </w:t>
      </w:r>
      <w:r w:rsidRPr="003D733D">
        <w:rPr>
          <w:rFonts w:ascii="Sylfaen" w:hAnsi="Sylfaen" w:cs="Sylfaen"/>
        </w:rPr>
        <w:t>სქემის</w:t>
      </w:r>
      <w:r w:rsidRPr="003D733D">
        <w:t xml:space="preserve"> </w:t>
      </w:r>
      <w:r w:rsidRPr="003D733D">
        <w:rPr>
          <w:rFonts w:ascii="Sylfaen" w:hAnsi="Sylfaen" w:cs="Sylfaen"/>
        </w:rPr>
        <w:t>თანახმად</w:t>
      </w:r>
      <w:r w:rsidRPr="003D733D">
        <w:t xml:space="preserve">, </w:t>
      </w:r>
      <w:r w:rsidRPr="003D733D">
        <w:rPr>
          <w:rFonts w:ascii="Sylfaen" w:hAnsi="Sylfaen" w:cs="Sylfaen"/>
        </w:rPr>
        <w:t>საპროექტო</w:t>
      </w:r>
      <w:r w:rsidRPr="003D733D">
        <w:t xml:space="preserve"> </w:t>
      </w:r>
      <w:r w:rsidRPr="003D733D">
        <w:rPr>
          <w:rFonts w:ascii="Sylfaen" w:hAnsi="Sylfaen" w:cs="Sylfaen"/>
        </w:rPr>
        <w:t>გზა</w:t>
      </w:r>
      <w:r w:rsidRPr="003D733D">
        <w:t xml:space="preserve"> </w:t>
      </w:r>
      <w:r w:rsidRPr="003D733D">
        <w:rPr>
          <w:rFonts w:ascii="Sylfaen" w:hAnsi="Sylfaen" w:cs="Sylfaen"/>
        </w:rPr>
        <w:t>ზემოთ</w:t>
      </w:r>
      <w:r w:rsidRPr="003D733D">
        <w:t xml:space="preserve"> </w:t>
      </w:r>
      <w:r w:rsidRPr="003D733D">
        <w:rPr>
          <w:rFonts w:ascii="Sylfaen" w:hAnsi="Sylfaen" w:cs="Sylfaen"/>
        </w:rPr>
        <w:t>მითითებულ</w:t>
      </w:r>
      <w:r w:rsidRPr="003D733D">
        <w:t xml:space="preserve"> </w:t>
      </w:r>
      <w:r w:rsidRPr="003D733D">
        <w:rPr>
          <w:rFonts w:ascii="Sylfaen" w:hAnsi="Sylfaen" w:cs="Sylfaen"/>
        </w:rPr>
        <w:t>გამანაწილებელ</w:t>
      </w:r>
      <w:r w:rsidRPr="003D733D">
        <w:t xml:space="preserve"> </w:t>
      </w:r>
      <w:r w:rsidRPr="003D733D">
        <w:rPr>
          <w:rFonts w:ascii="Sylfaen" w:hAnsi="Sylfaen" w:cs="Sylfaen"/>
        </w:rPr>
        <w:t>არხებს</w:t>
      </w:r>
      <w:r w:rsidRPr="003D733D">
        <w:t xml:space="preserve"> </w:t>
      </w:r>
      <w:r w:rsidRPr="003D733D">
        <w:rPr>
          <w:rFonts w:ascii="Sylfaen" w:hAnsi="Sylfaen" w:cs="Sylfaen"/>
        </w:rPr>
        <w:t>გადაკვეთს</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სარწყავი</w:t>
      </w:r>
      <w:r w:rsidRPr="003D733D">
        <w:t xml:space="preserve"> </w:t>
      </w:r>
      <w:r w:rsidRPr="003D733D">
        <w:rPr>
          <w:rFonts w:ascii="Sylfaen" w:hAnsi="Sylfaen" w:cs="Sylfaen"/>
        </w:rPr>
        <w:t>სისტემის</w:t>
      </w:r>
      <w:r w:rsidRPr="003D733D">
        <w:t xml:space="preserve"> </w:t>
      </w:r>
      <w:r w:rsidRPr="003D733D">
        <w:rPr>
          <w:rFonts w:ascii="Sylfaen" w:hAnsi="Sylfaen" w:cs="Sylfaen"/>
        </w:rPr>
        <w:t>შენარჩუნების</w:t>
      </w:r>
      <w:r w:rsidRPr="003D733D">
        <w:t xml:space="preserve"> </w:t>
      </w:r>
      <w:r w:rsidRPr="003D733D">
        <w:rPr>
          <w:rFonts w:ascii="Sylfaen" w:hAnsi="Sylfaen" w:cs="Sylfaen"/>
        </w:rPr>
        <w:t>მიზნით</w:t>
      </w:r>
      <w:r w:rsidRPr="003D733D">
        <w:t xml:space="preserve"> </w:t>
      </w:r>
      <w:r w:rsidRPr="003D733D">
        <w:rPr>
          <w:rFonts w:ascii="Sylfaen" w:hAnsi="Sylfaen" w:cs="Sylfaen"/>
        </w:rPr>
        <w:t>გათვალისწინებულია</w:t>
      </w:r>
      <w:r w:rsidRPr="003D733D">
        <w:t xml:space="preserve"> </w:t>
      </w:r>
      <w:r w:rsidRPr="003D733D">
        <w:rPr>
          <w:rFonts w:ascii="Sylfaen" w:hAnsi="Sylfaen" w:cs="Sylfaen"/>
        </w:rPr>
        <w:t>გზის</w:t>
      </w:r>
      <w:r w:rsidRPr="003D733D">
        <w:t xml:space="preserve"> </w:t>
      </w:r>
      <w:r w:rsidRPr="003D733D">
        <w:rPr>
          <w:rFonts w:ascii="Sylfaen" w:hAnsi="Sylfaen" w:cs="Sylfaen"/>
        </w:rPr>
        <w:t>გადამკვეთი</w:t>
      </w:r>
      <w:r w:rsidRPr="003D733D">
        <w:t xml:space="preserve"> </w:t>
      </w:r>
      <w:r w:rsidRPr="003D733D">
        <w:rPr>
          <w:rFonts w:ascii="Sylfaen" w:hAnsi="Sylfaen" w:cs="Sylfaen"/>
        </w:rPr>
        <w:t>დამატებით</w:t>
      </w:r>
      <w:r w:rsidRPr="003D733D">
        <w:t xml:space="preserve"> </w:t>
      </w:r>
      <w:r w:rsidRPr="003D733D">
        <w:rPr>
          <w:rFonts w:ascii="Sylfaen" w:hAnsi="Sylfaen" w:cs="Sylfaen"/>
        </w:rPr>
        <w:t>მილების</w:t>
      </w:r>
      <w:r w:rsidRPr="003D733D">
        <w:t xml:space="preserve"> </w:t>
      </w:r>
      <w:r w:rsidRPr="003D733D">
        <w:rPr>
          <w:rFonts w:ascii="Sylfaen" w:hAnsi="Sylfaen" w:cs="Sylfaen"/>
        </w:rPr>
        <w:t>მოწყობა</w:t>
      </w:r>
      <w:r w:rsidRPr="003D733D">
        <w:t xml:space="preserve">. </w:t>
      </w:r>
      <w:r w:rsidRPr="003D733D">
        <w:rPr>
          <w:rFonts w:ascii="Sylfaen" w:hAnsi="Sylfaen" w:cs="Sylfaen"/>
        </w:rPr>
        <w:t>ზოგადად</w:t>
      </w:r>
      <w:r w:rsidRPr="003D733D">
        <w:t xml:space="preserve">, </w:t>
      </w:r>
      <w:r w:rsidRPr="003D733D">
        <w:rPr>
          <w:rFonts w:ascii="Sylfaen" w:hAnsi="Sylfaen" w:cs="Sylfaen"/>
        </w:rPr>
        <w:t>ეს</w:t>
      </w:r>
      <w:r w:rsidRPr="003D733D">
        <w:t xml:space="preserve"> </w:t>
      </w:r>
      <w:r w:rsidRPr="003D733D">
        <w:rPr>
          <w:rFonts w:ascii="Sylfaen" w:hAnsi="Sylfaen" w:cs="Sylfaen"/>
        </w:rPr>
        <w:t>მოითხოვს</w:t>
      </w:r>
      <w:r w:rsidRPr="003D733D">
        <w:t xml:space="preserve"> </w:t>
      </w:r>
      <w:r w:rsidRPr="003D733D">
        <w:rPr>
          <w:rFonts w:ascii="Sylfaen" w:hAnsi="Sylfaen" w:cs="Sylfaen"/>
        </w:rPr>
        <w:t>მთლიანი</w:t>
      </w:r>
      <w:r w:rsidRPr="003D733D">
        <w:t xml:space="preserve"> </w:t>
      </w:r>
      <w:r w:rsidRPr="003D733D">
        <w:rPr>
          <w:rFonts w:ascii="Sylfaen" w:hAnsi="Sylfaen" w:cs="Sylfaen"/>
        </w:rPr>
        <w:t>საირიგაციო</w:t>
      </w:r>
      <w:r w:rsidRPr="003D733D">
        <w:t xml:space="preserve"> </w:t>
      </w:r>
      <w:r w:rsidRPr="003D733D">
        <w:rPr>
          <w:rFonts w:ascii="Sylfaen" w:hAnsi="Sylfaen" w:cs="Sylfaen"/>
        </w:rPr>
        <w:t>ინფრასტრუქტურის</w:t>
      </w:r>
      <w:r w:rsidRPr="003D733D">
        <w:t xml:space="preserve"> </w:t>
      </w:r>
      <w:r w:rsidRPr="003D733D">
        <w:rPr>
          <w:rFonts w:ascii="Sylfaen" w:hAnsi="Sylfaen" w:cs="Sylfaen"/>
        </w:rPr>
        <w:t>მოდიფიცირებას</w:t>
      </w:r>
      <w:r w:rsidRPr="003D733D">
        <w:t xml:space="preserve"> </w:t>
      </w:r>
      <w:r w:rsidRPr="003D733D">
        <w:rPr>
          <w:rFonts w:ascii="Sylfaen" w:hAnsi="Sylfaen" w:cs="Sylfaen"/>
        </w:rPr>
        <w:t>მოსარწყავი</w:t>
      </w:r>
      <w:r w:rsidRPr="003D733D">
        <w:t xml:space="preserve"> </w:t>
      </w:r>
      <w:r w:rsidRPr="003D733D">
        <w:rPr>
          <w:rFonts w:ascii="Sylfaen" w:hAnsi="Sylfaen" w:cs="Sylfaen"/>
        </w:rPr>
        <w:t>სასოფლო</w:t>
      </w:r>
      <w:r w:rsidRPr="003D733D">
        <w:t>-</w:t>
      </w:r>
      <w:r w:rsidRPr="003D733D">
        <w:rPr>
          <w:rFonts w:ascii="Sylfaen" w:hAnsi="Sylfaen" w:cs="Sylfaen"/>
        </w:rPr>
        <w:t>სამეურნეო</w:t>
      </w:r>
      <w:r w:rsidRPr="003D733D">
        <w:t xml:space="preserve"> </w:t>
      </w:r>
      <w:r w:rsidRPr="003D733D">
        <w:rPr>
          <w:rFonts w:ascii="Sylfaen" w:hAnsi="Sylfaen" w:cs="Sylfaen"/>
        </w:rPr>
        <w:t>ტერიტორიის</w:t>
      </w:r>
      <w:r w:rsidRPr="003D733D">
        <w:t xml:space="preserve"> </w:t>
      </w:r>
      <w:r w:rsidRPr="003D733D">
        <w:rPr>
          <w:rFonts w:ascii="Sylfaen" w:hAnsi="Sylfaen" w:cs="Sylfaen"/>
        </w:rPr>
        <w:t>ნაყოფიერების</w:t>
      </w:r>
      <w:r w:rsidRPr="003D733D">
        <w:t xml:space="preserve"> </w:t>
      </w:r>
      <w:r w:rsidRPr="003D733D">
        <w:rPr>
          <w:rFonts w:ascii="Sylfaen" w:hAnsi="Sylfaen" w:cs="Sylfaen"/>
        </w:rPr>
        <w:t>დაქვეითების</w:t>
      </w:r>
      <w:r w:rsidRPr="003D733D">
        <w:t xml:space="preserve"> </w:t>
      </w:r>
      <w:r w:rsidRPr="003D733D">
        <w:rPr>
          <w:rFonts w:ascii="Sylfaen" w:hAnsi="Sylfaen" w:cs="Sylfaen"/>
        </w:rPr>
        <w:t>თავიდან</w:t>
      </w:r>
      <w:r w:rsidRPr="003D733D">
        <w:t xml:space="preserve"> </w:t>
      </w:r>
      <w:r w:rsidRPr="003D733D">
        <w:rPr>
          <w:rFonts w:ascii="Sylfaen" w:hAnsi="Sylfaen" w:cs="Sylfaen"/>
        </w:rPr>
        <w:t>ასაცილებლად</w:t>
      </w:r>
      <w:r w:rsidRPr="003D733D">
        <w:t>.</w:t>
      </w:r>
    </w:p>
    <w:p w14:paraId="3CE1CA3C" w14:textId="77777777" w:rsidR="00F8565C" w:rsidRPr="003D733D" w:rsidRDefault="00F8565C" w:rsidP="00F8565C">
      <w:r w:rsidRPr="003D733D">
        <w:rPr>
          <w:rFonts w:ascii="Sylfaen" w:hAnsi="Sylfaen" w:cs="Sylfaen"/>
        </w:rPr>
        <w:t>საპროექტო</w:t>
      </w:r>
      <w:r w:rsidRPr="003D733D">
        <w:t xml:space="preserve"> </w:t>
      </w:r>
      <w:r w:rsidRPr="003D733D">
        <w:rPr>
          <w:rFonts w:ascii="Sylfaen" w:hAnsi="Sylfaen" w:cs="Sylfaen"/>
        </w:rPr>
        <w:t>გადაწყვეტის</w:t>
      </w:r>
      <w:r w:rsidRPr="003D733D">
        <w:t xml:space="preserve"> </w:t>
      </w:r>
      <w:r w:rsidRPr="003D733D">
        <w:rPr>
          <w:rFonts w:ascii="Sylfaen" w:hAnsi="Sylfaen" w:cs="Sylfaen"/>
        </w:rPr>
        <w:t>შესაბამისად</w:t>
      </w:r>
      <w:r w:rsidRPr="003D733D">
        <w:t xml:space="preserve">, </w:t>
      </w:r>
      <w:r w:rsidRPr="003D733D">
        <w:rPr>
          <w:rFonts w:ascii="Sylfaen" w:hAnsi="Sylfaen" w:cs="Sylfaen"/>
        </w:rPr>
        <w:t>საჭიროა</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სარწყავი</w:t>
      </w:r>
      <w:r w:rsidRPr="003D733D">
        <w:t xml:space="preserve"> </w:t>
      </w:r>
      <w:r w:rsidRPr="003D733D">
        <w:rPr>
          <w:rFonts w:ascii="Sylfaen" w:hAnsi="Sylfaen" w:cs="Sylfaen"/>
        </w:rPr>
        <w:t>სისტემის</w:t>
      </w:r>
      <w:r w:rsidRPr="003D733D">
        <w:t xml:space="preserve"> </w:t>
      </w:r>
      <w:r w:rsidRPr="003D733D">
        <w:rPr>
          <w:rFonts w:ascii="Sylfaen" w:hAnsi="Sylfaen" w:cs="Sylfaen"/>
        </w:rPr>
        <w:t>დაგრძელება</w:t>
      </w:r>
      <w:r w:rsidRPr="003D733D">
        <w:t xml:space="preserve">, </w:t>
      </w:r>
      <w:r w:rsidRPr="003D733D">
        <w:rPr>
          <w:rFonts w:ascii="Sylfaen" w:hAnsi="Sylfaen" w:cs="Sylfaen"/>
        </w:rPr>
        <w:t>რაც</w:t>
      </w:r>
      <w:r w:rsidRPr="003D733D">
        <w:t xml:space="preserve"> </w:t>
      </w:r>
      <w:r w:rsidRPr="003D733D">
        <w:rPr>
          <w:rFonts w:ascii="Sylfaen" w:hAnsi="Sylfaen" w:cs="Sylfaen"/>
        </w:rPr>
        <w:t>მოიცავს</w:t>
      </w:r>
      <w:r w:rsidRPr="003D733D">
        <w:t>.</w:t>
      </w:r>
    </w:p>
    <w:p w14:paraId="3D1828C7" w14:textId="77777777" w:rsidR="00F8565C" w:rsidRPr="003D733D" w:rsidRDefault="00F8565C" w:rsidP="00F8565C">
      <w:r w:rsidRPr="003D733D">
        <w:t>•</w:t>
      </w:r>
      <w:r w:rsidRPr="003D733D">
        <w:tab/>
      </w:r>
      <w:r w:rsidRPr="003D733D">
        <w:rPr>
          <w:rFonts w:ascii="Sylfaen" w:hAnsi="Sylfaen" w:cs="Sylfaen"/>
        </w:rPr>
        <w:t>ახალი</w:t>
      </w:r>
      <w:r w:rsidRPr="003D733D">
        <w:t xml:space="preserve"> </w:t>
      </w:r>
      <w:r w:rsidRPr="003D733D">
        <w:rPr>
          <w:rFonts w:ascii="Sylfaen" w:hAnsi="Sylfaen" w:cs="Sylfaen"/>
        </w:rPr>
        <w:t>წყალშემშვები</w:t>
      </w:r>
      <w:r w:rsidRPr="003D733D">
        <w:t xml:space="preserve"> </w:t>
      </w:r>
      <w:r w:rsidRPr="003D733D">
        <w:rPr>
          <w:rFonts w:ascii="Sylfaen" w:hAnsi="Sylfaen" w:cs="Sylfaen"/>
        </w:rPr>
        <w:t>კვანძის</w:t>
      </w:r>
      <w:r w:rsidRPr="003D733D">
        <w:t xml:space="preserve"> </w:t>
      </w:r>
      <w:r w:rsidRPr="003D733D">
        <w:rPr>
          <w:rFonts w:ascii="Sylfaen" w:hAnsi="Sylfaen" w:cs="Sylfaen"/>
        </w:rPr>
        <w:t>მშენებლობას</w:t>
      </w:r>
    </w:p>
    <w:p w14:paraId="62E130FC" w14:textId="77777777" w:rsidR="00F8565C" w:rsidRPr="003D733D" w:rsidRDefault="00F8565C" w:rsidP="00F8565C">
      <w:r w:rsidRPr="003D733D">
        <w:t>•</w:t>
      </w:r>
      <w:r w:rsidRPr="003D733D">
        <w:tab/>
      </w:r>
      <w:r w:rsidRPr="003D733D">
        <w:rPr>
          <w:rFonts w:ascii="Sylfaen" w:hAnsi="Sylfaen" w:cs="Sylfaen"/>
        </w:rPr>
        <w:t>ახალი</w:t>
      </w:r>
      <w:r w:rsidRPr="003D733D">
        <w:t xml:space="preserve"> </w:t>
      </w:r>
      <w:r w:rsidRPr="003D733D">
        <w:rPr>
          <w:rFonts w:ascii="Sylfaen" w:hAnsi="Sylfaen" w:cs="Sylfaen"/>
        </w:rPr>
        <w:t>მილსადენის</w:t>
      </w:r>
      <w:r w:rsidRPr="003D733D">
        <w:t xml:space="preserve"> </w:t>
      </w:r>
      <w:r w:rsidRPr="003D733D">
        <w:rPr>
          <w:rFonts w:ascii="Sylfaen" w:hAnsi="Sylfaen" w:cs="Sylfaen"/>
        </w:rPr>
        <w:t>ჩადებას</w:t>
      </w:r>
    </w:p>
    <w:p w14:paraId="74211374" w14:textId="55A59D63" w:rsidR="00F8565C" w:rsidRPr="003D733D" w:rsidRDefault="00F8565C" w:rsidP="00F8565C">
      <w:r w:rsidRPr="003D733D">
        <w:lastRenderedPageBreak/>
        <w:t>•</w:t>
      </w:r>
      <w:r w:rsidRPr="003D733D">
        <w:tab/>
      </w:r>
      <w:r w:rsidRPr="003D733D">
        <w:rPr>
          <w:rFonts w:ascii="Sylfaen" w:hAnsi="Sylfaen" w:cs="Sylfaen"/>
        </w:rPr>
        <w:t>ახალი</w:t>
      </w:r>
      <w:r w:rsidRPr="003D733D">
        <w:t xml:space="preserve"> </w:t>
      </w:r>
      <w:r w:rsidRPr="003D733D">
        <w:rPr>
          <w:rFonts w:ascii="Sylfaen" w:hAnsi="Sylfaen" w:cs="Sylfaen"/>
        </w:rPr>
        <w:t>წყალსაშვი</w:t>
      </w:r>
      <w:r w:rsidRPr="003D733D">
        <w:t xml:space="preserve"> </w:t>
      </w:r>
      <w:r w:rsidRPr="003D733D">
        <w:rPr>
          <w:rFonts w:ascii="Sylfaen" w:hAnsi="Sylfaen" w:cs="Sylfaen"/>
        </w:rPr>
        <w:t>კვანძის</w:t>
      </w:r>
      <w:r w:rsidRPr="003D733D">
        <w:t xml:space="preserve"> </w:t>
      </w:r>
      <w:r w:rsidRPr="003D733D">
        <w:rPr>
          <w:rFonts w:ascii="Sylfaen" w:hAnsi="Sylfaen" w:cs="Sylfaen"/>
        </w:rPr>
        <w:t>მშენებლობას</w:t>
      </w:r>
      <w:r w:rsidRPr="003D733D">
        <w:t xml:space="preserve"> </w:t>
      </w:r>
      <w:r w:rsidRPr="003D733D">
        <w:rPr>
          <w:rFonts w:ascii="Sylfaen" w:hAnsi="Sylfaen" w:cs="Sylfaen"/>
        </w:rPr>
        <w:t>წყლის</w:t>
      </w:r>
      <w:r w:rsidRPr="003D733D">
        <w:t xml:space="preserve"> </w:t>
      </w:r>
      <w:r w:rsidRPr="003D733D">
        <w:rPr>
          <w:rFonts w:ascii="Sylfaen" w:hAnsi="Sylfaen" w:cs="Sylfaen"/>
        </w:rPr>
        <w:t>გამანაწილებელ</w:t>
      </w:r>
      <w:r w:rsidRPr="003D733D">
        <w:t xml:space="preserve"> </w:t>
      </w:r>
      <w:r w:rsidRPr="003D733D">
        <w:rPr>
          <w:rFonts w:ascii="Sylfaen" w:hAnsi="Sylfaen" w:cs="Sylfaen"/>
        </w:rPr>
        <w:t>არხებში</w:t>
      </w:r>
      <w:r w:rsidRPr="003D733D">
        <w:t xml:space="preserve"> </w:t>
      </w:r>
      <w:r w:rsidRPr="003D733D">
        <w:rPr>
          <w:rFonts w:ascii="Sylfaen" w:hAnsi="Sylfaen" w:cs="Sylfaen"/>
        </w:rPr>
        <w:t>გადინების</w:t>
      </w:r>
      <w:r w:rsidRPr="003D733D">
        <w:t xml:space="preserve"> </w:t>
      </w:r>
      <w:r w:rsidRPr="003D733D">
        <w:rPr>
          <w:rFonts w:ascii="Sylfaen" w:hAnsi="Sylfaen" w:cs="Sylfaen"/>
        </w:rPr>
        <w:t>უზრუნველსაყოფად</w:t>
      </w:r>
      <w:r w:rsidRPr="003D733D">
        <w:t>.</w:t>
      </w:r>
      <w:r w:rsidRPr="003D733D">
        <w:rPr>
          <w:noProof/>
          <w:lang w:val="en-US" w:eastAsia="en-US"/>
        </w:rPr>
        <w:drawing>
          <wp:inline distT="0" distB="0" distL="0" distR="0" wp14:anchorId="72166AA8" wp14:editId="60877DA7">
            <wp:extent cx="6276975" cy="3000375"/>
            <wp:effectExtent l="0" t="0" r="9525" b="9525"/>
            <wp:docPr id="57" name="Picture 57" descr="Macintosh HD:Users:carstengriese:Documents:Waterg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Macintosh HD:Users:carstengriese:Documents:Watergate.png"/>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6276975" cy="3000375"/>
                    </a:xfrm>
                    <a:prstGeom prst="rect">
                      <a:avLst/>
                    </a:prstGeom>
                    <a:noFill/>
                    <a:ln>
                      <a:noFill/>
                    </a:ln>
                  </pic:spPr>
                </pic:pic>
              </a:graphicData>
            </a:graphic>
          </wp:inline>
        </w:drawing>
      </w:r>
    </w:p>
    <w:p w14:paraId="33F4362A" w14:textId="55A4857F" w:rsidR="00F8565C" w:rsidRPr="003D733D" w:rsidRDefault="00F8565C" w:rsidP="00F8565C">
      <w:pPr>
        <w:rPr>
          <w:lang w:val="ka-GE"/>
        </w:rPr>
      </w:pPr>
      <w:r w:rsidRPr="003D733D">
        <w:rPr>
          <w:rFonts w:ascii="Sylfaen" w:hAnsi="Sylfaen" w:cs="Sylfaen"/>
        </w:rPr>
        <w:t>სურათი</w:t>
      </w:r>
      <w:r w:rsidRPr="003D733D">
        <w:t xml:space="preserve"> 4.</w:t>
      </w:r>
      <w:r w:rsidR="00EA6DAA">
        <w:rPr>
          <w:rFonts w:ascii="Sylfaen" w:hAnsi="Sylfaen"/>
          <w:lang w:val="ka-GE"/>
        </w:rPr>
        <w:t>8</w:t>
      </w:r>
      <w:r w:rsidRPr="003D733D">
        <w:t>.</w:t>
      </w:r>
      <w:r w:rsidR="009E41F2">
        <w:rPr>
          <w:rFonts w:ascii="Sylfaen" w:hAnsi="Sylfaen"/>
          <w:lang w:val="ka-GE"/>
        </w:rPr>
        <w:t>2-</w:t>
      </w:r>
      <w:r w:rsidRPr="003D733D">
        <w:t xml:space="preserve">1 </w:t>
      </w:r>
      <w:r w:rsidRPr="003D733D">
        <w:rPr>
          <w:rFonts w:ascii="Sylfaen" w:hAnsi="Sylfaen" w:cs="Sylfaen"/>
        </w:rPr>
        <w:t>არსებული</w:t>
      </w:r>
      <w:r w:rsidRPr="003D733D">
        <w:t xml:space="preserve"> </w:t>
      </w:r>
      <w:r w:rsidRPr="003D733D">
        <w:rPr>
          <w:rFonts w:ascii="Sylfaen" w:hAnsi="Sylfaen" w:cs="Sylfaen"/>
        </w:rPr>
        <w:t>საირიგაციო</w:t>
      </w:r>
      <w:r w:rsidRPr="003D733D">
        <w:t xml:space="preserve"> </w:t>
      </w:r>
      <w:r w:rsidRPr="003D733D">
        <w:rPr>
          <w:rFonts w:ascii="Sylfaen" w:hAnsi="Sylfaen" w:cs="Sylfaen"/>
        </w:rPr>
        <w:t>მილგაყვანილობის</w:t>
      </w:r>
      <w:r w:rsidRPr="003D733D">
        <w:t xml:space="preserve"> </w:t>
      </w:r>
      <w:r w:rsidRPr="003D733D">
        <w:rPr>
          <w:rFonts w:ascii="Sylfaen" w:hAnsi="Sylfaen" w:cs="Sylfaen"/>
        </w:rPr>
        <w:t>სისტემების</w:t>
      </w:r>
      <w:r w:rsidRPr="003D733D">
        <w:t xml:space="preserve"> </w:t>
      </w:r>
      <w:r w:rsidRPr="003D733D">
        <w:rPr>
          <w:rFonts w:ascii="Sylfaen" w:hAnsi="Sylfaen" w:cs="Sylfaen"/>
        </w:rPr>
        <w:t>დაზრძელება</w:t>
      </w:r>
    </w:p>
    <w:p w14:paraId="3ACEA7D3" w14:textId="77777777" w:rsidR="00F8565C" w:rsidRPr="003D733D" w:rsidRDefault="00F8565C" w:rsidP="00F8565C"/>
    <w:p w14:paraId="650A7F3D" w14:textId="342345AB" w:rsidR="008E1004" w:rsidRDefault="00F8565C" w:rsidP="008E1004">
      <w:pPr>
        <w:pStyle w:val="EIAheading2"/>
      </w:pPr>
      <w:bookmarkStart w:id="102" w:name="_Toc529977374"/>
      <w:bookmarkStart w:id="103" w:name="_Toc1581507"/>
      <w:r w:rsidRPr="003D733D">
        <w:t>4.</w:t>
      </w:r>
      <w:r w:rsidR="00EA6DAA">
        <w:rPr>
          <w:rFonts w:ascii="Sylfaen" w:hAnsi="Sylfaen"/>
          <w:lang w:val="ka-GE"/>
        </w:rPr>
        <w:t>9</w:t>
      </w:r>
      <w:r w:rsidRPr="003D733D">
        <w:t xml:space="preserve"> </w:t>
      </w:r>
      <w:r w:rsidR="006E62DB">
        <w:rPr>
          <w:rFonts w:ascii="Sylfaen" w:hAnsi="Sylfaen"/>
          <w:lang w:val="ka-GE"/>
        </w:rPr>
        <w:t>ს</w:t>
      </w:r>
      <w:r w:rsidR="008E1004">
        <w:rPr>
          <w:rFonts w:ascii="Sylfaen" w:hAnsi="Sylfaen" w:cs="Sylfaen"/>
        </w:rPr>
        <w:t>აგზაო</w:t>
      </w:r>
      <w:r w:rsidR="008E1004">
        <w:t xml:space="preserve"> </w:t>
      </w:r>
      <w:r w:rsidR="008E1004">
        <w:rPr>
          <w:rFonts w:ascii="Sylfaen" w:hAnsi="Sylfaen" w:cs="Sylfaen"/>
        </w:rPr>
        <w:t>სამოსის</w:t>
      </w:r>
      <w:r w:rsidR="008E1004">
        <w:t xml:space="preserve"> </w:t>
      </w:r>
      <w:r w:rsidR="008E1004">
        <w:rPr>
          <w:rFonts w:ascii="Sylfaen" w:hAnsi="Sylfaen" w:cs="Sylfaen"/>
        </w:rPr>
        <w:t>პროექტირება</w:t>
      </w:r>
      <w:bookmarkEnd w:id="103"/>
    </w:p>
    <w:p w14:paraId="5EC02D36" w14:textId="77777777" w:rsidR="008E1004" w:rsidRDefault="008E1004" w:rsidP="0011522C">
      <w:pPr>
        <w:spacing w:before="120" w:after="120"/>
      </w:pPr>
      <w:r>
        <w:rPr>
          <w:rFonts w:ascii="Sylfaen" w:hAnsi="Sylfaen" w:cs="Sylfaen"/>
        </w:rPr>
        <w:t>ქვემოთ</w:t>
      </w:r>
      <w:r>
        <w:t xml:space="preserve"> </w:t>
      </w:r>
      <w:r>
        <w:rPr>
          <w:rFonts w:ascii="Sylfaen" w:hAnsi="Sylfaen" w:cs="Sylfaen"/>
        </w:rPr>
        <w:t>აღწერილია</w:t>
      </w:r>
      <w:r>
        <w:t xml:space="preserve"> </w:t>
      </w:r>
      <w:r>
        <w:rPr>
          <w:rFonts w:ascii="Sylfaen" w:hAnsi="Sylfaen" w:cs="Sylfaen"/>
        </w:rPr>
        <w:t>სხვადასხვა</w:t>
      </w:r>
      <w:r>
        <w:t xml:space="preserve"> </w:t>
      </w:r>
      <w:r>
        <w:rPr>
          <w:rFonts w:ascii="Sylfaen" w:hAnsi="Sylfaen" w:cs="Sylfaen"/>
        </w:rPr>
        <w:t>ტიპის</w:t>
      </w:r>
      <w:r>
        <w:t xml:space="preserve"> </w:t>
      </w:r>
      <w:r>
        <w:rPr>
          <w:rFonts w:ascii="Sylfaen" w:hAnsi="Sylfaen" w:cs="Sylfaen"/>
        </w:rPr>
        <w:t>საგზაო</w:t>
      </w:r>
      <w:r>
        <w:t xml:space="preserve"> </w:t>
      </w:r>
      <w:r>
        <w:rPr>
          <w:rFonts w:ascii="Sylfaen" w:hAnsi="Sylfaen" w:cs="Sylfaen"/>
        </w:rPr>
        <w:t>სამოსების</w:t>
      </w:r>
      <w:r>
        <w:t xml:space="preserve"> </w:t>
      </w:r>
      <w:r>
        <w:rPr>
          <w:rFonts w:ascii="Sylfaen" w:hAnsi="Sylfaen" w:cs="Sylfaen"/>
        </w:rPr>
        <w:t>წინასწარი</w:t>
      </w:r>
      <w:r>
        <w:t xml:space="preserve"> </w:t>
      </w:r>
      <w:r>
        <w:rPr>
          <w:rFonts w:ascii="Sylfaen" w:hAnsi="Sylfaen" w:cs="Sylfaen"/>
        </w:rPr>
        <w:t>ტექნიკური</w:t>
      </w:r>
      <w:r>
        <w:t xml:space="preserve"> </w:t>
      </w:r>
      <w:r>
        <w:rPr>
          <w:rFonts w:ascii="Sylfaen" w:hAnsi="Sylfaen" w:cs="Sylfaen"/>
        </w:rPr>
        <w:t>პროექტირება</w:t>
      </w:r>
      <w:r>
        <w:t xml:space="preserve"> </w:t>
      </w:r>
      <w:r>
        <w:rPr>
          <w:rFonts w:ascii="Sylfaen" w:hAnsi="Sylfaen" w:cs="Sylfaen"/>
        </w:rPr>
        <w:t>არსებული</w:t>
      </w:r>
      <w:r>
        <w:t xml:space="preserve"> </w:t>
      </w: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სრული</w:t>
      </w:r>
      <w:r>
        <w:t xml:space="preserve"> </w:t>
      </w:r>
      <w:r>
        <w:rPr>
          <w:rFonts w:ascii="Sylfaen" w:hAnsi="Sylfaen" w:cs="Sylfaen"/>
        </w:rPr>
        <w:t>რეკონსტრუქციის</w:t>
      </w:r>
      <w:r>
        <w:t xml:space="preserve"> </w:t>
      </w:r>
      <w:r>
        <w:rPr>
          <w:rFonts w:ascii="Sylfaen" w:hAnsi="Sylfaen" w:cs="Sylfaen"/>
        </w:rPr>
        <w:t>და</w:t>
      </w:r>
      <w:r>
        <w:t xml:space="preserve"> </w:t>
      </w:r>
      <w:r>
        <w:rPr>
          <w:rFonts w:ascii="Sylfaen" w:hAnsi="Sylfaen" w:cs="Sylfaen"/>
        </w:rPr>
        <w:t>უპირატესი</w:t>
      </w:r>
      <w:r>
        <w:t xml:space="preserve"> </w:t>
      </w:r>
      <w:r>
        <w:rPr>
          <w:rFonts w:ascii="Sylfaen" w:hAnsi="Sylfaen" w:cs="Sylfaen"/>
        </w:rPr>
        <w:t>ტრასის</w:t>
      </w:r>
      <w:r>
        <w:t xml:space="preserve"> </w:t>
      </w:r>
      <w:r>
        <w:rPr>
          <w:rFonts w:ascii="Sylfaen" w:hAnsi="Sylfaen" w:cs="Sylfaen"/>
        </w:rPr>
        <w:t>გასწვრივ</w:t>
      </w:r>
      <w:r>
        <w:t xml:space="preserve"> </w:t>
      </w:r>
      <w:r>
        <w:rPr>
          <w:rFonts w:ascii="Sylfaen" w:hAnsi="Sylfaen" w:cs="Sylfaen"/>
        </w:rPr>
        <w:t>ახალი</w:t>
      </w:r>
      <w:r>
        <w:t xml:space="preserve"> </w:t>
      </w:r>
      <w:r>
        <w:rPr>
          <w:rFonts w:ascii="Sylfaen" w:hAnsi="Sylfaen" w:cs="Sylfaen"/>
        </w:rPr>
        <w:t>საგზაო</w:t>
      </w:r>
      <w:r>
        <w:t xml:space="preserve"> </w:t>
      </w:r>
      <w:r>
        <w:rPr>
          <w:rFonts w:ascii="Sylfaen" w:hAnsi="Sylfaen" w:cs="Sylfaen"/>
        </w:rPr>
        <w:t>სამოსების</w:t>
      </w:r>
      <w:r>
        <w:t xml:space="preserve"> </w:t>
      </w:r>
      <w:r>
        <w:rPr>
          <w:rFonts w:ascii="Sylfaen" w:hAnsi="Sylfaen" w:cs="Sylfaen"/>
        </w:rPr>
        <w:t>მშენებლობის</w:t>
      </w:r>
      <w:r>
        <w:t xml:space="preserve"> </w:t>
      </w:r>
      <w:r>
        <w:rPr>
          <w:rFonts w:ascii="Sylfaen" w:hAnsi="Sylfaen" w:cs="Sylfaen"/>
        </w:rPr>
        <w:t>დაშვებით</w:t>
      </w:r>
      <w:r>
        <w:t xml:space="preserve">. </w:t>
      </w:r>
    </w:p>
    <w:p w14:paraId="0D935998" w14:textId="77777777" w:rsidR="008E1004" w:rsidRDefault="008E1004" w:rsidP="0011522C">
      <w:pPr>
        <w:spacing w:before="120" w:after="120"/>
      </w:pPr>
      <w:r>
        <w:rPr>
          <w:rFonts w:ascii="Sylfaen" w:hAnsi="Sylfaen" w:cs="Sylfaen"/>
        </w:rPr>
        <w:t>პროექტირების</w:t>
      </w:r>
      <w:r>
        <w:t xml:space="preserve"> </w:t>
      </w:r>
      <w:r>
        <w:rPr>
          <w:rFonts w:ascii="Sylfaen" w:hAnsi="Sylfaen" w:cs="Sylfaen"/>
        </w:rPr>
        <w:t>პროცედურა</w:t>
      </w:r>
      <w:r>
        <w:t xml:space="preserve"> </w:t>
      </w:r>
      <w:r>
        <w:rPr>
          <w:rFonts w:ascii="Sylfaen" w:hAnsi="Sylfaen" w:cs="Sylfaen"/>
        </w:rPr>
        <w:t>დაფუძნებულია</w:t>
      </w:r>
      <w:r>
        <w:t xml:space="preserve"> </w:t>
      </w:r>
      <w:r>
        <w:rPr>
          <w:rFonts w:ascii="Sylfaen" w:hAnsi="Sylfaen" w:cs="Sylfaen"/>
        </w:rPr>
        <w:t>გეოტექნიკური</w:t>
      </w:r>
      <w:r>
        <w:t xml:space="preserve"> </w:t>
      </w:r>
      <w:r>
        <w:rPr>
          <w:rFonts w:ascii="Sylfaen" w:hAnsi="Sylfaen" w:cs="Sylfaen"/>
        </w:rPr>
        <w:t>კვლევების</w:t>
      </w:r>
      <w:r>
        <w:t xml:space="preserve"> </w:t>
      </w:r>
      <w:r>
        <w:rPr>
          <w:rFonts w:ascii="Sylfaen" w:hAnsi="Sylfaen" w:cs="Sylfaen"/>
        </w:rPr>
        <w:t>პროცესში</w:t>
      </w:r>
      <w:r>
        <w:t xml:space="preserve"> </w:t>
      </w:r>
      <w:r>
        <w:rPr>
          <w:rFonts w:ascii="Sylfaen" w:hAnsi="Sylfaen" w:cs="Sylfaen"/>
        </w:rPr>
        <w:t>მოპოვებულ</w:t>
      </w:r>
      <w:r>
        <w:t xml:space="preserve"> </w:t>
      </w:r>
      <w:r>
        <w:rPr>
          <w:rFonts w:ascii="Sylfaen" w:hAnsi="Sylfaen" w:cs="Sylfaen"/>
        </w:rPr>
        <w:t>ყველა</w:t>
      </w:r>
      <w:r>
        <w:t xml:space="preserve"> </w:t>
      </w:r>
      <w:r>
        <w:rPr>
          <w:rFonts w:ascii="Sylfaen" w:hAnsi="Sylfaen" w:cs="Sylfaen"/>
        </w:rPr>
        <w:t>ხელმისაწვდომ</w:t>
      </w:r>
      <w:r>
        <w:t xml:space="preserve"> </w:t>
      </w:r>
      <w:r>
        <w:rPr>
          <w:rFonts w:ascii="Sylfaen" w:hAnsi="Sylfaen" w:cs="Sylfaen"/>
        </w:rPr>
        <w:t>მონაცემზე</w:t>
      </w:r>
      <w:r>
        <w:t xml:space="preserve"> </w:t>
      </w:r>
      <w:r>
        <w:rPr>
          <w:rFonts w:ascii="Sylfaen" w:hAnsi="Sylfaen" w:cs="Sylfaen"/>
        </w:rPr>
        <w:t>და</w:t>
      </w:r>
      <w:r>
        <w:t xml:space="preserve"> </w:t>
      </w:r>
      <w:r>
        <w:rPr>
          <w:rFonts w:ascii="Sylfaen" w:hAnsi="Sylfaen" w:cs="Sylfaen"/>
        </w:rPr>
        <w:t>სხვა</w:t>
      </w:r>
      <w:r>
        <w:t xml:space="preserve"> </w:t>
      </w:r>
      <w:r>
        <w:rPr>
          <w:rFonts w:ascii="Sylfaen" w:hAnsi="Sylfaen" w:cs="Sylfaen"/>
        </w:rPr>
        <w:t>საანგარიშო</w:t>
      </w:r>
      <w:r>
        <w:t xml:space="preserve"> </w:t>
      </w:r>
      <w:r>
        <w:rPr>
          <w:rFonts w:ascii="Sylfaen" w:hAnsi="Sylfaen" w:cs="Sylfaen"/>
        </w:rPr>
        <w:t>პარამეტრებზე</w:t>
      </w:r>
      <w:r>
        <w:t xml:space="preserve">, </w:t>
      </w:r>
      <w:r>
        <w:rPr>
          <w:rFonts w:ascii="Sylfaen" w:hAnsi="Sylfaen" w:cs="Sylfaen"/>
        </w:rPr>
        <w:t>საგზაო</w:t>
      </w:r>
      <w:r>
        <w:t xml:space="preserve"> </w:t>
      </w:r>
      <w:r>
        <w:rPr>
          <w:rFonts w:ascii="Sylfaen" w:hAnsi="Sylfaen" w:cs="Sylfaen"/>
        </w:rPr>
        <w:t>მოძრაობის</w:t>
      </w:r>
      <w:r>
        <w:t xml:space="preserve"> </w:t>
      </w:r>
      <w:r>
        <w:rPr>
          <w:rFonts w:ascii="Sylfaen" w:hAnsi="Sylfaen" w:cs="Sylfaen"/>
        </w:rPr>
        <w:t>მონაცემებთან</w:t>
      </w:r>
      <w:r>
        <w:t xml:space="preserve"> </w:t>
      </w:r>
      <w:r>
        <w:rPr>
          <w:rFonts w:ascii="Sylfaen" w:hAnsi="Sylfaen" w:cs="Sylfaen"/>
        </w:rPr>
        <w:t>ერთად</w:t>
      </w:r>
      <w:r>
        <w:t xml:space="preserve">. </w:t>
      </w:r>
      <w:r>
        <w:rPr>
          <w:rFonts w:ascii="Sylfaen" w:hAnsi="Sylfaen" w:cs="Sylfaen"/>
        </w:rPr>
        <w:t>გეოტექნიკური</w:t>
      </w:r>
      <w:r>
        <w:t xml:space="preserve"> </w:t>
      </w:r>
      <w:r>
        <w:rPr>
          <w:rFonts w:ascii="Sylfaen" w:hAnsi="Sylfaen" w:cs="Sylfaen"/>
        </w:rPr>
        <w:t>კვლევების</w:t>
      </w:r>
      <w:r>
        <w:t xml:space="preserve">, </w:t>
      </w:r>
      <w:r>
        <w:rPr>
          <w:rFonts w:ascii="Sylfaen" w:hAnsi="Sylfaen" w:cs="Sylfaen"/>
        </w:rPr>
        <w:t>გამოცდების</w:t>
      </w:r>
      <w:r>
        <w:t xml:space="preserve"> </w:t>
      </w:r>
      <w:r>
        <w:rPr>
          <w:rFonts w:ascii="Sylfaen" w:hAnsi="Sylfaen" w:cs="Sylfaen"/>
        </w:rPr>
        <w:t>შედეგების</w:t>
      </w:r>
      <w:r>
        <w:t xml:space="preserve"> </w:t>
      </w:r>
      <w:r>
        <w:rPr>
          <w:rFonts w:ascii="Sylfaen" w:hAnsi="Sylfaen" w:cs="Sylfaen"/>
        </w:rPr>
        <w:t>და</w:t>
      </w:r>
      <w:r>
        <w:t xml:space="preserve"> </w:t>
      </w:r>
      <w:r>
        <w:rPr>
          <w:rFonts w:ascii="Sylfaen" w:hAnsi="Sylfaen" w:cs="Sylfaen"/>
        </w:rPr>
        <w:t>საგზაო</w:t>
      </w:r>
      <w:r>
        <w:t xml:space="preserve"> </w:t>
      </w:r>
      <w:r>
        <w:rPr>
          <w:rFonts w:ascii="Sylfaen" w:hAnsi="Sylfaen" w:cs="Sylfaen"/>
        </w:rPr>
        <w:t>მოძრაობის</w:t>
      </w:r>
      <w:r>
        <w:t xml:space="preserve"> </w:t>
      </w:r>
      <w:r>
        <w:rPr>
          <w:rFonts w:ascii="Sylfaen" w:hAnsi="Sylfaen" w:cs="Sylfaen"/>
        </w:rPr>
        <w:t>მონაცემების</w:t>
      </w:r>
      <w:r>
        <w:t xml:space="preserve"> </w:t>
      </w:r>
      <w:r>
        <w:rPr>
          <w:rFonts w:ascii="Sylfaen" w:hAnsi="Sylfaen" w:cs="Sylfaen"/>
        </w:rPr>
        <w:t>გამოყენებით</w:t>
      </w:r>
      <w:r>
        <w:t xml:space="preserve">, </w:t>
      </w:r>
      <w:r>
        <w:rPr>
          <w:rFonts w:ascii="Sylfaen" w:hAnsi="Sylfaen" w:cs="Sylfaen"/>
        </w:rPr>
        <w:t>დაპროექტდება</w:t>
      </w:r>
      <w:r>
        <w:t xml:space="preserve"> </w:t>
      </w: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წინასწარი</w:t>
      </w:r>
      <w:r>
        <w:t xml:space="preserve"> </w:t>
      </w:r>
      <w:r>
        <w:rPr>
          <w:rFonts w:ascii="Sylfaen" w:hAnsi="Sylfaen" w:cs="Sylfaen"/>
        </w:rPr>
        <w:t>აგებულება</w:t>
      </w:r>
      <w:r>
        <w:t xml:space="preserve">. </w:t>
      </w:r>
    </w:p>
    <w:p w14:paraId="68E0E20D" w14:textId="2B9ED392" w:rsidR="008E1004" w:rsidRDefault="008E1004" w:rsidP="0011522C">
      <w:pPr>
        <w:spacing w:before="120" w:after="120"/>
      </w:pPr>
      <w:r>
        <w:rPr>
          <w:rFonts w:ascii="Sylfaen" w:hAnsi="Sylfaen" w:cs="Sylfaen"/>
        </w:rPr>
        <w:t>საკვლევი</w:t>
      </w:r>
      <w:r>
        <w:t xml:space="preserve"> </w:t>
      </w:r>
      <w:r>
        <w:rPr>
          <w:rFonts w:ascii="Sylfaen" w:hAnsi="Sylfaen" w:cs="Sylfaen"/>
        </w:rPr>
        <w:t>გზების</w:t>
      </w:r>
      <w:r>
        <w:t xml:space="preserve"> </w:t>
      </w:r>
      <w:r>
        <w:rPr>
          <w:rFonts w:ascii="Sylfaen" w:hAnsi="Sylfaen" w:cs="Sylfaen"/>
        </w:rPr>
        <w:t>საგზაო</w:t>
      </w:r>
      <w:r>
        <w:t xml:space="preserve"> </w:t>
      </w:r>
      <w:r>
        <w:rPr>
          <w:rFonts w:ascii="Sylfaen" w:hAnsi="Sylfaen" w:cs="Sylfaen"/>
        </w:rPr>
        <w:t>სამოსების</w:t>
      </w:r>
      <w:r>
        <w:t xml:space="preserve"> </w:t>
      </w:r>
      <w:r>
        <w:rPr>
          <w:rFonts w:ascii="Sylfaen" w:hAnsi="Sylfaen" w:cs="Sylfaen"/>
        </w:rPr>
        <w:t>პროექტირება</w:t>
      </w:r>
      <w:r>
        <w:t xml:space="preserve"> </w:t>
      </w:r>
      <w:r>
        <w:rPr>
          <w:rFonts w:ascii="Sylfaen" w:hAnsi="Sylfaen" w:cs="Sylfaen"/>
        </w:rPr>
        <w:t>ეფუძნება</w:t>
      </w:r>
      <w:r>
        <w:t xml:space="preserve"> </w:t>
      </w:r>
      <w:r w:rsidR="0011522C">
        <w:t>AASHTO</w:t>
      </w:r>
      <w:r>
        <w:t>-</w:t>
      </w:r>
      <w:r>
        <w:rPr>
          <w:rFonts w:ascii="Sylfaen" w:hAnsi="Sylfaen" w:cs="Sylfaen"/>
        </w:rPr>
        <w:t>ს</w:t>
      </w:r>
      <w:r>
        <w:t xml:space="preserve"> </w:t>
      </w:r>
      <w:r>
        <w:rPr>
          <w:rFonts w:ascii="Cambria" w:hAnsi="Cambria" w:cs="Cambria"/>
        </w:rPr>
        <w:t>“</w:t>
      </w: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კონსტრუქციების</w:t>
      </w:r>
      <w:r>
        <w:t xml:space="preserve"> </w:t>
      </w:r>
      <w:r>
        <w:rPr>
          <w:rFonts w:ascii="Sylfaen" w:hAnsi="Sylfaen" w:cs="Sylfaen"/>
        </w:rPr>
        <w:t>პროექტირების</w:t>
      </w:r>
      <w:r>
        <w:t xml:space="preserve"> </w:t>
      </w:r>
      <w:r>
        <w:rPr>
          <w:rFonts w:ascii="Sylfaen" w:hAnsi="Sylfaen" w:cs="Sylfaen"/>
        </w:rPr>
        <w:t>სახელმძღვანელოს</w:t>
      </w:r>
      <w:r>
        <w:rPr>
          <w:rFonts w:ascii="Cambria" w:hAnsi="Cambria" w:cs="Cambria"/>
        </w:rPr>
        <w:t>”</w:t>
      </w:r>
      <w:r>
        <w:t xml:space="preserve"> (1993 </w:t>
      </w:r>
      <w:r>
        <w:rPr>
          <w:rFonts w:ascii="Sylfaen" w:hAnsi="Sylfaen" w:cs="Sylfaen"/>
        </w:rPr>
        <w:t>წ</w:t>
      </w:r>
      <w:r>
        <w:t xml:space="preserve">., </w:t>
      </w:r>
      <w:r>
        <w:rPr>
          <w:rFonts w:ascii="Sylfaen" w:hAnsi="Sylfaen" w:cs="Sylfaen"/>
        </w:rPr>
        <w:t>ტომი</w:t>
      </w:r>
      <w:r>
        <w:t xml:space="preserve"> 1, </w:t>
      </w:r>
      <w:r>
        <w:rPr>
          <w:rFonts w:ascii="Cambria" w:hAnsi="Cambria" w:cs="Cambria"/>
        </w:rPr>
        <w:t>“</w:t>
      </w:r>
      <w:r>
        <w:rPr>
          <w:rFonts w:ascii="Sylfaen" w:hAnsi="Sylfaen" w:cs="Sylfaen"/>
        </w:rPr>
        <w:t>ახალი</w:t>
      </w:r>
      <w:r>
        <w:t xml:space="preserve"> </w:t>
      </w:r>
      <w:r>
        <w:rPr>
          <w:rFonts w:ascii="Sylfaen" w:hAnsi="Sylfaen" w:cs="Sylfaen"/>
        </w:rPr>
        <w:t>მშენებლობის</w:t>
      </w:r>
      <w:r>
        <w:t xml:space="preserve"> </w:t>
      </w:r>
      <w:r>
        <w:rPr>
          <w:rFonts w:ascii="Sylfaen" w:hAnsi="Sylfaen" w:cs="Sylfaen"/>
        </w:rPr>
        <w:t>ან</w:t>
      </w:r>
      <w:r>
        <w:t xml:space="preserve"> </w:t>
      </w:r>
      <w:r>
        <w:rPr>
          <w:rFonts w:ascii="Sylfaen" w:hAnsi="Sylfaen" w:cs="Sylfaen"/>
        </w:rPr>
        <w:t>რეკონსტრუქციის</w:t>
      </w:r>
      <w:r>
        <w:t xml:space="preserve"> </w:t>
      </w:r>
      <w:r>
        <w:rPr>
          <w:rFonts w:ascii="Sylfaen" w:hAnsi="Sylfaen" w:cs="Sylfaen"/>
        </w:rPr>
        <w:t>მეთოდები</w:t>
      </w:r>
      <w:r>
        <w:rPr>
          <w:rFonts w:ascii="Cambria" w:hAnsi="Cambria" w:cs="Cambria"/>
        </w:rPr>
        <w:t>”</w:t>
      </w:r>
      <w:r>
        <w:t xml:space="preserve">). </w:t>
      </w:r>
      <w:r>
        <w:rPr>
          <w:rFonts w:ascii="Sylfaen" w:hAnsi="Sylfaen" w:cs="Sylfaen"/>
        </w:rPr>
        <w:t>აღნიშნული</w:t>
      </w:r>
      <w:r>
        <w:t xml:space="preserve"> </w:t>
      </w:r>
      <w:r>
        <w:rPr>
          <w:rFonts w:ascii="Sylfaen" w:hAnsi="Sylfaen" w:cs="Sylfaen"/>
        </w:rPr>
        <w:t>მიდგომის</w:t>
      </w:r>
      <w:r>
        <w:t xml:space="preserve"> </w:t>
      </w:r>
      <w:r>
        <w:rPr>
          <w:rFonts w:ascii="Sylfaen" w:hAnsi="Sylfaen" w:cs="Sylfaen"/>
        </w:rPr>
        <w:t>გამოყენება</w:t>
      </w:r>
      <w:r>
        <w:t xml:space="preserve"> </w:t>
      </w:r>
      <w:r>
        <w:rPr>
          <w:rFonts w:ascii="Sylfaen" w:hAnsi="Sylfaen" w:cs="Sylfaen"/>
        </w:rPr>
        <w:t>რეკომენდირებულია</w:t>
      </w:r>
      <w:r>
        <w:t xml:space="preserve"> </w:t>
      </w:r>
      <w:r>
        <w:rPr>
          <w:rFonts w:ascii="Sylfaen" w:hAnsi="Sylfaen" w:cs="Sylfaen"/>
        </w:rPr>
        <w:t>საკვლევი</w:t>
      </w:r>
      <w:r>
        <w:t xml:space="preserve"> </w:t>
      </w:r>
      <w:r>
        <w:rPr>
          <w:rFonts w:ascii="Sylfaen" w:hAnsi="Sylfaen" w:cs="Sylfaen"/>
        </w:rPr>
        <w:t>გზების</w:t>
      </w:r>
      <w:r>
        <w:t xml:space="preserve"> </w:t>
      </w:r>
      <w:r>
        <w:rPr>
          <w:rFonts w:ascii="Sylfaen" w:hAnsi="Sylfaen" w:cs="Sylfaen"/>
        </w:rPr>
        <w:t>საგზაო</w:t>
      </w:r>
      <w:r>
        <w:t xml:space="preserve"> </w:t>
      </w:r>
      <w:r>
        <w:rPr>
          <w:rFonts w:ascii="Sylfaen" w:hAnsi="Sylfaen" w:cs="Sylfaen"/>
        </w:rPr>
        <w:t>სამოსებისთვის</w:t>
      </w:r>
      <w:r>
        <w:t xml:space="preserve"> </w:t>
      </w:r>
      <w:r>
        <w:rPr>
          <w:rFonts w:ascii="Sylfaen" w:hAnsi="Sylfaen" w:cs="Sylfaen"/>
        </w:rPr>
        <w:t>ვინაიდან</w:t>
      </w:r>
      <w:r>
        <w:t xml:space="preserve"> </w:t>
      </w:r>
      <w:r w:rsidR="0011522C">
        <w:t>AASHTO</w:t>
      </w:r>
      <w:r>
        <w:t>-</w:t>
      </w:r>
      <w:r>
        <w:rPr>
          <w:rFonts w:ascii="Sylfaen" w:hAnsi="Sylfaen" w:cs="Sylfaen"/>
        </w:rPr>
        <w:t>ს</w:t>
      </w:r>
      <w:r>
        <w:t xml:space="preserve"> </w:t>
      </w:r>
      <w:r>
        <w:rPr>
          <w:rFonts w:ascii="Sylfaen" w:hAnsi="Sylfaen" w:cs="Sylfaen"/>
        </w:rPr>
        <w:t>პროექტირების</w:t>
      </w:r>
      <w:r>
        <w:t xml:space="preserve"> </w:t>
      </w:r>
      <w:r>
        <w:rPr>
          <w:rFonts w:ascii="Sylfaen" w:hAnsi="Sylfaen" w:cs="Sylfaen"/>
        </w:rPr>
        <w:t>მეთოდი</w:t>
      </w:r>
      <w:r>
        <w:t xml:space="preserve"> </w:t>
      </w:r>
      <w:r>
        <w:rPr>
          <w:rFonts w:ascii="Sylfaen" w:hAnsi="Sylfaen" w:cs="Sylfaen"/>
        </w:rPr>
        <w:t>უკვე</w:t>
      </w:r>
      <w:r>
        <w:t xml:space="preserve"> </w:t>
      </w:r>
      <w:r>
        <w:rPr>
          <w:rFonts w:ascii="Sylfaen" w:hAnsi="Sylfaen" w:cs="Sylfaen"/>
        </w:rPr>
        <w:t>არის</w:t>
      </w:r>
      <w:r>
        <w:t xml:space="preserve"> </w:t>
      </w:r>
      <w:r>
        <w:rPr>
          <w:rFonts w:ascii="Sylfaen" w:hAnsi="Sylfaen" w:cs="Sylfaen"/>
        </w:rPr>
        <w:t>აპრობირებული</w:t>
      </w:r>
      <w:r>
        <w:t xml:space="preserve"> </w:t>
      </w:r>
      <w:r>
        <w:rPr>
          <w:rFonts w:ascii="Sylfaen" w:hAnsi="Sylfaen" w:cs="Sylfaen"/>
        </w:rPr>
        <w:t>საქართველოში</w:t>
      </w:r>
      <w:r>
        <w:t xml:space="preserve">. </w:t>
      </w:r>
      <w:r>
        <w:rPr>
          <w:rFonts w:ascii="Sylfaen" w:hAnsi="Sylfaen" w:cs="Sylfaen"/>
        </w:rPr>
        <w:t>დამატებით</w:t>
      </w:r>
      <w:r>
        <w:t xml:space="preserve">, </w:t>
      </w:r>
      <w:r>
        <w:rPr>
          <w:rFonts w:ascii="Sylfaen" w:hAnsi="Sylfaen" w:cs="Sylfaen"/>
        </w:rPr>
        <w:t>შედარებისა</w:t>
      </w:r>
      <w:r>
        <w:t xml:space="preserve"> </w:t>
      </w:r>
      <w:r>
        <w:rPr>
          <w:rFonts w:ascii="Sylfaen" w:hAnsi="Sylfaen" w:cs="Sylfaen"/>
        </w:rPr>
        <w:t>და</w:t>
      </w:r>
      <w:r>
        <w:t xml:space="preserve"> </w:t>
      </w:r>
      <w:r>
        <w:rPr>
          <w:rFonts w:ascii="Sylfaen" w:hAnsi="Sylfaen" w:cs="Sylfaen"/>
        </w:rPr>
        <w:t>დამოწმებისთვის</w:t>
      </w:r>
      <w:r>
        <w:t xml:space="preserve">, </w:t>
      </w: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კონსტრუქციები</w:t>
      </w:r>
      <w:r>
        <w:t xml:space="preserve"> </w:t>
      </w:r>
      <w:r>
        <w:rPr>
          <w:rFonts w:ascii="Sylfaen" w:hAnsi="Sylfaen" w:cs="Sylfaen"/>
        </w:rPr>
        <w:t>გაანგარიშდება</w:t>
      </w:r>
      <w:r>
        <w:t xml:space="preserve"> </w:t>
      </w:r>
      <w:r>
        <w:rPr>
          <w:rFonts w:ascii="Sylfaen" w:hAnsi="Sylfaen" w:cs="Sylfaen"/>
        </w:rPr>
        <w:t>საგზაო</w:t>
      </w:r>
      <w:r>
        <w:t xml:space="preserve"> </w:t>
      </w:r>
      <w:r>
        <w:rPr>
          <w:rFonts w:ascii="Sylfaen" w:hAnsi="Sylfaen" w:cs="Sylfaen"/>
        </w:rPr>
        <w:t>სამოსების</w:t>
      </w:r>
      <w:r>
        <w:t xml:space="preserve"> </w:t>
      </w:r>
      <w:r>
        <w:rPr>
          <w:rFonts w:ascii="Sylfaen" w:hAnsi="Sylfaen" w:cs="Sylfaen"/>
        </w:rPr>
        <w:t>პროექტირების</w:t>
      </w:r>
      <w:r>
        <w:t xml:space="preserve"> </w:t>
      </w:r>
      <w:r>
        <w:rPr>
          <w:rFonts w:ascii="Sylfaen" w:hAnsi="Sylfaen" w:cs="Sylfaen"/>
        </w:rPr>
        <w:t>გერმანული</w:t>
      </w:r>
      <w:r>
        <w:t xml:space="preserve"> </w:t>
      </w:r>
      <w:r>
        <w:rPr>
          <w:rFonts w:ascii="Sylfaen" w:hAnsi="Sylfaen" w:cs="Sylfaen"/>
        </w:rPr>
        <w:t>სტანდარტის</w:t>
      </w:r>
      <w:r>
        <w:t xml:space="preserve"> </w:t>
      </w:r>
      <w:r>
        <w:rPr>
          <w:rFonts w:ascii="Cambria" w:hAnsi="Cambria" w:cs="Cambria"/>
        </w:rPr>
        <w:t>–</w:t>
      </w:r>
      <w:r>
        <w:t xml:space="preserve"> </w:t>
      </w:r>
      <w:r w:rsidR="0011522C">
        <w:t>RStO</w:t>
      </w:r>
      <w:r>
        <w:t>12-</w:t>
      </w:r>
      <w:r>
        <w:rPr>
          <w:rFonts w:ascii="Sylfaen" w:hAnsi="Sylfaen" w:cs="Sylfaen"/>
        </w:rPr>
        <w:t>ის</w:t>
      </w:r>
      <w:r>
        <w:t xml:space="preserve"> </w:t>
      </w:r>
      <w:r>
        <w:rPr>
          <w:rFonts w:ascii="Sylfaen" w:hAnsi="Sylfaen" w:cs="Sylfaen"/>
        </w:rPr>
        <w:t>შესაბამისად</w:t>
      </w:r>
      <w:r>
        <w:t>.</w:t>
      </w:r>
    </w:p>
    <w:p w14:paraId="164CF1A7" w14:textId="77777777" w:rsidR="008E1004" w:rsidRDefault="008E1004" w:rsidP="0011522C">
      <w:pPr>
        <w:spacing w:before="120" w:after="120"/>
      </w:pP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პროექტირების</w:t>
      </w:r>
      <w:r>
        <w:t xml:space="preserve"> </w:t>
      </w:r>
      <w:r>
        <w:rPr>
          <w:rFonts w:ascii="Sylfaen" w:hAnsi="Sylfaen" w:cs="Sylfaen"/>
        </w:rPr>
        <w:t>პროცესი</w:t>
      </w:r>
      <w:r>
        <w:t xml:space="preserve"> </w:t>
      </w:r>
      <w:r>
        <w:rPr>
          <w:rFonts w:ascii="Sylfaen" w:hAnsi="Sylfaen" w:cs="Sylfaen"/>
        </w:rPr>
        <w:t>მოიცავს</w:t>
      </w:r>
      <w:r>
        <w:t xml:space="preserve"> </w:t>
      </w:r>
      <w:r>
        <w:rPr>
          <w:rFonts w:ascii="Sylfaen" w:hAnsi="Sylfaen" w:cs="Sylfaen"/>
        </w:rPr>
        <w:t>სათანადო</w:t>
      </w:r>
      <w:r>
        <w:t xml:space="preserve"> </w:t>
      </w: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გაანგარიშებას</w:t>
      </w:r>
      <w:r>
        <w:t xml:space="preserve"> </w:t>
      </w:r>
      <w:r>
        <w:rPr>
          <w:rFonts w:ascii="Sylfaen" w:hAnsi="Sylfaen" w:cs="Sylfaen"/>
        </w:rPr>
        <w:t>და</w:t>
      </w:r>
      <w:r>
        <w:t xml:space="preserve"> </w:t>
      </w:r>
      <w:r>
        <w:rPr>
          <w:rFonts w:ascii="Sylfaen" w:hAnsi="Sylfaen" w:cs="Sylfaen"/>
        </w:rPr>
        <w:t>საფარის</w:t>
      </w:r>
      <w:r>
        <w:t xml:space="preserve"> </w:t>
      </w:r>
      <w:r>
        <w:rPr>
          <w:rFonts w:ascii="Sylfaen" w:hAnsi="Sylfaen" w:cs="Sylfaen"/>
        </w:rPr>
        <w:t>მასალების</w:t>
      </w:r>
      <w:r>
        <w:t xml:space="preserve"> </w:t>
      </w:r>
      <w:r>
        <w:rPr>
          <w:rFonts w:ascii="Sylfaen" w:hAnsi="Sylfaen" w:cs="Sylfaen"/>
        </w:rPr>
        <w:t>შერჩევას</w:t>
      </w:r>
      <w:r>
        <w:t xml:space="preserve"> </w:t>
      </w: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ადექვატური</w:t>
      </w:r>
      <w:r>
        <w:t xml:space="preserve"> </w:t>
      </w:r>
      <w:r>
        <w:rPr>
          <w:rFonts w:ascii="Sylfaen" w:hAnsi="Sylfaen" w:cs="Sylfaen"/>
        </w:rPr>
        <w:t>მუშაობის</w:t>
      </w:r>
      <w:r>
        <w:t xml:space="preserve"> </w:t>
      </w:r>
      <w:r>
        <w:rPr>
          <w:rFonts w:ascii="Sylfaen" w:hAnsi="Sylfaen" w:cs="Sylfaen"/>
        </w:rPr>
        <w:t>და</w:t>
      </w:r>
      <w:r>
        <w:t xml:space="preserve">, </w:t>
      </w:r>
      <w:r>
        <w:rPr>
          <w:rFonts w:ascii="Sylfaen" w:hAnsi="Sylfaen" w:cs="Sylfaen"/>
        </w:rPr>
        <w:t>ამასთან</w:t>
      </w:r>
      <w:r>
        <w:t xml:space="preserve"> </w:t>
      </w:r>
      <w:r>
        <w:rPr>
          <w:rFonts w:ascii="Sylfaen" w:hAnsi="Sylfaen" w:cs="Sylfaen"/>
        </w:rPr>
        <w:t>ერთად</w:t>
      </w:r>
      <w:r>
        <w:t xml:space="preserve">, </w:t>
      </w:r>
      <w:r>
        <w:rPr>
          <w:rFonts w:ascii="Sylfaen" w:hAnsi="Sylfaen" w:cs="Sylfaen"/>
        </w:rPr>
        <w:t>განსაზღვრულ</w:t>
      </w:r>
      <w:r>
        <w:t xml:space="preserve"> </w:t>
      </w:r>
      <w:r>
        <w:rPr>
          <w:rFonts w:ascii="Sylfaen" w:hAnsi="Sylfaen" w:cs="Sylfaen"/>
        </w:rPr>
        <w:t>საანგარიშო</w:t>
      </w:r>
      <w:r>
        <w:t xml:space="preserve"> </w:t>
      </w:r>
      <w:r>
        <w:rPr>
          <w:rFonts w:ascii="Sylfaen" w:hAnsi="Sylfaen" w:cs="Sylfaen"/>
        </w:rPr>
        <w:t>პერიოდში</w:t>
      </w:r>
      <w:r>
        <w:t xml:space="preserve"> </w:t>
      </w:r>
      <w:r>
        <w:rPr>
          <w:rFonts w:ascii="Sylfaen" w:hAnsi="Sylfaen" w:cs="Sylfaen"/>
        </w:rPr>
        <w:t>მოსალოდნელი</w:t>
      </w:r>
      <w:r>
        <w:t xml:space="preserve"> </w:t>
      </w:r>
      <w:r>
        <w:rPr>
          <w:rFonts w:ascii="Sylfaen" w:hAnsi="Sylfaen" w:cs="Sylfaen"/>
        </w:rPr>
        <w:t>სატრანსპორტო</w:t>
      </w:r>
      <w:r>
        <w:t xml:space="preserve"> </w:t>
      </w:r>
      <w:r>
        <w:rPr>
          <w:rFonts w:ascii="Sylfaen" w:hAnsi="Sylfaen" w:cs="Sylfaen"/>
        </w:rPr>
        <w:t>დატვირთვების</w:t>
      </w:r>
      <w:r>
        <w:t xml:space="preserve"> </w:t>
      </w:r>
      <w:r>
        <w:rPr>
          <w:rFonts w:ascii="Sylfaen" w:hAnsi="Sylfaen" w:cs="Sylfaen"/>
        </w:rPr>
        <w:t>პირობებში</w:t>
      </w:r>
      <w:r>
        <w:t xml:space="preserve"> </w:t>
      </w:r>
      <w:r>
        <w:rPr>
          <w:rFonts w:ascii="Sylfaen" w:hAnsi="Sylfaen" w:cs="Sylfaen"/>
        </w:rPr>
        <w:t>მინიმალური</w:t>
      </w:r>
      <w:r>
        <w:t xml:space="preserve"> </w:t>
      </w:r>
      <w:r>
        <w:rPr>
          <w:rFonts w:ascii="Sylfaen" w:hAnsi="Sylfaen" w:cs="Sylfaen"/>
        </w:rPr>
        <w:t>ტექნიკური</w:t>
      </w:r>
      <w:r>
        <w:t xml:space="preserve"> </w:t>
      </w:r>
      <w:r>
        <w:rPr>
          <w:rFonts w:ascii="Sylfaen" w:hAnsi="Sylfaen" w:cs="Sylfaen"/>
        </w:rPr>
        <w:t>მომსახურების</w:t>
      </w:r>
      <w:r>
        <w:t xml:space="preserve"> </w:t>
      </w:r>
      <w:r>
        <w:rPr>
          <w:rFonts w:ascii="Sylfaen" w:hAnsi="Sylfaen" w:cs="Sylfaen"/>
        </w:rPr>
        <w:t>საჭიროების</w:t>
      </w:r>
      <w:r>
        <w:t xml:space="preserve"> </w:t>
      </w:r>
      <w:r>
        <w:rPr>
          <w:rFonts w:ascii="Sylfaen" w:hAnsi="Sylfaen" w:cs="Sylfaen"/>
        </w:rPr>
        <w:t>უზრუნველყოფის</w:t>
      </w:r>
      <w:r>
        <w:t xml:space="preserve"> </w:t>
      </w:r>
      <w:r>
        <w:rPr>
          <w:rFonts w:ascii="Sylfaen" w:hAnsi="Sylfaen" w:cs="Sylfaen"/>
        </w:rPr>
        <w:t>მიზნით</w:t>
      </w:r>
      <w:r>
        <w:t xml:space="preserve">. </w:t>
      </w:r>
      <w:r>
        <w:rPr>
          <w:rFonts w:ascii="Sylfaen" w:hAnsi="Sylfaen" w:cs="Sylfaen"/>
        </w:rPr>
        <w:t>ამგვარი</w:t>
      </w:r>
      <w:r>
        <w:t xml:space="preserve"> </w:t>
      </w:r>
      <w:r>
        <w:rPr>
          <w:rFonts w:ascii="Sylfaen" w:hAnsi="Sylfaen" w:cs="Sylfaen"/>
        </w:rPr>
        <w:t>შერჩევისას</w:t>
      </w:r>
      <w:r>
        <w:t xml:space="preserve"> </w:t>
      </w:r>
      <w:r>
        <w:rPr>
          <w:rFonts w:ascii="Sylfaen" w:hAnsi="Sylfaen" w:cs="Sylfaen"/>
        </w:rPr>
        <w:t>უნდა</w:t>
      </w:r>
      <w:r>
        <w:t xml:space="preserve"> </w:t>
      </w:r>
      <w:r>
        <w:rPr>
          <w:rFonts w:ascii="Sylfaen" w:hAnsi="Sylfaen" w:cs="Sylfaen"/>
        </w:rPr>
        <w:t>განისაზღვროს</w:t>
      </w:r>
      <w:r>
        <w:t xml:space="preserve"> </w:t>
      </w: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მასალების</w:t>
      </w:r>
      <w:r>
        <w:t xml:space="preserve"> </w:t>
      </w:r>
      <w:r>
        <w:rPr>
          <w:rFonts w:ascii="Sylfaen" w:hAnsi="Sylfaen" w:cs="Sylfaen"/>
        </w:rPr>
        <w:t>ტიპები</w:t>
      </w:r>
      <w:r>
        <w:t xml:space="preserve">, </w:t>
      </w:r>
      <w:r>
        <w:rPr>
          <w:rFonts w:ascii="Sylfaen" w:hAnsi="Sylfaen" w:cs="Sylfaen"/>
        </w:rPr>
        <w:t>დაგების</w:t>
      </w:r>
      <w:r>
        <w:t xml:space="preserve"> </w:t>
      </w:r>
      <w:r>
        <w:rPr>
          <w:rFonts w:ascii="Sylfaen" w:hAnsi="Sylfaen" w:cs="Sylfaen"/>
        </w:rPr>
        <w:t>სისქეები</w:t>
      </w:r>
      <w:r>
        <w:t xml:space="preserve"> </w:t>
      </w:r>
      <w:r>
        <w:rPr>
          <w:rFonts w:ascii="Sylfaen" w:hAnsi="Sylfaen" w:cs="Sylfaen"/>
        </w:rPr>
        <w:t>და</w:t>
      </w:r>
      <w:r>
        <w:t xml:space="preserve"> </w:t>
      </w:r>
      <w:r>
        <w:rPr>
          <w:rFonts w:ascii="Sylfaen" w:hAnsi="Sylfaen" w:cs="Sylfaen"/>
        </w:rPr>
        <w:t>კონფიგურაციები</w:t>
      </w:r>
      <w:r>
        <w:t xml:space="preserve">, </w:t>
      </w:r>
      <w:r>
        <w:rPr>
          <w:rFonts w:ascii="Sylfaen" w:hAnsi="Sylfaen" w:cs="Sylfaen"/>
        </w:rPr>
        <w:t>რომლებიც</w:t>
      </w:r>
      <w:r>
        <w:t xml:space="preserve"> </w:t>
      </w:r>
      <w:r>
        <w:rPr>
          <w:rFonts w:ascii="Sylfaen" w:hAnsi="Sylfaen" w:cs="Sylfaen"/>
        </w:rPr>
        <w:t>შეესაბამებიან</w:t>
      </w:r>
      <w:r>
        <w:t xml:space="preserve"> </w:t>
      </w:r>
      <w:r>
        <w:rPr>
          <w:rFonts w:ascii="Sylfaen" w:hAnsi="Sylfaen" w:cs="Sylfaen"/>
        </w:rPr>
        <w:t>პროექტირების</w:t>
      </w:r>
      <w:r>
        <w:t xml:space="preserve"> </w:t>
      </w:r>
      <w:r>
        <w:rPr>
          <w:rFonts w:ascii="Sylfaen" w:hAnsi="Sylfaen" w:cs="Sylfaen"/>
        </w:rPr>
        <w:t>მიზნებს</w:t>
      </w:r>
      <w:r>
        <w:t xml:space="preserve"> </w:t>
      </w:r>
      <w:r>
        <w:rPr>
          <w:rFonts w:ascii="Sylfaen" w:hAnsi="Sylfaen" w:cs="Sylfaen"/>
        </w:rPr>
        <w:t>და</w:t>
      </w:r>
      <w:r>
        <w:t xml:space="preserve"> </w:t>
      </w:r>
      <w:r>
        <w:rPr>
          <w:rFonts w:ascii="Sylfaen" w:hAnsi="Sylfaen" w:cs="Sylfaen"/>
        </w:rPr>
        <w:t>ფუნქციონალურ</w:t>
      </w:r>
      <w:r>
        <w:t xml:space="preserve"> (</w:t>
      </w:r>
      <w:r>
        <w:rPr>
          <w:rFonts w:ascii="Sylfaen" w:hAnsi="Sylfaen" w:cs="Sylfaen"/>
        </w:rPr>
        <w:t>საექსპლუატაციო</w:t>
      </w:r>
      <w:r>
        <w:t xml:space="preserve">) </w:t>
      </w:r>
      <w:r>
        <w:rPr>
          <w:rFonts w:ascii="Sylfaen" w:hAnsi="Sylfaen" w:cs="Sylfaen"/>
        </w:rPr>
        <w:t>მოთხოვნებს</w:t>
      </w:r>
      <w:r>
        <w:t>.</w:t>
      </w:r>
    </w:p>
    <w:p w14:paraId="20DF60D9" w14:textId="77777777" w:rsidR="008E1004" w:rsidRDefault="008E1004" w:rsidP="0011522C">
      <w:pPr>
        <w:spacing w:before="120" w:after="120"/>
      </w:pPr>
      <w:r>
        <w:rPr>
          <w:rFonts w:ascii="Sylfaen" w:hAnsi="Sylfaen" w:cs="Sylfaen"/>
        </w:rPr>
        <w:t>პროექტირების</w:t>
      </w:r>
      <w:r>
        <w:t xml:space="preserve"> </w:t>
      </w:r>
      <w:r>
        <w:rPr>
          <w:rFonts w:ascii="Sylfaen" w:hAnsi="Sylfaen" w:cs="Sylfaen"/>
        </w:rPr>
        <w:t>პროცესი</w:t>
      </w:r>
      <w:r>
        <w:t xml:space="preserve"> </w:t>
      </w:r>
      <w:r>
        <w:rPr>
          <w:rFonts w:ascii="Sylfaen" w:hAnsi="Sylfaen" w:cs="Sylfaen"/>
        </w:rPr>
        <w:t>მოიცავს</w:t>
      </w:r>
      <w:r>
        <w:t xml:space="preserve"> </w:t>
      </w:r>
      <w:r>
        <w:rPr>
          <w:rFonts w:ascii="Sylfaen" w:hAnsi="Sylfaen" w:cs="Sylfaen"/>
        </w:rPr>
        <w:t>საგზაო</w:t>
      </w:r>
      <w:r>
        <w:t xml:space="preserve"> </w:t>
      </w:r>
      <w:r>
        <w:rPr>
          <w:rFonts w:ascii="Sylfaen" w:hAnsi="Sylfaen" w:cs="Sylfaen"/>
        </w:rPr>
        <w:t>სამოსების</w:t>
      </w:r>
      <w:r>
        <w:t xml:space="preserve"> </w:t>
      </w:r>
      <w:r>
        <w:rPr>
          <w:rFonts w:ascii="Sylfaen" w:hAnsi="Sylfaen" w:cs="Sylfaen"/>
        </w:rPr>
        <w:t>ფენების</w:t>
      </w:r>
      <w:r>
        <w:t xml:space="preserve"> </w:t>
      </w:r>
      <w:r>
        <w:rPr>
          <w:rFonts w:ascii="Sylfaen" w:hAnsi="Sylfaen" w:cs="Sylfaen"/>
        </w:rPr>
        <w:t>შემადგენელი</w:t>
      </w:r>
      <w:r>
        <w:t xml:space="preserve"> </w:t>
      </w:r>
      <w:r>
        <w:rPr>
          <w:rFonts w:ascii="Sylfaen" w:hAnsi="Sylfaen" w:cs="Sylfaen"/>
        </w:rPr>
        <w:t>მასალების</w:t>
      </w:r>
      <w:r>
        <w:t xml:space="preserve"> </w:t>
      </w:r>
      <w:r>
        <w:rPr>
          <w:rFonts w:ascii="Sylfaen" w:hAnsi="Sylfaen" w:cs="Sylfaen"/>
        </w:rPr>
        <w:t>ტიპების</w:t>
      </w:r>
      <w:r>
        <w:t xml:space="preserve">, </w:t>
      </w:r>
      <w:r>
        <w:rPr>
          <w:rFonts w:ascii="Sylfaen" w:hAnsi="Sylfaen" w:cs="Sylfaen"/>
        </w:rPr>
        <w:t>სისქეების</w:t>
      </w:r>
      <w:r>
        <w:t xml:space="preserve"> </w:t>
      </w:r>
      <w:r>
        <w:rPr>
          <w:rFonts w:ascii="Sylfaen" w:hAnsi="Sylfaen" w:cs="Sylfaen"/>
        </w:rPr>
        <w:t>და</w:t>
      </w:r>
      <w:r>
        <w:t xml:space="preserve"> </w:t>
      </w:r>
      <w:r>
        <w:rPr>
          <w:rFonts w:ascii="Sylfaen" w:hAnsi="Sylfaen" w:cs="Sylfaen"/>
        </w:rPr>
        <w:t>კონფიგურაციების</w:t>
      </w:r>
      <w:r>
        <w:t xml:space="preserve"> </w:t>
      </w:r>
      <w:r>
        <w:rPr>
          <w:rFonts w:ascii="Sylfaen" w:hAnsi="Sylfaen" w:cs="Sylfaen"/>
        </w:rPr>
        <w:t>განსაზღვრას</w:t>
      </w:r>
      <w:r>
        <w:t xml:space="preserve"> </w:t>
      </w:r>
      <w:r>
        <w:rPr>
          <w:rFonts w:ascii="Sylfaen" w:hAnsi="Sylfaen" w:cs="Sylfaen"/>
        </w:rPr>
        <w:t>პროექტირების</w:t>
      </w:r>
      <w:r>
        <w:t xml:space="preserve"> </w:t>
      </w:r>
      <w:r>
        <w:rPr>
          <w:rFonts w:ascii="Sylfaen" w:hAnsi="Sylfaen" w:cs="Sylfaen"/>
        </w:rPr>
        <w:t>და</w:t>
      </w:r>
      <w:r>
        <w:t xml:space="preserve"> </w:t>
      </w:r>
      <w:r>
        <w:rPr>
          <w:rFonts w:ascii="Sylfaen" w:hAnsi="Sylfaen" w:cs="Sylfaen"/>
        </w:rPr>
        <w:t>ფუნქციონირების</w:t>
      </w:r>
      <w:r>
        <w:t xml:space="preserve"> </w:t>
      </w:r>
      <w:r>
        <w:rPr>
          <w:rFonts w:ascii="Sylfaen" w:hAnsi="Sylfaen" w:cs="Sylfaen"/>
        </w:rPr>
        <w:t>მიზნების</w:t>
      </w:r>
      <w:r>
        <w:t xml:space="preserve"> </w:t>
      </w:r>
      <w:r>
        <w:rPr>
          <w:rFonts w:ascii="Sylfaen" w:hAnsi="Sylfaen" w:cs="Sylfaen"/>
        </w:rPr>
        <w:t>გათვალისწინებით</w:t>
      </w:r>
      <w:r>
        <w:t>.</w:t>
      </w:r>
    </w:p>
    <w:p w14:paraId="34931BC1" w14:textId="77777777" w:rsidR="008E1004" w:rsidRDefault="008E1004" w:rsidP="0011522C">
      <w:pPr>
        <w:spacing w:before="120" w:after="120"/>
      </w:pPr>
      <w:r>
        <w:rPr>
          <w:rFonts w:ascii="Sylfaen" w:hAnsi="Sylfaen" w:cs="Sylfaen"/>
        </w:rPr>
        <w:lastRenderedPageBreak/>
        <w:t>ფუნქციონალური</w:t>
      </w:r>
      <w:r>
        <w:t xml:space="preserve"> </w:t>
      </w:r>
      <w:r>
        <w:rPr>
          <w:rFonts w:ascii="Sylfaen" w:hAnsi="Sylfaen" w:cs="Sylfaen"/>
        </w:rPr>
        <w:t>მოთხოვნები</w:t>
      </w:r>
      <w:r>
        <w:t xml:space="preserve"> </w:t>
      </w:r>
      <w:r>
        <w:rPr>
          <w:rFonts w:ascii="Sylfaen" w:hAnsi="Sylfaen" w:cs="Sylfaen"/>
        </w:rPr>
        <w:t>მოიცავს</w:t>
      </w:r>
      <w:r>
        <w:t>:</w:t>
      </w:r>
    </w:p>
    <w:p w14:paraId="0A9C9A6D" w14:textId="77777777" w:rsidR="008E1004" w:rsidRDefault="008E1004" w:rsidP="008E1004">
      <w:r>
        <w:rPr>
          <w:rFonts w:ascii="Sylfaen" w:hAnsi="Sylfaen" w:cs="Sylfaen"/>
        </w:rPr>
        <w:t>გზის</w:t>
      </w:r>
      <w:r>
        <w:t xml:space="preserve"> </w:t>
      </w:r>
      <w:r>
        <w:rPr>
          <w:rFonts w:ascii="Sylfaen" w:hAnsi="Sylfaen" w:cs="Sylfaen"/>
        </w:rPr>
        <w:t>ყველა</w:t>
      </w:r>
      <w:r>
        <w:t xml:space="preserve"> </w:t>
      </w:r>
      <w:r>
        <w:rPr>
          <w:rFonts w:ascii="Sylfaen" w:hAnsi="Sylfaen" w:cs="Sylfaen"/>
        </w:rPr>
        <w:t>მოსარგებლის</w:t>
      </w:r>
      <w:r>
        <w:t xml:space="preserve">, </w:t>
      </w:r>
      <w:r>
        <w:rPr>
          <w:rFonts w:ascii="Sylfaen" w:hAnsi="Sylfaen" w:cs="Sylfaen"/>
        </w:rPr>
        <w:t>მათ</w:t>
      </w:r>
      <w:r>
        <w:t xml:space="preserve"> </w:t>
      </w:r>
      <w:r>
        <w:rPr>
          <w:rFonts w:ascii="Sylfaen" w:hAnsi="Sylfaen" w:cs="Sylfaen"/>
        </w:rPr>
        <w:t>შორის</w:t>
      </w:r>
      <w:r>
        <w:t xml:space="preserve">, </w:t>
      </w:r>
      <w:r>
        <w:rPr>
          <w:rFonts w:ascii="Sylfaen" w:hAnsi="Sylfaen" w:cs="Sylfaen"/>
        </w:rPr>
        <w:t>ავტომობილების</w:t>
      </w:r>
      <w:r>
        <w:t xml:space="preserve">, </w:t>
      </w:r>
      <w:r>
        <w:rPr>
          <w:rFonts w:ascii="Sylfaen" w:hAnsi="Sylfaen" w:cs="Sylfaen"/>
        </w:rPr>
        <w:t>მოტოციკლების</w:t>
      </w:r>
      <w:r>
        <w:t xml:space="preserve"> </w:t>
      </w:r>
      <w:r>
        <w:rPr>
          <w:rFonts w:ascii="Sylfaen" w:hAnsi="Sylfaen" w:cs="Sylfaen"/>
        </w:rPr>
        <w:t>და</w:t>
      </w:r>
      <w:r>
        <w:t xml:space="preserve"> </w:t>
      </w:r>
      <w:r>
        <w:rPr>
          <w:rFonts w:ascii="Sylfaen" w:hAnsi="Sylfaen" w:cs="Sylfaen"/>
        </w:rPr>
        <w:t>ფეხით</w:t>
      </w:r>
      <w:r>
        <w:t xml:space="preserve"> </w:t>
      </w:r>
      <w:r>
        <w:rPr>
          <w:rFonts w:ascii="Sylfaen" w:hAnsi="Sylfaen" w:cs="Sylfaen"/>
        </w:rPr>
        <w:t>მოსიარულეების</w:t>
      </w:r>
      <w:r>
        <w:t xml:space="preserve"> </w:t>
      </w:r>
      <w:r>
        <w:rPr>
          <w:rFonts w:ascii="Sylfaen" w:hAnsi="Sylfaen" w:cs="Sylfaen"/>
        </w:rPr>
        <w:t>უზრუნველყოფას</w:t>
      </w:r>
      <w:r>
        <w:t xml:space="preserve"> </w:t>
      </w:r>
      <w:r>
        <w:rPr>
          <w:rFonts w:ascii="Sylfaen" w:hAnsi="Sylfaen" w:cs="Sylfaen"/>
        </w:rPr>
        <w:t>გზის</w:t>
      </w:r>
      <w:r>
        <w:t xml:space="preserve"> </w:t>
      </w:r>
      <w:r>
        <w:rPr>
          <w:rFonts w:ascii="Sylfaen" w:hAnsi="Sylfaen" w:cs="Sylfaen"/>
        </w:rPr>
        <w:t>დასახული</w:t>
      </w:r>
      <w:r>
        <w:t xml:space="preserve"> </w:t>
      </w:r>
      <w:r>
        <w:rPr>
          <w:rFonts w:ascii="Sylfaen" w:hAnsi="Sylfaen" w:cs="Sylfaen"/>
        </w:rPr>
        <w:t>დანიშნულებისა</w:t>
      </w:r>
      <w:r>
        <w:t xml:space="preserve"> </w:t>
      </w:r>
      <w:r>
        <w:rPr>
          <w:rFonts w:ascii="Sylfaen" w:hAnsi="Sylfaen" w:cs="Sylfaen"/>
        </w:rPr>
        <w:t>და</w:t>
      </w:r>
      <w:r>
        <w:t xml:space="preserve"> </w:t>
      </w:r>
      <w:r>
        <w:rPr>
          <w:rFonts w:ascii="Sylfaen" w:hAnsi="Sylfaen" w:cs="Sylfaen"/>
        </w:rPr>
        <w:t>დატვირთვის</w:t>
      </w:r>
      <w:r>
        <w:t xml:space="preserve"> </w:t>
      </w:r>
      <w:r>
        <w:rPr>
          <w:rFonts w:ascii="Sylfaen" w:hAnsi="Sylfaen" w:cs="Sylfaen"/>
        </w:rPr>
        <w:t>შესაფერისი</w:t>
      </w:r>
      <w:r>
        <w:t xml:space="preserve"> </w:t>
      </w:r>
      <w:r>
        <w:rPr>
          <w:rFonts w:ascii="Sylfaen" w:hAnsi="Sylfaen" w:cs="Sylfaen"/>
        </w:rPr>
        <w:t>უსაფრთხო</w:t>
      </w:r>
      <w:r>
        <w:t xml:space="preserve"> </w:t>
      </w:r>
      <w:r>
        <w:rPr>
          <w:rFonts w:ascii="Sylfaen" w:hAnsi="Sylfaen" w:cs="Sylfaen"/>
        </w:rPr>
        <w:t>და</w:t>
      </w:r>
      <w:r>
        <w:t xml:space="preserve"> </w:t>
      </w:r>
      <w:r>
        <w:rPr>
          <w:rFonts w:ascii="Sylfaen" w:hAnsi="Sylfaen" w:cs="Sylfaen"/>
        </w:rPr>
        <w:t>კომფორტული</w:t>
      </w:r>
      <w:r>
        <w:t xml:space="preserve"> </w:t>
      </w:r>
      <w:r>
        <w:rPr>
          <w:rFonts w:ascii="Sylfaen" w:hAnsi="Sylfaen" w:cs="Sylfaen"/>
        </w:rPr>
        <w:t>გადაადგილებისთვის</w:t>
      </w:r>
      <w:r>
        <w:t xml:space="preserve"> </w:t>
      </w:r>
      <w:r>
        <w:rPr>
          <w:rFonts w:ascii="Sylfaen" w:hAnsi="Sylfaen" w:cs="Sylfaen"/>
        </w:rPr>
        <w:t>საჭირო</w:t>
      </w:r>
      <w:r>
        <w:t xml:space="preserve"> </w:t>
      </w:r>
      <w:r>
        <w:rPr>
          <w:rFonts w:ascii="Sylfaen" w:hAnsi="Sylfaen" w:cs="Sylfaen"/>
        </w:rPr>
        <w:t>პირობებით</w:t>
      </w:r>
      <w:r>
        <w:t>;</w:t>
      </w:r>
    </w:p>
    <w:p w14:paraId="34DCFCDF" w14:textId="77777777" w:rsidR="008E1004" w:rsidRDefault="008E1004" w:rsidP="008E1004">
      <w:r>
        <w:rPr>
          <w:rFonts w:ascii="Sylfaen" w:hAnsi="Sylfaen" w:cs="Sylfaen"/>
        </w:rPr>
        <w:t>გზის</w:t>
      </w:r>
      <w:r>
        <w:t xml:space="preserve"> </w:t>
      </w:r>
      <w:r>
        <w:rPr>
          <w:rFonts w:ascii="Sylfaen" w:hAnsi="Sylfaen" w:cs="Sylfaen"/>
        </w:rPr>
        <w:t>საკუთრებაში</w:t>
      </w:r>
      <w:r>
        <w:t xml:space="preserve"> </w:t>
      </w:r>
      <w:r>
        <w:rPr>
          <w:rFonts w:ascii="Sylfaen" w:hAnsi="Sylfaen" w:cs="Sylfaen"/>
        </w:rPr>
        <w:t>ფლობასთან</w:t>
      </w:r>
      <w:r>
        <w:t xml:space="preserve"> </w:t>
      </w:r>
      <w:r>
        <w:rPr>
          <w:rFonts w:ascii="Sylfaen" w:hAnsi="Sylfaen" w:cs="Sylfaen"/>
        </w:rPr>
        <w:t>დაკავშირებული</w:t>
      </w:r>
      <w:r>
        <w:t xml:space="preserve"> (</w:t>
      </w:r>
      <w:r>
        <w:rPr>
          <w:rFonts w:ascii="Sylfaen" w:hAnsi="Sylfaen" w:cs="Sylfaen"/>
        </w:rPr>
        <w:t>ანუ</w:t>
      </w:r>
      <w:r>
        <w:t xml:space="preserve"> </w:t>
      </w:r>
      <w:r>
        <w:rPr>
          <w:rFonts w:ascii="Sylfaen" w:hAnsi="Sylfaen" w:cs="Sylfaen"/>
        </w:rPr>
        <w:t>სრულ</w:t>
      </w:r>
      <w:r>
        <w:t xml:space="preserve"> </w:t>
      </w:r>
      <w:r>
        <w:rPr>
          <w:rFonts w:ascii="Sylfaen" w:hAnsi="Sylfaen" w:cs="Sylfaen"/>
        </w:rPr>
        <w:t>საექსპლუატაციო</w:t>
      </w:r>
      <w:r>
        <w:t xml:space="preserve"> </w:t>
      </w:r>
      <w:r>
        <w:rPr>
          <w:rFonts w:ascii="Sylfaen" w:hAnsi="Sylfaen" w:cs="Sylfaen"/>
        </w:rPr>
        <w:t>ვადაში</w:t>
      </w:r>
      <w:r>
        <w:t xml:space="preserve"> </w:t>
      </w:r>
      <w:r>
        <w:rPr>
          <w:rFonts w:ascii="Sylfaen" w:hAnsi="Sylfaen" w:cs="Sylfaen"/>
        </w:rPr>
        <w:t>გასაწევი</w:t>
      </w:r>
      <w:r>
        <w:t xml:space="preserve">) </w:t>
      </w:r>
      <w:r>
        <w:rPr>
          <w:rFonts w:ascii="Sylfaen" w:hAnsi="Sylfaen" w:cs="Sylfaen"/>
        </w:rPr>
        <w:t>ხარჯების</w:t>
      </w:r>
      <w:r>
        <w:t xml:space="preserve"> </w:t>
      </w:r>
      <w:r>
        <w:rPr>
          <w:rFonts w:ascii="Sylfaen" w:hAnsi="Sylfaen" w:cs="Sylfaen"/>
        </w:rPr>
        <w:t>მინიმიზირებას</w:t>
      </w:r>
      <w:r>
        <w:t>;</w:t>
      </w:r>
    </w:p>
    <w:p w14:paraId="26D459B2" w14:textId="77777777" w:rsidR="0011522C" w:rsidRDefault="008E1004" w:rsidP="008E1004">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სტანდარტებთან</w:t>
      </w:r>
      <w:r>
        <w:t xml:space="preserve"> </w:t>
      </w:r>
      <w:r>
        <w:rPr>
          <w:rFonts w:ascii="Sylfaen" w:hAnsi="Sylfaen" w:cs="Sylfaen"/>
        </w:rPr>
        <w:t>და</w:t>
      </w:r>
      <w:r>
        <w:t xml:space="preserve"> </w:t>
      </w:r>
      <w:r>
        <w:rPr>
          <w:rFonts w:ascii="Sylfaen" w:hAnsi="Sylfaen" w:cs="Sylfaen"/>
        </w:rPr>
        <w:t>სახელმწიფო</w:t>
      </w:r>
      <w:r>
        <w:t xml:space="preserve"> </w:t>
      </w:r>
      <w:r>
        <w:rPr>
          <w:rFonts w:ascii="Sylfaen" w:hAnsi="Sylfaen" w:cs="Sylfaen"/>
        </w:rPr>
        <w:t>საგზაო</w:t>
      </w:r>
      <w:r>
        <w:t xml:space="preserve"> </w:t>
      </w:r>
      <w:r>
        <w:rPr>
          <w:rFonts w:ascii="Sylfaen" w:hAnsi="Sylfaen" w:cs="Sylfaen"/>
        </w:rPr>
        <w:t>ორგანოების</w:t>
      </w:r>
      <w:r>
        <w:t xml:space="preserve"> </w:t>
      </w:r>
      <w:r>
        <w:rPr>
          <w:rFonts w:ascii="Sylfaen" w:hAnsi="Sylfaen" w:cs="Sylfaen"/>
        </w:rPr>
        <w:t>სხვა</w:t>
      </w:r>
      <w:r>
        <w:t xml:space="preserve"> </w:t>
      </w:r>
      <w:r>
        <w:rPr>
          <w:rFonts w:ascii="Sylfaen" w:hAnsi="Sylfaen" w:cs="Sylfaen"/>
        </w:rPr>
        <w:t>შესაბამის</w:t>
      </w:r>
      <w:r>
        <w:t xml:space="preserve"> </w:t>
      </w:r>
      <w:r>
        <w:rPr>
          <w:rFonts w:ascii="Sylfaen" w:hAnsi="Sylfaen" w:cs="Sylfaen"/>
        </w:rPr>
        <w:t>ინსტრუქციებთან</w:t>
      </w:r>
      <w:r>
        <w:t xml:space="preserve"> </w:t>
      </w:r>
      <w:r>
        <w:rPr>
          <w:rFonts w:ascii="Sylfaen" w:hAnsi="Sylfaen" w:cs="Sylfaen"/>
        </w:rPr>
        <w:t>და</w:t>
      </w:r>
      <w:r>
        <w:t>/</w:t>
      </w:r>
      <w:r>
        <w:rPr>
          <w:rFonts w:ascii="Sylfaen" w:hAnsi="Sylfaen" w:cs="Sylfaen"/>
        </w:rPr>
        <w:t>ან</w:t>
      </w:r>
      <w:r>
        <w:t xml:space="preserve"> </w:t>
      </w:r>
      <w:r>
        <w:rPr>
          <w:rFonts w:ascii="Sylfaen" w:hAnsi="Sylfaen" w:cs="Sylfaen"/>
        </w:rPr>
        <w:t>ნორმებთან</w:t>
      </w:r>
      <w:r>
        <w:t xml:space="preserve"> </w:t>
      </w:r>
      <w:r>
        <w:rPr>
          <w:rFonts w:ascii="Sylfaen" w:hAnsi="Sylfaen" w:cs="Sylfaen"/>
        </w:rPr>
        <w:t>შესაბამისობის</w:t>
      </w:r>
      <w:r>
        <w:t xml:space="preserve"> </w:t>
      </w:r>
      <w:r>
        <w:rPr>
          <w:rFonts w:ascii="Sylfaen" w:hAnsi="Sylfaen" w:cs="Sylfaen"/>
        </w:rPr>
        <w:t>უზრუნველყოფას</w:t>
      </w:r>
      <w:r>
        <w:t>.</w:t>
      </w:r>
    </w:p>
    <w:p w14:paraId="4FDE69EB" w14:textId="77777777" w:rsidR="0011522C" w:rsidRDefault="0011522C" w:rsidP="008E1004"/>
    <w:p w14:paraId="559C6C89" w14:textId="6C1FEB0F" w:rsidR="0011522C" w:rsidRDefault="00EA3205" w:rsidP="0011522C">
      <w:pPr>
        <w:pStyle w:val="Heading3"/>
      </w:pPr>
      <w:bookmarkStart w:id="104" w:name="_Toc1581508"/>
      <w:r w:rsidRPr="00F2480A">
        <w:t>4.</w:t>
      </w:r>
      <w:r w:rsidR="00EA6DAA">
        <w:rPr>
          <w:rFonts w:ascii="Sylfaen" w:hAnsi="Sylfaen"/>
          <w:lang w:val="ka-GE"/>
        </w:rPr>
        <w:t>9</w:t>
      </w:r>
      <w:r w:rsidRPr="00F2480A">
        <w:t>.1</w:t>
      </w:r>
      <w:r w:rsidRPr="00F2480A">
        <w:tab/>
      </w:r>
      <w:bookmarkStart w:id="105" w:name="_Toc486316973"/>
      <w:bookmarkStart w:id="106" w:name="_Toc483814721"/>
      <w:bookmarkStart w:id="107" w:name="_Toc386025530"/>
      <w:bookmarkStart w:id="108" w:name="_Toc325877284"/>
      <w:bookmarkStart w:id="109" w:name="_Toc238973930"/>
      <w:r w:rsidRPr="00F2480A">
        <w:tab/>
      </w:r>
      <w:bookmarkEnd w:id="105"/>
      <w:bookmarkEnd w:id="106"/>
      <w:bookmarkEnd w:id="107"/>
      <w:bookmarkEnd w:id="108"/>
      <w:bookmarkEnd w:id="109"/>
      <w:r w:rsidR="0011522C">
        <w:rPr>
          <w:rFonts w:ascii="Sylfaen" w:hAnsi="Sylfaen" w:cs="Sylfaen"/>
        </w:rPr>
        <w:t>საგზაო</w:t>
      </w:r>
      <w:r w:rsidR="0011522C">
        <w:t xml:space="preserve"> </w:t>
      </w:r>
      <w:r w:rsidR="0011522C">
        <w:rPr>
          <w:rFonts w:ascii="Sylfaen" w:hAnsi="Sylfaen" w:cs="Sylfaen"/>
        </w:rPr>
        <w:t>სამოსის</w:t>
      </w:r>
      <w:r w:rsidR="0011522C">
        <w:t xml:space="preserve"> </w:t>
      </w:r>
      <w:r w:rsidR="0011522C">
        <w:rPr>
          <w:rFonts w:ascii="Sylfaen" w:hAnsi="Sylfaen" w:cs="Sylfaen"/>
        </w:rPr>
        <w:t>პროექტირების</w:t>
      </w:r>
      <w:r w:rsidR="0011522C">
        <w:t xml:space="preserve"> </w:t>
      </w:r>
      <w:r w:rsidR="0011522C">
        <w:rPr>
          <w:rFonts w:ascii="Sylfaen" w:hAnsi="Sylfaen" w:cs="Sylfaen"/>
        </w:rPr>
        <w:t>პარამეტრები</w:t>
      </w:r>
      <w:bookmarkEnd w:id="104"/>
    </w:p>
    <w:p w14:paraId="3303522A" w14:textId="77777777" w:rsidR="0011522C" w:rsidRDefault="0011522C" w:rsidP="0011522C">
      <w:pPr>
        <w:spacing w:before="120" w:after="120"/>
      </w:pP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დაპროექტების</w:t>
      </w:r>
      <w:r>
        <w:t xml:space="preserve"> </w:t>
      </w:r>
      <w:r>
        <w:rPr>
          <w:rFonts w:ascii="Sylfaen" w:hAnsi="Sylfaen" w:cs="Sylfaen"/>
        </w:rPr>
        <w:t>ან</w:t>
      </w:r>
      <w:r>
        <w:t xml:space="preserve"> </w:t>
      </w:r>
      <w:r>
        <w:rPr>
          <w:rFonts w:ascii="Sylfaen" w:hAnsi="Sylfaen" w:cs="Sylfaen"/>
        </w:rPr>
        <w:t>შერჩევის</w:t>
      </w:r>
      <w:r>
        <w:t xml:space="preserve"> </w:t>
      </w:r>
      <w:r>
        <w:rPr>
          <w:rFonts w:ascii="Sylfaen" w:hAnsi="Sylfaen" w:cs="Sylfaen"/>
        </w:rPr>
        <w:t>პროცესში</w:t>
      </w:r>
      <w:r>
        <w:t xml:space="preserve"> </w:t>
      </w:r>
      <w:r>
        <w:rPr>
          <w:rFonts w:ascii="Sylfaen" w:hAnsi="Sylfaen" w:cs="Sylfaen"/>
        </w:rPr>
        <w:t>აუცილებელია</w:t>
      </w:r>
      <w:r>
        <w:t xml:space="preserve"> </w:t>
      </w:r>
      <w:r>
        <w:rPr>
          <w:rFonts w:ascii="Sylfaen" w:hAnsi="Sylfaen" w:cs="Sylfaen"/>
        </w:rPr>
        <w:t>შემდეგი</w:t>
      </w:r>
      <w:r>
        <w:t xml:space="preserve"> </w:t>
      </w:r>
      <w:r>
        <w:rPr>
          <w:rFonts w:ascii="Sylfaen" w:hAnsi="Sylfaen" w:cs="Sylfaen"/>
        </w:rPr>
        <w:t>სამი</w:t>
      </w:r>
      <w:r>
        <w:t xml:space="preserve"> </w:t>
      </w:r>
      <w:r>
        <w:rPr>
          <w:rFonts w:ascii="Sylfaen" w:hAnsi="Sylfaen" w:cs="Sylfaen"/>
        </w:rPr>
        <w:t>ფუნდამენტური</w:t>
      </w:r>
      <w:r>
        <w:t xml:space="preserve"> </w:t>
      </w:r>
      <w:r>
        <w:rPr>
          <w:rFonts w:ascii="Sylfaen" w:hAnsi="Sylfaen" w:cs="Sylfaen"/>
        </w:rPr>
        <w:t>გარე</w:t>
      </w:r>
      <w:r>
        <w:t xml:space="preserve"> </w:t>
      </w:r>
      <w:r>
        <w:rPr>
          <w:rFonts w:ascii="Sylfaen" w:hAnsi="Sylfaen" w:cs="Sylfaen"/>
        </w:rPr>
        <w:t>საანგარიშო</w:t>
      </w:r>
      <w:r>
        <w:t xml:space="preserve"> </w:t>
      </w:r>
      <w:r>
        <w:rPr>
          <w:rFonts w:ascii="Sylfaen" w:hAnsi="Sylfaen" w:cs="Sylfaen"/>
        </w:rPr>
        <w:t>პარამეტრის</w:t>
      </w:r>
      <w:r>
        <w:t xml:space="preserve"> </w:t>
      </w:r>
      <w:r>
        <w:rPr>
          <w:rFonts w:ascii="Sylfaen" w:hAnsi="Sylfaen" w:cs="Sylfaen"/>
        </w:rPr>
        <w:t>გათვალისწინება</w:t>
      </w:r>
      <w:r>
        <w:t>:</w:t>
      </w:r>
    </w:p>
    <w:p w14:paraId="2173D6AC" w14:textId="77777777" w:rsidR="0011522C" w:rsidRDefault="0011522C" w:rsidP="0011522C">
      <w:pPr>
        <w:spacing w:before="120" w:after="120"/>
      </w:pPr>
      <w:r>
        <w:rPr>
          <w:rFonts w:ascii="Sylfaen" w:hAnsi="Sylfaen" w:cs="Sylfaen"/>
        </w:rPr>
        <w:t>მიწის</w:t>
      </w:r>
      <w:r>
        <w:t xml:space="preserve"> </w:t>
      </w:r>
      <w:r>
        <w:rPr>
          <w:rFonts w:ascii="Sylfaen" w:hAnsi="Sylfaen" w:cs="Sylfaen"/>
        </w:rPr>
        <w:t>ვაკისის</w:t>
      </w:r>
      <w:r>
        <w:t xml:space="preserve"> </w:t>
      </w:r>
      <w:r>
        <w:rPr>
          <w:rFonts w:ascii="Sylfaen" w:hAnsi="Sylfaen" w:cs="Sylfaen"/>
        </w:rPr>
        <w:t>მახასიათებლები</w:t>
      </w:r>
      <w:r>
        <w:t xml:space="preserve">, </w:t>
      </w:r>
      <w:r>
        <w:rPr>
          <w:rFonts w:ascii="Sylfaen" w:hAnsi="Sylfaen" w:cs="Sylfaen"/>
        </w:rPr>
        <w:t>რომელზეც</w:t>
      </w:r>
      <w:r>
        <w:t xml:space="preserve"> </w:t>
      </w:r>
      <w:r>
        <w:rPr>
          <w:rFonts w:ascii="Sylfaen" w:hAnsi="Sylfaen" w:cs="Sylfaen"/>
        </w:rPr>
        <w:t>უნდა</w:t>
      </w:r>
      <w:r>
        <w:t xml:space="preserve"> </w:t>
      </w:r>
      <w:r>
        <w:rPr>
          <w:rFonts w:ascii="Sylfaen" w:hAnsi="Sylfaen" w:cs="Sylfaen"/>
        </w:rPr>
        <w:t>აშენდეს</w:t>
      </w:r>
      <w:r>
        <w:t xml:space="preserve"> </w:t>
      </w:r>
      <w:r>
        <w:rPr>
          <w:rFonts w:ascii="Sylfaen" w:hAnsi="Sylfaen" w:cs="Sylfaen"/>
        </w:rPr>
        <w:t>საგზაო</w:t>
      </w:r>
      <w:r>
        <w:t xml:space="preserve"> </w:t>
      </w:r>
      <w:r>
        <w:rPr>
          <w:rFonts w:ascii="Sylfaen" w:hAnsi="Sylfaen" w:cs="Sylfaen"/>
        </w:rPr>
        <w:t>სამოსი</w:t>
      </w:r>
      <w:r>
        <w:t>;</w:t>
      </w:r>
    </w:p>
    <w:p w14:paraId="245CE426" w14:textId="52755C3D" w:rsidR="0011522C" w:rsidRDefault="0011522C" w:rsidP="0011522C">
      <w:pPr>
        <w:spacing w:before="120" w:after="120"/>
      </w:pPr>
      <w:r>
        <w:rPr>
          <w:rFonts w:ascii="Sylfaen" w:hAnsi="Sylfaen" w:cs="Sylfaen"/>
        </w:rPr>
        <w:t>მოქმედი</w:t>
      </w:r>
      <w:r>
        <w:t xml:space="preserve"> </w:t>
      </w:r>
      <w:r>
        <w:rPr>
          <w:rFonts w:ascii="Sylfaen" w:hAnsi="Sylfaen" w:cs="Sylfaen"/>
        </w:rPr>
        <w:t>დატვირთვები</w:t>
      </w:r>
      <w:r>
        <w:t xml:space="preserve"> </w:t>
      </w:r>
      <w:r>
        <w:rPr>
          <w:rFonts w:ascii="Sylfaen" w:hAnsi="Sylfaen" w:cs="Sylfaen"/>
        </w:rPr>
        <w:t>და გარემო</w:t>
      </w:r>
      <w:r>
        <w:t>.</w:t>
      </w:r>
    </w:p>
    <w:p w14:paraId="1AA94D10" w14:textId="77777777" w:rsidR="0011522C" w:rsidRDefault="0011522C" w:rsidP="0011522C">
      <w:pPr>
        <w:spacing w:before="120" w:after="120"/>
      </w:pPr>
      <w:r>
        <w:rPr>
          <w:rFonts w:ascii="Sylfaen" w:hAnsi="Sylfaen" w:cs="Sylfaen"/>
        </w:rPr>
        <w:t>საანგარიშო</w:t>
      </w:r>
      <w:r>
        <w:t xml:space="preserve"> </w:t>
      </w:r>
      <w:r>
        <w:rPr>
          <w:rFonts w:ascii="Sylfaen" w:hAnsi="Sylfaen" w:cs="Sylfaen"/>
        </w:rPr>
        <w:t>საექსპლუატაციო</w:t>
      </w:r>
      <w:r>
        <w:t xml:space="preserve"> </w:t>
      </w:r>
      <w:r>
        <w:rPr>
          <w:rFonts w:ascii="Sylfaen" w:hAnsi="Sylfaen" w:cs="Sylfaen"/>
        </w:rPr>
        <w:t>ვადა</w:t>
      </w:r>
    </w:p>
    <w:p w14:paraId="6BFE2EAF" w14:textId="77777777" w:rsidR="0011522C" w:rsidRDefault="0011522C" w:rsidP="0011522C">
      <w:pPr>
        <w:spacing w:before="120" w:after="120"/>
      </w:pPr>
      <w:r>
        <w:rPr>
          <w:rFonts w:ascii="Sylfaen" w:hAnsi="Sylfaen" w:cs="Sylfaen"/>
        </w:rPr>
        <w:t>საანგარიშო</w:t>
      </w:r>
      <w:r>
        <w:t xml:space="preserve"> </w:t>
      </w:r>
      <w:r>
        <w:rPr>
          <w:rFonts w:ascii="Sylfaen" w:hAnsi="Sylfaen" w:cs="Sylfaen"/>
        </w:rPr>
        <w:t>საექსპლუატაციო</w:t>
      </w:r>
      <w:r>
        <w:t xml:space="preserve"> </w:t>
      </w:r>
      <w:r>
        <w:rPr>
          <w:rFonts w:ascii="Sylfaen" w:hAnsi="Sylfaen" w:cs="Sylfaen"/>
        </w:rPr>
        <w:t>ვადა</w:t>
      </w:r>
      <w:r>
        <w:t xml:space="preserve"> </w:t>
      </w:r>
      <w:r>
        <w:rPr>
          <w:rFonts w:ascii="Sylfaen" w:hAnsi="Sylfaen" w:cs="Sylfaen"/>
        </w:rPr>
        <w:t>განისაზღვრება</w:t>
      </w:r>
      <w:r>
        <w:t xml:space="preserve"> </w:t>
      </w:r>
      <w:r>
        <w:rPr>
          <w:rFonts w:ascii="Sylfaen" w:hAnsi="Sylfaen" w:cs="Sylfaen"/>
        </w:rPr>
        <w:t>აკუმულირებული</w:t>
      </w:r>
      <w:r>
        <w:t xml:space="preserve"> </w:t>
      </w:r>
      <w:r>
        <w:rPr>
          <w:rFonts w:ascii="Sylfaen" w:hAnsi="Sylfaen" w:cs="Sylfaen"/>
        </w:rPr>
        <w:t>სატრანსპორტო</w:t>
      </w:r>
      <w:r>
        <w:t xml:space="preserve"> </w:t>
      </w:r>
      <w:r>
        <w:rPr>
          <w:rFonts w:ascii="Sylfaen" w:hAnsi="Sylfaen" w:cs="Sylfaen"/>
        </w:rPr>
        <w:t>ნაკადით</w:t>
      </w:r>
      <w:r>
        <w:t xml:space="preserve">, </w:t>
      </w:r>
      <w:r>
        <w:rPr>
          <w:rFonts w:ascii="Sylfaen" w:hAnsi="Sylfaen" w:cs="Sylfaen"/>
        </w:rPr>
        <w:t>რომელიც</w:t>
      </w:r>
      <w:r>
        <w:t xml:space="preserve"> </w:t>
      </w:r>
      <w:r>
        <w:rPr>
          <w:rFonts w:ascii="Sylfaen" w:hAnsi="Sylfaen" w:cs="Sylfaen"/>
        </w:rPr>
        <w:t>შეიძლება</w:t>
      </w:r>
      <w:r>
        <w:t xml:space="preserve"> </w:t>
      </w:r>
      <w:r>
        <w:rPr>
          <w:rFonts w:ascii="Sylfaen" w:hAnsi="Sylfaen" w:cs="Sylfaen"/>
        </w:rPr>
        <w:t>გატარებულ</w:t>
      </w:r>
      <w:r>
        <w:t xml:space="preserve"> </w:t>
      </w:r>
      <w:r>
        <w:rPr>
          <w:rFonts w:ascii="Sylfaen" w:hAnsi="Sylfaen" w:cs="Sylfaen"/>
        </w:rPr>
        <w:t>იქნას</w:t>
      </w:r>
      <w:r>
        <w:t xml:space="preserve"> </w:t>
      </w: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გამაგრების</w:t>
      </w:r>
      <w:r>
        <w:t xml:space="preserve"> </w:t>
      </w:r>
      <w:r>
        <w:rPr>
          <w:rFonts w:ascii="Sylfaen" w:hAnsi="Sylfaen" w:cs="Sylfaen"/>
        </w:rPr>
        <w:t>აუცილებლობის</w:t>
      </w:r>
      <w:r>
        <w:t xml:space="preserve"> </w:t>
      </w:r>
      <w:r>
        <w:rPr>
          <w:rFonts w:ascii="Sylfaen" w:hAnsi="Sylfaen" w:cs="Sylfaen"/>
        </w:rPr>
        <w:t>შექმნამდე</w:t>
      </w:r>
      <w:r>
        <w:t xml:space="preserve">. </w:t>
      </w:r>
      <w:r>
        <w:rPr>
          <w:rFonts w:ascii="Sylfaen" w:hAnsi="Sylfaen" w:cs="Sylfaen"/>
        </w:rPr>
        <w:t>ასეთ</w:t>
      </w:r>
      <w:r>
        <w:t xml:space="preserve"> </w:t>
      </w:r>
      <w:r>
        <w:rPr>
          <w:rFonts w:ascii="Sylfaen" w:hAnsi="Sylfaen" w:cs="Sylfaen"/>
        </w:rPr>
        <w:t>კონტექსტში</w:t>
      </w:r>
      <w:r>
        <w:t xml:space="preserve">, </w:t>
      </w:r>
      <w:r>
        <w:rPr>
          <w:rFonts w:ascii="Sylfaen" w:hAnsi="Sylfaen" w:cs="Sylfaen"/>
        </w:rPr>
        <w:t>საანგარიშო</w:t>
      </w:r>
      <w:r>
        <w:t xml:space="preserve"> </w:t>
      </w:r>
      <w:r>
        <w:rPr>
          <w:rFonts w:ascii="Sylfaen" w:hAnsi="Sylfaen" w:cs="Sylfaen"/>
        </w:rPr>
        <w:t>საექსპლუატაციო</w:t>
      </w:r>
      <w:r>
        <w:t xml:space="preserve"> </w:t>
      </w:r>
      <w:r>
        <w:rPr>
          <w:rFonts w:ascii="Sylfaen" w:hAnsi="Sylfaen" w:cs="Sylfaen"/>
        </w:rPr>
        <w:t>ვადა</w:t>
      </w:r>
      <w:r>
        <w:t xml:space="preserve"> </w:t>
      </w:r>
      <w:r>
        <w:rPr>
          <w:rFonts w:ascii="Sylfaen" w:hAnsi="Sylfaen" w:cs="Sylfaen"/>
        </w:rPr>
        <w:t>არ</w:t>
      </w:r>
      <w:r>
        <w:t xml:space="preserve"> </w:t>
      </w:r>
      <w:r>
        <w:rPr>
          <w:rFonts w:ascii="Sylfaen" w:hAnsi="Sylfaen" w:cs="Sylfaen"/>
        </w:rPr>
        <w:t>ნიშნავს</w:t>
      </w:r>
      <w:r>
        <w:t xml:space="preserve">, </w:t>
      </w:r>
      <w:r>
        <w:rPr>
          <w:rFonts w:ascii="Sylfaen" w:hAnsi="Sylfaen" w:cs="Sylfaen"/>
        </w:rPr>
        <w:t>რომ</w:t>
      </w:r>
      <w:r>
        <w:t xml:space="preserve"> </w:t>
      </w:r>
      <w:r>
        <w:rPr>
          <w:rFonts w:ascii="Sylfaen" w:hAnsi="Sylfaen" w:cs="Sylfaen"/>
        </w:rPr>
        <w:t>აღნიშნული</w:t>
      </w:r>
      <w:r>
        <w:t xml:space="preserve"> </w:t>
      </w:r>
      <w:r>
        <w:rPr>
          <w:rFonts w:ascii="Sylfaen" w:hAnsi="Sylfaen" w:cs="Sylfaen"/>
        </w:rPr>
        <w:t>პერიოდის</w:t>
      </w:r>
      <w:r>
        <w:t xml:space="preserve"> </w:t>
      </w:r>
      <w:r>
        <w:rPr>
          <w:rFonts w:ascii="Sylfaen" w:hAnsi="Sylfaen" w:cs="Sylfaen"/>
        </w:rPr>
        <w:t>ამოწურვისას</w:t>
      </w:r>
      <w:r>
        <w:t xml:space="preserve"> </w:t>
      </w:r>
      <w:r>
        <w:rPr>
          <w:rFonts w:ascii="Sylfaen" w:hAnsi="Sylfaen" w:cs="Sylfaen"/>
        </w:rPr>
        <w:t>გზის</w:t>
      </w:r>
      <w:r>
        <w:t xml:space="preserve"> </w:t>
      </w:r>
      <w:r>
        <w:rPr>
          <w:rFonts w:ascii="Sylfaen" w:hAnsi="Sylfaen" w:cs="Sylfaen"/>
        </w:rPr>
        <w:t>სამოსი</w:t>
      </w:r>
      <w:r>
        <w:t xml:space="preserve"> </w:t>
      </w:r>
      <w:r>
        <w:rPr>
          <w:rFonts w:ascii="Sylfaen" w:hAnsi="Sylfaen" w:cs="Sylfaen"/>
        </w:rPr>
        <w:t>ბოლომდე</w:t>
      </w:r>
      <w:r>
        <w:t xml:space="preserve"> </w:t>
      </w:r>
      <w:r>
        <w:rPr>
          <w:rFonts w:ascii="Sylfaen" w:hAnsi="Sylfaen" w:cs="Sylfaen"/>
        </w:rPr>
        <w:t>გაცვდება</w:t>
      </w:r>
      <w:r>
        <w:t xml:space="preserve"> </w:t>
      </w:r>
      <w:r>
        <w:rPr>
          <w:rFonts w:ascii="Sylfaen" w:hAnsi="Sylfaen" w:cs="Sylfaen"/>
        </w:rPr>
        <w:t>და</w:t>
      </w:r>
      <w:r>
        <w:t xml:space="preserve"> </w:t>
      </w:r>
      <w:r>
        <w:rPr>
          <w:rFonts w:ascii="Sylfaen" w:hAnsi="Sylfaen" w:cs="Sylfaen"/>
        </w:rPr>
        <w:t>მოითხოვს</w:t>
      </w:r>
      <w:r>
        <w:t xml:space="preserve"> </w:t>
      </w:r>
      <w:r>
        <w:rPr>
          <w:rFonts w:ascii="Sylfaen" w:hAnsi="Sylfaen" w:cs="Sylfaen"/>
        </w:rPr>
        <w:t>რეკონსტრუქციას</w:t>
      </w:r>
      <w:r>
        <w:t xml:space="preserve">, </w:t>
      </w:r>
      <w:r>
        <w:rPr>
          <w:rFonts w:ascii="Sylfaen" w:hAnsi="Sylfaen" w:cs="Sylfaen"/>
        </w:rPr>
        <w:t>არამედ</w:t>
      </w:r>
      <w:r>
        <w:t xml:space="preserve"> </w:t>
      </w:r>
      <w:r>
        <w:rPr>
          <w:rFonts w:ascii="Sylfaen" w:hAnsi="Sylfaen" w:cs="Sylfaen"/>
        </w:rPr>
        <w:t>გულისხმობს</w:t>
      </w:r>
      <w:r>
        <w:t xml:space="preserve">, </w:t>
      </w:r>
      <w:r>
        <w:rPr>
          <w:rFonts w:ascii="Sylfaen" w:hAnsi="Sylfaen" w:cs="Sylfaen"/>
        </w:rPr>
        <w:t>რომ</w:t>
      </w:r>
      <w:r>
        <w:t xml:space="preserve"> </w:t>
      </w:r>
      <w:r>
        <w:rPr>
          <w:rFonts w:ascii="Sylfaen" w:hAnsi="Sylfaen" w:cs="Sylfaen"/>
        </w:rPr>
        <w:t>პერიოდის</w:t>
      </w:r>
      <w:r>
        <w:t xml:space="preserve"> </w:t>
      </w:r>
      <w:r>
        <w:rPr>
          <w:rFonts w:ascii="Sylfaen" w:hAnsi="Sylfaen" w:cs="Sylfaen"/>
        </w:rPr>
        <w:t>ბოლოსთან</w:t>
      </w:r>
      <w:r>
        <w:t xml:space="preserve"> </w:t>
      </w:r>
      <w:r>
        <w:rPr>
          <w:rFonts w:ascii="Sylfaen" w:hAnsi="Sylfaen" w:cs="Sylfaen"/>
        </w:rPr>
        <w:t>მიახლოებისას</w:t>
      </w:r>
      <w:r>
        <w:t xml:space="preserve"> </w:t>
      </w:r>
      <w:r>
        <w:rPr>
          <w:rFonts w:ascii="Sylfaen" w:hAnsi="Sylfaen" w:cs="Sylfaen"/>
        </w:rPr>
        <w:t>გზის</w:t>
      </w:r>
      <w:r>
        <w:t xml:space="preserve"> </w:t>
      </w:r>
      <w:r>
        <w:rPr>
          <w:rFonts w:ascii="Sylfaen" w:hAnsi="Sylfaen" w:cs="Sylfaen"/>
        </w:rPr>
        <w:t>სამოსს</w:t>
      </w:r>
      <w:r>
        <w:t xml:space="preserve"> </w:t>
      </w:r>
      <w:r>
        <w:rPr>
          <w:rFonts w:ascii="Sylfaen" w:hAnsi="Sylfaen" w:cs="Sylfaen"/>
        </w:rPr>
        <w:t>დაჭირდება</w:t>
      </w:r>
      <w:r>
        <w:t xml:space="preserve"> </w:t>
      </w:r>
      <w:r>
        <w:rPr>
          <w:rFonts w:ascii="Sylfaen" w:hAnsi="Sylfaen" w:cs="Sylfaen"/>
        </w:rPr>
        <w:t>გამაგრება</w:t>
      </w:r>
      <w:r>
        <w:t xml:space="preserve"> </w:t>
      </w:r>
      <w:r>
        <w:rPr>
          <w:rFonts w:ascii="Sylfaen" w:hAnsi="Sylfaen" w:cs="Sylfaen"/>
        </w:rPr>
        <w:t>რათა</w:t>
      </w:r>
      <w:r>
        <w:t xml:space="preserve"> </w:t>
      </w:r>
      <w:r>
        <w:rPr>
          <w:rFonts w:ascii="Sylfaen" w:hAnsi="Sylfaen" w:cs="Sylfaen"/>
        </w:rPr>
        <w:t>მომდევნო</w:t>
      </w:r>
      <w:r>
        <w:t xml:space="preserve"> </w:t>
      </w:r>
      <w:r>
        <w:rPr>
          <w:rFonts w:ascii="Sylfaen" w:hAnsi="Sylfaen" w:cs="Sylfaen"/>
        </w:rPr>
        <w:t>პერიოდში</w:t>
      </w:r>
      <w:r>
        <w:t xml:space="preserve"> </w:t>
      </w:r>
      <w:r>
        <w:rPr>
          <w:rFonts w:ascii="Sylfaen" w:hAnsi="Sylfaen" w:cs="Sylfaen"/>
        </w:rPr>
        <w:t>დამაკმაყოფილებლად</w:t>
      </w:r>
      <w:r>
        <w:t xml:space="preserve"> </w:t>
      </w:r>
      <w:r>
        <w:rPr>
          <w:rFonts w:ascii="Sylfaen" w:hAnsi="Sylfaen" w:cs="Sylfaen"/>
        </w:rPr>
        <w:t>განაგრძოს</w:t>
      </w:r>
      <w:r>
        <w:t xml:space="preserve"> </w:t>
      </w:r>
      <w:r>
        <w:rPr>
          <w:rFonts w:ascii="Sylfaen" w:hAnsi="Sylfaen" w:cs="Sylfaen"/>
        </w:rPr>
        <w:t>საგზაო</w:t>
      </w:r>
      <w:r>
        <w:t xml:space="preserve"> </w:t>
      </w:r>
      <w:r>
        <w:rPr>
          <w:rFonts w:ascii="Sylfaen" w:hAnsi="Sylfaen" w:cs="Sylfaen"/>
        </w:rPr>
        <w:t>მოძრაობის</w:t>
      </w:r>
      <w:r>
        <w:t xml:space="preserve"> </w:t>
      </w:r>
      <w:r>
        <w:rPr>
          <w:rFonts w:ascii="Sylfaen" w:hAnsi="Sylfaen" w:cs="Sylfaen"/>
        </w:rPr>
        <w:t>მომსახურება</w:t>
      </w:r>
      <w:r>
        <w:t>.</w:t>
      </w:r>
    </w:p>
    <w:p w14:paraId="1151E18B" w14:textId="77777777" w:rsidR="0011522C" w:rsidRDefault="0011522C" w:rsidP="0011522C">
      <w:pPr>
        <w:spacing w:before="120" w:after="120"/>
      </w:pPr>
      <w:r>
        <w:rPr>
          <w:rFonts w:ascii="Sylfaen" w:hAnsi="Sylfaen" w:cs="Sylfaen"/>
        </w:rPr>
        <w:t>ტექნიკურ</w:t>
      </w:r>
      <w:r>
        <w:t xml:space="preserve"> </w:t>
      </w:r>
      <w:r>
        <w:rPr>
          <w:rFonts w:ascii="Sylfaen" w:hAnsi="Sylfaen" w:cs="Sylfaen"/>
        </w:rPr>
        <w:t>დავალებაში</w:t>
      </w:r>
      <w:r>
        <w:t xml:space="preserve"> </w:t>
      </w:r>
      <w:r>
        <w:rPr>
          <w:rFonts w:ascii="Sylfaen" w:hAnsi="Sylfaen" w:cs="Sylfaen"/>
        </w:rPr>
        <w:t>მოცემული</w:t>
      </w:r>
      <w:r>
        <w:t xml:space="preserve"> </w:t>
      </w:r>
      <w:r>
        <w:rPr>
          <w:rFonts w:ascii="Sylfaen" w:hAnsi="Sylfaen" w:cs="Sylfaen"/>
        </w:rPr>
        <w:t>მოთხოვნის</w:t>
      </w:r>
      <w:r>
        <w:t xml:space="preserve"> </w:t>
      </w:r>
      <w:r>
        <w:rPr>
          <w:rFonts w:ascii="Sylfaen" w:hAnsi="Sylfaen" w:cs="Sylfaen"/>
        </w:rPr>
        <w:t>შესაბამისად</w:t>
      </w:r>
      <w:r>
        <w:t xml:space="preserve">, </w:t>
      </w:r>
      <w:r>
        <w:rPr>
          <w:rFonts w:ascii="Sylfaen" w:hAnsi="Sylfaen" w:cs="Sylfaen"/>
        </w:rPr>
        <w:t>გურჯაანიდან</w:t>
      </w:r>
      <w:r>
        <w:t xml:space="preserve"> </w:t>
      </w:r>
      <w:r>
        <w:rPr>
          <w:rFonts w:ascii="Sylfaen" w:hAnsi="Sylfaen" w:cs="Sylfaen"/>
        </w:rPr>
        <w:t>თელავამდე</w:t>
      </w:r>
      <w:r>
        <w:t xml:space="preserve"> </w:t>
      </w:r>
      <w:r>
        <w:rPr>
          <w:rFonts w:ascii="Sylfaen" w:hAnsi="Sylfaen" w:cs="Sylfaen"/>
        </w:rPr>
        <w:t>გამავალი</w:t>
      </w:r>
      <w:r>
        <w:t xml:space="preserve"> </w:t>
      </w:r>
      <w:r>
        <w:rPr>
          <w:rFonts w:ascii="Sylfaen" w:hAnsi="Sylfaen" w:cs="Sylfaen"/>
        </w:rPr>
        <w:t>საგზაო</w:t>
      </w:r>
      <w:r>
        <w:t xml:space="preserve"> </w:t>
      </w:r>
      <w:r>
        <w:rPr>
          <w:rFonts w:ascii="Sylfaen" w:hAnsi="Sylfaen" w:cs="Sylfaen"/>
        </w:rPr>
        <w:t>მონაკვეთების</w:t>
      </w:r>
      <w:r>
        <w:t xml:space="preserve"> </w:t>
      </w:r>
      <w:r>
        <w:rPr>
          <w:rFonts w:ascii="Sylfaen" w:hAnsi="Sylfaen" w:cs="Sylfaen"/>
        </w:rPr>
        <w:t>გზის</w:t>
      </w:r>
      <w:r>
        <w:t xml:space="preserve"> </w:t>
      </w:r>
      <w:r>
        <w:rPr>
          <w:rFonts w:ascii="Sylfaen" w:hAnsi="Sylfaen" w:cs="Sylfaen"/>
        </w:rPr>
        <w:t>საგზაო</w:t>
      </w:r>
      <w:r>
        <w:t xml:space="preserve"> </w:t>
      </w:r>
      <w:r>
        <w:rPr>
          <w:rFonts w:ascii="Sylfaen" w:hAnsi="Sylfaen" w:cs="Sylfaen"/>
        </w:rPr>
        <w:t>სამოსების</w:t>
      </w:r>
      <w:r>
        <w:t xml:space="preserve"> </w:t>
      </w:r>
      <w:r>
        <w:rPr>
          <w:rFonts w:ascii="Sylfaen" w:hAnsi="Sylfaen" w:cs="Sylfaen"/>
        </w:rPr>
        <w:t>პროექტირებისთვის</w:t>
      </w:r>
      <w:r>
        <w:t xml:space="preserve"> </w:t>
      </w:r>
      <w:r>
        <w:rPr>
          <w:rFonts w:ascii="Sylfaen" w:hAnsi="Sylfaen" w:cs="Sylfaen"/>
        </w:rPr>
        <w:t>განსაზღვრული</w:t>
      </w:r>
      <w:r>
        <w:t xml:space="preserve"> </w:t>
      </w:r>
      <w:r>
        <w:rPr>
          <w:rFonts w:ascii="Sylfaen" w:hAnsi="Sylfaen" w:cs="Sylfaen"/>
        </w:rPr>
        <w:t>საანგარიშო</w:t>
      </w:r>
      <w:r>
        <w:t xml:space="preserve"> </w:t>
      </w:r>
      <w:r>
        <w:rPr>
          <w:rFonts w:ascii="Sylfaen" w:hAnsi="Sylfaen" w:cs="Sylfaen"/>
        </w:rPr>
        <w:t>საექსპლუატაციო</w:t>
      </w:r>
      <w:r>
        <w:t xml:space="preserve"> </w:t>
      </w:r>
      <w:r>
        <w:rPr>
          <w:rFonts w:ascii="Sylfaen" w:hAnsi="Sylfaen" w:cs="Sylfaen"/>
        </w:rPr>
        <w:t>ვადად</w:t>
      </w:r>
      <w:r>
        <w:t xml:space="preserve"> </w:t>
      </w:r>
      <w:r>
        <w:rPr>
          <w:rFonts w:ascii="Sylfaen" w:hAnsi="Sylfaen" w:cs="Sylfaen"/>
        </w:rPr>
        <w:t>მიღებულია</w:t>
      </w:r>
      <w:r>
        <w:t xml:space="preserve"> 20 </w:t>
      </w:r>
      <w:r>
        <w:rPr>
          <w:rFonts w:ascii="Sylfaen" w:hAnsi="Sylfaen" w:cs="Sylfaen"/>
        </w:rPr>
        <w:t>წელი</w:t>
      </w:r>
      <w:r>
        <w:t>.</w:t>
      </w:r>
    </w:p>
    <w:p w14:paraId="0D464F9D" w14:textId="77777777" w:rsidR="0011522C" w:rsidRPr="00B05F62" w:rsidRDefault="0011522C" w:rsidP="0011522C">
      <w:pPr>
        <w:spacing w:before="120" w:after="120"/>
        <w:rPr>
          <w:b/>
        </w:rPr>
      </w:pPr>
      <w:r w:rsidRPr="00B05F62">
        <w:rPr>
          <w:rFonts w:ascii="Sylfaen" w:hAnsi="Sylfaen" w:cs="Sylfaen"/>
          <w:b/>
        </w:rPr>
        <w:t>საგზაო</w:t>
      </w:r>
      <w:r w:rsidRPr="00B05F62">
        <w:rPr>
          <w:b/>
        </w:rPr>
        <w:t xml:space="preserve"> </w:t>
      </w:r>
      <w:r w:rsidRPr="00B05F62">
        <w:rPr>
          <w:rFonts w:ascii="Sylfaen" w:hAnsi="Sylfaen" w:cs="Sylfaen"/>
          <w:b/>
        </w:rPr>
        <w:t>მოძრაობა</w:t>
      </w:r>
    </w:p>
    <w:p w14:paraId="5D6903C3" w14:textId="77777777" w:rsidR="0011522C" w:rsidRDefault="0011522C" w:rsidP="0011522C">
      <w:pPr>
        <w:spacing w:before="120" w:after="120"/>
      </w:pPr>
      <w:r>
        <w:rPr>
          <w:rFonts w:ascii="Sylfaen" w:hAnsi="Sylfaen" w:cs="Sylfaen"/>
        </w:rPr>
        <w:t>ჩვეულებრივ</w:t>
      </w:r>
      <w:r>
        <w:t xml:space="preserve">, </w:t>
      </w:r>
      <w:r>
        <w:rPr>
          <w:rFonts w:ascii="Sylfaen" w:hAnsi="Sylfaen" w:cs="Sylfaen"/>
        </w:rPr>
        <w:t>სატრანსპორტო</w:t>
      </w:r>
      <w:r>
        <w:t xml:space="preserve"> </w:t>
      </w:r>
      <w:r>
        <w:rPr>
          <w:rFonts w:ascii="Sylfaen" w:hAnsi="Sylfaen" w:cs="Sylfaen"/>
        </w:rPr>
        <w:t>დატვირთვა</w:t>
      </w:r>
      <w:r>
        <w:t xml:space="preserve"> </w:t>
      </w:r>
      <w:r>
        <w:rPr>
          <w:rFonts w:ascii="Sylfaen" w:hAnsi="Sylfaen" w:cs="Sylfaen"/>
        </w:rPr>
        <w:t>იანგარიშება</w:t>
      </w:r>
      <w:r>
        <w:t xml:space="preserve"> </w:t>
      </w:r>
      <w:r>
        <w:rPr>
          <w:rFonts w:ascii="Sylfaen" w:hAnsi="Sylfaen" w:cs="Sylfaen"/>
        </w:rPr>
        <w:t>სამომავლო</w:t>
      </w:r>
      <w:r>
        <w:t xml:space="preserve"> </w:t>
      </w:r>
      <w:r>
        <w:rPr>
          <w:rFonts w:ascii="Sylfaen" w:hAnsi="Sylfaen" w:cs="Sylfaen"/>
        </w:rPr>
        <w:t>საგზაო</w:t>
      </w:r>
      <w:r>
        <w:t xml:space="preserve"> </w:t>
      </w:r>
      <w:r>
        <w:rPr>
          <w:rFonts w:ascii="Sylfaen" w:hAnsi="Sylfaen" w:cs="Sylfaen"/>
        </w:rPr>
        <w:t>მოძრაობის</w:t>
      </w:r>
      <w:r>
        <w:t xml:space="preserve"> </w:t>
      </w:r>
      <w:r>
        <w:rPr>
          <w:rFonts w:ascii="Sylfaen" w:hAnsi="Sylfaen" w:cs="Sylfaen"/>
        </w:rPr>
        <w:t>ინტენსიურობის</w:t>
      </w:r>
      <w:r>
        <w:t xml:space="preserve"> </w:t>
      </w:r>
      <w:r>
        <w:rPr>
          <w:rFonts w:ascii="Sylfaen" w:hAnsi="Sylfaen" w:cs="Sylfaen"/>
        </w:rPr>
        <w:t>პროგნოზების</w:t>
      </w:r>
      <w:r>
        <w:t xml:space="preserve">, </w:t>
      </w:r>
      <w:r>
        <w:rPr>
          <w:rFonts w:ascii="Sylfaen" w:hAnsi="Sylfaen" w:cs="Sylfaen"/>
        </w:rPr>
        <w:t>ავტომობილების</w:t>
      </w:r>
      <w:r>
        <w:t xml:space="preserve"> </w:t>
      </w:r>
      <w:r>
        <w:rPr>
          <w:rFonts w:ascii="Sylfaen" w:hAnsi="Sylfaen" w:cs="Sylfaen"/>
        </w:rPr>
        <w:t>დაზიანების</w:t>
      </w:r>
      <w:r>
        <w:t xml:space="preserve"> </w:t>
      </w:r>
      <w:r>
        <w:rPr>
          <w:rFonts w:ascii="Sylfaen" w:hAnsi="Sylfaen" w:cs="Sylfaen"/>
        </w:rPr>
        <w:t>ფაქტორების</w:t>
      </w:r>
      <w:r>
        <w:t xml:space="preserve"> </w:t>
      </w:r>
      <w:r>
        <w:rPr>
          <w:rFonts w:ascii="Sylfaen" w:hAnsi="Sylfaen" w:cs="Sylfaen"/>
        </w:rPr>
        <w:t>და</w:t>
      </w:r>
      <w:r>
        <w:t xml:space="preserve"> 20-</w:t>
      </w:r>
      <w:r>
        <w:rPr>
          <w:rFonts w:ascii="Sylfaen" w:hAnsi="Sylfaen" w:cs="Sylfaen"/>
        </w:rPr>
        <w:t>წლიანი</w:t>
      </w:r>
      <w:r>
        <w:t xml:space="preserve"> </w:t>
      </w:r>
      <w:r>
        <w:rPr>
          <w:rFonts w:ascii="Sylfaen" w:hAnsi="Sylfaen" w:cs="Sylfaen"/>
        </w:rPr>
        <w:t>პერიოდის</w:t>
      </w:r>
      <w:r>
        <w:t xml:space="preserve"> </w:t>
      </w:r>
      <w:r>
        <w:rPr>
          <w:rFonts w:ascii="Sylfaen" w:hAnsi="Sylfaen" w:cs="Sylfaen"/>
        </w:rPr>
        <w:t>მომცველი</w:t>
      </w:r>
      <w:r>
        <w:t xml:space="preserve"> </w:t>
      </w:r>
      <w:r>
        <w:rPr>
          <w:rFonts w:ascii="Sylfaen" w:hAnsi="Sylfaen" w:cs="Sylfaen"/>
        </w:rPr>
        <w:t>ჯამური</w:t>
      </w:r>
      <w:r>
        <w:t xml:space="preserve"> </w:t>
      </w:r>
      <w:r>
        <w:rPr>
          <w:rFonts w:ascii="Sylfaen" w:hAnsi="Sylfaen" w:cs="Sylfaen"/>
        </w:rPr>
        <w:t>სტანდარტული</w:t>
      </w:r>
      <w:r>
        <w:t xml:space="preserve"> </w:t>
      </w:r>
      <w:r>
        <w:rPr>
          <w:rFonts w:ascii="Sylfaen" w:hAnsi="Sylfaen" w:cs="Sylfaen"/>
        </w:rPr>
        <w:t>ღერძული</w:t>
      </w:r>
      <w:r>
        <w:t xml:space="preserve"> </w:t>
      </w:r>
      <w:r>
        <w:rPr>
          <w:rFonts w:ascii="Sylfaen" w:hAnsi="Sylfaen" w:cs="Sylfaen"/>
        </w:rPr>
        <w:t>დატვირთვის</w:t>
      </w:r>
      <w:r>
        <w:t xml:space="preserve"> </w:t>
      </w:r>
      <w:r>
        <w:rPr>
          <w:rFonts w:ascii="Sylfaen" w:hAnsi="Sylfaen" w:cs="Sylfaen"/>
        </w:rPr>
        <w:t>გათვალისწინებით</w:t>
      </w:r>
      <w:r>
        <w:t xml:space="preserve">. </w:t>
      </w:r>
      <w:r>
        <w:rPr>
          <w:rFonts w:ascii="Sylfaen" w:hAnsi="Sylfaen" w:cs="Sylfaen"/>
        </w:rPr>
        <w:t>სატრანსპორტო</w:t>
      </w:r>
      <w:r>
        <w:t xml:space="preserve"> </w:t>
      </w:r>
      <w:r>
        <w:rPr>
          <w:rFonts w:ascii="Sylfaen" w:hAnsi="Sylfaen" w:cs="Sylfaen"/>
        </w:rPr>
        <w:t>დატვირთვების</w:t>
      </w:r>
      <w:r>
        <w:t xml:space="preserve"> </w:t>
      </w:r>
      <w:r>
        <w:rPr>
          <w:rFonts w:ascii="Sylfaen" w:hAnsi="Sylfaen" w:cs="Sylfaen"/>
        </w:rPr>
        <w:t>განსაზღვრისას</w:t>
      </w:r>
      <w:r>
        <w:t xml:space="preserve">, </w:t>
      </w:r>
      <w:r>
        <w:rPr>
          <w:rFonts w:ascii="Sylfaen" w:hAnsi="Sylfaen" w:cs="Sylfaen"/>
        </w:rPr>
        <w:t>ძირითადი</w:t>
      </w:r>
      <w:r>
        <w:t xml:space="preserve"> </w:t>
      </w:r>
      <w:r>
        <w:rPr>
          <w:rFonts w:ascii="Sylfaen" w:hAnsi="Sylfaen" w:cs="Sylfaen"/>
        </w:rPr>
        <w:t>საწყისი</w:t>
      </w:r>
      <w:r>
        <w:t xml:space="preserve"> </w:t>
      </w:r>
      <w:r>
        <w:rPr>
          <w:rFonts w:ascii="Sylfaen" w:hAnsi="Sylfaen" w:cs="Sylfaen"/>
        </w:rPr>
        <w:t>სიდიდეების</w:t>
      </w:r>
      <w:r>
        <w:t xml:space="preserve"> </w:t>
      </w:r>
      <w:r>
        <w:rPr>
          <w:rFonts w:ascii="Sylfaen" w:hAnsi="Sylfaen" w:cs="Sylfaen"/>
        </w:rPr>
        <w:t>სახით</w:t>
      </w:r>
      <w:r>
        <w:t xml:space="preserve"> </w:t>
      </w:r>
      <w:r>
        <w:rPr>
          <w:rFonts w:ascii="Sylfaen" w:hAnsi="Sylfaen" w:cs="Sylfaen"/>
        </w:rPr>
        <w:t>გამოიყენება</w:t>
      </w:r>
      <w:r>
        <w:t xml:space="preserve"> </w:t>
      </w:r>
      <w:r>
        <w:rPr>
          <w:rFonts w:ascii="Sylfaen" w:hAnsi="Sylfaen" w:cs="Sylfaen"/>
        </w:rPr>
        <w:t>სატრანსპორტო</w:t>
      </w:r>
      <w:r>
        <w:t xml:space="preserve"> </w:t>
      </w:r>
      <w:r>
        <w:rPr>
          <w:rFonts w:ascii="Sylfaen" w:hAnsi="Sylfaen" w:cs="Sylfaen"/>
        </w:rPr>
        <w:t>ნაკადის</w:t>
      </w:r>
      <w:r>
        <w:t xml:space="preserve"> </w:t>
      </w:r>
      <w:r>
        <w:rPr>
          <w:rFonts w:ascii="Sylfaen" w:hAnsi="Sylfaen" w:cs="Sylfaen"/>
        </w:rPr>
        <w:t>დათვლის</w:t>
      </w:r>
      <w:r>
        <w:t xml:space="preserve"> </w:t>
      </w:r>
      <w:r>
        <w:rPr>
          <w:rFonts w:ascii="Sylfaen" w:hAnsi="Sylfaen" w:cs="Sylfaen"/>
        </w:rPr>
        <w:t>მონაცემები</w:t>
      </w:r>
      <w:r>
        <w:t>.</w:t>
      </w:r>
    </w:p>
    <w:p w14:paraId="20C245DB" w14:textId="77777777" w:rsidR="0011522C" w:rsidRDefault="0011522C" w:rsidP="0011522C">
      <w:pPr>
        <w:spacing w:before="120" w:after="120"/>
      </w:pPr>
      <w:r>
        <w:rPr>
          <w:rFonts w:ascii="Sylfaen" w:hAnsi="Sylfaen" w:cs="Sylfaen"/>
        </w:rPr>
        <w:t>საპროექტო</w:t>
      </w:r>
      <w:r>
        <w:t xml:space="preserve"> </w:t>
      </w:r>
      <w:r>
        <w:rPr>
          <w:rFonts w:ascii="Sylfaen" w:hAnsi="Sylfaen" w:cs="Sylfaen"/>
        </w:rPr>
        <w:t>გზაზე</w:t>
      </w:r>
      <w:r>
        <w:t xml:space="preserve"> </w:t>
      </w:r>
      <w:r>
        <w:rPr>
          <w:rFonts w:ascii="Sylfaen" w:hAnsi="Sylfaen" w:cs="Sylfaen"/>
        </w:rPr>
        <w:t>მოძრავი</w:t>
      </w:r>
      <w:r>
        <w:t xml:space="preserve"> </w:t>
      </w:r>
      <w:r>
        <w:rPr>
          <w:rFonts w:ascii="Sylfaen" w:hAnsi="Sylfaen" w:cs="Sylfaen"/>
        </w:rPr>
        <w:t>სატრანსპორტო</w:t>
      </w:r>
      <w:r>
        <w:t xml:space="preserve"> </w:t>
      </w:r>
      <w:r>
        <w:rPr>
          <w:rFonts w:ascii="Sylfaen" w:hAnsi="Sylfaen" w:cs="Sylfaen"/>
        </w:rPr>
        <w:t>ნაკადის</w:t>
      </w:r>
      <w:r>
        <w:t xml:space="preserve"> </w:t>
      </w:r>
      <w:r>
        <w:rPr>
          <w:rFonts w:ascii="Sylfaen" w:hAnsi="Sylfaen" w:cs="Sylfaen"/>
        </w:rPr>
        <w:t>მოცულობის</w:t>
      </w:r>
      <w:r>
        <w:t xml:space="preserve">, </w:t>
      </w:r>
      <w:r>
        <w:rPr>
          <w:rFonts w:ascii="Sylfaen" w:hAnsi="Sylfaen" w:cs="Sylfaen"/>
        </w:rPr>
        <w:t>საგზაო</w:t>
      </w:r>
      <w:r>
        <w:t xml:space="preserve"> </w:t>
      </w:r>
      <w:r>
        <w:rPr>
          <w:rFonts w:ascii="Sylfaen" w:hAnsi="Sylfaen" w:cs="Sylfaen"/>
        </w:rPr>
        <w:t>მოძრაობის</w:t>
      </w:r>
      <w:r>
        <w:t xml:space="preserve"> </w:t>
      </w:r>
      <w:r>
        <w:rPr>
          <w:rFonts w:ascii="Sylfaen" w:hAnsi="Sylfaen" w:cs="Sylfaen"/>
        </w:rPr>
        <w:t>აღწერების</w:t>
      </w:r>
      <w:r>
        <w:t xml:space="preserve"> </w:t>
      </w:r>
      <w:r>
        <w:rPr>
          <w:rFonts w:ascii="Sylfaen" w:hAnsi="Sylfaen" w:cs="Sylfaen"/>
        </w:rPr>
        <w:t>შედეგების</w:t>
      </w:r>
      <w:r>
        <w:t xml:space="preserve"> </w:t>
      </w:r>
      <w:r>
        <w:rPr>
          <w:rFonts w:ascii="Sylfaen" w:hAnsi="Sylfaen" w:cs="Sylfaen"/>
        </w:rPr>
        <w:t>და</w:t>
      </w:r>
      <w:r>
        <w:t xml:space="preserve"> </w:t>
      </w:r>
      <w:r>
        <w:rPr>
          <w:rFonts w:ascii="Sylfaen" w:hAnsi="Sylfaen" w:cs="Sylfaen"/>
        </w:rPr>
        <w:t>სახელმწიფო</w:t>
      </w:r>
      <w:r>
        <w:t xml:space="preserve"> </w:t>
      </w:r>
      <w:r>
        <w:rPr>
          <w:rFonts w:ascii="Sylfaen" w:hAnsi="Sylfaen" w:cs="Sylfaen"/>
        </w:rPr>
        <w:t>და</w:t>
      </w:r>
      <w:r>
        <w:t xml:space="preserve"> </w:t>
      </w:r>
      <w:r>
        <w:rPr>
          <w:rFonts w:ascii="Sylfaen" w:hAnsi="Sylfaen" w:cs="Sylfaen"/>
        </w:rPr>
        <w:t>რეგიონული</w:t>
      </w:r>
      <w:r>
        <w:t xml:space="preserve"> </w:t>
      </w:r>
      <w:r>
        <w:rPr>
          <w:rFonts w:ascii="Sylfaen" w:hAnsi="Sylfaen" w:cs="Sylfaen"/>
        </w:rPr>
        <w:t>ეკონომიკური</w:t>
      </w:r>
      <w:r>
        <w:t xml:space="preserve"> </w:t>
      </w:r>
      <w:r>
        <w:rPr>
          <w:rFonts w:ascii="Sylfaen" w:hAnsi="Sylfaen" w:cs="Sylfaen"/>
        </w:rPr>
        <w:t>განვითარების</w:t>
      </w:r>
      <w:r>
        <w:t xml:space="preserve"> </w:t>
      </w:r>
      <w:r>
        <w:rPr>
          <w:rFonts w:ascii="Sylfaen" w:hAnsi="Sylfaen" w:cs="Sylfaen"/>
        </w:rPr>
        <w:t>მოსალოდნელი</w:t>
      </w:r>
      <w:r>
        <w:t xml:space="preserve"> </w:t>
      </w:r>
      <w:r>
        <w:rPr>
          <w:rFonts w:ascii="Sylfaen" w:hAnsi="Sylfaen" w:cs="Sylfaen"/>
        </w:rPr>
        <w:t>მაჩვენებლების</w:t>
      </w:r>
      <w:r>
        <w:t xml:space="preserve"> </w:t>
      </w:r>
      <w:r>
        <w:rPr>
          <w:rFonts w:ascii="Sylfaen" w:hAnsi="Sylfaen" w:cs="Sylfaen"/>
        </w:rPr>
        <w:t>საფუძველზე</w:t>
      </w:r>
      <w:r>
        <w:t xml:space="preserve">, </w:t>
      </w:r>
      <w:r>
        <w:rPr>
          <w:rFonts w:ascii="Sylfaen" w:hAnsi="Sylfaen" w:cs="Sylfaen"/>
        </w:rPr>
        <w:t>დამუშავდა</w:t>
      </w:r>
      <w:r>
        <w:t xml:space="preserve"> </w:t>
      </w:r>
      <w:r>
        <w:rPr>
          <w:rFonts w:ascii="Sylfaen" w:hAnsi="Sylfaen" w:cs="Sylfaen"/>
        </w:rPr>
        <w:t>საგზაო</w:t>
      </w:r>
      <w:r>
        <w:t xml:space="preserve"> </w:t>
      </w:r>
      <w:r>
        <w:rPr>
          <w:rFonts w:ascii="Sylfaen" w:hAnsi="Sylfaen" w:cs="Sylfaen"/>
        </w:rPr>
        <w:t>მოძრაობის</w:t>
      </w:r>
      <w:r>
        <w:t xml:space="preserve"> </w:t>
      </w:r>
      <w:r>
        <w:rPr>
          <w:rFonts w:ascii="Sylfaen" w:hAnsi="Sylfaen" w:cs="Sylfaen"/>
        </w:rPr>
        <w:t>ზრდის</w:t>
      </w:r>
      <w:r>
        <w:t xml:space="preserve"> </w:t>
      </w:r>
      <w:r>
        <w:rPr>
          <w:rFonts w:ascii="Sylfaen" w:hAnsi="Sylfaen" w:cs="Sylfaen"/>
        </w:rPr>
        <w:t>პროგნოზები</w:t>
      </w:r>
      <w:r>
        <w:t xml:space="preserve">. </w:t>
      </w:r>
      <w:r>
        <w:rPr>
          <w:rFonts w:ascii="Sylfaen" w:hAnsi="Sylfaen" w:cs="Sylfaen"/>
        </w:rPr>
        <w:t>დეტალები</w:t>
      </w:r>
      <w:r>
        <w:t xml:space="preserve"> </w:t>
      </w:r>
      <w:r>
        <w:rPr>
          <w:rFonts w:ascii="Sylfaen" w:hAnsi="Sylfaen" w:cs="Sylfaen"/>
        </w:rPr>
        <w:t>წარმოდგენილია</w:t>
      </w:r>
      <w:r>
        <w:t xml:space="preserve"> </w:t>
      </w:r>
      <w:r>
        <w:rPr>
          <w:rFonts w:ascii="Sylfaen" w:hAnsi="Sylfaen" w:cs="Sylfaen"/>
        </w:rPr>
        <w:t>საგზაო</w:t>
      </w:r>
      <w:r>
        <w:t xml:space="preserve"> </w:t>
      </w:r>
      <w:r>
        <w:rPr>
          <w:rFonts w:ascii="Sylfaen" w:hAnsi="Sylfaen" w:cs="Sylfaen"/>
        </w:rPr>
        <w:t>მოძრაობის</w:t>
      </w:r>
      <w:r>
        <w:t xml:space="preserve"> </w:t>
      </w:r>
      <w:r>
        <w:rPr>
          <w:rFonts w:ascii="Sylfaen" w:hAnsi="Sylfaen" w:cs="Sylfaen"/>
        </w:rPr>
        <w:t>კვლევის</w:t>
      </w:r>
      <w:r>
        <w:t xml:space="preserve"> </w:t>
      </w:r>
      <w:r>
        <w:rPr>
          <w:rFonts w:ascii="Sylfaen" w:hAnsi="Sylfaen" w:cs="Sylfaen"/>
        </w:rPr>
        <w:t>ანგარიშში</w:t>
      </w:r>
      <w:r>
        <w:t>.</w:t>
      </w:r>
    </w:p>
    <w:p w14:paraId="57FE9941" w14:textId="77777777" w:rsidR="0011522C" w:rsidRDefault="0011522C" w:rsidP="0011522C">
      <w:pPr>
        <w:spacing w:before="120" w:after="120"/>
      </w:pPr>
      <w:r>
        <w:rPr>
          <w:rFonts w:ascii="Sylfaen" w:hAnsi="Sylfaen" w:cs="Sylfaen"/>
        </w:rPr>
        <w:t>გამოკვლეული</w:t>
      </w:r>
      <w:r>
        <w:t xml:space="preserve"> </w:t>
      </w:r>
      <w:r>
        <w:rPr>
          <w:rFonts w:ascii="Sylfaen" w:hAnsi="Sylfaen" w:cs="Sylfaen"/>
        </w:rPr>
        <w:t>იქნა</w:t>
      </w:r>
      <w:r>
        <w:t xml:space="preserve"> </w:t>
      </w:r>
      <w:r>
        <w:rPr>
          <w:rFonts w:ascii="Sylfaen" w:hAnsi="Sylfaen" w:cs="Sylfaen"/>
        </w:rPr>
        <w:t>შემდეგი</w:t>
      </w:r>
      <w:r>
        <w:t xml:space="preserve"> </w:t>
      </w:r>
      <w:r>
        <w:rPr>
          <w:rFonts w:ascii="Sylfaen" w:hAnsi="Sylfaen" w:cs="Sylfaen"/>
        </w:rPr>
        <w:t>მონაკვეთები</w:t>
      </w:r>
      <w:r>
        <w:t>:</w:t>
      </w:r>
    </w:p>
    <w:p w14:paraId="45630D3A" w14:textId="05BF8222" w:rsidR="00EA3205" w:rsidRPr="00F2480A" w:rsidRDefault="0011522C" w:rsidP="0011522C">
      <w:pPr>
        <w:spacing w:before="120" w:after="120"/>
        <w:rPr>
          <w:lang w:val="ka-GE"/>
        </w:rPr>
      </w:pPr>
      <w:r>
        <w:rPr>
          <w:rFonts w:ascii="Sylfaen" w:hAnsi="Sylfaen" w:cs="Sylfaen"/>
        </w:rPr>
        <w:t>ცხრილი</w:t>
      </w:r>
      <w:r>
        <w:t xml:space="preserve"> 4.</w:t>
      </w:r>
      <w:r w:rsidR="00EA6DAA">
        <w:rPr>
          <w:rFonts w:ascii="Sylfaen" w:hAnsi="Sylfaen"/>
          <w:lang w:val="ka-GE"/>
        </w:rPr>
        <w:t>9</w:t>
      </w:r>
      <w:r>
        <w:t>.1</w:t>
      </w:r>
      <w:r w:rsidR="00B05F62">
        <w:rPr>
          <w:rFonts w:ascii="Sylfaen" w:hAnsi="Sylfaen"/>
          <w:lang w:val="ka-GE"/>
        </w:rPr>
        <w:t>-1</w:t>
      </w:r>
      <w:r>
        <w:t xml:space="preserve">: </w:t>
      </w:r>
      <w:r w:rsidR="006D3BB5">
        <w:rPr>
          <w:rFonts w:ascii="Sylfaen" w:hAnsi="Sylfaen"/>
          <w:lang w:val="ka-GE"/>
        </w:rPr>
        <w:t>გურჯაანის (ჩუმლაყი)</w:t>
      </w:r>
      <w:r w:rsidR="006D3BB5">
        <w:rPr>
          <w:rFonts w:ascii="Sylfaen" w:hAnsi="Sylfaen"/>
          <w:lang w:val="en-US"/>
        </w:rPr>
        <w:t>-</w:t>
      </w:r>
      <w:r w:rsidR="006D3BB5">
        <w:rPr>
          <w:rFonts w:ascii="Sylfaen" w:hAnsi="Sylfaen"/>
          <w:lang w:val="ka-GE"/>
        </w:rPr>
        <w:t xml:space="preserve">თელავის </w:t>
      </w:r>
      <w:r>
        <w:t xml:space="preserve"> </w:t>
      </w:r>
      <w:r>
        <w:rPr>
          <w:rFonts w:ascii="Sylfaen" w:hAnsi="Sylfaen" w:cs="Sylfaen"/>
        </w:rPr>
        <w:t>გზის</w:t>
      </w:r>
      <w:r>
        <w:t xml:space="preserve"> </w:t>
      </w:r>
      <w:r>
        <w:rPr>
          <w:rFonts w:ascii="Sylfaen" w:hAnsi="Sylfaen" w:cs="Sylfaen"/>
        </w:rPr>
        <w:t>საკვლევი</w:t>
      </w:r>
      <w:r>
        <w:t xml:space="preserve"> </w:t>
      </w:r>
      <w:r>
        <w:rPr>
          <w:rFonts w:ascii="Sylfaen" w:hAnsi="Sylfaen" w:cs="Sylfaen"/>
        </w:rPr>
        <w:t>მონაკვეთები</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693"/>
        <w:gridCol w:w="2693"/>
        <w:gridCol w:w="2694"/>
      </w:tblGrid>
      <w:tr w:rsidR="00EA3205" w:rsidRPr="007F2C2A" w14:paraId="077D93FC" w14:textId="77777777" w:rsidTr="00EA3205">
        <w:trPr>
          <w:trHeight w:val="444"/>
        </w:trPr>
        <w:tc>
          <w:tcPr>
            <w:tcW w:w="567"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03FF42B7" w14:textId="77777777" w:rsidR="00EA3205" w:rsidRPr="007F2C2A" w:rsidRDefault="00EA3205" w:rsidP="00EA3205">
            <w:pPr>
              <w:rPr>
                <w:rFonts w:ascii="Sylfaen" w:hAnsi="Sylfaen"/>
                <w:sz w:val="20"/>
              </w:rPr>
            </w:pPr>
            <w:r w:rsidRPr="007F2C2A">
              <w:rPr>
                <w:rFonts w:ascii="Sylfaen" w:hAnsi="Sylfaen"/>
                <w:sz w:val="20"/>
              </w:rPr>
              <w:t>#</w:t>
            </w:r>
          </w:p>
        </w:tc>
        <w:tc>
          <w:tcPr>
            <w:tcW w:w="5386" w:type="dxa"/>
            <w:gridSpan w:val="2"/>
            <w:tcBorders>
              <w:top w:val="single" w:sz="4" w:space="0" w:color="auto"/>
              <w:left w:val="single" w:sz="4" w:space="0" w:color="auto"/>
              <w:bottom w:val="nil"/>
              <w:right w:val="single" w:sz="4" w:space="0" w:color="auto"/>
            </w:tcBorders>
            <w:shd w:val="clear" w:color="auto" w:fill="E7E6E6"/>
            <w:vAlign w:val="center"/>
            <w:hideMark/>
          </w:tcPr>
          <w:p w14:paraId="72AF1562" w14:textId="7C533CCE" w:rsidR="00EA3205" w:rsidRPr="007F2C2A" w:rsidRDefault="0011522C" w:rsidP="0011522C">
            <w:pPr>
              <w:rPr>
                <w:rFonts w:ascii="Sylfaen" w:hAnsi="Sylfaen"/>
                <w:sz w:val="20"/>
              </w:rPr>
            </w:pPr>
            <w:r w:rsidRPr="007F2C2A">
              <w:rPr>
                <w:rFonts w:ascii="Sylfaen" w:hAnsi="Sylfaen"/>
                <w:sz w:val="20"/>
                <w:lang w:val="ka-GE"/>
              </w:rPr>
              <w:t>მონაკვეთი</w:t>
            </w:r>
          </w:p>
        </w:tc>
        <w:tc>
          <w:tcPr>
            <w:tcW w:w="2694" w:type="dxa"/>
            <w:tcBorders>
              <w:top w:val="single" w:sz="4" w:space="0" w:color="auto"/>
              <w:left w:val="single" w:sz="4" w:space="0" w:color="auto"/>
              <w:bottom w:val="nil"/>
              <w:right w:val="single" w:sz="4" w:space="0" w:color="auto"/>
            </w:tcBorders>
            <w:shd w:val="clear" w:color="auto" w:fill="E7E6E6"/>
            <w:vAlign w:val="center"/>
            <w:hideMark/>
          </w:tcPr>
          <w:p w14:paraId="41D44591" w14:textId="222A7ABA" w:rsidR="00EA3205" w:rsidRPr="007F2C2A" w:rsidRDefault="0011522C" w:rsidP="00EA3205">
            <w:pPr>
              <w:rPr>
                <w:rFonts w:ascii="Sylfaen" w:hAnsi="Sylfaen"/>
                <w:sz w:val="20"/>
                <w:lang w:val="ka-GE"/>
              </w:rPr>
            </w:pPr>
            <w:r w:rsidRPr="007F2C2A">
              <w:rPr>
                <w:rFonts w:ascii="Sylfaen" w:hAnsi="Sylfaen"/>
                <w:sz w:val="20"/>
                <w:lang w:val="ka-GE"/>
              </w:rPr>
              <w:t>სიგრძე</w:t>
            </w:r>
          </w:p>
        </w:tc>
      </w:tr>
      <w:tr w:rsidR="00EA3205" w:rsidRPr="007F2C2A" w14:paraId="56C061FD" w14:textId="77777777" w:rsidTr="00EA3205">
        <w:trPr>
          <w:trHeight w:val="1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2E8E2" w14:textId="77777777" w:rsidR="00EA3205" w:rsidRPr="007F2C2A" w:rsidRDefault="00EA3205" w:rsidP="00EA3205">
            <w:pPr>
              <w:rPr>
                <w:rFonts w:ascii="Sylfaen" w:hAnsi="Sylfaen"/>
                <w:sz w:val="20"/>
              </w:rPr>
            </w:pPr>
          </w:p>
        </w:tc>
        <w:tc>
          <w:tcPr>
            <w:tcW w:w="2693" w:type="dxa"/>
            <w:tcBorders>
              <w:top w:val="nil"/>
              <w:left w:val="single" w:sz="4" w:space="0" w:color="auto"/>
              <w:bottom w:val="single" w:sz="4" w:space="0" w:color="auto"/>
              <w:right w:val="single" w:sz="4" w:space="0" w:color="auto"/>
            </w:tcBorders>
            <w:shd w:val="clear" w:color="auto" w:fill="E7E6E6"/>
            <w:vAlign w:val="center"/>
            <w:hideMark/>
          </w:tcPr>
          <w:p w14:paraId="3FCD2B1A" w14:textId="4F02FBC5" w:rsidR="00EA3205" w:rsidRPr="007F2C2A" w:rsidRDefault="0011522C" w:rsidP="00EA3205">
            <w:pPr>
              <w:rPr>
                <w:rFonts w:ascii="Sylfaen" w:hAnsi="Sylfaen"/>
                <w:sz w:val="20"/>
              </w:rPr>
            </w:pPr>
            <w:r w:rsidRPr="007F2C2A">
              <w:rPr>
                <w:rFonts w:ascii="Sylfaen" w:hAnsi="Sylfaen"/>
                <w:sz w:val="20"/>
              </w:rPr>
              <w:t>საიდან</w:t>
            </w:r>
          </w:p>
        </w:tc>
        <w:tc>
          <w:tcPr>
            <w:tcW w:w="2693" w:type="dxa"/>
            <w:tcBorders>
              <w:top w:val="nil"/>
              <w:left w:val="single" w:sz="4" w:space="0" w:color="auto"/>
              <w:bottom w:val="single" w:sz="4" w:space="0" w:color="auto"/>
              <w:right w:val="single" w:sz="4" w:space="0" w:color="auto"/>
            </w:tcBorders>
            <w:shd w:val="clear" w:color="auto" w:fill="E7E6E6"/>
            <w:vAlign w:val="center"/>
            <w:hideMark/>
          </w:tcPr>
          <w:p w14:paraId="3CFB47CE" w14:textId="206D81B2" w:rsidR="00EA3205" w:rsidRPr="007F2C2A" w:rsidRDefault="0011522C" w:rsidP="00EA3205">
            <w:pPr>
              <w:rPr>
                <w:rFonts w:ascii="Sylfaen" w:hAnsi="Sylfaen"/>
                <w:sz w:val="20"/>
                <w:lang w:val="ka-GE"/>
              </w:rPr>
            </w:pPr>
            <w:r w:rsidRPr="007F2C2A">
              <w:rPr>
                <w:rFonts w:ascii="Sylfaen" w:hAnsi="Sylfaen"/>
                <w:sz w:val="20"/>
                <w:lang w:val="ka-GE"/>
              </w:rPr>
              <w:t>სადამდე</w:t>
            </w:r>
          </w:p>
        </w:tc>
        <w:tc>
          <w:tcPr>
            <w:tcW w:w="2694" w:type="dxa"/>
            <w:tcBorders>
              <w:top w:val="nil"/>
              <w:left w:val="single" w:sz="4" w:space="0" w:color="auto"/>
              <w:bottom w:val="single" w:sz="4" w:space="0" w:color="auto"/>
              <w:right w:val="single" w:sz="4" w:space="0" w:color="auto"/>
            </w:tcBorders>
            <w:shd w:val="clear" w:color="auto" w:fill="E7E6E6"/>
            <w:vAlign w:val="center"/>
            <w:hideMark/>
          </w:tcPr>
          <w:p w14:paraId="0EFE8EFE" w14:textId="47FCB6D8" w:rsidR="00EA3205" w:rsidRPr="007F2C2A" w:rsidRDefault="00EA3205" w:rsidP="0011522C">
            <w:pPr>
              <w:rPr>
                <w:rFonts w:ascii="Sylfaen" w:hAnsi="Sylfaen"/>
                <w:sz w:val="20"/>
              </w:rPr>
            </w:pPr>
            <w:r w:rsidRPr="007F2C2A">
              <w:rPr>
                <w:rFonts w:ascii="Sylfaen" w:hAnsi="Sylfaen"/>
                <w:sz w:val="20"/>
              </w:rPr>
              <w:t>(</w:t>
            </w:r>
            <w:r w:rsidR="0011522C" w:rsidRPr="007F2C2A">
              <w:rPr>
                <w:rFonts w:ascii="Sylfaen" w:hAnsi="Sylfaen"/>
                <w:sz w:val="20"/>
                <w:lang w:val="ka-GE"/>
              </w:rPr>
              <w:t>კმ</w:t>
            </w:r>
            <w:r w:rsidRPr="007F2C2A">
              <w:rPr>
                <w:rFonts w:ascii="Sylfaen" w:hAnsi="Sylfaen"/>
                <w:sz w:val="20"/>
              </w:rPr>
              <w:t>)</w:t>
            </w:r>
          </w:p>
        </w:tc>
      </w:tr>
      <w:tr w:rsidR="00EA3205" w:rsidRPr="007F2C2A" w14:paraId="4BC8CB76" w14:textId="77777777" w:rsidTr="007F2C2A">
        <w:trPr>
          <w:trHeight w:val="350"/>
        </w:trPr>
        <w:tc>
          <w:tcPr>
            <w:tcW w:w="567" w:type="dxa"/>
            <w:tcBorders>
              <w:top w:val="single" w:sz="4" w:space="0" w:color="auto"/>
              <w:left w:val="single" w:sz="4" w:space="0" w:color="auto"/>
              <w:bottom w:val="single" w:sz="4" w:space="0" w:color="auto"/>
              <w:right w:val="single" w:sz="4" w:space="0" w:color="auto"/>
            </w:tcBorders>
            <w:vAlign w:val="center"/>
            <w:hideMark/>
          </w:tcPr>
          <w:p w14:paraId="2D7C1E33" w14:textId="77777777" w:rsidR="00EA3205" w:rsidRPr="007F2C2A" w:rsidRDefault="00EA3205" w:rsidP="00EA3205">
            <w:pPr>
              <w:rPr>
                <w:rFonts w:ascii="Sylfaen" w:hAnsi="Sylfaen"/>
                <w:sz w:val="20"/>
              </w:rPr>
            </w:pPr>
            <w:r w:rsidRPr="007F2C2A">
              <w:rPr>
                <w:rFonts w:ascii="Sylfaen" w:hAnsi="Sylfaen"/>
                <w:sz w:val="20"/>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D9F449A" w14:textId="54EB4397" w:rsidR="00EA3205" w:rsidRPr="007F2C2A" w:rsidRDefault="0011522C" w:rsidP="0011522C">
            <w:pPr>
              <w:rPr>
                <w:rFonts w:ascii="Sylfaen" w:hAnsi="Sylfaen"/>
                <w:sz w:val="20"/>
              </w:rPr>
            </w:pPr>
            <w:r w:rsidRPr="007F2C2A">
              <w:rPr>
                <w:rFonts w:ascii="Sylfaen" w:hAnsi="Sylfaen"/>
                <w:sz w:val="20"/>
                <w:lang w:val="ka-GE"/>
              </w:rPr>
              <w:t>თელავი</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21772A8" w14:textId="6CE461C3" w:rsidR="00EA3205" w:rsidRPr="007F2C2A" w:rsidRDefault="0011522C" w:rsidP="00EA3205">
            <w:pPr>
              <w:rPr>
                <w:rFonts w:ascii="Sylfaen" w:hAnsi="Sylfaen"/>
                <w:sz w:val="20"/>
                <w:lang w:val="ka-GE"/>
              </w:rPr>
            </w:pPr>
            <w:r w:rsidRPr="007F2C2A">
              <w:rPr>
                <w:rFonts w:ascii="Sylfaen" w:hAnsi="Sylfaen"/>
                <w:sz w:val="20"/>
                <w:lang w:val="ka-GE"/>
              </w:rPr>
              <w:t>აკურა</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8965F0A" w14:textId="77777777" w:rsidR="00EA3205" w:rsidRPr="007F2C2A" w:rsidRDefault="00EA3205" w:rsidP="00EA3205">
            <w:pPr>
              <w:rPr>
                <w:rFonts w:ascii="Sylfaen" w:hAnsi="Sylfaen"/>
                <w:sz w:val="20"/>
              </w:rPr>
            </w:pPr>
            <w:r w:rsidRPr="007F2C2A">
              <w:rPr>
                <w:rFonts w:ascii="Sylfaen" w:hAnsi="Sylfaen"/>
                <w:sz w:val="20"/>
              </w:rPr>
              <w:t>17.59</w:t>
            </w:r>
          </w:p>
        </w:tc>
      </w:tr>
      <w:tr w:rsidR="00EA3205" w:rsidRPr="007F2C2A" w14:paraId="45566D0B" w14:textId="77777777" w:rsidTr="007F2C2A">
        <w:trPr>
          <w:trHeight w:val="269"/>
        </w:trPr>
        <w:tc>
          <w:tcPr>
            <w:tcW w:w="567" w:type="dxa"/>
            <w:tcBorders>
              <w:top w:val="single" w:sz="4" w:space="0" w:color="auto"/>
              <w:left w:val="single" w:sz="4" w:space="0" w:color="auto"/>
              <w:bottom w:val="single" w:sz="4" w:space="0" w:color="auto"/>
              <w:right w:val="single" w:sz="4" w:space="0" w:color="auto"/>
            </w:tcBorders>
            <w:vAlign w:val="center"/>
            <w:hideMark/>
          </w:tcPr>
          <w:p w14:paraId="71325CFC" w14:textId="77777777" w:rsidR="00EA3205" w:rsidRPr="007F2C2A" w:rsidRDefault="00EA3205" w:rsidP="00EA3205">
            <w:pPr>
              <w:rPr>
                <w:rFonts w:ascii="Sylfaen" w:hAnsi="Sylfaen"/>
                <w:sz w:val="20"/>
              </w:rPr>
            </w:pPr>
            <w:r w:rsidRPr="007F2C2A">
              <w:rPr>
                <w:rFonts w:ascii="Sylfaen" w:hAnsi="Sylfaen"/>
                <w:sz w:val="20"/>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42617B3" w14:textId="2FFF2605" w:rsidR="00EA3205" w:rsidRPr="007F2C2A" w:rsidRDefault="0011522C" w:rsidP="00EA3205">
            <w:pPr>
              <w:rPr>
                <w:rFonts w:ascii="Sylfaen" w:hAnsi="Sylfaen"/>
                <w:sz w:val="20"/>
                <w:lang w:val="ka-GE"/>
              </w:rPr>
            </w:pPr>
            <w:r w:rsidRPr="007F2C2A">
              <w:rPr>
                <w:rFonts w:ascii="Sylfaen" w:hAnsi="Sylfaen"/>
                <w:sz w:val="20"/>
                <w:lang w:val="ka-GE"/>
              </w:rPr>
              <w:t>აკურა</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467F416" w14:textId="0141238B" w:rsidR="00EA3205" w:rsidRPr="007F2C2A" w:rsidRDefault="0011522C" w:rsidP="0011522C">
            <w:pPr>
              <w:rPr>
                <w:rFonts w:ascii="Sylfaen" w:hAnsi="Sylfaen"/>
                <w:sz w:val="20"/>
              </w:rPr>
            </w:pPr>
            <w:r w:rsidRPr="007F2C2A">
              <w:rPr>
                <w:rFonts w:ascii="Sylfaen" w:hAnsi="Sylfaen"/>
                <w:sz w:val="20"/>
                <w:lang w:val="ka-GE"/>
              </w:rPr>
              <w:t>ველისციხეს კვანძი</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30BC377" w14:textId="77777777" w:rsidR="00EA3205" w:rsidRPr="007F2C2A" w:rsidRDefault="00EA3205" w:rsidP="00EA3205">
            <w:pPr>
              <w:rPr>
                <w:rFonts w:ascii="Sylfaen" w:hAnsi="Sylfaen"/>
                <w:sz w:val="20"/>
              </w:rPr>
            </w:pPr>
            <w:r w:rsidRPr="007F2C2A">
              <w:rPr>
                <w:rFonts w:ascii="Sylfaen" w:hAnsi="Sylfaen"/>
                <w:sz w:val="20"/>
              </w:rPr>
              <w:t>12.22</w:t>
            </w:r>
          </w:p>
        </w:tc>
      </w:tr>
      <w:tr w:rsidR="00EA3205" w:rsidRPr="007F2C2A" w14:paraId="55BC00EB" w14:textId="77777777" w:rsidTr="007F2C2A">
        <w:trPr>
          <w:trHeight w:val="143"/>
        </w:trPr>
        <w:tc>
          <w:tcPr>
            <w:tcW w:w="567" w:type="dxa"/>
            <w:tcBorders>
              <w:top w:val="single" w:sz="4" w:space="0" w:color="auto"/>
              <w:left w:val="single" w:sz="4" w:space="0" w:color="auto"/>
              <w:bottom w:val="single" w:sz="4" w:space="0" w:color="auto"/>
              <w:right w:val="single" w:sz="4" w:space="0" w:color="auto"/>
            </w:tcBorders>
            <w:vAlign w:val="center"/>
            <w:hideMark/>
          </w:tcPr>
          <w:p w14:paraId="1FA21D68" w14:textId="77777777" w:rsidR="00EA3205" w:rsidRPr="007F2C2A" w:rsidRDefault="00EA3205" w:rsidP="00EA3205">
            <w:pPr>
              <w:rPr>
                <w:rFonts w:ascii="Sylfaen" w:hAnsi="Sylfaen"/>
                <w:sz w:val="20"/>
              </w:rPr>
            </w:pPr>
            <w:r w:rsidRPr="007F2C2A">
              <w:rPr>
                <w:rFonts w:ascii="Sylfaen" w:hAnsi="Sylfaen"/>
                <w:sz w:val="20"/>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94EF387" w14:textId="3B589B7E" w:rsidR="00EA3205" w:rsidRPr="007F2C2A" w:rsidRDefault="0011522C" w:rsidP="00EA3205">
            <w:pPr>
              <w:rPr>
                <w:rFonts w:ascii="Sylfaen" w:hAnsi="Sylfaen"/>
                <w:sz w:val="20"/>
              </w:rPr>
            </w:pPr>
            <w:r w:rsidRPr="007F2C2A">
              <w:rPr>
                <w:rFonts w:ascii="Sylfaen" w:hAnsi="Sylfaen"/>
                <w:sz w:val="20"/>
                <w:lang w:val="ka-GE"/>
              </w:rPr>
              <w:t>ველისციხეს კვანძი</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4E1463A" w14:textId="22586093" w:rsidR="00EA3205" w:rsidRPr="007F2C2A" w:rsidRDefault="0011522C" w:rsidP="00EA3205">
            <w:pPr>
              <w:rPr>
                <w:rFonts w:ascii="Sylfaen" w:hAnsi="Sylfaen"/>
                <w:sz w:val="20"/>
                <w:lang w:val="ka-GE"/>
              </w:rPr>
            </w:pPr>
            <w:r w:rsidRPr="007F2C2A">
              <w:rPr>
                <w:rFonts w:ascii="Sylfaen" w:hAnsi="Sylfaen"/>
                <w:sz w:val="20"/>
                <w:lang w:val="ka-GE"/>
              </w:rPr>
              <w:t>ჩუმლაყი</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1500426" w14:textId="77777777" w:rsidR="00EA3205" w:rsidRPr="007F2C2A" w:rsidRDefault="00EA3205" w:rsidP="00EA3205">
            <w:pPr>
              <w:rPr>
                <w:rFonts w:ascii="Sylfaen" w:hAnsi="Sylfaen"/>
                <w:sz w:val="20"/>
              </w:rPr>
            </w:pPr>
            <w:r w:rsidRPr="007F2C2A">
              <w:rPr>
                <w:rFonts w:ascii="Sylfaen" w:hAnsi="Sylfaen"/>
                <w:sz w:val="20"/>
              </w:rPr>
              <w:t>4.67</w:t>
            </w:r>
          </w:p>
        </w:tc>
      </w:tr>
    </w:tbl>
    <w:p w14:paraId="287C0C6B" w14:textId="77777777" w:rsidR="00EA3205" w:rsidRPr="00F2480A" w:rsidRDefault="00EA3205" w:rsidP="00EA3205">
      <w:pPr>
        <w:rPr>
          <w:lang w:val="es-ES"/>
        </w:rPr>
      </w:pPr>
    </w:p>
    <w:p w14:paraId="39F51E91" w14:textId="77777777" w:rsidR="00EA3205" w:rsidRPr="00B05F62" w:rsidRDefault="00EA3205" w:rsidP="00B05F62">
      <w:pPr>
        <w:spacing w:before="120" w:after="120"/>
        <w:rPr>
          <w:rFonts w:ascii="AcadNusx" w:hAnsi="AcadNusx"/>
          <w:lang w:val="es-ES"/>
        </w:rPr>
      </w:pPr>
      <w:r w:rsidRPr="00B05F62">
        <w:rPr>
          <w:rFonts w:ascii="AcadNusx" w:hAnsi="AcadNusx"/>
          <w:lang w:val="es-ES"/>
        </w:rPr>
        <w:lastRenderedPageBreak/>
        <w:t>gurjaani-Telavis sagzao monakveTisTvis ganisazRvra wliuri sagzao moZraobis saSualo dRiuri intensiurobis (</w:t>
      </w:r>
      <w:r w:rsidRPr="00B05F62">
        <w:rPr>
          <w:rFonts w:ascii="Sylfaen" w:hAnsi="Sylfaen"/>
          <w:lang w:val="es-ES"/>
        </w:rPr>
        <w:t>AADT</w:t>
      </w:r>
      <w:r w:rsidRPr="00B05F62">
        <w:rPr>
          <w:rFonts w:ascii="AcadNusx" w:hAnsi="AcadNusx"/>
          <w:lang w:val="es-ES"/>
        </w:rPr>
        <w:t>) zrdis dabali, centraluri da maRali tempebi, saproeqto gzebis savaraudo gaxsnidan (2020 w.) 20-wlian periodSi, gadamisamarTebuli satransporto nakadis CaTvliT.</w:t>
      </w:r>
    </w:p>
    <w:p w14:paraId="7279B4AD" w14:textId="77777777" w:rsidR="00EA3205" w:rsidRPr="00B05F62" w:rsidRDefault="00EA3205" w:rsidP="00B05F62">
      <w:pPr>
        <w:spacing w:before="120" w:after="120"/>
        <w:rPr>
          <w:rFonts w:ascii="AcadNusx" w:hAnsi="AcadNusx"/>
          <w:lang w:val="en-US"/>
        </w:rPr>
      </w:pPr>
      <w:r w:rsidRPr="00B05F62">
        <w:rPr>
          <w:rFonts w:ascii="Sylfaen" w:hAnsi="Sylfaen"/>
          <w:lang w:val="es-ES"/>
        </w:rPr>
        <w:t>AASHTO</w:t>
      </w:r>
      <w:r w:rsidRPr="00B05F62">
        <w:rPr>
          <w:rFonts w:ascii="AcadNusx" w:hAnsi="AcadNusx"/>
          <w:lang w:val="es-ES"/>
        </w:rPr>
        <w:t xml:space="preserve">-s “sagzao samosebis konstruqciebis proeqtirebis saxelmZRvanelo” Sesabamisad, standartuli RerZuli datvirTva 18 aTas funts (8 t) Seadgens, xolo sxva saerTaSoriso standartebi analogiuri normatiuli parametris sidideebad 10- an 11.5-tonian RerZul datvirTvebs iyeneben. </w:t>
      </w:r>
      <w:r w:rsidRPr="00B05F62">
        <w:rPr>
          <w:rFonts w:ascii="Sylfaen" w:hAnsi="Sylfaen"/>
        </w:rPr>
        <w:t>AASHTO</w:t>
      </w:r>
      <w:r w:rsidRPr="00B05F62">
        <w:rPr>
          <w:rFonts w:ascii="AcadNusx" w:hAnsi="AcadNusx"/>
        </w:rPr>
        <w:t>-s “sagzao gamocdis” angariSSi mocemulia korelacuri damokidebuleba sxvadasxva standartul/sakontrolo satransporto datvirTvebs Soris.</w:t>
      </w:r>
    </w:p>
    <w:p w14:paraId="43FED20F" w14:textId="77777777" w:rsidR="00EA3205" w:rsidRPr="00B05F62" w:rsidRDefault="00EA3205" w:rsidP="00B05F62">
      <w:pPr>
        <w:spacing w:before="120" w:after="120"/>
        <w:rPr>
          <w:rFonts w:ascii="AcadNusx" w:hAnsi="AcadNusx"/>
        </w:rPr>
      </w:pPr>
      <w:r w:rsidRPr="00B05F62">
        <w:rPr>
          <w:rFonts w:ascii="AcadNusx" w:hAnsi="AcadNusx"/>
        </w:rPr>
        <w:t>eqvivalenturi standartuli RerZuli (</w:t>
      </w:r>
      <w:r w:rsidRPr="00B05F62">
        <w:rPr>
          <w:rFonts w:ascii="Sylfaen" w:hAnsi="Sylfaen"/>
        </w:rPr>
        <w:t>ESAL</w:t>
      </w:r>
      <w:r w:rsidRPr="00B05F62">
        <w:rPr>
          <w:rFonts w:ascii="AcadNusx" w:hAnsi="AcadNusx"/>
        </w:rPr>
        <w:t>) gamoiTvala wliuri sagzao moZraobis saSualo dRiuri intensiurobis (</w:t>
      </w:r>
      <w:r w:rsidRPr="00B05F62">
        <w:rPr>
          <w:rFonts w:ascii="Sylfaen" w:hAnsi="Sylfaen"/>
        </w:rPr>
        <w:t>AADT</w:t>
      </w:r>
      <w:r w:rsidRPr="00B05F62">
        <w:rPr>
          <w:rFonts w:ascii="AcadNusx" w:hAnsi="AcadNusx"/>
        </w:rPr>
        <w:t xml:space="preserve">)  standartuli RerZebis jamur raodenobaSi gadayvanis saSualebiT, risTvisac gamoyenebul iqnadatvirTvis eqvivalenturi gadamyvani koeficientebi. aRniSnuli koeficientebiT nebismieri RerZuli datvirTvis efeqti gamoisaxeba standartuli (sakontrolo) RerZebis raodenobiT. </w:t>
      </w:r>
    </w:p>
    <w:p w14:paraId="60C86FA5" w14:textId="77777777" w:rsidR="00EA3205" w:rsidRPr="00B05F62" w:rsidRDefault="00EA3205" w:rsidP="00B05F62">
      <w:pPr>
        <w:spacing w:before="120" w:after="120"/>
        <w:rPr>
          <w:rFonts w:ascii="AcadNusx" w:hAnsi="AcadNusx"/>
        </w:rPr>
      </w:pPr>
      <w:r w:rsidRPr="00B05F62">
        <w:rPr>
          <w:rFonts w:ascii="AcadNusx" w:hAnsi="AcadNusx"/>
        </w:rPr>
        <w:t>saqarTveloSi adre Catarebuli RerZuli datvirTvebis aRwerebis Sedegebis gaTvaliswinebiT, miRebulia Semdegi gadamyvani koeficientebi:</w:t>
      </w:r>
    </w:p>
    <w:p w14:paraId="04700488" w14:textId="67EFFCA0" w:rsidR="00EA3205" w:rsidRPr="00B05F62" w:rsidRDefault="00B05F62" w:rsidP="00B05F62">
      <w:pPr>
        <w:spacing w:before="120" w:after="120"/>
        <w:rPr>
          <w:rFonts w:ascii="AcadNusx" w:hAnsi="AcadNusx"/>
        </w:rPr>
      </w:pPr>
      <w:r>
        <w:rPr>
          <w:rFonts w:ascii="AcadNusx" w:hAnsi="AcadNusx"/>
        </w:rPr>
        <w:t>cxrili 4.</w:t>
      </w:r>
      <w:r w:rsidR="00EA6DAA">
        <w:rPr>
          <w:rFonts w:ascii="Sylfaen" w:hAnsi="Sylfaen"/>
          <w:lang w:val="ka-GE"/>
        </w:rPr>
        <w:t>9</w:t>
      </w:r>
      <w:r w:rsidR="00EA3205" w:rsidRPr="00B05F62">
        <w:rPr>
          <w:rFonts w:ascii="AcadNusx" w:hAnsi="AcadNusx"/>
        </w:rPr>
        <w:t>.</w:t>
      </w:r>
      <w:r>
        <w:rPr>
          <w:rFonts w:ascii="Sylfaen" w:hAnsi="Sylfaen"/>
          <w:lang w:val="ka-GE"/>
        </w:rPr>
        <w:t>1-2</w:t>
      </w:r>
      <w:r w:rsidR="00EA3205" w:rsidRPr="00B05F62">
        <w:rPr>
          <w:rFonts w:ascii="AcadNusx" w:hAnsi="AcadNusx"/>
        </w:rPr>
        <w:t>.</w:t>
      </w:r>
      <w:r w:rsidR="00EA3205" w:rsidRPr="00B05F62">
        <w:rPr>
          <w:rFonts w:ascii="AcadNusx" w:hAnsi="AcadNusx"/>
        </w:rPr>
        <w:tab/>
        <w:t>standatuli RerZuli datvirTvis (</w:t>
      </w:r>
      <w:r w:rsidR="00EA3205" w:rsidRPr="00B05F62">
        <w:rPr>
          <w:rFonts w:ascii="Sylfaen" w:hAnsi="Sylfaen"/>
        </w:rPr>
        <w:t>ESAL</w:t>
      </w:r>
      <w:r w:rsidR="00EA3205" w:rsidRPr="00B05F62">
        <w:rPr>
          <w:rFonts w:ascii="AcadNusx" w:hAnsi="AcadNusx"/>
        </w:rPr>
        <w:t>) gadamyvani koeficientebi (8.16 toniani standartuli RerZi)</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081"/>
        <w:gridCol w:w="1081"/>
        <w:gridCol w:w="1081"/>
        <w:gridCol w:w="1206"/>
        <w:gridCol w:w="1275"/>
        <w:gridCol w:w="1276"/>
        <w:gridCol w:w="1508"/>
      </w:tblGrid>
      <w:tr w:rsidR="00EA3205" w:rsidRPr="00F2480A" w14:paraId="62A37D42" w14:textId="77777777" w:rsidTr="00EA3205">
        <w:trPr>
          <w:trHeight w:val="965"/>
        </w:trPr>
        <w:tc>
          <w:tcPr>
            <w:tcW w:w="1080" w:type="dxa"/>
            <w:tcBorders>
              <w:top w:val="single" w:sz="4" w:space="0" w:color="auto"/>
              <w:left w:val="single" w:sz="4" w:space="0" w:color="auto"/>
              <w:bottom w:val="single" w:sz="4" w:space="0" w:color="auto"/>
              <w:right w:val="single" w:sz="4" w:space="0" w:color="auto"/>
            </w:tcBorders>
            <w:shd w:val="clear" w:color="auto" w:fill="E7E6E6"/>
            <w:tcMar>
              <w:top w:w="0" w:type="dxa"/>
              <w:left w:w="57" w:type="dxa"/>
              <w:bottom w:w="0" w:type="dxa"/>
              <w:right w:w="28" w:type="dxa"/>
            </w:tcMar>
            <w:vAlign w:val="center"/>
            <w:hideMark/>
          </w:tcPr>
          <w:p w14:paraId="586A84FC" w14:textId="3D0AD3A3" w:rsidR="00EA3205" w:rsidRPr="00F2480A" w:rsidRDefault="0011522C" w:rsidP="0011522C">
            <w:r>
              <w:rPr>
                <w:rFonts w:ascii="Sylfaen" w:hAnsi="Sylfaen"/>
                <w:lang w:val="ka-GE"/>
              </w:rPr>
              <w:t>ავტომობ. ტიპი</w:t>
            </w:r>
          </w:p>
        </w:tc>
        <w:tc>
          <w:tcPr>
            <w:tcW w:w="1081" w:type="dxa"/>
            <w:tcBorders>
              <w:top w:val="single" w:sz="4" w:space="0" w:color="auto"/>
              <w:left w:val="single" w:sz="4" w:space="0" w:color="auto"/>
              <w:bottom w:val="single" w:sz="4" w:space="0" w:color="auto"/>
              <w:right w:val="single" w:sz="4" w:space="0" w:color="auto"/>
            </w:tcBorders>
            <w:shd w:val="clear" w:color="auto" w:fill="E7E6E6"/>
            <w:tcMar>
              <w:top w:w="0" w:type="dxa"/>
              <w:left w:w="57" w:type="dxa"/>
              <w:bottom w:w="0" w:type="dxa"/>
              <w:right w:w="28" w:type="dxa"/>
            </w:tcMar>
            <w:vAlign w:val="center"/>
            <w:hideMark/>
          </w:tcPr>
          <w:p w14:paraId="097C9E81" w14:textId="55686B60" w:rsidR="00EA3205" w:rsidRPr="00F2480A" w:rsidRDefault="0011522C" w:rsidP="0011522C">
            <w:r>
              <w:rPr>
                <w:rFonts w:ascii="Sylfaen" w:hAnsi="Sylfaen"/>
                <w:lang w:val="ka-GE"/>
              </w:rPr>
              <w:t>მსუბუქი ავტომ. ავტოფურგ.</w:t>
            </w:r>
            <w:r w:rsidR="00EA3205" w:rsidRPr="00F2480A">
              <w:t xml:space="preserve"> </w:t>
            </w:r>
          </w:p>
        </w:tc>
        <w:tc>
          <w:tcPr>
            <w:tcW w:w="1081" w:type="dxa"/>
            <w:tcBorders>
              <w:top w:val="single" w:sz="4" w:space="0" w:color="auto"/>
              <w:left w:val="single" w:sz="4" w:space="0" w:color="auto"/>
              <w:bottom w:val="single" w:sz="4" w:space="0" w:color="auto"/>
              <w:right w:val="single" w:sz="4" w:space="0" w:color="auto"/>
            </w:tcBorders>
            <w:shd w:val="clear" w:color="auto" w:fill="E7E6E6"/>
            <w:tcMar>
              <w:top w:w="0" w:type="dxa"/>
              <w:left w:w="57" w:type="dxa"/>
              <w:bottom w:w="0" w:type="dxa"/>
              <w:right w:w="28" w:type="dxa"/>
            </w:tcMar>
            <w:vAlign w:val="center"/>
            <w:hideMark/>
          </w:tcPr>
          <w:p w14:paraId="0CD95E02" w14:textId="27250DCB" w:rsidR="00EA3205" w:rsidRPr="00F2480A" w:rsidRDefault="0011522C" w:rsidP="0011522C">
            <w:r>
              <w:rPr>
                <w:rFonts w:ascii="Sylfaen" w:hAnsi="Sylfaen"/>
                <w:lang w:val="ka-GE"/>
              </w:rPr>
              <w:t>მიკროავტობუსი</w:t>
            </w:r>
          </w:p>
        </w:tc>
        <w:tc>
          <w:tcPr>
            <w:tcW w:w="1081" w:type="dxa"/>
            <w:tcBorders>
              <w:top w:val="single" w:sz="4" w:space="0" w:color="auto"/>
              <w:left w:val="single" w:sz="4" w:space="0" w:color="auto"/>
              <w:bottom w:val="single" w:sz="4" w:space="0" w:color="auto"/>
              <w:right w:val="single" w:sz="4" w:space="0" w:color="auto"/>
            </w:tcBorders>
            <w:shd w:val="clear" w:color="auto" w:fill="E7E6E6"/>
            <w:tcMar>
              <w:top w:w="0" w:type="dxa"/>
              <w:left w:w="57" w:type="dxa"/>
              <w:bottom w:w="0" w:type="dxa"/>
              <w:right w:w="28" w:type="dxa"/>
            </w:tcMar>
            <w:vAlign w:val="center"/>
            <w:hideMark/>
          </w:tcPr>
          <w:p w14:paraId="09F82D79" w14:textId="7157DCDD" w:rsidR="00EA3205" w:rsidRPr="00F2480A" w:rsidRDefault="0011522C" w:rsidP="0011522C">
            <w:r>
              <w:rPr>
                <w:rFonts w:ascii="Sylfaen" w:hAnsi="Sylfaen"/>
                <w:lang w:val="ka-GE"/>
              </w:rPr>
              <w:t>საშუალო ავტობუსი</w:t>
            </w:r>
          </w:p>
        </w:tc>
        <w:tc>
          <w:tcPr>
            <w:tcW w:w="1206" w:type="dxa"/>
            <w:tcBorders>
              <w:top w:val="single" w:sz="4" w:space="0" w:color="auto"/>
              <w:left w:val="single" w:sz="4" w:space="0" w:color="auto"/>
              <w:bottom w:val="single" w:sz="4" w:space="0" w:color="auto"/>
              <w:right w:val="single" w:sz="4" w:space="0" w:color="auto"/>
            </w:tcBorders>
            <w:shd w:val="clear" w:color="auto" w:fill="E7E6E6"/>
            <w:tcMar>
              <w:top w:w="0" w:type="dxa"/>
              <w:left w:w="57" w:type="dxa"/>
              <w:bottom w:w="0" w:type="dxa"/>
              <w:right w:w="28" w:type="dxa"/>
            </w:tcMar>
            <w:vAlign w:val="center"/>
            <w:hideMark/>
          </w:tcPr>
          <w:p w14:paraId="10F53E05" w14:textId="0610F753" w:rsidR="00EA3205" w:rsidRPr="00F2480A" w:rsidRDefault="0011522C" w:rsidP="0011522C">
            <w:r>
              <w:rPr>
                <w:rFonts w:ascii="Sylfaen" w:hAnsi="Sylfaen"/>
                <w:lang w:val="ka-GE"/>
              </w:rPr>
              <w:t>მსუბ. სატვ. ავტ. „პიკაპი“</w:t>
            </w:r>
          </w:p>
        </w:tc>
        <w:tc>
          <w:tcPr>
            <w:tcW w:w="1275" w:type="dxa"/>
            <w:tcBorders>
              <w:top w:val="single" w:sz="4" w:space="0" w:color="auto"/>
              <w:left w:val="single" w:sz="4" w:space="0" w:color="auto"/>
              <w:bottom w:val="single" w:sz="4" w:space="0" w:color="auto"/>
              <w:right w:val="single" w:sz="4" w:space="0" w:color="auto"/>
            </w:tcBorders>
            <w:shd w:val="clear" w:color="auto" w:fill="E7E6E6"/>
            <w:tcMar>
              <w:top w:w="0" w:type="dxa"/>
              <w:left w:w="57" w:type="dxa"/>
              <w:bottom w:w="0" w:type="dxa"/>
              <w:right w:w="28" w:type="dxa"/>
            </w:tcMar>
            <w:vAlign w:val="center"/>
            <w:hideMark/>
          </w:tcPr>
          <w:p w14:paraId="2B590F19" w14:textId="77777777" w:rsidR="00EA3205" w:rsidRPr="00B05F62" w:rsidRDefault="00EA3205" w:rsidP="00EA3205">
            <w:pPr>
              <w:rPr>
                <w:rFonts w:ascii="AcadNusx" w:hAnsi="AcadNusx"/>
              </w:rPr>
            </w:pPr>
            <w:r w:rsidRPr="00B05F62">
              <w:rPr>
                <w:rFonts w:ascii="AcadNusx" w:hAnsi="AcadNusx"/>
              </w:rPr>
              <w:t xml:space="preserve">saSualo satv. avt. </w:t>
            </w:r>
          </w:p>
          <w:p w14:paraId="12A4FE4A" w14:textId="77777777" w:rsidR="00EA3205" w:rsidRPr="00B05F62" w:rsidRDefault="00EA3205" w:rsidP="00EA3205">
            <w:pPr>
              <w:rPr>
                <w:rFonts w:ascii="AcadNusx" w:hAnsi="AcadNusx"/>
              </w:rPr>
            </w:pPr>
            <w:r w:rsidRPr="00B05F62">
              <w:rPr>
                <w:rFonts w:ascii="AcadNusx" w:hAnsi="AcadNusx"/>
              </w:rPr>
              <w:t xml:space="preserve">(2-RerZ.) </w:t>
            </w:r>
          </w:p>
        </w:tc>
        <w:tc>
          <w:tcPr>
            <w:tcW w:w="1276" w:type="dxa"/>
            <w:tcBorders>
              <w:top w:val="single" w:sz="4" w:space="0" w:color="auto"/>
              <w:left w:val="single" w:sz="4" w:space="0" w:color="auto"/>
              <w:bottom w:val="single" w:sz="4" w:space="0" w:color="auto"/>
              <w:right w:val="single" w:sz="4" w:space="0" w:color="auto"/>
            </w:tcBorders>
            <w:shd w:val="clear" w:color="auto" w:fill="E7E6E6"/>
            <w:tcMar>
              <w:top w:w="0" w:type="dxa"/>
              <w:left w:w="57" w:type="dxa"/>
              <w:bottom w:w="0" w:type="dxa"/>
              <w:right w:w="28" w:type="dxa"/>
            </w:tcMar>
            <w:vAlign w:val="center"/>
            <w:hideMark/>
          </w:tcPr>
          <w:p w14:paraId="5EBC05F1" w14:textId="77777777" w:rsidR="00EA3205" w:rsidRPr="00B05F62" w:rsidRDefault="00EA3205" w:rsidP="00EA3205">
            <w:pPr>
              <w:rPr>
                <w:rFonts w:ascii="AcadNusx" w:hAnsi="AcadNusx"/>
              </w:rPr>
            </w:pPr>
            <w:r w:rsidRPr="00B05F62">
              <w:rPr>
                <w:rFonts w:ascii="AcadNusx" w:hAnsi="AcadNusx"/>
              </w:rPr>
              <w:t xml:space="preserve">mZime satv. avt. </w:t>
            </w:r>
          </w:p>
          <w:p w14:paraId="6E3CDD11" w14:textId="77777777" w:rsidR="00EA3205" w:rsidRPr="00B05F62" w:rsidRDefault="00EA3205" w:rsidP="00EA3205">
            <w:pPr>
              <w:rPr>
                <w:rFonts w:ascii="AcadNusx" w:hAnsi="AcadNusx"/>
              </w:rPr>
            </w:pPr>
            <w:r w:rsidRPr="00B05F62">
              <w:rPr>
                <w:rFonts w:ascii="AcadNusx" w:hAnsi="AcadNusx"/>
              </w:rPr>
              <w:t>(3-RerZ.)</w:t>
            </w:r>
          </w:p>
        </w:tc>
        <w:tc>
          <w:tcPr>
            <w:tcW w:w="1508" w:type="dxa"/>
            <w:tcBorders>
              <w:top w:val="single" w:sz="4" w:space="0" w:color="auto"/>
              <w:left w:val="single" w:sz="4" w:space="0" w:color="auto"/>
              <w:bottom w:val="single" w:sz="4" w:space="0" w:color="auto"/>
              <w:right w:val="single" w:sz="4" w:space="0" w:color="auto"/>
            </w:tcBorders>
            <w:shd w:val="clear" w:color="auto" w:fill="E7E6E6"/>
            <w:tcMar>
              <w:top w:w="0" w:type="dxa"/>
              <w:left w:w="57" w:type="dxa"/>
              <w:bottom w:w="0" w:type="dxa"/>
              <w:right w:w="28" w:type="dxa"/>
            </w:tcMar>
            <w:vAlign w:val="center"/>
            <w:hideMark/>
          </w:tcPr>
          <w:p w14:paraId="2FF9D24F" w14:textId="77777777" w:rsidR="00EA3205" w:rsidRPr="00B05F62" w:rsidRDefault="00EA3205" w:rsidP="00EA3205">
            <w:pPr>
              <w:rPr>
                <w:rFonts w:ascii="AcadNusx" w:hAnsi="AcadNusx"/>
              </w:rPr>
            </w:pPr>
            <w:r w:rsidRPr="00B05F62">
              <w:rPr>
                <w:rFonts w:ascii="AcadNusx" w:hAnsi="AcadNusx"/>
              </w:rPr>
              <w:t>mZime satv. avt.</w:t>
            </w:r>
          </w:p>
          <w:p w14:paraId="1E05E15D" w14:textId="77777777" w:rsidR="00EA3205" w:rsidRPr="00B05F62" w:rsidRDefault="00EA3205" w:rsidP="00EA3205">
            <w:pPr>
              <w:rPr>
                <w:rFonts w:ascii="AcadNusx" w:hAnsi="AcadNusx"/>
              </w:rPr>
            </w:pPr>
            <w:r w:rsidRPr="00B05F62">
              <w:rPr>
                <w:rFonts w:ascii="AcadNusx" w:hAnsi="AcadNusx"/>
              </w:rPr>
              <w:t>( &gt;4 RerZiT)</w:t>
            </w:r>
          </w:p>
        </w:tc>
      </w:tr>
      <w:tr w:rsidR="00EA3205" w:rsidRPr="00B05F62" w14:paraId="4E735060" w14:textId="77777777" w:rsidTr="00EA3205">
        <w:trPr>
          <w:trHeight w:val="832"/>
        </w:trPr>
        <w:tc>
          <w:tcPr>
            <w:tcW w:w="1080"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14:paraId="350929F7" w14:textId="77777777" w:rsidR="00EA3205" w:rsidRPr="00B05F62" w:rsidRDefault="00EA3205" w:rsidP="00EA3205">
            <w:pPr>
              <w:rPr>
                <w:rFonts w:ascii="AcadNusx" w:hAnsi="AcadNusx"/>
                <w:lang w:val="en-US"/>
              </w:rPr>
            </w:pPr>
            <w:r w:rsidRPr="00B05F62">
              <w:rPr>
                <w:rFonts w:ascii="Sylfaen" w:hAnsi="Sylfaen"/>
              </w:rPr>
              <w:t>ESAL</w:t>
            </w:r>
            <w:r w:rsidRPr="00B05F62">
              <w:rPr>
                <w:rFonts w:ascii="AcadNusx" w:hAnsi="AcadNusx"/>
              </w:rPr>
              <w:t>-is koeficientebi</w:t>
            </w:r>
          </w:p>
        </w:tc>
        <w:tc>
          <w:tcPr>
            <w:tcW w:w="1081"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14:paraId="3B9BAC2B" w14:textId="77777777" w:rsidR="00EA3205" w:rsidRPr="00B05F62" w:rsidRDefault="00EA3205" w:rsidP="00EA3205">
            <w:pPr>
              <w:rPr>
                <w:rFonts w:ascii="AcadNusx" w:hAnsi="AcadNusx"/>
              </w:rPr>
            </w:pPr>
            <w:r w:rsidRPr="00B05F62">
              <w:rPr>
                <w:rFonts w:ascii="AcadNusx" w:hAnsi="AcadNusx"/>
              </w:rPr>
              <w:t>0.02</w:t>
            </w:r>
          </w:p>
        </w:tc>
        <w:tc>
          <w:tcPr>
            <w:tcW w:w="1081"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14:paraId="5E28B361" w14:textId="77777777" w:rsidR="00EA3205" w:rsidRPr="00B05F62" w:rsidRDefault="00EA3205" w:rsidP="00EA3205">
            <w:pPr>
              <w:rPr>
                <w:rFonts w:ascii="AcadNusx" w:hAnsi="AcadNusx"/>
              </w:rPr>
            </w:pPr>
            <w:r w:rsidRPr="00B05F62">
              <w:rPr>
                <w:rFonts w:ascii="AcadNusx" w:hAnsi="AcadNusx"/>
              </w:rPr>
              <w:t>0.02</w:t>
            </w:r>
          </w:p>
        </w:tc>
        <w:tc>
          <w:tcPr>
            <w:tcW w:w="1081"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14:paraId="5A766E32" w14:textId="77777777" w:rsidR="00EA3205" w:rsidRPr="00B05F62" w:rsidRDefault="00EA3205" w:rsidP="00EA3205">
            <w:pPr>
              <w:rPr>
                <w:rFonts w:ascii="AcadNusx" w:hAnsi="AcadNusx"/>
              </w:rPr>
            </w:pPr>
            <w:r w:rsidRPr="00B05F62">
              <w:rPr>
                <w:rFonts w:ascii="AcadNusx" w:hAnsi="AcadNusx"/>
              </w:rPr>
              <w:t>0.34</w:t>
            </w:r>
          </w:p>
        </w:tc>
        <w:tc>
          <w:tcPr>
            <w:tcW w:w="1206"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14:paraId="0C6E6BD4" w14:textId="77777777" w:rsidR="00EA3205" w:rsidRPr="00B05F62" w:rsidRDefault="00EA3205" w:rsidP="00EA3205">
            <w:pPr>
              <w:rPr>
                <w:rFonts w:ascii="AcadNusx" w:hAnsi="AcadNusx"/>
              </w:rPr>
            </w:pPr>
            <w:r w:rsidRPr="00B05F62">
              <w:rPr>
                <w:rFonts w:ascii="AcadNusx" w:hAnsi="AcadNusx"/>
              </w:rPr>
              <w:t>0.15</w:t>
            </w:r>
          </w:p>
        </w:tc>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14:paraId="032B5A91" w14:textId="77777777" w:rsidR="00EA3205" w:rsidRPr="00B05F62" w:rsidRDefault="00EA3205" w:rsidP="00EA3205">
            <w:pPr>
              <w:rPr>
                <w:rFonts w:ascii="AcadNusx" w:hAnsi="AcadNusx"/>
              </w:rPr>
            </w:pPr>
            <w:r w:rsidRPr="00B05F62">
              <w:rPr>
                <w:rFonts w:ascii="AcadNusx" w:hAnsi="AcadNusx"/>
              </w:rPr>
              <w:t>0.84</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14:paraId="313E2925" w14:textId="77777777" w:rsidR="00EA3205" w:rsidRPr="00B05F62" w:rsidRDefault="00EA3205" w:rsidP="00EA3205">
            <w:pPr>
              <w:rPr>
                <w:rFonts w:ascii="AcadNusx" w:hAnsi="AcadNusx"/>
              </w:rPr>
            </w:pPr>
            <w:r w:rsidRPr="00B05F62">
              <w:rPr>
                <w:rFonts w:ascii="AcadNusx" w:hAnsi="AcadNusx"/>
              </w:rPr>
              <w:t>2.25</w:t>
            </w:r>
          </w:p>
        </w:tc>
        <w:tc>
          <w:tcPr>
            <w:tcW w:w="1508"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14:paraId="38BD3A53" w14:textId="77777777" w:rsidR="00EA3205" w:rsidRPr="00B05F62" w:rsidRDefault="00EA3205" w:rsidP="00EA3205">
            <w:pPr>
              <w:rPr>
                <w:rFonts w:ascii="AcadNusx" w:hAnsi="AcadNusx"/>
              </w:rPr>
            </w:pPr>
            <w:r w:rsidRPr="00B05F62">
              <w:rPr>
                <w:rFonts w:ascii="AcadNusx" w:hAnsi="AcadNusx"/>
              </w:rPr>
              <w:t>3.50</w:t>
            </w:r>
          </w:p>
        </w:tc>
      </w:tr>
    </w:tbl>
    <w:p w14:paraId="38DF64FE" w14:textId="77777777" w:rsidR="00EA3205" w:rsidRPr="00F2480A" w:rsidRDefault="00EA3205" w:rsidP="00EA3205">
      <w:pPr>
        <w:rPr>
          <w:lang w:val="en-US"/>
        </w:rPr>
      </w:pPr>
    </w:p>
    <w:p w14:paraId="6D323040" w14:textId="77777777" w:rsidR="00EA3205" w:rsidRPr="00B05F62" w:rsidRDefault="00EA3205" w:rsidP="00B05F62">
      <w:pPr>
        <w:spacing w:before="120" w:after="120"/>
        <w:rPr>
          <w:rFonts w:ascii="AcadNusx" w:hAnsi="AcadNusx"/>
        </w:rPr>
      </w:pPr>
      <w:r w:rsidRPr="00B05F62">
        <w:rPr>
          <w:rFonts w:ascii="AcadNusx" w:hAnsi="AcadNusx"/>
        </w:rPr>
        <w:t xml:space="preserve">cxrilSi moyvanili koeficientebi gamoiyeneba zomieri zrdis tempis Sesabamisi prognozuli satransporto datvirTvebis (saproeqto gzebis savaraudo gaxsnidan (2020 w.) 20-wlian periodSi gadamisamarTebuli satransporto nakadis CaTvliT) gadasayvanad sakontrolo (standartuli) 8.16-toniani (datvirTuli) RerZebis raodenobaSi. </w:t>
      </w:r>
    </w:p>
    <w:p w14:paraId="61E334F2" w14:textId="77777777" w:rsidR="00EA3205" w:rsidRPr="00B05F62" w:rsidRDefault="00EA3205" w:rsidP="00B05F62">
      <w:pPr>
        <w:spacing w:before="120" w:after="120"/>
        <w:rPr>
          <w:rFonts w:ascii="AcadNusx" w:hAnsi="AcadNusx"/>
        </w:rPr>
      </w:pPr>
      <w:r w:rsidRPr="00B05F62">
        <w:rPr>
          <w:rFonts w:ascii="AcadNusx" w:hAnsi="AcadNusx"/>
        </w:rPr>
        <w:t xml:space="preserve">momdevno cxrilebSi mocemulia sagzao moZraobis prognozuli monacemebi centraluri zrdis tempis SemTxvevisTvis. </w:t>
      </w:r>
    </w:p>
    <w:p w14:paraId="2B817600" w14:textId="4AD003FF" w:rsidR="00EA3205" w:rsidRPr="00B05F62" w:rsidRDefault="00EA3205" w:rsidP="00B05F62">
      <w:pPr>
        <w:spacing w:before="120" w:after="120"/>
        <w:rPr>
          <w:rFonts w:ascii="AcadNusx" w:hAnsi="AcadNusx"/>
        </w:rPr>
      </w:pPr>
      <w:r w:rsidRPr="00B05F62">
        <w:rPr>
          <w:rFonts w:ascii="AcadNusx" w:hAnsi="AcadNusx"/>
        </w:rPr>
        <w:t>cxrili 4.</w:t>
      </w:r>
      <w:r w:rsidR="00EA6DAA">
        <w:rPr>
          <w:rFonts w:ascii="Sylfaen" w:hAnsi="Sylfaen"/>
          <w:lang w:val="ka-GE"/>
        </w:rPr>
        <w:t>9</w:t>
      </w:r>
      <w:r w:rsidR="00B05F62">
        <w:rPr>
          <w:rFonts w:ascii="Sylfaen" w:hAnsi="Sylfaen"/>
          <w:lang w:val="ka-GE"/>
        </w:rPr>
        <w:t>.1-</w:t>
      </w:r>
      <w:r w:rsidRPr="00B05F62">
        <w:rPr>
          <w:rFonts w:ascii="AcadNusx" w:hAnsi="AcadNusx"/>
        </w:rPr>
        <w:t>.3.</w:t>
      </w:r>
      <w:r w:rsidRPr="00B05F62">
        <w:rPr>
          <w:rFonts w:ascii="AcadNusx" w:hAnsi="AcadNusx"/>
        </w:rPr>
        <w:tab/>
        <w:t>prognozuli satransporto datvirTva bakurcixe-wnoris arsebul sagzao monakveTze (8.16-tonian eqvivalentur standartul RerZebSi)</w:t>
      </w:r>
    </w:p>
    <w:tbl>
      <w:tblPr>
        <w:tblW w:w="89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2401"/>
        <w:gridCol w:w="1972"/>
        <w:gridCol w:w="2070"/>
      </w:tblGrid>
      <w:tr w:rsidR="00EA3205" w:rsidRPr="00B05F62" w14:paraId="0DCC84EC" w14:textId="77777777" w:rsidTr="00EA3205">
        <w:tc>
          <w:tcPr>
            <w:tcW w:w="4859" w:type="dxa"/>
            <w:gridSpan w:val="2"/>
            <w:tcBorders>
              <w:top w:val="single" w:sz="4" w:space="0" w:color="auto"/>
              <w:left w:val="single" w:sz="4" w:space="0" w:color="auto"/>
              <w:bottom w:val="nil"/>
              <w:right w:val="single" w:sz="4" w:space="0" w:color="auto"/>
            </w:tcBorders>
            <w:shd w:val="clear" w:color="auto" w:fill="E7E6E6"/>
            <w:vAlign w:val="center"/>
            <w:hideMark/>
          </w:tcPr>
          <w:p w14:paraId="2098B85E" w14:textId="77777777" w:rsidR="00EA3205" w:rsidRPr="00B05F62" w:rsidRDefault="00EA3205" w:rsidP="00EA3205">
            <w:pPr>
              <w:rPr>
                <w:rFonts w:ascii="AcadNusx" w:hAnsi="AcadNusx"/>
              </w:rPr>
            </w:pPr>
            <w:r w:rsidRPr="00B05F62">
              <w:rPr>
                <w:rFonts w:ascii="AcadNusx" w:hAnsi="AcadNusx"/>
              </w:rPr>
              <w:t>sagzao monakveTi</w:t>
            </w:r>
          </w:p>
        </w:tc>
        <w:tc>
          <w:tcPr>
            <w:tcW w:w="4042" w:type="dxa"/>
            <w:gridSpan w:val="2"/>
            <w:tcBorders>
              <w:top w:val="single" w:sz="4" w:space="0" w:color="auto"/>
              <w:left w:val="single" w:sz="4" w:space="0" w:color="auto"/>
              <w:bottom w:val="nil"/>
              <w:right w:val="single" w:sz="4" w:space="0" w:color="auto"/>
            </w:tcBorders>
            <w:shd w:val="clear" w:color="auto" w:fill="E7E6E6"/>
            <w:vAlign w:val="center"/>
            <w:hideMark/>
          </w:tcPr>
          <w:p w14:paraId="1DE5A3E0" w14:textId="77777777" w:rsidR="00EA3205" w:rsidRPr="00B05F62" w:rsidRDefault="00EA3205" w:rsidP="00EA3205">
            <w:pPr>
              <w:rPr>
                <w:rFonts w:ascii="AcadNusx" w:hAnsi="AcadNusx"/>
              </w:rPr>
            </w:pPr>
            <w:r w:rsidRPr="00B05F62">
              <w:rPr>
                <w:rFonts w:ascii="AcadNusx" w:hAnsi="AcadNusx"/>
              </w:rPr>
              <w:t>20-wliani st. RerZ. datvirTva (</w:t>
            </w:r>
            <w:r w:rsidRPr="00B05F62">
              <w:rPr>
                <w:rFonts w:ascii="Sylfaen" w:hAnsi="Sylfaen"/>
              </w:rPr>
              <w:t>ESAL</w:t>
            </w:r>
            <w:r w:rsidRPr="00B05F62">
              <w:rPr>
                <w:rFonts w:ascii="AcadNusx" w:hAnsi="AcadNusx"/>
              </w:rPr>
              <w:t>)</w:t>
            </w:r>
          </w:p>
        </w:tc>
      </w:tr>
      <w:tr w:rsidR="00EA3205" w:rsidRPr="00B05F62" w14:paraId="77E556FF" w14:textId="77777777" w:rsidTr="00EA3205">
        <w:tc>
          <w:tcPr>
            <w:tcW w:w="2458" w:type="dxa"/>
            <w:tcBorders>
              <w:top w:val="nil"/>
              <w:left w:val="single" w:sz="4" w:space="0" w:color="auto"/>
              <w:bottom w:val="single" w:sz="4" w:space="0" w:color="auto"/>
              <w:right w:val="single" w:sz="4" w:space="0" w:color="auto"/>
            </w:tcBorders>
            <w:shd w:val="clear" w:color="auto" w:fill="E7E6E6"/>
            <w:vAlign w:val="center"/>
            <w:hideMark/>
          </w:tcPr>
          <w:p w14:paraId="7A13FC37" w14:textId="77777777" w:rsidR="00EA3205" w:rsidRPr="00B05F62" w:rsidRDefault="00EA3205" w:rsidP="00EA3205">
            <w:pPr>
              <w:rPr>
                <w:rFonts w:ascii="AcadNusx" w:hAnsi="AcadNusx"/>
              </w:rPr>
            </w:pPr>
            <w:r w:rsidRPr="00B05F62">
              <w:rPr>
                <w:rFonts w:ascii="AcadNusx" w:hAnsi="AcadNusx"/>
              </w:rPr>
              <w:t>dasawyisi</w:t>
            </w:r>
          </w:p>
        </w:tc>
        <w:tc>
          <w:tcPr>
            <w:tcW w:w="2401" w:type="dxa"/>
            <w:tcBorders>
              <w:top w:val="nil"/>
              <w:left w:val="single" w:sz="4" w:space="0" w:color="auto"/>
              <w:bottom w:val="single" w:sz="4" w:space="0" w:color="auto"/>
              <w:right w:val="single" w:sz="4" w:space="0" w:color="auto"/>
            </w:tcBorders>
            <w:shd w:val="clear" w:color="auto" w:fill="E7E6E6"/>
            <w:vAlign w:val="center"/>
            <w:hideMark/>
          </w:tcPr>
          <w:p w14:paraId="6BBFC9CE" w14:textId="77777777" w:rsidR="00EA3205" w:rsidRPr="00B05F62" w:rsidRDefault="00EA3205" w:rsidP="00EA3205">
            <w:pPr>
              <w:rPr>
                <w:rFonts w:ascii="AcadNusx" w:hAnsi="AcadNusx"/>
              </w:rPr>
            </w:pPr>
            <w:r w:rsidRPr="00B05F62">
              <w:rPr>
                <w:rFonts w:ascii="AcadNusx" w:hAnsi="AcadNusx"/>
              </w:rPr>
              <w:t>dasasruli</w:t>
            </w:r>
          </w:p>
        </w:tc>
        <w:tc>
          <w:tcPr>
            <w:tcW w:w="1972" w:type="dxa"/>
            <w:tcBorders>
              <w:top w:val="nil"/>
              <w:left w:val="single" w:sz="4" w:space="0" w:color="auto"/>
              <w:bottom w:val="single" w:sz="4" w:space="0" w:color="auto"/>
              <w:right w:val="single" w:sz="4" w:space="0" w:color="auto"/>
            </w:tcBorders>
            <w:shd w:val="clear" w:color="auto" w:fill="E7E6E6"/>
            <w:vAlign w:val="center"/>
            <w:hideMark/>
          </w:tcPr>
          <w:p w14:paraId="37ADDF8B" w14:textId="77777777" w:rsidR="00EA3205" w:rsidRPr="00B05F62" w:rsidRDefault="00EA3205" w:rsidP="00EA3205">
            <w:pPr>
              <w:rPr>
                <w:rFonts w:ascii="AcadNusx" w:hAnsi="AcadNusx"/>
              </w:rPr>
            </w:pPr>
            <w:r w:rsidRPr="00B05F62">
              <w:rPr>
                <w:rFonts w:ascii="AcadNusx" w:hAnsi="AcadNusx"/>
              </w:rPr>
              <w:t xml:space="preserve">jamuri </w:t>
            </w:r>
          </w:p>
          <w:p w14:paraId="2465AD24" w14:textId="77777777" w:rsidR="00EA3205" w:rsidRPr="00B05F62" w:rsidRDefault="00EA3205" w:rsidP="00EA3205">
            <w:pPr>
              <w:rPr>
                <w:rFonts w:ascii="AcadNusx" w:hAnsi="AcadNusx"/>
              </w:rPr>
            </w:pPr>
            <w:r w:rsidRPr="00B05F62">
              <w:rPr>
                <w:rFonts w:ascii="AcadNusx" w:hAnsi="AcadNusx"/>
              </w:rPr>
              <w:t>(milioni stand. RerZi)</w:t>
            </w:r>
          </w:p>
        </w:tc>
        <w:tc>
          <w:tcPr>
            <w:tcW w:w="2070" w:type="dxa"/>
            <w:tcBorders>
              <w:top w:val="nil"/>
              <w:left w:val="single" w:sz="4" w:space="0" w:color="auto"/>
              <w:bottom w:val="single" w:sz="4" w:space="0" w:color="auto"/>
              <w:right w:val="single" w:sz="4" w:space="0" w:color="auto"/>
            </w:tcBorders>
            <w:shd w:val="clear" w:color="auto" w:fill="E7E6E6"/>
            <w:vAlign w:val="center"/>
            <w:hideMark/>
          </w:tcPr>
          <w:p w14:paraId="6BB00927" w14:textId="77777777" w:rsidR="00EA3205" w:rsidRPr="00B05F62" w:rsidRDefault="00EA3205" w:rsidP="00EA3205">
            <w:pPr>
              <w:rPr>
                <w:rFonts w:ascii="AcadNusx" w:hAnsi="AcadNusx"/>
              </w:rPr>
            </w:pPr>
            <w:r w:rsidRPr="00B05F62">
              <w:rPr>
                <w:rFonts w:ascii="AcadNusx" w:hAnsi="AcadNusx"/>
              </w:rPr>
              <w:t>saangariSo moZraobis zolSi</w:t>
            </w:r>
          </w:p>
          <w:p w14:paraId="5B5C1D85" w14:textId="77777777" w:rsidR="00EA3205" w:rsidRPr="00B05F62" w:rsidRDefault="00EA3205" w:rsidP="00EA3205">
            <w:pPr>
              <w:rPr>
                <w:rFonts w:ascii="AcadNusx" w:hAnsi="AcadNusx"/>
              </w:rPr>
            </w:pPr>
            <w:r w:rsidRPr="00B05F62">
              <w:rPr>
                <w:rFonts w:ascii="AcadNusx" w:hAnsi="AcadNusx"/>
              </w:rPr>
              <w:t>(milioni stand. RerZi)</w:t>
            </w:r>
          </w:p>
        </w:tc>
      </w:tr>
      <w:tr w:rsidR="00EA3205" w:rsidRPr="00B05F62" w14:paraId="2499D9BE" w14:textId="77777777" w:rsidTr="00EA3205">
        <w:tc>
          <w:tcPr>
            <w:tcW w:w="2458" w:type="dxa"/>
            <w:tcBorders>
              <w:top w:val="single" w:sz="4" w:space="0" w:color="auto"/>
              <w:left w:val="single" w:sz="4" w:space="0" w:color="auto"/>
              <w:bottom w:val="single" w:sz="4" w:space="0" w:color="auto"/>
              <w:right w:val="single" w:sz="4" w:space="0" w:color="auto"/>
            </w:tcBorders>
            <w:vAlign w:val="center"/>
            <w:hideMark/>
          </w:tcPr>
          <w:p w14:paraId="3447731E" w14:textId="77777777" w:rsidR="00EA3205" w:rsidRPr="00B05F62" w:rsidRDefault="00EA3205" w:rsidP="00EA3205">
            <w:pPr>
              <w:rPr>
                <w:rFonts w:ascii="AcadNusx" w:hAnsi="AcadNusx"/>
              </w:rPr>
            </w:pPr>
            <w:r w:rsidRPr="00B05F62">
              <w:rPr>
                <w:rFonts w:ascii="AcadNusx" w:hAnsi="AcadNusx"/>
              </w:rPr>
              <w:t>Telavi</w:t>
            </w:r>
          </w:p>
        </w:tc>
        <w:tc>
          <w:tcPr>
            <w:tcW w:w="2401" w:type="dxa"/>
            <w:tcBorders>
              <w:top w:val="single" w:sz="4" w:space="0" w:color="auto"/>
              <w:left w:val="single" w:sz="4" w:space="0" w:color="auto"/>
              <w:bottom w:val="single" w:sz="4" w:space="0" w:color="auto"/>
              <w:right w:val="single" w:sz="4" w:space="0" w:color="auto"/>
            </w:tcBorders>
            <w:vAlign w:val="center"/>
            <w:hideMark/>
          </w:tcPr>
          <w:p w14:paraId="341810C1" w14:textId="77777777" w:rsidR="00EA3205" w:rsidRPr="00B05F62" w:rsidRDefault="00EA3205" w:rsidP="00EA3205">
            <w:pPr>
              <w:rPr>
                <w:rFonts w:ascii="AcadNusx" w:hAnsi="AcadNusx"/>
              </w:rPr>
            </w:pPr>
            <w:r w:rsidRPr="00B05F62">
              <w:rPr>
                <w:rFonts w:ascii="AcadNusx" w:hAnsi="AcadNusx"/>
              </w:rPr>
              <w:t>akura</w:t>
            </w:r>
          </w:p>
        </w:tc>
        <w:tc>
          <w:tcPr>
            <w:tcW w:w="1972" w:type="dxa"/>
            <w:tcBorders>
              <w:top w:val="single" w:sz="4" w:space="0" w:color="auto"/>
              <w:left w:val="single" w:sz="4" w:space="0" w:color="auto"/>
              <w:bottom w:val="single" w:sz="4" w:space="0" w:color="auto"/>
              <w:right w:val="single" w:sz="4" w:space="0" w:color="auto"/>
            </w:tcBorders>
            <w:vAlign w:val="center"/>
            <w:hideMark/>
          </w:tcPr>
          <w:p w14:paraId="1A478133" w14:textId="77777777" w:rsidR="00EA3205" w:rsidRPr="00B05F62" w:rsidRDefault="00EA3205" w:rsidP="00EA3205">
            <w:pPr>
              <w:rPr>
                <w:rFonts w:ascii="AcadNusx" w:hAnsi="AcadNusx"/>
              </w:rPr>
            </w:pPr>
            <w:r w:rsidRPr="00B05F62">
              <w:rPr>
                <w:rFonts w:ascii="AcadNusx" w:hAnsi="AcadNusx"/>
              </w:rPr>
              <w:t>7.275</w:t>
            </w:r>
          </w:p>
        </w:tc>
        <w:tc>
          <w:tcPr>
            <w:tcW w:w="2070" w:type="dxa"/>
            <w:tcBorders>
              <w:top w:val="single" w:sz="4" w:space="0" w:color="auto"/>
              <w:left w:val="single" w:sz="4" w:space="0" w:color="auto"/>
              <w:bottom w:val="single" w:sz="4" w:space="0" w:color="auto"/>
              <w:right w:val="single" w:sz="4" w:space="0" w:color="auto"/>
            </w:tcBorders>
            <w:vAlign w:val="center"/>
            <w:hideMark/>
          </w:tcPr>
          <w:p w14:paraId="44344723" w14:textId="77777777" w:rsidR="00EA3205" w:rsidRPr="00B05F62" w:rsidRDefault="00EA3205" w:rsidP="00EA3205">
            <w:pPr>
              <w:rPr>
                <w:rFonts w:ascii="AcadNusx" w:hAnsi="AcadNusx"/>
              </w:rPr>
            </w:pPr>
            <w:r w:rsidRPr="00B05F62">
              <w:rPr>
                <w:rFonts w:ascii="AcadNusx" w:hAnsi="AcadNusx"/>
              </w:rPr>
              <w:t>3.638</w:t>
            </w:r>
          </w:p>
        </w:tc>
      </w:tr>
      <w:tr w:rsidR="00EA3205" w:rsidRPr="00B05F62" w14:paraId="6F1FAAB8" w14:textId="77777777" w:rsidTr="00EA3205">
        <w:tc>
          <w:tcPr>
            <w:tcW w:w="2458" w:type="dxa"/>
            <w:tcBorders>
              <w:top w:val="single" w:sz="4" w:space="0" w:color="auto"/>
              <w:left w:val="single" w:sz="4" w:space="0" w:color="auto"/>
              <w:bottom w:val="single" w:sz="4" w:space="0" w:color="auto"/>
              <w:right w:val="single" w:sz="4" w:space="0" w:color="auto"/>
            </w:tcBorders>
            <w:vAlign w:val="center"/>
            <w:hideMark/>
          </w:tcPr>
          <w:p w14:paraId="3D430133" w14:textId="77777777" w:rsidR="00EA3205" w:rsidRPr="00B05F62" w:rsidRDefault="00EA3205" w:rsidP="00EA3205">
            <w:pPr>
              <w:rPr>
                <w:rFonts w:ascii="AcadNusx" w:hAnsi="AcadNusx"/>
              </w:rPr>
            </w:pPr>
            <w:r w:rsidRPr="00B05F62">
              <w:rPr>
                <w:rFonts w:ascii="AcadNusx" w:hAnsi="AcadNusx"/>
              </w:rPr>
              <w:t>akura</w:t>
            </w:r>
          </w:p>
        </w:tc>
        <w:tc>
          <w:tcPr>
            <w:tcW w:w="2401" w:type="dxa"/>
            <w:tcBorders>
              <w:top w:val="single" w:sz="4" w:space="0" w:color="auto"/>
              <w:left w:val="single" w:sz="4" w:space="0" w:color="auto"/>
              <w:bottom w:val="single" w:sz="4" w:space="0" w:color="auto"/>
              <w:right w:val="single" w:sz="4" w:space="0" w:color="auto"/>
            </w:tcBorders>
            <w:vAlign w:val="center"/>
            <w:hideMark/>
          </w:tcPr>
          <w:p w14:paraId="4E91DDB0" w14:textId="77777777" w:rsidR="00EA3205" w:rsidRPr="00B05F62" w:rsidRDefault="00EA3205" w:rsidP="00EA3205">
            <w:pPr>
              <w:rPr>
                <w:rFonts w:ascii="AcadNusx" w:hAnsi="AcadNusx"/>
              </w:rPr>
            </w:pPr>
            <w:r w:rsidRPr="00B05F62">
              <w:rPr>
                <w:rFonts w:ascii="AcadNusx" w:hAnsi="AcadNusx"/>
              </w:rPr>
              <w:t>veliscixis mierTeba</w:t>
            </w:r>
          </w:p>
        </w:tc>
        <w:tc>
          <w:tcPr>
            <w:tcW w:w="1972" w:type="dxa"/>
            <w:tcBorders>
              <w:top w:val="single" w:sz="4" w:space="0" w:color="auto"/>
              <w:left w:val="single" w:sz="4" w:space="0" w:color="auto"/>
              <w:bottom w:val="single" w:sz="4" w:space="0" w:color="auto"/>
              <w:right w:val="single" w:sz="4" w:space="0" w:color="auto"/>
            </w:tcBorders>
            <w:vAlign w:val="center"/>
            <w:hideMark/>
          </w:tcPr>
          <w:p w14:paraId="4CF292D0" w14:textId="77777777" w:rsidR="00EA3205" w:rsidRPr="00B05F62" w:rsidRDefault="00EA3205" w:rsidP="00EA3205">
            <w:pPr>
              <w:rPr>
                <w:rFonts w:ascii="AcadNusx" w:hAnsi="AcadNusx"/>
              </w:rPr>
            </w:pPr>
            <w:r w:rsidRPr="00B05F62">
              <w:rPr>
                <w:rFonts w:ascii="AcadNusx" w:hAnsi="AcadNusx"/>
              </w:rPr>
              <w:t>8.089</w:t>
            </w:r>
          </w:p>
        </w:tc>
        <w:tc>
          <w:tcPr>
            <w:tcW w:w="2070" w:type="dxa"/>
            <w:tcBorders>
              <w:top w:val="single" w:sz="4" w:space="0" w:color="auto"/>
              <w:left w:val="single" w:sz="4" w:space="0" w:color="auto"/>
              <w:bottom w:val="single" w:sz="4" w:space="0" w:color="auto"/>
              <w:right w:val="single" w:sz="4" w:space="0" w:color="auto"/>
            </w:tcBorders>
            <w:vAlign w:val="center"/>
            <w:hideMark/>
          </w:tcPr>
          <w:p w14:paraId="10F7024B" w14:textId="77777777" w:rsidR="00EA3205" w:rsidRPr="00B05F62" w:rsidRDefault="00EA3205" w:rsidP="00EA3205">
            <w:pPr>
              <w:rPr>
                <w:rFonts w:ascii="AcadNusx" w:hAnsi="AcadNusx"/>
              </w:rPr>
            </w:pPr>
            <w:r w:rsidRPr="00B05F62">
              <w:rPr>
                <w:rFonts w:ascii="AcadNusx" w:hAnsi="AcadNusx"/>
              </w:rPr>
              <w:t>4.045</w:t>
            </w:r>
          </w:p>
        </w:tc>
      </w:tr>
      <w:tr w:rsidR="00EA3205" w:rsidRPr="00B05F62" w14:paraId="08693E6D" w14:textId="77777777" w:rsidTr="00EA3205">
        <w:tc>
          <w:tcPr>
            <w:tcW w:w="2458" w:type="dxa"/>
            <w:tcBorders>
              <w:top w:val="single" w:sz="4" w:space="0" w:color="auto"/>
              <w:left w:val="single" w:sz="4" w:space="0" w:color="auto"/>
              <w:bottom w:val="single" w:sz="4" w:space="0" w:color="auto"/>
              <w:right w:val="single" w:sz="4" w:space="0" w:color="auto"/>
            </w:tcBorders>
            <w:vAlign w:val="center"/>
            <w:hideMark/>
          </w:tcPr>
          <w:p w14:paraId="2CE54CE1" w14:textId="77777777" w:rsidR="00EA3205" w:rsidRPr="00B05F62" w:rsidRDefault="00EA3205" w:rsidP="00EA3205">
            <w:pPr>
              <w:rPr>
                <w:rFonts w:ascii="AcadNusx" w:hAnsi="AcadNusx"/>
              </w:rPr>
            </w:pPr>
            <w:r w:rsidRPr="00B05F62">
              <w:rPr>
                <w:rFonts w:ascii="AcadNusx" w:hAnsi="AcadNusx"/>
              </w:rPr>
              <w:t>veliscixis mierTeba</w:t>
            </w:r>
          </w:p>
        </w:tc>
        <w:tc>
          <w:tcPr>
            <w:tcW w:w="2401" w:type="dxa"/>
            <w:tcBorders>
              <w:top w:val="single" w:sz="4" w:space="0" w:color="auto"/>
              <w:left w:val="single" w:sz="4" w:space="0" w:color="auto"/>
              <w:bottom w:val="single" w:sz="4" w:space="0" w:color="auto"/>
              <w:right w:val="single" w:sz="4" w:space="0" w:color="auto"/>
            </w:tcBorders>
            <w:vAlign w:val="center"/>
            <w:hideMark/>
          </w:tcPr>
          <w:p w14:paraId="73C32D46" w14:textId="77777777" w:rsidR="00EA3205" w:rsidRPr="00B05F62" w:rsidRDefault="00EA3205" w:rsidP="00EA3205">
            <w:pPr>
              <w:rPr>
                <w:rFonts w:ascii="AcadNusx" w:hAnsi="AcadNusx"/>
              </w:rPr>
            </w:pPr>
            <w:r w:rsidRPr="00B05F62">
              <w:rPr>
                <w:rFonts w:ascii="AcadNusx" w:hAnsi="AcadNusx"/>
              </w:rPr>
              <w:t>Cumlayi</w:t>
            </w:r>
          </w:p>
        </w:tc>
        <w:tc>
          <w:tcPr>
            <w:tcW w:w="1972" w:type="dxa"/>
            <w:tcBorders>
              <w:top w:val="single" w:sz="4" w:space="0" w:color="auto"/>
              <w:left w:val="single" w:sz="4" w:space="0" w:color="auto"/>
              <w:bottom w:val="single" w:sz="4" w:space="0" w:color="auto"/>
              <w:right w:val="single" w:sz="4" w:space="0" w:color="auto"/>
            </w:tcBorders>
            <w:vAlign w:val="center"/>
            <w:hideMark/>
          </w:tcPr>
          <w:p w14:paraId="21ACD8F5" w14:textId="77777777" w:rsidR="00EA3205" w:rsidRPr="00B05F62" w:rsidRDefault="00EA3205" w:rsidP="00EA3205">
            <w:pPr>
              <w:rPr>
                <w:rFonts w:ascii="AcadNusx" w:hAnsi="AcadNusx"/>
              </w:rPr>
            </w:pPr>
            <w:r w:rsidRPr="00B05F62">
              <w:rPr>
                <w:rFonts w:ascii="AcadNusx" w:hAnsi="AcadNusx"/>
              </w:rPr>
              <w:t>8.618</w:t>
            </w:r>
          </w:p>
        </w:tc>
        <w:tc>
          <w:tcPr>
            <w:tcW w:w="2070" w:type="dxa"/>
            <w:tcBorders>
              <w:top w:val="single" w:sz="4" w:space="0" w:color="auto"/>
              <w:left w:val="single" w:sz="4" w:space="0" w:color="auto"/>
              <w:bottom w:val="single" w:sz="4" w:space="0" w:color="auto"/>
              <w:right w:val="single" w:sz="4" w:space="0" w:color="auto"/>
            </w:tcBorders>
            <w:vAlign w:val="center"/>
            <w:hideMark/>
          </w:tcPr>
          <w:p w14:paraId="7F0BF2A9" w14:textId="77777777" w:rsidR="00EA3205" w:rsidRPr="00B05F62" w:rsidRDefault="00EA3205" w:rsidP="00EA3205">
            <w:pPr>
              <w:rPr>
                <w:rFonts w:ascii="AcadNusx" w:hAnsi="AcadNusx"/>
              </w:rPr>
            </w:pPr>
            <w:r w:rsidRPr="00B05F62">
              <w:rPr>
                <w:rFonts w:ascii="AcadNusx" w:hAnsi="AcadNusx"/>
              </w:rPr>
              <w:t>4.309</w:t>
            </w:r>
          </w:p>
        </w:tc>
      </w:tr>
    </w:tbl>
    <w:p w14:paraId="52232B8A" w14:textId="77777777" w:rsidR="00EA3205" w:rsidRPr="00B05F62" w:rsidRDefault="00EA3205" w:rsidP="00B05F62">
      <w:pPr>
        <w:spacing w:before="120" w:after="120"/>
        <w:rPr>
          <w:rFonts w:ascii="AcadNusx" w:hAnsi="AcadNusx"/>
        </w:rPr>
      </w:pPr>
      <w:r w:rsidRPr="00B05F62">
        <w:rPr>
          <w:rFonts w:ascii="AcadNusx" w:hAnsi="AcadNusx"/>
          <w:lang w:val="es-ES"/>
        </w:rPr>
        <w:lastRenderedPageBreak/>
        <w:t xml:space="preserve">saeqspluatacio maxasiaTeblebze orientirebuli gzis safaris proeqtirebis meTodebi da prognozebi upirveles yovlisa dafuZnebulia kumulaciur RerZul datvirTvebze. saangariSo periodSi gatarebuli sruli satransporto nakadi ormxriv moZraobas moicavs. zogadad miiCneva, rom TiToeuli mimarTulebiT sruli nakadis naxevari moZraobs. </w:t>
      </w:r>
      <w:r w:rsidRPr="00B05F62">
        <w:rPr>
          <w:rFonts w:ascii="AcadNusx" w:hAnsi="AcadNusx"/>
        </w:rPr>
        <w:t xml:space="preserve">Sesabamisad, zemoT moyvanil cxrilebSi satransporto datvirTvis moZraobis zolebs Soris ganawilebis koeficientis sidided miRebulia 0.5 (50%).  </w:t>
      </w:r>
    </w:p>
    <w:p w14:paraId="7D2A0912" w14:textId="77777777" w:rsidR="00EA3205" w:rsidRPr="00F2480A" w:rsidRDefault="00EA3205" w:rsidP="00B05F62">
      <w:pPr>
        <w:spacing w:before="120" w:after="120"/>
        <w:rPr>
          <w:lang w:val="en-US"/>
        </w:rPr>
      </w:pPr>
      <w:r w:rsidRPr="00B05F62">
        <w:rPr>
          <w:rFonts w:ascii="AcadNusx" w:hAnsi="AcadNusx"/>
        </w:rPr>
        <w:t>detaluri informacia sagzao moZraobis Sesaxeb mocemulia angariSis Sesabamis TavSi</w:t>
      </w:r>
      <w:r w:rsidRPr="00F2480A">
        <w:t>.</w:t>
      </w:r>
    </w:p>
    <w:p w14:paraId="6DDF2569" w14:textId="77777777" w:rsidR="00EA3205" w:rsidRPr="00B05F62" w:rsidRDefault="00EA3205" w:rsidP="00B05F62">
      <w:pPr>
        <w:spacing w:before="120" w:after="120"/>
        <w:rPr>
          <w:rFonts w:ascii="AcadNusx" w:hAnsi="AcadNusx"/>
        </w:rPr>
      </w:pPr>
      <w:r w:rsidRPr="00B05F62">
        <w:rPr>
          <w:rFonts w:ascii="AcadNusx" w:hAnsi="AcadNusx"/>
        </w:rPr>
        <w:t>miwis vakisis simtkice</w:t>
      </w:r>
    </w:p>
    <w:p w14:paraId="548FD54E" w14:textId="77777777" w:rsidR="00EA3205" w:rsidRPr="00B05F62" w:rsidRDefault="00EA3205" w:rsidP="00B05F62">
      <w:pPr>
        <w:spacing w:before="120" w:after="120"/>
        <w:rPr>
          <w:rFonts w:ascii="AcadNusx" w:hAnsi="AcadNusx"/>
          <w:lang w:val="es-ES"/>
        </w:rPr>
      </w:pPr>
      <w:r w:rsidRPr="00B05F62">
        <w:rPr>
          <w:rFonts w:ascii="AcadNusx" w:hAnsi="AcadNusx"/>
        </w:rPr>
        <w:t>miwis vakisi Seadgens gzis saZirkvels (kalapots), romlis ZiriTadi daniSnulebaa satransporto saSualebebiT gamowveuli datvirTvebis gruntSi ufro Rrmad gadanawileba Tavad saZirkvelis da mis zemoT ganTavsebuli fenebis dazianebis gareSe. es piroba unda Sesruldes rogorc sagzao samosis mSeneblobis, agreTvemis srul saeqspluatacio periodis ganmavlobaSi.</w:t>
      </w:r>
    </w:p>
    <w:p w14:paraId="1BD35F0B" w14:textId="77777777" w:rsidR="00EA3205" w:rsidRPr="00B05F62" w:rsidRDefault="00EA3205" w:rsidP="00B05F62">
      <w:pPr>
        <w:spacing w:before="120" w:after="120"/>
        <w:rPr>
          <w:rFonts w:ascii="AcadNusx" w:hAnsi="AcadNusx"/>
          <w:lang w:val="es-ES"/>
        </w:rPr>
      </w:pPr>
      <w:r w:rsidRPr="00B05F62">
        <w:rPr>
          <w:rFonts w:ascii="AcadNusx" w:hAnsi="AcadNusx"/>
          <w:lang w:val="es-ES"/>
        </w:rPr>
        <w:t xml:space="preserve">sagzao samosis eqspluataciis manZilze, mis saZirkvels unda gaaCndes avtotransportis moZraobiT gamowveuli mravaljeradi datvirTvebisadmi medegobis unari. aseve savaraudoa da mxedvelobaSia misaRebi, rom miwis vakisSi SeaRwios wyalma, gansakuTrebiT rodesac sagzao samosis zeda fenebi eqspluataciis vadis amowurvasTan miaxloebisas dasustebas iwyeben. savele samuSaoebis da laboratoriuli gamokvlevis Sedegebis safuZvelze, geoteqnikuri gamokvlevebis da miwis vakisis mzidunarianobis Sefasebis gaTvaliswinebiT, ganisazRvra miwis vakisis simtkice arsebul sagzao monakveTze da, agreTve, gegmiuri axali sagzao monakveTebis trasebis gaswvriv. </w:t>
      </w:r>
    </w:p>
    <w:p w14:paraId="586A36B4" w14:textId="77777777" w:rsidR="00EA3205" w:rsidRPr="00B05F62" w:rsidRDefault="00EA3205" w:rsidP="00B05F62">
      <w:pPr>
        <w:spacing w:before="120" w:after="120"/>
        <w:rPr>
          <w:rFonts w:ascii="AcadNusx" w:hAnsi="AcadNusx"/>
        </w:rPr>
      </w:pPr>
      <w:r w:rsidRPr="00B05F62">
        <w:rPr>
          <w:rFonts w:ascii="AcadNusx" w:hAnsi="AcadNusx"/>
        </w:rPr>
        <w:t>sagzao samosis winaswari proeqtirebisTvis miRebulia miwis vakisis kaliforniuli ricxvis (</w:t>
      </w:r>
      <w:r w:rsidRPr="00EA6DAA">
        <w:rPr>
          <w:rFonts w:ascii="Sylfaen" w:hAnsi="Sylfaen"/>
        </w:rPr>
        <w:t>CBR</w:t>
      </w:r>
      <w:r w:rsidRPr="00B05F62">
        <w:rPr>
          <w:rFonts w:ascii="AcadNusx" w:hAnsi="AcadNusx"/>
        </w:rPr>
        <w:t>) qvemoT moyvanili saangariSo sidideebi.</w:t>
      </w:r>
    </w:p>
    <w:p w14:paraId="0471AFF5" w14:textId="79808B6D" w:rsidR="00EA3205" w:rsidRPr="00B05F62" w:rsidRDefault="00EA3205" w:rsidP="00B05F62">
      <w:pPr>
        <w:spacing w:before="120" w:after="120"/>
        <w:rPr>
          <w:rFonts w:ascii="AcadNusx" w:hAnsi="AcadNusx"/>
        </w:rPr>
      </w:pPr>
      <w:r w:rsidRPr="00B05F62">
        <w:rPr>
          <w:rFonts w:ascii="AcadNusx" w:hAnsi="AcadNusx"/>
        </w:rPr>
        <w:t>cxrili 4.</w:t>
      </w:r>
      <w:r w:rsidR="00EA6DAA">
        <w:rPr>
          <w:rFonts w:ascii="Sylfaen" w:hAnsi="Sylfaen"/>
          <w:lang w:val="ka-GE"/>
        </w:rPr>
        <w:t>9</w:t>
      </w:r>
      <w:r w:rsidR="00B05F62">
        <w:rPr>
          <w:rFonts w:ascii="Sylfaen" w:hAnsi="Sylfaen"/>
          <w:lang w:val="ka-GE"/>
        </w:rPr>
        <w:t>.1-</w:t>
      </w:r>
      <w:r w:rsidRPr="00B05F62">
        <w:rPr>
          <w:rFonts w:ascii="AcadNusx" w:hAnsi="AcadNusx"/>
        </w:rPr>
        <w:t>4.</w:t>
      </w:r>
      <w:r w:rsidRPr="00B05F62">
        <w:rPr>
          <w:rFonts w:ascii="AcadNusx" w:hAnsi="AcadNusx"/>
        </w:rPr>
        <w:tab/>
        <w:t>sagzao monakveTis gaswvriv arsebuli miwis vakisis kaliforniuli ricxvis (</w:t>
      </w:r>
      <w:r w:rsidRPr="00EA6DAA">
        <w:rPr>
          <w:rFonts w:ascii="Sylfaen" w:hAnsi="Sylfaen"/>
        </w:rPr>
        <w:t>CBR</w:t>
      </w:r>
      <w:r w:rsidRPr="00B05F62">
        <w:rPr>
          <w:rFonts w:ascii="AcadNusx" w:hAnsi="AcadNusx"/>
        </w:rPr>
        <w:t>)winaswari saangariSo sidideebi</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268"/>
        <w:gridCol w:w="2480"/>
        <w:gridCol w:w="3182"/>
      </w:tblGrid>
      <w:tr w:rsidR="00EA3205" w:rsidRPr="00ED417F" w14:paraId="3AD6863B" w14:textId="77777777" w:rsidTr="00ED417F">
        <w:tc>
          <w:tcPr>
            <w:tcW w:w="4395" w:type="dxa"/>
            <w:gridSpan w:val="2"/>
            <w:tcBorders>
              <w:top w:val="single" w:sz="4" w:space="0" w:color="auto"/>
              <w:left w:val="single" w:sz="4" w:space="0" w:color="auto"/>
              <w:bottom w:val="nil"/>
              <w:right w:val="single" w:sz="4" w:space="0" w:color="auto"/>
            </w:tcBorders>
            <w:shd w:val="clear" w:color="auto" w:fill="E0E0E0"/>
            <w:vAlign w:val="center"/>
            <w:hideMark/>
          </w:tcPr>
          <w:p w14:paraId="18780905" w14:textId="77777777" w:rsidR="00EA3205" w:rsidRPr="00ED417F" w:rsidRDefault="00EA3205" w:rsidP="00EA3205">
            <w:pPr>
              <w:rPr>
                <w:rFonts w:ascii="AcadNusx" w:hAnsi="AcadNusx"/>
                <w:sz w:val="20"/>
              </w:rPr>
            </w:pPr>
            <w:r w:rsidRPr="00ED417F">
              <w:rPr>
                <w:rFonts w:ascii="AcadNusx" w:hAnsi="AcadNusx"/>
                <w:sz w:val="20"/>
              </w:rPr>
              <w:t>sagzao monakveTi</w:t>
            </w:r>
          </w:p>
        </w:tc>
        <w:tc>
          <w:tcPr>
            <w:tcW w:w="248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FFED570" w14:textId="77777777" w:rsidR="00EA3205" w:rsidRPr="00ED417F" w:rsidRDefault="00EA3205" w:rsidP="00EA3205">
            <w:pPr>
              <w:rPr>
                <w:rFonts w:ascii="AcadNusx" w:hAnsi="AcadNusx"/>
                <w:sz w:val="20"/>
              </w:rPr>
            </w:pPr>
            <w:r w:rsidRPr="00ED417F">
              <w:rPr>
                <w:rFonts w:ascii="AcadNusx" w:hAnsi="AcadNusx"/>
                <w:sz w:val="20"/>
              </w:rPr>
              <w:t>vakisis tipi</w:t>
            </w:r>
          </w:p>
        </w:tc>
        <w:tc>
          <w:tcPr>
            <w:tcW w:w="3182" w:type="dxa"/>
            <w:tcBorders>
              <w:top w:val="single" w:sz="4" w:space="0" w:color="auto"/>
              <w:left w:val="single" w:sz="4" w:space="0" w:color="auto"/>
              <w:bottom w:val="nil"/>
              <w:right w:val="single" w:sz="4" w:space="0" w:color="auto"/>
            </w:tcBorders>
            <w:shd w:val="clear" w:color="auto" w:fill="E0E0E0"/>
            <w:vAlign w:val="center"/>
            <w:hideMark/>
          </w:tcPr>
          <w:p w14:paraId="7E4F149B" w14:textId="77777777" w:rsidR="00EA3205" w:rsidRPr="00ED417F" w:rsidRDefault="00EA3205" w:rsidP="00EA3205">
            <w:pPr>
              <w:rPr>
                <w:rFonts w:ascii="AcadNusx" w:hAnsi="AcadNusx"/>
                <w:sz w:val="20"/>
              </w:rPr>
            </w:pPr>
            <w:r w:rsidRPr="00ED417F">
              <w:rPr>
                <w:rFonts w:ascii="AcadNusx" w:hAnsi="AcadNusx"/>
                <w:sz w:val="20"/>
              </w:rPr>
              <w:t>miwis vakisis kaliforniuli ricxvi (</w:t>
            </w:r>
            <w:r w:rsidRPr="00ED417F">
              <w:rPr>
                <w:rFonts w:ascii="Sylfaen" w:hAnsi="Sylfaen"/>
                <w:sz w:val="20"/>
              </w:rPr>
              <w:t>CBR</w:t>
            </w:r>
            <w:r w:rsidRPr="00ED417F">
              <w:rPr>
                <w:rFonts w:ascii="AcadNusx" w:hAnsi="AcadNusx"/>
                <w:sz w:val="20"/>
              </w:rPr>
              <w:t>)</w:t>
            </w:r>
          </w:p>
        </w:tc>
      </w:tr>
      <w:tr w:rsidR="00EA3205" w:rsidRPr="00ED417F" w14:paraId="4947E262" w14:textId="77777777" w:rsidTr="00ED417F">
        <w:tc>
          <w:tcPr>
            <w:tcW w:w="2127" w:type="dxa"/>
            <w:tcBorders>
              <w:top w:val="nil"/>
              <w:left w:val="single" w:sz="4" w:space="0" w:color="auto"/>
              <w:bottom w:val="single" w:sz="4" w:space="0" w:color="auto"/>
              <w:right w:val="single" w:sz="4" w:space="0" w:color="auto"/>
            </w:tcBorders>
            <w:shd w:val="clear" w:color="auto" w:fill="E0E0E0"/>
            <w:vAlign w:val="center"/>
            <w:hideMark/>
          </w:tcPr>
          <w:p w14:paraId="52E84C17" w14:textId="77777777" w:rsidR="00EA3205" w:rsidRPr="00ED417F" w:rsidRDefault="00EA3205" w:rsidP="00EA3205">
            <w:pPr>
              <w:rPr>
                <w:rFonts w:ascii="AcadNusx" w:hAnsi="AcadNusx"/>
                <w:sz w:val="20"/>
              </w:rPr>
            </w:pPr>
            <w:r w:rsidRPr="00ED417F">
              <w:rPr>
                <w:rFonts w:ascii="AcadNusx" w:hAnsi="AcadNusx"/>
                <w:sz w:val="20"/>
              </w:rPr>
              <w:t>saidan</w:t>
            </w:r>
          </w:p>
        </w:tc>
        <w:tc>
          <w:tcPr>
            <w:tcW w:w="2268" w:type="dxa"/>
            <w:tcBorders>
              <w:top w:val="nil"/>
              <w:left w:val="single" w:sz="4" w:space="0" w:color="auto"/>
              <w:bottom w:val="single" w:sz="4" w:space="0" w:color="auto"/>
              <w:right w:val="single" w:sz="4" w:space="0" w:color="auto"/>
            </w:tcBorders>
            <w:shd w:val="clear" w:color="auto" w:fill="E0E0E0"/>
            <w:vAlign w:val="center"/>
            <w:hideMark/>
          </w:tcPr>
          <w:p w14:paraId="34BBF336" w14:textId="77777777" w:rsidR="00EA3205" w:rsidRPr="00ED417F" w:rsidRDefault="00EA3205" w:rsidP="00EA3205">
            <w:pPr>
              <w:rPr>
                <w:rFonts w:ascii="AcadNusx" w:hAnsi="AcadNusx"/>
                <w:sz w:val="20"/>
              </w:rPr>
            </w:pPr>
            <w:r w:rsidRPr="00ED417F">
              <w:rPr>
                <w:rFonts w:ascii="AcadNusx" w:hAnsi="AcadNusx"/>
                <w:sz w:val="20"/>
              </w:rPr>
              <w:t>sadamde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6E24D4" w14:textId="77777777" w:rsidR="00EA3205" w:rsidRPr="00ED417F" w:rsidRDefault="00EA3205" w:rsidP="00EA3205">
            <w:pPr>
              <w:rPr>
                <w:rFonts w:ascii="AcadNusx" w:hAnsi="AcadNusx"/>
                <w:sz w:val="20"/>
              </w:rPr>
            </w:pPr>
          </w:p>
        </w:tc>
        <w:tc>
          <w:tcPr>
            <w:tcW w:w="3182" w:type="dxa"/>
            <w:tcBorders>
              <w:top w:val="nil"/>
              <w:left w:val="single" w:sz="4" w:space="0" w:color="auto"/>
              <w:bottom w:val="single" w:sz="4" w:space="0" w:color="auto"/>
              <w:right w:val="single" w:sz="4" w:space="0" w:color="auto"/>
            </w:tcBorders>
            <w:shd w:val="clear" w:color="auto" w:fill="E0E0E0"/>
            <w:vAlign w:val="center"/>
            <w:hideMark/>
          </w:tcPr>
          <w:p w14:paraId="01879410" w14:textId="77777777" w:rsidR="00EA3205" w:rsidRPr="00ED417F" w:rsidRDefault="00EA3205" w:rsidP="00EA3205">
            <w:pPr>
              <w:rPr>
                <w:rFonts w:ascii="AcadNusx" w:hAnsi="AcadNusx"/>
                <w:sz w:val="20"/>
              </w:rPr>
            </w:pPr>
            <w:r w:rsidRPr="00ED417F">
              <w:rPr>
                <w:rFonts w:ascii="AcadNusx" w:hAnsi="AcadNusx"/>
                <w:sz w:val="20"/>
              </w:rPr>
              <w:t>(%)</w:t>
            </w:r>
          </w:p>
        </w:tc>
      </w:tr>
      <w:tr w:rsidR="00EA3205" w:rsidRPr="00ED417F" w14:paraId="6177DF2C" w14:textId="77777777" w:rsidTr="00ED417F">
        <w:trPr>
          <w:trHeight w:val="570"/>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65C4A8C2" w14:textId="77777777" w:rsidR="00EA3205" w:rsidRPr="00ED417F" w:rsidRDefault="00EA3205" w:rsidP="00EA3205">
            <w:pPr>
              <w:rPr>
                <w:rFonts w:ascii="AcadNusx" w:hAnsi="AcadNusx"/>
                <w:sz w:val="20"/>
              </w:rPr>
            </w:pPr>
            <w:r w:rsidRPr="00ED417F">
              <w:rPr>
                <w:rFonts w:ascii="AcadNusx" w:hAnsi="AcadNusx"/>
                <w:sz w:val="20"/>
              </w:rPr>
              <w:t>Telavi</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448B1A01" w14:textId="77777777" w:rsidR="00EA3205" w:rsidRPr="00ED417F" w:rsidRDefault="00EA3205" w:rsidP="00EA3205">
            <w:pPr>
              <w:rPr>
                <w:rFonts w:ascii="AcadNusx" w:hAnsi="AcadNusx"/>
                <w:sz w:val="20"/>
              </w:rPr>
            </w:pPr>
            <w:r w:rsidRPr="00ED417F">
              <w:rPr>
                <w:rFonts w:ascii="AcadNusx" w:hAnsi="AcadNusx"/>
                <w:sz w:val="20"/>
              </w:rPr>
              <w:t>Cumlayi</w:t>
            </w:r>
          </w:p>
        </w:tc>
        <w:tc>
          <w:tcPr>
            <w:tcW w:w="2480" w:type="dxa"/>
            <w:tcBorders>
              <w:top w:val="single" w:sz="4" w:space="0" w:color="auto"/>
              <w:left w:val="single" w:sz="4" w:space="0" w:color="auto"/>
              <w:bottom w:val="single" w:sz="4" w:space="0" w:color="auto"/>
              <w:right w:val="single" w:sz="4" w:space="0" w:color="auto"/>
            </w:tcBorders>
            <w:vAlign w:val="center"/>
            <w:hideMark/>
          </w:tcPr>
          <w:p w14:paraId="2771780C" w14:textId="77777777" w:rsidR="00EA3205" w:rsidRPr="00ED417F" w:rsidRDefault="00EA3205" w:rsidP="00EA3205">
            <w:pPr>
              <w:rPr>
                <w:rFonts w:ascii="AcadNusx" w:hAnsi="AcadNusx"/>
                <w:sz w:val="20"/>
              </w:rPr>
            </w:pPr>
            <w:r w:rsidRPr="00ED417F">
              <w:rPr>
                <w:rFonts w:ascii="AcadNusx" w:hAnsi="AcadNusx"/>
                <w:sz w:val="20"/>
              </w:rPr>
              <w:t>SekavSirebuli</w:t>
            </w:r>
          </w:p>
        </w:tc>
        <w:tc>
          <w:tcPr>
            <w:tcW w:w="3182" w:type="dxa"/>
            <w:tcBorders>
              <w:top w:val="single" w:sz="4" w:space="0" w:color="auto"/>
              <w:left w:val="single" w:sz="4" w:space="0" w:color="auto"/>
              <w:bottom w:val="single" w:sz="4" w:space="0" w:color="auto"/>
              <w:right w:val="single" w:sz="4" w:space="0" w:color="auto"/>
            </w:tcBorders>
            <w:vAlign w:val="center"/>
            <w:hideMark/>
          </w:tcPr>
          <w:p w14:paraId="47173C7A" w14:textId="77777777" w:rsidR="00EA3205" w:rsidRPr="00ED417F" w:rsidRDefault="00EA3205" w:rsidP="00EA3205">
            <w:pPr>
              <w:rPr>
                <w:rFonts w:ascii="AcadNusx" w:hAnsi="AcadNusx"/>
                <w:sz w:val="20"/>
              </w:rPr>
            </w:pPr>
            <w:r w:rsidRPr="00ED417F">
              <w:rPr>
                <w:rFonts w:ascii="AcadNusx" w:hAnsi="AcadNusx"/>
                <w:sz w:val="20"/>
              </w:rPr>
              <w:t>5</w:t>
            </w:r>
          </w:p>
        </w:tc>
      </w:tr>
      <w:tr w:rsidR="00EA3205" w:rsidRPr="00ED417F" w14:paraId="654347AC" w14:textId="77777777" w:rsidTr="00ED417F">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9866E" w14:textId="77777777" w:rsidR="00EA3205" w:rsidRPr="00ED417F" w:rsidRDefault="00EA3205" w:rsidP="00EA3205">
            <w:pPr>
              <w:rPr>
                <w:rFonts w:ascii="AcadNusx" w:hAnsi="AcadNusx"/>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6715EF" w14:textId="77777777" w:rsidR="00EA3205" w:rsidRPr="00ED417F" w:rsidRDefault="00EA3205" w:rsidP="00EA3205">
            <w:pPr>
              <w:rPr>
                <w:rFonts w:ascii="AcadNusx" w:hAnsi="AcadNusx"/>
                <w:sz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14:paraId="13C141DA" w14:textId="77777777" w:rsidR="00EA3205" w:rsidRPr="00ED417F" w:rsidRDefault="00EA3205" w:rsidP="00EA3205">
            <w:pPr>
              <w:rPr>
                <w:rFonts w:ascii="AcadNusx" w:hAnsi="AcadNusx"/>
                <w:sz w:val="20"/>
              </w:rPr>
            </w:pPr>
            <w:r w:rsidRPr="00ED417F">
              <w:rPr>
                <w:rFonts w:ascii="AcadNusx" w:hAnsi="AcadNusx"/>
                <w:sz w:val="20"/>
              </w:rPr>
              <w:t>marcvloani</w:t>
            </w:r>
          </w:p>
        </w:tc>
        <w:tc>
          <w:tcPr>
            <w:tcW w:w="3182" w:type="dxa"/>
            <w:tcBorders>
              <w:top w:val="single" w:sz="4" w:space="0" w:color="auto"/>
              <w:left w:val="single" w:sz="4" w:space="0" w:color="auto"/>
              <w:bottom w:val="single" w:sz="4" w:space="0" w:color="auto"/>
              <w:right w:val="single" w:sz="4" w:space="0" w:color="auto"/>
            </w:tcBorders>
            <w:vAlign w:val="center"/>
            <w:hideMark/>
          </w:tcPr>
          <w:p w14:paraId="7807FB5E" w14:textId="77777777" w:rsidR="00EA3205" w:rsidRPr="00ED417F" w:rsidRDefault="00EA3205" w:rsidP="00EA3205">
            <w:pPr>
              <w:rPr>
                <w:rFonts w:ascii="AcadNusx" w:hAnsi="AcadNusx"/>
                <w:sz w:val="20"/>
              </w:rPr>
            </w:pPr>
            <w:r w:rsidRPr="00ED417F">
              <w:rPr>
                <w:rFonts w:ascii="AcadNusx" w:hAnsi="AcadNusx"/>
                <w:sz w:val="20"/>
              </w:rPr>
              <w:t>30</w:t>
            </w:r>
          </w:p>
        </w:tc>
      </w:tr>
    </w:tbl>
    <w:p w14:paraId="5C8C04E3" w14:textId="77777777" w:rsidR="00EA3205" w:rsidRPr="00B05F62" w:rsidRDefault="00EA3205" w:rsidP="00ED417F">
      <w:pPr>
        <w:spacing w:before="120" w:after="120"/>
        <w:rPr>
          <w:rFonts w:ascii="AcadNusx" w:hAnsi="AcadNusx"/>
        </w:rPr>
      </w:pPr>
      <w:r w:rsidRPr="00B05F62">
        <w:rPr>
          <w:rFonts w:ascii="AcadNusx" w:hAnsi="AcadNusx"/>
        </w:rPr>
        <w:t>saeqspluatacio (funqcionaluri) parametrebi</w:t>
      </w:r>
    </w:p>
    <w:p w14:paraId="7979D804" w14:textId="77777777" w:rsidR="00EA3205" w:rsidRPr="00B05F62" w:rsidRDefault="00EA3205" w:rsidP="00ED417F">
      <w:pPr>
        <w:spacing w:before="120" w:after="120"/>
        <w:rPr>
          <w:rFonts w:ascii="AcadNusx" w:hAnsi="AcadNusx"/>
        </w:rPr>
      </w:pPr>
      <w:r w:rsidRPr="00B05F62">
        <w:rPr>
          <w:rFonts w:ascii="AcadNusx" w:hAnsi="AcadNusx"/>
        </w:rPr>
        <w:t xml:space="preserve">sxva sawyisi parametrebia gziis saimedoobis da eqspluataciisTvis vargisianobis maCveneblebi. </w:t>
      </w:r>
      <w:r w:rsidRPr="00ED417F">
        <w:rPr>
          <w:rFonts w:ascii="Sylfaen" w:hAnsi="Sylfaen"/>
        </w:rPr>
        <w:t>AASHTO</w:t>
      </w:r>
      <w:r w:rsidRPr="00B05F62">
        <w:rPr>
          <w:rFonts w:ascii="AcadNusx" w:hAnsi="AcadNusx"/>
        </w:rPr>
        <w:t xml:space="preserve">-s “sagzao samosebis konstruqciebis proeqtirebis saxelmZRvanelos” Sesabamisd, mocemuli sagzao monakveTebisTvis saimedoobis sidided miRebulia 90%. </w:t>
      </w:r>
    </w:p>
    <w:p w14:paraId="52610A2A" w14:textId="77777777" w:rsidR="00EA3205" w:rsidRPr="00B05F62" w:rsidRDefault="00EA3205" w:rsidP="00ED417F">
      <w:pPr>
        <w:spacing w:before="120" w:after="120"/>
        <w:rPr>
          <w:rFonts w:ascii="AcadNusx" w:hAnsi="AcadNusx"/>
        </w:rPr>
      </w:pPr>
      <w:r w:rsidRPr="00B05F62">
        <w:rPr>
          <w:rFonts w:ascii="AcadNusx" w:hAnsi="AcadNusx"/>
        </w:rPr>
        <w:t>eqspluataciisTvis vargisianobis sawyis sidided miRebulia po=4.2, xolo saboloo sidided _pt=2.2.</w:t>
      </w:r>
    </w:p>
    <w:p w14:paraId="125D8D04" w14:textId="77777777" w:rsidR="00EA3205" w:rsidRPr="00B05F62" w:rsidRDefault="00EA3205" w:rsidP="00ED417F">
      <w:pPr>
        <w:spacing w:before="120" w:after="120"/>
        <w:rPr>
          <w:rFonts w:ascii="AcadNusx" w:hAnsi="AcadNusx"/>
        </w:rPr>
      </w:pPr>
      <w:r w:rsidRPr="00B05F62">
        <w:rPr>
          <w:rFonts w:ascii="AcadNusx" w:hAnsi="AcadNusx"/>
        </w:rPr>
        <w:t>rogorc drekadi, aseve xisti sagzao samosis konstruqciuli fenebis yvelaze Sesaferisi variantis proeqtireba dafuZnebuli unda iyos 20-wliani saangariSo periodis momcvel srul saeqspluatacio (sasicocxlo ciklis) xarjebze da ekonomikur mosazrebebze.</w:t>
      </w:r>
    </w:p>
    <w:p w14:paraId="1EE73AB1" w14:textId="77777777" w:rsidR="00EA3205" w:rsidRPr="00B05F62" w:rsidRDefault="00EA3205" w:rsidP="00ED417F">
      <w:pPr>
        <w:spacing w:before="120" w:after="120"/>
        <w:rPr>
          <w:rFonts w:ascii="AcadNusx" w:hAnsi="AcadNusx"/>
        </w:rPr>
      </w:pPr>
      <w:r w:rsidRPr="00B05F62">
        <w:rPr>
          <w:rFonts w:ascii="AcadNusx" w:hAnsi="AcadNusx"/>
        </w:rPr>
        <w:t>yinvis SeRweva</w:t>
      </w:r>
    </w:p>
    <w:p w14:paraId="0E7D7215" w14:textId="77777777" w:rsidR="00EA3205" w:rsidRPr="00B05F62" w:rsidRDefault="00EA3205" w:rsidP="00ED417F">
      <w:pPr>
        <w:spacing w:before="120" w:after="120"/>
        <w:rPr>
          <w:rFonts w:ascii="AcadNusx" w:hAnsi="AcadNusx"/>
        </w:rPr>
      </w:pPr>
      <w:r w:rsidRPr="00B05F62">
        <w:rPr>
          <w:rFonts w:ascii="AcadNusx" w:hAnsi="AcadNusx"/>
        </w:rPr>
        <w:t xml:space="preserve">sakvlevi gzis gaswvriv miwis vakisis SekavSirebuli (koheziuri) konsistenciis gaTvaliswinebiT, yuradRebas moiTxovda yinvis temperaturebis SesaZlo zemoqmedeba sagzao samosis fenebsa da miwis vakisze. </w:t>
      </w:r>
    </w:p>
    <w:p w14:paraId="57E49B22" w14:textId="77777777" w:rsidR="00EA3205" w:rsidRPr="00B05F62" w:rsidRDefault="00EA3205" w:rsidP="00ED417F">
      <w:pPr>
        <w:spacing w:before="120" w:after="120"/>
        <w:rPr>
          <w:rFonts w:ascii="AcadNusx" w:hAnsi="AcadNusx"/>
        </w:rPr>
      </w:pPr>
      <w:r w:rsidRPr="00B05F62">
        <w:rPr>
          <w:rFonts w:ascii="AcadNusx" w:hAnsi="AcadNusx"/>
        </w:rPr>
        <w:lastRenderedPageBreak/>
        <w:t xml:space="preserve">gruntis sezonuri gayinvis normatiuli siRrmeebis gaTvaliswinebiT, gurjaanis TelavTan damakavSirebel sagzao monakveTebze miwis vakisSi yinvis SeRweva mosalodneli ar aris. </w:t>
      </w:r>
    </w:p>
    <w:p w14:paraId="78203ECA" w14:textId="77777777" w:rsidR="00EA3205" w:rsidRPr="00B05F62" w:rsidRDefault="00EA3205" w:rsidP="00EA3205">
      <w:pPr>
        <w:rPr>
          <w:rFonts w:ascii="AcadNusx" w:hAnsi="AcadNusx"/>
        </w:rPr>
      </w:pPr>
      <w:bookmarkStart w:id="110" w:name="_Toc369258479"/>
    </w:p>
    <w:p w14:paraId="0815CA9D" w14:textId="4D42CE49" w:rsidR="00EA3205" w:rsidRPr="00B05F62" w:rsidRDefault="00EA3205" w:rsidP="00B05F62">
      <w:pPr>
        <w:pStyle w:val="Heading3"/>
        <w:rPr>
          <w:rFonts w:ascii="AcadNusx" w:hAnsi="AcadNusx"/>
        </w:rPr>
      </w:pPr>
      <w:bookmarkStart w:id="111" w:name="_Toc1581509"/>
      <w:r w:rsidRPr="00B05F62">
        <w:t>4.</w:t>
      </w:r>
      <w:r w:rsidR="00EA6DAA">
        <w:rPr>
          <w:rFonts w:ascii="Sylfaen" w:hAnsi="Sylfaen"/>
          <w:lang w:val="ka-GE"/>
        </w:rPr>
        <w:t>9</w:t>
      </w:r>
      <w:r w:rsidRPr="00B05F62">
        <w:t>.2</w:t>
      </w:r>
      <w:bookmarkEnd w:id="110"/>
      <w:r w:rsidRPr="00B05F62">
        <w:t xml:space="preserve"> </w:t>
      </w:r>
      <w:r w:rsidR="00373702">
        <w:rPr>
          <w:rFonts w:ascii="Sylfaen" w:hAnsi="Sylfaen"/>
          <w:lang w:val="ka-GE"/>
        </w:rPr>
        <w:t>საგზაო სამოსის აგებულების განსაზღვრა</w:t>
      </w:r>
      <w:bookmarkEnd w:id="111"/>
    </w:p>
    <w:p w14:paraId="470AACFF" w14:textId="77777777" w:rsidR="00EA3205" w:rsidRPr="00B05F62" w:rsidRDefault="00EA3205" w:rsidP="00EA3205">
      <w:pPr>
        <w:rPr>
          <w:rFonts w:ascii="AcadNusx" w:hAnsi="AcadNusx"/>
        </w:rPr>
      </w:pPr>
    </w:p>
    <w:p w14:paraId="15FDCE13" w14:textId="7F77A70C" w:rsidR="00EA6DAA" w:rsidRPr="00EA6DAA" w:rsidRDefault="00EA6DAA" w:rsidP="00EA6DAA">
      <w:pPr>
        <w:rPr>
          <w:rFonts w:ascii="AcadNusx" w:hAnsi="AcadNusx"/>
        </w:rPr>
      </w:pPr>
      <w:r w:rsidRPr="00EA6DAA">
        <w:rPr>
          <w:rFonts w:ascii="Sylfaen" w:hAnsi="Sylfaen" w:cs="Sylfaen"/>
        </w:rPr>
        <w:t>საკვლევი</w:t>
      </w:r>
      <w:r w:rsidRPr="00EA6DAA">
        <w:rPr>
          <w:rFonts w:ascii="AcadNusx" w:hAnsi="AcadNusx"/>
        </w:rPr>
        <w:t xml:space="preserve"> </w:t>
      </w:r>
      <w:r w:rsidRPr="00EA6DAA">
        <w:rPr>
          <w:rFonts w:ascii="Sylfaen" w:hAnsi="Sylfaen" w:cs="Sylfaen"/>
        </w:rPr>
        <w:t>ჩუმლაყი</w:t>
      </w:r>
      <w:r w:rsidRPr="00EA6DAA">
        <w:rPr>
          <w:rFonts w:ascii="AcadNusx" w:hAnsi="AcadNusx"/>
        </w:rPr>
        <w:t xml:space="preserve"> (</w:t>
      </w:r>
      <w:r w:rsidRPr="00EA6DAA">
        <w:rPr>
          <w:rFonts w:ascii="Sylfaen" w:hAnsi="Sylfaen" w:cs="Sylfaen"/>
        </w:rPr>
        <w:t>გურჯაანი</w:t>
      </w:r>
      <w:r w:rsidRPr="00EA6DAA">
        <w:rPr>
          <w:rFonts w:ascii="AcadNusx" w:hAnsi="AcadNusx"/>
        </w:rPr>
        <w:t xml:space="preserve">) - </w:t>
      </w:r>
      <w:r w:rsidRPr="00EA6DAA">
        <w:rPr>
          <w:rFonts w:ascii="Sylfaen" w:hAnsi="Sylfaen" w:cs="Sylfaen"/>
        </w:rPr>
        <w:t>თელავის</w:t>
      </w:r>
      <w:r w:rsidRPr="00EA6DAA">
        <w:rPr>
          <w:rFonts w:ascii="AcadNusx" w:hAnsi="AcadNusx"/>
        </w:rPr>
        <w:t xml:space="preserve"> </w:t>
      </w:r>
      <w:r w:rsidRPr="00EA6DAA">
        <w:rPr>
          <w:rFonts w:ascii="Sylfaen" w:hAnsi="Sylfaen" w:cs="Sylfaen"/>
        </w:rPr>
        <w:t>საგზაო</w:t>
      </w:r>
      <w:r w:rsidRPr="00EA6DAA">
        <w:rPr>
          <w:rFonts w:ascii="AcadNusx" w:hAnsi="AcadNusx"/>
        </w:rPr>
        <w:t xml:space="preserve"> </w:t>
      </w:r>
      <w:r w:rsidRPr="00EA6DAA">
        <w:rPr>
          <w:rFonts w:ascii="Sylfaen" w:hAnsi="Sylfaen" w:cs="Sylfaen"/>
        </w:rPr>
        <w:t>მონაკვეთის</w:t>
      </w:r>
      <w:r w:rsidRPr="00EA6DAA">
        <w:rPr>
          <w:rFonts w:ascii="AcadNusx" w:hAnsi="AcadNusx"/>
        </w:rPr>
        <w:t xml:space="preserve"> </w:t>
      </w:r>
      <w:r w:rsidRPr="00EA6DAA">
        <w:rPr>
          <w:rFonts w:ascii="Sylfaen" w:hAnsi="Sylfaen" w:cs="Sylfaen"/>
        </w:rPr>
        <w:t>ახალი</w:t>
      </w:r>
      <w:r w:rsidRPr="00EA6DAA">
        <w:rPr>
          <w:rFonts w:ascii="AcadNusx" w:hAnsi="AcadNusx"/>
        </w:rPr>
        <w:t xml:space="preserve"> </w:t>
      </w:r>
      <w:r w:rsidRPr="00EA6DAA">
        <w:rPr>
          <w:rFonts w:ascii="Sylfaen" w:hAnsi="Sylfaen" w:cs="Sylfaen"/>
        </w:rPr>
        <w:t>ალტერნატიული</w:t>
      </w:r>
      <w:r w:rsidRPr="00EA6DAA">
        <w:rPr>
          <w:rFonts w:ascii="AcadNusx" w:hAnsi="AcadNusx"/>
        </w:rPr>
        <w:t xml:space="preserve"> </w:t>
      </w:r>
      <w:r w:rsidRPr="00EA6DAA">
        <w:rPr>
          <w:rFonts w:ascii="Sylfaen" w:hAnsi="Sylfaen" w:cs="Sylfaen"/>
        </w:rPr>
        <w:t>ტრასებისთვის</w:t>
      </w:r>
      <w:r w:rsidRPr="00EA6DAA">
        <w:rPr>
          <w:rFonts w:ascii="AcadNusx" w:hAnsi="AcadNusx"/>
        </w:rPr>
        <w:t xml:space="preserve"> </w:t>
      </w:r>
      <w:r w:rsidRPr="00EA6DAA">
        <w:rPr>
          <w:rFonts w:ascii="Sylfaen" w:hAnsi="Sylfaen" w:cs="Sylfaen"/>
        </w:rPr>
        <w:t>საწყისი</w:t>
      </w:r>
      <w:r w:rsidRPr="00EA6DAA">
        <w:rPr>
          <w:rFonts w:ascii="AcadNusx" w:hAnsi="AcadNusx"/>
        </w:rPr>
        <w:t xml:space="preserve"> </w:t>
      </w:r>
      <w:r w:rsidRPr="00EA6DAA">
        <w:rPr>
          <w:rFonts w:ascii="Sylfaen" w:hAnsi="Sylfaen" w:cs="Sylfaen"/>
        </w:rPr>
        <w:t>მიდგომის</w:t>
      </w:r>
      <w:r w:rsidRPr="00EA6DAA">
        <w:rPr>
          <w:rFonts w:ascii="AcadNusx" w:hAnsi="AcadNusx"/>
        </w:rPr>
        <w:t xml:space="preserve"> </w:t>
      </w:r>
      <w:r w:rsidRPr="00EA6DAA">
        <w:rPr>
          <w:rFonts w:ascii="Sylfaen" w:hAnsi="Sylfaen" w:cs="Sylfaen"/>
        </w:rPr>
        <w:t>სახით</w:t>
      </w:r>
      <w:r w:rsidRPr="00EA6DAA">
        <w:rPr>
          <w:rFonts w:ascii="AcadNusx" w:hAnsi="AcadNusx"/>
        </w:rPr>
        <w:t xml:space="preserve"> </w:t>
      </w:r>
      <w:r w:rsidRPr="00EA6DAA">
        <w:rPr>
          <w:rFonts w:ascii="Sylfaen" w:hAnsi="Sylfaen" w:cs="Sylfaen"/>
        </w:rPr>
        <w:t>გამოიყენება</w:t>
      </w:r>
      <w:r w:rsidRPr="00EA6DAA">
        <w:rPr>
          <w:rFonts w:ascii="AcadNusx" w:hAnsi="AcadNusx"/>
        </w:rPr>
        <w:t xml:space="preserve"> </w:t>
      </w:r>
      <w:r w:rsidR="0002335B" w:rsidRPr="0002335B">
        <w:rPr>
          <w:rFonts w:ascii="Sylfaen" w:hAnsi="Sylfaen"/>
          <w:lang w:val="en-US"/>
        </w:rPr>
        <w:t>AASHTO</w:t>
      </w:r>
      <w:r w:rsidRPr="00EA6DAA">
        <w:rPr>
          <w:rFonts w:ascii="AcadNusx" w:hAnsi="AcadNusx"/>
        </w:rPr>
        <w:t>-</w:t>
      </w:r>
      <w:r w:rsidRPr="00EA6DAA">
        <w:rPr>
          <w:rFonts w:ascii="Sylfaen" w:hAnsi="Sylfaen" w:cs="Sylfaen"/>
        </w:rPr>
        <w:t>ს</w:t>
      </w:r>
      <w:r w:rsidR="0002335B">
        <w:rPr>
          <w:rFonts w:ascii="Sylfaen" w:hAnsi="Sylfaen" w:cs="Sylfaen"/>
        </w:rPr>
        <w:t xml:space="preserve"> </w:t>
      </w:r>
      <w:r w:rsidRPr="00EA6DAA">
        <w:rPr>
          <w:rFonts w:ascii="Sylfaen" w:hAnsi="Sylfaen" w:cs="Sylfaen"/>
        </w:rPr>
        <w:t>პროექტირების</w:t>
      </w:r>
      <w:r w:rsidRPr="00EA6DAA">
        <w:rPr>
          <w:rFonts w:ascii="AcadNusx" w:hAnsi="AcadNusx"/>
        </w:rPr>
        <w:t xml:space="preserve"> </w:t>
      </w:r>
      <w:r w:rsidRPr="00EA6DAA">
        <w:rPr>
          <w:rFonts w:ascii="Sylfaen" w:hAnsi="Sylfaen" w:cs="Sylfaen"/>
        </w:rPr>
        <w:t>მეთოდი</w:t>
      </w:r>
      <w:r w:rsidRPr="00EA6DAA">
        <w:rPr>
          <w:rFonts w:ascii="AcadNusx" w:hAnsi="AcadNusx"/>
        </w:rPr>
        <w:t xml:space="preserve">. </w:t>
      </w:r>
      <w:r w:rsidR="0002335B" w:rsidRPr="0002335B">
        <w:rPr>
          <w:rFonts w:ascii="Sylfaen" w:hAnsi="Sylfaen"/>
          <w:lang w:val="en-US"/>
        </w:rPr>
        <w:t>AASHTO</w:t>
      </w:r>
      <w:r w:rsidRPr="00EA6DAA">
        <w:rPr>
          <w:rFonts w:ascii="AcadNusx" w:hAnsi="AcadNusx"/>
        </w:rPr>
        <w:t>-</w:t>
      </w:r>
      <w:r w:rsidRPr="00EA6DAA">
        <w:rPr>
          <w:rFonts w:ascii="Sylfaen" w:hAnsi="Sylfaen" w:cs="Sylfaen"/>
        </w:rPr>
        <w:t>ს</w:t>
      </w:r>
      <w:r w:rsidRPr="00EA6DAA">
        <w:rPr>
          <w:rFonts w:ascii="AcadNusx" w:hAnsi="AcadNusx"/>
        </w:rPr>
        <w:t xml:space="preserve"> </w:t>
      </w:r>
      <w:r w:rsidRPr="00EA6DAA">
        <w:rPr>
          <w:rFonts w:ascii="AcadNusx" w:hAnsi="AcadNusx" w:cs="AcadNusx"/>
        </w:rPr>
        <w:t>“</w:t>
      </w:r>
      <w:r w:rsidRPr="00EA6DAA">
        <w:rPr>
          <w:rFonts w:ascii="Sylfaen" w:hAnsi="Sylfaen" w:cs="Sylfaen"/>
        </w:rPr>
        <w:t>საგზაო</w:t>
      </w:r>
      <w:r w:rsidRPr="00EA6DAA">
        <w:rPr>
          <w:rFonts w:ascii="AcadNusx" w:hAnsi="AcadNusx"/>
        </w:rPr>
        <w:t xml:space="preserve"> </w:t>
      </w:r>
      <w:r w:rsidRPr="00EA6DAA">
        <w:rPr>
          <w:rFonts w:ascii="Sylfaen" w:hAnsi="Sylfaen" w:cs="Sylfaen"/>
        </w:rPr>
        <w:t>სამოსების</w:t>
      </w:r>
      <w:r w:rsidRPr="00EA6DAA">
        <w:rPr>
          <w:rFonts w:ascii="AcadNusx" w:hAnsi="AcadNusx"/>
        </w:rPr>
        <w:t xml:space="preserve"> </w:t>
      </w:r>
      <w:r w:rsidRPr="00EA6DAA">
        <w:rPr>
          <w:rFonts w:ascii="Sylfaen" w:hAnsi="Sylfaen" w:cs="Sylfaen"/>
        </w:rPr>
        <w:t>კონსტრუქციული</w:t>
      </w:r>
      <w:r w:rsidRPr="00EA6DAA">
        <w:rPr>
          <w:rFonts w:ascii="AcadNusx" w:hAnsi="AcadNusx"/>
        </w:rPr>
        <w:t xml:space="preserve"> </w:t>
      </w:r>
      <w:r w:rsidRPr="00EA6DAA">
        <w:rPr>
          <w:rFonts w:ascii="Sylfaen" w:hAnsi="Sylfaen" w:cs="Sylfaen"/>
        </w:rPr>
        <w:t>პროექტირების</w:t>
      </w:r>
      <w:r w:rsidRPr="00EA6DAA">
        <w:rPr>
          <w:rFonts w:ascii="AcadNusx" w:hAnsi="AcadNusx"/>
        </w:rPr>
        <w:t xml:space="preserve"> </w:t>
      </w:r>
      <w:r w:rsidRPr="00EA6DAA">
        <w:rPr>
          <w:rFonts w:ascii="Sylfaen" w:hAnsi="Sylfaen" w:cs="Sylfaen"/>
        </w:rPr>
        <w:t>სახელმძღვანელოს</w:t>
      </w:r>
      <w:r w:rsidRPr="00EA6DAA">
        <w:rPr>
          <w:rFonts w:ascii="AcadNusx" w:hAnsi="AcadNusx" w:cs="AcadNusx"/>
        </w:rPr>
        <w:t>”</w:t>
      </w:r>
      <w:r w:rsidRPr="00EA6DAA">
        <w:rPr>
          <w:rFonts w:ascii="AcadNusx" w:hAnsi="AcadNusx"/>
        </w:rPr>
        <w:t xml:space="preserve"> </w:t>
      </w:r>
      <w:r w:rsidRPr="00EA6DAA">
        <w:rPr>
          <w:rFonts w:ascii="Sylfaen" w:hAnsi="Sylfaen" w:cs="Sylfaen"/>
        </w:rPr>
        <w:t>შესაბამისად</w:t>
      </w:r>
      <w:r w:rsidRPr="00EA6DAA">
        <w:rPr>
          <w:rFonts w:ascii="AcadNusx" w:hAnsi="AcadNusx"/>
        </w:rPr>
        <w:t xml:space="preserve">, </w:t>
      </w:r>
      <w:r w:rsidRPr="00EA6DAA">
        <w:rPr>
          <w:rFonts w:ascii="Sylfaen" w:hAnsi="Sylfaen" w:cs="Sylfaen"/>
        </w:rPr>
        <w:t>პროექტირების</w:t>
      </w:r>
      <w:r w:rsidRPr="00EA6DAA">
        <w:rPr>
          <w:rFonts w:ascii="AcadNusx" w:hAnsi="AcadNusx"/>
        </w:rPr>
        <w:t xml:space="preserve"> </w:t>
      </w:r>
      <w:r w:rsidRPr="00EA6DAA">
        <w:rPr>
          <w:rFonts w:ascii="Sylfaen" w:hAnsi="Sylfaen" w:cs="Sylfaen"/>
        </w:rPr>
        <w:t>საკვანძო</w:t>
      </w:r>
      <w:r w:rsidRPr="00EA6DAA">
        <w:rPr>
          <w:rFonts w:ascii="AcadNusx" w:hAnsi="AcadNusx"/>
        </w:rPr>
        <w:t xml:space="preserve"> </w:t>
      </w:r>
      <w:r w:rsidRPr="00EA6DAA">
        <w:rPr>
          <w:rFonts w:ascii="Sylfaen" w:hAnsi="Sylfaen" w:cs="Sylfaen"/>
        </w:rPr>
        <w:t>მომენტს</w:t>
      </w:r>
      <w:r w:rsidRPr="00EA6DAA">
        <w:rPr>
          <w:rFonts w:ascii="AcadNusx" w:hAnsi="AcadNusx"/>
        </w:rPr>
        <w:t xml:space="preserve"> </w:t>
      </w:r>
      <w:r w:rsidRPr="00EA6DAA">
        <w:rPr>
          <w:rFonts w:ascii="Sylfaen" w:hAnsi="Sylfaen" w:cs="Sylfaen"/>
        </w:rPr>
        <w:t>წარმოადგენს</w:t>
      </w:r>
      <w:r w:rsidRPr="00EA6DAA">
        <w:rPr>
          <w:rFonts w:ascii="AcadNusx" w:hAnsi="AcadNusx"/>
        </w:rPr>
        <w:t xml:space="preserve"> </w:t>
      </w:r>
      <w:r w:rsidRPr="00EA6DAA">
        <w:rPr>
          <w:rFonts w:ascii="Sylfaen" w:hAnsi="Sylfaen" w:cs="Sylfaen"/>
        </w:rPr>
        <w:t>დრეკადი</w:t>
      </w:r>
      <w:r w:rsidRPr="00EA6DAA">
        <w:rPr>
          <w:rFonts w:ascii="AcadNusx" w:hAnsi="AcadNusx"/>
        </w:rPr>
        <w:t xml:space="preserve"> </w:t>
      </w:r>
      <w:r w:rsidRPr="00EA6DAA">
        <w:rPr>
          <w:rFonts w:ascii="Sylfaen" w:hAnsi="Sylfaen" w:cs="Sylfaen"/>
        </w:rPr>
        <w:t>საგზაო</w:t>
      </w:r>
      <w:r w:rsidRPr="00EA6DAA">
        <w:rPr>
          <w:rFonts w:ascii="AcadNusx" w:hAnsi="AcadNusx"/>
        </w:rPr>
        <w:t xml:space="preserve"> </w:t>
      </w:r>
      <w:r w:rsidRPr="00EA6DAA">
        <w:rPr>
          <w:rFonts w:ascii="Sylfaen" w:hAnsi="Sylfaen" w:cs="Sylfaen"/>
        </w:rPr>
        <w:t>სამოსის</w:t>
      </w:r>
      <w:r w:rsidRPr="00EA6DAA">
        <w:rPr>
          <w:rFonts w:ascii="AcadNusx" w:hAnsi="AcadNusx"/>
        </w:rPr>
        <w:t xml:space="preserve"> </w:t>
      </w:r>
      <w:r w:rsidRPr="00EA6DAA">
        <w:rPr>
          <w:rFonts w:ascii="Sylfaen" w:hAnsi="Sylfaen" w:cs="Sylfaen"/>
        </w:rPr>
        <w:t>სტრუქტურული</w:t>
      </w:r>
      <w:r w:rsidRPr="00EA6DAA">
        <w:rPr>
          <w:rFonts w:ascii="AcadNusx" w:hAnsi="AcadNusx"/>
        </w:rPr>
        <w:t xml:space="preserve"> </w:t>
      </w:r>
      <w:r w:rsidRPr="00EA6DAA">
        <w:rPr>
          <w:rFonts w:ascii="Sylfaen" w:hAnsi="Sylfaen" w:cs="Sylfaen"/>
        </w:rPr>
        <w:t>რიცხვის</w:t>
      </w:r>
      <w:r w:rsidRPr="00EA6DAA">
        <w:rPr>
          <w:rFonts w:ascii="AcadNusx" w:hAnsi="AcadNusx"/>
        </w:rPr>
        <w:t xml:space="preserve"> (</w:t>
      </w:r>
      <w:r w:rsidR="0002335B">
        <w:rPr>
          <w:rFonts w:ascii="Sylfaen" w:hAnsi="Sylfaen" w:cs="Sylfaen"/>
        </w:rPr>
        <w:t>SN</w:t>
      </w:r>
      <w:r w:rsidRPr="00EA6DAA">
        <w:rPr>
          <w:rFonts w:ascii="AcadNusx" w:hAnsi="AcadNusx"/>
        </w:rPr>
        <w:t xml:space="preserve">) </w:t>
      </w:r>
      <w:r w:rsidRPr="00EA6DAA">
        <w:rPr>
          <w:rFonts w:ascii="Sylfaen" w:hAnsi="Sylfaen" w:cs="Sylfaen"/>
        </w:rPr>
        <w:t>განსაზღვრა</w:t>
      </w:r>
      <w:r w:rsidRPr="00EA6DAA">
        <w:rPr>
          <w:rFonts w:ascii="AcadNusx" w:hAnsi="AcadNusx"/>
        </w:rPr>
        <w:t xml:space="preserve">, </w:t>
      </w:r>
      <w:r w:rsidRPr="00EA6DAA">
        <w:rPr>
          <w:rFonts w:ascii="Sylfaen" w:hAnsi="Sylfaen" w:cs="Sylfaen"/>
        </w:rPr>
        <w:t>რომელიც</w:t>
      </w:r>
      <w:r w:rsidRPr="00EA6DAA">
        <w:rPr>
          <w:rFonts w:ascii="AcadNusx" w:hAnsi="AcadNusx"/>
        </w:rPr>
        <w:t xml:space="preserve"> </w:t>
      </w:r>
      <w:r w:rsidRPr="00EA6DAA">
        <w:rPr>
          <w:rFonts w:ascii="Sylfaen" w:hAnsi="Sylfaen" w:cs="Sylfaen"/>
        </w:rPr>
        <w:t>უზრუნველყოფს</w:t>
      </w:r>
      <w:r w:rsidRPr="00EA6DAA">
        <w:rPr>
          <w:rFonts w:ascii="AcadNusx" w:hAnsi="AcadNusx"/>
        </w:rPr>
        <w:t xml:space="preserve"> </w:t>
      </w:r>
      <w:r w:rsidRPr="00EA6DAA">
        <w:rPr>
          <w:rFonts w:ascii="Sylfaen" w:hAnsi="Sylfaen" w:cs="Sylfaen"/>
        </w:rPr>
        <w:t>საგზაო</w:t>
      </w:r>
      <w:r w:rsidRPr="00EA6DAA">
        <w:rPr>
          <w:rFonts w:ascii="AcadNusx" w:hAnsi="AcadNusx"/>
        </w:rPr>
        <w:t xml:space="preserve"> </w:t>
      </w:r>
      <w:r w:rsidRPr="00EA6DAA">
        <w:rPr>
          <w:rFonts w:ascii="Sylfaen" w:hAnsi="Sylfaen" w:cs="Sylfaen"/>
        </w:rPr>
        <w:t>სამოსის</w:t>
      </w:r>
      <w:r w:rsidRPr="00EA6DAA">
        <w:rPr>
          <w:rFonts w:ascii="AcadNusx" w:hAnsi="AcadNusx"/>
        </w:rPr>
        <w:t xml:space="preserve"> </w:t>
      </w:r>
      <w:r w:rsidRPr="00EA6DAA">
        <w:rPr>
          <w:rFonts w:ascii="Sylfaen" w:hAnsi="Sylfaen" w:cs="Sylfaen"/>
        </w:rPr>
        <w:t>საკმარის</w:t>
      </w:r>
      <w:r w:rsidRPr="00EA6DAA">
        <w:rPr>
          <w:rFonts w:ascii="AcadNusx" w:hAnsi="AcadNusx"/>
        </w:rPr>
        <w:t xml:space="preserve"> </w:t>
      </w:r>
      <w:r w:rsidRPr="00EA6DAA">
        <w:rPr>
          <w:rFonts w:ascii="Sylfaen" w:hAnsi="Sylfaen" w:cs="Sylfaen"/>
        </w:rPr>
        <w:t>მედეგობას</w:t>
      </w:r>
      <w:r w:rsidRPr="00EA6DAA">
        <w:rPr>
          <w:rFonts w:ascii="AcadNusx" w:hAnsi="AcadNusx"/>
        </w:rPr>
        <w:t xml:space="preserve"> </w:t>
      </w:r>
      <w:r w:rsidRPr="00EA6DAA">
        <w:rPr>
          <w:rFonts w:ascii="Sylfaen" w:hAnsi="Sylfaen" w:cs="Sylfaen"/>
        </w:rPr>
        <w:t>პროგნოზული</w:t>
      </w:r>
      <w:r w:rsidRPr="00EA6DAA">
        <w:rPr>
          <w:rFonts w:ascii="AcadNusx" w:hAnsi="AcadNusx"/>
        </w:rPr>
        <w:t xml:space="preserve"> </w:t>
      </w:r>
      <w:r w:rsidRPr="00EA6DAA">
        <w:rPr>
          <w:rFonts w:ascii="Sylfaen" w:hAnsi="Sylfaen" w:cs="Sylfaen"/>
        </w:rPr>
        <w:t>დონის</w:t>
      </w:r>
      <w:r w:rsidRPr="00EA6DAA">
        <w:rPr>
          <w:rFonts w:ascii="AcadNusx" w:hAnsi="AcadNusx"/>
        </w:rPr>
        <w:t xml:space="preserve"> </w:t>
      </w:r>
      <w:r w:rsidRPr="00EA6DAA">
        <w:rPr>
          <w:rFonts w:ascii="Sylfaen" w:hAnsi="Sylfaen" w:cs="Sylfaen"/>
        </w:rPr>
        <w:t>ღერძული</w:t>
      </w:r>
      <w:r w:rsidRPr="00EA6DAA">
        <w:rPr>
          <w:rFonts w:ascii="AcadNusx" w:hAnsi="AcadNusx"/>
        </w:rPr>
        <w:t xml:space="preserve"> </w:t>
      </w:r>
      <w:r w:rsidRPr="00EA6DAA">
        <w:rPr>
          <w:rFonts w:ascii="Sylfaen" w:hAnsi="Sylfaen" w:cs="Sylfaen"/>
        </w:rPr>
        <w:t>დატვირთვების</w:t>
      </w:r>
      <w:r w:rsidRPr="00EA6DAA">
        <w:rPr>
          <w:rFonts w:ascii="AcadNusx" w:hAnsi="AcadNusx"/>
        </w:rPr>
        <w:t xml:space="preserve"> </w:t>
      </w:r>
      <w:r w:rsidRPr="00EA6DAA">
        <w:rPr>
          <w:rFonts w:ascii="Sylfaen" w:hAnsi="Sylfaen" w:cs="Sylfaen"/>
        </w:rPr>
        <w:t>მიმართ</w:t>
      </w:r>
      <w:r w:rsidRPr="00EA6DAA">
        <w:rPr>
          <w:rFonts w:ascii="AcadNusx" w:hAnsi="AcadNusx"/>
        </w:rPr>
        <w:t>.</w:t>
      </w:r>
    </w:p>
    <w:p w14:paraId="44D76201" w14:textId="77777777" w:rsidR="00EA6DAA" w:rsidRPr="00EA6DAA" w:rsidRDefault="00EA6DAA" w:rsidP="00EA6DAA">
      <w:pPr>
        <w:rPr>
          <w:rFonts w:ascii="AcadNusx" w:hAnsi="AcadNusx"/>
        </w:rPr>
      </w:pPr>
    </w:p>
    <w:p w14:paraId="15D7958F" w14:textId="73B168CF" w:rsidR="00EA6DAA" w:rsidRPr="00EA6DAA" w:rsidRDefault="00EA6DAA" w:rsidP="0002335B">
      <w:pPr>
        <w:spacing w:before="120" w:after="120"/>
        <w:rPr>
          <w:rFonts w:ascii="AcadNusx" w:hAnsi="AcadNusx"/>
        </w:rPr>
      </w:pPr>
      <w:r w:rsidRPr="00EA6DAA">
        <w:rPr>
          <w:rFonts w:ascii="Sylfaen" w:hAnsi="Sylfaen" w:cs="Sylfaen"/>
        </w:rPr>
        <w:t>საჭირო</w:t>
      </w:r>
      <w:r w:rsidRPr="00EA6DAA">
        <w:rPr>
          <w:rFonts w:ascii="AcadNusx" w:hAnsi="AcadNusx"/>
        </w:rPr>
        <w:t xml:space="preserve"> </w:t>
      </w:r>
      <w:r w:rsidRPr="00EA6DAA">
        <w:rPr>
          <w:rFonts w:ascii="Sylfaen" w:hAnsi="Sylfaen" w:cs="Sylfaen"/>
        </w:rPr>
        <w:t>სტრუქტურული</w:t>
      </w:r>
      <w:r w:rsidRPr="00EA6DAA">
        <w:rPr>
          <w:rFonts w:ascii="AcadNusx" w:hAnsi="AcadNusx"/>
        </w:rPr>
        <w:t xml:space="preserve"> </w:t>
      </w:r>
      <w:r w:rsidRPr="00EA6DAA">
        <w:rPr>
          <w:rFonts w:ascii="Sylfaen" w:hAnsi="Sylfaen" w:cs="Sylfaen"/>
        </w:rPr>
        <w:t>რიცხვები</w:t>
      </w:r>
      <w:r w:rsidRPr="00EA6DAA">
        <w:rPr>
          <w:rFonts w:ascii="AcadNusx" w:hAnsi="AcadNusx"/>
        </w:rPr>
        <w:t xml:space="preserve"> </w:t>
      </w:r>
      <w:r w:rsidRPr="00EA6DAA">
        <w:rPr>
          <w:rFonts w:ascii="Sylfaen" w:hAnsi="Sylfaen" w:cs="Sylfaen"/>
        </w:rPr>
        <w:t>გამოითვალა</w:t>
      </w:r>
      <w:r w:rsidRPr="00EA6DAA">
        <w:rPr>
          <w:rFonts w:ascii="AcadNusx" w:hAnsi="AcadNusx"/>
        </w:rPr>
        <w:t xml:space="preserve"> </w:t>
      </w:r>
      <w:r w:rsidR="0002335B" w:rsidRPr="0002335B">
        <w:rPr>
          <w:rFonts w:ascii="Sylfaen" w:hAnsi="Sylfaen"/>
          <w:lang w:val="en-US"/>
        </w:rPr>
        <w:t>AASHTO</w:t>
      </w:r>
      <w:r w:rsidRPr="00EA6DAA">
        <w:rPr>
          <w:rFonts w:cs="Arial"/>
        </w:rPr>
        <w:t>-</w:t>
      </w:r>
      <w:r w:rsidRPr="00EA6DAA">
        <w:rPr>
          <w:rFonts w:ascii="Sylfaen" w:hAnsi="Sylfaen" w:cs="Sylfaen"/>
        </w:rPr>
        <w:t>ს</w:t>
      </w:r>
      <w:r w:rsidRPr="00EA6DAA">
        <w:rPr>
          <w:rFonts w:ascii="AcadNusx" w:hAnsi="AcadNusx"/>
        </w:rPr>
        <w:t xml:space="preserve"> </w:t>
      </w:r>
      <w:r w:rsidRPr="00EA6DAA">
        <w:rPr>
          <w:rFonts w:ascii="Sylfaen" w:hAnsi="Sylfaen" w:cs="Sylfaen"/>
        </w:rPr>
        <w:t>კომპიუტერული</w:t>
      </w:r>
      <w:r w:rsidRPr="00EA6DAA">
        <w:rPr>
          <w:rFonts w:ascii="AcadNusx" w:hAnsi="AcadNusx"/>
        </w:rPr>
        <w:t xml:space="preserve"> </w:t>
      </w:r>
      <w:r w:rsidRPr="00EA6DAA">
        <w:rPr>
          <w:rFonts w:ascii="Sylfaen" w:hAnsi="Sylfaen" w:cs="Sylfaen"/>
        </w:rPr>
        <w:t>პროგრამის</w:t>
      </w:r>
      <w:r w:rsidRPr="00EA6DAA">
        <w:rPr>
          <w:rFonts w:ascii="AcadNusx" w:hAnsi="AcadNusx"/>
        </w:rPr>
        <w:t xml:space="preserve"> </w:t>
      </w:r>
      <w:r w:rsidR="0002335B">
        <w:rPr>
          <w:rFonts w:ascii="Sylfaen" w:hAnsi="Sylfaen"/>
        </w:rPr>
        <w:t>DARWin 3.1</w:t>
      </w:r>
      <w:r w:rsidRPr="00EA6DAA">
        <w:rPr>
          <w:rFonts w:ascii="AcadNusx" w:hAnsi="AcadNusx"/>
        </w:rPr>
        <w:t xml:space="preserve"> </w:t>
      </w:r>
      <w:r w:rsidRPr="00EA6DAA">
        <w:rPr>
          <w:rFonts w:ascii="Sylfaen" w:hAnsi="Sylfaen" w:cs="Sylfaen"/>
        </w:rPr>
        <w:t>გამოყენებით</w:t>
      </w:r>
      <w:r w:rsidRPr="00EA6DAA">
        <w:rPr>
          <w:rFonts w:ascii="AcadNusx" w:hAnsi="AcadNusx"/>
        </w:rPr>
        <w:t xml:space="preserve">, </w:t>
      </w:r>
      <w:r w:rsidRPr="00EA6DAA">
        <w:rPr>
          <w:rFonts w:ascii="Sylfaen" w:hAnsi="Sylfaen" w:cs="Sylfaen"/>
        </w:rPr>
        <w:t>რომელიც</w:t>
      </w:r>
      <w:r w:rsidRPr="00EA6DAA">
        <w:rPr>
          <w:rFonts w:ascii="AcadNusx" w:hAnsi="AcadNusx"/>
        </w:rPr>
        <w:t xml:space="preserve"> </w:t>
      </w:r>
      <w:r w:rsidRPr="00EA6DAA">
        <w:rPr>
          <w:rFonts w:ascii="Sylfaen" w:hAnsi="Sylfaen" w:cs="Sylfaen"/>
        </w:rPr>
        <w:t>ხსნის</w:t>
      </w:r>
      <w:r w:rsidRPr="00EA6DAA">
        <w:rPr>
          <w:rFonts w:ascii="AcadNusx" w:hAnsi="AcadNusx"/>
        </w:rPr>
        <w:t xml:space="preserve"> </w:t>
      </w:r>
      <w:r w:rsidR="0002335B" w:rsidRPr="0002335B">
        <w:rPr>
          <w:rFonts w:ascii="Sylfaen" w:hAnsi="Sylfaen"/>
          <w:lang w:val="en-US"/>
        </w:rPr>
        <w:t>AASHTO</w:t>
      </w:r>
      <w:r w:rsidR="0002335B" w:rsidRPr="00EA6DAA">
        <w:rPr>
          <w:rFonts w:cs="Arial"/>
        </w:rPr>
        <w:t>-</w:t>
      </w:r>
      <w:r w:rsidR="0002335B" w:rsidRPr="00EA6DAA">
        <w:rPr>
          <w:rFonts w:ascii="Sylfaen" w:hAnsi="Sylfaen" w:cs="Sylfaen"/>
        </w:rPr>
        <w:t>ს</w:t>
      </w:r>
      <w:r w:rsidR="0002335B" w:rsidRPr="00EA6DAA">
        <w:rPr>
          <w:rFonts w:ascii="AcadNusx" w:hAnsi="AcadNusx"/>
        </w:rPr>
        <w:t xml:space="preserve"> </w:t>
      </w:r>
      <w:r w:rsidRPr="00EA6DAA">
        <w:rPr>
          <w:rFonts w:ascii="AcadNusx" w:hAnsi="AcadNusx"/>
        </w:rPr>
        <w:t xml:space="preserve"> </w:t>
      </w:r>
      <w:r w:rsidRPr="00EA6DAA">
        <w:rPr>
          <w:rFonts w:ascii="Sylfaen" w:hAnsi="Sylfaen" w:cs="Sylfaen"/>
        </w:rPr>
        <w:t>პროექტირების</w:t>
      </w:r>
      <w:r w:rsidRPr="00EA6DAA">
        <w:rPr>
          <w:rFonts w:ascii="AcadNusx" w:hAnsi="AcadNusx"/>
        </w:rPr>
        <w:t xml:space="preserve"> </w:t>
      </w:r>
      <w:r w:rsidRPr="00EA6DAA">
        <w:rPr>
          <w:rFonts w:ascii="Sylfaen" w:hAnsi="Sylfaen" w:cs="Sylfaen"/>
        </w:rPr>
        <w:t>სახელმძღვანელოში</w:t>
      </w:r>
      <w:r w:rsidRPr="00EA6DAA">
        <w:rPr>
          <w:rFonts w:ascii="AcadNusx" w:hAnsi="AcadNusx"/>
        </w:rPr>
        <w:t xml:space="preserve"> </w:t>
      </w:r>
      <w:r w:rsidRPr="00EA6DAA">
        <w:rPr>
          <w:rFonts w:ascii="Sylfaen" w:hAnsi="Sylfaen" w:cs="Sylfaen"/>
        </w:rPr>
        <w:t>მოცემულ</w:t>
      </w:r>
      <w:r w:rsidRPr="00EA6DAA">
        <w:rPr>
          <w:rFonts w:ascii="AcadNusx" w:hAnsi="AcadNusx"/>
        </w:rPr>
        <w:t xml:space="preserve"> </w:t>
      </w:r>
      <w:r w:rsidRPr="00EA6DAA">
        <w:rPr>
          <w:rFonts w:ascii="Sylfaen" w:hAnsi="Sylfaen" w:cs="Sylfaen"/>
        </w:rPr>
        <w:t>განტოლებას</w:t>
      </w:r>
      <w:r w:rsidRPr="00EA6DAA">
        <w:rPr>
          <w:rFonts w:ascii="AcadNusx" w:hAnsi="AcadNusx"/>
        </w:rPr>
        <w:t xml:space="preserve">. </w:t>
      </w:r>
      <w:r w:rsidRPr="00EA6DAA">
        <w:rPr>
          <w:rFonts w:ascii="Sylfaen" w:hAnsi="Sylfaen" w:cs="Sylfaen"/>
        </w:rPr>
        <w:t>კერძოდ</w:t>
      </w:r>
      <w:r w:rsidRPr="00EA6DAA">
        <w:rPr>
          <w:rFonts w:ascii="AcadNusx" w:hAnsi="AcadNusx"/>
        </w:rPr>
        <w:t xml:space="preserve">, </w:t>
      </w:r>
      <w:r w:rsidRPr="00EA6DAA">
        <w:rPr>
          <w:rFonts w:ascii="Sylfaen" w:hAnsi="Sylfaen" w:cs="Sylfaen"/>
        </w:rPr>
        <w:t>აღნიშნულ</w:t>
      </w:r>
      <w:r w:rsidRPr="00EA6DAA">
        <w:rPr>
          <w:rFonts w:ascii="AcadNusx" w:hAnsi="AcadNusx"/>
        </w:rPr>
        <w:t xml:space="preserve"> </w:t>
      </w:r>
      <w:r w:rsidRPr="00EA6DAA">
        <w:rPr>
          <w:rFonts w:ascii="Sylfaen" w:hAnsi="Sylfaen" w:cs="Sylfaen"/>
        </w:rPr>
        <w:t>პროგრამაში</w:t>
      </w:r>
      <w:r w:rsidRPr="00EA6DAA">
        <w:rPr>
          <w:rFonts w:ascii="AcadNusx" w:hAnsi="AcadNusx"/>
        </w:rPr>
        <w:t xml:space="preserve"> </w:t>
      </w:r>
      <w:r w:rsidRPr="00EA6DAA">
        <w:rPr>
          <w:rFonts w:ascii="Sylfaen" w:hAnsi="Sylfaen" w:cs="Sylfaen"/>
        </w:rPr>
        <w:t>შეყვანილ</w:t>
      </w:r>
      <w:r w:rsidRPr="00EA6DAA">
        <w:rPr>
          <w:rFonts w:ascii="AcadNusx" w:hAnsi="AcadNusx"/>
        </w:rPr>
        <w:t xml:space="preserve"> </w:t>
      </w:r>
      <w:r w:rsidRPr="00EA6DAA">
        <w:rPr>
          <w:rFonts w:ascii="Sylfaen" w:hAnsi="Sylfaen" w:cs="Sylfaen"/>
        </w:rPr>
        <w:t>იქნა</w:t>
      </w:r>
      <w:r w:rsidRPr="00EA6DAA">
        <w:rPr>
          <w:rFonts w:ascii="AcadNusx" w:hAnsi="AcadNusx"/>
        </w:rPr>
        <w:t xml:space="preserve"> </w:t>
      </w:r>
      <w:r w:rsidRPr="00EA6DAA">
        <w:rPr>
          <w:rFonts w:ascii="Sylfaen" w:hAnsi="Sylfaen" w:cs="Sylfaen"/>
        </w:rPr>
        <w:t>ზემოაღნიშნული</w:t>
      </w:r>
      <w:r w:rsidRPr="00EA6DAA">
        <w:rPr>
          <w:rFonts w:ascii="AcadNusx" w:hAnsi="AcadNusx"/>
        </w:rPr>
        <w:t xml:space="preserve"> </w:t>
      </w:r>
      <w:r w:rsidRPr="00EA6DAA">
        <w:rPr>
          <w:rFonts w:ascii="Sylfaen" w:hAnsi="Sylfaen" w:cs="Sylfaen"/>
        </w:rPr>
        <w:t>საწყისი</w:t>
      </w:r>
      <w:r w:rsidRPr="00EA6DAA">
        <w:rPr>
          <w:rFonts w:ascii="AcadNusx" w:hAnsi="AcadNusx"/>
        </w:rPr>
        <w:t xml:space="preserve"> </w:t>
      </w:r>
      <w:r w:rsidRPr="00EA6DAA">
        <w:rPr>
          <w:rFonts w:ascii="Sylfaen" w:hAnsi="Sylfaen" w:cs="Sylfaen"/>
        </w:rPr>
        <w:t>სიდიდეების</w:t>
      </w:r>
      <w:r w:rsidRPr="00EA6DAA">
        <w:rPr>
          <w:rFonts w:ascii="AcadNusx" w:hAnsi="AcadNusx"/>
        </w:rPr>
        <w:t xml:space="preserve"> </w:t>
      </w:r>
      <w:r w:rsidRPr="00EA6DAA">
        <w:rPr>
          <w:rFonts w:ascii="Sylfaen" w:hAnsi="Sylfaen" w:cs="Sylfaen"/>
        </w:rPr>
        <w:t>მეტრულ</w:t>
      </w:r>
      <w:r w:rsidRPr="00EA6DAA">
        <w:rPr>
          <w:rFonts w:ascii="AcadNusx" w:hAnsi="AcadNusx"/>
        </w:rPr>
        <w:t xml:space="preserve"> </w:t>
      </w:r>
      <w:r w:rsidRPr="00EA6DAA">
        <w:rPr>
          <w:rFonts w:ascii="Sylfaen" w:hAnsi="Sylfaen" w:cs="Sylfaen"/>
        </w:rPr>
        <w:t>სისტემაში</w:t>
      </w:r>
      <w:r w:rsidRPr="00EA6DAA">
        <w:rPr>
          <w:rFonts w:ascii="AcadNusx" w:hAnsi="AcadNusx"/>
        </w:rPr>
        <w:t xml:space="preserve"> </w:t>
      </w:r>
      <w:r w:rsidRPr="00EA6DAA">
        <w:rPr>
          <w:rFonts w:ascii="Sylfaen" w:hAnsi="Sylfaen" w:cs="Sylfaen"/>
        </w:rPr>
        <w:t>გადაყვანილი</w:t>
      </w:r>
      <w:r w:rsidRPr="00EA6DAA">
        <w:rPr>
          <w:rFonts w:ascii="AcadNusx" w:hAnsi="AcadNusx"/>
        </w:rPr>
        <w:t xml:space="preserve"> </w:t>
      </w:r>
      <w:r w:rsidRPr="00EA6DAA">
        <w:rPr>
          <w:rFonts w:ascii="Sylfaen" w:hAnsi="Sylfaen" w:cs="Sylfaen"/>
        </w:rPr>
        <w:t>მნიშვნელობები</w:t>
      </w:r>
      <w:r w:rsidRPr="00EA6DAA">
        <w:rPr>
          <w:rFonts w:ascii="AcadNusx" w:hAnsi="AcadNusx"/>
        </w:rPr>
        <w:t xml:space="preserve">. </w:t>
      </w:r>
      <w:r w:rsidRPr="00EA6DAA">
        <w:rPr>
          <w:rFonts w:ascii="Sylfaen" w:hAnsi="Sylfaen" w:cs="Sylfaen"/>
        </w:rPr>
        <w:t>გამოთვლების</w:t>
      </w:r>
      <w:r w:rsidRPr="00EA6DAA">
        <w:rPr>
          <w:rFonts w:ascii="AcadNusx" w:hAnsi="AcadNusx"/>
        </w:rPr>
        <w:t xml:space="preserve"> </w:t>
      </w:r>
      <w:r w:rsidRPr="00EA6DAA">
        <w:rPr>
          <w:rFonts w:ascii="Sylfaen" w:hAnsi="Sylfaen" w:cs="Sylfaen"/>
        </w:rPr>
        <w:t>დეტალური</w:t>
      </w:r>
      <w:r w:rsidRPr="00EA6DAA">
        <w:rPr>
          <w:rFonts w:ascii="AcadNusx" w:hAnsi="AcadNusx"/>
        </w:rPr>
        <w:t xml:space="preserve"> </w:t>
      </w:r>
      <w:r w:rsidRPr="00EA6DAA">
        <w:rPr>
          <w:rFonts w:ascii="Sylfaen" w:hAnsi="Sylfaen" w:cs="Sylfaen"/>
        </w:rPr>
        <w:t>შედეგები</w:t>
      </w:r>
      <w:r w:rsidRPr="00EA6DAA">
        <w:rPr>
          <w:rFonts w:ascii="AcadNusx" w:hAnsi="AcadNusx"/>
        </w:rPr>
        <w:t xml:space="preserve"> </w:t>
      </w:r>
      <w:r w:rsidRPr="00EA6DAA">
        <w:rPr>
          <w:rFonts w:ascii="Sylfaen" w:hAnsi="Sylfaen" w:cs="Sylfaen"/>
        </w:rPr>
        <w:t>წარმოდგენილია</w:t>
      </w:r>
      <w:r w:rsidRPr="00EA6DAA">
        <w:rPr>
          <w:rFonts w:ascii="AcadNusx" w:hAnsi="AcadNusx"/>
        </w:rPr>
        <w:t xml:space="preserve"> </w:t>
      </w:r>
      <w:r w:rsidRPr="00EA6DAA">
        <w:rPr>
          <w:rFonts w:ascii="Sylfaen" w:hAnsi="Sylfaen" w:cs="Sylfaen"/>
        </w:rPr>
        <w:t>მომდევნო</w:t>
      </w:r>
      <w:r w:rsidRPr="00EA6DAA">
        <w:rPr>
          <w:rFonts w:ascii="AcadNusx" w:hAnsi="AcadNusx"/>
        </w:rPr>
        <w:t xml:space="preserve"> </w:t>
      </w:r>
      <w:r w:rsidRPr="00EA6DAA">
        <w:rPr>
          <w:rFonts w:ascii="Sylfaen" w:hAnsi="Sylfaen" w:cs="Sylfaen"/>
        </w:rPr>
        <w:t>ცხრილში</w:t>
      </w:r>
      <w:r w:rsidRPr="00EA6DAA">
        <w:rPr>
          <w:rFonts w:ascii="AcadNusx" w:hAnsi="AcadNusx"/>
        </w:rPr>
        <w:t>.</w:t>
      </w:r>
    </w:p>
    <w:p w14:paraId="04B35E7C" w14:textId="57479162" w:rsidR="00EA6DAA" w:rsidRPr="00EA6DAA" w:rsidRDefault="00EA6DAA" w:rsidP="0002335B">
      <w:pPr>
        <w:spacing w:before="120" w:after="120"/>
        <w:rPr>
          <w:rFonts w:ascii="AcadNusx" w:hAnsi="AcadNusx"/>
        </w:rPr>
      </w:pPr>
      <w:r w:rsidRPr="00EA6DAA">
        <w:rPr>
          <w:rFonts w:ascii="Sylfaen" w:hAnsi="Sylfaen" w:cs="Sylfaen"/>
        </w:rPr>
        <w:t>არსებული</w:t>
      </w:r>
      <w:r w:rsidRPr="00EA6DAA">
        <w:rPr>
          <w:rFonts w:ascii="AcadNusx" w:hAnsi="AcadNusx"/>
        </w:rPr>
        <w:t xml:space="preserve"> </w:t>
      </w:r>
      <w:r w:rsidRPr="00EA6DAA">
        <w:rPr>
          <w:rFonts w:ascii="Sylfaen" w:hAnsi="Sylfaen" w:cs="Sylfaen"/>
        </w:rPr>
        <w:t>საგზაო</w:t>
      </w:r>
      <w:r w:rsidRPr="00EA6DAA">
        <w:rPr>
          <w:rFonts w:ascii="AcadNusx" w:hAnsi="AcadNusx"/>
        </w:rPr>
        <w:t xml:space="preserve"> </w:t>
      </w:r>
      <w:r w:rsidRPr="00EA6DAA">
        <w:rPr>
          <w:rFonts w:ascii="Sylfaen" w:hAnsi="Sylfaen" w:cs="Sylfaen"/>
        </w:rPr>
        <w:t>მონაკვეთებისთვის</w:t>
      </w:r>
      <w:r w:rsidRPr="00EA6DAA">
        <w:rPr>
          <w:rFonts w:ascii="AcadNusx" w:hAnsi="AcadNusx"/>
        </w:rPr>
        <w:t xml:space="preserve">, </w:t>
      </w:r>
      <w:r w:rsidRPr="00EA6DAA">
        <w:rPr>
          <w:rFonts w:ascii="Sylfaen" w:hAnsi="Sylfaen" w:cs="Sylfaen"/>
        </w:rPr>
        <w:t>სტრუქტურული</w:t>
      </w:r>
      <w:r w:rsidRPr="00EA6DAA">
        <w:rPr>
          <w:rFonts w:ascii="AcadNusx" w:hAnsi="AcadNusx"/>
        </w:rPr>
        <w:t xml:space="preserve"> </w:t>
      </w:r>
      <w:r w:rsidRPr="00EA6DAA">
        <w:rPr>
          <w:rFonts w:ascii="Sylfaen" w:hAnsi="Sylfaen" w:cs="Sylfaen"/>
        </w:rPr>
        <w:t>რიცხვის</w:t>
      </w:r>
      <w:r w:rsidRPr="00EA6DAA">
        <w:rPr>
          <w:rFonts w:ascii="AcadNusx" w:hAnsi="AcadNusx"/>
        </w:rPr>
        <w:t xml:space="preserve"> </w:t>
      </w:r>
      <w:r w:rsidRPr="00EA6DAA">
        <w:rPr>
          <w:rFonts w:ascii="Sylfaen" w:hAnsi="Sylfaen" w:cs="Sylfaen"/>
        </w:rPr>
        <w:t>დადგენა</w:t>
      </w:r>
      <w:r w:rsidRPr="00EA6DAA">
        <w:rPr>
          <w:rFonts w:ascii="AcadNusx" w:hAnsi="AcadNusx"/>
        </w:rPr>
        <w:t xml:space="preserve"> </w:t>
      </w:r>
      <w:r w:rsidRPr="00EA6DAA">
        <w:rPr>
          <w:rFonts w:ascii="Sylfaen" w:hAnsi="Sylfaen" w:cs="Sylfaen"/>
        </w:rPr>
        <w:t>დაფუძნებულია</w:t>
      </w:r>
      <w:r w:rsidRPr="00EA6DAA">
        <w:rPr>
          <w:rFonts w:ascii="AcadNusx" w:hAnsi="AcadNusx"/>
        </w:rPr>
        <w:t xml:space="preserve"> </w:t>
      </w:r>
      <w:r w:rsidRPr="00EA6DAA">
        <w:rPr>
          <w:rFonts w:ascii="Sylfaen" w:hAnsi="Sylfaen" w:cs="Sylfaen"/>
        </w:rPr>
        <w:t>ჩემოთვლილ</w:t>
      </w:r>
      <w:r w:rsidRPr="00EA6DAA">
        <w:rPr>
          <w:rFonts w:ascii="AcadNusx" w:hAnsi="AcadNusx"/>
        </w:rPr>
        <w:t xml:space="preserve"> </w:t>
      </w:r>
      <w:r w:rsidR="0002335B">
        <w:rPr>
          <w:rFonts w:ascii="Sylfaen" w:hAnsi="Sylfaen" w:cs="Sylfaen"/>
        </w:rPr>
        <w:t>CBR</w:t>
      </w:r>
      <w:r w:rsidRPr="00EA6DAA">
        <w:rPr>
          <w:rFonts w:ascii="AcadNusx" w:hAnsi="AcadNusx"/>
        </w:rPr>
        <w:t xml:space="preserve"> </w:t>
      </w:r>
      <w:r w:rsidRPr="00EA6DAA">
        <w:rPr>
          <w:rFonts w:ascii="Sylfaen" w:hAnsi="Sylfaen" w:cs="Sylfaen"/>
        </w:rPr>
        <w:t>მაჩვენებლებზე</w:t>
      </w:r>
      <w:r w:rsidRPr="00EA6DAA">
        <w:rPr>
          <w:rFonts w:ascii="AcadNusx" w:hAnsi="AcadNusx"/>
        </w:rPr>
        <w:t xml:space="preserve"> </w:t>
      </w:r>
      <w:r w:rsidRPr="00EA6DAA">
        <w:rPr>
          <w:rFonts w:ascii="Sylfaen" w:hAnsi="Sylfaen" w:cs="Sylfaen"/>
        </w:rPr>
        <w:t>და</w:t>
      </w:r>
      <w:r w:rsidRPr="00EA6DAA">
        <w:rPr>
          <w:rFonts w:ascii="AcadNusx" w:hAnsi="AcadNusx"/>
        </w:rPr>
        <w:t xml:space="preserve"> </w:t>
      </w:r>
      <w:r w:rsidRPr="00EA6DAA">
        <w:rPr>
          <w:rFonts w:ascii="Sylfaen" w:hAnsi="Sylfaen" w:cs="Sylfaen"/>
        </w:rPr>
        <w:t>სატრანსპორტო</w:t>
      </w:r>
      <w:r w:rsidRPr="00EA6DAA">
        <w:rPr>
          <w:rFonts w:ascii="AcadNusx" w:hAnsi="AcadNusx"/>
        </w:rPr>
        <w:t xml:space="preserve"> </w:t>
      </w:r>
      <w:r w:rsidRPr="00EA6DAA">
        <w:rPr>
          <w:rFonts w:ascii="Sylfaen" w:hAnsi="Sylfaen" w:cs="Sylfaen"/>
        </w:rPr>
        <w:t>დატვირთვებზე</w:t>
      </w:r>
      <w:r w:rsidRPr="00EA6DAA">
        <w:rPr>
          <w:rFonts w:ascii="AcadNusx" w:hAnsi="AcadNusx"/>
        </w:rPr>
        <w:t>.</w:t>
      </w:r>
    </w:p>
    <w:p w14:paraId="38B4E39B" w14:textId="59EFF646" w:rsidR="00EA3205" w:rsidRPr="00B05F62" w:rsidRDefault="00EA6DAA" w:rsidP="0002335B">
      <w:pPr>
        <w:spacing w:before="120" w:after="120"/>
        <w:rPr>
          <w:rFonts w:ascii="AcadNusx" w:hAnsi="AcadNusx"/>
        </w:rPr>
      </w:pPr>
      <w:r w:rsidRPr="00EA6DAA">
        <w:rPr>
          <w:rFonts w:ascii="Sylfaen" w:hAnsi="Sylfaen" w:cs="Sylfaen"/>
        </w:rPr>
        <w:t>ცხრილი</w:t>
      </w:r>
      <w:r w:rsidRPr="00EA6DAA">
        <w:rPr>
          <w:rFonts w:ascii="AcadNusx" w:hAnsi="AcadNusx"/>
        </w:rPr>
        <w:t xml:space="preserve"> 4.9.2.-15</w:t>
      </w:r>
      <w:r w:rsidRPr="00EA6DAA">
        <w:rPr>
          <w:rFonts w:ascii="AcadNusx" w:hAnsi="AcadNusx"/>
        </w:rPr>
        <w:tab/>
      </w:r>
      <w:r w:rsidRPr="00EA6DAA">
        <w:rPr>
          <w:rFonts w:ascii="Sylfaen" w:hAnsi="Sylfaen" w:cs="Sylfaen"/>
        </w:rPr>
        <w:t>სტრუქტურული</w:t>
      </w:r>
      <w:r w:rsidRPr="00EA6DAA">
        <w:rPr>
          <w:rFonts w:ascii="AcadNusx" w:hAnsi="AcadNusx"/>
        </w:rPr>
        <w:t xml:space="preserve"> </w:t>
      </w:r>
      <w:r w:rsidRPr="00EA6DAA">
        <w:rPr>
          <w:rFonts w:ascii="Sylfaen" w:hAnsi="Sylfaen" w:cs="Sylfaen"/>
        </w:rPr>
        <w:t>რიცხვები</w:t>
      </w:r>
      <w:r w:rsidRPr="00EA6DAA">
        <w:rPr>
          <w:rFonts w:ascii="AcadNusx" w:hAnsi="AcadNusx"/>
        </w:rPr>
        <w:t xml:space="preserve"> </w:t>
      </w:r>
      <w:r w:rsidRPr="00EA6DAA">
        <w:rPr>
          <w:rFonts w:ascii="Sylfaen" w:hAnsi="Sylfaen" w:cs="Sylfaen"/>
        </w:rPr>
        <w:t>უპირატეს</w:t>
      </w:r>
      <w:r w:rsidRPr="00EA6DAA">
        <w:rPr>
          <w:rFonts w:ascii="AcadNusx" w:hAnsi="AcadNusx"/>
        </w:rPr>
        <w:t xml:space="preserve"> </w:t>
      </w:r>
      <w:r w:rsidRPr="00EA6DAA">
        <w:rPr>
          <w:rFonts w:ascii="Sylfaen" w:hAnsi="Sylfaen" w:cs="Sylfaen"/>
        </w:rPr>
        <w:t>მიმართულებაზე</w:t>
      </w:r>
      <w:r w:rsidRPr="00EA6DAA">
        <w:rPr>
          <w:rFonts w:ascii="AcadNusx" w:hAnsi="AcadNusx"/>
        </w:rPr>
        <w:t xml:space="preserve"> </w:t>
      </w:r>
      <w:r w:rsidRPr="00EA6DAA">
        <w:rPr>
          <w:rFonts w:ascii="Sylfaen" w:hAnsi="Sylfaen" w:cs="Sylfaen"/>
        </w:rPr>
        <w:t>მოძრავი</w:t>
      </w:r>
      <w:r w:rsidRPr="00EA6DAA">
        <w:rPr>
          <w:rFonts w:ascii="AcadNusx" w:hAnsi="AcadNusx"/>
        </w:rPr>
        <w:t xml:space="preserve"> </w:t>
      </w:r>
      <w:r w:rsidRPr="00EA6DAA">
        <w:rPr>
          <w:rFonts w:ascii="Sylfaen" w:hAnsi="Sylfaen" w:cs="Sylfaen"/>
        </w:rPr>
        <w:t>სატრანსპორტო</w:t>
      </w:r>
      <w:r w:rsidRPr="00EA6DAA">
        <w:rPr>
          <w:rFonts w:ascii="AcadNusx" w:hAnsi="AcadNusx"/>
        </w:rPr>
        <w:t xml:space="preserve"> </w:t>
      </w:r>
      <w:r w:rsidRPr="00EA6DAA">
        <w:rPr>
          <w:rFonts w:ascii="Sylfaen" w:hAnsi="Sylfaen" w:cs="Sylfaen"/>
        </w:rPr>
        <w:t>ნაკადებისთვის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1350"/>
        <w:gridCol w:w="2327"/>
        <w:gridCol w:w="2443"/>
        <w:gridCol w:w="1678"/>
        <w:gridCol w:w="20"/>
      </w:tblGrid>
      <w:tr w:rsidR="0002335B" w:rsidRPr="0002335B" w14:paraId="7FC5E0E6" w14:textId="77777777" w:rsidTr="0002335B">
        <w:trPr>
          <w:gridAfter w:val="1"/>
          <w:wAfter w:w="20" w:type="dxa"/>
        </w:trPr>
        <w:tc>
          <w:tcPr>
            <w:tcW w:w="303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0E8C793E" w14:textId="1D93EEAF" w:rsidR="00EA3205" w:rsidRPr="0002335B" w:rsidRDefault="0002335B" w:rsidP="0002335B">
            <w:pPr>
              <w:rPr>
                <w:rFonts w:ascii="Sylfaen" w:hAnsi="Sylfaen"/>
                <w:sz w:val="18"/>
              </w:rPr>
            </w:pPr>
            <w:r w:rsidRPr="0002335B">
              <w:rPr>
                <w:rFonts w:ascii="Sylfaen" w:hAnsi="Sylfaen"/>
                <w:sz w:val="18"/>
                <w:lang w:val="ka-GE"/>
              </w:rPr>
              <w:t>საგზაო მონაკვეთი</w:t>
            </w:r>
          </w:p>
        </w:tc>
        <w:tc>
          <w:tcPr>
            <w:tcW w:w="232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085FFD8" w14:textId="554BEA45" w:rsidR="00EA3205" w:rsidRPr="0002335B" w:rsidRDefault="0002335B" w:rsidP="0002335B">
            <w:pPr>
              <w:rPr>
                <w:rFonts w:ascii="Sylfaen" w:hAnsi="Sylfaen"/>
                <w:sz w:val="18"/>
              </w:rPr>
            </w:pPr>
            <w:r w:rsidRPr="0002335B">
              <w:rPr>
                <w:rFonts w:ascii="Sylfaen" w:hAnsi="Sylfaen"/>
                <w:sz w:val="18"/>
                <w:lang w:val="ka-GE"/>
              </w:rPr>
              <w:t>სატრანსპორტო დატვირთვა (საანგარიშო მოძრაობის ზოლში) (მილიონი სტანდ. ღერძი)</w:t>
            </w:r>
          </w:p>
        </w:tc>
        <w:tc>
          <w:tcPr>
            <w:tcW w:w="244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4A52188" w14:textId="1F08CD61" w:rsidR="00EA3205" w:rsidRPr="0002335B" w:rsidRDefault="0002335B" w:rsidP="0002335B">
            <w:pPr>
              <w:jc w:val="left"/>
              <w:rPr>
                <w:rFonts w:ascii="Sylfaen" w:hAnsi="Sylfaen"/>
                <w:sz w:val="18"/>
              </w:rPr>
            </w:pPr>
            <w:r w:rsidRPr="0002335B">
              <w:rPr>
                <w:rFonts w:ascii="Sylfaen" w:hAnsi="Sylfaen"/>
                <w:sz w:val="18"/>
                <w:lang w:val="ka-GE"/>
              </w:rPr>
              <w:t xml:space="preserve">მიწის ვაკისის კალიფორნიული რიცხვის </w:t>
            </w:r>
            <w:r w:rsidR="00EA3205" w:rsidRPr="0002335B">
              <w:rPr>
                <w:rFonts w:ascii="Sylfaen" w:hAnsi="Sylfaen"/>
                <w:sz w:val="18"/>
              </w:rPr>
              <w:t xml:space="preserve">(CBR) </w:t>
            </w:r>
            <w:r w:rsidRPr="0002335B">
              <w:rPr>
                <w:rFonts w:ascii="Sylfaen" w:hAnsi="Sylfaen"/>
                <w:sz w:val="18"/>
                <w:lang w:val="ka-GE"/>
              </w:rPr>
              <w:t xml:space="preserve">საანგარიშო სიდიდე </w:t>
            </w:r>
            <w:r w:rsidR="00EA3205" w:rsidRPr="0002335B">
              <w:rPr>
                <w:rFonts w:ascii="Sylfaen" w:hAnsi="Sylfaen"/>
                <w:sz w:val="18"/>
              </w:rPr>
              <w:t>(%)</w:t>
            </w:r>
          </w:p>
        </w:tc>
        <w:tc>
          <w:tcPr>
            <w:tcW w:w="167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2FA1A0A" w14:textId="03F816EE" w:rsidR="00EA3205" w:rsidRPr="0002335B" w:rsidRDefault="0002335B" w:rsidP="0002335B">
            <w:pPr>
              <w:rPr>
                <w:rFonts w:ascii="Sylfaen" w:eastAsia="Lucida Sans Unicode" w:hAnsi="Sylfaen"/>
                <w:sz w:val="18"/>
              </w:rPr>
            </w:pPr>
            <w:r w:rsidRPr="0002335B">
              <w:rPr>
                <w:rFonts w:ascii="Sylfaen" w:eastAsia="Lucida Sans Unicode" w:hAnsi="Sylfaen"/>
                <w:sz w:val="18"/>
                <w:lang w:val="ka-GE"/>
              </w:rPr>
              <w:t xml:space="preserve">მოთხოვნილი სტრუქტურული რიცხვი </w:t>
            </w:r>
            <w:r w:rsidR="00EA3205" w:rsidRPr="0002335B">
              <w:rPr>
                <w:rFonts w:ascii="Sylfaen" w:eastAsia="Lucida Sans Unicode" w:hAnsi="Sylfaen"/>
                <w:sz w:val="18"/>
              </w:rPr>
              <w:t>(SN)</w:t>
            </w:r>
          </w:p>
        </w:tc>
      </w:tr>
      <w:tr w:rsidR="0002335B" w:rsidRPr="0002335B" w14:paraId="4D88FD83" w14:textId="77777777" w:rsidTr="0002335B">
        <w:trPr>
          <w:trHeight w:val="353"/>
        </w:trPr>
        <w:tc>
          <w:tcPr>
            <w:tcW w:w="1687" w:type="dxa"/>
            <w:vMerge w:val="restart"/>
            <w:tcBorders>
              <w:top w:val="single" w:sz="4" w:space="0" w:color="auto"/>
              <w:left w:val="single" w:sz="4" w:space="0" w:color="auto"/>
              <w:bottom w:val="single" w:sz="4" w:space="0" w:color="auto"/>
              <w:right w:val="single" w:sz="4" w:space="0" w:color="auto"/>
            </w:tcBorders>
            <w:vAlign w:val="center"/>
            <w:hideMark/>
          </w:tcPr>
          <w:p w14:paraId="6551CDB7" w14:textId="587040A1" w:rsidR="00EA3205" w:rsidRPr="0002335B" w:rsidRDefault="0002335B" w:rsidP="00EA3205">
            <w:pPr>
              <w:rPr>
                <w:rFonts w:ascii="Sylfaen" w:hAnsi="Sylfaen"/>
                <w:sz w:val="18"/>
                <w:lang w:val="ka-GE"/>
              </w:rPr>
            </w:pPr>
            <w:r w:rsidRPr="0002335B">
              <w:rPr>
                <w:rFonts w:ascii="Sylfaen" w:hAnsi="Sylfaen"/>
                <w:sz w:val="18"/>
                <w:lang w:val="ka-GE"/>
              </w:rPr>
              <w:t>თელავი</w:t>
            </w: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14:paraId="0E4DD08E" w14:textId="153D8E9E" w:rsidR="00EA3205" w:rsidRPr="0002335B" w:rsidRDefault="0002335B" w:rsidP="0002335B">
            <w:pPr>
              <w:rPr>
                <w:rFonts w:ascii="Sylfaen" w:hAnsi="Sylfaen"/>
                <w:sz w:val="18"/>
              </w:rPr>
            </w:pPr>
            <w:r w:rsidRPr="0002335B">
              <w:rPr>
                <w:rFonts w:ascii="Sylfaen" w:hAnsi="Sylfaen"/>
                <w:sz w:val="18"/>
                <w:lang w:val="ka-GE"/>
              </w:rPr>
              <w:t>აკურა</w:t>
            </w:r>
          </w:p>
        </w:tc>
        <w:tc>
          <w:tcPr>
            <w:tcW w:w="2327" w:type="dxa"/>
            <w:vMerge w:val="restart"/>
            <w:tcBorders>
              <w:top w:val="single" w:sz="4" w:space="0" w:color="auto"/>
              <w:left w:val="single" w:sz="4" w:space="0" w:color="auto"/>
              <w:bottom w:val="single" w:sz="4" w:space="0" w:color="auto"/>
              <w:right w:val="single" w:sz="4" w:space="0" w:color="auto"/>
            </w:tcBorders>
            <w:vAlign w:val="center"/>
            <w:hideMark/>
          </w:tcPr>
          <w:p w14:paraId="5A46A0B7" w14:textId="77777777" w:rsidR="00EA3205" w:rsidRPr="0002335B" w:rsidRDefault="00EA3205" w:rsidP="00EA3205">
            <w:pPr>
              <w:rPr>
                <w:rFonts w:ascii="Sylfaen" w:hAnsi="Sylfaen"/>
                <w:sz w:val="18"/>
              </w:rPr>
            </w:pPr>
            <w:r w:rsidRPr="0002335B">
              <w:rPr>
                <w:rFonts w:ascii="Sylfaen" w:hAnsi="Sylfaen"/>
                <w:sz w:val="18"/>
              </w:rPr>
              <w:t>3.638</w:t>
            </w:r>
          </w:p>
        </w:tc>
        <w:tc>
          <w:tcPr>
            <w:tcW w:w="2443" w:type="dxa"/>
            <w:tcBorders>
              <w:top w:val="single" w:sz="4" w:space="0" w:color="auto"/>
              <w:left w:val="single" w:sz="4" w:space="0" w:color="auto"/>
              <w:bottom w:val="single" w:sz="4" w:space="0" w:color="auto"/>
              <w:right w:val="single" w:sz="4" w:space="0" w:color="auto"/>
            </w:tcBorders>
            <w:vAlign w:val="center"/>
            <w:hideMark/>
          </w:tcPr>
          <w:p w14:paraId="6290711B" w14:textId="77777777" w:rsidR="00EA3205" w:rsidRPr="0002335B" w:rsidRDefault="00EA3205" w:rsidP="00EA3205">
            <w:pPr>
              <w:rPr>
                <w:rFonts w:ascii="Sylfaen" w:hAnsi="Sylfaen"/>
                <w:sz w:val="18"/>
              </w:rPr>
            </w:pPr>
            <w:r w:rsidRPr="0002335B">
              <w:rPr>
                <w:rFonts w:ascii="Sylfaen" w:hAnsi="Sylfaen"/>
                <w:sz w:val="18"/>
              </w:rPr>
              <w:t>5</w:t>
            </w:r>
          </w:p>
        </w:tc>
        <w:tc>
          <w:tcPr>
            <w:tcW w:w="1698" w:type="dxa"/>
            <w:gridSpan w:val="2"/>
            <w:tcBorders>
              <w:top w:val="single" w:sz="4" w:space="0" w:color="auto"/>
              <w:left w:val="single" w:sz="4" w:space="0" w:color="auto"/>
              <w:bottom w:val="single" w:sz="4" w:space="0" w:color="auto"/>
              <w:right w:val="single" w:sz="4" w:space="0" w:color="auto"/>
            </w:tcBorders>
            <w:vAlign w:val="center"/>
            <w:hideMark/>
          </w:tcPr>
          <w:p w14:paraId="5A5016D6" w14:textId="77777777" w:rsidR="00EA3205" w:rsidRPr="0002335B" w:rsidRDefault="00EA3205" w:rsidP="00EA3205">
            <w:pPr>
              <w:rPr>
                <w:rFonts w:ascii="Sylfaen" w:hAnsi="Sylfaen"/>
                <w:sz w:val="18"/>
              </w:rPr>
            </w:pPr>
            <w:r w:rsidRPr="0002335B">
              <w:rPr>
                <w:rFonts w:ascii="Sylfaen" w:hAnsi="Sylfaen"/>
                <w:sz w:val="18"/>
              </w:rPr>
              <w:t>4.17</w:t>
            </w:r>
          </w:p>
        </w:tc>
      </w:tr>
      <w:tr w:rsidR="0002335B" w:rsidRPr="0002335B" w14:paraId="75F390E1" w14:textId="77777777" w:rsidTr="0002335B">
        <w:trPr>
          <w:trHeight w:val="352"/>
        </w:trPr>
        <w:tc>
          <w:tcPr>
            <w:tcW w:w="1687" w:type="dxa"/>
            <w:vMerge/>
            <w:tcBorders>
              <w:top w:val="single" w:sz="4" w:space="0" w:color="auto"/>
              <w:left w:val="single" w:sz="4" w:space="0" w:color="auto"/>
              <w:bottom w:val="single" w:sz="4" w:space="0" w:color="auto"/>
              <w:right w:val="single" w:sz="4" w:space="0" w:color="auto"/>
            </w:tcBorders>
            <w:vAlign w:val="center"/>
            <w:hideMark/>
          </w:tcPr>
          <w:p w14:paraId="1B726867" w14:textId="77777777" w:rsidR="00EA3205" w:rsidRPr="0002335B" w:rsidRDefault="00EA3205" w:rsidP="00EA3205">
            <w:pPr>
              <w:rPr>
                <w:rFonts w:ascii="Sylfaen" w:hAnsi="Sylfaen"/>
                <w:sz w:val="18"/>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0F1BFAC8" w14:textId="77777777" w:rsidR="00EA3205" w:rsidRPr="0002335B" w:rsidRDefault="00EA3205" w:rsidP="00EA3205">
            <w:pPr>
              <w:rPr>
                <w:rFonts w:ascii="Sylfaen" w:hAnsi="Sylfaen"/>
                <w:sz w:val="18"/>
              </w:rPr>
            </w:pPr>
          </w:p>
        </w:tc>
        <w:tc>
          <w:tcPr>
            <w:tcW w:w="2327" w:type="dxa"/>
            <w:vMerge/>
            <w:tcBorders>
              <w:top w:val="single" w:sz="4" w:space="0" w:color="auto"/>
              <w:left w:val="single" w:sz="4" w:space="0" w:color="auto"/>
              <w:bottom w:val="single" w:sz="4" w:space="0" w:color="auto"/>
              <w:right w:val="single" w:sz="4" w:space="0" w:color="auto"/>
            </w:tcBorders>
            <w:vAlign w:val="center"/>
            <w:hideMark/>
          </w:tcPr>
          <w:p w14:paraId="3F708972" w14:textId="77777777" w:rsidR="00EA3205" w:rsidRPr="0002335B" w:rsidRDefault="00EA3205" w:rsidP="00EA3205">
            <w:pPr>
              <w:rPr>
                <w:rFonts w:ascii="Sylfaen" w:hAnsi="Sylfaen"/>
                <w:sz w:val="18"/>
              </w:rPr>
            </w:pPr>
          </w:p>
        </w:tc>
        <w:tc>
          <w:tcPr>
            <w:tcW w:w="2443" w:type="dxa"/>
            <w:tcBorders>
              <w:top w:val="single" w:sz="4" w:space="0" w:color="auto"/>
              <w:left w:val="single" w:sz="4" w:space="0" w:color="auto"/>
              <w:bottom w:val="single" w:sz="4" w:space="0" w:color="auto"/>
              <w:right w:val="single" w:sz="4" w:space="0" w:color="auto"/>
            </w:tcBorders>
            <w:vAlign w:val="center"/>
            <w:hideMark/>
          </w:tcPr>
          <w:p w14:paraId="5B55BC7E" w14:textId="77777777" w:rsidR="00EA3205" w:rsidRPr="0002335B" w:rsidRDefault="00EA3205" w:rsidP="00EA3205">
            <w:pPr>
              <w:rPr>
                <w:rFonts w:ascii="Sylfaen" w:hAnsi="Sylfaen"/>
                <w:sz w:val="18"/>
              </w:rPr>
            </w:pPr>
            <w:r w:rsidRPr="0002335B">
              <w:rPr>
                <w:rFonts w:ascii="Sylfaen" w:hAnsi="Sylfaen"/>
                <w:sz w:val="18"/>
              </w:rPr>
              <w:t>30</w:t>
            </w:r>
          </w:p>
        </w:tc>
        <w:tc>
          <w:tcPr>
            <w:tcW w:w="1698" w:type="dxa"/>
            <w:gridSpan w:val="2"/>
            <w:tcBorders>
              <w:top w:val="single" w:sz="4" w:space="0" w:color="auto"/>
              <w:left w:val="single" w:sz="4" w:space="0" w:color="auto"/>
              <w:bottom w:val="single" w:sz="4" w:space="0" w:color="auto"/>
              <w:right w:val="single" w:sz="4" w:space="0" w:color="auto"/>
            </w:tcBorders>
            <w:vAlign w:val="center"/>
            <w:hideMark/>
          </w:tcPr>
          <w:p w14:paraId="032D2510" w14:textId="77777777" w:rsidR="00EA3205" w:rsidRPr="0002335B" w:rsidRDefault="00EA3205" w:rsidP="00EA3205">
            <w:pPr>
              <w:rPr>
                <w:rFonts w:ascii="Sylfaen" w:hAnsi="Sylfaen"/>
                <w:sz w:val="18"/>
              </w:rPr>
            </w:pPr>
            <w:r w:rsidRPr="0002335B">
              <w:rPr>
                <w:rFonts w:ascii="Sylfaen" w:hAnsi="Sylfaen"/>
                <w:sz w:val="18"/>
              </w:rPr>
              <w:t>2.75</w:t>
            </w:r>
          </w:p>
        </w:tc>
      </w:tr>
      <w:tr w:rsidR="0002335B" w:rsidRPr="0002335B" w14:paraId="2A0EE02E" w14:textId="77777777" w:rsidTr="0002335B">
        <w:trPr>
          <w:trHeight w:val="353"/>
        </w:trPr>
        <w:tc>
          <w:tcPr>
            <w:tcW w:w="1687" w:type="dxa"/>
            <w:vMerge w:val="restart"/>
            <w:tcBorders>
              <w:top w:val="single" w:sz="4" w:space="0" w:color="auto"/>
              <w:left w:val="single" w:sz="4" w:space="0" w:color="auto"/>
              <w:bottom w:val="single" w:sz="4" w:space="0" w:color="auto"/>
              <w:right w:val="single" w:sz="4" w:space="0" w:color="auto"/>
            </w:tcBorders>
            <w:vAlign w:val="center"/>
            <w:hideMark/>
          </w:tcPr>
          <w:p w14:paraId="1C09FF2E" w14:textId="6ED9B8BA" w:rsidR="00EA3205" w:rsidRPr="0002335B" w:rsidRDefault="0002335B" w:rsidP="00EA3205">
            <w:pPr>
              <w:rPr>
                <w:rFonts w:ascii="Sylfaen" w:hAnsi="Sylfaen"/>
                <w:sz w:val="18"/>
              </w:rPr>
            </w:pPr>
            <w:r w:rsidRPr="0002335B">
              <w:rPr>
                <w:rFonts w:ascii="Sylfaen" w:hAnsi="Sylfaen"/>
                <w:sz w:val="18"/>
                <w:lang w:val="ka-GE"/>
              </w:rPr>
              <w:t>აკურა</w:t>
            </w: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14:paraId="468F406E" w14:textId="3E5D5207" w:rsidR="00EA3205" w:rsidRPr="0002335B" w:rsidRDefault="0002335B" w:rsidP="0002335B">
            <w:pPr>
              <w:rPr>
                <w:rFonts w:ascii="Sylfaen" w:hAnsi="Sylfaen"/>
                <w:sz w:val="18"/>
              </w:rPr>
            </w:pPr>
            <w:r w:rsidRPr="0002335B">
              <w:rPr>
                <w:rFonts w:ascii="Sylfaen" w:hAnsi="Sylfaen"/>
                <w:sz w:val="18"/>
                <w:lang w:val="ka-GE"/>
              </w:rPr>
              <w:t>ველისციხის მიერთება</w:t>
            </w:r>
          </w:p>
        </w:tc>
        <w:tc>
          <w:tcPr>
            <w:tcW w:w="2327" w:type="dxa"/>
            <w:vMerge w:val="restart"/>
            <w:tcBorders>
              <w:top w:val="single" w:sz="4" w:space="0" w:color="auto"/>
              <w:left w:val="single" w:sz="4" w:space="0" w:color="auto"/>
              <w:bottom w:val="single" w:sz="4" w:space="0" w:color="auto"/>
              <w:right w:val="single" w:sz="4" w:space="0" w:color="auto"/>
            </w:tcBorders>
            <w:vAlign w:val="center"/>
            <w:hideMark/>
          </w:tcPr>
          <w:p w14:paraId="00A7A910" w14:textId="77777777" w:rsidR="00EA3205" w:rsidRPr="0002335B" w:rsidRDefault="00EA3205" w:rsidP="00EA3205">
            <w:pPr>
              <w:rPr>
                <w:rFonts w:ascii="Sylfaen" w:hAnsi="Sylfaen"/>
                <w:sz w:val="18"/>
              </w:rPr>
            </w:pPr>
            <w:r w:rsidRPr="0002335B">
              <w:rPr>
                <w:rFonts w:ascii="Sylfaen" w:hAnsi="Sylfaen"/>
                <w:sz w:val="18"/>
              </w:rPr>
              <w:t>4.045</w:t>
            </w:r>
          </w:p>
        </w:tc>
        <w:tc>
          <w:tcPr>
            <w:tcW w:w="2443" w:type="dxa"/>
            <w:tcBorders>
              <w:top w:val="single" w:sz="4" w:space="0" w:color="auto"/>
              <w:left w:val="single" w:sz="4" w:space="0" w:color="auto"/>
              <w:bottom w:val="single" w:sz="4" w:space="0" w:color="auto"/>
              <w:right w:val="single" w:sz="4" w:space="0" w:color="auto"/>
            </w:tcBorders>
            <w:vAlign w:val="center"/>
            <w:hideMark/>
          </w:tcPr>
          <w:p w14:paraId="3B0D69E9" w14:textId="77777777" w:rsidR="00EA3205" w:rsidRPr="0002335B" w:rsidRDefault="00EA3205" w:rsidP="00EA3205">
            <w:pPr>
              <w:rPr>
                <w:rFonts w:ascii="Sylfaen" w:hAnsi="Sylfaen"/>
                <w:sz w:val="18"/>
              </w:rPr>
            </w:pPr>
            <w:r w:rsidRPr="0002335B">
              <w:rPr>
                <w:rFonts w:ascii="Sylfaen" w:hAnsi="Sylfaen"/>
                <w:sz w:val="18"/>
              </w:rPr>
              <w:t>5</w:t>
            </w:r>
          </w:p>
        </w:tc>
        <w:tc>
          <w:tcPr>
            <w:tcW w:w="1698" w:type="dxa"/>
            <w:gridSpan w:val="2"/>
            <w:tcBorders>
              <w:top w:val="single" w:sz="4" w:space="0" w:color="auto"/>
              <w:left w:val="single" w:sz="4" w:space="0" w:color="auto"/>
              <w:bottom w:val="single" w:sz="4" w:space="0" w:color="auto"/>
              <w:right w:val="single" w:sz="4" w:space="0" w:color="auto"/>
            </w:tcBorders>
            <w:vAlign w:val="center"/>
            <w:hideMark/>
          </w:tcPr>
          <w:p w14:paraId="0CA4D1BC" w14:textId="77777777" w:rsidR="00EA3205" w:rsidRPr="0002335B" w:rsidRDefault="00EA3205" w:rsidP="00EA3205">
            <w:pPr>
              <w:rPr>
                <w:rFonts w:ascii="Sylfaen" w:hAnsi="Sylfaen"/>
                <w:sz w:val="18"/>
              </w:rPr>
            </w:pPr>
            <w:r w:rsidRPr="0002335B">
              <w:rPr>
                <w:rFonts w:ascii="Sylfaen" w:hAnsi="Sylfaen"/>
                <w:sz w:val="18"/>
              </w:rPr>
              <w:t>4.24</w:t>
            </w:r>
          </w:p>
        </w:tc>
      </w:tr>
      <w:tr w:rsidR="0002335B" w:rsidRPr="0002335B" w14:paraId="6CC8B979" w14:textId="77777777" w:rsidTr="0002335B">
        <w:trPr>
          <w:trHeight w:val="352"/>
        </w:trPr>
        <w:tc>
          <w:tcPr>
            <w:tcW w:w="1687" w:type="dxa"/>
            <w:vMerge/>
            <w:tcBorders>
              <w:top w:val="single" w:sz="4" w:space="0" w:color="auto"/>
              <w:left w:val="single" w:sz="4" w:space="0" w:color="auto"/>
              <w:bottom w:val="single" w:sz="4" w:space="0" w:color="auto"/>
              <w:right w:val="single" w:sz="4" w:space="0" w:color="auto"/>
            </w:tcBorders>
            <w:vAlign w:val="center"/>
            <w:hideMark/>
          </w:tcPr>
          <w:p w14:paraId="17BB181C" w14:textId="77777777" w:rsidR="00EA3205" w:rsidRPr="0002335B" w:rsidRDefault="00EA3205" w:rsidP="00EA3205">
            <w:pPr>
              <w:rPr>
                <w:rFonts w:ascii="Sylfaen" w:hAnsi="Sylfaen"/>
                <w:sz w:val="18"/>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7F98A403" w14:textId="77777777" w:rsidR="00EA3205" w:rsidRPr="0002335B" w:rsidRDefault="00EA3205" w:rsidP="00EA3205">
            <w:pPr>
              <w:rPr>
                <w:rFonts w:ascii="Sylfaen" w:hAnsi="Sylfaen"/>
                <w:sz w:val="18"/>
              </w:rPr>
            </w:pPr>
          </w:p>
        </w:tc>
        <w:tc>
          <w:tcPr>
            <w:tcW w:w="2327" w:type="dxa"/>
            <w:vMerge/>
            <w:tcBorders>
              <w:top w:val="single" w:sz="4" w:space="0" w:color="auto"/>
              <w:left w:val="single" w:sz="4" w:space="0" w:color="auto"/>
              <w:bottom w:val="single" w:sz="4" w:space="0" w:color="auto"/>
              <w:right w:val="single" w:sz="4" w:space="0" w:color="auto"/>
            </w:tcBorders>
            <w:vAlign w:val="center"/>
            <w:hideMark/>
          </w:tcPr>
          <w:p w14:paraId="1DD90FFC" w14:textId="77777777" w:rsidR="00EA3205" w:rsidRPr="0002335B" w:rsidRDefault="00EA3205" w:rsidP="00EA3205">
            <w:pPr>
              <w:rPr>
                <w:rFonts w:ascii="Sylfaen" w:hAnsi="Sylfaen"/>
                <w:sz w:val="18"/>
              </w:rPr>
            </w:pPr>
          </w:p>
        </w:tc>
        <w:tc>
          <w:tcPr>
            <w:tcW w:w="2443" w:type="dxa"/>
            <w:tcBorders>
              <w:top w:val="single" w:sz="4" w:space="0" w:color="auto"/>
              <w:left w:val="single" w:sz="4" w:space="0" w:color="auto"/>
              <w:bottom w:val="single" w:sz="4" w:space="0" w:color="auto"/>
              <w:right w:val="single" w:sz="4" w:space="0" w:color="auto"/>
            </w:tcBorders>
            <w:vAlign w:val="center"/>
            <w:hideMark/>
          </w:tcPr>
          <w:p w14:paraId="2B470AFE" w14:textId="77777777" w:rsidR="00EA3205" w:rsidRPr="0002335B" w:rsidRDefault="00EA3205" w:rsidP="00EA3205">
            <w:pPr>
              <w:rPr>
                <w:rFonts w:ascii="Sylfaen" w:hAnsi="Sylfaen"/>
                <w:sz w:val="18"/>
              </w:rPr>
            </w:pPr>
            <w:r w:rsidRPr="0002335B">
              <w:rPr>
                <w:rFonts w:ascii="Sylfaen" w:hAnsi="Sylfaen"/>
                <w:sz w:val="18"/>
              </w:rPr>
              <w:t>30</w:t>
            </w:r>
          </w:p>
        </w:tc>
        <w:tc>
          <w:tcPr>
            <w:tcW w:w="1698" w:type="dxa"/>
            <w:gridSpan w:val="2"/>
            <w:tcBorders>
              <w:top w:val="single" w:sz="4" w:space="0" w:color="auto"/>
              <w:left w:val="single" w:sz="4" w:space="0" w:color="auto"/>
              <w:bottom w:val="single" w:sz="4" w:space="0" w:color="auto"/>
              <w:right w:val="single" w:sz="4" w:space="0" w:color="auto"/>
            </w:tcBorders>
            <w:vAlign w:val="center"/>
            <w:hideMark/>
          </w:tcPr>
          <w:p w14:paraId="5F7D80F2" w14:textId="77777777" w:rsidR="00EA3205" w:rsidRPr="0002335B" w:rsidRDefault="00EA3205" w:rsidP="00EA3205">
            <w:pPr>
              <w:rPr>
                <w:rFonts w:ascii="Sylfaen" w:hAnsi="Sylfaen"/>
                <w:sz w:val="18"/>
              </w:rPr>
            </w:pPr>
            <w:r w:rsidRPr="0002335B">
              <w:rPr>
                <w:rFonts w:ascii="Sylfaen" w:hAnsi="Sylfaen"/>
                <w:sz w:val="18"/>
              </w:rPr>
              <w:t>2.82</w:t>
            </w:r>
          </w:p>
        </w:tc>
      </w:tr>
      <w:tr w:rsidR="0002335B" w:rsidRPr="0002335B" w14:paraId="74264984" w14:textId="77777777" w:rsidTr="0002335B">
        <w:trPr>
          <w:trHeight w:val="353"/>
        </w:trPr>
        <w:tc>
          <w:tcPr>
            <w:tcW w:w="1687" w:type="dxa"/>
            <w:vMerge w:val="restart"/>
            <w:tcBorders>
              <w:top w:val="single" w:sz="4" w:space="0" w:color="auto"/>
              <w:left w:val="single" w:sz="4" w:space="0" w:color="auto"/>
              <w:bottom w:val="single" w:sz="4" w:space="0" w:color="auto"/>
              <w:right w:val="single" w:sz="4" w:space="0" w:color="auto"/>
            </w:tcBorders>
            <w:vAlign w:val="center"/>
            <w:hideMark/>
          </w:tcPr>
          <w:p w14:paraId="6B8056EF" w14:textId="78CCBF1C" w:rsidR="0002335B" w:rsidRPr="0002335B" w:rsidRDefault="0002335B" w:rsidP="0002335B">
            <w:pPr>
              <w:rPr>
                <w:rFonts w:ascii="Sylfaen" w:hAnsi="Sylfaen"/>
                <w:sz w:val="18"/>
              </w:rPr>
            </w:pPr>
            <w:r w:rsidRPr="0002335B">
              <w:rPr>
                <w:rFonts w:ascii="Sylfaen" w:hAnsi="Sylfaen"/>
                <w:sz w:val="18"/>
                <w:lang w:val="ka-GE"/>
              </w:rPr>
              <w:t>ველისციხის მიერთება</w:t>
            </w: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14:paraId="3593F1F5" w14:textId="05B06194" w:rsidR="0002335B" w:rsidRPr="0002335B" w:rsidRDefault="0002335B" w:rsidP="0002335B">
            <w:pPr>
              <w:rPr>
                <w:rFonts w:ascii="Sylfaen" w:hAnsi="Sylfaen"/>
                <w:sz w:val="18"/>
                <w:lang w:val="ka-GE"/>
              </w:rPr>
            </w:pPr>
            <w:r w:rsidRPr="0002335B">
              <w:rPr>
                <w:rFonts w:ascii="Sylfaen" w:hAnsi="Sylfaen"/>
                <w:sz w:val="18"/>
                <w:lang w:val="ka-GE"/>
              </w:rPr>
              <w:t>ჩუმლაყი</w:t>
            </w:r>
          </w:p>
        </w:tc>
        <w:tc>
          <w:tcPr>
            <w:tcW w:w="2327" w:type="dxa"/>
            <w:vMerge w:val="restart"/>
            <w:tcBorders>
              <w:top w:val="single" w:sz="4" w:space="0" w:color="auto"/>
              <w:left w:val="single" w:sz="4" w:space="0" w:color="auto"/>
              <w:bottom w:val="single" w:sz="4" w:space="0" w:color="auto"/>
              <w:right w:val="single" w:sz="4" w:space="0" w:color="auto"/>
            </w:tcBorders>
            <w:vAlign w:val="center"/>
            <w:hideMark/>
          </w:tcPr>
          <w:p w14:paraId="07B60379" w14:textId="77777777" w:rsidR="0002335B" w:rsidRPr="0002335B" w:rsidRDefault="0002335B" w:rsidP="0002335B">
            <w:pPr>
              <w:rPr>
                <w:rFonts w:ascii="Sylfaen" w:hAnsi="Sylfaen"/>
                <w:sz w:val="18"/>
              </w:rPr>
            </w:pPr>
            <w:r w:rsidRPr="0002335B">
              <w:rPr>
                <w:rFonts w:ascii="Sylfaen" w:hAnsi="Sylfaen"/>
                <w:sz w:val="18"/>
              </w:rPr>
              <w:t>4.309</w:t>
            </w:r>
          </w:p>
        </w:tc>
        <w:tc>
          <w:tcPr>
            <w:tcW w:w="2443" w:type="dxa"/>
            <w:tcBorders>
              <w:top w:val="single" w:sz="4" w:space="0" w:color="auto"/>
              <w:left w:val="single" w:sz="4" w:space="0" w:color="auto"/>
              <w:bottom w:val="single" w:sz="4" w:space="0" w:color="auto"/>
              <w:right w:val="single" w:sz="4" w:space="0" w:color="auto"/>
            </w:tcBorders>
            <w:vAlign w:val="center"/>
            <w:hideMark/>
          </w:tcPr>
          <w:p w14:paraId="6CAFE6A9" w14:textId="77777777" w:rsidR="0002335B" w:rsidRPr="0002335B" w:rsidRDefault="0002335B" w:rsidP="0002335B">
            <w:pPr>
              <w:rPr>
                <w:rFonts w:ascii="Sylfaen" w:hAnsi="Sylfaen"/>
                <w:sz w:val="18"/>
              </w:rPr>
            </w:pPr>
            <w:r w:rsidRPr="0002335B">
              <w:rPr>
                <w:rFonts w:ascii="Sylfaen" w:hAnsi="Sylfaen"/>
                <w:sz w:val="18"/>
              </w:rPr>
              <w:t>5</w:t>
            </w:r>
          </w:p>
        </w:tc>
        <w:tc>
          <w:tcPr>
            <w:tcW w:w="1698" w:type="dxa"/>
            <w:gridSpan w:val="2"/>
            <w:tcBorders>
              <w:top w:val="single" w:sz="4" w:space="0" w:color="auto"/>
              <w:left w:val="single" w:sz="4" w:space="0" w:color="auto"/>
              <w:bottom w:val="single" w:sz="4" w:space="0" w:color="auto"/>
              <w:right w:val="single" w:sz="4" w:space="0" w:color="auto"/>
            </w:tcBorders>
            <w:vAlign w:val="center"/>
            <w:hideMark/>
          </w:tcPr>
          <w:p w14:paraId="3330D9F5" w14:textId="77777777" w:rsidR="0002335B" w:rsidRPr="0002335B" w:rsidRDefault="0002335B" w:rsidP="0002335B">
            <w:pPr>
              <w:rPr>
                <w:rFonts w:ascii="Sylfaen" w:hAnsi="Sylfaen"/>
                <w:sz w:val="18"/>
              </w:rPr>
            </w:pPr>
            <w:r w:rsidRPr="0002335B">
              <w:rPr>
                <w:rFonts w:ascii="Sylfaen" w:hAnsi="Sylfaen"/>
                <w:sz w:val="18"/>
              </w:rPr>
              <w:t>4.28</w:t>
            </w:r>
          </w:p>
        </w:tc>
      </w:tr>
      <w:tr w:rsidR="0002335B" w:rsidRPr="0002335B" w14:paraId="06331029" w14:textId="77777777" w:rsidTr="0002335B">
        <w:trPr>
          <w:trHeight w:val="352"/>
        </w:trPr>
        <w:tc>
          <w:tcPr>
            <w:tcW w:w="1687" w:type="dxa"/>
            <w:vMerge/>
            <w:tcBorders>
              <w:top w:val="single" w:sz="4" w:space="0" w:color="auto"/>
              <w:left w:val="single" w:sz="4" w:space="0" w:color="auto"/>
              <w:bottom w:val="single" w:sz="4" w:space="0" w:color="auto"/>
              <w:right w:val="single" w:sz="4" w:space="0" w:color="auto"/>
            </w:tcBorders>
            <w:vAlign w:val="center"/>
            <w:hideMark/>
          </w:tcPr>
          <w:p w14:paraId="7BDF5206" w14:textId="77777777" w:rsidR="00EA3205" w:rsidRPr="0002335B" w:rsidRDefault="00EA3205" w:rsidP="00EA3205">
            <w:pPr>
              <w:rPr>
                <w:rFonts w:ascii="Sylfaen" w:hAnsi="Sylfaen"/>
                <w:sz w:val="18"/>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415AA0CC" w14:textId="77777777" w:rsidR="00EA3205" w:rsidRPr="0002335B" w:rsidRDefault="00EA3205" w:rsidP="00EA3205">
            <w:pPr>
              <w:rPr>
                <w:rFonts w:ascii="Sylfaen" w:hAnsi="Sylfaen"/>
                <w:sz w:val="18"/>
              </w:rPr>
            </w:pPr>
          </w:p>
        </w:tc>
        <w:tc>
          <w:tcPr>
            <w:tcW w:w="2327" w:type="dxa"/>
            <w:vMerge/>
            <w:tcBorders>
              <w:top w:val="single" w:sz="4" w:space="0" w:color="auto"/>
              <w:left w:val="single" w:sz="4" w:space="0" w:color="auto"/>
              <w:bottom w:val="single" w:sz="4" w:space="0" w:color="auto"/>
              <w:right w:val="single" w:sz="4" w:space="0" w:color="auto"/>
            </w:tcBorders>
            <w:vAlign w:val="center"/>
            <w:hideMark/>
          </w:tcPr>
          <w:p w14:paraId="4CD78C3F" w14:textId="77777777" w:rsidR="00EA3205" w:rsidRPr="0002335B" w:rsidRDefault="00EA3205" w:rsidP="00EA3205">
            <w:pPr>
              <w:rPr>
                <w:rFonts w:ascii="Sylfaen" w:hAnsi="Sylfaen"/>
                <w:sz w:val="18"/>
              </w:rPr>
            </w:pPr>
          </w:p>
        </w:tc>
        <w:tc>
          <w:tcPr>
            <w:tcW w:w="2443" w:type="dxa"/>
            <w:tcBorders>
              <w:top w:val="single" w:sz="4" w:space="0" w:color="auto"/>
              <w:left w:val="single" w:sz="4" w:space="0" w:color="auto"/>
              <w:bottom w:val="single" w:sz="4" w:space="0" w:color="auto"/>
              <w:right w:val="single" w:sz="4" w:space="0" w:color="auto"/>
            </w:tcBorders>
            <w:vAlign w:val="center"/>
            <w:hideMark/>
          </w:tcPr>
          <w:p w14:paraId="042C3A70" w14:textId="77777777" w:rsidR="00EA3205" w:rsidRPr="0002335B" w:rsidRDefault="00EA3205" w:rsidP="00EA3205">
            <w:pPr>
              <w:rPr>
                <w:rFonts w:ascii="Sylfaen" w:hAnsi="Sylfaen"/>
                <w:sz w:val="18"/>
              </w:rPr>
            </w:pPr>
            <w:r w:rsidRPr="0002335B">
              <w:rPr>
                <w:rFonts w:ascii="Sylfaen" w:hAnsi="Sylfaen"/>
                <w:sz w:val="18"/>
              </w:rPr>
              <w:t>30</w:t>
            </w:r>
          </w:p>
        </w:tc>
        <w:tc>
          <w:tcPr>
            <w:tcW w:w="1698" w:type="dxa"/>
            <w:gridSpan w:val="2"/>
            <w:tcBorders>
              <w:top w:val="single" w:sz="4" w:space="0" w:color="auto"/>
              <w:left w:val="single" w:sz="4" w:space="0" w:color="auto"/>
              <w:bottom w:val="single" w:sz="4" w:space="0" w:color="auto"/>
              <w:right w:val="single" w:sz="4" w:space="0" w:color="auto"/>
            </w:tcBorders>
            <w:vAlign w:val="center"/>
            <w:hideMark/>
          </w:tcPr>
          <w:p w14:paraId="2FCA7D3B" w14:textId="77777777" w:rsidR="00EA3205" w:rsidRPr="0002335B" w:rsidRDefault="00EA3205" w:rsidP="00EA3205">
            <w:pPr>
              <w:rPr>
                <w:rFonts w:ascii="Sylfaen" w:hAnsi="Sylfaen"/>
                <w:sz w:val="18"/>
              </w:rPr>
            </w:pPr>
            <w:r w:rsidRPr="0002335B">
              <w:rPr>
                <w:rFonts w:ascii="Sylfaen" w:hAnsi="Sylfaen"/>
                <w:sz w:val="18"/>
              </w:rPr>
              <w:t>2.85</w:t>
            </w:r>
          </w:p>
        </w:tc>
      </w:tr>
    </w:tbl>
    <w:p w14:paraId="6FFFB28F" w14:textId="77777777" w:rsidR="00EA3205" w:rsidRPr="00B05F62" w:rsidRDefault="00EA3205" w:rsidP="00EA3205">
      <w:pPr>
        <w:rPr>
          <w:rFonts w:ascii="AcadNusx" w:hAnsi="AcadNusx"/>
          <w:lang w:val="es-ES"/>
        </w:rPr>
      </w:pPr>
    </w:p>
    <w:p w14:paraId="47B1A985" w14:textId="7C40D848" w:rsidR="0002335B" w:rsidRPr="0002335B" w:rsidRDefault="0002335B" w:rsidP="0002335B">
      <w:pPr>
        <w:rPr>
          <w:rFonts w:ascii="AcadNusx" w:hAnsi="AcadNusx"/>
          <w:lang w:val="es-ES"/>
        </w:rPr>
      </w:pPr>
      <w:r w:rsidRPr="0002335B">
        <w:rPr>
          <w:rFonts w:ascii="Sylfaen" w:hAnsi="Sylfaen" w:cs="Sylfaen"/>
          <w:lang w:val="es-ES"/>
        </w:rPr>
        <w:t>ზემოთ</w:t>
      </w:r>
      <w:r w:rsidRPr="0002335B">
        <w:rPr>
          <w:rFonts w:ascii="AcadNusx" w:hAnsi="AcadNusx"/>
          <w:lang w:val="es-ES"/>
        </w:rPr>
        <w:t xml:space="preserve"> </w:t>
      </w:r>
      <w:r w:rsidRPr="0002335B">
        <w:rPr>
          <w:rFonts w:ascii="Sylfaen" w:hAnsi="Sylfaen" w:cs="Sylfaen"/>
          <w:lang w:val="es-ES"/>
        </w:rPr>
        <w:t>მოცემული</w:t>
      </w:r>
      <w:r w:rsidRPr="0002335B">
        <w:rPr>
          <w:rFonts w:ascii="AcadNusx" w:hAnsi="AcadNusx"/>
          <w:lang w:val="es-ES"/>
        </w:rPr>
        <w:t xml:space="preserve"> </w:t>
      </w:r>
      <w:r w:rsidRPr="0002335B">
        <w:rPr>
          <w:rFonts w:ascii="Sylfaen" w:hAnsi="Sylfaen" w:cs="Sylfaen"/>
          <w:lang w:val="es-ES"/>
        </w:rPr>
        <w:t>სტრუქტურული</w:t>
      </w:r>
      <w:r w:rsidRPr="0002335B">
        <w:rPr>
          <w:rFonts w:ascii="AcadNusx" w:hAnsi="AcadNusx"/>
          <w:lang w:val="es-ES"/>
        </w:rPr>
        <w:t xml:space="preserve"> </w:t>
      </w:r>
      <w:r w:rsidRPr="0002335B">
        <w:rPr>
          <w:rFonts w:ascii="Sylfaen" w:hAnsi="Sylfaen" w:cs="Sylfaen"/>
          <w:lang w:val="es-ES"/>
        </w:rPr>
        <w:t>რიცხვისთვის</w:t>
      </w:r>
      <w:r w:rsidRPr="0002335B">
        <w:rPr>
          <w:rFonts w:ascii="AcadNusx" w:hAnsi="AcadNusx"/>
          <w:lang w:val="es-ES"/>
        </w:rPr>
        <w:t xml:space="preserve"> </w:t>
      </w:r>
      <w:r w:rsidRPr="0002335B">
        <w:rPr>
          <w:rFonts w:ascii="Sylfaen" w:hAnsi="Sylfaen" w:cs="Sylfaen"/>
          <w:lang w:val="es-ES"/>
        </w:rPr>
        <w:t>უნდა</w:t>
      </w:r>
      <w:r w:rsidRPr="0002335B">
        <w:rPr>
          <w:rFonts w:ascii="AcadNusx" w:hAnsi="AcadNusx"/>
          <w:lang w:val="es-ES"/>
        </w:rPr>
        <w:t xml:space="preserve"> </w:t>
      </w:r>
      <w:r w:rsidRPr="0002335B">
        <w:rPr>
          <w:rFonts w:ascii="Sylfaen" w:hAnsi="Sylfaen" w:cs="Sylfaen"/>
          <w:lang w:val="es-ES"/>
        </w:rPr>
        <w:t>შეირჩეს</w:t>
      </w:r>
      <w:r w:rsidRPr="0002335B">
        <w:rPr>
          <w:rFonts w:ascii="AcadNusx" w:hAnsi="AcadNusx"/>
          <w:lang w:val="es-ES"/>
        </w:rPr>
        <w:t xml:space="preserve"> </w:t>
      </w:r>
      <w:r w:rsidRPr="0002335B">
        <w:rPr>
          <w:rFonts w:ascii="Sylfaen" w:hAnsi="Sylfaen" w:cs="Sylfaen"/>
          <w:lang w:val="es-ES"/>
        </w:rPr>
        <w:t>საგზაო</w:t>
      </w:r>
      <w:r w:rsidRPr="0002335B">
        <w:rPr>
          <w:rFonts w:ascii="AcadNusx" w:hAnsi="AcadNusx"/>
          <w:lang w:val="es-ES"/>
        </w:rPr>
        <w:t xml:space="preserve"> </w:t>
      </w:r>
      <w:r w:rsidRPr="0002335B">
        <w:rPr>
          <w:rFonts w:ascii="Sylfaen" w:hAnsi="Sylfaen" w:cs="Sylfaen"/>
          <w:lang w:val="es-ES"/>
        </w:rPr>
        <w:t>სამოსის</w:t>
      </w:r>
      <w:r w:rsidRPr="0002335B">
        <w:rPr>
          <w:rFonts w:ascii="AcadNusx" w:hAnsi="AcadNusx"/>
          <w:lang w:val="es-ES"/>
        </w:rPr>
        <w:t xml:space="preserve"> </w:t>
      </w:r>
      <w:r w:rsidRPr="0002335B">
        <w:rPr>
          <w:rFonts w:ascii="Sylfaen" w:hAnsi="Sylfaen" w:cs="Sylfaen"/>
          <w:lang w:val="es-ES"/>
        </w:rPr>
        <w:t>სისქეების</w:t>
      </w:r>
      <w:r w:rsidRPr="0002335B">
        <w:rPr>
          <w:rFonts w:ascii="AcadNusx" w:hAnsi="AcadNusx"/>
          <w:lang w:val="es-ES"/>
        </w:rPr>
        <w:t xml:space="preserve"> </w:t>
      </w:r>
      <w:r w:rsidRPr="0002335B">
        <w:rPr>
          <w:rFonts w:ascii="Sylfaen" w:hAnsi="Sylfaen" w:cs="Sylfaen"/>
          <w:lang w:val="es-ES"/>
        </w:rPr>
        <w:t>ნაკრები</w:t>
      </w:r>
      <w:r w:rsidRPr="0002335B">
        <w:rPr>
          <w:rFonts w:ascii="AcadNusx" w:hAnsi="AcadNusx"/>
          <w:lang w:val="es-ES"/>
        </w:rPr>
        <w:t xml:space="preserve">, </w:t>
      </w:r>
      <w:r w:rsidRPr="0002335B">
        <w:rPr>
          <w:rFonts w:ascii="Sylfaen" w:hAnsi="Sylfaen" w:cs="Sylfaen"/>
          <w:lang w:val="es-ES"/>
        </w:rPr>
        <w:t>რომლებიც</w:t>
      </w:r>
      <w:r w:rsidRPr="0002335B">
        <w:rPr>
          <w:rFonts w:ascii="AcadNusx" w:hAnsi="AcadNusx"/>
          <w:lang w:val="es-ES"/>
        </w:rPr>
        <w:t xml:space="preserve"> </w:t>
      </w:r>
      <w:r w:rsidRPr="0002335B">
        <w:rPr>
          <w:rFonts w:ascii="Sylfaen" w:hAnsi="Sylfaen" w:cs="Sylfaen"/>
          <w:lang w:val="es-ES"/>
        </w:rPr>
        <w:t>კომბინირების</w:t>
      </w:r>
      <w:r w:rsidRPr="0002335B">
        <w:rPr>
          <w:rFonts w:ascii="AcadNusx" w:hAnsi="AcadNusx"/>
          <w:lang w:val="es-ES"/>
        </w:rPr>
        <w:t xml:space="preserve"> </w:t>
      </w:r>
      <w:r w:rsidRPr="0002335B">
        <w:rPr>
          <w:rFonts w:ascii="Sylfaen" w:hAnsi="Sylfaen" w:cs="Sylfaen"/>
          <w:lang w:val="es-ES"/>
        </w:rPr>
        <w:t>შემდეგ</w:t>
      </w:r>
      <w:r w:rsidRPr="0002335B">
        <w:rPr>
          <w:rFonts w:ascii="AcadNusx" w:hAnsi="AcadNusx"/>
          <w:lang w:val="es-ES"/>
        </w:rPr>
        <w:t xml:space="preserve">, </w:t>
      </w:r>
      <w:r w:rsidRPr="0002335B">
        <w:rPr>
          <w:rFonts w:ascii="Sylfaen" w:hAnsi="Sylfaen" w:cs="Sylfaen"/>
          <w:lang w:val="es-ES"/>
        </w:rPr>
        <w:t>უზრუნველყოფენ</w:t>
      </w:r>
      <w:r w:rsidRPr="0002335B">
        <w:rPr>
          <w:rFonts w:ascii="AcadNusx" w:hAnsi="AcadNusx"/>
          <w:lang w:val="es-ES"/>
        </w:rPr>
        <w:t xml:space="preserve"> </w:t>
      </w:r>
      <w:r w:rsidRPr="0002335B">
        <w:rPr>
          <w:rFonts w:ascii="Sylfaen" w:hAnsi="Sylfaen" w:cs="Sylfaen"/>
          <w:lang w:val="es-ES"/>
        </w:rPr>
        <w:t>აღნიშნული</w:t>
      </w:r>
      <w:r w:rsidRPr="0002335B">
        <w:rPr>
          <w:rFonts w:ascii="AcadNusx" w:hAnsi="AcadNusx"/>
          <w:lang w:val="es-ES"/>
        </w:rPr>
        <w:t xml:space="preserve"> </w:t>
      </w:r>
      <w:r w:rsidRPr="0002335B">
        <w:rPr>
          <w:rFonts w:ascii="Sylfaen" w:hAnsi="Sylfaen" w:cs="Sylfaen"/>
          <w:lang w:val="es-ES"/>
        </w:rPr>
        <w:t>სტრუქტურული</w:t>
      </w:r>
      <w:r w:rsidRPr="0002335B">
        <w:rPr>
          <w:rFonts w:ascii="AcadNusx" w:hAnsi="AcadNusx"/>
          <w:lang w:val="es-ES"/>
        </w:rPr>
        <w:t xml:space="preserve"> </w:t>
      </w:r>
      <w:r w:rsidRPr="0002335B">
        <w:rPr>
          <w:rFonts w:ascii="Sylfaen" w:hAnsi="Sylfaen" w:cs="Sylfaen"/>
          <w:lang w:val="es-ES"/>
        </w:rPr>
        <w:t>რიცხვის</w:t>
      </w:r>
      <w:r w:rsidRPr="0002335B">
        <w:rPr>
          <w:rFonts w:ascii="AcadNusx" w:hAnsi="AcadNusx"/>
          <w:lang w:val="es-ES"/>
        </w:rPr>
        <w:t xml:space="preserve"> (</w:t>
      </w:r>
      <w:r w:rsidRPr="0002335B">
        <w:rPr>
          <w:rFonts w:ascii="Sylfaen" w:hAnsi="Sylfaen"/>
          <w:lang w:val="es-ES"/>
        </w:rPr>
        <w:t>SN</w:t>
      </w:r>
      <w:r w:rsidRPr="0002335B">
        <w:rPr>
          <w:rFonts w:ascii="AcadNusx" w:hAnsi="AcadNusx"/>
          <w:lang w:val="es-ES"/>
        </w:rPr>
        <w:t xml:space="preserve">) </w:t>
      </w:r>
      <w:r w:rsidRPr="0002335B">
        <w:rPr>
          <w:rFonts w:ascii="Sylfaen" w:hAnsi="Sylfaen" w:cs="Sylfaen"/>
          <w:lang w:val="es-ES"/>
        </w:rPr>
        <w:t>შესაბამის</w:t>
      </w:r>
      <w:r w:rsidRPr="0002335B">
        <w:rPr>
          <w:rFonts w:ascii="AcadNusx" w:hAnsi="AcadNusx"/>
          <w:lang w:val="es-ES"/>
        </w:rPr>
        <w:t xml:space="preserve"> </w:t>
      </w:r>
      <w:r w:rsidRPr="0002335B">
        <w:rPr>
          <w:rFonts w:ascii="Sylfaen" w:hAnsi="Sylfaen" w:cs="Sylfaen"/>
          <w:lang w:val="es-ES"/>
        </w:rPr>
        <w:t>მზიდუნარიანობას</w:t>
      </w:r>
      <w:r w:rsidRPr="0002335B">
        <w:rPr>
          <w:rFonts w:ascii="AcadNusx" w:hAnsi="AcadNusx"/>
          <w:lang w:val="es-ES"/>
        </w:rPr>
        <w:t xml:space="preserve">. </w:t>
      </w:r>
    </w:p>
    <w:p w14:paraId="5630A790" w14:textId="28A35D4C" w:rsidR="0002335B" w:rsidRDefault="0002335B" w:rsidP="0002335B">
      <w:pPr>
        <w:rPr>
          <w:rFonts w:ascii="AcadNusx" w:hAnsi="AcadNusx"/>
          <w:lang w:val="es-ES"/>
        </w:rPr>
      </w:pPr>
      <w:r w:rsidRPr="0002335B">
        <w:rPr>
          <w:rFonts w:ascii="Sylfaen" w:hAnsi="Sylfaen" w:cs="Sylfaen"/>
          <w:lang w:val="es-ES"/>
        </w:rPr>
        <w:t>სტრუქტურული</w:t>
      </w:r>
      <w:r w:rsidRPr="0002335B">
        <w:rPr>
          <w:rFonts w:ascii="AcadNusx" w:hAnsi="AcadNusx"/>
          <w:lang w:val="es-ES"/>
        </w:rPr>
        <w:t xml:space="preserve"> </w:t>
      </w:r>
      <w:r w:rsidRPr="0002335B">
        <w:rPr>
          <w:rFonts w:ascii="Sylfaen" w:hAnsi="Sylfaen" w:cs="Sylfaen"/>
          <w:lang w:val="es-ES"/>
        </w:rPr>
        <w:t>რიცხვის</w:t>
      </w:r>
      <w:r w:rsidRPr="0002335B">
        <w:rPr>
          <w:rFonts w:ascii="AcadNusx" w:hAnsi="AcadNusx"/>
          <w:lang w:val="es-ES"/>
        </w:rPr>
        <w:t xml:space="preserve"> </w:t>
      </w:r>
      <w:r w:rsidRPr="0002335B">
        <w:rPr>
          <w:rFonts w:ascii="Sylfaen" w:hAnsi="Sylfaen" w:cs="Sylfaen"/>
          <w:lang w:val="es-ES"/>
        </w:rPr>
        <w:t>დამოკიდებულება</w:t>
      </w:r>
      <w:r w:rsidRPr="0002335B">
        <w:rPr>
          <w:rFonts w:ascii="AcadNusx" w:hAnsi="AcadNusx"/>
          <w:lang w:val="es-ES"/>
        </w:rPr>
        <w:t xml:space="preserve"> </w:t>
      </w:r>
      <w:r w:rsidRPr="0002335B">
        <w:rPr>
          <w:rFonts w:ascii="Sylfaen" w:hAnsi="Sylfaen" w:cs="Sylfaen"/>
          <w:lang w:val="es-ES"/>
        </w:rPr>
        <w:t>ფენების</w:t>
      </w:r>
      <w:r w:rsidRPr="0002335B">
        <w:rPr>
          <w:rFonts w:ascii="AcadNusx" w:hAnsi="AcadNusx"/>
          <w:lang w:val="es-ES"/>
        </w:rPr>
        <w:t xml:space="preserve"> </w:t>
      </w:r>
      <w:r w:rsidRPr="0002335B">
        <w:rPr>
          <w:rFonts w:ascii="Sylfaen" w:hAnsi="Sylfaen" w:cs="Sylfaen"/>
          <w:lang w:val="es-ES"/>
        </w:rPr>
        <w:t>კოეფიციენტების</w:t>
      </w:r>
      <w:r w:rsidRPr="0002335B">
        <w:rPr>
          <w:rFonts w:ascii="AcadNusx" w:hAnsi="AcadNusx"/>
          <w:lang w:val="es-ES"/>
        </w:rPr>
        <w:t xml:space="preserve"> (</w:t>
      </w:r>
      <w:r>
        <w:rPr>
          <w:rFonts w:ascii="Sylfaen" w:hAnsi="Sylfaen" w:cs="Sylfaen"/>
          <w:lang w:val="es-ES"/>
        </w:rPr>
        <w:t>ai</w:t>
      </w:r>
      <w:r w:rsidRPr="0002335B">
        <w:rPr>
          <w:rFonts w:ascii="AcadNusx" w:hAnsi="AcadNusx"/>
          <w:lang w:val="es-ES"/>
        </w:rPr>
        <w:t xml:space="preserve">) </w:t>
      </w:r>
      <w:r w:rsidRPr="0002335B">
        <w:rPr>
          <w:rFonts w:ascii="Sylfaen" w:hAnsi="Sylfaen" w:cs="Sylfaen"/>
          <w:lang w:val="es-ES"/>
        </w:rPr>
        <w:t>და</w:t>
      </w:r>
      <w:r w:rsidRPr="0002335B">
        <w:rPr>
          <w:rFonts w:ascii="AcadNusx" w:hAnsi="AcadNusx"/>
          <w:lang w:val="es-ES"/>
        </w:rPr>
        <w:t xml:space="preserve"> </w:t>
      </w:r>
      <w:r w:rsidRPr="0002335B">
        <w:rPr>
          <w:rFonts w:ascii="Sylfaen" w:hAnsi="Sylfaen" w:cs="Sylfaen"/>
          <w:lang w:val="es-ES"/>
        </w:rPr>
        <w:t>სისქეების</w:t>
      </w:r>
      <w:r w:rsidRPr="0002335B">
        <w:rPr>
          <w:rFonts w:ascii="AcadNusx" w:hAnsi="AcadNusx"/>
          <w:lang w:val="es-ES"/>
        </w:rPr>
        <w:t xml:space="preserve"> (</w:t>
      </w:r>
      <w:r>
        <w:rPr>
          <w:rFonts w:ascii="Sylfaen" w:hAnsi="Sylfaen"/>
          <w:lang w:val="es-ES"/>
        </w:rPr>
        <w:t>Di</w:t>
      </w:r>
      <w:r w:rsidRPr="0002335B">
        <w:rPr>
          <w:rFonts w:ascii="AcadNusx" w:hAnsi="AcadNusx"/>
          <w:lang w:val="es-ES"/>
        </w:rPr>
        <w:t xml:space="preserve">) </w:t>
      </w:r>
      <w:r w:rsidRPr="0002335B">
        <w:rPr>
          <w:rFonts w:ascii="Sylfaen" w:hAnsi="Sylfaen" w:cs="Sylfaen"/>
          <w:lang w:val="es-ES"/>
        </w:rPr>
        <w:t>სიდიდეებზე</w:t>
      </w:r>
      <w:r w:rsidRPr="0002335B">
        <w:rPr>
          <w:rFonts w:ascii="AcadNusx" w:hAnsi="AcadNusx"/>
          <w:lang w:val="es-ES"/>
        </w:rPr>
        <w:t xml:space="preserve"> </w:t>
      </w:r>
      <w:r w:rsidRPr="0002335B">
        <w:rPr>
          <w:rFonts w:ascii="Sylfaen" w:hAnsi="Sylfaen" w:cs="Sylfaen"/>
          <w:lang w:val="es-ES"/>
        </w:rPr>
        <w:t>გამოიხატება</w:t>
      </w:r>
      <w:r w:rsidRPr="0002335B">
        <w:rPr>
          <w:rFonts w:ascii="AcadNusx" w:hAnsi="AcadNusx"/>
          <w:lang w:val="es-ES"/>
        </w:rPr>
        <w:t xml:space="preserve"> </w:t>
      </w:r>
      <w:r w:rsidRPr="0002335B">
        <w:rPr>
          <w:rFonts w:ascii="Sylfaen" w:hAnsi="Sylfaen" w:cs="Sylfaen"/>
          <w:lang w:val="es-ES"/>
        </w:rPr>
        <w:t>შემდეგი</w:t>
      </w:r>
      <w:r w:rsidRPr="0002335B">
        <w:rPr>
          <w:rFonts w:ascii="AcadNusx" w:hAnsi="AcadNusx"/>
          <w:lang w:val="es-ES"/>
        </w:rPr>
        <w:t xml:space="preserve"> </w:t>
      </w:r>
      <w:r w:rsidRPr="0002335B">
        <w:rPr>
          <w:rFonts w:ascii="Sylfaen" w:hAnsi="Sylfaen" w:cs="Sylfaen"/>
          <w:lang w:val="es-ES"/>
        </w:rPr>
        <w:t>ტოლობით</w:t>
      </w:r>
      <w:r w:rsidRPr="0002335B">
        <w:rPr>
          <w:rFonts w:ascii="AcadNusx" w:hAnsi="AcadNusx"/>
          <w:lang w:val="es-ES"/>
        </w:rPr>
        <w:t>:</w:t>
      </w:r>
    </w:p>
    <w:p w14:paraId="3C9318C6" w14:textId="616E0E8A" w:rsidR="00EA3205" w:rsidRPr="0002335B" w:rsidRDefault="00EA3205" w:rsidP="0002335B">
      <w:pPr>
        <w:jc w:val="center"/>
        <w:rPr>
          <w:rFonts w:cs="Arial"/>
          <w:lang w:val="es-ES"/>
        </w:rPr>
      </w:pPr>
      <w:r w:rsidRPr="0002335B">
        <w:rPr>
          <w:rFonts w:cs="Arial"/>
          <w:lang w:val="es-ES"/>
        </w:rPr>
        <w:t>SN =  S ai Di</w:t>
      </w:r>
    </w:p>
    <w:p w14:paraId="722A3B38" w14:textId="317928BC" w:rsidR="00EA3205" w:rsidRPr="00B05F62" w:rsidRDefault="00EA3205" w:rsidP="00B05F62">
      <w:pPr>
        <w:jc w:val="center"/>
        <w:rPr>
          <w:rFonts w:cs="Arial"/>
        </w:rPr>
      </w:pPr>
      <w:r w:rsidRPr="00B05F62">
        <w:rPr>
          <w:rFonts w:cs="Arial"/>
        </w:rPr>
        <w:t>i=1</w:t>
      </w:r>
    </w:p>
    <w:p w14:paraId="6CF909F9" w14:textId="1282C756" w:rsidR="0002335B" w:rsidRPr="0002335B" w:rsidRDefault="0002335B" w:rsidP="0002335B">
      <w:pPr>
        <w:rPr>
          <w:rFonts w:ascii="AcadNusx" w:hAnsi="AcadNusx"/>
        </w:rPr>
      </w:pPr>
      <w:r w:rsidRPr="0002335B">
        <w:rPr>
          <w:rFonts w:ascii="Sylfaen" w:hAnsi="Sylfaen" w:cs="Sylfaen"/>
        </w:rPr>
        <w:t>ფენების</w:t>
      </w:r>
      <w:r w:rsidRPr="0002335B">
        <w:rPr>
          <w:rFonts w:ascii="AcadNusx" w:hAnsi="AcadNusx"/>
        </w:rPr>
        <w:t xml:space="preserve"> </w:t>
      </w:r>
      <w:r w:rsidRPr="0002335B">
        <w:rPr>
          <w:rFonts w:ascii="Sylfaen" w:hAnsi="Sylfaen" w:cs="Sylfaen"/>
        </w:rPr>
        <w:t>კოეფიციენტები</w:t>
      </w:r>
      <w:r w:rsidRPr="0002335B">
        <w:rPr>
          <w:rFonts w:ascii="AcadNusx" w:hAnsi="AcadNusx"/>
        </w:rPr>
        <w:t xml:space="preserve"> (</w:t>
      </w:r>
      <w:r>
        <w:rPr>
          <w:rFonts w:ascii="Sylfaen" w:hAnsi="Sylfaen" w:cs="Sylfaen"/>
        </w:rPr>
        <w:t>ai</w:t>
      </w:r>
      <w:r w:rsidRPr="0002335B">
        <w:rPr>
          <w:rFonts w:ascii="AcadNusx" w:hAnsi="AcadNusx"/>
        </w:rPr>
        <w:t xml:space="preserve">) </w:t>
      </w:r>
      <w:r w:rsidRPr="0002335B">
        <w:rPr>
          <w:rFonts w:ascii="Sylfaen" w:hAnsi="Sylfaen" w:cs="Sylfaen"/>
        </w:rPr>
        <w:t>განისაზღვრა</w:t>
      </w:r>
      <w:r>
        <w:rPr>
          <w:rFonts w:ascii="AcadNusx" w:hAnsi="AcadNusx"/>
        </w:rPr>
        <w:t xml:space="preserve"> </w:t>
      </w:r>
      <w:r>
        <w:rPr>
          <w:rFonts w:ascii="Sylfaen" w:hAnsi="Sylfaen"/>
        </w:rPr>
        <w:t>AASHTO</w:t>
      </w:r>
      <w:r w:rsidRPr="0002335B">
        <w:rPr>
          <w:rFonts w:ascii="AcadNusx" w:hAnsi="AcadNusx"/>
        </w:rPr>
        <w:t>-</w:t>
      </w:r>
      <w:r w:rsidRPr="0002335B">
        <w:rPr>
          <w:rFonts w:ascii="Sylfaen" w:hAnsi="Sylfaen" w:cs="Sylfaen"/>
        </w:rPr>
        <w:t>ს</w:t>
      </w:r>
      <w:r w:rsidRPr="0002335B">
        <w:rPr>
          <w:rFonts w:ascii="AcadNusx" w:hAnsi="AcadNusx"/>
        </w:rPr>
        <w:t xml:space="preserve"> </w:t>
      </w:r>
      <w:r w:rsidRPr="0002335B">
        <w:rPr>
          <w:rFonts w:ascii="AcadNusx" w:hAnsi="AcadNusx" w:cs="AcadNusx"/>
        </w:rPr>
        <w:t>“</w:t>
      </w:r>
      <w:r w:rsidRPr="0002335B">
        <w:rPr>
          <w:rFonts w:ascii="Sylfaen" w:hAnsi="Sylfaen" w:cs="Sylfaen"/>
        </w:rPr>
        <w:t>საგზაო</w:t>
      </w:r>
      <w:r w:rsidRPr="0002335B">
        <w:rPr>
          <w:rFonts w:ascii="AcadNusx" w:hAnsi="AcadNusx"/>
        </w:rPr>
        <w:t xml:space="preserve"> </w:t>
      </w:r>
      <w:r w:rsidRPr="0002335B">
        <w:rPr>
          <w:rFonts w:ascii="Sylfaen" w:hAnsi="Sylfaen" w:cs="Sylfaen"/>
        </w:rPr>
        <w:t>სამოსის</w:t>
      </w:r>
      <w:r w:rsidRPr="0002335B">
        <w:rPr>
          <w:rFonts w:ascii="AcadNusx" w:hAnsi="AcadNusx"/>
        </w:rPr>
        <w:t xml:space="preserve"> </w:t>
      </w:r>
      <w:r w:rsidRPr="0002335B">
        <w:rPr>
          <w:rFonts w:ascii="Sylfaen" w:hAnsi="Sylfaen" w:cs="Sylfaen"/>
        </w:rPr>
        <w:t>კონსტრუქციების</w:t>
      </w:r>
      <w:r w:rsidRPr="0002335B">
        <w:rPr>
          <w:rFonts w:ascii="AcadNusx" w:hAnsi="AcadNusx"/>
        </w:rPr>
        <w:t xml:space="preserve"> </w:t>
      </w:r>
      <w:r w:rsidRPr="0002335B">
        <w:rPr>
          <w:rFonts w:ascii="Sylfaen" w:hAnsi="Sylfaen" w:cs="Sylfaen"/>
        </w:rPr>
        <w:t>პროექტირების</w:t>
      </w:r>
      <w:r w:rsidRPr="0002335B">
        <w:rPr>
          <w:rFonts w:ascii="AcadNusx" w:hAnsi="AcadNusx"/>
        </w:rPr>
        <w:t xml:space="preserve"> </w:t>
      </w:r>
      <w:r w:rsidRPr="0002335B">
        <w:rPr>
          <w:rFonts w:ascii="Sylfaen" w:hAnsi="Sylfaen" w:cs="Sylfaen"/>
        </w:rPr>
        <w:t>სახელმძღვანელოში</w:t>
      </w:r>
      <w:r w:rsidRPr="0002335B">
        <w:rPr>
          <w:rFonts w:ascii="AcadNusx" w:hAnsi="AcadNusx" w:cs="AcadNusx"/>
        </w:rPr>
        <w:t>”</w:t>
      </w:r>
      <w:r w:rsidRPr="0002335B">
        <w:rPr>
          <w:rFonts w:ascii="AcadNusx" w:hAnsi="AcadNusx"/>
        </w:rPr>
        <w:t xml:space="preserve"> </w:t>
      </w:r>
      <w:r w:rsidRPr="0002335B">
        <w:rPr>
          <w:rFonts w:ascii="Sylfaen" w:hAnsi="Sylfaen" w:cs="Sylfaen"/>
        </w:rPr>
        <w:t>მოცემული</w:t>
      </w:r>
      <w:r w:rsidRPr="0002335B">
        <w:rPr>
          <w:rFonts w:ascii="AcadNusx" w:hAnsi="AcadNusx"/>
        </w:rPr>
        <w:t xml:space="preserve"> </w:t>
      </w:r>
      <w:r w:rsidRPr="0002335B">
        <w:rPr>
          <w:rFonts w:ascii="Sylfaen" w:hAnsi="Sylfaen" w:cs="Sylfaen"/>
        </w:rPr>
        <w:t>გრაფიკების</w:t>
      </w:r>
      <w:r w:rsidRPr="0002335B">
        <w:rPr>
          <w:rFonts w:ascii="AcadNusx" w:hAnsi="AcadNusx"/>
        </w:rPr>
        <w:t xml:space="preserve"> </w:t>
      </w:r>
      <w:r w:rsidRPr="0002335B">
        <w:rPr>
          <w:rFonts w:ascii="Sylfaen" w:hAnsi="Sylfaen" w:cs="Sylfaen"/>
        </w:rPr>
        <w:t>და</w:t>
      </w:r>
      <w:r w:rsidRPr="0002335B">
        <w:rPr>
          <w:rFonts w:ascii="AcadNusx" w:hAnsi="AcadNusx"/>
        </w:rPr>
        <w:t xml:space="preserve"> </w:t>
      </w:r>
      <w:r w:rsidRPr="0002335B">
        <w:rPr>
          <w:rFonts w:ascii="Sylfaen" w:hAnsi="Sylfaen" w:cs="Sylfaen"/>
        </w:rPr>
        <w:t>ცხრილების</w:t>
      </w:r>
      <w:r w:rsidRPr="0002335B">
        <w:rPr>
          <w:rFonts w:ascii="AcadNusx" w:hAnsi="AcadNusx"/>
        </w:rPr>
        <w:t xml:space="preserve"> </w:t>
      </w:r>
      <w:r w:rsidRPr="0002335B">
        <w:rPr>
          <w:rFonts w:ascii="Sylfaen" w:hAnsi="Sylfaen" w:cs="Sylfaen"/>
        </w:rPr>
        <w:t>გამოყენებით</w:t>
      </w:r>
      <w:r w:rsidRPr="0002335B">
        <w:rPr>
          <w:rFonts w:ascii="AcadNusx" w:hAnsi="AcadNusx"/>
        </w:rPr>
        <w:t xml:space="preserve">. </w:t>
      </w:r>
      <w:r w:rsidRPr="0002335B">
        <w:rPr>
          <w:rFonts w:ascii="Sylfaen" w:hAnsi="Sylfaen" w:cs="Sylfaen"/>
        </w:rPr>
        <w:t>კონკრეტული</w:t>
      </w:r>
      <w:r w:rsidRPr="0002335B">
        <w:rPr>
          <w:rFonts w:ascii="AcadNusx" w:hAnsi="AcadNusx"/>
        </w:rPr>
        <w:t xml:space="preserve"> </w:t>
      </w:r>
      <w:r w:rsidRPr="0002335B">
        <w:rPr>
          <w:rFonts w:ascii="Sylfaen" w:hAnsi="Sylfaen" w:cs="Sylfaen"/>
        </w:rPr>
        <w:t>ფენების</w:t>
      </w:r>
      <w:r w:rsidRPr="0002335B">
        <w:rPr>
          <w:rFonts w:ascii="AcadNusx" w:hAnsi="AcadNusx"/>
        </w:rPr>
        <w:t xml:space="preserve"> </w:t>
      </w:r>
      <w:r w:rsidRPr="0002335B">
        <w:rPr>
          <w:rFonts w:ascii="Sylfaen" w:hAnsi="Sylfaen" w:cs="Sylfaen"/>
        </w:rPr>
        <w:t>კოეფიციენტები</w:t>
      </w:r>
      <w:r w:rsidRPr="0002335B">
        <w:rPr>
          <w:rFonts w:ascii="AcadNusx" w:hAnsi="AcadNusx"/>
        </w:rPr>
        <w:t xml:space="preserve"> </w:t>
      </w:r>
      <w:r w:rsidRPr="0002335B">
        <w:rPr>
          <w:rFonts w:ascii="Sylfaen" w:hAnsi="Sylfaen" w:cs="Sylfaen"/>
        </w:rPr>
        <w:t>გამოიყენება</w:t>
      </w:r>
      <w:r w:rsidRPr="0002335B">
        <w:rPr>
          <w:rFonts w:ascii="AcadNusx" w:hAnsi="AcadNusx"/>
        </w:rPr>
        <w:t xml:space="preserve"> </w:t>
      </w:r>
      <w:r w:rsidRPr="0002335B">
        <w:rPr>
          <w:rFonts w:ascii="Sylfaen" w:hAnsi="Sylfaen" w:cs="Sylfaen"/>
        </w:rPr>
        <w:t>საგზაო</w:t>
      </w:r>
      <w:r w:rsidRPr="0002335B">
        <w:rPr>
          <w:rFonts w:ascii="AcadNusx" w:hAnsi="AcadNusx"/>
        </w:rPr>
        <w:t xml:space="preserve"> </w:t>
      </w:r>
      <w:r w:rsidRPr="0002335B">
        <w:rPr>
          <w:rFonts w:ascii="Sylfaen" w:hAnsi="Sylfaen" w:cs="Sylfaen"/>
        </w:rPr>
        <w:t>სამოსის</w:t>
      </w:r>
      <w:r w:rsidRPr="0002335B">
        <w:rPr>
          <w:rFonts w:ascii="AcadNusx" w:hAnsi="AcadNusx"/>
        </w:rPr>
        <w:t xml:space="preserve"> </w:t>
      </w:r>
      <w:r w:rsidRPr="0002335B">
        <w:rPr>
          <w:rFonts w:ascii="Sylfaen" w:hAnsi="Sylfaen" w:cs="Sylfaen"/>
        </w:rPr>
        <w:t>აგებულების</w:t>
      </w:r>
      <w:r w:rsidRPr="0002335B">
        <w:rPr>
          <w:rFonts w:ascii="AcadNusx" w:hAnsi="AcadNusx"/>
        </w:rPr>
        <w:t xml:space="preserve"> </w:t>
      </w:r>
      <w:r w:rsidRPr="0002335B">
        <w:rPr>
          <w:rFonts w:ascii="Sylfaen" w:hAnsi="Sylfaen" w:cs="Sylfaen"/>
        </w:rPr>
        <w:t>საპროექტო</w:t>
      </w:r>
      <w:r w:rsidRPr="0002335B">
        <w:rPr>
          <w:rFonts w:ascii="AcadNusx" w:hAnsi="AcadNusx"/>
        </w:rPr>
        <w:t xml:space="preserve"> </w:t>
      </w:r>
      <w:r w:rsidRPr="0002335B">
        <w:rPr>
          <w:rFonts w:ascii="Sylfaen" w:hAnsi="Sylfaen" w:cs="Sylfaen"/>
        </w:rPr>
        <w:t>გაანგარიშებაში</w:t>
      </w:r>
      <w:r w:rsidRPr="0002335B">
        <w:rPr>
          <w:rFonts w:ascii="AcadNusx" w:hAnsi="AcadNusx"/>
        </w:rPr>
        <w:t>.</w:t>
      </w:r>
    </w:p>
    <w:p w14:paraId="2900845A" w14:textId="77777777" w:rsidR="0002335B" w:rsidRPr="0002335B" w:rsidRDefault="0002335B" w:rsidP="0002335B">
      <w:pPr>
        <w:rPr>
          <w:rFonts w:ascii="AcadNusx" w:hAnsi="AcadNusx"/>
        </w:rPr>
      </w:pPr>
    </w:p>
    <w:p w14:paraId="056E6523" w14:textId="11937028" w:rsidR="00EA3205" w:rsidRDefault="0002335B" w:rsidP="0002335B">
      <w:pPr>
        <w:rPr>
          <w:rFonts w:ascii="AcadNusx" w:hAnsi="AcadNusx"/>
        </w:rPr>
      </w:pPr>
      <w:r w:rsidRPr="0002335B">
        <w:rPr>
          <w:rFonts w:ascii="Sylfaen" w:hAnsi="Sylfaen" w:cs="Sylfaen"/>
        </w:rPr>
        <w:lastRenderedPageBreak/>
        <w:t>საგზაო</w:t>
      </w:r>
      <w:r w:rsidRPr="0002335B">
        <w:rPr>
          <w:rFonts w:ascii="AcadNusx" w:hAnsi="AcadNusx"/>
        </w:rPr>
        <w:t xml:space="preserve"> </w:t>
      </w:r>
      <w:r w:rsidRPr="0002335B">
        <w:rPr>
          <w:rFonts w:ascii="Sylfaen" w:hAnsi="Sylfaen" w:cs="Sylfaen"/>
        </w:rPr>
        <w:t>სამოსის</w:t>
      </w:r>
      <w:r w:rsidRPr="0002335B">
        <w:rPr>
          <w:rFonts w:ascii="AcadNusx" w:hAnsi="AcadNusx"/>
        </w:rPr>
        <w:t xml:space="preserve"> </w:t>
      </w:r>
      <w:r w:rsidRPr="0002335B">
        <w:rPr>
          <w:rFonts w:ascii="Sylfaen" w:hAnsi="Sylfaen" w:cs="Sylfaen"/>
        </w:rPr>
        <w:t>სტრუქტურული</w:t>
      </w:r>
      <w:r w:rsidRPr="0002335B">
        <w:rPr>
          <w:rFonts w:ascii="AcadNusx" w:hAnsi="AcadNusx"/>
        </w:rPr>
        <w:t xml:space="preserve"> </w:t>
      </w:r>
      <w:r w:rsidRPr="0002335B">
        <w:rPr>
          <w:rFonts w:ascii="Sylfaen" w:hAnsi="Sylfaen" w:cs="Sylfaen"/>
        </w:rPr>
        <w:t>ფენების</w:t>
      </w:r>
      <w:r w:rsidRPr="0002335B">
        <w:rPr>
          <w:rFonts w:ascii="AcadNusx" w:hAnsi="AcadNusx"/>
        </w:rPr>
        <w:t xml:space="preserve"> </w:t>
      </w:r>
      <w:r w:rsidRPr="0002335B">
        <w:rPr>
          <w:rFonts w:ascii="Sylfaen" w:hAnsi="Sylfaen" w:cs="Sylfaen"/>
        </w:rPr>
        <w:t>სისქეები</w:t>
      </w:r>
      <w:r w:rsidRPr="0002335B">
        <w:rPr>
          <w:rFonts w:ascii="AcadNusx" w:hAnsi="AcadNusx"/>
        </w:rPr>
        <w:t xml:space="preserve"> </w:t>
      </w:r>
      <w:r w:rsidRPr="0002335B">
        <w:rPr>
          <w:rFonts w:ascii="Sylfaen" w:hAnsi="Sylfaen" w:cs="Sylfaen"/>
        </w:rPr>
        <w:t>განისაზღვრა</w:t>
      </w:r>
      <w:r w:rsidRPr="0002335B">
        <w:rPr>
          <w:rFonts w:ascii="AcadNusx" w:hAnsi="AcadNusx"/>
        </w:rPr>
        <w:t xml:space="preserve"> </w:t>
      </w:r>
      <w:r w:rsidR="009C623D">
        <w:rPr>
          <w:rFonts w:ascii="Sylfaen" w:hAnsi="Sylfaen"/>
        </w:rPr>
        <w:t>AASHTO</w:t>
      </w:r>
      <w:r w:rsidRPr="0002335B">
        <w:rPr>
          <w:rFonts w:ascii="AcadNusx" w:hAnsi="AcadNusx"/>
        </w:rPr>
        <w:t>-</w:t>
      </w:r>
      <w:r w:rsidRPr="0002335B">
        <w:rPr>
          <w:rFonts w:ascii="Sylfaen" w:hAnsi="Sylfaen" w:cs="Sylfaen"/>
        </w:rPr>
        <w:t>ს</w:t>
      </w:r>
      <w:r w:rsidRPr="0002335B">
        <w:rPr>
          <w:rFonts w:ascii="AcadNusx" w:hAnsi="AcadNusx"/>
        </w:rPr>
        <w:t xml:space="preserve"> </w:t>
      </w:r>
      <w:r w:rsidRPr="0002335B">
        <w:rPr>
          <w:rFonts w:ascii="Sylfaen" w:hAnsi="Sylfaen" w:cs="Sylfaen"/>
        </w:rPr>
        <w:t>კომპიუტერული</w:t>
      </w:r>
      <w:r w:rsidRPr="0002335B">
        <w:rPr>
          <w:rFonts w:ascii="AcadNusx" w:hAnsi="AcadNusx"/>
        </w:rPr>
        <w:t xml:space="preserve"> </w:t>
      </w:r>
      <w:r w:rsidRPr="0002335B">
        <w:rPr>
          <w:rFonts w:ascii="Sylfaen" w:hAnsi="Sylfaen" w:cs="Sylfaen"/>
        </w:rPr>
        <w:t>პროგრამით</w:t>
      </w:r>
      <w:r w:rsidR="009C623D">
        <w:rPr>
          <w:rFonts w:ascii="AcadNusx" w:hAnsi="AcadNusx"/>
        </w:rPr>
        <w:t xml:space="preserve"> </w:t>
      </w:r>
      <w:r w:rsidR="009C623D">
        <w:rPr>
          <w:rFonts w:ascii="Sylfaen" w:hAnsi="Sylfaen"/>
        </w:rPr>
        <w:t>DARWin</w:t>
      </w:r>
      <w:r w:rsidRPr="0002335B">
        <w:rPr>
          <w:rFonts w:ascii="AcadNusx" w:hAnsi="AcadNusx"/>
        </w:rPr>
        <w:t xml:space="preserve"> 3.1, </w:t>
      </w:r>
      <w:r w:rsidRPr="0002335B">
        <w:rPr>
          <w:rFonts w:ascii="Sylfaen" w:hAnsi="Sylfaen" w:cs="Sylfaen"/>
        </w:rPr>
        <w:t>რომელშიც</w:t>
      </w:r>
      <w:r w:rsidRPr="0002335B">
        <w:rPr>
          <w:rFonts w:ascii="AcadNusx" w:hAnsi="AcadNusx"/>
        </w:rPr>
        <w:t xml:space="preserve"> </w:t>
      </w:r>
      <w:r w:rsidRPr="0002335B">
        <w:rPr>
          <w:rFonts w:ascii="Sylfaen" w:hAnsi="Sylfaen" w:cs="Sylfaen"/>
        </w:rPr>
        <w:t>გამოყენებულია</w:t>
      </w:r>
      <w:r w:rsidRPr="0002335B">
        <w:rPr>
          <w:rFonts w:ascii="AcadNusx" w:hAnsi="AcadNusx"/>
        </w:rPr>
        <w:t xml:space="preserve"> </w:t>
      </w:r>
      <w:r w:rsidR="009C623D">
        <w:rPr>
          <w:rFonts w:ascii="Sylfaen" w:hAnsi="Sylfaen"/>
        </w:rPr>
        <w:t>AASHTO</w:t>
      </w:r>
      <w:r w:rsidRPr="0002335B">
        <w:rPr>
          <w:rFonts w:ascii="AcadNusx" w:hAnsi="AcadNusx"/>
        </w:rPr>
        <w:t>-</w:t>
      </w:r>
      <w:r w:rsidRPr="0002335B">
        <w:rPr>
          <w:rFonts w:ascii="Sylfaen" w:hAnsi="Sylfaen" w:cs="Sylfaen"/>
        </w:rPr>
        <w:t>ს</w:t>
      </w:r>
      <w:r w:rsidRPr="0002335B">
        <w:rPr>
          <w:rFonts w:ascii="AcadNusx" w:hAnsi="AcadNusx"/>
        </w:rPr>
        <w:t xml:space="preserve"> “</w:t>
      </w:r>
      <w:r w:rsidRPr="0002335B">
        <w:rPr>
          <w:rFonts w:ascii="Sylfaen" w:hAnsi="Sylfaen" w:cs="Sylfaen"/>
        </w:rPr>
        <w:t>საგზაო</w:t>
      </w:r>
      <w:r w:rsidRPr="0002335B">
        <w:rPr>
          <w:rFonts w:ascii="AcadNusx" w:hAnsi="AcadNusx"/>
        </w:rPr>
        <w:t xml:space="preserve"> </w:t>
      </w:r>
      <w:r w:rsidRPr="0002335B">
        <w:rPr>
          <w:rFonts w:ascii="Sylfaen" w:hAnsi="Sylfaen" w:cs="Sylfaen"/>
        </w:rPr>
        <w:t>სამოსის</w:t>
      </w:r>
      <w:r w:rsidRPr="0002335B">
        <w:rPr>
          <w:rFonts w:ascii="AcadNusx" w:hAnsi="AcadNusx"/>
        </w:rPr>
        <w:t xml:space="preserve"> </w:t>
      </w:r>
      <w:r w:rsidRPr="0002335B">
        <w:rPr>
          <w:rFonts w:ascii="Sylfaen" w:hAnsi="Sylfaen" w:cs="Sylfaen"/>
        </w:rPr>
        <w:t>კონსტრუქციების</w:t>
      </w:r>
      <w:r w:rsidRPr="0002335B">
        <w:rPr>
          <w:rFonts w:ascii="AcadNusx" w:hAnsi="AcadNusx"/>
        </w:rPr>
        <w:t xml:space="preserve"> </w:t>
      </w:r>
      <w:r w:rsidRPr="0002335B">
        <w:rPr>
          <w:rFonts w:ascii="Sylfaen" w:hAnsi="Sylfaen" w:cs="Sylfaen"/>
        </w:rPr>
        <w:t>პროექტირების</w:t>
      </w:r>
      <w:r w:rsidRPr="0002335B">
        <w:rPr>
          <w:rFonts w:ascii="AcadNusx" w:hAnsi="AcadNusx"/>
        </w:rPr>
        <w:t xml:space="preserve"> </w:t>
      </w:r>
      <w:r w:rsidRPr="0002335B">
        <w:rPr>
          <w:rFonts w:ascii="Sylfaen" w:hAnsi="Sylfaen" w:cs="Sylfaen"/>
        </w:rPr>
        <w:t>სახელმძღვანელოს</w:t>
      </w:r>
      <w:r w:rsidRPr="0002335B">
        <w:rPr>
          <w:rFonts w:ascii="AcadNusx" w:hAnsi="AcadNusx" w:cs="AcadNusx"/>
        </w:rPr>
        <w:t>”</w:t>
      </w:r>
      <w:r w:rsidRPr="0002335B">
        <w:rPr>
          <w:rFonts w:ascii="AcadNusx" w:hAnsi="AcadNusx"/>
        </w:rPr>
        <w:t xml:space="preserve"> </w:t>
      </w:r>
      <w:r w:rsidRPr="0002335B">
        <w:rPr>
          <w:rFonts w:ascii="Sylfaen" w:hAnsi="Sylfaen" w:cs="Sylfaen"/>
        </w:rPr>
        <w:t>შესაბამისი</w:t>
      </w:r>
      <w:r w:rsidRPr="0002335B">
        <w:rPr>
          <w:rFonts w:ascii="AcadNusx" w:hAnsi="AcadNusx"/>
        </w:rPr>
        <w:t xml:space="preserve"> </w:t>
      </w:r>
      <w:r w:rsidRPr="0002335B">
        <w:rPr>
          <w:rFonts w:ascii="Sylfaen" w:hAnsi="Sylfaen" w:cs="Sylfaen"/>
        </w:rPr>
        <w:t>მეთოდი</w:t>
      </w:r>
      <w:r w:rsidRPr="0002335B">
        <w:rPr>
          <w:rFonts w:ascii="AcadNusx" w:hAnsi="AcadNusx"/>
        </w:rPr>
        <w:t xml:space="preserve"> </w:t>
      </w:r>
      <w:r w:rsidRPr="0002335B">
        <w:rPr>
          <w:rFonts w:ascii="Sylfaen" w:hAnsi="Sylfaen" w:cs="Sylfaen"/>
        </w:rPr>
        <w:t>და</w:t>
      </w:r>
      <w:r w:rsidRPr="0002335B">
        <w:rPr>
          <w:rFonts w:ascii="AcadNusx" w:hAnsi="AcadNusx"/>
        </w:rPr>
        <w:t xml:space="preserve"> </w:t>
      </w:r>
      <w:r w:rsidRPr="0002335B">
        <w:rPr>
          <w:rFonts w:ascii="Sylfaen" w:hAnsi="Sylfaen" w:cs="Sylfaen"/>
        </w:rPr>
        <w:t>პარამეტრები</w:t>
      </w:r>
      <w:r w:rsidRPr="0002335B">
        <w:rPr>
          <w:rFonts w:ascii="AcadNusx" w:hAnsi="AcadNusx"/>
        </w:rPr>
        <w:t>.</w:t>
      </w:r>
    </w:p>
    <w:p w14:paraId="60425A5D" w14:textId="77777777" w:rsidR="009C623D" w:rsidRPr="00B05F62" w:rsidRDefault="009C623D" w:rsidP="0002335B">
      <w:pPr>
        <w:rPr>
          <w:rFonts w:ascii="AcadNusx" w:hAnsi="AcadNusx"/>
        </w:rPr>
      </w:pPr>
    </w:p>
    <w:p w14:paraId="772AAD4E" w14:textId="0C82CC83" w:rsidR="00EA3205" w:rsidRPr="00B05F62" w:rsidRDefault="009C623D" w:rsidP="00B05F62">
      <w:pPr>
        <w:pStyle w:val="Heading3"/>
        <w:rPr>
          <w:rFonts w:ascii="AcadNusx" w:hAnsi="AcadNusx"/>
          <w:lang w:val="en-US"/>
        </w:rPr>
      </w:pPr>
      <w:bookmarkStart w:id="112" w:name="_Toc493318663"/>
      <w:bookmarkStart w:id="113" w:name="_Toc486316980"/>
      <w:bookmarkStart w:id="114" w:name="_Toc483814723"/>
      <w:bookmarkStart w:id="115" w:name="_Toc455472320"/>
      <w:bookmarkStart w:id="116" w:name="_Toc1581510"/>
      <w:r>
        <w:rPr>
          <w:rFonts w:ascii="Sylfaen" w:hAnsi="Sylfaen"/>
        </w:rPr>
        <w:t>4.9.3</w:t>
      </w:r>
      <w:bookmarkEnd w:id="112"/>
      <w:bookmarkEnd w:id="113"/>
      <w:bookmarkEnd w:id="114"/>
      <w:bookmarkEnd w:id="115"/>
      <w:r>
        <w:rPr>
          <w:rFonts w:ascii="Sylfaen" w:hAnsi="Sylfaen"/>
        </w:rPr>
        <w:t xml:space="preserve"> </w:t>
      </w:r>
      <w:r>
        <w:rPr>
          <w:rFonts w:ascii="Sylfaen" w:hAnsi="Sylfaen"/>
          <w:lang w:val="ka-GE"/>
        </w:rPr>
        <w:t>საგზაო სამოსის ფენების გაანგარიშება</w:t>
      </w:r>
      <w:bookmarkEnd w:id="116"/>
    </w:p>
    <w:p w14:paraId="3B476F04" w14:textId="77777777" w:rsidR="00EA3205" w:rsidRPr="00B05F62" w:rsidRDefault="00EA3205" w:rsidP="00EA3205">
      <w:pPr>
        <w:rPr>
          <w:rFonts w:ascii="AcadNusx" w:hAnsi="AcadNusx"/>
        </w:rPr>
      </w:pPr>
    </w:p>
    <w:p w14:paraId="3E7AB2A9" w14:textId="757781A7" w:rsidR="00EA3205" w:rsidRPr="00B05F62" w:rsidRDefault="009C623D" w:rsidP="00B05F62">
      <w:pPr>
        <w:pStyle w:val="Heading4"/>
      </w:pPr>
      <w:bookmarkStart w:id="117" w:name="_Toc493318664"/>
      <w:bookmarkStart w:id="118" w:name="_Toc455472321"/>
      <w:r>
        <w:rPr>
          <w:rFonts w:ascii="Sylfaen" w:hAnsi="Sylfaen"/>
        </w:rPr>
        <w:t>4.9.3.1 საგზაო სამოსის დრეკადი და შეუკავშირებელი ფენების გაანგარიშება</w:t>
      </w:r>
    </w:p>
    <w:bookmarkEnd w:id="117"/>
    <w:bookmarkEnd w:id="118"/>
    <w:p w14:paraId="04C40F50" w14:textId="77777777" w:rsidR="009C623D" w:rsidRPr="009C623D" w:rsidRDefault="009C623D" w:rsidP="009C623D">
      <w:pPr>
        <w:spacing w:before="120" w:after="120"/>
        <w:rPr>
          <w:rFonts w:ascii="AcadNusx" w:hAnsi="AcadNusx"/>
          <w:lang w:val="ka-GE"/>
        </w:rPr>
      </w:pPr>
      <w:r w:rsidRPr="009C623D">
        <w:rPr>
          <w:rFonts w:ascii="Sylfaen" w:hAnsi="Sylfaen" w:cs="Sylfaen"/>
          <w:lang w:val="ka-GE"/>
        </w:rPr>
        <w:t>საპროექტო</w:t>
      </w:r>
      <w:r w:rsidRPr="009C623D">
        <w:rPr>
          <w:rFonts w:ascii="AcadNusx" w:hAnsi="AcadNusx"/>
          <w:lang w:val="ka-GE"/>
        </w:rPr>
        <w:t xml:space="preserve"> </w:t>
      </w:r>
      <w:r w:rsidRPr="009C623D">
        <w:rPr>
          <w:rFonts w:ascii="Sylfaen" w:hAnsi="Sylfaen" w:cs="Sylfaen"/>
          <w:lang w:val="ka-GE"/>
        </w:rPr>
        <w:t>საგზაო</w:t>
      </w:r>
      <w:r w:rsidRPr="009C623D">
        <w:rPr>
          <w:rFonts w:ascii="AcadNusx" w:hAnsi="AcadNusx"/>
          <w:lang w:val="ka-GE"/>
        </w:rPr>
        <w:t xml:space="preserve"> </w:t>
      </w:r>
      <w:r w:rsidRPr="009C623D">
        <w:rPr>
          <w:rFonts w:ascii="Sylfaen" w:hAnsi="Sylfaen" w:cs="Sylfaen"/>
          <w:lang w:val="ka-GE"/>
        </w:rPr>
        <w:t>მონაკვეთის</w:t>
      </w:r>
      <w:r w:rsidRPr="009C623D">
        <w:rPr>
          <w:rFonts w:ascii="AcadNusx" w:hAnsi="AcadNusx"/>
          <w:lang w:val="ka-GE"/>
        </w:rPr>
        <w:t xml:space="preserve"> </w:t>
      </w:r>
      <w:r w:rsidRPr="009C623D">
        <w:rPr>
          <w:rFonts w:ascii="Sylfaen" w:hAnsi="Sylfaen" w:cs="Sylfaen"/>
          <w:lang w:val="ka-GE"/>
        </w:rPr>
        <w:t>თავსა</w:t>
      </w:r>
      <w:r w:rsidRPr="009C623D">
        <w:rPr>
          <w:rFonts w:ascii="AcadNusx" w:hAnsi="AcadNusx"/>
          <w:lang w:val="ka-GE"/>
        </w:rPr>
        <w:t xml:space="preserve"> </w:t>
      </w:r>
      <w:r w:rsidRPr="009C623D">
        <w:rPr>
          <w:rFonts w:ascii="Sylfaen" w:hAnsi="Sylfaen" w:cs="Sylfaen"/>
          <w:lang w:val="ka-GE"/>
        </w:rPr>
        <w:t>და</w:t>
      </w:r>
      <w:r w:rsidRPr="009C623D">
        <w:rPr>
          <w:rFonts w:ascii="AcadNusx" w:hAnsi="AcadNusx"/>
          <w:lang w:val="ka-GE"/>
        </w:rPr>
        <w:t xml:space="preserve"> </w:t>
      </w:r>
      <w:r w:rsidRPr="009C623D">
        <w:rPr>
          <w:rFonts w:ascii="Sylfaen" w:hAnsi="Sylfaen" w:cs="Sylfaen"/>
          <w:lang w:val="ka-GE"/>
        </w:rPr>
        <w:t>ბოლოში</w:t>
      </w:r>
      <w:r w:rsidRPr="009C623D">
        <w:rPr>
          <w:rFonts w:ascii="AcadNusx" w:hAnsi="AcadNusx"/>
          <w:lang w:val="ka-GE"/>
        </w:rPr>
        <w:t xml:space="preserve"> </w:t>
      </w:r>
      <w:r w:rsidRPr="009C623D">
        <w:rPr>
          <w:rFonts w:ascii="Sylfaen" w:hAnsi="Sylfaen" w:cs="Sylfaen"/>
          <w:lang w:val="ka-GE"/>
        </w:rPr>
        <w:t>მიერთებულ</w:t>
      </w:r>
      <w:r w:rsidRPr="009C623D">
        <w:rPr>
          <w:rFonts w:ascii="AcadNusx" w:hAnsi="AcadNusx"/>
          <w:lang w:val="ka-GE"/>
        </w:rPr>
        <w:t xml:space="preserve"> </w:t>
      </w:r>
      <w:r w:rsidRPr="009C623D">
        <w:rPr>
          <w:rFonts w:ascii="Sylfaen" w:hAnsi="Sylfaen" w:cs="Sylfaen"/>
          <w:lang w:val="ka-GE"/>
        </w:rPr>
        <w:t>გზებზე</w:t>
      </w:r>
      <w:r w:rsidRPr="009C623D">
        <w:rPr>
          <w:rFonts w:ascii="AcadNusx" w:hAnsi="AcadNusx"/>
          <w:lang w:val="ka-GE"/>
        </w:rPr>
        <w:t xml:space="preserve"> </w:t>
      </w:r>
      <w:r w:rsidRPr="009C623D">
        <w:rPr>
          <w:rFonts w:ascii="Sylfaen" w:hAnsi="Sylfaen" w:cs="Sylfaen"/>
          <w:lang w:val="ka-GE"/>
        </w:rPr>
        <w:t>დაგებულია</w:t>
      </w:r>
      <w:r w:rsidRPr="009C623D">
        <w:rPr>
          <w:rFonts w:ascii="AcadNusx" w:hAnsi="AcadNusx"/>
          <w:lang w:val="ka-GE"/>
        </w:rPr>
        <w:t xml:space="preserve"> </w:t>
      </w:r>
      <w:r w:rsidRPr="009C623D">
        <w:rPr>
          <w:rFonts w:ascii="Sylfaen" w:hAnsi="Sylfaen" w:cs="Sylfaen"/>
          <w:lang w:val="ka-GE"/>
        </w:rPr>
        <w:t>ასფალტის</w:t>
      </w:r>
      <w:r w:rsidRPr="009C623D">
        <w:rPr>
          <w:rFonts w:ascii="AcadNusx" w:hAnsi="AcadNusx"/>
          <w:lang w:val="ka-GE"/>
        </w:rPr>
        <w:t xml:space="preserve"> </w:t>
      </w:r>
      <w:r w:rsidRPr="009C623D">
        <w:rPr>
          <w:rFonts w:ascii="Sylfaen" w:hAnsi="Sylfaen" w:cs="Sylfaen"/>
          <w:lang w:val="ka-GE"/>
        </w:rPr>
        <w:t>საფარი</w:t>
      </w:r>
      <w:r w:rsidRPr="009C623D">
        <w:rPr>
          <w:rFonts w:ascii="AcadNusx" w:hAnsi="AcadNusx"/>
          <w:lang w:val="ka-GE"/>
        </w:rPr>
        <w:t xml:space="preserve">. </w:t>
      </w:r>
      <w:r w:rsidRPr="009C623D">
        <w:rPr>
          <w:rFonts w:ascii="Sylfaen" w:hAnsi="Sylfaen" w:cs="Sylfaen"/>
          <w:lang w:val="ka-GE"/>
        </w:rPr>
        <w:t>ამიტომ</w:t>
      </w:r>
      <w:r w:rsidRPr="009C623D">
        <w:rPr>
          <w:rFonts w:ascii="AcadNusx" w:hAnsi="AcadNusx"/>
          <w:lang w:val="ka-GE"/>
        </w:rPr>
        <w:t xml:space="preserve">, </w:t>
      </w:r>
      <w:r w:rsidRPr="009C623D">
        <w:rPr>
          <w:rFonts w:ascii="Sylfaen" w:hAnsi="Sylfaen" w:cs="Sylfaen"/>
          <w:lang w:val="ka-GE"/>
        </w:rPr>
        <w:t>პირველი</w:t>
      </w:r>
      <w:r w:rsidRPr="009C623D">
        <w:rPr>
          <w:rFonts w:ascii="AcadNusx" w:hAnsi="AcadNusx"/>
          <w:lang w:val="ka-GE"/>
        </w:rPr>
        <w:t xml:space="preserve"> </w:t>
      </w:r>
      <w:r w:rsidRPr="009C623D">
        <w:rPr>
          <w:rFonts w:ascii="Sylfaen" w:hAnsi="Sylfaen" w:cs="Sylfaen"/>
          <w:lang w:val="ka-GE"/>
        </w:rPr>
        <w:t>ვარიანტის</w:t>
      </w:r>
      <w:r w:rsidRPr="009C623D">
        <w:rPr>
          <w:rFonts w:ascii="AcadNusx" w:hAnsi="AcadNusx"/>
          <w:lang w:val="ka-GE"/>
        </w:rPr>
        <w:t xml:space="preserve"> </w:t>
      </w:r>
      <w:r w:rsidRPr="009C623D">
        <w:rPr>
          <w:rFonts w:ascii="Sylfaen" w:hAnsi="Sylfaen" w:cs="Sylfaen"/>
          <w:lang w:val="ka-GE"/>
        </w:rPr>
        <w:t>სახით</w:t>
      </w:r>
      <w:r w:rsidRPr="009C623D">
        <w:rPr>
          <w:rFonts w:ascii="AcadNusx" w:hAnsi="AcadNusx"/>
          <w:lang w:val="ka-GE"/>
        </w:rPr>
        <w:t xml:space="preserve">, </w:t>
      </w:r>
      <w:r w:rsidRPr="009C623D">
        <w:rPr>
          <w:rFonts w:ascii="Sylfaen" w:hAnsi="Sylfaen" w:cs="Sylfaen"/>
          <w:lang w:val="ka-GE"/>
        </w:rPr>
        <w:t>რეკომენდირებულია</w:t>
      </w:r>
      <w:r w:rsidRPr="009C623D">
        <w:rPr>
          <w:rFonts w:ascii="AcadNusx" w:hAnsi="AcadNusx"/>
          <w:lang w:val="ka-GE"/>
        </w:rPr>
        <w:t xml:space="preserve"> </w:t>
      </w:r>
      <w:r w:rsidRPr="009C623D">
        <w:rPr>
          <w:rFonts w:ascii="Sylfaen" w:hAnsi="Sylfaen" w:cs="Sylfaen"/>
          <w:lang w:val="ka-GE"/>
        </w:rPr>
        <w:t>ახალ</w:t>
      </w:r>
      <w:r w:rsidRPr="009C623D">
        <w:rPr>
          <w:rFonts w:ascii="AcadNusx" w:hAnsi="AcadNusx"/>
          <w:lang w:val="ka-GE"/>
        </w:rPr>
        <w:t xml:space="preserve"> </w:t>
      </w:r>
      <w:r w:rsidRPr="009C623D">
        <w:rPr>
          <w:rFonts w:ascii="Sylfaen" w:hAnsi="Sylfaen" w:cs="Sylfaen"/>
          <w:lang w:val="ka-GE"/>
        </w:rPr>
        <w:t>გზაზე</w:t>
      </w:r>
      <w:r w:rsidRPr="009C623D">
        <w:rPr>
          <w:rFonts w:ascii="AcadNusx" w:hAnsi="AcadNusx"/>
          <w:lang w:val="ka-GE"/>
        </w:rPr>
        <w:t xml:space="preserve"> </w:t>
      </w:r>
      <w:r w:rsidRPr="009C623D">
        <w:rPr>
          <w:rFonts w:ascii="Sylfaen" w:hAnsi="Sylfaen" w:cs="Sylfaen"/>
          <w:lang w:val="ka-GE"/>
        </w:rPr>
        <w:t>დრეკადი</w:t>
      </w:r>
      <w:r w:rsidRPr="009C623D">
        <w:rPr>
          <w:rFonts w:ascii="AcadNusx" w:hAnsi="AcadNusx"/>
          <w:lang w:val="ka-GE"/>
        </w:rPr>
        <w:t xml:space="preserve"> </w:t>
      </w:r>
      <w:r w:rsidRPr="009C623D">
        <w:rPr>
          <w:rFonts w:ascii="Sylfaen" w:hAnsi="Sylfaen" w:cs="Sylfaen"/>
          <w:lang w:val="ka-GE"/>
        </w:rPr>
        <w:t>საგზაო</w:t>
      </w:r>
      <w:r w:rsidRPr="009C623D">
        <w:rPr>
          <w:rFonts w:ascii="AcadNusx" w:hAnsi="AcadNusx"/>
          <w:lang w:val="ka-GE"/>
        </w:rPr>
        <w:t xml:space="preserve"> </w:t>
      </w:r>
      <w:r w:rsidRPr="009C623D">
        <w:rPr>
          <w:rFonts w:ascii="Sylfaen" w:hAnsi="Sylfaen" w:cs="Sylfaen"/>
          <w:lang w:val="ka-GE"/>
        </w:rPr>
        <w:t>სამოსის</w:t>
      </w:r>
      <w:r w:rsidRPr="009C623D">
        <w:rPr>
          <w:rFonts w:ascii="AcadNusx" w:hAnsi="AcadNusx"/>
          <w:lang w:val="ka-GE"/>
        </w:rPr>
        <w:t xml:space="preserve"> </w:t>
      </w:r>
      <w:r w:rsidRPr="009C623D">
        <w:rPr>
          <w:rFonts w:ascii="Sylfaen" w:hAnsi="Sylfaen" w:cs="Sylfaen"/>
          <w:lang w:val="ka-GE"/>
        </w:rPr>
        <w:t>მოწყობა</w:t>
      </w:r>
      <w:r w:rsidRPr="009C623D">
        <w:rPr>
          <w:rFonts w:ascii="AcadNusx" w:hAnsi="AcadNusx"/>
          <w:lang w:val="ka-GE"/>
        </w:rPr>
        <w:t xml:space="preserve">. </w:t>
      </w:r>
    </w:p>
    <w:p w14:paraId="708C23C3" w14:textId="05DBA54E" w:rsidR="009C623D" w:rsidRPr="009C623D" w:rsidRDefault="009C623D" w:rsidP="009C623D">
      <w:pPr>
        <w:spacing w:before="120" w:after="120"/>
        <w:rPr>
          <w:rFonts w:ascii="AcadNusx" w:hAnsi="AcadNusx"/>
          <w:lang w:val="ka-GE"/>
        </w:rPr>
      </w:pPr>
      <w:r w:rsidRPr="009C623D">
        <w:rPr>
          <w:rFonts w:ascii="Sylfaen" w:hAnsi="Sylfaen" w:cs="Sylfaen"/>
          <w:lang w:val="ka-GE"/>
        </w:rPr>
        <w:t>ქვემოთ</w:t>
      </w:r>
      <w:r w:rsidRPr="009C623D">
        <w:rPr>
          <w:rFonts w:ascii="AcadNusx" w:hAnsi="AcadNusx"/>
          <w:lang w:val="ka-GE"/>
        </w:rPr>
        <w:t xml:space="preserve"> </w:t>
      </w:r>
      <w:r w:rsidRPr="009C623D">
        <w:rPr>
          <w:rFonts w:ascii="Sylfaen" w:hAnsi="Sylfaen" w:cs="Sylfaen"/>
          <w:lang w:val="ka-GE"/>
        </w:rPr>
        <w:t>განხილულია</w:t>
      </w:r>
      <w:r w:rsidRPr="009C623D">
        <w:rPr>
          <w:rFonts w:ascii="AcadNusx" w:hAnsi="AcadNusx"/>
          <w:lang w:val="ka-GE"/>
        </w:rPr>
        <w:t xml:space="preserve"> </w:t>
      </w:r>
      <w:r w:rsidRPr="009C623D">
        <w:rPr>
          <w:rFonts w:ascii="Sylfaen" w:hAnsi="Sylfaen" w:cs="Sylfaen"/>
          <w:lang w:val="ka-GE"/>
        </w:rPr>
        <w:t>წინასწარ</w:t>
      </w:r>
      <w:r w:rsidRPr="009C623D">
        <w:rPr>
          <w:rFonts w:ascii="AcadNusx" w:hAnsi="AcadNusx"/>
          <w:lang w:val="ka-GE"/>
        </w:rPr>
        <w:t xml:space="preserve"> </w:t>
      </w:r>
      <w:r w:rsidRPr="009C623D">
        <w:rPr>
          <w:rFonts w:ascii="Sylfaen" w:hAnsi="Sylfaen" w:cs="Sylfaen"/>
          <w:lang w:val="ka-GE"/>
        </w:rPr>
        <w:t>შეთავაზებული</w:t>
      </w:r>
      <w:r w:rsidRPr="009C623D">
        <w:rPr>
          <w:rFonts w:ascii="AcadNusx" w:hAnsi="AcadNusx"/>
          <w:lang w:val="ka-GE"/>
        </w:rPr>
        <w:t xml:space="preserve"> </w:t>
      </w:r>
      <w:r w:rsidRPr="009C623D">
        <w:rPr>
          <w:rFonts w:ascii="Sylfaen" w:hAnsi="Sylfaen" w:cs="Sylfaen"/>
          <w:lang w:val="ka-GE"/>
        </w:rPr>
        <w:t>დრეკადი</w:t>
      </w:r>
      <w:r w:rsidRPr="009C623D">
        <w:rPr>
          <w:rFonts w:ascii="AcadNusx" w:hAnsi="AcadNusx"/>
          <w:lang w:val="ka-GE"/>
        </w:rPr>
        <w:t xml:space="preserve"> </w:t>
      </w:r>
      <w:r w:rsidRPr="009C623D">
        <w:rPr>
          <w:rFonts w:ascii="Sylfaen" w:hAnsi="Sylfaen" w:cs="Sylfaen"/>
          <w:lang w:val="ka-GE"/>
        </w:rPr>
        <w:t>საგზაო</w:t>
      </w:r>
      <w:r w:rsidRPr="009C623D">
        <w:rPr>
          <w:rFonts w:ascii="AcadNusx" w:hAnsi="AcadNusx"/>
          <w:lang w:val="ka-GE"/>
        </w:rPr>
        <w:t xml:space="preserve"> </w:t>
      </w:r>
      <w:r w:rsidRPr="009C623D">
        <w:rPr>
          <w:rFonts w:ascii="Sylfaen" w:hAnsi="Sylfaen" w:cs="Sylfaen"/>
          <w:lang w:val="ka-GE"/>
        </w:rPr>
        <w:t>სამოსები</w:t>
      </w:r>
      <w:r w:rsidRPr="009C623D">
        <w:rPr>
          <w:rFonts w:ascii="AcadNusx" w:hAnsi="AcadNusx"/>
          <w:lang w:val="ka-GE"/>
        </w:rPr>
        <w:t xml:space="preserve"> </w:t>
      </w:r>
      <w:r w:rsidRPr="009C623D">
        <w:rPr>
          <w:rFonts w:ascii="Sylfaen" w:hAnsi="Sylfaen" w:cs="Sylfaen"/>
          <w:lang w:val="ka-GE"/>
        </w:rPr>
        <w:t>და</w:t>
      </w:r>
      <w:r w:rsidRPr="009C623D">
        <w:rPr>
          <w:rFonts w:ascii="AcadNusx" w:hAnsi="AcadNusx"/>
          <w:lang w:val="ka-GE"/>
        </w:rPr>
        <w:t xml:space="preserve"> </w:t>
      </w:r>
      <w:r w:rsidRPr="009C623D">
        <w:rPr>
          <w:rFonts w:ascii="Sylfaen" w:hAnsi="Sylfaen" w:cs="Sylfaen"/>
          <w:lang w:val="ka-GE"/>
        </w:rPr>
        <w:t>ცალკეული</w:t>
      </w:r>
      <w:r w:rsidRPr="009C623D">
        <w:rPr>
          <w:rFonts w:ascii="AcadNusx" w:hAnsi="AcadNusx"/>
          <w:lang w:val="ka-GE"/>
        </w:rPr>
        <w:t xml:space="preserve"> </w:t>
      </w:r>
      <w:r w:rsidRPr="009C623D">
        <w:rPr>
          <w:rFonts w:ascii="Sylfaen" w:hAnsi="Sylfaen" w:cs="Sylfaen"/>
          <w:lang w:val="ka-GE"/>
        </w:rPr>
        <w:t>ფენების</w:t>
      </w:r>
      <w:r w:rsidRPr="009C623D">
        <w:rPr>
          <w:rFonts w:ascii="AcadNusx" w:hAnsi="AcadNusx"/>
          <w:lang w:val="ka-GE"/>
        </w:rPr>
        <w:t xml:space="preserve"> </w:t>
      </w:r>
      <w:r w:rsidRPr="009C623D">
        <w:rPr>
          <w:rFonts w:ascii="Sylfaen" w:hAnsi="Sylfaen" w:cs="Sylfaen"/>
          <w:lang w:val="ka-GE"/>
        </w:rPr>
        <w:t>სისქეები</w:t>
      </w:r>
      <w:r w:rsidRPr="009C623D">
        <w:rPr>
          <w:rFonts w:ascii="AcadNusx" w:hAnsi="AcadNusx"/>
          <w:lang w:val="ka-GE"/>
        </w:rPr>
        <w:t xml:space="preserve">, </w:t>
      </w:r>
      <w:r w:rsidRPr="009C623D">
        <w:rPr>
          <w:rFonts w:ascii="Sylfaen" w:hAnsi="Sylfaen" w:cs="Sylfaen"/>
          <w:lang w:val="ka-GE"/>
        </w:rPr>
        <w:t>რომლებიც</w:t>
      </w:r>
      <w:r w:rsidRPr="009C623D">
        <w:rPr>
          <w:rFonts w:ascii="AcadNusx" w:hAnsi="AcadNusx"/>
          <w:lang w:val="ka-GE"/>
        </w:rPr>
        <w:t xml:space="preserve"> </w:t>
      </w:r>
      <w:r w:rsidRPr="009C623D">
        <w:rPr>
          <w:rFonts w:ascii="Sylfaen" w:hAnsi="Sylfaen" w:cs="Sylfaen"/>
          <w:lang w:val="ka-GE"/>
        </w:rPr>
        <w:t>გაანგარიშებულია</w:t>
      </w:r>
      <w:r w:rsidRPr="009C623D">
        <w:rPr>
          <w:rFonts w:ascii="AcadNusx" w:hAnsi="AcadNusx"/>
          <w:lang w:val="ka-GE"/>
        </w:rPr>
        <w:t xml:space="preserve"> </w:t>
      </w:r>
      <w:r w:rsidRPr="009C623D">
        <w:rPr>
          <w:rFonts w:ascii="Sylfaen" w:hAnsi="Sylfaen" w:cs="Sylfaen"/>
          <w:lang w:val="ka-GE"/>
        </w:rPr>
        <w:t>საპროექტო</w:t>
      </w:r>
      <w:r w:rsidRPr="009C623D">
        <w:rPr>
          <w:rFonts w:ascii="AcadNusx" w:hAnsi="AcadNusx"/>
          <w:lang w:val="ka-GE"/>
        </w:rPr>
        <w:t xml:space="preserve"> </w:t>
      </w:r>
      <w:r w:rsidRPr="009C623D">
        <w:rPr>
          <w:rFonts w:ascii="Sylfaen" w:hAnsi="Sylfaen" w:cs="Sylfaen"/>
          <w:lang w:val="ka-GE"/>
        </w:rPr>
        <w:t>გზის</w:t>
      </w:r>
      <w:r w:rsidRPr="009C623D">
        <w:rPr>
          <w:rFonts w:ascii="AcadNusx" w:hAnsi="AcadNusx"/>
          <w:lang w:val="ka-GE"/>
        </w:rPr>
        <w:t xml:space="preserve"> 20-</w:t>
      </w:r>
      <w:r w:rsidRPr="009C623D">
        <w:rPr>
          <w:rFonts w:ascii="Sylfaen" w:hAnsi="Sylfaen" w:cs="Sylfaen"/>
          <w:lang w:val="ka-GE"/>
        </w:rPr>
        <w:t>წლიანი</w:t>
      </w:r>
      <w:r w:rsidRPr="009C623D">
        <w:rPr>
          <w:rFonts w:ascii="AcadNusx" w:hAnsi="AcadNusx"/>
          <w:lang w:val="ka-GE"/>
        </w:rPr>
        <w:t xml:space="preserve"> </w:t>
      </w:r>
      <w:r w:rsidRPr="009C623D">
        <w:rPr>
          <w:rFonts w:ascii="Sylfaen" w:hAnsi="Sylfaen" w:cs="Sylfaen"/>
          <w:lang w:val="ka-GE"/>
        </w:rPr>
        <w:t>საანგარიშო</w:t>
      </w:r>
      <w:r w:rsidRPr="009C623D">
        <w:rPr>
          <w:rFonts w:ascii="AcadNusx" w:hAnsi="AcadNusx"/>
          <w:lang w:val="ka-GE"/>
        </w:rPr>
        <w:t xml:space="preserve"> </w:t>
      </w:r>
      <w:r w:rsidRPr="009C623D">
        <w:rPr>
          <w:rFonts w:ascii="Sylfaen" w:hAnsi="Sylfaen" w:cs="Sylfaen"/>
          <w:lang w:val="ka-GE"/>
        </w:rPr>
        <w:t>საექსპლუატაციო</w:t>
      </w:r>
      <w:r w:rsidRPr="009C623D">
        <w:rPr>
          <w:rFonts w:ascii="AcadNusx" w:hAnsi="AcadNusx"/>
          <w:lang w:val="ka-GE"/>
        </w:rPr>
        <w:t xml:space="preserve"> </w:t>
      </w:r>
      <w:r w:rsidRPr="009C623D">
        <w:rPr>
          <w:rFonts w:ascii="Sylfaen" w:hAnsi="Sylfaen" w:cs="Sylfaen"/>
          <w:lang w:val="ka-GE"/>
        </w:rPr>
        <w:t>ვადის</w:t>
      </w:r>
      <w:r w:rsidRPr="009C623D">
        <w:rPr>
          <w:rFonts w:ascii="AcadNusx" w:hAnsi="AcadNusx"/>
          <w:lang w:val="ka-GE"/>
        </w:rPr>
        <w:t xml:space="preserve"> </w:t>
      </w:r>
      <w:r w:rsidRPr="009C623D">
        <w:rPr>
          <w:rFonts w:ascii="Sylfaen" w:hAnsi="Sylfaen" w:cs="Sylfaen"/>
          <w:lang w:val="ka-GE"/>
        </w:rPr>
        <w:t>გათვალისწინებით</w:t>
      </w:r>
      <w:r w:rsidRPr="009C623D">
        <w:rPr>
          <w:rFonts w:ascii="AcadNusx" w:hAnsi="AcadNusx"/>
          <w:lang w:val="ka-GE"/>
        </w:rPr>
        <w:t xml:space="preserve"> </w:t>
      </w:r>
      <w:r w:rsidRPr="009C623D">
        <w:rPr>
          <w:rFonts w:ascii="Sylfaen" w:hAnsi="Sylfaen" w:cs="Sylfaen"/>
          <w:lang w:val="ka-GE"/>
        </w:rPr>
        <w:t>და</w:t>
      </w:r>
      <w:r w:rsidRPr="009C623D">
        <w:rPr>
          <w:rFonts w:ascii="AcadNusx" w:hAnsi="AcadNusx"/>
          <w:lang w:val="ka-GE"/>
        </w:rPr>
        <w:t xml:space="preserve"> </w:t>
      </w:r>
      <w:r w:rsidRPr="009C623D">
        <w:rPr>
          <w:rFonts w:ascii="Sylfaen" w:hAnsi="Sylfaen" w:cs="Sylfaen"/>
          <w:lang w:val="ka-GE"/>
        </w:rPr>
        <w:t>ასფალტის</w:t>
      </w:r>
      <w:r w:rsidRPr="009C623D">
        <w:rPr>
          <w:rFonts w:ascii="AcadNusx" w:hAnsi="AcadNusx"/>
          <w:lang w:val="ka-GE"/>
        </w:rPr>
        <w:t xml:space="preserve"> </w:t>
      </w:r>
      <w:r w:rsidRPr="009C623D">
        <w:rPr>
          <w:rFonts w:ascii="Sylfaen" w:hAnsi="Sylfaen" w:cs="Sylfaen"/>
          <w:lang w:val="ka-GE"/>
        </w:rPr>
        <w:t>საფარის</w:t>
      </w:r>
      <w:r w:rsidRPr="009C623D">
        <w:rPr>
          <w:rFonts w:ascii="AcadNusx" w:hAnsi="AcadNusx"/>
          <w:lang w:val="ka-GE"/>
        </w:rPr>
        <w:t xml:space="preserve"> </w:t>
      </w:r>
      <w:r w:rsidRPr="009C623D">
        <w:rPr>
          <w:rFonts w:ascii="Sylfaen" w:hAnsi="Sylfaen" w:cs="Sylfaen"/>
          <w:lang w:val="ka-GE"/>
        </w:rPr>
        <w:t>სისქის</w:t>
      </w:r>
      <w:r w:rsidRPr="009C623D">
        <w:rPr>
          <w:rFonts w:ascii="AcadNusx" w:hAnsi="AcadNusx"/>
          <w:lang w:val="ka-GE"/>
        </w:rPr>
        <w:t xml:space="preserve"> </w:t>
      </w:r>
      <w:r>
        <w:rPr>
          <w:rFonts w:ascii="Sylfaen" w:hAnsi="Sylfaen" w:cs="Sylfaen"/>
          <w:lang w:val="en-US"/>
        </w:rPr>
        <w:t>AASHTO</w:t>
      </w:r>
      <w:r w:rsidRPr="009C623D">
        <w:rPr>
          <w:rFonts w:ascii="AcadNusx" w:hAnsi="AcadNusx"/>
          <w:lang w:val="ka-GE"/>
        </w:rPr>
        <w:t>-</w:t>
      </w:r>
      <w:r w:rsidRPr="009C623D">
        <w:rPr>
          <w:rFonts w:ascii="Sylfaen" w:hAnsi="Sylfaen" w:cs="Sylfaen"/>
          <w:lang w:val="ka-GE"/>
        </w:rPr>
        <w:t>ს</w:t>
      </w:r>
      <w:r w:rsidRPr="009C623D">
        <w:rPr>
          <w:rFonts w:ascii="AcadNusx" w:hAnsi="AcadNusx"/>
          <w:lang w:val="ka-GE"/>
        </w:rPr>
        <w:t xml:space="preserve"> </w:t>
      </w:r>
      <w:r w:rsidRPr="009C623D">
        <w:rPr>
          <w:rFonts w:ascii="Sylfaen" w:hAnsi="Sylfaen" w:cs="Sylfaen"/>
          <w:lang w:val="ka-GE"/>
        </w:rPr>
        <w:t>სპეციფიკაციის</w:t>
      </w:r>
      <w:r w:rsidRPr="009C623D">
        <w:rPr>
          <w:rFonts w:ascii="AcadNusx" w:hAnsi="AcadNusx"/>
          <w:lang w:val="ka-GE"/>
        </w:rPr>
        <w:t xml:space="preserve"> </w:t>
      </w:r>
      <w:r w:rsidRPr="009C623D">
        <w:rPr>
          <w:rFonts w:ascii="Sylfaen" w:hAnsi="Sylfaen" w:cs="Sylfaen"/>
          <w:lang w:val="ka-GE"/>
        </w:rPr>
        <w:t>შესაბამისად</w:t>
      </w:r>
      <w:r w:rsidRPr="009C623D">
        <w:rPr>
          <w:rFonts w:ascii="AcadNusx" w:hAnsi="AcadNusx"/>
          <w:lang w:val="ka-GE"/>
        </w:rPr>
        <w:t xml:space="preserve"> </w:t>
      </w:r>
      <w:r w:rsidRPr="009C623D">
        <w:rPr>
          <w:rFonts w:ascii="Sylfaen" w:hAnsi="Sylfaen" w:cs="Sylfaen"/>
          <w:lang w:val="ka-GE"/>
        </w:rPr>
        <w:t>განსაზღვრის</w:t>
      </w:r>
      <w:r w:rsidRPr="009C623D">
        <w:rPr>
          <w:rFonts w:ascii="AcadNusx" w:hAnsi="AcadNusx"/>
          <w:lang w:val="ka-GE"/>
        </w:rPr>
        <w:t xml:space="preserve"> </w:t>
      </w:r>
      <w:r w:rsidRPr="009C623D">
        <w:rPr>
          <w:rFonts w:ascii="Sylfaen" w:hAnsi="Sylfaen" w:cs="Sylfaen"/>
          <w:lang w:val="ka-GE"/>
        </w:rPr>
        <w:t>პირობით</w:t>
      </w:r>
      <w:r w:rsidRPr="009C623D">
        <w:rPr>
          <w:rFonts w:ascii="AcadNusx" w:hAnsi="AcadNusx"/>
          <w:lang w:val="ka-GE"/>
        </w:rPr>
        <w:t xml:space="preserve">, </w:t>
      </w:r>
      <w:r w:rsidRPr="009C623D">
        <w:rPr>
          <w:rFonts w:ascii="Sylfaen" w:hAnsi="Sylfaen" w:cs="Sylfaen"/>
          <w:lang w:val="ka-GE"/>
        </w:rPr>
        <w:t>რომლის</w:t>
      </w:r>
      <w:r w:rsidRPr="009C623D">
        <w:rPr>
          <w:rFonts w:ascii="AcadNusx" w:hAnsi="AcadNusx"/>
          <w:lang w:val="ka-GE"/>
        </w:rPr>
        <w:t xml:space="preserve"> </w:t>
      </w:r>
      <w:r w:rsidRPr="009C623D">
        <w:rPr>
          <w:rFonts w:ascii="Sylfaen" w:hAnsi="Sylfaen" w:cs="Sylfaen"/>
          <w:lang w:val="ka-GE"/>
        </w:rPr>
        <w:t>თანახმადაც</w:t>
      </w:r>
      <w:r w:rsidRPr="009C623D">
        <w:rPr>
          <w:rFonts w:ascii="AcadNusx" w:hAnsi="AcadNusx"/>
          <w:lang w:val="ka-GE"/>
        </w:rPr>
        <w:t xml:space="preserve"> </w:t>
      </w:r>
      <w:r w:rsidRPr="009C623D">
        <w:rPr>
          <w:rFonts w:ascii="Sylfaen" w:hAnsi="Sylfaen" w:cs="Sylfaen"/>
          <w:lang w:val="ka-GE"/>
        </w:rPr>
        <w:t>გზის</w:t>
      </w:r>
      <w:r w:rsidRPr="009C623D">
        <w:rPr>
          <w:rFonts w:ascii="AcadNusx" w:hAnsi="AcadNusx"/>
          <w:lang w:val="ka-GE"/>
        </w:rPr>
        <w:t xml:space="preserve"> 2.0 </w:t>
      </w:r>
      <w:r w:rsidRPr="009C623D">
        <w:rPr>
          <w:rFonts w:ascii="Sylfaen" w:hAnsi="Sylfaen" w:cs="Sylfaen"/>
          <w:lang w:val="ka-GE"/>
        </w:rPr>
        <w:t>მილიონ</w:t>
      </w:r>
      <w:r w:rsidRPr="009C623D">
        <w:rPr>
          <w:rFonts w:ascii="AcadNusx" w:hAnsi="AcadNusx"/>
          <w:lang w:val="ka-GE"/>
        </w:rPr>
        <w:t xml:space="preserve"> </w:t>
      </w:r>
      <w:r w:rsidRPr="009C623D">
        <w:rPr>
          <w:rFonts w:ascii="Sylfaen" w:hAnsi="Sylfaen" w:cs="Sylfaen"/>
          <w:lang w:val="ka-GE"/>
        </w:rPr>
        <w:t>სტანდარტული</w:t>
      </w:r>
      <w:r w:rsidRPr="009C623D">
        <w:rPr>
          <w:rFonts w:ascii="AcadNusx" w:hAnsi="AcadNusx"/>
          <w:lang w:val="ka-GE"/>
        </w:rPr>
        <w:t xml:space="preserve"> </w:t>
      </w:r>
      <w:r w:rsidRPr="009C623D">
        <w:rPr>
          <w:rFonts w:ascii="Sylfaen" w:hAnsi="Sylfaen" w:cs="Sylfaen"/>
          <w:lang w:val="ka-GE"/>
        </w:rPr>
        <w:t>ღერძის</w:t>
      </w:r>
      <w:r w:rsidRPr="009C623D">
        <w:rPr>
          <w:rFonts w:ascii="AcadNusx" w:hAnsi="AcadNusx"/>
          <w:lang w:val="ka-GE"/>
        </w:rPr>
        <w:t xml:space="preserve"> </w:t>
      </w:r>
      <w:r w:rsidRPr="009C623D">
        <w:rPr>
          <w:rFonts w:ascii="Sylfaen" w:hAnsi="Sylfaen" w:cs="Sylfaen"/>
          <w:lang w:val="ka-GE"/>
        </w:rPr>
        <w:t>ექვივალენტზე</w:t>
      </w:r>
      <w:r w:rsidRPr="009C623D">
        <w:rPr>
          <w:rFonts w:ascii="AcadNusx" w:hAnsi="AcadNusx"/>
          <w:lang w:val="ka-GE"/>
        </w:rPr>
        <w:t xml:space="preserve"> </w:t>
      </w:r>
      <w:r w:rsidRPr="009C623D">
        <w:rPr>
          <w:rFonts w:ascii="Sylfaen" w:hAnsi="Sylfaen" w:cs="Sylfaen"/>
          <w:lang w:val="ka-GE"/>
        </w:rPr>
        <w:t>მაღალი</w:t>
      </w:r>
      <w:r w:rsidRPr="009C623D">
        <w:rPr>
          <w:rFonts w:ascii="AcadNusx" w:hAnsi="AcadNusx"/>
          <w:lang w:val="ka-GE"/>
        </w:rPr>
        <w:t xml:space="preserve"> </w:t>
      </w:r>
      <w:r w:rsidRPr="009C623D">
        <w:rPr>
          <w:rFonts w:ascii="Sylfaen" w:hAnsi="Sylfaen" w:cs="Sylfaen"/>
          <w:lang w:val="ka-GE"/>
        </w:rPr>
        <w:t>საანგარიშო</w:t>
      </w:r>
      <w:r w:rsidRPr="009C623D">
        <w:rPr>
          <w:rFonts w:ascii="AcadNusx" w:hAnsi="AcadNusx"/>
          <w:lang w:val="ka-GE"/>
        </w:rPr>
        <w:t xml:space="preserve"> </w:t>
      </w:r>
      <w:r w:rsidRPr="009C623D">
        <w:rPr>
          <w:rFonts w:ascii="Sylfaen" w:hAnsi="Sylfaen" w:cs="Sylfaen"/>
          <w:lang w:val="ka-GE"/>
        </w:rPr>
        <w:t>სატრანსპორტო</w:t>
      </w:r>
      <w:r w:rsidRPr="009C623D">
        <w:rPr>
          <w:rFonts w:ascii="AcadNusx" w:hAnsi="AcadNusx"/>
          <w:lang w:val="ka-GE"/>
        </w:rPr>
        <w:t xml:space="preserve"> </w:t>
      </w:r>
      <w:r w:rsidRPr="009C623D">
        <w:rPr>
          <w:rFonts w:ascii="Sylfaen" w:hAnsi="Sylfaen" w:cs="Sylfaen"/>
          <w:lang w:val="ka-GE"/>
        </w:rPr>
        <w:t>დატვირთვის</w:t>
      </w:r>
      <w:r w:rsidRPr="009C623D">
        <w:rPr>
          <w:rFonts w:ascii="AcadNusx" w:hAnsi="AcadNusx"/>
          <w:lang w:val="ka-GE"/>
        </w:rPr>
        <w:t xml:space="preserve"> </w:t>
      </w:r>
      <w:r w:rsidRPr="009C623D">
        <w:rPr>
          <w:rFonts w:ascii="Sylfaen" w:hAnsi="Sylfaen" w:cs="Sylfaen"/>
          <w:lang w:val="ka-GE"/>
        </w:rPr>
        <w:t>შესაბამისი</w:t>
      </w:r>
      <w:r w:rsidRPr="009C623D">
        <w:rPr>
          <w:rFonts w:ascii="AcadNusx" w:hAnsi="AcadNusx"/>
          <w:lang w:val="ka-GE"/>
        </w:rPr>
        <w:t xml:space="preserve"> </w:t>
      </w:r>
      <w:r w:rsidRPr="009C623D">
        <w:rPr>
          <w:rFonts w:ascii="Sylfaen" w:hAnsi="Sylfaen" w:cs="Sylfaen"/>
          <w:lang w:val="ka-GE"/>
        </w:rPr>
        <w:t>ასფალტის</w:t>
      </w:r>
      <w:r w:rsidRPr="009C623D">
        <w:rPr>
          <w:rFonts w:ascii="AcadNusx" w:hAnsi="AcadNusx"/>
          <w:lang w:val="ka-GE"/>
        </w:rPr>
        <w:t xml:space="preserve"> </w:t>
      </w:r>
      <w:r w:rsidRPr="009C623D">
        <w:rPr>
          <w:rFonts w:ascii="Sylfaen" w:hAnsi="Sylfaen" w:cs="Sylfaen"/>
          <w:lang w:val="ka-GE"/>
        </w:rPr>
        <w:t>საფარის</w:t>
      </w:r>
      <w:r w:rsidRPr="009C623D">
        <w:rPr>
          <w:rFonts w:ascii="AcadNusx" w:hAnsi="AcadNusx"/>
          <w:lang w:val="ka-GE"/>
        </w:rPr>
        <w:t xml:space="preserve"> </w:t>
      </w:r>
      <w:r w:rsidRPr="009C623D">
        <w:rPr>
          <w:rFonts w:ascii="Sylfaen" w:hAnsi="Sylfaen" w:cs="Sylfaen"/>
          <w:lang w:val="ka-GE"/>
        </w:rPr>
        <w:t>მინიმალური</w:t>
      </w:r>
      <w:r w:rsidRPr="009C623D">
        <w:rPr>
          <w:rFonts w:ascii="AcadNusx" w:hAnsi="AcadNusx"/>
          <w:lang w:val="ka-GE"/>
        </w:rPr>
        <w:t xml:space="preserve"> </w:t>
      </w:r>
      <w:r w:rsidRPr="009C623D">
        <w:rPr>
          <w:rFonts w:ascii="Sylfaen" w:hAnsi="Sylfaen" w:cs="Sylfaen"/>
          <w:lang w:val="ka-GE"/>
        </w:rPr>
        <w:t>სისქე</w:t>
      </w:r>
      <w:r w:rsidRPr="009C623D">
        <w:rPr>
          <w:rFonts w:ascii="AcadNusx" w:hAnsi="AcadNusx"/>
          <w:lang w:val="ka-GE"/>
        </w:rPr>
        <w:t xml:space="preserve"> </w:t>
      </w:r>
      <w:r w:rsidRPr="009C623D">
        <w:rPr>
          <w:rFonts w:ascii="Sylfaen" w:hAnsi="Sylfaen" w:cs="Sylfaen"/>
          <w:lang w:val="ka-GE"/>
        </w:rPr>
        <w:t>შეადგენს</w:t>
      </w:r>
      <w:r w:rsidRPr="009C623D">
        <w:rPr>
          <w:rFonts w:ascii="AcadNusx" w:hAnsi="AcadNusx"/>
          <w:lang w:val="ka-GE"/>
        </w:rPr>
        <w:t xml:space="preserve"> 3.5 </w:t>
      </w:r>
      <w:r w:rsidRPr="009C623D">
        <w:rPr>
          <w:rFonts w:ascii="Sylfaen" w:hAnsi="Sylfaen" w:cs="Sylfaen"/>
          <w:lang w:val="ka-GE"/>
        </w:rPr>
        <w:t>დიუმს</w:t>
      </w:r>
      <w:r w:rsidRPr="009C623D">
        <w:rPr>
          <w:rFonts w:ascii="AcadNusx" w:hAnsi="AcadNusx"/>
          <w:lang w:val="ka-GE"/>
        </w:rPr>
        <w:t xml:space="preserve"> (</w:t>
      </w:r>
      <w:r w:rsidRPr="009C623D">
        <w:rPr>
          <w:rFonts w:ascii="Sylfaen" w:hAnsi="Sylfaen" w:cs="Sylfaen"/>
          <w:lang w:val="ka-GE"/>
        </w:rPr>
        <w:t>მიახ</w:t>
      </w:r>
      <w:r w:rsidRPr="009C623D">
        <w:rPr>
          <w:rFonts w:ascii="AcadNusx" w:hAnsi="AcadNusx"/>
          <w:lang w:val="ka-GE"/>
        </w:rPr>
        <w:t xml:space="preserve">. 90 </w:t>
      </w:r>
      <w:r w:rsidRPr="009C623D">
        <w:rPr>
          <w:rFonts w:ascii="Sylfaen" w:hAnsi="Sylfaen" w:cs="Sylfaen"/>
          <w:lang w:val="ka-GE"/>
        </w:rPr>
        <w:t>მმ</w:t>
      </w:r>
      <w:r w:rsidRPr="009C623D">
        <w:rPr>
          <w:rFonts w:ascii="AcadNusx" w:hAnsi="AcadNusx"/>
          <w:lang w:val="ka-GE"/>
        </w:rPr>
        <w:t xml:space="preserve">). </w:t>
      </w:r>
    </w:p>
    <w:p w14:paraId="4B44D66B" w14:textId="3CFBCBEC" w:rsidR="009C623D" w:rsidRPr="009C623D" w:rsidRDefault="009C623D" w:rsidP="009C623D">
      <w:pPr>
        <w:spacing w:before="120" w:after="120"/>
        <w:rPr>
          <w:rFonts w:ascii="AcadNusx" w:hAnsi="AcadNusx"/>
          <w:lang w:val="ka-GE"/>
        </w:rPr>
      </w:pPr>
      <w:r>
        <w:rPr>
          <w:rFonts w:ascii="Sylfaen" w:hAnsi="Sylfaen" w:cs="Sylfaen"/>
          <w:lang w:val="en-US"/>
        </w:rPr>
        <w:t>I</w:t>
      </w:r>
      <w:r w:rsidRPr="009C623D">
        <w:rPr>
          <w:rFonts w:ascii="AcadNusx" w:hAnsi="AcadNusx"/>
          <w:lang w:val="ka-GE"/>
        </w:rPr>
        <w:t xml:space="preserve"> </w:t>
      </w:r>
      <w:r w:rsidRPr="009C623D">
        <w:rPr>
          <w:rFonts w:ascii="Sylfaen" w:hAnsi="Sylfaen" w:cs="Sylfaen"/>
          <w:lang w:val="ka-GE"/>
        </w:rPr>
        <w:t>ალტერნატიული</w:t>
      </w:r>
      <w:r w:rsidRPr="009C623D">
        <w:rPr>
          <w:rFonts w:ascii="AcadNusx" w:hAnsi="AcadNusx"/>
          <w:lang w:val="ka-GE"/>
        </w:rPr>
        <w:t xml:space="preserve"> </w:t>
      </w:r>
      <w:r w:rsidRPr="009C623D">
        <w:rPr>
          <w:rFonts w:ascii="Sylfaen" w:hAnsi="Sylfaen" w:cs="Sylfaen"/>
          <w:lang w:val="ka-GE"/>
        </w:rPr>
        <w:t>ვარიანტი</w:t>
      </w:r>
      <w:r w:rsidRPr="009C623D">
        <w:rPr>
          <w:rFonts w:ascii="AcadNusx" w:hAnsi="AcadNusx"/>
          <w:lang w:val="ka-GE"/>
        </w:rPr>
        <w:t xml:space="preserve">: </w:t>
      </w:r>
      <w:r w:rsidRPr="009C623D">
        <w:rPr>
          <w:rFonts w:ascii="Sylfaen" w:hAnsi="Sylfaen" w:cs="Sylfaen"/>
          <w:lang w:val="ka-GE"/>
        </w:rPr>
        <w:t>ასფალტის</w:t>
      </w:r>
      <w:r w:rsidRPr="009C623D">
        <w:rPr>
          <w:rFonts w:ascii="AcadNusx" w:hAnsi="AcadNusx"/>
          <w:lang w:val="ka-GE"/>
        </w:rPr>
        <w:t xml:space="preserve"> </w:t>
      </w:r>
      <w:r w:rsidRPr="009C623D">
        <w:rPr>
          <w:rFonts w:ascii="Sylfaen" w:hAnsi="Sylfaen" w:cs="Sylfaen"/>
          <w:lang w:val="ka-GE"/>
        </w:rPr>
        <w:t>საფარის</w:t>
      </w:r>
      <w:r w:rsidRPr="009C623D">
        <w:rPr>
          <w:rFonts w:ascii="AcadNusx" w:hAnsi="AcadNusx"/>
          <w:lang w:val="ka-GE"/>
        </w:rPr>
        <w:t xml:space="preserve"> </w:t>
      </w:r>
      <w:r w:rsidRPr="009C623D">
        <w:rPr>
          <w:rFonts w:ascii="Sylfaen" w:hAnsi="Sylfaen" w:cs="Sylfaen"/>
          <w:lang w:val="ka-GE"/>
        </w:rPr>
        <w:t>ფენების</w:t>
      </w:r>
      <w:r w:rsidRPr="009C623D">
        <w:rPr>
          <w:rFonts w:ascii="AcadNusx" w:hAnsi="AcadNusx"/>
          <w:lang w:val="ka-GE"/>
        </w:rPr>
        <w:t xml:space="preserve"> </w:t>
      </w:r>
      <w:r w:rsidRPr="009C623D">
        <w:rPr>
          <w:rFonts w:ascii="Sylfaen" w:hAnsi="Sylfaen" w:cs="Sylfaen"/>
          <w:lang w:val="ka-GE"/>
        </w:rPr>
        <w:t>დაგება</w:t>
      </w:r>
      <w:r w:rsidRPr="009C623D">
        <w:rPr>
          <w:rFonts w:ascii="AcadNusx" w:hAnsi="AcadNusx"/>
          <w:lang w:val="ka-GE"/>
        </w:rPr>
        <w:t xml:space="preserve"> </w:t>
      </w:r>
      <w:r w:rsidRPr="009C623D">
        <w:rPr>
          <w:rFonts w:ascii="Sylfaen" w:hAnsi="Sylfaen" w:cs="Sylfaen"/>
          <w:lang w:val="ka-GE"/>
        </w:rPr>
        <w:t>მარცვლოვან</w:t>
      </w:r>
      <w:r w:rsidRPr="009C623D">
        <w:rPr>
          <w:rFonts w:ascii="AcadNusx" w:hAnsi="AcadNusx"/>
          <w:lang w:val="ka-GE"/>
        </w:rPr>
        <w:t xml:space="preserve"> </w:t>
      </w:r>
      <w:r w:rsidRPr="009C623D">
        <w:rPr>
          <w:rFonts w:ascii="Sylfaen" w:hAnsi="Sylfaen" w:cs="Sylfaen"/>
          <w:lang w:val="ka-GE"/>
        </w:rPr>
        <w:t>ფენებზე</w:t>
      </w:r>
    </w:p>
    <w:p w14:paraId="2AE293F9" w14:textId="77777777" w:rsidR="009C623D" w:rsidRPr="009C623D" w:rsidRDefault="009C623D" w:rsidP="009C623D">
      <w:pPr>
        <w:spacing w:before="120" w:after="120"/>
        <w:rPr>
          <w:rFonts w:ascii="AcadNusx" w:hAnsi="AcadNusx"/>
          <w:lang w:val="ka-GE"/>
        </w:rPr>
      </w:pPr>
      <w:r w:rsidRPr="009C623D">
        <w:rPr>
          <w:rFonts w:ascii="Sylfaen" w:hAnsi="Sylfaen" w:cs="Sylfaen"/>
          <w:lang w:val="ka-GE"/>
        </w:rPr>
        <w:t>აღნიშნული</w:t>
      </w:r>
      <w:r w:rsidRPr="009C623D">
        <w:rPr>
          <w:rFonts w:ascii="AcadNusx" w:hAnsi="AcadNusx"/>
          <w:lang w:val="ka-GE"/>
        </w:rPr>
        <w:t xml:space="preserve"> </w:t>
      </w:r>
      <w:r w:rsidRPr="009C623D">
        <w:rPr>
          <w:rFonts w:ascii="Sylfaen" w:hAnsi="Sylfaen" w:cs="Sylfaen"/>
          <w:lang w:val="ka-GE"/>
        </w:rPr>
        <w:t>ალტერნატიული</w:t>
      </w:r>
      <w:r w:rsidRPr="009C623D">
        <w:rPr>
          <w:rFonts w:ascii="AcadNusx" w:hAnsi="AcadNusx"/>
          <w:lang w:val="ka-GE"/>
        </w:rPr>
        <w:t xml:space="preserve"> </w:t>
      </w:r>
      <w:r w:rsidRPr="009C623D">
        <w:rPr>
          <w:rFonts w:ascii="Sylfaen" w:hAnsi="Sylfaen" w:cs="Sylfaen"/>
          <w:lang w:val="ka-GE"/>
        </w:rPr>
        <w:t>საგზაო</w:t>
      </w:r>
      <w:r w:rsidRPr="009C623D">
        <w:rPr>
          <w:rFonts w:ascii="AcadNusx" w:hAnsi="AcadNusx"/>
          <w:lang w:val="ka-GE"/>
        </w:rPr>
        <w:t xml:space="preserve"> </w:t>
      </w:r>
      <w:r w:rsidRPr="009C623D">
        <w:rPr>
          <w:rFonts w:ascii="Sylfaen" w:hAnsi="Sylfaen" w:cs="Sylfaen"/>
          <w:lang w:val="ka-GE"/>
        </w:rPr>
        <w:t>სამოსი</w:t>
      </w:r>
      <w:r w:rsidRPr="009C623D">
        <w:rPr>
          <w:rFonts w:ascii="AcadNusx" w:hAnsi="AcadNusx"/>
          <w:lang w:val="ka-GE"/>
        </w:rPr>
        <w:t xml:space="preserve"> </w:t>
      </w:r>
      <w:r w:rsidRPr="009C623D">
        <w:rPr>
          <w:rFonts w:ascii="Sylfaen" w:hAnsi="Sylfaen" w:cs="Sylfaen"/>
          <w:lang w:val="ka-GE"/>
        </w:rPr>
        <w:t>შედგება</w:t>
      </w:r>
      <w:r w:rsidRPr="009C623D">
        <w:rPr>
          <w:rFonts w:ascii="AcadNusx" w:hAnsi="AcadNusx"/>
          <w:lang w:val="ka-GE"/>
        </w:rPr>
        <w:t xml:space="preserve"> </w:t>
      </w:r>
      <w:r w:rsidRPr="009C623D">
        <w:rPr>
          <w:rFonts w:ascii="Sylfaen" w:hAnsi="Sylfaen" w:cs="Sylfaen"/>
          <w:lang w:val="ka-GE"/>
        </w:rPr>
        <w:t>ასფალტის</w:t>
      </w:r>
      <w:r w:rsidRPr="009C623D">
        <w:rPr>
          <w:rFonts w:ascii="AcadNusx" w:hAnsi="AcadNusx"/>
          <w:lang w:val="ka-GE"/>
        </w:rPr>
        <w:t xml:space="preserve"> </w:t>
      </w:r>
      <w:r w:rsidRPr="009C623D">
        <w:rPr>
          <w:rFonts w:ascii="Sylfaen" w:hAnsi="Sylfaen" w:cs="Sylfaen"/>
          <w:lang w:val="ka-GE"/>
        </w:rPr>
        <w:t>საფარის</w:t>
      </w:r>
      <w:r w:rsidRPr="009C623D">
        <w:rPr>
          <w:rFonts w:ascii="AcadNusx" w:hAnsi="AcadNusx"/>
          <w:lang w:val="ka-GE"/>
        </w:rPr>
        <w:t xml:space="preserve"> </w:t>
      </w:r>
      <w:r w:rsidRPr="009C623D">
        <w:rPr>
          <w:rFonts w:ascii="Sylfaen" w:hAnsi="Sylfaen" w:cs="Sylfaen"/>
          <w:lang w:val="ka-GE"/>
        </w:rPr>
        <w:t>ზედა</w:t>
      </w:r>
      <w:r w:rsidRPr="009C623D">
        <w:rPr>
          <w:rFonts w:ascii="AcadNusx" w:hAnsi="AcadNusx"/>
          <w:lang w:val="ka-GE"/>
        </w:rPr>
        <w:t xml:space="preserve"> </w:t>
      </w:r>
      <w:r w:rsidRPr="009C623D">
        <w:rPr>
          <w:rFonts w:ascii="Sylfaen" w:hAnsi="Sylfaen" w:cs="Sylfaen"/>
          <w:lang w:val="ka-GE"/>
        </w:rPr>
        <w:t>და</w:t>
      </w:r>
      <w:r w:rsidRPr="009C623D">
        <w:rPr>
          <w:rFonts w:ascii="AcadNusx" w:hAnsi="AcadNusx"/>
          <w:lang w:val="ka-GE"/>
        </w:rPr>
        <w:t xml:space="preserve"> </w:t>
      </w:r>
      <w:r w:rsidRPr="009C623D">
        <w:rPr>
          <w:rFonts w:ascii="Sylfaen" w:hAnsi="Sylfaen" w:cs="Sylfaen"/>
          <w:lang w:val="ka-GE"/>
        </w:rPr>
        <w:t>ქვედა</w:t>
      </w:r>
      <w:r w:rsidRPr="009C623D">
        <w:rPr>
          <w:rFonts w:ascii="AcadNusx" w:hAnsi="AcadNusx"/>
          <w:lang w:val="ka-GE"/>
        </w:rPr>
        <w:t xml:space="preserve"> </w:t>
      </w:r>
      <w:r w:rsidRPr="009C623D">
        <w:rPr>
          <w:rFonts w:ascii="Sylfaen" w:hAnsi="Sylfaen" w:cs="Sylfaen"/>
          <w:lang w:val="ka-GE"/>
        </w:rPr>
        <w:t>ფენებისგან</w:t>
      </w:r>
      <w:r w:rsidRPr="009C623D">
        <w:rPr>
          <w:rFonts w:ascii="AcadNusx" w:hAnsi="AcadNusx"/>
          <w:lang w:val="ka-GE"/>
        </w:rPr>
        <w:t xml:space="preserve"> </w:t>
      </w:r>
      <w:r w:rsidRPr="009C623D">
        <w:rPr>
          <w:rFonts w:ascii="Sylfaen" w:hAnsi="Sylfaen" w:cs="Sylfaen"/>
          <w:lang w:val="ka-GE"/>
        </w:rPr>
        <w:t>და</w:t>
      </w:r>
      <w:r w:rsidRPr="009C623D">
        <w:rPr>
          <w:rFonts w:ascii="AcadNusx" w:hAnsi="AcadNusx"/>
          <w:lang w:val="ka-GE"/>
        </w:rPr>
        <w:t xml:space="preserve"> </w:t>
      </w:r>
      <w:r w:rsidRPr="009C623D">
        <w:rPr>
          <w:rFonts w:ascii="Sylfaen" w:hAnsi="Sylfaen" w:cs="Sylfaen"/>
          <w:lang w:val="ka-GE"/>
        </w:rPr>
        <w:t>მათ</w:t>
      </w:r>
      <w:r w:rsidRPr="009C623D">
        <w:rPr>
          <w:rFonts w:ascii="AcadNusx" w:hAnsi="AcadNusx"/>
          <w:lang w:val="ka-GE"/>
        </w:rPr>
        <w:t xml:space="preserve"> </w:t>
      </w:r>
      <w:r w:rsidRPr="009C623D">
        <w:rPr>
          <w:rFonts w:ascii="Sylfaen" w:hAnsi="Sylfaen" w:cs="Sylfaen"/>
          <w:lang w:val="ka-GE"/>
        </w:rPr>
        <w:t>ქვეშ</w:t>
      </w:r>
      <w:r w:rsidRPr="009C623D">
        <w:rPr>
          <w:rFonts w:ascii="AcadNusx" w:hAnsi="AcadNusx"/>
          <w:lang w:val="ka-GE"/>
        </w:rPr>
        <w:t xml:space="preserve"> </w:t>
      </w:r>
      <w:r w:rsidRPr="009C623D">
        <w:rPr>
          <w:rFonts w:ascii="Sylfaen" w:hAnsi="Sylfaen" w:cs="Sylfaen"/>
          <w:lang w:val="ka-GE"/>
        </w:rPr>
        <w:t>დაგებული</w:t>
      </w:r>
      <w:r w:rsidRPr="009C623D">
        <w:rPr>
          <w:rFonts w:ascii="AcadNusx" w:hAnsi="AcadNusx"/>
          <w:lang w:val="ka-GE"/>
        </w:rPr>
        <w:t xml:space="preserve"> </w:t>
      </w:r>
      <w:r w:rsidRPr="009C623D">
        <w:rPr>
          <w:rFonts w:ascii="Sylfaen" w:hAnsi="Sylfaen" w:cs="Sylfaen"/>
          <w:lang w:val="ka-GE"/>
        </w:rPr>
        <w:t>ღორღოვანი</w:t>
      </w:r>
      <w:r w:rsidRPr="009C623D">
        <w:rPr>
          <w:rFonts w:ascii="AcadNusx" w:hAnsi="AcadNusx"/>
          <w:lang w:val="ka-GE"/>
        </w:rPr>
        <w:t xml:space="preserve"> </w:t>
      </w:r>
      <w:r w:rsidRPr="009C623D">
        <w:rPr>
          <w:rFonts w:ascii="Sylfaen" w:hAnsi="Sylfaen" w:cs="Sylfaen"/>
          <w:lang w:val="ka-GE"/>
        </w:rPr>
        <w:t>საფუძვლისგან</w:t>
      </w:r>
      <w:r w:rsidRPr="009C623D">
        <w:rPr>
          <w:rFonts w:ascii="AcadNusx" w:hAnsi="AcadNusx"/>
          <w:lang w:val="ka-GE"/>
        </w:rPr>
        <w:t xml:space="preserve">, </w:t>
      </w:r>
      <w:r w:rsidRPr="009C623D">
        <w:rPr>
          <w:rFonts w:ascii="Sylfaen" w:hAnsi="Sylfaen" w:cs="Sylfaen"/>
          <w:lang w:val="ka-GE"/>
        </w:rPr>
        <w:t>რომლის</w:t>
      </w:r>
      <w:r w:rsidRPr="009C623D">
        <w:rPr>
          <w:rFonts w:ascii="AcadNusx" w:hAnsi="AcadNusx"/>
          <w:lang w:val="ka-GE"/>
        </w:rPr>
        <w:t xml:space="preserve"> </w:t>
      </w:r>
      <w:r w:rsidRPr="009C623D">
        <w:rPr>
          <w:rFonts w:ascii="Sylfaen" w:hAnsi="Sylfaen" w:cs="Sylfaen"/>
          <w:lang w:val="ka-GE"/>
        </w:rPr>
        <w:t>ქვემოთ</w:t>
      </w:r>
      <w:r w:rsidRPr="009C623D">
        <w:rPr>
          <w:rFonts w:ascii="AcadNusx" w:hAnsi="AcadNusx"/>
          <w:lang w:val="ka-GE"/>
        </w:rPr>
        <w:t xml:space="preserve"> </w:t>
      </w:r>
      <w:r w:rsidRPr="009C623D">
        <w:rPr>
          <w:rFonts w:ascii="Sylfaen" w:hAnsi="Sylfaen" w:cs="Sylfaen"/>
          <w:lang w:val="ka-GE"/>
        </w:rPr>
        <w:t>განთავსებულია</w:t>
      </w:r>
      <w:r w:rsidRPr="009C623D">
        <w:rPr>
          <w:rFonts w:ascii="AcadNusx" w:hAnsi="AcadNusx"/>
          <w:lang w:val="ka-GE"/>
        </w:rPr>
        <w:t xml:space="preserve"> </w:t>
      </w:r>
      <w:r w:rsidRPr="009C623D">
        <w:rPr>
          <w:rFonts w:ascii="Sylfaen" w:hAnsi="Sylfaen" w:cs="Sylfaen"/>
          <w:lang w:val="ka-GE"/>
        </w:rPr>
        <w:t>საფუძველის</w:t>
      </w:r>
      <w:r w:rsidRPr="009C623D">
        <w:rPr>
          <w:rFonts w:ascii="AcadNusx" w:hAnsi="AcadNusx"/>
          <w:lang w:val="ka-GE"/>
        </w:rPr>
        <w:t xml:space="preserve"> </w:t>
      </w:r>
      <w:r w:rsidRPr="009C623D">
        <w:rPr>
          <w:rFonts w:ascii="Sylfaen" w:hAnsi="Sylfaen" w:cs="Sylfaen"/>
          <w:lang w:val="ka-GE"/>
        </w:rPr>
        <w:t>შესასწორებელი</w:t>
      </w:r>
      <w:r w:rsidRPr="009C623D">
        <w:rPr>
          <w:rFonts w:ascii="AcadNusx" w:hAnsi="AcadNusx"/>
          <w:lang w:val="ka-GE"/>
        </w:rPr>
        <w:t xml:space="preserve"> </w:t>
      </w:r>
      <w:r w:rsidRPr="009C623D">
        <w:rPr>
          <w:rFonts w:ascii="Sylfaen" w:hAnsi="Sylfaen" w:cs="Sylfaen"/>
          <w:lang w:val="ka-GE"/>
        </w:rPr>
        <w:t>ფენა</w:t>
      </w:r>
      <w:r w:rsidRPr="009C623D">
        <w:rPr>
          <w:rFonts w:ascii="AcadNusx" w:hAnsi="AcadNusx"/>
          <w:lang w:val="ka-GE"/>
        </w:rPr>
        <w:t xml:space="preserve">. </w:t>
      </w:r>
      <w:r w:rsidRPr="009C623D">
        <w:rPr>
          <w:rFonts w:ascii="Sylfaen" w:hAnsi="Sylfaen" w:cs="Sylfaen"/>
          <w:lang w:val="ka-GE"/>
        </w:rPr>
        <w:t>შეკავშირებული</w:t>
      </w:r>
      <w:r w:rsidRPr="009C623D">
        <w:rPr>
          <w:rFonts w:ascii="AcadNusx" w:hAnsi="AcadNusx"/>
          <w:lang w:val="ka-GE"/>
        </w:rPr>
        <w:t xml:space="preserve"> </w:t>
      </w:r>
      <w:r w:rsidRPr="009C623D">
        <w:rPr>
          <w:rFonts w:ascii="Sylfaen" w:hAnsi="Sylfaen" w:cs="Sylfaen"/>
          <w:lang w:val="ka-GE"/>
        </w:rPr>
        <w:t>ფენის</w:t>
      </w:r>
      <w:r w:rsidRPr="009C623D">
        <w:rPr>
          <w:rFonts w:ascii="AcadNusx" w:hAnsi="AcadNusx"/>
          <w:lang w:val="ka-GE"/>
        </w:rPr>
        <w:t xml:space="preserve"> </w:t>
      </w:r>
      <w:r w:rsidRPr="009C623D">
        <w:rPr>
          <w:rFonts w:ascii="Sylfaen" w:hAnsi="Sylfaen" w:cs="Sylfaen"/>
          <w:lang w:val="ka-GE"/>
        </w:rPr>
        <w:t>თავზე</w:t>
      </w:r>
      <w:r w:rsidRPr="009C623D">
        <w:rPr>
          <w:rFonts w:ascii="AcadNusx" w:hAnsi="AcadNusx"/>
          <w:lang w:val="ka-GE"/>
        </w:rPr>
        <w:t xml:space="preserve"> </w:t>
      </w:r>
      <w:r w:rsidRPr="009C623D">
        <w:rPr>
          <w:rFonts w:ascii="Sylfaen" w:hAnsi="Sylfaen" w:cs="Sylfaen"/>
          <w:lang w:val="ka-GE"/>
        </w:rPr>
        <w:t>საჭირო</w:t>
      </w:r>
      <w:r w:rsidRPr="009C623D">
        <w:rPr>
          <w:rFonts w:ascii="AcadNusx" w:hAnsi="AcadNusx"/>
          <w:lang w:val="ka-GE"/>
        </w:rPr>
        <w:t xml:space="preserve"> </w:t>
      </w:r>
      <w:r w:rsidRPr="009C623D">
        <w:rPr>
          <w:rFonts w:ascii="Sylfaen" w:hAnsi="Sylfaen" w:cs="Sylfaen"/>
          <w:lang w:val="ka-GE"/>
        </w:rPr>
        <w:t>იქნება</w:t>
      </w:r>
      <w:r w:rsidRPr="009C623D">
        <w:rPr>
          <w:rFonts w:ascii="AcadNusx" w:hAnsi="AcadNusx"/>
          <w:lang w:val="ka-GE"/>
        </w:rPr>
        <w:t xml:space="preserve"> </w:t>
      </w:r>
      <w:r w:rsidRPr="009C623D">
        <w:rPr>
          <w:rFonts w:ascii="Sylfaen" w:hAnsi="Sylfaen" w:cs="Sylfaen"/>
          <w:lang w:val="ka-GE"/>
        </w:rPr>
        <w:t>დამატებით</w:t>
      </w:r>
      <w:r w:rsidRPr="009C623D">
        <w:rPr>
          <w:rFonts w:ascii="AcadNusx" w:hAnsi="AcadNusx"/>
          <w:lang w:val="ka-GE"/>
        </w:rPr>
        <w:t xml:space="preserve"> 300 </w:t>
      </w:r>
      <w:r w:rsidRPr="009C623D">
        <w:rPr>
          <w:rFonts w:ascii="Sylfaen" w:hAnsi="Sylfaen" w:cs="Sylfaen"/>
          <w:lang w:val="ka-GE"/>
        </w:rPr>
        <w:t>მმ</w:t>
      </w:r>
      <w:r w:rsidRPr="009C623D">
        <w:rPr>
          <w:rFonts w:ascii="AcadNusx" w:hAnsi="AcadNusx"/>
          <w:lang w:val="ka-GE"/>
        </w:rPr>
        <w:t xml:space="preserve"> </w:t>
      </w:r>
      <w:r w:rsidRPr="009C623D">
        <w:rPr>
          <w:rFonts w:ascii="Sylfaen" w:hAnsi="Sylfaen" w:cs="Sylfaen"/>
          <w:lang w:val="ka-GE"/>
        </w:rPr>
        <w:t>მარცვლოვანი</w:t>
      </w:r>
      <w:r w:rsidRPr="009C623D">
        <w:rPr>
          <w:rFonts w:ascii="AcadNusx" w:hAnsi="AcadNusx"/>
          <w:lang w:val="ka-GE"/>
        </w:rPr>
        <w:t xml:space="preserve"> </w:t>
      </w:r>
      <w:r w:rsidRPr="009C623D">
        <w:rPr>
          <w:rFonts w:ascii="Sylfaen" w:hAnsi="Sylfaen" w:cs="Sylfaen"/>
          <w:lang w:val="ka-GE"/>
        </w:rPr>
        <w:t>ფენის</w:t>
      </w:r>
      <w:r w:rsidRPr="009C623D">
        <w:rPr>
          <w:rFonts w:ascii="AcadNusx" w:hAnsi="AcadNusx"/>
          <w:lang w:val="ka-GE"/>
        </w:rPr>
        <w:t xml:space="preserve"> </w:t>
      </w:r>
      <w:r w:rsidRPr="009C623D">
        <w:rPr>
          <w:rFonts w:ascii="Sylfaen" w:hAnsi="Sylfaen" w:cs="Sylfaen"/>
          <w:lang w:val="ka-GE"/>
        </w:rPr>
        <w:t>მოწყობა</w:t>
      </w:r>
      <w:r w:rsidRPr="009C623D">
        <w:rPr>
          <w:rFonts w:ascii="AcadNusx" w:hAnsi="AcadNusx"/>
          <w:lang w:val="ka-GE"/>
        </w:rPr>
        <w:t>.</w:t>
      </w:r>
    </w:p>
    <w:p w14:paraId="51538DC6" w14:textId="141ECFAB" w:rsidR="009C623D" w:rsidRPr="009C623D" w:rsidRDefault="009C623D" w:rsidP="009C623D">
      <w:pPr>
        <w:spacing w:before="120" w:after="120"/>
        <w:rPr>
          <w:rFonts w:ascii="AcadNusx" w:hAnsi="AcadNusx"/>
          <w:lang w:val="en-US"/>
        </w:rPr>
      </w:pPr>
      <w:r w:rsidRPr="009C623D">
        <w:rPr>
          <w:rFonts w:ascii="Sylfaen" w:hAnsi="Sylfaen" w:cs="Sylfaen"/>
          <w:lang w:val="ka-GE"/>
        </w:rPr>
        <w:t>საგზაო</w:t>
      </w:r>
      <w:r w:rsidRPr="009C623D">
        <w:rPr>
          <w:rFonts w:ascii="AcadNusx" w:hAnsi="AcadNusx"/>
          <w:lang w:val="ka-GE"/>
        </w:rPr>
        <w:t xml:space="preserve"> </w:t>
      </w:r>
      <w:r w:rsidRPr="009C623D">
        <w:rPr>
          <w:rFonts w:ascii="Sylfaen" w:hAnsi="Sylfaen" w:cs="Sylfaen"/>
          <w:lang w:val="ka-GE"/>
        </w:rPr>
        <w:t>სამოსის</w:t>
      </w:r>
      <w:r w:rsidRPr="009C623D">
        <w:rPr>
          <w:rFonts w:ascii="AcadNusx" w:hAnsi="AcadNusx"/>
          <w:lang w:val="ka-GE"/>
        </w:rPr>
        <w:t xml:space="preserve"> </w:t>
      </w:r>
      <w:r w:rsidRPr="009C623D">
        <w:rPr>
          <w:rFonts w:ascii="Sylfaen" w:hAnsi="Sylfaen" w:cs="Sylfaen"/>
          <w:lang w:val="ka-GE"/>
        </w:rPr>
        <w:t>ფენების</w:t>
      </w:r>
      <w:r w:rsidRPr="009C623D">
        <w:rPr>
          <w:rFonts w:ascii="AcadNusx" w:hAnsi="AcadNusx"/>
          <w:lang w:val="ka-GE"/>
        </w:rPr>
        <w:t xml:space="preserve"> </w:t>
      </w:r>
      <w:r w:rsidRPr="009C623D">
        <w:rPr>
          <w:rFonts w:ascii="Sylfaen" w:hAnsi="Sylfaen" w:cs="Sylfaen"/>
          <w:lang w:val="ka-GE"/>
        </w:rPr>
        <w:t>სისქეები</w:t>
      </w:r>
      <w:r w:rsidRPr="009C623D">
        <w:rPr>
          <w:rFonts w:ascii="AcadNusx" w:hAnsi="AcadNusx"/>
          <w:lang w:val="ka-GE"/>
        </w:rPr>
        <w:t xml:space="preserve"> </w:t>
      </w:r>
      <w:r w:rsidRPr="009C623D">
        <w:rPr>
          <w:rFonts w:ascii="Sylfaen" w:hAnsi="Sylfaen" w:cs="Sylfaen"/>
          <w:lang w:val="ka-GE"/>
        </w:rPr>
        <w:t>გამოთვლილია</w:t>
      </w:r>
      <w:r w:rsidRPr="009C623D">
        <w:rPr>
          <w:rFonts w:ascii="AcadNusx" w:hAnsi="AcadNusx"/>
          <w:lang w:val="ka-GE"/>
        </w:rPr>
        <w:t xml:space="preserve"> </w:t>
      </w:r>
      <w:r>
        <w:rPr>
          <w:rFonts w:ascii="Sylfaen" w:hAnsi="Sylfaen" w:cs="Sylfaen"/>
          <w:lang w:val="en-US"/>
        </w:rPr>
        <w:t>AASHTO</w:t>
      </w:r>
      <w:r w:rsidRPr="009C623D">
        <w:rPr>
          <w:rFonts w:ascii="AcadNusx" w:hAnsi="AcadNusx"/>
          <w:lang w:val="ka-GE"/>
        </w:rPr>
        <w:t>-</w:t>
      </w:r>
      <w:r w:rsidRPr="009C623D">
        <w:rPr>
          <w:rFonts w:ascii="Sylfaen" w:hAnsi="Sylfaen" w:cs="Sylfaen"/>
          <w:lang w:val="ka-GE"/>
        </w:rPr>
        <w:t>ს</w:t>
      </w:r>
      <w:r w:rsidRPr="009C623D">
        <w:rPr>
          <w:rFonts w:ascii="AcadNusx" w:hAnsi="AcadNusx"/>
          <w:lang w:val="ka-GE"/>
        </w:rPr>
        <w:t xml:space="preserve"> </w:t>
      </w:r>
      <w:r w:rsidRPr="009C623D">
        <w:rPr>
          <w:rFonts w:ascii="Sylfaen" w:hAnsi="Sylfaen" w:cs="Sylfaen"/>
          <w:lang w:val="ka-GE"/>
        </w:rPr>
        <w:t>ავტომატიზირებული</w:t>
      </w:r>
      <w:r w:rsidRPr="009C623D">
        <w:rPr>
          <w:rFonts w:ascii="AcadNusx" w:hAnsi="AcadNusx"/>
          <w:lang w:val="ka-GE"/>
        </w:rPr>
        <w:t xml:space="preserve"> </w:t>
      </w:r>
      <w:r w:rsidRPr="009C623D">
        <w:rPr>
          <w:rFonts w:ascii="Sylfaen" w:hAnsi="Sylfaen" w:cs="Sylfaen"/>
          <w:lang w:val="ka-GE"/>
        </w:rPr>
        <w:t>პროექტირების</w:t>
      </w:r>
      <w:r w:rsidRPr="009C623D">
        <w:rPr>
          <w:rFonts w:ascii="AcadNusx" w:hAnsi="AcadNusx"/>
          <w:lang w:val="ka-GE"/>
        </w:rPr>
        <w:t xml:space="preserve"> </w:t>
      </w:r>
      <w:r w:rsidRPr="009C623D">
        <w:rPr>
          <w:rFonts w:ascii="Sylfaen" w:hAnsi="Sylfaen" w:cs="Sylfaen"/>
          <w:lang w:val="ka-GE"/>
        </w:rPr>
        <w:t>პროგრამით</w:t>
      </w:r>
      <w:r w:rsidRPr="009C623D">
        <w:rPr>
          <w:rFonts w:ascii="AcadNusx" w:hAnsi="AcadNusx"/>
          <w:lang w:val="ka-GE"/>
        </w:rPr>
        <w:t xml:space="preserve"> </w:t>
      </w:r>
      <w:r w:rsidR="00F25B6D">
        <w:rPr>
          <w:rFonts w:ascii="Sylfaen" w:hAnsi="Sylfaen" w:cs="Sylfaen"/>
          <w:lang w:val="en-US"/>
        </w:rPr>
        <w:t>DARWin</w:t>
      </w:r>
      <w:r w:rsidRPr="009C623D">
        <w:rPr>
          <w:rFonts w:ascii="AcadNusx" w:hAnsi="AcadNusx"/>
          <w:lang w:val="ka-GE"/>
        </w:rPr>
        <w:t xml:space="preserve"> 3.1, </w:t>
      </w:r>
      <w:r w:rsidRPr="009C623D">
        <w:rPr>
          <w:rFonts w:ascii="Sylfaen" w:hAnsi="Sylfaen" w:cs="Sylfaen"/>
          <w:lang w:val="ka-GE"/>
        </w:rPr>
        <w:t>რომელშიც</w:t>
      </w:r>
      <w:r w:rsidRPr="009C623D">
        <w:rPr>
          <w:rFonts w:ascii="AcadNusx" w:hAnsi="AcadNusx"/>
          <w:lang w:val="ka-GE"/>
        </w:rPr>
        <w:t xml:space="preserve"> </w:t>
      </w:r>
      <w:r w:rsidRPr="009C623D">
        <w:rPr>
          <w:rFonts w:ascii="Sylfaen" w:hAnsi="Sylfaen" w:cs="Sylfaen"/>
          <w:lang w:val="ka-GE"/>
        </w:rPr>
        <w:t>გამოყენებულია</w:t>
      </w:r>
      <w:r w:rsidRPr="009C623D">
        <w:rPr>
          <w:rFonts w:ascii="AcadNusx" w:hAnsi="AcadNusx"/>
          <w:lang w:val="ka-GE"/>
        </w:rPr>
        <w:t xml:space="preserve">  </w:t>
      </w:r>
      <w:r>
        <w:rPr>
          <w:rFonts w:ascii="Sylfaen" w:hAnsi="Sylfaen" w:cs="Sylfaen"/>
          <w:lang w:val="en-US"/>
        </w:rPr>
        <w:t>AASHTO</w:t>
      </w:r>
      <w:r w:rsidRPr="009C623D">
        <w:rPr>
          <w:rFonts w:ascii="AcadNusx" w:hAnsi="AcadNusx"/>
          <w:lang w:val="ka-GE"/>
        </w:rPr>
        <w:t>-</w:t>
      </w:r>
      <w:r w:rsidRPr="009C623D">
        <w:rPr>
          <w:rFonts w:ascii="Sylfaen" w:hAnsi="Sylfaen" w:cs="Sylfaen"/>
          <w:lang w:val="ka-GE"/>
        </w:rPr>
        <w:t>ს</w:t>
      </w:r>
      <w:r w:rsidRPr="009C623D">
        <w:rPr>
          <w:rFonts w:ascii="AcadNusx" w:hAnsi="AcadNusx"/>
          <w:lang w:val="ka-GE"/>
        </w:rPr>
        <w:t xml:space="preserve"> ~</w:t>
      </w:r>
      <w:r w:rsidRPr="009C623D">
        <w:rPr>
          <w:rFonts w:ascii="Sylfaen" w:hAnsi="Sylfaen" w:cs="Sylfaen"/>
          <w:lang w:val="ka-GE"/>
        </w:rPr>
        <w:t>საგზაო</w:t>
      </w:r>
      <w:r w:rsidRPr="009C623D">
        <w:rPr>
          <w:rFonts w:ascii="AcadNusx" w:hAnsi="AcadNusx"/>
          <w:lang w:val="ka-GE"/>
        </w:rPr>
        <w:t xml:space="preserve"> </w:t>
      </w:r>
      <w:r w:rsidRPr="009C623D">
        <w:rPr>
          <w:rFonts w:ascii="Sylfaen" w:hAnsi="Sylfaen" w:cs="Sylfaen"/>
          <w:lang w:val="ka-GE"/>
        </w:rPr>
        <w:t>სამოსების</w:t>
      </w:r>
      <w:r w:rsidRPr="009C623D">
        <w:rPr>
          <w:rFonts w:ascii="AcadNusx" w:hAnsi="AcadNusx"/>
          <w:lang w:val="ka-GE"/>
        </w:rPr>
        <w:t xml:space="preserve"> </w:t>
      </w:r>
      <w:r w:rsidRPr="009C623D">
        <w:rPr>
          <w:rFonts w:ascii="Sylfaen" w:hAnsi="Sylfaen" w:cs="Sylfaen"/>
          <w:lang w:val="ka-GE"/>
        </w:rPr>
        <w:t>კონსტრუქციების</w:t>
      </w:r>
      <w:r w:rsidRPr="009C623D">
        <w:rPr>
          <w:rFonts w:ascii="AcadNusx" w:hAnsi="AcadNusx"/>
          <w:lang w:val="ka-GE"/>
        </w:rPr>
        <w:t xml:space="preserve"> </w:t>
      </w:r>
      <w:r w:rsidRPr="009C623D">
        <w:rPr>
          <w:rFonts w:ascii="Sylfaen" w:hAnsi="Sylfaen" w:cs="Sylfaen"/>
          <w:lang w:val="ka-GE"/>
        </w:rPr>
        <w:t>პროექტირების</w:t>
      </w:r>
      <w:r w:rsidRPr="009C623D">
        <w:rPr>
          <w:rFonts w:ascii="AcadNusx" w:hAnsi="AcadNusx"/>
          <w:lang w:val="ka-GE"/>
        </w:rPr>
        <w:t xml:space="preserve"> </w:t>
      </w:r>
      <w:r w:rsidRPr="009C623D">
        <w:rPr>
          <w:rFonts w:ascii="Sylfaen" w:hAnsi="Sylfaen" w:cs="Sylfaen"/>
          <w:lang w:val="ka-GE"/>
        </w:rPr>
        <w:t>სახელმძღვანელოში</w:t>
      </w:r>
      <w:r w:rsidRPr="009C623D">
        <w:rPr>
          <w:rFonts w:ascii="AcadNusx" w:hAnsi="AcadNusx" w:cs="AcadNusx"/>
          <w:lang w:val="ka-GE"/>
        </w:rPr>
        <w:t>“</w:t>
      </w:r>
      <w:r w:rsidRPr="009C623D">
        <w:rPr>
          <w:rFonts w:ascii="AcadNusx" w:hAnsi="AcadNusx"/>
          <w:lang w:val="ka-GE"/>
        </w:rPr>
        <w:t xml:space="preserve"> </w:t>
      </w:r>
      <w:r w:rsidRPr="009C623D">
        <w:rPr>
          <w:rFonts w:ascii="Sylfaen" w:hAnsi="Sylfaen" w:cs="Sylfaen"/>
          <w:lang w:val="ka-GE"/>
        </w:rPr>
        <w:t>მოცემული</w:t>
      </w:r>
      <w:r w:rsidRPr="009C623D">
        <w:rPr>
          <w:rFonts w:ascii="AcadNusx" w:hAnsi="AcadNusx"/>
          <w:lang w:val="ka-GE"/>
        </w:rPr>
        <w:t xml:space="preserve"> </w:t>
      </w:r>
      <w:r w:rsidRPr="009C623D">
        <w:rPr>
          <w:rFonts w:ascii="Sylfaen" w:hAnsi="Sylfaen" w:cs="Sylfaen"/>
          <w:lang w:val="ka-GE"/>
        </w:rPr>
        <w:t>მეთოდი</w:t>
      </w:r>
      <w:r w:rsidRPr="009C623D">
        <w:rPr>
          <w:rFonts w:ascii="AcadNusx" w:hAnsi="AcadNusx"/>
          <w:lang w:val="ka-GE"/>
        </w:rPr>
        <w:t xml:space="preserve"> </w:t>
      </w:r>
      <w:r w:rsidRPr="009C623D">
        <w:rPr>
          <w:rFonts w:ascii="Sylfaen" w:hAnsi="Sylfaen" w:cs="Sylfaen"/>
          <w:lang w:val="ka-GE"/>
        </w:rPr>
        <w:t>და</w:t>
      </w:r>
      <w:r w:rsidRPr="009C623D">
        <w:rPr>
          <w:rFonts w:ascii="AcadNusx" w:hAnsi="AcadNusx"/>
          <w:lang w:val="ka-GE"/>
        </w:rPr>
        <w:t xml:space="preserve"> </w:t>
      </w:r>
      <w:r w:rsidRPr="009C623D">
        <w:rPr>
          <w:rFonts w:ascii="Sylfaen" w:hAnsi="Sylfaen" w:cs="Sylfaen"/>
          <w:lang w:val="ka-GE"/>
        </w:rPr>
        <w:t>პარამეტრები</w:t>
      </w:r>
      <w:r w:rsidRPr="009C623D">
        <w:rPr>
          <w:rFonts w:ascii="AcadNusx" w:hAnsi="AcadNusx"/>
          <w:lang w:val="ka-GE"/>
        </w:rPr>
        <w:t>.</w:t>
      </w:r>
      <w:r>
        <w:rPr>
          <w:rFonts w:ascii="AcadNusx" w:hAnsi="AcadNusx"/>
          <w:lang w:val="en-US"/>
        </w:rPr>
        <w:t xml:space="preserve"> </w:t>
      </w:r>
    </w:p>
    <w:p w14:paraId="0D72C85D" w14:textId="77777777" w:rsidR="009C623D" w:rsidRPr="009C623D" w:rsidRDefault="009C623D" w:rsidP="009C623D">
      <w:pPr>
        <w:spacing w:before="120" w:after="120"/>
        <w:rPr>
          <w:rFonts w:ascii="AcadNusx" w:hAnsi="AcadNusx"/>
          <w:lang w:val="ka-GE"/>
        </w:rPr>
      </w:pPr>
      <w:r w:rsidRPr="009C623D">
        <w:rPr>
          <w:rFonts w:ascii="Sylfaen" w:hAnsi="Sylfaen" w:cs="Sylfaen"/>
          <w:lang w:val="ka-GE"/>
        </w:rPr>
        <w:t>ცხრილი</w:t>
      </w:r>
      <w:r w:rsidRPr="009C623D">
        <w:rPr>
          <w:rFonts w:ascii="AcadNusx" w:hAnsi="AcadNusx"/>
          <w:lang w:val="ka-GE"/>
        </w:rPr>
        <w:t xml:space="preserve"> 4.9.3.1-1</w:t>
      </w:r>
      <w:r w:rsidRPr="009C623D">
        <w:rPr>
          <w:rFonts w:ascii="AcadNusx" w:hAnsi="AcadNusx"/>
          <w:lang w:val="ka-GE"/>
        </w:rPr>
        <w:tab/>
      </w:r>
      <w:r w:rsidRPr="009C623D">
        <w:rPr>
          <w:rFonts w:ascii="Sylfaen" w:hAnsi="Sylfaen" w:cs="Sylfaen"/>
          <w:lang w:val="ka-GE"/>
        </w:rPr>
        <w:t>საგზაო</w:t>
      </w:r>
      <w:r w:rsidRPr="009C623D">
        <w:rPr>
          <w:rFonts w:ascii="AcadNusx" w:hAnsi="AcadNusx"/>
          <w:lang w:val="ka-GE"/>
        </w:rPr>
        <w:t xml:space="preserve"> </w:t>
      </w:r>
      <w:r w:rsidRPr="009C623D">
        <w:rPr>
          <w:rFonts w:ascii="Sylfaen" w:hAnsi="Sylfaen" w:cs="Sylfaen"/>
          <w:lang w:val="ka-GE"/>
        </w:rPr>
        <w:t>სამოსის</w:t>
      </w:r>
      <w:r w:rsidRPr="009C623D">
        <w:rPr>
          <w:rFonts w:ascii="AcadNusx" w:hAnsi="AcadNusx"/>
          <w:lang w:val="ka-GE"/>
        </w:rPr>
        <w:t xml:space="preserve"> </w:t>
      </w:r>
      <w:r w:rsidRPr="009C623D">
        <w:rPr>
          <w:rFonts w:ascii="Sylfaen" w:hAnsi="Sylfaen" w:cs="Sylfaen"/>
          <w:lang w:val="ka-GE"/>
        </w:rPr>
        <w:t>სავარაუდო</w:t>
      </w:r>
      <w:r w:rsidRPr="009C623D">
        <w:rPr>
          <w:rFonts w:ascii="AcadNusx" w:hAnsi="AcadNusx"/>
          <w:lang w:val="ka-GE"/>
        </w:rPr>
        <w:t xml:space="preserve"> </w:t>
      </w:r>
      <w:r w:rsidRPr="009C623D">
        <w:rPr>
          <w:rFonts w:ascii="Sylfaen" w:hAnsi="Sylfaen" w:cs="Sylfaen"/>
          <w:lang w:val="ka-GE"/>
        </w:rPr>
        <w:t>წინასწარი</w:t>
      </w:r>
      <w:r w:rsidRPr="009C623D">
        <w:rPr>
          <w:rFonts w:ascii="AcadNusx" w:hAnsi="AcadNusx"/>
          <w:lang w:val="ka-GE"/>
        </w:rPr>
        <w:t xml:space="preserve"> </w:t>
      </w:r>
      <w:r w:rsidRPr="009C623D">
        <w:rPr>
          <w:rFonts w:ascii="Sylfaen" w:hAnsi="Sylfaen" w:cs="Sylfaen"/>
          <w:lang w:val="ka-GE"/>
        </w:rPr>
        <w:t>აგებულება</w:t>
      </w:r>
    </w:p>
    <w:tbl>
      <w:tblPr>
        <w:tblStyle w:val="TableGrid2"/>
        <w:tblW w:w="9986" w:type="dxa"/>
        <w:tblLook w:val="04A0" w:firstRow="1" w:lastRow="0" w:firstColumn="1" w:lastColumn="0" w:noHBand="0" w:noVBand="1"/>
      </w:tblPr>
      <w:tblGrid>
        <w:gridCol w:w="1262"/>
        <w:gridCol w:w="1216"/>
        <w:gridCol w:w="1441"/>
        <w:gridCol w:w="2286"/>
        <w:gridCol w:w="2340"/>
        <w:gridCol w:w="1441"/>
      </w:tblGrid>
      <w:tr w:rsidR="00F25B6D" w:rsidRPr="00F25B6D" w14:paraId="30F7F21D" w14:textId="77777777" w:rsidTr="00F25B6D">
        <w:trPr>
          <w:trHeight w:val="1034"/>
        </w:trPr>
        <w:tc>
          <w:tcPr>
            <w:tcW w:w="1262" w:type="dxa"/>
            <w:hideMark/>
          </w:tcPr>
          <w:p w14:paraId="2B250A33" w14:textId="47C9C4B3" w:rsidR="00F25B6D" w:rsidRPr="00F25B6D" w:rsidRDefault="00F25B6D" w:rsidP="00F25B6D">
            <w:pPr>
              <w:rPr>
                <w:rFonts w:ascii="Sylfaen" w:hAnsi="Sylfaen"/>
                <w:sz w:val="18"/>
              </w:rPr>
            </w:pPr>
            <w:r>
              <w:rPr>
                <w:rFonts w:ascii="Sylfaen" w:hAnsi="Sylfaen"/>
                <w:sz w:val="18"/>
                <w:lang w:val="ka-GE"/>
              </w:rPr>
              <w:t xml:space="preserve">ასფალტის საფარის ზედა ფენა </w:t>
            </w:r>
            <w:r w:rsidRPr="00F25B6D">
              <w:rPr>
                <w:rFonts w:ascii="Sylfaen" w:hAnsi="Sylfaen"/>
                <w:sz w:val="18"/>
              </w:rPr>
              <w:t>(</w:t>
            </w:r>
            <w:r>
              <w:rPr>
                <w:rFonts w:ascii="Sylfaen" w:hAnsi="Sylfaen"/>
                <w:sz w:val="18"/>
                <w:lang w:val="ka-GE"/>
              </w:rPr>
              <w:t>მმ</w:t>
            </w:r>
            <w:r w:rsidRPr="00F25B6D">
              <w:rPr>
                <w:rFonts w:ascii="Sylfaen" w:hAnsi="Sylfaen"/>
                <w:sz w:val="18"/>
              </w:rPr>
              <w:t>)</w:t>
            </w:r>
          </w:p>
        </w:tc>
        <w:tc>
          <w:tcPr>
            <w:tcW w:w="1216" w:type="dxa"/>
            <w:hideMark/>
          </w:tcPr>
          <w:p w14:paraId="47050445" w14:textId="07D5C2D7" w:rsidR="00F25B6D" w:rsidRPr="00F25B6D" w:rsidRDefault="00F25B6D" w:rsidP="00F25B6D">
            <w:pPr>
              <w:rPr>
                <w:rFonts w:ascii="Sylfaen" w:hAnsi="Sylfaen"/>
                <w:sz w:val="18"/>
                <w:lang w:val="en-US"/>
              </w:rPr>
            </w:pPr>
            <w:r>
              <w:rPr>
                <w:rFonts w:ascii="Sylfaen" w:hAnsi="Sylfaen"/>
                <w:sz w:val="18"/>
                <w:lang w:val="ka-GE"/>
              </w:rPr>
              <w:t xml:space="preserve">ასფალტის საფარის ქვედა ფენა </w:t>
            </w:r>
            <w:r w:rsidRPr="00F25B6D">
              <w:rPr>
                <w:rFonts w:ascii="Sylfaen" w:hAnsi="Sylfaen"/>
                <w:sz w:val="18"/>
              </w:rPr>
              <w:t>(</w:t>
            </w:r>
            <w:r>
              <w:rPr>
                <w:rFonts w:ascii="Sylfaen" w:hAnsi="Sylfaen"/>
                <w:sz w:val="18"/>
                <w:lang w:val="ka-GE"/>
              </w:rPr>
              <w:t>მმ</w:t>
            </w:r>
            <w:r w:rsidRPr="00F25B6D">
              <w:rPr>
                <w:rFonts w:ascii="Sylfaen" w:hAnsi="Sylfaen"/>
                <w:sz w:val="18"/>
              </w:rPr>
              <w:t>)</w:t>
            </w:r>
          </w:p>
        </w:tc>
        <w:tc>
          <w:tcPr>
            <w:tcW w:w="1441" w:type="dxa"/>
            <w:hideMark/>
          </w:tcPr>
          <w:p w14:paraId="68AC4D5D" w14:textId="38375AA8" w:rsidR="00F25B6D" w:rsidRPr="00F25B6D" w:rsidRDefault="00F25B6D" w:rsidP="00EA3205">
            <w:pPr>
              <w:rPr>
                <w:rFonts w:ascii="Sylfaen" w:hAnsi="Sylfaen"/>
                <w:sz w:val="18"/>
              </w:rPr>
            </w:pPr>
            <w:r>
              <w:rPr>
                <w:rFonts w:ascii="Sylfaen" w:hAnsi="Sylfaen"/>
                <w:sz w:val="18"/>
                <w:lang w:val="ka-GE"/>
              </w:rPr>
              <w:t>ღორღოვანი საფუძველი</w:t>
            </w:r>
            <w:r w:rsidRPr="00F25B6D">
              <w:rPr>
                <w:rFonts w:ascii="Sylfaen" w:hAnsi="Sylfaen"/>
                <w:sz w:val="18"/>
              </w:rPr>
              <w:t xml:space="preserve">  (CBR&gt;80%)</w:t>
            </w:r>
          </w:p>
          <w:p w14:paraId="26819852" w14:textId="30D1685D" w:rsidR="00F25B6D" w:rsidRPr="00F25B6D" w:rsidRDefault="00F25B6D" w:rsidP="00F25B6D">
            <w:pPr>
              <w:rPr>
                <w:rFonts w:ascii="Sylfaen" w:hAnsi="Sylfaen"/>
                <w:sz w:val="18"/>
              </w:rPr>
            </w:pPr>
            <w:r w:rsidRPr="00F25B6D">
              <w:rPr>
                <w:rFonts w:ascii="Sylfaen" w:hAnsi="Sylfaen"/>
                <w:sz w:val="18"/>
              </w:rPr>
              <w:t>(</w:t>
            </w:r>
            <w:r>
              <w:rPr>
                <w:rFonts w:ascii="Sylfaen" w:hAnsi="Sylfaen"/>
                <w:sz w:val="18"/>
                <w:lang w:val="ka-GE"/>
              </w:rPr>
              <w:t>მმ</w:t>
            </w:r>
            <w:r w:rsidRPr="00F25B6D">
              <w:rPr>
                <w:rFonts w:ascii="Sylfaen" w:hAnsi="Sylfaen"/>
                <w:sz w:val="18"/>
              </w:rPr>
              <w:t>)</w:t>
            </w:r>
          </w:p>
        </w:tc>
        <w:tc>
          <w:tcPr>
            <w:tcW w:w="2286" w:type="dxa"/>
            <w:hideMark/>
          </w:tcPr>
          <w:p w14:paraId="54BD3FAE" w14:textId="7950B9AD" w:rsidR="00F25B6D" w:rsidRPr="00F25B6D" w:rsidRDefault="00F25B6D" w:rsidP="00FD6DA2">
            <w:pPr>
              <w:rPr>
                <w:rFonts w:ascii="Sylfaen" w:hAnsi="Sylfaen"/>
                <w:sz w:val="18"/>
              </w:rPr>
            </w:pPr>
            <w:r>
              <w:rPr>
                <w:rFonts w:ascii="Sylfaen" w:hAnsi="Sylfaen"/>
                <w:sz w:val="18"/>
                <w:lang w:val="ka-GE"/>
              </w:rPr>
              <w:t>მარცვლოვანი მასალის საფუძველის შესასწორებელი ფენა</w:t>
            </w:r>
            <w:r w:rsidRPr="00F25B6D">
              <w:rPr>
                <w:rFonts w:ascii="Sylfaen" w:hAnsi="Sylfaen"/>
                <w:sz w:val="18"/>
              </w:rPr>
              <w:t xml:space="preserve">  (CBR&gt;25%) (</w:t>
            </w:r>
            <w:r w:rsidR="00FD6DA2">
              <w:rPr>
                <w:rFonts w:ascii="Sylfaen" w:hAnsi="Sylfaen"/>
                <w:sz w:val="18"/>
                <w:lang w:val="ka-GE"/>
              </w:rPr>
              <w:t>მმ</w:t>
            </w:r>
            <w:r w:rsidRPr="00F25B6D">
              <w:rPr>
                <w:rFonts w:ascii="Sylfaen" w:hAnsi="Sylfaen"/>
                <w:sz w:val="18"/>
              </w:rPr>
              <w:t>)</w:t>
            </w:r>
          </w:p>
        </w:tc>
        <w:tc>
          <w:tcPr>
            <w:tcW w:w="2340" w:type="dxa"/>
            <w:hideMark/>
          </w:tcPr>
          <w:p w14:paraId="7B40D165" w14:textId="7B1DD1AC" w:rsidR="00F25B6D" w:rsidRPr="00F25B6D" w:rsidRDefault="00FD6DA2" w:rsidP="00FD6DA2">
            <w:pPr>
              <w:rPr>
                <w:rFonts w:ascii="Sylfaen" w:hAnsi="Sylfaen"/>
                <w:sz w:val="18"/>
              </w:rPr>
            </w:pPr>
            <w:r>
              <w:rPr>
                <w:rFonts w:ascii="Sylfaen" w:hAnsi="Sylfaen"/>
                <w:sz w:val="18"/>
                <w:lang w:val="ka-GE"/>
              </w:rPr>
              <w:t>მარცვლოვანი მასალის საფუ</w:t>
            </w:r>
            <w:r w:rsidR="00F25B6D" w:rsidRPr="00F25B6D">
              <w:rPr>
                <w:rFonts w:ascii="Sylfaen" w:hAnsi="Sylfaen"/>
                <w:sz w:val="18"/>
                <w:lang w:val="ka-GE"/>
              </w:rPr>
              <w:t xml:space="preserve">ძველის დამატებითი ფენა </w:t>
            </w:r>
            <w:r w:rsidR="00F25B6D" w:rsidRPr="00F25B6D">
              <w:rPr>
                <w:rFonts w:ascii="Sylfaen" w:hAnsi="Sylfaen"/>
                <w:sz w:val="18"/>
              </w:rPr>
              <w:t>(CBR&gt;25%)</w:t>
            </w:r>
            <w:r w:rsidR="00F25B6D" w:rsidRPr="00F25B6D">
              <w:rPr>
                <w:rFonts w:ascii="Sylfaen" w:hAnsi="Sylfaen"/>
                <w:sz w:val="18"/>
                <w:lang w:val="ka-GE"/>
              </w:rPr>
              <w:t xml:space="preserve"> </w:t>
            </w:r>
            <w:r w:rsidR="00F25B6D" w:rsidRPr="00F25B6D">
              <w:rPr>
                <w:rFonts w:ascii="Sylfaen" w:hAnsi="Sylfaen"/>
                <w:sz w:val="18"/>
              </w:rPr>
              <w:t>(</w:t>
            </w:r>
            <w:r>
              <w:rPr>
                <w:rFonts w:ascii="Sylfaen" w:hAnsi="Sylfaen"/>
                <w:sz w:val="18"/>
                <w:lang w:val="ka-GE"/>
              </w:rPr>
              <w:t>მმ</w:t>
            </w:r>
            <w:r w:rsidR="00F25B6D" w:rsidRPr="00F25B6D">
              <w:rPr>
                <w:rFonts w:ascii="Sylfaen" w:hAnsi="Sylfaen"/>
                <w:sz w:val="18"/>
              </w:rPr>
              <w:t>)</w:t>
            </w:r>
          </w:p>
        </w:tc>
        <w:tc>
          <w:tcPr>
            <w:tcW w:w="1441" w:type="dxa"/>
            <w:hideMark/>
          </w:tcPr>
          <w:p w14:paraId="00AE1212" w14:textId="04409748" w:rsidR="00F25B6D" w:rsidRPr="00F25B6D" w:rsidRDefault="00F25B6D" w:rsidP="00FD6DA2">
            <w:pPr>
              <w:rPr>
                <w:rFonts w:ascii="Sylfaen" w:hAnsi="Sylfaen"/>
                <w:sz w:val="18"/>
              </w:rPr>
            </w:pPr>
            <w:r w:rsidRPr="00F25B6D">
              <w:rPr>
                <w:rFonts w:ascii="Sylfaen" w:hAnsi="Sylfaen"/>
                <w:sz w:val="18"/>
                <w:lang w:val="ka-GE"/>
              </w:rPr>
              <w:t xml:space="preserve">საგზაო სამოსის საერთო სისქე </w:t>
            </w:r>
            <w:r w:rsidRPr="00F25B6D">
              <w:rPr>
                <w:rFonts w:ascii="Sylfaen" w:hAnsi="Sylfaen"/>
                <w:sz w:val="18"/>
              </w:rPr>
              <w:t>(</w:t>
            </w:r>
            <w:r w:rsidR="00FD6DA2">
              <w:rPr>
                <w:rFonts w:ascii="Sylfaen" w:hAnsi="Sylfaen"/>
                <w:sz w:val="18"/>
                <w:lang w:val="ka-GE"/>
              </w:rPr>
              <w:t>მმ</w:t>
            </w:r>
            <w:r w:rsidRPr="00F25B6D">
              <w:rPr>
                <w:rFonts w:ascii="Sylfaen" w:hAnsi="Sylfaen"/>
                <w:sz w:val="18"/>
              </w:rPr>
              <w:t>)</w:t>
            </w:r>
          </w:p>
        </w:tc>
      </w:tr>
      <w:tr w:rsidR="00F25B6D" w:rsidRPr="00F25B6D" w14:paraId="18659FA3" w14:textId="77777777" w:rsidTr="00F25B6D">
        <w:trPr>
          <w:trHeight w:val="431"/>
        </w:trPr>
        <w:tc>
          <w:tcPr>
            <w:tcW w:w="1262" w:type="dxa"/>
            <w:hideMark/>
          </w:tcPr>
          <w:p w14:paraId="12A09918" w14:textId="77777777" w:rsidR="00EA3205" w:rsidRPr="00F25B6D" w:rsidRDefault="00EA3205" w:rsidP="00EA3205">
            <w:pPr>
              <w:rPr>
                <w:rFonts w:ascii="Sylfaen" w:hAnsi="Sylfaen"/>
                <w:sz w:val="18"/>
              </w:rPr>
            </w:pPr>
            <w:r w:rsidRPr="00F25B6D">
              <w:rPr>
                <w:rFonts w:ascii="Sylfaen" w:hAnsi="Sylfaen"/>
                <w:sz w:val="18"/>
              </w:rPr>
              <w:t>40</w:t>
            </w:r>
          </w:p>
        </w:tc>
        <w:tc>
          <w:tcPr>
            <w:tcW w:w="1216" w:type="dxa"/>
            <w:hideMark/>
          </w:tcPr>
          <w:p w14:paraId="361DDF52" w14:textId="77777777" w:rsidR="00EA3205" w:rsidRPr="00F25B6D" w:rsidRDefault="00EA3205" w:rsidP="00EA3205">
            <w:pPr>
              <w:rPr>
                <w:rFonts w:ascii="Sylfaen" w:hAnsi="Sylfaen"/>
                <w:sz w:val="18"/>
              </w:rPr>
            </w:pPr>
            <w:r w:rsidRPr="00F25B6D">
              <w:rPr>
                <w:rFonts w:ascii="Sylfaen" w:hAnsi="Sylfaen"/>
                <w:sz w:val="18"/>
              </w:rPr>
              <w:t>120</w:t>
            </w:r>
          </w:p>
        </w:tc>
        <w:tc>
          <w:tcPr>
            <w:tcW w:w="1441" w:type="dxa"/>
            <w:hideMark/>
          </w:tcPr>
          <w:p w14:paraId="330D3012" w14:textId="77777777" w:rsidR="00EA3205" w:rsidRPr="00F25B6D" w:rsidRDefault="00EA3205" w:rsidP="00EA3205">
            <w:pPr>
              <w:rPr>
                <w:rFonts w:ascii="Sylfaen" w:hAnsi="Sylfaen"/>
                <w:sz w:val="18"/>
              </w:rPr>
            </w:pPr>
            <w:r w:rsidRPr="00F25B6D">
              <w:rPr>
                <w:rFonts w:ascii="Sylfaen" w:hAnsi="Sylfaen"/>
                <w:sz w:val="18"/>
              </w:rPr>
              <w:t>150</w:t>
            </w:r>
          </w:p>
        </w:tc>
        <w:tc>
          <w:tcPr>
            <w:tcW w:w="2286" w:type="dxa"/>
            <w:hideMark/>
          </w:tcPr>
          <w:p w14:paraId="1BF9EFDE" w14:textId="77777777" w:rsidR="00EA3205" w:rsidRPr="00F25B6D" w:rsidRDefault="00EA3205" w:rsidP="00EA3205">
            <w:pPr>
              <w:rPr>
                <w:rFonts w:ascii="Sylfaen" w:hAnsi="Sylfaen"/>
                <w:sz w:val="18"/>
              </w:rPr>
            </w:pPr>
            <w:r w:rsidRPr="00F25B6D">
              <w:rPr>
                <w:rFonts w:ascii="Sylfaen" w:hAnsi="Sylfaen"/>
                <w:sz w:val="18"/>
              </w:rPr>
              <w:t>150</w:t>
            </w:r>
          </w:p>
        </w:tc>
        <w:tc>
          <w:tcPr>
            <w:tcW w:w="2340" w:type="dxa"/>
            <w:hideMark/>
          </w:tcPr>
          <w:p w14:paraId="5E73DC82" w14:textId="77777777" w:rsidR="00EA3205" w:rsidRPr="00F25B6D" w:rsidRDefault="00EA3205" w:rsidP="00EA3205">
            <w:pPr>
              <w:rPr>
                <w:rFonts w:ascii="Sylfaen" w:hAnsi="Sylfaen"/>
                <w:sz w:val="18"/>
              </w:rPr>
            </w:pPr>
            <w:r w:rsidRPr="00F25B6D">
              <w:rPr>
                <w:rFonts w:ascii="Sylfaen" w:hAnsi="Sylfaen"/>
                <w:sz w:val="18"/>
              </w:rPr>
              <w:t>300</w:t>
            </w:r>
          </w:p>
        </w:tc>
        <w:tc>
          <w:tcPr>
            <w:tcW w:w="1441" w:type="dxa"/>
            <w:hideMark/>
          </w:tcPr>
          <w:p w14:paraId="1DDF3E4C" w14:textId="77777777" w:rsidR="00EA3205" w:rsidRPr="00F25B6D" w:rsidRDefault="00EA3205" w:rsidP="00EA3205">
            <w:pPr>
              <w:rPr>
                <w:rFonts w:ascii="Sylfaen" w:hAnsi="Sylfaen"/>
                <w:sz w:val="18"/>
              </w:rPr>
            </w:pPr>
            <w:r w:rsidRPr="00F25B6D">
              <w:rPr>
                <w:rFonts w:ascii="Sylfaen" w:hAnsi="Sylfaen"/>
                <w:sz w:val="18"/>
              </w:rPr>
              <w:t>760</w:t>
            </w:r>
          </w:p>
        </w:tc>
      </w:tr>
    </w:tbl>
    <w:p w14:paraId="175047F5" w14:textId="77777777" w:rsidR="00F25B6D" w:rsidRPr="00F25B6D" w:rsidRDefault="00F25B6D" w:rsidP="00F25B6D">
      <w:pPr>
        <w:spacing w:before="120" w:after="120"/>
        <w:rPr>
          <w:rFonts w:ascii="AcadNusx" w:hAnsi="AcadNusx"/>
        </w:rPr>
      </w:pPr>
      <w:r w:rsidRPr="00F25B6D">
        <w:rPr>
          <w:rFonts w:ascii="Sylfaen" w:hAnsi="Sylfaen" w:cs="Sylfaen"/>
        </w:rPr>
        <w:t>შეთავაზებულ</w:t>
      </w:r>
      <w:r w:rsidRPr="00F25B6D">
        <w:rPr>
          <w:rFonts w:ascii="AcadNusx" w:hAnsi="AcadNusx"/>
        </w:rPr>
        <w:t xml:space="preserve"> </w:t>
      </w:r>
      <w:r w:rsidRPr="00F25B6D">
        <w:rPr>
          <w:rFonts w:ascii="Sylfaen" w:hAnsi="Sylfaen" w:cs="Sylfaen"/>
        </w:rPr>
        <w:t>ალტერნატიულ</w:t>
      </w:r>
      <w:r w:rsidRPr="00F25B6D">
        <w:rPr>
          <w:rFonts w:ascii="AcadNusx" w:hAnsi="AcadNusx"/>
        </w:rPr>
        <w:t xml:space="preserve"> </w:t>
      </w:r>
      <w:r w:rsidRPr="00F25B6D">
        <w:rPr>
          <w:rFonts w:ascii="Sylfaen" w:hAnsi="Sylfaen" w:cs="Sylfaen"/>
        </w:rPr>
        <w:t>საგზაო</w:t>
      </w:r>
      <w:r w:rsidRPr="00F25B6D">
        <w:rPr>
          <w:rFonts w:ascii="AcadNusx" w:hAnsi="AcadNusx"/>
        </w:rPr>
        <w:t xml:space="preserve"> </w:t>
      </w:r>
      <w:r w:rsidRPr="00F25B6D">
        <w:rPr>
          <w:rFonts w:ascii="Sylfaen" w:hAnsi="Sylfaen" w:cs="Sylfaen"/>
        </w:rPr>
        <w:t>სამოსის</w:t>
      </w:r>
      <w:r w:rsidRPr="00F25B6D">
        <w:rPr>
          <w:rFonts w:ascii="AcadNusx" w:hAnsi="AcadNusx"/>
        </w:rPr>
        <w:t xml:space="preserve"> </w:t>
      </w:r>
      <w:r w:rsidRPr="00F25B6D">
        <w:rPr>
          <w:rFonts w:ascii="Sylfaen" w:hAnsi="Sylfaen" w:cs="Sylfaen"/>
        </w:rPr>
        <w:t>აგებულება</w:t>
      </w:r>
      <w:r w:rsidRPr="00F25B6D">
        <w:rPr>
          <w:rFonts w:ascii="AcadNusx" w:hAnsi="AcadNusx"/>
        </w:rPr>
        <w:t xml:space="preserve"> </w:t>
      </w:r>
      <w:r w:rsidRPr="00F25B6D">
        <w:rPr>
          <w:rFonts w:ascii="Sylfaen" w:hAnsi="Sylfaen" w:cs="Sylfaen"/>
        </w:rPr>
        <w:t>წარმოდგენილია</w:t>
      </w:r>
      <w:r w:rsidRPr="00F25B6D">
        <w:rPr>
          <w:rFonts w:ascii="AcadNusx" w:hAnsi="AcadNusx"/>
        </w:rPr>
        <w:t xml:space="preserve"> </w:t>
      </w:r>
      <w:r w:rsidRPr="00F25B6D">
        <w:rPr>
          <w:rFonts w:ascii="Sylfaen" w:hAnsi="Sylfaen" w:cs="Sylfaen"/>
        </w:rPr>
        <w:t>ასფალტ</w:t>
      </w:r>
      <w:r w:rsidRPr="00F25B6D">
        <w:rPr>
          <w:rFonts w:ascii="AcadNusx" w:hAnsi="AcadNusx"/>
        </w:rPr>
        <w:t>-</w:t>
      </w:r>
      <w:r w:rsidRPr="00F25B6D">
        <w:rPr>
          <w:rFonts w:ascii="Sylfaen" w:hAnsi="Sylfaen" w:cs="Sylfaen"/>
        </w:rPr>
        <w:t>ბეტონის</w:t>
      </w:r>
      <w:r w:rsidRPr="00F25B6D">
        <w:rPr>
          <w:rFonts w:ascii="AcadNusx" w:hAnsi="AcadNusx"/>
        </w:rPr>
        <w:t xml:space="preserve"> </w:t>
      </w:r>
      <w:r w:rsidRPr="00F25B6D">
        <w:rPr>
          <w:rFonts w:ascii="Sylfaen" w:hAnsi="Sylfaen" w:cs="Sylfaen"/>
        </w:rPr>
        <w:t>თხელი</w:t>
      </w:r>
      <w:r w:rsidRPr="00F25B6D">
        <w:rPr>
          <w:rFonts w:ascii="AcadNusx" w:hAnsi="AcadNusx"/>
        </w:rPr>
        <w:t xml:space="preserve"> </w:t>
      </w:r>
      <w:r w:rsidRPr="00F25B6D">
        <w:rPr>
          <w:rFonts w:ascii="Sylfaen" w:hAnsi="Sylfaen" w:cs="Sylfaen"/>
        </w:rPr>
        <w:t>ზედაპირული</w:t>
      </w:r>
      <w:r w:rsidRPr="00F25B6D">
        <w:rPr>
          <w:rFonts w:ascii="AcadNusx" w:hAnsi="AcadNusx"/>
        </w:rPr>
        <w:t xml:space="preserve"> </w:t>
      </w:r>
      <w:r w:rsidRPr="00F25B6D">
        <w:rPr>
          <w:rFonts w:ascii="Sylfaen" w:hAnsi="Sylfaen" w:cs="Sylfaen"/>
        </w:rPr>
        <w:t>ფენით</w:t>
      </w:r>
      <w:r w:rsidRPr="00F25B6D">
        <w:rPr>
          <w:rFonts w:ascii="AcadNusx" w:hAnsi="AcadNusx"/>
        </w:rPr>
        <w:t xml:space="preserve">, </w:t>
      </w:r>
      <w:r w:rsidRPr="00F25B6D">
        <w:rPr>
          <w:rFonts w:ascii="Sylfaen" w:hAnsi="Sylfaen" w:cs="Sylfaen"/>
        </w:rPr>
        <w:t>რომელსაც</w:t>
      </w:r>
      <w:r w:rsidRPr="00F25B6D">
        <w:rPr>
          <w:rFonts w:ascii="AcadNusx" w:hAnsi="AcadNusx"/>
        </w:rPr>
        <w:t xml:space="preserve"> </w:t>
      </w:r>
      <w:r w:rsidRPr="00F25B6D">
        <w:rPr>
          <w:rFonts w:ascii="Sylfaen" w:hAnsi="Sylfaen" w:cs="Sylfaen"/>
        </w:rPr>
        <w:t>თანმიმდევრულად</w:t>
      </w:r>
      <w:r w:rsidRPr="00F25B6D">
        <w:rPr>
          <w:rFonts w:ascii="AcadNusx" w:hAnsi="AcadNusx"/>
        </w:rPr>
        <w:t xml:space="preserve"> </w:t>
      </w:r>
      <w:r w:rsidRPr="00F25B6D">
        <w:rPr>
          <w:rFonts w:ascii="Sylfaen" w:hAnsi="Sylfaen" w:cs="Sylfaen"/>
        </w:rPr>
        <w:t>მოსდევენ</w:t>
      </w:r>
      <w:r w:rsidRPr="00F25B6D">
        <w:rPr>
          <w:rFonts w:ascii="AcadNusx" w:hAnsi="AcadNusx"/>
        </w:rPr>
        <w:t xml:space="preserve"> </w:t>
      </w:r>
      <w:r w:rsidRPr="00F25B6D">
        <w:rPr>
          <w:rFonts w:ascii="Sylfaen" w:hAnsi="Sylfaen" w:cs="Sylfaen"/>
        </w:rPr>
        <w:t>ასფალტის</w:t>
      </w:r>
      <w:r w:rsidRPr="00F25B6D">
        <w:rPr>
          <w:rFonts w:ascii="AcadNusx" w:hAnsi="AcadNusx"/>
        </w:rPr>
        <w:t xml:space="preserve"> </w:t>
      </w:r>
      <w:r w:rsidRPr="00F25B6D">
        <w:rPr>
          <w:rFonts w:ascii="Sylfaen" w:hAnsi="Sylfaen" w:cs="Sylfaen"/>
        </w:rPr>
        <w:t>ქვედა</w:t>
      </w:r>
      <w:r w:rsidRPr="00F25B6D">
        <w:rPr>
          <w:rFonts w:ascii="AcadNusx" w:hAnsi="AcadNusx"/>
        </w:rPr>
        <w:t xml:space="preserve"> </w:t>
      </w:r>
      <w:r w:rsidRPr="00F25B6D">
        <w:rPr>
          <w:rFonts w:ascii="Sylfaen" w:hAnsi="Sylfaen" w:cs="Sylfaen"/>
        </w:rPr>
        <w:t>ფენა</w:t>
      </w:r>
      <w:r w:rsidRPr="00F25B6D">
        <w:rPr>
          <w:rFonts w:ascii="AcadNusx" w:hAnsi="AcadNusx"/>
        </w:rPr>
        <w:t xml:space="preserve">, </w:t>
      </w:r>
      <w:r w:rsidRPr="00F25B6D">
        <w:rPr>
          <w:rFonts w:ascii="Sylfaen" w:hAnsi="Sylfaen" w:cs="Sylfaen"/>
        </w:rPr>
        <w:t>ღორღოვანი</w:t>
      </w:r>
      <w:r w:rsidRPr="00F25B6D">
        <w:rPr>
          <w:rFonts w:ascii="AcadNusx" w:hAnsi="AcadNusx"/>
        </w:rPr>
        <w:t xml:space="preserve"> </w:t>
      </w:r>
      <w:r w:rsidRPr="00F25B6D">
        <w:rPr>
          <w:rFonts w:ascii="Sylfaen" w:hAnsi="Sylfaen" w:cs="Sylfaen"/>
        </w:rPr>
        <w:t>საფუძველი</w:t>
      </w:r>
      <w:r w:rsidRPr="00F25B6D">
        <w:rPr>
          <w:rFonts w:ascii="AcadNusx" w:hAnsi="AcadNusx"/>
        </w:rPr>
        <w:t xml:space="preserve"> </w:t>
      </w:r>
      <w:r w:rsidRPr="00F25B6D">
        <w:rPr>
          <w:rFonts w:ascii="Sylfaen" w:hAnsi="Sylfaen" w:cs="Sylfaen"/>
        </w:rPr>
        <w:t>და</w:t>
      </w:r>
      <w:r w:rsidRPr="00F25B6D">
        <w:rPr>
          <w:rFonts w:ascii="AcadNusx" w:hAnsi="AcadNusx"/>
        </w:rPr>
        <w:t xml:space="preserve"> </w:t>
      </w:r>
      <w:r w:rsidRPr="00F25B6D">
        <w:rPr>
          <w:rFonts w:ascii="Sylfaen" w:hAnsi="Sylfaen" w:cs="Sylfaen"/>
        </w:rPr>
        <w:t>მარცვლოვანი</w:t>
      </w:r>
      <w:r w:rsidRPr="00F25B6D">
        <w:rPr>
          <w:rFonts w:ascii="AcadNusx" w:hAnsi="AcadNusx"/>
        </w:rPr>
        <w:t xml:space="preserve"> (</w:t>
      </w:r>
      <w:r w:rsidRPr="00F25B6D">
        <w:rPr>
          <w:rFonts w:ascii="Sylfaen" w:hAnsi="Sylfaen" w:cs="Sylfaen"/>
        </w:rPr>
        <w:t>ბუნებრივი</w:t>
      </w:r>
      <w:r w:rsidRPr="00F25B6D">
        <w:rPr>
          <w:rFonts w:ascii="AcadNusx" w:hAnsi="AcadNusx"/>
        </w:rPr>
        <w:t xml:space="preserve"> </w:t>
      </w:r>
      <w:r w:rsidRPr="00F25B6D">
        <w:rPr>
          <w:rFonts w:ascii="Sylfaen" w:hAnsi="Sylfaen" w:cs="Sylfaen"/>
        </w:rPr>
        <w:t>ქვიშა</w:t>
      </w:r>
      <w:r w:rsidRPr="00F25B6D">
        <w:rPr>
          <w:rFonts w:ascii="AcadNusx" w:hAnsi="AcadNusx"/>
        </w:rPr>
        <w:t>-</w:t>
      </w:r>
      <w:r w:rsidRPr="00F25B6D">
        <w:rPr>
          <w:rFonts w:ascii="Sylfaen" w:hAnsi="Sylfaen" w:cs="Sylfaen"/>
        </w:rPr>
        <w:t>ხრეშოვანი</w:t>
      </w:r>
      <w:r w:rsidRPr="00F25B6D">
        <w:rPr>
          <w:rFonts w:ascii="AcadNusx" w:hAnsi="AcadNusx"/>
        </w:rPr>
        <w:t xml:space="preserve"> </w:t>
      </w:r>
      <w:r w:rsidRPr="00F25B6D">
        <w:rPr>
          <w:rFonts w:ascii="Sylfaen" w:hAnsi="Sylfaen" w:cs="Sylfaen"/>
        </w:rPr>
        <w:t>ნარევის</w:t>
      </w:r>
      <w:r w:rsidRPr="00F25B6D">
        <w:rPr>
          <w:rFonts w:ascii="AcadNusx" w:hAnsi="AcadNusx"/>
        </w:rPr>
        <w:t xml:space="preserve">) </w:t>
      </w:r>
      <w:r w:rsidRPr="00F25B6D">
        <w:rPr>
          <w:rFonts w:ascii="Sylfaen" w:hAnsi="Sylfaen" w:cs="Sylfaen"/>
        </w:rPr>
        <w:t>საფუძველის</w:t>
      </w:r>
      <w:r w:rsidRPr="00F25B6D">
        <w:rPr>
          <w:rFonts w:ascii="AcadNusx" w:hAnsi="AcadNusx"/>
        </w:rPr>
        <w:t xml:space="preserve"> </w:t>
      </w:r>
      <w:r w:rsidRPr="00F25B6D">
        <w:rPr>
          <w:rFonts w:ascii="Sylfaen" w:hAnsi="Sylfaen" w:cs="Sylfaen"/>
        </w:rPr>
        <w:t>შესასწორებელი</w:t>
      </w:r>
      <w:r w:rsidRPr="00F25B6D">
        <w:rPr>
          <w:rFonts w:ascii="AcadNusx" w:hAnsi="AcadNusx"/>
        </w:rPr>
        <w:t xml:space="preserve"> </w:t>
      </w:r>
      <w:r w:rsidRPr="00F25B6D">
        <w:rPr>
          <w:rFonts w:ascii="Sylfaen" w:hAnsi="Sylfaen" w:cs="Sylfaen"/>
        </w:rPr>
        <w:t>ფენა</w:t>
      </w:r>
      <w:r w:rsidRPr="00F25B6D">
        <w:rPr>
          <w:rFonts w:ascii="AcadNusx" w:hAnsi="AcadNusx"/>
        </w:rPr>
        <w:t xml:space="preserve">. </w:t>
      </w:r>
      <w:r w:rsidRPr="00F25B6D">
        <w:rPr>
          <w:rFonts w:ascii="Sylfaen" w:hAnsi="Sylfaen" w:cs="Sylfaen"/>
        </w:rPr>
        <w:t>შეკავშირებული</w:t>
      </w:r>
      <w:r w:rsidRPr="00F25B6D">
        <w:rPr>
          <w:rFonts w:ascii="AcadNusx" w:hAnsi="AcadNusx"/>
        </w:rPr>
        <w:t xml:space="preserve"> </w:t>
      </w:r>
      <w:r w:rsidRPr="00F25B6D">
        <w:rPr>
          <w:rFonts w:ascii="Sylfaen" w:hAnsi="Sylfaen" w:cs="Sylfaen"/>
        </w:rPr>
        <w:t>ფენის</w:t>
      </w:r>
      <w:r w:rsidRPr="00F25B6D">
        <w:rPr>
          <w:rFonts w:ascii="AcadNusx" w:hAnsi="AcadNusx"/>
        </w:rPr>
        <w:t xml:space="preserve"> </w:t>
      </w:r>
      <w:r w:rsidRPr="00F25B6D">
        <w:rPr>
          <w:rFonts w:ascii="Sylfaen" w:hAnsi="Sylfaen" w:cs="Sylfaen"/>
        </w:rPr>
        <w:t>თავზე</w:t>
      </w:r>
      <w:r w:rsidRPr="00F25B6D">
        <w:rPr>
          <w:rFonts w:ascii="AcadNusx" w:hAnsi="AcadNusx"/>
        </w:rPr>
        <w:t xml:space="preserve"> </w:t>
      </w:r>
      <w:r w:rsidRPr="00F25B6D">
        <w:rPr>
          <w:rFonts w:ascii="Sylfaen" w:hAnsi="Sylfaen" w:cs="Sylfaen"/>
        </w:rPr>
        <w:t>საჭირო</w:t>
      </w:r>
      <w:r w:rsidRPr="00F25B6D">
        <w:rPr>
          <w:rFonts w:ascii="AcadNusx" w:hAnsi="AcadNusx"/>
        </w:rPr>
        <w:t xml:space="preserve"> </w:t>
      </w:r>
      <w:r w:rsidRPr="00F25B6D">
        <w:rPr>
          <w:rFonts w:ascii="Sylfaen" w:hAnsi="Sylfaen" w:cs="Sylfaen"/>
        </w:rPr>
        <w:t>იქნება</w:t>
      </w:r>
      <w:r w:rsidRPr="00F25B6D">
        <w:rPr>
          <w:rFonts w:ascii="AcadNusx" w:hAnsi="AcadNusx"/>
        </w:rPr>
        <w:t xml:space="preserve"> </w:t>
      </w:r>
      <w:r w:rsidRPr="00F25B6D">
        <w:rPr>
          <w:rFonts w:ascii="Sylfaen" w:hAnsi="Sylfaen" w:cs="Sylfaen"/>
        </w:rPr>
        <w:t>დამატებით</w:t>
      </w:r>
      <w:r w:rsidRPr="00F25B6D">
        <w:rPr>
          <w:rFonts w:ascii="AcadNusx" w:hAnsi="AcadNusx"/>
        </w:rPr>
        <w:t xml:space="preserve"> 300 </w:t>
      </w:r>
      <w:r w:rsidRPr="00F25B6D">
        <w:rPr>
          <w:rFonts w:ascii="Sylfaen" w:hAnsi="Sylfaen" w:cs="Sylfaen"/>
        </w:rPr>
        <w:t>მმ</w:t>
      </w:r>
      <w:r w:rsidRPr="00F25B6D">
        <w:rPr>
          <w:rFonts w:ascii="AcadNusx" w:hAnsi="AcadNusx"/>
        </w:rPr>
        <w:t xml:space="preserve"> </w:t>
      </w:r>
      <w:r w:rsidRPr="00F25B6D">
        <w:rPr>
          <w:rFonts w:ascii="Sylfaen" w:hAnsi="Sylfaen" w:cs="Sylfaen"/>
        </w:rPr>
        <w:t>მარცვლოვანი</w:t>
      </w:r>
      <w:r w:rsidRPr="00F25B6D">
        <w:rPr>
          <w:rFonts w:ascii="AcadNusx" w:hAnsi="AcadNusx"/>
        </w:rPr>
        <w:t xml:space="preserve"> </w:t>
      </w:r>
      <w:r w:rsidRPr="00F25B6D">
        <w:rPr>
          <w:rFonts w:ascii="Sylfaen" w:hAnsi="Sylfaen" w:cs="Sylfaen"/>
        </w:rPr>
        <w:t>ფენის</w:t>
      </w:r>
      <w:r w:rsidRPr="00F25B6D">
        <w:rPr>
          <w:rFonts w:ascii="AcadNusx" w:hAnsi="AcadNusx"/>
        </w:rPr>
        <w:t xml:space="preserve"> </w:t>
      </w:r>
      <w:r w:rsidRPr="00F25B6D">
        <w:rPr>
          <w:rFonts w:ascii="Sylfaen" w:hAnsi="Sylfaen" w:cs="Sylfaen"/>
        </w:rPr>
        <w:t>მოწყობა</w:t>
      </w:r>
      <w:r w:rsidRPr="00F25B6D">
        <w:rPr>
          <w:rFonts w:ascii="AcadNusx" w:hAnsi="AcadNusx"/>
        </w:rPr>
        <w:t xml:space="preserve">. </w:t>
      </w:r>
      <w:r w:rsidRPr="00F25B6D">
        <w:rPr>
          <w:rFonts w:ascii="Sylfaen" w:hAnsi="Sylfaen" w:cs="Sylfaen"/>
        </w:rPr>
        <w:t>საგზაო</w:t>
      </w:r>
      <w:r w:rsidRPr="00F25B6D">
        <w:rPr>
          <w:rFonts w:ascii="AcadNusx" w:hAnsi="AcadNusx"/>
        </w:rPr>
        <w:t xml:space="preserve"> </w:t>
      </w:r>
      <w:r w:rsidRPr="00F25B6D">
        <w:rPr>
          <w:rFonts w:ascii="Sylfaen" w:hAnsi="Sylfaen" w:cs="Sylfaen"/>
        </w:rPr>
        <w:t>სამოსის</w:t>
      </w:r>
      <w:r w:rsidRPr="00F25B6D">
        <w:rPr>
          <w:rFonts w:ascii="AcadNusx" w:hAnsi="AcadNusx"/>
        </w:rPr>
        <w:t xml:space="preserve"> </w:t>
      </w:r>
      <w:r w:rsidRPr="00F25B6D">
        <w:rPr>
          <w:rFonts w:ascii="Sylfaen" w:hAnsi="Sylfaen" w:cs="Sylfaen"/>
        </w:rPr>
        <w:t>სრული</w:t>
      </w:r>
      <w:r w:rsidRPr="00F25B6D">
        <w:rPr>
          <w:rFonts w:ascii="AcadNusx" w:hAnsi="AcadNusx"/>
        </w:rPr>
        <w:t xml:space="preserve"> </w:t>
      </w:r>
      <w:r w:rsidRPr="00F25B6D">
        <w:rPr>
          <w:rFonts w:ascii="Sylfaen" w:hAnsi="Sylfaen" w:cs="Sylfaen"/>
        </w:rPr>
        <w:t>სისქე</w:t>
      </w:r>
      <w:r w:rsidRPr="00F25B6D">
        <w:rPr>
          <w:rFonts w:ascii="AcadNusx" w:hAnsi="AcadNusx"/>
        </w:rPr>
        <w:t xml:space="preserve"> </w:t>
      </w:r>
      <w:r w:rsidRPr="00F25B6D">
        <w:rPr>
          <w:rFonts w:ascii="Sylfaen" w:hAnsi="Sylfaen" w:cs="Sylfaen"/>
        </w:rPr>
        <w:t>შეადგენს</w:t>
      </w:r>
      <w:r w:rsidRPr="00F25B6D">
        <w:rPr>
          <w:rFonts w:ascii="AcadNusx" w:hAnsi="AcadNusx"/>
        </w:rPr>
        <w:t xml:space="preserve"> 760 </w:t>
      </w:r>
      <w:r w:rsidRPr="00F25B6D">
        <w:rPr>
          <w:rFonts w:ascii="Sylfaen" w:hAnsi="Sylfaen" w:cs="Sylfaen"/>
        </w:rPr>
        <w:t>მმ</w:t>
      </w:r>
      <w:r w:rsidRPr="00F25B6D">
        <w:rPr>
          <w:rFonts w:ascii="AcadNusx" w:hAnsi="AcadNusx"/>
        </w:rPr>
        <w:t>-</w:t>
      </w:r>
      <w:r w:rsidRPr="00F25B6D">
        <w:rPr>
          <w:rFonts w:ascii="Sylfaen" w:hAnsi="Sylfaen" w:cs="Sylfaen"/>
        </w:rPr>
        <w:t>ს</w:t>
      </w:r>
      <w:r w:rsidRPr="00F25B6D">
        <w:rPr>
          <w:rFonts w:ascii="AcadNusx" w:hAnsi="AcadNusx"/>
        </w:rPr>
        <w:t xml:space="preserve">. </w:t>
      </w:r>
    </w:p>
    <w:p w14:paraId="7DE52F7B" w14:textId="511BCE98" w:rsidR="00F25B6D" w:rsidRPr="00F25B6D" w:rsidRDefault="00F25B6D" w:rsidP="00F25B6D">
      <w:pPr>
        <w:spacing w:before="120" w:after="120"/>
        <w:rPr>
          <w:rFonts w:ascii="AcadNusx" w:hAnsi="AcadNusx"/>
        </w:rPr>
      </w:pPr>
      <w:r>
        <w:rPr>
          <w:rFonts w:ascii="Sylfaen" w:hAnsi="Sylfaen" w:cs="Sylfaen"/>
          <w:lang w:val="en-US"/>
        </w:rPr>
        <w:t>II</w:t>
      </w:r>
      <w:r w:rsidRPr="00F25B6D">
        <w:rPr>
          <w:rFonts w:ascii="AcadNusx" w:hAnsi="AcadNusx"/>
        </w:rPr>
        <w:t xml:space="preserve"> </w:t>
      </w:r>
      <w:r w:rsidRPr="00F25B6D">
        <w:rPr>
          <w:rFonts w:ascii="Sylfaen" w:hAnsi="Sylfaen" w:cs="Sylfaen"/>
        </w:rPr>
        <w:t>ალტერნატიული</w:t>
      </w:r>
      <w:r w:rsidRPr="00F25B6D">
        <w:rPr>
          <w:rFonts w:ascii="AcadNusx" w:hAnsi="AcadNusx"/>
        </w:rPr>
        <w:t xml:space="preserve"> </w:t>
      </w:r>
      <w:r w:rsidRPr="00F25B6D">
        <w:rPr>
          <w:rFonts w:ascii="Sylfaen" w:hAnsi="Sylfaen" w:cs="Sylfaen"/>
        </w:rPr>
        <w:t>ვარიანტი</w:t>
      </w:r>
      <w:r w:rsidRPr="00F25B6D">
        <w:rPr>
          <w:rFonts w:ascii="AcadNusx" w:hAnsi="AcadNusx"/>
        </w:rPr>
        <w:t xml:space="preserve">:  </w:t>
      </w:r>
      <w:r w:rsidRPr="00F25B6D">
        <w:rPr>
          <w:rFonts w:ascii="Sylfaen" w:hAnsi="Sylfaen" w:cs="Sylfaen"/>
        </w:rPr>
        <w:t>ასფალტის</w:t>
      </w:r>
      <w:r w:rsidRPr="00F25B6D">
        <w:rPr>
          <w:rFonts w:ascii="AcadNusx" w:hAnsi="AcadNusx"/>
        </w:rPr>
        <w:t xml:space="preserve"> </w:t>
      </w:r>
      <w:r w:rsidRPr="00F25B6D">
        <w:rPr>
          <w:rFonts w:ascii="Sylfaen" w:hAnsi="Sylfaen" w:cs="Sylfaen"/>
        </w:rPr>
        <w:t>საფარის</w:t>
      </w:r>
      <w:r w:rsidRPr="00F25B6D">
        <w:rPr>
          <w:rFonts w:ascii="AcadNusx" w:hAnsi="AcadNusx"/>
        </w:rPr>
        <w:t xml:space="preserve"> </w:t>
      </w:r>
      <w:r w:rsidRPr="00F25B6D">
        <w:rPr>
          <w:rFonts w:ascii="Sylfaen" w:hAnsi="Sylfaen" w:cs="Sylfaen"/>
        </w:rPr>
        <w:t>დაგება</w:t>
      </w:r>
      <w:r w:rsidRPr="00F25B6D">
        <w:rPr>
          <w:rFonts w:ascii="AcadNusx" w:hAnsi="AcadNusx"/>
        </w:rPr>
        <w:t xml:space="preserve"> </w:t>
      </w:r>
      <w:r w:rsidRPr="00F25B6D">
        <w:rPr>
          <w:rFonts w:ascii="Sylfaen" w:hAnsi="Sylfaen" w:cs="Sylfaen"/>
        </w:rPr>
        <w:t>ცემენტით</w:t>
      </w:r>
      <w:r w:rsidRPr="00F25B6D">
        <w:rPr>
          <w:rFonts w:ascii="AcadNusx" w:hAnsi="AcadNusx"/>
        </w:rPr>
        <w:t xml:space="preserve"> </w:t>
      </w:r>
      <w:r w:rsidRPr="00F25B6D">
        <w:rPr>
          <w:rFonts w:ascii="Sylfaen" w:hAnsi="Sylfaen" w:cs="Sylfaen"/>
        </w:rPr>
        <w:t>გამაგრებულ</w:t>
      </w:r>
      <w:r w:rsidRPr="00F25B6D">
        <w:rPr>
          <w:rFonts w:ascii="AcadNusx" w:hAnsi="AcadNusx"/>
        </w:rPr>
        <w:t xml:space="preserve"> </w:t>
      </w:r>
      <w:r w:rsidRPr="00F25B6D">
        <w:rPr>
          <w:rFonts w:ascii="Sylfaen" w:hAnsi="Sylfaen" w:cs="Sylfaen"/>
        </w:rPr>
        <w:t>მარცვლოვან</w:t>
      </w:r>
      <w:r w:rsidRPr="00F25B6D">
        <w:rPr>
          <w:rFonts w:ascii="AcadNusx" w:hAnsi="AcadNusx"/>
        </w:rPr>
        <w:t xml:space="preserve"> </w:t>
      </w:r>
      <w:r w:rsidRPr="00F25B6D">
        <w:rPr>
          <w:rFonts w:ascii="Sylfaen" w:hAnsi="Sylfaen" w:cs="Sylfaen"/>
        </w:rPr>
        <w:t>საფუძველზე</w:t>
      </w:r>
    </w:p>
    <w:p w14:paraId="5C5B8BB3" w14:textId="77777777" w:rsidR="00F25B6D" w:rsidRPr="00F25B6D" w:rsidRDefault="00F25B6D" w:rsidP="00F25B6D">
      <w:pPr>
        <w:spacing w:before="120" w:after="120"/>
        <w:rPr>
          <w:rFonts w:ascii="AcadNusx" w:hAnsi="AcadNusx"/>
        </w:rPr>
      </w:pPr>
      <w:r w:rsidRPr="00F25B6D">
        <w:rPr>
          <w:rFonts w:ascii="Sylfaen" w:hAnsi="Sylfaen" w:cs="Sylfaen"/>
        </w:rPr>
        <w:t>ამ</w:t>
      </w:r>
      <w:r w:rsidRPr="00F25B6D">
        <w:rPr>
          <w:rFonts w:ascii="AcadNusx" w:hAnsi="AcadNusx"/>
        </w:rPr>
        <w:t xml:space="preserve"> </w:t>
      </w:r>
      <w:r w:rsidRPr="00F25B6D">
        <w:rPr>
          <w:rFonts w:ascii="Sylfaen" w:hAnsi="Sylfaen" w:cs="Sylfaen"/>
        </w:rPr>
        <w:t>სახის</w:t>
      </w:r>
      <w:r w:rsidRPr="00F25B6D">
        <w:rPr>
          <w:rFonts w:ascii="AcadNusx" w:hAnsi="AcadNusx"/>
        </w:rPr>
        <w:t xml:space="preserve"> </w:t>
      </w:r>
      <w:r w:rsidRPr="00F25B6D">
        <w:rPr>
          <w:rFonts w:ascii="Sylfaen" w:hAnsi="Sylfaen" w:cs="Sylfaen"/>
        </w:rPr>
        <w:t>საგზაო</w:t>
      </w:r>
      <w:r w:rsidRPr="00F25B6D">
        <w:rPr>
          <w:rFonts w:ascii="AcadNusx" w:hAnsi="AcadNusx"/>
        </w:rPr>
        <w:t xml:space="preserve"> </w:t>
      </w:r>
      <w:r w:rsidRPr="00F25B6D">
        <w:rPr>
          <w:rFonts w:ascii="Sylfaen" w:hAnsi="Sylfaen" w:cs="Sylfaen"/>
        </w:rPr>
        <w:t>სამოსი</w:t>
      </w:r>
      <w:r w:rsidRPr="00F25B6D">
        <w:rPr>
          <w:rFonts w:ascii="AcadNusx" w:hAnsi="AcadNusx"/>
        </w:rPr>
        <w:t xml:space="preserve"> </w:t>
      </w:r>
      <w:r w:rsidRPr="00F25B6D">
        <w:rPr>
          <w:rFonts w:ascii="Sylfaen" w:hAnsi="Sylfaen" w:cs="Sylfaen"/>
        </w:rPr>
        <w:t>აგებულია</w:t>
      </w:r>
      <w:r w:rsidRPr="00F25B6D">
        <w:rPr>
          <w:rFonts w:ascii="AcadNusx" w:hAnsi="AcadNusx"/>
        </w:rPr>
        <w:t xml:space="preserve"> </w:t>
      </w:r>
      <w:r w:rsidRPr="00F25B6D">
        <w:rPr>
          <w:rFonts w:ascii="Sylfaen" w:hAnsi="Sylfaen" w:cs="Sylfaen"/>
        </w:rPr>
        <w:t>ასფალტის</w:t>
      </w:r>
      <w:r w:rsidRPr="00F25B6D">
        <w:rPr>
          <w:rFonts w:ascii="AcadNusx" w:hAnsi="AcadNusx"/>
        </w:rPr>
        <w:t xml:space="preserve"> </w:t>
      </w:r>
      <w:r w:rsidRPr="00F25B6D">
        <w:rPr>
          <w:rFonts w:ascii="Sylfaen" w:hAnsi="Sylfaen" w:cs="Sylfaen"/>
        </w:rPr>
        <w:t>ერთი</w:t>
      </w:r>
      <w:r w:rsidRPr="00F25B6D">
        <w:rPr>
          <w:rFonts w:ascii="AcadNusx" w:hAnsi="AcadNusx"/>
        </w:rPr>
        <w:t xml:space="preserve"> </w:t>
      </w:r>
      <w:r w:rsidRPr="00F25B6D">
        <w:rPr>
          <w:rFonts w:ascii="Sylfaen" w:hAnsi="Sylfaen" w:cs="Sylfaen"/>
        </w:rPr>
        <w:t>ფენით</w:t>
      </w:r>
      <w:r w:rsidRPr="00F25B6D">
        <w:rPr>
          <w:rFonts w:ascii="AcadNusx" w:hAnsi="AcadNusx"/>
        </w:rPr>
        <w:t xml:space="preserve"> </w:t>
      </w:r>
      <w:r w:rsidRPr="00F25B6D">
        <w:rPr>
          <w:rFonts w:ascii="Sylfaen" w:hAnsi="Sylfaen" w:cs="Sylfaen"/>
        </w:rPr>
        <w:t>და</w:t>
      </w:r>
      <w:r w:rsidRPr="00F25B6D">
        <w:rPr>
          <w:rFonts w:ascii="AcadNusx" w:hAnsi="AcadNusx"/>
        </w:rPr>
        <w:t xml:space="preserve"> </w:t>
      </w:r>
      <w:r w:rsidRPr="00F25B6D">
        <w:rPr>
          <w:rFonts w:ascii="Sylfaen" w:hAnsi="Sylfaen" w:cs="Sylfaen"/>
        </w:rPr>
        <w:t>მის</w:t>
      </w:r>
      <w:r w:rsidRPr="00F25B6D">
        <w:rPr>
          <w:rFonts w:ascii="AcadNusx" w:hAnsi="AcadNusx"/>
        </w:rPr>
        <w:t xml:space="preserve"> </w:t>
      </w:r>
      <w:r w:rsidRPr="00F25B6D">
        <w:rPr>
          <w:rFonts w:ascii="Sylfaen" w:hAnsi="Sylfaen" w:cs="Sylfaen"/>
        </w:rPr>
        <w:t>ქვეშ</w:t>
      </w:r>
      <w:r w:rsidRPr="00F25B6D">
        <w:rPr>
          <w:rFonts w:ascii="AcadNusx" w:hAnsi="AcadNusx"/>
        </w:rPr>
        <w:t xml:space="preserve"> </w:t>
      </w:r>
      <w:r w:rsidRPr="00F25B6D">
        <w:rPr>
          <w:rFonts w:ascii="Sylfaen" w:hAnsi="Sylfaen" w:cs="Sylfaen"/>
        </w:rPr>
        <w:t>დაგებული</w:t>
      </w:r>
      <w:r w:rsidRPr="00F25B6D">
        <w:rPr>
          <w:rFonts w:ascii="AcadNusx" w:hAnsi="AcadNusx"/>
        </w:rPr>
        <w:t xml:space="preserve"> </w:t>
      </w:r>
      <w:r w:rsidRPr="00F25B6D">
        <w:rPr>
          <w:rFonts w:ascii="Sylfaen" w:hAnsi="Sylfaen" w:cs="Sylfaen"/>
        </w:rPr>
        <w:t>გამაგრებული</w:t>
      </w:r>
      <w:r w:rsidRPr="00F25B6D">
        <w:rPr>
          <w:rFonts w:ascii="AcadNusx" w:hAnsi="AcadNusx"/>
        </w:rPr>
        <w:t xml:space="preserve"> (</w:t>
      </w:r>
      <w:r w:rsidRPr="00F25B6D">
        <w:rPr>
          <w:rFonts w:ascii="Sylfaen" w:hAnsi="Sylfaen" w:cs="Sylfaen"/>
        </w:rPr>
        <w:t>შეკრული</w:t>
      </w:r>
      <w:r w:rsidRPr="00F25B6D">
        <w:rPr>
          <w:rFonts w:ascii="AcadNusx" w:hAnsi="AcadNusx"/>
        </w:rPr>
        <w:t xml:space="preserve">) </w:t>
      </w:r>
      <w:r w:rsidRPr="00F25B6D">
        <w:rPr>
          <w:rFonts w:ascii="Sylfaen" w:hAnsi="Sylfaen" w:cs="Sylfaen"/>
        </w:rPr>
        <w:t>მარცვლოვანი</w:t>
      </w:r>
      <w:r w:rsidRPr="00F25B6D">
        <w:rPr>
          <w:rFonts w:ascii="AcadNusx" w:hAnsi="AcadNusx"/>
        </w:rPr>
        <w:t xml:space="preserve"> </w:t>
      </w:r>
      <w:r w:rsidRPr="00F25B6D">
        <w:rPr>
          <w:rFonts w:ascii="Sylfaen" w:hAnsi="Sylfaen" w:cs="Sylfaen"/>
        </w:rPr>
        <w:t>საფუძველით</w:t>
      </w:r>
      <w:r w:rsidRPr="00F25B6D">
        <w:rPr>
          <w:rFonts w:ascii="AcadNusx" w:hAnsi="AcadNusx"/>
        </w:rPr>
        <w:t xml:space="preserve">, </w:t>
      </w:r>
      <w:r w:rsidRPr="00F25B6D">
        <w:rPr>
          <w:rFonts w:ascii="Sylfaen" w:hAnsi="Sylfaen" w:cs="Sylfaen"/>
        </w:rPr>
        <w:t>რომელსაც</w:t>
      </w:r>
      <w:r w:rsidRPr="00F25B6D">
        <w:rPr>
          <w:rFonts w:ascii="AcadNusx" w:hAnsi="AcadNusx"/>
        </w:rPr>
        <w:t xml:space="preserve"> </w:t>
      </w:r>
      <w:r w:rsidRPr="00F25B6D">
        <w:rPr>
          <w:rFonts w:ascii="Sylfaen" w:hAnsi="Sylfaen" w:cs="Sylfaen"/>
        </w:rPr>
        <w:t>ქვემოთ</w:t>
      </w:r>
      <w:r w:rsidRPr="00F25B6D">
        <w:rPr>
          <w:rFonts w:ascii="AcadNusx" w:hAnsi="AcadNusx"/>
        </w:rPr>
        <w:t xml:space="preserve"> </w:t>
      </w:r>
      <w:r w:rsidRPr="00F25B6D">
        <w:rPr>
          <w:rFonts w:ascii="Sylfaen" w:hAnsi="Sylfaen" w:cs="Sylfaen"/>
        </w:rPr>
        <w:t>მოყვება</w:t>
      </w:r>
      <w:r w:rsidRPr="00F25B6D">
        <w:rPr>
          <w:rFonts w:ascii="AcadNusx" w:hAnsi="AcadNusx"/>
        </w:rPr>
        <w:t xml:space="preserve"> </w:t>
      </w:r>
      <w:r w:rsidRPr="00F25B6D">
        <w:rPr>
          <w:rFonts w:ascii="Sylfaen" w:hAnsi="Sylfaen" w:cs="Sylfaen"/>
        </w:rPr>
        <w:t>ასევე</w:t>
      </w:r>
      <w:r w:rsidRPr="00F25B6D">
        <w:rPr>
          <w:rFonts w:ascii="AcadNusx" w:hAnsi="AcadNusx"/>
        </w:rPr>
        <w:t xml:space="preserve"> </w:t>
      </w:r>
      <w:r w:rsidRPr="00F25B6D">
        <w:rPr>
          <w:rFonts w:ascii="Sylfaen" w:hAnsi="Sylfaen" w:cs="Sylfaen"/>
        </w:rPr>
        <w:t>მარცვლოვანი</w:t>
      </w:r>
      <w:r w:rsidRPr="00F25B6D">
        <w:rPr>
          <w:rFonts w:ascii="AcadNusx" w:hAnsi="AcadNusx"/>
        </w:rPr>
        <w:t xml:space="preserve"> </w:t>
      </w:r>
      <w:r w:rsidRPr="00F25B6D">
        <w:rPr>
          <w:rFonts w:ascii="Sylfaen" w:hAnsi="Sylfaen" w:cs="Sylfaen"/>
        </w:rPr>
        <w:t>კონსისტენციის</w:t>
      </w:r>
      <w:r w:rsidRPr="00F25B6D">
        <w:rPr>
          <w:rFonts w:ascii="AcadNusx" w:hAnsi="AcadNusx"/>
        </w:rPr>
        <w:t xml:space="preserve"> </w:t>
      </w:r>
      <w:r w:rsidRPr="00F25B6D">
        <w:rPr>
          <w:rFonts w:ascii="Sylfaen" w:hAnsi="Sylfaen" w:cs="Sylfaen"/>
        </w:rPr>
        <w:t>საფუძველის</w:t>
      </w:r>
      <w:r w:rsidRPr="00F25B6D">
        <w:rPr>
          <w:rFonts w:ascii="AcadNusx" w:hAnsi="AcadNusx"/>
        </w:rPr>
        <w:t xml:space="preserve"> </w:t>
      </w:r>
      <w:r w:rsidRPr="00F25B6D">
        <w:rPr>
          <w:rFonts w:ascii="Sylfaen" w:hAnsi="Sylfaen" w:cs="Sylfaen"/>
        </w:rPr>
        <w:t>შესასწორებელი</w:t>
      </w:r>
      <w:r w:rsidRPr="00F25B6D">
        <w:rPr>
          <w:rFonts w:ascii="AcadNusx" w:hAnsi="AcadNusx"/>
        </w:rPr>
        <w:t xml:space="preserve"> </w:t>
      </w:r>
      <w:r w:rsidRPr="00F25B6D">
        <w:rPr>
          <w:rFonts w:ascii="Sylfaen" w:hAnsi="Sylfaen" w:cs="Sylfaen"/>
        </w:rPr>
        <w:t>ფენა</w:t>
      </w:r>
      <w:r w:rsidRPr="00F25B6D">
        <w:rPr>
          <w:rFonts w:ascii="AcadNusx" w:hAnsi="AcadNusx"/>
        </w:rPr>
        <w:t xml:space="preserve">. </w:t>
      </w:r>
      <w:r w:rsidRPr="00F25B6D">
        <w:rPr>
          <w:rFonts w:ascii="Sylfaen" w:hAnsi="Sylfaen" w:cs="Sylfaen"/>
        </w:rPr>
        <w:t>შეკავშირებული</w:t>
      </w:r>
      <w:r w:rsidRPr="00F25B6D">
        <w:rPr>
          <w:rFonts w:ascii="AcadNusx" w:hAnsi="AcadNusx"/>
        </w:rPr>
        <w:t xml:space="preserve"> </w:t>
      </w:r>
      <w:r w:rsidRPr="00F25B6D">
        <w:rPr>
          <w:rFonts w:ascii="Sylfaen" w:hAnsi="Sylfaen" w:cs="Sylfaen"/>
        </w:rPr>
        <w:t>ფენის</w:t>
      </w:r>
      <w:r w:rsidRPr="00F25B6D">
        <w:rPr>
          <w:rFonts w:ascii="AcadNusx" w:hAnsi="AcadNusx"/>
        </w:rPr>
        <w:t xml:space="preserve"> </w:t>
      </w:r>
      <w:r w:rsidRPr="00F25B6D">
        <w:rPr>
          <w:rFonts w:ascii="Sylfaen" w:hAnsi="Sylfaen" w:cs="Sylfaen"/>
        </w:rPr>
        <w:t>თავზე</w:t>
      </w:r>
      <w:r w:rsidRPr="00F25B6D">
        <w:rPr>
          <w:rFonts w:ascii="AcadNusx" w:hAnsi="AcadNusx"/>
        </w:rPr>
        <w:t xml:space="preserve"> </w:t>
      </w:r>
      <w:r w:rsidRPr="00F25B6D">
        <w:rPr>
          <w:rFonts w:ascii="Sylfaen" w:hAnsi="Sylfaen" w:cs="Sylfaen"/>
        </w:rPr>
        <w:t>საჭირო</w:t>
      </w:r>
      <w:r w:rsidRPr="00F25B6D">
        <w:rPr>
          <w:rFonts w:ascii="AcadNusx" w:hAnsi="AcadNusx"/>
        </w:rPr>
        <w:t xml:space="preserve"> </w:t>
      </w:r>
      <w:r w:rsidRPr="00F25B6D">
        <w:rPr>
          <w:rFonts w:ascii="Sylfaen" w:hAnsi="Sylfaen" w:cs="Sylfaen"/>
        </w:rPr>
        <w:t>იქნება</w:t>
      </w:r>
      <w:r w:rsidRPr="00F25B6D">
        <w:rPr>
          <w:rFonts w:ascii="AcadNusx" w:hAnsi="AcadNusx"/>
        </w:rPr>
        <w:t xml:space="preserve"> </w:t>
      </w:r>
      <w:r w:rsidRPr="00F25B6D">
        <w:rPr>
          <w:rFonts w:ascii="Sylfaen" w:hAnsi="Sylfaen" w:cs="Sylfaen"/>
        </w:rPr>
        <w:t>დამატებით</w:t>
      </w:r>
      <w:r w:rsidRPr="00F25B6D">
        <w:rPr>
          <w:rFonts w:ascii="AcadNusx" w:hAnsi="AcadNusx"/>
        </w:rPr>
        <w:t xml:space="preserve"> 300 </w:t>
      </w:r>
      <w:r w:rsidRPr="00F25B6D">
        <w:rPr>
          <w:rFonts w:ascii="Sylfaen" w:hAnsi="Sylfaen" w:cs="Sylfaen"/>
        </w:rPr>
        <w:t>მმ</w:t>
      </w:r>
      <w:r w:rsidRPr="00F25B6D">
        <w:rPr>
          <w:rFonts w:ascii="AcadNusx" w:hAnsi="AcadNusx"/>
        </w:rPr>
        <w:t xml:space="preserve"> </w:t>
      </w:r>
      <w:r w:rsidRPr="00F25B6D">
        <w:rPr>
          <w:rFonts w:ascii="Sylfaen" w:hAnsi="Sylfaen" w:cs="Sylfaen"/>
        </w:rPr>
        <w:t>მარცვლოვანი</w:t>
      </w:r>
      <w:r w:rsidRPr="00F25B6D">
        <w:rPr>
          <w:rFonts w:ascii="AcadNusx" w:hAnsi="AcadNusx"/>
        </w:rPr>
        <w:t xml:space="preserve"> </w:t>
      </w:r>
      <w:r w:rsidRPr="00F25B6D">
        <w:rPr>
          <w:rFonts w:ascii="Sylfaen" w:hAnsi="Sylfaen" w:cs="Sylfaen"/>
        </w:rPr>
        <w:t>ფენის</w:t>
      </w:r>
      <w:r w:rsidRPr="00F25B6D">
        <w:rPr>
          <w:rFonts w:ascii="AcadNusx" w:hAnsi="AcadNusx"/>
        </w:rPr>
        <w:t xml:space="preserve"> </w:t>
      </w:r>
      <w:r w:rsidRPr="00F25B6D">
        <w:rPr>
          <w:rFonts w:ascii="Sylfaen" w:hAnsi="Sylfaen" w:cs="Sylfaen"/>
        </w:rPr>
        <w:t>მოწყობა</w:t>
      </w:r>
      <w:r w:rsidRPr="00F25B6D">
        <w:rPr>
          <w:rFonts w:ascii="AcadNusx" w:hAnsi="AcadNusx"/>
        </w:rPr>
        <w:t>.</w:t>
      </w:r>
    </w:p>
    <w:p w14:paraId="3F0B4258" w14:textId="5CD99244" w:rsidR="00F25B6D" w:rsidRPr="00F25B6D" w:rsidRDefault="00F25B6D" w:rsidP="00F25B6D">
      <w:pPr>
        <w:spacing w:before="120" w:after="120"/>
        <w:rPr>
          <w:rFonts w:ascii="AcadNusx" w:hAnsi="AcadNusx"/>
        </w:rPr>
      </w:pPr>
      <w:r w:rsidRPr="00F25B6D">
        <w:rPr>
          <w:rFonts w:ascii="Sylfaen" w:hAnsi="Sylfaen" w:cs="Sylfaen"/>
        </w:rPr>
        <w:t>საგზაო</w:t>
      </w:r>
      <w:r w:rsidRPr="00F25B6D">
        <w:rPr>
          <w:rFonts w:ascii="AcadNusx" w:hAnsi="AcadNusx"/>
        </w:rPr>
        <w:t xml:space="preserve"> </w:t>
      </w:r>
      <w:r w:rsidRPr="00F25B6D">
        <w:rPr>
          <w:rFonts w:ascii="Sylfaen" w:hAnsi="Sylfaen" w:cs="Sylfaen"/>
        </w:rPr>
        <w:t>სამოსის</w:t>
      </w:r>
      <w:r w:rsidRPr="00F25B6D">
        <w:rPr>
          <w:rFonts w:ascii="AcadNusx" w:hAnsi="AcadNusx"/>
        </w:rPr>
        <w:t xml:space="preserve"> </w:t>
      </w:r>
      <w:r w:rsidRPr="00F25B6D">
        <w:rPr>
          <w:rFonts w:ascii="Sylfaen" w:hAnsi="Sylfaen" w:cs="Sylfaen"/>
        </w:rPr>
        <w:t>ფენების</w:t>
      </w:r>
      <w:r w:rsidRPr="00F25B6D">
        <w:rPr>
          <w:rFonts w:ascii="AcadNusx" w:hAnsi="AcadNusx"/>
        </w:rPr>
        <w:t xml:space="preserve"> </w:t>
      </w:r>
      <w:r w:rsidRPr="00F25B6D">
        <w:rPr>
          <w:rFonts w:ascii="Sylfaen" w:hAnsi="Sylfaen" w:cs="Sylfaen"/>
        </w:rPr>
        <w:t>სისქეები</w:t>
      </w:r>
      <w:r w:rsidRPr="00F25B6D">
        <w:rPr>
          <w:rFonts w:ascii="AcadNusx" w:hAnsi="AcadNusx"/>
        </w:rPr>
        <w:t xml:space="preserve"> </w:t>
      </w:r>
      <w:r w:rsidRPr="00F25B6D">
        <w:rPr>
          <w:rFonts w:ascii="Sylfaen" w:hAnsi="Sylfaen" w:cs="Sylfaen"/>
        </w:rPr>
        <w:t>გამოთვლილია</w:t>
      </w:r>
      <w:r>
        <w:rPr>
          <w:rFonts w:ascii="Sylfaen" w:hAnsi="Sylfaen" w:cs="Sylfaen"/>
        </w:rPr>
        <w:t xml:space="preserve"> AASHTO</w:t>
      </w:r>
      <w:r w:rsidRPr="00F25B6D">
        <w:rPr>
          <w:rFonts w:ascii="Sylfaen" w:hAnsi="Sylfaen"/>
        </w:rPr>
        <w:t>-</w:t>
      </w:r>
      <w:r w:rsidRPr="00F25B6D">
        <w:rPr>
          <w:rFonts w:ascii="Sylfaen" w:hAnsi="Sylfaen" w:cs="Sylfaen"/>
        </w:rPr>
        <w:t>ს</w:t>
      </w:r>
      <w:r w:rsidRPr="00F25B6D">
        <w:rPr>
          <w:rFonts w:ascii="AcadNusx" w:hAnsi="AcadNusx"/>
        </w:rPr>
        <w:t xml:space="preserve"> </w:t>
      </w:r>
      <w:r w:rsidRPr="00F25B6D">
        <w:rPr>
          <w:rFonts w:ascii="Sylfaen" w:hAnsi="Sylfaen" w:cs="Sylfaen"/>
        </w:rPr>
        <w:t>ავტომატიზირებული</w:t>
      </w:r>
      <w:r w:rsidRPr="00F25B6D">
        <w:rPr>
          <w:rFonts w:ascii="AcadNusx" w:hAnsi="AcadNusx"/>
        </w:rPr>
        <w:t xml:space="preserve"> </w:t>
      </w:r>
      <w:r w:rsidRPr="00F25B6D">
        <w:rPr>
          <w:rFonts w:ascii="Sylfaen" w:hAnsi="Sylfaen" w:cs="Sylfaen"/>
        </w:rPr>
        <w:t>პროექტირების</w:t>
      </w:r>
      <w:r w:rsidRPr="00F25B6D">
        <w:rPr>
          <w:rFonts w:ascii="AcadNusx" w:hAnsi="AcadNusx"/>
        </w:rPr>
        <w:t xml:space="preserve"> </w:t>
      </w:r>
      <w:r w:rsidRPr="00F25B6D">
        <w:rPr>
          <w:rFonts w:ascii="Sylfaen" w:hAnsi="Sylfaen" w:cs="Sylfaen"/>
        </w:rPr>
        <w:t>პროგრამით</w:t>
      </w:r>
      <w:r w:rsidRPr="00F25B6D">
        <w:rPr>
          <w:rFonts w:ascii="AcadNusx" w:hAnsi="AcadNusx"/>
        </w:rPr>
        <w:t xml:space="preserve"> </w:t>
      </w:r>
      <w:r>
        <w:rPr>
          <w:rFonts w:ascii="Sylfaen" w:hAnsi="Sylfaen" w:cs="Sylfaen"/>
        </w:rPr>
        <w:t xml:space="preserve">DARWin </w:t>
      </w:r>
      <w:r w:rsidRPr="00F25B6D">
        <w:rPr>
          <w:rFonts w:ascii="AcadNusx" w:hAnsi="AcadNusx"/>
        </w:rPr>
        <w:t xml:space="preserve">3.1, </w:t>
      </w:r>
      <w:r w:rsidRPr="00F25B6D">
        <w:rPr>
          <w:rFonts w:ascii="Sylfaen" w:hAnsi="Sylfaen" w:cs="Sylfaen"/>
        </w:rPr>
        <w:t>რომელშიც</w:t>
      </w:r>
      <w:r w:rsidRPr="00F25B6D">
        <w:rPr>
          <w:rFonts w:ascii="AcadNusx" w:hAnsi="AcadNusx"/>
        </w:rPr>
        <w:t xml:space="preserve"> </w:t>
      </w:r>
      <w:r w:rsidRPr="00F25B6D">
        <w:rPr>
          <w:rFonts w:ascii="Sylfaen" w:hAnsi="Sylfaen" w:cs="Sylfaen"/>
        </w:rPr>
        <w:t>გამოყენებულია</w:t>
      </w:r>
      <w:r w:rsidRPr="00F25B6D">
        <w:rPr>
          <w:rFonts w:ascii="AcadNusx" w:hAnsi="AcadNusx"/>
        </w:rPr>
        <w:t xml:space="preserve">  </w:t>
      </w:r>
      <w:r>
        <w:rPr>
          <w:rFonts w:ascii="Sylfaen" w:hAnsi="Sylfaen" w:cs="Sylfaen"/>
        </w:rPr>
        <w:t>AASHTO</w:t>
      </w:r>
      <w:r w:rsidRPr="00F25B6D">
        <w:rPr>
          <w:rFonts w:ascii="Sylfaen" w:hAnsi="Sylfaen"/>
        </w:rPr>
        <w:t>-</w:t>
      </w:r>
      <w:r>
        <w:rPr>
          <w:rFonts w:ascii="Sylfaen" w:hAnsi="Sylfaen"/>
          <w:lang w:val="ka-GE"/>
        </w:rPr>
        <w:t>ს</w:t>
      </w:r>
      <w:r w:rsidRPr="00F25B6D">
        <w:rPr>
          <w:rFonts w:ascii="AcadNusx" w:hAnsi="AcadNusx"/>
        </w:rPr>
        <w:t xml:space="preserve"> ~</w:t>
      </w:r>
      <w:r w:rsidRPr="00F25B6D">
        <w:rPr>
          <w:rFonts w:ascii="Sylfaen" w:hAnsi="Sylfaen" w:cs="Sylfaen"/>
        </w:rPr>
        <w:t>საგზაო</w:t>
      </w:r>
      <w:r w:rsidRPr="00F25B6D">
        <w:rPr>
          <w:rFonts w:ascii="AcadNusx" w:hAnsi="AcadNusx"/>
        </w:rPr>
        <w:t xml:space="preserve"> </w:t>
      </w:r>
      <w:r w:rsidRPr="00F25B6D">
        <w:rPr>
          <w:rFonts w:ascii="Sylfaen" w:hAnsi="Sylfaen" w:cs="Sylfaen"/>
        </w:rPr>
        <w:lastRenderedPageBreak/>
        <w:t>სამოსების</w:t>
      </w:r>
      <w:r w:rsidRPr="00F25B6D">
        <w:rPr>
          <w:rFonts w:ascii="AcadNusx" w:hAnsi="AcadNusx"/>
        </w:rPr>
        <w:t xml:space="preserve"> </w:t>
      </w:r>
      <w:r w:rsidRPr="00F25B6D">
        <w:rPr>
          <w:rFonts w:ascii="Sylfaen" w:hAnsi="Sylfaen" w:cs="Sylfaen"/>
        </w:rPr>
        <w:t>კონსტრუქციების</w:t>
      </w:r>
      <w:r w:rsidRPr="00F25B6D">
        <w:rPr>
          <w:rFonts w:ascii="AcadNusx" w:hAnsi="AcadNusx"/>
        </w:rPr>
        <w:t xml:space="preserve"> </w:t>
      </w:r>
      <w:r w:rsidRPr="00F25B6D">
        <w:rPr>
          <w:rFonts w:ascii="Sylfaen" w:hAnsi="Sylfaen" w:cs="Sylfaen"/>
        </w:rPr>
        <w:t>პროექტირების</w:t>
      </w:r>
      <w:r w:rsidRPr="00F25B6D">
        <w:rPr>
          <w:rFonts w:ascii="AcadNusx" w:hAnsi="AcadNusx"/>
        </w:rPr>
        <w:t xml:space="preserve"> </w:t>
      </w:r>
      <w:r w:rsidRPr="00F25B6D">
        <w:rPr>
          <w:rFonts w:ascii="Sylfaen" w:hAnsi="Sylfaen" w:cs="Sylfaen"/>
        </w:rPr>
        <w:t>სახელმძღვანელოში</w:t>
      </w:r>
      <w:r w:rsidRPr="00F25B6D">
        <w:rPr>
          <w:rFonts w:ascii="AcadNusx" w:hAnsi="AcadNusx" w:cs="AcadNusx"/>
        </w:rPr>
        <w:t>“</w:t>
      </w:r>
      <w:r w:rsidRPr="00F25B6D">
        <w:rPr>
          <w:rFonts w:ascii="AcadNusx" w:hAnsi="AcadNusx"/>
        </w:rPr>
        <w:t xml:space="preserve"> </w:t>
      </w:r>
      <w:r w:rsidRPr="00F25B6D">
        <w:rPr>
          <w:rFonts w:ascii="Sylfaen" w:hAnsi="Sylfaen" w:cs="Sylfaen"/>
        </w:rPr>
        <w:t>მოცემული</w:t>
      </w:r>
      <w:r w:rsidRPr="00F25B6D">
        <w:rPr>
          <w:rFonts w:ascii="AcadNusx" w:hAnsi="AcadNusx"/>
        </w:rPr>
        <w:t xml:space="preserve"> </w:t>
      </w:r>
      <w:r w:rsidRPr="00F25B6D">
        <w:rPr>
          <w:rFonts w:ascii="Sylfaen" w:hAnsi="Sylfaen" w:cs="Sylfaen"/>
        </w:rPr>
        <w:t>მეთოდი</w:t>
      </w:r>
      <w:r w:rsidRPr="00F25B6D">
        <w:rPr>
          <w:rFonts w:ascii="AcadNusx" w:hAnsi="AcadNusx"/>
        </w:rPr>
        <w:t xml:space="preserve"> </w:t>
      </w:r>
      <w:r w:rsidRPr="00F25B6D">
        <w:rPr>
          <w:rFonts w:ascii="Sylfaen" w:hAnsi="Sylfaen" w:cs="Sylfaen"/>
        </w:rPr>
        <w:t>და</w:t>
      </w:r>
      <w:r w:rsidRPr="00F25B6D">
        <w:rPr>
          <w:rFonts w:ascii="AcadNusx" w:hAnsi="AcadNusx"/>
        </w:rPr>
        <w:t xml:space="preserve"> </w:t>
      </w:r>
      <w:r w:rsidRPr="00F25B6D">
        <w:rPr>
          <w:rFonts w:ascii="Sylfaen" w:hAnsi="Sylfaen" w:cs="Sylfaen"/>
        </w:rPr>
        <w:t>პარამეტრები</w:t>
      </w:r>
      <w:r w:rsidRPr="00F25B6D">
        <w:rPr>
          <w:rFonts w:ascii="AcadNusx" w:hAnsi="AcadNusx"/>
        </w:rPr>
        <w:t>.</w:t>
      </w:r>
    </w:p>
    <w:p w14:paraId="695405E7" w14:textId="56FE63D4" w:rsidR="00EA3205" w:rsidRPr="00B05F62" w:rsidRDefault="00F25B6D" w:rsidP="00F25B6D">
      <w:pPr>
        <w:spacing w:before="120" w:after="120"/>
        <w:rPr>
          <w:rFonts w:ascii="AcadNusx" w:hAnsi="AcadNusx"/>
        </w:rPr>
      </w:pPr>
      <w:r w:rsidRPr="00F25B6D">
        <w:rPr>
          <w:rFonts w:ascii="Sylfaen" w:hAnsi="Sylfaen" w:cs="Sylfaen"/>
        </w:rPr>
        <w:t>ცხრილი</w:t>
      </w:r>
      <w:r w:rsidRPr="00F25B6D">
        <w:rPr>
          <w:rFonts w:ascii="AcadNusx" w:hAnsi="AcadNusx"/>
        </w:rPr>
        <w:t xml:space="preserve"> 4.9.3.1-2.</w:t>
      </w:r>
      <w:r w:rsidRPr="00F25B6D">
        <w:rPr>
          <w:rFonts w:ascii="AcadNusx" w:hAnsi="AcadNusx"/>
        </w:rPr>
        <w:tab/>
        <w:t xml:space="preserve"> </w:t>
      </w:r>
      <w:r w:rsidRPr="00F25B6D">
        <w:rPr>
          <w:rFonts w:ascii="Sylfaen" w:hAnsi="Sylfaen" w:cs="Sylfaen"/>
        </w:rPr>
        <w:t>საგზაო</w:t>
      </w:r>
      <w:r w:rsidRPr="00F25B6D">
        <w:rPr>
          <w:rFonts w:ascii="AcadNusx" w:hAnsi="AcadNusx"/>
        </w:rPr>
        <w:t xml:space="preserve"> </w:t>
      </w:r>
      <w:r w:rsidRPr="00F25B6D">
        <w:rPr>
          <w:rFonts w:ascii="Sylfaen" w:hAnsi="Sylfaen" w:cs="Sylfaen"/>
        </w:rPr>
        <w:t>სამოსის</w:t>
      </w:r>
      <w:r w:rsidRPr="00F25B6D">
        <w:rPr>
          <w:rFonts w:ascii="AcadNusx" w:hAnsi="AcadNusx"/>
        </w:rPr>
        <w:t xml:space="preserve"> </w:t>
      </w:r>
      <w:r w:rsidRPr="00F25B6D">
        <w:rPr>
          <w:rFonts w:ascii="Sylfaen" w:hAnsi="Sylfaen" w:cs="Sylfaen"/>
        </w:rPr>
        <w:t>აგებულების</w:t>
      </w:r>
      <w:r w:rsidRPr="00F25B6D">
        <w:rPr>
          <w:rFonts w:ascii="AcadNusx" w:hAnsi="AcadNusx"/>
        </w:rPr>
        <w:t xml:space="preserve"> </w:t>
      </w:r>
      <w:r>
        <w:rPr>
          <w:rFonts w:ascii="Sylfaen" w:hAnsi="Sylfaen" w:cs="Sylfaen"/>
        </w:rPr>
        <w:t xml:space="preserve">II </w:t>
      </w:r>
      <w:r w:rsidRPr="00F25B6D">
        <w:rPr>
          <w:rFonts w:ascii="Sylfaen" w:hAnsi="Sylfaen" w:cs="Sylfaen"/>
        </w:rPr>
        <w:t>ალტერნატიული</w:t>
      </w:r>
      <w:r w:rsidRPr="00F25B6D">
        <w:rPr>
          <w:rFonts w:ascii="AcadNusx" w:hAnsi="AcadNusx"/>
        </w:rPr>
        <w:t xml:space="preserve"> </w:t>
      </w:r>
      <w:r w:rsidRPr="00F25B6D">
        <w:rPr>
          <w:rFonts w:ascii="Sylfaen" w:hAnsi="Sylfaen" w:cs="Sylfaen"/>
        </w:rPr>
        <w:t>ვარიანტი</w:t>
      </w:r>
    </w:p>
    <w:tbl>
      <w:tblPr>
        <w:tblW w:w="9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216"/>
        <w:gridCol w:w="1441"/>
        <w:gridCol w:w="2178"/>
        <w:gridCol w:w="2241"/>
        <w:gridCol w:w="1441"/>
      </w:tblGrid>
      <w:tr w:rsidR="00FD6DA2" w:rsidRPr="00ED417F" w14:paraId="7724B8E7" w14:textId="77777777" w:rsidTr="009A1C27">
        <w:trPr>
          <w:trHeight w:val="639"/>
        </w:trPr>
        <w:tc>
          <w:tcPr>
            <w:tcW w:w="1262" w:type="dxa"/>
            <w:tcBorders>
              <w:top w:val="single" w:sz="4" w:space="0" w:color="auto"/>
              <w:left w:val="single" w:sz="4" w:space="0" w:color="auto"/>
              <w:bottom w:val="nil"/>
              <w:right w:val="single" w:sz="4" w:space="0" w:color="auto"/>
            </w:tcBorders>
            <w:shd w:val="clear" w:color="auto" w:fill="E0E0E0"/>
            <w:hideMark/>
          </w:tcPr>
          <w:p w14:paraId="57735F02" w14:textId="13C2BA08" w:rsidR="00FD6DA2" w:rsidRPr="00ED417F" w:rsidRDefault="00FD6DA2" w:rsidP="00FD6DA2">
            <w:pPr>
              <w:rPr>
                <w:rFonts w:ascii="AcadNusx" w:hAnsi="AcadNusx"/>
                <w:sz w:val="18"/>
              </w:rPr>
            </w:pPr>
            <w:r>
              <w:rPr>
                <w:rFonts w:ascii="Sylfaen" w:hAnsi="Sylfaen"/>
                <w:sz w:val="18"/>
                <w:lang w:val="ka-GE"/>
              </w:rPr>
              <w:t xml:space="preserve">ასფალტის საფარის ზედა ფენა </w:t>
            </w:r>
            <w:r w:rsidRPr="00F25B6D">
              <w:rPr>
                <w:rFonts w:ascii="Sylfaen" w:hAnsi="Sylfaen"/>
                <w:sz w:val="18"/>
              </w:rPr>
              <w:t>(</w:t>
            </w:r>
            <w:r>
              <w:rPr>
                <w:rFonts w:ascii="Sylfaen" w:hAnsi="Sylfaen"/>
                <w:sz w:val="18"/>
                <w:lang w:val="ka-GE"/>
              </w:rPr>
              <w:t>მმ</w:t>
            </w:r>
            <w:r w:rsidRPr="00F25B6D">
              <w:rPr>
                <w:rFonts w:ascii="Sylfaen" w:hAnsi="Sylfaen"/>
                <w:sz w:val="18"/>
              </w:rPr>
              <w:t>)</w:t>
            </w:r>
          </w:p>
        </w:tc>
        <w:tc>
          <w:tcPr>
            <w:tcW w:w="1216" w:type="dxa"/>
            <w:tcBorders>
              <w:top w:val="single" w:sz="4" w:space="0" w:color="auto"/>
              <w:left w:val="single" w:sz="4" w:space="0" w:color="auto"/>
              <w:bottom w:val="nil"/>
              <w:right w:val="single" w:sz="4" w:space="0" w:color="auto"/>
            </w:tcBorders>
            <w:shd w:val="clear" w:color="auto" w:fill="E0E0E0"/>
            <w:hideMark/>
          </w:tcPr>
          <w:p w14:paraId="0010C5BE" w14:textId="0CFDB3B7" w:rsidR="00FD6DA2" w:rsidRPr="00ED417F" w:rsidRDefault="00FD6DA2" w:rsidP="00FD6DA2">
            <w:pPr>
              <w:rPr>
                <w:rFonts w:ascii="AcadNusx" w:hAnsi="AcadNusx"/>
                <w:sz w:val="18"/>
                <w:lang w:val="en-US"/>
              </w:rPr>
            </w:pPr>
            <w:r>
              <w:rPr>
                <w:rFonts w:ascii="Sylfaen" w:hAnsi="Sylfaen"/>
                <w:sz w:val="18"/>
                <w:lang w:val="ka-GE"/>
              </w:rPr>
              <w:t xml:space="preserve">ასფალტის საფარის ქვედა ფენა </w:t>
            </w:r>
            <w:r w:rsidRPr="00F25B6D">
              <w:rPr>
                <w:rFonts w:ascii="Sylfaen" w:hAnsi="Sylfaen"/>
                <w:sz w:val="18"/>
              </w:rPr>
              <w:t>(</w:t>
            </w:r>
            <w:r>
              <w:rPr>
                <w:rFonts w:ascii="Sylfaen" w:hAnsi="Sylfaen"/>
                <w:sz w:val="18"/>
                <w:lang w:val="ka-GE"/>
              </w:rPr>
              <w:t>მმ</w:t>
            </w:r>
            <w:r w:rsidRPr="00F25B6D">
              <w:rPr>
                <w:rFonts w:ascii="Sylfaen" w:hAnsi="Sylfaen"/>
                <w:sz w:val="18"/>
              </w:rPr>
              <w:t>)</w:t>
            </w:r>
          </w:p>
        </w:tc>
        <w:tc>
          <w:tcPr>
            <w:tcW w:w="1441" w:type="dxa"/>
            <w:tcBorders>
              <w:top w:val="single" w:sz="4" w:space="0" w:color="auto"/>
              <w:left w:val="single" w:sz="4" w:space="0" w:color="auto"/>
              <w:bottom w:val="nil"/>
              <w:right w:val="single" w:sz="4" w:space="0" w:color="auto"/>
            </w:tcBorders>
            <w:shd w:val="clear" w:color="auto" w:fill="E0E0E0"/>
            <w:hideMark/>
          </w:tcPr>
          <w:p w14:paraId="7CD69E3B" w14:textId="77777777" w:rsidR="00FD6DA2" w:rsidRPr="00F25B6D" w:rsidRDefault="00FD6DA2" w:rsidP="00FD6DA2">
            <w:pPr>
              <w:rPr>
                <w:rFonts w:ascii="Sylfaen" w:hAnsi="Sylfaen"/>
                <w:sz w:val="18"/>
              </w:rPr>
            </w:pPr>
            <w:r>
              <w:rPr>
                <w:rFonts w:ascii="Sylfaen" w:hAnsi="Sylfaen"/>
                <w:sz w:val="18"/>
                <w:lang w:val="ka-GE"/>
              </w:rPr>
              <w:t>ღორღოვანი საფუძველი</w:t>
            </w:r>
            <w:r w:rsidRPr="00F25B6D">
              <w:rPr>
                <w:rFonts w:ascii="Sylfaen" w:hAnsi="Sylfaen"/>
                <w:sz w:val="18"/>
              </w:rPr>
              <w:t xml:space="preserve">  (CBR&gt;80%)</w:t>
            </w:r>
          </w:p>
          <w:p w14:paraId="1E7EC0B9" w14:textId="508131A6" w:rsidR="00FD6DA2" w:rsidRPr="00ED417F" w:rsidRDefault="00FD6DA2" w:rsidP="00FD6DA2">
            <w:pPr>
              <w:rPr>
                <w:rFonts w:ascii="AcadNusx" w:hAnsi="AcadNusx"/>
                <w:sz w:val="18"/>
              </w:rPr>
            </w:pPr>
            <w:r w:rsidRPr="00F25B6D">
              <w:rPr>
                <w:rFonts w:ascii="Sylfaen" w:hAnsi="Sylfaen"/>
                <w:sz w:val="18"/>
              </w:rPr>
              <w:t>(</w:t>
            </w:r>
            <w:r>
              <w:rPr>
                <w:rFonts w:ascii="Sylfaen" w:hAnsi="Sylfaen"/>
                <w:sz w:val="18"/>
                <w:lang w:val="ka-GE"/>
              </w:rPr>
              <w:t>მმ</w:t>
            </w:r>
            <w:r w:rsidRPr="00F25B6D">
              <w:rPr>
                <w:rFonts w:ascii="Sylfaen" w:hAnsi="Sylfaen"/>
                <w:sz w:val="18"/>
              </w:rPr>
              <w:t>)</w:t>
            </w:r>
          </w:p>
        </w:tc>
        <w:tc>
          <w:tcPr>
            <w:tcW w:w="2178" w:type="dxa"/>
            <w:tcBorders>
              <w:top w:val="single" w:sz="4" w:space="0" w:color="auto"/>
              <w:left w:val="single" w:sz="4" w:space="0" w:color="auto"/>
              <w:bottom w:val="nil"/>
              <w:right w:val="single" w:sz="4" w:space="0" w:color="auto"/>
            </w:tcBorders>
            <w:shd w:val="clear" w:color="auto" w:fill="E0E0E0"/>
            <w:hideMark/>
          </w:tcPr>
          <w:p w14:paraId="7FB4439C" w14:textId="356CFA38" w:rsidR="00FD6DA2" w:rsidRPr="00ED417F" w:rsidRDefault="00FD6DA2" w:rsidP="00FD6DA2">
            <w:pPr>
              <w:rPr>
                <w:rFonts w:ascii="AcadNusx" w:hAnsi="AcadNusx"/>
                <w:sz w:val="18"/>
              </w:rPr>
            </w:pPr>
            <w:r>
              <w:rPr>
                <w:rFonts w:ascii="Sylfaen" w:hAnsi="Sylfaen"/>
                <w:sz w:val="18"/>
                <w:lang w:val="ka-GE"/>
              </w:rPr>
              <w:t>მარცვლოვანი მასალის საფუძველის შესასწორებელი ფენა</w:t>
            </w:r>
            <w:r w:rsidRPr="00F25B6D">
              <w:rPr>
                <w:rFonts w:ascii="Sylfaen" w:hAnsi="Sylfaen"/>
                <w:sz w:val="18"/>
              </w:rPr>
              <w:t xml:space="preserve">  (CBR&gt;25%) (</w:t>
            </w:r>
            <w:r>
              <w:rPr>
                <w:rFonts w:ascii="Sylfaen" w:hAnsi="Sylfaen"/>
                <w:sz w:val="18"/>
                <w:lang w:val="ka-GE"/>
              </w:rPr>
              <w:t>მმ</w:t>
            </w:r>
            <w:r w:rsidRPr="00F25B6D">
              <w:rPr>
                <w:rFonts w:ascii="Sylfaen" w:hAnsi="Sylfaen"/>
                <w:sz w:val="18"/>
              </w:rPr>
              <w:t>)</w:t>
            </w:r>
          </w:p>
        </w:tc>
        <w:tc>
          <w:tcPr>
            <w:tcW w:w="2241" w:type="dxa"/>
            <w:tcBorders>
              <w:top w:val="single" w:sz="4" w:space="0" w:color="auto"/>
              <w:left w:val="single" w:sz="4" w:space="0" w:color="auto"/>
              <w:bottom w:val="nil"/>
              <w:right w:val="single" w:sz="4" w:space="0" w:color="auto"/>
            </w:tcBorders>
            <w:shd w:val="clear" w:color="auto" w:fill="E0E0E0"/>
            <w:hideMark/>
          </w:tcPr>
          <w:p w14:paraId="4192AD4F" w14:textId="7572778E" w:rsidR="00FD6DA2" w:rsidRPr="00ED417F" w:rsidRDefault="00FD6DA2" w:rsidP="00FD6DA2">
            <w:pPr>
              <w:rPr>
                <w:rFonts w:ascii="AcadNusx" w:hAnsi="AcadNusx"/>
                <w:sz w:val="18"/>
              </w:rPr>
            </w:pPr>
            <w:r>
              <w:rPr>
                <w:rFonts w:ascii="Sylfaen" w:hAnsi="Sylfaen"/>
                <w:sz w:val="18"/>
                <w:lang w:val="ka-GE"/>
              </w:rPr>
              <w:t>მარცვლოვანი მასალის საფუ</w:t>
            </w:r>
            <w:r w:rsidRPr="00F25B6D">
              <w:rPr>
                <w:rFonts w:ascii="Sylfaen" w:hAnsi="Sylfaen"/>
                <w:sz w:val="18"/>
                <w:lang w:val="ka-GE"/>
              </w:rPr>
              <w:t xml:space="preserve">ძველის დამატებითი ფენა </w:t>
            </w:r>
            <w:r w:rsidRPr="00F25B6D">
              <w:rPr>
                <w:rFonts w:ascii="Sylfaen" w:hAnsi="Sylfaen"/>
                <w:sz w:val="18"/>
              </w:rPr>
              <w:t>(CBR&gt;25%)</w:t>
            </w:r>
            <w:r w:rsidRPr="00F25B6D">
              <w:rPr>
                <w:rFonts w:ascii="Sylfaen" w:hAnsi="Sylfaen"/>
                <w:sz w:val="18"/>
                <w:lang w:val="ka-GE"/>
              </w:rPr>
              <w:t xml:space="preserve"> </w:t>
            </w:r>
            <w:r w:rsidRPr="00F25B6D">
              <w:rPr>
                <w:rFonts w:ascii="Sylfaen" w:hAnsi="Sylfaen"/>
                <w:sz w:val="18"/>
              </w:rPr>
              <w:t>(</w:t>
            </w:r>
            <w:r>
              <w:rPr>
                <w:rFonts w:ascii="Sylfaen" w:hAnsi="Sylfaen"/>
                <w:sz w:val="18"/>
                <w:lang w:val="ka-GE"/>
              </w:rPr>
              <w:t>მმ</w:t>
            </w:r>
            <w:r w:rsidRPr="00F25B6D">
              <w:rPr>
                <w:rFonts w:ascii="Sylfaen" w:hAnsi="Sylfaen"/>
                <w:sz w:val="18"/>
              </w:rPr>
              <w:t>)</w:t>
            </w:r>
          </w:p>
        </w:tc>
        <w:tc>
          <w:tcPr>
            <w:tcW w:w="1441" w:type="dxa"/>
            <w:tcBorders>
              <w:top w:val="single" w:sz="4" w:space="0" w:color="auto"/>
              <w:left w:val="single" w:sz="4" w:space="0" w:color="auto"/>
              <w:bottom w:val="nil"/>
              <w:right w:val="single" w:sz="4" w:space="0" w:color="auto"/>
            </w:tcBorders>
            <w:shd w:val="clear" w:color="auto" w:fill="E0E0E0"/>
            <w:hideMark/>
          </w:tcPr>
          <w:p w14:paraId="330F906F" w14:textId="3F9670E3" w:rsidR="00FD6DA2" w:rsidRPr="00ED417F" w:rsidRDefault="00FD6DA2" w:rsidP="00FD6DA2">
            <w:pPr>
              <w:rPr>
                <w:rFonts w:ascii="AcadNusx" w:hAnsi="AcadNusx"/>
                <w:sz w:val="18"/>
              </w:rPr>
            </w:pPr>
            <w:r w:rsidRPr="00F25B6D">
              <w:rPr>
                <w:rFonts w:ascii="Sylfaen" w:hAnsi="Sylfaen"/>
                <w:sz w:val="18"/>
                <w:lang w:val="ka-GE"/>
              </w:rPr>
              <w:t xml:space="preserve">საგზაო სამოსის საერთო სისქე </w:t>
            </w:r>
            <w:r w:rsidRPr="00F25B6D">
              <w:rPr>
                <w:rFonts w:ascii="Sylfaen" w:hAnsi="Sylfaen"/>
                <w:sz w:val="18"/>
              </w:rPr>
              <w:t>(</w:t>
            </w:r>
            <w:r>
              <w:rPr>
                <w:rFonts w:ascii="Sylfaen" w:hAnsi="Sylfaen"/>
                <w:sz w:val="18"/>
                <w:lang w:val="ka-GE"/>
              </w:rPr>
              <w:t>მმ</w:t>
            </w:r>
            <w:r w:rsidRPr="00F25B6D">
              <w:rPr>
                <w:rFonts w:ascii="Sylfaen" w:hAnsi="Sylfaen"/>
                <w:sz w:val="18"/>
              </w:rPr>
              <w:t>)</w:t>
            </w:r>
          </w:p>
        </w:tc>
      </w:tr>
      <w:tr w:rsidR="00EA3205" w:rsidRPr="00ED417F" w14:paraId="349A1E55" w14:textId="77777777" w:rsidTr="00ED417F">
        <w:trPr>
          <w:trHeight w:val="134"/>
        </w:trPr>
        <w:tc>
          <w:tcPr>
            <w:tcW w:w="1262" w:type="dxa"/>
            <w:tcBorders>
              <w:top w:val="single" w:sz="4" w:space="0" w:color="auto"/>
              <w:left w:val="single" w:sz="4" w:space="0" w:color="auto"/>
              <w:bottom w:val="single" w:sz="4" w:space="0" w:color="auto"/>
              <w:right w:val="single" w:sz="4" w:space="0" w:color="auto"/>
            </w:tcBorders>
            <w:vAlign w:val="center"/>
            <w:hideMark/>
          </w:tcPr>
          <w:p w14:paraId="7EE188D1" w14:textId="77777777" w:rsidR="00EA3205" w:rsidRPr="00ED417F" w:rsidRDefault="00EA3205" w:rsidP="00EA3205">
            <w:pPr>
              <w:rPr>
                <w:rFonts w:ascii="AcadNusx" w:hAnsi="AcadNusx"/>
                <w:sz w:val="18"/>
              </w:rPr>
            </w:pPr>
            <w:r w:rsidRPr="00ED417F">
              <w:rPr>
                <w:rFonts w:ascii="AcadNusx" w:hAnsi="AcadNusx"/>
                <w:sz w:val="18"/>
              </w:rPr>
              <w:t>40</w:t>
            </w:r>
          </w:p>
        </w:tc>
        <w:tc>
          <w:tcPr>
            <w:tcW w:w="1216" w:type="dxa"/>
            <w:tcBorders>
              <w:top w:val="single" w:sz="4" w:space="0" w:color="auto"/>
              <w:left w:val="single" w:sz="4" w:space="0" w:color="auto"/>
              <w:bottom w:val="single" w:sz="4" w:space="0" w:color="auto"/>
              <w:right w:val="single" w:sz="4" w:space="0" w:color="auto"/>
            </w:tcBorders>
            <w:vAlign w:val="center"/>
            <w:hideMark/>
          </w:tcPr>
          <w:p w14:paraId="2D4AC5D2" w14:textId="77777777" w:rsidR="00EA3205" w:rsidRPr="00ED417F" w:rsidRDefault="00EA3205" w:rsidP="00EA3205">
            <w:pPr>
              <w:rPr>
                <w:rFonts w:ascii="AcadNusx" w:hAnsi="AcadNusx"/>
                <w:sz w:val="18"/>
              </w:rPr>
            </w:pPr>
            <w:r w:rsidRPr="00ED417F">
              <w:rPr>
                <w:rFonts w:ascii="AcadNusx" w:hAnsi="AcadNusx"/>
                <w:sz w:val="18"/>
              </w:rPr>
              <w:t>120</w:t>
            </w:r>
          </w:p>
        </w:tc>
        <w:tc>
          <w:tcPr>
            <w:tcW w:w="1441" w:type="dxa"/>
            <w:tcBorders>
              <w:top w:val="single" w:sz="4" w:space="0" w:color="auto"/>
              <w:left w:val="single" w:sz="4" w:space="0" w:color="auto"/>
              <w:bottom w:val="single" w:sz="4" w:space="0" w:color="auto"/>
              <w:right w:val="single" w:sz="4" w:space="0" w:color="auto"/>
            </w:tcBorders>
            <w:vAlign w:val="center"/>
            <w:hideMark/>
          </w:tcPr>
          <w:p w14:paraId="2893C190" w14:textId="77777777" w:rsidR="00EA3205" w:rsidRPr="00ED417F" w:rsidRDefault="00EA3205" w:rsidP="00EA3205">
            <w:pPr>
              <w:rPr>
                <w:rFonts w:ascii="AcadNusx" w:hAnsi="AcadNusx"/>
                <w:sz w:val="18"/>
              </w:rPr>
            </w:pPr>
            <w:r w:rsidRPr="00ED417F">
              <w:rPr>
                <w:rFonts w:ascii="AcadNusx" w:hAnsi="AcadNusx"/>
                <w:sz w:val="18"/>
              </w:rPr>
              <w:t>150</w:t>
            </w:r>
          </w:p>
        </w:tc>
        <w:tc>
          <w:tcPr>
            <w:tcW w:w="2178" w:type="dxa"/>
            <w:tcBorders>
              <w:top w:val="single" w:sz="4" w:space="0" w:color="auto"/>
              <w:left w:val="single" w:sz="4" w:space="0" w:color="auto"/>
              <w:bottom w:val="single" w:sz="4" w:space="0" w:color="auto"/>
              <w:right w:val="single" w:sz="4" w:space="0" w:color="auto"/>
            </w:tcBorders>
            <w:vAlign w:val="center"/>
            <w:hideMark/>
          </w:tcPr>
          <w:p w14:paraId="47757499" w14:textId="77777777" w:rsidR="00EA3205" w:rsidRPr="00ED417F" w:rsidRDefault="00EA3205" w:rsidP="00EA3205">
            <w:pPr>
              <w:rPr>
                <w:rFonts w:ascii="AcadNusx" w:hAnsi="AcadNusx"/>
                <w:sz w:val="18"/>
              </w:rPr>
            </w:pPr>
            <w:r w:rsidRPr="00ED417F">
              <w:rPr>
                <w:rFonts w:ascii="AcadNusx" w:hAnsi="AcadNusx"/>
                <w:sz w:val="18"/>
              </w:rPr>
              <w:t>150</w:t>
            </w:r>
          </w:p>
        </w:tc>
        <w:tc>
          <w:tcPr>
            <w:tcW w:w="2241" w:type="dxa"/>
            <w:tcBorders>
              <w:top w:val="single" w:sz="4" w:space="0" w:color="auto"/>
              <w:left w:val="single" w:sz="4" w:space="0" w:color="auto"/>
              <w:bottom w:val="single" w:sz="4" w:space="0" w:color="auto"/>
              <w:right w:val="single" w:sz="4" w:space="0" w:color="auto"/>
            </w:tcBorders>
            <w:vAlign w:val="center"/>
            <w:hideMark/>
          </w:tcPr>
          <w:p w14:paraId="0006EFC5" w14:textId="77777777" w:rsidR="00EA3205" w:rsidRPr="00ED417F" w:rsidRDefault="00EA3205" w:rsidP="00EA3205">
            <w:pPr>
              <w:rPr>
                <w:rFonts w:ascii="AcadNusx" w:hAnsi="AcadNusx"/>
                <w:sz w:val="18"/>
              </w:rPr>
            </w:pPr>
            <w:r w:rsidRPr="00ED417F">
              <w:rPr>
                <w:rFonts w:ascii="AcadNusx" w:hAnsi="AcadNusx"/>
                <w:sz w:val="18"/>
              </w:rPr>
              <w:t>260</w:t>
            </w:r>
          </w:p>
        </w:tc>
        <w:tc>
          <w:tcPr>
            <w:tcW w:w="1441" w:type="dxa"/>
            <w:tcBorders>
              <w:top w:val="single" w:sz="4" w:space="0" w:color="auto"/>
              <w:left w:val="single" w:sz="4" w:space="0" w:color="auto"/>
              <w:bottom w:val="single" w:sz="4" w:space="0" w:color="auto"/>
              <w:right w:val="single" w:sz="4" w:space="0" w:color="auto"/>
            </w:tcBorders>
            <w:vAlign w:val="center"/>
            <w:hideMark/>
          </w:tcPr>
          <w:p w14:paraId="25291868" w14:textId="77777777" w:rsidR="00EA3205" w:rsidRPr="00ED417F" w:rsidRDefault="00EA3205" w:rsidP="00EA3205">
            <w:pPr>
              <w:rPr>
                <w:rFonts w:ascii="AcadNusx" w:hAnsi="AcadNusx"/>
                <w:sz w:val="18"/>
              </w:rPr>
            </w:pPr>
            <w:r w:rsidRPr="00ED417F">
              <w:rPr>
                <w:rFonts w:ascii="AcadNusx" w:hAnsi="AcadNusx"/>
                <w:sz w:val="18"/>
              </w:rPr>
              <w:t>720</w:t>
            </w:r>
          </w:p>
        </w:tc>
      </w:tr>
    </w:tbl>
    <w:p w14:paraId="178A6E1C" w14:textId="77777777" w:rsidR="00EA3205" w:rsidRPr="00B05F62" w:rsidRDefault="00EA3205" w:rsidP="00EA3205">
      <w:pPr>
        <w:rPr>
          <w:rFonts w:ascii="AcadNusx" w:hAnsi="AcadNusx"/>
        </w:rPr>
      </w:pPr>
    </w:p>
    <w:p w14:paraId="6F6CD596" w14:textId="743A2AF2" w:rsidR="00FD6DA2" w:rsidRPr="00FD6DA2" w:rsidRDefault="00FD6DA2" w:rsidP="00FD6DA2">
      <w:r w:rsidRPr="00FD6DA2">
        <w:rPr>
          <w:rFonts w:ascii="Sylfaen" w:hAnsi="Sylfaen" w:cs="Sylfaen"/>
        </w:rPr>
        <w:t>აღნიშნული</w:t>
      </w:r>
      <w:r w:rsidRPr="00FD6DA2">
        <w:t xml:space="preserve"> </w:t>
      </w:r>
      <w:r w:rsidRPr="00FD6DA2">
        <w:rPr>
          <w:rFonts w:ascii="Sylfaen" w:hAnsi="Sylfaen" w:cs="Sylfaen"/>
        </w:rPr>
        <w:t>ალტერნატიული</w:t>
      </w:r>
      <w:r w:rsidRPr="00FD6DA2">
        <w:t xml:space="preserve"> </w:t>
      </w:r>
      <w:r w:rsidRPr="00FD6DA2">
        <w:rPr>
          <w:rFonts w:ascii="Sylfaen" w:hAnsi="Sylfaen" w:cs="Sylfaen"/>
        </w:rPr>
        <w:t>საგზაო</w:t>
      </w:r>
      <w:r w:rsidRPr="00FD6DA2">
        <w:t xml:space="preserve"> </w:t>
      </w:r>
      <w:r w:rsidRPr="00FD6DA2">
        <w:rPr>
          <w:rFonts w:ascii="Sylfaen" w:hAnsi="Sylfaen" w:cs="Sylfaen"/>
        </w:rPr>
        <w:t>სამოსი</w:t>
      </w:r>
      <w:r w:rsidRPr="00FD6DA2">
        <w:t xml:space="preserve"> </w:t>
      </w:r>
      <w:r w:rsidRPr="00FD6DA2">
        <w:rPr>
          <w:rFonts w:ascii="Sylfaen" w:hAnsi="Sylfaen" w:cs="Sylfaen"/>
        </w:rPr>
        <w:t>შედგება</w:t>
      </w:r>
      <w:r w:rsidRPr="00FD6DA2">
        <w:t xml:space="preserve"> </w:t>
      </w:r>
      <w:r w:rsidRPr="00FD6DA2">
        <w:rPr>
          <w:rFonts w:ascii="Sylfaen" w:hAnsi="Sylfaen" w:cs="Sylfaen"/>
        </w:rPr>
        <w:t>ასფალტის</w:t>
      </w:r>
      <w:r w:rsidRPr="00FD6DA2">
        <w:t xml:space="preserve"> </w:t>
      </w:r>
      <w:r w:rsidRPr="00FD6DA2">
        <w:rPr>
          <w:rFonts w:ascii="Sylfaen" w:hAnsi="Sylfaen" w:cs="Sylfaen"/>
        </w:rPr>
        <w:t>საფარის</w:t>
      </w:r>
      <w:r w:rsidRPr="00FD6DA2">
        <w:t xml:space="preserve"> </w:t>
      </w:r>
      <w:r w:rsidRPr="00FD6DA2">
        <w:rPr>
          <w:rFonts w:ascii="Sylfaen" w:hAnsi="Sylfaen" w:cs="Sylfaen"/>
        </w:rPr>
        <w:t>თხელი</w:t>
      </w:r>
      <w:r w:rsidRPr="00FD6DA2">
        <w:t xml:space="preserve"> </w:t>
      </w:r>
      <w:r w:rsidRPr="00FD6DA2">
        <w:rPr>
          <w:rFonts w:ascii="Sylfaen" w:hAnsi="Sylfaen" w:cs="Sylfaen"/>
        </w:rPr>
        <w:t>ზედა</w:t>
      </w:r>
      <w:r w:rsidRPr="00FD6DA2">
        <w:t xml:space="preserve"> (</w:t>
      </w:r>
      <w:r w:rsidRPr="00FD6DA2">
        <w:rPr>
          <w:rFonts w:ascii="Sylfaen" w:hAnsi="Sylfaen" w:cs="Sylfaen"/>
        </w:rPr>
        <w:t>ასფალტბეტონის</w:t>
      </w:r>
      <w:r w:rsidRPr="00FD6DA2">
        <w:t xml:space="preserve">) </w:t>
      </w:r>
      <w:r w:rsidRPr="00FD6DA2">
        <w:rPr>
          <w:rFonts w:ascii="Sylfaen" w:hAnsi="Sylfaen" w:cs="Sylfaen"/>
        </w:rPr>
        <w:t>და</w:t>
      </w:r>
      <w:r w:rsidRPr="00FD6DA2">
        <w:t xml:space="preserve"> </w:t>
      </w:r>
      <w:r w:rsidRPr="00FD6DA2">
        <w:rPr>
          <w:rFonts w:ascii="Sylfaen" w:hAnsi="Sylfaen" w:cs="Sylfaen"/>
        </w:rPr>
        <w:t>ქვედა</w:t>
      </w:r>
      <w:r w:rsidRPr="00FD6DA2">
        <w:t xml:space="preserve"> (</w:t>
      </w:r>
      <w:r w:rsidRPr="00FD6DA2">
        <w:rPr>
          <w:rFonts w:ascii="Sylfaen" w:hAnsi="Sylfaen" w:cs="Sylfaen"/>
        </w:rPr>
        <w:t>ასფალტის</w:t>
      </w:r>
      <w:r w:rsidRPr="00FD6DA2">
        <w:t xml:space="preserve">) </w:t>
      </w:r>
      <w:r w:rsidRPr="00FD6DA2">
        <w:rPr>
          <w:rFonts w:ascii="Sylfaen" w:hAnsi="Sylfaen" w:cs="Sylfaen"/>
        </w:rPr>
        <w:t>ფენებისგან</w:t>
      </w:r>
      <w:r w:rsidRPr="00FD6DA2">
        <w:t xml:space="preserve">, </w:t>
      </w:r>
      <w:r w:rsidRPr="00FD6DA2">
        <w:rPr>
          <w:rFonts w:ascii="Sylfaen" w:hAnsi="Sylfaen" w:cs="Sylfaen"/>
        </w:rPr>
        <w:t>რომლებიც</w:t>
      </w:r>
      <w:r w:rsidRPr="00FD6DA2">
        <w:t xml:space="preserve"> </w:t>
      </w:r>
      <w:r w:rsidRPr="00FD6DA2">
        <w:rPr>
          <w:rFonts w:ascii="Sylfaen" w:hAnsi="Sylfaen" w:cs="Sylfaen"/>
        </w:rPr>
        <w:t>დაგებულია</w:t>
      </w:r>
      <w:r w:rsidRPr="00FD6DA2">
        <w:t xml:space="preserve"> </w:t>
      </w:r>
      <w:r w:rsidRPr="00FD6DA2">
        <w:rPr>
          <w:rFonts w:ascii="Sylfaen" w:hAnsi="Sylfaen" w:cs="Sylfaen"/>
        </w:rPr>
        <w:t>ცემენტით</w:t>
      </w:r>
      <w:r w:rsidRPr="00FD6DA2">
        <w:t xml:space="preserve"> </w:t>
      </w:r>
      <w:r w:rsidRPr="00FD6DA2">
        <w:rPr>
          <w:rFonts w:ascii="Sylfaen" w:hAnsi="Sylfaen" w:cs="Sylfaen"/>
        </w:rPr>
        <w:t>გამაგრებულ</w:t>
      </w:r>
      <w:r w:rsidRPr="00FD6DA2">
        <w:t xml:space="preserve"> </w:t>
      </w:r>
      <w:r w:rsidRPr="00FD6DA2">
        <w:rPr>
          <w:rFonts w:ascii="Sylfaen" w:hAnsi="Sylfaen" w:cs="Sylfaen"/>
        </w:rPr>
        <w:t>საფუძველზე</w:t>
      </w:r>
      <w:r w:rsidRPr="00FD6DA2">
        <w:t xml:space="preserve"> </w:t>
      </w:r>
      <w:r w:rsidRPr="00FD6DA2">
        <w:rPr>
          <w:rFonts w:ascii="Sylfaen" w:hAnsi="Sylfaen" w:cs="Sylfaen"/>
        </w:rPr>
        <w:t>და</w:t>
      </w:r>
      <w:r w:rsidRPr="00FD6DA2">
        <w:t xml:space="preserve"> </w:t>
      </w:r>
      <w:r w:rsidRPr="00FD6DA2">
        <w:rPr>
          <w:rFonts w:ascii="Sylfaen" w:hAnsi="Sylfaen" w:cs="Sylfaen"/>
        </w:rPr>
        <w:t>მის</w:t>
      </w:r>
      <w:r w:rsidRPr="00FD6DA2">
        <w:t xml:space="preserve"> </w:t>
      </w:r>
      <w:r w:rsidRPr="00FD6DA2">
        <w:rPr>
          <w:rFonts w:ascii="Sylfaen" w:hAnsi="Sylfaen" w:cs="Sylfaen"/>
        </w:rPr>
        <w:t>ქვედა</w:t>
      </w:r>
      <w:r w:rsidRPr="00FD6DA2">
        <w:t xml:space="preserve">, </w:t>
      </w:r>
      <w:r w:rsidRPr="00FD6DA2">
        <w:rPr>
          <w:rFonts w:ascii="Sylfaen" w:hAnsi="Sylfaen" w:cs="Sylfaen"/>
        </w:rPr>
        <w:t>ბუნებრივი</w:t>
      </w:r>
      <w:r w:rsidRPr="00FD6DA2">
        <w:t xml:space="preserve"> </w:t>
      </w:r>
      <w:r w:rsidRPr="00FD6DA2">
        <w:rPr>
          <w:rFonts w:ascii="Sylfaen" w:hAnsi="Sylfaen" w:cs="Sylfaen"/>
        </w:rPr>
        <w:t>ქვიშა</w:t>
      </w:r>
      <w:r w:rsidRPr="00FD6DA2">
        <w:t>-</w:t>
      </w:r>
      <w:r w:rsidRPr="00FD6DA2">
        <w:rPr>
          <w:rFonts w:ascii="Sylfaen" w:hAnsi="Sylfaen" w:cs="Sylfaen"/>
        </w:rPr>
        <w:t>ხრეშოვანი</w:t>
      </w:r>
      <w:r w:rsidRPr="00FD6DA2">
        <w:t xml:space="preserve"> </w:t>
      </w:r>
      <w:r w:rsidRPr="00FD6DA2">
        <w:rPr>
          <w:rFonts w:ascii="Sylfaen" w:hAnsi="Sylfaen" w:cs="Sylfaen"/>
        </w:rPr>
        <w:t>ნარევით</w:t>
      </w:r>
      <w:r w:rsidRPr="00FD6DA2">
        <w:t xml:space="preserve"> </w:t>
      </w:r>
      <w:r w:rsidRPr="00FD6DA2">
        <w:rPr>
          <w:rFonts w:ascii="Sylfaen" w:hAnsi="Sylfaen" w:cs="Sylfaen"/>
        </w:rPr>
        <w:t>შედგენილ</w:t>
      </w:r>
      <w:r w:rsidRPr="00FD6DA2">
        <w:t xml:space="preserve">, </w:t>
      </w:r>
      <w:r w:rsidRPr="00FD6DA2">
        <w:rPr>
          <w:rFonts w:ascii="Sylfaen" w:hAnsi="Sylfaen" w:cs="Sylfaen"/>
        </w:rPr>
        <w:t>საფუძველის</w:t>
      </w:r>
      <w:r w:rsidRPr="00FD6DA2">
        <w:t xml:space="preserve"> </w:t>
      </w:r>
      <w:r w:rsidRPr="00FD6DA2">
        <w:rPr>
          <w:rFonts w:ascii="Sylfaen" w:hAnsi="Sylfaen" w:cs="Sylfaen"/>
        </w:rPr>
        <w:t>შესასწორებელ</w:t>
      </w:r>
      <w:r w:rsidRPr="00FD6DA2">
        <w:t xml:space="preserve"> </w:t>
      </w:r>
      <w:r w:rsidRPr="00FD6DA2">
        <w:rPr>
          <w:rFonts w:ascii="Sylfaen" w:hAnsi="Sylfaen" w:cs="Sylfaen"/>
        </w:rPr>
        <w:t>ფენაზე</w:t>
      </w:r>
      <w:r w:rsidRPr="00FD6DA2">
        <w:t xml:space="preserve">. </w:t>
      </w:r>
      <w:r w:rsidRPr="00FD6DA2">
        <w:rPr>
          <w:rFonts w:ascii="Sylfaen" w:hAnsi="Sylfaen" w:cs="Sylfaen"/>
        </w:rPr>
        <w:t>შეკავშირებული</w:t>
      </w:r>
      <w:r w:rsidRPr="00FD6DA2">
        <w:t xml:space="preserve"> </w:t>
      </w:r>
      <w:r w:rsidRPr="00FD6DA2">
        <w:rPr>
          <w:rFonts w:ascii="Sylfaen" w:hAnsi="Sylfaen" w:cs="Sylfaen"/>
        </w:rPr>
        <w:t>მასალებით</w:t>
      </w:r>
      <w:r w:rsidRPr="00FD6DA2">
        <w:t xml:space="preserve"> </w:t>
      </w:r>
      <w:r w:rsidRPr="00FD6DA2">
        <w:rPr>
          <w:rFonts w:ascii="Sylfaen" w:hAnsi="Sylfaen" w:cs="Sylfaen"/>
        </w:rPr>
        <w:t>აგებულ</w:t>
      </w:r>
      <w:r w:rsidRPr="00FD6DA2">
        <w:t xml:space="preserve"> </w:t>
      </w:r>
      <w:r w:rsidRPr="00FD6DA2">
        <w:rPr>
          <w:rFonts w:ascii="Sylfaen" w:hAnsi="Sylfaen" w:cs="Sylfaen"/>
        </w:rPr>
        <w:t>მიწის</w:t>
      </w:r>
      <w:r w:rsidRPr="00FD6DA2">
        <w:t xml:space="preserve"> </w:t>
      </w:r>
      <w:r w:rsidRPr="00FD6DA2">
        <w:rPr>
          <w:rFonts w:ascii="Sylfaen" w:hAnsi="Sylfaen" w:cs="Sylfaen"/>
        </w:rPr>
        <w:t>ვაკისზე</w:t>
      </w:r>
      <w:r w:rsidRPr="00FD6DA2">
        <w:t xml:space="preserve"> </w:t>
      </w:r>
      <w:r w:rsidRPr="00FD6DA2">
        <w:rPr>
          <w:rFonts w:ascii="Sylfaen" w:hAnsi="Sylfaen" w:cs="Sylfaen"/>
        </w:rPr>
        <w:t>უნდა</w:t>
      </w:r>
      <w:r w:rsidRPr="00FD6DA2">
        <w:t xml:space="preserve"> </w:t>
      </w:r>
      <w:r w:rsidRPr="00FD6DA2">
        <w:rPr>
          <w:rFonts w:ascii="Sylfaen" w:hAnsi="Sylfaen" w:cs="Sylfaen"/>
        </w:rPr>
        <w:t>განთავსდეს</w:t>
      </w:r>
      <w:r w:rsidRPr="00FD6DA2">
        <w:t xml:space="preserve"> </w:t>
      </w:r>
      <w:r w:rsidRPr="00FD6DA2">
        <w:rPr>
          <w:rFonts w:ascii="Sylfaen" w:hAnsi="Sylfaen" w:cs="Sylfaen"/>
        </w:rPr>
        <w:t>დამატებითი</w:t>
      </w:r>
      <w:r w:rsidRPr="00FD6DA2">
        <w:t xml:space="preserve"> </w:t>
      </w:r>
      <w:r w:rsidRPr="00FD6DA2">
        <w:rPr>
          <w:rFonts w:ascii="Sylfaen" w:hAnsi="Sylfaen" w:cs="Sylfaen"/>
        </w:rPr>
        <w:t>მიწის</w:t>
      </w:r>
      <w:r w:rsidRPr="00FD6DA2">
        <w:t xml:space="preserve"> </w:t>
      </w:r>
      <w:r w:rsidRPr="00FD6DA2">
        <w:rPr>
          <w:rFonts w:ascii="Sylfaen" w:hAnsi="Sylfaen" w:cs="Sylfaen"/>
        </w:rPr>
        <w:t>ვაკისის</w:t>
      </w:r>
      <w:r w:rsidRPr="00FD6DA2">
        <w:t xml:space="preserve"> </w:t>
      </w:r>
      <w:r w:rsidRPr="00FD6DA2">
        <w:rPr>
          <w:rFonts w:ascii="Sylfaen" w:hAnsi="Sylfaen" w:cs="Sylfaen"/>
        </w:rPr>
        <w:t>დამცავი</w:t>
      </w:r>
      <w:r w:rsidRPr="00FD6DA2">
        <w:t xml:space="preserve"> </w:t>
      </w:r>
      <w:r w:rsidRPr="00FD6DA2">
        <w:rPr>
          <w:rFonts w:ascii="Sylfaen" w:hAnsi="Sylfaen" w:cs="Sylfaen"/>
        </w:rPr>
        <w:t>ფენა</w:t>
      </w:r>
      <w:r w:rsidRPr="00FD6DA2">
        <w:t xml:space="preserve">. </w:t>
      </w:r>
      <w:r w:rsidRPr="00FD6DA2">
        <w:rPr>
          <w:rFonts w:ascii="Sylfaen" w:hAnsi="Sylfaen" w:cs="Sylfaen"/>
        </w:rPr>
        <w:t>გზის</w:t>
      </w:r>
      <w:r w:rsidRPr="00FD6DA2">
        <w:t xml:space="preserve"> </w:t>
      </w:r>
      <w:r w:rsidRPr="00FD6DA2">
        <w:rPr>
          <w:rFonts w:ascii="Sylfaen" w:hAnsi="Sylfaen" w:cs="Sylfaen"/>
        </w:rPr>
        <w:t>სეგმენტებზე</w:t>
      </w:r>
      <w:r w:rsidRPr="00FD6DA2">
        <w:t xml:space="preserve">, </w:t>
      </w:r>
      <w:r w:rsidRPr="00FD6DA2">
        <w:rPr>
          <w:rFonts w:ascii="Sylfaen" w:hAnsi="Sylfaen" w:cs="Sylfaen"/>
        </w:rPr>
        <w:t>რომლებიც</w:t>
      </w:r>
      <w:r w:rsidRPr="00FD6DA2">
        <w:t xml:space="preserve"> </w:t>
      </w:r>
      <w:r w:rsidRPr="00FD6DA2">
        <w:rPr>
          <w:rFonts w:ascii="Sylfaen" w:hAnsi="Sylfaen" w:cs="Sylfaen"/>
        </w:rPr>
        <w:t>მიწაყრილებზე</w:t>
      </w:r>
      <w:r w:rsidRPr="00FD6DA2">
        <w:t xml:space="preserve"> </w:t>
      </w:r>
      <w:r w:rsidRPr="00FD6DA2">
        <w:rPr>
          <w:rFonts w:ascii="Sylfaen" w:hAnsi="Sylfaen" w:cs="Sylfaen"/>
        </w:rPr>
        <w:t>აშენდება</w:t>
      </w:r>
      <w:r w:rsidRPr="00FD6DA2">
        <w:t xml:space="preserve">, </w:t>
      </w:r>
      <w:r w:rsidRPr="00FD6DA2">
        <w:rPr>
          <w:rFonts w:ascii="Sylfaen" w:hAnsi="Sylfaen" w:cs="Sylfaen"/>
        </w:rPr>
        <w:t>მიწაყრილის</w:t>
      </w:r>
      <w:r w:rsidRPr="00FD6DA2">
        <w:t xml:space="preserve"> </w:t>
      </w:r>
      <w:r w:rsidRPr="00FD6DA2">
        <w:rPr>
          <w:rFonts w:ascii="Sylfaen" w:hAnsi="Sylfaen" w:cs="Sylfaen"/>
        </w:rPr>
        <w:t>მასალების</w:t>
      </w:r>
      <w:r w:rsidRPr="00FD6DA2">
        <w:t xml:space="preserve"> </w:t>
      </w:r>
      <w:r w:rsidRPr="00FD6DA2">
        <w:rPr>
          <w:rFonts w:ascii="Sylfaen" w:hAnsi="Sylfaen" w:cs="Sylfaen"/>
        </w:rPr>
        <w:t>მზიდუნარიანობა</w:t>
      </w:r>
      <w:r w:rsidRPr="00FD6DA2">
        <w:t xml:space="preserve"> </w:t>
      </w:r>
      <w:r w:rsidRPr="00FD6DA2">
        <w:rPr>
          <w:rFonts w:ascii="Sylfaen" w:hAnsi="Sylfaen" w:cs="Sylfaen"/>
        </w:rPr>
        <w:t>არ</w:t>
      </w:r>
      <w:r w:rsidRPr="00FD6DA2">
        <w:t xml:space="preserve"> </w:t>
      </w:r>
      <w:r w:rsidRPr="00FD6DA2">
        <w:rPr>
          <w:rFonts w:ascii="Sylfaen" w:hAnsi="Sylfaen" w:cs="Sylfaen"/>
        </w:rPr>
        <w:t>უნდა</w:t>
      </w:r>
      <w:r w:rsidRPr="00FD6DA2">
        <w:t xml:space="preserve"> </w:t>
      </w:r>
      <w:r w:rsidRPr="00FD6DA2">
        <w:rPr>
          <w:rFonts w:ascii="Sylfaen" w:hAnsi="Sylfaen" w:cs="Sylfaen"/>
        </w:rPr>
        <w:t>იყოს</w:t>
      </w:r>
      <w:r w:rsidRPr="00FD6DA2">
        <w:t xml:space="preserve"> </w:t>
      </w:r>
      <w:r w:rsidRPr="00FD6DA2">
        <w:rPr>
          <w:rFonts w:ascii="Sylfaen" w:hAnsi="Sylfaen" w:cs="Sylfaen"/>
        </w:rPr>
        <w:t>ნაკლები</w:t>
      </w:r>
      <w:r w:rsidRPr="00FD6DA2">
        <w:t xml:space="preserve"> </w:t>
      </w:r>
      <w:r>
        <w:t>CBR</w:t>
      </w:r>
      <w:r w:rsidRPr="00FD6DA2">
        <w:t>=5%-</w:t>
      </w:r>
      <w:r w:rsidRPr="00FD6DA2">
        <w:rPr>
          <w:rFonts w:ascii="Sylfaen" w:hAnsi="Sylfaen" w:cs="Sylfaen"/>
        </w:rPr>
        <w:t>ზე</w:t>
      </w:r>
      <w:r w:rsidRPr="00FD6DA2">
        <w:t xml:space="preserve">. </w:t>
      </w:r>
      <w:r w:rsidRPr="00FD6DA2">
        <w:rPr>
          <w:rFonts w:ascii="Sylfaen" w:hAnsi="Sylfaen" w:cs="Sylfaen"/>
        </w:rPr>
        <w:t>საგზაო</w:t>
      </w:r>
      <w:r w:rsidRPr="00FD6DA2">
        <w:t xml:space="preserve"> </w:t>
      </w:r>
      <w:r w:rsidRPr="00FD6DA2">
        <w:rPr>
          <w:rFonts w:ascii="Sylfaen" w:hAnsi="Sylfaen" w:cs="Sylfaen"/>
        </w:rPr>
        <w:t>სამოსის</w:t>
      </w:r>
      <w:r w:rsidRPr="00FD6DA2">
        <w:t xml:space="preserve"> </w:t>
      </w:r>
      <w:r w:rsidRPr="00FD6DA2">
        <w:rPr>
          <w:rFonts w:ascii="Sylfaen" w:hAnsi="Sylfaen" w:cs="Sylfaen"/>
        </w:rPr>
        <w:t>სრული</w:t>
      </w:r>
      <w:r w:rsidRPr="00FD6DA2">
        <w:t xml:space="preserve"> </w:t>
      </w:r>
      <w:r w:rsidRPr="00FD6DA2">
        <w:rPr>
          <w:rFonts w:ascii="Sylfaen" w:hAnsi="Sylfaen" w:cs="Sylfaen"/>
        </w:rPr>
        <w:t>სისქე</w:t>
      </w:r>
      <w:r w:rsidRPr="00FD6DA2">
        <w:t xml:space="preserve"> </w:t>
      </w:r>
      <w:r w:rsidRPr="00FD6DA2">
        <w:rPr>
          <w:rFonts w:ascii="Sylfaen" w:hAnsi="Sylfaen" w:cs="Sylfaen"/>
        </w:rPr>
        <w:t>შეადგენს</w:t>
      </w:r>
      <w:r w:rsidRPr="00FD6DA2">
        <w:t xml:space="preserve"> 720 </w:t>
      </w:r>
      <w:r w:rsidRPr="00FD6DA2">
        <w:rPr>
          <w:rFonts w:ascii="Sylfaen" w:hAnsi="Sylfaen" w:cs="Sylfaen"/>
        </w:rPr>
        <w:t>მმ</w:t>
      </w:r>
      <w:r w:rsidRPr="00FD6DA2">
        <w:t>-</w:t>
      </w:r>
      <w:r w:rsidRPr="00FD6DA2">
        <w:rPr>
          <w:rFonts w:ascii="Sylfaen" w:hAnsi="Sylfaen" w:cs="Sylfaen"/>
        </w:rPr>
        <w:t>ს</w:t>
      </w:r>
      <w:r w:rsidRPr="00FD6DA2">
        <w:t>.</w:t>
      </w:r>
    </w:p>
    <w:p w14:paraId="3D4AD361" w14:textId="77777777" w:rsidR="00FD6DA2" w:rsidRPr="00FD6DA2" w:rsidRDefault="00FD6DA2" w:rsidP="00FD6DA2">
      <w:r w:rsidRPr="00FD6DA2">
        <w:rPr>
          <w:rFonts w:ascii="Sylfaen" w:hAnsi="Sylfaen" w:cs="Sylfaen"/>
        </w:rPr>
        <w:t>ასეთი</w:t>
      </w:r>
      <w:r w:rsidRPr="00FD6DA2">
        <w:t xml:space="preserve"> </w:t>
      </w:r>
      <w:r w:rsidRPr="00FD6DA2">
        <w:rPr>
          <w:rFonts w:ascii="Sylfaen" w:hAnsi="Sylfaen" w:cs="Sylfaen"/>
        </w:rPr>
        <w:t>ალტერნატიული</w:t>
      </w:r>
      <w:r w:rsidRPr="00FD6DA2">
        <w:t xml:space="preserve"> </w:t>
      </w:r>
      <w:r w:rsidRPr="00FD6DA2">
        <w:rPr>
          <w:rFonts w:ascii="Sylfaen" w:hAnsi="Sylfaen" w:cs="Sylfaen"/>
        </w:rPr>
        <w:t>აგებულების</w:t>
      </w:r>
      <w:r w:rsidRPr="00FD6DA2">
        <w:t xml:space="preserve"> </w:t>
      </w:r>
      <w:r w:rsidRPr="00FD6DA2">
        <w:rPr>
          <w:rFonts w:ascii="Sylfaen" w:hAnsi="Sylfaen" w:cs="Sylfaen"/>
        </w:rPr>
        <w:t>საგზაო</w:t>
      </w:r>
      <w:r w:rsidRPr="00FD6DA2">
        <w:t xml:space="preserve"> </w:t>
      </w:r>
      <w:r w:rsidRPr="00FD6DA2">
        <w:rPr>
          <w:rFonts w:ascii="Sylfaen" w:hAnsi="Sylfaen" w:cs="Sylfaen"/>
        </w:rPr>
        <w:t>სამოსი</w:t>
      </w:r>
      <w:r w:rsidRPr="00FD6DA2">
        <w:t xml:space="preserve"> </w:t>
      </w:r>
      <w:r w:rsidRPr="00FD6DA2">
        <w:rPr>
          <w:rFonts w:ascii="Sylfaen" w:hAnsi="Sylfaen" w:cs="Sylfaen"/>
        </w:rPr>
        <w:t>გამაგრებული</w:t>
      </w:r>
      <w:r w:rsidRPr="00FD6DA2">
        <w:t xml:space="preserve"> </w:t>
      </w:r>
      <w:r w:rsidRPr="00FD6DA2">
        <w:rPr>
          <w:rFonts w:ascii="Sylfaen" w:hAnsi="Sylfaen" w:cs="Sylfaen"/>
        </w:rPr>
        <w:t>საფუძველით</w:t>
      </w:r>
      <w:r w:rsidRPr="00FD6DA2">
        <w:t xml:space="preserve"> </w:t>
      </w:r>
      <w:r w:rsidRPr="00FD6DA2">
        <w:rPr>
          <w:rFonts w:ascii="Sylfaen" w:hAnsi="Sylfaen" w:cs="Sylfaen"/>
        </w:rPr>
        <w:t>მცირედ</w:t>
      </w:r>
      <w:r w:rsidRPr="00FD6DA2">
        <w:t xml:space="preserve"> </w:t>
      </w:r>
      <w:r w:rsidRPr="00FD6DA2">
        <w:rPr>
          <w:rFonts w:ascii="Sylfaen" w:hAnsi="Sylfaen" w:cs="Sylfaen"/>
        </w:rPr>
        <w:t>გაზრდილი</w:t>
      </w:r>
      <w:r w:rsidRPr="00FD6DA2">
        <w:t xml:space="preserve"> </w:t>
      </w:r>
      <w:r w:rsidRPr="00FD6DA2">
        <w:rPr>
          <w:rFonts w:ascii="Sylfaen" w:hAnsi="Sylfaen" w:cs="Sylfaen"/>
        </w:rPr>
        <w:t>სისქისაა</w:t>
      </w:r>
      <w:r w:rsidRPr="00FD6DA2">
        <w:t xml:space="preserve">. </w:t>
      </w:r>
      <w:r w:rsidRPr="00FD6DA2">
        <w:rPr>
          <w:rFonts w:ascii="Sylfaen" w:hAnsi="Sylfaen" w:cs="Sylfaen"/>
        </w:rPr>
        <w:t>როგორც</w:t>
      </w:r>
      <w:r w:rsidRPr="00FD6DA2">
        <w:t xml:space="preserve"> </w:t>
      </w:r>
      <w:r w:rsidRPr="00FD6DA2">
        <w:rPr>
          <w:rFonts w:ascii="Sylfaen" w:hAnsi="Sylfaen" w:cs="Sylfaen"/>
        </w:rPr>
        <w:t>სტრუქტურული</w:t>
      </w:r>
      <w:r w:rsidRPr="00FD6DA2">
        <w:t xml:space="preserve"> </w:t>
      </w:r>
      <w:r w:rsidRPr="00FD6DA2">
        <w:rPr>
          <w:rFonts w:ascii="Sylfaen" w:hAnsi="Sylfaen" w:cs="Sylfaen"/>
        </w:rPr>
        <w:t>რიცხვის</w:t>
      </w:r>
      <w:r w:rsidRPr="00FD6DA2">
        <w:t xml:space="preserve"> </w:t>
      </w:r>
      <w:r w:rsidRPr="00FD6DA2">
        <w:rPr>
          <w:rFonts w:ascii="Sylfaen" w:hAnsi="Sylfaen" w:cs="Sylfaen"/>
        </w:rPr>
        <w:t>სიდიდიდან</w:t>
      </w:r>
      <w:r w:rsidRPr="00FD6DA2">
        <w:t xml:space="preserve"> </w:t>
      </w:r>
      <w:r w:rsidRPr="00FD6DA2">
        <w:rPr>
          <w:rFonts w:ascii="Sylfaen" w:hAnsi="Sylfaen" w:cs="Sylfaen"/>
        </w:rPr>
        <w:t>ჩანს</w:t>
      </w:r>
      <w:r w:rsidRPr="00FD6DA2">
        <w:t xml:space="preserve">, </w:t>
      </w:r>
      <w:r w:rsidRPr="00FD6DA2">
        <w:rPr>
          <w:rFonts w:ascii="Sylfaen" w:hAnsi="Sylfaen" w:cs="Sylfaen"/>
        </w:rPr>
        <w:t>ცემენტით</w:t>
      </w:r>
      <w:r w:rsidRPr="00FD6DA2">
        <w:t xml:space="preserve"> </w:t>
      </w:r>
      <w:r w:rsidRPr="00FD6DA2">
        <w:rPr>
          <w:rFonts w:ascii="Sylfaen" w:hAnsi="Sylfaen" w:cs="Sylfaen"/>
        </w:rPr>
        <w:t>გამაგრებული</w:t>
      </w:r>
      <w:r w:rsidRPr="00FD6DA2">
        <w:t xml:space="preserve"> </w:t>
      </w:r>
      <w:r w:rsidRPr="00FD6DA2">
        <w:rPr>
          <w:rFonts w:ascii="Sylfaen" w:hAnsi="Sylfaen" w:cs="Sylfaen"/>
        </w:rPr>
        <w:t>საფუძველი</w:t>
      </w:r>
      <w:r w:rsidRPr="00FD6DA2">
        <w:t xml:space="preserve"> </w:t>
      </w:r>
      <w:r w:rsidRPr="00FD6DA2">
        <w:rPr>
          <w:rFonts w:ascii="Sylfaen" w:hAnsi="Sylfaen" w:cs="Sylfaen"/>
        </w:rPr>
        <w:t>ვერ</w:t>
      </w:r>
      <w:r w:rsidRPr="00FD6DA2">
        <w:t xml:space="preserve"> </w:t>
      </w:r>
      <w:r w:rsidRPr="00FD6DA2">
        <w:rPr>
          <w:rFonts w:ascii="Sylfaen" w:hAnsi="Sylfaen" w:cs="Sylfaen"/>
        </w:rPr>
        <w:t>უზრუნველყოფს</w:t>
      </w:r>
      <w:r w:rsidRPr="00FD6DA2">
        <w:t xml:space="preserve"> </w:t>
      </w:r>
      <w:r w:rsidRPr="00FD6DA2">
        <w:rPr>
          <w:rFonts w:ascii="Sylfaen" w:hAnsi="Sylfaen" w:cs="Sylfaen"/>
        </w:rPr>
        <w:t>კონსტრუქციის</w:t>
      </w:r>
      <w:r w:rsidRPr="00FD6DA2">
        <w:t xml:space="preserve"> </w:t>
      </w:r>
      <w:r w:rsidRPr="00FD6DA2">
        <w:rPr>
          <w:rFonts w:ascii="Sylfaen" w:hAnsi="Sylfaen" w:cs="Sylfaen"/>
        </w:rPr>
        <w:t>საერთო</w:t>
      </w:r>
      <w:r w:rsidRPr="00FD6DA2">
        <w:t xml:space="preserve"> </w:t>
      </w:r>
      <w:r w:rsidRPr="00FD6DA2">
        <w:rPr>
          <w:rFonts w:ascii="Sylfaen" w:hAnsi="Sylfaen" w:cs="Sylfaen"/>
        </w:rPr>
        <w:t>სიმტკიცის</w:t>
      </w:r>
      <w:r w:rsidRPr="00FD6DA2">
        <w:t xml:space="preserve"> </w:t>
      </w:r>
      <w:r w:rsidRPr="00FD6DA2">
        <w:rPr>
          <w:rFonts w:ascii="Sylfaen" w:hAnsi="Sylfaen" w:cs="Sylfaen"/>
        </w:rPr>
        <w:t>საგრძნობ</w:t>
      </w:r>
      <w:r w:rsidRPr="00FD6DA2">
        <w:t xml:space="preserve"> </w:t>
      </w:r>
      <w:r w:rsidRPr="00FD6DA2">
        <w:rPr>
          <w:rFonts w:ascii="Sylfaen" w:hAnsi="Sylfaen" w:cs="Sylfaen"/>
        </w:rPr>
        <w:t>ზრდას</w:t>
      </w:r>
      <w:r w:rsidRPr="00FD6DA2">
        <w:t xml:space="preserve">. </w:t>
      </w:r>
      <w:r w:rsidRPr="00FD6DA2">
        <w:rPr>
          <w:rFonts w:ascii="Sylfaen" w:hAnsi="Sylfaen" w:cs="Sylfaen"/>
        </w:rPr>
        <w:t>ამასთან</w:t>
      </w:r>
      <w:r w:rsidRPr="00FD6DA2">
        <w:t xml:space="preserve">, </w:t>
      </w:r>
      <w:r w:rsidRPr="00FD6DA2">
        <w:rPr>
          <w:rFonts w:ascii="Sylfaen" w:hAnsi="Sylfaen" w:cs="Sylfaen"/>
        </w:rPr>
        <w:t>გამაგრებული</w:t>
      </w:r>
      <w:r w:rsidRPr="00FD6DA2">
        <w:t xml:space="preserve"> </w:t>
      </w:r>
      <w:r w:rsidRPr="00FD6DA2">
        <w:rPr>
          <w:rFonts w:ascii="Sylfaen" w:hAnsi="Sylfaen" w:cs="Sylfaen"/>
        </w:rPr>
        <w:t>ფენის</w:t>
      </w:r>
      <w:r w:rsidRPr="00FD6DA2">
        <w:t xml:space="preserve"> </w:t>
      </w:r>
      <w:r w:rsidRPr="00FD6DA2">
        <w:rPr>
          <w:rFonts w:ascii="Sylfaen" w:hAnsi="Sylfaen" w:cs="Sylfaen"/>
        </w:rPr>
        <w:t>მასალის</w:t>
      </w:r>
      <w:r w:rsidRPr="00FD6DA2">
        <w:t xml:space="preserve"> </w:t>
      </w:r>
      <w:r w:rsidRPr="00FD6DA2">
        <w:rPr>
          <w:rFonts w:ascii="Sylfaen" w:hAnsi="Sylfaen" w:cs="Sylfaen"/>
        </w:rPr>
        <w:t>წარმოების</w:t>
      </w:r>
      <w:r w:rsidRPr="00FD6DA2">
        <w:t xml:space="preserve"> </w:t>
      </w:r>
      <w:r w:rsidRPr="00FD6DA2">
        <w:rPr>
          <w:rFonts w:ascii="Sylfaen" w:hAnsi="Sylfaen" w:cs="Sylfaen"/>
        </w:rPr>
        <w:t>და</w:t>
      </w:r>
      <w:r w:rsidRPr="00FD6DA2">
        <w:t xml:space="preserve"> </w:t>
      </w:r>
      <w:r w:rsidRPr="00FD6DA2">
        <w:rPr>
          <w:rFonts w:ascii="Sylfaen" w:hAnsi="Sylfaen" w:cs="Sylfaen"/>
        </w:rPr>
        <w:t>დაგების</w:t>
      </w:r>
      <w:r w:rsidRPr="00FD6DA2">
        <w:t xml:space="preserve"> </w:t>
      </w:r>
      <w:r w:rsidRPr="00FD6DA2">
        <w:rPr>
          <w:rFonts w:ascii="Sylfaen" w:hAnsi="Sylfaen" w:cs="Sylfaen"/>
        </w:rPr>
        <w:t>ხარისხის</w:t>
      </w:r>
      <w:r w:rsidRPr="00FD6DA2">
        <w:t xml:space="preserve"> </w:t>
      </w:r>
      <w:r w:rsidRPr="00FD6DA2">
        <w:rPr>
          <w:rFonts w:ascii="Sylfaen" w:hAnsi="Sylfaen" w:cs="Sylfaen"/>
        </w:rPr>
        <w:t>კონტროლირება</w:t>
      </w:r>
      <w:r w:rsidRPr="00FD6DA2">
        <w:t xml:space="preserve"> </w:t>
      </w:r>
      <w:r w:rsidRPr="00FD6DA2">
        <w:rPr>
          <w:rFonts w:ascii="Sylfaen" w:hAnsi="Sylfaen" w:cs="Sylfaen"/>
        </w:rPr>
        <w:t>რთულია</w:t>
      </w:r>
      <w:r w:rsidRPr="00FD6DA2">
        <w:t xml:space="preserve"> </w:t>
      </w:r>
      <w:r w:rsidRPr="00FD6DA2">
        <w:rPr>
          <w:rFonts w:ascii="Sylfaen" w:hAnsi="Sylfaen" w:cs="Sylfaen"/>
        </w:rPr>
        <w:t>საფუძველის</w:t>
      </w:r>
      <w:r w:rsidRPr="00FD6DA2">
        <w:t xml:space="preserve"> </w:t>
      </w:r>
      <w:r w:rsidRPr="00FD6DA2">
        <w:rPr>
          <w:rFonts w:ascii="Sylfaen" w:hAnsi="Sylfaen" w:cs="Sylfaen"/>
        </w:rPr>
        <w:t>შეუკავშირებელი</w:t>
      </w:r>
      <w:r w:rsidRPr="00FD6DA2">
        <w:t xml:space="preserve"> </w:t>
      </w:r>
      <w:r w:rsidRPr="00FD6DA2">
        <w:rPr>
          <w:rFonts w:ascii="Sylfaen" w:hAnsi="Sylfaen" w:cs="Sylfaen"/>
        </w:rPr>
        <w:t>მასალით</w:t>
      </w:r>
      <w:r w:rsidRPr="00FD6DA2">
        <w:t xml:space="preserve"> </w:t>
      </w:r>
      <w:r w:rsidRPr="00FD6DA2">
        <w:rPr>
          <w:rFonts w:ascii="Sylfaen" w:hAnsi="Sylfaen" w:cs="Sylfaen"/>
        </w:rPr>
        <w:t>დაგებასთან</w:t>
      </w:r>
      <w:r w:rsidRPr="00FD6DA2">
        <w:t xml:space="preserve"> </w:t>
      </w:r>
      <w:r w:rsidRPr="00FD6DA2">
        <w:rPr>
          <w:rFonts w:ascii="Sylfaen" w:hAnsi="Sylfaen" w:cs="Sylfaen"/>
        </w:rPr>
        <w:t>შედარებით</w:t>
      </w:r>
      <w:r w:rsidRPr="00FD6DA2">
        <w:t xml:space="preserve">. </w:t>
      </w:r>
    </w:p>
    <w:p w14:paraId="7A9BFBB0" w14:textId="4319094B" w:rsidR="00FD6DA2" w:rsidRDefault="00FD6DA2" w:rsidP="00FD6DA2">
      <w:r w:rsidRPr="00FD6DA2">
        <w:rPr>
          <w:rFonts w:ascii="Sylfaen" w:hAnsi="Sylfaen" w:cs="Sylfaen"/>
        </w:rPr>
        <w:t>ალტერნატიული</w:t>
      </w:r>
      <w:r w:rsidRPr="00FD6DA2">
        <w:t xml:space="preserve"> </w:t>
      </w:r>
      <w:r w:rsidRPr="00FD6DA2">
        <w:rPr>
          <w:rFonts w:ascii="Sylfaen" w:hAnsi="Sylfaen" w:cs="Sylfaen"/>
        </w:rPr>
        <w:t>დრეკადი</w:t>
      </w:r>
      <w:r w:rsidRPr="00FD6DA2">
        <w:t xml:space="preserve"> </w:t>
      </w:r>
      <w:r w:rsidRPr="00FD6DA2">
        <w:rPr>
          <w:rFonts w:ascii="Sylfaen" w:hAnsi="Sylfaen" w:cs="Sylfaen"/>
        </w:rPr>
        <w:t>საგზაო</w:t>
      </w:r>
      <w:r w:rsidRPr="00FD6DA2">
        <w:t xml:space="preserve"> </w:t>
      </w:r>
      <w:r w:rsidRPr="00FD6DA2">
        <w:rPr>
          <w:rFonts w:ascii="Sylfaen" w:hAnsi="Sylfaen" w:cs="Sylfaen"/>
        </w:rPr>
        <w:t>სამოსის</w:t>
      </w:r>
      <w:r w:rsidRPr="00FD6DA2">
        <w:t xml:space="preserve"> </w:t>
      </w:r>
      <w:r w:rsidRPr="00FD6DA2">
        <w:rPr>
          <w:rFonts w:ascii="Sylfaen" w:hAnsi="Sylfaen" w:cs="Sylfaen"/>
        </w:rPr>
        <w:t>ფენების</w:t>
      </w:r>
      <w:r w:rsidRPr="00FD6DA2">
        <w:t xml:space="preserve"> </w:t>
      </w:r>
      <w:r w:rsidRPr="00FD6DA2">
        <w:rPr>
          <w:rFonts w:ascii="Sylfaen" w:hAnsi="Sylfaen" w:cs="Sylfaen"/>
        </w:rPr>
        <w:t>სისქეები</w:t>
      </w:r>
      <w:r w:rsidRPr="00FD6DA2">
        <w:t xml:space="preserve"> </w:t>
      </w:r>
      <w:r w:rsidRPr="00FD6DA2">
        <w:rPr>
          <w:rFonts w:ascii="Sylfaen" w:hAnsi="Sylfaen" w:cs="Sylfaen"/>
        </w:rPr>
        <w:t>გაანგარიშდა</w:t>
      </w:r>
      <w:r w:rsidRPr="00FD6DA2">
        <w:t xml:space="preserve"> </w:t>
      </w:r>
      <w:r>
        <w:t>AASHTO</w:t>
      </w:r>
      <w:r w:rsidRPr="00FD6DA2">
        <w:t>-</w:t>
      </w:r>
      <w:r w:rsidRPr="00FD6DA2">
        <w:rPr>
          <w:rFonts w:ascii="Sylfaen" w:hAnsi="Sylfaen" w:cs="Sylfaen"/>
        </w:rPr>
        <w:t>ს</w:t>
      </w:r>
      <w:r w:rsidRPr="00FD6DA2">
        <w:t xml:space="preserve"> </w:t>
      </w:r>
      <w:r w:rsidRPr="00FD6DA2">
        <w:rPr>
          <w:rFonts w:ascii="Sylfaen" w:hAnsi="Sylfaen" w:cs="Sylfaen"/>
        </w:rPr>
        <w:t>მიერ</w:t>
      </w:r>
      <w:r w:rsidRPr="00FD6DA2">
        <w:t xml:space="preserve"> </w:t>
      </w:r>
      <w:r w:rsidRPr="00FD6DA2">
        <w:rPr>
          <w:rFonts w:ascii="Sylfaen" w:hAnsi="Sylfaen" w:cs="Sylfaen"/>
        </w:rPr>
        <w:t>მოთხოვნილი</w:t>
      </w:r>
      <w:r w:rsidRPr="00FD6DA2">
        <w:t xml:space="preserve"> </w:t>
      </w:r>
      <w:r w:rsidRPr="00FD6DA2">
        <w:rPr>
          <w:rFonts w:ascii="Sylfaen" w:hAnsi="Sylfaen" w:cs="Sylfaen"/>
        </w:rPr>
        <w:t>მინიმალური</w:t>
      </w:r>
      <w:r w:rsidRPr="00FD6DA2">
        <w:t xml:space="preserve"> </w:t>
      </w:r>
      <w:r w:rsidRPr="00FD6DA2">
        <w:rPr>
          <w:rFonts w:ascii="Sylfaen" w:hAnsi="Sylfaen" w:cs="Sylfaen"/>
        </w:rPr>
        <w:t>სისქეების</w:t>
      </w:r>
      <w:r w:rsidRPr="00FD6DA2">
        <w:t xml:space="preserve">, </w:t>
      </w:r>
      <w:r w:rsidRPr="00FD6DA2">
        <w:rPr>
          <w:rFonts w:ascii="Sylfaen" w:hAnsi="Sylfaen" w:cs="Sylfaen"/>
        </w:rPr>
        <w:t>სხვადასხვა</w:t>
      </w:r>
      <w:r w:rsidRPr="00FD6DA2">
        <w:t xml:space="preserve"> </w:t>
      </w:r>
      <w:r w:rsidRPr="00FD6DA2">
        <w:rPr>
          <w:rFonts w:ascii="Sylfaen" w:hAnsi="Sylfaen" w:cs="Sylfaen"/>
        </w:rPr>
        <w:t>შემვსები</w:t>
      </w:r>
      <w:r w:rsidRPr="00FD6DA2">
        <w:t xml:space="preserve"> </w:t>
      </w:r>
      <w:r w:rsidRPr="00FD6DA2">
        <w:rPr>
          <w:rFonts w:ascii="Sylfaen" w:hAnsi="Sylfaen" w:cs="Sylfaen"/>
        </w:rPr>
        <w:t>მასალების</w:t>
      </w:r>
      <w:r w:rsidRPr="00FD6DA2">
        <w:t xml:space="preserve"> </w:t>
      </w:r>
      <w:r w:rsidRPr="00FD6DA2">
        <w:rPr>
          <w:rFonts w:ascii="Sylfaen" w:hAnsi="Sylfaen" w:cs="Sylfaen"/>
        </w:rPr>
        <w:t>ნარევების</w:t>
      </w:r>
      <w:r w:rsidRPr="00FD6DA2">
        <w:t xml:space="preserve"> </w:t>
      </w:r>
      <w:r w:rsidRPr="00FD6DA2">
        <w:rPr>
          <w:rFonts w:ascii="Sylfaen" w:hAnsi="Sylfaen" w:cs="Sylfaen"/>
        </w:rPr>
        <w:t>მაქსიმალური</w:t>
      </w:r>
      <w:r w:rsidRPr="00FD6DA2">
        <w:t xml:space="preserve"> </w:t>
      </w:r>
      <w:r w:rsidRPr="00FD6DA2">
        <w:rPr>
          <w:rFonts w:ascii="Sylfaen" w:hAnsi="Sylfaen" w:cs="Sylfaen"/>
        </w:rPr>
        <w:t>ფრაქციული</w:t>
      </w:r>
      <w:r w:rsidRPr="00FD6DA2">
        <w:t xml:space="preserve"> </w:t>
      </w:r>
      <w:r w:rsidRPr="00FD6DA2">
        <w:rPr>
          <w:rFonts w:ascii="Sylfaen" w:hAnsi="Sylfaen" w:cs="Sylfaen"/>
        </w:rPr>
        <w:t>ზომების</w:t>
      </w:r>
      <w:r w:rsidRPr="00FD6DA2">
        <w:t xml:space="preserve"> </w:t>
      </w:r>
      <w:r w:rsidRPr="00FD6DA2">
        <w:rPr>
          <w:rFonts w:ascii="Sylfaen" w:hAnsi="Sylfaen" w:cs="Sylfaen"/>
        </w:rPr>
        <w:t>და</w:t>
      </w:r>
      <w:r w:rsidRPr="00FD6DA2">
        <w:t xml:space="preserve"> </w:t>
      </w:r>
      <w:r w:rsidRPr="00FD6DA2">
        <w:rPr>
          <w:rFonts w:ascii="Sylfaen" w:hAnsi="Sylfaen" w:cs="Sylfaen"/>
        </w:rPr>
        <w:t>სამშენებლო</w:t>
      </w:r>
      <w:r w:rsidRPr="00FD6DA2">
        <w:t xml:space="preserve"> </w:t>
      </w:r>
      <w:r w:rsidRPr="00FD6DA2">
        <w:rPr>
          <w:rFonts w:ascii="Sylfaen" w:hAnsi="Sylfaen" w:cs="Sylfaen"/>
        </w:rPr>
        <w:t>მოსაზრებების</w:t>
      </w:r>
      <w:r w:rsidRPr="00FD6DA2">
        <w:t xml:space="preserve"> </w:t>
      </w:r>
      <w:r w:rsidRPr="00FD6DA2">
        <w:rPr>
          <w:rFonts w:ascii="Sylfaen" w:hAnsi="Sylfaen" w:cs="Sylfaen"/>
        </w:rPr>
        <w:t>გათვალისწინებით</w:t>
      </w:r>
      <w:r w:rsidRPr="00FD6DA2">
        <w:t xml:space="preserve">, </w:t>
      </w:r>
      <w:r w:rsidRPr="00FD6DA2">
        <w:rPr>
          <w:rFonts w:ascii="Sylfaen" w:hAnsi="Sylfaen" w:cs="Sylfaen"/>
        </w:rPr>
        <w:t>როგორებიცაა</w:t>
      </w:r>
      <w:r w:rsidRPr="00FD6DA2">
        <w:t xml:space="preserve"> </w:t>
      </w:r>
      <w:r w:rsidRPr="00FD6DA2">
        <w:rPr>
          <w:rFonts w:ascii="Sylfaen" w:hAnsi="Sylfaen" w:cs="Sylfaen"/>
        </w:rPr>
        <w:t>მშენებლობის</w:t>
      </w:r>
      <w:r w:rsidRPr="00FD6DA2">
        <w:t xml:space="preserve"> </w:t>
      </w:r>
      <w:r w:rsidRPr="00FD6DA2">
        <w:rPr>
          <w:rFonts w:ascii="Sylfaen" w:hAnsi="Sylfaen" w:cs="Sylfaen"/>
        </w:rPr>
        <w:t>პრაქტიკულობა</w:t>
      </w:r>
      <w:r w:rsidRPr="00FD6DA2">
        <w:t xml:space="preserve"> </w:t>
      </w:r>
      <w:r w:rsidRPr="00FD6DA2">
        <w:rPr>
          <w:rFonts w:ascii="Sylfaen" w:hAnsi="Sylfaen" w:cs="Sylfaen"/>
        </w:rPr>
        <w:t>და</w:t>
      </w:r>
      <w:r w:rsidRPr="00FD6DA2">
        <w:t xml:space="preserve"> </w:t>
      </w:r>
      <w:r w:rsidRPr="00FD6DA2">
        <w:rPr>
          <w:rFonts w:ascii="Sylfaen" w:hAnsi="Sylfaen" w:cs="Sylfaen"/>
        </w:rPr>
        <w:t>ცალკეული</w:t>
      </w:r>
      <w:r w:rsidRPr="00FD6DA2">
        <w:t xml:space="preserve"> </w:t>
      </w:r>
      <w:r w:rsidRPr="00FD6DA2">
        <w:rPr>
          <w:rFonts w:ascii="Sylfaen" w:hAnsi="Sylfaen" w:cs="Sylfaen"/>
        </w:rPr>
        <w:t>ფენების</w:t>
      </w:r>
      <w:r w:rsidRPr="00FD6DA2">
        <w:t xml:space="preserve"> </w:t>
      </w:r>
      <w:r w:rsidRPr="00FD6DA2">
        <w:rPr>
          <w:rFonts w:ascii="Sylfaen" w:hAnsi="Sylfaen" w:cs="Sylfaen"/>
        </w:rPr>
        <w:t>მაქსიმალური</w:t>
      </w:r>
      <w:r w:rsidRPr="00FD6DA2">
        <w:t xml:space="preserve"> </w:t>
      </w:r>
      <w:r w:rsidRPr="00FD6DA2">
        <w:rPr>
          <w:rFonts w:ascii="Sylfaen" w:hAnsi="Sylfaen" w:cs="Sylfaen"/>
        </w:rPr>
        <w:t>სისქეები</w:t>
      </w:r>
      <w:r w:rsidRPr="00FD6DA2">
        <w:t xml:space="preserve"> </w:t>
      </w:r>
      <w:r w:rsidRPr="00FD6DA2">
        <w:rPr>
          <w:rFonts w:ascii="Sylfaen" w:hAnsi="Sylfaen" w:cs="Sylfaen"/>
        </w:rPr>
        <w:t>დატკეპნის</w:t>
      </w:r>
      <w:r w:rsidRPr="00FD6DA2">
        <w:t xml:space="preserve"> </w:t>
      </w:r>
      <w:r w:rsidRPr="00FD6DA2">
        <w:rPr>
          <w:rFonts w:ascii="Sylfaen" w:hAnsi="Sylfaen" w:cs="Sylfaen"/>
        </w:rPr>
        <w:t>შესაძლებლობის</w:t>
      </w:r>
      <w:r w:rsidRPr="00FD6DA2">
        <w:t xml:space="preserve"> </w:t>
      </w:r>
      <w:r w:rsidRPr="00FD6DA2">
        <w:rPr>
          <w:rFonts w:ascii="Sylfaen" w:hAnsi="Sylfaen" w:cs="Sylfaen"/>
        </w:rPr>
        <w:t>თვალსაზრისით</w:t>
      </w:r>
      <w:r w:rsidRPr="00FD6DA2">
        <w:t xml:space="preserve">. </w:t>
      </w:r>
      <w:r w:rsidRPr="00FD6DA2">
        <w:rPr>
          <w:rFonts w:ascii="Sylfaen" w:hAnsi="Sylfaen" w:cs="Sylfaen"/>
        </w:rPr>
        <w:t>აგრეთვე</w:t>
      </w:r>
      <w:r w:rsidRPr="00FD6DA2">
        <w:t xml:space="preserve">, </w:t>
      </w:r>
      <w:r w:rsidRPr="00FD6DA2">
        <w:rPr>
          <w:rFonts w:ascii="Sylfaen" w:hAnsi="Sylfaen" w:cs="Sylfaen"/>
        </w:rPr>
        <w:t>მხედველობაში</w:t>
      </w:r>
      <w:r w:rsidRPr="00FD6DA2">
        <w:t xml:space="preserve"> </w:t>
      </w:r>
      <w:r w:rsidRPr="00FD6DA2">
        <w:rPr>
          <w:rFonts w:ascii="Sylfaen" w:hAnsi="Sylfaen" w:cs="Sylfaen"/>
        </w:rPr>
        <w:t>იქნა</w:t>
      </w:r>
      <w:r w:rsidRPr="00FD6DA2">
        <w:t xml:space="preserve"> </w:t>
      </w:r>
      <w:r w:rsidRPr="00FD6DA2">
        <w:rPr>
          <w:rFonts w:ascii="Sylfaen" w:hAnsi="Sylfaen" w:cs="Sylfaen"/>
        </w:rPr>
        <w:t>მიღებული</w:t>
      </w:r>
      <w:r w:rsidRPr="00FD6DA2">
        <w:t xml:space="preserve"> </w:t>
      </w:r>
      <w:r w:rsidRPr="00FD6DA2">
        <w:rPr>
          <w:rFonts w:ascii="Sylfaen" w:hAnsi="Sylfaen" w:cs="Sylfaen"/>
        </w:rPr>
        <w:t>მასალების</w:t>
      </w:r>
      <w:r w:rsidRPr="00FD6DA2">
        <w:t xml:space="preserve"> </w:t>
      </w:r>
      <w:r w:rsidRPr="00FD6DA2">
        <w:rPr>
          <w:rFonts w:ascii="Sylfaen" w:hAnsi="Sylfaen" w:cs="Sylfaen"/>
        </w:rPr>
        <w:t>ადგილობრივი</w:t>
      </w:r>
      <w:r w:rsidRPr="00FD6DA2">
        <w:t xml:space="preserve"> </w:t>
      </w:r>
      <w:r w:rsidRPr="00FD6DA2">
        <w:rPr>
          <w:rFonts w:ascii="Sylfaen" w:hAnsi="Sylfaen" w:cs="Sylfaen"/>
        </w:rPr>
        <w:t>წყაროებიდან</w:t>
      </w:r>
      <w:r w:rsidRPr="00FD6DA2">
        <w:t xml:space="preserve"> </w:t>
      </w:r>
      <w:r w:rsidRPr="00FD6DA2">
        <w:rPr>
          <w:rFonts w:ascii="Sylfaen" w:hAnsi="Sylfaen" w:cs="Sylfaen"/>
        </w:rPr>
        <w:t>მოწოდების</w:t>
      </w:r>
      <w:r w:rsidRPr="00FD6DA2">
        <w:t xml:space="preserve"> </w:t>
      </w:r>
      <w:r w:rsidRPr="00FD6DA2">
        <w:rPr>
          <w:rFonts w:ascii="Sylfaen" w:hAnsi="Sylfaen" w:cs="Sylfaen"/>
        </w:rPr>
        <w:t>ხელმისაწვდომობა</w:t>
      </w:r>
      <w:r w:rsidRPr="00FD6DA2">
        <w:t xml:space="preserve">. </w:t>
      </w:r>
    </w:p>
    <w:p w14:paraId="3286509F" w14:textId="77777777" w:rsidR="00FD6DA2" w:rsidRPr="00FD6DA2" w:rsidRDefault="00FD6DA2" w:rsidP="00FD6DA2"/>
    <w:p w14:paraId="7445B9D0" w14:textId="7D7D8BBA" w:rsidR="00EA3205" w:rsidRPr="00B05F62" w:rsidRDefault="00FD6DA2" w:rsidP="00B05F62">
      <w:pPr>
        <w:pStyle w:val="Heading4"/>
      </w:pPr>
      <w:r>
        <w:rPr>
          <w:rFonts w:ascii="Sylfaen" w:hAnsi="Sylfaen"/>
          <w:lang w:val="en-US"/>
        </w:rPr>
        <w:t xml:space="preserve">4.9.3.2 </w:t>
      </w:r>
      <w:r>
        <w:rPr>
          <w:rFonts w:ascii="Sylfaen" w:hAnsi="Sylfaen"/>
        </w:rPr>
        <w:t>ხისტი საგზაო სამოსის დაპროექტება</w:t>
      </w:r>
    </w:p>
    <w:p w14:paraId="588F39C2" w14:textId="77777777" w:rsidR="00FD6DA2" w:rsidRPr="00FD6DA2" w:rsidRDefault="00FD6DA2" w:rsidP="00FD6DA2">
      <w:pPr>
        <w:spacing w:before="120" w:after="120"/>
        <w:rPr>
          <w:rFonts w:ascii="Sylfaen" w:hAnsi="Sylfaen"/>
          <w:lang w:val="ka-GE"/>
        </w:rPr>
      </w:pPr>
      <w:r w:rsidRPr="00FD6DA2">
        <w:rPr>
          <w:rFonts w:ascii="Sylfaen" w:hAnsi="Sylfaen"/>
          <w:lang w:val="ka-GE"/>
        </w:rPr>
        <w:t>გურჯაანის (ჩუმლაყი)-თელავის საავტომობილო გზის ახალ შესაძლო გზებზე დრეკადი საგზაო სამოსის დაგების ალტერნატივას ხისტი საგზაო სამოსი წარმოადგენს. ჩვეულებრივ, ხისტ საგზაო სამოსებად პორტლანდცემენტიანი ბეტონის საფარის მქონე საგზაო სამოსები მიიჩნევა. ზოგადად, ბეტონის საგზაო სამოსები სხვა ალტერნატივებისგან გამოირჩევიან უფრო ხანგრძლივი საექსპლუატაციო ვადით, ნაკლები მოვლა-შენახვის საჭიროებით და საანგარიშო საექსპლუატაციო პერიოდში გასაწევი მცირე ჯამური ხარჯებით.</w:t>
      </w:r>
    </w:p>
    <w:p w14:paraId="09A7BC71" w14:textId="77777777" w:rsidR="00FD6DA2" w:rsidRPr="00FD6DA2" w:rsidRDefault="00FD6DA2" w:rsidP="00FD6DA2">
      <w:pPr>
        <w:spacing w:before="120" w:after="120"/>
        <w:rPr>
          <w:rFonts w:ascii="Sylfaen" w:hAnsi="Sylfaen"/>
          <w:lang w:val="ka-GE"/>
        </w:rPr>
      </w:pPr>
      <w:r w:rsidRPr="00FD6DA2">
        <w:rPr>
          <w:rFonts w:ascii="Sylfaen" w:hAnsi="Sylfaen"/>
          <w:lang w:val="ka-GE"/>
        </w:rPr>
        <w:t xml:space="preserve">ხისტია ისეთი საგზაო სამოსები, რომლებსაც გააჩნიათ ღუნვაზე საკმარისი მედეგობა, რათა შეძლონ მიწის ვაკისის ლოკალურად შესუსტებული და არაადექვატური საყრდენის მქონე უბნების საიმედოდ გადაფარვა. ხისტი საგზაო სამოსის ბეტონის ფენაში დატვირთვის ზემოქმედებით ვითარდება ღუნვის მომენტი და შედეგად ეს ფენა მუშაობს ფილის სახით, რომლითაც ბორბლებიანი ტრანსპორტის დატვირთვა საფუძველის შესასწორებელ ფენასა და მიწის ვაკისის ფართო უბნებზე ნაწილდება და მათში დაძაბულობებისა და დეფორმაციების შემცირებას განაპირობებს. </w:t>
      </w:r>
    </w:p>
    <w:p w14:paraId="02F50349" w14:textId="3654D027" w:rsidR="00FD6DA2" w:rsidRPr="00FD6DA2" w:rsidRDefault="00FD6DA2" w:rsidP="00FD6DA2">
      <w:pPr>
        <w:spacing w:before="120" w:after="120"/>
        <w:rPr>
          <w:rFonts w:ascii="Sylfaen" w:hAnsi="Sylfaen"/>
          <w:lang w:val="ka-GE"/>
        </w:rPr>
      </w:pPr>
      <w:r>
        <w:rPr>
          <w:rFonts w:ascii="Sylfaen" w:hAnsi="Sylfaen"/>
          <w:lang w:val="en-US"/>
        </w:rPr>
        <w:t>AASHTO</w:t>
      </w:r>
      <w:r w:rsidRPr="00FD6DA2">
        <w:rPr>
          <w:rFonts w:ascii="Sylfaen" w:hAnsi="Sylfaen"/>
          <w:lang w:val="ka-GE"/>
        </w:rPr>
        <w:t>-ს საგზაო სამოსების პროექტირების სახელმძღვანელოს შესაბამისად, ხისტი საგზაო სამოსების გაანგარიშებისთვის საჭირო საწყისი პარამეტრების უმეტესობა დრეკადი საგზაო სამოსების საწყისი პარამეტრების ანალოგიურია და წარმოდგენილია შემდეგი სახით:</w:t>
      </w:r>
    </w:p>
    <w:p w14:paraId="463AA35E" w14:textId="77777777" w:rsidR="00FD6DA2" w:rsidRDefault="00FD6DA2" w:rsidP="00FD6DA2">
      <w:pPr>
        <w:spacing w:before="120" w:after="120"/>
        <w:rPr>
          <w:rFonts w:ascii="Sylfaen" w:hAnsi="Sylfaen"/>
          <w:lang w:val="ka-GE"/>
        </w:rPr>
      </w:pPr>
      <w:r w:rsidRPr="00FD6DA2">
        <w:rPr>
          <w:rFonts w:ascii="Sylfaen" w:hAnsi="Sylfaen"/>
          <w:lang w:val="ka-GE"/>
        </w:rPr>
        <w:t>4.309 მილიონი სტანდ. ღერძი საანგარიშო ზოლზე</w:t>
      </w:r>
      <w:r>
        <w:rPr>
          <w:rFonts w:ascii="Sylfaen" w:hAnsi="Sylfaen"/>
          <w:lang w:val="ka-GE"/>
        </w:rPr>
        <w:t xml:space="preserve"> </w:t>
      </w:r>
      <w:r w:rsidRPr="00FD6DA2">
        <w:rPr>
          <w:rFonts w:ascii="Sylfaen" w:hAnsi="Sylfaen"/>
          <w:lang w:val="ka-GE"/>
        </w:rPr>
        <w:t xml:space="preserve">საიმედოობა: </w:t>
      </w:r>
      <w:r w:rsidRPr="00FD6DA2">
        <w:rPr>
          <w:rFonts w:ascii="Sylfaen" w:hAnsi="Sylfaen"/>
          <w:lang w:val="ka-GE"/>
        </w:rPr>
        <w:tab/>
        <w:t xml:space="preserve">90% </w:t>
      </w:r>
    </w:p>
    <w:p w14:paraId="0F882DCE" w14:textId="2C7368D0" w:rsidR="00EA3205" w:rsidRPr="006B2E4A" w:rsidRDefault="00FD6DA2" w:rsidP="00FD6DA2">
      <w:pPr>
        <w:spacing w:before="120" w:after="120"/>
        <w:rPr>
          <w:rFonts w:ascii="AcadNusx" w:hAnsi="AcadNusx"/>
          <w:sz w:val="20"/>
        </w:rPr>
      </w:pPr>
      <w:r>
        <w:rPr>
          <w:rFonts w:ascii="Sylfaen" w:hAnsi="Sylfaen"/>
          <w:sz w:val="20"/>
          <w:lang w:val="ka-GE"/>
        </w:rPr>
        <w:t>საერთო სტანდარტული გადახრა</w:t>
      </w:r>
      <w:r w:rsidR="00EA3205" w:rsidRPr="006B2E4A">
        <w:rPr>
          <w:rFonts w:ascii="AcadNusx" w:hAnsi="AcadNusx"/>
          <w:sz w:val="20"/>
        </w:rPr>
        <w:t xml:space="preserve"> (</w:t>
      </w:r>
      <w:r w:rsidR="00EA3205" w:rsidRPr="006B2E4A">
        <w:rPr>
          <w:rFonts w:cs="Arial"/>
          <w:sz w:val="20"/>
        </w:rPr>
        <w:t>So</w:t>
      </w:r>
      <w:r w:rsidR="00EA3205" w:rsidRPr="006B2E4A">
        <w:rPr>
          <w:rFonts w:ascii="AcadNusx" w:hAnsi="AcadNusx"/>
          <w:sz w:val="20"/>
        </w:rPr>
        <w:t xml:space="preserve"> ): </w:t>
      </w:r>
      <w:r w:rsidR="00EA3205" w:rsidRPr="00ED417F">
        <w:rPr>
          <w:rFonts w:ascii="Sylfaen" w:hAnsi="Sylfaen"/>
          <w:sz w:val="20"/>
        </w:rPr>
        <w:tab/>
      </w:r>
      <w:r w:rsidR="00EA3205" w:rsidRPr="006B2E4A">
        <w:rPr>
          <w:rFonts w:ascii="AcadNusx" w:hAnsi="AcadNusx"/>
          <w:sz w:val="20"/>
        </w:rPr>
        <w:t>0.35</w:t>
      </w:r>
    </w:p>
    <w:p w14:paraId="7651E504" w14:textId="5AB035D5" w:rsidR="00EA3205" w:rsidRPr="006B2E4A" w:rsidRDefault="00FD6DA2" w:rsidP="006B2E4A">
      <w:pPr>
        <w:spacing w:before="120" w:after="120"/>
        <w:rPr>
          <w:rFonts w:ascii="AcadNusx" w:hAnsi="AcadNusx"/>
          <w:sz w:val="20"/>
        </w:rPr>
      </w:pPr>
      <w:r>
        <w:rPr>
          <w:rFonts w:ascii="Sylfaen" w:hAnsi="Sylfaen"/>
          <w:sz w:val="20"/>
          <w:lang w:val="ka-GE"/>
        </w:rPr>
        <w:lastRenderedPageBreak/>
        <w:t>ექსპლუატაციის ვარგისიანობა (სამსახურის უნარი)</w:t>
      </w:r>
      <w:r w:rsidR="00EA3205" w:rsidRPr="006B2E4A">
        <w:rPr>
          <w:rFonts w:ascii="AcadNusx" w:hAnsi="AcadNusx"/>
          <w:sz w:val="20"/>
        </w:rPr>
        <w:t>:</w:t>
      </w:r>
    </w:p>
    <w:p w14:paraId="3ECBB899" w14:textId="1AFD9AC8" w:rsidR="00EA3205" w:rsidRPr="006B2E4A" w:rsidRDefault="00FD6DA2" w:rsidP="006B2E4A">
      <w:pPr>
        <w:spacing w:before="120" w:after="120"/>
        <w:rPr>
          <w:rFonts w:cs="Arial"/>
          <w:sz w:val="20"/>
        </w:rPr>
      </w:pPr>
      <w:r>
        <w:rPr>
          <w:rFonts w:ascii="Sylfaen" w:hAnsi="Sylfaen"/>
          <w:sz w:val="20"/>
          <w:lang w:val="ka-GE"/>
        </w:rPr>
        <w:t>საწყისი</w:t>
      </w:r>
      <w:r w:rsidR="00EA3205" w:rsidRPr="006B2E4A">
        <w:rPr>
          <w:rFonts w:ascii="AcadNusx" w:hAnsi="AcadNusx"/>
          <w:sz w:val="20"/>
        </w:rPr>
        <w:t>:</w:t>
      </w:r>
      <w:r w:rsidR="00EA3205" w:rsidRPr="006B2E4A">
        <w:rPr>
          <w:rFonts w:ascii="AcadNusx" w:hAnsi="AcadNusx"/>
          <w:sz w:val="20"/>
        </w:rPr>
        <w:tab/>
      </w:r>
      <w:r w:rsidR="00EA3205" w:rsidRPr="006B2E4A">
        <w:rPr>
          <w:rFonts w:ascii="AcadNusx" w:hAnsi="AcadNusx"/>
          <w:sz w:val="20"/>
        </w:rPr>
        <w:tab/>
      </w:r>
      <w:r w:rsidR="00EA3205" w:rsidRPr="006B2E4A">
        <w:rPr>
          <w:rFonts w:ascii="AcadNusx" w:hAnsi="AcadNusx"/>
          <w:sz w:val="20"/>
        </w:rPr>
        <w:tab/>
      </w:r>
      <w:r w:rsidR="00EA3205" w:rsidRPr="006B2E4A">
        <w:rPr>
          <w:rFonts w:ascii="AcadNusx" w:hAnsi="AcadNusx"/>
          <w:sz w:val="20"/>
        </w:rPr>
        <w:tab/>
      </w:r>
      <w:r w:rsidR="00EA3205" w:rsidRPr="006B2E4A">
        <w:rPr>
          <w:rFonts w:ascii="AcadNusx" w:hAnsi="AcadNusx"/>
          <w:sz w:val="20"/>
        </w:rPr>
        <w:tab/>
      </w:r>
      <w:r w:rsidR="00EA3205" w:rsidRPr="006B2E4A">
        <w:rPr>
          <w:rFonts w:ascii="AcadNusx" w:hAnsi="AcadNusx"/>
          <w:sz w:val="20"/>
        </w:rPr>
        <w:tab/>
      </w:r>
      <w:r w:rsidR="00EA3205" w:rsidRPr="006B2E4A">
        <w:rPr>
          <w:rFonts w:cs="Arial"/>
          <w:sz w:val="20"/>
        </w:rPr>
        <w:t>po=4.5</w:t>
      </w:r>
    </w:p>
    <w:p w14:paraId="2875A006" w14:textId="7272CEE9" w:rsidR="00EA3205" w:rsidRPr="006B2E4A" w:rsidRDefault="00FD6DA2" w:rsidP="006B2E4A">
      <w:pPr>
        <w:spacing w:before="120" w:after="120"/>
        <w:rPr>
          <w:rFonts w:cs="Arial"/>
          <w:sz w:val="20"/>
        </w:rPr>
      </w:pPr>
      <w:r>
        <w:rPr>
          <w:rFonts w:ascii="Sylfaen" w:hAnsi="Sylfaen"/>
          <w:sz w:val="20"/>
          <w:lang w:val="ka-GE"/>
        </w:rPr>
        <w:t>საბოლოო</w:t>
      </w:r>
      <w:r w:rsidR="00EA3205" w:rsidRPr="006B2E4A">
        <w:rPr>
          <w:rFonts w:ascii="AcadNusx" w:hAnsi="AcadNusx"/>
          <w:sz w:val="20"/>
        </w:rPr>
        <w:t xml:space="preserve">: </w:t>
      </w:r>
      <w:r w:rsidR="00EA3205" w:rsidRPr="006B2E4A">
        <w:rPr>
          <w:rFonts w:ascii="AcadNusx" w:hAnsi="AcadNusx"/>
          <w:sz w:val="20"/>
        </w:rPr>
        <w:tab/>
      </w:r>
      <w:r w:rsidR="00EA3205" w:rsidRPr="006B2E4A">
        <w:rPr>
          <w:rFonts w:ascii="AcadNusx" w:hAnsi="AcadNusx"/>
          <w:sz w:val="20"/>
        </w:rPr>
        <w:tab/>
      </w:r>
      <w:r w:rsidR="00EA3205" w:rsidRPr="006B2E4A">
        <w:rPr>
          <w:rFonts w:ascii="AcadNusx" w:hAnsi="AcadNusx"/>
          <w:sz w:val="20"/>
        </w:rPr>
        <w:tab/>
      </w:r>
      <w:r w:rsidR="00EA3205" w:rsidRPr="006B2E4A">
        <w:rPr>
          <w:rFonts w:ascii="AcadNusx" w:hAnsi="AcadNusx"/>
          <w:sz w:val="20"/>
        </w:rPr>
        <w:tab/>
      </w:r>
      <w:r w:rsidR="00EA3205" w:rsidRPr="006B2E4A">
        <w:rPr>
          <w:rFonts w:ascii="AcadNusx" w:hAnsi="AcadNusx"/>
          <w:sz w:val="20"/>
        </w:rPr>
        <w:tab/>
      </w:r>
      <w:r w:rsidR="00EA3205" w:rsidRPr="006B2E4A">
        <w:rPr>
          <w:rFonts w:cs="Arial"/>
          <w:sz w:val="20"/>
        </w:rPr>
        <w:t>pt=2.5</w:t>
      </w:r>
    </w:p>
    <w:p w14:paraId="70A8C3CB" w14:textId="182824D8" w:rsidR="00EA3205" w:rsidRPr="006B2E4A" w:rsidRDefault="00FD6DA2" w:rsidP="006B2E4A">
      <w:pPr>
        <w:spacing w:before="120" w:after="120"/>
        <w:rPr>
          <w:rFonts w:cs="Arial"/>
          <w:sz w:val="20"/>
        </w:rPr>
      </w:pPr>
      <w:r>
        <w:rPr>
          <w:rFonts w:ascii="Sylfaen" w:hAnsi="Sylfaen"/>
          <w:sz w:val="20"/>
          <w:lang w:val="ka-GE"/>
        </w:rPr>
        <w:t>ექსპლუატაციის ვარგისიანობის მაჩვენებლის ჯამური ცვლილება</w:t>
      </w:r>
      <w:r>
        <w:rPr>
          <w:rFonts w:ascii="AcadNusx" w:hAnsi="AcadNusx"/>
          <w:sz w:val="20"/>
        </w:rPr>
        <w:t>:</w:t>
      </w:r>
      <w:r w:rsidR="00EA3205" w:rsidRPr="006B2E4A">
        <w:rPr>
          <w:rFonts w:ascii="AcadNusx" w:hAnsi="AcadNusx"/>
          <w:sz w:val="20"/>
        </w:rPr>
        <w:t xml:space="preserve"> </w:t>
      </w:r>
      <w:r w:rsidR="00EA3205" w:rsidRPr="006B2E4A">
        <w:rPr>
          <w:rFonts w:cs="Arial"/>
          <w:sz w:val="20"/>
        </w:rPr>
        <w:t>PSI = 4.5 – 2.5 = 2.0</w:t>
      </w:r>
    </w:p>
    <w:p w14:paraId="7406A4D2" w14:textId="651B3E5C" w:rsidR="00EA3205" w:rsidRPr="006B2E4A" w:rsidRDefault="00FD6DA2" w:rsidP="006B2E4A">
      <w:pPr>
        <w:spacing w:before="120" w:after="120"/>
        <w:rPr>
          <w:rFonts w:ascii="AcadNusx" w:hAnsi="AcadNusx"/>
          <w:sz w:val="20"/>
        </w:rPr>
      </w:pPr>
      <w:r>
        <w:rPr>
          <w:rFonts w:ascii="Sylfaen" w:hAnsi="Sylfaen"/>
          <w:sz w:val="20"/>
          <w:lang w:val="ka-GE"/>
        </w:rPr>
        <w:t xml:space="preserve">ხისტი საგზაო სამოსების გაანგარიშება მოითხოვს რამდენიმე დამატებითი საწყის მონაცემს, როგორებიცაა: </w:t>
      </w:r>
    </w:p>
    <w:p w14:paraId="524BBC64" w14:textId="3501C12F" w:rsidR="00EA3205" w:rsidRPr="006B2E4A" w:rsidRDefault="009A1C27" w:rsidP="006B2E4A">
      <w:pPr>
        <w:spacing w:before="120" w:after="120"/>
        <w:rPr>
          <w:rFonts w:ascii="AcadNusx" w:hAnsi="AcadNusx"/>
          <w:sz w:val="20"/>
        </w:rPr>
      </w:pPr>
      <w:r>
        <w:rPr>
          <w:rFonts w:ascii="Sylfaen" w:hAnsi="Sylfaen"/>
          <w:sz w:val="20"/>
          <w:lang w:val="ka-GE"/>
        </w:rPr>
        <w:t>ბეტონის დრეკადობის მოდული</w:t>
      </w:r>
      <w:r w:rsidR="00EA3205" w:rsidRPr="006B2E4A">
        <w:rPr>
          <w:rFonts w:ascii="AcadNusx" w:hAnsi="AcadNusx"/>
          <w:sz w:val="20"/>
        </w:rPr>
        <w:t>:</w:t>
      </w:r>
      <w:r>
        <w:rPr>
          <w:rFonts w:ascii="Sylfaen" w:hAnsi="Sylfaen"/>
          <w:sz w:val="20"/>
          <w:lang w:val="ka-GE"/>
        </w:rPr>
        <w:t xml:space="preserve"> </w:t>
      </w:r>
      <w:r w:rsidR="00EA3205" w:rsidRPr="006B2E4A">
        <w:rPr>
          <w:rFonts w:ascii="AcadNusx" w:hAnsi="AcadNusx"/>
          <w:sz w:val="20"/>
        </w:rPr>
        <w:t xml:space="preserve">4 900 000 </w:t>
      </w:r>
      <w:r>
        <w:rPr>
          <w:rFonts w:ascii="Sylfaen" w:hAnsi="Sylfaen"/>
          <w:sz w:val="20"/>
          <w:lang w:val="ka-GE"/>
        </w:rPr>
        <w:t>პსი</w:t>
      </w:r>
      <w:r w:rsidR="00EA3205" w:rsidRPr="006B2E4A">
        <w:rPr>
          <w:rFonts w:ascii="AcadNusx" w:hAnsi="AcadNusx"/>
          <w:sz w:val="20"/>
        </w:rPr>
        <w:t xml:space="preserve"> (34 000 000 </w:t>
      </w:r>
      <w:r>
        <w:rPr>
          <w:rFonts w:ascii="Sylfaen" w:hAnsi="Sylfaen"/>
          <w:sz w:val="20"/>
          <w:lang w:val="ka-GE"/>
        </w:rPr>
        <w:t>კპა</w:t>
      </w:r>
      <w:r w:rsidR="00EA3205" w:rsidRPr="006B2E4A">
        <w:rPr>
          <w:rFonts w:ascii="AcadNusx" w:hAnsi="AcadNusx"/>
          <w:sz w:val="20"/>
        </w:rPr>
        <w:t>)</w:t>
      </w:r>
      <w:r>
        <w:rPr>
          <w:rFonts w:ascii="Sylfaen" w:hAnsi="Sylfaen"/>
          <w:sz w:val="20"/>
          <w:lang w:val="ka-GE"/>
        </w:rPr>
        <w:t xml:space="preserve"> </w:t>
      </w:r>
      <w:r w:rsidR="00EA3205" w:rsidRPr="006B2E4A">
        <w:rPr>
          <w:rFonts w:ascii="AcadNusx" w:hAnsi="AcadNusx"/>
          <w:sz w:val="20"/>
        </w:rPr>
        <w:t>(</w:t>
      </w:r>
      <w:r>
        <w:rPr>
          <w:rFonts w:ascii="Sylfaen" w:hAnsi="Sylfaen"/>
          <w:sz w:val="20"/>
          <w:lang w:val="ka-GE"/>
        </w:rPr>
        <w:t>ბეტონის ფილის დრეკადობის მოდულის საშუალო სიდიდე 28-დღიანი გამკვირვების შემდეგ</w:t>
      </w:r>
      <w:r w:rsidR="00EA3205" w:rsidRPr="006B2E4A">
        <w:rPr>
          <w:rFonts w:ascii="AcadNusx" w:hAnsi="AcadNusx"/>
          <w:sz w:val="20"/>
        </w:rPr>
        <w:t>)</w:t>
      </w:r>
    </w:p>
    <w:p w14:paraId="3E8729A9" w14:textId="2199E6B0" w:rsidR="00EA3205" w:rsidRPr="006B2E4A" w:rsidRDefault="009A1C27" w:rsidP="006B2E4A">
      <w:pPr>
        <w:spacing w:before="120" w:after="120"/>
        <w:rPr>
          <w:rFonts w:ascii="AcadNusx" w:hAnsi="AcadNusx"/>
          <w:sz w:val="20"/>
        </w:rPr>
      </w:pPr>
      <w:r>
        <w:rPr>
          <w:rFonts w:ascii="Sylfaen" w:hAnsi="Sylfaen"/>
          <w:sz w:val="20"/>
          <w:lang w:val="ka-GE"/>
        </w:rPr>
        <w:t xml:space="preserve">ბეტონის ზღვრული წინაღობა გაგლეჯაზე </w:t>
      </w:r>
      <w:r w:rsidR="00EA3205" w:rsidRPr="006B2E4A">
        <w:rPr>
          <w:rFonts w:ascii="AcadNusx" w:hAnsi="AcadNusx"/>
          <w:sz w:val="20"/>
        </w:rPr>
        <w:t xml:space="preserve">600 </w:t>
      </w:r>
      <w:r>
        <w:rPr>
          <w:rFonts w:ascii="Sylfaen" w:hAnsi="Sylfaen"/>
          <w:sz w:val="20"/>
          <w:lang w:val="ka-GE"/>
        </w:rPr>
        <w:t>პსი</w:t>
      </w:r>
      <w:r w:rsidR="00EA3205" w:rsidRPr="006B2E4A">
        <w:rPr>
          <w:rFonts w:ascii="AcadNusx" w:hAnsi="AcadNusx"/>
          <w:sz w:val="20"/>
        </w:rPr>
        <w:t xml:space="preserve"> (4 400 </w:t>
      </w:r>
      <w:r>
        <w:rPr>
          <w:rFonts w:ascii="Sylfaen" w:hAnsi="Sylfaen"/>
          <w:sz w:val="20"/>
          <w:lang w:val="ka-GE"/>
        </w:rPr>
        <w:t>კპა</w:t>
      </w:r>
      <w:r w:rsidR="00EA3205" w:rsidRPr="006B2E4A">
        <w:rPr>
          <w:rFonts w:ascii="AcadNusx" w:hAnsi="AcadNusx"/>
          <w:sz w:val="20"/>
        </w:rPr>
        <w:t xml:space="preserve">) </w:t>
      </w:r>
    </w:p>
    <w:p w14:paraId="1250A02D" w14:textId="77777777" w:rsidR="009A1C27" w:rsidRDefault="009A1C27" w:rsidP="006B2E4A">
      <w:pPr>
        <w:spacing w:before="120" w:after="120"/>
        <w:rPr>
          <w:rFonts w:ascii="AcadNusx" w:hAnsi="AcadNusx"/>
          <w:sz w:val="20"/>
        </w:rPr>
      </w:pPr>
      <w:r>
        <w:rPr>
          <w:rFonts w:ascii="Sylfaen" w:hAnsi="Sylfaen"/>
          <w:sz w:val="20"/>
          <w:lang w:val="ka-GE"/>
        </w:rPr>
        <w:t>სიმტკიზე ღუნვაზე</w:t>
      </w:r>
      <w:r w:rsidR="00EA3205" w:rsidRPr="006B2E4A">
        <w:rPr>
          <w:rFonts w:ascii="AcadNusx" w:hAnsi="AcadNusx"/>
          <w:sz w:val="20"/>
        </w:rPr>
        <w:t>:</w:t>
      </w:r>
      <w:r>
        <w:rPr>
          <w:rFonts w:ascii="Sylfaen" w:hAnsi="Sylfaen"/>
          <w:sz w:val="20"/>
          <w:lang w:val="ka-GE"/>
        </w:rPr>
        <w:t xml:space="preserve">  </w:t>
      </w:r>
      <w:r w:rsidR="00EA3205" w:rsidRPr="006B2E4A">
        <w:rPr>
          <w:rFonts w:ascii="AcadNusx" w:hAnsi="AcadNusx"/>
          <w:sz w:val="20"/>
        </w:rPr>
        <w:t xml:space="preserve">600 </w:t>
      </w:r>
      <w:r>
        <w:rPr>
          <w:rFonts w:ascii="Sylfaen" w:hAnsi="Sylfaen"/>
          <w:sz w:val="20"/>
          <w:lang w:val="ka-GE"/>
        </w:rPr>
        <w:t>პსი</w:t>
      </w:r>
      <w:r w:rsidR="00EA3205" w:rsidRPr="006B2E4A">
        <w:rPr>
          <w:rFonts w:ascii="AcadNusx" w:hAnsi="AcadNusx"/>
          <w:sz w:val="20"/>
        </w:rPr>
        <w:t xml:space="preserve"> </w:t>
      </w:r>
    </w:p>
    <w:p w14:paraId="18C2D2B8" w14:textId="27D80B3E" w:rsidR="00EA3205" w:rsidRPr="006B2E4A" w:rsidRDefault="009A1C27" w:rsidP="006B2E4A">
      <w:pPr>
        <w:spacing w:before="120" w:after="120"/>
        <w:rPr>
          <w:rFonts w:ascii="AcadNusx" w:hAnsi="AcadNusx"/>
          <w:sz w:val="20"/>
        </w:rPr>
      </w:pPr>
      <w:r>
        <w:rPr>
          <w:rFonts w:ascii="Sylfaen" w:hAnsi="Sylfaen"/>
          <w:sz w:val="20"/>
          <w:lang w:val="ka-GE"/>
        </w:rPr>
        <w:t>საფუძველის დეფორმაციის მოდული და სისქე</w:t>
      </w:r>
      <w:r w:rsidR="00EA3205" w:rsidRPr="006B2E4A">
        <w:rPr>
          <w:rFonts w:ascii="AcadNusx" w:hAnsi="AcadNusx"/>
          <w:sz w:val="20"/>
        </w:rPr>
        <w:t xml:space="preserve">:  </w:t>
      </w:r>
      <w:r>
        <w:rPr>
          <w:rFonts w:ascii="Sylfaen" w:hAnsi="Sylfaen"/>
          <w:sz w:val="20"/>
          <w:lang w:val="ka-GE"/>
        </w:rPr>
        <w:t>ბ</w:t>
      </w:r>
      <w:r w:rsidR="00EA3205" w:rsidRPr="006B2E4A">
        <w:rPr>
          <w:rFonts w:ascii="AcadNusx" w:hAnsi="AcadNusx"/>
          <w:sz w:val="20"/>
        </w:rPr>
        <w:t xml:space="preserve">= 200000 </w:t>
      </w:r>
      <w:r>
        <w:rPr>
          <w:rFonts w:ascii="Sylfaen" w:hAnsi="Sylfaen"/>
          <w:sz w:val="20"/>
          <w:lang w:val="ka-GE"/>
        </w:rPr>
        <w:t>კპა</w:t>
      </w:r>
      <w:r w:rsidR="00EA3205" w:rsidRPr="006B2E4A">
        <w:rPr>
          <w:rFonts w:ascii="AcadNusx" w:hAnsi="AcadNusx"/>
          <w:sz w:val="20"/>
        </w:rPr>
        <w:t xml:space="preserve">, </w:t>
      </w:r>
      <w:r>
        <w:rPr>
          <w:rFonts w:ascii="Sylfaen" w:hAnsi="Sylfaen"/>
          <w:sz w:val="20"/>
          <w:lang w:val="ka-GE"/>
        </w:rPr>
        <w:t>სისქე</w:t>
      </w:r>
      <w:r w:rsidR="00EA3205" w:rsidRPr="006B2E4A">
        <w:rPr>
          <w:rFonts w:ascii="AcadNusx" w:hAnsi="AcadNusx"/>
          <w:sz w:val="20"/>
        </w:rPr>
        <w:t xml:space="preserve">: 200 </w:t>
      </w:r>
      <w:r>
        <w:rPr>
          <w:rFonts w:ascii="Sylfaen" w:hAnsi="Sylfaen"/>
          <w:sz w:val="20"/>
          <w:lang w:val="ka-GE"/>
        </w:rPr>
        <w:t xml:space="preserve">მმ </w:t>
      </w:r>
      <w:r w:rsidR="00EA3205" w:rsidRPr="006B2E4A">
        <w:rPr>
          <w:rFonts w:ascii="AcadNusx" w:hAnsi="AcadNusx"/>
          <w:sz w:val="20"/>
        </w:rPr>
        <w:t>(</w:t>
      </w:r>
      <w:r>
        <w:rPr>
          <w:rFonts w:ascii="Sylfaen" w:hAnsi="Sylfaen"/>
          <w:sz w:val="20"/>
          <w:lang w:val="ka-GE"/>
        </w:rPr>
        <w:t>დამატებით 150მმ სისქის საფუძველის შესასწორებელი ფენა</w:t>
      </w:r>
      <w:r w:rsidR="00EA3205" w:rsidRPr="006B2E4A">
        <w:rPr>
          <w:rFonts w:ascii="AcadNusx" w:hAnsi="AcadNusx"/>
          <w:sz w:val="20"/>
        </w:rPr>
        <w:t>)</w:t>
      </w:r>
    </w:p>
    <w:p w14:paraId="08701D61" w14:textId="77777777" w:rsidR="009A1C27" w:rsidRPr="009A1C27" w:rsidRDefault="009A1C27" w:rsidP="009A1C27">
      <w:pPr>
        <w:spacing w:before="120" w:after="120"/>
        <w:rPr>
          <w:rFonts w:ascii="AcadNusx" w:hAnsi="AcadNusx"/>
        </w:rPr>
      </w:pPr>
      <w:r w:rsidRPr="009A1C27">
        <w:rPr>
          <w:rFonts w:ascii="Sylfaen" w:hAnsi="Sylfaen" w:cs="Sylfaen"/>
        </w:rPr>
        <w:t>მიწის</w:t>
      </w:r>
      <w:r w:rsidRPr="009A1C27">
        <w:rPr>
          <w:rFonts w:ascii="AcadNusx" w:hAnsi="AcadNusx"/>
        </w:rPr>
        <w:t xml:space="preserve"> </w:t>
      </w:r>
      <w:r w:rsidRPr="009A1C27">
        <w:rPr>
          <w:rFonts w:ascii="Sylfaen" w:hAnsi="Sylfaen" w:cs="Sylfaen"/>
        </w:rPr>
        <w:t>ვაკისის</w:t>
      </w:r>
      <w:r w:rsidRPr="009A1C27">
        <w:rPr>
          <w:rFonts w:ascii="AcadNusx" w:hAnsi="AcadNusx"/>
        </w:rPr>
        <w:t xml:space="preserve"> </w:t>
      </w:r>
      <w:r w:rsidRPr="009A1C27">
        <w:rPr>
          <w:rFonts w:ascii="Sylfaen" w:hAnsi="Sylfaen" w:cs="Sylfaen"/>
        </w:rPr>
        <w:t>რეაქციის</w:t>
      </w:r>
      <w:r w:rsidRPr="009A1C27">
        <w:rPr>
          <w:rFonts w:ascii="AcadNusx" w:hAnsi="AcadNusx"/>
        </w:rPr>
        <w:t xml:space="preserve"> </w:t>
      </w:r>
      <w:r w:rsidRPr="009A1C27">
        <w:rPr>
          <w:rFonts w:ascii="Sylfaen" w:hAnsi="Sylfaen" w:cs="Sylfaen"/>
        </w:rPr>
        <w:t>ეფექტური</w:t>
      </w:r>
      <w:r w:rsidRPr="009A1C27">
        <w:rPr>
          <w:rFonts w:ascii="AcadNusx" w:hAnsi="AcadNusx"/>
        </w:rPr>
        <w:t xml:space="preserve"> (</w:t>
      </w:r>
      <w:r w:rsidRPr="009A1C27">
        <w:rPr>
          <w:rFonts w:ascii="Sylfaen" w:hAnsi="Sylfaen" w:cs="Sylfaen"/>
        </w:rPr>
        <w:t>დაყვანილი</w:t>
      </w:r>
      <w:r w:rsidRPr="009A1C27">
        <w:rPr>
          <w:rFonts w:ascii="AcadNusx" w:hAnsi="AcadNusx"/>
        </w:rPr>
        <w:t xml:space="preserve">) </w:t>
      </w:r>
      <w:r w:rsidRPr="009A1C27">
        <w:rPr>
          <w:rFonts w:ascii="Sylfaen" w:hAnsi="Sylfaen" w:cs="Sylfaen"/>
        </w:rPr>
        <w:t>მოდული</w:t>
      </w:r>
      <w:r w:rsidRPr="009A1C27">
        <w:rPr>
          <w:rFonts w:ascii="AcadNusx" w:hAnsi="AcadNusx"/>
        </w:rPr>
        <w:t xml:space="preserve">: </w:t>
      </w:r>
    </w:p>
    <w:p w14:paraId="5023C424" w14:textId="3D78CF9A" w:rsidR="009A1C27" w:rsidRPr="009A1C27" w:rsidRDefault="009A1C27" w:rsidP="009A1C27">
      <w:pPr>
        <w:spacing w:before="120" w:after="120"/>
        <w:rPr>
          <w:rFonts w:ascii="AcadNusx" w:hAnsi="AcadNusx"/>
        </w:rPr>
      </w:pPr>
      <w:r w:rsidRPr="009A1C27">
        <w:rPr>
          <w:rFonts w:ascii="Sylfaen" w:hAnsi="Sylfaen" w:cs="Sylfaen"/>
        </w:rPr>
        <w:t>მიწის</w:t>
      </w:r>
      <w:r w:rsidRPr="009A1C27">
        <w:rPr>
          <w:rFonts w:ascii="AcadNusx" w:hAnsi="AcadNusx"/>
        </w:rPr>
        <w:t xml:space="preserve"> </w:t>
      </w:r>
      <w:r w:rsidRPr="009A1C27">
        <w:rPr>
          <w:rFonts w:ascii="Sylfaen" w:hAnsi="Sylfaen" w:cs="Sylfaen"/>
        </w:rPr>
        <w:t>ვაკისის</w:t>
      </w:r>
      <w:r w:rsidRPr="009A1C27">
        <w:rPr>
          <w:rFonts w:ascii="AcadNusx" w:hAnsi="AcadNusx"/>
        </w:rPr>
        <w:t xml:space="preserve"> </w:t>
      </w:r>
      <w:r w:rsidRPr="009A1C27">
        <w:rPr>
          <w:rFonts w:ascii="Sylfaen" w:hAnsi="Sylfaen" w:cs="Sylfaen"/>
        </w:rPr>
        <w:t>რეაქციის</w:t>
      </w:r>
      <w:r w:rsidRPr="009A1C27">
        <w:rPr>
          <w:rFonts w:ascii="AcadNusx" w:hAnsi="AcadNusx"/>
        </w:rPr>
        <w:t xml:space="preserve"> </w:t>
      </w:r>
      <w:r w:rsidRPr="009A1C27">
        <w:rPr>
          <w:rFonts w:ascii="Sylfaen" w:hAnsi="Sylfaen" w:cs="Sylfaen"/>
        </w:rPr>
        <w:t>ეფექტური</w:t>
      </w:r>
      <w:r w:rsidRPr="009A1C27">
        <w:rPr>
          <w:rFonts w:ascii="AcadNusx" w:hAnsi="AcadNusx"/>
        </w:rPr>
        <w:t xml:space="preserve"> </w:t>
      </w:r>
      <w:r w:rsidRPr="009A1C27">
        <w:rPr>
          <w:rFonts w:ascii="Sylfaen" w:hAnsi="Sylfaen" w:cs="Sylfaen"/>
        </w:rPr>
        <w:t>მოდულის</w:t>
      </w:r>
      <w:r w:rsidRPr="009A1C27">
        <w:rPr>
          <w:rFonts w:ascii="AcadNusx" w:hAnsi="AcadNusx"/>
        </w:rPr>
        <w:t xml:space="preserve"> </w:t>
      </w:r>
      <w:r w:rsidRPr="009A1C27">
        <w:rPr>
          <w:rFonts w:ascii="Sylfaen" w:hAnsi="Sylfaen" w:cs="Sylfaen"/>
        </w:rPr>
        <w:t>სიდიდე</w:t>
      </w:r>
      <w:r w:rsidRPr="009A1C27">
        <w:rPr>
          <w:rFonts w:ascii="AcadNusx" w:hAnsi="AcadNusx"/>
        </w:rPr>
        <w:t xml:space="preserve"> </w:t>
      </w:r>
      <w:r w:rsidRPr="009A1C27">
        <w:rPr>
          <w:rFonts w:ascii="Sylfaen" w:hAnsi="Sylfaen" w:cs="Sylfaen"/>
        </w:rPr>
        <w:t>იზომება</w:t>
      </w:r>
      <w:r w:rsidRPr="009A1C27">
        <w:rPr>
          <w:rFonts w:ascii="AcadNusx" w:hAnsi="AcadNusx"/>
        </w:rPr>
        <w:t>/</w:t>
      </w:r>
      <w:r w:rsidRPr="009A1C27">
        <w:rPr>
          <w:rFonts w:ascii="Sylfaen" w:hAnsi="Sylfaen" w:cs="Sylfaen"/>
        </w:rPr>
        <w:t>იანგარიშება</w:t>
      </w:r>
      <w:r w:rsidRPr="009A1C27">
        <w:rPr>
          <w:rFonts w:ascii="AcadNusx" w:hAnsi="AcadNusx"/>
        </w:rPr>
        <w:t xml:space="preserve"> </w:t>
      </w:r>
      <w:r w:rsidRPr="009A1C27">
        <w:rPr>
          <w:rFonts w:ascii="Sylfaen" w:hAnsi="Sylfaen" w:cs="Sylfaen"/>
        </w:rPr>
        <w:t>დასრულებული</w:t>
      </w:r>
      <w:r w:rsidRPr="009A1C27">
        <w:rPr>
          <w:rFonts w:ascii="AcadNusx" w:hAnsi="AcadNusx"/>
        </w:rPr>
        <w:t xml:space="preserve"> </w:t>
      </w:r>
      <w:r w:rsidRPr="009A1C27">
        <w:rPr>
          <w:rFonts w:ascii="Sylfaen" w:hAnsi="Sylfaen" w:cs="Sylfaen"/>
        </w:rPr>
        <w:t>გზის</w:t>
      </w:r>
      <w:r w:rsidRPr="009A1C27">
        <w:rPr>
          <w:rFonts w:ascii="AcadNusx" w:hAnsi="AcadNusx"/>
        </w:rPr>
        <w:t xml:space="preserve"> </w:t>
      </w:r>
      <w:r w:rsidRPr="009A1C27">
        <w:rPr>
          <w:rFonts w:ascii="Sylfaen" w:hAnsi="Sylfaen" w:cs="Sylfaen"/>
        </w:rPr>
        <w:t>ვარცლის</w:t>
      </w:r>
      <w:r w:rsidRPr="009A1C27">
        <w:rPr>
          <w:rFonts w:ascii="AcadNusx" w:hAnsi="AcadNusx"/>
        </w:rPr>
        <w:t xml:space="preserve"> </w:t>
      </w:r>
      <w:r w:rsidRPr="009A1C27">
        <w:rPr>
          <w:rFonts w:ascii="Sylfaen" w:hAnsi="Sylfaen" w:cs="Sylfaen"/>
        </w:rPr>
        <w:t>გრუნტის</w:t>
      </w:r>
      <w:r w:rsidRPr="009A1C27">
        <w:rPr>
          <w:rFonts w:ascii="AcadNusx" w:hAnsi="AcadNusx"/>
        </w:rPr>
        <w:t xml:space="preserve"> </w:t>
      </w:r>
      <w:r w:rsidRPr="009A1C27">
        <w:rPr>
          <w:rFonts w:ascii="Sylfaen" w:hAnsi="Sylfaen" w:cs="Sylfaen"/>
        </w:rPr>
        <w:t>თავზე</w:t>
      </w:r>
      <w:r w:rsidRPr="009A1C27">
        <w:rPr>
          <w:rFonts w:ascii="AcadNusx" w:hAnsi="AcadNusx"/>
        </w:rPr>
        <w:t xml:space="preserve">, </w:t>
      </w:r>
      <w:r w:rsidRPr="009A1C27">
        <w:rPr>
          <w:rFonts w:ascii="Sylfaen" w:hAnsi="Sylfaen" w:cs="Sylfaen"/>
        </w:rPr>
        <w:t>რომელზეც</w:t>
      </w:r>
      <w:r w:rsidRPr="009A1C27">
        <w:rPr>
          <w:rFonts w:ascii="AcadNusx" w:hAnsi="AcadNusx"/>
        </w:rPr>
        <w:t xml:space="preserve"> </w:t>
      </w:r>
      <w:r w:rsidRPr="009A1C27">
        <w:rPr>
          <w:rFonts w:ascii="Sylfaen" w:hAnsi="Sylfaen" w:cs="Sylfaen"/>
        </w:rPr>
        <w:t>შემდგომში</w:t>
      </w:r>
      <w:r w:rsidRPr="009A1C27">
        <w:rPr>
          <w:rFonts w:ascii="AcadNusx" w:hAnsi="AcadNusx"/>
        </w:rPr>
        <w:t xml:space="preserve"> </w:t>
      </w:r>
      <w:r w:rsidRPr="009A1C27">
        <w:rPr>
          <w:rFonts w:ascii="Sylfaen" w:hAnsi="Sylfaen" w:cs="Sylfaen"/>
        </w:rPr>
        <w:t>უნდა</w:t>
      </w:r>
      <w:r w:rsidRPr="009A1C27">
        <w:rPr>
          <w:rFonts w:ascii="AcadNusx" w:hAnsi="AcadNusx"/>
        </w:rPr>
        <w:t xml:space="preserve"> </w:t>
      </w:r>
      <w:r w:rsidRPr="009A1C27">
        <w:rPr>
          <w:rFonts w:ascii="Sylfaen" w:hAnsi="Sylfaen" w:cs="Sylfaen"/>
        </w:rPr>
        <w:t>დაიგოს</w:t>
      </w:r>
      <w:r w:rsidRPr="009A1C27">
        <w:rPr>
          <w:rFonts w:ascii="AcadNusx" w:hAnsi="AcadNusx"/>
        </w:rPr>
        <w:t xml:space="preserve"> </w:t>
      </w:r>
      <w:r w:rsidRPr="009A1C27">
        <w:rPr>
          <w:rFonts w:ascii="Sylfaen" w:hAnsi="Sylfaen" w:cs="Sylfaen"/>
        </w:rPr>
        <w:t>ბეტონის</w:t>
      </w:r>
      <w:r w:rsidRPr="009A1C27">
        <w:rPr>
          <w:rFonts w:ascii="AcadNusx" w:hAnsi="AcadNusx"/>
        </w:rPr>
        <w:t xml:space="preserve"> </w:t>
      </w:r>
      <w:r w:rsidRPr="009A1C27">
        <w:rPr>
          <w:rFonts w:ascii="Sylfaen" w:hAnsi="Sylfaen" w:cs="Sylfaen"/>
        </w:rPr>
        <w:t>ფილა</w:t>
      </w:r>
      <w:r w:rsidRPr="009A1C27">
        <w:rPr>
          <w:rFonts w:ascii="AcadNusx" w:hAnsi="AcadNusx"/>
        </w:rPr>
        <w:t xml:space="preserve">. </w:t>
      </w:r>
      <w:r w:rsidRPr="009A1C27">
        <w:rPr>
          <w:rFonts w:ascii="Sylfaen" w:hAnsi="Sylfaen" w:cs="Sylfaen"/>
        </w:rPr>
        <w:t>აღნიშნული</w:t>
      </w:r>
      <w:r w:rsidRPr="009A1C27">
        <w:rPr>
          <w:rFonts w:ascii="AcadNusx" w:hAnsi="AcadNusx"/>
        </w:rPr>
        <w:t xml:space="preserve"> </w:t>
      </w:r>
      <w:r w:rsidRPr="009A1C27">
        <w:rPr>
          <w:rFonts w:ascii="Sylfaen" w:hAnsi="Sylfaen" w:cs="Sylfaen"/>
        </w:rPr>
        <w:t>მოდულის</w:t>
      </w:r>
      <w:r w:rsidRPr="009A1C27">
        <w:rPr>
          <w:rFonts w:ascii="AcadNusx" w:hAnsi="AcadNusx"/>
        </w:rPr>
        <w:t xml:space="preserve"> (</w:t>
      </w:r>
      <w:r>
        <w:rPr>
          <w:rFonts w:ascii="Sylfaen" w:hAnsi="Sylfaen"/>
        </w:rPr>
        <w:t>k</w:t>
      </w:r>
      <w:r w:rsidRPr="009A1C27">
        <w:rPr>
          <w:rFonts w:ascii="AcadNusx" w:hAnsi="AcadNusx"/>
        </w:rPr>
        <w:t xml:space="preserve">) </w:t>
      </w:r>
      <w:r w:rsidRPr="009A1C27">
        <w:rPr>
          <w:rFonts w:ascii="Sylfaen" w:hAnsi="Sylfaen" w:cs="Sylfaen"/>
        </w:rPr>
        <w:t>სიდიდე</w:t>
      </w:r>
      <w:r w:rsidRPr="009A1C27">
        <w:rPr>
          <w:rFonts w:ascii="AcadNusx" w:hAnsi="AcadNusx"/>
        </w:rPr>
        <w:t xml:space="preserve">, </w:t>
      </w:r>
      <w:r w:rsidRPr="009A1C27">
        <w:rPr>
          <w:rFonts w:ascii="Sylfaen" w:hAnsi="Sylfaen" w:cs="Sylfaen"/>
        </w:rPr>
        <w:t>რომელიც</w:t>
      </w:r>
      <w:r w:rsidRPr="009A1C27">
        <w:rPr>
          <w:rFonts w:ascii="AcadNusx" w:hAnsi="AcadNusx"/>
        </w:rPr>
        <w:t xml:space="preserve"> </w:t>
      </w:r>
      <w:r w:rsidRPr="009A1C27">
        <w:rPr>
          <w:rFonts w:ascii="Sylfaen" w:hAnsi="Sylfaen" w:cs="Sylfaen"/>
        </w:rPr>
        <w:t>ახასიათებს</w:t>
      </w:r>
      <w:r w:rsidRPr="009A1C27">
        <w:rPr>
          <w:rFonts w:ascii="AcadNusx" w:hAnsi="AcadNusx"/>
        </w:rPr>
        <w:t xml:space="preserve"> </w:t>
      </w:r>
      <w:r w:rsidRPr="009A1C27">
        <w:rPr>
          <w:rFonts w:ascii="Sylfaen" w:hAnsi="Sylfaen" w:cs="Sylfaen"/>
        </w:rPr>
        <w:t>მიწის</w:t>
      </w:r>
      <w:r w:rsidRPr="009A1C27">
        <w:rPr>
          <w:rFonts w:ascii="AcadNusx" w:hAnsi="AcadNusx"/>
        </w:rPr>
        <w:t xml:space="preserve"> </w:t>
      </w:r>
      <w:r w:rsidRPr="009A1C27">
        <w:rPr>
          <w:rFonts w:ascii="Sylfaen" w:hAnsi="Sylfaen" w:cs="Sylfaen"/>
        </w:rPr>
        <w:t>ვაკისის</w:t>
      </w:r>
      <w:r w:rsidRPr="009A1C27">
        <w:rPr>
          <w:rFonts w:ascii="AcadNusx" w:hAnsi="AcadNusx"/>
        </w:rPr>
        <w:t xml:space="preserve"> </w:t>
      </w:r>
      <w:r w:rsidRPr="009A1C27">
        <w:rPr>
          <w:rFonts w:ascii="Sylfaen" w:hAnsi="Sylfaen" w:cs="Sylfaen"/>
        </w:rPr>
        <w:t>მდგომარეობას</w:t>
      </w:r>
      <w:r w:rsidRPr="009A1C27">
        <w:rPr>
          <w:rFonts w:ascii="AcadNusx" w:hAnsi="AcadNusx"/>
        </w:rPr>
        <w:t xml:space="preserve">, </w:t>
      </w:r>
      <w:r w:rsidRPr="009A1C27">
        <w:rPr>
          <w:rFonts w:ascii="Sylfaen" w:hAnsi="Sylfaen" w:cs="Sylfaen"/>
        </w:rPr>
        <w:t>შეიძლება</w:t>
      </w:r>
      <w:r w:rsidRPr="009A1C27">
        <w:rPr>
          <w:rFonts w:ascii="AcadNusx" w:hAnsi="AcadNusx"/>
        </w:rPr>
        <w:t xml:space="preserve"> </w:t>
      </w:r>
      <w:r w:rsidRPr="009A1C27">
        <w:rPr>
          <w:rFonts w:ascii="Sylfaen" w:hAnsi="Sylfaen" w:cs="Sylfaen"/>
        </w:rPr>
        <w:t>გაანგარიშდეს</w:t>
      </w:r>
      <w:r w:rsidRPr="009A1C27">
        <w:rPr>
          <w:rFonts w:ascii="AcadNusx" w:hAnsi="AcadNusx"/>
        </w:rPr>
        <w:t xml:space="preserve"> </w:t>
      </w:r>
      <w:r w:rsidRPr="009A1C27">
        <w:rPr>
          <w:rFonts w:ascii="Sylfaen" w:hAnsi="Sylfaen" w:cs="Sylfaen"/>
        </w:rPr>
        <w:t>გრუნტის</w:t>
      </w:r>
      <w:r w:rsidRPr="009A1C27">
        <w:rPr>
          <w:rFonts w:ascii="AcadNusx" w:hAnsi="AcadNusx"/>
        </w:rPr>
        <w:t xml:space="preserve"> </w:t>
      </w:r>
      <w:r w:rsidRPr="009A1C27">
        <w:rPr>
          <w:rFonts w:ascii="Sylfaen" w:hAnsi="Sylfaen" w:cs="Sylfaen"/>
        </w:rPr>
        <w:t>ტიპებსა</w:t>
      </w:r>
      <w:r w:rsidRPr="009A1C27">
        <w:rPr>
          <w:rFonts w:ascii="AcadNusx" w:hAnsi="AcadNusx"/>
        </w:rPr>
        <w:t xml:space="preserve"> </w:t>
      </w:r>
      <w:r w:rsidRPr="009A1C27">
        <w:rPr>
          <w:rFonts w:ascii="Sylfaen" w:hAnsi="Sylfaen" w:cs="Sylfaen"/>
        </w:rPr>
        <w:t>და</w:t>
      </w:r>
      <w:r w:rsidRPr="009A1C27">
        <w:rPr>
          <w:rFonts w:ascii="AcadNusx" w:hAnsi="AcadNusx"/>
        </w:rPr>
        <w:t xml:space="preserve"> </w:t>
      </w:r>
      <w:r w:rsidRPr="009A1C27">
        <w:rPr>
          <w:rFonts w:ascii="Sylfaen" w:hAnsi="Sylfaen" w:cs="Sylfaen"/>
        </w:rPr>
        <w:t>კალიფორნიული</w:t>
      </w:r>
      <w:r w:rsidRPr="009A1C27">
        <w:rPr>
          <w:rFonts w:ascii="AcadNusx" w:hAnsi="AcadNusx"/>
        </w:rPr>
        <w:t xml:space="preserve"> </w:t>
      </w:r>
      <w:r w:rsidRPr="009A1C27">
        <w:rPr>
          <w:rFonts w:ascii="Sylfaen" w:hAnsi="Sylfaen" w:cs="Sylfaen"/>
        </w:rPr>
        <w:t>რიცხვის</w:t>
      </w:r>
      <w:r w:rsidRPr="009A1C27">
        <w:rPr>
          <w:rFonts w:ascii="AcadNusx" w:hAnsi="AcadNusx"/>
        </w:rPr>
        <w:t xml:space="preserve"> (</w:t>
      </w:r>
      <w:r>
        <w:rPr>
          <w:rFonts w:ascii="Sylfaen" w:hAnsi="Sylfaen"/>
        </w:rPr>
        <w:t>CBR</w:t>
      </w:r>
      <w:r w:rsidRPr="009A1C27">
        <w:rPr>
          <w:rFonts w:ascii="AcadNusx" w:hAnsi="AcadNusx"/>
        </w:rPr>
        <w:t xml:space="preserve">) </w:t>
      </w:r>
      <w:r w:rsidRPr="009A1C27">
        <w:rPr>
          <w:rFonts w:ascii="Sylfaen" w:hAnsi="Sylfaen" w:cs="Sylfaen"/>
        </w:rPr>
        <w:t>სიდიდეებს</w:t>
      </w:r>
      <w:r w:rsidRPr="009A1C27">
        <w:rPr>
          <w:rFonts w:ascii="AcadNusx" w:hAnsi="AcadNusx"/>
        </w:rPr>
        <w:t xml:space="preserve"> </w:t>
      </w:r>
      <w:r w:rsidRPr="009A1C27">
        <w:rPr>
          <w:rFonts w:ascii="Sylfaen" w:hAnsi="Sylfaen" w:cs="Sylfaen"/>
        </w:rPr>
        <w:t>შორის</w:t>
      </w:r>
      <w:r w:rsidRPr="009A1C27">
        <w:rPr>
          <w:rFonts w:ascii="AcadNusx" w:hAnsi="AcadNusx"/>
        </w:rPr>
        <w:t xml:space="preserve"> </w:t>
      </w:r>
      <w:r w:rsidRPr="009A1C27">
        <w:rPr>
          <w:rFonts w:ascii="Sylfaen" w:hAnsi="Sylfaen" w:cs="Sylfaen"/>
        </w:rPr>
        <w:t>კორელაციური</w:t>
      </w:r>
      <w:r w:rsidRPr="009A1C27">
        <w:rPr>
          <w:rFonts w:ascii="AcadNusx" w:hAnsi="AcadNusx"/>
        </w:rPr>
        <w:t xml:space="preserve"> </w:t>
      </w:r>
      <w:r w:rsidRPr="009A1C27">
        <w:rPr>
          <w:rFonts w:ascii="Sylfaen" w:hAnsi="Sylfaen" w:cs="Sylfaen"/>
        </w:rPr>
        <w:t>დამოკიდებულებების</w:t>
      </w:r>
      <w:r w:rsidRPr="009A1C27">
        <w:rPr>
          <w:rFonts w:ascii="AcadNusx" w:hAnsi="AcadNusx"/>
        </w:rPr>
        <w:t xml:space="preserve"> </w:t>
      </w:r>
      <w:r w:rsidRPr="009A1C27">
        <w:rPr>
          <w:rFonts w:ascii="Sylfaen" w:hAnsi="Sylfaen" w:cs="Sylfaen"/>
        </w:rPr>
        <w:t>გამოყენებით</w:t>
      </w:r>
      <w:r w:rsidRPr="009A1C27">
        <w:rPr>
          <w:rFonts w:ascii="AcadNusx" w:hAnsi="AcadNusx"/>
        </w:rPr>
        <w:t xml:space="preserve">. </w:t>
      </w:r>
    </w:p>
    <w:p w14:paraId="072871DF" w14:textId="4EAE3DB7" w:rsidR="009A1C27" w:rsidRPr="009A1C27" w:rsidRDefault="009A1C27" w:rsidP="009A1C27">
      <w:pPr>
        <w:spacing w:before="120" w:after="120"/>
        <w:rPr>
          <w:rFonts w:ascii="AcadNusx" w:hAnsi="AcadNusx"/>
        </w:rPr>
      </w:pPr>
      <w:r w:rsidRPr="009A1C27">
        <w:rPr>
          <w:rFonts w:ascii="Sylfaen" w:hAnsi="Sylfaen" w:cs="Sylfaen"/>
        </w:rPr>
        <w:t>ჩატარებული</w:t>
      </w:r>
      <w:r w:rsidRPr="009A1C27">
        <w:rPr>
          <w:rFonts w:ascii="AcadNusx" w:hAnsi="AcadNusx"/>
        </w:rPr>
        <w:t xml:space="preserve"> </w:t>
      </w:r>
      <w:r w:rsidRPr="009A1C27">
        <w:rPr>
          <w:rFonts w:ascii="Sylfaen" w:hAnsi="Sylfaen" w:cs="Sylfaen"/>
        </w:rPr>
        <w:t>გამოცდების</w:t>
      </w:r>
      <w:r w:rsidRPr="009A1C27">
        <w:rPr>
          <w:rFonts w:ascii="AcadNusx" w:hAnsi="AcadNusx"/>
        </w:rPr>
        <w:t xml:space="preserve"> </w:t>
      </w:r>
      <w:r w:rsidRPr="009A1C27">
        <w:rPr>
          <w:rFonts w:ascii="Sylfaen" w:hAnsi="Sylfaen" w:cs="Sylfaen"/>
        </w:rPr>
        <w:t>შედეგების</w:t>
      </w:r>
      <w:r w:rsidRPr="009A1C27">
        <w:rPr>
          <w:rFonts w:ascii="AcadNusx" w:hAnsi="AcadNusx"/>
        </w:rPr>
        <w:t xml:space="preserve"> </w:t>
      </w:r>
      <w:r w:rsidRPr="009A1C27">
        <w:rPr>
          <w:rFonts w:ascii="Sylfaen" w:hAnsi="Sylfaen" w:cs="Sylfaen"/>
        </w:rPr>
        <w:t>თანახმად</w:t>
      </w:r>
      <w:r w:rsidRPr="009A1C27">
        <w:rPr>
          <w:rFonts w:ascii="AcadNusx" w:hAnsi="AcadNusx"/>
        </w:rPr>
        <w:t xml:space="preserve">, </w:t>
      </w:r>
      <w:r w:rsidRPr="009A1C27">
        <w:rPr>
          <w:rFonts w:ascii="Sylfaen" w:hAnsi="Sylfaen" w:cs="Sylfaen"/>
        </w:rPr>
        <w:t>მიწის</w:t>
      </w:r>
      <w:r w:rsidRPr="009A1C27">
        <w:rPr>
          <w:rFonts w:ascii="AcadNusx" w:hAnsi="AcadNusx"/>
        </w:rPr>
        <w:t xml:space="preserve"> </w:t>
      </w:r>
      <w:r w:rsidRPr="009A1C27">
        <w:rPr>
          <w:rFonts w:ascii="Sylfaen" w:hAnsi="Sylfaen" w:cs="Sylfaen"/>
        </w:rPr>
        <w:t>ვაკისის</w:t>
      </w:r>
      <w:r w:rsidRPr="009A1C27">
        <w:rPr>
          <w:rFonts w:ascii="AcadNusx" w:hAnsi="AcadNusx"/>
        </w:rPr>
        <w:t xml:space="preserve"> </w:t>
      </w:r>
      <w:r w:rsidRPr="009A1C27">
        <w:rPr>
          <w:rFonts w:ascii="Sylfaen" w:hAnsi="Sylfaen" w:cs="Sylfaen"/>
        </w:rPr>
        <w:t>გრუნტები</w:t>
      </w:r>
      <w:r w:rsidRPr="009A1C27">
        <w:rPr>
          <w:rFonts w:ascii="AcadNusx" w:hAnsi="AcadNusx"/>
        </w:rPr>
        <w:t xml:space="preserve"> </w:t>
      </w:r>
      <w:r w:rsidRPr="009A1C27">
        <w:rPr>
          <w:rFonts w:ascii="Sylfaen" w:hAnsi="Sylfaen" w:cs="Sylfaen"/>
        </w:rPr>
        <w:t>მიეკუთვნება</w:t>
      </w:r>
      <w:r>
        <w:rPr>
          <w:rFonts w:ascii="Sylfaen" w:hAnsi="Sylfaen" w:cs="Sylfaen"/>
        </w:rPr>
        <w:t xml:space="preserve"> AASHTO</w:t>
      </w:r>
      <w:r w:rsidRPr="009A1C27">
        <w:rPr>
          <w:rFonts w:ascii="AcadNusx" w:hAnsi="AcadNusx"/>
        </w:rPr>
        <w:t>-</w:t>
      </w:r>
      <w:r w:rsidRPr="009A1C27">
        <w:rPr>
          <w:rFonts w:ascii="Sylfaen" w:hAnsi="Sylfaen" w:cs="Sylfaen"/>
        </w:rPr>
        <w:t>ს</w:t>
      </w:r>
      <w:r w:rsidRPr="009A1C27">
        <w:rPr>
          <w:rFonts w:ascii="AcadNusx" w:hAnsi="AcadNusx"/>
        </w:rPr>
        <w:t xml:space="preserve"> </w:t>
      </w:r>
      <w:r w:rsidRPr="009A1C27">
        <w:rPr>
          <w:rFonts w:ascii="Sylfaen" w:hAnsi="Sylfaen" w:cs="Sylfaen"/>
        </w:rPr>
        <w:t>გრუნტების</w:t>
      </w:r>
      <w:r w:rsidRPr="009A1C27">
        <w:rPr>
          <w:rFonts w:ascii="AcadNusx" w:hAnsi="AcadNusx"/>
        </w:rPr>
        <w:t xml:space="preserve"> </w:t>
      </w:r>
      <w:r w:rsidRPr="009A1C27">
        <w:rPr>
          <w:rFonts w:ascii="Sylfaen" w:hAnsi="Sylfaen" w:cs="Sylfaen"/>
        </w:rPr>
        <w:t>კლაფიკაციით</w:t>
      </w:r>
      <w:r w:rsidRPr="009A1C27">
        <w:rPr>
          <w:rFonts w:ascii="AcadNusx" w:hAnsi="AcadNusx"/>
        </w:rPr>
        <w:t xml:space="preserve"> </w:t>
      </w:r>
      <w:r w:rsidRPr="009A1C27">
        <w:rPr>
          <w:rFonts w:ascii="Sylfaen" w:hAnsi="Sylfaen" w:cs="Sylfaen"/>
        </w:rPr>
        <w:t>განსაზღვრულ</w:t>
      </w:r>
      <w:r w:rsidRPr="009A1C27">
        <w:rPr>
          <w:rFonts w:ascii="AcadNusx" w:hAnsi="AcadNusx"/>
        </w:rPr>
        <w:t xml:space="preserve"> </w:t>
      </w:r>
      <w:r>
        <w:rPr>
          <w:rFonts w:ascii="Sylfaen" w:hAnsi="Sylfaen"/>
        </w:rPr>
        <w:t>A</w:t>
      </w:r>
      <w:r w:rsidRPr="009A1C27">
        <w:rPr>
          <w:rFonts w:ascii="AcadNusx" w:hAnsi="AcadNusx"/>
        </w:rPr>
        <w:t xml:space="preserve">-2-4, </w:t>
      </w:r>
      <w:r>
        <w:rPr>
          <w:rFonts w:ascii="Sylfaen" w:hAnsi="Sylfaen"/>
        </w:rPr>
        <w:t>A</w:t>
      </w:r>
      <w:r w:rsidRPr="009A1C27">
        <w:rPr>
          <w:rFonts w:ascii="AcadNusx" w:hAnsi="AcadNusx"/>
        </w:rPr>
        <w:t xml:space="preserve">-4 </w:t>
      </w:r>
      <w:r w:rsidRPr="009A1C27">
        <w:rPr>
          <w:rFonts w:ascii="Sylfaen" w:hAnsi="Sylfaen" w:cs="Sylfaen"/>
        </w:rPr>
        <w:t>და</w:t>
      </w:r>
      <w:r w:rsidRPr="009A1C27">
        <w:rPr>
          <w:rFonts w:ascii="AcadNusx" w:hAnsi="AcadNusx"/>
        </w:rPr>
        <w:t xml:space="preserve"> </w:t>
      </w:r>
      <w:r>
        <w:rPr>
          <w:rFonts w:ascii="Sylfaen" w:hAnsi="Sylfaen"/>
        </w:rPr>
        <w:t>A</w:t>
      </w:r>
      <w:r w:rsidRPr="009A1C27">
        <w:rPr>
          <w:rFonts w:ascii="AcadNusx" w:hAnsi="AcadNusx"/>
        </w:rPr>
        <w:t xml:space="preserve">-6 </w:t>
      </w:r>
      <w:r w:rsidRPr="009A1C27">
        <w:rPr>
          <w:rFonts w:ascii="Sylfaen" w:hAnsi="Sylfaen" w:cs="Sylfaen"/>
        </w:rPr>
        <w:t>ჯგუფებს</w:t>
      </w:r>
      <w:r w:rsidRPr="009A1C27">
        <w:rPr>
          <w:rFonts w:ascii="AcadNusx" w:hAnsi="AcadNusx"/>
        </w:rPr>
        <w:t xml:space="preserve">, </w:t>
      </w:r>
      <w:r w:rsidRPr="009A1C27">
        <w:rPr>
          <w:rFonts w:ascii="Sylfaen" w:hAnsi="Sylfaen" w:cs="Sylfaen"/>
        </w:rPr>
        <w:t>რომელთა</w:t>
      </w:r>
      <w:r w:rsidRPr="009A1C27">
        <w:rPr>
          <w:rFonts w:ascii="AcadNusx" w:hAnsi="AcadNusx"/>
        </w:rPr>
        <w:t xml:space="preserve"> </w:t>
      </w:r>
      <w:r w:rsidRPr="009A1C27">
        <w:rPr>
          <w:rFonts w:ascii="Sylfaen" w:hAnsi="Sylfaen" w:cs="Sylfaen"/>
        </w:rPr>
        <w:t>შესაბამისი</w:t>
      </w:r>
      <w:r w:rsidRPr="009A1C27">
        <w:rPr>
          <w:rFonts w:ascii="AcadNusx" w:hAnsi="AcadNusx"/>
        </w:rPr>
        <w:t xml:space="preserve"> </w:t>
      </w:r>
      <w:r w:rsidRPr="009A1C27">
        <w:rPr>
          <w:rFonts w:ascii="Sylfaen" w:hAnsi="Sylfaen" w:cs="Sylfaen"/>
        </w:rPr>
        <w:t>კალიფორნიული</w:t>
      </w:r>
      <w:r w:rsidRPr="009A1C27">
        <w:rPr>
          <w:rFonts w:ascii="AcadNusx" w:hAnsi="AcadNusx"/>
        </w:rPr>
        <w:t xml:space="preserve"> </w:t>
      </w:r>
      <w:r w:rsidRPr="009A1C27">
        <w:rPr>
          <w:rFonts w:ascii="Sylfaen" w:hAnsi="Sylfaen" w:cs="Sylfaen"/>
        </w:rPr>
        <w:t>რიცხვის</w:t>
      </w:r>
      <w:r w:rsidRPr="009A1C27">
        <w:rPr>
          <w:rFonts w:ascii="AcadNusx" w:hAnsi="AcadNusx"/>
        </w:rPr>
        <w:t xml:space="preserve"> </w:t>
      </w:r>
      <w:r w:rsidRPr="009A1C27">
        <w:rPr>
          <w:rFonts w:ascii="Sylfaen" w:hAnsi="Sylfaen" w:cs="Sylfaen"/>
        </w:rPr>
        <w:t>სიდიდე</w:t>
      </w:r>
      <w:r w:rsidRPr="009A1C27">
        <w:rPr>
          <w:rFonts w:ascii="AcadNusx" w:hAnsi="AcadNusx"/>
        </w:rPr>
        <w:t xml:space="preserve"> </w:t>
      </w:r>
      <w:r w:rsidRPr="009A1C27">
        <w:rPr>
          <w:rFonts w:ascii="Sylfaen" w:hAnsi="Sylfaen" w:cs="Sylfaen"/>
        </w:rPr>
        <w:t>ა</w:t>
      </w:r>
      <w:r w:rsidRPr="009A1C27">
        <w:rPr>
          <w:rFonts w:ascii="AcadNusx" w:hAnsi="AcadNusx"/>
        </w:rPr>
        <w:t xml:space="preserve">-2-4 </w:t>
      </w:r>
      <w:r w:rsidRPr="009A1C27">
        <w:rPr>
          <w:rFonts w:ascii="Sylfaen" w:hAnsi="Sylfaen" w:cs="Sylfaen"/>
        </w:rPr>
        <w:t>ჯგუფისთვის</w:t>
      </w:r>
      <w:r w:rsidRPr="009A1C27">
        <w:rPr>
          <w:rFonts w:ascii="AcadNusx" w:hAnsi="AcadNusx"/>
        </w:rPr>
        <w:t xml:space="preserve"> </w:t>
      </w:r>
      <w:r>
        <w:rPr>
          <w:rFonts w:ascii="Sylfaen" w:hAnsi="Sylfaen"/>
        </w:rPr>
        <w:t>(CBR)</w:t>
      </w:r>
      <w:r w:rsidRPr="009A1C27">
        <w:rPr>
          <w:rFonts w:ascii="AcadNusx" w:hAnsi="AcadNusx"/>
        </w:rPr>
        <w:t xml:space="preserve"> 5%-</w:t>
      </w:r>
      <w:r w:rsidRPr="009A1C27">
        <w:rPr>
          <w:rFonts w:ascii="Sylfaen" w:hAnsi="Sylfaen" w:cs="Sylfaen"/>
        </w:rPr>
        <w:t>ს</w:t>
      </w:r>
      <w:r w:rsidRPr="009A1C27">
        <w:rPr>
          <w:rFonts w:ascii="AcadNusx" w:hAnsi="AcadNusx"/>
        </w:rPr>
        <w:t xml:space="preserve">, </w:t>
      </w:r>
      <w:r w:rsidRPr="009A1C27">
        <w:rPr>
          <w:rFonts w:ascii="Sylfaen" w:hAnsi="Sylfaen" w:cs="Sylfaen"/>
        </w:rPr>
        <w:t>ხოლო</w:t>
      </w:r>
      <w:r>
        <w:rPr>
          <w:rFonts w:ascii="Sylfaen" w:hAnsi="Sylfaen" w:cs="Sylfaen"/>
        </w:rPr>
        <w:t xml:space="preserve"> A</w:t>
      </w:r>
      <w:r w:rsidRPr="009A1C27">
        <w:rPr>
          <w:rFonts w:ascii="AcadNusx" w:hAnsi="AcadNusx"/>
        </w:rPr>
        <w:t xml:space="preserve">-4 </w:t>
      </w:r>
      <w:r w:rsidRPr="009A1C27">
        <w:rPr>
          <w:rFonts w:ascii="Sylfaen" w:hAnsi="Sylfaen" w:cs="Sylfaen"/>
        </w:rPr>
        <w:t>და</w:t>
      </w:r>
      <w:r w:rsidRPr="009A1C27">
        <w:rPr>
          <w:rFonts w:ascii="AcadNusx" w:hAnsi="AcadNusx"/>
        </w:rPr>
        <w:t xml:space="preserve"> </w:t>
      </w:r>
      <w:r>
        <w:rPr>
          <w:rFonts w:ascii="Sylfaen" w:hAnsi="Sylfaen"/>
        </w:rPr>
        <w:t>A</w:t>
      </w:r>
      <w:r w:rsidRPr="009A1C27">
        <w:rPr>
          <w:rFonts w:ascii="AcadNusx" w:hAnsi="AcadNusx"/>
        </w:rPr>
        <w:t xml:space="preserve">-6 </w:t>
      </w:r>
      <w:r w:rsidRPr="009A1C27">
        <w:rPr>
          <w:rFonts w:ascii="Sylfaen" w:hAnsi="Sylfaen" w:cs="Sylfaen"/>
        </w:rPr>
        <w:t>ჯგუფისთვის</w:t>
      </w:r>
      <w:r w:rsidRPr="009A1C27">
        <w:rPr>
          <w:rFonts w:ascii="AcadNusx" w:hAnsi="AcadNusx"/>
        </w:rPr>
        <w:t xml:space="preserve"> 30%-</w:t>
      </w:r>
      <w:r w:rsidRPr="009A1C27">
        <w:rPr>
          <w:rFonts w:ascii="Sylfaen" w:hAnsi="Sylfaen" w:cs="Sylfaen"/>
        </w:rPr>
        <w:t>ს</w:t>
      </w:r>
      <w:r w:rsidRPr="009A1C27">
        <w:rPr>
          <w:rFonts w:ascii="AcadNusx" w:hAnsi="AcadNusx"/>
        </w:rPr>
        <w:t xml:space="preserve"> </w:t>
      </w:r>
      <w:r w:rsidRPr="009A1C27">
        <w:rPr>
          <w:rFonts w:ascii="Sylfaen" w:hAnsi="Sylfaen" w:cs="Sylfaen"/>
        </w:rPr>
        <w:t>შეადგენს</w:t>
      </w:r>
      <w:r w:rsidRPr="009A1C27">
        <w:rPr>
          <w:rFonts w:ascii="AcadNusx" w:hAnsi="AcadNusx"/>
        </w:rPr>
        <w:t xml:space="preserve">. </w:t>
      </w:r>
      <w:r w:rsidRPr="009A1C27">
        <w:rPr>
          <w:rFonts w:ascii="Sylfaen" w:hAnsi="Sylfaen" w:cs="Sylfaen"/>
        </w:rPr>
        <w:t>ააშჰთჴ</w:t>
      </w:r>
      <w:r w:rsidRPr="009A1C27">
        <w:rPr>
          <w:rFonts w:ascii="AcadNusx" w:hAnsi="AcadNusx"/>
        </w:rPr>
        <w:t>-</w:t>
      </w:r>
      <w:r w:rsidRPr="009A1C27">
        <w:rPr>
          <w:rFonts w:ascii="Sylfaen" w:hAnsi="Sylfaen" w:cs="Sylfaen"/>
        </w:rPr>
        <w:t>ს</w:t>
      </w:r>
      <w:r w:rsidRPr="009A1C27">
        <w:rPr>
          <w:rFonts w:ascii="AcadNusx" w:hAnsi="AcadNusx"/>
        </w:rPr>
        <w:t xml:space="preserve"> </w:t>
      </w:r>
      <w:r w:rsidRPr="009A1C27">
        <w:rPr>
          <w:rFonts w:ascii="Sylfaen" w:hAnsi="Sylfaen" w:cs="Sylfaen"/>
        </w:rPr>
        <w:t>სახელმძღვანელოს</w:t>
      </w:r>
      <w:r w:rsidRPr="009A1C27">
        <w:rPr>
          <w:rFonts w:ascii="AcadNusx" w:hAnsi="AcadNusx"/>
        </w:rPr>
        <w:t xml:space="preserve"> </w:t>
      </w:r>
      <w:r w:rsidRPr="009A1C27">
        <w:rPr>
          <w:rFonts w:ascii="Sylfaen" w:hAnsi="Sylfaen" w:cs="Sylfaen"/>
        </w:rPr>
        <w:t>მე</w:t>
      </w:r>
      <w:r w:rsidRPr="009A1C27">
        <w:rPr>
          <w:rFonts w:ascii="AcadNusx" w:hAnsi="AcadNusx"/>
        </w:rPr>
        <w:t xml:space="preserve">-2 </w:t>
      </w:r>
      <w:r w:rsidRPr="009A1C27">
        <w:rPr>
          <w:rFonts w:ascii="Sylfaen" w:hAnsi="Sylfaen" w:cs="Sylfaen"/>
        </w:rPr>
        <w:t>ნაწილის</w:t>
      </w:r>
      <w:r w:rsidRPr="009A1C27">
        <w:rPr>
          <w:rFonts w:ascii="AcadNusx" w:hAnsi="AcadNusx"/>
        </w:rPr>
        <w:t xml:space="preserve"> (</w:t>
      </w:r>
      <w:r w:rsidRPr="009A1C27">
        <w:rPr>
          <w:rFonts w:ascii="AcadNusx" w:hAnsi="AcadNusx" w:cs="AcadNusx"/>
        </w:rPr>
        <w:t>“</w:t>
      </w:r>
      <w:r w:rsidRPr="009A1C27">
        <w:rPr>
          <w:rFonts w:ascii="Sylfaen" w:hAnsi="Sylfaen" w:cs="Sylfaen"/>
        </w:rPr>
        <w:t>ხისტი</w:t>
      </w:r>
      <w:r w:rsidRPr="009A1C27">
        <w:rPr>
          <w:rFonts w:ascii="AcadNusx" w:hAnsi="AcadNusx"/>
        </w:rPr>
        <w:t xml:space="preserve"> </w:t>
      </w:r>
      <w:r w:rsidRPr="009A1C27">
        <w:rPr>
          <w:rFonts w:ascii="Sylfaen" w:hAnsi="Sylfaen" w:cs="Sylfaen"/>
        </w:rPr>
        <w:t>საგზაო</w:t>
      </w:r>
      <w:r w:rsidRPr="009A1C27">
        <w:rPr>
          <w:rFonts w:ascii="AcadNusx" w:hAnsi="AcadNusx"/>
        </w:rPr>
        <w:t xml:space="preserve"> </w:t>
      </w:r>
      <w:r w:rsidRPr="009A1C27">
        <w:rPr>
          <w:rFonts w:ascii="Sylfaen" w:hAnsi="Sylfaen" w:cs="Sylfaen"/>
        </w:rPr>
        <w:t>სამოსების</w:t>
      </w:r>
      <w:r w:rsidRPr="009A1C27">
        <w:rPr>
          <w:rFonts w:ascii="AcadNusx" w:hAnsi="AcadNusx"/>
        </w:rPr>
        <w:t xml:space="preserve"> </w:t>
      </w:r>
      <w:r w:rsidRPr="009A1C27">
        <w:rPr>
          <w:rFonts w:ascii="Sylfaen" w:hAnsi="Sylfaen" w:cs="Sylfaen"/>
        </w:rPr>
        <w:t>პროექტირების</w:t>
      </w:r>
      <w:r w:rsidRPr="009A1C27">
        <w:rPr>
          <w:rFonts w:ascii="AcadNusx" w:hAnsi="AcadNusx"/>
        </w:rPr>
        <w:t xml:space="preserve"> </w:t>
      </w:r>
      <w:r w:rsidRPr="009A1C27">
        <w:rPr>
          <w:rFonts w:ascii="Sylfaen" w:hAnsi="Sylfaen" w:cs="Sylfaen"/>
        </w:rPr>
        <w:t>ინსტრუქციები</w:t>
      </w:r>
      <w:r w:rsidRPr="009A1C27">
        <w:rPr>
          <w:rFonts w:ascii="AcadNusx" w:hAnsi="AcadNusx" w:cs="AcadNusx"/>
        </w:rPr>
        <w:t>”</w:t>
      </w:r>
      <w:r w:rsidRPr="009A1C27">
        <w:rPr>
          <w:rFonts w:ascii="AcadNusx" w:hAnsi="AcadNusx"/>
        </w:rPr>
        <w:t xml:space="preserve">) </w:t>
      </w:r>
      <w:r>
        <w:rPr>
          <w:rFonts w:ascii="Sylfaen" w:hAnsi="Sylfaen" w:cs="Sylfaen"/>
        </w:rPr>
        <w:t>I</w:t>
      </w:r>
      <w:r w:rsidRPr="009A1C27">
        <w:rPr>
          <w:rFonts w:ascii="AcadNusx" w:hAnsi="AcadNusx"/>
        </w:rPr>
        <w:t xml:space="preserve"> </w:t>
      </w:r>
      <w:r w:rsidRPr="009A1C27">
        <w:rPr>
          <w:rFonts w:ascii="Sylfaen" w:hAnsi="Sylfaen" w:cs="Sylfaen"/>
        </w:rPr>
        <w:t>დამატებაში</w:t>
      </w:r>
      <w:r w:rsidRPr="009A1C27">
        <w:rPr>
          <w:rFonts w:ascii="AcadNusx" w:hAnsi="AcadNusx"/>
        </w:rPr>
        <w:t xml:space="preserve"> </w:t>
      </w:r>
      <w:r w:rsidRPr="009A1C27">
        <w:rPr>
          <w:rFonts w:ascii="Sylfaen" w:hAnsi="Sylfaen" w:cs="Sylfaen"/>
        </w:rPr>
        <w:t>მოცემული</w:t>
      </w:r>
      <w:r w:rsidRPr="009A1C27">
        <w:rPr>
          <w:rFonts w:ascii="AcadNusx" w:hAnsi="AcadNusx"/>
        </w:rPr>
        <w:t xml:space="preserve"> </w:t>
      </w:r>
      <w:r w:rsidRPr="009A1C27">
        <w:rPr>
          <w:rFonts w:ascii="Sylfaen" w:hAnsi="Sylfaen" w:cs="Sylfaen"/>
        </w:rPr>
        <w:t>მე</w:t>
      </w:r>
      <w:r w:rsidRPr="009A1C27">
        <w:rPr>
          <w:rFonts w:ascii="AcadNusx" w:hAnsi="AcadNusx"/>
        </w:rPr>
        <w:t xml:space="preserve">-11 </w:t>
      </w:r>
      <w:r w:rsidRPr="009A1C27">
        <w:rPr>
          <w:rFonts w:ascii="Sylfaen" w:hAnsi="Sylfaen" w:cs="Sylfaen"/>
        </w:rPr>
        <w:t>ცხრილის</w:t>
      </w:r>
      <w:r w:rsidRPr="009A1C27">
        <w:rPr>
          <w:rFonts w:ascii="AcadNusx" w:hAnsi="AcadNusx"/>
        </w:rPr>
        <w:t xml:space="preserve"> </w:t>
      </w:r>
      <w:r w:rsidRPr="009A1C27">
        <w:rPr>
          <w:rFonts w:ascii="Sylfaen" w:hAnsi="Sylfaen" w:cs="Sylfaen"/>
        </w:rPr>
        <w:t>თანახმად</w:t>
      </w:r>
      <w:r w:rsidRPr="009A1C27">
        <w:rPr>
          <w:rFonts w:ascii="AcadNusx" w:hAnsi="AcadNusx"/>
        </w:rPr>
        <w:t xml:space="preserve">, </w:t>
      </w:r>
      <w:r>
        <w:rPr>
          <w:rFonts w:ascii="Sylfaen" w:hAnsi="Sylfaen" w:cs="Sylfaen"/>
        </w:rPr>
        <w:t>A</w:t>
      </w:r>
      <w:r w:rsidRPr="009A1C27">
        <w:rPr>
          <w:rFonts w:ascii="AcadNusx" w:hAnsi="AcadNusx"/>
        </w:rPr>
        <w:t xml:space="preserve">-4 </w:t>
      </w:r>
      <w:r w:rsidRPr="009A1C27">
        <w:rPr>
          <w:rFonts w:ascii="Sylfaen" w:hAnsi="Sylfaen" w:cs="Sylfaen"/>
        </w:rPr>
        <w:t>და</w:t>
      </w:r>
      <w:r w:rsidRPr="009A1C27">
        <w:rPr>
          <w:rFonts w:ascii="AcadNusx" w:hAnsi="AcadNusx"/>
        </w:rPr>
        <w:t xml:space="preserve"> </w:t>
      </w:r>
      <w:r>
        <w:rPr>
          <w:rFonts w:ascii="Sylfaen" w:hAnsi="Sylfaen" w:cs="Sylfaen"/>
        </w:rPr>
        <w:t>A</w:t>
      </w:r>
      <w:r w:rsidRPr="009A1C27">
        <w:rPr>
          <w:rFonts w:ascii="AcadNusx" w:hAnsi="AcadNusx"/>
        </w:rPr>
        <w:t xml:space="preserve">-6 </w:t>
      </w:r>
      <w:r w:rsidRPr="009A1C27">
        <w:rPr>
          <w:rFonts w:ascii="Sylfaen" w:hAnsi="Sylfaen" w:cs="Sylfaen"/>
        </w:rPr>
        <w:t>ჯგუფის</w:t>
      </w:r>
      <w:r w:rsidRPr="009A1C27">
        <w:rPr>
          <w:rFonts w:ascii="AcadNusx" w:hAnsi="AcadNusx"/>
        </w:rPr>
        <w:t xml:space="preserve"> </w:t>
      </w:r>
      <w:r w:rsidRPr="009A1C27">
        <w:rPr>
          <w:rFonts w:ascii="Sylfaen" w:hAnsi="Sylfaen" w:cs="Sylfaen"/>
        </w:rPr>
        <w:t>გრუნტებისთვის</w:t>
      </w:r>
      <w:r w:rsidRPr="009A1C27">
        <w:rPr>
          <w:rFonts w:ascii="AcadNusx" w:hAnsi="AcadNusx"/>
        </w:rPr>
        <w:t xml:space="preserve"> </w:t>
      </w:r>
      <w:r>
        <w:rPr>
          <w:rFonts w:ascii="Sylfaen" w:hAnsi="Sylfaen" w:cs="Sylfaen"/>
        </w:rPr>
        <w:t>k</w:t>
      </w:r>
      <w:r w:rsidRPr="009A1C27">
        <w:rPr>
          <w:rFonts w:ascii="AcadNusx" w:hAnsi="AcadNusx"/>
        </w:rPr>
        <w:t>-</w:t>
      </w:r>
      <w:r w:rsidRPr="009A1C27">
        <w:rPr>
          <w:rFonts w:ascii="Sylfaen" w:hAnsi="Sylfaen" w:cs="Sylfaen"/>
        </w:rPr>
        <w:t>ს</w:t>
      </w:r>
      <w:r w:rsidRPr="009A1C27">
        <w:rPr>
          <w:rFonts w:ascii="AcadNusx" w:hAnsi="AcadNusx"/>
        </w:rPr>
        <w:t xml:space="preserve"> </w:t>
      </w:r>
      <w:r w:rsidRPr="009A1C27">
        <w:rPr>
          <w:rFonts w:ascii="Sylfaen" w:hAnsi="Sylfaen" w:cs="Sylfaen"/>
        </w:rPr>
        <w:t>სიდიდეები</w:t>
      </w:r>
      <w:r w:rsidRPr="009A1C27">
        <w:rPr>
          <w:rFonts w:ascii="AcadNusx" w:hAnsi="AcadNusx"/>
        </w:rPr>
        <w:t xml:space="preserve"> </w:t>
      </w:r>
      <w:r w:rsidRPr="009A1C27">
        <w:rPr>
          <w:rFonts w:ascii="Sylfaen" w:hAnsi="Sylfaen" w:cs="Sylfaen"/>
        </w:rPr>
        <w:t>შეიძლება</w:t>
      </w:r>
      <w:r w:rsidRPr="009A1C27">
        <w:rPr>
          <w:rFonts w:ascii="AcadNusx" w:hAnsi="AcadNusx"/>
        </w:rPr>
        <w:t xml:space="preserve"> </w:t>
      </w:r>
      <w:r w:rsidRPr="009A1C27">
        <w:rPr>
          <w:rFonts w:ascii="Sylfaen" w:hAnsi="Sylfaen" w:cs="Sylfaen"/>
        </w:rPr>
        <w:t>აღებულ</w:t>
      </w:r>
      <w:r w:rsidRPr="009A1C27">
        <w:rPr>
          <w:rFonts w:ascii="AcadNusx" w:hAnsi="AcadNusx"/>
        </w:rPr>
        <w:t xml:space="preserve"> </w:t>
      </w:r>
      <w:r w:rsidRPr="009A1C27">
        <w:rPr>
          <w:rFonts w:ascii="Sylfaen" w:hAnsi="Sylfaen" w:cs="Sylfaen"/>
        </w:rPr>
        <w:t>იქნან</w:t>
      </w:r>
      <w:r w:rsidRPr="009A1C27">
        <w:rPr>
          <w:rFonts w:ascii="AcadNusx" w:hAnsi="AcadNusx"/>
        </w:rPr>
        <w:t xml:space="preserve"> 10-60 </w:t>
      </w:r>
      <w:r w:rsidRPr="009A1C27">
        <w:rPr>
          <w:rFonts w:ascii="Sylfaen" w:hAnsi="Sylfaen" w:cs="Sylfaen"/>
        </w:rPr>
        <w:t>კპა</w:t>
      </w:r>
      <w:r w:rsidRPr="009A1C27">
        <w:rPr>
          <w:rFonts w:ascii="AcadNusx" w:hAnsi="AcadNusx"/>
        </w:rPr>
        <w:t>/</w:t>
      </w:r>
      <w:r w:rsidRPr="009A1C27">
        <w:rPr>
          <w:rFonts w:ascii="Sylfaen" w:hAnsi="Sylfaen" w:cs="Sylfaen"/>
        </w:rPr>
        <w:t>მმ</w:t>
      </w:r>
      <w:r>
        <w:rPr>
          <w:rFonts w:ascii="AcadNusx" w:hAnsi="AcadNusx"/>
        </w:rPr>
        <w:t xml:space="preserve"> (25-225 </w:t>
      </w:r>
      <w:r>
        <w:rPr>
          <w:rFonts w:ascii="Sylfaen" w:hAnsi="Sylfaen"/>
        </w:rPr>
        <w:t>psi/in</w:t>
      </w:r>
      <w:r w:rsidRPr="009A1C27">
        <w:rPr>
          <w:rFonts w:ascii="AcadNusx" w:hAnsi="AcadNusx"/>
        </w:rPr>
        <w:t xml:space="preserve">) </w:t>
      </w:r>
      <w:r w:rsidRPr="009A1C27">
        <w:rPr>
          <w:rFonts w:ascii="Sylfaen" w:hAnsi="Sylfaen" w:cs="Sylfaen"/>
        </w:rPr>
        <w:t>დიაპაზონში</w:t>
      </w:r>
      <w:r w:rsidRPr="009A1C27">
        <w:rPr>
          <w:rFonts w:ascii="AcadNusx" w:hAnsi="AcadNusx"/>
        </w:rPr>
        <w:t xml:space="preserve"> </w:t>
      </w:r>
      <w:r w:rsidRPr="009A1C27">
        <w:rPr>
          <w:rFonts w:ascii="Sylfaen" w:hAnsi="Sylfaen" w:cs="Sylfaen"/>
        </w:rPr>
        <w:t>ხოლო</w:t>
      </w:r>
      <w:r w:rsidRPr="009A1C27">
        <w:rPr>
          <w:rFonts w:ascii="AcadNusx" w:hAnsi="AcadNusx"/>
        </w:rPr>
        <w:t xml:space="preserve"> </w:t>
      </w:r>
      <w:r>
        <w:rPr>
          <w:rFonts w:ascii="Sylfaen" w:hAnsi="Sylfaen" w:cs="Sylfaen"/>
        </w:rPr>
        <w:t>A</w:t>
      </w:r>
      <w:r w:rsidRPr="009A1C27">
        <w:rPr>
          <w:rFonts w:ascii="AcadNusx" w:hAnsi="AcadNusx"/>
        </w:rPr>
        <w:t xml:space="preserve">-2-4 </w:t>
      </w:r>
      <w:r w:rsidRPr="009A1C27">
        <w:rPr>
          <w:rFonts w:ascii="Sylfaen" w:hAnsi="Sylfaen" w:cs="Sylfaen"/>
        </w:rPr>
        <w:t>ჯგუფის</w:t>
      </w:r>
      <w:r w:rsidRPr="009A1C27">
        <w:rPr>
          <w:rFonts w:ascii="AcadNusx" w:hAnsi="AcadNusx"/>
        </w:rPr>
        <w:t xml:space="preserve"> </w:t>
      </w:r>
      <w:r w:rsidRPr="009A1C27">
        <w:rPr>
          <w:rFonts w:ascii="Sylfaen" w:hAnsi="Sylfaen" w:cs="Sylfaen"/>
        </w:rPr>
        <w:t>გრუნტებისთვის</w:t>
      </w:r>
      <w:r w:rsidRPr="009A1C27">
        <w:rPr>
          <w:rFonts w:ascii="AcadNusx" w:hAnsi="AcadNusx"/>
        </w:rPr>
        <w:t xml:space="preserve"> </w:t>
      </w:r>
      <w:r w:rsidRPr="009A1C27">
        <w:rPr>
          <w:rFonts w:ascii="AcadNusx" w:hAnsi="AcadNusx" w:cs="AcadNusx"/>
        </w:rPr>
        <w:t>–</w:t>
      </w:r>
      <w:r w:rsidRPr="009A1C27">
        <w:rPr>
          <w:rFonts w:ascii="AcadNusx" w:hAnsi="AcadNusx"/>
        </w:rPr>
        <w:t xml:space="preserve"> 300-500 </w:t>
      </w:r>
      <w:r>
        <w:rPr>
          <w:rFonts w:ascii="Sylfaen" w:hAnsi="Sylfaen"/>
        </w:rPr>
        <w:t>psi/in</w:t>
      </w:r>
      <w:r w:rsidRPr="009A1C27">
        <w:rPr>
          <w:rFonts w:ascii="AcadNusx" w:hAnsi="AcadNusx"/>
        </w:rPr>
        <w:t xml:space="preserve"> (81-135</w:t>
      </w:r>
      <w:r>
        <w:rPr>
          <w:rFonts w:ascii="AcadNusx" w:hAnsi="AcadNusx"/>
        </w:rPr>
        <w:t xml:space="preserve"> </w:t>
      </w:r>
      <w:r>
        <w:rPr>
          <w:rFonts w:ascii="Sylfaen" w:hAnsi="Sylfaen"/>
        </w:rPr>
        <w:t>kpa/mm</w:t>
      </w:r>
      <w:r w:rsidRPr="009A1C27">
        <w:rPr>
          <w:rFonts w:ascii="AcadNusx" w:hAnsi="AcadNusx"/>
        </w:rPr>
        <w:t xml:space="preserve">). </w:t>
      </w:r>
      <w:r w:rsidRPr="009A1C27">
        <w:rPr>
          <w:rFonts w:ascii="Sylfaen" w:hAnsi="Sylfaen" w:cs="Sylfaen"/>
        </w:rPr>
        <w:t>კალიფორნიული</w:t>
      </w:r>
      <w:r w:rsidRPr="009A1C27">
        <w:rPr>
          <w:rFonts w:ascii="AcadNusx" w:hAnsi="AcadNusx"/>
        </w:rPr>
        <w:t xml:space="preserve"> </w:t>
      </w:r>
      <w:r w:rsidRPr="009A1C27">
        <w:rPr>
          <w:rFonts w:ascii="Sylfaen" w:hAnsi="Sylfaen" w:cs="Sylfaen"/>
        </w:rPr>
        <w:t>რიცხვის</w:t>
      </w:r>
      <w:r w:rsidRPr="009A1C27">
        <w:rPr>
          <w:rFonts w:ascii="AcadNusx" w:hAnsi="AcadNusx"/>
        </w:rPr>
        <w:t xml:space="preserve"> </w:t>
      </w:r>
      <w:r w:rsidRPr="009A1C27">
        <w:rPr>
          <w:rFonts w:ascii="Sylfaen" w:hAnsi="Sylfaen" w:cs="Sylfaen"/>
        </w:rPr>
        <w:t>განსაზღვრული</w:t>
      </w:r>
      <w:r w:rsidRPr="009A1C27">
        <w:rPr>
          <w:rFonts w:ascii="AcadNusx" w:hAnsi="AcadNusx"/>
        </w:rPr>
        <w:t xml:space="preserve"> </w:t>
      </w:r>
      <w:r w:rsidRPr="009A1C27">
        <w:rPr>
          <w:rFonts w:ascii="Sylfaen" w:hAnsi="Sylfaen" w:cs="Sylfaen"/>
        </w:rPr>
        <w:t>სიდიდის</w:t>
      </w:r>
      <w:r w:rsidRPr="009A1C27">
        <w:rPr>
          <w:rFonts w:ascii="AcadNusx" w:hAnsi="AcadNusx"/>
        </w:rPr>
        <w:t xml:space="preserve"> </w:t>
      </w:r>
      <w:r w:rsidRPr="009A1C27">
        <w:rPr>
          <w:rFonts w:ascii="Sylfaen" w:hAnsi="Sylfaen" w:cs="Sylfaen"/>
        </w:rPr>
        <w:t>გათვალისწინებით</w:t>
      </w:r>
      <w:r w:rsidRPr="009A1C27">
        <w:rPr>
          <w:rFonts w:ascii="AcadNusx" w:hAnsi="AcadNusx"/>
        </w:rPr>
        <w:t xml:space="preserve">, </w:t>
      </w:r>
      <w:r>
        <w:rPr>
          <w:rFonts w:ascii="Sylfaen" w:hAnsi="Sylfaen" w:cs="Sylfaen"/>
        </w:rPr>
        <w:t>AASHTO</w:t>
      </w:r>
      <w:r w:rsidRPr="009A1C27">
        <w:rPr>
          <w:rFonts w:ascii="AcadNusx" w:hAnsi="AcadNusx"/>
        </w:rPr>
        <w:t>-</w:t>
      </w:r>
      <w:r w:rsidRPr="009A1C27">
        <w:rPr>
          <w:rFonts w:ascii="Sylfaen" w:hAnsi="Sylfaen" w:cs="Sylfaen"/>
        </w:rPr>
        <w:t>ს</w:t>
      </w:r>
      <w:r w:rsidRPr="009A1C27">
        <w:rPr>
          <w:rFonts w:ascii="AcadNusx" w:hAnsi="AcadNusx"/>
        </w:rPr>
        <w:t xml:space="preserve">  </w:t>
      </w:r>
      <w:r w:rsidRPr="009A1C27">
        <w:rPr>
          <w:rFonts w:ascii="AcadNusx" w:hAnsi="AcadNusx" w:cs="AcadNusx"/>
        </w:rPr>
        <w:t>“</w:t>
      </w:r>
      <w:r w:rsidRPr="009A1C27">
        <w:rPr>
          <w:rFonts w:ascii="Sylfaen" w:hAnsi="Sylfaen" w:cs="Sylfaen"/>
        </w:rPr>
        <w:t>ხისტი</w:t>
      </w:r>
      <w:r w:rsidRPr="009A1C27">
        <w:rPr>
          <w:rFonts w:ascii="AcadNusx" w:hAnsi="AcadNusx"/>
        </w:rPr>
        <w:t xml:space="preserve"> </w:t>
      </w:r>
      <w:r w:rsidRPr="009A1C27">
        <w:rPr>
          <w:rFonts w:ascii="Sylfaen" w:hAnsi="Sylfaen" w:cs="Sylfaen"/>
        </w:rPr>
        <w:t>საგზაო</w:t>
      </w:r>
      <w:r w:rsidRPr="009A1C27">
        <w:rPr>
          <w:rFonts w:ascii="AcadNusx" w:hAnsi="AcadNusx"/>
        </w:rPr>
        <w:t xml:space="preserve"> </w:t>
      </w:r>
      <w:r w:rsidRPr="009A1C27">
        <w:rPr>
          <w:rFonts w:ascii="Sylfaen" w:hAnsi="Sylfaen" w:cs="Sylfaen"/>
        </w:rPr>
        <w:t>სამოსების</w:t>
      </w:r>
      <w:r w:rsidRPr="009A1C27">
        <w:rPr>
          <w:rFonts w:ascii="AcadNusx" w:hAnsi="AcadNusx"/>
        </w:rPr>
        <w:t xml:space="preserve"> </w:t>
      </w:r>
      <w:r w:rsidRPr="009A1C27">
        <w:rPr>
          <w:rFonts w:ascii="Sylfaen" w:hAnsi="Sylfaen" w:cs="Sylfaen"/>
        </w:rPr>
        <w:t>კონსტრუქციული</w:t>
      </w:r>
      <w:r w:rsidRPr="009A1C27">
        <w:rPr>
          <w:rFonts w:ascii="AcadNusx" w:hAnsi="AcadNusx"/>
        </w:rPr>
        <w:t xml:space="preserve"> </w:t>
      </w:r>
      <w:r w:rsidRPr="009A1C27">
        <w:rPr>
          <w:rFonts w:ascii="Sylfaen" w:hAnsi="Sylfaen" w:cs="Sylfaen"/>
        </w:rPr>
        <w:t>ელემენტების</w:t>
      </w:r>
      <w:r w:rsidRPr="009A1C27">
        <w:rPr>
          <w:rFonts w:ascii="AcadNusx" w:hAnsi="AcadNusx"/>
        </w:rPr>
        <w:t xml:space="preserve"> </w:t>
      </w:r>
      <w:r w:rsidRPr="009A1C27">
        <w:rPr>
          <w:rFonts w:ascii="Sylfaen" w:hAnsi="Sylfaen" w:cs="Sylfaen"/>
        </w:rPr>
        <w:t>ინსტრუქციებში</w:t>
      </w:r>
      <w:r w:rsidRPr="009A1C27">
        <w:rPr>
          <w:rFonts w:ascii="AcadNusx" w:hAnsi="AcadNusx" w:cs="AcadNusx"/>
        </w:rPr>
        <w:t>”</w:t>
      </w:r>
      <w:r w:rsidRPr="009A1C27">
        <w:rPr>
          <w:rFonts w:ascii="AcadNusx" w:hAnsi="AcadNusx"/>
        </w:rPr>
        <w:t xml:space="preserve"> </w:t>
      </w:r>
      <w:r w:rsidRPr="009A1C27">
        <w:rPr>
          <w:rFonts w:ascii="Sylfaen" w:hAnsi="Sylfaen" w:cs="Sylfaen"/>
        </w:rPr>
        <w:t>მოცემული</w:t>
      </w:r>
      <w:r w:rsidRPr="009A1C27">
        <w:rPr>
          <w:rFonts w:ascii="AcadNusx" w:hAnsi="AcadNusx"/>
        </w:rPr>
        <w:t xml:space="preserve"> 41-</w:t>
      </w:r>
      <w:r w:rsidRPr="009A1C27">
        <w:rPr>
          <w:rFonts w:ascii="Sylfaen" w:hAnsi="Sylfaen" w:cs="Sylfaen"/>
        </w:rPr>
        <w:t>ე</w:t>
      </w:r>
      <w:r w:rsidRPr="009A1C27">
        <w:rPr>
          <w:rFonts w:ascii="AcadNusx" w:hAnsi="AcadNusx"/>
        </w:rPr>
        <w:t xml:space="preserve"> </w:t>
      </w:r>
      <w:r w:rsidRPr="009A1C27">
        <w:rPr>
          <w:rFonts w:ascii="Sylfaen" w:hAnsi="Sylfaen" w:cs="Sylfaen"/>
        </w:rPr>
        <w:t>სურათის</w:t>
      </w:r>
      <w:r w:rsidRPr="009A1C27">
        <w:rPr>
          <w:rFonts w:ascii="AcadNusx" w:hAnsi="AcadNusx"/>
        </w:rPr>
        <w:t xml:space="preserve"> (</w:t>
      </w:r>
      <w:r w:rsidRPr="009A1C27">
        <w:rPr>
          <w:rFonts w:ascii="Sylfaen" w:hAnsi="Sylfaen" w:cs="Sylfaen"/>
        </w:rPr>
        <w:t>გრაფიკის</w:t>
      </w:r>
      <w:r w:rsidRPr="009A1C27">
        <w:rPr>
          <w:rFonts w:ascii="AcadNusx" w:hAnsi="AcadNusx"/>
        </w:rPr>
        <w:t xml:space="preserve">) </w:t>
      </w:r>
      <w:r w:rsidRPr="009A1C27">
        <w:rPr>
          <w:rFonts w:ascii="Sylfaen" w:hAnsi="Sylfaen" w:cs="Sylfaen"/>
        </w:rPr>
        <w:t>შესაბამისად</w:t>
      </w:r>
      <w:r>
        <w:rPr>
          <w:rFonts w:ascii="AcadNusx" w:hAnsi="AcadNusx"/>
        </w:rPr>
        <w:t xml:space="preserve">, </w:t>
      </w:r>
      <w:r>
        <w:rPr>
          <w:rFonts w:ascii="Sylfaen" w:hAnsi="Sylfaen"/>
        </w:rPr>
        <w:t>CBR</w:t>
      </w:r>
      <w:r w:rsidRPr="009A1C27">
        <w:rPr>
          <w:rFonts w:ascii="AcadNusx" w:hAnsi="AcadNusx"/>
        </w:rPr>
        <w:t>=5%-</w:t>
      </w:r>
      <w:r w:rsidRPr="009A1C27">
        <w:rPr>
          <w:rFonts w:ascii="Sylfaen" w:hAnsi="Sylfaen" w:cs="Sylfaen"/>
        </w:rPr>
        <w:t>ის</w:t>
      </w:r>
      <w:r w:rsidRPr="009A1C27">
        <w:rPr>
          <w:rFonts w:ascii="AcadNusx" w:hAnsi="AcadNusx"/>
        </w:rPr>
        <w:t xml:space="preserve"> </w:t>
      </w:r>
      <w:r w:rsidRPr="009A1C27">
        <w:rPr>
          <w:rFonts w:ascii="Sylfaen" w:hAnsi="Sylfaen" w:cs="Sylfaen"/>
        </w:rPr>
        <w:t>ტოლის</w:t>
      </w:r>
      <w:r w:rsidRPr="009A1C27">
        <w:rPr>
          <w:rFonts w:ascii="AcadNusx" w:hAnsi="AcadNusx"/>
        </w:rPr>
        <w:t xml:space="preserve"> </w:t>
      </w:r>
      <w:r w:rsidRPr="009A1C27">
        <w:rPr>
          <w:rFonts w:ascii="Sylfaen" w:hAnsi="Sylfaen" w:cs="Sylfaen"/>
        </w:rPr>
        <w:t>კალიფორნიული</w:t>
      </w:r>
      <w:r w:rsidRPr="009A1C27">
        <w:rPr>
          <w:rFonts w:ascii="AcadNusx" w:hAnsi="AcadNusx"/>
        </w:rPr>
        <w:t xml:space="preserve"> </w:t>
      </w:r>
      <w:r w:rsidRPr="009A1C27">
        <w:rPr>
          <w:rFonts w:ascii="Sylfaen" w:hAnsi="Sylfaen" w:cs="Sylfaen"/>
        </w:rPr>
        <w:t>რიცხვის</w:t>
      </w:r>
      <w:r w:rsidRPr="009A1C27">
        <w:rPr>
          <w:rFonts w:ascii="AcadNusx" w:hAnsi="AcadNusx"/>
        </w:rPr>
        <w:t xml:space="preserve"> </w:t>
      </w:r>
      <w:r w:rsidRPr="009A1C27">
        <w:rPr>
          <w:rFonts w:ascii="Sylfaen" w:hAnsi="Sylfaen" w:cs="Sylfaen"/>
        </w:rPr>
        <w:t>მქონე</w:t>
      </w:r>
      <w:r w:rsidRPr="009A1C27">
        <w:rPr>
          <w:rFonts w:ascii="AcadNusx" w:hAnsi="AcadNusx"/>
        </w:rPr>
        <w:t xml:space="preserve"> </w:t>
      </w:r>
      <w:r w:rsidRPr="009A1C27">
        <w:rPr>
          <w:rFonts w:ascii="Sylfaen" w:hAnsi="Sylfaen" w:cs="Sylfaen"/>
        </w:rPr>
        <w:t>მიწის</w:t>
      </w:r>
      <w:r w:rsidRPr="009A1C27">
        <w:rPr>
          <w:rFonts w:ascii="AcadNusx" w:hAnsi="AcadNusx"/>
        </w:rPr>
        <w:t xml:space="preserve"> </w:t>
      </w:r>
      <w:r w:rsidRPr="009A1C27">
        <w:rPr>
          <w:rFonts w:ascii="Sylfaen" w:hAnsi="Sylfaen" w:cs="Sylfaen"/>
        </w:rPr>
        <w:t>ვაკისისთვის</w:t>
      </w:r>
      <w:r w:rsidRPr="009A1C27">
        <w:rPr>
          <w:rFonts w:ascii="AcadNusx" w:hAnsi="AcadNusx"/>
        </w:rPr>
        <w:t xml:space="preserve"> </w:t>
      </w:r>
      <w:r w:rsidRPr="009A1C27">
        <w:rPr>
          <w:rFonts w:ascii="Sylfaen" w:hAnsi="Sylfaen" w:cs="Sylfaen"/>
        </w:rPr>
        <w:t>კ</w:t>
      </w:r>
      <w:r w:rsidRPr="009A1C27">
        <w:rPr>
          <w:rFonts w:ascii="AcadNusx" w:hAnsi="AcadNusx"/>
        </w:rPr>
        <w:t>-</w:t>
      </w:r>
      <w:r w:rsidRPr="009A1C27">
        <w:rPr>
          <w:rFonts w:ascii="Sylfaen" w:hAnsi="Sylfaen" w:cs="Sylfaen"/>
        </w:rPr>
        <w:t>ს</w:t>
      </w:r>
      <w:r w:rsidRPr="009A1C27">
        <w:rPr>
          <w:rFonts w:ascii="AcadNusx" w:hAnsi="AcadNusx"/>
        </w:rPr>
        <w:t xml:space="preserve"> </w:t>
      </w:r>
      <w:r w:rsidRPr="009A1C27">
        <w:rPr>
          <w:rFonts w:ascii="Sylfaen" w:hAnsi="Sylfaen" w:cs="Sylfaen"/>
        </w:rPr>
        <w:t>სიდიდეების</w:t>
      </w:r>
      <w:r w:rsidRPr="009A1C27">
        <w:rPr>
          <w:rFonts w:ascii="AcadNusx" w:hAnsi="AcadNusx"/>
        </w:rPr>
        <w:t xml:space="preserve"> </w:t>
      </w:r>
      <w:r w:rsidRPr="009A1C27">
        <w:rPr>
          <w:rFonts w:ascii="Sylfaen" w:hAnsi="Sylfaen" w:cs="Sylfaen"/>
        </w:rPr>
        <w:t>განისაზღვრება</w:t>
      </w:r>
      <w:r w:rsidRPr="009A1C27">
        <w:rPr>
          <w:rFonts w:ascii="AcadNusx" w:hAnsi="AcadNusx"/>
        </w:rPr>
        <w:t xml:space="preserve"> 11 </w:t>
      </w:r>
      <w:r w:rsidRPr="009A1C27">
        <w:rPr>
          <w:rFonts w:ascii="Sylfaen" w:hAnsi="Sylfaen" w:cs="Sylfaen"/>
        </w:rPr>
        <w:t>კპა</w:t>
      </w:r>
      <w:r w:rsidRPr="009A1C27">
        <w:rPr>
          <w:rFonts w:ascii="AcadNusx" w:hAnsi="AcadNusx"/>
        </w:rPr>
        <w:t>/</w:t>
      </w:r>
      <w:r w:rsidRPr="009A1C27">
        <w:rPr>
          <w:rFonts w:ascii="Sylfaen" w:hAnsi="Sylfaen" w:cs="Sylfaen"/>
        </w:rPr>
        <w:t>მმ</w:t>
      </w:r>
      <w:r w:rsidRPr="009A1C27">
        <w:rPr>
          <w:rFonts w:ascii="AcadNusx" w:hAnsi="AcadNusx"/>
        </w:rPr>
        <w:t>-</w:t>
      </w:r>
      <w:r w:rsidRPr="009A1C27">
        <w:rPr>
          <w:rFonts w:ascii="Sylfaen" w:hAnsi="Sylfaen" w:cs="Sylfaen"/>
        </w:rPr>
        <w:t>დან</w:t>
      </w:r>
      <w:r w:rsidRPr="009A1C27">
        <w:rPr>
          <w:rFonts w:ascii="AcadNusx" w:hAnsi="AcadNusx"/>
        </w:rPr>
        <w:t xml:space="preserve"> (40 </w:t>
      </w:r>
      <w:r>
        <w:rPr>
          <w:rFonts w:ascii="Sylfaen" w:hAnsi="Sylfaen"/>
        </w:rPr>
        <w:t>psi/in</w:t>
      </w:r>
      <w:r w:rsidRPr="009A1C27">
        <w:rPr>
          <w:rFonts w:ascii="AcadNusx" w:hAnsi="AcadNusx"/>
        </w:rPr>
        <w:t xml:space="preserve">) 220 </w:t>
      </w:r>
      <w:r w:rsidR="00DD4042">
        <w:rPr>
          <w:rFonts w:ascii="Sylfaen" w:hAnsi="Sylfaen"/>
        </w:rPr>
        <w:t>kpa/mm</w:t>
      </w:r>
      <w:r w:rsidR="00DD4042">
        <w:rPr>
          <w:rFonts w:ascii="Sylfaen" w:hAnsi="Sylfaen" w:cs="Sylfaen"/>
        </w:rPr>
        <w:t>-</w:t>
      </w:r>
      <w:r w:rsidRPr="009A1C27">
        <w:rPr>
          <w:rFonts w:ascii="Sylfaen" w:hAnsi="Sylfaen" w:cs="Sylfaen"/>
        </w:rPr>
        <w:t>მდე</w:t>
      </w:r>
      <w:r w:rsidRPr="009A1C27">
        <w:rPr>
          <w:rFonts w:ascii="AcadNusx" w:hAnsi="AcadNusx"/>
        </w:rPr>
        <w:t xml:space="preserve"> (500 </w:t>
      </w:r>
      <w:r w:rsidRPr="009A1C27">
        <w:rPr>
          <w:rFonts w:ascii="Sylfaen" w:hAnsi="Sylfaen" w:cs="Sylfaen"/>
        </w:rPr>
        <w:t>პსი</w:t>
      </w:r>
      <w:r w:rsidRPr="009A1C27">
        <w:rPr>
          <w:rFonts w:ascii="AcadNusx" w:hAnsi="AcadNusx"/>
        </w:rPr>
        <w:t>/</w:t>
      </w:r>
      <w:r w:rsidRPr="009A1C27">
        <w:rPr>
          <w:rFonts w:ascii="Sylfaen" w:hAnsi="Sylfaen" w:cs="Sylfaen"/>
        </w:rPr>
        <w:t>ინ</w:t>
      </w:r>
      <w:r w:rsidRPr="009A1C27">
        <w:rPr>
          <w:rFonts w:ascii="AcadNusx" w:hAnsi="AcadNusx"/>
        </w:rPr>
        <w:t xml:space="preserve">) </w:t>
      </w:r>
      <w:r w:rsidRPr="009A1C27">
        <w:rPr>
          <w:rFonts w:ascii="Sylfaen" w:hAnsi="Sylfaen" w:cs="Sylfaen"/>
        </w:rPr>
        <w:t>შუალედით</w:t>
      </w:r>
      <w:r w:rsidRPr="009A1C27">
        <w:rPr>
          <w:rFonts w:ascii="AcadNusx" w:hAnsi="AcadNusx"/>
        </w:rPr>
        <w:t xml:space="preserve">, </w:t>
      </w:r>
      <w:r w:rsidRPr="009A1C27">
        <w:rPr>
          <w:rFonts w:ascii="Sylfaen" w:hAnsi="Sylfaen" w:cs="Sylfaen"/>
        </w:rPr>
        <w:t>რომლის</w:t>
      </w:r>
      <w:r w:rsidRPr="009A1C27">
        <w:rPr>
          <w:rFonts w:ascii="AcadNusx" w:hAnsi="AcadNusx"/>
        </w:rPr>
        <w:t xml:space="preserve"> </w:t>
      </w:r>
      <w:r w:rsidRPr="009A1C27">
        <w:rPr>
          <w:rFonts w:ascii="Sylfaen" w:hAnsi="Sylfaen" w:cs="Sylfaen"/>
        </w:rPr>
        <w:t>გასაშუალოებული</w:t>
      </w:r>
      <w:r w:rsidRPr="009A1C27">
        <w:rPr>
          <w:rFonts w:ascii="AcadNusx" w:hAnsi="AcadNusx"/>
        </w:rPr>
        <w:t xml:space="preserve"> </w:t>
      </w:r>
      <w:r w:rsidRPr="009A1C27">
        <w:rPr>
          <w:rFonts w:ascii="Sylfaen" w:hAnsi="Sylfaen" w:cs="Sylfaen"/>
        </w:rPr>
        <w:t>სიდიდე</w:t>
      </w:r>
      <w:r w:rsidRPr="009A1C27">
        <w:rPr>
          <w:rFonts w:ascii="AcadNusx" w:hAnsi="AcadNusx"/>
        </w:rPr>
        <w:t xml:space="preserve"> </w:t>
      </w:r>
      <w:r w:rsidRPr="009A1C27">
        <w:rPr>
          <w:rFonts w:ascii="Sylfaen" w:hAnsi="Sylfaen" w:cs="Sylfaen"/>
        </w:rPr>
        <w:t>შეადგენს</w:t>
      </w:r>
      <w:r w:rsidRPr="009A1C27">
        <w:rPr>
          <w:rFonts w:ascii="AcadNusx" w:hAnsi="AcadNusx"/>
        </w:rPr>
        <w:t xml:space="preserve"> 35 </w:t>
      </w:r>
      <w:r w:rsidR="00DD4042">
        <w:rPr>
          <w:rFonts w:ascii="Sylfaen" w:hAnsi="Sylfaen"/>
        </w:rPr>
        <w:t>kpa/mm</w:t>
      </w:r>
      <w:r w:rsidRPr="009A1C27">
        <w:rPr>
          <w:rFonts w:ascii="AcadNusx" w:hAnsi="AcadNusx"/>
        </w:rPr>
        <w:t>-</w:t>
      </w:r>
      <w:r w:rsidRPr="009A1C27">
        <w:rPr>
          <w:rFonts w:ascii="Sylfaen" w:hAnsi="Sylfaen" w:cs="Sylfaen"/>
        </w:rPr>
        <w:t>ს</w:t>
      </w:r>
      <w:r w:rsidRPr="009A1C27">
        <w:rPr>
          <w:rFonts w:ascii="AcadNusx" w:hAnsi="AcadNusx"/>
        </w:rPr>
        <w:t xml:space="preserve"> (130 </w:t>
      </w:r>
      <w:r w:rsidRPr="009A1C27">
        <w:rPr>
          <w:rFonts w:ascii="Sylfaen" w:hAnsi="Sylfaen" w:cs="Sylfaen"/>
        </w:rPr>
        <w:t>პსი</w:t>
      </w:r>
      <w:r w:rsidRPr="009A1C27">
        <w:rPr>
          <w:rFonts w:ascii="AcadNusx" w:hAnsi="AcadNusx"/>
        </w:rPr>
        <w:t>/</w:t>
      </w:r>
      <w:r w:rsidRPr="009A1C27">
        <w:rPr>
          <w:rFonts w:ascii="Sylfaen" w:hAnsi="Sylfaen" w:cs="Sylfaen"/>
        </w:rPr>
        <w:t>ინ</w:t>
      </w:r>
      <w:r w:rsidRPr="009A1C27">
        <w:rPr>
          <w:rFonts w:ascii="AcadNusx" w:hAnsi="AcadNusx"/>
        </w:rPr>
        <w:t xml:space="preserve">), </w:t>
      </w:r>
      <w:r w:rsidRPr="009A1C27">
        <w:rPr>
          <w:rFonts w:ascii="Sylfaen" w:hAnsi="Sylfaen" w:cs="Sylfaen"/>
        </w:rPr>
        <w:t>ხოლო</w:t>
      </w:r>
      <w:r w:rsidRPr="009A1C27">
        <w:rPr>
          <w:rFonts w:ascii="AcadNusx" w:hAnsi="AcadNusx"/>
        </w:rPr>
        <w:t xml:space="preserve"> </w:t>
      </w:r>
      <w:r w:rsidR="00DD4042">
        <w:rPr>
          <w:rFonts w:ascii="Sylfaen" w:hAnsi="Sylfaen"/>
        </w:rPr>
        <w:t>CBR</w:t>
      </w:r>
      <w:r w:rsidRPr="009A1C27">
        <w:rPr>
          <w:rFonts w:ascii="AcadNusx" w:hAnsi="AcadNusx"/>
        </w:rPr>
        <w:t>=30%-</w:t>
      </w:r>
      <w:r w:rsidRPr="009A1C27">
        <w:rPr>
          <w:rFonts w:ascii="Sylfaen" w:hAnsi="Sylfaen" w:cs="Sylfaen"/>
        </w:rPr>
        <w:t>ის</w:t>
      </w:r>
      <w:r w:rsidRPr="009A1C27">
        <w:rPr>
          <w:rFonts w:ascii="AcadNusx" w:hAnsi="AcadNusx"/>
        </w:rPr>
        <w:t xml:space="preserve"> </w:t>
      </w:r>
      <w:r w:rsidRPr="009A1C27">
        <w:rPr>
          <w:rFonts w:ascii="Sylfaen" w:hAnsi="Sylfaen" w:cs="Sylfaen"/>
        </w:rPr>
        <w:t>ტოლის</w:t>
      </w:r>
      <w:r w:rsidRPr="009A1C27">
        <w:rPr>
          <w:rFonts w:ascii="AcadNusx" w:hAnsi="AcadNusx"/>
        </w:rPr>
        <w:t xml:space="preserve"> </w:t>
      </w:r>
      <w:r w:rsidRPr="009A1C27">
        <w:rPr>
          <w:rFonts w:ascii="Sylfaen" w:hAnsi="Sylfaen" w:cs="Sylfaen"/>
        </w:rPr>
        <w:t>კალიფორნიული</w:t>
      </w:r>
      <w:r w:rsidRPr="009A1C27">
        <w:rPr>
          <w:rFonts w:ascii="AcadNusx" w:hAnsi="AcadNusx"/>
        </w:rPr>
        <w:t xml:space="preserve"> </w:t>
      </w:r>
      <w:r w:rsidRPr="009A1C27">
        <w:rPr>
          <w:rFonts w:ascii="Sylfaen" w:hAnsi="Sylfaen" w:cs="Sylfaen"/>
        </w:rPr>
        <w:t>რიცხვის</w:t>
      </w:r>
      <w:r w:rsidRPr="009A1C27">
        <w:rPr>
          <w:rFonts w:ascii="AcadNusx" w:hAnsi="AcadNusx"/>
        </w:rPr>
        <w:t xml:space="preserve"> </w:t>
      </w:r>
      <w:r w:rsidRPr="009A1C27">
        <w:rPr>
          <w:rFonts w:ascii="Sylfaen" w:hAnsi="Sylfaen" w:cs="Sylfaen"/>
        </w:rPr>
        <w:t>მქონე</w:t>
      </w:r>
      <w:r w:rsidRPr="009A1C27">
        <w:rPr>
          <w:rFonts w:ascii="AcadNusx" w:hAnsi="AcadNusx"/>
        </w:rPr>
        <w:t xml:space="preserve"> </w:t>
      </w:r>
      <w:r w:rsidRPr="009A1C27">
        <w:rPr>
          <w:rFonts w:ascii="Sylfaen" w:hAnsi="Sylfaen" w:cs="Sylfaen"/>
        </w:rPr>
        <w:t>მიწის</w:t>
      </w:r>
      <w:r w:rsidRPr="009A1C27">
        <w:rPr>
          <w:rFonts w:ascii="AcadNusx" w:hAnsi="AcadNusx"/>
        </w:rPr>
        <w:t xml:space="preserve"> </w:t>
      </w:r>
      <w:r w:rsidRPr="009A1C27">
        <w:rPr>
          <w:rFonts w:ascii="Sylfaen" w:hAnsi="Sylfaen" w:cs="Sylfaen"/>
        </w:rPr>
        <w:t>ვაკისისთვის</w:t>
      </w:r>
      <w:r w:rsidRPr="009A1C27">
        <w:rPr>
          <w:rFonts w:ascii="AcadNusx" w:hAnsi="AcadNusx"/>
        </w:rPr>
        <w:t xml:space="preserve"> </w:t>
      </w:r>
      <w:r w:rsidRPr="009A1C27">
        <w:rPr>
          <w:rFonts w:ascii="Sylfaen" w:hAnsi="Sylfaen" w:cs="Sylfaen"/>
        </w:rPr>
        <w:t>კ</w:t>
      </w:r>
      <w:r w:rsidRPr="009A1C27">
        <w:rPr>
          <w:rFonts w:ascii="AcadNusx" w:hAnsi="AcadNusx"/>
        </w:rPr>
        <w:t>-</w:t>
      </w:r>
      <w:r w:rsidRPr="009A1C27">
        <w:rPr>
          <w:rFonts w:ascii="Sylfaen" w:hAnsi="Sylfaen" w:cs="Sylfaen"/>
        </w:rPr>
        <w:t>ს</w:t>
      </w:r>
      <w:r w:rsidRPr="009A1C27">
        <w:rPr>
          <w:rFonts w:ascii="AcadNusx" w:hAnsi="AcadNusx"/>
        </w:rPr>
        <w:t xml:space="preserve"> </w:t>
      </w:r>
      <w:r w:rsidRPr="009A1C27">
        <w:rPr>
          <w:rFonts w:ascii="Sylfaen" w:hAnsi="Sylfaen" w:cs="Sylfaen"/>
        </w:rPr>
        <w:t>სიდიდეების</w:t>
      </w:r>
      <w:r w:rsidRPr="009A1C27">
        <w:rPr>
          <w:rFonts w:ascii="AcadNusx" w:hAnsi="AcadNusx"/>
        </w:rPr>
        <w:t xml:space="preserve"> </w:t>
      </w:r>
      <w:r w:rsidRPr="009A1C27">
        <w:rPr>
          <w:rFonts w:ascii="Sylfaen" w:hAnsi="Sylfaen" w:cs="Sylfaen"/>
        </w:rPr>
        <w:t>განისაზღვრება</w:t>
      </w:r>
      <w:r w:rsidRPr="009A1C27">
        <w:rPr>
          <w:rFonts w:ascii="AcadNusx" w:hAnsi="AcadNusx"/>
        </w:rPr>
        <w:t xml:space="preserve"> 11 </w:t>
      </w:r>
      <w:r w:rsidRPr="009A1C27">
        <w:rPr>
          <w:rFonts w:ascii="Sylfaen" w:hAnsi="Sylfaen" w:cs="Sylfaen"/>
        </w:rPr>
        <w:t>კპა</w:t>
      </w:r>
      <w:r w:rsidRPr="009A1C27">
        <w:rPr>
          <w:rFonts w:ascii="AcadNusx" w:hAnsi="AcadNusx"/>
        </w:rPr>
        <w:t>/</w:t>
      </w:r>
      <w:r w:rsidRPr="009A1C27">
        <w:rPr>
          <w:rFonts w:ascii="Sylfaen" w:hAnsi="Sylfaen" w:cs="Sylfaen"/>
        </w:rPr>
        <w:t>მმ</w:t>
      </w:r>
      <w:r w:rsidRPr="009A1C27">
        <w:rPr>
          <w:rFonts w:ascii="AcadNusx" w:hAnsi="AcadNusx"/>
        </w:rPr>
        <w:t>-</w:t>
      </w:r>
      <w:r w:rsidRPr="009A1C27">
        <w:rPr>
          <w:rFonts w:ascii="Sylfaen" w:hAnsi="Sylfaen" w:cs="Sylfaen"/>
        </w:rPr>
        <w:t>დან</w:t>
      </w:r>
      <w:r w:rsidRPr="009A1C27">
        <w:rPr>
          <w:rFonts w:ascii="AcadNusx" w:hAnsi="AcadNusx"/>
        </w:rPr>
        <w:t xml:space="preserve"> (175 </w:t>
      </w:r>
      <w:r w:rsidR="00DD4042">
        <w:rPr>
          <w:rFonts w:ascii="Sylfaen" w:hAnsi="Sylfaen"/>
        </w:rPr>
        <w:t>psi/in</w:t>
      </w:r>
      <w:r w:rsidRPr="009A1C27">
        <w:rPr>
          <w:rFonts w:ascii="AcadNusx" w:hAnsi="AcadNusx"/>
        </w:rPr>
        <w:t xml:space="preserve">) 247 </w:t>
      </w:r>
      <w:r w:rsidR="00DD4042">
        <w:rPr>
          <w:rFonts w:ascii="Sylfaen" w:hAnsi="Sylfaen"/>
        </w:rPr>
        <w:t>kpa/mm</w:t>
      </w:r>
      <w:r w:rsidRPr="009A1C27">
        <w:rPr>
          <w:rFonts w:ascii="AcadNusx" w:hAnsi="AcadNusx"/>
        </w:rPr>
        <w:t>-</w:t>
      </w:r>
      <w:r w:rsidRPr="009A1C27">
        <w:rPr>
          <w:rFonts w:ascii="Sylfaen" w:hAnsi="Sylfaen" w:cs="Sylfaen"/>
        </w:rPr>
        <w:t>მდე</w:t>
      </w:r>
      <w:r w:rsidRPr="009A1C27">
        <w:rPr>
          <w:rFonts w:ascii="AcadNusx" w:hAnsi="AcadNusx"/>
        </w:rPr>
        <w:t xml:space="preserve"> (500 </w:t>
      </w:r>
      <w:r w:rsidR="00DD4042">
        <w:rPr>
          <w:rFonts w:ascii="Sylfaen" w:hAnsi="Sylfaen"/>
        </w:rPr>
        <w:t>psi/in</w:t>
      </w:r>
      <w:r w:rsidRPr="009A1C27">
        <w:rPr>
          <w:rFonts w:ascii="AcadNusx" w:hAnsi="AcadNusx"/>
        </w:rPr>
        <w:t xml:space="preserve">) </w:t>
      </w:r>
      <w:r w:rsidRPr="009A1C27">
        <w:rPr>
          <w:rFonts w:ascii="Sylfaen" w:hAnsi="Sylfaen" w:cs="Sylfaen"/>
        </w:rPr>
        <w:t>შუალედით</w:t>
      </w:r>
      <w:r w:rsidRPr="009A1C27">
        <w:rPr>
          <w:rFonts w:ascii="AcadNusx" w:hAnsi="AcadNusx"/>
        </w:rPr>
        <w:t xml:space="preserve">, </w:t>
      </w:r>
      <w:r w:rsidRPr="009A1C27">
        <w:rPr>
          <w:rFonts w:ascii="Sylfaen" w:hAnsi="Sylfaen" w:cs="Sylfaen"/>
        </w:rPr>
        <w:t>რომლის</w:t>
      </w:r>
      <w:r w:rsidRPr="009A1C27">
        <w:rPr>
          <w:rFonts w:ascii="AcadNusx" w:hAnsi="AcadNusx"/>
        </w:rPr>
        <w:t xml:space="preserve"> </w:t>
      </w:r>
      <w:r w:rsidRPr="009A1C27">
        <w:rPr>
          <w:rFonts w:ascii="Sylfaen" w:hAnsi="Sylfaen" w:cs="Sylfaen"/>
        </w:rPr>
        <w:t>გასაშუალოებული</w:t>
      </w:r>
      <w:r w:rsidRPr="009A1C27">
        <w:rPr>
          <w:rFonts w:ascii="AcadNusx" w:hAnsi="AcadNusx"/>
        </w:rPr>
        <w:t xml:space="preserve"> </w:t>
      </w:r>
      <w:r w:rsidRPr="009A1C27">
        <w:rPr>
          <w:rFonts w:ascii="Sylfaen" w:hAnsi="Sylfaen" w:cs="Sylfaen"/>
        </w:rPr>
        <w:t>სიდიდე</w:t>
      </w:r>
      <w:r w:rsidRPr="009A1C27">
        <w:rPr>
          <w:rFonts w:ascii="AcadNusx" w:hAnsi="AcadNusx"/>
        </w:rPr>
        <w:t xml:space="preserve"> </w:t>
      </w:r>
      <w:r w:rsidRPr="009A1C27">
        <w:rPr>
          <w:rFonts w:ascii="Sylfaen" w:hAnsi="Sylfaen" w:cs="Sylfaen"/>
        </w:rPr>
        <w:t>შეადგენს</w:t>
      </w:r>
      <w:r w:rsidRPr="009A1C27">
        <w:rPr>
          <w:rFonts w:ascii="AcadNusx" w:hAnsi="AcadNusx"/>
        </w:rPr>
        <w:t xml:space="preserve"> 86 </w:t>
      </w:r>
      <w:r w:rsidR="00DD4042">
        <w:rPr>
          <w:rFonts w:ascii="Sylfaen" w:hAnsi="Sylfaen"/>
        </w:rPr>
        <w:t>kpa/mm</w:t>
      </w:r>
      <w:r w:rsidRPr="009A1C27">
        <w:rPr>
          <w:rFonts w:ascii="AcadNusx" w:hAnsi="AcadNusx"/>
        </w:rPr>
        <w:t>-</w:t>
      </w:r>
      <w:r w:rsidRPr="009A1C27">
        <w:rPr>
          <w:rFonts w:ascii="Sylfaen" w:hAnsi="Sylfaen" w:cs="Sylfaen"/>
        </w:rPr>
        <w:t>ს</w:t>
      </w:r>
      <w:r w:rsidRPr="009A1C27">
        <w:rPr>
          <w:rFonts w:ascii="AcadNusx" w:hAnsi="AcadNusx"/>
        </w:rPr>
        <w:t xml:space="preserve"> (320 </w:t>
      </w:r>
      <w:r w:rsidR="00DD4042">
        <w:rPr>
          <w:rFonts w:ascii="Sylfaen" w:hAnsi="Sylfaen"/>
        </w:rPr>
        <w:t>psi/in</w:t>
      </w:r>
      <w:r w:rsidRPr="009A1C27">
        <w:rPr>
          <w:rFonts w:ascii="AcadNusx" w:hAnsi="AcadNusx"/>
        </w:rPr>
        <w:t>)</w:t>
      </w:r>
    </w:p>
    <w:p w14:paraId="35A534DB" w14:textId="086778EF" w:rsidR="009A1C27" w:rsidRPr="009A1C27" w:rsidRDefault="009A1C27" w:rsidP="009A1C27">
      <w:pPr>
        <w:spacing w:before="120" w:after="120"/>
        <w:rPr>
          <w:rFonts w:ascii="AcadNusx" w:hAnsi="AcadNusx"/>
        </w:rPr>
      </w:pPr>
      <w:r w:rsidRPr="009A1C27">
        <w:rPr>
          <w:rFonts w:ascii="Sylfaen" w:hAnsi="Sylfaen" w:cs="Sylfaen"/>
        </w:rPr>
        <w:t>საფუძველის</w:t>
      </w:r>
      <w:r w:rsidRPr="009A1C27">
        <w:rPr>
          <w:rFonts w:ascii="AcadNusx" w:hAnsi="AcadNusx"/>
        </w:rPr>
        <w:t xml:space="preserve"> </w:t>
      </w:r>
      <w:r w:rsidRPr="009A1C27">
        <w:rPr>
          <w:rFonts w:ascii="Sylfaen" w:hAnsi="Sylfaen" w:cs="Sylfaen"/>
        </w:rPr>
        <w:t>შესასწორებელი</w:t>
      </w:r>
      <w:r w:rsidRPr="009A1C27">
        <w:rPr>
          <w:rFonts w:ascii="AcadNusx" w:hAnsi="AcadNusx"/>
        </w:rPr>
        <w:t xml:space="preserve"> </w:t>
      </w:r>
      <w:r w:rsidRPr="009A1C27">
        <w:rPr>
          <w:rFonts w:ascii="Sylfaen" w:hAnsi="Sylfaen" w:cs="Sylfaen"/>
        </w:rPr>
        <w:t>ფენის</w:t>
      </w:r>
      <w:r w:rsidRPr="009A1C27">
        <w:rPr>
          <w:rFonts w:ascii="AcadNusx" w:hAnsi="AcadNusx"/>
        </w:rPr>
        <w:t xml:space="preserve"> </w:t>
      </w:r>
      <w:r w:rsidRPr="009A1C27">
        <w:rPr>
          <w:rFonts w:ascii="Sylfaen" w:hAnsi="Sylfaen" w:cs="Sylfaen"/>
        </w:rPr>
        <w:t>და</w:t>
      </w:r>
      <w:r w:rsidRPr="009A1C27">
        <w:rPr>
          <w:rFonts w:ascii="AcadNusx" w:hAnsi="AcadNusx"/>
        </w:rPr>
        <w:t xml:space="preserve"> </w:t>
      </w:r>
      <w:r w:rsidRPr="009A1C27">
        <w:rPr>
          <w:rFonts w:ascii="Sylfaen" w:hAnsi="Sylfaen" w:cs="Sylfaen"/>
        </w:rPr>
        <w:t>საფუძველის</w:t>
      </w:r>
      <w:r w:rsidRPr="009A1C27">
        <w:rPr>
          <w:rFonts w:ascii="AcadNusx" w:hAnsi="AcadNusx"/>
        </w:rPr>
        <w:t xml:space="preserve"> </w:t>
      </w:r>
      <w:r w:rsidRPr="009A1C27">
        <w:rPr>
          <w:rFonts w:ascii="Sylfaen" w:hAnsi="Sylfaen" w:cs="Sylfaen"/>
        </w:rPr>
        <w:t>ჯამური</w:t>
      </w:r>
      <w:r w:rsidRPr="009A1C27">
        <w:rPr>
          <w:rFonts w:ascii="AcadNusx" w:hAnsi="AcadNusx"/>
        </w:rPr>
        <w:t xml:space="preserve"> </w:t>
      </w:r>
      <w:r w:rsidRPr="009A1C27">
        <w:rPr>
          <w:rFonts w:ascii="Sylfaen" w:hAnsi="Sylfaen" w:cs="Sylfaen"/>
        </w:rPr>
        <w:t>სისქის</w:t>
      </w:r>
      <w:r w:rsidRPr="009A1C27">
        <w:rPr>
          <w:rFonts w:ascii="AcadNusx" w:hAnsi="AcadNusx"/>
        </w:rPr>
        <w:t xml:space="preserve"> (500 </w:t>
      </w:r>
      <w:r w:rsidRPr="009A1C27">
        <w:rPr>
          <w:rFonts w:ascii="Sylfaen" w:hAnsi="Sylfaen" w:cs="Sylfaen"/>
        </w:rPr>
        <w:t>მმ</w:t>
      </w:r>
      <w:r w:rsidRPr="009A1C27">
        <w:rPr>
          <w:rFonts w:ascii="AcadNusx" w:hAnsi="AcadNusx"/>
        </w:rPr>
        <w:t xml:space="preserve">) </w:t>
      </w:r>
      <w:r w:rsidRPr="009A1C27">
        <w:rPr>
          <w:rFonts w:ascii="Sylfaen" w:hAnsi="Sylfaen" w:cs="Sylfaen"/>
        </w:rPr>
        <w:t>გათვალისწინებით</w:t>
      </w:r>
      <w:r w:rsidRPr="009A1C27">
        <w:rPr>
          <w:rFonts w:ascii="AcadNusx" w:hAnsi="AcadNusx"/>
        </w:rPr>
        <w:t xml:space="preserve">, </w:t>
      </w:r>
      <w:r w:rsidR="00DD4042">
        <w:rPr>
          <w:rFonts w:ascii="Sylfaen" w:hAnsi="Sylfaen"/>
        </w:rPr>
        <w:t>AASHTO</w:t>
      </w:r>
      <w:r w:rsidRPr="009A1C27">
        <w:rPr>
          <w:rFonts w:ascii="AcadNusx" w:hAnsi="AcadNusx"/>
        </w:rPr>
        <w:t>-</w:t>
      </w:r>
      <w:r w:rsidRPr="009A1C27">
        <w:rPr>
          <w:rFonts w:ascii="Sylfaen" w:hAnsi="Sylfaen" w:cs="Sylfaen"/>
        </w:rPr>
        <w:t>ს</w:t>
      </w:r>
      <w:r w:rsidRPr="009A1C27">
        <w:rPr>
          <w:rFonts w:ascii="AcadNusx" w:hAnsi="AcadNusx"/>
        </w:rPr>
        <w:t xml:space="preserve"> </w:t>
      </w:r>
      <w:r w:rsidRPr="009A1C27">
        <w:rPr>
          <w:rFonts w:ascii="Sylfaen" w:hAnsi="Sylfaen" w:cs="Sylfaen"/>
        </w:rPr>
        <w:t>საგზაო</w:t>
      </w:r>
      <w:r w:rsidRPr="009A1C27">
        <w:rPr>
          <w:rFonts w:ascii="AcadNusx" w:hAnsi="AcadNusx"/>
        </w:rPr>
        <w:t xml:space="preserve"> </w:t>
      </w:r>
      <w:r w:rsidRPr="009A1C27">
        <w:rPr>
          <w:rFonts w:ascii="Sylfaen" w:hAnsi="Sylfaen" w:cs="Sylfaen"/>
        </w:rPr>
        <w:t>სამოსების</w:t>
      </w:r>
      <w:r w:rsidRPr="009A1C27">
        <w:rPr>
          <w:rFonts w:ascii="AcadNusx" w:hAnsi="AcadNusx"/>
        </w:rPr>
        <w:t xml:space="preserve"> </w:t>
      </w:r>
      <w:r w:rsidRPr="009A1C27">
        <w:rPr>
          <w:rFonts w:ascii="Sylfaen" w:hAnsi="Sylfaen" w:cs="Sylfaen"/>
        </w:rPr>
        <w:t>გაანგარიშების</w:t>
      </w:r>
      <w:r w:rsidRPr="009A1C27">
        <w:rPr>
          <w:rFonts w:ascii="AcadNusx" w:hAnsi="AcadNusx"/>
        </w:rPr>
        <w:t xml:space="preserve"> </w:t>
      </w:r>
      <w:r w:rsidRPr="009A1C27">
        <w:rPr>
          <w:rFonts w:ascii="Sylfaen" w:hAnsi="Sylfaen" w:cs="Sylfaen"/>
        </w:rPr>
        <w:t>პროცედურების</w:t>
      </w:r>
      <w:r w:rsidRPr="009A1C27">
        <w:rPr>
          <w:rFonts w:ascii="AcadNusx" w:hAnsi="AcadNusx"/>
        </w:rPr>
        <w:t xml:space="preserve"> </w:t>
      </w:r>
      <w:r w:rsidR="00DD4042">
        <w:rPr>
          <w:rFonts w:ascii="Sylfaen" w:hAnsi="Sylfaen" w:cs="Sylfaen"/>
        </w:rPr>
        <w:t>II</w:t>
      </w:r>
      <w:r w:rsidRPr="009A1C27">
        <w:rPr>
          <w:rFonts w:ascii="AcadNusx" w:hAnsi="AcadNusx"/>
        </w:rPr>
        <w:t xml:space="preserve"> </w:t>
      </w:r>
      <w:r w:rsidRPr="009A1C27">
        <w:rPr>
          <w:rFonts w:ascii="Sylfaen" w:hAnsi="Sylfaen" w:cs="Sylfaen"/>
        </w:rPr>
        <w:t>ნაწილში</w:t>
      </w:r>
      <w:r w:rsidRPr="009A1C27">
        <w:rPr>
          <w:rFonts w:ascii="AcadNusx" w:hAnsi="AcadNusx"/>
        </w:rPr>
        <w:t xml:space="preserve"> (</w:t>
      </w:r>
      <w:r w:rsidRPr="009A1C27">
        <w:rPr>
          <w:rFonts w:ascii="Sylfaen" w:hAnsi="Sylfaen" w:cs="Sylfaen"/>
        </w:rPr>
        <w:t>გრაფიკის</w:t>
      </w:r>
      <w:r w:rsidRPr="009A1C27">
        <w:rPr>
          <w:rFonts w:ascii="AcadNusx" w:hAnsi="AcadNusx"/>
        </w:rPr>
        <w:t xml:space="preserve">) </w:t>
      </w:r>
      <w:r w:rsidRPr="009A1C27">
        <w:rPr>
          <w:rFonts w:ascii="Sylfaen" w:hAnsi="Sylfaen" w:cs="Sylfaen"/>
        </w:rPr>
        <w:t>შესაბამისად</w:t>
      </w:r>
      <w:r w:rsidRPr="009A1C27">
        <w:rPr>
          <w:rFonts w:ascii="AcadNusx" w:hAnsi="AcadNusx"/>
        </w:rPr>
        <w:t xml:space="preserve">, </w:t>
      </w:r>
      <w:r w:rsidRPr="009A1C27">
        <w:rPr>
          <w:rFonts w:ascii="Sylfaen" w:hAnsi="Sylfaen" w:cs="Sylfaen"/>
        </w:rPr>
        <w:t>მიწის</w:t>
      </w:r>
      <w:r w:rsidRPr="009A1C27">
        <w:rPr>
          <w:rFonts w:ascii="AcadNusx" w:hAnsi="AcadNusx"/>
        </w:rPr>
        <w:t xml:space="preserve"> </w:t>
      </w:r>
      <w:r w:rsidRPr="009A1C27">
        <w:rPr>
          <w:rFonts w:ascii="Sylfaen" w:hAnsi="Sylfaen" w:cs="Sylfaen"/>
        </w:rPr>
        <w:t>ვაკისის</w:t>
      </w:r>
      <w:r w:rsidRPr="009A1C27">
        <w:rPr>
          <w:rFonts w:ascii="AcadNusx" w:hAnsi="AcadNusx"/>
        </w:rPr>
        <w:t xml:space="preserve"> </w:t>
      </w:r>
      <w:r w:rsidRPr="009A1C27">
        <w:rPr>
          <w:rFonts w:ascii="Sylfaen" w:hAnsi="Sylfaen" w:cs="Sylfaen"/>
        </w:rPr>
        <w:t>სრული</w:t>
      </w:r>
      <w:r w:rsidRPr="009A1C27">
        <w:rPr>
          <w:rFonts w:ascii="AcadNusx" w:hAnsi="AcadNusx"/>
        </w:rPr>
        <w:t xml:space="preserve"> </w:t>
      </w:r>
      <w:r w:rsidRPr="009A1C27">
        <w:rPr>
          <w:rFonts w:ascii="Sylfaen" w:hAnsi="Sylfaen" w:cs="Sylfaen"/>
        </w:rPr>
        <w:t>რეაქციის</w:t>
      </w:r>
      <w:r w:rsidRPr="009A1C27">
        <w:rPr>
          <w:rFonts w:ascii="AcadNusx" w:hAnsi="AcadNusx"/>
        </w:rPr>
        <w:t xml:space="preserve"> </w:t>
      </w:r>
      <w:r w:rsidRPr="009A1C27">
        <w:rPr>
          <w:rFonts w:ascii="Sylfaen" w:hAnsi="Sylfaen" w:cs="Sylfaen"/>
        </w:rPr>
        <w:t>მოდული</w:t>
      </w:r>
      <w:r w:rsidRPr="009A1C27">
        <w:rPr>
          <w:rFonts w:ascii="AcadNusx" w:hAnsi="AcadNusx"/>
        </w:rPr>
        <w:t xml:space="preserve"> </w:t>
      </w:r>
      <w:r w:rsidRPr="009A1C27">
        <w:rPr>
          <w:rFonts w:ascii="Sylfaen" w:hAnsi="Sylfaen" w:cs="Sylfaen"/>
        </w:rPr>
        <w:t>შეადგენს</w:t>
      </w:r>
      <w:r w:rsidRPr="009A1C27">
        <w:rPr>
          <w:rFonts w:ascii="AcadNusx" w:hAnsi="AcadNusx"/>
        </w:rPr>
        <w:t xml:space="preserve"> 81 </w:t>
      </w:r>
      <w:r w:rsidR="00DD4042">
        <w:rPr>
          <w:rFonts w:ascii="Sylfaen" w:hAnsi="Sylfaen"/>
        </w:rPr>
        <w:t>kpa/mm</w:t>
      </w:r>
      <w:r w:rsidRPr="009A1C27">
        <w:rPr>
          <w:rFonts w:ascii="AcadNusx" w:hAnsi="AcadNusx"/>
        </w:rPr>
        <w:t>-</w:t>
      </w:r>
      <w:r w:rsidRPr="009A1C27">
        <w:rPr>
          <w:rFonts w:ascii="Sylfaen" w:hAnsi="Sylfaen" w:cs="Sylfaen"/>
        </w:rPr>
        <w:t>ს</w:t>
      </w:r>
      <w:r w:rsidRPr="009A1C27">
        <w:rPr>
          <w:rFonts w:ascii="AcadNusx" w:hAnsi="AcadNusx"/>
        </w:rPr>
        <w:t xml:space="preserve"> (400 </w:t>
      </w:r>
      <w:r w:rsidR="00DD4042">
        <w:rPr>
          <w:rFonts w:ascii="Sylfaen" w:hAnsi="Sylfaen"/>
        </w:rPr>
        <w:t>psi/in</w:t>
      </w:r>
      <w:r w:rsidRPr="009A1C27">
        <w:rPr>
          <w:rFonts w:ascii="AcadNusx" w:hAnsi="AcadNusx"/>
        </w:rPr>
        <w:t xml:space="preserve">). </w:t>
      </w:r>
    </w:p>
    <w:p w14:paraId="1DE97BEB" w14:textId="68011259" w:rsidR="009A1C27" w:rsidRPr="009A1C27" w:rsidRDefault="009A1C27" w:rsidP="009A1C27">
      <w:pPr>
        <w:spacing w:before="120" w:after="120"/>
        <w:rPr>
          <w:rFonts w:ascii="AcadNusx" w:hAnsi="AcadNusx"/>
        </w:rPr>
      </w:pPr>
      <w:r w:rsidRPr="009A1C27">
        <w:rPr>
          <w:rFonts w:ascii="Sylfaen" w:hAnsi="Sylfaen" w:cs="Sylfaen"/>
        </w:rPr>
        <w:t>მოცემული</w:t>
      </w:r>
      <w:r w:rsidRPr="009A1C27">
        <w:rPr>
          <w:rFonts w:ascii="AcadNusx" w:hAnsi="AcadNusx"/>
        </w:rPr>
        <w:t xml:space="preserve"> </w:t>
      </w:r>
      <w:r w:rsidRPr="009A1C27">
        <w:rPr>
          <w:rFonts w:ascii="Sylfaen" w:hAnsi="Sylfaen" w:cs="Sylfaen"/>
        </w:rPr>
        <w:t>საწყისი</w:t>
      </w:r>
      <w:r w:rsidRPr="009A1C27">
        <w:rPr>
          <w:rFonts w:ascii="AcadNusx" w:hAnsi="AcadNusx"/>
        </w:rPr>
        <w:t xml:space="preserve"> </w:t>
      </w:r>
      <w:r w:rsidRPr="009A1C27">
        <w:rPr>
          <w:rFonts w:ascii="Sylfaen" w:hAnsi="Sylfaen" w:cs="Sylfaen"/>
        </w:rPr>
        <w:t>მონაცემებიდან</w:t>
      </w:r>
      <w:r w:rsidRPr="009A1C27">
        <w:rPr>
          <w:rFonts w:ascii="AcadNusx" w:hAnsi="AcadNusx"/>
        </w:rPr>
        <w:t xml:space="preserve">, </w:t>
      </w:r>
      <w:r w:rsidRPr="009A1C27">
        <w:rPr>
          <w:rFonts w:ascii="AcadNusx" w:hAnsi="AcadNusx" w:cs="AcadNusx"/>
        </w:rPr>
        <w:t>“</w:t>
      </w:r>
      <w:r w:rsidRPr="009A1C27">
        <w:rPr>
          <w:rFonts w:ascii="Sylfaen" w:hAnsi="Sylfaen" w:cs="Sylfaen"/>
        </w:rPr>
        <w:t>ამერიკის</w:t>
      </w:r>
      <w:r w:rsidRPr="009A1C27">
        <w:rPr>
          <w:rFonts w:ascii="AcadNusx" w:hAnsi="AcadNusx"/>
        </w:rPr>
        <w:t xml:space="preserve"> </w:t>
      </w:r>
      <w:r w:rsidRPr="009A1C27">
        <w:rPr>
          <w:rFonts w:ascii="Sylfaen" w:hAnsi="Sylfaen" w:cs="Sylfaen"/>
        </w:rPr>
        <w:t>ბეტონის</w:t>
      </w:r>
      <w:r w:rsidRPr="009A1C27">
        <w:rPr>
          <w:rFonts w:ascii="AcadNusx" w:hAnsi="AcadNusx"/>
        </w:rPr>
        <w:t xml:space="preserve"> </w:t>
      </w:r>
      <w:r w:rsidRPr="009A1C27">
        <w:rPr>
          <w:rFonts w:ascii="Sylfaen" w:hAnsi="Sylfaen" w:cs="Sylfaen"/>
        </w:rPr>
        <w:t>საგზაო</w:t>
      </w:r>
      <w:r w:rsidRPr="009A1C27">
        <w:rPr>
          <w:rFonts w:ascii="AcadNusx" w:hAnsi="AcadNusx"/>
        </w:rPr>
        <w:t xml:space="preserve"> </w:t>
      </w:r>
      <w:r w:rsidRPr="009A1C27">
        <w:rPr>
          <w:rFonts w:ascii="Sylfaen" w:hAnsi="Sylfaen" w:cs="Sylfaen"/>
        </w:rPr>
        <w:t>სამოსების</w:t>
      </w:r>
      <w:r w:rsidRPr="009A1C27">
        <w:rPr>
          <w:rFonts w:ascii="AcadNusx" w:hAnsi="AcadNusx"/>
        </w:rPr>
        <w:t xml:space="preserve"> </w:t>
      </w:r>
      <w:r w:rsidRPr="009A1C27">
        <w:rPr>
          <w:rFonts w:ascii="Sylfaen" w:hAnsi="Sylfaen" w:cs="Sylfaen"/>
        </w:rPr>
        <w:t>ასოციაციის</w:t>
      </w:r>
      <w:r w:rsidRPr="009A1C27">
        <w:rPr>
          <w:rFonts w:ascii="AcadNusx" w:hAnsi="AcadNusx" w:cs="AcadNusx"/>
        </w:rPr>
        <w:t>”</w:t>
      </w:r>
      <w:r w:rsidRPr="009A1C27">
        <w:rPr>
          <w:rFonts w:ascii="AcadNusx" w:hAnsi="AcadNusx"/>
        </w:rPr>
        <w:t xml:space="preserve"> </w:t>
      </w:r>
      <w:r w:rsidRPr="009A1C27">
        <w:rPr>
          <w:rFonts w:ascii="Sylfaen" w:hAnsi="Sylfaen" w:cs="Sylfaen"/>
        </w:rPr>
        <w:t>მიერ</w:t>
      </w:r>
      <w:r w:rsidRPr="009A1C27">
        <w:rPr>
          <w:rFonts w:ascii="AcadNusx" w:hAnsi="AcadNusx"/>
        </w:rPr>
        <w:t xml:space="preserve"> </w:t>
      </w:r>
      <w:r w:rsidRPr="009A1C27">
        <w:rPr>
          <w:rFonts w:ascii="Sylfaen" w:hAnsi="Sylfaen" w:cs="Sylfaen"/>
        </w:rPr>
        <w:t>დამუშავებული</w:t>
      </w:r>
      <w:r w:rsidRPr="009A1C27">
        <w:rPr>
          <w:rFonts w:ascii="AcadNusx" w:hAnsi="AcadNusx"/>
        </w:rPr>
        <w:t xml:space="preserve"> </w:t>
      </w:r>
      <w:r w:rsidRPr="009A1C27">
        <w:rPr>
          <w:rFonts w:ascii="Sylfaen" w:hAnsi="Sylfaen" w:cs="Sylfaen"/>
        </w:rPr>
        <w:t>კომპიუტერული</w:t>
      </w:r>
      <w:r w:rsidRPr="009A1C27">
        <w:rPr>
          <w:rFonts w:ascii="AcadNusx" w:hAnsi="AcadNusx"/>
        </w:rPr>
        <w:t xml:space="preserve"> </w:t>
      </w:r>
      <w:r w:rsidRPr="009A1C27">
        <w:rPr>
          <w:rFonts w:ascii="Sylfaen" w:hAnsi="Sylfaen" w:cs="Sylfaen"/>
        </w:rPr>
        <w:t>პროგრამის</w:t>
      </w:r>
      <w:r w:rsidRPr="009A1C27">
        <w:rPr>
          <w:rFonts w:ascii="AcadNusx" w:hAnsi="AcadNusx"/>
        </w:rPr>
        <w:t xml:space="preserve"> </w:t>
      </w:r>
      <w:r w:rsidR="00DD4042">
        <w:rPr>
          <w:rFonts w:ascii="Sylfaen" w:hAnsi="Sylfaen"/>
        </w:rPr>
        <w:t>WinPAS</w:t>
      </w:r>
      <w:r w:rsidRPr="009A1C27">
        <w:rPr>
          <w:rFonts w:ascii="AcadNusx" w:hAnsi="AcadNusx"/>
        </w:rPr>
        <w:t xml:space="preserve">12 </w:t>
      </w:r>
      <w:r w:rsidRPr="009A1C27">
        <w:rPr>
          <w:rFonts w:ascii="Sylfaen" w:hAnsi="Sylfaen" w:cs="Sylfaen"/>
        </w:rPr>
        <w:t>გამოყენებით</w:t>
      </w:r>
      <w:r w:rsidRPr="009A1C27">
        <w:rPr>
          <w:rFonts w:ascii="AcadNusx" w:hAnsi="AcadNusx"/>
        </w:rPr>
        <w:t xml:space="preserve">, </w:t>
      </w:r>
      <w:r w:rsidRPr="009A1C27">
        <w:rPr>
          <w:rFonts w:ascii="Sylfaen" w:hAnsi="Sylfaen" w:cs="Sylfaen"/>
        </w:rPr>
        <w:t>გამოითვალა</w:t>
      </w:r>
      <w:r w:rsidRPr="009A1C27">
        <w:rPr>
          <w:rFonts w:ascii="AcadNusx" w:hAnsi="AcadNusx"/>
        </w:rPr>
        <w:t xml:space="preserve"> </w:t>
      </w:r>
      <w:r w:rsidRPr="009A1C27">
        <w:rPr>
          <w:rFonts w:ascii="Sylfaen" w:hAnsi="Sylfaen" w:cs="Sylfaen"/>
        </w:rPr>
        <w:t>ბეტონის</w:t>
      </w:r>
      <w:r w:rsidRPr="009A1C27">
        <w:rPr>
          <w:rFonts w:ascii="AcadNusx" w:hAnsi="AcadNusx"/>
        </w:rPr>
        <w:t xml:space="preserve"> </w:t>
      </w:r>
      <w:r w:rsidRPr="009A1C27">
        <w:rPr>
          <w:rFonts w:ascii="Sylfaen" w:hAnsi="Sylfaen" w:cs="Sylfaen"/>
        </w:rPr>
        <w:t>ფილის</w:t>
      </w:r>
      <w:r w:rsidRPr="009A1C27">
        <w:rPr>
          <w:rFonts w:ascii="AcadNusx" w:hAnsi="AcadNusx"/>
        </w:rPr>
        <w:t xml:space="preserve"> </w:t>
      </w:r>
      <w:r w:rsidRPr="009A1C27">
        <w:rPr>
          <w:rFonts w:ascii="Sylfaen" w:hAnsi="Sylfaen" w:cs="Sylfaen"/>
        </w:rPr>
        <w:t>სისქეები</w:t>
      </w:r>
      <w:r w:rsidRPr="009A1C27">
        <w:rPr>
          <w:rFonts w:ascii="AcadNusx" w:hAnsi="AcadNusx"/>
        </w:rPr>
        <w:t xml:space="preserve">, </w:t>
      </w:r>
      <w:r w:rsidRPr="009A1C27">
        <w:rPr>
          <w:rFonts w:ascii="Sylfaen" w:hAnsi="Sylfaen" w:cs="Sylfaen"/>
        </w:rPr>
        <w:t>რომლებიც</w:t>
      </w:r>
      <w:r w:rsidRPr="009A1C27">
        <w:rPr>
          <w:rFonts w:ascii="AcadNusx" w:hAnsi="AcadNusx"/>
        </w:rPr>
        <w:t xml:space="preserve"> </w:t>
      </w:r>
      <w:r w:rsidRPr="009A1C27">
        <w:rPr>
          <w:rFonts w:ascii="Sylfaen" w:hAnsi="Sylfaen" w:cs="Sylfaen"/>
        </w:rPr>
        <w:t>წარმოდგენილია</w:t>
      </w:r>
      <w:r w:rsidRPr="009A1C27">
        <w:rPr>
          <w:rFonts w:ascii="AcadNusx" w:hAnsi="AcadNusx"/>
        </w:rPr>
        <w:t xml:space="preserve"> </w:t>
      </w:r>
      <w:r w:rsidRPr="009A1C27">
        <w:rPr>
          <w:rFonts w:ascii="Sylfaen" w:hAnsi="Sylfaen" w:cs="Sylfaen"/>
        </w:rPr>
        <w:t>მომდევნო</w:t>
      </w:r>
      <w:r w:rsidRPr="009A1C27">
        <w:rPr>
          <w:rFonts w:ascii="AcadNusx" w:hAnsi="AcadNusx"/>
        </w:rPr>
        <w:t xml:space="preserve"> </w:t>
      </w:r>
      <w:r w:rsidRPr="009A1C27">
        <w:rPr>
          <w:rFonts w:ascii="Sylfaen" w:hAnsi="Sylfaen" w:cs="Sylfaen"/>
        </w:rPr>
        <w:t>ცხრილში</w:t>
      </w:r>
      <w:r w:rsidRPr="009A1C27">
        <w:rPr>
          <w:rFonts w:ascii="AcadNusx" w:hAnsi="AcadNusx"/>
        </w:rPr>
        <w:t>:</w:t>
      </w:r>
    </w:p>
    <w:p w14:paraId="2143AF5A" w14:textId="056D0F3F" w:rsidR="009A1C27" w:rsidRPr="009A1C27" w:rsidRDefault="009A1C27" w:rsidP="009A1C27">
      <w:pPr>
        <w:spacing w:before="120" w:after="120"/>
        <w:rPr>
          <w:rFonts w:ascii="AcadNusx" w:hAnsi="AcadNusx"/>
        </w:rPr>
      </w:pPr>
      <w:r w:rsidRPr="009A1C27">
        <w:rPr>
          <w:rFonts w:ascii="AcadNusx" w:hAnsi="AcadNusx"/>
        </w:rPr>
        <w:t>“</w:t>
      </w:r>
      <w:r w:rsidRPr="009A1C27">
        <w:rPr>
          <w:rFonts w:ascii="Sylfaen" w:hAnsi="Sylfaen" w:cs="Sylfaen"/>
        </w:rPr>
        <w:t>ამერიკის</w:t>
      </w:r>
      <w:r w:rsidRPr="009A1C27">
        <w:rPr>
          <w:rFonts w:ascii="AcadNusx" w:hAnsi="AcadNusx"/>
        </w:rPr>
        <w:t xml:space="preserve"> </w:t>
      </w:r>
      <w:r w:rsidRPr="009A1C27">
        <w:rPr>
          <w:rFonts w:ascii="Sylfaen" w:hAnsi="Sylfaen" w:cs="Sylfaen"/>
        </w:rPr>
        <w:t>ბეტონის</w:t>
      </w:r>
      <w:r w:rsidRPr="009A1C27">
        <w:rPr>
          <w:rFonts w:ascii="AcadNusx" w:hAnsi="AcadNusx"/>
        </w:rPr>
        <w:t xml:space="preserve"> </w:t>
      </w:r>
      <w:r w:rsidRPr="009A1C27">
        <w:rPr>
          <w:rFonts w:ascii="Sylfaen" w:hAnsi="Sylfaen" w:cs="Sylfaen"/>
        </w:rPr>
        <w:t>საგზაო</w:t>
      </w:r>
      <w:r w:rsidRPr="009A1C27">
        <w:rPr>
          <w:rFonts w:ascii="AcadNusx" w:hAnsi="AcadNusx"/>
        </w:rPr>
        <w:t xml:space="preserve"> </w:t>
      </w:r>
      <w:r w:rsidRPr="009A1C27">
        <w:rPr>
          <w:rFonts w:ascii="Sylfaen" w:hAnsi="Sylfaen" w:cs="Sylfaen"/>
        </w:rPr>
        <w:t>სამოსების</w:t>
      </w:r>
      <w:r w:rsidRPr="009A1C27">
        <w:rPr>
          <w:rFonts w:ascii="AcadNusx" w:hAnsi="AcadNusx"/>
        </w:rPr>
        <w:t xml:space="preserve"> </w:t>
      </w:r>
      <w:r w:rsidRPr="009A1C27">
        <w:rPr>
          <w:rFonts w:ascii="Sylfaen" w:hAnsi="Sylfaen" w:cs="Sylfaen"/>
        </w:rPr>
        <w:t>ასოციაციის</w:t>
      </w:r>
      <w:r w:rsidRPr="009A1C27">
        <w:rPr>
          <w:rFonts w:ascii="AcadNusx" w:hAnsi="AcadNusx" w:cs="AcadNusx"/>
        </w:rPr>
        <w:t>”</w:t>
      </w:r>
      <w:r w:rsidRPr="009A1C27">
        <w:rPr>
          <w:rFonts w:ascii="AcadNusx" w:hAnsi="AcadNusx"/>
        </w:rPr>
        <w:t xml:space="preserve"> (</w:t>
      </w:r>
      <w:r w:rsidR="00DD4042">
        <w:rPr>
          <w:rFonts w:ascii="Sylfaen" w:hAnsi="Sylfaen"/>
        </w:rPr>
        <w:t>ACPA</w:t>
      </w:r>
      <w:r w:rsidRPr="009A1C27">
        <w:rPr>
          <w:rFonts w:ascii="AcadNusx" w:hAnsi="AcadNusx"/>
        </w:rPr>
        <w:t xml:space="preserve">) </w:t>
      </w:r>
      <w:r w:rsidRPr="009A1C27">
        <w:rPr>
          <w:rFonts w:ascii="Sylfaen" w:hAnsi="Sylfaen" w:cs="Sylfaen"/>
        </w:rPr>
        <w:t>მიერ</w:t>
      </w:r>
      <w:r w:rsidRPr="009A1C27">
        <w:rPr>
          <w:rFonts w:ascii="AcadNusx" w:hAnsi="AcadNusx"/>
        </w:rPr>
        <w:t xml:space="preserve"> </w:t>
      </w:r>
      <w:r w:rsidRPr="009A1C27">
        <w:rPr>
          <w:rFonts w:ascii="Sylfaen" w:hAnsi="Sylfaen" w:cs="Sylfaen"/>
        </w:rPr>
        <w:t>დამუშავებული</w:t>
      </w:r>
      <w:r w:rsidRPr="009A1C27">
        <w:rPr>
          <w:rFonts w:ascii="AcadNusx" w:hAnsi="AcadNusx"/>
        </w:rPr>
        <w:t xml:space="preserve"> </w:t>
      </w:r>
      <w:r w:rsidRPr="009A1C27">
        <w:rPr>
          <w:rFonts w:ascii="AcadNusx" w:hAnsi="AcadNusx" w:cs="AcadNusx"/>
        </w:rPr>
        <w:t>“</w:t>
      </w:r>
      <w:r w:rsidRPr="009A1C27">
        <w:rPr>
          <w:rFonts w:ascii="Sylfaen" w:hAnsi="Sylfaen" w:cs="Sylfaen"/>
        </w:rPr>
        <w:t>სტატიკური</w:t>
      </w:r>
      <w:r w:rsidRPr="009A1C27">
        <w:rPr>
          <w:rFonts w:ascii="AcadNusx" w:hAnsi="AcadNusx"/>
        </w:rPr>
        <w:t xml:space="preserve"> </w:t>
      </w:r>
      <w:r w:rsidR="00DD4042">
        <w:rPr>
          <w:rFonts w:ascii="Sylfaen" w:hAnsi="Sylfaen" w:cs="Sylfaen"/>
        </w:rPr>
        <w:t>K</w:t>
      </w:r>
      <w:r w:rsidRPr="009A1C27">
        <w:rPr>
          <w:rFonts w:ascii="AcadNusx" w:hAnsi="AcadNusx"/>
        </w:rPr>
        <w:t>-</w:t>
      </w:r>
      <w:r w:rsidRPr="009A1C27">
        <w:rPr>
          <w:rFonts w:ascii="Sylfaen" w:hAnsi="Sylfaen" w:cs="Sylfaen"/>
        </w:rPr>
        <w:t>სიდიდეების</w:t>
      </w:r>
      <w:r w:rsidRPr="009A1C27">
        <w:rPr>
          <w:rFonts w:ascii="AcadNusx" w:hAnsi="AcadNusx" w:cs="AcadNusx"/>
        </w:rPr>
        <w:t>”</w:t>
      </w:r>
      <w:r w:rsidRPr="009A1C27">
        <w:rPr>
          <w:rFonts w:ascii="AcadNusx" w:hAnsi="AcadNusx"/>
        </w:rPr>
        <w:t xml:space="preserve"> </w:t>
      </w:r>
      <w:r w:rsidRPr="009A1C27">
        <w:rPr>
          <w:rFonts w:ascii="Sylfaen" w:hAnsi="Sylfaen" w:cs="Sylfaen"/>
        </w:rPr>
        <w:t>გამოთვლის</w:t>
      </w:r>
      <w:r w:rsidRPr="009A1C27">
        <w:rPr>
          <w:rFonts w:ascii="AcadNusx" w:hAnsi="AcadNusx"/>
        </w:rPr>
        <w:t xml:space="preserve"> </w:t>
      </w:r>
      <w:r w:rsidRPr="009A1C27">
        <w:rPr>
          <w:rFonts w:ascii="Sylfaen" w:hAnsi="Sylfaen" w:cs="Sylfaen"/>
        </w:rPr>
        <w:t>პროგრამის</w:t>
      </w:r>
      <w:r w:rsidRPr="009A1C27">
        <w:rPr>
          <w:rFonts w:ascii="AcadNusx" w:hAnsi="AcadNusx"/>
        </w:rPr>
        <w:t xml:space="preserve"> </w:t>
      </w:r>
      <w:r w:rsidRPr="009A1C27">
        <w:rPr>
          <w:rFonts w:ascii="Sylfaen" w:hAnsi="Sylfaen" w:cs="Sylfaen"/>
        </w:rPr>
        <w:t>გამოყენებით</w:t>
      </w:r>
      <w:r w:rsidRPr="009A1C27">
        <w:rPr>
          <w:rFonts w:ascii="AcadNusx" w:hAnsi="AcadNusx"/>
        </w:rPr>
        <w:t xml:space="preserve"> </w:t>
      </w:r>
      <w:r w:rsidRPr="009A1C27">
        <w:rPr>
          <w:rFonts w:ascii="Sylfaen" w:hAnsi="Sylfaen" w:cs="Sylfaen"/>
        </w:rPr>
        <w:t>განსაზღვრული</w:t>
      </w:r>
      <w:r w:rsidRPr="009A1C27">
        <w:rPr>
          <w:rFonts w:ascii="AcadNusx" w:hAnsi="AcadNusx"/>
        </w:rPr>
        <w:t xml:space="preserve"> </w:t>
      </w:r>
      <w:r w:rsidRPr="009A1C27">
        <w:rPr>
          <w:rFonts w:ascii="Sylfaen" w:hAnsi="Sylfaen" w:cs="Sylfaen"/>
        </w:rPr>
        <w:t>კომბინირებული</w:t>
      </w:r>
      <w:r w:rsidRPr="009A1C27">
        <w:rPr>
          <w:rFonts w:ascii="AcadNusx" w:hAnsi="AcadNusx"/>
        </w:rPr>
        <w:t xml:space="preserve"> </w:t>
      </w:r>
      <w:r w:rsidR="00DD4042">
        <w:rPr>
          <w:rFonts w:ascii="Sylfaen" w:hAnsi="Sylfaen" w:cs="Sylfaen"/>
        </w:rPr>
        <w:t>K</w:t>
      </w:r>
      <w:r w:rsidRPr="009A1C27">
        <w:rPr>
          <w:rFonts w:ascii="AcadNusx" w:hAnsi="AcadNusx"/>
        </w:rPr>
        <w:t>-</w:t>
      </w:r>
      <w:r w:rsidRPr="009A1C27">
        <w:rPr>
          <w:rFonts w:ascii="Sylfaen" w:hAnsi="Sylfaen" w:cs="Sylfaen"/>
        </w:rPr>
        <w:t>სიდიდე</w:t>
      </w:r>
      <w:r w:rsidRPr="009A1C27">
        <w:rPr>
          <w:rFonts w:ascii="AcadNusx" w:hAnsi="AcadNusx"/>
        </w:rPr>
        <w:t xml:space="preserve"> </w:t>
      </w:r>
      <w:r w:rsidRPr="009A1C27">
        <w:rPr>
          <w:rFonts w:ascii="Sylfaen" w:hAnsi="Sylfaen" w:cs="Sylfaen"/>
        </w:rPr>
        <w:t>შეადგენს</w:t>
      </w:r>
      <w:r w:rsidRPr="009A1C27">
        <w:rPr>
          <w:rFonts w:ascii="AcadNusx" w:hAnsi="AcadNusx"/>
        </w:rPr>
        <w:t xml:space="preserve"> 403 </w:t>
      </w:r>
      <w:r w:rsidR="00DD4042">
        <w:rPr>
          <w:rFonts w:ascii="Sylfaen" w:hAnsi="Sylfaen"/>
        </w:rPr>
        <w:t>psi</w:t>
      </w:r>
      <w:r w:rsidRPr="009A1C27">
        <w:rPr>
          <w:rFonts w:ascii="AcadNusx" w:hAnsi="AcadNusx"/>
        </w:rPr>
        <w:t>-</w:t>
      </w:r>
      <w:r w:rsidRPr="009A1C27">
        <w:rPr>
          <w:rFonts w:ascii="Sylfaen" w:hAnsi="Sylfaen" w:cs="Sylfaen"/>
        </w:rPr>
        <w:t>ს</w:t>
      </w:r>
      <w:r w:rsidRPr="009A1C27">
        <w:rPr>
          <w:rFonts w:ascii="AcadNusx" w:hAnsi="AcadNusx"/>
        </w:rPr>
        <w:t xml:space="preserve"> (</w:t>
      </w:r>
      <w:r w:rsidRPr="009A1C27">
        <w:rPr>
          <w:rFonts w:ascii="Sylfaen" w:hAnsi="Sylfaen" w:cs="Sylfaen"/>
        </w:rPr>
        <w:t>ფუნტს</w:t>
      </w:r>
      <w:r w:rsidRPr="009A1C27">
        <w:rPr>
          <w:rFonts w:ascii="AcadNusx" w:hAnsi="AcadNusx"/>
        </w:rPr>
        <w:t xml:space="preserve"> </w:t>
      </w:r>
      <w:r w:rsidRPr="009A1C27">
        <w:rPr>
          <w:rFonts w:ascii="Sylfaen" w:hAnsi="Sylfaen" w:cs="Sylfaen"/>
        </w:rPr>
        <w:t>კვ</w:t>
      </w:r>
      <w:r w:rsidRPr="009A1C27">
        <w:rPr>
          <w:rFonts w:ascii="AcadNusx" w:hAnsi="AcadNusx"/>
        </w:rPr>
        <w:t xml:space="preserve">. </w:t>
      </w:r>
      <w:r w:rsidRPr="009A1C27">
        <w:rPr>
          <w:rFonts w:ascii="Sylfaen" w:hAnsi="Sylfaen" w:cs="Sylfaen"/>
        </w:rPr>
        <w:t>დიუმზე</w:t>
      </w:r>
      <w:r w:rsidRPr="009A1C27">
        <w:rPr>
          <w:rFonts w:ascii="AcadNusx" w:hAnsi="AcadNusx"/>
        </w:rPr>
        <w:t>).</w:t>
      </w:r>
    </w:p>
    <w:p w14:paraId="3CAAE663" w14:textId="5ADC4B87" w:rsidR="009A1C27" w:rsidRPr="009A1C27" w:rsidRDefault="009A1C27" w:rsidP="009A1C27">
      <w:pPr>
        <w:spacing w:before="120" w:after="120"/>
        <w:rPr>
          <w:rFonts w:ascii="AcadNusx" w:hAnsi="AcadNusx"/>
        </w:rPr>
      </w:pPr>
      <w:r w:rsidRPr="009A1C27">
        <w:rPr>
          <w:rFonts w:ascii="Sylfaen" w:hAnsi="Sylfaen" w:cs="Sylfaen"/>
        </w:rPr>
        <w:lastRenderedPageBreak/>
        <w:t>ბეტონის</w:t>
      </w:r>
      <w:r w:rsidRPr="009A1C27">
        <w:rPr>
          <w:rFonts w:ascii="AcadNusx" w:hAnsi="AcadNusx"/>
        </w:rPr>
        <w:t xml:space="preserve"> </w:t>
      </w:r>
      <w:r w:rsidRPr="009A1C27">
        <w:rPr>
          <w:rFonts w:ascii="Sylfaen" w:hAnsi="Sylfaen" w:cs="Sylfaen"/>
        </w:rPr>
        <w:t>ფილის</w:t>
      </w:r>
      <w:r w:rsidRPr="009A1C27">
        <w:rPr>
          <w:rFonts w:ascii="AcadNusx" w:hAnsi="AcadNusx"/>
        </w:rPr>
        <w:t xml:space="preserve"> </w:t>
      </w:r>
      <w:r w:rsidRPr="009A1C27">
        <w:rPr>
          <w:rFonts w:ascii="Sylfaen" w:hAnsi="Sylfaen" w:cs="Sylfaen"/>
        </w:rPr>
        <w:t>სისქე</w:t>
      </w:r>
      <w:r w:rsidRPr="009A1C27">
        <w:rPr>
          <w:rFonts w:ascii="AcadNusx" w:hAnsi="AcadNusx"/>
        </w:rPr>
        <w:t xml:space="preserve"> </w:t>
      </w:r>
      <w:r w:rsidRPr="009A1C27">
        <w:rPr>
          <w:rFonts w:ascii="Sylfaen" w:hAnsi="Sylfaen" w:cs="Sylfaen"/>
        </w:rPr>
        <w:t>გამოითვალა</w:t>
      </w:r>
      <w:r w:rsidRPr="009A1C27">
        <w:rPr>
          <w:rFonts w:ascii="AcadNusx" w:hAnsi="AcadNusx"/>
        </w:rPr>
        <w:t xml:space="preserve"> </w:t>
      </w:r>
      <w:r w:rsidRPr="009A1C27">
        <w:rPr>
          <w:rFonts w:ascii="AcadNusx" w:hAnsi="AcadNusx" w:cs="AcadNusx"/>
        </w:rPr>
        <w:t>“</w:t>
      </w:r>
      <w:r w:rsidRPr="009A1C27">
        <w:rPr>
          <w:rFonts w:ascii="Sylfaen" w:hAnsi="Sylfaen" w:cs="Sylfaen"/>
        </w:rPr>
        <w:t>ამერიკის</w:t>
      </w:r>
      <w:r w:rsidRPr="009A1C27">
        <w:rPr>
          <w:rFonts w:ascii="AcadNusx" w:hAnsi="AcadNusx"/>
        </w:rPr>
        <w:t xml:space="preserve"> </w:t>
      </w:r>
      <w:r w:rsidRPr="009A1C27">
        <w:rPr>
          <w:rFonts w:ascii="Sylfaen" w:hAnsi="Sylfaen" w:cs="Sylfaen"/>
        </w:rPr>
        <w:t>ბეტონის</w:t>
      </w:r>
      <w:r w:rsidRPr="009A1C27">
        <w:rPr>
          <w:rFonts w:ascii="AcadNusx" w:hAnsi="AcadNusx"/>
        </w:rPr>
        <w:t xml:space="preserve"> </w:t>
      </w:r>
      <w:r w:rsidRPr="009A1C27">
        <w:rPr>
          <w:rFonts w:ascii="Sylfaen" w:hAnsi="Sylfaen" w:cs="Sylfaen"/>
        </w:rPr>
        <w:t>საგზაო</w:t>
      </w:r>
      <w:r w:rsidRPr="009A1C27">
        <w:rPr>
          <w:rFonts w:ascii="AcadNusx" w:hAnsi="AcadNusx"/>
        </w:rPr>
        <w:t xml:space="preserve"> </w:t>
      </w:r>
      <w:r w:rsidRPr="009A1C27">
        <w:rPr>
          <w:rFonts w:ascii="Sylfaen" w:hAnsi="Sylfaen" w:cs="Sylfaen"/>
        </w:rPr>
        <w:t>სამოსების</w:t>
      </w:r>
      <w:r w:rsidRPr="009A1C27">
        <w:rPr>
          <w:rFonts w:ascii="AcadNusx" w:hAnsi="AcadNusx"/>
        </w:rPr>
        <w:t xml:space="preserve"> </w:t>
      </w:r>
      <w:r w:rsidRPr="009A1C27">
        <w:rPr>
          <w:rFonts w:ascii="Sylfaen" w:hAnsi="Sylfaen" w:cs="Sylfaen"/>
        </w:rPr>
        <w:t>ასოციაციის</w:t>
      </w:r>
      <w:r w:rsidRPr="009A1C27">
        <w:rPr>
          <w:rFonts w:ascii="AcadNusx" w:hAnsi="AcadNusx" w:cs="AcadNusx"/>
        </w:rPr>
        <w:t>”</w:t>
      </w:r>
      <w:r w:rsidRPr="009A1C27">
        <w:rPr>
          <w:rFonts w:ascii="AcadNusx" w:hAnsi="AcadNusx"/>
        </w:rPr>
        <w:t xml:space="preserve"> </w:t>
      </w:r>
      <w:r w:rsidRPr="009A1C27">
        <w:rPr>
          <w:rFonts w:ascii="Sylfaen" w:hAnsi="Sylfaen" w:cs="Sylfaen"/>
        </w:rPr>
        <w:t>მიერ</w:t>
      </w:r>
      <w:r w:rsidRPr="009A1C27">
        <w:rPr>
          <w:rFonts w:ascii="AcadNusx" w:hAnsi="AcadNusx"/>
        </w:rPr>
        <w:t xml:space="preserve"> </w:t>
      </w:r>
      <w:r w:rsidRPr="009A1C27">
        <w:rPr>
          <w:rFonts w:ascii="Sylfaen" w:hAnsi="Sylfaen" w:cs="Sylfaen"/>
        </w:rPr>
        <w:t>დამუშავებული</w:t>
      </w:r>
      <w:r w:rsidRPr="009A1C27">
        <w:rPr>
          <w:rFonts w:ascii="AcadNusx" w:hAnsi="AcadNusx"/>
        </w:rPr>
        <w:t xml:space="preserve"> </w:t>
      </w:r>
      <w:r w:rsidRPr="009A1C27">
        <w:rPr>
          <w:rFonts w:ascii="Sylfaen" w:hAnsi="Sylfaen" w:cs="Sylfaen"/>
        </w:rPr>
        <w:t>კომპიუტერული</w:t>
      </w:r>
      <w:r w:rsidRPr="009A1C27">
        <w:rPr>
          <w:rFonts w:ascii="AcadNusx" w:hAnsi="AcadNusx"/>
        </w:rPr>
        <w:t xml:space="preserve"> </w:t>
      </w:r>
      <w:r w:rsidRPr="009A1C27">
        <w:rPr>
          <w:rFonts w:ascii="Sylfaen" w:hAnsi="Sylfaen" w:cs="Sylfaen"/>
        </w:rPr>
        <w:t>პროგრამით</w:t>
      </w:r>
      <w:r w:rsidRPr="009A1C27">
        <w:rPr>
          <w:rFonts w:ascii="AcadNusx" w:hAnsi="AcadNusx"/>
        </w:rPr>
        <w:t xml:space="preserve"> </w:t>
      </w:r>
      <w:r w:rsidR="00DD4042">
        <w:rPr>
          <w:rFonts w:ascii="Sylfaen" w:hAnsi="Sylfaen"/>
        </w:rPr>
        <w:t>WinPAS</w:t>
      </w:r>
      <w:r w:rsidR="00DD4042" w:rsidRPr="009A1C27">
        <w:rPr>
          <w:rFonts w:ascii="AcadNusx" w:hAnsi="AcadNusx"/>
        </w:rPr>
        <w:t>12</w:t>
      </w:r>
      <w:r w:rsidRPr="009A1C27">
        <w:rPr>
          <w:rFonts w:ascii="AcadNusx" w:hAnsi="AcadNusx"/>
        </w:rPr>
        <w:t xml:space="preserve">, </w:t>
      </w:r>
      <w:r w:rsidRPr="009A1C27">
        <w:rPr>
          <w:rFonts w:ascii="Sylfaen" w:hAnsi="Sylfaen" w:cs="Sylfaen"/>
        </w:rPr>
        <w:t>საწყისი</w:t>
      </w:r>
      <w:r w:rsidRPr="009A1C27">
        <w:rPr>
          <w:rFonts w:ascii="AcadNusx" w:hAnsi="AcadNusx"/>
        </w:rPr>
        <w:t xml:space="preserve"> </w:t>
      </w:r>
      <w:r w:rsidRPr="009A1C27">
        <w:rPr>
          <w:rFonts w:ascii="Sylfaen" w:hAnsi="Sylfaen" w:cs="Sylfaen"/>
        </w:rPr>
        <w:t>სიდიდეების</w:t>
      </w:r>
      <w:r w:rsidRPr="009A1C27">
        <w:rPr>
          <w:rFonts w:ascii="AcadNusx" w:hAnsi="AcadNusx"/>
        </w:rPr>
        <w:t xml:space="preserve"> </w:t>
      </w:r>
      <w:r w:rsidRPr="009A1C27">
        <w:rPr>
          <w:rFonts w:ascii="Sylfaen" w:hAnsi="Sylfaen" w:cs="Sylfaen"/>
        </w:rPr>
        <w:t>გამოყენებით</w:t>
      </w:r>
      <w:r w:rsidRPr="009A1C27">
        <w:rPr>
          <w:rFonts w:ascii="AcadNusx" w:hAnsi="AcadNusx"/>
        </w:rPr>
        <w:t xml:space="preserve">. </w:t>
      </w:r>
      <w:r w:rsidRPr="009A1C27">
        <w:rPr>
          <w:rFonts w:ascii="Sylfaen" w:hAnsi="Sylfaen" w:cs="Sylfaen"/>
        </w:rPr>
        <w:t>გამოთვლის</w:t>
      </w:r>
      <w:r w:rsidRPr="009A1C27">
        <w:rPr>
          <w:rFonts w:ascii="AcadNusx" w:hAnsi="AcadNusx"/>
        </w:rPr>
        <w:t xml:space="preserve"> </w:t>
      </w:r>
      <w:r w:rsidRPr="009A1C27">
        <w:rPr>
          <w:rFonts w:ascii="Sylfaen" w:hAnsi="Sylfaen" w:cs="Sylfaen"/>
        </w:rPr>
        <w:t>შედეგები</w:t>
      </w:r>
      <w:r w:rsidRPr="009A1C27">
        <w:rPr>
          <w:rFonts w:ascii="AcadNusx" w:hAnsi="AcadNusx"/>
        </w:rPr>
        <w:t xml:space="preserve"> </w:t>
      </w:r>
      <w:r w:rsidRPr="009A1C27">
        <w:rPr>
          <w:rFonts w:ascii="Sylfaen" w:hAnsi="Sylfaen" w:cs="Sylfaen"/>
        </w:rPr>
        <w:t>მოცემულია</w:t>
      </w:r>
      <w:r w:rsidRPr="009A1C27">
        <w:rPr>
          <w:rFonts w:ascii="AcadNusx" w:hAnsi="AcadNusx"/>
        </w:rPr>
        <w:t xml:space="preserve"> </w:t>
      </w:r>
      <w:r w:rsidRPr="009A1C27">
        <w:rPr>
          <w:rFonts w:ascii="Sylfaen" w:hAnsi="Sylfaen" w:cs="Sylfaen"/>
        </w:rPr>
        <w:t>მომდევნო</w:t>
      </w:r>
      <w:r w:rsidRPr="009A1C27">
        <w:rPr>
          <w:rFonts w:ascii="AcadNusx" w:hAnsi="AcadNusx"/>
        </w:rPr>
        <w:t xml:space="preserve"> </w:t>
      </w:r>
      <w:r w:rsidRPr="009A1C27">
        <w:rPr>
          <w:rFonts w:ascii="Sylfaen" w:hAnsi="Sylfaen" w:cs="Sylfaen"/>
        </w:rPr>
        <w:t>ცხრილში</w:t>
      </w:r>
      <w:r w:rsidRPr="009A1C27">
        <w:rPr>
          <w:rFonts w:ascii="AcadNusx" w:hAnsi="AcadNusx"/>
        </w:rPr>
        <w:t>.</w:t>
      </w:r>
    </w:p>
    <w:p w14:paraId="78419182" w14:textId="035543E1" w:rsidR="00EA3205" w:rsidRPr="00B05F62" w:rsidRDefault="009A1C27" w:rsidP="009A1C27">
      <w:pPr>
        <w:spacing w:before="120" w:after="120"/>
        <w:rPr>
          <w:rFonts w:ascii="AcadNusx" w:hAnsi="AcadNusx"/>
        </w:rPr>
      </w:pPr>
      <w:r w:rsidRPr="009A1C27">
        <w:rPr>
          <w:rFonts w:ascii="Sylfaen" w:hAnsi="Sylfaen" w:cs="Sylfaen"/>
        </w:rPr>
        <w:t>ცხრილი</w:t>
      </w:r>
      <w:r w:rsidRPr="009A1C27">
        <w:rPr>
          <w:rFonts w:ascii="AcadNusx" w:hAnsi="AcadNusx"/>
        </w:rPr>
        <w:t xml:space="preserve"> 4.9.3.2-1.</w:t>
      </w:r>
      <w:r w:rsidRPr="009A1C27">
        <w:rPr>
          <w:rFonts w:ascii="AcadNusx" w:hAnsi="AcadNusx"/>
        </w:rPr>
        <w:tab/>
      </w:r>
      <w:r w:rsidRPr="009A1C27">
        <w:rPr>
          <w:rFonts w:ascii="Sylfaen" w:hAnsi="Sylfaen" w:cs="Sylfaen"/>
        </w:rPr>
        <w:t>ხისტი</w:t>
      </w:r>
      <w:r w:rsidRPr="009A1C27">
        <w:rPr>
          <w:rFonts w:ascii="AcadNusx" w:hAnsi="AcadNusx"/>
        </w:rPr>
        <w:t xml:space="preserve"> </w:t>
      </w:r>
      <w:r w:rsidRPr="009A1C27">
        <w:rPr>
          <w:rFonts w:ascii="Sylfaen" w:hAnsi="Sylfaen" w:cs="Sylfaen"/>
        </w:rPr>
        <w:t>საგზაო</w:t>
      </w:r>
      <w:r w:rsidRPr="009A1C27">
        <w:rPr>
          <w:rFonts w:ascii="AcadNusx" w:hAnsi="AcadNusx"/>
        </w:rPr>
        <w:t xml:space="preserve"> </w:t>
      </w:r>
      <w:r w:rsidRPr="009A1C27">
        <w:rPr>
          <w:rFonts w:ascii="Sylfaen" w:hAnsi="Sylfaen" w:cs="Sylfaen"/>
        </w:rPr>
        <w:t>სამოსის</w:t>
      </w:r>
      <w:r w:rsidRPr="009A1C27">
        <w:rPr>
          <w:rFonts w:ascii="AcadNusx" w:hAnsi="AcadNusx"/>
        </w:rPr>
        <w:t xml:space="preserve"> </w:t>
      </w:r>
      <w:r w:rsidRPr="009A1C27">
        <w:rPr>
          <w:rFonts w:ascii="Sylfaen" w:hAnsi="Sylfaen" w:cs="Sylfaen"/>
        </w:rPr>
        <w:t>აგებულება</w:t>
      </w:r>
      <w:r w:rsidRPr="009A1C27">
        <w:rPr>
          <w:rFonts w:ascii="AcadNusx" w:hAnsi="AcadNusx"/>
        </w:rPr>
        <w:t xml:space="preserve"> </w:t>
      </w:r>
      <w:r w:rsidRPr="009A1C27">
        <w:rPr>
          <w:rFonts w:ascii="AcadNusx" w:hAnsi="AcadNusx" w:cs="AcadNusx"/>
        </w:rPr>
        <w:t>–</w:t>
      </w:r>
      <w:r w:rsidRPr="009A1C27">
        <w:rPr>
          <w:rFonts w:ascii="AcadNusx" w:hAnsi="AcadNusx"/>
        </w:rPr>
        <w:t xml:space="preserve"> </w:t>
      </w:r>
      <w:r w:rsidRPr="009A1C27">
        <w:rPr>
          <w:rFonts w:ascii="Sylfaen" w:hAnsi="Sylfaen" w:cs="Sylfaen"/>
        </w:rPr>
        <w:t>ფენების</w:t>
      </w:r>
      <w:r w:rsidRPr="009A1C27">
        <w:rPr>
          <w:rFonts w:ascii="AcadNusx" w:hAnsi="AcadNusx"/>
        </w:rPr>
        <w:t xml:space="preserve"> </w:t>
      </w:r>
      <w:r w:rsidRPr="009A1C27">
        <w:rPr>
          <w:rFonts w:ascii="Sylfaen" w:hAnsi="Sylfaen" w:cs="Sylfaen"/>
        </w:rPr>
        <w:t>სისქეები</w:t>
      </w:r>
      <w:r w:rsidRPr="009A1C27">
        <w:rPr>
          <w:rFonts w:ascii="AcadNusx" w:hAnsi="AcadNusx"/>
        </w:rPr>
        <w:t xml:space="preserve"> </w:t>
      </w:r>
      <w:r w:rsidRPr="009A1C27">
        <w:rPr>
          <w:rFonts w:ascii="Sylfaen" w:hAnsi="Sylfaen" w:cs="Sylfaen"/>
        </w:rPr>
        <w:t>ააშჰთჴ</w:t>
      </w:r>
      <w:r w:rsidRPr="009A1C27">
        <w:rPr>
          <w:rFonts w:ascii="AcadNusx" w:hAnsi="AcadNusx"/>
        </w:rPr>
        <w:t>-</w:t>
      </w:r>
      <w:r w:rsidRPr="009A1C27">
        <w:rPr>
          <w:rFonts w:ascii="Sylfaen" w:hAnsi="Sylfaen" w:cs="Sylfaen"/>
        </w:rPr>
        <w:t>ს</w:t>
      </w:r>
      <w:r w:rsidRPr="009A1C27">
        <w:rPr>
          <w:rFonts w:ascii="AcadNusx" w:hAnsi="AcadNusx"/>
        </w:rPr>
        <w:t xml:space="preserve"> </w:t>
      </w:r>
      <w:r w:rsidRPr="009A1C27">
        <w:rPr>
          <w:rFonts w:ascii="Sylfaen" w:hAnsi="Sylfaen" w:cs="Sylfaen"/>
        </w:rPr>
        <w:t>მიხედვით</w:t>
      </w:r>
    </w:p>
    <w:tbl>
      <w:tblPr>
        <w:tblW w:w="0" w:type="auto"/>
        <w:tblInd w:w="108" w:type="dxa"/>
        <w:tblLook w:val="04A0" w:firstRow="1" w:lastRow="0" w:firstColumn="1" w:lastColumn="0" w:noHBand="0" w:noVBand="1"/>
      </w:tblPr>
      <w:tblGrid>
        <w:gridCol w:w="2171"/>
        <w:gridCol w:w="2171"/>
        <w:gridCol w:w="2171"/>
        <w:gridCol w:w="3094"/>
      </w:tblGrid>
      <w:tr w:rsidR="00EA3205" w:rsidRPr="00DD4042" w14:paraId="22BB889C" w14:textId="77777777" w:rsidTr="00B77B2E">
        <w:tc>
          <w:tcPr>
            <w:tcW w:w="217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C5D4291" w14:textId="06F0E871" w:rsidR="00EA3205" w:rsidRPr="00DD4042" w:rsidRDefault="00DD4042" w:rsidP="00DD4042">
            <w:pPr>
              <w:rPr>
                <w:rFonts w:ascii="Sylfaen" w:hAnsi="Sylfaen"/>
                <w:sz w:val="18"/>
              </w:rPr>
            </w:pPr>
            <w:r w:rsidRPr="00DD4042">
              <w:rPr>
                <w:rFonts w:ascii="Sylfaen" w:hAnsi="Sylfaen"/>
                <w:sz w:val="18"/>
                <w:lang w:val="ka-GE"/>
              </w:rPr>
              <w:t>ბეტონის ფილა (მმ)</w:t>
            </w:r>
          </w:p>
        </w:tc>
        <w:tc>
          <w:tcPr>
            <w:tcW w:w="217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72ABDA7" w14:textId="657D8EF2" w:rsidR="00EA3205" w:rsidRPr="00DD4042" w:rsidRDefault="00DD4042" w:rsidP="00DD4042">
            <w:pPr>
              <w:rPr>
                <w:rFonts w:ascii="Sylfaen" w:hAnsi="Sylfaen"/>
                <w:sz w:val="18"/>
              </w:rPr>
            </w:pPr>
            <w:r w:rsidRPr="00DD4042">
              <w:rPr>
                <w:rFonts w:ascii="Sylfaen" w:hAnsi="Sylfaen"/>
                <w:sz w:val="18"/>
                <w:lang w:val="ka-GE"/>
              </w:rPr>
              <w:t>მარცვლოვანი საფუძველის ფენა (მმ)</w:t>
            </w:r>
          </w:p>
        </w:tc>
        <w:tc>
          <w:tcPr>
            <w:tcW w:w="217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2CDB05C" w14:textId="302D587C" w:rsidR="00EA3205" w:rsidRPr="00DD4042" w:rsidRDefault="00DD4042" w:rsidP="00DD4042">
            <w:pPr>
              <w:rPr>
                <w:rFonts w:ascii="Sylfaen" w:hAnsi="Sylfaen"/>
                <w:sz w:val="18"/>
              </w:rPr>
            </w:pPr>
            <w:r w:rsidRPr="00DD4042">
              <w:rPr>
                <w:rFonts w:ascii="Sylfaen" w:hAnsi="Sylfaen"/>
                <w:sz w:val="18"/>
                <w:lang w:val="ka-GE"/>
              </w:rPr>
              <w:t>მარცვლოვანი საფუძველის ქვედა ფენა  (მმ)</w:t>
            </w:r>
          </w:p>
        </w:tc>
        <w:tc>
          <w:tcPr>
            <w:tcW w:w="3094"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B6A2934" w14:textId="748FFE9B" w:rsidR="00EA3205" w:rsidRPr="00DD4042" w:rsidRDefault="00DD4042" w:rsidP="00DD4042">
            <w:pPr>
              <w:rPr>
                <w:rFonts w:ascii="Sylfaen" w:hAnsi="Sylfaen"/>
                <w:sz w:val="18"/>
              </w:rPr>
            </w:pPr>
            <w:r w:rsidRPr="00DD4042">
              <w:rPr>
                <w:rFonts w:ascii="Sylfaen" w:hAnsi="Sylfaen"/>
                <w:sz w:val="18"/>
                <w:lang w:val="ka-GE"/>
              </w:rPr>
              <w:t>სამოსის ჯამური სისქე (მმ)</w:t>
            </w:r>
          </w:p>
        </w:tc>
      </w:tr>
      <w:tr w:rsidR="00EA3205" w:rsidRPr="00DD4042" w14:paraId="183BF689" w14:textId="77777777" w:rsidTr="00B77B2E">
        <w:trPr>
          <w:trHeight w:val="552"/>
        </w:trPr>
        <w:tc>
          <w:tcPr>
            <w:tcW w:w="2171" w:type="dxa"/>
            <w:tcBorders>
              <w:top w:val="single" w:sz="4" w:space="0" w:color="auto"/>
              <w:left w:val="single" w:sz="4" w:space="0" w:color="auto"/>
              <w:bottom w:val="single" w:sz="4" w:space="0" w:color="auto"/>
              <w:right w:val="single" w:sz="4" w:space="0" w:color="auto"/>
            </w:tcBorders>
            <w:vAlign w:val="center"/>
            <w:hideMark/>
          </w:tcPr>
          <w:p w14:paraId="0F747E8C" w14:textId="77777777" w:rsidR="00EA3205" w:rsidRPr="00DD4042" w:rsidRDefault="00EA3205" w:rsidP="00EA3205">
            <w:pPr>
              <w:rPr>
                <w:rFonts w:ascii="Sylfaen" w:hAnsi="Sylfaen"/>
                <w:sz w:val="18"/>
              </w:rPr>
            </w:pPr>
            <w:r w:rsidRPr="00DD4042">
              <w:rPr>
                <w:rFonts w:ascii="Sylfaen" w:hAnsi="Sylfaen"/>
                <w:sz w:val="18"/>
              </w:rPr>
              <w:t>230</w:t>
            </w:r>
          </w:p>
        </w:tc>
        <w:tc>
          <w:tcPr>
            <w:tcW w:w="2171" w:type="dxa"/>
            <w:tcBorders>
              <w:top w:val="single" w:sz="4" w:space="0" w:color="auto"/>
              <w:left w:val="single" w:sz="4" w:space="0" w:color="auto"/>
              <w:bottom w:val="single" w:sz="4" w:space="0" w:color="auto"/>
              <w:right w:val="single" w:sz="4" w:space="0" w:color="auto"/>
            </w:tcBorders>
            <w:vAlign w:val="center"/>
            <w:hideMark/>
          </w:tcPr>
          <w:p w14:paraId="03278B58" w14:textId="77777777" w:rsidR="00EA3205" w:rsidRPr="00DD4042" w:rsidRDefault="00EA3205" w:rsidP="00EA3205">
            <w:pPr>
              <w:rPr>
                <w:rFonts w:ascii="Sylfaen" w:hAnsi="Sylfaen"/>
                <w:sz w:val="18"/>
              </w:rPr>
            </w:pPr>
            <w:r w:rsidRPr="00DD4042">
              <w:rPr>
                <w:rFonts w:ascii="Sylfaen" w:hAnsi="Sylfaen"/>
                <w:sz w:val="18"/>
              </w:rPr>
              <w:t>300</w:t>
            </w:r>
          </w:p>
        </w:tc>
        <w:tc>
          <w:tcPr>
            <w:tcW w:w="2171" w:type="dxa"/>
            <w:tcBorders>
              <w:top w:val="single" w:sz="4" w:space="0" w:color="auto"/>
              <w:left w:val="single" w:sz="4" w:space="0" w:color="auto"/>
              <w:bottom w:val="single" w:sz="4" w:space="0" w:color="auto"/>
              <w:right w:val="single" w:sz="4" w:space="0" w:color="auto"/>
            </w:tcBorders>
            <w:vAlign w:val="center"/>
            <w:hideMark/>
          </w:tcPr>
          <w:p w14:paraId="1F195137" w14:textId="77777777" w:rsidR="00EA3205" w:rsidRPr="00DD4042" w:rsidRDefault="00EA3205" w:rsidP="00EA3205">
            <w:pPr>
              <w:rPr>
                <w:rFonts w:ascii="Sylfaen" w:hAnsi="Sylfaen"/>
                <w:sz w:val="18"/>
              </w:rPr>
            </w:pPr>
            <w:r w:rsidRPr="00DD4042">
              <w:rPr>
                <w:rFonts w:ascii="Sylfaen" w:hAnsi="Sylfaen"/>
                <w:sz w:val="18"/>
              </w:rPr>
              <w:t>200</w:t>
            </w:r>
          </w:p>
        </w:tc>
        <w:tc>
          <w:tcPr>
            <w:tcW w:w="3094" w:type="dxa"/>
            <w:tcBorders>
              <w:top w:val="single" w:sz="4" w:space="0" w:color="auto"/>
              <w:left w:val="single" w:sz="4" w:space="0" w:color="auto"/>
              <w:bottom w:val="single" w:sz="4" w:space="0" w:color="auto"/>
              <w:right w:val="single" w:sz="4" w:space="0" w:color="auto"/>
            </w:tcBorders>
            <w:vAlign w:val="center"/>
            <w:hideMark/>
          </w:tcPr>
          <w:p w14:paraId="294D5ED6" w14:textId="77777777" w:rsidR="00EA3205" w:rsidRPr="00DD4042" w:rsidRDefault="00EA3205" w:rsidP="00EA3205">
            <w:pPr>
              <w:rPr>
                <w:rFonts w:ascii="Sylfaen" w:hAnsi="Sylfaen"/>
                <w:sz w:val="18"/>
              </w:rPr>
            </w:pPr>
            <w:r w:rsidRPr="00DD4042">
              <w:rPr>
                <w:rFonts w:ascii="Sylfaen" w:hAnsi="Sylfaen"/>
                <w:sz w:val="18"/>
              </w:rPr>
              <w:t>730</w:t>
            </w:r>
          </w:p>
        </w:tc>
      </w:tr>
    </w:tbl>
    <w:p w14:paraId="4F6DA17D" w14:textId="77777777" w:rsidR="00EA3205" w:rsidRPr="00B05F62" w:rsidRDefault="00EA3205" w:rsidP="00EA3205">
      <w:pPr>
        <w:rPr>
          <w:rFonts w:ascii="AcadNusx" w:hAnsi="AcadNusx"/>
        </w:rPr>
      </w:pPr>
    </w:p>
    <w:p w14:paraId="15C237E1" w14:textId="77777777" w:rsidR="00DD4042" w:rsidRPr="00DD4042" w:rsidRDefault="00DD4042" w:rsidP="00DD4042">
      <w:pPr>
        <w:rPr>
          <w:rFonts w:ascii="AcadNusx" w:hAnsi="AcadNusx"/>
        </w:rPr>
      </w:pPr>
      <w:r w:rsidRPr="00DD4042">
        <w:rPr>
          <w:rFonts w:ascii="Sylfaen" w:hAnsi="Sylfaen" w:cs="Sylfaen"/>
        </w:rPr>
        <w:t>ხისტი</w:t>
      </w:r>
      <w:r w:rsidRPr="00DD4042">
        <w:rPr>
          <w:rFonts w:ascii="AcadNusx" w:hAnsi="AcadNusx"/>
        </w:rPr>
        <w:t xml:space="preserve"> </w:t>
      </w:r>
      <w:r w:rsidRPr="00DD4042">
        <w:rPr>
          <w:rFonts w:ascii="Sylfaen" w:hAnsi="Sylfaen" w:cs="Sylfaen"/>
        </w:rPr>
        <w:t>საგზაო</w:t>
      </w:r>
      <w:r w:rsidRPr="00DD4042">
        <w:rPr>
          <w:rFonts w:ascii="AcadNusx" w:hAnsi="AcadNusx"/>
        </w:rPr>
        <w:t xml:space="preserve"> </w:t>
      </w:r>
      <w:r w:rsidRPr="00DD4042">
        <w:rPr>
          <w:rFonts w:ascii="Sylfaen" w:hAnsi="Sylfaen" w:cs="Sylfaen"/>
        </w:rPr>
        <w:t>სამოსის</w:t>
      </w:r>
      <w:r w:rsidRPr="00DD4042">
        <w:rPr>
          <w:rFonts w:ascii="AcadNusx" w:hAnsi="AcadNusx"/>
        </w:rPr>
        <w:t xml:space="preserve"> </w:t>
      </w:r>
      <w:r w:rsidRPr="00DD4042">
        <w:rPr>
          <w:rFonts w:ascii="Sylfaen" w:hAnsi="Sylfaen" w:cs="Sylfaen"/>
        </w:rPr>
        <w:t>აგებულებაში</w:t>
      </w:r>
      <w:r w:rsidRPr="00DD4042">
        <w:rPr>
          <w:rFonts w:ascii="AcadNusx" w:hAnsi="AcadNusx"/>
        </w:rPr>
        <w:t xml:space="preserve"> (</w:t>
      </w:r>
      <w:r w:rsidRPr="00DD4042">
        <w:rPr>
          <w:rFonts w:ascii="Sylfaen" w:hAnsi="Sylfaen" w:cs="Sylfaen"/>
        </w:rPr>
        <w:t>ზევიდან</w:t>
      </w:r>
      <w:r w:rsidRPr="00DD4042">
        <w:rPr>
          <w:rFonts w:ascii="AcadNusx" w:hAnsi="AcadNusx"/>
        </w:rPr>
        <w:t xml:space="preserve"> </w:t>
      </w:r>
      <w:r w:rsidRPr="00DD4042">
        <w:rPr>
          <w:rFonts w:ascii="Sylfaen" w:hAnsi="Sylfaen" w:cs="Sylfaen"/>
        </w:rPr>
        <w:t>ქვევით</w:t>
      </w:r>
      <w:r w:rsidRPr="00DD4042">
        <w:rPr>
          <w:rFonts w:ascii="AcadNusx" w:hAnsi="AcadNusx"/>
        </w:rPr>
        <w:t xml:space="preserve">) </w:t>
      </w:r>
      <w:r w:rsidRPr="00DD4042">
        <w:rPr>
          <w:rFonts w:ascii="Sylfaen" w:hAnsi="Sylfaen" w:cs="Sylfaen"/>
        </w:rPr>
        <w:t>წარმოდგენილია</w:t>
      </w:r>
      <w:r w:rsidRPr="00DD4042">
        <w:rPr>
          <w:rFonts w:ascii="AcadNusx" w:hAnsi="AcadNusx"/>
        </w:rPr>
        <w:t xml:space="preserve"> 230 </w:t>
      </w:r>
      <w:r w:rsidRPr="00DD4042">
        <w:rPr>
          <w:rFonts w:ascii="Sylfaen" w:hAnsi="Sylfaen" w:cs="Sylfaen"/>
        </w:rPr>
        <w:t>მმ</w:t>
      </w:r>
      <w:r w:rsidRPr="00DD4042">
        <w:rPr>
          <w:rFonts w:ascii="AcadNusx" w:hAnsi="AcadNusx"/>
        </w:rPr>
        <w:t xml:space="preserve"> </w:t>
      </w:r>
      <w:r w:rsidRPr="00DD4042">
        <w:rPr>
          <w:rFonts w:ascii="Sylfaen" w:hAnsi="Sylfaen" w:cs="Sylfaen"/>
        </w:rPr>
        <w:t>სისქის</w:t>
      </w:r>
      <w:r w:rsidRPr="00DD4042">
        <w:rPr>
          <w:rFonts w:ascii="AcadNusx" w:hAnsi="AcadNusx"/>
        </w:rPr>
        <w:t xml:space="preserve"> </w:t>
      </w:r>
      <w:r w:rsidRPr="00DD4042">
        <w:rPr>
          <w:rFonts w:ascii="Sylfaen" w:hAnsi="Sylfaen" w:cs="Sylfaen"/>
        </w:rPr>
        <w:t>ბეტონის</w:t>
      </w:r>
      <w:r w:rsidRPr="00DD4042">
        <w:rPr>
          <w:rFonts w:ascii="AcadNusx" w:hAnsi="AcadNusx"/>
        </w:rPr>
        <w:t xml:space="preserve"> </w:t>
      </w:r>
      <w:r w:rsidRPr="00DD4042">
        <w:rPr>
          <w:rFonts w:ascii="Sylfaen" w:hAnsi="Sylfaen" w:cs="Sylfaen"/>
        </w:rPr>
        <w:t>ფილით</w:t>
      </w:r>
      <w:r w:rsidRPr="00DD4042">
        <w:rPr>
          <w:rFonts w:ascii="AcadNusx" w:hAnsi="AcadNusx"/>
        </w:rPr>
        <w:t xml:space="preserve">, 300 </w:t>
      </w:r>
      <w:r w:rsidRPr="00DD4042">
        <w:rPr>
          <w:rFonts w:ascii="Sylfaen" w:hAnsi="Sylfaen" w:cs="Sylfaen"/>
        </w:rPr>
        <w:t>მმ</w:t>
      </w:r>
      <w:r w:rsidRPr="00DD4042">
        <w:rPr>
          <w:rFonts w:ascii="AcadNusx" w:hAnsi="AcadNusx"/>
        </w:rPr>
        <w:t xml:space="preserve"> </w:t>
      </w:r>
      <w:r w:rsidRPr="00DD4042">
        <w:rPr>
          <w:rFonts w:ascii="Sylfaen" w:hAnsi="Sylfaen" w:cs="Sylfaen"/>
        </w:rPr>
        <w:t>სისქის</w:t>
      </w:r>
      <w:r w:rsidRPr="00DD4042">
        <w:rPr>
          <w:rFonts w:ascii="AcadNusx" w:hAnsi="AcadNusx"/>
        </w:rPr>
        <w:t xml:space="preserve"> </w:t>
      </w:r>
      <w:r w:rsidRPr="00DD4042">
        <w:rPr>
          <w:rFonts w:ascii="Sylfaen" w:hAnsi="Sylfaen" w:cs="Sylfaen"/>
        </w:rPr>
        <w:t>ღორღოვანი</w:t>
      </w:r>
      <w:r w:rsidRPr="00DD4042">
        <w:rPr>
          <w:rFonts w:ascii="AcadNusx" w:hAnsi="AcadNusx"/>
        </w:rPr>
        <w:t xml:space="preserve"> </w:t>
      </w:r>
      <w:r w:rsidRPr="00DD4042">
        <w:rPr>
          <w:rFonts w:ascii="Sylfaen" w:hAnsi="Sylfaen" w:cs="Sylfaen"/>
        </w:rPr>
        <w:t>საფუძველით</w:t>
      </w:r>
      <w:r w:rsidRPr="00DD4042">
        <w:rPr>
          <w:rFonts w:ascii="AcadNusx" w:hAnsi="AcadNusx"/>
        </w:rPr>
        <w:t xml:space="preserve"> </w:t>
      </w:r>
      <w:r w:rsidRPr="00DD4042">
        <w:rPr>
          <w:rFonts w:ascii="Sylfaen" w:hAnsi="Sylfaen" w:cs="Sylfaen"/>
        </w:rPr>
        <w:t>და</w:t>
      </w:r>
      <w:r w:rsidRPr="00DD4042">
        <w:rPr>
          <w:rFonts w:ascii="AcadNusx" w:hAnsi="AcadNusx"/>
        </w:rPr>
        <w:t xml:space="preserve"> 150 </w:t>
      </w:r>
      <w:r w:rsidRPr="00DD4042">
        <w:rPr>
          <w:rFonts w:ascii="Sylfaen" w:hAnsi="Sylfaen" w:cs="Sylfaen"/>
        </w:rPr>
        <w:t>სისქის</w:t>
      </w:r>
      <w:r w:rsidRPr="00DD4042">
        <w:rPr>
          <w:rFonts w:ascii="AcadNusx" w:hAnsi="AcadNusx"/>
        </w:rPr>
        <w:t xml:space="preserve"> </w:t>
      </w:r>
      <w:r w:rsidRPr="00DD4042">
        <w:rPr>
          <w:rFonts w:ascii="Sylfaen" w:hAnsi="Sylfaen" w:cs="Sylfaen"/>
        </w:rPr>
        <w:t>საფუძველის</w:t>
      </w:r>
      <w:r w:rsidRPr="00DD4042">
        <w:rPr>
          <w:rFonts w:ascii="AcadNusx" w:hAnsi="AcadNusx"/>
        </w:rPr>
        <w:t xml:space="preserve"> </w:t>
      </w:r>
      <w:r w:rsidRPr="00DD4042">
        <w:rPr>
          <w:rFonts w:ascii="Sylfaen" w:hAnsi="Sylfaen" w:cs="Sylfaen"/>
        </w:rPr>
        <w:t>შესასწორებელი</w:t>
      </w:r>
      <w:r w:rsidRPr="00DD4042">
        <w:rPr>
          <w:rFonts w:ascii="AcadNusx" w:hAnsi="AcadNusx"/>
        </w:rPr>
        <w:t xml:space="preserve"> </w:t>
      </w:r>
      <w:r w:rsidRPr="00DD4042">
        <w:rPr>
          <w:rFonts w:ascii="Sylfaen" w:hAnsi="Sylfaen" w:cs="Sylfaen"/>
        </w:rPr>
        <w:t>ფენით</w:t>
      </w:r>
      <w:r w:rsidRPr="00DD4042">
        <w:rPr>
          <w:rFonts w:ascii="AcadNusx" w:hAnsi="AcadNusx"/>
        </w:rPr>
        <w:t xml:space="preserve">. </w:t>
      </w:r>
      <w:r w:rsidRPr="00DD4042">
        <w:rPr>
          <w:rFonts w:ascii="Sylfaen" w:hAnsi="Sylfaen" w:cs="Sylfaen"/>
        </w:rPr>
        <w:t>ასეთი</w:t>
      </w:r>
      <w:r w:rsidRPr="00DD4042">
        <w:rPr>
          <w:rFonts w:ascii="AcadNusx" w:hAnsi="AcadNusx"/>
        </w:rPr>
        <w:t xml:space="preserve"> </w:t>
      </w:r>
      <w:r w:rsidRPr="00DD4042">
        <w:rPr>
          <w:rFonts w:ascii="Sylfaen" w:hAnsi="Sylfaen" w:cs="Sylfaen"/>
        </w:rPr>
        <w:t>საგზაო</w:t>
      </w:r>
      <w:r w:rsidRPr="00DD4042">
        <w:rPr>
          <w:rFonts w:ascii="AcadNusx" w:hAnsi="AcadNusx"/>
        </w:rPr>
        <w:t xml:space="preserve"> </w:t>
      </w:r>
      <w:r w:rsidRPr="00DD4042">
        <w:rPr>
          <w:rFonts w:ascii="Sylfaen" w:hAnsi="Sylfaen" w:cs="Sylfaen"/>
        </w:rPr>
        <w:t>სამოსის</w:t>
      </w:r>
      <w:r w:rsidRPr="00DD4042">
        <w:rPr>
          <w:rFonts w:ascii="AcadNusx" w:hAnsi="AcadNusx"/>
        </w:rPr>
        <w:t xml:space="preserve"> </w:t>
      </w:r>
      <w:r w:rsidRPr="00DD4042">
        <w:rPr>
          <w:rFonts w:ascii="Sylfaen" w:hAnsi="Sylfaen" w:cs="Sylfaen"/>
        </w:rPr>
        <w:t>სრული</w:t>
      </w:r>
      <w:r w:rsidRPr="00DD4042">
        <w:rPr>
          <w:rFonts w:ascii="AcadNusx" w:hAnsi="AcadNusx"/>
        </w:rPr>
        <w:t xml:space="preserve"> </w:t>
      </w:r>
      <w:r w:rsidRPr="00DD4042">
        <w:rPr>
          <w:rFonts w:ascii="Sylfaen" w:hAnsi="Sylfaen" w:cs="Sylfaen"/>
        </w:rPr>
        <w:t>სისქე</w:t>
      </w:r>
      <w:r w:rsidRPr="00DD4042">
        <w:rPr>
          <w:rFonts w:ascii="AcadNusx" w:hAnsi="AcadNusx"/>
        </w:rPr>
        <w:t xml:space="preserve"> 730 </w:t>
      </w:r>
      <w:r w:rsidRPr="00DD4042">
        <w:rPr>
          <w:rFonts w:ascii="Sylfaen" w:hAnsi="Sylfaen" w:cs="Sylfaen"/>
        </w:rPr>
        <w:t>მმ</w:t>
      </w:r>
      <w:r w:rsidRPr="00DD4042">
        <w:rPr>
          <w:rFonts w:ascii="AcadNusx" w:hAnsi="AcadNusx"/>
        </w:rPr>
        <w:t>-</w:t>
      </w:r>
      <w:r w:rsidRPr="00DD4042">
        <w:rPr>
          <w:rFonts w:ascii="Sylfaen" w:hAnsi="Sylfaen" w:cs="Sylfaen"/>
        </w:rPr>
        <w:t>ს</w:t>
      </w:r>
      <w:r w:rsidRPr="00DD4042">
        <w:rPr>
          <w:rFonts w:ascii="AcadNusx" w:hAnsi="AcadNusx"/>
        </w:rPr>
        <w:t xml:space="preserve"> </w:t>
      </w:r>
      <w:r w:rsidRPr="00DD4042">
        <w:rPr>
          <w:rFonts w:ascii="Sylfaen" w:hAnsi="Sylfaen" w:cs="Sylfaen"/>
        </w:rPr>
        <w:t>შეადგენს</w:t>
      </w:r>
      <w:r w:rsidRPr="00DD4042">
        <w:rPr>
          <w:rFonts w:ascii="AcadNusx" w:hAnsi="AcadNusx"/>
        </w:rPr>
        <w:t xml:space="preserve">. </w:t>
      </w:r>
    </w:p>
    <w:p w14:paraId="622DE3A8" w14:textId="77777777" w:rsidR="00DD4042" w:rsidRPr="00DD4042" w:rsidRDefault="00DD4042" w:rsidP="00DD4042">
      <w:pPr>
        <w:rPr>
          <w:rFonts w:ascii="AcadNusx" w:hAnsi="AcadNusx"/>
        </w:rPr>
      </w:pPr>
      <w:r w:rsidRPr="00DD4042">
        <w:rPr>
          <w:rFonts w:ascii="Sylfaen" w:hAnsi="Sylfaen" w:cs="Sylfaen"/>
        </w:rPr>
        <w:t>მომდევნო</w:t>
      </w:r>
      <w:r w:rsidRPr="00DD4042">
        <w:rPr>
          <w:rFonts w:ascii="AcadNusx" w:hAnsi="AcadNusx"/>
        </w:rPr>
        <w:t xml:space="preserve"> </w:t>
      </w:r>
      <w:r w:rsidRPr="00DD4042">
        <w:rPr>
          <w:rFonts w:ascii="Sylfaen" w:hAnsi="Sylfaen" w:cs="Sylfaen"/>
        </w:rPr>
        <w:t>სურათზე</w:t>
      </w:r>
      <w:r w:rsidRPr="00DD4042">
        <w:rPr>
          <w:rFonts w:ascii="AcadNusx" w:hAnsi="AcadNusx"/>
        </w:rPr>
        <w:t xml:space="preserve"> </w:t>
      </w:r>
      <w:r w:rsidRPr="00DD4042">
        <w:rPr>
          <w:rFonts w:ascii="Sylfaen" w:hAnsi="Sylfaen" w:cs="Sylfaen"/>
        </w:rPr>
        <w:t>გრაფიკულად</w:t>
      </w:r>
      <w:r w:rsidRPr="00DD4042">
        <w:rPr>
          <w:rFonts w:ascii="AcadNusx" w:hAnsi="AcadNusx"/>
        </w:rPr>
        <w:t xml:space="preserve"> </w:t>
      </w:r>
      <w:r w:rsidRPr="00DD4042">
        <w:rPr>
          <w:rFonts w:ascii="Sylfaen" w:hAnsi="Sylfaen" w:cs="Sylfaen"/>
        </w:rPr>
        <w:t>არიან</w:t>
      </w:r>
      <w:r w:rsidRPr="00DD4042">
        <w:rPr>
          <w:rFonts w:ascii="AcadNusx" w:hAnsi="AcadNusx"/>
        </w:rPr>
        <w:t xml:space="preserve"> </w:t>
      </w:r>
      <w:r w:rsidRPr="00DD4042">
        <w:rPr>
          <w:rFonts w:ascii="Sylfaen" w:hAnsi="Sylfaen" w:cs="Sylfaen"/>
        </w:rPr>
        <w:t>მიმოხილული</w:t>
      </w:r>
      <w:r w:rsidRPr="00DD4042">
        <w:rPr>
          <w:rFonts w:ascii="AcadNusx" w:hAnsi="AcadNusx"/>
        </w:rPr>
        <w:t xml:space="preserve"> </w:t>
      </w:r>
      <w:r w:rsidRPr="00DD4042">
        <w:rPr>
          <w:rFonts w:ascii="Sylfaen" w:hAnsi="Sylfaen" w:cs="Sylfaen"/>
        </w:rPr>
        <w:t>შეთავაზებული</w:t>
      </w:r>
      <w:r w:rsidRPr="00DD4042">
        <w:rPr>
          <w:rFonts w:ascii="AcadNusx" w:hAnsi="AcadNusx"/>
        </w:rPr>
        <w:t xml:space="preserve"> </w:t>
      </w:r>
      <w:r w:rsidRPr="00DD4042">
        <w:rPr>
          <w:rFonts w:ascii="Sylfaen" w:hAnsi="Sylfaen" w:cs="Sylfaen"/>
        </w:rPr>
        <w:t>ალტერნატიული</w:t>
      </w:r>
      <w:r w:rsidRPr="00DD4042">
        <w:rPr>
          <w:rFonts w:ascii="AcadNusx" w:hAnsi="AcadNusx"/>
        </w:rPr>
        <w:t xml:space="preserve"> </w:t>
      </w:r>
      <w:r w:rsidRPr="00DD4042">
        <w:rPr>
          <w:rFonts w:ascii="Sylfaen" w:hAnsi="Sylfaen" w:cs="Sylfaen"/>
        </w:rPr>
        <w:t>საგზაო</w:t>
      </w:r>
      <w:r w:rsidRPr="00DD4042">
        <w:rPr>
          <w:rFonts w:ascii="AcadNusx" w:hAnsi="AcadNusx"/>
        </w:rPr>
        <w:t xml:space="preserve"> </w:t>
      </w:r>
      <w:r w:rsidRPr="00DD4042">
        <w:rPr>
          <w:rFonts w:ascii="Sylfaen" w:hAnsi="Sylfaen" w:cs="Sylfaen"/>
        </w:rPr>
        <w:t>სამოსები</w:t>
      </w:r>
      <w:r w:rsidRPr="00DD4042">
        <w:rPr>
          <w:rFonts w:ascii="AcadNusx" w:hAnsi="AcadNusx"/>
        </w:rPr>
        <w:t xml:space="preserve">. </w:t>
      </w:r>
    </w:p>
    <w:p w14:paraId="3B170ACF" w14:textId="15838D15" w:rsidR="00EA3205" w:rsidRPr="00DD4042" w:rsidRDefault="00DD4042" w:rsidP="00DD4042">
      <w:pPr>
        <w:rPr>
          <w:rFonts w:ascii="AcadNusx" w:hAnsi="AcadNusx"/>
        </w:rPr>
      </w:pPr>
      <w:r w:rsidRPr="00DD4042">
        <w:rPr>
          <w:rFonts w:ascii="Sylfaen" w:hAnsi="Sylfaen" w:cs="Sylfaen"/>
        </w:rPr>
        <w:t>სურათი</w:t>
      </w:r>
      <w:r w:rsidRPr="00DD4042">
        <w:rPr>
          <w:rFonts w:ascii="AcadNusx" w:hAnsi="AcadNusx"/>
        </w:rPr>
        <w:t xml:space="preserve"> 4.9.3.1-1. </w:t>
      </w:r>
      <w:r w:rsidRPr="00DD4042">
        <w:rPr>
          <w:rFonts w:ascii="Sylfaen" w:hAnsi="Sylfaen" w:cs="Sylfaen"/>
        </w:rPr>
        <w:t>შეთავაზებული</w:t>
      </w:r>
      <w:r w:rsidRPr="00DD4042">
        <w:rPr>
          <w:rFonts w:ascii="AcadNusx" w:hAnsi="AcadNusx"/>
        </w:rPr>
        <w:t xml:space="preserve"> </w:t>
      </w:r>
      <w:r w:rsidRPr="00DD4042">
        <w:rPr>
          <w:rFonts w:ascii="Sylfaen" w:hAnsi="Sylfaen" w:cs="Sylfaen"/>
        </w:rPr>
        <w:t>ალტერნატიული</w:t>
      </w:r>
      <w:r w:rsidRPr="00DD4042">
        <w:rPr>
          <w:rFonts w:ascii="AcadNusx" w:hAnsi="AcadNusx"/>
        </w:rPr>
        <w:t xml:space="preserve"> </w:t>
      </w:r>
      <w:r w:rsidRPr="00DD4042">
        <w:rPr>
          <w:rFonts w:ascii="Sylfaen" w:hAnsi="Sylfaen" w:cs="Sylfaen"/>
        </w:rPr>
        <w:t>საგზაო</w:t>
      </w:r>
      <w:r w:rsidRPr="00DD4042">
        <w:rPr>
          <w:rFonts w:ascii="AcadNusx" w:hAnsi="AcadNusx"/>
        </w:rPr>
        <w:t xml:space="preserve"> </w:t>
      </w:r>
      <w:r w:rsidRPr="00DD4042">
        <w:rPr>
          <w:rFonts w:ascii="Sylfaen" w:hAnsi="Sylfaen" w:cs="Sylfaen"/>
        </w:rPr>
        <w:t>სამოსების</w:t>
      </w:r>
      <w:r w:rsidRPr="00DD4042">
        <w:rPr>
          <w:rFonts w:ascii="AcadNusx" w:hAnsi="AcadNusx"/>
        </w:rPr>
        <w:t xml:space="preserve"> </w:t>
      </w:r>
      <w:r w:rsidRPr="00DD4042">
        <w:rPr>
          <w:rFonts w:ascii="Sylfaen" w:hAnsi="Sylfaen" w:cs="Sylfaen"/>
        </w:rPr>
        <w:t>აგებულებები</w:t>
      </w:r>
    </w:p>
    <w:p w14:paraId="7E066CBB" w14:textId="40352B61" w:rsidR="00EA3205" w:rsidRPr="00B05F62" w:rsidRDefault="00EA3205" w:rsidP="00EA6DAA">
      <w:pPr>
        <w:jc w:val="center"/>
        <w:rPr>
          <w:rFonts w:ascii="AcadNusx" w:hAnsi="AcadNusx"/>
        </w:rPr>
      </w:pPr>
      <w:r w:rsidRPr="00B05F62">
        <w:rPr>
          <w:rFonts w:ascii="AcadNusx" w:hAnsi="AcadNusx"/>
          <w:noProof/>
          <w:lang w:val="en-US" w:eastAsia="en-US"/>
        </w:rPr>
        <w:drawing>
          <wp:inline distT="0" distB="0" distL="0" distR="0" wp14:anchorId="6BFB63BC" wp14:editId="5DA23CB5">
            <wp:extent cx="5649595" cy="3867066"/>
            <wp:effectExtent l="0" t="0" r="8255" b="63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5689717" cy="3894529"/>
                    </a:xfrm>
                    <a:prstGeom prst="rect">
                      <a:avLst/>
                    </a:prstGeom>
                    <a:noFill/>
                    <a:ln>
                      <a:noFill/>
                    </a:ln>
                  </pic:spPr>
                </pic:pic>
              </a:graphicData>
            </a:graphic>
          </wp:inline>
        </w:drawing>
      </w:r>
    </w:p>
    <w:p w14:paraId="5786315A" w14:textId="77777777" w:rsidR="00EA3205" w:rsidRPr="00B05F62" w:rsidRDefault="00EA3205" w:rsidP="00EA3205">
      <w:pPr>
        <w:rPr>
          <w:rFonts w:ascii="AcadNusx" w:hAnsi="AcadNusx"/>
          <w:lang w:val="en-US"/>
        </w:rPr>
      </w:pPr>
    </w:p>
    <w:p w14:paraId="6DFC3FD1" w14:textId="33D358E8" w:rsidR="00EA3205" w:rsidRPr="00B05F62" w:rsidRDefault="00DD4042" w:rsidP="006B2E4A">
      <w:pPr>
        <w:pStyle w:val="Heading4"/>
      </w:pPr>
      <w:bookmarkStart w:id="119" w:name="_Toc498513198"/>
      <w:r>
        <w:rPr>
          <w:rFonts w:ascii="Sylfaen" w:hAnsi="Sylfaen"/>
        </w:rPr>
        <w:t xml:space="preserve">4.9.3.3. საგზაო სამოსის აგებულების გაანგარიშება გერმანული სტანდარტების </w:t>
      </w:r>
      <w:r w:rsidR="00EA3205" w:rsidRPr="00B05F62">
        <w:t>(</w:t>
      </w:r>
      <w:r w:rsidR="00EA3205" w:rsidRPr="006B2E4A">
        <w:rPr>
          <w:rFonts w:ascii="Arial" w:hAnsi="Arial" w:cs="Arial"/>
        </w:rPr>
        <w:t>RStO</w:t>
      </w:r>
      <w:bookmarkEnd w:id="119"/>
      <w:r w:rsidR="00EA3205" w:rsidRPr="00B05F62">
        <w:t xml:space="preserve">) </w:t>
      </w:r>
      <w:r>
        <w:rPr>
          <w:rFonts w:ascii="Sylfaen" w:hAnsi="Sylfaen"/>
        </w:rPr>
        <w:t>შესაბამისად</w:t>
      </w:r>
    </w:p>
    <w:p w14:paraId="76DF1D66" w14:textId="132BD48D" w:rsidR="00DD4042" w:rsidRPr="00DD4042" w:rsidRDefault="00DD4042" w:rsidP="00DD4042">
      <w:pPr>
        <w:spacing w:before="120" w:after="120"/>
        <w:rPr>
          <w:rFonts w:ascii="AcadNusx" w:hAnsi="AcadNusx"/>
          <w:lang w:val="ka-GE"/>
        </w:rPr>
      </w:pPr>
      <w:r w:rsidRPr="00DD4042">
        <w:rPr>
          <w:rFonts w:ascii="Sylfaen" w:hAnsi="Sylfaen" w:cs="Sylfaen"/>
          <w:lang w:val="ka-GE"/>
        </w:rPr>
        <w:t>შედარების</w:t>
      </w:r>
      <w:r w:rsidRPr="00DD4042">
        <w:rPr>
          <w:rFonts w:ascii="AcadNusx" w:hAnsi="AcadNusx"/>
          <w:lang w:val="ka-GE"/>
        </w:rPr>
        <w:t xml:space="preserve"> </w:t>
      </w:r>
      <w:r w:rsidRPr="00DD4042">
        <w:rPr>
          <w:rFonts w:ascii="Sylfaen" w:hAnsi="Sylfaen" w:cs="Sylfaen"/>
          <w:lang w:val="ka-GE"/>
        </w:rPr>
        <w:t>და</w:t>
      </w:r>
      <w:r w:rsidRPr="00DD4042">
        <w:rPr>
          <w:rFonts w:ascii="AcadNusx" w:hAnsi="AcadNusx"/>
          <w:lang w:val="ka-GE"/>
        </w:rPr>
        <w:t xml:space="preserve"> </w:t>
      </w:r>
      <w:r w:rsidRPr="00DD4042">
        <w:rPr>
          <w:rFonts w:ascii="Sylfaen" w:hAnsi="Sylfaen" w:cs="Sylfaen"/>
          <w:lang w:val="ka-GE"/>
        </w:rPr>
        <w:t>გადამოწმების</w:t>
      </w:r>
      <w:r w:rsidRPr="00DD4042">
        <w:rPr>
          <w:rFonts w:ascii="AcadNusx" w:hAnsi="AcadNusx"/>
          <w:lang w:val="ka-GE"/>
        </w:rPr>
        <w:t xml:space="preserve"> </w:t>
      </w:r>
      <w:r w:rsidRPr="00DD4042">
        <w:rPr>
          <w:rFonts w:ascii="Sylfaen" w:hAnsi="Sylfaen" w:cs="Sylfaen"/>
          <w:lang w:val="ka-GE"/>
        </w:rPr>
        <w:t>მიზნით</w:t>
      </w:r>
      <w:r w:rsidRPr="00DD4042">
        <w:rPr>
          <w:rFonts w:ascii="AcadNusx" w:hAnsi="AcadNusx"/>
          <w:lang w:val="ka-GE"/>
        </w:rPr>
        <w:t xml:space="preserve">, </w:t>
      </w:r>
      <w:r w:rsidRPr="00DD4042">
        <w:rPr>
          <w:rFonts w:ascii="Sylfaen" w:hAnsi="Sylfaen" w:cs="Sylfaen"/>
          <w:lang w:val="ka-GE"/>
        </w:rPr>
        <w:t>საგზაო</w:t>
      </w:r>
      <w:r w:rsidRPr="00DD4042">
        <w:rPr>
          <w:rFonts w:ascii="AcadNusx" w:hAnsi="AcadNusx"/>
          <w:lang w:val="ka-GE"/>
        </w:rPr>
        <w:t xml:space="preserve"> </w:t>
      </w:r>
      <w:r w:rsidRPr="00DD4042">
        <w:rPr>
          <w:rFonts w:ascii="Sylfaen" w:hAnsi="Sylfaen" w:cs="Sylfaen"/>
          <w:lang w:val="ka-GE"/>
        </w:rPr>
        <w:t>სამოსის</w:t>
      </w:r>
      <w:r w:rsidRPr="00DD4042">
        <w:rPr>
          <w:rFonts w:ascii="AcadNusx" w:hAnsi="AcadNusx"/>
          <w:lang w:val="ka-GE"/>
        </w:rPr>
        <w:t xml:space="preserve"> </w:t>
      </w:r>
      <w:r w:rsidRPr="00DD4042">
        <w:rPr>
          <w:rFonts w:ascii="Sylfaen" w:hAnsi="Sylfaen" w:cs="Sylfaen"/>
          <w:lang w:val="ka-GE"/>
        </w:rPr>
        <w:t>წინასწარი</w:t>
      </w:r>
      <w:r w:rsidRPr="00DD4042">
        <w:rPr>
          <w:rFonts w:ascii="AcadNusx" w:hAnsi="AcadNusx"/>
          <w:lang w:val="ka-GE"/>
        </w:rPr>
        <w:t xml:space="preserve"> </w:t>
      </w:r>
      <w:r w:rsidRPr="00DD4042">
        <w:rPr>
          <w:rFonts w:ascii="Sylfaen" w:hAnsi="Sylfaen" w:cs="Sylfaen"/>
          <w:lang w:val="ka-GE"/>
        </w:rPr>
        <w:t>აგებულება</w:t>
      </w:r>
      <w:r w:rsidRPr="00DD4042">
        <w:rPr>
          <w:rFonts w:ascii="AcadNusx" w:hAnsi="AcadNusx"/>
          <w:lang w:val="ka-GE"/>
        </w:rPr>
        <w:t xml:space="preserve"> </w:t>
      </w:r>
      <w:r w:rsidRPr="00DD4042">
        <w:rPr>
          <w:rFonts w:ascii="Sylfaen" w:hAnsi="Sylfaen" w:cs="Sylfaen"/>
          <w:lang w:val="ka-GE"/>
        </w:rPr>
        <w:t>განისაზღვრა</w:t>
      </w:r>
      <w:r w:rsidRPr="00DD4042">
        <w:rPr>
          <w:rFonts w:ascii="AcadNusx" w:hAnsi="AcadNusx"/>
          <w:lang w:val="ka-GE"/>
        </w:rPr>
        <w:t xml:space="preserve"> </w:t>
      </w:r>
      <w:r w:rsidRPr="00DD4042">
        <w:rPr>
          <w:rFonts w:ascii="Sylfaen" w:hAnsi="Sylfaen" w:cs="Sylfaen"/>
          <w:lang w:val="ka-GE"/>
        </w:rPr>
        <w:t>გერმანული</w:t>
      </w:r>
      <w:r w:rsidRPr="00DD4042">
        <w:rPr>
          <w:rFonts w:ascii="AcadNusx" w:hAnsi="AcadNusx"/>
          <w:lang w:val="ka-GE"/>
        </w:rPr>
        <w:t xml:space="preserve"> </w:t>
      </w:r>
      <w:r w:rsidRPr="00DD4042">
        <w:rPr>
          <w:rFonts w:ascii="Sylfaen" w:hAnsi="Sylfaen" w:cs="Sylfaen"/>
          <w:lang w:val="ka-GE"/>
        </w:rPr>
        <w:t>სტანდარტის</w:t>
      </w:r>
      <w:r w:rsidRPr="00DD4042">
        <w:rPr>
          <w:rFonts w:ascii="AcadNusx" w:hAnsi="AcadNusx"/>
          <w:lang w:val="ka-GE"/>
        </w:rPr>
        <w:t xml:space="preserve"> </w:t>
      </w:r>
      <w:r>
        <w:rPr>
          <w:rFonts w:ascii="Sylfaen" w:hAnsi="Sylfaen"/>
          <w:lang w:val="en-US"/>
        </w:rPr>
        <w:t>RStO</w:t>
      </w:r>
      <w:r w:rsidRPr="00DD4042">
        <w:rPr>
          <w:rFonts w:ascii="AcadNusx" w:hAnsi="AcadNusx"/>
          <w:lang w:val="ka-GE"/>
        </w:rPr>
        <w:t>-12-</w:t>
      </w:r>
      <w:r w:rsidRPr="00DD4042">
        <w:rPr>
          <w:rFonts w:ascii="Sylfaen" w:hAnsi="Sylfaen" w:cs="Sylfaen"/>
          <w:lang w:val="ka-GE"/>
        </w:rPr>
        <w:t>ის</w:t>
      </w:r>
      <w:r w:rsidRPr="00DD4042">
        <w:rPr>
          <w:rFonts w:ascii="AcadNusx" w:hAnsi="AcadNusx"/>
          <w:lang w:val="ka-GE"/>
        </w:rPr>
        <w:t xml:space="preserve"> (</w:t>
      </w:r>
      <w:r w:rsidRPr="00DD4042">
        <w:rPr>
          <w:rFonts w:ascii="AcadNusx" w:hAnsi="AcadNusx" w:cs="AcadNusx"/>
          <w:lang w:val="ka-GE"/>
        </w:rPr>
        <w:t>“</w:t>
      </w:r>
      <w:r w:rsidRPr="00DD4042">
        <w:rPr>
          <w:rFonts w:ascii="Sylfaen" w:hAnsi="Sylfaen" w:cs="Sylfaen"/>
          <w:lang w:val="ka-GE"/>
        </w:rPr>
        <w:t>საგზაო</w:t>
      </w:r>
      <w:r w:rsidRPr="00DD4042">
        <w:rPr>
          <w:rFonts w:ascii="AcadNusx" w:hAnsi="AcadNusx"/>
          <w:lang w:val="ka-GE"/>
        </w:rPr>
        <w:t xml:space="preserve"> </w:t>
      </w:r>
      <w:r w:rsidRPr="00DD4042">
        <w:rPr>
          <w:rFonts w:ascii="Sylfaen" w:hAnsi="Sylfaen" w:cs="Sylfaen"/>
          <w:lang w:val="ka-GE"/>
        </w:rPr>
        <w:t>სამოსების</w:t>
      </w:r>
      <w:r w:rsidRPr="00DD4042">
        <w:rPr>
          <w:rFonts w:ascii="AcadNusx" w:hAnsi="AcadNusx"/>
          <w:lang w:val="ka-GE"/>
        </w:rPr>
        <w:t xml:space="preserve"> </w:t>
      </w:r>
      <w:r w:rsidRPr="00DD4042">
        <w:rPr>
          <w:rFonts w:ascii="Sylfaen" w:hAnsi="Sylfaen" w:cs="Sylfaen"/>
          <w:lang w:val="ka-GE"/>
        </w:rPr>
        <w:t>კონსტრუქციების</w:t>
      </w:r>
      <w:r w:rsidRPr="00DD4042">
        <w:rPr>
          <w:rFonts w:ascii="AcadNusx" w:hAnsi="AcadNusx"/>
          <w:lang w:val="ka-GE"/>
        </w:rPr>
        <w:t xml:space="preserve"> </w:t>
      </w:r>
      <w:r w:rsidRPr="00DD4042">
        <w:rPr>
          <w:rFonts w:ascii="Sylfaen" w:hAnsi="Sylfaen" w:cs="Sylfaen"/>
          <w:lang w:val="ka-GE"/>
        </w:rPr>
        <w:t>სტანდარტიზაციის</w:t>
      </w:r>
      <w:r w:rsidRPr="00DD4042">
        <w:rPr>
          <w:rFonts w:ascii="AcadNusx" w:hAnsi="AcadNusx"/>
          <w:lang w:val="ka-GE"/>
        </w:rPr>
        <w:t xml:space="preserve"> </w:t>
      </w:r>
      <w:r w:rsidRPr="00DD4042">
        <w:rPr>
          <w:rFonts w:ascii="Sylfaen" w:hAnsi="Sylfaen" w:cs="Sylfaen"/>
          <w:lang w:val="ka-GE"/>
        </w:rPr>
        <w:t>ინსტრუქციები</w:t>
      </w:r>
      <w:r w:rsidRPr="00DD4042">
        <w:rPr>
          <w:rFonts w:ascii="AcadNusx" w:hAnsi="AcadNusx" w:cs="AcadNusx"/>
          <w:lang w:val="ka-GE"/>
        </w:rPr>
        <w:t>”</w:t>
      </w:r>
      <w:r w:rsidRPr="00DD4042">
        <w:rPr>
          <w:rFonts w:ascii="AcadNusx" w:hAnsi="AcadNusx"/>
          <w:lang w:val="ka-GE"/>
        </w:rPr>
        <w:t xml:space="preserve">) </w:t>
      </w:r>
      <w:r w:rsidRPr="00DD4042">
        <w:rPr>
          <w:rFonts w:ascii="Sylfaen" w:hAnsi="Sylfaen" w:cs="Sylfaen"/>
          <w:lang w:val="ka-GE"/>
        </w:rPr>
        <w:t>მოთხოვნების</w:t>
      </w:r>
      <w:r w:rsidRPr="00DD4042">
        <w:rPr>
          <w:rFonts w:ascii="AcadNusx" w:hAnsi="AcadNusx"/>
          <w:lang w:val="ka-GE"/>
        </w:rPr>
        <w:t xml:space="preserve"> </w:t>
      </w:r>
      <w:r w:rsidRPr="00DD4042">
        <w:rPr>
          <w:rFonts w:ascii="Sylfaen" w:hAnsi="Sylfaen" w:cs="Sylfaen"/>
          <w:lang w:val="ka-GE"/>
        </w:rPr>
        <w:t>შესაბამისად</w:t>
      </w:r>
      <w:r w:rsidRPr="00DD4042">
        <w:rPr>
          <w:rFonts w:ascii="AcadNusx" w:hAnsi="AcadNusx"/>
          <w:lang w:val="ka-GE"/>
        </w:rPr>
        <w:t xml:space="preserve">. </w:t>
      </w:r>
    </w:p>
    <w:p w14:paraId="6877D0C2" w14:textId="01314A37" w:rsidR="00DD4042" w:rsidRPr="00DD4042" w:rsidRDefault="00DD4042" w:rsidP="00DD4042">
      <w:pPr>
        <w:spacing w:before="120" w:after="120"/>
        <w:rPr>
          <w:rFonts w:ascii="AcadNusx" w:hAnsi="AcadNusx"/>
          <w:lang w:val="ka-GE"/>
        </w:rPr>
      </w:pPr>
      <w:r w:rsidRPr="00DD4042">
        <w:rPr>
          <w:rFonts w:ascii="Sylfaen" w:hAnsi="Sylfaen" w:cs="Sylfaen"/>
          <w:lang w:val="ka-GE"/>
        </w:rPr>
        <w:t>აღნიშნულ</w:t>
      </w:r>
      <w:r w:rsidRPr="00DD4042">
        <w:rPr>
          <w:rFonts w:ascii="AcadNusx" w:hAnsi="AcadNusx"/>
          <w:lang w:val="ka-GE"/>
        </w:rPr>
        <w:t xml:space="preserve"> </w:t>
      </w:r>
      <w:r w:rsidRPr="00DD4042">
        <w:rPr>
          <w:rFonts w:ascii="Sylfaen" w:hAnsi="Sylfaen" w:cs="Sylfaen"/>
          <w:lang w:val="ka-GE"/>
        </w:rPr>
        <w:t>სტანდარტში</w:t>
      </w:r>
      <w:r w:rsidRPr="00DD4042">
        <w:rPr>
          <w:rFonts w:ascii="AcadNusx" w:hAnsi="AcadNusx"/>
          <w:lang w:val="ka-GE"/>
        </w:rPr>
        <w:t xml:space="preserve"> </w:t>
      </w:r>
      <w:r w:rsidRPr="00DD4042">
        <w:rPr>
          <w:rFonts w:ascii="Sylfaen" w:hAnsi="Sylfaen" w:cs="Sylfaen"/>
          <w:lang w:val="ka-GE"/>
        </w:rPr>
        <w:t>მოცემულია</w:t>
      </w:r>
      <w:r w:rsidRPr="00DD4042">
        <w:rPr>
          <w:rFonts w:ascii="AcadNusx" w:hAnsi="AcadNusx"/>
          <w:lang w:val="ka-GE"/>
        </w:rPr>
        <w:t xml:space="preserve"> </w:t>
      </w:r>
      <w:r w:rsidRPr="00DD4042">
        <w:rPr>
          <w:rFonts w:ascii="Sylfaen" w:hAnsi="Sylfaen" w:cs="Sylfaen"/>
          <w:lang w:val="ka-GE"/>
        </w:rPr>
        <w:t>ხისტი</w:t>
      </w:r>
      <w:r w:rsidRPr="00DD4042">
        <w:rPr>
          <w:rFonts w:ascii="AcadNusx" w:hAnsi="AcadNusx"/>
          <w:lang w:val="ka-GE"/>
        </w:rPr>
        <w:t xml:space="preserve"> </w:t>
      </w:r>
      <w:r w:rsidRPr="00DD4042">
        <w:rPr>
          <w:rFonts w:ascii="Sylfaen" w:hAnsi="Sylfaen" w:cs="Sylfaen"/>
          <w:lang w:val="ka-GE"/>
        </w:rPr>
        <w:t>და</w:t>
      </w:r>
      <w:r w:rsidRPr="00DD4042">
        <w:rPr>
          <w:rFonts w:ascii="AcadNusx" w:hAnsi="AcadNusx"/>
          <w:lang w:val="ka-GE"/>
        </w:rPr>
        <w:t xml:space="preserve"> </w:t>
      </w:r>
      <w:r w:rsidRPr="00DD4042">
        <w:rPr>
          <w:rFonts w:ascii="Sylfaen" w:hAnsi="Sylfaen" w:cs="Sylfaen"/>
          <w:lang w:val="ka-GE"/>
        </w:rPr>
        <w:t>დრეკადი</w:t>
      </w:r>
      <w:r w:rsidRPr="00DD4042">
        <w:rPr>
          <w:rFonts w:ascii="AcadNusx" w:hAnsi="AcadNusx"/>
          <w:lang w:val="ka-GE"/>
        </w:rPr>
        <w:t xml:space="preserve"> </w:t>
      </w:r>
      <w:r w:rsidRPr="00DD4042">
        <w:rPr>
          <w:rFonts w:ascii="Sylfaen" w:hAnsi="Sylfaen" w:cs="Sylfaen"/>
          <w:lang w:val="ka-GE"/>
        </w:rPr>
        <w:t>საგზაო</w:t>
      </w:r>
      <w:r w:rsidRPr="00DD4042">
        <w:rPr>
          <w:rFonts w:ascii="AcadNusx" w:hAnsi="AcadNusx"/>
          <w:lang w:val="ka-GE"/>
        </w:rPr>
        <w:t xml:space="preserve"> </w:t>
      </w:r>
      <w:r w:rsidRPr="00DD4042">
        <w:rPr>
          <w:rFonts w:ascii="Sylfaen" w:hAnsi="Sylfaen" w:cs="Sylfaen"/>
          <w:lang w:val="ka-GE"/>
        </w:rPr>
        <w:t>სამოსების</w:t>
      </w:r>
      <w:r w:rsidRPr="00DD4042">
        <w:rPr>
          <w:rFonts w:ascii="AcadNusx" w:hAnsi="AcadNusx"/>
          <w:lang w:val="ka-GE"/>
        </w:rPr>
        <w:t xml:space="preserve"> </w:t>
      </w:r>
      <w:r w:rsidRPr="00DD4042">
        <w:rPr>
          <w:rFonts w:ascii="Sylfaen" w:hAnsi="Sylfaen" w:cs="Sylfaen"/>
          <w:lang w:val="ka-GE"/>
        </w:rPr>
        <w:t>კონსტრუქციული</w:t>
      </w:r>
      <w:r w:rsidRPr="00DD4042">
        <w:rPr>
          <w:rFonts w:ascii="AcadNusx" w:hAnsi="AcadNusx"/>
          <w:lang w:val="ka-GE"/>
        </w:rPr>
        <w:t xml:space="preserve"> </w:t>
      </w:r>
      <w:r w:rsidRPr="00DD4042">
        <w:rPr>
          <w:rFonts w:ascii="Sylfaen" w:hAnsi="Sylfaen" w:cs="Sylfaen"/>
          <w:lang w:val="ka-GE"/>
        </w:rPr>
        <w:t>გადაწყვეტების</w:t>
      </w:r>
      <w:r w:rsidRPr="00DD4042">
        <w:rPr>
          <w:rFonts w:ascii="AcadNusx" w:hAnsi="AcadNusx"/>
          <w:lang w:val="ka-GE"/>
        </w:rPr>
        <w:t xml:space="preserve"> </w:t>
      </w:r>
      <w:r w:rsidRPr="00DD4042">
        <w:rPr>
          <w:rFonts w:ascii="Sylfaen" w:hAnsi="Sylfaen" w:cs="Sylfaen"/>
          <w:lang w:val="ka-GE"/>
        </w:rPr>
        <w:t>კატალოგი</w:t>
      </w:r>
      <w:r w:rsidRPr="00DD4042">
        <w:rPr>
          <w:rFonts w:ascii="AcadNusx" w:hAnsi="AcadNusx"/>
          <w:lang w:val="ka-GE"/>
        </w:rPr>
        <w:t xml:space="preserve"> </w:t>
      </w:r>
      <w:r w:rsidRPr="00DD4042">
        <w:rPr>
          <w:rFonts w:ascii="Sylfaen" w:hAnsi="Sylfaen" w:cs="Sylfaen"/>
          <w:lang w:val="ka-GE"/>
        </w:rPr>
        <w:t>სატრანსპორტო</w:t>
      </w:r>
      <w:r w:rsidRPr="00DD4042">
        <w:rPr>
          <w:rFonts w:ascii="AcadNusx" w:hAnsi="AcadNusx"/>
          <w:lang w:val="ka-GE"/>
        </w:rPr>
        <w:t xml:space="preserve"> </w:t>
      </w:r>
      <w:r w:rsidRPr="00DD4042">
        <w:rPr>
          <w:rFonts w:ascii="Sylfaen" w:hAnsi="Sylfaen" w:cs="Sylfaen"/>
          <w:lang w:val="ka-GE"/>
        </w:rPr>
        <w:t>დატვირთვების</w:t>
      </w:r>
      <w:r w:rsidRPr="00DD4042">
        <w:rPr>
          <w:rFonts w:ascii="AcadNusx" w:hAnsi="AcadNusx"/>
          <w:lang w:val="ka-GE"/>
        </w:rPr>
        <w:t xml:space="preserve"> </w:t>
      </w:r>
      <w:r w:rsidRPr="00DD4042">
        <w:rPr>
          <w:rFonts w:ascii="Sylfaen" w:hAnsi="Sylfaen" w:cs="Sylfaen"/>
          <w:lang w:val="ka-GE"/>
        </w:rPr>
        <w:t>და</w:t>
      </w:r>
      <w:r w:rsidRPr="00DD4042">
        <w:rPr>
          <w:rFonts w:ascii="AcadNusx" w:hAnsi="AcadNusx"/>
          <w:lang w:val="ka-GE"/>
        </w:rPr>
        <w:t xml:space="preserve"> </w:t>
      </w:r>
      <w:r w:rsidRPr="00DD4042">
        <w:rPr>
          <w:rFonts w:ascii="Sylfaen" w:hAnsi="Sylfaen" w:cs="Sylfaen"/>
          <w:lang w:val="ka-GE"/>
        </w:rPr>
        <w:t>საგზაო</w:t>
      </w:r>
      <w:r w:rsidRPr="00DD4042">
        <w:rPr>
          <w:rFonts w:ascii="AcadNusx" w:hAnsi="AcadNusx"/>
          <w:lang w:val="ka-GE"/>
        </w:rPr>
        <w:t xml:space="preserve"> </w:t>
      </w:r>
      <w:r w:rsidRPr="00DD4042">
        <w:rPr>
          <w:rFonts w:ascii="Sylfaen" w:hAnsi="Sylfaen" w:cs="Sylfaen"/>
          <w:lang w:val="ka-GE"/>
        </w:rPr>
        <w:t>სამოსის</w:t>
      </w:r>
      <w:r w:rsidRPr="00DD4042">
        <w:rPr>
          <w:rFonts w:ascii="AcadNusx" w:hAnsi="AcadNusx"/>
          <w:lang w:val="ka-GE"/>
        </w:rPr>
        <w:t xml:space="preserve"> </w:t>
      </w:r>
      <w:r w:rsidRPr="00DD4042">
        <w:rPr>
          <w:rFonts w:ascii="Sylfaen" w:hAnsi="Sylfaen" w:cs="Sylfaen"/>
          <w:lang w:val="ka-GE"/>
        </w:rPr>
        <w:t>ფენების</w:t>
      </w:r>
      <w:r w:rsidRPr="00DD4042">
        <w:rPr>
          <w:rFonts w:ascii="AcadNusx" w:hAnsi="AcadNusx"/>
          <w:lang w:val="ka-GE"/>
        </w:rPr>
        <w:t xml:space="preserve"> </w:t>
      </w:r>
      <w:r w:rsidRPr="00DD4042">
        <w:rPr>
          <w:rFonts w:ascii="Sylfaen" w:hAnsi="Sylfaen" w:cs="Sylfaen"/>
          <w:lang w:val="ka-GE"/>
        </w:rPr>
        <w:t>მასალების</w:t>
      </w:r>
      <w:r w:rsidRPr="00DD4042">
        <w:rPr>
          <w:rFonts w:ascii="AcadNusx" w:hAnsi="AcadNusx"/>
          <w:lang w:val="ka-GE"/>
        </w:rPr>
        <w:t xml:space="preserve"> </w:t>
      </w:r>
      <w:r w:rsidRPr="00DD4042">
        <w:rPr>
          <w:rFonts w:ascii="Sylfaen" w:hAnsi="Sylfaen" w:cs="Sylfaen"/>
          <w:lang w:val="ka-GE"/>
        </w:rPr>
        <w:t>მიხედვით</w:t>
      </w:r>
      <w:r w:rsidRPr="00DD4042">
        <w:rPr>
          <w:rFonts w:ascii="AcadNusx" w:hAnsi="AcadNusx"/>
          <w:lang w:val="ka-GE"/>
        </w:rPr>
        <w:t xml:space="preserve">. </w:t>
      </w:r>
      <w:r w:rsidRPr="00DD4042">
        <w:rPr>
          <w:rFonts w:ascii="Sylfaen" w:hAnsi="Sylfaen" w:cs="Sylfaen"/>
          <w:lang w:val="ka-GE"/>
        </w:rPr>
        <w:t>ძირითად</w:t>
      </w:r>
      <w:r w:rsidRPr="00DD4042">
        <w:rPr>
          <w:rFonts w:ascii="AcadNusx" w:hAnsi="AcadNusx"/>
          <w:lang w:val="ka-GE"/>
        </w:rPr>
        <w:t xml:space="preserve"> </w:t>
      </w:r>
      <w:r w:rsidRPr="00DD4042">
        <w:rPr>
          <w:rFonts w:ascii="Sylfaen" w:hAnsi="Sylfaen" w:cs="Sylfaen"/>
          <w:lang w:val="ka-GE"/>
        </w:rPr>
        <w:t>საწყის</w:t>
      </w:r>
      <w:r w:rsidRPr="00DD4042">
        <w:rPr>
          <w:rFonts w:ascii="AcadNusx" w:hAnsi="AcadNusx"/>
          <w:lang w:val="ka-GE"/>
        </w:rPr>
        <w:t xml:space="preserve"> </w:t>
      </w:r>
      <w:r w:rsidRPr="00DD4042">
        <w:rPr>
          <w:rFonts w:ascii="Sylfaen" w:hAnsi="Sylfaen" w:cs="Sylfaen"/>
          <w:lang w:val="ka-GE"/>
        </w:rPr>
        <w:t>პარამეტრს</w:t>
      </w:r>
      <w:r w:rsidRPr="00DD4042">
        <w:rPr>
          <w:rFonts w:ascii="AcadNusx" w:hAnsi="AcadNusx"/>
          <w:lang w:val="ka-GE"/>
        </w:rPr>
        <w:t xml:space="preserve"> </w:t>
      </w:r>
      <w:r w:rsidRPr="00DD4042">
        <w:rPr>
          <w:rFonts w:ascii="Sylfaen" w:hAnsi="Sylfaen" w:cs="Sylfaen"/>
          <w:lang w:val="ka-GE"/>
        </w:rPr>
        <w:t>წარმოადგენს</w:t>
      </w:r>
      <w:r w:rsidRPr="00DD4042">
        <w:rPr>
          <w:rFonts w:ascii="AcadNusx" w:hAnsi="AcadNusx"/>
          <w:lang w:val="ka-GE"/>
        </w:rPr>
        <w:t xml:space="preserve"> </w:t>
      </w:r>
      <w:r w:rsidRPr="00DD4042">
        <w:rPr>
          <w:rFonts w:ascii="Sylfaen" w:hAnsi="Sylfaen" w:cs="Sylfaen"/>
          <w:lang w:val="ka-GE"/>
        </w:rPr>
        <w:t>სატრანსპორტო</w:t>
      </w:r>
      <w:r w:rsidRPr="00DD4042">
        <w:rPr>
          <w:rFonts w:ascii="AcadNusx" w:hAnsi="AcadNusx"/>
          <w:lang w:val="ka-GE"/>
        </w:rPr>
        <w:t xml:space="preserve"> </w:t>
      </w:r>
      <w:r w:rsidRPr="00DD4042">
        <w:rPr>
          <w:rFonts w:ascii="Sylfaen" w:hAnsi="Sylfaen" w:cs="Sylfaen"/>
          <w:lang w:val="ka-GE"/>
        </w:rPr>
        <w:t>დატვირთვა</w:t>
      </w:r>
      <w:r w:rsidRPr="00DD4042">
        <w:rPr>
          <w:rFonts w:ascii="AcadNusx" w:hAnsi="AcadNusx"/>
          <w:lang w:val="ka-GE"/>
        </w:rPr>
        <w:t xml:space="preserve">, </w:t>
      </w:r>
      <w:r w:rsidRPr="00DD4042">
        <w:rPr>
          <w:rFonts w:ascii="Sylfaen" w:hAnsi="Sylfaen" w:cs="Sylfaen"/>
          <w:lang w:val="ka-GE"/>
        </w:rPr>
        <w:t>რომელიც</w:t>
      </w:r>
      <w:r w:rsidRPr="00DD4042">
        <w:rPr>
          <w:rFonts w:ascii="AcadNusx" w:hAnsi="AcadNusx"/>
          <w:lang w:val="ka-GE"/>
        </w:rPr>
        <w:t xml:space="preserve"> </w:t>
      </w:r>
      <w:r w:rsidRPr="00DD4042">
        <w:rPr>
          <w:rFonts w:ascii="Sylfaen" w:hAnsi="Sylfaen" w:cs="Sylfaen"/>
          <w:lang w:val="ka-GE"/>
        </w:rPr>
        <w:t>დაყოფილია</w:t>
      </w:r>
      <w:r w:rsidRPr="00DD4042">
        <w:rPr>
          <w:rFonts w:ascii="AcadNusx" w:hAnsi="AcadNusx"/>
          <w:lang w:val="ka-GE"/>
        </w:rPr>
        <w:t xml:space="preserve"> </w:t>
      </w:r>
      <w:r w:rsidRPr="00DD4042">
        <w:rPr>
          <w:rFonts w:ascii="Sylfaen" w:hAnsi="Sylfaen" w:cs="Sylfaen"/>
          <w:lang w:val="ka-GE"/>
        </w:rPr>
        <w:t>დატვირთვების</w:t>
      </w:r>
      <w:r w:rsidRPr="00DD4042">
        <w:rPr>
          <w:rFonts w:ascii="AcadNusx" w:hAnsi="AcadNusx"/>
          <w:lang w:val="ka-GE"/>
        </w:rPr>
        <w:t xml:space="preserve"> </w:t>
      </w:r>
      <w:r w:rsidRPr="00DD4042">
        <w:rPr>
          <w:rFonts w:ascii="Sylfaen" w:hAnsi="Sylfaen" w:cs="Sylfaen"/>
          <w:lang w:val="ka-GE"/>
        </w:rPr>
        <w:t>კლასებად</w:t>
      </w:r>
      <w:r w:rsidRPr="00DD4042">
        <w:rPr>
          <w:rFonts w:ascii="AcadNusx" w:hAnsi="AcadNusx"/>
          <w:lang w:val="ka-GE"/>
        </w:rPr>
        <w:t xml:space="preserve"> (</w:t>
      </w:r>
      <w:r w:rsidR="00F56660">
        <w:rPr>
          <w:rFonts w:ascii="Sylfaen" w:hAnsi="Sylfaen" w:cs="Sylfaen"/>
          <w:lang w:val="en-US"/>
        </w:rPr>
        <w:t>Bk</w:t>
      </w:r>
      <w:r w:rsidRPr="00DD4042">
        <w:rPr>
          <w:rFonts w:ascii="AcadNusx" w:hAnsi="AcadNusx"/>
          <w:lang w:val="ka-GE"/>
        </w:rPr>
        <w:t xml:space="preserve">), </w:t>
      </w:r>
      <w:r w:rsidRPr="00DD4042">
        <w:rPr>
          <w:rFonts w:ascii="Sylfaen" w:hAnsi="Sylfaen" w:cs="Sylfaen"/>
          <w:lang w:val="ka-GE"/>
        </w:rPr>
        <w:t>სხვადასხვა</w:t>
      </w:r>
      <w:r w:rsidRPr="00DD4042">
        <w:rPr>
          <w:rFonts w:ascii="AcadNusx" w:hAnsi="AcadNusx"/>
          <w:lang w:val="ka-GE"/>
        </w:rPr>
        <w:t xml:space="preserve"> </w:t>
      </w:r>
      <w:r w:rsidRPr="00DD4042">
        <w:rPr>
          <w:rFonts w:ascii="Sylfaen" w:hAnsi="Sylfaen" w:cs="Sylfaen"/>
          <w:lang w:val="ka-GE"/>
        </w:rPr>
        <w:t>ჯერადობის</w:t>
      </w:r>
      <w:r w:rsidRPr="00DD4042">
        <w:rPr>
          <w:rFonts w:ascii="AcadNusx" w:hAnsi="AcadNusx"/>
          <w:lang w:val="ka-GE"/>
        </w:rPr>
        <w:t xml:space="preserve"> </w:t>
      </w:r>
      <w:r w:rsidRPr="00DD4042">
        <w:rPr>
          <w:rFonts w:ascii="Sylfaen" w:hAnsi="Sylfaen" w:cs="Sylfaen"/>
          <w:lang w:val="ka-GE"/>
        </w:rPr>
        <w:t>მილიონი</w:t>
      </w:r>
      <w:r w:rsidRPr="00DD4042">
        <w:rPr>
          <w:rFonts w:ascii="AcadNusx" w:hAnsi="AcadNusx"/>
          <w:lang w:val="ka-GE"/>
        </w:rPr>
        <w:t xml:space="preserve"> </w:t>
      </w:r>
      <w:r w:rsidRPr="00DD4042">
        <w:rPr>
          <w:rFonts w:ascii="Sylfaen" w:hAnsi="Sylfaen" w:cs="Sylfaen"/>
          <w:lang w:val="ka-GE"/>
        </w:rPr>
        <w:t>სტანდარტული</w:t>
      </w:r>
      <w:r w:rsidRPr="00DD4042">
        <w:rPr>
          <w:rFonts w:ascii="AcadNusx" w:hAnsi="AcadNusx"/>
          <w:lang w:val="ka-GE"/>
        </w:rPr>
        <w:t xml:space="preserve"> </w:t>
      </w:r>
      <w:r w:rsidRPr="00DD4042">
        <w:rPr>
          <w:rFonts w:ascii="Sylfaen" w:hAnsi="Sylfaen" w:cs="Sylfaen"/>
          <w:lang w:val="ka-GE"/>
        </w:rPr>
        <w:t>ღერძის</w:t>
      </w:r>
      <w:r w:rsidRPr="00DD4042">
        <w:rPr>
          <w:rFonts w:ascii="AcadNusx" w:hAnsi="AcadNusx"/>
          <w:lang w:val="ka-GE"/>
        </w:rPr>
        <w:t xml:space="preserve"> </w:t>
      </w:r>
      <w:r w:rsidRPr="00DD4042">
        <w:rPr>
          <w:rFonts w:ascii="Sylfaen" w:hAnsi="Sylfaen" w:cs="Sylfaen"/>
          <w:lang w:val="ka-GE"/>
        </w:rPr>
        <w:t>მიხედვით</w:t>
      </w:r>
      <w:r w:rsidRPr="00DD4042">
        <w:rPr>
          <w:rFonts w:ascii="AcadNusx" w:hAnsi="AcadNusx"/>
          <w:lang w:val="ka-GE"/>
        </w:rPr>
        <w:t xml:space="preserve">. </w:t>
      </w:r>
      <w:r w:rsidRPr="00DD4042">
        <w:rPr>
          <w:rFonts w:ascii="Sylfaen" w:hAnsi="Sylfaen" w:cs="Sylfaen"/>
          <w:lang w:val="ka-GE"/>
        </w:rPr>
        <w:t>გერმანული</w:t>
      </w:r>
      <w:r w:rsidRPr="00DD4042">
        <w:rPr>
          <w:rFonts w:ascii="AcadNusx" w:hAnsi="AcadNusx"/>
          <w:lang w:val="ka-GE"/>
        </w:rPr>
        <w:t xml:space="preserve"> </w:t>
      </w:r>
      <w:r w:rsidRPr="00DD4042">
        <w:rPr>
          <w:rFonts w:ascii="Sylfaen" w:hAnsi="Sylfaen" w:cs="Sylfaen"/>
          <w:lang w:val="ka-GE"/>
        </w:rPr>
        <w:t>გაანგარიშების</w:t>
      </w:r>
      <w:r w:rsidRPr="00DD4042">
        <w:rPr>
          <w:rFonts w:ascii="AcadNusx" w:hAnsi="AcadNusx"/>
          <w:lang w:val="ka-GE"/>
        </w:rPr>
        <w:t xml:space="preserve"> </w:t>
      </w:r>
      <w:r w:rsidRPr="00DD4042">
        <w:rPr>
          <w:rFonts w:ascii="Sylfaen" w:hAnsi="Sylfaen" w:cs="Sylfaen"/>
          <w:lang w:val="ka-GE"/>
        </w:rPr>
        <w:t>მეთოდი</w:t>
      </w:r>
      <w:r w:rsidRPr="00DD4042">
        <w:rPr>
          <w:rFonts w:ascii="AcadNusx" w:hAnsi="AcadNusx"/>
          <w:lang w:val="ka-GE"/>
        </w:rPr>
        <w:t xml:space="preserve"> </w:t>
      </w:r>
      <w:r w:rsidRPr="00DD4042">
        <w:rPr>
          <w:rFonts w:ascii="Sylfaen" w:hAnsi="Sylfaen" w:cs="Sylfaen"/>
          <w:lang w:val="ka-GE"/>
        </w:rPr>
        <w:t>დაფუძნებულია</w:t>
      </w:r>
      <w:r w:rsidRPr="00DD4042">
        <w:rPr>
          <w:rFonts w:ascii="AcadNusx" w:hAnsi="AcadNusx"/>
          <w:lang w:val="ka-GE"/>
        </w:rPr>
        <w:t xml:space="preserve"> 10-</w:t>
      </w:r>
      <w:r w:rsidRPr="00DD4042">
        <w:rPr>
          <w:rFonts w:ascii="Sylfaen" w:hAnsi="Sylfaen" w:cs="Sylfaen"/>
          <w:lang w:val="ka-GE"/>
        </w:rPr>
        <w:lastRenderedPageBreak/>
        <w:t>ტონიან</w:t>
      </w:r>
      <w:r w:rsidRPr="00DD4042">
        <w:rPr>
          <w:rFonts w:ascii="AcadNusx" w:hAnsi="AcadNusx"/>
          <w:lang w:val="ka-GE"/>
        </w:rPr>
        <w:t xml:space="preserve"> </w:t>
      </w:r>
      <w:r w:rsidRPr="00DD4042">
        <w:rPr>
          <w:rFonts w:ascii="Sylfaen" w:hAnsi="Sylfaen" w:cs="Sylfaen"/>
          <w:lang w:val="ka-GE"/>
        </w:rPr>
        <w:t>ერთეულოვან</w:t>
      </w:r>
      <w:r w:rsidRPr="00DD4042">
        <w:rPr>
          <w:rFonts w:ascii="AcadNusx" w:hAnsi="AcadNusx"/>
          <w:lang w:val="ka-GE"/>
        </w:rPr>
        <w:t xml:space="preserve"> </w:t>
      </w:r>
      <w:r w:rsidRPr="00DD4042">
        <w:rPr>
          <w:rFonts w:ascii="Sylfaen" w:hAnsi="Sylfaen" w:cs="Sylfaen"/>
          <w:lang w:val="ka-GE"/>
        </w:rPr>
        <w:t>სტანდარტულ</w:t>
      </w:r>
      <w:r w:rsidRPr="00DD4042">
        <w:rPr>
          <w:rFonts w:ascii="AcadNusx" w:hAnsi="AcadNusx"/>
          <w:lang w:val="ka-GE"/>
        </w:rPr>
        <w:t xml:space="preserve"> </w:t>
      </w:r>
      <w:r w:rsidRPr="00DD4042">
        <w:rPr>
          <w:rFonts w:ascii="Sylfaen" w:hAnsi="Sylfaen" w:cs="Sylfaen"/>
          <w:lang w:val="ka-GE"/>
        </w:rPr>
        <w:t>ღერძულ</w:t>
      </w:r>
      <w:r w:rsidRPr="00DD4042">
        <w:rPr>
          <w:rFonts w:ascii="AcadNusx" w:hAnsi="AcadNusx"/>
          <w:lang w:val="ka-GE"/>
        </w:rPr>
        <w:t xml:space="preserve"> </w:t>
      </w:r>
      <w:r w:rsidRPr="00DD4042">
        <w:rPr>
          <w:rFonts w:ascii="Sylfaen" w:hAnsi="Sylfaen" w:cs="Sylfaen"/>
          <w:lang w:val="ka-GE"/>
        </w:rPr>
        <w:t>დატვირთვაზე</w:t>
      </w:r>
      <w:r w:rsidRPr="00DD4042">
        <w:rPr>
          <w:rFonts w:ascii="AcadNusx" w:hAnsi="AcadNusx"/>
          <w:lang w:val="ka-GE"/>
        </w:rPr>
        <w:t xml:space="preserve">, </w:t>
      </w:r>
      <w:r w:rsidR="00F56660">
        <w:rPr>
          <w:rFonts w:ascii="Sylfaen" w:hAnsi="Sylfaen" w:cs="Sylfaen"/>
          <w:lang w:val="en-US"/>
        </w:rPr>
        <w:t>AASHTO</w:t>
      </w:r>
      <w:r w:rsidRPr="00DD4042">
        <w:rPr>
          <w:rFonts w:ascii="AcadNusx" w:hAnsi="AcadNusx"/>
          <w:lang w:val="ka-GE"/>
        </w:rPr>
        <w:t>-</w:t>
      </w:r>
      <w:r w:rsidRPr="00DD4042">
        <w:rPr>
          <w:rFonts w:ascii="Sylfaen" w:hAnsi="Sylfaen" w:cs="Sylfaen"/>
          <w:lang w:val="ka-GE"/>
        </w:rPr>
        <w:t>ს</w:t>
      </w:r>
      <w:r w:rsidRPr="00DD4042">
        <w:rPr>
          <w:rFonts w:ascii="AcadNusx" w:hAnsi="AcadNusx"/>
          <w:lang w:val="ka-GE"/>
        </w:rPr>
        <w:t xml:space="preserve"> </w:t>
      </w:r>
      <w:r w:rsidRPr="00DD4042">
        <w:rPr>
          <w:rFonts w:ascii="Sylfaen" w:hAnsi="Sylfaen" w:cs="Sylfaen"/>
          <w:lang w:val="ka-GE"/>
        </w:rPr>
        <w:t>მეთოდში</w:t>
      </w:r>
      <w:r w:rsidRPr="00DD4042">
        <w:rPr>
          <w:rFonts w:ascii="AcadNusx" w:hAnsi="AcadNusx"/>
          <w:lang w:val="ka-GE"/>
        </w:rPr>
        <w:t xml:space="preserve"> </w:t>
      </w:r>
      <w:r w:rsidRPr="00DD4042">
        <w:rPr>
          <w:rFonts w:ascii="Sylfaen" w:hAnsi="Sylfaen" w:cs="Sylfaen"/>
          <w:lang w:val="ka-GE"/>
        </w:rPr>
        <w:t>გამოყენებული</w:t>
      </w:r>
      <w:r w:rsidRPr="00DD4042">
        <w:rPr>
          <w:rFonts w:ascii="AcadNusx" w:hAnsi="AcadNusx"/>
          <w:lang w:val="ka-GE"/>
        </w:rPr>
        <w:t xml:space="preserve"> 8.1-</w:t>
      </w:r>
      <w:r w:rsidRPr="00DD4042">
        <w:rPr>
          <w:rFonts w:ascii="Sylfaen" w:hAnsi="Sylfaen" w:cs="Sylfaen"/>
          <w:lang w:val="ka-GE"/>
        </w:rPr>
        <w:t>ტონიანი</w:t>
      </w:r>
      <w:r w:rsidRPr="00DD4042">
        <w:rPr>
          <w:rFonts w:ascii="AcadNusx" w:hAnsi="AcadNusx"/>
          <w:lang w:val="ka-GE"/>
        </w:rPr>
        <w:t xml:space="preserve"> </w:t>
      </w:r>
      <w:r w:rsidRPr="00DD4042">
        <w:rPr>
          <w:rFonts w:ascii="Sylfaen" w:hAnsi="Sylfaen" w:cs="Sylfaen"/>
          <w:lang w:val="ka-GE"/>
        </w:rPr>
        <w:t>სტანდარტული</w:t>
      </w:r>
      <w:r w:rsidRPr="00DD4042">
        <w:rPr>
          <w:rFonts w:ascii="AcadNusx" w:hAnsi="AcadNusx"/>
          <w:lang w:val="ka-GE"/>
        </w:rPr>
        <w:t xml:space="preserve"> </w:t>
      </w:r>
      <w:r w:rsidRPr="00DD4042">
        <w:rPr>
          <w:rFonts w:ascii="Sylfaen" w:hAnsi="Sylfaen" w:cs="Sylfaen"/>
          <w:lang w:val="ka-GE"/>
        </w:rPr>
        <w:t>ღერძული</w:t>
      </w:r>
      <w:r w:rsidRPr="00DD4042">
        <w:rPr>
          <w:rFonts w:ascii="AcadNusx" w:hAnsi="AcadNusx"/>
          <w:lang w:val="ka-GE"/>
        </w:rPr>
        <w:t xml:space="preserve"> </w:t>
      </w:r>
      <w:r w:rsidRPr="00DD4042">
        <w:rPr>
          <w:rFonts w:ascii="Sylfaen" w:hAnsi="Sylfaen" w:cs="Sylfaen"/>
          <w:lang w:val="ka-GE"/>
        </w:rPr>
        <w:t>დატვირთვისგან</w:t>
      </w:r>
      <w:r w:rsidRPr="00DD4042">
        <w:rPr>
          <w:rFonts w:ascii="AcadNusx" w:hAnsi="AcadNusx"/>
          <w:lang w:val="ka-GE"/>
        </w:rPr>
        <w:t xml:space="preserve"> </w:t>
      </w:r>
      <w:r w:rsidRPr="00DD4042">
        <w:rPr>
          <w:rFonts w:ascii="Sylfaen" w:hAnsi="Sylfaen" w:cs="Sylfaen"/>
          <w:lang w:val="ka-GE"/>
        </w:rPr>
        <w:t>განსხვავებით</w:t>
      </w:r>
      <w:r w:rsidRPr="00DD4042">
        <w:rPr>
          <w:rFonts w:ascii="AcadNusx" w:hAnsi="AcadNusx"/>
          <w:lang w:val="ka-GE"/>
        </w:rPr>
        <w:t xml:space="preserve">. </w:t>
      </w:r>
    </w:p>
    <w:p w14:paraId="5790824F" w14:textId="743617D2" w:rsidR="00DD4042" w:rsidRPr="00DD4042" w:rsidRDefault="00DD4042" w:rsidP="00DD4042">
      <w:pPr>
        <w:spacing w:before="120" w:after="120"/>
        <w:rPr>
          <w:rFonts w:ascii="AcadNusx" w:hAnsi="AcadNusx"/>
          <w:lang w:val="ka-GE"/>
        </w:rPr>
      </w:pPr>
      <w:r w:rsidRPr="00DD4042">
        <w:rPr>
          <w:rFonts w:ascii="Sylfaen" w:hAnsi="Sylfaen" w:cs="Sylfaen"/>
          <w:lang w:val="ka-GE"/>
        </w:rPr>
        <w:t>უპირატესი</w:t>
      </w:r>
      <w:r w:rsidRPr="00DD4042">
        <w:rPr>
          <w:rFonts w:ascii="AcadNusx" w:hAnsi="AcadNusx"/>
          <w:lang w:val="ka-GE"/>
        </w:rPr>
        <w:t xml:space="preserve"> </w:t>
      </w:r>
      <w:r w:rsidRPr="00DD4042">
        <w:rPr>
          <w:rFonts w:ascii="Sylfaen" w:hAnsi="Sylfaen" w:cs="Sylfaen"/>
          <w:lang w:val="ka-GE"/>
        </w:rPr>
        <w:t>ტრასის</w:t>
      </w:r>
      <w:r w:rsidRPr="00DD4042">
        <w:rPr>
          <w:rFonts w:ascii="AcadNusx" w:hAnsi="AcadNusx"/>
          <w:lang w:val="ka-GE"/>
        </w:rPr>
        <w:t xml:space="preserve"> </w:t>
      </w:r>
      <w:r w:rsidRPr="00DD4042">
        <w:rPr>
          <w:rFonts w:ascii="Sylfaen" w:hAnsi="Sylfaen" w:cs="Sylfaen"/>
          <w:lang w:val="ka-GE"/>
        </w:rPr>
        <w:t>გასწვრივ</w:t>
      </w:r>
      <w:r w:rsidRPr="00DD4042">
        <w:rPr>
          <w:rFonts w:ascii="AcadNusx" w:hAnsi="AcadNusx"/>
          <w:lang w:val="ka-GE"/>
        </w:rPr>
        <w:t xml:space="preserve">, </w:t>
      </w:r>
      <w:r w:rsidRPr="00DD4042">
        <w:rPr>
          <w:rFonts w:ascii="Sylfaen" w:hAnsi="Sylfaen" w:cs="Sylfaen"/>
          <w:lang w:val="ka-GE"/>
        </w:rPr>
        <w:t>პროგნოზირებული</w:t>
      </w:r>
      <w:r w:rsidRPr="00DD4042">
        <w:rPr>
          <w:rFonts w:ascii="AcadNusx" w:hAnsi="AcadNusx"/>
          <w:lang w:val="ka-GE"/>
        </w:rPr>
        <w:t xml:space="preserve"> </w:t>
      </w:r>
      <w:r w:rsidRPr="00DD4042">
        <w:rPr>
          <w:rFonts w:ascii="Sylfaen" w:hAnsi="Sylfaen" w:cs="Sylfaen"/>
          <w:lang w:val="ka-GE"/>
        </w:rPr>
        <w:t>სატრანსპორტო</w:t>
      </w:r>
      <w:r w:rsidRPr="00DD4042">
        <w:rPr>
          <w:rFonts w:ascii="AcadNusx" w:hAnsi="AcadNusx"/>
          <w:lang w:val="ka-GE"/>
        </w:rPr>
        <w:t xml:space="preserve"> </w:t>
      </w:r>
      <w:r w:rsidRPr="00DD4042">
        <w:rPr>
          <w:rFonts w:ascii="Sylfaen" w:hAnsi="Sylfaen" w:cs="Sylfaen"/>
          <w:lang w:val="ka-GE"/>
        </w:rPr>
        <w:t>დატვირთვა</w:t>
      </w:r>
      <w:r w:rsidRPr="00DD4042">
        <w:rPr>
          <w:rFonts w:ascii="AcadNusx" w:hAnsi="AcadNusx"/>
          <w:lang w:val="ka-GE"/>
        </w:rPr>
        <w:t xml:space="preserve"> </w:t>
      </w:r>
      <w:r w:rsidRPr="00DD4042">
        <w:rPr>
          <w:rFonts w:ascii="Sylfaen" w:hAnsi="Sylfaen" w:cs="Sylfaen"/>
          <w:lang w:val="ka-GE"/>
        </w:rPr>
        <w:t>პროგნოზირებულია</w:t>
      </w:r>
      <w:r w:rsidRPr="00DD4042">
        <w:rPr>
          <w:rFonts w:ascii="AcadNusx" w:hAnsi="AcadNusx"/>
          <w:lang w:val="ka-GE"/>
        </w:rPr>
        <w:t xml:space="preserve"> </w:t>
      </w:r>
      <w:r w:rsidRPr="00DD4042">
        <w:rPr>
          <w:rFonts w:ascii="Sylfaen" w:hAnsi="Sylfaen" w:cs="Sylfaen"/>
          <w:lang w:val="ka-GE"/>
        </w:rPr>
        <w:t>ველისციხის</w:t>
      </w:r>
      <w:r w:rsidRPr="00DD4042">
        <w:rPr>
          <w:rFonts w:ascii="AcadNusx" w:hAnsi="AcadNusx"/>
          <w:lang w:val="ka-GE"/>
        </w:rPr>
        <w:t xml:space="preserve"> </w:t>
      </w:r>
      <w:r w:rsidRPr="00DD4042">
        <w:rPr>
          <w:rFonts w:ascii="Sylfaen" w:hAnsi="Sylfaen" w:cs="Sylfaen"/>
          <w:lang w:val="ka-GE"/>
        </w:rPr>
        <w:t>გადასახვევსა</w:t>
      </w:r>
      <w:r w:rsidRPr="00DD4042">
        <w:rPr>
          <w:rFonts w:ascii="AcadNusx" w:hAnsi="AcadNusx"/>
          <w:lang w:val="ka-GE"/>
        </w:rPr>
        <w:t xml:space="preserve"> </w:t>
      </w:r>
      <w:r w:rsidRPr="00DD4042">
        <w:rPr>
          <w:rFonts w:ascii="Sylfaen" w:hAnsi="Sylfaen" w:cs="Sylfaen"/>
          <w:lang w:val="ka-GE"/>
        </w:rPr>
        <w:t>და</w:t>
      </w:r>
      <w:r w:rsidRPr="00DD4042">
        <w:rPr>
          <w:rFonts w:ascii="AcadNusx" w:hAnsi="AcadNusx"/>
          <w:lang w:val="ka-GE"/>
        </w:rPr>
        <w:t xml:space="preserve"> </w:t>
      </w:r>
      <w:r w:rsidRPr="00DD4042">
        <w:rPr>
          <w:rFonts w:ascii="Sylfaen" w:hAnsi="Sylfaen" w:cs="Sylfaen"/>
          <w:lang w:val="ka-GE"/>
        </w:rPr>
        <w:t>ჩუმლაყს</w:t>
      </w:r>
      <w:r w:rsidRPr="00DD4042">
        <w:rPr>
          <w:rFonts w:ascii="AcadNusx" w:hAnsi="AcadNusx"/>
          <w:lang w:val="ka-GE"/>
        </w:rPr>
        <w:t xml:space="preserve"> </w:t>
      </w:r>
      <w:r w:rsidRPr="00DD4042">
        <w:rPr>
          <w:rFonts w:ascii="Sylfaen" w:hAnsi="Sylfaen" w:cs="Sylfaen"/>
          <w:lang w:val="ka-GE"/>
        </w:rPr>
        <w:t>შორის</w:t>
      </w:r>
      <w:r w:rsidRPr="00DD4042">
        <w:rPr>
          <w:rFonts w:ascii="AcadNusx" w:hAnsi="AcadNusx"/>
          <w:lang w:val="ka-GE"/>
        </w:rPr>
        <w:t xml:space="preserve"> </w:t>
      </w:r>
      <w:r w:rsidRPr="00DD4042">
        <w:rPr>
          <w:rFonts w:ascii="Sylfaen" w:hAnsi="Sylfaen" w:cs="Sylfaen"/>
          <w:lang w:val="ka-GE"/>
        </w:rPr>
        <w:t>უბანზე</w:t>
      </w:r>
      <w:r w:rsidRPr="00DD4042">
        <w:rPr>
          <w:rFonts w:ascii="AcadNusx" w:hAnsi="AcadNusx"/>
          <w:lang w:val="ka-GE"/>
        </w:rPr>
        <w:t xml:space="preserve"> </w:t>
      </w:r>
      <w:r w:rsidRPr="00DD4042">
        <w:rPr>
          <w:rFonts w:ascii="Sylfaen" w:hAnsi="Sylfaen" w:cs="Sylfaen"/>
          <w:lang w:val="ka-GE"/>
        </w:rPr>
        <w:t>დაშეადგენს</w:t>
      </w:r>
      <w:r w:rsidRPr="00DD4042">
        <w:rPr>
          <w:rFonts w:ascii="AcadNusx" w:hAnsi="AcadNusx"/>
          <w:lang w:val="ka-GE"/>
        </w:rPr>
        <w:t xml:space="preserve"> </w:t>
      </w:r>
      <w:r w:rsidRPr="00DD4042">
        <w:rPr>
          <w:rFonts w:ascii="Sylfaen" w:hAnsi="Sylfaen" w:cs="Sylfaen"/>
          <w:lang w:val="ka-GE"/>
        </w:rPr>
        <w:t>წლიურად</w:t>
      </w:r>
      <w:r w:rsidRPr="00DD4042">
        <w:rPr>
          <w:rFonts w:ascii="AcadNusx" w:hAnsi="AcadNusx"/>
          <w:lang w:val="ka-GE"/>
        </w:rPr>
        <w:t xml:space="preserve"> 3.888 </w:t>
      </w:r>
      <w:r w:rsidRPr="00DD4042">
        <w:rPr>
          <w:rFonts w:ascii="Sylfaen" w:hAnsi="Sylfaen" w:cs="Sylfaen"/>
          <w:lang w:val="ka-GE"/>
        </w:rPr>
        <w:t>მილიონი</w:t>
      </w:r>
      <w:r w:rsidRPr="00DD4042">
        <w:rPr>
          <w:rFonts w:ascii="AcadNusx" w:hAnsi="AcadNusx"/>
          <w:lang w:val="ka-GE"/>
        </w:rPr>
        <w:t xml:space="preserve"> (8.1-</w:t>
      </w:r>
      <w:r w:rsidRPr="00DD4042">
        <w:rPr>
          <w:rFonts w:ascii="Sylfaen" w:hAnsi="Sylfaen" w:cs="Sylfaen"/>
          <w:lang w:val="ka-GE"/>
        </w:rPr>
        <w:t>ტონიანი</w:t>
      </w:r>
      <w:r w:rsidRPr="00DD4042">
        <w:rPr>
          <w:rFonts w:ascii="AcadNusx" w:hAnsi="AcadNusx"/>
          <w:lang w:val="ka-GE"/>
        </w:rPr>
        <w:t xml:space="preserve">) </w:t>
      </w:r>
      <w:r w:rsidRPr="00DD4042">
        <w:rPr>
          <w:rFonts w:ascii="Sylfaen" w:hAnsi="Sylfaen" w:cs="Sylfaen"/>
          <w:lang w:val="ka-GE"/>
        </w:rPr>
        <w:t>სტანდარტული</w:t>
      </w:r>
      <w:r w:rsidRPr="00DD4042">
        <w:rPr>
          <w:rFonts w:ascii="AcadNusx" w:hAnsi="AcadNusx"/>
          <w:lang w:val="ka-GE"/>
        </w:rPr>
        <w:t xml:space="preserve"> </w:t>
      </w:r>
      <w:r w:rsidRPr="00DD4042">
        <w:rPr>
          <w:rFonts w:ascii="Sylfaen" w:hAnsi="Sylfaen" w:cs="Sylfaen"/>
          <w:lang w:val="ka-GE"/>
        </w:rPr>
        <w:t>ღერძის</w:t>
      </w:r>
      <w:r w:rsidRPr="00DD4042">
        <w:rPr>
          <w:rFonts w:ascii="AcadNusx" w:hAnsi="AcadNusx"/>
          <w:lang w:val="ka-GE"/>
        </w:rPr>
        <w:t xml:space="preserve"> </w:t>
      </w:r>
      <w:r w:rsidRPr="00DD4042">
        <w:rPr>
          <w:rFonts w:ascii="Sylfaen" w:hAnsi="Sylfaen" w:cs="Sylfaen"/>
          <w:lang w:val="ka-GE"/>
        </w:rPr>
        <w:t>ექვივალენტს</w:t>
      </w:r>
      <w:r w:rsidRPr="00DD4042">
        <w:rPr>
          <w:rFonts w:ascii="AcadNusx" w:hAnsi="AcadNusx"/>
          <w:lang w:val="ka-GE"/>
        </w:rPr>
        <w:t xml:space="preserve">. </w:t>
      </w:r>
      <w:r w:rsidRPr="00DD4042">
        <w:rPr>
          <w:rFonts w:ascii="Sylfaen" w:hAnsi="Sylfaen" w:cs="Sylfaen"/>
          <w:lang w:val="ka-GE"/>
        </w:rPr>
        <w:t>აღნიშნული</w:t>
      </w:r>
      <w:r w:rsidRPr="00DD4042">
        <w:rPr>
          <w:rFonts w:ascii="AcadNusx" w:hAnsi="AcadNusx"/>
          <w:lang w:val="ka-GE"/>
        </w:rPr>
        <w:t xml:space="preserve"> </w:t>
      </w:r>
      <w:r w:rsidRPr="00DD4042">
        <w:rPr>
          <w:rFonts w:ascii="Sylfaen" w:hAnsi="Sylfaen" w:cs="Sylfaen"/>
          <w:lang w:val="ka-GE"/>
        </w:rPr>
        <w:t>სატრანსპორტო</w:t>
      </w:r>
      <w:r w:rsidRPr="00DD4042">
        <w:rPr>
          <w:rFonts w:ascii="AcadNusx" w:hAnsi="AcadNusx"/>
          <w:lang w:val="ka-GE"/>
        </w:rPr>
        <w:t xml:space="preserve"> </w:t>
      </w:r>
      <w:r w:rsidRPr="00DD4042">
        <w:rPr>
          <w:rFonts w:ascii="Sylfaen" w:hAnsi="Sylfaen" w:cs="Sylfaen"/>
          <w:lang w:val="ka-GE"/>
        </w:rPr>
        <w:t>დატვირთვის</w:t>
      </w:r>
      <w:r w:rsidRPr="00DD4042">
        <w:rPr>
          <w:rFonts w:ascii="AcadNusx" w:hAnsi="AcadNusx"/>
          <w:lang w:val="ka-GE"/>
        </w:rPr>
        <w:t xml:space="preserve"> </w:t>
      </w:r>
      <w:r w:rsidRPr="00DD4042">
        <w:rPr>
          <w:rFonts w:ascii="Sylfaen" w:hAnsi="Sylfaen" w:cs="Sylfaen"/>
          <w:lang w:val="ka-GE"/>
        </w:rPr>
        <w:t>გადასაყვანად</w:t>
      </w:r>
      <w:r w:rsidRPr="00DD4042">
        <w:rPr>
          <w:rFonts w:ascii="AcadNusx" w:hAnsi="AcadNusx"/>
          <w:lang w:val="ka-GE"/>
        </w:rPr>
        <w:t xml:space="preserve"> 10-</w:t>
      </w:r>
      <w:r w:rsidRPr="00DD4042">
        <w:rPr>
          <w:rFonts w:ascii="Sylfaen" w:hAnsi="Sylfaen" w:cs="Sylfaen"/>
          <w:lang w:val="ka-GE"/>
        </w:rPr>
        <w:t>ტონიანი</w:t>
      </w:r>
      <w:r w:rsidRPr="00DD4042">
        <w:rPr>
          <w:rFonts w:ascii="AcadNusx" w:hAnsi="AcadNusx"/>
          <w:lang w:val="ka-GE"/>
        </w:rPr>
        <w:t xml:space="preserve"> </w:t>
      </w:r>
      <w:r w:rsidRPr="00DD4042">
        <w:rPr>
          <w:rFonts w:ascii="Sylfaen" w:hAnsi="Sylfaen" w:cs="Sylfaen"/>
          <w:lang w:val="ka-GE"/>
        </w:rPr>
        <w:t>ღერძების</w:t>
      </w:r>
      <w:r w:rsidRPr="00DD4042">
        <w:rPr>
          <w:rFonts w:ascii="AcadNusx" w:hAnsi="AcadNusx"/>
          <w:lang w:val="ka-GE"/>
        </w:rPr>
        <w:t xml:space="preserve"> </w:t>
      </w:r>
      <w:r w:rsidRPr="00DD4042">
        <w:rPr>
          <w:rFonts w:ascii="Sylfaen" w:hAnsi="Sylfaen" w:cs="Sylfaen"/>
          <w:lang w:val="ka-GE"/>
        </w:rPr>
        <w:t>ექვივალენტში</w:t>
      </w:r>
      <w:r w:rsidRPr="00DD4042">
        <w:rPr>
          <w:rFonts w:ascii="AcadNusx" w:hAnsi="AcadNusx"/>
          <w:lang w:val="ka-GE"/>
        </w:rPr>
        <w:t xml:space="preserve"> </w:t>
      </w:r>
      <w:r w:rsidRPr="00DD4042">
        <w:rPr>
          <w:rFonts w:ascii="Sylfaen" w:hAnsi="Sylfaen" w:cs="Sylfaen"/>
          <w:lang w:val="ka-GE"/>
        </w:rPr>
        <w:t>გამოიყენება</w:t>
      </w:r>
      <w:r w:rsidRPr="00DD4042">
        <w:rPr>
          <w:rFonts w:ascii="AcadNusx" w:hAnsi="AcadNusx"/>
          <w:lang w:val="ka-GE"/>
        </w:rPr>
        <w:t xml:space="preserve"> </w:t>
      </w:r>
      <w:r w:rsidR="00F56660">
        <w:rPr>
          <w:rFonts w:ascii="Sylfaen" w:hAnsi="Sylfaen" w:cs="Sylfaen"/>
          <w:lang w:val="en-US"/>
        </w:rPr>
        <w:t>AASHTO</w:t>
      </w:r>
      <w:r w:rsidR="00F56660" w:rsidRPr="00DD4042">
        <w:rPr>
          <w:rFonts w:ascii="AcadNusx" w:hAnsi="AcadNusx"/>
          <w:lang w:val="ka-GE"/>
        </w:rPr>
        <w:t>-</w:t>
      </w:r>
      <w:r w:rsidR="00F56660" w:rsidRPr="00DD4042">
        <w:rPr>
          <w:rFonts w:ascii="Sylfaen" w:hAnsi="Sylfaen" w:cs="Sylfaen"/>
          <w:lang w:val="ka-GE"/>
        </w:rPr>
        <w:t>ს</w:t>
      </w:r>
      <w:r w:rsidRPr="00DD4042">
        <w:rPr>
          <w:rFonts w:ascii="AcadNusx" w:hAnsi="AcadNusx"/>
          <w:lang w:val="ka-GE"/>
        </w:rPr>
        <w:t xml:space="preserve"> </w:t>
      </w:r>
      <w:r w:rsidRPr="00DD4042">
        <w:rPr>
          <w:rFonts w:ascii="Sylfaen" w:hAnsi="Sylfaen" w:cs="Sylfaen"/>
          <w:lang w:val="ka-GE"/>
        </w:rPr>
        <w:t>გადამყვანი</w:t>
      </w:r>
      <w:r w:rsidRPr="00DD4042">
        <w:rPr>
          <w:rFonts w:ascii="AcadNusx" w:hAnsi="AcadNusx"/>
          <w:lang w:val="ka-GE"/>
        </w:rPr>
        <w:t xml:space="preserve"> </w:t>
      </w:r>
      <w:r w:rsidRPr="00DD4042">
        <w:rPr>
          <w:rFonts w:ascii="Sylfaen" w:hAnsi="Sylfaen" w:cs="Sylfaen"/>
          <w:lang w:val="ka-GE"/>
        </w:rPr>
        <w:t>კოეფიციენტი</w:t>
      </w:r>
      <w:r w:rsidRPr="00DD4042">
        <w:rPr>
          <w:rFonts w:ascii="AcadNusx" w:hAnsi="AcadNusx"/>
          <w:lang w:val="ka-GE"/>
        </w:rPr>
        <w:t xml:space="preserve">, </w:t>
      </w:r>
      <w:r w:rsidRPr="00DD4042">
        <w:rPr>
          <w:rFonts w:ascii="Sylfaen" w:hAnsi="Sylfaen" w:cs="Sylfaen"/>
          <w:lang w:val="ka-GE"/>
        </w:rPr>
        <w:t>რომელიც</w:t>
      </w:r>
      <w:r w:rsidRPr="00DD4042">
        <w:rPr>
          <w:rFonts w:ascii="AcadNusx" w:hAnsi="AcadNusx"/>
          <w:lang w:val="ka-GE"/>
        </w:rPr>
        <w:t xml:space="preserve"> </w:t>
      </w:r>
      <w:r w:rsidRPr="00DD4042">
        <w:rPr>
          <w:rFonts w:ascii="Sylfaen" w:hAnsi="Sylfaen" w:cs="Sylfaen"/>
          <w:lang w:val="ka-GE"/>
        </w:rPr>
        <w:t>გამოითვლება</w:t>
      </w:r>
      <w:r w:rsidRPr="00DD4042">
        <w:rPr>
          <w:rFonts w:ascii="AcadNusx" w:hAnsi="AcadNusx"/>
          <w:lang w:val="ka-GE"/>
        </w:rPr>
        <w:t xml:space="preserve"> </w:t>
      </w:r>
      <w:r w:rsidRPr="00DD4042">
        <w:rPr>
          <w:rFonts w:ascii="Sylfaen" w:hAnsi="Sylfaen" w:cs="Sylfaen"/>
          <w:lang w:val="ka-GE"/>
        </w:rPr>
        <w:t>შემდეგი</w:t>
      </w:r>
      <w:r w:rsidRPr="00DD4042">
        <w:rPr>
          <w:rFonts w:ascii="AcadNusx" w:hAnsi="AcadNusx"/>
          <w:lang w:val="ka-GE"/>
        </w:rPr>
        <w:t xml:space="preserve"> </w:t>
      </w:r>
      <w:r w:rsidRPr="00DD4042">
        <w:rPr>
          <w:rFonts w:ascii="Sylfaen" w:hAnsi="Sylfaen" w:cs="Sylfaen"/>
          <w:lang w:val="ka-GE"/>
        </w:rPr>
        <w:t>ფორმულით</w:t>
      </w:r>
      <w:r w:rsidRPr="00DD4042">
        <w:rPr>
          <w:rFonts w:ascii="AcadNusx" w:hAnsi="AcadNusx"/>
          <w:lang w:val="ka-GE"/>
        </w:rPr>
        <w:t>:</w:t>
      </w:r>
    </w:p>
    <w:p w14:paraId="5DE3F6C0" w14:textId="05310D27" w:rsidR="00DD4042" w:rsidRPr="00DD4042" w:rsidRDefault="00DD4042" w:rsidP="00DD4042">
      <w:pPr>
        <w:spacing w:before="120" w:after="120"/>
        <w:rPr>
          <w:rFonts w:ascii="AcadNusx" w:hAnsi="AcadNusx"/>
          <w:lang w:val="ka-GE"/>
        </w:rPr>
      </w:pPr>
      <w:r w:rsidRPr="00DD4042">
        <w:rPr>
          <w:rFonts w:ascii="Sylfaen" w:hAnsi="Sylfaen" w:cs="Sylfaen"/>
          <w:lang w:val="ka-GE"/>
        </w:rPr>
        <w:t>გადამყვანი</w:t>
      </w:r>
      <w:r w:rsidRPr="00DD4042">
        <w:rPr>
          <w:rFonts w:ascii="AcadNusx" w:hAnsi="AcadNusx"/>
          <w:lang w:val="ka-GE"/>
        </w:rPr>
        <w:t xml:space="preserve"> (</w:t>
      </w:r>
      <w:r w:rsidRPr="00DD4042">
        <w:rPr>
          <w:rFonts w:ascii="Sylfaen" w:hAnsi="Sylfaen" w:cs="Sylfaen"/>
          <w:lang w:val="ka-GE"/>
        </w:rPr>
        <w:t>ექვივალენტური</w:t>
      </w:r>
      <w:r w:rsidRPr="00DD4042">
        <w:rPr>
          <w:rFonts w:ascii="AcadNusx" w:hAnsi="AcadNusx"/>
          <w:lang w:val="ka-GE"/>
        </w:rPr>
        <w:t xml:space="preserve">) </w:t>
      </w:r>
      <w:r w:rsidRPr="00DD4042">
        <w:rPr>
          <w:rFonts w:ascii="Sylfaen" w:hAnsi="Sylfaen" w:cs="Sylfaen"/>
          <w:lang w:val="ka-GE"/>
        </w:rPr>
        <w:t>კოეფიციენტი</w:t>
      </w:r>
      <w:r w:rsidRPr="00DD4042">
        <w:rPr>
          <w:rFonts w:ascii="AcadNusx" w:hAnsi="AcadNusx"/>
          <w:lang w:val="ka-GE"/>
        </w:rPr>
        <w:t xml:space="preserve"> = (</w:t>
      </w:r>
      <w:r w:rsidRPr="00DD4042">
        <w:rPr>
          <w:rFonts w:ascii="Sylfaen" w:hAnsi="Sylfaen" w:cs="Sylfaen"/>
          <w:lang w:val="ka-GE"/>
        </w:rPr>
        <w:t>ღერძული</w:t>
      </w:r>
      <w:r w:rsidRPr="00DD4042">
        <w:rPr>
          <w:rFonts w:ascii="AcadNusx" w:hAnsi="AcadNusx"/>
          <w:lang w:val="ka-GE"/>
        </w:rPr>
        <w:t xml:space="preserve"> </w:t>
      </w:r>
      <w:r w:rsidRPr="00DD4042">
        <w:rPr>
          <w:rFonts w:ascii="Sylfaen" w:hAnsi="Sylfaen" w:cs="Sylfaen"/>
          <w:lang w:val="ka-GE"/>
        </w:rPr>
        <w:t>დატვირთვა</w:t>
      </w:r>
      <w:r w:rsidRPr="00DD4042">
        <w:rPr>
          <w:rFonts w:ascii="AcadNusx" w:hAnsi="AcadNusx"/>
          <w:lang w:val="ka-GE"/>
        </w:rPr>
        <w:t>) /8.16)</w:t>
      </w:r>
      <w:r w:rsidR="00F56660" w:rsidRPr="00373702">
        <w:rPr>
          <w:rFonts w:ascii="AcadNusx" w:hAnsi="AcadNusx"/>
          <w:lang w:val="ka-GE"/>
        </w:rPr>
        <w:t xml:space="preserve"> </w:t>
      </w:r>
      <w:r w:rsidRPr="00DD4042">
        <w:rPr>
          <w:rFonts w:ascii="AcadNusx" w:hAnsi="AcadNusx"/>
          <w:lang w:val="ka-GE"/>
        </w:rPr>
        <w:t>4.5</w:t>
      </w:r>
    </w:p>
    <w:p w14:paraId="0D7E0CBA" w14:textId="77777777" w:rsidR="00DD4042" w:rsidRPr="00DD4042" w:rsidRDefault="00DD4042" w:rsidP="00DD4042">
      <w:pPr>
        <w:spacing w:before="120" w:after="120"/>
        <w:rPr>
          <w:rFonts w:ascii="AcadNusx" w:hAnsi="AcadNusx"/>
          <w:lang w:val="ka-GE"/>
        </w:rPr>
      </w:pPr>
      <w:r w:rsidRPr="00DD4042">
        <w:rPr>
          <w:rFonts w:ascii="AcadNusx" w:hAnsi="AcadNusx"/>
          <w:lang w:val="ka-GE"/>
        </w:rPr>
        <w:t>10-</w:t>
      </w:r>
      <w:r w:rsidRPr="00DD4042">
        <w:rPr>
          <w:rFonts w:ascii="Sylfaen" w:hAnsi="Sylfaen" w:cs="Sylfaen"/>
          <w:lang w:val="ka-GE"/>
        </w:rPr>
        <w:t>ტონიანი</w:t>
      </w:r>
      <w:r w:rsidRPr="00DD4042">
        <w:rPr>
          <w:rFonts w:ascii="AcadNusx" w:hAnsi="AcadNusx"/>
          <w:lang w:val="ka-GE"/>
        </w:rPr>
        <w:t xml:space="preserve"> </w:t>
      </w:r>
      <w:r w:rsidRPr="00DD4042">
        <w:rPr>
          <w:rFonts w:ascii="Sylfaen" w:hAnsi="Sylfaen" w:cs="Sylfaen"/>
          <w:lang w:val="ka-GE"/>
        </w:rPr>
        <w:t>ღერძული</w:t>
      </w:r>
      <w:r w:rsidRPr="00DD4042">
        <w:rPr>
          <w:rFonts w:ascii="AcadNusx" w:hAnsi="AcadNusx"/>
          <w:lang w:val="ka-GE"/>
        </w:rPr>
        <w:t xml:space="preserve"> </w:t>
      </w:r>
      <w:r w:rsidRPr="00DD4042">
        <w:rPr>
          <w:rFonts w:ascii="Sylfaen" w:hAnsi="Sylfaen" w:cs="Sylfaen"/>
          <w:lang w:val="ka-GE"/>
        </w:rPr>
        <w:t>დატვირთვისთვის</w:t>
      </w:r>
      <w:r w:rsidRPr="00DD4042">
        <w:rPr>
          <w:rFonts w:ascii="AcadNusx" w:hAnsi="AcadNusx"/>
          <w:lang w:val="ka-GE"/>
        </w:rPr>
        <w:t xml:space="preserve">, </w:t>
      </w:r>
      <w:r w:rsidRPr="00DD4042">
        <w:rPr>
          <w:rFonts w:ascii="Sylfaen" w:hAnsi="Sylfaen" w:cs="Sylfaen"/>
          <w:lang w:val="ka-GE"/>
        </w:rPr>
        <w:t>გადამყვანი</w:t>
      </w:r>
      <w:r w:rsidRPr="00DD4042">
        <w:rPr>
          <w:rFonts w:ascii="AcadNusx" w:hAnsi="AcadNusx"/>
          <w:lang w:val="ka-GE"/>
        </w:rPr>
        <w:t xml:space="preserve"> </w:t>
      </w:r>
      <w:r w:rsidRPr="00DD4042">
        <w:rPr>
          <w:rFonts w:ascii="Sylfaen" w:hAnsi="Sylfaen" w:cs="Sylfaen"/>
          <w:lang w:val="ka-GE"/>
        </w:rPr>
        <w:t>კოეფიციენტის</w:t>
      </w:r>
      <w:r w:rsidRPr="00DD4042">
        <w:rPr>
          <w:rFonts w:ascii="AcadNusx" w:hAnsi="AcadNusx"/>
          <w:lang w:val="ka-GE"/>
        </w:rPr>
        <w:t xml:space="preserve"> </w:t>
      </w:r>
      <w:r w:rsidRPr="00DD4042">
        <w:rPr>
          <w:rFonts w:ascii="Sylfaen" w:hAnsi="Sylfaen" w:cs="Sylfaen"/>
          <w:lang w:val="ka-GE"/>
        </w:rPr>
        <w:t>გამოთვლილი</w:t>
      </w:r>
      <w:r w:rsidRPr="00DD4042">
        <w:rPr>
          <w:rFonts w:ascii="AcadNusx" w:hAnsi="AcadNusx"/>
          <w:lang w:val="ka-GE"/>
        </w:rPr>
        <w:t xml:space="preserve"> </w:t>
      </w:r>
      <w:r w:rsidRPr="00DD4042">
        <w:rPr>
          <w:rFonts w:ascii="Sylfaen" w:hAnsi="Sylfaen" w:cs="Sylfaen"/>
          <w:lang w:val="ka-GE"/>
        </w:rPr>
        <w:t>სიდიდე</w:t>
      </w:r>
      <w:r w:rsidRPr="00DD4042">
        <w:rPr>
          <w:rFonts w:ascii="AcadNusx" w:hAnsi="AcadNusx"/>
          <w:lang w:val="ka-GE"/>
        </w:rPr>
        <w:t xml:space="preserve"> </w:t>
      </w:r>
      <w:r w:rsidRPr="00DD4042">
        <w:rPr>
          <w:rFonts w:ascii="Sylfaen" w:hAnsi="Sylfaen" w:cs="Sylfaen"/>
          <w:lang w:val="ka-GE"/>
        </w:rPr>
        <w:t>შეადგენს</w:t>
      </w:r>
      <w:r w:rsidRPr="00DD4042">
        <w:rPr>
          <w:rFonts w:ascii="AcadNusx" w:hAnsi="AcadNusx"/>
          <w:lang w:val="ka-GE"/>
        </w:rPr>
        <w:t xml:space="preserve"> 2.50-</w:t>
      </w:r>
      <w:r w:rsidRPr="00DD4042">
        <w:rPr>
          <w:rFonts w:ascii="Sylfaen" w:hAnsi="Sylfaen" w:cs="Sylfaen"/>
          <w:lang w:val="ka-GE"/>
        </w:rPr>
        <w:t>ს</w:t>
      </w:r>
      <w:r w:rsidRPr="00DD4042">
        <w:rPr>
          <w:rFonts w:ascii="AcadNusx" w:hAnsi="AcadNusx"/>
          <w:lang w:val="ka-GE"/>
        </w:rPr>
        <w:t xml:space="preserve">. </w:t>
      </w:r>
    </w:p>
    <w:p w14:paraId="37BB0168" w14:textId="77777777" w:rsidR="00DD4042" w:rsidRPr="00DD4042" w:rsidRDefault="00DD4042" w:rsidP="00DD4042">
      <w:pPr>
        <w:spacing w:before="120" w:after="120"/>
        <w:rPr>
          <w:rFonts w:ascii="AcadNusx" w:hAnsi="AcadNusx"/>
          <w:lang w:val="ka-GE"/>
        </w:rPr>
      </w:pPr>
      <w:r w:rsidRPr="00DD4042">
        <w:rPr>
          <w:rFonts w:ascii="Sylfaen" w:hAnsi="Sylfaen" w:cs="Sylfaen"/>
          <w:lang w:val="ka-GE"/>
        </w:rPr>
        <w:t>ზემოთ</w:t>
      </w:r>
      <w:r w:rsidRPr="00DD4042">
        <w:rPr>
          <w:rFonts w:ascii="AcadNusx" w:hAnsi="AcadNusx"/>
          <w:lang w:val="ka-GE"/>
        </w:rPr>
        <w:t xml:space="preserve"> </w:t>
      </w:r>
      <w:r w:rsidRPr="00DD4042">
        <w:rPr>
          <w:rFonts w:ascii="Sylfaen" w:hAnsi="Sylfaen" w:cs="Sylfaen"/>
          <w:lang w:val="ka-GE"/>
        </w:rPr>
        <w:t>მითითებული</w:t>
      </w:r>
      <w:r w:rsidRPr="00DD4042">
        <w:rPr>
          <w:rFonts w:ascii="AcadNusx" w:hAnsi="AcadNusx"/>
          <w:lang w:val="ka-GE"/>
        </w:rPr>
        <w:t xml:space="preserve"> </w:t>
      </w:r>
      <w:r w:rsidRPr="00DD4042">
        <w:rPr>
          <w:rFonts w:ascii="Sylfaen" w:hAnsi="Sylfaen" w:cs="Sylfaen"/>
          <w:lang w:val="ka-GE"/>
        </w:rPr>
        <w:t>გადამყვანი</w:t>
      </w:r>
      <w:r w:rsidRPr="00DD4042">
        <w:rPr>
          <w:rFonts w:ascii="AcadNusx" w:hAnsi="AcadNusx"/>
          <w:lang w:val="ka-GE"/>
        </w:rPr>
        <w:t xml:space="preserve"> </w:t>
      </w:r>
      <w:r w:rsidRPr="00DD4042">
        <w:rPr>
          <w:rFonts w:ascii="Sylfaen" w:hAnsi="Sylfaen" w:cs="Sylfaen"/>
          <w:lang w:val="ka-GE"/>
        </w:rPr>
        <w:t>კოეფიციენტის</w:t>
      </w:r>
      <w:r w:rsidRPr="00DD4042">
        <w:rPr>
          <w:rFonts w:ascii="AcadNusx" w:hAnsi="AcadNusx"/>
          <w:lang w:val="ka-GE"/>
        </w:rPr>
        <w:t xml:space="preserve"> </w:t>
      </w:r>
      <w:r w:rsidRPr="00DD4042">
        <w:rPr>
          <w:rFonts w:ascii="Sylfaen" w:hAnsi="Sylfaen" w:cs="Sylfaen"/>
          <w:lang w:val="ka-GE"/>
        </w:rPr>
        <w:t>მიყენებით</w:t>
      </w:r>
      <w:r w:rsidRPr="00DD4042">
        <w:rPr>
          <w:rFonts w:ascii="AcadNusx" w:hAnsi="AcadNusx"/>
          <w:lang w:val="ka-GE"/>
        </w:rPr>
        <w:t xml:space="preserve">, </w:t>
      </w:r>
      <w:r w:rsidRPr="00DD4042">
        <w:rPr>
          <w:rFonts w:ascii="Sylfaen" w:hAnsi="Sylfaen" w:cs="Sylfaen"/>
          <w:lang w:val="ka-GE"/>
        </w:rPr>
        <w:t>საანგარიშო</w:t>
      </w:r>
      <w:r w:rsidRPr="00DD4042">
        <w:rPr>
          <w:rFonts w:ascii="AcadNusx" w:hAnsi="AcadNusx"/>
          <w:lang w:val="ka-GE"/>
        </w:rPr>
        <w:t xml:space="preserve"> </w:t>
      </w:r>
      <w:r w:rsidRPr="00DD4042">
        <w:rPr>
          <w:rFonts w:ascii="Sylfaen" w:hAnsi="Sylfaen" w:cs="Sylfaen"/>
          <w:lang w:val="ka-GE"/>
        </w:rPr>
        <w:t>მოძრაობის</w:t>
      </w:r>
      <w:r w:rsidRPr="00DD4042">
        <w:rPr>
          <w:rFonts w:ascii="AcadNusx" w:hAnsi="AcadNusx"/>
          <w:lang w:val="ka-GE"/>
        </w:rPr>
        <w:t xml:space="preserve"> </w:t>
      </w:r>
      <w:r w:rsidRPr="00DD4042">
        <w:rPr>
          <w:rFonts w:ascii="Sylfaen" w:hAnsi="Sylfaen" w:cs="Sylfaen"/>
          <w:lang w:val="ka-GE"/>
        </w:rPr>
        <w:t>ზოლზე</w:t>
      </w:r>
      <w:r w:rsidRPr="00DD4042">
        <w:rPr>
          <w:rFonts w:ascii="AcadNusx" w:hAnsi="AcadNusx"/>
          <w:lang w:val="ka-GE"/>
        </w:rPr>
        <w:t xml:space="preserve"> </w:t>
      </w:r>
      <w:r w:rsidRPr="00DD4042">
        <w:rPr>
          <w:rFonts w:ascii="Sylfaen" w:hAnsi="Sylfaen" w:cs="Sylfaen"/>
          <w:lang w:val="ka-GE"/>
        </w:rPr>
        <w:t>მოსული</w:t>
      </w:r>
      <w:r w:rsidRPr="00DD4042">
        <w:rPr>
          <w:rFonts w:ascii="AcadNusx" w:hAnsi="AcadNusx"/>
          <w:lang w:val="ka-GE"/>
        </w:rPr>
        <w:t xml:space="preserve"> </w:t>
      </w:r>
      <w:r w:rsidRPr="00DD4042">
        <w:rPr>
          <w:rFonts w:ascii="Sylfaen" w:hAnsi="Sylfaen" w:cs="Sylfaen"/>
          <w:lang w:val="ka-GE"/>
        </w:rPr>
        <w:t>სატრანსპორტო</w:t>
      </w:r>
      <w:r w:rsidRPr="00DD4042">
        <w:rPr>
          <w:rFonts w:ascii="AcadNusx" w:hAnsi="AcadNusx"/>
          <w:lang w:val="ka-GE"/>
        </w:rPr>
        <w:t xml:space="preserve"> </w:t>
      </w:r>
      <w:r w:rsidRPr="00DD4042">
        <w:rPr>
          <w:rFonts w:ascii="Sylfaen" w:hAnsi="Sylfaen" w:cs="Sylfaen"/>
          <w:lang w:val="ka-GE"/>
        </w:rPr>
        <w:t>დატვირთვა</w:t>
      </w:r>
      <w:r w:rsidRPr="00DD4042">
        <w:rPr>
          <w:rFonts w:ascii="AcadNusx" w:hAnsi="AcadNusx"/>
          <w:lang w:val="ka-GE"/>
        </w:rPr>
        <w:t xml:space="preserve"> </w:t>
      </w:r>
      <w:r w:rsidRPr="00DD4042">
        <w:rPr>
          <w:rFonts w:ascii="Sylfaen" w:hAnsi="Sylfaen" w:cs="Sylfaen"/>
          <w:lang w:val="ka-GE"/>
        </w:rPr>
        <w:t>შეადგენს</w:t>
      </w:r>
      <w:r w:rsidRPr="00DD4042">
        <w:rPr>
          <w:rFonts w:ascii="AcadNusx" w:hAnsi="AcadNusx"/>
          <w:lang w:val="ka-GE"/>
        </w:rPr>
        <w:t xml:space="preserve"> 1.555 </w:t>
      </w:r>
      <w:r w:rsidRPr="00DD4042">
        <w:rPr>
          <w:rFonts w:ascii="Sylfaen" w:hAnsi="Sylfaen" w:cs="Sylfaen"/>
          <w:lang w:val="ka-GE"/>
        </w:rPr>
        <w:t>მილიონ</w:t>
      </w:r>
      <w:r w:rsidRPr="00DD4042">
        <w:rPr>
          <w:rFonts w:ascii="AcadNusx" w:hAnsi="AcadNusx"/>
          <w:lang w:val="ka-GE"/>
        </w:rPr>
        <w:t xml:space="preserve"> </w:t>
      </w:r>
      <w:r w:rsidRPr="00DD4042">
        <w:rPr>
          <w:rFonts w:ascii="Sylfaen" w:hAnsi="Sylfaen" w:cs="Sylfaen"/>
          <w:lang w:val="ka-GE"/>
        </w:rPr>
        <w:t>სტანდარტულ</w:t>
      </w:r>
      <w:r w:rsidRPr="00DD4042">
        <w:rPr>
          <w:rFonts w:ascii="AcadNusx" w:hAnsi="AcadNusx"/>
          <w:lang w:val="ka-GE"/>
        </w:rPr>
        <w:t xml:space="preserve"> </w:t>
      </w:r>
      <w:r w:rsidRPr="00DD4042">
        <w:rPr>
          <w:rFonts w:ascii="Sylfaen" w:hAnsi="Sylfaen" w:cs="Sylfaen"/>
          <w:lang w:val="ka-GE"/>
        </w:rPr>
        <w:t>ღერძს</w:t>
      </w:r>
      <w:r w:rsidRPr="00DD4042">
        <w:rPr>
          <w:rFonts w:ascii="AcadNusx" w:hAnsi="AcadNusx"/>
          <w:lang w:val="ka-GE"/>
        </w:rPr>
        <w:t xml:space="preserve"> (10-</w:t>
      </w:r>
      <w:r w:rsidRPr="00DD4042">
        <w:rPr>
          <w:rFonts w:ascii="Sylfaen" w:hAnsi="Sylfaen" w:cs="Sylfaen"/>
          <w:lang w:val="ka-GE"/>
        </w:rPr>
        <w:t>ტონიანი</w:t>
      </w:r>
      <w:r w:rsidRPr="00DD4042">
        <w:rPr>
          <w:rFonts w:ascii="AcadNusx" w:hAnsi="AcadNusx"/>
          <w:lang w:val="ka-GE"/>
        </w:rPr>
        <w:t xml:space="preserve">). </w:t>
      </w:r>
    </w:p>
    <w:p w14:paraId="1C31B159" w14:textId="0EEE5230" w:rsidR="00DD4042" w:rsidRPr="00DD4042" w:rsidRDefault="00DD4042" w:rsidP="00DD4042">
      <w:pPr>
        <w:spacing w:before="120" w:after="120"/>
        <w:rPr>
          <w:rFonts w:ascii="AcadNusx" w:hAnsi="AcadNusx"/>
          <w:lang w:val="ka-GE"/>
        </w:rPr>
      </w:pPr>
      <w:r w:rsidRPr="00DD4042">
        <w:rPr>
          <w:rFonts w:ascii="Sylfaen" w:hAnsi="Sylfaen" w:cs="Sylfaen"/>
          <w:lang w:val="ka-GE"/>
        </w:rPr>
        <w:t>აღნიშნული</w:t>
      </w:r>
      <w:r w:rsidRPr="00DD4042">
        <w:rPr>
          <w:rFonts w:ascii="AcadNusx" w:hAnsi="AcadNusx"/>
          <w:lang w:val="ka-GE"/>
        </w:rPr>
        <w:t xml:space="preserve"> </w:t>
      </w:r>
      <w:r w:rsidRPr="00DD4042">
        <w:rPr>
          <w:rFonts w:ascii="Sylfaen" w:hAnsi="Sylfaen" w:cs="Sylfaen"/>
          <w:lang w:val="ka-GE"/>
        </w:rPr>
        <w:t>სატრანსპორტო</w:t>
      </w:r>
      <w:r w:rsidRPr="00DD4042">
        <w:rPr>
          <w:rFonts w:ascii="AcadNusx" w:hAnsi="AcadNusx"/>
          <w:lang w:val="ka-GE"/>
        </w:rPr>
        <w:t xml:space="preserve"> </w:t>
      </w:r>
      <w:r w:rsidRPr="00DD4042">
        <w:rPr>
          <w:rFonts w:ascii="Sylfaen" w:hAnsi="Sylfaen" w:cs="Sylfaen"/>
          <w:lang w:val="ka-GE"/>
        </w:rPr>
        <w:t>დატვირთვა</w:t>
      </w:r>
      <w:r w:rsidRPr="00DD4042">
        <w:rPr>
          <w:rFonts w:ascii="AcadNusx" w:hAnsi="AcadNusx"/>
          <w:lang w:val="ka-GE"/>
        </w:rPr>
        <w:t xml:space="preserve"> </w:t>
      </w:r>
      <w:r w:rsidRPr="00DD4042">
        <w:rPr>
          <w:rFonts w:ascii="Sylfaen" w:hAnsi="Sylfaen" w:cs="Sylfaen"/>
          <w:lang w:val="ka-GE"/>
        </w:rPr>
        <w:t>მიეკუთვნება</w:t>
      </w:r>
      <w:r w:rsidRPr="00DD4042">
        <w:rPr>
          <w:rFonts w:ascii="AcadNusx" w:hAnsi="AcadNusx"/>
          <w:lang w:val="ka-GE"/>
        </w:rPr>
        <w:t xml:space="preserve"> </w:t>
      </w:r>
      <w:r w:rsidRPr="00DD4042">
        <w:rPr>
          <w:rFonts w:ascii="Sylfaen" w:hAnsi="Sylfaen" w:cs="Sylfaen"/>
          <w:lang w:val="ka-GE"/>
        </w:rPr>
        <w:t>გერმანული</w:t>
      </w:r>
      <w:r w:rsidRPr="00DD4042">
        <w:rPr>
          <w:rFonts w:ascii="AcadNusx" w:hAnsi="AcadNusx"/>
          <w:lang w:val="ka-GE"/>
        </w:rPr>
        <w:t xml:space="preserve"> </w:t>
      </w:r>
      <w:r w:rsidRPr="00DD4042">
        <w:rPr>
          <w:rFonts w:ascii="Sylfaen" w:hAnsi="Sylfaen" w:cs="Sylfaen"/>
          <w:lang w:val="ka-GE"/>
        </w:rPr>
        <w:t>საპროექტო</w:t>
      </w:r>
      <w:r w:rsidRPr="00DD4042">
        <w:rPr>
          <w:rFonts w:ascii="AcadNusx" w:hAnsi="AcadNusx"/>
          <w:lang w:val="ka-GE"/>
        </w:rPr>
        <w:t xml:space="preserve"> </w:t>
      </w:r>
      <w:r w:rsidRPr="00DD4042">
        <w:rPr>
          <w:rFonts w:ascii="Sylfaen" w:hAnsi="Sylfaen" w:cs="Sylfaen"/>
          <w:lang w:val="ka-GE"/>
        </w:rPr>
        <w:t>გადაწყვეტების</w:t>
      </w:r>
      <w:r w:rsidRPr="00DD4042">
        <w:rPr>
          <w:rFonts w:ascii="AcadNusx" w:hAnsi="AcadNusx"/>
          <w:lang w:val="ka-GE"/>
        </w:rPr>
        <w:t xml:space="preserve"> </w:t>
      </w:r>
      <w:r w:rsidRPr="00DD4042">
        <w:rPr>
          <w:rFonts w:ascii="Sylfaen" w:hAnsi="Sylfaen" w:cs="Sylfaen"/>
          <w:lang w:val="ka-GE"/>
        </w:rPr>
        <w:t>კატალოგის</w:t>
      </w:r>
      <w:r w:rsidRPr="00DD4042">
        <w:rPr>
          <w:rFonts w:ascii="AcadNusx" w:hAnsi="AcadNusx"/>
          <w:lang w:val="ka-GE"/>
        </w:rPr>
        <w:t xml:space="preserve"> </w:t>
      </w:r>
      <w:r w:rsidRPr="00DD4042">
        <w:rPr>
          <w:rFonts w:ascii="Sylfaen" w:hAnsi="Sylfaen" w:cs="Sylfaen"/>
          <w:lang w:val="ka-GE"/>
        </w:rPr>
        <w:t>ცხრილში</w:t>
      </w:r>
      <w:r w:rsidRPr="00DD4042">
        <w:rPr>
          <w:rFonts w:ascii="AcadNusx" w:hAnsi="AcadNusx"/>
          <w:lang w:val="ka-GE"/>
        </w:rPr>
        <w:t xml:space="preserve"> 1 </w:t>
      </w:r>
      <w:r w:rsidRPr="00DD4042">
        <w:rPr>
          <w:rFonts w:ascii="Sylfaen" w:hAnsi="Sylfaen" w:cs="Sylfaen"/>
          <w:lang w:val="ka-GE"/>
        </w:rPr>
        <w:t>მოცემულ</w:t>
      </w:r>
      <w:r w:rsidRPr="00DD4042">
        <w:rPr>
          <w:rFonts w:ascii="AcadNusx" w:hAnsi="AcadNusx"/>
          <w:lang w:val="ka-GE"/>
        </w:rPr>
        <w:t xml:space="preserve"> </w:t>
      </w:r>
      <w:r w:rsidRPr="00DD4042">
        <w:rPr>
          <w:rFonts w:ascii="Sylfaen" w:hAnsi="Sylfaen" w:cs="Sylfaen"/>
          <w:lang w:val="ka-GE"/>
        </w:rPr>
        <w:t>დატვირთვის</w:t>
      </w:r>
      <w:r w:rsidRPr="00DD4042">
        <w:rPr>
          <w:rFonts w:ascii="AcadNusx" w:hAnsi="AcadNusx"/>
          <w:lang w:val="ka-GE"/>
        </w:rPr>
        <w:t xml:space="preserve"> </w:t>
      </w:r>
      <w:r w:rsidRPr="00DD4042">
        <w:rPr>
          <w:rFonts w:ascii="Sylfaen" w:hAnsi="Sylfaen" w:cs="Sylfaen"/>
          <w:lang w:val="ka-GE"/>
        </w:rPr>
        <w:t>კლასს</w:t>
      </w:r>
      <w:r w:rsidRPr="00DD4042">
        <w:rPr>
          <w:rFonts w:ascii="AcadNusx" w:hAnsi="AcadNusx"/>
          <w:lang w:val="ka-GE"/>
        </w:rPr>
        <w:t xml:space="preserve"> </w:t>
      </w:r>
      <w:r w:rsidR="00F56660" w:rsidRPr="00373702">
        <w:rPr>
          <w:rFonts w:ascii="Sylfaen" w:hAnsi="Sylfaen" w:cs="Sylfaen"/>
          <w:lang w:val="ka-GE"/>
        </w:rPr>
        <w:t>Bk</w:t>
      </w:r>
      <w:r w:rsidRPr="00DD4042">
        <w:rPr>
          <w:rFonts w:ascii="AcadNusx" w:hAnsi="AcadNusx"/>
          <w:lang w:val="ka-GE"/>
        </w:rPr>
        <w:t xml:space="preserve">1.8, </w:t>
      </w:r>
      <w:r w:rsidRPr="00DD4042">
        <w:rPr>
          <w:rFonts w:ascii="Sylfaen" w:hAnsi="Sylfaen" w:cs="Sylfaen"/>
          <w:lang w:val="ka-GE"/>
        </w:rPr>
        <w:t>რომელიც</w:t>
      </w:r>
      <w:r w:rsidRPr="00DD4042">
        <w:rPr>
          <w:rFonts w:ascii="AcadNusx" w:hAnsi="AcadNusx"/>
          <w:lang w:val="ka-GE"/>
        </w:rPr>
        <w:t xml:space="preserve"> </w:t>
      </w:r>
      <w:r w:rsidRPr="00DD4042">
        <w:rPr>
          <w:rFonts w:ascii="Sylfaen" w:hAnsi="Sylfaen" w:cs="Sylfaen"/>
          <w:lang w:val="ka-GE"/>
        </w:rPr>
        <w:t>ვრცელდება</w:t>
      </w:r>
      <w:r w:rsidRPr="00DD4042">
        <w:rPr>
          <w:rFonts w:ascii="AcadNusx" w:hAnsi="AcadNusx"/>
          <w:lang w:val="ka-GE"/>
        </w:rPr>
        <w:t xml:space="preserve"> 1.0 </w:t>
      </w:r>
      <w:r w:rsidRPr="00DD4042">
        <w:rPr>
          <w:rFonts w:ascii="Sylfaen" w:hAnsi="Sylfaen" w:cs="Sylfaen"/>
          <w:lang w:val="ka-GE"/>
        </w:rPr>
        <w:t>მილიონზე</w:t>
      </w:r>
      <w:r w:rsidRPr="00DD4042">
        <w:rPr>
          <w:rFonts w:ascii="AcadNusx" w:hAnsi="AcadNusx"/>
          <w:lang w:val="ka-GE"/>
        </w:rPr>
        <w:t xml:space="preserve"> </w:t>
      </w:r>
      <w:r w:rsidRPr="00DD4042">
        <w:rPr>
          <w:rFonts w:ascii="Sylfaen" w:hAnsi="Sylfaen" w:cs="Sylfaen"/>
          <w:lang w:val="ka-GE"/>
        </w:rPr>
        <w:t>მეტი</w:t>
      </w:r>
      <w:r w:rsidRPr="00DD4042">
        <w:rPr>
          <w:rFonts w:ascii="AcadNusx" w:hAnsi="AcadNusx"/>
          <w:lang w:val="ka-GE"/>
        </w:rPr>
        <w:t xml:space="preserve"> </w:t>
      </w:r>
      <w:r w:rsidRPr="00DD4042">
        <w:rPr>
          <w:rFonts w:ascii="Sylfaen" w:hAnsi="Sylfaen" w:cs="Sylfaen"/>
          <w:lang w:val="ka-GE"/>
        </w:rPr>
        <w:t>და</w:t>
      </w:r>
      <w:r w:rsidRPr="00DD4042">
        <w:rPr>
          <w:rFonts w:ascii="AcadNusx" w:hAnsi="AcadNusx"/>
          <w:lang w:val="ka-GE"/>
        </w:rPr>
        <w:t xml:space="preserve"> 1.8 </w:t>
      </w:r>
      <w:r w:rsidRPr="00DD4042">
        <w:rPr>
          <w:rFonts w:ascii="Sylfaen" w:hAnsi="Sylfaen" w:cs="Sylfaen"/>
          <w:lang w:val="ka-GE"/>
        </w:rPr>
        <w:t>მილიონზე</w:t>
      </w:r>
      <w:r w:rsidRPr="00DD4042">
        <w:rPr>
          <w:rFonts w:ascii="AcadNusx" w:hAnsi="AcadNusx"/>
          <w:lang w:val="ka-GE"/>
        </w:rPr>
        <w:t xml:space="preserve"> </w:t>
      </w:r>
      <w:r w:rsidRPr="00DD4042">
        <w:rPr>
          <w:rFonts w:ascii="Sylfaen" w:hAnsi="Sylfaen" w:cs="Sylfaen"/>
          <w:lang w:val="ka-GE"/>
        </w:rPr>
        <w:t>ნაკლები</w:t>
      </w:r>
      <w:r w:rsidRPr="00DD4042">
        <w:rPr>
          <w:rFonts w:ascii="AcadNusx" w:hAnsi="AcadNusx"/>
          <w:lang w:val="ka-GE"/>
        </w:rPr>
        <w:t xml:space="preserve"> </w:t>
      </w:r>
      <w:r w:rsidRPr="00DD4042">
        <w:rPr>
          <w:rFonts w:ascii="Sylfaen" w:hAnsi="Sylfaen" w:cs="Sylfaen"/>
          <w:lang w:val="ka-GE"/>
        </w:rPr>
        <w:t>სტანდარტული</w:t>
      </w:r>
      <w:r w:rsidRPr="00DD4042">
        <w:rPr>
          <w:rFonts w:ascii="AcadNusx" w:hAnsi="AcadNusx"/>
          <w:lang w:val="ka-GE"/>
        </w:rPr>
        <w:t xml:space="preserve"> (10-</w:t>
      </w:r>
      <w:r w:rsidRPr="00DD4042">
        <w:rPr>
          <w:rFonts w:ascii="Sylfaen" w:hAnsi="Sylfaen" w:cs="Sylfaen"/>
          <w:lang w:val="ka-GE"/>
        </w:rPr>
        <w:t>ტონიანი</w:t>
      </w:r>
      <w:r w:rsidRPr="00DD4042">
        <w:rPr>
          <w:rFonts w:ascii="AcadNusx" w:hAnsi="AcadNusx"/>
          <w:lang w:val="ka-GE"/>
        </w:rPr>
        <w:t xml:space="preserve">) </w:t>
      </w:r>
      <w:r w:rsidRPr="00DD4042">
        <w:rPr>
          <w:rFonts w:ascii="Sylfaen" w:hAnsi="Sylfaen" w:cs="Sylfaen"/>
          <w:lang w:val="ka-GE"/>
        </w:rPr>
        <w:t>ღერძის</w:t>
      </w:r>
      <w:r w:rsidRPr="00DD4042">
        <w:rPr>
          <w:rFonts w:ascii="AcadNusx" w:hAnsi="AcadNusx"/>
          <w:lang w:val="ka-GE"/>
        </w:rPr>
        <w:t xml:space="preserve"> </w:t>
      </w:r>
      <w:r w:rsidRPr="00DD4042">
        <w:rPr>
          <w:rFonts w:ascii="Sylfaen" w:hAnsi="Sylfaen" w:cs="Sylfaen"/>
          <w:lang w:val="ka-GE"/>
        </w:rPr>
        <w:t>ოდენობის</w:t>
      </w:r>
      <w:r w:rsidRPr="00DD4042">
        <w:rPr>
          <w:rFonts w:ascii="AcadNusx" w:hAnsi="AcadNusx"/>
          <w:lang w:val="ka-GE"/>
        </w:rPr>
        <w:t xml:space="preserve"> </w:t>
      </w:r>
      <w:r w:rsidRPr="00DD4042">
        <w:rPr>
          <w:rFonts w:ascii="Sylfaen" w:hAnsi="Sylfaen" w:cs="Sylfaen"/>
          <w:lang w:val="ka-GE"/>
        </w:rPr>
        <w:t>სატრანსპორტო</w:t>
      </w:r>
      <w:r w:rsidRPr="00DD4042">
        <w:rPr>
          <w:rFonts w:ascii="AcadNusx" w:hAnsi="AcadNusx"/>
          <w:lang w:val="ka-GE"/>
        </w:rPr>
        <w:t xml:space="preserve"> </w:t>
      </w:r>
      <w:r w:rsidRPr="00DD4042">
        <w:rPr>
          <w:rFonts w:ascii="Sylfaen" w:hAnsi="Sylfaen" w:cs="Sylfaen"/>
          <w:lang w:val="ka-GE"/>
        </w:rPr>
        <w:t>დატვირთვებზე</w:t>
      </w:r>
      <w:r w:rsidRPr="00DD4042">
        <w:rPr>
          <w:rFonts w:ascii="AcadNusx" w:hAnsi="AcadNusx"/>
          <w:lang w:val="ka-GE"/>
        </w:rPr>
        <w:t>.</w:t>
      </w:r>
    </w:p>
    <w:p w14:paraId="396D7082" w14:textId="5C2464BB" w:rsidR="00DD4042" w:rsidRPr="00DD4042" w:rsidRDefault="00DD4042" w:rsidP="00DD4042">
      <w:pPr>
        <w:spacing w:before="120" w:after="120"/>
        <w:rPr>
          <w:rFonts w:ascii="AcadNusx" w:hAnsi="AcadNusx"/>
          <w:lang w:val="ka-GE"/>
        </w:rPr>
      </w:pPr>
      <w:r w:rsidRPr="00DD4042">
        <w:rPr>
          <w:rFonts w:ascii="Sylfaen" w:hAnsi="Sylfaen" w:cs="Sylfaen"/>
          <w:lang w:val="ka-GE"/>
        </w:rPr>
        <w:t>დატვირთვის</w:t>
      </w:r>
      <w:r w:rsidRPr="00DD4042">
        <w:rPr>
          <w:rFonts w:ascii="AcadNusx" w:hAnsi="AcadNusx"/>
          <w:lang w:val="ka-GE"/>
        </w:rPr>
        <w:t xml:space="preserve"> </w:t>
      </w:r>
      <w:r w:rsidRPr="00DD4042">
        <w:rPr>
          <w:rFonts w:ascii="Sylfaen" w:hAnsi="Sylfaen" w:cs="Sylfaen"/>
          <w:lang w:val="ka-GE"/>
        </w:rPr>
        <w:t>კლასისთვის</w:t>
      </w:r>
      <w:r w:rsidRPr="00DD4042">
        <w:rPr>
          <w:rFonts w:ascii="AcadNusx" w:hAnsi="AcadNusx"/>
          <w:lang w:val="ka-GE"/>
        </w:rPr>
        <w:t xml:space="preserve"> </w:t>
      </w:r>
      <w:r w:rsidR="00F56660" w:rsidRPr="00F56660">
        <w:rPr>
          <w:rFonts w:ascii="Sylfaen" w:hAnsi="Sylfaen" w:cs="Sylfaen"/>
          <w:lang w:val="ka-GE"/>
        </w:rPr>
        <w:t>Bk</w:t>
      </w:r>
      <w:r w:rsidRPr="00DD4042">
        <w:rPr>
          <w:rFonts w:ascii="AcadNusx" w:hAnsi="AcadNusx"/>
          <w:lang w:val="ka-GE"/>
        </w:rPr>
        <w:t xml:space="preserve">1.8, </w:t>
      </w:r>
      <w:r w:rsidR="00F56660" w:rsidRPr="00F56660">
        <w:rPr>
          <w:rFonts w:ascii="Sylfaen" w:hAnsi="Sylfaen"/>
          <w:lang w:val="ka-GE"/>
        </w:rPr>
        <w:t>RStO</w:t>
      </w:r>
      <w:r w:rsidRPr="00DD4042">
        <w:rPr>
          <w:rFonts w:ascii="AcadNusx" w:hAnsi="AcadNusx"/>
          <w:lang w:val="ka-GE"/>
        </w:rPr>
        <w:t>12-</w:t>
      </w:r>
      <w:r w:rsidRPr="00DD4042">
        <w:rPr>
          <w:rFonts w:ascii="Sylfaen" w:hAnsi="Sylfaen" w:cs="Sylfaen"/>
          <w:lang w:val="ka-GE"/>
        </w:rPr>
        <w:t>ში</w:t>
      </w:r>
      <w:r w:rsidRPr="00DD4042">
        <w:rPr>
          <w:rFonts w:ascii="AcadNusx" w:hAnsi="AcadNusx"/>
          <w:lang w:val="ka-GE"/>
        </w:rPr>
        <w:t xml:space="preserve"> </w:t>
      </w:r>
      <w:r w:rsidRPr="00DD4042">
        <w:rPr>
          <w:rFonts w:ascii="Sylfaen" w:hAnsi="Sylfaen" w:cs="Sylfaen"/>
          <w:lang w:val="ka-GE"/>
        </w:rPr>
        <w:t>მოყვანილ</w:t>
      </w:r>
      <w:r w:rsidRPr="00DD4042">
        <w:rPr>
          <w:rFonts w:ascii="AcadNusx" w:hAnsi="AcadNusx"/>
          <w:lang w:val="ka-GE"/>
        </w:rPr>
        <w:t xml:space="preserve">  </w:t>
      </w:r>
      <w:r w:rsidRPr="00DD4042">
        <w:rPr>
          <w:rFonts w:ascii="Sylfaen" w:hAnsi="Sylfaen" w:cs="Sylfaen"/>
          <w:lang w:val="ka-GE"/>
        </w:rPr>
        <w:t>სტანდარტული</w:t>
      </w:r>
      <w:r w:rsidRPr="00DD4042">
        <w:rPr>
          <w:rFonts w:ascii="AcadNusx" w:hAnsi="AcadNusx"/>
          <w:lang w:val="ka-GE"/>
        </w:rPr>
        <w:t xml:space="preserve"> </w:t>
      </w:r>
      <w:r w:rsidRPr="00DD4042">
        <w:rPr>
          <w:rFonts w:ascii="Sylfaen" w:hAnsi="Sylfaen" w:cs="Sylfaen"/>
          <w:lang w:val="ka-GE"/>
        </w:rPr>
        <w:t>გადაწყვეტების</w:t>
      </w:r>
      <w:r w:rsidRPr="00DD4042">
        <w:rPr>
          <w:rFonts w:ascii="AcadNusx" w:hAnsi="AcadNusx"/>
          <w:lang w:val="ka-GE"/>
        </w:rPr>
        <w:t xml:space="preserve"> </w:t>
      </w:r>
      <w:r w:rsidRPr="00DD4042">
        <w:rPr>
          <w:rFonts w:ascii="Sylfaen" w:hAnsi="Sylfaen" w:cs="Sylfaen"/>
          <w:lang w:val="ka-GE"/>
        </w:rPr>
        <w:t>კატალოგში</w:t>
      </w:r>
      <w:r w:rsidRPr="00DD4042">
        <w:rPr>
          <w:rFonts w:ascii="AcadNusx" w:hAnsi="AcadNusx"/>
          <w:lang w:val="ka-GE"/>
        </w:rPr>
        <w:t xml:space="preserve"> (</w:t>
      </w:r>
      <w:r w:rsidRPr="00DD4042">
        <w:rPr>
          <w:rFonts w:ascii="Sylfaen" w:hAnsi="Sylfaen" w:cs="Sylfaen"/>
          <w:lang w:val="ka-GE"/>
        </w:rPr>
        <w:t>მე</w:t>
      </w:r>
      <w:r w:rsidRPr="00DD4042">
        <w:rPr>
          <w:rFonts w:ascii="AcadNusx" w:hAnsi="AcadNusx"/>
          <w:lang w:val="ka-GE"/>
        </w:rPr>
        <w:t xml:space="preserve">-3 </w:t>
      </w:r>
      <w:r w:rsidRPr="00DD4042">
        <w:rPr>
          <w:rFonts w:ascii="Sylfaen" w:hAnsi="Sylfaen" w:cs="Sylfaen"/>
          <w:lang w:val="ka-GE"/>
        </w:rPr>
        <w:t>რიგში</w:t>
      </w:r>
      <w:r w:rsidRPr="00DD4042">
        <w:rPr>
          <w:rFonts w:ascii="AcadNusx" w:hAnsi="AcadNusx"/>
          <w:lang w:val="ka-GE"/>
        </w:rPr>
        <w:t xml:space="preserve">) </w:t>
      </w:r>
      <w:r w:rsidRPr="00DD4042">
        <w:rPr>
          <w:rFonts w:ascii="Sylfaen" w:hAnsi="Sylfaen" w:cs="Sylfaen"/>
          <w:lang w:val="ka-GE"/>
        </w:rPr>
        <w:t>მოცემულია</w:t>
      </w:r>
      <w:r w:rsidRPr="00DD4042">
        <w:rPr>
          <w:rFonts w:ascii="AcadNusx" w:hAnsi="AcadNusx"/>
          <w:lang w:val="ka-GE"/>
        </w:rPr>
        <w:t xml:space="preserve"> </w:t>
      </w:r>
      <w:r w:rsidR="00F56660" w:rsidRPr="00F56660">
        <w:rPr>
          <w:rFonts w:ascii="Sylfaen" w:hAnsi="Sylfaen" w:cs="Sylfaen"/>
          <w:lang w:val="ka-GE"/>
        </w:rPr>
        <w:t>En</w:t>
      </w:r>
      <w:r w:rsidRPr="00DD4042">
        <w:rPr>
          <w:rFonts w:ascii="AcadNusx" w:hAnsi="AcadNusx"/>
          <w:lang w:val="ka-GE"/>
        </w:rPr>
        <w:t xml:space="preserve">2&gt;45 </w:t>
      </w:r>
      <w:r w:rsidR="00F56660" w:rsidRPr="00F56660">
        <w:rPr>
          <w:rFonts w:ascii="Sylfaen" w:hAnsi="Sylfaen" w:cs="Sylfaen"/>
          <w:lang w:val="ka-GE"/>
        </w:rPr>
        <w:t>mgpa</w:t>
      </w:r>
      <w:r w:rsidRPr="00DD4042">
        <w:rPr>
          <w:rFonts w:ascii="AcadNusx" w:hAnsi="AcadNusx"/>
          <w:lang w:val="ka-GE"/>
        </w:rPr>
        <w:t xml:space="preserve"> (</w:t>
      </w:r>
      <w:r w:rsidR="00F56660" w:rsidRPr="00F56660">
        <w:rPr>
          <w:rFonts w:ascii="Sylfaen" w:hAnsi="Sylfaen"/>
          <w:lang w:val="ka-GE"/>
        </w:rPr>
        <w:t>CBR</w:t>
      </w:r>
      <w:r w:rsidRPr="00DD4042">
        <w:rPr>
          <w:rFonts w:ascii="AcadNusx" w:hAnsi="AcadNusx"/>
          <w:lang w:val="ka-GE"/>
        </w:rPr>
        <w:t xml:space="preserve">&gt;15%) </w:t>
      </w:r>
      <w:r w:rsidRPr="00DD4042">
        <w:rPr>
          <w:rFonts w:ascii="Sylfaen" w:hAnsi="Sylfaen" w:cs="Sylfaen"/>
          <w:lang w:val="ka-GE"/>
        </w:rPr>
        <w:t>სიმტკიცის</w:t>
      </w:r>
      <w:r w:rsidRPr="00DD4042">
        <w:rPr>
          <w:rFonts w:ascii="AcadNusx" w:hAnsi="AcadNusx"/>
          <w:lang w:val="ka-GE"/>
        </w:rPr>
        <w:t xml:space="preserve"> </w:t>
      </w:r>
      <w:r w:rsidRPr="00DD4042">
        <w:rPr>
          <w:rFonts w:ascii="Sylfaen" w:hAnsi="Sylfaen" w:cs="Sylfaen"/>
          <w:lang w:val="ka-GE"/>
        </w:rPr>
        <w:t>ღორღოვან</w:t>
      </w:r>
      <w:r w:rsidRPr="00DD4042">
        <w:rPr>
          <w:rFonts w:ascii="AcadNusx" w:hAnsi="AcadNusx"/>
          <w:lang w:val="ka-GE"/>
        </w:rPr>
        <w:t xml:space="preserve"> </w:t>
      </w:r>
      <w:r w:rsidRPr="00DD4042">
        <w:rPr>
          <w:rFonts w:ascii="Sylfaen" w:hAnsi="Sylfaen" w:cs="Sylfaen"/>
          <w:lang w:val="ka-GE"/>
        </w:rPr>
        <w:t>საფუძველზე</w:t>
      </w:r>
      <w:r w:rsidRPr="00DD4042">
        <w:rPr>
          <w:rFonts w:ascii="AcadNusx" w:hAnsi="AcadNusx"/>
          <w:lang w:val="ka-GE"/>
        </w:rPr>
        <w:t xml:space="preserve"> </w:t>
      </w:r>
      <w:r w:rsidRPr="00DD4042">
        <w:rPr>
          <w:rFonts w:ascii="Sylfaen" w:hAnsi="Sylfaen" w:cs="Sylfaen"/>
          <w:lang w:val="ka-GE"/>
        </w:rPr>
        <w:t>დაგებული</w:t>
      </w:r>
      <w:r w:rsidRPr="00DD4042">
        <w:rPr>
          <w:rFonts w:ascii="AcadNusx" w:hAnsi="AcadNusx"/>
          <w:lang w:val="ka-GE"/>
        </w:rPr>
        <w:t xml:space="preserve"> </w:t>
      </w:r>
      <w:r w:rsidRPr="00DD4042">
        <w:rPr>
          <w:rFonts w:ascii="Sylfaen" w:hAnsi="Sylfaen" w:cs="Sylfaen"/>
          <w:lang w:val="ka-GE"/>
        </w:rPr>
        <w:t>ასფალტის</w:t>
      </w:r>
      <w:r w:rsidRPr="00DD4042">
        <w:rPr>
          <w:rFonts w:ascii="AcadNusx" w:hAnsi="AcadNusx"/>
          <w:lang w:val="ka-GE"/>
        </w:rPr>
        <w:t xml:space="preserve"> </w:t>
      </w:r>
      <w:r w:rsidRPr="00DD4042">
        <w:rPr>
          <w:rFonts w:ascii="Sylfaen" w:hAnsi="Sylfaen" w:cs="Sylfaen"/>
          <w:lang w:val="ka-GE"/>
        </w:rPr>
        <w:t>საფარიანი</w:t>
      </w:r>
      <w:r w:rsidRPr="00DD4042">
        <w:rPr>
          <w:rFonts w:ascii="AcadNusx" w:hAnsi="AcadNusx"/>
          <w:lang w:val="ka-GE"/>
        </w:rPr>
        <w:t xml:space="preserve"> </w:t>
      </w:r>
      <w:r w:rsidRPr="00DD4042">
        <w:rPr>
          <w:rFonts w:ascii="Sylfaen" w:hAnsi="Sylfaen" w:cs="Sylfaen"/>
          <w:lang w:val="ka-GE"/>
        </w:rPr>
        <w:t>საგზაო</w:t>
      </w:r>
      <w:r w:rsidRPr="00DD4042">
        <w:rPr>
          <w:rFonts w:ascii="AcadNusx" w:hAnsi="AcadNusx"/>
          <w:lang w:val="ka-GE"/>
        </w:rPr>
        <w:t xml:space="preserve"> </w:t>
      </w:r>
      <w:r w:rsidRPr="00DD4042">
        <w:rPr>
          <w:rFonts w:ascii="Sylfaen" w:hAnsi="Sylfaen" w:cs="Sylfaen"/>
          <w:lang w:val="ka-GE"/>
        </w:rPr>
        <w:t>სამოსის</w:t>
      </w:r>
      <w:r w:rsidRPr="00DD4042">
        <w:rPr>
          <w:rFonts w:ascii="AcadNusx" w:hAnsi="AcadNusx"/>
          <w:lang w:val="ka-GE"/>
        </w:rPr>
        <w:t xml:space="preserve"> </w:t>
      </w:r>
      <w:r w:rsidRPr="00DD4042">
        <w:rPr>
          <w:rFonts w:ascii="Sylfaen" w:hAnsi="Sylfaen" w:cs="Sylfaen"/>
          <w:lang w:val="ka-GE"/>
        </w:rPr>
        <w:t>ქვემოთ</w:t>
      </w:r>
      <w:r w:rsidRPr="00DD4042">
        <w:rPr>
          <w:rFonts w:ascii="AcadNusx" w:hAnsi="AcadNusx"/>
          <w:lang w:val="ka-GE"/>
        </w:rPr>
        <w:t xml:space="preserve"> </w:t>
      </w:r>
      <w:r w:rsidRPr="00DD4042">
        <w:rPr>
          <w:rFonts w:ascii="Sylfaen" w:hAnsi="Sylfaen" w:cs="Sylfaen"/>
          <w:lang w:val="ka-GE"/>
        </w:rPr>
        <w:t>წარმოდგენილი</w:t>
      </w:r>
      <w:r w:rsidRPr="00DD4042">
        <w:rPr>
          <w:rFonts w:ascii="AcadNusx" w:hAnsi="AcadNusx"/>
          <w:lang w:val="ka-GE"/>
        </w:rPr>
        <w:t xml:space="preserve"> </w:t>
      </w:r>
      <w:r w:rsidRPr="00DD4042">
        <w:rPr>
          <w:rFonts w:ascii="Sylfaen" w:hAnsi="Sylfaen" w:cs="Sylfaen"/>
          <w:lang w:val="ka-GE"/>
        </w:rPr>
        <w:t>აგებულება</w:t>
      </w:r>
      <w:r w:rsidRPr="00DD4042">
        <w:rPr>
          <w:rFonts w:ascii="AcadNusx" w:hAnsi="AcadNusx"/>
          <w:lang w:val="ka-GE"/>
        </w:rPr>
        <w:t xml:space="preserve">. </w:t>
      </w:r>
    </w:p>
    <w:p w14:paraId="63135640" w14:textId="1A379622" w:rsidR="00EA3205" w:rsidRPr="00B05F62" w:rsidRDefault="00DD4042" w:rsidP="00DD4042">
      <w:pPr>
        <w:spacing w:before="120" w:after="120"/>
        <w:rPr>
          <w:rFonts w:ascii="AcadNusx" w:hAnsi="AcadNusx"/>
        </w:rPr>
      </w:pPr>
      <w:r w:rsidRPr="00DD4042">
        <w:rPr>
          <w:rFonts w:ascii="Sylfaen" w:hAnsi="Sylfaen" w:cs="Sylfaen"/>
          <w:lang w:val="ka-GE"/>
        </w:rPr>
        <w:t>ცხრილი</w:t>
      </w:r>
      <w:r w:rsidRPr="00DD4042">
        <w:rPr>
          <w:rFonts w:ascii="AcadNusx" w:hAnsi="AcadNusx"/>
          <w:lang w:val="ka-GE"/>
        </w:rPr>
        <w:t xml:space="preserve"> 4.9.3.3-3 </w:t>
      </w:r>
      <w:r w:rsidRPr="00DD4042">
        <w:rPr>
          <w:rFonts w:ascii="Sylfaen" w:hAnsi="Sylfaen" w:cs="Sylfaen"/>
          <w:lang w:val="ka-GE"/>
        </w:rPr>
        <w:t>ალტერნატიული</w:t>
      </w:r>
      <w:r w:rsidRPr="00DD4042">
        <w:rPr>
          <w:rFonts w:ascii="AcadNusx" w:hAnsi="AcadNusx"/>
          <w:lang w:val="ka-GE"/>
        </w:rPr>
        <w:t xml:space="preserve"> </w:t>
      </w:r>
      <w:r w:rsidRPr="00DD4042">
        <w:rPr>
          <w:rFonts w:ascii="Sylfaen" w:hAnsi="Sylfaen" w:cs="Sylfaen"/>
          <w:lang w:val="ka-GE"/>
        </w:rPr>
        <w:t>დრეკადი</w:t>
      </w:r>
      <w:r w:rsidRPr="00DD4042">
        <w:rPr>
          <w:rFonts w:ascii="AcadNusx" w:hAnsi="AcadNusx"/>
          <w:lang w:val="ka-GE"/>
        </w:rPr>
        <w:t xml:space="preserve"> </w:t>
      </w:r>
      <w:r w:rsidRPr="00DD4042">
        <w:rPr>
          <w:rFonts w:ascii="Sylfaen" w:hAnsi="Sylfaen" w:cs="Sylfaen"/>
          <w:lang w:val="ka-GE"/>
        </w:rPr>
        <w:t>საგზაო</w:t>
      </w:r>
      <w:r w:rsidRPr="00DD4042">
        <w:rPr>
          <w:rFonts w:ascii="AcadNusx" w:hAnsi="AcadNusx"/>
          <w:lang w:val="ka-GE"/>
        </w:rPr>
        <w:t xml:space="preserve"> </w:t>
      </w:r>
      <w:r w:rsidRPr="00DD4042">
        <w:rPr>
          <w:rFonts w:ascii="Sylfaen" w:hAnsi="Sylfaen" w:cs="Sylfaen"/>
          <w:lang w:val="ka-GE"/>
        </w:rPr>
        <w:t>სამოსის</w:t>
      </w:r>
      <w:r w:rsidRPr="00DD4042">
        <w:rPr>
          <w:rFonts w:ascii="AcadNusx" w:hAnsi="AcadNusx"/>
          <w:lang w:val="ka-GE"/>
        </w:rPr>
        <w:t xml:space="preserve"> </w:t>
      </w:r>
      <w:r w:rsidRPr="00DD4042">
        <w:rPr>
          <w:rFonts w:ascii="Sylfaen" w:hAnsi="Sylfaen" w:cs="Sylfaen"/>
          <w:lang w:val="ka-GE"/>
        </w:rPr>
        <w:t>აგებულება</w:t>
      </w:r>
      <w:r w:rsidRPr="00DD4042">
        <w:rPr>
          <w:rFonts w:ascii="AcadNusx" w:hAnsi="AcadNusx"/>
          <w:lang w:val="ka-GE"/>
        </w:rPr>
        <w:t xml:space="preserve"> </w:t>
      </w:r>
      <w:r w:rsidRPr="00DD4042">
        <w:rPr>
          <w:rFonts w:ascii="Sylfaen" w:hAnsi="Sylfaen" w:cs="Sylfaen"/>
          <w:lang w:val="ka-GE"/>
        </w:rPr>
        <w:t>გერმანული</w:t>
      </w:r>
      <w:r w:rsidRPr="00DD4042">
        <w:rPr>
          <w:rFonts w:ascii="AcadNusx" w:hAnsi="AcadNusx"/>
          <w:lang w:val="ka-GE"/>
        </w:rPr>
        <w:t xml:space="preserve"> </w:t>
      </w:r>
      <w:r w:rsidRPr="00DD4042">
        <w:rPr>
          <w:rFonts w:ascii="Sylfaen" w:hAnsi="Sylfaen" w:cs="Sylfaen"/>
          <w:lang w:val="ka-GE"/>
        </w:rPr>
        <w:t>სტანდარტის</w:t>
      </w:r>
      <w:r w:rsidRPr="00DD4042">
        <w:rPr>
          <w:rFonts w:ascii="AcadNusx" w:hAnsi="AcadNusx"/>
          <w:lang w:val="ka-GE"/>
        </w:rPr>
        <w:t xml:space="preserve"> (</w:t>
      </w:r>
      <w:r w:rsidR="00F56660" w:rsidRPr="00F56660">
        <w:rPr>
          <w:rFonts w:ascii="Sylfaen" w:hAnsi="Sylfaen"/>
          <w:lang w:val="ka-GE"/>
        </w:rPr>
        <w:t>RStO</w:t>
      </w:r>
      <w:r w:rsidRPr="00DD4042">
        <w:rPr>
          <w:rFonts w:ascii="AcadNusx" w:hAnsi="AcadNusx"/>
          <w:lang w:val="ka-GE"/>
        </w:rPr>
        <w:t xml:space="preserve">12) </w:t>
      </w:r>
      <w:r w:rsidRPr="00DD4042">
        <w:rPr>
          <w:rFonts w:ascii="Sylfaen" w:hAnsi="Sylfaen" w:cs="Sylfaen"/>
          <w:lang w:val="ka-GE"/>
        </w:rPr>
        <w:t>შესაბამისად</w:t>
      </w:r>
    </w:p>
    <w:tbl>
      <w:tblPr>
        <w:tblW w:w="10617"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1225"/>
        <w:gridCol w:w="1389"/>
        <w:gridCol w:w="1988"/>
        <w:gridCol w:w="3803"/>
        <w:gridCol w:w="987"/>
      </w:tblGrid>
      <w:tr w:rsidR="00F56660" w:rsidRPr="00F56660" w14:paraId="1FFFAE37" w14:textId="77777777" w:rsidTr="00F56660">
        <w:trPr>
          <w:trHeight w:val="1376"/>
        </w:trPr>
        <w:tc>
          <w:tcPr>
            <w:tcW w:w="1225" w:type="dxa"/>
            <w:tcBorders>
              <w:top w:val="single" w:sz="4" w:space="0" w:color="auto"/>
              <w:left w:val="single" w:sz="4" w:space="0" w:color="auto"/>
              <w:right w:val="single" w:sz="4" w:space="0" w:color="auto"/>
            </w:tcBorders>
            <w:shd w:val="clear" w:color="auto" w:fill="E0E0E0"/>
            <w:vAlign w:val="center"/>
            <w:hideMark/>
          </w:tcPr>
          <w:p w14:paraId="77E0D0BB" w14:textId="2B432543" w:rsidR="00F56660" w:rsidRPr="00F56660" w:rsidRDefault="00F56660" w:rsidP="00F56660">
            <w:pPr>
              <w:rPr>
                <w:rFonts w:ascii="Sylfaen" w:hAnsi="Sylfaen"/>
                <w:sz w:val="20"/>
              </w:rPr>
            </w:pPr>
            <w:r w:rsidRPr="00F56660">
              <w:rPr>
                <w:rFonts w:ascii="Sylfaen" w:hAnsi="Sylfaen"/>
                <w:sz w:val="20"/>
                <w:lang w:val="ka-GE"/>
              </w:rPr>
              <w:t>ასფალტის საფარის ზედა ფენა (მმ)</w:t>
            </w:r>
          </w:p>
        </w:tc>
        <w:tc>
          <w:tcPr>
            <w:tcW w:w="1225" w:type="dxa"/>
            <w:tcBorders>
              <w:top w:val="single" w:sz="4" w:space="0" w:color="auto"/>
              <w:left w:val="single" w:sz="4" w:space="0" w:color="auto"/>
              <w:right w:val="single" w:sz="4" w:space="0" w:color="auto"/>
            </w:tcBorders>
            <w:shd w:val="clear" w:color="auto" w:fill="E0E0E0"/>
            <w:vAlign w:val="center"/>
            <w:hideMark/>
          </w:tcPr>
          <w:p w14:paraId="06B47CF7" w14:textId="66BCD63E" w:rsidR="00F56660" w:rsidRPr="00F56660" w:rsidRDefault="00F56660" w:rsidP="00F56660">
            <w:pPr>
              <w:rPr>
                <w:rFonts w:ascii="Sylfaen" w:hAnsi="Sylfaen"/>
                <w:sz w:val="20"/>
                <w:lang w:val="en-US"/>
              </w:rPr>
            </w:pPr>
            <w:r w:rsidRPr="00F56660">
              <w:rPr>
                <w:rFonts w:ascii="Sylfaen" w:hAnsi="Sylfaen"/>
                <w:sz w:val="20"/>
                <w:lang w:val="ka-GE"/>
              </w:rPr>
              <w:t>ასფალტის საფარის ქვედა ფენა (მმ)</w:t>
            </w:r>
          </w:p>
        </w:tc>
        <w:tc>
          <w:tcPr>
            <w:tcW w:w="1389" w:type="dxa"/>
            <w:tcBorders>
              <w:top w:val="single" w:sz="4" w:space="0" w:color="auto"/>
              <w:left w:val="single" w:sz="4" w:space="0" w:color="auto"/>
              <w:right w:val="single" w:sz="4" w:space="0" w:color="auto"/>
            </w:tcBorders>
            <w:shd w:val="clear" w:color="auto" w:fill="E0E0E0"/>
            <w:vAlign w:val="center"/>
            <w:hideMark/>
          </w:tcPr>
          <w:p w14:paraId="552AB9EA" w14:textId="4F5EDFAD" w:rsidR="00F56660" w:rsidRPr="00F56660" w:rsidRDefault="00F56660" w:rsidP="00F56660">
            <w:pPr>
              <w:rPr>
                <w:rFonts w:ascii="Sylfaen" w:hAnsi="Sylfaen"/>
                <w:sz w:val="20"/>
              </w:rPr>
            </w:pPr>
            <w:r w:rsidRPr="00F56660">
              <w:rPr>
                <w:rFonts w:ascii="Sylfaen" w:hAnsi="Sylfaen"/>
                <w:sz w:val="20"/>
                <w:lang w:val="ka-GE"/>
              </w:rPr>
              <w:t>ღორღოვანი საფუძველის ფენა (მმ)</w:t>
            </w:r>
          </w:p>
        </w:tc>
        <w:tc>
          <w:tcPr>
            <w:tcW w:w="1988" w:type="dxa"/>
            <w:tcBorders>
              <w:top w:val="single" w:sz="4" w:space="0" w:color="auto"/>
              <w:left w:val="single" w:sz="4" w:space="0" w:color="auto"/>
              <w:right w:val="single" w:sz="4" w:space="0" w:color="auto"/>
            </w:tcBorders>
            <w:shd w:val="clear" w:color="auto" w:fill="E0E0E0"/>
            <w:vAlign w:val="center"/>
            <w:hideMark/>
          </w:tcPr>
          <w:p w14:paraId="632B29F6" w14:textId="453A652F" w:rsidR="00F56660" w:rsidRPr="00F56660" w:rsidRDefault="00F56660" w:rsidP="00F56660">
            <w:pPr>
              <w:rPr>
                <w:rFonts w:ascii="Sylfaen" w:hAnsi="Sylfaen"/>
                <w:sz w:val="20"/>
              </w:rPr>
            </w:pPr>
            <w:r w:rsidRPr="00F56660">
              <w:rPr>
                <w:rFonts w:ascii="Sylfaen" w:hAnsi="Sylfaen"/>
                <w:sz w:val="20"/>
                <w:lang w:val="ka-GE"/>
              </w:rPr>
              <w:t xml:space="preserve">ყინვაგამძლე ფენა (სიმტკიცე ფენის ზედაპირზე - 120 მგპა) (მმ) </w:t>
            </w:r>
          </w:p>
        </w:tc>
        <w:tc>
          <w:tcPr>
            <w:tcW w:w="3803" w:type="dxa"/>
            <w:tcBorders>
              <w:top w:val="single" w:sz="4" w:space="0" w:color="auto"/>
              <w:left w:val="single" w:sz="4" w:space="0" w:color="auto"/>
              <w:right w:val="single" w:sz="4" w:space="0" w:color="auto"/>
            </w:tcBorders>
            <w:shd w:val="clear" w:color="auto" w:fill="E0E0E0"/>
            <w:vAlign w:val="center"/>
            <w:hideMark/>
          </w:tcPr>
          <w:p w14:paraId="09F5A80C" w14:textId="4A6AEF1D" w:rsidR="00F56660" w:rsidRPr="00F56660" w:rsidRDefault="00F56660" w:rsidP="00F56660">
            <w:pPr>
              <w:rPr>
                <w:rFonts w:ascii="Sylfaen" w:hAnsi="Sylfaen"/>
                <w:sz w:val="20"/>
              </w:rPr>
            </w:pPr>
            <w:r w:rsidRPr="00F56660">
              <w:rPr>
                <w:rFonts w:ascii="Sylfaen" w:hAnsi="Sylfaen"/>
                <w:sz w:val="20"/>
                <w:lang w:val="ka-GE"/>
              </w:rPr>
              <w:t>არსებული გრუნტი ან გრუნტის ჩანაცვლება, გზის ფორმირების დონეზე გრუნტის მოთხოვნილი სიმტკიცის (45მგპა) უზრუნველსაყოფად (მმ)</w:t>
            </w:r>
          </w:p>
        </w:tc>
        <w:tc>
          <w:tcPr>
            <w:tcW w:w="987" w:type="dxa"/>
            <w:tcBorders>
              <w:top w:val="single" w:sz="4" w:space="0" w:color="auto"/>
              <w:left w:val="single" w:sz="4" w:space="0" w:color="auto"/>
              <w:right w:val="single" w:sz="4" w:space="0" w:color="auto"/>
            </w:tcBorders>
            <w:shd w:val="clear" w:color="auto" w:fill="E0E0E0"/>
            <w:vAlign w:val="center"/>
            <w:hideMark/>
          </w:tcPr>
          <w:p w14:paraId="303C9A7E" w14:textId="7251AFF2" w:rsidR="00F56660" w:rsidRPr="00F56660" w:rsidRDefault="00F56660" w:rsidP="00F56660">
            <w:pPr>
              <w:rPr>
                <w:rFonts w:ascii="Sylfaen" w:hAnsi="Sylfaen"/>
                <w:sz w:val="20"/>
              </w:rPr>
            </w:pPr>
            <w:r w:rsidRPr="00F56660">
              <w:rPr>
                <w:rFonts w:ascii="Sylfaen" w:hAnsi="Sylfaen"/>
                <w:sz w:val="20"/>
                <w:lang w:val="ka-GE"/>
              </w:rPr>
              <w:t>საგზაო სამოსის სრული სისქე (მმ)</w:t>
            </w:r>
          </w:p>
        </w:tc>
      </w:tr>
      <w:tr w:rsidR="00F56660" w:rsidRPr="00F56660" w14:paraId="5CA99A65" w14:textId="77777777" w:rsidTr="00F56660">
        <w:trPr>
          <w:trHeight w:val="512"/>
        </w:trPr>
        <w:tc>
          <w:tcPr>
            <w:tcW w:w="1225" w:type="dxa"/>
            <w:tcBorders>
              <w:top w:val="single" w:sz="4" w:space="0" w:color="auto"/>
              <w:left w:val="single" w:sz="4" w:space="0" w:color="auto"/>
              <w:bottom w:val="single" w:sz="4" w:space="0" w:color="auto"/>
              <w:right w:val="single" w:sz="4" w:space="0" w:color="auto"/>
            </w:tcBorders>
            <w:vAlign w:val="center"/>
            <w:hideMark/>
          </w:tcPr>
          <w:p w14:paraId="69CF9A8B" w14:textId="77777777" w:rsidR="00EA3205" w:rsidRPr="00F56660" w:rsidRDefault="00EA3205" w:rsidP="00EA3205">
            <w:pPr>
              <w:rPr>
                <w:rFonts w:ascii="Sylfaen" w:hAnsi="Sylfaen"/>
                <w:sz w:val="20"/>
              </w:rPr>
            </w:pPr>
            <w:r w:rsidRPr="00F56660">
              <w:rPr>
                <w:rFonts w:ascii="Sylfaen" w:hAnsi="Sylfaen"/>
                <w:sz w:val="20"/>
              </w:rPr>
              <w:t>40</w:t>
            </w:r>
          </w:p>
        </w:tc>
        <w:tc>
          <w:tcPr>
            <w:tcW w:w="1225" w:type="dxa"/>
            <w:tcBorders>
              <w:top w:val="single" w:sz="4" w:space="0" w:color="auto"/>
              <w:left w:val="single" w:sz="4" w:space="0" w:color="auto"/>
              <w:bottom w:val="single" w:sz="4" w:space="0" w:color="auto"/>
              <w:right w:val="single" w:sz="4" w:space="0" w:color="auto"/>
            </w:tcBorders>
            <w:vAlign w:val="center"/>
            <w:hideMark/>
          </w:tcPr>
          <w:p w14:paraId="5C68B623" w14:textId="77777777" w:rsidR="00EA3205" w:rsidRPr="00F56660" w:rsidRDefault="00EA3205" w:rsidP="00EA3205">
            <w:pPr>
              <w:rPr>
                <w:rFonts w:ascii="Sylfaen" w:hAnsi="Sylfaen"/>
                <w:sz w:val="20"/>
              </w:rPr>
            </w:pPr>
            <w:r w:rsidRPr="00F56660">
              <w:rPr>
                <w:rFonts w:ascii="Sylfaen" w:hAnsi="Sylfaen"/>
                <w:sz w:val="20"/>
              </w:rPr>
              <w:t>120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8204F48" w14:textId="77777777" w:rsidR="00EA3205" w:rsidRPr="00F56660" w:rsidRDefault="00EA3205" w:rsidP="00EA3205">
            <w:pPr>
              <w:rPr>
                <w:rFonts w:ascii="Sylfaen" w:hAnsi="Sylfaen"/>
                <w:sz w:val="20"/>
              </w:rPr>
            </w:pPr>
            <w:r w:rsidRPr="00F56660">
              <w:rPr>
                <w:rFonts w:ascii="Sylfaen" w:hAnsi="Sylfaen"/>
                <w:sz w:val="20"/>
              </w:rPr>
              <w:t>150</w:t>
            </w:r>
          </w:p>
        </w:tc>
        <w:tc>
          <w:tcPr>
            <w:tcW w:w="1988" w:type="dxa"/>
            <w:tcBorders>
              <w:top w:val="single" w:sz="4" w:space="0" w:color="auto"/>
              <w:left w:val="single" w:sz="4" w:space="0" w:color="auto"/>
              <w:bottom w:val="single" w:sz="4" w:space="0" w:color="auto"/>
              <w:right w:val="single" w:sz="4" w:space="0" w:color="auto"/>
            </w:tcBorders>
            <w:vAlign w:val="center"/>
            <w:hideMark/>
          </w:tcPr>
          <w:p w14:paraId="4A8E4C94" w14:textId="77777777" w:rsidR="00EA3205" w:rsidRPr="00F56660" w:rsidRDefault="00EA3205" w:rsidP="00EA3205">
            <w:pPr>
              <w:rPr>
                <w:rFonts w:ascii="Sylfaen" w:hAnsi="Sylfaen"/>
                <w:sz w:val="20"/>
              </w:rPr>
            </w:pPr>
            <w:r w:rsidRPr="00F56660">
              <w:rPr>
                <w:rFonts w:ascii="Sylfaen" w:hAnsi="Sylfaen"/>
                <w:sz w:val="20"/>
              </w:rPr>
              <w:t>340</w:t>
            </w:r>
          </w:p>
        </w:tc>
        <w:tc>
          <w:tcPr>
            <w:tcW w:w="3803" w:type="dxa"/>
            <w:tcBorders>
              <w:top w:val="single" w:sz="4" w:space="0" w:color="auto"/>
              <w:left w:val="single" w:sz="4" w:space="0" w:color="auto"/>
              <w:bottom w:val="single" w:sz="4" w:space="0" w:color="auto"/>
              <w:right w:val="single" w:sz="4" w:space="0" w:color="auto"/>
            </w:tcBorders>
            <w:vAlign w:val="center"/>
            <w:hideMark/>
          </w:tcPr>
          <w:p w14:paraId="501CB849" w14:textId="77777777" w:rsidR="00EA3205" w:rsidRPr="00F56660" w:rsidRDefault="00EA3205" w:rsidP="00EA3205">
            <w:pPr>
              <w:rPr>
                <w:rFonts w:ascii="Sylfaen" w:hAnsi="Sylfaen"/>
                <w:sz w:val="20"/>
              </w:rPr>
            </w:pPr>
            <w:r w:rsidRPr="00F56660">
              <w:rPr>
                <w:rFonts w:ascii="Sylfaen" w:hAnsi="Sylfaen"/>
                <w:sz w:val="20"/>
              </w:rPr>
              <w:t>300</w:t>
            </w:r>
          </w:p>
        </w:tc>
        <w:tc>
          <w:tcPr>
            <w:tcW w:w="987" w:type="dxa"/>
            <w:tcBorders>
              <w:top w:val="single" w:sz="4" w:space="0" w:color="auto"/>
              <w:left w:val="single" w:sz="4" w:space="0" w:color="auto"/>
              <w:bottom w:val="single" w:sz="4" w:space="0" w:color="auto"/>
              <w:right w:val="single" w:sz="4" w:space="0" w:color="auto"/>
            </w:tcBorders>
            <w:vAlign w:val="center"/>
            <w:hideMark/>
          </w:tcPr>
          <w:p w14:paraId="78D69F49" w14:textId="77777777" w:rsidR="00EA3205" w:rsidRPr="00F56660" w:rsidRDefault="00EA3205" w:rsidP="00EA3205">
            <w:pPr>
              <w:rPr>
                <w:rFonts w:ascii="Sylfaen" w:hAnsi="Sylfaen"/>
                <w:sz w:val="20"/>
              </w:rPr>
            </w:pPr>
            <w:r w:rsidRPr="00F56660">
              <w:rPr>
                <w:rFonts w:ascii="Sylfaen" w:hAnsi="Sylfaen"/>
                <w:sz w:val="20"/>
              </w:rPr>
              <w:t>950</w:t>
            </w:r>
          </w:p>
        </w:tc>
      </w:tr>
    </w:tbl>
    <w:p w14:paraId="1A087EEE" w14:textId="77777777" w:rsidR="00F56660" w:rsidRPr="00F56660" w:rsidRDefault="00F56660" w:rsidP="00F56660">
      <w:pPr>
        <w:spacing w:before="120" w:after="120"/>
        <w:rPr>
          <w:rFonts w:ascii="AcadNusx" w:hAnsi="AcadNusx"/>
        </w:rPr>
      </w:pPr>
      <w:r w:rsidRPr="00F56660">
        <w:rPr>
          <w:rFonts w:ascii="Sylfaen" w:hAnsi="Sylfaen" w:cs="Sylfaen"/>
        </w:rPr>
        <w:t>ყინვაგამძლე</w:t>
      </w:r>
      <w:r w:rsidRPr="00F56660">
        <w:rPr>
          <w:rFonts w:ascii="AcadNusx" w:hAnsi="AcadNusx"/>
        </w:rPr>
        <w:t xml:space="preserve"> </w:t>
      </w:r>
      <w:r w:rsidRPr="00F56660">
        <w:rPr>
          <w:rFonts w:ascii="Sylfaen" w:hAnsi="Sylfaen" w:cs="Sylfaen"/>
        </w:rPr>
        <w:t>ფენის</w:t>
      </w:r>
      <w:r w:rsidRPr="00F56660">
        <w:rPr>
          <w:rFonts w:ascii="AcadNusx" w:hAnsi="AcadNusx"/>
        </w:rPr>
        <w:t xml:space="preserve"> </w:t>
      </w:r>
      <w:r w:rsidRPr="00F56660">
        <w:rPr>
          <w:rFonts w:ascii="Sylfaen" w:hAnsi="Sylfaen" w:cs="Sylfaen"/>
        </w:rPr>
        <w:t>დანიშნულებაა</w:t>
      </w:r>
      <w:r w:rsidRPr="00F56660">
        <w:rPr>
          <w:rFonts w:ascii="AcadNusx" w:hAnsi="AcadNusx"/>
        </w:rPr>
        <w:t xml:space="preserve"> </w:t>
      </w:r>
      <w:r w:rsidRPr="00F56660">
        <w:rPr>
          <w:rFonts w:ascii="Sylfaen" w:hAnsi="Sylfaen" w:cs="Sylfaen"/>
        </w:rPr>
        <w:t>არა</w:t>
      </w:r>
      <w:r w:rsidRPr="00F56660">
        <w:rPr>
          <w:rFonts w:ascii="AcadNusx" w:hAnsi="AcadNusx"/>
        </w:rPr>
        <w:t xml:space="preserve"> </w:t>
      </w:r>
      <w:r w:rsidRPr="00F56660">
        <w:rPr>
          <w:rFonts w:ascii="Sylfaen" w:hAnsi="Sylfaen" w:cs="Sylfaen"/>
        </w:rPr>
        <w:t>მარტო</w:t>
      </w:r>
      <w:r w:rsidRPr="00F56660">
        <w:rPr>
          <w:rFonts w:ascii="AcadNusx" w:hAnsi="AcadNusx"/>
        </w:rPr>
        <w:t xml:space="preserve"> </w:t>
      </w:r>
      <w:r w:rsidRPr="00F56660">
        <w:rPr>
          <w:rFonts w:ascii="Sylfaen" w:hAnsi="Sylfaen" w:cs="Sylfaen"/>
        </w:rPr>
        <w:t>მიწის</w:t>
      </w:r>
      <w:r w:rsidRPr="00F56660">
        <w:rPr>
          <w:rFonts w:ascii="AcadNusx" w:hAnsi="AcadNusx"/>
        </w:rPr>
        <w:t xml:space="preserve"> </w:t>
      </w:r>
      <w:r w:rsidRPr="00F56660">
        <w:rPr>
          <w:rFonts w:ascii="Sylfaen" w:hAnsi="Sylfaen" w:cs="Sylfaen"/>
        </w:rPr>
        <w:t>ვაკისის</w:t>
      </w:r>
      <w:r w:rsidRPr="00F56660">
        <w:rPr>
          <w:rFonts w:ascii="AcadNusx" w:hAnsi="AcadNusx"/>
        </w:rPr>
        <w:t xml:space="preserve"> </w:t>
      </w:r>
      <w:r w:rsidRPr="00F56660">
        <w:rPr>
          <w:rFonts w:ascii="Sylfaen" w:hAnsi="Sylfaen" w:cs="Sylfaen"/>
        </w:rPr>
        <w:t>დაცვა</w:t>
      </w:r>
      <w:r w:rsidRPr="00F56660">
        <w:rPr>
          <w:rFonts w:ascii="AcadNusx" w:hAnsi="AcadNusx"/>
        </w:rPr>
        <w:t xml:space="preserve"> </w:t>
      </w:r>
      <w:r w:rsidRPr="00F56660">
        <w:rPr>
          <w:rFonts w:ascii="Sylfaen" w:hAnsi="Sylfaen" w:cs="Sylfaen"/>
        </w:rPr>
        <w:t>ყინვის</w:t>
      </w:r>
      <w:r w:rsidRPr="00F56660">
        <w:rPr>
          <w:rFonts w:ascii="AcadNusx" w:hAnsi="AcadNusx"/>
        </w:rPr>
        <w:t xml:space="preserve"> </w:t>
      </w:r>
      <w:r w:rsidRPr="00F56660">
        <w:rPr>
          <w:rFonts w:ascii="Sylfaen" w:hAnsi="Sylfaen" w:cs="Sylfaen"/>
        </w:rPr>
        <w:t>ტემპერატურებისგან</w:t>
      </w:r>
      <w:r w:rsidRPr="00F56660">
        <w:rPr>
          <w:rFonts w:ascii="AcadNusx" w:hAnsi="AcadNusx"/>
        </w:rPr>
        <w:t xml:space="preserve">, </w:t>
      </w:r>
      <w:r w:rsidRPr="00F56660">
        <w:rPr>
          <w:rFonts w:ascii="Sylfaen" w:hAnsi="Sylfaen" w:cs="Sylfaen"/>
        </w:rPr>
        <w:t>არამედ</w:t>
      </w:r>
      <w:r w:rsidRPr="00F56660">
        <w:rPr>
          <w:rFonts w:ascii="AcadNusx" w:hAnsi="AcadNusx"/>
        </w:rPr>
        <w:t xml:space="preserve">, </w:t>
      </w:r>
      <w:r w:rsidRPr="00F56660">
        <w:rPr>
          <w:rFonts w:ascii="Sylfaen" w:hAnsi="Sylfaen" w:cs="Sylfaen"/>
        </w:rPr>
        <w:t>მოცემულ</w:t>
      </w:r>
      <w:r w:rsidRPr="00F56660">
        <w:rPr>
          <w:rFonts w:ascii="AcadNusx" w:hAnsi="AcadNusx"/>
        </w:rPr>
        <w:t xml:space="preserve"> </w:t>
      </w:r>
      <w:r w:rsidRPr="00F56660">
        <w:rPr>
          <w:rFonts w:ascii="Sylfaen" w:hAnsi="Sylfaen" w:cs="Sylfaen"/>
        </w:rPr>
        <w:t>შემთხვევაში</w:t>
      </w:r>
      <w:r w:rsidRPr="00F56660">
        <w:rPr>
          <w:rFonts w:ascii="AcadNusx" w:hAnsi="AcadNusx"/>
        </w:rPr>
        <w:t xml:space="preserve">, 120 </w:t>
      </w:r>
      <w:r w:rsidRPr="00F56660">
        <w:rPr>
          <w:rFonts w:ascii="Sylfaen" w:hAnsi="Sylfaen" w:cs="Sylfaen"/>
        </w:rPr>
        <w:t>მგპა</w:t>
      </w:r>
      <w:r w:rsidRPr="00F56660">
        <w:rPr>
          <w:rFonts w:ascii="AcadNusx" w:hAnsi="AcadNusx"/>
        </w:rPr>
        <w:t xml:space="preserve"> </w:t>
      </w:r>
      <w:r w:rsidRPr="00F56660">
        <w:rPr>
          <w:rFonts w:ascii="Sylfaen" w:hAnsi="Sylfaen" w:cs="Sylfaen"/>
        </w:rPr>
        <w:t>სიდიდის</w:t>
      </w:r>
      <w:r w:rsidRPr="00F56660">
        <w:rPr>
          <w:rFonts w:ascii="AcadNusx" w:hAnsi="AcadNusx"/>
        </w:rPr>
        <w:t xml:space="preserve"> </w:t>
      </w:r>
      <w:r w:rsidRPr="00F56660">
        <w:rPr>
          <w:rFonts w:ascii="Sylfaen" w:hAnsi="Sylfaen" w:cs="Sylfaen"/>
        </w:rPr>
        <w:t>მზიდუნარიანობის</w:t>
      </w:r>
      <w:r w:rsidRPr="00F56660">
        <w:rPr>
          <w:rFonts w:ascii="AcadNusx" w:hAnsi="AcadNusx"/>
        </w:rPr>
        <w:t xml:space="preserve"> </w:t>
      </w:r>
      <w:r w:rsidRPr="00F56660">
        <w:rPr>
          <w:rFonts w:ascii="Sylfaen" w:hAnsi="Sylfaen" w:cs="Sylfaen"/>
        </w:rPr>
        <w:t>უზრუნველყოფა</w:t>
      </w:r>
      <w:r w:rsidRPr="00F56660">
        <w:rPr>
          <w:rFonts w:ascii="AcadNusx" w:hAnsi="AcadNusx"/>
        </w:rPr>
        <w:t xml:space="preserve"> </w:t>
      </w:r>
      <w:r w:rsidRPr="00F56660">
        <w:rPr>
          <w:rFonts w:ascii="Sylfaen" w:hAnsi="Sylfaen" w:cs="Sylfaen"/>
        </w:rPr>
        <w:t>ყინვაგამძლე</w:t>
      </w:r>
      <w:r w:rsidRPr="00F56660">
        <w:rPr>
          <w:rFonts w:ascii="AcadNusx" w:hAnsi="AcadNusx"/>
        </w:rPr>
        <w:t xml:space="preserve"> </w:t>
      </w:r>
      <w:r w:rsidRPr="00F56660">
        <w:rPr>
          <w:rFonts w:ascii="Sylfaen" w:hAnsi="Sylfaen" w:cs="Sylfaen"/>
        </w:rPr>
        <w:t>ფენის</w:t>
      </w:r>
      <w:r w:rsidRPr="00F56660">
        <w:rPr>
          <w:rFonts w:ascii="AcadNusx" w:hAnsi="AcadNusx"/>
        </w:rPr>
        <w:t xml:space="preserve"> </w:t>
      </w:r>
      <w:r w:rsidRPr="00F56660">
        <w:rPr>
          <w:rFonts w:ascii="Sylfaen" w:hAnsi="Sylfaen" w:cs="Sylfaen"/>
        </w:rPr>
        <w:t>ზედაპირზე</w:t>
      </w:r>
      <w:r w:rsidRPr="00F56660">
        <w:rPr>
          <w:rFonts w:ascii="AcadNusx" w:hAnsi="AcadNusx"/>
        </w:rPr>
        <w:t xml:space="preserve">, </w:t>
      </w:r>
      <w:r w:rsidRPr="00F56660">
        <w:rPr>
          <w:rFonts w:ascii="Sylfaen" w:hAnsi="Sylfaen" w:cs="Sylfaen"/>
        </w:rPr>
        <w:t>რაც</w:t>
      </w:r>
      <w:r w:rsidRPr="00F56660">
        <w:rPr>
          <w:rFonts w:ascii="AcadNusx" w:hAnsi="AcadNusx"/>
        </w:rPr>
        <w:t xml:space="preserve"> </w:t>
      </w:r>
      <w:r w:rsidRPr="00F56660">
        <w:rPr>
          <w:rFonts w:ascii="Sylfaen" w:hAnsi="Sylfaen" w:cs="Sylfaen"/>
        </w:rPr>
        <w:t>ამ</w:t>
      </w:r>
      <w:r w:rsidRPr="00F56660">
        <w:rPr>
          <w:rFonts w:ascii="AcadNusx" w:hAnsi="AcadNusx"/>
        </w:rPr>
        <w:t xml:space="preserve"> </w:t>
      </w:r>
      <w:r w:rsidRPr="00F56660">
        <w:rPr>
          <w:rFonts w:ascii="Sylfaen" w:hAnsi="Sylfaen" w:cs="Sylfaen"/>
        </w:rPr>
        <w:t>ფენისთვის</w:t>
      </w:r>
      <w:r w:rsidRPr="00F56660">
        <w:rPr>
          <w:rFonts w:ascii="AcadNusx" w:hAnsi="AcadNusx"/>
        </w:rPr>
        <w:t xml:space="preserve"> </w:t>
      </w:r>
      <w:r w:rsidRPr="00F56660">
        <w:rPr>
          <w:rFonts w:ascii="Sylfaen" w:hAnsi="Sylfaen" w:cs="Sylfaen"/>
        </w:rPr>
        <w:t>ცხრილში</w:t>
      </w:r>
      <w:r w:rsidRPr="00F56660">
        <w:rPr>
          <w:rFonts w:ascii="AcadNusx" w:hAnsi="AcadNusx"/>
        </w:rPr>
        <w:t xml:space="preserve"> </w:t>
      </w:r>
      <w:r w:rsidRPr="00F56660">
        <w:rPr>
          <w:rFonts w:ascii="Sylfaen" w:hAnsi="Sylfaen" w:cs="Sylfaen"/>
        </w:rPr>
        <w:t>მითითებულ</w:t>
      </w:r>
      <w:r w:rsidRPr="00F56660">
        <w:rPr>
          <w:rFonts w:ascii="AcadNusx" w:hAnsi="AcadNusx"/>
        </w:rPr>
        <w:t xml:space="preserve"> </w:t>
      </w:r>
      <w:r w:rsidRPr="00F56660">
        <w:rPr>
          <w:rFonts w:ascii="Sylfaen" w:hAnsi="Sylfaen" w:cs="Sylfaen"/>
        </w:rPr>
        <w:t>სისქეს</w:t>
      </w:r>
      <w:r w:rsidRPr="00F56660">
        <w:rPr>
          <w:rFonts w:ascii="AcadNusx" w:hAnsi="AcadNusx"/>
        </w:rPr>
        <w:t xml:space="preserve"> </w:t>
      </w:r>
      <w:r w:rsidRPr="00F56660">
        <w:rPr>
          <w:rFonts w:ascii="Sylfaen" w:hAnsi="Sylfaen" w:cs="Sylfaen"/>
        </w:rPr>
        <w:t>მოითხოვს</w:t>
      </w:r>
      <w:r w:rsidRPr="00F56660">
        <w:rPr>
          <w:rFonts w:ascii="AcadNusx" w:hAnsi="AcadNusx"/>
        </w:rPr>
        <w:t xml:space="preserve">. </w:t>
      </w:r>
      <w:r w:rsidRPr="00F56660">
        <w:rPr>
          <w:rFonts w:ascii="Sylfaen" w:hAnsi="Sylfaen" w:cs="Sylfaen"/>
        </w:rPr>
        <w:t>იგივე</w:t>
      </w:r>
      <w:r w:rsidRPr="00F56660">
        <w:rPr>
          <w:rFonts w:ascii="AcadNusx" w:hAnsi="AcadNusx"/>
        </w:rPr>
        <w:t xml:space="preserve"> </w:t>
      </w:r>
      <w:r w:rsidRPr="00F56660">
        <w:rPr>
          <w:rFonts w:ascii="Sylfaen" w:hAnsi="Sylfaen" w:cs="Sylfaen"/>
        </w:rPr>
        <w:t>შეეხება</w:t>
      </w:r>
      <w:r w:rsidRPr="00F56660">
        <w:rPr>
          <w:rFonts w:ascii="AcadNusx" w:hAnsi="AcadNusx"/>
        </w:rPr>
        <w:t xml:space="preserve"> </w:t>
      </w:r>
      <w:r w:rsidRPr="00F56660">
        <w:rPr>
          <w:rFonts w:ascii="Sylfaen" w:hAnsi="Sylfaen" w:cs="Sylfaen"/>
        </w:rPr>
        <w:t>გრუნტის</w:t>
      </w:r>
      <w:r w:rsidRPr="00F56660">
        <w:rPr>
          <w:rFonts w:ascii="AcadNusx" w:hAnsi="AcadNusx"/>
        </w:rPr>
        <w:t xml:space="preserve"> </w:t>
      </w:r>
      <w:r w:rsidRPr="00F56660">
        <w:rPr>
          <w:rFonts w:ascii="Sylfaen" w:hAnsi="Sylfaen" w:cs="Sylfaen"/>
        </w:rPr>
        <w:t>ჩანაცვლებას</w:t>
      </w:r>
      <w:r w:rsidRPr="00F56660">
        <w:rPr>
          <w:rFonts w:ascii="AcadNusx" w:hAnsi="AcadNusx"/>
        </w:rPr>
        <w:t xml:space="preserve">. </w:t>
      </w:r>
      <w:r w:rsidRPr="00F56660">
        <w:rPr>
          <w:rFonts w:ascii="Sylfaen" w:hAnsi="Sylfaen" w:cs="Sylfaen"/>
        </w:rPr>
        <w:t>მიწის</w:t>
      </w:r>
      <w:r w:rsidRPr="00F56660">
        <w:rPr>
          <w:rFonts w:ascii="AcadNusx" w:hAnsi="AcadNusx"/>
        </w:rPr>
        <w:t xml:space="preserve"> </w:t>
      </w:r>
      <w:r w:rsidRPr="00F56660">
        <w:rPr>
          <w:rFonts w:ascii="Sylfaen" w:hAnsi="Sylfaen" w:cs="Sylfaen"/>
        </w:rPr>
        <w:t>ვაკისის</w:t>
      </w:r>
      <w:r w:rsidRPr="00F56660">
        <w:rPr>
          <w:rFonts w:ascii="AcadNusx" w:hAnsi="AcadNusx"/>
        </w:rPr>
        <w:t xml:space="preserve"> </w:t>
      </w:r>
      <w:r w:rsidRPr="00F56660">
        <w:rPr>
          <w:rFonts w:ascii="Sylfaen" w:hAnsi="Sylfaen" w:cs="Sylfaen"/>
        </w:rPr>
        <w:t>კალიფორნიული</w:t>
      </w:r>
      <w:r w:rsidRPr="00F56660">
        <w:rPr>
          <w:rFonts w:ascii="AcadNusx" w:hAnsi="AcadNusx"/>
        </w:rPr>
        <w:t xml:space="preserve"> </w:t>
      </w:r>
      <w:r w:rsidRPr="00F56660">
        <w:rPr>
          <w:rFonts w:ascii="Sylfaen" w:hAnsi="Sylfaen" w:cs="Sylfaen"/>
        </w:rPr>
        <w:t>რიცხვის</w:t>
      </w:r>
      <w:r w:rsidRPr="00F56660">
        <w:rPr>
          <w:rFonts w:ascii="AcadNusx" w:hAnsi="AcadNusx"/>
        </w:rPr>
        <w:t xml:space="preserve"> (5%) </w:t>
      </w:r>
      <w:r w:rsidRPr="00F56660">
        <w:rPr>
          <w:rFonts w:ascii="Sylfaen" w:hAnsi="Sylfaen" w:cs="Sylfaen"/>
        </w:rPr>
        <w:t>გათვალისწინებით</w:t>
      </w:r>
      <w:r w:rsidRPr="00F56660">
        <w:rPr>
          <w:rFonts w:ascii="AcadNusx" w:hAnsi="AcadNusx"/>
        </w:rPr>
        <w:t xml:space="preserve">, </w:t>
      </w:r>
      <w:r w:rsidRPr="00F56660">
        <w:rPr>
          <w:rFonts w:ascii="Sylfaen" w:hAnsi="Sylfaen" w:cs="Sylfaen"/>
        </w:rPr>
        <w:t>გზის</w:t>
      </w:r>
      <w:r w:rsidRPr="00F56660">
        <w:rPr>
          <w:rFonts w:ascii="AcadNusx" w:hAnsi="AcadNusx"/>
        </w:rPr>
        <w:t xml:space="preserve"> </w:t>
      </w:r>
      <w:r w:rsidRPr="00F56660">
        <w:rPr>
          <w:rFonts w:ascii="Sylfaen" w:hAnsi="Sylfaen" w:cs="Sylfaen"/>
        </w:rPr>
        <w:t>ფორმირების</w:t>
      </w:r>
      <w:r w:rsidRPr="00F56660">
        <w:rPr>
          <w:rFonts w:ascii="AcadNusx" w:hAnsi="AcadNusx"/>
        </w:rPr>
        <w:t xml:space="preserve"> </w:t>
      </w:r>
      <w:r w:rsidRPr="00F56660">
        <w:rPr>
          <w:rFonts w:ascii="Sylfaen" w:hAnsi="Sylfaen" w:cs="Sylfaen"/>
        </w:rPr>
        <w:t>დონეზე</w:t>
      </w:r>
      <w:r w:rsidRPr="00F56660">
        <w:rPr>
          <w:rFonts w:ascii="AcadNusx" w:hAnsi="AcadNusx"/>
        </w:rPr>
        <w:t xml:space="preserve"> </w:t>
      </w:r>
      <w:r w:rsidRPr="00F56660">
        <w:rPr>
          <w:rFonts w:ascii="Sylfaen" w:hAnsi="Sylfaen" w:cs="Sylfaen"/>
        </w:rPr>
        <w:t>გრუნტის</w:t>
      </w:r>
      <w:r w:rsidRPr="00F56660">
        <w:rPr>
          <w:rFonts w:ascii="AcadNusx" w:hAnsi="AcadNusx"/>
        </w:rPr>
        <w:t xml:space="preserve"> </w:t>
      </w:r>
      <w:r w:rsidRPr="00F56660">
        <w:rPr>
          <w:rFonts w:ascii="Sylfaen" w:hAnsi="Sylfaen" w:cs="Sylfaen"/>
        </w:rPr>
        <w:t>მზიდუნარიანობის</w:t>
      </w:r>
      <w:r w:rsidRPr="00F56660">
        <w:rPr>
          <w:rFonts w:ascii="AcadNusx" w:hAnsi="AcadNusx"/>
        </w:rPr>
        <w:t xml:space="preserve"> 45 </w:t>
      </w:r>
      <w:r w:rsidRPr="00F56660">
        <w:rPr>
          <w:rFonts w:ascii="Sylfaen" w:hAnsi="Sylfaen" w:cs="Sylfaen"/>
        </w:rPr>
        <w:t>მგპა</w:t>
      </w:r>
      <w:r w:rsidRPr="00F56660">
        <w:rPr>
          <w:rFonts w:ascii="AcadNusx" w:hAnsi="AcadNusx"/>
        </w:rPr>
        <w:t>-</w:t>
      </w:r>
      <w:r w:rsidRPr="00F56660">
        <w:rPr>
          <w:rFonts w:ascii="Sylfaen" w:hAnsi="Sylfaen" w:cs="Sylfaen"/>
        </w:rPr>
        <w:t>მდე</w:t>
      </w:r>
      <w:r w:rsidRPr="00F56660">
        <w:rPr>
          <w:rFonts w:ascii="AcadNusx" w:hAnsi="AcadNusx"/>
        </w:rPr>
        <w:t xml:space="preserve"> </w:t>
      </w:r>
      <w:r w:rsidRPr="00F56660">
        <w:rPr>
          <w:rFonts w:ascii="Sylfaen" w:hAnsi="Sylfaen" w:cs="Sylfaen"/>
        </w:rPr>
        <w:t>გასაზრდელად</w:t>
      </w:r>
      <w:r w:rsidRPr="00F56660">
        <w:rPr>
          <w:rFonts w:ascii="AcadNusx" w:hAnsi="AcadNusx"/>
        </w:rPr>
        <w:t xml:space="preserve"> </w:t>
      </w:r>
      <w:r w:rsidRPr="00F56660">
        <w:rPr>
          <w:rFonts w:ascii="Sylfaen" w:hAnsi="Sylfaen" w:cs="Sylfaen"/>
        </w:rPr>
        <w:t>საჭიროა</w:t>
      </w:r>
      <w:r w:rsidRPr="00F56660">
        <w:rPr>
          <w:rFonts w:ascii="AcadNusx" w:hAnsi="AcadNusx"/>
        </w:rPr>
        <w:t xml:space="preserve"> </w:t>
      </w:r>
      <w:r w:rsidRPr="00F56660">
        <w:rPr>
          <w:rFonts w:ascii="Sylfaen" w:hAnsi="Sylfaen" w:cs="Sylfaen"/>
        </w:rPr>
        <w:t>ამ</w:t>
      </w:r>
      <w:r w:rsidRPr="00F56660">
        <w:rPr>
          <w:rFonts w:ascii="AcadNusx" w:hAnsi="AcadNusx"/>
        </w:rPr>
        <w:t xml:space="preserve"> </w:t>
      </w:r>
      <w:r w:rsidRPr="00F56660">
        <w:rPr>
          <w:rFonts w:ascii="Sylfaen" w:hAnsi="Sylfaen" w:cs="Sylfaen"/>
        </w:rPr>
        <w:t>დონემდე</w:t>
      </w:r>
      <w:r w:rsidRPr="00F56660">
        <w:rPr>
          <w:rFonts w:ascii="AcadNusx" w:hAnsi="AcadNusx"/>
        </w:rPr>
        <w:t xml:space="preserve"> </w:t>
      </w:r>
      <w:r w:rsidRPr="00F56660">
        <w:rPr>
          <w:rFonts w:ascii="Sylfaen" w:hAnsi="Sylfaen" w:cs="Sylfaen"/>
        </w:rPr>
        <w:t>მიახლოებით</w:t>
      </w:r>
      <w:r w:rsidRPr="00F56660">
        <w:rPr>
          <w:rFonts w:ascii="AcadNusx" w:hAnsi="AcadNusx"/>
        </w:rPr>
        <w:t xml:space="preserve"> 300 </w:t>
      </w:r>
      <w:r w:rsidRPr="00F56660">
        <w:rPr>
          <w:rFonts w:ascii="Sylfaen" w:hAnsi="Sylfaen" w:cs="Sylfaen"/>
        </w:rPr>
        <w:t>მმ</w:t>
      </w:r>
      <w:r w:rsidRPr="00F56660">
        <w:rPr>
          <w:rFonts w:ascii="AcadNusx" w:hAnsi="AcadNusx"/>
        </w:rPr>
        <w:t xml:space="preserve"> </w:t>
      </w:r>
      <w:r w:rsidRPr="00F56660">
        <w:rPr>
          <w:rFonts w:ascii="Sylfaen" w:hAnsi="Sylfaen" w:cs="Sylfaen"/>
        </w:rPr>
        <w:t>სისქის</w:t>
      </w:r>
      <w:r w:rsidRPr="00F56660">
        <w:rPr>
          <w:rFonts w:ascii="AcadNusx" w:hAnsi="AcadNusx"/>
        </w:rPr>
        <w:t xml:space="preserve"> </w:t>
      </w:r>
      <w:r w:rsidRPr="00F56660">
        <w:rPr>
          <w:rFonts w:ascii="Sylfaen" w:hAnsi="Sylfaen" w:cs="Sylfaen"/>
        </w:rPr>
        <w:t>სანაცვლო</w:t>
      </w:r>
      <w:r w:rsidRPr="00F56660">
        <w:rPr>
          <w:rFonts w:ascii="AcadNusx" w:hAnsi="AcadNusx"/>
        </w:rPr>
        <w:t xml:space="preserve"> </w:t>
      </w:r>
      <w:r w:rsidRPr="00F56660">
        <w:rPr>
          <w:rFonts w:ascii="Sylfaen" w:hAnsi="Sylfaen" w:cs="Sylfaen"/>
        </w:rPr>
        <w:t>მარცვლოვანი</w:t>
      </w:r>
      <w:r w:rsidRPr="00F56660">
        <w:rPr>
          <w:rFonts w:ascii="AcadNusx" w:hAnsi="AcadNusx"/>
        </w:rPr>
        <w:t xml:space="preserve"> </w:t>
      </w:r>
      <w:r w:rsidRPr="00F56660">
        <w:rPr>
          <w:rFonts w:ascii="Sylfaen" w:hAnsi="Sylfaen" w:cs="Sylfaen"/>
        </w:rPr>
        <w:t>ფენის</w:t>
      </w:r>
      <w:r w:rsidRPr="00F56660">
        <w:rPr>
          <w:rFonts w:ascii="AcadNusx" w:hAnsi="AcadNusx"/>
        </w:rPr>
        <w:t xml:space="preserve"> </w:t>
      </w:r>
      <w:r w:rsidRPr="00F56660">
        <w:rPr>
          <w:rFonts w:ascii="Sylfaen" w:hAnsi="Sylfaen" w:cs="Sylfaen"/>
        </w:rPr>
        <w:t>დაგება</w:t>
      </w:r>
      <w:r w:rsidRPr="00F56660">
        <w:rPr>
          <w:rFonts w:ascii="AcadNusx" w:hAnsi="AcadNusx"/>
        </w:rPr>
        <w:t>.</w:t>
      </w:r>
    </w:p>
    <w:p w14:paraId="52FA3B50" w14:textId="77777777" w:rsidR="00F56660" w:rsidRPr="00F56660" w:rsidRDefault="00F56660" w:rsidP="00F56660">
      <w:pPr>
        <w:spacing w:before="120" w:after="120"/>
        <w:rPr>
          <w:rFonts w:ascii="AcadNusx" w:hAnsi="AcadNusx"/>
        </w:rPr>
      </w:pPr>
      <w:r w:rsidRPr="00F56660">
        <w:rPr>
          <w:rFonts w:ascii="Sylfaen" w:hAnsi="Sylfaen" w:cs="Sylfaen"/>
        </w:rPr>
        <w:t>გერმანულ</w:t>
      </w:r>
      <w:r w:rsidRPr="00F56660">
        <w:rPr>
          <w:rFonts w:ascii="AcadNusx" w:hAnsi="AcadNusx"/>
        </w:rPr>
        <w:t xml:space="preserve"> </w:t>
      </w:r>
      <w:r w:rsidRPr="00F56660">
        <w:rPr>
          <w:rFonts w:ascii="Sylfaen" w:hAnsi="Sylfaen" w:cs="Sylfaen"/>
        </w:rPr>
        <w:t>სტანდარტში</w:t>
      </w:r>
      <w:r w:rsidRPr="00F56660">
        <w:rPr>
          <w:rFonts w:ascii="AcadNusx" w:hAnsi="AcadNusx"/>
        </w:rPr>
        <w:t xml:space="preserve"> </w:t>
      </w:r>
      <w:r w:rsidRPr="00F56660">
        <w:rPr>
          <w:rFonts w:ascii="Sylfaen" w:hAnsi="Sylfaen" w:cs="Sylfaen"/>
        </w:rPr>
        <w:t>მოცემული</w:t>
      </w:r>
      <w:r w:rsidRPr="00F56660">
        <w:rPr>
          <w:rFonts w:ascii="AcadNusx" w:hAnsi="AcadNusx"/>
        </w:rPr>
        <w:t xml:space="preserve"> </w:t>
      </w:r>
      <w:r w:rsidRPr="00F56660">
        <w:rPr>
          <w:rFonts w:ascii="Sylfaen" w:hAnsi="Sylfaen" w:cs="Sylfaen"/>
        </w:rPr>
        <w:t>ტექნიკური</w:t>
      </w:r>
      <w:r w:rsidRPr="00F56660">
        <w:rPr>
          <w:rFonts w:ascii="AcadNusx" w:hAnsi="AcadNusx"/>
        </w:rPr>
        <w:t xml:space="preserve"> </w:t>
      </w:r>
      <w:r w:rsidRPr="00F56660">
        <w:rPr>
          <w:rFonts w:ascii="Sylfaen" w:hAnsi="Sylfaen" w:cs="Sylfaen"/>
        </w:rPr>
        <w:t>გადაწყვეტების</w:t>
      </w:r>
      <w:r w:rsidRPr="00F56660">
        <w:rPr>
          <w:rFonts w:ascii="AcadNusx" w:hAnsi="AcadNusx"/>
        </w:rPr>
        <w:t xml:space="preserve"> </w:t>
      </w:r>
      <w:r w:rsidRPr="00F56660">
        <w:rPr>
          <w:rFonts w:ascii="Sylfaen" w:hAnsi="Sylfaen" w:cs="Sylfaen"/>
        </w:rPr>
        <w:t>კატალოგში</w:t>
      </w:r>
      <w:r w:rsidRPr="00F56660">
        <w:rPr>
          <w:rFonts w:ascii="AcadNusx" w:hAnsi="AcadNusx"/>
        </w:rPr>
        <w:t xml:space="preserve">, </w:t>
      </w:r>
      <w:r w:rsidRPr="00F56660">
        <w:rPr>
          <w:rFonts w:ascii="Sylfaen" w:hAnsi="Sylfaen" w:cs="Sylfaen"/>
        </w:rPr>
        <w:t>აგრეთვე</w:t>
      </w:r>
      <w:r w:rsidRPr="00F56660">
        <w:rPr>
          <w:rFonts w:ascii="AcadNusx" w:hAnsi="AcadNusx"/>
        </w:rPr>
        <w:t xml:space="preserve"> </w:t>
      </w:r>
      <w:r w:rsidRPr="00F56660">
        <w:rPr>
          <w:rFonts w:ascii="Sylfaen" w:hAnsi="Sylfaen" w:cs="Sylfaen"/>
        </w:rPr>
        <w:t>წარმოდგენილია</w:t>
      </w:r>
      <w:r w:rsidRPr="00F56660">
        <w:rPr>
          <w:rFonts w:ascii="AcadNusx" w:hAnsi="AcadNusx"/>
        </w:rPr>
        <w:t xml:space="preserve"> </w:t>
      </w:r>
      <w:r w:rsidRPr="00F56660">
        <w:rPr>
          <w:rFonts w:ascii="Sylfaen" w:hAnsi="Sylfaen" w:cs="Sylfaen"/>
        </w:rPr>
        <w:t>ბკ</w:t>
      </w:r>
      <w:r w:rsidRPr="00F56660">
        <w:rPr>
          <w:rFonts w:ascii="AcadNusx" w:hAnsi="AcadNusx"/>
        </w:rPr>
        <w:t xml:space="preserve">1.8 </w:t>
      </w:r>
      <w:r w:rsidRPr="00F56660">
        <w:rPr>
          <w:rFonts w:ascii="Sylfaen" w:hAnsi="Sylfaen" w:cs="Sylfaen"/>
        </w:rPr>
        <w:t>კლასის</w:t>
      </w:r>
      <w:r w:rsidRPr="00F56660">
        <w:rPr>
          <w:rFonts w:ascii="AcadNusx" w:hAnsi="AcadNusx"/>
        </w:rPr>
        <w:t xml:space="preserve"> </w:t>
      </w:r>
      <w:r w:rsidRPr="00F56660">
        <w:rPr>
          <w:rFonts w:ascii="Sylfaen" w:hAnsi="Sylfaen" w:cs="Sylfaen"/>
        </w:rPr>
        <w:t>სატრანსპორტო</w:t>
      </w:r>
      <w:r w:rsidRPr="00F56660">
        <w:rPr>
          <w:rFonts w:ascii="AcadNusx" w:hAnsi="AcadNusx"/>
        </w:rPr>
        <w:t xml:space="preserve"> </w:t>
      </w:r>
      <w:r w:rsidRPr="00F56660">
        <w:rPr>
          <w:rFonts w:ascii="Sylfaen" w:hAnsi="Sylfaen" w:cs="Sylfaen"/>
        </w:rPr>
        <w:t>დატვირთვის</w:t>
      </w:r>
      <w:r w:rsidRPr="00F56660">
        <w:rPr>
          <w:rFonts w:ascii="AcadNusx" w:hAnsi="AcadNusx"/>
        </w:rPr>
        <w:t xml:space="preserve"> </w:t>
      </w:r>
      <w:r w:rsidRPr="00F56660">
        <w:rPr>
          <w:rFonts w:ascii="Sylfaen" w:hAnsi="Sylfaen" w:cs="Sylfaen"/>
        </w:rPr>
        <w:t>გათვალისწინებით</w:t>
      </w:r>
      <w:r w:rsidRPr="00F56660">
        <w:rPr>
          <w:rFonts w:ascii="AcadNusx" w:hAnsi="AcadNusx"/>
        </w:rPr>
        <w:t xml:space="preserve"> </w:t>
      </w:r>
      <w:r w:rsidRPr="00F56660">
        <w:rPr>
          <w:rFonts w:ascii="Sylfaen" w:hAnsi="Sylfaen" w:cs="Sylfaen"/>
        </w:rPr>
        <w:t>გამაგრებული</w:t>
      </w:r>
      <w:r w:rsidRPr="00F56660">
        <w:rPr>
          <w:rFonts w:ascii="AcadNusx" w:hAnsi="AcadNusx"/>
        </w:rPr>
        <w:t xml:space="preserve"> </w:t>
      </w:r>
      <w:r w:rsidRPr="00F56660">
        <w:rPr>
          <w:rFonts w:ascii="Sylfaen" w:hAnsi="Sylfaen" w:cs="Sylfaen"/>
        </w:rPr>
        <w:t>მარცვლოვანი</w:t>
      </w:r>
      <w:r w:rsidRPr="00F56660">
        <w:rPr>
          <w:rFonts w:ascii="AcadNusx" w:hAnsi="AcadNusx"/>
        </w:rPr>
        <w:t xml:space="preserve"> </w:t>
      </w:r>
      <w:r w:rsidRPr="00F56660">
        <w:rPr>
          <w:rFonts w:ascii="Sylfaen" w:hAnsi="Sylfaen" w:cs="Sylfaen"/>
        </w:rPr>
        <w:t>საფუძველით</w:t>
      </w:r>
      <w:r w:rsidRPr="00F56660">
        <w:rPr>
          <w:rFonts w:ascii="AcadNusx" w:hAnsi="AcadNusx"/>
        </w:rPr>
        <w:t xml:space="preserve"> </w:t>
      </w:r>
      <w:r w:rsidRPr="00F56660">
        <w:rPr>
          <w:rFonts w:ascii="Sylfaen" w:hAnsi="Sylfaen" w:cs="Sylfaen"/>
        </w:rPr>
        <w:t>დაპროექტებული</w:t>
      </w:r>
      <w:r w:rsidRPr="00F56660">
        <w:rPr>
          <w:rFonts w:ascii="AcadNusx" w:hAnsi="AcadNusx"/>
        </w:rPr>
        <w:t xml:space="preserve"> </w:t>
      </w:r>
      <w:r w:rsidRPr="00F56660">
        <w:rPr>
          <w:rFonts w:ascii="Sylfaen" w:hAnsi="Sylfaen" w:cs="Sylfaen"/>
        </w:rPr>
        <w:t>საგზაო</w:t>
      </w:r>
      <w:r w:rsidRPr="00F56660">
        <w:rPr>
          <w:rFonts w:ascii="AcadNusx" w:hAnsi="AcadNusx"/>
        </w:rPr>
        <w:t xml:space="preserve"> </w:t>
      </w:r>
      <w:r w:rsidRPr="00F56660">
        <w:rPr>
          <w:rFonts w:ascii="Sylfaen" w:hAnsi="Sylfaen" w:cs="Sylfaen"/>
        </w:rPr>
        <w:t>სამოსის</w:t>
      </w:r>
      <w:r w:rsidRPr="00F56660">
        <w:rPr>
          <w:rFonts w:ascii="AcadNusx" w:hAnsi="AcadNusx"/>
        </w:rPr>
        <w:t xml:space="preserve"> </w:t>
      </w:r>
      <w:r w:rsidRPr="00F56660">
        <w:rPr>
          <w:rFonts w:ascii="Sylfaen" w:hAnsi="Sylfaen" w:cs="Sylfaen"/>
        </w:rPr>
        <w:t>ელემენტები</w:t>
      </w:r>
      <w:r w:rsidRPr="00F56660">
        <w:rPr>
          <w:rFonts w:ascii="AcadNusx" w:hAnsi="AcadNusx"/>
        </w:rPr>
        <w:t xml:space="preserve">, </w:t>
      </w:r>
      <w:r w:rsidRPr="00F56660">
        <w:rPr>
          <w:rFonts w:ascii="Sylfaen" w:hAnsi="Sylfaen" w:cs="Sylfaen"/>
        </w:rPr>
        <w:t>რომელთა</w:t>
      </w:r>
      <w:r w:rsidRPr="00F56660">
        <w:rPr>
          <w:rFonts w:ascii="AcadNusx" w:hAnsi="AcadNusx"/>
        </w:rPr>
        <w:t xml:space="preserve"> </w:t>
      </w:r>
      <w:r w:rsidRPr="00F56660">
        <w:rPr>
          <w:rFonts w:ascii="Sylfaen" w:hAnsi="Sylfaen" w:cs="Sylfaen"/>
        </w:rPr>
        <w:t>მონაცემები</w:t>
      </w:r>
      <w:r w:rsidRPr="00F56660">
        <w:rPr>
          <w:rFonts w:ascii="AcadNusx" w:hAnsi="AcadNusx"/>
        </w:rPr>
        <w:t xml:space="preserve"> </w:t>
      </w:r>
      <w:r w:rsidRPr="00F56660">
        <w:rPr>
          <w:rFonts w:ascii="Sylfaen" w:hAnsi="Sylfaen" w:cs="Sylfaen"/>
        </w:rPr>
        <w:t>მომდევნო</w:t>
      </w:r>
      <w:r w:rsidRPr="00F56660">
        <w:rPr>
          <w:rFonts w:ascii="AcadNusx" w:hAnsi="AcadNusx"/>
        </w:rPr>
        <w:t xml:space="preserve"> </w:t>
      </w:r>
      <w:r w:rsidRPr="00F56660">
        <w:rPr>
          <w:rFonts w:ascii="Sylfaen" w:hAnsi="Sylfaen" w:cs="Sylfaen"/>
        </w:rPr>
        <w:t>ცხრილშია</w:t>
      </w:r>
      <w:r w:rsidRPr="00F56660">
        <w:rPr>
          <w:rFonts w:ascii="AcadNusx" w:hAnsi="AcadNusx"/>
        </w:rPr>
        <w:t xml:space="preserve"> </w:t>
      </w:r>
      <w:r w:rsidRPr="00F56660">
        <w:rPr>
          <w:rFonts w:ascii="Sylfaen" w:hAnsi="Sylfaen" w:cs="Sylfaen"/>
        </w:rPr>
        <w:t>მოყვანილი</w:t>
      </w:r>
      <w:r w:rsidRPr="00F56660">
        <w:rPr>
          <w:rFonts w:ascii="AcadNusx" w:hAnsi="AcadNusx"/>
        </w:rPr>
        <w:t xml:space="preserve">. </w:t>
      </w:r>
    </w:p>
    <w:p w14:paraId="4A4FD42E" w14:textId="64C25782" w:rsidR="00EA3205" w:rsidRPr="00B05F62" w:rsidRDefault="00F56660" w:rsidP="00F56660">
      <w:pPr>
        <w:spacing w:before="120" w:after="120"/>
        <w:rPr>
          <w:rFonts w:ascii="AcadNusx" w:hAnsi="AcadNusx"/>
        </w:rPr>
      </w:pPr>
      <w:r w:rsidRPr="00F56660">
        <w:rPr>
          <w:rFonts w:ascii="Sylfaen" w:hAnsi="Sylfaen" w:cs="Sylfaen"/>
        </w:rPr>
        <w:t>ცხრილი</w:t>
      </w:r>
      <w:r w:rsidRPr="00F56660">
        <w:rPr>
          <w:rFonts w:ascii="AcadNusx" w:hAnsi="AcadNusx"/>
        </w:rPr>
        <w:t xml:space="preserve"> 4.9.3.3-2</w:t>
      </w:r>
      <w:r w:rsidRPr="00F56660">
        <w:rPr>
          <w:rFonts w:ascii="AcadNusx" w:hAnsi="AcadNusx"/>
        </w:rPr>
        <w:tab/>
      </w:r>
      <w:r w:rsidRPr="00F56660">
        <w:rPr>
          <w:rFonts w:ascii="Sylfaen" w:hAnsi="Sylfaen" w:cs="Sylfaen"/>
        </w:rPr>
        <w:t>ალტერნატიული</w:t>
      </w:r>
      <w:r w:rsidRPr="00F56660">
        <w:rPr>
          <w:rFonts w:ascii="AcadNusx" w:hAnsi="AcadNusx"/>
        </w:rPr>
        <w:t xml:space="preserve"> </w:t>
      </w:r>
      <w:r w:rsidRPr="00F56660">
        <w:rPr>
          <w:rFonts w:ascii="Sylfaen" w:hAnsi="Sylfaen" w:cs="Sylfaen"/>
        </w:rPr>
        <w:t>დრეკადი</w:t>
      </w:r>
      <w:r w:rsidRPr="00F56660">
        <w:rPr>
          <w:rFonts w:ascii="AcadNusx" w:hAnsi="AcadNusx"/>
        </w:rPr>
        <w:t xml:space="preserve"> </w:t>
      </w:r>
      <w:r w:rsidRPr="00F56660">
        <w:rPr>
          <w:rFonts w:ascii="Sylfaen" w:hAnsi="Sylfaen" w:cs="Sylfaen"/>
        </w:rPr>
        <w:t>საგზაო</w:t>
      </w:r>
      <w:r w:rsidRPr="00F56660">
        <w:rPr>
          <w:rFonts w:ascii="AcadNusx" w:hAnsi="AcadNusx"/>
        </w:rPr>
        <w:t xml:space="preserve"> </w:t>
      </w:r>
      <w:r w:rsidRPr="00F56660">
        <w:rPr>
          <w:rFonts w:ascii="Sylfaen" w:hAnsi="Sylfaen" w:cs="Sylfaen"/>
        </w:rPr>
        <w:t>სამოსი</w:t>
      </w:r>
      <w:r w:rsidRPr="00F56660">
        <w:rPr>
          <w:rFonts w:ascii="AcadNusx" w:hAnsi="AcadNusx"/>
        </w:rPr>
        <w:t xml:space="preserve"> </w:t>
      </w:r>
      <w:r w:rsidRPr="00F56660">
        <w:rPr>
          <w:rFonts w:ascii="Sylfaen" w:hAnsi="Sylfaen" w:cs="Sylfaen"/>
        </w:rPr>
        <w:t>გამაგრებული</w:t>
      </w:r>
      <w:r w:rsidRPr="00F56660">
        <w:rPr>
          <w:rFonts w:ascii="AcadNusx" w:hAnsi="AcadNusx"/>
        </w:rPr>
        <w:t xml:space="preserve"> </w:t>
      </w:r>
      <w:r w:rsidRPr="00F56660">
        <w:rPr>
          <w:rFonts w:ascii="Sylfaen" w:hAnsi="Sylfaen" w:cs="Sylfaen"/>
        </w:rPr>
        <w:t>საფუძველის</w:t>
      </w:r>
      <w:r w:rsidRPr="00F56660">
        <w:rPr>
          <w:rFonts w:ascii="AcadNusx" w:hAnsi="AcadNusx"/>
        </w:rPr>
        <w:t xml:space="preserve"> </w:t>
      </w:r>
      <w:r w:rsidRPr="00F56660">
        <w:rPr>
          <w:rFonts w:ascii="Sylfaen" w:hAnsi="Sylfaen" w:cs="Sylfaen"/>
        </w:rPr>
        <w:t>ფენით</w:t>
      </w:r>
      <w:r w:rsidR="00EA3205" w:rsidRPr="00B05F62">
        <w:rPr>
          <w:rFonts w:ascii="AcadNusx" w:hAnsi="AcadNusx"/>
        </w:rPr>
        <w:t xml:space="preserve"> (</w:t>
      </w:r>
      <w:r w:rsidR="00EA3205" w:rsidRPr="006B2E4A">
        <w:rPr>
          <w:rFonts w:cs="Arial"/>
        </w:rPr>
        <w:t>RStO12</w:t>
      </w:r>
      <w:r w:rsidR="00EA3205" w:rsidRPr="00B05F62">
        <w:rPr>
          <w:rFonts w:ascii="AcadNusx" w:hAnsi="AcadNusx"/>
        </w:rPr>
        <w:t>)</w:t>
      </w:r>
    </w:p>
    <w:tbl>
      <w:tblPr>
        <w:tblW w:w="98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1222"/>
        <w:gridCol w:w="1864"/>
        <w:gridCol w:w="1558"/>
        <w:gridCol w:w="2758"/>
        <w:gridCol w:w="1233"/>
      </w:tblGrid>
      <w:tr w:rsidR="00DC181E" w:rsidRPr="00DC181E" w14:paraId="6384FAAC" w14:textId="77777777" w:rsidTr="00F56660">
        <w:trPr>
          <w:trHeight w:val="1484"/>
        </w:trPr>
        <w:tc>
          <w:tcPr>
            <w:tcW w:w="122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38BBE6D" w14:textId="1537B841" w:rsidR="00F56660" w:rsidRPr="00DC181E" w:rsidRDefault="00F56660" w:rsidP="00F56660">
            <w:pPr>
              <w:rPr>
                <w:rFonts w:ascii="Sylfaen" w:hAnsi="Sylfaen"/>
                <w:sz w:val="20"/>
              </w:rPr>
            </w:pPr>
            <w:r w:rsidRPr="00DC181E">
              <w:rPr>
                <w:rFonts w:ascii="Sylfaen" w:hAnsi="Sylfaen"/>
                <w:sz w:val="20"/>
                <w:lang w:val="ka-GE"/>
              </w:rPr>
              <w:lastRenderedPageBreak/>
              <w:t>ასფალტის საფარის ზედა ფენა</w:t>
            </w:r>
          </w:p>
        </w:tc>
        <w:tc>
          <w:tcPr>
            <w:tcW w:w="122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3155402" w14:textId="70F21E38" w:rsidR="00F56660" w:rsidRPr="00DC181E" w:rsidRDefault="00F56660" w:rsidP="00F56660">
            <w:pPr>
              <w:rPr>
                <w:rFonts w:ascii="Sylfaen" w:hAnsi="Sylfaen"/>
                <w:sz w:val="20"/>
                <w:lang w:val="en-US"/>
              </w:rPr>
            </w:pPr>
            <w:r w:rsidRPr="00DC181E">
              <w:rPr>
                <w:rFonts w:ascii="Sylfaen" w:hAnsi="Sylfaen"/>
                <w:sz w:val="20"/>
                <w:lang w:val="ka-GE"/>
              </w:rPr>
              <w:t>ასფალტის საფარის ქვედა ფენა</w:t>
            </w:r>
          </w:p>
        </w:tc>
        <w:tc>
          <w:tcPr>
            <w:tcW w:w="183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444A6AB" w14:textId="72122F4D" w:rsidR="00F56660" w:rsidRPr="00DC181E" w:rsidRDefault="00F56660" w:rsidP="00F56660">
            <w:pPr>
              <w:rPr>
                <w:rFonts w:ascii="Sylfaen" w:hAnsi="Sylfaen"/>
                <w:sz w:val="20"/>
              </w:rPr>
            </w:pPr>
            <w:r w:rsidRPr="00DC181E">
              <w:rPr>
                <w:rFonts w:ascii="Sylfaen" w:hAnsi="Sylfaen"/>
                <w:sz w:val="20"/>
                <w:lang w:val="ka-GE"/>
              </w:rPr>
              <w:t>სტაბილიზებული მარცვლოვანი საფუძვლის ფენა</w:t>
            </w:r>
          </w:p>
        </w:tc>
        <w:tc>
          <w:tcPr>
            <w:tcW w:w="1562"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8BAD514" w14:textId="3834C7D8" w:rsidR="00F56660" w:rsidRPr="00DC181E" w:rsidRDefault="00BB405A" w:rsidP="00BB405A">
            <w:pPr>
              <w:rPr>
                <w:rFonts w:ascii="Sylfaen" w:hAnsi="Sylfaen"/>
                <w:sz w:val="20"/>
              </w:rPr>
            </w:pPr>
            <w:r w:rsidRPr="00DC181E">
              <w:rPr>
                <w:rFonts w:ascii="Sylfaen" w:hAnsi="Sylfaen"/>
                <w:sz w:val="20"/>
                <w:lang w:val="ka-GE"/>
              </w:rPr>
              <w:t>ყინვაგამძლე ფენა გრადაციით</w:t>
            </w:r>
            <w:r w:rsidR="00F56660" w:rsidRPr="00DC181E">
              <w:rPr>
                <w:rFonts w:ascii="Sylfaen" w:hAnsi="Sylfaen"/>
                <w:sz w:val="20"/>
              </w:rPr>
              <w:t xml:space="preserve"> DIN 18196–</w:t>
            </w:r>
            <w:r w:rsidRPr="00DC181E">
              <w:rPr>
                <w:rFonts w:ascii="Sylfaen" w:hAnsi="Sylfaen"/>
                <w:sz w:val="20"/>
                <w:lang w:val="ka-GE"/>
              </w:rPr>
              <w:t>ის მიხედვით</w:t>
            </w:r>
          </w:p>
        </w:tc>
        <w:tc>
          <w:tcPr>
            <w:tcW w:w="277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28D0390" w14:textId="1ADD6D9B" w:rsidR="00F56660" w:rsidRPr="00DC181E" w:rsidRDefault="00BB405A" w:rsidP="00BB405A">
            <w:pPr>
              <w:rPr>
                <w:rFonts w:ascii="Sylfaen" w:hAnsi="Sylfaen"/>
                <w:sz w:val="20"/>
                <w:lang w:val="en-US"/>
              </w:rPr>
            </w:pPr>
            <w:r w:rsidRPr="00DC181E">
              <w:rPr>
                <w:rFonts w:ascii="Sylfaen" w:hAnsi="Sylfaen"/>
                <w:sz w:val="20"/>
                <w:lang w:val="ka-GE"/>
              </w:rPr>
              <w:t>არსებული გრუნტის ან გრუნტის ჩანაცვლება, გზის ფორმირების დონეზე გრუნტის მოთხოვნილი სიმტკიცის (45მგპა) უზრუნველსაყოფად</w:t>
            </w:r>
          </w:p>
        </w:tc>
        <w:tc>
          <w:tcPr>
            <w:tcW w:w="123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6CE4DA0" w14:textId="5A9E7157" w:rsidR="00F56660" w:rsidRPr="00DC181E" w:rsidRDefault="00DC181E" w:rsidP="00DC181E">
            <w:pPr>
              <w:rPr>
                <w:rFonts w:ascii="Sylfaen" w:hAnsi="Sylfaen"/>
                <w:sz w:val="20"/>
              </w:rPr>
            </w:pPr>
            <w:r>
              <w:rPr>
                <w:rFonts w:ascii="Sylfaen" w:hAnsi="Sylfaen"/>
                <w:sz w:val="20"/>
                <w:lang w:val="ka-GE"/>
              </w:rPr>
              <w:t>საგზაო სამოსის სრული სისქე</w:t>
            </w:r>
          </w:p>
        </w:tc>
      </w:tr>
      <w:tr w:rsidR="00DC181E" w:rsidRPr="00DC181E" w14:paraId="0C135FEC" w14:textId="77777777" w:rsidTr="00EA6DAA">
        <w:trPr>
          <w:trHeight w:val="256"/>
        </w:trPr>
        <w:tc>
          <w:tcPr>
            <w:tcW w:w="122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F917983" w14:textId="5F8DBC13" w:rsidR="00EA3205" w:rsidRPr="00DC181E" w:rsidRDefault="00F56660" w:rsidP="00EA3205">
            <w:pPr>
              <w:rPr>
                <w:rFonts w:ascii="Sylfaen" w:hAnsi="Sylfaen"/>
                <w:sz w:val="20"/>
                <w:lang w:val="ka-GE"/>
              </w:rPr>
            </w:pPr>
            <w:r w:rsidRPr="00DC181E">
              <w:rPr>
                <w:rFonts w:ascii="Sylfaen" w:hAnsi="Sylfaen"/>
                <w:sz w:val="20"/>
                <w:lang w:val="ka-GE"/>
              </w:rPr>
              <w:t>(მმ)</w:t>
            </w:r>
          </w:p>
        </w:tc>
        <w:tc>
          <w:tcPr>
            <w:tcW w:w="122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AEF9F6A" w14:textId="4FBA6EB7" w:rsidR="00EA3205" w:rsidRPr="00DC181E" w:rsidRDefault="00F56660" w:rsidP="00EA3205">
            <w:pPr>
              <w:rPr>
                <w:rFonts w:ascii="Sylfaen" w:hAnsi="Sylfaen"/>
                <w:sz w:val="20"/>
                <w:lang w:val="ka-GE"/>
              </w:rPr>
            </w:pPr>
            <w:r w:rsidRPr="00DC181E">
              <w:rPr>
                <w:rFonts w:ascii="Sylfaen" w:hAnsi="Sylfaen"/>
                <w:sz w:val="20"/>
                <w:lang w:val="ka-GE"/>
              </w:rPr>
              <w:t>(მმ)</w:t>
            </w:r>
          </w:p>
        </w:tc>
        <w:tc>
          <w:tcPr>
            <w:tcW w:w="183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5C34CB2" w14:textId="2DEADE1D" w:rsidR="00EA3205" w:rsidRPr="00DC181E" w:rsidRDefault="00F56660" w:rsidP="00EA3205">
            <w:pPr>
              <w:rPr>
                <w:rFonts w:ascii="Sylfaen" w:hAnsi="Sylfaen"/>
                <w:sz w:val="20"/>
              </w:rPr>
            </w:pPr>
            <w:r w:rsidRPr="00DC181E">
              <w:rPr>
                <w:rFonts w:ascii="Sylfaen" w:hAnsi="Sylfaen"/>
                <w:sz w:val="20"/>
                <w:lang w:val="ka-GE"/>
              </w:rPr>
              <w:t>(მმ)</w:t>
            </w:r>
          </w:p>
        </w:tc>
        <w:tc>
          <w:tcPr>
            <w:tcW w:w="1562" w:type="dxa"/>
            <w:tcBorders>
              <w:top w:val="single" w:sz="4" w:space="0" w:color="auto"/>
              <w:left w:val="single" w:sz="4" w:space="0" w:color="auto"/>
              <w:bottom w:val="single" w:sz="4" w:space="0" w:color="auto"/>
              <w:right w:val="single" w:sz="4" w:space="0" w:color="auto"/>
            </w:tcBorders>
            <w:shd w:val="clear" w:color="auto" w:fill="E0E0E0"/>
            <w:hideMark/>
          </w:tcPr>
          <w:p w14:paraId="5062226D" w14:textId="2E764859" w:rsidR="00EA3205" w:rsidRPr="00DC181E" w:rsidRDefault="00F56660" w:rsidP="00EA3205">
            <w:pPr>
              <w:rPr>
                <w:rFonts w:ascii="Sylfaen" w:hAnsi="Sylfaen"/>
                <w:sz w:val="20"/>
              </w:rPr>
            </w:pPr>
            <w:r w:rsidRPr="00DC181E">
              <w:rPr>
                <w:rFonts w:ascii="Sylfaen" w:hAnsi="Sylfaen"/>
                <w:sz w:val="20"/>
                <w:lang w:val="ka-GE"/>
              </w:rPr>
              <w:t>(მმ)</w:t>
            </w:r>
          </w:p>
        </w:tc>
        <w:tc>
          <w:tcPr>
            <w:tcW w:w="2773" w:type="dxa"/>
            <w:tcBorders>
              <w:top w:val="single" w:sz="4" w:space="0" w:color="auto"/>
              <w:left w:val="single" w:sz="4" w:space="0" w:color="auto"/>
              <w:bottom w:val="single" w:sz="4" w:space="0" w:color="auto"/>
              <w:right w:val="single" w:sz="4" w:space="0" w:color="auto"/>
            </w:tcBorders>
            <w:shd w:val="clear" w:color="auto" w:fill="E0E0E0"/>
            <w:hideMark/>
          </w:tcPr>
          <w:p w14:paraId="5FCFA0AA" w14:textId="015F47E5" w:rsidR="00EA3205" w:rsidRPr="00DC181E" w:rsidRDefault="00F56660" w:rsidP="00EA3205">
            <w:pPr>
              <w:rPr>
                <w:rFonts w:ascii="Sylfaen" w:hAnsi="Sylfaen"/>
                <w:sz w:val="20"/>
              </w:rPr>
            </w:pPr>
            <w:r w:rsidRPr="00DC181E">
              <w:rPr>
                <w:rFonts w:ascii="Sylfaen" w:hAnsi="Sylfaen"/>
                <w:sz w:val="20"/>
                <w:lang w:val="ka-GE"/>
              </w:rPr>
              <w:t>(მმ)</w:t>
            </w:r>
          </w:p>
        </w:tc>
        <w:tc>
          <w:tcPr>
            <w:tcW w:w="123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B537745" w14:textId="7495C75A" w:rsidR="00EA3205" w:rsidRPr="00DC181E" w:rsidRDefault="00F56660" w:rsidP="00EA3205">
            <w:pPr>
              <w:rPr>
                <w:rFonts w:ascii="Sylfaen" w:hAnsi="Sylfaen"/>
                <w:sz w:val="20"/>
              </w:rPr>
            </w:pPr>
            <w:r w:rsidRPr="00DC181E">
              <w:rPr>
                <w:rFonts w:ascii="Sylfaen" w:hAnsi="Sylfaen"/>
                <w:sz w:val="20"/>
                <w:lang w:val="ka-GE"/>
              </w:rPr>
              <w:t>(მმ)</w:t>
            </w:r>
          </w:p>
        </w:tc>
      </w:tr>
      <w:tr w:rsidR="00DC181E" w:rsidRPr="00DC181E" w14:paraId="764EF5A1" w14:textId="77777777" w:rsidTr="00EA6DAA">
        <w:trPr>
          <w:trHeight w:val="760"/>
        </w:trPr>
        <w:tc>
          <w:tcPr>
            <w:tcW w:w="1223" w:type="dxa"/>
            <w:tcBorders>
              <w:top w:val="single" w:sz="4" w:space="0" w:color="auto"/>
              <w:left w:val="single" w:sz="4" w:space="0" w:color="auto"/>
              <w:bottom w:val="single" w:sz="4" w:space="0" w:color="auto"/>
              <w:right w:val="single" w:sz="4" w:space="0" w:color="auto"/>
            </w:tcBorders>
            <w:vAlign w:val="center"/>
            <w:hideMark/>
          </w:tcPr>
          <w:p w14:paraId="5E5389A5" w14:textId="77777777" w:rsidR="00EA3205" w:rsidRPr="00DC181E" w:rsidRDefault="00EA3205" w:rsidP="00EA3205">
            <w:pPr>
              <w:rPr>
                <w:rFonts w:ascii="Sylfaen" w:hAnsi="Sylfaen"/>
                <w:sz w:val="20"/>
              </w:rPr>
            </w:pPr>
            <w:r w:rsidRPr="00DC181E">
              <w:rPr>
                <w:rFonts w:ascii="Sylfaen" w:hAnsi="Sylfaen"/>
                <w:sz w:val="20"/>
              </w:rPr>
              <w:t>40</w:t>
            </w:r>
          </w:p>
        </w:tc>
        <w:tc>
          <w:tcPr>
            <w:tcW w:w="1223" w:type="dxa"/>
            <w:tcBorders>
              <w:top w:val="single" w:sz="4" w:space="0" w:color="auto"/>
              <w:left w:val="single" w:sz="4" w:space="0" w:color="auto"/>
              <w:bottom w:val="single" w:sz="4" w:space="0" w:color="auto"/>
              <w:right w:val="single" w:sz="4" w:space="0" w:color="auto"/>
            </w:tcBorders>
            <w:vAlign w:val="center"/>
            <w:hideMark/>
          </w:tcPr>
          <w:p w14:paraId="45D45F86" w14:textId="77777777" w:rsidR="00EA3205" w:rsidRPr="00DC181E" w:rsidRDefault="00EA3205" w:rsidP="00EA3205">
            <w:pPr>
              <w:rPr>
                <w:rFonts w:ascii="Sylfaen" w:hAnsi="Sylfaen"/>
                <w:sz w:val="20"/>
              </w:rPr>
            </w:pPr>
            <w:r w:rsidRPr="00DC181E">
              <w:rPr>
                <w:rFonts w:ascii="Sylfaen" w:hAnsi="Sylfaen"/>
                <w:sz w:val="20"/>
              </w:rPr>
              <w:t>120</w:t>
            </w:r>
          </w:p>
        </w:tc>
        <w:tc>
          <w:tcPr>
            <w:tcW w:w="1836" w:type="dxa"/>
            <w:tcBorders>
              <w:top w:val="single" w:sz="4" w:space="0" w:color="auto"/>
              <w:left w:val="single" w:sz="4" w:space="0" w:color="auto"/>
              <w:bottom w:val="single" w:sz="4" w:space="0" w:color="auto"/>
              <w:right w:val="single" w:sz="4" w:space="0" w:color="auto"/>
            </w:tcBorders>
            <w:vAlign w:val="center"/>
            <w:hideMark/>
          </w:tcPr>
          <w:p w14:paraId="7F6176AF" w14:textId="77777777" w:rsidR="00EA3205" w:rsidRPr="00DC181E" w:rsidRDefault="00EA3205" w:rsidP="00EA3205">
            <w:pPr>
              <w:rPr>
                <w:rFonts w:ascii="Sylfaen" w:hAnsi="Sylfaen"/>
                <w:sz w:val="20"/>
              </w:rPr>
            </w:pPr>
            <w:r w:rsidRPr="00DC181E">
              <w:rPr>
                <w:rFonts w:ascii="Sylfaen" w:hAnsi="Sylfaen"/>
                <w:sz w:val="20"/>
              </w:rPr>
              <w:t>150</w:t>
            </w:r>
          </w:p>
        </w:tc>
        <w:tc>
          <w:tcPr>
            <w:tcW w:w="1562" w:type="dxa"/>
            <w:tcBorders>
              <w:top w:val="single" w:sz="4" w:space="0" w:color="auto"/>
              <w:left w:val="single" w:sz="4" w:space="0" w:color="auto"/>
              <w:bottom w:val="single" w:sz="4" w:space="0" w:color="auto"/>
              <w:right w:val="single" w:sz="4" w:space="0" w:color="auto"/>
            </w:tcBorders>
            <w:vAlign w:val="center"/>
            <w:hideMark/>
          </w:tcPr>
          <w:p w14:paraId="59132410" w14:textId="77777777" w:rsidR="00EA3205" w:rsidRPr="00DC181E" w:rsidRDefault="00EA3205" w:rsidP="00EA3205">
            <w:pPr>
              <w:rPr>
                <w:rFonts w:ascii="Sylfaen" w:hAnsi="Sylfaen"/>
                <w:sz w:val="20"/>
              </w:rPr>
            </w:pPr>
            <w:r w:rsidRPr="00DC181E">
              <w:rPr>
                <w:rFonts w:ascii="Sylfaen" w:hAnsi="Sylfaen"/>
                <w:sz w:val="20"/>
              </w:rPr>
              <w:t>240</w:t>
            </w:r>
          </w:p>
        </w:tc>
        <w:tc>
          <w:tcPr>
            <w:tcW w:w="2773" w:type="dxa"/>
            <w:tcBorders>
              <w:top w:val="single" w:sz="4" w:space="0" w:color="auto"/>
              <w:left w:val="single" w:sz="4" w:space="0" w:color="auto"/>
              <w:bottom w:val="single" w:sz="4" w:space="0" w:color="auto"/>
              <w:right w:val="single" w:sz="4" w:space="0" w:color="auto"/>
            </w:tcBorders>
            <w:vAlign w:val="center"/>
            <w:hideMark/>
          </w:tcPr>
          <w:p w14:paraId="4E5B69D4" w14:textId="77777777" w:rsidR="00EA3205" w:rsidRPr="00DC181E" w:rsidRDefault="00EA3205" w:rsidP="00EA3205">
            <w:pPr>
              <w:rPr>
                <w:rFonts w:ascii="Sylfaen" w:hAnsi="Sylfaen"/>
                <w:sz w:val="20"/>
              </w:rPr>
            </w:pPr>
            <w:r w:rsidRPr="00DC181E">
              <w:rPr>
                <w:rFonts w:ascii="Sylfaen" w:hAnsi="Sylfaen"/>
                <w:sz w:val="20"/>
              </w:rPr>
              <w:t>300</w:t>
            </w:r>
          </w:p>
        </w:tc>
        <w:tc>
          <w:tcPr>
            <w:tcW w:w="1239" w:type="dxa"/>
            <w:tcBorders>
              <w:top w:val="single" w:sz="4" w:space="0" w:color="auto"/>
              <w:left w:val="single" w:sz="4" w:space="0" w:color="auto"/>
              <w:bottom w:val="single" w:sz="4" w:space="0" w:color="auto"/>
              <w:right w:val="single" w:sz="4" w:space="0" w:color="auto"/>
            </w:tcBorders>
            <w:vAlign w:val="center"/>
            <w:hideMark/>
          </w:tcPr>
          <w:p w14:paraId="23F7D910" w14:textId="77777777" w:rsidR="00EA3205" w:rsidRPr="00DC181E" w:rsidRDefault="00EA3205" w:rsidP="00EA3205">
            <w:pPr>
              <w:rPr>
                <w:rFonts w:ascii="Sylfaen" w:hAnsi="Sylfaen"/>
                <w:sz w:val="20"/>
              </w:rPr>
            </w:pPr>
            <w:r w:rsidRPr="00DC181E">
              <w:rPr>
                <w:rFonts w:ascii="Sylfaen" w:hAnsi="Sylfaen"/>
                <w:sz w:val="20"/>
              </w:rPr>
              <w:t>850</w:t>
            </w:r>
          </w:p>
        </w:tc>
      </w:tr>
    </w:tbl>
    <w:p w14:paraId="4E3211E1" w14:textId="77777777" w:rsidR="00EA3205" w:rsidRPr="00B05F62" w:rsidRDefault="00EA3205" w:rsidP="00EA3205">
      <w:pPr>
        <w:rPr>
          <w:rFonts w:ascii="AcadNusx" w:hAnsi="AcadNusx"/>
          <w:lang w:val="en-US"/>
        </w:rPr>
      </w:pPr>
    </w:p>
    <w:p w14:paraId="406AE1D6" w14:textId="01B44052" w:rsidR="00DC181E" w:rsidRPr="00DC181E" w:rsidRDefault="00DC181E" w:rsidP="00DC181E">
      <w:pPr>
        <w:spacing w:before="120" w:after="120"/>
        <w:rPr>
          <w:rFonts w:ascii="AcadNusx" w:hAnsi="AcadNusx"/>
        </w:rPr>
      </w:pPr>
      <w:r w:rsidRPr="00DC181E">
        <w:rPr>
          <w:rFonts w:ascii="Sylfaen" w:hAnsi="Sylfaen" w:cs="Sylfaen"/>
        </w:rPr>
        <w:t>ხისტი</w:t>
      </w:r>
      <w:r w:rsidRPr="00DC181E">
        <w:rPr>
          <w:rFonts w:ascii="AcadNusx" w:hAnsi="AcadNusx"/>
        </w:rPr>
        <w:t xml:space="preserve"> </w:t>
      </w:r>
      <w:r w:rsidRPr="00DC181E">
        <w:rPr>
          <w:rFonts w:ascii="Sylfaen" w:hAnsi="Sylfaen" w:cs="Sylfaen"/>
        </w:rPr>
        <w:t>საგზაო</w:t>
      </w:r>
      <w:r w:rsidRPr="00DC181E">
        <w:rPr>
          <w:rFonts w:ascii="AcadNusx" w:hAnsi="AcadNusx"/>
        </w:rPr>
        <w:t xml:space="preserve"> </w:t>
      </w:r>
      <w:r w:rsidRPr="00DC181E">
        <w:rPr>
          <w:rFonts w:ascii="Sylfaen" w:hAnsi="Sylfaen" w:cs="Sylfaen"/>
        </w:rPr>
        <w:t>სამოსების</w:t>
      </w:r>
      <w:r w:rsidRPr="00DC181E">
        <w:rPr>
          <w:rFonts w:ascii="AcadNusx" w:hAnsi="AcadNusx"/>
        </w:rPr>
        <w:t xml:space="preserve"> </w:t>
      </w:r>
      <w:r w:rsidRPr="00DC181E">
        <w:rPr>
          <w:rFonts w:ascii="Sylfaen" w:hAnsi="Sylfaen" w:cs="Sylfaen"/>
        </w:rPr>
        <w:t>ელემენტები</w:t>
      </w:r>
      <w:r w:rsidRPr="00DC181E">
        <w:rPr>
          <w:rFonts w:ascii="AcadNusx" w:hAnsi="AcadNusx"/>
        </w:rPr>
        <w:t xml:space="preserve"> </w:t>
      </w:r>
      <w:r w:rsidRPr="00DC181E">
        <w:rPr>
          <w:rFonts w:ascii="Sylfaen" w:hAnsi="Sylfaen" w:cs="Sylfaen"/>
        </w:rPr>
        <w:t>წარმოდგენილია</w:t>
      </w:r>
      <w:r w:rsidRPr="00DC181E">
        <w:rPr>
          <w:rFonts w:ascii="AcadNusx" w:hAnsi="AcadNusx"/>
        </w:rPr>
        <w:t xml:space="preserve"> </w:t>
      </w:r>
      <w:r w:rsidRPr="00DC181E">
        <w:rPr>
          <w:rFonts w:ascii="Sylfaen" w:hAnsi="Sylfaen" w:cs="Sylfaen"/>
        </w:rPr>
        <w:t>გერმანული</w:t>
      </w:r>
      <w:r w:rsidRPr="00DC181E">
        <w:rPr>
          <w:rFonts w:ascii="AcadNusx" w:hAnsi="AcadNusx"/>
        </w:rPr>
        <w:t xml:space="preserve"> </w:t>
      </w:r>
      <w:r w:rsidRPr="00DC181E">
        <w:rPr>
          <w:rFonts w:ascii="Sylfaen" w:hAnsi="Sylfaen" w:cs="Sylfaen"/>
        </w:rPr>
        <w:t>სტანდარტული</w:t>
      </w:r>
      <w:r w:rsidRPr="00DC181E">
        <w:rPr>
          <w:rFonts w:ascii="AcadNusx" w:hAnsi="AcadNusx"/>
        </w:rPr>
        <w:t xml:space="preserve"> </w:t>
      </w:r>
      <w:r w:rsidRPr="00DC181E">
        <w:rPr>
          <w:rFonts w:ascii="Sylfaen" w:hAnsi="Sylfaen" w:cs="Sylfaen"/>
        </w:rPr>
        <w:t>საპროექტო</w:t>
      </w:r>
      <w:r w:rsidRPr="00DC181E">
        <w:rPr>
          <w:rFonts w:ascii="AcadNusx" w:hAnsi="AcadNusx"/>
        </w:rPr>
        <w:t xml:space="preserve"> </w:t>
      </w:r>
      <w:r w:rsidRPr="00DC181E">
        <w:rPr>
          <w:rFonts w:ascii="Sylfaen" w:hAnsi="Sylfaen" w:cs="Sylfaen"/>
        </w:rPr>
        <w:t>გადაწყვეტების</w:t>
      </w:r>
      <w:r w:rsidRPr="00DC181E">
        <w:rPr>
          <w:rFonts w:ascii="AcadNusx" w:hAnsi="AcadNusx"/>
        </w:rPr>
        <w:t xml:space="preserve"> </w:t>
      </w:r>
      <w:r w:rsidRPr="00DC181E">
        <w:rPr>
          <w:rFonts w:ascii="Sylfaen" w:hAnsi="Sylfaen" w:cs="Sylfaen"/>
        </w:rPr>
        <w:t>კატალოგის</w:t>
      </w:r>
      <w:r w:rsidRPr="00DC181E">
        <w:rPr>
          <w:rFonts w:ascii="AcadNusx" w:hAnsi="AcadNusx"/>
        </w:rPr>
        <w:t xml:space="preserve"> </w:t>
      </w:r>
      <w:r w:rsidRPr="00DC181E">
        <w:rPr>
          <w:rFonts w:ascii="Sylfaen" w:hAnsi="Sylfaen" w:cs="Sylfaen"/>
        </w:rPr>
        <w:t>მე</w:t>
      </w:r>
      <w:r w:rsidRPr="00DC181E">
        <w:rPr>
          <w:rFonts w:ascii="AcadNusx" w:hAnsi="AcadNusx"/>
        </w:rPr>
        <w:t xml:space="preserve">-2 </w:t>
      </w:r>
      <w:r w:rsidRPr="00DC181E">
        <w:rPr>
          <w:rFonts w:ascii="Sylfaen" w:hAnsi="Sylfaen" w:cs="Sylfaen"/>
        </w:rPr>
        <w:t>ცხრილში</w:t>
      </w:r>
      <w:r w:rsidRPr="00DC181E">
        <w:rPr>
          <w:rFonts w:ascii="AcadNusx" w:hAnsi="AcadNusx"/>
        </w:rPr>
        <w:t xml:space="preserve"> (</w:t>
      </w:r>
      <w:r w:rsidRPr="00DC181E">
        <w:rPr>
          <w:rFonts w:ascii="Sylfaen" w:hAnsi="Sylfaen" w:cs="Sylfaen"/>
        </w:rPr>
        <w:t>პუნქტი</w:t>
      </w:r>
      <w:r w:rsidRPr="00DC181E">
        <w:rPr>
          <w:rFonts w:ascii="AcadNusx" w:hAnsi="AcadNusx"/>
        </w:rPr>
        <w:t xml:space="preserve"> 3.2). </w:t>
      </w:r>
      <w:r w:rsidRPr="00DC181E">
        <w:rPr>
          <w:rFonts w:ascii="Sylfaen" w:hAnsi="Sylfaen" w:cs="Sylfaen"/>
        </w:rPr>
        <w:t>ცხრილის</w:t>
      </w:r>
      <w:r w:rsidRPr="00DC181E">
        <w:rPr>
          <w:rFonts w:ascii="AcadNusx" w:hAnsi="AcadNusx"/>
        </w:rPr>
        <w:t xml:space="preserve"> </w:t>
      </w:r>
      <w:r w:rsidRPr="00DC181E">
        <w:rPr>
          <w:rFonts w:ascii="Sylfaen" w:hAnsi="Sylfaen" w:cs="Sylfaen"/>
        </w:rPr>
        <w:t>თანახმად</w:t>
      </w:r>
      <w:r w:rsidRPr="00DC181E">
        <w:rPr>
          <w:rFonts w:ascii="AcadNusx" w:hAnsi="AcadNusx"/>
        </w:rPr>
        <w:t xml:space="preserve">, </w:t>
      </w:r>
      <w:r w:rsidRPr="00DC181E">
        <w:rPr>
          <w:rFonts w:ascii="Sylfaen" w:hAnsi="Sylfaen" w:cs="Sylfaen"/>
        </w:rPr>
        <w:t>მოცემული</w:t>
      </w:r>
      <w:r w:rsidRPr="00DC181E">
        <w:rPr>
          <w:rFonts w:ascii="AcadNusx" w:hAnsi="AcadNusx"/>
        </w:rPr>
        <w:t xml:space="preserve"> </w:t>
      </w:r>
      <w:r>
        <w:rPr>
          <w:rFonts w:ascii="Sylfaen" w:hAnsi="Sylfaen"/>
        </w:rPr>
        <w:t>Bk</w:t>
      </w:r>
      <w:r w:rsidRPr="00DC181E">
        <w:rPr>
          <w:rFonts w:ascii="AcadNusx" w:hAnsi="AcadNusx"/>
        </w:rPr>
        <w:t xml:space="preserve">1.8 </w:t>
      </w:r>
      <w:r w:rsidRPr="00DC181E">
        <w:rPr>
          <w:rFonts w:ascii="Sylfaen" w:hAnsi="Sylfaen" w:cs="Sylfaen"/>
        </w:rPr>
        <w:t>დატვირთვის</w:t>
      </w:r>
      <w:r w:rsidRPr="00DC181E">
        <w:rPr>
          <w:rFonts w:ascii="AcadNusx" w:hAnsi="AcadNusx"/>
        </w:rPr>
        <w:t xml:space="preserve"> </w:t>
      </w:r>
      <w:r w:rsidRPr="00DC181E">
        <w:rPr>
          <w:rFonts w:ascii="Sylfaen" w:hAnsi="Sylfaen" w:cs="Sylfaen"/>
        </w:rPr>
        <w:t>კლასისთვის</w:t>
      </w:r>
      <w:r w:rsidRPr="00DC181E">
        <w:rPr>
          <w:rFonts w:ascii="AcadNusx" w:hAnsi="AcadNusx"/>
        </w:rPr>
        <w:t xml:space="preserve">, </w:t>
      </w:r>
      <w:r w:rsidRPr="00DC181E">
        <w:rPr>
          <w:rFonts w:ascii="Sylfaen" w:hAnsi="Sylfaen" w:cs="Sylfaen"/>
        </w:rPr>
        <w:t>ღორღოვანი</w:t>
      </w:r>
      <w:r w:rsidRPr="00DC181E">
        <w:rPr>
          <w:rFonts w:ascii="AcadNusx" w:hAnsi="AcadNusx"/>
        </w:rPr>
        <w:t xml:space="preserve"> </w:t>
      </w:r>
      <w:r w:rsidRPr="00DC181E">
        <w:rPr>
          <w:rFonts w:ascii="Sylfaen" w:hAnsi="Sylfaen" w:cs="Sylfaen"/>
        </w:rPr>
        <w:t>საფუძველზე</w:t>
      </w:r>
      <w:r w:rsidRPr="00DC181E">
        <w:rPr>
          <w:rFonts w:ascii="AcadNusx" w:hAnsi="AcadNusx"/>
        </w:rPr>
        <w:t xml:space="preserve"> </w:t>
      </w:r>
      <w:r w:rsidRPr="00DC181E">
        <w:rPr>
          <w:rFonts w:ascii="Sylfaen" w:hAnsi="Sylfaen" w:cs="Sylfaen"/>
        </w:rPr>
        <w:t>დაგებული</w:t>
      </w:r>
      <w:r w:rsidRPr="00DC181E">
        <w:rPr>
          <w:rFonts w:ascii="AcadNusx" w:hAnsi="AcadNusx"/>
        </w:rPr>
        <w:t xml:space="preserve"> </w:t>
      </w:r>
      <w:r w:rsidRPr="00DC181E">
        <w:rPr>
          <w:rFonts w:ascii="Sylfaen" w:hAnsi="Sylfaen" w:cs="Sylfaen"/>
        </w:rPr>
        <w:t>ცემენტობეტონის</w:t>
      </w:r>
      <w:r w:rsidRPr="00DC181E">
        <w:rPr>
          <w:rFonts w:ascii="AcadNusx" w:hAnsi="AcadNusx"/>
        </w:rPr>
        <w:t xml:space="preserve"> </w:t>
      </w:r>
      <w:r w:rsidRPr="00DC181E">
        <w:rPr>
          <w:rFonts w:ascii="Sylfaen" w:hAnsi="Sylfaen" w:cs="Sylfaen"/>
        </w:rPr>
        <w:t>საფარიიანი</w:t>
      </w:r>
      <w:r w:rsidRPr="00DC181E">
        <w:rPr>
          <w:rFonts w:ascii="AcadNusx" w:hAnsi="AcadNusx"/>
        </w:rPr>
        <w:t xml:space="preserve"> </w:t>
      </w:r>
      <w:r w:rsidRPr="00DC181E">
        <w:rPr>
          <w:rFonts w:ascii="Sylfaen" w:hAnsi="Sylfaen" w:cs="Sylfaen"/>
        </w:rPr>
        <w:t>საგზაო</w:t>
      </w:r>
      <w:r w:rsidRPr="00DC181E">
        <w:rPr>
          <w:rFonts w:ascii="AcadNusx" w:hAnsi="AcadNusx"/>
        </w:rPr>
        <w:t xml:space="preserve"> </w:t>
      </w:r>
      <w:r w:rsidRPr="00DC181E">
        <w:rPr>
          <w:rFonts w:ascii="Sylfaen" w:hAnsi="Sylfaen" w:cs="Sylfaen"/>
        </w:rPr>
        <w:t>სამოსი</w:t>
      </w:r>
      <w:r w:rsidRPr="00DC181E">
        <w:rPr>
          <w:rFonts w:ascii="AcadNusx" w:hAnsi="AcadNusx"/>
        </w:rPr>
        <w:t xml:space="preserve"> </w:t>
      </w:r>
      <w:r w:rsidRPr="00DC181E">
        <w:rPr>
          <w:rFonts w:ascii="Sylfaen" w:hAnsi="Sylfaen" w:cs="Sylfaen"/>
        </w:rPr>
        <w:t>შედგება</w:t>
      </w:r>
      <w:r w:rsidRPr="00DC181E">
        <w:rPr>
          <w:rFonts w:ascii="AcadNusx" w:hAnsi="AcadNusx"/>
        </w:rPr>
        <w:t xml:space="preserve"> </w:t>
      </w:r>
      <w:r w:rsidRPr="00DC181E">
        <w:rPr>
          <w:rFonts w:ascii="Sylfaen" w:hAnsi="Sylfaen" w:cs="Sylfaen"/>
        </w:rPr>
        <w:t>ქვემოთ</w:t>
      </w:r>
      <w:r w:rsidRPr="00DC181E">
        <w:rPr>
          <w:rFonts w:ascii="AcadNusx" w:hAnsi="AcadNusx"/>
        </w:rPr>
        <w:t xml:space="preserve"> </w:t>
      </w:r>
      <w:r w:rsidRPr="00DC181E">
        <w:rPr>
          <w:rFonts w:ascii="Sylfaen" w:hAnsi="Sylfaen" w:cs="Sylfaen"/>
        </w:rPr>
        <w:t>მოცემული</w:t>
      </w:r>
      <w:r w:rsidRPr="00DC181E">
        <w:rPr>
          <w:rFonts w:ascii="AcadNusx" w:hAnsi="AcadNusx"/>
        </w:rPr>
        <w:t xml:space="preserve"> </w:t>
      </w:r>
      <w:r w:rsidRPr="00DC181E">
        <w:rPr>
          <w:rFonts w:ascii="Sylfaen" w:hAnsi="Sylfaen" w:cs="Sylfaen"/>
        </w:rPr>
        <w:t>ელემენტებისგან</w:t>
      </w:r>
      <w:r w:rsidRPr="00DC181E">
        <w:rPr>
          <w:rFonts w:ascii="AcadNusx" w:hAnsi="AcadNusx"/>
        </w:rPr>
        <w:t xml:space="preserve">. </w:t>
      </w:r>
    </w:p>
    <w:p w14:paraId="52E44429" w14:textId="5F66A32F" w:rsidR="00EA3205" w:rsidRPr="00B05F62" w:rsidRDefault="00DC181E" w:rsidP="00DC181E">
      <w:pPr>
        <w:spacing w:before="120" w:after="120"/>
        <w:rPr>
          <w:rFonts w:ascii="AcadNusx" w:hAnsi="AcadNusx"/>
        </w:rPr>
      </w:pPr>
      <w:r w:rsidRPr="00DC181E">
        <w:rPr>
          <w:rFonts w:ascii="Sylfaen" w:hAnsi="Sylfaen" w:cs="Sylfaen"/>
        </w:rPr>
        <w:t>ცხრილი</w:t>
      </w:r>
      <w:r w:rsidRPr="00DC181E">
        <w:rPr>
          <w:rFonts w:ascii="AcadNusx" w:hAnsi="AcadNusx"/>
        </w:rPr>
        <w:t xml:space="preserve"> 4.9.3.3-3 </w:t>
      </w:r>
      <w:r w:rsidRPr="00DC181E">
        <w:rPr>
          <w:rFonts w:ascii="Sylfaen" w:hAnsi="Sylfaen" w:cs="Sylfaen"/>
        </w:rPr>
        <w:t>ალტერნატიული</w:t>
      </w:r>
      <w:r w:rsidRPr="00DC181E">
        <w:rPr>
          <w:rFonts w:ascii="AcadNusx" w:hAnsi="AcadNusx"/>
        </w:rPr>
        <w:t xml:space="preserve"> </w:t>
      </w:r>
      <w:r w:rsidRPr="00DC181E">
        <w:rPr>
          <w:rFonts w:ascii="Sylfaen" w:hAnsi="Sylfaen" w:cs="Sylfaen"/>
        </w:rPr>
        <w:t>ხისტი</w:t>
      </w:r>
      <w:r w:rsidRPr="00DC181E">
        <w:rPr>
          <w:rFonts w:ascii="AcadNusx" w:hAnsi="AcadNusx"/>
        </w:rPr>
        <w:t xml:space="preserve"> </w:t>
      </w:r>
      <w:r w:rsidRPr="00DC181E">
        <w:rPr>
          <w:rFonts w:ascii="Sylfaen" w:hAnsi="Sylfaen" w:cs="Sylfaen"/>
        </w:rPr>
        <w:t>საგზაო</w:t>
      </w:r>
      <w:r w:rsidRPr="00DC181E">
        <w:rPr>
          <w:rFonts w:ascii="AcadNusx" w:hAnsi="AcadNusx"/>
        </w:rPr>
        <w:t xml:space="preserve"> </w:t>
      </w:r>
      <w:r w:rsidRPr="00DC181E">
        <w:rPr>
          <w:rFonts w:ascii="Sylfaen" w:hAnsi="Sylfaen" w:cs="Sylfaen"/>
        </w:rPr>
        <w:t>სამოსი</w:t>
      </w:r>
      <w:r w:rsidRPr="00DC181E">
        <w:rPr>
          <w:rFonts w:ascii="AcadNusx" w:hAnsi="AcadNusx"/>
        </w:rPr>
        <w:t xml:space="preserve"> </w:t>
      </w:r>
      <w:r w:rsidR="00EA3205" w:rsidRPr="00B05F62">
        <w:rPr>
          <w:rFonts w:ascii="AcadNusx" w:hAnsi="AcadNusx"/>
        </w:rPr>
        <w:t>(</w:t>
      </w:r>
      <w:r w:rsidR="00EA3205" w:rsidRPr="006B2E4A">
        <w:rPr>
          <w:rFonts w:cs="Arial"/>
        </w:rPr>
        <w:t>RStO12</w:t>
      </w:r>
      <w:r w:rsidR="00EA3205" w:rsidRPr="00B05F62">
        <w:rPr>
          <w:rFonts w:ascii="AcadNusx" w:hAnsi="AcadNusx"/>
        </w:rPr>
        <w:t>)</w:t>
      </w:r>
    </w:p>
    <w:tbl>
      <w:tblPr>
        <w:tblStyle w:val="TableGrid111"/>
        <w:tblW w:w="10791" w:type="dxa"/>
        <w:tblInd w:w="-455" w:type="dxa"/>
        <w:tblLook w:val="04A0" w:firstRow="1" w:lastRow="0" w:firstColumn="1" w:lastColumn="0" w:noHBand="0" w:noVBand="1"/>
      </w:tblPr>
      <w:tblGrid>
        <w:gridCol w:w="1606"/>
        <w:gridCol w:w="1607"/>
        <w:gridCol w:w="1960"/>
        <w:gridCol w:w="3917"/>
        <w:gridCol w:w="1701"/>
      </w:tblGrid>
      <w:tr w:rsidR="00DC181E" w:rsidRPr="00ED05BF" w14:paraId="4F27DD23" w14:textId="77777777" w:rsidTr="00ED05BF">
        <w:tc>
          <w:tcPr>
            <w:tcW w:w="1606" w:type="dxa"/>
            <w:hideMark/>
          </w:tcPr>
          <w:p w14:paraId="1A17B043" w14:textId="6D261A84" w:rsidR="00EA3205" w:rsidRPr="00ED05BF" w:rsidRDefault="00DC181E" w:rsidP="00DC181E">
            <w:pPr>
              <w:rPr>
                <w:rFonts w:ascii="Sylfaen" w:hAnsi="Sylfaen"/>
                <w:sz w:val="20"/>
                <w:lang w:val="en-US"/>
              </w:rPr>
            </w:pPr>
            <w:r w:rsidRPr="00ED05BF">
              <w:rPr>
                <w:rFonts w:ascii="Sylfaen" w:hAnsi="Sylfaen"/>
                <w:sz w:val="20"/>
                <w:lang w:val="ka-GE"/>
              </w:rPr>
              <w:t>ბეტონის ზედაპირული ფენა</w:t>
            </w:r>
          </w:p>
        </w:tc>
        <w:tc>
          <w:tcPr>
            <w:tcW w:w="1607" w:type="dxa"/>
            <w:hideMark/>
          </w:tcPr>
          <w:p w14:paraId="19D1CC3D" w14:textId="553E6092" w:rsidR="00EA3205" w:rsidRPr="00ED05BF" w:rsidRDefault="00DC181E" w:rsidP="00DC181E">
            <w:pPr>
              <w:rPr>
                <w:rFonts w:ascii="Sylfaen" w:hAnsi="Sylfaen"/>
                <w:sz w:val="20"/>
              </w:rPr>
            </w:pPr>
            <w:r w:rsidRPr="00ED05BF">
              <w:rPr>
                <w:rFonts w:ascii="Sylfaen" w:hAnsi="Sylfaen"/>
                <w:sz w:val="20"/>
                <w:lang w:val="ka-GE"/>
              </w:rPr>
              <w:t>ღორღოვანი საფუძველი</w:t>
            </w:r>
          </w:p>
        </w:tc>
        <w:tc>
          <w:tcPr>
            <w:tcW w:w="1960" w:type="dxa"/>
            <w:hideMark/>
          </w:tcPr>
          <w:p w14:paraId="20950818" w14:textId="18F81FD1" w:rsidR="00EA3205" w:rsidRPr="00ED05BF" w:rsidRDefault="00DC181E" w:rsidP="00DC181E">
            <w:pPr>
              <w:rPr>
                <w:rFonts w:ascii="Sylfaen" w:hAnsi="Sylfaen"/>
                <w:sz w:val="20"/>
              </w:rPr>
            </w:pPr>
            <w:r w:rsidRPr="00ED05BF">
              <w:rPr>
                <w:rFonts w:ascii="Sylfaen" w:hAnsi="Sylfaen"/>
                <w:sz w:val="20"/>
                <w:lang w:val="ka-GE"/>
              </w:rPr>
              <w:t>ყინვაგამძლე ფენა (სიმტკიცე ფენის ზედაპირზე - 120 მგპა)</w:t>
            </w:r>
          </w:p>
        </w:tc>
        <w:tc>
          <w:tcPr>
            <w:tcW w:w="3917" w:type="dxa"/>
            <w:hideMark/>
          </w:tcPr>
          <w:p w14:paraId="10644295" w14:textId="015751DB" w:rsidR="00EA3205" w:rsidRPr="00ED05BF" w:rsidRDefault="00DC181E" w:rsidP="00DC181E">
            <w:pPr>
              <w:rPr>
                <w:rFonts w:ascii="Sylfaen" w:hAnsi="Sylfaen"/>
                <w:sz w:val="20"/>
              </w:rPr>
            </w:pPr>
            <w:r w:rsidRPr="00ED05BF">
              <w:rPr>
                <w:rFonts w:ascii="Sylfaen" w:hAnsi="Sylfaen"/>
                <w:sz w:val="20"/>
                <w:lang w:val="ka-GE"/>
              </w:rPr>
              <w:t xml:space="preserve">არსებული გრუნტი ან გრუნტის ჩანაცვლება, გზის ფორმირების დონეზე გრუნტის მოთხოვნილი სიმტკიცის (45 მგპა) უზრუნველსაყოფად </w:t>
            </w:r>
          </w:p>
        </w:tc>
        <w:tc>
          <w:tcPr>
            <w:tcW w:w="1701" w:type="dxa"/>
            <w:hideMark/>
          </w:tcPr>
          <w:p w14:paraId="715B1B01" w14:textId="2CD6E899" w:rsidR="00EA3205" w:rsidRPr="00ED05BF" w:rsidRDefault="00ED05BF" w:rsidP="00ED05BF">
            <w:pPr>
              <w:rPr>
                <w:rFonts w:ascii="Sylfaen" w:hAnsi="Sylfaen"/>
                <w:sz w:val="20"/>
              </w:rPr>
            </w:pPr>
            <w:r w:rsidRPr="00ED05BF">
              <w:rPr>
                <w:rFonts w:ascii="Sylfaen" w:hAnsi="Sylfaen"/>
                <w:sz w:val="20"/>
                <w:lang w:val="ka-GE"/>
              </w:rPr>
              <w:t>საგზაო სამოსის სრული სისქე</w:t>
            </w:r>
          </w:p>
        </w:tc>
      </w:tr>
      <w:tr w:rsidR="00DC181E" w:rsidRPr="00ED05BF" w14:paraId="0A8E640A" w14:textId="77777777" w:rsidTr="00ED05BF">
        <w:tc>
          <w:tcPr>
            <w:tcW w:w="1606" w:type="dxa"/>
            <w:hideMark/>
          </w:tcPr>
          <w:p w14:paraId="475B7795" w14:textId="3C0920CA" w:rsidR="00EA3205" w:rsidRPr="00ED05BF" w:rsidRDefault="00ED05BF" w:rsidP="00ED05BF">
            <w:pPr>
              <w:tabs>
                <w:tab w:val="left" w:pos="750"/>
              </w:tabs>
              <w:rPr>
                <w:rFonts w:ascii="Sylfaen" w:hAnsi="Sylfaen"/>
                <w:sz w:val="20"/>
                <w:lang w:val="ka-GE"/>
              </w:rPr>
            </w:pPr>
            <w:r w:rsidRPr="00ED05BF">
              <w:rPr>
                <w:rFonts w:ascii="Sylfaen" w:hAnsi="Sylfaen"/>
                <w:sz w:val="20"/>
                <w:lang w:val="ka-GE"/>
              </w:rPr>
              <w:t>(მმ)</w:t>
            </w:r>
          </w:p>
        </w:tc>
        <w:tc>
          <w:tcPr>
            <w:tcW w:w="1607" w:type="dxa"/>
            <w:hideMark/>
          </w:tcPr>
          <w:p w14:paraId="1B07703D" w14:textId="25FEE7FF" w:rsidR="00EA3205" w:rsidRPr="00ED05BF" w:rsidRDefault="00ED05BF" w:rsidP="00EA3205">
            <w:pPr>
              <w:rPr>
                <w:rFonts w:ascii="Sylfaen" w:hAnsi="Sylfaen"/>
                <w:sz w:val="20"/>
              </w:rPr>
            </w:pPr>
            <w:r w:rsidRPr="00ED05BF">
              <w:rPr>
                <w:rFonts w:ascii="Sylfaen" w:hAnsi="Sylfaen"/>
                <w:sz w:val="20"/>
                <w:lang w:val="ka-GE"/>
              </w:rPr>
              <w:t>(მმ)</w:t>
            </w:r>
          </w:p>
        </w:tc>
        <w:tc>
          <w:tcPr>
            <w:tcW w:w="1960" w:type="dxa"/>
            <w:hideMark/>
          </w:tcPr>
          <w:p w14:paraId="0769973A" w14:textId="7C705074" w:rsidR="00EA3205" w:rsidRPr="00ED05BF" w:rsidRDefault="00ED05BF" w:rsidP="00EA3205">
            <w:pPr>
              <w:rPr>
                <w:rFonts w:ascii="Sylfaen" w:hAnsi="Sylfaen"/>
                <w:sz w:val="20"/>
              </w:rPr>
            </w:pPr>
            <w:r w:rsidRPr="00ED05BF">
              <w:rPr>
                <w:rFonts w:ascii="Sylfaen" w:hAnsi="Sylfaen"/>
                <w:sz w:val="20"/>
                <w:lang w:val="ka-GE"/>
              </w:rPr>
              <w:t>(მმ)</w:t>
            </w:r>
          </w:p>
        </w:tc>
        <w:tc>
          <w:tcPr>
            <w:tcW w:w="3917" w:type="dxa"/>
            <w:hideMark/>
          </w:tcPr>
          <w:p w14:paraId="78DB2EFC" w14:textId="53E860FC" w:rsidR="00EA3205" w:rsidRPr="00ED05BF" w:rsidRDefault="00ED05BF" w:rsidP="00EA3205">
            <w:pPr>
              <w:rPr>
                <w:rFonts w:ascii="Sylfaen" w:hAnsi="Sylfaen"/>
                <w:sz w:val="20"/>
              </w:rPr>
            </w:pPr>
            <w:r w:rsidRPr="00ED05BF">
              <w:rPr>
                <w:rFonts w:ascii="Sylfaen" w:hAnsi="Sylfaen"/>
                <w:sz w:val="20"/>
                <w:lang w:val="ka-GE"/>
              </w:rPr>
              <w:t>(მმ)</w:t>
            </w:r>
          </w:p>
        </w:tc>
        <w:tc>
          <w:tcPr>
            <w:tcW w:w="1701" w:type="dxa"/>
            <w:hideMark/>
          </w:tcPr>
          <w:p w14:paraId="0BA66C1E" w14:textId="603E3E23" w:rsidR="00EA3205" w:rsidRPr="00ED05BF" w:rsidRDefault="00ED05BF" w:rsidP="00EA3205">
            <w:pPr>
              <w:rPr>
                <w:rFonts w:ascii="Sylfaen" w:hAnsi="Sylfaen"/>
                <w:sz w:val="20"/>
              </w:rPr>
            </w:pPr>
            <w:r w:rsidRPr="00ED05BF">
              <w:rPr>
                <w:rFonts w:ascii="Sylfaen" w:hAnsi="Sylfaen"/>
                <w:sz w:val="20"/>
                <w:lang w:val="ka-GE"/>
              </w:rPr>
              <w:t>(მმ)</w:t>
            </w:r>
          </w:p>
        </w:tc>
      </w:tr>
      <w:tr w:rsidR="00DC181E" w:rsidRPr="00ED05BF" w14:paraId="6C1A5162" w14:textId="77777777" w:rsidTr="00ED05BF">
        <w:trPr>
          <w:trHeight w:val="552"/>
        </w:trPr>
        <w:tc>
          <w:tcPr>
            <w:tcW w:w="1606" w:type="dxa"/>
            <w:hideMark/>
          </w:tcPr>
          <w:p w14:paraId="13A07C66" w14:textId="77777777" w:rsidR="00EA3205" w:rsidRPr="00ED05BF" w:rsidRDefault="00EA3205" w:rsidP="00EA3205">
            <w:pPr>
              <w:rPr>
                <w:rFonts w:ascii="Sylfaen" w:hAnsi="Sylfaen"/>
                <w:sz w:val="20"/>
              </w:rPr>
            </w:pPr>
            <w:r w:rsidRPr="00ED05BF">
              <w:rPr>
                <w:rFonts w:ascii="Sylfaen" w:hAnsi="Sylfaen"/>
                <w:sz w:val="20"/>
              </w:rPr>
              <w:t>240</w:t>
            </w:r>
          </w:p>
        </w:tc>
        <w:tc>
          <w:tcPr>
            <w:tcW w:w="1607" w:type="dxa"/>
            <w:hideMark/>
          </w:tcPr>
          <w:p w14:paraId="0ED10157" w14:textId="77777777" w:rsidR="00EA3205" w:rsidRPr="00ED05BF" w:rsidRDefault="00EA3205" w:rsidP="00EA3205">
            <w:pPr>
              <w:rPr>
                <w:rFonts w:ascii="Sylfaen" w:hAnsi="Sylfaen"/>
                <w:sz w:val="20"/>
              </w:rPr>
            </w:pPr>
            <w:r w:rsidRPr="00ED05BF">
              <w:rPr>
                <w:rFonts w:ascii="Sylfaen" w:hAnsi="Sylfaen"/>
                <w:sz w:val="20"/>
              </w:rPr>
              <w:t>200</w:t>
            </w:r>
          </w:p>
        </w:tc>
        <w:tc>
          <w:tcPr>
            <w:tcW w:w="1960" w:type="dxa"/>
            <w:hideMark/>
          </w:tcPr>
          <w:p w14:paraId="032D277F" w14:textId="77777777" w:rsidR="00EA3205" w:rsidRPr="00ED05BF" w:rsidRDefault="00EA3205" w:rsidP="00EA3205">
            <w:pPr>
              <w:rPr>
                <w:rFonts w:ascii="Sylfaen" w:hAnsi="Sylfaen"/>
                <w:sz w:val="20"/>
              </w:rPr>
            </w:pPr>
            <w:r w:rsidRPr="00ED05BF">
              <w:rPr>
                <w:rFonts w:ascii="Sylfaen" w:hAnsi="Sylfaen"/>
                <w:sz w:val="20"/>
              </w:rPr>
              <w:t>310</w:t>
            </w:r>
          </w:p>
        </w:tc>
        <w:tc>
          <w:tcPr>
            <w:tcW w:w="3917" w:type="dxa"/>
            <w:hideMark/>
          </w:tcPr>
          <w:p w14:paraId="7650F226" w14:textId="77777777" w:rsidR="00EA3205" w:rsidRPr="00ED05BF" w:rsidRDefault="00EA3205" w:rsidP="00EA3205">
            <w:pPr>
              <w:rPr>
                <w:rFonts w:ascii="Sylfaen" w:hAnsi="Sylfaen"/>
                <w:sz w:val="20"/>
              </w:rPr>
            </w:pPr>
            <w:r w:rsidRPr="00ED05BF">
              <w:rPr>
                <w:rFonts w:ascii="Sylfaen" w:hAnsi="Sylfaen"/>
                <w:sz w:val="20"/>
              </w:rPr>
              <w:t>300</w:t>
            </w:r>
          </w:p>
        </w:tc>
        <w:tc>
          <w:tcPr>
            <w:tcW w:w="1701" w:type="dxa"/>
            <w:hideMark/>
          </w:tcPr>
          <w:p w14:paraId="1A6692CC" w14:textId="77777777" w:rsidR="00EA3205" w:rsidRPr="00ED05BF" w:rsidRDefault="00EA3205" w:rsidP="00EA3205">
            <w:pPr>
              <w:rPr>
                <w:rFonts w:ascii="Sylfaen" w:hAnsi="Sylfaen"/>
                <w:sz w:val="20"/>
              </w:rPr>
            </w:pPr>
            <w:r w:rsidRPr="00ED05BF">
              <w:rPr>
                <w:rFonts w:ascii="Sylfaen" w:hAnsi="Sylfaen"/>
                <w:sz w:val="20"/>
              </w:rPr>
              <w:t>1050</w:t>
            </w:r>
          </w:p>
        </w:tc>
      </w:tr>
    </w:tbl>
    <w:p w14:paraId="48B0FC0F" w14:textId="77777777" w:rsidR="00EA3205" w:rsidRPr="00B05F62" w:rsidRDefault="00EA3205" w:rsidP="00EA3205">
      <w:pPr>
        <w:rPr>
          <w:rFonts w:ascii="AcadNusx" w:hAnsi="AcadNusx"/>
        </w:rPr>
      </w:pPr>
    </w:p>
    <w:p w14:paraId="424CB11B" w14:textId="153047FB" w:rsidR="00EA3205" w:rsidRDefault="00ED05BF" w:rsidP="00EA3205">
      <w:pPr>
        <w:rPr>
          <w:rFonts w:ascii="AcadNusx" w:hAnsi="AcadNusx"/>
        </w:rPr>
      </w:pPr>
      <w:r w:rsidRPr="00ED05BF">
        <w:rPr>
          <w:rFonts w:ascii="Sylfaen" w:hAnsi="Sylfaen" w:cs="Sylfaen"/>
        </w:rPr>
        <w:t>ყინვაგამძლე</w:t>
      </w:r>
      <w:r w:rsidRPr="00ED05BF">
        <w:rPr>
          <w:rFonts w:ascii="AcadNusx" w:hAnsi="AcadNusx"/>
        </w:rPr>
        <w:t xml:space="preserve"> </w:t>
      </w:r>
      <w:r w:rsidRPr="00ED05BF">
        <w:rPr>
          <w:rFonts w:ascii="Sylfaen" w:hAnsi="Sylfaen" w:cs="Sylfaen"/>
        </w:rPr>
        <w:t>ფენის</w:t>
      </w:r>
      <w:r w:rsidRPr="00ED05BF">
        <w:rPr>
          <w:rFonts w:ascii="AcadNusx" w:hAnsi="AcadNusx"/>
        </w:rPr>
        <w:t xml:space="preserve"> </w:t>
      </w:r>
      <w:r w:rsidRPr="00ED05BF">
        <w:rPr>
          <w:rFonts w:ascii="Sylfaen" w:hAnsi="Sylfaen" w:cs="Sylfaen"/>
        </w:rPr>
        <w:t>დანიშნულებაა</w:t>
      </w:r>
      <w:r w:rsidRPr="00ED05BF">
        <w:rPr>
          <w:rFonts w:ascii="AcadNusx" w:hAnsi="AcadNusx"/>
        </w:rPr>
        <w:t xml:space="preserve"> </w:t>
      </w:r>
      <w:r w:rsidRPr="00ED05BF">
        <w:rPr>
          <w:rFonts w:ascii="Sylfaen" w:hAnsi="Sylfaen" w:cs="Sylfaen"/>
        </w:rPr>
        <w:t>არა</w:t>
      </w:r>
      <w:r w:rsidRPr="00ED05BF">
        <w:rPr>
          <w:rFonts w:ascii="AcadNusx" w:hAnsi="AcadNusx"/>
        </w:rPr>
        <w:t xml:space="preserve"> </w:t>
      </w:r>
      <w:r w:rsidRPr="00ED05BF">
        <w:rPr>
          <w:rFonts w:ascii="Sylfaen" w:hAnsi="Sylfaen" w:cs="Sylfaen"/>
        </w:rPr>
        <w:t>მარტო</w:t>
      </w:r>
      <w:r w:rsidRPr="00ED05BF">
        <w:rPr>
          <w:rFonts w:ascii="AcadNusx" w:hAnsi="AcadNusx"/>
        </w:rPr>
        <w:t xml:space="preserve"> </w:t>
      </w:r>
      <w:r w:rsidRPr="00ED05BF">
        <w:rPr>
          <w:rFonts w:ascii="Sylfaen" w:hAnsi="Sylfaen" w:cs="Sylfaen"/>
        </w:rPr>
        <w:t>მიწის</w:t>
      </w:r>
      <w:r w:rsidRPr="00ED05BF">
        <w:rPr>
          <w:rFonts w:ascii="AcadNusx" w:hAnsi="AcadNusx"/>
        </w:rPr>
        <w:t xml:space="preserve"> </w:t>
      </w:r>
      <w:r w:rsidRPr="00ED05BF">
        <w:rPr>
          <w:rFonts w:ascii="Sylfaen" w:hAnsi="Sylfaen" w:cs="Sylfaen"/>
        </w:rPr>
        <w:t>ვაკისის</w:t>
      </w:r>
      <w:r w:rsidRPr="00ED05BF">
        <w:rPr>
          <w:rFonts w:ascii="AcadNusx" w:hAnsi="AcadNusx"/>
        </w:rPr>
        <w:t xml:space="preserve"> </w:t>
      </w:r>
      <w:r w:rsidRPr="00ED05BF">
        <w:rPr>
          <w:rFonts w:ascii="Sylfaen" w:hAnsi="Sylfaen" w:cs="Sylfaen"/>
        </w:rPr>
        <w:t>დაცვა</w:t>
      </w:r>
      <w:r w:rsidRPr="00ED05BF">
        <w:rPr>
          <w:rFonts w:ascii="AcadNusx" w:hAnsi="AcadNusx"/>
        </w:rPr>
        <w:t xml:space="preserve"> </w:t>
      </w:r>
      <w:r w:rsidRPr="00ED05BF">
        <w:rPr>
          <w:rFonts w:ascii="Sylfaen" w:hAnsi="Sylfaen" w:cs="Sylfaen"/>
        </w:rPr>
        <w:t>ყინვის</w:t>
      </w:r>
      <w:r w:rsidRPr="00ED05BF">
        <w:rPr>
          <w:rFonts w:ascii="AcadNusx" w:hAnsi="AcadNusx"/>
        </w:rPr>
        <w:t xml:space="preserve"> </w:t>
      </w:r>
      <w:r w:rsidRPr="00ED05BF">
        <w:rPr>
          <w:rFonts w:ascii="Sylfaen" w:hAnsi="Sylfaen" w:cs="Sylfaen"/>
        </w:rPr>
        <w:t>ტემპერატურებისგან</w:t>
      </w:r>
      <w:r w:rsidRPr="00ED05BF">
        <w:rPr>
          <w:rFonts w:ascii="AcadNusx" w:hAnsi="AcadNusx"/>
        </w:rPr>
        <w:t xml:space="preserve">, </w:t>
      </w:r>
      <w:r w:rsidRPr="00ED05BF">
        <w:rPr>
          <w:rFonts w:ascii="Sylfaen" w:hAnsi="Sylfaen" w:cs="Sylfaen"/>
        </w:rPr>
        <w:t>არამედ</w:t>
      </w:r>
      <w:r w:rsidRPr="00ED05BF">
        <w:rPr>
          <w:rFonts w:ascii="AcadNusx" w:hAnsi="AcadNusx"/>
        </w:rPr>
        <w:t xml:space="preserve">, </w:t>
      </w:r>
      <w:r w:rsidRPr="00ED05BF">
        <w:rPr>
          <w:rFonts w:ascii="Sylfaen" w:hAnsi="Sylfaen" w:cs="Sylfaen"/>
        </w:rPr>
        <w:t>მოცემულ</w:t>
      </w:r>
      <w:r w:rsidRPr="00ED05BF">
        <w:rPr>
          <w:rFonts w:ascii="AcadNusx" w:hAnsi="AcadNusx"/>
        </w:rPr>
        <w:t xml:space="preserve"> </w:t>
      </w:r>
      <w:r w:rsidRPr="00ED05BF">
        <w:rPr>
          <w:rFonts w:ascii="Sylfaen" w:hAnsi="Sylfaen" w:cs="Sylfaen"/>
        </w:rPr>
        <w:t>შემთხვევაში</w:t>
      </w:r>
      <w:r w:rsidRPr="00ED05BF">
        <w:rPr>
          <w:rFonts w:ascii="AcadNusx" w:hAnsi="AcadNusx"/>
        </w:rPr>
        <w:t xml:space="preserve">, 120 </w:t>
      </w:r>
      <w:r w:rsidRPr="00ED05BF">
        <w:rPr>
          <w:rFonts w:ascii="Sylfaen" w:hAnsi="Sylfaen" w:cs="Sylfaen"/>
        </w:rPr>
        <w:t>მგპა</w:t>
      </w:r>
      <w:r w:rsidRPr="00ED05BF">
        <w:rPr>
          <w:rFonts w:ascii="AcadNusx" w:hAnsi="AcadNusx"/>
        </w:rPr>
        <w:t xml:space="preserve"> </w:t>
      </w:r>
      <w:r w:rsidRPr="00ED05BF">
        <w:rPr>
          <w:rFonts w:ascii="Sylfaen" w:hAnsi="Sylfaen" w:cs="Sylfaen"/>
        </w:rPr>
        <w:t>სიდიდის</w:t>
      </w:r>
      <w:r w:rsidRPr="00ED05BF">
        <w:rPr>
          <w:rFonts w:ascii="AcadNusx" w:hAnsi="AcadNusx"/>
        </w:rPr>
        <w:t xml:space="preserve"> </w:t>
      </w:r>
      <w:r w:rsidRPr="00ED05BF">
        <w:rPr>
          <w:rFonts w:ascii="Sylfaen" w:hAnsi="Sylfaen" w:cs="Sylfaen"/>
        </w:rPr>
        <w:t>მზიდუნარიანობის</w:t>
      </w:r>
      <w:r w:rsidRPr="00ED05BF">
        <w:rPr>
          <w:rFonts w:ascii="AcadNusx" w:hAnsi="AcadNusx"/>
        </w:rPr>
        <w:t xml:space="preserve"> </w:t>
      </w:r>
      <w:r w:rsidRPr="00ED05BF">
        <w:rPr>
          <w:rFonts w:ascii="Sylfaen" w:hAnsi="Sylfaen" w:cs="Sylfaen"/>
        </w:rPr>
        <w:t>უზრუნველყოფა</w:t>
      </w:r>
      <w:r w:rsidRPr="00ED05BF">
        <w:rPr>
          <w:rFonts w:ascii="AcadNusx" w:hAnsi="AcadNusx"/>
        </w:rPr>
        <w:t xml:space="preserve"> </w:t>
      </w:r>
      <w:r w:rsidRPr="00ED05BF">
        <w:rPr>
          <w:rFonts w:ascii="Sylfaen" w:hAnsi="Sylfaen" w:cs="Sylfaen"/>
        </w:rPr>
        <w:t>ყინვაგამძლე</w:t>
      </w:r>
      <w:r w:rsidRPr="00ED05BF">
        <w:rPr>
          <w:rFonts w:ascii="AcadNusx" w:hAnsi="AcadNusx"/>
        </w:rPr>
        <w:t xml:space="preserve"> </w:t>
      </w:r>
      <w:r w:rsidRPr="00ED05BF">
        <w:rPr>
          <w:rFonts w:ascii="Sylfaen" w:hAnsi="Sylfaen" w:cs="Sylfaen"/>
        </w:rPr>
        <w:t>ფენის</w:t>
      </w:r>
      <w:r w:rsidRPr="00ED05BF">
        <w:rPr>
          <w:rFonts w:ascii="AcadNusx" w:hAnsi="AcadNusx"/>
        </w:rPr>
        <w:t xml:space="preserve"> </w:t>
      </w:r>
      <w:r w:rsidRPr="00ED05BF">
        <w:rPr>
          <w:rFonts w:ascii="Sylfaen" w:hAnsi="Sylfaen" w:cs="Sylfaen"/>
        </w:rPr>
        <w:t>ზედაპირზე</w:t>
      </w:r>
      <w:r w:rsidRPr="00ED05BF">
        <w:rPr>
          <w:rFonts w:ascii="AcadNusx" w:hAnsi="AcadNusx"/>
        </w:rPr>
        <w:t xml:space="preserve">, </w:t>
      </w:r>
      <w:r w:rsidRPr="00ED05BF">
        <w:rPr>
          <w:rFonts w:ascii="Sylfaen" w:hAnsi="Sylfaen" w:cs="Sylfaen"/>
        </w:rPr>
        <w:t>რაც</w:t>
      </w:r>
      <w:r w:rsidRPr="00ED05BF">
        <w:rPr>
          <w:rFonts w:ascii="AcadNusx" w:hAnsi="AcadNusx"/>
        </w:rPr>
        <w:t xml:space="preserve"> </w:t>
      </w:r>
      <w:r w:rsidRPr="00ED05BF">
        <w:rPr>
          <w:rFonts w:ascii="Sylfaen" w:hAnsi="Sylfaen" w:cs="Sylfaen"/>
        </w:rPr>
        <w:t>ამ</w:t>
      </w:r>
      <w:r w:rsidRPr="00ED05BF">
        <w:rPr>
          <w:rFonts w:ascii="AcadNusx" w:hAnsi="AcadNusx"/>
        </w:rPr>
        <w:t xml:space="preserve"> </w:t>
      </w:r>
      <w:r w:rsidRPr="00ED05BF">
        <w:rPr>
          <w:rFonts w:ascii="Sylfaen" w:hAnsi="Sylfaen" w:cs="Sylfaen"/>
        </w:rPr>
        <w:t>ფენისთვის</w:t>
      </w:r>
      <w:r w:rsidRPr="00ED05BF">
        <w:rPr>
          <w:rFonts w:ascii="AcadNusx" w:hAnsi="AcadNusx"/>
        </w:rPr>
        <w:t xml:space="preserve"> </w:t>
      </w:r>
      <w:r w:rsidRPr="00ED05BF">
        <w:rPr>
          <w:rFonts w:ascii="Sylfaen" w:hAnsi="Sylfaen" w:cs="Sylfaen"/>
        </w:rPr>
        <w:t>ცხრილში</w:t>
      </w:r>
      <w:r w:rsidRPr="00ED05BF">
        <w:rPr>
          <w:rFonts w:ascii="AcadNusx" w:hAnsi="AcadNusx"/>
        </w:rPr>
        <w:t xml:space="preserve"> </w:t>
      </w:r>
      <w:r w:rsidRPr="00ED05BF">
        <w:rPr>
          <w:rFonts w:ascii="Sylfaen" w:hAnsi="Sylfaen" w:cs="Sylfaen"/>
        </w:rPr>
        <w:t>მითითებულ</w:t>
      </w:r>
      <w:r w:rsidRPr="00ED05BF">
        <w:rPr>
          <w:rFonts w:ascii="AcadNusx" w:hAnsi="AcadNusx"/>
        </w:rPr>
        <w:t xml:space="preserve"> </w:t>
      </w:r>
      <w:r w:rsidRPr="00ED05BF">
        <w:rPr>
          <w:rFonts w:ascii="Sylfaen" w:hAnsi="Sylfaen" w:cs="Sylfaen"/>
        </w:rPr>
        <w:t>სისქეს</w:t>
      </w:r>
      <w:r w:rsidRPr="00ED05BF">
        <w:rPr>
          <w:rFonts w:ascii="AcadNusx" w:hAnsi="AcadNusx"/>
        </w:rPr>
        <w:t xml:space="preserve"> </w:t>
      </w:r>
      <w:r w:rsidRPr="00ED05BF">
        <w:rPr>
          <w:rFonts w:ascii="Sylfaen" w:hAnsi="Sylfaen" w:cs="Sylfaen"/>
        </w:rPr>
        <w:t>მოითხოვს</w:t>
      </w:r>
      <w:r w:rsidRPr="00ED05BF">
        <w:rPr>
          <w:rFonts w:ascii="AcadNusx" w:hAnsi="AcadNusx"/>
        </w:rPr>
        <w:t xml:space="preserve">. </w:t>
      </w:r>
      <w:r w:rsidRPr="00ED05BF">
        <w:rPr>
          <w:rFonts w:ascii="Sylfaen" w:hAnsi="Sylfaen" w:cs="Sylfaen"/>
        </w:rPr>
        <w:t>იგივე</w:t>
      </w:r>
      <w:r w:rsidRPr="00ED05BF">
        <w:rPr>
          <w:rFonts w:ascii="AcadNusx" w:hAnsi="AcadNusx"/>
        </w:rPr>
        <w:t xml:space="preserve"> </w:t>
      </w:r>
      <w:r w:rsidRPr="00ED05BF">
        <w:rPr>
          <w:rFonts w:ascii="Sylfaen" w:hAnsi="Sylfaen" w:cs="Sylfaen"/>
        </w:rPr>
        <w:t>შეეხება</w:t>
      </w:r>
      <w:r w:rsidRPr="00ED05BF">
        <w:rPr>
          <w:rFonts w:ascii="AcadNusx" w:hAnsi="AcadNusx"/>
        </w:rPr>
        <w:t xml:space="preserve"> </w:t>
      </w:r>
      <w:r w:rsidRPr="00ED05BF">
        <w:rPr>
          <w:rFonts w:ascii="Sylfaen" w:hAnsi="Sylfaen" w:cs="Sylfaen"/>
        </w:rPr>
        <w:t>გრუნტის</w:t>
      </w:r>
      <w:r w:rsidRPr="00ED05BF">
        <w:rPr>
          <w:rFonts w:ascii="AcadNusx" w:hAnsi="AcadNusx"/>
        </w:rPr>
        <w:t xml:space="preserve"> </w:t>
      </w:r>
      <w:r w:rsidRPr="00ED05BF">
        <w:rPr>
          <w:rFonts w:ascii="Sylfaen" w:hAnsi="Sylfaen" w:cs="Sylfaen"/>
        </w:rPr>
        <w:t>ჩანაცვლებას</w:t>
      </w:r>
      <w:r w:rsidRPr="00ED05BF">
        <w:rPr>
          <w:rFonts w:ascii="AcadNusx" w:hAnsi="AcadNusx"/>
        </w:rPr>
        <w:t xml:space="preserve">. </w:t>
      </w:r>
      <w:r w:rsidRPr="00ED05BF">
        <w:rPr>
          <w:rFonts w:ascii="Sylfaen" w:hAnsi="Sylfaen" w:cs="Sylfaen"/>
        </w:rPr>
        <w:t>მიწის</w:t>
      </w:r>
      <w:r w:rsidRPr="00ED05BF">
        <w:rPr>
          <w:rFonts w:ascii="AcadNusx" w:hAnsi="AcadNusx"/>
        </w:rPr>
        <w:t xml:space="preserve"> </w:t>
      </w:r>
      <w:r w:rsidRPr="00ED05BF">
        <w:rPr>
          <w:rFonts w:ascii="Sylfaen" w:hAnsi="Sylfaen" w:cs="Sylfaen"/>
        </w:rPr>
        <w:t>ვაკისის</w:t>
      </w:r>
      <w:r w:rsidRPr="00ED05BF">
        <w:rPr>
          <w:rFonts w:ascii="AcadNusx" w:hAnsi="AcadNusx"/>
        </w:rPr>
        <w:t xml:space="preserve"> </w:t>
      </w:r>
      <w:r w:rsidRPr="00ED05BF">
        <w:rPr>
          <w:rFonts w:ascii="Sylfaen" w:hAnsi="Sylfaen" w:cs="Sylfaen"/>
        </w:rPr>
        <w:t>კალიფორნიული</w:t>
      </w:r>
      <w:r w:rsidRPr="00ED05BF">
        <w:rPr>
          <w:rFonts w:ascii="AcadNusx" w:hAnsi="AcadNusx"/>
        </w:rPr>
        <w:t xml:space="preserve"> </w:t>
      </w:r>
      <w:r w:rsidRPr="00ED05BF">
        <w:rPr>
          <w:rFonts w:ascii="Sylfaen" w:hAnsi="Sylfaen" w:cs="Sylfaen"/>
        </w:rPr>
        <w:t>რიცხვის</w:t>
      </w:r>
      <w:r w:rsidRPr="00ED05BF">
        <w:rPr>
          <w:rFonts w:ascii="AcadNusx" w:hAnsi="AcadNusx"/>
        </w:rPr>
        <w:t xml:space="preserve"> (5%) </w:t>
      </w:r>
      <w:r w:rsidRPr="00ED05BF">
        <w:rPr>
          <w:rFonts w:ascii="Sylfaen" w:hAnsi="Sylfaen" w:cs="Sylfaen"/>
        </w:rPr>
        <w:t>გათვალისწინებით</w:t>
      </w:r>
      <w:r w:rsidRPr="00ED05BF">
        <w:rPr>
          <w:rFonts w:ascii="AcadNusx" w:hAnsi="AcadNusx"/>
        </w:rPr>
        <w:t xml:space="preserve">, </w:t>
      </w:r>
      <w:r w:rsidRPr="00ED05BF">
        <w:rPr>
          <w:rFonts w:ascii="Sylfaen" w:hAnsi="Sylfaen" w:cs="Sylfaen"/>
        </w:rPr>
        <w:t>გზის</w:t>
      </w:r>
      <w:r w:rsidRPr="00ED05BF">
        <w:rPr>
          <w:rFonts w:ascii="AcadNusx" w:hAnsi="AcadNusx"/>
        </w:rPr>
        <w:t xml:space="preserve"> </w:t>
      </w:r>
      <w:r w:rsidRPr="00ED05BF">
        <w:rPr>
          <w:rFonts w:ascii="Sylfaen" w:hAnsi="Sylfaen" w:cs="Sylfaen"/>
        </w:rPr>
        <w:t>ფორმირების</w:t>
      </w:r>
      <w:r w:rsidRPr="00ED05BF">
        <w:rPr>
          <w:rFonts w:ascii="AcadNusx" w:hAnsi="AcadNusx"/>
        </w:rPr>
        <w:t xml:space="preserve"> </w:t>
      </w:r>
      <w:r w:rsidRPr="00ED05BF">
        <w:rPr>
          <w:rFonts w:ascii="Sylfaen" w:hAnsi="Sylfaen" w:cs="Sylfaen"/>
        </w:rPr>
        <w:t>დონეზე</w:t>
      </w:r>
      <w:r w:rsidRPr="00ED05BF">
        <w:rPr>
          <w:rFonts w:ascii="AcadNusx" w:hAnsi="AcadNusx"/>
        </w:rPr>
        <w:t xml:space="preserve"> </w:t>
      </w:r>
      <w:r w:rsidRPr="00ED05BF">
        <w:rPr>
          <w:rFonts w:ascii="Sylfaen" w:hAnsi="Sylfaen" w:cs="Sylfaen"/>
        </w:rPr>
        <w:t>გრუნტის</w:t>
      </w:r>
      <w:r w:rsidRPr="00ED05BF">
        <w:rPr>
          <w:rFonts w:ascii="AcadNusx" w:hAnsi="AcadNusx"/>
        </w:rPr>
        <w:t xml:space="preserve"> </w:t>
      </w:r>
      <w:r w:rsidRPr="00ED05BF">
        <w:rPr>
          <w:rFonts w:ascii="Sylfaen" w:hAnsi="Sylfaen" w:cs="Sylfaen"/>
        </w:rPr>
        <w:t>მზიდუნარიანობის</w:t>
      </w:r>
      <w:r w:rsidRPr="00ED05BF">
        <w:rPr>
          <w:rFonts w:ascii="AcadNusx" w:hAnsi="AcadNusx"/>
        </w:rPr>
        <w:t xml:space="preserve"> 45 </w:t>
      </w:r>
      <w:r w:rsidRPr="00ED05BF">
        <w:rPr>
          <w:rFonts w:ascii="Sylfaen" w:hAnsi="Sylfaen" w:cs="Sylfaen"/>
        </w:rPr>
        <w:t>მგპა</w:t>
      </w:r>
      <w:r w:rsidRPr="00ED05BF">
        <w:rPr>
          <w:rFonts w:ascii="AcadNusx" w:hAnsi="AcadNusx"/>
        </w:rPr>
        <w:t>-</w:t>
      </w:r>
      <w:r w:rsidRPr="00ED05BF">
        <w:rPr>
          <w:rFonts w:ascii="Sylfaen" w:hAnsi="Sylfaen" w:cs="Sylfaen"/>
        </w:rPr>
        <w:t>მდე</w:t>
      </w:r>
      <w:r w:rsidRPr="00ED05BF">
        <w:rPr>
          <w:rFonts w:ascii="AcadNusx" w:hAnsi="AcadNusx"/>
        </w:rPr>
        <w:t xml:space="preserve"> </w:t>
      </w:r>
      <w:r w:rsidRPr="00ED05BF">
        <w:rPr>
          <w:rFonts w:ascii="Sylfaen" w:hAnsi="Sylfaen" w:cs="Sylfaen"/>
        </w:rPr>
        <w:t>გასაზრდელად</w:t>
      </w:r>
      <w:r w:rsidRPr="00ED05BF">
        <w:rPr>
          <w:rFonts w:ascii="AcadNusx" w:hAnsi="AcadNusx"/>
        </w:rPr>
        <w:t xml:space="preserve"> </w:t>
      </w:r>
      <w:r w:rsidRPr="00ED05BF">
        <w:rPr>
          <w:rFonts w:ascii="Sylfaen" w:hAnsi="Sylfaen" w:cs="Sylfaen"/>
        </w:rPr>
        <w:t>საჭიროა</w:t>
      </w:r>
      <w:r w:rsidRPr="00ED05BF">
        <w:rPr>
          <w:rFonts w:ascii="AcadNusx" w:hAnsi="AcadNusx"/>
        </w:rPr>
        <w:t xml:space="preserve"> </w:t>
      </w:r>
      <w:r w:rsidRPr="00ED05BF">
        <w:rPr>
          <w:rFonts w:ascii="Sylfaen" w:hAnsi="Sylfaen" w:cs="Sylfaen"/>
        </w:rPr>
        <w:t>ამ</w:t>
      </w:r>
      <w:r w:rsidRPr="00ED05BF">
        <w:rPr>
          <w:rFonts w:ascii="AcadNusx" w:hAnsi="AcadNusx"/>
        </w:rPr>
        <w:t xml:space="preserve"> </w:t>
      </w:r>
      <w:r w:rsidRPr="00ED05BF">
        <w:rPr>
          <w:rFonts w:ascii="Sylfaen" w:hAnsi="Sylfaen" w:cs="Sylfaen"/>
        </w:rPr>
        <w:t>დონემდე</w:t>
      </w:r>
      <w:r w:rsidRPr="00ED05BF">
        <w:rPr>
          <w:rFonts w:ascii="AcadNusx" w:hAnsi="AcadNusx"/>
        </w:rPr>
        <w:t xml:space="preserve"> </w:t>
      </w:r>
      <w:r w:rsidRPr="00ED05BF">
        <w:rPr>
          <w:rFonts w:ascii="Sylfaen" w:hAnsi="Sylfaen" w:cs="Sylfaen"/>
        </w:rPr>
        <w:t>მიახლოებით</w:t>
      </w:r>
      <w:r w:rsidRPr="00ED05BF">
        <w:rPr>
          <w:rFonts w:ascii="AcadNusx" w:hAnsi="AcadNusx"/>
        </w:rPr>
        <w:t xml:space="preserve"> 300 </w:t>
      </w:r>
      <w:r w:rsidRPr="00ED05BF">
        <w:rPr>
          <w:rFonts w:ascii="Sylfaen" w:hAnsi="Sylfaen" w:cs="Sylfaen"/>
        </w:rPr>
        <w:t>მმ</w:t>
      </w:r>
      <w:r w:rsidRPr="00ED05BF">
        <w:rPr>
          <w:rFonts w:ascii="AcadNusx" w:hAnsi="AcadNusx"/>
        </w:rPr>
        <w:t xml:space="preserve"> </w:t>
      </w:r>
      <w:r w:rsidRPr="00ED05BF">
        <w:rPr>
          <w:rFonts w:ascii="Sylfaen" w:hAnsi="Sylfaen" w:cs="Sylfaen"/>
        </w:rPr>
        <w:t>სისქის</w:t>
      </w:r>
      <w:r w:rsidRPr="00ED05BF">
        <w:rPr>
          <w:rFonts w:ascii="AcadNusx" w:hAnsi="AcadNusx"/>
        </w:rPr>
        <w:t xml:space="preserve"> </w:t>
      </w:r>
      <w:r w:rsidRPr="00ED05BF">
        <w:rPr>
          <w:rFonts w:ascii="Sylfaen" w:hAnsi="Sylfaen" w:cs="Sylfaen"/>
        </w:rPr>
        <w:t>სანაცვლო</w:t>
      </w:r>
      <w:r w:rsidRPr="00ED05BF">
        <w:rPr>
          <w:rFonts w:ascii="AcadNusx" w:hAnsi="AcadNusx"/>
        </w:rPr>
        <w:t xml:space="preserve"> </w:t>
      </w:r>
      <w:r w:rsidRPr="00ED05BF">
        <w:rPr>
          <w:rFonts w:ascii="Sylfaen" w:hAnsi="Sylfaen" w:cs="Sylfaen"/>
        </w:rPr>
        <w:t>მარცვლოვანი</w:t>
      </w:r>
      <w:r w:rsidRPr="00ED05BF">
        <w:rPr>
          <w:rFonts w:ascii="AcadNusx" w:hAnsi="AcadNusx"/>
        </w:rPr>
        <w:t xml:space="preserve"> </w:t>
      </w:r>
      <w:r w:rsidRPr="00ED05BF">
        <w:rPr>
          <w:rFonts w:ascii="Sylfaen" w:hAnsi="Sylfaen" w:cs="Sylfaen"/>
        </w:rPr>
        <w:t>ფენის</w:t>
      </w:r>
      <w:r w:rsidRPr="00ED05BF">
        <w:rPr>
          <w:rFonts w:ascii="AcadNusx" w:hAnsi="AcadNusx"/>
        </w:rPr>
        <w:t xml:space="preserve"> </w:t>
      </w:r>
      <w:r w:rsidRPr="00ED05BF">
        <w:rPr>
          <w:rFonts w:ascii="Sylfaen" w:hAnsi="Sylfaen" w:cs="Sylfaen"/>
        </w:rPr>
        <w:t>დაგება</w:t>
      </w:r>
      <w:r w:rsidRPr="00ED05BF">
        <w:rPr>
          <w:rFonts w:ascii="AcadNusx" w:hAnsi="AcadNusx"/>
        </w:rPr>
        <w:t>.</w:t>
      </w:r>
    </w:p>
    <w:p w14:paraId="78462AF1" w14:textId="77777777" w:rsidR="00ED05BF" w:rsidRPr="00B05F62" w:rsidRDefault="00ED05BF" w:rsidP="00EA3205">
      <w:pPr>
        <w:rPr>
          <w:rFonts w:ascii="AcadNusx" w:hAnsi="AcadNusx"/>
        </w:rPr>
      </w:pPr>
    </w:p>
    <w:p w14:paraId="13334036" w14:textId="76B68831" w:rsidR="00EA3205" w:rsidRPr="00B05F62" w:rsidRDefault="00ED05BF" w:rsidP="006B2E4A">
      <w:pPr>
        <w:pStyle w:val="Heading4"/>
      </w:pPr>
      <w:r>
        <w:rPr>
          <w:rFonts w:ascii="Sylfaen" w:hAnsi="Sylfaen"/>
        </w:rPr>
        <w:t xml:space="preserve">4.9.3.4  ამერიკული </w:t>
      </w:r>
      <w:r w:rsidR="00EA3205" w:rsidRPr="00B05F62">
        <w:t>(</w:t>
      </w:r>
      <w:r w:rsidR="00EA3205" w:rsidRPr="006B2E4A">
        <w:rPr>
          <w:rFonts w:ascii="Arial" w:hAnsi="Arial" w:cs="Arial"/>
        </w:rPr>
        <w:t>AASHTO</w:t>
      </w:r>
      <w:r w:rsidR="00EA3205" w:rsidRPr="00B05F62">
        <w:t xml:space="preserve">) </w:t>
      </w:r>
      <w:r>
        <w:rPr>
          <w:rFonts w:ascii="Sylfaen" w:hAnsi="Sylfaen"/>
        </w:rPr>
        <w:t>და გერმანული</w:t>
      </w:r>
      <w:r w:rsidR="00EA3205" w:rsidRPr="00B05F62">
        <w:t xml:space="preserve"> (</w:t>
      </w:r>
      <w:r w:rsidR="00EA3205" w:rsidRPr="006B2E4A">
        <w:rPr>
          <w:rFonts w:ascii="Arial" w:hAnsi="Arial" w:cs="Arial"/>
        </w:rPr>
        <w:t>RStO</w:t>
      </w:r>
      <w:r w:rsidR="00EA3205" w:rsidRPr="00B05F62">
        <w:t>)</w:t>
      </w:r>
      <w:r>
        <w:rPr>
          <w:rFonts w:ascii="Sylfaen" w:hAnsi="Sylfaen"/>
        </w:rPr>
        <w:t xml:space="preserve"> პროექტირების ნორმების შესაბამისად გაანგარიშებული საგზაო სამოსის აგებულებების შედარება</w:t>
      </w:r>
    </w:p>
    <w:p w14:paraId="61ECEEE7" w14:textId="77777777" w:rsidR="00ED05BF" w:rsidRPr="00ED05BF" w:rsidRDefault="00ED05BF" w:rsidP="00ED05BF">
      <w:pPr>
        <w:spacing w:before="120" w:after="120"/>
        <w:rPr>
          <w:rFonts w:ascii="AcadNusx" w:hAnsi="AcadNusx"/>
          <w:lang w:val="ka-GE"/>
        </w:rPr>
      </w:pPr>
      <w:r>
        <w:rPr>
          <w:rFonts w:ascii="Sylfaen" w:hAnsi="Sylfaen"/>
          <w:lang w:val="ka-GE"/>
        </w:rPr>
        <w:t xml:space="preserve">ამერიკული </w:t>
      </w:r>
      <w:r w:rsidR="00EA3205" w:rsidRPr="006B2E4A">
        <w:rPr>
          <w:rFonts w:ascii="AcadNusx" w:hAnsi="AcadNusx"/>
          <w:lang w:val="ka-GE"/>
        </w:rPr>
        <w:t>(</w:t>
      </w:r>
      <w:r w:rsidR="00EA3205" w:rsidRPr="006B2E4A">
        <w:rPr>
          <w:rFonts w:cs="Arial"/>
          <w:lang w:val="ka-GE"/>
        </w:rPr>
        <w:t>AASHTO</w:t>
      </w:r>
      <w:r w:rsidR="00EA3205" w:rsidRPr="006B2E4A">
        <w:rPr>
          <w:rFonts w:ascii="AcadNusx" w:hAnsi="AcadNusx"/>
          <w:lang w:val="ka-GE"/>
        </w:rPr>
        <w:t>-</w:t>
      </w:r>
      <w:r>
        <w:rPr>
          <w:rFonts w:ascii="Sylfaen" w:hAnsi="Sylfaen"/>
          <w:lang w:val="ka-GE"/>
        </w:rPr>
        <w:t>ს პროექტირების მეთოდი</w:t>
      </w:r>
      <w:r w:rsidR="00EA3205" w:rsidRPr="006B2E4A">
        <w:rPr>
          <w:rFonts w:ascii="AcadNusx" w:hAnsi="AcadNusx"/>
          <w:lang w:val="ka-GE"/>
        </w:rPr>
        <w:t>)</w:t>
      </w:r>
      <w:r>
        <w:rPr>
          <w:rFonts w:ascii="Sylfaen" w:hAnsi="Sylfaen"/>
          <w:lang w:val="ka-GE"/>
        </w:rPr>
        <w:t xml:space="preserve"> და გერმანული</w:t>
      </w:r>
      <w:r w:rsidR="00EA3205" w:rsidRPr="006B2E4A">
        <w:rPr>
          <w:rFonts w:ascii="AcadNusx" w:hAnsi="AcadNusx"/>
          <w:lang w:val="ka-GE"/>
        </w:rPr>
        <w:t xml:space="preserve"> (</w:t>
      </w:r>
      <w:r w:rsidR="00EA3205" w:rsidRPr="006B2E4A">
        <w:rPr>
          <w:rFonts w:cs="Arial"/>
          <w:lang w:val="ka-GE"/>
        </w:rPr>
        <w:t>RStO</w:t>
      </w:r>
      <w:r w:rsidR="00EA3205" w:rsidRPr="006B2E4A">
        <w:rPr>
          <w:rFonts w:ascii="AcadNusx" w:hAnsi="AcadNusx"/>
          <w:lang w:val="ka-GE"/>
        </w:rPr>
        <w:t xml:space="preserve"> </w:t>
      </w:r>
      <w:r w:rsidRPr="00ED05BF">
        <w:rPr>
          <w:rFonts w:ascii="AcadNusx" w:hAnsi="AcadNusx"/>
          <w:lang w:val="ka-GE"/>
        </w:rPr>
        <w:t xml:space="preserve">_ </w:t>
      </w:r>
      <w:r w:rsidRPr="00ED05BF">
        <w:rPr>
          <w:rFonts w:ascii="Sylfaen" w:hAnsi="Sylfaen" w:cs="Sylfaen"/>
          <w:lang w:val="ka-GE"/>
        </w:rPr>
        <w:t>საგზაო</w:t>
      </w:r>
      <w:r w:rsidRPr="00ED05BF">
        <w:rPr>
          <w:rFonts w:ascii="AcadNusx" w:hAnsi="AcadNusx"/>
          <w:lang w:val="ka-GE"/>
        </w:rPr>
        <w:t xml:space="preserve"> </w:t>
      </w:r>
      <w:r w:rsidRPr="00ED05BF">
        <w:rPr>
          <w:rFonts w:ascii="Sylfaen" w:hAnsi="Sylfaen" w:cs="Sylfaen"/>
          <w:lang w:val="ka-GE"/>
        </w:rPr>
        <w:t>სამოსების</w:t>
      </w:r>
      <w:r w:rsidRPr="00ED05BF">
        <w:rPr>
          <w:rFonts w:ascii="AcadNusx" w:hAnsi="AcadNusx"/>
          <w:lang w:val="ka-GE"/>
        </w:rPr>
        <w:t xml:space="preserve"> </w:t>
      </w:r>
      <w:r w:rsidRPr="00ED05BF">
        <w:rPr>
          <w:rFonts w:ascii="Sylfaen" w:hAnsi="Sylfaen" w:cs="Sylfaen"/>
          <w:lang w:val="ka-GE"/>
        </w:rPr>
        <w:t>პროექტირების</w:t>
      </w:r>
      <w:r w:rsidRPr="00ED05BF">
        <w:rPr>
          <w:rFonts w:ascii="AcadNusx" w:hAnsi="AcadNusx"/>
          <w:lang w:val="ka-GE"/>
        </w:rPr>
        <w:t xml:space="preserve"> </w:t>
      </w:r>
      <w:r w:rsidRPr="00ED05BF">
        <w:rPr>
          <w:rFonts w:ascii="Sylfaen" w:hAnsi="Sylfaen" w:cs="Sylfaen"/>
          <w:lang w:val="ka-GE"/>
        </w:rPr>
        <w:t>ინსტრუქციები</w:t>
      </w:r>
      <w:r w:rsidRPr="00ED05BF">
        <w:rPr>
          <w:rFonts w:ascii="AcadNusx" w:hAnsi="AcadNusx"/>
          <w:lang w:val="ka-GE"/>
        </w:rPr>
        <w:t xml:space="preserve">) </w:t>
      </w:r>
      <w:r w:rsidRPr="00ED05BF">
        <w:rPr>
          <w:rFonts w:ascii="Sylfaen" w:hAnsi="Sylfaen" w:cs="Sylfaen"/>
          <w:lang w:val="ka-GE"/>
        </w:rPr>
        <w:t>ნორმების</w:t>
      </w:r>
      <w:r w:rsidRPr="00ED05BF">
        <w:rPr>
          <w:rFonts w:ascii="AcadNusx" w:hAnsi="AcadNusx"/>
          <w:lang w:val="ka-GE"/>
        </w:rPr>
        <w:t xml:space="preserve"> </w:t>
      </w:r>
      <w:r w:rsidRPr="00ED05BF">
        <w:rPr>
          <w:rFonts w:ascii="Sylfaen" w:hAnsi="Sylfaen" w:cs="Sylfaen"/>
          <w:lang w:val="ka-GE"/>
        </w:rPr>
        <w:t>შესაბამისად</w:t>
      </w:r>
      <w:r w:rsidRPr="00ED05BF">
        <w:rPr>
          <w:rFonts w:ascii="AcadNusx" w:hAnsi="AcadNusx"/>
          <w:lang w:val="ka-GE"/>
        </w:rPr>
        <w:t xml:space="preserve"> </w:t>
      </w:r>
      <w:r w:rsidRPr="00ED05BF">
        <w:rPr>
          <w:rFonts w:ascii="Sylfaen" w:hAnsi="Sylfaen" w:cs="Sylfaen"/>
          <w:lang w:val="ka-GE"/>
        </w:rPr>
        <w:t>გაანგარიშებული</w:t>
      </w:r>
      <w:r w:rsidRPr="00ED05BF">
        <w:rPr>
          <w:rFonts w:ascii="AcadNusx" w:hAnsi="AcadNusx"/>
          <w:lang w:val="ka-GE"/>
        </w:rPr>
        <w:t xml:space="preserve"> </w:t>
      </w:r>
      <w:r w:rsidRPr="00ED05BF">
        <w:rPr>
          <w:rFonts w:ascii="Sylfaen" w:hAnsi="Sylfaen" w:cs="Sylfaen"/>
          <w:lang w:val="ka-GE"/>
        </w:rPr>
        <w:t>საგზაო</w:t>
      </w:r>
      <w:r w:rsidRPr="00ED05BF">
        <w:rPr>
          <w:rFonts w:ascii="AcadNusx" w:hAnsi="AcadNusx"/>
          <w:lang w:val="ka-GE"/>
        </w:rPr>
        <w:t xml:space="preserve"> </w:t>
      </w:r>
      <w:r w:rsidRPr="00ED05BF">
        <w:rPr>
          <w:rFonts w:ascii="Sylfaen" w:hAnsi="Sylfaen" w:cs="Sylfaen"/>
          <w:lang w:val="ka-GE"/>
        </w:rPr>
        <w:t>სამოსების</w:t>
      </w:r>
      <w:r w:rsidRPr="00ED05BF">
        <w:rPr>
          <w:rFonts w:ascii="AcadNusx" w:hAnsi="AcadNusx"/>
          <w:lang w:val="ka-GE"/>
        </w:rPr>
        <w:t xml:space="preserve"> </w:t>
      </w:r>
      <w:r w:rsidRPr="00ED05BF">
        <w:rPr>
          <w:rFonts w:ascii="Sylfaen" w:hAnsi="Sylfaen" w:cs="Sylfaen"/>
          <w:lang w:val="ka-GE"/>
        </w:rPr>
        <w:t>აგებულებების</w:t>
      </w:r>
      <w:r w:rsidRPr="00ED05BF">
        <w:rPr>
          <w:rFonts w:ascii="AcadNusx" w:hAnsi="AcadNusx"/>
          <w:lang w:val="ka-GE"/>
        </w:rPr>
        <w:t xml:space="preserve"> </w:t>
      </w:r>
      <w:r w:rsidRPr="00ED05BF">
        <w:rPr>
          <w:rFonts w:ascii="Sylfaen" w:hAnsi="Sylfaen" w:cs="Sylfaen"/>
          <w:lang w:val="ka-GE"/>
        </w:rPr>
        <w:t>ურთიერთშედარება</w:t>
      </w:r>
      <w:r w:rsidRPr="00ED05BF">
        <w:rPr>
          <w:rFonts w:ascii="AcadNusx" w:hAnsi="AcadNusx"/>
          <w:lang w:val="ka-GE"/>
        </w:rPr>
        <w:t xml:space="preserve"> </w:t>
      </w:r>
      <w:r w:rsidRPr="00ED05BF">
        <w:rPr>
          <w:rFonts w:ascii="Sylfaen" w:hAnsi="Sylfaen" w:cs="Sylfaen"/>
          <w:lang w:val="ka-GE"/>
        </w:rPr>
        <w:t>უჩვენებს</w:t>
      </w:r>
      <w:r w:rsidRPr="00ED05BF">
        <w:rPr>
          <w:rFonts w:ascii="AcadNusx" w:hAnsi="AcadNusx"/>
          <w:lang w:val="ka-GE"/>
        </w:rPr>
        <w:t xml:space="preserve">, </w:t>
      </w:r>
      <w:r w:rsidRPr="00ED05BF">
        <w:rPr>
          <w:rFonts w:ascii="Sylfaen" w:hAnsi="Sylfaen" w:cs="Sylfaen"/>
          <w:lang w:val="ka-GE"/>
        </w:rPr>
        <w:t>რომ</w:t>
      </w:r>
      <w:r w:rsidRPr="00ED05BF">
        <w:rPr>
          <w:rFonts w:ascii="AcadNusx" w:hAnsi="AcadNusx"/>
          <w:lang w:val="ka-GE"/>
        </w:rPr>
        <w:t xml:space="preserve"> </w:t>
      </w:r>
      <w:r w:rsidRPr="00ED05BF">
        <w:rPr>
          <w:rFonts w:ascii="Sylfaen" w:hAnsi="Sylfaen" w:cs="Sylfaen"/>
          <w:lang w:val="ka-GE"/>
        </w:rPr>
        <w:t>ასფალტის</w:t>
      </w:r>
      <w:r w:rsidRPr="00ED05BF">
        <w:rPr>
          <w:rFonts w:ascii="AcadNusx" w:hAnsi="AcadNusx"/>
          <w:lang w:val="ka-GE"/>
        </w:rPr>
        <w:t xml:space="preserve"> </w:t>
      </w:r>
      <w:r w:rsidRPr="00ED05BF">
        <w:rPr>
          <w:rFonts w:ascii="Sylfaen" w:hAnsi="Sylfaen" w:cs="Sylfaen"/>
          <w:lang w:val="ka-GE"/>
        </w:rPr>
        <w:t>საფარის</w:t>
      </w:r>
      <w:r w:rsidRPr="00ED05BF">
        <w:rPr>
          <w:rFonts w:ascii="AcadNusx" w:hAnsi="AcadNusx"/>
          <w:lang w:val="ka-GE"/>
        </w:rPr>
        <w:t xml:space="preserve"> </w:t>
      </w:r>
      <w:r w:rsidRPr="00ED05BF">
        <w:rPr>
          <w:rFonts w:ascii="Sylfaen" w:hAnsi="Sylfaen" w:cs="Sylfaen"/>
          <w:lang w:val="ka-GE"/>
        </w:rPr>
        <w:t>სისქეები</w:t>
      </w:r>
      <w:r w:rsidRPr="00ED05BF">
        <w:rPr>
          <w:rFonts w:ascii="AcadNusx" w:hAnsi="AcadNusx"/>
          <w:lang w:val="ka-GE"/>
        </w:rPr>
        <w:t xml:space="preserve"> </w:t>
      </w:r>
      <w:r w:rsidRPr="00ED05BF">
        <w:rPr>
          <w:rFonts w:ascii="Sylfaen" w:hAnsi="Sylfaen" w:cs="Sylfaen"/>
          <w:lang w:val="ka-GE"/>
        </w:rPr>
        <w:t>ერთმანეთის</w:t>
      </w:r>
      <w:r w:rsidRPr="00ED05BF">
        <w:rPr>
          <w:rFonts w:ascii="AcadNusx" w:hAnsi="AcadNusx"/>
          <w:lang w:val="ka-GE"/>
        </w:rPr>
        <w:t xml:space="preserve"> </w:t>
      </w:r>
      <w:r w:rsidRPr="00ED05BF">
        <w:rPr>
          <w:rFonts w:ascii="Sylfaen" w:hAnsi="Sylfaen" w:cs="Sylfaen"/>
          <w:lang w:val="ka-GE"/>
        </w:rPr>
        <w:t>მსგავსია</w:t>
      </w:r>
      <w:r w:rsidRPr="00ED05BF">
        <w:rPr>
          <w:rFonts w:ascii="AcadNusx" w:hAnsi="AcadNusx"/>
          <w:lang w:val="ka-GE"/>
        </w:rPr>
        <w:t xml:space="preserve">, </w:t>
      </w:r>
      <w:r w:rsidRPr="00ED05BF">
        <w:rPr>
          <w:rFonts w:ascii="Sylfaen" w:hAnsi="Sylfaen" w:cs="Sylfaen"/>
          <w:lang w:val="ka-GE"/>
        </w:rPr>
        <w:t>ხოლო</w:t>
      </w:r>
      <w:r w:rsidRPr="00ED05BF">
        <w:rPr>
          <w:rFonts w:ascii="AcadNusx" w:hAnsi="AcadNusx"/>
          <w:lang w:val="ka-GE"/>
        </w:rPr>
        <w:t xml:space="preserve"> </w:t>
      </w:r>
      <w:r w:rsidRPr="00ED05BF">
        <w:rPr>
          <w:rFonts w:ascii="Sylfaen" w:hAnsi="Sylfaen" w:cs="Sylfaen"/>
          <w:lang w:val="ka-GE"/>
        </w:rPr>
        <w:t>ბეტონის</w:t>
      </w:r>
      <w:r w:rsidRPr="00ED05BF">
        <w:rPr>
          <w:rFonts w:ascii="AcadNusx" w:hAnsi="AcadNusx"/>
          <w:lang w:val="ka-GE"/>
        </w:rPr>
        <w:t xml:space="preserve"> </w:t>
      </w:r>
      <w:r w:rsidRPr="00ED05BF">
        <w:rPr>
          <w:rFonts w:ascii="Sylfaen" w:hAnsi="Sylfaen" w:cs="Sylfaen"/>
          <w:lang w:val="ka-GE"/>
        </w:rPr>
        <w:t>ზედაპირული</w:t>
      </w:r>
      <w:r w:rsidRPr="00ED05BF">
        <w:rPr>
          <w:rFonts w:ascii="AcadNusx" w:hAnsi="AcadNusx"/>
          <w:lang w:val="ka-GE"/>
        </w:rPr>
        <w:t xml:space="preserve"> </w:t>
      </w:r>
      <w:r w:rsidRPr="00ED05BF">
        <w:rPr>
          <w:rFonts w:ascii="Sylfaen" w:hAnsi="Sylfaen" w:cs="Sylfaen"/>
          <w:lang w:val="ka-GE"/>
        </w:rPr>
        <w:t>ფენების</w:t>
      </w:r>
      <w:r w:rsidRPr="00ED05BF">
        <w:rPr>
          <w:rFonts w:ascii="AcadNusx" w:hAnsi="AcadNusx"/>
          <w:lang w:val="ka-GE"/>
        </w:rPr>
        <w:t xml:space="preserve"> </w:t>
      </w:r>
      <w:r w:rsidRPr="00ED05BF">
        <w:rPr>
          <w:rFonts w:ascii="Sylfaen" w:hAnsi="Sylfaen" w:cs="Sylfaen"/>
          <w:lang w:val="ka-GE"/>
        </w:rPr>
        <w:t>სისქეები</w:t>
      </w:r>
      <w:r w:rsidRPr="00ED05BF">
        <w:rPr>
          <w:rFonts w:ascii="AcadNusx" w:hAnsi="AcadNusx"/>
          <w:lang w:val="ka-GE"/>
        </w:rPr>
        <w:t xml:space="preserve"> </w:t>
      </w:r>
      <w:r w:rsidRPr="00ED05BF">
        <w:rPr>
          <w:rFonts w:ascii="Sylfaen" w:hAnsi="Sylfaen" w:cs="Sylfaen"/>
          <w:lang w:val="ka-GE"/>
        </w:rPr>
        <w:t>ერთმანეთისგან</w:t>
      </w:r>
      <w:r w:rsidRPr="00ED05BF">
        <w:rPr>
          <w:rFonts w:ascii="AcadNusx" w:hAnsi="AcadNusx"/>
          <w:lang w:val="ka-GE"/>
        </w:rPr>
        <w:t xml:space="preserve"> </w:t>
      </w:r>
      <w:r w:rsidRPr="00ED05BF">
        <w:rPr>
          <w:rFonts w:ascii="Sylfaen" w:hAnsi="Sylfaen" w:cs="Sylfaen"/>
          <w:lang w:val="ka-GE"/>
        </w:rPr>
        <w:t>მხოლოდ</w:t>
      </w:r>
      <w:r w:rsidRPr="00ED05BF">
        <w:rPr>
          <w:rFonts w:ascii="AcadNusx" w:hAnsi="AcadNusx"/>
          <w:lang w:val="ka-GE"/>
        </w:rPr>
        <w:t xml:space="preserve"> </w:t>
      </w:r>
      <w:r w:rsidRPr="00ED05BF">
        <w:rPr>
          <w:rFonts w:ascii="Sylfaen" w:hAnsi="Sylfaen" w:cs="Sylfaen"/>
          <w:lang w:val="ka-GE"/>
        </w:rPr>
        <w:t>მინიმალურად</w:t>
      </w:r>
      <w:r w:rsidRPr="00ED05BF">
        <w:rPr>
          <w:rFonts w:ascii="AcadNusx" w:hAnsi="AcadNusx"/>
          <w:lang w:val="ka-GE"/>
        </w:rPr>
        <w:t xml:space="preserve"> </w:t>
      </w:r>
      <w:r w:rsidRPr="00ED05BF">
        <w:rPr>
          <w:rFonts w:ascii="Sylfaen" w:hAnsi="Sylfaen" w:cs="Sylfaen"/>
          <w:lang w:val="ka-GE"/>
        </w:rPr>
        <w:t>განსხვავდება</w:t>
      </w:r>
      <w:r w:rsidRPr="00ED05BF">
        <w:rPr>
          <w:rFonts w:ascii="AcadNusx" w:hAnsi="AcadNusx"/>
          <w:lang w:val="ka-GE"/>
        </w:rPr>
        <w:t>.</w:t>
      </w:r>
    </w:p>
    <w:p w14:paraId="59960E59" w14:textId="21216858" w:rsidR="00ED05BF" w:rsidRPr="00ED05BF" w:rsidRDefault="00ED05BF" w:rsidP="00ED05BF">
      <w:pPr>
        <w:spacing w:before="120" w:after="120"/>
        <w:rPr>
          <w:rFonts w:ascii="AcadNusx" w:hAnsi="AcadNusx"/>
          <w:lang w:val="ka-GE"/>
        </w:rPr>
      </w:pPr>
      <w:r w:rsidRPr="00ED05BF">
        <w:rPr>
          <w:rFonts w:ascii="Sylfaen" w:hAnsi="Sylfaen" w:cs="Sylfaen"/>
          <w:lang w:val="ka-GE"/>
        </w:rPr>
        <w:t>ყველა</w:t>
      </w:r>
      <w:r w:rsidRPr="00ED05BF">
        <w:rPr>
          <w:rFonts w:ascii="AcadNusx" w:hAnsi="AcadNusx"/>
          <w:lang w:val="ka-GE"/>
        </w:rPr>
        <w:t xml:space="preserve"> </w:t>
      </w:r>
      <w:r w:rsidRPr="00ED05BF">
        <w:rPr>
          <w:rFonts w:ascii="Sylfaen" w:hAnsi="Sylfaen" w:cs="Sylfaen"/>
          <w:lang w:val="ka-GE"/>
        </w:rPr>
        <w:t>შემთხვევაში</w:t>
      </w:r>
      <w:r w:rsidRPr="00ED05BF">
        <w:rPr>
          <w:rFonts w:ascii="AcadNusx" w:hAnsi="AcadNusx"/>
          <w:lang w:val="ka-GE"/>
        </w:rPr>
        <w:t xml:space="preserve">, </w:t>
      </w:r>
      <w:r w:rsidRPr="00ED05BF">
        <w:rPr>
          <w:rFonts w:ascii="Sylfaen" w:hAnsi="Sylfaen" w:cs="Sylfaen"/>
          <w:lang w:val="ka-GE"/>
        </w:rPr>
        <w:t>გერმანული</w:t>
      </w:r>
      <w:r w:rsidRPr="00ED05BF">
        <w:rPr>
          <w:rFonts w:ascii="AcadNusx" w:hAnsi="AcadNusx"/>
          <w:lang w:val="ka-GE"/>
        </w:rPr>
        <w:t xml:space="preserve"> </w:t>
      </w:r>
      <w:r w:rsidRPr="006B2E4A">
        <w:rPr>
          <w:rFonts w:cs="Arial"/>
          <w:lang w:val="ka-GE"/>
        </w:rPr>
        <w:t>RStO</w:t>
      </w:r>
      <w:r w:rsidRPr="00ED05BF">
        <w:rPr>
          <w:rFonts w:ascii="AcadNusx" w:hAnsi="AcadNusx"/>
          <w:lang w:val="ka-GE"/>
        </w:rPr>
        <w:t>-</w:t>
      </w:r>
      <w:r w:rsidRPr="00ED05BF">
        <w:rPr>
          <w:rFonts w:ascii="Sylfaen" w:hAnsi="Sylfaen" w:cs="Sylfaen"/>
          <w:lang w:val="ka-GE"/>
        </w:rPr>
        <w:t>ს</w:t>
      </w:r>
      <w:r w:rsidRPr="00ED05BF">
        <w:rPr>
          <w:rFonts w:ascii="AcadNusx" w:hAnsi="AcadNusx"/>
          <w:lang w:val="ka-GE"/>
        </w:rPr>
        <w:t xml:space="preserve"> </w:t>
      </w:r>
      <w:r w:rsidRPr="00ED05BF">
        <w:rPr>
          <w:rFonts w:ascii="Sylfaen" w:hAnsi="Sylfaen" w:cs="Sylfaen"/>
          <w:lang w:val="ka-GE"/>
        </w:rPr>
        <w:t>შესაბამისად</w:t>
      </w:r>
      <w:r w:rsidRPr="00ED05BF">
        <w:rPr>
          <w:rFonts w:ascii="AcadNusx" w:hAnsi="AcadNusx"/>
          <w:lang w:val="ka-GE"/>
        </w:rPr>
        <w:t xml:space="preserve"> </w:t>
      </w:r>
      <w:r w:rsidRPr="00ED05BF">
        <w:rPr>
          <w:rFonts w:ascii="Sylfaen" w:hAnsi="Sylfaen" w:cs="Sylfaen"/>
          <w:lang w:val="ka-GE"/>
        </w:rPr>
        <w:t>გაანგარიშებული</w:t>
      </w:r>
      <w:r w:rsidRPr="00ED05BF">
        <w:rPr>
          <w:rFonts w:ascii="AcadNusx" w:hAnsi="AcadNusx"/>
          <w:lang w:val="ka-GE"/>
        </w:rPr>
        <w:t xml:space="preserve"> </w:t>
      </w:r>
      <w:r w:rsidRPr="00ED05BF">
        <w:rPr>
          <w:rFonts w:ascii="Sylfaen" w:hAnsi="Sylfaen" w:cs="Sylfaen"/>
          <w:lang w:val="ka-GE"/>
        </w:rPr>
        <w:t>საგზაო</w:t>
      </w:r>
      <w:r w:rsidRPr="00ED05BF">
        <w:rPr>
          <w:rFonts w:ascii="AcadNusx" w:hAnsi="AcadNusx"/>
          <w:lang w:val="ka-GE"/>
        </w:rPr>
        <w:t xml:space="preserve"> </w:t>
      </w:r>
      <w:r w:rsidRPr="00ED05BF">
        <w:rPr>
          <w:rFonts w:ascii="Sylfaen" w:hAnsi="Sylfaen" w:cs="Sylfaen"/>
          <w:lang w:val="ka-GE"/>
        </w:rPr>
        <w:t>სამოსი</w:t>
      </w:r>
      <w:r w:rsidRPr="00ED05BF">
        <w:rPr>
          <w:rFonts w:ascii="AcadNusx" w:hAnsi="AcadNusx"/>
          <w:lang w:val="ka-GE"/>
        </w:rPr>
        <w:t xml:space="preserve"> </w:t>
      </w:r>
      <w:r w:rsidRPr="00ED05BF">
        <w:rPr>
          <w:rFonts w:ascii="Sylfaen" w:hAnsi="Sylfaen" w:cs="Sylfaen"/>
          <w:lang w:val="ka-GE"/>
        </w:rPr>
        <w:t>უფრო</w:t>
      </w:r>
      <w:r w:rsidRPr="00ED05BF">
        <w:rPr>
          <w:rFonts w:ascii="AcadNusx" w:hAnsi="AcadNusx"/>
          <w:lang w:val="ka-GE"/>
        </w:rPr>
        <w:t xml:space="preserve"> </w:t>
      </w:r>
      <w:r w:rsidRPr="00ED05BF">
        <w:rPr>
          <w:rFonts w:ascii="Sylfaen" w:hAnsi="Sylfaen" w:cs="Sylfaen"/>
          <w:lang w:val="ka-GE"/>
        </w:rPr>
        <w:t>მეტი</w:t>
      </w:r>
      <w:r w:rsidRPr="00ED05BF">
        <w:rPr>
          <w:rFonts w:ascii="AcadNusx" w:hAnsi="AcadNusx"/>
          <w:lang w:val="ka-GE"/>
        </w:rPr>
        <w:t xml:space="preserve"> </w:t>
      </w:r>
      <w:r w:rsidRPr="00ED05BF">
        <w:rPr>
          <w:rFonts w:ascii="Sylfaen" w:hAnsi="Sylfaen" w:cs="Sylfaen"/>
          <w:lang w:val="ka-GE"/>
        </w:rPr>
        <w:t>სისქისაა</w:t>
      </w:r>
      <w:r w:rsidRPr="00ED05BF">
        <w:rPr>
          <w:rFonts w:ascii="AcadNusx" w:hAnsi="AcadNusx"/>
          <w:lang w:val="ka-GE"/>
        </w:rPr>
        <w:t xml:space="preserve"> </w:t>
      </w:r>
      <w:r w:rsidRPr="00ED05BF">
        <w:rPr>
          <w:rFonts w:ascii="Sylfaen" w:hAnsi="Sylfaen" w:cs="Sylfaen"/>
          <w:lang w:val="ka-GE"/>
        </w:rPr>
        <w:t>ააშჰთჴ</w:t>
      </w:r>
      <w:r w:rsidRPr="00ED05BF">
        <w:rPr>
          <w:rFonts w:ascii="AcadNusx" w:hAnsi="AcadNusx"/>
          <w:lang w:val="ka-GE"/>
        </w:rPr>
        <w:t>-</w:t>
      </w:r>
      <w:r w:rsidRPr="00ED05BF">
        <w:rPr>
          <w:rFonts w:ascii="Sylfaen" w:hAnsi="Sylfaen" w:cs="Sylfaen"/>
          <w:lang w:val="ka-GE"/>
        </w:rPr>
        <w:t>ს</w:t>
      </w:r>
      <w:r w:rsidRPr="00ED05BF">
        <w:rPr>
          <w:rFonts w:ascii="AcadNusx" w:hAnsi="AcadNusx"/>
          <w:lang w:val="ka-GE"/>
        </w:rPr>
        <w:t xml:space="preserve"> </w:t>
      </w:r>
      <w:r w:rsidRPr="00ED05BF">
        <w:rPr>
          <w:rFonts w:ascii="Sylfaen" w:hAnsi="Sylfaen" w:cs="Sylfaen"/>
          <w:lang w:val="ka-GE"/>
        </w:rPr>
        <w:t>შესაბამისი</w:t>
      </w:r>
      <w:r w:rsidRPr="00ED05BF">
        <w:rPr>
          <w:rFonts w:ascii="AcadNusx" w:hAnsi="AcadNusx"/>
          <w:lang w:val="ka-GE"/>
        </w:rPr>
        <w:t xml:space="preserve"> </w:t>
      </w:r>
      <w:r w:rsidRPr="00ED05BF">
        <w:rPr>
          <w:rFonts w:ascii="Sylfaen" w:hAnsi="Sylfaen" w:cs="Sylfaen"/>
          <w:lang w:val="ka-GE"/>
        </w:rPr>
        <w:t>საგზაო</w:t>
      </w:r>
      <w:r w:rsidRPr="00ED05BF">
        <w:rPr>
          <w:rFonts w:ascii="AcadNusx" w:hAnsi="AcadNusx"/>
          <w:lang w:val="ka-GE"/>
        </w:rPr>
        <w:t xml:space="preserve"> </w:t>
      </w:r>
      <w:r w:rsidRPr="00ED05BF">
        <w:rPr>
          <w:rFonts w:ascii="Sylfaen" w:hAnsi="Sylfaen" w:cs="Sylfaen"/>
          <w:lang w:val="ka-GE"/>
        </w:rPr>
        <w:t>სამოსის</w:t>
      </w:r>
      <w:r w:rsidRPr="00ED05BF">
        <w:rPr>
          <w:rFonts w:ascii="AcadNusx" w:hAnsi="AcadNusx"/>
          <w:lang w:val="ka-GE"/>
        </w:rPr>
        <w:t xml:space="preserve"> </w:t>
      </w:r>
      <w:r w:rsidRPr="00ED05BF">
        <w:rPr>
          <w:rFonts w:ascii="Sylfaen" w:hAnsi="Sylfaen" w:cs="Sylfaen"/>
          <w:lang w:val="ka-GE"/>
        </w:rPr>
        <w:t>სისქესთან</w:t>
      </w:r>
      <w:r w:rsidRPr="00ED05BF">
        <w:rPr>
          <w:rFonts w:ascii="AcadNusx" w:hAnsi="AcadNusx"/>
          <w:lang w:val="ka-GE"/>
        </w:rPr>
        <w:t xml:space="preserve"> </w:t>
      </w:r>
      <w:r w:rsidRPr="00ED05BF">
        <w:rPr>
          <w:rFonts w:ascii="Sylfaen" w:hAnsi="Sylfaen" w:cs="Sylfaen"/>
          <w:lang w:val="ka-GE"/>
        </w:rPr>
        <w:t>შედარებით</w:t>
      </w:r>
      <w:r w:rsidRPr="00ED05BF">
        <w:rPr>
          <w:rFonts w:ascii="AcadNusx" w:hAnsi="AcadNusx"/>
          <w:lang w:val="ka-GE"/>
        </w:rPr>
        <w:t xml:space="preserve">. </w:t>
      </w:r>
      <w:r w:rsidRPr="00ED05BF">
        <w:rPr>
          <w:rFonts w:ascii="Sylfaen" w:hAnsi="Sylfaen" w:cs="Sylfaen"/>
          <w:lang w:val="ka-GE"/>
        </w:rPr>
        <w:t>ასეთი</w:t>
      </w:r>
      <w:r w:rsidRPr="00ED05BF">
        <w:rPr>
          <w:rFonts w:ascii="AcadNusx" w:hAnsi="AcadNusx"/>
          <w:lang w:val="ka-GE"/>
        </w:rPr>
        <w:t xml:space="preserve"> </w:t>
      </w:r>
      <w:r w:rsidRPr="00ED05BF">
        <w:rPr>
          <w:rFonts w:ascii="Sylfaen" w:hAnsi="Sylfaen" w:cs="Sylfaen"/>
          <w:lang w:val="ka-GE"/>
        </w:rPr>
        <w:t>განსხვავება</w:t>
      </w:r>
      <w:r w:rsidRPr="00ED05BF">
        <w:rPr>
          <w:rFonts w:ascii="AcadNusx" w:hAnsi="AcadNusx"/>
          <w:lang w:val="ka-GE"/>
        </w:rPr>
        <w:t xml:space="preserve"> </w:t>
      </w:r>
      <w:r w:rsidRPr="00ED05BF">
        <w:rPr>
          <w:rFonts w:ascii="Sylfaen" w:hAnsi="Sylfaen" w:cs="Sylfaen"/>
          <w:lang w:val="ka-GE"/>
        </w:rPr>
        <w:t>ნაწილობრივ</w:t>
      </w:r>
      <w:r w:rsidRPr="00ED05BF">
        <w:rPr>
          <w:rFonts w:ascii="AcadNusx" w:hAnsi="AcadNusx"/>
          <w:lang w:val="ka-GE"/>
        </w:rPr>
        <w:t xml:space="preserve"> </w:t>
      </w:r>
      <w:r w:rsidRPr="00ED05BF">
        <w:rPr>
          <w:rFonts w:ascii="Sylfaen" w:hAnsi="Sylfaen" w:cs="Sylfaen"/>
          <w:lang w:val="ka-GE"/>
        </w:rPr>
        <w:t>განპირობებულია</w:t>
      </w:r>
      <w:r w:rsidRPr="00ED05BF">
        <w:rPr>
          <w:rFonts w:ascii="AcadNusx" w:hAnsi="AcadNusx"/>
          <w:lang w:val="ka-GE"/>
        </w:rPr>
        <w:t xml:space="preserve"> </w:t>
      </w:r>
      <w:r w:rsidRPr="00ED05BF">
        <w:rPr>
          <w:rFonts w:ascii="Sylfaen" w:hAnsi="Sylfaen" w:cs="Sylfaen"/>
          <w:lang w:val="ka-GE"/>
        </w:rPr>
        <w:t>გერმანული</w:t>
      </w:r>
      <w:r w:rsidRPr="00ED05BF">
        <w:rPr>
          <w:rFonts w:ascii="AcadNusx" w:hAnsi="AcadNusx"/>
          <w:lang w:val="ka-GE"/>
        </w:rPr>
        <w:t xml:space="preserve"> </w:t>
      </w:r>
      <w:r w:rsidRPr="00ED05BF">
        <w:rPr>
          <w:rFonts w:ascii="Sylfaen" w:hAnsi="Sylfaen" w:cs="Sylfaen"/>
          <w:lang w:val="ka-GE"/>
        </w:rPr>
        <w:t>პროექტირების</w:t>
      </w:r>
      <w:r w:rsidRPr="00ED05BF">
        <w:rPr>
          <w:rFonts w:ascii="AcadNusx" w:hAnsi="AcadNusx"/>
          <w:lang w:val="ka-GE"/>
        </w:rPr>
        <w:t xml:space="preserve"> </w:t>
      </w:r>
      <w:r w:rsidRPr="00ED05BF">
        <w:rPr>
          <w:rFonts w:ascii="Sylfaen" w:hAnsi="Sylfaen" w:cs="Sylfaen"/>
          <w:lang w:val="ka-GE"/>
        </w:rPr>
        <w:t>მეთოდის</w:t>
      </w:r>
      <w:r w:rsidRPr="00ED05BF">
        <w:rPr>
          <w:rFonts w:ascii="AcadNusx" w:hAnsi="AcadNusx"/>
          <w:lang w:val="ka-GE"/>
        </w:rPr>
        <w:t xml:space="preserve"> </w:t>
      </w:r>
      <w:r w:rsidRPr="00ED05BF">
        <w:rPr>
          <w:rFonts w:ascii="Sylfaen" w:hAnsi="Sylfaen" w:cs="Sylfaen"/>
          <w:lang w:val="ka-GE"/>
        </w:rPr>
        <w:t>მოთხოვნით</w:t>
      </w:r>
      <w:r w:rsidRPr="00ED05BF">
        <w:rPr>
          <w:rFonts w:ascii="AcadNusx" w:hAnsi="AcadNusx"/>
          <w:lang w:val="ka-GE"/>
        </w:rPr>
        <w:t xml:space="preserve">, </w:t>
      </w:r>
      <w:r w:rsidRPr="00ED05BF">
        <w:rPr>
          <w:rFonts w:ascii="Sylfaen" w:hAnsi="Sylfaen" w:cs="Sylfaen"/>
          <w:lang w:val="ka-GE"/>
        </w:rPr>
        <w:t>რომლის</w:t>
      </w:r>
      <w:r w:rsidRPr="00ED05BF">
        <w:rPr>
          <w:rFonts w:ascii="AcadNusx" w:hAnsi="AcadNusx"/>
          <w:lang w:val="ka-GE"/>
        </w:rPr>
        <w:t xml:space="preserve"> </w:t>
      </w:r>
      <w:r w:rsidRPr="00ED05BF">
        <w:rPr>
          <w:rFonts w:ascii="Sylfaen" w:hAnsi="Sylfaen" w:cs="Sylfaen"/>
          <w:lang w:val="ka-GE"/>
        </w:rPr>
        <w:t>თანახმადაც</w:t>
      </w:r>
      <w:r w:rsidRPr="00ED05BF">
        <w:rPr>
          <w:rFonts w:ascii="AcadNusx" w:hAnsi="AcadNusx"/>
          <w:lang w:val="ka-GE"/>
        </w:rPr>
        <w:t xml:space="preserve"> </w:t>
      </w:r>
      <w:r w:rsidRPr="00ED05BF">
        <w:rPr>
          <w:rFonts w:ascii="Sylfaen" w:hAnsi="Sylfaen" w:cs="Sylfaen"/>
          <w:lang w:val="ka-GE"/>
        </w:rPr>
        <w:t>გზის</w:t>
      </w:r>
      <w:r w:rsidRPr="00ED05BF">
        <w:rPr>
          <w:rFonts w:ascii="AcadNusx" w:hAnsi="AcadNusx"/>
          <w:lang w:val="ka-GE"/>
        </w:rPr>
        <w:t xml:space="preserve"> </w:t>
      </w:r>
      <w:r w:rsidRPr="00ED05BF">
        <w:rPr>
          <w:rFonts w:ascii="Sylfaen" w:hAnsi="Sylfaen" w:cs="Sylfaen"/>
          <w:lang w:val="ka-GE"/>
        </w:rPr>
        <w:t>ფორმირების</w:t>
      </w:r>
      <w:r w:rsidRPr="00ED05BF">
        <w:rPr>
          <w:rFonts w:ascii="AcadNusx" w:hAnsi="AcadNusx"/>
          <w:lang w:val="ka-GE"/>
        </w:rPr>
        <w:t xml:space="preserve"> (</w:t>
      </w:r>
      <w:r w:rsidRPr="00ED05BF">
        <w:rPr>
          <w:rFonts w:ascii="Sylfaen" w:hAnsi="Sylfaen" w:cs="Sylfaen"/>
          <w:lang w:val="ka-GE"/>
        </w:rPr>
        <w:t>მიწის</w:t>
      </w:r>
      <w:r w:rsidRPr="00ED05BF">
        <w:rPr>
          <w:rFonts w:ascii="AcadNusx" w:hAnsi="AcadNusx"/>
          <w:lang w:val="ka-GE"/>
        </w:rPr>
        <w:t xml:space="preserve"> </w:t>
      </w:r>
      <w:r w:rsidRPr="00ED05BF">
        <w:rPr>
          <w:rFonts w:ascii="Sylfaen" w:hAnsi="Sylfaen" w:cs="Sylfaen"/>
          <w:lang w:val="ka-GE"/>
        </w:rPr>
        <w:t>ვაკისის</w:t>
      </w:r>
      <w:r w:rsidRPr="00ED05BF">
        <w:rPr>
          <w:rFonts w:ascii="AcadNusx" w:hAnsi="AcadNusx"/>
          <w:lang w:val="ka-GE"/>
        </w:rPr>
        <w:t xml:space="preserve"> </w:t>
      </w:r>
      <w:r w:rsidRPr="00ED05BF">
        <w:rPr>
          <w:rFonts w:ascii="Sylfaen" w:hAnsi="Sylfaen" w:cs="Sylfaen"/>
          <w:lang w:val="ka-GE"/>
        </w:rPr>
        <w:t>ზედაპირის</w:t>
      </w:r>
      <w:r w:rsidRPr="00ED05BF">
        <w:rPr>
          <w:rFonts w:ascii="AcadNusx" w:hAnsi="AcadNusx"/>
          <w:lang w:val="ka-GE"/>
        </w:rPr>
        <w:t xml:space="preserve">) </w:t>
      </w:r>
      <w:r w:rsidRPr="00ED05BF">
        <w:rPr>
          <w:rFonts w:ascii="Sylfaen" w:hAnsi="Sylfaen" w:cs="Sylfaen"/>
          <w:lang w:val="ka-GE"/>
        </w:rPr>
        <w:t>დონეზე</w:t>
      </w:r>
      <w:r w:rsidRPr="00ED05BF">
        <w:rPr>
          <w:rFonts w:ascii="AcadNusx" w:hAnsi="AcadNusx"/>
          <w:lang w:val="ka-GE"/>
        </w:rPr>
        <w:t xml:space="preserve"> </w:t>
      </w:r>
      <w:r w:rsidRPr="00ED05BF">
        <w:rPr>
          <w:rFonts w:ascii="Sylfaen" w:hAnsi="Sylfaen" w:cs="Sylfaen"/>
          <w:lang w:val="ka-GE"/>
        </w:rPr>
        <w:t>განთავსებული</w:t>
      </w:r>
      <w:r w:rsidRPr="00ED05BF">
        <w:rPr>
          <w:rFonts w:ascii="AcadNusx" w:hAnsi="AcadNusx"/>
          <w:lang w:val="ka-GE"/>
        </w:rPr>
        <w:t xml:space="preserve"> </w:t>
      </w:r>
      <w:r w:rsidRPr="00ED05BF">
        <w:rPr>
          <w:rFonts w:ascii="Sylfaen" w:hAnsi="Sylfaen" w:cs="Sylfaen"/>
          <w:lang w:val="ka-GE"/>
        </w:rPr>
        <w:t>მასალის</w:t>
      </w:r>
      <w:r w:rsidRPr="00ED05BF">
        <w:rPr>
          <w:rFonts w:ascii="AcadNusx" w:hAnsi="AcadNusx"/>
          <w:lang w:val="ka-GE"/>
        </w:rPr>
        <w:t xml:space="preserve"> </w:t>
      </w:r>
      <w:r w:rsidRPr="00ED05BF">
        <w:rPr>
          <w:rFonts w:ascii="Sylfaen" w:hAnsi="Sylfaen" w:cs="Sylfaen"/>
          <w:lang w:val="ka-GE"/>
        </w:rPr>
        <w:t>მზიდუნარიანობა</w:t>
      </w:r>
      <w:r w:rsidRPr="00ED05BF">
        <w:rPr>
          <w:rFonts w:ascii="AcadNusx" w:hAnsi="AcadNusx"/>
          <w:lang w:val="ka-GE"/>
        </w:rPr>
        <w:t xml:space="preserve"> </w:t>
      </w:r>
      <w:r w:rsidRPr="00ED05BF">
        <w:rPr>
          <w:rFonts w:ascii="Sylfaen" w:hAnsi="Sylfaen" w:cs="Sylfaen"/>
          <w:lang w:val="ka-GE"/>
        </w:rPr>
        <w:t>უნდა</w:t>
      </w:r>
      <w:r w:rsidRPr="00ED05BF">
        <w:rPr>
          <w:rFonts w:ascii="AcadNusx" w:hAnsi="AcadNusx"/>
          <w:lang w:val="ka-GE"/>
        </w:rPr>
        <w:t xml:space="preserve"> </w:t>
      </w:r>
      <w:r w:rsidRPr="00ED05BF">
        <w:rPr>
          <w:rFonts w:ascii="Sylfaen" w:hAnsi="Sylfaen" w:cs="Sylfaen"/>
          <w:lang w:val="ka-GE"/>
        </w:rPr>
        <w:t>შეადგენდეს</w:t>
      </w:r>
      <w:r w:rsidRPr="00ED05BF">
        <w:rPr>
          <w:rFonts w:ascii="AcadNusx" w:hAnsi="AcadNusx"/>
          <w:lang w:val="ka-GE"/>
        </w:rPr>
        <w:t xml:space="preserve"> 45 </w:t>
      </w:r>
      <w:r w:rsidRPr="00ED05BF">
        <w:rPr>
          <w:rFonts w:ascii="Sylfaen" w:hAnsi="Sylfaen" w:cs="Sylfaen"/>
          <w:lang w:val="ka-GE"/>
        </w:rPr>
        <w:t>მგპა</w:t>
      </w:r>
      <w:r w:rsidRPr="00ED05BF">
        <w:rPr>
          <w:rFonts w:ascii="AcadNusx" w:hAnsi="AcadNusx"/>
          <w:lang w:val="ka-GE"/>
        </w:rPr>
        <w:t>-</w:t>
      </w:r>
      <w:r w:rsidRPr="00ED05BF">
        <w:rPr>
          <w:rFonts w:ascii="Sylfaen" w:hAnsi="Sylfaen" w:cs="Sylfaen"/>
          <w:lang w:val="ka-GE"/>
        </w:rPr>
        <w:t>ს</w:t>
      </w:r>
      <w:r w:rsidRPr="00ED05BF">
        <w:rPr>
          <w:rFonts w:ascii="AcadNusx" w:hAnsi="AcadNusx"/>
          <w:lang w:val="ka-GE"/>
        </w:rPr>
        <w:t xml:space="preserve"> </w:t>
      </w:r>
      <w:r w:rsidRPr="00ED05BF">
        <w:rPr>
          <w:rFonts w:ascii="Sylfaen" w:hAnsi="Sylfaen" w:cs="Sylfaen"/>
          <w:lang w:val="ka-GE"/>
        </w:rPr>
        <w:t>მის</w:t>
      </w:r>
      <w:r w:rsidRPr="00ED05BF">
        <w:rPr>
          <w:rFonts w:ascii="AcadNusx" w:hAnsi="AcadNusx"/>
          <w:lang w:val="ka-GE"/>
        </w:rPr>
        <w:t xml:space="preserve"> </w:t>
      </w:r>
      <w:r w:rsidRPr="00ED05BF">
        <w:rPr>
          <w:rFonts w:ascii="Sylfaen" w:hAnsi="Sylfaen" w:cs="Sylfaen"/>
          <w:lang w:val="ka-GE"/>
        </w:rPr>
        <w:t>თავზე</w:t>
      </w:r>
      <w:r w:rsidRPr="00ED05BF">
        <w:rPr>
          <w:rFonts w:ascii="AcadNusx" w:hAnsi="AcadNusx"/>
          <w:lang w:val="ka-GE"/>
        </w:rPr>
        <w:t xml:space="preserve"> </w:t>
      </w:r>
      <w:r w:rsidRPr="00ED05BF">
        <w:rPr>
          <w:rFonts w:ascii="Sylfaen" w:hAnsi="Sylfaen" w:cs="Sylfaen"/>
          <w:lang w:val="ka-GE"/>
        </w:rPr>
        <w:t>გადაფარებული</w:t>
      </w:r>
      <w:r w:rsidRPr="00ED05BF">
        <w:rPr>
          <w:rFonts w:ascii="AcadNusx" w:hAnsi="AcadNusx"/>
          <w:lang w:val="ka-GE"/>
        </w:rPr>
        <w:t xml:space="preserve"> </w:t>
      </w:r>
      <w:r w:rsidRPr="00ED05BF">
        <w:rPr>
          <w:rFonts w:ascii="Sylfaen" w:hAnsi="Sylfaen" w:cs="Sylfaen"/>
          <w:lang w:val="ka-GE"/>
        </w:rPr>
        <w:t>საგზაო</w:t>
      </w:r>
      <w:r w:rsidRPr="00ED05BF">
        <w:rPr>
          <w:rFonts w:ascii="AcadNusx" w:hAnsi="AcadNusx"/>
          <w:lang w:val="ka-GE"/>
        </w:rPr>
        <w:t xml:space="preserve"> </w:t>
      </w:r>
      <w:r w:rsidRPr="00ED05BF">
        <w:rPr>
          <w:rFonts w:ascii="Sylfaen" w:hAnsi="Sylfaen" w:cs="Sylfaen"/>
          <w:lang w:val="ka-GE"/>
        </w:rPr>
        <w:t>სამოსის</w:t>
      </w:r>
      <w:r w:rsidRPr="00ED05BF">
        <w:rPr>
          <w:rFonts w:ascii="AcadNusx" w:hAnsi="AcadNusx"/>
          <w:lang w:val="ka-GE"/>
        </w:rPr>
        <w:t xml:space="preserve"> </w:t>
      </w:r>
      <w:r w:rsidRPr="00ED05BF">
        <w:rPr>
          <w:rFonts w:ascii="Sylfaen" w:hAnsi="Sylfaen" w:cs="Sylfaen"/>
          <w:lang w:val="ka-GE"/>
        </w:rPr>
        <w:t>ფენების</w:t>
      </w:r>
      <w:r w:rsidRPr="00ED05BF">
        <w:rPr>
          <w:rFonts w:ascii="AcadNusx" w:hAnsi="AcadNusx"/>
          <w:lang w:val="ka-GE"/>
        </w:rPr>
        <w:t xml:space="preserve"> </w:t>
      </w:r>
      <w:r w:rsidRPr="00ED05BF">
        <w:rPr>
          <w:rFonts w:ascii="Sylfaen" w:hAnsi="Sylfaen" w:cs="Sylfaen"/>
          <w:lang w:val="ka-GE"/>
        </w:rPr>
        <w:t>სისქეების</w:t>
      </w:r>
      <w:r w:rsidRPr="00ED05BF">
        <w:rPr>
          <w:rFonts w:ascii="AcadNusx" w:hAnsi="AcadNusx"/>
          <w:lang w:val="ka-GE"/>
        </w:rPr>
        <w:t xml:space="preserve"> </w:t>
      </w:r>
      <w:r w:rsidRPr="00ED05BF">
        <w:rPr>
          <w:rFonts w:ascii="Sylfaen" w:hAnsi="Sylfaen" w:cs="Sylfaen"/>
          <w:lang w:val="ka-GE"/>
        </w:rPr>
        <w:t>და</w:t>
      </w:r>
      <w:r w:rsidRPr="00ED05BF">
        <w:rPr>
          <w:rFonts w:ascii="AcadNusx" w:hAnsi="AcadNusx"/>
          <w:lang w:val="ka-GE"/>
        </w:rPr>
        <w:t xml:space="preserve"> </w:t>
      </w:r>
      <w:r w:rsidRPr="00ED05BF">
        <w:rPr>
          <w:rFonts w:ascii="Sylfaen" w:hAnsi="Sylfaen" w:cs="Sylfaen"/>
          <w:lang w:val="ka-GE"/>
        </w:rPr>
        <w:t>ხარისხის</w:t>
      </w:r>
      <w:r w:rsidRPr="00ED05BF">
        <w:rPr>
          <w:rFonts w:ascii="AcadNusx" w:hAnsi="AcadNusx"/>
          <w:lang w:val="ka-GE"/>
        </w:rPr>
        <w:t xml:space="preserve"> </w:t>
      </w:r>
      <w:r w:rsidRPr="00ED05BF">
        <w:rPr>
          <w:rFonts w:ascii="Sylfaen" w:hAnsi="Sylfaen" w:cs="Sylfaen"/>
          <w:lang w:val="ka-GE"/>
        </w:rPr>
        <w:t>მიუხედავად</w:t>
      </w:r>
      <w:r w:rsidRPr="00ED05BF">
        <w:rPr>
          <w:rFonts w:ascii="AcadNusx" w:hAnsi="AcadNusx"/>
          <w:lang w:val="ka-GE"/>
        </w:rPr>
        <w:t xml:space="preserve">. </w:t>
      </w:r>
    </w:p>
    <w:p w14:paraId="6CB164E4" w14:textId="77777777" w:rsidR="00ED05BF" w:rsidRPr="00ED05BF" w:rsidRDefault="00ED05BF" w:rsidP="00ED05BF">
      <w:pPr>
        <w:spacing w:before="120" w:after="120"/>
        <w:rPr>
          <w:rFonts w:ascii="AcadNusx" w:hAnsi="AcadNusx"/>
          <w:lang w:val="ka-GE"/>
        </w:rPr>
      </w:pPr>
      <w:r w:rsidRPr="00ED05BF">
        <w:rPr>
          <w:rFonts w:ascii="Sylfaen" w:hAnsi="Sylfaen" w:cs="Sylfaen"/>
          <w:lang w:val="ka-GE"/>
        </w:rPr>
        <w:t>გერმანულ</w:t>
      </w:r>
      <w:r w:rsidRPr="00ED05BF">
        <w:rPr>
          <w:rFonts w:ascii="AcadNusx" w:hAnsi="AcadNusx"/>
          <w:lang w:val="ka-GE"/>
        </w:rPr>
        <w:t xml:space="preserve"> </w:t>
      </w:r>
      <w:r w:rsidRPr="00ED05BF">
        <w:rPr>
          <w:rFonts w:ascii="Sylfaen" w:hAnsi="Sylfaen" w:cs="Sylfaen"/>
          <w:lang w:val="ka-GE"/>
        </w:rPr>
        <w:t>სტანდარტში</w:t>
      </w:r>
      <w:r w:rsidRPr="00ED05BF">
        <w:rPr>
          <w:rFonts w:ascii="AcadNusx" w:hAnsi="AcadNusx"/>
          <w:lang w:val="ka-GE"/>
        </w:rPr>
        <w:t xml:space="preserve"> </w:t>
      </w:r>
      <w:r w:rsidRPr="00ED05BF">
        <w:rPr>
          <w:rFonts w:ascii="Sylfaen" w:hAnsi="Sylfaen" w:cs="Sylfaen"/>
          <w:lang w:val="ka-GE"/>
        </w:rPr>
        <w:t>მოცემულ</w:t>
      </w:r>
      <w:r w:rsidRPr="00ED05BF">
        <w:rPr>
          <w:rFonts w:ascii="AcadNusx" w:hAnsi="AcadNusx"/>
          <w:lang w:val="ka-GE"/>
        </w:rPr>
        <w:t xml:space="preserve"> </w:t>
      </w:r>
      <w:r w:rsidRPr="00ED05BF">
        <w:rPr>
          <w:rFonts w:ascii="Sylfaen" w:hAnsi="Sylfaen" w:cs="Sylfaen"/>
          <w:lang w:val="ka-GE"/>
        </w:rPr>
        <w:t>ტიპიური</w:t>
      </w:r>
      <w:r w:rsidRPr="00ED05BF">
        <w:rPr>
          <w:rFonts w:ascii="AcadNusx" w:hAnsi="AcadNusx"/>
          <w:lang w:val="ka-GE"/>
        </w:rPr>
        <w:t xml:space="preserve"> </w:t>
      </w:r>
      <w:r w:rsidRPr="00ED05BF">
        <w:rPr>
          <w:rFonts w:ascii="Sylfaen" w:hAnsi="Sylfaen" w:cs="Sylfaen"/>
          <w:lang w:val="ka-GE"/>
        </w:rPr>
        <w:t>საპროექტო</w:t>
      </w:r>
      <w:r w:rsidRPr="00ED05BF">
        <w:rPr>
          <w:rFonts w:ascii="AcadNusx" w:hAnsi="AcadNusx"/>
          <w:lang w:val="ka-GE"/>
        </w:rPr>
        <w:t xml:space="preserve"> </w:t>
      </w:r>
      <w:r w:rsidRPr="00ED05BF">
        <w:rPr>
          <w:rFonts w:ascii="Sylfaen" w:hAnsi="Sylfaen" w:cs="Sylfaen"/>
          <w:lang w:val="ka-GE"/>
        </w:rPr>
        <w:t>გადაწყვეტების</w:t>
      </w:r>
      <w:r w:rsidRPr="00ED05BF">
        <w:rPr>
          <w:rFonts w:ascii="AcadNusx" w:hAnsi="AcadNusx"/>
          <w:lang w:val="ka-GE"/>
        </w:rPr>
        <w:t xml:space="preserve"> </w:t>
      </w:r>
      <w:r w:rsidRPr="00ED05BF">
        <w:rPr>
          <w:rFonts w:ascii="Sylfaen" w:hAnsi="Sylfaen" w:cs="Sylfaen"/>
          <w:lang w:val="ka-GE"/>
        </w:rPr>
        <w:t>კატალოგში</w:t>
      </w:r>
      <w:r w:rsidRPr="00ED05BF">
        <w:rPr>
          <w:rFonts w:ascii="AcadNusx" w:hAnsi="AcadNusx"/>
          <w:lang w:val="ka-GE"/>
        </w:rPr>
        <w:t xml:space="preserve"> </w:t>
      </w:r>
      <w:r w:rsidRPr="00ED05BF">
        <w:rPr>
          <w:rFonts w:ascii="Sylfaen" w:hAnsi="Sylfaen" w:cs="Sylfaen"/>
          <w:lang w:val="ka-GE"/>
        </w:rPr>
        <w:t>სტანდარტიზირებული</w:t>
      </w:r>
      <w:r w:rsidRPr="00ED05BF">
        <w:rPr>
          <w:rFonts w:ascii="AcadNusx" w:hAnsi="AcadNusx"/>
          <w:lang w:val="ka-GE"/>
        </w:rPr>
        <w:t xml:space="preserve"> </w:t>
      </w:r>
      <w:r w:rsidRPr="00ED05BF">
        <w:rPr>
          <w:rFonts w:ascii="Sylfaen" w:hAnsi="Sylfaen" w:cs="Sylfaen"/>
          <w:lang w:val="ka-GE"/>
        </w:rPr>
        <w:t>სახით</w:t>
      </w:r>
      <w:r w:rsidRPr="00ED05BF">
        <w:rPr>
          <w:rFonts w:ascii="AcadNusx" w:hAnsi="AcadNusx"/>
          <w:lang w:val="ka-GE"/>
        </w:rPr>
        <w:t xml:space="preserve"> </w:t>
      </w:r>
      <w:r w:rsidRPr="00ED05BF">
        <w:rPr>
          <w:rFonts w:ascii="Sylfaen" w:hAnsi="Sylfaen" w:cs="Sylfaen"/>
          <w:lang w:val="ka-GE"/>
        </w:rPr>
        <w:t>არის</w:t>
      </w:r>
      <w:r w:rsidRPr="00ED05BF">
        <w:rPr>
          <w:rFonts w:ascii="AcadNusx" w:hAnsi="AcadNusx"/>
          <w:lang w:val="ka-GE"/>
        </w:rPr>
        <w:t xml:space="preserve"> </w:t>
      </w:r>
      <w:r w:rsidRPr="00ED05BF">
        <w:rPr>
          <w:rFonts w:ascii="Sylfaen" w:hAnsi="Sylfaen" w:cs="Sylfaen"/>
          <w:lang w:val="ka-GE"/>
        </w:rPr>
        <w:t>წარმოდგენილი</w:t>
      </w:r>
      <w:r w:rsidRPr="00ED05BF">
        <w:rPr>
          <w:rFonts w:ascii="AcadNusx" w:hAnsi="AcadNusx"/>
          <w:lang w:val="ka-GE"/>
        </w:rPr>
        <w:t xml:space="preserve"> </w:t>
      </w:r>
      <w:r w:rsidRPr="00ED05BF">
        <w:rPr>
          <w:rFonts w:ascii="Sylfaen" w:hAnsi="Sylfaen" w:cs="Sylfaen"/>
          <w:lang w:val="ka-GE"/>
        </w:rPr>
        <w:t>სხვადასხვა</w:t>
      </w:r>
      <w:r w:rsidRPr="00ED05BF">
        <w:rPr>
          <w:rFonts w:ascii="AcadNusx" w:hAnsi="AcadNusx"/>
          <w:lang w:val="ka-GE"/>
        </w:rPr>
        <w:t xml:space="preserve"> </w:t>
      </w:r>
      <w:r w:rsidRPr="00ED05BF">
        <w:rPr>
          <w:rFonts w:ascii="Sylfaen" w:hAnsi="Sylfaen" w:cs="Sylfaen"/>
          <w:lang w:val="ka-GE"/>
        </w:rPr>
        <w:t>სატრანსპორტო</w:t>
      </w:r>
      <w:r w:rsidRPr="00ED05BF">
        <w:rPr>
          <w:rFonts w:ascii="AcadNusx" w:hAnsi="AcadNusx"/>
          <w:lang w:val="ka-GE"/>
        </w:rPr>
        <w:t xml:space="preserve"> </w:t>
      </w:r>
      <w:r w:rsidRPr="00ED05BF">
        <w:rPr>
          <w:rFonts w:ascii="Sylfaen" w:hAnsi="Sylfaen" w:cs="Sylfaen"/>
          <w:lang w:val="ka-GE"/>
        </w:rPr>
        <w:t>დატვირთვების</w:t>
      </w:r>
      <w:r w:rsidRPr="00ED05BF">
        <w:rPr>
          <w:rFonts w:ascii="AcadNusx" w:hAnsi="AcadNusx"/>
          <w:lang w:val="ka-GE"/>
        </w:rPr>
        <w:t xml:space="preserve"> </w:t>
      </w:r>
      <w:r w:rsidRPr="00ED05BF">
        <w:rPr>
          <w:rFonts w:ascii="Sylfaen" w:hAnsi="Sylfaen" w:cs="Sylfaen"/>
          <w:lang w:val="ka-GE"/>
        </w:rPr>
        <w:t>შესაბამისი</w:t>
      </w:r>
      <w:r w:rsidRPr="00ED05BF">
        <w:rPr>
          <w:rFonts w:ascii="AcadNusx" w:hAnsi="AcadNusx"/>
          <w:lang w:val="ka-GE"/>
        </w:rPr>
        <w:t xml:space="preserve"> </w:t>
      </w:r>
      <w:r w:rsidRPr="00ED05BF">
        <w:rPr>
          <w:rFonts w:ascii="Sylfaen" w:hAnsi="Sylfaen" w:cs="Sylfaen"/>
          <w:lang w:val="ka-GE"/>
        </w:rPr>
        <w:t>საგზაო</w:t>
      </w:r>
      <w:r w:rsidRPr="00ED05BF">
        <w:rPr>
          <w:rFonts w:ascii="AcadNusx" w:hAnsi="AcadNusx"/>
          <w:lang w:val="ka-GE"/>
        </w:rPr>
        <w:t xml:space="preserve"> </w:t>
      </w:r>
      <w:r w:rsidRPr="00ED05BF">
        <w:rPr>
          <w:rFonts w:ascii="Sylfaen" w:hAnsi="Sylfaen" w:cs="Sylfaen"/>
          <w:lang w:val="ka-GE"/>
        </w:rPr>
        <w:t>სამოსების</w:t>
      </w:r>
      <w:r w:rsidRPr="00ED05BF">
        <w:rPr>
          <w:rFonts w:ascii="AcadNusx" w:hAnsi="AcadNusx"/>
          <w:lang w:val="ka-GE"/>
        </w:rPr>
        <w:t xml:space="preserve"> </w:t>
      </w:r>
      <w:r w:rsidRPr="00ED05BF">
        <w:rPr>
          <w:rFonts w:ascii="Sylfaen" w:hAnsi="Sylfaen" w:cs="Sylfaen"/>
          <w:lang w:val="ka-GE"/>
        </w:rPr>
        <w:t>აგებულებები</w:t>
      </w:r>
      <w:r w:rsidRPr="00ED05BF">
        <w:rPr>
          <w:rFonts w:ascii="AcadNusx" w:hAnsi="AcadNusx"/>
          <w:lang w:val="ka-GE"/>
        </w:rPr>
        <w:t xml:space="preserve">. </w:t>
      </w:r>
      <w:r w:rsidRPr="00ED05BF">
        <w:rPr>
          <w:rFonts w:ascii="Sylfaen" w:hAnsi="Sylfaen" w:cs="Sylfaen"/>
          <w:lang w:val="ka-GE"/>
        </w:rPr>
        <w:t>გრუნტის</w:t>
      </w:r>
      <w:r w:rsidRPr="00ED05BF">
        <w:rPr>
          <w:rFonts w:ascii="AcadNusx" w:hAnsi="AcadNusx"/>
          <w:lang w:val="ka-GE"/>
        </w:rPr>
        <w:t xml:space="preserve"> </w:t>
      </w:r>
      <w:r w:rsidRPr="00ED05BF">
        <w:rPr>
          <w:rFonts w:ascii="Sylfaen" w:hAnsi="Sylfaen" w:cs="Sylfaen"/>
          <w:lang w:val="ka-GE"/>
        </w:rPr>
        <w:t>შედარებით</w:t>
      </w:r>
      <w:r w:rsidRPr="00ED05BF">
        <w:rPr>
          <w:rFonts w:ascii="AcadNusx" w:hAnsi="AcadNusx"/>
          <w:lang w:val="ka-GE"/>
        </w:rPr>
        <w:t xml:space="preserve"> </w:t>
      </w:r>
      <w:r w:rsidRPr="00ED05BF">
        <w:rPr>
          <w:rFonts w:ascii="Sylfaen" w:hAnsi="Sylfaen" w:cs="Sylfaen"/>
          <w:lang w:val="ka-GE"/>
        </w:rPr>
        <w:t>დაბალი</w:t>
      </w:r>
      <w:r w:rsidRPr="00ED05BF">
        <w:rPr>
          <w:rFonts w:ascii="AcadNusx" w:hAnsi="AcadNusx"/>
          <w:lang w:val="ka-GE"/>
        </w:rPr>
        <w:t xml:space="preserve"> </w:t>
      </w:r>
      <w:r w:rsidRPr="00ED05BF">
        <w:rPr>
          <w:rFonts w:ascii="Sylfaen" w:hAnsi="Sylfaen" w:cs="Sylfaen"/>
          <w:lang w:val="ka-GE"/>
        </w:rPr>
        <w:t>მზიდუნარიანობა</w:t>
      </w:r>
      <w:r w:rsidRPr="00ED05BF">
        <w:rPr>
          <w:rFonts w:ascii="AcadNusx" w:hAnsi="AcadNusx"/>
          <w:lang w:val="ka-GE"/>
        </w:rPr>
        <w:t xml:space="preserve"> </w:t>
      </w:r>
      <w:r w:rsidRPr="00ED05BF">
        <w:rPr>
          <w:rFonts w:ascii="Sylfaen" w:hAnsi="Sylfaen" w:cs="Sylfaen"/>
          <w:lang w:val="ka-GE"/>
        </w:rPr>
        <w:lastRenderedPageBreak/>
        <w:t>უნდა</w:t>
      </w:r>
      <w:r w:rsidRPr="00ED05BF">
        <w:rPr>
          <w:rFonts w:ascii="AcadNusx" w:hAnsi="AcadNusx"/>
          <w:lang w:val="ka-GE"/>
        </w:rPr>
        <w:t xml:space="preserve"> </w:t>
      </w:r>
      <w:r w:rsidRPr="00ED05BF">
        <w:rPr>
          <w:rFonts w:ascii="Sylfaen" w:hAnsi="Sylfaen" w:cs="Sylfaen"/>
          <w:lang w:val="ka-GE"/>
        </w:rPr>
        <w:t>კომპენსირდეს</w:t>
      </w:r>
      <w:r w:rsidRPr="00ED05BF">
        <w:rPr>
          <w:rFonts w:ascii="AcadNusx" w:hAnsi="AcadNusx"/>
          <w:lang w:val="ka-GE"/>
        </w:rPr>
        <w:t xml:space="preserve"> </w:t>
      </w:r>
      <w:r w:rsidRPr="00ED05BF">
        <w:rPr>
          <w:rFonts w:ascii="Sylfaen" w:hAnsi="Sylfaen" w:cs="Sylfaen"/>
          <w:lang w:val="ka-GE"/>
        </w:rPr>
        <w:t>გზის</w:t>
      </w:r>
      <w:r w:rsidRPr="00ED05BF">
        <w:rPr>
          <w:rFonts w:ascii="AcadNusx" w:hAnsi="AcadNusx"/>
          <w:lang w:val="ka-GE"/>
        </w:rPr>
        <w:t xml:space="preserve"> </w:t>
      </w:r>
      <w:r w:rsidRPr="00ED05BF">
        <w:rPr>
          <w:rFonts w:ascii="Sylfaen" w:hAnsi="Sylfaen" w:cs="Sylfaen"/>
          <w:lang w:val="ka-GE"/>
        </w:rPr>
        <w:t>ფორმირების</w:t>
      </w:r>
      <w:r w:rsidRPr="00ED05BF">
        <w:rPr>
          <w:rFonts w:ascii="AcadNusx" w:hAnsi="AcadNusx"/>
          <w:lang w:val="ka-GE"/>
        </w:rPr>
        <w:t xml:space="preserve"> </w:t>
      </w:r>
      <w:r w:rsidRPr="00ED05BF">
        <w:rPr>
          <w:rFonts w:ascii="Sylfaen" w:hAnsi="Sylfaen" w:cs="Sylfaen"/>
          <w:lang w:val="ka-GE"/>
        </w:rPr>
        <w:t>დონის</w:t>
      </w:r>
      <w:r w:rsidRPr="00ED05BF">
        <w:rPr>
          <w:rFonts w:ascii="AcadNusx" w:hAnsi="AcadNusx"/>
          <w:lang w:val="ka-GE"/>
        </w:rPr>
        <w:t xml:space="preserve"> (</w:t>
      </w:r>
      <w:r w:rsidRPr="00ED05BF">
        <w:rPr>
          <w:rFonts w:ascii="Sylfaen" w:hAnsi="Sylfaen" w:cs="Sylfaen"/>
          <w:lang w:val="ka-GE"/>
        </w:rPr>
        <w:t>მიწის</w:t>
      </w:r>
      <w:r w:rsidRPr="00ED05BF">
        <w:rPr>
          <w:rFonts w:ascii="AcadNusx" w:hAnsi="AcadNusx"/>
          <w:lang w:val="ka-GE"/>
        </w:rPr>
        <w:t xml:space="preserve"> </w:t>
      </w:r>
      <w:r w:rsidRPr="00ED05BF">
        <w:rPr>
          <w:rFonts w:ascii="Sylfaen" w:hAnsi="Sylfaen" w:cs="Sylfaen"/>
          <w:lang w:val="ka-GE"/>
        </w:rPr>
        <w:t>ვაკისის</w:t>
      </w:r>
      <w:r w:rsidRPr="00ED05BF">
        <w:rPr>
          <w:rFonts w:ascii="AcadNusx" w:hAnsi="AcadNusx"/>
          <w:lang w:val="ka-GE"/>
        </w:rPr>
        <w:t xml:space="preserve">) </w:t>
      </w:r>
      <w:r w:rsidRPr="00ED05BF">
        <w:rPr>
          <w:rFonts w:ascii="Sylfaen" w:hAnsi="Sylfaen" w:cs="Sylfaen"/>
          <w:lang w:val="ka-GE"/>
        </w:rPr>
        <w:t>გრუნტის</w:t>
      </w:r>
      <w:r w:rsidRPr="00ED05BF">
        <w:rPr>
          <w:rFonts w:ascii="AcadNusx" w:hAnsi="AcadNusx"/>
          <w:lang w:val="ka-GE"/>
        </w:rPr>
        <w:t xml:space="preserve"> </w:t>
      </w:r>
      <w:r w:rsidRPr="00ED05BF">
        <w:rPr>
          <w:rFonts w:ascii="Sylfaen" w:hAnsi="Sylfaen" w:cs="Sylfaen"/>
          <w:lang w:val="ka-GE"/>
        </w:rPr>
        <w:t>გაუმჯობესების</w:t>
      </w:r>
      <w:r w:rsidRPr="00ED05BF">
        <w:rPr>
          <w:rFonts w:ascii="AcadNusx" w:hAnsi="AcadNusx"/>
          <w:lang w:val="ka-GE"/>
        </w:rPr>
        <w:t xml:space="preserve"> </w:t>
      </w:r>
      <w:r w:rsidRPr="00ED05BF">
        <w:rPr>
          <w:rFonts w:ascii="Sylfaen" w:hAnsi="Sylfaen" w:cs="Sylfaen"/>
          <w:lang w:val="ka-GE"/>
        </w:rPr>
        <w:t>ან</w:t>
      </w:r>
      <w:r w:rsidRPr="00ED05BF">
        <w:rPr>
          <w:rFonts w:ascii="AcadNusx" w:hAnsi="AcadNusx"/>
          <w:lang w:val="ka-GE"/>
        </w:rPr>
        <w:t xml:space="preserve"> </w:t>
      </w:r>
      <w:r w:rsidRPr="00ED05BF">
        <w:rPr>
          <w:rFonts w:ascii="Sylfaen" w:hAnsi="Sylfaen" w:cs="Sylfaen"/>
          <w:lang w:val="ka-GE"/>
        </w:rPr>
        <w:t>ჩანაცვლების</w:t>
      </w:r>
      <w:r w:rsidRPr="00ED05BF">
        <w:rPr>
          <w:rFonts w:ascii="AcadNusx" w:hAnsi="AcadNusx"/>
          <w:lang w:val="ka-GE"/>
        </w:rPr>
        <w:t xml:space="preserve"> </w:t>
      </w:r>
      <w:r w:rsidRPr="00ED05BF">
        <w:rPr>
          <w:rFonts w:ascii="Sylfaen" w:hAnsi="Sylfaen" w:cs="Sylfaen"/>
          <w:lang w:val="ka-GE"/>
        </w:rPr>
        <w:t>ზომების</w:t>
      </w:r>
      <w:r w:rsidRPr="00ED05BF">
        <w:rPr>
          <w:rFonts w:ascii="AcadNusx" w:hAnsi="AcadNusx"/>
          <w:lang w:val="ka-GE"/>
        </w:rPr>
        <w:t xml:space="preserve"> </w:t>
      </w:r>
      <w:r w:rsidRPr="00ED05BF">
        <w:rPr>
          <w:rFonts w:ascii="Sylfaen" w:hAnsi="Sylfaen" w:cs="Sylfaen"/>
          <w:lang w:val="ka-GE"/>
        </w:rPr>
        <w:t>გატარებით</w:t>
      </w:r>
      <w:r w:rsidRPr="00ED05BF">
        <w:rPr>
          <w:rFonts w:ascii="AcadNusx" w:hAnsi="AcadNusx"/>
          <w:lang w:val="ka-GE"/>
        </w:rPr>
        <w:t xml:space="preserve">, </w:t>
      </w:r>
      <w:r w:rsidRPr="00ED05BF">
        <w:rPr>
          <w:rFonts w:ascii="Sylfaen" w:hAnsi="Sylfaen" w:cs="Sylfaen"/>
          <w:lang w:val="ka-GE"/>
        </w:rPr>
        <w:t>სატრანსპორტო</w:t>
      </w:r>
      <w:r w:rsidRPr="00ED05BF">
        <w:rPr>
          <w:rFonts w:ascii="AcadNusx" w:hAnsi="AcadNusx"/>
          <w:lang w:val="ka-GE"/>
        </w:rPr>
        <w:t xml:space="preserve"> </w:t>
      </w:r>
      <w:r w:rsidRPr="00ED05BF">
        <w:rPr>
          <w:rFonts w:ascii="Sylfaen" w:hAnsi="Sylfaen" w:cs="Sylfaen"/>
          <w:lang w:val="ka-GE"/>
        </w:rPr>
        <w:t>დატვირთვის</w:t>
      </w:r>
      <w:r w:rsidRPr="00ED05BF">
        <w:rPr>
          <w:rFonts w:ascii="AcadNusx" w:hAnsi="AcadNusx"/>
          <w:lang w:val="ka-GE"/>
        </w:rPr>
        <w:t xml:space="preserve"> </w:t>
      </w:r>
      <w:r w:rsidRPr="00ED05BF">
        <w:rPr>
          <w:rFonts w:ascii="Sylfaen" w:hAnsi="Sylfaen" w:cs="Sylfaen"/>
          <w:lang w:val="ka-GE"/>
        </w:rPr>
        <w:t>ან</w:t>
      </w:r>
      <w:r w:rsidRPr="00ED05BF">
        <w:rPr>
          <w:rFonts w:ascii="AcadNusx" w:hAnsi="AcadNusx"/>
          <w:lang w:val="ka-GE"/>
        </w:rPr>
        <w:t xml:space="preserve"> </w:t>
      </w:r>
      <w:r w:rsidRPr="00ED05BF">
        <w:rPr>
          <w:rFonts w:ascii="Sylfaen" w:hAnsi="Sylfaen" w:cs="Sylfaen"/>
          <w:lang w:val="ka-GE"/>
        </w:rPr>
        <w:t>საგზაო</w:t>
      </w:r>
      <w:r w:rsidRPr="00ED05BF">
        <w:rPr>
          <w:rFonts w:ascii="AcadNusx" w:hAnsi="AcadNusx"/>
          <w:lang w:val="ka-GE"/>
        </w:rPr>
        <w:t xml:space="preserve"> </w:t>
      </w:r>
      <w:r w:rsidRPr="00ED05BF">
        <w:rPr>
          <w:rFonts w:ascii="Sylfaen" w:hAnsi="Sylfaen" w:cs="Sylfaen"/>
          <w:lang w:val="ka-GE"/>
        </w:rPr>
        <w:t>სამოსის</w:t>
      </w:r>
      <w:r w:rsidRPr="00ED05BF">
        <w:rPr>
          <w:rFonts w:ascii="AcadNusx" w:hAnsi="AcadNusx"/>
          <w:lang w:val="ka-GE"/>
        </w:rPr>
        <w:t xml:space="preserve"> </w:t>
      </w:r>
      <w:r w:rsidRPr="00ED05BF">
        <w:rPr>
          <w:rFonts w:ascii="Sylfaen" w:hAnsi="Sylfaen" w:cs="Sylfaen"/>
          <w:lang w:val="ka-GE"/>
        </w:rPr>
        <w:t>აგებულების</w:t>
      </w:r>
      <w:r w:rsidRPr="00ED05BF">
        <w:rPr>
          <w:rFonts w:ascii="AcadNusx" w:hAnsi="AcadNusx"/>
          <w:lang w:val="ka-GE"/>
        </w:rPr>
        <w:t xml:space="preserve"> </w:t>
      </w:r>
      <w:r w:rsidRPr="00ED05BF">
        <w:rPr>
          <w:rFonts w:ascii="Sylfaen" w:hAnsi="Sylfaen" w:cs="Sylfaen"/>
          <w:lang w:val="ka-GE"/>
        </w:rPr>
        <w:t>მიუხედავად</w:t>
      </w:r>
      <w:r w:rsidRPr="00ED05BF">
        <w:rPr>
          <w:rFonts w:ascii="AcadNusx" w:hAnsi="AcadNusx"/>
          <w:lang w:val="ka-GE"/>
        </w:rPr>
        <w:t xml:space="preserve">. </w:t>
      </w:r>
    </w:p>
    <w:p w14:paraId="70455A3D" w14:textId="57FFEE01" w:rsidR="00EA3205" w:rsidRPr="00F53F15" w:rsidRDefault="00ED05BF" w:rsidP="00ED05BF">
      <w:pPr>
        <w:spacing w:before="120" w:after="120"/>
        <w:rPr>
          <w:rFonts w:ascii="AcadNusx" w:hAnsi="AcadNusx"/>
          <w:lang w:val="ka-GE"/>
        </w:rPr>
        <w:sectPr w:rsidR="00EA3205" w:rsidRPr="00F53F15" w:rsidSect="00ED417F">
          <w:pgSz w:w="11906" w:h="16838"/>
          <w:pgMar w:top="1134" w:right="566" w:bottom="1134" w:left="1418" w:header="567" w:footer="709" w:gutter="0"/>
          <w:cols w:space="720"/>
        </w:sectPr>
      </w:pPr>
      <w:r w:rsidRPr="00ED05BF">
        <w:rPr>
          <w:rFonts w:ascii="Sylfaen" w:hAnsi="Sylfaen" w:cs="Sylfaen"/>
          <w:lang w:val="ka-GE"/>
        </w:rPr>
        <w:t>მომდევნო</w:t>
      </w:r>
      <w:r w:rsidRPr="00ED05BF">
        <w:rPr>
          <w:rFonts w:ascii="AcadNusx" w:hAnsi="AcadNusx"/>
          <w:lang w:val="ka-GE"/>
        </w:rPr>
        <w:t xml:space="preserve"> </w:t>
      </w:r>
      <w:r w:rsidRPr="00ED05BF">
        <w:rPr>
          <w:rFonts w:ascii="Sylfaen" w:hAnsi="Sylfaen" w:cs="Sylfaen"/>
          <w:lang w:val="ka-GE"/>
        </w:rPr>
        <w:t>ცხრილში</w:t>
      </w:r>
      <w:r w:rsidRPr="00ED05BF">
        <w:rPr>
          <w:rFonts w:ascii="AcadNusx" w:hAnsi="AcadNusx"/>
          <w:lang w:val="ka-GE"/>
        </w:rPr>
        <w:t xml:space="preserve"> </w:t>
      </w:r>
      <w:r w:rsidRPr="00ED05BF">
        <w:rPr>
          <w:rFonts w:ascii="Sylfaen" w:hAnsi="Sylfaen" w:cs="Sylfaen"/>
          <w:lang w:val="ka-GE"/>
        </w:rPr>
        <w:t>წარმოდგენილია</w:t>
      </w:r>
      <w:r w:rsidRPr="00ED05BF">
        <w:rPr>
          <w:rFonts w:ascii="AcadNusx" w:hAnsi="AcadNusx"/>
          <w:lang w:val="ka-GE"/>
        </w:rPr>
        <w:t xml:space="preserve"> </w:t>
      </w:r>
      <w:r w:rsidRPr="00ED05BF">
        <w:rPr>
          <w:rFonts w:ascii="Sylfaen" w:hAnsi="Sylfaen" w:cs="Sylfaen"/>
          <w:lang w:val="ka-GE"/>
        </w:rPr>
        <w:t>ამერიკული</w:t>
      </w:r>
      <w:r w:rsidRPr="00ED05BF">
        <w:rPr>
          <w:rFonts w:ascii="AcadNusx" w:hAnsi="AcadNusx"/>
          <w:lang w:val="ka-GE"/>
        </w:rPr>
        <w:t xml:space="preserve"> (</w:t>
      </w:r>
      <w:r w:rsidRPr="006B2E4A">
        <w:rPr>
          <w:rFonts w:cs="Arial"/>
          <w:lang w:val="ka-GE"/>
        </w:rPr>
        <w:t>AASHTO</w:t>
      </w:r>
      <w:r w:rsidRPr="00ED05BF">
        <w:rPr>
          <w:rFonts w:ascii="AcadNusx" w:hAnsi="AcadNusx"/>
          <w:lang w:val="ka-GE"/>
        </w:rPr>
        <w:t xml:space="preserve">) </w:t>
      </w:r>
      <w:r w:rsidRPr="00ED05BF">
        <w:rPr>
          <w:rFonts w:ascii="Sylfaen" w:hAnsi="Sylfaen" w:cs="Sylfaen"/>
          <w:lang w:val="ka-GE"/>
        </w:rPr>
        <w:t>და</w:t>
      </w:r>
      <w:r w:rsidRPr="00ED05BF">
        <w:rPr>
          <w:rFonts w:ascii="AcadNusx" w:hAnsi="AcadNusx"/>
          <w:lang w:val="ka-GE"/>
        </w:rPr>
        <w:t xml:space="preserve"> </w:t>
      </w:r>
      <w:r w:rsidRPr="00ED05BF">
        <w:rPr>
          <w:rFonts w:ascii="Sylfaen" w:hAnsi="Sylfaen" w:cs="Sylfaen"/>
          <w:lang w:val="ka-GE"/>
        </w:rPr>
        <w:t>გერმანული</w:t>
      </w:r>
      <w:r w:rsidRPr="00ED05BF">
        <w:rPr>
          <w:rFonts w:ascii="AcadNusx" w:hAnsi="AcadNusx"/>
          <w:lang w:val="ka-GE"/>
        </w:rPr>
        <w:t xml:space="preserve"> (</w:t>
      </w:r>
      <w:r w:rsidRPr="006B2E4A">
        <w:rPr>
          <w:rFonts w:cs="Arial"/>
          <w:lang w:val="ka-GE"/>
        </w:rPr>
        <w:t>RStO</w:t>
      </w:r>
      <w:r w:rsidRPr="00ED05BF">
        <w:rPr>
          <w:rFonts w:ascii="AcadNusx" w:hAnsi="AcadNusx"/>
          <w:lang w:val="ka-GE"/>
        </w:rPr>
        <w:t xml:space="preserve">) </w:t>
      </w:r>
      <w:r w:rsidRPr="00ED05BF">
        <w:rPr>
          <w:rFonts w:ascii="Sylfaen" w:hAnsi="Sylfaen" w:cs="Sylfaen"/>
          <w:lang w:val="ka-GE"/>
        </w:rPr>
        <w:t>სტანდარტების</w:t>
      </w:r>
      <w:r w:rsidRPr="00ED05BF">
        <w:rPr>
          <w:rFonts w:ascii="AcadNusx" w:hAnsi="AcadNusx"/>
          <w:lang w:val="ka-GE"/>
        </w:rPr>
        <w:t xml:space="preserve"> </w:t>
      </w:r>
      <w:r w:rsidRPr="00ED05BF">
        <w:rPr>
          <w:rFonts w:ascii="Sylfaen" w:hAnsi="Sylfaen" w:cs="Sylfaen"/>
          <w:lang w:val="ka-GE"/>
        </w:rPr>
        <w:t>შესაბამისად</w:t>
      </w:r>
      <w:r w:rsidRPr="00ED05BF">
        <w:rPr>
          <w:rFonts w:ascii="AcadNusx" w:hAnsi="AcadNusx"/>
          <w:lang w:val="ka-GE"/>
        </w:rPr>
        <w:t xml:space="preserve"> </w:t>
      </w:r>
      <w:r w:rsidRPr="00ED05BF">
        <w:rPr>
          <w:rFonts w:ascii="Sylfaen" w:hAnsi="Sylfaen" w:cs="Sylfaen"/>
          <w:lang w:val="ka-GE"/>
        </w:rPr>
        <w:t>გაანგარიშებული</w:t>
      </w:r>
      <w:r w:rsidRPr="00ED05BF">
        <w:rPr>
          <w:rFonts w:ascii="AcadNusx" w:hAnsi="AcadNusx"/>
          <w:lang w:val="ka-GE"/>
        </w:rPr>
        <w:t xml:space="preserve"> </w:t>
      </w:r>
      <w:r w:rsidRPr="00ED05BF">
        <w:rPr>
          <w:rFonts w:ascii="Sylfaen" w:hAnsi="Sylfaen" w:cs="Sylfaen"/>
          <w:lang w:val="ka-GE"/>
        </w:rPr>
        <w:t>ალტერნატიული</w:t>
      </w:r>
      <w:r w:rsidRPr="00ED05BF">
        <w:rPr>
          <w:rFonts w:ascii="AcadNusx" w:hAnsi="AcadNusx"/>
          <w:lang w:val="ka-GE"/>
        </w:rPr>
        <w:t xml:space="preserve"> </w:t>
      </w:r>
      <w:r w:rsidRPr="00ED05BF">
        <w:rPr>
          <w:rFonts w:ascii="Sylfaen" w:hAnsi="Sylfaen" w:cs="Sylfaen"/>
          <w:lang w:val="ka-GE"/>
        </w:rPr>
        <w:t>საგზაო</w:t>
      </w:r>
      <w:r w:rsidRPr="00ED05BF">
        <w:rPr>
          <w:rFonts w:ascii="AcadNusx" w:hAnsi="AcadNusx"/>
          <w:lang w:val="ka-GE"/>
        </w:rPr>
        <w:t xml:space="preserve"> </w:t>
      </w:r>
      <w:r w:rsidRPr="00ED05BF">
        <w:rPr>
          <w:rFonts w:ascii="Sylfaen" w:hAnsi="Sylfaen" w:cs="Sylfaen"/>
          <w:lang w:val="ka-GE"/>
        </w:rPr>
        <w:t>სამოსების</w:t>
      </w:r>
      <w:r w:rsidRPr="00ED05BF">
        <w:rPr>
          <w:rFonts w:ascii="AcadNusx" w:hAnsi="AcadNusx"/>
          <w:lang w:val="ka-GE"/>
        </w:rPr>
        <w:t xml:space="preserve"> </w:t>
      </w:r>
      <w:r w:rsidRPr="00ED05BF">
        <w:rPr>
          <w:rFonts w:ascii="Sylfaen" w:hAnsi="Sylfaen" w:cs="Sylfaen"/>
          <w:lang w:val="ka-GE"/>
        </w:rPr>
        <w:t>აგებულებების</w:t>
      </w:r>
      <w:r w:rsidRPr="00ED05BF">
        <w:rPr>
          <w:rFonts w:ascii="AcadNusx" w:hAnsi="AcadNusx"/>
          <w:lang w:val="ka-GE"/>
        </w:rPr>
        <w:t xml:space="preserve"> </w:t>
      </w:r>
      <w:r w:rsidRPr="00ED05BF">
        <w:rPr>
          <w:rFonts w:ascii="Sylfaen" w:hAnsi="Sylfaen" w:cs="Sylfaen"/>
          <w:lang w:val="ka-GE"/>
        </w:rPr>
        <w:t>მიმოხილვა</w:t>
      </w:r>
      <w:r w:rsidRPr="00ED05BF">
        <w:rPr>
          <w:rFonts w:ascii="AcadNusx" w:hAnsi="AcadNusx"/>
          <w:lang w:val="ka-GE"/>
        </w:rPr>
        <w:t xml:space="preserve"> </w:t>
      </w:r>
      <w:r w:rsidRPr="00ED05BF">
        <w:rPr>
          <w:rFonts w:ascii="Sylfaen" w:hAnsi="Sylfaen" w:cs="Sylfaen"/>
          <w:lang w:val="ka-GE"/>
        </w:rPr>
        <w:t>და</w:t>
      </w:r>
      <w:r w:rsidRPr="00ED05BF">
        <w:rPr>
          <w:rFonts w:ascii="AcadNusx" w:hAnsi="AcadNusx"/>
          <w:lang w:val="ka-GE"/>
        </w:rPr>
        <w:t xml:space="preserve"> </w:t>
      </w:r>
      <w:r w:rsidRPr="00ED05BF">
        <w:rPr>
          <w:rFonts w:ascii="Sylfaen" w:hAnsi="Sylfaen" w:cs="Sylfaen"/>
          <w:lang w:val="ka-GE"/>
        </w:rPr>
        <w:t>ურთიერთშედარება</w:t>
      </w:r>
      <w:r w:rsidRPr="00ED05BF">
        <w:rPr>
          <w:rFonts w:ascii="AcadNusx" w:hAnsi="AcadNusx"/>
          <w:lang w:val="ka-GE"/>
        </w:rPr>
        <w:t>.</w:t>
      </w:r>
    </w:p>
    <w:p w14:paraId="2FA3D923" w14:textId="47D0B1E2" w:rsidR="00EA3205" w:rsidRPr="00B05F62" w:rsidRDefault="00ED05BF" w:rsidP="00EA3205">
      <w:pPr>
        <w:rPr>
          <w:rFonts w:ascii="AcadNusx" w:hAnsi="AcadNusx"/>
        </w:rPr>
      </w:pPr>
      <w:r>
        <w:rPr>
          <w:rFonts w:ascii="Sylfaen" w:hAnsi="Sylfaen"/>
          <w:lang w:val="ka-GE"/>
        </w:rPr>
        <w:lastRenderedPageBreak/>
        <w:t xml:space="preserve">ცხრილი 4.9.3.4-1შეთავაზებული ალტერნატიული საგზაო სამოსების აგებულებები </w:t>
      </w:r>
      <w:r w:rsidR="00EA3205" w:rsidRPr="006B2E4A">
        <w:rPr>
          <w:rFonts w:cs="Arial"/>
        </w:rPr>
        <w:t>RSt12</w:t>
      </w:r>
      <w:r w:rsidR="00EA3205" w:rsidRPr="00B05F62">
        <w:rPr>
          <w:rFonts w:ascii="AcadNusx" w:hAnsi="AcadNusx"/>
        </w:rPr>
        <w:t>–</w:t>
      </w:r>
      <w:r>
        <w:rPr>
          <w:rFonts w:ascii="Sylfaen" w:hAnsi="Sylfaen"/>
          <w:lang w:val="ka-GE"/>
        </w:rPr>
        <w:t>ის მიხედვით</w:t>
      </w:r>
    </w:p>
    <w:p w14:paraId="3BCDDAAC" w14:textId="37E69043" w:rsidR="00EA3205" w:rsidRPr="00B05F62" w:rsidRDefault="00EA3205" w:rsidP="00EA3205">
      <w:pPr>
        <w:rPr>
          <w:rFonts w:ascii="AcadNusx" w:hAnsi="AcadNusx"/>
        </w:rPr>
      </w:pPr>
      <w:r w:rsidRPr="00B05F62">
        <w:rPr>
          <w:rFonts w:ascii="AcadNusx" w:hAnsi="AcadNusx"/>
          <w:noProof/>
          <w:lang w:val="en-US" w:eastAsia="en-US"/>
        </w:rPr>
        <mc:AlternateContent>
          <mc:Choice Requires="wps">
            <w:drawing>
              <wp:anchor distT="0" distB="0" distL="114300" distR="114300" simplePos="0" relativeHeight="251673600" behindDoc="0" locked="0" layoutInCell="1" allowOverlap="1" wp14:anchorId="5976946F" wp14:editId="733E4B95">
                <wp:simplePos x="0" y="0"/>
                <wp:positionH relativeFrom="column">
                  <wp:posOffset>-9006840</wp:posOffset>
                </wp:positionH>
                <wp:positionV relativeFrom="paragraph">
                  <wp:posOffset>182880</wp:posOffset>
                </wp:positionV>
                <wp:extent cx="8117840" cy="365760"/>
                <wp:effectExtent l="0" t="0" r="0" b="0"/>
                <wp:wrapNone/>
                <wp:docPr id="473" name="Rectangl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7840" cy="36576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D158CF" w14:textId="77777777" w:rsidR="00A2588D" w:rsidRPr="00F2480A" w:rsidRDefault="00A2588D" w:rsidP="00EA3205">
                            <w:r w:rsidRPr="00F2480A">
                              <w:t xml:space="preserve">I alternatiuli varianti (RStO): asfaltis safaris zeda da qveda fenebi RorRovan safuZvelsa </w:t>
                            </w:r>
                          </w:p>
                          <w:p w14:paraId="6A48C98D" w14:textId="77777777" w:rsidR="00A2588D" w:rsidRPr="00F2480A" w:rsidRDefault="00A2588D" w:rsidP="00EA3205">
                            <w:r w:rsidRPr="00F2480A">
                              <w:t>da “yinvamedegi safaris” fenaze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6946F" id="Rectangle 473" o:spid="_x0000_s1176" style="position:absolute;left:0;text-align:left;margin-left:-709.2pt;margin-top:14.4pt;width:639.2pt;height:2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" fillcolor="white [3212]" stroked="f">
                <v:textbox inset="0,0,0,0">
                  <w:txbxContent>
                    <w:p w14:paraId="30D158CF" w14:textId="77777777" w:rsidR="00A2588D" w:rsidRPr="00F2480A" w:rsidRDefault="00A2588D" w:rsidP="00EA3205">
                      <w:r w:rsidRPr="00F2480A">
                        <w:t xml:space="preserve">I alternatiuli varianti (RStO): asfaltis safaris zeda da qveda fenebi RorRovan safuZvelsa </w:t>
                      </w:r>
                    </w:p>
                    <w:p w14:paraId="6A48C98D" w14:textId="77777777" w:rsidR="00A2588D" w:rsidRPr="00F2480A" w:rsidRDefault="00A2588D" w:rsidP="00EA3205">
                      <w:r w:rsidRPr="00F2480A">
                        <w:t>da “yinvamedegi safaris” fenaze</w:t>
                      </w:r>
                    </w:p>
                  </w:txbxContent>
                </v:textbox>
              </v:rect>
            </w:pict>
          </mc:Fallback>
        </mc:AlternateContent>
      </w:r>
    </w:p>
    <w:p w14:paraId="634AD2D9" w14:textId="77777777" w:rsidR="00EA3205" w:rsidRPr="00B05F62" w:rsidRDefault="00EA3205" w:rsidP="00EA3205">
      <w:pPr>
        <w:rPr>
          <w:rFonts w:ascii="AcadNusx" w:hAnsi="AcadNusx"/>
        </w:rPr>
      </w:pPr>
    </w:p>
    <w:p w14:paraId="4887AAEB" w14:textId="10C01F6D" w:rsidR="00EA3205" w:rsidRPr="00B05F62" w:rsidRDefault="00EA3205" w:rsidP="00EA3205">
      <w:pPr>
        <w:rPr>
          <w:rFonts w:ascii="AcadNusx" w:hAnsi="AcadNusx"/>
        </w:rPr>
      </w:pPr>
      <w:r w:rsidRPr="00B05F62">
        <w:rPr>
          <w:rFonts w:ascii="AcadNusx" w:hAnsi="AcadNusx"/>
          <w:noProof/>
          <w:lang w:val="en-US" w:eastAsia="en-US"/>
        </w:rPr>
        <w:drawing>
          <wp:inline distT="0" distB="0" distL="0" distR="0" wp14:anchorId="262E0CDF" wp14:editId="625B2896">
            <wp:extent cx="9115425" cy="4916805"/>
            <wp:effectExtent l="0" t="0" r="9525"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9115425" cy="4916805"/>
                    </a:xfrm>
                    <a:prstGeom prst="rect">
                      <a:avLst/>
                    </a:prstGeom>
                    <a:noFill/>
                    <a:ln>
                      <a:noFill/>
                    </a:ln>
                  </pic:spPr>
                </pic:pic>
              </a:graphicData>
            </a:graphic>
          </wp:inline>
        </w:drawing>
      </w:r>
    </w:p>
    <w:p w14:paraId="17B4DC47" w14:textId="77777777" w:rsidR="00EA3205" w:rsidRPr="00B05F62" w:rsidRDefault="00EA3205" w:rsidP="00EA3205">
      <w:pPr>
        <w:rPr>
          <w:rFonts w:ascii="AcadNusx" w:hAnsi="AcadNusx"/>
        </w:rPr>
        <w:sectPr w:rsidR="00EA3205" w:rsidRPr="00B05F62">
          <w:pgSz w:w="16838" w:h="11906" w:orient="landscape"/>
          <w:pgMar w:top="1418" w:right="1134" w:bottom="1134" w:left="1134" w:header="567" w:footer="709" w:gutter="0"/>
          <w:cols w:space="720"/>
        </w:sectPr>
      </w:pPr>
    </w:p>
    <w:p w14:paraId="107360A5" w14:textId="45A9A5D9" w:rsidR="00EA3205" w:rsidRPr="00B05F62" w:rsidRDefault="00ED05BF" w:rsidP="006B2E4A">
      <w:pPr>
        <w:pStyle w:val="Heading4"/>
      </w:pPr>
      <w:bookmarkStart w:id="120" w:name="_Toc493318666"/>
      <w:bookmarkStart w:id="121" w:name="_Toc455472323"/>
      <w:bookmarkStart w:id="122" w:name="_Toc453062675"/>
      <w:r>
        <w:rPr>
          <w:rFonts w:ascii="Sylfaen" w:hAnsi="Sylfaen"/>
        </w:rPr>
        <w:lastRenderedPageBreak/>
        <w:t xml:space="preserve">4.9.3.5 ძირითადი მოთხოვნები საგზაო სამოსის შეუკავებელი და შაკავშირებული მასალების მომართ </w:t>
      </w:r>
      <w:bookmarkEnd w:id="120"/>
      <w:bookmarkEnd w:id="121"/>
      <w:bookmarkEnd w:id="122"/>
    </w:p>
    <w:p w14:paraId="50B65EFA" w14:textId="77777777" w:rsidR="00ED05BF" w:rsidRPr="00ED05BF" w:rsidRDefault="00ED05BF" w:rsidP="00ED05BF">
      <w:pPr>
        <w:spacing w:before="120" w:after="120"/>
        <w:rPr>
          <w:rFonts w:ascii="AcadNusx" w:eastAsia="BGGBOK+TimesNewRoman" w:hAnsi="AcadNusx"/>
          <w:lang w:val="ka-GE"/>
        </w:rPr>
      </w:pPr>
      <w:r w:rsidRPr="00ED05BF">
        <w:rPr>
          <w:rFonts w:ascii="Sylfaen" w:eastAsia="BGGBOK+TimesNewRoman" w:hAnsi="Sylfaen" w:cs="Sylfaen"/>
          <w:lang w:val="ka-GE"/>
        </w:rPr>
        <w:t>საგზაო</w:t>
      </w:r>
      <w:r w:rsidRPr="00ED05BF">
        <w:rPr>
          <w:rFonts w:ascii="AcadNusx" w:eastAsia="BGGBOK+TimesNewRoman" w:hAnsi="AcadNusx"/>
          <w:lang w:val="ka-GE"/>
        </w:rPr>
        <w:t xml:space="preserve"> </w:t>
      </w:r>
      <w:r w:rsidRPr="00ED05BF">
        <w:rPr>
          <w:rFonts w:ascii="Sylfaen" w:eastAsia="BGGBOK+TimesNewRoman" w:hAnsi="Sylfaen" w:cs="Sylfaen"/>
          <w:lang w:val="ka-GE"/>
        </w:rPr>
        <w:t>სამოსის</w:t>
      </w:r>
      <w:r w:rsidRPr="00ED05BF">
        <w:rPr>
          <w:rFonts w:ascii="AcadNusx" w:eastAsia="BGGBOK+TimesNewRoman" w:hAnsi="AcadNusx"/>
          <w:lang w:val="ka-GE"/>
        </w:rPr>
        <w:t xml:space="preserve"> </w:t>
      </w:r>
      <w:r w:rsidRPr="00ED05BF">
        <w:rPr>
          <w:rFonts w:ascii="Sylfaen" w:eastAsia="BGGBOK+TimesNewRoman" w:hAnsi="Sylfaen" w:cs="Sylfaen"/>
          <w:lang w:val="ka-GE"/>
        </w:rPr>
        <w:t>მშენებლობის</w:t>
      </w:r>
      <w:r w:rsidRPr="00ED05BF">
        <w:rPr>
          <w:rFonts w:ascii="AcadNusx" w:eastAsia="BGGBOK+TimesNewRoman" w:hAnsi="AcadNusx"/>
          <w:lang w:val="ka-GE"/>
        </w:rPr>
        <w:t xml:space="preserve"> </w:t>
      </w:r>
      <w:r w:rsidRPr="00ED05BF">
        <w:rPr>
          <w:rFonts w:ascii="Sylfaen" w:eastAsia="BGGBOK+TimesNewRoman" w:hAnsi="Sylfaen" w:cs="Sylfaen"/>
          <w:lang w:val="ka-GE"/>
        </w:rPr>
        <w:t>პროცესში</w:t>
      </w:r>
      <w:r w:rsidRPr="00ED05BF">
        <w:rPr>
          <w:rFonts w:ascii="AcadNusx" w:eastAsia="BGGBOK+TimesNewRoman" w:hAnsi="AcadNusx"/>
          <w:lang w:val="ka-GE"/>
        </w:rPr>
        <w:t xml:space="preserve"> </w:t>
      </w:r>
      <w:r w:rsidRPr="00ED05BF">
        <w:rPr>
          <w:rFonts w:ascii="Sylfaen" w:eastAsia="BGGBOK+TimesNewRoman" w:hAnsi="Sylfaen" w:cs="Sylfaen"/>
          <w:lang w:val="ka-GE"/>
        </w:rPr>
        <w:t>მოსალოდნელია</w:t>
      </w:r>
      <w:r w:rsidRPr="00ED05BF">
        <w:rPr>
          <w:rFonts w:ascii="AcadNusx" w:eastAsia="BGGBOK+TimesNewRoman" w:hAnsi="AcadNusx"/>
          <w:lang w:val="ka-GE"/>
        </w:rPr>
        <w:t xml:space="preserve"> </w:t>
      </w:r>
      <w:r w:rsidRPr="00ED05BF">
        <w:rPr>
          <w:rFonts w:ascii="Sylfaen" w:eastAsia="BGGBOK+TimesNewRoman" w:hAnsi="Sylfaen" w:cs="Sylfaen"/>
          <w:lang w:val="ka-GE"/>
        </w:rPr>
        <w:t>გზის</w:t>
      </w:r>
      <w:r w:rsidRPr="00ED05BF">
        <w:rPr>
          <w:rFonts w:ascii="AcadNusx" w:eastAsia="BGGBOK+TimesNewRoman" w:hAnsi="AcadNusx"/>
          <w:lang w:val="ka-GE"/>
        </w:rPr>
        <w:t xml:space="preserve"> </w:t>
      </w:r>
      <w:r w:rsidRPr="00ED05BF">
        <w:rPr>
          <w:rFonts w:ascii="Sylfaen" w:eastAsia="BGGBOK+TimesNewRoman" w:hAnsi="Sylfaen" w:cs="Sylfaen"/>
          <w:lang w:val="ka-GE"/>
        </w:rPr>
        <w:t>საძირკველზე</w:t>
      </w:r>
      <w:r w:rsidRPr="00ED05BF">
        <w:rPr>
          <w:rFonts w:ascii="AcadNusx" w:eastAsia="BGGBOK+TimesNewRoman" w:hAnsi="AcadNusx"/>
          <w:lang w:val="ka-GE"/>
        </w:rPr>
        <w:t xml:space="preserve"> </w:t>
      </w:r>
      <w:r w:rsidRPr="00ED05BF">
        <w:rPr>
          <w:rFonts w:ascii="Sylfaen" w:eastAsia="BGGBOK+TimesNewRoman" w:hAnsi="Sylfaen" w:cs="Sylfaen"/>
          <w:lang w:val="ka-GE"/>
        </w:rPr>
        <w:t>დატვირთვების</w:t>
      </w:r>
      <w:r w:rsidRPr="00ED05BF">
        <w:rPr>
          <w:rFonts w:ascii="AcadNusx" w:eastAsia="BGGBOK+TimesNewRoman" w:hAnsi="AcadNusx"/>
          <w:lang w:val="ka-GE"/>
        </w:rPr>
        <w:t xml:space="preserve"> </w:t>
      </w:r>
      <w:r w:rsidRPr="00ED05BF">
        <w:rPr>
          <w:rFonts w:ascii="Sylfaen" w:eastAsia="BGGBOK+TimesNewRoman" w:hAnsi="Sylfaen" w:cs="Sylfaen"/>
          <w:lang w:val="ka-GE"/>
        </w:rPr>
        <w:t>გადაცემა</w:t>
      </w:r>
      <w:r w:rsidRPr="00ED05BF">
        <w:rPr>
          <w:rFonts w:ascii="AcadNusx" w:eastAsia="BGGBOK+TimesNewRoman" w:hAnsi="AcadNusx"/>
          <w:lang w:val="ka-GE"/>
        </w:rPr>
        <w:t xml:space="preserve"> </w:t>
      </w:r>
      <w:r w:rsidRPr="00ED05BF">
        <w:rPr>
          <w:rFonts w:ascii="Sylfaen" w:eastAsia="BGGBOK+TimesNewRoman" w:hAnsi="Sylfaen" w:cs="Sylfaen"/>
          <w:lang w:val="ka-GE"/>
        </w:rPr>
        <w:t>სატვირთო</w:t>
      </w:r>
      <w:r w:rsidRPr="00ED05BF">
        <w:rPr>
          <w:rFonts w:ascii="AcadNusx" w:eastAsia="BGGBOK+TimesNewRoman" w:hAnsi="AcadNusx"/>
          <w:lang w:val="ka-GE"/>
        </w:rPr>
        <w:t xml:space="preserve"> </w:t>
      </w:r>
      <w:r w:rsidRPr="00ED05BF">
        <w:rPr>
          <w:rFonts w:ascii="Sylfaen" w:eastAsia="BGGBOK+TimesNewRoman" w:hAnsi="Sylfaen" w:cs="Sylfaen"/>
          <w:lang w:val="ka-GE"/>
        </w:rPr>
        <w:t>ავტოტრანსპორტის</w:t>
      </w:r>
      <w:r w:rsidRPr="00ED05BF">
        <w:rPr>
          <w:rFonts w:ascii="AcadNusx" w:eastAsia="BGGBOK+TimesNewRoman" w:hAnsi="AcadNusx"/>
          <w:lang w:val="ka-GE"/>
        </w:rPr>
        <w:t xml:space="preserve">, </w:t>
      </w:r>
      <w:r w:rsidRPr="00ED05BF">
        <w:rPr>
          <w:rFonts w:ascii="Sylfaen" w:eastAsia="BGGBOK+TimesNewRoman" w:hAnsi="Sylfaen" w:cs="Sylfaen"/>
          <w:lang w:val="ka-GE"/>
        </w:rPr>
        <w:t>დამგები</w:t>
      </w:r>
      <w:r w:rsidRPr="00ED05BF">
        <w:rPr>
          <w:rFonts w:ascii="AcadNusx" w:eastAsia="BGGBOK+TimesNewRoman" w:hAnsi="AcadNusx"/>
          <w:lang w:val="ka-GE"/>
        </w:rPr>
        <w:t xml:space="preserve"> </w:t>
      </w:r>
      <w:r w:rsidRPr="00ED05BF">
        <w:rPr>
          <w:rFonts w:ascii="Sylfaen" w:eastAsia="BGGBOK+TimesNewRoman" w:hAnsi="Sylfaen" w:cs="Sylfaen"/>
          <w:lang w:val="ka-GE"/>
        </w:rPr>
        <w:t>დანადგარების</w:t>
      </w:r>
      <w:r w:rsidRPr="00ED05BF">
        <w:rPr>
          <w:rFonts w:ascii="AcadNusx" w:eastAsia="BGGBOK+TimesNewRoman" w:hAnsi="AcadNusx"/>
          <w:lang w:val="ka-GE"/>
        </w:rPr>
        <w:t xml:space="preserve"> </w:t>
      </w:r>
      <w:r w:rsidRPr="00ED05BF">
        <w:rPr>
          <w:rFonts w:ascii="Sylfaen" w:eastAsia="BGGBOK+TimesNewRoman" w:hAnsi="Sylfaen" w:cs="Sylfaen"/>
          <w:lang w:val="ka-GE"/>
        </w:rPr>
        <w:t>და</w:t>
      </w:r>
      <w:r w:rsidRPr="00ED05BF">
        <w:rPr>
          <w:rFonts w:ascii="AcadNusx" w:eastAsia="BGGBOK+TimesNewRoman" w:hAnsi="AcadNusx"/>
          <w:lang w:val="ka-GE"/>
        </w:rPr>
        <w:t xml:space="preserve"> </w:t>
      </w:r>
      <w:r w:rsidRPr="00ED05BF">
        <w:rPr>
          <w:rFonts w:ascii="Sylfaen" w:eastAsia="BGGBOK+TimesNewRoman" w:hAnsi="Sylfaen" w:cs="Sylfaen"/>
          <w:lang w:val="ka-GE"/>
        </w:rPr>
        <w:t>სხვა</w:t>
      </w:r>
      <w:r w:rsidRPr="00ED05BF">
        <w:rPr>
          <w:rFonts w:ascii="AcadNusx" w:eastAsia="BGGBOK+TimesNewRoman" w:hAnsi="AcadNusx"/>
          <w:lang w:val="ka-GE"/>
        </w:rPr>
        <w:t xml:space="preserve"> </w:t>
      </w:r>
      <w:r w:rsidRPr="00ED05BF">
        <w:rPr>
          <w:rFonts w:ascii="Sylfaen" w:eastAsia="BGGBOK+TimesNewRoman" w:hAnsi="Sylfaen" w:cs="Sylfaen"/>
          <w:lang w:val="ka-GE"/>
        </w:rPr>
        <w:t>სამშენებლო</w:t>
      </w:r>
      <w:r w:rsidRPr="00ED05BF">
        <w:rPr>
          <w:rFonts w:ascii="AcadNusx" w:eastAsia="BGGBOK+TimesNewRoman" w:hAnsi="AcadNusx"/>
          <w:lang w:val="ka-GE"/>
        </w:rPr>
        <w:t xml:space="preserve"> </w:t>
      </w:r>
      <w:r w:rsidRPr="00ED05BF">
        <w:rPr>
          <w:rFonts w:ascii="Sylfaen" w:eastAsia="BGGBOK+TimesNewRoman" w:hAnsi="Sylfaen" w:cs="Sylfaen"/>
          <w:lang w:val="ka-GE"/>
        </w:rPr>
        <w:t>ტექნიკის</w:t>
      </w:r>
      <w:r w:rsidRPr="00ED05BF">
        <w:rPr>
          <w:rFonts w:ascii="AcadNusx" w:eastAsia="BGGBOK+TimesNewRoman" w:hAnsi="AcadNusx"/>
          <w:lang w:val="ka-GE"/>
        </w:rPr>
        <w:t xml:space="preserve"> </w:t>
      </w:r>
      <w:r w:rsidRPr="00ED05BF">
        <w:rPr>
          <w:rFonts w:ascii="Sylfaen" w:eastAsia="BGGBOK+TimesNewRoman" w:hAnsi="Sylfaen" w:cs="Sylfaen"/>
          <w:lang w:val="ka-GE"/>
        </w:rPr>
        <w:t>მხრიდან</w:t>
      </w:r>
      <w:r w:rsidRPr="00ED05BF">
        <w:rPr>
          <w:rFonts w:ascii="AcadNusx" w:eastAsia="BGGBOK+TimesNewRoman" w:hAnsi="AcadNusx"/>
          <w:lang w:val="ka-GE"/>
        </w:rPr>
        <w:t xml:space="preserve">. </w:t>
      </w:r>
      <w:r w:rsidRPr="00ED05BF">
        <w:rPr>
          <w:rFonts w:ascii="Sylfaen" w:eastAsia="BGGBOK+TimesNewRoman" w:hAnsi="Sylfaen" w:cs="Sylfaen"/>
          <w:lang w:val="ka-GE"/>
        </w:rPr>
        <w:t>ნებისმიერ</w:t>
      </w:r>
      <w:r w:rsidRPr="00ED05BF">
        <w:rPr>
          <w:rFonts w:ascii="AcadNusx" w:eastAsia="BGGBOK+TimesNewRoman" w:hAnsi="AcadNusx"/>
          <w:lang w:val="ka-GE"/>
        </w:rPr>
        <w:t xml:space="preserve"> </w:t>
      </w:r>
      <w:r w:rsidRPr="00ED05BF">
        <w:rPr>
          <w:rFonts w:ascii="Sylfaen" w:eastAsia="BGGBOK+TimesNewRoman" w:hAnsi="Sylfaen" w:cs="Sylfaen"/>
          <w:lang w:val="ka-GE"/>
        </w:rPr>
        <w:t>დონეზე</w:t>
      </w:r>
      <w:r w:rsidRPr="00ED05BF">
        <w:rPr>
          <w:rFonts w:ascii="AcadNusx" w:eastAsia="BGGBOK+TimesNewRoman" w:hAnsi="AcadNusx"/>
          <w:lang w:val="ka-GE"/>
        </w:rPr>
        <w:t xml:space="preserve">, </w:t>
      </w:r>
      <w:r w:rsidRPr="00ED05BF">
        <w:rPr>
          <w:rFonts w:ascii="Sylfaen" w:eastAsia="BGGBOK+TimesNewRoman" w:hAnsi="Sylfaen" w:cs="Sylfaen"/>
          <w:lang w:val="ka-GE"/>
        </w:rPr>
        <w:t>რომელზეც</w:t>
      </w:r>
      <w:r w:rsidRPr="00ED05BF">
        <w:rPr>
          <w:rFonts w:ascii="AcadNusx" w:eastAsia="BGGBOK+TimesNewRoman" w:hAnsi="AcadNusx"/>
          <w:lang w:val="ka-GE"/>
        </w:rPr>
        <w:t xml:space="preserve"> </w:t>
      </w:r>
      <w:r w:rsidRPr="00ED05BF">
        <w:rPr>
          <w:rFonts w:ascii="Sylfaen" w:eastAsia="BGGBOK+TimesNewRoman" w:hAnsi="Sylfaen" w:cs="Sylfaen"/>
          <w:lang w:val="ka-GE"/>
        </w:rPr>
        <w:t>ხდება</w:t>
      </w:r>
      <w:r w:rsidRPr="00ED05BF">
        <w:rPr>
          <w:rFonts w:ascii="AcadNusx" w:eastAsia="BGGBOK+TimesNewRoman" w:hAnsi="AcadNusx"/>
          <w:lang w:val="ka-GE"/>
        </w:rPr>
        <w:t xml:space="preserve"> </w:t>
      </w:r>
      <w:r w:rsidRPr="00ED05BF">
        <w:rPr>
          <w:rFonts w:ascii="Sylfaen" w:eastAsia="BGGBOK+TimesNewRoman" w:hAnsi="Sylfaen" w:cs="Sylfaen"/>
          <w:lang w:val="ka-GE"/>
        </w:rPr>
        <w:t>ასეთი</w:t>
      </w:r>
      <w:r w:rsidRPr="00ED05BF">
        <w:rPr>
          <w:rFonts w:ascii="AcadNusx" w:eastAsia="BGGBOK+TimesNewRoman" w:hAnsi="AcadNusx"/>
          <w:lang w:val="ka-GE"/>
        </w:rPr>
        <w:t xml:space="preserve"> </w:t>
      </w:r>
      <w:r w:rsidRPr="00ED05BF">
        <w:rPr>
          <w:rFonts w:ascii="Sylfaen" w:eastAsia="BGGBOK+TimesNewRoman" w:hAnsi="Sylfaen" w:cs="Sylfaen"/>
          <w:lang w:val="ka-GE"/>
        </w:rPr>
        <w:t>ზემოქმედება</w:t>
      </w:r>
      <w:r w:rsidRPr="00ED05BF">
        <w:rPr>
          <w:rFonts w:ascii="AcadNusx" w:eastAsia="BGGBOK+TimesNewRoman" w:hAnsi="AcadNusx"/>
          <w:lang w:val="ka-GE"/>
        </w:rPr>
        <w:t xml:space="preserve">, </w:t>
      </w:r>
      <w:r w:rsidRPr="00ED05BF">
        <w:rPr>
          <w:rFonts w:ascii="Sylfaen" w:eastAsia="BGGBOK+TimesNewRoman" w:hAnsi="Sylfaen" w:cs="Sylfaen"/>
          <w:lang w:val="ka-GE"/>
        </w:rPr>
        <w:t>მასალების</w:t>
      </w:r>
      <w:r w:rsidRPr="00ED05BF">
        <w:rPr>
          <w:rFonts w:ascii="AcadNusx" w:eastAsia="BGGBOK+TimesNewRoman" w:hAnsi="AcadNusx"/>
          <w:lang w:val="ka-GE"/>
        </w:rPr>
        <w:t xml:space="preserve"> </w:t>
      </w:r>
      <w:r w:rsidRPr="00ED05BF">
        <w:rPr>
          <w:rFonts w:ascii="Sylfaen" w:eastAsia="BGGBOK+TimesNewRoman" w:hAnsi="Sylfaen" w:cs="Sylfaen"/>
          <w:lang w:val="ka-GE"/>
        </w:rPr>
        <w:t>სიმტკიცე</w:t>
      </w:r>
      <w:r w:rsidRPr="00ED05BF">
        <w:rPr>
          <w:rFonts w:ascii="AcadNusx" w:eastAsia="BGGBOK+TimesNewRoman" w:hAnsi="AcadNusx"/>
          <w:lang w:val="ka-GE"/>
        </w:rPr>
        <w:t xml:space="preserve"> </w:t>
      </w:r>
      <w:r w:rsidRPr="00ED05BF">
        <w:rPr>
          <w:rFonts w:ascii="Sylfaen" w:eastAsia="BGGBOK+TimesNewRoman" w:hAnsi="Sylfaen" w:cs="Sylfaen"/>
          <w:lang w:val="ka-GE"/>
        </w:rPr>
        <w:t>და</w:t>
      </w:r>
      <w:r w:rsidRPr="00ED05BF">
        <w:rPr>
          <w:rFonts w:ascii="AcadNusx" w:eastAsia="BGGBOK+TimesNewRoman" w:hAnsi="AcadNusx"/>
          <w:lang w:val="ka-GE"/>
        </w:rPr>
        <w:t xml:space="preserve"> </w:t>
      </w:r>
      <w:r w:rsidRPr="00ED05BF">
        <w:rPr>
          <w:rFonts w:ascii="Sylfaen" w:eastAsia="BGGBOK+TimesNewRoman" w:hAnsi="Sylfaen" w:cs="Sylfaen"/>
          <w:lang w:val="ka-GE"/>
        </w:rPr>
        <w:t>სისქეები</w:t>
      </w:r>
      <w:r w:rsidRPr="00ED05BF">
        <w:rPr>
          <w:rFonts w:ascii="AcadNusx" w:eastAsia="BGGBOK+TimesNewRoman" w:hAnsi="AcadNusx"/>
          <w:lang w:val="ka-GE"/>
        </w:rPr>
        <w:t xml:space="preserve"> </w:t>
      </w:r>
      <w:r w:rsidRPr="00ED05BF">
        <w:rPr>
          <w:rFonts w:ascii="Sylfaen" w:eastAsia="BGGBOK+TimesNewRoman" w:hAnsi="Sylfaen" w:cs="Sylfaen"/>
          <w:lang w:val="ka-GE"/>
        </w:rPr>
        <w:t>საკმარისი</w:t>
      </w:r>
      <w:r w:rsidRPr="00ED05BF">
        <w:rPr>
          <w:rFonts w:ascii="AcadNusx" w:eastAsia="BGGBOK+TimesNewRoman" w:hAnsi="AcadNusx"/>
          <w:lang w:val="ka-GE"/>
        </w:rPr>
        <w:t xml:space="preserve"> </w:t>
      </w:r>
      <w:r w:rsidRPr="00ED05BF">
        <w:rPr>
          <w:rFonts w:ascii="Sylfaen" w:eastAsia="BGGBOK+TimesNewRoman" w:hAnsi="Sylfaen" w:cs="Sylfaen"/>
          <w:lang w:val="ka-GE"/>
        </w:rPr>
        <w:t>უნდა</w:t>
      </w:r>
      <w:r w:rsidRPr="00ED05BF">
        <w:rPr>
          <w:rFonts w:ascii="AcadNusx" w:eastAsia="BGGBOK+TimesNewRoman" w:hAnsi="AcadNusx"/>
          <w:lang w:val="ka-GE"/>
        </w:rPr>
        <w:t xml:space="preserve"> </w:t>
      </w:r>
      <w:r w:rsidRPr="00ED05BF">
        <w:rPr>
          <w:rFonts w:ascii="Sylfaen" w:eastAsia="BGGBOK+TimesNewRoman" w:hAnsi="Sylfaen" w:cs="Sylfaen"/>
          <w:lang w:val="ka-GE"/>
        </w:rPr>
        <w:t>იყონ</w:t>
      </w:r>
      <w:r w:rsidRPr="00ED05BF">
        <w:rPr>
          <w:rFonts w:ascii="AcadNusx" w:eastAsia="BGGBOK+TimesNewRoman" w:hAnsi="AcadNusx"/>
          <w:lang w:val="ka-GE"/>
        </w:rPr>
        <w:t xml:space="preserve"> </w:t>
      </w:r>
      <w:r w:rsidRPr="00ED05BF">
        <w:rPr>
          <w:rFonts w:ascii="Sylfaen" w:eastAsia="BGGBOK+TimesNewRoman" w:hAnsi="Sylfaen" w:cs="Sylfaen"/>
          <w:lang w:val="ka-GE"/>
        </w:rPr>
        <w:t>დატვირთვების</w:t>
      </w:r>
      <w:r w:rsidRPr="00ED05BF">
        <w:rPr>
          <w:rFonts w:ascii="AcadNusx" w:eastAsia="BGGBOK+TimesNewRoman" w:hAnsi="AcadNusx"/>
          <w:lang w:val="ka-GE"/>
        </w:rPr>
        <w:t xml:space="preserve"> </w:t>
      </w:r>
      <w:r w:rsidRPr="00ED05BF">
        <w:rPr>
          <w:rFonts w:ascii="Sylfaen" w:eastAsia="BGGBOK+TimesNewRoman" w:hAnsi="Sylfaen" w:cs="Sylfaen"/>
          <w:lang w:val="ka-GE"/>
        </w:rPr>
        <w:t>გასაძლებად</w:t>
      </w:r>
      <w:r w:rsidRPr="00ED05BF">
        <w:rPr>
          <w:rFonts w:ascii="AcadNusx" w:eastAsia="BGGBOK+TimesNewRoman" w:hAnsi="AcadNusx"/>
          <w:lang w:val="ka-GE"/>
        </w:rPr>
        <w:t xml:space="preserve"> </w:t>
      </w:r>
      <w:r w:rsidRPr="00ED05BF">
        <w:rPr>
          <w:rFonts w:ascii="Sylfaen" w:eastAsia="BGGBOK+TimesNewRoman" w:hAnsi="Sylfaen" w:cs="Sylfaen"/>
          <w:lang w:val="ka-GE"/>
        </w:rPr>
        <w:t>რაიმე</w:t>
      </w:r>
      <w:r w:rsidRPr="00ED05BF">
        <w:rPr>
          <w:rFonts w:ascii="AcadNusx" w:eastAsia="BGGBOK+TimesNewRoman" w:hAnsi="AcadNusx"/>
          <w:lang w:val="ka-GE"/>
        </w:rPr>
        <w:t xml:space="preserve"> </w:t>
      </w:r>
      <w:r w:rsidRPr="00ED05BF">
        <w:rPr>
          <w:rFonts w:ascii="Sylfaen" w:eastAsia="BGGBOK+TimesNewRoman" w:hAnsi="Sylfaen" w:cs="Sylfaen"/>
          <w:lang w:val="ka-GE"/>
        </w:rPr>
        <w:t>დაზიანების</w:t>
      </w:r>
      <w:r w:rsidRPr="00ED05BF">
        <w:rPr>
          <w:rFonts w:ascii="AcadNusx" w:eastAsia="BGGBOK+TimesNewRoman" w:hAnsi="AcadNusx"/>
          <w:lang w:val="ka-GE"/>
        </w:rPr>
        <w:t xml:space="preserve"> </w:t>
      </w:r>
      <w:r w:rsidRPr="00ED05BF">
        <w:rPr>
          <w:rFonts w:ascii="Sylfaen" w:eastAsia="BGGBOK+TimesNewRoman" w:hAnsi="Sylfaen" w:cs="Sylfaen"/>
          <w:lang w:val="ka-GE"/>
        </w:rPr>
        <w:t>გარეშე</w:t>
      </w:r>
      <w:r w:rsidRPr="00ED05BF">
        <w:rPr>
          <w:rFonts w:ascii="AcadNusx" w:eastAsia="BGGBOK+TimesNewRoman" w:hAnsi="AcadNusx"/>
          <w:lang w:val="ka-GE"/>
        </w:rPr>
        <w:t xml:space="preserve">, </w:t>
      </w:r>
      <w:r w:rsidRPr="00ED05BF">
        <w:rPr>
          <w:rFonts w:ascii="Sylfaen" w:eastAsia="BGGBOK+TimesNewRoman" w:hAnsi="Sylfaen" w:cs="Sylfaen"/>
          <w:lang w:val="ka-GE"/>
        </w:rPr>
        <w:t>რომელმაც</w:t>
      </w:r>
      <w:r w:rsidRPr="00ED05BF">
        <w:rPr>
          <w:rFonts w:ascii="AcadNusx" w:eastAsia="BGGBOK+TimesNewRoman" w:hAnsi="AcadNusx"/>
          <w:lang w:val="ka-GE"/>
        </w:rPr>
        <w:t xml:space="preserve"> </w:t>
      </w:r>
      <w:r w:rsidRPr="00ED05BF">
        <w:rPr>
          <w:rFonts w:ascii="Sylfaen" w:eastAsia="BGGBOK+TimesNewRoman" w:hAnsi="Sylfaen" w:cs="Sylfaen"/>
          <w:lang w:val="ka-GE"/>
        </w:rPr>
        <w:t>შეიძლება</w:t>
      </w:r>
      <w:r w:rsidRPr="00ED05BF">
        <w:rPr>
          <w:rFonts w:ascii="AcadNusx" w:eastAsia="BGGBOK+TimesNewRoman" w:hAnsi="AcadNusx"/>
          <w:lang w:val="ka-GE"/>
        </w:rPr>
        <w:t xml:space="preserve"> </w:t>
      </w:r>
      <w:r w:rsidRPr="00ED05BF">
        <w:rPr>
          <w:rFonts w:ascii="Sylfaen" w:eastAsia="BGGBOK+TimesNewRoman" w:hAnsi="Sylfaen" w:cs="Sylfaen"/>
          <w:lang w:val="ka-GE"/>
        </w:rPr>
        <w:t>რაიმე</w:t>
      </w:r>
      <w:r w:rsidRPr="00ED05BF">
        <w:rPr>
          <w:rFonts w:ascii="AcadNusx" w:eastAsia="BGGBOK+TimesNewRoman" w:hAnsi="AcadNusx"/>
          <w:lang w:val="ka-GE"/>
        </w:rPr>
        <w:t xml:space="preserve"> </w:t>
      </w:r>
      <w:r w:rsidRPr="00ED05BF">
        <w:rPr>
          <w:rFonts w:ascii="Sylfaen" w:eastAsia="BGGBOK+TimesNewRoman" w:hAnsi="Sylfaen" w:cs="Sylfaen"/>
          <w:lang w:val="ka-GE"/>
        </w:rPr>
        <w:t>საგრძნობად</w:t>
      </w:r>
      <w:r w:rsidRPr="00ED05BF">
        <w:rPr>
          <w:rFonts w:ascii="AcadNusx" w:eastAsia="BGGBOK+TimesNewRoman" w:hAnsi="AcadNusx"/>
          <w:lang w:val="ka-GE"/>
        </w:rPr>
        <w:t xml:space="preserve"> </w:t>
      </w:r>
      <w:r w:rsidRPr="00ED05BF">
        <w:rPr>
          <w:rFonts w:ascii="Sylfaen" w:eastAsia="BGGBOK+TimesNewRoman" w:hAnsi="Sylfaen" w:cs="Sylfaen"/>
          <w:lang w:val="ka-GE"/>
        </w:rPr>
        <w:t>უარყოფითი</w:t>
      </w:r>
      <w:r w:rsidRPr="00ED05BF">
        <w:rPr>
          <w:rFonts w:ascii="AcadNusx" w:eastAsia="BGGBOK+TimesNewRoman" w:hAnsi="AcadNusx"/>
          <w:lang w:val="ka-GE"/>
        </w:rPr>
        <w:t xml:space="preserve"> </w:t>
      </w:r>
      <w:r w:rsidRPr="00ED05BF">
        <w:rPr>
          <w:rFonts w:ascii="Sylfaen" w:eastAsia="BGGBOK+TimesNewRoman" w:hAnsi="Sylfaen" w:cs="Sylfaen"/>
          <w:lang w:val="ka-GE"/>
        </w:rPr>
        <w:t>გავლენა</w:t>
      </w:r>
      <w:r w:rsidRPr="00ED05BF">
        <w:rPr>
          <w:rFonts w:ascii="AcadNusx" w:eastAsia="BGGBOK+TimesNewRoman" w:hAnsi="AcadNusx"/>
          <w:lang w:val="ka-GE"/>
        </w:rPr>
        <w:t xml:space="preserve"> </w:t>
      </w:r>
      <w:r w:rsidRPr="00ED05BF">
        <w:rPr>
          <w:rFonts w:ascii="Sylfaen" w:eastAsia="BGGBOK+TimesNewRoman" w:hAnsi="Sylfaen" w:cs="Sylfaen"/>
          <w:lang w:val="ka-GE"/>
        </w:rPr>
        <w:t>იქონიოს</w:t>
      </w:r>
      <w:r w:rsidRPr="00ED05BF">
        <w:rPr>
          <w:rFonts w:ascii="AcadNusx" w:eastAsia="BGGBOK+TimesNewRoman" w:hAnsi="AcadNusx"/>
          <w:lang w:val="ka-GE"/>
        </w:rPr>
        <w:t xml:space="preserve"> </w:t>
      </w:r>
      <w:r w:rsidRPr="00ED05BF">
        <w:rPr>
          <w:rFonts w:ascii="Sylfaen" w:eastAsia="BGGBOK+TimesNewRoman" w:hAnsi="Sylfaen" w:cs="Sylfaen"/>
          <w:lang w:val="ka-GE"/>
        </w:rPr>
        <w:t>საგზაო</w:t>
      </w:r>
      <w:r w:rsidRPr="00ED05BF">
        <w:rPr>
          <w:rFonts w:ascii="AcadNusx" w:eastAsia="BGGBOK+TimesNewRoman" w:hAnsi="AcadNusx"/>
          <w:lang w:val="ka-GE"/>
        </w:rPr>
        <w:t xml:space="preserve"> </w:t>
      </w:r>
      <w:r w:rsidRPr="00ED05BF">
        <w:rPr>
          <w:rFonts w:ascii="Sylfaen" w:eastAsia="BGGBOK+TimesNewRoman" w:hAnsi="Sylfaen" w:cs="Sylfaen"/>
          <w:lang w:val="ka-GE"/>
        </w:rPr>
        <w:t>სამოსის</w:t>
      </w:r>
      <w:r w:rsidRPr="00ED05BF">
        <w:rPr>
          <w:rFonts w:ascii="AcadNusx" w:eastAsia="BGGBOK+TimesNewRoman" w:hAnsi="AcadNusx"/>
          <w:lang w:val="ka-GE"/>
        </w:rPr>
        <w:t xml:space="preserve"> </w:t>
      </w:r>
      <w:r w:rsidRPr="00ED05BF">
        <w:rPr>
          <w:rFonts w:ascii="Sylfaen" w:eastAsia="BGGBOK+TimesNewRoman" w:hAnsi="Sylfaen" w:cs="Sylfaen"/>
          <w:lang w:val="ka-GE"/>
        </w:rPr>
        <w:t>სამომავლო</w:t>
      </w:r>
      <w:r w:rsidRPr="00ED05BF">
        <w:rPr>
          <w:rFonts w:ascii="AcadNusx" w:eastAsia="BGGBOK+TimesNewRoman" w:hAnsi="AcadNusx"/>
          <w:lang w:val="ka-GE"/>
        </w:rPr>
        <w:t xml:space="preserve"> </w:t>
      </w:r>
      <w:r w:rsidRPr="00ED05BF">
        <w:rPr>
          <w:rFonts w:ascii="Sylfaen" w:eastAsia="BGGBOK+TimesNewRoman" w:hAnsi="Sylfaen" w:cs="Sylfaen"/>
          <w:lang w:val="ka-GE"/>
        </w:rPr>
        <w:t>მუშაობაზე</w:t>
      </w:r>
      <w:r w:rsidRPr="00ED05BF">
        <w:rPr>
          <w:rFonts w:ascii="AcadNusx" w:eastAsia="BGGBOK+TimesNewRoman" w:hAnsi="AcadNusx"/>
          <w:lang w:val="ka-GE"/>
        </w:rPr>
        <w:t>.</w:t>
      </w:r>
    </w:p>
    <w:p w14:paraId="7F668198" w14:textId="77777777" w:rsidR="00ED05BF" w:rsidRPr="00ED05BF" w:rsidRDefault="00ED05BF" w:rsidP="00ED05BF">
      <w:pPr>
        <w:spacing w:before="120" w:after="120"/>
        <w:rPr>
          <w:rFonts w:ascii="AcadNusx" w:eastAsia="BGGBOK+TimesNewRoman" w:hAnsi="AcadNusx"/>
          <w:lang w:val="ka-GE"/>
        </w:rPr>
      </w:pPr>
      <w:r w:rsidRPr="00ED05BF">
        <w:rPr>
          <w:rFonts w:ascii="Sylfaen" w:eastAsia="BGGBOK+TimesNewRoman" w:hAnsi="Sylfaen" w:cs="Sylfaen"/>
          <w:lang w:val="ka-GE"/>
        </w:rPr>
        <w:t>გზის</w:t>
      </w:r>
      <w:r w:rsidRPr="00ED05BF">
        <w:rPr>
          <w:rFonts w:ascii="AcadNusx" w:eastAsia="BGGBOK+TimesNewRoman" w:hAnsi="AcadNusx"/>
          <w:lang w:val="ka-GE"/>
        </w:rPr>
        <w:t xml:space="preserve"> </w:t>
      </w:r>
      <w:r w:rsidRPr="00ED05BF">
        <w:rPr>
          <w:rFonts w:ascii="Sylfaen" w:eastAsia="BGGBOK+TimesNewRoman" w:hAnsi="Sylfaen" w:cs="Sylfaen"/>
          <w:lang w:val="ka-GE"/>
        </w:rPr>
        <w:t>საძირკველი</w:t>
      </w:r>
      <w:r w:rsidRPr="00ED05BF">
        <w:rPr>
          <w:rFonts w:ascii="AcadNusx" w:eastAsia="BGGBOK+TimesNewRoman" w:hAnsi="AcadNusx"/>
          <w:lang w:val="ka-GE"/>
        </w:rPr>
        <w:t xml:space="preserve"> (</w:t>
      </w:r>
      <w:r w:rsidRPr="00ED05BF">
        <w:rPr>
          <w:rFonts w:ascii="Sylfaen" w:eastAsia="BGGBOK+TimesNewRoman" w:hAnsi="Sylfaen" w:cs="Sylfaen"/>
          <w:lang w:val="ka-GE"/>
        </w:rPr>
        <w:t>ვარცლი</w:t>
      </w:r>
      <w:r w:rsidRPr="00ED05BF">
        <w:rPr>
          <w:rFonts w:ascii="AcadNusx" w:eastAsia="BGGBOK+TimesNewRoman" w:hAnsi="AcadNusx"/>
          <w:lang w:val="ka-GE"/>
        </w:rPr>
        <w:t xml:space="preserve">) </w:t>
      </w:r>
      <w:r w:rsidRPr="00ED05BF">
        <w:rPr>
          <w:rFonts w:ascii="Sylfaen" w:eastAsia="BGGBOK+TimesNewRoman" w:hAnsi="Sylfaen" w:cs="Sylfaen"/>
          <w:lang w:val="ka-GE"/>
        </w:rPr>
        <w:t>საკმარისად</w:t>
      </w:r>
      <w:r w:rsidRPr="00ED05BF">
        <w:rPr>
          <w:rFonts w:ascii="AcadNusx" w:eastAsia="BGGBOK+TimesNewRoman" w:hAnsi="AcadNusx"/>
          <w:lang w:val="ka-GE"/>
        </w:rPr>
        <w:t xml:space="preserve"> </w:t>
      </w:r>
      <w:r w:rsidRPr="00ED05BF">
        <w:rPr>
          <w:rFonts w:ascii="Sylfaen" w:eastAsia="BGGBOK+TimesNewRoman" w:hAnsi="Sylfaen" w:cs="Sylfaen"/>
          <w:lang w:val="ka-GE"/>
        </w:rPr>
        <w:t>გამკვრივებული</w:t>
      </w:r>
      <w:r w:rsidRPr="00ED05BF">
        <w:rPr>
          <w:rFonts w:ascii="AcadNusx" w:eastAsia="BGGBOK+TimesNewRoman" w:hAnsi="AcadNusx"/>
          <w:lang w:val="ka-GE"/>
        </w:rPr>
        <w:t xml:space="preserve"> </w:t>
      </w:r>
      <w:r w:rsidRPr="00ED05BF">
        <w:rPr>
          <w:rFonts w:ascii="Sylfaen" w:eastAsia="BGGBOK+TimesNewRoman" w:hAnsi="Sylfaen" w:cs="Sylfaen"/>
          <w:lang w:val="ka-GE"/>
        </w:rPr>
        <w:t>უნდა</w:t>
      </w:r>
      <w:r w:rsidRPr="00ED05BF">
        <w:rPr>
          <w:rFonts w:ascii="AcadNusx" w:eastAsia="BGGBOK+TimesNewRoman" w:hAnsi="AcadNusx"/>
          <w:lang w:val="ka-GE"/>
        </w:rPr>
        <w:t xml:space="preserve"> </w:t>
      </w:r>
      <w:r w:rsidRPr="00ED05BF">
        <w:rPr>
          <w:rFonts w:ascii="Sylfaen" w:eastAsia="BGGBOK+TimesNewRoman" w:hAnsi="Sylfaen" w:cs="Sylfaen"/>
          <w:lang w:val="ka-GE"/>
        </w:rPr>
        <w:t>იყოს</w:t>
      </w:r>
      <w:r w:rsidRPr="00ED05BF">
        <w:rPr>
          <w:rFonts w:ascii="AcadNusx" w:eastAsia="BGGBOK+TimesNewRoman" w:hAnsi="AcadNusx"/>
          <w:lang w:val="ka-GE"/>
        </w:rPr>
        <w:t xml:space="preserve"> </w:t>
      </w:r>
      <w:r w:rsidRPr="00ED05BF">
        <w:rPr>
          <w:rFonts w:ascii="Sylfaen" w:eastAsia="BGGBOK+TimesNewRoman" w:hAnsi="Sylfaen" w:cs="Sylfaen"/>
          <w:lang w:val="ka-GE"/>
        </w:rPr>
        <w:t>მასზედ</w:t>
      </w:r>
      <w:r w:rsidRPr="00ED05BF">
        <w:rPr>
          <w:rFonts w:ascii="AcadNusx" w:eastAsia="BGGBOK+TimesNewRoman" w:hAnsi="AcadNusx"/>
          <w:lang w:val="ka-GE"/>
        </w:rPr>
        <w:t xml:space="preserve"> </w:t>
      </w:r>
      <w:r w:rsidRPr="00ED05BF">
        <w:rPr>
          <w:rFonts w:ascii="Sylfaen" w:eastAsia="BGGBOK+TimesNewRoman" w:hAnsi="Sylfaen" w:cs="Sylfaen"/>
          <w:lang w:val="ka-GE"/>
        </w:rPr>
        <w:t>საგზაო</w:t>
      </w:r>
      <w:r w:rsidRPr="00ED05BF">
        <w:rPr>
          <w:rFonts w:ascii="AcadNusx" w:eastAsia="BGGBOK+TimesNewRoman" w:hAnsi="AcadNusx"/>
          <w:lang w:val="ka-GE"/>
        </w:rPr>
        <w:t xml:space="preserve"> </w:t>
      </w:r>
      <w:r w:rsidRPr="00ED05BF">
        <w:rPr>
          <w:rFonts w:ascii="Sylfaen" w:eastAsia="BGGBOK+TimesNewRoman" w:hAnsi="Sylfaen" w:cs="Sylfaen"/>
          <w:lang w:val="ka-GE"/>
        </w:rPr>
        <w:t>სამოსის</w:t>
      </w:r>
      <w:r w:rsidRPr="00ED05BF">
        <w:rPr>
          <w:rFonts w:ascii="AcadNusx" w:eastAsia="BGGBOK+TimesNewRoman" w:hAnsi="AcadNusx"/>
          <w:lang w:val="ka-GE"/>
        </w:rPr>
        <w:t xml:space="preserve"> </w:t>
      </w:r>
      <w:r w:rsidRPr="00ED05BF">
        <w:rPr>
          <w:rFonts w:ascii="Sylfaen" w:eastAsia="BGGBOK+TimesNewRoman" w:hAnsi="Sylfaen" w:cs="Sylfaen"/>
          <w:lang w:val="ka-GE"/>
        </w:rPr>
        <w:t>ფენების</w:t>
      </w:r>
      <w:r w:rsidRPr="00ED05BF">
        <w:rPr>
          <w:rFonts w:ascii="AcadNusx" w:eastAsia="BGGBOK+TimesNewRoman" w:hAnsi="AcadNusx"/>
          <w:lang w:val="ka-GE"/>
        </w:rPr>
        <w:t xml:space="preserve"> </w:t>
      </w:r>
      <w:r w:rsidRPr="00ED05BF">
        <w:rPr>
          <w:rFonts w:ascii="Sylfaen" w:eastAsia="BGGBOK+TimesNewRoman" w:hAnsi="Sylfaen" w:cs="Sylfaen"/>
          <w:lang w:val="ka-GE"/>
        </w:rPr>
        <w:t>დაგებისა</w:t>
      </w:r>
      <w:r w:rsidRPr="00ED05BF">
        <w:rPr>
          <w:rFonts w:ascii="AcadNusx" w:eastAsia="BGGBOK+TimesNewRoman" w:hAnsi="AcadNusx"/>
          <w:lang w:val="ka-GE"/>
        </w:rPr>
        <w:t xml:space="preserve"> </w:t>
      </w:r>
      <w:r w:rsidRPr="00ED05BF">
        <w:rPr>
          <w:rFonts w:ascii="Sylfaen" w:eastAsia="BGGBOK+TimesNewRoman" w:hAnsi="Sylfaen" w:cs="Sylfaen"/>
          <w:lang w:val="ka-GE"/>
        </w:rPr>
        <w:t>და</w:t>
      </w:r>
      <w:r w:rsidRPr="00ED05BF">
        <w:rPr>
          <w:rFonts w:ascii="AcadNusx" w:eastAsia="BGGBOK+TimesNewRoman" w:hAnsi="AcadNusx"/>
          <w:lang w:val="ka-GE"/>
        </w:rPr>
        <w:t xml:space="preserve"> </w:t>
      </w:r>
      <w:r w:rsidRPr="00ED05BF">
        <w:rPr>
          <w:rFonts w:ascii="Sylfaen" w:eastAsia="BGGBOK+TimesNewRoman" w:hAnsi="Sylfaen" w:cs="Sylfaen"/>
          <w:lang w:val="ka-GE"/>
        </w:rPr>
        <w:t>ადექვატურად</w:t>
      </w:r>
      <w:r w:rsidRPr="00ED05BF">
        <w:rPr>
          <w:rFonts w:ascii="AcadNusx" w:eastAsia="BGGBOK+TimesNewRoman" w:hAnsi="AcadNusx"/>
          <w:lang w:val="ka-GE"/>
        </w:rPr>
        <w:t xml:space="preserve"> </w:t>
      </w:r>
      <w:r w:rsidRPr="00ED05BF">
        <w:rPr>
          <w:rFonts w:ascii="Sylfaen" w:eastAsia="BGGBOK+TimesNewRoman" w:hAnsi="Sylfaen" w:cs="Sylfaen"/>
          <w:lang w:val="ka-GE"/>
        </w:rPr>
        <w:t>დატკეპნის</w:t>
      </w:r>
      <w:r w:rsidRPr="00ED05BF">
        <w:rPr>
          <w:rFonts w:ascii="AcadNusx" w:eastAsia="BGGBOK+TimesNewRoman" w:hAnsi="AcadNusx"/>
          <w:lang w:val="ka-GE"/>
        </w:rPr>
        <w:t xml:space="preserve"> </w:t>
      </w:r>
      <w:r w:rsidRPr="00ED05BF">
        <w:rPr>
          <w:rFonts w:ascii="Sylfaen" w:eastAsia="BGGBOK+TimesNewRoman" w:hAnsi="Sylfaen" w:cs="Sylfaen"/>
          <w:lang w:val="ka-GE"/>
        </w:rPr>
        <w:t>საჭიროების</w:t>
      </w:r>
      <w:r w:rsidRPr="00ED05BF">
        <w:rPr>
          <w:rFonts w:ascii="AcadNusx" w:eastAsia="BGGBOK+TimesNewRoman" w:hAnsi="AcadNusx"/>
          <w:lang w:val="ka-GE"/>
        </w:rPr>
        <w:t xml:space="preserve"> </w:t>
      </w:r>
      <w:r w:rsidRPr="00ED05BF">
        <w:rPr>
          <w:rFonts w:ascii="Sylfaen" w:eastAsia="BGGBOK+TimesNewRoman" w:hAnsi="Sylfaen" w:cs="Sylfaen"/>
          <w:lang w:val="ka-GE"/>
        </w:rPr>
        <w:t>გათვალისწინებით</w:t>
      </w:r>
      <w:r w:rsidRPr="00ED05BF">
        <w:rPr>
          <w:rFonts w:ascii="AcadNusx" w:eastAsia="BGGBOK+TimesNewRoman" w:hAnsi="AcadNusx"/>
          <w:lang w:val="ka-GE"/>
        </w:rPr>
        <w:t xml:space="preserve">. </w:t>
      </w:r>
    </w:p>
    <w:p w14:paraId="1A86B030" w14:textId="77777777" w:rsidR="00ED05BF" w:rsidRPr="00ED05BF" w:rsidRDefault="00ED05BF" w:rsidP="00ED05BF">
      <w:pPr>
        <w:spacing w:before="120" w:after="120"/>
        <w:rPr>
          <w:rFonts w:ascii="AcadNusx" w:eastAsia="BGGBOK+TimesNewRoman" w:hAnsi="AcadNusx"/>
          <w:lang w:val="ka-GE"/>
        </w:rPr>
      </w:pPr>
      <w:r w:rsidRPr="00ED05BF">
        <w:rPr>
          <w:rFonts w:ascii="Sylfaen" w:eastAsia="BGGBOK+TimesNewRoman" w:hAnsi="Sylfaen" w:cs="Sylfaen"/>
          <w:lang w:val="ka-GE"/>
        </w:rPr>
        <w:t>უაღრესად</w:t>
      </w:r>
      <w:r w:rsidRPr="00ED05BF">
        <w:rPr>
          <w:rFonts w:ascii="AcadNusx" w:eastAsia="BGGBOK+TimesNewRoman" w:hAnsi="AcadNusx"/>
          <w:lang w:val="ka-GE"/>
        </w:rPr>
        <w:t xml:space="preserve"> </w:t>
      </w:r>
      <w:r w:rsidRPr="00ED05BF">
        <w:rPr>
          <w:rFonts w:ascii="Sylfaen" w:eastAsia="BGGBOK+TimesNewRoman" w:hAnsi="Sylfaen" w:cs="Sylfaen"/>
          <w:lang w:val="ka-GE"/>
        </w:rPr>
        <w:t>მნიშვნელოვანია</w:t>
      </w:r>
      <w:r w:rsidRPr="00ED05BF">
        <w:rPr>
          <w:rFonts w:ascii="AcadNusx" w:eastAsia="BGGBOK+TimesNewRoman" w:hAnsi="AcadNusx"/>
          <w:lang w:val="ka-GE"/>
        </w:rPr>
        <w:t xml:space="preserve"> </w:t>
      </w:r>
      <w:r w:rsidRPr="00ED05BF">
        <w:rPr>
          <w:rFonts w:ascii="Sylfaen" w:eastAsia="BGGBOK+TimesNewRoman" w:hAnsi="Sylfaen" w:cs="Sylfaen"/>
          <w:lang w:val="ka-GE"/>
        </w:rPr>
        <w:t>სადრენაჟე</w:t>
      </w:r>
      <w:r w:rsidRPr="00ED05BF">
        <w:rPr>
          <w:rFonts w:ascii="AcadNusx" w:eastAsia="BGGBOK+TimesNewRoman" w:hAnsi="AcadNusx"/>
          <w:lang w:val="ka-GE"/>
        </w:rPr>
        <w:t xml:space="preserve"> </w:t>
      </w:r>
      <w:r w:rsidRPr="00ED05BF">
        <w:rPr>
          <w:rFonts w:ascii="Sylfaen" w:eastAsia="BGGBOK+TimesNewRoman" w:hAnsi="Sylfaen" w:cs="Sylfaen"/>
          <w:lang w:val="ka-GE"/>
        </w:rPr>
        <w:t>სისტემამ</w:t>
      </w:r>
      <w:r w:rsidRPr="00ED05BF">
        <w:rPr>
          <w:rFonts w:ascii="AcadNusx" w:eastAsia="BGGBOK+TimesNewRoman" w:hAnsi="AcadNusx"/>
          <w:lang w:val="ka-GE"/>
        </w:rPr>
        <w:t xml:space="preserve"> </w:t>
      </w:r>
      <w:r w:rsidRPr="00ED05BF">
        <w:rPr>
          <w:rFonts w:ascii="Sylfaen" w:eastAsia="BGGBOK+TimesNewRoman" w:hAnsi="Sylfaen" w:cs="Sylfaen"/>
          <w:lang w:val="ka-GE"/>
        </w:rPr>
        <w:t>არ</w:t>
      </w:r>
      <w:r w:rsidRPr="00ED05BF">
        <w:rPr>
          <w:rFonts w:ascii="AcadNusx" w:eastAsia="BGGBOK+TimesNewRoman" w:hAnsi="AcadNusx"/>
          <w:lang w:val="ka-GE"/>
        </w:rPr>
        <w:t xml:space="preserve"> </w:t>
      </w:r>
      <w:r w:rsidRPr="00ED05BF">
        <w:rPr>
          <w:rFonts w:ascii="Sylfaen" w:eastAsia="BGGBOK+TimesNewRoman" w:hAnsi="Sylfaen" w:cs="Sylfaen"/>
          <w:lang w:val="ka-GE"/>
        </w:rPr>
        <w:t>დაუშვას</w:t>
      </w:r>
      <w:r w:rsidRPr="00ED05BF">
        <w:rPr>
          <w:rFonts w:ascii="AcadNusx" w:eastAsia="BGGBOK+TimesNewRoman" w:hAnsi="AcadNusx"/>
          <w:lang w:val="ka-GE"/>
        </w:rPr>
        <w:t xml:space="preserve"> </w:t>
      </w:r>
      <w:r w:rsidRPr="00ED05BF">
        <w:rPr>
          <w:rFonts w:ascii="Sylfaen" w:eastAsia="BGGBOK+TimesNewRoman" w:hAnsi="Sylfaen" w:cs="Sylfaen"/>
          <w:lang w:val="ka-GE"/>
        </w:rPr>
        <w:t>წყლის</w:t>
      </w:r>
      <w:r w:rsidRPr="00ED05BF">
        <w:rPr>
          <w:rFonts w:ascii="AcadNusx" w:eastAsia="BGGBOK+TimesNewRoman" w:hAnsi="AcadNusx"/>
          <w:lang w:val="ka-GE"/>
        </w:rPr>
        <w:t xml:space="preserve"> </w:t>
      </w:r>
      <w:r w:rsidRPr="00ED05BF">
        <w:rPr>
          <w:rFonts w:ascii="Sylfaen" w:eastAsia="BGGBOK+TimesNewRoman" w:hAnsi="Sylfaen" w:cs="Sylfaen"/>
          <w:lang w:val="ka-GE"/>
        </w:rPr>
        <w:t>აკუმულირება</w:t>
      </w:r>
      <w:r w:rsidRPr="00ED05BF">
        <w:rPr>
          <w:rFonts w:ascii="AcadNusx" w:eastAsia="BGGBOK+TimesNewRoman" w:hAnsi="AcadNusx"/>
          <w:lang w:val="ka-GE"/>
        </w:rPr>
        <w:t xml:space="preserve"> </w:t>
      </w:r>
      <w:r w:rsidRPr="00ED05BF">
        <w:rPr>
          <w:rFonts w:ascii="Sylfaen" w:eastAsia="BGGBOK+TimesNewRoman" w:hAnsi="Sylfaen" w:cs="Sylfaen"/>
          <w:lang w:val="ka-GE"/>
        </w:rPr>
        <w:t>საგზაო</w:t>
      </w:r>
      <w:r w:rsidRPr="00ED05BF">
        <w:rPr>
          <w:rFonts w:ascii="AcadNusx" w:eastAsia="BGGBOK+TimesNewRoman" w:hAnsi="AcadNusx"/>
          <w:lang w:val="ka-GE"/>
        </w:rPr>
        <w:t xml:space="preserve"> </w:t>
      </w:r>
      <w:r w:rsidRPr="00ED05BF">
        <w:rPr>
          <w:rFonts w:ascii="Sylfaen" w:eastAsia="BGGBOK+TimesNewRoman" w:hAnsi="Sylfaen" w:cs="Sylfaen"/>
          <w:lang w:val="ka-GE"/>
        </w:rPr>
        <w:t>სამოსის</w:t>
      </w:r>
      <w:r w:rsidRPr="00ED05BF">
        <w:rPr>
          <w:rFonts w:ascii="AcadNusx" w:eastAsia="BGGBOK+TimesNewRoman" w:hAnsi="AcadNusx"/>
          <w:lang w:val="ka-GE"/>
        </w:rPr>
        <w:t xml:space="preserve"> </w:t>
      </w:r>
      <w:r w:rsidRPr="00ED05BF">
        <w:rPr>
          <w:rFonts w:ascii="Sylfaen" w:eastAsia="BGGBOK+TimesNewRoman" w:hAnsi="Sylfaen" w:cs="Sylfaen"/>
          <w:lang w:val="ka-GE"/>
        </w:rPr>
        <w:t>ფენებსა</w:t>
      </w:r>
      <w:r w:rsidRPr="00ED05BF">
        <w:rPr>
          <w:rFonts w:ascii="AcadNusx" w:eastAsia="BGGBOK+TimesNewRoman" w:hAnsi="AcadNusx"/>
          <w:lang w:val="ka-GE"/>
        </w:rPr>
        <w:t xml:space="preserve"> </w:t>
      </w:r>
      <w:r w:rsidRPr="00ED05BF">
        <w:rPr>
          <w:rFonts w:ascii="Sylfaen" w:eastAsia="BGGBOK+TimesNewRoman" w:hAnsi="Sylfaen" w:cs="Sylfaen"/>
          <w:lang w:val="ka-GE"/>
        </w:rPr>
        <w:t>და</w:t>
      </w:r>
      <w:r w:rsidRPr="00ED05BF">
        <w:rPr>
          <w:rFonts w:ascii="AcadNusx" w:eastAsia="BGGBOK+TimesNewRoman" w:hAnsi="AcadNusx"/>
          <w:lang w:val="ka-GE"/>
        </w:rPr>
        <w:t xml:space="preserve"> </w:t>
      </w:r>
      <w:r w:rsidRPr="00ED05BF">
        <w:rPr>
          <w:rFonts w:ascii="Sylfaen" w:eastAsia="BGGBOK+TimesNewRoman" w:hAnsi="Sylfaen" w:cs="Sylfaen"/>
          <w:lang w:val="ka-GE"/>
        </w:rPr>
        <w:t>გზის</w:t>
      </w:r>
      <w:r w:rsidRPr="00ED05BF">
        <w:rPr>
          <w:rFonts w:ascii="AcadNusx" w:eastAsia="BGGBOK+TimesNewRoman" w:hAnsi="AcadNusx"/>
          <w:lang w:val="ka-GE"/>
        </w:rPr>
        <w:t xml:space="preserve"> </w:t>
      </w:r>
      <w:r w:rsidRPr="00ED05BF">
        <w:rPr>
          <w:rFonts w:ascii="Sylfaen" w:eastAsia="BGGBOK+TimesNewRoman" w:hAnsi="Sylfaen" w:cs="Sylfaen"/>
          <w:lang w:val="ka-GE"/>
        </w:rPr>
        <w:t>კალაპოტში</w:t>
      </w:r>
      <w:r w:rsidRPr="00ED05BF">
        <w:rPr>
          <w:rFonts w:ascii="AcadNusx" w:eastAsia="BGGBOK+TimesNewRoman" w:hAnsi="AcadNusx"/>
          <w:lang w:val="ka-GE"/>
        </w:rPr>
        <w:t xml:space="preserve"> </w:t>
      </w:r>
      <w:r w:rsidRPr="00ED05BF">
        <w:rPr>
          <w:rFonts w:ascii="Sylfaen" w:eastAsia="BGGBOK+TimesNewRoman" w:hAnsi="Sylfaen" w:cs="Sylfaen"/>
          <w:lang w:val="ka-GE"/>
        </w:rPr>
        <w:t>და</w:t>
      </w:r>
      <w:r w:rsidRPr="00ED05BF">
        <w:rPr>
          <w:rFonts w:ascii="AcadNusx" w:eastAsia="BGGBOK+TimesNewRoman" w:hAnsi="AcadNusx"/>
          <w:lang w:val="ka-GE"/>
        </w:rPr>
        <w:t xml:space="preserve"> </w:t>
      </w:r>
      <w:r w:rsidRPr="00ED05BF">
        <w:rPr>
          <w:rFonts w:ascii="Sylfaen" w:eastAsia="BGGBOK+TimesNewRoman" w:hAnsi="Sylfaen" w:cs="Sylfaen"/>
          <w:lang w:val="ka-GE"/>
        </w:rPr>
        <w:t>უზრუნველყოს</w:t>
      </w:r>
      <w:r w:rsidRPr="00ED05BF">
        <w:rPr>
          <w:rFonts w:ascii="AcadNusx" w:eastAsia="BGGBOK+TimesNewRoman" w:hAnsi="AcadNusx"/>
          <w:lang w:val="ka-GE"/>
        </w:rPr>
        <w:t xml:space="preserve"> </w:t>
      </w:r>
      <w:r w:rsidRPr="00ED05BF">
        <w:rPr>
          <w:rFonts w:ascii="Sylfaen" w:eastAsia="BGGBOK+TimesNewRoman" w:hAnsi="Sylfaen" w:cs="Sylfaen"/>
          <w:lang w:val="ka-GE"/>
        </w:rPr>
        <w:t>ჭარბი</w:t>
      </w:r>
      <w:r w:rsidRPr="00ED05BF">
        <w:rPr>
          <w:rFonts w:ascii="AcadNusx" w:eastAsia="BGGBOK+TimesNewRoman" w:hAnsi="AcadNusx"/>
          <w:lang w:val="ka-GE"/>
        </w:rPr>
        <w:t xml:space="preserve"> </w:t>
      </w:r>
      <w:r w:rsidRPr="00ED05BF">
        <w:rPr>
          <w:rFonts w:ascii="Sylfaen" w:eastAsia="BGGBOK+TimesNewRoman" w:hAnsi="Sylfaen" w:cs="Sylfaen"/>
          <w:lang w:val="ka-GE"/>
        </w:rPr>
        <w:t>ნესტის</w:t>
      </w:r>
      <w:r w:rsidRPr="00ED05BF">
        <w:rPr>
          <w:rFonts w:ascii="AcadNusx" w:eastAsia="BGGBOK+TimesNewRoman" w:hAnsi="AcadNusx"/>
          <w:lang w:val="ka-GE"/>
        </w:rPr>
        <w:t xml:space="preserve"> </w:t>
      </w:r>
      <w:r w:rsidRPr="00ED05BF">
        <w:rPr>
          <w:rFonts w:ascii="Sylfaen" w:eastAsia="BGGBOK+TimesNewRoman" w:hAnsi="Sylfaen" w:cs="Sylfaen"/>
          <w:lang w:val="ka-GE"/>
        </w:rPr>
        <w:t>გაფანტვა</w:t>
      </w:r>
      <w:r w:rsidRPr="00ED05BF">
        <w:rPr>
          <w:rFonts w:ascii="AcadNusx" w:eastAsia="BGGBOK+TimesNewRoman" w:hAnsi="AcadNusx"/>
          <w:lang w:val="ka-GE"/>
        </w:rPr>
        <w:t>.</w:t>
      </w:r>
    </w:p>
    <w:p w14:paraId="3C21E09A" w14:textId="77777777" w:rsidR="00ED05BF" w:rsidRPr="00ED05BF" w:rsidRDefault="00ED05BF" w:rsidP="00ED05BF">
      <w:pPr>
        <w:spacing w:before="120" w:after="120"/>
        <w:rPr>
          <w:rFonts w:ascii="AcadNusx" w:eastAsia="BGGBOK+TimesNewRoman" w:hAnsi="AcadNusx"/>
          <w:lang w:val="ka-GE"/>
        </w:rPr>
      </w:pPr>
      <w:r w:rsidRPr="00ED05BF">
        <w:rPr>
          <w:rFonts w:ascii="Sylfaen" w:eastAsia="BGGBOK+TimesNewRoman" w:hAnsi="Sylfaen" w:cs="Sylfaen"/>
          <w:lang w:val="ka-GE"/>
        </w:rPr>
        <w:t>მიწაყრილის</w:t>
      </w:r>
      <w:r w:rsidRPr="00ED05BF">
        <w:rPr>
          <w:rFonts w:ascii="AcadNusx" w:eastAsia="BGGBOK+TimesNewRoman" w:hAnsi="AcadNusx"/>
          <w:lang w:val="ka-GE"/>
        </w:rPr>
        <w:t xml:space="preserve"> </w:t>
      </w:r>
      <w:r w:rsidRPr="00ED05BF">
        <w:rPr>
          <w:rFonts w:ascii="Sylfaen" w:eastAsia="BGGBOK+TimesNewRoman" w:hAnsi="Sylfaen" w:cs="Sylfaen"/>
          <w:lang w:val="ka-GE"/>
        </w:rPr>
        <w:t>მასალა</w:t>
      </w:r>
    </w:p>
    <w:p w14:paraId="7AB25280" w14:textId="77777777" w:rsidR="00ED05BF" w:rsidRPr="00ED05BF" w:rsidRDefault="00ED05BF" w:rsidP="00ED05BF">
      <w:pPr>
        <w:spacing w:before="120" w:after="120"/>
        <w:rPr>
          <w:rFonts w:ascii="AcadNusx" w:eastAsia="BGGBOK+TimesNewRoman" w:hAnsi="AcadNusx"/>
          <w:lang w:val="ka-GE"/>
        </w:rPr>
      </w:pPr>
      <w:r w:rsidRPr="00ED05BF">
        <w:rPr>
          <w:rFonts w:ascii="Sylfaen" w:eastAsia="BGGBOK+TimesNewRoman" w:hAnsi="Sylfaen" w:cs="Sylfaen"/>
          <w:lang w:val="ka-GE"/>
        </w:rPr>
        <w:t>უპირატესი</w:t>
      </w:r>
      <w:r w:rsidRPr="00ED05BF">
        <w:rPr>
          <w:rFonts w:ascii="AcadNusx" w:eastAsia="BGGBOK+TimesNewRoman" w:hAnsi="AcadNusx"/>
          <w:lang w:val="ka-GE"/>
        </w:rPr>
        <w:t xml:space="preserve"> </w:t>
      </w:r>
      <w:r w:rsidRPr="00ED05BF">
        <w:rPr>
          <w:rFonts w:ascii="Sylfaen" w:eastAsia="BGGBOK+TimesNewRoman" w:hAnsi="Sylfaen" w:cs="Sylfaen"/>
          <w:lang w:val="ka-GE"/>
        </w:rPr>
        <w:t>ტრასის</w:t>
      </w:r>
      <w:r w:rsidRPr="00ED05BF">
        <w:rPr>
          <w:rFonts w:ascii="AcadNusx" w:eastAsia="BGGBOK+TimesNewRoman" w:hAnsi="AcadNusx"/>
          <w:lang w:val="ka-GE"/>
        </w:rPr>
        <w:t xml:space="preserve"> </w:t>
      </w:r>
      <w:r w:rsidRPr="00ED05BF">
        <w:rPr>
          <w:rFonts w:ascii="Sylfaen" w:eastAsia="BGGBOK+TimesNewRoman" w:hAnsi="Sylfaen" w:cs="Sylfaen"/>
          <w:lang w:val="ka-GE"/>
        </w:rPr>
        <w:t>გასწვრივ</w:t>
      </w:r>
      <w:r w:rsidRPr="00ED05BF">
        <w:rPr>
          <w:rFonts w:ascii="AcadNusx" w:eastAsia="BGGBOK+TimesNewRoman" w:hAnsi="AcadNusx"/>
          <w:lang w:val="ka-GE"/>
        </w:rPr>
        <w:t xml:space="preserve"> </w:t>
      </w:r>
      <w:r w:rsidRPr="00ED05BF">
        <w:rPr>
          <w:rFonts w:ascii="Sylfaen" w:eastAsia="BGGBOK+TimesNewRoman" w:hAnsi="Sylfaen" w:cs="Sylfaen"/>
          <w:lang w:val="ka-GE"/>
        </w:rPr>
        <w:t>მოითხოვება</w:t>
      </w:r>
      <w:r w:rsidRPr="00ED05BF">
        <w:rPr>
          <w:rFonts w:ascii="AcadNusx" w:eastAsia="BGGBOK+TimesNewRoman" w:hAnsi="AcadNusx"/>
          <w:lang w:val="ka-GE"/>
        </w:rPr>
        <w:t xml:space="preserve"> </w:t>
      </w:r>
      <w:r w:rsidRPr="00ED05BF">
        <w:rPr>
          <w:rFonts w:ascii="Sylfaen" w:eastAsia="BGGBOK+TimesNewRoman" w:hAnsi="Sylfaen" w:cs="Sylfaen"/>
          <w:lang w:val="ka-GE"/>
        </w:rPr>
        <w:t>ახალი</w:t>
      </w:r>
      <w:r w:rsidRPr="00ED05BF">
        <w:rPr>
          <w:rFonts w:ascii="AcadNusx" w:eastAsia="BGGBOK+TimesNewRoman" w:hAnsi="AcadNusx"/>
          <w:lang w:val="ka-GE"/>
        </w:rPr>
        <w:t xml:space="preserve"> </w:t>
      </w:r>
      <w:r w:rsidRPr="00ED05BF">
        <w:rPr>
          <w:rFonts w:ascii="Sylfaen" w:eastAsia="BGGBOK+TimesNewRoman" w:hAnsi="Sylfaen" w:cs="Sylfaen"/>
          <w:lang w:val="ka-GE"/>
        </w:rPr>
        <w:t>მიწაყრილის</w:t>
      </w:r>
      <w:r w:rsidRPr="00ED05BF">
        <w:rPr>
          <w:rFonts w:ascii="AcadNusx" w:eastAsia="BGGBOK+TimesNewRoman" w:hAnsi="AcadNusx"/>
          <w:lang w:val="ka-GE"/>
        </w:rPr>
        <w:t xml:space="preserve"> </w:t>
      </w:r>
      <w:r w:rsidRPr="00ED05BF">
        <w:rPr>
          <w:rFonts w:ascii="Sylfaen" w:eastAsia="BGGBOK+TimesNewRoman" w:hAnsi="Sylfaen" w:cs="Sylfaen"/>
          <w:lang w:val="ka-GE"/>
        </w:rPr>
        <w:t>მოწყობა</w:t>
      </w:r>
      <w:r w:rsidRPr="00ED05BF">
        <w:rPr>
          <w:rFonts w:ascii="AcadNusx" w:eastAsia="BGGBOK+TimesNewRoman" w:hAnsi="AcadNusx"/>
          <w:lang w:val="ka-GE"/>
        </w:rPr>
        <w:t xml:space="preserve">, </w:t>
      </w:r>
      <w:r w:rsidRPr="00ED05BF">
        <w:rPr>
          <w:rFonts w:ascii="Sylfaen" w:eastAsia="BGGBOK+TimesNewRoman" w:hAnsi="Sylfaen" w:cs="Sylfaen"/>
          <w:lang w:val="ka-GE"/>
        </w:rPr>
        <w:t>რომლის</w:t>
      </w:r>
      <w:r w:rsidRPr="00ED05BF">
        <w:rPr>
          <w:rFonts w:ascii="AcadNusx" w:eastAsia="BGGBOK+TimesNewRoman" w:hAnsi="AcadNusx"/>
          <w:lang w:val="ka-GE"/>
        </w:rPr>
        <w:t xml:space="preserve"> </w:t>
      </w:r>
      <w:r w:rsidRPr="00ED05BF">
        <w:rPr>
          <w:rFonts w:ascii="Sylfaen" w:eastAsia="BGGBOK+TimesNewRoman" w:hAnsi="Sylfaen" w:cs="Sylfaen"/>
          <w:lang w:val="ka-GE"/>
        </w:rPr>
        <w:t>სიმაღლე</w:t>
      </w:r>
      <w:r w:rsidRPr="00ED05BF">
        <w:rPr>
          <w:rFonts w:ascii="AcadNusx" w:eastAsia="BGGBOK+TimesNewRoman" w:hAnsi="AcadNusx"/>
          <w:lang w:val="ka-GE"/>
        </w:rPr>
        <w:t xml:space="preserve"> 1.0 </w:t>
      </w:r>
      <w:r w:rsidRPr="00ED05BF">
        <w:rPr>
          <w:rFonts w:ascii="Sylfaen" w:eastAsia="BGGBOK+TimesNewRoman" w:hAnsi="Sylfaen" w:cs="Sylfaen"/>
          <w:lang w:val="ka-GE"/>
        </w:rPr>
        <w:t>მეტრიდან</w:t>
      </w:r>
      <w:r w:rsidRPr="00ED05BF">
        <w:rPr>
          <w:rFonts w:ascii="AcadNusx" w:eastAsia="BGGBOK+TimesNewRoman" w:hAnsi="AcadNusx"/>
          <w:lang w:val="ka-GE"/>
        </w:rPr>
        <w:t xml:space="preserve"> 7.0 </w:t>
      </w:r>
      <w:r w:rsidRPr="00ED05BF">
        <w:rPr>
          <w:rFonts w:ascii="Sylfaen" w:eastAsia="BGGBOK+TimesNewRoman" w:hAnsi="Sylfaen" w:cs="Sylfaen"/>
          <w:lang w:val="ka-GE"/>
        </w:rPr>
        <w:t>მეტრამდე</w:t>
      </w:r>
      <w:r w:rsidRPr="00ED05BF">
        <w:rPr>
          <w:rFonts w:ascii="AcadNusx" w:eastAsia="BGGBOK+TimesNewRoman" w:hAnsi="AcadNusx"/>
          <w:lang w:val="ka-GE"/>
        </w:rPr>
        <w:t xml:space="preserve"> </w:t>
      </w:r>
      <w:r w:rsidRPr="00ED05BF">
        <w:rPr>
          <w:rFonts w:ascii="Sylfaen" w:eastAsia="BGGBOK+TimesNewRoman" w:hAnsi="Sylfaen" w:cs="Sylfaen"/>
          <w:lang w:val="ka-GE"/>
        </w:rPr>
        <w:t>და</w:t>
      </w:r>
      <w:r w:rsidRPr="00ED05BF">
        <w:rPr>
          <w:rFonts w:ascii="AcadNusx" w:eastAsia="BGGBOK+TimesNewRoman" w:hAnsi="AcadNusx"/>
          <w:lang w:val="ka-GE"/>
        </w:rPr>
        <w:t xml:space="preserve"> </w:t>
      </w:r>
      <w:r w:rsidRPr="00ED05BF">
        <w:rPr>
          <w:rFonts w:ascii="Sylfaen" w:eastAsia="BGGBOK+TimesNewRoman" w:hAnsi="Sylfaen" w:cs="Sylfaen"/>
          <w:lang w:val="ka-GE"/>
        </w:rPr>
        <w:t>უფრო</w:t>
      </w:r>
      <w:r w:rsidRPr="00ED05BF">
        <w:rPr>
          <w:rFonts w:ascii="AcadNusx" w:eastAsia="BGGBOK+TimesNewRoman" w:hAnsi="AcadNusx"/>
          <w:lang w:val="ka-GE"/>
        </w:rPr>
        <w:t xml:space="preserve"> </w:t>
      </w:r>
      <w:r w:rsidRPr="00ED05BF">
        <w:rPr>
          <w:rFonts w:ascii="Sylfaen" w:eastAsia="BGGBOK+TimesNewRoman" w:hAnsi="Sylfaen" w:cs="Sylfaen"/>
          <w:lang w:val="ka-GE"/>
        </w:rPr>
        <w:t>მეტად</w:t>
      </w:r>
      <w:r w:rsidRPr="00ED05BF">
        <w:rPr>
          <w:rFonts w:ascii="AcadNusx" w:eastAsia="BGGBOK+TimesNewRoman" w:hAnsi="AcadNusx"/>
          <w:lang w:val="ka-GE"/>
        </w:rPr>
        <w:t xml:space="preserve"> </w:t>
      </w:r>
      <w:r w:rsidRPr="00ED05BF">
        <w:rPr>
          <w:rFonts w:ascii="Sylfaen" w:eastAsia="BGGBOK+TimesNewRoman" w:hAnsi="Sylfaen" w:cs="Sylfaen"/>
          <w:lang w:val="ka-GE"/>
        </w:rPr>
        <w:t>იცვლება</w:t>
      </w:r>
      <w:r w:rsidRPr="00ED05BF">
        <w:rPr>
          <w:rFonts w:ascii="AcadNusx" w:eastAsia="BGGBOK+TimesNewRoman" w:hAnsi="AcadNusx"/>
          <w:lang w:val="ka-GE"/>
        </w:rPr>
        <w:t xml:space="preserve">. </w:t>
      </w:r>
      <w:r w:rsidRPr="00ED05BF">
        <w:rPr>
          <w:rFonts w:ascii="Sylfaen" w:eastAsia="BGGBOK+TimesNewRoman" w:hAnsi="Sylfaen" w:cs="Sylfaen"/>
          <w:lang w:val="ka-GE"/>
        </w:rPr>
        <w:t>მიწაყრილი</w:t>
      </w:r>
      <w:r w:rsidRPr="00ED05BF">
        <w:rPr>
          <w:rFonts w:ascii="AcadNusx" w:eastAsia="BGGBOK+TimesNewRoman" w:hAnsi="AcadNusx"/>
          <w:lang w:val="ka-GE"/>
        </w:rPr>
        <w:t xml:space="preserve"> </w:t>
      </w:r>
      <w:r w:rsidRPr="00ED05BF">
        <w:rPr>
          <w:rFonts w:ascii="Sylfaen" w:eastAsia="BGGBOK+TimesNewRoman" w:hAnsi="Sylfaen" w:cs="Sylfaen"/>
          <w:lang w:val="ka-GE"/>
        </w:rPr>
        <w:t>უნდა</w:t>
      </w:r>
      <w:r w:rsidRPr="00ED05BF">
        <w:rPr>
          <w:rFonts w:ascii="AcadNusx" w:eastAsia="BGGBOK+TimesNewRoman" w:hAnsi="AcadNusx"/>
          <w:lang w:val="ka-GE"/>
        </w:rPr>
        <w:t xml:space="preserve"> </w:t>
      </w:r>
      <w:r w:rsidRPr="00ED05BF">
        <w:rPr>
          <w:rFonts w:ascii="Sylfaen" w:eastAsia="BGGBOK+TimesNewRoman" w:hAnsi="Sylfaen" w:cs="Sylfaen"/>
          <w:lang w:val="ka-GE"/>
        </w:rPr>
        <w:t>მოეწყოს</w:t>
      </w:r>
      <w:r w:rsidRPr="00ED05BF">
        <w:rPr>
          <w:rFonts w:ascii="AcadNusx" w:eastAsia="BGGBOK+TimesNewRoman" w:hAnsi="AcadNusx"/>
          <w:lang w:val="ka-GE"/>
        </w:rPr>
        <w:t xml:space="preserve"> </w:t>
      </w:r>
      <w:r w:rsidRPr="00ED05BF">
        <w:rPr>
          <w:rFonts w:ascii="Sylfaen" w:eastAsia="BGGBOK+TimesNewRoman" w:hAnsi="Sylfaen" w:cs="Sylfaen"/>
          <w:lang w:val="ka-GE"/>
        </w:rPr>
        <w:t>ადგილობრივად</w:t>
      </w:r>
      <w:r w:rsidRPr="00ED05BF">
        <w:rPr>
          <w:rFonts w:ascii="AcadNusx" w:eastAsia="BGGBOK+TimesNewRoman" w:hAnsi="AcadNusx"/>
          <w:lang w:val="ka-GE"/>
        </w:rPr>
        <w:t xml:space="preserve"> </w:t>
      </w:r>
      <w:r w:rsidRPr="00ED05BF">
        <w:rPr>
          <w:rFonts w:ascii="Sylfaen" w:eastAsia="BGGBOK+TimesNewRoman" w:hAnsi="Sylfaen" w:cs="Sylfaen"/>
          <w:lang w:val="ka-GE"/>
        </w:rPr>
        <w:t>ხელმისაწვდომი</w:t>
      </w:r>
      <w:r w:rsidRPr="00ED05BF">
        <w:rPr>
          <w:rFonts w:ascii="AcadNusx" w:eastAsia="BGGBOK+TimesNewRoman" w:hAnsi="AcadNusx"/>
          <w:lang w:val="ka-GE"/>
        </w:rPr>
        <w:t xml:space="preserve"> </w:t>
      </w:r>
      <w:r w:rsidRPr="00ED05BF">
        <w:rPr>
          <w:rFonts w:ascii="Sylfaen" w:eastAsia="BGGBOK+TimesNewRoman" w:hAnsi="Sylfaen" w:cs="Sylfaen"/>
          <w:lang w:val="ka-GE"/>
        </w:rPr>
        <w:t>გრუნტის</w:t>
      </w:r>
      <w:r w:rsidRPr="00ED05BF">
        <w:rPr>
          <w:rFonts w:ascii="AcadNusx" w:eastAsia="BGGBOK+TimesNewRoman" w:hAnsi="AcadNusx"/>
          <w:lang w:val="ka-GE"/>
        </w:rPr>
        <w:t xml:space="preserve"> </w:t>
      </w:r>
      <w:r w:rsidRPr="00ED05BF">
        <w:rPr>
          <w:rFonts w:ascii="Sylfaen" w:eastAsia="BGGBOK+TimesNewRoman" w:hAnsi="Sylfaen" w:cs="Sylfaen"/>
          <w:lang w:val="ka-GE"/>
        </w:rPr>
        <w:t>მასალით</w:t>
      </w:r>
      <w:r w:rsidRPr="00ED05BF">
        <w:rPr>
          <w:rFonts w:ascii="AcadNusx" w:eastAsia="BGGBOK+TimesNewRoman" w:hAnsi="AcadNusx"/>
          <w:lang w:val="ka-GE"/>
        </w:rPr>
        <w:t xml:space="preserve">, </w:t>
      </w:r>
      <w:r w:rsidRPr="00ED05BF">
        <w:rPr>
          <w:rFonts w:ascii="Sylfaen" w:eastAsia="BGGBOK+TimesNewRoman" w:hAnsi="Sylfaen" w:cs="Sylfaen"/>
          <w:lang w:val="ka-GE"/>
        </w:rPr>
        <w:t>რომელშიც</w:t>
      </w:r>
      <w:r w:rsidRPr="00ED05BF">
        <w:rPr>
          <w:rFonts w:ascii="AcadNusx" w:eastAsia="BGGBOK+TimesNewRoman" w:hAnsi="AcadNusx"/>
          <w:lang w:val="ka-GE"/>
        </w:rPr>
        <w:t xml:space="preserve"> </w:t>
      </w:r>
      <w:r w:rsidRPr="00ED05BF">
        <w:rPr>
          <w:rFonts w:ascii="Sylfaen" w:eastAsia="BGGBOK+TimesNewRoman" w:hAnsi="Sylfaen" w:cs="Sylfaen"/>
          <w:lang w:val="ka-GE"/>
        </w:rPr>
        <w:t>წვრილმარცვლოვანი</w:t>
      </w:r>
      <w:r w:rsidRPr="00ED05BF">
        <w:rPr>
          <w:rFonts w:ascii="AcadNusx" w:eastAsia="BGGBOK+TimesNewRoman" w:hAnsi="AcadNusx"/>
          <w:lang w:val="ka-GE"/>
        </w:rPr>
        <w:t xml:space="preserve"> </w:t>
      </w:r>
      <w:r w:rsidRPr="00ED05BF">
        <w:rPr>
          <w:rFonts w:ascii="Sylfaen" w:eastAsia="BGGBOK+TimesNewRoman" w:hAnsi="Sylfaen" w:cs="Sylfaen"/>
          <w:lang w:val="ka-GE"/>
        </w:rPr>
        <w:t>ფრაქციის</w:t>
      </w:r>
      <w:r w:rsidRPr="00ED05BF">
        <w:rPr>
          <w:rFonts w:ascii="AcadNusx" w:eastAsia="BGGBOK+TimesNewRoman" w:hAnsi="AcadNusx"/>
          <w:lang w:val="ka-GE"/>
        </w:rPr>
        <w:t xml:space="preserve"> </w:t>
      </w:r>
      <w:r w:rsidRPr="00ED05BF">
        <w:rPr>
          <w:rFonts w:ascii="Sylfaen" w:eastAsia="BGGBOK+TimesNewRoman" w:hAnsi="Sylfaen" w:cs="Sylfaen"/>
          <w:lang w:val="ka-GE"/>
        </w:rPr>
        <w:t>შემცველობა</w:t>
      </w:r>
      <w:r w:rsidRPr="00ED05BF">
        <w:rPr>
          <w:rFonts w:ascii="AcadNusx" w:eastAsia="BGGBOK+TimesNewRoman" w:hAnsi="AcadNusx"/>
          <w:lang w:val="ka-GE"/>
        </w:rPr>
        <w:t xml:space="preserve"> </w:t>
      </w:r>
      <w:r w:rsidRPr="00ED05BF">
        <w:rPr>
          <w:rFonts w:ascii="Sylfaen" w:eastAsia="BGGBOK+TimesNewRoman" w:hAnsi="Sylfaen" w:cs="Sylfaen"/>
          <w:lang w:val="ka-GE"/>
        </w:rPr>
        <w:t>შეზღუდული</w:t>
      </w:r>
      <w:r w:rsidRPr="00ED05BF">
        <w:rPr>
          <w:rFonts w:ascii="AcadNusx" w:eastAsia="BGGBOK+TimesNewRoman" w:hAnsi="AcadNusx"/>
          <w:lang w:val="ka-GE"/>
        </w:rPr>
        <w:t xml:space="preserve"> </w:t>
      </w:r>
      <w:r w:rsidRPr="00ED05BF">
        <w:rPr>
          <w:rFonts w:ascii="Sylfaen" w:eastAsia="BGGBOK+TimesNewRoman" w:hAnsi="Sylfaen" w:cs="Sylfaen"/>
          <w:lang w:val="ka-GE"/>
        </w:rPr>
        <w:t>ოდენობის</w:t>
      </w:r>
      <w:r w:rsidRPr="00ED05BF">
        <w:rPr>
          <w:rFonts w:ascii="AcadNusx" w:eastAsia="BGGBOK+TimesNewRoman" w:hAnsi="AcadNusx"/>
          <w:lang w:val="ka-GE"/>
        </w:rPr>
        <w:t xml:space="preserve"> </w:t>
      </w:r>
      <w:r w:rsidRPr="00ED05BF">
        <w:rPr>
          <w:rFonts w:ascii="Sylfaen" w:eastAsia="BGGBOK+TimesNewRoman" w:hAnsi="Sylfaen" w:cs="Sylfaen"/>
          <w:lang w:val="ka-GE"/>
        </w:rPr>
        <w:t>უნდა</w:t>
      </w:r>
      <w:r w:rsidRPr="00ED05BF">
        <w:rPr>
          <w:rFonts w:ascii="AcadNusx" w:eastAsia="BGGBOK+TimesNewRoman" w:hAnsi="AcadNusx"/>
          <w:lang w:val="ka-GE"/>
        </w:rPr>
        <w:t xml:space="preserve"> </w:t>
      </w:r>
      <w:r w:rsidRPr="00ED05BF">
        <w:rPr>
          <w:rFonts w:ascii="Sylfaen" w:eastAsia="BGGBOK+TimesNewRoman" w:hAnsi="Sylfaen" w:cs="Sylfaen"/>
          <w:lang w:val="ka-GE"/>
        </w:rPr>
        <w:t>იყოს</w:t>
      </w:r>
      <w:r w:rsidRPr="00ED05BF">
        <w:rPr>
          <w:rFonts w:ascii="AcadNusx" w:eastAsia="BGGBOK+TimesNewRoman" w:hAnsi="AcadNusx"/>
          <w:lang w:val="ka-GE"/>
        </w:rPr>
        <w:t xml:space="preserve">, </w:t>
      </w:r>
      <w:r w:rsidRPr="00ED05BF">
        <w:rPr>
          <w:rFonts w:ascii="Sylfaen" w:eastAsia="BGGBOK+TimesNewRoman" w:hAnsi="Sylfaen" w:cs="Sylfaen"/>
          <w:lang w:val="ka-GE"/>
        </w:rPr>
        <w:t>ხოლო</w:t>
      </w:r>
      <w:r w:rsidRPr="00ED05BF">
        <w:rPr>
          <w:rFonts w:ascii="AcadNusx" w:eastAsia="BGGBOK+TimesNewRoman" w:hAnsi="AcadNusx"/>
          <w:lang w:val="ka-GE"/>
        </w:rPr>
        <w:t xml:space="preserve"> </w:t>
      </w:r>
      <w:r w:rsidRPr="00ED05BF">
        <w:rPr>
          <w:rFonts w:ascii="Sylfaen" w:eastAsia="BGGBOK+TimesNewRoman" w:hAnsi="Sylfaen" w:cs="Sylfaen"/>
          <w:lang w:val="ka-GE"/>
        </w:rPr>
        <w:t>ხოლო</w:t>
      </w:r>
      <w:r w:rsidRPr="00ED05BF">
        <w:rPr>
          <w:rFonts w:ascii="AcadNusx" w:eastAsia="BGGBOK+TimesNewRoman" w:hAnsi="AcadNusx"/>
          <w:lang w:val="ka-GE"/>
        </w:rPr>
        <w:t xml:space="preserve"> </w:t>
      </w:r>
      <w:r w:rsidRPr="00ED05BF">
        <w:rPr>
          <w:rFonts w:ascii="Sylfaen" w:eastAsia="BGGBOK+TimesNewRoman" w:hAnsi="Sylfaen" w:cs="Sylfaen"/>
          <w:lang w:val="ka-GE"/>
        </w:rPr>
        <w:t>მაქსიმალური</w:t>
      </w:r>
      <w:r w:rsidRPr="00ED05BF">
        <w:rPr>
          <w:rFonts w:ascii="AcadNusx" w:eastAsia="BGGBOK+TimesNewRoman" w:hAnsi="AcadNusx"/>
          <w:lang w:val="ka-GE"/>
        </w:rPr>
        <w:t xml:space="preserve"> </w:t>
      </w:r>
      <w:r w:rsidRPr="00ED05BF">
        <w:rPr>
          <w:rFonts w:ascii="Sylfaen" w:eastAsia="BGGBOK+TimesNewRoman" w:hAnsi="Sylfaen" w:cs="Sylfaen"/>
          <w:lang w:val="ka-GE"/>
        </w:rPr>
        <w:t>ფრაქციული</w:t>
      </w:r>
      <w:r w:rsidRPr="00ED05BF">
        <w:rPr>
          <w:rFonts w:ascii="AcadNusx" w:eastAsia="BGGBOK+TimesNewRoman" w:hAnsi="AcadNusx"/>
          <w:lang w:val="ka-GE"/>
        </w:rPr>
        <w:t xml:space="preserve"> </w:t>
      </w:r>
      <w:r w:rsidRPr="00ED05BF">
        <w:rPr>
          <w:rFonts w:ascii="Sylfaen" w:eastAsia="BGGBOK+TimesNewRoman" w:hAnsi="Sylfaen" w:cs="Sylfaen"/>
          <w:lang w:val="ka-GE"/>
        </w:rPr>
        <w:t>ზომა</w:t>
      </w:r>
      <w:r w:rsidRPr="00ED05BF">
        <w:rPr>
          <w:rFonts w:ascii="AcadNusx" w:eastAsia="BGGBOK+TimesNewRoman" w:hAnsi="AcadNusx"/>
          <w:lang w:val="ka-GE"/>
        </w:rPr>
        <w:t xml:space="preserve"> </w:t>
      </w:r>
      <w:r w:rsidRPr="00ED05BF">
        <w:rPr>
          <w:rFonts w:ascii="Sylfaen" w:eastAsia="BGGBOK+TimesNewRoman" w:hAnsi="Sylfaen" w:cs="Sylfaen"/>
          <w:lang w:val="ka-GE"/>
        </w:rPr>
        <w:t>არ</w:t>
      </w:r>
      <w:r w:rsidRPr="00ED05BF">
        <w:rPr>
          <w:rFonts w:ascii="AcadNusx" w:eastAsia="BGGBOK+TimesNewRoman" w:hAnsi="AcadNusx"/>
          <w:lang w:val="ka-GE"/>
        </w:rPr>
        <w:t xml:space="preserve"> </w:t>
      </w:r>
      <w:r w:rsidRPr="00ED05BF">
        <w:rPr>
          <w:rFonts w:ascii="Sylfaen" w:eastAsia="BGGBOK+TimesNewRoman" w:hAnsi="Sylfaen" w:cs="Sylfaen"/>
          <w:lang w:val="ka-GE"/>
        </w:rPr>
        <w:t>უნდა</w:t>
      </w:r>
      <w:r w:rsidRPr="00ED05BF">
        <w:rPr>
          <w:rFonts w:ascii="AcadNusx" w:eastAsia="BGGBOK+TimesNewRoman" w:hAnsi="AcadNusx"/>
          <w:lang w:val="ka-GE"/>
        </w:rPr>
        <w:t xml:space="preserve"> </w:t>
      </w:r>
      <w:r w:rsidRPr="00ED05BF">
        <w:rPr>
          <w:rFonts w:ascii="Sylfaen" w:eastAsia="BGGBOK+TimesNewRoman" w:hAnsi="Sylfaen" w:cs="Sylfaen"/>
          <w:lang w:val="ka-GE"/>
        </w:rPr>
        <w:t>აღემატებოდეს</w:t>
      </w:r>
      <w:r w:rsidRPr="00ED05BF">
        <w:rPr>
          <w:rFonts w:ascii="AcadNusx" w:eastAsia="BGGBOK+TimesNewRoman" w:hAnsi="AcadNusx"/>
          <w:lang w:val="ka-GE"/>
        </w:rPr>
        <w:t xml:space="preserve"> 100 </w:t>
      </w:r>
      <w:r w:rsidRPr="00ED05BF">
        <w:rPr>
          <w:rFonts w:ascii="Sylfaen" w:eastAsia="BGGBOK+TimesNewRoman" w:hAnsi="Sylfaen" w:cs="Sylfaen"/>
          <w:lang w:val="ka-GE"/>
        </w:rPr>
        <w:t>მმ</w:t>
      </w:r>
      <w:r w:rsidRPr="00ED05BF">
        <w:rPr>
          <w:rFonts w:ascii="AcadNusx" w:eastAsia="BGGBOK+TimesNewRoman" w:hAnsi="AcadNusx"/>
          <w:lang w:val="ka-GE"/>
        </w:rPr>
        <w:t>-</w:t>
      </w:r>
      <w:r w:rsidRPr="00ED05BF">
        <w:rPr>
          <w:rFonts w:ascii="Sylfaen" w:eastAsia="BGGBOK+TimesNewRoman" w:hAnsi="Sylfaen" w:cs="Sylfaen"/>
          <w:lang w:val="ka-GE"/>
        </w:rPr>
        <w:t>ს</w:t>
      </w:r>
      <w:r w:rsidRPr="00ED05BF">
        <w:rPr>
          <w:rFonts w:ascii="AcadNusx" w:eastAsia="BGGBOK+TimesNewRoman" w:hAnsi="AcadNusx"/>
          <w:lang w:val="ka-GE"/>
        </w:rPr>
        <w:t xml:space="preserve">. </w:t>
      </w:r>
    </w:p>
    <w:p w14:paraId="2614018C" w14:textId="7889D152" w:rsidR="00ED05BF" w:rsidRPr="00ED05BF" w:rsidRDefault="00ED05BF" w:rsidP="00ED05BF">
      <w:pPr>
        <w:spacing w:before="120" w:after="120"/>
        <w:rPr>
          <w:rFonts w:ascii="AcadNusx" w:eastAsia="BGGBOK+TimesNewRoman" w:hAnsi="AcadNusx"/>
          <w:lang w:val="ka-GE"/>
        </w:rPr>
      </w:pPr>
      <w:r w:rsidRPr="00ED05BF">
        <w:rPr>
          <w:rFonts w:ascii="Sylfaen" w:eastAsia="BGGBOK+TimesNewRoman" w:hAnsi="Sylfaen" w:cs="Sylfaen"/>
          <w:lang w:val="ka-GE"/>
        </w:rPr>
        <w:t>კერძოდ</w:t>
      </w:r>
      <w:r w:rsidRPr="00ED05BF">
        <w:rPr>
          <w:rFonts w:ascii="AcadNusx" w:eastAsia="BGGBOK+TimesNewRoman" w:hAnsi="AcadNusx"/>
          <w:lang w:val="ka-GE"/>
        </w:rPr>
        <w:t xml:space="preserve">, </w:t>
      </w:r>
      <w:r w:rsidRPr="00ED05BF">
        <w:rPr>
          <w:rFonts w:ascii="Sylfaen" w:eastAsia="BGGBOK+TimesNewRoman" w:hAnsi="Sylfaen" w:cs="Sylfaen"/>
          <w:lang w:val="ka-GE"/>
        </w:rPr>
        <w:t>მიწაყრილის</w:t>
      </w:r>
      <w:r w:rsidRPr="00ED05BF">
        <w:rPr>
          <w:rFonts w:ascii="AcadNusx" w:eastAsia="BGGBOK+TimesNewRoman" w:hAnsi="AcadNusx"/>
          <w:lang w:val="ka-GE"/>
        </w:rPr>
        <w:t xml:space="preserve"> </w:t>
      </w:r>
      <w:r w:rsidRPr="00ED05BF">
        <w:rPr>
          <w:rFonts w:ascii="Sylfaen" w:eastAsia="BGGBOK+TimesNewRoman" w:hAnsi="Sylfaen" w:cs="Sylfaen"/>
          <w:lang w:val="ka-GE"/>
        </w:rPr>
        <w:t>მასალაში</w:t>
      </w:r>
      <w:r w:rsidRPr="00ED05BF">
        <w:rPr>
          <w:rFonts w:ascii="AcadNusx" w:eastAsia="BGGBOK+TimesNewRoman" w:hAnsi="AcadNusx"/>
          <w:lang w:val="ka-GE"/>
        </w:rPr>
        <w:t xml:space="preserve"> </w:t>
      </w:r>
      <w:r w:rsidRPr="00ED05BF">
        <w:rPr>
          <w:rFonts w:ascii="Sylfaen" w:eastAsia="BGGBOK+TimesNewRoman" w:hAnsi="Sylfaen" w:cs="Sylfaen"/>
          <w:lang w:val="ka-GE"/>
        </w:rPr>
        <w:t>წვრილმარცვლოვანი</w:t>
      </w:r>
      <w:r w:rsidRPr="00ED05BF">
        <w:rPr>
          <w:rFonts w:ascii="AcadNusx" w:eastAsia="BGGBOK+TimesNewRoman" w:hAnsi="AcadNusx"/>
          <w:lang w:val="ka-GE"/>
        </w:rPr>
        <w:t xml:space="preserve"> </w:t>
      </w:r>
      <w:r w:rsidRPr="00ED05BF">
        <w:rPr>
          <w:rFonts w:ascii="Sylfaen" w:eastAsia="BGGBOK+TimesNewRoman" w:hAnsi="Sylfaen" w:cs="Sylfaen"/>
          <w:lang w:val="ka-GE"/>
        </w:rPr>
        <w:t>ფრაქციის</w:t>
      </w:r>
      <w:r w:rsidRPr="00ED05BF">
        <w:rPr>
          <w:rFonts w:ascii="AcadNusx" w:eastAsia="BGGBOK+TimesNewRoman" w:hAnsi="AcadNusx"/>
          <w:lang w:val="ka-GE"/>
        </w:rPr>
        <w:t xml:space="preserve"> (&lt;0.063 </w:t>
      </w:r>
      <w:r w:rsidRPr="00ED05BF">
        <w:rPr>
          <w:rFonts w:ascii="Sylfaen" w:eastAsia="BGGBOK+TimesNewRoman" w:hAnsi="Sylfaen" w:cs="Sylfaen"/>
          <w:lang w:val="ka-GE"/>
        </w:rPr>
        <w:t>მმ</w:t>
      </w:r>
      <w:r w:rsidRPr="00ED05BF">
        <w:rPr>
          <w:rFonts w:ascii="AcadNusx" w:eastAsia="BGGBOK+TimesNewRoman" w:hAnsi="AcadNusx"/>
          <w:lang w:val="ka-GE"/>
        </w:rPr>
        <w:t xml:space="preserve">) </w:t>
      </w:r>
      <w:r w:rsidRPr="00ED05BF">
        <w:rPr>
          <w:rFonts w:ascii="Sylfaen" w:eastAsia="BGGBOK+TimesNewRoman" w:hAnsi="Sylfaen" w:cs="Sylfaen"/>
          <w:lang w:val="ka-GE"/>
        </w:rPr>
        <w:t>წილი</w:t>
      </w:r>
      <w:r w:rsidRPr="00ED05BF">
        <w:rPr>
          <w:rFonts w:ascii="AcadNusx" w:eastAsia="BGGBOK+TimesNewRoman" w:hAnsi="AcadNusx"/>
          <w:lang w:val="ka-GE"/>
        </w:rPr>
        <w:t xml:space="preserve"> </w:t>
      </w:r>
      <w:r w:rsidRPr="00ED05BF">
        <w:rPr>
          <w:rFonts w:ascii="Sylfaen" w:eastAsia="BGGBOK+TimesNewRoman" w:hAnsi="Sylfaen" w:cs="Sylfaen"/>
          <w:lang w:val="ka-GE"/>
        </w:rPr>
        <w:t>არ</w:t>
      </w:r>
      <w:r w:rsidRPr="00ED05BF">
        <w:rPr>
          <w:rFonts w:ascii="AcadNusx" w:eastAsia="BGGBOK+TimesNewRoman" w:hAnsi="AcadNusx"/>
          <w:lang w:val="ka-GE"/>
        </w:rPr>
        <w:t xml:space="preserve"> </w:t>
      </w:r>
      <w:r w:rsidRPr="00ED05BF">
        <w:rPr>
          <w:rFonts w:ascii="Sylfaen" w:eastAsia="BGGBOK+TimesNewRoman" w:hAnsi="Sylfaen" w:cs="Sylfaen"/>
          <w:lang w:val="ka-GE"/>
        </w:rPr>
        <w:t>უნდა</w:t>
      </w:r>
      <w:r w:rsidRPr="00ED05BF">
        <w:rPr>
          <w:rFonts w:ascii="AcadNusx" w:eastAsia="BGGBOK+TimesNewRoman" w:hAnsi="AcadNusx"/>
          <w:lang w:val="ka-GE"/>
        </w:rPr>
        <w:t xml:space="preserve"> </w:t>
      </w:r>
      <w:r w:rsidRPr="00ED05BF">
        <w:rPr>
          <w:rFonts w:ascii="Sylfaen" w:eastAsia="BGGBOK+TimesNewRoman" w:hAnsi="Sylfaen" w:cs="Sylfaen"/>
          <w:lang w:val="ka-GE"/>
        </w:rPr>
        <w:t>აღემატებოდეს</w:t>
      </w:r>
      <w:r w:rsidRPr="00ED05BF">
        <w:rPr>
          <w:rFonts w:ascii="AcadNusx" w:eastAsia="BGGBOK+TimesNewRoman" w:hAnsi="AcadNusx"/>
          <w:lang w:val="ka-GE"/>
        </w:rPr>
        <w:t xml:space="preserve"> 50%-</w:t>
      </w:r>
      <w:r w:rsidRPr="00ED05BF">
        <w:rPr>
          <w:rFonts w:ascii="Sylfaen" w:eastAsia="BGGBOK+TimesNewRoman" w:hAnsi="Sylfaen" w:cs="Sylfaen"/>
          <w:lang w:val="ka-GE"/>
        </w:rPr>
        <w:t>ს</w:t>
      </w:r>
      <w:r w:rsidRPr="00ED05BF">
        <w:rPr>
          <w:rFonts w:ascii="AcadNusx" w:eastAsia="BGGBOK+TimesNewRoman" w:hAnsi="AcadNusx"/>
          <w:lang w:val="ka-GE"/>
        </w:rPr>
        <w:t xml:space="preserve">, </w:t>
      </w:r>
      <w:r w:rsidRPr="00ED05BF">
        <w:rPr>
          <w:rFonts w:ascii="Sylfaen" w:eastAsia="BGGBOK+TimesNewRoman" w:hAnsi="Sylfaen" w:cs="Sylfaen"/>
          <w:lang w:val="ka-GE"/>
        </w:rPr>
        <w:t>ხოლო</w:t>
      </w:r>
      <w:r w:rsidRPr="00ED05BF">
        <w:rPr>
          <w:rFonts w:ascii="AcadNusx" w:eastAsia="BGGBOK+TimesNewRoman" w:hAnsi="AcadNusx"/>
          <w:lang w:val="ka-GE"/>
        </w:rPr>
        <w:t xml:space="preserve"> 0.425 </w:t>
      </w:r>
      <w:r w:rsidRPr="00ED05BF">
        <w:rPr>
          <w:rFonts w:ascii="Sylfaen" w:eastAsia="BGGBOK+TimesNewRoman" w:hAnsi="Sylfaen" w:cs="Sylfaen"/>
          <w:lang w:val="ka-GE"/>
        </w:rPr>
        <w:t>მმ</w:t>
      </w:r>
      <w:r w:rsidRPr="00ED05BF">
        <w:rPr>
          <w:rFonts w:ascii="AcadNusx" w:eastAsia="BGGBOK+TimesNewRoman" w:hAnsi="AcadNusx"/>
          <w:lang w:val="ka-GE"/>
        </w:rPr>
        <w:t xml:space="preserve"> </w:t>
      </w:r>
      <w:r w:rsidRPr="00ED05BF">
        <w:rPr>
          <w:rFonts w:ascii="Sylfaen" w:eastAsia="BGGBOK+TimesNewRoman" w:hAnsi="Sylfaen" w:cs="Sylfaen"/>
          <w:lang w:val="ka-GE"/>
        </w:rPr>
        <w:t>ზომის</w:t>
      </w:r>
      <w:r w:rsidRPr="00ED05BF">
        <w:rPr>
          <w:rFonts w:ascii="AcadNusx" w:eastAsia="BGGBOK+TimesNewRoman" w:hAnsi="AcadNusx"/>
          <w:lang w:val="ka-GE"/>
        </w:rPr>
        <w:t xml:space="preserve"> </w:t>
      </w:r>
      <w:r w:rsidRPr="00ED05BF">
        <w:rPr>
          <w:rFonts w:ascii="Sylfaen" w:eastAsia="BGGBOK+TimesNewRoman" w:hAnsi="Sylfaen" w:cs="Sylfaen"/>
          <w:lang w:val="ka-GE"/>
        </w:rPr>
        <w:t>უჯრიან</w:t>
      </w:r>
      <w:r w:rsidRPr="00ED05BF">
        <w:rPr>
          <w:rFonts w:ascii="AcadNusx" w:eastAsia="BGGBOK+TimesNewRoman" w:hAnsi="AcadNusx"/>
          <w:lang w:val="ka-GE"/>
        </w:rPr>
        <w:t xml:space="preserve"> </w:t>
      </w:r>
      <w:r w:rsidRPr="00ED05BF">
        <w:rPr>
          <w:rFonts w:ascii="Sylfaen" w:eastAsia="BGGBOK+TimesNewRoman" w:hAnsi="Sylfaen" w:cs="Sylfaen"/>
          <w:lang w:val="ka-GE"/>
        </w:rPr>
        <w:t>საცერში</w:t>
      </w:r>
      <w:r w:rsidRPr="00ED05BF">
        <w:rPr>
          <w:rFonts w:ascii="AcadNusx" w:eastAsia="BGGBOK+TimesNewRoman" w:hAnsi="AcadNusx"/>
          <w:lang w:val="ka-GE"/>
        </w:rPr>
        <w:t xml:space="preserve"> </w:t>
      </w:r>
      <w:r w:rsidRPr="00ED05BF">
        <w:rPr>
          <w:rFonts w:ascii="Sylfaen" w:eastAsia="BGGBOK+TimesNewRoman" w:hAnsi="Sylfaen" w:cs="Sylfaen"/>
          <w:lang w:val="ka-GE"/>
        </w:rPr>
        <w:t>გასული</w:t>
      </w:r>
      <w:r w:rsidRPr="00ED05BF">
        <w:rPr>
          <w:rFonts w:ascii="AcadNusx" w:eastAsia="BGGBOK+TimesNewRoman" w:hAnsi="AcadNusx"/>
          <w:lang w:val="ka-GE"/>
        </w:rPr>
        <w:t xml:space="preserve"> </w:t>
      </w:r>
      <w:r w:rsidRPr="00ED05BF">
        <w:rPr>
          <w:rFonts w:ascii="Sylfaen" w:eastAsia="BGGBOK+TimesNewRoman" w:hAnsi="Sylfaen" w:cs="Sylfaen"/>
          <w:lang w:val="ka-GE"/>
        </w:rPr>
        <w:t>მასალის</w:t>
      </w:r>
      <w:r w:rsidRPr="00ED05BF">
        <w:rPr>
          <w:rFonts w:ascii="AcadNusx" w:eastAsia="BGGBOK+TimesNewRoman" w:hAnsi="AcadNusx"/>
          <w:lang w:val="ka-GE"/>
        </w:rPr>
        <w:t xml:space="preserve"> </w:t>
      </w:r>
      <w:r w:rsidRPr="00ED05BF">
        <w:rPr>
          <w:rFonts w:ascii="Sylfaen" w:eastAsia="BGGBOK+TimesNewRoman" w:hAnsi="Sylfaen" w:cs="Sylfaen"/>
          <w:lang w:val="ka-GE"/>
        </w:rPr>
        <w:t>პლასტიკურობის</w:t>
      </w:r>
      <w:r w:rsidRPr="00ED05BF">
        <w:rPr>
          <w:rFonts w:ascii="AcadNusx" w:eastAsia="BGGBOK+TimesNewRoman" w:hAnsi="AcadNusx"/>
          <w:lang w:val="ka-GE"/>
        </w:rPr>
        <w:t xml:space="preserve"> </w:t>
      </w:r>
      <w:r w:rsidRPr="00ED05BF">
        <w:rPr>
          <w:rFonts w:ascii="Sylfaen" w:eastAsia="BGGBOK+TimesNewRoman" w:hAnsi="Sylfaen" w:cs="Sylfaen"/>
          <w:lang w:val="ka-GE"/>
        </w:rPr>
        <w:t>რიცხვი</w:t>
      </w:r>
      <w:r w:rsidRPr="00ED05BF">
        <w:rPr>
          <w:rFonts w:ascii="AcadNusx" w:eastAsia="BGGBOK+TimesNewRoman" w:hAnsi="AcadNusx"/>
          <w:lang w:val="ka-GE"/>
        </w:rPr>
        <w:t xml:space="preserve"> (</w:t>
      </w:r>
      <w:r>
        <w:rPr>
          <w:rFonts w:ascii="Sylfaen" w:eastAsia="BGGBOK+TimesNewRoman" w:hAnsi="Sylfaen"/>
          <w:lang w:val="en-US"/>
        </w:rPr>
        <w:t>Pl</w:t>
      </w:r>
      <w:r w:rsidRPr="00ED05BF">
        <w:rPr>
          <w:rFonts w:ascii="AcadNusx" w:eastAsia="BGGBOK+TimesNewRoman" w:hAnsi="AcadNusx"/>
          <w:lang w:val="ka-GE"/>
        </w:rPr>
        <w:t>) 20-</w:t>
      </w:r>
      <w:r w:rsidRPr="00ED05BF">
        <w:rPr>
          <w:rFonts w:ascii="Sylfaen" w:eastAsia="BGGBOK+TimesNewRoman" w:hAnsi="Sylfaen" w:cs="Sylfaen"/>
          <w:lang w:val="ka-GE"/>
        </w:rPr>
        <w:t>ზე</w:t>
      </w:r>
      <w:r w:rsidRPr="00ED05BF">
        <w:rPr>
          <w:rFonts w:ascii="AcadNusx" w:eastAsia="BGGBOK+TimesNewRoman" w:hAnsi="AcadNusx"/>
          <w:lang w:val="ka-GE"/>
        </w:rPr>
        <w:t xml:space="preserve"> </w:t>
      </w:r>
      <w:r w:rsidRPr="00ED05BF">
        <w:rPr>
          <w:rFonts w:ascii="Sylfaen" w:eastAsia="BGGBOK+TimesNewRoman" w:hAnsi="Sylfaen" w:cs="Sylfaen"/>
          <w:lang w:val="ka-GE"/>
        </w:rPr>
        <w:t>ნაკლები</w:t>
      </w:r>
      <w:r w:rsidRPr="00ED05BF">
        <w:rPr>
          <w:rFonts w:ascii="AcadNusx" w:eastAsia="BGGBOK+TimesNewRoman" w:hAnsi="AcadNusx"/>
          <w:lang w:val="ka-GE"/>
        </w:rPr>
        <w:t xml:space="preserve"> </w:t>
      </w:r>
      <w:r w:rsidRPr="00ED05BF">
        <w:rPr>
          <w:rFonts w:ascii="Sylfaen" w:eastAsia="BGGBOK+TimesNewRoman" w:hAnsi="Sylfaen" w:cs="Sylfaen"/>
          <w:lang w:val="ka-GE"/>
        </w:rPr>
        <w:t>უნდა</w:t>
      </w:r>
      <w:r w:rsidRPr="00ED05BF">
        <w:rPr>
          <w:rFonts w:ascii="AcadNusx" w:eastAsia="BGGBOK+TimesNewRoman" w:hAnsi="AcadNusx"/>
          <w:lang w:val="ka-GE"/>
        </w:rPr>
        <w:t xml:space="preserve"> </w:t>
      </w:r>
      <w:r w:rsidRPr="00ED05BF">
        <w:rPr>
          <w:rFonts w:ascii="Sylfaen" w:eastAsia="BGGBOK+TimesNewRoman" w:hAnsi="Sylfaen" w:cs="Sylfaen"/>
          <w:lang w:val="ka-GE"/>
        </w:rPr>
        <w:t>იყოს</w:t>
      </w:r>
      <w:r w:rsidRPr="00ED05BF">
        <w:rPr>
          <w:rFonts w:ascii="AcadNusx" w:eastAsia="BGGBOK+TimesNewRoman" w:hAnsi="AcadNusx"/>
          <w:lang w:val="ka-GE"/>
        </w:rPr>
        <w:t xml:space="preserve">. </w:t>
      </w:r>
    </w:p>
    <w:p w14:paraId="688C13E0" w14:textId="77777777" w:rsidR="00ED05BF" w:rsidRPr="00ED05BF" w:rsidRDefault="00ED05BF" w:rsidP="00ED05BF">
      <w:pPr>
        <w:spacing w:before="120" w:after="120"/>
        <w:rPr>
          <w:rFonts w:ascii="AcadNusx" w:eastAsia="BGGBOK+TimesNewRoman" w:hAnsi="AcadNusx"/>
          <w:lang w:val="ka-GE"/>
        </w:rPr>
      </w:pPr>
      <w:r w:rsidRPr="00ED05BF">
        <w:rPr>
          <w:rFonts w:ascii="Sylfaen" w:eastAsia="BGGBOK+TimesNewRoman" w:hAnsi="Sylfaen" w:cs="Sylfaen"/>
          <w:lang w:val="ka-GE"/>
        </w:rPr>
        <w:t>მიწაყრილის</w:t>
      </w:r>
      <w:r w:rsidRPr="00ED05BF">
        <w:rPr>
          <w:rFonts w:ascii="AcadNusx" w:eastAsia="BGGBOK+TimesNewRoman" w:hAnsi="AcadNusx"/>
          <w:lang w:val="ka-GE"/>
        </w:rPr>
        <w:t xml:space="preserve"> </w:t>
      </w:r>
      <w:r w:rsidRPr="00ED05BF">
        <w:rPr>
          <w:rFonts w:ascii="Sylfaen" w:eastAsia="BGGBOK+TimesNewRoman" w:hAnsi="Sylfaen" w:cs="Sylfaen"/>
          <w:lang w:val="ka-GE"/>
        </w:rPr>
        <w:t>მასალასთან</w:t>
      </w:r>
      <w:r w:rsidRPr="00ED05BF">
        <w:rPr>
          <w:rFonts w:ascii="AcadNusx" w:eastAsia="BGGBOK+TimesNewRoman" w:hAnsi="AcadNusx"/>
          <w:lang w:val="ka-GE"/>
        </w:rPr>
        <w:t xml:space="preserve"> </w:t>
      </w:r>
      <w:r w:rsidRPr="00ED05BF">
        <w:rPr>
          <w:rFonts w:ascii="Sylfaen" w:eastAsia="BGGBOK+TimesNewRoman" w:hAnsi="Sylfaen" w:cs="Sylfaen"/>
          <w:lang w:val="ka-GE"/>
        </w:rPr>
        <w:t>დაკავშირებით</w:t>
      </w:r>
      <w:r w:rsidRPr="00ED05BF">
        <w:rPr>
          <w:rFonts w:ascii="AcadNusx" w:eastAsia="BGGBOK+TimesNewRoman" w:hAnsi="AcadNusx"/>
          <w:lang w:val="ka-GE"/>
        </w:rPr>
        <w:t xml:space="preserve">, </w:t>
      </w:r>
      <w:r w:rsidRPr="00ED05BF">
        <w:rPr>
          <w:rFonts w:ascii="Sylfaen" w:eastAsia="BGGBOK+TimesNewRoman" w:hAnsi="Sylfaen" w:cs="Sylfaen"/>
          <w:lang w:val="ka-GE"/>
        </w:rPr>
        <w:t>სატენდერო</w:t>
      </w:r>
      <w:r w:rsidRPr="00ED05BF">
        <w:rPr>
          <w:rFonts w:ascii="AcadNusx" w:eastAsia="BGGBOK+TimesNewRoman" w:hAnsi="AcadNusx"/>
          <w:lang w:val="ka-GE"/>
        </w:rPr>
        <w:t xml:space="preserve"> </w:t>
      </w:r>
      <w:r w:rsidRPr="00ED05BF">
        <w:rPr>
          <w:rFonts w:ascii="Sylfaen" w:eastAsia="BGGBOK+TimesNewRoman" w:hAnsi="Sylfaen" w:cs="Sylfaen"/>
          <w:lang w:val="ka-GE"/>
        </w:rPr>
        <w:t>დოკუმენტაციაში</w:t>
      </w:r>
      <w:r w:rsidRPr="00ED05BF">
        <w:rPr>
          <w:rFonts w:ascii="AcadNusx" w:eastAsia="BGGBOK+TimesNewRoman" w:hAnsi="AcadNusx"/>
          <w:lang w:val="ka-GE"/>
        </w:rPr>
        <w:t xml:space="preserve"> </w:t>
      </w:r>
      <w:r w:rsidRPr="00ED05BF">
        <w:rPr>
          <w:rFonts w:ascii="Sylfaen" w:eastAsia="BGGBOK+TimesNewRoman" w:hAnsi="Sylfaen" w:cs="Sylfaen"/>
          <w:lang w:val="ka-GE"/>
        </w:rPr>
        <w:t>რეკომენდირებულია</w:t>
      </w:r>
      <w:r w:rsidRPr="00ED05BF">
        <w:rPr>
          <w:rFonts w:ascii="AcadNusx" w:eastAsia="BGGBOK+TimesNewRoman" w:hAnsi="AcadNusx"/>
          <w:lang w:val="ka-GE"/>
        </w:rPr>
        <w:t xml:space="preserve"> </w:t>
      </w:r>
      <w:r w:rsidRPr="00ED05BF">
        <w:rPr>
          <w:rFonts w:ascii="Sylfaen" w:eastAsia="BGGBOK+TimesNewRoman" w:hAnsi="Sylfaen" w:cs="Sylfaen"/>
          <w:lang w:val="ka-GE"/>
        </w:rPr>
        <w:t>ქვემოთ</w:t>
      </w:r>
      <w:r w:rsidRPr="00ED05BF">
        <w:rPr>
          <w:rFonts w:ascii="AcadNusx" w:eastAsia="BGGBOK+TimesNewRoman" w:hAnsi="AcadNusx"/>
          <w:lang w:val="ka-GE"/>
        </w:rPr>
        <w:t xml:space="preserve"> </w:t>
      </w:r>
      <w:r w:rsidRPr="00ED05BF">
        <w:rPr>
          <w:rFonts w:ascii="Sylfaen" w:eastAsia="BGGBOK+TimesNewRoman" w:hAnsi="Sylfaen" w:cs="Sylfaen"/>
          <w:lang w:val="ka-GE"/>
        </w:rPr>
        <w:t>მოცემული</w:t>
      </w:r>
      <w:r w:rsidRPr="00ED05BF">
        <w:rPr>
          <w:rFonts w:ascii="AcadNusx" w:eastAsia="BGGBOK+TimesNewRoman" w:hAnsi="AcadNusx"/>
          <w:lang w:val="ka-GE"/>
        </w:rPr>
        <w:t xml:space="preserve"> </w:t>
      </w:r>
      <w:r w:rsidRPr="00ED05BF">
        <w:rPr>
          <w:rFonts w:ascii="Sylfaen" w:eastAsia="BGGBOK+TimesNewRoman" w:hAnsi="Sylfaen" w:cs="Sylfaen"/>
          <w:lang w:val="ka-GE"/>
        </w:rPr>
        <w:t>პირობების</w:t>
      </w:r>
      <w:r w:rsidRPr="00ED05BF">
        <w:rPr>
          <w:rFonts w:ascii="AcadNusx" w:eastAsia="BGGBOK+TimesNewRoman" w:hAnsi="AcadNusx"/>
          <w:lang w:val="ka-GE"/>
        </w:rPr>
        <w:t xml:space="preserve"> </w:t>
      </w:r>
      <w:r w:rsidRPr="00ED05BF">
        <w:rPr>
          <w:rFonts w:ascii="Sylfaen" w:eastAsia="BGGBOK+TimesNewRoman" w:hAnsi="Sylfaen" w:cs="Sylfaen"/>
          <w:lang w:val="ka-GE"/>
        </w:rPr>
        <w:t>შეტანა</w:t>
      </w:r>
      <w:r w:rsidRPr="00ED05BF">
        <w:rPr>
          <w:rFonts w:ascii="AcadNusx" w:eastAsia="BGGBOK+TimesNewRoman" w:hAnsi="AcadNusx"/>
          <w:lang w:val="ka-GE"/>
        </w:rPr>
        <w:t>.</w:t>
      </w:r>
    </w:p>
    <w:p w14:paraId="14BDCF05" w14:textId="60E3652B" w:rsidR="00EA3205" w:rsidRPr="00B05F62" w:rsidRDefault="00ED05BF" w:rsidP="00ED05BF">
      <w:pPr>
        <w:spacing w:before="120" w:after="120"/>
        <w:rPr>
          <w:rFonts w:ascii="AcadNusx" w:hAnsi="AcadNusx"/>
        </w:rPr>
      </w:pPr>
      <w:r w:rsidRPr="00ED05BF">
        <w:rPr>
          <w:rFonts w:ascii="Sylfaen" w:eastAsia="BGGBOK+TimesNewRoman" w:hAnsi="Sylfaen" w:cs="Sylfaen"/>
          <w:lang w:val="ka-GE"/>
        </w:rPr>
        <w:t>ცხრილი</w:t>
      </w:r>
      <w:r w:rsidRPr="00ED05BF">
        <w:rPr>
          <w:rFonts w:ascii="AcadNusx" w:eastAsia="BGGBOK+TimesNewRoman" w:hAnsi="AcadNusx"/>
          <w:lang w:val="ka-GE"/>
        </w:rPr>
        <w:t xml:space="preserve"> 4.9.3.5.-1</w:t>
      </w:r>
      <w:r w:rsidRPr="00ED05BF">
        <w:rPr>
          <w:rFonts w:ascii="AcadNusx" w:eastAsia="BGGBOK+TimesNewRoman" w:hAnsi="AcadNusx"/>
          <w:lang w:val="ka-GE"/>
        </w:rPr>
        <w:tab/>
      </w:r>
      <w:r w:rsidRPr="00ED05BF">
        <w:rPr>
          <w:rFonts w:ascii="Sylfaen" w:eastAsia="BGGBOK+TimesNewRoman" w:hAnsi="Sylfaen" w:cs="Sylfaen"/>
          <w:lang w:val="ka-GE"/>
        </w:rPr>
        <w:t>მიწაყრილის</w:t>
      </w:r>
      <w:r w:rsidRPr="00ED05BF">
        <w:rPr>
          <w:rFonts w:ascii="AcadNusx" w:eastAsia="BGGBOK+TimesNewRoman" w:hAnsi="AcadNusx"/>
          <w:lang w:val="ka-GE"/>
        </w:rPr>
        <w:t xml:space="preserve"> </w:t>
      </w:r>
      <w:r w:rsidRPr="00ED05BF">
        <w:rPr>
          <w:rFonts w:ascii="Sylfaen" w:eastAsia="BGGBOK+TimesNewRoman" w:hAnsi="Sylfaen" w:cs="Sylfaen"/>
          <w:lang w:val="ka-GE"/>
        </w:rPr>
        <w:t>მასალის</w:t>
      </w:r>
      <w:r w:rsidRPr="00ED05BF">
        <w:rPr>
          <w:rFonts w:ascii="AcadNusx" w:eastAsia="BGGBOK+TimesNewRoman" w:hAnsi="AcadNusx"/>
          <w:lang w:val="ka-GE"/>
        </w:rPr>
        <w:t xml:space="preserve"> </w:t>
      </w:r>
      <w:r w:rsidRPr="00ED05BF">
        <w:rPr>
          <w:rFonts w:ascii="Sylfaen" w:eastAsia="BGGBOK+TimesNewRoman" w:hAnsi="Sylfaen" w:cs="Sylfaen"/>
          <w:lang w:val="ka-GE"/>
        </w:rPr>
        <w:t>რეკომენდირებული</w:t>
      </w:r>
      <w:r w:rsidRPr="00ED05BF">
        <w:rPr>
          <w:rFonts w:ascii="AcadNusx" w:eastAsia="BGGBOK+TimesNewRoman" w:hAnsi="AcadNusx"/>
          <w:lang w:val="ka-GE"/>
        </w:rPr>
        <w:t xml:space="preserve"> </w:t>
      </w:r>
      <w:r w:rsidRPr="00ED05BF">
        <w:rPr>
          <w:rFonts w:ascii="Sylfaen" w:eastAsia="BGGBOK+TimesNewRoman" w:hAnsi="Sylfaen" w:cs="Sylfaen"/>
          <w:lang w:val="ka-GE"/>
        </w:rPr>
        <w:t>მახასიათებლები</w:t>
      </w:r>
    </w:p>
    <w:tbl>
      <w:tblPr>
        <w:tblStyle w:val="TableGrid110"/>
        <w:tblW w:w="9369" w:type="dxa"/>
        <w:tblLook w:val="04A0" w:firstRow="1" w:lastRow="0" w:firstColumn="1" w:lastColumn="0" w:noHBand="0" w:noVBand="1"/>
      </w:tblPr>
      <w:tblGrid>
        <w:gridCol w:w="6817"/>
        <w:gridCol w:w="2552"/>
      </w:tblGrid>
      <w:tr w:rsidR="00EA3205" w:rsidRPr="00B77B2E" w14:paraId="479A4035" w14:textId="77777777" w:rsidTr="00B77B2E">
        <w:trPr>
          <w:trHeight w:val="444"/>
        </w:trPr>
        <w:tc>
          <w:tcPr>
            <w:tcW w:w="6817" w:type="dxa"/>
            <w:hideMark/>
          </w:tcPr>
          <w:p w14:paraId="50BBB461" w14:textId="573D51C0" w:rsidR="00EA3205" w:rsidRPr="00B77B2E" w:rsidRDefault="00ED05BF" w:rsidP="00ED05BF">
            <w:pPr>
              <w:rPr>
                <w:rFonts w:ascii="AcadNusx" w:hAnsi="AcadNusx"/>
                <w:sz w:val="20"/>
              </w:rPr>
            </w:pPr>
            <w:r>
              <w:rPr>
                <w:rFonts w:ascii="Sylfaen" w:hAnsi="Sylfaen"/>
                <w:sz w:val="20"/>
                <w:lang w:val="ka-GE"/>
              </w:rPr>
              <w:t>მიწაყრილის მასალის პარამეტრები</w:t>
            </w:r>
          </w:p>
        </w:tc>
        <w:tc>
          <w:tcPr>
            <w:tcW w:w="2552" w:type="dxa"/>
            <w:hideMark/>
          </w:tcPr>
          <w:p w14:paraId="4C03C49B" w14:textId="5BF10929" w:rsidR="00EA3205" w:rsidRPr="00B77B2E" w:rsidRDefault="00ED05BF" w:rsidP="00ED05BF">
            <w:pPr>
              <w:rPr>
                <w:rFonts w:ascii="AcadNusx" w:hAnsi="AcadNusx"/>
                <w:sz w:val="20"/>
              </w:rPr>
            </w:pPr>
            <w:r>
              <w:rPr>
                <w:rFonts w:ascii="Sylfaen" w:hAnsi="Sylfaen"/>
                <w:sz w:val="20"/>
                <w:lang w:val="ka-GE"/>
              </w:rPr>
              <w:t>რეკომენდაცია</w:t>
            </w:r>
          </w:p>
        </w:tc>
      </w:tr>
      <w:tr w:rsidR="00EA3205" w:rsidRPr="00B77B2E" w14:paraId="26471EDA" w14:textId="77777777" w:rsidTr="00B77B2E">
        <w:trPr>
          <w:trHeight w:val="336"/>
        </w:trPr>
        <w:tc>
          <w:tcPr>
            <w:tcW w:w="6817" w:type="dxa"/>
            <w:hideMark/>
          </w:tcPr>
          <w:p w14:paraId="039DF930" w14:textId="053B5368" w:rsidR="00EA3205" w:rsidRPr="00B77B2E" w:rsidRDefault="00ED05BF" w:rsidP="00ED05BF">
            <w:pPr>
              <w:rPr>
                <w:rFonts w:ascii="AcadNusx" w:hAnsi="AcadNusx"/>
                <w:sz w:val="20"/>
              </w:rPr>
            </w:pPr>
            <w:r>
              <w:rPr>
                <w:rFonts w:ascii="Sylfaen" w:hAnsi="Sylfaen"/>
                <w:sz w:val="20"/>
                <w:lang w:val="ka-GE"/>
              </w:rPr>
              <w:t>დატკეპნის ხარისხი</w:t>
            </w:r>
          </w:p>
        </w:tc>
        <w:tc>
          <w:tcPr>
            <w:tcW w:w="2552" w:type="dxa"/>
            <w:hideMark/>
          </w:tcPr>
          <w:p w14:paraId="5E6D684C" w14:textId="77777777" w:rsidR="00EA3205" w:rsidRPr="00B77B2E" w:rsidRDefault="00EA3205" w:rsidP="00EA3205">
            <w:pPr>
              <w:rPr>
                <w:rFonts w:ascii="AcadNusx" w:hAnsi="AcadNusx"/>
                <w:sz w:val="20"/>
              </w:rPr>
            </w:pPr>
            <w:r w:rsidRPr="00B77B2E">
              <w:rPr>
                <w:rFonts w:ascii="AcadNusx" w:eastAsia="MS Gothic" w:hAnsi="AcadNusx"/>
                <w:sz w:val="20"/>
              </w:rPr>
              <w:t>≥</w:t>
            </w:r>
            <w:r w:rsidRPr="00B77B2E">
              <w:rPr>
                <w:rFonts w:ascii="AcadNusx" w:hAnsi="AcadNusx"/>
                <w:sz w:val="20"/>
              </w:rPr>
              <w:t> 95 %</w:t>
            </w:r>
          </w:p>
        </w:tc>
      </w:tr>
      <w:tr w:rsidR="00EA3205" w:rsidRPr="00B77B2E" w14:paraId="51A96395" w14:textId="77777777" w:rsidTr="00B77B2E">
        <w:trPr>
          <w:trHeight w:val="336"/>
        </w:trPr>
        <w:tc>
          <w:tcPr>
            <w:tcW w:w="6817" w:type="dxa"/>
            <w:hideMark/>
          </w:tcPr>
          <w:p w14:paraId="1177529C" w14:textId="797FB3CF" w:rsidR="00EA3205" w:rsidRPr="00B77B2E" w:rsidRDefault="00ED05BF" w:rsidP="00ED05BF">
            <w:pPr>
              <w:rPr>
                <w:rFonts w:ascii="AcadNusx" w:hAnsi="AcadNusx"/>
                <w:sz w:val="20"/>
              </w:rPr>
            </w:pPr>
            <w:r>
              <w:rPr>
                <w:rFonts w:ascii="Sylfaen" w:hAnsi="Sylfaen"/>
                <w:sz w:val="20"/>
                <w:lang w:val="ka-GE"/>
              </w:rPr>
              <w:t xml:space="preserve">მასალის კალიფორნიული რიცხვი </w:t>
            </w:r>
            <w:r w:rsidR="00EA3205" w:rsidRPr="00B77B2E">
              <w:rPr>
                <w:rFonts w:ascii="AcadNusx" w:hAnsi="AcadNusx"/>
                <w:sz w:val="20"/>
              </w:rPr>
              <w:t>(</w:t>
            </w:r>
            <w:r w:rsidR="00EA3205" w:rsidRPr="00B77B2E">
              <w:rPr>
                <w:rFonts w:cs="Arial"/>
                <w:sz w:val="20"/>
              </w:rPr>
              <w:t>CBR</w:t>
            </w:r>
            <w:r w:rsidR="00EA3205" w:rsidRPr="00B77B2E">
              <w:rPr>
                <w:rFonts w:ascii="AcadNusx" w:hAnsi="AcadNusx"/>
                <w:sz w:val="20"/>
              </w:rPr>
              <w:t xml:space="preserve">) </w:t>
            </w:r>
            <w:r>
              <w:rPr>
                <w:rFonts w:ascii="Sylfaen" w:hAnsi="Sylfaen"/>
                <w:sz w:val="20"/>
                <w:lang w:val="ka-GE"/>
              </w:rPr>
              <w:t xml:space="preserve">მშრალი მასის მაქს. სიმკვრივის </w:t>
            </w:r>
            <w:r w:rsidR="00EA3205" w:rsidRPr="00B77B2E">
              <w:rPr>
                <w:rFonts w:ascii="AcadNusx" w:hAnsi="AcadNusx"/>
                <w:sz w:val="20"/>
              </w:rPr>
              <w:t>(</w:t>
            </w:r>
            <w:r w:rsidR="00EA3205" w:rsidRPr="00B77B2E">
              <w:rPr>
                <w:rFonts w:cs="Arial"/>
                <w:sz w:val="20"/>
              </w:rPr>
              <w:t>MDD</w:t>
            </w:r>
            <w:r w:rsidR="00EA3205" w:rsidRPr="00B77B2E">
              <w:rPr>
                <w:rFonts w:ascii="AcadNusx" w:hAnsi="AcadNusx"/>
                <w:sz w:val="20"/>
              </w:rPr>
              <w:t>) 95%-</w:t>
            </w:r>
            <w:r>
              <w:rPr>
                <w:rFonts w:ascii="Sylfaen" w:hAnsi="Sylfaen"/>
                <w:sz w:val="20"/>
                <w:lang w:val="ka-GE"/>
              </w:rPr>
              <w:t>მდე დატკეპნილ მდგომარეობაში</w:t>
            </w:r>
          </w:p>
        </w:tc>
        <w:tc>
          <w:tcPr>
            <w:tcW w:w="2552" w:type="dxa"/>
            <w:hideMark/>
          </w:tcPr>
          <w:p w14:paraId="29A8F41A" w14:textId="77777777" w:rsidR="00EA3205" w:rsidRPr="00B77B2E" w:rsidRDefault="00EA3205" w:rsidP="00EA3205">
            <w:pPr>
              <w:rPr>
                <w:rFonts w:ascii="AcadNusx" w:hAnsi="AcadNusx"/>
                <w:sz w:val="20"/>
              </w:rPr>
            </w:pPr>
            <w:r w:rsidRPr="00B77B2E">
              <w:rPr>
                <w:rFonts w:ascii="AcadNusx" w:eastAsia="MS Gothic" w:hAnsi="AcadNusx"/>
                <w:sz w:val="20"/>
              </w:rPr>
              <w:t>≥ 5</w:t>
            </w:r>
            <w:r w:rsidRPr="00B77B2E">
              <w:rPr>
                <w:rFonts w:ascii="AcadNusx" w:hAnsi="AcadNusx"/>
                <w:sz w:val="20"/>
              </w:rPr>
              <w:t>%</w:t>
            </w:r>
          </w:p>
        </w:tc>
      </w:tr>
      <w:tr w:rsidR="00EA3205" w:rsidRPr="00B77B2E" w14:paraId="126974D7" w14:textId="77777777" w:rsidTr="00B77B2E">
        <w:trPr>
          <w:trHeight w:val="336"/>
        </w:trPr>
        <w:tc>
          <w:tcPr>
            <w:tcW w:w="6817" w:type="dxa"/>
            <w:hideMark/>
          </w:tcPr>
          <w:p w14:paraId="6A5E38AC" w14:textId="1C92404C" w:rsidR="00EA3205" w:rsidRPr="00B77B2E" w:rsidRDefault="00ED05BF" w:rsidP="00ED05BF">
            <w:pPr>
              <w:rPr>
                <w:rFonts w:ascii="AcadNusx" w:hAnsi="AcadNusx"/>
                <w:sz w:val="20"/>
              </w:rPr>
            </w:pPr>
            <w:r>
              <w:rPr>
                <w:rFonts w:ascii="Sylfaen" w:hAnsi="Sylfaen"/>
                <w:sz w:val="20"/>
                <w:lang w:val="ka-GE"/>
              </w:rPr>
              <w:t>მაქსიმალური ფრაქციული ზომა</w:t>
            </w:r>
          </w:p>
        </w:tc>
        <w:tc>
          <w:tcPr>
            <w:tcW w:w="2552" w:type="dxa"/>
            <w:hideMark/>
          </w:tcPr>
          <w:p w14:paraId="3BB10DC1" w14:textId="37F0582A" w:rsidR="00EA3205" w:rsidRPr="00B77B2E" w:rsidRDefault="00EA3205" w:rsidP="00EA3205">
            <w:pPr>
              <w:rPr>
                <w:rFonts w:ascii="AcadNusx" w:hAnsi="AcadNusx"/>
                <w:sz w:val="20"/>
              </w:rPr>
            </w:pPr>
            <w:r w:rsidRPr="00B77B2E">
              <w:rPr>
                <w:rFonts w:ascii="AcadNusx" w:eastAsia="MS Gothic" w:hAnsi="AcadNusx"/>
                <w:sz w:val="20"/>
              </w:rPr>
              <w:t>1</w:t>
            </w:r>
            <w:r w:rsidR="00ED05BF">
              <w:rPr>
                <w:rFonts w:ascii="AcadNusx" w:eastAsia="MS Gothic" w:hAnsi="AcadNusx"/>
                <w:sz w:val="20"/>
              </w:rPr>
              <w:t>00 მმ</w:t>
            </w:r>
          </w:p>
        </w:tc>
      </w:tr>
      <w:tr w:rsidR="00EA3205" w:rsidRPr="00B77B2E" w14:paraId="73490B24" w14:textId="77777777" w:rsidTr="00B77B2E">
        <w:trPr>
          <w:trHeight w:val="336"/>
        </w:trPr>
        <w:tc>
          <w:tcPr>
            <w:tcW w:w="6817" w:type="dxa"/>
            <w:hideMark/>
          </w:tcPr>
          <w:p w14:paraId="72B419C5" w14:textId="052F5DA9" w:rsidR="00EA3205" w:rsidRPr="00B77B2E" w:rsidRDefault="00ED05BF" w:rsidP="00ED05BF">
            <w:pPr>
              <w:rPr>
                <w:rFonts w:ascii="AcadNusx" w:eastAsia="MS Gothic" w:hAnsi="AcadNusx"/>
                <w:sz w:val="20"/>
                <w:lang w:val="en-US"/>
              </w:rPr>
            </w:pPr>
            <w:r>
              <w:rPr>
                <w:rFonts w:ascii="Sylfaen" w:hAnsi="Sylfaen"/>
                <w:sz w:val="20"/>
                <w:lang w:val="ka-GE"/>
              </w:rPr>
              <w:t xml:space="preserve">წვრილმარცვლოვანი ფრაქციის </w:t>
            </w:r>
            <w:r w:rsidR="00EA3205" w:rsidRPr="00B77B2E">
              <w:rPr>
                <w:rFonts w:ascii="AcadNusx" w:hAnsi="AcadNusx"/>
                <w:sz w:val="20"/>
              </w:rPr>
              <w:t>(&lt;0.063</w:t>
            </w:r>
            <w:r>
              <w:rPr>
                <w:rFonts w:ascii="Sylfaen" w:hAnsi="Sylfaen"/>
                <w:sz w:val="20"/>
                <w:lang w:val="ka-GE"/>
              </w:rPr>
              <w:t>მმ</w:t>
            </w:r>
            <w:r w:rsidR="00EA3205" w:rsidRPr="00B77B2E">
              <w:rPr>
                <w:rFonts w:ascii="AcadNusx" w:hAnsi="AcadNusx"/>
                <w:sz w:val="20"/>
              </w:rPr>
              <w:t>)</w:t>
            </w:r>
            <w:r>
              <w:rPr>
                <w:rFonts w:ascii="Sylfaen" w:hAnsi="Sylfaen"/>
                <w:sz w:val="20"/>
                <w:lang w:val="ka-GE"/>
              </w:rPr>
              <w:t xml:space="preserve"> შემცველობა</w:t>
            </w:r>
          </w:p>
        </w:tc>
        <w:tc>
          <w:tcPr>
            <w:tcW w:w="2552" w:type="dxa"/>
            <w:hideMark/>
          </w:tcPr>
          <w:p w14:paraId="024D8737" w14:textId="77777777" w:rsidR="00EA3205" w:rsidRPr="00B77B2E" w:rsidRDefault="00EA3205" w:rsidP="00EA3205">
            <w:pPr>
              <w:rPr>
                <w:rFonts w:ascii="AcadNusx" w:hAnsi="AcadNusx"/>
                <w:sz w:val="20"/>
              </w:rPr>
            </w:pPr>
            <w:r w:rsidRPr="00B77B2E">
              <w:rPr>
                <w:rFonts w:ascii="AcadNusx" w:eastAsia="MS Gothic" w:hAnsi="AcadNusx"/>
                <w:sz w:val="20"/>
              </w:rPr>
              <w:t>&lt; 50%</w:t>
            </w:r>
          </w:p>
        </w:tc>
      </w:tr>
      <w:tr w:rsidR="00EA3205" w:rsidRPr="00B77B2E" w14:paraId="362751CC" w14:textId="77777777" w:rsidTr="00B77B2E">
        <w:trPr>
          <w:trHeight w:val="336"/>
        </w:trPr>
        <w:tc>
          <w:tcPr>
            <w:tcW w:w="6817" w:type="dxa"/>
            <w:hideMark/>
          </w:tcPr>
          <w:p w14:paraId="543D4CD4" w14:textId="2274E3D3" w:rsidR="00EA3205" w:rsidRPr="00B77B2E" w:rsidRDefault="002545D5" w:rsidP="002545D5">
            <w:pPr>
              <w:rPr>
                <w:rFonts w:ascii="AcadNusx" w:eastAsia="MS Gothic" w:hAnsi="AcadNusx"/>
                <w:sz w:val="20"/>
                <w:lang w:val="en-US"/>
              </w:rPr>
            </w:pPr>
            <w:r>
              <w:rPr>
                <w:rFonts w:ascii="Sylfaen" w:hAnsi="Sylfaen"/>
                <w:sz w:val="20"/>
                <w:lang w:val="ka-GE"/>
              </w:rPr>
              <w:t>მასალის პლასტიკურობის რიცხვი</w:t>
            </w:r>
            <w:r w:rsidR="00EA3205" w:rsidRPr="00B77B2E">
              <w:rPr>
                <w:rFonts w:ascii="AcadNusx" w:hAnsi="AcadNusx"/>
                <w:sz w:val="20"/>
              </w:rPr>
              <w:t xml:space="preserve"> (&lt;0.425</w:t>
            </w:r>
            <w:r>
              <w:rPr>
                <w:rFonts w:ascii="Sylfaen" w:hAnsi="Sylfaen"/>
                <w:sz w:val="20"/>
                <w:lang w:val="ka-GE"/>
              </w:rPr>
              <w:t>მმ ფრაქციის</w:t>
            </w:r>
            <w:r w:rsidR="00EA3205" w:rsidRPr="00B77B2E">
              <w:rPr>
                <w:rFonts w:ascii="AcadNusx" w:hAnsi="AcadNusx"/>
                <w:sz w:val="20"/>
              </w:rPr>
              <w:t>)</w:t>
            </w:r>
          </w:p>
        </w:tc>
        <w:tc>
          <w:tcPr>
            <w:tcW w:w="2552" w:type="dxa"/>
            <w:hideMark/>
          </w:tcPr>
          <w:p w14:paraId="4EB94F62" w14:textId="77777777" w:rsidR="00EA3205" w:rsidRPr="00B77B2E" w:rsidRDefault="00EA3205" w:rsidP="00EA3205">
            <w:pPr>
              <w:rPr>
                <w:rFonts w:ascii="AcadNusx" w:hAnsi="AcadNusx"/>
                <w:sz w:val="20"/>
              </w:rPr>
            </w:pPr>
            <w:r w:rsidRPr="00B77B2E">
              <w:rPr>
                <w:rFonts w:ascii="AcadNusx" w:eastAsia="MS Gothic" w:hAnsi="AcadNusx"/>
                <w:sz w:val="20"/>
              </w:rPr>
              <w:t>&lt; 20</w:t>
            </w:r>
          </w:p>
        </w:tc>
      </w:tr>
    </w:tbl>
    <w:p w14:paraId="63F5516F" w14:textId="77777777" w:rsidR="00EA3205" w:rsidRPr="00B05F62" w:rsidRDefault="00EA3205" w:rsidP="006B2E4A">
      <w:pPr>
        <w:spacing w:before="120" w:after="120"/>
        <w:rPr>
          <w:rFonts w:ascii="AcadNusx" w:hAnsi="AcadNusx"/>
        </w:rPr>
      </w:pPr>
      <w:r w:rsidRPr="00B05F62">
        <w:rPr>
          <w:rFonts w:ascii="AcadNusx" w:hAnsi="AcadNusx"/>
        </w:rPr>
        <w:t>miwayrilis masalaSi ar unda iyos Tixis beltebi da organuli minarevebi.</w:t>
      </w:r>
    </w:p>
    <w:p w14:paraId="5F5DE21D" w14:textId="77777777" w:rsidR="00EA3205" w:rsidRPr="00B05F62" w:rsidRDefault="00EA3205" w:rsidP="006B2E4A">
      <w:pPr>
        <w:spacing w:before="120" w:after="120"/>
        <w:rPr>
          <w:rFonts w:ascii="AcadNusx" w:hAnsi="AcadNusx"/>
        </w:rPr>
      </w:pPr>
      <w:r w:rsidRPr="00B05F62">
        <w:rPr>
          <w:rFonts w:ascii="AcadNusx" w:hAnsi="AcadNusx"/>
        </w:rPr>
        <w:t>saWiro miwayrilis masalebis didi moculobis gaTvaliswinebiT, rekomendirebulia adgilobrivad xelmisawvdomi yrilis masalebis gamoyeneba. minimaluri savaldebulo moTxovnebi adgilobrivad xelmisawvdomi, ZiriTadad SekavSirebuli masalebis mimarT moyvanilia zeda cxrilSi. aRniSnuli tipis masala, romlis kaliforniuli ricxvis (</w:t>
      </w:r>
      <w:r w:rsidRPr="006B2E4A">
        <w:rPr>
          <w:rFonts w:cs="Arial"/>
        </w:rPr>
        <w:t>CBR</w:t>
      </w:r>
      <w:r w:rsidRPr="00B05F62">
        <w:rPr>
          <w:rFonts w:ascii="AcadNusx" w:hAnsi="AcadNusx"/>
        </w:rPr>
        <w:t>) minimaluri sidide 5%-s Seadgens, xelmisawvdomia saproeqto gzidan ekonomiurad gonivrul manZilebze.</w:t>
      </w:r>
    </w:p>
    <w:p w14:paraId="4F92AB4D" w14:textId="77777777" w:rsidR="00EA3205" w:rsidRPr="00B05F62" w:rsidRDefault="00EA3205" w:rsidP="006B2E4A">
      <w:pPr>
        <w:spacing w:before="120" w:after="120"/>
        <w:rPr>
          <w:rFonts w:ascii="AcadNusx" w:hAnsi="AcadNusx"/>
        </w:rPr>
      </w:pPr>
      <w:r w:rsidRPr="00B05F62">
        <w:rPr>
          <w:rFonts w:ascii="AcadNusx" w:hAnsi="AcadNusx"/>
        </w:rPr>
        <w:t>marcvlovani damatebiTi fena</w:t>
      </w:r>
    </w:p>
    <w:p w14:paraId="696BF3DF" w14:textId="77777777" w:rsidR="00EA3205" w:rsidRPr="00B05F62" w:rsidRDefault="00EA3205" w:rsidP="006B2E4A">
      <w:pPr>
        <w:spacing w:before="120" w:after="120"/>
        <w:rPr>
          <w:rFonts w:ascii="AcadNusx" w:hAnsi="AcadNusx"/>
        </w:rPr>
      </w:pPr>
      <w:r w:rsidRPr="00B05F62">
        <w:rPr>
          <w:rFonts w:ascii="AcadNusx" w:hAnsi="AcadNusx"/>
        </w:rPr>
        <w:t>SemoTavazebul upirates mimarTulebaze saWiroa safuZvlis damatebiTi fenis mowyoba. Seukravi marcvlovani fena unda warmoadgendes bunebrivi masaliT dagebul (maqsimum 63 mm gradaciis) fenas, romelic daakmayofilebs Semdeg pirobebs:</w:t>
      </w:r>
    </w:p>
    <w:p w14:paraId="1F5C6EF0" w14:textId="3E2270EF" w:rsidR="00EA3205" w:rsidRPr="00B05F62" w:rsidRDefault="00EA3205" w:rsidP="006B2E4A">
      <w:pPr>
        <w:spacing w:before="120" w:after="120"/>
        <w:rPr>
          <w:rFonts w:ascii="AcadNusx" w:hAnsi="AcadNusx"/>
        </w:rPr>
      </w:pPr>
      <w:r w:rsidRPr="00B05F62">
        <w:rPr>
          <w:rFonts w:ascii="AcadNusx" w:hAnsi="AcadNusx"/>
        </w:rPr>
        <w:lastRenderedPageBreak/>
        <w:t>cxrili 4.</w:t>
      </w:r>
      <w:r w:rsidR="00EA6DAA">
        <w:rPr>
          <w:rFonts w:ascii="Sylfaen" w:hAnsi="Sylfaen"/>
          <w:lang w:val="ka-GE"/>
        </w:rPr>
        <w:t>9</w:t>
      </w:r>
      <w:r w:rsidR="006B2E4A">
        <w:rPr>
          <w:rFonts w:ascii="Sylfaen" w:hAnsi="Sylfaen"/>
          <w:lang w:val="ka-GE"/>
        </w:rPr>
        <w:t>.3.</w:t>
      </w:r>
      <w:r w:rsidRPr="00B05F62">
        <w:rPr>
          <w:rFonts w:ascii="AcadNusx" w:hAnsi="AcadNusx"/>
        </w:rPr>
        <w:t>5.</w:t>
      </w:r>
      <w:r w:rsidR="006B2E4A">
        <w:rPr>
          <w:rFonts w:ascii="Sylfaen" w:hAnsi="Sylfaen"/>
          <w:lang w:val="ka-GE"/>
        </w:rPr>
        <w:t>-2</w:t>
      </w:r>
      <w:r w:rsidRPr="00B05F62">
        <w:rPr>
          <w:rFonts w:ascii="AcadNusx" w:hAnsi="AcadNusx"/>
        </w:rPr>
        <w:t xml:space="preserve"> </w:t>
      </w:r>
      <w:r w:rsidRPr="00B05F62">
        <w:rPr>
          <w:rFonts w:ascii="AcadNusx" w:hAnsi="AcadNusx"/>
        </w:rPr>
        <w:tab/>
        <w:t>rekomendirebuli granulometriuli Semadgenloba safuZvlis damatebiTi fenisTvis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4112"/>
      </w:tblGrid>
      <w:tr w:rsidR="00EA3205" w:rsidRPr="00B05F62" w14:paraId="63D3265A" w14:textId="77777777" w:rsidTr="00EA3205">
        <w:tc>
          <w:tcPr>
            <w:tcW w:w="4572"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818AA41" w14:textId="77777777" w:rsidR="00EA3205" w:rsidRPr="00B05F62" w:rsidRDefault="00EA3205" w:rsidP="00EA3205">
            <w:pPr>
              <w:rPr>
                <w:rFonts w:ascii="AcadNusx" w:hAnsi="AcadNusx"/>
                <w:lang w:val="en-US"/>
              </w:rPr>
            </w:pPr>
            <w:r w:rsidRPr="00B05F62">
              <w:rPr>
                <w:rFonts w:ascii="AcadNusx" w:hAnsi="AcadNusx"/>
              </w:rPr>
              <w:t>saceris ujredis zoma [mm]</w:t>
            </w:r>
          </w:p>
        </w:tc>
        <w:tc>
          <w:tcPr>
            <w:tcW w:w="4112"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5485AE1" w14:textId="77777777" w:rsidR="00EA3205" w:rsidRPr="00B05F62" w:rsidRDefault="00EA3205" w:rsidP="00EA3205">
            <w:pPr>
              <w:rPr>
                <w:rFonts w:ascii="AcadNusx" w:hAnsi="AcadNusx"/>
              </w:rPr>
            </w:pPr>
            <w:r w:rsidRPr="00B05F62">
              <w:rPr>
                <w:rFonts w:ascii="AcadNusx" w:hAnsi="AcadNusx"/>
              </w:rPr>
              <w:t>gasuli fraqciis masuri wili [%]</w:t>
            </w:r>
          </w:p>
        </w:tc>
      </w:tr>
      <w:tr w:rsidR="00EA3205" w:rsidRPr="00B05F62" w14:paraId="72D2FE69" w14:textId="77777777" w:rsidTr="00EA3205">
        <w:tc>
          <w:tcPr>
            <w:tcW w:w="4572" w:type="dxa"/>
            <w:tcBorders>
              <w:top w:val="single" w:sz="4" w:space="0" w:color="auto"/>
              <w:left w:val="single" w:sz="4" w:space="0" w:color="auto"/>
              <w:bottom w:val="single" w:sz="4" w:space="0" w:color="auto"/>
              <w:right w:val="single" w:sz="4" w:space="0" w:color="auto"/>
            </w:tcBorders>
            <w:vAlign w:val="center"/>
            <w:hideMark/>
          </w:tcPr>
          <w:p w14:paraId="367348E0" w14:textId="77777777" w:rsidR="00EA3205" w:rsidRPr="00B05F62" w:rsidRDefault="00EA3205" w:rsidP="00EA3205">
            <w:pPr>
              <w:rPr>
                <w:rFonts w:ascii="AcadNusx" w:hAnsi="AcadNusx"/>
              </w:rPr>
            </w:pPr>
            <w:r w:rsidRPr="00B05F62">
              <w:rPr>
                <w:rFonts w:ascii="AcadNusx" w:hAnsi="AcadNusx"/>
              </w:rPr>
              <w:t>63</w:t>
            </w:r>
          </w:p>
        </w:tc>
        <w:tc>
          <w:tcPr>
            <w:tcW w:w="4112" w:type="dxa"/>
            <w:tcBorders>
              <w:top w:val="single" w:sz="4" w:space="0" w:color="auto"/>
              <w:left w:val="single" w:sz="4" w:space="0" w:color="auto"/>
              <w:bottom w:val="single" w:sz="4" w:space="0" w:color="auto"/>
              <w:right w:val="single" w:sz="4" w:space="0" w:color="auto"/>
            </w:tcBorders>
            <w:vAlign w:val="center"/>
            <w:hideMark/>
          </w:tcPr>
          <w:p w14:paraId="7FBF8EB7" w14:textId="77777777" w:rsidR="00EA3205" w:rsidRPr="00B05F62" w:rsidRDefault="00EA3205" w:rsidP="00EA3205">
            <w:pPr>
              <w:rPr>
                <w:rFonts w:ascii="AcadNusx" w:hAnsi="AcadNusx"/>
              </w:rPr>
            </w:pPr>
            <w:r w:rsidRPr="00B05F62">
              <w:rPr>
                <w:rFonts w:ascii="AcadNusx" w:hAnsi="AcadNusx"/>
              </w:rPr>
              <w:t>100</w:t>
            </w:r>
          </w:p>
        </w:tc>
      </w:tr>
      <w:tr w:rsidR="00EA3205" w:rsidRPr="00B05F62" w14:paraId="7933D91C" w14:textId="77777777" w:rsidTr="00EA3205">
        <w:tc>
          <w:tcPr>
            <w:tcW w:w="4572" w:type="dxa"/>
            <w:tcBorders>
              <w:top w:val="single" w:sz="4" w:space="0" w:color="auto"/>
              <w:left w:val="single" w:sz="4" w:space="0" w:color="auto"/>
              <w:bottom w:val="single" w:sz="4" w:space="0" w:color="auto"/>
              <w:right w:val="single" w:sz="4" w:space="0" w:color="auto"/>
            </w:tcBorders>
            <w:vAlign w:val="center"/>
            <w:hideMark/>
          </w:tcPr>
          <w:p w14:paraId="2376ECC5" w14:textId="77777777" w:rsidR="00EA3205" w:rsidRPr="00B05F62" w:rsidRDefault="00EA3205" w:rsidP="00EA3205">
            <w:pPr>
              <w:rPr>
                <w:rFonts w:ascii="AcadNusx" w:hAnsi="AcadNusx"/>
              </w:rPr>
            </w:pPr>
            <w:r w:rsidRPr="00B05F62">
              <w:rPr>
                <w:rFonts w:ascii="AcadNusx" w:hAnsi="AcadNusx"/>
              </w:rPr>
              <w:t>31.5</w:t>
            </w:r>
          </w:p>
        </w:tc>
        <w:tc>
          <w:tcPr>
            <w:tcW w:w="4112" w:type="dxa"/>
            <w:tcBorders>
              <w:top w:val="single" w:sz="4" w:space="0" w:color="auto"/>
              <w:left w:val="single" w:sz="4" w:space="0" w:color="auto"/>
              <w:bottom w:val="single" w:sz="4" w:space="0" w:color="auto"/>
              <w:right w:val="single" w:sz="4" w:space="0" w:color="auto"/>
            </w:tcBorders>
            <w:vAlign w:val="center"/>
            <w:hideMark/>
          </w:tcPr>
          <w:p w14:paraId="24660754" w14:textId="77777777" w:rsidR="00EA3205" w:rsidRPr="00B05F62" w:rsidRDefault="00EA3205" w:rsidP="00EA3205">
            <w:pPr>
              <w:rPr>
                <w:rFonts w:ascii="AcadNusx" w:hAnsi="AcadNusx"/>
              </w:rPr>
            </w:pPr>
            <w:r w:rsidRPr="00B05F62">
              <w:rPr>
                <w:rFonts w:ascii="AcadNusx" w:hAnsi="AcadNusx"/>
              </w:rPr>
              <w:t>75 -100</w:t>
            </w:r>
          </w:p>
        </w:tc>
      </w:tr>
      <w:tr w:rsidR="00EA3205" w:rsidRPr="00B05F62" w14:paraId="5D58EF95" w14:textId="77777777" w:rsidTr="00EA3205">
        <w:tc>
          <w:tcPr>
            <w:tcW w:w="4572" w:type="dxa"/>
            <w:tcBorders>
              <w:top w:val="single" w:sz="4" w:space="0" w:color="auto"/>
              <w:left w:val="single" w:sz="4" w:space="0" w:color="auto"/>
              <w:bottom w:val="single" w:sz="4" w:space="0" w:color="auto"/>
              <w:right w:val="single" w:sz="4" w:space="0" w:color="auto"/>
            </w:tcBorders>
            <w:vAlign w:val="center"/>
            <w:hideMark/>
          </w:tcPr>
          <w:p w14:paraId="551CFED5" w14:textId="77777777" w:rsidR="00EA3205" w:rsidRPr="00B05F62" w:rsidRDefault="00EA3205" w:rsidP="00EA3205">
            <w:pPr>
              <w:rPr>
                <w:rFonts w:ascii="AcadNusx" w:hAnsi="AcadNusx"/>
              </w:rPr>
            </w:pPr>
            <w:r w:rsidRPr="00B05F62">
              <w:rPr>
                <w:rFonts w:ascii="AcadNusx" w:hAnsi="AcadNusx"/>
              </w:rPr>
              <w:t>16</w:t>
            </w:r>
          </w:p>
        </w:tc>
        <w:tc>
          <w:tcPr>
            <w:tcW w:w="4112" w:type="dxa"/>
            <w:tcBorders>
              <w:top w:val="single" w:sz="4" w:space="0" w:color="auto"/>
              <w:left w:val="single" w:sz="4" w:space="0" w:color="auto"/>
              <w:bottom w:val="single" w:sz="4" w:space="0" w:color="auto"/>
              <w:right w:val="single" w:sz="4" w:space="0" w:color="auto"/>
            </w:tcBorders>
            <w:vAlign w:val="center"/>
            <w:hideMark/>
          </w:tcPr>
          <w:p w14:paraId="54690E5D" w14:textId="77777777" w:rsidR="00EA3205" w:rsidRPr="00B05F62" w:rsidRDefault="00EA3205" w:rsidP="00EA3205">
            <w:pPr>
              <w:rPr>
                <w:rFonts w:ascii="AcadNusx" w:hAnsi="AcadNusx"/>
              </w:rPr>
            </w:pPr>
            <w:r w:rsidRPr="00B05F62">
              <w:rPr>
                <w:rFonts w:ascii="AcadNusx" w:hAnsi="AcadNusx"/>
              </w:rPr>
              <w:t>43 – 81</w:t>
            </w:r>
          </w:p>
        </w:tc>
      </w:tr>
      <w:tr w:rsidR="00EA3205" w:rsidRPr="00B05F62" w14:paraId="26FD54EB" w14:textId="77777777" w:rsidTr="00EA3205">
        <w:tc>
          <w:tcPr>
            <w:tcW w:w="4572" w:type="dxa"/>
            <w:tcBorders>
              <w:top w:val="single" w:sz="4" w:space="0" w:color="auto"/>
              <w:left w:val="single" w:sz="4" w:space="0" w:color="auto"/>
              <w:bottom w:val="single" w:sz="4" w:space="0" w:color="auto"/>
              <w:right w:val="single" w:sz="4" w:space="0" w:color="auto"/>
            </w:tcBorders>
            <w:vAlign w:val="center"/>
            <w:hideMark/>
          </w:tcPr>
          <w:p w14:paraId="37EC1340" w14:textId="77777777" w:rsidR="00EA3205" w:rsidRPr="00B05F62" w:rsidRDefault="00EA3205" w:rsidP="00EA3205">
            <w:pPr>
              <w:rPr>
                <w:rFonts w:ascii="AcadNusx" w:hAnsi="AcadNusx"/>
              </w:rPr>
            </w:pPr>
            <w:r w:rsidRPr="00B05F62">
              <w:rPr>
                <w:rFonts w:ascii="AcadNusx" w:hAnsi="AcadNusx"/>
              </w:rPr>
              <w:t>8</w:t>
            </w:r>
          </w:p>
        </w:tc>
        <w:tc>
          <w:tcPr>
            <w:tcW w:w="4112" w:type="dxa"/>
            <w:tcBorders>
              <w:top w:val="single" w:sz="4" w:space="0" w:color="auto"/>
              <w:left w:val="single" w:sz="4" w:space="0" w:color="auto"/>
              <w:bottom w:val="single" w:sz="4" w:space="0" w:color="auto"/>
              <w:right w:val="single" w:sz="4" w:space="0" w:color="auto"/>
            </w:tcBorders>
            <w:vAlign w:val="center"/>
            <w:hideMark/>
          </w:tcPr>
          <w:p w14:paraId="76AB5C35" w14:textId="77777777" w:rsidR="00EA3205" w:rsidRPr="00B05F62" w:rsidRDefault="00EA3205" w:rsidP="00EA3205">
            <w:pPr>
              <w:rPr>
                <w:rFonts w:ascii="AcadNusx" w:hAnsi="AcadNusx"/>
              </w:rPr>
            </w:pPr>
            <w:r w:rsidRPr="00B05F62">
              <w:rPr>
                <w:rFonts w:ascii="AcadNusx" w:hAnsi="AcadNusx"/>
              </w:rPr>
              <w:t>23 – 66</w:t>
            </w:r>
          </w:p>
        </w:tc>
      </w:tr>
      <w:tr w:rsidR="00EA3205" w:rsidRPr="00B05F62" w14:paraId="03DD29AA" w14:textId="77777777" w:rsidTr="00EA3205">
        <w:tc>
          <w:tcPr>
            <w:tcW w:w="4572" w:type="dxa"/>
            <w:tcBorders>
              <w:top w:val="single" w:sz="4" w:space="0" w:color="auto"/>
              <w:left w:val="single" w:sz="4" w:space="0" w:color="auto"/>
              <w:bottom w:val="single" w:sz="4" w:space="0" w:color="auto"/>
              <w:right w:val="single" w:sz="4" w:space="0" w:color="auto"/>
            </w:tcBorders>
            <w:vAlign w:val="center"/>
            <w:hideMark/>
          </w:tcPr>
          <w:p w14:paraId="5FAF71FE" w14:textId="77777777" w:rsidR="00EA3205" w:rsidRPr="00B05F62" w:rsidRDefault="00EA3205" w:rsidP="00EA3205">
            <w:pPr>
              <w:rPr>
                <w:rFonts w:ascii="AcadNusx" w:hAnsi="AcadNusx"/>
              </w:rPr>
            </w:pPr>
            <w:r w:rsidRPr="00B05F62">
              <w:rPr>
                <w:rFonts w:ascii="AcadNusx" w:hAnsi="AcadNusx"/>
              </w:rPr>
              <w:t>4</w:t>
            </w:r>
          </w:p>
        </w:tc>
        <w:tc>
          <w:tcPr>
            <w:tcW w:w="4112" w:type="dxa"/>
            <w:tcBorders>
              <w:top w:val="single" w:sz="4" w:space="0" w:color="auto"/>
              <w:left w:val="single" w:sz="4" w:space="0" w:color="auto"/>
              <w:bottom w:val="single" w:sz="4" w:space="0" w:color="auto"/>
              <w:right w:val="single" w:sz="4" w:space="0" w:color="auto"/>
            </w:tcBorders>
            <w:vAlign w:val="center"/>
            <w:hideMark/>
          </w:tcPr>
          <w:p w14:paraId="68B50712" w14:textId="77777777" w:rsidR="00EA3205" w:rsidRPr="00B05F62" w:rsidRDefault="00EA3205" w:rsidP="00EA3205">
            <w:pPr>
              <w:rPr>
                <w:rFonts w:ascii="AcadNusx" w:hAnsi="AcadNusx"/>
              </w:rPr>
            </w:pPr>
            <w:r w:rsidRPr="00B05F62">
              <w:rPr>
                <w:rFonts w:ascii="AcadNusx" w:hAnsi="AcadNusx"/>
              </w:rPr>
              <w:t>12 - 53</w:t>
            </w:r>
          </w:p>
        </w:tc>
      </w:tr>
      <w:tr w:rsidR="00EA3205" w:rsidRPr="00B05F62" w14:paraId="1971E9F9" w14:textId="77777777" w:rsidTr="00EA3205">
        <w:tc>
          <w:tcPr>
            <w:tcW w:w="4572" w:type="dxa"/>
            <w:tcBorders>
              <w:top w:val="single" w:sz="4" w:space="0" w:color="auto"/>
              <w:left w:val="single" w:sz="4" w:space="0" w:color="auto"/>
              <w:bottom w:val="single" w:sz="4" w:space="0" w:color="auto"/>
              <w:right w:val="single" w:sz="4" w:space="0" w:color="auto"/>
            </w:tcBorders>
            <w:vAlign w:val="center"/>
            <w:hideMark/>
          </w:tcPr>
          <w:p w14:paraId="5694165B" w14:textId="77777777" w:rsidR="00EA3205" w:rsidRPr="00B05F62" w:rsidRDefault="00EA3205" w:rsidP="00EA3205">
            <w:pPr>
              <w:rPr>
                <w:rFonts w:ascii="AcadNusx" w:hAnsi="AcadNusx"/>
              </w:rPr>
            </w:pPr>
            <w:r w:rsidRPr="00B05F62">
              <w:rPr>
                <w:rFonts w:ascii="AcadNusx" w:hAnsi="AcadNusx"/>
              </w:rPr>
              <w:t>2</w:t>
            </w:r>
          </w:p>
        </w:tc>
        <w:tc>
          <w:tcPr>
            <w:tcW w:w="4112" w:type="dxa"/>
            <w:tcBorders>
              <w:top w:val="single" w:sz="4" w:space="0" w:color="auto"/>
              <w:left w:val="single" w:sz="4" w:space="0" w:color="auto"/>
              <w:bottom w:val="single" w:sz="4" w:space="0" w:color="auto"/>
              <w:right w:val="single" w:sz="4" w:space="0" w:color="auto"/>
            </w:tcBorders>
            <w:vAlign w:val="center"/>
            <w:hideMark/>
          </w:tcPr>
          <w:p w14:paraId="0A2A725C" w14:textId="77777777" w:rsidR="00EA3205" w:rsidRPr="00B05F62" w:rsidRDefault="00EA3205" w:rsidP="00EA3205">
            <w:pPr>
              <w:rPr>
                <w:rFonts w:ascii="AcadNusx" w:hAnsi="AcadNusx"/>
              </w:rPr>
            </w:pPr>
            <w:r w:rsidRPr="00B05F62">
              <w:rPr>
                <w:rFonts w:ascii="AcadNusx" w:hAnsi="AcadNusx"/>
              </w:rPr>
              <w:t>6 - 42</w:t>
            </w:r>
          </w:p>
        </w:tc>
      </w:tr>
      <w:tr w:rsidR="00EA3205" w:rsidRPr="00B05F62" w14:paraId="70954667" w14:textId="77777777" w:rsidTr="00EA3205">
        <w:tc>
          <w:tcPr>
            <w:tcW w:w="4572" w:type="dxa"/>
            <w:tcBorders>
              <w:top w:val="single" w:sz="4" w:space="0" w:color="auto"/>
              <w:left w:val="single" w:sz="4" w:space="0" w:color="auto"/>
              <w:bottom w:val="single" w:sz="4" w:space="0" w:color="auto"/>
              <w:right w:val="single" w:sz="4" w:space="0" w:color="auto"/>
            </w:tcBorders>
            <w:vAlign w:val="center"/>
            <w:hideMark/>
          </w:tcPr>
          <w:p w14:paraId="4229B1ED" w14:textId="77777777" w:rsidR="00EA3205" w:rsidRPr="00B05F62" w:rsidRDefault="00EA3205" w:rsidP="00EA3205">
            <w:pPr>
              <w:rPr>
                <w:rFonts w:ascii="AcadNusx" w:hAnsi="AcadNusx"/>
              </w:rPr>
            </w:pPr>
            <w:r w:rsidRPr="00B05F62">
              <w:rPr>
                <w:rFonts w:ascii="AcadNusx" w:hAnsi="AcadNusx"/>
              </w:rPr>
              <w:t>1</w:t>
            </w:r>
          </w:p>
        </w:tc>
        <w:tc>
          <w:tcPr>
            <w:tcW w:w="4112" w:type="dxa"/>
            <w:tcBorders>
              <w:top w:val="single" w:sz="4" w:space="0" w:color="auto"/>
              <w:left w:val="single" w:sz="4" w:space="0" w:color="auto"/>
              <w:bottom w:val="single" w:sz="4" w:space="0" w:color="auto"/>
              <w:right w:val="single" w:sz="4" w:space="0" w:color="auto"/>
            </w:tcBorders>
            <w:vAlign w:val="center"/>
            <w:hideMark/>
          </w:tcPr>
          <w:p w14:paraId="549B9AFA" w14:textId="77777777" w:rsidR="00EA3205" w:rsidRPr="00B05F62" w:rsidRDefault="00EA3205" w:rsidP="00EA3205">
            <w:pPr>
              <w:rPr>
                <w:rFonts w:ascii="AcadNusx" w:hAnsi="AcadNusx"/>
              </w:rPr>
            </w:pPr>
            <w:r w:rsidRPr="00B05F62">
              <w:rPr>
                <w:rFonts w:ascii="AcadNusx" w:hAnsi="AcadNusx"/>
              </w:rPr>
              <w:t>3 - 32</w:t>
            </w:r>
          </w:p>
        </w:tc>
      </w:tr>
      <w:tr w:rsidR="00EA3205" w:rsidRPr="00B05F62" w14:paraId="275E3B0B" w14:textId="77777777" w:rsidTr="00EA3205">
        <w:tc>
          <w:tcPr>
            <w:tcW w:w="4572" w:type="dxa"/>
            <w:tcBorders>
              <w:top w:val="single" w:sz="4" w:space="0" w:color="auto"/>
              <w:left w:val="single" w:sz="4" w:space="0" w:color="auto"/>
              <w:bottom w:val="single" w:sz="4" w:space="0" w:color="auto"/>
              <w:right w:val="single" w:sz="4" w:space="0" w:color="auto"/>
            </w:tcBorders>
            <w:vAlign w:val="center"/>
            <w:hideMark/>
          </w:tcPr>
          <w:p w14:paraId="29BAD89A" w14:textId="77777777" w:rsidR="00EA3205" w:rsidRPr="00B05F62" w:rsidRDefault="00EA3205" w:rsidP="00EA3205">
            <w:pPr>
              <w:rPr>
                <w:rFonts w:ascii="AcadNusx" w:hAnsi="AcadNusx"/>
              </w:rPr>
            </w:pPr>
            <w:r w:rsidRPr="00B05F62">
              <w:rPr>
                <w:rFonts w:ascii="AcadNusx" w:hAnsi="AcadNusx"/>
              </w:rPr>
              <w:t>0.063</w:t>
            </w:r>
          </w:p>
        </w:tc>
        <w:tc>
          <w:tcPr>
            <w:tcW w:w="4112" w:type="dxa"/>
            <w:tcBorders>
              <w:top w:val="single" w:sz="4" w:space="0" w:color="auto"/>
              <w:left w:val="single" w:sz="4" w:space="0" w:color="auto"/>
              <w:bottom w:val="single" w:sz="4" w:space="0" w:color="auto"/>
              <w:right w:val="single" w:sz="4" w:space="0" w:color="auto"/>
            </w:tcBorders>
            <w:vAlign w:val="center"/>
            <w:hideMark/>
          </w:tcPr>
          <w:p w14:paraId="0014571A" w14:textId="77777777" w:rsidR="00EA3205" w:rsidRPr="00B05F62" w:rsidRDefault="00EA3205" w:rsidP="00EA3205">
            <w:pPr>
              <w:rPr>
                <w:rFonts w:ascii="AcadNusx" w:hAnsi="AcadNusx"/>
              </w:rPr>
            </w:pPr>
            <w:r w:rsidRPr="00B05F62">
              <w:rPr>
                <w:rFonts w:ascii="AcadNusx" w:hAnsi="AcadNusx"/>
              </w:rPr>
              <w:t>0 - 9</w:t>
            </w:r>
          </w:p>
        </w:tc>
      </w:tr>
    </w:tbl>
    <w:p w14:paraId="650BCA1F" w14:textId="77777777" w:rsidR="00EA3205" w:rsidRPr="00B05F62" w:rsidRDefault="00EA3205" w:rsidP="00EA3205">
      <w:pPr>
        <w:rPr>
          <w:rFonts w:ascii="AcadNusx" w:hAnsi="AcadNusx"/>
        </w:rPr>
      </w:pPr>
    </w:p>
    <w:p w14:paraId="1055E66D" w14:textId="77777777" w:rsidR="00EA3205" w:rsidRPr="00B05F62" w:rsidRDefault="00EA3205" w:rsidP="00EA3205">
      <w:pPr>
        <w:rPr>
          <w:rFonts w:ascii="AcadNusx" w:hAnsi="AcadNusx"/>
        </w:rPr>
      </w:pPr>
      <w:r w:rsidRPr="00B05F62">
        <w:rPr>
          <w:rFonts w:ascii="AcadNusx" w:hAnsi="AcadNusx"/>
        </w:rPr>
        <w:t>dagebis Semdeg, safuZvlis marcvlovani damatebiTi fena unda akmayofilebdes Semdeg pirobebs, romlebic rekomendirebulia aisaxon satendero dokumentaciaSi:</w:t>
      </w:r>
    </w:p>
    <w:p w14:paraId="4A758AEF" w14:textId="77777777" w:rsidR="00EA3205" w:rsidRPr="00B05F62" w:rsidRDefault="00EA3205" w:rsidP="00EA3205">
      <w:pPr>
        <w:rPr>
          <w:rFonts w:ascii="AcadNusx" w:hAnsi="AcadNusx"/>
        </w:rPr>
      </w:pPr>
    </w:p>
    <w:p w14:paraId="1A5FDA87" w14:textId="48A21B55" w:rsidR="00EA3205" w:rsidRPr="00B05F62" w:rsidRDefault="00EA3205" w:rsidP="00EA3205">
      <w:pPr>
        <w:rPr>
          <w:rFonts w:ascii="AcadNusx" w:hAnsi="AcadNusx"/>
        </w:rPr>
      </w:pPr>
      <w:r w:rsidRPr="00B05F62">
        <w:rPr>
          <w:rFonts w:ascii="AcadNusx" w:hAnsi="AcadNusx"/>
        </w:rPr>
        <w:t xml:space="preserve">cxrili </w:t>
      </w:r>
      <w:r w:rsidR="006B2E4A" w:rsidRPr="00B05F62">
        <w:rPr>
          <w:rFonts w:ascii="AcadNusx" w:hAnsi="AcadNusx"/>
        </w:rPr>
        <w:t>4.</w:t>
      </w:r>
      <w:r w:rsidR="00EA6DAA">
        <w:rPr>
          <w:rFonts w:ascii="Sylfaen" w:hAnsi="Sylfaen"/>
          <w:lang w:val="ka-GE"/>
        </w:rPr>
        <w:t>9</w:t>
      </w:r>
      <w:r w:rsidR="006B2E4A">
        <w:rPr>
          <w:rFonts w:ascii="Sylfaen" w:hAnsi="Sylfaen"/>
          <w:lang w:val="ka-GE"/>
        </w:rPr>
        <w:t>.3.</w:t>
      </w:r>
      <w:r w:rsidR="006B2E4A" w:rsidRPr="00B05F62">
        <w:rPr>
          <w:rFonts w:ascii="AcadNusx" w:hAnsi="AcadNusx"/>
        </w:rPr>
        <w:t>5.</w:t>
      </w:r>
      <w:r w:rsidR="006B2E4A">
        <w:rPr>
          <w:rFonts w:ascii="Sylfaen" w:hAnsi="Sylfaen"/>
          <w:lang w:val="ka-GE"/>
        </w:rPr>
        <w:t>-</w:t>
      </w:r>
      <w:r w:rsidR="006B2E4A">
        <w:rPr>
          <w:rFonts w:ascii="AcadNusx" w:hAnsi="AcadNusx"/>
        </w:rPr>
        <w:t>3</w:t>
      </w:r>
      <w:r w:rsidRPr="00B05F62">
        <w:rPr>
          <w:rFonts w:ascii="AcadNusx" w:hAnsi="AcadNusx"/>
        </w:rPr>
        <w:t xml:space="preserve"> rekomendirebuli damatebiTi fenis maxasiaTeblebi </w:t>
      </w:r>
    </w:p>
    <w:p w14:paraId="6A4F2F81" w14:textId="77777777" w:rsidR="00EA3205" w:rsidRPr="00B05F62" w:rsidRDefault="00EA3205" w:rsidP="00EA3205">
      <w:pPr>
        <w:rPr>
          <w:rFonts w:ascii="AcadNusx" w:hAnsi="AcadNusx"/>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4348"/>
      </w:tblGrid>
      <w:tr w:rsidR="00EA3205" w:rsidRPr="00B05F62" w14:paraId="585E6ED3" w14:textId="77777777" w:rsidTr="00EA3205">
        <w:trPr>
          <w:trHeight w:val="444"/>
        </w:trPr>
        <w:tc>
          <w:tcPr>
            <w:tcW w:w="433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ADE461F" w14:textId="77777777" w:rsidR="00EA3205" w:rsidRPr="00B05F62" w:rsidRDefault="00EA3205" w:rsidP="00EA3205">
            <w:pPr>
              <w:rPr>
                <w:rFonts w:ascii="AcadNusx" w:hAnsi="AcadNusx"/>
              </w:rPr>
            </w:pPr>
            <w:r w:rsidRPr="00B05F62">
              <w:rPr>
                <w:rFonts w:ascii="AcadNusx" w:hAnsi="AcadNusx"/>
              </w:rPr>
              <w:t>safuZvelis damatebiTi fenis parametrebi</w:t>
            </w:r>
          </w:p>
        </w:tc>
        <w:tc>
          <w:tcPr>
            <w:tcW w:w="434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C35006F" w14:textId="77777777" w:rsidR="00EA3205" w:rsidRPr="00B05F62" w:rsidRDefault="00EA3205" w:rsidP="00EA3205">
            <w:pPr>
              <w:rPr>
                <w:rFonts w:ascii="AcadNusx" w:hAnsi="AcadNusx"/>
              </w:rPr>
            </w:pPr>
            <w:r w:rsidRPr="00B05F62">
              <w:rPr>
                <w:rFonts w:ascii="AcadNusx" w:hAnsi="AcadNusx"/>
              </w:rPr>
              <w:t>rekomendirebuli sidideebi</w:t>
            </w:r>
          </w:p>
        </w:tc>
      </w:tr>
      <w:tr w:rsidR="00EA3205" w:rsidRPr="00B05F62" w14:paraId="6494B453" w14:textId="77777777" w:rsidTr="00EA3205">
        <w:trPr>
          <w:trHeight w:val="336"/>
        </w:trPr>
        <w:tc>
          <w:tcPr>
            <w:tcW w:w="4336" w:type="dxa"/>
            <w:tcBorders>
              <w:top w:val="single" w:sz="4" w:space="0" w:color="auto"/>
              <w:left w:val="single" w:sz="4" w:space="0" w:color="auto"/>
              <w:bottom w:val="single" w:sz="4" w:space="0" w:color="auto"/>
              <w:right w:val="single" w:sz="4" w:space="0" w:color="auto"/>
            </w:tcBorders>
            <w:vAlign w:val="center"/>
            <w:hideMark/>
          </w:tcPr>
          <w:p w14:paraId="39CE7FF3" w14:textId="77777777" w:rsidR="00EA3205" w:rsidRPr="00B05F62" w:rsidRDefault="00EA3205" w:rsidP="00EA3205">
            <w:pPr>
              <w:rPr>
                <w:rFonts w:ascii="AcadNusx" w:hAnsi="AcadNusx"/>
              </w:rPr>
            </w:pPr>
            <w:r w:rsidRPr="00B05F62">
              <w:rPr>
                <w:rFonts w:ascii="AcadNusx" w:hAnsi="AcadNusx"/>
              </w:rPr>
              <w:t>datkepnis xarisxi</w:t>
            </w:r>
          </w:p>
        </w:tc>
        <w:tc>
          <w:tcPr>
            <w:tcW w:w="4348" w:type="dxa"/>
            <w:tcBorders>
              <w:top w:val="single" w:sz="4" w:space="0" w:color="auto"/>
              <w:left w:val="single" w:sz="4" w:space="0" w:color="auto"/>
              <w:bottom w:val="single" w:sz="4" w:space="0" w:color="auto"/>
              <w:right w:val="single" w:sz="4" w:space="0" w:color="auto"/>
            </w:tcBorders>
            <w:vAlign w:val="center"/>
            <w:hideMark/>
          </w:tcPr>
          <w:p w14:paraId="420F6B50" w14:textId="77777777" w:rsidR="00EA3205" w:rsidRPr="00B05F62" w:rsidRDefault="00EA3205" w:rsidP="00EA3205">
            <w:pPr>
              <w:rPr>
                <w:rFonts w:ascii="AcadNusx" w:hAnsi="AcadNusx"/>
              </w:rPr>
            </w:pPr>
            <w:r w:rsidRPr="00B05F62">
              <w:rPr>
                <w:rFonts w:ascii="AcadNusx" w:eastAsia="MS Gothic" w:hAnsi="AcadNusx"/>
              </w:rPr>
              <w:t>≥</w:t>
            </w:r>
            <w:r w:rsidRPr="00B05F62">
              <w:rPr>
                <w:rFonts w:ascii="AcadNusx" w:hAnsi="AcadNusx"/>
              </w:rPr>
              <w:t> 98%</w:t>
            </w:r>
          </w:p>
        </w:tc>
      </w:tr>
      <w:tr w:rsidR="00EA3205" w:rsidRPr="00B05F62" w14:paraId="7753ACDA" w14:textId="77777777" w:rsidTr="00EA3205">
        <w:trPr>
          <w:trHeight w:val="336"/>
        </w:trPr>
        <w:tc>
          <w:tcPr>
            <w:tcW w:w="4336" w:type="dxa"/>
            <w:tcBorders>
              <w:top w:val="single" w:sz="4" w:space="0" w:color="auto"/>
              <w:left w:val="single" w:sz="4" w:space="0" w:color="auto"/>
              <w:bottom w:val="single" w:sz="4" w:space="0" w:color="auto"/>
              <w:right w:val="single" w:sz="4" w:space="0" w:color="auto"/>
            </w:tcBorders>
            <w:vAlign w:val="center"/>
            <w:hideMark/>
          </w:tcPr>
          <w:p w14:paraId="37D6D34E" w14:textId="77777777" w:rsidR="00EA3205" w:rsidRPr="00B05F62" w:rsidRDefault="00EA3205" w:rsidP="00EA3205">
            <w:pPr>
              <w:rPr>
                <w:rFonts w:ascii="AcadNusx" w:hAnsi="AcadNusx"/>
              </w:rPr>
            </w:pPr>
            <w:r w:rsidRPr="006B2E4A">
              <w:rPr>
                <w:rFonts w:cs="Arial"/>
              </w:rPr>
              <w:t>CBR</w:t>
            </w:r>
            <w:r w:rsidRPr="00B05F62">
              <w:rPr>
                <w:rFonts w:ascii="AcadNusx" w:hAnsi="AcadNusx"/>
              </w:rPr>
              <w:t xml:space="preserve"> maCvenebeli 98%ian mSs-sTvis</w:t>
            </w:r>
          </w:p>
        </w:tc>
        <w:tc>
          <w:tcPr>
            <w:tcW w:w="4348" w:type="dxa"/>
            <w:tcBorders>
              <w:top w:val="single" w:sz="4" w:space="0" w:color="auto"/>
              <w:left w:val="single" w:sz="4" w:space="0" w:color="auto"/>
              <w:bottom w:val="single" w:sz="4" w:space="0" w:color="auto"/>
              <w:right w:val="single" w:sz="4" w:space="0" w:color="auto"/>
            </w:tcBorders>
            <w:vAlign w:val="center"/>
            <w:hideMark/>
          </w:tcPr>
          <w:p w14:paraId="47753A8A" w14:textId="77777777" w:rsidR="00EA3205" w:rsidRPr="00B05F62" w:rsidRDefault="00EA3205" w:rsidP="00EA3205">
            <w:pPr>
              <w:rPr>
                <w:rFonts w:ascii="AcadNusx" w:hAnsi="AcadNusx"/>
              </w:rPr>
            </w:pPr>
            <w:r w:rsidRPr="00B05F62">
              <w:rPr>
                <w:rFonts w:ascii="AcadNusx" w:eastAsia="MS Gothic" w:hAnsi="AcadNusx"/>
              </w:rPr>
              <w:t>≥</w:t>
            </w:r>
            <w:r w:rsidRPr="00B05F62">
              <w:rPr>
                <w:rFonts w:ascii="AcadNusx" w:hAnsi="AcadNusx"/>
              </w:rPr>
              <w:t> 15%</w:t>
            </w:r>
          </w:p>
        </w:tc>
      </w:tr>
      <w:tr w:rsidR="00EA3205" w:rsidRPr="00B05F62" w14:paraId="4E79784D" w14:textId="77777777" w:rsidTr="00EA3205">
        <w:trPr>
          <w:trHeight w:val="336"/>
        </w:trPr>
        <w:tc>
          <w:tcPr>
            <w:tcW w:w="4336" w:type="dxa"/>
            <w:tcBorders>
              <w:top w:val="single" w:sz="4" w:space="0" w:color="auto"/>
              <w:left w:val="single" w:sz="4" w:space="0" w:color="auto"/>
              <w:bottom w:val="single" w:sz="4" w:space="0" w:color="auto"/>
              <w:right w:val="single" w:sz="4" w:space="0" w:color="auto"/>
            </w:tcBorders>
            <w:vAlign w:val="center"/>
            <w:hideMark/>
          </w:tcPr>
          <w:p w14:paraId="601B168A" w14:textId="77777777" w:rsidR="00EA3205" w:rsidRPr="00B05F62" w:rsidRDefault="00EA3205" w:rsidP="00EA3205">
            <w:pPr>
              <w:rPr>
                <w:rFonts w:ascii="AcadNusx" w:hAnsi="AcadNusx"/>
              </w:rPr>
            </w:pPr>
            <w:r w:rsidRPr="00B05F62">
              <w:rPr>
                <w:rFonts w:ascii="AcadNusx" w:hAnsi="AcadNusx"/>
              </w:rPr>
              <w:t>plastikuribos indeqsi</w:t>
            </w:r>
          </w:p>
        </w:tc>
        <w:tc>
          <w:tcPr>
            <w:tcW w:w="4348" w:type="dxa"/>
            <w:tcBorders>
              <w:top w:val="single" w:sz="4" w:space="0" w:color="auto"/>
              <w:left w:val="single" w:sz="4" w:space="0" w:color="auto"/>
              <w:bottom w:val="single" w:sz="4" w:space="0" w:color="auto"/>
              <w:right w:val="single" w:sz="4" w:space="0" w:color="auto"/>
            </w:tcBorders>
            <w:vAlign w:val="center"/>
            <w:hideMark/>
          </w:tcPr>
          <w:p w14:paraId="0A3C82FA" w14:textId="77777777" w:rsidR="00EA3205" w:rsidRPr="00B05F62" w:rsidRDefault="00EA3205" w:rsidP="00EA3205">
            <w:pPr>
              <w:rPr>
                <w:rFonts w:ascii="AcadNusx" w:hAnsi="AcadNusx"/>
              </w:rPr>
            </w:pPr>
            <w:r w:rsidRPr="00B05F62">
              <w:rPr>
                <w:rFonts w:ascii="AcadNusx" w:eastAsia="MS Gothic" w:hAnsi="AcadNusx"/>
              </w:rPr>
              <w:t>≤ 6</w:t>
            </w:r>
          </w:p>
        </w:tc>
      </w:tr>
    </w:tbl>
    <w:p w14:paraId="6654D95A" w14:textId="77777777" w:rsidR="00EA3205" w:rsidRPr="00B05F62" w:rsidRDefault="00EA3205" w:rsidP="00EA3205">
      <w:pPr>
        <w:rPr>
          <w:rFonts w:ascii="AcadNusx" w:hAnsi="AcadNusx"/>
        </w:rPr>
      </w:pPr>
    </w:p>
    <w:p w14:paraId="60233739" w14:textId="77777777" w:rsidR="00EA3205" w:rsidRPr="00B05F62" w:rsidRDefault="00EA3205" w:rsidP="00EA3205">
      <w:pPr>
        <w:rPr>
          <w:rFonts w:ascii="AcadNusx" w:hAnsi="AcadNusx"/>
        </w:rPr>
      </w:pPr>
      <w:r w:rsidRPr="00B05F62">
        <w:rPr>
          <w:rFonts w:ascii="AcadNusx" w:hAnsi="AcadNusx"/>
        </w:rPr>
        <w:t>marcvlovani safuZveli</w:t>
      </w:r>
    </w:p>
    <w:p w14:paraId="420A6444" w14:textId="77777777" w:rsidR="00EA3205" w:rsidRPr="00B05F62" w:rsidRDefault="00EA3205" w:rsidP="00EA3205">
      <w:pPr>
        <w:rPr>
          <w:rFonts w:ascii="AcadNusx" w:hAnsi="AcadNusx"/>
          <w:lang w:val="en-US"/>
        </w:rPr>
      </w:pPr>
    </w:p>
    <w:p w14:paraId="23B56763" w14:textId="77777777" w:rsidR="00EA3205" w:rsidRPr="00B05F62" w:rsidRDefault="00EA3205" w:rsidP="00EA3205">
      <w:pPr>
        <w:rPr>
          <w:rFonts w:ascii="AcadNusx" w:hAnsi="AcadNusx"/>
        </w:rPr>
      </w:pPr>
      <w:r w:rsidRPr="00B05F62">
        <w:rPr>
          <w:rFonts w:ascii="AcadNusx" w:hAnsi="AcadNusx"/>
        </w:rPr>
        <w:t>SeukavSirebeli marcvlovani safuZveli unda warmoadgendes maqsimum 45 mm fraqciis RorRis fenas, romelsac unda gaaCndes qvemoT mocemuli maxasiaTeblebi.</w:t>
      </w:r>
    </w:p>
    <w:p w14:paraId="5B32361C" w14:textId="5304F44A" w:rsidR="00EA3205" w:rsidRPr="00B05F62" w:rsidRDefault="00EA3205" w:rsidP="00EA3205">
      <w:pPr>
        <w:rPr>
          <w:rFonts w:ascii="AcadNusx" w:hAnsi="AcadNusx"/>
        </w:rPr>
      </w:pPr>
      <w:r w:rsidRPr="00B05F62">
        <w:rPr>
          <w:rFonts w:ascii="AcadNusx" w:hAnsi="AcadNusx"/>
        </w:rPr>
        <w:t xml:space="preserve">cxrili </w:t>
      </w:r>
      <w:r w:rsidR="006B2E4A" w:rsidRPr="00B05F62">
        <w:rPr>
          <w:rFonts w:ascii="AcadNusx" w:hAnsi="AcadNusx"/>
        </w:rPr>
        <w:t>4.</w:t>
      </w:r>
      <w:r w:rsidR="00EA6DAA">
        <w:rPr>
          <w:rFonts w:ascii="Sylfaen" w:hAnsi="Sylfaen"/>
          <w:lang w:val="ka-GE"/>
        </w:rPr>
        <w:t>9</w:t>
      </w:r>
      <w:r w:rsidR="006B2E4A">
        <w:rPr>
          <w:rFonts w:ascii="Sylfaen" w:hAnsi="Sylfaen"/>
          <w:lang w:val="ka-GE"/>
        </w:rPr>
        <w:t>.3.</w:t>
      </w:r>
      <w:r w:rsidR="006B2E4A" w:rsidRPr="00B05F62">
        <w:rPr>
          <w:rFonts w:ascii="AcadNusx" w:hAnsi="AcadNusx"/>
        </w:rPr>
        <w:t>5.</w:t>
      </w:r>
      <w:r w:rsidR="006B2E4A">
        <w:rPr>
          <w:rFonts w:ascii="Sylfaen" w:hAnsi="Sylfaen"/>
          <w:lang w:val="ka-GE"/>
        </w:rPr>
        <w:t>-4</w:t>
      </w:r>
      <w:r w:rsidRPr="00B05F62">
        <w:rPr>
          <w:rFonts w:ascii="AcadNusx" w:hAnsi="AcadNusx"/>
        </w:rPr>
        <w:t>:</w:t>
      </w:r>
      <w:r w:rsidRPr="00B05F62">
        <w:rPr>
          <w:rFonts w:ascii="AcadNusx" w:hAnsi="AcadNusx"/>
        </w:rPr>
        <w:tab/>
        <w:t>rekomendirebuli marcvlovani (RorRovani) safuZvelis masalis granulometriuli Semadgenloba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181"/>
      </w:tblGrid>
      <w:tr w:rsidR="00EA3205" w:rsidRPr="00B05F62" w14:paraId="0C0732DD" w14:textId="77777777" w:rsidTr="00EA3205">
        <w:trPr>
          <w:trHeight w:val="462"/>
          <w:tblHeader/>
        </w:trPr>
        <w:tc>
          <w:tcPr>
            <w:tcW w:w="453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052A43E" w14:textId="77777777" w:rsidR="00EA3205" w:rsidRPr="00B05F62" w:rsidRDefault="00EA3205" w:rsidP="00EA3205">
            <w:pPr>
              <w:rPr>
                <w:rFonts w:ascii="AcadNusx" w:hAnsi="AcadNusx"/>
                <w:lang w:val="en-US"/>
              </w:rPr>
            </w:pPr>
            <w:r w:rsidRPr="00B05F62">
              <w:rPr>
                <w:rFonts w:ascii="AcadNusx" w:hAnsi="AcadNusx"/>
              </w:rPr>
              <w:t>saceris ujredis zoma [mm]</w:t>
            </w:r>
          </w:p>
        </w:tc>
        <w:tc>
          <w:tcPr>
            <w:tcW w:w="418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D73BC2E" w14:textId="77777777" w:rsidR="00EA3205" w:rsidRPr="00B05F62" w:rsidRDefault="00EA3205" w:rsidP="00EA3205">
            <w:pPr>
              <w:rPr>
                <w:rFonts w:ascii="AcadNusx" w:hAnsi="AcadNusx"/>
              </w:rPr>
            </w:pPr>
            <w:r w:rsidRPr="00B05F62">
              <w:rPr>
                <w:rFonts w:ascii="AcadNusx" w:hAnsi="AcadNusx"/>
              </w:rPr>
              <w:t>gasuli fraqciis masuri wili [%]</w:t>
            </w:r>
          </w:p>
        </w:tc>
      </w:tr>
      <w:tr w:rsidR="00EA3205" w:rsidRPr="00B05F62" w14:paraId="3D6C8F55" w14:textId="77777777" w:rsidTr="00EA3205">
        <w:trPr>
          <w:trHeight w:val="281"/>
        </w:trPr>
        <w:tc>
          <w:tcPr>
            <w:tcW w:w="4536" w:type="dxa"/>
            <w:tcBorders>
              <w:top w:val="single" w:sz="4" w:space="0" w:color="auto"/>
              <w:left w:val="single" w:sz="4" w:space="0" w:color="auto"/>
              <w:bottom w:val="single" w:sz="4" w:space="0" w:color="auto"/>
              <w:right w:val="single" w:sz="4" w:space="0" w:color="auto"/>
            </w:tcBorders>
            <w:vAlign w:val="center"/>
            <w:hideMark/>
          </w:tcPr>
          <w:p w14:paraId="0B370F65" w14:textId="77777777" w:rsidR="00EA3205" w:rsidRPr="00B05F62" w:rsidRDefault="00EA3205" w:rsidP="00EA3205">
            <w:pPr>
              <w:rPr>
                <w:rFonts w:ascii="AcadNusx" w:hAnsi="AcadNusx"/>
              </w:rPr>
            </w:pPr>
            <w:r w:rsidRPr="00B05F62">
              <w:rPr>
                <w:rFonts w:ascii="AcadNusx" w:hAnsi="AcadNusx"/>
              </w:rPr>
              <w:t>45</w:t>
            </w:r>
          </w:p>
        </w:tc>
        <w:tc>
          <w:tcPr>
            <w:tcW w:w="4181" w:type="dxa"/>
            <w:tcBorders>
              <w:top w:val="single" w:sz="4" w:space="0" w:color="auto"/>
              <w:left w:val="single" w:sz="4" w:space="0" w:color="auto"/>
              <w:bottom w:val="single" w:sz="4" w:space="0" w:color="auto"/>
              <w:right w:val="single" w:sz="4" w:space="0" w:color="auto"/>
            </w:tcBorders>
            <w:vAlign w:val="center"/>
            <w:hideMark/>
          </w:tcPr>
          <w:p w14:paraId="5A5657A1" w14:textId="77777777" w:rsidR="00EA3205" w:rsidRPr="00B05F62" w:rsidRDefault="00EA3205" w:rsidP="00EA3205">
            <w:pPr>
              <w:rPr>
                <w:rFonts w:ascii="AcadNusx" w:hAnsi="AcadNusx"/>
              </w:rPr>
            </w:pPr>
            <w:r w:rsidRPr="00B05F62">
              <w:rPr>
                <w:rFonts w:ascii="AcadNusx" w:hAnsi="AcadNusx"/>
              </w:rPr>
              <w:t>100</w:t>
            </w:r>
          </w:p>
        </w:tc>
      </w:tr>
      <w:tr w:rsidR="00EA3205" w:rsidRPr="00B05F62" w14:paraId="5A58B605" w14:textId="77777777" w:rsidTr="00EA3205">
        <w:trPr>
          <w:trHeight w:val="281"/>
        </w:trPr>
        <w:tc>
          <w:tcPr>
            <w:tcW w:w="4536" w:type="dxa"/>
            <w:tcBorders>
              <w:top w:val="single" w:sz="4" w:space="0" w:color="auto"/>
              <w:left w:val="single" w:sz="4" w:space="0" w:color="auto"/>
              <w:bottom w:val="single" w:sz="4" w:space="0" w:color="auto"/>
              <w:right w:val="single" w:sz="4" w:space="0" w:color="auto"/>
            </w:tcBorders>
            <w:vAlign w:val="center"/>
            <w:hideMark/>
          </w:tcPr>
          <w:p w14:paraId="08C3938A" w14:textId="77777777" w:rsidR="00EA3205" w:rsidRPr="00B05F62" w:rsidRDefault="00EA3205" w:rsidP="00EA3205">
            <w:pPr>
              <w:rPr>
                <w:rFonts w:ascii="AcadNusx" w:hAnsi="AcadNusx"/>
              </w:rPr>
            </w:pPr>
            <w:r w:rsidRPr="00B05F62">
              <w:rPr>
                <w:rFonts w:ascii="AcadNusx" w:hAnsi="AcadNusx"/>
              </w:rPr>
              <w:t>31.5</w:t>
            </w:r>
          </w:p>
        </w:tc>
        <w:tc>
          <w:tcPr>
            <w:tcW w:w="4181" w:type="dxa"/>
            <w:tcBorders>
              <w:top w:val="single" w:sz="4" w:space="0" w:color="auto"/>
              <w:left w:val="single" w:sz="4" w:space="0" w:color="auto"/>
              <w:bottom w:val="single" w:sz="4" w:space="0" w:color="auto"/>
              <w:right w:val="single" w:sz="4" w:space="0" w:color="auto"/>
            </w:tcBorders>
            <w:vAlign w:val="center"/>
            <w:hideMark/>
          </w:tcPr>
          <w:p w14:paraId="51FFB893" w14:textId="77777777" w:rsidR="00EA3205" w:rsidRPr="00B05F62" w:rsidRDefault="00EA3205" w:rsidP="00EA3205">
            <w:pPr>
              <w:rPr>
                <w:rFonts w:ascii="AcadNusx" w:hAnsi="AcadNusx"/>
              </w:rPr>
            </w:pPr>
            <w:r w:rsidRPr="00B05F62">
              <w:rPr>
                <w:rFonts w:ascii="AcadNusx" w:hAnsi="AcadNusx"/>
              </w:rPr>
              <w:t>90 -100</w:t>
            </w:r>
          </w:p>
        </w:tc>
      </w:tr>
      <w:tr w:rsidR="00EA3205" w:rsidRPr="00B05F62" w14:paraId="72E9D117" w14:textId="77777777" w:rsidTr="00EA3205">
        <w:trPr>
          <w:trHeight w:val="281"/>
        </w:trPr>
        <w:tc>
          <w:tcPr>
            <w:tcW w:w="4536" w:type="dxa"/>
            <w:tcBorders>
              <w:top w:val="single" w:sz="4" w:space="0" w:color="auto"/>
              <w:left w:val="single" w:sz="4" w:space="0" w:color="auto"/>
              <w:bottom w:val="single" w:sz="4" w:space="0" w:color="auto"/>
              <w:right w:val="single" w:sz="4" w:space="0" w:color="auto"/>
            </w:tcBorders>
            <w:vAlign w:val="center"/>
            <w:hideMark/>
          </w:tcPr>
          <w:p w14:paraId="184BB6C2" w14:textId="77777777" w:rsidR="00EA3205" w:rsidRPr="00B05F62" w:rsidRDefault="00EA3205" w:rsidP="00EA3205">
            <w:pPr>
              <w:rPr>
                <w:rFonts w:ascii="AcadNusx" w:hAnsi="AcadNusx"/>
              </w:rPr>
            </w:pPr>
            <w:r w:rsidRPr="00B05F62">
              <w:rPr>
                <w:rFonts w:ascii="AcadNusx" w:hAnsi="AcadNusx"/>
              </w:rPr>
              <w:t>16</w:t>
            </w:r>
          </w:p>
        </w:tc>
        <w:tc>
          <w:tcPr>
            <w:tcW w:w="4181" w:type="dxa"/>
            <w:tcBorders>
              <w:top w:val="single" w:sz="4" w:space="0" w:color="auto"/>
              <w:left w:val="single" w:sz="4" w:space="0" w:color="auto"/>
              <w:bottom w:val="single" w:sz="4" w:space="0" w:color="auto"/>
              <w:right w:val="single" w:sz="4" w:space="0" w:color="auto"/>
            </w:tcBorders>
            <w:vAlign w:val="center"/>
            <w:hideMark/>
          </w:tcPr>
          <w:p w14:paraId="2BAEFB42" w14:textId="77777777" w:rsidR="00EA3205" w:rsidRPr="00B05F62" w:rsidRDefault="00EA3205" w:rsidP="00EA3205">
            <w:pPr>
              <w:rPr>
                <w:rFonts w:ascii="AcadNusx" w:hAnsi="AcadNusx"/>
              </w:rPr>
            </w:pPr>
            <w:r w:rsidRPr="00B05F62">
              <w:rPr>
                <w:rFonts w:ascii="AcadNusx" w:hAnsi="AcadNusx"/>
              </w:rPr>
              <w:t>55 – 85</w:t>
            </w:r>
          </w:p>
        </w:tc>
      </w:tr>
      <w:tr w:rsidR="00EA3205" w:rsidRPr="00B05F62" w14:paraId="0DB938A9" w14:textId="77777777" w:rsidTr="00EA3205">
        <w:trPr>
          <w:trHeight w:val="281"/>
        </w:trPr>
        <w:tc>
          <w:tcPr>
            <w:tcW w:w="4536" w:type="dxa"/>
            <w:tcBorders>
              <w:top w:val="single" w:sz="4" w:space="0" w:color="auto"/>
              <w:left w:val="single" w:sz="4" w:space="0" w:color="auto"/>
              <w:bottom w:val="single" w:sz="4" w:space="0" w:color="auto"/>
              <w:right w:val="single" w:sz="4" w:space="0" w:color="auto"/>
            </w:tcBorders>
            <w:vAlign w:val="center"/>
            <w:hideMark/>
          </w:tcPr>
          <w:p w14:paraId="0F074F74" w14:textId="77777777" w:rsidR="00EA3205" w:rsidRPr="00B05F62" w:rsidRDefault="00EA3205" w:rsidP="00EA3205">
            <w:pPr>
              <w:rPr>
                <w:rFonts w:ascii="AcadNusx" w:hAnsi="AcadNusx"/>
              </w:rPr>
            </w:pPr>
            <w:r w:rsidRPr="00B05F62">
              <w:rPr>
                <w:rFonts w:ascii="AcadNusx" w:hAnsi="AcadNusx"/>
              </w:rPr>
              <w:t>8</w:t>
            </w:r>
          </w:p>
        </w:tc>
        <w:tc>
          <w:tcPr>
            <w:tcW w:w="4181" w:type="dxa"/>
            <w:tcBorders>
              <w:top w:val="single" w:sz="4" w:space="0" w:color="auto"/>
              <w:left w:val="single" w:sz="4" w:space="0" w:color="auto"/>
              <w:bottom w:val="single" w:sz="4" w:space="0" w:color="auto"/>
              <w:right w:val="single" w:sz="4" w:space="0" w:color="auto"/>
            </w:tcBorders>
            <w:vAlign w:val="center"/>
            <w:hideMark/>
          </w:tcPr>
          <w:p w14:paraId="267FBE6E" w14:textId="77777777" w:rsidR="00EA3205" w:rsidRPr="00B05F62" w:rsidRDefault="00EA3205" w:rsidP="00EA3205">
            <w:pPr>
              <w:rPr>
                <w:rFonts w:ascii="AcadNusx" w:hAnsi="AcadNusx"/>
              </w:rPr>
            </w:pPr>
            <w:r w:rsidRPr="00B05F62">
              <w:rPr>
                <w:rFonts w:ascii="AcadNusx" w:hAnsi="AcadNusx"/>
              </w:rPr>
              <w:t>35 - 68</w:t>
            </w:r>
          </w:p>
        </w:tc>
      </w:tr>
      <w:tr w:rsidR="00EA3205" w:rsidRPr="00B05F62" w14:paraId="25AC3F82" w14:textId="77777777" w:rsidTr="00EA3205">
        <w:trPr>
          <w:trHeight w:val="281"/>
        </w:trPr>
        <w:tc>
          <w:tcPr>
            <w:tcW w:w="4536" w:type="dxa"/>
            <w:tcBorders>
              <w:top w:val="single" w:sz="4" w:space="0" w:color="auto"/>
              <w:left w:val="single" w:sz="4" w:space="0" w:color="auto"/>
              <w:bottom w:val="single" w:sz="4" w:space="0" w:color="auto"/>
              <w:right w:val="single" w:sz="4" w:space="0" w:color="auto"/>
            </w:tcBorders>
            <w:vAlign w:val="center"/>
            <w:hideMark/>
          </w:tcPr>
          <w:p w14:paraId="15BF75CD" w14:textId="77777777" w:rsidR="00EA3205" w:rsidRPr="00B05F62" w:rsidRDefault="00EA3205" w:rsidP="00EA3205">
            <w:pPr>
              <w:rPr>
                <w:rFonts w:ascii="AcadNusx" w:hAnsi="AcadNusx"/>
              </w:rPr>
            </w:pPr>
            <w:r w:rsidRPr="00B05F62">
              <w:rPr>
                <w:rFonts w:ascii="AcadNusx" w:hAnsi="AcadNusx"/>
              </w:rPr>
              <w:t>4</w:t>
            </w:r>
          </w:p>
        </w:tc>
        <w:tc>
          <w:tcPr>
            <w:tcW w:w="4181" w:type="dxa"/>
            <w:tcBorders>
              <w:top w:val="single" w:sz="4" w:space="0" w:color="auto"/>
              <w:left w:val="single" w:sz="4" w:space="0" w:color="auto"/>
              <w:bottom w:val="single" w:sz="4" w:space="0" w:color="auto"/>
              <w:right w:val="single" w:sz="4" w:space="0" w:color="auto"/>
            </w:tcBorders>
            <w:vAlign w:val="center"/>
            <w:hideMark/>
          </w:tcPr>
          <w:p w14:paraId="6D16FB1B" w14:textId="77777777" w:rsidR="00EA3205" w:rsidRPr="00B05F62" w:rsidRDefault="00EA3205" w:rsidP="00EA3205">
            <w:pPr>
              <w:rPr>
                <w:rFonts w:ascii="AcadNusx" w:hAnsi="AcadNusx"/>
              </w:rPr>
            </w:pPr>
            <w:r w:rsidRPr="00B05F62">
              <w:rPr>
                <w:rFonts w:ascii="AcadNusx" w:hAnsi="AcadNusx"/>
              </w:rPr>
              <w:t>22 – 59</w:t>
            </w:r>
          </w:p>
        </w:tc>
      </w:tr>
      <w:tr w:rsidR="00EA3205" w:rsidRPr="00B05F62" w14:paraId="1C46F0B8" w14:textId="77777777" w:rsidTr="00EA3205">
        <w:trPr>
          <w:trHeight w:val="281"/>
        </w:trPr>
        <w:tc>
          <w:tcPr>
            <w:tcW w:w="4536" w:type="dxa"/>
            <w:tcBorders>
              <w:top w:val="single" w:sz="4" w:space="0" w:color="auto"/>
              <w:left w:val="single" w:sz="4" w:space="0" w:color="auto"/>
              <w:bottom w:val="single" w:sz="4" w:space="0" w:color="auto"/>
              <w:right w:val="single" w:sz="4" w:space="0" w:color="auto"/>
            </w:tcBorders>
            <w:vAlign w:val="center"/>
            <w:hideMark/>
          </w:tcPr>
          <w:p w14:paraId="5C0D2C13" w14:textId="77777777" w:rsidR="00EA3205" w:rsidRPr="00B05F62" w:rsidRDefault="00EA3205" w:rsidP="00EA3205">
            <w:pPr>
              <w:rPr>
                <w:rFonts w:ascii="AcadNusx" w:hAnsi="AcadNusx"/>
              </w:rPr>
            </w:pPr>
            <w:r w:rsidRPr="00B05F62">
              <w:rPr>
                <w:rFonts w:ascii="AcadNusx" w:hAnsi="AcadNusx"/>
              </w:rPr>
              <w:t>2</w:t>
            </w:r>
          </w:p>
        </w:tc>
        <w:tc>
          <w:tcPr>
            <w:tcW w:w="4181" w:type="dxa"/>
            <w:tcBorders>
              <w:top w:val="single" w:sz="4" w:space="0" w:color="auto"/>
              <w:left w:val="single" w:sz="4" w:space="0" w:color="auto"/>
              <w:bottom w:val="single" w:sz="4" w:space="0" w:color="auto"/>
              <w:right w:val="single" w:sz="4" w:space="0" w:color="auto"/>
            </w:tcBorders>
            <w:vAlign w:val="center"/>
            <w:hideMark/>
          </w:tcPr>
          <w:p w14:paraId="0060CA8B" w14:textId="77777777" w:rsidR="00EA3205" w:rsidRPr="00B05F62" w:rsidRDefault="00EA3205" w:rsidP="00EA3205">
            <w:pPr>
              <w:rPr>
                <w:rFonts w:ascii="AcadNusx" w:hAnsi="AcadNusx"/>
              </w:rPr>
            </w:pPr>
            <w:r w:rsidRPr="00B05F62">
              <w:rPr>
                <w:rFonts w:ascii="AcadNusx" w:hAnsi="AcadNusx"/>
              </w:rPr>
              <w:t>16 – 47</w:t>
            </w:r>
          </w:p>
        </w:tc>
      </w:tr>
      <w:tr w:rsidR="00EA3205" w:rsidRPr="00B05F62" w14:paraId="79916EE1" w14:textId="77777777" w:rsidTr="00EA3205">
        <w:trPr>
          <w:trHeight w:val="281"/>
        </w:trPr>
        <w:tc>
          <w:tcPr>
            <w:tcW w:w="4536" w:type="dxa"/>
            <w:tcBorders>
              <w:top w:val="single" w:sz="4" w:space="0" w:color="auto"/>
              <w:left w:val="single" w:sz="4" w:space="0" w:color="auto"/>
              <w:bottom w:val="single" w:sz="4" w:space="0" w:color="auto"/>
              <w:right w:val="single" w:sz="4" w:space="0" w:color="auto"/>
            </w:tcBorders>
            <w:vAlign w:val="center"/>
            <w:hideMark/>
          </w:tcPr>
          <w:p w14:paraId="688D7B7D" w14:textId="77777777" w:rsidR="00EA3205" w:rsidRPr="00B05F62" w:rsidRDefault="00EA3205" w:rsidP="00EA3205">
            <w:pPr>
              <w:rPr>
                <w:rFonts w:ascii="AcadNusx" w:hAnsi="AcadNusx"/>
              </w:rPr>
            </w:pPr>
            <w:r w:rsidRPr="00B05F62">
              <w:rPr>
                <w:rFonts w:ascii="AcadNusx" w:hAnsi="AcadNusx"/>
              </w:rPr>
              <w:t>1</w:t>
            </w:r>
          </w:p>
        </w:tc>
        <w:tc>
          <w:tcPr>
            <w:tcW w:w="4181" w:type="dxa"/>
            <w:tcBorders>
              <w:top w:val="single" w:sz="4" w:space="0" w:color="auto"/>
              <w:left w:val="single" w:sz="4" w:space="0" w:color="auto"/>
              <w:bottom w:val="single" w:sz="4" w:space="0" w:color="auto"/>
              <w:right w:val="single" w:sz="4" w:space="0" w:color="auto"/>
            </w:tcBorders>
            <w:vAlign w:val="center"/>
            <w:hideMark/>
          </w:tcPr>
          <w:p w14:paraId="16C75EED" w14:textId="77777777" w:rsidR="00EA3205" w:rsidRPr="00B05F62" w:rsidRDefault="00EA3205" w:rsidP="00EA3205">
            <w:pPr>
              <w:rPr>
                <w:rFonts w:ascii="AcadNusx" w:hAnsi="AcadNusx"/>
              </w:rPr>
            </w:pPr>
            <w:r w:rsidRPr="00B05F62">
              <w:rPr>
                <w:rFonts w:ascii="AcadNusx" w:hAnsi="AcadNusx"/>
              </w:rPr>
              <w:t>9 – 40</w:t>
            </w:r>
          </w:p>
        </w:tc>
      </w:tr>
      <w:tr w:rsidR="00EA3205" w:rsidRPr="00B05F62" w14:paraId="4527262E" w14:textId="77777777" w:rsidTr="00EA3205">
        <w:trPr>
          <w:trHeight w:val="281"/>
        </w:trPr>
        <w:tc>
          <w:tcPr>
            <w:tcW w:w="4536" w:type="dxa"/>
            <w:tcBorders>
              <w:top w:val="single" w:sz="4" w:space="0" w:color="auto"/>
              <w:left w:val="single" w:sz="4" w:space="0" w:color="auto"/>
              <w:bottom w:val="single" w:sz="4" w:space="0" w:color="auto"/>
              <w:right w:val="single" w:sz="4" w:space="0" w:color="auto"/>
            </w:tcBorders>
            <w:vAlign w:val="center"/>
            <w:hideMark/>
          </w:tcPr>
          <w:p w14:paraId="5B57A433" w14:textId="77777777" w:rsidR="00EA3205" w:rsidRPr="00B05F62" w:rsidRDefault="00EA3205" w:rsidP="00EA3205">
            <w:pPr>
              <w:rPr>
                <w:rFonts w:ascii="AcadNusx" w:hAnsi="AcadNusx"/>
              </w:rPr>
            </w:pPr>
            <w:r w:rsidRPr="00B05F62">
              <w:rPr>
                <w:rFonts w:ascii="AcadNusx" w:hAnsi="AcadNusx"/>
              </w:rPr>
              <w:t>0,5</w:t>
            </w:r>
          </w:p>
        </w:tc>
        <w:tc>
          <w:tcPr>
            <w:tcW w:w="4181" w:type="dxa"/>
            <w:tcBorders>
              <w:top w:val="single" w:sz="4" w:space="0" w:color="auto"/>
              <w:left w:val="single" w:sz="4" w:space="0" w:color="auto"/>
              <w:bottom w:val="single" w:sz="4" w:space="0" w:color="auto"/>
              <w:right w:val="single" w:sz="4" w:space="0" w:color="auto"/>
            </w:tcBorders>
            <w:vAlign w:val="center"/>
            <w:hideMark/>
          </w:tcPr>
          <w:p w14:paraId="4C43191C" w14:textId="77777777" w:rsidR="00EA3205" w:rsidRPr="00B05F62" w:rsidRDefault="00EA3205" w:rsidP="00EA3205">
            <w:pPr>
              <w:rPr>
                <w:rFonts w:ascii="AcadNusx" w:hAnsi="AcadNusx"/>
              </w:rPr>
            </w:pPr>
            <w:r w:rsidRPr="00B05F62">
              <w:rPr>
                <w:rFonts w:ascii="AcadNusx" w:hAnsi="AcadNusx"/>
              </w:rPr>
              <w:t>5 - 35</w:t>
            </w:r>
          </w:p>
        </w:tc>
      </w:tr>
      <w:tr w:rsidR="00EA3205" w:rsidRPr="00B05F62" w14:paraId="7EC5D6A5" w14:textId="77777777" w:rsidTr="00EA3205">
        <w:trPr>
          <w:trHeight w:val="281"/>
        </w:trPr>
        <w:tc>
          <w:tcPr>
            <w:tcW w:w="4536" w:type="dxa"/>
            <w:tcBorders>
              <w:top w:val="single" w:sz="4" w:space="0" w:color="auto"/>
              <w:left w:val="single" w:sz="4" w:space="0" w:color="auto"/>
              <w:bottom w:val="single" w:sz="4" w:space="0" w:color="auto"/>
              <w:right w:val="single" w:sz="4" w:space="0" w:color="auto"/>
            </w:tcBorders>
            <w:vAlign w:val="center"/>
            <w:hideMark/>
          </w:tcPr>
          <w:p w14:paraId="09F098D8" w14:textId="77777777" w:rsidR="00EA3205" w:rsidRPr="00B05F62" w:rsidRDefault="00EA3205" w:rsidP="00EA3205">
            <w:pPr>
              <w:rPr>
                <w:rFonts w:ascii="AcadNusx" w:hAnsi="AcadNusx"/>
              </w:rPr>
            </w:pPr>
            <w:r w:rsidRPr="00B05F62">
              <w:rPr>
                <w:rFonts w:ascii="AcadNusx" w:hAnsi="AcadNusx"/>
              </w:rPr>
              <w:t>0.063</w:t>
            </w:r>
          </w:p>
        </w:tc>
        <w:tc>
          <w:tcPr>
            <w:tcW w:w="4181" w:type="dxa"/>
            <w:tcBorders>
              <w:top w:val="single" w:sz="4" w:space="0" w:color="auto"/>
              <w:left w:val="single" w:sz="4" w:space="0" w:color="auto"/>
              <w:bottom w:val="single" w:sz="4" w:space="0" w:color="auto"/>
              <w:right w:val="single" w:sz="4" w:space="0" w:color="auto"/>
            </w:tcBorders>
            <w:vAlign w:val="center"/>
            <w:hideMark/>
          </w:tcPr>
          <w:p w14:paraId="6E2439AF" w14:textId="77777777" w:rsidR="00EA3205" w:rsidRPr="00B05F62" w:rsidRDefault="00EA3205" w:rsidP="00EA3205">
            <w:pPr>
              <w:rPr>
                <w:rFonts w:ascii="AcadNusx" w:hAnsi="AcadNusx"/>
              </w:rPr>
            </w:pPr>
            <w:r w:rsidRPr="00B05F62">
              <w:rPr>
                <w:rFonts w:ascii="AcadNusx" w:hAnsi="AcadNusx"/>
              </w:rPr>
              <w:t>0 - 7</w:t>
            </w:r>
          </w:p>
        </w:tc>
      </w:tr>
    </w:tbl>
    <w:p w14:paraId="06C883B0" w14:textId="77777777" w:rsidR="00EA3205" w:rsidRPr="00B05F62" w:rsidRDefault="00EA3205" w:rsidP="00EA3205">
      <w:pPr>
        <w:rPr>
          <w:rFonts w:ascii="AcadNusx" w:hAnsi="AcadNusx"/>
        </w:rPr>
      </w:pPr>
    </w:p>
    <w:p w14:paraId="5570A145" w14:textId="77777777" w:rsidR="00EA3205" w:rsidRPr="00B05F62" w:rsidRDefault="00EA3205" w:rsidP="00EA3205">
      <w:pPr>
        <w:rPr>
          <w:rFonts w:ascii="AcadNusx" w:hAnsi="AcadNusx"/>
        </w:rPr>
      </w:pPr>
      <w:r w:rsidRPr="00B05F62">
        <w:rPr>
          <w:rFonts w:ascii="AcadNusx" w:hAnsi="AcadNusx"/>
        </w:rPr>
        <w:t>satendero dokumentaciaSi dagebuli safuZvelis fenisTvis rekomendirebulia aisaxos momdevno cxrilSi mocemuli pirobebi.</w:t>
      </w:r>
    </w:p>
    <w:p w14:paraId="5CE7C5F5" w14:textId="77777777" w:rsidR="00EA3205" w:rsidRPr="00B05F62" w:rsidRDefault="00EA3205" w:rsidP="00EA3205">
      <w:pPr>
        <w:rPr>
          <w:rFonts w:ascii="AcadNusx" w:hAnsi="AcadNusx"/>
        </w:rPr>
      </w:pPr>
    </w:p>
    <w:p w14:paraId="42A22571" w14:textId="0BBE3223" w:rsidR="00EA3205" w:rsidRPr="00B05F62" w:rsidRDefault="00EA3205" w:rsidP="00EA3205">
      <w:pPr>
        <w:rPr>
          <w:rFonts w:ascii="AcadNusx" w:hAnsi="AcadNusx"/>
        </w:rPr>
      </w:pPr>
      <w:r w:rsidRPr="00B05F62">
        <w:rPr>
          <w:rFonts w:ascii="AcadNusx" w:hAnsi="AcadNusx"/>
        </w:rPr>
        <w:t xml:space="preserve">cxrili </w:t>
      </w:r>
      <w:r w:rsidR="008C44CF" w:rsidRPr="00B05F62">
        <w:rPr>
          <w:rFonts w:ascii="AcadNusx" w:hAnsi="AcadNusx"/>
        </w:rPr>
        <w:t>4.</w:t>
      </w:r>
      <w:r w:rsidR="00EA6DAA">
        <w:rPr>
          <w:rFonts w:ascii="Sylfaen" w:hAnsi="Sylfaen"/>
          <w:lang w:val="ka-GE"/>
        </w:rPr>
        <w:t>9</w:t>
      </w:r>
      <w:r w:rsidR="008C44CF">
        <w:rPr>
          <w:rFonts w:ascii="Sylfaen" w:hAnsi="Sylfaen"/>
          <w:lang w:val="ka-GE"/>
        </w:rPr>
        <w:t>.3.</w:t>
      </w:r>
      <w:r w:rsidR="008C44CF" w:rsidRPr="00B05F62">
        <w:rPr>
          <w:rFonts w:ascii="AcadNusx" w:hAnsi="AcadNusx"/>
        </w:rPr>
        <w:t>5.</w:t>
      </w:r>
      <w:r w:rsidR="008C44CF">
        <w:rPr>
          <w:rFonts w:ascii="Sylfaen" w:hAnsi="Sylfaen"/>
          <w:lang w:val="ka-GE"/>
        </w:rPr>
        <w:t>-5</w:t>
      </w:r>
      <w:r w:rsidRPr="00B05F62">
        <w:rPr>
          <w:rFonts w:ascii="AcadNusx" w:hAnsi="AcadNusx"/>
        </w:rPr>
        <w:tab/>
        <w:t>rekomendirebuli safuZvelis fenis maxasiaTeblebi</w:t>
      </w:r>
    </w:p>
    <w:tbl>
      <w:tblPr>
        <w:tblW w:w="97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7"/>
        <w:gridCol w:w="4489"/>
      </w:tblGrid>
      <w:tr w:rsidR="00EA3205" w:rsidRPr="00B05F62" w14:paraId="711FAE8D" w14:textId="77777777" w:rsidTr="006B2E4A">
        <w:trPr>
          <w:trHeight w:val="444"/>
        </w:trPr>
        <w:tc>
          <w:tcPr>
            <w:tcW w:w="528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18326EE" w14:textId="77777777" w:rsidR="00EA3205" w:rsidRPr="00B05F62" w:rsidRDefault="00EA3205" w:rsidP="00EA3205">
            <w:pPr>
              <w:rPr>
                <w:rFonts w:ascii="AcadNusx" w:hAnsi="AcadNusx"/>
                <w:lang w:val="en-US"/>
              </w:rPr>
            </w:pPr>
            <w:r w:rsidRPr="00B05F62">
              <w:rPr>
                <w:rFonts w:ascii="AcadNusx" w:hAnsi="AcadNusx"/>
              </w:rPr>
              <w:t>safuZvelis marcvlovani fenis parametrebi</w:t>
            </w:r>
          </w:p>
        </w:tc>
        <w:tc>
          <w:tcPr>
            <w:tcW w:w="448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F797237" w14:textId="77777777" w:rsidR="00EA3205" w:rsidRPr="00B05F62" w:rsidRDefault="00EA3205" w:rsidP="00EA3205">
            <w:pPr>
              <w:rPr>
                <w:rFonts w:ascii="AcadNusx" w:hAnsi="AcadNusx"/>
              </w:rPr>
            </w:pPr>
            <w:r w:rsidRPr="00B05F62">
              <w:rPr>
                <w:rFonts w:ascii="AcadNusx" w:hAnsi="AcadNusx"/>
              </w:rPr>
              <w:t>rekomendirebuli sidideebi</w:t>
            </w:r>
          </w:p>
        </w:tc>
      </w:tr>
      <w:tr w:rsidR="00EA3205" w:rsidRPr="00B05F62" w14:paraId="3246BDA0" w14:textId="77777777" w:rsidTr="006B2E4A">
        <w:trPr>
          <w:trHeight w:val="336"/>
        </w:trPr>
        <w:tc>
          <w:tcPr>
            <w:tcW w:w="5287" w:type="dxa"/>
            <w:tcBorders>
              <w:top w:val="single" w:sz="4" w:space="0" w:color="auto"/>
              <w:left w:val="single" w:sz="4" w:space="0" w:color="auto"/>
              <w:bottom w:val="single" w:sz="4" w:space="0" w:color="auto"/>
              <w:right w:val="single" w:sz="4" w:space="0" w:color="auto"/>
            </w:tcBorders>
            <w:vAlign w:val="center"/>
            <w:hideMark/>
          </w:tcPr>
          <w:p w14:paraId="677839C0" w14:textId="77777777" w:rsidR="00EA3205" w:rsidRPr="00B05F62" w:rsidRDefault="00EA3205" w:rsidP="00EA3205">
            <w:pPr>
              <w:rPr>
                <w:rFonts w:ascii="AcadNusx" w:hAnsi="AcadNusx"/>
              </w:rPr>
            </w:pPr>
            <w:r w:rsidRPr="00B05F62">
              <w:rPr>
                <w:rFonts w:ascii="AcadNusx" w:hAnsi="AcadNusx"/>
              </w:rPr>
              <w:t>datkepnis xarisxi</w:t>
            </w:r>
          </w:p>
        </w:tc>
        <w:tc>
          <w:tcPr>
            <w:tcW w:w="4489" w:type="dxa"/>
            <w:tcBorders>
              <w:top w:val="single" w:sz="4" w:space="0" w:color="auto"/>
              <w:left w:val="single" w:sz="4" w:space="0" w:color="auto"/>
              <w:bottom w:val="single" w:sz="4" w:space="0" w:color="auto"/>
              <w:right w:val="single" w:sz="4" w:space="0" w:color="auto"/>
            </w:tcBorders>
            <w:vAlign w:val="center"/>
            <w:hideMark/>
          </w:tcPr>
          <w:p w14:paraId="0A4C7590" w14:textId="77777777" w:rsidR="00EA3205" w:rsidRPr="00B05F62" w:rsidRDefault="00EA3205" w:rsidP="00EA3205">
            <w:pPr>
              <w:rPr>
                <w:rFonts w:ascii="AcadNusx" w:hAnsi="AcadNusx"/>
              </w:rPr>
            </w:pPr>
            <w:r w:rsidRPr="00B05F62">
              <w:rPr>
                <w:rFonts w:ascii="AcadNusx" w:eastAsia="MS Gothic" w:hAnsi="AcadNusx"/>
              </w:rPr>
              <w:t>≥</w:t>
            </w:r>
            <w:r w:rsidRPr="00B05F62">
              <w:rPr>
                <w:rFonts w:ascii="AcadNusx" w:hAnsi="AcadNusx"/>
              </w:rPr>
              <w:t> 100 %</w:t>
            </w:r>
          </w:p>
        </w:tc>
      </w:tr>
      <w:tr w:rsidR="00EA3205" w:rsidRPr="00B05F62" w14:paraId="29804956" w14:textId="77777777" w:rsidTr="006B2E4A">
        <w:trPr>
          <w:trHeight w:val="336"/>
        </w:trPr>
        <w:tc>
          <w:tcPr>
            <w:tcW w:w="5287" w:type="dxa"/>
            <w:tcBorders>
              <w:top w:val="single" w:sz="4" w:space="0" w:color="auto"/>
              <w:left w:val="single" w:sz="4" w:space="0" w:color="auto"/>
              <w:bottom w:val="single" w:sz="4" w:space="0" w:color="auto"/>
              <w:right w:val="single" w:sz="4" w:space="0" w:color="auto"/>
            </w:tcBorders>
            <w:vAlign w:val="center"/>
            <w:hideMark/>
          </w:tcPr>
          <w:p w14:paraId="5EE57253" w14:textId="77777777" w:rsidR="00EA3205" w:rsidRPr="00B05F62" w:rsidRDefault="00EA3205" w:rsidP="00EA3205">
            <w:pPr>
              <w:rPr>
                <w:rFonts w:ascii="AcadNusx" w:hAnsi="AcadNusx"/>
              </w:rPr>
            </w:pPr>
            <w:r w:rsidRPr="00B05F62">
              <w:rPr>
                <w:rFonts w:ascii="AcadNusx" w:hAnsi="AcadNusx"/>
              </w:rPr>
              <w:t>mzidunarianoba, Ev2</w:t>
            </w:r>
          </w:p>
        </w:tc>
        <w:tc>
          <w:tcPr>
            <w:tcW w:w="4489" w:type="dxa"/>
            <w:tcBorders>
              <w:top w:val="single" w:sz="4" w:space="0" w:color="auto"/>
              <w:left w:val="single" w:sz="4" w:space="0" w:color="auto"/>
              <w:bottom w:val="single" w:sz="4" w:space="0" w:color="auto"/>
              <w:right w:val="single" w:sz="4" w:space="0" w:color="auto"/>
            </w:tcBorders>
            <w:vAlign w:val="center"/>
            <w:hideMark/>
          </w:tcPr>
          <w:p w14:paraId="235FB3C5" w14:textId="77777777" w:rsidR="00EA3205" w:rsidRPr="00B05F62" w:rsidRDefault="00EA3205" w:rsidP="00EA3205">
            <w:pPr>
              <w:rPr>
                <w:rFonts w:ascii="AcadNusx" w:hAnsi="AcadNusx"/>
              </w:rPr>
            </w:pPr>
            <w:r w:rsidRPr="00B05F62">
              <w:rPr>
                <w:rFonts w:ascii="AcadNusx" w:eastAsia="MS Gothic" w:hAnsi="AcadNusx"/>
              </w:rPr>
              <w:t>≥</w:t>
            </w:r>
            <w:r w:rsidRPr="00B05F62">
              <w:rPr>
                <w:rFonts w:ascii="AcadNusx" w:hAnsi="AcadNusx"/>
              </w:rPr>
              <w:t> 150 N/mm2</w:t>
            </w:r>
          </w:p>
        </w:tc>
      </w:tr>
      <w:tr w:rsidR="00EA3205" w:rsidRPr="00B05F62" w14:paraId="3DBEECF5" w14:textId="77777777" w:rsidTr="006B2E4A">
        <w:trPr>
          <w:trHeight w:val="336"/>
        </w:trPr>
        <w:tc>
          <w:tcPr>
            <w:tcW w:w="5287" w:type="dxa"/>
            <w:tcBorders>
              <w:top w:val="single" w:sz="4" w:space="0" w:color="auto"/>
              <w:left w:val="single" w:sz="4" w:space="0" w:color="auto"/>
              <w:bottom w:val="single" w:sz="4" w:space="0" w:color="auto"/>
              <w:right w:val="single" w:sz="4" w:space="0" w:color="auto"/>
            </w:tcBorders>
            <w:vAlign w:val="center"/>
            <w:hideMark/>
          </w:tcPr>
          <w:p w14:paraId="398A27A2" w14:textId="77777777" w:rsidR="00EA3205" w:rsidRPr="00B05F62" w:rsidRDefault="00EA3205" w:rsidP="00EA3205">
            <w:pPr>
              <w:rPr>
                <w:rFonts w:ascii="AcadNusx" w:hAnsi="AcadNusx"/>
              </w:rPr>
            </w:pPr>
            <w:r w:rsidRPr="00B05F62">
              <w:rPr>
                <w:rFonts w:ascii="AcadNusx" w:hAnsi="AcadNusx"/>
              </w:rPr>
              <w:lastRenderedPageBreak/>
              <w:t>fardoba Ev2/Ev1</w:t>
            </w:r>
          </w:p>
        </w:tc>
        <w:tc>
          <w:tcPr>
            <w:tcW w:w="4489" w:type="dxa"/>
            <w:tcBorders>
              <w:top w:val="single" w:sz="4" w:space="0" w:color="auto"/>
              <w:left w:val="single" w:sz="4" w:space="0" w:color="auto"/>
              <w:bottom w:val="single" w:sz="4" w:space="0" w:color="auto"/>
              <w:right w:val="single" w:sz="4" w:space="0" w:color="auto"/>
            </w:tcBorders>
            <w:vAlign w:val="center"/>
            <w:hideMark/>
          </w:tcPr>
          <w:p w14:paraId="041F3EF5" w14:textId="77777777" w:rsidR="00EA3205" w:rsidRPr="00B05F62" w:rsidRDefault="00EA3205" w:rsidP="00EA3205">
            <w:pPr>
              <w:rPr>
                <w:rFonts w:ascii="AcadNusx" w:hAnsi="AcadNusx"/>
              </w:rPr>
            </w:pPr>
            <w:r w:rsidRPr="00B05F62">
              <w:rPr>
                <w:rFonts w:ascii="AcadNusx" w:eastAsia="MS Gothic" w:hAnsi="AcadNusx"/>
              </w:rPr>
              <w:t>≤ </w:t>
            </w:r>
            <w:r w:rsidRPr="00B05F62">
              <w:rPr>
                <w:rFonts w:ascii="AcadNusx" w:hAnsi="AcadNusx"/>
              </w:rPr>
              <w:t>2,2</w:t>
            </w:r>
          </w:p>
        </w:tc>
      </w:tr>
      <w:tr w:rsidR="00EA3205" w:rsidRPr="00B05F62" w14:paraId="15264C7A" w14:textId="77777777" w:rsidTr="006B2E4A">
        <w:trPr>
          <w:trHeight w:val="336"/>
        </w:trPr>
        <w:tc>
          <w:tcPr>
            <w:tcW w:w="5287" w:type="dxa"/>
            <w:tcBorders>
              <w:top w:val="single" w:sz="4" w:space="0" w:color="auto"/>
              <w:left w:val="single" w:sz="4" w:space="0" w:color="auto"/>
              <w:bottom w:val="single" w:sz="4" w:space="0" w:color="auto"/>
              <w:right w:val="single" w:sz="4" w:space="0" w:color="auto"/>
            </w:tcBorders>
            <w:vAlign w:val="center"/>
            <w:hideMark/>
          </w:tcPr>
          <w:p w14:paraId="6095566F" w14:textId="77777777" w:rsidR="00EA3205" w:rsidRPr="00B05F62" w:rsidRDefault="00EA3205" w:rsidP="00EA3205">
            <w:pPr>
              <w:rPr>
                <w:rFonts w:ascii="AcadNusx" w:eastAsia="MS Gothic" w:hAnsi="AcadNusx"/>
                <w:lang w:val="en-US"/>
              </w:rPr>
            </w:pPr>
            <w:r w:rsidRPr="00B05F62">
              <w:rPr>
                <w:rFonts w:ascii="AcadNusx" w:hAnsi="AcadNusx"/>
              </w:rPr>
              <w:t>uswormasworoba (4-metriani sakontrolo lartyiT gazomili)</w:t>
            </w:r>
          </w:p>
        </w:tc>
        <w:tc>
          <w:tcPr>
            <w:tcW w:w="4489" w:type="dxa"/>
            <w:tcBorders>
              <w:top w:val="single" w:sz="4" w:space="0" w:color="auto"/>
              <w:left w:val="single" w:sz="4" w:space="0" w:color="auto"/>
              <w:bottom w:val="single" w:sz="4" w:space="0" w:color="auto"/>
              <w:right w:val="single" w:sz="4" w:space="0" w:color="auto"/>
            </w:tcBorders>
            <w:vAlign w:val="center"/>
            <w:hideMark/>
          </w:tcPr>
          <w:p w14:paraId="5C21BB96" w14:textId="77777777" w:rsidR="00EA3205" w:rsidRPr="00B05F62" w:rsidRDefault="00EA3205" w:rsidP="00EA3205">
            <w:pPr>
              <w:rPr>
                <w:rFonts w:ascii="AcadNusx" w:hAnsi="AcadNusx"/>
              </w:rPr>
            </w:pPr>
            <w:r w:rsidRPr="00B05F62">
              <w:rPr>
                <w:rFonts w:ascii="AcadNusx" w:eastAsia="MS Gothic" w:hAnsi="AcadNusx"/>
              </w:rPr>
              <w:t>≤</w:t>
            </w:r>
            <w:r w:rsidRPr="00B05F62">
              <w:rPr>
                <w:rFonts w:ascii="AcadNusx" w:hAnsi="AcadNusx"/>
              </w:rPr>
              <w:t> 20 mm</w:t>
            </w:r>
          </w:p>
        </w:tc>
      </w:tr>
      <w:tr w:rsidR="00EA3205" w:rsidRPr="00B05F62" w14:paraId="31F42D13" w14:textId="77777777" w:rsidTr="006B2E4A">
        <w:trPr>
          <w:trHeight w:val="336"/>
        </w:trPr>
        <w:tc>
          <w:tcPr>
            <w:tcW w:w="5287" w:type="dxa"/>
            <w:tcBorders>
              <w:top w:val="single" w:sz="4" w:space="0" w:color="auto"/>
              <w:left w:val="single" w:sz="4" w:space="0" w:color="auto"/>
              <w:bottom w:val="single" w:sz="4" w:space="0" w:color="auto"/>
              <w:right w:val="single" w:sz="4" w:space="0" w:color="auto"/>
            </w:tcBorders>
            <w:vAlign w:val="center"/>
            <w:hideMark/>
          </w:tcPr>
          <w:p w14:paraId="795095C5" w14:textId="77777777" w:rsidR="00EA3205" w:rsidRPr="00B05F62" w:rsidRDefault="00EA3205" w:rsidP="00EA3205">
            <w:pPr>
              <w:rPr>
                <w:rFonts w:ascii="AcadNusx" w:eastAsia="MS Gothic" w:hAnsi="AcadNusx"/>
                <w:lang w:val="en-US"/>
              </w:rPr>
            </w:pPr>
            <w:r w:rsidRPr="00B05F62">
              <w:rPr>
                <w:rFonts w:ascii="AcadNusx" w:hAnsi="AcadNusx"/>
              </w:rPr>
              <w:t>sisqis (simaRlis) dasaSvebi gadaxra</w:t>
            </w:r>
          </w:p>
        </w:tc>
        <w:tc>
          <w:tcPr>
            <w:tcW w:w="4489" w:type="dxa"/>
            <w:tcBorders>
              <w:top w:val="single" w:sz="4" w:space="0" w:color="auto"/>
              <w:left w:val="single" w:sz="4" w:space="0" w:color="auto"/>
              <w:bottom w:val="single" w:sz="4" w:space="0" w:color="auto"/>
              <w:right w:val="single" w:sz="4" w:space="0" w:color="auto"/>
            </w:tcBorders>
            <w:vAlign w:val="center"/>
            <w:hideMark/>
          </w:tcPr>
          <w:p w14:paraId="238EA246" w14:textId="77777777" w:rsidR="00EA3205" w:rsidRPr="00B05F62" w:rsidRDefault="00EA3205" w:rsidP="00EA3205">
            <w:pPr>
              <w:rPr>
                <w:rFonts w:ascii="AcadNusx" w:hAnsi="AcadNusx"/>
              </w:rPr>
            </w:pPr>
            <w:r w:rsidRPr="00B05F62">
              <w:rPr>
                <w:rFonts w:ascii="AcadNusx" w:eastAsia="MS Gothic" w:hAnsi="AcadNusx"/>
              </w:rPr>
              <w:t>±</w:t>
            </w:r>
            <w:r w:rsidRPr="00B05F62">
              <w:rPr>
                <w:rFonts w:ascii="AcadNusx" w:hAnsi="AcadNusx"/>
              </w:rPr>
              <w:t> 20 mm</w:t>
            </w:r>
          </w:p>
        </w:tc>
      </w:tr>
    </w:tbl>
    <w:p w14:paraId="7F71FCFA" w14:textId="77777777" w:rsidR="00EA3205" w:rsidRPr="00B05F62" w:rsidRDefault="00EA3205" w:rsidP="00EA3205">
      <w:pPr>
        <w:rPr>
          <w:rFonts w:ascii="AcadNusx" w:hAnsi="AcadNusx"/>
        </w:rPr>
      </w:pPr>
    </w:p>
    <w:p w14:paraId="5303032C" w14:textId="77777777" w:rsidR="00EA3205" w:rsidRPr="00B05F62" w:rsidRDefault="00EA3205" w:rsidP="00EA3205">
      <w:pPr>
        <w:rPr>
          <w:rFonts w:ascii="AcadNusx" w:hAnsi="AcadNusx"/>
        </w:rPr>
      </w:pPr>
      <w:r w:rsidRPr="00B05F62">
        <w:rPr>
          <w:rFonts w:ascii="AcadNusx" w:hAnsi="AcadNusx"/>
        </w:rPr>
        <w:t xml:space="preserve">mSrali masis maqsimaluri simkvrivis 100%-mde datkepnili (100% </w:t>
      </w:r>
      <w:r w:rsidRPr="006B2E4A">
        <w:rPr>
          <w:rFonts w:cs="Arial"/>
        </w:rPr>
        <w:t>MDD</w:t>
      </w:r>
      <w:r w:rsidRPr="00B05F62">
        <w:rPr>
          <w:rFonts w:ascii="AcadNusx" w:hAnsi="AcadNusx"/>
        </w:rPr>
        <w:t>) masalis simtkice (</w:t>
      </w:r>
      <w:r w:rsidRPr="006B2E4A">
        <w:rPr>
          <w:rFonts w:cs="Arial"/>
        </w:rPr>
        <w:t>CBR</w:t>
      </w:r>
      <w:r w:rsidRPr="00B05F62">
        <w:rPr>
          <w:rFonts w:ascii="AcadNusx" w:hAnsi="AcadNusx"/>
        </w:rPr>
        <w:t>) ar unda iyos 80%-ze naklebi.</w:t>
      </w:r>
    </w:p>
    <w:p w14:paraId="359D8EAB" w14:textId="77777777" w:rsidR="00EA3205" w:rsidRPr="00B05F62" w:rsidRDefault="00EA3205" w:rsidP="00EA3205">
      <w:pPr>
        <w:rPr>
          <w:rFonts w:ascii="AcadNusx" w:hAnsi="AcadNusx"/>
        </w:rPr>
      </w:pPr>
    </w:p>
    <w:p w14:paraId="78770E3C" w14:textId="77777777" w:rsidR="00EA3205" w:rsidRPr="00B05F62" w:rsidRDefault="00EA3205" w:rsidP="00EA3205">
      <w:pPr>
        <w:rPr>
          <w:rFonts w:ascii="AcadNusx" w:hAnsi="AcadNusx"/>
        </w:rPr>
      </w:pPr>
      <w:r w:rsidRPr="00B05F62">
        <w:rPr>
          <w:rFonts w:ascii="AcadNusx" w:hAnsi="AcadNusx"/>
        </w:rPr>
        <w:t xml:space="preserve">maxasiaTeblebi </w:t>
      </w:r>
      <w:r w:rsidRPr="006B2E4A">
        <w:rPr>
          <w:rFonts w:cs="Arial"/>
        </w:rPr>
        <w:t>Ev1</w:t>
      </w:r>
      <w:r w:rsidRPr="00B05F62">
        <w:rPr>
          <w:rFonts w:ascii="AcadNusx" w:hAnsi="AcadNusx"/>
        </w:rPr>
        <w:t xml:space="preserve"> da </w:t>
      </w:r>
      <w:r w:rsidRPr="006B2E4A">
        <w:rPr>
          <w:rFonts w:cs="Arial"/>
        </w:rPr>
        <w:t>Ev</w:t>
      </w:r>
      <w:r w:rsidRPr="00B05F62">
        <w:rPr>
          <w:rFonts w:ascii="AcadNusx" w:hAnsi="AcadNusx"/>
        </w:rPr>
        <w:t xml:space="preserve"> ganisazRvrebian marcvlovani safuZevlis Tavze Catarebuli filis statikuri datvirTvebiT gamocdebis saSualebiT.</w:t>
      </w:r>
    </w:p>
    <w:p w14:paraId="204F2F9D" w14:textId="77777777" w:rsidR="00EA3205" w:rsidRPr="00B05F62" w:rsidRDefault="00EA3205" w:rsidP="00EA3205">
      <w:pPr>
        <w:rPr>
          <w:rFonts w:ascii="AcadNusx" w:hAnsi="AcadNusx"/>
        </w:rPr>
      </w:pPr>
    </w:p>
    <w:p w14:paraId="18E2669D" w14:textId="77777777" w:rsidR="00EA3205" w:rsidRPr="00B05F62" w:rsidRDefault="00EA3205" w:rsidP="00B77B2E">
      <w:pPr>
        <w:spacing w:before="120" w:after="120"/>
        <w:rPr>
          <w:rFonts w:ascii="AcadNusx" w:hAnsi="AcadNusx"/>
        </w:rPr>
      </w:pPr>
      <w:r w:rsidRPr="00B05F62">
        <w:rPr>
          <w:rFonts w:ascii="AcadNusx" w:hAnsi="AcadNusx"/>
        </w:rPr>
        <w:t>cementiT gamagrebuli safuZvelis fena</w:t>
      </w:r>
    </w:p>
    <w:p w14:paraId="408760F0" w14:textId="77777777" w:rsidR="00EA3205" w:rsidRPr="00B05F62" w:rsidRDefault="00EA3205" w:rsidP="00B77B2E">
      <w:pPr>
        <w:spacing w:before="120" w:after="120"/>
        <w:rPr>
          <w:rFonts w:ascii="AcadNusx" w:hAnsi="AcadNusx"/>
          <w:lang w:val="en-US"/>
        </w:rPr>
      </w:pPr>
      <w:r w:rsidRPr="00B05F62">
        <w:rPr>
          <w:rFonts w:ascii="AcadNusx" w:hAnsi="AcadNusx"/>
        </w:rPr>
        <w:t>gamagrebuli marcvlovani safuZveli unda warmoadgendes maqsimum 45 mm fraqciis RorRis fenas qvemoT mocemuli maxasiaTeblebiT.</w:t>
      </w:r>
    </w:p>
    <w:p w14:paraId="76FD0B15" w14:textId="7697022A" w:rsidR="00EA3205" w:rsidRPr="00B05F62" w:rsidRDefault="00EA3205" w:rsidP="00EA3205">
      <w:pPr>
        <w:rPr>
          <w:rFonts w:ascii="AcadNusx" w:hAnsi="AcadNusx"/>
        </w:rPr>
      </w:pPr>
      <w:r w:rsidRPr="00B05F62">
        <w:rPr>
          <w:rFonts w:ascii="AcadNusx" w:hAnsi="AcadNusx"/>
        </w:rPr>
        <w:t xml:space="preserve">cxrili </w:t>
      </w:r>
      <w:r w:rsidR="008C44CF" w:rsidRPr="00B05F62">
        <w:rPr>
          <w:rFonts w:ascii="AcadNusx" w:hAnsi="AcadNusx"/>
        </w:rPr>
        <w:t>4.</w:t>
      </w:r>
      <w:r w:rsidR="00EA6DAA">
        <w:rPr>
          <w:rFonts w:ascii="Sylfaen" w:hAnsi="Sylfaen"/>
          <w:lang w:val="ka-GE"/>
        </w:rPr>
        <w:t>9</w:t>
      </w:r>
      <w:r w:rsidR="008C44CF">
        <w:rPr>
          <w:rFonts w:ascii="Sylfaen" w:hAnsi="Sylfaen"/>
          <w:lang w:val="ka-GE"/>
        </w:rPr>
        <w:t>.3.</w:t>
      </w:r>
      <w:r w:rsidR="008C44CF" w:rsidRPr="00B05F62">
        <w:rPr>
          <w:rFonts w:ascii="AcadNusx" w:hAnsi="AcadNusx"/>
        </w:rPr>
        <w:t>5.</w:t>
      </w:r>
      <w:r w:rsidR="008C44CF">
        <w:rPr>
          <w:rFonts w:ascii="Sylfaen" w:hAnsi="Sylfaen"/>
          <w:lang w:val="ka-GE"/>
        </w:rPr>
        <w:t>-6</w:t>
      </w:r>
      <w:r w:rsidRPr="00B05F62">
        <w:rPr>
          <w:rFonts w:ascii="AcadNusx" w:hAnsi="AcadNusx"/>
        </w:rPr>
        <w:tab/>
        <w:t>rekomendirebuli granulometriuli Semadgenloba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4112"/>
      </w:tblGrid>
      <w:tr w:rsidR="00EA3205" w:rsidRPr="00B05F62" w14:paraId="32233D86" w14:textId="77777777" w:rsidTr="00EA3205">
        <w:trPr>
          <w:trHeight w:val="589"/>
        </w:trPr>
        <w:tc>
          <w:tcPr>
            <w:tcW w:w="445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49F2042" w14:textId="77777777" w:rsidR="00EA3205" w:rsidRPr="00B05F62" w:rsidRDefault="00EA3205" w:rsidP="00EA3205">
            <w:pPr>
              <w:rPr>
                <w:rFonts w:ascii="AcadNusx" w:hAnsi="AcadNusx"/>
                <w:lang w:val="en-US"/>
              </w:rPr>
            </w:pPr>
            <w:r w:rsidRPr="00B05F62">
              <w:rPr>
                <w:rFonts w:ascii="AcadNusx" w:hAnsi="AcadNusx"/>
              </w:rPr>
              <w:t>saceris ujredis zoma [mm]</w:t>
            </w:r>
          </w:p>
        </w:tc>
        <w:tc>
          <w:tcPr>
            <w:tcW w:w="4112"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7A57917" w14:textId="77777777" w:rsidR="00EA3205" w:rsidRPr="00B05F62" w:rsidRDefault="00EA3205" w:rsidP="00EA3205">
            <w:pPr>
              <w:rPr>
                <w:rFonts w:ascii="AcadNusx" w:hAnsi="AcadNusx"/>
              </w:rPr>
            </w:pPr>
            <w:r w:rsidRPr="00B05F62">
              <w:rPr>
                <w:rFonts w:ascii="AcadNusx" w:hAnsi="AcadNusx"/>
              </w:rPr>
              <w:t>gasuli fraqciis masuri wili [%]</w:t>
            </w:r>
          </w:p>
        </w:tc>
      </w:tr>
      <w:tr w:rsidR="00EA3205" w:rsidRPr="00B05F62" w14:paraId="4E6737A4" w14:textId="77777777" w:rsidTr="00EA3205">
        <w:trPr>
          <w:trHeight w:val="314"/>
        </w:trPr>
        <w:tc>
          <w:tcPr>
            <w:tcW w:w="4459" w:type="dxa"/>
            <w:tcBorders>
              <w:top w:val="single" w:sz="4" w:space="0" w:color="auto"/>
              <w:left w:val="single" w:sz="4" w:space="0" w:color="auto"/>
              <w:bottom w:val="single" w:sz="4" w:space="0" w:color="auto"/>
              <w:right w:val="single" w:sz="4" w:space="0" w:color="auto"/>
            </w:tcBorders>
            <w:vAlign w:val="center"/>
            <w:hideMark/>
          </w:tcPr>
          <w:p w14:paraId="0CFC132D" w14:textId="77777777" w:rsidR="00EA3205" w:rsidRPr="00B05F62" w:rsidRDefault="00EA3205" w:rsidP="00EA3205">
            <w:pPr>
              <w:rPr>
                <w:rFonts w:ascii="AcadNusx" w:hAnsi="AcadNusx"/>
              </w:rPr>
            </w:pPr>
            <w:r w:rsidRPr="00B05F62">
              <w:rPr>
                <w:rFonts w:ascii="AcadNusx" w:hAnsi="AcadNusx"/>
              </w:rPr>
              <w:t>45</w:t>
            </w:r>
          </w:p>
        </w:tc>
        <w:tc>
          <w:tcPr>
            <w:tcW w:w="4112" w:type="dxa"/>
            <w:tcBorders>
              <w:top w:val="single" w:sz="4" w:space="0" w:color="auto"/>
              <w:left w:val="single" w:sz="4" w:space="0" w:color="auto"/>
              <w:bottom w:val="single" w:sz="4" w:space="0" w:color="auto"/>
              <w:right w:val="single" w:sz="4" w:space="0" w:color="auto"/>
            </w:tcBorders>
            <w:vAlign w:val="center"/>
            <w:hideMark/>
          </w:tcPr>
          <w:p w14:paraId="3D78627D" w14:textId="77777777" w:rsidR="00EA3205" w:rsidRPr="00B05F62" w:rsidRDefault="00EA3205" w:rsidP="00EA3205">
            <w:pPr>
              <w:rPr>
                <w:rFonts w:ascii="AcadNusx" w:hAnsi="AcadNusx"/>
              </w:rPr>
            </w:pPr>
            <w:r w:rsidRPr="00B05F62">
              <w:rPr>
                <w:rFonts w:ascii="AcadNusx" w:hAnsi="AcadNusx"/>
              </w:rPr>
              <w:t>100</w:t>
            </w:r>
          </w:p>
        </w:tc>
      </w:tr>
      <w:tr w:rsidR="00EA3205" w:rsidRPr="00B05F62" w14:paraId="5E3E3E8F" w14:textId="77777777" w:rsidTr="00EA3205">
        <w:trPr>
          <w:trHeight w:val="314"/>
        </w:trPr>
        <w:tc>
          <w:tcPr>
            <w:tcW w:w="4459" w:type="dxa"/>
            <w:tcBorders>
              <w:top w:val="single" w:sz="4" w:space="0" w:color="auto"/>
              <w:left w:val="single" w:sz="4" w:space="0" w:color="auto"/>
              <w:bottom w:val="single" w:sz="4" w:space="0" w:color="auto"/>
              <w:right w:val="single" w:sz="4" w:space="0" w:color="auto"/>
            </w:tcBorders>
            <w:vAlign w:val="center"/>
            <w:hideMark/>
          </w:tcPr>
          <w:p w14:paraId="68CE6D6F" w14:textId="77777777" w:rsidR="00EA3205" w:rsidRPr="00B05F62" w:rsidRDefault="00EA3205" w:rsidP="00EA3205">
            <w:pPr>
              <w:rPr>
                <w:rFonts w:ascii="AcadNusx" w:hAnsi="AcadNusx"/>
              </w:rPr>
            </w:pPr>
            <w:r w:rsidRPr="00B05F62">
              <w:rPr>
                <w:rFonts w:ascii="AcadNusx" w:hAnsi="AcadNusx"/>
              </w:rPr>
              <w:t>31.5</w:t>
            </w:r>
          </w:p>
        </w:tc>
        <w:tc>
          <w:tcPr>
            <w:tcW w:w="4112" w:type="dxa"/>
            <w:tcBorders>
              <w:top w:val="single" w:sz="4" w:space="0" w:color="auto"/>
              <w:left w:val="single" w:sz="4" w:space="0" w:color="auto"/>
              <w:bottom w:val="single" w:sz="4" w:space="0" w:color="auto"/>
              <w:right w:val="single" w:sz="4" w:space="0" w:color="auto"/>
            </w:tcBorders>
            <w:vAlign w:val="center"/>
            <w:hideMark/>
          </w:tcPr>
          <w:p w14:paraId="524939E1" w14:textId="77777777" w:rsidR="00EA3205" w:rsidRPr="00B05F62" w:rsidRDefault="00EA3205" w:rsidP="00EA3205">
            <w:pPr>
              <w:rPr>
                <w:rFonts w:ascii="AcadNusx" w:hAnsi="AcadNusx"/>
              </w:rPr>
            </w:pPr>
            <w:r w:rsidRPr="00B05F62">
              <w:rPr>
                <w:rFonts w:ascii="AcadNusx" w:hAnsi="AcadNusx"/>
              </w:rPr>
              <w:t>90 -100</w:t>
            </w:r>
          </w:p>
        </w:tc>
      </w:tr>
      <w:tr w:rsidR="00EA3205" w:rsidRPr="00B05F62" w14:paraId="0F9EB6CC" w14:textId="77777777" w:rsidTr="00EA3205">
        <w:trPr>
          <w:trHeight w:val="314"/>
        </w:trPr>
        <w:tc>
          <w:tcPr>
            <w:tcW w:w="4459" w:type="dxa"/>
            <w:tcBorders>
              <w:top w:val="single" w:sz="4" w:space="0" w:color="auto"/>
              <w:left w:val="single" w:sz="4" w:space="0" w:color="auto"/>
              <w:bottom w:val="single" w:sz="4" w:space="0" w:color="auto"/>
              <w:right w:val="single" w:sz="4" w:space="0" w:color="auto"/>
            </w:tcBorders>
            <w:vAlign w:val="center"/>
            <w:hideMark/>
          </w:tcPr>
          <w:p w14:paraId="14F2DB47" w14:textId="77777777" w:rsidR="00EA3205" w:rsidRPr="00B05F62" w:rsidRDefault="00EA3205" w:rsidP="00EA3205">
            <w:pPr>
              <w:rPr>
                <w:rFonts w:ascii="AcadNusx" w:hAnsi="AcadNusx"/>
              </w:rPr>
            </w:pPr>
            <w:r w:rsidRPr="00B05F62">
              <w:rPr>
                <w:rFonts w:ascii="AcadNusx" w:hAnsi="AcadNusx"/>
              </w:rPr>
              <w:t>16</w:t>
            </w:r>
          </w:p>
        </w:tc>
        <w:tc>
          <w:tcPr>
            <w:tcW w:w="4112" w:type="dxa"/>
            <w:tcBorders>
              <w:top w:val="single" w:sz="4" w:space="0" w:color="auto"/>
              <w:left w:val="single" w:sz="4" w:space="0" w:color="auto"/>
              <w:bottom w:val="single" w:sz="4" w:space="0" w:color="auto"/>
              <w:right w:val="single" w:sz="4" w:space="0" w:color="auto"/>
            </w:tcBorders>
            <w:vAlign w:val="center"/>
            <w:hideMark/>
          </w:tcPr>
          <w:p w14:paraId="43D2F8C7" w14:textId="77777777" w:rsidR="00EA3205" w:rsidRPr="00B05F62" w:rsidRDefault="00EA3205" w:rsidP="00EA3205">
            <w:pPr>
              <w:rPr>
                <w:rFonts w:ascii="AcadNusx" w:hAnsi="AcadNusx"/>
              </w:rPr>
            </w:pPr>
            <w:r w:rsidRPr="00B05F62">
              <w:rPr>
                <w:rFonts w:ascii="AcadNusx" w:hAnsi="AcadNusx"/>
              </w:rPr>
              <w:t>55 – 85</w:t>
            </w:r>
          </w:p>
        </w:tc>
      </w:tr>
      <w:tr w:rsidR="00EA3205" w:rsidRPr="00B05F62" w14:paraId="2277DC2D" w14:textId="77777777" w:rsidTr="00EA3205">
        <w:trPr>
          <w:trHeight w:val="314"/>
        </w:trPr>
        <w:tc>
          <w:tcPr>
            <w:tcW w:w="4459" w:type="dxa"/>
            <w:tcBorders>
              <w:top w:val="single" w:sz="4" w:space="0" w:color="auto"/>
              <w:left w:val="single" w:sz="4" w:space="0" w:color="auto"/>
              <w:bottom w:val="single" w:sz="4" w:space="0" w:color="auto"/>
              <w:right w:val="single" w:sz="4" w:space="0" w:color="auto"/>
            </w:tcBorders>
            <w:vAlign w:val="center"/>
            <w:hideMark/>
          </w:tcPr>
          <w:p w14:paraId="56D7750B" w14:textId="77777777" w:rsidR="00EA3205" w:rsidRPr="00B05F62" w:rsidRDefault="00EA3205" w:rsidP="00EA3205">
            <w:pPr>
              <w:rPr>
                <w:rFonts w:ascii="AcadNusx" w:hAnsi="AcadNusx"/>
              </w:rPr>
            </w:pPr>
            <w:r w:rsidRPr="00B05F62">
              <w:rPr>
                <w:rFonts w:ascii="AcadNusx" w:hAnsi="AcadNusx"/>
              </w:rPr>
              <w:t>8</w:t>
            </w:r>
          </w:p>
        </w:tc>
        <w:tc>
          <w:tcPr>
            <w:tcW w:w="4112" w:type="dxa"/>
            <w:tcBorders>
              <w:top w:val="single" w:sz="4" w:space="0" w:color="auto"/>
              <w:left w:val="single" w:sz="4" w:space="0" w:color="auto"/>
              <w:bottom w:val="single" w:sz="4" w:space="0" w:color="auto"/>
              <w:right w:val="single" w:sz="4" w:space="0" w:color="auto"/>
            </w:tcBorders>
            <w:vAlign w:val="center"/>
            <w:hideMark/>
          </w:tcPr>
          <w:p w14:paraId="22B20509" w14:textId="77777777" w:rsidR="00EA3205" w:rsidRPr="00B05F62" w:rsidRDefault="00EA3205" w:rsidP="00EA3205">
            <w:pPr>
              <w:rPr>
                <w:rFonts w:ascii="AcadNusx" w:hAnsi="AcadNusx"/>
              </w:rPr>
            </w:pPr>
            <w:r w:rsidRPr="00B05F62">
              <w:rPr>
                <w:rFonts w:ascii="AcadNusx" w:hAnsi="AcadNusx"/>
              </w:rPr>
              <w:t>35 - 68</w:t>
            </w:r>
          </w:p>
        </w:tc>
      </w:tr>
      <w:tr w:rsidR="00EA3205" w:rsidRPr="00B05F62" w14:paraId="1AEC3413" w14:textId="77777777" w:rsidTr="00EA3205">
        <w:trPr>
          <w:trHeight w:val="314"/>
        </w:trPr>
        <w:tc>
          <w:tcPr>
            <w:tcW w:w="4459" w:type="dxa"/>
            <w:tcBorders>
              <w:top w:val="single" w:sz="4" w:space="0" w:color="auto"/>
              <w:left w:val="single" w:sz="4" w:space="0" w:color="auto"/>
              <w:bottom w:val="single" w:sz="4" w:space="0" w:color="auto"/>
              <w:right w:val="single" w:sz="4" w:space="0" w:color="auto"/>
            </w:tcBorders>
            <w:vAlign w:val="center"/>
            <w:hideMark/>
          </w:tcPr>
          <w:p w14:paraId="6B465CC6" w14:textId="77777777" w:rsidR="00EA3205" w:rsidRPr="00B05F62" w:rsidRDefault="00EA3205" w:rsidP="00EA3205">
            <w:pPr>
              <w:rPr>
                <w:rFonts w:ascii="AcadNusx" w:hAnsi="AcadNusx"/>
              </w:rPr>
            </w:pPr>
            <w:r w:rsidRPr="00B05F62">
              <w:rPr>
                <w:rFonts w:ascii="AcadNusx" w:hAnsi="AcadNusx"/>
              </w:rPr>
              <w:t>4</w:t>
            </w:r>
          </w:p>
        </w:tc>
        <w:tc>
          <w:tcPr>
            <w:tcW w:w="4112" w:type="dxa"/>
            <w:tcBorders>
              <w:top w:val="single" w:sz="4" w:space="0" w:color="auto"/>
              <w:left w:val="single" w:sz="4" w:space="0" w:color="auto"/>
              <w:bottom w:val="single" w:sz="4" w:space="0" w:color="auto"/>
              <w:right w:val="single" w:sz="4" w:space="0" w:color="auto"/>
            </w:tcBorders>
            <w:vAlign w:val="center"/>
            <w:hideMark/>
          </w:tcPr>
          <w:p w14:paraId="0561FB23" w14:textId="77777777" w:rsidR="00EA3205" w:rsidRPr="00B05F62" w:rsidRDefault="00EA3205" w:rsidP="00EA3205">
            <w:pPr>
              <w:rPr>
                <w:rFonts w:ascii="AcadNusx" w:hAnsi="AcadNusx"/>
              </w:rPr>
            </w:pPr>
            <w:r w:rsidRPr="00B05F62">
              <w:rPr>
                <w:rFonts w:ascii="AcadNusx" w:hAnsi="AcadNusx"/>
              </w:rPr>
              <w:t>22 – 59</w:t>
            </w:r>
          </w:p>
        </w:tc>
      </w:tr>
      <w:tr w:rsidR="00EA3205" w:rsidRPr="00B05F62" w14:paraId="3D3A1CBB" w14:textId="77777777" w:rsidTr="00EA3205">
        <w:trPr>
          <w:trHeight w:val="314"/>
        </w:trPr>
        <w:tc>
          <w:tcPr>
            <w:tcW w:w="4459" w:type="dxa"/>
            <w:tcBorders>
              <w:top w:val="single" w:sz="4" w:space="0" w:color="auto"/>
              <w:left w:val="single" w:sz="4" w:space="0" w:color="auto"/>
              <w:bottom w:val="single" w:sz="4" w:space="0" w:color="auto"/>
              <w:right w:val="single" w:sz="4" w:space="0" w:color="auto"/>
            </w:tcBorders>
            <w:vAlign w:val="center"/>
            <w:hideMark/>
          </w:tcPr>
          <w:p w14:paraId="729685E1" w14:textId="77777777" w:rsidR="00EA3205" w:rsidRPr="00B05F62" w:rsidRDefault="00EA3205" w:rsidP="00EA3205">
            <w:pPr>
              <w:rPr>
                <w:rFonts w:ascii="AcadNusx" w:hAnsi="AcadNusx"/>
              </w:rPr>
            </w:pPr>
            <w:r w:rsidRPr="00B05F62">
              <w:rPr>
                <w:rFonts w:ascii="AcadNusx" w:hAnsi="AcadNusx"/>
              </w:rPr>
              <w:t>2</w:t>
            </w:r>
          </w:p>
        </w:tc>
        <w:tc>
          <w:tcPr>
            <w:tcW w:w="4112" w:type="dxa"/>
            <w:tcBorders>
              <w:top w:val="single" w:sz="4" w:space="0" w:color="auto"/>
              <w:left w:val="single" w:sz="4" w:space="0" w:color="auto"/>
              <w:bottom w:val="single" w:sz="4" w:space="0" w:color="auto"/>
              <w:right w:val="single" w:sz="4" w:space="0" w:color="auto"/>
            </w:tcBorders>
            <w:vAlign w:val="center"/>
            <w:hideMark/>
          </w:tcPr>
          <w:p w14:paraId="139B05CC" w14:textId="77777777" w:rsidR="00EA3205" w:rsidRPr="00B05F62" w:rsidRDefault="00EA3205" w:rsidP="00EA3205">
            <w:pPr>
              <w:rPr>
                <w:rFonts w:ascii="AcadNusx" w:hAnsi="AcadNusx"/>
              </w:rPr>
            </w:pPr>
            <w:r w:rsidRPr="00B05F62">
              <w:rPr>
                <w:rFonts w:ascii="AcadNusx" w:hAnsi="AcadNusx"/>
              </w:rPr>
              <w:t>16 – 47</w:t>
            </w:r>
          </w:p>
        </w:tc>
      </w:tr>
      <w:tr w:rsidR="00EA3205" w:rsidRPr="00B05F62" w14:paraId="1E088D3C" w14:textId="77777777" w:rsidTr="00EA3205">
        <w:trPr>
          <w:trHeight w:val="314"/>
        </w:trPr>
        <w:tc>
          <w:tcPr>
            <w:tcW w:w="4459" w:type="dxa"/>
            <w:tcBorders>
              <w:top w:val="single" w:sz="4" w:space="0" w:color="auto"/>
              <w:left w:val="single" w:sz="4" w:space="0" w:color="auto"/>
              <w:bottom w:val="single" w:sz="4" w:space="0" w:color="auto"/>
              <w:right w:val="single" w:sz="4" w:space="0" w:color="auto"/>
            </w:tcBorders>
            <w:vAlign w:val="center"/>
            <w:hideMark/>
          </w:tcPr>
          <w:p w14:paraId="796CFF8E" w14:textId="77777777" w:rsidR="00EA3205" w:rsidRPr="00B05F62" w:rsidRDefault="00EA3205" w:rsidP="00EA3205">
            <w:pPr>
              <w:rPr>
                <w:rFonts w:ascii="AcadNusx" w:hAnsi="AcadNusx"/>
              </w:rPr>
            </w:pPr>
            <w:r w:rsidRPr="00B05F62">
              <w:rPr>
                <w:rFonts w:ascii="AcadNusx" w:hAnsi="AcadNusx"/>
              </w:rPr>
              <w:t>1</w:t>
            </w:r>
          </w:p>
        </w:tc>
        <w:tc>
          <w:tcPr>
            <w:tcW w:w="4112" w:type="dxa"/>
            <w:tcBorders>
              <w:top w:val="single" w:sz="4" w:space="0" w:color="auto"/>
              <w:left w:val="single" w:sz="4" w:space="0" w:color="auto"/>
              <w:bottom w:val="single" w:sz="4" w:space="0" w:color="auto"/>
              <w:right w:val="single" w:sz="4" w:space="0" w:color="auto"/>
            </w:tcBorders>
            <w:vAlign w:val="center"/>
            <w:hideMark/>
          </w:tcPr>
          <w:p w14:paraId="6594F1AE" w14:textId="77777777" w:rsidR="00EA3205" w:rsidRPr="00B05F62" w:rsidRDefault="00EA3205" w:rsidP="00EA3205">
            <w:pPr>
              <w:rPr>
                <w:rFonts w:ascii="AcadNusx" w:hAnsi="AcadNusx"/>
              </w:rPr>
            </w:pPr>
            <w:r w:rsidRPr="00B05F62">
              <w:rPr>
                <w:rFonts w:ascii="AcadNusx" w:hAnsi="AcadNusx"/>
              </w:rPr>
              <w:t>9 – 40</w:t>
            </w:r>
          </w:p>
        </w:tc>
      </w:tr>
      <w:tr w:rsidR="00EA3205" w:rsidRPr="00B05F62" w14:paraId="0CB8F9C4" w14:textId="77777777" w:rsidTr="00EA3205">
        <w:trPr>
          <w:trHeight w:val="314"/>
        </w:trPr>
        <w:tc>
          <w:tcPr>
            <w:tcW w:w="4459" w:type="dxa"/>
            <w:tcBorders>
              <w:top w:val="single" w:sz="4" w:space="0" w:color="auto"/>
              <w:left w:val="single" w:sz="4" w:space="0" w:color="auto"/>
              <w:bottom w:val="single" w:sz="4" w:space="0" w:color="auto"/>
              <w:right w:val="single" w:sz="4" w:space="0" w:color="auto"/>
            </w:tcBorders>
            <w:vAlign w:val="center"/>
            <w:hideMark/>
          </w:tcPr>
          <w:p w14:paraId="491EF549" w14:textId="77777777" w:rsidR="00EA3205" w:rsidRPr="00B05F62" w:rsidRDefault="00EA3205" w:rsidP="00EA3205">
            <w:pPr>
              <w:rPr>
                <w:rFonts w:ascii="AcadNusx" w:hAnsi="AcadNusx"/>
              </w:rPr>
            </w:pPr>
            <w:r w:rsidRPr="00B05F62">
              <w:rPr>
                <w:rFonts w:ascii="AcadNusx" w:hAnsi="AcadNusx"/>
              </w:rPr>
              <w:t>0,5</w:t>
            </w:r>
          </w:p>
        </w:tc>
        <w:tc>
          <w:tcPr>
            <w:tcW w:w="4112" w:type="dxa"/>
            <w:tcBorders>
              <w:top w:val="single" w:sz="4" w:space="0" w:color="auto"/>
              <w:left w:val="single" w:sz="4" w:space="0" w:color="auto"/>
              <w:bottom w:val="single" w:sz="4" w:space="0" w:color="auto"/>
              <w:right w:val="single" w:sz="4" w:space="0" w:color="auto"/>
            </w:tcBorders>
            <w:vAlign w:val="center"/>
            <w:hideMark/>
          </w:tcPr>
          <w:p w14:paraId="43B4DE17" w14:textId="77777777" w:rsidR="00EA3205" w:rsidRPr="00B05F62" w:rsidRDefault="00EA3205" w:rsidP="00EA3205">
            <w:pPr>
              <w:rPr>
                <w:rFonts w:ascii="AcadNusx" w:hAnsi="AcadNusx"/>
              </w:rPr>
            </w:pPr>
            <w:r w:rsidRPr="00B05F62">
              <w:rPr>
                <w:rFonts w:ascii="AcadNusx" w:hAnsi="AcadNusx"/>
              </w:rPr>
              <w:t>5 - 35</w:t>
            </w:r>
          </w:p>
        </w:tc>
      </w:tr>
    </w:tbl>
    <w:p w14:paraId="2F528CC6" w14:textId="77777777" w:rsidR="00EA3205" w:rsidRPr="00B05F62" w:rsidRDefault="00EA3205" w:rsidP="00EA3205">
      <w:pPr>
        <w:rPr>
          <w:rFonts w:ascii="AcadNusx" w:hAnsi="AcadNusx"/>
        </w:rPr>
      </w:pPr>
    </w:p>
    <w:p w14:paraId="0CEF6718" w14:textId="77777777" w:rsidR="00EA3205" w:rsidRPr="00B05F62" w:rsidRDefault="00EA3205" w:rsidP="006B2E4A">
      <w:pPr>
        <w:spacing w:before="120" w:after="120"/>
        <w:rPr>
          <w:rFonts w:ascii="AcadNusx" w:hAnsi="AcadNusx"/>
        </w:rPr>
      </w:pPr>
      <w:r w:rsidRPr="00B05F62">
        <w:rPr>
          <w:rFonts w:ascii="AcadNusx" w:hAnsi="AcadNusx"/>
        </w:rPr>
        <w:t>cementis minimaluri Semcveloba unda aRematebodes mSrali gruntis masalis wonis 3%-s.</w:t>
      </w:r>
    </w:p>
    <w:p w14:paraId="19791FCA" w14:textId="77777777" w:rsidR="00EA3205" w:rsidRPr="00B05F62" w:rsidRDefault="00EA3205" w:rsidP="006B2E4A">
      <w:pPr>
        <w:spacing w:before="120" w:after="120"/>
        <w:rPr>
          <w:rFonts w:ascii="AcadNusx" w:hAnsi="AcadNusx"/>
        </w:rPr>
      </w:pPr>
      <w:r w:rsidRPr="00B05F62">
        <w:rPr>
          <w:rFonts w:ascii="AcadNusx" w:hAnsi="AcadNusx"/>
        </w:rPr>
        <w:t>gamagrebuli (stabilizirebuli) masalis datkepnis xarisxi unda Seadgendes mSrali masalis modificirebuli maqsimaluri simkvrivis sul cota 98%-s.</w:t>
      </w:r>
    </w:p>
    <w:p w14:paraId="69D51EBA" w14:textId="77777777" w:rsidR="00EA3205" w:rsidRPr="00B05F62" w:rsidRDefault="00EA3205" w:rsidP="006B2E4A">
      <w:pPr>
        <w:spacing w:before="120" w:after="120"/>
        <w:rPr>
          <w:rFonts w:ascii="AcadNusx" w:hAnsi="AcadNusx"/>
          <w:lang w:val="en-US"/>
        </w:rPr>
      </w:pPr>
      <w:r w:rsidRPr="00B05F62">
        <w:rPr>
          <w:rFonts w:ascii="AcadNusx" w:hAnsi="AcadNusx"/>
        </w:rPr>
        <w:t>gamagrebuli safuZvelis masalis simtkice, romelic ganisazRvreba 7-dRiani sanimuSo kubebis (zomebi: 150×150×150) gamocdis saSualebiT unda imyofebodes 3.0-5.0 mgpa SualedSi. Tu sanimuSo kubebis damzadebisTvis saTanado yalibebi xelmisawvdomi ar aris, dasaSvebia cilindruli nimuSebis gamoyeneba. aseT SemTxvevaSi, eqvivalenturi kubis simtkicis gamosaTvlelad, miRebuli Sedegebi unda gamravldes saTanado makoreqtirebel koeficientebze.</w:t>
      </w:r>
    </w:p>
    <w:p w14:paraId="58BDEF73" w14:textId="77777777" w:rsidR="00EA3205" w:rsidRPr="00B05F62" w:rsidRDefault="00EA3205" w:rsidP="00EA3205">
      <w:pPr>
        <w:rPr>
          <w:rFonts w:ascii="AcadNusx" w:hAnsi="AcadNusx"/>
          <w:lang w:val="en-US"/>
        </w:rPr>
      </w:pPr>
      <w:r w:rsidRPr="00B05F62">
        <w:rPr>
          <w:rFonts w:ascii="AcadNusx" w:hAnsi="AcadNusx"/>
        </w:rPr>
        <w:t>asfaltis safaris qveda fena</w:t>
      </w:r>
    </w:p>
    <w:p w14:paraId="255634F7" w14:textId="77777777" w:rsidR="00EA3205" w:rsidRPr="00B05F62" w:rsidRDefault="00EA3205" w:rsidP="008C44CF">
      <w:pPr>
        <w:spacing w:before="120" w:after="120"/>
        <w:rPr>
          <w:rFonts w:ascii="AcadNusx" w:hAnsi="AcadNusx"/>
        </w:rPr>
      </w:pPr>
      <w:r w:rsidRPr="00B05F62">
        <w:rPr>
          <w:rFonts w:ascii="AcadNusx" w:hAnsi="AcadNusx"/>
        </w:rPr>
        <w:t>asfaltis safaris qveda (bitumiT Sekruli) fenis saxiT rekomendirebulia araumetes 22 mm fraqciis inertuli masalis Semcveli asfaltbetonis dageba, romelsac intensiuri satransporto datvirTvebis Sesabamisi mzidunarianobis uzrunvelsayofad, unda gaaCndes Semdegi maxasiaTeblebi:</w:t>
      </w:r>
    </w:p>
    <w:p w14:paraId="23D61313" w14:textId="0CE7AC0F" w:rsidR="00EA3205" w:rsidRPr="00B05F62" w:rsidRDefault="00EA3205" w:rsidP="008C44CF">
      <w:pPr>
        <w:spacing w:before="120" w:after="120"/>
        <w:rPr>
          <w:rFonts w:ascii="AcadNusx" w:hAnsi="AcadNusx"/>
        </w:rPr>
      </w:pPr>
      <w:r w:rsidRPr="00B05F62">
        <w:rPr>
          <w:rFonts w:ascii="AcadNusx" w:hAnsi="AcadNusx"/>
        </w:rPr>
        <w:t xml:space="preserve">cxrili </w:t>
      </w:r>
      <w:r w:rsidR="008C44CF" w:rsidRPr="00B05F62">
        <w:rPr>
          <w:rFonts w:ascii="AcadNusx" w:hAnsi="AcadNusx"/>
        </w:rPr>
        <w:t>4.</w:t>
      </w:r>
      <w:r w:rsidR="008C44CF">
        <w:rPr>
          <w:rFonts w:ascii="Sylfaen" w:hAnsi="Sylfaen"/>
          <w:lang w:val="ka-GE"/>
        </w:rPr>
        <w:t>10.3.</w:t>
      </w:r>
      <w:r w:rsidR="008C44CF" w:rsidRPr="00B05F62">
        <w:rPr>
          <w:rFonts w:ascii="AcadNusx" w:hAnsi="AcadNusx"/>
        </w:rPr>
        <w:t>5.</w:t>
      </w:r>
      <w:r w:rsidR="008C44CF">
        <w:rPr>
          <w:rFonts w:ascii="Sylfaen" w:hAnsi="Sylfaen"/>
          <w:lang w:val="ka-GE"/>
        </w:rPr>
        <w:t>-7</w:t>
      </w:r>
      <w:r w:rsidRPr="00B05F62">
        <w:rPr>
          <w:rFonts w:ascii="AcadNusx" w:hAnsi="AcadNusx"/>
        </w:rPr>
        <w:tab/>
        <w:t>asfaltis safaris qveda fenis rekomendirebuli Semvsebi (inertuli) masalis granulometriuli Semadgenloba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472"/>
      </w:tblGrid>
      <w:tr w:rsidR="00EA3205" w:rsidRPr="00B05F62" w14:paraId="1A18354D" w14:textId="77777777" w:rsidTr="00B77B2E">
        <w:trPr>
          <w:trHeight w:val="493"/>
          <w:tblHeader/>
        </w:trPr>
        <w:tc>
          <w:tcPr>
            <w:tcW w:w="474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6A69159" w14:textId="77777777" w:rsidR="00EA3205" w:rsidRPr="00B05F62" w:rsidRDefault="00EA3205" w:rsidP="00EA3205">
            <w:pPr>
              <w:rPr>
                <w:rFonts w:ascii="AcadNusx" w:hAnsi="AcadNusx"/>
                <w:lang w:val="en-US"/>
              </w:rPr>
            </w:pPr>
            <w:r w:rsidRPr="00B05F62">
              <w:rPr>
                <w:rFonts w:ascii="AcadNusx" w:hAnsi="AcadNusx"/>
              </w:rPr>
              <w:lastRenderedPageBreak/>
              <w:t>saceris ujredis zoma [mm]</w:t>
            </w:r>
          </w:p>
        </w:tc>
        <w:tc>
          <w:tcPr>
            <w:tcW w:w="447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F22EE2F" w14:textId="77777777" w:rsidR="00EA3205" w:rsidRPr="00B05F62" w:rsidRDefault="00EA3205" w:rsidP="00EA3205">
            <w:pPr>
              <w:rPr>
                <w:rFonts w:ascii="AcadNusx" w:hAnsi="AcadNusx"/>
              </w:rPr>
            </w:pPr>
            <w:r w:rsidRPr="00B05F62">
              <w:rPr>
                <w:rFonts w:ascii="AcadNusx" w:hAnsi="AcadNusx"/>
              </w:rPr>
              <w:t>gasuli fraqciis masuri wili [%]</w:t>
            </w:r>
          </w:p>
        </w:tc>
      </w:tr>
      <w:tr w:rsidR="00EA3205" w:rsidRPr="00B05F62" w14:paraId="4EE68C62" w14:textId="77777777" w:rsidTr="00B77B2E">
        <w:trPr>
          <w:trHeight w:val="289"/>
        </w:trPr>
        <w:tc>
          <w:tcPr>
            <w:tcW w:w="4747" w:type="dxa"/>
            <w:tcBorders>
              <w:top w:val="single" w:sz="4" w:space="0" w:color="auto"/>
              <w:left w:val="single" w:sz="4" w:space="0" w:color="auto"/>
              <w:bottom w:val="single" w:sz="4" w:space="0" w:color="auto"/>
              <w:right w:val="single" w:sz="4" w:space="0" w:color="auto"/>
            </w:tcBorders>
            <w:vAlign w:val="center"/>
            <w:hideMark/>
          </w:tcPr>
          <w:p w14:paraId="2DC1959A" w14:textId="77777777" w:rsidR="00EA3205" w:rsidRPr="00B05F62" w:rsidRDefault="00EA3205" w:rsidP="00EA3205">
            <w:pPr>
              <w:rPr>
                <w:rFonts w:ascii="AcadNusx" w:hAnsi="AcadNusx"/>
              </w:rPr>
            </w:pPr>
            <w:r w:rsidRPr="00B05F62">
              <w:rPr>
                <w:rFonts w:ascii="AcadNusx" w:hAnsi="AcadNusx"/>
              </w:rPr>
              <w:t>31.5</w:t>
            </w:r>
          </w:p>
        </w:tc>
        <w:tc>
          <w:tcPr>
            <w:tcW w:w="4470" w:type="dxa"/>
            <w:tcBorders>
              <w:top w:val="single" w:sz="4" w:space="0" w:color="auto"/>
              <w:left w:val="single" w:sz="4" w:space="0" w:color="auto"/>
              <w:bottom w:val="single" w:sz="4" w:space="0" w:color="auto"/>
              <w:right w:val="single" w:sz="4" w:space="0" w:color="auto"/>
            </w:tcBorders>
            <w:vAlign w:val="center"/>
            <w:hideMark/>
          </w:tcPr>
          <w:p w14:paraId="76950B7C" w14:textId="77777777" w:rsidR="00EA3205" w:rsidRPr="00B05F62" w:rsidRDefault="00EA3205" w:rsidP="00EA3205">
            <w:pPr>
              <w:rPr>
                <w:rFonts w:ascii="AcadNusx" w:hAnsi="AcadNusx"/>
              </w:rPr>
            </w:pPr>
            <w:r w:rsidRPr="00B05F62">
              <w:rPr>
                <w:rFonts w:ascii="AcadNusx" w:hAnsi="AcadNusx"/>
              </w:rPr>
              <w:t>100</w:t>
            </w:r>
          </w:p>
        </w:tc>
      </w:tr>
      <w:tr w:rsidR="00EA3205" w:rsidRPr="00B05F62" w14:paraId="37800F7E" w14:textId="77777777" w:rsidTr="00B77B2E">
        <w:trPr>
          <w:trHeight w:val="289"/>
        </w:trPr>
        <w:tc>
          <w:tcPr>
            <w:tcW w:w="4747" w:type="dxa"/>
            <w:tcBorders>
              <w:top w:val="single" w:sz="4" w:space="0" w:color="auto"/>
              <w:left w:val="single" w:sz="4" w:space="0" w:color="auto"/>
              <w:bottom w:val="single" w:sz="4" w:space="0" w:color="auto"/>
              <w:right w:val="single" w:sz="4" w:space="0" w:color="auto"/>
            </w:tcBorders>
            <w:vAlign w:val="center"/>
            <w:hideMark/>
          </w:tcPr>
          <w:p w14:paraId="7DA45AA6" w14:textId="77777777" w:rsidR="00EA3205" w:rsidRPr="00B05F62" w:rsidRDefault="00EA3205" w:rsidP="00EA3205">
            <w:pPr>
              <w:rPr>
                <w:rFonts w:ascii="AcadNusx" w:hAnsi="AcadNusx"/>
              </w:rPr>
            </w:pPr>
            <w:r w:rsidRPr="00B05F62">
              <w:rPr>
                <w:rFonts w:ascii="AcadNusx" w:hAnsi="AcadNusx"/>
              </w:rPr>
              <w:t>22.4</w:t>
            </w:r>
          </w:p>
        </w:tc>
        <w:tc>
          <w:tcPr>
            <w:tcW w:w="4470" w:type="dxa"/>
            <w:tcBorders>
              <w:top w:val="single" w:sz="4" w:space="0" w:color="auto"/>
              <w:left w:val="single" w:sz="4" w:space="0" w:color="auto"/>
              <w:bottom w:val="single" w:sz="4" w:space="0" w:color="auto"/>
              <w:right w:val="single" w:sz="4" w:space="0" w:color="auto"/>
            </w:tcBorders>
            <w:vAlign w:val="center"/>
            <w:hideMark/>
          </w:tcPr>
          <w:p w14:paraId="25368459" w14:textId="77777777" w:rsidR="00EA3205" w:rsidRPr="00B05F62" w:rsidRDefault="00EA3205" w:rsidP="00EA3205">
            <w:pPr>
              <w:rPr>
                <w:rFonts w:ascii="AcadNusx" w:hAnsi="AcadNusx"/>
              </w:rPr>
            </w:pPr>
            <w:r w:rsidRPr="00B05F62">
              <w:rPr>
                <w:rFonts w:ascii="AcadNusx" w:hAnsi="AcadNusx"/>
              </w:rPr>
              <w:t>90 - 100</w:t>
            </w:r>
          </w:p>
        </w:tc>
      </w:tr>
      <w:tr w:rsidR="00EA3205" w:rsidRPr="00B05F62" w14:paraId="59EDD87F" w14:textId="77777777" w:rsidTr="00B77B2E">
        <w:trPr>
          <w:trHeight w:val="289"/>
        </w:trPr>
        <w:tc>
          <w:tcPr>
            <w:tcW w:w="4747" w:type="dxa"/>
            <w:tcBorders>
              <w:top w:val="single" w:sz="4" w:space="0" w:color="auto"/>
              <w:left w:val="single" w:sz="4" w:space="0" w:color="auto"/>
              <w:bottom w:val="single" w:sz="4" w:space="0" w:color="auto"/>
              <w:right w:val="single" w:sz="4" w:space="0" w:color="auto"/>
            </w:tcBorders>
            <w:vAlign w:val="center"/>
            <w:hideMark/>
          </w:tcPr>
          <w:p w14:paraId="46DF215A" w14:textId="77777777" w:rsidR="00EA3205" w:rsidRPr="00B05F62" w:rsidRDefault="00EA3205" w:rsidP="00EA3205">
            <w:pPr>
              <w:rPr>
                <w:rFonts w:ascii="AcadNusx" w:hAnsi="AcadNusx"/>
              </w:rPr>
            </w:pPr>
            <w:r w:rsidRPr="00B05F62">
              <w:rPr>
                <w:rFonts w:ascii="AcadNusx" w:hAnsi="AcadNusx"/>
              </w:rPr>
              <w:t>16</w:t>
            </w:r>
          </w:p>
        </w:tc>
        <w:tc>
          <w:tcPr>
            <w:tcW w:w="4470" w:type="dxa"/>
            <w:tcBorders>
              <w:top w:val="single" w:sz="4" w:space="0" w:color="auto"/>
              <w:left w:val="single" w:sz="4" w:space="0" w:color="auto"/>
              <w:bottom w:val="single" w:sz="4" w:space="0" w:color="auto"/>
              <w:right w:val="single" w:sz="4" w:space="0" w:color="auto"/>
            </w:tcBorders>
            <w:vAlign w:val="center"/>
            <w:hideMark/>
          </w:tcPr>
          <w:p w14:paraId="790F4598" w14:textId="77777777" w:rsidR="00EA3205" w:rsidRPr="00B05F62" w:rsidRDefault="00EA3205" w:rsidP="00EA3205">
            <w:pPr>
              <w:rPr>
                <w:rFonts w:ascii="AcadNusx" w:hAnsi="AcadNusx"/>
              </w:rPr>
            </w:pPr>
            <w:r w:rsidRPr="00B05F62">
              <w:rPr>
                <w:rFonts w:ascii="AcadNusx" w:hAnsi="AcadNusx"/>
              </w:rPr>
              <w:t>75 - 90</w:t>
            </w:r>
          </w:p>
        </w:tc>
      </w:tr>
      <w:tr w:rsidR="00EA3205" w:rsidRPr="00B05F62" w14:paraId="5D3725E9" w14:textId="77777777" w:rsidTr="00B77B2E">
        <w:trPr>
          <w:trHeight w:val="289"/>
        </w:trPr>
        <w:tc>
          <w:tcPr>
            <w:tcW w:w="4747" w:type="dxa"/>
            <w:tcBorders>
              <w:top w:val="single" w:sz="4" w:space="0" w:color="auto"/>
              <w:left w:val="single" w:sz="4" w:space="0" w:color="auto"/>
              <w:bottom w:val="single" w:sz="4" w:space="0" w:color="auto"/>
              <w:right w:val="single" w:sz="4" w:space="0" w:color="auto"/>
            </w:tcBorders>
            <w:vAlign w:val="center"/>
            <w:hideMark/>
          </w:tcPr>
          <w:p w14:paraId="149758C8" w14:textId="77777777" w:rsidR="00EA3205" w:rsidRPr="00B05F62" w:rsidRDefault="00EA3205" w:rsidP="00EA3205">
            <w:pPr>
              <w:rPr>
                <w:rFonts w:ascii="AcadNusx" w:hAnsi="AcadNusx"/>
              </w:rPr>
            </w:pPr>
            <w:r w:rsidRPr="00B05F62">
              <w:rPr>
                <w:rFonts w:ascii="AcadNusx" w:hAnsi="AcadNusx"/>
              </w:rPr>
              <w:t>2</w:t>
            </w:r>
          </w:p>
        </w:tc>
        <w:tc>
          <w:tcPr>
            <w:tcW w:w="4470" w:type="dxa"/>
            <w:tcBorders>
              <w:top w:val="single" w:sz="4" w:space="0" w:color="auto"/>
              <w:left w:val="single" w:sz="4" w:space="0" w:color="auto"/>
              <w:bottom w:val="single" w:sz="4" w:space="0" w:color="auto"/>
              <w:right w:val="single" w:sz="4" w:space="0" w:color="auto"/>
            </w:tcBorders>
            <w:vAlign w:val="center"/>
            <w:hideMark/>
          </w:tcPr>
          <w:p w14:paraId="0D359F91" w14:textId="77777777" w:rsidR="00EA3205" w:rsidRPr="00B05F62" w:rsidRDefault="00EA3205" w:rsidP="00EA3205">
            <w:pPr>
              <w:rPr>
                <w:rFonts w:ascii="AcadNusx" w:hAnsi="AcadNusx"/>
              </w:rPr>
            </w:pPr>
            <w:r w:rsidRPr="00B05F62">
              <w:rPr>
                <w:rFonts w:ascii="AcadNusx" w:hAnsi="AcadNusx"/>
              </w:rPr>
              <w:t>25  -40</w:t>
            </w:r>
          </w:p>
        </w:tc>
      </w:tr>
      <w:tr w:rsidR="00EA3205" w:rsidRPr="00B05F62" w14:paraId="2F15AAF3" w14:textId="77777777" w:rsidTr="00B77B2E">
        <w:trPr>
          <w:trHeight w:val="289"/>
        </w:trPr>
        <w:tc>
          <w:tcPr>
            <w:tcW w:w="4747" w:type="dxa"/>
            <w:tcBorders>
              <w:top w:val="single" w:sz="4" w:space="0" w:color="auto"/>
              <w:left w:val="single" w:sz="4" w:space="0" w:color="auto"/>
              <w:bottom w:val="single" w:sz="4" w:space="0" w:color="auto"/>
              <w:right w:val="single" w:sz="4" w:space="0" w:color="auto"/>
            </w:tcBorders>
            <w:vAlign w:val="center"/>
            <w:hideMark/>
          </w:tcPr>
          <w:p w14:paraId="27B64A3E" w14:textId="77777777" w:rsidR="00EA3205" w:rsidRPr="00B05F62" w:rsidRDefault="00EA3205" w:rsidP="00EA3205">
            <w:pPr>
              <w:rPr>
                <w:rFonts w:ascii="AcadNusx" w:hAnsi="AcadNusx"/>
              </w:rPr>
            </w:pPr>
            <w:r w:rsidRPr="00B05F62">
              <w:rPr>
                <w:rFonts w:ascii="AcadNusx" w:hAnsi="AcadNusx"/>
              </w:rPr>
              <w:t>0.125</w:t>
            </w:r>
          </w:p>
        </w:tc>
        <w:tc>
          <w:tcPr>
            <w:tcW w:w="4470" w:type="dxa"/>
            <w:tcBorders>
              <w:top w:val="single" w:sz="4" w:space="0" w:color="auto"/>
              <w:left w:val="single" w:sz="4" w:space="0" w:color="auto"/>
              <w:bottom w:val="single" w:sz="4" w:space="0" w:color="auto"/>
              <w:right w:val="single" w:sz="4" w:space="0" w:color="auto"/>
            </w:tcBorders>
            <w:vAlign w:val="center"/>
            <w:hideMark/>
          </w:tcPr>
          <w:p w14:paraId="174AE3E6" w14:textId="77777777" w:rsidR="00EA3205" w:rsidRPr="00B05F62" w:rsidRDefault="00EA3205" w:rsidP="00EA3205">
            <w:pPr>
              <w:rPr>
                <w:rFonts w:ascii="AcadNusx" w:hAnsi="AcadNusx"/>
              </w:rPr>
            </w:pPr>
            <w:r w:rsidRPr="00B05F62">
              <w:rPr>
                <w:rFonts w:ascii="AcadNusx" w:hAnsi="AcadNusx"/>
              </w:rPr>
              <w:t>4 - 14</w:t>
            </w:r>
          </w:p>
        </w:tc>
      </w:tr>
      <w:tr w:rsidR="00EA3205" w:rsidRPr="00B05F62" w14:paraId="1D40EDE3" w14:textId="77777777" w:rsidTr="00B77B2E">
        <w:trPr>
          <w:trHeight w:val="289"/>
        </w:trPr>
        <w:tc>
          <w:tcPr>
            <w:tcW w:w="4747" w:type="dxa"/>
            <w:tcBorders>
              <w:top w:val="single" w:sz="4" w:space="0" w:color="auto"/>
              <w:left w:val="single" w:sz="4" w:space="0" w:color="auto"/>
              <w:bottom w:val="single" w:sz="4" w:space="0" w:color="auto"/>
              <w:right w:val="single" w:sz="4" w:space="0" w:color="auto"/>
            </w:tcBorders>
            <w:vAlign w:val="center"/>
            <w:hideMark/>
          </w:tcPr>
          <w:p w14:paraId="6D4BEF30" w14:textId="77777777" w:rsidR="00EA3205" w:rsidRPr="00B05F62" w:rsidRDefault="00EA3205" w:rsidP="00EA3205">
            <w:pPr>
              <w:rPr>
                <w:rFonts w:ascii="AcadNusx" w:hAnsi="AcadNusx"/>
              </w:rPr>
            </w:pPr>
            <w:r w:rsidRPr="00B05F62">
              <w:rPr>
                <w:rFonts w:ascii="AcadNusx" w:hAnsi="AcadNusx"/>
              </w:rPr>
              <w:t>0.063</w:t>
            </w:r>
          </w:p>
        </w:tc>
        <w:tc>
          <w:tcPr>
            <w:tcW w:w="4470" w:type="dxa"/>
            <w:tcBorders>
              <w:top w:val="single" w:sz="4" w:space="0" w:color="auto"/>
              <w:left w:val="single" w:sz="4" w:space="0" w:color="auto"/>
              <w:bottom w:val="single" w:sz="4" w:space="0" w:color="auto"/>
              <w:right w:val="single" w:sz="4" w:space="0" w:color="auto"/>
            </w:tcBorders>
            <w:vAlign w:val="center"/>
            <w:hideMark/>
          </w:tcPr>
          <w:p w14:paraId="1523E626" w14:textId="77777777" w:rsidR="00EA3205" w:rsidRPr="00B05F62" w:rsidRDefault="00EA3205" w:rsidP="00EA3205">
            <w:pPr>
              <w:rPr>
                <w:rFonts w:ascii="AcadNusx" w:hAnsi="AcadNusx"/>
              </w:rPr>
            </w:pPr>
            <w:r w:rsidRPr="00B05F62">
              <w:rPr>
                <w:rFonts w:ascii="AcadNusx" w:hAnsi="AcadNusx"/>
              </w:rPr>
              <w:t>2 - 9</w:t>
            </w:r>
          </w:p>
        </w:tc>
      </w:tr>
      <w:tr w:rsidR="00EA3205" w:rsidRPr="00B05F62" w14:paraId="2859F047" w14:textId="77777777" w:rsidTr="00B77B2E">
        <w:trPr>
          <w:trHeight w:val="455"/>
        </w:trPr>
        <w:tc>
          <w:tcPr>
            <w:tcW w:w="9219"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EF2EC23" w14:textId="77777777" w:rsidR="00EA3205" w:rsidRPr="00B05F62" w:rsidRDefault="00EA3205" w:rsidP="00EA3205">
            <w:pPr>
              <w:rPr>
                <w:rFonts w:ascii="AcadNusx" w:hAnsi="AcadNusx"/>
              </w:rPr>
            </w:pPr>
            <w:r w:rsidRPr="00B05F62">
              <w:rPr>
                <w:rFonts w:ascii="AcadNusx" w:hAnsi="AcadNusx"/>
              </w:rPr>
              <w:t>narevis maxasiaTeblebi</w:t>
            </w:r>
          </w:p>
        </w:tc>
      </w:tr>
      <w:tr w:rsidR="00EA3205" w:rsidRPr="00B05F62" w14:paraId="6B533D65" w14:textId="77777777" w:rsidTr="00B77B2E">
        <w:trPr>
          <w:trHeight w:val="350"/>
        </w:trPr>
        <w:tc>
          <w:tcPr>
            <w:tcW w:w="4747" w:type="dxa"/>
            <w:tcBorders>
              <w:top w:val="single" w:sz="4" w:space="0" w:color="auto"/>
              <w:left w:val="single" w:sz="4" w:space="0" w:color="auto"/>
              <w:bottom w:val="single" w:sz="4" w:space="0" w:color="auto"/>
              <w:right w:val="single" w:sz="4" w:space="0" w:color="auto"/>
            </w:tcBorders>
            <w:vAlign w:val="center"/>
            <w:hideMark/>
          </w:tcPr>
          <w:p w14:paraId="1D63AD69" w14:textId="77777777" w:rsidR="00EA3205" w:rsidRPr="00B05F62" w:rsidRDefault="00EA3205" w:rsidP="00EA3205">
            <w:pPr>
              <w:rPr>
                <w:rFonts w:ascii="AcadNusx" w:hAnsi="AcadNusx"/>
              </w:rPr>
            </w:pPr>
            <w:r w:rsidRPr="00B05F62">
              <w:rPr>
                <w:rFonts w:ascii="AcadNusx" w:hAnsi="AcadNusx"/>
              </w:rPr>
              <w:t>bitumi, 50/70 markis</w:t>
            </w:r>
          </w:p>
        </w:tc>
        <w:tc>
          <w:tcPr>
            <w:tcW w:w="4470" w:type="dxa"/>
            <w:tcBorders>
              <w:top w:val="single" w:sz="4" w:space="0" w:color="auto"/>
              <w:left w:val="single" w:sz="4" w:space="0" w:color="auto"/>
              <w:bottom w:val="single" w:sz="4" w:space="0" w:color="auto"/>
              <w:right w:val="single" w:sz="4" w:space="0" w:color="auto"/>
            </w:tcBorders>
            <w:vAlign w:val="center"/>
            <w:hideMark/>
          </w:tcPr>
          <w:p w14:paraId="140051EA" w14:textId="77777777" w:rsidR="00EA3205" w:rsidRPr="00B05F62" w:rsidRDefault="00EA3205" w:rsidP="00EA3205">
            <w:pPr>
              <w:rPr>
                <w:rFonts w:ascii="AcadNusx" w:hAnsi="AcadNusx"/>
              </w:rPr>
            </w:pPr>
            <w:r w:rsidRPr="00B05F62">
              <w:rPr>
                <w:rFonts w:ascii="AcadNusx" w:eastAsia="MS Gothic" w:hAnsi="AcadNusx"/>
              </w:rPr>
              <w:t>≥</w:t>
            </w:r>
            <w:r w:rsidRPr="00B05F62">
              <w:rPr>
                <w:rFonts w:ascii="AcadNusx" w:hAnsi="AcadNusx"/>
              </w:rPr>
              <w:t xml:space="preserve"> 3.8 %</w:t>
            </w:r>
          </w:p>
        </w:tc>
      </w:tr>
      <w:tr w:rsidR="00EA3205" w:rsidRPr="00B05F62" w14:paraId="1312C336" w14:textId="77777777" w:rsidTr="00B77B2E">
        <w:trPr>
          <w:trHeight w:val="350"/>
        </w:trPr>
        <w:tc>
          <w:tcPr>
            <w:tcW w:w="4747" w:type="dxa"/>
            <w:tcBorders>
              <w:top w:val="single" w:sz="4" w:space="0" w:color="auto"/>
              <w:left w:val="single" w:sz="4" w:space="0" w:color="auto"/>
              <w:bottom w:val="single" w:sz="4" w:space="0" w:color="auto"/>
              <w:right w:val="single" w:sz="4" w:space="0" w:color="auto"/>
            </w:tcBorders>
            <w:vAlign w:val="center"/>
            <w:hideMark/>
          </w:tcPr>
          <w:p w14:paraId="73673F27" w14:textId="77777777" w:rsidR="00EA3205" w:rsidRPr="00B05F62" w:rsidRDefault="00EA3205" w:rsidP="00EA3205">
            <w:pPr>
              <w:rPr>
                <w:rFonts w:ascii="AcadNusx" w:hAnsi="AcadNusx"/>
              </w:rPr>
            </w:pPr>
            <w:r w:rsidRPr="00B05F62">
              <w:rPr>
                <w:rFonts w:ascii="AcadNusx" w:hAnsi="AcadNusx"/>
              </w:rPr>
              <w:t>narevSi sicarieleebis procentuli wili</w:t>
            </w:r>
          </w:p>
        </w:tc>
        <w:tc>
          <w:tcPr>
            <w:tcW w:w="4470" w:type="dxa"/>
            <w:tcBorders>
              <w:top w:val="single" w:sz="4" w:space="0" w:color="auto"/>
              <w:left w:val="single" w:sz="4" w:space="0" w:color="auto"/>
              <w:bottom w:val="single" w:sz="4" w:space="0" w:color="auto"/>
              <w:right w:val="single" w:sz="4" w:space="0" w:color="auto"/>
            </w:tcBorders>
            <w:vAlign w:val="center"/>
            <w:hideMark/>
          </w:tcPr>
          <w:p w14:paraId="5AEEB7EC" w14:textId="77777777" w:rsidR="00EA3205" w:rsidRPr="00B05F62" w:rsidRDefault="00EA3205" w:rsidP="00EA3205">
            <w:pPr>
              <w:rPr>
                <w:rFonts w:ascii="AcadNusx" w:hAnsi="AcadNusx"/>
              </w:rPr>
            </w:pPr>
            <w:r w:rsidRPr="00B05F62">
              <w:rPr>
                <w:rFonts w:ascii="AcadNusx" w:hAnsi="AcadNusx"/>
              </w:rPr>
              <w:t>moculobis 5.0 - 7.0 %</w:t>
            </w:r>
          </w:p>
        </w:tc>
      </w:tr>
      <w:tr w:rsidR="00EA3205" w:rsidRPr="00B05F62" w14:paraId="59161D05" w14:textId="77777777" w:rsidTr="00B77B2E">
        <w:trPr>
          <w:trHeight w:val="402"/>
        </w:trPr>
        <w:tc>
          <w:tcPr>
            <w:tcW w:w="9219"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1D7A65D" w14:textId="77777777" w:rsidR="00EA3205" w:rsidRPr="00B05F62" w:rsidRDefault="00EA3205" w:rsidP="00EA3205">
            <w:pPr>
              <w:rPr>
                <w:rFonts w:ascii="AcadNusx" w:hAnsi="AcadNusx"/>
              </w:rPr>
            </w:pPr>
            <w:r w:rsidRPr="00B05F62">
              <w:rPr>
                <w:rFonts w:ascii="AcadNusx" w:hAnsi="AcadNusx"/>
              </w:rPr>
              <w:t>inertuli Semvsebis maxasiaTeblebi</w:t>
            </w:r>
          </w:p>
        </w:tc>
      </w:tr>
      <w:tr w:rsidR="00EA3205" w:rsidRPr="00B05F62" w14:paraId="3C674053" w14:textId="77777777" w:rsidTr="00B77B2E">
        <w:trPr>
          <w:trHeight w:val="408"/>
        </w:trPr>
        <w:tc>
          <w:tcPr>
            <w:tcW w:w="4747" w:type="dxa"/>
            <w:tcBorders>
              <w:top w:val="single" w:sz="4" w:space="0" w:color="auto"/>
              <w:left w:val="single" w:sz="4" w:space="0" w:color="auto"/>
              <w:bottom w:val="single" w:sz="4" w:space="0" w:color="auto"/>
              <w:right w:val="single" w:sz="4" w:space="0" w:color="auto"/>
            </w:tcBorders>
            <w:vAlign w:val="center"/>
            <w:hideMark/>
          </w:tcPr>
          <w:p w14:paraId="40641D7C" w14:textId="77777777" w:rsidR="00EA3205" w:rsidRPr="00B05F62" w:rsidRDefault="00EA3205" w:rsidP="00EA3205">
            <w:pPr>
              <w:rPr>
                <w:rFonts w:ascii="AcadNusx" w:hAnsi="AcadNusx"/>
              </w:rPr>
            </w:pPr>
            <w:r w:rsidRPr="00B05F62">
              <w:rPr>
                <w:rFonts w:ascii="AcadNusx" w:hAnsi="AcadNusx"/>
              </w:rPr>
              <w:t>namsxvrevi qviSis wili</w:t>
            </w:r>
          </w:p>
        </w:tc>
        <w:tc>
          <w:tcPr>
            <w:tcW w:w="4470" w:type="dxa"/>
            <w:tcBorders>
              <w:top w:val="single" w:sz="4" w:space="0" w:color="auto"/>
              <w:left w:val="single" w:sz="4" w:space="0" w:color="auto"/>
              <w:bottom w:val="single" w:sz="4" w:space="0" w:color="auto"/>
              <w:right w:val="single" w:sz="4" w:space="0" w:color="auto"/>
            </w:tcBorders>
            <w:vAlign w:val="center"/>
            <w:hideMark/>
          </w:tcPr>
          <w:p w14:paraId="5BCC01A0" w14:textId="77777777" w:rsidR="00EA3205" w:rsidRPr="00B05F62" w:rsidRDefault="00EA3205" w:rsidP="00EA3205">
            <w:pPr>
              <w:rPr>
                <w:rFonts w:ascii="AcadNusx" w:hAnsi="AcadNusx"/>
              </w:rPr>
            </w:pPr>
            <w:r w:rsidRPr="00B05F62">
              <w:rPr>
                <w:rFonts w:ascii="AcadNusx" w:hAnsi="AcadNusx"/>
              </w:rPr>
              <w:t>&gt;50 %</w:t>
            </w:r>
          </w:p>
        </w:tc>
      </w:tr>
      <w:tr w:rsidR="00EA3205" w:rsidRPr="00B05F62" w14:paraId="362361FE" w14:textId="77777777" w:rsidTr="00B77B2E">
        <w:trPr>
          <w:trHeight w:val="440"/>
        </w:trPr>
        <w:tc>
          <w:tcPr>
            <w:tcW w:w="4747" w:type="dxa"/>
            <w:tcBorders>
              <w:top w:val="single" w:sz="4" w:space="0" w:color="auto"/>
              <w:left w:val="single" w:sz="4" w:space="0" w:color="auto"/>
              <w:bottom w:val="single" w:sz="4" w:space="0" w:color="auto"/>
              <w:right w:val="single" w:sz="4" w:space="0" w:color="auto"/>
            </w:tcBorders>
            <w:vAlign w:val="center"/>
            <w:hideMark/>
          </w:tcPr>
          <w:p w14:paraId="601B8AE4" w14:textId="77777777" w:rsidR="00EA3205" w:rsidRPr="00B05F62" w:rsidRDefault="00EA3205" w:rsidP="00EA3205">
            <w:pPr>
              <w:rPr>
                <w:rFonts w:ascii="AcadNusx" w:hAnsi="AcadNusx"/>
              </w:rPr>
            </w:pPr>
            <w:r w:rsidRPr="00B05F62">
              <w:rPr>
                <w:rFonts w:ascii="AcadNusx" w:hAnsi="AcadNusx"/>
              </w:rPr>
              <w:t>nasxvrevi zedapirebis wili (&gt; 4 mm)</w:t>
            </w:r>
          </w:p>
        </w:tc>
        <w:tc>
          <w:tcPr>
            <w:tcW w:w="4470" w:type="dxa"/>
            <w:tcBorders>
              <w:top w:val="single" w:sz="4" w:space="0" w:color="auto"/>
              <w:left w:val="single" w:sz="4" w:space="0" w:color="auto"/>
              <w:bottom w:val="single" w:sz="4" w:space="0" w:color="auto"/>
              <w:right w:val="single" w:sz="4" w:space="0" w:color="auto"/>
            </w:tcBorders>
            <w:vAlign w:val="center"/>
            <w:hideMark/>
          </w:tcPr>
          <w:p w14:paraId="1BAC2565" w14:textId="77777777" w:rsidR="00EA3205" w:rsidRPr="00B05F62" w:rsidRDefault="00EA3205" w:rsidP="00EA3205">
            <w:pPr>
              <w:rPr>
                <w:rFonts w:ascii="AcadNusx" w:hAnsi="AcadNusx"/>
              </w:rPr>
            </w:pPr>
            <w:r w:rsidRPr="00B05F62">
              <w:rPr>
                <w:rFonts w:ascii="AcadNusx" w:eastAsia="MS Gothic" w:hAnsi="AcadNusx"/>
              </w:rPr>
              <w:t>≥</w:t>
            </w:r>
            <w:r w:rsidRPr="00B05F62">
              <w:rPr>
                <w:rFonts w:ascii="AcadNusx" w:hAnsi="AcadNusx"/>
              </w:rPr>
              <w:t xml:space="preserve"> 50 %</w:t>
            </w:r>
          </w:p>
        </w:tc>
      </w:tr>
      <w:tr w:rsidR="00EA3205" w:rsidRPr="00B05F62" w14:paraId="3DA06008" w14:textId="77777777" w:rsidTr="00B77B2E">
        <w:tc>
          <w:tcPr>
            <w:tcW w:w="4747" w:type="dxa"/>
            <w:tcBorders>
              <w:top w:val="single" w:sz="4" w:space="0" w:color="auto"/>
              <w:left w:val="single" w:sz="4" w:space="0" w:color="auto"/>
              <w:bottom w:val="single" w:sz="4" w:space="0" w:color="auto"/>
              <w:right w:val="single" w:sz="4" w:space="0" w:color="auto"/>
            </w:tcBorders>
            <w:vAlign w:val="center"/>
            <w:hideMark/>
          </w:tcPr>
          <w:p w14:paraId="06732000" w14:textId="296ECFB6" w:rsidR="00EA3205" w:rsidRPr="00B05F62" w:rsidRDefault="00B77B2E" w:rsidP="00EA3205">
            <w:pPr>
              <w:rPr>
                <w:rFonts w:ascii="AcadNusx" w:hAnsi="AcadNusx"/>
              </w:rPr>
            </w:pPr>
            <w:r>
              <w:rPr>
                <w:rFonts w:ascii="AcadNusx" w:hAnsi="AcadNusx"/>
              </w:rPr>
              <w:t xml:space="preserve">SemvsebSi </w:t>
            </w:r>
            <w:r w:rsidR="00EA3205" w:rsidRPr="00B05F62">
              <w:rPr>
                <w:rFonts w:ascii="AcadNusx" w:hAnsi="AcadNusx"/>
              </w:rPr>
              <w:t>momrgvalebuli nawilakebis wili (&gt; 4 mm)</w:t>
            </w:r>
          </w:p>
        </w:tc>
        <w:tc>
          <w:tcPr>
            <w:tcW w:w="4470" w:type="dxa"/>
            <w:tcBorders>
              <w:top w:val="single" w:sz="4" w:space="0" w:color="auto"/>
              <w:left w:val="single" w:sz="4" w:space="0" w:color="auto"/>
              <w:bottom w:val="single" w:sz="4" w:space="0" w:color="auto"/>
              <w:right w:val="single" w:sz="4" w:space="0" w:color="auto"/>
            </w:tcBorders>
            <w:vAlign w:val="center"/>
            <w:hideMark/>
          </w:tcPr>
          <w:p w14:paraId="099F417F" w14:textId="77777777" w:rsidR="00EA3205" w:rsidRPr="00B05F62" w:rsidRDefault="00EA3205" w:rsidP="00EA3205">
            <w:pPr>
              <w:rPr>
                <w:rFonts w:ascii="AcadNusx" w:hAnsi="AcadNusx"/>
              </w:rPr>
            </w:pPr>
            <w:r w:rsidRPr="00B05F62">
              <w:rPr>
                <w:rFonts w:ascii="AcadNusx" w:eastAsia="MS Gothic" w:hAnsi="AcadNusx"/>
              </w:rPr>
              <w:t>≤ 3 %</w:t>
            </w:r>
          </w:p>
        </w:tc>
      </w:tr>
      <w:tr w:rsidR="00EA3205" w:rsidRPr="00B05F62" w14:paraId="7B73A2BD" w14:textId="77777777" w:rsidTr="00B77B2E">
        <w:trPr>
          <w:trHeight w:val="456"/>
        </w:trPr>
        <w:tc>
          <w:tcPr>
            <w:tcW w:w="4747" w:type="dxa"/>
            <w:tcBorders>
              <w:top w:val="single" w:sz="4" w:space="0" w:color="auto"/>
              <w:left w:val="single" w:sz="4" w:space="0" w:color="auto"/>
              <w:bottom w:val="single" w:sz="4" w:space="0" w:color="auto"/>
              <w:right w:val="single" w:sz="4" w:space="0" w:color="auto"/>
            </w:tcBorders>
            <w:vAlign w:val="center"/>
            <w:hideMark/>
          </w:tcPr>
          <w:p w14:paraId="4C90E3E7" w14:textId="77777777" w:rsidR="00EA3205" w:rsidRPr="00B05F62" w:rsidRDefault="00EA3205" w:rsidP="00EA3205">
            <w:pPr>
              <w:rPr>
                <w:rFonts w:ascii="AcadNusx" w:eastAsia="MS Gothic" w:hAnsi="AcadNusx"/>
                <w:lang w:val="en-US"/>
              </w:rPr>
            </w:pPr>
            <w:r w:rsidRPr="00B05F62">
              <w:rPr>
                <w:rFonts w:ascii="AcadNusx" w:hAnsi="AcadNusx"/>
              </w:rPr>
              <w:t>abraziuli cveTadoba (los anjelesuri doliT gazomili)</w:t>
            </w:r>
          </w:p>
        </w:tc>
        <w:tc>
          <w:tcPr>
            <w:tcW w:w="4470" w:type="dxa"/>
            <w:tcBorders>
              <w:top w:val="single" w:sz="4" w:space="0" w:color="auto"/>
              <w:left w:val="single" w:sz="4" w:space="0" w:color="auto"/>
              <w:bottom w:val="single" w:sz="4" w:space="0" w:color="auto"/>
              <w:right w:val="single" w:sz="4" w:space="0" w:color="auto"/>
            </w:tcBorders>
            <w:vAlign w:val="center"/>
            <w:hideMark/>
          </w:tcPr>
          <w:p w14:paraId="6D83FC51" w14:textId="77777777" w:rsidR="00EA3205" w:rsidRPr="00B05F62" w:rsidRDefault="00EA3205" w:rsidP="00EA3205">
            <w:pPr>
              <w:rPr>
                <w:rFonts w:ascii="AcadNusx" w:hAnsi="AcadNusx"/>
              </w:rPr>
            </w:pPr>
            <w:r w:rsidRPr="00B05F62">
              <w:rPr>
                <w:rFonts w:ascii="AcadNusx" w:eastAsia="MS Gothic" w:hAnsi="AcadNusx"/>
              </w:rPr>
              <w:t>≤ 25 %</w:t>
            </w:r>
          </w:p>
        </w:tc>
      </w:tr>
    </w:tbl>
    <w:p w14:paraId="43260A09" w14:textId="77777777" w:rsidR="00EA3205" w:rsidRPr="00B05F62" w:rsidRDefault="00EA3205" w:rsidP="008C44CF">
      <w:pPr>
        <w:spacing w:before="120" w:after="120"/>
        <w:rPr>
          <w:rFonts w:ascii="AcadNusx" w:hAnsi="AcadNusx"/>
        </w:rPr>
      </w:pPr>
      <w:r w:rsidRPr="00B05F62">
        <w:rPr>
          <w:rFonts w:ascii="AcadNusx" w:hAnsi="AcadNusx"/>
        </w:rPr>
        <w:t>asfaltis gaSlili da datkepnili fenisTvis, satendero dokumentaciaSi rekomendirebulia qvemoT mocemuli pirobebis Setana.</w:t>
      </w:r>
    </w:p>
    <w:p w14:paraId="23AF1888" w14:textId="4660AF02" w:rsidR="00EA3205" w:rsidRPr="00B05F62" w:rsidRDefault="00EA3205" w:rsidP="008C44CF">
      <w:pPr>
        <w:spacing w:before="120" w:after="120"/>
        <w:rPr>
          <w:rFonts w:ascii="AcadNusx" w:hAnsi="AcadNusx"/>
        </w:rPr>
      </w:pPr>
      <w:r w:rsidRPr="00B05F62">
        <w:rPr>
          <w:rFonts w:ascii="AcadNusx" w:hAnsi="AcadNusx"/>
        </w:rPr>
        <w:t xml:space="preserve">cxrili </w:t>
      </w:r>
      <w:r w:rsidR="008C44CF" w:rsidRPr="00B05F62">
        <w:rPr>
          <w:rFonts w:ascii="AcadNusx" w:hAnsi="AcadNusx"/>
        </w:rPr>
        <w:t>4.</w:t>
      </w:r>
      <w:r w:rsidR="00EA6DAA">
        <w:rPr>
          <w:rFonts w:ascii="Sylfaen" w:hAnsi="Sylfaen"/>
          <w:lang w:val="ka-GE"/>
        </w:rPr>
        <w:t>9</w:t>
      </w:r>
      <w:r w:rsidR="008C44CF">
        <w:rPr>
          <w:rFonts w:ascii="Sylfaen" w:hAnsi="Sylfaen"/>
          <w:lang w:val="ka-GE"/>
        </w:rPr>
        <w:t>.3.</w:t>
      </w:r>
      <w:r w:rsidR="008C44CF" w:rsidRPr="00B05F62">
        <w:rPr>
          <w:rFonts w:ascii="AcadNusx" w:hAnsi="AcadNusx"/>
        </w:rPr>
        <w:t>5.</w:t>
      </w:r>
      <w:r w:rsidR="008C44CF">
        <w:rPr>
          <w:rFonts w:ascii="Sylfaen" w:hAnsi="Sylfaen"/>
          <w:lang w:val="ka-GE"/>
        </w:rPr>
        <w:t>-8</w:t>
      </w:r>
      <w:r w:rsidRPr="00B05F62">
        <w:rPr>
          <w:rFonts w:ascii="AcadNusx" w:hAnsi="AcadNusx"/>
        </w:rPr>
        <w:tab/>
        <w:t>rekomendirebuli asfaltis safaris qveda fenis maxasiaTeblebi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3827"/>
      </w:tblGrid>
      <w:tr w:rsidR="00EA3205" w:rsidRPr="00B05F62" w14:paraId="5C659B88" w14:textId="77777777" w:rsidTr="00EA3205">
        <w:trPr>
          <w:trHeight w:val="441"/>
        </w:trPr>
        <w:tc>
          <w:tcPr>
            <w:tcW w:w="4962"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F4CDF3E" w14:textId="77777777" w:rsidR="00EA3205" w:rsidRPr="00B05F62" w:rsidRDefault="00EA3205" w:rsidP="00EA3205">
            <w:pPr>
              <w:rPr>
                <w:rFonts w:ascii="AcadNusx" w:hAnsi="AcadNusx"/>
                <w:lang w:val="en-US"/>
              </w:rPr>
            </w:pPr>
            <w:r w:rsidRPr="00B05F62">
              <w:rPr>
                <w:rFonts w:ascii="AcadNusx" w:hAnsi="AcadNusx"/>
              </w:rPr>
              <w:t>asfaltis fenis parametri</w:t>
            </w:r>
          </w:p>
        </w:tc>
        <w:tc>
          <w:tcPr>
            <w:tcW w:w="382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31D0C17" w14:textId="77777777" w:rsidR="00EA3205" w:rsidRPr="00B05F62" w:rsidRDefault="00EA3205" w:rsidP="00EA3205">
            <w:pPr>
              <w:rPr>
                <w:rFonts w:ascii="AcadNusx" w:hAnsi="AcadNusx"/>
              </w:rPr>
            </w:pPr>
            <w:r w:rsidRPr="00B05F62">
              <w:rPr>
                <w:rFonts w:ascii="AcadNusx" w:hAnsi="AcadNusx"/>
              </w:rPr>
              <w:t>rekomendirebuli diapazoni</w:t>
            </w:r>
          </w:p>
        </w:tc>
      </w:tr>
      <w:tr w:rsidR="00EA3205" w:rsidRPr="00B05F62" w14:paraId="5B65A24F" w14:textId="77777777" w:rsidTr="00EA3205">
        <w:trPr>
          <w:trHeight w:val="335"/>
        </w:trPr>
        <w:tc>
          <w:tcPr>
            <w:tcW w:w="4962" w:type="dxa"/>
            <w:tcBorders>
              <w:top w:val="single" w:sz="4" w:space="0" w:color="auto"/>
              <w:left w:val="single" w:sz="4" w:space="0" w:color="auto"/>
              <w:bottom w:val="single" w:sz="4" w:space="0" w:color="auto"/>
              <w:right w:val="single" w:sz="4" w:space="0" w:color="auto"/>
            </w:tcBorders>
            <w:vAlign w:val="center"/>
            <w:hideMark/>
          </w:tcPr>
          <w:p w14:paraId="410C8DB1" w14:textId="77777777" w:rsidR="00EA3205" w:rsidRPr="00B05F62" w:rsidRDefault="00EA3205" w:rsidP="00EA3205">
            <w:pPr>
              <w:rPr>
                <w:rFonts w:ascii="AcadNusx" w:hAnsi="AcadNusx"/>
              </w:rPr>
            </w:pPr>
            <w:r w:rsidRPr="00B05F62">
              <w:rPr>
                <w:rFonts w:ascii="AcadNusx" w:hAnsi="AcadNusx"/>
              </w:rPr>
              <w:t>datkepnis xarisxi</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9A49E9D" w14:textId="77777777" w:rsidR="00EA3205" w:rsidRPr="00B05F62" w:rsidRDefault="00EA3205" w:rsidP="00EA3205">
            <w:pPr>
              <w:rPr>
                <w:rFonts w:ascii="AcadNusx" w:hAnsi="AcadNusx"/>
              </w:rPr>
            </w:pPr>
            <w:r w:rsidRPr="00B05F62">
              <w:rPr>
                <w:rFonts w:ascii="AcadNusx" w:eastAsia="MS Gothic" w:hAnsi="AcadNusx"/>
              </w:rPr>
              <w:t>≥</w:t>
            </w:r>
            <w:r w:rsidRPr="00B05F62">
              <w:rPr>
                <w:rFonts w:ascii="AcadNusx" w:hAnsi="AcadNusx"/>
              </w:rPr>
              <w:t> 97 %</w:t>
            </w:r>
          </w:p>
        </w:tc>
      </w:tr>
      <w:tr w:rsidR="00EA3205" w:rsidRPr="00B05F62" w14:paraId="43B03B06" w14:textId="77777777" w:rsidTr="00EA3205">
        <w:trPr>
          <w:trHeight w:val="335"/>
        </w:trPr>
        <w:tc>
          <w:tcPr>
            <w:tcW w:w="4962" w:type="dxa"/>
            <w:tcBorders>
              <w:top w:val="single" w:sz="4" w:space="0" w:color="auto"/>
              <w:left w:val="single" w:sz="4" w:space="0" w:color="auto"/>
              <w:bottom w:val="single" w:sz="4" w:space="0" w:color="auto"/>
              <w:right w:val="single" w:sz="4" w:space="0" w:color="auto"/>
            </w:tcBorders>
            <w:vAlign w:val="center"/>
            <w:hideMark/>
          </w:tcPr>
          <w:p w14:paraId="65109028" w14:textId="77777777" w:rsidR="00EA3205" w:rsidRPr="00B05F62" w:rsidRDefault="00EA3205" w:rsidP="00EA3205">
            <w:pPr>
              <w:rPr>
                <w:rFonts w:ascii="AcadNusx" w:hAnsi="AcadNusx"/>
              </w:rPr>
            </w:pPr>
            <w:r w:rsidRPr="00B05F62">
              <w:rPr>
                <w:rFonts w:ascii="AcadNusx" w:hAnsi="AcadNusx"/>
              </w:rPr>
              <w:t>sicarieleebis procentuli wili (fenaSi)</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777381B" w14:textId="77777777" w:rsidR="00EA3205" w:rsidRPr="00B05F62" w:rsidRDefault="00EA3205" w:rsidP="00EA3205">
            <w:pPr>
              <w:rPr>
                <w:rFonts w:ascii="AcadNusx" w:hAnsi="AcadNusx"/>
              </w:rPr>
            </w:pPr>
            <w:r w:rsidRPr="00B05F62">
              <w:rPr>
                <w:rFonts w:ascii="AcadNusx" w:eastAsia="MS Gothic" w:hAnsi="AcadNusx"/>
              </w:rPr>
              <w:t>≤</w:t>
            </w:r>
            <w:r w:rsidRPr="00B05F62">
              <w:rPr>
                <w:rFonts w:ascii="AcadNusx" w:hAnsi="AcadNusx"/>
              </w:rPr>
              <w:t> 7.0 %</w:t>
            </w:r>
          </w:p>
        </w:tc>
      </w:tr>
      <w:tr w:rsidR="00EA3205" w:rsidRPr="00B05F62" w14:paraId="7D2B28BE" w14:textId="77777777" w:rsidTr="00EA3205">
        <w:trPr>
          <w:trHeight w:val="335"/>
        </w:trPr>
        <w:tc>
          <w:tcPr>
            <w:tcW w:w="4962" w:type="dxa"/>
            <w:tcBorders>
              <w:top w:val="single" w:sz="4" w:space="0" w:color="auto"/>
              <w:left w:val="single" w:sz="4" w:space="0" w:color="auto"/>
              <w:bottom w:val="single" w:sz="4" w:space="0" w:color="auto"/>
              <w:right w:val="single" w:sz="4" w:space="0" w:color="auto"/>
            </w:tcBorders>
            <w:vAlign w:val="center"/>
            <w:hideMark/>
          </w:tcPr>
          <w:p w14:paraId="5AD53F80" w14:textId="77777777" w:rsidR="00EA3205" w:rsidRPr="00B05F62" w:rsidRDefault="00EA3205" w:rsidP="00EA3205">
            <w:pPr>
              <w:rPr>
                <w:rFonts w:ascii="AcadNusx" w:eastAsia="MS Gothic" w:hAnsi="AcadNusx"/>
                <w:lang w:val="en-US"/>
              </w:rPr>
            </w:pPr>
            <w:r w:rsidRPr="00B05F62">
              <w:rPr>
                <w:rFonts w:ascii="AcadNusx" w:hAnsi="AcadNusx"/>
              </w:rPr>
              <w:t>uswormasworoba (4-metriani sakontrolo lartyiT gazomili)</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1F20809" w14:textId="77777777" w:rsidR="00EA3205" w:rsidRPr="00B05F62" w:rsidRDefault="00EA3205" w:rsidP="00EA3205">
            <w:pPr>
              <w:rPr>
                <w:rFonts w:ascii="AcadNusx" w:hAnsi="AcadNusx"/>
              </w:rPr>
            </w:pPr>
            <w:r w:rsidRPr="00B05F62">
              <w:rPr>
                <w:rFonts w:ascii="AcadNusx" w:eastAsia="MS Gothic" w:hAnsi="AcadNusx"/>
              </w:rPr>
              <w:t>≤</w:t>
            </w:r>
            <w:r w:rsidRPr="00B05F62">
              <w:rPr>
                <w:rFonts w:ascii="AcadNusx" w:hAnsi="AcadNusx"/>
              </w:rPr>
              <w:t> 6 mm</w:t>
            </w:r>
          </w:p>
        </w:tc>
      </w:tr>
    </w:tbl>
    <w:p w14:paraId="1BA3C9F6" w14:textId="77777777" w:rsidR="00EA3205" w:rsidRPr="00B05F62" w:rsidRDefault="00EA3205" w:rsidP="008C44CF">
      <w:pPr>
        <w:spacing w:before="120" w:after="120"/>
        <w:rPr>
          <w:rFonts w:ascii="AcadNusx" w:hAnsi="AcadNusx"/>
        </w:rPr>
      </w:pPr>
      <w:r w:rsidRPr="00B05F62">
        <w:rPr>
          <w:rFonts w:ascii="AcadNusx" w:hAnsi="AcadNusx"/>
        </w:rPr>
        <w:t>asfaltis safaris zeda fena</w:t>
      </w:r>
    </w:p>
    <w:p w14:paraId="7049B195" w14:textId="77777777" w:rsidR="00EA3205" w:rsidRPr="00B05F62" w:rsidRDefault="00EA3205" w:rsidP="008C44CF">
      <w:pPr>
        <w:spacing w:before="120" w:after="120"/>
        <w:rPr>
          <w:rFonts w:ascii="AcadNusx" w:hAnsi="AcadNusx"/>
        </w:rPr>
      </w:pPr>
      <w:r w:rsidRPr="00B05F62">
        <w:rPr>
          <w:rFonts w:ascii="AcadNusx" w:hAnsi="AcadNusx"/>
        </w:rPr>
        <w:t>asfaltis safaris zeda (sacveTi) fenis saxiT rekomendirebulia maqsimum 11 sm fraqciis inertuli SemvsebiT damzadebuli asfaltbetonis dageba, romelsac intensiuri sagzao moZraobiT gamowveuli Zvris Zalvebis sapasuxod unda gaaCndes Semdegi maxasiaTeblebi:</w:t>
      </w:r>
    </w:p>
    <w:p w14:paraId="54AE1A1C" w14:textId="4348B492" w:rsidR="00EA3205" w:rsidRPr="00B05F62" w:rsidRDefault="00EA3205" w:rsidP="008C44CF">
      <w:pPr>
        <w:spacing w:before="120" w:after="120"/>
        <w:rPr>
          <w:rFonts w:ascii="AcadNusx" w:hAnsi="AcadNusx"/>
        </w:rPr>
      </w:pPr>
      <w:r w:rsidRPr="00B05F62">
        <w:rPr>
          <w:rFonts w:ascii="AcadNusx" w:hAnsi="AcadNusx"/>
        </w:rPr>
        <w:t>cxrili 4</w:t>
      </w:r>
      <w:r w:rsidR="008C44CF" w:rsidRPr="00B05F62">
        <w:rPr>
          <w:rFonts w:ascii="AcadNusx" w:hAnsi="AcadNusx"/>
        </w:rPr>
        <w:t>.</w:t>
      </w:r>
      <w:r w:rsidR="00EA6DAA">
        <w:rPr>
          <w:rFonts w:ascii="Sylfaen" w:hAnsi="Sylfaen"/>
          <w:lang w:val="ka-GE"/>
        </w:rPr>
        <w:t>9</w:t>
      </w:r>
      <w:r w:rsidR="008C44CF">
        <w:rPr>
          <w:rFonts w:ascii="Sylfaen" w:hAnsi="Sylfaen"/>
          <w:lang w:val="ka-GE"/>
        </w:rPr>
        <w:t>.3.</w:t>
      </w:r>
      <w:r w:rsidR="008C44CF" w:rsidRPr="00B05F62">
        <w:rPr>
          <w:rFonts w:ascii="AcadNusx" w:hAnsi="AcadNusx"/>
        </w:rPr>
        <w:t>5.</w:t>
      </w:r>
      <w:r w:rsidR="008C44CF">
        <w:rPr>
          <w:rFonts w:ascii="Sylfaen" w:hAnsi="Sylfaen"/>
          <w:lang w:val="ka-GE"/>
        </w:rPr>
        <w:t>-9</w:t>
      </w:r>
      <w:r w:rsidRPr="00B05F62">
        <w:rPr>
          <w:rFonts w:ascii="AcadNusx" w:hAnsi="AcadNusx"/>
        </w:rPr>
        <w:tab/>
        <w:t>asfaltis safaris zeda fenis rekomendirebuli Semvsebi (inertuli) masalis granulometriuli Semadgenloba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77"/>
        <w:gridCol w:w="4253"/>
      </w:tblGrid>
      <w:tr w:rsidR="00EA3205" w:rsidRPr="00B05F62" w14:paraId="295D4EF8" w14:textId="77777777" w:rsidTr="00B77B2E">
        <w:trPr>
          <w:trHeight w:val="462"/>
          <w:tblHeader/>
        </w:trPr>
        <w:tc>
          <w:tcPr>
            <w:tcW w:w="4824"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62C85BB" w14:textId="77777777" w:rsidR="00EA3205" w:rsidRPr="00B05F62" w:rsidRDefault="00EA3205" w:rsidP="00EA3205">
            <w:pPr>
              <w:rPr>
                <w:rFonts w:ascii="AcadNusx" w:hAnsi="AcadNusx"/>
                <w:lang w:val="en-US"/>
              </w:rPr>
            </w:pPr>
            <w:r w:rsidRPr="00B05F62">
              <w:rPr>
                <w:rFonts w:ascii="AcadNusx" w:hAnsi="AcadNusx"/>
              </w:rPr>
              <w:t>saceris ujredis zoma [mm]</w:t>
            </w:r>
          </w:p>
        </w:tc>
        <w:tc>
          <w:tcPr>
            <w:tcW w:w="425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5131D70" w14:textId="77777777" w:rsidR="00EA3205" w:rsidRPr="00B05F62" w:rsidRDefault="00EA3205" w:rsidP="00EA3205">
            <w:pPr>
              <w:rPr>
                <w:rFonts w:ascii="AcadNusx" w:hAnsi="AcadNusx"/>
              </w:rPr>
            </w:pPr>
            <w:r w:rsidRPr="00B05F62">
              <w:rPr>
                <w:rFonts w:ascii="AcadNusx" w:hAnsi="AcadNusx"/>
              </w:rPr>
              <w:t>gasuli fraqciis masuri wili [%]</w:t>
            </w:r>
          </w:p>
        </w:tc>
      </w:tr>
      <w:tr w:rsidR="00EA3205" w:rsidRPr="00B05F62" w14:paraId="3B45BD4C" w14:textId="77777777" w:rsidTr="00B77B2E">
        <w:trPr>
          <w:trHeight w:val="272"/>
        </w:trPr>
        <w:tc>
          <w:tcPr>
            <w:tcW w:w="4824" w:type="dxa"/>
            <w:gridSpan w:val="2"/>
            <w:tcBorders>
              <w:top w:val="single" w:sz="4" w:space="0" w:color="auto"/>
              <w:left w:val="single" w:sz="4" w:space="0" w:color="auto"/>
              <w:bottom w:val="single" w:sz="4" w:space="0" w:color="auto"/>
              <w:right w:val="single" w:sz="4" w:space="0" w:color="auto"/>
            </w:tcBorders>
            <w:vAlign w:val="center"/>
            <w:hideMark/>
          </w:tcPr>
          <w:p w14:paraId="7BAB4E8A" w14:textId="77777777" w:rsidR="00EA3205" w:rsidRPr="00B05F62" w:rsidRDefault="00EA3205" w:rsidP="00EA3205">
            <w:pPr>
              <w:rPr>
                <w:rFonts w:ascii="AcadNusx" w:hAnsi="AcadNusx"/>
              </w:rPr>
            </w:pPr>
            <w:r w:rsidRPr="00B05F62">
              <w:rPr>
                <w:rFonts w:ascii="AcadNusx" w:hAnsi="AcadNusx"/>
              </w:rPr>
              <w:t>16</w:t>
            </w:r>
          </w:p>
        </w:tc>
        <w:tc>
          <w:tcPr>
            <w:tcW w:w="4253" w:type="dxa"/>
            <w:tcBorders>
              <w:top w:val="single" w:sz="4" w:space="0" w:color="auto"/>
              <w:left w:val="single" w:sz="4" w:space="0" w:color="auto"/>
              <w:bottom w:val="single" w:sz="4" w:space="0" w:color="auto"/>
              <w:right w:val="single" w:sz="4" w:space="0" w:color="auto"/>
            </w:tcBorders>
            <w:vAlign w:val="center"/>
            <w:hideMark/>
          </w:tcPr>
          <w:p w14:paraId="75F10B27" w14:textId="77777777" w:rsidR="00EA3205" w:rsidRPr="00B05F62" w:rsidRDefault="00EA3205" w:rsidP="00EA3205">
            <w:pPr>
              <w:rPr>
                <w:rFonts w:ascii="AcadNusx" w:hAnsi="AcadNusx"/>
              </w:rPr>
            </w:pPr>
            <w:r w:rsidRPr="00B05F62">
              <w:rPr>
                <w:rFonts w:ascii="AcadNusx" w:hAnsi="AcadNusx"/>
              </w:rPr>
              <w:t>100</w:t>
            </w:r>
          </w:p>
        </w:tc>
      </w:tr>
      <w:tr w:rsidR="00EA3205" w:rsidRPr="00B05F62" w14:paraId="78A30BEE" w14:textId="77777777" w:rsidTr="00B77B2E">
        <w:trPr>
          <w:trHeight w:val="272"/>
        </w:trPr>
        <w:tc>
          <w:tcPr>
            <w:tcW w:w="4824" w:type="dxa"/>
            <w:gridSpan w:val="2"/>
            <w:tcBorders>
              <w:top w:val="single" w:sz="4" w:space="0" w:color="auto"/>
              <w:left w:val="single" w:sz="4" w:space="0" w:color="auto"/>
              <w:bottom w:val="single" w:sz="4" w:space="0" w:color="auto"/>
              <w:right w:val="single" w:sz="4" w:space="0" w:color="auto"/>
            </w:tcBorders>
            <w:vAlign w:val="center"/>
            <w:hideMark/>
          </w:tcPr>
          <w:p w14:paraId="7D7BD643" w14:textId="77777777" w:rsidR="00EA3205" w:rsidRPr="00B05F62" w:rsidRDefault="00EA3205" w:rsidP="00EA3205">
            <w:pPr>
              <w:rPr>
                <w:rFonts w:ascii="AcadNusx" w:hAnsi="AcadNusx"/>
              </w:rPr>
            </w:pPr>
            <w:r w:rsidRPr="00B05F62">
              <w:rPr>
                <w:rFonts w:ascii="AcadNusx" w:hAnsi="AcadNusx"/>
              </w:rPr>
              <w:t>11.2</w:t>
            </w:r>
          </w:p>
        </w:tc>
        <w:tc>
          <w:tcPr>
            <w:tcW w:w="4253" w:type="dxa"/>
            <w:tcBorders>
              <w:top w:val="single" w:sz="4" w:space="0" w:color="auto"/>
              <w:left w:val="single" w:sz="4" w:space="0" w:color="auto"/>
              <w:bottom w:val="single" w:sz="4" w:space="0" w:color="auto"/>
              <w:right w:val="single" w:sz="4" w:space="0" w:color="auto"/>
            </w:tcBorders>
            <w:vAlign w:val="center"/>
            <w:hideMark/>
          </w:tcPr>
          <w:p w14:paraId="12D7B763" w14:textId="77777777" w:rsidR="00EA3205" w:rsidRPr="00B05F62" w:rsidRDefault="00EA3205" w:rsidP="00EA3205">
            <w:pPr>
              <w:rPr>
                <w:rFonts w:ascii="AcadNusx" w:hAnsi="AcadNusx"/>
              </w:rPr>
            </w:pPr>
            <w:r w:rsidRPr="00B05F62">
              <w:rPr>
                <w:rFonts w:ascii="AcadNusx" w:hAnsi="AcadNusx"/>
              </w:rPr>
              <w:t>90 - 100</w:t>
            </w:r>
          </w:p>
        </w:tc>
      </w:tr>
      <w:tr w:rsidR="00EA3205" w:rsidRPr="00B05F62" w14:paraId="4BCCADD3" w14:textId="77777777" w:rsidTr="00B77B2E">
        <w:trPr>
          <w:trHeight w:val="272"/>
        </w:trPr>
        <w:tc>
          <w:tcPr>
            <w:tcW w:w="4824" w:type="dxa"/>
            <w:gridSpan w:val="2"/>
            <w:tcBorders>
              <w:top w:val="single" w:sz="4" w:space="0" w:color="auto"/>
              <w:left w:val="single" w:sz="4" w:space="0" w:color="auto"/>
              <w:bottom w:val="single" w:sz="4" w:space="0" w:color="auto"/>
              <w:right w:val="single" w:sz="4" w:space="0" w:color="auto"/>
            </w:tcBorders>
            <w:vAlign w:val="center"/>
            <w:hideMark/>
          </w:tcPr>
          <w:p w14:paraId="220DA7CB" w14:textId="77777777" w:rsidR="00EA3205" w:rsidRPr="00B05F62" w:rsidRDefault="00EA3205" w:rsidP="00EA3205">
            <w:pPr>
              <w:rPr>
                <w:rFonts w:ascii="AcadNusx" w:hAnsi="AcadNusx"/>
              </w:rPr>
            </w:pPr>
            <w:r w:rsidRPr="00B05F62">
              <w:rPr>
                <w:rFonts w:ascii="AcadNusx" w:hAnsi="AcadNusx"/>
              </w:rPr>
              <w:t>8</w:t>
            </w:r>
          </w:p>
        </w:tc>
        <w:tc>
          <w:tcPr>
            <w:tcW w:w="4253" w:type="dxa"/>
            <w:tcBorders>
              <w:top w:val="single" w:sz="4" w:space="0" w:color="auto"/>
              <w:left w:val="single" w:sz="4" w:space="0" w:color="auto"/>
              <w:bottom w:val="single" w:sz="4" w:space="0" w:color="auto"/>
              <w:right w:val="single" w:sz="4" w:space="0" w:color="auto"/>
            </w:tcBorders>
            <w:vAlign w:val="center"/>
            <w:hideMark/>
          </w:tcPr>
          <w:p w14:paraId="00EAD3D1" w14:textId="77777777" w:rsidR="00EA3205" w:rsidRPr="00B05F62" w:rsidRDefault="00EA3205" w:rsidP="00EA3205">
            <w:pPr>
              <w:rPr>
                <w:rFonts w:ascii="AcadNusx" w:hAnsi="AcadNusx"/>
              </w:rPr>
            </w:pPr>
            <w:r w:rsidRPr="00B05F62">
              <w:rPr>
                <w:rFonts w:ascii="AcadNusx" w:hAnsi="AcadNusx"/>
              </w:rPr>
              <w:t>70 - 85</w:t>
            </w:r>
          </w:p>
        </w:tc>
      </w:tr>
      <w:tr w:rsidR="00EA3205" w:rsidRPr="00B05F62" w14:paraId="6523D1AD" w14:textId="77777777" w:rsidTr="00B77B2E">
        <w:trPr>
          <w:trHeight w:val="272"/>
        </w:trPr>
        <w:tc>
          <w:tcPr>
            <w:tcW w:w="4824" w:type="dxa"/>
            <w:gridSpan w:val="2"/>
            <w:tcBorders>
              <w:top w:val="single" w:sz="4" w:space="0" w:color="auto"/>
              <w:left w:val="single" w:sz="4" w:space="0" w:color="auto"/>
              <w:bottom w:val="single" w:sz="4" w:space="0" w:color="auto"/>
              <w:right w:val="single" w:sz="4" w:space="0" w:color="auto"/>
            </w:tcBorders>
            <w:vAlign w:val="center"/>
            <w:hideMark/>
          </w:tcPr>
          <w:p w14:paraId="06355AA3" w14:textId="77777777" w:rsidR="00EA3205" w:rsidRPr="00B05F62" w:rsidRDefault="00EA3205" w:rsidP="00EA3205">
            <w:pPr>
              <w:rPr>
                <w:rFonts w:ascii="AcadNusx" w:hAnsi="AcadNusx"/>
              </w:rPr>
            </w:pPr>
            <w:r w:rsidRPr="00B05F62">
              <w:rPr>
                <w:rFonts w:ascii="AcadNusx" w:hAnsi="AcadNusx"/>
              </w:rPr>
              <w:t>5.6</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7E2DC22" w14:textId="77777777" w:rsidR="00EA3205" w:rsidRPr="00B05F62" w:rsidRDefault="00EA3205" w:rsidP="00EA3205">
            <w:pPr>
              <w:rPr>
                <w:rFonts w:ascii="AcadNusx" w:hAnsi="AcadNusx"/>
              </w:rPr>
            </w:pPr>
            <w:r w:rsidRPr="00B05F62">
              <w:rPr>
                <w:rFonts w:ascii="AcadNusx" w:hAnsi="AcadNusx"/>
              </w:rPr>
              <w:t>-</w:t>
            </w:r>
          </w:p>
        </w:tc>
      </w:tr>
      <w:tr w:rsidR="00EA3205" w:rsidRPr="00B05F62" w14:paraId="1D1188B3" w14:textId="77777777" w:rsidTr="00B77B2E">
        <w:trPr>
          <w:trHeight w:val="272"/>
        </w:trPr>
        <w:tc>
          <w:tcPr>
            <w:tcW w:w="4824" w:type="dxa"/>
            <w:gridSpan w:val="2"/>
            <w:tcBorders>
              <w:top w:val="single" w:sz="4" w:space="0" w:color="auto"/>
              <w:left w:val="single" w:sz="4" w:space="0" w:color="auto"/>
              <w:bottom w:val="single" w:sz="4" w:space="0" w:color="auto"/>
              <w:right w:val="single" w:sz="4" w:space="0" w:color="auto"/>
            </w:tcBorders>
            <w:vAlign w:val="center"/>
            <w:hideMark/>
          </w:tcPr>
          <w:p w14:paraId="2A2FC512" w14:textId="77777777" w:rsidR="00EA3205" w:rsidRPr="00B05F62" w:rsidRDefault="00EA3205" w:rsidP="00EA3205">
            <w:pPr>
              <w:rPr>
                <w:rFonts w:ascii="AcadNusx" w:hAnsi="AcadNusx"/>
              </w:rPr>
            </w:pPr>
            <w:r w:rsidRPr="00B05F62">
              <w:rPr>
                <w:rFonts w:ascii="AcadNusx" w:hAnsi="AcadNusx"/>
              </w:rPr>
              <w:t>2</w:t>
            </w:r>
          </w:p>
        </w:tc>
        <w:tc>
          <w:tcPr>
            <w:tcW w:w="4253" w:type="dxa"/>
            <w:tcBorders>
              <w:top w:val="single" w:sz="4" w:space="0" w:color="auto"/>
              <w:left w:val="single" w:sz="4" w:space="0" w:color="auto"/>
              <w:bottom w:val="single" w:sz="4" w:space="0" w:color="auto"/>
              <w:right w:val="single" w:sz="4" w:space="0" w:color="auto"/>
            </w:tcBorders>
            <w:vAlign w:val="center"/>
            <w:hideMark/>
          </w:tcPr>
          <w:p w14:paraId="05A81A9C" w14:textId="77777777" w:rsidR="00EA3205" w:rsidRPr="00B05F62" w:rsidRDefault="00EA3205" w:rsidP="00EA3205">
            <w:pPr>
              <w:rPr>
                <w:rFonts w:ascii="AcadNusx" w:hAnsi="AcadNusx"/>
              </w:rPr>
            </w:pPr>
            <w:r w:rsidRPr="00B05F62">
              <w:rPr>
                <w:rFonts w:ascii="AcadNusx" w:hAnsi="AcadNusx"/>
              </w:rPr>
              <w:t>40  -50</w:t>
            </w:r>
          </w:p>
        </w:tc>
      </w:tr>
      <w:tr w:rsidR="00EA3205" w:rsidRPr="00B05F62" w14:paraId="61C7313C" w14:textId="77777777" w:rsidTr="00B77B2E">
        <w:trPr>
          <w:trHeight w:val="272"/>
        </w:trPr>
        <w:tc>
          <w:tcPr>
            <w:tcW w:w="4824" w:type="dxa"/>
            <w:gridSpan w:val="2"/>
            <w:tcBorders>
              <w:top w:val="single" w:sz="4" w:space="0" w:color="auto"/>
              <w:left w:val="single" w:sz="4" w:space="0" w:color="auto"/>
              <w:bottom w:val="single" w:sz="4" w:space="0" w:color="auto"/>
              <w:right w:val="single" w:sz="4" w:space="0" w:color="auto"/>
            </w:tcBorders>
            <w:vAlign w:val="center"/>
            <w:hideMark/>
          </w:tcPr>
          <w:p w14:paraId="44B5ED14" w14:textId="77777777" w:rsidR="00EA3205" w:rsidRPr="00B05F62" w:rsidRDefault="00EA3205" w:rsidP="00EA3205">
            <w:pPr>
              <w:rPr>
                <w:rFonts w:ascii="AcadNusx" w:hAnsi="AcadNusx"/>
              </w:rPr>
            </w:pPr>
            <w:r w:rsidRPr="00B05F62">
              <w:rPr>
                <w:rFonts w:ascii="AcadNusx" w:hAnsi="AcadNusx"/>
              </w:rPr>
              <w:t>0.125</w:t>
            </w:r>
          </w:p>
        </w:tc>
        <w:tc>
          <w:tcPr>
            <w:tcW w:w="4253" w:type="dxa"/>
            <w:tcBorders>
              <w:top w:val="single" w:sz="4" w:space="0" w:color="auto"/>
              <w:left w:val="single" w:sz="4" w:space="0" w:color="auto"/>
              <w:bottom w:val="single" w:sz="4" w:space="0" w:color="auto"/>
              <w:right w:val="single" w:sz="4" w:space="0" w:color="auto"/>
            </w:tcBorders>
            <w:vAlign w:val="center"/>
            <w:hideMark/>
          </w:tcPr>
          <w:p w14:paraId="1254FEFF" w14:textId="77777777" w:rsidR="00EA3205" w:rsidRPr="00B05F62" w:rsidRDefault="00EA3205" w:rsidP="00EA3205">
            <w:pPr>
              <w:rPr>
                <w:rFonts w:ascii="AcadNusx" w:hAnsi="AcadNusx"/>
              </w:rPr>
            </w:pPr>
            <w:r w:rsidRPr="00B05F62">
              <w:rPr>
                <w:rFonts w:ascii="AcadNusx" w:hAnsi="AcadNusx"/>
              </w:rPr>
              <w:t>7 - 17</w:t>
            </w:r>
          </w:p>
        </w:tc>
      </w:tr>
      <w:tr w:rsidR="00EA3205" w:rsidRPr="00B05F62" w14:paraId="12078736" w14:textId="77777777" w:rsidTr="00B77B2E">
        <w:trPr>
          <w:trHeight w:val="272"/>
        </w:trPr>
        <w:tc>
          <w:tcPr>
            <w:tcW w:w="4824" w:type="dxa"/>
            <w:gridSpan w:val="2"/>
            <w:tcBorders>
              <w:top w:val="single" w:sz="4" w:space="0" w:color="auto"/>
              <w:left w:val="single" w:sz="4" w:space="0" w:color="auto"/>
              <w:bottom w:val="single" w:sz="4" w:space="0" w:color="auto"/>
              <w:right w:val="single" w:sz="4" w:space="0" w:color="auto"/>
            </w:tcBorders>
            <w:vAlign w:val="center"/>
            <w:hideMark/>
          </w:tcPr>
          <w:p w14:paraId="31B8B845" w14:textId="77777777" w:rsidR="00EA3205" w:rsidRPr="00B05F62" w:rsidRDefault="00EA3205" w:rsidP="00EA3205">
            <w:pPr>
              <w:rPr>
                <w:rFonts w:ascii="AcadNusx" w:hAnsi="AcadNusx"/>
              </w:rPr>
            </w:pPr>
            <w:r w:rsidRPr="00B05F62">
              <w:rPr>
                <w:rFonts w:ascii="AcadNusx" w:hAnsi="AcadNusx"/>
              </w:rPr>
              <w:t>0.063</w:t>
            </w:r>
          </w:p>
        </w:tc>
        <w:tc>
          <w:tcPr>
            <w:tcW w:w="4253" w:type="dxa"/>
            <w:tcBorders>
              <w:top w:val="single" w:sz="4" w:space="0" w:color="auto"/>
              <w:left w:val="single" w:sz="4" w:space="0" w:color="auto"/>
              <w:bottom w:val="single" w:sz="4" w:space="0" w:color="auto"/>
              <w:right w:val="single" w:sz="4" w:space="0" w:color="auto"/>
            </w:tcBorders>
            <w:vAlign w:val="center"/>
            <w:hideMark/>
          </w:tcPr>
          <w:p w14:paraId="1681F102" w14:textId="77777777" w:rsidR="00EA3205" w:rsidRPr="00B05F62" w:rsidRDefault="00EA3205" w:rsidP="00EA3205">
            <w:pPr>
              <w:rPr>
                <w:rFonts w:ascii="AcadNusx" w:hAnsi="AcadNusx"/>
              </w:rPr>
            </w:pPr>
            <w:r w:rsidRPr="00B05F62">
              <w:rPr>
                <w:rFonts w:ascii="AcadNusx" w:hAnsi="AcadNusx"/>
              </w:rPr>
              <w:t>5 - 9</w:t>
            </w:r>
          </w:p>
        </w:tc>
      </w:tr>
      <w:tr w:rsidR="00EA3205" w:rsidRPr="00B05F62" w14:paraId="78CCB772" w14:textId="77777777" w:rsidTr="00B77B2E">
        <w:trPr>
          <w:trHeight w:val="149"/>
        </w:trPr>
        <w:tc>
          <w:tcPr>
            <w:tcW w:w="9077" w:type="dxa"/>
            <w:gridSpan w:val="3"/>
            <w:tcBorders>
              <w:top w:val="single" w:sz="4" w:space="0" w:color="auto"/>
              <w:left w:val="single" w:sz="4" w:space="0" w:color="auto"/>
              <w:bottom w:val="single" w:sz="4" w:space="0" w:color="auto"/>
              <w:right w:val="single" w:sz="4" w:space="0" w:color="auto"/>
            </w:tcBorders>
            <w:shd w:val="clear" w:color="auto" w:fill="E0E0E0"/>
            <w:vAlign w:val="center"/>
            <w:hideMark/>
          </w:tcPr>
          <w:p w14:paraId="45DADFE9" w14:textId="77777777" w:rsidR="00EA3205" w:rsidRPr="00B05F62" w:rsidRDefault="00EA3205" w:rsidP="00EA3205">
            <w:pPr>
              <w:rPr>
                <w:rFonts w:ascii="AcadNusx" w:hAnsi="AcadNusx"/>
              </w:rPr>
            </w:pPr>
            <w:r w:rsidRPr="00B05F62">
              <w:rPr>
                <w:rFonts w:ascii="AcadNusx" w:hAnsi="AcadNusx"/>
              </w:rPr>
              <w:t>narevis maxasiaTeblebi</w:t>
            </w:r>
          </w:p>
        </w:tc>
      </w:tr>
      <w:tr w:rsidR="00EA3205" w:rsidRPr="00B05F62" w14:paraId="276EF5A2" w14:textId="77777777" w:rsidTr="00B77B2E">
        <w:trPr>
          <w:trHeight w:val="342"/>
        </w:trPr>
        <w:tc>
          <w:tcPr>
            <w:tcW w:w="4747" w:type="dxa"/>
            <w:tcBorders>
              <w:top w:val="single" w:sz="4" w:space="0" w:color="auto"/>
              <w:left w:val="single" w:sz="4" w:space="0" w:color="auto"/>
              <w:bottom w:val="single" w:sz="4" w:space="0" w:color="auto"/>
              <w:right w:val="single" w:sz="4" w:space="0" w:color="auto"/>
            </w:tcBorders>
            <w:vAlign w:val="center"/>
            <w:hideMark/>
          </w:tcPr>
          <w:p w14:paraId="60A68D65" w14:textId="77777777" w:rsidR="00EA3205" w:rsidRPr="00B05F62" w:rsidRDefault="00EA3205" w:rsidP="00EA3205">
            <w:pPr>
              <w:rPr>
                <w:rFonts w:ascii="AcadNusx" w:hAnsi="AcadNusx"/>
              </w:rPr>
            </w:pPr>
            <w:r w:rsidRPr="00B05F62">
              <w:rPr>
                <w:rFonts w:ascii="AcadNusx" w:hAnsi="AcadNusx"/>
              </w:rPr>
              <w:lastRenderedPageBreak/>
              <w:t>bitumi, 50/70 markis</w:t>
            </w:r>
          </w:p>
        </w:tc>
        <w:tc>
          <w:tcPr>
            <w:tcW w:w="4328" w:type="dxa"/>
            <w:gridSpan w:val="2"/>
            <w:tcBorders>
              <w:top w:val="single" w:sz="4" w:space="0" w:color="auto"/>
              <w:left w:val="single" w:sz="4" w:space="0" w:color="auto"/>
              <w:bottom w:val="single" w:sz="4" w:space="0" w:color="auto"/>
              <w:right w:val="single" w:sz="4" w:space="0" w:color="auto"/>
            </w:tcBorders>
            <w:vAlign w:val="center"/>
            <w:hideMark/>
          </w:tcPr>
          <w:p w14:paraId="708B34A1" w14:textId="77777777" w:rsidR="00EA3205" w:rsidRPr="00B05F62" w:rsidRDefault="00EA3205" w:rsidP="00EA3205">
            <w:pPr>
              <w:rPr>
                <w:rFonts w:ascii="AcadNusx" w:hAnsi="AcadNusx"/>
              </w:rPr>
            </w:pPr>
            <w:r w:rsidRPr="00B05F62">
              <w:rPr>
                <w:rFonts w:ascii="AcadNusx" w:eastAsia="MS Gothic" w:hAnsi="AcadNusx"/>
              </w:rPr>
              <w:t>≥</w:t>
            </w:r>
            <w:r w:rsidRPr="00B05F62">
              <w:rPr>
                <w:rFonts w:ascii="AcadNusx" w:hAnsi="AcadNusx"/>
              </w:rPr>
              <w:t xml:space="preserve"> 6 %</w:t>
            </w:r>
          </w:p>
        </w:tc>
      </w:tr>
      <w:tr w:rsidR="00EA3205" w:rsidRPr="00B05F62" w14:paraId="46877615" w14:textId="77777777" w:rsidTr="00B77B2E">
        <w:trPr>
          <w:trHeight w:val="342"/>
        </w:trPr>
        <w:tc>
          <w:tcPr>
            <w:tcW w:w="4747" w:type="dxa"/>
            <w:tcBorders>
              <w:top w:val="single" w:sz="4" w:space="0" w:color="auto"/>
              <w:left w:val="single" w:sz="4" w:space="0" w:color="auto"/>
              <w:bottom w:val="single" w:sz="4" w:space="0" w:color="auto"/>
              <w:right w:val="single" w:sz="4" w:space="0" w:color="auto"/>
            </w:tcBorders>
            <w:vAlign w:val="center"/>
            <w:hideMark/>
          </w:tcPr>
          <w:p w14:paraId="66D2061D" w14:textId="77777777" w:rsidR="00EA3205" w:rsidRPr="00B05F62" w:rsidRDefault="00EA3205" w:rsidP="00EA3205">
            <w:pPr>
              <w:rPr>
                <w:rFonts w:ascii="AcadNusx" w:hAnsi="AcadNusx"/>
              </w:rPr>
            </w:pPr>
            <w:r w:rsidRPr="00B05F62">
              <w:rPr>
                <w:rFonts w:ascii="AcadNusx" w:hAnsi="AcadNusx"/>
              </w:rPr>
              <w:t>sicarieleebis moculobiTi wili marSalis nimuSSi</w:t>
            </w:r>
          </w:p>
        </w:tc>
        <w:tc>
          <w:tcPr>
            <w:tcW w:w="4328" w:type="dxa"/>
            <w:gridSpan w:val="2"/>
            <w:tcBorders>
              <w:top w:val="single" w:sz="4" w:space="0" w:color="auto"/>
              <w:left w:val="single" w:sz="4" w:space="0" w:color="auto"/>
              <w:bottom w:val="single" w:sz="4" w:space="0" w:color="auto"/>
              <w:right w:val="single" w:sz="4" w:space="0" w:color="auto"/>
            </w:tcBorders>
            <w:vAlign w:val="center"/>
            <w:hideMark/>
          </w:tcPr>
          <w:p w14:paraId="22418491" w14:textId="77777777" w:rsidR="00EA3205" w:rsidRPr="00B05F62" w:rsidRDefault="00EA3205" w:rsidP="00EA3205">
            <w:pPr>
              <w:rPr>
                <w:rFonts w:ascii="AcadNusx" w:hAnsi="AcadNusx"/>
              </w:rPr>
            </w:pPr>
            <w:r w:rsidRPr="00B05F62">
              <w:rPr>
                <w:rFonts w:ascii="AcadNusx" w:hAnsi="AcadNusx"/>
              </w:rPr>
              <w:t>2.5 - 3.5 Vol.-%</w:t>
            </w:r>
          </w:p>
        </w:tc>
      </w:tr>
      <w:tr w:rsidR="00EA3205" w:rsidRPr="00B05F62" w14:paraId="3CDA6F69" w14:textId="77777777" w:rsidTr="00B77B2E">
        <w:trPr>
          <w:trHeight w:val="207"/>
        </w:trPr>
        <w:tc>
          <w:tcPr>
            <w:tcW w:w="9077" w:type="dxa"/>
            <w:gridSpan w:val="3"/>
            <w:tcBorders>
              <w:top w:val="single" w:sz="4" w:space="0" w:color="auto"/>
              <w:left w:val="single" w:sz="4" w:space="0" w:color="auto"/>
              <w:bottom w:val="single" w:sz="4" w:space="0" w:color="auto"/>
              <w:right w:val="single" w:sz="4" w:space="0" w:color="auto"/>
            </w:tcBorders>
            <w:shd w:val="clear" w:color="auto" w:fill="E0E0E0"/>
            <w:vAlign w:val="center"/>
            <w:hideMark/>
          </w:tcPr>
          <w:p w14:paraId="55C9E170" w14:textId="77777777" w:rsidR="00EA3205" w:rsidRPr="00B05F62" w:rsidRDefault="00EA3205" w:rsidP="00EA3205">
            <w:pPr>
              <w:rPr>
                <w:rFonts w:ascii="AcadNusx" w:hAnsi="AcadNusx"/>
              </w:rPr>
            </w:pPr>
            <w:r w:rsidRPr="00B05F62">
              <w:rPr>
                <w:rFonts w:ascii="AcadNusx" w:hAnsi="AcadNusx"/>
              </w:rPr>
              <w:t>inertuli Semvsebis maxasiaTeblebi</w:t>
            </w:r>
          </w:p>
        </w:tc>
      </w:tr>
      <w:tr w:rsidR="00EA3205" w:rsidRPr="00B05F62" w14:paraId="6C89FC39" w14:textId="77777777" w:rsidTr="00B77B2E">
        <w:trPr>
          <w:trHeight w:val="420"/>
        </w:trPr>
        <w:tc>
          <w:tcPr>
            <w:tcW w:w="4747" w:type="dxa"/>
            <w:tcBorders>
              <w:top w:val="single" w:sz="4" w:space="0" w:color="auto"/>
              <w:left w:val="single" w:sz="4" w:space="0" w:color="auto"/>
              <w:bottom w:val="single" w:sz="4" w:space="0" w:color="auto"/>
              <w:right w:val="single" w:sz="4" w:space="0" w:color="auto"/>
            </w:tcBorders>
            <w:vAlign w:val="center"/>
            <w:hideMark/>
          </w:tcPr>
          <w:p w14:paraId="22F0F44D" w14:textId="77777777" w:rsidR="00EA3205" w:rsidRPr="00B05F62" w:rsidRDefault="00EA3205" w:rsidP="00EA3205">
            <w:pPr>
              <w:rPr>
                <w:rFonts w:ascii="AcadNusx" w:hAnsi="AcadNusx"/>
              </w:rPr>
            </w:pPr>
            <w:r w:rsidRPr="00B05F62">
              <w:rPr>
                <w:rFonts w:ascii="AcadNusx" w:hAnsi="AcadNusx"/>
              </w:rPr>
              <w:t>namsxvrevi qviSis wili</w:t>
            </w:r>
          </w:p>
        </w:tc>
        <w:tc>
          <w:tcPr>
            <w:tcW w:w="4328" w:type="dxa"/>
            <w:gridSpan w:val="2"/>
            <w:tcBorders>
              <w:top w:val="single" w:sz="4" w:space="0" w:color="auto"/>
              <w:left w:val="single" w:sz="4" w:space="0" w:color="auto"/>
              <w:bottom w:val="single" w:sz="4" w:space="0" w:color="auto"/>
              <w:right w:val="single" w:sz="4" w:space="0" w:color="auto"/>
            </w:tcBorders>
            <w:vAlign w:val="center"/>
            <w:hideMark/>
          </w:tcPr>
          <w:p w14:paraId="10D8E9B2" w14:textId="77777777" w:rsidR="00EA3205" w:rsidRPr="00B05F62" w:rsidRDefault="00EA3205" w:rsidP="00EA3205">
            <w:pPr>
              <w:rPr>
                <w:rFonts w:ascii="AcadNusx" w:hAnsi="AcadNusx"/>
              </w:rPr>
            </w:pPr>
            <w:r w:rsidRPr="00B05F62">
              <w:rPr>
                <w:rFonts w:ascii="AcadNusx" w:hAnsi="AcadNusx"/>
              </w:rPr>
              <w:t>&gt;50 %</w:t>
            </w:r>
          </w:p>
        </w:tc>
      </w:tr>
      <w:tr w:rsidR="00EA3205" w:rsidRPr="00B05F62" w14:paraId="2D190D0C" w14:textId="77777777" w:rsidTr="00B77B2E">
        <w:trPr>
          <w:trHeight w:val="437"/>
        </w:trPr>
        <w:tc>
          <w:tcPr>
            <w:tcW w:w="4747" w:type="dxa"/>
            <w:tcBorders>
              <w:top w:val="single" w:sz="4" w:space="0" w:color="auto"/>
              <w:left w:val="single" w:sz="4" w:space="0" w:color="auto"/>
              <w:bottom w:val="single" w:sz="4" w:space="0" w:color="auto"/>
              <w:right w:val="single" w:sz="4" w:space="0" w:color="auto"/>
            </w:tcBorders>
            <w:vAlign w:val="center"/>
            <w:hideMark/>
          </w:tcPr>
          <w:p w14:paraId="049DF725" w14:textId="77777777" w:rsidR="00EA3205" w:rsidRPr="00B05F62" w:rsidRDefault="00EA3205" w:rsidP="00EA3205">
            <w:pPr>
              <w:rPr>
                <w:rFonts w:ascii="AcadNusx" w:hAnsi="AcadNusx"/>
              </w:rPr>
            </w:pPr>
            <w:r w:rsidRPr="00B05F62">
              <w:rPr>
                <w:rFonts w:ascii="AcadNusx" w:hAnsi="AcadNusx"/>
              </w:rPr>
              <w:t>nasxvrevi zedapirebis wili (&gt; 4 mm)</w:t>
            </w:r>
          </w:p>
        </w:tc>
        <w:tc>
          <w:tcPr>
            <w:tcW w:w="4328" w:type="dxa"/>
            <w:gridSpan w:val="2"/>
            <w:tcBorders>
              <w:top w:val="single" w:sz="4" w:space="0" w:color="auto"/>
              <w:left w:val="single" w:sz="4" w:space="0" w:color="auto"/>
              <w:bottom w:val="single" w:sz="4" w:space="0" w:color="auto"/>
              <w:right w:val="single" w:sz="4" w:space="0" w:color="auto"/>
            </w:tcBorders>
            <w:vAlign w:val="center"/>
            <w:hideMark/>
          </w:tcPr>
          <w:p w14:paraId="3B1EF13A" w14:textId="77777777" w:rsidR="00EA3205" w:rsidRPr="00B05F62" w:rsidRDefault="00EA3205" w:rsidP="00EA3205">
            <w:pPr>
              <w:rPr>
                <w:rFonts w:ascii="AcadNusx" w:hAnsi="AcadNusx"/>
              </w:rPr>
            </w:pPr>
            <w:r w:rsidRPr="00B05F62">
              <w:rPr>
                <w:rFonts w:ascii="AcadNusx" w:eastAsia="MS Gothic" w:hAnsi="AcadNusx"/>
              </w:rPr>
              <w:t>≥</w:t>
            </w:r>
            <w:r w:rsidRPr="00B05F62">
              <w:rPr>
                <w:rFonts w:ascii="AcadNusx" w:hAnsi="AcadNusx"/>
              </w:rPr>
              <w:t xml:space="preserve"> 90 %</w:t>
            </w:r>
          </w:p>
        </w:tc>
      </w:tr>
      <w:tr w:rsidR="00EA3205" w:rsidRPr="00B05F62" w14:paraId="152A4DC1" w14:textId="77777777" w:rsidTr="00B77B2E">
        <w:tc>
          <w:tcPr>
            <w:tcW w:w="4747" w:type="dxa"/>
            <w:tcBorders>
              <w:top w:val="single" w:sz="4" w:space="0" w:color="auto"/>
              <w:left w:val="single" w:sz="4" w:space="0" w:color="auto"/>
              <w:bottom w:val="single" w:sz="4" w:space="0" w:color="auto"/>
              <w:right w:val="single" w:sz="4" w:space="0" w:color="auto"/>
            </w:tcBorders>
            <w:vAlign w:val="center"/>
            <w:hideMark/>
          </w:tcPr>
          <w:p w14:paraId="35164A12" w14:textId="77777777" w:rsidR="00EA3205" w:rsidRPr="00B05F62" w:rsidRDefault="00EA3205" w:rsidP="00EA3205">
            <w:pPr>
              <w:rPr>
                <w:rFonts w:ascii="AcadNusx" w:hAnsi="AcadNusx"/>
              </w:rPr>
            </w:pPr>
            <w:r w:rsidRPr="00B05F62">
              <w:rPr>
                <w:rFonts w:ascii="AcadNusx" w:hAnsi="AcadNusx"/>
              </w:rPr>
              <w:t>SemvsebSi momrgvalebuli nawilakebis wili (&gt; 4 mm)</w:t>
            </w:r>
          </w:p>
        </w:tc>
        <w:tc>
          <w:tcPr>
            <w:tcW w:w="4328" w:type="dxa"/>
            <w:gridSpan w:val="2"/>
            <w:tcBorders>
              <w:top w:val="single" w:sz="4" w:space="0" w:color="auto"/>
              <w:left w:val="single" w:sz="4" w:space="0" w:color="auto"/>
              <w:bottom w:val="single" w:sz="4" w:space="0" w:color="auto"/>
              <w:right w:val="single" w:sz="4" w:space="0" w:color="auto"/>
            </w:tcBorders>
            <w:vAlign w:val="center"/>
            <w:hideMark/>
          </w:tcPr>
          <w:p w14:paraId="33245DAC" w14:textId="77777777" w:rsidR="00EA3205" w:rsidRPr="00B05F62" w:rsidRDefault="00EA3205" w:rsidP="00EA3205">
            <w:pPr>
              <w:rPr>
                <w:rFonts w:ascii="AcadNusx" w:hAnsi="AcadNusx"/>
              </w:rPr>
            </w:pPr>
            <w:r w:rsidRPr="00B05F62">
              <w:rPr>
                <w:rFonts w:ascii="AcadNusx" w:eastAsia="MS Gothic" w:hAnsi="AcadNusx"/>
              </w:rPr>
              <w:t>≤ 1 %</w:t>
            </w:r>
          </w:p>
        </w:tc>
      </w:tr>
      <w:tr w:rsidR="00EA3205" w:rsidRPr="00B05F62" w14:paraId="57FFD79A" w14:textId="77777777" w:rsidTr="00B77B2E">
        <w:trPr>
          <w:trHeight w:val="492"/>
        </w:trPr>
        <w:tc>
          <w:tcPr>
            <w:tcW w:w="4747" w:type="dxa"/>
            <w:tcBorders>
              <w:top w:val="single" w:sz="4" w:space="0" w:color="auto"/>
              <w:left w:val="single" w:sz="4" w:space="0" w:color="auto"/>
              <w:bottom w:val="single" w:sz="4" w:space="0" w:color="auto"/>
              <w:right w:val="single" w:sz="4" w:space="0" w:color="auto"/>
            </w:tcBorders>
            <w:vAlign w:val="center"/>
            <w:hideMark/>
          </w:tcPr>
          <w:p w14:paraId="12F5966B" w14:textId="77777777" w:rsidR="00EA3205" w:rsidRPr="00B05F62" w:rsidRDefault="00EA3205" w:rsidP="00EA3205">
            <w:pPr>
              <w:rPr>
                <w:rFonts w:ascii="AcadNusx" w:eastAsia="MS Gothic" w:hAnsi="AcadNusx"/>
                <w:lang w:val="en-US"/>
              </w:rPr>
            </w:pPr>
            <w:r w:rsidRPr="00B05F62">
              <w:rPr>
                <w:rFonts w:ascii="AcadNusx" w:hAnsi="AcadNusx"/>
              </w:rPr>
              <w:t>abraziuli cveTadoba (los anjelesuri doliT gazomili)</w:t>
            </w:r>
          </w:p>
        </w:tc>
        <w:tc>
          <w:tcPr>
            <w:tcW w:w="4328" w:type="dxa"/>
            <w:gridSpan w:val="2"/>
            <w:tcBorders>
              <w:top w:val="single" w:sz="4" w:space="0" w:color="auto"/>
              <w:left w:val="single" w:sz="4" w:space="0" w:color="auto"/>
              <w:bottom w:val="single" w:sz="4" w:space="0" w:color="auto"/>
              <w:right w:val="single" w:sz="4" w:space="0" w:color="auto"/>
            </w:tcBorders>
            <w:vAlign w:val="center"/>
            <w:hideMark/>
          </w:tcPr>
          <w:p w14:paraId="72984E46" w14:textId="77777777" w:rsidR="00EA3205" w:rsidRPr="00B05F62" w:rsidRDefault="00EA3205" w:rsidP="00EA3205">
            <w:pPr>
              <w:rPr>
                <w:rFonts w:ascii="AcadNusx" w:hAnsi="AcadNusx"/>
              </w:rPr>
            </w:pPr>
            <w:r w:rsidRPr="00B05F62">
              <w:rPr>
                <w:rFonts w:ascii="AcadNusx" w:eastAsia="MS Gothic" w:hAnsi="AcadNusx"/>
              </w:rPr>
              <w:t>≤ 20 %</w:t>
            </w:r>
          </w:p>
        </w:tc>
      </w:tr>
    </w:tbl>
    <w:p w14:paraId="31623D47" w14:textId="77777777" w:rsidR="00EA3205" w:rsidRPr="00B05F62" w:rsidRDefault="00EA3205" w:rsidP="008C44CF">
      <w:pPr>
        <w:spacing w:before="120" w:after="120"/>
        <w:rPr>
          <w:rFonts w:ascii="AcadNusx" w:hAnsi="AcadNusx"/>
        </w:rPr>
      </w:pPr>
      <w:r w:rsidRPr="00B05F62">
        <w:rPr>
          <w:rFonts w:ascii="AcadNusx" w:hAnsi="AcadNusx"/>
        </w:rPr>
        <w:t>asfaltis gaSlili da datkepnili fenisTvis, satendero dokumentaciaSi rekomendirebulia qvemoT mocemuli pirobebis Setana.</w:t>
      </w:r>
    </w:p>
    <w:p w14:paraId="3AE2DA83" w14:textId="698E5F10" w:rsidR="00EA3205" w:rsidRPr="00B05F62" w:rsidRDefault="00EA3205" w:rsidP="008C44CF">
      <w:pPr>
        <w:spacing w:before="120" w:after="120"/>
        <w:rPr>
          <w:rFonts w:ascii="AcadNusx" w:hAnsi="AcadNusx"/>
        </w:rPr>
      </w:pPr>
      <w:r w:rsidRPr="00B05F62">
        <w:rPr>
          <w:rFonts w:ascii="AcadNusx" w:hAnsi="AcadNusx"/>
        </w:rPr>
        <w:t xml:space="preserve">cxrili </w:t>
      </w:r>
      <w:r w:rsidR="008C44CF" w:rsidRPr="00B05F62">
        <w:rPr>
          <w:rFonts w:ascii="AcadNusx" w:hAnsi="AcadNusx"/>
        </w:rPr>
        <w:t>4.</w:t>
      </w:r>
      <w:r w:rsidR="00EA6DAA">
        <w:rPr>
          <w:rFonts w:ascii="Sylfaen" w:hAnsi="Sylfaen"/>
          <w:lang w:val="ka-GE"/>
        </w:rPr>
        <w:t>9</w:t>
      </w:r>
      <w:r w:rsidR="008C44CF">
        <w:rPr>
          <w:rFonts w:ascii="Sylfaen" w:hAnsi="Sylfaen"/>
          <w:lang w:val="ka-GE"/>
        </w:rPr>
        <w:t>.3.</w:t>
      </w:r>
      <w:r w:rsidR="008C44CF" w:rsidRPr="00B05F62">
        <w:rPr>
          <w:rFonts w:ascii="AcadNusx" w:hAnsi="AcadNusx"/>
        </w:rPr>
        <w:t>5.</w:t>
      </w:r>
      <w:r w:rsidR="008C44CF">
        <w:rPr>
          <w:rFonts w:ascii="Sylfaen" w:hAnsi="Sylfaen"/>
          <w:lang w:val="ka-GE"/>
        </w:rPr>
        <w:t xml:space="preserve">-10 </w:t>
      </w:r>
      <w:r w:rsidRPr="00B05F62">
        <w:rPr>
          <w:rFonts w:ascii="AcadNusx" w:hAnsi="AcadNusx"/>
        </w:rPr>
        <w:t>rekomendirebuli asfaltis safaris zeda fenis maxasiaTeblebi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3969"/>
      </w:tblGrid>
      <w:tr w:rsidR="00EA3205" w:rsidRPr="00B05F62" w14:paraId="517A549E" w14:textId="77777777" w:rsidTr="00B77B2E">
        <w:trPr>
          <w:trHeight w:val="115"/>
        </w:trPr>
        <w:tc>
          <w:tcPr>
            <w:tcW w:w="510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BE5B406" w14:textId="77777777" w:rsidR="00EA3205" w:rsidRPr="00B05F62" w:rsidRDefault="00EA3205" w:rsidP="00EA3205">
            <w:pPr>
              <w:rPr>
                <w:rFonts w:ascii="AcadNusx" w:hAnsi="AcadNusx"/>
                <w:lang w:val="en-US"/>
              </w:rPr>
            </w:pPr>
            <w:r w:rsidRPr="00B05F62">
              <w:rPr>
                <w:rFonts w:ascii="AcadNusx" w:hAnsi="AcadNusx"/>
              </w:rPr>
              <w:t>asfaltis fenis parametri</w:t>
            </w:r>
          </w:p>
        </w:tc>
        <w:tc>
          <w:tcPr>
            <w:tcW w:w="39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6381B41" w14:textId="77777777" w:rsidR="00EA3205" w:rsidRPr="00B05F62" w:rsidRDefault="00EA3205" w:rsidP="00EA3205">
            <w:pPr>
              <w:rPr>
                <w:rFonts w:ascii="AcadNusx" w:hAnsi="AcadNusx"/>
              </w:rPr>
            </w:pPr>
            <w:r w:rsidRPr="00B05F62">
              <w:rPr>
                <w:rFonts w:ascii="AcadNusx" w:hAnsi="AcadNusx"/>
              </w:rPr>
              <w:t>rekomendirebuli diapazoni</w:t>
            </w:r>
          </w:p>
        </w:tc>
      </w:tr>
      <w:tr w:rsidR="00EA3205" w:rsidRPr="00B05F62" w14:paraId="5E454B9B" w14:textId="77777777" w:rsidTr="00B77B2E">
        <w:trPr>
          <w:trHeight w:val="368"/>
        </w:trPr>
        <w:tc>
          <w:tcPr>
            <w:tcW w:w="5107" w:type="dxa"/>
            <w:tcBorders>
              <w:top w:val="single" w:sz="4" w:space="0" w:color="auto"/>
              <w:left w:val="single" w:sz="4" w:space="0" w:color="auto"/>
              <w:bottom w:val="single" w:sz="4" w:space="0" w:color="auto"/>
              <w:right w:val="single" w:sz="4" w:space="0" w:color="auto"/>
            </w:tcBorders>
            <w:vAlign w:val="center"/>
            <w:hideMark/>
          </w:tcPr>
          <w:p w14:paraId="5D0D2097" w14:textId="77777777" w:rsidR="00EA3205" w:rsidRPr="00B05F62" w:rsidRDefault="00EA3205" w:rsidP="00EA3205">
            <w:pPr>
              <w:rPr>
                <w:rFonts w:ascii="AcadNusx" w:hAnsi="AcadNusx"/>
              </w:rPr>
            </w:pPr>
            <w:r w:rsidRPr="00B05F62">
              <w:rPr>
                <w:rFonts w:ascii="AcadNusx" w:hAnsi="AcadNusx"/>
              </w:rPr>
              <w:t>datkepnis xarisxi</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BA82FF9" w14:textId="77777777" w:rsidR="00EA3205" w:rsidRPr="00B05F62" w:rsidRDefault="00EA3205" w:rsidP="00EA3205">
            <w:pPr>
              <w:rPr>
                <w:rFonts w:ascii="AcadNusx" w:hAnsi="AcadNusx"/>
              </w:rPr>
            </w:pPr>
            <w:r w:rsidRPr="00B05F62">
              <w:rPr>
                <w:rFonts w:ascii="AcadNusx" w:eastAsia="MS Gothic" w:hAnsi="AcadNusx"/>
              </w:rPr>
              <w:t>≥</w:t>
            </w:r>
            <w:r w:rsidRPr="00B05F62">
              <w:rPr>
                <w:rFonts w:ascii="AcadNusx" w:hAnsi="AcadNusx"/>
              </w:rPr>
              <w:t> 97 %</w:t>
            </w:r>
          </w:p>
        </w:tc>
      </w:tr>
      <w:tr w:rsidR="00EA3205" w:rsidRPr="00B05F62" w14:paraId="50FEA4D0" w14:textId="77777777" w:rsidTr="00B77B2E">
        <w:trPr>
          <w:trHeight w:val="368"/>
        </w:trPr>
        <w:tc>
          <w:tcPr>
            <w:tcW w:w="5107" w:type="dxa"/>
            <w:tcBorders>
              <w:top w:val="single" w:sz="4" w:space="0" w:color="auto"/>
              <w:left w:val="single" w:sz="4" w:space="0" w:color="auto"/>
              <w:bottom w:val="single" w:sz="4" w:space="0" w:color="auto"/>
              <w:right w:val="single" w:sz="4" w:space="0" w:color="auto"/>
            </w:tcBorders>
            <w:vAlign w:val="center"/>
            <w:hideMark/>
          </w:tcPr>
          <w:p w14:paraId="23726595" w14:textId="77777777" w:rsidR="00EA3205" w:rsidRPr="00B05F62" w:rsidRDefault="00EA3205" w:rsidP="00EA3205">
            <w:pPr>
              <w:rPr>
                <w:rFonts w:ascii="AcadNusx" w:hAnsi="AcadNusx"/>
              </w:rPr>
            </w:pPr>
            <w:r w:rsidRPr="00B05F62">
              <w:rPr>
                <w:rFonts w:ascii="AcadNusx" w:hAnsi="AcadNusx"/>
              </w:rPr>
              <w:t>sicarieleebis procentuli wili (fenaSi)</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6AFCAA9" w14:textId="77777777" w:rsidR="00EA3205" w:rsidRPr="00B05F62" w:rsidRDefault="00EA3205" w:rsidP="00EA3205">
            <w:pPr>
              <w:rPr>
                <w:rFonts w:ascii="AcadNusx" w:hAnsi="AcadNusx"/>
              </w:rPr>
            </w:pPr>
            <w:r w:rsidRPr="00B05F62">
              <w:rPr>
                <w:rFonts w:ascii="AcadNusx" w:eastAsia="MS Gothic" w:hAnsi="AcadNusx"/>
              </w:rPr>
              <w:t>≤</w:t>
            </w:r>
            <w:r w:rsidRPr="00B05F62">
              <w:rPr>
                <w:rFonts w:ascii="AcadNusx" w:hAnsi="AcadNusx"/>
              </w:rPr>
              <w:t> 6.5 %</w:t>
            </w:r>
          </w:p>
        </w:tc>
      </w:tr>
      <w:tr w:rsidR="00EA3205" w:rsidRPr="00B05F62" w14:paraId="4DA18C0F" w14:textId="77777777" w:rsidTr="00B77B2E">
        <w:trPr>
          <w:trHeight w:val="368"/>
        </w:trPr>
        <w:tc>
          <w:tcPr>
            <w:tcW w:w="5107" w:type="dxa"/>
            <w:tcBorders>
              <w:top w:val="single" w:sz="4" w:space="0" w:color="auto"/>
              <w:left w:val="single" w:sz="4" w:space="0" w:color="auto"/>
              <w:bottom w:val="single" w:sz="4" w:space="0" w:color="auto"/>
              <w:right w:val="single" w:sz="4" w:space="0" w:color="auto"/>
            </w:tcBorders>
            <w:vAlign w:val="center"/>
            <w:hideMark/>
          </w:tcPr>
          <w:p w14:paraId="54059D4C" w14:textId="77777777" w:rsidR="00EA3205" w:rsidRPr="00B05F62" w:rsidRDefault="00EA3205" w:rsidP="00EA3205">
            <w:pPr>
              <w:rPr>
                <w:rFonts w:ascii="AcadNusx" w:eastAsia="MS Gothic" w:hAnsi="AcadNusx"/>
                <w:lang w:val="en-US"/>
              </w:rPr>
            </w:pPr>
            <w:r w:rsidRPr="00B05F62">
              <w:rPr>
                <w:rFonts w:ascii="AcadNusx" w:hAnsi="AcadNusx"/>
              </w:rPr>
              <w:t>uswormasworoba (4-metriani sakontrolo lartyiT gazomili)</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6704F5D" w14:textId="77777777" w:rsidR="00EA3205" w:rsidRPr="00B05F62" w:rsidRDefault="00EA3205" w:rsidP="00EA3205">
            <w:pPr>
              <w:rPr>
                <w:rFonts w:ascii="AcadNusx" w:hAnsi="AcadNusx"/>
              </w:rPr>
            </w:pPr>
            <w:r w:rsidRPr="00B05F62">
              <w:rPr>
                <w:rFonts w:ascii="AcadNusx" w:eastAsia="MS Gothic" w:hAnsi="AcadNusx"/>
              </w:rPr>
              <w:t>≤</w:t>
            </w:r>
            <w:r w:rsidRPr="00B05F62">
              <w:rPr>
                <w:rFonts w:ascii="AcadNusx" w:hAnsi="AcadNusx"/>
              </w:rPr>
              <w:t> 4 mm</w:t>
            </w:r>
          </w:p>
        </w:tc>
      </w:tr>
    </w:tbl>
    <w:p w14:paraId="7116E359" w14:textId="77777777" w:rsidR="008C44CF" w:rsidRDefault="008C44CF" w:rsidP="00EA3205">
      <w:pPr>
        <w:rPr>
          <w:rFonts w:ascii="AcadNusx" w:hAnsi="AcadNusx"/>
        </w:rPr>
      </w:pPr>
      <w:bookmarkStart w:id="123" w:name="_Toc493318667"/>
    </w:p>
    <w:p w14:paraId="5AAD9BD8" w14:textId="4A3F2F9A" w:rsidR="00EA3205" w:rsidRPr="00B05F62" w:rsidRDefault="00EA3205" w:rsidP="00142B71">
      <w:pPr>
        <w:pStyle w:val="Heading3"/>
        <w:rPr>
          <w:rFonts w:ascii="AcadNusx" w:hAnsi="AcadNusx"/>
        </w:rPr>
      </w:pPr>
      <w:bookmarkStart w:id="124" w:name="_Toc1581511"/>
      <w:r w:rsidRPr="008C44CF">
        <w:rPr>
          <w:rFonts w:ascii="AcadNusx" w:hAnsi="AcadNusx"/>
        </w:rPr>
        <w:t>4.</w:t>
      </w:r>
      <w:r w:rsidR="00EA6DAA">
        <w:rPr>
          <w:rFonts w:ascii="Sylfaen" w:hAnsi="Sylfaen"/>
          <w:lang w:val="ka-GE"/>
        </w:rPr>
        <w:t>9</w:t>
      </w:r>
      <w:r w:rsidRPr="008C44CF">
        <w:rPr>
          <w:rFonts w:ascii="AcadNusx" w:hAnsi="AcadNusx"/>
        </w:rPr>
        <w:t>.4</w:t>
      </w:r>
      <w:r w:rsidRPr="008C44CF">
        <w:rPr>
          <w:rFonts w:ascii="AcadNusx" w:hAnsi="AcadNusx"/>
        </w:rPr>
        <w:tab/>
      </w:r>
      <w:bookmarkEnd w:id="123"/>
      <w:r w:rsidR="00142B71">
        <w:rPr>
          <w:rFonts w:ascii="Sylfaen" w:hAnsi="Sylfaen"/>
          <w:lang w:val="ka-GE"/>
        </w:rPr>
        <w:t>საგზაო სამოსის კვლევის შეჯამება</w:t>
      </w:r>
      <w:bookmarkEnd w:id="124"/>
    </w:p>
    <w:p w14:paraId="51409E63" w14:textId="77777777" w:rsidR="00EA3205" w:rsidRPr="00B05F62" w:rsidRDefault="00EA3205" w:rsidP="008C44CF">
      <w:pPr>
        <w:spacing w:before="120" w:after="120"/>
        <w:rPr>
          <w:rFonts w:ascii="AcadNusx" w:hAnsi="AcadNusx"/>
        </w:rPr>
      </w:pPr>
      <w:r w:rsidRPr="00B05F62">
        <w:rPr>
          <w:rFonts w:ascii="AcadNusx" w:hAnsi="AcadNusx"/>
        </w:rPr>
        <w:t xml:space="preserve">arsebul gzaze dagebuli asfaltis safari ZiriTadad cud, xolo likalurad – damakmayofilebel mdgomareobaSia. arsebuli sagzao samosis mzidunarianobis da alternatiuli marSrutebis gaswvriv miwis vakisis gruntis simtkicis da kumSvadobis winaswari Sefaseba dafuZnebulia sawyis savele da laboratoriuli samuSaoebis Sedegebze. </w:t>
      </w:r>
    </w:p>
    <w:p w14:paraId="710C8339" w14:textId="77777777" w:rsidR="00EA3205" w:rsidRPr="00B05F62" w:rsidRDefault="00EA3205" w:rsidP="008C44CF">
      <w:pPr>
        <w:spacing w:before="120" w:after="120"/>
        <w:rPr>
          <w:rFonts w:ascii="AcadNusx" w:hAnsi="AcadNusx"/>
        </w:rPr>
      </w:pPr>
      <w:r w:rsidRPr="00B05F62">
        <w:rPr>
          <w:rFonts w:ascii="AcadNusx" w:hAnsi="AcadNusx"/>
        </w:rPr>
        <w:t>alternatiuli trasebis aRwerebis da Sefasebis dasrulebis Semdeg ganisazRvra upiratesi trasa, romlis gaswvrivac Sesrulda geoteqnikuri kvlevebi. upiratesi trasis gaswvriv gavrcelebul ZiriTad grunts warmoadgens Tixa Tixnari. gavrcelebis mxriv, meore adgilze dgas ZiriTadad momrgvalebuli qvebiT da kenWebiT Sedgenili xvinWi, romelic metwilad Tixnaris qveS mdebareobs an monacvleobs SekavSirebul masalasTan. geoteqnikuri kvlevebis da gamocdebis Sedegebis safuZvelze, ganisazRvra miwis vakisis kaliforniuli ricxvis (</w:t>
      </w:r>
      <w:r w:rsidRPr="00B77B2E">
        <w:rPr>
          <w:rFonts w:ascii="Sylfaen" w:hAnsi="Sylfaen"/>
        </w:rPr>
        <w:t>CBR</w:t>
      </w:r>
      <w:r w:rsidRPr="00B05F62">
        <w:rPr>
          <w:rFonts w:ascii="AcadNusx" w:hAnsi="AcadNusx"/>
        </w:rPr>
        <w:t>) saangariSo sidide.</w:t>
      </w:r>
    </w:p>
    <w:p w14:paraId="5F56ACD8" w14:textId="77777777" w:rsidR="00EA3205" w:rsidRPr="00B05F62" w:rsidRDefault="00EA3205" w:rsidP="008C44CF">
      <w:pPr>
        <w:spacing w:before="120" w:after="120"/>
        <w:rPr>
          <w:rFonts w:ascii="AcadNusx" w:hAnsi="AcadNusx"/>
        </w:rPr>
      </w:pPr>
      <w:r w:rsidRPr="00B05F62">
        <w:rPr>
          <w:rFonts w:ascii="AcadNusx" w:hAnsi="AcadNusx"/>
        </w:rPr>
        <w:t xml:space="preserve">damuSavda sami gansxvavebuli agebulebis sagzao samosis struqtura, romlebic aRwerilia winamdebare angariSSi. sagzao samosebis ganxiluli alternatiuli agebulebebi moicaven or drekad da erT xist sagzao samoss. </w:t>
      </w:r>
    </w:p>
    <w:p w14:paraId="5E129E88" w14:textId="77777777" w:rsidR="00EA3205" w:rsidRPr="00B05F62" w:rsidRDefault="00EA3205" w:rsidP="008C44CF">
      <w:pPr>
        <w:spacing w:before="120" w:after="120"/>
        <w:rPr>
          <w:rFonts w:ascii="AcadNusx" w:hAnsi="AcadNusx"/>
        </w:rPr>
      </w:pPr>
      <w:r w:rsidRPr="00B05F62">
        <w:rPr>
          <w:rFonts w:ascii="AcadNusx" w:hAnsi="AcadNusx"/>
        </w:rPr>
        <w:t>sagzao samosis yvela konstruqciuli fena SeiZleba daigos uSualod marcvlovan miwis vakisze, an SekavSirebuli konsistenciis miwis vakisze ganTavsebul damatebiT fenaze. gzis sawyisi teqnikuri gadawyveta iTvaliswinebs, rom gza miwayrilze aSendeba. amitom xarjTaRricxvis Sedgenis miznebisTvis daSvebuli unda iqnas, rom sagzao samosi mTliani upiratesi trasis gaswvriv SekavSirebul miwis vakisze daigeba, vinaidan aseTi daSveba damatebiT masalebs an fenas ar moiTxovs.</w:t>
      </w:r>
    </w:p>
    <w:p w14:paraId="6505FED6" w14:textId="77777777" w:rsidR="00EA3205" w:rsidRPr="00B05F62" w:rsidRDefault="00EA3205" w:rsidP="008C44CF">
      <w:pPr>
        <w:spacing w:before="120" w:after="120"/>
        <w:rPr>
          <w:rFonts w:ascii="AcadNusx" w:hAnsi="AcadNusx"/>
        </w:rPr>
      </w:pPr>
      <w:r w:rsidRPr="00B05F62">
        <w:rPr>
          <w:rFonts w:ascii="AcadNusx" w:hAnsi="AcadNusx"/>
        </w:rPr>
        <w:t xml:space="preserve">pirveli saxis sagzao samosi Sedgeba (zevidan qveviT) asfaltis safaris zeda da qveda fenebisgan, romelTa qveS dagebulia marcvlovani (RorRovani) safuZveli, </w:t>
      </w:r>
      <w:r w:rsidRPr="00B05F62">
        <w:rPr>
          <w:rFonts w:ascii="AcadNusx" w:hAnsi="AcadNusx"/>
        </w:rPr>
        <w:lastRenderedPageBreak/>
        <w:t>xolo mis qvemoT _ qviSa-xreSovani masalisgan Sedgenili safuZvelis Sesasworebeli fena. saWiro simtkicis misaRebad unda moewyos safuZvlis damatebiTi fena, SekavSirebuli vakisis Tavze.</w:t>
      </w:r>
    </w:p>
    <w:p w14:paraId="6A39DD21" w14:textId="77777777" w:rsidR="00EA3205" w:rsidRPr="00B05F62" w:rsidRDefault="00EA3205" w:rsidP="008C44CF">
      <w:pPr>
        <w:spacing w:before="120" w:after="120"/>
        <w:rPr>
          <w:rFonts w:ascii="AcadNusx" w:hAnsi="AcadNusx"/>
        </w:rPr>
      </w:pPr>
      <w:r w:rsidRPr="00B05F62">
        <w:rPr>
          <w:rFonts w:ascii="AcadNusx" w:hAnsi="AcadNusx"/>
        </w:rPr>
        <w:t>meore alternatiuli drekadi sagzao samosi agebulia erTfeniani asfaltis safariT, mis qveS dagebuli cementiT gamagrebuli safuZveliT da ufro qvemoT ganTavsebuli safuZvelis Sesasworebeli marcvlovani feniT.</w:t>
      </w:r>
    </w:p>
    <w:p w14:paraId="19B59FA9" w14:textId="77777777" w:rsidR="00EA3205" w:rsidRPr="00B05F62" w:rsidRDefault="00EA3205" w:rsidP="008C44CF">
      <w:pPr>
        <w:spacing w:before="120" w:after="120"/>
        <w:rPr>
          <w:rFonts w:ascii="AcadNusx" w:hAnsi="AcadNusx"/>
        </w:rPr>
      </w:pPr>
      <w:r w:rsidRPr="00B05F62">
        <w:rPr>
          <w:rFonts w:ascii="AcadNusx" w:hAnsi="AcadNusx"/>
        </w:rPr>
        <w:t xml:space="preserve">xist samosiani alternativa warmodgenilia cementobetonis zedapiruli feniT, romelic dagebulia marcvlovan safuZvelze, xolo es ukanaskneli – aseve marcvlovan safuZvelis Sesasworebel da damatebiT fenaze. </w:t>
      </w:r>
    </w:p>
    <w:p w14:paraId="06F5BE1F" w14:textId="77777777" w:rsidR="00EA3205" w:rsidRPr="00B05F62" w:rsidRDefault="00EA3205" w:rsidP="008C44CF">
      <w:pPr>
        <w:spacing w:before="120" w:after="120"/>
        <w:rPr>
          <w:rFonts w:ascii="AcadNusx" w:hAnsi="AcadNusx"/>
          <w:lang w:val="en-US"/>
        </w:rPr>
      </w:pPr>
      <w:r w:rsidRPr="00B05F62">
        <w:rPr>
          <w:rFonts w:ascii="AcadNusx" w:hAnsi="AcadNusx"/>
        </w:rPr>
        <w:t xml:space="preserve">Sedarebis da gadamowmebis mizniT, </w:t>
      </w:r>
      <w:r w:rsidRPr="008C44CF">
        <w:rPr>
          <w:rFonts w:cs="Arial"/>
        </w:rPr>
        <w:t>AASHTO</w:t>
      </w:r>
      <w:r w:rsidRPr="00B05F62">
        <w:rPr>
          <w:rFonts w:ascii="AcadNusx" w:hAnsi="AcadNusx"/>
        </w:rPr>
        <w:t>-s meTodiT gansazRvruli sagzao samosis winaswari agebuleba gaangariSda germanuli standartis RStO-12-is (“sagzao samosebis konstruqciebis standartizaciis instruqciebi”) moTxovnebis Sesabamisad. Sedareba uCvenebs, rom zogadad orive meTodiT gaangariSebul sagzao samosebis zedapiruli (safaris) fenebi erTmaneTis msgavsia, xolo qveda marcvlovani fenebi urTierTgansxvavebulia.</w:t>
      </w:r>
    </w:p>
    <w:p w14:paraId="2C508CB8" w14:textId="77777777" w:rsidR="00EA3205" w:rsidRPr="00B05F62" w:rsidRDefault="00EA3205" w:rsidP="008C44CF">
      <w:pPr>
        <w:spacing w:before="120" w:after="120"/>
        <w:rPr>
          <w:rFonts w:ascii="AcadNusx" w:hAnsi="AcadNusx"/>
        </w:rPr>
      </w:pPr>
      <w:r w:rsidRPr="00B05F62">
        <w:rPr>
          <w:rFonts w:ascii="AcadNusx" w:hAnsi="AcadNusx"/>
        </w:rPr>
        <w:t>unda aRiniSnos, rom sagzao samosebis ganxiluli winaswari alternatiuli variantebi SesabamisobaSia saTanado teqnikur moTxovnebTan, rogorebicaa miwis vakisis simtkicis da sagzao moZraobis moculobis winaswari sidideebi. upiratesi trasis gaswvriv gruntis pirobebis damatebiTi gamokvlevis Sedegad, miwis vakisis simtkicis sawyisi sidide SeiZleba Seicvalos, rac gamoiwvevs sagzao samosis winaswar gaangariSebuli elementebis koreqtirebas.</w:t>
      </w:r>
    </w:p>
    <w:p w14:paraId="2BF47BBA" w14:textId="77777777" w:rsidR="00EA3205" w:rsidRPr="00B05F62" w:rsidRDefault="00EA3205" w:rsidP="008C44CF">
      <w:pPr>
        <w:spacing w:before="120" w:after="120"/>
        <w:rPr>
          <w:rFonts w:ascii="AcadNusx" w:hAnsi="AcadNusx"/>
        </w:rPr>
      </w:pPr>
      <w:r w:rsidRPr="00B05F62">
        <w:rPr>
          <w:rFonts w:ascii="AcadNusx" w:hAnsi="AcadNusx"/>
        </w:rPr>
        <w:t xml:space="preserve">Tu gzis teqnikuri proeqtis Sesabamisad sagzao samosi ZiriTadad garkveuli minimaluri simaRlis miwayrilze unda ganTavsdes, maSin </w:t>
      </w:r>
      <w:r w:rsidRPr="008C44CF">
        <w:rPr>
          <w:rFonts w:cs="Arial"/>
        </w:rPr>
        <w:t>AASHTO</w:t>
      </w:r>
      <w:r w:rsidRPr="00B05F62">
        <w:rPr>
          <w:rFonts w:ascii="AcadNusx" w:hAnsi="AcadNusx"/>
        </w:rPr>
        <w:t>-s proeqtirebis meTodiT gaTvaliswinebuli miwis vakisis damcavi fena sakmarisi simagris da xarisxis mqone miwayrilis masaliT SeiZleba Seicvalos.</w:t>
      </w:r>
    </w:p>
    <w:p w14:paraId="48E54F8D" w14:textId="77777777" w:rsidR="00EA3205" w:rsidRPr="00B05F62" w:rsidRDefault="00EA3205" w:rsidP="008C44CF">
      <w:pPr>
        <w:spacing w:before="120" w:after="120"/>
        <w:rPr>
          <w:rFonts w:ascii="AcadNusx" w:hAnsi="AcadNusx"/>
        </w:rPr>
      </w:pPr>
      <w:r w:rsidRPr="00B05F62">
        <w:rPr>
          <w:rFonts w:ascii="AcadNusx" w:hAnsi="AcadNusx"/>
        </w:rPr>
        <w:t>sawyisi gamokvlevis Sedegebidan gamomdinare, xidebis da gzis qveda gasasvlelebisTvis rekomendirebulia ximinjovani siRrmuli saZirkvlebis daproeqteba. lokalurad da SedarebiT Rrmad gavrcelebuli xreSovani da kenWnarovani masalebi ximinjebis datvirTvebis mimarT sakmarisi mzidunarianobisaa. sadac mxolod SekavSirebuli masalebia dafiqsirebuli, saZirkvlebisTvis kiduli ximinjebi unda daproeqtdnen.</w:t>
      </w:r>
    </w:p>
    <w:p w14:paraId="7C20F54C" w14:textId="77777777" w:rsidR="00EA3205" w:rsidRPr="00B05F62" w:rsidRDefault="00EA3205" w:rsidP="008C44CF">
      <w:pPr>
        <w:spacing w:before="120" w:after="120"/>
        <w:rPr>
          <w:rFonts w:ascii="AcadNusx" w:hAnsi="AcadNusx"/>
        </w:rPr>
      </w:pPr>
      <w:r w:rsidRPr="00B05F62">
        <w:rPr>
          <w:rFonts w:ascii="AcadNusx" w:hAnsi="AcadNusx"/>
        </w:rPr>
        <w:t>mdinareebis WalebSi da napirebTan axlos gruntis pirobebi mokle manZilebze SeiZleba mkveTrad cvalebadi iyos. amitom calsaxad aris rekomendirebuli xidebis faqtiur samSeneblo ubnebze damatebiTi geoteqnikuri kvlevebis Catareba xidebis saZirkvlebis detaluri proeqtirebisTvis saWiro monacemebis mosapoveblad.</w:t>
      </w:r>
    </w:p>
    <w:p w14:paraId="176F60FE" w14:textId="77777777" w:rsidR="00EA3205" w:rsidRPr="00B05F62" w:rsidRDefault="00EA3205" w:rsidP="00EA3205">
      <w:pPr>
        <w:rPr>
          <w:rFonts w:ascii="AcadNusx" w:hAnsi="AcadNusx"/>
        </w:rPr>
      </w:pPr>
    </w:p>
    <w:p w14:paraId="48E12BC3" w14:textId="413936BC" w:rsidR="00EA3205" w:rsidRPr="008C44CF" w:rsidRDefault="00EA3205" w:rsidP="008C44CF">
      <w:pPr>
        <w:pStyle w:val="EIAheading2"/>
        <w:rPr>
          <w:rFonts w:ascii="AcadNusx" w:hAnsi="AcadNusx"/>
        </w:rPr>
      </w:pPr>
      <w:bookmarkStart w:id="125" w:name="_Toc529411831"/>
      <w:bookmarkStart w:id="126" w:name="_Toc515805886"/>
      <w:bookmarkStart w:id="127" w:name="_Toc1581512"/>
      <w:r w:rsidRPr="00B05F62">
        <w:t>4.</w:t>
      </w:r>
      <w:r w:rsidR="008C44CF">
        <w:rPr>
          <w:rFonts w:ascii="Sylfaen" w:hAnsi="Sylfaen"/>
          <w:lang w:val="ka-GE"/>
        </w:rPr>
        <w:t>1</w:t>
      </w:r>
      <w:r w:rsidR="00EA6DAA">
        <w:rPr>
          <w:rFonts w:ascii="Sylfaen" w:hAnsi="Sylfaen"/>
          <w:lang w:val="ka-GE"/>
        </w:rPr>
        <w:t>0</w:t>
      </w:r>
      <w:r w:rsidRPr="00B05F62">
        <w:t xml:space="preserve"> </w:t>
      </w:r>
      <w:r w:rsidR="006B0240">
        <w:rPr>
          <w:rFonts w:ascii="Sylfaen" w:hAnsi="Sylfaen"/>
          <w:lang w:val="ka-GE"/>
        </w:rPr>
        <w:t>გზის დაპროექტება და სპროექტო გეომეტრიული სტანდარტების გამოყენება</w:t>
      </w:r>
      <w:bookmarkEnd w:id="125"/>
      <w:bookmarkEnd w:id="126"/>
      <w:bookmarkEnd w:id="127"/>
    </w:p>
    <w:p w14:paraId="0158B953" w14:textId="77777777" w:rsidR="00EA3205" w:rsidRPr="00B05F62" w:rsidRDefault="00EA3205" w:rsidP="00EA3205">
      <w:pPr>
        <w:rPr>
          <w:rFonts w:ascii="AcadNusx" w:hAnsi="AcadNusx"/>
        </w:rPr>
      </w:pPr>
    </w:p>
    <w:p w14:paraId="43CA64B1" w14:textId="46A52706" w:rsidR="00EA3205" w:rsidRPr="008C44CF" w:rsidRDefault="00EA3205" w:rsidP="008C44CF">
      <w:pPr>
        <w:pStyle w:val="Heading3"/>
        <w:rPr>
          <w:rFonts w:ascii="AcadNusx" w:hAnsi="AcadNusx"/>
          <w:lang w:val="en-US"/>
        </w:rPr>
      </w:pPr>
      <w:bookmarkStart w:id="128" w:name="_Toc1581513"/>
      <w:r w:rsidRPr="008C44CF">
        <w:rPr>
          <w:rFonts w:ascii="AcadNusx" w:hAnsi="AcadNusx"/>
        </w:rPr>
        <w:t>4.</w:t>
      </w:r>
      <w:r w:rsidR="00EB1823">
        <w:rPr>
          <w:rFonts w:ascii="Sylfaen" w:hAnsi="Sylfaen"/>
          <w:lang w:val="ka-GE"/>
        </w:rPr>
        <w:t>1</w:t>
      </w:r>
      <w:r w:rsidR="00EA6DAA">
        <w:rPr>
          <w:rFonts w:ascii="Sylfaen" w:hAnsi="Sylfaen"/>
          <w:lang w:val="ka-GE"/>
        </w:rPr>
        <w:t>0</w:t>
      </w:r>
      <w:r w:rsidRPr="008C44CF">
        <w:rPr>
          <w:rFonts w:ascii="AcadNusx" w:hAnsi="AcadNusx"/>
        </w:rPr>
        <w:t xml:space="preserve">.1 </w:t>
      </w:r>
      <w:r w:rsidR="006B0240">
        <w:rPr>
          <w:rFonts w:ascii="Sylfaen" w:hAnsi="Sylfaen"/>
          <w:lang w:val="ka-GE"/>
        </w:rPr>
        <w:t>ჰორიზონტალური და ვერტიკალური ტრასირება</w:t>
      </w:r>
      <w:bookmarkEnd w:id="128"/>
    </w:p>
    <w:p w14:paraId="4685B557" w14:textId="77777777" w:rsidR="00EA3205" w:rsidRPr="00B05F62" w:rsidRDefault="00EA3205" w:rsidP="00EA3205">
      <w:pPr>
        <w:rPr>
          <w:rFonts w:ascii="AcadNusx" w:hAnsi="AcadNusx"/>
        </w:rPr>
      </w:pPr>
    </w:p>
    <w:p w14:paraId="128AA426" w14:textId="77777777" w:rsidR="00EA3205" w:rsidRPr="00B05F62" w:rsidRDefault="00EA3205" w:rsidP="00EA3205">
      <w:pPr>
        <w:rPr>
          <w:rFonts w:ascii="AcadNusx" w:hAnsi="AcadNusx"/>
        </w:rPr>
      </w:pPr>
      <w:r w:rsidRPr="00B05F62">
        <w:rPr>
          <w:rFonts w:ascii="AcadNusx" w:hAnsi="AcadNusx"/>
        </w:rPr>
        <w:t>upiratesi alternatiuli trasis safuZvelze damuSavda gurjaani/(Cumlayi)-Telavis SemovliTi gzis winaswari sainJinro-teqnikuri proeqti.</w:t>
      </w:r>
    </w:p>
    <w:p w14:paraId="720C2CD1" w14:textId="77777777" w:rsidR="00EA3205" w:rsidRPr="00B05F62" w:rsidRDefault="00EA3205" w:rsidP="00EB1823">
      <w:pPr>
        <w:spacing w:before="120" w:after="120"/>
        <w:rPr>
          <w:rFonts w:ascii="AcadNusx" w:hAnsi="AcadNusx"/>
        </w:rPr>
      </w:pPr>
      <w:r w:rsidRPr="00B05F62">
        <w:rPr>
          <w:rFonts w:ascii="AcadNusx" w:hAnsi="AcadNusx"/>
        </w:rPr>
        <w:t xml:space="preserve">gurjaani/(Cumlayi)-Telavis sagzao monakveTi gamoeyofa amJamad mSeneblobis stadiaSi myof bakurcixe-gurjaanis SemovliT gzas miaxloebiT 14.06 km niSnulTan. am punqtidan gza gagrZeldeba Crdilo-dasavleTis mimarTulebiT, ZiriTadad arsebuli rkinigzis xazis gaswvriv, Semouvlis mukuzans, vazisubans, kalaurs, Sromas, akuras, vanTas, buSeTs, winandals, kisisxevs da Telavs, ris Semdegac </w:t>
      </w:r>
      <w:r w:rsidRPr="00B05F62">
        <w:rPr>
          <w:rFonts w:ascii="AcadNusx" w:hAnsi="AcadNusx"/>
        </w:rPr>
        <w:lastRenderedPageBreak/>
        <w:t>mouxvevs marjvniv da SeuerTdeba Jinvali-wnoris sagzao derefnis axmeta-Telavis monakveTs, gomboris gzis mierTebasTan. axali gzis sigrZe 36.67 km-s Seadgens.</w:t>
      </w:r>
    </w:p>
    <w:p w14:paraId="686DF03C" w14:textId="77777777" w:rsidR="00EA3205" w:rsidRPr="00B05F62" w:rsidRDefault="00EA3205" w:rsidP="00EB1823">
      <w:pPr>
        <w:spacing w:before="120" w:after="120"/>
        <w:rPr>
          <w:rFonts w:ascii="AcadNusx" w:hAnsi="AcadNusx"/>
        </w:rPr>
      </w:pPr>
      <w:r w:rsidRPr="00B05F62">
        <w:rPr>
          <w:rFonts w:ascii="AcadNusx" w:hAnsi="AcadNusx"/>
        </w:rPr>
        <w:t>axali gzis saproeqto geometriuli parametrebi gansazRvrulia 100 km/sT sididis saangariSo moZraobis siCqaris gaTvaliswinebiT, bolo 1.4 km sigrZis segmentis garda, sadac axali gza 7%-mde vertikaluri qanobis mqone arsebul gzas miuyveba. axali gzis centraluri RerZis minimaluri horizontaluri radiusi Seadgens 450 metrs, xolo minimaluri da maqsimaluri vertikaluri qanobebi, Sesabamisad – 0.4%-s da 7%-s.</w:t>
      </w:r>
    </w:p>
    <w:p w14:paraId="6D7370DA" w14:textId="77777777" w:rsidR="00EA3205" w:rsidRPr="00B05F62" w:rsidRDefault="00EA3205" w:rsidP="00EB1823">
      <w:pPr>
        <w:spacing w:before="120" w:after="120"/>
        <w:rPr>
          <w:rFonts w:ascii="AcadNusx" w:hAnsi="AcadNusx"/>
        </w:rPr>
      </w:pPr>
      <w:r w:rsidRPr="00B05F62">
        <w:rPr>
          <w:rFonts w:ascii="AcadNusx" w:hAnsi="AcadNusx"/>
        </w:rPr>
        <w:t>bolo 1.4 km sigrZis monakveTze, sadac saproeqto gza arsebuls miuyveba, gasaTvaliswinebelia droebiTi gaumjobesebis RonisZiebani, Zinvalisken mimavali SemovliTi gzis mSeneblobamde.</w:t>
      </w:r>
    </w:p>
    <w:p w14:paraId="7931E35A" w14:textId="77777777" w:rsidR="00EA3205" w:rsidRPr="00B05F62" w:rsidRDefault="00EA3205" w:rsidP="00EB1823">
      <w:pPr>
        <w:spacing w:before="120" w:after="120"/>
        <w:rPr>
          <w:rFonts w:ascii="AcadNusx" w:hAnsi="AcadNusx"/>
        </w:rPr>
      </w:pPr>
      <w:r w:rsidRPr="00B05F62">
        <w:rPr>
          <w:rFonts w:ascii="AcadNusx" w:hAnsi="AcadNusx"/>
        </w:rPr>
        <w:t>axali gzis trasis mogrZo segmentebi arsebul rkinigzis xazs miuyvebian. amitom gzis miwayrilis simaRle SesabamisobaSia rkinigzis miwayrilis simaRlesTan, raTa rkinigzis miwayrilSi gayvanili wyalgamtari milebis zomebi uwyvetad iyon Sexazebuli gzis qveS daproeqtebuli Sesabamisi milebis zomebTan.</w:t>
      </w:r>
    </w:p>
    <w:p w14:paraId="392CDBF8" w14:textId="77777777" w:rsidR="00EA3205" w:rsidRPr="00B05F62" w:rsidRDefault="00EA3205" w:rsidP="00EB1823">
      <w:pPr>
        <w:spacing w:before="120" w:after="120"/>
        <w:rPr>
          <w:rFonts w:ascii="AcadNusx" w:hAnsi="AcadNusx"/>
        </w:rPr>
      </w:pPr>
      <w:r w:rsidRPr="00B05F62">
        <w:rPr>
          <w:rFonts w:ascii="AcadNusx" w:hAnsi="AcadNusx"/>
        </w:rPr>
        <w:t>gzebis departamentis warmomadgenlebTan erTad adgilze gasvlis dros gadawyda, rom km 2+750 da km 4+250 saproeqto niSnulebs Soris, md. Wermisxevis samxreTiT mdebare sasoflo-sameurneo da sakarmidamo nakveTebze zemoqmedebis Tavidan asacileblad, axali gza mdinaris napiris gaswvriv gaivlis.</w:t>
      </w:r>
    </w:p>
    <w:p w14:paraId="08FF87C6" w14:textId="77777777" w:rsidR="00EA3205" w:rsidRPr="00B05F62" w:rsidRDefault="00EA3205" w:rsidP="00EA3205">
      <w:pPr>
        <w:rPr>
          <w:rFonts w:ascii="AcadNusx" w:hAnsi="AcadNusx"/>
        </w:rPr>
      </w:pPr>
    </w:p>
    <w:p w14:paraId="4E085FC4" w14:textId="35C175A9" w:rsidR="00EA3205" w:rsidRPr="00B05F62" w:rsidRDefault="00EA3205" w:rsidP="00EA3205">
      <w:pPr>
        <w:rPr>
          <w:rFonts w:ascii="AcadNusx" w:hAnsi="AcadNusx"/>
        </w:rPr>
      </w:pPr>
      <w:r w:rsidRPr="00B05F62">
        <w:rPr>
          <w:rFonts w:ascii="AcadNusx" w:hAnsi="AcadNusx"/>
          <w:noProof/>
          <w:lang w:val="en-US" w:eastAsia="en-US"/>
        </w:rPr>
        <w:drawing>
          <wp:inline distT="0" distB="0" distL="0" distR="0" wp14:anchorId="4FB09E4D" wp14:editId="4023457B">
            <wp:extent cx="5874385" cy="1242060"/>
            <wp:effectExtent l="0" t="0" r="0" b="0"/>
            <wp:docPr id="240" name="Picture 240" descr="Macintosh HD:Users:carstengriese:Desktop:Screenshot 2018-05-21 um 14.3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Macintosh HD:Users:carstengriese:Desktop:Screenshot 2018-05-21 um 14.35.56.png"/>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5874385" cy="1242060"/>
                    </a:xfrm>
                    <a:prstGeom prst="rect">
                      <a:avLst/>
                    </a:prstGeom>
                    <a:noFill/>
                    <a:ln>
                      <a:noFill/>
                    </a:ln>
                  </pic:spPr>
                </pic:pic>
              </a:graphicData>
            </a:graphic>
          </wp:inline>
        </w:drawing>
      </w:r>
    </w:p>
    <w:p w14:paraId="324EBBD2" w14:textId="40942D25" w:rsidR="00EA3205" w:rsidRPr="00B05F62" w:rsidRDefault="00EA3205" w:rsidP="00EA3205">
      <w:pPr>
        <w:rPr>
          <w:rFonts w:ascii="AcadNusx" w:hAnsi="AcadNusx"/>
        </w:rPr>
      </w:pPr>
      <w:r w:rsidRPr="00B05F62">
        <w:rPr>
          <w:rFonts w:ascii="AcadNusx" w:hAnsi="AcadNusx"/>
        </w:rPr>
        <w:t xml:space="preserve">suraTi </w:t>
      </w:r>
      <w:r w:rsidR="00EB1823">
        <w:rPr>
          <w:rFonts w:ascii="Sylfaen" w:hAnsi="Sylfaen"/>
          <w:lang w:val="ka-GE"/>
        </w:rPr>
        <w:t>4.1</w:t>
      </w:r>
      <w:r w:rsidR="00EA6DAA">
        <w:rPr>
          <w:rFonts w:ascii="Sylfaen" w:hAnsi="Sylfaen"/>
          <w:lang w:val="ka-GE"/>
        </w:rPr>
        <w:t>0</w:t>
      </w:r>
      <w:r w:rsidRPr="00B05F62">
        <w:rPr>
          <w:rFonts w:ascii="AcadNusx" w:hAnsi="AcadNusx"/>
        </w:rPr>
        <w:t>.1</w:t>
      </w:r>
      <w:r w:rsidR="00EB1823">
        <w:rPr>
          <w:rFonts w:ascii="Sylfaen" w:hAnsi="Sylfaen"/>
          <w:lang w:val="ka-GE"/>
        </w:rPr>
        <w:t xml:space="preserve"> -1</w:t>
      </w:r>
      <w:r w:rsidR="00B77B2E">
        <w:rPr>
          <w:rFonts w:ascii="AcadNusx" w:hAnsi="AcadNusx"/>
        </w:rPr>
        <w:tab/>
        <w:t xml:space="preserve">gza </w:t>
      </w:r>
      <w:r w:rsidRPr="00B05F62">
        <w:rPr>
          <w:rFonts w:ascii="AcadNusx" w:hAnsi="AcadNusx"/>
        </w:rPr>
        <w:t>md. Wermisxevis gaswvriv saproeqto km 2+750 da km 4+250 niSnulebs Soris ubanze.</w:t>
      </w:r>
    </w:p>
    <w:p w14:paraId="2EDC12D7" w14:textId="77777777" w:rsidR="00EA3205" w:rsidRPr="00B05F62" w:rsidRDefault="00EA3205" w:rsidP="00EB1823">
      <w:pPr>
        <w:spacing w:before="120" w:after="120"/>
        <w:rPr>
          <w:rFonts w:ascii="AcadNusx" w:hAnsi="AcadNusx"/>
        </w:rPr>
      </w:pPr>
      <w:r w:rsidRPr="00B05F62">
        <w:rPr>
          <w:rFonts w:ascii="AcadNusx" w:hAnsi="AcadNusx"/>
        </w:rPr>
        <w:t>aRniSnuli gadawyetis Sesabamisad, mdinaris axali gadakveTa moewyoba dagrZelebuli mrudis gaswvriv da ar iqneba arsebuli xidis paraleluri. aqedan gamomdinare, md. Wermisxevze gadasasvleli xidi aseTi daSvebiT aris daproeqtebuli. axali xidis sigrZis minimizirebis da arsebuli xidis sios zomebTan morgebis mizniT, daproeqtebulia naburRi ximinjebis kedlis saxis mdinaris kalapotis maregulirebeli nageboba. amasTan erTad, winaswari proeqti iTvaliswinebs kalapotis maregulirebeli kedlis zurgis mxaris ukuSevsebas da balaxeulobiT gamwvanebas.</w:t>
      </w:r>
    </w:p>
    <w:p w14:paraId="4BCB8F35" w14:textId="77777777" w:rsidR="00EA3205" w:rsidRPr="00B05F62" w:rsidRDefault="00EA3205" w:rsidP="00EA3205">
      <w:pPr>
        <w:rPr>
          <w:rFonts w:ascii="AcadNusx" w:hAnsi="AcadNusx"/>
        </w:rPr>
      </w:pPr>
    </w:p>
    <w:p w14:paraId="5B41BA92" w14:textId="445B078A" w:rsidR="00EA3205" w:rsidRPr="00B05F62" w:rsidRDefault="00EB1823" w:rsidP="00EA3205">
      <w:pPr>
        <w:rPr>
          <w:rFonts w:ascii="AcadNusx" w:hAnsi="AcadNusx"/>
        </w:rPr>
      </w:pPr>
      <w:r w:rsidRPr="00B05F62">
        <w:rPr>
          <w:rFonts w:ascii="AcadNusx" w:hAnsi="AcadNusx"/>
          <w:noProof/>
          <w:lang w:val="en-US" w:eastAsia="en-US"/>
        </w:rPr>
        <w:lastRenderedPageBreak/>
        <mc:AlternateContent>
          <mc:Choice Requires="wps">
            <w:drawing>
              <wp:anchor distT="0" distB="0" distL="114300" distR="114300" simplePos="0" relativeHeight="251675648" behindDoc="0" locked="0" layoutInCell="1" allowOverlap="1" wp14:anchorId="0E3592E7" wp14:editId="2918529A">
                <wp:simplePos x="0" y="0"/>
                <wp:positionH relativeFrom="column">
                  <wp:posOffset>1997459</wp:posOffset>
                </wp:positionH>
                <wp:positionV relativeFrom="paragraph">
                  <wp:posOffset>2311053</wp:posOffset>
                </wp:positionV>
                <wp:extent cx="1742536" cy="453390"/>
                <wp:effectExtent l="0" t="0" r="0" b="3810"/>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2536" cy="453390"/>
                        </a:xfrm>
                        <a:prstGeom prst="rect">
                          <a:avLst/>
                        </a:prstGeom>
                        <a:noFill/>
                        <a:ln>
                          <a:noFill/>
                        </a:ln>
                        <a:effectLst/>
                        <a:extLst>
                          <a:ext uri="{FAA26D3D-D897-4be2-8F04-BA451C77F1D7}"/>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61797571" w14:textId="77777777" w:rsidR="00A2588D" w:rsidRPr="00EB1823" w:rsidRDefault="00A2588D" w:rsidP="00EA3205">
                            <w:pPr>
                              <w:rPr>
                                <w:rFonts w:ascii="AcadNusx" w:hAnsi="AcadNusx"/>
                                <w:lang w:val="en-US"/>
                              </w:rPr>
                            </w:pPr>
                            <w:r w:rsidRPr="00EB1823">
                              <w:rPr>
                                <w:rFonts w:ascii="AcadNusx" w:hAnsi="AcadNusx"/>
                              </w:rPr>
                              <w:t>ukuSevseba da</w:t>
                            </w:r>
                            <w:r w:rsidRPr="00F2480A">
                              <w:t xml:space="preserve"> </w:t>
                            </w:r>
                            <w:r w:rsidRPr="00EB1823">
                              <w:rPr>
                                <w:rFonts w:ascii="AcadNusx" w:hAnsi="AcadNusx"/>
                              </w:rPr>
                              <w:t>gamwvaneba</w:t>
                            </w:r>
                          </w:p>
                        </w:txbxContent>
                      </wps:txbx>
                      <wps:bodyPr rot="0" spcFirstLastPara="0" vertOverflow="overflow" horzOverflow="overflow" vert="horz" wrap="square" lIns="91440" tIns="36000" rIns="36000" bIns="396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592E7" id="Text Box 257" o:spid="_x0000_s1177" type="#_x0000_t202" style="position:absolute;left:0;text-align:left;margin-left:157.3pt;margin-top:181.95pt;width:137.2pt;height:35.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" filled="f" stroked="f">
                <v:path arrowok="t"/>
                <v:textbox inset=",1mm,1mm,1.1mm">
                  <w:txbxContent>
                    <w:p w14:paraId="61797571" w14:textId="77777777" w:rsidR="00A2588D" w:rsidRPr="00EB1823" w:rsidRDefault="00A2588D" w:rsidP="00EA3205">
                      <w:pPr>
                        <w:rPr>
                          <w:rFonts w:ascii="AcadNusx" w:hAnsi="AcadNusx"/>
                          <w:lang w:val="en-US"/>
                        </w:rPr>
                      </w:pPr>
                      <w:r w:rsidRPr="00EB1823">
                        <w:rPr>
                          <w:rFonts w:ascii="AcadNusx" w:hAnsi="AcadNusx"/>
                        </w:rPr>
                        <w:t>ukuSevseba da</w:t>
                      </w:r>
                      <w:r w:rsidRPr="00F2480A">
                        <w:t xml:space="preserve"> </w:t>
                      </w:r>
                      <w:r w:rsidRPr="00EB1823">
                        <w:rPr>
                          <w:rFonts w:ascii="AcadNusx" w:hAnsi="AcadNusx"/>
                        </w:rPr>
                        <w:t>gamwvaneba</w:t>
                      </w:r>
                    </w:p>
                  </w:txbxContent>
                </v:textbox>
              </v:shape>
            </w:pict>
          </mc:Fallback>
        </mc:AlternateContent>
      </w:r>
      <w:r w:rsidRPr="00B05F62">
        <w:rPr>
          <w:rFonts w:ascii="AcadNusx" w:hAnsi="AcadNusx"/>
          <w:noProof/>
          <w:lang w:val="en-US" w:eastAsia="en-US"/>
        </w:rPr>
        <mc:AlternateContent>
          <mc:Choice Requires="wps">
            <w:drawing>
              <wp:anchor distT="0" distB="0" distL="114300" distR="114300" simplePos="0" relativeHeight="251674624" behindDoc="0" locked="0" layoutInCell="1" allowOverlap="1" wp14:anchorId="35295884" wp14:editId="726D57CE">
                <wp:simplePos x="0" y="0"/>
                <wp:positionH relativeFrom="column">
                  <wp:posOffset>3516295</wp:posOffset>
                </wp:positionH>
                <wp:positionV relativeFrom="paragraph">
                  <wp:posOffset>715322</wp:posOffset>
                </wp:positionV>
                <wp:extent cx="2303252" cy="509905"/>
                <wp:effectExtent l="0" t="0" r="1905" b="4445"/>
                <wp:wrapNone/>
                <wp:docPr id="25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3252" cy="509905"/>
                        </a:xfrm>
                        <a:prstGeom prst="rect">
                          <a:avLst/>
                        </a:prstGeom>
                        <a:noFill/>
                        <a:ln>
                          <a:noFill/>
                        </a:ln>
                        <a:effectLst/>
                        <a:extLst>
                          <a:ext uri="{FAA26D3D-D897-4be2-8F04-BA451C77F1D7}"/>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28BB5168" w14:textId="77777777" w:rsidR="00A2588D" w:rsidRPr="00EB1823" w:rsidRDefault="00A2588D" w:rsidP="00EA3205">
                            <w:pPr>
                              <w:rPr>
                                <w:rFonts w:ascii="AcadNusx" w:hAnsi="AcadNusx"/>
                                <w:lang w:val="en-US"/>
                              </w:rPr>
                            </w:pPr>
                            <w:r w:rsidRPr="00EB1823">
                              <w:rPr>
                                <w:rFonts w:ascii="AcadNusx" w:hAnsi="AcadNusx"/>
                              </w:rPr>
                              <w:t>kalapotis maregulirebeli kedeli</w:t>
                            </w:r>
                          </w:p>
                        </w:txbxContent>
                      </wps:txbx>
                      <wps:bodyPr rot="0" spcFirstLastPara="0" vertOverflow="overflow" horzOverflow="overflow" vert="horz" wrap="square" lIns="91440" tIns="36000" rIns="36000" bIns="396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95884" id="Text Box 258" o:spid="_x0000_s1178" type="#_x0000_t202" style="position:absolute;left:0;text-align:left;margin-left:276.85pt;margin-top:56.3pt;width:181.35pt;height:40.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" filled="f" stroked="f">
                <v:path arrowok="t"/>
                <v:textbox inset=",1mm,1mm,1.1mm">
                  <w:txbxContent>
                    <w:p w14:paraId="28BB5168" w14:textId="77777777" w:rsidR="00A2588D" w:rsidRPr="00EB1823" w:rsidRDefault="00A2588D" w:rsidP="00EA3205">
                      <w:pPr>
                        <w:rPr>
                          <w:rFonts w:ascii="AcadNusx" w:hAnsi="AcadNusx"/>
                          <w:lang w:val="en-US"/>
                        </w:rPr>
                      </w:pPr>
                      <w:r w:rsidRPr="00EB1823">
                        <w:rPr>
                          <w:rFonts w:ascii="AcadNusx" w:hAnsi="AcadNusx"/>
                        </w:rPr>
                        <w:t>kalapotis maregulirebeli kedeli</w:t>
                      </w:r>
                    </w:p>
                  </w:txbxContent>
                </v:textbox>
              </v:shape>
            </w:pict>
          </mc:Fallback>
        </mc:AlternateContent>
      </w:r>
      <w:r w:rsidRPr="00B05F62">
        <w:rPr>
          <w:rFonts w:ascii="AcadNusx" w:hAnsi="AcadNusx"/>
          <w:noProof/>
          <w:lang w:val="en-US" w:eastAsia="en-US"/>
        </w:rPr>
        <mc:AlternateContent>
          <mc:Choice Requires="wps">
            <w:drawing>
              <wp:anchor distT="0" distB="0" distL="114300" distR="114300" simplePos="0" relativeHeight="251678720" behindDoc="0" locked="0" layoutInCell="1" allowOverlap="1" wp14:anchorId="144401EA" wp14:editId="08F2EE2A">
                <wp:simplePos x="0" y="0"/>
                <wp:positionH relativeFrom="column">
                  <wp:posOffset>2964851</wp:posOffset>
                </wp:positionH>
                <wp:positionV relativeFrom="paragraph">
                  <wp:posOffset>249291</wp:posOffset>
                </wp:positionV>
                <wp:extent cx="2095500" cy="499110"/>
                <wp:effectExtent l="0" t="0" r="0" b="0"/>
                <wp:wrapNone/>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0" cy="499110"/>
                        </a:xfrm>
                        <a:prstGeom prst="rect">
                          <a:avLst/>
                        </a:prstGeom>
                        <a:noFill/>
                        <a:ln>
                          <a:noFill/>
                        </a:ln>
                        <a:effectLst/>
                        <a:extLst>
                          <a:ext uri="{FAA26D3D-D897-4be2-8F04-BA451C77F1D7}"/>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61430C6B" w14:textId="77777777" w:rsidR="00A2588D" w:rsidRPr="00EB1823" w:rsidRDefault="00A2588D" w:rsidP="00EA3205">
                            <w:pPr>
                              <w:rPr>
                                <w:rFonts w:ascii="AcadNusx" w:hAnsi="AcadNusx"/>
                              </w:rPr>
                            </w:pPr>
                            <w:r w:rsidRPr="00EB1823">
                              <w:rPr>
                                <w:rFonts w:ascii="AcadNusx" w:hAnsi="AcadNusx"/>
                              </w:rPr>
                              <w:t xml:space="preserve">xidi #3 </w:t>
                            </w:r>
                          </w:p>
                          <w:p w14:paraId="64405111" w14:textId="77777777" w:rsidR="00A2588D" w:rsidRPr="00EB1823" w:rsidRDefault="00A2588D" w:rsidP="00EA3205">
                            <w:pPr>
                              <w:rPr>
                                <w:rFonts w:ascii="AcadNusx" w:hAnsi="AcadNusx"/>
                              </w:rPr>
                            </w:pPr>
                            <w:r w:rsidRPr="00EB1823">
                              <w:rPr>
                                <w:rFonts w:ascii="AcadNusx" w:hAnsi="AcadNusx"/>
                              </w:rPr>
                              <w:t>km 4+414.604 – km 4+576.707</w:t>
                            </w:r>
                          </w:p>
                        </w:txbxContent>
                      </wps:txbx>
                      <wps:bodyPr rot="0" spcFirstLastPara="0" vertOverflow="overflow" horzOverflow="overflow" vert="horz" wrap="square" lIns="91440" tIns="36000" rIns="36000" bIns="396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401EA" id="Text Box 254" o:spid="_x0000_s1179" type="#_x0000_t202" style="position:absolute;left:0;text-align:left;margin-left:233.45pt;margin-top:19.65pt;width:165pt;height:39.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" filled="f" stroked="f">
                <v:path arrowok="t"/>
                <v:textbox inset=",1mm,1mm,1.1mm">
                  <w:txbxContent>
                    <w:p w14:paraId="61430C6B" w14:textId="77777777" w:rsidR="00A2588D" w:rsidRPr="00EB1823" w:rsidRDefault="00A2588D" w:rsidP="00EA3205">
                      <w:pPr>
                        <w:rPr>
                          <w:rFonts w:ascii="AcadNusx" w:hAnsi="AcadNusx"/>
                        </w:rPr>
                      </w:pPr>
                      <w:r w:rsidRPr="00EB1823">
                        <w:rPr>
                          <w:rFonts w:ascii="AcadNusx" w:hAnsi="AcadNusx"/>
                        </w:rPr>
                        <w:t xml:space="preserve">xidi #3 </w:t>
                      </w:r>
                    </w:p>
                    <w:p w14:paraId="64405111" w14:textId="77777777" w:rsidR="00A2588D" w:rsidRPr="00EB1823" w:rsidRDefault="00A2588D" w:rsidP="00EA3205">
                      <w:pPr>
                        <w:rPr>
                          <w:rFonts w:ascii="AcadNusx" w:hAnsi="AcadNusx"/>
                        </w:rPr>
                      </w:pPr>
                      <w:r w:rsidRPr="00EB1823">
                        <w:rPr>
                          <w:rFonts w:ascii="AcadNusx" w:hAnsi="AcadNusx"/>
                        </w:rPr>
                        <w:t>km 4+414.604 – km 4+576.707</w:t>
                      </w:r>
                    </w:p>
                  </w:txbxContent>
                </v:textbox>
              </v:shape>
            </w:pict>
          </mc:Fallback>
        </mc:AlternateContent>
      </w:r>
      <w:r w:rsidR="00EA3205" w:rsidRPr="00B05F62">
        <w:rPr>
          <w:rFonts w:ascii="AcadNusx" w:hAnsi="AcadNusx"/>
          <w:noProof/>
          <w:lang w:val="en-US" w:eastAsia="en-US"/>
        </w:rPr>
        <mc:AlternateContent>
          <mc:Choice Requires="wps">
            <w:drawing>
              <wp:anchor distT="0" distB="0" distL="114300" distR="114300" simplePos="0" relativeHeight="251676672" behindDoc="0" locked="0" layoutInCell="1" allowOverlap="1" wp14:anchorId="38515E51" wp14:editId="046B7FB0">
                <wp:simplePos x="0" y="0"/>
                <wp:positionH relativeFrom="column">
                  <wp:posOffset>2654300</wp:posOffset>
                </wp:positionH>
                <wp:positionV relativeFrom="paragraph">
                  <wp:posOffset>1113155</wp:posOffset>
                </wp:positionV>
                <wp:extent cx="2095500" cy="11430"/>
                <wp:effectExtent l="0" t="0" r="19050" b="26670"/>
                <wp:wrapNone/>
                <wp:docPr id="256" name="Straight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1143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A1437F" id="Straight Connector 25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pt,87.65pt" to="374pt,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" strokecolor="black [3213]" strokeweight="1pt">
                <v:stroke joinstyle="miter"/>
                <o:lock v:ext="edit" shapetype="f"/>
              </v:line>
            </w:pict>
          </mc:Fallback>
        </mc:AlternateContent>
      </w:r>
      <w:r w:rsidR="00EA3205" w:rsidRPr="00B05F62">
        <w:rPr>
          <w:rFonts w:ascii="AcadNusx" w:hAnsi="AcadNusx"/>
          <w:noProof/>
          <w:lang w:val="en-US" w:eastAsia="en-US"/>
        </w:rPr>
        <mc:AlternateContent>
          <mc:Choice Requires="wps">
            <w:drawing>
              <wp:anchor distT="0" distB="0" distL="114300" distR="114300" simplePos="0" relativeHeight="251677696" behindDoc="0" locked="0" layoutInCell="1" allowOverlap="1" wp14:anchorId="249C1E52" wp14:editId="10C4028B">
                <wp:simplePos x="0" y="0"/>
                <wp:positionH relativeFrom="column">
                  <wp:posOffset>2025650</wp:posOffset>
                </wp:positionH>
                <wp:positionV relativeFrom="paragraph">
                  <wp:posOffset>1124585</wp:posOffset>
                </wp:positionV>
                <wp:extent cx="628650" cy="255270"/>
                <wp:effectExtent l="0" t="0" r="19050" b="30480"/>
                <wp:wrapNone/>
                <wp:docPr id="255" name="Straight Connector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8650" cy="25527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66D4BC" id="Straight Connector 255"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5pt,88.55pt" to="209pt,10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" strokecolor="black [3213]" strokeweight="1pt">
                <v:stroke joinstyle="miter"/>
                <o:lock v:ext="edit" shapetype="f"/>
              </v:line>
            </w:pict>
          </mc:Fallback>
        </mc:AlternateContent>
      </w:r>
      <w:r w:rsidR="00EA3205" w:rsidRPr="00B05F62">
        <w:rPr>
          <w:rFonts w:ascii="AcadNusx" w:hAnsi="AcadNusx"/>
          <w:noProof/>
          <w:lang w:val="en-US" w:eastAsia="en-US"/>
        </w:rPr>
        <mc:AlternateContent>
          <mc:Choice Requires="wps">
            <w:drawing>
              <wp:anchor distT="0" distB="0" distL="114300" distR="114300" simplePos="0" relativeHeight="251679744" behindDoc="0" locked="0" layoutInCell="1" allowOverlap="1" wp14:anchorId="100A247C" wp14:editId="6237C5BE">
                <wp:simplePos x="0" y="0"/>
                <wp:positionH relativeFrom="column">
                  <wp:posOffset>0</wp:posOffset>
                </wp:positionH>
                <wp:positionV relativeFrom="paragraph">
                  <wp:posOffset>1501775</wp:posOffset>
                </wp:positionV>
                <wp:extent cx="838200" cy="376555"/>
                <wp:effectExtent l="0" t="0" r="0" b="4445"/>
                <wp:wrapNone/>
                <wp:docPr id="25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376555"/>
                        </a:xfrm>
                        <a:prstGeom prst="rect">
                          <a:avLst/>
                        </a:prstGeom>
                        <a:noFill/>
                        <a:ln>
                          <a:noFill/>
                        </a:ln>
                        <a:effectLst/>
                        <a:extLst>
                          <a:ext uri="{FAA26D3D-D897-4be2-8F04-BA451C77F1D7}"/>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BBF7EFC" w14:textId="77777777" w:rsidR="00A2588D" w:rsidRPr="00EB1823" w:rsidRDefault="00A2588D" w:rsidP="00EA3205">
                            <w:pPr>
                              <w:rPr>
                                <w:rFonts w:ascii="AcadNusx" w:hAnsi="AcadNusx"/>
                                <w:lang w:val="en-US"/>
                              </w:rPr>
                            </w:pPr>
                            <w:r w:rsidRPr="00EB1823">
                              <w:rPr>
                                <w:rFonts w:ascii="AcadNusx" w:hAnsi="AcadNusx"/>
                              </w:rPr>
                              <w:t>arsebuli xidi</w:t>
                            </w:r>
                          </w:p>
                        </w:txbxContent>
                      </wps:txbx>
                      <wps:bodyPr rot="0" spcFirstLastPara="0" vertOverflow="overflow" horzOverflow="overflow" vert="horz" wrap="square" lIns="91440" tIns="36000" rIns="36000" bIns="396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A247C" id="Text Box 253" o:spid="_x0000_s1180" type="#_x0000_t202" style="position:absolute;left:0;text-align:left;margin-left:0;margin-top:118.25pt;width:66pt;height:29.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" filled="f" stroked="f">
                <v:path arrowok="t"/>
                <v:textbox inset=",1mm,1mm,1.1mm">
                  <w:txbxContent>
                    <w:p w14:paraId="5BBF7EFC" w14:textId="77777777" w:rsidR="00A2588D" w:rsidRPr="00EB1823" w:rsidRDefault="00A2588D" w:rsidP="00EA3205">
                      <w:pPr>
                        <w:rPr>
                          <w:rFonts w:ascii="AcadNusx" w:hAnsi="AcadNusx"/>
                          <w:lang w:val="en-US"/>
                        </w:rPr>
                      </w:pPr>
                      <w:r w:rsidRPr="00EB1823">
                        <w:rPr>
                          <w:rFonts w:ascii="AcadNusx" w:hAnsi="AcadNusx"/>
                        </w:rPr>
                        <w:t>arsebuli xidi</w:t>
                      </w:r>
                    </w:p>
                  </w:txbxContent>
                </v:textbox>
              </v:shape>
            </w:pict>
          </mc:Fallback>
        </mc:AlternateContent>
      </w:r>
      <w:r w:rsidR="00EA3205" w:rsidRPr="00B05F62">
        <w:rPr>
          <w:rFonts w:ascii="AcadNusx" w:hAnsi="AcadNusx"/>
          <w:noProof/>
          <w:lang w:val="en-US" w:eastAsia="en-US"/>
        </w:rPr>
        <mc:AlternateContent>
          <mc:Choice Requires="wps">
            <w:drawing>
              <wp:anchor distT="0" distB="0" distL="114300" distR="114300" simplePos="0" relativeHeight="251680768" behindDoc="0" locked="0" layoutInCell="1" allowOverlap="1" wp14:anchorId="70265E8B" wp14:editId="73661045">
                <wp:simplePos x="0" y="0"/>
                <wp:positionH relativeFrom="column">
                  <wp:posOffset>2165350</wp:posOffset>
                </wp:positionH>
                <wp:positionV relativeFrom="paragraph">
                  <wp:posOffset>1661795</wp:posOffset>
                </wp:positionV>
                <wp:extent cx="908050" cy="335280"/>
                <wp:effectExtent l="0" t="0" r="25400" b="26670"/>
                <wp:wrapNone/>
                <wp:docPr id="252"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08050" cy="33528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235C24" id="Straight Connector 25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5pt,130.85pt" to="242pt,1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" strokecolor="black [3213]" strokeweight="1pt">
                <v:stroke joinstyle="miter"/>
                <o:lock v:ext="edit" shapetype="f"/>
              </v:line>
            </w:pict>
          </mc:Fallback>
        </mc:AlternateContent>
      </w:r>
      <w:r w:rsidR="00EA3205" w:rsidRPr="00B05F62">
        <w:rPr>
          <w:rFonts w:ascii="AcadNusx" w:hAnsi="AcadNusx"/>
          <w:noProof/>
          <w:lang w:val="en-US" w:eastAsia="en-US"/>
        </w:rPr>
        <mc:AlternateContent>
          <mc:Choice Requires="wps">
            <w:drawing>
              <wp:anchor distT="4294967295" distB="4294967295" distL="114300" distR="114300" simplePos="0" relativeHeight="251681792" behindDoc="0" locked="0" layoutInCell="1" allowOverlap="1" wp14:anchorId="0B05EEDD" wp14:editId="04E0EC32">
                <wp:simplePos x="0" y="0"/>
                <wp:positionH relativeFrom="column">
                  <wp:posOffset>3073400</wp:posOffset>
                </wp:positionH>
                <wp:positionV relativeFrom="paragraph">
                  <wp:posOffset>1673225</wp:posOffset>
                </wp:positionV>
                <wp:extent cx="1327150" cy="0"/>
                <wp:effectExtent l="0" t="0" r="25400" b="19050"/>
                <wp:wrapNone/>
                <wp:docPr id="251"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27150"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97B364" id="Straight Connector 251"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42pt,131.75pt" to="346.5pt,1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" strokecolor="black [3213]" strokeweight="1pt">
                <v:stroke joinstyle="miter"/>
                <o:lock v:ext="edit" shapetype="f"/>
              </v:line>
            </w:pict>
          </mc:Fallback>
        </mc:AlternateContent>
      </w:r>
      <w:r w:rsidR="00EA3205" w:rsidRPr="00B05F62">
        <w:rPr>
          <w:rFonts w:ascii="AcadNusx" w:hAnsi="AcadNusx"/>
          <w:noProof/>
          <w:lang w:val="en-US" w:eastAsia="en-US"/>
        </w:rPr>
        <w:drawing>
          <wp:inline distT="0" distB="0" distL="0" distR="0" wp14:anchorId="45B5E144" wp14:editId="7AED7CC6">
            <wp:extent cx="5400136" cy="3769995"/>
            <wp:effectExtent l="0" t="0" r="0" b="1905"/>
            <wp:docPr id="239" name="Picture 239" descr="Macintosh HD:Users:carstengriese:Documents:Bri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Macintosh HD:Users:carstengriese:Documents:Bridge.jpg"/>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5414928" cy="3780322"/>
                    </a:xfrm>
                    <a:prstGeom prst="rect">
                      <a:avLst/>
                    </a:prstGeom>
                    <a:noFill/>
                    <a:ln>
                      <a:noFill/>
                    </a:ln>
                  </pic:spPr>
                </pic:pic>
              </a:graphicData>
            </a:graphic>
          </wp:inline>
        </w:drawing>
      </w:r>
    </w:p>
    <w:p w14:paraId="039F5679" w14:textId="605807BD" w:rsidR="00EA3205" w:rsidRPr="00B05F62" w:rsidRDefault="00EA3205" w:rsidP="00EA3205">
      <w:pPr>
        <w:rPr>
          <w:rFonts w:ascii="AcadNusx" w:hAnsi="AcadNusx"/>
        </w:rPr>
      </w:pPr>
      <w:r w:rsidRPr="00B05F62">
        <w:rPr>
          <w:rFonts w:ascii="AcadNusx" w:hAnsi="AcadNusx"/>
        </w:rPr>
        <w:t>suraTi 4.</w:t>
      </w:r>
      <w:r w:rsidR="00EB1823">
        <w:rPr>
          <w:rFonts w:ascii="Sylfaen" w:hAnsi="Sylfaen"/>
          <w:lang w:val="ka-GE"/>
        </w:rPr>
        <w:t>1</w:t>
      </w:r>
      <w:r w:rsidR="00EA6DAA">
        <w:rPr>
          <w:rFonts w:ascii="Sylfaen" w:hAnsi="Sylfaen"/>
          <w:lang w:val="ka-GE"/>
        </w:rPr>
        <w:t>0</w:t>
      </w:r>
      <w:r w:rsidR="00EB1823">
        <w:rPr>
          <w:rFonts w:ascii="Sylfaen" w:hAnsi="Sylfaen"/>
          <w:lang w:val="ka-GE"/>
        </w:rPr>
        <w:t>.</w:t>
      </w:r>
      <w:r w:rsidRPr="00B05F62">
        <w:rPr>
          <w:rFonts w:ascii="AcadNusx" w:hAnsi="AcadNusx"/>
        </w:rPr>
        <w:t>.2</w:t>
      </w:r>
      <w:r w:rsidR="00EB1823">
        <w:rPr>
          <w:rFonts w:ascii="Sylfaen" w:hAnsi="Sylfaen"/>
          <w:lang w:val="ka-GE"/>
        </w:rPr>
        <w:t>-2</w:t>
      </w:r>
      <w:r w:rsidRPr="00B05F62">
        <w:rPr>
          <w:rFonts w:ascii="AcadNusx" w:hAnsi="AcadNusx"/>
        </w:rPr>
        <w:t>.</w:t>
      </w:r>
      <w:r w:rsidRPr="00B05F62">
        <w:rPr>
          <w:rFonts w:ascii="AcadNusx" w:hAnsi="AcadNusx"/>
        </w:rPr>
        <w:tab/>
        <w:t>md. Wermiswylis gadakveTa da kalapotis maregulirebeli kedeli</w:t>
      </w:r>
    </w:p>
    <w:p w14:paraId="12C514DC" w14:textId="77777777" w:rsidR="00EA3205" w:rsidRPr="00B05F62" w:rsidRDefault="00EA3205" w:rsidP="00EA3205">
      <w:pPr>
        <w:rPr>
          <w:rFonts w:ascii="AcadNusx" w:hAnsi="AcadNusx"/>
        </w:rPr>
      </w:pPr>
    </w:p>
    <w:p w14:paraId="2DBDF88A" w14:textId="77777777" w:rsidR="00EA3205" w:rsidRPr="00B05F62" w:rsidRDefault="00EA3205" w:rsidP="00EA3205">
      <w:pPr>
        <w:rPr>
          <w:rFonts w:ascii="AcadNusx" w:hAnsi="AcadNusx"/>
        </w:rPr>
      </w:pPr>
      <w:r w:rsidRPr="00B05F62">
        <w:rPr>
          <w:rFonts w:ascii="AcadNusx" w:hAnsi="AcadNusx"/>
        </w:rPr>
        <w:t>gzis winaswari geometriuli (horizontaluri da vertikaluri) elementebis daproeqteba Sesrulda saavtomobilo gzebis kompiuteruli proeqtirebis programis CARD/1 gamoyenebiT. winamdebare angariSis me-2 tomSi warmodgenilia 1:1000 masStabSi Sesrulebuli Sesabamisi winaswari saproeqto naxazebi.</w:t>
      </w:r>
    </w:p>
    <w:p w14:paraId="6BF49DF2" w14:textId="77777777" w:rsidR="00EA3205" w:rsidRPr="00B05F62" w:rsidRDefault="00EA3205" w:rsidP="00EA3205">
      <w:pPr>
        <w:rPr>
          <w:rFonts w:ascii="AcadNusx" w:hAnsi="AcadNusx"/>
        </w:rPr>
      </w:pPr>
    </w:p>
    <w:p w14:paraId="225C489F" w14:textId="77777777" w:rsidR="00EA3205" w:rsidRPr="00B05F62" w:rsidRDefault="00EA3205" w:rsidP="00EA3205">
      <w:pPr>
        <w:rPr>
          <w:rFonts w:ascii="AcadNusx" w:hAnsi="AcadNusx"/>
        </w:rPr>
      </w:pPr>
    </w:p>
    <w:p w14:paraId="495AD168" w14:textId="77777777" w:rsidR="00EA3205" w:rsidRPr="00B05F62" w:rsidRDefault="00EA3205" w:rsidP="00EA3205">
      <w:pPr>
        <w:rPr>
          <w:rFonts w:ascii="AcadNusx" w:hAnsi="AcadNusx"/>
        </w:rPr>
      </w:pPr>
    </w:p>
    <w:p w14:paraId="3C204DDC" w14:textId="77777777" w:rsidR="00EA3205" w:rsidRPr="00B05F62" w:rsidRDefault="00EA3205" w:rsidP="00EA3205">
      <w:pPr>
        <w:rPr>
          <w:rFonts w:ascii="AcadNusx" w:hAnsi="AcadNusx"/>
        </w:rPr>
        <w:sectPr w:rsidR="00EA3205" w:rsidRPr="00B05F62" w:rsidSect="006B0240">
          <w:pgSz w:w="11906" w:h="16838"/>
          <w:pgMar w:top="1134" w:right="836" w:bottom="1134" w:left="1418" w:header="567" w:footer="709" w:gutter="0"/>
          <w:cols w:space="720"/>
        </w:sectPr>
      </w:pPr>
    </w:p>
    <w:p w14:paraId="3E57CAE9" w14:textId="77777777" w:rsidR="00EA3205" w:rsidRPr="00B05F62" w:rsidRDefault="00EA3205" w:rsidP="00EA3205">
      <w:pPr>
        <w:rPr>
          <w:rFonts w:ascii="AcadNusx" w:hAnsi="AcadNusx"/>
        </w:rPr>
      </w:pPr>
    </w:p>
    <w:p w14:paraId="49102C41" w14:textId="6E979AD4" w:rsidR="00EA3205" w:rsidRPr="00B05F62" w:rsidRDefault="00EA3205" w:rsidP="00EA3205">
      <w:pPr>
        <w:rPr>
          <w:rFonts w:ascii="AcadNusx" w:hAnsi="AcadNusx"/>
        </w:rPr>
      </w:pPr>
      <w:r w:rsidRPr="00B05F62">
        <w:rPr>
          <w:rFonts w:ascii="AcadNusx" w:hAnsi="AcadNusx"/>
          <w:noProof/>
          <w:lang w:val="en-US" w:eastAsia="en-US"/>
        </w:rPr>
        <w:drawing>
          <wp:inline distT="0" distB="0" distL="0" distR="0" wp14:anchorId="6D8FB9C1" wp14:editId="60EB2D8B">
            <wp:extent cx="8479790" cy="5046345"/>
            <wp:effectExtent l="0" t="0" r="0" b="1905"/>
            <wp:docPr id="238" name="Picture 238" descr="Macintosh HD:Users:carstengriese:Documents:Chumlaki-Telavi_LP-05.12.20177 - 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5" descr="Macintosh HD:Users:carstengriese:Documents:Chumlaki-Telavi_LP-05.12.20177 - A1-1.jpg"/>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rot="10800000">
                      <a:off x="0" y="0"/>
                      <a:ext cx="8479790" cy="5046345"/>
                    </a:xfrm>
                    <a:prstGeom prst="rect">
                      <a:avLst/>
                    </a:prstGeom>
                    <a:noFill/>
                    <a:ln>
                      <a:noFill/>
                    </a:ln>
                  </pic:spPr>
                </pic:pic>
              </a:graphicData>
            </a:graphic>
          </wp:inline>
        </w:drawing>
      </w:r>
    </w:p>
    <w:p w14:paraId="0C7E8AC4" w14:textId="77777777" w:rsidR="00EA3205" w:rsidRPr="00B05F62" w:rsidRDefault="00EA3205" w:rsidP="00EA3205">
      <w:pPr>
        <w:rPr>
          <w:rFonts w:ascii="AcadNusx" w:hAnsi="AcadNusx"/>
        </w:rPr>
      </w:pPr>
    </w:p>
    <w:p w14:paraId="6D9E29D0" w14:textId="72136686" w:rsidR="00EA3205" w:rsidRPr="00B05F62" w:rsidRDefault="00EA3205" w:rsidP="00EA3205">
      <w:pPr>
        <w:rPr>
          <w:rFonts w:ascii="AcadNusx" w:hAnsi="AcadNusx"/>
        </w:rPr>
      </w:pPr>
      <w:r w:rsidRPr="00B05F62">
        <w:rPr>
          <w:rFonts w:ascii="AcadNusx" w:hAnsi="AcadNusx"/>
        </w:rPr>
        <w:t xml:space="preserve">suraTi </w:t>
      </w:r>
      <w:r w:rsidR="00EB1823" w:rsidRPr="00B05F62">
        <w:rPr>
          <w:rFonts w:ascii="AcadNusx" w:hAnsi="AcadNusx"/>
        </w:rPr>
        <w:t>4.</w:t>
      </w:r>
      <w:r w:rsidR="00EB1823">
        <w:rPr>
          <w:rFonts w:ascii="Sylfaen" w:hAnsi="Sylfaen"/>
          <w:lang w:val="ka-GE"/>
        </w:rPr>
        <w:t>1</w:t>
      </w:r>
      <w:r w:rsidR="00EA6DAA">
        <w:rPr>
          <w:rFonts w:ascii="Sylfaen" w:hAnsi="Sylfaen"/>
          <w:lang w:val="ka-GE"/>
        </w:rPr>
        <w:t>0</w:t>
      </w:r>
      <w:r w:rsidR="00EB1823">
        <w:rPr>
          <w:rFonts w:ascii="Sylfaen" w:hAnsi="Sylfaen"/>
          <w:lang w:val="ka-GE"/>
        </w:rPr>
        <w:t>.</w:t>
      </w:r>
      <w:r w:rsidR="00EB1823" w:rsidRPr="00B05F62">
        <w:rPr>
          <w:rFonts w:ascii="AcadNusx" w:hAnsi="AcadNusx"/>
        </w:rPr>
        <w:t>.2</w:t>
      </w:r>
      <w:r w:rsidR="00EB1823">
        <w:rPr>
          <w:rFonts w:ascii="Sylfaen" w:hAnsi="Sylfaen"/>
          <w:lang w:val="ka-GE"/>
        </w:rPr>
        <w:t>-3</w:t>
      </w:r>
      <w:r w:rsidR="00EB1823" w:rsidRPr="00B05F62">
        <w:rPr>
          <w:rFonts w:ascii="AcadNusx" w:hAnsi="AcadNusx"/>
        </w:rPr>
        <w:t>.</w:t>
      </w:r>
      <w:r w:rsidRPr="00B05F62">
        <w:rPr>
          <w:rFonts w:ascii="AcadNusx" w:hAnsi="AcadNusx"/>
        </w:rPr>
        <w:t xml:space="preserve">: </w:t>
      </w:r>
      <w:r w:rsidR="00EB1823" w:rsidRPr="00B05F62">
        <w:rPr>
          <w:rFonts w:ascii="AcadNusx" w:hAnsi="AcadNusx"/>
        </w:rPr>
        <w:t>Telavi</w:t>
      </w:r>
      <w:r w:rsidR="00EB1823">
        <w:rPr>
          <w:rFonts w:ascii="Sylfaen" w:hAnsi="Sylfaen"/>
          <w:lang w:val="ka-GE"/>
        </w:rPr>
        <w:t>-</w:t>
      </w:r>
      <w:r w:rsidRPr="00B05F62">
        <w:rPr>
          <w:rFonts w:ascii="AcadNusx" w:hAnsi="AcadNusx"/>
        </w:rPr>
        <w:t>gurjaani</w:t>
      </w:r>
      <w:r w:rsidR="00EB1823">
        <w:rPr>
          <w:rFonts w:ascii="Sylfaen" w:hAnsi="Sylfaen"/>
          <w:lang w:val="ka-GE"/>
        </w:rPr>
        <w:t xml:space="preserve">ს </w:t>
      </w:r>
      <w:r w:rsidRPr="00B05F62">
        <w:rPr>
          <w:rFonts w:ascii="AcadNusx" w:hAnsi="AcadNusx"/>
        </w:rPr>
        <w:t>(Cumlayi) –monakveTis ruka</w:t>
      </w:r>
    </w:p>
    <w:p w14:paraId="67B6FBA2" w14:textId="77777777" w:rsidR="00EA3205" w:rsidRPr="00B05F62" w:rsidRDefault="00EA3205" w:rsidP="00EA3205">
      <w:pPr>
        <w:rPr>
          <w:rFonts w:ascii="AcadNusx" w:hAnsi="AcadNusx"/>
        </w:rPr>
      </w:pPr>
    </w:p>
    <w:p w14:paraId="71E0656B" w14:textId="4ADB5C3E" w:rsidR="00EA3205" w:rsidRPr="00B05F62" w:rsidRDefault="00EA3205" w:rsidP="00EA3205">
      <w:pPr>
        <w:rPr>
          <w:rFonts w:ascii="AcadNusx" w:hAnsi="AcadNusx"/>
        </w:rPr>
      </w:pPr>
      <w:r w:rsidRPr="00B05F62">
        <w:rPr>
          <w:rFonts w:ascii="AcadNusx" w:hAnsi="AcadNusx"/>
          <w:noProof/>
          <w:lang w:val="en-US" w:eastAsia="en-US"/>
        </w:rPr>
        <w:lastRenderedPageBreak/>
        <w:drawing>
          <wp:inline distT="0" distB="0" distL="0" distR="0" wp14:anchorId="3DD608F7" wp14:editId="2D0F64F2">
            <wp:extent cx="7867015" cy="4735830"/>
            <wp:effectExtent l="0" t="0" r="635" b="7620"/>
            <wp:docPr id="237" name="Picture 237" descr="Macintosh HD:Users:carstengriese:Documents:Chumlaki-Telavi_LP-05.12.20177 - 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6" descr="Macintosh HD:Users:carstengriese:Documents:Chumlaki-Telavi_LP-05.12.20177 - A1-2.jpg"/>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rot="10800000">
                      <a:off x="0" y="0"/>
                      <a:ext cx="7867015" cy="4735830"/>
                    </a:xfrm>
                    <a:prstGeom prst="rect">
                      <a:avLst/>
                    </a:prstGeom>
                    <a:noFill/>
                    <a:ln>
                      <a:noFill/>
                    </a:ln>
                  </pic:spPr>
                </pic:pic>
              </a:graphicData>
            </a:graphic>
          </wp:inline>
        </w:drawing>
      </w:r>
    </w:p>
    <w:p w14:paraId="489FA578" w14:textId="77777777" w:rsidR="00EA3205" w:rsidRPr="00B05F62" w:rsidRDefault="00EA3205" w:rsidP="00EA3205">
      <w:pPr>
        <w:rPr>
          <w:rFonts w:ascii="AcadNusx" w:hAnsi="AcadNusx"/>
        </w:rPr>
      </w:pPr>
    </w:p>
    <w:p w14:paraId="2F9BC024" w14:textId="73694F6E" w:rsidR="00EA3205" w:rsidRPr="00B05F62" w:rsidRDefault="00EB1823" w:rsidP="00EA3205">
      <w:pPr>
        <w:rPr>
          <w:rFonts w:ascii="AcadNusx" w:hAnsi="AcadNusx"/>
        </w:rPr>
      </w:pPr>
      <w:r w:rsidRPr="00B05F62">
        <w:rPr>
          <w:rFonts w:ascii="AcadNusx" w:hAnsi="AcadNusx"/>
        </w:rPr>
        <w:t>suraTi 4.</w:t>
      </w:r>
      <w:r>
        <w:rPr>
          <w:rFonts w:ascii="Sylfaen" w:hAnsi="Sylfaen"/>
          <w:lang w:val="ka-GE"/>
        </w:rPr>
        <w:t>1</w:t>
      </w:r>
      <w:r w:rsidR="00EA6DAA">
        <w:rPr>
          <w:rFonts w:ascii="Sylfaen" w:hAnsi="Sylfaen"/>
          <w:lang w:val="ka-GE"/>
        </w:rPr>
        <w:t>0</w:t>
      </w:r>
      <w:r>
        <w:rPr>
          <w:rFonts w:ascii="Sylfaen" w:hAnsi="Sylfaen"/>
          <w:lang w:val="ka-GE"/>
        </w:rPr>
        <w:t>.</w:t>
      </w:r>
      <w:r w:rsidRPr="00B05F62">
        <w:rPr>
          <w:rFonts w:ascii="AcadNusx" w:hAnsi="AcadNusx"/>
        </w:rPr>
        <w:t>.2</w:t>
      </w:r>
      <w:r>
        <w:rPr>
          <w:rFonts w:ascii="Sylfaen" w:hAnsi="Sylfaen"/>
          <w:lang w:val="ka-GE"/>
        </w:rPr>
        <w:t>-4</w:t>
      </w:r>
      <w:r w:rsidR="00EA3205" w:rsidRPr="00B05F62">
        <w:rPr>
          <w:rFonts w:ascii="AcadNusx" w:hAnsi="AcadNusx"/>
        </w:rPr>
        <w:t>: gagrZeleba</w:t>
      </w:r>
    </w:p>
    <w:p w14:paraId="0526ECDD" w14:textId="77777777" w:rsidR="00EA3205" w:rsidRPr="00B05F62" w:rsidRDefault="00EA3205" w:rsidP="00EA3205">
      <w:pPr>
        <w:rPr>
          <w:rFonts w:ascii="AcadNusx" w:hAnsi="AcadNusx"/>
        </w:rPr>
        <w:sectPr w:rsidR="00EA3205" w:rsidRPr="00B05F62">
          <w:pgSz w:w="16838" w:h="11906" w:orient="landscape"/>
          <w:pgMar w:top="1418" w:right="1134" w:bottom="1134" w:left="1134" w:header="567" w:footer="709" w:gutter="0"/>
          <w:cols w:space="720"/>
        </w:sectPr>
      </w:pPr>
    </w:p>
    <w:p w14:paraId="41598E36" w14:textId="649137E9" w:rsidR="00EA3205" w:rsidRPr="00B77B2E" w:rsidRDefault="00EA3205" w:rsidP="00EB1823">
      <w:pPr>
        <w:pStyle w:val="Heading3"/>
        <w:rPr>
          <w:rFonts w:ascii="AcadNusx" w:hAnsi="AcadNusx"/>
        </w:rPr>
      </w:pPr>
      <w:bookmarkStart w:id="129" w:name="_Toc1581514"/>
      <w:r w:rsidRPr="00B05F62">
        <w:lastRenderedPageBreak/>
        <w:t>4.</w:t>
      </w:r>
      <w:r w:rsidR="00EB1823">
        <w:rPr>
          <w:rFonts w:ascii="Sylfaen" w:hAnsi="Sylfaen"/>
          <w:lang w:val="ka-GE"/>
        </w:rPr>
        <w:t>1</w:t>
      </w:r>
      <w:r w:rsidR="00EA6DAA">
        <w:rPr>
          <w:rFonts w:ascii="Sylfaen" w:hAnsi="Sylfaen"/>
          <w:lang w:val="ka-GE"/>
        </w:rPr>
        <w:t>0</w:t>
      </w:r>
      <w:r w:rsidRPr="00B05F62">
        <w:t xml:space="preserve">.2 </w:t>
      </w:r>
      <w:r w:rsidR="006B0240">
        <w:rPr>
          <w:rFonts w:ascii="Sylfaen" w:hAnsi="Sylfaen"/>
          <w:lang w:val="ka-GE"/>
        </w:rPr>
        <w:t>სატრანსპორტო კვანძები</w:t>
      </w:r>
      <w:bookmarkEnd w:id="129"/>
    </w:p>
    <w:p w14:paraId="23B182BD" w14:textId="77777777" w:rsidR="00EA3205" w:rsidRPr="00B05F62" w:rsidRDefault="00EA3205" w:rsidP="00EA3205">
      <w:pPr>
        <w:rPr>
          <w:rFonts w:ascii="AcadNusx" w:hAnsi="AcadNusx"/>
        </w:rPr>
      </w:pPr>
    </w:p>
    <w:p w14:paraId="6BF14D52" w14:textId="77777777" w:rsidR="00EA3205" w:rsidRPr="00B05F62" w:rsidRDefault="00EA3205" w:rsidP="00EA3205">
      <w:pPr>
        <w:rPr>
          <w:rFonts w:ascii="AcadNusx" w:hAnsi="AcadNusx"/>
        </w:rPr>
      </w:pPr>
      <w:r w:rsidRPr="00B05F62">
        <w:rPr>
          <w:rFonts w:ascii="AcadNusx" w:hAnsi="AcadNusx"/>
        </w:rPr>
        <w:t>Cumlayi-Telavis sagzao monakveTis bakurcixe-gurjaanis SemovliT gzasTan dasakavSireblad daproeqtda “sayviris” formis gzagamtari, romelic agreTve Seasrulebs Telavidan axal trasaze misasvleli gzis funqcias. axlad SeTavazebul gzagamtarTan dakavSireba moiTxovs amJamad mSenebare bakurcixe-gurjaanis SemovliTi gzis km 14+06-dan km 14+56-mde gamaval miaxloebiT 500 m sigrZis ubnis modificirebas. kvanZis adgili SerCeuli iqna saproeqto gzis samxreT aRmosavleTiT kerZo sakuTrebis aTvisebis minimizaciis gaTvaliswinebiT.</w:t>
      </w:r>
    </w:p>
    <w:p w14:paraId="233039A1" w14:textId="77777777" w:rsidR="00EA3205" w:rsidRPr="00B05F62" w:rsidRDefault="00EA3205" w:rsidP="00EA3205">
      <w:pPr>
        <w:rPr>
          <w:rFonts w:ascii="AcadNusx" w:hAnsi="AcadNusx"/>
        </w:rPr>
      </w:pPr>
    </w:p>
    <w:p w14:paraId="0C1F8C44" w14:textId="4C5C003E" w:rsidR="00EA3205" w:rsidRPr="00B05F62" w:rsidRDefault="00EA3205" w:rsidP="00EA3205">
      <w:pPr>
        <w:rPr>
          <w:rFonts w:ascii="AcadNusx" w:hAnsi="AcadNusx"/>
        </w:rPr>
      </w:pPr>
      <w:r w:rsidRPr="00B05F62">
        <w:rPr>
          <w:rFonts w:ascii="AcadNusx" w:hAnsi="AcadNusx"/>
          <w:noProof/>
          <w:lang w:val="en-US" w:eastAsia="en-US"/>
        </w:rPr>
        <w:drawing>
          <wp:inline distT="0" distB="0" distL="0" distR="0" wp14:anchorId="5722BC47" wp14:editId="00074E0F">
            <wp:extent cx="6334125" cy="6107430"/>
            <wp:effectExtent l="0" t="0" r="9525" b="7620"/>
            <wp:docPr id="236" name="Picture 236" descr="Macintosh HD:Users:carstengriese:Documen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7" descr="Macintosh HD:Users:carstengriese:Documents:1.jpg"/>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6334125" cy="6107430"/>
                    </a:xfrm>
                    <a:prstGeom prst="rect">
                      <a:avLst/>
                    </a:prstGeom>
                    <a:noFill/>
                    <a:ln>
                      <a:noFill/>
                    </a:ln>
                  </pic:spPr>
                </pic:pic>
              </a:graphicData>
            </a:graphic>
          </wp:inline>
        </w:drawing>
      </w:r>
    </w:p>
    <w:p w14:paraId="1A18A500" w14:textId="6207AC72" w:rsidR="00EA3205" w:rsidRPr="00B05F62" w:rsidRDefault="00EA3205" w:rsidP="00EA3205">
      <w:pPr>
        <w:rPr>
          <w:rFonts w:ascii="AcadNusx" w:hAnsi="AcadNusx"/>
        </w:rPr>
      </w:pPr>
      <w:r w:rsidRPr="00B05F62">
        <w:rPr>
          <w:rFonts w:ascii="AcadNusx" w:hAnsi="AcadNusx"/>
        </w:rPr>
        <w:t>suraTi 4.</w:t>
      </w:r>
      <w:r w:rsidR="00EB1823">
        <w:rPr>
          <w:rFonts w:ascii="Sylfaen" w:hAnsi="Sylfaen"/>
          <w:lang w:val="ka-GE"/>
        </w:rPr>
        <w:t>1</w:t>
      </w:r>
      <w:r w:rsidR="00EA6DAA">
        <w:rPr>
          <w:rFonts w:ascii="Sylfaen" w:hAnsi="Sylfaen"/>
          <w:lang w:val="ka-GE"/>
        </w:rPr>
        <w:t>0</w:t>
      </w:r>
      <w:r w:rsidR="00EB1823">
        <w:rPr>
          <w:rFonts w:ascii="Sylfaen" w:hAnsi="Sylfaen"/>
          <w:lang w:val="ka-GE"/>
        </w:rPr>
        <w:t>.2-1</w:t>
      </w:r>
      <w:r w:rsidRPr="00B05F62">
        <w:rPr>
          <w:rFonts w:ascii="AcadNusx" w:hAnsi="AcadNusx"/>
        </w:rPr>
        <w:t>: Telavis</w:t>
      </w:r>
      <w:r w:rsidR="00EB1823">
        <w:rPr>
          <w:rFonts w:ascii="Sylfaen" w:hAnsi="Sylfaen"/>
          <w:lang w:val="ka-GE"/>
        </w:rPr>
        <w:t>-</w:t>
      </w:r>
      <w:r w:rsidRPr="00B05F62">
        <w:rPr>
          <w:rFonts w:ascii="AcadNusx" w:hAnsi="AcadNusx"/>
        </w:rPr>
        <w:t xml:space="preserve"> </w:t>
      </w:r>
      <w:r w:rsidR="00EB1823" w:rsidRPr="00B05F62">
        <w:rPr>
          <w:rFonts w:ascii="AcadNusx" w:hAnsi="AcadNusx"/>
        </w:rPr>
        <w:t xml:space="preserve">Cumlayi </w:t>
      </w:r>
      <w:r w:rsidRPr="00B05F62">
        <w:rPr>
          <w:rFonts w:ascii="AcadNusx" w:hAnsi="AcadNusx"/>
        </w:rPr>
        <w:t>dasawyisi, bakurcixe-gurjaanis asaqcevi gza</w:t>
      </w:r>
    </w:p>
    <w:p w14:paraId="3E7EA959" w14:textId="77777777" w:rsidR="00EA3205" w:rsidRPr="00B05F62" w:rsidRDefault="00EA3205" w:rsidP="00EA3205">
      <w:pPr>
        <w:rPr>
          <w:rFonts w:ascii="AcadNusx" w:hAnsi="AcadNusx"/>
        </w:rPr>
      </w:pPr>
    </w:p>
    <w:p w14:paraId="1C338597" w14:textId="002BB4B3" w:rsidR="00EA3205" w:rsidRPr="00B05F62" w:rsidRDefault="00EA3205" w:rsidP="00EA3205">
      <w:pPr>
        <w:rPr>
          <w:rFonts w:ascii="AcadNusx" w:hAnsi="AcadNusx"/>
        </w:rPr>
      </w:pPr>
      <w:r w:rsidRPr="00B05F62">
        <w:rPr>
          <w:rFonts w:ascii="AcadNusx" w:hAnsi="AcadNusx"/>
        </w:rPr>
        <w:t xml:space="preserve">Cumlayi-Telavis SemovliTi gzis boloSi, axmeta-Telavis gzasTan gadakveTisTvis daproeqtda T-formis sagzao mierTeba arsebuli mierTebis gamoyenebiT. miuxedavad imisa, rom axali mierTeba ganixileba rogorc droebiTi gadawyveta, romelic imoqmedebs mxolod axmeta-Telavis sagzao monakveTis modernizaciis dasrulebamde, maszed, sagzao moZraobis </w:t>
      </w:r>
      <w:r w:rsidRPr="00B05F62">
        <w:rPr>
          <w:rFonts w:ascii="AcadNusx" w:hAnsi="AcadNusx"/>
        </w:rPr>
        <w:lastRenderedPageBreak/>
        <w:t xml:space="preserve">usafrTxoebis gasaumjobeseblad, moewyoba specialuri (gancalkevebuli) mosaxvevi zolebi da kunZulebi. didi britaneTis “ZiriTadi/ meorexarisxovani sagzao mierTebebis geometriuli elementebis proeqtirebis saxelmZRvanelos” (UK Design Manual for Geometric Design of Major/Minor Priority Junctions) Sesabamisad, T-formis sagzao mierTebis gamtarunarianoba, kunZulebis gaTvaliswinebiT, sakmarisia mosalodneli intensiurobis satransporto nakadebis gasatareblad </w:t>
      </w:r>
    </w:p>
    <w:p w14:paraId="7F98A58D" w14:textId="77777777" w:rsidR="00EA3205" w:rsidRPr="00B05F62" w:rsidRDefault="00EA3205" w:rsidP="00EA3205">
      <w:pPr>
        <w:rPr>
          <w:rFonts w:ascii="AcadNusx" w:hAnsi="AcadNusx"/>
        </w:rPr>
      </w:pPr>
    </w:p>
    <w:p w14:paraId="1E141F2A" w14:textId="4A2102BA" w:rsidR="00EA3205" w:rsidRPr="00B05F62" w:rsidRDefault="00EA3205" w:rsidP="00EA3205">
      <w:pPr>
        <w:rPr>
          <w:rFonts w:ascii="AcadNusx" w:hAnsi="AcadNusx"/>
        </w:rPr>
      </w:pPr>
      <w:r w:rsidRPr="00B05F62">
        <w:rPr>
          <w:rFonts w:ascii="AcadNusx" w:hAnsi="AcadNusx"/>
          <w:noProof/>
          <w:lang w:val="en-US" w:eastAsia="en-US"/>
        </w:rPr>
        <w:drawing>
          <wp:inline distT="0" distB="0" distL="0" distR="0" wp14:anchorId="6A9DD3BF" wp14:editId="0243E2F1">
            <wp:extent cx="5943600" cy="3761105"/>
            <wp:effectExtent l="0" t="0" r="0" b="0"/>
            <wp:docPr id="235" name="Picture 235" descr="Macintosh HD:Users:carstengriese:Document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0" descr="Macintosh HD:Users:carstengriese:Documents:6.jpg"/>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5943600" cy="3761105"/>
                    </a:xfrm>
                    <a:prstGeom prst="rect">
                      <a:avLst/>
                    </a:prstGeom>
                    <a:noFill/>
                    <a:ln>
                      <a:noFill/>
                    </a:ln>
                  </pic:spPr>
                </pic:pic>
              </a:graphicData>
            </a:graphic>
          </wp:inline>
        </w:drawing>
      </w:r>
    </w:p>
    <w:p w14:paraId="04FC5B5D" w14:textId="77777777" w:rsidR="00EA3205" w:rsidRPr="00B05F62" w:rsidRDefault="00EA3205" w:rsidP="00EA3205">
      <w:pPr>
        <w:rPr>
          <w:rFonts w:ascii="AcadNusx" w:hAnsi="AcadNusx"/>
        </w:rPr>
      </w:pPr>
    </w:p>
    <w:p w14:paraId="6049AEBD" w14:textId="5A22C732" w:rsidR="00EA3205" w:rsidRPr="00B05F62" w:rsidRDefault="00EA3205" w:rsidP="00EA3205">
      <w:pPr>
        <w:rPr>
          <w:rFonts w:ascii="AcadNusx" w:hAnsi="AcadNusx"/>
        </w:rPr>
      </w:pPr>
      <w:r w:rsidRPr="00B05F62">
        <w:rPr>
          <w:rFonts w:ascii="AcadNusx" w:hAnsi="AcadNusx"/>
        </w:rPr>
        <w:t xml:space="preserve">suraTi </w:t>
      </w:r>
      <w:r w:rsidR="00EB1823" w:rsidRPr="00B05F62">
        <w:rPr>
          <w:rFonts w:ascii="AcadNusx" w:hAnsi="AcadNusx"/>
        </w:rPr>
        <w:t>4.</w:t>
      </w:r>
      <w:r w:rsidR="00EB1823">
        <w:rPr>
          <w:rFonts w:ascii="Sylfaen" w:hAnsi="Sylfaen"/>
          <w:lang w:val="ka-GE"/>
        </w:rPr>
        <w:t>1</w:t>
      </w:r>
      <w:r w:rsidR="00EA6DAA">
        <w:rPr>
          <w:rFonts w:ascii="Sylfaen" w:hAnsi="Sylfaen"/>
          <w:lang w:val="ka-GE"/>
        </w:rPr>
        <w:t>0</w:t>
      </w:r>
      <w:r w:rsidR="00EB1823">
        <w:rPr>
          <w:rFonts w:ascii="Sylfaen" w:hAnsi="Sylfaen"/>
          <w:lang w:val="ka-GE"/>
        </w:rPr>
        <w:t>.2-2</w:t>
      </w:r>
      <w:r w:rsidRPr="00B05F62">
        <w:rPr>
          <w:rFonts w:ascii="AcadNusx" w:hAnsi="AcadNusx"/>
        </w:rPr>
        <w:t>: Cumlayi-Telavis asaqcevi gzis kvanZi saproeqto monakveTis boloSi</w:t>
      </w:r>
    </w:p>
    <w:p w14:paraId="05C16C18" w14:textId="77777777" w:rsidR="00EA3205" w:rsidRPr="00B05F62" w:rsidRDefault="00EA3205" w:rsidP="00EA3205">
      <w:pPr>
        <w:rPr>
          <w:rFonts w:ascii="AcadNusx" w:hAnsi="AcadNusx"/>
        </w:rPr>
      </w:pPr>
    </w:p>
    <w:p w14:paraId="685C899E" w14:textId="77777777" w:rsidR="00EA3205" w:rsidRPr="00B05F62" w:rsidRDefault="00EA3205" w:rsidP="00EA3205">
      <w:pPr>
        <w:rPr>
          <w:rFonts w:ascii="AcadNusx" w:hAnsi="AcadNusx"/>
        </w:rPr>
      </w:pPr>
      <w:r w:rsidRPr="00B05F62">
        <w:rPr>
          <w:rFonts w:ascii="AcadNusx" w:hAnsi="AcadNusx"/>
        </w:rPr>
        <w:t xml:space="preserve">kunZulebi gamiznulia marcxniv momxvevi avtomobilebis sakmarisi manZiliT gancalkevebisTvis pirdapir moZravi nakadisgan. isini gamoirCevian maRali efeqturobiT usafrTxoebis pirobebis gaumjobesebis kuTxiT da rentabelobiT, gansakuTrebiT erT saval nawilian gzebze, sadac maTi mowyoba Zalzed mcire samSeneblo xarjebs moiTxovs. </w:t>
      </w:r>
    </w:p>
    <w:p w14:paraId="41185561" w14:textId="77777777" w:rsidR="00EA3205" w:rsidRPr="00B05F62" w:rsidRDefault="00EA3205" w:rsidP="00EA3205">
      <w:pPr>
        <w:rPr>
          <w:rFonts w:ascii="AcadNusx" w:hAnsi="AcadNusx"/>
        </w:rPr>
      </w:pPr>
    </w:p>
    <w:p w14:paraId="5D90420E" w14:textId="1C6A2EBE" w:rsidR="00EA3205" w:rsidRPr="00B05F62" w:rsidRDefault="00EA3205" w:rsidP="00EA3205">
      <w:pPr>
        <w:rPr>
          <w:rFonts w:ascii="AcadNusx" w:hAnsi="AcadNusx"/>
        </w:rPr>
      </w:pPr>
      <w:r w:rsidRPr="00B05F62">
        <w:rPr>
          <w:rFonts w:ascii="AcadNusx" w:hAnsi="AcadNusx"/>
          <w:noProof/>
          <w:lang w:val="en-US" w:eastAsia="en-US"/>
        </w:rPr>
        <w:lastRenderedPageBreak/>
        <w:drawing>
          <wp:inline distT="0" distB="0" distL="0" distR="0" wp14:anchorId="43D12C11" wp14:editId="26B2A076">
            <wp:extent cx="5184775" cy="3390265"/>
            <wp:effectExtent l="0" t="0" r="0" b="635"/>
            <wp:docPr id="234" name="Picture 234" descr="Macintosh HD:Users:carstengriese:Desktop:Screenshot 2017-11-16 um 17.2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6" descr="Macintosh HD:Users:carstengriese:Desktop:Screenshot 2017-11-16 um 17.22.42.pn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184775" cy="3390265"/>
                    </a:xfrm>
                    <a:prstGeom prst="rect">
                      <a:avLst/>
                    </a:prstGeom>
                    <a:noFill/>
                    <a:ln>
                      <a:noFill/>
                    </a:ln>
                  </pic:spPr>
                </pic:pic>
              </a:graphicData>
            </a:graphic>
          </wp:inline>
        </w:drawing>
      </w:r>
    </w:p>
    <w:p w14:paraId="0242E86F" w14:textId="7B873ED4" w:rsidR="00EA3205" w:rsidRPr="00B05F62" w:rsidRDefault="00EA3205" w:rsidP="00EA3205">
      <w:pPr>
        <w:rPr>
          <w:rFonts w:ascii="AcadNusx" w:hAnsi="AcadNusx"/>
        </w:rPr>
      </w:pPr>
      <w:r w:rsidRPr="00B05F62">
        <w:rPr>
          <w:rFonts w:ascii="AcadNusx" w:hAnsi="AcadNusx"/>
        </w:rPr>
        <w:t>ZiriTadi da meorexarisxovani erT saval nawiliani (2-zoliani) gzebis T-sebri mierTebebis mowyobis doneebi (variantebi) saangariSo wlis sagzao moZraobis moculobebis mixedviT</w:t>
      </w:r>
    </w:p>
    <w:p w14:paraId="5BDB9987" w14:textId="77777777" w:rsidR="00EA3205" w:rsidRPr="00EB1823" w:rsidRDefault="00EA3205" w:rsidP="00EB1823">
      <w:pPr>
        <w:spacing w:before="120" w:after="120"/>
        <w:rPr>
          <w:rFonts w:cs="Arial"/>
        </w:rPr>
      </w:pPr>
      <w:r w:rsidRPr="00B05F62">
        <w:rPr>
          <w:rFonts w:ascii="AcadNusx" w:hAnsi="AcadNusx"/>
        </w:rPr>
        <w:t>wyaro: “ZiriTadi/ meorexarisxovani sagzao mierTebebis geometriuli elementebis proeqtirebis saxelmZRvanelo”, didi britaneTis saavtomobilo gzebis saagento</w:t>
      </w:r>
      <w:r w:rsidRPr="00EB1823">
        <w:rPr>
          <w:rFonts w:cs="Arial"/>
        </w:rPr>
        <w:t>, TD/95</w:t>
      </w:r>
    </w:p>
    <w:p w14:paraId="129DBA86" w14:textId="77777777" w:rsidR="00EA3205" w:rsidRPr="00EB1823" w:rsidRDefault="00EA3205" w:rsidP="00EB1823">
      <w:pPr>
        <w:spacing w:before="120" w:after="120"/>
        <w:rPr>
          <w:rFonts w:cs="Arial"/>
        </w:rPr>
      </w:pPr>
      <w:r w:rsidRPr="00EB1823">
        <w:rPr>
          <w:rFonts w:cs="Arial"/>
        </w:rPr>
        <w:t>Geometric Design of Major/Minor Priority Junctions, The Highway Agency, UK, TD/95</w:t>
      </w:r>
    </w:p>
    <w:p w14:paraId="282B1558" w14:textId="001A5791" w:rsidR="00EA3205" w:rsidRPr="00B05F62" w:rsidRDefault="00EA3205" w:rsidP="00EB1823">
      <w:pPr>
        <w:spacing w:before="120" w:after="120"/>
        <w:rPr>
          <w:rFonts w:ascii="AcadNusx" w:hAnsi="AcadNusx"/>
        </w:rPr>
      </w:pPr>
      <w:r w:rsidRPr="00B05F62">
        <w:rPr>
          <w:rFonts w:ascii="AcadNusx" w:hAnsi="AcadNusx"/>
        </w:rPr>
        <w:t xml:space="preserve">vinaidan </w:t>
      </w:r>
      <w:r w:rsidR="00EB1823" w:rsidRPr="00B05F62">
        <w:rPr>
          <w:rFonts w:ascii="AcadNusx" w:hAnsi="AcadNusx"/>
        </w:rPr>
        <w:t>Telavis</w:t>
      </w:r>
      <w:r w:rsidR="00EB1823">
        <w:rPr>
          <w:rFonts w:ascii="Sylfaen" w:hAnsi="Sylfaen"/>
          <w:lang w:val="ka-GE"/>
        </w:rPr>
        <w:t>-</w:t>
      </w:r>
      <w:r w:rsidRPr="00B05F62">
        <w:rPr>
          <w:rFonts w:ascii="AcadNusx" w:hAnsi="AcadNusx"/>
        </w:rPr>
        <w:t>gurjaani/(Cumlayi) gza sasoflo xasiaTis dausaxlebel teritoriebze gadis, gzebis departamentTan ganxiluli iqna gzajvaredinebis raodenoba da mdebareobebi. ganxilvis mizans Seadgenda sagzao gadakveTebis raodenobis Semcireba satranzito satransporto nakadis Semsvleli/ gamomsvleli avtomobilebiT SeSfoTebis Sesarbileblad. Sedegad, adgilobriv sagzao qselTan dakavSirebisTvis mxolod SezRuduli raodenobis sagzao gadakveTebi daproeqtda.</w:t>
      </w:r>
    </w:p>
    <w:p w14:paraId="53A4E05F" w14:textId="77777777" w:rsidR="00EA3205" w:rsidRPr="00B05F62" w:rsidRDefault="00EA3205" w:rsidP="00EB1823">
      <w:pPr>
        <w:spacing w:before="120" w:after="120"/>
        <w:rPr>
          <w:rFonts w:ascii="AcadNusx" w:hAnsi="AcadNusx"/>
        </w:rPr>
      </w:pPr>
      <w:r w:rsidRPr="00B05F62">
        <w:rPr>
          <w:rFonts w:ascii="AcadNusx" w:hAnsi="AcadNusx"/>
        </w:rPr>
        <w:t xml:space="preserve">urTierTgadamkveTi satransporto nakadebis usafrTxod gatarebisTvis daproeqtda gzagamtarebi, romlebic uzrunvelyofen ori gzis sxvadasxva (gancalkevebul) doneebze gadakveTas. </w:t>
      </w:r>
    </w:p>
    <w:p w14:paraId="004B1DE3" w14:textId="77777777" w:rsidR="00EA3205" w:rsidRPr="00B05F62" w:rsidRDefault="00EA3205" w:rsidP="00EB1823">
      <w:pPr>
        <w:spacing w:before="120" w:after="120"/>
        <w:rPr>
          <w:rFonts w:ascii="AcadNusx" w:hAnsi="AcadNusx"/>
        </w:rPr>
      </w:pPr>
      <w:r w:rsidRPr="00EB1823">
        <w:rPr>
          <w:rFonts w:cs="Arial"/>
        </w:rPr>
        <w:t>AASHTO</w:t>
      </w:r>
      <w:r w:rsidRPr="00B05F62">
        <w:rPr>
          <w:rFonts w:ascii="AcadNusx" w:hAnsi="AcadNusx"/>
        </w:rPr>
        <w:t>-s ganmartebiT, gzagamtari warmoadgens erTi an meti gancalkevebuli doniT urTierTdakavSirebul savali nawilebis sistemas, romelic uzrunvelyofs or an met gzas an gzatkecils Soris transportis sxvadasxva doneebze gatarebas</w:t>
      </w:r>
      <w:r w:rsidRPr="00B05F62">
        <w:rPr>
          <w:rFonts w:ascii="AcadNusx" w:hAnsi="AcadNusx"/>
        </w:rPr>
        <w:footnoteReference w:id="2"/>
      </w:r>
      <w:r w:rsidRPr="00B05F62">
        <w:rPr>
          <w:rFonts w:ascii="AcadNusx" w:hAnsi="AcadNusx"/>
        </w:rPr>
        <w:t xml:space="preserve">. gzagamtarebis tipebsa da teqnikuri gadawyvetebze gavlenas axdenen rigi faqtorebi, rogorebicaa gzis kategoria, sagzao moZraobis xasiaTi da Semadgenloba, saangariSo moZraobis siCqare da gzagamtarze Sesvlis marTvis xarisxi. aRniSnul faqtorebs, ekonomikur parametrebTan, reliefis pirobebTan da gasxvisebis zolis saWiroebasTan erTad, didi mniSvneloba eZlevaT nagebobebis proeqtirebisas sagzao moZraobis moTxovnilebebis adeqvaturi gamtarunarianobis uzrunvelsayofad. marTalia TiToeul gzagamtars individualuri </w:t>
      </w:r>
      <w:r w:rsidRPr="00B05F62">
        <w:rPr>
          <w:rFonts w:ascii="AcadNusx" w:hAnsi="AcadNusx"/>
        </w:rPr>
        <w:lastRenderedPageBreak/>
        <w:t xml:space="preserve">sirTuleebi axasiaTebs, proeqtirebisas mxedvelobaSi unda iqnas miRebuli mezobeli gzagamtarebi da doneebis ganmacalkevebeli sxva saproeqto nagebobebi. es moiTxoveba gzis erTgvarovani da uwyveti saxiT dasaproeqteblad, raTa Tavidan iqnas acilebuli mZRolis molodinis SemaSfoTebeli (damabneveli) pirobebi. </w:t>
      </w:r>
    </w:p>
    <w:p w14:paraId="3C7CB1D0" w14:textId="77777777" w:rsidR="00EA3205" w:rsidRPr="00B05F62" w:rsidRDefault="00EA3205" w:rsidP="00EB1823">
      <w:pPr>
        <w:spacing w:before="120" w:after="120"/>
        <w:rPr>
          <w:rFonts w:ascii="AcadNusx" w:hAnsi="AcadNusx"/>
        </w:rPr>
      </w:pPr>
      <w:r w:rsidRPr="00B05F62">
        <w:rPr>
          <w:rFonts w:ascii="AcadNusx" w:hAnsi="AcadNusx"/>
        </w:rPr>
        <w:t>gzagamtaris tipi</w:t>
      </w:r>
    </w:p>
    <w:p w14:paraId="1B9D6B6C" w14:textId="77777777" w:rsidR="00EA3205" w:rsidRPr="00B05F62" w:rsidRDefault="00EA3205" w:rsidP="00EB1823">
      <w:pPr>
        <w:spacing w:before="120" w:after="120"/>
        <w:rPr>
          <w:rFonts w:ascii="AcadNusx" w:hAnsi="AcadNusx"/>
        </w:rPr>
      </w:pPr>
      <w:r w:rsidRPr="00B05F62">
        <w:rPr>
          <w:rFonts w:ascii="AcadNusx" w:hAnsi="AcadNusx"/>
        </w:rPr>
        <w:t xml:space="preserve">gzagamtaris forma damokidebulia reliefis topografiul pirobebze, sagzao moZraobis moculobasa da Semadgenlobaze da gadamkveTi gzis tipze. satransporto nakadebis moZraobis xelSesawyobad, wlebis manZilze damuSavebulia ramdenime saxeobis gancalkevebul doneebiani gzagamtarebi. TiToeuli saxeobis gzagamtari xasiaTdeba specifiuri upiratesobebiTa da naklovanebebiT, romlebic aisaxeba maTs teqnikur proeqtebSi. qvemoT mimoxilulia ZiriTadi saxeobebis gzagamtarebi. </w:t>
      </w:r>
    </w:p>
    <w:p w14:paraId="7EA3FCEB" w14:textId="77777777" w:rsidR="00EA3205" w:rsidRPr="00B05F62" w:rsidRDefault="00EA3205" w:rsidP="00EB1823">
      <w:pPr>
        <w:spacing w:before="120" w:after="120"/>
        <w:rPr>
          <w:rFonts w:ascii="AcadNusx" w:hAnsi="AcadNusx"/>
        </w:rPr>
      </w:pPr>
      <w:r w:rsidRPr="00B05F62">
        <w:rPr>
          <w:rFonts w:ascii="AcadNusx" w:hAnsi="AcadNusx"/>
        </w:rPr>
        <w:t>rombisebri gzagamtarebi</w:t>
      </w:r>
    </w:p>
    <w:p w14:paraId="2536975E" w14:textId="77777777" w:rsidR="00EA3205" w:rsidRPr="00B05F62" w:rsidRDefault="00EA3205" w:rsidP="00EB1823">
      <w:pPr>
        <w:spacing w:before="120" w:after="120"/>
        <w:rPr>
          <w:rFonts w:ascii="AcadNusx" w:hAnsi="AcadNusx"/>
        </w:rPr>
      </w:pPr>
      <w:r w:rsidRPr="00B05F62">
        <w:rPr>
          <w:rFonts w:ascii="AcadNusx" w:hAnsi="AcadNusx"/>
        </w:rPr>
        <w:t>rombisebri gzagamtarebi gayofil doneebiani sagzao gadakveTebis yvelaze gavrcelebul saxeobas warmoadgens. am tipis gzagamtarebi moicavs TiToeul kvadratSi calmxriv diagonalur pandusebs/estakadebs, meorexarisxovan gzaze ori erTdoniani gzajvaredinis mowyobasTan erTad. Cveulebriv, rombisebri gzagamtari saukeTeso arCevans warmoadgens iq, sadac gadamkveTi gza ar regulirdeba. qvemoT moyvanilia aRniSnuli gadawyvetis upiratesobebi da naklovanebebi:</w:t>
      </w:r>
    </w:p>
    <w:p w14:paraId="1CD0D701" w14:textId="77777777" w:rsidR="00EA3205" w:rsidRPr="00B05F62" w:rsidRDefault="00EA3205" w:rsidP="00EB1823">
      <w:pPr>
        <w:spacing w:before="120" w:after="120"/>
        <w:rPr>
          <w:rFonts w:ascii="AcadNusx" w:hAnsi="AcadNusx"/>
        </w:rPr>
      </w:pPr>
      <w:r w:rsidRPr="00B05F62">
        <w:rPr>
          <w:rFonts w:ascii="AcadNusx" w:hAnsi="AcadNusx"/>
        </w:rPr>
        <w:t>rombisebri gzagamtaris upiratesobebi</w:t>
      </w:r>
    </w:p>
    <w:p w14:paraId="12D50F11" w14:textId="77777777" w:rsidR="00EA3205" w:rsidRPr="00B05F62" w:rsidRDefault="00EA3205" w:rsidP="00EB1823">
      <w:pPr>
        <w:spacing w:before="120" w:after="120"/>
        <w:rPr>
          <w:rFonts w:ascii="AcadNusx" w:hAnsi="AcadNusx"/>
        </w:rPr>
      </w:pPr>
      <w:r w:rsidRPr="00B05F62">
        <w:rPr>
          <w:rFonts w:ascii="AcadNusx" w:hAnsi="AcadNusx"/>
        </w:rPr>
        <w:t>yvela gasasvleli mTavari gzidan mowyobilia gzagamtarTan miRwevamde, rac Seesabameba mZRolebis molodins da, amitom, ganapirobebs maTi dabneulobis minimumamde dayvanas;</w:t>
      </w:r>
    </w:p>
    <w:p w14:paraId="12AFC084" w14:textId="77777777" w:rsidR="00EA3205" w:rsidRPr="00B05F62" w:rsidRDefault="00EA3205" w:rsidP="00EB1823">
      <w:pPr>
        <w:spacing w:before="120" w:after="120"/>
        <w:rPr>
          <w:rFonts w:ascii="AcadNusx" w:hAnsi="AcadNusx"/>
        </w:rPr>
      </w:pPr>
      <w:r w:rsidRPr="00B05F62">
        <w:rPr>
          <w:rFonts w:ascii="AcadNusx" w:hAnsi="AcadNusx"/>
        </w:rPr>
        <w:t>yvela avtomobils SeuZlia mTavar gzaze Sesvla an misi datoveba SedarebiTi maRali siCqariT. Cveulebriv, SesaZlebelia adeqvaturi xilvadobis manZilis uzrunvelyofa da rTuli manevrirebis saWiroebis Tavidan acileba;</w:t>
      </w:r>
    </w:p>
    <w:p w14:paraId="7B794A69" w14:textId="77777777" w:rsidR="00EA3205" w:rsidRPr="00B05F62" w:rsidRDefault="00EA3205" w:rsidP="00EB1823">
      <w:pPr>
        <w:spacing w:before="120" w:after="120"/>
        <w:rPr>
          <w:rFonts w:ascii="AcadNusx" w:hAnsi="AcadNusx"/>
        </w:rPr>
      </w:pPr>
      <w:r w:rsidRPr="00B05F62">
        <w:rPr>
          <w:rFonts w:ascii="AcadNusx" w:hAnsi="AcadNusx"/>
        </w:rPr>
        <w:t>moTxovnili gasxvisebis zona SedarebiT mcire farTobisaa;</w:t>
      </w:r>
    </w:p>
    <w:p w14:paraId="7728A2C4" w14:textId="77777777" w:rsidR="00EA3205" w:rsidRPr="00B05F62" w:rsidRDefault="00EA3205" w:rsidP="00EB1823">
      <w:pPr>
        <w:spacing w:before="120" w:after="120"/>
        <w:rPr>
          <w:rFonts w:ascii="AcadNusx" w:hAnsi="AcadNusx"/>
        </w:rPr>
      </w:pPr>
      <w:r w:rsidRPr="00B05F62">
        <w:rPr>
          <w:rFonts w:ascii="AcadNusx" w:hAnsi="AcadNusx"/>
        </w:rPr>
        <w:t>am tipis gzagamtarebi farTod gamoiyeneba, rac xels uwyobs mZRolebis kargi informirebulobas.</w:t>
      </w:r>
    </w:p>
    <w:p w14:paraId="2D47BD1F" w14:textId="77777777" w:rsidR="00EA3205" w:rsidRPr="00B05F62" w:rsidRDefault="00EA3205" w:rsidP="00EB1823">
      <w:pPr>
        <w:spacing w:before="120" w:after="120"/>
        <w:rPr>
          <w:rFonts w:ascii="AcadNusx" w:hAnsi="AcadNusx"/>
        </w:rPr>
      </w:pPr>
      <w:r w:rsidRPr="00B05F62">
        <w:rPr>
          <w:rFonts w:ascii="AcadNusx" w:hAnsi="AcadNusx"/>
        </w:rPr>
        <w:t>rombisebri gzagamtaris naklovanebebi</w:t>
      </w:r>
    </w:p>
    <w:p w14:paraId="0BC6F14D" w14:textId="77777777" w:rsidR="00EA3205" w:rsidRPr="00B05F62" w:rsidRDefault="00EA3205" w:rsidP="00EB1823">
      <w:pPr>
        <w:spacing w:before="120" w:after="120"/>
        <w:rPr>
          <w:rFonts w:ascii="AcadNusx" w:hAnsi="AcadNusx"/>
        </w:rPr>
      </w:pPr>
      <w:r w:rsidRPr="00B05F62">
        <w:rPr>
          <w:rFonts w:ascii="AcadNusx" w:hAnsi="AcadNusx"/>
        </w:rPr>
        <w:t>gazrdilia araswor pandusze Sesvlis potenciali;</w:t>
      </w:r>
    </w:p>
    <w:p w14:paraId="6A23BDB5" w14:textId="77777777" w:rsidR="00EA3205" w:rsidRPr="00B05F62" w:rsidRDefault="00EA3205" w:rsidP="00EB1823">
      <w:pPr>
        <w:spacing w:before="120" w:after="120"/>
        <w:rPr>
          <w:rFonts w:ascii="AcadNusx" w:hAnsi="AcadNusx"/>
        </w:rPr>
      </w:pPr>
      <w:r w:rsidRPr="00B05F62">
        <w:rPr>
          <w:rFonts w:ascii="AcadNusx" w:hAnsi="AcadNusx"/>
        </w:rPr>
        <w:t>meorexarisxovan gzebze aucilebelia sakmarisi xilvadobis manZilis uzrunvelyofa.</w:t>
      </w:r>
    </w:p>
    <w:p w14:paraId="6F25C573" w14:textId="77777777" w:rsidR="00EA3205" w:rsidRPr="00B05F62" w:rsidRDefault="00EA3205" w:rsidP="00EB1823">
      <w:pPr>
        <w:spacing w:before="120" w:after="120"/>
        <w:rPr>
          <w:rFonts w:ascii="AcadNusx" w:hAnsi="AcadNusx"/>
        </w:rPr>
      </w:pPr>
      <w:r w:rsidRPr="00B05F62">
        <w:rPr>
          <w:rFonts w:ascii="AcadNusx" w:hAnsi="AcadNusx"/>
        </w:rPr>
        <w:t>“sayviris” tipis gzagamtarebi</w:t>
      </w:r>
    </w:p>
    <w:p w14:paraId="10B2D16B" w14:textId="77777777" w:rsidR="00EA3205" w:rsidRPr="00B05F62" w:rsidRDefault="00EA3205" w:rsidP="00EB1823">
      <w:pPr>
        <w:spacing w:before="120" w:after="120"/>
        <w:rPr>
          <w:rFonts w:ascii="AcadNusx" w:hAnsi="AcadNusx"/>
        </w:rPr>
      </w:pPr>
      <w:r w:rsidRPr="00B05F62">
        <w:rPr>
          <w:rFonts w:ascii="AcadNusx" w:hAnsi="AcadNusx"/>
        </w:rPr>
        <w:t>“sayviris” tipis gzagamtarebi SemuSavebulia erTi gzis meoresTan T-sebri mierTebebisTvis. aseTi gzagamtarebi eqskluziurad gamoiyeneba, rodesac saxezea sami gadamkveTi toti (“fexi”). gamWoli moZraoba warmoebs swor trasaze maSin, rodesac marcxniv momxvevi SedarebiT dabali intensiurobis moZraoba unda Sesruldes maryuJis formis pandusis gavliT.</w:t>
      </w:r>
    </w:p>
    <w:p w14:paraId="499E1C10" w14:textId="77777777" w:rsidR="00EA3205" w:rsidRPr="00B05F62" w:rsidRDefault="00EA3205" w:rsidP="00EB1823">
      <w:pPr>
        <w:spacing w:before="120" w:after="120"/>
        <w:rPr>
          <w:rFonts w:ascii="AcadNusx" w:hAnsi="AcadNusx"/>
        </w:rPr>
      </w:pPr>
      <w:r w:rsidRPr="00B05F62">
        <w:rPr>
          <w:rFonts w:ascii="AcadNusx" w:hAnsi="AcadNusx"/>
        </w:rPr>
        <w:t>upiratesobebi:</w:t>
      </w:r>
    </w:p>
    <w:p w14:paraId="51A7686E" w14:textId="77777777" w:rsidR="00EA3205" w:rsidRPr="00B05F62" w:rsidRDefault="00EA3205" w:rsidP="00EB1823">
      <w:pPr>
        <w:spacing w:before="120" w:after="120"/>
        <w:rPr>
          <w:rFonts w:ascii="AcadNusx" w:hAnsi="AcadNusx"/>
        </w:rPr>
      </w:pPr>
      <w:r w:rsidRPr="00B05F62">
        <w:rPr>
          <w:rFonts w:ascii="AcadNusx" w:hAnsi="AcadNusx"/>
        </w:rPr>
        <w:t>xidebis / gzisqvesa gasasvlelebis mSeneblobis dabali xarjebi;</w:t>
      </w:r>
    </w:p>
    <w:p w14:paraId="1E5E1CE7" w14:textId="77777777" w:rsidR="00EA3205" w:rsidRPr="00B05F62" w:rsidRDefault="00EA3205" w:rsidP="00EB1823">
      <w:pPr>
        <w:spacing w:before="120" w:after="120"/>
        <w:rPr>
          <w:rFonts w:ascii="AcadNusx" w:hAnsi="AcadNusx"/>
        </w:rPr>
      </w:pPr>
      <w:r w:rsidRPr="00B05F62">
        <w:rPr>
          <w:rFonts w:ascii="AcadNusx" w:hAnsi="AcadNusx"/>
        </w:rPr>
        <w:t>fasian gzebze “sayviris” tipis gzagamtarebi ekonomikurad efeqtiani saxiT iZlevian salaroebis jixurebTan yvela avtomobilis Tavmoyris saSualebas.</w:t>
      </w:r>
    </w:p>
    <w:p w14:paraId="3B605525" w14:textId="77777777" w:rsidR="00EA3205" w:rsidRPr="00B05F62" w:rsidRDefault="00EA3205" w:rsidP="00EB1823">
      <w:pPr>
        <w:spacing w:before="120" w:after="120"/>
        <w:rPr>
          <w:rFonts w:ascii="AcadNusx" w:hAnsi="AcadNusx"/>
        </w:rPr>
      </w:pPr>
      <w:r w:rsidRPr="00B05F62">
        <w:rPr>
          <w:rFonts w:ascii="AcadNusx" w:hAnsi="AcadNusx"/>
        </w:rPr>
        <w:t>naklovanebebi:</w:t>
      </w:r>
    </w:p>
    <w:p w14:paraId="79AF362B" w14:textId="77777777" w:rsidR="00EA3205" w:rsidRPr="00B05F62" w:rsidRDefault="00EA3205" w:rsidP="00EB1823">
      <w:pPr>
        <w:spacing w:before="120" w:after="120"/>
        <w:rPr>
          <w:rFonts w:ascii="AcadNusx" w:hAnsi="AcadNusx"/>
        </w:rPr>
      </w:pPr>
      <w:r w:rsidRPr="00B05F62">
        <w:rPr>
          <w:rFonts w:ascii="AcadNusx" w:hAnsi="AcadNusx"/>
        </w:rPr>
        <w:t>saWiroebs maRal xarjebs Zviri miwebis pirobebSi mSeneblobisas da tovebs gamouyenebel miwas maryuJebis SigniT;</w:t>
      </w:r>
    </w:p>
    <w:p w14:paraId="51BE05A2" w14:textId="77777777" w:rsidR="00EA3205" w:rsidRPr="00B05F62" w:rsidRDefault="00EA3205" w:rsidP="00EB1823">
      <w:pPr>
        <w:spacing w:before="120" w:after="120"/>
        <w:rPr>
          <w:rFonts w:ascii="AcadNusx" w:hAnsi="AcadNusx"/>
        </w:rPr>
      </w:pPr>
      <w:r w:rsidRPr="00B05F62">
        <w:rPr>
          <w:rFonts w:ascii="AcadNusx" w:hAnsi="AcadNusx"/>
        </w:rPr>
        <w:lastRenderedPageBreak/>
        <w:t>xSirad gzagamtaris zomebis Semcireba iwvevs usafrTxoebis xarisxis daqveiTebas.</w:t>
      </w:r>
    </w:p>
    <w:p w14:paraId="2DC55F49" w14:textId="77777777" w:rsidR="00EA3205" w:rsidRPr="00B05F62" w:rsidRDefault="00EA3205" w:rsidP="00EB1823">
      <w:pPr>
        <w:spacing w:before="120" w:after="120"/>
        <w:rPr>
          <w:rFonts w:ascii="AcadNusx" w:hAnsi="AcadNusx"/>
          <w:lang w:val="de-DE"/>
        </w:rPr>
      </w:pPr>
      <w:r w:rsidRPr="00B05F62">
        <w:rPr>
          <w:rFonts w:ascii="AcadNusx" w:hAnsi="AcadNusx"/>
        </w:rPr>
        <w:t>sruli da arasruli “samyuras foTlis” formis gzagamtarebi</w:t>
      </w:r>
    </w:p>
    <w:p w14:paraId="7E971BFA" w14:textId="77777777" w:rsidR="00EA3205" w:rsidRPr="00EB1823" w:rsidRDefault="00EA3205" w:rsidP="00EB1823">
      <w:pPr>
        <w:spacing w:before="120" w:after="120"/>
        <w:rPr>
          <w:rFonts w:ascii="AcadNusx" w:hAnsi="AcadNusx"/>
          <w:lang w:val="de-DE"/>
        </w:rPr>
      </w:pPr>
      <w:r w:rsidRPr="00EB1823">
        <w:rPr>
          <w:rFonts w:ascii="AcadNusx" w:hAnsi="AcadNusx"/>
          <w:lang w:val="de-DE"/>
        </w:rPr>
        <w:t>“samyuris foTlebi” warmoadgenen ~oTxfexian“ gzagamtarebs, romlebSic pandusebis maryuJebi gamoiyeneba marcxniv momxvevi transportis gatarebisTvis. gzagamtarebi, romlebsac maryuJebi TiToeul meoTxedSi gaaCniaT moixseniebian “sruli samyuras foTlis” saxeliT, xolo yvela sxva msgavsi konstruqciis gzagamtari _ “arasruli samyuras foTlis” saxeliT. radgan marcxniv moxveva maryuJisebri pandusebis gavliT warmoebs, amitom rombul gzagamtarebze donis SecvlisTvis marcxniv moxvevasTan dakavSirebuli usafrTxoebis problemebi “samyuras foTlebze” Tavidan aris acilebuli.</w:t>
      </w:r>
    </w:p>
    <w:p w14:paraId="14AE2E56" w14:textId="77777777" w:rsidR="00EA3205" w:rsidRPr="00EB1823" w:rsidRDefault="00EA3205" w:rsidP="00EB1823">
      <w:pPr>
        <w:spacing w:before="120" w:after="120"/>
        <w:rPr>
          <w:rFonts w:ascii="AcadNusx" w:hAnsi="AcadNusx"/>
          <w:lang w:val="de-DE"/>
        </w:rPr>
      </w:pPr>
      <w:r w:rsidRPr="00EB1823">
        <w:rPr>
          <w:rFonts w:ascii="AcadNusx" w:hAnsi="AcadNusx"/>
          <w:lang w:val="de-DE"/>
        </w:rPr>
        <w:t>“samyuras foTlis” tipis gzagamtarebis ZiriTad naklovanebas marcxniv moxvevisTvis damatebiTi manZilis gavlisa da zigsagisebri manevrivebis saWiroeba, maryuJebis Zalzed mokle xelmisawvdomi sigrZe da SedarebiT meti farTobis gasxvisebis zonis gamoyofis aucilebloba Seadgens. radgan “samyuras foTlebi” rombul gzagamtarebze met miwas moiTxovs, amitom isini SedarebiT naklebad gvxvdeba urbanul areebSi da ukeTesad arian morgebuli gareubnebsa da sasoflo teritoriebTan, sadac meti farTobia xelmisawvdomi.</w:t>
      </w:r>
    </w:p>
    <w:p w14:paraId="6A6C729A" w14:textId="77777777" w:rsidR="00EA3205" w:rsidRPr="00F53F15" w:rsidRDefault="00EA3205" w:rsidP="00EB1823">
      <w:pPr>
        <w:spacing w:before="120" w:after="120"/>
        <w:rPr>
          <w:rFonts w:ascii="AcadNusx" w:hAnsi="AcadNusx"/>
          <w:lang w:val="de-DE"/>
        </w:rPr>
      </w:pPr>
      <w:r w:rsidRPr="00EB1823">
        <w:rPr>
          <w:rFonts w:ascii="AcadNusx" w:hAnsi="AcadNusx"/>
          <w:lang w:val="de-DE"/>
        </w:rPr>
        <w:t xml:space="preserve">zogierT SemTxvevaSi, arsebuli sagzao moZraobis intensiuroba ar aris sakmarisi “samyuras foTlis” tipis gzagamtaris yvela pandusis Tavdapirveladve asaSeneblad, ris gamoc ganixileba “arasruli samyuras foTlis” ageba. </w:t>
      </w:r>
      <w:r w:rsidRPr="00F53F15">
        <w:rPr>
          <w:rFonts w:ascii="AcadNusx" w:hAnsi="AcadNusx"/>
          <w:lang w:val="de-DE"/>
        </w:rPr>
        <w:t>“arasruli samyuras foTlis” tipis gzagamtari sruli analogis msgavsia im gansxvavebiT, rom masze Sesasvleli pandusebi sam an ufro naklebi raodenobis meoTxedSia mowyobili. “arasrul samyuras foTols” axasiaTebs umravlesoba naklovanebebi, romlebic Tan sdeven mis srul analogs maryuJisebri pandusebisa da zigzagebis zomebis SezRudulobis kuTxiT.</w:t>
      </w:r>
    </w:p>
    <w:p w14:paraId="4149336A" w14:textId="77777777" w:rsidR="00EA3205" w:rsidRPr="00F53F15" w:rsidRDefault="00EA3205" w:rsidP="00EB1823">
      <w:pPr>
        <w:spacing w:before="120" w:after="120"/>
        <w:rPr>
          <w:rFonts w:ascii="AcadNusx" w:hAnsi="AcadNusx"/>
          <w:lang w:val="de-DE"/>
        </w:rPr>
      </w:pPr>
      <w:r w:rsidRPr="00F53F15">
        <w:rPr>
          <w:rFonts w:ascii="AcadNusx" w:hAnsi="AcadNusx"/>
          <w:lang w:val="de-DE"/>
        </w:rPr>
        <w:t xml:space="preserve">upiratesobebi: </w:t>
      </w:r>
    </w:p>
    <w:p w14:paraId="3046345D" w14:textId="77777777" w:rsidR="00EA3205" w:rsidRPr="00F53F15" w:rsidRDefault="00EA3205" w:rsidP="00EB1823">
      <w:pPr>
        <w:spacing w:before="120" w:after="120"/>
        <w:rPr>
          <w:rFonts w:ascii="AcadNusx" w:hAnsi="AcadNusx"/>
          <w:lang w:val="de-DE"/>
        </w:rPr>
      </w:pPr>
      <w:r w:rsidRPr="00F53F15">
        <w:rPr>
          <w:rFonts w:ascii="AcadNusx" w:hAnsi="AcadNusx"/>
          <w:lang w:val="de-DE"/>
        </w:rPr>
        <w:t>maryuJis formis pandusebis konfigurireba marcxniv momxvevi satransporto saSualebebis usafrTxod gatarebis mizniT, rac kargad ergeba ori avtomagistralis gadakveTas;</w:t>
      </w:r>
    </w:p>
    <w:p w14:paraId="105398DF" w14:textId="77777777" w:rsidR="00EA3205" w:rsidRPr="00B05F62" w:rsidRDefault="00EA3205" w:rsidP="00EB1823">
      <w:pPr>
        <w:spacing w:before="120" w:after="120"/>
        <w:rPr>
          <w:rFonts w:ascii="AcadNusx" w:hAnsi="AcadNusx"/>
        </w:rPr>
      </w:pPr>
      <w:r w:rsidRPr="00B05F62">
        <w:rPr>
          <w:rFonts w:ascii="AcadNusx" w:hAnsi="AcadNusx"/>
        </w:rPr>
        <w:t>mosaxerxebelia sasoflo teritoriebze an qalaqebis gareubnebSi aSenebisTvis, sadac farTobi ufro martivad aris xelmisawvdomi.</w:t>
      </w:r>
    </w:p>
    <w:p w14:paraId="46E66BC9" w14:textId="77777777" w:rsidR="00EA3205" w:rsidRPr="00B05F62" w:rsidRDefault="00EA3205" w:rsidP="00EB1823">
      <w:pPr>
        <w:spacing w:before="120" w:after="120"/>
        <w:rPr>
          <w:rFonts w:ascii="AcadNusx" w:hAnsi="AcadNusx"/>
        </w:rPr>
      </w:pPr>
      <w:r w:rsidRPr="00B05F62">
        <w:rPr>
          <w:rFonts w:ascii="AcadNusx" w:hAnsi="AcadNusx"/>
        </w:rPr>
        <w:t xml:space="preserve">naklovanebebi: </w:t>
      </w:r>
    </w:p>
    <w:p w14:paraId="10C1D790" w14:textId="77777777" w:rsidR="00EA3205" w:rsidRPr="00B05F62" w:rsidRDefault="00EA3205" w:rsidP="00EB1823">
      <w:pPr>
        <w:spacing w:before="120" w:after="120"/>
        <w:rPr>
          <w:rFonts w:ascii="AcadNusx" w:hAnsi="AcadNusx"/>
        </w:rPr>
      </w:pPr>
      <w:r w:rsidRPr="00B05F62">
        <w:rPr>
          <w:rFonts w:ascii="AcadNusx" w:hAnsi="AcadNusx"/>
        </w:rPr>
        <w:t>am tipis gzagamtari meti farTobis mqone gasxvisebis zonas moiTxovs rombul gzagamtarebTan SedarebiT;</w:t>
      </w:r>
    </w:p>
    <w:p w14:paraId="7777651C" w14:textId="77777777" w:rsidR="00EA3205" w:rsidRPr="00B05F62" w:rsidRDefault="00EA3205" w:rsidP="00EB1823">
      <w:pPr>
        <w:spacing w:before="120" w:after="120"/>
        <w:rPr>
          <w:rFonts w:ascii="AcadNusx" w:hAnsi="AcadNusx"/>
        </w:rPr>
      </w:pPr>
      <w:r w:rsidRPr="00B05F62">
        <w:rPr>
          <w:rFonts w:ascii="AcadNusx" w:hAnsi="AcadNusx"/>
        </w:rPr>
        <w:t>marcxniv moxvevisTvis aucilebelia meti manZilis gavla rombul gzagamtarebTan SedarebiT;</w:t>
      </w:r>
    </w:p>
    <w:p w14:paraId="3A6ECD0C" w14:textId="77777777" w:rsidR="00EA3205" w:rsidRPr="00B05F62" w:rsidRDefault="00EA3205" w:rsidP="00EB1823">
      <w:pPr>
        <w:spacing w:before="120" w:after="120"/>
        <w:rPr>
          <w:rFonts w:ascii="AcadNusx" w:hAnsi="AcadNusx"/>
        </w:rPr>
      </w:pPr>
      <w:r w:rsidRPr="00B05F62">
        <w:rPr>
          <w:rFonts w:ascii="AcadNusx" w:hAnsi="AcadNusx"/>
        </w:rPr>
        <w:t>maryuJis formis pandusebis gamoyeneba iwvevs mcire manZilze zigzagisebri moZraobis aucileblobas;</w:t>
      </w:r>
    </w:p>
    <w:p w14:paraId="47BD1229" w14:textId="77777777" w:rsidR="00EA3205" w:rsidRPr="00B05F62" w:rsidRDefault="00EA3205" w:rsidP="00EB1823">
      <w:pPr>
        <w:spacing w:before="120" w:after="120"/>
        <w:rPr>
          <w:rFonts w:ascii="AcadNusx" w:hAnsi="AcadNusx"/>
        </w:rPr>
      </w:pPr>
      <w:r w:rsidRPr="00B05F62">
        <w:rPr>
          <w:rFonts w:ascii="AcadNusx" w:hAnsi="AcadNusx"/>
        </w:rPr>
        <w:t>gamtarunarianobas zRudavs “gadaxlarTvis” efeqti, rac gamoixateba gzajvaredinis centrSi Semomavali da gamavali satransporto saSualebebis urTierTxelSeSlaSi.</w:t>
      </w:r>
    </w:p>
    <w:p w14:paraId="1B8BB9F2" w14:textId="77777777" w:rsidR="00EA3205" w:rsidRPr="00B05F62" w:rsidRDefault="00EA3205" w:rsidP="00EB1823">
      <w:pPr>
        <w:spacing w:before="120" w:after="120"/>
        <w:rPr>
          <w:rFonts w:ascii="AcadNusx" w:hAnsi="AcadNusx"/>
        </w:rPr>
      </w:pPr>
      <w:r w:rsidRPr="00B05F62">
        <w:rPr>
          <w:rFonts w:ascii="AcadNusx" w:hAnsi="AcadNusx"/>
        </w:rPr>
        <w:t>gzagamtarebis tipebis SerCeva</w:t>
      </w:r>
    </w:p>
    <w:p w14:paraId="0FD5EA22" w14:textId="77777777" w:rsidR="00EA3205" w:rsidRPr="00B05F62" w:rsidRDefault="00EA3205" w:rsidP="00EB1823">
      <w:pPr>
        <w:spacing w:before="120" w:after="120"/>
        <w:rPr>
          <w:rFonts w:ascii="AcadNusx" w:hAnsi="AcadNusx"/>
        </w:rPr>
      </w:pPr>
      <w:r w:rsidRPr="00B05F62">
        <w:rPr>
          <w:rFonts w:ascii="AcadNusx" w:hAnsi="AcadNusx"/>
        </w:rPr>
        <w:t>gzagamtaris tipis SerCeva mWidrod aris damokidebuli obieqtis konkretul pirobebze. gzagamtaris formaze gavlenas axdens reliefis topografiuli pirobebi, sagzao moZraobis intensiuroba da Semadgenloba da urTierTgadamkveTi gzebis saxeobebi. sakvlevi gzisTvis gzagamtarebis tipebi winaswar SeirCa Semdegi principebis gaTvaliswinebiT:</w:t>
      </w:r>
    </w:p>
    <w:p w14:paraId="0808E95B" w14:textId="77777777" w:rsidR="00EA3205" w:rsidRPr="00B05F62" w:rsidRDefault="00EA3205" w:rsidP="00EB1823">
      <w:pPr>
        <w:spacing w:before="120" w:after="120"/>
        <w:rPr>
          <w:rFonts w:ascii="AcadNusx" w:hAnsi="AcadNusx"/>
        </w:rPr>
      </w:pPr>
      <w:r w:rsidRPr="00B05F62">
        <w:rPr>
          <w:rFonts w:ascii="AcadNusx" w:hAnsi="AcadNusx"/>
        </w:rPr>
        <w:t>rodesac gasxvisebis zonis xelmisawvdomi farTobi SezRudulia, upriania rombuli gzagamtarebis daproeqteba, radgan isini SedarebiT nakleb farTobs ikaveben;</w:t>
      </w:r>
    </w:p>
    <w:p w14:paraId="58ECF0F8" w14:textId="77777777" w:rsidR="00EA3205" w:rsidRPr="00B05F62" w:rsidRDefault="00EA3205" w:rsidP="00EB1823">
      <w:pPr>
        <w:spacing w:before="120" w:after="120"/>
        <w:rPr>
          <w:rFonts w:ascii="AcadNusx" w:hAnsi="AcadNusx"/>
        </w:rPr>
      </w:pPr>
      <w:r w:rsidRPr="00B05F62">
        <w:rPr>
          <w:rFonts w:ascii="AcadNusx" w:hAnsi="AcadNusx"/>
        </w:rPr>
        <w:lastRenderedPageBreak/>
        <w:t xml:space="preserve">“arasruli samyuras foTlis” tipis gzagamtari xasiaTdeba meti gamtarunarianobiT rombul gzagamtarTan SedarebiT. amitom, momavalSi sagzao moZraobis intensiurobis zrdis gaTvaliswinebiT, Tu gasxvisebis zonasTan dakavSirebuli SezRudvebi ar moqmedebs, gaTvaliswinebulia “arasruli samyuras foTlebis” daproeqteba; </w:t>
      </w:r>
    </w:p>
    <w:p w14:paraId="14E53AAE" w14:textId="77777777" w:rsidR="00EA3205" w:rsidRPr="00B05F62" w:rsidRDefault="00EA3205" w:rsidP="00EB1823">
      <w:pPr>
        <w:spacing w:before="120" w:after="120"/>
        <w:rPr>
          <w:rFonts w:ascii="AcadNusx" w:hAnsi="AcadNusx"/>
        </w:rPr>
      </w:pPr>
      <w:r w:rsidRPr="00B05F62">
        <w:rPr>
          <w:rFonts w:ascii="AcadNusx" w:hAnsi="AcadNusx"/>
        </w:rPr>
        <w:t>ori kontrolirebad Sesasvlelebiani gzatkecilis gadakveTebze rekomendirebulia “sruli samyuras foTlis” tipis gzagamtaris aSeneba;</w:t>
      </w:r>
    </w:p>
    <w:p w14:paraId="3908DDDC" w14:textId="77777777" w:rsidR="00EA3205" w:rsidRPr="00B05F62" w:rsidRDefault="00EA3205" w:rsidP="00EB1823">
      <w:pPr>
        <w:spacing w:before="120" w:after="120"/>
        <w:rPr>
          <w:rFonts w:ascii="AcadNusx" w:hAnsi="AcadNusx"/>
        </w:rPr>
      </w:pPr>
      <w:r w:rsidRPr="00B05F62">
        <w:rPr>
          <w:rFonts w:ascii="AcadNusx" w:hAnsi="AcadNusx"/>
        </w:rPr>
        <w:t>“sayviris” tipis gzagamtarebi gamoiyeneba sami urTierTgadamkveTi totis (“fexis”) SemTxvevaSi;</w:t>
      </w:r>
    </w:p>
    <w:p w14:paraId="243400B0" w14:textId="77777777" w:rsidR="00EA3205" w:rsidRPr="00B05F62" w:rsidRDefault="00EA3205" w:rsidP="00EB1823">
      <w:pPr>
        <w:spacing w:before="120" w:after="120"/>
        <w:rPr>
          <w:rFonts w:ascii="AcadNusx" w:hAnsi="AcadNusx"/>
        </w:rPr>
      </w:pPr>
      <w:r w:rsidRPr="00B05F62">
        <w:rPr>
          <w:rFonts w:ascii="AcadNusx" w:hAnsi="AcadNusx"/>
        </w:rPr>
        <w:t>sasurvelia gzagamtarebi marSrutis gaswvriv erTgvarovani saxis iyon, rac daexmareba mZRolebs Sesvlisa da gamosvlis adgilebis identificirebaSi da xels Seuwyobs maTi dabneulobis SesaZleblobis Semcirebas.</w:t>
      </w:r>
    </w:p>
    <w:p w14:paraId="004A5289" w14:textId="77777777" w:rsidR="00EA3205" w:rsidRPr="00B05F62" w:rsidRDefault="00EA3205" w:rsidP="00EB1823">
      <w:pPr>
        <w:spacing w:before="120" w:after="120"/>
        <w:rPr>
          <w:rFonts w:ascii="AcadNusx" w:hAnsi="AcadNusx"/>
        </w:rPr>
      </w:pPr>
      <w:r w:rsidRPr="00B05F62">
        <w:rPr>
          <w:rFonts w:ascii="AcadNusx" w:hAnsi="AcadNusx"/>
        </w:rPr>
        <w:t>SeTavazebuli gzagamtarebi</w:t>
      </w:r>
    </w:p>
    <w:p w14:paraId="2B5EF89B" w14:textId="77777777" w:rsidR="00EA3205" w:rsidRPr="00B05F62" w:rsidRDefault="00EA3205" w:rsidP="00EB1823">
      <w:pPr>
        <w:spacing w:before="120" w:after="120"/>
        <w:rPr>
          <w:rFonts w:ascii="AcadNusx" w:hAnsi="AcadNusx"/>
        </w:rPr>
      </w:pPr>
      <w:r w:rsidRPr="00B05F62">
        <w:rPr>
          <w:rFonts w:ascii="AcadNusx" w:hAnsi="AcadNusx"/>
        </w:rPr>
        <w:t>gurjaani/(Cumlayi)-Telavis sagzao monakveTze ganixileba Semdegi gzagamtrebis saWiroeba:</w:t>
      </w:r>
    </w:p>
    <w:p w14:paraId="75741AFC" w14:textId="77777777" w:rsidR="00EA3205" w:rsidRPr="00B05F62" w:rsidRDefault="00EA3205" w:rsidP="00EB1823">
      <w:pPr>
        <w:spacing w:before="120" w:after="120"/>
        <w:rPr>
          <w:rFonts w:ascii="AcadNusx" w:hAnsi="AcadNusx"/>
        </w:rPr>
      </w:pPr>
      <w:r w:rsidRPr="00B05F62">
        <w:rPr>
          <w:rFonts w:ascii="AcadNusx" w:hAnsi="AcadNusx"/>
        </w:rPr>
        <w:t>saproeqto piketaJi 0.556</w:t>
      </w:r>
      <w:r w:rsidRPr="00B05F62">
        <w:rPr>
          <w:rFonts w:ascii="AcadNusx" w:hAnsi="AcadNusx"/>
        </w:rPr>
        <w:tab/>
      </w:r>
      <w:r w:rsidRPr="00B05F62">
        <w:rPr>
          <w:rFonts w:ascii="AcadNusx" w:hAnsi="AcadNusx"/>
        </w:rPr>
        <w:tab/>
        <w:t>samyura (mierTeba bakurcixe-gurjaanis SemovliT gzasTan)</w:t>
      </w:r>
    </w:p>
    <w:p w14:paraId="023C3D19" w14:textId="77777777" w:rsidR="00EA3205" w:rsidRPr="00B05F62" w:rsidRDefault="00EA3205" w:rsidP="00EB1823">
      <w:pPr>
        <w:spacing w:before="120" w:after="120"/>
        <w:rPr>
          <w:rFonts w:ascii="AcadNusx" w:hAnsi="AcadNusx"/>
        </w:rPr>
      </w:pPr>
      <w:r w:rsidRPr="00B05F62">
        <w:rPr>
          <w:rFonts w:ascii="AcadNusx" w:hAnsi="AcadNusx"/>
        </w:rPr>
        <w:t>saproeqto piketaJi 4+900</w:t>
      </w:r>
      <w:r w:rsidRPr="00B05F62">
        <w:rPr>
          <w:rFonts w:ascii="AcadNusx" w:hAnsi="AcadNusx"/>
        </w:rPr>
        <w:tab/>
        <w:t>rombi</w:t>
      </w:r>
    </w:p>
    <w:p w14:paraId="5C008BD2" w14:textId="77777777" w:rsidR="00EA3205" w:rsidRPr="00B05F62" w:rsidRDefault="00EA3205" w:rsidP="00EB1823">
      <w:pPr>
        <w:spacing w:before="120" w:after="120"/>
        <w:rPr>
          <w:rFonts w:ascii="AcadNusx" w:hAnsi="AcadNusx"/>
        </w:rPr>
      </w:pPr>
      <w:r w:rsidRPr="00B05F62">
        <w:rPr>
          <w:rFonts w:ascii="AcadNusx" w:hAnsi="AcadNusx"/>
        </w:rPr>
        <w:t>saproeqto piketaJi 16+336</w:t>
      </w:r>
      <w:r w:rsidRPr="00B05F62">
        <w:rPr>
          <w:rFonts w:ascii="AcadNusx" w:hAnsi="AcadNusx"/>
        </w:rPr>
        <w:tab/>
        <w:t>arasruli samyuras foToli / rombi (rkinigzis xazis gzasTan siaxlovis gaTvaliswinebiT)</w:t>
      </w:r>
    </w:p>
    <w:p w14:paraId="1C00E9C9" w14:textId="77777777" w:rsidR="00EA3205" w:rsidRPr="00B05F62" w:rsidRDefault="00EA3205" w:rsidP="00EB1823">
      <w:pPr>
        <w:spacing w:before="120" w:after="120"/>
        <w:rPr>
          <w:rFonts w:ascii="AcadNusx" w:hAnsi="AcadNusx"/>
        </w:rPr>
      </w:pPr>
      <w:r w:rsidRPr="00B05F62">
        <w:rPr>
          <w:rFonts w:ascii="AcadNusx" w:hAnsi="AcadNusx"/>
        </w:rPr>
        <w:t>saproeqto piketaJi 24+422</w:t>
      </w:r>
      <w:r w:rsidRPr="00B05F62">
        <w:rPr>
          <w:rFonts w:ascii="AcadNusx" w:hAnsi="AcadNusx"/>
        </w:rPr>
        <w:tab/>
        <w:t xml:space="preserve">arasruli samyuras foToli </w:t>
      </w:r>
    </w:p>
    <w:p w14:paraId="6A157D1D" w14:textId="77777777" w:rsidR="00EA3205" w:rsidRPr="00B05F62" w:rsidRDefault="00EA3205" w:rsidP="00EB1823">
      <w:pPr>
        <w:spacing w:before="120" w:after="120"/>
        <w:rPr>
          <w:rFonts w:ascii="AcadNusx" w:hAnsi="AcadNusx"/>
        </w:rPr>
      </w:pPr>
      <w:r w:rsidRPr="00B05F62">
        <w:rPr>
          <w:rFonts w:ascii="AcadNusx" w:hAnsi="AcadNusx"/>
        </w:rPr>
        <w:t>saproeqto piketaJi 30+250</w:t>
      </w:r>
      <w:r w:rsidRPr="00B05F62">
        <w:rPr>
          <w:rFonts w:ascii="AcadNusx" w:hAnsi="AcadNusx"/>
        </w:rPr>
        <w:tab/>
        <w:t>arasruli samyuras foToli</w:t>
      </w:r>
    </w:p>
    <w:p w14:paraId="676E0F21" w14:textId="16E1BA41" w:rsidR="00EA3205" w:rsidRPr="00B05F62" w:rsidRDefault="00EA3205" w:rsidP="00EA3205">
      <w:pPr>
        <w:rPr>
          <w:rFonts w:ascii="AcadNusx" w:hAnsi="AcadNusx"/>
        </w:rPr>
      </w:pPr>
      <w:r w:rsidRPr="00B05F62">
        <w:rPr>
          <w:rFonts w:ascii="AcadNusx" w:hAnsi="AcadNusx"/>
          <w:noProof/>
          <w:lang w:val="en-US" w:eastAsia="en-US"/>
        </w:rPr>
        <w:drawing>
          <wp:inline distT="0" distB="0" distL="0" distR="0" wp14:anchorId="4A944E4F" wp14:editId="5E4C4C4B">
            <wp:extent cx="2769235" cy="2846705"/>
            <wp:effectExtent l="0" t="0" r="0" b="0"/>
            <wp:docPr id="233" name="Picture 233" descr="Macintosh HD:Users:carstengriese:Document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8" descr="Macintosh HD:Users:carstengriese:Documents:2.jpg"/>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769235" cy="2846705"/>
                    </a:xfrm>
                    <a:prstGeom prst="rect">
                      <a:avLst/>
                    </a:prstGeom>
                    <a:noFill/>
                    <a:ln>
                      <a:noFill/>
                    </a:ln>
                  </pic:spPr>
                </pic:pic>
              </a:graphicData>
            </a:graphic>
          </wp:inline>
        </w:drawing>
      </w:r>
      <w:r w:rsidRPr="00B05F62">
        <w:rPr>
          <w:rFonts w:ascii="AcadNusx" w:hAnsi="AcadNusx"/>
        </w:rPr>
        <w:tab/>
      </w:r>
      <w:r w:rsidRPr="00B05F62">
        <w:rPr>
          <w:rFonts w:ascii="AcadNusx" w:hAnsi="AcadNusx"/>
          <w:noProof/>
          <w:lang w:val="en-US" w:eastAsia="en-US"/>
        </w:rPr>
        <w:drawing>
          <wp:inline distT="0" distB="0" distL="0" distR="0" wp14:anchorId="368D0723" wp14:editId="19987DDA">
            <wp:extent cx="2656840" cy="2846705"/>
            <wp:effectExtent l="0" t="0" r="0" b="0"/>
            <wp:docPr id="232" name="Picture 232" descr="Macintosh HD:Users:carstengriese:Document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3" descr="Macintosh HD:Users:carstengriese:Documents:3.jpg"/>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2656840" cy="2846705"/>
                    </a:xfrm>
                    <a:prstGeom prst="rect">
                      <a:avLst/>
                    </a:prstGeom>
                    <a:noFill/>
                    <a:ln>
                      <a:noFill/>
                    </a:ln>
                  </pic:spPr>
                </pic:pic>
              </a:graphicData>
            </a:graphic>
          </wp:inline>
        </w:drawing>
      </w:r>
    </w:p>
    <w:p w14:paraId="04475370" w14:textId="72D98349" w:rsidR="00EA3205" w:rsidRPr="00B05F62" w:rsidRDefault="00EA3205" w:rsidP="00EA3205">
      <w:pPr>
        <w:rPr>
          <w:rFonts w:ascii="AcadNusx" w:hAnsi="AcadNusx"/>
        </w:rPr>
      </w:pPr>
      <w:r w:rsidRPr="00B05F62">
        <w:rPr>
          <w:rFonts w:ascii="AcadNusx" w:hAnsi="AcadNusx"/>
        </w:rPr>
        <w:t xml:space="preserve">suraTi </w:t>
      </w:r>
      <w:r w:rsidR="00EB1823" w:rsidRPr="00B05F62">
        <w:rPr>
          <w:rFonts w:ascii="AcadNusx" w:hAnsi="AcadNusx"/>
        </w:rPr>
        <w:t>4.</w:t>
      </w:r>
      <w:r w:rsidR="00EB1823">
        <w:rPr>
          <w:rFonts w:ascii="Sylfaen" w:hAnsi="Sylfaen"/>
          <w:lang w:val="ka-GE"/>
        </w:rPr>
        <w:t>1</w:t>
      </w:r>
      <w:r w:rsidR="00EA6DAA">
        <w:rPr>
          <w:rFonts w:ascii="Sylfaen" w:hAnsi="Sylfaen"/>
          <w:lang w:val="ka-GE"/>
        </w:rPr>
        <w:t>0</w:t>
      </w:r>
      <w:r w:rsidR="00EB1823">
        <w:rPr>
          <w:rFonts w:ascii="Sylfaen" w:hAnsi="Sylfaen"/>
          <w:lang w:val="ka-GE"/>
        </w:rPr>
        <w:t>.2-3</w:t>
      </w:r>
      <w:r w:rsidRPr="00B05F62">
        <w:rPr>
          <w:rFonts w:ascii="AcadNusx" w:hAnsi="AcadNusx"/>
        </w:rPr>
        <w:t>: kvanZi km 4+900 (mukuzani)</w:t>
      </w:r>
      <w:r w:rsidRPr="00B05F62">
        <w:rPr>
          <w:rFonts w:ascii="AcadNusx" w:hAnsi="AcadNusx"/>
        </w:rPr>
        <w:tab/>
        <w:t xml:space="preserve">suraTi </w:t>
      </w:r>
      <w:r w:rsidR="00EB1823" w:rsidRPr="00B05F62">
        <w:rPr>
          <w:rFonts w:ascii="AcadNusx" w:hAnsi="AcadNusx"/>
        </w:rPr>
        <w:t>4.</w:t>
      </w:r>
      <w:r w:rsidR="00EB1823">
        <w:rPr>
          <w:rFonts w:ascii="Sylfaen" w:hAnsi="Sylfaen"/>
          <w:lang w:val="ka-GE"/>
        </w:rPr>
        <w:t>1</w:t>
      </w:r>
      <w:r w:rsidR="00EA6DAA">
        <w:rPr>
          <w:rFonts w:ascii="Sylfaen" w:hAnsi="Sylfaen"/>
          <w:lang w:val="ka-GE"/>
        </w:rPr>
        <w:t>0</w:t>
      </w:r>
      <w:r w:rsidR="00EB1823">
        <w:rPr>
          <w:rFonts w:ascii="Sylfaen" w:hAnsi="Sylfaen"/>
          <w:lang w:val="ka-GE"/>
        </w:rPr>
        <w:t>.2-4</w:t>
      </w:r>
      <w:r w:rsidRPr="00B05F62">
        <w:rPr>
          <w:rFonts w:ascii="AcadNusx" w:hAnsi="AcadNusx"/>
        </w:rPr>
        <w:t xml:space="preserve">: kvanZi km 16+336 (akura) </w:t>
      </w:r>
    </w:p>
    <w:p w14:paraId="3F589920" w14:textId="77777777" w:rsidR="00EA3205" w:rsidRPr="00B05F62" w:rsidRDefault="00EA3205" w:rsidP="00EA3205">
      <w:pPr>
        <w:rPr>
          <w:rFonts w:ascii="AcadNusx" w:hAnsi="AcadNusx"/>
        </w:rPr>
      </w:pPr>
    </w:p>
    <w:p w14:paraId="44F72542" w14:textId="090DCB89" w:rsidR="00EA3205" w:rsidRPr="00B05F62" w:rsidRDefault="00EA3205" w:rsidP="00EA3205">
      <w:pPr>
        <w:rPr>
          <w:rFonts w:ascii="AcadNusx" w:hAnsi="AcadNusx"/>
        </w:rPr>
      </w:pPr>
      <w:r w:rsidRPr="00B05F62">
        <w:rPr>
          <w:rFonts w:ascii="AcadNusx" w:hAnsi="AcadNusx"/>
          <w:noProof/>
          <w:lang w:val="en-US" w:eastAsia="en-US"/>
        </w:rPr>
        <w:lastRenderedPageBreak/>
        <w:drawing>
          <wp:inline distT="0" distB="0" distL="0" distR="0" wp14:anchorId="5B57ACC5" wp14:editId="57F77739">
            <wp:extent cx="2889885" cy="2527300"/>
            <wp:effectExtent l="0" t="0" r="5715" b="6350"/>
            <wp:docPr id="231" name="Picture 231" descr="Macintosh HD:Users:carstengriese:Document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4" descr="Macintosh HD:Users:carstengriese:Documents:4.jpg"/>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2889885" cy="2527300"/>
                    </a:xfrm>
                    <a:prstGeom prst="rect">
                      <a:avLst/>
                    </a:prstGeom>
                    <a:noFill/>
                    <a:ln>
                      <a:noFill/>
                    </a:ln>
                  </pic:spPr>
                </pic:pic>
              </a:graphicData>
            </a:graphic>
          </wp:inline>
        </w:drawing>
      </w:r>
      <w:r w:rsidRPr="00B05F62">
        <w:rPr>
          <w:rFonts w:ascii="AcadNusx" w:hAnsi="AcadNusx"/>
        </w:rPr>
        <w:tab/>
      </w:r>
      <w:r w:rsidRPr="00B05F62">
        <w:rPr>
          <w:rFonts w:ascii="AcadNusx" w:hAnsi="AcadNusx"/>
          <w:noProof/>
          <w:lang w:val="en-US" w:eastAsia="en-US"/>
        </w:rPr>
        <w:drawing>
          <wp:inline distT="0" distB="0" distL="0" distR="0" wp14:anchorId="4D8BE05A" wp14:editId="56E7EFA1">
            <wp:extent cx="2717165" cy="2545080"/>
            <wp:effectExtent l="0" t="0" r="6985" b="7620"/>
            <wp:docPr id="230" name="Picture 230" descr="Macintosh HD:Users:carstengriese:Document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5" descr="Macintosh HD:Users:carstengriese:Documents:5.jpg"/>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2717165" cy="2545080"/>
                    </a:xfrm>
                    <a:prstGeom prst="rect">
                      <a:avLst/>
                    </a:prstGeom>
                    <a:noFill/>
                    <a:ln>
                      <a:noFill/>
                    </a:ln>
                  </pic:spPr>
                </pic:pic>
              </a:graphicData>
            </a:graphic>
          </wp:inline>
        </w:drawing>
      </w:r>
    </w:p>
    <w:p w14:paraId="585D3D80" w14:textId="3B994786" w:rsidR="00EA3205" w:rsidRPr="00B05F62" w:rsidRDefault="00EA3205" w:rsidP="00EA3205">
      <w:pPr>
        <w:rPr>
          <w:rFonts w:ascii="AcadNusx" w:hAnsi="AcadNusx"/>
        </w:rPr>
      </w:pPr>
      <w:r w:rsidRPr="00B05F62">
        <w:rPr>
          <w:rFonts w:ascii="AcadNusx" w:hAnsi="AcadNusx"/>
        </w:rPr>
        <w:t xml:space="preserve">suraTi </w:t>
      </w:r>
      <w:r w:rsidR="00EB1823" w:rsidRPr="00B05F62">
        <w:rPr>
          <w:rFonts w:ascii="AcadNusx" w:hAnsi="AcadNusx"/>
        </w:rPr>
        <w:t>4.</w:t>
      </w:r>
      <w:r w:rsidR="00EB1823">
        <w:rPr>
          <w:rFonts w:ascii="Sylfaen" w:hAnsi="Sylfaen"/>
          <w:lang w:val="ka-GE"/>
        </w:rPr>
        <w:t>1</w:t>
      </w:r>
      <w:r w:rsidR="00EA6DAA">
        <w:rPr>
          <w:rFonts w:ascii="Sylfaen" w:hAnsi="Sylfaen"/>
          <w:lang w:val="ka-GE"/>
        </w:rPr>
        <w:t>0</w:t>
      </w:r>
      <w:r w:rsidR="00EB1823">
        <w:rPr>
          <w:rFonts w:ascii="Sylfaen" w:hAnsi="Sylfaen"/>
          <w:lang w:val="ka-GE"/>
        </w:rPr>
        <w:t>.2-5</w:t>
      </w:r>
      <w:r w:rsidRPr="00B05F62">
        <w:rPr>
          <w:rFonts w:ascii="AcadNusx" w:hAnsi="AcadNusx"/>
        </w:rPr>
        <w:t>: kvanZi km 24+422 (kondori)</w:t>
      </w:r>
      <w:r w:rsidRPr="00B05F62">
        <w:rPr>
          <w:rFonts w:ascii="AcadNusx" w:hAnsi="AcadNusx"/>
        </w:rPr>
        <w:tab/>
        <w:t xml:space="preserve">suraTi </w:t>
      </w:r>
      <w:r w:rsidR="00EB1823" w:rsidRPr="00B05F62">
        <w:rPr>
          <w:rFonts w:ascii="AcadNusx" w:hAnsi="AcadNusx"/>
        </w:rPr>
        <w:t>4.</w:t>
      </w:r>
      <w:r w:rsidR="00EB1823">
        <w:rPr>
          <w:rFonts w:ascii="Sylfaen" w:hAnsi="Sylfaen"/>
          <w:lang w:val="ka-GE"/>
        </w:rPr>
        <w:t>1</w:t>
      </w:r>
      <w:r w:rsidR="00EA6DAA">
        <w:rPr>
          <w:rFonts w:ascii="Sylfaen" w:hAnsi="Sylfaen"/>
          <w:lang w:val="ka-GE"/>
        </w:rPr>
        <w:t>0</w:t>
      </w:r>
      <w:r w:rsidR="00EB1823">
        <w:rPr>
          <w:rFonts w:ascii="Sylfaen" w:hAnsi="Sylfaen"/>
          <w:lang w:val="ka-GE"/>
        </w:rPr>
        <w:t>.2-6</w:t>
      </w:r>
      <w:r w:rsidRPr="00B05F62">
        <w:rPr>
          <w:rFonts w:ascii="AcadNusx" w:hAnsi="AcadNusx"/>
        </w:rPr>
        <w:t>: kvanZi km 30+250 (Telavi)</w:t>
      </w:r>
    </w:p>
    <w:p w14:paraId="0C0D4041" w14:textId="77777777" w:rsidR="00EA3205" w:rsidRPr="00B05F62" w:rsidRDefault="00EA3205" w:rsidP="00EA3205">
      <w:pPr>
        <w:rPr>
          <w:rFonts w:ascii="AcadNusx" w:hAnsi="AcadNusx"/>
        </w:rPr>
      </w:pPr>
    </w:p>
    <w:p w14:paraId="7366AE8A" w14:textId="77777777" w:rsidR="00EA3205" w:rsidRPr="00B05F62" w:rsidRDefault="00EA3205" w:rsidP="00EA3205">
      <w:pPr>
        <w:rPr>
          <w:rFonts w:ascii="AcadNusx" w:hAnsi="AcadNusx"/>
        </w:rPr>
      </w:pPr>
      <w:r w:rsidRPr="00B05F62">
        <w:rPr>
          <w:rFonts w:ascii="AcadNusx" w:hAnsi="AcadNusx"/>
        </w:rPr>
        <w:t>gzagamtarebis winaswari teqnikuri gadawyvetebi naCvenebia winamdebare angariSis me-2 tomSi mocemul gegmebis da Wrilebis naxazebze.</w:t>
      </w:r>
    </w:p>
    <w:p w14:paraId="4542D56D" w14:textId="77777777" w:rsidR="00EA3205" w:rsidRPr="00B05F62" w:rsidRDefault="00EA3205" w:rsidP="00EA3205">
      <w:pPr>
        <w:rPr>
          <w:rFonts w:ascii="AcadNusx" w:hAnsi="AcadNusx"/>
        </w:rPr>
      </w:pPr>
    </w:p>
    <w:p w14:paraId="300282A7" w14:textId="019D55FC" w:rsidR="00EA3205" w:rsidRPr="00EB1823" w:rsidRDefault="00EA3205" w:rsidP="00EB1823">
      <w:pPr>
        <w:pStyle w:val="Heading3"/>
        <w:rPr>
          <w:rFonts w:ascii="AcadNusx" w:hAnsi="AcadNusx"/>
        </w:rPr>
      </w:pPr>
      <w:bookmarkStart w:id="130" w:name="_Toc1581515"/>
      <w:r w:rsidRPr="00EB1823">
        <w:rPr>
          <w:rFonts w:ascii="AcadNusx" w:hAnsi="AcadNusx"/>
        </w:rPr>
        <w:t>4.</w:t>
      </w:r>
      <w:r w:rsidR="00EB1823" w:rsidRPr="00EB1823">
        <w:rPr>
          <w:rFonts w:ascii="AcadNusx" w:hAnsi="AcadNusx"/>
          <w:lang w:val="ka-GE"/>
        </w:rPr>
        <w:t>1</w:t>
      </w:r>
      <w:r w:rsidR="00EA6DAA">
        <w:rPr>
          <w:rFonts w:ascii="Sylfaen" w:hAnsi="Sylfaen"/>
          <w:lang w:val="ka-GE"/>
        </w:rPr>
        <w:t>0</w:t>
      </w:r>
      <w:r w:rsidRPr="00EB1823">
        <w:rPr>
          <w:rFonts w:ascii="AcadNusx" w:hAnsi="AcadNusx"/>
        </w:rPr>
        <w:t>.3</w:t>
      </w:r>
      <w:r w:rsidRPr="00EB1823">
        <w:rPr>
          <w:rFonts w:ascii="AcadNusx" w:hAnsi="AcadNusx"/>
        </w:rPr>
        <w:tab/>
      </w:r>
      <w:r w:rsidR="006B0240">
        <w:rPr>
          <w:rFonts w:ascii="Sylfaen" w:hAnsi="Sylfaen"/>
          <w:lang w:val="ka-GE"/>
        </w:rPr>
        <w:t>მისასვლელი გზები</w:t>
      </w:r>
      <w:bookmarkEnd w:id="130"/>
    </w:p>
    <w:p w14:paraId="1D6E88EF" w14:textId="77777777" w:rsidR="00EA3205" w:rsidRPr="00B05F62" w:rsidRDefault="00EA3205" w:rsidP="00EA3205">
      <w:pPr>
        <w:rPr>
          <w:rFonts w:ascii="AcadNusx" w:hAnsi="AcadNusx"/>
        </w:rPr>
      </w:pPr>
      <w:r w:rsidRPr="00B05F62">
        <w:rPr>
          <w:rFonts w:ascii="AcadNusx" w:hAnsi="AcadNusx"/>
        </w:rPr>
        <w:t>gurjaani/(Cumlayi)-Telavis SemovliTi gzis CrdiloeTiT mdebare sasoflo-sameurneo savargulebis misadgomoba uzrunvelyofili iqneba saproeqto gzis gaswvriv gamavali sasoflo tipis moxreSili gziT, romelic saWiroebisamebr iqneba dakavSirebuli adgilobriv ZiriTad sagzao qselTan saproeqto gzis qveda gasasvlelebis saSualebiT. aRniSnuli moxreSili gzis sigane Seadgens 4.50 metrs, rac SesabamisobaSia saqarTveloSi moqmed gzebis geometriuli daproeqtebis standartTan.</w:t>
      </w:r>
    </w:p>
    <w:p w14:paraId="32B43FCD" w14:textId="421C9AE4" w:rsidR="00EA3205" w:rsidRPr="00B05F62" w:rsidRDefault="00EA3205" w:rsidP="00EA3205">
      <w:pPr>
        <w:rPr>
          <w:rFonts w:ascii="AcadNusx" w:hAnsi="AcadNusx"/>
        </w:rPr>
      </w:pPr>
      <w:r w:rsidRPr="00B05F62">
        <w:rPr>
          <w:rFonts w:ascii="AcadNusx" w:hAnsi="AcadNusx"/>
          <w:noProof/>
          <w:lang w:val="en-US" w:eastAsia="en-US"/>
        </w:rPr>
        <w:drawing>
          <wp:inline distT="0" distB="0" distL="0" distR="0" wp14:anchorId="0A2AADEC" wp14:editId="5689A261">
            <wp:extent cx="5943600" cy="179451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9"/>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5943600" cy="1794510"/>
                    </a:xfrm>
                    <a:prstGeom prst="rect">
                      <a:avLst/>
                    </a:prstGeom>
                    <a:noFill/>
                    <a:ln>
                      <a:noFill/>
                    </a:ln>
                  </pic:spPr>
                </pic:pic>
              </a:graphicData>
            </a:graphic>
          </wp:inline>
        </w:drawing>
      </w:r>
    </w:p>
    <w:p w14:paraId="480056F7" w14:textId="263C9671" w:rsidR="00EA3205" w:rsidRPr="00B05F62" w:rsidRDefault="00EA3205" w:rsidP="00EA3205">
      <w:pPr>
        <w:rPr>
          <w:rFonts w:ascii="AcadNusx" w:hAnsi="AcadNusx"/>
          <w:lang w:val="en-US"/>
        </w:rPr>
      </w:pPr>
      <w:r w:rsidRPr="00B05F62">
        <w:rPr>
          <w:rFonts w:ascii="AcadNusx" w:hAnsi="AcadNusx"/>
        </w:rPr>
        <w:t>suraTi 4.</w:t>
      </w:r>
      <w:r w:rsidR="00EB1823">
        <w:rPr>
          <w:rFonts w:ascii="Sylfaen" w:hAnsi="Sylfaen"/>
          <w:lang w:val="ka-GE"/>
        </w:rPr>
        <w:t>1</w:t>
      </w:r>
      <w:r w:rsidR="00EA6DAA">
        <w:rPr>
          <w:rFonts w:ascii="Sylfaen" w:hAnsi="Sylfaen"/>
          <w:lang w:val="ka-GE"/>
        </w:rPr>
        <w:t>0</w:t>
      </w:r>
      <w:r w:rsidR="00EB1823">
        <w:rPr>
          <w:rFonts w:ascii="Sylfaen" w:hAnsi="Sylfaen"/>
          <w:lang w:val="ka-GE"/>
        </w:rPr>
        <w:t>.3.-1</w:t>
      </w:r>
      <w:r w:rsidRPr="00B05F62">
        <w:rPr>
          <w:rFonts w:ascii="AcadNusx" w:hAnsi="AcadNusx"/>
        </w:rPr>
        <w:t xml:space="preserve">: saproeqto gzis mimarT sasoflo sameurneo miwebiTan misasvleli xreSovani gzebis ganlageba </w:t>
      </w:r>
    </w:p>
    <w:p w14:paraId="5015241C" w14:textId="77777777" w:rsidR="00EA3205" w:rsidRPr="00B05F62" w:rsidRDefault="00EA3205" w:rsidP="00EA3205">
      <w:pPr>
        <w:rPr>
          <w:rFonts w:ascii="AcadNusx" w:hAnsi="AcadNusx"/>
        </w:rPr>
      </w:pPr>
    </w:p>
    <w:p w14:paraId="561732F7" w14:textId="1CA43B86" w:rsidR="00EA3205" w:rsidRPr="00B05F62" w:rsidRDefault="00EA3205" w:rsidP="00EA3205">
      <w:pPr>
        <w:rPr>
          <w:rFonts w:ascii="AcadNusx" w:hAnsi="AcadNusx"/>
        </w:rPr>
      </w:pPr>
      <w:r w:rsidRPr="00B05F62">
        <w:rPr>
          <w:rFonts w:ascii="AcadNusx" w:hAnsi="AcadNusx"/>
        </w:rPr>
        <w:t xml:space="preserve">cxrili </w:t>
      </w:r>
      <w:r w:rsidR="00EB1823" w:rsidRPr="00B05F62">
        <w:rPr>
          <w:rFonts w:ascii="AcadNusx" w:hAnsi="AcadNusx"/>
        </w:rPr>
        <w:t>4.</w:t>
      </w:r>
      <w:r w:rsidR="00EB1823">
        <w:rPr>
          <w:rFonts w:ascii="Sylfaen" w:hAnsi="Sylfaen"/>
          <w:lang w:val="ka-GE"/>
        </w:rPr>
        <w:t>1</w:t>
      </w:r>
      <w:r w:rsidR="00EA6DAA">
        <w:rPr>
          <w:rFonts w:ascii="Sylfaen" w:hAnsi="Sylfaen"/>
          <w:lang w:val="ka-GE"/>
        </w:rPr>
        <w:t>0</w:t>
      </w:r>
      <w:r w:rsidR="00EB1823">
        <w:rPr>
          <w:rFonts w:ascii="Sylfaen" w:hAnsi="Sylfaen"/>
          <w:lang w:val="ka-GE"/>
        </w:rPr>
        <w:t>.3.-1</w:t>
      </w:r>
      <w:r w:rsidRPr="00B05F62">
        <w:rPr>
          <w:rFonts w:ascii="AcadNusx" w:hAnsi="AcadNusx"/>
        </w:rPr>
        <w:t xml:space="preserve">: misasvleli xreSovani gzebis Sejameba </w:t>
      </w:r>
    </w:p>
    <w:tbl>
      <w:tblPr>
        <w:tblStyle w:val="TableGrid110"/>
        <w:tblW w:w="9895" w:type="dxa"/>
        <w:tblLayout w:type="fixed"/>
        <w:tblLook w:val="04A0" w:firstRow="1" w:lastRow="0" w:firstColumn="1" w:lastColumn="0" w:noHBand="0" w:noVBand="1"/>
      </w:tblPr>
      <w:tblGrid>
        <w:gridCol w:w="1120"/>
        <w:gridCol w:w="1347"/>
        <w:gridCol w:w="1573"/>
        <w:gridCol w:w="1348"/>
        <w:gridCol w:w="1668"/>
        <w:gridCol w:w="2839"/>
      </w:tblGrid>
      <w:tr w:rsidR="00EA3205" w:rsidRPr="00B05F62" w14:paraId="0DEB7E95" w14:textId="77777777" w:rsidTr="00B77B2E">
        <w:tc>
          <w:tcPr>
            <w:tcW w:w="1120" w:type="dxa"/>
            <w:vMerge w:val="restart"/>
            <w:hideMark/>
          </w:tcPr>
          <w:p w14:paraId="530B240B" w14:textId="77777777" w:rsidR="00EA3205" w:rsidRPr="00B05F62" w:rsidRDefault="00EA3205" w:rsidP="00EA3205">
            <w:pPr>
              <w:rPr>
                <w:rFonts w:ascii="AcadNusx" w:hAnsi="AcadNusx"/>
                <w:lang w:val="en-US"/>
              </w:rPr>
            </w:pPr>
            <w:r w:rsidRPr="00B05F62">
              <w:rPr>
                <w:rFonts w:ascii="AcadNusx" w:hAnsi="AcadNusx"/>
              </w:rPr>
              <w:t>RerZis xazis #</w:t>
            </w:r>
          </w:p>
        </w:tc>
        <w:tc>
          <w:tcPr>
            <w:tcW w:w="5936" w:type="dxa"/>
            <w:gridSpan w:val="4"/>
            <w:hideMark/>
          </w:tcPr>
          <w:p w14:paraId="6D728C91" w14:textId="77777777" w:rsidR="00EA3205" w:rsidRPr="00B05F62" w:rsidRDefault="00EA3205" w:rsidP="00EA3205">
            <w:pPr>
              <w:rPr>
                <w:rFonts w:ascii="AcadNusx" w:hAnsi="AcadNusx"/>
              </w:rPr>
            </w:pPr>
            <w:r w:rsidRPr="00B05F62">
              <w:rPr>
                <w:rFonts w:ascii="AcadNusx" w:hAnsi="AcadNusx"/>
              </w:rPr>
              <w:t>kilometraJi (m)</w:t>
            </w:r>
          </w:p>
        </w:tc>
        <w:tc>
          <w:tcPr>
            <w:tcW w:w="2839" w:type="dxa"/>
            <w:vMerge w:val="restart"/>
            <w:hideMark/>
          </w:tcPr>
          <w:p w14:paraId="5E8776F5" w14:textId="77777777" w:rsidR="00EA3205" w:rsidRPr="00B05F62" w:rsidRDefault="00EA3205" w:rsidP="00EA3205">
            <w:pPr>
              <w:rPr>
                <w:rFonts w:ascii="AcadNusx" w:hAnsi="AcadNusx"/>
              </w:rPr>
            </w:pPr>
            <w:r w:rsidRPr="00B05F62">
              <w:rPr>
                <w:rFonts w:ascii="AcadNusx" w:hAnsi="AcadNusx"/>
              </w:rPr>
              <w:t>xreSovani gzis sigrZe</w:t>
            </w:r>
            <w:r w:rsidRPr="00B05F62">
              <w:rPr>
                <w:rFonts w:ascii="AcadNusx" w:hAnsi="AcadNusx"/>
              </w:rPr>
              <w:br/>
              <w:t>(m)</w:t>
            </w:r>
          </w:p>
        </w:tc>
      </w:tr>
      <w:tr w:rsidR="00EA3205" w:rsidRPr="00B05F62" w14:paraId="3870D511" w14:textId="77777777" w:rsidTr="00B77B2E">
        <w:tc>
          <w:tcPr>
            <w:tcW w:w="1120" w:type="dxa"/>
            <w:vMerge/>
            <w:hideMark/>
          </w:tcPr>
          <w:p w14:paraId="1E63CAFC" w14:textId="77777777" w:rsidR="00EA3205" w:rsidRPr="00B05F62" w:rsidRDefault="00EA3205" w:rsidP="00EA3205">
            <w:pPr>
              <w:rPr>
                <w:rFonts w:ascii="AcadNusx" w:hAnsi="AcadNusx"/>
              </w:rPr>
            </w:pPr>
          </w:p>
        </w:tc>
        <w:tc>
          <w:tcPr>
            <w:tcW w:w="2920" w:type="dxa"/>
            <w:gridSpan w:val="2"/>
            <w:hideMark/>
          </w:tcPr>
          <w:p w14:paraId="756EE981" w14:textId="77777777" w:rsidR="00EA3205" w:rsidRPr="00B05F62" w:rsidRDefault="00EA3205" w:rsidP="00EA3205">
            <w:pPr>
              <w:rPr>
                <w:rFonts w:ascii="AcadNusx" w:hAnsi="AcadNusx"/>
              </w:rPr>
            </w:pPr>
            <w:r w:rsidRPr="00B05F62">
              <w:rPr>
                <w:rFonts w:ascii="AcadNusx" w:hAnsi="AcadNusx"/>
              </w:rPr>
              <w:t>marcxena</w:t>
            </w:r>
          </w:p>
        </w:tc>
        <w:tc>
          <w:tcPr>
            <w:tcW w:w="3016" w:type="dxa"/>
            <w:gridSpan w:val="2"/>
            <w:hideMark/>
          </w:tcPr>
          <w:p w14:paraId="3B00F067" w14:textId="77777777" w:rsidR="00EA3205" w:rsidRPr="00B05F62" w:rsidRDefault="00EA3205" w:rsidP="00EA3205">
            <w:pPr>
              <w:rPr>
                <w:rFonts w:ascii="AcadNusx" w:hAnsi="AcadNusx"/>
              </w:rPr>
            </w:pPr>
            <w:r w:rsidRPr="00B05F62">
              <w:rPr>
                <w:rFonts w:ascii="AcadNusx" w:hAnsi="AcadNusx"/>
              </w:rPr>
              <w:t>marjvena</w:t>
            </w:r>
          </w:p>
        </w:tc>
        <w:tc>
          <w:tcPr>
            <w:tcW w:w="2839" w:type="dxa"/>
            <w:vMerge/>
            <w:hideMark/>
          </w:tcPr>
          <w:p w14:paraId="2E1360AF" w14:textId="77777777" w:rsidR="00EA3205" w:rsidRPr="00B05F62" w:rsidRDefault="00EA3205" w:rsidP="00EA3205">
            <w:pPr>
              <w:rPr>
                <w:rFonts w:ascii="AcadNusx" w:hAnsi="AcadNusx"/>
              </w:rPr>
            </w:pPr>
          </w:p>
        </w:tc>
      </w:tr>
      <w:tr w:rsidR="00EA3205" w:rsidRPr="00B05F62" w14:paraId="4585493F" w14:textId="77777777" w:rsidTr="00B77B2E">
        <w:tc>
          <w:tcPr>
            <w:tcW w:w="1120" w:type="dxa"/>
            <w:vMerge/>
            <w:hideMark/>
          </w:tcPr>
          <w:p w14:paraId="5BAACF8E" w14:textId="77777777" w:rsidR="00EA3205" w:rsidRPr="00B05F62" w:rsidRDefault="00EA3205" w:rsidP="00EA3205">
            <w:pPr>
              <w:rPr>
                <w:rFonts w:ascii="AcadNusx" w:hAnsi="AcadNusx"/>
              </w:rPr>
            </w:pPr>
          </w:p>
        </w:tc>
        <w:tc>
          <w:tcPr>
            <w:tcW w:w="1347" w:type="dxa"/>
            <w:hideMark/>
          </w:tcPr>
          <w:p w14:paraId="42E96762" w14:textId="77777777" w:rsidR="00EA3205" w:rsidRPr="00B05F62" w:rsidRDefault="00EA3205" w:rsidP="00EA3205">
            <w:pPr>
              <w:rPr>
                <w:rFonts w:ascii="AcadNusx" w:hAnsi="AcadNusx"/>
              </w:rPr>
            </w:pPr>
            <w:r w:rsidRPr="00B05F62">
              <w:rPr>
                <w:rFonts w:ascii="AcadNusx" w:hAnsi="AcadNusx"/>
              </w:rPr>
              <w:t>dasawyisi</w:t>
            </w:r>
          </w:p>
        </w:tc>
        <w:tc>
          <w:tcPr>
            <w:tcW w:w="1573" w:type="dxa"/>
            <w:hideMark/>
          </w:tcPr>
          <w:p w14:paraId="0F2FEA8E" w14:textId="77777777" w:rsidR="00EA3205" w:rsidRPr="00B05F62" w:rsidRDefault="00EA3205" w:rsidP="00EA3205">
            <w:pPr>
              <w:rPr>
                <w:rFonts w:ascii="AcadNusx" w:hAnsi="AcadNusx"/>
              </w:rPr>
            </w:pPr>
            <w:r w:rsidRPr="00B05F62">
              <w:rPr>
                <w:rFonts w:ascii="AcadNusx" w:hAnsi="AcadNusx"/>
              </w:rPr>
              <w:t>dasasruli</w:t>
            </w:r>
          </w:p>
        </w:tc>
        <w:tc>
          <w:tcPr>
            <w:tcW w:w="1348" w:type="dxa"/>
            <w:hideMark/>
          </w:tcPr>
          <w:p w14:paraId="3C45F5CB" w14:textId="77777777" w:rsidR="00EA3205" w:rsidRPr="00B05F62" w:rsidRDefault="00EA3205" w:rsidP="00EA3205">
            <w:pPr>
              <w:rPr>
                <w:rFonts w:ascii="AcadNusx" w:hAnsi="AcadNusx"/>
              </w:rPr>
            </w:pPr>
            <w:r w:rsidRPr="00B05F62">
              <w:rPr>
                <w:rFonts w:ascii="AcadNusx" w:hAnsi="AcadNusx"/>
              </w:rPr>
              <w:t>dasawyisi</w:t>
            </w:r>
          </w:p>
        </w:tc>
        <w:tc>
          <w:tcPr>
            <w:tcW w:w="1668" w:type="dxa"/>
            <w:hideMark/>
          </w:tcPr>
          <w:p w14:paraId="62F34D07" w14:textId="77777777" w:rsidR="00EA3205" w:rsidRPr="00B05F62" w:rsidRDefault="00EA3205" w:rsidP="00EA3205">
            <w:pPr>
              <w:rPr>
                <w:rFonts w:ascii="AcadNusx" w:hAnsi="AcadNusx"/>
              </w:rPr>
            </w:pPr>
            <w:r w:rsidRPr="00B05F62">
              <w:rPr>
                <w:rFonts w:ascii="AcadNusx" w:hAnsi="AcadNusx"/>
              </w:rPr>
              <w:t>dasasruli</w:t>
            </w:r>
          </w:p>
        </w:tc>
        <w:tc>
          <w:tcPr>
            <w:tcW w:w="2839" w:type="dxa"/>
            <w:vMerge/>
            <w:hideMark/>
          </w:tcPr>
          <w:p w14:paraId="2ADEEF0B" w14:textId="77777777" w:rsidR="00EA3205" w:rsidRPr="00B05F62" w:rsidRDefault="00EA3205" w:rsidP="00EA3205">
            <w:pPr>
              <w:rPr>
                <w:rFonts w:ascii="AcadNusx" w:hAnsi="AcadNusx"/>
              </w:rPr>
            </w:pPr>
          </w:p>
        </w:tc>
      </w:tr>
      <w:tr w:rsidR="00EA3205" w:rsidRPr="00B05F62" w14:paraId="5F0BA920" w14:textId="77777777" w:rsidTr="00B77B2E">
        <w:tc>
          <w:tcPr>
            <w:tcW w:w="1120" w:type="dxa"/>
            <w:noWrap/>
            <w:hideMark/>
          </w:tcPr>
          <w:p w14:paraId="2557BDF8" w14:textId="77777777" w:rsidR="00EA3205" w:rsidRPr="00B05F62" w:rsidRDefault="00EA3205" w:rsidP="00EA3205">
            <w:pPr>
              <w:rPr>
                <w:rFonts w:ascii="AcadNusx" w:hAnsi="AcadNusx"/>
                <w:lang w:val="de-DE"/>
              </w:rPr>
            </w:pPr>
            <w:r w:rsidRPr="00B05F62">
              <w:rPr>
                <w:rFonts w:ascii="AcadNusx" w:hAnsi="AcadNusx"/>
              </w:rPr>
              <w:t>100</w:t>
            </w:r>
          </w:p>
        </w:tc>
        <w:tc>
          <w:tcPr>
            <w:tcW w:w="1347" w:type="dxa"/>
            <w:noWrap/>
            <w:hideMark/>
          </w:tcPr>
          <w:p w14:paraId="321FA2E5"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02B8EFD4"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0BD55A2E" w14:textId="77777777" w:rsidR="00EA3205" w:rsidRPr="00B05F62" w:rsidRDefault="00EA3205" w:rsidP="00EA3205">
            <w:pPr>
              <w:rPr>
                <w:rFonts w:ascii="AcadNusx" w:hAnsi="AcadNusx"/>
              </w:rPr>
            </w:pPr>
            <w:r w:rsidRPr="00B05F62">
              <w:rPr>
                <w:rFonts w:ascii="AcadNusx" w:hAnsi="AcadNusx"/>
              </w:rPr>
              <w:t>63</w:t>
            </w:r>
          </w:p>
        </w:tc>
        <w:tc>
          <w:tcPr>
            <w:tcW w:w="1668" w:type="dxa"/>
            <w:noWrap/>
            <w:hideMark/>
          </w:tcPr>
          <w:p w14:paraId="12F1591A" w14:textId="77777777" w:rsidR="00EA3205" w:rsidRPr="00B05F62" w:rsidRDefault="00EA3205" w:rsidP="00EA3205">
            <w:pPr>
              <w:rPr>
                <w:rFonts w:ascii="AcadNusx" w:hAnsi="AcadNusx"/>
              </w:rPr>
            </w:pPr>
            <w:r w:rsidRPr="00B05F62">
              <w:rPr>
                <w:rFonts w:ascii="AcadNusx" w:hAnsi="AcadNusx"/>
              </w:rPr>
              <w:t>542</w:t>
            </w:r>
          </w:p>
        </w:tc>
        <w:tc>
          <w:tcPr>
            <w:tcW w:w="2839" w:type="dxa"/>
            <w:noWrap/>
            <w:hideMark/>
          </w:tcPr>
          <w:p w14:paraId="4FF4025E" w14:textId="77777777" w:rsidR="00EA3205" w:rsidRPr="00B05F62" w:rsidRDefault="00EA3205" w:rsidP="00EA3205">
            <w:pPr>
              <w:rPr>
                <w:rFonts w:ascii="AcadNusx" w:hAnsi="AcadNusx"/>
              </w:rPr>
            </w:pPr>
            <w:r w:rsidRPr="00B05F62">
              <w:rPr>
                <w:rFonts w:ascii="AcadNusx" w:hAnsi="AcadNusx"/>
              </w:rPr>
              <w:t>479</w:t>
            </w:r>
          </w:p>
        </w:tc>
      </w:tr>
      <w:tr w:rsidR="00EA3205" w:rsidRPr="00B05F62" w14:paraId="661B8D8A" w14:textId="77777777" w:rsidTr="00B77B2E">
        <w:tc>
          <w:tcPr>
            <w:tcW w:w="1120" w:type="dxa"/>
            <w:noWrap/>
            <w:hideMark/>
          </w:tcPr>
          <w:p w14:paraId="5D641208" w14:textId="77777777" w:rsidR="00EA3205" w:rsidRPr="00B05F62" w:rsidRDefault="00EA3205" w:rsidP="00EA3205">
            <w:pPr>
              <w:rPr>
                <w:rFonts w:ascii="AcadNusx" w:hAnsi="AcadNusx"/>
              </w:rPr>
            </w:pPr>
            <w:r w:rsidRPr="00B05F62">
              <w:rPr>
                <w:rFonts w:ascii="AcadNusx" w:hAnsi="AcadNusx"/>
              </w:rPr>
              <w:t>200</w:t>
            </w:r>
          </w:p>
        </w:tc>
        <w:tc>
          <w:tcPr>
            <w:tcW w:w="1347" w:type="dxa"/>
            <w:noWrap/>
            <w:hideMark/>
          </w:tcPr>
          <w:p w14:paraId="63149BD7" w14:textId="77777777" w:rsidR="00EA3205" w:rsidRPr="00B05F62" w:rsidRDefault="00EA3205" w:rsidP="00EA3205">
            <w:pPr>
              <w:rPr>
                <w:rFonts w:ascii="AcadNusx" w:hAnsi="AcadNusx"/>
              </w:rPr>
            </w:pPr>
            <w:r w:rsidRPr="00B05F62">
              <w:rPr>
                <w:rFonts w:ascii="AcadNusx" w:hAnsi="AcadNusx"/>
              </w:rPr>
              <w:t>0</w:t>
            </w:r>
          </w:p>
        </w:tc>
        <w:tc>
          <w:tcPr>
            <w:tcW w:w="1573" w:type="dxa"/>
            <w:noWrap/>
            <w:hideMark/>
          </w:tcPr>
          <w:p w14:paraId="28AB6644" w14:textId="77777777" w:rsidR="00EA3205" w:rsidRPr="00B05F62" w:rsidRDefault="00EA3205" w:rsidP="00EA3205">
            <w:pPr>
              <w:rPr>
                <w:rFonts w:ascii="AcadNusx" w:hAnsi="AcadNusx"/>
              </w:rPr>
            </w:pPr>
            <w:r w:rsidRPr="00B05F62">
              <w:rPr>
                <w:rFonts w:ascii="AcadNusx" w:hAnsi="AcadNusx"/>
              </w:rPr>
              <w:t>173</w:t>
            </w:r>
          </w:p>
        </w:tc>
        <w:tc>
          <w:tcPr>
            <w:tcW w:w="1348" w:type="dxa"/>
            <w:noWrap/>
            <w:hideMark/>
          </w:tcPr>
          <w:p w14:paraId="527F0C67"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6F0BB31E"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2EE36EB9" w14:textId="77777777" w:rsidR="00EA3205" w:rsidRPr="00B05F62" w:rsidRDefault="00EA3205" w:rsidP="00EA3205">
            <w:pPr>
              <w:rPr>
                <w:rFonts w:ascii="AcadNusx" w:hAnsi="AcadNusx"/>
              </w:rPr>
            </w:pPr>
            <w:r w:rsidRPr="00B05F62">
              <w:rPr>
                <w:rFonts w:ascii="AcadNusx" w:hAnsi="AcadNusx"/>
              </w:rPr>
              <w:t>173</w:t>
            </w:r>
          </w:p>
        </w:tc>
      </w:tr>
      <w:tr w:rsidR="00EA3205" w:rsidRPr="00B05F62" w14:paraId="4329A6C7" w14:textId="77777777" w:rsidTr="00B77B2E">
        <w:tc>
          <w:tcPr>
            <w:tcW w:w="1120" w:type="dxa"/>
            <w:noWrap/>
            <w:hideMark/>
          </w:tcPr>
          <w:p w14:paraId="4A11DB45" w14:textId="77777777" w:rsidR="00EA3205" w:rsidRPr="00B05F62" w:rsidRDefault="00EA3205" w:rsidP="00EA3205">
            <w:pPr>
              <w:rPr>
                <w:rFonts w:ascii="AcadNusx" w:hAnsi="AcadNusx"/>
              </w:rPr>
            </w:pPr>
            <w:r w:rsidRPr="00B05F62">
              <w:rPr>
                <w:rFonts w:ascii="AcadNusx" w:hAnsi="AcadNusx"/>
              </w:rPr>
              <w:t>202</w:t>
            </w:r>
          </w:p>
        </w:tc>
        <w:tc>
          <w:tcPr>
            <w:tcW w:w="1347" w:type="dxa"/>
            <w:noWrap/>
            <w:hideMark/>
          </w:tcPr>
          <w:p w14:paraId="2A15D4BD"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228F1501"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66257FA2" w14:textId="77777777" w:rsidR="00EA3205" w:rsidRPr="00B05F62" w:rsidRDefault="00EA3205" w:rsidP="00EA3205">
            <w:pPr>
              <w:rPr>
                <w:rFonts w:ascii="AcadNusx" w:hAnsi="AcadNusx"/>
              </w:rPr>
            </w:pPr>
            <w:r w:rsidRPr="00B05F62">
              <w:rPr>
                <w:rFonts w:ascii="AcadNusx" w:hAnsi="AcadNusx"/>
              </w:rPr>
              <w:t>0</w:t>
            </w:r>
          </w:p>
        </w:tc>
        <w:tc>
          <w:tcPr>
            <w:tcW w:w="1668" w:type="dxa"/>
            <w:noWrap/>
            <w:hideMark/>
          </w:tcPr>
          <w:p w14:paraId="479E5380" w14:textId="77777777" w:rsidR="00EA3205" w:rsidRPr="00B05F62" w:rsidRDefault="00EA3205" w:rsidP="00EA3205">
            <w:pPr>
              <w:rPr>
                <w:rFonts w:ascii="AcadNusx" w:hAnsi="AcadNusx"/>
              </w:rPr>
            </w:pPr>
            <w:r w:rsidRPr="00B05F62">
              <w:rPr>
                <w:rFonts w:ascii="AcadNusx" w:hAnsi="AcadNusx"/>
              </w:rPr>
              <w:t>122</w:t>
            </w:r>
          </w:p>
        </w:tc>
        <w:tc>
          <w:tcPr>
            <w:tcW w:w="2839" w:type="dxa"/>
            <w:noWrap/>
            <w:hideMark/>
          </w:tcPr>
          <w:p w14:paraId="1FF633B0" w14:textId="77777777" w:rsidR="00EA3205" w:rsidRPr="00B05F62" w:rsidRDefault="00EA3205" w:rsidP="00EA3205">
            <w:pPr>
              <w:rPr>
                <w:rFonts w:ascii="AcadNusx" w:hAnsi="AcadNusx"/>
              </w:rPr>
            </w:pPr>
            <w:r w:rsidRPr="00B05F62">
              <w:rPr>
                <w:rFonts w:ascii="AcadNusx" w:hAnsi="AcadNusx"/>
              </w:rPr>
              <w:t>122</w:t>
            </w:r>
          </w:p>
        </w:tc>
      </w:tr>
      <w:tr w:rsidR="00EA3205" w:rsidRPr="00B05F62" w14:paraId="431B026A" w14:textId="77777777" w:rsidTr="00B77B2E">
        <w:tc>
          <w:tcPr>
            <w:tcW w:w="1120" w:type="dxa"/>
            <w:noWrap/>
            <w:hideMark/>
          </w:tcPr>
          <w:p w14:paraId="2FEFF0D8"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22F74C10" w14:textId="77777777" w:rsidR="00EA3205" w:rsidRPr="00B05F62" w:rsidRDefault="00EA3205" w:rsidP="00EA3205">
            <w:pPr>
              <w:rPr>
                <w:rFonts w:ascii="AcadNusx" w:hAnsi="AcadNusx"/>
              </w:rPr>
            </w:pPr>
            <w:r w:rsidRPr="00B05F62">
              <w:rPr>
                <w:rFonts w:ascii="AcadNusx" w:hAnsi="AcadNusx"/>
              </w:rPr>
              <w:t>713</w:t>
            </w:r>
          </w:p>
        </w:tc>
        <w:tc>
          <w:tcPr>
            <w:tcW w:w="1573" w:type="dxa"/>
            <w:noWrap/>
            <w:hideMark/>
          </w:tcPr>
          <w:p w14:paraId="042DC122" w14:textId="77777777" w:rsidR="00EA3205" w:rsidRPr="00B05F62" w:rsidRDefault="00EA3205" w:rsidP="00EA3205">
            <w:pPr>
              <w:rPr>
                <w:rFonts w:ascii="AcadNusx" w:hAnsi="AcadNusx"/>
              </w:rPr>
            </w:pPr>
            <w:r w:rsidRPr="00B05F62">
              <w:rPr>
                <w:rFonts w:ascii="AcadNusx" w:hAnsi="AcadNusx"/>
              </w:rPr>
              <w:t>1,977</w:t>
            </w:r>
          </w:p>
        </w:tc>
        <w:tc>
          <w:tcPr>
            <w:tcW w:w="1348" w:type="dxa"/>
            <w:noWrap/>
            <w:hideMark/>
          </w:tcPr>
          <w:p w14:paraId="6A56D51E"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203AE0B4"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0DCB1616" w14:textId="77777777" w:rsidR="00EA3205" w:rsidRPr="00B05F62" w:rsidRDefault="00EA3205" w:rsidP="00EA3205">
            <w:pPr>
              <w:rPr>
                <w:rFonts w:ascii="AcadNusx" w:hAnsi="AcadNusx"/>
              </w:rPr>
            </w:pPr>
            <w:r w:rsidRPr="00B05F62">
              <w:rPr>
                <w:rFonts w:ascii="AcadNusx" w:hAnsi="AcadNusx"/>
              </w:rPr>
              <w:t>1,264</w:t>
            </w:r>
          </w:p>
        </w:tc>
      </w:tr>
      <w:tr w:rsidR="00EA3205" w:rsidRPr="00B05F62" w14:paraId="040A6C8C" w14:textId="77777777" w:rsidTr="00B77B2E">
        <w:tc>
          <w:tcPr>
            <w:tcW w:w="1120" w:type="dxa"/>
            <w:noWrap/>
            <w:hideMark/>
          </w:tcPr>
          <w:p w14:paraId="7E386DBA"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55D674E0"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1F4E9C67"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25D2EBE5" w14:textId="77777777" w:rsidR="00EA3205" w:rsidRPr="00B05F62" w:rsidRDefault="00EA3205" w:rsidP="00EA3205">
            <w:pPr>
              <w:rPr>
                <w:rFonts w:ascii="AcadNusx" w:hAnsi="AcadNusx"/>
              </w:rPr>
            </w:pPr>
            <w:r w:rsidRPr="00B05F62">
              <w:rPr>
                <w:rFonts w:ascii="AcadNusx" w:hAnsi="AcadNusx"/>
              </w:rPr>
              <w:t>754</w:t>
            </w:r>
          </w:p>
        </w:tc>
        <w:tc>
          <w:tcPr>
            <w:tcW w:w="1668" w:type="dxa"/>
            <w:noWrap/>
            <w:hideMark/>
          </w:tcPr>
          <w:p w14:paraId="27B066D1" w14:textId="77777777" w:rsidR="00EA3205" w:rsidRPr="00B05F62" w:rsidRDefault="00EA3205" w:rsidP="00EA3205">
            <w:pPr>
              <w:rPr>
                <w:rFonts w:ascii="AcadNusx" w:hAnsi="AcadNusx"/>
              </w:rPr>
            </w:pPr>
            <w:r w:rsidRPr="00B05F62">
              <w:rPr>
                <w:rFonts w:ascii="AcadNusx" w:hAnsi="AcadNusx"/>
              </w:rPr>
              <w:t>1,549</w:t>
            </w:r>
          </w:p>
        </w:tc>
        <w:tc>
          <w:tcPr>
            <w:tcW w:w="2839" w:type="dxa"/>
            <w:noWrap/>
            <w:hideMark/>
          </w:tcPr>
          <w:p w14:paraId="3565235D" w14:textId="77777777" w:rsidR="00EA3205" w:rsidRPr="00B05F62" w:rsidRDefault="00EA3205" w:rsidP="00EA3205">
            <w:pPr>
              <w:rPr>
                <w:rFonts w:ascii="AcadNusx" w:hAnsi="AcadNusx"/>
              </w:rPr>
            </w:pPr>
            <w:r w:rsidRPr="00B05F62">
              <w:rPr>
                <w:rFonts w:ascii="AcadNusx" w:hAnsi="AcadNusx"/>
              </w:rPr>
              <w:t>795</w:t>
            </w:r>
          </w:p>
        </w:tc>
      </w:tr>
      <w:tr w:rsidR="00EA3205" w:rsidRPr="00B05F62" w14:paraId="48151324" w14:textId="77777777" w:rsidTr="00B77B2E">
        <w:tc>
          <w:tcPr>
            <w:tcW w:w="1120" w:type="dxa"/>
            <w:noWrap/>
            <w:hideMark/>
          </w:tcPr>
          <w:p w14:paraId="1EF2EE75" w14:textId="77777777" w:rsidR="00EA3205" w:rsidRPr="00B05F62" w:rsidRDefault="00EA3205" w:rsidP="00EA3205">
            <w:pPr>
              <w:rPr>
                <w:rFonts w:ascii="AcadNusx" w:hAnsi="AcadNusx"/>
              </w:rPr>
            </w:pPr>
            <w:r w:rsidRPr="00B05F62">
              <w:rPr>
                <w:rFonts w:ascii="AcadNusx" w:hAnsi="AcadNusx"/>
              </w:rPr>
              <w:t>302</w:t>
            </w:r>
          </w:p>
        </w:tc>
        <w:tc>
          <w:tcPr>
            <w:tcW w:w="1347" w:type="dxa"/>
            <w:noWrap/>
            <w:hideMark/>
          </w:tcPr>
          <w:p w14:paraId="68B2CFCD"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2EDAC863"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1A463A6F" w14:textId="77777777" w:rsidR="00EA3205" w:rsidRPr="00B05F62" w:rsidRDefault="00EA3205" w:rsidP="00EA3205">
            <w:pPr>
              <w:rPr>
                <w:rFonts w:ascii="AcadNusx" w:hAnsi="AcadNusx"/>
              </w:rPr>
            </w:pPr>
            <w:r w:rsidRPr="00B05F62">
              <w:rPr>
                <w:rFonts w:ascii="AcadNusx" w:hAnsi="AcadNusx"/>
              </w:rPr>
              <w:t>0</w:t>
            </w:r>
          </w:p>
        </w:tc>
        <w:tc>
          <w:tcPr>
            <w:tcW w:w="1668" w:type="dxa"/>
            <w:noWrap/>
            <w:hideMark/>
          </w:tcPr>
          <w:p w14:paraId="133C7E35" w14:textId="77777777" w:rsidR="00EA3205" w:rsidRPr="00B05F62" w:rsidRDefault="00EA3205" w:rsidP="00EA3205">
            <w:pPr>
              <w:rPr>
                <w:rFonts w:ascii="AcadNusx" w:hAnsi="AcadNusx"/>
              </w:rPr>
            </w:pPr>
            <w:r w:rsidRPr="00B05F62">
              <w:rPr>
                <w:rFonts w:ascii="AcadNusx" w:hAnsi="AcadNusx"/>
              </w:rPr>
              <w:t>142</w:t>
            </w:r>
          </w:p>
        </w:tc>
        <w:tc>
          <w:tcPr>
            <w:tcW w:w="2839" w:type="dxa"/>
            <w:noWrap/>
            <w:hideMark/>
          </w:tcPr>
          <w:p w14:paraId="12C26E7B" w14:textId="77777777" w:rsidR="00EA3205" w:rsidRPr="00B05F62" w:rsidRDefault="00EA3205" w:rsidP="00EA3205">
            <w:pPr>
              <w:rPr>
                <w:rFonts w:ascii="AcadNusx" w:hAnsi="AcadNusx"/>
              </w:rPr>
            </w:pPr>
            <w:r w:rsidRPr="00B05F62">
              <w:rPr>
                <w:rFonts w:ascii="AcadNusx" w:hAnsi="AcadNusx"/>
              </w:rPr>
              <w:t>142</w:t>
            </w:r>
          </w:p>
        </w:tc>
      </w:tr>
      <w:tr w:rsidR="00EA3205" w:rsidRPr="00B05F62" w14:paraId="57138CDC" w14:textId="77777777" w:rsidTr="00B77B2E">
        <w:tc>
          <w:tcPr>
            <w:tcW w:w="1120" w:type="dxa"/>
            <w:noWrap/>
            <w:hideMark/>
          </w:tcPr>
          <w:p w14:paraId="6B8C173B" w14:textId="77777777" w:rsidR="00EA3205" w:rsidRPr="00B05F62" w:rsidRDefault="00EA3205" w:rsidP="00EA3205">
            <w:pPr>
              <w:rPr>
                <w:rFonts w:ascii="AcadNusx" w:hAnsi="AcadNusx"/>
              </w:rPr>
            </w:pPr>
            <w:r w:rsidRPr="00B05F62">
              <w:rPr>
                <w:rFonts w:ascii="AcadNusx" w:hAnsi="AcadNusx"/>
              </w:rPr>
              <w:lastRenderedPageBreak/>
              <w:t>304</w:t>
            </w:r>
          </w:p>
        </w:tc>
        <w:tc>
          <w:tcPr>
            <w:tcW w:w="1347" w:type="dxa"/>
            <w:noWrap/>
            <w:hideMark/>
          </w:tcPr>
          <w:p w14:paraId="78641363"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3248BEF7"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2BD2E944" w14:textId="77777777" w:rsidR="00EA3205" w:rsidRPr="00B05F62" w:rsidRDefault="00EA3205" w:rsidP="00EA3205">
            <w:pPr>
              <w:rPr>
                <w:rFonts w:ascii="AcadNusx" w:hAnsi="AcadNusx"/>
              </w:rPr>
            </w:pPr>
            <w:r w:rsidRPr="00B05F62">
              <w:rPr>
                <w:rFonts w:ascii="AcadNusx" w:hAnsi="AcadNusx"/>
              </w:rPr>
              <w:t>175</w:t>
            </w:r>
          </w:p>
        </w:tc>
        <w:tc>
          <w:tcPr>
            <w:tcW w:w="1668" w:type="dxa"/>
            <w:noWrap/>
            <w:hideMark/>
          </w:tcPr>
          <w:p w14:paraId="554B9FE2" w14:textId="77777777" w:rsidR="00EA3205" w:rsidRPr="00B05F62" w:rsidRDefault="00EA3205" w:rsidP="00EA3205">
            <w:pPr>
              <w:rPr>
                <w:rFonts w:ascii="AcadNusx" w:hAnsi="AcadNusx"/>
              </w:rPr>
            </w:pPr>
            <w:r w:rsidRPr="00B05F62">
              <w:rPr>
                <w:rFonts w:ascii="AcadNusx" w:hAnsi="AcadNusx"/>
              </w:rPr>
              <w:t>275</w:t>
            </w:r>
          </w:p>
        </w:tc>
        <w:tc>
          <w:tcPr>
            <w:tcW w:w="2839" w:type="dxa"/>
            <w:noWrap/>
            <w:hideMark/>
          </w:tcPr>
          <w:p w14:paraId="51417432" w14:textId="77777777" w:rsidR="00EA3205" w:rsidRPr="00B05F62" w:rsidRDefault="00EA3205" w:rsidP="00EA3205">
            <w:pPr>
              <w:rPr>
                <w:rFonts w:ascii="AcadNusx" w:hAnsi="AcadNusx"/>
              </w:rPr>
            </w:pPr>
            <w:r w:rsidRPr="00B05F62">
              <w:rPr>
                <w:rFonts w:ascii="AcadNusx" w:hAnsi="AcadNusx"/>
              </w:rPr>
              <w:t>100</w:t>
            </w:r>
          </w:p>
        </w:tc>
      </w:tr>
      <w:tr w:rsidR="00EA3205" w:rsidRPr="00B05F62" w14:paraId="24178422" w14:textId="77777777" w:rsidTr="00B77B2E">
        <w:tc>
          <w:tcPr>
            <w:tcW w:w="1120" w:type="dxa"/>
            <w:noWrap/>
            <w:hideMark/>
          </w:tcPr>
          <w:p w14:paraId="240FC6F0"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0C4FB810"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6954ED3D"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7A1E3C89" w14:textId="77777777" w:rsidR="00EA3205" w:rsidRPr="00B05F62" w:rsidRDefault="00EA3205" w:rsidP="00EA3205">
            <w:pPr>
              <w:rPr>
                <w:rFonts w:ascii="AcadNusx" w:hAnsi="AcadNusx"/>
              </w:rPr>
            </w:pPr>
            <w:r w:rsidRPr="00B05F62">
              <w:rPr>
                <w:rFonts w:ascii="AcadNusx" w:hAnsi="AcadNusx"/>
              </w:rPr>
              <w:t>5,150</w:t>
            </w:r>
          </w:p>
        </w:tc>
        <w:tc>
          <w:tcPr>
            <w:tcW w:w="1668" w:type="dxa"/>
            <w:noWrap/>
            <w:hideMark/>
          </w:tcPr>
          <w:p w14:paraId="75054BE0" w14:textId="77777777" w:rsidR="00EA3205" w:rsidRPr="00B05F62" w:rsidRDefault="00EA3205" w:rsidP="00EA3205">
            <w:pPr>
              <w:rPr>
                <w:rFonts w:ascii="AcadNusx" w:hAnsi="AcadNusx"/>
              </w:rPr>
            </w:pPr>
            <w:r w:rsidRPr="00B05F62">
              <w:rPr>
                <w:rFonts w:ascii="AcadNusx" w:hAnsi="AcadNusx"/>
              </w:rPr>
              <w:t>5,980</w:t>
            </w:r>
          </w:p>
        </w:tc>
        <w:tc>
          <w:tcPr>
            <w:tcW w:w="2839" w:type="dxa"/>
            <w:noWrap/>
            <w:hideMark/>
          </w:tcPr>
          <w:p w14:paraId="673CD72B" w14:textId="77777777" w:rsidR="00EA3205" w:rsidRPr="00B05F62" w:rsidRDefault="00EA3205" w:rsidP="00EA3205">
            <w:pPr>
              <w:rPr>
                <w:rFonts w:ascii="AcadNusx" w:hAnsi="AcadNusx"/>
              </w:rPr>
            </w:pPr>
            <w:r w:rsidRPr="00B05F62">
              <w:rPr>
                <w:rFonts w:ascii="AcadNusx" w:hAnsi="AcadNusx"/>
              </w:rPr>
              <w:t>830</w:t>
            </w:r>
          </w:p>
        </w:tc>
      </w:tr>
      <w:tr w:rsidR="00EA3205" w:rsidRPr="00B05F62" w14:paraId="45B97CA2" w14:textId="77777777" w:rsidTr="00B77B2E">
        <w:tc>
          <w:tcPr>
            <w:tcW w:w="1120" w:type="dxa"/>
            <w:noWrap/>
            <w:hideMark/>
          </w:tcPr>
          <w:p w14:paraId="3534DB54"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47CEEA3A" w14:textId="77777777" w:rsidR="00EA3205" w:rsidRPr="00B05F62" w:rsidRDefault="00EA3205" w:rsidP="00EA3205">
            <w:pPr>
              <w:rPr>
                <w:rFonts w:ascii="AcadNusx" w:hAnsi="AcadNusx"/>
              </w:rPr>
            </w:pPr>
            <w:r w:rsidRPr="00B05F62">
              <w:rPr>
                <w:rFonts w:ascii="AcadNusx" w:hAnsi="AcadNusx"/>
              </w:rPr>
              <w:t>5,778</w:t>
            </w:r>
          </w:p>
        </w:tc>
        <w:tc>
          <w:tcPr>
            <w:tcW w:w="1573" w:type="dxa"/>
            <w:noWrap/>
            <w:hideMark/>
          </w:tcPr>
          <w:p w14:paraId="67FC7C33" w14:textId="77777777" w:rsidR="00EA3205" w:rsidRPr="00B05F62" w:rsidRDefault="00EA3205" w:rsidP="00EA3205">
            <w:pPr>
              <w:rPr>
                <w:rFonts w:ascii="AcadNusx" w:hAnsi="AcadNusx"/>
              </w:rPr>
            </w:pPr>
            <w:r w:rsidRPr="00B05F62">
              <w:rPr>
                <w:rFonts w:ascii="AcadNusx" w:hAnsi="AcadNusx"/>
              </w:rPr>
              <w:t>6,645</w:t>
            </w:r>
          </w:p>
        </w:tc>
        <w:tc>
          <w:tcPr>
            <w:tcW w:w="1348" w:type="dxa"/>
            <w:noWrap/>
            <w:hideMark/>
          </w:tcPr>
          <w:p w14:paraId="5C359528"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0EA7F733"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5CC326EF" w14:textId="77777777" w:rsidR="00EA3205" w:rsidRPr="00B05F62" w:rsidRDefault="00EA3205" w:rsidP="00EA3205">
            <w:pPr>
              <w:rPr>
                <w:rFonts w:ascii="AcadNusx" w:hAnsi="AcadNusx"/>
              </w:rPr>
            </w:pPr>
            <w:r w:rsidRPr="00B05F62">
              <w:rPr>
                <w:rFonts w:ascii="AcadNusx" w:hAnsi="AcadNusx"/>
              </w:rPr>
              <w:t>867</w:t>
            </w:r>
          </w:p>
        </w:tc>
      </w:tr>
      <w:tr w:rsidR="00EA3205" w:rsidRPr="00B05F62" w14:paraId="74E40503" w14:textId="77777777" w:rsidTr="00B77B2E">
        <w:tc>
          <w:tcPr>
            <w:tcW w:w="1120" w:type="dxa"/>
            <w:noWrap/>
            <w:hideMark/>
          </w:tcPr>
          <w:p w14:paraId="77EF3C93"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2FF3B88F"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33FC01D1"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65DE8DC8" w14:textId="77777777" w:rsidR="00EA3205" w:rsidRPr="00B05F62" w:rsidRDefault="00EA3205" w:rsidP="00EA3205">
            <w:pPr>
              <w:rPr>
                <w:rFonts w:ascii="AcadNusx" w:hAnsi="AcadNusx"/>
              </w:rPr>
            </w:pPr>
            <w:r w:rsidRPr="00B05F62">
              <w:rPr>
                <w:rFonts w:ascii="AcadNusx" w:hAnsi="AcadNusx"/>
              </w:rPr>
              <w:t>6,442</w:t>
            </w:r>
          </w:p>
        </w:tc>
        <w:tc>
          <w:tcPr>
            <w:tcW w:w="1668" w:type="dxa"/>
            <w:noWrap/>
            <w:hideMark/>
          </w:tcPr>
          <w:p w14:paraId="25F23036" w14:textId="77777777" w:rsidR="00EA3205" w:rsidRPr="00B05F62" w:rsidRDefault="00EA3205" w:rsidP="00EA3205">
            <w:pPr>
              <w:rPr>
                <w:rFonts w:ascii="AcadNusx" w:hAnsi="AcadNusx"/>
              </w:rPr>
            </w:pPr>
            <w:r w:rsidRPr="00B05F62">
              <w:rPr>
                <w:rFonts w:ascii="AcadNusx" w:hAnsi="AcadNusx"/>
              </w:rPr>
              <w:t>8,134</w:t>
            </w:r>
          </w:p>
        </w:tc>
        <w:tc>
          <w:tcPr>
            <w:tcW w:w="2839" w:type="dxa"/>
            <w:noWrap/>
            <w:hideMark/>
          </w:tcPr>
          <w:p w14:paraId="57305970" w14:textId="77777777" w:rsidR="00EA3205" w:rsidRPr="00B05F62" w:rsidRDefault="00EA3205" w:rsidP="00EA3205">
            <w:pPr>
              <w:rPr>
                <w:rFonts w:ascii="AcadNusx" w:hAnsi="AcadNusx"/>
              </w:rPr>
            </w:pPr>
            <w:r w:rsidRPr="00B05F62">
              <w:rPr>
                <w:rFonts w:ascii="AcadNusx" w:hAnsi="AcadNusx"/>
              </w:rPr>
              <w:t>1,692</w:t>
            </w:r>
          </w:p>
        </w:tc>
      </w:tr>
      <w:tr w:rsidR="00EA3205" w:rsidRPr="00B05F62" w14:paraId="04584088" w14:textId="77777777" w:rsidTr="00B77B2E">
        <w:tc>
          <w:tcPr>
            <w:tcW w:w="1120" w:type="dxa"/>
            <w:noWrap/>
            <w:hideMark/>
          </w:tcPr>
          <w:p w14:paraId="6AA1306F"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44CC0557" w14:textId="77777777" w:rsidR="00EA3205" w:rsidRPr="00B05F62" w:rsidRDefault="00EA3205" w:rsidP="00EA3205">
            <w:pPr>
              <w:rPr>
                <w:rFonts w:ascii="AcadNusx" w:hAnsi="AcadNusx"/>
              </w:rPr>
            </w:pPr>
            <w:r w:rsidRPr="00B05F62">
              <w:rPr>
                <w:rFonts w:ascii="AcadNusx" w:hAnsi="AcadNusx"/>
              </w:rPr>
              <w:t>7,016</w:t>
            </w:r>
          </w:p>
        </w:tc>
        <w:tc>
          <w:tcPr>
            <w:tcW w:w="1573" w:type="dxa"/>
            <w:noWrap/>
            <w:hideMark/>
          </w:tcPr>
          <w:p w14:paraId="61F5AD79" w14:textId="77777777" w:rsidR="00EA3205" w:rsidRPr="00B05F62" w:rsidRDefault="00EA3205" w:rsidP="00EA3205">
            <w:pPr>
              <w:rPr>
                <w:rFonts w:ascii="AcadNusx" w:hAnsi="AcadNusx"/>
              </w:rPr>
            </w:pPr>
            <w:r w:rsidRPr="00B05F62">
              <w:rPr>
                <w:rFonts w:ascii="AcadNusx" w:hAnsi="AcadNusx"/>
              </w:rPr>
              <w:t>7,022</w:t>
            </w:r>
          </w:p>
        </w:tc>
        <w:tc>
          <w:tcPr>
            <w:tcW w:w="1348" w:type="dxa"/>
            <w:noWrap/>
            <w:hideMark/>
          </w:tcPr>
          <w:p w14:paraId="290CF71D"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7170EC8C"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142FAEF9" w14:textId="77777777" w:rsidR="00EA3205" w:rsidRPr="00B05F62" w:rsidRDefault="00EA3205" w:rsidP="00EA3205">
            <w:pPr>
              <w:rPr>
                <w:rFonts w:ascii="AcadNusx" w:hAnsi="AcadNusx"/>
              </w:rPr>
            </w:pPr>
            <w:r w:rsidRPr="00B05F62">
              <w:rPr>
                <w:rFonts w:ascii="AcadNusx" w:hAnsi="AcadNusx"/>
              </w:rPr>
              <w:t>6</w:t>
            </w:r>
          </w:p>
        </w:tc>
      </w:tr>
      <w:tr w:rsidR="00EA3205" w:rsidRPr="00B05F62" w14:paraId="69378A22" w14:textId="77777777" w:rsidTr="00B77B2E">
        <w:tc>
          <w:tcPr>
            <w:tcW w:w="1120" w:type="dxa"/>
            <w:noWrap/>
            <w:hideMark/>
          </w:tcPr>
          <w:p w14:paraId="48B04C1D"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2E64E2E8"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6F61A71C"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1054CC4B" w14:textId="77777777" w:rsidR="00EA3205" w:rsidRPr="00B05F62" w:rsidRDefault="00EA3205" w:rsidP="00EA3205">
            <w:pPr>
              <w:rPr>
                <w:rFonts w:ascii="AcadNusx" w:hAnsi="AcadNusx"/>
              </w:rPr>
            </w:pPr>
            <w:r w:rsidRPr="00B05F62">
              <w:rPr>
                <w:rFonts w:ascii="AcadNusx" w:hAnsi="AcadNusx"/>
              </w:rPr>
              <w:t>8,172</w:t>
            </w:r>
          </w:p>
        </w:tc>
        <w:tc>
          <w:tcPr>
            <w:tcW w:w="1668" w:type="dxa"/>
            <w:noWrap/>
            <w:hideMark/>
          </w:tcPr>
          <w:p w14:paraId="202E1B1C" w14:textId="77777777" w:rsidR="00EA3205" w:rsidRPr="00B05F62" w:rsidRDefault="00EA3205" w:rsidP="00EA3205">
            <w:pPr>
              <w:rPr>
                <w:rFonts w:ascii="AcadNusx" w:hAnsi="AcadNusx"/>
              </w:rPr>
            </w:pPr>
            <w:r w:rsidRPr="00B05F62">
              <w:rPr>
                <w:rFonts w:ascii="AcadNusx" w:hAnsi="AcadNusx"/>
              </w:rPr>
              <w:t>9,395</w:t>
            </w:r>
          </w:p>
        </w:tc>
        <w:tc>
          <w:tcPr>
            <w:tcW w:w="2839" w:type="dxa"/>
            <w:noWrap/>
            <w:hideMark/>
          </w:tcPr>
          <w:p w14:paraId="23D2CE0D" w14:textId="77777777" w:rsidR="00EA3205" w:rsidRPr="00B05F62" w:rsidRDefault="00EA3205" w:rsidP="00EA3205">
            <w:pPr>
              <w:rPr>
                <w:rFonts w:ascii="AcadNusx" w:hAnsi="AcadNusx"/>
              </w:rPr>
            </w:pPr>
            <w:r w:rsidRPr="00B05F62">
              <w:rPr>
                <w:rFonts w:ascii="AcadNusx" w:hAnsi="AcadNusx"/>
              </w:rPr>
              <w:t>1,223</w:t>
            </w:r>
          </w:p>
        </w:tc>
      </w:tr>
      <w:tr w:rsidR="00EA3205" w:rsidRPr="00B05F62" w14:paraId="68B4BE5C" w14:textId="77777777" w:rsidTr="00B77B2E">
        <w:tc>
          <w:tcPr>
            <w:tcW w:w="1120" w:type="dxa"/>
            <w:noWrap/>
            <w:hideMark/>
          </w:tcPr>
          <w:p w14:paraId="12BB2A26"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314CA795" w14:textId="77777777" w:rsidR="00EA3205" w:rsidRPr="00B05F62" w:rsidRDefault="00EA3205" w:rsidP="00EA3205">
            <w:pPr>
              <w:rPr>
                <w:rFonts w:ascii="AcadNusx" w:hAnsi="AcadNusx"/>
              </w:rPr>
            </w:pPr>
            <w:r w:rsidRPr="00B05F62">
              <w:rPr>
                <w:rFonts w:ascii="AcadNusx" w:hAnsi="AcadNusx"/>
              </w:rPr>
              <w:t>8,322</w:t>
            </w:r>
          </w:p>
        </w:tc>
        <w:tc>
          <w:tcPr>
            <w:tcW w:w="1573" w:type="dxa"/>
            <w:noWrap/>
            <w:hideMark/>
          </w:tcPr>
          <w:p w14:paraId="64C5C64F" w14:textId="77777777" w:rsidR="00EA3205" w:rsidRPr="00B05F62" w:rsidRDefault="00EA3205" w:rsidP="00EA3205">
            <w:pPr>
              <w:rPr>
                <w:rFonts w:ascii="AcadNusx" w:hAnsi="AcadNusx"/>
              </w:rPr>
            </w:pPr>
            <w:r w:rsidRPr="00B05F62">
              <w:rPr>
                <w:rFonts w:ascii="AcadNusx" w:hAnsi="AcadNusx"/>
              </w:rPr>
              <w:t>8,393</w:t>
            </w:r>
          </w:p>
        </w:tc>
        <w:tc>
          <w:tcPr>
            <w:tcW w:w="1348" w:type="dxa"/>
            <w:noWrap/>
            <w:hideMark/>
          </w:tcPr>
          <w:p w14:paraId="1255B3F9"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7CE600D0"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1EBA35F5" w14:textId="77777777" w:rsidR="00EA3205" w:rsidRPr="00B05F62" w:rsidRDefault="00EA3205" w:rsidP="00EA3205">
            <w:pPr>
              <w:rPr>
                <w:rFonts w:ascii="AcadNusx" w:hAnsi="AcadNusx"/>
              </w:rPr>
            </w:pPr>
            <w:r w:rsidRPr="00B05F62">
              <w:rPr>
                <w:rFonts w:ascii="AcadNusx" w:hAnsi="AcadNusx"/>
              </w:rPr>
              <w:t>71</w:t>
            </w:r>
          </w:p>
        </w:tc>
      </w:tr>
      <w:tr w:rsidR="00EA3205" w:rsidRPr="00B05F62" w14:paraId="0C3C43A4" w14:textId="77777777" w:rsidTr="00B77B2E">
        <w:tc>
          <w:tcPr>
            <w:tcW w:w="1120" w:type="dxa"/>
            <w:noWrap/>
            <w:hideMark/>
          </w:tcPr>
          <w:p w14:paraId="78F7BEC3"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535E3BE5" w14:textId="77777777" w:rsidR="00EA3205" w:rsidRPr="00B05F62" w:rsidRDefault="00EA3205" w:rsidP="00EA3205">
            <w:pPr>
              <w:rPr>
                <w:rFonts w:ascii="AcadNusx" w:hAnsi="AcadNusx"/>
              </w:rPr>
            </w:pPr>
            <w:r w:rsidRPr="00B05F62">
              <w:rPr>
                <w:rFonts w:ascii="AcadNusx" w:hAnsi="AcadNusx"/>
              </w:rPr>
              <w:t>9,096</w:t>
            </w:r>
          </w:p>
        </w:tc>
        <w:tc>
          <w:tcPr>
            <w:tcW w:w="1573" w:type="dxa"/>
            <w:noWrap/>
            <w:hideMark/>
          </w:tcPr>
          <w:p w14:paraId="612CA02C" w14:textId="77777777" w:rsidR="00EA3205" w:rsidRPr="00B05F62" w:rsidRDefault="00EA3205" w:rsidP="00EA3205">
            <w:pPr>
              <w:rPr>
                <w:rFonts w:ascii="AcadNusx" w:hAnsi="AcadNusx"/>
              </w:rPr>
            </w:pPr>
            <w:r w:rsidRPr="00B05F62">
              <w:rPr>
                <w:rFonts w:ascii="AcadNusx" w:hAnsi="AcadNusx"/>
              </w:rPr>
              <w:t>9,109</w:t>
            </w:r>
          </w:p>
        </w:tc>
        <w:tc>
          <w:tcPr>
            <w:tcW w:w="1348" w:type="dxa"/>
            <w:noWrap/>
            <w:hideMark/>
          </w:tcPr>
          <w:p w14:paraId="0809ABFA"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76175030"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776C2E61" w14:textId="77777777" w:rsidR="00EA3205" w:rsidRPr="00B05F62" w:rsidRDefault="00EA3205" w:rsidP="00EA3205">
            <w:pPr>
              <w:rPr>
                <w:rFonts w:ascii="AcadNusx" w:hAnsi="AcadNusx"/>
              </w:rPr>
            </w:pPr>
            <w:r w:rsidRPr="00B05F62">
              <w:rPr>
                <w:rFonts w:ascii="AcadNusx" w:hAnsi="AcadNusx"/>
              </w:rPr>
              <w:t>13</w:t>
            </w:r>
          </w:p>
        </w:tc>
      </w:tr>
      <w:tr w:rsidR="00EA3205" w:rsidRPr="00B05F62" w14:paraId="37B98343" w14:textId="77777777" w:rsidTr="00B77B2E">
        <w:tc>
          <w:tcPr>
            <w:tcW w:w="1120" w:type="dxa"/>
            <w:noWrap/>
            <w:hideMark/>
          </w:tcPr>
          <w:p w14:paraId="7EFB9C8D"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15B1D359"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6205B633"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102BBD90" w14:textId="77777777" w:rsidR="00EA3205" w:rsidRPr="00B05F62" w:rsidRDefault="00EA3205" w:rsidP="00EA3205">
            <w:pPr>
              <w:rPr>
                <w:rFonts w:ascii="AcadNusx" w:hAnsi="AcadNusx"/>
              </w:rPr>
            </w:pPr>
            <w:r w:rsidRPr="00B05F62">
              <w:rPr>
                <w:rFonts w:ascii="AcadNusx" w:hAnsi="AcadNusx"/>
              </w:rPr>
              <w:t>9,470</w:t>
            </w:r>
          </w:p>
        </w:tc>
        <w:tc>
          <w:tcPr>
            <w:tcW w:w="1668" w:type="dxa"/>
            <w:noWrap/>
            <w:hideMark/>
          </w:tcPr>
          <w:p w14:paraId="7913FA87" w14:textId="77777777" w:rsidR="00EA3205" w:rsidRPr="00B05F62" w:rsidRDefault="00EA3205" w:rsidP="00EA3205">
            <w:pPr>
              <w:rPr>
                <w:rFonts w:ascii="AcadNusx" w:hAnsi="AcadNusx"/>
              </w:rPr>
            </w:pPr>
            <w:r w:rsidRPr="00B05F62">
              <w:rPr>
                <w:rFonts w:ascii="AcadNusx" w:hAnsi="AcadNusx"/>
              </w:rPr>
              <w:t>13,200</w:t>
            </w:r>
          </w:p>
        </w:tc>
        <w:tc>
          <w:tcPr>
            <w:tcW w:w="2839" w:type="dxa"/>
            <w:noWrap/>
            <w:hideMark/>
          </w:tcPr>
          <w:p w14:paraId="0E7EF63F" w14:textId="77777777" w:rsidR="00EA3205" w:rsidRPr="00B05F62" w:rsidRDefault="00EA3205" w:rsidP="00EA3205">
            <w:pPr>
              <w:rPr>
                <w:rFonts w:ascii="AcadNusx" w:hAnsi="AcadNusx"/>
              </w:rPr>
            </w:pPr>
            <w:r w:rsidRPr="00B05F62">
              <w:rPr>
                <w:rFonts w:ascii="AcadNusx" w:hAnsi="AcadNusx"/>
              </w:rPr>
              <w:t>3,730</w:t>
            </w:r>
          </w:p>
        </w:tc>
      </w:tr>
      <w:tr w:rsidR="00EA3205" w:rsidRPr="00B05F62" w14:paraId="439EAD1D" w14:textId="77777777" w:rsidTr="00B77B2E">
        <w:tc>
          <w:tcPr>
            <w:tcW w:w="1120" w:type="dxa"/>
            <w:noWrap/>
            <w:hideMark/>
          </w:tcPr>
          <w:p w14:paraId="62ED79E7"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4B6A8795" w14:textId="77777777" w:rsidR="00EA3205" w:rsidRPr="00B05F62" w:rsidRDefault="00EA3205" w:rsidP="00EA3205">
            <w:pPr>
              <w:rPr>
                <w:rFonts w:ascii="AcadNusx" w:hAnsi="AcadNusx"/>
              </w:rPr>
            </w:pPr>
            <w:r w:rsidRPr="00B05F62">
              <w:rPr>
                <w:rFonts w:ascii="AcadNusx" w:hAnsi="AcadNusx"/>
              </w:rPr>
              <w:t>9,965</w:t>
            </w:r>
          </w:p>
        </w:tc>
        <w:tc>
          <w:tcPr>
            <w:tcW w:w="1573" w:type="dxa"/>
            <w:noWrap/>
            <w:hideMark/>
          </w:tcPr>
          <w:p w14:paraId="50E031D9" w14:textId="77777777" w:rsidR="00EA3205" w:rsidRPr="00B05F62" w:rsidRDefault="00EA3205" w:rsidP="00EA3205">
            <w:pPr>
              <w:rPr>
                <w:rFonts w:ascii="AcadNusx" w:hAnsi="AcadNusx"/>
              </w:rPr>
            </w:pPr>
            <w:r w:rsidRPr="00B05F62">
              <w:rPr>
                <w:rFonts w:ascii="AcadNusx" w:hAnsi="AcadNusx"/>
              </w:rPr>
              <w:t>13,220</w:t>
            </w:r>
          </w:p>
        </w:tc>
        <w:tc>
          <w:tcPr>
            <w:tcW w:w="1348" w:type="dxa"/>
            <w:noWrap/>
            <w:hideMark/>
          </w:tcPr>
          <w:p w14:paraId="43E5400D"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4CD713FB"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7226552E" w14:textId="77777777" w:rsidR="00EA3205" w:rsidRPr="00B05F62" w:rsidRDefault="00EA3205" w:rsidP="00EA3205">
            <w:pPr>
              <w:rPr>
                <w:rFonts w:ascii="AcadNusx" w:hAnsi="AcadNusx"/>
              </w:rPr>
            </w:pPr>
            <w:r w:rsidRPr="00B05F62">
              <w:rPr>
                <w:rFonts w:ascii="AcadNusx" w:hAnsi="AcadNusx"/>
              </w:rPr>
              <w:t>3,255</w:t>
            </w:r>
          </w:p>
        </w:tc>
      </w:tr>
      <w:tr w:rsidR="00EA3205" w:rsidRPr="00B05F62" w14:paraId="46C50A0E" w14:textId="77777777" w:rsidTr="00B77B2E">
        <w:tc>
          <w:tcPr>
            <w:tcW w:w="1120" w:type="dxa"/>
            <w:noWrap/>
            <w:hideMark/>
          </w:tcPr>
          <w:p w14:paraId="3963FE7D"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4C26C9CA"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0718360F"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46DE9199" w14:textId="77777777" w:rsidR="00EA3205" w:rsidRPr="00B05F62" w:rsidRDefault="00EA3205" w:rsidP="00EA3205">
            <w:pPr>
              <w:rPr>
                <w:rFonts w:ascii="AcadNusx" w:hAnsi="AcadNusx"/>
              </w:rPr>
            </w:pPr>
            <w:r w:rsidRPr="00B05F62">
              <w:rPr>
                <w:rFonts w:ascii="AcadNusx" w:hAnsi="AcadNusx"/>
              </w:rPr>
              <w:t>13,297</w:t>
            </w:r>
          </w:p>
        </w:tc>
        <w:tc>
          <w:tcPr>
            <w:tcW w:w="1668" w:type="dxa"/>
            <w:noWrap/>
            <w:hideMark/>
          </w:tcPr>
          <w:p w14:paraId="6384849B" w14:textId="77777777" w:rsidR="00EA3205" w:rsidRPr="00B05F62" w:rsidRDefault="00EA3205" w:rsidP="00EA3205">
            <w:pPr>
              <w:rPr>
                <w:rFonts w:ascii="AcadNusx" w:hAnsi="AcadNusx"/>
              </w:rPr>
            </w:pPr>
            <w:r w:rsidRPr="00B05F62">
              <w:rPr>
                <w:rFonts w:ascii="AcadNusx" w:hAnsi="AcadNusx"/>
              </w:rPr>
              <w:t>15,740</w:t>
            </w:r>
          </w:p>
        </w:tc>
        <w:tc>
          <w:tcPr>
            <w:tcW w:w="2839" w:type="dxa"/>
            <w:noWrap/>
            <w:hideMark/>
          </w:tcPr>
          <w:p w14:paraId="6DE008F8" w14:textId="77777777" w:rsidR="00EA3205" w:rsidRPr="00B05F62" w:rsidRDefault="00EA3205" w:rsidP="00EA3205">
            <w:pPr>
              <w:rPr>
                <w:rFonts w:ascii="AcadNusx" w:hAnsi="AcadNusx"/>
              </w:rPr>
            </w:pPr>
            <w:r w:rsidRPr="00B05F62">
              <w:rPr>
                <w:rFonts w:ascii="AcadNusx" w:hAnsi="AcadNusx"/>
              </w:rPr>
              <w:t>2,443</w:t>
            </w:r>
          </w:p>
        </w:tc>
      </w:tr>
      <w:tr w:rsidR="00EA3205" w:rsidRPr="00B05F62" w14:paraId="051B7421" w14:textId="77777777" w:rsidTr="00B77B2E">
        <w:tc>
          <w:tcPr>
            <w:tcW w:w="1120" w:type="dxa"/>
            <w:noWrap/>
            <w:hideMark/>
          </w:tcPr>
          <w:p w14:paraId="101F8D96"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25876672" w14:textId="77777777" w:rsidR="00EA3205" w:rsidRPr="00B05F62" w:rsidRDefault="00EA3205" w:rsidP="00EA3205">
            <w:pPr>
              <w:rPr>
                <w:rFonts w:ascii="AcadNusx" w:hAnsi="AcadNusx"/>
              </w:rPr>
            </w:pPr>
            <w:r w:rsidRPr="00B05F62">
              <w:rPr>
                <w:rFonts w:ascii="AcadNusx" w:hAnsi="AcadNusx"/>
              </w:rPr>
              <w:t>14,590</w:t>
            </w:r>
          </w:p>
        </w:tc>
        <w:tc>
          <w:tcPr>
            <w:tcW w:w="1573" w:type="dxa"/>
            <w:noWrap/>
            <w:hideMark/>
          </w:tcPr>
          <w:p w14:paraId="5671EAAB" w14:textId="77777777" w:rsidR="00EA3205" w:rsidRPr="00B05F62" w:rsidRDefault="00EA3205" w:rsidP="00EA3205">
            <w:pPr>
              <w:rPr>
                <w:rFonts w:ascii="AcadNusx" w:hAnsi="AcadNusx"/>
              </w:rPr>
            </w:pPr>
            <w:r w:rsidRPr="00B05F62">
              <w:rPr>
                <w:rFonts w:ascii="AcadNusx" w:hAnsi="AcadNusx"/>
              </w:rPr>
              <w:t>14,703</w:t>
            </w:r>
          </w:p>
        </w:tc>
        <w:tc>
          <w:tcPr>
            <w:tcW w:w="1348" w:type="dxa"/>
            <w:noWrap/>
            <w:hideMark/>
          </w:tcPr>
          <w:p w14:paraId="6B44985B"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4195CD06"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2AE743A9" w14:textId="77777777" w:rsidR="00EA3205" w:rsidRPr="00B05F62" w:rsidRDefault="00EA3205" w:rsidP="00EA3205">
            <w:pPr>
              <w:rPr>
                <w:rFonts w:ascii="AcadNusx" w:hAnsi="AcadNusx"/>
              </w:rPr>
            </w:pPr>
            <w:r w:rsidRPr="00B05F62">
              <w:rPr>
                <w:rFonts w:ascii="AcadNusx" w:hAnsi="AcadNusx"/>
              </w:rPr>
              <w:t>113</w:t>
            </w:r>
          </w:p>
        </w:tc>
      </w:tr>
      <w:tr w:rsidR="00EA3205" w:rsidRPr="00B05F62" w14:paraId="72D64FDC" w14:textId="77777777" w:rsidTr="00B77B2E">
        <w:tc>
          <w:tcPr>
            <w:tcW w:w="1120" w:type="dxa"/>
            <w:noWrap/>
            <w:hideMark/>
          </w:tcPr>
          <w:p w14:paraId="0942BF47"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60B0BD7D" w14:textId="77777777" w:rsidR="00EA3205" w:rsidRPr="00B05F62" w:rsidRDefault="00EA3205" w:rsidP="00EA3205">
            <w:pPr>
              <w:rPr>
                <w:rFonts w:ascii="AcadNusx" w:hAnsi="AcadNusx"/>
              </w:rPr>
            </w:pPr>
            <w:r w:rsidRPr="00B05F62">
              <w:rPr>
                <w:rFonts w:ascii="AcadNusx" w:hAnsi="AcadNusx"/>
              </w:rPr>
              <w:t>15,340</w:t>
            </w:r>
          </w:p>
        </w:tc>
        <w:tc>
          <w:tcPr>
            <w:tcW w:w="1573" w:type="dxa"/>
            <w:noWrap/>
            <w:hideMark/>
          </w:tcPr>
          <w:p w14:paraId="7762552D" w14:textId="77777777" w:rsidR="00EA3205" w:rsidRPr="00B05F62" w:rsidRDefault="00EA3205" w:rsidP="00EA3205">
            <w:pPr>
              <w:rPr>
                <w:rFonts w:ascii="AcadNusx" w:hAnsi="AcadNusx"/>
              </w:rPr>
            </w:pPr>
            <w:r w:rsidRPr="00B05F62">
              <w:rPr>
                <w:rFonts w:ascii="AcadNusx" w:hAnsi="AcadNusx"/>
              </w:rPr>
              <w:t>15,345</w:t>
            </w:r>
          </w:p>
        </w:tc>
        <w:tc>
          <w:tcPr>
            <w:tcW w:w="1348" w:type="dxa"/>
            <w:noWrap/>
            <w:hideMark/>
          </w:tcPr>
          <w:p w14:paraId="126A875A"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1BD73FAB"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2BB250E6" w14:textId="77777777" w:rsidR="00EA3205" w:rsidRPr="00B05F62" w:rsidRDefault="00EA3205" w:rsidP="00EA3205">
            <w:pPr>
              <w:rPr>
                <w:rFonts w:ascii="AcadNusx" w:hAnsi="AcadNusx"/>
              </w:rPr>
            </w:pPr>
            <w:r w:rsidRPr="00B05F62">
              <w:rPr>
                <w:rFonts w:ascii="AcadNusx" w:hAnsi="AcadNusx"/>
              </w:rPr>
              <w:t>5</w:t>
            </w:r>
          </w:p>
        </w:tc>
      </w:tr>
      <w:tr w:rsidR="00EA3205" w:rsidRPr="00B05F62" w14:paraId="30C045B0" w14:textId="77777777" w:rsidTr="00B77B2E">
        <w:tc>
          <w:tcPr>
            <w:tcW w:w="1120" w:type="dxa"/>
            <w:noWrap/>
            <w:hideMark/>
          </w:tcPr>
          <w:p w14:paraId="22C28FA1"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1D0CCBC3"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0EF1BB21"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6AA498CF" w14:textId="77777777" w:rsidR="00EA3205" w:rsidRPr="00B05F62" w:rsidRDefault="00EA3205" w:rsidP="00EA3205">
            <w:pPr>
              <w:rPr>
                <w:rFonts w:ascii="AcadNusx" w:hAnsi="AcadNusx"/>
              </w:rPr>
            </w:pPr>
            <w:r w:rsidRPr="00B05F62">
              <w:rPr>
                <w:rFonts w:ascii="AcadNusx" w:hAnsi="AcadNusx"/>
              </w:rPr>
              <w:t>15,765</w:t>
            </w:r>
          </w:p>
        </w:tc>
        <w:tc>
          <w:tcPr>
            <w:tcW w:w="1668" w:type="dxa"/>
            <w:noWrap/>
            <w:hideMark/>
          </w:tcPr>
          <w:p w14:paraId="47872367" w14:textId="77777777" w:rsidR="00EA3205" w:rsidRPr="00B05F62" w:rsidRDefault="00EA3205" w:rsidP="00EA3205">
            <w:pPr>
              <w:rPr>
                <w:rFonts w:ascii="AcadNusx" w:hAnsi="AcadNusx"/>
              </w:rPr>
            </w:pPr>
            <w:r w:rsidRPr="00B05F62">
              <w:rPr>
                <w:rFonts w:ascii="AcadNusx" w:hAnsi="AcadNusx"/>
              </w:rPr>
              <w:t>16,145</w:t>
            </w:r>
          </w:p>
        </w:tc>
        <w:tc>
          <w:tcPr>
            <w:tcW w:w="2839" w:type="dxa"/>
            <w:noWrap/>
            <w:hideMark/>
          </w:tcPr>
          <w:p w14:paraId="2665F6F8" w14:textId="77777777" w:rsidR="00EA3205" w:rsidRPr="00B05F62" w:rsidRDefault="00EA3205" w:rsidP="00EA3205">
            <w:pPr>
              <w:rPr>
                <w:rFonts w:ascii="AcadNusx" w:hAnsi="AcadNusx"/>
              </w:rPr>
            </w:pPr>
            <w:r w:rsidRPr="00B05F62">
              <w:rPr>
                <w:rFonts w:ascii="AcadNusx" w:hAnsi="AcadNusx"/>
              </w:rPr>
              <w:t>380</w:t>
            </w:r>
          </w:p>
        </w:tc>
      </w:tr>
      <w:tr w:rsidR="00EA3205" w:rsidRPr="00B05F62" w14:paraId="6FA79F34" w14:textId="77777777" w:rsidTr="00B77B2E">
        <w:tc>
          <w:tcPr>
            <w:tcW w:w="1120" w:type="dxa"/>
            <w:noWrap/>
            <w:hideMark/>
          </w:tcPr>
          <w:p w14:paraId="5B3E3040" w14:textId="77777777" w:rsidR="00EA3205" w:rsidRPr="00B05F62" w:rsidRDefault="00EA3205" w:rsidP="00EA3205">
            <w:pPr>
              <w:rPr>
                <w:rFonts w:ascii="AcadNusx" w:hAnsi="AcadNusx"/>
              </w:rPr>
            </w:pPr>
            <w:r w:rsidRPr="00B05F62">
              <w:rPr>
                <w:rFonts w:ascii="AcadNusx" w:hAnsi="AcadNusx"/>
              </w:rPr>
              <w:t>402</w:t>
            </w:r>
          </w:p>
        </w:tc>
        <w:tc>
          <w:tcPr>
            <w:tcW w:w="1347" w:type="dxa"/>
            <w:noWrap/>
            <w:hideMark/>
          </w:tcPr>
          <w:p w14:paraId="7BCDF3BE"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270CC0D4"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2F4E41C9" w14:textId="77777777" w:rsidR="00EA3205" w:rsidRPr="00B05F62" w:rsidRDefault="00EA3205" w:rsidP="00EA3205">
            <w:pPr>
              <w:rPr>
                <w:rFonts w:ascii="AcadNusx" w:hAnsi="AcadNusx"/>
              </w:rPr>
            </w:pPr>
            <w:r w:rsidRPr="00B05F62">
              <w:rPr>
                <w:rFonts w:ascii="AcadNusx" w:hAnsi="AcadNusx"/>
              </w:rPr>
              <w:t>0</w:t>
            </w:r>
          </w:p>
        </w:tc>
        <w:tc>
          <w:tcPr>
            <w:tcW w:w="1668" w:type="dxa"/>
            <w:noWrap/>
            <w:hideMark/>
          </w:tcPr>
          <w:p w14:paraId="683E7B68" w14:textId="77777777" w:rsidR="00EA3205" w:rsidRPr="00B05F62" w:rsidRDefault="00EA3205" w:rsidP="00EA3205">
            <w:pPr>
              <w:rPr>
                <w:rFonts w:ascii="AcadNusx" w:hAnsi="AcadNusx"/>
              </w:rPr>
            </w:pPr>
            <w:r w:rsidRPr="00B05F62">
              <w:rPr>
                <w:rFonts w:ascii="AcadNusx" w:hAnsi="AcadNusx"/>
              </w:rPr>
              <w:t>120</w:t>
            </w:r>
          </w:p>
        </w:tc>
        <w:tc>
          <w:tcPr>
            <w:tcW w:w="2839" w:type="dxa"/>
            <w:noWrap/>
            <w:hideMark/>
          </w:tcPr>
          <w:p w14:paraId="4011383F" w14:textId="77777777" w:rsidR="00EA3205" w:rsidRPr="00B05F62" w:rsidRDefault="00EA3205" w:rsidP="00EA3205">
            <w:pPr>
              <w:rPr>
                <w:rFonts w:ascii="AcadNusx" w:hAnsi="AcadNusx"/>
              </w:rPr>
            </w:pPr>
            <w:r w:rsidRPr="00B05F62">
              <w:rPr>
                <w:rFonts w:ascii="AcadNusx" w:hAnsi="AcadNusx"/>
              </w:rPr>
              <w:t>120</w:t>
            </w:r>
          </w:p>
        </w:tc>
      </w:tr>
      <w:tr w:rsidR="00EA3205" w:rsidRPr="00B05F62" w14:paraId="656D702F" w14:textId="77777777" w:rsidTr="00B77B2E">
        <w:tc>
          <w:tcPr>
            <w:tcW w:w="1120" w:type="dxa"/>
            <w:noWrap/>
            <w:hideMark/>
          </w:tcPr>
          <w:p w14:paraId="0C937153" w14:textId="77777777" w:rsidR="00EA3205" w:rsidRPr="00B05F62" w:rsidRDefault="00EA3205" w:rsidP="00EA3205">
            <w:pPr>
              <w:rPr>
                <w:rFonts w:ascii="AcadNusx" w:hAnsi="AcadNusx"/>
              </w:rPr>
            </w:pPr>
            <w:r w:rsidRPr="00B05F62">
              <w:rPr>
                <w:rFonts w:ascii="AcadNusx" w:hAnsi="AcadNusx"/>
              </w:rPr>
              <w:t>405</w:t>
            </w:r>
          </w:p>
        </w:tc>
        <w:tc>
          <w:tcPr>
            <w:tcW w:w="1347" w:type="dxa"/>
            <w:noWrap/>
            <w:hideMark/>
          </w:tcPr>
          <w:p w14:paraId="0F6F3221" w14:textId="77777777" w:rsidR="00EA3205" w:rsidRPr="00B05F62" w:rsidRDefault="00EA3205" w:rsidP="00EA3205">
            <w:pPr>
              <w:rPr>
                <w:rFonts w:ascii="AcadNusx" w:hAnsi="AcadNusx"/>
              </w:rPr>
            </w:pPr>
            <w:r w:rsidRPr="00B05F62">
              <w:rPr>
                <w:rFonts w:ascii="AcadNusx" w:hAnsi="AcadNusx"/>
              </w:rPr>
              <w:t>0</w:t>
            </w:r>
          </w:p>
        </w:tc>
        <w:tc>
          <w:tcPr>
            <w:tcW w:w="1573" w:type="dxa"/>
            <w:noWrap/>
            <w:hideMark/>
          </w:tcPr>
          <w:p w14:paraId="37E2DF93" w14:textId="77777777" w:rsidR="00EA3205" w:rsidRPr="00B05F62" w:rsidRDefault="00EA3205" w:rsidP="00EA3205">
            <w:pPr>
              <w:rPr>
                <w:rFonts w:ascii="AcadNusx" w:hAnsi="AcadNusx"/>
              </w:rPr>
            </w:pPr>
            <w:r w:rsidRPr="00B05F62">
              <w:rPr>
                <w:rFonts w:ascii="AcadNusx" w:hAnsi="AcadNusx"/>
              </w:rPr>
              <w:t>151</w:t>
            </w:r>
          </w:p>
        </w:tc>
        <w:tc>
          <w:tcPr>
            <w:tcW w:w="1348" w:type="dxa"/>
            <w:noWrap/>
            <w:hideMark/>
          </w:tcPr>
          <w:p w14:paraId="15A7DE1A"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64003ACC"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77DC9C84" w14:textId="77777777" w:rsidR="00EA3205" w:rsidRPr="00B05F62" w:rsidRDefault="00EA3205" w:rsidP="00EA3205">
            <w:pPr>
              <w:rPr>
                <w:rFonts w:ascii="AcadNusx" w:hAnsi="AcadNusx"/>
              </w:rPr>
            </w:pPr>
            <w:r w:rsidRPr="00B05F62">
              <w:rPr>
                <w:rFonts w:ascii="AcadNusx" w:hAnsi="AcadNusx"/>
              </w:rPr>
              <w:t>151</w:t>
            </w:r>
          </w:p>
        </w:tc>
      </w:tr>
      <w:tr w:rsidR="00EA3205" w:rsidRPr="00B05F62" w14:paraId="5AB09FF1" w14:textId="77777777" w:rsidTr="00B77B2E">
        <w:tc>
          <w:tcPr>
            <w:tcW w:w="1120" w:type="dxa"/>
            <w:noWrap/>
            <w:hideMark/>
          </w:tcPr>
          <w:p w14:paraId="32759B35" w14:textId="77777777" w:rsidR="00EA3205" w:rsidRPr="00B05F62" w:rsidRDefault="00EA3205" w:rsidP="00EA3205">
            <w:pPr>
              <w:rPr>
                <w:rFonts w:ascii="AcadNusx" w:hAnsi="AcadNusx"/>
              </w:rPr>
            </w:pPr>
            <w:r w:rsidRPr="00B05F62">
              <w:rPr>
                <w:rFonts w:ascii="AcadNusx" w:hAnsi="AcadNusx"/>
              </w:rPr>
              <w:t>403</w:t>
            </w:r>
          </w:p>
        </w:tc>
        <w:tc>
          <w:tcPr>
            <w:tcW w:w="1347" w:type="dxa"/>
            <w:noWrap/>
            <w:hideMark/>
          </w:tcPr>
          <w:p w14:paraId="64D01BD0"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1EC7F96B"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78B84533" w14:textId="77777777" w:rsidR="00EA3205" w:rsidRPr="00B05F62" w:rsidRDefault="00EA3205" w:rsidP="00EA3205">
            <w:pPr>
              <w:rPr>
                <w:rFonts w:ascii="AcadNusx" w:hAnsi="AcadNusx"/>
              </w:rPr>
            </w:pPr>
            <w:r w:rsidRPr="00B05F62">
              <w:rPr>
                <w:rFonts w:ascii="AcadNusx" w:hAnsi="AcadNusx"/>
              </w:rPr>
              <w:t>0</w:t>
            </w:r>
          </w:p>
        </w:tc>
        <w:tc>
          <w:tcPr>
            <w:tcW w:w="1668" w:type="dxa"/>
            <w:noWrap/>
            <w:hideMark/>
          </w:tcPr>
          <w:p w14:paraId="5043B2BB" w14:textId="77777777" w:rsidR="00EA3205" w:rsidRPr="00B05F62" w:rsidRDefault="00EA3205" w:rsidP="00EA3205">
            <w:pPr>
              <w:rPr>
                <w:rFonts w:ascii="AcadNusx" w:hAnsi="AcadNusx"/>
              </w:rPr>
            </w:pPr>
            <w:r w:rsidRPr="00B05F62">
              <w:rPr>
                <w:rFonts w:ascii="AcadNusx" w:hAnsi="AcadNusx"/>
              </w:rPr>
              <w:t>86</w:t>
            </w:r>
          </w:p>
        </w:tc>
        <w:tc>
          <w:tcPr>
            <w:tcW w:w="2839" w:type="dxa"/>
            <w:noWrap/>
            <w:hideMark/>
          </w:tcPr>
          <w:p w14:paraId="502C9DDA" w14:textId="77777777" w:rsidR="00EA3205" w:rsidRPr="00B05F62" w:rsidRDefault="00EA3205" w:rsidP="00EA3205">
            <w:pPr>
              <w:rPr>
                <w:rFonts w:ascii="AcadNusx" w:hAnsi="AcadNusx"/>
              </w:rPr>
            </w:pPr>
            <w:r w:rsidRPr="00B05F62">
              <w:rPr>
                <w:rFonts w:ascii="AcadNusx" w:hAnsi="AcadNusx"/>
              </w:rPr>
              <w:t>86</w:t>
            </w:r>
          </w:p>
        </w:tc>
      </w:tr>
      <w:tr w:rsidR="00EA3205" w:rsidRPr="00B05F62" w14:paraId="52AF676F" w14:textId="77777777" w:rsidTr="00B77B2E">
        <w:tc>
          <w:tcPr>
            <w:tcW w:w="1120" w:type="dxa"/>
            <w:noWrap/>
            <w:hideMark/>
          </w:tcPr>
          <w:p w14:paraId="44F4C208"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7CC492CE"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1C40EA3D"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0166F451" w14:textId="77777777" w:rsidR="00EA3205" w:rsidRPr="00B05F62" w:rsidRDefault="00EA3205" w:rsidP="00EA3205">
            <w:pPr>
              <w:rPr>
                <w:rFonts w:ascii="AcadNusx" w:hAnsi="AcadNusx"/>
              </w:rPr>
            </w:pPr>
            <w:r w:rsidRPr="00B05F62">
              <w:rPr>
                <w:rFonts w:ascii="AcadNusx" w:hAnsi="AcadNusx"/>
              </w:rPr>
              <w:t>16,910</w:t>
            </w:r>
          </w:p>
        </w:tc>
        <w:tc>
          <w:tcPr>
            <w:tcW w:w="1668" w:type="dxa"/>
            <w:noWrap/>
            <w:hideMark/>
          </w:tcPr>
          <w:p w14:paraId="65B765D8" w14:textId="77777777" w:rsidR="00EA3205" w:rsidRPr="00B05F62" w:rsidRDefault="00EA3205" w:rsidP="00EA3205">
            <w:pPr>
              <w:rPr>
                <w:rFonts w:ascii="AcadNusx" w:hAnsi="AcadNusx"/>
              </w:rPr>
            </w:pPr>
            <w:r w:rsidRPr="00B05F62">
              <w:rPr>
                <w:rFonts w:ascii="AcadNusx" w:hAnsi="AcadNusx"/>
              </w:rPr>
              <w:t>17,460</w:t>
            </w:r>
          </w:p>
        </w:tc>
        <w:tc>
          <w:tcPr>
            <w:tcW w:w="2839" w:type="dxa"/>
            <w:noWrap/>
            <w:hideMark/>
          </w:tcPr>
          <w:p w14:paraId="47CB05EE" w14:textId="77777777" w:rsidR="00EA3205" w:rsidRPr="00B05F62" w:rsidRDefault="00EA3205" w:rsidP="00EA3205">
            <w:pPr>
              <w:rPr>
                <w:rFonts w:ascii="AcadNusx" w:hAnsi="AcadNusx"/>
              </w:rPr>
            </w:pPr>
            <w:r w:rsidRPr="00B05F62">
              <w:rPr>
                <w:rFonts w:ascii="AcadNusx" w:hAnsi="AcadNusx"/>
              </w:rPr>
              <w:t>550</w:t>
            </w:r>
          </w:p>
        </w:tc>
      </w:tr>
      <w:tr w:rsidR="00EA3205" w:rsidRPr="00B05F62" w14:paraId="1C3FB0E1" w14:textId="77777777" w:rsidTr="00B77B2E">
        <w:tc>
          <w:tcPr>
            <w:tcW w:w="1120" w:type="dxa"/>
            <w:noWrap/>
            <w:hideMark/>
          </w:tcPr>
          <w:p w14:paraId="2E1FDD59"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177B78E0" w14:textId="77777777" w:rsidR="00EA3205" w:rsidRPr="00B05F62" w:rsidRDefault="00EA3205" w:rsidP="00EA3205">
            <w:pPr>
              <w:rPr>
                <w:rFonts w:ascii="AcadNusx" w:hAnsi="AcadNusx"/>
              </w:rPr>
            </w:pPr>
            <w:r w:rsidRPr="00B05F62">
              <w:rPr>
                <w:rFonts w:ascii="AcadNusx" w:hAnsi="AcadNusx"/>
              </w:rPr>
              <w:t>16,935</w:t>
            </w:r>
          </w:p>
        </w:tc>
        <w:tc>
          <w:tcPr>
            <w:tcW w:w="1573" w:type="dxa"/>
            <w:noWrap/>
            <w:hideMark/>
          </w:tcPr>
          <w:p w14:paraId="76D8DF2C" w14:textId="77777777" w:rsidR="00EA3205" w:rsidRPr="00B05F62" w:rsidRDefault="00EA3205" w:rsidP="00EA3205">
            <w:pPr>
              <w:rPr>
                <w:rFonts w:ascii="AcadNusx" w:hAnsi="AcadNusx"/>
              </w:rPr>
            </w:pPr>
            <w:r w:rsidRPr="00B05F62">
              <w:rPr>
                <w:rFonts w:ascii="AcadNusx" w:hAnsi="AcadNusx"/>
              </w:rPr>
              <w:t>16,942</w:t>
            </w:r>
          </w:p>
        </w:tc>
        <w:tc>
          <w:tcPr>
            <w:tcW w:w="1348" w:type="dxa"/>
            <w:noWrap/>
            <w:hideMark/>
          </w:tcPr>
          <w:p w14:paraId="78F684DB"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2453B8BA"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3AE27217" w14:textId="77777777" w:rsidR="00EA3205" w:rsidRPr="00B05F62" w:rsidRDefault="00EA3205" w:rsidP="00EA3205">
            <w:pPr>
              <w:rPr>
                <w:rFonts w:ascii="AcadNusx" w:hAnsi="AcadNusx"/>
              </w:rPr>
            </w:pPr>
            <w:r w:rsidRPr="00B05F62">
              <w:rPr>
                <w:rFonts w:ascii="AcadNusx" w:hAnsi="AcadNusx"/>
              </w:rPr>
              <w:t>7</w:t>
            </w:r>
          </w:p>
        </w:tc>
      </w:tr>
      <w:tr w:rsidR="00EA3205" w:rsidRPr="00B05F62" w14:paraId="1E0A97F8" w14:textId="77777777" w:rsidTr="00B77B2E">
        <w:tc>
          <w:tcPr>
            <w:tcW w:w="1120" w:type="dxa"/>
            <w:noWrap/>
            <w:hideMark/>
          </w:tcPr>
          <w:p w14:paraId="52715704"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612425E5"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42CE9C2E"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0B4A7053" w14:textId="77777777" w:rsidR="00EA3205" w:rsidRPr="00B05F62" w:rsidRDefault="00EA3205" w:rsidP="00EA3205">
            <w:pPr>
              <w:rPr>
                <w:rFonts w:ascii="AcadNusx" w:hAnsi="AcadNusx"/>
              </w:rPr>
            </w:pPr>
            <w:r w:rsidRPr="00B05F62">
              <w:rPr>
                <w:rFonts w:ascii="AcadNusx" w:hAnsi="AcadNusx"/>
              </w:rPr>
              <w:t>17,310</w:t>
            </w:r>
          </w:p>
        </w:tc>
        <w:tc>
          <w:tcPr>
            <w:tcW w:w="1668" w:type="dxa"/>
            <w:noWrap/>
            <w:hideMark/>
          </w:tcPr>
          <w:p w14:paraId="41C3CAF0" w14:textId="77777777" w:rsidR="00EA3205" w:rsidRPr="00B05F62" w:rsidRDefault="00EA3205" w:rsidP="00EA3205">
            <w:pPr>
              <w:rPr>
                <w:rFonts w:ascii="AcadNusx" w:hAnsi="AcadNusx"/>
              </w:rPr>
            </w:pPr>
            <w:r w:rsidRPr="00B05F62">
              <w:rPr>
                <w:rFonts w:ascii="AcadNusx" w:hAnsi="AcadNusx"/>
              </w:rPr>
              <w:t>17,320</w:t>
            </w:r>
          </w:p>
        </w:tc>
        <w:tc>
          <w:tcPr>
            <w:tcW w:w="2839" w:type="dxa"/>
            <w:noWrap/>
            <w:hideMark/>
          </w:tcPr>
          <w:p w14:paraId="0F4D282A" w14:textId="77777777" w:rsidR="00EA3205" w:rsidRPr="00B05F62" w:rsidRDefault="00EA3205" w:rsidP="00EA3205">
            <w:pPr>
              <w:rPr>
                <w:rFonts w:ascii="AcadNusx" w:hAnsi="AcadNusx"/>
              </w:rPr>
            </w:pPr>
            <w:r w:rsidRPr="00B05F62">
              <w:rPr>
                <w:rFonts w:ascii="AcadNusx" w:hAnsi="AcadNusx"/>
              </w:rPr>
              <w:t>10</w:t>
            </w:r>
          </w:p>
        </w:tc>
      </w:tr>
      <w:tr w:rsidR="00EA3205" w:rsidRPr="00B05F62" w14:paraId="6F55A56F" w14:textId="77777777" w:rsidTr="00B77B2E">
        <w:tc>
          <w:tcPr>
            <w:tcW w:w="1120" w:type="dxa"/>
            <w:noWrap/>
            <w:hideMark/>
          </w:tcPr>
          <w:p w14:paraId="1774CE3A"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77184555"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7928CBE8"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2D237134" w14:textId="77777777" w:rsidR="00EA3205" w:rsidRPr="00B05F62" w:rsidRDefault="00EA3205" w:rsidP="00EA3205">
            <w:pPr>
              <w:rPr>
                <w:rFonts w:ascii="AcadNusx" w:hAnsi="AcadNusx"/>
              </w:rPr>
            </w:pPr>
            <w:r w:rsidRPr="00B05F62">
              <w:rPr>
                <w:rFonts w:ascii="AcadNusx" w:hAnsi="AcadNusx"/>
              </w:rPr>
              <w:t>17,560</w:t>
            </w:r>
          </w:p>
        </w:tc>
        <w:tc>
          <w:tcPr>
            <w:tcW w:w="1668" w:type="dxa"/>
            <w:noWrap/>
            <w:hideMark/>
          </w:tcPr>
          <w:p w14:paraId="43BA9D59" w14:textId="77777777" w:rsidR="00EA3205" w:rsidRPr="00B05F62" w:rsidRDefault="00EA3205" w:rsidP="00EA3205">
            <w:pPr>
              <w:rPr>
                <w:rFonts w:ascii="AcadNusx" w:hAnsi="AcadNusx"/>
              </w:rPr>
            </w:pPr>
            <w:r w:rsidRPr="00B05F62">
              <w:rPr>
                <w:rFonts w:ascii="AcadNusx" w:hAnsi="AcadNusx"/>
              </w:rPr>
              <w:t>20,122</w:t>
            </w:r>
          </w:p>
        </w:tc>
        <w:tc>
          <w:tcPr>
            <w:tcW w:w="2839" w:type="dxa"/>
            <w:noWrap/>
            <w:hideMark/>
          </w:tcPr>
          <w:p w14:paraId="693347C8" w14:textId="77777777" w:rsidR="00EA3205" w:rsidRPr="00B05F62" w:rsidRDefault="00EA3205" w:rsidP="00EA3205">
            <w:pPr>
              <w:rPr>
                <w:rFonts w:ascii="AcadNusx" w:hAnsi="AcadNusx"/>
              </w:rPr>
            </w:pPr>
            <w:r w:rsidRPr="00B05F62">
              <w:rPr>
                <w:rFonts w:ascii="AcadNusx" w:hAnsi="AcadNusx"/>
              </w:rPr>
              <w:t>2,562</w:t>
            </w:r>
          </w:p>
        </w:tc>
      </w:tr>
      <w:tr w:rsidR="00EA3205" w:rsidRPr="00B05F62" w14:paraId="128DE3AD" w14:textId="77777777" w:rsidTr="00B77B2E">
        <w:tc>
          <w:tcPr>
            <w:tcW w:w="1120" w:type="dxa"/>
            <w:noWrap/>
            <w:hideMark/>
          </w:tcPr>
          <w:p w14:paraId="43B8951A"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1B3CD100" w14:textId="77777777" w:rsidR="00EA3205" w:rsidRPr="00B05F62" w:rsidRDefault="00EA3205" w:rsidP="00EA3205">
            <w:pPr>
              <w:rPr>
                <w:rFonts w:ascii="AcadNusx" w:hAnsi="AcadNusx"/>
              </w:rPr>
            </w:pPr>
            <w:r w:rsidRPr="00B05F62">
              <w:rPr>
                <w:rFonts w:ascii="AcadNusx" w:hAnsi="AcadNusx"/>
              </w:rPr>
              <w:t>19,075</w:t>
            </w:r>
          </w:p>
        </w:tc>
        <w:tc>
          <w:tcPr>
            <w:tcW w:w="1573" w:type="dxa"/>
            <w:noWrap/>
            <w:hideMark/>
          </w:tcPr>
          <w:p w14:paraId="072ABC94" w14:textId="77777777" w:rsidR="00EA3205" w:rsidRPr="00B05F62" w:rsidRDefault="00EA3205" w:rsidP="00EA3205">
            <w:pPr>
              <w:rPr>
                <w:rFonts w:ascii="AcadNusx" w:hAnsi="AcadNusx"/>
              </w:rPr>
            </w:pPr>
            <w:r w:rsidRPr="00B05F62">
              <w:rPr>
                <w:rFonts w:ascii="AcadNusx" w:hAnsi="AcadNusx"/>
              </w:rPr>
              <w:t>19,235</w:t>
            </w:r>
          </w:p>
        </w:tc>
        <w:tc>
          <w:tcPr>
            <w:tcW w:w="1348" w:type="dxa"/>
            <w:noWrap/>
            <w:hideMark/>
          </w:tcPr>
          <w:p w14:paraId="0D912980"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14F1BBAA"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18B92A06" w14:textId="77777777" w:rsidR="00EA3205" w:rsidRPr="00B05F62" w:rsidRDefault="00EA3205" w:rsidP="00EA3205">
            <w:pPr>
              <w:rPr>
                <w:rFonts w:ascii="AcadNusx" w:hAnsi="AcadNusx"/>
              </w:rPr>
            </w:pPr>
            <w:r w:rsidRPr="00B05F62">
              <w:rPr>
                <w:rFonts w:ascii="AcadNusx" w:hAnsi="AcadNusx"/>
              </w:rPr>
              <w:t>160</w:t>
            </w:r>
          </w:p>
        </w:tc>
      </w:tr>
      <w:tr w:rsidR="00EA3205" w:rsidRPr="00B05F62" w14:paraId="41E950F6" w14:textId="77777777" w:rsidTr="00B77B2E">
        <w:tc>
          <w:tcPr>
            <w:tcW w:w="1120" w:type="dxa"/>
            <w:noWrap/>
            <w:hideMark/>
          </w:tcPr>
          <w:p w14:paraId="68641FDD"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64274E14"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52EB4B94"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27BF3F57" w14:textId="77777777" w:rsidR="00EA3205" w:rsidRPr="00B05F62" w:rsidRDefault="00EA3205" w:rsidP="00EA3205">
            <w:pPr>
              <w:rPr>
                <w:rFonts w:ascii="AcadNusx" w:hAnsi="AcadNusx"/>
              </w:rPr>
            </w:pPr>
            <w:r w:rsidRPr="00B05F62">
              <w:rPr>
                <w:rFonts w:ascii="AcadNusx" w:hAnsi="AcadNusx"/>
              </w:rPr>
              <w:t>20,150</w:t>
            </w:r>
          </w:p>
        </w:tc>
        <w:tc>
          <w:tcPr>
            <w:tcW w:w="1668" w:type="dxa"/>
            <w:noWrap/>
            <w:hideMark/>
          </w:tcPr>
          <w:p w14:paraId="6EEDA686" w14:textId="77777777" w:rsidR="00EA3205" w:rsidRPr="00B05F62" w:rsidRDefault="00EA3205" w:rsidP="00EA3205">
            <w:pPr>
              <w:rPr>
                <w:rFonts w:ascii="AcadNusx" w:hAnsi="AcadNusx"/>
              </w:rPr>
            </w:pPr>
            <w:r w:rsidRPr="00B05F62">
              <w:rPr>
                <w:rFonts w:ascii="AcadNusx" w:hAnsi="AcadNusx"/>
              </w:rPr>
              <w:t>20,375</w:t>
            </w:r>
          </w:p>
        </w:tc>
        <w:tc>
          <w:tcPr>
            <w:tcW w:w="2839" w:type="dxa"/>
            <w:noWrap/>
            <w:hideMark/>
          </w:tcPr>
          <w:p w14:paraId="2E1A4C2E" w14:textId="77777777" w:rsidR="00EA3205" w:rsidRPr="00B05F62" w:rsidRDefault="00EA3205" w:rsidP="00EA3205">
            <w:pPr>
              <w:rPr>
                <w:rFonts w:ascii="AcadNusx" w:hAnsi="AcadNusx"/>
              </w:rPr>
            </w:pPr>
            <w:r w:rsidRPr="00B05F62">
              <w:rPr>
                <w:rFonts w:ascii="AcadNusx" w:hAnsi="AcadNusx"/>
              </w:rPr>
              <w:t>225</w:t>
            </w:r>
          </w:p>
        </w:tc>
      </w:tr>
      <w:tr w:rsidR="00EA3205" w:rsidRPr="00B05F62" w14:paraId="18AFA7D1" w14:textId="77777777" w:rsidTr="00B77B2E">
        <w:tc>
          <w:tcPr>
            <w:tcW w:w="1120" w:type="dxa"/>
            <w:noWrap/>
            <w:hideMark/>
          </w:tcPr>
          <w:p w14:paraId="2ED3B573"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0AE4CC94"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06890E67"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52FA4794" w14:textId="77777777" w:rsidR="00EA3205" w:rsidRPr="00B05F62" w:rsidRDefault="00EA3205" w:rsidP="00EA3205">
            <w:pPr>
              <w:rPr>
                <w:rFonts w:ascii="AcadNusx" w:hAnsi="AcadNusx"/>
              </w:rPr>
            </w:pPr>
            <w:r w:rsidRPr="00B05F62">
              <w:rPr>
                <w:rFonts w:ascii="AcadNusx" w:hAnsi="AcadNusx"/>
              </w:rPr>
              <w:t>20,984</w:t>
            </w:r>
          </w:p>
        </w:tc>
        <w:tc>
          <w:tcPr>
            <w:tcW w:w="1668" w:type="dxa"/>
            <w:noWrap/>
            <w:hideMark/>
          </w:tcPr>
          <w:p w14:paraId="6698E183" w14:textId="77777777" w:rsidR="00EA3205" w:rsidRPr="00B05F62" w:rsidRDefault="00EA3205" w:rsidP="00EA3205">
            <w:pPr>
              <w:rPr>
                <w:rFonts w:ascii="AcadNusx" w:hAnsi="AcadNusx"/>
              </w:rPr>
            </w:pPr>
            <w:r w:rsidRPr="00B05F62">
              <w:rPr>
                <w:rFonts w:ascii="AcadNusx" w:hAnsi="AcadNusx"/>
              </w:rPr>
              <w:t>21,532</w:t>
            </w:r>
          </w:p>
        </w:tc>
        <w:tc>
          <w:tcPr>
            <w:tcW w:w="2839" w:type="dxa"/>
            <w:noWrap/>
            <w:hideMark/>
          </w:tcPr>
          <w:p w14:paraId="12105C3F" w14:textId="77777777" w:rsidR="00EA3205" w:rsidRPr="00B05F62" w:rsidRDefault="00EA3205" w:rsidP="00EA3205">
            <w:pPr>
              <w:rPr>
                <w:rFonts w:ascii="AcadNusx" w:hAnsi="AcadNusx"/>
              </w:rPr>
            </w:pPr>
            <w:r w:rsidRPr="00B05F62">
              <w:rPr>
                <w:rFonts w:ascii="AcadNusx" w:hAnsi="AcadNusx"/>
              </w:rPr>
              <w:t>548</w:t>
            </w:r>
          </w:p>
        </w:tc>
      </w:tr>
      <w:tr w:rsidR="00EA3205" w:rsidRPr="00B05F62" w14:paraId="679104D6" w14:textId="77777777" w:rsidTr="00B77B2E">
        <w:tc>
          <w:tcPr>
            <w:tcW w:w="1120" w:type="dxa"/>
            <w:noWrap/>
            <w:hideMark/>
          </w:tcPr>
          <w:p w14:paraId="25C5C8FB"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2FBC06AC"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5B58C4E2"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7785E81E" w14:textId="77777777" w:rsidR="00EA3205" w:rsidRPr="00B05F62" w:rsidRDefault="00EA3205" w:rsidP="00EA3205">
            <w:pPr>
              <w:rPr>
                <w:rFonts w:ascii="AcadNusx" w:hAnsi="AcadNusx"/>
              </w:rPr>
            </w:pPr>
            <w:r w:rsidRPr="00B05F62">
              <w:rPr>
                <w:rFonts w:ascii="AcadNusx" w:hAnsi="AcadNusx"/>
              </w:rPr>
              <w:t>21,647</w:t>
            </w:r>
          </w:p>
        </w:tc>
        <w:tc>
          <w:tcPr>
            <w:tcW w:w="1668" w:type="dxa"/>
            <w:noWrap/>
            <w:hideMark/>
          </w:tcPr>
          <w:p w14:paraId="6726B4D1" w14:textId="77777777" w:rsidR="00EA3205" w:rsidRPr="00B05F62" w:rsidRDefault="00EA3205" w:rsidP="00EA3205">
            <w:pPr>
              <w:rPr>
                <w:rFonts w:ascii="AcadNusx" w:hAnsi="AcadNusx"/>
              </w:rPr>
            </w:pPr>
            <w:r w:rsidRPr="00B05F62">
              <w:rPr>
                <w:rFonts w:ascii="AcadNusx" w:hAnsi="AcadNusx"/>
              </w:rPr>
              <w:t>22,444</w:t>
            </w:r>
          </w:p>
        </w:tc>
        <w:tc>
          <w:tcPr>
            <w:tcW w:w="2839" w:type="dxa"/>
            <w:noWrap/>
            <w:hideMark/>
          </w:tcPr>
          <w:p w14:paraId="52F3A1BF" w14:textId="77777777" w:rsidR="00EA3205" w:rsidRPr="00B05F62" w:rsidRDefault="00EA3205" w:rsidP="00EA3205">
            <w:pPr>
              <w:rPr>
                <w:rFonts w:ascii="AcadNusx" w:hAnsi="AcadNusx"/>
              </w:rPr>
            </w:pPr>
            <w:r w:rsidRPr="00B05F62">
              <w:rPr>
                <w:rFonts w:ascii="AcadNusx" w:hAnsi="AcadNusx"/>
              </w:rPr>
              <w:t>797</w:t>
            </w:r>
          </w:p>
        </w:tc>
      </w:tr>
      <w:tr w:rsidR="00EA3205" w:rsidRPr="00B05F62" w14:paraId="28C0FE2C" w14:textId="77777777" w:rsidTr="00B77B2E">
        <w:tc>
          <w:tcPr>
            <w:tcW w:w="1120" w:type="dxa"/>
            <w:noWrap/>
            <w:hideMark/>
          </w:tcPr>
          <w:p w14:paraId="41736786"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03575B19" w14:textId="77777777" w:rsidR="00EA3205" w:rsidRPr="00B05F62" w:rsidRDefault="00EA3205" w:rsidP="00EA3205">
            <w:pPr>
              <w:rPr>
                <w:rFonts w:ascii="AcadNusx" w:hAnsi="AcadNusx"/>
              </w:rPr>
            </w:pPr>
            <w:r w:rsidRPr="00B05F62">
              <w:rPr>
                <w:rFonts w:ascii="AcadNusx" w:hAnsi="AcadNusx"/>
              </w:rPr>
              <w:t>22,166</w:t>
            </w:r>
          </w:p>
        </w:tc>
        <w:tc>
          <w:tcPr>
            <w:tcW w:w="1573" w:type="dxa"/>
            <w:noWrap/>
            <w:hideMark/>
          </w:tcPr>
          <w:p w14:paraId="494E7246" w14:textId="77777777" w:rsidR="00EA3205" w:rsidRPr="00B05F62" w:rsidRDefault="00EA3205" w:rsidP="00EA3205">
            <w:pPr>
              <w:rPr>
                <w:rFonts w:ascii="AcadNusx" w:hAnsi="AcadNusx"/>
              </w:rPr>
            </w:pPr>
            <w:r w:rsidRPr="00B05F62">
              <w:rPr>
                <w:rFonts w:ascii="AcadNusx" w:hAnsi="AcadNusx"/>
              </w:rPr>
              <w:t>22,172</w:t>
            </w:r>
          </w:p>
        </w:tc>
        <w:tc>
          <w:tcPr>
            <w:tcW w:w="1348" w:type="dxa"/>
            <w:noWrap/>
            <w:hideMark/>
          </w:tcPr>
          <w:p w14:paraId="6182B700"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6EB37774"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75FA9207" w14:textId="77777777" w:rsidR="00EA3205" w:rsidRPr="00B05F62" w:rsidRDefault="00EA3205" w:rsidP="00EA3205">
            <w:pPr>
              <w:rPr>
                <w:rFonts w:ascii="AcadNusx" w:hAnsi="AcadNusx"/>
              </w:rPr>
            </w:pPr>
            <w:r w:rsidRPr="00B05F62">
              <w:rPr>
                <w:rFonts w:ascii="AcadNusx" w:hAnsi="AcadNusx"/>
              </w:rPr>
              <w:t>6</w:t>
            </w:r>
          </w:p>
        </w:tc>
      </w:tr>
      <w:tr w:rsidR="00EA3205" w:rsidRPr="00B05F62" w14:paraId="0D4B2D74" w14:textId="77777777" w:rsidTr="00B77B2E">
        <w:tc>
          <w:tcPr>
            <w:tcW w:w="1120" w:type="dxa"/>
            <w:noWrap/>
            <w:hideMark/>
          </w:tcPr>
          <w:p w14:paraId="0EE3998E"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4C869F92" w14:textId="77777777" w:rsidR="00EA3205" w:rsidRPr="00B05F62" w:rsidRDefault="00EA3205" w:rsidP="00EA3205">
            <w:pPr>
              <w:rPr>
                <w:rFonts w:ascii="AcadNusx" w:hAnsi="AcadNusx"/>
              </w:rPr>
            </w:pPr>
            <w:r w:rsidRPr="00B05F62">
              <w:rPr>
                <w:rFonts w:ascii="AcadNusx" w:hAnsi="AcadNusx"/>
              </w:rPr>
              <w:t>22,754</w:t>
            </w:r>
          </w:p>
        </w:tc>
        <w:tc>
          <w:tcPr>
            <w:tcW w:w="1573" w:type="dxa"/>
            <w:noWrap/>
            <w:hideMark/>
          </w:tcPr>
          <w:p w14:paraId="63A48CB6" w14:textId="77777777" w:rsidR="00EA3205" w:rsidRPr="00B05F62" w:rsidRDefault="00EA3205" w:rsidP="00EA3205">
            <w:pPr>
              <w:rPr>
                <w:rFonts w:ascii="AcadNusx" w:hAnsi="AcadNusx"/>
              </w:rPr>
            </w:pPr>
            <w:r w:rsidRPr="00B05F62">
              <w:rPr>
                <w:rFonts w:ascii="AcadNusx" w:hAnsi="AcadNusx"/>
              </w:rPr>
              <w:t>22,770</w:t>
            </w:r>
          </w:p>
        </w:tc>
        <w:tc>
          <w:tcPr>
            <w:tcW w:w="1348" w:type="dxa"/>
            <w:noWrap/>
            <w:hideMark/>
          </w:tcPr>
          <w:p w14:paraId="3AB718CE"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1D3F65E3"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24348125" w14:textId="77777777" w:rsidR="00EA3205" w:rsidRPr="00B05F62" w:rsidRDefault="00EA3205" w:rsidP="00EA3205">
            <w:pPr>
              <w:rPr>
                <w:rFonts w:ascii="AcadNusx" w:hAnsi="AcadNusx"/>
              </w:rPr>
            </w:pPr>
            <w:r w:rsidRPr="00B05F62">
              <w:rPr>
                <w:rFonts w:ascii="AcadNusx" w:hAnsi="AcadNusx"/>
              </w:rPr>
              <w:t>16</w:t>
            </w:r>
          </w:p>
        </w:tc>
      </w:tr>
      <w:tr w:rsidR="00EA3205" w:rsidRPr="00B05F62" w14:paraId="5A23AD18" w14:textId="77777777" w:rsidTr="00B77B2E">
        <w:tc>
          <w:tcPr>
            <w:tcW w:w="1120" w:type="dxa"/>
            <w:noWrap/>
            <w:hideMark/>
          </w:tcPr>
          <w:p w14:paraId="181B79C9"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711BC1CC"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50E6AEA3"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3CC6830C" w14:textId="77777777" w:rsidR="00EA3205" w:rsidRPr="00B05F62" w:rsidRDefault="00EA3205" w:rsidP="00EA3205">
            <w:pPr>
              <w:rPr>
                <w:rFonts w:ascii="AcadNusx" w:hAnsi="AcadNusx"/>
              </w:rPr>
            </w:pPr>
            <w:r w:rsidRPr="00B05F62">
              <w:rPr>
                <w:rFonts w:ascii="AcadNusx" w:hAnsi="AcadNusx"/>
              </w:rPr>
              <w:t>22,770</w:t>
            </w:r>
          </w:p>
        </w:tc>
        <w:tc>
          <w:tcPr>
            <w:tcW w:w="1668" w:type="dxa"/>
            <w:noWrap/>
            <w:hideMark/>
          </w:tcPr>
          <w:p w14:paraId="269E496A" w14:textId="77777777" w:rsidR="00EA3205" w:rsidRPr="00B05F62" w:rsidRDefault="00EA3205" w:rsidP="00EA3205">
            <w:pPr>
              <w:rPr>
                <w:rFonts w:ascii="AcadNusx" w:hAnsi="AcadNusx"/>
              </w:rPr>
            </w:pPr>
            <w:r w:rsidRPr="00B05F62">
              <w:rPr>
                <w:rFonts w:ascii="AcadNusx" w:hAnsi="AcadNusx"/>
              </w:rPr>
              <w:t>24,182</w:t>
            </w:r>
          </w:p>
        </w:tc>
        <w:tc>
          <w:tcPr>
            <w:tcW w:w="2839" w:type="dxa"/>
            <w:noWrap/>
            <w:hideMark/>
          </w:tcPr>
          <w:p w14:paraId="21732A1F" w14:textId="77777777" w:rsidR="00EA3205" w:rsidRPr="00B05F62" w:rsidRDefault="00EA3205" w:rsidP="00EA3205">
            <w:pPr>
              <w:rPr>
                <w:rFonts w:ascii="AcadNusx" w:hAnsi="AcadNusx"/>
              </w:rPr>
            </w:pPr>
            <w:r w:rsidRPr="00B05F62">
              <w:rPr>
                <w:rFonts w:ascii="AcadNusx" w:hAnsi="AcadNusx"/>
              </w:rPr>
              <w:t>1,412</w:t>
            </w:r>
          </w:p>
        </w:tc>
      </w:tr>
      <w:tr w:rsidR="00EA3205" w:rsidRPr="00B05F62" w14:paraId="351CB012" w14:textId="77777777" w:rsidTr="00B77B2E">
        <w:tc>
          <w:tcPr>
            <w:tcW w:w="1120" w:type="dxa"/>
            <w:noWrap/>
            <w:hideMark/>
          </w:tcPr>
          <w:p w14:paraId="25B456A6" w14:textId="77777777" w:rsidR="00EA3205" w:rsidRPr="00B05F62" w:rsidRDefault="00EA3205" w:rsidP="00EA3205">
            <w:pPr>
              <w:rPr>
                <w:rFonts w:ascii="AcadNusx" w:hAnsi="AcadNusx"/>
              </w:rPr>
            </w:pPr>
            <w:r w:rsidRPr="00B05F62">
              <w:rPr>
                <w:rFonts w:ascii="AcadNusx" w:hAnsi="AcadNusx"/>
              </w:rPr>
              <w:t>502</w:t>
            </w:r>
          </w:p>
        </w:tc>
        <w:tc>
          <w:tcPr>
            <w:tcW w:w="1347" w:type="dxa"/>
            <w:noWrap/>
            <w:hideMark/>
          </w:tcPr>
          <w:p w14:paraId="126CEB7C"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7792AAF7"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50B5CB67" w14:textId="77777777" w:rsidR="00EA3205" w:rsidRPr="00B05F62" w:rsidRDefault="00EA3205" w:rsidP="00EA3205">
            <w:pPr>
              <w:rPr>
                <w:rFonts w:ascii="AcadNusx" w:hAnsi="AcadNusx"/>
              </w:rPr>
            </w:pPr>
            <w:r w:rsidRPr="00B05F62">
              <w:rPr>
                <w:rFonts w:ascii="AcadNusx" w:hAnsi="AcadNusx"/>
              </w:rPr>
              <w:t>0</w:t>
            </w:r>
          </w:p>
        </w:tc>
        <w:tc>
          <w:tcPr>
            <w:tcW w:w="1668" w:type="dxa"/>
            <w:noWrap/>
            <w:hideMark/>
          </w:tcPr>
          <w:p w14:paraId="69490A0E" w14:textId="77777777" w:rsidR="00EA3205" w:rsidRPr="00B05F62" w:rsidRDefault="00EA3205" w:rsidP="00EA3205">
            <w:pPr>
              <w:rPr>
                <w:rFonts w:ascii="AcadNusx" w:hAnsi="AcadNusx"/>
              </w:rPr>
            </w:pPr>
            <w:r w:rsidRPr="00B05F62">
              <w:rPr>
                <w:rFonts w:ascii="AcadNusx" w:hAnsi="AcadNusx"/>
              </w:rPr>
              <w:t>36</w:t>
            </w:r>
          </w:p>
        </w:tc>
        <w:tc>
          <w:tcPr>
            <w:tcW w:w="2839" w:type="dxa"/>
            <w:noWrap/>
            <w:hideMark/>
          </w:tcPr>
          <w:p w14:paraId="32139A8C" w14:textId="77777777" w:rsidR="00EA3205" w:rsidRPr="00B05F62" w:rsidRDefault="00EA3205" w:rsidP="00EA3205">
            <w:pPr>
              <w:rPr>
                <w:rFonts w:ascii="AcadNusx" w:hAnsi="AcadNusx"/>
              </w:rPr>
            </w:pPr>
            <w:r w:rsidRPr="00B05F62">
              <w:rPr>
                <w:rFonts w:ascii="AcadNusx" w:hAnsi="AcadNusx"/>
              </w:rPr>
              <w:t>36</w:t>
            </w:r>
          </w:p>
        </w:tc>
      </w:tr>
      <w:tr w:rsidR="00EA3205" w:rsidRPr="00B05F62" w14:paraId="153858B8" w14:textId="77777777" w:rsidTr="00B77B2E">
        <w:tc>
          <w:tcPr>
            <w:tcW w:w="1120" w:type="dxa"/>
            <w:noWrap/>
            <w:hideMark/>
          </w:tcPr>
          <w:p w14:paraId="289B79C2"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6F9ACB6F" w14:textId="77777777" w:rsidR="00EA3205" w:rsidRPr="00B05F62" w:rsidRDefault="00EA3205" w:rsidP="00EA3205">
            <w:pPr>
              <w:rPr>
                <w:rFonts w:ascii="AcadNusx" w:hAnsi="AcadNusx"/>
              </w:rPr>
            </w:pPr>
            <w:r w:rsidRPr="00B05F62">
              <w:rPr>
                <w:rFonts w:ascii="AcadNusx" w:hAnsi="AcadNusx"/>
              </w:rPr>
              <w:t>23,250</w:t>
            </w:r>
          </w:p>
        </w:tc>
        <w:tc>
          <w:tcPr>
            <w:tcW w:w="1573" w:type="dxa"/>
            <w:noWrap/>
            <w:hideMark/>
          </w:tcPr>
          <w:p w14:paraId="207B57DD" w14:textId="77777777" w:rsidR="00EA3205" w:rsidRPr="00B05F62" w:rsidRDefault="00EA3205" w:rsidP="00EA3205">
            <w:pPr>
              <w:rPr>
                <w:rFonts w:ascii="AcadNusx" w:hAnsi="AcadNusx"/>
              </w:rPr>
            </w:pPr>
            <w:r w:rsidRPr="00B05F62">
              <w:rPr>
                <w:rFonts w:ascii="AcadNusx" w:hAnsi="AcadNusx"/>
              </w:rPr>
              <w:t>23,313</w:t>
            </w:r>
          </w:p>
        </w:tc>
        <w:tc>
          <w:tcPr>
            <w:tcW w:w="1348" w:type="dxa"/>
            <w:noWrap/>
            <w:hideMark/>
          </w:tcPr>
          <w:p w14:paraId="36E67A8C"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42F82EB7"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462504DC" w14:textId="77777777" w:rsidR="00EA3205" w:rsidRPr="00B05F62" w:rsidRDefault="00EA3205" w:rsidP="00EA3205">
            <w:pPr>
              <w:rPr>
                <w:rFonts w:ascii="AcadNusx" w:hAnsi="AcadNusx"/>
              </w:rPr>
            </w:pPr>
            <w:r w:rsidRPr="00B05F62">
              <w:rPr>
                <w:rFonts w:ascii="AcadNusx" w:hAnsi="AcadNusx"/>
              </w:rPr>
              <w:t>63</w:t>
            </w:r>
          </w:p>
        </w:tc>
      </w:tr>
      <w:tr w:rsidR="00EA3205" w:rsidRPr="00B05F62" w14:paraId="4012F8F3" w14:textId="77777777" w:rsidTr="00B77B2E">
        <w:tc>
          <w:tcPr>
            <w:tcW w:w="1120" w:type="dxa"/>
            <w:noWrap/>
            <w:hideMark/>
          </w:tcPr>
          <w:p w14:paraId="2DB05ACB"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6197F051" w14:textId="77777777" w:rsidR="00EA3205" w:rsidRPr="00B05F62" w:rsidRDefault="00EA3205" w:rsidP="00EA3205">
            <w:pPr>
              <w:rPr>
                <w:rFonts w:ascii="AcadNusx" w:hAnsi="AcadNusx"/>
              </w:rPr>
            </w:pPr>
            <w:r w:rsidRPr="00B05F62">
              <w:rPr>
                <w:rFonts w:ascii="AcadNusx" w:hAnsi="AcadNusx"/>
              </w:rPr>
              <w:t>23,892</w:t>
            </w:r>
          </w:p>
        </w:tc>
        <w:tc>
          <w:tcPr>
            <w:tcW w:w="1573" w:type="dxa"/>
            <w:noWrap/>
            <w:hideMark/>
          </w:tcPr>
          <w:p w14:paraId="1CEB33B6" w14:textId="77777777" w:rsidR="00EA3205" w:rsidRPr="00B05F62" w:rsidRDefault="00EA3205" w:rsidP="00EA3205">
            <w:pPr>
              <w:rPr>
                <w:rFonts w:ascii="AcadNusx" w:hAnsi="AcadNusx"/>
              </w:rPr>
            </w:pPr>
            <w:r w:rsidRPr="00B05F62">
              <w:rPr>
                <w:rFonts w:ascii="AcadNusx" w:hAnsi="AcadNusx"/>
              </w:rPr>
              <w:t>23,957</w:t>
            </w:r>
          </w:p>
        </w:tc>
        <w:tc>
          <w:tcPr>
            <w:tcW w:w="1348" w:type="dxa"/>
            <w:noWrap/>
            <w:hideMark/>
          </w:tcPr>
          <w:p w14:paraId="062B9042"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5049DDDC"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3CD12F5E" w14:textId="77777777" w:rsidR="00EA3205" w:rsidRPr="00B05F62" w:rsidRDefault="00EA3205" w:rsidP="00EA3205">
            <w:pPr>
              <w:rPr>
                <w:rFonts w:ascii="AcadNusx" w:hAnsi="AcadNusx"/>
              </w:rPr>
            </w:pPr>
            <w:r w:rsidRPr="00B05F62">
              <w:rPr>
                <w:rFonts w:ascii="AcadNusx" w:hAnsi="AcadNusx"/>
              </w:rPr>
              <w:t>65</w:t>
            </w:r>
          </w:p>
        </w:tc>
      </w:tr>
      <w:tr w:rsidR="00EA3205" w:rsidRPr="00B05F62" w14:paraId="32B6FB77" w14:textId="77777777" w:rsidTr="00B77B2E">
        <w:tc>
          <w:tcPr>
            <w:tcW w:w="1120" w:type="dxa"/>
            <w:noWrap/>
            <w:hideMark/>
          </w:tcPr>
          <w:p w14:paraId="32E546EA" w14:textId="77777777" w:rsidR="00EA3205" w:rsidRPr="00B05F62" w:rsidRDefault="00EA3205" w:rsidP="00EA3205">
            <w:pPr>
              <w:rPr>
                <w:rFonts w:ascii="AcadNusx" w:hAnsi="AcadNusx"/>
              </w:rPr>
            </w:pPr>
            <w:r w:rsidRPr="00B05F62">
              <w:rPr>
                <w:rFonts w:ascii="AcadNusx" w:hAnsi="AcadNusx"/>
              </w:rPr>
              <w:t>505</w:t>
            </w:r>
          </w:p>
        </w:tc>
        <w:tc>
          <w:tcPr>
            <w:tcW w:w="1347" w:type="dxa"/>
            <w:noWrap/>
            <w:hideMark/>
          </w:tcPr>
          <w:p w14:paraId="20DE412C" w14:textId="77777777" w:rsidR="00EA3205" w:rsidRPr="00B05F62" w:rsidRDefault="00EA3205" w:rsidP="00EA3205">
            <w:pPr>
              <w:rPr>
                <w:rFonts w:ascii="AcadNusx" w:hAnsi="AcadNusx"/>
              </w:rPr>
            </w:pPr>
            <w:r w:rsidRPr="00B05F62">
              <w:rPr>
                <w:rFonts w:ascii="AcadNusx" w:hAnsi="AcadNusx"/>
              </w:rPr>
              <w:t>76</w:t>
            </w:r>
          </w:p>
        </w:tc>
        <w:tc>
          <w:tcPr>
            <w:tcW w:w="1573" w:type="dxa"/>
            <w:noWrap/>
            <w:hideMark/>
          </w:tcPr>
          <w:p w14:paraId="0976F760" w14:textId="77777777" w:rsidR="00EA3205" w:rsidRPr="00B05F62" w:rsidRDefault="00EA3205" w:rsidP="00EA3205">
            <w:pPr>
              <w:rPr>
                <w:rFonts w:ascii="AcadNusx" w:hAnsi="AcadNusx"/>
              </w:rPr>
            </w:pPr>
            <w:r w:rsidRPr="00B05F62">
              <w:rPr>
                <w:rFonts w:ascii="AcadNusx" w:hAnsi="AcadNusx"/>
              </w:rPr>
              <w:t>88</w:t>
            </w:r>
          </w:p>
        </w:tc>
        <w:tc>
          <w:tcPr>
            <w:tcW w:w="1348" w:type="dxa"/>
            <w:noWrap/>
            <w:hideMark/>
          </w:tcPr>
          <w:p w14:paraId="33FCCECE"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04967FC5"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1CB04E42" w14:textId="77777777" w:rsidR="00EA3205" w:rsidRPr="00B05F62" w:rsidRDefault="00EA3205" w:rsidP="00EA3205">
            <w:pPr>
              <w:rPr>
                <w:rFonts w:ascii="AcadNusx" w:hAnsi="AcadNusx"/>
              </w:rPr>
            </w:pPr>
            <w:r w:rsidRPr="00B05F62">
              <w:rPr>
                <w:rFonts w:ascii="AcadNusx" w:hAnsi="AcadNusx"/>
              </w:rPr>
              <w:t>12</w:t>
            </w:r>
          </w:p>
        </w:tc>
      </w:tr>
      <w:tr w:rsidR="00EA3205" w:rsidRPr="00B05F62" w14:paraId="18ABC48B" w14:textId="77777777" w:rsidTr="00B77B2E">
        <w:tc>
          <w:tcPr>
            <w:tcW w:w="1120" w:type="dxa"/>
            <w:noWrap/>
            <w:hideMark/>
          </w:tcPr>
          <w:p w14:paraId="30D9D4A1"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2FBEFA82"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4C9D14C8"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41332867" w14:textId="77777777" w:rsidR="00EA3205" w:rsidRPr="00B05F62" w:rsidRDefault="00EA3205" w:rsidP="00EA3205">
            <w:pPr>
              <w:rPr>
                <w:rFonts w:ascii="AcadNusx" w:hAnsi="AcadNusx"/>
              </w:rPr>
            </w:pPr>
            <w:r w:rsidRPr="00B05F62">
              <w:rPr>
                <w:rFonts w:ascii="AcadNusx" w:hAnsi="AcadNusx"/>
              </w:rPr>
              <w:t>24,600</w:t>
            </w:r>
          </w:p>
        </w:tc>
        <w:tc>
          <w:tcPr>
            <w:tcW w:w="1668" w:type="dxa"/>
            <w:noWrap/>
            <w:hideMark/>
          </w:tcPr>
          <w:p w14:paraId="62A1D8E6" w14:textId="77777777" w:rsidR="00EA3205" w:rsidRPr="00B05F62" w:rsidRDefault="00EA3205" w:rsidP="00EA3205">
            <w:pPr>
              <w:rPr>
                <w:rFonts w:ascii="AcadNusx" w:hAnsi="AcadNusx"/>
              </w:rPr>
            </w:pPr>
            <w:r w:rsidRPr="00B05F62">
              <w:rPr>
                <w:rFonts w:ascii="AcadNusx" w:hAnsi="AcadNusx"/>
              </w:rPr>
              <w:t>29,200</w:t>
            </w:r>
          </w:p>
        </w:tc>
        <w:tc>
          <w:tcPr>
            <w:tcW w:w="2839" w:type="dxa"/>
            <w:noWrap/>
            <w:hideMark/>
          </w:tcPr>
          <w:p w14:paraId="760AD574" w14:textId="77777777" w:rsidR="00EA3205" w:rsidRPr="00B05F62" w:rsidRDefault="00EA3205" w:rsidP="00EA3205">
            <w:pPr>
              <w:rPr>
                <w:rFonts w:ascii="AcadNusx" w:hAnsi="AcadNusx"/>
              </w:rPr>
            </w:pPr>
            <w:r w:rsidRPr="00B05F62">
              <w:rPr>
                <w:rFonts w:ascii="AcadNusx" w:hAnsi="AcadNusx"/>
              </w:rPr>
              <w:t>4,600</w:t>
            </w:r>
          </w:p>
        </w:tc>
      </w:tr>
      <w:tr w:rsidR="00EA3205" w:rsidRPr="00B05F62" w14:paraId="515EEA8D" w14:textId="77777777" w:rsidTr="00B77B2E">
        <w:tc>
          <w:tcPr>
            <w:tcW w:w="1120" w:type="dxa"/>
            <w:noWrap/>
            <w:hideMark/>
          </w:tcPr>
          <w:p w14:paraId="109FD6A6"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5EFA6316" w14:textId="77777777" w:rsidR="00EA3205" w:rsidRPr="00B05F62" w:rsidRDefault="00EA3205" w:rsidP="00EA3205">
            <w:pPr>
              <w:rPr>
                <w:rFonts w:ascii="AcadNusx" w:hAnsi="AcadNusx"/>
              </w:rPr>
            </w:pPr>
            <w:r w:rsidRPr="00B05F62">
              <w:rPr>
                <w:rFonts w:ascii="AcadNusx" w:hAnsi="AcadNusx"/>
              </w:rPr>
              <w:t>26,385</w:t>
            </w:r>
          </w:p>
        </w:tc>
        <w:tc>
          <w:tcPr>
            <w:tcW w:w="1573" w:type="dxa"/>
            <w:noWrap/>
            <w:hideMark/>
          </w:tcPr>
          <w:p w14:paraId="46B83974" w14:textId="77777777" w:rsidR="00EA3205" w:rsidRPr="00B05F62" w:rsidRDefault="00EA3205" w:rsidP="00EA3205">
            <w:pPr>
              <w:rPr>
                <w:rFonts w:ascii="AcadNusx" w:hAnsi="AcadNusx"/>
              </w:rPr>
            </w:pPr>
            <w:r w:rsidRPr="00B05F62">
              <w:rPr>
                <w:rFonts w:ascii="AcadNusx" w:hAnsi="AcadNusx"/>
              </w:rPr>
              <w:t>26,423</w:t>
            </w:r>
          </w:p>
        </w:tc>
        <w:tc>
          <w:tcPr>
            <w:tcW w:w="1348" w:type="dxa"/>
            <w:noWrap/>
            <w:hideMark/>
          </w:tcPr>
          <w:p w14:paraId="2480F7A6"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02A97359"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39BAE138" w14:textId="77777777" w:rsidR="00EA3205" w:rsidRPr="00B05F62" w:rsidRDefault="00EA3205" w:rsidP="00EA3205">
            <w:pPr>
              <w:rPr>
                <w:rFonts w:ascii="AcadNusx" w:hAnsi="AcadNusx"/>
              </w:rPr>
            </w:pPr>
            <w:r w:rsidRPr="00B05F62">
              <w:rPr>
                <w:rFonts w:ascii="AcadNusx" w:hAnsi="AcadNusx"/>
              </w:rPr>
              <w:t>38</w:t>
            </w:r>
          </w:p>
        </w:tc>
      </w:tr>
      <w:tr w:rsidR="00EA3205" w:rsidRPr="00B05F62" w14:paraId="7708C3BF" w14:textId="77777777" w:rsidTr="00B77B2E">
        <w:tc>
          <w:tcPr>
            <w:tcW w:w="1120" w:type="dxa"/>
            <w:noWrap/>
            <w:hideMark/>
          </w:tcPr>
          <w:p w14:paraId="4158FF76"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0E4D1C59" w14:textId="77777777" w:rsidR="00EA3205" w:rsidRPr="00B05F62" w:rsidRDefault="00EA3205" w:rsidP="00EA3205">
            <w:pPr>
              <w:rPr>
                <w:rFonts w:ascii="AcadNusx" w:hAnsi="AcadNusx"/>
              </w:rPr>
            </w:pPr>
            <w:r w:rsidRPr="00B05F62">
              <w:rPr>
                <w:rFonts w:ascii="AcadNusx" w:hAnsi="AcadNusx"/>
              </w:rPr>
              <w:t>27,140</w:t>
            </w:r>
          </w:p>
        </w:tc>
        <w:tc>
          <w:tcPr>
            <w:tcW w:w="1573" w:type="dxa"/>
            <w:noWrap/>
            <w:hideMark/>
          </w:tcPr>
          <w:p w14:paraId="3F454AF0" w14:textId="77777777" w:rsidR="00EA3205" w:rsidRPr="00B05F62" w:rsidRDefault="00EA3205" w:rsidP="00EA3205">
            <w:pPr>
              <w:rPr>
                <w:rFonts w:ascii="AcadNusx" w:hAnsi="AcadNusx"/>
              </w:rPr>
            </w:pPr>
            <w:r w:rsidRPr="00B05F62">
              <w:rPr>
                <w:rFonts w:ascii="AcadNusx" w:hAnsi="AcadNusx"/>
              </w:rPr>
              <w:t>27,146</w:t>
            </w:r>
          </w:p>
        </w:tc>
        <w:tc>
          <w:tcPr>
            <w:tcW w:w="1348" w:type="dxa"/>
            <w:noWrap/>
            <w:hideMark/>
          </w:tcPr>
          <w:p w14:paraId="6058B366"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45E74491"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543E59D3" w14:textId="77777777" w:rsidR="00EA3205" w:rsidRPr="00B05F62" w:rsidRDefault="00EA3205" w:rsidP="00EA3205">
            <w:pPr>
              <w:rPr>
                <w:rFonts w:ascii="AcadNusx" w:hAnsi="AcadNusx"/>
              </w:rPr>
            </w:pPr>
            <w:r w:rsidRPr="00B05F62">
              <w:rPr>
                <w:rFonts w:ascii="AcadNusx" w:hAnsi="AcadNusx"/>
              </w:rPr>
              <w:t>6</w:t>
            </w:r>
          </w:p>
        </w:tc>
      </w:tr>
      <w:tr w:rsidR="00EA3205" w:rsidRPr="00B05F62" w14:paraId="241D1AD1" w14:textId="77777777" w:rsidTr="00B77B2E">
        <w:tc>
          <w:tcPr>
            <w:tcW w:w="1120" w:type="dxa"/>
            <w:noWrap/>
            <w:hideMark/>
          </w:tcPr>
          <w:p w14:paraId="264A7D42"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12B42505" w14:textId="77777777" w:rsidR="00EA3205" w:rsidRPr="00B05F62" w:rsidRDefault="00EA3205" w:rsidP="00EA3205">
            <w:pPr>
              <w:rPr>
                <w:rFonts w:ascii="AcadNusx" w:hAnsi="AcadNusx"/>
              </w:rPr>
            </w:pPr>
            <w:r w:rsidRPr="00B05F62">
              <w:rPr>
                <w:rFonts w:ascii="AcadNusx" w:hAnsi="AcadNusx"/>
              </w:rPr>
              <w:t>27,428</w:t>
            </w:r>
          </w:p>
        </w:tc>
        <w:tc>
          <w:tcPr>
            <w:tcW w:w="1573" w:type="dxa"/>
            <w:noWrap/>
            <w:hideMark/>
          </w:tcPr>
          <w:p w14:paraId="23FCF4B4" w14:textId="77777777" w:rsidR="00EA3205" w:rsidRPr="00B05F62" w:rsidRDefault="00EA3205" w:rsidP="00EA3205">
            <w:pPr>
              <w:rPr>
                <w:rFonts w:ascii="AcadNusx" w:hAnsi="AcadNusx"/>
              </w:rPr>
            </w:pPr>
            <w:r w:rsidRPr="00B05F62">
              <w:rPr>
                <w:rFonts w:ascii="AcadNusx" w:hAnsi="AcadNusx"/>
              </w:rPr>
              <w:t>27,577</w:t>
            </w:r>
          </w:p>
        </w:tc>
        <w:tc>
          <w:tcPr>
            <w:tcW w:w="1348" w:type="dxa"/>
            <w:noWrap/>
            <w:hideMark/>
          </w:tcPr>
          <w:p w14:paraId="3A446699"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6D20C0D0"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1C91E579" w14:textId="77777777" w:rsidR="00EA3205" w:rsidRPr="00B05F62" w:rsidRDefault="00EA3205" w:rsidP="00EA3205">
            <w:pPr>
              <w:rPr>
                <w:rFonts w:ascii="AcadNusx" w:hAnsi="AcadNusx"/>
              </w:rPr>
            </w:pPr>
            <w:r w:rsidRPr="00B05F62">
              <w:rPr>
                <w:rFonts w:ascii="AcadNusx" w:hAnsi="AcadNusx"/>
              </w:rPr>
              <w:t>149</w:t>
            </w:r>
          </w:p>
        </w:tc>
      </w:tr>
      <w:tr w:rsidR="00EA3205" w:rsidRPr="00B05F62" w14:paraId="0475B099" w14:textId="77777777" w:rsidTr="00B77B2E">
        <w:tc>
          <w:tcPr>
            <w:tcW w:w="1120" w:type="dxa"/>
            <w:noWrap/>
            <w:hideMark/>
          </w:tcPr>
          <w:p w14:paraId="0B9A7ED3"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41000F49" w14:textId="77777777" w:rsidR="00EA3205" w:rsidRPr="00B05F62" w:rsidRDefault="00EA3205" w:rsidP="00EA3205">
            <w:pPr>
              <w:rPr>
                <w:rFonts w:ascii="AcadNusx" w:hAnsi="AcadNusx"/>
              </w:rPr>
            </w:pPr>
            <w:r w:rsidRPr="00B05F62">
              <w:rPr>
                <w:rFonts w:ascii="AcadNusx" w:hAnsi="AcadNusx"/>
              </w:rPr>
              <w:t>28,069</w:t>
            </w:r>
          </w:p>
        </w:tc>
        <w:tc>
          <w:tcPr>
            <w:tcW w:w="1573" w:type="dxa"/>
            <w:noWrap/>
            <w:hideMark/>
          </w:tcPr>
          <w:p w14:paraId="3A574AEC" w14:textId="77777777" w:rsidR="00EA3205" w:rsidRPr="00B05F62" w:rsidRDefault="00EA3205" w:rsidP="00EA3205">
            <w:pPr>
              <w:rPr>
                <w:rFonts w:ascii="AcadNusx" w:hAnsi="AcadNusx"/>
              </w:rPr>
            </w:pPr>
            <w:r w:rsidRPr="00B05F62">
              <w:rPr>
                <w:rFonts w:ascii="AcadNusx" w:hAnsi="AcadNusx"/>
              </w:rPr>
              <w:t>28,500</w:t>
            </w:r>
          </w:p>
        </w:tc>
        <w:tc>
          <w:tcPr>
            <w:tcW w:w="1348" w:type="dxa"/>
            <w:noWrap/>
            <w:hideMark/>
          </w:tcPr>
          <w:p w14:paraId="41E20CB0"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180D8452"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599A0319" w14:textId="77777777" w:rsidR="00EA3205" w:rsidRPr="00B05F62" w:rsidRDefault="00EA3205" w:rsidP="00EA3205">
            <w:pPr>
              <w:rPr>
                <w:rFonts w:ascii="AcadNusx" w:hAnsi="AcadNusx"/>
              </w:rPr>
            </w:pPr>
            <w:r w:rsidRPr="00B05F62">
              <w:rPr>
                <w:rFonts w:ascii="AcadNusx" w:hAnsi="AcadNusx"/>
              </w:rPr>
              <w:t>431</w:t>
            </w:r>
          </w:p>
        </w:tc>
      </w:tr>
      <w:tr w:rsidR="00EA3205" w:rsidRPr="00B05F62" w14:paraId="71BAD459" w14:textId="77777777" w:rsidTr="00B77B2E">
        <w:tc>
          <w:tcPr>
            <w:tcW w:w="1120" w:type="dxa"/>
            <w:noWrap/>
            <w:hideMark/>
          </w:tcPr>
          <w:p w14:paraId="3204A13E"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76AAA22F" w14:textId="77777777" w:rsidR="00EA3205" w:rsidRPr="00B05F62" w:rsidRDefault="00EA3205" w:rsidP="00EA3205">
            <w:pPr>
              <w:rPr>
                <w:rFonts w:ascii="AcadNusx" w:hAnsi="AcadNusx"/>
              </w:rPr>
            </w:pPr>
            <w:r w:rsidRPr="00B05F62">
              <w:rPr>
                <w:rFonts w:ascii="AcadNusx" w:hAnsi="AcadNusx"/>
              </w:rPr>
              <w:t>28,795</w:t>
            </w:r>
          </w:p>
        </w:tc>
        <w:tc>
          <w:tcPr>
            <w:tcW w:w="1573" w:type="dxa"/>
            <w:noWrap/>
            <w:hideMark/>
          </w:tcPr>
          <w:p w14:paraId="0B1CDD0A" w14:textId="77777777" w:rsidR="00EA3205" w:rsidRPr="00B05F62" w:rsidRDefault="00EA3205" w:rsidP="00EA3205">
            <w:pPr>
              <w:rPr>
                <w:rFonts w:ascii="AcadNusx" w:hAnsi="AcadNusx"/>
              </w:rPr>
            </w:pPr>
            <w:r w:rsidRPr="00B05F62">
              <w:rPr>
                <w:rFonts w:ascii="AcadNusx" w:hAnsi="AcadNusx"/>
              </w:rPr>
              <w:t>29,193</w:t>
            </w:r>
          </w:p>
        </w:tc>
        <w:tc>
          <w:tcPr>
            <w:tcW w:w="1348" w:type="dxa"/>
            <w:noWrap/>
            <w:hideMark/>
          </w:tcPr>
          <w:p w14:paraId="6D5874C3"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75845C84"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71DE2192" w14:textId="77777777" w:rsidR="00EA3205" w:rsidRPr="00B05F62" w:rsidRDefault="00EA3205" w:rsidP="00EA3205">
            <w:pPr>
              <w:rPr>
                <w:rFonts w:ascii="AcadNusx" w:hAnsi="AcadNusx"/>
              </w:rPr>
            </w:pPr>
            <w:r w:rsidRPr="00B05F62">
              <w:rPr>
                <w:rFonts w:ascii="AcadNusx" w:hAnsi="AcadNusx"/>
              </w:rPr>
              <w:t>398</w:t>
            </w:r>
          </w:p>
        </w:tc>
      </w:tr>
      <w:tr w:rsidR="00EA3205" w:rsidRPr="00B05F62" w14:paraId="753F63B3" w14:textId="77777777" w:rsidTr="00B77B2E">
        <w:tc>
          <w:tcPr>
            <w:tcW w:w="1120" w:type="dxa"/>
            <w:noWrap/>
            <w:hideMark/>
          </w:tcPr>
          <w:p w14:paraId="27715358"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419717EF"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5C7DF1CE"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66B25EB3" w14:textId="77777777" w:rsidR="00EA3205" w:rsidRPr="00B05F62" w:rsidRDefault="00EA3205" w:rsidP="00EA3205">
            <w:pPr>
              <w:rPr>
                <w:rFonts w:ascii="AcadNusx" w:hAnsi="AcadNusx"/>
              </w:rPr>
            </w:pPr>
            <w:r w:rsidRPr="00B05F62">
              <w:rPr>
                <w:rFonts w:ascii="AcadNusx" w:hAnsi="AcadNusx"/>
              </w:rPr>
              <w:t>29,547</w:t>
            </w:r>
          </w:p>
        </w:tc>
        <w:tc>
          <w:tcPr>
            <w:tcW w:w="1668" w:type="dxa"/>
            <w:noWrap/>
            <w:hideMark/>
          </w:tcPr>
          <w:p w14:paraId="63E7E453" w14:textId="77777777" w:rsidR="00EA3205" w:rsidRPr="00B05F62" w:rsidRDefault="00EA3205" w:rsidP="00EA3205">
            <w:pPr>
              <w:rPr>
                <w:rFonts w:ascii="AcadNusx" w:hAnsi="AcadNusx"/>
              </w:rPr>
            </w:pPr>
            <w:r w:rsidRPr="00B05F62">
              <w:rPr>
                <w:rFonts w:ascii="AcadNusx" w:hAnsi="AcadNusx"/>
              </w:rPr>
              <w:t>30,078</w:t>
            </w:r>
          </w:p>
        </w:tc>
        <w:tc>
          <w:tcPr>
            <w:tcW w:w="2839" w:type="dxa"/>
            <w:noWrap/>
            <w:hideMark/>
          </w:tcPr>
          <w:p w14:paraId="522F2230" w14:textId="77777777" w:rsidR="00EA3205" w:rsidRPr="00B05F62" w:rsidRDefault="00EA3205" w:rsidP="00EA3205">
            <w:pPr>
              <w:rPr>
                <w:rFonts w:ascii="AcadNusx" w:hAnsi="AcadNusx"/>
              </w:rPr>
            </w:pPr>
            <w:r w:rsidRPr="00B05F62">
              <w:rPr>
                <w:rFonts w:ascii="AcadNusx" w:hAnsi="AcadNusx"/>
              </w:rPr>
              <w:t>531</w:t>
            </w:r>
          </w:p>
        </w:tc>
      </w:tr>
      <w:tr w:rsidR="00EA3205" w:rsidRPr="00B05F62" w14:paraId="2B0178C1" w14:textId="77777777" w:rsidTr="00B77B2E">
        <w:tc>
          <w:tcPr>
            <w:tcW w:w="1120" w:type="dxa"/>
            <w:noWrap/>
            <w:hideMark/>
          </w:tcPr>
          <w:p w14:paraId="1BE0C92F"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1992CCFE" w14:textId="77777777" w:rsidR="00EA3205" w:rsidRPr="00B05F62" w:rsidRDefault="00EA3205" w:rsidP="00EA3205">
            <w:pPr>
              <w:rPr>
                <w:rFonts w:ascii="AcadNusx" w:hAnsi="AcadNusx"/>
              </w:rPr>
            </w:pPr>
            <w:r w:rsidRPr="00B05F62">
              <w:rPr>
                <w:rFonts w:ascii="AcadNusx" w:hAnsi="AcadNusx"/>
              </w:rPr>
              <w:t>29,547</w:t>
            </w:r>
          </w:p>
        </w:tc>
        <w:tc>
          <w:tcPr>
            <w:tcW w:w="1573" w:type="dxa"/>
            <w:noWrap/>
            <w:hideMark/>
          </w:tcPr>
          <w:p w14:paraId="2FCEF99A" w14:textId="77777777" w:rsidR="00EA3205" w:rsidRPr="00B05F62" w:rsidRDefault="00EA3205" w:rsidP="00EA3205">
            <w:pPr>
              <w:rPr>
                <w:rFonts w:ascii="AcadNusx" w:hAnsi="AcadNusx"/>
              </w:rPr>
            </w:pPr>
            <w:r w:rsidRPr="00B05F62">
              <w:rPr>
                <w:rFonts w:ascii="AcadNusx" w:hAnsi="AcadNusx"/>
              </w:rPr>
              <w:t>29,952</w:t>
            </w:r>
          </w:p>
        </w:tc>
        <w:tc>
          <w:tcPr>
            <w:tcW w:w="1348" w:type="dxa"/>
            <w:noWrap/>
            <w:hideMark/>
          </w:tcPr>
          <w:p w14:paraId="324A4DCE"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6797AEE7"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411DB04E" w14:textId="77777777" w:rsidR="00EA3205" w:rsidRPr="00B05F62" w:rsidRDefault="00EA3205" w:rsidP="00EA3205">
            <w:pPr>
              <w:rPr>
                <w:rFonts w:ascii="AcadNusx" w:hAnsi="AcadNusx"/>
              </w:rPr>
            </w:pPr>
            <w:r w:rsidRPr="00B05F62">
              <w:rPr>
                <w:rFonts w:ascii="AcadNusx" w:hAnsi="AcadNusx"/>
              </w:rPr>
              <w:t>405</w:t>
            </w:r>
          </w:p>
        </w:tc>
      </w:tr>
      <w:tr w:rsidR="00EA3205" w:rsidRPr="00B05F62" w14:paraId="1C5DCF2B" w14:textId="77777777" w:rsidTr="00B77B2E">
        <w:tc>
          <w:tcPr>
            <w:tcW w:w="1120" w:type="dxa"/>
            <w:noWrap/>
            <w:hideMark/>
          </w:tcPr>
          <w:p w14:paraId="72824479" w14:textId="77777777" w:rsidR="00EA3205" w:rsidRPr="00B05F62" w:rsidRDefault="00EA3205" w:rsidP="00EA3205">
            <w:pPr>
              <w:rPr>
                <w:rFonts w:ascii="AcadNusx" w:hAnsi="AcadNusx"/>
              </w:rPr>
            </w:pPr>
            <w:r w:rsidRPr="00B05F62">
              <w:rPr>
                <w:rFonts w:ascii="AcadNusx" w:hAnsi="AcadNusx"/>
              </w:rPr>
              <w:t>602</w:t>
            </w:r>
          </w:p>
        </w:tc>
        <w:tc>
          <w:tcPr>
            <w:tcW w:w="1347" w:type="dxa"/>
            <w:noWrap/>
            <w:hideMark/>
          </w:tcPr>
          <w:p w14:paraId="0A89D749"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6514D2C6"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6AE6EC2A" w14:textId="77777777" w:rsidR="00EA3205" w:rsidRPr="00B05F62" w:rsidRDefault="00EA3205" w:rsidP="00EA3205">
            <w:pPr>
              <w:rPr>
                <w:rFonts w:ascii="AcadNusx" w:hAnsi="AcadNusx"/>
              </w:rPr>
            </w:pPr>
            <w:r w:rsidRPr="00B05F62">
              <w:rPr>
                <w:rFonts w:ascii="AcadNusx" w:hAnsi="AcadNusx"/>
              </w:rPr>
              <w:t>0</w:t>
            </w:r>
          </w:p>
        </w:tc>
        <w:tc>
          <w:tcPr>
            <w:tcW w:w="1668" w:type="dxa"/>
            <w:noWrap/>
            <w:hideMark/>
          </w:tcPr>
          <w:p w14:paraId="37FEF939" w14:textId="77777777" w:rsidR="00EA3205" w:rsidRPr="00B05F62" w:rsidRDefault="00EA3205" w:rsidP="00EA3205">
            <w:pPr>
              <w:rPr>
                <w:rFonts w:ascii="AcadNusx" w:hAnsi="AcadNusx"/>
              </w:rPr>
            </w:pPr>
            <w:r w:rsidRPr="00B05F62">
              <w:rPr>
                <w:rFonts w:ascii="AcadNusx" w:hAnsi="AcadNusx"/>
              </w:rPr>
              <w:t>103</w:t>
            </w:r>
          </w:p>
        </w:tc>
        <w:tc>
          <w:tcPr>
            <w:tcW w:w="2839" w:type="dxa"/>
            <w:noWrap/>
            <w:hideMark/>
          </w:tcPr>
          <w:p w14:paraId="4BABE42F" w14:textId="77777777" w:rsidR="00EA3205" w:rsidRPr="00B05F62" w:rsidRDefault="00EA3205" w:rsidP="00EA3205">
            <w:pPr>
              <w:rPr>
                <w:rFonts w:ascii="AcadNusx" w:hAnsi="AcadNusx"/>
              </w:rPr>
            </w:pPr>
            <w:r w:rsidRPr="00B05F62">
              <w:rPr>
                <w:rFonts w:ascii="AcadNusx" w:hAnsi="AcadNusx"/>
              </w:rPr>
              <w:t>103</w:t>
            </w:r>
          </w:p>
        </w:tc>
      </w:tr>
      <w:tr w:rsidR="00EA3205" w:rsidRPr="00B05F62" w14:paraId="1DE02CC4" w14:textId="77777777" w:rsidTr="00B77B2E">
        <w:tc>
          <w:tcPr>
            <w:tcW w:w="1120" w:type="dxa"/>
            <w:noWrap/>
            <w:hideMark/>
          </w:tcPr>
          <w:p w14:paraId="55E17445" w14:textId="77777777" w:rsidR="00EA3205" w:rsidRPr="00B05F62" w:rsidRDefault="00EA3205" w:rsidP="00EA3205">
            <w:pPr>
              <w:rPr>
                <w:rFonts w:ascii="AcadNusx" w:hAnsi="AcadNusx"/>
              </w:rPr>
            </w:pPr>
            <w:r w:rsidRPr="00B05F62">
              <w:rPr>
                <w:rFonts w:ascii="AcadNusx" w:hAnsi="AcadNusx"/>
              </w:rPr>
              <w:t>605</w:t>
            </w:r>
          </w:p>
        </w:tc>
        <w:tc>
          <w:tcPr>
            <w:tcW w:w="1347" w:type="dxa"/>
            <w:noWrap/>
            <w:hideMark/>
          </w:tcPr>
          <w:p w14:paraId="45365821" w14:textId="77777777" w:rsidR="00EA3205" w:rsidRPr="00B05F62" w:rsidRDefault="00EA3205" w:rsidP="00EA3205">
            <w:pPr>
              <w:rPr>
                <w:rFonts w:ascii="AcadNusx" w:hAnsi="AcadNusx"/>
              </w:rPr>
            </w:pPr>
            <w:r w:rsidRPr="00B05F62">
              <w:rPr>
                <w:rFonts w:ascii="AcadNusx" w:hAnsi="AcadNusx"/>
              </w:rPr>
              <w:t>0</w:t>
            </w:r>
          </w:p>
        </w:tc>
        <w:tc>
          <w:tcPr>
            <w:tcW w:w="1573" w:type="dxa"/>
            <w:noWrap/>
            <w:hideMark/>
          </w:tcPr>
          <w:p w14:paraId="50DFB464" w14:textId="77777777" w:rsidR="00EA3205" w:rsidRPr="00B05F62" w:rsidRDefault="00EA3205" w:rsidP="00EA3205">
            <w:pPr>
              <w:rPr>
                <w:rFonts w:ascii="AcadNusx" w:hAnsi="AcadNusx"/>
              </w:rPr>
            </w:pPr>
            <w:r w:rsidRPr="00B05F62">
              <w:rPr>
                <w:rFonts w:ascii="AcadNusx" w:hAnsi="AcadNusx"/>
              </w:rPr>
              <w:t>138</w:t>
            </w:r>
          </w:p>
        </w:tc>
        <w:tc>
          <w:tcPr>
            <w:tcW w:w="1348" w:type="dxa"/>
            <w:noWrap/>
            <w:hideMark/>
          </w:tcPr>
          <w:p w14:paraId="31184854"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0B9B9CDB"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6BDD24F8" w14:textId="77777777" w:rsidR="00EA3205" w:rsidRPr="00B05F62" w:rsidRDefault="00EA3205" w:rsidP="00EA3205">
            <w:pPr>
              <w:rPr>
                <w:rFonts w:ascii="AcadNusx" w:hAnsi="AcadNusx"/>
              </w:rPr>
            </w:pPr>
            <w:r w:rsidRPr="00B05F62">
              <w:rPr>
                <w:rFonts w:ascii="AcadNusx" w:hAnsi="AcadNusx"/>
              </w:rPr>
              <w:t>138</w:t>
            </w:r>
          </w:p>
        </w:tc>
      </w:tr>
      <w:tr w:rsidR="00EA3205" w:rsidRPr="00B05F62" w14:paraId="5E06D41C" w14:textId="77777777" w:rsidTr="00B77B2E">
        <w:tc>
          <w:tcPr>
            <w:tcW w:w="1120" w:type="dxa"/>
            <w:noWrap/>
            <w:hideMark/>
          </w:tcPr>
          <w:p w14:paraId="3C22199E"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033DA801"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6F62ED86"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413F329B" w14:textId="77777777" w:rsidR="00EA3205" w:rsidRPr="00B05F62" w:rsidRDefault="00EA3205" w:rsidP="00EA3205">
            <w:pPr>
              <w:rPr>
                <w:rFonts w:ascii="AcadNusx" w:hAnsi="AcadNusx"/>
              </w:rPr>
            </w:pPr>
            <w:r w:rsidRPr="00B05F62">
              <w:rPr>
                <w:rFonts w:ascii="AcadNusx" w:hAnsi="AcadNusx"/>
              </w:rPr>
              <w:t>30,257</w:t>
            </w:r>
          </w:p>
        </w:tc>
        <w:tc>
          <w:tcPr>
            <w:tcW w:w="1668" w:type="dxa"/>
            <w:noWrap/>
            <w:hideMark/>
          </w:tcPr>
          <w:p w14:paraId="308537B4" w14:textId="77777777" w:rsidR="00EA3205" w:rsidRPr="00B05F62" w:rsidRDefault="00EA3205" w:rsidP="00EA3205">
            <w:pPr>
              <w:rPr>
                <w:rFonts w:ascii="AcadNusx" w:hAnsi="AcadNusx"/>
              </w:rPr>
            </w:pPr>
            <w:r w:rsidRPr="00B05F62">
              <w:rPr>
                <w:rFonts w:ascii="AcadNusx" w:hAnsi="AcadNusx"/>
              </w:rPr>
              <w:t>32,440</w:t>
            </w:r>
          </w:p>
        </w:tc>
        <w:tc>
          <w:tcPr>
            <w:tcW w:w="2839" w:type="dxa"/>
            <w:noWrap/>
            <w:hideMark/>
          </w:tcPr>
          <w:p w14:paraId="01B6D49A" w14:textId="77777777" w:rsidR="00EA3205" w:rsidRPr="00B05F62" w:rsidRDefault="00EA3205" w:rsidP="00EA3205">
            <w:pPr>
              <w:rPr>
                <w:rFonts w:ascii="AcadNusx" w:hAnsi="AcadNusx"/>
              </w:rPr>
            </w:pPr>
            <w:r w:rsidRPr="00B05F62">
              <w:rPr>
                <w:rFonts w:ascii="AcadNusx" w:hAnsi="AcadNusx"/>
              </w:rPr>
              <w:t>2,183</w:t>
            </w:r>
          </w:p>
        </w:tc>
      </w:tr>
      <w:tr w:rsidR="00EA3205" w:rsidRPr="00B05F62" w14:paraId="0101C8A0" w14:textId="77777777" w:rsidTr="00B77B2E">
        <w:tc>
          <w:tcPr>
            <w:tcW w:w="1120" w:type="dxa"/>
            <w:noWrap/>
            <w:hideMark/>
          </w:tcPr>
          <w:p w14:paraId="470430E8"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06D512FF" w14:textId="77777777" w:rsidR="00EA3205" w:rsidRPr="00B05F62" w:rsidRDefault="00EA3205" w:rsidP="00EA3205">
            <w:pPr>
              <w:rPr>
                <w:rFonts w:ascii="AcadNusx" w:hAnsi="AcadNusx"/>
              </w:rPr>
            </w:pPr>
            <w:r w:rsidRPr="00B05F62">
              <w:rPr>
                <w:rFonts w:ascii="AcadNusx" w:hAnsi="AcadNusx"/>
              </w:rPr>
              <w:t>30,850</w:t>
            </w:r>
          </w:p>
        </w:tc>
        <w:tc>
          <w:tcPr>
            <w:tcW w:w="1573" w:type="dxa"/>
            <w:noWrap/>
            <w:hideMark/>
          </w:tcPr>
          <w:p w14:paraId="37466487" w14:textId="77777777" w:rsidR="00EA3205" w:rsidRPr="00B05F62" w:rsidRDefault="00EA3205" w:rsidP="00EA3205">
            <w:pPr>
              <w:rPr>
                <w:rFonts w:ascii="AcadNusx" w:hAnsi="AcadNusx"/>
              </w:rPr>
            </w:pPr>
            <w:r w:rsidRPr="00B05F62">
              <w:rPr>
                <w:rFonts w:ascii="AcadNusx" w:hAnsi="AcadNusx"/>
              </w:rPr>
              <w:t>31,620</w:t>
            </w:r>
          </w:p>
        </w:tc>
        <w:tc>
          <w:tcPr>
            <w:tcW w:w="1348" w:type="dxa"/>
            <w:noWrap/>
            <w:hideMark/>
          </w:tcPr>
          <w:p w14:paraId="228B691C"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594C1762"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5729FDFD" w14:textId="77777777" w:rsidR="00EA3205" w:rsidRPr="00B05F62" w:rsidRDefault="00EA3205" w:rsidP="00EA3205">
            <w:pPr>
              <w:rPr>
                <w:rFonts w:ascii="AcadNusx" w:hAnsi="AcadNusx"/>
              </w:rPr>
            </w:pPr>
            <w:r w:rsidRPr="00B05F62">
              <w:rPr>
                <w:rFonts w:ascii="AcadNusx" w:hAnsi="AcadNusx"/>
              </w:rPr>
              <w:t>770</w:t>
            </w:r>
          </w:p>
        </w:tc>
      </w:tr>
      <w:tr w:rsidR="00EA3205" w:rsidRPr="00B05F62" w14:paraId="1C4A9802" w14:textId="77777777" w:rsidTr="00B77B2E">
        <w:tc>
          <w:tcPr>
            <w:tcW w:w="1120" w:type="dxa"/>
            <w:noWrap/>
            <w:hideMark/>
          </w:tcPr>
          <w:p w14:paraId="3C7A6350"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3E40CEF4" w14:textId="77777777" w:rsidR="00EA3205" w:rsidRPr="00B05F62" w:rsidRDefault="00EA3205" w:rsidP="00EA3205">
            <w:pPr>
              <w:rPr>
                <w:rFonts w:ascii="AcadNusx" w:hAnsi="AcadNusx"/>
              </w:rPr>
            </w:pPr>
            <w:r w:rsidRPr="00B05F62">
              <w:rPr>
                <w:rFonts w:ascii="AcadNusx" w:hAnsi="AcadNusx"/>
              </w:rPr>
              <w:t>31,790</w:t>
            </w:r>
          </w:p>
        </w:tc>
        <w:tc>
          <w:tcPr>
            <w:tcW w:w="1573" w:type="dxa"/>
            <w:noWrap/>
            <w:hideMark/>
          </w:tcPr>
          <w:p w14:paraId="5750323E" w14:textId="77777777" w:rsidR="00EA3205" w:rsidRPr="00B05F62" w:rsidRDefault="00EA3205" w:rsidP="00EA3205">
            <w:pPr>
              <w:rPr>
                <w:rFonts w:ascii="AcadNusx" w:hAnsi="AcadNusx"/>
              </w:rPr>
            </w:pPr>
            <w:r w:rsidRPr="00B05F62">
              <w:rPr>
                <w:rFonts w:ascii="AcadNusx" w:hAnsi="AcadNusx"/>
              </w:rPr>
              <w:t>32,233</w:t>
            </w:r>
          </w:p>
        </w:tc>
        <w:tc>
          <w:tcPr>
            <w:tcW w:w="1348" w:type="dxa"/>
            <w:noWrap/>
            <w:hideMark/>
          </w:tcPr>
          <w:p w14:paraId="3AA458EE"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4DF46539"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33DC0F7A" w14:textId="77777777" w:rsidR="00EA3205" w:rsidRPr="00B05F62" w:rsidRDefault="00EA3205" w:rsidP="00EA3205">
            <w:pPr>
              <w:rPr>
                <w:rFonts w:ascii="AcadNusx" w:hAnsi="AcadNusx"/>
              </w:rPr>
            </w:pPr>
            <w:r w:rsidRPr="00B05F62">
              <w:rPr>
                <w:rFonts w:ascii="AcadNusx" w:hAnsi="AcadNusx"/>
              </w:rPr>
              <w:t>443</w:t>
            </w:r>
          </w:p>
        </w:tc>
      </w:tr>
      <w:tr w:rsidR="00EA3205" w:rsidRPr="00B05F62" w14:paraId="03FD0B84" w14:textId="77777777" w:rsidTr="00B77B2E">
        <w:tc>
          <w:tcPr>
            <w:tcW w:w="1120" w:type="dxa"/>
            <w:noWrap/>
            <w:hideMark/>
          </w:tcPr>
          <w:p w14:paraId="74B652A6"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118DA6EA"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0249152F"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48BE6C10" w14:textId="77777777" w:rsidR="00EA3205" w:rsidRPr="00B05F62" w:rsidRDefault="00EA3205" w:rsidP="00EA3205">
            <w:pPr>
              <w:rPr>
                <w:rFonts w:ascii="AcadNusx" w:hAnsi="AcadNusx"/>
              </w:rPr>
            </w:pPr>
            <w:r w:rsidRPr="00B05F62">
              <w:rPr>
                <w:rFonts w:ascii="AcadNusx" w:hAnsi="AcadNusx"/>
              </w:rPr>
              <w:t>32,966</w:t>
            </w:r>
          </w:p>
        </w:tc>
        <w:tc>
          <w:tcPr>
            <w:tcW w:w="1668" w:type="dxa"/>
            <w:noWrap/>
            <w:hideMark/>
          </w:tcPr>
          <w:p w14:paraId="4C44804D" w14:textId="77777777" w:rsidR="00EA3205" w:rsidRPr="00B05F62" w:rsidRDefault="00EA3205" w:rsidP="00EA3205">
            <w:pPr>
              <w:rPr>
                <w:rFonts w:ascii="AcadNusx" w:hAnsi="AcadNusx"/>
              </w:rPr>
            </w:pPr>
            <w:r w:rsidRPr="00B05F62">
              <w:rPr>
                <w:rFonts w:ascii="AcadNusx" w:hAnsi="AcadNusx"/>
              </w:rPr>
              <w:t>33,325</w:t>
            </w:r>
          </w:p>
        </w:tc>
        <w:tc>
          <w:tcPr>
            <w:tcW w:w="2839" w:type="dxa"/>
            <w:noWrap/>
            <w:hideMark/>
          </w:tcPr>
          <w:p w14:paraId="7AFAD652" w14:textId="77777777" w:rsidR="00EA3205" w:rsidRPr="00B05F62" w:rsidRDefault="00EA3205" w:rsidP="00EA3205">
            <w:pPr>
              <w:rPr>
                <w:rFonts w:ascii="AcadNusx" w:hAnsi="AcadNusx"/>
              </w:rPr>
            </w:pPr>
            <w:r w:rsidRPr="00B05F62">
              <w:rPr>
                <w:rFonts w:ascii="AcadNusx" w:hAnsi="AcadNusx"/>
              </w:rPr>
              <w:t>359</w:t>
            </w:r>
          </w:p>
        </w:tc>
      </w:tr>
      <w:tr w:rsidR="00EA3205" w:rsidRPr="00B05F62" w14:paraId="317FC724" w14:textId="77777777" w:rsidTr="00B77B2E">
        <w:tc>
          <w:tcPr>
            <w:tcW w:w="1120" w:type="dxa"/>
            <w:noWrap/>
            <w:hideMark/>
          </w:tcPr>
          <w:p w14:paraId="1DAF8705"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71DB89E7" w14:textId="77777777" w:rsidR="00EA3205" w:rsidRPr="00B05F62" w:rsidRDefault="00EA3205" w:rsidP="00EA3205">
            <w:pPr>
              <w:rPr>
                <w:rFonts w:ascii="AcadNusx" w:hAnsi="AcadNusx"/>
              </w:rPr>
            </w:pPr>
            <w:r w:rsidRPr="00B05F62">
              <w:rPr>
                <w:rFonts w:ascii="AcadNusx" w:hAnsi="AcadNusx"/>
              </w:rPr>
              <w:t>33,158</w:t>
            </w:r>
          </w:p>
        </w:tc>
        <w:tc>
          <w:tcPr>
            <w:tcW w:w="1573" w:type="dxa"/>
            <w:noWrap/>
            <w:hideMark/>
          </w:tcPr>
          <w:p w14:paraId="0E4660E0" w14:textId="77777777" w:rsidR="00EA3205" w:rsidRPr="00B05F62" w:rsidRDefault="00EA3205" w:rsidP="00EA3205">
            <w:pPr>
              <w:rPr>
                <w:rFonts w:ascii="AcadNusx" w:hAnsi="AcadNusx"/>
              </w:rPr>
            </w:pPr>
            <w:r w:rsidRPr="00B05F62">
              <w:rPr>
                <w:rFonts w:ascii="AcadNusx" w:hAnsi="AcadNusx"/>
              </w:rPr>
              <w:t>33,870</w:t>
            </w:r>
          </w:p>
        </w:tc>
        <w:tc>
          <w:tcPr>
            <w:tcW w:w="1348" w:type="dxa"/>
            <w:noWrap/>
            <w:hideMark/>
          </w:tcPr>
          <w:p w14:paraId="3CFF31E4" w14:textId="77777777" w:rsidR="00EA3205" w:rsidRPr="00B05F62" w:rsidRDefault="00EA3205" w:rsidP="00EA3205">
            <w:pPr>
              <w:rPr>
                <w:rFonts w:ascii="AcadNusx" w:hAnsi="AcadNusx"/>
              </w:rPr>
            </w:pPr>
            <w:r w:rsidRPr="00B05F62">
              <w:rPr>
                <w:rFonts w:ascii="AcadNusx" w:hAnsi="AcadNusx"/>
              </w:rPr>
              <w:t> </w:t>
            </w:r>
          </w:p>
        </w:tc>
        <w:tc>
          <w:tcPr>
            <w:tcW w:w="1668" w:type="dxa"/>
            <w:noWrap/>
            <w:hideMark/>
          </w:tcPr>
          <w:p w14:paraId="2529BA5E" w14:textId="77777777" w:rsidR="00EA3205" w:rsidRPr="00B05F62" w:rsidRDefault="00EA3205" w:rsidP="00EA3205">
            <w:pPr>
              <w:rPr>
                <w:rFonts w:ascii="AcadNusx" w:hAnsi="AcadNusx"/>
              </w:rPr>
            </w:pPr>
            <w:r w:rsidRPr="00B05F62">
              <w:rPr>
                <w:rFonts w:ascii="AcadNusx" w:hAnsi="AcadNusx"/>
              </w:rPr>
              <w:t> </w:t>
            </w:r>
          </w:p>
        </w:tc>
        <w:tc>
          <w:tcPr>
            <w:tcW w:w="2839" w:type="dxa"/>
            <w:noWrap/>
            <w:hideMark/>
          </w:tcPr>
          <w:p w14:paraId="4CDF6703" w14:textId="77777777" w:rsidR="00EA3205" w:rsidRPr="00B05F62" w:rsidRDefault="00EA3205" w:rsidP="00EA3205">
            <w:pPr>
              <w:rPr>
                <w:rFonts w:ascii="AcadNusx" w:hAnsi="AcadNusx"/>
              </w:rPr>
            </w:pPr>
            <w:r w:rsidRPr="00B05F62">
              <w:rPr>
                <w:rFonts w:ascii="AcadNusx" w:hAnsi="AcadNusx"/>
              </w:rPr>
              <w:t>712</w:t>
            </w:r>
          </w:p>
        </w:tc>
      </w:tr>
      <w:tr w:rsidR="00EA3205" w:rsidRPr="00B05F62" w14:paraId="4A2A88F9" w14:textId="77777777" w:rsidTr="00B77B2E">
        <w:tc>
          <w:tcPr>
            <w:tcW w:w="1120" w:type="dxa"/>
            <w:noWrap/>
            <w:hideMark/>
          </w:tcPr>
          <w:p w14:paraId="0E077CE2" w14:textId="77777777" w:rsidR="00EA3205" w:rsidRPr="00B05F62" w:rsidRDefault="00EA3205" w:rsidP="00EA3205">
            <w:pPr>
              <w:rPr>
                <w:rFonts w:ascii="AcadNusx" w:hAnsi="AcadNusx"/>
              </w:rPr>
            </w:pPr>
            <w:r w:rsidRPr="00B05F62">
              <w:rPr>
                <w:rFonts w:ascii="AcadNusx" w:hAnsi="AcadNusx"/>
              </w:rPr>
              <w:t>100</w:t>
            </w:r>
          </w:p>
        </w:tc>
        <w:tc>
          <w:tcPr>
            <w:tcW w:w="1347" w:type="dxa"/>
            <w:noWrap/>
            <w:hideMark/>
          </w:tcPr>
          <w:p w14:paraId="504EA48C" w14:textId="77777777" w:rsidR="00EA3205" w:rsidRPr="00B05F62" w:rsidRDefault="00EA3205" w:rsidP="00EA3205">
            <w:pPr>
              <w:rPr>
                <w:rFonts w:ascii="AcadNusx" w:hAnsi="AcadNusx"/>
              </w:rPr>
            </w:pPr>
            <w:r w:rsidRPr="00B05F62">
              <w:rPr>
                <w:rFonts w:ascii="AcadNusx" w:hAnsi="AcadNusx"/>
              </w:rPr>
              <w:t> </w:t>
            </w:r>
          </w:p>
        </w:tc>
        <w:tc>
          <w:tcPr>
            <w:tcW w:w="1573" w:type="dxa"/>
            <w:noWrap/>
            <w:hideMark/>
          </w:tcPr>
          <w:p w14:paraId="740B5C68" w14:textId="77777777" w:rsidR="00EA3205" w:rsidRPr="00B05F62" w:rsidRDefault="00EA3205" w:rsidP="00EA3205">
            <w:pPr>
              <w:rPr>
                <w:rFonts w:ascii="AcadNusx" w:hAnsi="AcadNusx"/>
              </w:rPr>
            </w:pPr>
            <w:r w:rsidRPr="00B05F62">
              <w:rPr>
                <w:rFonts w:ascii="AcadNusx" w:hAnsi="AcadNusx"/>
              </w:rPr>
              <w:t> </w:t>
            </w:r>
          </w:p>
        </w:tc>
        <w:tc>
          <w:tcPr>
            <w:tcW w:w="1348" w:type="dxa"/>
            <w:noWrap/>
            <w:hideMark/>
          </w:tcPr>
          <w:p w14:paraId="72E501E8" w14:textId="77777777" w:rsidR="00EA3205" w:rsidRPr="00B05F62" w:rsidRDefault="00EA3205" w:rsidP="00EA3205">
            <w:pPr>
              <w:rPr>
                <w:rFonts w:ascii="AcadNusx" w:hAnsi="AcadNusx"/>
              </w:rPr>
            </w:pPr>
            <w:r w:rsidRPr="00B05F62">
              <w:rPr>
                <w:rFonts w:ascii="AcadNusx" w:hAnsi="AcadNusx"/>
              </w:rPr>
              <w:t>33,780</w:t>
            </w:r>
          </w:p>
        </w:tc>
        <w:tc>
          <w:tcPr>
            <w:tcW w:w="1668" w:type="dxa"/>
            <w:noWrap/>
            <w:hideMark/>
          </w:tcPr>
          <w:p w14:paraId="5687127F" w14:textId="77777777" w:rsidR="00EA3205" w:rsidRPr="00B05F62" w:rsidRDefault="00EA3205" w:rsidP="00EA3205">
            <w:pPr>
              <w:rPr>
                <w:rFonts w:ascii="AcadNusx" w:hAnsi="AcadNusx"/>
              </w:rPr>
            </w:pPr>
            <w:r w:rsidRPr="00B05F62">
              <w:rPr>
                <w:rFonts w:ascii="AcadNusx" w:hAnsi="AcadNusx"/>
              </w:rPr>
              <w:t>34,373</w:t>
            </w:r>
          </w:p>
        </w:tc>
        <w:tc>
          <w:tcPr>
            <w:tcW w:w="2839" w:type="dxa"/>
            <w:noWrap/>
            <w:hideMark/>
          </w:tcPr>
          <w:p w14:paraId="16DD7DA9" w14:textId="77777777" w:rsidR="00EA3205" w:rsidRPr="00B05F62" w:rsidRDefault="00EA3205" w:rsidP="00EA3205">
            <w:pPr>
              <w:rPr>
                <w:rFonts w:ascii="AcadNusx" w:hAnsi="AcadNusx"/>
              </w:rPr>
            </w:pPr>
            <w:r w:rsidRPr="00B05F62">
              <w:rPr>
                <w:rFonts w:ascii="AcadNusx" w:hAnsi="AcadNusx"/>
              </w:rPr>
              <w:t>593</w:t>
            </w:r>
          </w:p>
        </w:tc>
      </w:tr>
      <w:tr w:rsidR="00EA3205" w:rsidRPr="00B05F62" w14:paraId="6A1196E1" w14:textId="77777777" w:rsidTr="00B77B2E">
        <w:tc>
          <w:tcPr>
            <w:tcW w:w="7056" w:type="dxa"/>
            <w:gridSpan w:val="5"/>
            <w:noWrap/>
            <w:hideMark/>
          </w:tcPr>
          <w:p w14:paraId="5CD5845C" w14:textId="36CE2B29" w:rsidR="00EA3205" w:rsidRPr="00EB1823" w:rsidRDefault="00EB1823" w:rsidP="00EA3205">
            <w:pPr>
              <w:rPr>
                <w:rFonts w:ascii="Sylfaen" w:hAnsi="Sylfaen" w:cs="Arial"/>
                <w:lang w:val="ka-GE"/>
              </w:rPr>
            </w:pPr>
            <w:r>
              <w:rPr>
                <w:rFonts w:ascii="Sylfaen" w:hAnsi="Sylfaen" w:cs="Arial"/>
                <w:lang w:val="ka-GE"/>
              </w:rPr>
              <w:t>მთლიანად</w:t>
            </w:r>
          </w:p>
        </w:tc>
        <w:tc>
          <w:tcPr>
            <w:tcW w:w="2839" w:type="dxa"/>
            <w:noWrap/>
            <w:hideMark/>
          </w:tcPr>
          <w:p w14:paraId="06439757" w14:textId="77777777" w:rsidR="00EA3205" w:rsidRPr="00B05F62" w:rsidRDefault="00EA3205" w:rsidP="00EA3205">
            <w:pPr>
              <w:rPr>
                <w:rFonts w:ascii="AcadNusx" w:hAnsi="AcadNusx"/>
              </w:rPr>
            </w:pPr>
            <w:r w:rsidRPr="00B05F62">
              <w:rPr>
                <w:rFonts w:ascii="AcadNusx" w:hAnsi="AcadNusx"/>
              </w:rPr>
              <w:t>36,387</w:t>
            </w:r>
          </w:p>
        </w:tc>
      </w:tr>
    </w:tbl>
    <w:p w14:paraId="3FD6315F" w14:textId="77777777" w:rsidR="00EA3205" w:rsidRPr="00B05F62" w:rsidRDefault="00EA3205" w:rsidP="00EA3205">
      <w:pPr>
        <w:rPr>
          <w:rFonts w:ascii="AcadNusx" w:hAnsi="AcadNusx"/>
        </w:rPr>
      </w:pPr>
    </w:p>
    <w:p w14:paraId="1730D81D" w14:textId="77777777" w:rsidR="00EA3205" w:rsidRPr="00B05F62" w:rsidRDefault="00EA3205" w:rsidP="00EA3205">
      <w:pPr>
        <w:rPr>
          <w:rFonts w:ascii="AcadNusx" w:hAnsi="AcadNusx"/>
        </w:rPr>
      </w:pPr>
      <w:r w:rsidRPr="00B05F62">
        <w:rPr>
          <w:rFonts w:ascii="AcadNusx" w:hAnsi="AcadNusx"/>
        </w:rPr>
        <w:lastRenderedPageBreak/>
        <w:t>saproeqto gzis mSeneblobis gamo, gurjaani-Telavis arsebuli gza mcirediT (5 metriT) unda gadamisamarTdes km 3+492 – km 4+270 monakveTze, gadamisamarTebuli gza imoqmedebs rogorc adgilobrivi misasvleli mimdebare sakuTrebebamde.</w:t>
      </w:r>
    </w:p>
    <w:p w14:paraId="47DF98C4" w14:textId="77777777" w:rsidR="00EA3205" w:rsidRPr="00B05F62" w:rsidRDefault="00EA3205" w:rsidP="00EA3205">
      <w:pPr>
        <w:rPr>
          <w:rFonts w:ascii="AcadNusx" w:hAnsi="AcadNusx"/>
        </w:rPr>
      </w:pPr>
    </w:p>
    <w:p w14:paraId="2836FDF2" w14:textId="21547739" w:rsidR="00EA3205" w:rsidRPr="00B05F62" w:rsidRDefault="00EA3205" w:rsidP="006B0240">
      <w:pPr>
        <w:pStyle w:val="EIAheading2"/>
        <w:rPr>
          <w:rFonts w:ascii="AcadNusx" w:hAnsi="AcadNusx"/>
        </w:rPr>
      </w:pPr>
      <w:bookmarkStart w:id="131" w:name="_Toc529411832"/>
      <w:bookmarkStart w:id="132" w:name="_Toc1581516"/>
      <w:r w:rsidRPr="00EB1823">
        <w:rPr>
          <w:rFonts w:ascii="AcadNusx" w:hAnsi="AcadNusx"/>
        </w:rPr>
        <w:t>4.</w:t>
      </w:r>
      <w:r w:rsidR="00EB1823" w:rsidRPr="00EB1823">
        <w:rPr>
          <w:rFonts w:ascii="AcadNusx" w:hAnsi="AcadNusx"/>
          <w:lang w:val="ka-GE"/>
        </w:rPr>
        <w:t>1</w:t>
      </w:r>
      <w:r w:rsidR="00EA6DAA">
        <w:rPr>
          <w:rFonts w:ascii="Sylfaen" w:hAnsi="Sylfaen"/>
          <w:lang w:val="ka-GE"/>
        </w:rPr>
        <w:t>1</w:t>
      </w:r>
      <w:r w:rsidRPr="00EB1823">
        <w:rPr>
          <w:rFonts w:ascii="AcadNusx" w:hAnsi="AcadNusx"/>
        </w:rPr>
        <w:t xml:space="preserve"> </w:t>
      </w:r>
      <w:r w:rsidR="006B0240">
        <w:rPr>
          <w:rFonts w:ascii="Sylfaen" w:hAnsi="Sylfaen"/>
          <w:lang w:val="ka-GE"/>
        </w:rPr>
        <w:t>საგზაო ნიშნები, მონიშვნა და გზის სხვა კუთვნილებანი</w:t>
      </w:r>
      <w:bookmarkEnd w:id="131"/>
      <w:bookmarkEnd w:id="132"/>
    </w:p>
    <w:p w14:paraId="60B8EFD3" w14:textId="77777777" w:rsidR="00EA3205" w:rsidRPr="00B05F62" w:rsidRDefault="00EA3205" w:rsidP="00EB1823">
      <w:pPr>
        <w:spacing w:before="120" w:after="120"/>
        <w:rPr>
          <w:rFonts w:ascii="AcadNusx" w:hAnsi="AcadNusx"/>
        </w:rPr>
      </w:pPr>
      <w:r w:rsidRPr="00B05F62">
        <w:rPr>
          <w:rFonts w:ascii="AcadNusx" w:hAnsi="AcadNusx"/>
        </w:rPr>
        <w:t xml:space="preserve">saproeqto gzis mTlian sigrZeze ganTavsdeba/moewyoba urTierTTavsebadi sagzao niSnebi da moniSvna. gzaze yvelgan iqneba datanili kideebis da RerZis xazebi. gamoyenebuli iqneba Suqamrekli masalebi (saRebavebi, niSnebi da refleqtorebi). </w:t>
      </w:r>
    </w:p>
    <w:p w14:paraId="5FEBC4DD" w14:textId="77777777" w:rsidR="00EA3205" w:rsidRPr="00B05F62" w:rsidRDefault="00EA3205" w:rsidP="00EB1823">
      <w:pPr>
        <w:spacing w:before="120" w:after="120"/>
        <w:rPr>
          <w:rFonts w:ascii="AcadNusx" w:hAnsi="AcadNusx"/>
        </w:rPr>
      </w:pPr>
      <w:r w:rsidRPr="00B05F62">
        <w:rPr>
          <w:rFonts w:ascii="AcadNusx" w:hAnsi="AcadNusx"/>
        </w:rPr>
        <w:t xml:space="preserve">sagzao niSnebi daidgmeba GOST 10807-78 standartis Sesabamisad, romelic saqarTveloSi sagzao niSnebis maregulirebel moqmed normatiul dokuments warmoadgens. </w:t>
      </w:r>
    </w:p>
    <w:p w14:paraId="6D790A59" w14:textId="77777777" w:rsidR="00EA3205" w:rsidRPr="00B05F62" w:rsidRDefault="00EA3205" w:rsidP="00EB1823">
      <w:pPr>
        <w:spacing w:before="120" w:after="120"/>
        <w:rPr>
          <w:rFonts w:ascii="AcadNusx" w:hAnsi="AcadNusx"/>
        </w:rPr>
      </w:pPr>
      <w:r w:rsidRPr="00B05F62">
        <w:rPr>
          <w:rFonts w:ascii="AcadNusx" w:hAnsi="AcadNusx"/>
        </w:rPr>
        <w:t xml:space="preserve">gzas yvela ubanze eqneba kideebis da RerZis xazebi. sagzao moniSvna moewyoba </w:t>
      </w:r>
      <w:r w:rsidRPr="00F31A39">
        <w:rPr>
          <w:rFonts w:ascii="Sylfaen" w:hAnsi="Sylfaen"/>
        </w:rPr>
        <w:t>GOST</w:t>
      </w:r>
      <w:r w:rsidRPr="00B05F62">
        <w:rPr>
          <w:rFonts w:ascii="AcadNusx" w:hAnsi="AcadNusx"/>
        </w:rPr>
        <w:t xml:space="preserve"> 13508-74 standartis Sesabamisad, romelic aregulirebs saqarTveloSi sagzao moniSvnis mowyobas. kidis xazebi moewyoba audio taqtiluri profilirebuli moniSvniT.</w:t>
      </w:r>
    </w:p>
    <w:p w14:paraId="22DBB1C7" w14:textId="77777777" w:rsidR="00EA3205" w:rsidRPr="00B05F62" w:rsidRDefault="00EA3205" w:rsidP="00EB1823">
      <w:pPr>
        <w:spacing w:before="120" w:after="120"/>
        <w:rPr>
          <w:rFonts w:ascii="AcadNusx" w:hAnsi="AcadNusx"/>
        </w:rPr>
      </w:pPr>
      <w:r w:rsidRPr="00B05F62">
        <w:rPr>
          <w:rFonts w:ascii="AcadNusx" w:hAnsi="AcadNusx"/>
        </w:rPr>
        <w:t>damcavi zRudarebi</w:t>
      </w:r>
    </w:p>
    <w:p w14:paraId="6ABBE7C2" w14:textId="77777777" w:rsidR="00EA3205" w:rsidRPr="00B05F62" w:rsidRDefault="00EA3205" w:rsidP="00EB1823">
      <w:pPr>
        <w:spacing w:before="120" w:after="120"/>
        <w:rPr>
          <w:rFonts w:ascii="AcadNusx" w:hAnsi="AcadNusx"/>
        </w:rPr>
      </w:pPr>
      <w:r w:rsidRPr="00B05F62">
        <w:rPr>
          <w:rFonts w:ascii="AcadNusx" w:hAnsi="AcadNusx"/>
        </w:rPr>
        <w:t xml:space="preserve">sadac miwayrilebis vertikaluri simaRle 3 metrs aRemateba, gzis napiris gaswvriv daidgmeba Sejaxebisgan damcavi zRudarebi, romlebic 15-15 m-iT iqnebian gadasuli gzis dasacavi ubnis orive mxares. </w:t>
      </w:r>
    </w:p>
    <w:p w14:paraId="172EF965" w14:textId="77777777" w:rsidR="00EA3205" w:rsidRPr="00B05F62" w:rsidRDefault="00EA3205" w:rsidP="00EB1823">
      <w:pPr>
        <w:spacing w:before="120" w:after="120"/>
        <w:rPr>
          <w:rFonts w:ascii="AcadNusx" w:hAnsi="AcadNusx"/>
          <w:lang w:val="it-IT"/>
        </w:rPr>
      </w:pPr>
      <w:r w:rsidRPr="00B05F62">
        <w:rPr>
          <w:rFonts w:ascii="AcadNusx" w:hAnsi="AcadNusx"/>
        </w:rPr>
        <w:t>zRudarebi unda akmayofilebdnen saxelmwifo standartebis moTxovnebs da iyon gamarTul mdgomareobaSi. mkveTr qanobebian da mcire radiusebian monakveTebze, sadac didgabaritiani avtomobilebis gzidan gadasvlis gazrdili safrTxe arsebobs, riskis Sesamcireblad unda daidgas sakmarisi simtkicis da simaRlis zRudarebi. zRudarebi aRWurvili unda iyon SuqamreklebiT.</w:t>
      </w:r>
    </w:p>
    <w:p w14:paraId="41D23DF4" w14:textId="77777777" w:rsidR="00EA3205" w:rsidRPr="00EB1823" w:rsidRDefault="00EA3205" w:rsidP="00EB1823">
      <w:pPr>
        <w:spacing w:before="120" w:after="120"/>
        <w:rPr>
          <w:rFonts w:ascii="AcadNusx" w:hAnsi="AcadNusx"/>
          <w:lang w:val="it-IT"/>
        </w:rPr>
      </w:pPr>
      <w:r w:rsidRPr="00EB1823">
        <w:rPr>
          <w:rFonts w:ascii="AcadNusx" w:hAnsi="AcadNusx"/>
          <w:lang w:val="it-IT"/>
        </w:rPr>
        <w:t xml:space="preserve">Zalzed mniSvnelovania zRudari saxifaTo zonamde sakmarisad adre iwyebidos. aseTi damatebiTi sigrZe damokidebulia gzaze moZraobis siCqaresa da manZilze zRudarasa da gzis napirs Soris. </w:t>
      </w:r>
    </w:p>
    <w:p w14:paraId="38C762CE" w14:textId="77777777" w:rsidR="00EA3205" w:rsidRPr="00EB1823" w:rsidRDefault="00EA3205" w:rsidP="00EB1823">
      <w:pPr>
        <w:spacing w:before="120" w:after="120"/>
        <w:rPr>
          <w:rFonts w:ascii="AcadNusx" w:hAnsi="AcadNusx"/>
          <w:lang w:val="it-IT"/>
        </w:rPr>
      </w:pPr>
      <w:r w:rsidRPr="00EB1823">
        <w:rPr>
          <w:rFonts w:ascii="AcadNusx" w:hAnsi="AcadNusx"/>
          <w:lang w:val="it-IT"/>
        </w:rPr>
        <w:t xml:space="preserve">sasurvelia zRudarebis kideebi Seikecon 1:20 kuTxiT. es damatebiTi sigrZe SeiZleba gaTvaliswinebul iqnas dasacavi monakveTis sigrZeSi. aseve zRudarebis bolo 15-15 metris TandaTanobiT miwisken daSveba. amasTan, aseTi daSvebuli nawili ar gaiTvaliswineba zRudaris sigrZis gansazRvrisas. zRudarebi unda Seesabamebodes </w:t>
      </w:r>
      <w:r w:rsidRPr="00EA6DAA">
        <w:rPr>
          <w:rFonts w:ascii="Sylfaen" w:hAnsi="Sylfaen"/>
          <w:lang w:val="it-IT"/>
        </w:rPr>
        <w:t>EN</w:t>
      </w:r>
      <w:r w:rsidRPr="00EB1823">
        <w:rPr>
          <w:rFonts w:ascii="AcadNusx" w:hAnsi="AcadNusx"/>
          <w:lang w:val="it-IT"/>
        </w:rPr>
        <w:t xml:space="preserve"> 1317–is Semakavebel </w:t>
      </w:r>
      <w:r w:rsidRPr="00EA6DAA">
        <w:rPr>
          <w:rFonts w:ascii="Sylfaen" w:hAnsi="Sylfaen"/>
          <w:lang w:val="it-IT"/>
        </w:rPr>
        <w:t>H1</w:t>
      </w:r>
      <w:r w:rsidRPr="00EB1823">
        <w:rPr>
          <w:rFonts w:ascii="AcadNusx" w:hAnsi="AcadNusx"/>
          <w:lang w:val="it-IT"/>
        </w:rPr>
        <w:t xml:space="preserve"> dones da Sejaxebis </w:t>
      </w:r>
      <w:r w:rsidRPr="00EA6DAA">
        <w:rPr>
          <w:rFonts w:ascii="Sylfaen" w:hAnsi="Sylfaen"/>
          <w:lang w:val="it-IT"/>
        </w:rPr>
        <w:t>A</w:t>
      </w:r>
      <w:r w:rsidRPr="00EB1823">
        <w:rPr>
          <w:rFonts w:ascii="AcadNusx" w:hAnsi="AcadNusx"/>
          <w:lang w:val="it-IT"/>
        </w:rPr>
        <w:t xml:space="preserve"> klass.</w:t>
      </w:r>
    </w:p>
    <w:p w14:paraId="5B97FB87" w14:textId="41783856" w:rsidR="00EA3205" w:rsidRPr="00B05F62" w:rsidRDefault="00EA3205" w:rsidP="00EB1823">
      <w:pPr>
        <w:spacing w:before="120" w:after="120"/>
        <w:rPr>
          <w:rFonts w:ascii="AcadNusx" w:hAnsi="AcadNusx"/>
        </w:rPr>
      </w:pPr>
      <w:r w:rsidRPr="00B05F62">
        <w:rPr>
          <w:rFonts w:ascii="AcadNusx" w:hAnsi="AcadNusx"/>
        </w:rPr>
        <w:t>qvemoT cxrilSi 4.</w:t>
      </w:r>
      <w:r w:rsidR="005C0EEC">
        <w:rPr>
          <w:rFonts w:ascii="Sylfaen" w:hAnsi="Sylfaen"/>
          <w:lang w:val="ka-GE"/>
        </w:rPr>
        <w:t>1</w:t>
      </w:r>
      <w:r w:rsidR="00EA6DAA">
        <w:rPr>
          <w:rFonts w:ascii="Sylfaen" w:hAnsi="Sylfaen"/>
          <w:lang w:val="ka-GE"/>
        </w:rPr>
        <w:t>1</w:t>
      </w:r>
      <w:r w:rsidRPr="00B05F62">
        <w:rPr>
          <w:rFonts w:ascii="AcadNusx" w:hAnsi="AcadNusx"/>
        </w:rPr>
        <w:t>.</w:t>
      </w:r>
      <w:r w:rsidR="005C0EEC">
        <w:rPr>
          <w:rFonts w:ascii="Sylfaen" w:hAnsi="Sylfaen"/>
          <w:lang w:val="ka-GE"/>
        </w:rPr>
        <w:t>-</w:t>
      </w:r>
      <w:r w:rsidRPr="00B05F62">
        <w:rPr>
          <w:rFonts w:ascii="AcadNusx" w:hAnsi="AcadNusx"/>
        </w:rPr>
        <w:t>1 warmodgenilia zRudarebis winaswari adgilmdebareobani.</w:t>
      </w:r>
    </w:p>
    <w:p w14:paraId="4748F32C" w14:textId="3E1BBA34" w:rsidR="00EA3205" w:rsidRPr="00B05F62" w:rsidRDefault="00EA3205" w:rsidP="00EB1823">
      <w:pPr>
        <w:spacing w:before="120" w:after="120"/>
        <w:rPr>
          <w:rFonts w:ascii="AcadNusx" w:hAnsi="AcadNusx"/>
        </w:rPr>
      </w:pPr>
      <w:r w:rsidRPr="00B05F62">
        <w:rPr>
          <w:rFonts w:ascii="AcadNusx" w:hAnsi="AcadNusx"/>
        </w:rPr>
        <w:t>cxrili 4.</w:t>
      </w:r>
      <w:r w:rsidR="00142B71">
        <w:rPr>
          <w:rFonts w:ascii="Sylfaen" w:hAnsi="Sylfaen"/>
          <w:lang w:val="ka-GE"/>
        </w:rPr>
        <w:t>1</w:t>
      </w:r>
      <w:r w:rsidR="005C0EEC">
        <w:rPr>
          <w:rFonts w:ascii="Sylfaen" w:hAnsi="Sylfaen"/>
          <w:lang w:val="ka-GE"/>
        </w:rPr>
        <w:t>1-</w:t>
      </w:r>
      <w:r w:rsidRPr="00B05F62">
        <w:rPr>
          <w:rFonts w:ascii="AcadNusx" w:hAnsi="AcadNusx"/>
        </w:rPr>
        <w:t>.1: zRudarebis adgilmdebareoba</w:t>
      </w:r>
    </w:p>
    <w:tbl>
      <w:tblPr>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
        <w:gridCol w:w="1499"/>
        <w:gridCol w:w="1499"/>
        <w:gridCol w:w="1499"/>
        <w:gridCol w:w="1499"/>
        <w:gridCol w:w="1848"/>
      </w:tblGrid>
      <w:tr w:rsidR="00EA3205" w:rsidRPr="00B05F62" w14:paraId="6A577E2F" w14:textId="77777777" w:rsidTr="00F31A39">
        <w:trPr>
          <w:tblHeader/>
        </w:trPr>
        <w:tc>
          <w:tcPr>
            <w:tcW w:w="15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6DFFC9" w14:textId="77777777" w:rsidR="00EA3205" w:rsidRPr="00B05F62" w:rsidRDefault="00EA3205" w:rsidP="00EA3205">
            <w:pPr>
              <w:rPr>
                <w:rFonts w:ascii="AcadNusx" w:hAnsi="AcadNusx"/>
              </w:rPr>
            </w:pPr>
            <w:r w:rsidRPr="00B05F62">
              <w:rPr>
                <w:rFonts w:ascii="AcadNusx" w:hAnsi="AcadNusx"/>
              </w:rPr>
              <w:t>RerZis xaris #</w:t>
            </w:r>
          </w:p>
        </w:tc>
        <w:tc>
          <w:tcPr>
            <w:tcW w:w="5996" w:type="dxa"/>
            <w:gridSpan w:val="4"/>
            <w:tcBorders>
              <w:top w:val="single" w:sz="4" w:space="0" w:color="auto"/>
              <w:left w:val="single" w:sz="4" w:space="0" w:color="auto"/>
              <w:bottom w:val="nil"/>
              <w:right w:val="single" w:sz="4" w:space="0" w:color="auto"/>
            </w:tcBorders>
            <w:shd w:val="clear" w:color="auto" w:fill="BFBFBF" w:themeFill="background1" w:themeFillShade="BF"/>
            <w:vAlign w:val="center"/>
            <w:hideMark/>
          </w:tcPr>
          <w:p w14:paraId="17FABE54" w14:textId="77777777" w:rsidR="00EA3205" w:rsidRPr="00B05F62" w:rsidRDefault="00EA3205" w:rsidP="00EA3205">
            <w:pPr>
              <w:rPr>
                <w:rFonts w:ascii="AcadNusx" w:hAnsi="AcadNusx"/>
              </w:rPr>
            </w:pPr>
            <w:r w:rsidRPr="00B05F62">
              <w:rPr>
                <w:rFonts w:ascii="AcadNusx" w:hAnsi="AcadNusx"/>
              </w:rPr>
              <w:t>kilometraJi (m)</w:t>
            </w:r>
          </w:p>
        </w:tc>
        <w:tc>
          <w:tcPr>
            <w:tcW w:w="1848" w:type="dxa"/>
            <w:tcBorders>
              <w:top w:val="single" w:sz="4" w:space="0" w:color="auto"/>
              <w:left w:val="single" w:sz="4" w:space="0" w:color="auto"/>
              <w:bottom w:val="nil"/>
              <w:right w:val="single" w:sz="4" w:space="0" w:color="auto"/>
            </w:tcBorders>
            <w:shd w:val="clear" w:color="auto" w:fill="BFBFBF" w:themeFill="background1" w:themeFillShade="BF"/>
            <w:vAlign w:val="center"/>
            <w:hideMark/>
          </w:tcPr>
          <w:p w14:paraId="09645D2F" w14:textId="77777777" w:rsidR="00EA3205" w:rsidRPr="00B05F62" w:rsidRDefault="00EA3205" w:rsidP="00EA3205">
            <w:pPr>
              <w:rPr>
                <w:rFonts w:ascii="AcadNusx" w:hAnsi="AcadNusx"/>
              </w:rPr>
            </w:pPr>
            <w:r w:rsidRPr="00B05F62">
              <w:rPr>
                <w:rFonts w:ascii="AcadNusx" w:hAnsi="AcadNusx"/>
              </w:rPr>
              <w:t xml:space="preserve">sigrZe </w:t>
            </w:r>
          </w:p>
        </w:tc>
      </w:tr>
      <w:tr w:rsidR="00EA3205" w:rsidRPr="00B05F62" w14:paraId="2CDA331B" w14:textId="77777777" w:rsidTr="00F31A39">
        <w:trPr>
          <w:tblHead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990AE10" w14:textId="77777777" w:rsidR="00EA3205" w:rsidRPr="00B05F62" w:rsidRDefault="00EA3205" w:rsidP="00EA3205">
            <w:pPr>
              <w:rPr>
                <w:rFonts w:ascii="AcadNusx" w:hAnsi="AcadNusx"/>
              </w:rPr>
            </w:pPr>
          </w:p>
        </w:tc>
        <w:tc>
          <w:tcPr>
            <w:tcW w:w="2998" w:type="dxa"/>
            <w:gridSpan w:val="2"/>
            <w:tcBorders>
              <w:top w:val="nil"/>
              <w:left w:val="single" w:sz="4" w:space="0" w:color="auto"/>
              <w:bottom w:val="nil"/>
              <w:right w:val="single" w:sz="4" w:space="0" w:color="auto"/>
            </w:tcBorders>
            <w:shd w:val="clear" w:color="auto" w:fill="BFBFBF" w:themeFill="background1" w:themeFillShade="BF"/>
            <w:vAlign w:val="center"/>
            <w:hideMark/>
          </w:tcPr>
          <w:p w14:paraId="7E725F3F" w14:textId="77777777" w:rsidR="00EA3205" w:rsidRPr="00B05F62" w:rsidRDefault="00EA3205" w:rsidP="00EA3205">
            <w:pPr>
              <w:rPr>
                <w:rFonts w:ascii="AcadNusx" w:hAnsi="AcadNusx"/>
              </w:rPr>
            </w:pPr>
            <w:r w:rsidRPr="00B05F62">
              <w:rPr>
                <w:rFonts w:ascii="AcadNusx" w:hAnsi="AcadNusx"/>
              </w:rPr>
              <w:t>marcxena</w:t>
            </w:r>
          </w:p>
        </w:tc>
        <w:tc>
          <w:tcPr>
            <w:tcW w:w="2998" w:type="dxa"/>
            <w:gridSpan w:val="2"/>
            <w:tcBorders>
              <w:top w:val="nil"/>
              <w:left w:val="single" w:sz="4" w:space="0" w:color="auto"/>
              <w:bottom w:val="nil"/>
              <w:right w:val="single" w:sz="4" w:space="0" w:color="auto"/>
            </w:tcBorders>
            <w:shd w:val="clear" w:color="auto" w:fill="BFBFBF" w:themeFill="background1" w:themeFillShade="BF"/>
            <w:vAlign w:val="center"/>
            <w:hideMark/>
          </w:tcPr>
          <w:p w14:paraId="04BCE003" w14:textId="77777777" w:rsidR="00EA3205" w:rsidRPr="00B05F62" w:rsidRDefault="00EA3205" w:rsidP="00EA3205">
            <w:pPr>
              <w:rPr>
                <w:rFonts w:ascii="AcadNusx" w:hAnsi="AcadNusx"/>
              </w:rPr>
            </w:pPr>
            <w:r w:rsidRPr="00B05F62">
              <w:rPr>
                <w:rFonts w:ascii="AcadNusx" w:hAnsi="AcadNusx"/>
              </w:rPr>
              <w:t>marjvena</w:t>
            </w:r>
          </w:p>
        </w:tc>
        <w:tc>
          <w:tcPr>
            <w:tcW w:w="1848" w:type="dxa"/>
            <w:tcBorders>
              <w:top w:val="nil"/>
              <w:left w:val="single" w:sz="4" w:space="0" w:color="auto"/>
              <w:bottom w:val="nil"/>
              <w:right w:val="single" w:sz="4" w:space="0" w:color="auto"/>
            </w:tcBorders>
            <w:shd w:val="clear" w:color="auto" w:fill="BFBFBF" w:themeFill="background1" w:themeFillShade="BF"/>
            <w:vAlign w:val="center"/>
          </w:tcPr>
          <w:p w14:paraId="5CEA8AC3" w14:textId="77777777" w:rsidR="00EA3205" w:rsidRPr="00B05F62" w:rsidRDefault="00EA3205" w:rsidP="00EA3205">
            <w:pPr>
              <w:rPr>
                <w:rFonts w:ascii="AcadNusx" w:hAnsi="AcadNusx"/>
              </w:rPr>
            </w:pPr>
          </w:p>
        </w:tc>
      </w:tr>
      <w:tr w:rsidR="00EA3205" w:rsidRPr="00B05F62" w14:paraId="475BD613" w14:textId="77777777" w:rsidTr="00F31A39">
        <w:trPr>
          <w:tblHead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9E76B99" w14:textId="77777777" w:rsidR="00EA3205" w:rsidRPr="00B05F62" w:rsidRDefault="00EA3205" w:rsidP="00EA3205">
            <w:pPr>
              <w:rPr>
                <w:rFonts w:ascii="AcadNusx" w:hAnsi="AcadNusx"/>
              </w:rPr>
            </w:pPr>
          </w:p>
        </w:tc>
        <w:tc>
          <w:tcPr>
            <w:tcW w:w="1499"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4E17AFC9" w14:textId="77777777" w:rsidR="00EA3205" w:rsidRPr="00B05F62" w:rsidRDefault="00EA3205" w:rsidP="00EA3205">
            <w:pPr>
              <w:rPr>
                <w:rFonts w:ascii="AcadNusx" w:hAnsi="AcadNusx"/>
              </w:rPr>
            </w:pPr>
            <w:r w:rsidRPr="00B05F62">
              <w:rPr>
                <w:rFonts w:ascii="AcadNusx" w:hAnsi="AcadNusx"/>
              </w:rPr>
              <w:t>dasawyisi</w:t>
            </w:r>
          </w:p>
        </w:tc>
        <w:tc>
          <w:tcPr>
            <w:tcW w:w="1499"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7DBF9EBD" w14:textId="77777777" w:rsidR="00EA3205" w:rsidRPr="00B05F62" w:rsidRDefault="00EA3205" w:rsidP="00EA3205">
            <w:pPr>
              <w:rPr>
                <w:rFonts w:ascii="AcadNusx" w:hAnsi="AcadNusx"/>
              </w:rPr>
            </w:pPr>
            <w:r w:rsidRPr="00B05F62">
              <w:rPr>
                <w:rFonts w:ascii="AcadNusx" w:hAnsi="AcadNusx"/>
              </w:rPr>
              <w:t>dasasruli</w:t>
            </w:r>
          </w:p>
        </w:tc>
        <w:tc>
          <w:tcPr>
            <w:tcW w:w="1499"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3B39A801" w14:textId="77777777" w:rsidR="00EA3205" w:rsidRPr="00B05F62" w:rsidRDefault="00EA3205" w:rsidP="00EA3205">
            <w:pPr>
              <w:rPr>
                <w:rFonts w:ascii="AcadNusx" w:hAnsi="AcadNusx"/>
              </w:rPr>
            </w:pPr>
            <w:r w:rsidRPr="00B05F62">
              <w:rPr>
                <w:rFonts w:ascii="AcadNusx" w:hAnsi="AcadNusx"/>
              </w:rPr>
              <w:t>dasawyisi</w:t>
            </w:r>
          </w:p>
        </w:tc>
        <w:tc>
          <w:tcPr>
            <w:tcW w:w="1499"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2DEF0535" w14:textId="77777777" w:rsidR="00EA3205" w:rsidRPr="00B05F62" w:rsidRDefault="00EA3205" w:rsidP="00EA3205">
            <w:pPr>
              <w:rPr>
                <w:rFonts w:ascii="AcadNusx" w:hAnsi="AcadNusx"/>
              </w:rPr>
            </w:pPr>
            <w:r w:rsidRPr="00B05F62">
              <w:rPr>
                <w:rFonts w:ascii="AcadNusx" w:hAnsi="AcadNusx"/>
              </w:rPr>
              <w:t>dasasruli</w:t>
            </w:r>
          </w:p>
        </w:tc>
        <w:tc>
          <w:tcPr>
            <w:tcW w:w="1848"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45A789BC" w14:textId="77777777" w:rsidR="00EA3205" w:rsidRPr="00B05F62" w:rsidRDefault="00EA3205" w:rsidP="00EA3205">
            <w:pPr>
              <w:rPr>
                <w:rFonts w:ascii="AcadNusx" w:hAnsi="AcadNusx"/>
              </w:rPr>
            </w:pPr>
            <w:r w:rsidRPr="00B05F62">
              <w:rPr>
                <w:rFonts w:ascii="AcadNusx" w:hAnsi="AcadNusx"/>
              </w:rPr>
              <w:t>(m)</w:t>
            </w:r>
          </w:p>
        </w:tc>
      </w:tr>
      <w:tr w:rsidR="00EA3205" w:rsidRPr="00B05F62" w14:paraId="0398430E"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29307C82"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4254664"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50A48E3"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69B0F25" w14:textId="77777777" w:rsidR="00EA3205" w:rsidRPr="00B05F62" w:rsidRDefault="00EA3205" w:rsidP="00EA3205">
            <w:pPr>
              <w:rPr>
                <w:rFonts w:ascii="AcadNusx" w:hAnsi="AcadNusx"/>
              </w:rPr>
            </w:pPr>
            <w:r w:rsidRPr="00B05F62">
              <w:rPr>
                <w:rFonts w:ascii="AcadNusx" w:hAnsi="AcadNusx"/>
              </w:rPr>
              <w:t>150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5A0E0C0" w14:textId="77777777" w:rsidR="00EA3205" w:rsidRPr="00B05F62" w:rsidRDefault="00EA3205" w:rsidP="00EA3205">
            <w:pPr>
              <w:rPr>
                <w:rFonts w:ascii="AcadNusx" w:hAnsi="AcadNusx"/>
              </w:rPr>
            </w:pPr>
            <w:r w:rsidRPr="00B05F62">
              <w:rPr>
                <w:rFonts w:ascii="AcadNusx" w:hAnsi="AcadNusx"/>
              </w:rPr>
              <w:t>542</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57DAE537" w14:textId="77777777" w:rsidR="00EA3205" w:rsidRPr="00B05F62" w:rsidRDefault="00EA3205" w:rsidP="00EA3205">
            <w:pPr>
              <w:rPr>
                <w:rFonts w:ascii="AcadNusx" w:hAnsi="AcadNusx"/>
              </w:rPr>
            </w:pPr>
            <w:r w:rsidRPr="00B05F62">
              <w:rPr>
                <w:rFonts w:ascii="AcadNusx" w:hAnsi="AcadNusx"/>
              </w:rPr>
              <w:t>392</w:t>
            </w:r>
          </w:p>
        </w:tc>
      </w:tr>
      <w:tr w:rsidR="00EA3205" w:rsidRPr="00B05F62" w14:paraId="0FB41FCE"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3511BEC"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9A8EA2D" w14:textId="77777777" w:rsidR="00EA3205" w:rsidRPr="00B05F62" w:rsidRDefault="00EA3205" w:rsidP="00EA3205">
            <w:pPr>
              <w:rPr>
                <w:rFonts w:ascii="AcadNusx" w:hAnsi="AcadNusx"/>
              </w:rPr>
            </w:pPr>
            <w:r w:rsidRPr="00B05F62">
              <w:rPr>
                <w:rFonts w:ascii="AcadNusx" w:hAnsi="AcadNusx"/>
              </w:rPr>
              <w:t>187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02C9817" w14:textId="77777777" w:rsidR="00EA3205" w:rsidRPr="00B05F62" w:rsidRDefault="00EA3205" w:rsidP="00EA3205">
            <w:pPr>
              <w:rPr>
                <w:rFonts w:ascii="AcadNusx" w:hAnsi="AcadNusx"/>
              </w:rPr>
            </w:pPr>
            <w:r w:rsidRPr="00B05F62">
              <w:rPr>
                <w:rFonts w:ascii="AcadNusx" w:hAnsi="AcadNusx"/>
              </w:rPr>
              <w:t>260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9D38FBD"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43DEFEC"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2729F54C" w14:textId="77777777" w:rsidR="00EA3205" w:rsidRPr="00B05F62" w:rsidRDefault="00EA3205" w:rsidP="00EA3205">
            <w:pPr>
              <w:rPr>
                <w:rFonts w:ascii="AcadNusx" w:hAnsi="AcadNusx"/>
              </w:rPr>
            </w:pPr>
            <w:r w:rsidRPr="00B05F62">
              <w:rPr>
                <w:rFonts w:ascii="AcadNusx" w:hAnsi="AcadNusx"/>
              </w:rPr>
              <w:t>73</w:t>
            </w:r>
          </w:p>
        </w:tc>
      </w:tr>
      <w:tr w:rsidR="00EA3205" w:rsidRPr="00B05F62" w14:paraId="7B738449"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C34E859"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4C24EE2" w14:textId="77777777" w:rsidR="00EA3205" w:rsidRPr="00B05F62" w:rsidRDefault="00EA3205" w:rsidP="00EA3205">
            <w:pPr>
              <w:rPr>
                <w:rFonts w:ascii="AcadNusx" w:hAnsi="AcadNusx"/>
              </w:rPr>
            </w:pPr>
            <w:r w:rsidRPr="00B05F62">
              <w:rPr>
                <w:rFonts w:ascii="AcadNusx" w:hAnsi="AcadNusx"/>
              </w:rPr>
              <w:t>353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D5928EB" w14:textId="77777777" w:rsidR="00EA3205" w:rsidRPr="00B05F62" w:rsidRDefault="00EA3205" w:rsidP="00EA3205">
            <w:pPr>
              <w:rPr>
                <w:rFonts w:ascii="AcadNusx" w:hAnsi="AcadNusx"/>
              </w:rPr>
            </w:pPr>
            <w:r w:rsidRPr="00B05F62">
              <w:rPr>
                <w:rFonts w:ascii="AcadNusx" w:hAnsi="AcadNusx"/>
              </w:rPr>
              <w:t>542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08379AB"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EDF54BC"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18C2924E" w14:textId="77777777" w:rsidR="00EA3205" w:rsidRPr="00B05F62" w:rsidRDefault="00EA3205" w:rsidP="00EA3205">
            <w:pPr>
              <w:rPr>
                <w:rFonts w:ascii="AcadNusx" w:hAnsi="AcadNusx"/>
              </w:rPr>
            </w:pPr>
            <w:r w:rsidRPr="00B05F62">
              <w:rPr>
                <w:rFonts w:ascii="AcadNusx" w:hAnsi="AcadNusx"/>
              </w:rPr>
              <w:t>189</w:t>
            </w:r>
          </w:p>
        </w:tc>
      </w:tr>
      <w:tr w:rsidR="00EA3205" w:rsidRPr="00B05F62" w14:paraId="58768A36"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19A6EF70"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43C6C89" w14:textId="77777777" w:rsidR="00EA3205" w:rsidRPr="00B05F62" w:rsidRDefault="00EA3205" w:rsidP="00EA3205">
            <w:pPr>
              <w:rPr>
                <w:rFonts w:ascii="AcadNusx" w:hAnsi="AcadNusx"/>
              </w:rPr>
            </w:pPr>
            <w:r w:rsidRPr="00B05F62">
              <w:rPr>
                <w:rFonts w:ascii="AcadNusx" w:hAnsi="AcadNusx"/>
              </w:rPr>
              <w:t>572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D1C9D3D" w14:textId="77777777" w:rsidR="00EA3205" w:rsidRPr="00B05F62" w:rsidRDefault="00EA3205" w:rsidP="00EA3205">
            <w:pPr>
              <w:rPr>
                <w:rFonts w:ascii="AcadNusx" w:hAnsi="AcadNusx"/>
              </w:rPr>
            </w:pPr>
            <w:r w:rsidRPr="00B05F62">
              <w:rPr>
                <w:rFonts w:ascii="AcadNusx" w:hAnsi="AcadNusx"/>
              </w:rPr>
              <w:t>634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DC8DBFE"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DAC66E8"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19F49EA3" w14:textId="77777777" w:rsidR="00EA3205" w:rsidRPr="00B05F62" w:rsidRDefault="00EA3205" w:rsidP="00EA3205">
            <w:pPr>
              <w:rPr>
                <w:rFonts w:ascii="AcadNusx" w:hAnsi="AcadNusx"/>
              </w:rPr>
            </w:pPr>
            <w:r w:rsidRPr="00B05F62">
              <w:rPr>
                <w:rFonts w:ascii="AcadNusx" w:hAnsi="AcadNusx"/>
              </w:rPr>
              <w:t>62</w:t>
            </w:r>
          </w:p>
        </w:tc>
      </w:tr>
      <w:tr w:rsidR="00EA3205" w:rsidRPr="00B05F62" w14:paraId="2BE6E884"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56A11FE5"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E516BB4"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49DDE97"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77106A0" w14:textId="77777777" w:rsidR="00EA3205" w:rsidRPr="00B05F62" w:rsidRDefault="00EA3205" w:rsidP="00EA3205">
            <w:pPr>
              <w:rPr>
                <w:rFonts w:ascii="AcadNusx" w:hAnsi="AcadNusx"/>
              </w:rPr>
            </w:pPr>
            <w:r w:rsidRPr="00B05F62">
              <w:rPr>
                <w:rFonts w:ascii="AcadNusx" w:hAnsi="AcadNusx"/>
              </w:rPr>
              <w:t>572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617CB58" w14:textId="77777777" w:rsidR="00EA3205" w:rsidRPr="00B05F62" w:rsidRDefault="00EA3205" w:rsidP="00EA3205">
            <w:pPr>
              <w:rPr>
                <w:rFonts w:ascii="AcadNusx" w:hAnsi="AcadNusx"/>
              </w:rPr>
            </w:pPr>
            <w:r w:rsidRPr="00B05F62">
              <w:rPr>
                <w:rFonts w:ascii="AcadNusx" w:hAnsi="AcadNusx"/>
              </w:rPr>
              <w:t>592</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29E0B0AF" w14:textId="77777777" w:rsidR="00EA3205" w:rsidRPr="00B05F62" w:rsidRDefault="00EA3205" w:rsidP="00EA3205">
            <w:pPr>
              <w:rPr>
                <w:rFonts w:ascii="AcadNusx" w:hAnsi="AcadNusx"/>
              </w:rPr>
            </w:pPr>
            <w:r w:rsidRPr="00B05F62">
              <w:rPr>
                <w:rFonts w:ascii="AcadNusx" w:hAnsi="AcadNusx"/>
              </w:rPr>
              <w:t>20</w:t>
            </w:r>
          </w:p>
        </w:tc>
      </w:tr>
      <w:tr w:rsidR="00EA3205" w:rsidRPr="00B05F62" w14:paraId="29F5ABB5"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5472D99B"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512FE5A"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4B4A3E0"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0FFB8C5" w14:textId="77777777" w:rsidR="00EA3205" w:rsidRPr="00B05F62" w:rsidRDefault="00EA3205" w:rsidP="00EA3205">
            <w:pPr>
              <w:rPr>
                <w:rFonts w:ascii="AcadNusx" w:hAnsi="AcadNusx"/>
              </w:rPr>
            </w:pPr>
            <w:r w:rsidRPr="00B05F62">
              <w:rPr>
                <w:rFonts w:ascii="AcadNusx" w:hAnsi="AcadNusx"/>
              </w:rPr>
              <w:t>625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D6022B9" w14:textId="77777777" w:rsidR="00EA3205" w:rsidRPr="00B05F62" w:rsidRDefault="00EA3205" w:rsidP="00EA3205">
            <w:pPr>
              <w:rPr>
                <w:rFonts w:ascii="AcadNusx" w:hAnsi="AcadNusx"/>
              </w:rPr>
            </w:pPr>
            <w:r w:rsidRPr="00B05F62">
              <w:rPr>
                <w:rFonts w:ascii="AcadNusx" w:hAnsi="AcadNusx"/>
              </w:rPr>
              <w:t>708</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C210626" w14:textId="77777777" w:rsidR="00EA3205" w:rsidRPr="00B05F62" w:rsidRDefault="00EA3205" w:rsidP="00EA3205">
            <w:pPr>
              <w:rPr>
                <w:rFonts w:ascii="AcadNusx" w:hAnsi="AcadNusx"/>
              </w:rPr>
            </w:pPr>
            <w:r w:rsidRPr="00B05F62">
              <w:rPr>
                <w:rFonts w:ascii="AcadNusx" w:hAnsi="AcadNusx"/>
              </w:rPr>
              <w:t>83</w:t>
            </w:r>
          </w:p>
        </w:tc>
      </w:tr>
      <w:tr w:rsidR="00EA3205" w:rsidRPr="00B05F62" w14:paraId="43C7F901"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50C918AB"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DC430C3" w14:textId="77777777" w:rsidR="00EA3205" w:rsidRPr="00B05F62" w:rsidRDefault="00EA3205" w:rsidP="00EA3205">
            <w:pPr>
              <w:rPr>
                <w:rFonts w:ascii="AcadNusx" w:hAnsi="AcadNusx"/>
              </w:rPr>
            </w:pPr>
            <w:r w:rsidRPr="00B05F62">
              <w:rPr>
                <w:rFonts w:ascii="AcadNusx" w:hAnsi="AcadNusx"/>
              </w:rPr>
              <w:t>676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A8F7E1B" w14:textId="77777777" w:rsidR="00EA3205" w:rsidRPr="00B05F62" w:rsidRDefault="00EA3205" w:rsidP="00EA3205">
            <w:pPr>
              <w:rPr>
                <w:rFonts w:ascii="AcadNusx" w:hAnsi="AcadNusx"/>
              </w:rPr>
            </w:pPr>
            <w:r w:rsidRPr="00B05F62">
              <w:rPr>
                <w:rFonts w:ascii="AcadNusx" w:hAnsi="AcadNusx"/>
              </w:rPr>
              <w:t>3,562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DE5C6C5"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307623D"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6D507C93" w14:textId="77777777" w:rsidR="00EA3205" w:rsidRPr="00B05F62" w:rsidRDefault="00EA3205" w:rsidP="00EA3205">
            <w:pPr>
              <w:rPr>
                <w:rFonts w:ascii="AcadNusx" w:hAnsi="AcadNusx"/>
              </w:rPr>
            </w:pPr>
            <w:r w:rsidRPr="00B05F62">
              <w:rPr>
                <w:rFonts w:ascii="AcadNusx" w:hAnsi="AcadNusx"/>
              </w:rPr>
              <w:t>2,886</w:t>
            </w:r>
          </w:p>
        </w:tc>
      </w:tr>
      <w:tr w:rsidR="00EA3205" w:rsidRPr="00B05F62" w14:paraId="65F93D6D"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69A880E4"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0658964" w14:textId="77777777" w:rsidR="00EA3205" w:rsidRPr="00B05F62" w:rsidRDefault="00EA3205" w:rsidP="00EA3205">
            <w:pPr>
              <w:rPr>
                <w:rFonts w:ascii="AcadNusx" w:hAnsi="AcadNusx"/>
              </w:rPr>
            </w:pPr>
            <w:r w:rsidRPr="00B05F62">
              <w:rPr>
                <w:rFonts w:ascii="AcadNusx" w:hAnsi="AcadNusx"/>
              </w:rPr>
              <w:t>3,562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2547DA5" w14:textId="77777777" w:rsidR="00EA3205" w:rsidRPr="00B05F62" w:rsidRDefault="00EA3205" w:rsidP="00EA3205">
            <w:pPr>
              <w:rPr>
                <w:rFonts w:ascii="AcadNusx" w:hAnsi="AcadNusx"/>
              </w:rPr>
            </w:pPr>
            <w:r w:rsidRPr="00B05F62">
              <w:rPr>
                <w:rFonts w:ascii="AcadNusx" w:hAnsi="AcadNusx"/>
              </w:rPr>
              <w:t>3,785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E650541"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4873619"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623352B8" w14:textId="77777777" w:rsidR="00EA3205" w:rsidRPr="00B05F62" w:rsidRDefault="00EA3205" w:rsidP="00EA3205">
            <w:pPr>
              <w:rPr>
                <w:rFonts w:ascii="AcadNusx" w:hAnsi="AcadNusx"/>
              </w:rPr>
            </w:pPr>
            <w:r w:rsidRPr="00B05F62">
              <w:rPr>
                <w:rFonts w:ascii="AcadNusx" w:hAnsi="AcadNusx"/>
              </w:rPr>
              <w:t>223</w:t>
            </w:r>
          </w:p>
        </w:tc>
      </w:tr>
      <w:tr w:rsidR="00EA3205" w:rsidRPr="00B05F62" w14:paraId="4F8ADFBB"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25B65D9C"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031E96F" w14:textId="77777777" w:rsidR="00EA3205" w:rsidRPr="00B05F62" w:rsidRDefault="00EA3205" w:rsidP="00EA3205">
            <w:pPr>
              <w:rPr>
                <w:rFonts w:ascii="AcadNusx" w:hAnsi="AcadNusx"/>
              </w:rPr>
            </w:pPr>
            <w:r w:rsidRPr="00B05F62">
              <w:rPr>
                <w:rFonts w:ascii="AcadNusx" w:hAnsi="AcadNusx"/>
              </w:rPr>
              <w:t>3,785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5D53744" w14:textId="77777777" w:rsidR="00EA3205" w:rsidRPr="00B05F62" w:rsidRDefault="00EA3205" w:rsidP="00EA3205">
            <w:pPr>
              <w:rPr>
                <w:rFonts w:ascii="AcadNusx" w:hAnsi="AcadNusx"/>
              </w:rPr>
            </w:pPr>
            <w:r w:rsidRPr="00B05F62">
              <w:rPr>
                <w:rFonts w:ascii="AcadNusx" w:hAnsi="AcadNusx"/>
              </w:rPr>
              <w:t>4,414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FB613C8"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7219EAB"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3FD0FD1C" w14:textId="77777777" w:rsidR="00EA3205" w:rsidRPr="00B05F62" w:rsidRDefault="00EA3205" w:rsidP="00EA3205">
            <w:pPr>
              <w:rPr>
                <w:rFonts w:ascii="AcadNusx" w:hAnsi="AcadNusx"/>
              </w:rPr>
            </w:pPr>
            <w:r w:rsidRPr="00B05F62">
              <w:rPr>
                <w:rFonts w:ascii="AcadNusx" w:hAnsi="AcadNusx"/>
              </w:rPr>
              <w:t>629</w:t>
            </w:r>
          </w:p>
        </w:tc>
      </w:tr>
      <w:tr w:rsidR="00EA3205" w:rsidRPr="00B05F62" w14:paraId="790E5D7D"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1DB5EA7E"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6F1AA47"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01E6312"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8CB9E5B" w14:textId="77777777" w:rsidR="00EA3205" w:rsidRPr="00B05F62" w:rsidRDefault="00EA3205" w:rsidP="00EA3205">
            <w:pPr>
              <w:rPr>
                <w:rFonts w:ascii="AcadNusx" w:hAnsi="AcadNusx"/>
              </w:rPr>
            </w:pPr>
            <w:r w:rsidRPr="00B05F62">
              <w:rPr>
                <w:rFonts w:ascii="AcadNusx" w:hAnsi="AcadNusx"/>
              </w:rPr>
              <w:t>744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686C35B" w14:textId="77777777" w:rsidR="00EA3205" w:rsidRPr="00B05F62" w:rsidRDefault="00EA3205" w:rsidP="00EA3205">
            <w:pPr>
              <w:rPr>
                <w:rFonts w:ascii="AcadNusx" w:hAnsi="AcadNusx"/>
              </w:rPr>
            </w:pPr>
            <w:r w:rsidRPr="00B05F62">
              <w:rPr>
                <w:rFonts w:ascii="AcadNusx" w:hAnsi="AcadNusx"/>
              </w:rPr>
              <w:t>4,414</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7B0139AB" w14:textId="77777777" w:rsidR="00EA3205" w:rsidRPr="00B05F62" w:rsidRDefault="00EA3205" w:rsidP="00EA3205">
            <w:pPr>
              <w:rPr>
                <w:rFonts w:ascii="AcadNusx" w:hAnsi="AcadNusx"/>
              </w:rPr>
            </w:pPr>
            <w:r w:rsidRPr="00B05F62">
              <w:rPr>
                <w:rFonts w:ascii="AcadNusx" w:hAnsi="AcadNusx"/>
              </w:rPr>
              <w:t>3,670</w:t>
            </w:r>
          </w:p>
        </w:tc>
      </w:tr>
      <w:tr w:rsidR="00EA3205" w:rsidRPr="00B05F62" w14:paraId="6704ADBD"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72574BB" w14:textId="77777777" w:rsidR="00EA3205" w:rsidRPr="00B05F62" w:rsidRDefault="00EA3205" w:rsidP="00EA3205">
            <w:pPr>
              <w:rPr>
                <w:rFonts w:ascii="AcadNusx" w:hAnsi="AcadNusx"/>
              </w:rPr>
            </w:pPr>
            <w:r w:rsidRPr="00B05F62">
              <w:rPr>
                <w:rFonts w:ascii="AcadNusx" w:hAnsi="AcadNusx"/>
              </w:rPr>
              <w:lastRenderedPageBreak/>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2FBE833" w14:textId="77777777" w:rsidR="00EA3205" w:rsidRPr="00B05F62" w:rsidRDefault="00EA3205" w:rsidP="00EA3205">
            <w:pPr>
              <w:rPr>
                <w:rFonts w:ascii="AcadNusx" w:hAnsi="AcadNusx"/>
              </w:rPr>
            </w:pPr>
            <w:r w:rsidRPr="00B05F62">
              <w:rPr>
                <w:rFonts w:ascii="AcadNusx" w:hAnsi="AcadNusx"/>
              </w:rPr>
              <w:t>4,577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507C433" w14:textId="77777777" w:rsidR="00EA3205" w:rsidRPr="00B05F62" w:rsidRDefault="00EA3205" w:rsidP="00EA3205">
            <w:pPr>
              <w:rPr>
                <w:rFonts w:ascii="AcadNusx" w:hAnsi="AcadNusx"/>
              </w:rPr>
            </w:pPr>
            <w:r w:rsidRPr="00B05F62">
              <w:rPr>
                <w:rFonts w:ascii="AcadNusx" w:hAnsi="AcadNusx"/>
              </w:rPr>
              <w:t>4,684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5FE7993"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E8AB3D9"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A22758F" w14:textId="77777777" w:rsidR="00EA3205" w:rsidRPr="00B05F62" w:rsidRDefault="00EA3205" w:rsidP="00EA3205">
            <w:pPr>
              <w:rPr>
                <w:rFonts w:ascii="AcadNusx" w:hAnsi="AcadNusx"/>
              </w:rPr>
            </w:pPr>
            <w:r w:rsidRPr="00B05F62">
              <w:rPr>
                <w:rFonts w:ascii="AcadNusx" w:hAnsi="AcadNusx"/>
              </w:rPr>
              <w:t>107</w:t>
            </w:r>
          </w:p>
        </w:tc>
      </w:tr>
      <w:tr w:rsidR="00EA3205" w:rsidRPr="00B05F62" w14:paraId="61FF8DBE"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98A0DBE"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03E02F3"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603DE58"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D75CD68" w14:textId="77777777" w:rsidR="00EA3205" w:rsidRPr="00B05F62" w:rsidRDefault="00EA3205" w:rsidP="00EA3205">
            <w:pPr>
              <w:rPr>
                <w:rFonts w:ascii="AcadNusx" w:hAnsi="AcadNusx"/>
              </w:rPr>
            </w:pPr>
            <w:r w:rsidRPr="00B05F62">
              <w:rPr>
                <w:rFonts w:ascii="AcadNusx" w:hAnsi="AcadNusx"/>
              </w:rPr>
              <w:t>4,577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B55E52C" w14:textId="77777777" w:rsidR="00EA3205" w:rsidRPr="00B05F62" w:rsidRDefault="00EA3205" w:rsidP="00EA3205">
            <w:pPr>
              <w:rPr>
                <w:rFonts w:ascii="AcadNusx" w:hAnsi="AcadNusx"/>
              </w:rPr>
            </w:pPr>
            <w:r w:rsidRPr="00B05F62">
              <w:rPr>
                <w:rFonts w:ascii="AcadNusx" w:hAnsi="AcadNusx"/>
              </w:rPr>
              <w:t>4,679</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5945B362" w14:textId="77777777" w:rsidR="00EA3205" w:rsidRPr="00B05F62" w:rsidRDefault="00EA3205" w:rsidP="00EA3205">
            <w:pPr>
              <w:rPr>
                <w:rFonts w:ascii="AcadNusx" w:hAnsi="AcadNusx"/>
              </w:rPr>
            </w:pPr>
            <w:r w:rsidRPr="00B05F62">
              <w:rPr>
                <w:rFonts w:ascii="AcadNusx" w:hAnsi="AcadNusx"/>
              </w:rPr>
              <w:t>102</w:t>
            </w:r>
          </w:p>
        </w:tc>
      </w:tr>
      <w:tr w:rsidR="00EA3205" w:rsidRPr="00B05F62" w14:paraId="04C59486"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23ED9561"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C887E88" w14:textId="77777777" w:rsidR="00EA3205" w:rsidRPr="00B05F62" w:rsidRDefault="00EA3205" w:rsidP="00EA3205">
            <w:pPr>
              <w:rPr>
                <w:rFonts w:ascii="AcadNusx" w:hAnsi="AcadNusx"/>
              </w:rPr>
            </w:pPr>
            <w:r w:rsidRPr="00B05F62">
              <w:rPr>
                <w:rFonts w:ascii="AcadNusx" w:hAnsi="AcadNusx"/>
              </w:rPr>
              <w:t>4,744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B6B0E82" w14:textId="77777777" w:rsidR="00EA3205" w:rsidRPr="00B05F62" w:rsidRDefault="00EA3205" w:rsidP="00EA3205">
            <w:pPr>
              <w:rPr>
                <w:rFonts w:ascii="AcadNusx" w:hAnsi="AcadNusx"/>
              </w:rPr>
            </w:pPr>
            <w:r w:rsidRPr="00B05F62">
              <w:rPr>
                <w:rFonts w:ascii="AcadNusx" w:hAnsi="AcadNusx"/>
              </w:rPr>
              <w:t>5,052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51868AA"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47440FC"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2AEDEDB9" w14:textId="77777777" w:rsidR="00EA3205" w:rsidRPr="00B05F62" w:rsidRDefault="00EA3205" w:rsidP="00EA3205">
            <w:pPr>
              <w:rPr>
                <w:rFonts w:ascii="AcadNusx" w:hAnsi="AcadNusx"/>
              </w:rPr>
            </w:pPr>
            <w:r w:rsidRPr="00B05F62">
              <w:rPr>
                <w:rFonts w:ascii="AcadNusx" w:hAnsi="AcadNusx"/>
              </w:rPr>
              <w:t>308</w:t>
            </w:r>
          </w:p>
        </w:tc>
      </w:tr>
      <w:tr w:rsidR="00EA3205" w:rsidRPr="00B05F62" w14:paraId="1F04E48A"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2ADF82A4"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BA39CA0"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EBC982B"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4266EA2" w14:textId="77777777" w:rsidR="00EA3205" w:rsidRPr="00B05F62" w:rsidRDefault="00EA3205" w:rsidP="00EA3205">
            <w:pPr>
              <w:rPr>
                <w:rFonts w:ascii="AcadNusx" w:hAnsi="AcadNusx"/>
              </w:rPr>
            </w:pPr>
            <w:r w:rsidRPr="00B05F62">
              <w:rPr>
                <w:rFonts w:ascii="AcadNusx" w:hAnsi="AcadNusx"/>
              </w:rPr>
              <w:t>4,762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16EFB7E" w14:textId="77777777" w:rsidR="00EA3205" w:rsidRPr="00B05F62" w:rsidRDefault="00EA3205" w:rsidP="00EA3205">
            <w:pPr>
              <w:rPr>
                <w:rFonts w:ascii="AcadNusx" w:hAnsi="AcadNusx"/>
              </w:rPr>
            </w:pPr>
            <w:r w:rsidRPr="00B05F62">
              <w:rPr>
                <w:rFonts w:ascii="AcadNusx" w:hAnsi="AcadNusx"/>
              </w:rPr>
              <w:t>5,063</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39B2E4EB" w14:textId="77777777" w:rsidR="00EA3205" w:rsidRPr="00B05F62" w:rsidRDefault="00EA3205" w:rsidP="00EA3205">
            <w:pPr>
              <w:rPr>
                <w:rFonts w:ascii="AcadNusx" w:hAnsi="AcadNusx"/>
              </w:rPr>
            </w:pPr>
            <w:r w:rsidRPr="00B05F62">
              <w:rPr>
                <w:rFonts w:ascii="AcadNusx" w:hAnsi="AcadNusx"/>
              </w:rPr>
              <w:t>301</w:t>
            </w:r>
          </w:p>
        </w:tc>
      </w:tr>
      <w:tr w:rsidR="00EA3205" w:rsidRPr="00B05F62" w14:paraId="08D1EC3C"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19C03B75"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EB5A941" w14:textId="77777777" w:rsidR="00EA3205" w:rsidRPr="00B05F62" w:rsidRDefault="00EA3205" w:rsidP="00EA3205">
            <w:pPr>
              <w:rPr>
                <w:rFonts w:ascii="AcadNusx" w:hAnsi="AcadNusx"/>
              </w:rPr>
            </w:pPr>
            <w:r w:rsidRPr="00B05F62">
              <w:rPr>
                <w:rFonts w:ascii="AcadNusx" w:hAnsi="AcadNusx"/>
              </w:rPr>
              <w:t>5,132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A2B13D5" w14:textId="77777777" w:rsidR="00EA3205" w:rsidRPr="00B05F62" w:rsidRDefault="00EA3205" w:rsidP="00EA3205">
            <w:pPr>
              <w:rPr>
                <w:rFonts w:ascii="AcadNusx" w:hAnsi="AcadNusx"/>
              </w:rPr>
            </w:pPr>
            <w:r w:rsidRPr="00B05F62">
              <w:rPr>
                <w:rFonts w:ascii="AcadNusx" w:hAnsi="AcadNusx"/>
              </w:rPr>
              <w:t>6,600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1A4978B"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25655B6"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6522F305" w14:textId="77777777" w:rsidR="00EA3205" w:rsidRPr="00B05F62" w:rsidRDefault="00EA3205" w:rsidP="00EA3205">
            <w:pPr>
              <w:rPr>
                <w:rFonts w:ascii="AcadNusx" w:hAnsi="AcadNusx"/>
              </w:rPr>
            </w:pPr>
            <w:r w:rsidRPr="00B05F62">
              <w:rPr>
                <w:rFonts w:ascii="AcadNusx" w:hAnsi="AcadNusx"/>
              </w:rPr>
              <w:t>1,468</w:t>
            </w:r>
          </w:p>
        </w:tc>
      </w:tr>
      <w:tr w:rsidR="00EA3205" w:rsidRPr="00B05F62" w14:paraId="6987C719"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8607AAF"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84F70F4"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AAD1158"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C7F0222" w14:textId="77777777" w:rsidR="00EA3205" w:rsidRPr="00B05F62" w:rsidRDefault="00EA3205" w:rsidP="00EA3205">
            <w:pPr>
              <w:rPr>
                <w:rFonts w:ascii="AcadNusx" w:hAnsi="AcadNusx"/>
              </w:rPr>
            </w:pPr>
            <w:r w:rsidRPr="00B05F62">
              <w:rPr>
                <w:rFonts w:ascii="AcadNusx" w:hAnsi="AcadNusx"/>
              </w:rPr>
              <w:t>5,130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F81AFCA" w14:textId="77777777" w:rsidR="00EA3205" w:rsidRPr="00B05F62" w:rsidRDefault="00EA3205" w:rsidP="00EA3205">
            <w:pPr>
              <w:rPr>
                <w:rFonts w:ascii="AcadNusx" w:hAnsi="AcadNusx"/>
              </w:rPr>
            </w:pPr>
            <w:r w:rsidRPr="00B05F62">
              <w:rPr>
                <w:rFonts w:ascii="AcadNusx" w:hAnsi="AcadNusx"/>
              </w:rPr>
              <w:t>6,599</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D419F44" w14:textId="77777777" w:rsidR="00EA3205" w:rsidRPr="00B05F62" w:rsidRDefault="00EA3205" w:rsidP="00EA3205">
            <w:pPr>
              <w:rPr>
                <w:rFonts w:ascii="AcadNusx" w:hAnsi="AcadNusx"/>
              </w:rPr>
            </w:pPr>
            <w:r w:rsidRPr="00B05F62">
              <w:rPr>
                <w:rFonts w:ascii="AcadNusx" w:hAnsi="AcadNusx"/>
              </w:rPr>
              <w:t>1,469</w:t>
            </w:r>
          </w:p>
        </w:tc>
      </w:tr>
      <w:tr w:rsidR="00EA3205" w:rsidRPr="00B05F62" w14:paraId="425677E7"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18EDEA4B"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A41FB69" w14:textId="77777777" w:rsidR="00EA3205" w:rsidRPr="00B05F62" w:rsidRDefault="00EA3205" w:rsidP="00EA3205">
            <w:pPr>
              <w:rPr>
                <w:rFonts w:ascii="AcadNusx" w:hAnsi="AcadNusx"/>
              </w:rPr>
            </w:pPr>
            <w:r w:rsidRPr="00B05F62">
              <w:rPr>
                <w:rFonts w:ascii="AcadNusx" w:hAnsi="AcadNusx"/>
              </w:rPr>
              <w:t>6,941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056E5E0" w14:textId="77777777" w:rsidR="00EA3205" w:rsidRPr="00B05F62" w:rsidRDefault="00EA3205" w:rsidP="00EA3205">
            <w:pPr>
              <w:rPr>
                <w:rFonts w:ascii="AcadNusx" w:hAnsi="AcadNusx"/>
              </w:rPr>
            </w:pPr>
            <w:r w:rsidRPr="00B05F62">
              <w:rPr>
                <w:rFonts w:ascii="AcadNusx" w:hAnsi="AcadNusx"/>
              </w:rPr>
              <w:t>7,101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0BDB099"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82C9879"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61E25151" w14:textId="77777777" w:rsidR="00EA3205" w:rsidRPr="00B05F62" w:rsidRDefault="00EA3205" w:rsidP="00EA3205">
            <w:pPr>
              <w:rPr>
                <w:rFonts w:ascii="AcadNusx" w:hAnsi="AcadNusx"/>
              </w:rPr>
            </w:pPr>
            <w:r w:rsidRPr="00B05F62">
              <w:rPr>
                <w:rFonts w:ascii="AcadNusx" w:hAnsi="AcadNusx"/>
              </w:rPr>
              <w:t>160</w:t>
            </w:r>
          </w:p>
        </w:tc>
      </w:tr>
      <w:tr w:rsidR="00EA3205" w:rsidRPr="00B05F62" w14:paraId="58F6D0FD"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A42ACD7"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AED785E"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32F73D5"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E7B8960" w14:textId="77777777" w:rsidR="00EA3205" w:rsidRPr="00B05F62" w:rsidRDefault="00EA3205" w:rsidP="00EA3205">
            <w:pPr>
              <w:rPr>
                <w:rFonts w:ascii="AcadNusx" w:hAnsi="AcadNusx"/>
              </w:rPr>
            </w:pPr>
            <w:r w:rsidRPr="00B05F62">
              <w:rPr>
                <w:rFonts w:ascii="AcadNusx" w:hAnsi="AcadNusx"/>
              </w:rPr>
              <w:t>6,940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451D6EE" w14:textId="77777777" w:rsidR="00EA3205" w:rsidRPr="00B05F62" w:rsidRDefault="00EA3205" w:rsidP="00EA3205">
            <w:pPr>
              <w:rPr>
                <w:rFonts w:ascii="AcadNusx" w:hAnsi="AcadNusx"/>
              </w:rPr>
            </w:pPr>
            <w:r w:rsidRPr="00B05F62">
              <w:rPr>
                <w:rFonts w:ascii="AcadNusx" w:hAnsi="AcadNusx"/>
              </w:rPr>
              <w:t>7,101</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2AF44FF" w14:textId="77777777" w:rsidR="00EA3205" w:rsidRPr="00B05F62" w:rsidRDefault="00EA3205" w:rsidP="00EA3205">
            <w:pPr>
              <w:rPr>
                <w:rFonts w:ascii="AcadNusx" w:hAnsi="AcadNusx"/>
              </w:rPr>
            </w:pPr>
            <w:r w:rsidRPr="00B05F62">
              <w:rPr>
                <w:rFonts w:ascii="AcadNusx" w:hAnsi="AcadNusx"/>
              </w:rPr>
              <w:t>161</w:t>
            </w:r>
          </w:p>
        </w:tc>
      </w:tr>
      <w:tr w:rsidR="00EA3205" w:rsidRPr="00B05F62" w14:paraId="0B09BF93"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FBC5866"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797F667"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BD4B3D9"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A044AED" w14:textId="77777777" w:rsidR="00EA3205" w:rsidRPr="00B05F62" w:rsidRDefault="00EA3205" w:rsidP="00EA3205">
            <w:pPr>
              <w:rPr>
                <w:rFonts w:ascii="AcadNusx" w:hAnsi="AcadNusx"/>
              </w:rPr>
            </w:pPr>
            <w:r w:rsidRPr="00B05F62">
              <w:rPr>
                <w:rFonts w:ascii="AcadNusx" w:hAnsi="AcadNusx"/>
              </w:rPr>
              <w:t>7,740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1BB1754" w14:textId="77777777" w:rsidR="00EA3205" w:rsidRPr="00B05F62" w:rsidRDefault="00EA3205" w:rsidP="00EA3205">
            <w:pPr>
              <w:rPr>
                <w:rFonts w:ascii="AcadNusx" w:hAnsi="AcadNusx"/>
              </w:rPr>
            </w:pPr>
            <w:r w:rsidRPr="00B05F62">
              <w:rPr>
                <w:rFonts w:ascii="AcadNusx" w:hAnsi="AcadNusx"/>
              </w:rPr>
              <w:t>8,135</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717AB1F4" w14:textId="77777777" w:rsidR="00EA3205" w:rsidRPr="00B05F62" w:rsidRDefault="00EA3205" w:rsidP="00EA3205">
            <w:pPr>
              <w:rPr>
                <w:rFonts w:ascii="AcadNusx" w:hAnsi="AcadNusx"/>
              </w:rPr>
            </w:pPr>
            <w:r w:rsidRPr="00B05F62">
              <w:rPr>
                <w:rFonts w:ascii="AcadNusx" w:hAnsi="AcadNusx"/>
              </w:rPr>
              <w:t>395</w:t>
            </w:r>
          </w:p>
        </w:tc>
      </w:tr>
      <w:tr w:rsidR="00EA3205" w:rsidRPr="00B05F62" w14:paraId="491F9D70"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10072D77"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E67F782" w14:textId="77777777" w:rsidR="00EA3205" w:rsidRPr="00B05F62" w:rsidRDefault="00EA3205" w:rsidP="00EA3205">
            <w:pPr>
              <w:rPr>
                <w:rFonts w:ascii="AcadNusx" w:hAnsi="AcadNusx"/>
              </w:rPr>
            </w:pPr>
            <w:r w:rsidRPr="00B05F62">
              <w:rPr>
                <w:rFonts w:ascii="AcadNusx" w:hAnsi="AcadNusx"/>
              </w:rPr>
              <w:t>7,838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58F28CA" w14:textId="77777777" w:rsidR="00EA3205" w:rsidRPr="00B05F62" w:rsidRDefault="00EA3205" w:rsidP="00EA3205">
            <w:pPr>
              <w:rPr>
                <w:rFonts w:ascii="AcadNusx" w:hAnsi="AcadNusx"/>
              </w:rPr>
            </w:pPr>
            <w:r w:rsidRPr="00B05F62">
              <w:rPr>
                <w:rFonts w:ascii="AcadNusx" w:hAnsi="AcadNusx"/>
              </w:rPr>
              <w:t>8,135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01CC340"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A7B1716"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1F31809C" w14:textId="77777777" w:rsidR="00EA3205" w:rsidRPr="00B05F62" w:rsidRDefault="00EA3205" w:rsidP="00EA3205">
            <w:pPr>
              <w:rPr>
                <w:rFonts w:ascii="AcadNusx" w:hAnsi="AcadNusx"/>
              </w:rPr>
            </w:pPr>
            <w:r w:rsidRPr="00B05F62">
              <w:rPr>
                <w:rFonts w:ascii="AcadNusx" w:hAnsi="AcadNusx"/>
              </w:rPr>
              <w:t>297</w:t>
            </w:r>
          </w:p>
        </w:tc>
      </w:tr>
      <w:tr w:rsidR="00EA3205" w:rsidRPr="00B05F62" w14:paraId="0B1D3AE2"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5CE7B770"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0753727" w14:textId="77777777" w:rsidR="00EA3205" w:rsidRPr="00B05F62" w:rsidRDefault="00EA3205" w:rsidP="00EA3205">
            <w:pPr>
              <w:rPr>
                <w:rFonts w:ascii="AcadNusx" w:hAnsi="AcadNusx"/>
              </w:rPr>
            </w:pPr>
            <w:r w:rsidRPr="00B05F62">
              <w:rPr>
                <w:rFonts w:ascii="AcadNusx" w:hAnsi="AcadNusx"/>
              </w:rPr>
              <w:t>8,164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BD1A97C" w14:textId="77777777" w:rsidR="00EA3205" w:rsidRPr="00B05F62" w:rsidRDefault="00EA3205" w:rsidP="00EA3205">
            <w:pPr>
              <w:rPr>
                <w:rFonts w:ascii="AcadNusx" w:hAnsi="AcadNusx"/>
              </w:rPr>
            </w:pPr>
            <w:r w:rsidRPr="00B05F62">
              <w:rPr>
                <w:rFonts w:ascii="AcadNusx" w:hAnsi="AcadNusx"/>
              </w:rPr>
              <w:t>9,409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55FDD7A"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9C06CA9"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561552FB" w14:textId="77777777" w:rsidR="00EA3205" w:rsidRPr="00B05F62" w:rsidRDefault="00EA3205" w:rsidP="00EA3205">
            <w:pPr>
              <w:rPr>
                <w:rFonts w:ascii="AcadNusx" w:hAnsi="AcadNusx"/>
              </w:rPr>
            </w:pPr>
            <w:r w:rsidRPr="00B05F62">
              <w:rPr>
                <w:rFonts w:ascii="AcadNusx" w:hAnsi="AcadNusx"/>
              </w:rPr>
              <w:t>1,245</w:t>
            </w:r>
          </w:p>
        </w:tc>
      </w:tr>
      <w:tr w:rsidR="00EA3205" w:rsidRPr="00B05F62" w14:paraId="424F20C7"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B689F74"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7BA1D8C"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A0C802B"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C9DB24A" w14:textId="77777777" w:rsidR="00EA3205" w:rsidRPr="00B05F62" w:rsidRDefault="00EA3205" w:rsidP="00EA3205">
            <w:pPr>
              <w:rPr>
                <w:rFonts w:ascii="AcadNusx" w:hAnsi="AcadNusx"/>
              </w:rPr>
            </w:pPr>
            <w:r w:rsidRPr="00B05F62">
              <w:rPr>
                <w:rFonts w:ascii="AcadNusx" w:hAnsi="AcadNusx"/>
              </w:rPr>
              <w:t>8,164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8CD6AFF" w14:textId="77777777" w:rsidR="00EA3205" w:rsidRPr="00B05F62" w:rsidRDefault="00EA3205" w:rsidP="00EA3205">
            <w:pPr>
              <w:rPr>
                <w:rFonts w:ascii="AcadNusx" w:hAnsi="AcadNusx"/>
              </w:rPr>
            </w:pPr>
            <w:r w:rsidRPr="00B05F62">
              <w:rPr>
                <w:rFonts w:ascii="AcadNusx" w:hAnsi="AcadNusx"/>
              </w:rPr>
              <w:t>9,409</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1B8E6F43" w14:textId="77777777" w:rsidR="00EA3205" w:rsidRPr="00B05F62" w:rsidRDefault="00EA3205" w:rsidP="00EA3205">
            <w:pPr>
              <w:rPr>
                <w:rFonts w:ascii="AcadNusx" w:hAnsi="AcadNusx"/>
              </w:rPr>
            </w:pPr>
            <w:r w:rsidRPr="00B05F62">
              <w:rPr>
                <w:rFonts w:ascii="AcadNusx" w:hAnsi="AcadNusx"/>
              </w:rPr>
              <w:t>1,245</w:t>
            </w:r>
          </w:p>
        </w:tc>
      </w:tr>
      <w:tr w:rsidR="00EA3205" w:rsidRPr="00B05F62" w14:paraId="13699CEA"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0A9380C"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6D828AF"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D9D9305"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11E11AA" w14:textId="77777777" w:rsidR="00EA3205" w:rsidRPr="00B05F62" w:rsidRDefault="00EA3205" w:rsidP="00EA3205">
            <w:pPr>
              <w:rPr>
                <w:rFonts w:ascii="AcadNusx" w:hAnsi="AcadNusx"/>
              </w:rPr>
            </w:pPr>
            <w:r w:rsidRPr="00B05F62">
              <w:rPr>
                <w:rFonts w:ascii="AcadNusx" w:hAnsi="AcadNusx"/>
              </w:rPr>
              <w:t>9,502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9988158" w14:textId="77777777" w:rsidR="00EA3205" w:rsidRPr="00B05F62" w:rsidRDefault="00EA3205" w:rsidP="00EA3205">
            <w:pPr>
              <w:rPr>
                <w:rFonts w:ascii="AcadNusx" w:hAnsi="AcadNusx"/>
              </w:rPr>
            </w:pPr>
            <w:r w:rsidRPr="00B05F62">
              <w:rPr>
                <w:rFonts w:ascii="AcadNusx" w:hAnsi="AcadNusx"/>
              </w:rPr>
              <w:t>10,400</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1AA6FDF7" w14:textId="77777777" w:rsidR="00EA3205" w:rsidRPr="00B05F62" w:rsidRDefault="00EA3205" w:rsidP="00EA3205">
            <w:pPr>
              <w:rPr>
                <w:rFonts w:ascii="AcadNusx" w:hAnsi="AcadNusx"/>
              </w:rPr>
            </w:pPr>
            <w:r w:rsidRPr="00B05F62">
              <w:rPr>
                <w:rFonts w:ascii="AcadNusx" w:hAnsi="AcadNusx"/>
              </w:rPr>
              <w:t>898</w:t>
            </w:r>
          </w:p>
        </w:tc>
      </w:tr>
      <w:tr w:rsidR="00EA3205" w:rsidRPr="00B05F62" w14:paraId="3ADEB3E1"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55B5689D"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B7B444D" w14:textId="77777777" w:rsidR="00EA3205" w:rsidRPr="00B05F62" w:rsidRDefault="00EA3205" w:rsidP="00EA3205">
            <w:pPr>
              <w:rPr>
                <w:rFonts w:ascii="AcadNusx" w:hAnsi="AcadNusx"/>
              </w:rPr>
            </w:pPr>
            <w:r w:rsidRPr="00B05F62">
              <w:rPr>
                <w:rFonts w:ascii="AcadNusx" w:hAnsi="AcadNusx"/>
              </w:rPr>
              <w:t>9,643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2F7FBB7" w14:textId="77777777" w:rsidR="00EA3205" w:rsidRPr="00B05F62" w:rsidRDefault="00EA3205" w:rsidP="00EA3205">
            <w:pPr>
              <w:rPr>
                <w:rFonts w:ascii="AcadNusx" w:hAnsi="AcadNusx"/>
              </w:rPr>
            </w:pPr>
            <w:r w:rsidRPr="00B05F62">
              <w:rPr>
                <w:rFonts w:ascii="AcadNusx" w:hAnsi="AcadNusx"/>
              </w:rPr>
              <w:t>10,354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E8068BB"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F3EB230"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3346B6C7" w14:textId="77777777" w:rsidR="00EA3205" w:rsidRPr="00B05F62" w:rsidRDefault="00EA3205" w:rsidP="00EA3205">
            <w:pPr>
              <w:rPr>
                <w:rFonts w:ascii="AcadNusx" w:hAnsi="AcadNusx"/>
              </w:rPr>
            </w:pPr>
            <w:r w:rsidRPr="00B05F62">
              <w:rPr>
                <w:rFonts w:ascii="AcadNusx" w:hAnsi="AcadNusx"/>
              </w:rPr>
              <w:t>711</w:t>
            </w:r>
          </w:p>
        </w:tc>
      </w:tr>
      <w:tr w:rsidR="00EA3205" w:rsidRPr="00B05F62" w14:paraId="5C67A208"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CA79270"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3A9820C"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8EEB20A"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83125DE" w14:textId="77777777" w:rsidR="00EA3205" w:rsidRPr="00B05F62" w:rsidRDefault="00EA3205" w:rsidP="00EA3205">
            <w:pPr>
              <w:rPr>
                <w:rFonts w:ascii="AcadNusx" w:hAnsi="AcadNusx"/>
              </w:rPr>
            </w:pPr>
            <w:r w:rsidRPr="00B05F62">
              <w:rPr>
                <w:rFonts w:ascii="AcadNusx" w:hAnsi="AcadNusx"/>
              </w:rPr>
              <w:t>10,597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0866F46" w14:textId="77777777" w:rsidR="00EA3205" w:rsidRPr="00B05F62" w:rsidRDefault="00EA3205" w:rsidP="00EA3205">
            <w:pPr>
              <w:rPr>
                <w:rFonts w:ascii="AcadNusx" w:hAnsi="AcadNusx"/>
              </w:rPr>
            </w:pPr>
            <w:r w:rsidRPr="00B05F62">
              <w:rPr>
                <w:rFonts w:ascii="AcadNusx" w:hAnsi="AcadNusx"/>
              </w:rPr>
              <w:t>11,392</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06777B1" w14:textId="77777777" w:rsidR="00EA3205" w:rsidRPr="00B05F62" w:rsidRDefault="00EA3205" w:rsidP="00EA3205">
            <w:pPr>
              <w:rPr>
                <w:rFonts w:ascii="AcadNusx" w:hAnsi="AcadNusx"/>
              </w:rPr>
            </w:pPr>
            <w:r w:rsidRPr="00B05F62">
              <w:rPr>
                <w:rFonts w:ascii="AcadNusx" w:hAnsi="AcadNusx"/>
              </w:rPr>
              <w:t>795</w:t>
            </w:r>
          </w:p>
        </w:tc>
      </w:tr>
      <w:tr w:rsidR="00EA3205" w:rsidRPr="00B05F62" w14:paraId="49A5501E"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EC00552"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798CA4A" w14:textId="77777777" w:rsidR="00EA3205" w:rsidRPr="00B05F62" w:rsidRDefault="00EA3205" w:rsidP="00EA3205">
            <w:pPr>
              <w:rPr>
                <w:rFonts w:ascii="AcadNusx" w:hAnsi="AcadNusx"/>
              </w:rPr>
            </w:pPr>
            <w:r w:rsidRPr="00B05F62">
              <w:rPr>
                <w:rFonts w:ascii="AcadNusx" w:hAnsi="AcadNusx"/>
              </w:rPr>
              <w:t>10,728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B957F3B" w14:textId="77777777" w:rsidR="00EA3205" w:rsidRPr="00B05F62" w:rsidRDefault="00EA3205" w:rsidP="00EA3205">
            <w:pPr>
              <w:rPr>
                <w:rFonts w:ascii="AcadNusx" w:hAnsi="AcadNusx"/>
              </w:rPr>
            </w:pPr>
            <w:r w:rsidRPr="00B05F62">
              <w:rPr>
                <w:rFonts w:ascii="AcadNusx" w:hAnsi="AcadNusx"/>
              </w:rPr>
              <w:t>11,392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13EC822"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090A80E"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188BE38D" w14:textId="77777777" w:rsidR="00EA3205" w:rsidRPr="00B05F62" w:rsidRDefault="00EA3205" w:rsidP="00EA3205">
            <w:pPr>
              <w:rPr>
                <w:rFonts w:ascii="AcadNusx" w:hAnsi="AcadNusx"/>
              </w:rPr>
            </w:pPr>
            <w:r w:rsidRPr="00B05F62">
              <w:rPr>
                <w:rFonts w:ascii="AcadNusx" w:hAnsi="AcadNusx"/>
              </w:rPr>
              <w:t>664</w:t>
            </w:r>
          </w:p>
        </w:tc>
      </w:tr>
      <w:tr w:rsidR="00EA3205" w:rsidRPr="00B05F62" w14:paraId="14854E56"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65FF7C11"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5478AF8"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4AB0A0E"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0ADC39B" w14:textId="77777777" w:rsidR="00EA3205" w:rsidRPr="00B05F62" w:rsidRDefault="00EA3205" w:rsidP="00EA3205">
            <w:pPr>
              <w:rPr>
                <w:rFonts w:ascii="AcadNusx" w:hAnsi="AcadNusx"/>
              </w:rPr>
            </w:pPr>
            <w:r w:rsidRPr="00B05F62">
              <w:rPr>
                <w:rFonts w:ascii="AcadNusx" w:hAnsi="AcadNusx"/>
              </w:rPr>
              <w:t>11,446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535E95A" w14:textId="77777777" w:rsidR="00EA3205" w:rsidRPr="00B05F62" w:rsidRDefault="00EA3205" w:rsidP="00EA3205">
            <w:pPr>
              <w:rPr>
                <w:rFonts w:ascii="AcadNusx" w:hAnsi="AcadNusx"/>
              </w:rPr>
            </w:pPr>
            <w:r w:rsidRPr="00B05F62">
              <w:rPr>
                <w:rFonts w:ascii="AcadNusx" w:hAnsi="AcadNusx"/>
              </w:rPr>
              <w:t>12,710</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045E596" w14:textId="77777777" w:rsidR="00EA3205" w:rsidRPr="00B05F62" w:rsidRDefault="00EA3205" w:rsidP="00EA3205">
            <w:pPr>
              <w:rPr>
                <w:rFonts w:ascii="AcadNusx" w:hAnsi="AcadNusx"/>
              </w:rPr>
            </w:pPr>
            <w:r w:rsidRPr="00B05F62">
              <w:rPr>
                <w:rFonts w:ascii="AcadNusx" w:hAnsi="AcadNusx"/>
              </w:rPr>
              <w:t>1,264</w:t>
            </w:r>
          </w:p>
        </w:tc>
      </w:tr>
      <w:tr w:rsidR="00EA3205" w:rsidRPr="00B05F62" w14:paraId="7B6DF802"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591AFE7A"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BA1703B" w14:textId="77777777" w:rsidR="00EA3205" w:rsidRPr="00B05F62" w:rsidRDefault="00EA3205" w:rsidP="00EA3205">
            <w:pPr>
              <w:rPr>
                <w:rFonts w:ascii="AcadNusx" w:hAnsi="AcadNusx"/>
              </w:rPr>
            </w:pPr>
            <w:r w:rsidRPr="00B05F62">
              <w:rPr>
                <w:rFonts w:ascii="AcadNusx" w:hAnsi="AcadNusx"/>
              </w:rPr>
              <w:t>11,526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B5B78A6" w14:textId="77777777" w:rsidR="00EA3205" w:rsidRPr="00B05F62" w:rsidRDefault="00EA3205" w:rsidP="00EA3205">
            <w:pPr>
              <w:rPr>
                <w:rFonts w:ascii="AcadNusx" w:hAnsi="AcadNusx"/>
              </w:rPr>
            </w:pPr>
            <w:r w:rsidRPr="00B05F62">
              <w:rPr>
                <w:rFonts w:ascii="AcadNusx" w:hAnsi="AcadNusx"/>
              </w:rPr>
              <w:t>12,591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F3063D3"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E7288AA"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AF1DB12" w14:textId="77777777" w:rsidR="00EA3205" w:rsidRPr="00B05F62" w:rsidRDefault="00EA3205" w:rsidP="00EA3205">
            <w:pPr>
              <w:rPr>
                <w:rFonts w:ascii="AcadNusx" w:hAnsi="AcadNusx"/>
              </w:rPr>
            </w:pPr>
            <w:r w:rsidRPr="00B05F62">
              <w:rPr>
                <w:rFonts w:ascii="AcadNusx" w:hAnsi="AcadNusx"/>
              </w:rPr>
              <w:t>1,065</w:t>
            </w:r>
          </w:p>
        </w:tc>
      </w:tr>
      <w:tr w:rsidR="00EA3205" w:rsidRPr="00B05F62" w14:paraId="59D10D78"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44D066F4"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A0A6CCB" w14:textId="77777777" w:rsidR="00EA3205" w:rsidRPr="00B05F62" w:rsidRDefault="00EA3205" w:rsidP="00EA3205">
            <w:pPr>
              <w:rPr>
                <w:rFonts w:ascii="AcadNusx" w:hAnsi="AcadNusx"/>
              </w:rPr>
            </w:pPr>
            <w:r w:rsidRPr="00B05F62">
              <w:rPr>
                <w:rFonts w:ascii="AcadNusx" w:hAnsi="AcadNusx"/>
              </w:rPr>
              <w:t>13,292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CFC6C88" w14:textId="77777777" w:rsidR="00EA3205" w:rsidRPr="00B05F62" w:rsidRDefault="00EA3205" w:rsidP="00EA3205">
            <w:pPr>
              <w:rPr>
                <w:rFonts w:ascii="AcadNusx" w:hAnsi="AcadNusx"/>
              </w:rPr>
            </w:pPr>
            <w:r w:rsidRPr="00B05F62">
              <w:rPr>
                <w:rFonts w:ascii="AcadNusx" w:hAnsi="AcadNusx"/>
              </w:rPr>
              <w:t>14,042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ADC6D82"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561CE5F"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5436EA8D" w14:textId="77777777" w:rsidR="00EA3205" w:rsidRPr="00B05F62" w:rsidRDefault="00EA3205" w:rsidP="00EA3205">
            <w:pPr>
              <w:rPr>
                <w:rFonts w:ascii="AcadNusx" w:hAnsi="AcadNusx"/>
              </w:rPr>
            </w:pPr>
            <w:r w:rsidRPr="00B05F62">
              <w:rPr>
                <w:rFonts w:ascii="AcadNusx" w:hAnsi="AcadNusx"/>
              </w:rPr>
              <w:t>750</w:t>
            </w:r>
          </w:p>
        </w:tc>
      </w:tr>
      <w:tr w:rsidR="00EA3205" w:rsidRPr="00B05F62" w14:paraId="0495CDE2"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43FEA429"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AECA47F"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36F4953"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F5C9692" w14:textId="77777777" w:rsidR="00EA3205" w:rsidRPr="00B05F62" w:rsidRDefault="00EA3205" w:rsidP="00EA3205">
            <w:pPr>
              <w:rPr>
                <w:rFonts w:ascii="AcadNusx" w:hAnsi="AcadNusx"/>
              </w:rPr>
            </w:pPr>
            <w:r w:rsidRPr="00B05F62">
              <w:rPr>
                <w:rFonts w:ascii="AcadNusx" w:hAnsi="AcadNusx"/>
              </w:rPr>
              <w:t>13,292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E093953" w14:textId="77777777" w:rsidR="00EA3205" w:rsidRPr="00B05F62" w:rsidRDefault="00EA3205" w:rsidP="00EA3205">
            <w:pPr>
              <w:rPr>
                <w:rFonts w:ascii="AcadNusx" w:hAnsi="AcadNusx"/>
              </w:rPr>
            </w:pPr>
            <w:r w:rsidRPr="00B05F62">
              <w:rPr>
                <w:rFonts w:ascii="AcadNusx" w:hAnsi="AcadNusx"/>
              </w:rPr>
              <w:t>14,071</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2E920A2" w14:textId="77777777" w:rsidR="00EA3205" w:rsidRPr="00B05F62" w:rsidRDefault="00EA3205" w:rsidP="00EA3205">
            <w:pPr>
              <w:rPr>
                <w:rFonts w:ascii="AcadNusx" w:hAnsi="AcadNusx"/>
              </w:rPr>
            </w:pPr>
            <w:r w:rsidRPr="00B05F62">
              <w:rPr>
                <w:rFonts w:ascii="AcadNusx" w:hAnsi="AcadNusx"/>
              </w:rPr>
              <w:t>779</w:t>
            </w:r>
          </w:p>
        </w:tc>
      </w:tr>
      <w:tr w:rsidR="00EA3205" w:rsidRPr="00B05F62" w14:paraId="37B6B9E8"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2080137"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823519B" w14:textId="77777777" w:rsidR="00EA3205" w:rsidRPr="00B05F62" w:rsidRDefault="00EA3205" w:rsidP="00EA3205">
            <w:pPr>
              <w:rPr>
                <w:rFonts w:ascii="AcadNusx" w:hAnsi="AcadNusx"/>
              </w:rPr>
            </w:pPr>
            <w:r w:rsidRPr="00B05F62">
              <w:rPr>
                <w:rFonts w:ascii="AcadNusx" w:hAnsi="AcadNusx"/>
              </w:rPr>
              <w:t>14,618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DFE6ABF" w14:textId="77777777" w:rsidR="00EA3205" w:rsidRPr="00B05F62" w:rsidRDefault="00EA3205" w:rsidP="00EA3205">
            <w:pPr>
              <w:rPr>
                <w:rFonts w:ascii="AcadNusx" w:hAnsi="AcadNusx"/>
              </w:rPr>
            </w:pPr>
            <w:r w:rsidRPr="00B05F62">
              <w:rPr>
                <w:rFonts w:ascii="AcadNusx" w:hAnsi="AcadNusx"/>
              </w:rPr>
              <w:t>14,706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451FE24"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88F70B0"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1E2DFF6" w14:textId="77777777" w:rsidR="00EA3205" w:rsidRPr="00B05F62" w:rsidRDefault="00EA3205" w:rsidP="00EA3205">
            <w:pPr>
              <w:rPr>
                <w:rFonts w:ascii="AcadNusx" w:hAnsi="AcadNusx"/>
              </w:rPr>
            </w:pPr>
            <w:r w:rsidRPr="00B05F62">
              <w:rPr>
                <w:rFonts w:ascii="AcadNusx" w:hAnsi="AcadNusx"/>
              </w:rPr>
              <w:t>88</w:t>
            </w:r>
          </w:p>
        </w:tc>
      </w:tr>
      <w:tr w:rsidR="00EA3205" w:rsidRPr="00B05F62" w14:paraId="4145F295"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806D571"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93739ED"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6B605E7"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00D295C" w14:textId="77777777" w:rsidR="00EA3205" w:rsidRPr="00B05F62" w:rsidRDefault="00EA3205" w:rsidP="00EA3205">
            <w:pPr>
              <w:rPr>
                <w:rFonts w:ascii="AcadNusx" w:hAnsi="AcadNusx"/>
              </w:rPr>
            </w:pPr>
            <w:r w:rsidRPr="00B05F62">
              <w:rPr>
                <w:rFonts w:ascii="AcadNusx" w:hAnsi="AcadNusx"/>
              </w:rPr>
              <w:t>14,618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3F8A255" w14:textId="77777777" w:rsidR="00EA3205" w:rsidRPr="00B05F62" w:rsidRDefault="00EA3205" w:rsidP="00EA3205">
            <w:pPr>
              <w:rPr>
                <w:rFonts w:ascii="AcadNusx" w:hAnsi="AcadNusx"/>
              </w:rPr>
            </w:pPr>
            <w:r w:rsidRPr="00B05F62">
              <w:rPr>
                <w:rFonts w:ascii="AcadNusx" w:hAnsi="AcadNusx"/>
              </w:rPr>
              <w:t>15,750</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24789702" w14:textId="77777777" w:rsidR="00EA3205" w:rsidRPr="00B05F62" w:rsidRDefault="00EA3205" w:rsidP="00EA3205">
            <w:pPr>
              <w:rPr>
                <w:rFonts w:ascii="AcadNusx" w:hAnsi="AcadNusx"/>
              </w:rPr>
            </w:pPr>
            <w:r w:rsidRPr="00B05F62">
              <w:rPr>
                <w:rFonts w:ascii="AcadNusx" w:hAnsi="AcadNusx"/>
              </w:rPr>
              <w:t>1,132</w:t>
            </w:r>
          </w:p>
        </w:tc>
      </w:tr>
      <w:tr w:rsidR="00EA3205" w:rsidRPr="00B05F62" w14:paraId="2C70B46C"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3780337"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E201A97" w14:textId="77777777" w:rsidR="00EA3205" w:rsidRPr="00B05F62" w:rsidRDefault="00EA3205" w:rsidP="00EA3205">
            <w:pPr>
              <w:rPr>
                <w:rFonts w:ascii="AcadNusx" w:hAnsi="AcadNusx"/>
              </w:rPr>
            </w:pPr>
            <w:r w:rsidRPr="00B05F62">
              <w:rPr>
                <w:rFonts w:ascii="AcadNusx" w:hAnsi="AcadNusx"/>
              </w:rPr>
              <w:t>15,030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0A8E2E1" w14:textId="77777777" w:rsidR="00EA3205" w:rsidRPr="00B05F62" w:rsidRDefault="00EA3205" w:rsidP="00EA3205">
            <w:pPr>
              <w:rPr>
                <w:rFonts w:ascii="AcadNusx" w:hAnsi="AcadNusx"/>
              </w:rPr>
            </w:pPr>
            <w:r w:rsidRPr="00B05F62">
              <w:rPr>
                <w:rFonts w:ascii="AcadNusx" w:hAnsi="AcadNusx"/>
              </w:rPr>
              <w:t>15,750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A14AB46"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5FB9EF5"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210DE0AB" w14:textId="77777777" w:rsidR="00EA3205" w:rsidRPr="00B05F62" w:rsidRDefault="00EA3205" w:rsidP="00EA3205">
            <w:pPr>
              <w:rPr>
                <w:rFonts w:ascii="AcadNusx" w:hAnsi="AcadNusx"/>
              </w:rPr>
            </w:pPr>
            <w:r w:rsidRPr="00B05F62">
              <w:rPr>
                <w:rFonts w:ascii="AcadNusx" w:hAnsi="AcadNusx"/>
              </w:rPr>
              <w:t>720</w:t>
            </w:r>
          </w:p>
        </w:tc>
      </w:tr>
      <w:tr w:rsidR="00EA3205" w:rsidRPr="00B05F62" w14:paraId="4DC78E1C"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AC664D4"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81711CD" w14:textId="77777777" w:rsidR="00EA3205" w:rsidRPr="00B05F62" w:rsidRDefault="00EA3205" w:rsidP="00EA3205">
            <w:pPr>
              <w:rPr>
                <w:rFonts w:ascii="AcadNusx" w:hAnsi="AcadNusx"/>
              </w:rPr>
            </w:pPr>
            <w:r w:rsidRPr="00B05F62">
              <w:rPr>
                <w:rFonts w:ascii="AcadNusx" w:hAnsi="AcadNusx"/>
              </w:rPr>
              <w:t>15,779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812B7D2" w14:textId="77777777" w:rsidR="00EA3205" w:rsidRPr="00B05F62" w:rsidRDefault="00EA3205" w:rsidP="00EA3205">
            <w:pPr>
              <w:rPr>
                <w:rFonts w:ascii="AcadNusx" w:hAnsi="AcadNusx"/>
              </w:rPr>
            </w:pPr>
            <w:r w:rsidRPr="00B05F62">
              <w:rPr>
                <w:rFonts w:ascii="AcadNusx" w:hAnsi="AcadNusx"/>
              </w:rPr>
              <w:t>16,145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122BEAB"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CF9759F"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192223E4" w14:textId="77777777" w:rsidR="00EA3205" w:rsidRPr="00B05F62" w:rsidRDefault="00EA3205" w:rsidP="00EA3205">
            <w:pPr>
              <w:rPr>
                <w:rFonts w:ascii="AcadNusx" w:hAnsi="AcadNusx"/>
              </w:rPr>
            </w:pPr>
            <w:r w:rsidRPr="00B05F62">
              <w:rPr>
                <w:rFonts w:ascii="AcadNusx" w:hAnsi="AcadNusx"/>
              </w:rPr>
              <w:t>366</w:t>
            </w:r>
          </w:p>
        </w:tc>
      </w:tr>
      <w:tr w:rsidR="00EA3205" w:rsidRPr="00B05F62" w14:paraId="58227D8E"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BA3AF6B"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18DA79D"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26402BC"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1C9B1D4" w14:textId="77777777" w:rsidR="00EA3205" w:rsidRPr="00B05F62" w:rsidRDefault="00EA3205" w:rsidP="00EA3205">
            <w:pPr>
              <w:rPr>
                <w:rFonts w:ascii="AcadNusx" w:hAnsi="AcadNusx"/>
              </w:rPr>
            </w:pPr>
            <w:r w:rsidRPr="00B05F62">
              <w:rPr>
                <w:rFonts w:ascii="AcadNusx" w:hAnsi="AcadNusx"/>
              </w:rPr>
              <w:t>15,779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1B7C918" w14:textId="77777777" w:rsidR="00EA3205" w:rsidRPr="00B05F62" w:rsidRDefault="00EA3205" w:rsidP="00EA3205">
            <w:pPr>
              <w:rPr>
                <w:rFonts w:ascii="AcadNusx" w:hAnsi="AcadNusx"/>
              </w:rPr>
            </w:pPr>
            <w:r w:rsidRPr="00B05F62">
              <w:rPr>
                <w:rFonts w:ascii="AcadNusx" w:hAnsi="AcadNusx"/>
              </w:rPr>
              <w:t>16,144</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2AA3E3E" w14:textId="77777777" w:rsidR="00EA3205" w:rsidRPr="00B05F62" w:rsidRDefault="00EA3205" w:rsidP="00EA3205">
            <w:pPr>
              <w:rPr>
                <w:rFonts w:ascii="AcadNusx" w:hAnsi="AcadNusx"/>
              </w:rPr>
            </w:pPr>
            <w:r w:rsidRPr="00B05F62">
              <w:rPr>
                <w:rFonts w:ascii="AcadNusx" w:hAnsi="AcadNusx"/>
              </w:rPr>
              <w:t>365</w:t>
            </w:r>
          </w:p>
        </w:tc>
      </w:tr>
      <w:tr w:rsidR="00EA3205" w:rsidRPr="00B05F62" w14:paraId="6A6D9AF9"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E37A7CB"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82CE891"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DE2EA00"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537EE6C" w14:textId="77777777" w:rsidR="00EA3205" w:rsidRPr="00B05F62" w:rsidRDefault="00EA3205" w:rsidP="00EA3205">
            <w:pPr>
              <w:rPr>
                <w:rFonts w:ascii="AcadNusx" w:hAnsi="AcadNusx"/>
              </w:rPr>
            </w:pPr>
            <w:r w:rsidRPr="00B05F62">
              <w:rPr>
                <w:rFonts w:ascii="AcadNusx" w:hAnsi="AcadNusx"/>
              </w:rPr>
              <w:t>16,184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DC278C8" w14:textId="77777777" w:rsidR="00EA3205" w:rsidRPr="00B05F62" w:rsidRDefault="00EA3205" w:rsidP="00EA3205">
            <w:pPr>
              <w:rPr>
                <w:rFonts w:ascii="AcadNusx" w:hAnsi="AcadNusx"/>
              </w:rPr>
            </w:pPr>
            <w:r w:rsidRPr="00B05F62">
              <w:rPr>
                <w:rFonts w:ascii="AcadNusx" w:hAnsi="AcadNusx"/>
              </w:rPr>
              <w:t>16,259</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68A0586F" w14:textId="77777777" w:rsidR="00EA3205" w:rsidRPr="00B05F62" w:rsidRDefault="00EA3205" w:rsidP="00EA3205">
            <w:pPr>
              <w:rPr>
                <w:rFonts w:ascii="AcadNusx" w:hAnsi="AcadNusx"/>
              </w:rPr>
            </w:pPr>
            <w:r w:rsidRPr="00B05F62">
              <w:rPr>
                <w:rFonts w:ascii="AcadNusx" w:hAnsi="AcadNusx"/>
              </w:rPr>
              <w:t>75</w:t>
            </w:r>
          </w:p>
        </w:tc>
      </w:tr>
      <w:tr w:rsidR="00EA3205" w:rsidRPr="00B05F62" w14:paraId="0C7B9C7C"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9DF3DF1"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4580737" w14:textId="77777777" w:rsidR="00EA3205" w:rsidRPr="00B05F62" w:rsidRDefault="00EA3205" w:rsidP="00EA3205">
            <w:pPr>
              <w:rPr>
                <w:rFonts w:ascii="AcadNusx" w:hAnsi="AcadNusx"/>
              </w:rPr>
            </w:pPr>
            <w:r w:rsidRPr="00B05F62">
              <w:rPr>
                <w:rFonts w:ascii="AcadNusx" w:hAnsi="AcadNusx"/>
              </w:rPr>
              <w:t>16,192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0199974" w14:textId="77777777" w:rsidR="00EA3205" w:rsidRPr="00B05F62" w:rsidRDefault="00EA3205" w:rsidP="00EA3205">
            <w:pPr>
              <w:rPr>
                <w:rFonts w:ascii="AcadNusx" w:hAnsi="AcadNusx"/>
              </w:rPr>
            </w:pPr>
            <w:r w:rsidRPr="00B05F62">
              <w:rPr>
                <w:rFonts w:ascii="AcadNusx" w:hAnsi="AcadNusx"/>
              </w:rPr>
              <w:t>16,476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120D421"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376B96C"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5CB4505B" w14:textId="77777777" w:rsidR="00EA3205" w:rsidRPr="00B05F62" w:rsidRDefault="00EA3205" w:rsidP="00EA3205">
            <w:pPr>
              <w:rPr>
                <w:rFonts w:ascii="AcadNusx" w:hAnsi="AcadNusx"/>
              </w:rPr>
            </w:pPr>
            <w:r w:rsidRPr="00B05F62">
              <w:rPr>
                <w:rFonts w:ascii="AcadNusx" w:hAnsi="AcadNusx"/>
              </w:rPr>
              <w:t>284</w:t>
            </w:r>
          </w:p>
        </w:tc>
      </w:tr>
      <w:tr w:rsidR="00EA3205" w:rsidRPr="00B05F62" w14:paraId="4CEB0DA6"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D2F0A53"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0AC04B9"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23DD658"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954BD19" w14:textId="77777777" w:rsidR="00EA3205" w:rsidRPr="00B05F62" w:rsidRDefault="00EA3205" w:rsidP="00EA3205">
            <w:pPr>
              <w:rPr>
                <w:rFonts w:ascii="AcadNusx" w:hAnsi="AcadNusx"/>
              </w:rPr>
            </w:pPr>
            <w:r w:rsidRPr="00B05F62">
              <w:rPr>
                <w:rFonts w:ascii="AcadNusx" w:hAnsi="AcadNusx"/>
              </w:rPr>
              <w:t>16,293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2E7145E" w14:textId="77777777" w:rsidR="00EA3205" w:rsidRPr="00B05F62" w:rsidRDefault="00EA3205" w:rsidP="00EA3205">
            <w:pPr>
              <w:rPr>
                <w:rFonts w:ascii="AcadNusx" w:hAnsi="AcadNusx"/>
              </w:rPr>
            </w:pPr>
            <w:r w:rsidRPr="00B05F62">
              <w:rPr>
                <w:rFonts w:ascii="AcadNusx" w:hAnsi="AcadNusx"/>
              </w:rPr>
              <w:t>17,465</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6051B09" w14:textId="77777777" w:rsidR="00EA3205" w:rsidRPr="00B05F62" w:rsidRDefault="00EA3205" w:rsidP="00EA3205">
            <w:pPr>
              <w:rPr>
                <w:rFonts w:ascii="AcadNusx" w:hAnsi="AcadNusx"/>
              </w:rPr>
            </w:pPr>
            <w:r w:rsidRPr="00B05F62">
              <w:rPr>
                <w:rFonts w:ascii="AcadNusx" w:hAnsi="AcadNusx"/>
              </w:rPr>
              <w:t>1,172</w:t>
            </w:r>
          </w:p>
        </w:tc>
      </w:tr>
      <w:tr w:rsidR="00EA3205" w:rsidRPr="00B05F62" w14:paraId="4379AF03"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07769ED"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0279406" w14:textId="77777777" w:rsidR="00EA3205" w:rsidRPr="00B05F62" w:rsidRDefault="00EA3205" w:rsidP="00EA3205">
            <w:pPr>
              <w:rPr>
                <w:rFonts w:ascii="AcadNusx" w:hAnsi="AcadNusx"/>
              </w:rPr>
            </w:pPr>
            <w:r w:rsidRPr="00B05F62">
              <w:rPr>
                <w:rFonts w:ascii="AcadNusx" w:hAnsi="AcadNusx"/>
              </w:rPr>
              <w:t>16,546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9666572" w14:textId="77777777" w:rsidR="00EA3205" w:rsidRPr="00B05F62" w:rsidRDefault="00EA3205" w:rsidP="00EA3205">
            <w:pPr>
              <w:rPr>
                <w:rFonts w:ascii="AcadNusx" w:hAnsi="AcadNusx"/>
              </w:rPr>
            </w:pPr>
            <w:r w:rsidRPr="00B05F62">
              <w:rPr>
                <w:rFonts w:ascii="AcadNusx" w:hAnsi="AcadNusx"/>
              </w:rPr>
              <w:t>16,637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84EBA40"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F4C228F"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16D6A4B7" w14:textId="77777777" w:rsidR="00EA3205" w:rsidRPr="00B05F62" w:rsidRDefault="00EA3205" w:rsidP="00EA3205">
            <w:pPr>
              <w:rPr>
                <w:rFonts w:ascii="AcadNusx" w:hAnsi="AcadNusx"/>
              </w:rPr>
            </w:pPr>
            <w:r w:rsidRPr="00B05F62">
              <w:rPr>
                <w:rFonts w:ascii="AcadNusx" w:hAnsi="AcadNusx"/>
              </w:rPr>
              <w:t>91</w:t>
            </w:r>
          </w:p>
        </w:tc>
      </w:tr>
      <w:tr w:rsidR="00EA3205" w:rsidRPr="00B05F62" w14:paraId="4EE9F694"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2E3BD836"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8E26C74" w14:textId="77777777" w:rsidR="00EA3205" w:rsidRPr="00B05F62" w:rsidRDefault="00EA3205" w:rsidP="00EA3205">
            <w:pPr>
              <w:rPr>
                <w:rFonts w:ascii="AcadNusx" w:hAnsi="AcadNusx"/>
              </w:rPr>
            </w:pPr>
            <w:r w:rsidRPr="00B05F62">
              <w:rPr>
                <w:rFonts w:ascii="AcadNusx" w:hAnsi="AcadNusx"/>
              </w:rPr>
              <w:t>16,863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1677A01" w14:textId="77777777" w:rsidR="00EA3205" w:rsidRPr="00B05F62" w:rsidRDefault="00EA3205" w:rsidP="00EA3205">
            <w:pPr>
              <w:rPr>
                <w:rFonts w:ascii="AcadNusx" w:hAnsi="AcadNusx"/>
              </w:rPr>
            </w:pPr>
            <w:r w:rsidRPr="00B05F62">
              <w:rPr>
                <w:rFonts w:ascii="AcadNusx" w:hAnsi="AcadNusx"/>
              </w:rPr>
              <w:t>17,465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9C0465D"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0583B00"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23DC20FB" w14:textId="77777777" w:rsidR="00EA3205" w:rsidRPr="00B05F62" w:rsidRDefault="00EA3205" w:rsidP="00EA3205">
            <w:pPr>
              <w:rPr>
                <w:rFonts w:ascii="AcadNusx" w:hAnsi="AcadNusx"/>
              </w:rPr>
            </w:pPr>
            <w:r w:rsidRPr="00B05F62">
              <w:rPr>
                <w:rFonts w:ascii="AcadNusx" w:hAnsi="AcadNusx"/>
              </w:rPr>
              <w:t>602</w:t>
            </w:r>
          </w:p>
        </w:tc>
      </w:tr>
      <w:tr w:rsidR="00EA3205" w:rsidRPr="00B05F62" w14:paraId="7AA0A7FA"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0A56ADB"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500F3ED" w14:textId="77777777" w:rsidR="00EA3205" w:rsidRPr="00B05F62" w:rsidRDefault="00EA3205" w:rsidP="00EA3205">
            <w:pPr>
              <w:rPr>
                <w:rFonts w:ascii="AcadNusx" w:hAnsi="AcadNusx"/>
              </w:rPr>
            </w:pPr>
            <w:r w:rsidRPr="00B05F62">
              <w:rPr>
                <w:rFonts w:ascii="AcadNusx" w:hAnsi="AcadNusx"/>
              </w:rPr>
              <w:t>17,580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09AB6EB" w14:textId="77777777" w:rsidR="00EA3205" w:rsidRPr="00B05F62" w:rsidRDefault="00EA3205" w:rsidP="00EA3205">
            <w:pPr>
              <w:rPr>
                <w:rFonts w:ascii="AcadNusx" w:hAnsi="AcadNusx"/>
              </w:rPr>
            </w:pPr>
            <w:r w:rsidRPr="00B05F62">
              <w:rPr>
                <w:rFonts w:ascii="AcadNusx" w:hAnsi="AcadNusx"/>
              </w:rPr>
              <w:t>18,382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A684948"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DD04F5D"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B814E2C" w14:textId="77777777" w:rsidR="00EA3205" w:rsidRPr="00B05F62" w:rsidRDefault="00EA3205" w:rsidP="00EA3205">
            <w:pPr>
              <w:rPr>
                <w:rFonts w:ascii="AcadNusx" w:hAnsi="AcadNusx"/>
              </w:rPr>
            </w:pPr>
            <w:r w:rsidRPr="00B05F62">
              <w:rPr>
                <w:rFonts w:ascii="AcadNusx" w:hAnsi="AcadNusx"/>
              </w:rPr>
              <w:t>802</w:t>
            </w:r>
          </w:p>
        </w:tc>
      </w:tr>
      <w:tr w:rsidR="00EA3205" w:rsidRPr="00B05F62" w14:paraId="4E2D6E20"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059124B"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41F6D15"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4A8B46A"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71E436B" w14:textId="77777777" w:rsidR="00EA3205" w:rsidRPr="00B05F62" w:rsidRDefault="00EA3205" w:rsidP="00EA3205">
            <w:pPr>
              <w:rPr>
                <w:rFonts w:ascii="AcadNusx" w:hAnsi="AcadNusx"/>
              </w:rPr>
            </w:pPr>
            <w:r w:rsidRPr="00B05F62">
              <w:rPr>
                <w:rFonts w:ascii="AcadNusx" w:hAnsi="AcadNusx"/>
              </w:rPr>
              <w:t>17,580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F0D0B8E" w14:textId="77777777" w:rsidR="00EA3205" w:rsidRPr="00B05F62" w:rsidRDefault="00EA3205" w:rsidP="00EA3205">
            <w:pPr>
              <w:rPr>
                <w:rFonts w:ascii="AcadNusx" w:hAnsi="AcadNusx"/>
              </w:rPr>
            </w:pPr>
            <w:r w:rsidRPr="00B05F62">
              <w:rPr>
                <w:rFonts w:ascii="AcadNusx" w:hAnsi="AcadNusx"/>
              </w:rPr>
              <w:t>18,431</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22811C75" w14:textId="77777777" w:rsidR="00EA3205" w:rsidRPr="00B05F62" w:rsidRDefault="00EA3205" w:rsidP="00EA3205">
            <w:pPr>
              <w:rPr>
                <w:rFonts w:ascii="AcadNusx" w:hAnsi="AcadNusx"/>
              </w:rPr>
            </w:pPr>
            <w:r w:rsidRPr="00B05F62">
              <w:rPr>
                <w:rFonts w:ascii="AcadNusx" w:hAnsi="AcadNusx"/>
              </w:rPr>
              <w:t>851</w:t>
            </w:r>
          </w:p>
        </w:tc>
      </w:tr>
      <w:tr w:rsidR="00EA3205" w:rsidRPr="00B05F62" w14:paraId="02458DB2"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FE68F40"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B126AFC" w14:textId="77777777" w:rsidR="00EA3205" w:rsidRPr="00B05F62" w:rsidRDefault="00EA3205" w:rsidP="00EA3205">
            <w:pPr>
              <w:rPr>
                <w:rFonts w:ascii="AcadNusx" w:hAnsi="AcadNusx"/>
              </w:rPr>
            </w:pPr>
            <w:r w:rsidRPr="00B05F62">
              <w:rPr>
                <w:rFonts w:ascii="AcadNusx" w:hAnsi="AcadNusx"/>
              </w:rPr>
              <w:t>18,669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C9F0C21" w14:textId="77777777" w:rsidR="00EA3205" w:rsidRPr="00B05F62" w:rsidRDefault="00EA3205" w:rsidP="00EA3205">
            <w:pPr>
              <w:rPr>
                <w:rFonts w:ascii="AcadNusx" w:hAnsi="AcadNusx"/>
              </w:rPr>
            </w:pPr>
            <w:r w:rsidRPr="00B05F62">
              <w:rPr>
                <w:rFonts w:ascii="AcadNusx" w:hAnsi="AcadNusx"/>
              </w:rPr>
              <w:t>19,456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CA12BDF"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E1CFAB5"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28CAAC6D" w14:textId="77777777" w:rsidR="00EA3205" w:rsidRPr="00B05F62" w:rsidRDefault="00EA3205" w:rsidP="00EA3205">
            <w:pPr>
              <w:rPr>
                <w:rFonts w:ascii="AcadNusx" w:hAnsi="AcadNusx"/>
              </w:rPr>
            </w:pPr>
            <w:r w:rsidRPr="00B05F62">
              <w:rPr>
                <w:rFonts w:ascii="AcadNusx" w:hAnsi="AcadNusx"/>
              </w:rPr>
              <w:t>787</w:t>
            </w:r>
          </w:p>
        </w:tc>
      </w:tr>
      <w:tr w:rsidR="00EA3205" w:rsidRPr="00B05F62" w14:paraId="3D21E967"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41598CB4"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377A139"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F70CB4B"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533CFF0" w14:textId="77777777" w:rsidR="00EA3205" w:rsidRPr="00B05F62" w:rsidRDefault="00EA3205" w:rsidP="00EA3205">
            <w:pPr>
              <w:rPr>
                <w:rFonts w:ascii="AcadNusx" w:hAnsi="AcadNusx"/>
              </w:rPr>
            </w:pPr>
            <w:r w:rsidRPr="00B05F62">
              <w:rPr>
                <w:rFonts w:ascii="AcadNusx" w:hAnsi="AcadNusx"/>
              </w:rPr>
              <w:t>18,649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FBD2646" w14:textId="77777777" w:rsidR="00EA3205" w:rsidRPr="00B05F62" w:rsidRDefault="00EA3205" w:rsidP="00EA3205">
            <w:pPr>
              <w:rPr>
                <w:rFonts w:ascii="AcadNusx" w:hAnsi="AcadNusx"/>
              </w:rPr>
            </w:pPr>
            <w:r w:rsidRPr="00B05F62">
              <w:rPr>
                <w:rFonts w:ascii="AcadNusx" w:hAnsi="AcadNusx"/>
              </w:rPr>
              <w:t>19,571</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6671F71C" w14:textId="77777777" w:rsidR="00EA3205" w:rsidRPr="00B05F62" w:rsidRDefault="00EA3205" w:rsidP="00EA3205">
            <w:pPr>
              <w:rPr>
                <w:rFonts w:ascii="AcadNusx" w:hAnsi="AcadNusx"/>
              </w:rPr>
            </w:pPr>
            <w:r w:rsidRPr="00B05F62">
              <w:rPr>
                <w:rFonts w:ascii="AcadNusx" w:hAnsi="AcadNusx"/>
              </w:rPr>
              <w:t>922</w:t>
            </w:r>
          </w:p>
        </w:tc>
      </w:tr>
      <w:tr w:rsidR="00EA3205" w:rsidRPr="00B05F62" w14:paraId="5D73B581"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5903F466"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7C3E10C" w14:textId="77777777" w:rsidR="00EA3205" w:rsidRPr="00B05F62" w:rsidRDefault="00EA3205" w:rsidP="00EA3205">
            <w:pPr>
              <w:rPr>
                <w:rFonts w:ascii="AcadNusx" w:hAnsi="AcadNusx"/>
              </w:rPr>
            </w:pPr>
            <w:r w:rsidRPr="00B05F62">
              <w:rPr>
                <w:rFonts w:ascii="AcadNusx" w:hAnsi="AcadNusx"/>
              </w:rPr>
              <w:t>19,843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09D43BC" w14:textId="77777777" w:rsidR="00EA3205" w:rsidRPr="00B05F62" w:rsidRDefault="00EA3205" w:rsidP="00EA3205">
            <w:pPr>
              <w:rPr>
                <w:rFonts w:ascii="AcadNusx" w:hAnsi="AcadNusx"/>
              </w:rPr>
            </w:pPr>
            <w:r w:rsidRPr="00B05F62">
              <w:rPr>
                <w:rFonts w:ascii="AcadNusx" w:hAnsi="AcadNusx"/>
              </w:rPr>
              <w:t>20,109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C3C2385"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A2B5CD8"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C9579F0" w14:textId="77777777" w:rsidR="00EA3205" w:rsidRPr="00B05F62" w:rsidRDefault="00EA3205" w:rsidP="00EA3205">
            <w:pPr>
              <w:rPr>
                <w:rFonts w:ascii="AcadNusx" w:hAnsi="AcadNusx"/>
              </w:rPr>
            </w:pPr>
            <w:r w:rsidRPr="00B05F62">
              <w:rPr>
                <w:rFonts w:ascii="AcadNusx" w:hAnsi="AcadNusx"/>
              </w:rPr>
              <w:t>266</w:t>
            </w:r>
          </w:p>
        </w:tc>
      </w:tr>
      <w:tr w:rsidR="00EA3205" w:rsidRPr="00B05F62" w14:paraId="55D8105E"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B06F8BB"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580FE72"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0AE0D18"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039159C" w14:textId="77777777" w:rsidR="00EA3205" w:rsidRPr="00B05F62" w:rsidRDefault="00EA3205" w:rsidP="00EA3205">
            <w:pPr>
              <w:rPr>
                <w:rFonts w:ascii="AcadNusx" w:hAnsi="AcadNusx"/>
              </w:rPr>
            </w:pPr>
            <w:r w:rsidRPr="00B05F62">
              <w:rPr>
                <w:rFonts w:ascii="AcadNusx" w:hAnsi="AcadNusx"/>
              </w:rPr>
              <w:t>19,809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8FEA484" w14:textId="77777777" w:rsidR="00EA3205" w:rsidRPr="00B05F62" w:rsidRDefault="00EA3205" w:rsidP="00EA3205">
            <w:pPr>
              <w:rPr>
                <w:rFonts w:ascii="AcadNusx" w:hAnsi="AcadNusx"/>
              </w:rPr>
            </w:pPr>
            <w:r w:rsidRPr="00B05F62">
              <w:rPr>
                <w:rFonts w:ascii="AcadNusx" w:hAnsi="AcadNusx"/>
              </w:rPr>
              <w:t>20,109</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BFA2130" w14:textId="77777777" w:rsidR="00EA3205" w:rsidRPr="00B05F62" w:rsidRDefault="00EA3205" w:rsidP="00EA3205">
            <w:pPr>
              <w:rPr>
                <w:rFonts w:ascii="AcadNusx" w:hAnsi="AcadNusx"/>
              </w:rPr>
            </w:pPr>
            <w:r w:rsidRPr="00B05F62">
              <w:rPr>
                <w:rFonts w:ascii="AcadNusx" w:hAnsi="AcadNusx"/>
              </w:rPr>
              <w:t>300</w:t>
            </w:r>
          </w:p>
        </w:tc>
      </w:tr>
      <w:tr w:rsidR="00EA3205" w:rsidRPr="00B05F62" w14:paraId="3C53B7ED"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5CF8CF7F"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03D23D0" w14:textId="77777777" w:rsidR="00EA3205" w:rsidRPr="00B05F62" w:rsidRDefault="00EA3205" w:rsidP="00EA3205">
            <w:pPr>
              <w:rPr>
                <w:rFonts w:ascii="AcadNusx" w:hAnsi="AcadNusx"/>
              </w:rPr>
            </w:pPr>
            <w:r w:rsidRPr="00B05F62">
              <w:rPr>
                <w:rFonts w:ascii="AcadNusx" w:hAnsi="AcadNusx"/>
              </w:rPr>
              <w:t>20,139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493B2E2" w14:textId="77777777" w:rsidR="00EA3205" w:rsidRPr="00B05F62" w:rsidRDefault="00EA3205" w:rsidP="00EA3205">
            <w:pPr>
              <w:rPr>
                <w:rFonts w:ascii="AcadNusx" w:hAnsi="AcadNusx"/>
              </w:rPr>
            </w:pPr>
            <w:r w:rsidRPr="00B05F62">
              <w:rPr>
                <w:rFonts w:ascii="AcadNusx" w:hAnsi="AcadNusx"/>
              </w:rPr>
              <w:t>20,540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1427D84"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ED5FCA2"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624997DC" w14:textId="77777777" w:rsidR="00EA3205" w:rsidRPr="00B05F62" w:rsidRDefault="00EA3205" w:rsidP="00EA3205">
            <w:pPr>
              <w:rPr>
                <w:rFonts w:ascii="AcadNusx" w:hAnsi="AcadNusx"/>
              </w:rPr>
            </w:pPr>
            <w:r w:rsidRPr="00B05F62">
              <w:rPr>
                <w:rFonts w:ascii="AcadNusx" w:hAnsi="AcadNusx"/>
              </w:rPr>
              <w:t>401</w:t>
            </w:r>
          </w:p>
        </w:tc>
      </w:tr>
      <w:tr w:rsidR="00EA3205" w:rsidRPr="00B05F62" w14:paraId="78FEDAAE"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2C3D33D"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D8BCAB0"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6EBA1C5"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8A9E89F" w14:textId="77777777" w:rsidR="00EA3205" w:rsidRPr="00B05F62" w:rsidRDefault="00EA3205" w:rsidP="00EA3205">
            <w:pPr>
              <w:rPr>
                <w:rFonts w:ascii="AcadNusx" w:hAnsi="AcadNusx"/>
              </w:rPr>
            </w:pPr>
            <w:r w:rsidRPr="00B05F62">
              <w:rPr>
                <w:rFonts w:ascii="AcadNusx" w:hAnsi="AcadNusx"/>
              </w:rPr>
              <w:t>20,139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94DDE60" w14:textId="77777777" w:rsidR="00EA3205" w:rsidRPr="00B05F62" w:rsidRDefault="00EA3205" w:rsidP="00EA3205">
            <w:pPr>
              <w:rPr>
                <w:rFonts w:ascii="AcadNusx" w:hAnsi="AcadNusx"/>
              </w:rPr>
            </w:pPr>
            <w:r w:rsidRPr="00B05F62">
              <w:rPr>
                <w:rFonts w:ascii="AcadNusx" w:hAnsi="AcadNusx"/>
              </w:rPr>
              <w:t>21,547</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5B58CEB5" w14:textId="77777777" w:rsidR="00EA3205" w:rsidRPr="00B05F62" w:rsidRDefault="00EA3205" w:rsidP="00EA3205">
            <w:pPr>
              <w:rPr>
                <w:rFonts w:ascii="AcadNusx" w:hAnsi="AcadNusx"/>
              </w:rPr>
            </w:pPr>
            <w:r w:rsidRPr="00B05F62">
              <w:rPr>
                <w:rFonts w:ascii="AcadNusx" w:hAnsi="AcadNusx"/>
              </w:rPr>
              <w:t>1,408</w:t>
            </w:r>
          </w:p>
        </w:tc>
      </w:tr>
      <w:tr w:rsidR="00EA3205" w:rsidRPr="00B05F62" w14:paraId="02C39B50"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641838C0"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045FB30" w14:textId="77777777" w:rsidR="00EA3205" w:rsidRPr="00B05F62" w:rsidRDefault="00EA3205" w:rsidP="00EA3205">
            <w:pPr>
              <w:rPr>
                <w:rFonts w:ascii="AcadNusx" w:hAnsi="AcadNusx"/>
              </w:rPr>
            </w:pPr>
            <w:r w:rsidRPr="00B05F62">
              <w:rPr>
                <w:rFonts w:ascii="AcadNusx" w:hAnsi="AcadNusx"/>
              </w:rPr>
              <w:t>20,640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7C22751" w14:textId="77777777" w:rsidR="00EA3205" w:rsidRPr="00B05F62" w:rsidRDefault="00EA3205" w:rsidP="00EA3205">
            <w:pPr>
              <w:rPr>
                <w:rFonts w:ascii="AcadNusx" w:hAnsi="AcadNusx"/>
              </w:rPr>
            </w:pPr>
            <w:r w:rsidRPr="00B05F62">
              <w:rPr>
                <w:rFonts w:ascii="AcadNusx" w:hAnsi="AcadNusx"/>
              </w:rPr>
              <w:t>21,547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E6B4830"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4BD1349"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349993B0" w14:textId="77777777" w:rsidR="00EA3205" w:rsidRPr="00B05F62" w:rsidRDefault="00EA3205" w:rsidP="00EA3205">
            <w:pPr>
              <w:rPr>
                <w:rFonts w:ascii="AcadNusx" w:hAnsi="AcadNusx"/>
              </w:rPr>
            </w:pPr>
            <w:r w:rsidRPr="00B05F62">
              <w:rPr>
                <w:rFonts w:ascii="AcadNusx" w:hAnsi="AcadNusx"/>
              </w:rPr>
              <w:t>907</w:t>
            </w:r>
          </w:p>
        </w:tc>
      </w:tr>
      <w:tr w:rsidR="00EA3205" w:rsidRPr="00B05F62" w14:paraId="4083BDB3"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2529ED68"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485821A" w14:textId="77777777" w:rsidR="00EA3205" w:rsidRPr="00B05F62" w:rsidRDefault="00EA3205" w:rsidP="00EA3205">
            <w:pPr>
              <w:rPr>
                <w:rFonts w:ascii="AcadNusx" w:hAnsi="AcadNusx"/>
              </w:rPr>
            </w:pPr>
            <w:r w:rsidRPr="00B05F62">
              <w:rPr>
                <w:rFonts w:ascii="AcadNusx" w:hAnsi="AcadNusx"/>
              </w:rPr>
              <w:t>21,638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0DD0FB1" w14:textId="77777777" w:rsidR="00EA3205" w:rsidRPr="00B05F62" w:rsidRDefault="00EA3205" w:rsidP="00EA3205">
            <w:pPr>
              <w:rPr>
                <w:rFonts w:ascii="AcadNusx" w:hAnsi="AcadNusx"/>
              </w:rPr>
            </w:pPr>
            <w:r w:rsidRPr="00B05F62">
              <w:rPr>
                <w:rFonts w:ascii="AcadNusx" w:hAnsi="AcadNusx"/>
              </w:rPr>
              <w:t>21,817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BAFB086"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E13D97F"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5A8BCEA7" w14:textId="77777777" w:rsidR="00EA3205" w:rsidRPr="00B05F62" w:rsidRDefault="00EA3205" w:rsidP="00EA3205">
            <w:pPr>
              <w:rPr>
                <w:rFonts w:ascii="AcadNusx" w:hAnsi="AcadNusx"/>
              </w:rPr>
            </w:pPr>
            <w:r w:rsidRPr="00B05F62">
              <w:rPr>
                <w:rFonts w:ascii="AcadNusx" w:hAnsi="AcadNusx"/>
              </w:rPr>
              <w:t>179</w:t>
            </w:r>
          </w:p>
        </w:tc>
      </w:tr>
      <w:tr w:rsidR="00EA3205" w:rsidRPr="00B05F62" w14:paraId="02F11CB1"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19115E7C"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A628873"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1196F9B"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7DB6042" w14:textId="77777777" w:rsidR="00EA3205" w:rsidRPr="00B05F62" w:rsidRDefault="00EA3205" w:rsidP="00EA3205">
            <w:pPr>
              <w:rPr>
                <w:rFonts w:ascii="AcadNusx" w:hAnsi="AcadNusx"/>
              </w:rPr>
            </w:pPr>
            <w:r w:rsidRPr="00B05F62">
              <w:rPr>
                <w:rFonts w:ascii="AcadNusx" w:hAnsi="AcadNusx"/>
              </w:rPr>
              <w:t>21,638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6087A61" w14:textId="77777777" w:rsidR="00EA3205" w:rsidRPr="00B05F62" w:rsidRDefault="00EA3205" w:rsidP="00EA3205">
            <w:pPr>
              <w:rPr>
                <w:rFonts w:ascii="AcadNusx" w:hAnsi="AcadNusx"/>
              </w:rPr>
            </w:pPr>
            <w:r w:rsidRPr="00B05F62">
              <w:rPr>
                <w:rFonts w:ascii="AcadNusx" w:hAnsi="AcadNusx"/>
              </w:rPr>
              <w:t>22,522</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E4B89C6" w14:textId="77777777" w:rsidR="00EA3205" w:rsidRPr="00B05F62" w:rsidRDefault="00EA3205" w:rsidP="00EA3205">
            <w:pPr>
              <w:rPr>
                <w:rFonts w:ascii="AcadNusx" w:hAnsi="AcadNusx"/>
              </w:rPr>
            </w:pPr>
            <w:r w:rsidRPr="00B05F62">
              <w:rPr>
                <w:rFonts w:ascii="AcadNusx" w:hAnsi="AcadNusx"/>
              </w:rPr>
              <w:t>884</w:t>
            </w:r>
          </w:p>
        </w:tc>
      </w:tr>
      <w:tr w:rsidR="00EA3205" w:rsidRPr="00B05F62" w14:paraId="58F83784"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6E668C5"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04E4FCC" w14:textId="77777777" w:rsidR="00EA3205" w:rsidRPr="00B05F62" w:rsidRDefault="00EA3205" w:rsidP="00EA3205">
            <w:pPr>
              <w:rPr>
                <w:rFonts w:ascii="AcadNusx" w:hAnsi="AcadNusx"/>
              </w:rPr>
            </w:pPr>
            <w:r w:rsidRPr="00B05F62">
              <w:rPr>
                <w:rFonts w:ascii="AcadNusx" w:hAnsi="AcadNusx"/>
              </w:rPr>
              <w:t>21,954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75803D3" w14:textId="77777777" w:rsidR="00EA3205" w:rsidRPr="00B05F62" w:rsidRDefault="00EA3205" w:rsidP="00EA3205">
            <w:pPr>
              <w:rPr>
                <w:rFonts w:ascii="AcadNusx" w:hAnsi="AcadNusx"/>
              </w:rPr>
            </w:pPr>
            <w:r w:rsidRPr="00B05F62">
              <w:rPr>
                <w:rFonts w:ascii="AcadNusx" w:hAnsi="AcadNusx"/>
              </w:rPr>
              <w:t>22,522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69790C4"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F9992A2"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219B2C1E" w14:textId="77777777" w:rsidR="00EA3205" w:rsidRPr="00B05F62" w:rsidRDefault="00EA3205" w:rsidP="00EA3205">
            <w:pPr>
              <w:rPr>
                <w:rFonts w:ascii="AcadNusx" w:hAnsi="AcadNusx"/>
              </w:rPr>
            </w:pPr>
            <w:r w:rsidRPr="00B05F62">
              <w:rPr>
                <w:rFonts w:ascii="AcadNusx" w:hAnsi="AcadNusx"/>
              </w:rPr>
              <w:t>568</w:t>
            </w:r>
          </w:p>
        </w:tc>
      </w:tr>
      <w:tr w:rsidR="00EA3205" w:rsidRPr="00B05F62" w14:paraId="18ACA44F"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45769AC5"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21C4CE8" w14:textId="77777777" w:rsidR="00EA3205" w:rsidRPr="00B05F62" w:rsidRDefault="00EA3205" w:rsidP="00EA3205">
            <w:pPr>
              <w:rPr>
                <w:rFonts w:ascii="AcadNusx" w:hAnsi="AcadNusx"/>
              </w:rPr>
            </w:pPr>
            <w:r w:rsidRPr="00B05F62">
              <w:rPr>
                <w:rFonts w:ascii="AcadNusx" w:hAnsi="AcadNusx"/>
              </w:rPr>
              <w:t>22,636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2BF5C36" w14:textId="77777777" w:rsidR="00EA3205" w:rsidRPr="00B05F62" w:rsidRDefault="00EA3205" w:rsidP="00EA3205">
            <w:pPr>
              <w:rPr>
                <w:rFonts w:ascii="AcadNusx" w:hAnsi="AcadNusx"/>
              </w:rPr>
            </w:pPr>
            <w:r w:rsidRPr="00B05F62">
              <w:rPr>
                <w:rFonts w:ascii="AcadNusx" w:hAnsi="AcadNusx"/>
              </w:rPr>
              <w:t>23,491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2416E3E"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32F0634"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1E0DF640" w14:textId="77777777" w:rsidR="00EA3205" w:rsidRPr="00B05F62" w:rsidRDefault="00EA3205" w:rsidP="00EA3205">
            <w:pPr>
              <w:rPr>
                <w:rFonts w:ascii="AcadNusx" w:hAnsi="AcadNusx"/>
              </w:rPr>
            </w:pPr>
            <w:r w:rsidRPr="00B05F62">
              <w:rPr>
                <w:rFonts w:ascii="AcadNusx" w:hAnsi="AcadNusx"/>
              </w:rPr>
              <w:t>855</w:t>
            </w:r>
          </w:p>
        </w:tc>
      </w:tr>
      <w:tr w:rsidR="00EA3205" w:rsidRPr="00B05F62" w14:paraId="028E9034"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22820E0"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881F15D"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C155B45"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A5B41C8" w14:textId="77777777" w:rsidR="00EA3205" w:rsidRPr="00B05F62" w:rsidRDefault="00EA3205" w:rsidP="00EA3205">
            <w:pPr>
              <w:rPr>
                <w:rFonts w:ascii="AcadNusx" w:hAnsi="AcadNusx"/>
              </w:rPr>
            </w:pPr>
            <w:r w:rsidRPr="00B05F62">
              <w:rPr>
                <w:rFonts w:ascii="AcadNusx" w:hAnsi="AcadNusx"/>
              </w:rPr>
              <w:t>22,636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9F755B8" w14:textId="77777777" w:rsidR="00EA3205" w:rsidRPr="00B05F62" w:rsidRDefault="00EA3205" w:rsidP="00EA3205">
            <w:pPr>
              <w:rPr>
                <w:rFonts w:ascii="AcadNusx" w:hAnsi="AcadNusx"/>
              </w:rPr>
            </w:pPr>
            <w:r w:rsidRPr="00B05F62">
              <w:rPr>
                <w:rFonts w:ascii="AcadNusx" w:hAnsi="AcadNusx"/>
              </w:rPr>
              <w:t>24,184</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60A0594C" w14:textId="77777777" w:rsidR="00EA3205" w:rsidRPr="00B05F62" w:rsidRDefault="00EA3205" w:rsidP="00EA3205">
            <w:pPr>
              <w:rPr>
                <w:rFonts w:ascii="AcadNusx" w:hAnsi="AcadNusx"/>
              </w:rPr>
            </w:pPr>
            <w:r w:rsidRPr="00B05F62">
              <w:rPr>
                <w:rFonts w:ascii="AcadNusx" w:hAnsi="AcadNusx"/>
              </w:rPr>
              <w:t>1,548</w:t>
            </w:r>
          </w:p>
        </w:tc>
      </w:tr>
      <w:tr w:rsidR="00EA3205" w:rsidRPr="00B05F62" w14:paraId="5A5FB094"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23EDB55"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0710773" w14:textId="77777777" w:rsidR="00EA3205" w:rsidRPr="00B05F62" w:rsidRDefault="00EA3205" w:rsidP="00EA3205">
            <w:pPr>
              <w:rPr>
                <w:rFonts w:ascii="AcadNusx" w:hAnsi="AcadNusx"/>
              </w:rPr>
            </w:pPr>
            <w:r w:rsidRPr="00B05F62">
              <w:rPr>
                <w:rFonts w:ascii="AcadNusx" w:hAnsi="AcadNusx"/>
              </w:rPr>
              <w:t>23,654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B37A0C3" w14:textId="77777777" w:rsidR="00EA3205" w:rsidRPr="00B05F62" w:rsidRDefault="00EA3205" w:rsidP="00EA3205">
            <w:pPr>
              <w:rPr>
                <w:rFonts w:ascii="AcadNusx" w:hAnsi="AcadNusx"/>
              </w:rPr>
            </w:pPr>
            <w:r w:rsidRPr="00B05F62">
              <w:rPr>
                <w:rFonts w:ascii="AcadNusx" w:hAnsi="AcadNusx"/>
              </w:rPr>
              <w:t>24,253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01F5ED0"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E8522B5"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4916F18" w14:textId="77777777" w:rsidR="00EA3205" w:rsidRPr="00B05F62" w:rsidRDefault="00EA3205" w:rsidP="00EA3205">
            <w:pPr>
              <w:rPr>
                <w:rFonts w:ascii="AcadNusx" w:hAnsi="AcadNusx"/>
              </w:rPr>
            </w:pPr>
            <w:r w:rsidRPr="00B05F62">
              <w:rPr>
                <w:rFonts w:ascii="AcadNusx" w:hAnsi="AcadNusx"/>
              </w:rPr>
              <w:t>599</w:t>
            </w:r>
          </w:p>
        </w:tc>
      </w:tr>
      <w:tr w:rsidR="00EA3205" w:rsidRPr="00B05F62" w14:paraId="671D60AA"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2405F4D6"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38E6BC5"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9C9169E"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2759221" w14:textId="77777777" w:rsidR="00EA3205" w:rsidRPr="00B05F62" w:rsidRDefault="00EA3205" w:rsidP="00EA3205">
            <w:pPr>
              <w:rPr>
                <w:rFonts w:ascii="AcadNusx" w:hAnsi="AcadNusx"/>
              </w:rPr>
            </w:pPr>
            <w:r w:rsidRPr="00B05F62">
              <w:rPr>
                <w:rFonts w:ascii="AcadNusx" w:hAnsi="AcadNusx"/>
              </w:rPr>
              <w:t>24,221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373B097" w14:textId="77777777" w:rsidR="00EA3205" w:rsidRPr="00B05F62" w:rsidRDefault="00EA3205" w:rsidP="00EA3205">
            <w:pPr>
              <w:rPr>
                <w:rFonts w:ascii="AcadNusx" w:hAnsi="AcadNusx"/>
              </w:rPr>
            </w:pPr>
            <w:r w:rsidRPr="00B05F62">
              <w:rPr>
                <w:rFonts w:ascii="AcadNusx" w:hAnsi="AcadNusx"/>
              </w:rPr>
              <w:t>24,297</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84A57F6" w14:textId="77777777" w:rsidR="00EA3205" w:rsidRPr="00B05F62" w:rsidRDefault="00EA3205" w:rsidP="00EA3205">
            <w:pPr>
              <w:rPr>
                <w:rFonts w:ascii="AcadNusx" w:hAnsi="AcadNusx"/>
              </w:rPr>
            </w:pPr>
            <w:r w:rsidRPr="00B05F62">
              <w:rPr>
                <w:rFonts w:ascii="AcadNusx" w:hAnsi="AcadNusx"/>
              </w:rPr>
              <w:t>76</w:t>
            </w:r>
          </w:p>
        </w:tc>
      </w:tr>
      <w:tr w:rsidR="00EA3205" w:rsidRPr="00B05F62" w14:paraId="08DEED9E"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6D1253F7"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32C0E62" w14:textId="77777777" w:rsidR="00EA3205" w:rsidRPr="00B05F62" w:rsidRDefault="00EA3205" w:rsidP="00EA3205">
            <w:pPr>
              <w:rPr>
                <w:rFonts w:ascii="AcadNusx" w:hAnsi="AcadNusx"/>
              </w:rPr>
            </w:pPr>
            <w:r w:rsidRPr="00B05F62">
              <w:rPr>
                <w:rFonts w:ascii="AcadNusx" w:hAnsi="AcadNusx"/>
              </w:rPr>
              <w:t>24,290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C30B5EA" w14:textId="77777777" w:rsidR="00EA3205" w:rsidRPr="00B05F62" w:rsidRDefault="00EA3205" w:rsidP="00EA3205">
            <w:pPr>
              <w:rPr>
                <w:rFonts w:ascii="AcadNusx" w:hAnsi="AcadNusx"/>
              </w:rPr>
            </w:pPr>
            <w:r w:rsidRPr="00B05F62">
              <w:rPr>
                <w:rFonts w:ascii="AcadNusx" w:hAnsi="AcadNusx"/>
              </w:rPr>
              <w:t>24,364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3BFDCFF"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28E20BE"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18AE779" w14:textId="77777777" w:rsidR="00EA3205" w:rsidRPr="00B05F62" w:rsidRDefault="00EA3205" w:rsidP="00EA3205">
            <w:pPr>
              <w:rPr>
                <w:rFonts w:ascii="AcadNusx" w:hAnsi="AcadNusx"/>
              </w:rPr>
            </w:pPr>
            <w:r w:rsidRPr="00B05F62">
              <w:rPr>
                <w:rFonts w:ascii="AcadNusx" w:hAnsi="AcadNusx"/>
              </w:rPr>
              <w:t>74</w:t>
            </w:r>
          </w:p>
        </w:tc>
      </w:tr>
      <w:tr w:rsidR="00EA3205" w:rsidRPr="00B05F62" w14:paraId="1E048825"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6B4E8603" w14:textId="77777777" w:rsidR="00EA3205" w:rsidRPr="00B05F62" w:rsidRDefault="00EA3205" w:rsidP="00EA3205">
            <w:pPr>
              <w:rPr>
                <w:rFonts w:ascii="AcadNusx" w:hAnsi="AcadNusx"/>
              </w:rPr>
            </w:pPr>
            <w:r w:rsidRPr="00B05F62">
              <w:rPr>
                <w:rFonts w:ascii="AcadNusx" w:hAnsi="AcadNusx"/>
              </w:rPr>
              <w:lastRenderedPageBreak/>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E780319"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D1BA00A"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7D75DD3" w14:textId="77777777" w:rsidR="00EA3205" w:rsidRPr="00B05F62" w:rsidRDefault="00EA3205" w:rsidP="00EA3205">
            <w:pPr>
              <w:rPr>
                <w:rFonts w:ascii="AcadNusx" w:hAnsi="AcadNusx"/>
              </w:rPr>
            </w:pPr>
            <w:r w:rsidRPr="00B05F62">
              <w:rPr>
                <w:rFonts w:ascii="AcadNusx" w:hAnsi="AcadNusx"/>
              </w:rPr>
              <w:t>24,331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C37385A" w14:textId="77777777" w:rsidR="00EA3205" w:rsidRPr="00B05F62" w:rsidRDefault="00EA3205" w:rsidP="00EA3205">
            <w:pPr>
              <w:rPr>
                <w:rFonts w:ascii="AcadNusx" w:hAnsi="AcadNusx"/>
              </w:rPr>
            </w:pPr>
            <w:r w:rsidRPr="00B05F62">
              <w:rPr>
                <w:rFonts w:ascii="AcadNusx" w:hAnsi="AcadNusx"/>
              </w:rPr>
              <w:t>27,557</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5D79A039" w14:textId="77777777" w:rsidR="00EA3205" w:rsidRPr="00B05F62" w:rsidRDefault="00EA3205" w:rsidP="00EA3205">
            <w:pPr>
              <w:rPr>
                <w:rFonts w:ascii="AcadNusx" w:hAnsi="AcadNusx"/>
              </w:rPr>
            </w:pPr>
            <w:r w:rsidRPr="00B05F62">
              <w:rPr>
                <w:rFonts w:ascii="AcadNusx" w:hAnsi="AcadNusx"/>
              </w:rPr>
              <w:t>3,226</w:t>
            </w:r>
          </w:p>
        </w:tc>
      </w:tr>
      <w:tr w:rsidR="00EA3205" w:rsidRPr="00B05F62" w14:paraId="7A26AD32"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2EE7BA53"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AE3D58D" w14:textId="77777777" w:rsidR="00EA3205" w:rsidRPr="00B05F62" w:rsidRDefault="00EA3205" w:rsidP="00EA3205">
            <w:pPr>
              <w:rPr>
                <w:rFonts w:ascii="AcadNusx" w:hAnsi="AcadNusx"/>
              </w:rPr>
            </w:pPr>
            <w:r w:rsidRPr="00B05F62">
              <w:rPr>
                <w:rFonts w:ascii="AcadNusx" w:hAnsi="AcadNusx"/>
              </w:rPr>
              <w:t>24,401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1843C11" w14:textId="77777777" w:rsidR="00EA3205" w:rsidRPr="00B05F62" w:rsidRDefault="00EA3205" w:rsidP="00EA3205">
            <w:pPr>
              <w:rPr>
                <w:rFonts w:ascii="AcadNusx" w:hAnsi="AcadNusx"/>
              </w:rPr>
            </w:pPr>
            <w:r w:rsidRPr="00B05F62">
              <w:rPr>
                <w:rFonts w:ascii="AcadNusx" w:hAnsi="AcadNusx"/>
              </w:rPr>
              <w:t>25,297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9013AB5"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F360620"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695C155" w14:textId="77777777" w:rsidR="00EA3205" w:rsidRPr="00B05F62" w:rsidRDefault="00EA3205" w:rsidP="00EA3205">
            <w:pPr>
              <w:rPr>
                <w:rFonts w:ascii="AcadNusx" w:hAnsi="AcadNusx"/>
              </w:rPr>
            </w:pPr>
            <w:r w:rsidRPr="00B05F62">
              <w:rPr>
                <w:rFonts w:ascii="AcadNusx" w:hAnsi="AcadNusx"/>
              </w:rPr>
              <w:t>896</w:t>
            </w:r>
          </w:p>
        </w:tc>
      </w:tr>
      <w:tr w:rsidR="00EA3205" w:rsidRPr="00B05F62" w14:paraId="6AA53218"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8CF56C5"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54083EF" w14:textId="77777777" w:rsidR="00EA3205" w:rsidRPr="00B05F62" w:rsidRDefault="00EA3205" w:rsidP="00EA3205">
            <w:pPr>
              <w:rPr>
                <w:rFonts w:ascii="AcadNusx" w:hAnsi="AcadNusx"/>
              </w:rPr>
            </w:pPr>
            <w:r w:rsidRPr="00B05F62">
              <w:rPr>
                <w:rFonts w:ascii="AcadNusx" w:hAnsi="AcadNusx"/>
              </w:rPr>
              <w:t>25,897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7121C6D" w14:textId="77777777" w:rsidR="00EA3205" w:rsidRPr="00B05F62" w:rsidRDefault="00EA3205" w:rsidP="00EA3205">
            <w:pPr>
              <w:rPr>
                <w:rFonts w:ascii="AcadNusx" w:hAnsi="AcadNusx"/>
              </w:rPr>
            </w:pPr>
            <w:r w:rsidRPr="00B05F62">
              <w:rPr>
                <w:rFonts w:ascii="AcadNusx" w:hAnsi="AcadNusx"/>
              </w:rPr>
              <w:t>26,034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CD948B5"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6C709B1"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3CCB9F25" w14:textId="77777777" w:rsidR="00EA3205" w:rsidRPr="00B05F62" w:rsidRDefault="00EA3205" w:rsidP="00EA3205">
            <w:pPr>
              <w:rPr>
                <w:rFonts w:ascii="AcadNusx" w:hAnsi="AcadNusx"/>
              </w:rPr>
            </w:pPr>
            <w:r w:rsidRPr="00B05F62">
              <w:rPr>
                <w:rFonts w:ascii="AcadNusx" w:hAnsi="AcadNusx"/>
              </w:rPr>
              <w:t>137</w:t>
            </w:r>
          </w:p>
        </w:tc>
      </w:tr>
      <w:tr w:rsidR="00EA3205" w:rsidRPr="00B05F62" w14:paraId="25F3101C"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5E7FB2E3"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3FE8515" w14:textId="77777777" w:rsidR="00EA3205" w:rsidRPr="00B05F62" w:rsidRDefault="00EA3205" w:rsidP="00EA3205">
            <w:pPr>
              <w:rPr>
                <w:rFonts w:ascii="AcadNusx" w:hAnsi="AcadNusx"/>
              </w:rPr>
            </w:pPr>
            <w:r w:rsidRPr="00B05F62">
              <w:rPr>
                <w:rFonts w:ascii="AcadNusx" w:hAnsi="AcadNusx"/>
              </w:rPr>
              <w:t>26,371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6444F92" w14:textId="77777777" w:rsidR="00EA3205" w:rsidRPr="00B05F62" w:rsidRDefault="00EA3205" w:rsidP="00EA3205">
            <w:pPr>
              <w:rPr>
                <w:rFonts w:ascii="AcadNusx" w:hAnsi="AcadNusx"/>
              </w:rPr>
            </w:pPr>
            <w:r w:rsidRPr="00B05F62">
              <w:rPr>
                <w:rFonts w:ascii="AcadNusx" w:hAnsi="AcadNusx"/>
              </w:rPr>
              <w:t>27,495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5AD5ED1"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71B5C68"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FB4CB97" w14:textId="77777777" w:rsidR="00EA3205" w:rsidRPr="00B05F62" w:rsidRDefault="00EA3205" w:rsidP="00EA3205">
            <w:pPr>
              <w:rPr>
                <w:rFonts w:ascii="AcadNusx" w:hAnsi="AcadNusx"/>
              </w:rPr>
            </w:pPr>
            <w:r w:rsidRPr="00B05F62">
              <w:rPr>
                <w:rFonts w:ascii="AcadNusx" w:hAnsi="AcadNusx"/>
              </w:rPr>
              <w:t>1,124</w:t>
            </w:r>
          </w:p>
        </w:tc>
      </w:tr>
      <w:tr w:rsidR="00EA3205" w:rsidRPr="00B05F62" w14:paraId="32F7A16D"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8BDDB1C"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68BB251"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8448BB1"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8AFDCF7" w14:textId="77777777" w:rsidR="00EA3205" w:rsidRPr="00B05F62" w:rsidRDefault="00EA3205" w:rsidP="00EA3205">
            <w:pPr>
              <w:rPr>
                <w:rFonts w:ascii="AcadNusx" w:hAnsi="AcadNusx"/>
              </w:rPr>
            </w:pPr>
            <w:r w:rsidRPr="00B05F62">
              <w:rPr>
                <w:rFonts w:ascii="AcadNusx" w:hAnsi="AcadNusx"/>
              </w:rPr>
              <w:t>27,733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DBCDD7F" w14:textId="77777777" w:rsidR="00EA3205" w:rsidRPr="00B05F62" w:rsidRDefault="00EA3205" w:rsidP="00EA3205">
            <w:pPr>
              <w:rPr>
                <w:rFonts w:ascii="AcadNusx" w:hAnsi="AcadNusx"/>
              </w:rPr>
            </w:pPr>
            <w:r w:rsidRPr="00B05F62">
              <w:rPr>
                <w:rFonts w:ascii="AcadNusx" w:hAnsi="AcadNusx"/>
              </w:rPr>
              <w:t>29,274</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18A5550" w14:textId="77777777" w:rsidR="00EA3205" w:rsidRPr="00B05F62" w:rsidRDefault="00EA3205" w:rsidP="00EA3205">
            <w:pPr>
              <w:rPr>
                <w:rFonts w:ascii="AcadNusx" w:hAnsi="AcadNusx"/>
              </w:rPr>
            </w:pPr>
            <w:r w:rsidRPr="00B05F62">
              <w:rPr>
                <w:rFonts w:ascii="AcadNusx" w:hAnsi="AcadNusx"/>
              </w:rPr>
              <w:t>1,541</w:t>
            </w:r>
          </w:p>
        </w:tc>
      </w:tr>
      <w:tr w:rsidR="00EA3205" w:rsidRPr="00B05F62" w14:paraId="62C5713F"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60F89163"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AEE708C" w14:textId="77777777" w:rsidR="00EA3205" w:rsidRPr="00B05F62" w:rsidRDefault="00EA3205" w:rsidP="00EA3205">
            <w:pPr>
              <w:rPr>
                <w:rFonts w:ascii="AcadNusx" w:hAnsi="AcadNusx"/>
              </w:rPr>
            </w:pPr>
            <w:r w:rsidRPr="00B05F62">
              <w:rPr>
                <w:rFonts w:ascii="AcadNusx" w:hAnsi="AcadNusx"/>
              </w:rPr>
              <w:t>27,856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8608A77" w14:textId="77777777" w:rsidR="00EA3205" w:rsidRPr="00B05F62" w:rsidRDefault="00EA3205" w:rsidP="00EA3205">
            <w:pPr>
              <w:rPr>
                <w:rFonts w:ascii="AcadNusx" w:hAnsi="AcadNusx"/>
              </w:rPr>
            </w:pPr>
            <w:r w:rsidRPr="00B05F62">
              <w:rPr>
                <w:rFonts w:ascii="AcadNusx" w:hAnsi="AcadNusx"/>
              </w:rPr>
              <w:t>28,006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AACEEBD"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74FBE00"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938CAB7" w14:textId="77777777" w:rsidR="00EA3205" w:rsidRPr="00B05F62" w:rsidRDefault="00EA3205" w:rsidP="00EA3205">
            <w:pPr>
              <w:rPr>
                <w:rFonts w:ascii="AcadNusx" w:hAnsi="AcadNusx"/>
              </w:rPr>
            </w:pPr>
            <w:r w:rsidRPr="00B05F62">
              <w:rPr>
                <w:rFonts w:ascii="AcadNusx" w:hAnsi="AcadNusx"/>
              </w:rPr>
              <w:t>150</w:t>
            </w:r>
          </w:p>
        </w:tc>
      </w:tr>
      <w:tr w:rsidR="00EA3205" w:rsidRPr="00B05F62" w14:paraId="3C16CFA7"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4B966284"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34E399E" w14:textId="77777777" w:rsidR="00EA3205" w:rsidRPr="00B05F62" w:rsidRDefault="00EA3205" w:rsidP="00EA3205">
            <w:pPr>
              <w:rPr>
                <w:rFonts w:ascii="AcadNusx" w:hAnsi="AcadNusx"/>
              </w:rPr>
            </w:pPr>
            <w:r w:rsidRPr="00B05F62">
              <w:rPr>
                <w:rFonts w:ascii="AcadNusx" w:hAnsi="AcadNusx"/>
              </w:rPr>
              <w:t>28,180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B05502B" w14:textId="77777777" w:rsidR="00EA3205" w:rsidRPr="00B05F62" w:rsidRDefault="00EA3205" w:rsidP="00EA3205">
            <w:pPr>
              <w:rPr>
                <w:rFonts w:ascii="AcadNusx" w:hAnsi="AcadNusx"/>
              </w:rPr>
            </w:pPr>
            <w:r w:rsidRPr="00B05F62">
              <w:rPr>
                <w:rFonts w:ascii="AcadNusx" w:hAnsi="AcadNusx"/>
              </w:rPr>
              <w:t>29,274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5E15F6F"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216E8AF"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53E966BA" w14:textId="77777777" w:rsidR="00EA3205" w:rsidRPr="00B05F62" w:rsidRDefault="00EA3205" w:rsidP="00EA3205">
            <w:pPr>
              <w:rPr>
                <w:rFonts w:ascii="AcadNusx" w:hAnsi="AcadNusx"/>
              </w:rPr>
            </w:pPr>
            <w:r w:rsidRPr="00B05F62">
              <w:rPr>
                <w:rFonts w:ascii="AcadNusx" w:hAnsi="AcadNusx"/>
              </w:rPr>
              <w:t>1,094</w:t>
            </w:r>
          </w:p>
        </w:tc>
      </w:tr>
      <w:tr w:rsidR="00EA3205" w:rsidRPr="00B05F62" w14:paraId="174D79B6"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52290A97"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B88234B"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0BE9EF6"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BE4E503" w14:textId="77777777" w:rsidR="00EA3205" w:rsidRPr="00B05F62" w:rsidRDefault="00EA3205" w:rsidP="00EA3205">
            <w:pPr>
              <w:rPr>
                <w:rFonts w:ascii="AcadNusx" w:hAnsi="AcadNusx"/>
              </w:rPr>
            </w:pPr>
            <w:r w:rsidRPr="00B05F62">
              <w:rPr>
                <w:rFonts w:ascii="AcadNusx" w:hAnsi="AcadNusx"/>
              </w:rPr>
              <w:t>29,365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7326CED" w14:textId="77777777" w:rsidR="00EA3205" w:rsidRPr="00B05F62" w:rsidRDefault="00EA3205" w:rsidP="00EA3205">
            <w:pPr>
              <w:rPr>
                <w:rFonts w:ascii="AcadNusx" w:hAnsi="AcadNusx"/>
              </w:rPr>
            </w:pPr>
            <w:r w:rsidRPr="00B05F62">
              <w:rPr>
                <w:rFonts w:ascii="AcadNusx" w:hAnsi="AcadNusx"/>
              </w:rPr>
              <w:t>30,078</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34896DFE" w14:textId="77777777" w:rsidR="00EA3205" w:rsidRPr="00B05F62" w:rsidRDefault="00EA3205" w:rsidP="00EA3205">
            <w:pPr>
              <w:rPr>
                <w:rFonts w:ascii="AcadNusx" w:hAnsi="AcadNusx"/>
              </w:rPr>
            </w:pPr>
            <w:r w:rsidRPr="00B05F62">
              <w:rPr>
                <w:rFonts w:ascii="AcadNusx" w:hAnsi="AcadNusx"/>
              </w:rPr>
              <w:t>713</w:t>
            </w:r>
          </w:p>
        </w:tc>
      </w:tr>
      <w:tr w:rsidR="00EA3205" w:rsidRPr="00B05F62" w14:paraId="1EEF66FE"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12430171"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F9AFE5E" w14:textId="77777777" w:rsidR="00EA3205" w:rsidRPr="00B05F62" w:rsidRDefault="00EA3205" w:rsidP="00EA3205">
            <w:pPr>
              <w:rPr>
                <w:rFonts w:ascii="AcadNusx" w:hAnsi="AcadNusx"/>
              </w:rPr>
            </w:pPr>
            <w:r w:rsidRPr="00B05F62">
              <w:rPr>
                <w:rFonts w:ascii="AcadNusx" w:hAnsi="AcadNusx"/>
              </w:rPr>
              <w:t>29,365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81D21B8" w14:textId="77777777" w:rsidR="00EA3205" w:rsidRPr="00B05F62" w:rsidRDefault="00EA3205" w:rsidP="00EA3205">
            <w:pPr>
              <w:rPr>
                <w:rFonts w:ascii="AcadNusx" w:hAnsi="AcadNusx"/>
              </w:rPr>
            </w:pPr>
            <w:r w:rsidRPr="00B05F62">
              <w:rPr>
                <w:rFonts w:ascii="AcadNusx" w:hAnsi="AcadNusx"/>
              </w:rPr>
              <w:t>30,304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0A36F91"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8FBD60E"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504FC2C2" w14:textId="77777777" w:rsidR="00EA3205" w:rsidRPr="00B05F62" w:rsidRDefault="00EA3205" w:rsidP="00EA3205">
            <w:pPr>
              <w:rPr>
                <w:rFonts w:ascii="AcadNusx" w:hAnsi="AcadNusx"/>
              </w:rPr>
            </w:pPr>
            <w:r w:rsidRPr="00B05F62">
              <w:rPr>
                <w:rFonts w:ascii="AcadNusx" w:hAnsi="AcadNusx"/>
              </w:rPr>
              <w:t>939</w:t>
            </w:r>
          </w:p>
        </w:tc>
      </w:tr>
      <w:tr w:rsidR="00EA3205" w:rsidRPr="00B05F62" w14:paraId="0936854F"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614EE1EF"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A3E687D"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73B5502"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A390025" w14:textId="77777777" w:rsidR="00EA3205" w:rsidRPr="00B05F62" w:rsidRDefault="00EA3205" w:rsidP="00EA3205">
            <w:pPr>
              <w:rPr>
                <w:rFonts w:ascii="AcadNusx" w:hAnsi="AcadNusx"/>
              </w:rPr>
            </w:pPr>
            <w:r w:rsidRPr="00B05F62">
              <w:rPr>
                <w:rFonts w:ascii="AcadNusx" w:hAnsi="AcadNusx"/>
              </w:rPr>
              <w:t>30,112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7C78426" w14:textId="77777777" w:rsidR="00EA3205" w:rsidRPr="00B05F62" w:rsidRDefault="00EA3205" w:rsidP="00EA3205">
            <w:pPr>
              <w:rPr>
                <w:rFonts w:ascii="AcadNusx" w:hAnsi="AcadNusx"/>
              </w:rPr>
            </w:pPr>
            <w:r w:rsidRPr="00B05F62">
              <w:rPr>
                <w:rFonts w:ascii="AcadNusx" w:hAnsi="AcadNusx"/>
              </w:rPr>
              <w:t>30,177</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3C25979F" w14:textId="77777777" w:rsidR="00EA3205" w:rsidRPr="00B05F62" w:rsidRDefault="00EA3205" w:rsidP="00EA3205">
            <w:pPr>
              <w:rPr>
                <w:rFonts w:ascii="AcadNusx" w:hAnsi="AcadNusx"/>
              </w:rPr>
            </w:pPr>
            <w:r w:rsidRPr="00B05F62">
              <w:rPr>
                <w:rFonts w:ascii="AcadNusx" w:hAnsi="AcadNusx"/>
              </w:rPr>
              <w:t>65</w:t>
            </w:r>
          </w:p>
        </w:tc>
      </w:tr>
      <w:tr w:rsidR="00EA3205" w:rsidRPr="00B05F62" w14:paraId="7FDF2F7E"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BA4D350"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D4B4C99" w14:textId="77777777" w:rsidR="00EA3205" w:rsidRPr="00B05F62" w:rsidRDefault="00EA3205" w:rsidP="00EA3205">
            <w:pPr>
              <w:rPr>
                <w:rFonts w:ascii="AcadNusx" w:hAnsi="AcadNusx"/>
              </w:rPr>
            </w:pPr>
            <w:r w:rsidRPr="00B05F62">
              <w:rPr>
                <w:rFonts w:ascii="AcadNusx" w:hAnsi="AcadNusx"/>
              </w:rPr>
              <w:t>30,339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CC66DAF" w14:textId="77777777" w:rsidR="00EA3205" w:rsidRPr="00B05F62" w:rsidRDefault="00EA3205" w:rsidP="00EA3205">
            <w:pPr>
              <w:rPr>
                <w:rFonts w:ascii="AcadNusx" w:hAnsi="AcadNusx"/>
              </w:rPr>
            </w:pPr>
            <w:r w:rsidRPr="00B05F62">
              <w:rPr>
                <w:rFonts w:ascii="AcadNusx" w:hAnsi="AcadNusx"/>
              </w:rPr>
              <w:t>30,405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36AC630"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24203B0"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6994787C" w14:textId="77777777" w:rsidR="00EA3205" w:rsidRPr="00B05F62" w:rsidRDefault="00EA3205" w:rsidP="00EA3205">
            <w:pPr>
              <w:rPr>
                <w:rFonts w:ascii="AcadNusx" w:hAnsi="AcadNusx"/>
              </w:rPr>
            </w:pPr>
            <w:r w:rsidRPr="00B05F62">
              <w:rPr>
                <w:rFonts w:ascii="AcadNusx" w:hAnsi="AcadNusx"/>
              </w:rPr>
              <w:t>66</w:t>
            </w:r>
          </w:p>
        </w:tc>
      </w:tr>
      <w:tr w:rsidR="00EA3205" w:rsidRPr="00B05F62" w14:paraId="68A487C1"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02DFE0B"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F77BCD7"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F9483EE"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F963D2A" w14:textId="77777777" w:rsidR="00EA3205" w:rsidRPr="00B05F62" w:rsidRDefault="00EA3205" w:rsidP="00EA3205">
            <w:pPr>
              <w:rPr>
                <w:rFonts w:ascii="AcadNusx" w:hAnsi="AcadNusx"/>
              </w:rPr>
            </w:pPr>
            <w:r w:rsidRPr="00B05F62">
              <w:rPr>
                <w:rFonts w:ascii="AcadNusx" w:hAnsi="AcadNusx"/>
              </w:rPr>
              <w:t>30,213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1B57031" w14:textId="77777777" w:rsidR="00EA3205" w:rsidRPr="00B05F62" w:rsidRDefault="00EA3205" w:rsidP="00EA3205">
            <w:pPr>
              <w:rPr>
                <w:rFonts w:ascii="AcadNusx" w:hAnsi="AcadNusx"/>
              </w:rPr>
            </w:pPr>
            <w:r w:rsidRPr="00B05F62">
              <w:rPr>
                <w:rFonts w:ascii="AcadNusx" w:hAnsi="AcadNusx"/>
              </w:rPr>
              <w:t>32,670</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89DCBE9" w14:textId="77777777" w:rsidR="00EA3205" w:rsidRPr="00B05F62" w:rsidRDefault="00EA3205" w:rsidP="00EA3205">
            <w:pPr>
              <w:rPr>
                <w:rFonts w:ascii="AcadNusx" w:hAnsi="AcadNusx"/>
              </w:rPr>
            </w:pPr>
            <w:r w:rsidRPr="00B05F62">
              <w:rPr>
                <w:rFonts w:ascii="AcadNusx" w:hAnsi="AcadNusx"/>
              </w:rPr>
              <w:t>2,457</w:t>
            </w:r>
          </w:p>
        </w:tc>
      </w:tr>
      <w:tr w:rsidR="00EA3205" w:rsidRPr="00B05F62" w14:paraId="047FBB33"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AF8D65A"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743E901" w14:textId="77777777" w:rsidR="00EA3205" w:rsidRPr="00B05F62" w:rsidRDefault="00EA3205" w:rsidP="00EA3205">
            <w:pPr>
              <w:rPr>
                <w:rFonts w:ascii="AcadNusx" w:hAnsi="AcadNusx"/>
              </w:rPr>
            </w:pPr>
            <w:r w:rsidRPr="00B05F62">
              <w:rPr>
                <w:rFonts w:ascii="AcadNusx" w:hAnsi="AcadNusx"/>
              </w:rPr>
              <w:t>30,440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34E8894" w14:textId="77777777" w:rsidR="00EA3205" w:rsidRPr="00B05F62" w:rsidRDefault="00EA3205" w:rsidP="00EA3205">
            <w:pPr>
              <w:rPr>
                <w:rFonts w:ascii="AcadNusx" w:hAnsi="AcadNusx"/>
              </w:rPr>
            </w:pPr>
            <w:r w:rsidRPr="00B05F62">
              <w:rPr>
                <w:rFonts w:ascii="AcadNusx" w:hAnsi="AcadNusx"/>
              </w:rPr>
              <w:t>32,407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6DA7EF8"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745A479"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15C36829" w14:textId="77777777" w:rsidR="00EA3205" w:rsidRPr="00B05F62" w:rsidRDefault="00EA3205" w:rsidP="00EA3205">
            <w:pPr>
              <w:rPr>
                <w:rFonts w:ascii="AcadNusx" w:hAnsi="AcadNusx"/>
              </w:rPr>
            </w:pPr>
            <w:r w:rsidRPr="00B05F62">
              <w:rPr>
                <w:rFonts w:ascii="AcadNusx" w:hAnsi="AcadNusx"/>
              </w:rPr>
              <w:t>1,967</w:t>
            </w:r>
          </w:p>
        </w:tc>
      </w:tr>
      <w:tr w:rsidR="00EA3205" w:rsidRPr="00B05F62" w14:paraId="795178AB"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33D3FE3"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FC8AF52"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0FABE0B"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E59A35C" w14:textId="77777777" w:rsidR="00EA3205" w:rsidRPr="00B05F62" w:rsidRDefault="00EA3205" w:rsidP="00EA3205">
            <w:pPr>
              <w:rPr>
                <w:rFonts w:ascii="AcadNusx" w:hAnsi="AcadNusx"/>
              </w:rPr>
            </w:pPr>
            <w:r w:rsidRPr="00B05F62">
              <w:rPr>
                <w:rFonts w:ascii="AcadNusx" w:hAnsi="AcadNusx"/>
              </w:rPr>
              <w:t>32,708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FDCC176" w14:textId="77777777" w:rsidR="00EA3205" w:rsidRPr="00B05F62" w:rsidRDefault="00EA3205" w:rsidP="00EA3205">
            <w:pPr>
              <w:rPr>
                <w:rFonts w:ascii="AcadNusx" w:hAnsi="AcadNusx"/>
              </w:rPr>
            </w:pPr>
            <w:r w:rsidRPr="00B05F62">
              <w:rPr>
                <w:rFonts w:ascii="AcadNusx" w:hAnsi="AcadNusx"/>
              </w:rPr>
              <w:t>32,896</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72F698D1" w14:textId="77777777" w:rsidR="00EA3205" w:rsidRPr="00B05F62" w:rsidRDefault="00EA3205" w:rsidP="00EA3205">
            <w:pPr>
              <w:rPr>
                <w:rFonts w:ascii="AcadNusx" w:hAnsi="AcadNusx"/>
              </w:rPr>
            </w:pPr>
            <w:r w:rsidRPr="00B05F62">
              <w:rPr>
                <w:rFonts w:ascii="AcadNusx" w:hAnsi="AcadNusx"/>
              </w:rPr>
              <w:t>188</w:t>
            </w:r>
          </w:p>
        </w:tc>
      </w:tr>
      <w:tr w:rsidR="00EA3205" w:rsidRPr="00B05F62" w14:paraId="3E0C1152"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458F23F1"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F62BD14" w14:textId="77777777" w:rsidR="00EA3205" w:rsidRPr="00B05F62" w:rsidRDefault="00EA3205" w:rsidP="00EA3205">
            <w:pPr>
              <w:rPr>
                <w:rFonts w:ascii="AcadNusx" w:hAnsi="AcadNusx"/>
              </w:rPr>
            </w:pPr>
            <w:r w:rsidRPr="00B05F62">
              <w:rPr>
                <w:rFonts w:ascii="AcadNusx" w:hAnsi="AcadNusx"/>
              </w:rPr>
              <w:t>32,757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9FC6AA7" w14:textId="77777777" w:rsidR="00EA3205" w:rsidRPr="00B05F62" w:rsidRDefault="00EA3205" w:rsidP="00EA3205">
            <w:pPr>
              <w:rPr>
                <w:rFonts w:ascii="AcadNusx" w:hAnsi="AcadNusx"/>
              </w:rPr>
            </w:pPr>
            <w:r w:rsidRPr="00B05F62">
              <w:rPr>
                <w:rFonts w:ascii="AcadNusx" w:hAnsi="AcadNusx"/>
              </w:rPr>
              <w:t>32,896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3945FF5"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E322B4B"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65B3CEA9" w14:textId="77777777" w:rsidR="00EA3205" w:rsidRPr="00B05F62" w:rsidRDefault="00EA3205" w:rsidP="00EA3205">
            <w:pPr>
              <w:rPr>
                <w:rFonts w:ascii="AcadNusx" w:hAnsi="AcadNusx"/>
              </w:rPr>
            </w:pPr>
            <w:r w:rsidRPr="00B05F62">
              <w:rPr>
                <w:rFonts w:ascii="AcadNusx" w:hAnsi="AcadNusx"/>
              </w:rPr>
              <w:t>139</w:t>
            </w:r>
          </w:p>
        </w:tc>
      </w:tr>
      <w:tr w:rsidR="00EA3205" w:rsidRPr="00B05F62" w14:paraId="095C1A72"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0014E27"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D20266D"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56F11F7"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1112000" w14:textId="77777777" w:rsidR="00EA3205" w:rsidRPr="00B05F62" w:rsidRDefault="00EA3205" w:rsidP="00EA3205">
            <w:pPr>
              <w:rPr>
                <w:rFonts w:ascii="AcadNusx" w:hAnsi="AcadNusx"/>
              </w:rPr>
            </w:pPr>
            <w:r w:rsidRPr="00B05F62">
              <w:rPr>
                <w:rFonts w:ascii="AcadNusx" w:hAnsi="AcadNusx"/>
              </w:rPr>
              <w:t>32,986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9056FBA" w14:textId="77777777" w:rsidR="00EA3205" w:rsidRPr="00B05F62" w:rsidRDefault="00EA3205" w:rsidP="00EA3205">
            <w:pPr>
              <w:rPr>
                <w:rFonts w:ascii="AcadNusx" w:hAnsi="AcadNusx"/>
              </w:rPr>
            </w:pPr>
            <w:r w:rsidRPr="00B05F62">
              <w:rPr>
                <w:rFonts w:ascii="AcadNusx" w:hAnsi="AcadNusx"/>
              </w:rPr>
              <w:t>34,755</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509BF03C" w14:textId="77777777" w:rsidR="00EA3205" w:rsidRPr="00B05F62" w:rsidRDefault="00EA3205" w:rsidP="00EA3205">
            <w:pPr>
              <w:rPr>
                <w:rFonts w:ascii="AcadNusx" w:hAnsi="AcadNusx"/>
              </w:rPr>
            </w:pPr>
            <w:r w:rsidRPr="00B05F62">
              <w:rPr>
                <w:rFonts w:ascii="AcadNusx" w:hAnsi="AcadNusx"/>
              </w:rPr>
              <w:t>1,769</w:t>
            </w:r>
          </w:p>
        </w:tc>
      </w:tr>
      <w:tr w:rsidR="00EA3205" w:rsidRPr="00B05F62" w14:paraId="09B6A67B"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2D6F496D"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160B56A" w14:textId="77777777" w:rsidR="00EA3205" w:rsidRPr="00B05F62" w:rsidRDefault="00EA3205" w:rsidP="00EA3205">
            <w:pPr>
              <w:rPr>
                <w:rFonts w:ascii="AcadNusx" w:hAnsi="AcadNusx"/>
              </w:rPr>
            </w:pPr>
            <w:r w:rsidRPr="00B05F62">
              <w:rPr>
                <w:rFonts w:ascii="AcadNusx" w:hAnsi="AcadNusx"/>
              </w:rPr>
              <w:t>32,986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61C5CAE" w14:textId="77777777" w:rsidR="00EA3205" w:rsidRPr="00B05F62" w:rsidRDefault="00EA3205" w:rsidP="00EA3205">
            <w:pPr>
              <w:rPr>
                <w:rFonts w:ascii="AcadNusx" w:hAnsi="AcadNusx"/>
              </w:rPr>
            </w:pPr>
            <w:r w:rsidRPr="00B05F62">
              <w:rPr>
                <w:rFonts w:ascii="AcadNusx" w:hAnsi="AcadNusx"/>
              </w:rPr>
              <w:t>34,755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91C4964"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D38546D"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650B9DEE" w14:textId="77777777" w:rsidR="00EA3205" w:rsidRPr="00B05F62" w:rsidRDefault="00EA3205" w:rsidP="00EA3205">
            <w:pPr>
              <w:rPr>
                <w:rFonts w:ascii="AcadNusx" w:hAnsi="AcadNusx"/>
              </w:rPr>
            </w:pPr>
            <w:r w:rsidRPr="00B05F62">
              <w:rPr>
                <w:rFonts w:ascii="AcadNusx" w:hAnsi="AcadNusx"/>
              </w:rPr>
              <w:t>1,769</w:t>
            </w:r>
          </w:p>
        </w:tc>
      </w:tr>
      <w:tr w:rsidR="00EA3205" w:rsidRPr="00B05F62" w14:paraId="7B977DE2"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F1D6931"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6595297"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BC26A3D"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C72518B" w14:textId="77777777" w:rsidR="00EA3205" w:rsidRPr="00B05F62" w:rsidRDefault="00EA3205" w:rsidP="00EA3205">
            <w:pPr>
              <w:rPr>
                <w:rFonts w:ascii="AcadNusx" w:hAnsi="AcadNusx"/>
              </w:rPr>
            </w:pPr>
            <w:r w:rsidRPr="00B05F62">
              <w:rPr>
                <w:rFonts w:ascii="AcadNusx" w:hAnsi="AcadNusx"/>
              </w:rPr>
              <w:t>34,845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8AF21DC" w14:textId="77777777" w:rsidR="00EA3205" w:rsidRPr="00B05F62" w:rsidRDefault="00EA3205" w:rsidP="00EA3205">
            <w:pPr>
              <w:rPr>
                <w:rFonts w:ascii="AcadNusx" w:hAnsi="AcadNusx"/>
              </w:rPr>
            </w:pPr>
            <w:r w:rsidRPr="00B05F62">
              <w:rPr>
                <w:rFonts w:ascii="AcadNusx" w:hAnsi="AcadNusx"/>
              </w:rPr>
              <w:t>35,000</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1B298AA" w14:textId="77777777" w:rsidR="00EA3205" w:rsidRPr="00B05F62" w:rsidRDefault="00EA3205" w:rsidP="00EA3205">
            <w:pPr>
              <w:rPr>
                <w:rFonts w:ascii="AcadNusx" w:hAnsi="AcadNusx"/>
              </w:rPr>
            </w:pPr>
            <w:r w:rsidRPr="00B05F62">
              <w:rPr>
                <w:rFonts w:ascii="AcadNusx" w:hAnsi="AcadNusx"/>
              </w:rPr>
              <w:t>155</w:t>
            </w:r>
          </w:p>
        </w:tc>
      </w:tr>
      <w:tr w:rsidR="00EA3205" w:rsidRPr="00B05F62" w14:paraId="35C5554E"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DC535EB" w14:textId="77777777" w:rsidR="00EA3205" w:rsidRPr="00B05F62" w:rsidRDefault="00EA3205" w:rsidP="00EA3205">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1B26B17" w14:textId="77777777" w:rsidR="00EA3205" w:rsidRPr="00B05F62" w:rsidRDefault="00EA3205" w:rsidP="00EA3205">
            <w:pPr>
              <w:rPr>
                <w:rFonts w:ascii="AcadNusx" w:hAnsi="AcadNusx"/>
              </w:rPr>
            </w:pPr>
            <w:r w:rsidRPr="00B05F62">
              <w:rPr>
                <w:rFonts w:ascii="AcadNusx" w:hAnsi="AcadNusx"/>
              </w:rPr>
              <w:t>34,845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4C3086F" w14:textId="77777777" w:rsidR="00EA3205" w:rsidRPr="00B05F62" w:rsidRDefault="00EA3205" w:rsidP="00EA3205">
            <w:pPr>
              <w:rPr>
                <w:rFonts w:ascii="AcadNusx" w:hAnsi="AcadNusx"/>
              </w:rPr>
            </w:pPr>
            <w:r w:rsidRPr="00B05F62">
              <w:rPr>
                <w:rFonts w:ascii="AcadNusx" w:hAnsi="AcadNusx"/>
              </w:rPr>
              <w:t>35,000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9272AD8"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EA373DC"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5FA0C57E" w14:textId="77777777" w:rsidR="00EA3205" w:rsidRPr="00B05F62" w:rsidRDefault="00EA3205" w:rsidP="00EA3205">
            <w:pPr>
              <w:rPr>
                <w:rFonts w:ascii="AcadNusx" w:hAnsi="AcadNusx"/>
              </w:rPr>
            </w:pPr>
            <w:r w:rsidRPr="00B05F62">
              <w:rPr>
                <w:rFonts w:ascii="AcadNusx" w:hAnsi="AcadNusx"/>
              </w:rPr>
              <w:t>155</w:t>
            </w:r>
          </w:p>
        </w:tc>
      </w:tr>
      <w:tr w:rsidR="00EA3205" w:rsidRPr="00B05F62" w14:paraId="22FF32BD"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6E6665B4" w14:textId="77777777" w:rsidR="00EA3205" w:rsidRPr="00B05F62" w:rsidRDefault="00EA3205" w:rsidP="00EA3205">
            <w:pPr>
              <w:rPr>
                <w:rFonts w:ascii="AcadNusx" w:hAnsi="AcadNusx"/>
              </w:rPr>
            </w:pPr>
            <w:r w:rsidRPr="00B05F62">
              <w:rPr>
                <w:rFonts w:ascii="AcadNusx" w:hAnsi="AcadNusx"/>
              </w:rPr>
              <w:t>200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9589875"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6DDBA44"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33F7C8D" w14:textId="77777777" w:rsidR="00EA3205" w:rsidRPr="00B05F62" w:rsidRDefault="00EA3205" w:rsidP="00EA3205">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599E964" w14:textId="77777777" w:rsidR="00EA3205" w:rsidRPr="00B05F62" w:rsidRDefault="00EA3205" w:rsidP="00EA3205">
            <w:pPr>
              <w:rPr>
                <w:rFonts w:ascii="AcadNusx" w:hAnsi="AcadNusx"/>
              </w:rPr>
            </w:pPr>
            <w:r w:rsidRPr="00B05F62">
              <w:rPr>
                <w:rFonts w:ascii="AcadNusx" w:hAnsi="AcadNusx"/>
              </w:rPr>
              <w:t>80</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6C9B75B3" w14:textId="77777777" w:rsidR="00EA3205" w:rsidRPr="00B05F62" w:rsidRDefault="00EA3205" w:rsidP="00EA3205">
            <w:pPr>
              <w:rPr>
                <w:rFonts w:ascii="AcadNusx" w:hAnsi="AcadNusx"/>
              </w:rPr>
            </w:pPr>
            <w:r w:rsidRPr="00B05F62">
              <w:rPr>
                <w:rFonts w:ascii="AcadNusx" w:hAnsi="AcadNusx"/>
              </w:rPr>
              <w:t>80</w:t>
            </w:r>
          </w:p>
        </w:tc>
      </w:tr>
      <w:tr w:rsidR="00EA3205" w:rsidRPr="00B05F62" w14:paraId="04015A9F"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34A46EA" w14:textId="77777777" w:rsidR="00EA3205" w:rsidRPr="00B05F62" w:rsidRDefault="00EA3205" w:rsidP="00EA3205">
            <w:pPr>
              <w:rPr>
                <w:rFonts w:ascii="AcadNusx" w:hAnsi="AcadNusx"/>
              </w:rPr>
            </w:pPr>
            <w:r w:rsidRPr="00B05F62">
              <w:rPr>
                <w:rFonts w:ascii="AcadNusx" w:hAnsi="AcadNusx"/>
              </w:rPr>
              <w:t>200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38F5912" w14:textId="77777777" w:rsidR="00EA3205" w:rsidRPr="00B05F62" w:rsidRDefault="00EA3205" w:rsidP="00EA3205">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D58EE1D" w14:textId="77777777" w:rsidR="00EA3205" w:rsidRPr="00B05F62" w:rsidRDefault="00EA3205" w:rsidP="00EA3205">
            <w:pPr>
              <w:rPr>
                <w:rFonts w:ascii="AcadNusx" w:hAnsi="AcadNusx"/>
              </w:rPr>
            </w:pPr>
            <w:r w:rsidRPr="00B05F62">
              <w:rPr>
                <w:rFonts w:ascii="AcadNusx" w:hAnsi="AcadNusx"/>
              </w:rPr>
              <w:t>95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7B3C1EE"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6237073"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689DACF6" w14:textId="77777777" w:rsidR="00EA3205" w:rsidRPr="00B05F62" w:rsidRDefault="00EA3205" w:rsidP="00EA3205">
            <w:pPr>
              <w:rPr>
                <w:rFonts w:ascii="AcadNusx" w:hAnsi="AcadNusx"/>
              </w:rPr>
            </w:pPr>
            <w:r w:rsidRPr="00B05F62">
              <w:rPr>
                <w:rFonts w:ascii="AcadNusx" w:hAnsi="AcadNusx"/>
              </w:rPr>
              <w:t>95</w:t>
            </w:r>
          </w:p>
        </w:tc>
      </w:tr>
      <w:tr w:rsidR="00EA3205" w:rsidRPr="00B05F62" w14:paraId="5E8C0961"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42FE45E7" w14:textId="77777777" w:rsidR="00EA3205" w:rsidRPr="00B05F62" w:rsidRDefault="00EA3205" w:rsidP="00EA3205">
            <w:pPr>
              <w:rPr>
                <w:rFonts w:ascii="AcadNusx" w:hAnsi="AcadNusx"/>
              </w:rPr>
            </w:pPr>
            <w:r w:rsidRPr="00B05F62">
              <w:rPr>
                <w:rFonts w:ascii="AcadNusx" w:hAnsi="AcadNusx"/>
              </w:rPr>
              <w:t>200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FCC74FA"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1B06E4A"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883F40E" w14:textId="77777777" w:rsidR="00EA3205" w:rsidRPr="00B05F62" w:rsidRDefault="00EA3205" w:rsidP="00EA3205">
            <w:pPr>
              <w:rPr>
                <w:rFonts w:ascii="AcadNusx" w:hAnsi="AcadNusx"/>
              </w:rPr>
            </w:pPr>
            <w:r w:rsidRPr="00B05F62">
              <w:rPr>
                <w:rFonts w:ascii="AcadNusx" w:hAnsi="AcadNusx"/>
              </w:rPr>
              <w:t>385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936C1DB" w14:textId="77777777" w:rsidR="00EA3205" w:rsidRPr="00B05F62" w:rsidRDefault="00EA3205" w:rsidP="00EA3205">
            <w:pPr>
              <w:rPr>
                <w:rFonts w:ascii="AcadNusx" w:hAnsi="AcadNusx"/>
              </w:rPr>
            </w:pPr>
            <w:r w:rsidRPr="00B05F62">
              <w:rPr>
                <w:rFonts w:ascii="AcadNusx" w:hAnsi="AcadNusx"/>
              </w:rPr>
              <w:t>493</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4B7E9AA" w14:textId="77777777" w:rsidR="00EA3205" w:rsidRPr="00B05F62" w:rsidRDefault="00EA3205" w:rsidP="00EA3205">
            <w:pPr>
              <w:rPr>
                <w:rFonts w:ascii="AcadNusx" w:hAnsi="AcadNusx"/>
              </w:rPr>
            </w:pPr>
            <w:r w:rsidRPr="00B05F62">
              <w:rPr>
                <w:rFonts w:ascii="AcadNusx" w:hAnsi="AcadNusx"/>
              </w:rPr>
              <w:t>108</w:t>
            </w:r>
          </w:p>
        </w:tc>
      </w:tr>
      <w:tr w:rsidR="00EA3205" w:rsidRPr="00B05F62" w14:paraId="36A081A0"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D50BA49" w14:textId="77777777" w:rsidR="00EA3205" w:rsidRPr="00B05F62" w:rsidRDefault="00EA3205" w:rsidP="00EA3205">
            <w:pPr>
              <w:rPr>
                <w:rFonts w:ascii="AcadNusx" w:hAnsi="AcadNusx"/>
              </w:rPr>
            </w:pPr>
            <w:r w:rsidRPr="00B05F62">
              <w:rPr>
                <w:rFonts w:ascii="AcadNusx" w:hAnsi="AcadNusx"/>
              </w:rPr>
              <w:t>200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D075983" w14:textId="77777777" w:rsidR="00EA3205" w:rsidRPr="00B05F62" w:rsidRDefault="00EA3205" w:rsidP="00EA3205">
            <w:pPr>
              <w:rPr>
                <w:rFonts w:ascii="AcadNusx" w:hAnsi="AcadNusx"/>
              </w:rPr>
            </w:pPr>
            <w:r w:rsidRPr="00B05F62">
              <w:rPr>
                <w:rFonts w:ascii="AcadNusx" w:hAnsi="AcadNusx"/>
              </w:rPr>
              <w:t>397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E01CC01" w14:textId="77777777" w:rsidR="00EA3205" w:rsidRPr="00B05F62" w:rsidRDefault="00EA3205" w:rsidP="00EA3205">
            <w:pPr>
              <w:rPr>
                <w:rFonts w:ascii="AcadNusx" w:hAnsi="AcadNusx"/>
              </w:rPr>
            </w:pPr>
            <w:r w:rsidRPr="00B05F62">
              <w:rPr>
                <w:rFonts w:ascii="AcadNusx" w:hAnsi="AcadNusx"/>
              </w:rPr>
              <w:t>493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5FC4544"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9FA01C4"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6722A1A7" w14:textId="77777777" w:rsidR="00EA3205" w:rsidRPr="00B05F62" w:rsidRDefault="00EA3205" w:rsidP="00EA3205">
            <w:pPr>
              <w:rPr>
                <w:rFonts w:ascii="AcadNusx" w:hAnsi="AcadNusx"/>
              </w:rPr>
            </w:pPr>
            <w:r w:rsidRPr="00B05F62">
              <w:rPr>
                <w:rFonts w:ascii="AcadNusx" w:hAnsi="AcadNusx"/>
              </w:rPr>
              <w:t>96</w:t>
            </w:r>
          </w:p>
        </w:tc>
      </w:tr>
      <w:tr w:rsidR="00EA3205" w:rsidRPr="00B05F62" w14:paraId="38768C02"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46999790" w14:textId="77777777" w:rsidR="00EA3205" w:rsidRPr="00B05F62" w:rsidRDefault="00EA3205" w:rsidP="00EA3205">
            <w:pPr>
              <w:rPr>
                <w:rFonts w:ascii="AcadNusx" w:hAnsi="AcadNusx"/>
              </w:rPr>
            </w:pPr>
            <w:r w:rsidRPr="00B05F62">
              <w:rPr>
                <w:rFonts w:ascii="AcadNusx" w:hAnsi="AcadNusx"/>
              </w:rPr>
              <w:t>201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D58513F"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031A0E0"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AF573AF" w14:textId="77777777" w:rsidR="00EA3205" w:rsidRPr="00B05F62" w:rsidRDefault="00EA3205" w:rsidP="00EA3205">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563F743" w14:textId="77777777" w:rsidR="00EA3205" w:rsidRPr="00B05F62" w:rsidRDefault="00EA3205" w:rsidP="00EA3205">
            <w:pPr>
              <w:rPr>
                <w:rFonts w:ascii="AcadNusx" w:hAnsi="AcadNusx"/>
              </w:rPr>
            </w:pPr>
            <w:r w:rsidRPr="00B05F62">
              <w:rPr>
                <w:rFonts w:ascii="AcadNusx" w:hAnsi="AcadNusx"/>
              </w:rPr>
              <w:t>109</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37119464" w14:textId="77777777" w:rsidR="00EA3205" w:rsidRPr="00B05F62" w:rsidRDefault="00EA3205" w:rsidP="00EA3205">
            <w:pPr>
              <w:rPr>
                <w:rFonts w:ascii="AcadNusx" w:hAnsi="AcadNusx"/>
              </w:rPr>
            </w:pPr>
            <w:r w:rsidRPr="00B05F62">
              <w:rPr>
                <w:rFonts w:ascii="AcadNusx" w:hAnsi="AcadNusx"/>
              </w:rPr>
              <w:t>109</w:t>
            </w:r>
          </w:p>
        </w:tc>
      </w:tr>
      <w:tr w:rsidR="00EA3205" w:rsidRPr="00B05F62" w14:paraId="232E4D6A"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6E5EDBD" w14:textId="77777777" w:rsidR="00EA3205" w:rsidRPr="00B05F62" w:rsidRDefault="00EA3205" w:rsidP="00EA3205">
            <w:pPr>
              <w:rPr>
                <w:rFonts w:ascii="AcadNusx" w:hAnsi="AcadNusx"/>
              </w:rPr>
            </w:pPr>
            <w:r w:rsidRPr="00B05F62">
              <w:rPr>
                <w:rFonts w:ascii="AcadNusx" w:hAnsi="AcadNusx"/>
              </w:rPr>
              <w:t>201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DDE2A4D" w14:textId="77777777" w:rsidR="00EA3205" w:rsidRPr="00B05F62" w:rsidRDefault="00EA3205" w:rsidP="00EA3205">
            <w:pPr>
              <w:rPr>
                <w:rFonts w:ascii="AcadNusx" w:hAnsi="AcadNusx"/>
              </w:rPr>
            </w:pPr>
            <w:r w:rsidRPr="00B05F62">
              <w:rPr>
                <w:rFonts w:ascii="AcadNusx" w:hAnsi="AcadNusx"/>
              </w:rPr>
              <w:t>32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F09A01E" w14:textId="77777777" w:rsidR="00EA3205" w:rsidRPr="00B05F62" w:rsidRDefault="00EA3205" w:rsidP="00EA3205">
            <w:pPr>
              <w:rPr>
                <w:rFonts w:ascii="AcadNusx" w:hAnsi="AcadNusx"/>
              </w:rPr>
            </w:pPr>
            <w:r w:rsidRPr="00B05F62">
              <w:rPr>
                <w:rFonts w:ascii="AcadNusx" w:hAnsi="AcadNusx"/>
              </w:rPr>
              <w:t>90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F50780F"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D1ADD7E"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AB02955" w14:textId="77777777" w:rsidR="00EA3205" w:rsidRPr="00B05F62" w:rsidRDefault="00EA3205" w:rsidP="00EA3205">
            <w:pPr>
              <w:rPr>
                <w:rFonts w:ascii="AcadNusx" w:hAnsi="AcadNusx"/>
              </w:rPr>
            </w:pPr>
            <w:r w:rsidRPr="00B05F62">
              <w:rPr>
                <w:rFonts w:ascii="AcadNusx" w:hAnsi="AcadNusx"/>
              </w:rPr>
              <w:t>58</w:t>
            </w:r>
          </w:p>
        </w:tc>
      </w:tr>
      <w:tr w:rsidR="00EA3205" w:rsidRPr="00B05F62" w14:paraId="29F5B352"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425CA370" w14:textId="77777777" w:rsidR="00EA3205" w:rsidRPr="00B05F62" w:rsidRDefault="00EA3205" w:rsidP="00EA3205">
            <w:pPr>
              <w:rPr>
                <w:rFonts w:ascii="AcadNusx" w:hAnsi="AcadNusx"/>
              </w:rPr>
            </w:pPr>
            <w:r w:rsidRPr="00B05F62">
              <w:rPr>
                <w:rFonts w:ascii="AcadNusx" w:hAnsi="AcadNusx"/>
              </w:rPr>
              <w:t>202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6F6E7E9"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92BC8E2"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FC66E08" w14:textId="77777777" w:rsidR="00EA3205" w:rsidRPr="00B05F62" w:rsidRDefault="00EA3205" w:rsidP="00EA3205">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A77D9FD" w14:textId="77777777" w:rsidR="00EA3205" w:rsidRPr="00B05F62" w:rsidRDefault="00EA3205" w:rsidP="00EA3205">
            <w:pPr>
              <w:rPr>
                <w:rFonts w:ascii="AcadNusx" w:hAnsi="AcadNusx"/>
              </w:rPr>
            </w:pPr>
            <w:r w:rsidRPr="00B05F62">
              <w:rPr>
                <w:rFonts w:ascii="AcadNusx" w:hAnsi="AcadNusx"/>
              </w:rPr>
              <w:t>121</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2F2716A" w14:textId="77777777" w:rsidR="00EA3205" w:rsidRPr="00B05F62" w:rsidRDefault="00EA3205" w:rsidP="00EA3205">
            <w:pPr>
              <w:rPr>
                <w:rFonts w:ascii="AcadNusx" w:hAnsi="AcadNusx"/>
              </w:rPr>
            </w:pPr>
            <w:r w:rsidRPr="00B05F62">
              <w:rPr>
                <w:rFonts w:ascii="AcadNusx" w:hAnsi="AcadNusx"/>
              </w:rPr>
              <w:t>121</w:t>
            </w:r>
          </w:p>
        </w:tc>
      </w:tr>
      <w:tr w:rsidR="00EA3205" w:rsidRPr="00B05F62" w14:paraId="305DCDBE"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51ED1307" w14:textId="77777777" w:rsidR="00EA3205" w:rsidRPr="00B05F62" w:rsidRDefault="00EA3205" w:rsidP="00EA3205">
            <w:pPr>
              <w:rPr>
                <w:rFonts w:ascii="AcadNusx" w:hAnsi="AcadNusx"/>
              </w:rPr>
            </w:pPr>
            <w:r w:rsidRPr="00B05F62">
              <w:rPr>
                <w:rFonts w:ascii="AcadNusx" w:hAnsi="AcadNusx"/>
              </w:rPr>
              <w:t>202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EFFD3E7" w14:textId="77777777" w:rsidR="00EA3205" w:rsidRPr="00B05F62" w:rsidRDefault="00EA3205" w:rsidP="00EA3205">
            <w:pPr>
              <w:rPr>
                <w:rFonts w:ascii="AcadNusx" w:hAnsi="AcadNusx"/>
              </w:rPr>
            </w:pPr>
            <w:r w:rsidRPr="00B05F62">
              <w:rPr>
                <w:rFonts w:ascii="AcadNusx" w:hAnsi="AcadNusx"/>
              </w:rPr>
              <w:t>18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7710F07" w14:textId="77777777" w:rsidR="00EA3205" w:rsidRPr="00B05F62" w:rsidRDefault="00EA3205" w:rsidP="00EA3205">
            <w:pPr>
              <w:rPr>
                <w:rFonts w:ascii="AcadNusx" w:hAnsi="AcadNusx"/>
              </w:rPr>
            </w:pPr>
            <w:r w:rsidRPr="00B05F62">
              <w:rPr>
                <w:rFonts w:ascii="AcadNusx" w:hAnsi="AcadNusx"/>
              </w:rPr>
              <w:t>88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75A254F"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8561027"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18B69AD0" w14:textId="77777777" w:rsidR="00EA3205" w:rsidRPr="00B05F62" w:rsidRDefault="00EA3205" w:rsidP="00EA3205">
            <w:pPr>
              <w:rPr>
                <w:rFonts w:ascii="AcadNusx" w:hAnsi="AcadNusx"/>
              </w:rPr>
            </w:pPr>
            <w:r w:rsidRPr="00B05F62">
              <w:rPr>
                <w:rFonts w:ascii="AcadNusx" w:hAnsi="AcadNusx"/>
              </w:rPr>
              <w:t>70</w:t>
            </w:r>
          </w:p>
        </w:tc>
      </w:tr>
      <w:tr w:rsidR="00EA3205" w:rsidRPr="00B05F62" w14:paraId="7D72B09B"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19AAC3FF" w14:textId="77777777" w:rsidR="00EA3205" w:rsidRPr="00B05F62" w:rsidRDefault="00EA3205" w:rsidP="00EA3205">
            <w:pPr>
              <w:rPr>
                <w:rFonts w:ascii="AcadNusx" w:hAnsi="AcadNusx"/>
              </w:rPr>
            </w:pPr>
            <w:r w:rsidRPr="00B05F62">
              <w:rPr>
                <w:rFonts w:ascii="AcadNusx" w:hAnsi="AcadNusx"/>
              </w:rPr>
              <w:t>203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72DDC89"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57257E0"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EA1F9A0" w14:textId="77777777" w:rsidR="00EA3205" w:rsidRPr="00B05F62" w:rsidRDefault="00EA3205" w:rsidP="00EA3205">
            <w:pPr>
              <w:rPr>
                <w:rFonts w:ascii="AcadNusx" w:hAnsi="AcadNusx"/>
              </w:rPr>
            </w:pPr>
            <w:r w:rsidRPr="00B05F62">
              <w:rPr>
                <w:rFonts w:ascii="AcadNusx" w:hAnsi="AcadNusx"/>
              </w:rPr>
              <w:t>163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6F25361" w14:textId="77777777" w:rsidR="00EA3205" w:rsidRPr="00B05F62" w:rsidRDefault="00EA3205" w:rsidP="00EA3205">
            <w:pPr>
              <w:rPr>
                <w:rFonts w:ascii="AcadNusx" w:hAnsi="AcadNusx"/>
              </w:rPr>
            </w:pPr>
            <w:r w:rsidRPr="00B05F62">
              <w:rPr>
                <w:rFonts w:ascii="AcadNusx" w:hAnsi="AcadNusx"/>
              </w:rPr>
              <w:t>402</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9758B6E" w14:textId="77777777" w:rsidR="00EA3205" w:rsidRPr="00B05F62" w:rsidRDefault="00EA3205" w:rsidP="00EA3205">
            <w:pPr>
              <w:rPr>
                <w:rFonts w:ascii="AcadNusx" w:hAnsi="AcadNusx"/>
              </w:rPr>
            </w:pPr>
            <w:r w:rsidRPr="00B05F62">
              <w:rPr>
                <w:rFonts w:ascii="AcadNusx" w:hAnsi="AcadNusx"/>
              </w:rPr>
              <w:t>239</w:t>
            </w:r>
          </w:p>
        </w:tc>
      </w:tr>
      <w:tr w:rsidR="00EA3205" w:rsidRPr="00B05F62" w14:paraId="7959E657"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3EE2C9C" w14:textId="77777777" w:rsidR="00EA3205" w:rsidRPr="00B05F62" w:rsidRDefault="00EA3205" w:rsidP="00EA3205">
            <w:pPr>
              <w:rPr>
                <w:rFonts w:ascii="AcadNusx" w:hAnsi="AcadNusx"/>
              </w:rPr>
            </w:pPr>
            <w:r w:rsidRPr="00B05F62">
              <w:rPr>
                <w:rFonts w:ascii="AcadNusx" w:hAnsi="AcadNusx"/>
              </w:rPr>
              <w:t>203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33231B7" w14:textId="77777777" w:rsidR="00EA3205" w:rsidRPr="00B05F62" w:rsidRDefault="00EA3205" w:rsidP="00EA3205">
            <w:pPr>
              <w:rPr>
                <w:rFonts w:ascii="AcadNusx" w:hAnsi="AcadNusx"/>
              </w:rPr>
            </w:pPr>
            <w:r w:rsidRPr="00B05F62">
              <w:rPr>
                <w:rFonts w:ascii="AcadNusx" w:hAnsi="AcadNusx"/>
              </w:rPr>
              <w:t>144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7AA198A" w14:textId="77777777" w:rsidR="00EA3205" w:rsidRPr="00B05F62" w:rsidRDefault="00EA3205" w:rsidP="00EA3205">
            <w:pPr>
              <w:rPr>
                <w:rFonts w:ascii="AcadNusx" w:hAnsi="AcadNusx"/>
              </w:rPr>
            </w:pPr>
            <w:r w:rsidRPr="00B05F62">
              <w:rPr>
                <w:rFonts w:ascii="AcadNusx" w:hAnsi="AcadNusx"/>
              </w:rPr>
              <w:t>315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3A297BA"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FA3972E"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71EBAD07" w14:textId="77777777" w:rsidR="00EA3205" w:rsidRPr="00B05F62" w:rsidRDefault="00EA3205" w:rsidP="00EA3205">
            <w:pPr>
              <w:rPr>
                <w:rFonts w:ascii="AcadNusx" w:hAnsi="AcadNusx"/>
              </w:rPr>
            </w:pPr>
            <w:r w:rsidRPr="00B05F62">
              <w:rPr>
                <w:rFonts w:ascii="AcadNusx" w:hAnsi="AcadNusx"/>
              </w:rPr>
              <w:t>171</w:t>
            </w:r>
          </w:p>
        </w:tc>
      </w:tr>
      <w:tr w:rsidR="00EA3205" w:rsidRPr="00B05F62" w14:paraId="1EAE6186"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8E6A11A" w14:textId="77777777" w:rsidR="00EA3205" w:rsidRPr="00B05F62" w:rsidRDefault="00EA3205" w:rsidP="00EA3205">
            <w:pPr>
              <w:rPr>
                <w:rFonts w:ascii="AcadNusx" w:hAnsi="AcadNusx"/>
              </w:rPr>
            </w:pPr>
            <w:r w:rsidRPr="00B05F62">
              <w:rPr>
                <w:rFonts w:ascii="AcadNusx" w:hAnsi="AcadNusx"/>
              </w:rPr>
              <w:t>204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2BF21EA"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984BBB7"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4222DAE" w14:textId="77777777" w:rsidR="00EA3205" w:rsidRPr="00B05F62" w:rsidRDefault="00EA3205" w:rsidP="00EA3205">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E3F29A7" w14:textId="77777777" w:rsidR="00EA3205" w:rsidRPr="00B05F62" w:rsidRDefault="00EA3205" w:rsidP="00EA3205">
            <w:pPr>
              <w:rPr>
                <w:rFonts w:ascii="AcadNusx" w:hAnsi="AcadNusx"/>
              </w:rPr>
            </w:pPr>
            <w:r w:rsidRPr="00B05F62">
              <w:rPr>
                <w:rFonts w:ascii="AcadNusx" w:hAnsi="AcadNusx"/>
              </w:rPr>
              <w:t>115</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82DC369" w14:textId="77777777" w:rsidR="00EA3205" w:rsidRPr="00B05F62" w:rsidRDefault="00EA3205" w:rsidP="00EA3205">
            <w:pPr>
              <w:rPr>
                <w:rFonts w:ascii="AcadNusx" w:hAnsi="AcadNusx"/>
              </w:rPr>
            </w:pPr>
            <w:r w:rsidRPr="00B05F62">
              <w:rPr>
                <w:rFonts w:ascii="AcadNusx" w:hAnsi="AcadNusx"/>
              </w:rPr>
              <w:t>115</w:t>
            </w:r>
          </w:p>
        </w:tc>
      </w:tr>
      <w:tr w:rsidR="00EA3205" w:rsidRPr="00B05F62" w14:paraId="2F8288D8"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22E00502" w14:textId="77777777" w:rsidR="00EA3205" w:rsidRPr="00B05F62" w:rsidRDefault="00EA3205" w:rsidP="00EA3205">
            <w:pPr>
              <w:rPr>
                <w:rFonts w:ascii="AcadNusx" w:hAnsi="AcadNusx"/>
              </w:rPr>
            </w:pPr>
            <w:r w:rsidRPr="00B05F62">
              <w:rPr>
                <w:rFonts w:ascii="AcadNusx" w:hAnsi="AcadNusx"/>
              </w:rPr>
              <w:t>204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72CE177" w14:textId="77777777" w:rsidR="00EA3205" w:rsidRPr="00B05F62" w:rsidRDefault="00EA3205" w:rsidP="00EA3205">
            <w:pPr>
              <w:rPr>
                <w:rFonts w:ascii="AcadNusx" w:hAnsi="AcadNusx"/>
              </w:rPr>
            </w:pPr>
            <w:r w:rsidRPr="00B05F62">
              <w:rPr>
                <w:rFonts w:ascii="AcadNusx" w:hAnsi="AcadNusx"/>
              </w:rPr>
              <w:t>43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FD24D7F" w14:textId="77777777" w:rsidR="00EA3205" w:rsidRPr="00B05F62" w:rsidRDefault="00EA3205" w:rsidP="00EA3205">
            <w:pPr>
              <w:rPr>
                <w:rFonts w:ascii="AcadNusx" w:hAnsi="AcadNusx"/>
              </w:rPr>
            </w:pPr>
            <w:r w:rsidRPr="00B05F62">
              <w:rPr>
                <w:rFonts w:ascii="AcadNusx" w:hAnsi="AcadNusx"/>
              </w:rPr>
              <w:t>129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1F3F4FA"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709ED9E"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2ED9539" w14:textId="77777777" w:rsidR="00EA3205" w:rsidRPr="00B05F62" w:rsidRDefault="00EA3205" w:rsidP="00EA3205">
            <w:pPr>
              <w:rPr>
                <w:rFonts w:ascii="AcadNusx" w:hAnsi="AcadNusx"/>
              </w:rPr>
            </w:pPr>
            <w:r w:rsidRPr="00B05F62">
              <w:rPr>
                <w:rFonts w:ascii="AcadNusx" w:hAnsi="AcadNusx"/>
              </w:rPr>
              <w:t>86</w:t>
            </w:r>
          </w:p>
        </w:tc>
      </w:tr>
      <w:tr w:rsidR="00EA3205" w:rsidRPr="00B05F62" w14:paraId="0DD3788D"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DC897D7" w14:textId="77777777" w:rsidR="00EA3205" w:rsidRPr="00B05F62" w:rsidRDefault="00EA3205" w:rsidP="00EA3205">
            <w:pPr>
              <w:rPr>
                <w:rFonts w:ascii="AcadNusx" w:hAnsi="AcadNusx"/>
              </w:rPr>
            </w:pPr>
            <w:r w:rsidRPr="00B05F62">
              <w:rPr>
                <w:rFonts w:ascii="AcadNusx" w:hAnsi="AcadNusx"/>
              </w:rPr>
              <w:t>301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375F6FC"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F910041"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8C3AE3B" w14:textId="77777777" w:rsidR="00EA3205" w:rsidRPr="00B05F62" w:rsidRDefault="00EA3205" w:rsidP="00EA3205">
            <w:pPr>
              <w:rPr>
                <w:rFonts w:ascii="AcadNusx" w:hAnsi="AcadNusx"/>
              </w:rPr>
            </w:pPr>
            <w:r w:rsidRPr="00B05F62">
              <w:rPr>
                <w:rFonts w:ascii="AcadNusx" w:hAnsi="AcadNusx"/>
              </w:rPr>
              <w:t>52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5FFE792" w14:textId="77777777" w:rsidR="00EA3205" w:rsidRPr="00B05F62" w:rsidRDefault="00EA3205" w:rsidP="00EA3205">
            <w:pPr>
              <w:rPr>
                <w:rFonts w:ascii="AcadNusx" w:hAnsi="AcadNusx"/>
              </w:rPr>
            </w:pPr>
            <w:r w:rsidRPr="00B05F62">
              <w:rPr>
                <w:rFonts w:ascii="AcadNusx" w:hAnsi="AcadNusx"/>
              </w:rPr>
              <w:t>199</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7563B995" w14:textId="77777777" w:rsidR="00EA3205" w:rsidRPr="00B05F62" w:rsidRDefault="00EA3205" w:rsidP="00EA3205">
            <w:pPr>
              <w:rPr>
                <w:rFonts w:ascii="AcadNusx" w:hAnsi="AcadNusx"/>
              </w:rPr>
            </w:pPr>
            <w:r w:rsidRPr="00B05F62">
              <w:rPr>
                <w:rFonts w:ascii="AcadNusx" w:hAnsi="AcadNusx"/>
              </w:rPr>
              <w:t>147</w:t>
            </w:r>
          </w:p>
        </w:tc>
      </w:tr>
      <w:tr w:rsidR="00EA3205" w:rsidRPr="00B05F62" w14:paraId="5BD56DF6"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4C47099" w14:textId="77777777" w:rsidR="00EA3205" w:rsidRPr="00B05F62" w:rsidRDefault="00EA3205" w:rsidP="00EA3205">
            <w:pPr>
              <w:rPr>
                <w:rFonts w:ascii="AcadNusx" w:hAnsi="AcadNusx"/>
              </w:rPr>
            </w:pPr>
            <w:r w:rsidRPr="00B05F62">
              <w:rPr>
                <w:rFonts w:ascii="AcadNusx" w:hAnsi="AcadNusx"/>
              </w:rPr>
              <w:t>301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F2059F9" w14:textId="77777777" w:rsidR="00EA3205" w:rsidRPr="00B05F62" w:rsidRDefault="00EA3205" w:rsidP="00EA3205">
            <w:pPr>
              <w:rPr>
                <w:rFonts w:ascii="AcadNusx" w:hAnsi="AcadNusx"/>
              </w:rPr>
            </w:pPr>
            <w:r w:rsidRPr="00B05F62">
              <w:rPr>
                <w:rFonts w:ascii="AcadNusx" w:hAnsi="AcadNusx"/>
              </w:rPr>
              <w:t>52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7288EBC" w14:textId="77777777" w:rsidR="00EA3205" w:rsidRPr="00B05F62" w:rsidRDefault="00EA3205" w:rsidP="00EA3205">
            <w:pPr>
              <w:rPr>
                <w:rFonts w:ascii="AcadNusx" w:hAnsi="AcadNusx"/>
              </w:rPr>
            </w:pPr>
            <w:r w:rsidRPr="00B05F62">
              <w:rPr>
                <w:rFonts w:ascii="AcadNusx" w:hAnsi="AcadNusx"/>
              </w:rPr>
              <w:t>134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9F87DB8"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CFBB0E5"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7EBE0BBE" w14:textId="77777777" w:rsidR="00EA3205" w:rsidRPr="00B05F62" w:rsidRDefault="00EA3205" w:rsidP="00EA3205">
            <w:pPr>
              <w:rPr>
                <w:rFonts w:ascii="AcadNusx" w:hAnsi="AcadNusx"/>
              </w:rPr>
            </w:pPr>
            <w:r w:rsidRPr="00B05F62">
              <w:rPr>
                <w:rFonts w:ascii="AcadNusx" w:hAnsi="AcadNusx"/>
              </w:rPr>
              <w:t>82</w:t>
            </w:r>
          </w:p>
        </w:tc>
      </w:tr>
      <w:tr w:rsidR="00EA3205" w:rsidRPr="00B05F62" w14:paraId="7452E601"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25E84C9D" w14:textId="77777777" w:rsidR="00EA3205" w:rsidRPr="00B05F62" w:rsidRDefault="00EA3205" w:rsidP="00EA3205">
            <w:pPr>
              <w:rPr>
                <w:rFonts w:ascii="AcadNusx" w:hAnsi="AcadNusx"/>
              </w:rPr>
            </w:pPr>
            <w:r w:rsidRPr="00B05F62">
              <w:rPr>
                <w:rFonts w:ascii="AcadNusx" w:hAnsi="AcadNusx"/>
              </w:rPr>
              <w:t>302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BCFD922"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FC9CCBC"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BC02AE8" w14:textId="77777777" w:rsidR="00EA3205" w:rsidRPr="00B05F62" w:rsidRDefault="00EA3205" w:rsidP="00EA3205">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63ABB41" w14:textId="77777777" w:rsidR="00EA3205" w:rsidRPr="00B05F62" w:rsidRDefault="00EA3205" w:rsidP="00EA3205">
            <w:pPr>
              <w:rPr>
                <w:rFonts w:ascii="AcadNusx" w:hAnsi="AcadNusx"/>
              </w:rPr>
            </w:pPr>
            <w:r w:rsidRPr="00B05F62">
              <w:rPr>
                <w:rFonts w:ascii="AcadNusx" w:hAnsi="AcadNusx"/>
              </w:rPr>
              <w:t>215</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762E968F" w14:textId="77777777" w:rsidR="00EA3205" w:rsidRPr="00B05F62" w:rsidRDefault="00EA3205" w:rsidP="00EA3205">
            <w:pPr>
              <w:rPr>
                <w:rFonts w:ascii="AcadNusx" w:hAnsi="AcadNusx"/>
              </w:rPr>
            </w:pPr>
            <w:r w:rsidRPr="00B05F62">
              <w:rPr>
                <w:rFonts w:ascii="AcadNusx" w:hAnsi="AcadNusx"/>
              </w:rPr>
              <w:t>215</w:t>
            </w:r>
          </w:p>
        </w:tc>
      </w:tr>
      <w:tr w:rsidR="00EA3205" w:rsidRPr="00B05F62" w14:paraId="069334FA"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2B4EB085" w14:textId="77777777" w:rsidR="00EA3205" w:rsidRPr="00B05F62" w:rsidRDefault="00EA3205" w:rsidP="00EA3205">
            <w:pPr>
              <w:rPr>
                <w:rFonts w:ascii="AcadNusx" w:hAnsi="AcadNusx"/>
              </w:rPr>
            </w:pPr>
            <w:r w:rsidRPr="00B05F62">
              <w:rPr>
                <w:rFonts w:ascii="AcadNusx" w:hAnsi="AcadNusx"/>
              </w:rPr>
              <w:t>302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4D6B769" w14:textId="77777777" w:rsidR="00EA3205" w:rsidRPr="00B05F62" w:rsidRDefault="00EA3205" w:rsidP="00EA3205">
            <w:pPr>
              <w:rPr>
                <w:rFonts w:ascii="AcadNusx" w:hAnsi="AcadNusx"/>
              </w:rPr>
            </w:pPr>
            <w:r w:rsidRPr="00B05F62">
              <w:rPr>
                <w:rFonts w:ascii="AcadNusx" w:hAnsi="AcadNusx"/>
              </w:rPr>
              <w:t>81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C46E97F" w14:textId="77777777" w:rsidR="00EA3205" w:rsidRPr="00B05F62" w:rsidRDefault="00EA3205" w:rsidP="00EA3205">
            <w:pPr>
              <w:rPr>
                <w:rFonts w:ascii="AcadNusx" w:hAnsi="AcadNusx"/>
              </w:rPr>
            </w:pPr>
            <w:r w:rsidRPr="00B05F62">
              <w:rPr>
                <w:rFonts w:ascii="AcadNusx" w:hAnsi="AcadNusx"/>
              </w:rPr>
              <w:t>185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7788961"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63AF25B"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E7055AB" w14:textId="77777777" w:rsidR="00EA3205" w:rsidRPr="00B05F62" w:rsidRDefault="00EA3205" w:rsidP="00EA3205">
            <w:pPr>
              <w:rPr>
                <w:rFonts w:ascii="AcadNusx" w:hAnsi="AcadNusx"/>
              </w:rPr>
            </w:pPr>
            <w:r w:rsidRPr="00B05F62">
              <w:rPr>
                <w:rFonts w:ascii="AcadNusx" w:hAnsi="AcadNusx"/>
              </w:rPr>
              <w:t>104</w:t>
            </w:r>
          </w:p>
        </w:tc>
      </w:tr>
      <w:tr w:rsidR="00EA3205" w:rsidRPr="00B05F62" w14:paraId="160D1593"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5864029B" w14:textId="77777777" w:rsidR="00EA3205" w:rsidRPr="00B05F62" w:rsidRDefault="00EA3205" w:rsidP="00EA3205">
            <w:pPr>
              <w:rPr>
                <w:rFonts w:ascii="AcadNusx" w:hAnsi="AcadNusx"/>
              </w:rPr>
            </w:pPr>
            <w:r w:rsidRPr="00B05F62">
              <w:rPr>
                <w:rFonts w:ascii="AcadNusx" w:hAnsi="AcadNusx"/>
              </w:rPr>
              <w:t>303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FC4DF76"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EBD5B9B"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1700375" w14:textId="77777777" w:rsidR="00EA3205" w:rsidRPr="00B05F62" w:rsidRDefault="00EA3205" w:rsidP="00EA3205">
            <w:pPr>
              <w:rPr>
                <w:rFonts w:ascii="AcadNusx" w:hAnsi="AcadNusx"/>
              </w:rPr>
            </w:pPr>
            <w:r w:rsidRPr="00B05F62">
              <w:rPr>
                <w:rFonts w:ascii="AcadNusx" w:hAnsi="AcadNusx"/>
              </w:rPr>
              <w:t>46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141512F" w14:textId="77777777" w:rsidR="00EA3205" w:rsidRPr="00B05F62" w:rsidRDefault="00EA3205" w:rsidP="00EA3205">
            <w:pPr>
              <w:rPr>
                <w:rFonts w:ascii="AcadNusx" w:hAnsi="AcadNusx"/>
              </w:rPr>
            </w:pPr>
            <w:r w:rsidRPr="00B05F62">
              <w:rPr>
                <w:rFonts w:ascii="AcadNusx" w:hAnsi="AcadNusx"/>
              </w:rPr>
              <w:t>191</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11D43BF6" w14:textId="77777777" w:rsidR="00EA3205" w:rsidRPr="00B05F62" w:rsidRDefault="00EA3205" w:rsidP="00EA3205">
            <w:pPr>
              <w:rPr>
                <w:rFonts w:ascii="AcadNusx" w:hAnsi="AcadNusx"/>
              </w:rPr>
            </w:pPr>
            <w:r w:rsidRPr="00B05F62">
              <w:rPr>
                <w:rFonts w:ascii="AcadNusx" w:hAnsi="AcadNusx"/>
              </w:rPr>
              <w:t>145</w:t>
            </w:r>
          </w:p>
        </w:tc>
      </w:tr>
      <w:tr w:rsidR="00EA3205" w:rsidRPr="00B05F62" w14:paraId="37B6B5D3"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F016DA4" w14:textId="77777777" w:rsidR="00EA3205" w:rsidRPr="00B05F62" w:rsidRDefault="00EA3205" w:rsidP="00EA3205">
            <w:pPr>
              <w:rPr>
                <w:rFonts w:ascii="AcadNusx" w:hAnsi="AcadNusx"/>
              </w:rPr>
            </w:pPr>
            <w:r w:rsidRPr="00B05F62">
              <w:rPr>
                <w:rFonts w:ascii="AcadNusx" w:hAnsi="AcadNusx"/>
              </w:rPr>
              <w:t>303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4D7D9C3" w14:textId="77777777" w:rsidR="00EA3205" w:rsidRPr="00B05F62" w:rsidRDefault="00EA3205" w:rsidP="00EA3205">
            <w:pPr>
              <w:rPr>
                <w:rFonts w:ascii="AcadNusx" w:hAnsi="AcadNusx"/>
              </w:rPr>
            </w:pPr>
            <w:r w:rsidRPr="00B05F62">
              <w:rPr>
                <w:rFonts w:ascii="AcadNusx" w:hAnsi="AcadNusx"/>
              </w:rPr>
              <w:t>33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7C9D59F" w14:textId="77777777" w:rsidR="00EA3205" w:rsidRPr="00B05F62" w:rsidRDefault="00EA3205" w:rsidP="00EA3205">
            <w:pPr>
              <w:rPr>
                <w:rFonts w:ascii="AcadNusx" w:hAnsi="AcadNusx"/>
              </w:rPr>
            </w:pPr>
            <w:r w:rsidRPr="00B05F62">
              <w:rPr>
                <w:rFonts w:ascii="AcadNusx" w:hAnsi="AcadNusx"/>
              </w:rPr>
              <w:t>131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5150F0E"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3EF3AD8"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5BB13121" w14:textId="77777777" w:rsidR="00EA3205" w:rsidRPr="00B05F62" w:rsidRDefault="00EA3205" w:rsidP="00EA3205">
            <w:pPr>
              <w:rPr>
                <w:rFonts w:ascii="AcadNusx" w:hAnsi="AcadNusx"/>
              </w:rPr>
            </w:pPr>
            <w:r w:rsidRPr="00B05F62">
              <w:rPr>
                <w:rFonts w:ascii="AcadNusx" w:hAnsi="AcadNusx"/>
              </w:rPr>
              <w:t>98</w:t>
            </w:r>
          </w:p>
        </w:tc>
      </w:tr>
      <w:tr w:rsidR="00EA3205" w:rsidRPr="00B05F62" w14:paraId="78563FB0"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76A3CA3" w14:textId="77777777" w:rsidR="00EA3205" w:rsidRPr="00B05F62" w:rsidRDefault="00EA3205" w:rsidP="00EA3205">
            <w:pPr>
              <w:rPr>
                <w:rFonts w:ascii="AcadNusx" w:hAnsi="AcadNusx"/>
              </w:rPr>
            </w:pPr>
            <w:r w:rsidRPr="00B05F62">
              <w:rPr>
                <w:rFonts w:ascii="AcadNusx" w:hAnsi="AcadNusx"/>
              </w:rPr>
              <w:t>304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1A52304"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73D1635"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D89F393" w14:textId="77777777" w:rsidR="00EA3205" w:rsidRPr="00B05F62" w:rsidRDefault="00EA3205" w:rsidP="00EA3205">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0524637" w14:textId="77777777" w:rsidR="00EA3205" w:rsidRPr="00B05F62" w:rsidRDefault="00EA3205" w:rsidP="00EA3205">
            <w:pPr>
              <w:rPr>
                <w:rFonts w:ascii="AcadNusx" w:hAnsi="AcadNusx"/>
              </w:rPr>
            </w:pPr>
            <w:r w:rsidRPr="00B05F62">
              <w:rPr>
                <w:rFonts w:ascii="AcadNusx" w:hAnsi="AcadNusx"/>
              </w:rPr>
              <w:t>170</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5F5C708A" w14:textId="77777777" w:rsidR="00EA3205" w:rsidRPr="00B05F62" w:rsidRDefault="00EA3205" w:rsidP="00EA3205">
            <w:pPr>
              <w:rPr>
                <w:rFonts w:ascii="AcadNusx" w:hAnsi="AcadNusx"/>
              </w:rPr>
            </w:pPr>
            <w:r w:rsidRPr="00B05F62">
              <w:rPr>
                <w:rFonts w:ascii="AcadNusx" w:hAnsi="AcadNusx"/>
              </w:rPr>
              <w:t>170</w:t>
            </w:r>
          </w:p>
        </w:tc>
      </w:tr>
      <w:tr w:rsidR="00EA3205" w:rsidRPr="00B05F62" w14:paraId="2D8331A3"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1FD62FD0" w14:textId="77777777" w:rsidR="00EA3205" w:rsidRPr="00B05F62" w:rsidRDefault="00EA3205" w:rsidP="00EA3205">
            <w:pPr>
              <w:rPr>
                <w:rFonts w:ascii="AcadNusx" w:hAnsi="AcadNusx"/>
              </w:rPr>
            </w:pPr>
            <w:r w:rsidRPr="00B05F62">
              <w:rPr>
                <w:rFonts w:ascii="AcadNusx" w:hAnsi="AcadNusx"/>
              </w:rPr>
              <w:t>304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6F4EF30" w14:textId="77777777" w:rsidR="00EA3205" w:rsidRPr="00B05F62" w:rsidRDefault="00EA3205" w:rsidP="00EA3205">
            <w:pPr>
              <w:rPr>
                <w:rFonts w:ascii="AcadNusx" w:hAnsi="AcadNusx"/>
              </w:rPr>
            </w:pPr>
            <w:r w:rsidRPr="00B05F62">
              <w:rPr>
                <w:rFonts w:ascii="AcadNusx" w:hAnsi="AcadNusx"/>
              </w:rPr>
              <w:t>80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D890038" w14:textId="77777777" w:rsidR="00EA3205" w:rsidRPr="00B05F62" w:rsidRDefault="00EA3205" w:rsidP="00EA3205">
            <w:pPr>
              <w:rPr>
                <w:rFonts w:ascii="AcadNusx" w:hAnsi="AcadNusx"/>
              </w:rPr>
            </w:pPr>
            <w:r w:rsidRPr="00B05F62">
              <w:rPr>
                <w:rFonts w:ascii="AcadNusx" w:hAnsi="AcadNusx"/>
              </w:rPr>
              <w:t>192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BDA40E0"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EF7DE16"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60FF6FE" w14:textId="77777777" w:rsidR="00EA3205" w:rsidRPr="00B05F62" w:rsidRDefault="00EA3205" w:rsidP="00EA3205">
            <w:pPr>
              <w:rPr>
                <w:rFonts w:ascii="AcadNusx" w:hAnsi="AcadNusx"/>
              </w:rPr>
            </w:pPr>
            <w:r w:rsidRPr="00B05F62">
              <w:rPr>
                <w:rFonts w:ascii="AcadNusx" w:hAnsi="AcadNusx"/>
              </w:rPr>
              <w:t>112</w:t>
            </w:r>
          </w:p>
        </w:tc>
      </w:tr>
      <w:tr w:rsidR="00EA3205" w:rsidRPr="00B05F62" w14:paraId="561765ED"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1D13F902" w14:textId="77777777" w:rsidR="00EA3205" w:rsidRPr="00B05F62" w:rsidRDefault="00EA3205" w:rsidP="00EA3205">
            <w:pPr>
              <w:rPr>
                <w:rFonts w:ascii="AcadNusx" w:hAnsi="AcadNusx"/>
              </w:rPr>
            </w:pPr>
            <w:r w:rsidRPr="00B05F62">
              <w:rPr>
                <w:rFonts w:ascii="AcadNusx" w:hAnsi="AcadNusx"/>
              </w:rPr>
              <w:t>401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2447D72"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88D4F56"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02976AD" w14:textId="77777777" w:rsidR="00EA3205" w:rsidRPr="00B05F62" w:rsidRDefault="00EA3205" w:rsidP="00EA3205">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1BA9BEB" w14:textId="77777777" w:rsidR="00EA3205" w:rsidRPr="00B05F62" w:rsidRDefault="00EA3205" w:rsidP="00EA3205">
            <w:pPr>
              <w:rPr>
                <w:rFonts w:ascii="AcadNusx" w:hAnsi="AcadNusx"/>
              </w:rPr>
            </w:pPr>
            <w:r w:rsidRPr="00B05F62">
              <w:rPr>
                <w:rFonts w:ascii="AcadNusx" w:hAnsi="AcadNusx"/>
              </w:rPr>
              <w:t>107</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1EFC74BE" w14:textId="77777777" w:rsidR="00EA3205" w:rsidRPr="00B05F62" w:rsidRDefault="00EA3205" w:rsidP="00EA3205">
            <w:pPr>
              <w:rPr>
                <w:rFonts w:ascii="AcadNusx" w:hAnsi="AcadNusx"/>
              </w:rPr>
            </w:pPr>
            <w:r w:rsidRPr="00B05F62">
              <w:rPr>
                <w:rFonts w:ascii="AcadNusx" w:hAnsi="AcadNusx"/>
              </w:rPr>
              <w:t>107</w:t>
            </w:r>
          </w:p>
        </w:tc>
      </w:tr>
      <w:tr w:rsidR="00EA3205" w:rsidRPr="00B05F62" w14:paraId="37348EEB"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5AAE2B2F" w14:textId="77777777" w:rsidR="00EA3205" w:rsidRPr="00B05F62" w:rsidRDefault="00EA3205" w:rsidP="00EA3205">
            <w:pPr>
              <w:rPr>
                <w:rFonts w:ascii="AcadNusx" w:hAnsi="AcadNusx"/>
              </w:rPr>
            </w:pPr>
            <w:r w:rsidRPr="00B05F62">
              <w:rPr>
                <w:rFonts w:ascii="AcadNusx" w:hAnsi="AcadNusx"/>
              </w:rPr>
              <w:t>401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6BB8E1A" w14:textId="77777777" w:rsidR="00EA3205" w:rsidRPr="00B05F62" w:rsidRDefault="00EA3205" w:rsidP="00EA3205">
            <w:pPr>
              <w:rPr>
                <w:rFonts w:ascii="AcadNusx" w:hAnsi="AcadNusx"/>
              </w:rPr>
            </w:pPr>
            <w:r w:rsidRPr="00B05F62">
              <w:rPr>
                <w:rFonts w:ascii="AcadNusx" w:hAnsi="AcadNusx"/>
              </w:rPr>
              <w:t>18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4476817" w14:textId="77777777" w:rsidR="00EA3205" w:rsidRPr="00B05F62" w:rsidRDefault="00EA3205" w:rsidP="00EA3205">
            <w:pPr>
              <w:rPr>
                <w:rFonts w:ascii="AcadNusx" w:hAnsi="AcadNusx"/>
              </w:rPr>
            </w:pPr>
            <w:r w:rsidRPr="00B05F62">
              <w:rPr>
                <w:rFonts w:ascii="AcadNusx" w:hAnsi="AcadNusx"/>
              </w:rPr>
              <w:t>77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27122BC"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94E3ABF"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593090EC" w14:textId="77777777" w:rsidR="00EA3205" w:rsidRPr="00B05F62" w:rsidRDefault="00EA3205" w:rsidP="00EA3205">
            <w:pPr>
              <w:rPr>
                <w:rFonts w:ascii="AcadNusx" w:hAnsi="AcadNusx"/>
              </w:rPr>
            </w:pPr>
            <w:r w:rsidRPr="00B05F62">
              <w:rPr>
                <w:rFonts w:ascii="AcadNusx" w:hAnsi="AcadNusx"/>
              </w:rPr>
              <w:t>59</w:t>
            </w:r>
          </w:p>
        </w:tc>
      </w:tr>
      <w:tr w:rsidR="00EA3205" w:rsidRPr="00B05F62" w14:paraId="2E36B34D"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65B9766" w14:textId="77777777" w:rsidR="00EA3205" w:rsidRPr="00B05F62" w:rsidRDefault="00EA3205" w:rsidP="00EA3205">
            <w:pPr>
              <w:rPr>
                <w:rFonts w:ascii="AcadNusx" w:hAnsi="AcadNusx"/>
              </w:rPr>
            </w:pPr>
            <w:r w:rsidRPr="00B05F62">
              <w:rPr>
                <w:rFonts w:ascii="AcadNusx" w:hAnsi="AcadNusx"/>
              </w:rPr>
              <w:t>402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2CC0F94"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97E6D6B"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23874BD" w14:textId="77777777" w:rsidR="00EA3205" w:rsidRPr="00B05F62" w:rsidRDefault="00EA3205" w:rsidP="00EA3205">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AE372D1" w14:textId="77777777" w:rsidR="00EA3205" w:rsidRPr="00B05F62" w:rsidRDefault="00EA3205" w:rsidP="00EA3205">
            <w:pPr>
              <w:rPr>
                <w:rFonts w:ascii="AcadNusx" w:hAnsi="AcadNusx"/>
              </w:rPr>
            </w:pPr>
            <w:r w:rsidRPr="00B05F62">
              <w:rPr>
                <w:rFonts w:ascii="AcadNusx" w:hAnsi="AcadNusx"/>
              </w:rPr>
              <w:t>120</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72B894F0" w14:textId="77777777" w:rsidR="00EA3205" w:rsidRPr="00B05F62" w:rsidRDefault="00EA3205" w:rsidP="00EA3205">
            <w:pPr>
              <w:rPr>
                <w:rFonts w:ascii="AcadNusx" w:hAnsi="AcadNusx"/>
              </w:rPr>
            </w:pPr>
            <w:r w:rsidRPr="00B05F62">
              <w:rPr>
                <w:rFonts w:ascii="AcadNusx" w:hAnsi="AcadNusx"/>
              </w:rPr>
              <w:t>120</w:t>
            </w:r>
          </w:p>
        </w:tc>
      </w:tr>
      <w:tr w:rsidR="00EA3205" w:rsidRPr="00B05F62" w14:paraId="0EB93512"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3894B0C" w14:textId="77777777" w:rsidR="00EA3205" w:rsidRPr="00B05F62" w:rsidRDefault="00EA3205" w:rsidP="00EA3205">
            <w:pPr>
              <w:rPr>
                <w:rFonts w:ascii="AcadNusx" w:hAnsi="AcadNusx"/>
              </w:rPr>
            </w:pPr>
            <w:r w:rsidRPr="00B05F62">
              <w:rPr>
                <w:rFonts w:ascii="AcadNusx" w:hAnsi="AcadNusx"/>
              </w:rPr>
              <w:t>402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510B612" w14:textId="77777777" w:rsidR="00EA3205" w:rsidRPr="00B05F62" w:rsidRDefault="00EA3205" w:rsidP="00EA3205">
            <w:pPr>
              <w:rPr>
                <w:rFonts w:ascii="AcadNusx" w:hAnsi="AcadNusx"/>
              </w:rPr>
            </w:pPr>
            <w:r w:rsidRPr="00B05F62">
              <w:rPr>
                <w:rFonts w:ascii="AcadNusx" w:hAnsi="AcadNusx"/>
              </w:rPr>
              <w:t>40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D25988C" w14:textId="77777777" w:rsidR="00EA3205" w:rsidRPr="00B05F62" w:rsidRDefault="00EA3205" w:rsidP="00EA3205">
            <w:pPr>
              <w:rPr>
                <w:rFonts w:ascii="AcadNusx" w:hAnsi="AcadNusx"/>
              </w:rPr>
            </w:pPr>
            <w:r w:rsidRPr="00B05F62">
              <w:rPr>
                <w:rFonts w:ascii="AcadNusx" w:hAnsi="AcadNusx"/>
              </w:rPr>
              <w:t>104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659FBB1"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5197E0F"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E05C73D" w14:textId="77777777" w:rsidR="00EA3205" w:rsidRPr="00B05F62" w:rsidRDefault="00EA3205" w:rsidP="00EA3205">
            <w:pPr>
              <w:rPr>
                <w:rFonts w:ascii="AcadNusx" w:hAnsi="AcadNusx"/>
              </w:rPr>
            </w:pPr>
            <w:r w:rsidRPr="00B05F62">
              <w:rPr>
                <w:rFonts w:ascii="AcadNusx" w:hAnsi="AcadNusx"/>
              </w:rPr>
              <w:t>64</w:t>
            </w:r>
          </w:p>
        </w:tc>
      </w:tr>
      <w:tr w:rsidR="00EA3205" w:rsidRPr="00B05F62" w14:paraId="4504341A"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235B912" w14:textId="77777777" w:rsidR="00EA3205" w:rsidRPr="00B05F62" w:rsidRDefault="00EA3205" w:rsidP="00EA3205">
            <w:pPr>
              <w:rPr>
                <w:rFonts w:ascii="AcadNusx" w:hAnsi="AcadNusx"/>
              </w:rPr>
            </w:pPr>
            <w:r w:rsidRPr="00B05F62">
              <w:rPr>
                <w:rFonts w:ascii="AcadNusx" w:hAnsi="AcadNusx"/>
              </w:rPr>
              <w:t>403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209D6F6"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E8852BE"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EDAFF6A" w14:textId="77777777" w:rsidR="00EA3205" w:rsidRPr="00B05F62" w:rsidRDefault="00EA3205" w:rsidP="00EA3205">
            <w:pPr>
              <w:rPr>
                <w:rFonts w:ascii="AcadNusx" w:hAnsi="AcadNusx"/>
              </w:rPr>
            </w:pPr>
            <w:r w:rsidRPr="00B05F62">
              <w:rPr>
                <w:rFonts w:ascii="AcadNusx" w:hAnsi="AcadNusx"/>
              </w:rPr>
              <w:t>63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2856EC8" w14:textId="77777777" w:rsidR="00EA3205" w:rsidRPr="00B05F62" w:rsidRDefault="00EA3205" w:rsidP="00EA3205">
            <w:pPr>
              <w:rPr>
                <w:rFonts w:ascii="AcadNusx" w:hAnsi="AcadNusx"/>
              </w:rPr>
            </w:pPr>
            <w:r w:rsidRPr="00B05F62">
              <w:rPr>
                <w:rFonts w:ascii="AcadNusx" w:hAnsi="AcadNusx"/>
              </w:rPr>
              <w:t>183</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33F7D070" w14:textId="77777777" w:rsidR="00EA3205" w:rsidRPr="00B05F62" w:rsidRDefault="00EA3205" w:rsidP="00EA3205">
            <w:pPr>
              <w:rPr>
                <w:rFonts w:ascii="AcadNusx" w:hAnsi="AcadNusx"/>
              </w:rPr>
            </w:pPr>
            <w:r w:rsidRPr="00B05F62">
              <w:rPr>
                <w:rFonts w:ascii="AcadNusx" w:hAnsi="AcadNusx"/>
              </w:rPr>
              <w:t>120</w:t>
            </w:r>
          </w:p>
        </w:tc>
      </w:tr>
      <w:tr w:rsidR="00EA3205" w:rsidRPr="00B05F62" w14:paraId="78E5F8E3"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4D4F9400" w14:textId="77777777" w:rsidR="00EA3205" w:rsidRPr="00B05F62" w:rsidRDefault="00EA3205" w:rsidP="00EA3205">
            <w:pPr>
              <w:rPr>
                <w:rFonts w:ascii="AcadNusx" w:hAnsi="AcadNusx"/>
              </w:rPr>
            </w:pPr>
            <w:r w:rsidRPr="00B05F62">
              <w:rPr>
                <w:rFonts w:ascii="AcadNusx" w:hAnsi="AcadNusx"/>
              </w:rPr>
              <w:t>403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0ED9394" w14:textId="77777777" w:rsidR="00EA3205" w:rsidRPr="00B05F62" w:rsidRDefault="00EA3205" w:rsidP="00EA3205">
            <w:pPr>
              <w:rPr>
                <w:rFonts w:ascii="AcadNusx" w:hAnsi="AcadNusx"/>
              </w:rPr>
            </w:pPr>
            <w:r w:rsidRPr="00B05F62">
              <w:rPr>
                <w:rFonts w:ascii="AcadNusx" w:hAnsi="AcadNusx"/>
              </w:rPr>
              <w:t>50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543447F" w14:textId="77777777" w:rsidR="00EA3205" w:rsidRPr="00B05F62" w:rsidRDefault="00EA3205" w:rsidP="00EA3205">
            <w:pPr>
              <w:rPr>
                <w:rFonts w:ascii="AcadNusx" w:hAnsi="AcadNusx"/>
              </w:rPr>
            </w:pPr>
            <w:r w:rsidRPr="00B05F62">
              <w:rPr>
                <w:rFonts w:ascii="AcadNusx" w:hAnsi="AcadNusx"/>
              </w:rPr>
              <w:t>135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0A78AA9"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67F6885"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0D9A6EF" w14:textId="77777777" w:rsidR="00EA3205" w:rsidRPr="00B05F62" w:rsidRDefault="00EA3205" w:rsidP="00EA3205">
            <w:pPr>
              <w:rPr>
                <w:rFonts w:ascii="AcadNusx" w:hAnsi="AcadNusx"/>
              </w:rPr>
            </w:pPr>
            <w:r w:rsidRPr="00B05F62">
              <w:rPr>
                <w:rFonts w:ascii="AcadNusx" w:hAnsi="AcadNusx"/>
              </w:rPr>
              <w:t>85</w:t>
            </w:r>
          </w:p>
        </w:tc>
      </w:tr>
      <w:tr w:rsidR="00EA3205" w:rsidRPr="00B05F62" w14:paraId="751F5306"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298A030B" w14:textId="77777777" w:rsidR="00EA3205" w:rsidRPr="00B05F62" w:rsidRDefault="00EA3205" w:rsidP="00EA3205">
            <w:pPr>
              <w:rPr>
                <w:rFonts w:ascii="AcadNusx" w:hAnsi="AcadNusx"/>
              </w:rPr>
            </w:pPr>
            <w:r w:rsidRPr="00B05F62">
              <w:rPr>
                <w:rFonts w:ascii="AcadNusx" w:hAnsi="AcadNusx"/>
              </w:rPr>
              <w:t>404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EA38A19"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2F5B766"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789A77C" w14:textId="77777777" w:rsidR="00EA3205" w:rsidRPr="00B05F62" w:rsidRDefault="00EA3205" w:rsidP="00EA3205">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6EB1B4F" w14:textId="77777777" w:rsidR="00EA3205" w:rsidRPr="00B05F62" w:rsidRDefault="00EA3205" w:rsidP="00EA3205">
            <w:pPr>
              <w:rPr>
                <w:rFonts w:ascii="AcadNusx" w:hAnsi="AcadNusx"/>
              </w:rPr>
            </w:pPr>
            <w:r w:rsidRPr="00B05F62">
              <w:rPr>
                <w:rFonts w:ascii="AcadNusx" w:hAnsi="AcadNusx"/>
              </w:rPr>
              <w:t>163</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748388AD" w14:textId="77777777" w:rsidR="00EA3205" w:rsidRPr="00B05F62" w:rsidRDefault="00EA3205" w:rsidP="00EA3205">
            <w:pPr>
              <w:rPr>
                <w:rFonts w:ascii="AcadNusx" w:hAnsi="AcadNusx"/>
              </w:rPr>
            </w:pPr>
            <w:r w:rsidRPr="00B05F62">
              <w:rPr>
                <w:rFonts w:ascii="AcadNusx" w:hAnsi="AcadNusx"/>
              </w:rPr>
              <w:t>163</w:t>
            </w:r>
          </w:p>
        </w:tc>
      </w:tr>
      <w:tr w:rsidR="00EA3205" w:rsidRPr="00B05F62" w14:paraId="5EA52D60"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4DC108E3" w14:textId="77777777" w:rsidR="00EA3205" w:rsidRPr="00B05F62" w:rsidRDefault="00EA3205" w:rsidP="00EA3205">
            <w:pPr>
              <w:rPr>
                <w:rFonts w:ascii="AcadNusx" w:hAnsi="AcadNusx"/>
              </w:rPr>
            </w:pPr>
            <w:r w:rsidRPr="00B05F62">
              <w:rPr>
                <w:rFonts w:ascii="AcadNusx" w:hAnsi="AcadNusx"/>
              </w:rPr>
              <w:t>404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17EC21D" w14:textId="77777777" w:rsidR="00EA3205" w:rsidRPr="00B05F62" w:rsidRDefault="00EA3205" w:rsidP="00EA3205">
            <w:pPr>
              <w:rPr>
                <w:rFonts w:ascii="AcadNusx" w:hAnsi="AcadNusx"/>
              </w:rPr>
            </w:pPr>
            <w:r w:rsidRPr="00B05F62">
              <w:rPr>
                <w:rFonts w:ascii="AcadNusx" w:hAnsi="AcadNusx"/>
              </w:rPr>
              <w:t>70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6E9773F" w14:textId="77777777" w:rsidR="00EA3205" w:rsidRPr="00B05F62" w:rsidRDefault="00EA3205" w:rsidP="00EA3205">
            <w:pPr>
              <w:rPr>
                <w:rFonts w:ascii="AcadNusx" w:hAnsi="AcadNusx"/>
              </w:rPr>
            </w:pPr>
            <w:r w:rsidRPr="00B05F62">
              <w:rPr>
                <w:rFonts w:ascii="AcadNusx" w:hAnsi="AcadNusx"/>
              </w:rPr>
              <w:t>155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590AC3D"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A2C8B62"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29EC05BF" w14:textId="77777777" w:rsidR="00EA3205" w:rsidRPr="00B05F62" w:rsidRDefault="00EA3205" w:rsidP="00EA3205">
            <w:pPr>
              <w:rPr>
                <w:rFonts w:ascii="AcadNusx" w:hAnsi="AcadNusx"/>
              </w:rPr>
            </w:pPr>
            <w:r w:rsidRPr="00B05F62">
              <w:rPr>
                <w:rFonts w:ascii="AcadNusx" w:hAnsi="AcadNusx"/>
              </w:rPr>
              <w:t>85</w:t>
            </w:r>
          </w:p>
        </w:tc>
      </w:tr>
      <w:tr w:rsidR="00EA3205" w:rsidRPr="00B05F62" w14:paraId="18584905"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1CAB689" w14:textId="77777777" w:rsidR="00EA3205" w:rsidRPr="00B05F62" w:rsidRDefault="00EA3205" w:rsidP="00EA3205">
            <w:pPr>
              <w:rPr>
                <w:rFonts w:ascii="AcadNusx" w:hAnsi="AcadNusx"/>
              </w:rPr>
            </w:pPr>
            <w:r w:rsidRPr="00B05F62">
              <w:rPr>
                <w:rFonts w:ascii="AcadNusx" w:hAnsi="AcadNusx"/>
              </w:rPr>
              <w:lastRenderedPageBreak/>
              <w:t>405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8C96682"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16E60AC"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27F6FFD" w14:textId="77777777" w:rsidR="00EA3205" w:rsidRPr="00B05F62" w:rsidRDefault="00EA3205" w:rsidP="00EA3205">
            <w:pPr>
              <w:rPr>
                <w:rFonts w:ascii="AcadNusx" w:hAnsi="AcadNusx"/>
              </w:rPr>
            </w:pPr>
            <w:r w:rsidRPr="00B05F62">
              <w:rPr>
                <w:rFonts w:ascii="AcadNusx" w:hAnsi="AcadNusx"/>
              </w:rPr>
              <w:t>87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DF81E05" w14:textId="77777777" w:rsidR="00EA3205" w:rsidRPr="00B05F62" w:rsidRDefault="00EA3205" w:rsidP="00EA3205">
            <w:pPr>
              <w:rPr>
                <w:rFonts w:ascii="AcadNusx" w:hAnsi="AcadNusx"/>
              </w:rPr>
            </w:pPr>
            <w:r w:rsidRPr="00B05F62">
              <w:rPr>
                <w:rFonts w:ascii="AcadNusx" w:hAnsi="AcadNusx"/>
              </w:rPr>
              <w:t>151</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22A468E1" w14:textId="77777777" w:rsidR="00EA3205" w:rsidRPr="00B05F62" w:rsidRDefault="00EA3205" w:rsidP="00EA3205">
            <w:pPr>
              <w:rPr>
                <w:rFonts w:ascii="AcadNusx" w:hAnsi="AcadNusx"/>
              </w:rPr>
            </w:pPr>
            <w:r w:rsidRPr="00B05F62">
              <w:rPr>
                <w:rFonts w:ascii="AcadNusx" w:hAnsi="AcadNusx"/>
              </w:rPr>
              <w:t>64</w:t>
            </w:r>
          </w:p>
        </w:tc>
      </w:tr>
      <w:tr w:rsidR="00EA3205" w:rsidRPr="00B05F62" w14:paraId="4E4BEA8A"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DF61106" w14:textId="77777777" w:rsidR="00EA3205" w:rsidRPr="00B05F62" w:rsidRDefault="00EA3205" w:rsidP="00EA3205">
            <w:pPr>
              <w:rPr>
                <w:rFonts w:ascii="AcadNusx" w:hAnsi="AcadNusx"/>
              </w:rPr>
            </w:pPr>
            <w:r w:rsidRPr="00B05F62">
              <w:rPr>
                <w:rFonts w:ascii="AcadNusx" w:hAnsi="AcadNusx"/>
              </w:rPr>
              <w:t>405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3F7BC3E" w14:textId="77777777" w:rsidR="00EA3205" w:rsidRPr="00B05F62" w:rsidRDefault="00EA3205" w:rsidP="00EA3205">
            <w:pPr>
              <w:rPr>
                <w:rFonts w:ascii="AcadNusx" w:hAnsi="AcadNusx"/>
              </w:rPr>
            </w:pPr>
            <w:r w:rsidRPr="00B05F62">
              <w:rPr>
                <w:rFonts w:ascii="AcadNusx" w:hAnsi="AcadNusx"/>
              </w:rPr>
              <w:t>70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1FD5EAE" w14:textId="77777777" w:rsidR="00EA3205" w:rsidRPr="00B05F62" w:rsidRDefault="00EA3205" w:rsidP="00EA3205">
            <w:pPr>
              <w:rPr>
                <w:rFonts w:ascii="AcadNusx" w:hAnsi="AcadNusx"/>
              </w:rPr>
            </w:pPr>
            <w:r w:rsidRPr="00B05F62">
              <w:rPr>
                <w:rFonts w:ascii="AcadNusx" w:hAnsi="AcadNusx"/>
              </w:rPr>
              <w:t>151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0260FFB"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F3FD0B2"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E362591" w14:textId="77777777" w:rsidR="00EA3205" w:rsidRPr="00B05F62" w:rsidRDefault="00EA3205" w:rsidP="00EA3205">
            <w:pPr>
              <w:rPr>
                <w:rFonts w:ascii="AcadNusx" w:hAnsi="AcadNusx"/>
              </w:rPr>
            </w:pPr>
            <w:r w:rsidRPr="00B05F62">
              <w:rPr>
                <w:rFonts w:ascii="AcadNusx" w:hAnsi="AcadNusx"/>
              </w:rPr>
              <w:t>81</w:t>
            </w:r>
          </w:p>
        </w:tc>
      </w:tr>
      <w:tr w:rsidR="00EA3205" w:rsidRPr="00B05F62" w14:paraId="13D530EB"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5171992E" w14:textId="77777777" w:rsidR="00EA3205" w:rsidRPr="00B05F62" w:rsidRDefault="00EA3205" w:rsidP="00EA3205">
            <w:pPr>
              <w:rPr>
                <w:rFonts w:ascii="AcadNusx" w:hAnsi="AcadNusx"/>
              </w:rPr>
            </w:pPr>
            <w:r w:rsidRPr="00B05F62">
              <w:rPr>
                <w:rFonts w:ascii="AcadNusx" w:hAnsi="AcadNusx"/>
              </w:rPr>
              <w:t>501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E0E6CE1"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A73AE2E"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2EE0EA1" w14:textId="77777777" w:rsidR="00EA3205" w:rsidRPr="00B05F62" w:rsidRDefault="00EA3205" w:rsidP="00EA3205">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1B3E9E4" w14:textId="77777777" w:rsidR="00EA3205" w:rsidRPr="00B05F62" w:rsidRDefault="00EA3205" w:rsidP="00EA3205">
            <w:pPr>
              <w:rPr>
                <w:rFonts w:ascii="AcadNusx" w:hAnsi="AcadNusx"/>
              </w:rPr>
            </w:pPr>
            <w:r w:rsidRPr="00B05F62">
              <w:rPr>
                <w:rFonts w:ascii="AcadNusx" w:hAnsi="AcadNusx"/>
              </w:rPr>
              <w:t>105</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E209A89" w14:textId="77777777" w:rsidR="00EA3205" w:rsidRPr="00B05F62" w:rsidRDefault="00EA3205" w:rsidP="00EA3205">
            <w:pPr>
              <w:rPr>
                <w:rFonts w:ascii="AcadNusx" w:hAnsi="AcadNusx"/>
              </w:rPr>
            </w:pPr>
            <w:r w:rsidRPr="00B05F62">
              <w:rPr>
                <w:rFonts w:ascii="AcadNusx" w:hAnsi="AcadNusx"/>
              </w:rPr>
              <w:t>105</w:t>
            </w:r>
          </w:p>
        </w:tc>
      </w:tr>
      <w:tr w:rsidR="00EA3205" w:rsidRPr="00B05F62" w14:paraId="65251C8B"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4C27538" w14:textId="77777777" w:rsidR="00EA3205" w:rsidRPr="00B05F62" w:rsidRDefault="00EA3205" w:rsidP="00EA3205">
            <w:pPr>
              <w:rPr>
                <w:rFonts w:ascii="AcadNusx" w:hAnsi="AcadNusx"/>
              </w:rPr>
            </w:pPr>
            <w:r w:rsidRPr="00B05F62">
              <w:rPr>
                <w:rFonts w:ascii="AcadNusx" w:hAnsi="AcadNusx"/>
              </w:rPr>
              <w:t>501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317DAFB" w14:textId="77777777" w:rsidR="00EA3205" w:rsidRPr="00B05F62" w:rsidRDefault="00EA3205" w:rsidP="00EA3205">
            <w:pPr>
              <w:rPr>
                <w:rFonts w:ascii="AcadNusx" w:hAnsi="AcadNusx"/>
              </w:rPr>
            </w:pPr>
            <w:r w:rsidRPr="00B05F62">
              <w:rPr>
                <w:rFonts w:ascii="AcadNusx" w:hAnsi="AcadNusx"/>
              </w:rPr>
              <w:t>19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538AFEB" w14:textId="77777777" w:rsidR="00EA3205" w:rsidRPr="00B05F62" w:rsidRDefault="00EA3205" w:rsidP="00EA3205">
            <w:pPr>
              <w:rPr>
                <w:rFonts w:ascii="AcadNusx" w:hAnsi="AcadNusx"/>
              </w:rPr>
            </w:pPr>
            <w:r w:rsidRPr="00B05F62">
              <w:rPr>
                <w:rFonts w:ascii="AcadNusx" w:hAnsi="AcadNusx"/>
              </w:rPr>
              <w:t>74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AC190F5"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EE2BE87"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1BB40B60" w14:textId="77777777" w:rsidR="00EA3205" w:rsidRPr="00B05F62" w:rsidRDefault="00EA3205" w:rsidP="00EA3205">
            <w:pPr>
              <w:rPr>
                <w:rFonts w:ascii="AcadNusx" w:hAnsi="AcadNusx"/>
              </w:rPr>
            </w:pPr>
            <w:r w:rsidRPr="00B05F62">
              <w:rPr>
                <w:rFonts w:ascii="AcadNusx" w:hAnsi="AcadNusx"/>
              </w:rPr>
              <w:t>55</w:t>
            </w:r>
          </w:p>
        </w:tc>
      </w:tr>
      <w:tr w:rsidR="00EA3205" w:rsidRPr="00B05F62" w14:paraId="54728C68"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5BC4E2F3" w14:textId="77777777" w:rsidR="00EA3205" w:rsidRPr="00B05F62" w:rsidRDefault="00EA3205" w:rsidP="00EA3205">
            <w:pPr>
              <w:rPr>
                <w:rFonts w:ascii="AcadNusx" w:hAnsi="AcadNusx"/>
              </w:rPr>
            </w:pPr>
            <w:r w:rsidRPr="00B05F62">
              <w:rPr>
                <w:rFonts w:ascii="AcadNusx" w:hAnsi="AcadNusx"/>
              </w:rPr>
              <w:t>502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B43780B"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66109D3"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3C2B699" w14:textId="77777777" w:rsidR="00EA3205" w:rsidRPr="00B05F62" w:rsidRDefault="00EA3205" w:rsidP="00EA3205">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FE3E858" w14:textId="77777777" w:rsidR="00EA3205" w:rsidRPr="00B05F62" w:rsidRDefault="00EA3205" w:rsidP="00EA3205">
            <w:pPr>
              <w:rPr>
                <w:rFonts w:ascii="AcadNusx" w:hAnsi="AcadNusx"/>
              </w:rPr>
            </w:pPr>
            <w:r w:rsidRPr="00B05F62">
              <w:rPr>
                <w:rFonts w:ascii="AcadNusx" w:hAnsi="AcadNusx"/>
              </w:rPr>
              <w:t>122</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25554CDD" w14:textId="77777777" w:rsidR="00EA3205" w:rsidRPr="00B05F62" w:rsidRDefault="00EA3205" w:rsidP="00EA3205">
            <w:pPr>
              <w:rPr>
                <w:rFonts w:ascii="AcadNusx" w:hAnsi="AcadNusx"/>
              </w:rPr>
            </w:pPr>
            <w:r w:rsidRPr="00B05F62">
              <w:rPr>
                <w:rFonts w:ascii="AcadNusx" w:hAnsi="AcadNusx"/>
              </w:rPr>
              <w:t>122</w:t>
            </w:r>
          </w:p>
        </w:tc>
      </w:tr>
      <w:tr w:rsidR="00EA3205" w:rsidRPr="00B05F62" w14:paraId="07D2EA3A"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49814E9E" w14:textId="77777777" w:rsidR="00EA3205" w:rsidRPr="00B05F62" w:rsidRDefault="00EA3205" w:rsidP="00EA3205">
            <w:pPr>
              <w:rPr>
                <w:rFonts w:ascii="AcadNusx" w:hAnsi="AcadNusx"/>
              </w:rPr>
            </w:pPr>
            <w:r w:rsidRPr="00B05F62">
              <w:rPr>
                <w:rFonts w:ascii="AcadNusx" w:hAnsi="AcadNusx"/>
              </w:rPr>
              <w:t>502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0B1DF44" w14:textId="77777777" w:rsidR="00EA3205" w:rsidRPr="00B05F62" w:rsidRDefault="00EA3205" w:rsidP="00EA3205">
            <w:pPr>
              <w:rPr>
                <w:rFonts w:ascii="AcadNusx" w:hAnsi="AcadNusx"/>
              </w:rPr>
            </w:pPr>
            <w:r w:rsidRPr="00B05F62">
              <w:rPr>
                <w:rFonts w:ascii="AcadNusx" w:hAnsi="AcadNusx"/>
              </w:rPr>
              <w:t>37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2CEDB57" w14:textId="77777777" w:rsidR="00EA3205" w:rsidRPr="00B05F62" w:rsidRDefault="00EA3205" w:rsidP="00EA3205">
            <w:pPr>
              <w:rPr>
                <w:rFonts w:ascii="AcadNusx" w:hAnsi="AcadNusx"/>
              </w:rPr>
            </w:pPr>
            <w:r w:rsidRPr="00B05F62">
              <w:rPr>
                <w:rFonts w:ascii="AcadNusx" w:hAnsi="AcadNusx"/>
              </w:rPr>
              <w:t>104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4C175D2"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CD1B6BB"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745BFBAC" w14:textId="77777777" w:rsidR="00EA3205" w:rsidRPr="00B05F62" w:rsidRDefault="00EA3205" w:rsidP="00EA3205">
            <w:pPr>
              <w:rPr>
                <w:rFonts w:ascii="AcadNusx" w:hAnsi="AcadNusx"/>
              </w:rPr>
            </w:pPr>
            <w:r w:rsidRPr="00B05F62">
              <w:rPr>
                <w:rFonts w:ascii="AcadNusx" w:hAnsi="AcadNusx"/>
              </w:rPr>
              <w:t>67</w:t>
            </w:r>
          </w:p>
        </w:tc>
      </w:tr>
      <w:tr w:rsidR="00EA3205" w:rsidRPr="00B05F62" w14:paraId="39DAE2FF"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4170668C" w14:textId="77777777" w:rsidR="00EA3205" w:rsidRPr="00B05F62" w:rsidRDefault="00EA3205" w:rsidP="00EA3205">
            <w:pPr>
              <w:rPr>
                <w:rFonts w:ascii="AcadNusx" w:hAnsi="AcadNusx"/>
              </w:rPr>
            </w:pPr>
            <w:r w:rsidRPr="00B05F62">
              <w:rPr>
                <w:rFonts w:ascii="AcadNusx" w:hAnsi="AcadNusx"/>
              </w:rPr>
              <w:t>503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01ADA89"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13E6CCB"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2E09C57" w14:textId="77777777" w:rsidR="00EA3205" w:rsidRPr="00B05F62" w:rsidRDefault="00EA3205" w:rsidP="00EA3205">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DDA5AFE" w14:textId="77777777" w:rsidR="00EA3205" w:rsidRPr="00B05F62" w:rsidRDefault="00EA3205" w:rsidP="00EA3205">
            <w:pPr>
              <w:rPr>
                <w:rFonts w:ascii="AcadNusx" w:hAnsi="AcadNusx"/>
              </w:rPr>
            </w:pPr>
            <w:r w:rsidRPr="00B05F62">
              <w:rPr>
                <w:rFonts w:ascii="AcadNusx" w:hAnsi="AcadNusx"/>
              </w:rPr>
              <w:t>110</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3CE1B49E" w14:textId="77777777" w:rsidR="00EA3205" w:rsidRPr="00B05F62" w:rsidRDefault="00EA3205" w:rsidP="00EA3205">
            <w:pPr>
              <w:rPr>
                <w:rFonts w:ascii="AcadNusx" w:hAnsi="AcadNusx"/>
              </w:rPr>
            </w:pPr>
            <w:r w:rsidRPr="00B05F62">
              <w:rPr>
                <w:rFonts w:ascii="AcadNusx" w:hAnsi="AcadNusx"/>
              </w:rPr>
              <w:t>110</w:t>
            </w:r>
          </w:p>
        </w:tc>
      </w:tr>
      <w:tr w:rsidR="00EA3205" w:rsidRPr="00B05F62" w14:paraId="4A40FEF1"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1D43230F" w14:textId="77777777" w:rsidR="00EA3205" w:rsidRPr="00B05F62" w:rsidRDefault="00EA3205" w:rsidP="00EA3205">
            <w:pPr>
              <w:rPr>
                <w:rFonts w:ascii="AcadNusx" w:hAnsi="AcadNusx"/>
              </w:rPr>
            </w:pPr>
            <w:r w:rsidRPr="00B05F62">
              <w:rPr>
                <w:rFonts w:ascii="AcadNusx" w:hAnsi="AcadNusx"/>
              </w:rPr>
              <w:t>503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3A4C8CC" w14:textId="77777777" w:rsidR="00EA3205" w:rsidRPr="00B05F62" w:rsidRDefault="00EA3205" w:rsidP="00EA3205">
            <w:pPr>
              <w:rPr>
                <w:rFonts w:ascii="AcadNusx" w:hAnsi="AcadNusx"/>
              </w:rPr>
            </w:pPr>
            <w:r w:rsidRPr="00B05F62">
              <w:rPr>
                <w:rFonts w:ascii="AcadNusx" w:hAnsi="AcadNusx"/>
              </w:rPr>
              <w:t>37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3B8057D" w14:textId="77777777" w:rsidR="00EA3205" w:rsidRPr="00B05F62" w:rsidRDefault="00EA3205" w:rsidP="00EA3205">
            <w:pPr>
              <w:rPr>
                <w:rFonts w:ascii="AcadNusx" w:hAnsi="AcadNusx"/>
              </w:rPr>
            </w:pPr>
            <w:r w:rsidRPr="00B05F62">
              <w:rPr>
                <w:rFonts w:ascii="AcadNusx" w:hAnsi="AcadNusx"/>
              </w:rPr>
              <w:t>94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5B75BE8"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64DC8C4"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211C0037" w14:textId="77777777" w:rsidR="00EA3205" w:rsidRPr="00B05F62" w:rsidRDefault="00EA3205" w:rsidP="00EA3205">
            <w:pPr>
              <w:rPr>
                <w:rFonts w:ascii="AcadNusx" w:hAnsi="AcadNusx"/>
              </w:rPr>
            </w:pPr>
            <w:r w:rsidRPr="00B05F62">
              <w:rPr>
                <w:rFonts w:ascii="AcadNusx" w:hAnsi="AcadNusx"/>
              </w:rPr>
              <w:t>57</w:t>
            </w:r>
          </w:p>
        </w:tc>
      </w:tr>
      <w:tr w:rsidR="00EA3205" w:rsidRPr="00B05F62" w14:paraId="3A4CAD2A"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A814FE6" w14:textId="77777777" w:rsidR="00EA3205" w:rsidRPr="00B05F62" w:rsidRDefault="00EA3205" w:rsidP="00EA3205">
            <w:pPr>
              <w:rPr>
                <w:rFonts w:ascii="AcadNusx" w:hAnsi="AcadNusx"/>
              </w:rPr>
            </w:pPr>
            <w:r w:rsidRPr="00B05F62">
              <w:rPr>
                <w:rFonts w:ascii="AcadNusx" w:hAnsi="AcadNusx"/>
              </w:rPr>
              <w:t>504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DE2F70F"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72CBF62"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AB6F0A2" w14:textId="77777777" w:rsidR="00EA3205" w:rsidRPr="00B05F62" w:rsidRDefault="00EA3205" w:rsidP="00EA3205">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73A757C" w14:textId="77777777" w:rsidR="00EA3205" w:rsidRPr="00B05F62" w:rsidRDefault="00EA3205" w:rsidP="00EA3205">
            <w:pPr>
              <w:rPr>
                <w:rFonts w:ascii="AcadNusx" w:hAnsi="AcadNusx"/>
              </w:rPr>
            </w:pPr>
            <w:r w:rsidRPr="00B05F62">
              <w:rPr>
                <w:rFonts w:ascii="AcadNusx" w:hAnsi="AcadNusx"/>
              </w:rPr>
              <w:t>109</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68B9C879" w14:textId="77777777" w:rsidR="00EA3205" w:rsidRPr="00B05F62" w:rsidRDefault="00EA3205" w:rsidP="00EA3205">
            <w:pPr>
              <w:rPr>
                <w:rFonts w:ascii="AcadNusx" w:hAnsi="AcadNusx"/>
              </w:rPr>
            </w:pPr>
            <w:r w:rsidRPr="00B05F62">
              <w:rPr>
                <w:rFonts w:ascii="AcadNusx" w:hAnsi="AcadNusx"/>
              </w:rPr>
              <w:t>109</w:t>
            </w:r>
          </w:p>
        </w:tc>
      </w:tr>
      <w:tr w:rsidR="00EA3205" w:rsidRPr="00B05F62" w14:paraId="016D0088"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2A9BEA9E" w14:textId="77777777" w:rsidR="00EA3205" w:rsidRPr="00B05F62" w:rsidRDefault="00EA3205" w:rsidP="00EA3205">
            <w:pPr>
              <w:rPr>
                <w:rFonts w:ascii="AcadNusx" w:hAnsi="AcadNusx"/>
              </w:rPr>
            </w:pPr>
            <w:r w:rsidRPr="00B05F62">
              <w:rPr>
                <w:rFonts w:ascii="AcadNusx" w:hAnsi="AcadNusx"/>
              </w:rPr>
              <w:t>504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A847861" w14:textId="77777777" w:rsidR="00EA3205" w:rsidRPr="00B05F62" w:rsidRDefault="00EA3205" w:rsidP="00EA3205">
            <w:pPr>
              <w:rPr>
                <w:rFonts w:ascii="AcadNusx" w:hAnsi="AcadNusx"/>
              </w:rPr>
            </w:pPr>
            <w:r w:rsidRPr="00B05F62">
              <w:rPr>
                <w:rFonts w:ascii="AcadNusx" w:hAnsi="AcadNusx"/>
              </w:rPr>
              <w:t>37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70AF7EF" w14:textId="77777777" w:rsidR="00EA3205" w:rsidRPr="00B05F62" w:rsidRDefault="00EA3205" w:rsidP="00EA3205">
            <w:pPr>
              <w:rPr>
                <w:rFonts w:ascii="AcadNusx" w:hAnsi="AcadNusx"/>
              </w:rPr>
            </w:pPr>
            <w:r w:rsidRPr="00B05F62">
              <w:rPr>
                <w:rFonts w:ascii="AcadNusx" w:hAnsi="AcadNusx"/>
              </w:rPr>
              <w:t>94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AD6455E"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930142C"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64829A79" w14:textId="77777777" w:rsidR="00EA3205" w:rsidRPr="00B05F62" w:rsidRDefault="00EA3205" w:rsidP="00EA3205">
            <w:pPr>
              <w:rPr>
                <w:rFonts w:ascii="AcadNusx" w:hAnsi="AcadNusx"/>
              </w:rPr>
            </w:pPr>
            <w:r w:rsidRPr="00B05F62">
              <w:rPr>
                <w:rFonts w:ascii="AcadNusx" w:hAnsi="AcadNusx"/>
              </w:rPr>
              <w:t>57</w:t>
            </w:r>
          </w:p>
        </w:tc>
      </w:tr>
      <w:tr w:rsidR="00EA3205" w:rsidRPr="00B05F62" w14:paraId="6DFD8993"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4DBA1C73" w14:textId="77777777" w:rsidR="00EA3205" w:rsidRPr="00B05F62" w:rsidRDefault="00EA3205" w:rsidP="00EA3205">
            <w:pPr>
              <w:rPr>
                <w:rFonts w:ascii="AcadNusx" w:hAnsi="AcadNusx"/>
              </w:rPr>
            </w:pPr>
            <w:r w:rsidRPr="00B05F62">
              <w:rPr>
                <w:rFonts w:ascii="AcadNusx" w:hAnsi="AcadNusx"/>
              </w:rPr>
              <w:t>505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7E246B6" w14:textId="77777777" w:rsidR="00EA3205" w:rsidRPr="00B05F62" w:rsidRDefault="00EA3205" w:rsidP="00EA3205">
            <w:pPr>
              <w:rPr>
                <w:rFonts w:ascii="AcadNusx" w:hAnsi="AcadNusx"/>
              </w:rPr>
            </w:pPr>
            <w:r w:rsidRPr="00B05F62">
              <w:rPr>
                <w:rFonts w:ascii="AcadNusx" w:hAnsi="AcadNusx"/>
              </w:rPr>
              <w:t>33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EBF9EBE" w14:textId="77777777" w:rsidR="00EA3205" w:rsidRPr="00B05F62" w:rsidRDefault="00EA3205" w:rsidP="00EA3205">
            <w:pPr>
              <w:rPr>
                <w:rFonts w:ascii="AcadNusx" w:hAnsi="AcadNusx"/>
              </w:rPr>
            </w:pPr>
            <w:r w:rsidRPr="00B05F62">
              <w:rPr>
                <w:rFonts w:ascii="AcadNusx" w:hAnsi="AcadNusx"/>
              </w:rPr>
              <w:t>88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839A4C8"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6736A9E"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4CE00B3" w14:textId="77777777" w:rsidR="00EA3205" w:rsidRPr="00B05F62" w:rsidRDefault="00EA3205" w:rsidP="00EA3205">
            <w:pPr>
              <w:rPr>
                <w:rFonts w:ascii="AcadNusx" w:hAnsi="AcadNusx"/>
              </w:rPr>
            </w:pPr>
            <w:r w:rsidRPr="00B05F62">
              <w:rPr>
                <w:rFonts w:ascii="AcadNusx" w:hAnsi="AcadNusx"/>
              </w:rPr>
              <w:t>55</w:t>
            </w:r>
          </w:p>
        </w:tc>
      </w:tr>
      <w:tr w:rsidR="00EA3205" w:rsidRPr="00B05F62" w14:paraId="41ED63A2"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293AF3C" w14:textId="77777777" w:rsidR="00EA3205" w:rsidRPr="00B05F62" w:rsidRDefault="00EA3205" w:rsidP="00EA3205">
            <w:pPr>
              <w:rPr>
                <w:rFonts w:ascii="AcadNusx" w:hAnsi="AcadNusx"/>
              </w:rPr>
            </w:pPr>
            <w:r w:rsidRPr="00B05F62">
              <w:rPr>
                <w:rFonts w:ascii="AcadNusx" w:hAnsi="AcadNusx"/>
              </w:rPr>
              <w:t>505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6B65AC0"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CC45C4D"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415ED09" w14:textId="77777777" w:rsidR="00EA3205" w:rsidRPr="00B05F62" w:rsidRDefault="00EA3205" w:rsidP="00EA3205">
            <w:pPr>
              <w:rPr>
                <w:rFonts w:ascii="AcadNusx" w:hAnsi="AcadNusx"/>
              </w:rPr>
            </w:pPr>
            <w:r w:rsidRPr="00B05F62">
              <w:rPr>
                <w:rFonts w:ascii="AcadNusx" w:hAnsi="AcadNusx"/>
              </w:rPr>
              <w:t>58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8333DE0" w14:textId="77777777" w:rsidR="00EA3205" w:rsidRPr="00B05F62" w:rsidRDefault="00EA3205" w:rsidP="00EA3205">
            <w:pPr>
              <w:rPr>
                <w:rFonts w:ascii="AcadNusx" w:hAnsi="AcadNusx"/>
              </w:rPr>
            </w:pPr>
            <w:r w:rsidRPr="00B05F62">
              <w:rPr>
                <w:rFonts w:ascii="AcadNusx" w:hAnsi="AcadNusx"/>
              </w:rPr>
              <w:t>88</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50D9786A" w14:textId="77777777" w:rsidR="00EA3205" w:rsidRPr="00B05F62" w:rsidRDefault="00EA3205" w:rsidP="00EA3205">
            <w:pPr>
              <w:rPr>
                <w:rFonts w:ascii="AcadNusx" w:hAnsi="AcadNusx"/>
              </w:rPr>
            </w:pPr>
            <w:r w:rsidRPr="00B05F62">
              <w:rPr>
                <w:rFonts w:ascii="AcadNusx" w:hAnsi="AcadNusx"/>
              </w:rPr>
              <w:t>30</w:t>
            </w:r>
          </w:p>
        </w:tc>
      </w:tr>
      <w:tr w:rsidR="00EA3205" w:rsidRPr="00B05F62" w14:paraId="3D6D5C05"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4B14119F" w14:textId="77777777" w:rsidR="00EA3205" w:rsidRPr="00B05F62" w:rsidRDefault="00EA3205" w:rsidP="00EA3205">
            <w:pPr>
              <w:rPr>
                <w:rFonts w:ascii="AcadNusx" w:hAnsi="AcadNusx"/>
              </w:rPr>
            </w:pPr>
            <w:r w:rsidRPr="00B05F62">
              <w:rPr>
                <w:rFonts w:ascii="AcadNusx" w:hAnsi="AcadNusx"/>
              </w:rPr>
              <w:t>506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BF4DD72"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BE052B4"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7D199A2" w14:textId="77777777" w:rsidR="00EA3205" w:rsidRPr="00B05F62" w:rsidRDefault="00EA3205" w:rsidP="00EA3205">
            <w:pPr>
              <w:rPr>
                <w:rFonts w:ascii="AcadNusx" w:hAnsi="AcadNusx"/>
              </w:rPr>
            </w:pPr>
            <w:r w:rsidRPr="00B05F62">
              <w:rPr>
                <w:rFonts w:ascii="AcadNusx" w:hAnsi="AcadNusx"/>
              </w:rPr>
              <w:t>143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EFFB850" w14:textId="77777777" w:rsidR="00EA3205" w:rsidRPr="00B05F62" w:rsidRDefault="00EA3205" w:rsidP="00EA3205">
            <w:pPr>
              <w:rPr>
                <w:rFonts w:ascii="AcadNusx" w:hAnsi="AcadNusx"/>
              </w:rPr>
            </w:pPr>
            <w:r w:rsidRPr="00B05F62">
              <w:rPr>
                <w:rFonts w:ascii="AcadNusx" w:hAnsi="AcadNusx"/>
              </w:rPr>
              <w:t>166</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34EB472" w14:textId="77777777" w:rsidR="00EA3205" w:rsidRPr="00B05F62" w:rsidRDefault="00EA3205" w:rsidP="00EA3205">
            <w:pPr>
              <w:rPr>
                <w:rFonts w:ascii="AcadNusx" w:hAnsi="AcadNusx"/>
              </w:rPr>
            </w:pPr>
            <w:r w:rsidRPr="00B05F62">
              <w:rPr>
                <w:rFonts w:ascii="AcadNusx" w:hAnsi="AcadNusx"/>
              </w:rPr>
              <w:t>23</w:t>
            </w:r>
          </w:p>
        </w:tc>
      </w:tr>
      <w:tr w:rsidR="00EA3205" w:rsidRPr="00B05F62" w14:paraId="7845F89C"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27700728" w14:textId="77777777" w:rsidR="00EA3205" w:rsidRPr="00B05F62" w:rsidRDefault="00EA3205" w:rsidP="00EA3205">
            <w:pPr>
              <w:rPr>
                <w:rFonts w:ascii="AcadNusx" w:hAnsi="AcadNusx"/>
              </w:rPr>
            </w:pPr>
            <w:r w:rsidRPr="00B05F62">
              <w:rPr>
                <w:rFonts w:ascii="AcadNusx" w:hAnsi="AcadNusx"/>
              </w:rPr>
              <w:t>506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FCF4D1F" w14:textId="77777777" w:rsidR="00EA3205" w:rsidRPr="00B05F62" w:rsidRDefault="00EA3205" w:rsidP="00EA3205">
            <w:pPr>
              <w:rPr>
                <w:rFonts w:ascii="AcadNusx" w:hAnsi="AcadNusx"/>
              </w:rPr>
            </w:pPr>
            <w:r w:rsidRPr="00B05F62">
              <w:rPr>
                <w:rFonts w:ascii="AcadNusx" w:hAnsi="AcadNusx"/>
              </w:rPr>
              <w:t>159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ECE4B98" w14:textId="77777777" w:rsidR="00EA3205" w:rsidRPr="00B05F62" w:rsidRDefault="00EA3205" w:rsidP="00EA3205">
            <w:pPr>
              <w:rPr>
                <w:rFonts w:ascii="AcadNusx" w:hAnsi="AcadNusx"/>
              </w:rPr>
            </w:pPr>
            <w:r w:rsidRPr="00B05F62">
              <w:rPr>
                <w:rFonts w:ascii="AcadNusx" w:hAnsi="AcadNusx"/>
              </w:rPr>
              <w:t>166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B36DBEF"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2A0583C"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C65CBBD" w14:textId="77777777" w:rsidR="00EA3205" w:rsidRPr="00B05F62" w:rsidRDefault="00EA3205" w:rsidP="00EA3205">
            <w:pPr>
              <w:rPr>
                <w:rFonts w:ascii="AcadNusx" w:hAnsi="AcadNusx"/>
              </w:rPr>
            </w:pPr>
            <w:r w:rsidRPr="00B05F62">
              <w:rPr>
                <w:rFonts w:ascii="AcadNusx" w:hAnsi="AcadNusx"/>
              </w:rPr>
              <w:t>7</w:t>
            </w:r>
          </w:p>
        </w:tc>
      </w:tr>
      <w:tr w:rsidR="00EA3205" w:rsidRPr="00B05F62" w14:paraId="2376775C"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2F5F688B" w14:textId="77777777" w:rsidR="00EA3205" w:rsidRPr="00B05F62" w:rsidRDefault="00EA3205" w:rsidP="00EA3205">
            <w:pPr>
              <w:rPr>
                <w:rFonts w:ascii="AcadNusx" w:hAnsi="AcadNusx"/>
              </w:rPr>
            </w:pPr>
            <w:r w:rsidRPr="00B05F62">
              <w:rPr>
                <w:rFonts w:ascii="AcadNusx" w:hAnsi="AcadNusx"/>
              </w:rPr>
              <w:t>601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A3A5750"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B348875"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963B5AA" w14:textId="77777777" w:rsidR="00EA3205" w:rsidRPr="00B05F62" w:rsidRDefault="00EA3205" w:rsidP="00EA3205">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13D0756" w14:textId="77777777" w:rsidR="00EA3205" w:rsidRPr="00B05F62" w:rsidRDefault="00EA3205" w:rsidP="00EA3205">
            <w:pPr>
              <w:rPr>
                <w:rFonts w:ascii="AcadNusx" w:hAnsi="AcadNusx"/>
              </w:rPr>
            </w:pPr>
            <w:r w:rsidRPr="00B05F62">
              <w:rPr>
                <w:rFonts w:ascii="AcadNusx" w:hAnsi="AcadNusx"/>
              </w:rPr>
              <w:t>102</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3D4F3A25" w14:textId="77777777" w:rsidR="00EA3205" w:rsidRPr="00B05F62" w:rsidRDefault="00EA3205" w:rsidP="00EA3205">
            <w:pPr>
              <w:rPr>
                <w:rFonts w:ascii="AcadNusx" w:hAnsi="AcadNusx"/>
              </w:rPr>
            </w:pPr>
            <w:r w:rsidRPr="00B05F62">
              <w:rPr>
                <w:rFonts w:ascii="AcadNusx" w:hAnsi="AcadNusx"/>
              </w:rPr>
              <w:t>102</w:t>
            </w:r>
          </w:p>
        </w:tc>
      </w:tr>
      <w:tr w:rsidR="00EA3205" w:rsidRPr="00B05F62" w14:paraId="4BD32B70"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12CDB6B4" w14:textId="77777777" w:rsidR="00EA3205" w:rsidRPr="00B05F62" w:rsidRDefault="00EA3205" w:rsidP="00EA3205">
            <w:pPr>
              <w:rPr>
                <w:rFonts w:ascii="AcadNusx" w:hAnsi="AcadNusx"/>
              </w:rPr>
            </w:pPr>
            <w:r w:rsidRPr="00B05F62">
              <w:rPr>
                <w:rFonts w:ascii="AcadNusx" w:hAnsi="AcadNusx"/>
              </w:rPr>
              <w:t>601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8E6C64B" w14:textId="77777777" w:rsidR="00EA3205" w:rsidRPr="00B05F62" w:rsidRDefault="00EA3205" w:rsidP="00EA3205">
            <w:pPr>
              <w:rPr>
                <w:rFonts w:ascii="AcadNusx" w:hAnsi="AcadNusx"/>
              </w:rPr>
            </w:pPr>
            <w:r w:rsidRPr="00B05F62">
              <w:rPr>
                <w:rFonts w:ascii="AcadNusx" w:hAnsi="AcadNusx"/>
              </w:rPr>
              <w:t>18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8522035" w14:textId="77777777" w:rsidR="00EA3205" w:rsidRPr="00B05F62" w:rsidRDefault="00EA3205" w:rsidP="00EA3205">
            <w:pPr>
              <w:rPr>
                <w:rFonts w:ascii="AcadNusx" w:hAnsi="AcadNusx"/>
              </w:rPr>
            </w:pPr>
            <w:r w:rsidRPr="00B05F62">
              <w:rPr>
                <w:rFonts w:ascii="AcadNusx" w:hAnsi="AcadNusx"/>
              </w:rPr>
              <w:t>69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1AA7FED"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4FA6570"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25125853" w14:textId="77777777" w:rsidR="00EA3205" w:rsidRPr="00B05F62" w:rsidRDefault="00EA3205" w:rsidP="00EA3205">
            <w:pPr>
              <w:rPr>
                <w:rFonts w:ascii="AcadNusx" w:hAnsi="AcadNusx"/>
              </w:rPr>
            </w:pPr>
            <w:r w:rsidRPr="00B05F62">
              <w:rPr>
                <w:rFonts w:ascii="AcadNusx" w:hAnsi="AcadNusx"/>
              </w:rPr>
              <w:t>51</w:t>
            </w:r>
          </w:p>
        </w:tc>
      </w:tr>
      <w:tr w:rsidR="00EA3205" w:rsidRPr="00B05F62" w14:paraId="2F33A764"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F3645DE" w14:textId="77777777" w:rsidR="00EA3205" w:rsidRPr="00B05F62" w:rsidRDefault="00EA3205" w:rsidP="00EA3205">
            <w:pPr>
              <w:rPr>
                <w:rFonts w:ascii="AcadNusx" w:hAnsi="AcadNusx"/>
              </w:rPr>
            </w:pPr>
            <w:r w:rsidRPr="00B05F62">
              <w:rPr>
                <w:rFonts w:ascii="AcadNusx" w:hAnsi="AcadNusx"/>
              </w:rPr>
              <w:t>602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0236236"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87BA887"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AFD26FF" w14:textId="77777777" w:rsidR="00EA3205" w:rsidRPr="00B05F62" w:rsidRDefault="00EA3205" w:rsidP="00EA3205">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CCDEA50" w14:textId="77777777" w:rsidR="00EA3205" w:rsidRPr="00B05F62" w:rsidRDefault="00EA3205" w:rsidP="00EA3205">
            <w:pPr>
              <w:rPr>
                <w:rFonts w:ascii="AcadNusx" w:hAnsi="AcadNusx"/>
              </w:rPr>
            </w:pPr>
            <w:r w:rsidRPr="00B05F62">
              <w:rPr>
                <w:rFonts w:ascii="AcadNusx" w:hAnsi="AcadNusx"/>
              </w:rPr>
              <w:t>102</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32A2EB8F" w14:textId="77777777" w:rsidR="00EA3205" w:rsidRPr="00B05F62" w:rsidRDefault="00EA3205" w:rsidP="00EA3205">
            <w:pPr>
              <w:rPr>
                <w:rFonts w:ascii="AcadNusx" w:hAnsi="AcadNusx"/>
              </w:rPr>
            </w:pPr>
            <w:r w:rsidRPr="00B05F62">
              <w:rPr>
                <w:rFonts w:ascii="AcadNusx" w:hAnsi="AcadNusx"/>
              </w:rPr>
              <w:t>102</w:t>
            </w:r>
          </w:p>
        </w:tc>
      </w:tr>
      <w:tr w:rsidR="00EA3205" w:rsidRPr="00B05F62" w14:paraId="47C370BB"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6BA96405" w14:textId="77777777" w:rsidR="00EA3205" w:rsidRPr="00B05F62" w:rsidRDefault="00EA3205" w:rsidP="00EA3205">
            <w:pPr>
              <w:rPr>
                <w:rFonts w:ascii="AcadNusx" w:hAnsi="AcadNusx"/>
              </w:rPr>
            </w:pPr>
            <w:r w:rsidRPr="00B05F62">
              <w:rPr>
                <w:rFonts w:ascii="AcadNusx" w:hAnsi="AcadNusx"/>
              </w:rPr>
              <w:t>602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C6EF299" w14:textId="77777777" w:rsidR="00EA3205" w:rsidRPr="00B05F62" w:rsidRDefault="00EA3205" w:rsidP="00EA3205">
            <w:pPr>
              <w:rPr>
                <w:rFonts w:ascii="AcadNusx" w:hAnsi="AcadNusx"/>
              </w:rPr>
            </w:pPr>
            <w:r w:rsidRPr="00B05F62">
              <w:rPr>
                <w:rFonts w:ascii="AcadNusx" w:hAnsi="AcadNusx"/>
              </w:rPr>
              <w:t>34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75DCF3F" w14:textId="77777777" w:rsidR="00EA3205" w:rsidRPr="00B05F62" w:rsidRDefault="00EA3205" w:rsidP="00EA3205">
            <w:pPr>
              <w:rPr>
                <w:rFonts w:ascii="AcadNusx" w:hAnsi="AcadNusx"/>
              </w:rPr>
            </w:pPr>
            <w:r w:rsidRPr="00B05F62">
              <w:rPr>
                <w:rFonts w:ascii="AcadNusx" w:hAnsi="AcadNusx"/>
              </w:rPr>
              <w:t>86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4E45A6F"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76E3727"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3A46C369" w14:textId="77777777" w:rsidR="00EA3205" w:rsidRPr="00B05F62" w:rsidRDefault="00EA3205" w:rsidP="00EA3205">
            <w:pPr>
              <w:rPr>
                <w:rFonts w:ascii="AcadNusx" w:hAnsi="AcadNusx"/>
              </w:rPr>
            </w:pPr>
            <w:r w:rsidRPr="00B05F62">
              <w:rPr>
                <w:rFonts w:ascii="AcadNusx" w:hAnsi="AcadNusx"/>
              </w:rPr>
              <w:t>52</w:t>
            </w:r>
          </w:p>
        </w:tc>
      </w:tr>
      <w:tr w:rsidR="00EA3205" w:rsidRPr="00B05F62" w14:paraId="0EA9A83C"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2FC88AC1" w14:textId="77777777" w:rsidR="00EA3205" w:rsidRPr="00B05F62" w:rsidRDefault="00EA3205" w:rsidP="00EA3205">
            <w:pPr>
              <w:rPr>
                <w:rFonts w:ascii="AcadNusx" w:hAnsi="AcadNusx"/>
              </w:rPr>
            </w:pPr>
            <w:r w:rsidRPr="00B05F62">
              <w:rPr>
                <w:rFonts w:ascii="AcadNusx" w:hAnsi="AcadNusx"/>
              </w:rPr>
              <w:t>603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B7FD944"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2BEE6A9"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0A3BCE1" w14:textId="77777777" w:rsidR="00EA3205" w:rsidRPr="00B05F62" w:rsidRDefault="00EA3205" w:rsidP="00EA3205">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491FBA1" w14:textId="77777777" w:rsidR="00EA3205" w:rsidRPr="00B05F62" w:rsidRDefault="00EA3205" w:rsidP="00EA3205">
            <w:pPr>
              <w:rPr>
                <w:rFonts w:ascii="AcadNusx" w:hAnsi="AcadNusx"/>
              </w:rPr>
            </w:pPr>
            <w:r w:rsidRPr="00B05F62">
              <w:rPr>
                <w:rFonts w:ascii="AcadNusx" w:hAnsi="AcadNusx"/>
              </w:rPr>
              <w:t>103</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6F6EF493" w14:textId="77777777" w:rsidR="00EA3205" w:rsidRPr="00B05F62" w:rsidRDefault="00EA3205" w:rsidP="00EA3205">
            <w:pPr>
              <w:rPr>
                <w:rFonts w:ascii="AcadNusx" w:hAnsi="AcadNusx"/>
              </w:rPr>
            </w:pPr>
            <w:r w:rsidRPr="00B05F62">
              <w:rPr>
                <w:rFonts w:ascii="AcadNusx" w:hAnsi="AcadNusx"/>
              </w:rPr>
              <w:t>103</w:t>
            </w:r>
          </w:p>
        </w:tc>
      </w:tr>
      <w:tr w:rsidR="00EA3205" w:rsidRPr="00B05F62" w14:paraId="4EB847E4"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1DA7D0F4" w14:textId="77777777" w:rsidR="00EA3205" w:rsidRPr="00B05F62" w:rsidRDefault="00EA3205" w:rsidP="00EA3205">
            <w:pPr>
              <w:rPr>
                <w:rFonts w:ascii="AcadNusx" w:hAnsi="AcadNusx"/>
              </w:rPr>
            </w:pPr>
            <w:r w:rsidRPr="00B05F62">
              <w:rPr>
                <w:rFonts w:ascii="AcadNusx" w:hAnsi="AcadNusx"/>
              </w:rPr>
              <w:t>603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A07DB3C" w14:textId="77777777" w:rsidR="00EA3205" w:rsidRPr="00B05F62" w:rsidRDefault="00EA3205" w:rsidP="00EA3205">
            <w:pPr>
              <w:rPr>
                <w:rFonts w:ascii="AcadNusx" w:hAnsi="AcadNusx"/>
              </w:rPr>
            </w:pPr>
            <w:r w:rsidRPr="00B05F62">
              <w:rPr>
                <w:rFonts w:ascii="AcadNusx" w:hAnsi="AcadNusx"/>
              </w:rPr>
              <w:t>35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A726849" w14:textId="77777777" w:rsidR="00EA3205" w:rsidRPr="00B05F62" w:rsidRDefault="00EA3205" w:rsidP="00EA3205">
            <w:pPr>
              <w:rPr>
                <w:rFonts w:ascii="AcadNusx" w:hAnsi="AcadNusx"/>
              </w:rPr>
            </w:pPr>
            <w:r w:rsidRPr="00B05F62">
              <w:rPr>
                <w:rFonts w:ascii="AcadNusx" w:hAnsi="AcadNusx"/>
              </w:rPr>
              <w:t>89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2178A0C"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C179373"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F807940" w14:textId="77777777" w:rsidR="00EA3205" w:rsidRPr="00B05F62" w:rsidRDefault="00EA3205" w:rsidP="00EA3205">
            <w:pPr>
              <w:rPr>
                <w:rFonts w:ascii="AcadNusx" w:hAnsi="AcadNusx"/>
              </w:rPr>
            </w:pPr>
            <w:r w:rsidRPr="00B05F62">
              <w:rPr>
                <w:rFonts w:ascii="AcadNusx" w:hAnsi="AcadNusx"/>
              </w:rPr>
              <w:t>54</w:t>
            </w:r>
          </w:p>
        </w:tc>
      </w:tr>
      <w:tr w:rsidR="00EA3205" w:rsidRPr="00B05F62" w14:paraId="47646E48"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EAAE626" w14:textId="77777777" w:rsidR="00EA3205" w:rsidRPr="00B05F62" w:rsidRDefault="00EA3205" w:rsidP="00EA3205">
            <w:pPr>
              <w:rPr>
                <w:rFonts w:ascii="AcadNusx" w:hAnsi="AcadNusx"/>
              </w:rPr>
            </w:pPr>
            <w:r w:rsidRPr="00B05F62">
              <w:rPr>
                <w:rFonts w:ascii="AcadNusx" w:hAnsi="AcadNusx"/>
              </w:rPr>
              <w:t>604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D4BFDFF"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75BF055"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D1FDEC6" w14:textId="77777777" w:rsidR="00EA3205" w:rsidRPr="00B05F62" w:rsidRDefault="00EA3205" w:rsidP="00EA3205">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AB20900" w14:textId="77777777" w:rsidR="00EA3205" w:rsidRPr="00B05F62" w:rsidRDefault="00EA3205" w:rsidP="00EA3205">
            <w:pPr>
              <w:rPr>
                <w:rFonts w:ascii="AcadNusx" w:hAnsi="AcadNusx"/>
              </w:rPr>
            </w:pPr>
            <w:r w:rsidRPr="00B05F62">
              <w:rPr>
                <w:rFonts w:ascii="AcadNusx" w:hAnsi="AcadNusx"/>
              </w:rPr>
              <w:t>103</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B10323F" w14:textId="77777777" w:rsidR="00EA3205" w:rsidRPr="00B05F62" w:rsidRDefault="00EA3205" w:rsidP="00EA3205">
            <w:pPr>
              <w:rPr>
                <w:rFonts w:ascii="AcadNusx" w:hAnsi="AcadNusx"/>
              </w:rPr>
            </w:pPr>
            <w:r w:rsidRPr="00B05F62">
              <w:rPr>
                <w:rFonts w:ascii="AcadNusx" w:hAnsi="AcadNusx"/>
              </w:rPr>
              <w:t>103</w:t>
            </w:r>
          </w:p>
        </w:tc>
      </w:tr>
      <w:tr w:rsidR="00EA3205" w:rsidRPr="00B05F62" w14:paraId="2B92C685"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2E7A05D" w14:textId="77777777" w:rsidR="00EA3205" w:rsidRPr="00B05F62" w:rsidRDefault="00EA3205" w:rsidP="00EA3205">
            <w:pPr>
              <w:rPr>
                <w:rFonts w:ascii="AcadNusx" w:hAnsi="AcadNusx"/>
              </w:rPr>
            </w:pPr>
            <w:r w:rsidRPr="00B05F62">
              <w:rPr>
                <w:rFonts w:ascii="AcadNusx" w:hAnsi="AcadNusx"/>
              </w:rPr>
              <w:t>604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AFFF251" w14:textId="77777777" w:rsidR="00EA3205" w:rsidRPr="00B05F62" w:rsidRDefault="00EA3205" w:rsidP="00EA3205">
            <w:pPr>
              <w:rPr>
                <w:rFonts w:ascii="AcadNusx" w:hAnsi="AcadNusx"/>
              </w:rPr>
            </w:pPr>
            <w:r w:rsidRPr="00B05F62">
              <w:rPr>
                <w:rFonts w:ascii="AcadNusx" w:hAnsi="AcadNusx"/>
              </w:rPr>
              <w:t>18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7FFE1E0" w14:textId="77777777" w:rsidR="00EA3205" w:rsidRPr="00B05F62" w:rsidRDefault="00EA3205" w:rsidP="00EA3205">
            <w:pPr>
              <w:rPr>
                <w:rFonts w:ascii="AcadNusx" w:hAnsi="AcadNusx"/>
              </w:rPr>
            </w:pPr>
            <w:r w:rsidRPr="00B05F62">
              <w:rPr>
                <w:rFonts w:ascii="AcadNusx" w:hAnsi="AcadNusx"/>
              </w:rPr>
              <w:t>70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E88F6AF"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76C8D22"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4A6F5167" w14:textId="77777777" w:rsidR="00EA3205" w:rsidRPr="00B05F62" w:rsidRDefault="00EA3205" w:rsidP="00EA3205">
            <w:pPr>
              <w:rPr>
                <w:rFonts w:ascii="AcadNusx" w:hAnsi="AcadNusx"/>
              </w:rPr>
            </w:pPr>
            <w:r w:rsidRPr="00B05F62">
              <w:rPr>
                <w:rFonts w:ascii="AcadNusx" w:hAnsi="AcadNusx"/>
              </w:rPr>
              <w:t>52</w:t>
            </w:r>
          </w:p>
        </w:tc>
      </w:tr>
      <w:tr w:rsidR="00EA3205" w:rsidRPr="00B05F62" w14:paraId="0683F315"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38D69796" w14:textId="77777777" w:rsidR="00EA3205" w:rsidRPr="00B05F62" w:rsidRDefault="00EA3205" w:rsidP="00EA3205">
            <w:pPr>
              <w:rPr>
                <w:rFonts w:ascii="AcadNusx" w:hAnsi="AcadNusx"/>
              </w:rPr>
            </w:pPr>
            <w:r w:rsidRPr="00B05F62">
              <w:rPr>
                <w:rFonts w:ascii="AcadNusx" w:hAnsi="AcadNusx"/>
              </w:rPr>
              <w:t>605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B8222F8" w14:textId="77777777" w:rsidR="00EA3205" w:rsidRPr="00B05F62" w:rsidRDefault="00EA3205" w:rsidP="00EA3205">
            <w:pPr>
              <w:rPr>
                <w:rFonts w:ascii="AcadNusx" w:hAnsi="AcadNusx"/>
              </w:rPr>
            </w:pPr>
            <w:r w:rsidRPr="00B05F62">
              <w:rPr>
                <w:rFonts w:ascii="AcadNusx" w:hAnsi="AcadNusx"/>
              </w:rPr>
              <w:t>56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A8456E3" w14:textId="77777777" w:rsidR="00EA3205" w:rsidRPr="00B05F62" w:rsidRDefault="00EA3205" w:rsidP="00EA3205">
            <w:pPr>
              <w:rPr>
                <w:rFonts w:ascii="AcadNusx" w:hAnsi="AcadNusx"/>
              </w:rPr>
            </w:pPr>
            <w:r w:rsidRPr="00B05F62">
              <w:rPr>
                <w:rFonts w:ascii="AcadNusx" w:hAnsi="AcadNusx"/>
              </w:rPr>
              <w:t>138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20637A6"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391DECD"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3E1D5649" w14:textId="77777777" w:rsidR="00EA3205" w:rsidRPr="00B05F62" w:rsidRDefault="00EA3205" w:rsidP="00EA3205">
            <w:pPr>
              <w:rPr>
                <w:rFonts w:ascii="AcadNusx" w:hAnsi="AcadNusx"/>
              </w:rPr>
            </w:pPr>
            <w:r w:rsidRPr="00B05F62">
              <w:rPr>
                <w:rFonts w:ascii="AcadNusx" w:hAnsi="AcadNusx"/>
              </w:rPr>
              <w:t>82</w:t>
            </w:r>
          </w:p>
        </w:tc>
      </w:tr>
      <w:tr w:rsidR="00EA3205" w:rsidRPr="00B05F62" w14:paraId="45F56ACB"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F1127D3" w14:textId="77777777" w:rsidR="00EA3205" w:rsidRPr="00B05F62" w:rsidRDefault="00EA3205" w:rsidP="00EA3205">
            <w:pPr>
              <w:rPr>
                <w:rFonts w:ascii="AcadNusx" w:hAnsi="AcadNusx"/>
              </w:rPr>
            </w:pPr>
            <w:r w:rsidRPr="00B05F62">
              <w:rPr>
                <w:rFonts w:ascii="AcadNusx" w:hAnsi="AcadNusx"/>
              </w:rPr>
              <w:t>605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031902A"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8744BD0"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08D3904" w14:textId="77777777" w:rsidR="00EA3205" w:rsidRPr="00B05F62" w:rsidRDefault="00EA3205" w:rsidP="00EA3205">
            <w:pPr>
              <w:rPr>
                <w:rFonts w:ascii="AcadNusx" w:hAnsi="AcadNusx"/>
              </w:rPr>
            </w:pPr>
            <w:r w:rsidRPr="00B05F62">
              <w:rPr>
                <w:rFonts w:ascii="AcadNusx" w:hAnsi="AcadNusx"/>
              </w:rPr>
              <w:t>67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4D108C0" w14:textId="77777777" w:rsidR="00EA3205" w:rsidRPr="00B05F62" w:rsidRDefault="00EA3205" w:rsidP="00EA3205">
            <w:pPr>
              <w:rPr>
                <w:rFonts w:ascii="AcadNusx" w:hAnsi="AcadNusx"/>
              </w:rPr>
            </w:pPr>
            <w:r w:rsidRPr="00B05F62">
              <w:rPr>
                <w:rFonts w:ascii="AcadNusx" w:hAnsi="AcadNusx"/>
              </w:rPr>
              <w:t>138</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32496D5E" w14:textId="77777777" w:rsidR="00EA3205" w:rsidRPr="00B05F62" w:rsidRDefault="00EA3205" w:rsidP="00EA3205">
            <w:pPr>
              <w:rPr>
                <w:rFonts w:ascii="AcadNusx" w:hAnsi="AcadNusx"/>
              </w:rPr>
            </w:pPr>
            <w:r w:rsidRPr="00B05F62">
              <w:rPr>
                <w:rFonts w:ascii="AcadNusx" w:hAnsi="AcadNusx"/>
              </w:rPr>
              <w:t>71</w:t>
            </w:r>
          </w:p>
        </w:tc>
      </w:tr>
      <w:tr w:rsidR="00EA3205" w:rsidRPr="00B05F62" w14:paraId="4371D3C2"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730EB7B3" w14:textId="77777777" w:rsidR="00EA3205" w:rsidRPr="00B05F62" w:rsidRDefault="00EA3205" w:rsidP="00EA3205">
            <w:pPr>
              <w:rPr>
                <w:rFonts w:ascii="AcadNusx" w:hAnsi="AcadNusx"/>
              </w:rPr>
            </w:pPr>
            <w:r w:rsidRPr="00B05F62">
              <w:rPr>
                <w:rFonts w:ascii="AcadNusx" w:hAnsi="AcadNusx"/>
              </w:rPr>
              <w:t>606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6AA3295" w14:textId="77777777" w:rsidR="00EA3205" w:rsidRPr="00B05F62" w:rsidRDefault="00EA3205" w:rsidP="00EA3205">
            <w:pPr>
              <w:rPr>
                <w:rFonts w:ascii="AcadNusx" w:hAnsi="AcadNusx"/>
              </w:rPr>
            </w:pPr>
            <w:r w:rsidRPr="00B05F62">
              <w:rPr>
                <w:rFonts w:ascii="AcadNusx" w:hAnsi="AcadNusx"/>
              </w:rPr>
              <w:t>131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A634EFB" w14:textId="77777777" w:rsidR="00EA3205" w:rsidRPr="00B05F62" w:rsidRDefault="00EA3205" w:rsidP="00EA3205">
            <w:pPr>
              <w:rPr>
                <w:rFonts w:ascii="AcadNusx" w:hAnsi="AcadNusx"/>
              </w:rPr>
            </w:pPr>
            <w:r w:rsidRPr="00B05F62">
              <w:rPr>
                <w:rFonts w:ascii="AcadNusx" w:hAnsi="AcadNusx"/>
              </w:rPr>
              <w:t>152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ED9A648"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2ECD13B7" w14:textId="77777777" w:rsidR="00EA3205" w:rsidRPr="00B05F62" w:rsidRDefault="00EA3205" w:rsidP="00EA3205">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C7A1B31" w14:textId="77777777" w:rsidR="00EA3205" w:rsidRPr="00B05F62" w:rsidRDefault="00EA3205" w:rsidP="00EA3205">
            <w:pPr>
              <w:rPr>
                <w:rFonts w:ascii="AcadNusx" w:hAnsi="AcadNusx"/>
              </w:rPr>
            </w:pPr>
            <w:r w:rsidRPr="00B05F62">
              <w:rPr>
                <w:rFonts w:ascii="AcadNusx" w:hAnsi="AcadNusx"/>
              </w:rPr>
              <w:t>21</w:t>
            </w:r>
          </w:p>
        </w:tc>
      </w:tr>
      <w:tr w:rsidR="00EA3205" w:rsidRPr="00B05F62" w14:paraId="07EE1C1A" w14:textId="77777777" w:rsidTr="00F31A39">
        <w:tc>
          <w:tcPr>
            <w:tcW w:w="1560" w:type="dxa"/>
            <w:tcBorders>
              <w:top w:val="single" w:sz="4" w:space="0" w:color="auto"/>
              <w:left w:val="single" w:sz="4" w:space="0" w:color="auto"/>
              <w:bottom w:val="single" w:sz="4" w:space="0" w:color="auto"/>
              <w:right w:val="single" w:sz="4" w:space="0" w:color="auto"/>
            </w:tcBorders>
            <w:noWrap/>
            <w:vAlign w:val="center"/>
            <w:hideMark/>
          </w:tcPr>
          <w:p w14:paraId="00D592B8" w14:textId="77777777" w:rsidR="00EA3205" w:rsidRPr="00B05F62" w:rsidRDefault="00EA3205" w:rsidP="00EA3205">
            <w:pPr>
              <w:rPr>
                <w:rFonts w:ascii="AcadNusx" w:hAnsi="AcadNusx"/>
              </w:rPr>
            </w:pPr>
            <w:r w:rsidRPr="00B05F62">
              <w:rPr>
                <w:rFonts w:ascii="AcadNusx" w:hAnsi="AcadNusx"/>
              </w:rPr>
              <w:t>606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C6A5D22"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783B559" w14:textId="77777777" w:rsidR="00EA3205" w:rsidRPr="00B05F62" w:rsidRDefault="00EA3205" w:rsidP="00EA3205">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52D0EE10" w14:textId="77777777" w:rsidR="00EA3205" w:rsidRPr="00B05F62" w:rsidRDefault="00EA3205" w:rsidP="00EA3205">
            <w:pPr>
              <w:rPr>
                <w:rFonts w:ascii="AcadNusx" w:hAnsi="AcadNusx"/>
              </w:rPr>
            </w:pPr>
            <w:r w:rsidRPr="00B05F62">
              <w:rPr>
                <w:rFonts w:ascii="AcadNusx" w:hAnsi="AcadNusx"/>
              </w:rPr>
              <w:t>141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449ABFD" w14:textId="77777777" w:rsidR="00EA3205" w:rsidRPr="00B05F62" w:rsidRDefault="00EA3205" w:rsidP="00EA3205">
            <w:pPr>
              <w:rPr>
                <w:rFonts w:ascii="AcadNusx" w:hAnsi="AcadNusx"/>
              </w:rPr>
            </w:pPr>
            <w:r w:rsidRPr="00B05F62">
              <w:rPr>
                <w:rFonts w:ascii="AcadNusx" w:hAnsi="AcadNusx"/>
              </w:rPr>
              <w:t>152</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0957CA07" w14:textId="77777777" w:rsidR="00EA3205" w:rsidRPr="00B05F62" w:rsidRDefault="00EA3205" w:rsidP="00EA3205">
            <w:pPr>
              <w:rPr>
                <w:rFonts w:ascii="AcadNusx" w:hAnsi="AcadNusx"/>
              </w:rPr>
            </w:pPr>
            <w:r w:rsidRPr="00B05F62">
              <w:rPr>
                <w:rFonts w:ascii="AcadNusx" w:hAnsi="AcadNusx"/>
              </w:rPr>
              <w:t>11</w:t>
            </w:r>
          </w:p>
        </w:tc>
      </w:tr>
      <w:tr w:rsidR="00EA3205" w:rsidRPr="00B05F62" w14:paraId="49FA0DAE" w14:textId="77777777" w:rsidTr="00F31A39">
        <w:tc>
          <w:tcPr>
            <w:tcW w:w="7556" w:type="dxa"/>
            <w:gridSpan w:val="5"/>
            <w:tcBorders>
              <w:top w:val="single" w:sz="4" w:space="0" w:color="auto"/>
              <w:left w:val="single" w:sz="4" w:space="0" w:color="auto"/>
              <w:bottom w:val="single" w:sz="4" w:space="0" w:color="auto"/>
              <w:right w:val="single" w:sz="4" w:space="0" w:color="auto"/>
            </w:tcBorders>
            <w:noWrap/>
            <w:vAlign w:val="center"/>
            <w:hideMark/>
          </w:tcPr>
          <w:p w14:paraId="54B8D5B4" w14:textId="77777777" w:rsidR="00EA3205" w:rsidRPr="00B05F62" w:rsidRDefault="00EA3205" w:rsidP="00EA3205">
            <w:pPr>
              <w:rPr>
                <w:rFonts w:ascii="AcadNusx" w:hAnsi="AcadNusx"/>
              </w:rPr>
            </w:pPr>
            <w:r w:rsidRPr="00B05F62">
              <w:rPr>
                <w:rFonts w:ascii="AcadNusx" w:hAnsi="AcadNusx"/>
              </w:rPr>
              <w:t>Total</w:t>
            </w:r>
          </w:p>
        </w:tc>
        <w:tc>
          <w:tcPr>
            <w:tcW w:w="1848" w:type="dxa"/>
            <w:tcBorders>
              <w:top w:val="single" w:sz="4" w:space="0" w:color="auto"/>
              <w:left w:val="single" w:sz="4" w:space="0" w:color="auto"/>
              <w:bottom w:val="single" w:sz="4" w:space="0" w:color="auto"/>
              <w:right w:val="single" w:sz="4" w:space="0" w:color="auto"/>
            </w:tcBorders>
            <w:noWrap/>
            <w:vAlign w:val="center"/>
            <w:hideMark/>
          </w:tcPr>
          <w:p w14:paraId="51EB4670" w14:textId="77777777" w:rsidR="00EA3205" w:rsidRPr="00B05F62" w:rsidRDefault="00EA3205" w:rsidP="00EA3205">
            <w:pPr>
              <w:rPr>
                <w:rFonts w:ascii="AcadNusx" w:hAnsi="AcadNusx"/>
              </w:rPr>
            </w:pPr>
            <w:r w:rsidRPr="00B05F62">
              <w:rPr>
                <w:rFonts w:ascii="AcadNusx" w:hAnsi="AcadNusx"/>
              </w:rPr>
              <w:t>62,253</w:t>
            </w:r>
          </w:p>
        </w:tc>
      </w:tr>
    </w:tbl>
    <w:p w14:paraId="18EBA1A2" w14:textId="77777777" w:rsidR="00EA3205" w:rsidRPr="00B05F62" w:rsidRDefault="00EA3205" w:rsidP="00EA3205">
      <w:pPr>
        <w:rPr>
          <w:rFonts w:ascii="AcadNusx" w:hAnsi="AcadNusx"/>
          <w:lang w:val="it-IT"/>
        </w:rPr>
      </w:pPr>
    </w:p>
    <w:p w14:paraId="1AEA1E89" w14:textId="77777777" w:rsidR="00EA3205" w:rsidRPr="00B05F62" w:rsidRDefault="00EA3205" w:rsidP="005C0EEC">
      <w:pPr>
        <w:spacing w:before="120" w:after="120"/>
        <w:rPr>
          <w:rFonts w:ascii="AcadNusx" w:hAnsi="AcadNusx"/>
        </w:rPr>
      </w:pPr>
      <w:r w:rsidRPr="00B05F62">
        <w:rPr>
          <w:rFonts w:ascii="AcadNusx" w:hAnsi="AcadNusx"/>
        </w:rPr>
        <w:t>avtobusis mosacdelebi</w:t>
      </w:r>
    </w:p>
    <w:p w14:paraId="4194778A" w14:textId="0221B174" w:rsidR="00EA3205" w:rsidRPr="00B05F62" w:rsidRDefault="005C0EEC" w:rsidP="005C0EEC">
      <w:pPr>
        <w:spacing w:before="120" w:after="120"/>
        <w:rPr>
          <w:rFonts w:ascii="AcadNusx" w:hAnsi="AcadNusx"/>
        </w:rPr>
      </w:pPr>
      <w:r>
        <w:rPr>
          <w:rFonts w:ascii="AcadNusx" w:hAnsi="AcadNusx"/>
        </w:rPr>
        <w:t>Telavi-</w:t>
      </w:r>
      <w:r w:rsidR="00EA3205" w:rsidRPr="00B05F62">
        <w:rPr>
          <w:rFonts w:ascii="AcadNusx" w:hAnsi="AcadNusx"/>
        </w:rPr>
        <w:t xml:space="preserve"> </w:t>
      </w:r>
      <w:r w:rsidRPr="00B05F62">
        <w:rPr>
          <w:rFonts w:ascii="AcadNusx" w:hAnsi="AcadNusx"/>
        </w:rPr>
        <w:t>Cumlayi</w:t>
      </w:r>
      <w:r>
        <w:rPr>
          <w:rFonts w:ascii="Sylfaen" w:hAnsi="Sylfaen"/>
          <w:lang w:val="ka-GE"/>
        </w:rPr>
        <w:t>ს</w:t>
      </w:r>
      <w:r w:rsidRPr="00B05F62">
        <w:rPr>
          <w:rFonts w:ascii="AcadNusx" w:hAnsi="AcadNusx"/>
        </w:rPr>
        <w:t xml:space="preserve"> </w:t>
      </w:r>
      <w:r w:rsidR="00EA3205" w:rsidRPr="00B05F62">
        <w:rPr>
          <w:rFonts w:ascii="AcadNusx" w:hAnsi="AcadNusx"/>
        </w:rPr>
        <w:t>gza gverds auqcevs dasaxlebul punqtebs da gaivlis sasoflo tipis dausaxlebel teritoriaze. amitom axal gzaze avtobusis mosacdelebis mowyoba gaTvaliswinebuli ar aris, ramdenadac mosalodnelia, rom avtobusebis svlagezebi dasaxlebebze gaivlis.</w:t>
      </w:r>
    </w:p>
    <w:p w14:paraId="54B98667" w14:textId="77777777" w:rsidR="00EA3205" w:rsidRPr="00B05F62" w:rsidRDefault="00EA3205" w:rsidP="005C0EEC">
      <w:pPr>
        <w:spacing w:before="120" w:after="120"/>
        <w:rPr>
          <w:rFonts w:ascii="AcadNusx" w:hAnsi="AcadNusx"/>
        </w:rPr>
      </w:pPr>
      <w:r w:rsidRPr="00B05F62">
        <w:rPr>
          <w:rFonts w:ascii="AcadNusx" w:hAnsi="AcadNusx"/>
        </w:rPr>
        <w:t>saqonlis da gareuli cxovelebis damcavi SemoRobva</w:t>
      </w:r>
    </w:p>
    <w:p w14:paraId="1E7AF446" w14:textId="77777777" w:rsidR="00EA3205" w:rsidRPr="00B05F62" w:rsidRDefault="00EA3205" w:rsidP="005C0EEC">
      <w:pPr>
        <w:spacing w:before="120" w:after="120"/>
        <w:rPr>
          <w:rFonts w:ascii="AcadNusx" w:hAnsi="AcadNusx"/>
        </w:rPr>
      </w:pPr>
      <w:r w:rsidRPr="00B05F62">
        <w:rPr>
          <w:rFonts w:ascii="AcadNusx" w:hAnsi="AcadNusx"/>
        </w:rPr>
        <w:t>Sejaxebebi avtomobilebsda da cxovelebs Soris sagzao moZraobis usafrTxoebis mniSvnelovan aspeqts Seadgenen da iwveven gareuli da Sinauri cxovelebisa da adamianebis daSavebebs da sikvdils. amasTan, msgavsi avtosagzao SemTxvevebi metwilad naklebad a|Riricxebian, vinaidan maT Taobaze policias yovelTvis ar ecnobeba.</w:t>
      </w:r>
    </w:p>
    <w:p w14:paraId="246999F5" w14:textId="77777777" w:rsidR="00EA3205" w:rsidRPr="00B05F62" w:rsidRDefault="00EA3205" w:rsidP="005C0EEC">
      <w:pPr>
        <w:spacing w:before="120" w:after="120"/>
        <w:rPr>
          <w:rFonts w:ascii="AcadNusx" w:hAnsi="AcadNusx"/>
        </w:rPr>
      </w:pPr>
      <w:r w:rsidRPr="00B05F62">
        <w:rPr>
          <w:rFonts w:ascii="AcadNusx" w:hAnsi="AcadNusx"/>
        </w:rPr>
        <w:t>adgilebSi, sadac konfliqturi situaciebi sagzao moZraobasa da cxovelebs Soris qmnian usafrTxoebasTan dakavSirebul problemebs, cxovelebTan asocirebuli incidentebis riskebis Sesamcireblad moewyoba gzis SemoRobva sagzao moZraobis usafrTxoebis auditis rekomendaciebis gaTvaliswinebiT. Sinauri rqosani pirutyvis da veluri cxovelebis SemzRudavi SemoRobvis mizania gzis miRma Sekaveba da, agreTve, cxovelebis usafrTxod gadasarek gzis qveda gasasvelebamde organizebulad (TandaTanobiT Seviwroebadi derefnis gaswvriv) gadaadgilebis xelSewyoba.</w:t>
      </w:r>
    </w:p>
    <w:p w14:paraId="05A163E0" w14:textId="77777777" w:rsidR="00EA3205" w:rsidRPr="00B05F62" w:rsidRDefault="00EA3205" w:rsidP="005C0EEC">
      <w:pPr>
        <w:spacing w:before="120" w:after="120"/>
        <w:rPr>
          <w:rFonts w:ascii="AcadNusx" w:hAnsi="AcadNusx"/>
        </w:rPr>
      </w:pPr>
      <w:r w:rsidRPr="00B05F62">
        <w:rPr>
          <w:rFonts w:ascii="AcadNusx" w:hAnsi="AcadNusx"/>
        </w:rPr>
        <w:lastRenderedPageBreak/>
        <w:t>gza TiTqmis mTlianad ganlagebulia maRal miwayrilze da orive mxridan SemosazRvrulia zRudarebiT. aqedan gamomdinare, cxovelebis mier gzis gadakveTa mosalodneli ar aris, Tumca iseT adgilebSi, sadac sagzao miwayrili dabalia da Sinauri da gareuli cxovelebis gzaze gadasvlis safrTxe arsebobs, gaTvaliswinebuli iqneba gzis SemoRobva.</w:t>
      </w:r>
    </w:p>
    <w:p w14:paraId="4A49272F" w14:textId="4BAEB9EB" w:rsidR="00EA3205" w:rsidRPr="00B05F62" w:rsidRDefault="00EA3205" w:rsidP="005C0EEC">
      <w:pPr>
        <w:spacing w:before="120" w:after="120"/>
        <w:rPr>
          <w:rFonts w:ascii="AcadNusx" w:hAnsi="AcadNusx"/>
        </w:rPr>
      </w:pPr>
      <w:r w:rsidRPr="00B05F62">
        <w:rPr>
          <w:rFonts w:ascii="AcadNusx" w:hAnsi="AcadNusx"/>
        </w:rPr>
        <w:t>Robeebis montaJis da movla-SenaxvisTvis gasawevi mniSvnelovani xarjebis gaTvaliswinebiT, Robeebi SezRuduli sigrZis segmentebze moewyoba. gzis SeRobvis saWiroeba ZiriTadad ganixileba iseT ubnebze, sadac miwayrilebi 3 metrze dabalia da damcavi zRudarebis mowyoba ar igegmeba. vinaidan metwilad mosalodnelia gzis gadakveTa Sinauri rqosani pirutyvis mier, amitom gaTvaliswinebulia 1.80 m simaRlis mavTulbadis Robis mowyoba. momdevno cxrilSi 4.</w:t>
      </w:r>
      <w:r w:rsidR="005C0EEC">
        <w:rPr>
          <w:rFonts w:ascii="Sylfaen" w:hAnsi="Sylfaen"/>
          <w:lang w:val="ka-GE"/>
        </w:rPr>
        <w:t>1</w:t>
      </w:r>
      <w:r w:rsidR="00EA6DAA">
        <w:rPr>
          <w:rFonts w:ascii="Sylfaen" w:hAnsi="Sylfaen"/>
          <w:lang w:val="ka-GE"/>
        </w:rPr>
        <w:t>1</w:t>
      </w:r>
      <w:r w:rsidR="005C0EEC">
        <w:rPr>
          <w:rFonts w:ascii="Sylfaen" w:hAnsi="Sylfaen"/>
          <w:lang w:val="ka-GE"/>
        </w:rPr>
        <w:t>-</w:t>
      </w:r>
      <w:r w:rsidRPr="00B05F62">
        <w:rPr>
          <w:rFonts w:ascii="AcadNusx" w:hAnsi="AcadNusx"/>
        </w:rPr>
        <w:t>.2 miTiTebulia gzis SesaRobi segmentebis monacemebi.</w:t>
      </w:r>
    </w:p>
    <w:p w14:paraId="55974D78" w14:textId="06B14063" w:rsidR="00EA3205" w:rsidRPr="00B05F62" w:rsidRDefault="00EA3205" w:rsidP="00EA3205">
      <w:pPr>
        <w:rPr>
          <w:rFonts w:ascii="AcadNusx" w:hAnsi="AcadNusx"/>
        </w:rPr>
      </w:pPr>
      <w:r w:rsidRPr="00B05F62">
        <w:rPr>
          <w:rFonts w:ascii="AcadNusx" w:hAnsi="AcadNusx"/>
        </w:rPr>
        <w:t>cxrili 4.</w:t>
      </w:r>
      <w:r w:rsidR="005C0EEC">
        <w:rPr>
          <w:rFonts w:ascii="Sylfaen" w:hAnsi="Sylfaen"/>
          <w:lang w:val="ka-GE"/>
        </w:rPr>
        <w:t>1</w:t>
      </w:r>
      <w:r w:rsidR="00EA6DAA">
        <w:rPr>
          <w:rFonts w:ascii="Sylfaen" w:hAnsi="Sylfaen"/>
          <w:lang w:val="ka-GE"/>
        </w:rPr>
        <w:t>1</w:t>
      </w:r>
      <w:r w:rsidR="005C0EEC">
        <w:rPr>
          <w:rFonts w:ascii="Sylfaen" w:hAnsi="Sylfaen"/>
          <w:lang w:val="ka-GE"/>
        </w:rPr>
        <w:t>-</w:t>
      </w:r>
      <w:r w:rsidRPr="00B05F62">
        <w:rPr>
          <w:rFonts w:ascii="AcadNusx" w:hAnsi="AcadNusx"/>
        </w:rPr>
        <w:t>.2.</w:t>
      </w:r>
      <w:r w:rsidRPr="00B05F62">
        <w:rPr>
          <w:rFonts w:ascii="AcadNusx" w:hAnsi="AcadNusx"/>
        </w:rPr>
        <w:tab/>
        <w:t>cxovelebis Semkavebeli SemoRobvis adgilebi</w:t>
      </w:r>
    </w:p>
    <w:tbl>
      <w:tblPr>
        <w:tblW w:w="9853" w:type="dxa"/>
        <w:tblInd w:w="-10" w:type="dxa"/>
        <w:tblLayout w:type="fixed"/>
        <w:tblCellMar>
          <w:left w:w="70" w:type="dxa"/>
          <w:right w:w="70" w:type="dxa"/>
        </w:tblCellMar>
        <w:tblLook w:val="04A0" w:firstRow="1" w:lastRow="0" w:firstColumn="1" w:lastColumn="0" w:noHBand="0" w:noVBand="1"/>
      </w:tblPr>
      <w:tblGrid>
        <w:gridCol w:w="2880"/>
        <w:gridCol w:w="1133"/>
        <w:gridCol w:w="1134"/>
        <w:gridCol w:w="950"/>
        <w:gridCol w:w="1913"/>
        <w:gridCol w:w="1843"/>
      </w:tblGrid>
      <w:tr w:rsidR="00EA3205" w:rsidRPr="00B05F62" w14:paraId="55439483" w14:textId="77777777" w:rsidTr="00F31A39">
        <w:trPr>
          <w:tblHeader/>
        </w:trPr>
        <w:tc>
          <w:tcPr>
            <w:tcW w:w="2880" w:type="dxa"/>
            <w:vMerge w:val="restart"/>
            <w:tcBorders>
              <w:top w:val="single" w:sz="8" w:space="0" w:color="000000"/>
              <w:left w:val="single" w:sz="8" w:space="0" w:color="000000"/>
              <w:bottom w:val="single" w:sz="8" w:space="0" w:color="000000"/>
              <w:right w:val="single" w:sz="8" w:space="0" w:color="auto"/>
            </w:tcBorders>
            <w:shd w:val="clear" w:color="auto" w:fill="E0E0E0"/>
            <w:vAlign w:val="center"/>
            <w:hideMark/>
          </w:tcPr>
          <w:p w14:paraId="63374E22" w14:textId="77777777" w:rsidR="00EA3205" w:rsidRPr="00B05F62" w:rsidRDefault="00EA3205" w:rsidP="00EA3205">
            <w:pPr>
              <w:rPr>
                <w:rFonts w:ascii="AcadNusx" w:hAnsi="AcadNusx"/>
              </w:rPr>
            </w:pPr>
            <w:r w:rsidRPr="00B05F62">
              <w:rPr>
                <w:rFonts w:ascii="AcadNusx" w:hAnsi="AcadNusx"/>
              </w:rPr>
              <w:t>gzis centraluri RerZis saidentifikacio nomeri</w:t>
            </w:r>
          </w:p>
        </w:tc>
        <w:tc>
          <w:tcPr>
            <w:tcW w:w="5130" w:type="dxa"/>
            <w:gridSpan w:val="4"/>
            <w:tcBorders>
              <w:top w:val="single" w:sz="8" w:space="0" w:color="000000"/>
              <w:left w:val="nil"/>
              <w:bottom w:val="single" w:sz="8" w:space="0" w:color="000000"/>
              <w:right w:val="single" w:sz="8" w:space="0" w:color="000000"/>
            </w:tcBorders>
            <w:shd w:val="clear" w:color="auto" w:fill="E0E0E0"/>
            <w:vAlign w:val="center"/>
            <w:hideMark/>
          </w:tcPr>
          <w:p w14:paraId="5BBD5886" w14:textId="77777777" w:rsidR="00EA3205" w:rsidRPr="00B05F62" w:rsidRDefault="00EA3205" w:rsidP="00EA3205">
            <w:pPr>
              <w:rPr>
                <w:rFonts w:ascii="AcadNusx" w:hAnsi="AcadNusx"/>
              </w:rPr>
            </w:pPr>
            <w:r w:rsidRPr="00B05F62">
              <w:rPr>
                <w:rFonts w:ascii="AcadNusx" w:hAnsi="AcadNusx"/>
              </w:rPr>
              <w:t>mdebareoba (kilometraJi km+m-dan km+m-mde)</w:t>
            </w:r>
          </w:p>
        </w:tc>
        <w:tc>
          <w:tcPr>
            <w:tcW w:w="1843" w:type="dxa"/>
            <w:vMerge w:val="restart"/>
            <w:tcBorders>
              <w:top w:val="single" w:sz="8" w:space="0" w:color="000000"/>
              <w:left w:val="single" w:sz="8" w:space="0" w:color="auto"/>
              <w:bottom w:val="single" w:sz="8" w:space="0" w:color="000000"/>
              <w:right w:val="single" w:sz="8" w:space="0" w:color="000000"/>
            </w:tcBorders>
            <w:shd w:val="clear" w:color="auto" w:fill="E0E0E0"/>
            <w:vAlign w:val="center"/>
            <w:hideMark/>
          </w:tcPr>
          <w:p w14:paraId="09F9F549" w14:textId="77777777" w:rsidR="00EA3205" w:rsidRPr="00B05F62" w:rsidRDefault="00EA3205" w:rsidP="00EA3205">
            <w:pPr>
              <w:rPr>
                <w:rFonts w:ascii="AcadNusx" w:hAnsi="AcadNusx"/>
              </w:rPr>
            </w:pPr>
            <w:r w:rsidRPr="00B05F62">
              <w:rPr>
                <w:rFonts w:ascii="AcadNusx" w:hAnsi="AcadNusx"/>
              </w:rPr>
              <w:t>sigrZe (m)</w:t>
            </w:r>
          </w:p>
        </w:tc>
      </w:tr>
      <w:tr w:rsidR="00EA3205" w:rsidRPr="00B05F62" w14:paraId="269779BD" w14:textId="77777777" w:rsidTr="00F31A39">
        <w:trPr>
          <w:trHeight w:val="526"/>
          <w:tblHeader/>
        </w:trPr>
        <w:tc>
          <w:tcPr>
            <w:tcW w:w="2880" w:type="dxa"/>
            <w:vMerge/>
            <w:tcBorders>
              <w:top w:val="single" w:sz="8" w:space="0" w:color="000000"/>
              <w:left w:val="single" w:sz="8" w:space="0" w:color="000000"/>
              <w:bottom w:val="single" w:sz="8" w:space="0" w:color="000000"/>
              <w:right w:val="single" w:sz="8" w:space="0" w:color="auto"/>
            </w:tcBorders>
            <w:vAlign w:val="center"/>
            <w:hideMark/>
          </w:tcPr>
          <w:p w14:paraId="1CA538C3" w14:textId="77777777" w:rsidR="00EA3205" w:rsidRPr="00B05F62" w:rsidRDefault="00EA3205" w:rsidP="00EA3205">
            <w:pPr>
              <w:rPr>
                <w:rFonts w:ascii="AcadNusx" w:hAnsi="AcadNusx"/>
              </w:rPr>
            </w:pPr>
          </w:p>
        </w:tc>
        <w:tc>
          <w:tcPr>
            <w:tcW w:w="2267" w:type="dxa"/>
            <w:gridSpan w:val="2"/>
            <w:tcBorders>
              <w:top w:val="nil"/>
              <w:left w:val="single" w:sz="8" w:space="0" w:color="auto"/>
              <w:bottom w:val="single" w:sz="8" w:space="0" w:color="000000"/>
              <w:right w:val="single" w:sz="8" w:space="0" w:color="000000"/>
            </w:tcBorders>
            <w:shd w:val="clear" w:color="auto" w:fill="E0E0E0"/>
            <w:vAlign w:val="center"/>
            <w:hideMark/>
          </w:tcPr>
          <w:p w14:paraId="097F5C25" w14:textId="77777777" w:rsidR="00EA3205" w:rsidRPr="00B05F62" w:rsidRDefault="00EA3205" w:rsidP="00EA3205">
            <w:pPr>
              <w:rPr>
                <w:rFonts w:ascii="AcadNusx" w:hAnsi="AcadNusx"/>
              </w:rPr>
            </w:pPr>
            <w:r w:rsidRPr="00B05F62">
              <w:rPr>
                <w:rFonts w:ascii="AcadNusx" w:hAnsi="AcadNusx"/>
              </w:rPr>
              <w:t>gzis marcxena mxares</w:t>
            </w:r>
          </w:p>
        </w:tc>
        <w:tc>
          <w:tcPr>
            <w:tcW w:w="2863" w:type="dxa"/>
            <w:gridSpan w:val="2"/>
            <w:tcBorders>
              <w:top w:val="nil"/>
              <w:left w:val="nil"/>
              <w:bottom w:val="single" w:sz="8" w:space="0" w:color="000000"/>
              <w:right w:val="single" w:sz="8" w:space="0" w:color="000000"/>
            </w:tcBorders>
            <w:shd w:val="clear" w:color="auto" w:fill="E0E0E0"/>
            <w:vAlign w:val="center"/>
            <w:hideMark/>
          </w:tcPr>
          <w:p w14:paraId="75FEBFF8" w14:textId="77777777" w:rsidR="00EA3205" w:rsidRPr="00B05F62" w:rsidRDefault="00EA3205" w:rsidP="00EA3205">
            <w:pPr>
              <w:rPr>
                <w:rFonts w:ascii="AcadNusx" w:hAnsi="AcadNusx"/>
              </w:rPr>
            </w:pPr>
            <w:r w:rsidRPr="00B05F62">
              <w:rPr>
                <w:rFonts w:ascii="AcadNusx" w:hAnsi="AcadNusx"/>
              </w:rPr>
              <w:t>gzis marjvena mxares</w:t>
            </w:r>
          </w:p>
        </w:tc>
        <w:tc>
          <w:tcPr>
            <w:tcW w:w="1843" w:type="dxa"/>
            <w:vMerge/>
            <w:tcBorders>
              <w:top w:val="single" w:sz="8" w:space="0" w:color="000000"/>
              <w:left w:val="single" w:sz="8" w:space="0" w:color="auto"/>
              <w:bottom w:val="single" w:sz="8" w:space="0" w:color="000000"/>
              <w:right w:val="single" w:sz="8" w:space="0" w:color="000000"/>
            </w:tcBorders>
            <w:vAlign w:val="center"/>
            <w:hideMark/>
          </w:tcPr>
          <w:p w14:paraId="491786B4" w14:textId="77777777" w:rsidR="00EA3205" w:rsidRPr="00B05F62" w:rsidRDefault="00EA3205" w:rsidP="00EA3205">
            <w:pPr>
              <w:rPr>
                <w:rFonts w:ascii="AcadNusx" w:hAnsi="AcadNusx"/>
              </w:rPr>
            </w:pPr>
          </w:p>
        </w:tc>
      </w:tr>
      <w:tr w:rsidR="00EA3205" w:rsidRPr="00B05F62" w14:paraId="71E5D9D3" w14:textId="77777777" w:rsidTr="00F31A39">
        <w:trPr>
          <w:trHeight w:val="315"/>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1C26130A" w14:textId="77777777" w:rsidR="00EA3205" w:rsidRPr="00B05F62" w:rsidRDefault="00EA3205" w:rsidP="00EA3205">
            <w:pPr>
              <w:rPr>
                <w:rFonts w:ascii="AcadNusx" w:hAnsi="AcadNusx"/>
                <w:lang w:val="de-DE"/>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7BB53621" w14:textId="77777777" w:rsidR="00EA3205" w:rsidRPr="00B05F62" w:rsidRDefault="00EA3205" w:rsidP="00EA3205">
            <w:pPr>
              <w:rPr>
                <w:rFonts w:ascii="AcadNusx" w:hAnsi="AcadNusx"/>
              </w:rPr>
            </w:pPr>
            <w:r w:rsidRPr="00B05F62">
              <w:rPr>
                <w:rFonts w:ascii="AcadNusx" w:hAnsi="AcadNusx"/>
              </w:rPr>
              <w:t>0+000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1EA8579" w14:textId="77777777" w:rsidR="00EA3205" w:rsidRPr="00B05F62" w:rsidRDefault="00EA3205" w:rsidP="00EA3205">
            <w:pPr>
              <w:rPr>
                <w:rFonts w:ascii="AcadNusx" w:hAnsi="AcadNusx"/>
              </w:rPr>
            </w:pPr>
            <w:r w:rsidRPr="00B05F62">
              <w:rPr>
                <w:rFonts w:ascii="AcadNusx" w:hAnsi="AcadNusx"/>
              </w:rPr>
              <w:t>0+197</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4D0F6BF7"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63ADCA0E"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D2D676F" w14:textId="77777777" w:rsidR="00EA3205" w:rsidRPr="00B05F62" w:rsidRDefault="00EA3205" w:rsidP="00EA3205">
            <w:pPr>
              <w:rPr>
                <w:rFonts w:ascii="AcadNusx" w:hAnsi="AcadNusx"/>
              </w:rPr>
            </w:pPr>
            <w:r w:rsidRPr="00B05F62">
              <w:rPr>
                <w:rFonts w:ascii="AcadNusx" w:hAnsi="AcadNusx"/>
              </w:rPr>
              <w:t>197</w:t>
            </w:r>
          </w:p>
        </w:tc>
      </w:tr>
      <w:tr w:rsidR="00EA3205" w:rsidRPr="00B05F62" w14:paraId="423BDD8A" w14:textId="77777777" w:rsidTr="00F31A39">
        <w:trPr>
          <w:trHeight w:val="315"/>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19E25EF4"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1C616E51"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0D1CB54"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6B722E4E" w14:textId="77777777" w:rsidR="00EA3205" w:rsidRPr="00B05F62" w:rsidRDefault="00EA3205" w:rsidP="00EA3205">
            <w:pPr>
              <w:rPr>
                <w:rFonts w:ascii="AcadNusx" w:hAnsi="AcadNusx"/>
              </w:rPr>
            </w:pPr>
            <w:r w:rsidRPr="00B05F62">
              <w:rPr>
                <w:rFonts w:ascii="AcadNusx" w:hAnsi="AcadNusx"/>
              </w:rPr>
              <w:t>0+000</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1667498B" w14:textId="77777777" w:rsidR="00EA3205" w:rsidRPr="00B05F62" w:rsidRDefault="00EA3205" w:rsidP="00EA3205">
            <w:pPr>
              <w:rPr>
                <w:rFonts w:ascii="AcadNusx" w:hAnsi="AcadNusx"/>
              </w:rPr>
            </w:pPr>
            <w:r w:rsidRPr="00B05F62">
              <w:rPr>
                <w:rFonts w:ascii="AcadNusx" w:hAnsi="AcadNusx"/>
              </w:rPr>
              <w:t>0+160</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37D1FDB" w14:textId="77777777" w:rsidR="00EA3205" w:rsidRPr="00B05F62" w:rsidRDefault="00EA3205" w:rsidP="00EA3205">
            <w:pPr>
              <w:rPr>
                <w:rFonts w:ascii="AcadNusx" w:hAnsi="AcadNusx"/>
              </w:rPr>
            </w:pPr>
            <w:r w:rsidRPr="00B05F62">
              <w:rPr>
                <w:rFonts w:ascii="AcadNusx" w:hAnsi="AcadNusx"/>
              </w:rPr>
              <w:t>160</w:t>
            </w:r>
          </w:p>
        </w:tc>
      </w:tr>
      <w:tr w:rsidR="00EA3205" w:rsidRPr="00B05F62" w14:paraId="57A53A13" w14:textId="77777777" w:rsidTr="00F31A39">
        <w:trPr>
          <w:trHeight w:val="315"/>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0DAECDD4"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061AF790"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39815F8"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0C8FAFF3" w14:textId="77777777" w:rsidR="00EA3205" w:rsidRPr="00B05F62" w:rsidRDefault="00EA3205" w:rsidP="00EA3205">
            <w:pPr>
              <w:rPr>
                <w:rFonts w:ascii="AcadNusx" w:hAnsi="AcadNusx"/>
              </w:rPr>
            </w:pPr>
            <w:r w:rsidRPr="00B05F62">
              <w:rPr>
                <w:rFonts w:ascii="AcadNusx" w:hAnsi="AcadNusx"/>
              </w:rPr>
              <w:t>6+600</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7F5DC37B" w14:textId="77777777" w:rsidR="00EA3205" w:rsidRPr="00B05F62" w:rsidRDefault="00EA3205" w:rsidP="00EA3205">
            <w:pPr>
              <w:rPr>
                <w:rFonts w:ascii="AcadNusx" w:hAnsi="AcadNusx"/>
              </w:rPr>
            </w:pPr>
            <w:r w:rsidRPr="00B05F62">
              <w:rPr>
                <w:rFonts w:ascii="AcadNusx" w:hAnsi="AcadNusx"/>
              </w:rPr>
              <w:t>6+951</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B214D74" w14:textId="77777777" w:rsidR="00EA3205" w:rsidRPr="00B05F62" w:rsidRDefault="00EA3205" w:rsidP="00EA3205">
            <w:pPr>
              <w:rPr>
                <w:rFonts w:ascii="AcadNusx" w:hAnsi="AcadNusx"/>
              </w:rPr>
            </w:pPr>
            <w:r w:rsidRPr="00B05F62">
              <w:rPr>
                <w:rFonts w:ascii="AcadNusx" w:hAnsi="AcadNusx"/>
              </w:rPr>
              <w:t>351</w:t>
            </w:r>
          </w:p>
        </w:tc>
      </w:tr>
      <w:tr w:rsidR="00EA3205" w:rsidRPr="00B05F62" w14:paraId="2D21C123"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78B1CA0F"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57A19583" w14:textId="77777777" w:rsidR="00EA3205" w:rsidRPr="00B05F62" w:rsidRDefault="00EA3205" w:rsidP="00EA3205">
            <w:pPr>
              <w:rPr>
                <w:rFonts w:ascii="AcadNusx" w:hAnsi="AcadNusx"/>
              </w:rPr>
            </w:pPr>
            <w:r w:rsidRPr="00B05F62">
              <w:rPr>
                <w:rFonts w:ascii="AcadNusx" w:hAnsi="AcadNusx"/>
              </w:rPr>
              <w:t>6+600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CF1AA5D" w14:textId="77777777" w:rsidR="00EA3205" w:rsidRPr="00B05F62" w:rsidRDefault="00EA3205" w:rsidP="00EA3205">
            <w:pPr>
              <w:rPr>
                <w:rFonts w:ascii="AcadNusx" w:hAnsi="AcadNusx"/>
              </w:rPr>
            </w:pPr>
            <w:r w:rsidRPr="00B05F62">
              <w:rPr>
                <w:rFonts w:ascii="AcadNusx" w:hAnsi="AcadNusx"/>
              </w:rPr>
              <w:t>6+951</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0E21A195"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B4084E8"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5377F77" w14:textId="77777777" w:rsidR="00EA3205" w:rsidRPr="00B05F62" w:rsidRDefault="00EA3205" w:rsidP="00EA3205">
            <w:pPr>
              <w:rPr>
                <w:rFonts w:ascii="AcadNusx" w:hAnsi="AcadNusx"/>
              </w:rPr>
            </w:pPr>
            <w:r w:rsidRPr="00B05F62">
              <w:rPr>
                <w:rFonts w:ascii="AcadNusx" w:hAnsi="AcadNusx"/>
              </w:rPr>
              <w:t>351</w:t>
            </w:r>
          </w:p>
        </w:tc>
      </w:tr>
      <w:tr w:rsidR="00EA3205" w:rsidRPr="00B05F62" w14:paraId="1C83CCCA"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02FB2B71"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78BE4BB7"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76B9821"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35B80314" w14:textId="77777777" w:rsidR="00EA3205" w:rsidRPr="00B05F62" w:rsidRDefault="00EA3205" w:rsidP="00EA3205">
            <w:pPr>
              <w:rPr>
                <w:rFonts w:ascii="AcadNusx" w:hAnsi="AcadNusx"/>
              </w:rPr>
            </w:pPr>
            <w:r w:rsidRPr="00B05F62">
              <w:rPr>
                <w:rFonts w:ascii="AcadNusx" w:hAnsi="AcadNusx"/>
              </w:rPr>
              <w:t>7+100</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6F5AEEFA" w14:textId="77777777" w:rsidR="00EA3205" w:rsidRPr="00B05F62" w:rsidRDefault="00EA3205" w:rsidP="00EA3205">
            <w:pPr>
              <w:rPr>
                <w:rFonts w:ascii="AcadNusx" w:hAnsi="AcadNusx"/>
              </w:rPr>
            </w:pPr>
            <w:r w:rsidRPr="00B05F62">
              <w:rPr>
                <w:rFonts w:ascii="AcadNusx" w:hAnsi="AcadNusx"/>
              </w:rPr>
              <w:t>7+750</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0E8EEF6C" w14:textId="77777777" w:rsidR="00EA3205" w:rsidRPr="00B05F62" w:rsidRDefault="00EA3205" w:rsidP="00EA3205">
            <w:pPr>
              <w:rPr>
                <w:rFonts w:ascii="AcadNusx" w:hAnsi="AcadNusx"/>
              </w:rPr>
            </w:pPr>
            <w:r w:rsidRPr="00B05F62">
              <w:rPr>
                <w:rFonts w:ascii="AcadNusx" w:hAnsi="AcadNusx"/>
              </w:rPr>
              <w:t>650</w:t>
            </w:r>
          </w:p>
        </w:tc>
      </w:tr>
      <w:tr w:rsidR="00EA3205" w:rsidRPr="00B05F62" w14:paraId="25AD571E"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075430F6"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43E6FD19" w14:textId="77777777" w:rsidR="00EA3205" w:rsidRPr="00B05F62" w:rsidRDefault="00EA3205" w:rsidP="00EA3205">
            <w:pPr>
              <w:rPr>
                <w:rFonts w:ascii="AcadNusx" w:hAnsi="AcadNusx"/>
              </w:rPr>
            </w:pPr>
            <w:r w:rsidRPr="00B05F62">
              <w:rPr>
                <w:rFonts w:ascii="AcadNusx" w:hAnsi="AcadNusx"/>
              </w:rPr>
              <w:t>7+100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F88769C" w14:textId="77777777" w:rsidR="00EA3205" w:rsidRPr="00B05F62" w:rsidRDefault="00EA3205" w:rsidP="00EA3205">
            <w:pPr>
              <w:rPr>
                <w:rFonts w:ascii="AcadNusx" w:hAnsi="AcadNusx"/>
              </w:rPr>
            </w:pPr>
            <w:r w:rsidRPr="00B05F62">
              <w:rPr>
                <w:rFonts w:ascii="AcadNusx" w:hAnsi="AcadNusx"/>
              </w:rPr>
              <w:t>7+850</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013AFFF0"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F7955AE"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CD8D697" w14:textId="77777777" w:rsidR="00EA3205" w:rsidRPr="00B05F62" w:rsidRDefault="00EA3205" w:rsidP="00EA3205">
            <w:pPr>
              <w:rPr>
                <w:rFonts w:ascii="AcadNusx" w:hAnsi="AcadNusx"/>
              </w:rPr>
            </w:pPr>
            <w:r w:rsidRPr="00B05F62">
              <w:rPr>
                <w:rFonts w:ascii="AcadNusx" w:hAnsi="AcadNusx"/>
              </w:rPr>
              <w:t>750</w:t>
            </w:r>
          </w:p>
        </w:tc>
      </w:tr>
      <w:tr w:rsidR="00EA3205" w:rsidRPr="00B05F62" w14:paraId="49E21125"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05F3E1E9"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782E4A1C" w14:textId="77777777" w:rsidR="00EA3205" w:rsidRPr="00B05F62" w:rsidRDefault="00EA3205" w:rsidP="00EA3205">
            <w:pPr>
              <w:rPr>
                <w:rFonts w:ascii="AcadNusx" w:hAnsi="AcadNusx"/>
              </w:rPr>
            </w:pPr>
            <w:r w:rsidRPr="00B05F62">
              <w:rPr>
                <w:rFonts w:ascii="AcadNusx" w:hAnsi="AcadNusx"/>
              </w:rPr>
              <w:t>9+510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2DE034B" w14:textId="77777777" w:rsidR="00EA3205" w:rsidRPr="00B05F62" w:rsidRDefault="00EA3205" w:rsidP="00EA3205">
            <w:pPr>
              <w:rPr>
                <w:rFonts w:ascii="AcadNusx" w:hAnsi="AcadNusx"/>
              </w:rPr>
            </w:pPr>
            <w:r w:rsidRPr="00B05F62">
              <w:rPr>
                <w:rFonts w:ascii="AcadNusx" w:hAnsi="AcadNusx"/>
              </w:rPr>
              <w:t>9+661</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3A31161C"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0829FD0D"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DDD9D22" w14:textId="77777777" w:rsidR="00EA3205" w:rsidRPr="00B05F62" w:rsidRDefault="00EA3205" w:rsidP="00EA3205">
            <w:pPr>
              <w:rPr>
                <w:rFonts w:ascii="AcadNusx" w:hAnsi="AcadNusx"/>
              </w:rPr>
            </w:pPr>
            <w:r w:rsidRPr="00B05F62">
              <w:rPr>
                <w:rFonts w:ascii="AcadNusx" w:hAnsi="AcadNusx"/>
              </w:rPr>
              <w:t>151</w:t>
            </w:r>
          </w:p>
        </w:tc>
      </w:tr>
      <w:tr w:rsidR="00EA3205" w:rsidRPr="00B05F62" w14:paraId="67512ACE"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00B89296"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43DC2550" w14:textId="77777777" w:rsidR="00EA3205" w:rsidRPr="00B05F62" w:rsidRDefault="00EA3205" w:rsidP="00EA3205">
            <w:pPr>
              <w:rPr>
                <w:rFonts w:ascii="AcadNusx" w:hAnsi="AcadNusx"/>
              </w:rPr>
            </w:pPr>
            <w:r w:rsidRPr="00B05F62">
              <w:rPr>
                <w:rFonts w:ascii="AcadNusx" w:hAnsi="AcadNusx"/>
              </w:rPr>
              <w:t>10+350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F9036F7" w14:textId="77777777" w:rsidR="00EA3205" w:rsidRPr="00B05F62" w:rsidRDefault="00EA3205" w:rsidP="00EA3205">
            <w:pPr>
              <w:rPr>
                <w:rFonts w:ascii="AcadNusx" w:hAnsi="AcadNusx"/>
              </w:rPr>
            </w:pPr>
            <w:r w:rsidRPr="00B05F62">
              <w:rPr>
                <w:rFonts w:ascii="AcadNusx" w:hAnsi="AcadNusx"/>
              </w:rPr>
              <w:t>10+735</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0A99A349"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319DD3E"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249766E" w14:textId="77777777" w:rsidR="00EA3205" w:rsidRPr="00B05F62" w:rsidRDefault="00EA3205" w:rsidP="00EA3205">
            <w:pPr>
              <w:rPr>
                <w:rFonts w:ascii="AcadNusx" w:hAnsi="AcadNusx"/>
              </w:rPr>
            </w:pPr>
            <w:r w:rsidRPr="00B05F62">
              <w:rPr>
                <w:rFonts w:ascii="AcadNusx" w:hAnsi="AcadNusx"/>
              </w:rPr>
              <w:t>385</w:t>
            </w:r>
          </w:p>
        </w:tc>
      </w:tr>
      <w:tr w:rsidR="00EA3205" w:rsidRPr="00B05F62" w14:paraId="6EBCA186"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2FE420AA"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5DC5EEF3"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D6CCE47"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22321FC9" w14:textId="77777777" w:rsidR="00EA3205" w:rsidRPr="00B05F62" w:rsidRDefault="00EA3205" w:rsidP="00EA3205">
            <w:pPr>
              <w:rPr>
                <w:rFonts w:ascii="AcadNusx" w:hAnsi="AcadNusx"/>
              </w:rPr>
            </w:pPr>
            <w:r w:rsidRPr="00B05F62">
              <w:rPr>
                <w:rFonts w:ascii="AcadNusx" w:hAnsi="AcadNusx"/>
              </w:rPr>
              <w:t>10+395</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77FA1904" w14:textId="77777777" w:rsidR="00EA3205" w:rsidRPr="00B05F62" w:rsidRDefault="00EA3205" w:rsidP="00EA3205">
            <w:pPr>
              <w:rPr>
                <w:rFonts w:ascii="AcadNusx" w:hAnsi="AcadNusx"/>
              </w:rPr>
            </w:pPr>
            <w:r w:rsidRPr="00B05F62">
              <w:rPr>
                <w:rFonts w:ascii="AcadNusx" w:hAnsi="AcadNusx"/>
              </w:rPr>
              <w:t>10+602</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09E94BB" w14:textId="77777777" w:rsidR="00EA3205" w:rsidRPr="00B05F62" w:rsidRDefault="00EA3205" w:rsidP="00EA3205">
            <w:pPr>
              <w:rPr>
                <w:rFonts w:ascii="AcadNusx" w:hAnsi="AcadNusx"/>
              </w:rPr>
            </w:pPr>
            <w:r w:rsidRPr="00B05F62">
              <w:rPr>
                <w:rFonts w:ascii="AcadNusx" w:hAnsi="AcadNusx"/>
              </w:rPr>
              <w:t>207</w:t>
            </w:r>
          </w:p>
        </w:tc>
      </w:tr>
      <w:tr w:rsidR="00EA3205" w:rsidRPr="00B05F62" w14:paraId="731D72F4"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558D787B"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2F53E89E"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10FB862"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13217048" w14:textId="77777777" w:rsidR="00EA3205" w:rsidRPr="00B05F62" w:rsidRDefault="00EA3205" w:rsidP="00EA3205">
            <w:pPr>
              <w:rPr>
                <w:rFonts w:ascii="AcadNusx" w:hAnsi="AcadNusx"/>
              </w:rPr>
            </w:pPr>
            <w:r w:rsidRPr="00B05F62">
              <w:rPr>
                <w:rFonts w:ascii="AcadNusx" w:hAnsi="AcadNusx"/>
              </w:rPr>
              <w:t>11+387</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04DD241F" w14:textId="77777777" w:rsidR="00EA3205" w:rsidRPr="00B05F62" w:rsidRDefault="00EA3205" w:rsidP="00EA3205">
            <w:pPr>
              <w:rPr>
                <w:rFonts w:ascii="AcadNusx" w:hAnsi="AcadNusx"/>
              </w:rPr>
            </w:pPr>
            <w:r w:rsidRPr="00B05F62">
              <w:rPr>
                <w:rFonts w:ascii="AcadNusx" w:hAnsi="AcadNusx"/>
              </w:rPr>
              <w:t>11+452</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2BF61F3" w14:textId="77777777" w:rsidR="00EA3205" w:rsidRPr="00B05F62" w:rsidRDefault="00EA3205" w:rsidP="00EA3205">
            <w:pPr>
              <w:rPr>
                <w:rFonts w:ascii="AcadNusx" w:hAnsi="AcadNusx"/>
              </w:rPr>
            </w:pPr>
            <w:r w:rsidRPr="00B05F62">
              <w:rPr>
                <w:rFonts w:ascii="AcadNusx" w:hAnsi="AcadNusx"/>
              </w:rPr>
              <w:t>65</w:t>
            </w:r>
          </w:p>
        </w:tc>
      </w:tr>
      <w:tr w:rsidR="00EA3205" w:rsidRPr="00B05F62" w14:paraId="51AFCE81"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4BCFE603"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01B7E62C" w14:textId="77777777" w:rsidR="00EA3205" w:rsidRPr="00B05F62" w:rsidRDefault="00EA3205" w:rsidP="00EA3205">
            <w:pPr>
              <w:rPr>
                <w:rFonts w:ascii="AcadNusx" w:hAnsi="AcadNusx"/>
              </w:rPr>
            </w:pPr>
            <w:r w:rsidRPr="00B05F62">
              <w:rPr>
                <w:rFonts w:ascii="AcadNusx" w:hAnsi="AcadNusx"/>
              </w:rPr>
              <w:t>11+387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705DABD" w14:textId="77777777" w:rsidR="00EA3205" w:rsidRPr="00B05F62" w:rsidRDefault="00EA3205" w:rsidP="00EA3205">
            <w:pPr>
              <w:rPr>
                <w:rFonts w:ascii="AcadNusx" w:hAnsi="AcadNusx"/>
              </w:rPr>
            </w:pPr>
            <w:r w:rsidRPr="00B05F62">
              <w:rPr>
                <w:rFonts w:ascii="AcadNusx" w:hAnsi="AcadNusx"/>
              </w:rPr>
              <w:t>11+532</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06A53359"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0AAF87A9"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0AF41AAB" w14:textId="77777777" w:rsidR="00EA3205" w:rsidRPr="00B05F62" w:rsidRDefault="00EA3205" w:rsidP="00EA3205">
            <w:pPr>
              <w:rPr>
                <w:rFonts w:ascii="AcadNusx" w:hAnsi="AcadNusx"/>
              </w:rPr>
            </w:pPr>
            <w:r w:rsidRPr="00B05F62">
              <w:rPr>
                <w:rFonts w:ascii="AcadNusx" w:hAnsi="AcadNusx"/>
              </w:rPr>
              <w:t>145</w:t>
            </w:r>
          </w:p>
        </w:tc>
      </w:tr>
      <w:tr w:rsidR="00EA3205" w:rsidRPr="00B05F62" w14:paraId="303C46DA"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609204E1"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5CD212C3" w14:textId="77777777" w:rsidR="00EA3205" w:rsidRPr="00B05F62" w:rsidRDefault="00EA3205" w:rsidP="00EA3205">
            <w:pPr>
              <w:rPr>
                <w:rFonts w:ascii="AcadNusx" w:hAnsi="AcadNusx"/>
              </w:rPr>
            </w:pPr>
            <w:r w:rsidRPr="00B05F62">
              <w:rPr>
                <w:rFonts w:ascii="AcadNusx" w:hAnsi="AcadNusx"/>
              </w:rPr>
              <w:t>12+587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226B9AE" w14:textId="77777777" w:rsidR="00EA3205" w:rsidRPr="00B05F62" w:rsidRDefault="00EA3205" w:rsidP="00EA3205">
            <w:pPr>
              <w:rPr>
                <w:rFonts w:ascii="AcadNusx" w:hAnsi="AcadNusx"/>
              </w:rPr>
            </w:pPr>
            <w:r w:rsidRPr="00B05F62">
              <w:rPr>
                <w:rFonts w:ascii="AcadNusx" w:hAnsi="AcadNusx"/>
              </w:rPr>
              <w:t>13+202</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22ADFED6"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08161B2F"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31D9079" w14:textId="77777777" w:rsidR="00EA3205" w:rsidRPr="00B05F62" w:rsidRDefault="00EA3205" w:rsidP="00EA3205">
            <w:pPr>
              <w:rPr>
                <w:rFonts w:ascii="AcadNusx" w:hAnsi="AcadNusx"/>
              </w:rPr>
            </w:pPr>
            <w:r w:rsidRPr="00B05F62">
              <w:rPr>
                <w:rFonts w:ascii="AcadNusx" w:hAnsi="AcadNusx"/>
              </w:rPr>
              <w:t>615</w:t>
            </w:r>
          </w:p>
        </w:tc>
      </w:tr>
      <w:tr w:rsidR="00EA3205" w:rsidRPr="00B05F62" w14:paraId="223BC44B"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1376EB52"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542E5F43"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2096934"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0E15BDE5" w14:textId="77777777" w:rsidR="00EA3205" w:rsidRPr="00B05F62" w:rsidRDefault="00EA3205" w:rsidP="00EA3205">
            <w:pPr>
              <w:rPr>
                <w:rFonts w:ascii="AcadNusx" w:hAnsi="AcadNusx"/>
              </w:rPr>
            </w:pPr>
            <w:r w:rsidRPr="00B05F62">
              <w:rPr>
                <w:rFonts w:ascii="AcadNusx" w:hAnsi="AcadNusx"/>
              </w:rPr>
              <w:t>12+705</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7322B109" w14:textId="77777777" w:rsidR="00EA3205" w:rsidRPr="00B05F62" w:rsidRDefault="00EA3205" w:rsidP="00EA3205">
            <w:pPr>
              <w:rPr>
                <w:rFonts w:ascii="AcadNusx" w:hAnsi="AcadNusx"/>
              </w:rPr>
            </w:pPr>
            <w:r w:rsidRPr="00B05F62">
              <w:rPr>
                <w:rFonts w:ascii="AcadNusx" w:hAnsi="AcadNusx"/>
              </w:rPr>
              <w:t>13+201</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4EEA4FA" w14:textId="77777777" w:rsidR="00EA3205" w:rsidRPr="00B05F62" w:rsidRDefault="00EA3205" w:rsidP="00EA3205">
            <w:pPr>
              <w:rPr>
                <w:rFonts w:ascii="AcadNusx" w:hAnsi="AcadNusx"/>
              </w:rPr>
            </w:pPr>
            <w:r w:rsidRPr="00B05F62">
              <w:rPr>
                <w:rFonts w:ascii="AcadNusx" w:hAnsi="AcadNusx"/>
              </w:rPr>
              <w:t>496</w:t>
            </w:r>
          </w:p>
        </w:tc>
      </w:tr>
      <w:tr w:rsidR="00EA3205" w:rsidRPr="00B05F62" w14:paraId="5F76477D"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69E630EF"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3EF029CD" w14:textId="77777777" w:rsidR="00EA3205" w:rsidRPr="00B05F62" w:rsidRDefault="00EA3205" w:rsidP="00EA3205">
            <w:pPr>
              <w:rPr>
                <w:rFonts w:ascii="AcadNusx" w:hAnsi="AcadNusx"/>
              </w:rPr>
            </w:pPr>
            <w:r w:rsidRPr="00B05F62">
              <w:rPr>
                <w:rFonts w:ascii="AcadNusx" w:hAnsi="AcadNusx"/>
              </w:rPr>
              <w:t>14+038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E80634F" w14:textId="77777777" w:rsidR="00EA3205" w:rsidRPr="00B05F62" w:rsidRDefault="00EA3205" w:rsidP="00EA3205">
            <w:pPr>
              <w:rPr>
                <w:rFonts w:ascii="AcadNusx" w:hAnsi="AcadNusx"/>
              </w:rPr>
            </w:pPr>
            <w:r w:rsidRPr="00B05F62">
              <w:rPr>
                <w:rFonts w:ascii="AcadNusx" w:hAnsi="AcadNusx"/>
              </w:rPr>
              <w:t>14+625</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3E6E8C44"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207D9E1"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23E6A05" w14:textId="77777777" w:rsidR="00EA3205" w:rsidRPr="00B05F62" w:rsidRDefault="00EA3205" w:rsidP="00EA3205">
            <w:pPr>
              <w:rPr>
                <w:rFonts w:ascii="AcadNusx" w:hAnsi="AcadNusx"/>
              </w:rPr>
            </w:pPr>
            <w:r w:rsidRPr="00B05F62">
              <w:rPr>
                <w:rFonts w:ascii="AcadNusx" w:hAnsi="AcadNusx"/>
              </w:rPr>
              <w:t>587</w:t>
            </w:r>
          </w:p>
        </w:tc>
      </w:tr>
      <w:tr w:rsidR="00EA3205" w:rsidRPr="00B05F62" w14:paraId="63FB7233"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57A1620C"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653B45D1"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DF24C80"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436DA1B7" w14:textId="77777777" w:rsidR="00EA3205" w:rsidRPr="00B05F62" w:rsidRDefault="00EA3205" w:rsidP="00EA3205">
            <w:pPr>
              <w:rPr>
                <w:rFonts w:ascii="AcadNusx" w:hAnsi="AcadNusx"/>
              </w:rPr>
            </w:pPr>
            <w:r w:rsidRPr="00B05F62">
              <w:rPr>
                <w:rFonts w:ascii="AcadNusx" w:hAnsi="AcadNusx"/>
              </w:rPr>
              <w:t>14+067</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5FE1D3CD" w14:textId="77777777" w:rsidR="00EA3205" w:rsidRPr="00B05F62" w:rsidRDefault="00EA3205" w:rsidP="00EA3205">
            <w:pPr>
              <w:rPr>
                <w:rFonts w:ascii="AcadNusx" w:hAnsi="AcadNusx"/>
              </w:rPr>
            </w:pPr>
            <w:r w:rsidRPr="00B05F62">
              <w:rPr>
                <w:rFonts w:ascii="AcadNusx" w:hAnsi="AcadNusx"/>
              </w:rPr>
              <w:t>14+622</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5875602" w14:textId="77777777" w:rsidR="00EA3205" w:rsidRPr="00B05F62" w:rsidRDefault="00EA3205" w:rsidP="00EA3205">
            <w:pPr>
              <w:rPr>
                <w:rFonts w:ascii="AcadNusx" w:hAnsi="AcadNusx"/>
              </w:rPr>
            </w:pPr>
            <w:r w:rsidRPr="00B05F62">
              <w:rPr>
                <w:rFonts w:ascii="AcadNusx" w:hAnsi="AcadNusx"/>
              </w:rPr>
              <w:t>555</w:t>
            </w:r>
          </w:p>
        </w:tc>
      </w:tr>
      <w:tr w:rsidR="00EA3205" w:rsidRPr="00B05F62" w14:paraId="7B51DC75"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405908E3"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32B6B7B2" w14:textId="77777777" w:rsidR="00EA3205" w:rsidRPr="00B05F62" w:rsidRDefault="00EA3205" w:rsidP="00EA3205">
            <w:pPr>
              <w:rPr>
                <w:rFonts w:ascii="AcadNusx" w:hAnsi="AcadNusx"/>
              </w:rPr>
            </w:pPr>
            <w:r w:rsidRPr="00B05F62">
              <w:rPr>
                <w:rFonts w:ascii="AcadNusx" w:hAnsi="AcadNusx"/>
              </w:rPr>
              <w:t>14+702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6B1E93A" w14:textId="77777777" w:rsidR="00EA3205" w:rsidRPr="00B05F62" w:rsidRDefault="00EA3205" w:rsidP="00EA3205">
            <w:pPr>
              <w:rPr>
                <w:rFonts w:ascii="AcadNusx" w:hAnsi="AcadNusx"/>
              </w:rPr>
            </w:pPr>
            <w:r w:rsidRPr="00B05F62">
              <w:rPr>
                <w:rFonts w:ascii="AcadNusx" w:hAnsi="AcadNusx"/>
              </w:rPr>
              <w:t>15+036</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124D2D71"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5D4F396"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591896C" w14:textId="77777777" w:rsidR="00EA3205" w:rsidRPr="00B05F62" w:rsidRDefault="00EA3205" w:rsidP="00EA3205">
            <w:pPr>
              <w:rPr>
                <w:rFonts w:ascii="AcadNusx" w:hAnsi="AcadNusx"/>
              </w:rPr>
            </w:pPr>
            <w:r w:rsidRPr="00B05F62">
              <w:rPr>
                <w:rFonts w:ascii="AcadNusx" w:hAnsi="AcadNusx"/>
              </w:rPr>
              <w:t>334</w:t>
            </w:r>
          </w:p>
        </w:tc>
      </w:tr>
      <w:tr w:rsidR="00EA3205" w:rsidRPr="00B05F62" w14:paraId="274C2904"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0E8367BF"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622FCBF2" w14:textId="77777777" w:rsidR="00EA3205" w:rsidRPr="00B05F62" w:rsidRDefault="00EA3205" w:rsidP="00EA3205">
            <w:pPr>
              <w:rPr>
                <w:rFonts w:ascii="AcadNusx" w:hAnsi="AcadNusx"/>
              </w:rPr>
            </w:pPr>
            <w:r w:rsidRPr="00B05F62">
              <w:rPr>
                <w:rFonts w:ascii="AcadNusx" w:hAnsi="AcadNusx"/>
              </w:rPr>
              <w:t>16+635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EB000A4" w14:textId="77777777" w:rsidR="00EA3205" w:rsidRPr="00B05F62" w:rsidRDefault="00EA3205" w:rsidP="00EA3205">
            <w:pPr>
              <w:rPr>
                <w:rFonts w:ascii="AcadNusx" w:hAnsi="AcadNusx"/>
              </w:rPr>
            </w:pPr>
            <w:r w:rsidRPr="00B05F62">
              <w:rPr>
                <w:rFonts w:ascii="AcadNusx" w:hAnsi="AcadNusx"/>
              </w:rPr>
              <w:t>16+871</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21158BD7"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52A27F09"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EF0647F" w14:textId="77777777" w:rsidR="00EA3205" w:rsidRPr="00B05F62" w:rsidRDefault="00EA3205" w:rsidP="00EA3205">
            <w:pPr>
              <w:rPr>
                <w:rFonts w:ascii="AcadNusx" w:hAnsi="AcadNusx"/>
              </w:rPr>
            </w:pPr>
            <w:r w:rsidRPr="00B05F62">
              <w:rPr>
                <w:rFonts w:ascii="AcadNusx" w:hAnsi="AcadNusx"/>
              </w:rPr>
              <w:t>236</w:t>
            </w:r>
          </w:p>
        </w:tc>
      </w:tr>
      <w:tr w:rsidR="00EA3205" w:rsidRPr="00B05F62" w14:paraId="6540E537"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2FCE3FDE"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1674F115" w14:textId="77777777" w:rsidR="00EA3205" w:rsidRPr="00B05F62" w:rsidRDefault="00EA3205" w:rsidP="00EA3205">
            <w:pPr>
              <w:rPr>
                <w:rFonts w:ascii="AcadNusx" w:hAnsi="AcadNusx"/>
              </w:rPr>
            </w:pPr>
            <w:r w:rsidRPr="00B05F62">
              <w:rPr>
                <w:rFonts w:ascii="AcadNusx" w:hAnsi="AcadNusx"/>
              </w:rPr>
              <w:t>18+377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F516668" w14:textId="77777777" w:rsidR="00EA3205" w:rsidRPr="00B05F62" w:rsidRDefault="00EA3205" w:rsidP="00EA3205">
            <w:pPr>
              <w:rPr>
                <w:rFonts w:ascii="AcadNusx" w:hAnsi="AcadNusx"/>
              </w:rPr>
            </w:pPr>
            <w:r w:rsidRPr="00B05F62">
              <w:rPr>
                <w:rFonts w:ascii="AcadNusx" w:hAnsi="AcadNusx"/>
              </w:rPr>
              <w:t>18+674</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10D26AF7"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735E4EA2"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03FB92F1" w14:textId="77777777" w:rsidR="00EA3205" w:rsidRPr="00B05F62" w:rsidRDefault="00EA3205" w:rsidP="00EA3205">
            <w:pPr>
              <w:rPr>
                <w:rFonts w:ascii="AcadNusx" w:hAnsi="AcadNusx"/>
              </w:rPr>
            </w:pPr>
            <w:r w:rsidRPr="00B05F62">
              <w:rPr>
                <w:rFonts w:ascii="AcadNusx" w:hAnsi="AcadNusx"/>
              </w:rPr>
              <w:t>297</w:t>
            </w:r>
          </w:p>
        </w:tc>
      </w:tr>
      <w:tr w:rsidR="00EA3205" w:rsidRPr="00B05F62" w14:paraId="2EB2EB44"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05A65BA1"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5A15F180"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6DE9651"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74395A98" w14:textId="77777777" w:rsidR="00EA3205" w:rsidRPr="00B05F62" w:rsidRDefault="00EA3205" w:rsidP="00EA3205">
            <w:pPr>
              <w:rPr>
                <w:rFonts w:ascii="AcadNusx" w:hAnsi="AcadNusx"/>
              </w:rPr>
            </w:pPr>
            <w:r w:rsidRPr="00B05F62">
              <w:rPr>
                <w:rFonts w:ascii="AcadNusx" w:hAnsi="AcadNusx"/>
              </w:rPr>
              <w:t>18+427</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575569C3" w14:textId="77777777" w:rsidR="00EA3205" w:rsidRPr="00B05F62" w:rsidRDefault="00EA3205" w:rsidP="00EA3205">
            <w:pPr>
              <w:rPr>
                <w:rFonts w:ascii="AcadNusx" w:hAnsi="AcadNusx"/>
              </w:rPr>
            </w:pPr>
            <w:r w:rsidRPr="00B05F62">
              <w:rPr>
                <w:rFonts w:ascii="AcadNusx" w:hAnsi="AcadNusx"/>
              </w:rPr>
              <w:t>18+655</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02C73117" w14:textId="77777777" w:rsidR="00EA3205" w:rsidRPr="00B05F62" w:rsidRDefault="00EA3205" w:rsidP="00EA3205">
            <w:pPr>
              <w:rPr>
                <w:rFonts w:ascii="AcadNusx" w:hAnsi="AcadNusx"/>
              </w:rPr>
            </w:pPr>
            <w:r w:rsidRPr="00B05F62">
              <w:rPr>
                <w:rFonts w:ascii="AcadNusx" w:hAnsi="AcadNusx"/>
              </w:rPr>
              <w:t>228</w:t>
            </w:r>
          </w:p>
        </w:tc>
      </w:tr>
      <w:tr w:rsidR="00EA3205" w:rsidRPr="00B05F62" w14:paraId="2B197754"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20F8541E"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71BFC728" w14:textId="77777777" w:rsidR="00EA3205" w:rsidRPr="00B05F62" w:rsidRDefault="00EA3205" w:rsidP="00EA3205">
            <w:pPr>
              <w:rPr>
                <w:rFonts w:ascii="AcadNusx" w:hAnsi="AcadNusx"/>
              </w:rPr>
            </w:pPr>
            <w:r w:rsidRPr="00B05F62">
              <w:rPr>
                <w:rFonts w:ascii="AcadNusx" w:hAnsi="AcadNusx"/>
              </w:rPr>
              <w:t>19+451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5483593" w14:textId="77777777" w:rsidR="00EA3205" w:rsidRPr="00B05F62" w:rsidRDefault="00EA3205" w:rsidP="00EA3205">
            <w:pPr>
              <w:rPr>
                <w:rFonts w:ascii="AcadNusx" w:hAnsi="AcadNusx"/>
              </w:rPr>
            </w:pPr>
            <w:r w:rsidRPr="00B05F62">
              <w:rPr>
                <w:rFonts w:ascii="AcadNusx" w:hAnsi="AcadNusx"/>
              </w:rPr>
              <w:t>19+849</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1E3C45E9"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0952B8A4"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5821982" w14:textId="77777777" w:rsidR="00EA3205" w:rsidRPr="00B05F62" w:rsidRDefault="00EA3205" w:rsidP="00EA3205">
            <w:pPr>
              <w:rPr>
                <w:rFonts w:ascii="AcadNusx" w:hAnsi="AcadNusx"/>
              </w:rPr>
            </w:pPr>
            <w:r w:rsidRPr="00B05F62">
              <w:rPr>
                <w:rFonts w:ascii="AcadNusx" w:hAnsi="AcadNusx"/>
              </w:rPr>
              <w:t>398</w:t>
            </w:r>
          </w:p>
        </w:tc>
      </w:tr>
      <w:tr w:rsidR="00EA3205" w:rsidRPr="00B05F62" w14:paraId="6217BAA7"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0B03A8F6"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267597DF"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85009D3"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0195A5E5" w14:textId="77777777" w:rsidR="00EA3205" w:rsidRPr="00B05F62" w:rsidRDefault="00EA3205" w:rsidP="00EA3205">
            <w:pPr>
              <w:rPr>
                <w:rFonts w:ascii="AcadNusx" w:hAnsi="AcadNusx"/>
              </w:rPr>
            </w:pPr>
            <w:r w:rsidRPr="00B05F62">
              <w:rPr>
                <w:rFonts w:ascii="AcadNusx" w:hAnsi="AcadNusx"/>
              </w:rPr>
              <w:t>19+566</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6509E52E" w14:textId="77777777" w:rsidR="00EA3205" w:rsidRPr="00B05F62" w:rsidRDefault="00EA3205" w:rsidP="00EA3205">
            <w:pPr>
              <w:rPr>
                <w:rFonts w:ascii="AcadNusx" w:hAnsi="AcadNusx"/>
              </w:rPr>
            </w:pPr>
            <w:r w:rsidRPr="00B05F62">
              <w:rPr>
                <w:rFonts w:ascii="AcadNusx" w:hAnsi="AcadNusx"/>
              </w:rPr>
              <w:t>19+814</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7AA0F3F" w14:textId="77777777" w:rsidR="00EA3205" w:rsidRPr="00B05F62" w:rsidRDefault="00EA3205" w:rsidP="00EA3205">
            <w:pPr>
              <w:rPr>
                <w:rFonts w:ascii="AcadNusx" w:hAnsi="AcadNusx"/>
              </w:rPr>
            </w:pPr>
            <w:r w:rsidRPr="00B05F62">
              <w:rPr>
                <w:rFonts w:ascii="AcadNusx" w:hAnsi="AcadNusx"/>
              </w:rPr>
              <w:t>248</w:t>
            </w:r>
          </w:p>
        </w:tc>
      </w:tr>
      <w:tr w:rsidR="00EA3205" w:rsidRPr="00B05F62" w14:paraId="5AEC71D1"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43607F8B"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6809E065" w14:textId="77777777" w:rsidR="00EA3205" w:rsidRPr="00B05F62" w:rsidRDefault="00EA3205" w:rsidP="00EA3205">
            <w:pPr>
              <w:rPr>
                <w:rFonts w:ascii="AcadNusx" w:hAnsi="AcadNusx"/>
              </w:rPr>
            </w:pPr>
            <w:r w:rsidRPr="00B05F62">
              <w:rPr>
                <w:rFonts w:ascii="AcadNusx" w:hAnsi="AcadNusx"/>
              </w:rPr>
              <w:t>20+535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DF267EB" w14:textId="77777777" w:rsidR="00EA3205" w:rsidRPr="00B05F62" w:rsidRDefault="00EA3205" w:rsidP="00EA3205">
            <w:pPr>
              <w:rPr>
                <w:rFonts w:ascii="AcadNusx" w:hAnsi="AcadNusx"/>
              </w:rPr>
            </w:pPr>
            <w:r w:rsidRPr="00B05F62">
              <w:rPr>
                <w:rFonts w:ascii="AcadNusx" w:hAnsi="AcadNusx"/>
              </w:rPr>
              <w:t>20+645</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37898B6C"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2B67B09"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D9AE914" w14:textId="77777777" w:rsidR="00EA3205" w:rsidRPr="00B05F62" w:rsidRDefault="00EA3205" w:rsidP="00EA3205">
            <w:pPr>
              <w:rPr>
                <w:rFonts w:ascii="AcadNusx" w:hAnsi="AcadNusx"/>
              </w:rPr>
            </w:pPr>
            <w:r w:rsidRPr="00B05F62">
              <w:rPr>
                <w:rFonts w:ascii="AcadNusx" w:hAnsi="AcadNusx"/>
              </w:rPr>
              <w:t>110</w:t>
            </w:r>
          </w:p>
        </w:tc>
      </w:tr>
      <w:tr w:rsidR="00EA3205" w:rsidRPr="00B05F62" w14:paraId="02FC7D20"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3BD738B1"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4AA6A901" w14:textId="77777777" w:rsidR="00EA3205" w:rsidRPr="00B05F62" w:rsidRDefault="00EA3205" w:rsidP="00EA3205">
            <w:pPr>
              <w:rPr>
                <w:rFonts w:ascii="AcadNusx" w:hAnsi="AcadNusx"/>
              </w:rPr>
            </w:pPr>
            <w:r w:rsidRPr="00B05F62">
              <w:rPr>
                <w:rFonts w:ascii="AcadNusx" w:hAnsi="AcadNusx"/>
              </w:rPr>
              <w:t>21+812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6AE68DF" w14:textId="77777777" w:rsidR="00EA3205" w:rsidRPr="00B05F62" w:rsidRDefault="00EA3205" w:rsidP="00EA3205">
            <w:pPr>
              <w:rPr>
                <w:rFonts w:ascii="AcadNusx" w:hAnsi="AcadNusx"/>
              </w:rPr>
            </w:pPr>
            <w:r w:rsidRPr="00B05F62">
              <w:rPr>
                <w:rFonts w:ascii="AcadNusx" w:hAnsi="AcadNusx"/>
              </w:rPr>
              <w:t>21+960</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1BFA273A"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66BFAB6B"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2200F6C" w14:textId="77777777" w:rsidR="00EA3205" w:rsidRPr="00B05F62" w:rsidRDefault="00EA3205" w:rsidP="00EA3205">
            <w:pPr>
              <w:rPr>
                <w:rFonts w:ascii="AcadNusx" w:hAnsi="AcadNusx"/>
              </w:rPr>
            </w:pPr>
            <w:r w:rsidRPr="00B05F62">
              <w:rPr>
                <w:rFonts w:ascii="AcadNusx" w:hAnsi="AcadNusx"/>
              </w:rPr>
              <w:t>148</w:t>
            </w:r>
          </w:p>
        </w:tc>
      </w:tr>
      <w:tr w:rsidR="00EA3205" w:rsidRPr="00B05F62" w14:paraId="252DF32C"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2B58F4C4"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0EB2C944" w14:textId="77777777" w:rsidR="00EA3205" w:rsidRPr="00B05F62" w:rsidRDefault="00EA3205" w:rsidP="00EA3205">
            <w:pPr>
              <w:rPr>
                <w:rFonts w:ascii="AcadNusx" w:hAnsi="AcadNusx"/>
              </w:rPr>
            </w:pPr>
            <w:r w:rsidRPr="00B05F62">
              <w:rPr>
                <w:rFonts w:ascii="AcadNusx" w:hAnsi="AcadNusx"/>
              </w:rPr>
              <w:t>23+485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BDFF9CF" w14:textId="77777777" w:rsidR="00EA3205" w:rsidRPr="00B05F62" w:rsidRDefault="00EA3205" w:rsidP="00EA3205">
            <w:pPr>
              <w:rPr>
                <w:rFonts w:ascii="AcadNusx" w:hAnsi="AcadNusx"/>
              </w:rPr>
            </w:pPr>
            <w:r w:rsidRPr="00B05F62">
              <w:rPr>
                <w:rFonts w:ascii="AcadNusx" w:hAnsi="AcadNusx"/>
              </w:rPr>
              <w:t>23+658</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5A7F7EAC"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682B6BB7"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4D04683" w14:textId="77777777" w:rsidR="00EA3205" w:rsidRPr="00B05F62" w:rsidRDefault="00EA3205" w:rsidP="00EA3205">
            <w:pPr>
              <w:rPr>
                <w:rFonts w:ascii="AcadNusx" w:hAnsi="AcadNusx"/>
              </w:rPr>
            </w:pPr>
            <w:r w:rsidRPr="00B05F62">
              <w:rPr>
                <w:rFonts w:ascii="AcadNusx" w:hAnsi="AcadNusx"/>
              </w:rPr>
              <w:t>173</w:t>
            </w:r>
          </w:p>
        </w:tc>
      </w:tr>
      <w:tr w:rsidR="00EA3205" w:rsidRPr="00B05F62" w14:paraId="0B53ECCE"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6ED6A1D1"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3B0AD007" w14:textId="77777777" w:rsidR="00EA3205" w:rsidRPr="00B05F62" w:rsidRDefault="00EA3205" w:rsidP="00EA3205">
            <w:pPr>
              <w:rPr>
                <w:rFonts w:ascii="AcadNusx" w:hAnsi="AcadNusx"/>
              </w:rPr>
            </w:pPr>
            <w:r w:rsidRPr="00B05F62">
              <w:rPr>
                <w:rFonts w:ascii="AcadNusx" w:hAnsi="AcadNusx"/>
              </w:rPr>
              <w:t>25+292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8DB752F" w14:textId="77777777" w:rsidR="00EA3205" w:rsidRPr="00B05F62" w:rsidRDefault="00EA3205" w:rsidP="00EA3205">
            <w:pPr>
              <w:rPr>
                <w:rFonts w:ascii="AcadNusx" w:hAnsi="AcadNusx"/>
              </w:rPr>
            </w:pPr>
            <w:r w:rsidRPr="00B05F62">
              <w:rPr>
                <w:rFonts w:ascii="AcadNusx" w:hAnsi="AcadNusx"/>
              </w:rPr>
              <w:t>25+902</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062B6159"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9423B91"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0CF41846" w14:textId="77777777" w:rsidR="00EA3205" w:rsidRPr="00B05F62" w:rsidRDefault="00EA3205" w:rsidP="00EA3205">
            <w:pPr>
              <w:rPr>
                <w:rFonts w:ascii="AcadNusx" w:hAnsi="AcadNusx"/>
              </w:rPr>
            </w:pPr>
            <w:r w:rsidRPr="00B05F62">
              <w:rPr>
                <w:rFonts w:ascii="AcadNusx" w:hAnsi="AcadNusx"/>
              </w:rPr>
              <w:t>610</w:t>
            </w:r>
          </w:p>
        </w:tc>
      </w:tr>
      <w:tr w:rsidR="00EA3205" w:rsidRPr="00B05F62" w14:paraId="07E10071"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2DB0573B"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610F3558" w14:textId="77777777" w:rsidR="00EA3205" w:rsidRPr="00B05F62" w:rsidRDefault="00EA3205" w:rsidP="00EA3205">
            <w:pPr>
              <w:rPr>
                <w:rFonts w:ascii="AcadNusx" w:hAnsi="AcadNusx"/>
              </w:rPr>
            </w:pPr>
            <w:r w:rsidRPr="00B05F62">
              <w:rPr>
                <w:rFonts w:ascii="AcadNusx" w:hAnsi="AcadNusx"/>
              </w:rPr>
              <w:t>26+029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F7E52AD" w14:textId="77777777" w:rsidR="00EA3205" w:rsidRPr="00B05F62" w:rsidRDefault="00EA3205" w:rsidP="00EA3205">
            <w:pPr>
              <w:rPr>
                <w:rFonts w:ascii="AcadNusx" w:hAnsi="AcadNusx"/>
              </w:rPr>
            </w:pPr>
            <w:r w:rsidRPr="00B05F62">
              <w:rPr>
                <w:rFonts w:ascii="AcadNusx" w:hAnsi="AcadNusx"/>
              </w:rPr>
              <w:t>26+376</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4C368B4B"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638A8AEB"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5004EEF" w14:textId="77777777" w:rsidR="00EA3205" w:rsidRPr="00B05F62" w:rsidRDefault="00EA3205" w:rsidP="00EA3205">
            <w:pPr>
              <w:rPr>
                <w:rFonts w:ascii="AcadNusx" w:hAnsi="AcadNusx"/>
              </w:rPr>
            </w:pPr>
            <w:r w:rsidRPr="00B05F62">
              <w:rPr>
                <w:rFonts w:ascii="AcadNusx" w:hAnsi="AcadNusx"/>
              </w:rPr>
              <w:t>347</w:t>
            </w:r>
          </w:p>
        </w:tc>
      </w:tr>
      <w:tr w:rsidR="00EA3205" w:rsidRPr="00B05F62" w14:paraId="1C6AAA96"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5DDAABD1"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28FE56AE" w14:textId="77777777" w:rsidR="00EA3205" w:rsidRPr="00B05F62" w:rsidRDefault="00EA3205" w:rsidP="00EA3205">
            <w:pPr>
              <w:rPr>
                <w:rFonts w:ascii="AcadNusx" w:hAnsi="AcadNusx"/>
              </w:rPr>
            </w:pPr>
            <w:r w:rsidRPr="00B05F62">
              <w:rPr>
                <w:rFonts w:ascii="AcadNusx" w:hAnsi="AcadNusx"/>
              </w:rPr>
              <w:t>27+490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0501E50" w14:textId="77777777" w:rsidR="00EA3205" w:rsidRPr="00B05F62" w:rsidRDefault="00EA3205" w:rsidP="00EA3205">
            <w:pPr>
              <w:rPr>
                <w:rFonts w:ascii="AcadNusx" w:hAnsi="AcadNusx"/>
              </w:rPr>
            </w:pPr>
            <w:r w:rsidRPr="00B05F62">
              <w:rPr>
                <w:rFonts w:ascii="AcadNusx" w:hAnsi="AcadNusx"/>
              </w:rPr>
              <w:t>27+861</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5CA7B961"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297FA1AB"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069F863" w14:textId="77777777" w:rsidR="00EA3205" w:rsidRPr="00B05F62" w:rsidRDefault="00EA3205" w:rsidP="00EA3205">
            <w:pPr>
              <w:rPr>
                <w:rFonts w:ascii="AcadNusx" w:hAnsi="AcadNusx"/>
              </w:rPr>
            </w:pPr>
            <w:r w:rsidRPr="00B05F62">
              <w:rPr>
                <w:rFonts w:ascii="AcadNusx" w:hAnsi="AcadNusx"/>
              </w:rPr>
              <w:t>371</w:t>
            </w:r>
          </w:p>
        </w:tc>
      </w:tr>
      <w:tr w:rsidR="00EA3205" w:rsidRPr="00B05F62" w14:paraId="2D79B34C"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431EEDF2"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149B3243"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0E3E38C"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619D35F8" w14:textId="77777777" w:rsidR="00EA3205" w:rsidRPr="00B05F62" w:rsidRDefault="00EA3205" w:rsidP="00EA3205">
            <w:pPr>
              <w:rPr>
                <w:rFonts w:ascii="AcadNusx" w:hAnsi="AcadNusx"/>
              </w:rPr>
            </w:pPr>
            <w:r w:rsidRPr="00B05F62">
              <w:rPr>
                <w:rFonts w:ascii="AcadNusx" w:hAnsi="AcadNusx"/>
              </w:rPr>
              <w:t>27+552</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672C4934" w14:textId="77777777" w:rsidR="00EA3205" w:rsidRPr="00B05F62" w:rsidRDefault="00EA3205" w:rsidP="00EA3205">
            <w:pPr>
              <w:rPr>
                <w:rFonts w:ascii="AcadNusx" w:hAnsi="AcadNusx"/>
              </w:rPr>
            </w:pPr>
            <w:r w:rsidRPr="00B05F62">
              <w:rPr>
                <w:rFonts w:ascii="AcadNusx" w:hAnsi="AcadNusx"/>
              </w:rPr>
              <w:t>27+738</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9012F20" w14:textId="77777777" w:rsidR="00EA3205" w:rsidRPr="00B05F62" w:rsidRDefault="00EA3205" w:rsidP="00EA3205">
            <w:pPr>
              <w:rPr>
                <w:rFonts w:ascii="AcadNusx" w:hAnsi="AcadNusx"/>
              </w:rPr>
            </w:pPr>
            <w:r w:rsidRPr="00B05F62">
              <w:rPr>
                <w:rFonts w:ascii="AcadNusx" w:hAnsi="AcadNusx"/>
              </w:rPr>
              <w:t>186</w:t>
            </w:r>
          </w:p>
        </w:tc>
      </w:tr>
      <w:tr w:rsidR="00EA3205" w:rsidRPr="00B05F62" w14:paraId="341F6C79"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30E027D4"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2264B2DB" w14:textId="77777777" w:rsidR="00EA3205" w:rsidRPr="00B05F62" w:rsidRDefault="00EA3205" w:rsidP="00EA3205">
            <w:pPr>
              <w:rPr>
                <w:rFonts w:ascii="AcadNusx" w:hAnsi="AcadNusx"/>
              </w:rPr>
            </w:pPr>
            <w:r w:rsidRPr="00B05F62">
              <w:rPr>
                <w:rFonts w:ascii="AcadNusx" w:hAnsi="AcadNusx"/>
              </w:rPr>
              <w:t>28+001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C2E2FF0" w14:textId="77777777" w:rsidR="00EA3205" w:rsidRPr="00B05F62" w:rsidRDefault="00EA3205" w:rsidP="00EA3205">
            <w:pPr>
              <w:rPr>
                <w:rFonts w:ascii="AcadNusx" w:hAnsi="AcadNusx"/>
              </w:rPr>
            </w:pPr>
            <w:r w:rsidRPr="00B05F62">
              <w:rPr>
                <w:rFonts w:ascii="AcadNusx" w:hAnsi="AcadNusx"/>
              </w:rPr>
              <w:t>28+186</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62F1BC63"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6ED516A0"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FD1F135" w14:textId="77777777" w:rsidR="00EA3205" w:rsidRPr="00B05F62" w:rsidRDefault="00EA3205" w:rsidP="00EA3205">
            <w:pPr>
              <w:rPr>
                <w:rFonts w:ascii="AcadNusx" w:hAnsi="AcadNusx"/>
              </w:rPr>
            </w:pPr>
            <w:r w:rsidRPr="00B05F62">
              <w:rPr>
                <w:rFonts w:ascii="AcadNusx" w:hAnsi="AcadNusx"/>
              </w:rPr>
              <w:t>185</w:t>
            </w:r>
          </w:p>
        </w:tc>
      </w:tr>
      <w:tr w:rsidR="00EA3205" w:rsidRPr="00B05F62" w14:paraId="6FE0C2E8"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34913F4A" w14:textId="77777777" w:rsidR="00EA3205" w:rsidRPr="00B05F62" w:rsidRDefault="00EA3205" w:rsidP="00EA3205">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4335D1D9" w14:textId="77777777" w:rsidR="00EA3205" w:rsidRPr="00B05F62" w:rsidRDefault="00EA3205" w:rsidP="00EA3205">
            <w:pPr>
              <w:rPr>
                <w:rFonts w:ascii="AcadNusx" w:hAnsi="AcadNusx"/>
              </w:rPr>
            </w:pPr>
            <w:r w:rsidRPr="00B05F62">
              <w:rPr>
                <w:rFonts w:ascii="AcadNusx" w:hAnsi="AcadNusx"/>
              </w:rPr>
              <w:t>32+402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2C0551E" w14:textId="77777777" w:rsidR="00EA3205" w:rsidRPr="00B05F62" w:rsidRDefault="00EA3205" w:rsidP="00EA3205">
            <w:pPr>
              <w:rPr>
                <w:rFonts w:ascii="AcadNusx" w:hAnsi="AcadNusx"/>
              </w:rPr>
            </w:pPr>
            <w:r w:rsidRPr="00B05F62">
              <w:rPr>
                <w:rFonts w:ascii="AcadNusx" w:hAnsi="AcadNusx"/>
              </w:rPr>
              <w:t>32+762</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278E06DD"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0EAA1126"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D60A683" w14:textId="77777777" w:rsidR="00EA3205" w:rsidRPr="00B05F62" w:rsidRDefault="00EA3205" w:rsidP="00EA3205">
            <w:pPr>
              <w:rPr>
                <w:rFonts w:ascii="AcadNusx" w:hAnsi="AcadNusx"/>
              </w:rPr>
            </w:pPr>
            <w:r w:rsidRPr="00B05F62">
              <w:rPr>
                <w:rFonts w:ascii="AcadNusx" w:hAnsi="AcadNusx"/>
              </w:rPr>
              <w:t>360</w:t>
            </w:r>
          </w:p>
        </w:tc>
      </w:tr>
      <w:tr w:rsidR="00EA3205" w:rsidRPr="00B05F62" w14:paraId="009C2408"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1CA23DE3" w14:textId="77777777" w:rsidR="00EA3205" w:rsidRPr="00B05F62" w:rsidRDefault="00EA3205" w:rsidP="00EA3205">
            <w:pPr>
              <w:rPr>
                <w:rFonts w:ascii="AcadNusx" w:hAnsi="AcadNusx"/>
              </w:rPr>
            </w:pPr>
            <w:r w:rsidRPr="00B05F62">
              <w:rPr>
                <w:rFonts w:ascii="AcadNusx" w:hAnsi="AcadNusx"/>
              </w:rPr>
              <w:lastRenderedPageBreak/>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172CEDD5"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1ACB8FB"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4A413C4A" w14:textId="77777777" w:rsidR="00EA3205" w:rsidRPr="00B05F62" w:rsidRDefault="00EA3205" w:rsidP="00EA3205">
            <w:pPr>
              <w:rPr>
                <w:rFonts w:ascii="AcadNusx" w:hAnsi="AcadNusx"/>
              </w:rPr>
            </w:pPr>
            <w:r w:rsidRPr="00B05F62">
              <w:rPr>
                <w:rFonts w:ascii="AcadNusx" w:hAnsi="AcadNusx"/>
              </w:rPr>
              <w:t>32+665</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3B2CB2F" w14:textId="77777777" w:rsidR="00EA3205" w:rsidRPr="00B05F62" w:rsidRDefault="00EA3205" w:rsidP="00EA3205">
            <w:pPr>
              <w:rPr>
                <w:rFonts w:ascii="AcadNusx" w:hAnsi="AcadNusx"/>
              </w:rPr>
            </w:pPr>
            <w:r w:rsidRPr="00B05F62">
              <w:rPr>
                <w:rFonts w:ascii="AcadNusx" w:hAnsi="AcadNusx"/>
              </w:rPr>
              <w:t>32+713</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D299DEB" w14:textId="77777777" w:rsidR="00EA3205" w:rsidRPr="00B05F62" w:rsidRDefault="00EA3205" w:rsidP="00EA3205">
            <w:pPr>
              <w:rPr>
                <w:rFonts w:ascii="AcadNusx" w:hAnsi="AcadNusx"/>
              </w:rPr>
            </w:pPr>
            <w:r w:rsidRPr="00B05F62">
              <w:rPr>
                <w:rFonts w:ascii="AcadNusx" w:hAnsi="AcadNusx"/>
              </w:rPr>
              <w:t>48</w:t>
            </w:r>
          </w:p>
        </w:tc>
      </w:tr>
      <w:tr w:rsidR="00EA3205" w:rsidRPr="00B05F62" w14:paraId="41C5FFB8"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011EEA5A" w14:textId="77777777" w:rsidR="00EA3205" w:rsidRPr="00B05F62" w:rsidRDefault="00EA3205" w:rsidP="00EA3205">
            <w:pPr>
              <w:rPr>
                <w:rFonts w:ascii="AcadNusx" w:hAnsi="AcadNusx"/>
              </w:rPr>
            </w:pPr>
            <w:r w:rsidRPr="00B05F62">
              <w:rPr>
                <w:rFonts w:ascii="AcadNusx" w:hAnsi="AcadNusx"/>
              </w:rPr>
              <w:t>200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1A112EF4" w14:textId="77777777" w:rsidR="00EA3205" w:rsidRPr="00B05F62" w:rsidRDefault="00EA3205" w:rsidP="00EA3205">
            <w:pPr>
              <w:rPr>
                <w:rFonts w:ascii="AcadNusx" w:hAnsi="AcadNusx"/>
              </w:rPr>
            </w:pPr>
            <w:r w:rsidRPr="00B05F62">
              <w:rPr>
                <w:rFonts w:ascii="AcadNusx" w:hAnsi="AcadNusx"/>
              </w:rPr>
              <w:t>0+095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04304B8" w14:textId="77777777" w:rsidR="00EA3205" w:rsidRPr="00B05F62" w:rsidRDefault="00EA3205" w:rsidP="00EA3205">
            <w:pPr>
              <w:rPr>
                <w:rFonts w:ascii="AcadNusx" w:hAnsi="AcadNusx"/>
              </w:rPr>
            </w:pPr>
            <w:r w:rsidRPr="00B05F62">
              <w:rPr>
                <w:rFonts w:ascii="AcadNusx" w:hAnsi="AcadNusx"/>
              </w:rPr>
              <w:t>0+185</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4618C945"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FEE23A9"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DDAE668" w14:textId="77777777" w:rsidR="00EA3205" w:rsidRPr="00B05F62" w:rsidRDefault="00EA3205" w:rsidP="00EA3205">
            <w:pPr>
              <w:rPr>
                <w:rFonts w:ascii="AcadNusx" w:hAnsi="AcadNusx"/>
              </w:rPr>
            </w:pPr>
            <w:r w:rsidRPr="00B05F62">
              <w:rPr>
                <w:rFonts w:ascii="AcadNusx" w:hAnsi="AcadNusx"/>
              </w:rPr>
              <w:t>90</w:t>
            </w:r>
          </w:p>
        </w:tc>
      </w:tr>
      <w:tr w:rsidR="00EA3205" w:rsidRPr="00B05F62" w14:paraId="54A8F64B"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63F00AD0" w14:textId="77777777" w:rsidR="00EA3205" w:rsidRPr="00B05F62" w:rsidRDefault="00EA3205" w:rsidP="00EA3205">
            <w:pPr>
              <w:rPr>
                <w:rFonts w:ascii="AcadNusx" w:hAnsi="AcadNusx"/>
              </w:rPr>
            </w:pPr>
            <w:r w:rsidRPr="00B05F62">
              <w:rPr>
                <w:rFonts w:ascii="AcadNusx" w:hAnsi="AcadNusx"/>
              </w:rPr>
              <w:t>203</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0ADBA6A8"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7952D63"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20FAE4D7" w14:textId="77777777" w:rsidR="00EA3205" w:rsidRPr="00B05F62" w:rsidRDefault="00EA3205" w:rsidP="00EA3205">
            <w:pPr>
              <w:rPr>
                <w:rFonts w:ascii="AcadNusx" w:hAnsi="AcadNusx"/>
              </w:rPr>
            </w:pPr>
            <w:r w:rsidRPr="00B05F62">
              <w:rPr>
                <w:rFonts w:ascii="AcadNusx" w:hAnsi="AcadNusx"/>
              </w:rPr>
              <w:t>0+000</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5429D695" w14:textId="77777777" w:rsidR="00EA3205" w:rsidRPr="00B05F62" w:rsidRDefault="00EA3205" w:rsidP="00EA3205">
            <w:pPr>
              <w:rPr>
                <w:rFonts w:ascii="AcadNusx" w:hAnsi="AcadNusx"/>
              </w:rPr>
            </w:pPr>
            <w:r w:rsidRPr="00B05F62">
              <w:rPr>
                <w:rFonts w:ascii="AcadNusx" w:hAnsi="AcadNusx"/>
              </w:rPr>
              <w:t>0+172</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41A0119" w14:textId="77777777" w:rsidR="00EA3205" w:rsidRPr="00B05F62" w:rsidRDefault="00EA3205" w:rsidP="00EA3205">
            <w:pPr>
              <w:rPr>
                <w:rFonts w:ascii="AcadNusx" w:hAnsi="AcadNusx"/>
              </w:rPr>
            </w:pPr>
            <w:r w:rsidRPr="00B05F62">
              <w:rPr>
                <w:rFonts w:ascii="AcadNusx" w:hAnsi="AcadNusx"/>
              </w:rPr>
              <w:t>172</w:t>
            </w:r>
          </w:p>
        </w:tc>
      </w:tr>
      <w:tr w:rsidR="00EA3205" w:rsidRPr="00B05F62" w14:paraId="36403D1F"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70FD8FC2" w14:textId="77777777" w:rsidR="00EA3205" w:rsidRPr="00B05F62" w:rsidRDefault="00EA3205" w:rsidP="00EA3205">
            <w:pPr>
              <w:rPr>
                <w:rFonts w:ascii="AcadNusx" w:hAnsi="AcadNusx"/>
              </w:rPr>
            </w:pPr>
            <w:r w:rsidRPr="00B05F62">
              <w:rPr>
                <w:rFonts w:ascii="AcadNusx" w:hAnsi="AcadNusx"/>
              </w:rPr>
              <w:t>204</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4A80F0A0"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F9BFA5F"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2DE0FCF5" w14:textId="77777777" w:rsidR="00EA3205" w:rsidRPr="00B05F62" w:rsidRDefault="00EA3205" w:rsidP="00EA3205">
            <w:pPr>
              <w:rPr>
                <w:rFonts w:ascii="AcadNusx" w:hAnsi="AcadNusx"/>
              </w:rPr>
            </w:pPr>
            <w:r w:rsidRPr="00B05F62">
              <w:rPr>
                <w:rFonts w:ascii="AcadNusx" w:hAnsi="AcadNusx"/>
              </w:rPr>
              <w:t>0+110</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2B5512CE" w14:textId="77777777" w:rsidR="00EA3205" w:rsidRPr="00B05F62" w:rsidRDefault="00EA3205" w:rsidP="00EA3205">
            <w:pPr>
              <w:rPr>
                <w:rFonts w:ascii="AcadNusx" w:hAnsi="AcadNusx"/>
              </w:rPr>
            </w:pPr>
            <w:r w:rsidRPr="00B05F62">
              <w:rPr>
                <w:rFonts w:ascii="AcadNusx" w:hAnsi="AcadNusx"/>
              </w:rPr>
              <w:t>0+236</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9BF2D78" w14:textId="77777777" w:rsidR="00EA3205" w:rsidRPr="00B05F62" w:rsidRDefault="00EA3205" w:rsidP="00EA3205">
            <w:pPr>
              <w:rPr>
                <w:rFonts w:ascii="AcadNusx" w:hAnsi="AcadNusx"/>
              </w:rPr>
            </w:pPr>
            <w:r w:rsidRPr="00B05F62">
              <w:rPr>
                <w:rFonts w:ascii="AcadNusx" w:hAnsi="AcadNusx"/>
              </w:rPr>
              <w:t>126</w:t>
            </w:r>
          </w:p>
        </w:tc>
      </w:tr>
      <w:tr w:rsidR="00EA3205" w:rsidRPr="00B05F62" w14:paraId="0D1D62BF"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597590B9" w14:textId="77777777" w:rsidR="00EA3205" w:rsidRPr="00B05F62" w:rsidRDefault="00EA3205" w:rsidP="00EA3205">
            <w:pPr>
              <w:rPr>
                <w:rFonts w:ascii="AcadNusx" w:hAnsi="AcadNusx"/>
              </w:rPr>
            </w:pPr>
            <w:r w:rsidRPr="00B05F62">
              <w:rPr>
                <w:rFonts w:ascii="AcadNusx" w:hAnsi="AcadNusx"/>
              </w:rPr>
              <w:t>301</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0E3DE778"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7E5AD66"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413A14D8" w14:textId="77777777" w:rsidR="00EA3205" w:rsidRPr="00B05F62" w:rsidRDefault="00EA3205" w:rsidP="00EA3205">
            <w:pPr>
              <w:rPr>
                <w:rFonts w:ascii="AcadNusx" w:hAnsi="AcadNusx"/>
              </w:rPr>
            </w:pPr>
            <w:r w:rsidRPr="00B05F62">
              <w:rPr>
                <w:rFonts w:ascii="AcadNusx" w:hAnsi="AcadNusx"/>
              </w:rPr>
              <w:t>0+017</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6C3E86CC" w14:textId="77777777" w:rsidR="00EA3205" w:rsidRPr="00B05F62" w:rsidRDefault="00EA3205" w:rsidP="00EA3205">
            <w:pPr>
              <w:rPr>
                <w:rFonts w:ascii="AcadNusx" w:hAnsi="AcadNusx"/>
              </w:rPr>
            </w:pPr>
            <w:r w:rsidRPr="00B05F62">
              <w:rPr>
                <w:rFonts w:ascii="AcadNusx" w:hAnsi="AcadNusx"/>
              </w:rPr>
              <w:t>0+057</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5C62244" w14:textId="77777777" w:rsidR="00EA3205" w:rsidRPr="00B05F62" w:rsidRDefault="00EA3205" w:rsidP="00EA3205">
            <w:pPr>
              <w:rPr>
                <w:rFonts w:ascii="AcadNusx" w:hAnsi="AcadNusx"/>
              </w:rPr>
            </w:pPr>
            <w:r w:rsidRPr="00B05F62">
              <w:rPr>
                <w:rFonts w:ascii="AcadNusx" w:hAnsi="AcadNusx"/>
              </w:rPr>
              <w:t>40</w:t>
            </w:r>
          </w:p>
        </w:tc>
      </w:tr>
      <w:tr w:rsidR="00EA3205" w:rsidRPr="00B05F62" w14:paraId="7E681BBA"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3B61FD46" w14:textId="77777777" w:rsidR="00EA3205" w:rsidRPr="00B05F62" w:rsidRDefault="00EA3205" w:rsidP="00EA3205">
            <w:pPr>
              <w:rPr>
                <w:rFonts w:ascii="AcadNusx" w:hAnsi="AcadNusx"/>
              </w:rPr>
            </w:pPr>
            <w:r w:rsidRPr="00B05F62">
              <w:rPr>
                <w:rFonts w:ascii="AcadNusx" w:hAnsi="AcadNusx"/>
              </w:rPr>
              <w:t>302</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393E2FA3"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1B64573"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68932052" w14:textId="77777777" w:rsidR="00EA3205" w:rsidRPr="00B05F62" w:rsidRDefault="00EA3205" w:rsidP="00EA3205">
            <w:pPr>
              <w:rPr>
                <w:rFonts w:ascii="AcadNusx" w:hAnsi="AcadNusx"/>
              </w:rPr>
            </w:pPr>
            <w:r w:rsidRPr="00B05F62">
              <w:rPr>
                <w:rFonts w:ascii="AcadNusx" w:hAnsi="AcadNusx"/>
              </w:rPr>
              <w:t>0+210</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6F4BD7EE" w14:textId="77777777" w:rsidR="00EA3205" w:rsidRPr="00B05F62" w:rsidRDefault="00EA3205" w:rsidP="00EA3205">
            <w:pPr>
              <w:rPr>
                <w:rFonts w:ascii="AcadNusx" w:hAnsi="AcadNusx"/>
              </w:rPr>
            </w:pPr>
            <w:r w:rsidRPr="00B05F62">
              <w:rPr>
                <w:rFonts w:ascii="AcadNusx" w:hAnsi="AcadNusx"/>
              </w:rPr>
              <w:t>0+253</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BA7C61D" w14:textId="77777777" w:rsidR="00EA3205" w:rsidRPr="00B05F62" w:rsidRDefault="00EA3205" w:rsidP="00EA3205">
            <w:pPr>
              <w:rPr>
                <w:rFonts w:ascii="AcadNusx" w:hAnsi="AcadNusx"/>
              </w:rPr>
            </w:pPr>
            <w:r w:rsidRPr="00B05F62">
              <w:rPr>
                <w:rFonts w:ascii="AcadNusx" w:hAnsi="AcadNusx"/>
              </w:rPr>
              <w:t>43</w:t>
            </w:r>
          </w:p>
        </w:tc>
      </w:tr>
      <w:tr w:rsidR="00EA3205" w:rsidRPr="00B05F62" w14:paraId="434D6B6B"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7AFC9C90" w14:textId="77777777" w:rsidR="00EA3205" w:rsidRPr="00B05F62" w:rsidRDefault="00EA3205" w:rsidP="00EA3205">
            <w:pPr>
              <w:rPr>
                <w:rFonts w:ascii="AcadNusx" w:hAnsi="AcadNusx"/>
              </w:rPr>
            </w:pPr>
            <w:r w:rsidRPr="00B05F62">
              <w:rPr>
                <w:rFonts w:ascii="AcadNusx" w:hAnsi="AcadNusx"/>
              </w:rPr>
              <w:t>303</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480F3307"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A2570FB"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596C1411" w14:textId="77777777" w:rsidR="00EA3205" w:rsidRPr="00B05F62" w:rsidRDefault="00EA3205" w:rsidP="00EA3205">
            <w:pPr>
              <w:rPr>
                <w:rFonts w:ascii="AcadNusx" w:hAnsi="AcadNusx"/>
              </w:rPr>
            </w:pPr>
            <w:r w:rsidRPr="00B05F62">
              <w:rPr>
                <w:rFonts w:ascii="AcadNusx" w:hAnsi="AcadNusx"/>
              </w:rPr>
              <w:t>0+016</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224AA393" w14:textId="77777777" w:rsidR="00EA3205" w:rsidRPr="00B05F62" w:rsidRDefault="00EA3205" w:rsidP="00EA3205">
            <w:pPr>
              <w:rPr>
                <w:rFonts w:ascii="AcadNusx" w:hAnsi="AcadNusx"/>
              </w:rPr>
            </w:pPr>
            <w:r w:rsidRPr="00B05F62">
              <w:rPr>
                <w:rFonts w:ascii="AcadNusx" w:hAnsi="AcadNusx"/>
              </w:rPr>
              <w:t>0+051</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471F840" w14:textId="77777777" w:rsidR="00EA3205" w:rsidRPr="00B05F62" w:rsidRDefault="00EA3205" w:rsidP="00EA3205">
            <w:pPr>
              <w:rPr>
                <w:rFonts w:ascii="AcadNusx" w:hAnsi="AcadNusx"/>
              </w:rPr>
            </w:pPr>
            <w:r w:rsidRPr="00B05F62">
              <w:rPr>
                <w:rFonts w:ascii="AcadNusx" w:hAnsi="AcadNusx"/>
              </w:rPr>
              <w:t>35</w:t>
            </w:r>
          </w:p>
        </w:tc>
      </w:tr>
      <w:tr w:rsidR="00EA3205" w:rsidRPr="00B05F62" w14:paraId="6ADB07BE"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0C1EBC3E" w14:textId="77777777" w:rsidR="00EA3205" w:rsidRPr="00B05F62" w:rsidRDefault="00EA3205" w:rsidP="00EA3205">
            <w:pPr>
              <w:rPr>
                <w:rFonts w:ascii="AcadNusx" w:hAnsi="AcadNusx"/>
              </w:rPr>
            </w:pPr>
            <w:r w:rsidRPr="00B05F62">
              <w:rPr>
                <w:rFonts w:ascii="AcadNusx" w:hAnsi="AcadNusx"/>
              </w:rPr>
              <w:t>304</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12285E3C"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1B3D0C1"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5A5C555A" w14:textId="77777777" w:rsidR="00EA3205" w:rsidRPr="00B05F62" w:rsidRDefault="00EA3205" w:rsidP="00EA3205">
            <w:pPr>
              <w:rPr>
                <w:rFonts w:ascii="AcadNusx" w:hAnsi="AcadNusx"/>
              </w:rPr>
            </w:pPr>
            <w:r w:rsidRPr="00B05F62">
              <w:rPr>
                <w:rFonts w:ascii="AcadNusx" w:hAnsi="AcadNusx"/>
              </w:rPr>
              <w:t>0+168</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23434459" w14:textId="77777777" w:rsidR="00EA3205" w:rsidRPr="00B05F62" w:rsidRDefault="00EA3205" w:rsidP="00EA3205">
            <w:pPr>
              <w:rPr>
                <w:rFonts w:ascii="AcadNusx" w:hAnsi="AcadNusx"/>
              </w:rPr>
            </w:pPr>
            <w:r w:rsidRPr="00B05F62">
              <w:rPr>
                <w:rFonts w:ascii="AcadNusx" w:hAnsi="AcadNusx"/>
              </w:rPr>
              <w:t>0+273</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6A1DE53" w14:textId="77777777" w:rsidR="00EA3205" w:rsidRPr="00B05F62" w:rsidRDefault="00EA3205" w:rsidP="00EA3205">
            <w:pPr>
              <w:rPr>
                <w:rFonts w:ascii="AcadNusx" w:hAnsi="AcadNusx"/>
              </w:rPr>
            </w:pPr>
            <w:r w:rsidRPr="00B05F62">
              <w:rPr>
                <w:rFonts w:ascii="AcadNusx" w:hAnsi="AcadNusx"/>
              </w:rPr>
              <w:t>105</w:t>
            </w:r>
          </w:p>
        </w:tc>
      </w:tr>
      <w:tr w:rsidR="00EA3205" w:rsidRPr="00B05F62" w14:paraId="1FB1CA59"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6FC4EBF2" w14:textId="77777777" w:rsidR="00EA3205" w:rsidRPr="00B05F62" w:rsidRDefault="00EA3205" w:rsidP="00EA3205">
            <w:pPr>
              <w:rPr>
                <w:rFonts w:ascii="AcadNusx" w:hAnsi="AcadNusx"/>
              </w:rPr>
            </w:pPr>
            <w:r w:rsidRPr="00B05F62">
              <w:rPr>
                <w:rFonts w:ascii="AcadNusx" w:hAnsi="AcadNusx"/>
              </w:rPr>
              <w:t>403</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709CA0B7"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3CE8BC9"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65D568DF" w14:textId="77777777" w:rsidR="00EA3205" w:rsidRPr="00B05F62" w:rsidRDefault="00EA3205" w:rsidP="00EA3205">
            <w:pPr>
              <w:rPr>
                <w:rFonts w:ascii="AcadNusx" w:hAnsi="AcadNusx"/>
              </w:rPr>
            </w:pPr>
            <w:r w:rsidRPr="00B05F62">
              <w:rPr>
                <w:rFonts w:ascii="AcadNusx" w:hAnsi="AcadNusx"/>
              </w:rPr>
              <w:t>0+007</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7251E75" w14:textId="77777777" w:rsidR="00EA3205" w:rsidRPr="00B05F62" w:rsidRDefault="00EA3205" w:rsidP="00EA3205">
            <w:pPr>
              <w:rPr>
                <w:rFonts w:ascii="AcadNusx" w:hAnsi="AcadNusx"/>
              </w:rPr>
            </w:pPr>
            <w:r w:rsidRPr="00B05F62">
              <w:rPr>
                <w:rFonts w:ascii="AcadNusx" w:hAnsi="AcadNusx"/>
              </w:rPr>
              <w:t>0+068</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60E5A79" w14:textId="77777777" w:rsidR="00EA3205" w:rsidRPr="00B05F62" w:rsidRDefault="00EA3205" w:rsidP="00EA3205">
            <w:pPr>
              <w:rPr>
                <w:rFonts w:ascii="AcadNusx" w:hAnsi="AcadNusx"/>
              </w:rPr>
            </w:pPr>
            <w:r w:rsidRPr="00B05F62">
              <w:rPr>
                <w:rFonts w:ascii="AcadNusx" w:hAnsi="AcadNusx"/>
              </w:rPr>
              <w:t>61</w:t>
            </w:r>
          </w:p>
        </w:tc>
      </w:tr>
      <w:tr w:rsidR="00EA3205" w:rsidRPr="00B05F62" w14:paraId="734456FB"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02AC6B83" w14:textId="77777777" w:rsidR="00EA3205" w:rsidRPr="00B05F62" w:rsidRDefault="00EA3205" w:rsidP="00EA3205">
            <w:pPr>
              <w:rPr>
                <w:rFonts w:ascii="AcadNusx" w:hAnsi="AcadNusx"/>
              </w:rPr>
            </w:pPr>
            <w:r w:rsidRPr="00B05F62">
              <w:rPr>
                <w:rFonts w:ascii="AcadNusx" w:hAnsi="AcadNusx"/>
              </w:rPr>
              <w:t>404</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2BA53664"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C245DD6"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1A30E4D6" w14:textId="77777777" w:rsidR="00EA3205" w:rsidRPr="00B05F62" w:rsidRDefault="00EA3205" w:rsidP="00EA3205">
            <w:pPr>
              <w:rPr>
                <w:rFonts w:ascii="AcadNusx" w:hAnsi="AcadNusx"/>
              </w:rPr>
            </w:pPr>
            <w:r w:rsidRPr="00B05F62">
              <w:rPr>
                <w:rFonts w:ascii="AcadNusx" w:hAnsi="AcadNusx"/>
              </w:rPr>
              <w:t>0+157</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60C7B697" w14:textId="77777777" w:rsidR="00EA3205" w:rsidRPr="00B05F62" w:rsidRDefault="00EA3205" w:rsidP="00EA3205">
            <w:pPr>
              <w:rPr>
                <w:rFonts w:ascii="AcadNusx" w:hAnsi="AcadNusx"/>
              </w:rPr>
            </w:pPr>
            <w:r w:rsidRPr="00B05F62">
              <w:rPr>
                <w:rFonts w:ascii="AcadNusx" w:hAnsi="AcadNusx"/>
              </w:rPr>
              <w:t>0+209</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8B49851" w14:textId="77777777" w:rsidR="00EA3205" w:rsidRPr="00B05F62" w:rsidRDefault="00EA3205" w:rsidP="00EA3205">
            <w:pPr>
              <w:rPr>
                <w:rFonts w:ascii="AcadNusx" w:hAnsi="AcadNusx"/>
              </w:rPr>
            </w:pPr>
            <w:r w:rsidRPr="00B05F62">
              <w:rPr>
                <w:rFonts w:ascii="AcadNusx" w:hAnsi="AcadNusx"/>
              </w:rPr>
              <w:t>52</w:t>
            </w:r>
          </w:p>
        </w:tc>
      </w:tr>
      <w:tr w:rsidR="00EA3205" w:rsidRPr="00B05F62" w14:paraId="52867F61"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1FC9C92E" w14:textId="77777777" w:rsidR="00EA3205" w:rsidRPr="00B05F62" w:rsidRDefault="00EA3205" w:rsidP="00EA3205">
            <w:pPr>
              <w:rPr>
                <w:rFonts w:ascii="AcadNusx" w:hAnsi="AcadNusx"/>
              </w:rPr>
            </w:pPr>
            <w:r w:rsidRPr="00B05F62">
              <w:rPr>
                <w:rFonts w:ascii="AcadNusx" w:hAnsi="AcadNusx"/>
              </w:rPr>
              <w:t>405</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1B37B611" w14:textId="77777777" w:rsidR="00EA3205" w:rsidRPr="00B05F62" w:rsidRDefault="00EA3205" w:rsidP="00EA3205">
            <w:pPr>
              <w:rPr>
                <w:rFonts w:ascii="AcadNusx" w:hAnsi="AcadNusx"/>
              </w:rPr>
            </w:pPr>
            <w:r w:rsidRPr="00B05F62">
              <w:rPr>
                <w:rFonts w:ascii="AcadNusx" w:hAnsi="AcadNusx"/>
              </w:rPr>
              <w:t>0+008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350612C" w14:textId="77777777" w:rsidR="00EA3205" w:rsidRPr="00B05F62" w:rsidRDefault="00EA3205" w:rsidP="00EA3205">
            <w:pPr>
              <w:rPr>
                <w:rFonts w:ascii="AcadNusx" w:hAnsi="AcadNusx"/>
              </w:rPr>
            </w:pPr>
            <w:r w:rsidRPr="00B05F62">
              <w:rPr>
                <w:rFonts w:ascii="AcadNusx" w:hAnsi="AcadNusx"/>
              </w:rPr>
              <w:t>0+075</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7DACBB42"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6698D0DB"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0F914165" w14:textId="77777777" w:rsidR="00EA3205" w:rsidRPr="00B05F62" w:rsidRDefault="00EA3205" w:rsidP="00EA3205">
            <w:pPr>
              <w:rPr>
                <w:rFonts w:ascii="AcadNusx" w:hAnsi="AcadNusx"/>
              </w:rPr>
            </w:pPr>
            <w:r w:rsidRPr="00B05F62">
              <w:rPr>
                <w:rFonts w:ascii="AcadNusx" w:hAnsi="AcadNusx"/>
              </w:rPr>
              <w:t>67</w:t>
            </w:r>
          </w:p>
        </w:tc>
      </w:tr>
      <w:tr w:rsidR="00EA3205" w:rsidRPr="00B05F62" w14:paraId="5FFCFF66"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0CD19537" w14:textId="77777777" w:rsidR="00EA3205" w:rsidRPr="00B05F62" w:rsidRDefault="00EA3205" w:rsidP="00EA3205">
            <w:pPr>
              <w:rPr>
                <w:rFonts w:ascii="AcadNusx" w:hAnsi="AcadNusx"/>
              </w:rPr>
            </w:pPr>
            <w:r w:rsidRPr="00B05F62">
              <w:rPr>
                <w:rFonts w:ascii="AcadNusx" w:hAnsi="AcadNusx"/>
              </w:rPr>
              <w:t>505</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5F5624D0" w14:textId="77777777" w:rsidR="00EA3205" w:rsidRPr="00B05F62" w:rsidRDefault="00EA3205" w:rsidP="00EA3205">
            <w:pPr>
              <w:rPr>
                <w:rFonts w:ascii="AcadNusx" w:hAnsi="AcadNusx"/>
              </w:rPr>
            </w:pPr>
            <w:r w:rsidRPr="00B05F62">
              <w:rPr>
                <w:rFonts w:ascii="AcadNusx" w:hAnsi="AcadNusx"/>
              </w:rPr>
              <w:t>0+002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6CF247F" w14:textId="77777777" w:rsidR="00EA3205" w:rsidRPr="00B05F62" w:rsidRDefault="00EA3205" w:rsidP="00EA3205">
            <w:pPr>
              <w:rPr>
                <w:rFonts w:ascii="AcadNusx" w:hAnsi="AcadNusx"/>
              </w:rPr>
            </w:pPr>
            <w:r w:rsidRPr="00B05F62">
              <w:rPr>
                <w:rFonts w:ascii="AcadNusx" w:hAnsi="AcadNusx"/>
              </w:rPr>
              <w:t>0+038</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53B7C2F3"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BBEC190"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014909E" w14:textId="77777777" w:rsidR="00EA3205" w:rsidRPr="00B05F62" w:rsidRDefault="00EA3205" w:rsidP="00EA3205">
            <w:pPr>
              <w:rPr>
                <w:rFonts w:ascii="AcadNusx" w:hAnsi="AcadNusx"/>
              </w:rPr>
            </w:pPr>
            <w:r w:rsidRPr="00B05F62">
              <w:rPr>
                <w:rFonts w:ascii="AcadNusx" w:hAnsi="AcadNusx"/>
              </w:rPr>
              <w:t>36</w:t>
            </w:r>
          </w:p>
        </w:tc>
      </w:tr>
      <w:tr w:rsidR="00EA3205" w:rsidRPr="00B05F62" w14:paraId="47807759"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07DECB98" w14:textId="77777777" w:rsidR="00EA3205" w:rsidRPr="00B05F62" w:rsidRDefault="00EA3205" w:rsidP="00EA3205">
            <w:pPr>
              <w:rPr>
                <w:rFonts w:ascii="AcadNusx" w:hAnsi="AcadNusx"/>
              </w:rPr>
            </w:pPr>
            <w:r w:rsidRPr="00B05F62">
              <w:rPr>
                <w:rFonts w:ascii="AcadNusx" w:hAnsi="AcadNusx"/>
              </w:rPr>
              <w:t>506</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09352A0A" w14:textId="77777777" w:rsidR="00EA3205" w:rsidRPr="00B05F62" w:rsidRDefault="00EA3205" w:rsidP="00EA3205">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79A6E5D" w14:textId="77777777" w:rsidR="00EA3205" w:rsidRPr="00B05F62" w:rsidRDefault="00EA3205" w:rsidP="00EA3205">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5A88D07B" w14:textId="77777777" w:rsidR="00EA3205" w:rsidRPr="00B05F62" w:rsidRDefault="00EA3205" w:rsidP="00EA3205">
            <w:pPr>
              <w:rPr>
                <w:rFonts w:ascii="AcadNusx" w:hAnsi="AcadNusx"/>
              </w:rPr>
            </w:pPr>
            <w:r w:rsidRPr="00B05F62">
              <w:rPr>
                <w:rFonts w:ascii="AcadNusx" w:hAnsi="AcadNusx"/>
              </w:rPr>
              <w:t>0+006</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DB2F1B3" w14:textId="77777777" w:rsidR="00EA3205" w:rsidRPr="00B05F62" w:rsidRDefault="00EA3205" w:rsidP="00EA3205">
            <w:pPr>
              <w:rPr>
                <w:rFonts w:ascii="AcadNusx" w:hAnsi="AcadNusx"/>
              </w:rPr>
            </w:pPr>
            <w:r w:rsidRPr="00B05F62">
              <w:rPr>
                <w:rFonts w:ascii="AcadNusx" w:hAnsi="AcadNusx"/>
              </w:rPr>
              <w:t>0+148</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4EF32E5" w14:textId="77777777" w:rsidR="00EA3205" w:rsidRPr="00B05F62" w:rsidRDefault="00EA3205" w:rsidP="00EA3205">
            <w:pPr>
              <w:rPr>
                <w:rFonts w:ascii="AcadNusx" w:hAnsi="AcadNusx"/>
              </w:rPr>
            </w:pPr>
            <w:r w:rsidRPr="00B05F62">
              <w:rPr>
                <w:rFonts w:ascii="AcadNusx" w:hAnsi="AcadNusx"/>
              </w:rPr>
              <w:t>142</w:t>
            </w:r>
          </w:p>
        </w:tc>
      </w:tr>
      <w:tr w:rsidR="00EA3205" w:rsidRPr="00B05F62" w14:paraId="67BFFDD7" w14:textId="77777777" w:rsidTr="00F31A39">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266F6A59" w14:textId="77777777" w:rsidR="00EA3205" w:rsidRPr="00B05F62" w:rsidRDefault="00EA3205" w:rsidP="00EA3205">
            <w:pPr>
              <w:rPr>
                <w:rFonts w:ascii="AcadNusx" w:hAnsi="AcadNusx"/>
              </w:rPr>
            </w:pPr>
            <w:r w:rsidRPr="00B05F62">
              <w:rPr>
                <w:rFonts w:ascii="AcadNusx" w:hAnsi="AcadNusx"/>
              </w:rPr>
              <w:t>605</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1B4FAA15" w14:textId="77777777" w:rsidR="00EA3205" w:rsidRPr="00B05F62" w:rsidRDefault="00EA3205" w:rsidP="00EA3205">
            <w:pPr>
              <w:rPr>
                <w:rFonts w:ascii="AcadNusx" w:hAnsi="AcadNusx"/>
              </w:rPr>
            </w:pPr>
            <w:r w:rsidRPr="00B05F62">
              <w:rPr>
                <w:rFonts w:ascii="AcadNusx" w:hAnsi="AcadNusx"/>
              </w:rPr>
              <w:t>0+001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A3CA19F" w14:textId="77777777" w:rsidR="00EA3205" w:rsidRPr="00B05F62" w:rsidRDefault="00EA3205" w:rsidP="00EA3205">
            <w:pPr>
              <w:rPr>
                <w:rFonts w:ascii="AcadNusx" w:hAnsi="AcadNusx"/>
              </w:rPr>
            </w:pPr>
            <w:r w:rsidRPr="00B05F62">
              <w:rPr>
                <w:rFonts w:ascii="AcadNusx" w:hAnsi="AcadNusx"/>
              </w:rPr>
              <w:t>0+061</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6311413A"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28004090"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CB99CC5" w14:textId="77777777" w:rsidR="00EA3205" w:rsidRPr="00B05F62" w:rsidRDefault="00EA3205" w:rsidP="00EA3205">
            <w:pPr>
              <w:rPr>
                <w:rFonts w:ascii="AcadNusx" w:hAnsi="AcadNusx"/>
              </w:rPr>
            </w:pPr>
            <w:r w:rsidRPr="00B05F62">
              <w:rPr>
                <w:rFonts w:ascii="AcadNusx" w:hAnsi="AcadNusx"/>
              </w:rPr>
              <w:t>60</w:t>
            </w:r>
          </w:p>
        </w:tc>
      </w:tr>
      <w:tr w:rsidR="00EA3205" w:rsidRPr="00B05F62" w14:paraId="6A20F1DA" w14:textId="77777777" w:rsidTr="00F31A39">
        <w:trPr>
          <w:trHeight w:val="32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4B7A1DDC" w14:textId="77777777" w:rsidR="00EA3205" w:rsidRPr="00B05F62" w:rsidRDefault="00EA3205" w:rsidP="00EA3205">
            <w:pPr>
              <w:rPr>
                <w:rFonts w:ascii="AcadNusx" w:hAnsi="AcadNusx"/>
              </w:rPr>
            </w:pPr>
            <w:r w:rsidRPr="00B05F62">
              <w:rPr>
                <w:rFonts w:ascii="AcadNusx" w:hAnsi="AcadNusx"/>
              </w:rPr>
              <w:t>606</w:t>
            </w:r>
          </w:p>
        </w:tc>
        <w:tc>
          <w:tcPr>
            <w:tcW w:w="1133" w:type="dxa"/>
            <w:tcBorders>
              <w:top w:val="single" w:sz="4" w:space="0" w:color="auto"/>
              <w:left w:val="single" w:sz="4" w:space="0" w:color="auto"/>
              <w:bottom w:val="single" w:sz="4" w:space="0" w:color="auto"/>
              <w:right w:val="single" w:sz="4" w:space="0" w:color="auto"/>
            </w:tcBorders>
            <w:noWrap/>
            <w:vAlign w:val="center"/>
            <w:hideMark/>
          </w:tcPr>
          <w:p w14:paraId="26D86B52" w14:textId="77777777" w:rsidR="00EA3205" w:rsidRPr="00B05F62" w:rsidRDefault="00EA3205" w:rsidP="00EA3205">
            <w:pPr>
              <w:rPr>
                <w:rFonts w:ascii="AcadNusx" w:hAnsi="AcadNusx"/>
              </w:rPr>
            </w:pPr>
            <w:r w:rsidRPr="00B05F62">
              <w:rPr>
                <w:rFonts w:ascii="AcadNusx" w:hAnsi="AcadNusx"/>
              </w:rPr>
              <w:t>0+006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799FFEE" w14:textId="77777777" w:rsidR="00EA3205" w:rsidRPr="00B05F62" w:rsidRDefault="00EA3205" w:rsidP="00EA3205">
            <w:pPr>
              <w:rPr>
                <w:rFonts w:ascii="AcadNusx" w:hAnsi="AcadNusx"/>
              </w:rPr>
            </w:pPr>
            <w:r w:rsidRPr="00B05F62">
              <w:rPr>
                <w:rFonts w:ascii="AcadNusx" w:hAnsi="AcadNusx"/>
              </w:rPr>
              <w:t>0+144</w:t>
            </w:r>
          </w:p>
        </w:tc>
        <w:tc>
          <w:tcPr>
            <w:tcW w:w="950" w:type="dxa"/>
            <w:tcBorders>
              <w:top w:val="single" w:sz="4" w:space="0" w:color="auto"/>
              <w:left w:val="single" w:sz="4" w:space="0" w:color="auto"/>
              <w:bottom w:val="single" w:sz="4" w:space="0" w:color="auto"/>
              <w:right w:val="single" w:sz="4" w:space="0" w:color="auto"/>
            </w:tcBorders>
            <w:noWrap/>
            <w:vAlign w:val="center"/>
            <w:hideMark/>
          </w:tcPr>
          <w:p w14:paraId="49FC30D1" w14:textId="77777777" w:rsidR="00EA3205" w:rsidRPr="00B05F62" w:rsidRDefault="00EA3205" w:rsidP="00EA3205">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6AE99638" w14:textId="77777777" w:rsidR="00EA3205" w:rsidRPr="00B05F62" w:rsidRDefault="00EA3205" w:rsidP="00EA3205">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E34C973" w14:textId="77777777" w:rsidR="00EA3205" w:rsidRPr="00B05F62" w:rsidRDefault="00EA3205" w:rsidP="00EA3205">
            <w:pPr>
              <w:rPr>
                <w:rFonts w:ascii="AcadNusx" w:hAnsi="AcadNusx"/>
              </w:rPr>
            </w:pPr>
            <w:r w:rsidRPr="00B05F62">
              <w:rPr>
                <w:rFonts w:ascii="AcadNusx" w:hAnsi="AcadNusx"/>
              </w:rPr>
              <w:t>138</w:t>
            </w:r>
          </w:p>
        </w:tc>
      </w:tr>
      <w:tr w:rsidR="00EA3205" w:rsidRPr="00B05F62" w14:paraId="1BADC262" w14:textId="77777777" w:rsidTr="00F31A39">
        <w:trPr>
          <w:trHeight w:val="320"/>
        </w:trPr>
        <w:tc>
          <w:tcPr>
            <w:tcW w:w="8010" w:type="dxa"/>
            <w:gridSpan w:val="5"/>
            <w:tcBorders>
              <w:top w:val="single" w:sz="4" w:space="0" w:color="auto"/>
              <w:left w:val="single" w:sz="4" w:space="0" w:color="auto"/>
              <w:bottom w:val="single" w:sz="4" w:space="0" w:color="auto"/>
              <w:right w:val="single" w:sz="4" w:space="0" w:color="auto"/>
            </w:tcBorders>
            <w:noWrap/>
            <w:vAlign w:val="center"/>
            <w:hideMark/>
          </w:tcPr>
          <w:p w14:paraId="0CEB376D" w14:textId="0AA369D7" w:rsidR="00EA3205" w:rsidRPr="005C0EEC" w:rsidRDefault="005C0EEC" w:rsidP="00EA3205">
            <w:pPr>
              <w:rPr>
                <w:rFonts w:ascii="Sylfaen" w:hAnsi="Sylfaen" w:cs="Arial"/>
                <w:lang w:val="ka-GE"/>
              </w:rPr>
            </w:pPr>
            <w:r>
              <w:rPr>
                <w:rFonts w:ascii="Sylfaen" w:hAnsi="Sylfaen" w:cs="Arial"/>
                <w:lang w:val="ka-GE"/>
              </w:rPr>
              <w:t>მთლიანი სიგრძე</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6BA1469" w14:textId="77777777" w:rsidR="00EA3205" w:rsidRPr="00B05F62" w:rsidRDefault="00EA3205" w:rsidP="00EA3205">
            <w:pPr>
              <w:rPr>
                <w:rFonts w:ascii="AcadNusx" w:hAnsi="AcadNusx"/>
              </w:rPr>
            </w:pPr>
            <w:r w:rsidRPr="00B05F62">
              <w:rPr>
                <w:rFonts w:ascii="AcadNusx" w:hAnsi="AcadNusx"/>
              </w:rPr>
              <w:t>11,111</w:t>
            </w:r>
          </w:p>
        </w:tc>
      </w:tr>
    </w:tbl>
    <w:p w14:paraId="7406F2F4" w14:textId="77777777" w:rsidR="00EA3205" w:rsidRPr="00B05F62" w:rsidRDefault="00EA3205" w:rsidP="00EA3205">
      <w:pPr>
        <w:rPr>
          <w:rFonts w:ascii="AcadNusx" w:hAnsi="AcadNusx"/>
          <w:lang w:val="it-IT"/>
        </w:rPr>
      </w:pPr>
    </w:p>
    <w:p w14:paraId="49A3742D" w14:textId="4B229388" w:rsidR="00EA3205" w:rsidRPr="005C0EEC" w:rsidRDefault="00485FE3" w:rsidP="005C0EEC">
      <w:pPr>
        <w:pStyle w:val="EIAheading2"/>
        <w:rPr>
          <w:rFonts w:ascii="AcadNusx" w:hAnsi="AcadNusx"/>
        </w:rPr>
      </w:pPr>
      <w:bookmarkStart w:id="133" w:name="_Toc529411833"/>
      <w:bookmarkStart w:id="134" w:name="_Toc1581517"/>
      <w:r>
        <w:rPr>
          <w:rFonts w:ascii="Sylfaen" w:hAnsi="Sylfaen"/>
          <w:lang w:val="ka-GE"/>
        </w:rPr>
        <w:t>4.12 ხიდების დაპროექტება</w:t>
      </w:r>
      <w:bookmarkEnd w:id="134"/>
      <w:r>
        <w:rPr>
          <w:rFonts w:ascii="Sylfaen" w:hAnsi="Sylfaen"/>
          <w:lang w:val="ka-GE"/>
        </w:rPr>
        <w:t xml:space="preserve"> </w:t>
      </w:r>
      <w:bookmarkEnd w:id="133"/>
    </w:p>
    <w:p w14:paraId="1EACADCE" w14:textId="77777777" w:rsidR="00EA3205" w:rsidRPr="00B05F62" w:rsidRDefault="00EA3205" w:rsidP="00EA3205">
      <w:pPr>
        <w:rPr>
          <w:rFonts w:ascii="AcadNusx" w:hAnsi="AcadNusx"/>
        </w:rPr>
      </w:pPr>
    </w:p>
    <w:p w14:paraId="3B6C4A65" w14:textId="77777777" w:rsidR="002545D5" w:rsidRPr="002545D5" w:rsidRDefault="002545D5" w:rsidP="002545D5">
      <w:pPr>
        <w:spacing w:before="120" w:after="120"/>
        <w:rPr>
          <w:rFonts w:ascii="AcadNusx" w:hAnsi="AcadNusx"/>
        </w:rPr>
      </w:pPr>
      <w:bookmarkStart w:id="135" w:name="_Toc510172520"/>
      <w:r w:rsidRPr="002545D5">
        <w:rPr>
          <w:rFonts w:ascii="Sylfaen" w:hAnsi="Sylfaen" w:cs="Sylfaen"/>
        </w:rPr>
        <w:t>გურჯაანიდან</w:t>
      </w:r>
      <w:r w:rsidRPr="002545D5">
        <w:rPr>
          <w:rFonts w:ascii="AcadNusx" w:hAnsi="AcadNusx"/>
        </w:rPr>
        <w:t xml:space="preserve"> </w:t>
      </w:r>
      <w:r w:rsidRPr="002545D5">
        <w:rPr>
          <w:rFonts w:ascii="Sylfaen" w:hAnsi="Sylfaen" w:cs="Sylfaen"/>
        </w:rPr>
        <w:t>თელავამდე</w:t>
      </w:r>
      <w:r w:rsidRPr="002545D5">
        <w:rPr>
          <w:rFonts w:ascii="AcadNusx" w:hAnsi="AcadNusx"/>
        </w:rPr>
        <w:t xml:space="preserve"> </w:t>
      </w:r>
      <w:r w:rsidRPr="002545D5">
        <w:rPr>
          <w:rFonts w:ascii="Sylfaen" w:hAnsi="Sylfaen" w:cs="Sylfaen"/>
        </w:rPr>
        <w:t>გამავალი</w:t>
      </w:r>
      <w:r w:rsidRPr="002545D5">
        <w:rPr>
          <w:rFonts w:ascii="AcadNusx" w:hAnsi="AcadNusx"/>
        </w:rPr>
        <w:t xml:space="preserve"> </w:t>
      </w:r>
      <w:r w:rsidRPr="002545D5">
        <w:rPr>
          <w:rFonts w:ascii="Sylfaen" w:hAnsi="Sylfaen" w:cs="Sylfaen"/>
        </w:rPr>
        <w:t>შემოვლითი</w:t>
      </w:r>
      <w:r w:rsidRPr="002545D5">
        <w:rPr>
          <w:rFonts w:ascii="AcadNusx" w:hAnsi="AcadNusx"/>
        </w:rPr>
        <w:t xml:space="preserve"> </w:t>
      </w:r>
      <w:r w:rsidRPr="002545D5">
        <w:rPr>
          <w:rFonts w:ascii="Sylfaen" w:hAnsi="Sylfaen" w:cs="Sylfaen"/>
        </w:rPr>
        <w:t>გზის</w:t>
      </w:r>
      <w:r w:rsidRPr="002545D5">
        <w:rPr>
          <w:rFonts w:ascii="AcadNusx" w:hAnsi="AcadNusx"/>
        </w:rPr>
        <w:t xml:space="preserve"> </w:t>
      </w:r>
      <w:r w:rsidRPr="002545D5">
        <w:rPr>
          <w:rFonts w:ascii="Sylfaen" w:hAnsi="Sylfaen" w:cs="Sylfaen"/>
        </w:rPr>
        <w:t>პროექტირების</w:t>
      </w:r>
      <w:r w:rsidRPr="002545D5">
        <w:rPr>
          <w:rFonts w:ascii="AcadNusx" w:hAnsi="AcadNusx"/>
        </w:rPr>
        <w:t xml:space="preserve"> </w:t>
      </w:r>
      <w:r w:rsidRPr="002545D5">
        <w:rPr>
          <w:rFonts w:ascii="Sylfaen" w:hAnsi="Sylfaen" w:cs="Sylfaen"/>
        </w:rPr>
        <w:t>პროცესში</w:t>
      </w:r>
      <w:r w:rsidRPr="002545D5">
        <w:rPr>
          <w:rFonts w:ascii="AcadNusx" w:hAnsi="AcadNusx"/>
        </w:rPr>
        <w:t xml:space="preserve"> </w:t>
      </w:r>
      <w:r w:rsidRPr="002545D5">
        <w:rPr>
          <w:rFonts w:ascii="Sylfaen" w:hAnsi="Sylfaen" w:cs="Sylfaen"/>
        </w:rPr>
        <w:t>გადაკვეთებზე</w:t>
      </w:r>
      <w:r w:rsidRPr="002545D5">
        <w:rPr>
          <w:rFonts w:ascii="AcadNusx" w:hAnsi="AcadNusx"/>
        </w:rPr>
        <w:t xml:space="preserve"> </w:t>
      </w:r>
      <w:r w:rsidRPr="002545D5">
        <w:rPr>
          <w:rFonts w:ascii="Sylfaen" w:hAnsi="Sylfaen" w:cs="Sylfaen"/>
        </w:rPr>
        <w:t>მოთხოვნის</w:t>
      </w:r>
      <w:r w:rsidRPr="002545D5">
        <w:rPr>
          <w:rFonts w:ascii="AcadNusx" w:hAnsi="AcadNusx"/>
        </w:rPr>
        <w:t xml:space="preserve"> </w:t>
      </w:r>
      <w:r w:rsidRPr="002545D5">
        <w:rPr>
          <w:rFonts w:ascii="Sylfaen" w:hAnsi="Sylfaen" w:cs="Sylfaen"/>
        </w:rPr>
        <w:t>გაანალიზების</w:t>
      </w:r>
      <w:r w:rsidRPr="002545D5">
        <w:rPr>
          <w:rFonts w:ascii="AcadNusx" w:hAnsi="AcadNusx"/>
        </w:rPr>
        <w:t xml:space="preserve"> </w:t>
      </w:r>
      <w:r w:rsidRPr="002545D5">
        <w:rPr>
          <w:rFonts w:ascii="Sylfaen" w:hAnsi="Sylfaen" w:cs="Sylfaen"/>
        </w:rPr>
        <w:t>შედეგად</w:t>
      </w:r>
      <w:r w:rsidRPr="002545D5">
        <w:rPr>
          <w:rFonts w:ascii="AcadNusx" w:hAnsi="AcadNusx"/>
        </w:rPr>
        <w:t xml:space="preserve"> </w:t>
      </w:r>
      <w:r w:rsidRPr="002545D5">
        <w:rPr>
          <w:rFonts w:ascii="Sylfaen" w:hAnsi="Sylfaen" w:cs="Sylfaen"/>
        </w:rPr>
        <w:t>გამოვლიდნა</w:t>
      </w:r>
      <w:r w:rsidRPr="002545D5">
        <w:rPr>
          <w:rFonts w:ascii="AcadNusx" w:hAnsi="AcadNusx"/>
        </w:rPr>
        <w:t xml:space="preserve"> </w:t>
      </w:r>
      <w:r w:rsidRPr="002545D5">
        <w:rPr>
          <w:rFonts w:ascii="Sylfaen" w:hAnsi="Sylfaen" w:cs="Sylfaen"/>
        </w:rPr>
        <w:t>ქვემოთ</w:t>
      </w:r>
      <w:r w:rsidRPr="002545D5">
        <w:rPr>
          <w:rFonts w:ascii="AcadNusx" w:hAnsi="AcadNusx"/>
        </w:rPr>
        <w:t xml:space="preserve"> </w:t>
      </w:r>
      <w:r w:rsidRPr="002545D5">
        <w:rPr>
          <w:rFonts w:ascii="Sylfaen" w:hAnsi="Sylfaen" w:cs="Sylfaen"/>
        </w:rPr>
        <w:t>მითითებული</w:t>
      </w:r>
      <w:r w:rsidRPr="002545D5">
        <w:rPr>
          <w:rFonts w:ascii="AcadNusx" w:hAnsi="AcadNusx"/>
        </w:rPr>
        <w:t xml:space="preserve"> </w:t>
      </w:r>
      <w:r w:rsidRPr="002545D5">
        <w:rPr>
          <w:rFonts w:ascii="Sylfaen" w:hAnsi="Sylfaen" w:cs="Sylfaen"/>
        </w:rPr>
        <w:t>სახიდე</w:t>
      </w:r>
      <w:r w:rsidRPr="002545D5">
        <w:rPr>
          <w:rFonts w:ascii="AcadNusx" w:hAnsi="AcadNusx"/>
        </w:rPr>
        <w:t xml:space="preserve"> </w:t>
      </w:r>
      <w:r w:rsidRPr="002545D5">
        <w:rPr>
          <w:rFonts w:ascii="Sylfaen" w:hAnsi="Sylfaen" w:cs="Sylfaen"/>
        </w:rPr>
        <w:t>ნაგებობების</w:t>
      </w:r>
      <w:r w:rsidRPr="002545D5">
        <w:rPr>
          <w:rFonts w:ascii="AcadNusx" w:hAnsi="AcadNusx"/>
        </w:rPr>
        <w:t xml:space="preserve"> </w:t>
      </w:r>
      <w:r w:rsidRPr="002545D5">
        <w:rPr>
          <w:rFonts w:ascii="Sylfaen" w:hAnsi="Sylfaen" w:cs="Sylfaen"/>
        </w:rPr>
        <w:t>აუცილებლობა</w:t>
      </w:r>
      <w:r w:rsidRPr="002545D5">
        <w:rPr>
          <w:rFonts w:ascii="AcadNusx" w:hAnsi="AcadNusx"/>
        </w:rPr>
        <w:t xml:space="preserve">, </w:t>
      </w:r>
      <w:r w:rsidRPr="002545D5">
        <w:rPr>
          <w:rFonts w:ascii="Sylfaen" w:hAnsi="Sylfaen" w:cs="Sylfaen"/>
        </w:rPr>
        <w:t>რომლებიც</w:t>
      </w:r>
      <w:r w:rsidRPr="002545D5">
        <w:rPr>
          <w:rFonts w:ascii="AcadNusx" w:hAnsi="AcadNusx"/>
        </w:rPr>
        <w:t xml:space="preserve"> </w:t>
      </w:r>
      <w:r w:rsidRPr="002545D5">
        <w:rPr>
          <w:rFonts w:ascii="Sylfaen" w:hAnsi="Sylfaen" w:cs="Sylfaen"/>
        </w:rPr>
        <w:t>დაჯგუფებული</w:t>
      </w:r>
      <w:r w:rsidRPr="002545D5">
        <w:rPr>
          <w:rFonts w:ascii="AcadNusx" w:hAnsi="AcadNusx"/>
        </w:rPr>
        <w:t xml:space="preserve"> </w:t>
      </w:r>
      <w:r w:rsidRPr="002545D5">
        <w:rPr>
          <w:rFonts w:ascii="Sylfaen" w:hAnsi="Sylfaen" w:cs="Sylfaen"/>
        </w:rPr>
        <w:t>არიან</w:t>
      </w:r>
      <w:r w:rsidRPr="002545D5">
        <w:rPr>
          <w:rFonts w:ascii="AcadNusx" w:hAnsi="AcadNusx"/>
        </w:rPr>
        <w:t xml:space="preserve"> </w:t>
      </w:r>
      <w:r w:rsidRPr="002545D5">
        <w:rPr>
          <w:rFonts w:ascii="Sylfaen" w:hAnsi="Sylfaen" w:cs="Sylfaen"/>
        </w:rPr>
        <w:t>დანიშნულებების</w:t>
      </w:r>
      <w:r w:rsidRPr="002545D5">
        <w:rPr>
          <w:rFonts w:ascii="AcadNusx" w:hAnsi="AcadNusx"/>
        </w:rPr>
        <w:t xml:space="preserve"> </w:t>
      </w:r>
      <w:r w:rsidRPr="002545D5">
        <w:rPr>
          <w:rFonts w:ascii="Sylfaen" w:hAnsi="Sylfaen" w:cs="Sylfaen"/>
        </w:rPr>
        <w:t>და</w:t>
      </w:r>
      <w:r w:rsidRPr="002545D5">
        <w:rPr>
          <w:rFonts w:ascii="AcadNusx" w:hAnsi="AcadNusx"/>
        </w:rPr>
        <w:t xml:space="preserve"> </w:t>
      </w:r>
      <w:r w:rsidRPr="002545D5">
        <w:rPr>
          <w:rFonts w:ascii="Sylfaen" w:hAnsi="Sylfaen" w:cs="Sylfaen"/>
        </w:rPr>
        <w:t>რაოდენობების</w:t>
      </w:r>
      <w:r w:rsidRPr="002545D5">
        <w:rPr>
          <w:rFonts w:ascii="AcadNusx" w:hAnsi="AcadNusx"/>
        </w:rPr>
        <w:t xml:space="preserve"> </w:t>
      </w:r>
      <w:r w:rsidRPr="002545D5">
        <w:rPr>
          <w:rFonts w:ascii="Sylfaen" w:hAnsi="Sylfaen" w:cs="Sylfaen"/>
        </w:rPr>
        <w:t>მიხედვით</w:t>
      </w:r>
      <w:r w:rsidRPr="002545D5">
        <w:rPr>
          <w:rFonts w:ascii="AcadNusx" w:hAnsi="AcadNusx"/>
        </w:rPr>
        <w:t>:</w:t>
      </w:r>
    </w:p>
    <w:p w14:paraId="6E0DE58C" w14:textId="77777777" w:rsidR="002545D5" w:rsidRPr="002545D5" w:rsidRDefault="002545D5" w:rsidP="002545D5">
      <w:pPr>
        <w:spacing w:before="120" w:after="120"/>
        <w:rPr>
          <w:rFonts w:ascii="AcadNusx" w:hAnsi="AcadNusx"/>
        </w:rPr>
      </w:pPr>
      <w:r w:rsidRPr="002545D5">
        <w:rPr>
          <w:rFonts w:ascii="Sylfaen" w:hAnsi="Sylfaen" w:cs="Sylfaen"/>
        </w:rPr>
        <w:t>მდინარის</w:t>
      </w:r>
      <w:r w:rsidRPr="002545D5">
        <w:rPr>
          <w:rFonts w:ascii="AcadNusx" w:hAnsi="AcadNusx"/>
        </w:rPr>
        <w:t xml:space="preserve"> </w:t>
      </w:r>
      <w:r w:rsidRPr="002545D5">
        <w:rPr>
          <w:rFonts w:ascii="Sylfaen" w:hAnsi="Sylfaen" w:cs="Sylfaen"/>
        </w:rPr>
        <w:t>გადაკვეთები</w:t>
      </w:r>
      <w:r w:rsidRPr="002545D5">
        <w:rPr>
          <w:rFonts w:ascii="AcadNusx" w:hAnsi="AcadNusx"/>
        </w:rPr>
        <w:t xml:space="preserve"> </w:t>
      </w:r>
      <w:r w:rsidRPr="002545D5">
        <w:rPr>
          <w:rFonts w:ascii="AcadNusx" w:hAnsi="AcadNusx" w:cs="AcadNusx"/>
        </w:rPr>
        <w:t>–</w:t>
      </w:r>
      <w:r w:rsidRPr="002545D5">
        <w:rPr>
          <w:rFonts w:ascii="AcadNusx" w:hAnsi="AcadNusx"/>
        </w:rPr>
        <w:t xml:space="preserve"> 10 </w:t>
      </w:r>
      <w:r w:rsidRPr="002545D5">
        <w:rPr>
          <w:rFonts w:ascii="Sylfaen" w:hAnsi="Sylfaen" w:cs="Sylfaen"/>
        </w:rPr>
        <w:t>ხიდი</w:t>
      </w:r>
      <w:r w:rsidRPr="002545D5">
        <w:rPr>
          <w:rFonts w:ascii="AcadNusx" w:hAnsi="AcadNusx"/>
        </w:rPr>
        <w:t xml:space="preserve">, </w:t>
      </w:r>
      <w:r w:rsidRPr="002545D5">
        <w:rPr>
          <w:rFonts w:ascii="Sylfaen" w:hAnsi="Sylfaen" w:cs="Sylfaen"/>
        </w:rPr>
        <w:t>მათ</w:t>
      </w:r>
      <w:r w:rsidRPr="002545D5">
        <w:rPr>
          <w:rFonts w:ascii="AcadNusx" w:hAnsi="AcadNusx"/>
        </w:rPr>
        <w:t xml:space="preserve"> </w:t>
      </w:r>
      <w:r w:rsidRPr="002545D5">
        <w:rPr>
          <w:rFonts w:ascii="Sylfaen" w:hAnsi="Sylfaen" w:cs="Sylfaen"/>
        </w:rPr>
        <w:t>შორის</w:t>
      </w:r>
      <w:r w:rsidRPr="002545D5">
        <w:rPr>
          <w:rFonts w:ascii="AcadNusx" w:hAnsi="AcadNusx"/>
        </w:rPr>
        <w:t xml:space="preserve"> </w:t>
      </w:r>
      <w:r w:rsidRPr="002545D5">
        <w:rPr>
          <w:rFonts w:ascii="Sylfaen" w:hAnsi="Sylfaen" w:cs="Sylfaen"/>
        </w:rPr>
        <w:t>ერთი</w:t>
      </w:r>
      <w:r w:rsidRPr="002545D5">
        <w:rPr>
          <w:rFonts w:ascii="AcadNusx" w:hAnsi="AcadNusx"/>
        </w:rPr>
        <w:t xml:space="preserve"> </w:t>
      </w:r>
      <w:r w:rsidRPr="002545D5">
        <w:rPr>
          <w:rFonts w:ascii="Sylfaen" w:hAnsi="Sylfaen" w:cs="Sylfaen"/>
        </w:rPr>
        <w:t>ხიდი</w:t>
      </w:r>
      <w:r w:rsidRPr="002545D5">
        <w:rPr>
          <w:rFonts w:ascii="AcadNusx" w:hAnsi="AcadNusx"/>
        </w:rPr>
        <w:t xml:space="preserve"> </w:t>
      </w:r>
      <w:r w:rsidRPr="002545D5">
        <w:rPr>
          <w:rFonts w:ascii="Sylfaen" w:hAnsi="Sylfaen" w:cs="Sylfaen"/>
        </w:rPr>
        <w:t>მდ</w:t>
      </w:r>
      <w:r w:rsidRPr="002545D5">
        <w:rPr>
          <w:rFonts w:ascii="AcadNusx" w:hAnsi="AcadNusx"/>
        </w:rPr>
        <w:t xml:space="preserve">. </w:t>
      </w:r>
      <w:r w:rsidRPr="002545D5">
        <w:rPr>
          <w:rFonts w:ascii="Sylfaen" w:hAnsi="Sylfaen" w:cs="Sylfaen"/>
        </w:rPr>
        <w:t>ჭერმისწყალზე</w:t>
      </w:r>
      <w:r w:rsidRPr="002545D5">
        <w:rPr>
          <w:rFonts w:ascii="AcadNusx" w:hAnsi="AcadNusx"/>
        </w:rPr>
        <w:t xml:space="preserve"> </w:t>
      </w:r>
      <w:r w:rsidRPr="002545D5">
        <w:rPr>
          <w:rFonts w:ascii="Sylfaen" w:hAnsi="Sylfaen" w:cs="Sylfaen"/>
        </w:rPr>
        <w:t>და</w:t>
      </w:r>
      <w:r w:rsidRPr="002545D5">
        <w:rPr>
          <w:rFonts w:ascii="AcadNusx" w:hAnsi="AcadNusx"/>
        </w:rPr>
        <w:t xml:space="preserve"> 9 </w:t>
      </w:r>
      <w:r w:rsidRPr="002545D5">
        <w:rPr>
          <w:rFonts w:ascii="Sylfaen" w:hAnsi="Sylfaen" w:cs="Sylfaen"/>
        </w:rPr>
        <w:t>ხიდი</w:t>
      </w:r>
      <w:r w:rsidRPr="002545D5">
        <w:rPr>
          <w:rFonts w:ascii="AcadNusx" w:hAnsi="AcadNusx"/>
        </w:rPr>
        <w:t xml:space="preserve"> </w:t>
      </w:r>
      <w:r w:rsidRPr="002545D5">
        <w:rPr>
          <w:rFonts w:ascii="Sylfaen" w:hAnsi="Sylfaen" w:cs="Sylfaen"/>
        </w:rPr>
        <w:t>ღვარცოფული</w:t>
      </w:r>
      <w:r w:rsidRPr="002545D5">
        <w:rPr>
          <w:rFonts w:ascii="AcadNusx" w:hAnsi="AcadNusx"/>
        </w:rPr>
        <w:t xml:space="preserve"> </w:t>
      </w:r>
      <w:r w:rsidRPr="002545D5">
        <w:rPr>
          <w:rFonts w:ascii="Sylfaen" w:hAnsi="Sylfaen" w:cs="Sylfaen"/>
        </w:rPr>
        <w:t>ნაკადებით</w:t>
      </w:r>
      <w:r w:rsidRPr="002545D5">
        <w:rPr>
          <w:rFonts w:ascii="AcadNusx" w:hAnsi="AcadNusx"/>
        </w:rPr>
        <w:t xml:space="preserve"> </w:t>
      </w:r>
      <w:r w:rsidRPr="002545D5">
        <w:rPr>
          <w:rFonts w:ascii="Sylfaen" w:hAnsi="Sylfaen" w:cs="Sylfaen"/>
        </w:rPr>
        <w:t>ფორმირებული</w:t>
      </w:r>
      <w:r w:rsidRPr="002545D5">
        <w:rPr>
          <w:rFonts w:ascii="AcadNusx" w:hAnsi="AcadNusx"/>
        </w:rPr>
        <w:t xml:space="preserve"> </w:t>
      </w:r>
      <w:r w:rsidRPr="002545D5">
        <w:rPr>
          <w:rFonts w:ascii="Sylfaen" w:hAnsi="Sylfaen" w:cs="Sylfaen"/>
        </w:rPr>
        <w:t>ბუნებრივი</w:t>
      </w:r>
      <w:r w:rsidRPr="002545D5">
        <w:rPr>
          <w:rFonts w:ascii="AcadNusx" w:hAnsi="AcadNusx"/>
        </w:rPr>
        <w:t xml:space="preserve"> </w:t>
      </w:r>
      <w:r w:rsidRPr="002545D5">
        <w:rPr>
          <w:rFonts w:ascii="Sylfaen" w:hAnsi="Sylfaen" w:cs="Sylfaen"/>
        </w:rPr>
        <w:t>ხევების</w:t>
      </w:r>
      <w:r w:rsidRPr="002545D5">
        <w:rPr>
          <w:rFonts w:ascii="AcadNusx" w:hAnsi="AcadNusx"/>
        </w:rPr>
        <w:t xml:space="preserve"> </w:t>
      </w:r>
      <w:r w:rsidRPr="002545D5">
        <w:rPr>
          <w:rFonts w:ascii="Sylfaen" w:hAnsi="Sylfaen" w:cs="Sylfaen"/>
        </w:rPr>
        <w:t>გადასაკვეთად</w:t>
      </w:r>
      <w:r w:rsidRPr="002545D5">
        <w:rPr>
          <w:rFonts w:ascii="AcadNusx" w:hAnsi="AcadNusx"/>
        </w:rPr>
        <w:t xml:space="preserve">. </w:t>
      </w:r>
      <w:r w:rsidRPr="002545D5">
        <w:rPr>
          <w:rFonts w:ascii="Sylfaen" w:hAnsi="Sylfaen" w:cs="Sylfaen"/>
        </w:rPr>
        <w:t>დონეების</w:t>
      </w:r>
      <w:r w:rsidRPr="002545D5">
        <w:rPr>
          <w:rFonts w:ascii="AcadNusx" w:hAnsi="AcadNusx"/>
        </w:rPr>
        <w:t xml:space="preserve"> </w:t>
      </w:r>
      <w:r w:rsidRPr="002545D5">
        <w:rPr>
          <w:rFonts w:ascii="Sylfaen" w:hAnsi="Sylfaen" w:cs="Sylfaen"/>
        </w:rPr>
        <w:t>განცალკევება</w:t>
      </w:r>
      <w:r w:rsidRPr="002545D5">
        <w:rPr>
          <w:rFonts w:ascii="AcadNusx" w:hAnsi="AcadNusx"/>
        </w:rPr>
        <w:t xml:space="preserve"> </w:t>
      </w:r>
      <w:r w:rsidRPr="002545D5">
        <w:rPr>
          <w:rFonts w:ascii="AcadNusx" w:hAnsi="AcadNusx" w:cs="AcadNusx"/>
        </w:rPr>
        <w:t>–</w:t>
      </w:r>
      <w:r w:rsidRPr="002545D5">
        <w:rPr>
          <w:rFonts w:ascii="AcadNusx" w:hAnsi="AcadNusx"/>
        </w:rPr>
        <w:t xml:space="preserve"> 5 </w:t>
      </w:r>
      <w:r w:rsidRPr="002545D5">
        <w:rPr>
          <w:rFonts w:ascii="Sylfaen" w:hAnsi="Sylfaen" w:cs="Sylfaen"/>
        </w:rPr>
        <w:t>ხიდი</w:t>
      </w:r>
      <w:r w:rsidRPr="002545D5">
        <w:rPr>
          <w:rFonts w:ascii="AcadNusx" w:hAnsi="AcadNusx"/>
        </w:rPr>
        <w:t xml:space="preserve">, </w:t>
      </w:r>
      <w:r w:rsidRPr="002545D5">
        <w:rPr>
          <w:rFonts w:ascii="Sylfaen" w:hAnsi="Sylfaen" w:cs="Sylfaen"/>
        </w:rPr>
        <w:t>რომლებიც</w:t>
      </w:r>
      <w:r w:rsidRPr="002545D5">
        <w:rPr>
          <w:rFonts w:ascii="AcadNusx" w:hAnsi="AcadNusx"/>
        </w:rPr>
        <w:t xml:space="preserve"> </w:t>
      </w:r>
      <w:r w:rsidRPr="002545D5">
        <w:rPr>
          <w:rFonts w:ascii="Sylfaen" w:hAnsi="Sylfaen" w:cs="Sylfaen"/>
        </w:rPr>
        <w:t>უნდა</w:t>
      </w:r>
      <w:r w:rsidRPr="002545D5">
        <w:rPr>
          <w:rFonts w:ascii="AcadNusx" w:hAnsi="AcadNusx"/>
        </w:rPr>
        <w:t xml:space="preserve"> </w:t>
      </w:r>
      <w:r w:rsidRPr="002545D5">
        <w:rPr>
          <w:rFonts w:ascii="Sylfaen" w:hAnsi="Sylfaen" w:cs="Sylfaen"/>
        </w:rPr>
        <w:t>აშენდნენ</w:t>
      </w:r>
      <w:r w:rsidRPr="002545D5">
        <w:rPr>
          <w:rFonts w:ascii="AcadNusx" w:hAnsi="AcadNusx"/>
        </w:rPr>
        <w:t xml:space="preserve"> </w:t>
      </w:r>
      <w:r w:rsidRPr="002545D5">
        <w:rPr>
          <w:rFonts w:ascii="Sylfaen" w:hAnsi="Sylfaen" w:cs="Sylfaen"/>
        </w:rPr>
        <w:t>საგზაო</w:t>
      </w:r>
      <w:r w:rsidRPr="002545D5">
        <w:rPr>
          <w:rFonts w:ascii="AcadNusx" w:hAnsi="AcadNusx"/>
        </w:rPr>
        <w:t xml:space="preserve"> </w:t>
      </w:r>
      <w:r w:rsidRPr="002545D5">
        <w:rPr>
          <w:rFonts w:ascii="Sylfaen" w:hAnsi="Sylfaen" w:cs="Sylfaen"/>
        </w:rPr>
        <w:t>კვანძებთან</w:t>
      </w:r>
      <w:r w:rsidRPr="002545D5">
        <w:rPr>
          <w:rFonts w:ascii="AcadNusx" w:hAnsi="AcadNusx"/>
        </w:rPr>
        <w:t xml:space="preserve"> </w:t>
      </w:r>
      <w:r w:rsidRPr="002545D5">
        <w:rPr>
          <w:rFonts w:ascii="Sylfaen" w:hAnsi="Sylfaen" w:cs="Sylfaen"/>
        </w:rPr>
        <w:t>საპროექტო</w:t>
      </w:r>
      <w:r w:rsidRPr="002545D5">
        <w:rPr>
          <w:rFonts w:ascii="AcadNusx" w:hAnsi="AcadNusx"/>
        </w:rPr>
        <w:t xml:space="preserve"> </w:t>
      </w:r>
      <w:r w:rsidRPr="002545D5">
        <w:rPr>
          <w:rFonts w:ascii="Sylfaen" w:hAnsi="Sylfaen" w:cs="Sylfaen"/>
        </w:rPr>
        <w:t>გზაზე</w:t>
      </w:r>
      <w:r w:rsidRPr="002545D5">
        <w:rPr>
          <w:rFonts w:ascii="AcadNusx" w:hAnsi="AcadNusx"/>
        </w:rPr>
        <w:t xml:space="preserve"> </w:t>
      </w:r>
      <w:r w:rsidRPr="002545D5">
        <w:rPr>
          <w:rFonts w:ascii="Sylfaen" w:hAnsi="Sylfaen" w:cs="Sylfaen"/>
        </w:rPr>
        <w:t>სატრანსპორტო</w:t>
      </w:r>
      <w:r w:rsidRPr="002545D5">
        <w:rPr>
          <w:rFonts w:ascii="AcadNusx" w:hAnsi="AcadNusx"/>
        </w:rPr>
        <w:t xml:space="preserve"> </w:t>
      </w:r>
      <w:r w:rsidRPr="002545D5">
        <w:rPr>
          <w:rFonts w:ascii="Sylfaen" w:hAnsi="Sylfaen" w:cs="Sylfaen"/>
        </w:rPr>
        <w:t>ნაკადების</w:t>
      </w:r>
      <w:r w:rsidRPr="002545D5">
        <w:rPr>
          <w:rFonts w:ascii="AcadNusx" w:hAnsi="AcadNusx"/>
        </w:rPr>
        <w:t xml:space="preserve"> </w:t>
      </w:r>
      <w:r w:rsidRPr="002545D5">
        <w:rPr>
          <w:rFonts w:ascii="Sylfaen" w:hAnsi="Sylfaen" w:cs="Sylfaen"/>
        </w:rPr>
        <w:t>გატარებისთვის</w:t>
      </w:r>
      <w:r w:rsidRPr="002545D5">
        <w:rPr>
          <w:rFonts w:ascii="AcadNusx" w:hAnsi="AcadNusx"/>
        </w:rPr>
        <w:t xml:space="preserve"> </w:t>
      </w:r>
      <w:r w:rsidRPr="002545D5">
        <w:rPr>
          <w:rFonts w:ascii="Sylfaen" w:hAnsi="Sylfaen" w:cs="Sylfaen"/>
        </w:rPr>
        <w:t>ადგილობრივ</w:t>
      </w:r>
      <w:r w:rsidRPr="002545D5">
        <w:rPr>
          <w:rFonts w:ascii="AcadNusx" w:hAnsi="AcadNusx"/>
        </w:rPr>
        <w:t xml:space="preserve"> </w:t>
      </w:r>
      <w:r w:rsidRPr="002545D5">
        <w:rPr>
          <w:rFonts w:ascii="Sylfaen" w:hAnsi="Sylfaen" w:cs="Sylfaen"/>
        </w:rPr>
        <w:t>საგზაო</w:t>
      </w:r>
    </w:p>
    <w:p w14:paraId="064D22E1" w14:textId="77777777" w:rsidR="002545D5" w:rsidRPr="002545D5" w:rsidRDefault="002545D5" w:rsidP="002545D5">
      <w:pPr>
        <w:spacing w:before="120" w:after="120"/>
        <w:rPr>
          <w:rFonts w:ascii="AcadNusx" w:hAnsi="AcadNusx"/>
        </w:rPr>
      </w:pPr>
      <w:r w:rsidRPr="002545D5">
        <w:rPr>
          <w:rFonts w:ascii="Sylfaen" w:hAnsi="Sylfaen" w:cs="Sylfaen"/>
        </w:rPr>
        <w:t>კავშირებზე</w:t>
      </w:r>
      <w:r w:rsidRPr="002545D5">
        <w:rPr>
          <w:rFonts w:ascii="AcadNusx" w:hAnsi="AcadNusx"/>
        </w:rPr>
        <w:t xml:space="preserve"> </w:t>
      </w:r>
      <w:r w:rsidRPr="002545D5">
        <w:rPr>
          <w:rFonts w:ascii="Sylfaen" w:hAnsi="Sylfaen" w:cs="Sylfaen"/>
        </w:rPr>
        <w:t>რაიმე</w:t>
      </w:r>
      <w:r w:rsidRPr="002545D5">
        <w:rPr>
          <w:rFonts w:ascii="AcadNusx" w:hAnsi="AcadNusx"/>
        </w:rPr>
        <w:t xml:space="preserve"> </w:t>
      </w:r>
      <w:r w:rsidRPr="002545D5">
        <w:rPr>
          <w:rFonts w:ascii="Sylfaen" w:hAnsi="Sylfaen" w:cs="Sylfaen"/>
        </w:rPr>
        <w:t>შემაფერხებელი</w:t>
      </w:r>
      <w:r w:rsidRPr="002545D5">
        <w:rPr>
          <w:rFonts w:ascii="AcadNusx" w:hAnsi="AcadNusx"/>
        </w:rPr>
        <w:t xml:space="preserve"> </w:t>
      </w:r>
      <w:r w:rsidRPr="002545D5">
        <w:rPr>
          <w:rFonts w:ascii="Sylfaen" w:hAnsi="Sylfaen" w:cs="Sylfaen"/>
        </w:rPr>
        <w:t>ზემოქმედების</w:t>
      </w:r>
      <w:r w:rsidRPr="002545D5">
        <w:rPr>
          <w:rFonts w:ascii="AcadNusx" w:hAnsi="AcadNusx"/>
        </w:rPr>
        <w:t xml:space="preserve"> </w:t>
      </w:r>
      <w:r w:rsidRPr="002545D5">
        <w:rPr>
          <w:rFonts w:ascii="Sylfaen" w:hAnsi="Sylfaen" w:cs="Sylfaen"/>
        </w:rPr>
        <w:t>გარეშე</w:t>
      </w:r>
      <w:r w:rsidRPr="002545D5">
        <w:rPr>
          <w:rFonts w:ascii="AcadNusx" w:hAnsi="AcadNusx"/>
        </w:rPr>
        <w:t xml:space="preserve">. </w:t>
      </w:r>
      <w:r w:rsidRPr="002545D5">
        <w:rPr>
          <w:rFonts w:ascii="Sylfaen" w:hAnsi="Sylfaen" w:cs="Sylfaen"/>
        </w:rPr>
        <w:t>გზის</w:t>
      </w:r>
      <w:r w:rsidRPr="002545D5">
        <w:rPr>
          <w:rFonts w:ascii="AcadNusx" w:hAnsi="AcadNusx"/>
        </w:rPr>
        <w:t xml:space="preserve"> </w:t>
      </w:r>
      <w:r w:rsidRPr="002545D5">
        <w:rPr>
          <w:rFonts w:ascii="Sylfaen" w:hAnsi="Sylfaen" w:cs="Sylfaen"/>
        </w:rPr>
        <w:t>ქვედა</w:t>
      </w:r>
      <w:r w:rsidRPr="002545D5">
        <w:rPr>
          <w:rFonts w:ascii="AcadNusx" w:hAnsi="AcadNusx"/>
        </w:rPr>
        <w:t xml:space="preserve"> </w:t>
      </w:r>
      <w:r w:rsidRPr="002545D5">
        <w:rPr>
          <w:rFonts w:ascii="Sylfaen" w:hAnsi="Sylfaen" w:cs="Sylfaen"/>
        </w:rPr>
        <w:t>გადასვლელები</w:t>
      </w:r>
      <w:r w:rsidRPr="002545D5">
        <w:rPr>
          <w:rFonts w:ascii="AcadNusx" w:hAnsi="AcadNusx"/>
        </w:rPr>
        <w:t xml:space="preserve"> </w:t>
      </w:r>
      <w:r w:rsidRPr="002545D5">
        <w:rPr>
          <w:rFonts w:ascii="AcadNusx" w:hAnsi="AcadNusx" w:cs="AcadNusx"/>
        </w:rPr>
        <w:t>–</w:t>
      </w:r>
      <w:r w:rsidRPr="002545D5">
        <w:rPr>
          <w:rFonts w:ascii="AcadNusx" w:hAnsi="AcadNusx"/>
        </w:rPr>
        <w:t xml:space="preserve"> 6 </w:t>
      </w:r>
      <w:r w:rsidRPr="002545D5">
        <w:rPr>
          <w:rFonts w:ascii="Sylfaen" w:hAnsi="Sylfaen" w:cs="Sylfaen"/>
        </w:rPr>
        <w:t>ხიდი</w:t>
      </w:r>
      <w:r w:rsidRPr="002545D5">
        <w:rPr>
          <w:rFonts w:ascii="AcadNusx" w:hAnsi="AcadNusx"/>
        </w:rPr>
        <w:t xml:space="preserve">, </w:t>
      </w:r>
      <w:r w:rsidRPr="002545D5">
        <w:rPr>
          <w:rFonts w:ascii="Sylfaen" w:hAnsi="Sylfaen" w:cs="Sylfaen"/>
        </w:rPr>
        <w:t>რომლებიც</w:t>
      </w:r>
      <w:r w:rsidRPr="002545D5">
        <w:rPr>
          <w:rFonts w:ascii="AcadNusx" w:hAnsi="AcadNusx"/>
        </w:rPr>
        <w:t xml:space="preserve"> </w:t>
      </w:r>
      <w:r w:rsidRPr="002545D5">
        <w:rPr>
          <w:rFonts w:ascii="Sylfaen" w:hAnsi="Sylfaen" w:cs="Sylfaen"/>
        </w:rPr>
        <w:t>დაპროექტებულია</w:t>
      </w:r>
      <w:r w:rsidRPr="002545D5">
        <w:rPr>
          <w:rFonts w:ascii="AcadNusx" w:hAnsi="AcadNusx"/>
        </w:rPr>
        <w:t xml:space="preserve"> </w:t>
      </w:r>
      <w:r w:rsidRPr="002545D5">
        <w:rPr>
          <w:rFonts w:ascii="Sylfaen" w:hAnsi="Sylfaen" w:cs="Sylfaen"/>
        </w:rPr>
        <w:t>ადგილობრივი</w:t>
      </w:r>
      <w:r w:rsidRPr="002545D5">
        <w:rPr>
          <w:rFonts w:ascii="AcadNusx" w:hAnsi="AcadNusx"/>
        </w:rPr>
        <w:t xml:space="preserve"> </w:t>
      </w:r>
      <w:r w:rsidRPr="002545D5">
        <w:rPr>
          <w:rFonts w:ascii="Sylfaen" w:hAnsi="Sylfaen" w:cs="Sylfaen"/>
        </w:rPr>
        <w:t>სატრანსპორტო</w:t>
      </w:r>
      <w:r w:rsidRPr="002545D5">
        <w:rPr>
          <w:rFonts w:ascii="AcadNusx" w:hAnsi="AcadNusx"/>
        </w:rPr>
        <w:t xml:space="preserve">  </w:t>
      </w:r>
      <w:r w:rsidRPr="002545D5">
        <w:rPr>
          <w:rFonts w:ascii="Sylfaen" w:hAnsi="Sylfaen" w:cs="Sylfaen"/>
        </w:rPr>
        <w:t>ნაკადების</w:t>
      </w:r>
      <w:r w:rsidRPr="002545D5">
        <w:rPr>
          <w:rFonts w:ascii="AcadNusx" w:hAnsi="AcadNusx"/>
        </w:rPr>
        <w:t xml:space="preserve">  </w:t>
      </w:r>
      <w:r w:rsidRPr="002545D5">
        <w:rPr>
          <w:rFonts w:ascii="Sylfaen" w:hAnsi="Sylfaen" w:cs="Sylfaen"/>
        </w:rPr>
        <w:t>შეუფერხებლად</w:t>
      </w:r>
      <w:r w:rsidRPr="002545D5">
        <w:rPr>
          <w:rFonts w:ascii="AcadNusx" w:hAnsi="AcadNusx"/>
        </w:rPr>
        <w:t xml:space="preserve">  </w:t>
      </w:r>
      <w:r w:rsidRPr="002545D5">
        <w:rPr>
          <w:rFonts w:ascii="Sylfaen" w:hAnsi="Sylfaen" w:cs="Sylfaen"/>
        </w:rPr>
        <w:t>გატარებისთვის</w:t>
      </w:r>
      <w:r w:rsidRPr="002545D5">
        <w:rPr>
          <w:rFonts w:ascii="AcadNusx" w:hAnsi="AcadNusx"/>
        </w:rPr>
        <w:t xml:space="preserve">  </w:t>
      </w:r>
      <w:r w:rsidRPr="002545D5">
        <w:rPr>
          <w:rFonts w:ascii="Sylfaen" w:hAnsi="Sylfaen" w:cs="Sylfaen"/>
        </w:rPr>
        <w:t>საჭირო</w:t>
      </w:r>
      <w:r w:rsidRPr="002545D5">
        <w:rPr>
          <w:rFonts w:ascii="AcadNusx" w:hAnsi="AcadNusx"/>
        </w:rPr>
        <w:t xml:space="preserve">  </w:t>
      </w:r>
      <w:r w:rsidRPr="002545D5">
        <w:rPr>
          <w:rFonts w:ascii="Sylfaen" w:hAnsi="Sylfaen" w:cs="Sylfaen"/>
        </w:rPr>
        <w:t>მცირე</w:t>
      </w:r>
      <w:r w:rsidRPr="002545D5">
        <w:rPr>
          <w:rFonts w:ascii="AcadNusx" w:hAnsi="AcadNusx"/>
        </w:rPr>
        <w:t xml:space="preserve">  </w:t>
      </w:r>
      <w:r w:rsidRPr="002545D5">
        <w:rPr>
          <w:rFonts w:ascii="Sylfaen" w:hAnsi="Sylfaen" w:cs="Sylfaen"/>
        </w:rPr>
        <w:t>ზომის</w:t>
      </w:r>
      <w:r w:rsidRPr="002545D5">
        <w:rPr>
          <w:rFonts w:ascii="AcadNusx" w:hAnsi="AcadNusx"/>
        </w:rPr>
        <w:t xml:space="preserve"> </w:t>
      </w:r>
      <w:r w:rsidRPr="002545D5">
        <w:rPr>
          <w:rFonts w:ascii="Sylfaen" w:hAnsi="Sylfaen" w:cs="Sylfaen"/>
        </w:rPr>
        <w:t>ნაგებობების</w:t>
      </w:r>
      <w:r w:rsidRPr="002545D5">
        <w:rPr>
          <w:rFonts w:ascii="AcadNusx" w:hAnsi="AcadNusx"/>
        </w:rPr>
        <w:t xml:space="preserve"> </w:t>
      </w:r>
      <w:r w:rsidRPr="002545D5">
        <w:rPr>
          <w:rFonts w:ascii="Sylfaen" w:hAnsi="Sylfaen" w:cs="Sylfaen"/>
        </w:rPr>
        <w:t>სახით</w:t>
      </w:r>
      <w:r w:rsidRPr="002545D5">
        <w:rPr>
          <w:rFonts w:ascii="AcadNusx" w:hAnsi="AcadNusx"/>
        </w:rPr>
        <w:t xml:space="preserve">. </w:t>
      </w:r>
      <w:r w:rsidRPr="002545D5">
        <w:rPr>
          <w:rFonts w:ascii="Sylfaen" w:hAnsi="Sylfaen" w:cs="Sylfaen"/>
        </w:rPr>
        <w:t>აღნიშნული</w:t>
      </w:r>
      <w:r w:rsidRPr="002545D5">
        <w:rPr>
          <w:rFonts w:ascii="AcadNusx" w:hAnsi="AcadNusx"/>
        </w:rPr>
        <w:t xml:space="preserve"> </w:t>
      </w:r>
      <w:r w:rsidRPr="002545D5">
        <w:rPr>
          <w:rFonts w:ascii="Sylfaen" w:hAnsi="Sylfaen" w:cs="Sylfaen"/>
        </w:rPr>
        <w:t>ნაგებობები</w:t>
      </w:r>
      <w:r w:rsidRPr="002545D5">
        <w:rPr>
          <w:rFonts w:ascii="AcadNusx" w:hAnsi="AcadNusx"/>
        </w:rPr>
        <w:t xml:space="preserve"> </w:t>
      </w:r>
      <w:r w:rsidRPr="002545D5">
        <w:rPr>
          <w:rFonts w:ascii="Sylfaen" w:hAnsi="Sylfaen" w:cs="Sylfaen"/>
        </w:rPr>
        <w:t>გამიზნულია</w:t>
      </w:r>
      <w:r w:rsidRPr="002545D5">
        <w:rPr>
          <w:rFonts w:ascii="AcadNusx" w:hAnsi="AcadNusx"/>
        </w:rPr>
        <w:t xml:space="preserve"> </w:t>
      </w:r>
      <w:r w:rsidRPr="002545D5">
        <w:rPr>
          <w:rFonts w:ascii="Sylfaen" w:hAnsi="Sylfaen" w:cs="Sylfaen"/>
        </w:rPr>
        <w:t>ძირითადი</w:t>
      </w:r>
      <w:r w:rsidRPr="002545D5">
        <w:rPr>
          <w:rFonts w:ascii="AcadNusx" w:hAnsi="AcadNusx"/>
        </w:rPr>
        <w:t xml:space="preserve"> </w:t>
      </w:r>
      <w:r w:rsidRPr="002545D5">
        <w:rPr>
          <w:rFonts w:ascii="Sylfaen" w:hAnsi="Sylfaen" w:cs="Sylfaen"/>
        </w:rPr>
        <w:t>ადგილობრივი</w:t>
      </w:r>
      <w:r w:rsidRPr="002545D5">
        <w:rPr>
          <w:rFonts w:ascii="AcadNusx" w:hAnsi="AcadNusx"/>
        </w:rPr>
        <w:t xml:space="preserve"> </w:t>
      </w:r>
      <w:r w:rsidRPr="002545D5">
        <w:rPr>
          <w:rFonts w:ascii="Sylfaen" w:hAnsi="Sylfaen" w:cs="Sylfaen"/>
        </w:rPr>
        <w:t>გზების</w:t>
      </w:r>
      <w:r w:rsidRPr="002545D5">
        <w:rPr>
          <w:rFonts w:ascii="AcadNusx" w:hAnsi="AcadNusx"/>
        </w:rPr>
        <w:t xml:space="preserve">   </w:t>
      </w:r>
      <w:r w:rsidRPr="002545D5">
        <w:rPr>
          <w:rFonts w:ascii="Sylfaen" w:hAnsi="Sylfaen" w:cs="Sylfaen"/>
        </w:rPr>
        <w:t>გატარებისთვის</w:t>
      </w:r>
      <w:r w:rsidRPr="002545D5">
        <w:rPr>
          <w:rFonts w:ascii="AcadNusx" w:hAnsi="AcadNusx"/>
        </w:rPr>
        <w:t xml:space="preserve">   </w:t>
      </w:r>
      <w:r w:rsidRPr="002545D5">
        <w:rPr>
          <w:rFonts w:ascii="Sylfaen" w:hAnsi="Sylfaen" w:cs="Sylfaen"/>
        </w:rPr>
        <w:t>საპროექტო</w:t>
      </w:r>
      <w:r w:rsidRPr="002545D5">
        <w:rPr>
          <w:rFonts w:ascii="AcadNusx" w:hAnsi="AcadNusx"/>
        </w:rPr>
        <w:t xml:space="preserve">   </w:t>
      </w:r>
      <w:r w:rsidRPr="002545D5">
        <w:rPr>
          <w:rFonts w:ascii="Sylfaen" w:hAnsi="Sylfaen" w:cs="Sylfaen"/>
        </w:rPr>
        <w:t>გზის</w:t>
      </w:r>
      <w:r w:rsidRPr="002545D5">
        <w:rPr>
          <w:rFonts w:ascii="AcadNusx" w:hAnsi="AcadNusx"/>
        </w:rPr>
        <w:t xml:space="preserve">   </w:t>
      </w:r>
      <w:r w:rsidRPr="002545D5">
        <w:rPr>
          <w:rFonts w:ascii="Sylfaen" w:hAnsi="Sylfaen" w:cs="Sylfaen"/>
        </w:rPr>
        <w:t>მიწაყრილში</w:t>
      </w:r>
      <w:r w:rsidRPr="002545D5">
        <w:rPr>
          <w:rFonts w:ascii="AcadNusx" w:hAnsi="AcadNusx"/>
        </w:rPr>
        <w:t xml:space="preserve">.   </w:t>
      </w:r>
      <w:r w:rsidRPr="002545D5">
        <w:rPr>
          <w:rFonts w:ascii="Sylfaen" w:hAnsi="Sylfaen" w:cs="Sylfaen"/>
        </w:rPr>
        <w:t>სხვა</w:t>
      </w:r>
      <w:r w:rsidRPr="002545D5">
        <w:rPr>
          <w:rFonts w:ascii="AcadNusx" w:hAnsi="AcadNusx"/>
        </w:rPr>
        <w:t xml:space="preserve">   </w:t>
      </w:r>
      <w:r w:rsidRPr="002545D5">
        <w:rPr>
          <w:rFonts w:ascii="Sylfaen" w:hAnsi="Sylfaen" w:cs="Sylfaen"/>
        </w:rPr>
        <w:t>ადგილობრივი</w:t>
      </w:r>
      <w:r w:rsidRPr="002545D5">
        <w:rPr>
          <w:rFonts w:ascii="AcadNusx" w:hAnsi="AcadNusx"/>
        </w:rPr>
        <w:t xml:space="preserve"> </w:t>
      </w:r>
      <w:r w:rsidRPr="002545D5">
        <w:rPr>
          <w:rFonts w:ascii="Sylfaen" w:hAnsi="Sylfaen" w:cs="Sylfaen"/>
        </w:rPr>
        <w:t>გრუნტის</w:t>
      </w:r>
      <w:r w:rsidRPr="002545D5">
        <w:rPr>
          <w:rFonts w:ascii="AcadNusx" w:hAnsi="AcadNusx"/>
        </w:rPr>
        <w:t xml:space="preserve">  </w:t>
      </w:r>
      <w:r w:rsidRPr="002545D5">
        <w:rPr>
          <w:rFonts w:ascii="Sylfaen" w:hAnsi="Sylfaen" w:cs="Sylfaen"/>
        </w:rPr>
        <w:t>გზები</w:t>
      </w:r>
      <w:r w:rsidRPr="002545D5">
        <w:rPr>
          <w:rFonts w:ascii="AcadNusx" w:hAnsi="AcadNusx"/>
        </w:rPr>
        <w:t xml:space="preserve">,  </w:t>
      </w:r>
      <w:r w:rsidRPr="002545D5">
        <w:rPr>
          <w:rFonts w:ascii="Sylfaen" w:hAnsi="Sylfaen" w:cs="Sylfaen"/>
        </w:rPr>
        <w:t>რომლებიც</w:t>
      </w:r>
      <w:r w:rsidRPr="002545D5">
        <w:rPr>
          <w:rFonts w:ascii="AcadNusx" w:hAnsi="AcadNusx"/>
        </w:rPr>
        <w:t xml:space="preserve">  </w:t>
      </w:r>
      <w:r w:rsidRPr="002545D5">
        <w:rPr>
          <w:rFonts w:ascii="Sylfaen" w:hAnsi="Sylfaen" w:cs="Sylfaen"/>
        </w:rPr>
        <w:t>მეტწილად</w:t>
      </w:r>
      <w:r w:rsidRPr="002545D5">
        <w:rPr>
          <w:rFonts w:ascii="AcadNusx" w:hAnsi="AcadNusx"/>
        </w:rPr>
        <w:t xml:space="preserve">  </w:t>
      </w:r>
      <w:r w:rsidRPr="002545D5">
        <w:rPr>
          <w:rFonts w:ascii="Sylfaen" w:hAnsi="Sylfaen" w:cs="Sylfaen"/>
        </w:rPr>
        <w:t>სასოფლო</w:t>
      </w:r>
      <w:r w:rsidRPr="002545D5">
        <w:rPr>
          <w:rFonts w:ascii="AcadNusx" w:hAnsi="AcadNusx"/>
        </w:rPr>
        <w:t>-</w:t>
      </w:r>
      <w:r w:rsidRPr="002545D5">
        <w:rPr>
          <w:rFonts w:ascii="Sylfaen" w:hAnsi="Sylfaen" w:cs="Sylfaen"/>
        </w:rPr>
        <w:t>სამეურნეო</w:t>
      </w:r>
      <w:r w:rsidRPr="002545D5">
        <w:rPr>
          <w:rFonts w:ascii="AcadNusx" w:hAnsi="AcadNusx"/>
        </w:rPr>
        <w:t xml:space="preserve">  </w:t>
      </w:r>
      <w:r w:rsidRPr="002545D5">
        <w:rPr>
          <w:rFonts w:ascii="Sylfaen" w:hAnsi="Sylfaen" w:cs="Sylfaen"/>
        </w:rPr>
        <w:t>ხასიათის</w:t>
      </w:r>
      <w:r w:rsidRPr="002545D5">
        <w:rPr>
          <w:rFonts w:ascii="AcadNusx" w:hAnsi="AcadNusx"/>
        </w:rPr>
        <w:t xml:space="preserve">  </w:t>
      </w:r>
      <w:r w:rsidRPr="002545D5">
        <w:rPr>
          <w:rFonts w:ascii="Sylfaen" w:hAnsi="Sylfaen" w:cs="Sylfaen"/>
        </w:rPr>
        <w:t>საგზაო</w:t>
      </w:r>
      <w:r w:rsidRPr="002545D5">
        <w:rPr>
          <w:rFonts w:ascii="AcadNusx" w:hAnsi="AcadNusx"/>
        </w:rPr>
        <w:t xml:space="preserve"> </w:t>
      </w:r>
      <w:r w:rsidRPr="002545D5">
        <w:rPr>
          <w:rFonts w:ascii="Sylfaen" w:hAnsi="Sylfaen" w:cs="Sylfaen"/>
        </w:rPr>
        <w:t>მოძრაობას</w:t>
      </w:r>
      <w:r w:rsidRPr="002545D5">
        <w:rPr>
          <w:rFonts w:ascii="AcadNusx" w:hAnsi="AcadNusx"/>
        </w:rPr>
        <w:t xml:space="preserve">  </w:t>
      </w:r>
      <w:r w:rsidRPr="002545D5">
        <w:rPr>
          <w:rFonts w:ascii="Sylfaen" w:hAnsi="Sylfaen" w:cs="Sylfaen"/>
        </w:rPr>
        <w:t>ემსახურებიან</w:t>
      </w:r>
      <w:r w:rsidRPr="002545D5">
        <w:rPr>
          <w:rFonts w:ascii="AcadNusx" w:hAnsi="AcadNusx"/>
        </w:rPr>
        <w:t xml:space="preserve">,  </w:t>
      </w:r>
      <w:r w:rsidRPr="002545D5">
        <w:rPr>
          <w:rFonts w:ascii="Sylfaen" w:hAnsi="Sylfaen" w:cs="Sylfaen"/>
        </w:rPr>
        <w:t>საპროექტო</w:t>
      </w:r>
      <w:r w:rsidRPr="002545D5">
        <w:rPr>
          <w:rFonts w:ascii="AcadNusx" w:hAnsi="AcadNusx"/>
        </w:rPr>
        <w:t xml:space="preserve">  </w:t>
      </w:r>
      <w:r w:rsidRPr="002545D5">
        <w:rPr>
          <w:rFonts w:ascii="Sylfaen" w:hAnsi="Sylfaen" w:cs="Sylfaen"/>
        </w:rPr>
        <w:t>გზას</w:t>
      </w:r>
      <w:r w:rsidRPr="002545D5">
        <w:rPr>
          <w:rFonts w:ascii="AcadNusx" w:hAnsi="AcadNusx"/>
        </w:rPr>
        <w:t xml:space="preserve">  </w:t>
      </w:r>
      <w:r w:rsidRPr="002545D5">
        <w:rPr>
          <w:rFonts w:ascii="Sylfaen" w:hAnsi="Sylfaen" w:cs="Sylfaen"/>
        </w:rPr>
        <w:t>გადაკვეთენ</w:t>
      </w:r>
      <w:r w:rsidRPr="002545D5">
        <w:rPr>
          <w:rFonts w:ascii="AcadNusx" w:hAnsi="AcadNusx"/>
        </w:rPr>
        <w:t xml:space="preserve">  </w:t>
      </w:r>
      <w:r w:rsidRPr="002545D5">
        <w:rPr>
          <w:rFonts w:ascii="Sylfaen" w:hAnsi="Sylfaen" w:cs="Sylfaen"/>
        </w:rPr>
        <w:t>მართკუთხა</w:t>
      </w:r>
      <w:r w:rsidRPr="002545D5">
        <w:rPr>
          <w:rFonts w:ascii="AcadNusx" w:hAnsi="AcadNusx"/>
        </w:rPr>
        <w:t xml:space="preserve">  </w:t>
      </w:r>
      <w:r w:rsidRPr="002545D5">
        <w:rPr>
          <w:rFonts w:ascii="Sylfaen" w:hAnsi="Sylfaen" w:cs="Sylfaen"/>
        </w:rPr>
        <w:t>განიკვეთიანი</w:t>
      </w:r>
      <w:r w:rsidRPr="002545D5">
        <w:rPr>
          <w:rFonts w:ascii="AcadNusx" w:hAnsi="AcadNusx"/>
        </w:rPr>
        <w:t xml:space="preserve">  (</w:t>
      </w:r>
      <w:r w:rsidRPr="002545D5">
        <w:rPr>
          <w:rFonts w:ascii="Sylfaen" w:hAnsi="Sylfaen" w:cs="Sylfaen"/>
        </w:rPr>
        <w:t>კოლოფისებრი</w:t>
      </w:r>
      <w:r w:rsidRPr="002545D5">
        <w:rPr>
          <w:rFonts w:ascii="AcadNusx" w:hAnsi="AcadNusx"/>
        </w:rPr>
        <w:t xml:space="preserve">) </w:t>
      </w:r>
      <w:r w:rsidRPr="002545D5">
        <w:rPr>
          <w:rFonts w:ascii="Sylfaen" w:hAnsi="Sylfaen" w:cs="Sylfaen"/>
        </w:rPr>
        <w:t>მილებით</w:t>
      </w:r>
      <w:r w:rsidRPr="002545D5">
        <w:rPr>
          <w:rFonts w:ascii="AcadNusx" w:hAnsi="AcadNusx"/>
        </w:rPr>
        <w:t>.</w:t>
      </w:r>
    </w:p>
    <w:p w14:paraId="202D4FC9" w14:textId="77777777" w:rsidR="002545D5" w:rsidRPr="002545D5" w:rsidRDefault="002545D5" w:rsidP="002545D5">
      <w:pPr>
        <w:spacing w:before="120" w:after="120"/>
        <w:rPr>
          <w:rFonts w:ascii="AcadNusx" w:hAnsi="AcadNusx"/>
        </w:rPr>
      </w:pPr>
      <w:r w:rsidRPr="002545D5">
        <w:rPr>
          <w:rFonts w:ascii="Sylfaen" w:hAnsi="Sylfaen" w:cs="Sylfaen"/>
        </w:rPr>
        <w:t>ვიადუკები</w:t>
      </w:r>
      <w:r w:rsidRPr="002545D5">
        <w:rPr>
          <w:rFonts w:ascii="AcadNusx" w:hAnsi="AcadNusx"/>
        </w:rPr>
        <w:t xml:space="preserve"> </w:t>
      </w:r>
      <w:r w:rsidRPr="002545D5">
        <w:rPr>
          <w:rFonts w:ascii="AcadNusx" w:hAnsi="AcadNusx" w:cs="AcadNusx"/>
        </w:rPr>
        <w:t>–</w:t>
      </w:r>
      <w:r w:rsidRPr="002545D5">
        <w:rPr>
          <w:rFonts w:ascii="AcadNusx" w:hAnsi="AcadNusx"/>
        </w:rPr>
        <w:t xml:space="preserve"> </w:t>
      </w:r>
      <w:r w:rsidRPr="002545D5">
        <w:rPr>
          <w:rFonts w:ascii="Sylfaen" w:hAnsi="Sylfaen" w:cs="Sylfaen"/>
        </w:rPr>
        <w:t>ეს</w:t>
      </w:r>
      <w:r w:rsidRPr="002545D5">
        <w:rPr>
          <w:rFonts w:ascii="AcadNusx" w:hAnsi="AcadNusx"/>
        </w:rPr>
        <w:t xml:space="preserve"> </w:t>
      </w:r>
      <w:r w:rsidRPr="002545D5">
        <w:rPr>
          <w:rFonts w:ascii="Sylfaen" w:hAnsi="Sylfaen" w:cs="Sylfaen"/>
        </w:rPr>
        <w:t>ჯგუფი</w:t>
      </w:r>
      <w:r w:rsidRPr="002545D5">
        <w:rPr>
          <w:rFonts w:ascii="AcadNusx" w:hAnsi="AcadNusx"/>
        </w:rPr>
        <w:t xml:space="preserve"> </w:t>
      </w:r>
      <w:r w:rsidRPr="002545D5">
        <w:rPr>
          <w:rFonts w:ascii="Sylfaen" w:hAnsi="Sylfaen" w:cs="Sylfaen"/>
        </w:rPr>
        <w:t>მოიცავს</w:t>
      </w:r>
      <w:r w:rsidRPr="002545D5">
        <w:rPr>
          <w:rFonts w:ascii="AcadNusx" w:hAnsi="AcadNusx"/>
        </w:rPr>
        <w:t xml:space="preserve"> </w:t>
      </w:r>
      <w:r w:rsidRPr="002545D5">
        <w:rPr>
          <w:rFonts w:ascii="Sylfaen" w:hAnsi="Sylfaen" w:cs="Sylfaen"/>
        </w:rPr>
        <w:t>მთავარ</w:t>
      </w:r>
      <w:r w:rsidRPr="002545D5">
        <w:rPr>
          <w:rFonts w:ascii="AcadNusx" w:hAnsi="AcadNusx"/>
        </w:rPr>
        <w:t xml:space="preserve"> </w:t>
      </w:r>
      <w:r w:rsidRPr="002545D5">
        <w:rPr>
          <w:rFonts w:ascii="Sylfaen" w:hAnsi="Sylfaen" w:cs="Sylfaen"/>
        </w:rPr>
        <w:t>ტრასაზე</w:t>
      </w:r>
      <w:r w:rsidRPr="002545D5">
        <w:rPr>
          <w:rFonts w:ascii="AcadNusx" w:hAnsi="AcadNusx"/>
        </w:rPr>
        <w:t xml:space="preserve"> </w:t>
      </w:r>
      <w:r w:rsidRPr="002545D5">
        <w:rPr>
          <w:rFonts w:ascii="Sylfaen" w:hAnsi="Sylfaen" w:cs="Sylfaen"/>
        </w:rPr>
        <w:t>მდებარე</w:t>
      </w:r>
      <w:r w:rsidRPr="002545D5">
        <w:rPr>
          <w:rFonts w:ascii="AcadNusx" w:hAnsi="AcadNusx"/>
        </w:rPr>
        <w:t xml:space="preserve"> </w:t>
      </w:r>
      <w:r w:rsidRPr="002545D5">
        <w:rPr>
          <w:rFonts w:ascii="Sylfaen" w:hAnsi="Sylfaen" w:cs="Sylfaen"/>
        </w:rPr>
        <w:t>ორ</w:t>
      </w:r>
      <w:r w:rsidRPr="002545D5">
        <w:rPr>
          <w:rFonts w:ascii="AcadNusx" w:hAnsi="AcadNusx"/>
        </w:rPr>
        <w:t xml:space="preserve"> </w:t>
      </w:r>
      <w:r w:rsidRPr="002545D5">
        <w:rPr>
          <w:rFonts w:ascii="Sylfaen" w:hAnsi="Sylfaen" w:cs="Sylfaen"/>
        </w:rPr>
        <w:t>ვიადუკის</w:t>
      </w:r>
      <w:r w:rsidRPr="002545D5">
        <w:rPr>
          <w:rFonts w:ascii="AcadNusx" w:hAnsi="AcadNusx"/>
        </w:rPr>
        <w:t xml:space="preserve"> </w:t>
      </w:r>
      <w:r w:rsidRPr="002545D5">
        <w:rPr>
          <w:rFonts w:ascii="Sylfaen" w:hAnsi="Sylfaen" w:cs="Sylfaen"/>
        </w:rPr>
        <w:t>ტიპის</w:t>
      </w:r>
      <w:r w:rsidRPr="002545D5">
        <w:rPr>
          <w:rFonts w:ascii="AcadNusx" w:hAnsi="AcadNusx"/>
        </w:rPr>
        <w:t xml:space="preserve"> </w:t>
      </w:r>
      <w:r w:rsidRPr="002545D5">
        <w:rPr>
          <w:rFonts w:ascii="Sylfaen" w:hAnsi="Sylfaen" w:cs="Sylfaen"/>
        </w:rPr>
        <w:t>სახიდე</w:t>
      </w:r>
      <w:r w:rsidRPr="002545D5">
        <w:rPr>
          <w:rFonts w:ascii="AcadNusx" w:hAnsi="AcadNusx"/>
        </w:rPr>
        <w:t xml:space="preserve"> </w:t>
      </w:r>
      <w:r w:rsidRPr="002545D5">
        <w:rPr>
          <w:rFonts w:ascii="Sylfaen" w:hAnsi="Sylfaen" w:cs="Sylfaen"/>
        </w:rPr>
        <w:t>ნაგებობას</w:t>
      </w:r>
      <w:r w:rsidRPr="002545D5">
        <w:rPr>
          <w:rFonts w:ascii="AcadNusx" w:hAnsi="AcadNusx"/>
        </w:rPr>
        <w:t xml:space="preserve">, </w:t>
      </w:r>
      <w:r w:rsidRPr="002545D5">
        <w:rPr>
          <w:rFonts w:ascii="Sylfaen" w:hAnsi="Sylfaen" w:cs="Sylfaen"/>
        </w:rPr>
        <w:t>რომლებიც</w:t>
      </w:r>
      <w:r w:rsidRPr="002545D5">
        <w:rPr>
          <w:rFonts w:ascii="AcadNusx" w:hAnsi="AcadNusx"/>
        </w:rPr>
        <w:t xml:space="preserve"> </w:t>
      </w:r>
      <w:r w:rsidRPr="002545D5">
        <w:rPr>
          <w:rFonts w:ascii="Sylfaen" w:hAnsi="Sylfaen" w:cs="Sylfaen"/>
        </w:rPr>
        <w:t>კვეთენ</w:t>
      </w:r>
      <w:r w:rsidRPr="002545D5">
        <w:rPr>
          <w:rFonts w:ascii="AcadNusx" w:hAnsi="AcadNusx"/>
        </w:rPr>
        <w:t xml:space="preserve"> </w:t>
      </w:r>
      <w:r w:rsidRPr="002545D5">
        <w:rPr>
          <w:rFonts w:ascii="Sylfaen" w:hAnsi="Sylfaen" w:cs="Sylfaen"/>
        </w:rPr>
        <w:t>საირიგაციო</w:t>
      </w:r>
      <w:r w:rsidRPr="002545D5">
        <w:rPr>
          <w:rFonts w:ascii="AcadNusx" w:hAnsi="AcadNusx"/>
        </w:rPr>
        <w:t xml:space="preserve"> </w:t>
      </w:r>
      <w:r w:rsidRPr="002545D5">
        <w:rPr>
          <w:rFonts w:ascii="Sylfaen" w:hAnsi="Sylfaen" w:cs="Sylfaen"/>
        </w:rPr>
        <w:t>არხს</w:t>
      </w:r>
      <w:r w:rsidRPr="002545D5">
        <w:rPr>
          <w:rFonts w:ascii="AcadNusx" w:hAnsi="AcadNusx"/>
        </w:rPr>
        <w:t xml:space="preserve"> </w:t>
      </w:r>
      <w:r w:rsidRPr="002545D5">
        <w:rPr>
          <w:rFonts w:ascii="Sylfaen" w:hAnsi="Sylfaen" w:cs="Sylfaen"/>
        </w:rPr>
        <w:t>და</w:t>
      </w:r>
      <w:r w:rsidRPr="002545D5">
        <w:rPr>
          <w:rFonts w:ascii="AcadNusx" w:hAnsi="AcadNusx"/>
        </w:rPr>
        <w:t xml:space="preserve"> </w:t>
      </w:r>
      <w:r w:rsidRPr="002545D5">
        <w:rPr>
          <w:rFonts w:ascii="Sylfaen" w:hAnsi="Sylfaen" w:cs="Sylfaen"/>
        </w:rPr>
        <w:t>ადგილობრივ</w:t>
      </w:r>
      <w:r w:rsidRPr="002545D5">
        <w:rPr>
          <w:rFonts w:ascii="AcadNusx" w:hAnsi="AcadNusx"/>
        </w:rPr>
        <w:t xml:space="preserve"> </w:t>
      </w:r>
      <w:r w:rsidRPr="002545D5">
        <w:rPr>
          <w:rFonts w:ascii="Sylfaen" w:hAnsi="Sylfaen" w:cs="Sylfaen"/>
        </w:rPr>
        <w:t>გზას</w:t>
      </w:r>
      <w:r w:rsidRPr="002545D5">
        <w:rPr>
          <w:rFonts w:ascii="AcadNusx" w:hAnsi="AcadNusx"/>
        </w:rPr>
        <w:t xml:space="preserve"> </w:t>
      </w:r>
      <w:r w:rsidRPr="002545D5">
        <w:rPr>
          <w:rFonts w:ascii="Sylfaen" w:hAnsi="Sylfaen" w:cs="Sylfaen"/>
        </w:rPr>
        <w:t>ხეობაზე</w:t>
      </w:r>
      <w:r w:rsidRPr="002545D5">
        <w:rPr>
          <w:rFonts w:ascii="AcadNusx" w:hAnsi="AcadNusx"/>
        </w:rPr>
        <w:t xml:space="preserve"> </w:t>
      </w:r>
      <w:r w:rsidRPr="002545D5">
        <w:rPr>
          <w:rFonts w:ascii="Sylfaen" w:hAnsi="Sylfaen" w:cs="Sylfaen"/>
        </w:rPr>
        <w:t>გადასასვლელი</w:t>
      </w:r>
      <w:r w:rsidRPr="002545D5">
        <w:rPr>
          <w:rFonts w:ascii="AcadNusx" w:hAnsi="AcadNusx"/>
        </w:rPr>
        <w:t xml:space="preserve"> </w:t>
      </w:r>
      <w:r w:rsidRPr="002545D5">
        <w:rPr>
          <w:rFonts w:ascii="Sylfaen" w:hAnsi="Sylfaen" w:cs="Sylfaen"/>
        </w:rPr>
        <w:t>შედარებით</w:t>
      </w:r>
      <w:r w:rsidRPr="002545D5">
        <w:rPr>
          <w:rFonts w:ascii="AcadNusx" w:hAnsi="AcadNusx"/>
        </w:rPr>
        <w:t xml:space="preserve"> </w:t>
      </w:r>
      <w:r w:rsidRPr="002545D5">
        <w:rPr>
          <w:rFonts w:ascii="Sylfaen" w:hAnsi="Sylfaen" w:cs="Sylfaen"/>
        </w:rPr>
        <w:t>გრძელი</w:t>
      </w:r>
      <w:r w:rsidRPr="002545D5">
        <w:rPr>
          <w:rFonts w:ascii="AcadNusx" w:hAnsi="AcadNusx"/>
        </w:rPr>
        <w:t xml:space="preserve"> </w:t>
      </w:r>
      <w:r w:rsidRPr="002545D5">
        <w:rPr>
          <w:rFonts w:ascii="Sylfaen" w:hAnsi="Sylfaen" w:cs="Sylfaen"/>
        </w:rPr>
        <w:t>კონსტრუქციების</w:t>
      </w:r>
      <w:r w:rsidRPr="002545D5">
        <w:rPr>
          <w:rFonts w:ascii="AcadNusx" w:hAnsi="AcadNusx"/>
        </w:rPr>
        <w:t xml:space="preserve"> </w:t>
      </w:r>
      <w:r w:rsidRPr="002545D5">
        <w:rPr>
          <w:rFonts w:ascii="Sylfaen" w:hAnsi="Sylfaen" w:cs="Sylfaen"/>
        </w:rPr>
        <w:t>სახით</w:t>
      </w:r>
      <w:r w:rsidRPr="002545D5">
        <w:rPr>
          <w:rFonts w:ascii="AcadNusx" w:hAnsi="AcadNusx"/>
        </w:rPr>
        <w:t>.</w:t>
      </w:r>
    </w:p>
    <w:p w14:paraId="055A9ADB" w14:textId="77777777" w:rsidR="002545D5" w:rsidRPr="002545D5" w:rsidRDefault="002545D5" w:rsidP="002545D5">
      <w:pPr>
        <w:spacing w:before="120" w:after="120"/>
        <w:rPr>
          <w:rFonts w:ascii="AcadNusx" w:hAnsi="AcadNusx"/>
        </w:rPr>
      </w:pPr>
      <w:r w:rsidRPr="002545D5">
        <w:rPr>
          <w:rFonts w:ascii="Sylfaen" w:hAnsi="Sylfaen" w:cs="Sylfaen"/>
        </w:rPr>
        <w:t>ჯამში</w:t>
      </w:r>
      <w:r w:rsidRPr="002545D5">
        <w:rPr>
          <w:rFonts w:ascii="AcadNusx" w:hAnsi="AcadNusx"/>
        </w:rPr>
        <w:t xml:space="preserve">, </w:t>
      </w:r>
      <w:r w:rsidRPr="002545D5">
        <w:rPr>
          <w:rFonts w:ascii="Sylfaen" w:hAnsi="Sylfaen" w:cs="Sylfaen"/>
        </w:rPr>
        <w:t>მოცემული</w:t>
      </w:r>
      <w:r w:rsidRPr="002545D5">
        <w:rPr>
          <w:rFonts w:ascii="AcadNusx" w:hAnsi="AcadNusx"/>
        </w:rPr>
        <w:t xml:space="preserve"> </w:t>
      </w:r>
      <w:r w:rsidRPr="002545D5">
        <w:rPr>
          <w:rFonts w:ascii="Sylfaen" w:hAnsi="Sylfaen" w:cs="Sylfaen"/>
        </w:rPr>
        <w:t>პროექტის</w:t>
      </w:r>
      <w:r w:rsidRPr="002545D5">
        <w:rPr>
          <w:rFonts w:ascii="AcadNusx" w:hAnsi="AcadNusx"/>
        </w:rPr>
        <w:t xml:space="preserve"> </w:t>
      </w:r>
      <w:r w:rsidRPr="002545D5">
        <w:rPr>
          <w:rFonts w:ascii="Sylfaen" w:hAnsi="Sylfaen" w:cs="Sylfaen"/>
        </w:rPr>
        <w:t>ფარგლებში</w:t>
      </w:r>
      <w:r w:rsidRPr="002545D5">
        <w:rPr>
          <w:rFonts w:ascii="AcadNusx" w:hAnsi="AcadNusx"/>
        </w:rPr>
        <w:t xml:space="preserve"> </w:t>
      </w:r>
      <w:r w:rsidRPr="002545D5">
        <w:rPr>
          <w:rFonts w:ascii="Sylfaen" w:hAnsi="Sylfaen" w:cs="Sylfaen"/>
        </w:rPr>
        <w:t>ასაშენებლად</w:t>
      </w:r>
      <w:r w:rsidRPr="002545D5">
        <w:rPr>
          <w:rFonts w:ascii="AcadNusx" w:hAnsi="AcadNusx"/>
        </w:rPr>
        <w:t xml:space="preserve"> </w:t>
      </w:r>
      <w:r w:rsidRPr="002545D5">
        <w:rPr>
          <w:rFonts w:ascii="Sylfaen" w:hAnsi="Sylfaen" w:cs="Sylfaen"/>
        </w:rPr>
        <w:t>იდენტიფიცირებულია</w:t>
      </w:r>
      <w:r w:rsidRPr="002545D5">
        <w:rPr>
          <w:rFonts w:ascii="AcadNusx" w:hAnsi="AcadNusx"/>
        </w:rPr>
        <w:t xml:space="preserve"> 23 </w:t>
      </w:r>
      <w:r w:rsidRPr="002545D5">
        <w:rPr>
          <w:rFonts w:ascii="Sylfaen" w:hAnsi="Sylfaen" w:cs="Sylfaen"/>
        </w:rPr>
        <w:t>სახიდე</w:t>
      </w:r>
      <w:r w:rsidRPr="002545D5">
        <w:rPr>
          <w:rFonts w:ascii="AcadNusx" w:hAnsi="AcadNusx"/>
        </w:rPr>
        <w:t xml:space="preserve"> </w:t>
      </w:r>
      <w:r w:rsidRPr="002545D5">
        <w:rPr>
          <w:rFonts w:ascii="Sylfaen" w:hAnsi="Sylfaen" w:cs="Sylfaen"/>
        </w:rPr>
        <w:t>გადასასვლელი</w:t>
      </w:r>
      <w:r w:rsidRPr="002545D5">
        <w:rPr>
          <w:rFonts w:ascii="AcadNusx" w:hAnsi="AcadNusx"/>
        </w:rPr>
        <w:t xml:space="preserve">. </w:t>
      </w:r>
    </w:p>
    <w:p w14:paraId="6E79456D" w14:textId="77777777" w:rsidR="00EA3205" w:rsidRPr="00B05F62" w:rsidRDefault="00EA3205" w:rsidP="00EA3205">
      <w:pPr>
        <w:rPr>
          <w:rFonts w:ascii="AcadNusx" w:hAnsi="AcadNusx"/>
        </w:rPr>
      </w:pPr>
    </w:p>
    <w:p w14:paraId="3D695CD6" w14:textId="47542059" w:rsidR="00EA3205" w:rsidRPr="005C0EEC" w:rsidRDefault="00EA3205" w:rsidP="005C0EEC">
      <w:pPr>
        <w:pStyle w:val="Heading3"/>
        <w:rPr>
          <w:rFonts w:ascii="AcadNusx" w:hAnsi="AcadNusx"/>
        </w:rPr>
      </w:pPr>
      <w:bookmarkStart w:id="136" w:name="_Toc1581518"/>
      <w:r w:rsidRPr="005C0EEC">
        <w:rPr>
          <w:rFonts w:ascii="AcadNusx" w:hAnsi="AcadNusx"/>
        </w:rPr>
        <w:lastRenderedPageBreak/>
        <w:t>4.</w:t>
      </w:r>
      <w:r w:rsidR="00485FE3">
        <w:rPr>
          <w:rFonts w:ascii="Sylfaen" w:hAnsi="Sylfaen"/>
          <w:lang w:val="ka-GE"/>
        </w:rPr>
        <w:t>12</w:t>
      </w:r>
      <w:r w:rsidRPr="005C0EEC">
        <w:rPr>
          <w:rFonts w:ascii="AcadNusx" w:hAnsi="AcadNusx"/>
        </w:rPr>
        <w:t>.1</w:t>
      </w:r>
      <w:r w:rsidRPr="005C0EEC">
        <w:rPr>
          <w:rFonts w:ascii="AcadNusx" w:hAnsi="AcadNusx"/>
        </w:rPr>
        <w:tab/>
      </w:r>
      <w:bookmarkEnd w:id="135"/>
      <w:r w:rsidR="00373702">
        <w:rPr>
          <w:rFonts w:ascii="Sylfaen" w:hAnsi="Sylfaen"/>
          <w:lang w:val="ka-GE"/>
        </w:rPr>
        <w:t>ხიდების სავალი ნაწილი</w:t>
      </w:r>
      <w:bookmarkEnd w:id="136"/>
    </w:p>
    <w:p w14:paraId="4CBD958C" w14:textId="77777777" w:rsidR="004B5AC7" w:rsidRPr="004B5AC7" w:rsidRDefault="004B5AC7" w:rsidP="004B5AC7">
      <w:pPr>
        <w:spacing w:before="120" w:after="120"/>
        <w:rPr>
          <w:rFonts w:ascii="Sylfaen" w:hAnsi="Sylfaen"/>
          <w:b/>
          <w:lang w:val="ka-GE"/>
        </w:rPr>
      </w:pPr>
      <w:r w:rsidRPr="004B5AC7">
        <w:rPr>
          <w:rFonts w:ascii="Sylfaen" w:hAnsi="Sylfaen"/>
          <w:b/>
          <w:lang w:val="ka-GE"/>
        </w:rPr>
        <w:t>ხიდის განივი კვეთი</w:t>
      </w:r>
    </w:p>
    <w:p w14:paraId="775B5D1A" w14:textId="05DE136A" w:rsidR="004B5AC7" w:rsidRPr="004B5AC7" w:rsidRDefault="004B5AC7" w:rsidP="004B5AC7">
      <w:pPr>
        <w:spacing w:before="120" w:after="120"/>
        <w:rPr>
          <w:rFonts w:ascii="AcadNusx" w:hAnsi="AcadNusx"/>
          <w:lang w:val="ka-GE"/>
        </w:rPr>
      </w:pPr>
      <w:r w:rsidRPr="004B5AC7">
        <w:rPr>
          <w:rFonts w:ascii="Sylfaen" w:hAnsi="Sylfaen" w:cs="Sylfaen"/>
          <w:lang w:val="ka-GE"/>
        </w:rPr>
        <w:t>ხიდის</w:t>
      </w:r>
      <w:r w:rsidRPr="004B5AC7">
        <w:rPr>
          <w:rFonts w:ascii="AcadNusx" w:hAnsi="AcadNusx"/>
          <w:lang w:val="ka-GE"/>
        </w:rPr>
        <w:t xml:space="preserve"> </w:t>
      </w:r>
      <w:r w:rsidRPr="004B5AC7">
        <w:rPr>
          <w:rFonts w:ascii="Sylfaen" w:hAnsi="Sylfaen" w:cs="Sylfaen"/>
          <w:lang w:val="ka-GE"/>
        </w:rPr>
        <w:t>სავალი</w:t>
      </w:r>
      <w:r w:rsidRPr="004B5AC7">
        <w:rPr>
          <w:rFonts w:ascii="AcadNusx" w:hAnsi="AcadNusx"/>
          <w:lang w:val="ka-GE"/>
        </w:rPr>
        <w:t xml:space="preserve"> </w:t>
      </w:r>
      <w:r w:rsidRPr="004B5AC7">
        <w:rPr>
          <w:rFonts w:ascii="Sylfaen" w:hAnsi="Sylfaen" w:cs="Sylfaen"/>
          <w:lang w:val="ka-GE"/>
        </w:rPr>
        <w:t>ნაწილისთვის</w:t>
      </w:r>
      <w:r w:rsidRPr="004B5AC7">
        <w:rPr>
          <w:rFonts w:ascii="AcadNusx" w:hAnsi="AcadNusx"/>
          <w:lang w:val="ka-GE"/>
        </w:rPr>
        <w:t xml:space="preserve"> </w:t>
      </w:r>
      <w:r w:rsidRPr="004B5AC7">
        <w:rPr>
          <w:rFonts w:ascii="Sylfaen" w:hAnsi="Sylfaen" w:cs="Sylfaen"/>
          <w:lang w:val="ka-GE"/>
        </w:rPr>
        <w:t>შერჩეული</w:t>
      </w:r>
      <w:r w:rsidRPr="004B5AC7">
        <w:rPr>
          <w:rFonts w:ascii="AcadNusx" w:hAnsi="AcadNusx"/>
          <w:lang w:val="ka-GE"/>
        </w:rPr>
        <w:t xml:space="preserve"> </w:t>
      </w:r>
      <w:r w:rsidRPr="004B5AC7">
        <w:rPr>
          <w:rFonts w:ascii="Sylfaen" w:hAnsi="Sylfaen" w:cs="Sylfaen"/>
          <w:lang w:val="ka-GE"/>
        </w:rPr>
        <w:t>გეომეტრიული</w:t>
      </w:r>
      <w:r w:rsidRPr="004B5AC7">
        <w:rPr>
          <w:rFonts w:ascii="AcadNusx" w:hAnsi="AcadNusx"/>
          <w:lang w:val="ka-GE"/>
        </w:rPr>
        <w:t xml:space="preserve"> </w:t>
      </w:r>
      <w:r w:rsidRPr="004B5AC7">
        <w:rPr>
          <w:rFonts w:ascii="Sylfaen" w:hAnsi="Sylfaen" w:cs="Sylfaen"/>
          <w:lang w:val="ka-GE"/>
        </w:rPr>
        <w:t>პარამეტრები</w:t>
      </w:r>
      <w:r w:rsidRPr="004B5AC7">
        <w:rPr>
          <w:rFonts w:ascii="AcadNusx" w:hAnsi="AcadNusx"/>
          <w:lang w:val="ka-GE"/>
        </w:rPr>
        <w:t xml:space="preserve"> </w:t>
      </w:r>
      <w:r w:rsidRPr="004B5AC7">
        <w:rPr>
          <w:rFonts w:ascii="Sylfaen" w:hAnsi="Sylfaen" w:cs="Sylfaen"/>
          <w:lang w:val="ka-GE"/>
        </w:rPr>
        <w:t>დაფუძნებულია</w:t>
      </w:r>
      <w:r>
        <w:rPr>
          <w:rFonts w:ascii="Sylfaen" w:hAnsi="Sylfaen" w:cs="Sylfaen"/>
          <w:lang w:val="ka-GE"/>
        </w:rPr>
        <w:t xml:space="preserve"> </w:t>
      </w:r>
      <w:r w:rsidRPr="004B5AC7">
        <w:rPr>
          <w:rFonts w:ascii="Sylfaen" w:hAnsi="Sylfaen" w:cs="Sylfaen"/>
          <w:lang w:val="ka-GE"/>
        </w:rPr>
        <w:t>ნორმატიულ</w:t>
      </w:r>
      <w:r w:rsidRPr="004B5AC7">
        <w:rPr>
          <w:rFonts w:ascii="AcadNusx" w:hAnsi="AcadNusx"/>
          <w:lang w:val="ka-GE"/>
        </w:rPr>
        <w:t xml:space="preserve"> </w:t>
      </w:r>
      <w:r w:rsidRPr="004B5AC7">
        <w:rPr>
          <w:rFonts w:ascii="Sylfaen" w:hAnsi="Sylfaen" w:cs="Sylfaen"/>
          <w:lang w:val="ka-GE"/>
        </w:rPr>
        <w:t>დოკუმენტზე</w:t>
      </w:r>
      <w:r w:rsidRPr="004B5AC7">
        <w:rPr>
          <w:rFonts w:ascii="AcadNusx" w:hAnsi="AcadNusx"/>
          <w:lang w:val="ka-GE"/>
        </w:rPr>
        <w:t xml:space="preserve"> </w:t>
      </w:r>
      <w:r w:rsidRPr="004B5AC7">
        <w:rPr>
          <w:rFonts w:ascii="AcadNusx" w:hAnsi="AcadNusx" w:cs="AcadNusx"/>
          <w:lang w:val="ka-GE"/>
        </w:rPr>
        <w:t>“</w:t>
      </w:r>
      <w:r w:rsidRPr="004B5AC7">
        <w:rPr>
          <w:rFonts w:ascii="Sylfaen" w:hAnsi="Sylfaen" w:cs="Sylfaen"/>
          <w:lang w:val="ka-GE"/>
        </w:rPr>
        <w:t>გეომეტრიული</w:t>
      </w:r>
      <w:r w:rsidRPr="004B5AC7">
        <w:rPr>
          <w:rFonts w:ascii="AcadNusx" w:hAnsi="AcadNusx"/>
          <w:lang w:val="ka-GE"/>
        </w:rPr>
        <w:t xml:space="preserve"> </w:t>
      </w:r>
      <w:r w:rsidRPr="004B5AC7">
        <w:rPr>
          <w:rFonts w:ascii="Sylfaen" w:hAnsi="Sylfaen" w:cs="Sylfaen"/>
          <w:lang w:val="ka-GE"/>
        </w:rPr>
        <w:t>და</w:t>
      </w:r>
      <w:r w:rsidRPr="004B5AC7">
        <w:rPr>
          <w:rFonts w:ascii="AcadNusx" w:hAnsi="AcadNusx"/>
          <w:lang w:val="ka-GE"/>
        </w:rPr>
        <w:t xml:space="preserve"> </w:t>
      </w:r>
      <w:r w:rsidRPr="004B5AC7">
        <w:rPr>
          <w:rFonts w:ascii="Sylfaen" w:hAnsi="Sylfaen" w:cs="Sylfaen"/>
          <w:lang w:val="ka-GE"/>
        </w:rPr>
        <w:t>კონსტრუქციული</w:t>
      </w:r>
      <w:r w:rsidRPr="004B5AC7">
        <w:rPr>
          <w:rFonts w:ascii="AcadNusx" w:hAnsi="AcadNusx"/>
          <w:lang w:val="ka-GE"/>
        </w:rPr>
        <w:t xml:space="preserve"> </w:t>
      </w:r>
      <w:r w:rsidRPr="004B5AC7">
        <w:rPr>
          <w:rFonts w:ascii="Sylfaen" w:hAnsi="Sylfaen" w:cs="Sylfaen"/>
          <w:lang w:val="ka-GE"/>
        </w:rPr>
        <w:t>მოთხოვნები</w:t>
      </w:r>
      <w:r>
        <w:rPr>
          <w:rFonts w:ascii="Sylfaen" w:hAnsi="Sylfaen" w:cs="Sylfaen"/>
          <w:lang w:val="ka-GE"/>
        </w:rPr>
        <w:t xml:space="preserve"> </w:t>
      </w:r>
      <w:r w:rsidRPr="004B5AC7">
        <w:rPr>
          <w:rFonts w:ascii="Sylfaen" w:hAnsi="Sylfaen" w:cs="Sylfaen"/>
          <w:lang w:val="ka-GE"/>
        </w:rPr>
        <w:t>საქართველოს</w:t>
      </w:r>
      <w:r w:rsidRPr="004B5AC7">
        <w:rPr>
          <w:rFonts w:ascii="AcadNusx" w:hAnsi="AcadNusx"/>
          <w:lang w:val="ka-GE"/>
        </w:rPr>
        <w:t xml:space="preserve"> </w:t>
      </w:r>
      <w:r w:rsidRPr="004B5AC7">
        <w:rPr>
          <w:rFonts w:ascii="Sylfaen" w:hAnsi="Sylfaen" w:cs="Sylfaen"/>
          <w:lang w:val="ka-GE"/>
        </w:rPr>
        <w:t>საერთო</w:t>
      </w:r>
      <w:r w:rsidRPr="004B5AC7">
        <w:rPr>
          <w:rFonts w:ascii="AcadNusx" w:hAnsi="AcadNusx"/>
          <w:lang w:val="ka-GE"/>
        </w:rPr>
        <w:t xml:space="preserve"> </w:t>
      </w:r>
      <w:r w:rsidRPr="004B5AC7">
        <w:rPr>
          <w:rFonts w:ascii="Sylfaen" w:hAnsi="Sylfaen" w:cs="Sylfaen"/>
          <w:lang w:val="ka-GE"/>
        </w:rPr>
        <w:t>დანიშნულების</w:t>
      </w:r>
      <w:r w:rsidRPr="004B5AC7">
        <w:rPr>
          <w:rFonts w:ascii="AcadNusx" w:hAnsi="AcadNusx"/>
          <w:lang w:val="ka-GE"/>
        </w:rPr>
        <w:t xml:space="preserve"> </w:t>
      </w:r>
      <w:r w:rsidRPr="004B5AC7">
        <w:rPr>
          <w:rFonts w:ascii="Sylfaen" w:hAnsi="Sylfaen" w:cs="Sylfaen"/>
          <w:lang w:val="ka-GE"/>
        </w:rPr>
        <w:t>საავტომობილო</w:t>
      </w:r>
      <w:r w:rsidRPr="004B5AC7">
        <w:rPr>
          <w:rFonts w:ascii="AcadNusx" w:hAnsi="AcadNusx"/>
          <w:lang w:val="ka-GE"/>
        </w:rPr>
        <w:t xml:space="preserve"> </w:t>
      </w:r>
      <w:r w:rsidRPr="004B5AC7">
        <w:rPr>
          <w:rFonts w:ascii="Sylfaen" w:hAnsi="Sylfaen" w:cs="Sylfaen"/>
          <w:lang w:val="ka-GE"/>
        </w:rPr>
        <w:t>გზებისთვის</w:t>
      </w:r>
      <w:r w:rsidRPr="004B5AC7">
        <w:rPr>
          <w:rFonts w:ascii="AcadNusx" w:hAnsi="AcadNusx" w:cs="AcadNusx"/>
          <w:lang w:val="ka-GE"/>
        </w:rPr>
        <w:t>”</w:t>
      </w:r>
      <w:r w:rsidRPr="004B5AC7">
        <w:rPr>
          <w:rFonts w:ascii="AcadNusx" w:hAnsi="AcadNusx"/>
          <w:lang w:val="ka-GE"/>
        </w:rPr>
        <w:t xml:space="preserve">, </w:t>
      </w:r>
      <w:r w:rsidRPr="004B5AC7">
        <w:rPr>
          <w:rFonts w:ascii="Sylfaen" w:hAnsi="Sylfaen" w:cs="Sylfaen"/>
          <w:lang w:val="ka-GE"/>
        </w:rPr>
        <w:t>კერძოდ</w:t>
      </w:r>
      <w:r w:rsidRPr="004B5AC7">
        <w:rPr>
          <w:rFonts w:ascii="AcadNusx" w:hAnsi="AcadNusx"/>
          <w:lang w:val="ka-GE"/>
        </w:rPr>
        <w:t>:</w:t>
      </w:r>
    </w:p>
    <w:p w14:paraId="7D6A221E" w14:textId="6EDFF5D7" w:rsidR="004B5AC7" w:rsidRPr="004B5AC7" w:rsidRDefault="004B5AC7" w:rsidP="004B5AC7">
      <w:pPr>
        <w:spacing w:before="120" w:after="120"/>
        <w:rPr>
          <w:rFonts w:ascii="AcadNusx" w:hAnsi="AcadNusx"/>
          <w:lang w:val="ka-GE"/>
        </w:rPr>
      </w:pPr>
      <w:r w:rsidRPr="004B5AC7">
        <w:rPr>
          <w:rFonts w:ascii="Sylfaen" w:hAnsi="Sylfaen" w:cs="Sylfaen"/>
          <w:lang w:val="ka-GE"/>
        </w:rPr>
        <w:t>მოძრაობის</w:t>
      </w:r>
      <w:r w:rsidRPr="004B5AC7">
        <w:rPr>
          <w:rFonts w:ascii="AcadNusx" w:hAnsi="AcadNusx"/>
          <w:lang w:val="ka-GE"/>
        </w:rPr>
        <w:t xml:space="preserve"> </w:t>
      </w:r>
      <w:r w:rsidRPr="004B5AC7">
        <w:rPr>
          <w:rFonts w:ascii="Sylfaen" w:hAnsi="Sylfaen" w:cs="Sylfaen"/>
          <w:lang w:val="ka-GE"/>
        </w:rPr>
        <w:t>ზოლის</w:t>
      </w:r>
      <w:r w:rsidRPr="004B5AC7">
        <w:rPr>
          <w:rFonts w:ascii="AcadNusx" w:hAnsi="AcadNusx"/>
          <w:lang w:val="ka-GE"/>
        </w:rPr>
        <w:t xml:space="preserve"> </w:t>
      </w:r>
      <w:r w:rsidRPr="004B5AC7">
        <w:rPr>
          <w:rFonts w:ascii="Sylfaen" w:hAnsi="Sylfaen" w:cs="Sylfaen"/>
          <w:lang w:val="ka-GE"/>
        </w:rPr>
        <w:t>სიგანე</w:t>
      </w:r>
      <w:r w:rsidRPr="004B5AC7">
        <w:rPr>
          <w:rFonts w:ascii="AcadNusx" w:hAnsi="AcadNusx"/>
          <w:lang w:val="ka-GE"/>
        </w:rPr>
        <w:t xml:space="preserve"> </w:t>
      </w:r>
      <w:r w:rsidRPr="004B5AC7">
        <w:rPr>
          <w:rFonts w:ascii="Sylfaen" w:hAnsi="Sylfaen" w:cs="Sylfaen"/>
          <w:lang w:val="ka-GE"/>
        </w:rPr>
        <w:t>შეადგენს</w:t>
      </w:r>
      <w:r w:rsidRPr="004B5AC7">
        <w:rPr>
          <w:rFonts w:ascii="AcadNusx" w:hAnsi="AcadNusx"/>
          <w:lang w:val="ka-GE"/>
        </w:rPr>
        <w:t xml:space="preserve"> 3.0 </w:t>
      </w:r>
      <w:r w:rsidRPr="004B5AC7">
        <w:rPr>
          <w:rFonts w:ascii="Sylfaen" w:hAnsi="Sylfaen" w:cs="Sylfaen"/>
          <w:lang w:val="ka-GE"/>
        </w:rPr>
        <w:t>მეტრს</w:t>
      </w:r>
      <w:r w:rsidRPr="004B5AC7">
        <w:rPr>
          <w:rFonts w:ascii="AcadNusx" w:hAnsi="AcadNusx"/>
          <w:lang w:val="ka-GE"/>
        </w:rPr>
        <w:t xml:space="preserve">, </w:t>
      </w:r>
      <w:r w:rsidRPr="004B5AC7">
        <w:rPr>
          <w:rFonts w:ascii="Sylfaen" w:hAnsi="Sylfaen" w:cs="Sylfaen"/>
          <w:lang w:val="ka-GE"/>
        </w:rPr>
        <w:t>საპროექტო</w:t>
      </w:r>
      <w:r w:rsidRPr="004B5AC7">
        <w:rPr>
          <w:rFonts w:ascii="AcadNusx" w:hAnsi="AcadNusx"/>
          <w:lang w:val="ka-GE"/>
        </w:rPr>
        <w:t xml:space="preserve"> </w:t>
      </w:r>
      <w:r w:rsidRPr="004B5AC7">
        <w:rPr>
          <w:rFonts w:ascii="Sylfaen" w:hAnsi="Sylfaen" w:cs="Sylfaen"/>
          <w:lang w:val="ka-GE"/>
        </w:rPr>
        <w:t>გზის</w:t>
      </w:r>
      <w:r w:rsidRPr="004B5AC7">
        <w:rPr>
          <w:rFonts w:ascii="AcadNusx" w:hAnsi="AcadNusx"/>
          <w:lang w:val="ka-GE"/>
        </w:rPr>
        <w:t xml:space="preserve"> </w:t>
      </w:r>
      <w:r w:rsidRPr="004B5AC7">
        <w:rPr>
          <w:rFonts w:ascii="Sylfaen" w:hAnsi="Sylfaen" w:cs="Sylfaen"/>
          <w:lang w:val="ka-GE"/>
        </w:rPr>
        <w:t>მოძრაობის</w:t>
      </w:r>
      <w:r w:rsidRPr="004B5AC7">
        <w:rPr>
          <w:rFonts w:ascii="AcadNusx" w:hAnsi="AcadNusx"/>
          <w:lang w:val="ka-GE"/>
        </w:rPr>
        <w:t xml:space="preserve"> </w:t>
      </w:r>
      <w:r w:rsidRPr="004B5AC7">
        <w:rPr>
          <w:rFonts w:ascii="Sylfaen" w:hAnsi="Sylfaen" w:cs="Sylfaen"/>
          <w:lang w:val="ka-GE"/>
        </w:rPr>
        <w:t>ზოლის</w:t>
      </w:r>
      <w:r>
        <w:rPr>
          <w:rFonts w:ascii="Sylfaen" w:hAnsi="Sylfaen" w:cs="Sylfaen"/>
          <w:lang w:val="ka-GE"/>
        </w:rPr>
        <w:t xml:space="preserve"> </w:t>
      </w:r>
      <w:r w:rsidRPr="004B5AC7">
        <w:rPr>
          <w:rFonts w:ascii="Sylfaen" w:hAnsi="Sylfaen" w:cs="Sylfaen"/>
          <w:lang w:val="ka-GE"/>
        </w:rPr>
        <w:t>ანალოგიურად</w:t>
      </w:r>
      <w:r w:rsidRPr="004B5AC7">
        <w:rPr>
          <w:rFonts w:ascii="AcadNusx" w:hAnsi="AcadNusx"/>
          <w:lang w:val="ka-GE"/>
        </w:rPr>
        <w:t>;</w:t>
      </w:r>
    </w:p>
    <w:p w14:paraId="3A613005" w14:textId="1E70A058" w:rsidR="004B5AC7" w:rsidRPr="004B5AC7" w:rsidRDefault="004B5AC7" w:rsidP="004B5AC7">
      <w:pPr>
        <w:spacing w:before="120" w:after="120"/>
        <w:rPr>
          <w:rFonts w:ascii="AcadNusx" w:hAnsi="AcadNusx"/>
          <w:lang w:val="ka-GE"/>
        </w:rPr>
      </w:pPr>
      <w:r w:rsidRPr="004B5AC7">
        <w:rPr>
          <w:rFonts w:ascii="Sylfaen" w:hAnsi="Sylfaen" w:cs="Sylfaen"/>
          <w:lang w:val="ka-GE"/>
        </w:rPr>
        <w:t>განაპირა</w:t>
      </w:r>
      <w:r w:rsidRPr="004B5AC7">
        <w:rPr>
          <w:rFonts w:ascii="AcadNusx" w:hAnsi="AcadNusx"/>
          <w:lang w:val="ka-GE"/>
        </w:rPr>
        <w:t xml:space="preserve"> </w:t>
      </w:r>
      <w:r w:rsidRPr="004B5AC7">
        <w:rPr>
          <w:rFonts w:ascii="Sylfaen" w:hAnsi="Sylfaen" w:cs="Sylfaen"/>
          <w:lang w:val="ka-GE"/>
        </w:rPr>
        <w:t>ზოლი</w:t>
      </w:r>
      <w:r w:rsidRPr="004B5AC7">
        <w:rPr>
          <w:rFonts w:ascii="AcadNusx" w:hAnsi="AcadNusx"/>
          <w:lang w:val="ka-GE"/>
        </w:rPr>
        <w:t xml:space="preserve"> (</w:t>
      </w:r>
      <w:r w:rsidRPr="004B5AC7">
        <w:rPr>
          <w:rFonts w:ascii="Sylfaen" w:hAnsi="Sylfaen" w:cs="Sylfaen"/>
          <w:lang w:val="ka-GE"/>
        </w:rPr>
        <w:t>უსაფრთხოების</w:t>
      </w:r>
      <w:r w:rsidRPr="004B5AC7">
        <w:rPr>
          <w:rFonts w:ascii="AcadNusx" w:hAnsi="AcadNusx"/>
          <w:lang w:val="ka-GE"/>
        </w:rPr>
        <w:t xml:space="preserve"> </w:t>
      </w:r>
      <w:r w:rsidRPr="004B5AC7">
        <w:rPr>
          <w:rFonts w:ascii="Sylfaen" w:hAnsi="Sylfaen" w:cs="Sylfaen"/>
          <w:lang w:val="ka-GE"/>
        </w:rPr>
        <w:t>ზოლი</w:t>
      </w:r>
      <w:r w:rsidRPr="004B5AC7">
        <w:rPr>
          <w:rFonts w:ascii="AcadNusx" w:hAnsi="AcadNusx"/>
          <w:lang w:val="ka-GE"/>
        </w:rPr>
        <w:t xml:space="preserve">, </w:t>
      </w:r>
      <w:r w:rsidRPr="004B5AC7">
        <w:rPr>
          <w:rFonts w:ascii="Sylfaen" w:hAnsi="Sylfaen" w:cs="Sylfaen"/>
          <w:lang w:val="ka-GE"/>
        </w:rPr>
        <w:t>რომლის</w:t>
      </w:r>
      <w:r w:rsidRPr="004B5AC7">
        <w:rPr>
          <w:rFonts w:ascii="AcadNusx" w:hAnsi="AcadNusx"/>
          <w:lang w:val="ka-GE"/>
        </w:rPr>
        <w:t xml:space="preserve"> </w:t>
      </w:r>
      <w:r w:rsidRPr="004B5AC7">
        <w:rPr>
          <w:rFonts w:ascii="Sylfaen" w:hAnsi="Sylfaen" w:cs="Sylfaen"/>
          <w:lang w:val="ka-GE"/>
        </w:rPr>
        <w:t>სიგანე</w:t>
      </w:r>
      <w:r w:rsidRPr="004B5AC7">
        <w:rPr>
          <w:rFonts w:ascii="AcadNusx" w:hAnsi="AcadNusx"/>
          <w:lang w:val="ka-GE"/>
        </w:rPr>
        <w:t xml:space="preserve"> </w:t>
      </w:r>
      <w:r w:rsidRPr="004B5AC7">
        <w:rPr>
          <w:rFonts w:ascii="Sylfaen" w:hAnsi="Sylfaen" w:cs="Sylfaen"/>
          <w:lang w:val="ka-GE"/>
        </w:rPr>
        <w:t>იცვლება</w:t>
      </w:r>
      <w:r w:rsidRPr="004B5AC7">
        <w:rPr>
          <w:rFonts w:ascii="AcadNusx" w:hAnsi="AcadNusx"/>
          <w:lang w:val="ka-GE"/>
        </w:rPr>
        <w:t xml:space="preserve"> </w:t>
      </w:r>
      <w:r w:rsidRPr="004B5AC7">
        <w:rPr>
          <w:rFonts w:ascii="Sylfaen" w:hAnsi="Sylfaen" w:cs="Sylfaen"/>
          <w:lang w:val="ka-GE"/>
        </w:rPr>
        <w:t>გზის</w:t>
      </w:r>
      <w:r>
        <w:rPr>
          <w:rFonts w:ascii="Sylfaen" w:hAnsi="Sylfaen" w:cs="Sylfaen"/>
          <w:lang w:val="ka-GE"/>
        </w:rPr>
        <w:t xml:space="preserve"> </w:t>
      </w:r>
      <w:r w:rsidRPr="004B5AC7">
        <w:rPr>
          <w:rFonts w:ascii="Sylfaen" w:hAnsi="Sylfaen" w:cs="Sylfaen"/>
          <w:lang w:val="ka-GE"/>
        </w:rPr>
        <w:t>პროექტირების</w:t>
      </w:r>
      <w:r w:rsidRPr="004B5AC7">
        <w:rPr>
          <w:rFonts w:ascii="AcadNusx" w:hAnsi="AcadNusx"/>
          <w:lang w:val="ka-GE"/>
        </w:rPr>
        <w:t xml:space="preserve"> </w:t>
      </w:r>
      <w:r w:rsidRPr="004B5AC7">
        <w:rPr>
          <w:rFonts w:ascii="Sylfaen" w:hAnsi="Sylfaen" w:cs="Sylfaen"/>
          <w:lang w:val="ka-GE"/>
        </w:rPr>
        <w:t>მოთხოვნების</w:t>
      </w:r>
      <w:r w:rsidRPr="004B5AC7">
        <w:rPr>
          <w:rFonts w:ascii="AcadNusx" w:hAnsi="AcadNusx"/>
          <w:lang w:val="ka-GE"/>
        </w:rPr>
        <w:t xml:space="preserve"> </w:t>
      </w:r>
      <w:r w:rsidRPr="004B5AC7">
        <w:rPr>
          <w:rFonts w:ascii="Sylfaen" w:hAnsi="Sylfaen" w:cs="Sylfaen"/>
          <w:lang w:val="ka-GE"/>
        </w:rPr>
        <w:t>გათვალისწინებით</w:t>
      </w:r>
      <w:r w:rsidRPr="004B5AC7">
        <w:rPr>
          <w:rFonts w:ascii="AcadNusx" w:hAnsi="AcadNusx"/>
          <w:lang w:val="ka-GE"/>
        </w:rPr>
        <w:t xml:space="preserve">): 2.5 </w:t>
      </w:r>
      <w:r w:rsidRPr="004B5AC7">
        <w:rPr>
          <w:rFonts w:ascii="Sylfaen" w:hAnsi="Sylfaen" w:cs="Sylfaen"/>
          <w:lang w:val="ka-GE"/>
        </w:rPr>
        <w:t>მ</w:t>
      </w:r>
      <w:r w:rsidRPr="004B5AC7">
        <w:rPr>
          <w:rFonts w:ascii="AcadNusx" w:hAnsi="AcadNusx"/>
          <w:lang w:val="ka-GE"/>
        </w:rPr>
        <w:t>;</w:t>
      </w:r>
    </w:p>
    <w:p w14:paraId="3D7BF547" w14:textId="09BAA300" w:rsidR="004B5AC7" w:rsidRPr="004B5AC7" w:rsidRDefault="004B5AC7" w:rsidP="004B5AC7">
      <w:pPr>
        <w:spacing w:before="120" w:after="120"/>
        <w:rPr>
          <w:rFonts w:ascii="AcadNusx" w:hAnsi="AcadNusx"/>
          <w:lang w:val="ka-GE"/>
        </w:rPr>
      </w:pPr>
      <w:r w:rsidRPr="004B5AC7">
        <w:rPr>
          <w:rFonts w:ascii="Sylfaen" w:hAnsi="Sylfaen" w:cs="Sylfaen"/>
          <w:lang w:val="ka-GE"/>
        </w:rPr>
        <w:t>საფეხმავლო</w:t>
      </w:r>
      <w:r w:rsidRPr="004B5AC7">
        <w:rPr>
          <w:rFonts w:ascii="AcadNusx" w:hAnsi="AcadNusx"/>
          <w:lang w:val="ka-GE"/>
        </w:rPr>
        <w:t xml:space="preserve"> </w:t>
      </w:r>
      <w:r w:rsidRPr="004B5AC7">
        <w:rPr>
          <w:rFonts w:ascii="Sylfaen" w:hAnsi="Sylfaen" w:cs="Sylfaen"/>
          <w:lang w:val="ka-GE"/>
        </w:rPr>
        <w:t>ბილიკის</w:t>
      </w:r>
      <w:r w:rsidRPr="004B5AC7">
        <w:rPr>
          <w:rFonts w:ascii="AcadNusx" w:hAnsi="AcadNusx"/>
          <w:lang w:val="ka-GE"/>
        </w:rPr>
        <w:t xml:space="preserve"> (</w:t>
      </w:r>
      <w:r w:rsidRPr="004B5AC7">
        <w:rPr>
          <w:rFonts w:ascii="Sylfaen" w:hAnsi="Sylfaen" w:cs="Sylfaen"/>
          <w:lang w:val="ka-GE"/>
        </w:rPr>
        <w:t>ტროტუარის</w:t>
      </w:r>
      <w:r w:rsidRPr="004B5AC7">
        <w:rPr>
          <w:rFonts w:ascii="AcadNusx" w:hAnsi="AcadNusx"/>
          <w:lang w:val="ka-GE"/>
        </w:rPr>
        <w:t xml:space="preserve">) </w:t>
      </w:r>
      <w:r w:rsidRPr="004B5AC7">
        <w:rPr>
          <w:rFonts w:ascii="Sylfaen" w:hAnsi="Sylfaen" w:cs="Sylfaen"/>
          <w:lang w:val="ka-GE"/>
        </w:rPr>
        <w:t>მინიმალური</w:t>
      </w:r>
      <w:r w:rsidRPr="004B5AC7">
        <w:rPr>
          <w:rFonts w:ascii="AcadNusx" w:hAnsi="AcadNusx"/>
          <w:lang w:val="ka-GE"/>
        </w:rPr>
        <w:t xml:space="preserve"> </w:t>
      </w:r>
      <w:r w:rsidRPr="004B5AC7">
        <w:rPr>
          <w:rFonts w:ascii="Sylfaen" w:hAnsi="Sylfaen" w:cs="Sylfaen"/>
          <w:lang w:val="ka-GE"/>
        </w:rPr>
        <w:t>სიგანე</w:t>
      </w:r>
      <w:r w:rsidRPr="004B5AC7">
        <w:rPr>
          <w:rFonts w:ascii="AcadNusx" w:hAnsi="AcadNusx"/>
          <w:lang w:val="ka-GE"/>
        </w:rPr>
        <w:t xml:space="preserve">: 1.5 </w:t>
      </w:r>
      <w:r w:rsidRPr="004B5AC7">
        <w:rPr>
          <w:rFonts w:ascii="Sylfaen" w:hAnsi="Sylfaen" w:cs="Sylfaen"/>
          <w:lang w:val="ka-GE"/>
        </w:rPr>
        <w:t>მ</w:t>
      </w:r>
      <w:r w:rsidRPr="004B5AC7">
        <w:rPr>
          <w:rFonts w:ascii="AcadNusx" w:hAnsi="AcadNusx"/>
          <w:lang w:val="ka-GE"/>
        </w:rPr>
        <w:t xml:space="preserve"> (0.5+0.75+0.25);</w:t>
      </w:r>
    </w:p>
    <w:p w14:paraId="577D66E1" w14:textId="137C7544" w:rsidR="004B5AC7" w:rsidRPr="004B5AC7" w:rsidRDefault="004B5AC7" w:rsidP="004B5AC7">
      <w:pPr>
        <w:spacing w:before="120" w:after="120"/>
        <w:rPr>
          <w:rFonts w:ascii="AcadNusx" w:hAnsi="AcadNusx"/>
          <w:lang w:val="ka-GE"/>
        </w:rPr>
      </w:pPr>
      <w:r w:rsidRPr="004B5AC7">
        <w:rPr>
          <w:rFonts w:ascii="Sylfaen" w:hAnsi="Sylfaen" w:cs="Sylfaen"/>
          <w:lang w:val="ka-GE"/>
        </w:rPr>
        <w:t>ბეტონის</w:t>
      </w:r>
      <w:r w:rsidRPr="004B5AC7">
        <w:rPr>
          <w:rFonts w:ascii="AcadNusx" w:hAnsi="AcadNusx"/>
          <w:lang w:val="ka-GE"/>
        </w:rPr>
        <w:t xml:space="preserve"> </w:t>
      </w:r>
      <w:r w:rsidRPr="004B5AC7">
        <w:rPr>
          <w:rFonts w:ascii="Sylfaen" w:hAnsi="Sylfaen" w:cs="Sylfaen"/>
          <w:lang w:val="ka-GE"/>
        </w:rPr>
        <w:t>ჯებირის</w:t>
      </w:r>
      <w:r w:rsidRPr="004B5AC7">
        <w:rPr>
          <w:rFonts w:ascii="AcadNusx" w:hAnsi="AcadNusx"/>
          <w:lang w:val="ka-GE"/>
        </w:rPr>
        <w:t xml:space="preserve"> (</w:t>
      </w:r>
      <w:r w:rsidRPr="004B5AC7">
        <w:rPr>
          <w:rFonts w:ascii="Sylfaen" w:hAnsi="Sylfaen" w:cs="Sylfaen"/>
          <w:lang w:val="ka-GE"/>
        </w:rPr>
        <w:t>თვალამრიდის</w:t>
      </w:r>
      <w:r w:rsidRPr="004B5AC7">
        <w:rPr>
          <w:rFonts w:ascii="AcadNusx" w:hAnsi="AcadNusx"/>
          <w:lang w:val="ka-GE"/>
        </w:rPr>
        <w:t xml:space="preserve">) </w:t>
      </w:r>
      <w:r w:rsidRPr="004B5AC7">
        <w:rPr>
          <w:rFonts w:ascii="Sylfaen" w:hAnsi="Sylfaen" w:cs="Sylfaen"/>
          <w:lang w:val="ka-GE"/>
        </w:rPr>
        <w:t>სიმაღლე</w:t>
      </w:r>
      <w:r w:rsidRPr="004B5AC7">
        <w:rPr>
          <w:rFonts w:ascii="AcadNusx" w:hAnsi="AcadNusx"/>
          <w:lang w:val="ka-GE"/>
        </w:rPr>
        <w:t xml:space="preserve">: 0.80 </w:t>
      </w:r>
      <w:r w:rsidRPr="004B5AC7">
        <w:rPr>
          <w:rFonts w:ascii="Sylfaen" w:hAnsi="Sylfaen" w:cs="Sylfaen"/>
          <w:lang w:val="ka-GE"/>
        </w:rPr>
        <w:t>მ</w:t>
      </w:r>
      <w:r w:rsidRPr="004B5AC7">
        <w:rPr>
          <w:rFonts w:ascii="AcadNusx" w:hAnsi="AcadNusx"/>
          <w:lang w:val="ka-GE"/>
        </w:rPr>
        <w:t>;</w:t>
      </w:r>
    </w:p>
    <w:p w14:paraId="00E0A786" w14:textId="0C04D76D" w:rsidR="004B5AC7" w:rsidRPr="004B5AC7" w:rsidRDefault="004B5AC7" w:rsidP="004B5AC7">
      <w:pPr>
        <w:spacing w:before="120" w:after="120"/>
        <w:rPr>
          <w:rFonts w:ascii="AcadNusx" w:hAnsi="AcadNusx"/>
          <w:lang w:val="ka-GE"/>
        </w:rPr>
      </w:pPr>
      <w:r w:rsidRPr="004B5AC7">
        <w:rPr>
          <w:rFonts w:ascii="Sylfaen" w:hAnsi="Sylfaen" w:cs="Sylfaen"/>
          <w:lang w:val="ka-GE"/>
        </w:rPr>
        <w:t>სავალი</w:t>
      </w:r>
      <w:r w:rsidRPr="004B5AC7">
        <w:rPr>
          <w:rFonts w:ascii="AcadNusx" w:hAnsi="AcadNusx"/>
          <w:lang w:val="ka-GE"/>
        </w:rPr>
        <w:t xml:space="preserve"> </w:t>
      </w:r>
      <w:r w:rsidRPr="004B5AC7">
        <w:rPr>
          <w:rFonts w:ascii="Sylfaen" w:hAnsi="Sylfaen" w:cs="Sylfaen"/>
          <w:lang w:val="ka-GE"/>
        </w:rPr>
        <w:t>ნაწილის</w:t>
      </w:r>
      <w:r w:rsidRPr="004B5AC7">
        <w:rPr>
          <w:rFonts w:ascii="AcadNusx" w:hAnsi="AcadNusx"/>
          <w:lang w:val="ka-GE"/>
        </w:rPr>
        <w:t xml:space="preserve"> </w:t>
      </w:r>
      <w:r w:rsidRPr="004B5AC7">
        <w:rPr>
          <w:rFonts w:ascii="Sylfaen" w:hAnsi="Sylfaen" w:cs="Sylfaen"/>
          <w:lang w:val="ka-GE"/>
        </w:rPr>
        <w:t>საერთო</w:t>
      </w:r>
      <w:r w:rsidRPr="004B5AC7">
        <w:rPr>
          <w:rFonts w:ascii="AcadNusx" w:hAnsi="AcadNusx"/>
          <w:lang w:val="ka-GE"/>
        </w:rPr>
        <w:t xml:space="preserve"> </w:t>
      </w:r>
      <w:r w:rsidRPr="004B5AC7">
        <w:rPr>
          <w:rFonts w:ascii="Sylfaen" w:hAnsi="Sylfaen" w:cs="Sylfaen"/>
          <w:lang w:val="ka-GE"/>
        </w:rPr>
        <w:t>განივი</w:t>
      </w:r>
      <w:r w:rsidRPr="004B5AC7">
        <w:rPr>
          <w:rFonts w:ascii="AcadNusx" w:hAnsi="AcadNusx"/>
          <w:lang w:val="ka-GE"/>
        </w:rPr>
        <w:t xml:space="preserve"> </w:t>
      </w:r>
      <w:r w:rsidRPr="004B5AC7">
        <w:rPr>
          <w:rFonts w:ascii="Sylfaen" w:hAnsi="Sylfaen" w:cs="Sylfaen"/>
          <w:lang w:val="ka-GE"/>
        </w:rPr>
        <w:t>ქანობი</w:t>
      </w:r>
      <w:r w:rsidRPr="004B5AC7">
        <w:rPr>
          <w:rFonts w:ascii="AcadNusx" w:hAnsi="AcadNusx"/>
          <w:lang w:val="ka-GE"/>
        </w:rPr>
        <w:t>: 2.5%.</w:t>
      </w:r>
    </w:p>
    <w:p w14:paraId="235B44F6" w14:textId="1EB8E992" w:rsidR="004B5AC7" w:rsidRDefault="004B5AC7" w:rsidP="004B5AC7">
      <w:pPr>
        <w:spacing w:before="120" w:after="120"/>
        <w:rPr>
          <w:rFonts w:ascii="Times New Roman" w:hAnsi="Times New Roman"/>
          <w:lang w:val="ka-GE"/>
        </w:rPr>
      </w:pPr>
      <w:r w:rsidRPr="004B5AC7">
        <w:rPr>
          <w:rFonts w:ascii="Sylfaen" w:hAnsi="Sylfaen" w:cs="Sylfaen"/>
          <w:lang w:val="ka-GE"/>
        </w:rPr>
        <w:t>ხიდის</w:t>
      </w:r>
      <w:r w:rsidRPr="004B5AC7">
        <w:rPr>
          <w:rFonts w:ascii="AcadNusx" w:hAnsi="AcadNusx"/>
          <w:lang w:val="ka-GE"/>
        </w:rPr>
        <w:t xml:space="preserve"> </w:t>
      </w:r>
      <w:r w:rsidRPr="004B5AC7">
        <w:rPr>
          <w:rFonts w:ascii="Sylfaen" w:hAnsi="Sylfaen" w:cs="Sylfaen"/>
          <w:lang w:val="ka-GE"/>
        </w:rPr>
        <w:t>სრული</w:t>
      </w:r>
      <w:r w:rsidRPr="004B5AC7">
        <w:rPr>
          <w:rFonts w:ascii="AcadNusx" w:hAnsi="AcadNusx"/>
          <w:lang w:val="ka-GE"/>
        </w:rPr>
        <w:t xml:space="preserve"> </w:t>
      </w:r>
      <w:r w:rsidRPr="004B5AC7">
        <w:rPr>
          <w:rFonts w:ascii="Sylfaen" w:hAnsi="Sylfaen" w:cs="Sylfaen"/>
          <w:lang w:val="ka-GE"/>
        </w:rPr>
        <w:t>სიგანე</w:t>
      </w:r>
      <w:r w:rsidRPr="004B5AC7">
        <w:rPr>
          <w:rFonts w:ascii="AcadNusx" w:hAnsi="AcadNusx"/>
          <w:lang w:val="ka-GE"/>
        </w:rPr>
        <w:t xml:space="preserve"> </w:t>
      </w:r>
      <w:r w:rsidRPr="004B5AC7">
        <w:rPr>
          <w:rFonts w:ascii="Sylfaen" w:hAnsi="Sylfaen" w:cs="Sylfaen"/>
          <w:lang w:val="ka-GE"/>
        </w:rPr>
        <w:t>შეადგენს</w:t>
      </w:r>
      <w:r w:rsidRPr="004B5AC7">
        <w:rPr>
          <w:rFonts w:ascii="AcadNusx" w:hAnsi="AcadNusx"/>
          <w:lang w:val="ka-GE"/>
        </w:rPr>
        <w:t xml:space="preserve"> 15.0 </w:t>
      </w:r>
      <w:r w:rsidRPr="004B5AC7">
        <w:rPr>
          <w:rFonts w:ascii="Sylfaen" w:hAnsi="Sylfaen" w:cs="Sylfaen"/>
          <w:lang w:val="ka-GE"/>
        </w:rPr>
        <w:t>მეტრს</w:t>
      </w:r>
      <w:r w:rsidRPr="004B5AC7">
        <w:rPr>
          <w:rFonts w:ascii="AcadNusx" w:hAnsi="AcadNusx"/>
          <w:lang w:val="ka-GE"/>
        </w:rPr>
        <w:t xml:space="preserve">, </w:t>
      </w:r>
      <w:r w:rsidRPr="004B5AC7">
        <w:rPr>
          <w:rFonts w:ascii="Sylfaen" w:hAnsi="Sylfaen" w:cs="Sylfaen"/>
          <w:lang w:val="ka-GE"/>
        </w:rPr>
        <w:t>როგორც</w:t>
      </w:r>
      <w:r w:rsidRPr="004B5AC7">
        <w:rPr>
          <w:rFonts w:ascii="AcadNusx" w:hAnsi="AcadNusx"/>
          <w:lang w:val="ka-GE"/>
        </w:rPr>
        <w:t xml:space="preserve"> </w:t>
      </w:r>
      <w:r w:rsidRPr="004B5AC7">
        <w:rPr>
          <w:rFonts w:ascii="Sylfaen" w:hAnsi="Sylfaen" w:cs="Sylfaen"/>
          <w:lang w:val="ka-GE"/>
        </w:rPr>
        <w:t>ეს</w:t>
      </w:r>
      <w:r w:rsidRPr="004B5AC7">
        <w:rPr>
          <w:rFonts w:ascii="AcadNusx" w:hAnsi="AcadNusx"/>
          <w:lang w:val="ka-GE"/>
        </w:rPr>
        <w:t xml:space="preserve"> </w:t>
      </w:r>
      <w:r w:rsidRPr="004B5AC7">
        <w:rPr>
          <w:rFonts w:ascii="Sylfaen" w:hAnsi="Sylfaen" w:cs="Sylfaen"/>
          <w:lang w:val="ka-GE"/>
        </w:rPr>
        <w:t>ილუსტრირებულია</w:t>
      </w:r>
      <w:r w:rsidRPr="004B5AC7">
        <w:rPr>
          <w:rFonts w:ascii="AcadNusx" w:hAnsi="AcadNusx"/>
          <w:lang w:val="ka-GE"/>
        </w:rPr>
        <w:t xml:space="preserve"> </w:t>
      </w:r>
      <w:r w:rsidRPr="004B5AC7">
        <w:rPr>
          <w:rFonts w:ascii="Sylfaen" w:hAnsi="Sylfaen" w:cs="Sylfaen"/>
          <w:lang w:val="ka-GE"/>
        </w:rPr>
        <w:t>მომდევნო</w:t>
      </w:r>
      <w:r>
        <w:rPr>
          <w:rFonts w:ascii="Sylfaen" w:hAnsi="Sylfaen" w:cs="Sylfaen"/>
          <w:lang w:val="ka-GE"/>
        </w:rPr>
        <w:t xml:space="preserve"> </w:t>
      </w:r>
      <w:r w:rsidRPr="004B5AC7">
        <w:rPr>
          <w:rFonts w:ascii="Sylfaen" w:hAnsi="Sylfaen" w:cs="Sylfaen"/>
          <w:lang w:val="ka-GE"/>
        </w:rPr>
        <w:t>სურათზე</w:t>
      </w:r>
      <w:r>
        <w:rPr>
          <w:rFonts w:ascii="Times New Roman" w:hAnsi="Times New Roman"/>
          <w:lang w:val="ka-GE"/>
        </w:rPr>
        <w:t>:</w:t>
      </w:r>
    </w:p>
    <w:p w14:paraId="36E5547D" w14:textId="0A9AA181" w:rsidR="004B5AC7" w:rsidRPr="004B5AC7" w:rsidRDefault="004B5AC7" w:rsidP="004B5AC7">
      <w:pPr>
        <w:spacing w:before="120" w:after="120"/>
        <w:rPr>
          <w:rFonts w:ascii="Sylfaen" w:hAnsi="Sylfaen"/>
          <w:lang w:val="ka-GE"/>
        </w:rPr>
      </w:pPr>
      <w:r w:rsidRPr="004B5AC7">
        <w:rPr>
          <w:rFonts w:ascii="Sylfaen" w:hAnsi="Sylfaen"/>
          <w:noProof/>
          <w:lang w:val="en-US" w:eastAsia="en-US"/>
        </w:rPr>
        <w:drawing>
          <wp:inline distT="0" distB="0" distL="0" distR="0" wp14:anchorId="22210D38" wp14:editId="26FDC3BD">
            <wp:extent cx="6603365" cy="2581712"/>
            <wp:effectExtent l="0" t="0" r="6985" b="9525"/>
            <wp:docPr id="2" name="Picture 2" descr="D:\my docs\Bakurtsikhe-tsnori\bakurcixe-wnori\ESIA reports\მეორე ეტაპისტის\new\ხიდის სავალი ნაწილ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my docs\Bakurtsikhe-tsnori\bakurcixe-wnori\ESIA reports\მეორე ეტაპისტის\new\ხიდის სავალი ნაწილი.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03365" cy="2581712"/>
                    </a:xfrm>
                    <a:prstGeom prst="rect">
                      <a:avLst/>
                    </a:prstGeom>
                    <a:noFill/>
                    <a:ln>
                      <a:noFill/>
                    </a:ln>
                  </pic:spPr>
                </pic:pic>
              </a:graphicData>
            </a:graphic>
          </wp:inline>
        </w:drawing>
      </w:r>
    </w:p>
    <w:p w14:paraId="71990D7D" w14:textId="77777777" w:rsidR="00C31AC6" w:rsidRDefault="00C31AC6" w:rsidP="004B5AC7">
      <w:pPr>
        <w:spacing w:before="120" w:after="120"/>
        <w:rPr>
          <w:rFonts w:ascii="Sylfaen" w:hAnsi="Sylfaen"/>
          <w:lang w:val="ka-GE"/>
        </w:rPr>
      </w:pPr>
    </w:p>
    <w:p w14:paraId="47DF591D" w14:textId="6BE2A9CD" w:rsidR="00EA3205" w:rsidRPr="004B5AC7" w:rsidRDefault="00EA3205" w:rsidP="004B5AC7">
      <w:pPr>
        <w:spacing w:before="120" w:after="120"/>
        <w:rPr>
          <w:rFonts w:ascii="AcadNusx" w:hAnsi="AcadNusx"/>
          <w:lang w:val="ka-GE"/>
        </w:rPr>
      </w:pPr>
      <w:r w:rsidRPr="004B5AC7">
        <w:rPr>
          <w:rFonts w:ascii="AcadNusx" w:hAnsi="AcadNusx"/>
          <w:lang w:val="ka-GE"/>
        </w:rPr>
        <w:t>gurjaanidan Telavamde gamavali saavtomobilo gza aSendeba 2 moZraobis zoliT, saqarTveloSi moqmedi gzebis geometriuli daproeqtebis standartis Sesabamisad.</w:t>
      </w:r>
    </w:p>
    <w:p w14:paraId="38E67364" w14:textId="77777777" w:rsidR="00EA3205" w:rsidRPr="00373702" w:rsidRDefault="00EA3205" w:rsidP="00EA3205">
      <w:pPr>
        <w:rPr>
          <w:rFonts w:ascii="AcadNusx" w:hAnsi="AcadNusx"/>
          <w:lang w:val="ka-GE"/>
        </w:rPr>
      </w:pPr>
      <w:r w:rsidRPr="00373702">
        <w:rPr>
          <w:rFonts w:ascii="AcadNusx" w:hAnsi="AcadNusx"/>
          <w:lang w:val="ka-GE"/>
        </w:rPr>
        <w:t>saproeqto gzis moTxovnebis gaTvaliswinebiT, xidebis savali nawilebis ganikveTebi ganisazRvreba Semdegi saxiT:</w:t>
      </w:r>
    </w:p>
    <w:p w14:paraId="322A5389" w14:textId="77777777" w:rsidR="00EA3205" w:rsidRPr="00373702" w:rsidRDefault="00EA3205" w:rsidP="00EA3205">
      <w:pPr>
        <w:rPr>
          <w:rFonts w:ascii="AcadNusx" w:hAnsi="AcadNusx"/>
          <w:lang w:val="ka-GE"/>
        </w:rPr>
      </w:pPr>
      <w:r w:rsidRPr="00373702">
        <w:rPr>
          <w:rFonts w:ascii="AcadNusx" w:hAnsi="AcadNusx"/>
          <w:lang w:val="ka-GE"/>
        </w:rPr>
        <w:t>orzolian gzaze agebuli xidis minimaluri sigane Seadgens 16.00 metrs. didradiusebian moxril ubnebze aSenebuli xidebi SedarebiT farTo iqnebian, orive mxares, damcavi zRudarebis ganTavsebisTvis minimum 275 mm siganis zolebis gamoyofis gaTvaliswinebiT. xidis savali nawili Sexazebuli iqneba gzis saval nawilTan, gzis centraluri (#100) RerZis mimarTebiT, garkveuli gafarToebebiT moxril ubnebze da trotuarebisTvis saWiro farTobebis xarjze.</w:t>
      </w:r>
    </w:p>
    <w:p w14:paraId="1CD388E9" w14:textId="3B241C4E" w:rsidR="00EA3205" w:rsidRPr="00B05F62" w:rsidRDefault="00EA3205" w:rsidP="00EA3205">
      <w:pPr>
        <w:rPr>
          <w:rFonts w:ascii="AcadNusx" w:hAnsi="AcadNusx"/>
        </w:rPr>
      </w:pPr>
      <w:r w:rsidRPr="00B05F62">
        <w:rPr>
          <w:rFonts w:ascii="AcadNusx" w:hAnsi="AcadNusx"/>
          <w:noProof/>
          <w:lang w:val="en-US" w:eastAsia="en-US"/>
        </w:rPr>
        <w:lastRenderedPageBreak/>
        <w:drawing>
          <wp:inline distT="0" distB="0" distL="0" distR="0" wp14:anchorId="225EE651" wp14:editId="30B7DB2B">
            <wp:extent cx="6543675" cy="1362075"/>
            <wp:effectExtent l="0" t="0" r="9525"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pic:cNvPicPr>
                      <a:picLocks noChangeAspect="1" noChangeArrowheads="1"/>
                    </pic:cNvPicPr>
                  </pic:nvPicPr>
                  <pic:blipFill>
                    <a:blip r:embed="rId52" cstate="email">
                      <a:extLst>
                        <a:ext uri="{28A0092B-C50C-407E-A947-70E740481C1C}">
                          <a14:useLocalDpi xmlns:a14="http://schemas.microsoft.com/office/drawing/2010/main"/>
                        </a:ext>
                      </a:extLst>
                    </a:blip>
                    <a:srcRect l="18811" t="28233" r="24493" b="47398"/>
                    <a:stretch>
                      <a:fillRect/>
                    </a:stretch>
                  </pic:blipFill>
                  <pic:spPr bwMode="auto">
                    <a:xfrm>
                      <a:off x="0" y="0"/>
                      <a:ext cx="6543675" cy="1362075"/>
                    </a:xfrm>
                    <a:prstGeom prst="rect">
                      <a:avLst/>
                    </a:prstGeom>
                    <a:noFill/>
                    <a:ln>
                      <a:noFill/>
                    </a:ln>
                  </pic:spPr>
                </pic:pic>
              </a:graphicData>
            </a:graphic>
          </wp:inline>
        </w:drawing>
      </w:r>
    </w:p>
    <w:p w14:paraId="7A3819D3" w14:textId="3EE906F1" w:rsidR="00EA3205" w:rsidRPr="00B05F62" w:rsidRDefault="00EA3205" w:rsidP="00EA3205">
      <w:pPr>
        <w:rPr>
          <w:rFonts w:ascii="AcadNusx" w:hAnsi="AcadNusx"/>
        </w:rPr>
      </w:pPr>
      <w:r w:rsidRPr="00B05F62">
        <w:rPr>
          <w:rFonts w:ascii="AcadNusx" w:hAnsi="AcadNusx"/>
        </w:rPr>
        <w:t>suraTi 4.</w:t>
      </w:r>
      <w:r w:rsidR="005C0EEC">
        <w:rPr>
          <w:rFonts w:ascii="Sylfaen" w:hAnsi="Sylfaen"/>
          <w:lang w:val="ka-GE"/>
        </w:rPr>
        <w:t>13</w:t>
      </w:r>
      <w:r w:rsidRPr="00B05F62">
        <w:rPr>
          <w:rFonts w:ascii="AcadNusx" w:hAnsi="AcadNusx"/>
        </w:rPr>
        <w:t>.1</w:t>
      </w:r>
      <w:r w:rsidR="005C0EEC">
        <w:rPr>
          <w:rFonts w:ascii="Sylfaen" w:hAnsi="Sylfaen"/>
          <w:lang w:val="ka-GE"/>
        </w:rPr>
        <w:t>-1</w:t>
      </w:r>
      <w:r w:rsidRPr="00B05F62">
        <w:rPr>
          <w:rFonts w:ascii="AcadNusx" w:hAnsi="AcadNusx"/>
        </w:rPr>
        <w:tab/>
        <w:t>xidebis savaraudo ganikveTi</w:t>
      </w:r>
    </w:p>
    <w:p w14:paraId="5543A2EB" w14:textId="77777777" w:rsidR="00EA3205" w:rsidRPr="00B05F62" w:rsidRDefault="00EA3205" w:rsidP="00EA3205">
      <w:pPr>
        <w:rPr>
          <w:rFonts w:ascii="AcadNusx" w:hAnsi="AcadNusx"/>
        </w:rPr>
      </w:pPr>
    </w:p>
    <w:p w14:paraId="1ECE0789" w14:textId="77777777" w:rsidR="00EA3205" w:rsidRPr="00B05F62" w:rsidRDefault="00EA3205" w:rsidP="00EA3205">
      <w:pPr>
        <w:rPr>
          <w:rFonts w:ascii="AcadNusx" w:hAnsi="AcadNusx"/>
        </w:rPr>
      </w:pPr>
      <w:r w:rsidRPr="00B05F62">
        <w:rPr>
          <w:rFonts w:ascii="AcadNusx" w:hAnsi="AcadNusx"/>
        </w:rPr>
        <w:t>mTavar trasaze doneebis gansacalkevebeli xidebis da gancalkevebul doneebTan mimdebare saxide nagebobebis (damatebiTi aCqarebis/Senelebis zolebisTvis) siganeebi Seadgenen 18.0 metrs.</w:t>
      </w:r>
    </w:p>
    <w:p w14:paraId="6103D767" w14:textId="6C8DF1C5" w:rsidR="00EA3205" w:rsidRPr="00B05F62" w:rsidRDefault="00EA3205" w:rsidP="00EA3205">
      <w:pPr>
        <w:rPr>
          <w:rFonts w:ascii="AcadNusx" w:hAnsi="AcadNusx"/>
        </w:rPr>
      </w:pPr>
      <w:r w:rsidRPr="00B05F62">
        <w:rPr>
          <w:rFonts w:ascii="AcadNusx" w:hAnsi="AcadNusx"/>
          <w:noProof/>
          <w:lang w:val="en-US" w:eastAsia="en-US"/>
        </w:rPr>
        <w:drawing>
          <wp:inline distT="0" distB="0" distL="0" distR="0" wp14:anchorId="2DB67204" wp14:editId="11542F15">
            <wp:extent cx="6600825" cy="1552575"/>
            <wp:effectExtent l="0" t="0" r="0"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pic:cNvPicPr>
                      <a:picLocks noChangeAspect="1" noChangeArrowheads="1"/>
                    </pic:cNvPicPr>
                  </pic:nvPicPr>
                  <pic:blipFill>
                    <a:blip r:embed="rId53" cstate="email">
                      <a:extLst>
                        <a:ext uri="{28A0092B-C50C-407E-A947-70E740481C1C}">
                          <a14:useLocalDpi xmlns:a14="http://schemas.microsoft.com/office/drawing/2010/main"/>
                        </a:ext>
                      </a:extLst>
                    </a:blip>
                    <a:srcRect l="26694" t="42157" r="23582" b="33549"/>
                    <a:stretch>
                      <a:fillRect/>
                    </a:stretch>
                  </pic:blipFill>
                  <pic:spPr bwMode="auto">
                    <a:xfrm>
                      <a:off x="0" y="0"/>
                      <a:ext cx="6600825" cy="1552575"/>
                    </a:xfrm>
                    <a:prstGeom prst="rect">
                      <a:avLst/>
                    </a:prstGeom>
                    <a:noFill/>
                    <a:ln>
                      <a:noFill/>
                    </a:ln>
                  </pic:spPr>
                </pic:pic>
              </a:graphicData>
            </a:graphic>
          </wp:inline>
        </w:drawing>
      </w:r>
    </w:p>
    <w:p w14:paraId="6B6B72F1" w14:textId="3999992E" w:rsidR="00EA3205" w:rsidRPr="00B05F62" w:rsidRDefault="00EA3205" w:rsidP="00EA3205">
      <w:pPr>
        <w:rPr>
          <w:rFonts w:ascii="AcadNusx" w:hAnsi="AcadNusx"/>
          <w:lang w:val="en-US"/>
        </w:rPr>
      </w:pPr>
      <w:r w:rsidRPr="00B05F62">
        <w:rPr>
          <w:rFonts w:ascii="AcadNusx" w:hAnsi="AcadNusx"/>
        </w:rPr>
        <w:t>suraTi 4.</w:t>
      </w:r>
      <w:r w:rsidR="005C0EEC">
        <w:rPr>
          <w:rFonts w:ascii="Sylfaen" w:hAnsi="Sylfaen"/>
          <w:lang w:val="ka-GE"/>
        </w:rPr>
        <w:t>13</w:t>
      </w:r>
      <w:r w:rsidRPr="00B05F62">
        <w:rPr>
          <w:rFonts w:ascii="AcadNusx" w:hAnsi="AcadNusx"/>
        </w:rPr>
        <w:t>.</w:t>
      </w:r>
      <w:r w:rsidR="005C0EEC">
        <w:rPr>
          <w:rFonts w:ascii="Sylfaen" w:hAnsi="Sylfaen"/>
          <w:lang w:val="ka-GE"/>
        </w:rPr>
        <w:t>1-2</w:t>
      </w:r>
      <w:r w:rsidRPr="00B05F62">
        <w:rPr>
          <w:rFonts w:ascii="AcadNusx" w:hAnsi="AcadNusx"/>
        </w:rPr>
        <w:t>.</w:t>
      </w:r>
      <w:r w:rsidRPr="00B05F62">
        <w:rPr>
          <w:rFonts w:ascii="AcadNusx" w:hAnsi="AcadNusx"/>
        </w:rPr>
        <w:tab/>
        <w:t>doneebis gansacalkevebeli xidebis savaraudo ganikveTi</w:t>
      </w:r>
    </w:p>
    <w:p w14:paraId="1425704E" w14:textId="77777777" w:rsidR="00EA3205" w:rsidRPr="00B05F62" w:rsidRDefault="00EA3205" w:rsidP="00EA3205">
      <w:pPr>
        <w:rPr>
          <w:rFonts w:ascii="AcadNusx" w:hAnsi="AcadNusx"/>
        </w:rPr>
      </w:pPr>
    </w:p>
    <w:p w14:paraId="7B521169" w14:textId="77777777" w:rsidR="00EA3205" w:rsidRPr="00B05F62" w:rsidRDefault="00EA3205" w:rsidP="00EA3205">
      <w:pPr>
        <w:rPr>
          <w:rFonts w:ascii="AcadNusx" w:hAnsi="AcadNusx"/>
        </w:rPr>
      </w:pPr>
      <w:r w:rsidRPr="00B05F62">
        <w:rPr>
          <w:rFonts w:ascii="AcadNusx" w:hAnsi="AcadNusx"/>
        </w:rPr>
        <w:t>saproeqto gzis qveS adgilobrivi gzis gasasvlelis da, agreTve, sarwyavi arxis gatarebisTvis saWiro xidebis Riobebis siganeebi Seadgens 12.0 metrs. adgilobrivi gzebis an arxis siganeebma aseTi Riobi SeiZleba srulad ver Seavson, Tumca mkacrad rekomendirebulia 2-2 metris darezerveba Riobis orTave boloSi arsebuli an samomavlo wyalarinebis saSualebebis da komunaluri daniSnulebis xazobrivi nagebobebis uproblemod gatarebisTvis Tu saproeqto miwayrili dabrkolebas Seuqmnis adgilobriv damakavSirebel gzebs/xazobriv nagebobebs. zogierT doneebis gansacalkevebel kvanZSi mTavari trasis da meoradi/damxmare pandusebis araxelsayreli kuTxeebiT gadakveTis Sedegad, aseTi konstruqciuli saxeobis xidis gamoyeneba aseve upriania pandusebis mTavari gzis miwayrilSi gasatareblad.</w:t>
      </w:r>
    </w:p>
    <w:p w14:paraId="51496ED6" w14:textId="41FC6227" w:rsidR="00EA3205" w:rsidRPr="00B05F62" w:rsidRDefault="00EA3205" w:rsidP="00EA3205">
      <w:pPr>
        <w:rPr>
          <w:rFonts w:ascii="AcadNusx" w:hAnsi="AcadNusx"/>
        </w:rPr>
      </w:pPr>
      <w:r w:rsidRPr="00B05F62">
        <w:rPr>
          <w:rFonts w:ascii="AcadNusx" w:hAnsi="AcadNusx"/>
          <w:noProof/>
          <w:lang w:val="en-US" w:eastAsia="en-US"/>
        </w:rPr>
        <w:drawing>
          <wp:inline distT="0" distB="0" distL="0" distR="0" wp14:anchorId="4B40CCF5" wp14:editId="4C0D1A98">
            <wp:extent cx="6362700" cy="211455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54" cstate="email">
                      <a:extLst>
                        <a:ext uri="{28A0092B-C50C-407E-A947-70E740481C1C}">
                          <a14:useLocalDpi xmlns:a14="http://schemas.microsoft.com/office/drawing/2010/main"/>
                        </a:ext>
                      </a:extLst>
                    </a:blip>
                    <a:srcRect l="38072" t="50262" r="28777" b="23685"/>
                    <a:stretch>
                      <a:fillRect/>
                    </a:stretch>
                  </pic:blipFill>
                  <pic:spPr bwMode="auto">
                    <a:xfrm>
                      <a:off x="0" y="0"/>
                      <a:ext cx="6372043" cy="2117655"/>
                    </a:xfrm>
                    <a:prstGeom prst="rect">
                      <a:avLst/>
                    </a:prstGeom>
                    <a:noFill/>
                    <a:ln>
                      <a:noFill/>
                    </a:ln>
                  </pic:spPr>
                </pic:pic>
              </a:graphicData>
            </a:graphic>
          </wp:inline>
        </w:drawing>
      </w:r>
    </w:p>
    <w:p w14:paraId="092DD7EB" w14:textId="20AEAF75" w:rsidR="00EA3205" w:rsidRPr="00B05F62" w:rsidRDefault="00EA3205" w:rsidP="00EA3205">
      <w:pPr>
        <w:rPr>
          <w:rFonts w:ascii="AcadNusx" w:hAnsi="AcadNusx"/>
          <w:lang w:val="en-US"/>
        </w:rPr>
      </w:pPr>
      <w:r w:rsidRPr="00B05F62">
        <w:rPr>
          <w:rFonts w:ascii="AcadNusx" w:hAnsi="AcadNusx"/>
        </w:rPr>
        <w:t>suraTi 4.</w:t>
      </w:r>
      <w:r w:rsidR="005C0EEC">
        <w:rPr>
          <w:rFonts w:ascii="Sylfaen" w:hAnsi="Sylfaen"/>
          <w:lang w:val="ka-GE"/>
        </w:rPr>
        <w:t>13.1-1</w:t>
      </w:r>
      <w:r w:rsidRPr="00B05F62">
        <w:rPr>
          <w:rFonts w:ascii="AcadNusx" w:hAnsi="AcadNusx"/>
        </w:rPr>
        <w:t>.</w:t>
      </w:r>
      <w:r w:rsidRPr="00B05F62">
        <w:rPr>
          <w:rFonts w:ascii="AcadNusx" w:hAnsi="AcadNusx"/>
        </w:rPr>
        <w:tab/>
        <w:t>gzis qveS gasasvleli/doneebis gansacalkevebeli xidis savaraudo ganivi kveTi</w:t>
      </w:r>
    </w:p>
    <w:p w14:paraId="3EC1137C" w14:textId="77777777" w:rsidR="00EA3205" w:rsidRPr="00B05F62" w:rsidRDefault="00EA3205" w:rsidP="00EA3205">
      <w:pPr>
        <w:rPr>
          <w:rFonts w:ascii="AcadNusx" w:hAnsi="AcadNusx"/>
        </w:rPr>
      </w:pPr>
    </w:p>
    <w:p w14:paraId="10154FF8" w14:textId="0BBA56C4" w:rsidR="00EA3205" w:rsidRPr="005C0EEC" w:rsidRDefault="00EA3205" w:rsidP="005C0EEC">
      <w:pPr>
        <w:pStyle w:val="Heading3"/>
        <w:rPr>
          <w:rFonts w:ascii="AcadNusx" w:hAnsi="AcadNusx"/>
        </w:rPr>
      </w:pPr>
      <w:bookmarkStart w:id="137" w:name="_Toc1581519"/>
      <w:r w:rsidRPr="005C0EEC">
        <w:rPr>
          <w:rFonts w:ascii="AcadNusx" w:hAnsi="AcadNusx"/>
        </w:rPr>
        <w:lastRenderedPageBreak/>
        <w:t>4.</w:t>
      </w:r>
      <w:r w:rsidR="005C0EEC">
        <w:rPr>
          <w:rFonts w:ascii="Sylfaen" w:hAnsi="Sylfaen"/>
          <w:lang w:val="ka-GE"/>
        </w:rPr>
        <w:t>1</w:t>
      </w:r>
      <w:r w:rsidR="00485FE3">
        <w:rPr>
          <w:rFonts w:ascii="Sylfaen" w:hAnsi="Sylfaen"/>
          <w:lang w:val="ka-GE"/>
        </w:rPr>
        <w:t>2</w:t>
      </w:r>
      <w:r w:rsidRPr="005C0EEC">
        <w:rPr>
          <w:rFonts w:ascii="AcadNusx" w:hAnsi="AcadNusx"/>
        </w:rPr>
        <w:t>.2</w:t>
      </w:r>
      <w:r w:rsidRPr="005C0EEC">
        <w:rPr>
          <w:rFonts w:ascii="AcadNusx" w:hAnsi="AcadNusx"/>
        </w:rPr>
        <w:tab/>
      </w:r>
      <w:r w:rsidR="00485FE3">
        <w:rPr>
          <w:rFonts w:ascii="Sylfaen" w:hAnsi="Sylfaen"/>
          <w:lang w:val="ka-GE"/>
        </w:rPr>
        <w:t>კონსტრუქციული ტიპები და ფორმები</w:t>
      </w:r>
      <w:bookmarkEnd w:id="137"/>
    </w:p>
    <w:p w14:paraId="1CA9A15B" w14:textId="77777777" w:rsidR="00EA3205" w:rsidRPr="00B05F62" w:rsidRDefault="00EA3205" w:rsidP="00EA3205">
      <w:pPr>
        <w:rPr>
          <w:rFonts w:ascii="AcadNusx" w:hAnsi="AcadNusx"/>
        </w:rPr>
      </w:pPr>
    </w:p>
    <w:p w14:paraId="556059C0" w14:textId="77777777" w:rsidR="002545D5" w:rsidRPr="002545D5" w:rsidRDefault="002545D5" w:rsidP="002545D5">
      <w:pPr>
        <w:rPr>
          <w:rFonts w:ascii="AcadNusx" w:hAnsi="AcadNusx"/>
          <w:b/>
          <w:lang w:val="en-US" w:bidi="bn-BD"/>
        </w:rPr>
      </w:pPr>
      <w:r w:rsidRPr="002545D5">
        <w:rPr>
          <w:rFonts w:ascii="Sylfaen" w:hAnsi="Sylfaen" w:cs="Sylfaen"/>
          <w:b/>
          <w:lang w:val="en-US" w:bidi="bn-BD"/>
        </w:rPr>
        <w:t>მასალების</w:t>
      </w:r>
      <w:r w:rsidRPr="002545D5">
        <w:rPr>
          <w:rFonts w:ascii="AcadNusx" w:hAnsi="AcadNusx"/>
          <w:b/>
          <w:lang w:val="en-US" w:bidi="bn-BD"/>
        </w:rPr>
        <w:t xml:space="preserve"> </w:t>
      </w:r>
      <w:r w:rsidRPr="002545D5">
        <w:rPr>
          <w:rFonts w:ascii="Sylfaen" w:hAnsi="Sylfaen" w:cs="Sylfaen"/>
          <w:b/>
          <w:lang w:val="en-US" w:bidi="bn-BD"/>
        </w:rPr>
        <w:t>შერჩევა</w:t>
      </w:r>
    </w:p>
    <w:p w14:paraId="6C60067F" w14:textId="77777777" w:rsidR="002545D5" w:rsidRPr="002545D5" w:rsidRDefault="002545D5" w:rsidP="002545D5">
      <w:pPr>
        <w:spacing w:before="120" w:after="120"/>
        <w:rPr>
          <w:rFonts w:ascii="AcadNusx" w:hAnsi="AcadNusx"/>
          <w:lang w:val="en-US" w:bidi="bn-BD"/>
        </w:rPr>
      </w:pPr>
      <w:r w:rsidRPr="002545D5">
        <w:rPr>
          <w:rFonts w:ascii="Sylfaen" w:hAnsi="Sylfaen" w:cs="Sylfaen"/>
          <w:lang w:val="en-US" w:bidi="bn-BD"/>
        </w:rPr>
        <w:t>ხიდებისთვის</w:t>
      </w:r>
      <w:r w:rsidRPr="002545D5">
        <w:rPr>
          <w:rFonts w:ascii="AcadNusx" w:hAnsi="AcadNusx"/>
          <w:lang w:val="en-US" w:bidi="bn-BD"/>
        </w:rPr>
        <w:t xml:space="preserve"> </w:t>
      </w:r>
      <w:r w:rsidRPr="002545D5">
        <w:rPr>
          <w:rFonts w:ascii="Sylfaen" w:hAnsi="Sylfaen" w:cs="Sylfaen"/>
          <w:lang w:val="en-US" w:bidi="bn-BD"/>
        </w:rPr>
        <w:t>შესაფერისი</w:t>
      </w:r>
      <w:r w:rsidRPr="002545D5">
        <w:rPr>
          <w:rFonts w:ascii="AcadNusx" w:hAnsi="AcadNusx"/>
          <w:lang w:val="en-US" w:bidi="bn-BD"/>
        </w:rPr>
        <w:t xml:space="preserve"> </w:t>
      </w:r>
      <w:r w:rsidRPr="002545D5">
        <w:rPr>
          <w:rFonts w:ascii="Sylfaen" w:hAnsi="Sylfaen" w:cs="Sylfaen"/>
          <w:lang w:val="en-US" w:bidi="bn-BD"/>
        </w:rPr>
        <w:t>ტიპის</w:t>
      </w:r>
      <w:r w:rsidRPr="002545D5">
        <w:rPr>
          <w:rFonts w:ascii="AcadNusx" w:hAnsi="AcadNusx"/>
          <w:lang w:val="en-US" w:bidi="bn-BD"/>
        </w:rPr>
        <w:t xml:space="preserve"> </w:t>
      </w:r>
      <w:r w:rsidRPr="002545D5">
        <w:rPr>
          <w:rFonts w:ascii="Sylfaen" w:hAnsi="Sylfaen" w:cs="Sylfaen"/>
          <w:lang w:val="en-US" w:bidi="bn-BD"/>
        </w:rPr>
        <w:t>მასალების</w:t>
      </w:r>
      <w:r w:rsidRPr="002545D5">
        <w:rPr>
          <w:rFonts w:ascii="AcadNusx" w:hAnsi="AcadNusx"/>
          <w:lang w:val="en-US" w:bidi="bn-BD"/>
        </w:rPr>
        <w:t xml:space="preserve"> </w:t>
      </w:r>
      <w:r w:rsidRPr="002545D5">
        <w:rPr>
          <w:rFonts w:ascii="Sylfaen" w:hAnsi="Sylfaen" w:cs="Sylfaen"/>
          <w:lang w:val="en-US" w:bidi="bn-BD"/>
        </w:rPr>
        <w:t>შერჩევის</w:t>
      </w:r>
      <w:r w:rsidRPr="002545D5">
        <w:rPr>
          <w:rFonts w:ascii="AcadNusx" w:hAnsi="AcadNusx"/>
          <w:lang w:val="en-US" w:bidi="bn-BD"/>
        </w:rPr>
        <w:t xml:space="preserve"> </w:t>
      </w:r>
      <w:r w:rsidRPr="002545D5">
        <w:rPr>
          <w:rFonts w:ascii="Sylfaen" w:hAnsi="Sylfaen" w:cs="Sylfaen"/>
          <w:lang w:val="en-US" w:bidi="bn-BD"/>
        </w:rPr>
        <w:t>მიზნით</w:t>
      </w:r>
      <w:r w:rsidRPr="002545D5">
        <w:rPr>
          <w:rFonts w:ascii="AcadNusx" w:hAnsi="AcadNusx"/>
          <w:lang w:val="en-US" w:bidi="bn-BD"/>
        </w:rPr>
        <w:t xml:space="preserve">, </w:t>
      </w:r>
      <w:r w:rsidRPr="002545D5">
        <w:rPr>
          <w:rFonts w:ascii="Sylfaen" w:hAnsi="Sylfaen" w:cs="Sylfaen"/>
          <w:lang w:val="en-US" w:bidi="bn-BD"/>
        </w:rPr>
        <w:t>გამოკვლეული</w:t>
      </w:r>
      <w:r w:rsidRPr="002545D5">
        <w:rPr>
          <w:rFonts w:ascii="AcadNusx" w:hAnsi="AcadNusx"/>
          <w:lang w:val="en-US" w:bidi="bn-BD"/>
        </w:rPr>
        <w:t xml:space="preserve"> </w:t>
      </w:r>
      <w:r w:rsidRPr="002545D5">
        <w:rPr>
          <w:rFonts w:ascii="Sylfaen" w:hAnsi="Sylfaen" w:cs="Sylfaen"/>
          <w:lang w:val="en-US" w:bidi="bn-BD"/>
        </w:rPr>
        <w:t>იქნა</w:t>
      </w:r>
      <w:r w:rsidRPr="002545D5">
        <w:rPr>
          <w:rFonts w:ascii="AcadNusx" w:hAnsi="AcadNusx"/>
          <w:lang w:val="en-US" w:bidi="bn-BD"/>
        </w:rPr>
        <w:t xml:space="preserve"> </w:t>
      </w:r>
      <w:r w:rsidRPr="002545D5">
        <w:rPr>
          <w:rFonts w:ascii="Sylfaen" w:hAnsi="Sylfaen" w:cs="Sylfaen"/>
          <w:lang w:val="en-US" w:bidi="bn-BD"/>
        </w:rPr>
        <w:t>მშენებლობის</w:t>
      </w:r>
      <w:r w:rsidRPr="002545D5">
        <w:rPr>
          <w:rFonts w:ascii="AcadNusx" w:hAnsi="AcadNusx"/>
          <w:lang w:val="en-US" w:bidi="bn-BD"/>
        </w:rPr>
        <w:t xml:space="preserve"> </w:t>
      </w:r>
      <w:r w:rsidRPr="002545D5">
        <w:rPr>
          <w:rFonts w:ascii="Sylfaen" w:hAnsi="Sylfaen" w:cs="Sylfaen"/>
          <w:lang w:val="en-US" w:bidi="bn-BD"/>
        </w:rPr>
        <w:t>მეთოდები</w:t>
      </w:r>
      <w:r w:rsidRPr="002545D5">
        <w:rPr>
          <w:rFonts w:ascii="AcadNusx" w:hAnsi="AcadNusx"/>
          <w:lang w:val="en-US" w:bidi="bn-BD"/>
        </w:rPr>
        <w:t xml:space="preserve"> </w:t>
      </w:r>
      <w:r w:rsidRPr="002545D5">
        <w:rPr>
          <w:rFonts w:ascii="Sylfaen" w:hAnsi="Sylfaen" w:cs="Sylfaen"/>
          <w:lang w:val="en-US" w:bidi="bn-BD"/>
        </w:rPr>
        <w:t>მონოლითური</w:t>
      </w:r>
      <w:r w:rsidRPr="002545D5">
        <w:rPr>
          <w:rFonts w:ascii="AcadNusx" w:hAnsi="AcadNusx"/>
          <w:lang w:val="en-US" w:bidi="bn-BD"/>
        </w:rPr>
        <w:t xml:space="preserve"> </w:t>
      </w:r>
      <w:r w:rsidRPr="002545D5">
        <w:rPr>
          <w:rFonts w:ascii="Sylfaen" w:hAnsi="Sylfaen" w:cs="Sylfaen"/>
          <w:lang w:val="en-US" w:bidi="bn-BD"/>
        </w:rPr>
        <w:t>ბეტონის</w:t>
      </w:r>
      <w:r w:rsidRPr="002545D5">
        <w:rPr>
          <w:rFonts w:ascii="AcadNusx" w:hAnsi="AcadNusx"/>
          <w:lang w:val="en-US" w:bidi="bn-BD"/>
        </w:rPr>
        <w:t xml:space="preserve"> (</w:t>
      </w:r>
      <w:r w:rsidRPr="002545D5">
        <w:rPr>
          <w:rFonts w:ascii="Sylfaen" w:hAnsi="Sylfaen" w:cs="Sylfaen"/>
          <w:lang w:val="en-US" w:bidi="bn-BD"/>
        </w:rPr>
        <w:t>რკინაბეტონის</w:t>
      </w:r>
      <w:r w:rsidRPr="002545D5">
        <w:rPr>
          <w:rFonts w:ascii="AcadNusx" w:hAnsi="AcadNusx"/>
          <w:lang w:val="en-US" w:bidi="bn-BD"/>
        </w:rPr>
        <w:t xml:space="preserve"> </w:t>
      </w:r>
      <w:r w:rsidRPr="002545D5">
        <w:rPr>
          <w:rFonts w:ascii="Sylfaen" w:hAnsi="Sylfaen" w:cs="Sylfaen"/>
          <w:lang w:val="en-US" w:bidi="bn-BD"/>
        </w:rPr>
        <w:t>და</w:t>
      </w:r>
      <w:r w:rsidRPr="002545D5">
        <w:rPr>
          <w:rFonts w:ascii="AcadNusx" w:hAnsi="AcadNusx"/>
          <w:lang w:val="en-US" w:bidi="bn-BD"/>
        </w:rPr>
        <w:t xml:space="preserve"> </w:t>
      </w:r>
      <w:r w:rsidRPr="002545D5">
        <w:rPr>
          <w:rFonts w:ascii="Sylfaen" w:hAnsi="Sylfaen" w:cs="Sylfaen"/>
          <w:lang w:val="en-US" w:bidi="bn-BD"/>
        </w:rPr>
        <w:t>წინასწარ</w:t>
      </w:r>
      <w:r w:rsidRPr="002545D5">
        <w:rPr>
          <w:rFonts w:ascii="AcadNusx" w:hAnsi="AcadNusx"/>
          <w:lang w:val="en-US" w:bidi="bn-BD"/>
        </w:rPr>
        <w:t xml:space="preserve"> </w:t>
      </w:r>
      <w:r w:rsidRPr="002545D5">
        <w:rPr>
          <w:rFonts w:ascii="Sylfaen" w:hAnsi="Sylfaen" w:cs="Sylfaen"/>
          <w:lang w:val="en-US" w:bidi="bn-BD"/>
        </w:rPr>
        <w:t>დაძაბული</w:t>
      </w:r>
      <w:r w:rsidRPr="002545D5">
        <w:rPr>
          <w:rFonts w:ascii="AcadNusx" w:hAnsi="AcadNusx"/>
          <w:lang w:val="en-US" w:bidi="bn-BD"/>
        </w:rPr>
        <w:t xml:space="preserve"> </w:t>
      </w:r>
      <w:r w:rsidRPr="002545D5">
        <w:rPr>
          <w:rFonts w:ascii="Sylfaen" w:hAnsi="Sylfaen" w:cs="Sylfaen"/>
          <w:lang w:val="en-US" w:bidi="bn-BD"/>
        </w:rPr>
        <w:t>ბეტონის</w:t>
      </w:r>
      <w:r w:rsidRPr="002545D5">
        <w:rPr>
          <w:rFonts w:ascii="AcadNusx" w:hAnsi="AcadNusx"/>
          <w:lang w:val="en-US" w:bidi="bn-BD"/>
        </w:rPr>
        <w:t xml:space="preserve"> </w:t>
      </w:r>
      <w:r w:rsidRPr="002545D5">
        <w:rPr>
          <w:rFonts w:ascii="Sylfaen" w:hAnsi="Sylfaen" w:cs="Sylfaen"/>
          <w:lang w:val="en-US" w:bidi="bn-BD"/>
        </w:rPr>
        <w:t>კონსტრუქციების</w:t>
      </w:r>
      <w:r w:rsidRPr="002545D5">
        <w:rPr>
          <w:rFonts w:ascii="AcadNusx" w:hAnsi="AcadNusx"/>
          <w:lang w:val="en-US" w:bidi="bn-BD"/>
        </w:rPr>
        <w:t xml:space="preserve"> </w:t>
      </w:r>
      <w:r w:rsidRPr="002545D5">
        <w:rPr>
          <w:rFonts w:ascii="Sylfaen" w:hAnsi="Sylfaen" w:cs="Sylfaen"/>
          <w:lang w:val="en-US" w:bidi="bn-BD"/>
        </w:rPr>
        <w:t>კომბინაცია</w:t>
      </w:r>
      <w:r w:rsidRPr="002545D5">
        <w:rPr>
          <w:rFonts w:ascii="AcadNusx" w:hAnsi="AcadNusx"/>
          <w:lang w:val="en-US" w:bidi="bn-BD"/>
        </w:rPr>
        <w:t xml:space="preserve">) </w:t>
      </w:r>
      <w:r w:rsidRPr="002545D5">
        <w:rPr>
          <w:rFonts w:ascii="Sylfaen" w:hAnsi="Sylfaen" w:cs="Sylfaen"/>
          <w:lang w:val="en-US" w:bidi="bn-BD"/>
        </w:rPr>
        <w:t>და</w:t>
      </w:r>
      <w:r w:rsidRPr="002545D5">
        <w:rPr>
          <w:rFonts w:ascii="AcadNusx" w:hAnsi="AcadNusx"/>
          <w:lang w:val="en-US" w:bidi="bn-BD"/>
        </w:rPr>
        <w:t xml:space="preserve"> </w:t>
      </w:r>
      <w:r w:rsidRPr="002545D5">
        <w:rPr>
          <w:rFonts w:ascii="Sylfaen" w:hAnsi="Sylfaen" w:cs="Sylfaen"/>
          <w:lang w:val="en-US" w:bidi="bn-BD"/>
        </w:rPr>
        <w:t>კონსტრუქციული</w:t>
      </w:r>
      <w:r w:rsidRPr="002545D5">
        <w:rPr>
          <w:rFonts w:ascii="AcadNusx" w:hAnsi="AcadNusx"/>
          <w:lang w:val="en-US" w:bidi="bn-BD"/>
        </w:rPr>
        <w:t xml:space="preserve"> </w:t>
      </w:r>
      <w:r w:rsidRPr="002545D5">
        <w:rPr>
          <w:rFonts w:ascii="Sylfaen" w:hAnsi="Sylfaen" w:cs="Sylfaen"/>
          <w:lang w:val="en-US" w:bidi="bn-BD"/>
        </w:rPr>
        <w:t>ფოლადის</w:t>
      </w:r>
      <w:r w:rsidRPr="002545D5">
        <w:rPr>
          <w:rFonts w:ascii="AcadNusx" w:hAnsi="AcadNusx"/>
          <w:lang w:val="en-US" w:bidi="bn-BD"/>
        </w:rPr>
        <w:t xml:space="preserve"> </w:t>
      </w:r>
      <w:r w:rsidRPr="002545D5">
        <w:rPr>
          <w:rFonts w:ascii="Sylfaen" w:hAnsi="Sylfaen" w:cs="Sylfaen"/>
          <w:lang w:val="en-US" w:bidi="bn-BD"/>
        </w:rPr>
        <w:t>გამოყენებით</w:t>
      </w:r>
      <w:r w:rsidRPr="002545D5">
        <w:rPr>
          <w:rFonts w:ascii="AcadNusx" w:hAnsi="AcadNusx"/>
          <w:lang w:val="en-US" w:bidi="bn-BD"/>
        </w:rPr>
        <w:t xml:space="preserve">. </w:t>
      </w:r>
      <w:r w:rsidRPr="002545D5">
        <w:rPr>
          <w:rFonts w:ascii="Sylfaen" w:hAnsi="Sylfaen" w:cs="Sylfaen"/>
          <w:lang w:val="en-US" w:bidi="bn-BD"/>
        </w:rPr>
        <w:t>კერძოდ</w:t>
      </w:r>
      <w:r w:rsidRPr="002545D5">
        <w:rPr>
          <w:rFonts w:ascii="AcadNusx" w:hAnsi="AcadNusx"/>
          <w:lang w:val="en-US" w:bidi="bn-BD"/>
        </w:rPr>
        <w:t xml:space="preserve">, </w:t>
      </w:r>
      <w:r w:rsidRPr="002545D5">
        <w:rPr>
          <w:rFonts w:ascii="Sylfaen" w:hAnsi="Sylfaen" w:cs="Sylfaen"/>
          <w:lang w:val="en-US" w:bidi="bn-BD"/>
        </w:rPr>
        <w:t>შესწავლილი</w:t>
      </w:r>
      <w:r w:rsidRPr="002545D5">
        <w:rPr>
          <w:rFonts w:ascii="AcadNusx" w:hAnsi="AcadNusx"/>
          <w:lang w:val="en-US" w:bidi="bn-BD"/>
        </w:rPr>
        <w:t xml:space="preserve"> </w:t>
      </w:r>
      <w:r w:rsidRPr="002545D5">
        <w:rPr>
          <w:rFonts w:ascii="Sylfaen" w:hAnsi="Sylfaen" w:cs="Sylfaen"/>
          <w:lang w:val="en-US" w:bidi="bn-BD"/>
        </w:rPr>
        <w:t>იქნა</w:t>
      </w:r>
      <w:r w:rsidRPr="002545D5">
        <w:rPr>
          <w:rFonts w:ascii="AcadNusx" w:hAnsi="AcadNusx"/>
          <w:lang w:val="en-US" w:bidi="bn-BD"/>
        </w:rPr>
        <w:t xml:space="preserve"> </w:t>
      </w:r>
      <w:r w:rsidRPr="002545D5">
        <w:rPr>
          <w:rFonts w:ascii="Sylfaen" w:hAnsi="Sylfaen" w:cs="Sylfaen"/>
          <w:lang w:val="en-US" w:bidi="bn-BD"/>
        </w:rPr>
        <w:t>შემდეგი</w:t>
      </w:r>
      <w:r w:rsidRPr="002545D5">
        <w:rPr>
          <w:rFonts w:ascii="AcadNusx" w:hAnsi="AcadNusx"/>
          <w:lang w:val="en-US" w:bidi="bn-BD"/>
        </w:rPr>
        <w:t xml:space="preserve"> </w:t>
      </w:r>
      <w:r w:rsidRPr="002545D5">
        <w:rPr>
          <w:rFonts w:ascii="Sylfaen" w:hAnsi="Sylfaen" w:cs="Sylfaen"/>
          <w:lang w:val="en-US" w:bidi="bn-BD"/>
        </w:rPr>
        <w:t>ფაქტორები</w:t>
      </w:r>
      <w:r w:rsidRPr="002545D5">
        <w:rPr>
          <w:rFonts w:ascii="AcadNusx" w:hAnsi="AcadNusx"/>
          <w:lang w:val="en-US" w:bidi="bn-BD"/>
        </w:rPr>
        <w:t>/</w:t>
      </w:r>
      <w:r w:rsidRPr="002545D5">
        <w:rPr>
          <w:rFonts w:ascii="Sylfaen" w:hAnsi="Sylfaen" w:cs="Sylfaen"/>
          <w:lang w:val="en-US" w:bidi="bn-BD"/>
        </w:rPr>
        <w:t>პარამეტრები</w:t>
      </w:r>
      <w:r w:rsidRPr="002545D5">
        <w:rPr>
          <w:rFonts w:ascii="AcadNusx" w:hAnsi="AcadNusx"/>
          <w:lang w:val="en-US" w:bidi="bn-BD"/>
        </w:rPr>
        <w:t>:</w:t>
      </w:r>
    </w:p>
    <w:p w14:paraId="3AE6179E" w14:textId="77777777" w:rsidR="002545D5" w:rsidRPr="002545D5" w:rsidRDefault="002545D5" w:rsidP="002545D5">
      <w:pPr>
        <w:spacing w:before="120" w:after="120"/>
        <w:rPr>
          <w:rFonts w:ascii="AcadNusx" w:hAnsi="AcadNusx"/>
          <w:lang w:val="en-US" w:bidi="bn-BD"/>
        </w:rPr>
      </w:pPr>
      <w:r w:rsidRPr="002545D5">
        <w:rPr>
          <w:rFonts w:ascii="Sylfaen" w:hAnsi="Sylfaen" w:cs="Sylfaen"/>
          <w:lang w:val="en-US" w:bidi="bn-BD"/>
        </w:rPr>
        <w:t>მასალების</w:t>
      </w:r>
      <w:r w:rsidRPr="002545D5">
        <w:rPr>
          <w:rFonts w:ascii="AcadNusx" w:hAnsi="AcadNusx"/>
          <w:lang w:val="en-US" w:bidi="bn-BD"/>
        </w:rPr>
        <w:t xml:space="preserve"> </w:t>
      </w:r>
      <w:r w:rsidRPr="002545D5">
        <w:rPr>
          <w:rFonts w:ascii="Sylfaen" w:hAnsi="Sylfaen" w:cs="Sylfaen"/>
          <w:lang w:val="en-US" w:bidi="bn-BD"/>
        </w:rPr>
        <w:t>ხელმისაწვდომობა</w:t>
      </w:r>
      <w:r w:rsidRPr="002545D5">
        <w:rPr>
          <w:rFonts w:ascii="AcadNusx" w:hAnsi="AcadNusx"/>
          <w:lang w:val="en-US" w:bidi="bn-BD"/>
        </w:rPr>
        <w:t xml:space="preserve"> </w:t>
      </w:r>
      <w:r w:rsidRPr="002545D5">
        <w:rPr>
          <w:rFonts w:ascii="Sylfaen" w:hAnsi="Sylfaen" w:cs="Sylfaen"/>
          <w:lang w:val="en-US" w:bidi="bn-BD"/>
        </w:rPr>
        <w:t>ადგილობრივი</w:t>
      </w:r>
      <w:r w:rsidRPr="002545D5">
        <w:rPr>
          <w:rFonts w:ascii="AcadNusx" w:hAnsi="AcadNusx"/>
          <w:lang w:val="en-US" w:bidi="bn-BD"/>
        </w:rPr>
        <w:t xml:space="preserve"> </w:t>
      </w:r>
      <w:r w:rsidRPr="002545D5">
        <w:rPr>
          <w:rFonts w:ascii="Sylfaen" w:hAnsi="Sylfaen" w:cs="Sylfaen"/>
          <w:lang w:val="en-US" w:bidi="bn-BD"/>
        </w:rPr>
        <w:t>გამოცდილება</w:t>
      </w:r>
      <w:r w:rsidRPr="002545D5">
        <w:rPr>
          <w:rFonts w:ascii="AcadNusx" w:hAnsi="AcadNusx"/>
          <w:lang w:val="en-US" w:bidi="bn-BD"/>
        </w:rPr>
        <w:t xml:space="preserve"> </w:t>
      </w:r>
      <w:r w:rsidRPr="002545D5">
        <w:rPr>
          <w:rFonts w:ascii="Sylfaen" w:hAnsi="Sylfaen" w:cs="Sylfaen"/>
          <w:lang w:val="en-US" w:bidi="bn-BD"/>
        </w:rPr>
        <w:t>მოვლა</w:t>
      </w:r>
      <w:r w:rsidRPr="002545D5">
        <w:rPr>
          <w:rFonts w:ascii="AcadNusx" w:hAnsi="AcadNusx"/>
          <w:lang w:val="en-US" w:bidi="bn-BD"/>
        </w:rPr>
        <w:t>-</w:t>
      </w:r>
      <w:r w:rsidRPr="002545D5">
        <w:rPr>
          <w:rFonts w:ascii="Sylfaen" w:hAnsi="Sylfaen" w:cs="Sylfaen"/>
          <w:lang w:val="en-US" w:bidi="bn-BD"/>
        </w:rPr>
        <w:t>შენახვის</w:t>
      </w:r>
      <w:r w:rsidRPr="002545D5">
        <w:rPr>
          <w:rFonts w:ascii="AcadNusx" w:hAnsi="AcadNusx"/>
          <w:lang w:val="en-US" w:bidi="bn-BD"/>
        </w:rPr>
        <w:t xml:space="preserve"> </w:t>
      </w:r>
      <w:r w:rsidRPr="002545D5">
        <w:rPr>
          <w:rFonts w:ascii="Sylfaen" w:hAnsi="Sylfaen" w:cs="Sylfaen"/>
          <w:lang w:val="en-US" w:bidi="bn-BD"/>
        </w:rPr>
        <w:t>მოთხოვნები</w:t>
      </w:r>
    </w:p>
    <w:p w14:paraId="2824EE61" w14:textId="77777777" w:rsidR="002545D5" w:rsidRPr="002545D5" w:rsidRDefault="002545D5" w:rsidP="002545D5">
      <w:pPr>
        <w:spacing w:before="120" w:after="120"/>
        <w:rPr>
          <w:rFonts w:ascii="AcadNusx" w:hAnsi="AcadNusx"/>
          <w:lang w:val="en-US" w:bidi="bn-BD"/>
        </w:rPr>
      </w:pPr>
      <w:r w:rsidRPr="002545D5">
        <w:rPr>
          <w:rFonts w:ascii="Sylfaen" w:hAnsi="Sylfaen" w:cs="Sylfaen"/>
          <w:lang w:val="en-US" w:bidi="bn-BD"/>
        </w:rPr>
        <w:t>მშენებლობის</w:t>
      </w:r>
      <w:r w:rsidRPr="002545D5">
        <w:rPr>
          <w:rFonts w:ascii="AcadNusx" w:hAnsi="AcadNusx"/>
          <w:lang w:val="en-US" w:bidi="bn-BD"/>
        </w:rPr>
        <w:t xml:space="preserve"> </w:t>
      </w:r>
      <w:r w:rsidRPr="002545D5">
        <w:rPr>
          <w:rFonts w:ascii="Sylfaen" w:hAnsi="Sylfaen" w:cs="Sylfaen"/>
          <w:lang w:val="en-US" w:bidi="bn-BD"/>
        </w:rPr>
        <w:t>ხანგრძლივობა</w:t>
      </w:r>
      <w:r w:rsidRPr="002545D5">
        <w:rPr>
          <w:rFonts w:ascii="AcadNusx" w:hAnsi="AcadNusx"/>
          <w:lang w:val="en-US" w:bidi="bn-BD"/>
        </w:rPr>
        <w:t xml:space="preserve"> </w:t>
      </w:r>
      <w:r w:rsidRPr="002545D5">
        <w:rPr>
          <w:rFonts w:ascii="Sylfaen" w:hAnsi="Sylfaen" w:cs="Sylfaen"/>
          <w:lang w:val="en-US" w:bidi="bn-BD"/>
        </w:rPr>
        <w:t>და</w:t>
      </w:r>
      <w:r w:rsidRPr="002545D5">
        <w:rPr>
          <w:rFonts w:ascii="AcadNusx" w:hAnsi="AcadNusx"/>
          <w:lang w:val="en-US" w:bidi="bn-BD"/>
        </w:rPr>
        <w:t xml:space="preserve"> </w:t>
      </w:r>
      <w:r w:rsidRPr="002545D5">
        <w:rPr>
          <w:rFonts w:ascii="Sylfaen" w:hAnsi="Sylfaen" w:cs="Sylfaen"/>
          <w:lang w:val="en-US" w:bidi="bn-BD"/>
        </w:rPr>
        <w:t>სიმარტივე</w:t>
      </w:r>
    </w:p>
    <w:p w14:paraId="2BD9BAE2" w14:textId="77777777" w:rsidR="002545D5" w:rsidRPr="002545D5" w:rsidRDefault="002545D5" w:rsidP="002545D5">
      <w:pPr>
        <w:spacing w:before="120" w:after="120"/>
        <w:rPr>
          <w:rFonts w:ascii="AcadNusx" w:hAnsi="AcadNusx"/>
          <w:lang w:val="en-US" w:bidi="bn-BD"/>
        </w:rPr>
      </w:pPr>
      <w:r w:rsidRPr="002545D5">
        <w:rPr>
          <w:rFonts w:ascii="Sylfaen" w:hAnsi="Sylfaen" w:cs="Sylfaen"/>
          <w:lang w:val="en-US" w:bidi="bn-BD"/>
        </w:rPr>
        <w:t>უსაფრთხოების</w:t>
      </w:r>
      <w:r w:rsidRPr="002545D5">
        <w:rPr>
          <w:rFonts w:ascii="AcadNusx" w:hAnsi="AcadNusx"/>
          <w:lang w:val="en-US" w:bidi="bn-BD"/>
        </w:rPr>
        <w:t xml:space="preserve"> </w:t>
      </w:r>
      <w:r w:rsidRPr="002545D5">
        <w:rPr>
          <w:rFonts w:ascii="Sylfaen" w:hAnsi="Sylfaen" w:cs="Sylfaen"/>
          <w:lang w:val="en-US" w:bidi="bn-BD"/>
        </w:rPr>
        <w:t>პირობების</w:t>
      </w:r>
      <w:r w:rsidRPr="002545D5">
        <w:rPr>
          <w:rFonts w:ascii="AcadNusx" w:hAnsi="AcadNusx"/>
          <w:lang w:val="en-US" w:bidi="bn-BD"/>
        </w:rPr>
        <w:t xml:space="preserve"> </w:t>
      </w:r>
      <w:r w:rsidRPr="002545D5">
        <w:rPr>
          <w:rFonts w:ascii="Sylfaen" w:hAnsi="Sylfaen" w:cs="Sylfaen"/>
          <w:lang w:val="en-US" w:bidi="bn-BD"/>
        </w:rPr>
        <w:t>დაცვა</w:t>
      </w:r>
      <w:r w:rsidRPr="002545D5">
        <w:rPr>
          <w:rFonts w:ascii="AcadNusx" w:hAnsi="AcadNusx"/>
          <w:lang w:val="en-US" w:bidi="bn-BD"/>
        </w:rPr>
        <w:t xml:space="preserve"> </w:t>
      </w:r>
      <w:r w:rsidRPr="002545D5">
        <w:rPr>
          <w:rFonts w:ascii="Sylfaen" w:hAnsi="Sylfaen" w:cs="Sylfaen"/>
          <w:lang w:val="en-US" w:bidi="bn-BD"/>
        </w:rPr>
        <w:t>მშენებლობის</w:t>
      </w:r>
      <w:r w:rsidRPr="002545D5">
        <w:rPr>
          <w:rFonts w:ascii="AcadNusx" w:hAnsi="AcadNusx"/>
          <w:lang w:val="en-US" w:bidi="bn-BD"/>
        </w:rPr>
        <w:t xml:space="preserve"> </w:t>
      </w:r>
      <w:r w:rsidRPr="002545D5">
        <w:rPr>
          <w:rFonts w:ascii="Sylfaen" w:hAnsi="Sylfaen" w:cs="Sylfaen"/>
          <w:lang w:val="en-US" w:bidi="bn-BD"/>
        </w:rPr>
        <w:t>პერიოდში</w:t>
      </w:r>
    </w:p>
    <w:p w14:paraId="5AE33A0E" w14:textId="77777777" w:rsidR="002545D5" w:rsidRPr="002545D5" w:rsidRDefault="002545D5" w:rsidP="002545D5">
      <w:pPr>
        <w:spacing w:before="120" w:after="120"/>
        <w:rPr>
          <w:rFonts w:ascii="AcadNusx" w:hAnsi="AcadNusx"/>
          <w:lang w:val="en-US" w:bidi="bn-BD"/>
        </w:rPr>
      </w:pPr>
      <w:r w:rsidRPr="002545D5">
        <w:rPr>
          <w:rFonts w:ascii="Sylfaen" w:hAnsi="Sylfaen" w:cs="Sylfaen"/>
          <w:lang w:val="en-US" w:bidi="bn-BD"/>
        </w:rPr>
        <w:t>ეკოლოგიური</w:t>
      </w:r>
      <w:r w:rsidRPr="002545D5">
        <w:rPr>
          <w:rFonts w:ascii="AcadNusx" w:hAnsi="AcadNusx"/>
          <w:lang w:val="en-US" w:bidi="bn-BD"/>
        </w:rPr>
        <w:t xml:space="preserve"> </w:t>
      </w:r>
      <w:r w:rsidRPr="002545D5">
        <w:rPr>
          <w:rFonts w:ascii="Sylfaen" w:hAnsi="Sylfaen" w:cs="Sylfaen"/>
          <w:lang w:val="en-US" w:bidi="bn-BD"/>
        </w:rPr>
        <w:t>საფრთხეები</w:t>
      </w:r>
      <w:r w:rsidRPr="002545D5">
        <w:rPr>
          <w:rFonts w:ascii="AcadNusx" w:hAnsi="AcadNusx"/>
          <w:lang w:val="en-US" w:bidi="bn-BD"/>
        </w:rPr>
        <w:t xml:space="preserve"> </w:t>
      </w:r>
      <w:r w:rsidRPr="002545D5">
        <w:rPr>
          <w:rFonts w:ascii="Sylfaen" w:hAnsi="Sylfaen" w:cs="Sylfaen"/>
          <w:lang w:val="en-US" w:bidi="bn-BD"/>
        </w:rPr>
        <w:t>მშენებლობის</w:t>
      </w:r>
      <w:r w:rsidRPr="002545D5">
        <w:rPr>
          <w:rFonts w:ascii="AcadNusx" w:hAnsi="AcadNusx"/>
          <w:lang w:val="en-US" w:bidi="bn-BD"/>
        </w:rPr>
        <w:t xml:space="preserve"> </w:t>
      </w:r>
      <w:r w:rsidRPr="002545D5">
        <w:rPr>
          <w:rFonts w:ascii="Sylfaen" w:hAnsi="Sylfaen" w:cs="Sylfaen"/>
          <w:lang w:val="en-US" w:bidi="bn-BD"/>
        </w:rPr>
        <w:t>და</w:t>
      </w:r>
      <w:r w:rsidRPr="002545D5">
        <w:rPr>
          <w:rFonts w:ascii="AcadNusx" w:hAnsi="AcadNusx"/>
          <w:lang w:val="en-US" w:bidi="bn-BD"/>
        </w:rPr>
        <w:t xml:space="preserve"> </w:t>
      </w:r>
      <w:r w:rsidRPr="002545D5">
        <w:rPr>
          <w:rFonts w:ascii="Sylfaen" w:hAnsi="Sylfaen" w:cs="Sylfaen"/>
          <w:lang w:val="en-US" w:bidi="bn-BD"/>
        </w:rPr>
        <w:t>ექსპლუატაციის</w:t>
      </w:r>
      <w:r w:rsidRPr="002545D5">
        <w:rPr>
          <w:rFonts w:ascii="AcadNusx" w:hAnsi="AcadNusx"/>
          <w:lang w:val="en-US" w:bidi="bn-BD"/>
        </w:rPr>
        <w:t xml:space="preserve"> </w:t>
      </w:r>
      <w:r w:rsidRPr="002545D5">
        <w:rPr>
          <w:rFonts w:ascii="Sylfaen" w:hAnsi="Sylfaen" w:cs="Sylfaen"/>
          <w:lang w:val="en-US" w:bidi="bn-BD"/>
        </w:rPr>
        <w:t>პერიოდებში</w:t>
      </w:r>
      <w:r w:rsidRPr="002545D5">
        <w:rPr>
          <w:rFonts w:ascii="AcadNusx" w:hAnsi="AcadNusx"/>
          <w:lang w:val="en-US" w:bidi="bn-BD"/>
        </w:rPr>
        <w:t xml:space="preserve"> </w:t>
      </w:r>
      <w:r w:rsidRPr="002545D5">
        <w:rPr>
          <w:rFonts w:ascii="Sylfaen" w:hAnsi="Sylfaen" w:cs="Sylfaen"/>
          <w:lang w:val="en-US" w:bidi="bn-BD"/>
        </w:rPr>
        <w:t>ღირებულება</w:t>
      </w:r>
    </w:p>
    <w:p w14:paraId="5A370FA3" w14:textId="77777777" w:rsidR="002545D5" w:rsidRPr="002545D5" w:rsidRDefault="002545D5" w:rsidP="002545D5">
      <w:pPr>
        <w:spacing w:before="120" w:after="120"/>
        <w:rPr>
          <w:rFonts w:ascii="AcadNusx" w:hAnsi="AcadNusx"/>
          <w:lang w:val="en-US" w:bidi="bn-BD"/>
        </w:rPr>
      </w:pPr>
      <w:r w:rsidRPr="002545D5">
        <w:rPr>
          <w:rFonts w:ascii="Sylfaen" w:hAnsi="Sylfaen" w:cs="Sylfaen"/>
          <w:lang w:val="en-US" w:bidi="bn-BD"/>
        </w:rPr>
        <w:t>თითოეული</w:t>
      </w:r>
      <w:r w:rsidRPr="002545D5">
        <w:rPr>
          <w:rFonts w:ascii="AcadNusx" w:hAnsi="AcadNusx"/>
          <w:lang w:val="en-US" w:bidi="bn-BD"/>
        </w:rPr>
        <w:t xml:space="preserve"> </w:t>
      </w:r>
      <w:r w:rsidRPr="002545D5">
        <w:rPr>
          <w:rFonts w:ascii="Sylfaen" w:hAnsi="Sylfaen" w:cs="Sylfaen"/>
          <w:lang w:val="en-US" w:bidi="bn-BD"/>
        </w:rPr>
        <w:t>სახიდე</w:t>
      </w:r>
      <w:r w:rsidRPr="002545D5">
        <w:rPr>
          <w:rFonts w:ascii="AcadNusx" w:hAnsi="AcadNusx"/>
          <w:lang w:val="en-US" w:bidi="bn-BD"/>
        </w:rPr>
        <w:t xml:space="preserve"> </w:t>
      </w:r>
      <w:r w:rsidRPr="002545D5">
        <w:rPr>
          <w:rFonts w:ascii="Sylfaen" w:hAnsi="Sylfaen" w:cs="Sylfaen"/>
          <w:lang w:val="en-US" w:bidi="bn-BD"/>
        </w:rPr>
        <w:t>ნაგებობისთვის</w:t>
      </w:r>
      <w:r w:rsidRPr="002545D5">
        <w:rPr>
          <w:rFonts w:ascii="AcadNusx" w:hAnsi="AcadNusx"/>
          <w:lang w:val="en-US" w:bidi="bn-BD"/>
        </w:rPr>
        <w:t xml:space="preserve"> </w:t>
      </w:r>
      <w:r w:rsidRPr="002545D5">
        <w:rPr>
          <w:rFonts w:ascii="Sylfaen" w:hAnsi="Sylfaen" w:cs="Sylfaen"/>
          <w:lang w:val="en-US" w:bidi="bn-BD"/>
        </w:rPr>
        <w:t>შეიძლება</w:t>
      </w:r>
      <w:r w:rsidRPr="002545D5">
        <w:rPr>
          <w:rFonts w:ascii="AcadNusx" w:hAnsi="AcadNusx"/>
          <w:lang w:val="en-US" w:bidi="bn-BD"/>
        </w:rPr>
        <w:t xml:space="preserve"> </w:t>
      </w:r>
      <w:r w:rsidRPr="002545D5">
        <w:rPr>
          <w:rFonts w:ascii="Sylfaen" w:hAnsi="Sylfaen" w:cs="Sylfaen"/>
          <w:lang w:val="en-US" w:bidi="bn-BD"/>
        </w:rPr>
        <w:t>განხილული</w:t>
      </w:r>
      <w:r w:rsidRPr="002545D5">
        <w:rPr>
          <w:rFonts w:ascii="AcadNusx" w:hAnsi="AcadNusx"/>
          <w:lang w:val="en-US" w:bidi="bn-BD"/>
        </w:rPr>
        <w:t xml:space="preserve"> </w:t>
      </w:r>
      <w:r w:rsidRPr="002545D5">
        <w:rPr>
          <w:rFonts w:ascii="Sylfaen" w:hAnsi="Sylfaen" w:cs="Sylfaen"/>
          <w:lang w:val="en-US" w:bidi="bn-BD"/>
        </w:rPr>
        <w:t>იქნას</w:t>
      </w:r>
      <w:r w:rsidRPr="002545D5">
        <w:rPr>
          <w:rFonts w:ascii="AcadNusx" w:hAnsi="AcadNusx"/>
          <w:lang w:val="en-US" w:bidi="bn-BD"/>
        </w:rPr>
        <w:t xml:space="preserve"> </w:t>
      </w:r>
      <w:r w:rsidRPr="002545D5">
        <w:rPr>
          <w:rFonts w:ascii="Sylfaen" w:hAnsi="Sylfaen" w:cs="Sylfaen"/>
          <w:lang w:val="en-US" w:bidi="bn-BD"/>
        </w:rPr>
        <w:t>სხვადასხვა</w:t>
      </w:r>
      <w:r w:rsidRPr="002545D5">
        <w:rPr>
          <w:rFonts w:ascii="AcadNusx" w:hAnsi="AcadNusx"/>
          <w:lang w:val="en-US" w:bidi="bn-BD"/>
        </w:rPr>
        <w:t xml:space="preserve"> </w:t>
      </w:r>
      <w:r w:rsidRPr="002545D5">
        <w:rPr>
          <w:rFonts w:ascii="Sylfaen" w:hAnsi="Sylfaen" w:cs="Sylfaen"/>
          <w:lang w:val="en-US" w:bidi="bn-BD"/>
        </w:rPr>
        <w:t>კონსტრუქციული</w:t>
      </w:r>
      <w:r w:rsidRPr="002545D5">
        <w:rPr>
          <w:rFonts w:ascii="AcadNusx" w:hAnsi="AcadNusx"/>
          <w:lang w:val="en-US" w:bidi="bn-BD"/>
        </w:rPr>
        <w:t xml:space="preserve"> </w:t>
      </w:r>
      <w:r w:rsidRPr="002545D5">
        <w:rPr>
          <w:rFonts w:ascii="Sylfaen" w:hAnsi="Sylfaen" w:cs="Sylfaen"/>
          <w:lang w:val="en-US" w:bidi="bn-BD"/>
        </w:rPr>
        <w:t>ფორმები</w:t>
      </w:r>
      <w:r w:rsidRPr="002545D5">
        <w:rPr>
          <w:rFonts w:ascii="AcadNusx" w:hAnsi="AcadNusx"/>
          <w:lang w:val="en-US" w:bidi="bn-BD"/>
        </w:rPr>
        <w:t xml:space="preserve"> </w:t>
      </w:r>
      <w:r w:rsidRPr="002545D5">
        <w:rPr>
          <w:rFonts w:ascii="Sylfaen" w:hAnsi="Sylfaen" w:cs="Sylfaen"/>
          <w:lang w:val="en-US" w:bidi="bn-BD"/>
        </w:rPr>
        <w:t>და</w:t>
      </w:r>
      <w:r w:rsidRPr="002545D5">
        <w:rPr>
          <w:rFonts w:ascii="AcadNusx" w:hAnsi="AcadNusx"/>
          <w:lang w:val="en-US" w:bidi="bn-BD"/>
        </w:rPr>
        <w:t xml:space="preserve"> </w:t>
      </w:r>
      <w:r w:rsidRPr="002545D5">
        <w:rPr>
          <w:rFonts w:ascii="Sylfaen" w:hAnsi="Sylfaen" w:cs="Sylfaen"/>
          <w:lang w:val="en-US" w:bidi="bn-BD"/>
        </w:rPr>
        <w:t>მასალები</w:t>
      </w:r>
      <w:r w:rsidRPr="002545D5">
        <w:rPr>
          <w:rFonts w:ascii="AcadNusx" w:hAnsi="AcadNusx"/>
          <w:lang w:val="en-US" w:bidi="bn-BD"/>
        </w:rPr>
        <w:t xml:space="preserve">. </w:t>
      </w:r>
      <w:r w:rsidRPr="002545D5">
        <w:rPr>
          <w:rFonts w:ascii="Sylfaen" w:hAnsi="Sylfaen" w:cs="Sylfaen"/>
          <w:lang w:val="en-US" w:bidi="bn-BD"/>
        </w:rPr>
        <w:t>თითოეულ</w:t>
      </w:r>
      <w:r w:rsidRPr="002545D5">
        <w:rPr>
          <w:rFonts w:ascii="AcadNusx" w:hAnsi="AcadNusx"/>
          <w:lang w:val="en-US" w:bidi="bn-BD"/>
        </w:rPr>
        <w:t xml:space="preserve"> </w:t>
      </w:r>
      <w:r w:rsidRPr="002545D5">
        <w:rPr>
          <w:rFonts w:ascii="Sylfaen" w:hAnsi="Sylfaen" w:cs="Sylfaen"/>
          <w:lang w:val="en-US" w:bidi="bn-BD"/>
        </w:rPr>
        <w:t>ასეთ</w:t>
      </w:r>
      <w:r w:rsidRPr="002545D5">
        <w:rPr>
          <w:rFonts w:ascii="AcadNusx" w:hAnsi="AcadNusx"/>
          <w:lang w:val="en-US" w:bidi="bn-BD"/>
        </w:rPr>
        <w:t xml:space="preserve"> </w:t>
      </w:r>
      <w:r w:rsidRPr="002545D5">
        <w:rPr>
          <w:rFonts w:ascii="Sylfaen" w:hAnsi="Sylfaen" w:cs="Sylfaen"/>
          <w:lang w:val="en-US" w:bidi="bn-BD"/>
        </w:rPr>
        <w:t>ფორმას</w:t>
      </w:r>
      <w:r w:rsidRPr="002545D5">
        <w:rPr>
          <w:rFonts w:ascii="AcadNusx" w:hAnsi="AcadNusx"/>
          <w:lang w:val="en-US" w:bidi="bn-BD"/>
        </w:rPr>
        <w:t xml:space="preserve"> </w:t>
      </w:r>
      <w:r w:rsidRPr="002545D5">
        <w:rPr>
          <w:rFonts w:ascii="Sylfaen" w:hAnsi="Sylfaen" w:cs="Sylfaen"/>
          <w:lang w:val="en-US" w:bidi="bn-BD"/>
        </w:rPr>
        <w:t>და</w:t>
      </w:r>
      <w:r w:rsidRPr="002545D5">
        <w:rPr>
          <w:rFonts w:ascii="AcadNusx" w:hAnsi="AcadNusx"/>
          <w:lang w:val="en-US" w:bidi="bn-BD"/>
        </w:rPr>
        <w:t xml:space="preserve"> </w:t>
      </w:r>
      <w:r w:rsidRPr="002545D5">
        <w:rPr>
          <w:rFonts w:ascii="Sylfaen" w:hAnsi="Sylfaen" w:cs="Sylfaen"/>
          <w:lang w:val="en-US" w:bidi="bn-BD"/>
        </w:rPr>
        <w:t>მასალას</w:t>
      </w:r>
      <w:r w:rsidRPr="002545D5">
        <w:rPr>
          <w:rFonts w:ascii="AcadNusx" w:hAnsi="AcadNusx"/>
          <w:lang w:val="en-US" w:bidi="bn-BD"/>
        </w:rPr>
        <w:t xml:space="preserve"> </w:t>
      </w:r>
      <w:r w:rsidRPr="002545D5">
        <w:rPr>
          <w:rFonts w:ascii="Sylfaen" w:hAnsi="Sylfaen" w:cs="Sylfaen"/>
          <w:lang w:val="en-US" w:bidi="bn-BD"/>
        </w:rPr>
        <w:t>კონკრეტული</w:t>
      </w:r>
      <w:r w:rsidRPr="002545D5">
        <w:rPr>
          <w:rFonts w:ascii="AcadNusx" w:hAnsi="AcadNusx"/>
          <w:lang w:val="en-US" w:bidi="bn-BD"/>
        </w:rPr>
        <w:t xml:space="preserve"> </w:t>
      </w:r>
      <w:r w:rsidRPr="002545D5">
        <w:rPr>
          <w:rFonts w:ascii="Sylfaen" w:hAnsi="Sylfaen" w:cs="Sylfaen"/>
          <w:lang w:val="en-US" w:bidi="bn-BD"/>
        </w:rPr>
        <w:t>უპირატესობები</w:t>
      </w:r>
      <w:r w:rsidRPr="002545D5">
        <w:rPr>
          <w:rFonts w:ascii="AcadNusx" w:hAnsi="AcadNusx"/>
          <w:lang w:val="en-US" w:bidi="bn-BD"/>
        </w:rPr>
        <w:t xml:space="preserve"> </w:t>
      </w:r>
      <w:r w:rsidRPr="002545D5">
        <w:rPr>
          <w:rFonts w:ascii="Sylfaen" w:hAnsi="Sylfaen" w:cs="Sylfaen"/>
          <w:lang w:val="en-US" w:bidi="bn-BD"/>
        </w:rPr>
        <w:t>და</w:t>
      </w:r>
      <w:r w:rsidRPr="002545D5">
        <w:rPr>
          <w:rFonts w:ascii="AcadNusx" w:hAnsi="AcadNusx"/>
          <w:lang w:val="en-US" w:bidi="bn-BD"/>
        </w:rPr>
        <w:t xml:space="preserve"> </w:t>
      </w:r>
      <w:r w:rsidRPr="002545D5">
        <w:rPr>
          <w:rFonts w:ascii="Sylfaen" w:hAnsi="Sylfaen" w:cs="Sylfaen"/>
          <w:lang w:val="en-US" w:bidi="bn-BD"/>
        </w:rPr>
        <w:t>ნაკლოვანებები</w:t>
      </w:r>
      <w:r w:rsidRPr="002545D5">
        <w:rPr>
          <w:rFonts w:ascii="AcadNusx" w:hAnsi="AcadNusx"/>
          <w:lang w:val="en-US" w:bidi="bn-BD"/>
        </w:rPr>
        <w:t xml:space="preserve"> </w:t>
      </w:r>
      <w:r w:rsidRPr="002545D5">
        <w:rPr>
          <w:rFonts w:ascii="Sylfaen" w:hAnsi="Sylfaen" w:cs="Sylfaen"/>
          <w:lang w:val="en-US" w:bidi="bn-BD"/>
        </w:rPr>
        <w:t>ახასიათებს</w:t>
      </w:r>
      <w:r w:rsidRPr="002545D5">
        <w:rPr>
          <w:rFonts w:ascii="AcadNusx" w:hAnsi="AcadNusx"/>
          <w:lang w:val="en-US" w:bidi="bn-BD"/>
        </w:rPr>
        <w:t xml:space="preserve">, </w:t>
      </w:r>
      <w:r w:rsidRPr="002545D5">
        <w:rPr>
          <w:rFonts w:ascii="Sylfaen" w:hAnsi="Sylfaen" w:cs="Sylfaen"/>
          <w:lang w:val="en-US" w:bidi="bn-BD"/>
        </w:rPr>
        <w:t>თუმცა</w:t>
      </w:r>
      <w:r w:rsidRPr="002545D5">
        <w:rPr>
          <w:rFonts w:ascii="AcadNusx" w:hAnsi="AcadNusx"/>
          <w:lang w:val="en-US" w:bidi="bn-BD"/>
        </w:rPr>
        <w:t xml:space="preserve"> </w:t>
      </w:r>
      <w:r w:rsidRPr="002545D5">
        <w:rPr>
          <w:rFonts w:ascii="Sylfaen" w:hAnsi="Sylfaen" w:cs="Sylfaen"/>
          <w:lang w:val="en-US" w:bidi="bn-BD"/>
        </w:rPr>
        <w:t>მათგან</w:t>
      </w:r>
      <w:r w:rsidRPr="002545D5">
        <w:rPr>
          <w:rFonts w:ascii="AcadNusx" w:hAnsi="AcadNusx"/>
          <w:lang w:val="en-US" w:bidi="bn-BD"/>
        </w:rPr>
        <w:t xml:space="preserve"> </w:t>
      </w:r>
      <w:r w:rsidRPr="002545D5">
        <w:rPr>
          <w:rFonts w:ascii="AcadNusx" w:hAnsi="AcadNusx" w:cs="AcadNusx"/>
          <w:lang w:val="en-US" w:bidi="bn-BD"/>
        </w:rPr>
        <w:t>“</w:t>
      </w:r>
      <w:r w:rsidRPr="002545D5">
        <w:rPr>
          <w:rFonts w:ascii="Sylfaen" w:hAnsi="Sylfaen" w:cs="Sylfaen"/>
          <w:lang w:val="en-US" w:bidi="bn-BD"/>
        </w:rPr>
        <w:t>აბსოლუტურად</w:t>
      </w:r>
      <w:r w:rsidRPr="002545D5">
        <w:rPr>
          <w:rFonts w:ascii="AcadNusx" w:hAnsi="AcadNusx"/>
          <w:lang w:val="en-US" w:bidi="bn-BD"/>
        </w:rPr>
        <w:t xml:space="preserve"> </w:t>
      </w:r>
      <w:r w:rsidRPr="002545D5">
        <w:rPr>
          <w:rFonts w:ascii="Sylfaen" w:hAnsi="Sylfaen" w:cs="Sylfaen"/>
          <w:lang w:val="en-US" w:bidi="bn-BD"/>
        </w:rPr>
        <w:t>საუკეთესო</w:t>
      </w:r>
      <w:r w:rsidRPr="002545D5">
        <w:rPr>
          <w:rFonts w:ascii="AcadNusx" w:hAnsi="AcadNusx" w:cs="AcadNusx"/>
          <w:lang w:val="en-US" w:bidi="bn-BD"/>
        </w:rPr>
        <w:t>”</w:t>
      </w:r>
      <w:r w:rsidRPr="002545D5">
        <w:rPr>
          <w:rFonts w:ascii="AcadNusx" w:hAnsi="AcadNusx"/>
          <w:lang w:val="en-US" w:bidi="bn-BD"/>
        </w:rPr>
        <w:t xml:space="preserve"> </w:t>
      </w:r>
      <w:r w:rsidRPr="002545D5">
        <w:rPr>
          <w:rFonts w:ascii="Sylfaen" w:hAnsi="Sylfaen" w:cs="Sylfaen"/>
          <w:lang w:val="en-US" w:bidi="bn-BD"/>
        </w:rPr>
        <w:t>არც</w:t>
      </w:r>
      <w:r w:rsidRPr="002545D5">
        <w:rPr>
          <w:rFonts w:ascii="AcadNusx" w:hAnsi="AcadNusx"/>
          <w:lang w:val="en-US" w:bidi="bn-BD"/>
        </w:rPr>
        <w:t xml:space="preserve"> </w:t>
      </w:r>
      <w:r w:rsidRPr="002545D5">
        <w:rPr>
          <w:rFonts w:ascii="Sylfaen" w:hAnsi="Sylfaen" w:cs="Sylfaen"/>
          <w:lang w:val="en-US" w:bidi="bn-BD"/>
        </w:rPr>
        <w:t>ერთი</w:t>
      </w:r>
      <w:r w:rsidRPr="002545D5">
        <w:rPr>
          <w:rFonts w:ascii="AcadNusx" w:hAnsi="AcadNusx"/>
          <w:lang w:val="en-US" w:bidi="bn-BD"/>
        </w:rPr>
        <w:t xml:space="preserve"> </w:t>
      </w:r>
      <w:r w:rsidRPr="002545D5">
        <w:rPr>
          <w:rFonts w:ascii="Sylfaen" w:hAnsi="Sylfaen" w:cs="Sylfaen"/>
          <w:lang w:val="en-US" w:bidi="bn-BD"/>
        </w:rPr>
        <w:t>არ</w:t>
      </w:r>
      <w:r w:rsidRPr="002545D5">
        <w:rPr>
          <w:rFonts w:ascii="AcadNusx" w:hAnsi="AcadNusx"/>
          <w:lang w:val="en-US" w:bidi="bn-BD"/>
        </w:rPr>
        <w:t xml:space="preserve"> </w:t>
      </w:r>
      <w:r w:rsidRPr="002545D5">
        <w:rPr>
          <w:rFonts w:ascii="Sylfaen" w:hAnsi="Sylfaen" w:cs="Sylfaen"/>
          <w:lang w:val="en-US" w:bidi="bn-BD"/>
        </w:rPr>
        <w:t>არის</w:t>
      </w:r>
      <w:r w:rsidRPr="002545D5">
        <w:rPr>
          <w:rFonts w:ascii="AcadNusx" w:hAnsi="AcadNusx"/>
          <w:lang w:val="en-US" w:bidi="bn-BD"/>
        </w:rPr>
        <w:t xml:space="preserve">. </w:t>
      </w:r>
      <w:r w:rsidRPr="002545D5">
        <w:rPr>
          <w:rFonts w:ascii="Sylfaen" w:hAnsi="Sylfaen" w:cs="Sylfaen"/>
          <w:lang w:val="en-US" w:bidi="bn-BD"/>
        </w:rPr>
        <w:t>საპროექტო</w:t>
      </w:r>
      <w:r w:rsidRPr="002545D5">
        <w:rPr>
          <w:rFonts w:ascii="AcadNusx" w:hAnsi="AcadNusx"/>
          <w:lang w:val="en-US" w:bidi="bn-BD"/>
        </w:rPr>
        <w:t xml:space="preserve"> </w:t>
      </w:r>
      <w:r w:rsidRPr="002545D5">
        <w:rPr>
          <w:rFonts w:ascii="Sylfaen" w:hAnsi="Sylfaen" w:cs="Sylfaen"/>
          <w:lang w:val="en-US" w:bidi="bn-BD"/>
        </w:rPr>
        <w:t>ხიდებისთვის</w:t>
      </w:r>
    </w:p>
    <w:p w14:paraId="0D5FD748" w14:textId="77777777" w:rsidR="002545D5" w:rsidRPr="002545D5" w:rsidRDefault="002545D5" w:rsidP="002545D5">
      <w:pPr>
        <w:spacing w:before="120" w:after="120"/>
        <w:rPr>
          <w:rFonts w:ascii="AcadNusx" w:hAnsi="AcadNusx"/>
          <w:lang w:val="en-US" w:bidi="bn-BD"/>
        </w:rPr>
      </w:pPr>
      <w:r w:rsidRPr="002545D5">
        <w:rPr>
          <w:rFonts w:ascii="Sylfaen" w:hAnsi="Sylfaen" w:cs="Sylfaen"/>
          <w:lang w:val="en-US" w:bidi="bn-BD"/>
        </w:rPr>
        <w:t>კონსტრუქციული</w:t>
      </w:r>
      <w:r w:rsidRPr="002545D5">
        <w:rPr>
          <w:rFonts w:ascii="AcadNusx" w:hAnsi="AcadNusx"/>
          <w:lang w:val="en-US" w:bidi="bn-BD"/>
        </w:rPr>
        <w:t xml:space="preserve"> </w:t>
      </w:r>
      <w:r w:rsidRPr="002545D5">
        <w:rPr>
          <w:rFonts w:ascii="Sylfaen" w:hAnsi="Sylfaen" w:cs="Sylfaen"/>
          <w:lang w:val="en-US" w:bidi="bn-BD"/>
        </w:rPr>
        <w:t>ფორმების</w:t>
      </w:r>
      <w:r w:rsidRPr="002545D5">
        <w:rPr>
          <w:rFonts w:ascii="AcadNusx" w:hAnsi="AcadNusx"/>
          <w:lang w:val="en-US" w:bidi="bn-BD"/>
        </w:rPr>
        <w:t>/</w:t>
      </w:r>
      <w:r w:rsidRPr="002545D5">
        <w:rPr>
          <w:rFonts w:ascii="Sylfaen" w:hAnsi="Sylfaen" w:cs="Sylfaen"/>
          <w:lang w:val="en-US" w:bidi="bn-BD"/>
        </w:rPr>
        <w:t>მასალების</w:t>
      </w:r>
      <w:r w:rsidRPr="002545D5">
        <w:rPr>
          <w:rFonts w:ascii="AcadNusx" w:hAnsi="AcadNusx"/>
          <w:lang w:val="en-US" w:bidi="bn-BD"/>
        </w:rPr>
        <w:t xml:space="preserve"> </w:t>
      </w:r>
      <w:r w:rsidRPr="002545D5">
        <w:rPr>
          <w:rFonts w:ascii="Sylfaen" w:hAnsi="Sylfaen" w:cs="Sylfaen"/>
          <w:lang w:val="en-US" w:bidi="bn-BD"/>
        </w:rPr>
        <w:t>შერჩევის</w:t>
      </w:r>
      <w:r w:rsidRPr="002545D5">
        <w:rPr>
          <w:rFonts w:ascii="AcadNusx" w:hAnsi="AcadNusx"/>
          <w:lang w:val="en-US" w:bidi="bn-BD"/>
        </w:rPr>
        <w:t xml:space="preserve"> </w:t>
      </w:r>
      <w:r w:rsidRPr="002545D5">
        <w:rPr>
          <w:rFonts w:ascii="Sylfaen" w:hAnsi="Sylfaen" w:cs="Sylfaen"/>
          <w:lang w:val="en-US" w:bidi="bn-BD"/>
        </w:rPr>
        <w:t>პროცესში</w:t>
      </w:r>
      <w:r w:rsidRPr="002545D5">
        <w:rPr>
          <w:rFonts w:ascii="AcadNusx" w:hAnsi="AcadNusx"/>
          <w:lang w:val="en-US" w:bidi="bn-BD"/>
        </w:rPr>
        <w:t xml:space="preserve">, </w:t>
      </w:r>
      <w:r w:rsidRPr="002545D5">
        <w:rPr>
          <w:rFonts w:ascii="Sylfaen" w:hAnsi="Sylfaen" w:cs="Sylfaen"/>
          <w:lang w:val="en-US" w:bidi="bn-BD"/>
        </w:rPr>
        <w:t>კონსულტანტი</w:t>
      </w:r>
      <w:r w:rsidRPr="002545D5">
        <w:rPr>
          <w:rFonts w:ascii="AcadNusx" w:hAnsi="AcadNusx"/>
          <w:lang w:val="en-US" w:bidi="bn-BD"/>
        </w:rPr>
        <w:t xml:space="preserve"> </w:t>
      </w:r>
      <w:r w:rsidRPr="002545D5">
        <w:rPr>
          <w:rFonts w:ascii="Sylfaen" w:hAnsi="Sylfaen" w:cs="Sylfaen"/>
          <w:lang w:val="en-US" w:bidi="bn-BD"/>
        </w:rPr>
        <w:t>უპირატესობას</w:t>
      </w:r>
      <w:r w:rsidRPr="002545D5">
        <w:rPr>
          <w:rFonts w:ascii="AcadNusx" w:hAnsi="AcadNusx"/>
          <w:lang w:val="en-US" w:bidi="bn-BD"/>
        </w:rPr>
        <w:t xml:space="preserve"> </w:t>
      </w:r>
      <w:r w:rsidRPr="002545D5">
        <w:rPr>
          <w:rFonts w:ascii="Sylfaen" w:hAnsi="Sylfaen" w:cs="Sylfaen"/>
          <w:lang w:val="en-US" w:bidi="bn-BD"/>
        </w:rPr>
        <w:t>ანიჭებს</w:t>
      </w:r>
      <w:r w:rsidRPr="002545D5">
        <w:rPr>
          <w:rFonts w:ascii="AcadNusx" w:hAnsi="AcadNusx"/>
          <w:lang w:val="en-US" w:bidi="bn-BD"/>
        </w:rPr>
        <w:t xml:space="preserve"> </w:t>
      </w:r>
      <w:r w:rsidRPr="002545D5">
        <w:rPr>
          <w:rFonts w:ascii="Sylfaen" w:hAnsi="Sylfaen" w:cs="Sylfaen"/>
          <w:lang w:val="en-US" w:bidi="bn-BD"/>
        </w:rPr>
        <w:t>შემდეგ</w:t>
      </w:r>
      <w:r w:rsidRPr="002545D5">
        <w:rPr>
          <w:rFonts w:ascii="AcadNusx" w:hAnsi="AcadNusx"/>
          <w:lang w:val="en-US" w:bidi="bn-BD"/>
        </w:rPr>
        <w:t xml:space="preserve"> </w:t>
      </w:r>
      <w:r w:rsidRPr="002545D5">
        <w:rPr>
          <w:rFonts w:ascii="Sylfaen" w:hAnsi="Sylfaen" w:cs="Sylfaen"/>
          <w:lang w:val="en-US" w:bidi="bn-BD"/>
        </w:rPr>
        <w:t>პარამეტრებს</w:t>
      </w:r>
      <w:r w:rsidRPr="002545D5">
        <w:rPr>
          <w:rFonts w:ascii="AcadNusx" w:hAnsi="AcadNusx"/>
          <w:lang w:val="en-US" w:bidi="bn-BD"/>
        </w:rPr>
        <w:t xml:space="preserve"> (</w:t>
      </w:r>
      <w:r w:rsidRPr="002545D5">
        <w:rPr>
          <w:rFonts w:ascii="Sylfaen" w:hAnsi="Sylfaen" w:cs="Sylfaen"/>
          <w:lang w:val="en-US" w:bidi="bn-BD"/>
        </w:rPr>
        <w:t>რიგითობის</w:t>
      </w:r>
      <w:r w:rsidRPr="002545D5">
        <w:rPr>
          <w:rFonts w:ascii="AcadNusx" w:hAnsi="AcadNusx"/>
          <w:lang w:val="en-US" w:bidi="bn-BD"/>
        </w:rPr>
        <w:t xml:space="preserve"> </w:t>
      </w:r>
      <w:r w:rsidRPr="002545D5">
        <w:rPr>
          <w:rFonts w:ascii="Sylfaen" w:hAnsi="Sylfaen" w:cs="Sylfaen"/>
          <w:lang w:val="en-US" w:bidi="bn-BD"/>
        </w:rPr>
        <w:t>დაცვით</w:t>
      </w:r>
      <w:r w:rsidRPr="002545D5">
        <w:rPr>
          <w:rFonts w:ascii="AcadNusx" w:hAnsi="AcadNusx"/>
          <w:lang w:val="en-US" w:bidi="bn-BD"/>
        </w:rPr>
        <w:t>):</w:t>
      </w:r>
    </w:p>
    <w:p w14:paraId="30D28A52" w14:textId="77777777" w:rsidR="002545D5" w:rsidRPr="002545D5" w:rsidRDefault="002545D5" w:rsidP="002545D5">
      <w:pPr>
        <w:spacing w:before="120" w:after="120"/>
        <w:rPr>
          <w:rFonts w:ascii="AcadNusx" w:hAnsi="AcadNusx"/>
          <w:lang w:val="en-US" w:bidi="bn-BD"/>
        </w:rPr>
      </w:pPr>
      <w:r w:rsidRPr="002545D5">
        <w:rPr>
          <w:rFonts w:ascii="Sylfaen" w:hAnsi="Sylfaen" w:cs="Sylfaen"/>
          <w:lang w:val="en-US" w:bidi="bn-BD"/>
        </w:rPr>
        <w:t>სამშენებლო</w:t>
      </w:r>
      <w:r w:rsidRPr="002545D5">
        <w:rPr>
          <w:rFonts w:ascii="AcadNusx" w:hAnsi="AcadNusx"/>
          <w:lang w:val="en-US" w:bidi="bn-BD"/>
        </w:rPr>
        <w:t xml:space="preserve"> </w:t>
      </w:r>
      <w:r w:rsidRPr="002545D5">
        <w:rPr>
          <w:rFonts w:ascii="Sylfaen" w:hAnsi="Sylfaen" w:cs="Sylfaen"/>
          <w:lang w:val="en-US" w:bidi="bn-BD"/>
        </w:rPr>
        <w:t>სამუშაოების</w:t>
      </w:r>
      <w:r w:rsidRPr="002545D5">
        <w:rPr>
          <w:rFonts w:ascii="AcadNusx" w:hAnsi="AcadNusx"/>
          <w:lang w:val="en-US" w:bidi="bn-BD"/>
        </w:rPr>
        <w:t xml:space="preserve"> </w:t>
      </w:r>
      <w:r w:rsidRPr="002545D5">
        <w:rPr>
          <w:rFonts w:ascii="Sylfaen" w:hAnsi="Sylfaen" w:cs="Sylfaen"/>
          <w:lang w:val="en-US" w:bidi="bn-BD"/>
        </w:rPr>
        <w:t>სიმარტივე</w:t>
      </w:r>
    </w:p>
    <w:p w14:paraId="1811493A" w14:textId="77777777" w:rsidR="002545D5" w:rsidRPr="00B05F62" w:rsidRDefault="002545D5" w:rsidP="002545D5">
      <w:pPr>
        <w:spacing w:before="120" w:after="120"/>
        <w:rPr>
          <w:rFonts w:ascii="AcadNusx" w:hAnsi="AcadNusx"/>
          <w:lang w:val="en-US" w:bidi="bn-BD"/>
        </w:rPr>
      </w:pPr>
      <w:r w:rsidRPr="002545D5">
        <w:rPr>
          <w:rFonts w:ascii="Sylfaen" w:hAnsi="Sylfaen" w:cs="Sylfaen"/>
          <w:lang w:val="en-US" w:bidi="bn-BD"/>
        </w:rPr>
        <w:t>სტრუქტურული</w:t>
      </w:r>
      <w:r w:rsidRPr="002545D5">
        <w:rPr>
          <w:rFonts w:ascii="AcadNusx" w:hAnsi="AcadNusx"/>
          <w:lang w:val="en-US" w:bidi="bn-BD"/>
        </w:rPr>
        <w:t xml:space="preserve"> </w:t>
      </w:r>
      <w:r w:rsidRPr="002545D5">
        <w:rPr>
          <w:rFonts w:ascii="Sylfaen" w:hAnsi="Sylfaen" w:cs="Sylfaen"/>
          <w:lang w:val="en-US" w:bidi="bn-BD"/>
        </w:rPr>
        <w:t>და</w:t>
      </w:r>
      <w:r w:rsidRPr="002545D5">
        <w:rPr>
          <w:rFonts w:ascii="AcadNusx" w:hAnsi="AcadNusx"/>
          <w:lang w:val="en-US" w:bidi="bn-BD"/>
        </w:rPr>
        <w:t xml:space="preserve"> </w:t>
      </w:r>
      <w:r w:rsidRPr="002545D5">
        <w:rPr>
          <w:rFonts w:ascii="Sylfaen" w:hAnsi="Sylfaen" w:cs="Sylfaen"/>
          <w:lang w:val="en-US" w:bidi="bn-BD"/>
        </w:rPr>
        <w:t>ჰიდროლოგიური</w:t>
      </w:r>
      <w:r w:rsidRPr="002545D5">
        <w:rPr>
          <w:rFonts w:ascii="AcadNusx" w:hAnsi="AcadNusx"/>
          <w:lang w:val="en-US" w:bidi="bn-BD"/>
        </w:rPr>
        <w:t xml:space="preserve"> </w:t>
      </w:r>
      <w:r w:rsidRPr="002545D5">
        <w:rPr>
          <w:rFonts w:ascii="Sylfaen" w:hAnsi="Sylfaen" w:cs="Sylfaen"/>
          <w:lang w:val="en-US" w:bidi="bn-BD"/>
        </w:rPr>
        <w:t>მოთხოვნები</w:t>
      </w:r>
      <w:r w:rsidRPr="002545D5">
        <w:rPr>
          <w:rFonts w:ascii="AcadNusx" w:hAnsi="AcadNusx"/>
          <w:lang w:val="en-US" w:bidi="bn-BD"/>
        </w:rPr>
        <w:t xml:space="preserve"> </w:t>
      </w:r>
      <w:r w:rsidRPr="002545D5">
        <w:rPr>
          <w:rFonts w:ascii="Sylfaen" w:hAnsi="Sylfaen" w:cs="Sylfaen"/>
          <w:lang w:val="en-US" w:bidi="bn-BD"/>
        </w:rPr>
        <w:t>მასალების</w:t>
      </w:r>
      <w:r w:rsidRPr="002545D5">
        <w:rPr>
          <w:rFonts w:ascii="AcadNusx" w:hAnsi="AcadNusx"/>
          <w:lang w:val="en-US" w:bidi="bn-BD"/>
        </w:rPr>
        <w:t xml:space="preserve"> </w:t>
      </w:r>
      <w:r w:rsidRPr="002545D5">
        <w:rPr>
          <w:rFonts w:ascii="Sylfaen" w:hAnsi="Sylfaen" w:cs="Sylfaen"/>
          <w:lang w:val="en-US" w:bidi="bn-BD"/>
        </w:rPr>
        <w:t>და</w:t>
      </w:r>
      <w:r w:rsidRPr="002545D5">
        <w:rPr>
          <w:rFonts w:ascii="AcadNusx" w:hAnsi="AcadNusx"/>
          <w:lang w:val="en-US" w:bidi="bn-BD"/>
        </w:rPr>
        <w:t xml:space="preserve"> </w:t>
      </w:r>
      <w:r w:rsidRPr="002545D5">
        <w:rPr>
          <w:rFonts w:ascii="Sylfaen" w:hAnsi="Sylfaen" w:cs="Sylfaen"/>
          <w:lang w:val="en-US" w:bidi="bn-BD"/>
        </w:rPr>
        <w:t>რესურსების</w:t>
      </w:r>
      <w:r w:rsidRPr="002545D5">
        <w:rPr>
          <w:rFonts w:ascii="AcadNusx" w:hAnsi="AcadNusx"/>
          <w:lang w:val="en-US" w:bidi="bn-BD"/>
        </w:rPr>
        <w:t xml:space="preserve"> </w:t>
      </w:r>
      <w:r w:rsidRPr="002545D5">
        <w:rPr>
          <w:rFonts w:ascii="Sylfaen" w:hAnsi="Sylfaen" w:cs="Sylfaen"/>
          <w:lang w:val="en-US" w:bidi="bn-BD"/>
        </w:rPr>
        <w:t>ხელმისაწვდომობა</w:t>
      </w:r>
    </w:p>
    <w:p w14:paraId="6974BE33" w14:textId="77777777" w:rsidR="004B5AC7" w:rsidRDefault="004B5AC7" w:rsidP="004B5AC7">
      <w:r>
        <w:rPr>
          <w:rFonts w:ascii="Sylfaen" w:hAnsi="Sylfaen" w:cs="Sylfaen"/>
        </w:rPr>
        <w:t>მოვლა</w:t>
      </w:r>
      <w:r>
        <w:t>-</w:t>
      </w:r>
      <w:r>
        <w:rPr>
          <w:rFonts w:ascii="Sylfaen" w:hAnsi="Sylfaen" w:cs="Sylfaen"/>
        </w:rPr>
        <w:t>შენახვის</w:t>
      </w:r>
      <w:r>
        <w:t xml:space="preserve"> </w:t>
      </w:r>
      <w:r>
        <w:rPr>
          <w:rFonts w:ascii="Sylfaen" w:hAnsi="Sylfaen" w:cs="Sylfaen"/>
        </w:rPr>
        <w:t>მოთხოვნები</w:t>
      </w:r>
      <w:r>
        <w:t xml:space="preserve"> </w:t>
      </w:r>
      <w:r>
        <w:rPr>
          <w:rFonts w:ascii="Sylfaen" w:hAnsi="Sylfaen" w:cs="Sylfaen"/>
        </w:rPr>
        <w:t>ესთეტიური</w:t>
      </w:r>
      <w:r>
        <w:t xml:space="preserve"> </w:t>
      </w:r>
      <w:r>
        <w:rPr>
          <w:rFonts w:ascii="Sylfaen" w:hAnsi="Sylfaen" w:cs="Sylfaen"/>
        </w:rPr>
        <w:t>შესახედაობა</w:t>
      </w:r>
    </w:p>
    <w:p w14:paraId="3E09FAF9" w14:textId="77777777" w:rsidR="004B5AC7" w:rsidRDefault="004B5AC7" w:rsidP="004B5AC7">
      <w:r>
        <w:rPr>
          <w:rFonts w:ascii="Sylfaen" w:hAnsi="Sylfaen" w:cs="Sylfaen"/>
        </w:rPr>
        <w:t>ღირებულება</w:t>
      </w:r>
    </w:p>
    <w:p w14:paraId="1FEDF0E9" w14:textId="77777777" w:rsidR="004B5AC7" w:rsidRDefault="004B5AC7" w:rsidP="004B5AC7"/>
    <w:p w14:paraId="59D8E12A" w14:textId="77777777" w:rsidR="004B5AC7" w:rsidRPr="004B5AC7" w:rsidRDefault="004B5AC7" w:rsidP="004B5AC7">
      <w:pPr>
        <w:spacing w:before="120" w:after="120"/>
        <w:rPr>
          <w:b/>
        </w:rPr>
      </w:pPr>
      <w:r w:rsidRPr="004B5AC7">
        <w:rPr>
          <w:rFonts w:ascii="Sylfaen" w:hAnsi="Sylfaen" w:cs="Sylfaen"/>
          <w:b/>
        </w:rPr>
        <w:t>კლასიფიკაცია</w:t>
      </w:r>
      <w:r w:rsidRPr="004B5AC7">
        <w:rPr>
          <w:b/>
        </w:rPr>
        <w:t xml:space="preserve"> </w:t>
      </w:r>
      <w:r w:rsidRPr="004B5AC7">
        <w:rPr>
          <w:rFonts w:ascii="Sylfaen" w:hAnsi="Sylfaen" w:cs="Sylfaen"/>
          <w:b/>
        </w:rPr>
        <w:t>და</w:t>
      </w:r>
      <w:r w:rsidRPr="004B5AC7">
        <w:rPr>
          <w:b/>
        </w:rPr>
        <w:t xml:space="preserve"> </w:t>
      </w:r>
      <w:r w:rsidRPr="004B5AC7">
        <w:rPr>
          <w:rFonts w:ascii="Sylfaen" w:hAnsi="Sylfaen" w:cs="Sylfaen"/>
          <w:b/>
        </w:rPr>
        <w:t>ფორმების</w:t>
      </w:r>
      <w:r w:rsidRPr="004B5AC7">
        <w:rPr>
          <w:b/>
        </w:rPr>
        <w:t xml:space="preserve"> </w:t>
      </w:r>
      <w:r w:rsidRPr="004B5AC7">
        <w:rPr>
          <w:rFonts w:ascii="Sylfaen" w:hAnsi="Sylfaen" w:cs="Sylfaen"/>
          <w:b/>
        </w:rPr>
        <w:t>შერჩევა</w:t>
      </w:r>
    </w:p>
    <w:p w14:paraId="5221FCA8" w14:textId="77777777" w:rsidR="004B5AC7" w:rsidRDefault="004B5AC7" w:rsidP="004B5AC7">
      <w:pPr>
        <w:spacing w:before="120" w:after="120"/>
      </w:pPr>
      <w:r>
        <w:rPr>
          <w:rFonts w:ascii="Sylfaen" w:hAnsi="Sylfaen" w:cs="Sylfaen"/>
        </w:rPr>
        <w:t>საავტომობილო</w:t>
      </w:r>
      <w:r>
        <w:t xml:space="preserve"> </w:t>
      </w:r>
      <w:r>
        <w:rPr>
          <w:rFonts w:ascii="Sylfaen" w:hAnsi="Sylfaen" w:cs="Sylfaen"/>
        </w:rPr>
        <w:t>გზაზე</w:t>
      </w:r>
      <w:r>
        <w:t xml:space="preserve"> </w:t>
      </w:r>
      <w:r>
        <w:rPr>
          <w:rFonts w:ascii="Sylfaen" w:hAnsi="Sylfaen" w:cs="Sylfaen"/>
        </w:rPr>
        <w:t>ასაგები</w:t>
      </w:r>
      <w:r>
        <w:t xml:space="preserve"> </w:t>
      </w:r>
      <w:r>
        <w:rPr>
          <w:rFonts w:ascii="Sylfaen" w:hAnsi="Sylfaen" w:cs="Sylfaen"/>
        </w:rPr>
        <w:t>ხიდების</w:t>
      </w:r>
      <w:r>
        <w:t xml:space="preserve"> </w:t>
      </w:r>
      <w:r>
        <w:rPr>
          <w:rFonts w:ascii="Sylfaen" w:hAnsi="Sylfaen" w:cs="Sylfaen"/>
        </w:rPr>
        <w:t>კონსტრუქციული</w:t>
      </w:r>
      <w:r>
        <w:t xml:space="preserve"> </w:t>
      </w:r>
      <w:r>
        <w:rPr>
          <w:rFonts w:ascii="Sylfaen" w:hAnsi="Sylfaen" w:cs="Sylfaen"/>
        </w:rPr>
        <w:t>ტიპები</w:t>
      </w:r>
      <w:r>
        <w:t xml:space="preserve"> </w:t>
      </w:r>
      <w:r>
        <w:rPr>
          <w:rFonts w:ascii="Sylfaen" w:hAnsi="Sylfaen" w:cs="Sylfaen"/>
        </w:rPr>
        <w:t>განსხვავდებიან</w:t>
      </w:r>
      <w:r>
        <w:t xml:space="preserve"> </w:t>
      </w:r>
      <w:r>
        <w:rPr>
          <w:rFonts w:ascii="Sylfaen" w:hAnsi="Sylfaen" w:cs="Sylfaen"/>
        </w:rPr>
        <w:t>სიგრძეების</w:t>
      </w:r>
      <w:r>
        <w:t xml:space="preserve"> </w:t>
      </w:r>
      <w:r>
        <w:rPr>
          <w:rFonts w:ascii="Sylfaen" w:hAnsi="Sylfaen" w:cs="Sylfaen"/>
        </w:rPr>
        <w:t>მიხედვით</w:t>
      </w:r>
      <w:r>
        <w:t xml:space="preserve"> </w:t>
      </w:r>
      <w:r>
        <w:rPr>
          <w:rFonts w:ascii="Sylfaen" w:hAnsi="Sylfaen" w:cs="Sylfaen"/>
        </w:rPr>
        <w:t>და</w:t>
      </w:r>
      <w:r>
        <w:t xml:space="preserve"> </w:t>
      </w:r>
      <w:r>
        <w:rPr>
          <w:rFonts w:ascii="Sylfaen" w:hAnsi="Sylfaen" w:cs="Sylfaen"/>
        </w:rPr>
        <w:t>კლასიფიცირდებიან</w:t>
      </w:r>
      <w:r>
        <w:t xml:space="preserve"> </w:t>
      </w:r>
      <w:r>
        <w:rPr>
          <w:rFonts w:ascii="Sylfaen" w:hAnsi="Sylfaen" w:cs="Sylfaen"/>
        </w:rPr>
        <w:t>შემდეგი</w:t>
      </w:r>
      <w:r>
        <w:t xml:space="preserve"> </w:t>
      </w:r>
      <w:r>
        <w:rPr>
          <w:rFonts w:ascii="Sylfaen" w:hAnsi="Sylfaen" w:cs="Sylfaen"/>
        </w:rPr>
        <w:t>სახით</w:t>
      </w:r>
      <w:r>
        <w:t>:</w:t>
      </w:r>
    </w:p>
    <w:p w14:paraId="363B3410" w14:textId="77777777" w:rsidR="004B5AC7" w:rsidRDefault="004B5AC7" w:rsidP="004B5AC7">
      <w:pPr>
        <w:spacing w:before="120" w:after="120"/>
      </w:pPr>
      <w:r w:rsidRPr="00505BED">
        <w:rPr>
          <w:rFonts w:ascii="Sylfaen" w:hAnsi="Sylfaen" w:cs="Sylfaen"/>
          <w:b/>
          <w:u w:val="single"/>
        </w:rPr>
        <w:t>პატარა</w:t>
      </w:r>
      <w:r w:rsidRPr="00505BED">
        <w:rPr>
          <w:b/>
          <w:u w:val="single"/>
        </w:rPr>
        <w:t xml:space="preserve"> </w:t>
      </w:r>
      <w:r w:rsidRPr="00505BED">
        <w:rPr>
          <w:rFonts w:ascii="Sylfaen" w:hAnsi="Sylfaen" w:cs="Sylfaen"/>
          <w:b/>
          <w:u w:val="single"/>
        </w:rPr>
        <w:t>ხიდები</w:t>
      </w:r>
      <w:r w:rsidRPr="00505BED">
        <w:rPr>
          <w:b/>
          <w:u w:val="single"/>
        </w:rPr>
        <w:t xml:space="preserve">, 13 </w:t>
      </w:r>
      <w:r w:rsidRPr="00505BED">
        <w:rPr>
          <w:rFonts w:ascii="Sylfaen" w:hAnsi="Sylfaen" w:cs="Sylfaen"/>
          <w:b/>
          <w:u w:val="single"/>
        </w:rPr>
        <w:t>მეტრზე</w:t>
      </w:r>
      <w:r w:rsidRPr="00505BED">
        <w:rPr>
          <w:b/>
          <w:u w:val="single"/>
        </w:rPr>
        <w:t xml:space="preserve"> </w:t>
      </w:r>
      <w:r w:rsidRPr="00505BED">
        <w:rPr>
          <w:rFonts w:ascii="Sylfaen" w:hAnsi="Sylfaen" w:cs="Sylfaen"/>
          <w:b/>
          <w:u w:val="single"/>
        </w:rPr>
        <w:t>ნაკლები</w:t>
      </w:r>
      <w:r w:rsidRPr="00505BED">
        <w:rPr>
          <w:b/>
          <w:u w:val="single"/>
        </w:rPr>
        <w:t xml:space="preserve"> </w:t>
      </w:r>
      <w:r w:rsidRPr="00505BED">
        <w:rPr>
          <w:rFonts w:ascii="Sylfaen" w:hAnsi="Sylfaen" w:cs="Sylfaen"/>
          <w:b/>
          <w:u w:val="single"/>
        </w:rPr>
        <w:t>სიგრძით</w:t>
      </w:r>
      <w:r w:rsidRPr="00505BED">
        <w:rPr>
          <w:b/>
          <w:u w:val="single"/>
        </w:rPr>
        <w:t>,</w:t>
      </w:r>
      <w:r>
        <w:t xml:space="preserve"> </w:t>
      </w:r>
      <w:r>
        <w:rPr>
          <w:rFonts w:ascii="Sylfaen" w:hAnsi="Sylfaen" w:cs="Sylfaen"/>
        </w:rPr>
        <w:t>რომლებიც</w:t>
      </w:r>
      <w:r>
        <w:t xml:space="preserve"> </w:t>
      </w:r>
      <w:r>
        <w:rPr>
          <w:rFonts w:ascii="Sylfaen" w:hAnsi="Sylfaen" w:cs="Sylfaen"/>
        </w:rPr>
        <w:t>გამიზნულია</w:t>
      </w:r>
      <w:r>
        <w:t xml:space="preserve"> </w:t>
      </w:r>
      <w:r>
        <w:rPr>
          <w:rFonts w:ascii="Sylfaen" w:hAnsi="Sylfaen" w:cs="Sylfaen"/>
        </w:rPr>
        <w:t>საპროექტო</w:t>
      </w:r>
      <w:r>
        <w:t xml:space="preserve"> </w:t>
      </w:r>
      <w:r>
        <w:rPr>
          <w:rFonts w:ascii="Sylfaen" w:hAnsi="Sylfaen" w:cs="Sylfaen"/>
        </w:rPr>
        <w:t>გზის</w:t>
      </w:r>
      <w:r>
        <w:t xml:space="preserve"> </w:t>
      </w:r>
      <w:r>
        <w:rPr>
          <w:rFonts w:ascii="Sylfaen" w:hAnsi="Sylfaen" w:cs="Sylfaen"/>
        </w:rPr>
        <w:t>ქვედა</w:t>
      </w:r>
      <w:r>
        <w:t xml:space="preserve"> </w:t>
      </w:r>
      <w:r>
        <w:rPr>
          <w:rFonts w:ascii="Sylfaen" w:hAnsi="Sylfaen" w:cs="Sylfaen"/>
        </w:rPr>
        <w:t>გასასვლელების</w:t>
      </w:r>
      <w:r>
        <w:t xml:space="preserve"> </w:t>
      </w:r>
      <w:r>
        <w:rPr>
          <w:rFonts w:ascii="Sylfaen" w:hAnsi="Sylfaen" w:cs="Sylfaen"/>
        </w:rPr>
        <w:t>მოსაწყობად</w:t>
      </w:r>
      <w:r>
        <w:t xml:space="preserve"> </w:t>
      </w:r>
      <w:r>
        <w:rPr>
          <w:rFonts w:ascii="Sylfaen" w:hAnsi="Sylfaen" w:cs="Sylfaen"/>
        </w:rPr>
        <w:t>და</w:t>
      </w:r>
      <w:r>
        <w:t xml:space="preserve"> </w:t>
      </w:r>
      <w:r>
        <w:rPr>
          <w:rFonts w:ascii="Sylfaen" w:hAnsi="Sylfaen" w:cs="Sylfaen"/>
        </w:rPr>
        <w:t>რეალიზებულია</w:t>
      </w:r>
      <w:r>
        <w:t xml:space="preserve"> </w:t>
      </w:r>
      <w:r>
        <w:rPr>
          <w:rFonts w:ascii="Sylfaen" w:hAnsi="Sylfaen" w:cs="Sylfaen"/>
        </w:rPr>
        <w:t>მონოლითურად</w:t>
      </w:r>
      <w:r>
        <w:t xml:space="preserve"> </w:t>
      </w:r>
      <w:r>
        <w:rPr>
          <w:rFonts w:ascii="Sylfaen" w:hAnsi="Sylfaen" w:cs="Sylfaen"/>
        </w:rPr>
        <w:t>შეუღლებული</w:t>
      </w:r>
      <w:r>
        <w:t xml:space="preserve"> </w:t>
      </w:r>
      <w:r>
        <w:rPr>
          <w:rFonts w:ascii="Sylfaen" w:hAnsi="Sylfaen" w:cs="Sylfaen"/>
        </w:rPr>
        <w:t>რკინაბეტონის</w:t>
      </w:r>
      <w:r>
        <w:t xml:space="preserve"> </w:t>
      </w:r>
      <w:r>
        <w:rPr>
          <w:rFonts w:ascii="Sylfaen" w:hAnsi="Sylfaen" w:cs="Sylfaen"/>
        </w:rPr>
        <w:t>ფილებით</w:t>
      </w:r>
      <w:r>
        <w:t xml:space="preserve">. </w:t>
      </w:r>
      <w:r>
        <w:rPr>
          <w:rFonts w:ascii="Sylfaen" w:hAnsi="Sylfaen" w:cs="Sylfaen"/>
        </w:rPr>
        <w:t>ელემენტების</w:t>
      </w:r>
      <w:r>
        <w:t xml:space="preserve"> </w:t>
      </w:r>
      <w:r>
        <w:rPr>
          <w:rFonts w:ascii="Sylfaen" w:hAnsi="Sylfaen" w:cs="Sylfaen"/>
        </w:rPr>
        <w:t>მონოლითური</w:t>
      </w:r>
      <w:r>
        <w:t xml:space="preserve"> </w:t>
      </w:r>
      <w:r>
        <w:rPr>
          <w:rFonts w:ascii="Sylfaen" w:hAnsi="Sylfaen" w:cs="Sylfaen"/>
        </w:rPr>
        <w:t>შეუღლების</w:t>
      </w:r>
      <w:r>
        <w:t xml:space="preserve"> </w:t>
      </w:r>
      <w:r>
        <w:rPr>
          <w:rFonts w:ascii="Sylfaen" w:hAnsi="Sylfaen" w:cs="Sylfaen"/>
        </w:rPr>
        <w:t>გამო</w:t>
      </w:r>
      <w:r>
        <w:t xml:space="preserve">, </w:t>
      </w:r>
      <w:r>
        <w:rPr>
          <w:rFonts w:ascii="Sylfaen" w:hAnsi="Sylfaen" w:cs="Sylfaen"/>
        </w:rPr>
        <w:t>ასეთი</w:t>
      </w:r>
      <w:r>
        <w:t xml:space="preserve"> </w:t>
      </w:r>
      <w:r>
        <w:rPr>
          <w:rFonts w:ascii="Sylfaen" w:hAnsi="Sylfaen" w:cs="Sylfaen"/>
        </w:rPr>
        <w:t>ხიდები</w:t>
      </w:r>
      <w:r>
        <w:t xml:space="preserve"> </w:t>
      </w:r>
      <w:r>
        <w:rPr>
          <w:rFonts w:ascii="Sylfaen" w:hAnsi="Sylfaen" w:cs="Sylfaen"/>
        </w:rPr>
        <w:t>საყრდენ</w:t>
      </w:r>
      <w:r>
        <w:t xml:space="preserve"> </w:t>
      </w:r>
      <w:r>
        <w:rPr>
          <w:rFonts w:ascii="Sylfaen" w:hAnsi="Sylfaen" w:cs="Sylfaen"/>
        </w:rPr>
        <w:t>ნაწილებს</w:t>
      </w:r>
      <w:r>
        <w:t xml:space="preserve"> </w:t>
      </w:r>
      <w:r>
        <w:rPr>
          <w:rFonts w:ascii="Sylfaen" w:hAnsi="Sylfaen" w:cs="Sylfaen"/>
        </w:rPr>
        <w:t>არ</w:t>
      </w:r>
      <w:r>
        <w:t xml:space="preserve"> </w:t>
      </w:r>
      <w:r>
        <w:rPr>
          <w:rFonts w:ascii="Sylfaen" w:hAnsi="Sylfaen" w:cs="Sylfaen"/>
        </w:rPr>
        <w:t>საჭიროებენ</w:t>
      </w:r>
      <w:r>
        <w:t xml:space="preserve">. </w:t>
      </w:r>
      <w:r>
        <w:rPr>
          <w:rFonts w:ascii="Sylfaen" w:hAnsi="Sylfaen" w:cs="Sylfaen"/>
        </w:rPr>
        <w:t>გარდა</w:t>
      </w:r>
      <w:r>
        <w:t xml:space="preserve"> </w:t>
      </w:r>
      <w:r>
        <w:rPr>
          <w:rFonts w:ascii="Sylfaen" w:hAnsi="Sylfaen" w:cs="Sylfaen"/>
        </w:rPr>
        <w:t>ამისა</w:t>
      </w:r>
      <w:r>
        <w:t xml:space="preserve">, </w:t>
      </w:r>
      <w:r>
        <w:rPr>
          <w:rFonts w:ascii="Sylfaen" w:hAnsi="Sylfaen" w:cs="Sylfaen"/>
        </w:rPr>
        <w:t>ამ</w:t>
      </w:r>
      <w:r>
        <w:t xml:space="preserve"> </w:t>
      </w:r>
      <w:r>
        <w:rPr>
          <w:rFonts w:ascii="Sylfaen" w:hAnsi="Sylfaen" w:cs="Sylfaen"/>
        </w:rPr>
        <w:t>ტიპის</w:t>
      </w:r>
      <w:r>
        <w:t xml:space="preserve"> </w:t>
      </w:r>
      <w:r>
        <w:rPr>
          <w:rFonts w:ascii="Sylfaen" w:hAnsi="Sylfaen" w:cs="Sylfaen"/>
        </w:rPr>
        <w:t>ხიდები</w:t>
      </w:r>
      <w:r>
        <w:t xml:space="preserve"> </w:t>
      </w:r>
      <w:r>
        <w:rPr>
          <w:rFonts w:ascii="Sylfaen" w:hAnsi="Sylfaen" w:cs="Sylfaen"/>
        </w:rPr>
        <w:t>გათვალისწინებულია</w:t>
      </w:r>
      <w:r>
        <w:t xml:space="preserve"> </w:t>
      </w:r>
      <w:r>
        <w:rPr>
          <w:rFonts w:ascii="Sylfaen" w:hAnsi="Sylfaen" w:cs="Sylfaen"/>
        </w:rPr>
        <w:t>აშენდნენ</w:t>
      </w:r>
      <w:r>
        <w:t xml:space="preserve"> </w:t>
      </w:r>
      <w:r>
        <w:rPr>
          <w:rFonts w:ascii="Sylfaen" w:hAnsi="Sylfaen" w:cs="Sylfaen"/>
        </w:rPr>
        <w:t>მიწისქვეშა</w:t>
      </w:r>
      <w:r>
        <w:t xml:space="preserve"> </w:t>
      </w:r>
      <w:r>
        <w:rPr>
          <w:rFonts w:ascii="Sylfaen" w:hAnsi="Sylfaen" w:cs="Sylfaen"/>
        </w:rPr>
        <w:t>ნაგებობების</w:t>
      </w:r>
      <w:r>
        <w:t xml:space="preserve"> </w:t>
      </w:r>
      <w:r>
        <w:rPr>
          <w:rFonts w:ascii="Sylfaen" w:hAnsi="Sylfaen" w:cs="Sylfaen"/>
        </w:rPr>
        <w:t>სახით</w:t>
      </w:r>
      <w:r>
        <w:t xml:space="preserve">, </w:t>
      </w:r>
      <w:r>
        <w:rPr>
          <w:rFonts w:ascii="Sylfaen" w:hAnsi="Sylfaen" w:cs="Sylfaen"/>
        </w:rPr>
        <w:t>ფილის</w:t>
      </w:r>
      <w:r>
        <w:t xml:space="preserve"> </w:t>
      </w:r>
      <w:r>
        <w:rPr>
          <w:rFonts w:ascii="Sylfaen" w:hAnsi="Sylfaen" w:cs="Sylfaen"/>
        </w:rPr>
        <w:t>თავზე</w:t>
      </w:r>
      <w:r>
        <w:t xml:space="preserve"> </w:t>
      </w:r>
      <w:r>
        <w:rPr>
          <w:rFonts w:ascii="Sylfaen" w:hAnsi="Sylfaen" w:cs="Sylfaen"/>
        </w:rPr>
        <w:t>მინიმუმ</w:t>
      </w:r>
      <w:r>
        <w:t xml:space="preserve"> 600 </w:t>
      </w:r>
      <w:r>
        <w:rPr>
          <w:rFonts w:ascii="Sylfaen" w:hAnsi="Sylfaen" w:cs="Sylfaen"/>
        </w:rPr>
        <w:t>მმ</w:t>
      </w:r>
      <w:r>
        <w:t xml:space="preserve"> </w:t>
      </w:r>
      <w:r>
        <w:rPr>
          <w:rFonts w:ascii="Sylfaen" w:hAnsi="Sylfaen" w:cs="Sylfaen"/>
        </w:rPr>
        <w:t>სისქის</w:t>
      </w:r>
      <w:r>
        <w:t xml:space="preserve"> </w:t>
      </w:r>
      <w:r>
        <w:rPr>
          <w:rFonts w:ascii="Sylfaen" w:hAnsi="Sylfaen" w:cs="Sylfaen"/>
        </w:rPr>
        <w:t>საფარველით</w:t>
      </w:r>
      <w:r>
        <w:t xml:space="preserve">, </w:t>
      </w:r>
      <w:r>
        <w:rPr>
          <w:rFonts w:ascii="Sylfaen" w:hAnsi="Sylfaen" w:cs="Sylfaen"/>
        </w:rPr>
        <w:t>რაც</w:t>
      </w:r>
      <w:r>
        <w:t xml:space="preserve"> </w:t>
      </w:r>
      <w:r>
        <w:rPr>
          <w:rFonts w:ascii="Sylfaen" w:hAnsi="Sylfaen" w:cs="Sylfaen"/>
        </w:rPr>
        <w:t>გამორიცხავს</w:t>
      </w:r>
      <w:r>
        <w:t xml:space="preserve"> </w:t>
      </w:r>
      <w:r>
        <w:rPr>
          <w:rFonts w:ascii="Sylfaen" w:hAnsi="Sylfaen" w:cs="Sylfaen"/>
        </w:rPr>
        <w:t>გარდამავალი</w:t>
      </w:r>
      <w:r>
        <w:t xml:space="preserve"> </w:t>
      </w:r>
      <w:r>
        <w:rPr>
          <w:rFonts w:ascii="Sylfaen" w:hAnsi="Sylfaen" w:cs="Sylfaen"/>
        </w:rPr>
        <w:t>ფილების</w:t>
      </w:r>
      <w:r>
        <w:t xml:space="preserve">, </w:t>
      </w: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წყალსარინი</w:t>
      </w:r>
      <w:r>
        <w:t xml:space="preserve"> </w:t>
      </w:r>
      <w:r>
        <w:rPr>
          <w:rFonts w:ascii="Sylfaen" w:hAnsi="Sylfaen" w:cs="Sylfaen"/>
        </w:rPr>
        <w:t>საშუალებების</w:t>
      </w:r>
      <w:r>
        <w:t xml:space="preserve"> </w:t>
      </w:r>
      <w:r>
        <w:rPr>
          <w:rFonts w:ascii="Sylfaen" w:hAnsi="Sylfaen" w:cs="Sylfaen"/>
        </w:rPr>
        <w:t>და</w:t>
      </w:r>
      <w:r>
        <w:t xml:space="preserve"> </w:t>
      </w:r>
      <w:r>
        <w:rPr>
          <w:rFonts w:ascii="Sylfaen" w:hAnsi="Sylfaen" w:cs="Sylfaen"/>
        </w:rPr>
        <w:t>მოაჯირების</w:t>
      </w:r>
      <w:r>
        <w:t xml:space="preserve"> </w:t>
      </w:r>
      <w:r>
        <w:rPr>
          <w:rFonts w:ascii="Sylfaen" w:hAnsi="Sylfaen" w:cs="Sylfaen"/>
        </w:rPr>
        <w:t>საჭიროებას</w:t>
      </w:r>
      <w:r>
        <w:t xml:space="preserve">. </w:t>
      </w:r>
      <w:r>
        <w:rPr>
          <w:rFonts w:ascii="Sylfaen" w:hAnsi="Sylfaen" w:cs="Sylfaen"/>
        </w:rPr>
        <w:t>ასეთი</w:t>
      </w:r>
      <w:r>
        <w:t xml:space="preserve"> </w:t>
      </w:r>
      <w:r>
        <w:rPr>
          <w:rFonts w:ascii="Sylfaen" w:hAnsi="Sylfaen" w:cs="Sylfaen"/>
        </w:rPr>
        <w:t>ნაგებობების</w:t>
      </w:r>
      <w:r>
        <w:t xml:space="preserve"> </w:t>
      </w:r>
      <w:r>
        <w:rPr>
          <w:rFonts w:ascii="Sylfaen" w:hAnsi="Sylfaen" w:cs="Sylfaen"/>
        </w:rPr>
        <w:t>აშენება</w:t>
      </w:r>
      <w:r>
        <w:t xml:space="preserve"> </w:t>
      </w:r>
      <w:r>
        <w:rPr>
          <w:rFonts w:ascii="Sylfaen" w:hAnsi="Sylfaen" w:cs="Sylfaen"/>
        </w:rPr>
        <w:t>დამატებით</w:t>
      </w:r>
      <w:r>
        <w:t xml:space="preserve"> </w:t>
      </w:r>
      <w:r>
        <w:rPr>
          <w:rFonts w:ascii="Sylfaen" w:hAnsi="Sylfaen" w:cs="Sylfaen"/>
        </w:rPr>
        <w:t>დროს</w:t>
      </w:r>
      <w:r>
        <w:t xml:space="preserve"> </w:t>
      </w:r>
      <w:r>
        <w:rPr>
          <w:rFonts w:ascii="Sylfaen" w:hAnsi="Sylfaen" w:cs="Sylfaen"/>
        </w:rPr>
        <w:t>მოითხოვს</w:t>
      </w:r>
      <w:r>
        <w:t xml:space="preserve">, </w:t>
      </w:r>
      <w:r>
        <w:rPr>
          <w:rFonts w:ascii="Sylfaen" w:hAnsi="Sylfaen" w:cs="Sylfaen"/>
        </w:rPr>
        <w:t>მაგრამ</w:t>
      </w:r>
      <w:r>
        <w:t xml:space="preserve"> </w:t>
      </w:r>
      <w:r>
        <w:rPr>
          <w:rFonts w:ascii="Sylfaen" w:hAnsi="Sylfaen" w:cs="Sylfaen"/>
        </w:rPr>
        <w:t>ხიდის</w:t>
      </w:r>
      <w:r>
        <w:t xml:space="preserve"> </w:t>
      </w:r>
      <w:r>
        <w:rPr>
          <w:rFonts w:ascii="Sylfaen" w:hAnsi="Sylfaen" w:cs="Sylfaen"/>
        </w:rPr>
        <w:t>კუთვნილებებზე</w:t>
      </w:r>
      <w:r>
        <w:t xml:space="preserve"> </w:t>
      </w:r>
      <w:r>
        <w:rPr>
          <w:rFonts w:ascii="Sylfaen" w:hAnsi="Sylfaen" w:cs="Sylfaen"/>
        </w:rPr>
        <w:t>ეკონომიის</w:t>
      </w:r>
      <w:r>
        <w:t xml:space="preserve"> </w:t>
      </w:r>
      <w:r>
        <w:rPr>
          <w:rFonts w:ascii="Sylfaen" w:hAnsi="Sylfaen" w:cs="Sylfaen"/>
        </w:rPr>
        <w:t>და</w:t>
      </w:r>
      <w:r>
        <w:t xml:space="preserve"> </w:t>
      </w:r>
      <w:r>
        <w:rPr>
          <w:rFonts w:ascii="Sylfaen" w:hAnsi="Sylfaen" w:cs="Sylfaen"/>
        </w:rPr>
        <w:t>მოვლა</w:t>
      </w:r>
      <w:r>
        <w:t>-</w:t>
      </w:r>
      <w:r>
        <w:rPr>
          <w:rFonts w:ascii="Sylfaen" w:hAnsi="Sylfaen" w:cs="Sylfaen"/>
        </w:rPr>
        <w:t>შენახვის</w:t>
      </w:r>
      <w:r>
        <w:t xml:space="preserve"> </w:t>
      </w:r>
      <w:r>
        <w:rPr>
          <w:rFonts w:ascii="Sylfaen" w:hAnsi="Sylfaen" w:cs="Sylfaen"/>
        </w:rPr>
        <w:t>ნაკლები</w:t>
      </w:r>
      <w:r>
        <w:t xml:space="preserve"> </w:t>
      </w:r>
      <w:r>
        <w:rPr>
          <w:rFonts w:ascii="Sylfaen" w:hAnsi="Sylfaen" w:cs="Sylfaen"/>
        </w:rPr>
        <w:t>საჭიროების</w:t>
      </w:r>
      <w:r>
        <w:t xml:space="preserve"> </w:t>
      </w:r>
      <w:r>
        <w:rPr>
          <w:rFonts w:ascii="Sylfaen" w:hAnsi="Sylfaen" w:cs="Sylfaen"/>
        </w:rPr>
        <w:t>წყალობით</w:t>
      </w:r>
      <w:r>
        <w:t xml:space="preserve">, </w:t>
      </w:r>
      <w:r>
        <w:rPr>
          <w:rFonts w:ascii="Sylfaen" w:hAnsi="Sylfaen" w:cs="Sylfaen"/>
        </w:rPr>
        <w:t>მსგავსი</w:t>
      </w:r>
      <w:r>
        <w:t xml:space="preserve"> </w:t>
      </w:r>
      <w:r>
        <w:rPr>
          <w:rFonts w:ascii="Sylfaen" w:hAnsi="Sylfaen" w:cs="Sylfaen"/>
        </w:rPr>
        <w:t>ხიდები</w:t>
      </w:r>
      <w:r>
        <w:t xml:space="preserve"> </w:t>
      </w:r>
      <w:r>
        <w:rPr>
          <w:rFonts w:ascii="Sylfaen" w:hAnsi="Sylfaen" w:cs="Sylfaen"/>
        </w:rPr>
        <w:t>ყველაზე</w:t>
      </w:r>
      <w:r>
        <w:t xml:space="preserve"> </w:t>
      </w:r>
      <w:r>
        <w:rPr>
          <w:rFonts w:ascii="Sylfaen" w:hAnsi="Sylfaen" w:cs="Sylfaen"/>
        </w:rPr>
        <w:t>ეკონომიურ</w:t>
      </w:r>
      <w:r>
        <w:t xml:space="preserve"> </w:t>
      </w:r>
      <w:r>
        <w:rPr>
          <w:rFonts w:ascii="Sylfaen" w:hAnsi="Sylfaen" w:cs="Sylfaen"/>
        </w:rPr>
        <w:t>და</w:t>
      </w:r>
      <w:r>
        <w:t xml:space="preserve"> </w:t>
      </w:r>
      <w:r>
        <w:rPr>
          <w:rFonts w:ascii="Sylfaen" w:hAnsi="Sylfaen" w:cs="Sylfaen"/>
        </w:rPr>
        <w:t>შესაფერის</w:t>
      </w:r>
      <w:r>
        <w:t xml:space="preserve"> </w:t>
      </w:r>
      <w:r>
        <w:rPr>
          <w:rFonts w:ascii="Sylfaen" w:hAnsi="Sylfaen" w:cs="Sylfaen"/>
        </w:rPr>
        <w:t>არჩევანს</w:t>
      </w:r>
      <w:r>
        <w:t xml:space="preserve"> </w:t>
      </w:r>
      <w:r>
        <w:rPr>
          <w:rFonts w:ascii="Sylfaen" w:hAnsi="Sylfaen" w:cs="Sylfaen"/>
        </w:rPr>
        <w:t>წარმოადგენენ</w:t>
      </w:r>
      <w:r>
        <w:t xml:space="preserve">. </w:t>
      </w:r>
      <w:r>
        <w:rPr>
          <w:rFonts w:ascii="Sylfaen" w:hAnsi="Sylfaen" w:cs="Sylfaen"/>
        </w:rPr>
        <w:t>მცირე</w:t>
      </w:r>
      <w:r>
        <w:t xml:space="preserve"> </w:t>
      </w:r>
      <w:r>
        <w:rPr>
          <w:rFonts w:ascii="Sylfaen" w:hAnsi="Sylfaen" w:cs="Sylfaen"/>
        </w:rPr>
        <w:t>ზომების</w:t>
      </w:r>
      <w:r>
        <w:t xml:space="preserve"> </w:t>
      </w:r>
      <w:r>
        <w:rPr>
          <w:rFonts w:ascii="Sylfaen" w:hAnsi="Sylfaen" w:cs="Sylfaen"/>
        </w:rPr>
        <w:t>გამო</w:t>
      </w:r>
      <w:r>
        <w:t xml:space="preserve">, </w:t>
      </w:r>
      <w:r>
        <w:rPr>
          <w:rFonts w:ascii="Sylfaen" w:hAnsi="Sylfaen" w:cs="Sylfaen"/>
        </w:rPr>
        <w:t>აღნიშნული</w:t>
      </w:r>
      <w:r>
        <w:t xml:space="preserve"> </w:t>
      </w:r>
      <w:r>
        <w:rPr>
          <w:rFonts w:ascii="Sylfaen" w:hAnsi="Sylfaen" w:cs="Sylfaen"/>
        </w:rPr>
        <w:t>ტიპის</w:t>
      </w:r>
      <w:r>
        <w:t xml:space="preserve"> </w:t>
      </w:r>
      <w:r>
        <w:rPr>
          <w:rFonts w:ascii="Sylfaen" w:hAnsi="Sylfaen" w:cs="Sylfaen"/>
        </w:rPr>
        <w:t>ხიდებზე</w:t>
      </w:r>
      <w:r>
        <w:t xml:space="preserve"> </w:t>
      </w:r>
      <w:r>
        <w:rPr>
          <w:rFonts w:ascii="Sylfaen" w:hAnsi="Sylfaen" w:cs="Sylfaen"/>
        </w:rPr>
        <w:t>ტემპერატურის</w:t>
      </w:r>
      <w:r>
        <w:t xml:space="preserve"> </w:t>
      </w:r>
      <w:r>
        <w:rPr>
          <w:rFonts w:ascii="Sylfaen" w:hAnsi="Sylfaen" w:cs="Sylfaen"/>
        </w:rPr>
        <w:t>ცვალებადობით</w:t>
      </w:r>
      <w:r>
        <w:t xml:space="preserve">, </w:t>
      </w:r>
      <w:r>
        <w:rPr>
          <w:rFonts w:ascii="Sylfaen" w:hAnsi="Sylfaen" w:cs="Sylfaen"/>
        </w:rPr>
        <w:t>ცოცვით</w:t>
      </w:r>
      <w:r>
        <w:t xml:space="preserve"> </w:t>
      </w:r>
      <w:r>
        <w:rPr>
          <w:rFonts w:ascii="Sylfaen" w:hAnsi="Sylfaen" w:cs="Sylfaen"/>
        </w:rPr>
        <w:t>და</w:t>
      </w:r>
      <w:r>
        <w:t xml:space="preserve"> </w:t>
      </w:r>
      <w:r>
        <w:rPr>
          <w:rFonts w:ascii="Sylfaen" w:hAnsi="Sylfaen" w:cs="Sylfaen"/>
        </w:rPr>
        <w:t>შეკლებით</w:t>
      </w:r>
      <w:r>
        <w:t xml:space="preserve"> </w:t>
      </w:r>
      <w:r>
        <w:rPr>
          <w:rFonts w:ascii="Sylfaen" w:hAnsi="Sylfaen" w:cs="Sylfaen"/>
        </w:rPr>
        <w:t>გამოწვეული</w:t>
      </w:r>
      <w:r>
        <w:t xml:space="preserve"> </w:t>
      </w:r>
      <w:r>
        <w:rPr>
          <w:rFonts w:ascii="Sylfaen" w:hAnsi="Sylfaen" w:cs="Sylfaen"/>
        </w:rPr>
        <w:t>ეფექტები</w:t>
      </w:r>
      <w:r>
        <w:t xml:space="preserve"> </w:t>
      </w:r>
      <w:r>
        <w:rPr>
          <w:rFonts w:ascii="Sylfaen" w:hAnsi="Sylfaen" w:cs="Sylfaen"/>
        </w:rPr>
        <w:t>ნაკლებად</w:t>
      </w:r>
      <w:r>
        <w:t xml:space="preserve"> </w:t>
      </w:r>
      <w:r>
        <w:rPr>
          <w:rFonts w:ascii="Sylfaen" w:hAnsi="Sylfaen" w:cs="Sylfaen"/>
        </w:rPr>
        <w:t>არიან</w:t>
      </w:r>
      <w:r>
        <w:t xml:space="preserve"> </w:t>
      </w:r>
      <w:r>
        <w:rPr>
          <w:rFonts w:ascii="Sylfaen" w:hAnsi="Sylfaen" w:cs="Sylfaen"/>
        </w:rPr>
        <w:t>გამოხატული</w:t>
      </w:r>
      <w:r>
        <w:t xml:space="preserve"> </w:t>
      </w:r>
      <w:r>
        <w:rPr>
          <w:rFonts w:ascii="Sylfaen" w:hAnsi="Sylfaen" w:cs="Sylfaen"/>
        </w:rPr>
        <w:t>და</w:t>
      </w:r>
      <w:r>
        <w:t xml:space="preserve"> </w:t>
      </w:r>
      <w:r>
        <w:rPr>
          <w:rFonts w:ascii="Sylfaen" w:hAnsi="Sylfaen" w:cs="Sylfaen"/>
        </w:rPr>
        <w:t>მარტივად</w:t>
      </w:r>
      <w:r>
        <w:t xml:space="preserve"> </w:t>
      </w:r>
      <w:r>
        <w:rPr>
          <w:rFonts w:ascii="Sylfaen" w:hAnsi="Sylfaen" w:cs="Sylfaen"/>
        </w:rPr>
        <w:t>შეიძლება</w:t>
      </w:r>
      <w:r>
        <w:t xml:space="preserve"> </w:t>
      </w:r>
      <w:r>
        <w:rPr>
          <w:rFonts w:ascii="Sylfaen" w:hAnsi="Sylfaen" w:cs="Sylfaen"/>
        </w:rPr>
        <w:t>კომპენსირდნენ</w:t>
      </w:r>
      <w:r>
        <w:t xml:space="preserve"> </w:t>
      </w:r>
      <w:r>
        <w:rPr>
          <w:rFonts w:ascii="Sylfaen" w:hAnsi="Sylfaen" w:cs="Sylfaen"/>
        </w:rPr>
        <w:t>დაარმატურების</w:t>
      </w:r>
      <w:r>
        <w:t xml:space="preserve"> </w:t>
      </w:r>
      <w:r>
        <w:rPr>
          <w:rFonts w:ascii="Sylfaen" w:hAnsi="Sylfaen" w:cs="Sylfaen"/>
        </w:rPr>
        <w:t>სათანადოდ</w:t>
      </w:r>
      <w:r>
        <w:t xml:space="preserve"> </w:t>
      </w:r>
      <w:r>
        <w:rPr>
          <w:rFonts w:ascii="Sylfaen" w:hAnsi="Sylfaen" w:cs="Sylfaen"/>
        </w:rPr>
        <w:t>დაპროექტებით</w:t>
      </w:r>
      <w:r>
        <w:t>.</w:t>
      </w:r>
    </w:p>
    <w:p w14:paraId="00755502" w14:textId="77777777" w:rsidR="004B5AC7" w:rsidRDefault="004B5AC7" w:rsidP="004B5AC7">
      <w:pPr>
        <w:spacing w:before="120" w:after="120"/>
      </w:pPr>
      <w:r w:rsidRPr="00505BED">
        <w:rPr>
          <w:rFonts w:ascii="Sylfaen" w:hAnsi="Sylfaen" w:cs="Sylfaen"/>
          <w:b/>
          <w:u w:val="single"/>
        </w:rPr>
        <w:t>მოკლე</w:t>
      </w:r>
      <w:r w:rsidRPr="00505BED">
        <w:rPr>
          <w:b/>
          <w:u w:val="single"/>
        </w:rPr>
        <w:t xml:space="preserve"> </w:t>
      </w:r>
      <w:r w:rsidRPr="00505BED">
        <w:rPr>
          <w:rFonts w:ascii="Sylfaen" w:hAnsi="Sylfaen" w:cs="Sylfaen"/>
          <w:b/>
          <w:u w:val="single"/>
        </w:rPr>
        <w:t>ხიდები</w:t>
      </w:r>
      <w:r w:rsidRPr="00505BED">
        <w:rPr>
          <w:b/>
          <w:u w:val="single"/>
        </w:rPr>
        <w:t xml:space="preserve">, 30 </w:t>
      </w:r>
      <w:r w:rsidRPr="00505BED">
        <w:rPr>
          <w:rFonts w:ascii="Sylfaen" w:hAnsi="Sylfaen" w:cs="Sylfaen"/>
          <w:b/>
          <w:u w:val="single"/>
        </w:rPr>
        <w:t>მეტრამდე</w:t>
      </w:r>
      <w:r w:rsidRPr="00505BED">
        <w:rPr>
          <w:b/>
          <w:u w:val="single"/>
        </w:rPr>
        <w:t xml:space="preserve"> </w:t>
      </w:r>
      <w:r w:rsidRPr="00505BED">
        <w:rPr>
          <w:rFonts w:ascii="Sylfaen" w:hAnsi="Sylfaen" w:cs="Sylfaen"/>
          <w:b/>
          <w:u w:val="single"/>
        </w:rPr>
        <w:t>სიგრძით</w:t>
      </w:r>
      <w:r w:rsidRPr="00505BED">
        <w:rPr>
          <w:b/>
          <w:u w:val="single"/>
        </w:rPr>
        <w:t>,</w:t>
      </w:r>
      <w:r>
        <w:t xml:space="preserve"> </w:t>
      </w:r>
      <w:r>
        <w:rPr>
          <w:rFonts w:ascii="Sylfaen" w:hAnsi="Sylfaen" w:cs="Sylfaen"/>
        </w:rPr>
        <w:t>გამიზნულია</w:t>
      </w:r>
      <w:r>
        <w:t xml:space="preserve"> </w:t>
      </w:r>
      <w:r>
        <w:rPr>
          <w:rFonts w:ascii="Sylfaen" w:hAnsi="Sylfaen" w:cs="Sylfaen"/>
        </w:rPr>
        <w:t>რამდენიმე</w:t>
      </w:r>
      <w:r>
        <w:t xml:space="preserve"> </w:t>
      </w:r>
      <w:r>
        <w:rPr>
          <w:rFonts w:ascii="Sylfaen" w:hAnsi="Sylfaen" w:cs="Sylfaen"/>
        </w:rPr>
        <w:t>დონიანი</w:t>
      </w:r>
      <w:r>
        <w:t xml:space="preserve"> </w:t>
      </w:r>
      <w:r>
        <w:rPr>
          <w:rFonts w:ascii="Sylfaen" w:hAnsi="Sylfaen" w:cs="Sylfaen"/>
        </w:rPr>
        <w:t>გადაკვეთების</w:t>
      </w:r>
      <w:r>
        <w:t xml:space="preserve">, </w:t>
      </w:r>
      <w:r>
        <w:rPr>
          <w:rFonts w:ascii="Sylfaen" w:hAnsi="Sylfaen" w:cs="Sylfaen"/>
        </w:rPr>
        <w:t>მდინარეზე</w:t>
      </w:r>
      <w:r>
        <w:t xml:space="preserve"> </w:t>
      </w:r>
      <w:r>
        <w:rPr>
          <w:rFonts w:ascii="Sylfaen" w:hAnsi="Sylfaen" w:cs="Sylfaen"/>
        </w:rPr>
        <w:t>გადასასვლელების</w:t>
      </w:r>
      <w:r>
        <w:t xml:space="preserve"> </w:t>
      </w:r>
      <w:r>
        <w:rPr>
          <w:rFonts w:ascii="Sylfaen" w:hAnsi="Sylfaen" w:cs="Sylfaen"/>
        </w:rPr>
        <w:t>და</w:t>
      </w:r>
      <w:r>
        <w:t xml:space="preserve"> </w:t>
      </w:r>
      <w:r>
        <w:rPr>
          <w:rFonts w:ascii="Sylfaen" w:hAnsi="Sylfaen" w:cs="Sylfaen"/>
        </w:rPr>
        <w:t>ვიადუკების</w:t>
      </w:r>
      <w:r>
        <w:t xml:space="preserve"> </w:t>
      </w:r>
      <w:r>
        <w:rPr>
          <w:rFonts w:ascii="Sylfaen" w:hAnsi="Sylfaen" w:cs="Sylfaen"/>
        </w:rPr>
        <w:t>მოსაწყობად</w:t>
      </w:r>
      <w:r>
        <w:t xml:space="preserve"> </w:t>
      </w:r>
      <w:r>
        <w:rPr>
          <w:rFonts w:ascii="Sylfaen" w:hAnsi="Sylfaen" w:cs="Sylfaen"/>
        </w:rPr>
        <w:t>ასაკრები</w:t>
      </w:r>
      <w:r>
        <w:t xml:space="preserve"> </w:t>
      </w:r>
      <w:r>
        <w:rPr>
          <w:rFonts w:ascii="Sylfaen" w:hAnsi="Sylfaen" w:cs="Sylfaen"/>
        </w:rPr>
        <w:t>წინასწარ</w:t>
      </w:r>
      <w:r>
        <w:t xml:space="preserve"> </w:t>
      </w:r>
      <w:r>
        <w:rPr>
          <w:rFonts w:ascii="Sylfaen" w:hAnsi="Sylfaen" w:cs="Sylfaen"/>
        </w:rPr>
        <w:t>დაძაბული</w:t>
      </w:r>
      <w:r>
        <w:t xml:space="preserve"> </w:t>
      </w:r>
      <w:r>
        <w:rPr>
          <w:rFonts w:ascii="Sylfaen" w:hAnsi="Sylfaen" w:cs="Sylfaen"/>
        </w:rPr>
        <w:t>ბეტონის</w:t>
      </w:r>
      <w:r>
        <w:t xml:space="preserve"> </w:t>
      </w:r>
      <w:r>
        <w:rPr>
          <w:rFonts w:ascii="Sylfaen" w:hAnsi="Sylfaen" w:cs="Sylfaen"/>
        </w:rPr>
        <w:t>კოჭების</w:t>
      </w:r>
      <w:r>
        <w:t xml:space="preserve"> </w:t>
      </w:r>
      <w:r>
        <w:rPr>
          <w:rFonts w:ascii="Sylfaen" w:hAnsi="Sylfaen" w:cs="Sylfaen"/>
        </w:rPr>
        <w:t>გამოყენებით</w:t>
      </w:r>
      <w:r>
        <w:t xml:space="preserve">. </w:t>
      </w:r>
      <w:r>
        <w:rPr>
          <w:rFonts w:ascii="Sylfaen" w:hAnsi="Sylfaen" w:cs="Sylfaen"/>
        </w:rPr>
        <w:t>ასეთი</w:t>
      </w:r>
      <w:r>
        <w:t xml:space="preserve"> </w:t>
      </w:r>
      <w:r>
        <w:rPr>
          <w:rFonts w:ascii="Sylfaen" w:hAnsi="Sylfaen" w:cs="Sylfaen"/>
        </w:rPr>
        <w:t>სამშენებლო</w:t>
      </w:r>
      <w:r>
        <w:t xml:space="preserve"> </w:t>
      </w:r>
      <w:r>
        <w:rPr>
          <w:rFonts w:ascii="Sylfaen" w:hAnsi="Sylfaen" w:cs="Sylfaen"/>
        </w:rPr>
        <w:t>მეთოდი</w:t>
      </w:r>
      <w:r>
        <w:t xml:space="preserve"> </w:t>
      </w:r>
      <w:r>
        <w:rPr>
          <w:rFonts w:ascii="Sylfaen" w:hAnsi="Sylfaen" w:cs="Sylfaen"/>
        </w:rPr>
        <w:t>ყველაზე</w:t>
      </w:r>
      <w:r>
        <w:t xml:space="preserve"> </w:t>
      </w:r>
      <w:r>
        <w:rPr>
          <w:rFonts w:ascii="Sylfaen" w:hAnsi="Sylfaen" w:cs="Sylfaen"/>
        </w:rPr>
        <w:t>ფართოდ</w:t>
      </w:r>
      <w:r>
        <w:t xml:space="preserve"> </w:t>
      </w:r>
      <w:r>
        <w:rPr>
          <w:rFonts w:ascii="Sylfaen" w:hAnsi="Sylfaen" w:cs="Sylfaen"/>
        </w:rPr>
        <w:t>არის</w:t>
      </w:r>
      <w:r>
        <w:t xml:space="preserve"> </w:t>
      </w:r>
      <w:r>
        <w:rPr>
          <w:rFonts w:ascii="Sylfaen" w:hAnsi="Sylfaen" w:cs="Sylfaen"/>
        </w:rPr>
        <w:t>გავრცელებლი</w:t>
      </w:r>
      <w:r>
        <w:t xml:space="preserve"> </w:t>
      </w:r>
      <w:r>
        <w:rPr>
          <w:rFonts w:ascii="Sylfaen" w:hAnsi="Sylfaen" w:cs="Sylfaen"/>
        </w:rPr>
        <w:t>ქვეყანაში</w:t>
      </w:r>
      <w:r>
        <w:t xml:space="preserve"> </w:t>
      </w:r>
      <w:r>
        <w:rPr>
          <w:rFonts w:ascii="Sylfaen" w:hAnsi="Sylfaen" w:cs="Sylfaen"/>
        </w:rPr>
        <w:t>მსგავსი</w:t>
      </w:r>
      <w:r>
        <w:t xml:space="preserve"> </w:t>
      </w:r>
      <w:r>
        <w:rPr>
          <w:rFonts w:ascii="Sylfaen" w:hAnsi="Sylfaen" w:cs="Sylfaen"/>
        </w:rPr>
        <w:t>სიგრძეების</w:t>
      </w:r>
      <w:r>
        <w:t xml:space="preserve"> </w:t>
      </w:r>
      <w:r>
        <w:rPr>
          <w:rFonts w:ascii="Sylfaen" w:hAnsi="Sylfaen" w:cs="Sylfaen"/>
        </w:rPr>
        <w:t>ხიდების</w:t>
      </w:r>
      <w:r>
        <w:t xml:space="preserve"> </w:t>
      </w:r>
      <w:r>
        <w:rPr>
          <w:rFonts w:ascii="Sylfaen" w:hAnsi="Sylfaen" w:cs="Sylfaen"/>
        </w:rPr>
        <w:t>ასაგებად</w:t>
      </w:r>
      <w:r>
        <w:t>.</w:t>
      </w:r>
    </w:p>
    <w:p w14:paraId="04CF156F" w14:textId="1EC8BFC4" w:rsidR="00EA3205" w:rsidRPr="00B05F62" w:rsidRDefault="004B5AC7" w:rsidP="004B5AC7">
      <w:pPr>
        <w:spacing w:before="120" w:after="120"/>
      </w:pPr>
      <w:r>
        <w:rPr>
          <w:rFonts w:ascii="Sylfaen" w:hAnsi="Sylfaen" w:cs="Sylfaen"/>
        </w:rPr>
        <w:lastRenderedPageBreak/>
        <w:t>საპროექტო</w:t>
      </w:r>
      <w:r>
        <w:t xml:space="preserve"> </w:t>
      </w:r>
      <w:r>
        <w:rPr>
          <w:rFonts w:ascii="Sylfaen" w:hAnsi="Sylfaen" w:cs="Sylfaen"/>
        </w:rPr>
        <w:t>გზატკეცილზე</w:t>
      </w:r>
      <w:r>
        <w:t xml:space="preserve"> </w:t>
      </w:r>
      <w:r>
        <w:rPr>
          <w:rFonts w:ascii="Sylfaen" w:hAnsi="Sylfaen" w:cs="Sylfaen"/>
        </w:rPr>
        <w:t>გადასასვლელი</w:t>
      </w:r>
      <w:r>
        <w:t xml:space="preserve"> </w:t>
      </w:r>
      <w:r>
        <w:rPr>
          <w:rFonts w:ascii="Sylfaen" w:hAnsi="Sylfaen" w:cs="Sylfaen"/>
        </w:rPr>
        <w:t>ხიდებისთვის</w:t>
      </w:r>
      <w:r>
        <w:t xml:space="preserve">, </w:t>
      </w:r>
      <w:r>
        <w:rPr>
          <w:rFonts w:ascii="Sylfaen" w:hAnsi="Sylfaen" w:cs="Sylfaen"/>
        </w:rPr>
        <w:t>სავალი</w:t>
      </w:r>
      <w:r>
        <w:t xml:space="preserve"> </w:t>
      </w:r>
      <w:r>
        <w:rPr>
          <w:rFonts w:ascii="Sylfaen" w:hAnsi="Sylfaen" w:cs="Sylfaen"/>
        </w:rPr>
        <w:t>ნაწილის</w:t>
      </w:r>
      <w:r>
        <w:t xml:space="preserve"> </w:t>
      </w:r>
      <w:r>
        <w:rPr>
          <w:rFonts w:ascii="Sylfaen" w:hAnsi="Sylfaen" w:cs="Sylfaen"/>
        </w:rPr>
        <w:t>მთლიან</w:t>
      </w:r>
      <w:r>
        <w:t xml:space="preserve"> </w:t>
      </w:r>
      <w:r>
        <w:rPr>
          <w:rFonts w:ascii="Sylfaen" w:hAnsi="Sylfaen" w:cs="Sylfaen"/>
        </w:rPr>
        <w:t>სიგანეზე</w:t>
      </w:r>
      <w:r>
        <w:t xml:space="preserve"> </w:t>
      </w:r>
      <w:r>
        <w:rPr>
          <w:rFonts w:ascii="Sylfaen" w:hAnsi="Sylfaen" w:cs="Sylfaen"/>
        </w:rPr>
        <w:t>ვერტიკალური</w:t>
      </w:r>
      <w:r>
        <w:t xml:space="preserve"> </w:t>
      </w:r>
      <w:r>
        <w:rPr>
          <w:rFonts w:ascii="Sylfaen" w:hAnsi="Sylfaen" w:cs="Sylfaen"/>
        </w:rPr>
        <w:t>სიო</w:t>
      </w:r>
      <w:r>
        <w:t xml:space="preserve"> </w:t>
      </w:r>
      <w:r>
        <w:rPr>
          <w:rFonts w:ascii="Sylfaen" w:hAnsi="Sylfaen" w:cs="Sylfaen"/>
        </w:rPr>
        <w:t>შეადგენს</w:t>
      </w:r>
      <w:r>
        <w:t xml:space="preserve"> 5.0 </w:t>
      </w:r>
      <w:r>
        <w:rPr>
          <w:rFonts w:ascii="Sylfaen" w:hAnsi="Sylfaen" w:cs="Sylfaen"/>
        </w:rPr>
        <w:t>მეტრს</w:t>
      </w:r>
      <w:r>
        <w:t xml:space="preserve">. </w:t>
      </w:r>
      <w:r>
        <w:rPr>
          <w:rFonts w:ascii="Sylfaen" w:hAnsi="Sylfaen" w:cs="Sylfaen"/>
        </w:rPr>
        <w:t>დონეების</w:t>
      </w:r>
      <w:r>
        <w:t xml:space="preserve"> </w:t>
      </w:r>
      <w:r>
        <w:rPr>
          <w:rFonts w:ascii="Sylfaen" w:hAnsi="Sylfaen" w:cs="Sylfaen"/>
        </w:rPr>
        <w:t>განცალკევებისთვის</w:t>
      </w:r>
      <w:r>
        <w:t xml:space="preserve"> </w:t>
      </w:r>
      <w:r>
        <w:rPr>
          <w:rFonts w:ascii="Sylfaen" w:hAnsi="Sylfaen" w:cs="Sylfaen"/>
        </w:rPr>
        <w:t>საჭიროა</w:t>
      </w:r>
      <w:r>
        <w:t xml:space="preserve"> </w:t>
      </w:r>
      <w:r>
        <w:rPr>
          <w:rFonts w:ascii="Sylfaen" w:hAnsi="Sylfaen" w:cs="Sylfaen"/>
        </w:rPr>
        <w:t>დაპროექტდეს</w:t>
      </w:r>
      <w:r>
        <w:t xml:space="preserve"> 1</w:t>
      </w:r>
      <w:r>
        <w:rPr>
          <w:rFonts w:cs="Arial"/>
        </w:rPr>
        <w:t>×</w:t>
      </w:r>
      <w:r>
        <w:t xml:space="preserve">30 </w:t>
      </w:r>
      <w:r>
        <w:rPr>
          <w:rFonts w:ascii="Sylfaen" w:hAnsi="Sylfaen" w:cs="Sylfaen"/>
        </w:rPr>
        <w:t>მ</w:t>
      </w:r>
      <w:r>
        <w:t xml:space="preserve"> </w:t>
      </w:r>
      <w:r>
        <w:rPr>
          <w:rFonts w:ascii="Sylfaen" w:hAnsi="Sylfaen" w:cs="Sylfaen"/>
        </w:rPr>
        <w:t>კონფიგურაციის</w:t>
      </w:r>
      <w:r>
        <w:t xml:space="preserve"> </w:t>
      </w:r>
      <w:r>
        <w:rPr>
          <w:rFonts w:ascii="Sylfaen" w:hAnsi="Sylfaen" w:cs="Sylfaen"/>
        </w:rPr>
        <w:t>ერთმალიანი</w:t>
      </w:r>
      <w:r>
        <w:t xml:space="preserve"> </w:t>
      </w:r>
      <w:r>
        <w:rPr>
          <w:rFonts w:ascii="Sylfaen" w:hAnsi="Sylfaen" w:cs="Sylfaen"/>
        </w:rPr>
        <w:t>ხიდი</w:t>
      </w:r>
      <w:r>
        <w:t xml:space="preserve">. </w:t>
      </w:r>
      <w:r>
        <w:rPr>
          <w:rFonts w:ascii="Sylfaen" w:hAnsi="Sylfaen" w:cs="Sylfaen"/>
        </w:rPr>
        <w:t>მდინარეების</w:t>
      </w:r>
      <w:r>
        <w:t xml:space="preserve"> </w:t>
      </w:r>
      <w:r>
        <w:rPr>
          <w:rFonts w:ascii="Sylfaen" w:hAnsi="Sylfaen" w:cs="Sylfaen"/>
        </w:rPr>
        <w:t>გადაკვეთები</w:t>
      </w:r>
      <w:r>
        <w:t xml:space="preserve"> </w:t>
      </w:r>
      <w:r>
        <w:rPr>
          <w:rFonts w:ascii="Sylfaen" w:hAnsi="Sylfaen" w:cs="Sylfaen"/>
        </w:rPr>
        <w:t>და</w:t>
      </w:r>
      <w:r>
        <w:t xml:space="preserve"> </w:t>
      </w:r>
      <w:r>
        <w:rPr>
          <w:rFonts w:ascii="Sylfaen" w:hAnsi="Sylfaen" w:cs="Sylfaen"/>
        </w:rPr>
        <w:t>ვიადუკები</w:t>
      </w:r>
      <w:r>
        <w:t xml:space="preserve"> </w:t>
      </w:r>
      <w:r>
        <w:rPr>
          <w:rFonts w:ascii="Sylfaen" w:hAnsi="Sylfaen" w:cs="Sylfaen"/>
        </w:rPr>
        <w:t>რეალიზდება</w:t>
      </w:r>
      <w:r>
        <w:t xml:space="preserve"> </w:t>
      </w:r>
      <w:r>
        <w:rPr>
          <w:rFonts w:ascii="Sylfaen" w:hAnsi="Sylfaen" w:cs="Sylfaen"/>
        </w:rPr>
        <w:t>სამ</w:t>
      </w:r>
      <w:r>
        <w:t xml:space="preserve"> </w:t>
      </w:r>
      <w:r>
        <w:rPr>
          <w:rFonts w:ascii="Sylfaen" w:hAnsi="Sylfaen" w:cs="Sylfaen"/>
        </w:rPr>
        <w:t>და</w:t>
      </w:r>
      <w:r>
        <w:t xml:space="preserve"> </w:t>
      </w:r>
      <w:r>
        <w:rPr>
          <w:rFonts w:ascii="Sylfaen" w:hAnsi="Sylfaen" w:cs="Sylfaen"/>
        </w:rPr>
        <w:t>ოთხმალიანი</w:t>
      </w:r>
      <w:r>
        <w:t xml:space="preserve"> </w:t>
      </w:r>
      <w:r>
        <w:rPr>
          <w:rFonts w:ascii="Sylfaen" w:hAnsi="Sylfaen" w:cs="Sylfaen"/>
        </w:rPr>
        <w:t>ხიდების</w:t>
      </w:r>
      <w:r>
        <w:t xml:space="preserve"> </w:t>
      </w:r>
      <w:r>
        <w:rPr>
          <w:rFonts w:ascii="Sylfaen" w:hAnsi="Sylfaen" w:cs="Sylfaen"/>
        </w:rPr>
        <w:t>სახით</w:t>
      </w:r>
      <w:r>
        <w:t xml:space="preserve">, </w:t>
      </w:r>
      <w:r>
        <w:rPr>
          <w:rFonts w:ascii="Sylfaen" w:hAnsi="Sylfaen" w:cs="Sylfaen"/>
        </w:rPr>
        <w:t>შესაბამისად</w:t>
      </w:r>
      <w:r>
        <w:t>, 3</w:t>
      </w:r>
      <w:r>
        <w:rPr>
          <w:rFonts w:cs="Arial"/>
        </w:rPr>
        <w:t>×</w:t>
      </w:r>
      <w:r>
        <w:t xml:space="preserve">30 </w:t>
      </w:r>
      <w:r>
        <w:rPr>
          <w:rFonts w:ascii="Sylfaen" w:hAnsi="Sylfaen" w:cs="Sylfaen"/>
        </w:rPr>
        <w:t>მ</w:t>
      </w:r>
      <w:r>
        <w:t xml:space="preserve"> </w:t>
      </w:r>
      <w:r>
        <w:rPr>
          <w:rFonts w:ascii="Sylfaen" w:hAnsi="Sylfaen" w:cs="Sylfaen"/>
        </w:rPr>
        <w:t>და</w:t>
      </w:r>
      <w:r>
        <w:t xml:space="preserve"> 4</w:t>
      </w:r>
      <w:r>
        <w:rPr>
          <w:rFonts w:cs="Arial"/>
        </w:rPr>
        <w:t>×</w:t>
      </w:r>
      <w:r>
        <w:t xml:space="preserve">30 </w:t>
      </w:r>
      <w:r>
        <w:rPr>
          <w:rFonts w:ascii="Sylfaen" w:hAnsi="Sylfaen" w:cs="Sylfaen"/>
        </w:rPr>
        <w:t>მ</w:t>
      </w:r>
      <w:r>
        <w:t xml:space="preserve"> </w:t>
      </w:r>
      <w:r>
        <w:rPr>
          <w:rFonts w:ascii="Sylfaen" w:hAnsi="Sylfaen" w:cs="Sylfaen"/>
        </w:rPr>
        <w:t>სქემებით</w:t>
      </w:r>
      <w:r>
        <w:t xml:space="preserve">. </w:t>
      </w:r>
      <w:r>
        <w:rPr>
          <w:rFonts w:ascii="Sylfaen" w:hAnsi="Sylfaen" w:cs="Sylfaen"/>
        </w:rPr>
        <w:t>მალის</w:t>
      </w:r>
      <w:r>
        <w:t xml:space="preserve"> </w:t>
      </w:r>
      <w:r>
        <w:rPr>
          <w:rFonts w:ascii="Sylfaen" w:hAnsi="Sylfaen" w:cs="Sylfaen"/>
        </w:rPr>
        <w:t>ნაშენების</w:t>
      </w:r>
      <w:r>
        <w:t xml:space="preserve"> </w:t>
      </w:r>
      <w:r>
        <w:rPr>
          <w:rFonts w:ascii="Sylfaen" w:hAnsi="Sylfaen" w:cs="Sylfaen"/>
        </w:rPr>
        <w:t>მოსაწყობად</w:t>
      </w:r>
      <w:r>
        <w:t xml:space="preserve"> </w:t>
      </w:r>
      <w:r>
        <w:rPr>
          <w:rFonts w:ascii="Sylfaen" w:hAnsi="Sylfaen" w:cs="Sylfaen"/>
        </w:rPr>
        <w:t>გათვალისწინებულია</w:t>
      </w:r>
      <w:r>
        <w:t xml:space="preserve"> </w:t>
      </w:r>
      <w:r>
        <w:rPr>
          <w:rFonts w:ascii="Sylfaen" w:hAnsi="Sylfaen" w:cs="Sylfaen"/>
        </w:rPr>
        <w:t>წინასწარ</w:t>
      </w:r>
      <w:r>
        <w:t xml:space="preserve"> </w:t>
      </w:r>
      <w:r>
        <w:rPr>
          <w:rFonts w:ascii="Sylfaen" w:hAnsi="Sylfaen" w:cs="Sylfaen"/>
        </w:rPr>
        <w:t>დაძაბული</w:t>
      </w:r>
      <w:r>
        <w:t xml:space="preserve"> </w:t>
      </w:r>
      <w:r>
        <w:rPr>
          <w:rFonts w:ascii="Sylfaen" w:hAnsi="Sylfaen" w:cs="Sylfaen"/>
        </w:rPr>
        <w:t>ასაკრები</w:t>
      </w:r>
      <w:r>
        <w:t xml:space="preserve"> </w:t>
      </w:r>
      <w:r>
        <w:rPr>
          <w:rFonts w:ascii="Sylfaen" w:hAnsi="Sylfaen" w:cs="Sylfaen"/>
        </w:rPr>
        <w:t>ფოლადის</w:t>
      </w:r>
      <w:r>
        <w:t xml:space="preserve"> </w:t>
      </w:r>
      <w:r>
        <w:rPr>
          <w:rFonts w:ascii="Sylfaen" w:hAnsi="Sylfaen" w:cs="Sylfaen"/>
        </w:rPr>
        <w:t>ორტესებრი</w:t>
      </w:r>
      <w:r>
        <w:t xml:space="preserve"> </w:t>
      </w:r>
      <w:r>
        <w:rPr>
          <w:rFonts w:ascii="Sylfaen" w:hAnsi="Sylfaen" w:cs="Sylfaen"/>
        </w:rPr>
        <w:t>კოჭების</w:t>
      </w:r>
      <w:r>
        <w:t xml:space="preserve"> </w:t>
      </w:r>
      <w:r>
        <w:rPr>
          <w:rFonts w:ascii="Sylfaen" w:hAnsi="Sylfaen" w:cs="Sylfaen"/>
        </w:rPr>
        <w:t>გამოყენება</w:t>
      </w:r>
      <w:r>
        <w:t xml:space="preserve">. </w:t>
      </w:r>
      <w:r>
        <w:rPr>
          <w:rFonts w:ascii="Sylfaen" w:hAnsi="Sylfaen" w:cs="Sylfaen"/>
        </w:rPr>
        <w:t>აღსანიშნავია</w:t>
      </w:r>
      <w:r>
        <w:t xml:space="preserve">, </w:t>
      </w:r>
      <w:r>
        <w:rPr>
          <w:rFonts w:ascii="Sylfaen" w:hAnsi="Sylfaen" w:cs="Sylfaen"/>
        </w:rPr>
        <w:t>რომ</w:t>
      </w:r>
      <w:r>
        <w:t xml:space="preserve"> </w:t>
      </w:r>
      <w:r>
        <w:rPr>
          <w:rFonts w:ascii="Sylfaen" w:hAnsi="Sylfaen" w:cs="Sylfaen"/>
        </w:rPr>
        <w:t>ხიდის</w:t>
      </w:r>
      <w:r>
        <w:t xml:space="preserve"> </w:t>
      </w:r>
      <w:r>
        <w:rPr>
          <w:rFonts w:ascii="Sylfaen" w:hAnsi="Sylfaen" w:cs="Sylfaen"/>
        </w:rPr>
        <w:t>რკინაბეტონის</w:t>
      </w:r>
      <w:r>
        <w:t xml:space="preserve"> </w:t>
      </w:r>
      <w:r>
        <w:rPr>
          <w:rFonts w:ascii="Sylfaen" w:hAnsi="Sylfaen" w:cs="Sylfaen"/>
        </w:rPr>
        <w:t>ფენილთან</w:t>
      </w:r>
      <w:r>
        <w:t xml:space="preserve"> </w:t>
      </w:r>
      <w:r>
        <w:rPr>
          <w:rFonts w:ascii="Sylfaen" w:hAnsi="Sylfaen" w:cs="Sylfaen"/>
        </w:rPr>
        <w:t>კომბინირებული</w:t>
      </w:r>
      <w:r>
        <w:t xml:space="preserve"> </w:t>
      </w:r>
      <w:r>
        <w:rPr>
          <w:rFonts w:ascii="Sylfaen" w:hAnsi="Sylfaen" w:cs="Sylfaen"/>
        </w:rPr>
        <w:t>ასაკრები</w:t>
      </w:r>
      <w:r>
        <w:t xml:space="preserve"> </w:t>
      </w:r>
      <w:r>
        <w:rPr>
          <w:rFonts w:ascii="Sylfaen" w:hAnsi="Sylfaen" w:cs="Sylfaen"/>
        </w:rPr>
        <w:t>ორტესებრ</w:t>
      </w:r>
      <w:r>
        <w:t>-</w:t>
      </w:r>
      <w:r>
        <w:rPr>
          <w:rFonts w:ascii="Sylfaen" w:hAnsi="Sylfaen" w:cs="Sylfaen"/>
        </w:rPr>
        <w:t>კოჭოვან</w:t>
      </w:r>
      <w:r>
        <w:t>-</w:t>
      </w:r>
      <w:r>
        <w:rPr>
          <w:rFonts w:ascii="Sylfaen" w:hAnsi="Sylfaen" w:cs="Sylfaen"/>
        </w:rPr>
        <w:t>ფილოვანი</w:t>
      </w:r>
      <w:r>
        <w:t xml:space="preserve"> </w:t>
      </w:r>
      <w:r>
        <w:rPr>
          <w:rFonts w:ascii="Sylfaen" w:hAnsi="Sylfaen" w:cs="Sylfaen"/>
        </w:rPr>
        <w:t>სისტემების</w:t>
      </w:r>
      <w:r>
        <w:t xml:space="preserve"> </w:t>
      </w:r>
      <w:r>
        <w:rPr>
          <w:rFonts w:ascii="Sylfaen" w:hAnsi="Sylfaen" w:cs="Sylfaen"/>
        </w:rPr>
        <w:t>გამოყენება</w:t>
      </w:r>
      <w:r>
        <w:t xml:space="preserve"> </w:t>
      </w:r>
      <w:r>
        <w:rPr>
          <w:rFonts w:ascii="Sylfaen" w:hAnsi="Sylfaen" w:cs="Sylfaen"/>
        </w:rPr>
        <w:t>ძალზედ</w:t>
      </w:r>
      <w:r>
        <w:t xml:space="preserve"> </w:t>
      </w:r>
      <w:r>
        <w:rPr>
          <w:rFonts w:ascii="Sylfaen" w:hAnsi="Sylfaen" w:cs="Sylfaen"/>
        </w:rPr>
        <w:t>ფართო</w:t>
      </w:r>
      <w:r>
        <w:t xml:space="preserve"> </w:t>
      </w:r>
      <w:r>
        <w:rPr>
          <w:rFonts w:ascii="Sylfaen" w:hAnsi="Sylfaen" w:cs="Sylfaen"/>
        </w:rPr>
        <w:t>გავრცლებას</w:t>
      </w:r>
      <w:r>
        <w:t xml:space="preserve"> </w:t>
      </w:r>
      <w:r>
        <w:rPr>
          <w:rFonts w:ascii="Sylfaen" w:hAnsi="Sylfaen" w:cs="Sylfaen"/>
        </w:rPr>
        <w:t>პოულობს</w:t>
      </w:r>
      <w:r>
        <w:t xml:space="preserve"> </w:t>
      </w:r>
      <w:r>
        <w:rPr>
          <w:rFonts w:ascii="Sylfaen" w:hAnsi="Sylfaen" w:cs="Sylfaen"/>
        </w:rPr>
        <w:t>საქართველოს</w:t>
      </w:r>
      <w:r>
        <w:t xml:space="preserve"> </w:t>
      </w:r>
      <w:r>
        <w:rPr>
          <w:rFonts w:ascii="Sylfaen" w:hAnsi="Sylfaen" w:cs="Sylfaen"/>
        </w:rPr>
        <w:t>ხიდმშენებლობაში</w:t>
      </w:r>
      <w:r>
        <w:t xml:space="preserve"> </w:t>
      </w:r>
      <w:r>
        <w:rPr>
          <w:rFonts w:ascii="Sylfaen" w:hAnsi="Sylfaen" w:cs="Sylfaen"/>
        </w:rPr>
        <w:t>და</w:t>
      </w:r>
      <w:r>
        <w:t xml:space="preserve"> </w:t>
      </w:r>
      <w:r>
        <w:rPr>
          <w:rFonts w:ascii="Sylfaen" w:hAnsi="Sylfaen" w:cs="Sylfaen"/>
        </w:rPr>
        <w:t>ანაცვლებს</w:t>
      </w:r>
      <w:r>
        <w:t xml:space="preserve"> </w:t>
      </w:r>
      <w:r>
        <w:rPr>
          <w:rFonts w:ascii="Sylfaen" w:hAnsi="Sylfaen" w:cs="Sylfaen"/>
        </w:rPr>
        <w:t>ბაზარზე</w:t>
      </w:r>
      <w:r>
        <w:t xml:space="preserve"> </w:t>
      </w:r>
      <w:r>
        <w:rPr>
          <w:rFonts w:ascii="Sylfaen" w:hAnsi="Sylfaen" w:cs="Sylfaen"/>
        </w:rPr>
        <w:t>საბჭოთა</w:t>
      </w:r>
      <w:r>
        <w:t xml:space="preserve"> </w:t>
      </w:r>
      <w:r>
        <w:rPr>
          <w:rFonts w:ascii="Sylfaen" w:hAnsi="Sylfaen" w:cs="Sylfaen"/>
        </w:rPr>
        <w:t>პერიოდში</w:t>
      </w:r>
      <w:r>
        <w:t xml:space="preserve"> </w:t>
      </w:r>
      <w:r>
        <w:rPr>
          <w:rFonts w:ascii="Sylfaen" w:hAnsi="Sylfaen" w:cs="Sylfaen"/>
        </w:rPr>
        <w:t>მოქმედ</w:t>
      </w:r>
      <w:r>
        <w:t xml:space="preserve"> </w:t>
      </w:r>
      <w:r>
        <w:rPr>
          <w:rFonts w:ascii="Sylfaen" w:hAnsi="Sylfaen" w:cs="Sylfaen"/>
        </w:rPr>
        <w:t>გადაწყვეტებს</w:t>
      </w:r>
      <w:r>
        <w:t xml:space="preserve">, </w:t>
      </w:r>
      <w:r>
        <w:rPr>
          <w:rFonts w:ascii="Sylfaen" w:hAnsi="Sylfaen" w:cs="Sylfaen"/>
        </w:rPr>
        <w:t>რომლებიც</w:t>
      </w:r>
      <w:r>
        <w:t xml:space="preserve"> </w:t>
      </w:r>
      <w:r>
        <w:rPr>
          <w:rFonts w:ascii="Sylfaen" w:hAnsi="Sylfaen" w:cs="Sylfaen"/>
        </w:rPr>
        <w:t>დაფუძნებულია</w:t>
      </w:r>
      <w:r>
        <w:t xml:space="preserve"> </w:t>
      </w:r>
      <w:r>
        <w:rPr>
          <w:rFonts w:ascii="Sylfaen" w:hAnsi="Sylfaen" w:cs="Sylfaen"/>
        </w:rPr>
        <w:t>მოძველებული</w:t>
      </w:r>
      <w:r>
        <w:t xml:space="preserve"> </w:t>
      </w:r>
      <w:r>
        <w:rPr>
          <w:rFonts w:ascii="Sylfaen" w:hAnsi="Sylfaen" w:cs="Sylfaen"/>
        </w:rPr>
        <w:t>ორტესებრი</w:t>
      </w:r>
      <w:r>
        <w:t xml:space="preserve"> </w:t>
      </w:r>
      <w:r>
        <w:rPr>
          <w:rFonts w:ascii="Sylfaen" w:hAnsi="Sylfaen" w:cs="Sylfaen"/>
        </w:rPr>
        <w:t>კოჭების</w:t>
      </w:r>
      <w:r>
        <w:t xml:space="preserve"> </w:t>
      </w:r>
      <w:r>
        <w:rPr>
          <w:rFonts w:ascii="Sylfaen" w:hAnsi="Sylfaen" w:cs="Sylfaen"/>
        </w:rPr>
        <w:t>გამოყენებაზე</w:t>
      </w:r>
      <w:r>
        <w:t xml:space="preserve">. </w:t>
      </w:r>
      <w:r>
        <w:rPr>
          <w:rFonts w:ascii="Sylfaen" w:hAnsi="Sylfaen" w:cs="Sylfaen"/>
        </w:rPr>
        <w:t>ქვეყანაში</w:t>
      </w:r>
      <w:r>
        <w:t xml:space="preserve"> </w:t>
      </w:r>
      <w:r>
        <w:rPr>
          <w:rFonts w:ascii="Sylfaen" w:hAnsi="Sylfaen" w:cs="Sylfaen"/>
        </w:rPr>
        <w:t>ხიდების</w:t>
      </w:r>
      <w:r>
        <w:t xml:space="preserve"> </w:t>
      </w:r>
      <w:r>
        <w:rPr>
          <w:rFonts w:ascii="Sylfaen" w:hAnsi="Sylfaen" w:cs="Sylfaen"/>
        </w:rPr>
        <w:t>ასაკრებ</w:t>
      </w:r>
      <w:r>
        <w:t xml:space="preserve"> </w:t>
      </w:r>
      <w:r>
        <w:rPr>
          <w:rFonts w:ascii="Sylfaen" w:hAnsi="Sylfaen" w:cs="Sylfaen"/>
        </w:rPr>
        <w:t>კონსტრუქციულ</w:t>
      </w:r>
      <w:r>
        <w:t xml:space="preserve"> </w:t>
      </w:r>
      <w:r>
        <w:rPr>
          <w:rFonts w:ascii="Sylfaen" w:hAnsi="Sylfaen" w:cs="Sylfaen"/>
        </w:rPr>
        <w:t>ელემენტებს</w:t>
      </w:r>
      <w:r>
        <w:t xml:space="preserve"> </w:t>
      </w:r>
      <w:r>
        <w:rPr>
          <w:rFonts w:ascii="Sylfaen" w:hAnsi="Sylfaen" w:cs="Sylfaen"/>
        </w:rPr>
        <w:t>რამდენიმე</w:t>
      </w:r>
      <w:r>
        <w:t xml:space="preserve"> </w:t>
      </w:r>
      <w:r>
        <w:rPr>
          <w:rFonts w:ascii="Sylfaen" w:hAnsi="Sylfaen" w:cs="Sylfaen"/>
        </w:rPr>
        <w:t>კომპანია</w:t>
      </w:r>
      <w:r>
        <w:t xml:space="preserve"> </w:t>
      </w:r>
      <w:r>
        <w:rPr>
          <w:rFonts w:ascii="Sylfaen" w:hAnsi="Sylfaen" w:cs="Sylfaen"/>
        </w:rPr>
        <w:t>ამზადებს</w:t>
      </w:r>
      <w:r>
        <w:t xml:space="preserve">. </w:t>
      </w:r>
      <w:r>
        <w:rPr>
          <w:rFonts w:ascii="Sylfaen" w:hAnsi="Sylfaen" w:cs="Sylfaen"/>
        </w:rPr>
        <w:t>სახიდე</w:t>
      </w:r>
      <w:r>
        <w:t xml:space="preserve"> </w:t>
      </w:r>
      <w:r>
        <w:rPr>
          <w:rFonts w:ascii="Sylfaen" w:hAnsi="Sylfaen" w:cs="Sylfaen"/>
        </w:rPr>
        <w:t>კოჭები</w:t>
      </w:r>
      <w:r>
        <w:t xml:space="preserve"> </w:t>
      </w:r>
      <w:r>
        <w:rPr>
          <w:rFonts w:ascii="Sylfaen" w:hAnsi="Sylfaen" w:cs="Sylfaen"/>
        </w:rPr>
        <w:t>ჩამოისხმება</w:t>
      </w:r>
      <w:r>
        <w:t xml:space="preserve"> </w:t>
      </w:r>
      <w:r>
        <w:rPr>
          <w:rFonts w:ascii="Sylfaen" w:hAnsi="Sylfaen" w:cs="Sylfaen"/>
        </w:rPr>
        <w:t>ქარხანაში</w:t>
      </w:r>
      <w:r>
        <w:t xml:space="preserve"> </w:t>
      </w:r>
      <w:r>
        <w:rPr>
          <w:rFonts w:ascii="Sylfaen" w:hAnsi="Sylfaen" w:cs="Sylfaen"/>
        </w:rPr>
        <w:t>საჭირო</w:t>
      </w:r>
      <w:r>
        <w:t xml:space="preserve"> </w:t>
      </w:r>
      <w:r>
        <w:rPr>
          <w:rFonts w:ascii="Sylfaen" w:hAnsi="Sylfaen" w:cs="Sylfaen"/>
        </w:rPr>
        <w:t>სიგრძეებით</w:t>
      </w:r>
      <w:r>
        <w:t xml:space="preserve">, </w:t>
      </w:r>
      <w:r>
        <w:rPr>
          <w:rFonts w:ascii="Sylfaen" w:hAnsi="Sylfaen" w:cs="Sylfaen"/>
        </w:rPr>
        <w:t>გადაიზიდება</w:t>
      </w:r>
      <w:r>
        <w:t xml:space="preserve"> </w:t>
      </w:r>
      <w:r>
        <w:rPr>
          <w:rFonts w:ascii="Sylfaen" w:hAnsi="Sylfaen" w:cs="Sylfaen"/>
        </w:rPr>
        <w:t>სამშენებლო</w:t>
      </w:r>
      <w:r>
        <w:t xml:space="preserve"> </w:t>
      </w:r>
      <w:r>
        <w:rPr>
          <w:rFonts w:ascii="Sylfaen" w:hAnsi="Sylfaen" w:cs="Sylfaen"/>
        </w:rPr>
        <w:t>მოედანზე</w:t>
      </w:r>
      <w:r>
        <w:t xml:space="preserve"> </w:t>
      </w:r>
      <w:r>
        <w:rPr>
          <w:rFonts w:ascii="Sylfaen" w:hAnsi="Sylfaen" w:cs="Sylfaen"/>
        </w:rPr>
        <w:t>და</w:t>
      </w:r>
      <w:r>
        <w:t xml:space="preserve"> </w:t>
      </w:r>
      <w:r>
        <w:rPr>
          <w:rFonts w:ascii="Sylfaen" w:hAnsi="Sylfaen" w:cs="Sylfaen"/>
        </w:rPr>
        <w:t>ამწის</w:t>
      </w:r>
      <w:r>
        <w:t xml:space="preserve"> </w:t>
      </w:r>
      <w:r>
        <w:rPr>
          <w:rFonts w:ascii="Sylfaen" w:hAnsi="Sylfaen" w:cs="Sylfaen"/>
        </w:rPr>
        <w:t>საშუალებით</w:t>
      </w:r>
      <w:r>
        <w:t xml:space="preserve"> </w:t>
      </w:r>
      <w:r>
        <w:rPr>
          <w:rFonts w:ascii="Sylfaen" w:hAnsi="Sylfaen" w:cs="Sylfaen"/>
        </w:rPr>
        <w:t>ფიქსირდება</w:t>
      </w:r>
      <w:r>
        <w:t xml:space="preserve"> </w:t>
      </w:r>
      <w:r>
        <w:rPr>
          <w:rFonts w:ascii="Sylfaen" w:hAnsi="Sylfaen" w:cs="Sylfaen"/>
        </w:rPr>
        <w:t>საბოლოო</w:t>
      </w:r>
      <w:r>
        <w:t xml:space="preserve"> </w:t>
      </w:r>
      <w:r>
        <w:rPr>
          <w:rFonts w:ascii="Sylfaen" w:hAnsi="Sylfaen" w:cs="Sylfaen"/>
        </w:rPr>
        <w:t>პოზიციაში</w:t>
      </w:r>
      <w:r>
        <w:t xml:space="preserve">. </w:t>
      </w:r>
      <w:r>
        <w:rPr>
          <w:rFonts w:ascii="Sylfaen" w:hAnsi="Sylfaen" w:cs="Sylfaen"/>
        </w:rPr>
        <w:t>შესაძლებელია</w:t>
      </w:r>
      <w:r>
        <w:t xml:space="preserve"> </w:t>
      </w:r>
      <w:r>
        <w:rPr>
          <w:rFonts w:ascii="Sylfaen" w:hAnsi="Sylfaen" w:cs="Sylfaen"/>
        </w:rPr>
        <w:t>მაქსიმუმ</w:t>
      </w:r>
      <w:r>
        <w:t xml:space="preserve"> 31 (</w:t>
      </w:r>
      <w:r>
        <w:rPr>
          <w:rFonts w:ascii="Sylfaen" w:hAnsi="Sylfaen" w:cs="Sylfaen"/>
        </w:rPr>
        <w:t>ოცდათერთმეტი</w:t>
      </w:r>
      <w:r>
        <w:t xml:space="preserve">) </w:t>
      </w:r>
      <w:r>
        <w:rPr>
          <w:rFonts w:ascii="Sylfaen" w:hAnsi="Sylfaen" w:cs="Sylfaen"/>
        </w:rPr>
        <w:t>მეტრი</w:t>
      </w:r>
      <w:r>
        <w:t xml:space="preserve"> </w:t>
      </w:r>
      <w:r>
        <w:rPr>
          <w:rFonts w:ascii="Sylfaen" w:hAnsi="Sylfaen" w:cs="Sylfaen"/>
        </w:rPr>
        <w:t>სიგრძის</w:t>
      </w:r>
      <w:r>
        <w:t xml:space="preserve"> </w:t>
      </w:r>
      <w:r>
        <w:rPr>
          <w:rFonts w:ascii="Sylfaen" w:hAnsi="Sylfaen" w:cs="Sylfaen"/>
        </w:rPr>
        <w:t>კოჭების</w:t>
      </w:r>
      <w:r>
        <w:t xml:space="preserve"> </w:t>
      </w:r>
      <w:r>
        <w:rPr>
          <w:rFonts w:ascii="Sylfaen" w:hAnsi="Sylfaen" w:cs="Sylfaen"/>
        </w:rPr>
        <w:t>დამზადება</w:t>
      </w:r>
      <w:r>
        <w:t xml:space="preserve"> </w:t>
      </w:r>
      <w:r>
        <w:rPr>
          <w:rFonts w:ascii="Sylfaen" w:hAnsi="Sylfaen" w:cs="Sylfaen"/>
        </w:rPr>
        <w:t>და</w:t>
      </w:r>
      <w:r>
        <w:t xml:space="preserve"> </w:t>
      </w:r>
      <w:r>
        <w:rPr>
          <w:rFonts w:ascii="Sylfaen" w:hAnsi="Sylfaen" w:cs="Sylfaen"/>
        </w:rPr>
        <w:t>გადაზიდვა</w:t>
      </w:r>
      <w:r>
        <w:t xml:space="preserve">. </w:t>
      </w:r>
      <w:r>
        <w:rPr>
          <w:rFonts w:ascii="Sylfaen" w:hAnsi="Sylfaen" w:cs="Sylfaen"/>
        </w:rPr>
        <w:t>მალის</w:t>
      </w:r>
      <w:r>
        <w:t xml:space="preserve"> </w:t>
      </w:r>
      <w:r>
        <w:rPr>
          <w:rFonts w:ascii="Sylfaen" w:hAnsi="Sylfaen" w:cs="Sylfaen"/>
        </w:rPr>
        <w:t>ნაშენის</w:t>
      </w:r>
      <w:r>
        <w:t xml:space="preserve"> </w:t>
      </w:r>
      <w:r>
        <w:rPr>
          <w:rFonts w:ascii="Sylfaen" w:hAnsi="Sylfaen" w:cs="Sylfaen"/>
        </w:rPr>
        <w:t>კომბინირებული</w:t>
      </w:r>
      <w:r>
        <w:t xml:space="preserve"> </w:t>
      </w:r>
      <w:r>
        <w:rPr>
          <w:rFonts w:ascii="Sylfaen" w:hAnsi="Sylfaen" w:cs="Sylfaen"/>
        </w:rPr>
        <w:t>კვეთის</w:t>
      </w:r>
      <w:r>
        <w:t xml:space="preserve"> </w:t>
      </w:r>
      <w:r>
        <w:rPr>
          <w:rFonts w:ascii="Sylfaen" w:hAnsi="Sylfaen" w:cs="Sylfaen"/>
        </w:rPr>
        <w:t>მისაღებად</w:t>
      </w:r>
      <w:r>
        <w:t xml:space="preserve">, </w:t>
      </w:r>
      <w:r>
        <w:rPr>
          <w:rFonts w:ascii="Sylfaen" w:hAnsi="Sylfaen" w:cs="Sylfaen"/>
        </w:rPr>
        <w:t>ორტესებრი</w:t>
      </w:r>
      <w:r>
        <w:t xml:space="preserve"> </w:t>
      </w:r>
      <w:r>
        <w:rPr>
          <w:rFonts w:ascii="Sylfaen" w:hAnsi="Sylfaen" w:cs="Sylfaen"/>
        </w:rPr>
        <w:t>კოჭების</w:t>
      </w:r>
      <w:r>
        <w:t xml:space="preserve"> </w:t>
      </w:r>
      <w:r>
        <w:rPr>
          <w:rFonts w:ascii="Sylfaen" w:hAnsi="Sylfaen" w:cs="Sylfaen"/>
        </w:rPr>
        <w:t>თავზე</w:t>
      </w:r>
      <w:r>
        <w:t xml:space="preserve"> </w:t>
      </w:r>
      <w:r>
        <w:rPr>
          <w:rFonts w:ascii="Sylfaen" w:hAnsi="Sylfaen" w:cs="Sylfaen"/>
        </w:rPr>
        <w:t>ეწყობა</w:t>
      </w:r>
      <w:r>
        <w:t xml:space="preserve"> </w:t>
      </w:r>
      <w:r>
        <w:rPr>
          <w:rFonts w:ascii="Sylfaen" w:hAnsi="Sylfaen" w:cs="Sylfaen"/>
        </w:rPr>
        <w:t>მონოლითური</w:t>
      </w:r>
      <w:r>
        <w:t xml:space="preserve"> </w:t>
      </w:r>
      <w:r>
        <w:rPr>
          <w:rFonts w:ascii="Sylfaen" w:hAnsi="Sylfaen" w:cs="Sylfaen"/>
        </w:rPr>
        <w:t>რკინაბეტონის</w:t>
      </w:r>
      <w:r>
        <w:t xml:space="preserve"> </w:t>
      </w:r>
      <w:r>
        <w:rPr>
          <w:rFonts w:ascii="Sylfaen" w:hAnsi="Sylfaen" w:cs="Sylfaen"/>
        </w:rPr>
        <w:t>ფენილის</w:t>
      </w:r>
      <w:r>
        <w:t xml:space="preserve"> </w:t>
      </w:r>
      <w:r>
        <w:rPr>
          <w:rFonts w:ascii="Sylfaen" w:hAnsi="Sylfaen" w:cs="Sylfaen"/>
        </w:rPr>
        <w:t>ფილა</w:t>
      </w:r>
      <w:r>
        <w:t xml:space="preserve">, </w:t>
      </w:r>
      <w:r>
        <w:rPr>
          <w:rFonts w:ascii="Sylfaen" w:hAnsi="Sylfaen" w:cs="Sylfaen"/>
        </w:rPr>
        <w:t>რომელზეც</w:t>
      </w:r>
      <w:r>
        <w:t xml:space="preserve"> </w:t>
      </w:r>
      <w:r>
        <w:rPr>
          <w:rFonts w:ascii="Sylfaen" w:hAnsi="Sylfaen" w:cs="Sylfaen"/>
        </w:rPr>
        <w:t>იგება</w:t>
      </w:r>
      <w:r>
        <w:t xml:space="preserve"> </w:t>
      </w:r>
      <w:r>
        <w:rPr>
          <w:rFonts w:ascii="Sylfaen" w:hAnsi="Sylfaen" w:cs="Sylfaen"/>
        </w:rPr>
        <w:t>ჰიდროსაიზოლაციო</w:t>
      </w:r>
      <w:r>
        <w:t xml:space="preserve"> </w:t>
      </w:r>
      <w:r>
        <w:rPr>
          <w:rFonts w:ascii="Sylfaen" w:hAnsi="Sylfaen" w:cs="Sylfaen"/>
        </w:rPr>
        <w:t>და</w:t>
      </w:r>
      <w:r>
        <w:t xml:space="preserve"> </w:t>
      </w:r>
      <w:r>
        <w:rPr>
          <w:rFonts w:ascii="Sylfaen" w:hAnsi="Sylfaen" w:cs="Sylfaen"/>
        </w:rPr>
        <w:t>გზის</w:t>
      </w:r>
      <w:r>
        <w:t xml:space="preserve"> </w:t>
      </w:r>
      <w:r>
        <w:rPr>
          <w:rFonts w:ascii="Sylfaen" w:hAnsi="Sylfaen" w:cs="Sylfaen"/>
        </w:rPr>
        <w:t>საფარის</w:t>
      </w:r>
      <w:r>
        <w:t xml:space="preserve"> </w:t>
      </w:r>
      <w:r>
        <w:rPr>
          <w:rFonts w:ascii="Sylfaen" w:hAnsi="Sylfaen" w:cs="Sylfaen"/>
        </w:rPr>
        <w:t>ფენები</w:t>
      </w:r>
      <w:r>
        <w:t xml:space="preserve">. </w:t>
      </w:r>
      <w:r>
        <w:rPr>
          <w:rFonts w:ascii="Sylfaen" w:hAnsi="Sylfaen" w:cs="Sylfaen"/>
        </w:rPr>
        <w:t>ხიდის</w:t>
      </w:r>
      <w:r>
        <w:t xml:space="preserve"> </w:t>
      </w:r>
      <w:r>
        <w:rPr>
          <w:rFonts w:ascii="Sylfaen" w:hAnsi="Sylfaen" w:cs="Sylfaen"/>
        </w:rPr>
        <w:t>ფენილის</w:t>
      </w:r>
      <w:r>
        <w:t xml:space="preserve"> </w:t>
      </w:r>
      <w:r>
        <w:rPr>
          <w:rFonts w:ascii="Sylfaen" w:hAnsi="Sylfaen" w:cs="Sylfaen"/>
        </w:rPr>
        <w:t>სისტემა</w:t>
      </w:r>
      <w:r>
        <w:t xml:space="preserve"> </w:t>
      </w:r>
      <w:r>
        <w:rPr>
          <w:rFonts w:ascii="Sylfaen" w:hAnsi="Sylfaen" w:cs="Sylfaen"/>
        </w:rPr>
        <w:t>ნაჩვენებია</w:t>
      </w:r>
      <w:r>
        <w:t xml:space="preserve"> </w:t>
      </w:r>
      <w:r>
        <w:rPr>
          <w:rFonts w:ascii="Sylfaen" w:hAnsi="Sylfaen" w:cs="Sylfaen"/>
        </w:rPr>
        <w:t>მომდევნო</w:t>
      </w:r>
      <w:r>
        <w:t xml:space="preserve"> </w:t>
      </w:r>
      <w:r>
        <w:rPr>
          <w:rFonts w:ascii="Sylfaen" w:hAnsi="Sylfaen" w:cs="Sylfaen"/>
        </w:rPr>
        <w:t>სურათზე</w:t>
      </w:r>
      <w:r>
        <w:t>.</w:t>
      </w:r>
    </w:p>
    <w:p w14:paraId="0CA59450" w14:textId="1E5EDBFD" w:rsidR="00EA3205" w:rsidRPr="00B05F62" w:rsidRDefault="00EA3205" w:rsidP="00EA3205">
      <w:pPr>
        <w:rPr>
          <w:rFonts w:ascii="AcadNusx" w:hAnsi="AcadNusx"/>
        </w:rPr>
      </w:pPr>
      <w:r w:rsidRPr="00B05F62">
        <w:rPr>
          <w:rFonts w:ascii="AcadNusx" w:hAnsi="AcadNusx"/>
          <w:noProof/>
          <w:lang w:val="en-US" w:eastAsia="en-US"/>
        </w:rPr>
        <w:drawing>
          <wp:inline distT="0" distB="0" distL="0" distR="0" wp14:anchorId="1003B41D" wp14:editId="458A1A0C">
            <wp:extent cx="6038850" cy="1751330"/>
            <wp:effectExtent l="0" t="0" r="0" b="127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email">
                      <a:extLst>
                        <a:ext uri="{28A0092B-C50C-407E-A947-70E740481C1C}">
                          <a14:useLocalDpi xmlns:a14="http://schemas.microsoft.com/office/drawing/2010/main"/>
                        </a:ext>
                      </a:extLst>
                    </a:blip>
                    <a:srcRect l="22417" t="36368" r="42160" b="35507"/>
                    <a:stretch>
                      <a:fillRect/>
                    </a:stretch>
                  </pic:blipFill>
                  <pic:spPr bwMode="auto">
                    <a:xfrm>
                      <a:off x="0" y="0"/>
                      <a:ext cx="6038850" cy="1751330"/>
                    </a:xfrm>
                    <a:prstGeom prst="rect">
                      <a:avLst/>
                    </a:prstGeom>
                    <a:noFill/>
                    <a:ln>
                      <a:noFill/>
                    </a:ln>
                  </pic:spPr>
                </pic:pic>
              </a:graphicData>
            </a:graphic>
          </wp:inline>
        </w:drawing>
      </w:r>
    </w:p>
    <w:p w14:paraId="3522A7F2" w14:textId="650D4846" w:rsidR="00EA3205" w:rsidRPr="00B05F62" w:rsidRDefault="00EA3205" w:rsidP="00EA3205">
      <w:pPr>
        <w:rPr>
          <w:rFonts w:ascii="AcadNusx" w:hAnsi="AcadNusx"/>
        </w:rPr>
      </w:pPr>
      <w:bookmarkStart w:id="138" w:name="_Ref496957863"/>
      <w:r w:rsidRPr="00B05F62">
        <w:rPr>
          <w:rFonts w:ascii="AcadNusx" w:hAnsi="AcadNusx"/>
        </w:rPr>
        <w:t>suraTi 4.</w:t>
      </w:r>
      <w:r w:rsidR="005C0EEC">
        <w:rPr>
          <w:rFonts w:ascii="Sylfaen" w:hAnsi="Sylfaen"/>
          <w:lang w:val="ka-GE"/>
        </w:rPr>
        <w:t>13.2.2-1</w:t>
      </w:r>
      <w:r w:rsidRPr="00B05F62">
        <w:rPr>
          <w:rFonts w:ascii="AcadNusx" w:hAnsi="AcadNusx"/>
        </w:rPr>
        <w:t>.</w:t>
      </w:r>
      <w:r w:rsidRPr="00B05F62">
        <w:rPr>
          <w:rFonts w:ascii="AcadNusx" w:hAnsi="AcadNusx"/>
        </w:rPr>
        <w:tab/>
        <w:t>ortesebr-koWovani xidis fenilis sistema</w:t>
      </w:r>
    </w:p>
    <w:bookmarkEnd w:id="138"/>
    <w:p w14:paraId="29824BCF" w14:textId="77777777" w:rsidR="00EA3205" w:rsidRPr="00B05F62" w:rsidRDefault="00EA3205" w:rsidP="005C0EEC">
      <w:pPr>
        <w:spacing w:before="120" w:after="120"/>
        <w:rPr>
          <w:rFonts w:ascii="AcadNusx" w:hAnsi="AcadNusx"/>
          <w:lang w:val="en-US" w:bidi="bn-BD"/>
        </w:rPr>
      </w:pPr>
      <w:r w:rsidRPr="004B5AC7">
        <w:rPr>
          <w:rFonts w:ascii="AcadNusx" w:hAnsi="AcadNusx"/>
          <w:u w:val="single"/>
        </w:rPr>
        <w:t>ortesebri koWebis rekomendirebis mizezebia</w:t>
      </w:r>
      <w:r w:rsidRPr="00B05F62">
        <w:rPr>
          <w:rFonts w:ascii="AcadNusx" w:hAnsi="AcadNusx"/>
        </w:rPr>
        <w:t>:</w:t>
      </w:r>
    </w:p>
    <w:p w14:paraId="06A30D8F" w14:textId="77777777" w:rsidR="00EA3205" w:rsidRPr="00B05F62" w:rsidRDefault="00EA3205" w:rsidP="005C0EEC">
      <w:pPr>
        <w:spacing w:before="120" w:after="120"/>
        <w:rPr>
          <w:rFonts w:ascii="AcadNusx" w:hAnsi="AcadNusx"/>
        </w:rPr>
      </w:pPr>
      <w:r w:rsidRPr="00B05F62">
        <w:rPr>
          <w:rFonts w:ascii="AcadNusx" w:hAnsi="AcadNusx"/>
        </w:rPr>
        <w:t>saTanado vertikaluri gabaritis uzrunvelyofa savali nawilis viraJuli SemaRlebis Tavze, malis naSenis gaswvriv koWebis TandaTanobiT SemaRlebulad ganTavsebis saSualebiT, rac momijnave kolofisebri koWebiT SesaZlebeli ar aris;</w:t>
      </w:r>
    </w:p>
    <w:p w14:paraId="384BD3C2" w14:textId="77777777" w:rsidR="00EA3205" w:rsidRPr="00B05F62" w:rsidRDefault="00EA3205" w:rsidP="005C0EEC">
      <w:pPr>
        <w:spacing w:before="120" w:after="120"/>
        <w:rPr>
          <w:rFonts w:ascii="AcadNusx" w:hAnsi="AcadNusx"/>
        </w:rPr>
      </w:pPr>
      <w:r w:rsidRPr="00B05F62">
        <w:rPr>
          <w:rFonts w:ascii="AcadNusx" w:hAnsi="AcadNusx"/>
        </w:rPr>
        <w:t>samSeneblo teqnologiebis adgilobrivad xelmisawvdomobis gaTvaliswinebiT, aseTi gadawyveta yvelaze ekonomiuria mocemuli sigrZis xidebisTvis;</w:t>
      </w:r>
    </w:p>
    <w:p w14:paraId="500784C7" w14:textId="77777777" w:rsidR="00EA3205" w:rsidRPr="00B05F62" w:rsidRDefault="00EA3205" w:rsidP="005C0EEC">
      <w:pPr>
        <w:spacing w:before="120" w:after="120"/>
        <w:rPr>
          <w:rFonts w:ascii="AcadNusx" w:hAnsi="AcadNusx"/>
        </w:rPr>
      </w:pPr>
      <w:r w:rsidRPr="00B05F62">
        <w:rPr>
          <w:rFonts w:ascii="AcadNusx" w:hAnsi="AcadNusx"/>
        </w:rPr>
        <w:t>aRniSnuli gadawyeta mSeneblobis nakleb dros moiTxovs;</w:t>
      </w:r>
    </w:p>
    <w:p w14:paraId="4B7DB530" w14:textId="77777777" w:rsidR="00EA3205" w:rsidRPr="00B05F62" w:rsidRDefault="00EA3205" w:rsidP="005C0EEC">
      <w:pPr>
        <w:spacing w:before="120" w:after="120"/>
        <w:rPr>
          <w:rFonts w:ascii="AcadNusx" w:hAnsi="AcadNusx"/>
        </w:rPr>
      </w:pPr>
      <w:r w:rsidRPr="00B05F62">
        <w:rPr>
          <w:rFonts w:ascii="AcadNusx" w:hAnsi="AcadNusx"/>
        </w:rPr>
        <w:t>samSeneblo moedanze Sesasrulebeli samuSaoebis naklebi moculoba, rac ganapirobebs janmrTelobasTan da garemoze zemoqmedebasTan dakavSirebuli riskebis Semcirebas;</w:t>
      </w:r>
    </w:p>
    <w:p w14:paraId="309CC5AF" w14:textId="77777777" w:rsidR="00EA3205" w:rsidRPr="00B05F62" w:rsidRDefault="00EA3205" w:rsidP="005C0EEC">
      <w:pPr>
        <w:spacing w:before="120" w:after="120"/>
        <w:rPr>
          <w:rFonts w:ascii="AcadNusx" w:hAnsi="AcadNusx"/>
        </w:rPr>
      </w:pPr>
      <w:r w:rsidRPr="00B05F62">
        <w:rPr>
          <w:rFonts w:ascii="AcadNusx" w:hAnsi="AcadNusx"/>
        </w:rPr>
        <w:t>yvela masala da teqnologia adgilobrivad aris xelmisawvdomi.</w:t>
      </w:r>
    </w:p>
    <w:p w14:paraId="09589CD9" w14:textId="77777777" w:rsidR="00EA3205" w:rsidRPr="004B5AC7" w:rsidRDefault="00EA3205" w:rsidP="005C0EEC">
      <w:pPr>
        <w:spacing w:before="120" w:after="120"/>
        <w:rPr>
          <w:rFonts w:ascii="AcadNusx" w:hAnsi="AcadNusx"/>
          <w:b/>
          <w:u w:val="single"/>
        </w:rPr>
      </w:pPr>
      <w:r w:rsidRPr="004B5AC7">
        <w:rPr>
          <w:rFonts w:ascii="AcadNusx" w:hAnsi="AcadNusx"/>
          <w:b/>
          <w:u w:val="single"/>
        </w:rPr>
        <w:t>saSualo malebiani xidebi, 30 metrze grZeli malebiT</w:t>
      </w:r>
    </w:p>
    <w:p w14:paraId="591E1F24" w14:textId="77777777" w:rsidR="00EA3205" w:rsidRPr="00B05F62" w:rsidRDefault="00EA3205" w:rsidP="005C0EEC">
      <w:pPr>
        <w:spacing w:before="120" w:after="120"/>
        <w:rPr>
          <w:rFonts w:ascii="AcadNusx" w:hAnsi="AcadNusx"/>
        </w:rPr>
      </w:pPr>
      <w:r w:rsidRPr="00B05F62">
        <w:rPr>
          <w:rFonts w:ascii="AcadNusx" w:hAnsi="AcadNusx"/>
        </w:rPr>
        <w:t>sam adgilSi moiTxoveba saproeqto xidebis malebis konfiguraciis Zvel rkinigzis xazze arsebuli xidebis malebis sigrZeebTan morgeba, rac Tavis mxriv SedarebiT grZel malebs saWiroebs. aseT gadakveTebze gaTvaliswinebulia foladrkinabetonis filovan-koWovani xidebis aSeneba. aRniSnuli gadawyveta agreTve SesabamisobaSia adgilobrivad aprobirebul samSeneblo meTodTan. aseTi gadakveTebidan yvelaze grZelia md. Wermiswyalze gadasasvleli saxide nageboba (xidi #3) malebis konfiguraciiT 49+64+49 (m). danarCeni ori xidi, romlebic arsebuli sarkinigzo xidebis paraleluria da gamiznulia Sesabamisi Rvarcofuli xevebis gadakveTisTvis, aigeba 36+42+36 (m) malebis sqemebiT.</w:t>
      </w:r>
    </w:p>
    <w:p w14:paraId="00A436F9" w14:textId="77777777" w:rsidR="00EA3205" w:rsidRPr="00B05F62" w:rsidRDefault="00EA3205" w:rsidP="005C0EEC">
      <w:pPr>
        <w:spacing w:before="120" w:after="120"/>
        <w:rPr>
          <w:rFonts w:ascii="AcadNusx" w:hAnsi="AcadNusx"/>
        </w:rPr>
      </w:pPr>
      <w:r w:rsidRPr="00B05F62">
        <w:rPr>
          <w:rFonts w:ascii="AcadNusx" w:hAnsi="AcadNusx"/>
        </w:rPr>
        <w:lastRenderedPageBreak/>
        <w:t>momdevno suraTze ilustrirebulia xidis fenilis sistema.</w:t>
      </w:r>
    </w:p>
    <w:p w14:paraId="6EF926BD" w14:textId="2E36C506" w:rsidR="00EA3205" w:rsidRPr="00B05F62" w:rsidRDefault="00EA3205" w:rsidP="00EA3205">
      <w:pPr>
        <w:rPr>
          <w:rFonts w:ascii="AcadNusx" w:hAnsi="AcadNusx"/>
        </w:rPr>
      </w:pPr>
      <w:r w:rsidRPr="00B05F62">
        <w:rPr>
          <w:rFonts w:ascii="AcadNusx" w:hAnsi="AcadNusx"/>
          <w:noProof/>
          <w:lang w:val="en-US" w:eastAsia="en-US"/>
        </w:rPr>
        <w:drawing>
          <wp:inline distT="0" distB="0" distL="0" distR="0" wp14:anchorId="79217F98" wp14:editId="69379F3A">
            <wp:extent cx="5934710" cy="2027207"/>
            <wp:effectExtent l="0" t="0" r="0" b="0"/>
            <wp:docPr id="43" name="Picture 43" descr="Macintosh HD:Users:carstengriese:Desktop:Screenshot 2018-05-16 um 12.44.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0" descr="Macintosh HD:Users:carstengriese:Desktop:Screenshot 2018-05-16 um 12.44.38.png"/>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5942940" cy="2030018"/>
                    </a:xfrm>
                    <a:prstGeom prst="rect">
                      <a:avLst/>
                    </a:prstGeom>
                    <a:noFill/>
                    <a:ln>
                      <a:noFill/>
                    </a:ln>
                  </pic:spPr>
                </pic:pic>
              </a:graphicData>
            </a:graphic>
          </wp:inline>
        </w:drawing>
      </w:r>
    </w:p>
    <w:p w14:paraId="6750061C" w14:textId="1869EFB8" w:rsidR="00EA3205" w:rsidRPr="00B05F62" w:rsidRDefault="00EA3205" w:rsidP="00EA3205">
      <w:pPr>
        <w:rPr>
          <w:rFonts w:ascii="AcadNusx" w:hAnsi="AcadNusx"/>
          <w:lang w:val="en-US"/>
        </w:rPr>
      </w:pPr>
      <w:r w:rsidRPr="00B05F62">
        <w:rPr>
          <w:rFonts w:ascii="AcadNusx" w:hAnsi="AcadNusx"/>
        </w:rPr>
        <w:t xml:space="preserve">suraTi </w:t>
      </w:r>
      <w:r w:rsidR="005C0EEC" w:rsidRPr="00B05F62">
        <w:rPr>
          <w:rFonts w:ascii="AcadNusx" w:hAnsi="AcadNusx"/>
        </w:rPr>
        <w:t>4.</w:t>
      </w:r>
      <w:r w:rsidR="005C0EEC">
        <w:rPr>
          <w:rFonts w:ascii="Sylfaen" w:hAnsi="Sylfaen"/>
          <w:lang w:val="ka-GE"/>
        </w:rPr>
        <w:t>1</w:t>
      </w:r>
      <w:r w:rsidR="00485FE3">
        <w:rPr>
          <w:rFonts w:ascii="Sylfaen" w:hAnsi="Sylfaen"/>
          <w:lang w:val="ka-GE"/>
        </w:rPr>
        <w:t>2</w:t>
      </w:r>
      <w:r w:rsidR="005C0EEC">
        <w:rPr>
          <w:rFonts w:ascii="Sylfaen" w:hAnsi="Sylfaen"/>
          <w:lang w:val="ka-GE"/>
        </w:rPr>
        <w:t>.2.2-2</w:t>
      </w:r>
      <w:r w:rsidRPr="00B05F62">
        <w:rPr>
          <w:rFonts w:ascii="AcadNusx" w:hAnsi="AcadNusx"/>
        </w:rPr>
        <w:t>.</w:t>
      </w:r>
      <w:r w:rsidRPr="00B05F62">
        <w:rPr>
          <w:rFonts w:ascii="AcadNusx" w:hAnsi="AcadNusx"/>
        </w:rPr>
        <w:tab/>
        <w:t>folad-rkinabetonis filovan-koWovani xidis fenilis sistema</w:t>
      </w:r>
    </w:p>
    <w:p w14:paraId="04075E48" w14:textId="77777777" w:rsidR="00EA3205" w:rsidRPr="00B05F62" w:rsidRDefault="00EA3205" w:rsidP="00EA3205">
      <w:pPr>
        <w:rPr>
          <w:rFonts w:ascii="AcadNusx" w:hAnsi="AcadNusx"/>
          <w:lang w:bidi="bn-BD"/>
        </w:rPr>
      </w:pPr>
    </w:p>
    <w:p w14:paraId="29B8982B" w14:textId="5DF92C77" w:rsidR="00EA3205" w:rsidRPr="005C0EEC" w:rsidRDefault="00EA3205" w:rsidP="005C0EEC">
      <w:pPr>
        <w:pStyle w:val="Heading3"/>
        <w:rPr>
          <w:rFonts w:ascii="AcadNusx" w:hAnsi="AcadNusx"/>
        </w:rPr>
      </w:pPr>
      <w:bookmarkStart w:id="139" w:name="_Toc1581520"/>
      <w:r w:rsidRPr="005C0EEC">
        <w:rPr>
          <w:rFonts w:ascii="AcadNusx" w:hAnsi="AcadNusx"/>
        </w:rPr>
        <w:t>4.</w:t>
      </w:r>
      <w:r w:rsidR="005C0EEC">
        <w:rPr>
          <w:rFonts w:ascii="Sylfaen" w:hAnsi="Sylfaen"/>
          <w:lang w:val="ka-GE"/>
        </w:rPr>
        <w:t>1</w:t>
      </w:r>
      <w:r w:rsidR="00485FE3">
        <w:rPr>
          <w:rFonts w:ascii="Sylfaen" w:hAnsi="Sylfaen"/>
          <w:lang w:val="ka-GE"/>
        </w:rPr>
        <w:t>2</w:t>
      </w:r>
      <w:r w:rsidRPr="005C0EEC">
        <w:rPr>
          <w:rFonts w:ascii="AcadNusx" w:hAnsi="AcadNusx"/>
        </w:rPr>
        <w:t>.3</w:t>
      </w:r>
      <w:r w:rsidRPr="005C0EEC">
        <w:rPr>
          <w:rFonts w:ascii="AcadNusx" w:hAnsi="AcadNusx"/>
        </w:rPr>
        <w:tab/>
      </w:r>
      <w:r w:rsidR="00485FE3">
        <w:rPr>
          <w:rFonts w:ascii="Sylfaen" w:hAnsi="Sylfaen"/>
          <w:lang w:val="ka-GE"/>
        </w:rPr>
        <w:t>ხელმისაწვდომი რესურსები</w:t>
      </w:r>
      <w:bookmarkEnd w:id="139"/>
    </w:p>
    <w:p w14:paraId="406457CC" w14:textId="06BD4205" w:rsidR="00EA3205" w:rsidRPr="00B05F62" w:rsidRDefault="00EA3205" w:rsidP="005C0EEC">
      <w:pPr>
        <w:spacing w:before="120" w:after="120"/>
        <w:rPr>
          <w:rFonts w:ascii="AcadNusx" w:hAnsi="AcadNusx"/>
        </w:rPr>
      </w:pPr>
      <w:r w:rsidRPr="00B05F62">
        <w:rPr>
          <w:rFonts w:ascii="AcadNusx" w:hAnsi="AcadNusx"/>
        </w:rPr>
        <w:t>sabWoTa kavSiris droindeli umetesoba didi betonis qarxnebi qveynis damoukideblobis mopovebis Semdeg gaCerda da dReisTvis mxolod SedarebiT mcire warmadobis betonis qarxnebi funqcionireben. damatebiT, ramdenime ucxouri kontraqtori Tavad amzadebs asakrebi rkinabetonis konstruqciebs, rogorc sakuTari gamoyenebisTvis, aseve sxva kontraqtorebis dakveTebiT. cxrilSi 4.</w:t>
      </w:r>
      <w:r w:rsidR="00485FE3">
        <w:rPr>
          <w:rFonts w:ascii="Sylfaen" w:hAnsi="Sylfaen"/>
          <w:lang w:val="ka-GE"/>
        </w:rPr>
        <w:t>12.3-</w:t>
      </w:r>
      <w:r w:rsidRPr="00B05F62">
        <w:rPr>
          <w:rFonts w:ascii="AcadNusx" w:hAnsi="AcadNusx"/>
        </w:rPr>
        <w:t>1 mocemulia asakrebi rkinabetonis koWovani elementebis damamzadebeli qarxnebis monacemebi.</w:t>
      </w:r>
    </w:p>
    <w:p w14:paraId="79075C7F" w14:textId="66D272B6" w:rsidR="00EA3205" w:rsidRPr="00B05F62" w:rsidRDefault="00EA3205" w:rsidP="005C0EEC">
      <w:pPr>
        <w:spacing w:before="120" w:after="120"/>
        <w:rPr>
          <w:rFonts w:ascii="AcadNusx" w:hAnsi="AcadNusx"/>
        </w:rPr>
      </w:pPr>
      <w:r w:rsidRPr="00B05F62">
        <w:rPr>
          <w:rFonts w:ascii="AcadNusx" w:hAnsi="AcadNusx"/>
        </w:rPr>
        <w:t xml:space="preserve">cxrili </w:t>
      </w:r>
      <w:r w:rsidR="005C0EEC" w:rsidRPr="00B05F62">
        <w:rPr>
          <w:rFonts w:ascii="AcadNusx" w:hAnsi="AcadNusx"/>
        </w:rPr>
        <w:t>4.</w:t>
      </w:r>
      <w:r w:rsidR="005C0EEC">
        <w:rPr>
          <w:rFonts w:ascii="Sylfaen" w:hAnsi="Sylfaen"/>
          <w:lang w:val="ka-GE"/>
        </w:rPr>
        <w:t>1</w:t>
      </w:r>
      <w:r w:rsidR="00485FE3">
        <w:rPr>
          <w:rFonts w:ascii="Sylfaen" w:hAnsi="Sylfaen"/>
          <w:lang w:val="ka-GE"/>
        </w:rPr>
        <w:t>2</w:t>
      </w:r>
      <w:r w:rsidR="005C0EEC">
        <w:rPr>
          <w:rFonts w:ascii="Sylfaen" w:hAnsi="Sylfaen"/>
          <w:lang w:val="ka-GE"/>
        </w:rPr>
        <w:t>.3-1</w:t>
      </w:r>
      <w:r w:rsidRPr="00B05F62">
        <w:rPr>
          <w:rFonts w:ascii="AcadNusx" w:hAnsi="AcadNusx"/>
        </w:rPr>
        <w:t>.</w:t>
      </w:r>
      <w:r w:rsidRPr="00B05F62">
        <w:rPr>
          <w:rFonts w:ascii="AcadNusx" w:hAnsi="AcadNusx"/>
        </w:rPr>
        <w:tab/>
        <w:t>asakrebi betonis konstruqciebis damamzadebeli qarxnebis CamonaTvali</w:t>
      </w:r>
    </w:p>
    <w:tbl>
      <w:tblPr>
        <w:tblStyle w:val="TableGrid110"/>
        <w:tblW w:w="10325" w:type="dxa"/>
        <w:tblLayout w:type="fixed"/>
        <w:tblLook w:val="04A0" w:firstRow="1" w:lastRow="0" w:firstColumn="1" w:lastColumn="0" w:noHBand="0" w:noVBand="1"/>
      </w:tblPr>
      <w:tblGrid>
        <w:gridCol w:w="426"/>
        <w:gridCol w:w="4609"/>
        <w:gridCol w:w="2880"/>
        <w:gridCol w:w="2410"/>
      </w:tblGrid>
      <w:tr w:rsidR="00EA3205" w:rsidRPr="00F31A39" w14:paraId="16D3863F" w14:textId="77777777" w:rsidTr="004B5AC7">
        <w:tc>
          <w:tcPr>
            <w:tcW w:w="426" w:type="dxa"/>
            <w:hideMark/>
          </w:tcPr>
          <w:p w14:paraId="2A746D4C" w14:textId="77777777" w:rsidR="00EA3205" w:rsidRPr="00F31A39" w:rsidRDefault="00EA3205" w:rsidP="00EA3205">
            <w:pPr>
              <w:rPr>
                <w:rFonts w:ascii="AcadNusx" w:hAnsi="AcadNusx"/>
                <w:sz w:val="20"/>
                <w:lang w:val="en-US"/>
              </w:rPr>
            </w:pPr>
            <w:r w:rsidRPr="00F31A39">
              <w:rPr>
                <w:rFonts w:ascii="AcadNusx" w:hAnsi="AcadNusx"/>
                <w:sz w:val="20"/>
              </w:rPr>
              <w:t>rig#</w:t>
            </w:r>
          </w:p>
        </w:tc>
        <w:tc>
          <w:tcPr>
            <w:tcW w:w="4609" w:type="dxa"/>
            <w:hideMark/>
          </w:tcPr>
          <w:p w14:paraId="4F91CB82" w14:textId="77777777" w:rsidR="00EA3205" w:rsidRPr="00F31A39" w:rsidRDefault="00EA3205" w:rsidP="00EA3205">
            <w:pPr>
              <w:rPr>
                <w:rFonts w:ascii="AcadNusx" w:hAnsi="AcadNusx"/>
                <w:sz w:val="20"/>
              </w:rPr>
            </w:pPr>
            <w:r w:rsidRPr="00F31A39">
              <w:rPr>
                <w:rFonts w:ascii="AcadNusx" w:hAnsi="AcadNusx"/>
                <w:sz w:val="20"/>
              </w:rPr>
              <w:t>dasaxeleba da misamarTi</w:t>
            </w:r>
          </w:p>
        </w:tc>
        <w:tc>
          <w:tcPr>
            <w:tcW w:w="2880" w:type="dxa"/>
            <w:hideMark/>
          </w:tcPr>
          <w:p w14:paraId="27391E55" w14:textId="77777777" w:rsidR="00EA3205" w:rsidRPr="00F31A39" w:rsidRDefault="00EA3205" w:rsidP="00EA3205">
            <w:pPr>
              <w:rPr>
                <w:rFonts w:ascii="AcadNusx" w:hAnsi="AcadNusx"/>
                <w:sz w:val="20"/>
              </w:rPr>
            </w:pPr>
            <w:r w:rsidRPr="00F31A39">
              <w:rPr>
                <w:rFonts w:ascii="AcadNusx" w:hAnsi="AcadNusx"/>
                <w:sz w:val="20"/>
              </w:rPr>
              <w:t>produqcia</w:t>
            </w:r>
          </w:p>
        </w:tc>
        <w:tc>
          <w:tcPr>
            <w:tcW w:w="2410" w:type="dxa"/>
            <w:hideMark/>
          </w:tcPr>
          <w:p w14:paraId="554D7021" w14:textId="77777777" w:rsidR="00EA3205" w:rsidRPr="00F31A39" w:rsidRDefault="00EA3205" w:rsidP="00EA3205">
            <w:pPr>
              <w:rPr>
                <w:rFonts w:ascii="AcadNusx" w:hAnsi="AcadNusx"/>
                <w:sz w:val="20"/>
              </w:rPr>
            </w:pPr>
            <w:r w:rsidRPr="00F31A39">
              <w:rPr>
                <w:rFonts w:ascii="AcadNusx" w:hAnsi="AcadNusx"/>
                <w:sz w:val="20"/>
              </w:rPr>
              <w:t>SeniSvnebi</w:t>
            </w:r>
          </w:p>
        </w:tc>
      </w:tr>
      <w:tr w:rsidR="00EA3205" w:rsidRPr="00F31A39" w14:paraId="44351C17" w14:textId="77777777" w:rsidTr="004B5AC7">
        <w:tc>
          <w:tcPr>
            <w:tcW w:w="426" w:type="dxa"/>
            <w:hideMark/>
          </w:tcPr>
          <w:p w14:paraId="4BD1D3B6" w14:textId="77777777" w:rsidR="00EA3205" w:rsidRPr="00F31A39" w:rsidRDefault="00EA3205" w:rsidP="00EA3205">
            <w:pPr>
              <w:rPr>
                <w:rFonts w:ascii="AcadNusx" w:hAnsi="AcadNusx"/>
                <w:sz w:val="20"/>
              </w:rPr>
            </w:pPr>
            <w:r w:rsidRPr="00F31A39">
              <w:rPr>
                <w:rFonts w:ascii="AcadNusx" w:hAnsi="AcadNusx"/>
                <w:sz w:val="20"/>
              </w:rPr>
              <w:t>1</w:t>
            </w:r>
          </w:p>
        </w:tc>
        <w:tc>
          <w:tcPr>
            <w:tcW w:w="4609" w:type="dxa"/>
            <w:hideMark/>
          </w:tcPr>
          <w:p w14:paraId="4BB3C921" w14:textId="77777777" w:rsidR="00EA3205" w:rsidRPr="00F31A39" w:rsidRDefault="00EA3205" w:rsidP="00EA3205">
            <w:pPr>
              <w:rPr>
                <w:rFonts w:ascii="AcadNusx" w:hAnsi="AcadNusx"/>
                <w:sz w:val="20"/>
              </w:rPr>
            </w:pPr>
            <w:r w:rsidRPr="00F31A39">
              <w:rPr>
                <w:rFonts w:ascii="AcadNusx" w:hAnsi="AcadNusx"/>
                <w:sz w:val="20"/>
              </w:rPr>
              <w:t>Sps “xidmSeni-XXI”</w:t>
            </w:r>
          </w:p>
          <w:p w14:paraId="4B37D2ED" w14:textId="77777777" w:rsidR="00EA3205" w:rsidRPr="00F31A39" w:rsidRDefault="00EA3205" w:rsidP="00EA3205">
            <w:pPr>
              <w:rPr>
                <w:rFonts w:ascii="AcadNusx" w:hAnsi="AcadNusx"/>
                <w:sz w:val="20"/>
              </w:rPr>
            </w:pPr>
            <w:r w:rsidRPr="00F31A39">
              <w:rPr>
                <w:rFonts w:ascii="AcadNusx" w:hAnsi="AcadNusx"/>
                <w:sz w:val="20"/>
              </w:rPr>
              <w:t>goris raioni, sof. karaleTi</w:t>
            </w:r>
          </w:p>
          <w:p w14:paraId="37A3A311" w14:textId="77777777" w:rsidR="00EA3205" w:rsidRPr="00F31A39" w:rsidRDefault="00EA3205" w:rsidP="00EA3205">
            <w:pPr>
              <w:rPr>
                <w:rFonts w:ascii="AcadNusx" w:hAnsi="AcadNusx"/>
                <w:sz w:val="20"/>
              </w:rPr>
            </w:pPr>
            <w:r w:rsidRPr="00F31A39">
              <w:rPr>
                <w:rFonts w:ascii="AcadNusx" w:hAnsi="AcadNusx"/>
                <w:sz w:val="20"/>
              </w:rPr>
              <w:t>mob. tel.: 599453693</w:t>
            </w:r>
          </w:p>
          <w:p w14:paraId="1BB39C45" w14:textId="77777777" w:rsidR="00EA3205" w:rsidRPr="00F31A39" w:rsidRDefault="00EA3205" w:rsidP="00EA3205">
            <w:pPr>
              <w:rPr>
                <w:rFonts w:ascii="AcadNusx" w:hAnsi="AcadNusx"/>
                <w:sz w:val="20"/>
              </w:rPr>
            </w:pPr>
            <w:r w:rsidRPr="00F31A39">
              <w:rPr>
                <w:rFonts w:ascii="AcadNusx" w:hAnsi="AcadNusx"/>
                <w:sz w:val="20"/>
              </w:rPr>
              <w:t>sakontaqto piri: zaza kopinaSvili</w:t>
            </w:r>
          </w:p>
        </w:tc>
        <w:tc>
          <w:tcPr>
            <w:tcW w:w="2880" w:type="dxa"/>
            <w:hideMark/>
          </w:tcPr>
          <w:p w14:paraId="547EB56B" w14:textId="77777777" w:rsidR="00EA3205" w:rsidRPr="00F31A39" w:rsidRDefault="00EA3205" w:rsidP="00EA3205">
            <w:pPr>
              <w:rPr>
                <w:rFonts w:ascii="AcadNusx" w:hAnsi="AcadNusx"/>
                <w:sz w:val="20"/>
              </w:rPr>
            </w:pPr>
            <w:r w:rsidRPr="00F31A39">
              <w:rPr>
                <w:rFonts w:ascii="AcadNusx" w:hAnsi="AcadNusx"/>
                <w:sz w:val="20"/>
              </w:rPr>
              <w:t>r/b tesebri koWa, 18 m</w:t>
            </w:r>
          </w:p>
          <w:p w14:paraId="1C02A61C" w14:textId="77777777" w:rsidR="00EA3205" w:rsidRPr="00F31A39" w:rsidRDefault="00EA3205" w:rsidP="00EA3205">
            <w:pPr>
              <w:rPr>
                <w:rFonts w:ascii="AcadNusx" w:hAnsi="AcadNusx"/>
                <w:sz w:val="20"/>
              </w:rPr>
            </w:pPr>
            <w:r w:rsidRPr="00F31A39">
              <w:rPr>
                <w:rFonts w:ascii="AcadNusx" w:hAnsi="AcadNusx"/>
                <w:sz w:val="20"/>
              </w:rPr>
              <w:t>r/b tesebri koWa, 12 m</w:t>
            </w:r>
          </w:p>
          <w:p w14:paraId="2CAB4AA7" w14:textId="77777777" w:rsidR="00EA3205" w:rsidRPr="00F31A39" w:rsidRDefault="00EA3205" w:rsidP="00EA3205">
            <w:pPr>
              <w:rPr>
                <w:rFonts w:ascii="AcadNusx" w:hAnsi="AcadNusx"/>
                <w:sz w:val="20"/>
              </w:rPr>
            </w:pPr>
            <w:r w:rsidRPr="00F31A39">
              <w:rPr>
                <w:rFonts w:ascii="AcadNusx" w:hAnsi="AcadNusx"/>
                <w:sz w:val="20"/>
              </w:rPr>
              <w:t>r/b U-sebri koWa, 12 m</w:t>
            </w:r>
          </w:p>
          <w:p w14:paraId="425BB146" w14:textId="77777777" w:rsidR="00EA3205" w:rsidRPr="00F31A39" w:rsidRDefault="00EA3205" w:rsidP="00EA3205">
            <w:pPr>
              <w:rPr>
                <w:rFonts w:ascii="AcadNusx" w:hAnsi="AcadNusx"/>
                <w:sz w:val="20"/>
              </w:rPr>
            </w:pPr>
            <w:r w:rsidRPr="00F31A39">
              <w:rPr>
                <w:rFonts w:ascii="AcadNusx" w:hAnsi="AcadNusx"/>
                <w:sz w:val="20"/>
              </w:rPr>
              <w:t>r/b U-sebri koWa, 18 m</w:t>
            </w:r>
          </w:p>
        </w:tc>
        <w:tc>
          <w:tcPr>
            <w:tcW w:w="2410" w:type="dxa"/>
          </w:tcPr>
          <w:p w14:paraId="52ACA4A4" w14:textId="77777777" w:rsidR="00EA3205" w:rsidRPr="00F31A39" w:rsidRDefault="00EA3205" w:rsidP="00EA3205">
            <w:pPr>
              <w:rPr>
                <w:rFonts w:ascii="AcadNusx" w:hAnsi="AcadNusx"/>
                <w:sz w:val="20"/>
              </w:rPr>
            </w:pPr>
          </w:p>
        </w:tc>
      </w:tr>
      <w:tr w:rsidR="00EA3205" w:rsidRPr="00F31A39" w14:paraId="0805C8D0" w14:textId="77777777" w:rsidTr="004B5AC7">
        <w:tc>
          <w:tcPr>
            <w:tcW w:w="426" w:type="dxa"/>
            <w:hideMark/>
          </w:tcPr>
          <w:p w14:paraId="44838981" w14:textId="77777777" w:rsidR="00EA3205" w:rsidRPr="00F31A39" w:rsidRDefault="00EA3205" w:rsidP="00EA3205">
            <w:pPr>
              <w:rPr>
                <w:rFonts w:ascii="AcadNusx" w:hAnsi="AcadNusx"/>
                <w:sz w:val="20"/>
              </w:rPr>
            </w:pPr>
            <w:r w:rsidRPr="00F31A39">
              <w:rPr>
                <w:rFonts w:ascii="AcadNusx" w:hAnsi="AcadNusx"/>
                <w:sz w:val="20"/>
              </w:rPr>
              <w:t>2</w:t>
            </w:r>
          </w:p>
        </w:tc>
        <w:tc>
          <w:tcPr>
            <w:tcW w:w="4609" w:type="dxa"/>
            <w:hideMark/>
          </w:tcPr>
          <w:p w14:paraId="053EE9F7" w14:textId="77777777" w:rsidR="00EA3205" w:rsidRPr="00F31A39" w:rsidRDefault="00EA3205" w:rsidP="00EA3205">
            <w:pPr>
              <w:rPr>
                <w:rFonts w:ascii="AcadNusx" w:hAnsi="AcadNusx"/>
                <w:sz w:val="20"/>
              </w:rPr>
            </w:pPr>
            <w:r w:rsidRPr="00F31A39">
              <w:rPr>
                <w:rFonts w:ascii="AcadNusx" w:hAnsi="AcadNusx"/>
                <w:sz w:val="20"/>
              </w:rPr>
              <w:t>“betonis konstruqciebis qarxana”</w:t>
            </w:r>
          </w:p>
          <w:p w14:paraId="59A262E0" w14:textId="77777777" w:rsidR="00EA3205" w:rsidRPr="00F31A39" w:rsidRDefault="00EA3205" w:rsidP="00EA3205">
            <w:pPr>
              <w:rPr>
                <w:rFonts w:ascii="AcadNusx" w:hAnsi="AcadNusx"/>
                <w:sz w:val="20"/>
              </w:rPr>
            </w:pPr>
            <w:r w:rsidRPr="00F31A39">
              <w:rPr>
                <w:rFonts w:ascii="AcadNusx" w:hAnsi="AcadNusx"/>
                <w:sz w:val="20"/>
              </w:rPr>
              <w:t>quTaisi, aRmaSeneblis gamz. 55</w:t>
            </w:r>
          </w:p>
          <w:p w14:paraId="45B8036A" w14:textId="77777777" w:rsidR="00EA3205" w:rsidRPr="00F31A39" w:rsidRDefault="00EA3205" w:rsidP="00EA3205">
            <w:pPr>
              <w:rPr>
                <w:rFonts w:ascii="AcadNusx" w:hAnsi="AcadNusx"/>
                <w:sz w:val="20"/>
              </w:rPr>
            </w:pPr>
            <w:r w:rsidRPr="00F31A39">
              <w:rPr>
                <w:rFonts w:ascii="AcadNusx" w:hAnsi="AcadNusx"/>
                <w:sz w:val="20"/>
              </w:rPr>
              <w:t>tel.: 0431272864</w:t>
            </w:r>
          </w:p>
        </w:tc>
        <w:tc>
          <w:tcPr>
            <w:tcW w:w="2880" w:type="dxa"/>
            <w:hideMark/>
          </w:tcPr>
          <w:p w14:paraId="3F67E3C2" w14:textId="77777777" w:rsidR="00EA3205" w:rsidRPr="00F31A39" w:rsidRDefault="00EA3205" w:rsidP="00EA3205">
            <w:pPr>
              <w:rPr>
                <w:rFonts w:ascii="AcadNusx" w:hAnsi="AcadNusx"/>
                <w:sz w:val="20"/>
              </w:rPr>
            </w:pPr>
            <w:r w:rsidRPr="00F31A39">
              <w:rPr>
                <w:rFonts w:ascii="AcadNusx" w:hAnsi="AcadNusx"/>
                <w:sz w:val="20"/>
              </w:rPr>
              <w:t>winaswar daZabuli ortesebri koWebi, 21 m, 24 m, 27 m, 30 m, 31.6 m</w:t>
            </w:r>
          </w:p>
        </w:tc>
        <w:tc>
          <w:tcPr>
            <w:tcW w:w="2410" w:type="dxa"/>
          </w:tcPr>
          <w:p w14:paraId="0F9952AF" w14:textId="77777777" w:rsidR="00EA3205" w:rsidRPr="00F31A39" w:rsidRDefault="00EA3205" w:rsidP="00EA3205">
            <w:pPr>
              <w:rPr>
                <w:rFonts w:ascii="AcadNusx" w:hAnsi="AcadNusx"/>
                <w:sz w:val="20"/>
              </w:rPr>
            </w:pPr>
          </w:p>
        </w:tc>
      </w:tr>
      <w:tr w:rsidR="00EA3205" w:rsidRPr="00F31A39" w14:paraId="3C63C629" w14:textId="77777777" w:rsidTr="004B5AC7">
        <w:tc>
          <w:tcPr>
            <w:tcW w:w="426" w:type="dxa"/>
            <w:hideMark/>
          </w:tcPr>
          <w:p w14:paraId="60F580BE" w14:textId="77777777" w:rsidR="00EA3205" w:rsidRPr="00F31A39" w:rsidRDefault="00EA3205" w:rsidP="00EA3205">
            <w:pPr>
              <w:rPr>
                <w:rFonts w:ascii="AcadNusx" w:hAnsi="AcadNusx"/>
                <w:sz w:val="20"/>
              </w:rPr>
            </w:pPr>
            <w:r w:rsidRPr="00F31A39">
              <w:rPr>
                <w:rFonts w:ascii="AcadNusx" w:hAnsi="AcadNusx"/>
                <w:sz w:val="20"/>
              </w:rPr>
              <w:t>3</w:t>
            </w:r>
          </w:p>
        </w:tc>
        <w:tc>
          <w:tcPr>
            <w:tcW w:w="4609" w:type="dxa"/>
            <w:hideMark/>
          </w:tcPr>
          <w:p w14:paraId="4558E72B" w14:textId="77777777" w:rsidR="00EA3205" w:rsidRPr="00F31A39" w:rsidRDefault="00EA3205" w:rsidP="00EA3205">
            <w:pPr>
              <w:rPr>
                <w:rFonts w:ascii="AcadNusx" w:hAnsi="AcadNusx"/>
                <w:sz w:val="20"/>
              </w:rPr>
            </w:pPr>
            <w:r w:rsidRPr="00F31A39">
              <w:rPr>
                <w:rFonts w:ascii="AcadNusx" w:hAnsi="AcadNusx"/>
                <w:sz w:val="20"/>
              </w:rPr>
              <w:t>“akord jorjia”</w:t>
            </w:r>
          </w:p>
          <w:p w14:paraId="7EA936E8" w14:textId="77777777" w:rsidR="00EA3205" w:rsidRPr="00F31A39" w:rsidRDefault="00EA3205" w:rsidP="00EA3205">
            <w:pPr>
              <w:rPr>
                <w:rFonts w:ascii="AcadNusx" w:hAnsi="AcadNusx"/>
                <w:sz w:val="20"/>
              </w:rPr>
            </w:pPr>
            <w:r w:rsidRPr="00F31A39">
              <w:rPr>
                <w:rFonts w:ascii="AcadNusx" w:hAnsi="AcadNusx"/>
                <w:sz w:val="20"/>
              </w:rPr>
              <w:t>samSeneblo-samrewvelo sainvesticio korporacia “akordis” saqarTvelos filiali</w:t>
            </w:r>
          </w:p>
          <w:p w14:paraId="3CAC5DC3" w14:textId="77777777" w:rsidR="00EA3205" w:rsidRPr="00F31A39" w:rsidRDefault="00EA3205" w:rsidP="00EA3205">
            <w:pPr>
              <w:rPr>
                <w:rFonts w:ascii="AcadNusx" w:hAnsi="AcadNusx"/>
                <w:sz w:val="20"/>
              </w:rPr>
            </w:pPr>
            <w:r w:rsidRPr="00F31A39">
              <w:rPr>
                <w:rFonts w:ascii="AcadNusx" w:hAnsi="AcadNusx"/>
                <w:sz w:val="20"/>
              </w:rPr>
              <w:t>Tbilisi, bambis rigi 7</w:t>
            </w:r>
          </w:p>
          <w:p w14:paraId="3B95E8DE" w14:textId="77777777" w:rsidR="00EA3205" w:rsidRPr="00F31A39" w:rsidRDefault="00EA3205" w:rsidP="00EA3205">
            <w:pPr>
              <w:rPr>
                <w:rFonts w:ascii="AcadNusx" w:hAnsi="AcadNusx"/>
                <w:sz w:val="20"/>
              </w:rPr>
            </w:pPr>
            <w:r w:rsidRPr="00F31A39">
              <w:rPr>
                <w:rFonts w:ascii="AcadNusx" w:hAnsi="AcadNusx"/>
                <w:sz w:val="20"/>
              </w:rPr>
              <w:t>mob. tel.: (577) 95 98 46</w:t>
            </w:r>
          </w:p>
          <w:p w14:paraId="01135D20" w14:textId="77777777" w:rsidR="00EA3205" w:rsidRPr="00F31A39" w:rsidRDefault="006A7631" w:rsidP="00EA3205">
            <w:pPr>
              <w:rPr>
                <w:rFonts w:ascii="Sylfaen" w:hAnsi="Sylfaen"/>
                <w:sz w:val="20"/>
              </w:rPr>
            </w:pPr>
            <w:hyperlink r:id="rId57" w:tgtFrame="_blank" w:tooltip="akkord-georgia@akkordgroup.com" w:history="1">
              <w:r w:rsidR="00EA3205" w:rsidRPr="00F31A39">
                <w:rPr>
                  <w:rFonts w:ascii="Sylfaen" w:hAnsi="Sylfaen"/>
                  <w:sz w:val="20"/>
                </w:rPr>
                <w:t>akkord-georgia@akkordgroup.com</w:t>
              </w:r>
            </w:hyperlink>
          </w:p>
        </w:tc>
        <w:tc>
          <w:tcPr>
            <w:tcW w:w="2880" w:type="dxa"/>
            <w:hideMark/>
          </w:tcPr>
          <w:p w14:paraId="5EE84B3F" w14:textId="77777777" w:rsidR="00EA3205" w:rsidRPr="00F31A39" w:rsidRDefault="00EA3205" w:rsidP="00EA3205">
            <w:pPr>
              <w:rPr>
                <w:rFonts w:ascii="AcadNusx" w:hAnsi="AcadNusx"/>
                <w:sz w:val="20"/>
              </w:rPr>
            </w:pPr>
            <w:r w:rsidRPr="00F31A39">
              <w:rPr>
                <w:rFonts w:ascii="AcadNusx" w:hAnsi="AcadNusx"/>
                <w:sz w:val="20"/>
              </w:rPr>
              <w:t>winaswar daZabuli ortesebri koWebi: 21 m, 24 m, 27 m, 30 m, 31.6 m</w:t>
            </w:r>
          </w:p>
        </w:tc>
        <w:tc>
          <w:tcPr>
            <w:tcW w:w="2410" w:type="dxa"/>
            <w:hideMark/>
          </w:tcPr>
          <w:p w14:paraId="109B99B1" w14:textId="77777777" w:rsidR="00EA3205" w:rsidRPr="00F31A39" w:rsidRDefault="00EA3205" w:rsidP="00EA3205">
            <w:pPr>
              <w:rPr>
                <w:rFonts w:ascii="AcadNusx" w:hAnsi="AcadNusx"/>
                <w:sz w:val="20"/>
              </w:rPr>
            </w:pPr>
            <w:r w:rsidRPr="00F31A39">
              <w:rPr>
                <w:rFonts w:ascii="AcadNusx" w:hAnsi="AcadNusx"/>
                <w:sz w:val="20"/>
              </w:rPr>
              <w:t>bolodroindeli praqtikis Tanaxmad, ramdenime saerTaSo-riso kontraqtori sakuTari gamoyene-bisTvis da dakveTiT Tavad amzadebs r/b-is konstruqciebs</w:t>
            </w:r>
          </w:p>
        </w:tc>
      </w:tr>
      <w:tr w:rsidR="00EA3205" w:rsidRPr="00F31A39" w14:paraId="432D2AAF" w14:textId="77777777" w:rsidTr="004B5AC7">
        <w:tc>
          <w:tcPr>
            <w:tcW w:w="426" w:type="dxa"/>
            <w:hideMark/>
          </w:tcPr>
          <w:p w14:paraId="5AB5E8D6" w14:textId="77777777" w:rsidR="00EA3205" w:rsidRPr="00F31A39" w:rsidRDefault="00EA3205" w:rsidP="00EA3205">
            <w:pPr>
              <w:rPr>
                <w:rFonts w:ascii="AcadNusx" w:hAnsi="AcadNusx"/>
                <w:sz w:val="20"/>
              </w:rPr>
            </w:pPr>
            <w:r w:rsidRPr="00F31A39">
              <w:rPr>
                <w:rFonts w:ascii="AcadNusx" w:hAnsi="AcadNusx"/>
                <w:sz w:val="20"/>
              </w:rPr>
              <w:t>4</w:t>
            </w:r>
          </w:p>
        </w:tc>
        <w:tc>
          <w:tcPr>
            <w:tcW w:w="4609" w:type="dxa"/>
            <w:hideMark/>
          </w:tcPr>
          <w:p w14:paraId="0FB240B2" w14:textId="77777777" w:rsidR="00EA3205" w:rsidRPr="00F31A39" w:rsidRDefault="00EA3205" w:rsidP="00EA3205">
            <w:pPr>
              <w:rPr>
                <w:rFonts w:ascii="AcadNusx" w:hAnsi="AcadNusx"/>
                <w:sz w:val="20"/>
              </w:rPr>
            </w:pPr>
            <w:r w:rsidRPr="00F31A39">
              <w:rPr>
                <w:rFonts w:ascii="AcadNusx" w:hAnsi="AcadNusx"/>
                <w:sz w:val="20"/>
              </w:rPr>
              <w:t>Sps “CineTis atomuri energetikuli kompania”</w:t>
            </w:r>
          </w:p>
          <w:p w14:paraId="4468B62B" w14:textId="77777777" w:rsidR="00EA3205" w:rsidRPr="00F31A39" w:rsidRDefault="00EA3205" w:rsidP="00EA3205">
            <w:pPr>
              <w:rPr>
                <w:rFonts w:ascii="Sylfaen" w:hAnsi="Sylfaen"/>
                <w:sz w:val="20"/>
              </w:rPr>
            </w:pPr>
            <w:r w:rsidRPr="00F31A39">
              <w:rPr>
                <w:rFonts w:ascii="Sylfaen" w:hAnsi="Sylfaen"/>
                <w:sz w:val="20"/>
              </w:rPr>
              <w:t>China Nuclear Engineering Co., Ltd (CNEC)</w:t>
            </w:r>
          </w:p>
          <w:p w14:paraId="002170BB" w14:textId="77777777" w:rsidR="00EA3205" w:rsidRPr="00F31A39" w:rsidRDefault="00EA3205" w:rsidP="00EA3205">
            <w:pPr>
              <w:rPr>
                <w:rFonts w:ascii="AcadNusx" w:hAnsi="AcadNusx"/>
                <w:sz w:val="20"/>
              </w:rPr>
            </w:pPr>
            <w:r w:rsidRPr="00F31A39">
              <w:rPr>
                <w:rFonts w:ascii="AcadNusx" w:hAnsi="AcadNusx"/>
                <w:sz w:val="20"/>
              </w:rPr>
              <w:t>Tbilisi 0186, margianis q. 15</w:t>
            </w:r>
          </w:p>
          <w:p w14:paraId="1DEE78FF" w14:textId="77777777" w:rsidR="00EA3205" w:rsidRPr="00F31A39" w:rsidRDefault="00EA3205" w:rsidP="00EA3205">
            <w:pPr>
              <w:rPr>
                <w:rFonts w:ascii="AcadNusx" w:hAnsi="AcadNusx"/>
                <w:sz w:val="20"/>
                <w:lang w:val="en-US"/>
              </w:rPr>
            </w:pPr>
            <w:r w:rsidRPr="00F31A39">
              <w:rPr>
                <w:rFonts w:ascii="AcadNusx" w:hAnsi="AcadNusx"/>
                <w:sz w:val="20"/>
              </w:rPr>
              <w:t>mob. tel.: 995-571196116</w:t>
            </w:r>
          </w:p>
          <w:p w14:paraId="60A497EB" w14:textId="77777777" w:rsidR="00EA3205" w:rsidRPr="00F31A39" w:rsidRDefault="00EA3205" w:rsidP="00EA3205">
            <w:pPr>
              <w:rPr>
                <w:rFonts w:ascii="AcadNusx" w:hAnsi="AcadNusx"/>
                <w:sz w:val="20"/>
              </w:rPr>
            </w:pPr>
            <w:r w:rsidRPr="00F31A39">
              <w:rPr>
                <w:rFonts w:ascii="AcadNusx" w:hAnsi="AcadNusx"/>
                <w:sz w:val="20"/>
              </w:rPr>
              <w:t xml:space="preserve">sakontaqto piri: jein vangi </w:t>
            </w:r>
          </w:p>
          <w:p w14:paraId="2564ECF6" w14:textId="77777777" w:rsidR="00EA3205" w:rsidRPr="00F31A39" w:rsidRDefault="006A7631" w:rsidP="00EA3205">
            <w:pPr>
              <w:rPr>
                <w:rFonts w:cs="Arial"/>
                <w:sz w:val="20"/>
              </w:rPr>
            </w:pPr>
            <w:hyperlink r:id="rId58" w:history="1">
              <w:r w:rsidR="00EA3205" w:rsidRPr="00F31A39">
                <w:rPr>
                  <w:rFonts w:ascii="Sylfaen" w:hAnsi="Sylfaen"/>
                  <w:sz w:val="20"/>
                </w:rPr>
                <w:t>jane@cni23.com</w:t>
              </w:r>
            </w:hyperlink>
          </w:p>
        </w:tc>
        <w:tc>
          <w:tcPr>
            <w:tcW w:w="2880" w:type="dxa"/>
          </w:tcPr>
          <w:p w14:paraId="2BE363FF" w14:textId="77777777" w:rsidR="00EA3205" w:rsidRPr="00F31A39" w:rsidRDefault="00EA3205" w:rsidP="00EA3205">
            <w:pPr>
              <w:rPr>
                <w:rFonts w:ascii="AcadNusx" w:hAnsi="AcadNusx"/>
                <w:sz w:val="20"/>
              </w:rPr>
            </w:pPr>
          </w:p>
        </w:tc>
        <w:tc>
          <w:tcPr>
            <w:tcW w:w="2410" w:type="dxa"/>
          </w:tcPr>
          <w:p w14:paraId="4D80042E" w14:textId="77777777" w:rsidR="00EA3205" w:rsidRPr="00F31A39" w:rsidRDefault="00EA3205" w:rsidP="00EA3205">
            <w:pPr>
              <w:rPr>
                <w:rFonts w:ascii="AcadNusx" w:hAnsi="AcadNusx"/>
                <w:sz w:val="20"/>
              </w:rPr>
            </w:pPr>
          </w:p>
        </w:tc>
      </w:tr>
    </w:tbl>
    <w:p w14:paraId="36CB4A79" w14:textId="77777777" w:rsidR="00EA3205" w:rsidRPr="00B05F62" w:rsidRDefault="00EA3205" w:rsidP="00EA3205">
      <w:pPr>
        <w:rPr>
          <w:rFonts w:ascii="AcadNusx" w:hAnsi="AcadNusx"/>
        </w:rPr>
      </w:pPr>
    </w:p>
    <w:p w14:paraId="2FF4E810" w14:textId="77777777" w:rsidR="00EA3205" w:rsidRPr="00B05F62" w:rsidRDefault="00EA3205" w:rsidP="00EA3205">
      <w:pPr>
        <w:rPr>
          <w:rFonts w:ascii="AcadNusx" w:hAnsi="AcadNusx"/>
        </w:rPr>
      </w:pPr>
      <w:r w:rsidRPr="00B05F62">
        <w:rPr>
          <w:rFonts w:ascii="AcadNusx" w:hAnsi="AcadNusx"/>
        </w:rPr>
        <w:lastRenderedPageBreak/>
        <w:t>betonis ZiriTadi ingradientebi, rogorebicaa cementi, armatura da inertuli masalebi iwarmoeba an bunebrivis saxiT moipoveba saqarTveloSi. momdevno cxrilSi mocemulia betonis zogierTi damamzadeblis monacemebi</w:t>
      </w:r>
    </w:p>
    <w:p w14:paraId="61777B10" w14:textId="77777777" w:rsidR="00EA3205" w:rsidRPr="00B05F62" w:rsidRDefault="00EA3205" w:rsidP="00EA3205">
      <w:pPr>
        <w:rPr>
          <w:rFonts w:ascii="AcadNusx" w:hAnsi="AcadNusx"/>
        </w:rPr>
      </w:pPr>
    </w:p>
    <w:p w14:paraId="3FB8F911" w14:textId="2531938F" w:rsidR="00EA3205" w:rsidRPr="00B05F62" w:rsidRDefault="00EA3205" w:rsidP="00EA3205">
      <w:pPr>
        <w:rPr>
          <w:rFonts w:ascii="AcadNusx" w:hAnsi="AcadNusx"/>
        </w:rPr>
      </w:pPr>
      <w:r w:rsidRPr="00B05F62">
        <w:rPr>
          <w:rFonts w:ascii="AcadNusx" w:hAnsi="AcadNusx"/>
        </w:rPr>
        <w:t xml:space="preserve">cxrili </w:t>
      </w:r>
      <w:r w:rsidR="005C0EEC" w:rsidRPr="00B05F62">
        <w:rPr>
          <w:rFonts w:ascii="AcadNusx" w:hAnsi="AcadNusx"/>
        </w:rPr>
        <w:t>4.</w:t>
      </w:r>
      <w:r w:rsidR="005C0EEC">
        <w:rPr>
          <w:rFonts w:ascii="Sylfaen" w:hAnsi="Sylfaen"/>
          <w:lang w:val="ka-GE"/>
        </w:rPr>
        <w:t>1</w:t>
      </w:r>
      <w:r w:rsidR="00485FE3">
        <w:rPr>
          <w:rFonts w:ascii="Sylfaen" w:hAnsi="Sylfaen"/>
          <w:lang w:val="ka-GE"/>
        </w:rPr>
        <w:t>2</w:t>
      </w:r>
      <w:r w:rsidR="005C0EEC">
        <w:rPr>
          <w:rFonts w:ascii="Sylfaen" w:hAnsi="Sylfaen"/>
          <w:lang w:val="ka-GE"/>
        </w:rPr>
        <w:t>.3-2</w:t>
      </w:r>
      <w:r w:rsidRPr="00B05F62">
        <w:rPr>
          <w:rFonts w:ascii="AcadNusx" w:hAnsi="AcadNusx"/>
        </w:rPr>
        <w:t>.</w:t>
      </w:r>
      <w:r w:rsidRPr="00B05F62">
        <w:rPr>
          <w:rFonts w:ascii="AcadNusx" w:hAnsi="AcadNusx"/>
        </w:rPr>
        <w:tab/>
        <w:t>betonis ZiriTadi masalebis momwodeblebi</w:t>
      </w:r>
    </w:p>
    <w:tbl>
      <w:tblPr>
        <w:tblStyle w:val="TableGrid110"/>
        <w:tblW w:w="10659" w:type="dxa"/>
        <w:tblLook w:val="04A0" w:firstRow="1" w:lastRow="0" w:firstColumn="1" w:lastColumn="0" w:noHBand="0" w:noVBand="1"/>
      </w:tblPr>
      <w:tblGrid>
        <w:gridCol w:w="3442"/>
        <w:gridCol w:w="3483"/>
        <w:gridCol w:w="3734"/>
      </w:tblGrid>
      <w:tr w:rsidR="00EA3205" w:rsidRPr="00F31A39" w14:paraId="16DBDD9C" w14:textId="77777777" w:rsidTr="004B5AC7">
        <w:tc>
          <w:tcPr>
            <w:tcW w:w="3442" w:type="dxa"/>
            <w:hideMark/>
          </w:tcPr>
          <w:p w14:paraId="180DB7CD" w14:textId="77777777" w:rsidR="00EA3205" w:rsidRPr="004B5AC7" w:rsidRDefault="00EA3205" w:rsidP="004B5AC7">
            <w:pPr>
              <w:jc w:val="center"/>
              <w:rPr>
                <w:rFonts w:ascii="AcadNusx" w:hAnsi="AcadNusx"/>
                <w:b/>
                <w:sz w:val="20"/>
                <w:lang w:val="en-US"/>
              </w:rPr>
            </w:pPr>
            <w:r w:rsidRPr="004B5AC7">
              <w:rPr>
                <w:rFonts w:ascii="AcadNusx" w:hAnsi="AcadNusx"/>
                <w:b/>
                <w:sz w:val="20"/>
              </w:rPr>
              <w:t>cementi</w:t>
            </w:r>
          </w:p>
        </w:tc>
        <w:tc>
          <w:tcPr>
            <w:tcW w:w="3483" w:type="dxa"/>
            <w:hideMark/>
          </w:tcPr>
          <w:p w14:paraId="6150E90B" w14:textId="77777777" w:rsidR="00EA3205" w:rsidRPr="004B5AC7" w:rsidRDefault="00EA3205" w:rsidP="004B5AC7">
            <w:pPr>
              <w:jc w:val="center"/>
              <w:rPr>
                <w:rFonts w:ascii="AcadNusx" w:hAnsi="AcadNusx"/>
                <w:b/>
                <w:sz w:val="20"/>
              </w:rPr>
            </w:pPr>
            <w:r w:rsidRPr="004B5AC7">
              <w:rPr>
                <w:rFonts w:ascii="AcadNusx" w:hAnsi="AcadNusx"/>
                <w:b/>
                <w:sz w:val="20"/>
              </w:rPr>
              <w:t>armatura</w:t>
            </w:r>
          </w:p>
        </w:tc>
        <w:tc>
          <w:tcPr>
            <w:tcW w:w="3734" w:type="dxa"/>
            <w:hideMark/>
          </w:tcPr>
          <w:p w14:paraId="78094653" w14:textId="77777777" w:rsidR="00EA3205" w:rsidRPr="004B5AC7" w:rsidRDefault="00EA3205" w:rsidP="004B5AC7">
            <w:pPr>
              <w:jc w:val="center"/>
              <w:rPr>
                <w:rFonts w:ascii="AcadNusx" w:hAnsi="AcadNusx"/>
                <w:b/>
                <w:sz w:val="20"/>
              </w:rPr>
            </w:pPr>
            <w:r w:rsidRPr="004B5AC7">
              <w:rPr>
                <w:rFonts w:ascii="AcadNusx" w:hAnsi="AcadNusx"/>
                <w:b/>
                <w:sz w:val="20"/>
              </w:rPr>
              <w:t>inertuli Semvsebi masalebi</w:t>
            </w:r>
          </w:p>
        </w:tc>
      </w:tr>
      <w:tr w:rsidR="00EA3205" w:rsidRPr="00F31A39" w14:paraId="40B9C0EB" w14:textId="77777777" w:rsidTr="004B5AC7">
        <w:tc>
          <w:tcPr>
            <w:tcW w:w="3442" w:type="dxa"/>
            <w:hideMark/>
          </w:tcPr>
          <w:p w14:paraId="0BD15C1A" w14:textId="77777777" w:rsidR="00EA3205" w:rsidRPr="00F31A39" w:rsidRDefault="00EA3205" w:rsidP="00EA3205">
            <w:pPr>
              <w:rPr>
                <w:rFonts w:ascii="Sylfaen" w:hAnsi="Sylfaen"/>
                <w:sz w:val="20"/>
              </w:rPr>
            </w:pPr>
            <w:r w:rsidRPr="00F31A39">
              <w:rPr>
                <w:rFonts w:ascii="Sylfaen" w:hAnsi="Sylfaen"/>
                <w:sz w:val="20"/>
              </w:rPr>
              <w:t>Hydelbergcement Caucasus</w:t>
            </w:r>
          </w:p>
          <w:p w14:paraId="79C70E49" w14:textId="77777777" w:rsidR="00EA3205" w:rsidRPr="00F31A39" w:rsidRDefault="00EA3205" w:rsidP="00EA3205">
            <w:pPr>
              <w:rPr>
                <w:rFonts w:ascii="AcadNusx" w:hAnsi="AcadNusx"/>
                <w:sz w:val="20"/>
              </w:rPr>
            </w:pPr>
            <w:r w:rsidRPr="00F31A39">
              <w:rPr>
                <w:rFonts w:ascii="AcadNusx" w:hAnsi="AcadNusx"/>
                <w:sz w:val="20"/>
              </w:rPr>
              <w:t>Tbilisi, lermontovis q. 18</w:t>
            </w:r>
          </w:p>
          <w:p w14:paraId="647BF33D" w14:textId="77777777" w:rsidR="00EA3205" w:rsidRPr="00F31A39" w:rsidRDefault="00EA3205" w:rsidP="00EA3205">
            <w:pPr>
              <w:rPr>
                <w:rFonts w:ascii="AcadNusx" w:hAnsi="AcadNusx"/>
                <w:sz w:val="20"/>
              </w:rPr>
            </w:pPr>
            <w:r w:rsidRPr="00F31A39">
              <w:rPr>
                <w:rFonts w:ascii="AcadNusx" w:hAnsi="AcadNusx"/>
                <w:sz w:val="20"/>
              </w:rPr>
              <w:t>telefoni: 2474747</w:t>
            </w:r>
          </w:p>
          <w:p w14:paraId="022F5A95" w14:textId="77777777" w:rsidR="00EA3205" w:rsidRPr="00F31A39" w:rsidRDefault="006A7631" w:rsidP="00EA3205">
            <w:pPr>
              <w:rPr>
                <w:rFonts w:ascii="AcadNusx" w:hAnsi="AcadNusx"/>
                <w:sz w:val="20"/>
              </w:rPr>
            </w:pPr>
            <w:hyperlink r:id="rId59" w:tgtFrame="_blank" w:tooltip="info@heidelbergcement.ge" w:history="1">
              <w:r w:rsidR="00EA3205" w:rsidRPr="00F31A39">
                <w:rPr>
                  <w:rFonts w:ascii="Sylfaen" w:hAnsi="Sylfaen"/>
                  <w:sz w:val="20"/>
                </w:rPr>
                <w:t>info@heidelbergcement.ge</w:t>
              </w:r>
            </w:hyperlink>
          </w:p>
        </w:tc>
        <w:tc>
          <w:tcPr>
            <w:tcW w:w="3483" w:type="dxa"/>
            <w:hideMark/>
          </w:tcPr>
          <w:p w14:paraId="6DB2BD6C" w14:textId="77777777" w:rsidR="00EA3205" w:rsidRPr="00F31A39" w:rsidRDefault="00EA3205" w:rsidP="00EA3205">
            <w:pPr>
              <w:rPr>
                <w:rFonts w:ascii="AcadNusx" w:hAnsi="AcadNusx"/>
                <w:sz w:val="20"/>
              </w:rPr>
            </w:pPr>
            <w:r w:rsidRPr="00F31A39">
              <w:rPr>
                <w:rFonts w:ascii="AcadNusx" w:hAnsi="AcadNusx"/>
                <w:sz w:val="20"/>
              </w:rPr>
              <w:t>rusTavis metalurgiuli qarxana</w:t>
            </w:r>
          </w:p>
          <w:p w14:paraId="7D19DA62" w14:textId="77777777" w:rsidR="00EA3205" w:rsidRPr="00F31A39" w:rsidRDefault="00EA3205" w:rsidP="00EA3205">
            <w:pPr>
              <w:rPr>
                <w:rFonts w:ascii="AcadNusx" w:hAnsi="AcadNusx"/>
                <w:sz w:val="20"/>
              </w:rPr>
            </w:pPr>
            <w:r w:rsidRPr="00F31A39">
              <w:rPr>
                <w:rFonts w:ascii="AcadNusx" w:hAnsi="AcadNusx"/>
                <w:sz w:val="20"/>
              </w:rPr>
              <w:t>rusTavi, gagarinis q. 12</w:t>
            </w:r>
          </w:p>
          <w:p w14:paraId="63DBE5FF" w14:textId="77777777" w:rsidR="00EA3205" w:rsidRPr="00F31A39" w:rsidRDefault="00EA3205" w:rsidP="00EA3205">
            <w:pPr>
              <w:rPr>
                <w:rFonts w:ascii="AcadNusx" w:hAnsi="AcadNusx"/>
                <w:sz w:val="20"/>
              </w:rPr>
            </w:pPr>
            <w:r w:rsidRPr="00F31A39">
              <w:rPr>
                <w:rFonts w:ascii="AcadNusx" w:hAnsi="AcadNusx"/>
                <w:sz w:val="20"/>
              </w:rPr>
              <w:t>telefonebi: +995322606699; +995322492233</w:t>
            </w:r>
          </w:p>
          <w:p w14:paraId="06136658" w14:textId="77777777" w:rsidR="00EA3205" w:rsidRPr="00F31A39" w:rsidRDefault="006A7631" w:rsidP="00EA3205">
            <w:pPr>
              <w:rPr>
                <w:rFonts w:ascii="AcadNusx" w:hAnsi="AcadNusx"/>
                <w:sz w:val="20"/>
              </w:rPr>
            </w:pPr>
            <w:hyperlink r:id="rId60" w:history="1">
              <w:r w:rsidR="00EA3205" w:rsidRPr="00F31A39">
                <w:rPr>
                  <w:rFonts w:ascii="Sylfaen" w:hAnsi="Sylfaen"/>
                  <w:sz w:val="20"/>
                </w:rPr>
                <w:t>contacts@rustavisteel.com</w:t>
              </w:r>
            </w:hyperlink>
          </w:p>
        </w:tc>
        <w:tc>
          <w:tcPr>
            <w:tcW w:w="3734" w:type="dxa"/>
            <w:hideMark/>
          </w:tcPr>
          <w:p w14:paraId="3149F75D" w14:textId="77777777" w:rsidR="00EA3205" w:rsidRPr="00F31A39" w:rsidRDefault="00EA3205" w:rsidP="00EA3205">
            <w:pPr>
              <w:rPr>
                <w:rFonts w:ascii="Sylfaen" w:hAnsi="Sylfaen"/>
                <w:sz w:val="20"/>
              </w:rPr>
            </w:pPr>
            <w:r w:rsidRPr="00F31A39">
              <w:rPr>
                <w:rFonts w:ascii="Sylfaen" w:hAnsi="Sylfaen"/>
                <w:sz w:val="20"/>
              </w:rPr>
              <w:t xml:space="preserve">Black Sea Group </w:t>
            </w:r>
          </w:p>
          <w:p w14:paraId="7DA389DE" w14:textId="77777777" w:rsidR="00EA3205" w:rsidRPr="00F31A39" w:rsidRDefault="00EA3205" w:rsidP="00EA3205">
            <w:pPr>
              <w:rPr>
                <w:rFonts w:ascii="AcadNusx" w:hAnsi="AcadNusx"/>
                <w:sz w:val="20"/>
              </w:rPr>
            </w:pPr>
            <w:r w:rsidRPr="00F31A39">
              <w:rPr>
                <w:rFonts w:ascii="AcadNusx" w:hAnsi="AcadNusx"/>
                <w:sz w:val="20"/>
              </w:rPr>
              <w:t>Tbilisi, vaJa-fSavelas gamz. 71</w:t>
            </w:r>
          </w:p>
          <w:p w14:paraId="05ECF6BF" w14:textId="77777777" w:rsidR="00EA3205" w:rsidRPr="00F31A39" w:rsidRDefault="00EA3205" w:rsidP="00EA3205">
            <w:pPr>
              <w:rPr>
                <w:rFonts w:ascii="AcadNusx" w:hAnsi="AcadNusx"/>
                <w:sz w:val="20"/>
              </w:rPr>
            </w:pPr>
            <w:r w:rsidRPr="00F31A39">
              <w:rPr>
                <w:rFonts w:ascii="AcadNusx" w:hAnsi="AcadNusx"/>
                <w:sz w:val="20"/>
              </w:rPr>
              <w:t>telefonebi: 2207474; 2207475</w:t>
            </w:r>
          </w:p>
          <w:p w14:paraId="6EC2C2D8" w14:textId="77777777" w:rsidR="00EA3205" w:rsidRPr="00F31A39" w:rsidRDefault="006A7631" w:rsidP="00EA3205">
            <w:pPr>
              <w:rPr>
                <w:rFonts w:ascii="AcadNusx" w:hAnsi="AcadNusx"/>
                <w:sz w:val="20"/>
              </w:rPr>
            </w:pPr>
            <w:hyperlink r:id="rId61" w:tgtFrame="_blank" w:tooltip="info@bsg.com.ge" w:history="1">
              <w:r w:rsidR="00EA3205" w:rsidRPr="00F31A39">
                <w:rPr>
                  <w:rFonts w:ascii="Sylfaen" w:hAnsi="Sylfaen"/>
                  <w:sz w:val="20"/>
                </w:rPr>
                <w:t>info@bsg.com.ge</w:t>
              </w:r>
            </w:hyperlink>
          </w:p>
        </w:tc>
      </w:tr>
      <w:tr w:rsidR="00EA3205" w:rsidRPr="00F31A39" w14:paraId="55F70970" w14:textId="77777777" w:rsidTr="004B5AC7">
        <w:tc>
          <w:tcPr>
            <w:tcW w:w="3442" w:type="dxa"/>
            <w:hideMark/>
          </w:tcPr>
          <w:p w14:paraId="312AD94E" w14:textId="77777777" w:rsidR="00EA3205" w:rsidRPr="00F31A39" w:rsidRDefault="00EA3205" w:rsidP="00EA3205">
            <w:pPr>
              <w:rPr>
                <w:rFonts w:ascii="Sylfaen" w:hAnsi="Sylfaen"/>
                <w:sz w:val="20"/>
              </w:rPr>
            </w:pPr>
            <w:r w:rsidRPr="00F31A39">
              <w:rPr>
                <w:rFonts w:ascii="AcadNusx" w:hAnsi="AcadNusx"/>
                <w:sz w:val="20"/>
              </w:rPr>
              <w:t xml:space="preserve">“Tbilcementi” / </w:t>
            </w:r>
            <w:r w:rsidRPr="00F31A39">
              <w:rPr>
                <w:rFonts w:ascii="Sylfaen" w:hAnsi="Sylfaen"/>
                <w:sz w:val="20"/>
              </w:rPr>
              <w:t>Tbilcement Group</w:t>
            </w:r>
          </w:p>
          <w:p w14:paraId="53DF4852" w14:textId="77777777" w:rsidR="00EA3205" w:rsidRPr="00F31A39" w:rsidRDefault="00EA3205" w:rsidP="00EA3205">
            <w:pPr>
              <w:rPr>
                <w:rFonts w:ascii="AcadNusx" w:hAnsi="AcadNusx"/>
                <w:sz w:val="20"/>
              </w:rPr>
            </w:pPr>
            <w:r w:rsidRPr="00F31A39">
              <w:rPr>
                <w:rFonts w:ascii="AcadNusx" w:hAnsi="AcadNusx"/>
                <w:sz w:val="20"/>
              </w:rPr>
              <w:t>Tbilisi, zahesis dasaxleba</w:t>
            </w:r>
          </w:p>
          <w:p w14:paraId="37E65A77" w14:textId="77777777" w:rsidR="00EA3205" w:rsidRPr="00F31A39" w:rsidRDefault="00EA3205" w:rsidP="00EA3205">
            <w:pPr>
              <w:rPr>
                <w:rFonts w:ascii="AcadNusx" w:hAnsi="AcadNusx"/>
                <w:sz w:val="20"/>
              </w:rPr>
            </w:pPr>
            <w:r w:rsidRPr="00F31A39">
              <w:rPr>
                <w:rFonts w:ascii="AcadNusx" w:hAnsi="AcadNusx"/>
                <w:sz w:val="20"/>
              </w:rPr>
              <w:t>telefonebi: 2656261; 2656260</w:t>
            </w:r>
          </w:p>
          <w:p w14:paraId="1B29578E" w14:textId="77777777" w:rsidR="00EA3205" w:rsidRPr="00F31A39" w:rsidRDefault="006A7631" w:rsidP="00EA3205">
            <w:pPr>
              <w:rPr>
                <w:rFonts w:ascii="AcadNusx" w:hAnsi="AcadNusx"/>
                <w:sz w:val="20"/>
              </w:rPr>
            </w:pPr>
            <w:hyperlink r:id="rId62" w:tgtFrame="_blank" w:tooltip="tbilcement@yahoo.com" w:history="1">
              <w:r w:rsidR="00EA3205" w:rsidRPr="00F31A39">
                <w:rPr>
                  <w:rFonts w:ascii="Sylfaen" w:hAnsi="Sylfaen"/>
                  <w:sz w:val="20"/>
                </w:rPr>
                <w:t>tbilcement@yahoo.com</w:t>
              </w:r>
            </w:hyperlink>
          </w:p>
        </w:tc>
        <w:tc>
          <w:tcPr>
            <w:tcW w:w="3483" w:type="dxa"/>
            <w:hideMark/>
          </w:tcPr>
          <w:p w14:paraId="1C10B1A3" w14:textId="77777777" w:rsidR="00EA3205" w:rsidRPr="00F31A39" w:rsidRDefault="00EA3205" w:rsidP="00EA3205">
            <w:pPr>
              <w:rPr>
                <w:rFonts w:ascii="AcadNusx" w:hAnsi="AcadNusx"/>
                <w:sz w:val="20"/>
              </w:rPr>
            </w:pPr>
            <w:r w:rsidRPr="00F31A39">
              <w:rPr>
                <w:rFonts w:ascii="AcadNusx" w:hAnsi="AcadNusx"/>
                <w:sz w:val="20"/>
              </w:rPr>
              <w:t>“intrek jorjia”</w:t>
            </w:r>
          </w:p>
          <w:p w14:paraId="477B85E4" w14:textId="77777777" w:rsidR="00EA3205" w:rsidRPr="00F31A39" w:rsidRDefault="00EA3205" w:rsidP="00EA3205">
            <w:pPr>
              <w:rPr>
                <w:rFonts w:ascii="AcadNusx" w:hAnsi="AcadNusx"/>
                <w:sz w:val="20"/>
              </w:rPr>
            </w:pPr>
            <w:r w:rsidRPr="00F31A39">
              <w:rPr>
                <w:rFonts w:ascii="AcadNusx" w:hAnsi="AcadNusx"/>
                <w:sz w:val="20"/>
              </w:rPr>
              <w:t>Tbilisi, qerCis q. 12</w:t>
            </w:r>
          </w:p>
          <w:p w14:paraId="68CC6733" w14:textId="77777777" w:rsidR="00EA3205" w:rsidRPr="00F31A39" w:rsidRDefault="00EA3205" w:rsidP="00EA3205">
            <w:pPr>
              <w:rPr>
                <w:rFonts w:ascii="AcadNusx" w:hAnsi="AcadNusx"/>
                <w:sz w:val="20"/>
              </w:rPr>
            </w:pPr>
            <w:r w:rsidRPr="00F31A39">
              <w:rPr>
                <w:rFonts w:ascii="AcadNusx" w:hAnsi="AcadNusx"/>
                <w:sz w:val="20"/>
              </w:rPr>
              <w:t xml:space="preserve">telefonebi:2609707; </w:t>
            </w:r>
          </w:p>
          <w:p w14:paraId="049FF489" w14:textId="77777777" w:rsidR="00EA3205" w:rsidRPr="00F31A39" w:rsidRDefault="00EA3205" w:rsidP="00EA3205">
            <w:pPr>
              <w:rPr>
                <w:rFonts w:ascii="AcadNusx" w:hAnsi="AcadNusx"/>
                <w:sz w:val="20"/>
              </w:rPr>
            </w:pPr>
            <w:r w:rsidRPr="00F31A39">
              <w:rPr>
                <w:rFonts w:ascii="AcadNusx" w:hAnsi="AcadNusx"/>
                <w:sz w:val="20"/>
              </w:rPr>
              <w:t>(mob) 557802802</w:t>
            </w:r>
          </w:p>
          <w:p w14:paraId="0774D98E" w14:textId="77777777" w:rsidR="00EA3205" w:rsidRPr="00F31A39" w:rsidRDefault="006A7631" w:rsidP="00EA3205">
            <w:pPr>
              <w:rPr>
                <w:rFonts w:ascii="AcadNusx" w:hAnsi="AcadNusx"/>
                <w:sz w:val="20"/>
              </w:rPr>
            </w:pPr>
            <w:hyperlink r:id="rId63" w:tgtFrame="_blank" w:tooltip="info@armatura.ge" w:history="1">
              <w:r w:rsidR="00EA3205" w:rsidRPr="00F31A39">
                <w:rPr>
                  <w:rFonts w:ascii="Sylfaen" w:hAnsi="Sylfaen"/>
                  <w:sz w:val="20"/>
                </w:rPr>
                <w:t>info@armatura.ge</w:t>
              </w:r>
            </w:hyperlink>
          </w:p>
        </w:tc>
        <w:tc>
          <w:tcPr>
            <w:tcW w:w="3734" w:type="dxa"/>
            <w:hideMark/>
          </w:tcPr>
          <w:p w14:paraId="28CACF64" w14:textId="77777777" w:rsidR="00EA3205" w:rsidRPr="00F31A39" w:rsidRDefault="00EA3205" w:rsidP="00EA3205">
            <w:pPr>
              <w:rPr>
                <w:rFonts w:ascii="AcadNusx" w:hAnsi="AcadNusx"/>
                <w:sz w:val="20"/>
              </w:rPr>
            </w:pPr>
            <w:r w:rsidRPr="00F31A39">
              <w:rPr>
                <w:rFonts w:ascii="AcadNusx" w:hAnsi="AcadNusx"/>
                <w:sz w:val="20"/>
              </w:rPr>
              <w:t>Sps “transkavkasiis kristali”</w:t>
            </w:r>
          </w:p>
          <w:p w14:paraId="0782E8A7" w14:textId="77777777" w:rsidR="00EA3205" w:rsidRPr="00F31A39" w:rsidRDefault="00EA3205" w:rsidP="00EA3205">
            <w:pPr>
              <w:rPr>
                <w:rFonts w:ascii="AcadNusx" w:hAnsi="AcadNusx"/>
                <w:sz w:val="20"/>
              </w:rPr>
            </w:pPr>
            <w:r w:rsidRPr="00F31A39">
              <w:rPr>
                <w:rFonts w:ascii="AcadNusx" w:hAnsi="AcadNusx"/>
                <w:sz w:val="20"/>
              </w:rPr>
              <w:t>Tbilisi, pekinis gamz. 5</w:t>
            </w:r>
          </w:p>
          <w:p w14:paraId="4424006C" w14:textId="77777777" w:rsidR="00EA3205" w:rsidRPr="00F31A39" w:rsidRDefault="00EA3205" w:rsidP="00EA3205">
            <w:pPr>
              <w:rPr>
                <w:rFonts w:ascii="AcadNusx" w:hAnsi="AcadNusx"/>
                <w:sz w:val="20"/>
              </w:rPr>
            </w:pPr>
            <w:r w:rsidRPr="00F31A39">
              <w:rPr>
                <w:rFonts w:ascii="AcadNusx" w:hAnsi="AcadNusx"/>
                <w:sz w:val="20"/>
              </w:rPr>
              <w:t>telefonebi: 2333007; 2333009</w:t>
            </w:r>
          </w:p>
          <w:p w14:paraId="3430FA17" w14:textId="77777777" w:rsidR="00EA3205" w:rsidRPr="00F31A39" w:rsidRDefault="006A7631" w:rsidP="00EA3205">
            <w:pPr>
              <w:rPr>
                <w:rFonts w:ascii="AcadNusx" w:hAnsi="AcadNusx"/>
                <w:sz w:val="20"/>
              </w:rPr>
            </w:pPr>
            <w:hyperlink r:id="rId64" w:tgtFrame="_blank" w:tooltip="ctranscaucasus@yahoo.com" w:history="1">
              <w:r w:rsidR="00EA3205" w:rsidRPr="00F31A39">
                <w:rPr>
                  <w:rFonts w:ascii="Sylfaen" w:hAnsi="Sylfaen"/>
                  <w:sz w:val="20"/>
                </w:rPr>
                <w:t>ctranscaucasus@yahoo.com</w:t>
              </w:r>
            </w:hyperlink>
          </w:p>
        </w:tc>
      </w:tr>
      <w:tr w:rsidR="00EA3205" w:rsidRPr="00F31A39" w14:paraId="68DCB4FF" w14:textId="77777777" w:rsidTr="004B5AC7">
        <w:tc>
          <w:tcPr>
            <w:tcW w:w="3442" w:type="dxa"/>
            <w:hideMark/>
          </w:tcPr>
          <w:p w14:paraId="0131F9AA" w14:textId="77777777" w:rsidR="00EA3205" w:rsidRPr="00F31A39" w:rsidRDefault="00EA3205" w:rsidP="00EA3205">
            <w:pPr>
              <w:rPr>
                <w:rFonts w:ascii="AcadNusx" w:hAnsi="AcadNusx"/>
                <w:sz w:val="20"/>
              </w:rPr>
            </w:pPr>
            <w:r w:rsidRPr="00F31A39">
              <w:rPr>
                <w:rFonts w:ascii="AcadNusx" w:hAnsi="AcadNusx"/>
                <w:sz w:val="20"/>
              </w:rPr>
              <w:t xml:space="preserve">“kavkascementi” / </w:t>
            </w:r>
            <w:r w:rsidRPr="00F31A39">
              <w:rPr>
                <w:rFonts w:ascii="Sylfaen" w:hAnsi="Sylfaen"/>
                <w:sz w:val="20"/>
              </w:rPr>
              <w:t>Caucascement</w:t>
            </w:r>
          </w:p>
          <w:p w14:paraId="7543986A" w14:textId="77777777" w:rsidR="00EA3205" w:rsidRPr="00F31A39" w:rsidRDefault="00EA3205" w:rsidP="00EA3205">
            <w:pPr>
              <w:rPr>
                <w:rFonts w:ascii="AcadNusx" w:hAnsi="AcadNusx"/>
                <w:sz w:val="20"/>
              </w:rPr>
            </w:pPr>
            <w:r w:rsidRPr="00F31A39">
              <w:rPr>
                <w:rFonts w:ascii="AcadNusx" w:hAnsi="AcadNusx"/>
                <w:sz w:val="20"/>
              </w:rPr>
              <w:t xml:space="preserve">Tbilisi, </w:t>
            </w:r>
          </w:p>
          <w:p w14:paraId="3D3B1A69" w14:textId="77777777" w:rsidR="00EA3205" w:rsidRPr="00F31A39" w:rsidRDefault="00EA3205" w:rsidP="00EA3205">
            <w:pPr>
              <w:rPr>
                <w:rFonts w:ascii="AcadNusx" w:hAnsi="AcadNusx"/>
                <w:sz w:val="20"/>
              </w:rPr>
            </w:pPr>
            <w:r w:rsidRPr="00F31A39">
              <w:rPr>
                <w:rFonts w:ascii="AcadNusx" w:hAnsi="AcadNusx"/>
                <w:sz w:val="20"/>
              </w:rPr>
              <w:t>andronikaSvilis q. 29</w:t>
            </w:r>
          </w:p>
          <w:p w14:paraId="1F7115EC" w14:textId="77777777" w:rsidR="00EA3205" w:rsidRPr="00F31A39" w:rsidRDefault="00EA3205" w:rsidP="00EA3205">
            <w:pPr>
              <w:rPr>
                <w:rFonts w:ascii="AcadNusx" w:hAnsi="AcadNusx"/>
                <w:sz w:val="20"/>
              </w:rPr>
            </w:pPr>
            <w:r w:rsidRPr="00F31A39">
              <w:rPr>
                <w:rFonts w:ascii="AcadNusx" w:hAnsi="AcadNusx"/>
                <w:sz w:val="20"/>
              </w:rPr>
              <w:t>telefonebi: 2619090;2629200</w:t>
            </w:r>
          </w:p>
          <w:p w14:paraId="5062C82A" w14:textId="77777777" w:rsidR="00EA3205" w:rsidRPr="00F31A39" w:rsidRDefault="006A7631" w:rsidP="00EA3205">
            <w:pPr>
              <w:rPr>
                <w:rFonts w:ascii="Sylfaen" w:hAnsi="Sylfaen"/>
                <w:sz w:val="20"/>
              </w:rPr>
            </w:pPr>
            <w:hyperlink r:id="rId65" w:tgtFrame="_blank" w:tooltip="info@kavkazcement.ge" w:history="1">
              <w:r w:rsidR="00EA3205" w:rsidRPr="00F31A39">
                <w:rPr>
                  <w:rFonts w:ascii="Sylfaen" w:hAnsi="Sylfaen"/>
                  <w:sz w:val="20"/>
                </w:rPr>
                <w:t>info@kavkazcement.ge</w:t>
              </w:r>
            </w:hyperlink>
          </w:p>
        </w:tc>
        <w:tc>
          <w:tcPr>
            <w:tcW w:w="3483" w:type="dxa"/>
            <w:hideMark/>
          </w:tcPr>
          <w:p w14:paraId="78A5CD65" w14:textId="77777777" w:rsidR="00EA3205" w:rsidRPr="00F31A39" w:rsidRDefault="00EA3205" w:rsidP="00EA3205">
            <w:pPr>
              <w:rPr>
                <w:rFonts w:ascii="AcadNusx" w:hAnsi="AcadNusx"/>
                <w:sz w:val="20"/>
              </w:rPr>
            </w:pPr>
            <w:r w:rsidRPr="00F31A39">
              <w:rPr>
                <w:rFonts w:ascii="AcadNusx" w:hAnsi="AcadNusx"/>
                <w:sz w:val="20"/>
              </w:rPr>
              <w:t>“metal jorjia”</w:t>
            </w:r>
          </w:p>
          <w:p w14:paraId="0BC5893D" w14:textId="77777777" w:rsidR="00EA3205" w:rsidRPr="00F31A39" w:rsidRDefault="00EA3205" w:rsidP="00EA3205">
            <w:pPr>
              <w:rPr>
                <w:rFonts w:ascii="AcadNusx" w:hAnsi="AcadNusx"/>
                <w:sz w:val="20"/>
              </w:rPr>
            </w:pPr>
            <w:r w:rsidRPr="00F31A39">
              <w:rPr>
                <w:rFonts w:ascii="AcadNusx" w:hAnsi="AcadNusx"/>
                <w:sz w:val="20"/>
              </w:rPr>
              <w:t xml:space="preserve">Tbilisi, </w:t>
            </w:r>
          </w:p>
          <w:p w14:paraId="342EB237" w14:textId="77777777" w:rsidR="00EA3205" w:rsidRPr="00F31A39" w:rsidRDefault="00EA3205" w:rsidP="00EA3205">
            <w:pPr>
              <w:rPr>
                <w:rFonts w:ascii="AcadNusx" w:hAnsi="AcadNusx"/>
                <w:sz w:val="20"/>
              </w:rPr>
            </w:pPr>
            <w:r w:rsidRPr="00F31A39">
              <w:rPr>
                <w:rFonts w:ascii="AcadNusx" w:hAnsi="AcadNusx"/>
                <w:sz w:val="20"/>
              </w:rPr>
              <w:t>qinZmaraulis Cixi 5/7</w:t>
            </w:r>
          </w:p>
          <w:p w14:paraId="7E77C5A3" w14:textId="77777777" w:rsidR="00EA3205" w:rsidRPr="00F31A39" w:rsidRDefault="00EA3205" w:rsidP="00EA3205">
            <w:pPr>
              <w:rPr>
                <w:rFonts w:ascii="AcadNusx" w:hAnsi="AcadNusx"/>
                <w:sz w:val="20"/>
              </w:rPr>
            </w:pPr>
            <w:r w:rsidRPr="00F31A39">
              <w:rPr>
                <w:rFonts w:ascii="AcadNusx" w:hAnsi="AcadNusx"/>
                <w:sz w:val="20"/>
              </w:rPr>
              <w:t>Phone - 2715737;2710280</w:t>
            </w:r>
          </w:p>
          <w:p w14:paraId="53E6005D" w14:textId="77777777" w:rsidR="00EA3205" w:rsidRPr="00F31A39" w:rsidRDefault="006A7631" w:rsidP="00EA3205">
            <w:pPr>
              <w:rPr>
                <w:rFonts w:ascii="Sylfaen" w:hAnsi="Sylfaen"/>
                <w:sz w:val="20"/>
              </w:rPr>
            </w:pPr>
            <w:hyperlink r:id="rId66" w:tgtFrame="_blank" w:tooltip="info@mg.com.ge" w:history="1">
              <w:r w:rsidR="00EA3205" w:rsidRPr="00F31A39">
                <w:rPr>
                  <w:rFonts w:ascii="Sylfaen" w:hAnsi="Sylfaen"/>
                  <w:sz w:val="20"/>
                </w:rPr>
                <w:t>info@mg.com.ge</w:t>
              </w:r>
            </w:hyperlink>
          </w:p>
        </w:tc>
        <w:tc>
          <w:tcPr>
            <w:tcW w:w="3734" w:type="dxa"/>
            <w:hideMark/>
          </w:tcPr>
          <w:p w14:paraId="39A8DD42" w14:textId="77777777" w:rsidR="00EA3205" w:rsidRPr="00F31A39" w:rsidRDefault="00EA3205" w:rsidP="00EA3205">
            <w:pPr>
              <w:rPr>
                <w:rFonts w:ascii="AcadNusx" w:hAnsi="AcadNusx"/>
                <w:sz w:val="20"/>
              </w:rPr>
            </w:pPr>
            <w:r w:rsidRPr="00F31A39">
              <w:rPr>
                <w:rFonts w:ascii="AcadNusx" w:hAnsi="AcadNusx"/>
                <w:sz w:val="20"/>
              </w:rPr>
              <w:t>“eviol jorjia”</w:t>
            </w:r>
          </w:p>
          <w:p w14:paraId="1E3CEEEA" w14:textId="77777777" w:rsidR="00EA3205" w:rsidRPr="00F31A39" w:rsidRDefault="00EA3205" w:rsidP="00EA3205">
            <w:pPr>
              <w:rPr>
                <w:rFonts w:ascii="AcadNusx" w:hAnsi="AcadNusx"/>
                <w:sz w:val="20"/>
              </w:rPr>
            </w:pPr>
            <w:r w:rsidRPr="00F31A39">
              <w:rPr>
                <w:rFonts w:ascii="AcadNusx" w:hAnsi="AcadNusx"/>
                <w:sz w:val="20"/>
              </w:rPr>
              <w:t>Tbilisi, TarxniSvilis q. 9</w:t>
            </w:r>
          </w:p>
          <w:p w14:paraId="22A65ADB" w14:textId="77777777" w:rsidR="00EA3205" w:rsidRPr="00F31A39" w:rsidRDefault="00EA3205" w:rsidP="00EA3205">
            <w:pPr>
              <w:rPr>
                <w:rFonts w:ascii="AcadNusx" w:hAnsi="AcadNusx"/>
                <w:sz w:val="20"/>
              </w:rPr>
            </w:pPr>
            <w:r w:rsidRPr="00F31A39">
              <w:rPr>
                <w:rFonts w:ascii="AcadNusx" w:hAnsi="AcadNusx"/>
                <w:sz w:val="20"/>
              </w:rPr>
              <w:t>telefoni: 2434399</w:t>
            </w:r>
          </w:p>
          <w:p w14:paraId="62F840D9" w14:textId="77777777" w:rsidR="00EA3205" w:rsidRPr="00F31A39" w:rsidRDefault="006A7631" w:rsidP="00EA3205">
            <w:pPr>
              <w:rPr>
                <w:rFonts w:ascii="Sylfaen" w:hAnsi="Sylfaen"/>
                <w:sz w:val="20"/>
              </w:rPr>
            </w:pPr>
            <w:hyperlink r:id="rId67" w:tgtFrame="_blank" w:tooltip="info@ev-yol.ge" w:history="1">
              <w:r w:rsidR="00EA3205" w:rsidRPr="00F31A39">
                <w:rPr>
                  <w:rFonts w:ascii="Sylfaen" w:hAnsi="Sylfaen"/>
                  <w:sz w:val="20"/>
                </w:rPr>
                <w:t>info@ev-yol.ge</w:t>
              </w:r>
            </w:hyperlink>
          </w:p>
        </w:tc>
      </w:tr>
      <w:tr w:rsidR="00EA3205" w:rsidRPr="00F31A39" w14:paraId="2E6D52C1" w14:textId="77777777" w:rsidTr="004B5AC7">
        <w:tc>
          <w:tcPr>
            <w:tcW w:w="3442" w:type="dxa"/>
          </w:tcPr>
          <w:p w14:paraId="7618979D" w14:textId="77777777" w:rsidR="00EA3205" w:rsidRPr="00F31A39" w:rsidRDefault="00EA3205" w:rsidP="00EA3205">
            <w:pPr>
              <w:rPr>
                <w:rFonts w:ascii="AcadNusx" w:hAnsi="AcadNusx"/>
                <w:sz w:val="20"/>
              </w:rPr>
            </w:pPr>
          </w:p>
        </w:tc>
        <w:tc>
          <w:tcPr>
            <w:tcW w:w="3483" w:type="dxa"/>
            <w:hideMark/>
          </w:tcPr>
          <w:p w14:paraId="287D6157" w14:textId="77777777" w:rsidR="00EA3205" w:rsidRPr="00F31A39" w:rsidRDefault="00EA3205" w:rsidP="00EA3205">
            <w:pPr>
              <w:rPr>
                <w:rFonts w:ascii="AcadNusx" w:hAnsi="AcadNusx"/>
                <w:sz w:val="20"/>
              </w:rPr>
            </w:pPr>
            <w:r w:rsidRPr="00F31A39">
              <w:rPr>
                <w:rFonts w:ascii="AcadNusx" w:hAnsi="AcadNusx"/>
                <w:sz w:val="20"/>
              </w:rPr>
              <w:t>“orioni”</w:t>
            </w:r>
          </w:p>
          <w:p w14:paraId="6D0C1175" w14:textId="77777777" w:rsidR="00EA3205" w:rsidRPr="00F31A39" w:rsidRDefault="00EA3205" w:rsidP="00EA3205">
            <w:pPr>
              <w:rPr>
                <w:rFonts w:ascii="AcadNusx" w:hAnsi="AcadNusx"/>
                <w:sz w:val="20"/>
              </w:rPr>
            </w:pPr>
            <w:r w:rsidRPr="00F31A39">
              <w:rPr>
                <w:rFonts w:ascii="AcadNusx" w:hAnsi="AcadNusx"/>
                <w:sz w:val="20"/>
              </w:rPr>
              <w:t>Tbilisi, daviT baqraZis q. 6</w:t>
            </w:r>
          </w:p>
          <w:p w14:paraId="0306A0F5" w14:textId="77777777" w:rsidR="00EA3205" w:rsidRPr="00F31A39" w:rsidRDefault="00EA3205" w:rsidP="00EA3205">
            <w:pPr>
              <w:rPr>
                <w:rFonts w:ascii="AcadNusx" w:hAnsi="AcadNusx"/>
                <w:sz w:val="20"/>
              </w:rPr>
            </w:pPr>
            <w:r w:rsidRPr="00F31A39">
              <w:rPr>
                <w:rFonts w:ascii="AcadNusx" w:hAnsi="AcadNusx"/>
                <w:sz w:val="20"/>
              </w:rPr>
              <w:t>telefonebi: 2355144; 2356644, (mob) 574070007;</w:t>
            </w:r>
          </w:p>
          <w:p w14:paraId="30597666" w14:textId="77777777" w:rsidR="00EA3205" w:rsidRPr="00F31A39" w:rsidRDefault="006A7631" w:rsidP="00EA3205">
            <w:pPr>
              <w:rPr>
                <w:rFonts w:ascii="Sylfaen" w:hAnsi="Sylfaen"/>
                <w:sz w:val="20"/>
              </w:rPr>
            </w:pPr>
            <w:hyperlink r:id="rId68" w:tgtFrame="_blank" w:tooltip="info@orionmittal.com" w:history="1">
              <w:r w:rsidR="00EA3205" w:rsidRPr="00F31A39">
                <w:rPr>
                  <w:rFonts w:ascii="Sylfaen" w:hAnsi="Sylfaen"/>
                  <w:sz w:val="20"/>
                </w:rPr>
                <w:t>info@orionmittal.com</w:t>
              </w:r>
            </w:hyperlink>
          </w:p>
        </w:tc>
        <w:tc>
          <w:tcPr>
            <w:tcW w:w="3734" w:type="dxa"/>
          </w:tcPr>
          <w:p w14:paraId="73200504" w14:textId="77777777" w:rsidR="00EA3205" w:rsidRPr="00F31A39" w:rsidRDefault="00EA3205" w:rsidP="00EA3205">
            <w:pPr>
              <w:rPr>
                <w:rFonts w:ascii="AcadNusx" w:hAnsi="AcadNusx"/>
                <w:sz w:val="20"/>
              </w:rPr>
            </w:pPr>
          </w:p>
        </w:tc>
      </w:tr>
    </w:tbl>
    <w:p w14:paraId="330C89F6" w14:textId="77777777" w:rsidR="00EA3205" w:rsidRPr="00B05F62" w:rsidRDefault="00EA3205" w:rsidP="00EA3205">
      <w:pPr>
        <w:rPr>
          <w:rFonts w:ascii="AcadNusx" w:hAnsi="AcadNusx"/>
        </w:rPr>
      </w:pPr>
    </w:p>
    <w:p w14:paraId="03155FAA" w14:textId="286B2032" w:rsidR="00EA3205" w:rsidRPr="00F31A39" w:rsidRDefault="00EA3205" w:rsidP="00B33417">
      <w:pPr>
        <w:pStyle w:val="Heading3"/>
        <w:rPr>
          <w:rFonts w:ascii="AcadNusx" w:hAnsi="AcadNusx"/>
        </w:rPr>
      </w:pPr>
      <w:bookmarkStart w:id="140" w:name="_Toc1581521"/>
      <w:r w:rsidRPr="00F31A39">
        <w:rPr>
          <w:rFonts w:ascii="AcadNusx" w:hAnsi="AcadNusx"/>
        </w:rPr>
        <w:t>4.</w:t>
      </w:r>
      <w:r w:rsidR="00B33417" w:rsidRPr="00F31A39">
        <w:rPr>
          <w:rFonts w:ascii="AcadNusx" w:hAnsi="AcadNusx"/>
        </w:rPr>
        <w:t>1</w:t>
      </w:r>
      <w:r w:rsidR="00485FE3">
        <w:rPr>
          <w:rFonts w:ascii="Sylfaen" w:hAnsi="Sylfaen"/>
          <w:lang w:val="ka-GE"/>
        </w:rPr>
        <w:t>2</w:t>
      </w:r>
      <w:r w:rsidRPr="00F31A39">
        <w:rPr>
          <w:rFonts w:ascii="AcadNusx" w:hAnsi="AcadNusx"/>
        </w:rPr>
        <w:t>.4</w:t>
      </w:r>
      <w:r w:rsidRPr="00F31A39">
        <w:rPr>
          <w:rFonts w:ascii="AcadNusx" w:hAnsi="AcadNusx"/>
        </w:rPr>
        <w:tab/>
      </w:r>
      <w:r w:rsidR="00485FE3">
        <w:rPr>
          <w:rFonts w:ascii="Sylfaen" w:hAnsi="Sylfaen"/>
          <w:lang w:val="ka-GE"/>
        </w:rPr>
        <w:t>ნორმები და სტანდარტები</w:t>
      </w:r>
      <w:bookmarkEnd w:id="140"/>
    </w:p>
    <w:p w14:paraId="34259B26" w14:textId="77777777" w:rsidR="00EA3205" w:rsidRPr="00B05F62" w:rsidRDefault="00EA3205" w:rsidP="00B33417">
      <w:pPr>
        <w:spacing w:before="120" w:after="120"/>
        <w:rPr>
          <w:rFonts w:ascii="AcadNusx" w:hAnsi="AcadNusx"/>
          <w:lang w:val="pt-BR"/>
        </w:rPr>
      </w:pPr>
      <w:r w:rsidRPr="00B05F62">
        <w:rPr>
          <w:rFonts w:ascii="AcadNusx" w:hAnsi="AcadNusx"/>
        </w:rPr>
        <w:t>damoukideblobis mopovebamde, saqarTveloSi da amierkavkasiis sxva respublikebSi xidebis proeqtirebis sakiTxebi regulirdeboda “samSeneblo normebiT da wesebiT” (“sndw”/</w:t>
      </w:r>
      <w:r w:rsidRPr="00B05F62">
        <w:rPr>
          <w:rFonts w:ascii="Cambria" w:hAnsi="Cambria" w:cs="Cambria"/>
        </w:rPr>
        <w:t>СНиП</w:t>
      </w:r>
      <w:r w:rsidRPr="00B05F62">
        <w:rPr>
          <w:rFonts w:ascii="AcadNusx" w:hAnsi="AcadNusx"/>
        </w:rPr>
        <w:t>).  damoukideblobis mopovebis Semdeg, xidebis proeqtirebis normebi calke saxiT miRebuli jer kidev ar aris da sanacvlod saxide nagebobebis proeqtirebisas Sereuli saxiT gamoiyeneba Sesabamisi amerikuli da evropuli standartebi. farTod aris aprobirebuli HL93 tipis standartuli sakontrolo satransporto datvirTva, romelic ganmartebulia “aSS-is sagzao-satransporto organizaciebis xelmZRvaneli pirebis gaerTianebis” (</w:t>
      </w:r>
      <w:r w:rsidRPr="00F31A39">
        <w:rPr>
          <w:rFonts w:ascii="Sylfaen" w:hAnsi="Sylfaen"/>
        </w:rPr>
        <w:t>AASHTO</w:t>
      </w:r>
      <w:r w:rsidRPr="00B05F62">
        <w:rPr>
          <w:rFonts w:ascii="AcadNusx" w:hAnsi="AcadNusx"/>
        </w:rPr>
        <w:t>) mier miRebul normatiul dokumentSi “nagebobebis proeqtireba datvirTvis da winaaRmdegobis koeficientebis gamoyenebiT” (</w:t>
      </w:r>
      <w:r w:rsidRPr="00F31A39">
        <w:rPr>
          <w:rFonts w:ascii="Sylfaen" w:hAnsi="Sylfaen"/>
        </w:rPr>
        <w:t>LRFD</w:t>
      </w:r>
      <w:r w:rsidRPr="00B05F62">
        <w:rPr>
          <w:rFonts w:ascii="AcadNusx" w:hAnsi="AcadNusx"/>
        </w:rPr>
        <w:t>). aRniSnuli sakontrolo datvirTvis gamoyenebiT gaangariSebuli xidebi, romlebic agebulia rogorc saxelmwifo, aseve saerTaSoriso dafinansebiT ganxorcielebuli proeqtebis farglebSi, damakmayofileblad funqcionireben.</w:t>
      </w:r>
    </w:p>
    <w:p w14:paraId="0909F9AE" w14:textId="77777777" w:rsidR="00EA3205" w:rsidRPr="00B33417" w:rsidRDefault="00EA3205" w:rsidP="00B33417">
      <w:pPr>
        <w:spacing w:before="120" w:after="120"/>
        <w:rPr>
          <w:rFonts w:ascii="AcadNusx" w:hAnsi="AcadNusx"/>
          <w:lang w:val="pt-BR"/>
        </w:rPr>
      </w:pPr>
      <w:r w:rsidRPr="00B33417">
        <w:rPr>
          <w:rFonts w:ascii="AcadNusx" w:hAnsi="AcadNusx"/>
          <w:lang w:val="pt-BR"/>
        </w:rPr>
        <w:t xml:space="preserve">konsultanti iTvaliswinebs xidebis proeqtirebas </w:t>
      </w:r>
      <w:r w:rsidRPr="00F31A39">
        <w:rPr>
          <w:rFonts w:ascii="Sylfaen" w:hAnsi="Sylfaen"/>
          <w:lang w:val="pt-BR"/>
        </w:rPr>
        <w:t>AASHTO</w:t>
      </w:r>
      <w:r w:rsidRPr="00B33417">
        <w:rPr>
          <w:rFonts w:ascii="AcadNusx" w:hAnsi="AcadNusx"/>
          <w:lang w:val="pt-BR"/>
        </w:rPr>
        <w:t>-s/</w:t>
      </w:r>
      <w:r w:rsidRPr="00F31A39">
        <w:rPr>
          <w:rFonts w:ascii="Sylfaen" w:hAnsi="Sylfaen"/>
          <w:lang w:val="pt-BR"/>
        </w:rPr>
        <w:t>LRFD</w:t>
      </w:r>
      <w:r w:rsidRPr="00B33417">
        <w:rPr>
          <w:rFonts w:ascii="AcadNusx" w:hAnsi="AcadNusx"/>
          <w:lang w:val="pt-BR"/>
        </w:rPr>
        <w:t>-is “xidebis proeqtirebis specifikaciebis” Sesabamisad, romelSic warmodgenilia maqsimaluri datvirTvebis Semdegi sakontrolo uzrunvelyofis (ganmeorebadobis) sidideebi:</w:t>
      </w:r>
    </w:p>
    <w:p w14:paraId="78026CD2" w14:textId="77777777" w:rsidR="00EA3205" w:rsidRPr="00B05F62" w:rsidRDefault="00EA3205" w:rsidP="00B33417">
      <w:pPr>
        <w:spacing w:before="120" w:after="120"/>
        <w:rPr>
          <w:rFonts w:ascii="AcadNusx" w:hAnsi="AcadNusx"/>
          <w:lang w:val="en-US"/>
        </w:rPr>
      </w:pPr>
      <w:r w:rsidRPr="00B33417">
        <w:rPr>
          <w:rFonts w:ascii="Sylfaen" w:hAnsi="Sylfaen"/>
        </w:rPr>
        <w:t>HL</w:t>
      </w:r>
      <w:r w:rsidRPr="00B05F62">
        <w:rPr>
          <w:rFonts w:ascii="AcadNusx" w:hAnsi="AcadNusx"/>
        </w:rPr>
        <w:t>-93 tipis saangariSo datvirTva – 75-wliani ganmeorebadobis maqsimaluri dinamikuri datvirTva;</w:t>
      </w:r>
    </w:p>
    <w:p w14:paraId="1015A356" w14:textId="77777777" w:rsidR="00EA3205" w:rsidRPr="00B05F62" w:rsidRDefault="00EA3205" w:rsidP="00B33417">
      <w:pPr>
        <w:spacing w:before="120" w:after="120"/>
        <w:rPr>
          <w:rFonts w:ascii="AcadNusx" w:hAnsi="AcadNusx"/>
        </w:rPr>
      </w:pPr>
      <w:r w:rsidRPr="00B05F62">
        <w:rPr>
          <w:rFonts w:ascii="AcadNusx" w:hAnsi="AcadNusx"/>
        </w:rPr>
        <w:t>saangariSo miwisZvris intensiuroba – 75 wlis ganmavlobaSi gadaWarbebis 7%-iani albaTobi (1000-wliani ganmeorebadobis) seismuri movlena;</w:t>
      </w:r>
    </w:p>
    <w:p w14:paraId="2927D536" w14:textId="77777777" w:rsidR="00EA3205" w:rsidRPr="00B05F62" w:rsidRDefault="00EA3205" w:rsidP="00B33417">
      <w:pPr>
        <w:spacing w:before="120" w:after="120"/>
        <w:rPr>
          <w:rFonts w:ascii="AcadNusx" w:hAnsi="AcadNusx"/>
        </w:rPr>
      </w:pPr>
      <w:r w:rsidRPr="00B05F62">
        <w:rPr>
          <w:rFonts w:ascii="AcadNusx" w:hAnsi="AcadNusx"/>
        </w:rPr>
        <w:t>saangariSo qari – 50-wliani ganmeorebadobis;</w:t>
      </w:r>
    </w:p>
    <w:p w14:paraId="782B5094" w14:textId="77777777" w:rsidR="00EA3205" w:rsidRPr="00B05F62" w:rsidRDefault="00EA3205" w:rsidP="00B33417">
      <w:pPr>
        <w:spacing w:before="120" w:after="120"/>
        <w:rPr>
          <w:rFonts w:ascii="AcadNusx" w:hAnsi="AcadNusx"/>
        </w:rPr>
      </w:pPr>
      <w:r w:rsidRPr="00B05F62">
        <w:rPr>
          <w:rFonts w:ascii="AcadNusx" w:hAnsi="AcadNusx"/>
        </w:rPr>
        <w:t>saangariSo wyaldidoba – 100-wliani ganmeorebadobis.</w:t>
      </w:r>
    </w:p>
    <w:p w14:paraId="3523548C" w14:textId="77777777" w:rsidR="00EA3205" w:rsidRPr="00B05F62" w:rsidRDefault="00EA3205" w:rsidP="00B33417">
      <w:pPr>
        <w:spacing w:before="120" w:after="120"/>
        <w:rPr>
          <w:rFonts w:ascii="AcadNusx" w:hAnsi="AcadNusx"/>
        </w:rPr>
      </w:pPr>
      <w:r w:rsidRPr="00B05F62">
        <w:rPr>
          <w:rFonts w:ascii="AcadNusx" w:hAnsi="AcadNusx"/>
        </w:rPr>
        <w:lastRenderedPageBreak/>
        <w:t>datvirTvebis Sefasebisa da nagebobebis winaswari proeqtirebis mizniT, zogadad, mxedvelobaSi miiReba Semdegi standartebis moTxovnebi:</w:t>
      </w:r>
    </w:p>
    <w:p w14:paraId="739114E1" w14:textId="77777777" w:rsidR="00EA3205" w:rsidRPr="00B33417" w:rsidRDefault="00EA3205" w:rsidP="00B33417">
      <w:pPr>
        <w:spacing w:before="120" w:after="120"/>
        <w:rPr>
          <w:rFonts w:ascii="Sylfaen" w:hAnsi="Sylfaen"/>
        </w:rPr>
      </w:pPr>
      <w:r w:rsidRPr="00B33417">
        <w:rPr>
          <w:rFonts w:ascii="Sylfaen" w:hAnsi="Sylfaen"/>
        </w:rPr>
        <w:t>AASHTO LRFD Bridge Design Specification (SI Units)/2007</w:t>
      </w:r>
    </w:p>
    <w:p w14:paraId="1FDAFEDD" w14:textId="77777777" w:rsidR="00EA3205" w:rsidRPr="00B05F62" w:rsidRDefault="00EA3205" w:rsidP="00B33417">
      <w:pPr>
        <w:spacing w:before="120" w:after="120"/>
        <w:rPr>
          <w:rFonts w:ascii="AcadNusx" w:hAnsi="AcadNusx"/>
        </w:rPr>
      </w:pPr>
      <w:r w:rsidRPr="00B33417">
        <w:rPr>
          <w:rFonts w:ascii="Sylfaen" w:hAnsi="Sylfaen"/>
        </w:rPr>
        <w:t>AASHTO</w:t>
      </w:r>
      <w:r w:rsidRPr="00B33417">
        <w:rPr>
          <w:rFonts w:ascii="AcadNusx" w:hAnsi="AcadNusx"/>
        </w:rPr>
        <w:t>-s</w:t>
      </w:r>
      <w:r w:rsidRPr="00B33417">
        <w:rPr>
          <w:rFonts w:ascii="Sylfaen" w:hAnsi="Sylfaen"/>
        </w:rPr>
        <w:t xml:space="preserve"> LRF</w:t>
      </w:r>
      <w:r w:rsidRPr="00B05F62">
        <w:rPr>
          <w:rFonts w:ascii="AcadNusx" w:hAnsi="AcadNusx"/>
        </w:rPr>
        <w:t>D-is “xidebis proeqtirebis specifikaciebi” (SI erTeulebSi), 2007w.</w:t>
      </w:r>
    </w:p>
    <w:p w14:paraId="2F703955" w14:textId="77777777" w:rsidR="00EA3205" w:rsidRPr="00B33417" w:rsidRDefault="00EA3205" w:rsidP="00B33417">
      <w:pPr>
        <w:spacing w:before="120" w:after="120"/>
        <w:rPr>
          <w:rFonts w:ascii="Sylfaen" w:hAnsi="Sylfaen"/>
        </w:rPr>
      </w:pPr>
      <w:r w:rsidRPr="00B33417">
        <w:rPr>
          <w:rFonts w:ascii="Sylfaen" w:hAnsi="Sylfaen"/>
        </w:rPr>
        <w:t>AASHTO Guide Specifications for LRFD Seismic Bridge Design – 2011</w:t>
      </w:r>
    </w:p>
    <w:p w14:paraId="7F542B92" w14:textId="77777777" w:rsidR="00EA3205" w:rsidRPr="00B05F62" w:rsidRDefault="00EA3205" w:rsidP="00B33417">
      <w:pPr>
        <w:spacing w:before="120" w:after="120"/>
        <w:rPr>
          <w:rFonts w:ascii="AcadNusx" w:hAnsi="AcadNusx"/>
          <w:lang w:val="de-DE"/>
        </w:rPr>
      </w:pPr>
      <w:r w:rsidRPr="00B33417">
        <w:rPr>
          <w:rFonts w:ascii="Sylfaen" w:hAnsi="Sylfaen"/>
        </w:rPr>
        <w:t>AASHTO</w:t>
      </w:r>
      <w:r w:rsidRPr="00B05F62">
        <w:rPr>
          <w:rFonts w:ascii="AcadNusx" w:hAnsi="AcadNusx"/>
        </w:rPr>
        <w:t>-s “saxelmZRvanelo specifikaciebi xidebis seismomedegi proeqtirebisTvis datvirTvebis da winaaRmdegobebis koeficientebis gamoyenebiT”, 2011 w.</w:t>
      </w:r>
    </w:p>
    <w:p w14:paraId="5B187AFF" w14:textId="77777777" w:rsidR="00EA3205" w:rsidRPr="00B05F62" w:rsidRDefault="00EA3205" w:rsidP="00B33417">
      <w:pPr>
        <w:spacing w:before="120" w:after="120"/>
        <w:rPr>
          <w:rFonts w:ascii="AcadNusx" w:hAnsi="AcadNusx"/>
          <w:lang w:val="de-DE"/>
        </w:rPr>
      </w:pPr>
      <w:r w:rsidRPr="00B05F62">
        <w:rPr>
          <w:rFonts w:ascii="AcadNusx" w:hAnsi="AcadNusx"/>
          <w:lang w:val="de-DE"/>
        </w:rPr>
        <w:t>sndw “xidebi da milebi” (</w:t>
      </w:r>
      <w:r w:rsidRPr="00B05F62">
        <w:rPr>
          <w:rFonts w:ascii="Cambria" w:hAnsi="Cambria" w:cs="Cambria"/>
        </w:rPr>
        <w:t>СНиП</w:t>
      </w:r>
      <w:r w:rsidRPr="00B05F62">
        <w:rPr>
          <w:rFonts w:ascii="AcadNusx" w:hAnsi="AcadNusx"/>
          <w:lang w:val="de-DE"/>
        </w:rPr>
        <w:t xml:space="preserve"> 2.05.03-84). aRniSnuli standartidan gamoiyeneba mxolod NK-100 tipis normatiuli dinamikuri datvirTvebis monacemebi, romlebic saWiroa xidis datvirTvebze reaqciis gasaangariSeblad. </w:t>
      </w:r>
    </w:p>
    <w:p w14:paraId="55336552" w14:textId="77777777" w:rsidR="00EA3205" w:rsidRPr="00B05F62" w:rsidRDefault="00EA3205" w:rsidP="00B33417">
      <w:pPr>
        <w:spacing w:before="120" w:after="120"/>
        <w:rPr>
          <w:rFonts w:ascii="AcadNusx" w:hAnsi="AcadNusx"/>
        </w:rPr>
      </w:pPr>
      <w:r w:rsidRPr="00B05F62">
        <w:rPr>
          <w:rFonts w:ascii="AcadNusx" w:hAnsi="AcadNusx"/>
        </w:rPr>
        <w:t>samSeneblo normebi da wesebi “seismomedegi mSenebloba” (pn 01.01.09)</w:t>
      </w:r>
    </w:p>
    <w:p w14:paraId="645AA882" w14:textId="77777777" w:rsidR="00EA3205" w:rsidRPr="00B05F62" w:rsidRDefault="00EA3205" w:rsidP="00B33417">
      <w:pPr>
        <w:spacing w:before="120" w:after="120"/>
        <w:rPr>
          <w:rFonts w:ascii="AcadNusx" w:hAnsi="AcadNusx"/>
          <w:lang w:val="en-US" w:bidi="bn-BD"/>
        </w:rPr>
      </w:pPr>
      <w:r w:rsidRPr="00B05F62">
        <w:rPr>
          <w:rFonts w:ascii="AcadNusx" w:hAnsi="AcadNusx"/>
        </w:rPr>
        <w:t xml:space="preserve">zemoT CamoTvlil normatiuli dokumentebis calkeul debulebebs Soris raime winaaRmdegobis arsebobis SemTxvevaSi, upiratesoba eniWeba </w:t>
      </w:r>
      <w:r w:rsidRPr="00B33417">
        <w:rPr>
          <w:rFonts w:ascii="Sylfaen" w:hAnsi="Sylfaen"/>
        </w:rPr>
        <w:t>AASHTO</w:t>
      </w:r>
      <w:r w:rsidRPr="00B05F62">
        <w:rPr>
          <w:rFonts w:ascii="AcadNusx" w:hAnsi="AcadNusx"/>
        </w:rPr>
        <w:t xml:space="preserve">-s </w:t>
      </w:r>
      <w:r w:rsidRPr="00B33417">
        <w:rPr>
          <w:rFonts w:ascii="Sylfaen" w:hAnsi="Sylfaen"/>
        </w:rPr>
        <w:t>LRFD</w:t>
      </w:r>
      <w:r w:rsidRPr="00B05F62">
        <w:rPr>
          <w:rFonts w:ascii="AcadNusx" w:hAnsi="AcadNusx"/>
        </w:rPr>
        <w:t>-is “xidebis proeqtirebis specifikaciebs” (2007 w.)</w:t>
      </w:r>
    </w:p>
    <w:p w14:paraId="04FF5FB1" w14:textId="77777777" w:rsidR="00EA3205" w:rsidRPr="00B05F62" w:rsidRDefault="00EA3205" w:rsidP="00EA3205">
      <w:pPr>
        <w:rPr>
          <w:rFonts w:ascii="AcadNusx" w:hAnsi="AcadNusx"/>
        </w:rPr>
      </w:pPr>
    </w:p>
    <w:p w14:paraId="1DDE927E" w14:textId="62E78AAA" w:rsidR="00EA3205" w:rsidRPr="00B33417" w:rsidRDefault="00EA3205" w:rsidP="00B33417">
      <w:pPr>
        <w:pStyle w:val="Heading3"/>
        <w:rPr>
          <w:rFonts w:ascii="AcadNusx" w:hAnsi="AcadNusx"/>
        </w:rPr>
      </w:pPr>
      <w:bookmarkStart w:id="141" w:name="_Toc1581522"/>
      <w:r w:rsidRPr="00B05F62">
        <w:t>4.</w:t>
      </w:r>
      <w:r w:rsidR="00B33417">
        <w:t>1</w:t>
      </w:r>
      <w:r w:rsidR="00485FE3">
        <w:rPr>
          <w:rFonts w:ascii="Sylfaen" w:hAnsi="Sylfaen"/>
          <w:lang w:val="ka-GE"/>
        </w:rPr>
        <w:t>2</w:t>
      </w:r>
      <w:r w:rsidR="00B33417">
        <w:t>.5</w:t>
      </w:r>
      <w:r w:rsidRPr="00B05F62">
        <w:tab/>
      </w:r>
      <w:r w:rsidR="00485FE3">
        <w:rPr>
          <w:rFonts w:ascii="Sylfaen" w:hAnsi="Sylfaen"/>
          <w:lang w:val="ka-GE"/>
        </w:rPr>
        <w:t>სამშენებლო მასალები</w:t>
      </w:r>
      <w:bookmarkEnd w:id="141"/>
      <w:r w:rsidR="00485FE3">
        <w:rPr>
          <w:rFonts w:ascii="Sylfaen" w:hAnsi="Sylfaen"/>
          <w:lang w:val="ka-GE"/>
        </w:rPr>
        <w:t xml:space="preserve"> </w:t>
      </w:r>
    </w:p>
    <w:p w14:paraId="5E0C344F" w14:textId="77777777" w:rsidR="00EA3205" w:rsidRPr="00B05F62" w:rsidRDefault="00EA3205" w:rsidP="00B33417">
      <w:pPr>
        <w:spacing w:before="120" w:after="120"/>
        <w:rPr>
          <w:rFonts w:ascii="AcadNusx" w:hAnsi="AcadNusx"/>
        </w:rPr>
      </w:pPr>
      <w:r w:rsidRPr="00B05F62">
        <w:rPr>
          <w:rFonts w:ascii="AcadNusx" w:hAnsi="AcadNusx"/>
        </w:rPr>
        <w:t>qvemoT warmodgenilia saxido nagebobebis ZiriTadi samSeneblo masalebis maxasiaTeblebi.</w:t>
      </w:r>
    </w:p>
    <w:p w14:paraId="47C70F0A" w14:textId="77777777" w:rsidR="00EA3205" w:rsidRPr="007D01FB" w:rsidRDefault="00EA3205" w:rsidP="00B33417">
      <w:pPr>
        <w:spacing w:before="120" w:after="120"/>
        <w:rPr>
          <w:rFonts w:ascii="AcadNusx" w:hAnsi="AcadNusx"/>
          <w:b/>
        </w:rPr>
      </w:pPr>
      <w:r w:rsidRPr="007D01FB">
        <w:rPr>
          <w:rFonts w:ascii="AcadNusx" w:eastAsia="Calibri" w:hAnsi="AcadNusx"/>
          <w:b/>
        </w:rPr>
        <w:t>betoni</w:t>
      </w:r>
    </w:p>
    <w:p w14:paraId="13D4C507" w14:textId="77777777" w:rsidR="00EA3205" w:rsidRPr="00B05F62" w:rsidRDefault="00EA3205" w:rsidP="00B33417">
      <w:pPr>
        <w:spacing w:before="120" w:after="120"/>
        <w:rPr>
          <w:rFonts w:ascii="AcadNusx" w:hAnsi="AcadNusx"/>
        </w:rPr>
      </w:pPr>
      <w:r w:rsidRPr="00B05F62">
        <w:rPr>
          <w:rFonts w:ascii="AcadNusx" w:hAnsi="AcadNusx"/>
        </w:rPr>
        <w:t xml:space="preserve">zogadad, xidis konstruqciuli elementebis betonis saangariSo simtkiceebi ganisazRvra </w:t>
      </w:r>
      <w:r w:rsidRPr="00B33417">
        <w:rPr>
          <w:rFonts w:ascii="Sylfaen" w:hAnsi="Sylfaen"/>
        </w:rPr>
        <w:t>AASHTO-</w:t>
      </w:r>
      <w:r w:rsidRPr="00B33417">
        <w:rPr>
          <w:rFonts w:ascii="AcadNusx" w:hAnsi="AcadNusx"/>
        </w:rPr>
        <w:t>s</w:t>
      </w:r>
      <w:r w:rsidRPr="00B33417">
        <w:rPr>
          <w:rFonts w:ascii="Sylfaen" w:hAnsi="Sylfaen"/>
        </w:rPr>
        <w:t>/LRFD</w:t>
      </w:r>
      <w:r w:rsidRPr="00B05F62">
        <w:rPr>
          <w:rFonts w:ascii="AcadNusx" w:hAnsi="AcadNusx"/>
        </w:rPr>
        <w:t>-is 5.4.2 punqtis Sesabamisad. kerZod, proeqtirebis procesSi gamoyenebisTvis gaTvaliswinebulia Semdegi markebis betonebis gamoyeneba:</w:t>
      </w:r>
    </w:p>
    <w:p w14:paraId="649757E9" w14:textId="647B1C06" w:rsidR="00EA3205" w:rsidRPr="00B33417" w:rsidRDefault="00505BED" w:rsidP="00B33417">
      <w:pPr>
        <w:spacing w:before="120" w:after="120"/>
        <w:rPr>
          <w:rFonts w:ascii="Sylfaen" w:hAnsi="Sylfaen"/>
        </w:rPr>
      </w:pPr>
      <w:r>
        <w:rPr>
          <w:rFonts w:ascii="AcadNusx" w:hAnsi="AcadNusx"/>
        </w:rPr>
        <w:t xml:space="preserve">Sualedi burji/kedeli </w:t>
      </w:r>
      <w:r w:rsidR="00EA3205" w:rsidRPr="00B33417">
        <w:rPr>
          <w:rFonts w:ascii="Sylfaen" w:hAnsi="Sylfaen"/>
        </w:rPr>
        <w:t xml:space="preserve">C30/37 </w:t>
      </w:r>
    </w:p>
    <w:p w14:paraId="1D147298" w14:textId="7498369A" w:rsidR="00EA3205" w:rsidRPr="00B33417" w:rsidRDefault="00EA3205" w:rsidP="00B33417">
      <w:pPr>
        <w:spacing w:before="120" w:after="120"/>
        <w:rPr>
          <w:rFonts w:ascii="Sylfaen" w:hAnsi="Sylfaen"/>
        </w:rPr>
      </w:pPr>
      <w:r w:rsidRPr="00B05F62">
        <w:rPr>
          <w:rFonts w:ascii="AcadNusx" w:hAnsi="AcadNusx"/>
        </w:rPr>
        <w:t>ximinji/ximinjis Ziri</w:t>
      </w:r>
      <w:r w:rsidR="00505BED">
        <w:rPr>
          <w:rFonts w:ascii="Sylfaen" w:hAnsi="Sylfaen"/>
          <w:lang w:val="ka-GE"/>
        </w:rPr>
        <w:t xml:space="preserve"> </w:t>
      </w:r>
      <w:r w:rsidRPr="00B33417">
        <w:rPr>
          <w:rFonts w:ascii="Sylfaen" w:hAnsi="Sylfaen"/>
        </w:rPr>
        <w:t>C25/30</w:t>
      </w:r>
    </w:p>
    <w:p w14:paraId="347CE8BE" w14:textId="2B22615A" w:rsidR="00EA3205" w:rsidRPr="00B33417" w:rsidRDefault="00505BED" w:rsidP="00B33417">
      <w:pPr>
        <w:spacing w:before="120" w:after="120"/>
        <w:rPr>
          <w:rFonts w:ascii="Sylfaen" w:hAnsi="Sylfaen"/>
        </w:rPr>
      </w:pPr>
      <w:r>
        <w:rPr>
          <w:rFonts w:ascii="AcadNusx" w:hAnsi="AcadNusx"/>
        </w:rPr>
        <w:t xml:space="preserve">malis naSeni / xidis fenili </w:t>
      </w:r>
      <w:r w:rsidR="00EA3205" w:rsidRPr="00B33417">
        <w:rPr>
          <w:rFonts w:ascii="Sylfaen" w:hAnsi="Sylfaen"/>
        </w:rPr>
        <w:t>C30/37</w:t>
      </w:r>
    </w:p>
    <w:p w14:paraId="36F98B5A" w14:textId="21B51CB5" w:rsidR="00EA3205" w:rsidRPr="00B33417" w:rsidRDefault="00EA3205" w:rsidP="00B33417">
      <w:pPr>
        <w:spacing w:before="120" w:after="120"/>
        <w:rPr>
          <w:rFonts w:ascii="Sylfaen" w:hAnsi="Sylfaen"/>
        </w:rPr>
      </w:pPr>
      <w:r w:rsidRPr="00B05F62">
        <w:rPr>
          <w:rFonts w:ascii="AcadNusx" w:hAnsi="AcadNusx"/>
        </w:rPr>
        <w:t>yvela sxva elementi, Tu sxvagvarad ar aris gansazRvruli</w:t>
      </w:r>
      <w:r w:rsidR="00505BED">
        <w:rPr>
          <w:rFonts w:ascii="Sylfaen" w:hAnsi="Sylfaen"/>
          <w:lang w:val="ka-GE"/>
        </w:rPr>
        <w:t xml:space="preserve"> </w:t>
      </w:r>
      <w:r w:rsidRPr="00B33417">
        <w:rPr>
          <w:rFonts w:ascii="Sylfaen" w:hAnsi="Sylfaen"/>
        </w:rPr>
        <w:t>C25/30</w:t>
      </w:r>
    </w:p>
    <w:p w14:paraId="1E63DCBB" w14:textId="4722347A" w:rsidR="00EA3205" w:rsidRPr="00B33417" w:rsidRDefault="00505BED" w:rsidP="00B33417">
      <w:pPr>
        <w:spacing w:before="120" w:after="120"/>
        <w:rPr>
          <w:rFonts w:ascii="Sylfaen" w:hAnsi="Sylfaen"/>
        </w:rPr>
      </w:pPr>
      <w:r>
        <w:rPr>
          <w:rFonts w:ascii="AcadNusx" w:hAnsi="AcadNusx"/>
        </w:rPr>
        <w:t>mWle betoni</w:t>
      </w:r>
      <w:r>
        <w:rPr>
          <w:rFonts w:ascii="AcadNusx" w:hAnsi="AcadNusx"/>
        </w:rPr>
        <w:tab/>
        <w:t xml:space="preserve"> </w:t>
      </w:r>
      <w:r w:rsidR="00EA3205" w:rsidRPr="00B33417">
        <w:rPr>
          <w:rFonts w:ascii="Sylfaen" w:hAnsi="Sylfaen"/>
        </w:rPr>
        <w:t>C12/15</w:t>
      </w:r>
    </w:p>
    <w:p w14:paraId="3F7C0FF2" w14:textId="77777777" w:rsidR="00EA3205" w:rsidRPr="00B05F62" w:rsidRDefault="00EA3205" w:rsidP="00B33417">
      <w:pPr>
        <w:spacing w:before="120" w:after="120"/>
        <w:rPr>
          <w:rFonts w:ascii="AcadNusx" w:hAnsi="AcadNusx"/>
        </w:rPr>
      </w:pPr>
      <w:r w:rsidRPr="00B05F62">
        <w:rPr>
          <w:rFonts w:ascii="AcadNusx" w:hAnsi="AcadNusx"/>
        </w:rPr>
        <w:t xml:space="preserve">betonis markebis </w:t>
      </w:r>
      <w:r w:rsidRPr="00B33417">
        <w:rPr>
          <w:rFonts w:ascii="Sylfaen" w:hAnsi="Sylfaen"/>
        </w:rPr>
        <w:t>CX/Y</w:t>
      </w:r>
      <w:r w:rsidRPr="00B05F62">
        <w:rPr>
          <w:rFonts w:ascii="AcadNusx" w:hAnsi="AcadNusx"/>
        </w:rPr>
        <w:t xml:space="preserve"> saxis aRniSvnaSi, pirveli da meore asoebi miuTiTeben betonis 28-dRiani cilindruli (X) da kubis formis (</w:t>
      </w:r>
      <w:r w:rsidRPr="00B33417">
        <w:rPr>
          <w:rFonts w:ascii="Sylfaen" w:hAnsi="Sylfaen"/>
        </w:rPr>
        <w:t>Y</w:t>
      </w:r>
      <w:r w:rsidRPr="00B05F62">
        <w:rPr>
          <w:rFonts w:ascii="AcadNusx" w:hAnsi="AcadNusx"/>
        </w:rPr>
        <w:t xml:space="preserve">) nimuSebis simtkiceebs. </w:t>
      </w:r>
    </w:p>
    <w:p w14:paraId="64B365D6" w14:textId="77777777" w:rsidR="00EA3205" w:rsidRPr="00B05F62" w:rsidRDefault="00EA3205" w:rsidP="00B33417">
      <w:pPr>
        <w:spacing w:before="120" w:after="120"/>
        <w:rPr>
          <w:rFonts w:ascii="AcadNusx" w:hAnsi="AcadNusx"/>
        </w:rPr>
      </w:pPr>
      <w:r w:rsidRPr="00B05F62">
        <w:rPr>
          <w:rFonts w:ascii="AcadNusx" w:hAnsi="AcadNusx"/>
        </w:rPr>
        <w:t>igulisxmeba, rom betonis xarisxis marTva da miRebis kriteriumebi ganisazRvreba teqnikuri specifikaciebis Sesabamisi punqtebiT. amasTan, nebismier SemTxvevaSi, betonis simtkicis maragi (sxvaoba samizne da normatiul simtkiceebs Soris) ar unda iyos naklebi samizne saangariSo simtkicis 1/3-ze.</w:t>
      </w:r>
    </w:p>
    <w:p w14:paraId="085391A9" w14:textId="77777777" w:rsidR="00EA3205" w:rsidRPr="00505BED" w:rsidRDefault="00EA3205" w:rsidP="00B33417">
      <w:pPr>
        <w:spacing w:before="120" w:after="120"/>
        <w:rPr>
          <w:rFonts w:ascii="AcadNusx" w:hAnsi="AcadNusx"/>
          <w:b/>
        </w:rPr>
      </w:pPr>
      <w:r w:rsidRPr="00505BED">
        <w:rPr>
          <w:rFonts w:ascii="AcadNusx" w:hAnsi="AcadNusx"/>
          <w:b/>
        </w:rPr>
        <w:t>foladis armatura</w:t>
      </w:r>
    </w:p>
    <w:p w14:paraId="05DD1716" w14:textId="77777777" w:rsidR="00EA3205" w:rsidRPr="00B05F62" w:rsidRDefault="00EA3205" w:rsidP="00B33417">
      <w:pPr>
        <w:spacing w:before="120" w:after="120"/>
        <w:rPr>
          <w:rFonts w:ascii="AcadNusx" w:hAnsi="AcadNusx"/>
        </w:rPr>
      </w:pPr>
      <w:r w:rsidRPr="00B05F62">
        <w:rPr>
          <w:rFonts w:ascii="AcadNusx" w:hAnsi="AcadNusx"/>
        </w:rPr>
        <w:t xml:space="preserve">foladis armatura winaswar daZabuli tipisaa da akmayofilebs </w:t>
      </w:r>
      <w:r w:rsidRPr="00B33417">
        <w:rPr>
          <w:rFonts w:ascii="Sylfaen" w:hAnsi="Sylfaen"/>
        </w:rPr>
        <w:t>AASHTO</w:t>
      </w:r>
      <w:r w:rsidRPr="00B05F62">
        <w:rPr>
          <w:rFonts w:ascii="AcadNusx" w:hAnsi="AcadNusx"/>
        </w:rPr>
        <w:t>-s M31 tipis 72 markis foladis (</w:t>
      </w:r>
      <w:r w:rsidRPr="00F31A39">
        <w:rPr>
          <w:rFonts w:ascii="Sylfaen" w:hAnsi="Sylfaen"/>
        </w:rPr>
        <w:t>ASTM</w:t>
      </w:r>
      <w:r w:rsidRPr="00B05F62">
        <w:rPr>
          <w:rFonts w:ascii="AcadNusx" w:hAnsi="AcadNusx"/>
        </w:rPr>
        <w:t xml:space="preserve">-is </w:t>
      </w:r>
      <w:r w:rsidRPr="00F31A39">
        <w:rPr>
          <w:rFonts w:ascii="Sylfaen" w:hAnsi="Sylfaen"/>
        </w:rPr>
        <w:t>A</w:t>
      </w:r>
      <w:r w:rsidRPr="00B05F62">
        <w:rPr>
          <w:rFonts w:ascii="AcadNusx" w:hAnsi="AcadNusx"/>
        </w:rPr>
        <w:t>-615 tipis 72 markis foladis) armaturisTvis dadgenil minimalur moTxovnebs 500.0 mgpa denadobis zRvris gaTvaliswinebiT. armaturis Reroebi sakontraqto gegmebsa da specifikaciebSi mieTiTebian diametrebis mixedviT, romlebic 10 mm-dan 32 mm-mde icvleba.</w:t>
      </w:r>
    </w:p>
    <w:p w14:paraId="4DEFF88A" w14:textId="02DF2415" w:rsidR="00EA3205" w:rsidRPr="00505BED" w:rsidRDefault="00EA3205" w:rsidP="00B33417">
      <w:pPr>
        <w:spacing w:before="120" w:after="120"/>
        <w:rPr>
          <w:rFonts w:ascii="AcadNusx" w:hAnsi="AcadNusx"/>
          <w:b/>
        </w:rPr>
      </w:pPr>
      <w:r w:rsidRPr="00505BED">
        <w:rPr>
          <w:rFonts w:ascii="AcadNusx" w:hAnsi="AcadNusx"/>
          <w:b/>
        </w:rPr>
        <w:t>winaswar damZabavi foladi</w:t>
      </w:r>
    </w:p>
    <w:p w14:paraId="563C0A7D" w14:textId="77777777" w:rsidR="00EA3205" w:rsidRPr="00B05F62" w:rsidRDefault="00EA3205" w:rsidP="00B33417">
      <w:pPr>
        <w:spacing w:before="120" w:after="120"/>
        <w:rPr>
          <w:rFonts w:ascii="AcadNusx" w:hAnsi="AcadNusx"/>
        </w:rPr>
      </w:pPr>
      <w:r w:rsidRPr="00B05F62">
        <w:rPr>
          <w:rFonts w:ascii="AcadNusx" w:hAnsi="AcadNusx"/>
        </w:rPr>
        <w:lastRenderedPageBreak/>
        <w:t xml:space="preserve">yvela winaswar damZabavi masala unda akmayofilebdes masalebis gvarobis da gamocdebis moTxovnebs, romlebic mocemulia standartSi </w:t>
      </w:r>
      <w:r w:rsidRPr="00B33417">
        <w:rPr>
          <w:rFonts w:ascii="Sylfaen" w:hAnsi="Sylfaen"/>
        </w:rPr>
        <w:t>ASTM</w:t>
      </w:r>
      <w:r w:rsidRPr="00B05F62">
        <w:rPr>
          <w:rFonts w:ascii="AcadNusx" w:hAnsi="AcadNusx"/>
        </w:rPr>
        <w:t xml:space="preserve"> A416/416M-02 (an standartSi </w:t>
      </w:r>
      <w:r w:rsidRPr="00B33417">
        <w:rPr>
          <w:rFonts w:ascii="Sylfaen" w:hAnsi="Sylfaen"/>
        </w:rPr>
        <w:t>EN</w:t>
      </w:r>
      <w:r w:rsidRPr="00B05F62">
        <w:rPr>
          <w:rFonts w:ascii="AcadNusx" w:hAnsi="AcadNusx"/>
        </w:rPr>
        <w:t xml:space="preserve"> 10138-3, “winaswar damZabavi foladebi”), kerZod _ standartul specifikaciebs, romlebic aregulireben rkinabetonis winaswar damZabav araizolirebul (SiSvel) SvidZarRvian foladis gvarlebs. nagebobis detaluri proeqtirebis procesSi SeiZleba gamoyenebul iqnan sxva eqvivalenturi standartebi.</w:t>
      </w:r>
    </w:p>
    <w:p w14:paraId="23646D3C" w14:textId="77777777" w:rsidR="00EA3205" w:rsidRPr="00505BED" w:rsidRDefault="00EA3205" w:rsidP="00B33417">
      <w:pPr>
        <w:spacing w:before="120" w:after="120"/>
        <w:rPr>
          <w:rFonts w:ascii="AcadNusx" w:hAnsi="AcadNusx"/>
          <w:b/>
        </w:rPr>
      </w:pPr>
      <w:r w:rsidRPr="00505BED">
        <w:rPr>
          <w:rFonts w:ascii="AcadNusx" w:hAnsi="AcadNusx"/>
          <w:b/>
        </w:rPr>
        <w:t>konstruqciuli foladi da fasonuri detalebi</w:t>
      </w:r>
    </w:p>
    <w:p w14:paraId="6FB8C140" w14:textId="77777777" w:rsidR="00EA3205" w:rsidRPr="00B05F62" w:rsidRDefault="00EA3205" w:rsidP="00B33417">
      <w:pPr>
        <w:spacing w:before="120" w:after="120"/>
        <w:rPr>
          <w:rFonts w:ascii="AcadNusx" w:hAnsi="AcadNusx"/>
        </w:rPr>
      </w:pPr>
      <w:r w:rsidRPr="00B05F62">
        <w:rPr>
          <w:rFonts w:ascii="AcadNusx" w:hAnsi="AcadNusx"/>
        </w:rPr>
        <w:t xml:space="preserve">yovelgvari gamoyenebuli konstruqciuli foladi unda iyos konstruqciuli foladis nakeTobebis maregulirebeli evropuli standartiT </w:t>
      </w:r>
      <w:r w:rsidRPr="00B33417">
        <w:rPr>
          <w:rFonts w:ascii="Sylfaen" w:hAnsi="Sylfaen"/>
        </w:rPr>
        <w:t>EN</w:t>
      </w:r>
      <w:r w:rsidRPr="00B05F62">
        <w:rPr>
          <w:rFonts w:ascii="AcadNusx" w:hAnsi="AcadNusx"/>
        </w:rPr>
        <w:t xml:space="preserve"> 10025-2:2004 gansazRvruli </w:t>
      </w:r>
      <w:r w:rsidRPr="00F31A39">
        <w:rPr>
          <w:rFonts w:ascii="Sylfaen" w:hAnsi="Sylfaen"/>
        </w:rPr>
        <w:t>S355</w:t>
      </w:r>
      <w:r w:rsidRPr="00B05F62">
        <w:rPr>
          <w:rFonts w:ascii="AcadNusx" w:hAnsi="AcadNusx"/>
        </w:rPr>
        <w:t xml:space="preserve"> markis. yvela WanWiki unda iyos ASTM </w:t>
      </w:r>
      <w:r w:rsidRPr="00F31A39">
        <w:rPr>
          <w:rFonts w:ascii="Sylfaen" w:hAnsi="Sylfaen"/>
        </w:rPr>
        <w:t>A325ST/N</w:t>
      </w:r>
      <w:r w:rsidRPr="00B05F62">
        <w:rPr>
          <w:rFonts w:ascii="AcadNusx" w:hAnsi="AcadNusx"/>
        </w:rPr>
        <w:t xml:space="preserve"> standartiT gansazRvruli maRali simtkicis WanWikis tipis. yovelgvari SeduReba unda Sesruldes metalis dnobadi eleqtrodiT eleqtrorkaluri (</w:t>
      </w:r>
      <w:r w:rsidRPr="00B33417">
        <w:rPr>
          <w:rFonts w:ascii="Sylfaen" w:hAnsi="Sylfaen"/>
        </w:rPr>
        <w:t>SMAW</w:t>
      </w:r>
      <w:r w:rsidRPr="00B05F62">
        <w:rPr>
          <w:rFonts w:ascii="AcadNusx" w:hAnsi="AcadNusx"/>
        </w:rPr>
        <w:t>) SeduRebis saxiT, dabalwyalbadiani eleqtrodis gamoyenebiT.</w:t>
      </w:r>
    </w:p>
    <w:p w14:paraId="1DDA9762" w14:textId="77777777" w:rsidR="00EA3205" w:rsidRPr="00B05F62" w:rsidRDefault="00EA3205" w:rsidP="00B33417">
      <w:pPr>
        <w:spacing w:before="120" w:after="120"/>
        <w:rPr>
          <w:rFonts w:ascii="AcadNusx" w:hAnsi="AcadNusx"/>
        </w:rPr>
      </w:pPr>
    </w:p>
    <w:p w14:paraId="019C4240" w14:textId="55FCEC50" w:rsidR="00EA3205" w:rsidRPr="00B05F62" w:rsidRDefault="00EA3205" w:rsidP="00485FE3">
      <w:pPr>
        <w:pStyle w:val="Heading3"/>
        <w:rPr>
          <w:rFonts w:ascii="AcadNusx" w:hAnsi="AcadNusx"/>
        </w:rPr>
      </w:pPr>
      <w:bookmarkStart w:id="142" w:name="_Toc1581523"/>
      <w:r w:rsidRPr="00B33417">
        <w:rPr>
          <w:rFonts w:ascii="AcadNusx" w:hAnsi="AcadNusx"/>
        </w:rPr>
        <w:t>4.</w:t>
      </w:r>
      <w:r w:rsidR="00B33417" w:rsidRPr="00B33417">
        <w:rPr>
          <w:rFonts w:ascii="AcadNusx" w:hAnsi="AcadNusx"/>
        </w:rPr>
        <w:t>1</w:t>
      </w:r>
      <w:r w:rsidR="00485FE3">
        <w:rPr>
          <w:rFonts w:ascii="Sylfaen" w:hAnsi="Sylfaen"/>
          <w:lang w:val="ka-GE"/>
        </w:rPr>
        <w:t>2</w:t>
      </w:r>
      <w:r w:rsidRPr="00B33417">
        <w:rPr>
          <w:rFonts w:ascii="AcadNusx" w:hAnsi="AcadNusx"/>
        </w:rPr>
        <w:t>.6</w:t>
      </w:r>
      <w:r w:rsidRPr="00B33417">
        <w:rPr>
          <w:rFonts w:ascii="AcadNusx" w:hAnsi="AcadNusx"/>
        </w:rPr>
        <w:tab/>
      </w:r>
      <w:r w:rsidR="00485FE3">
        <w:rPr>
          <w:rFonts w:ascii="Sylfaen" w:hAnsi="Sylfaen"/>
          <w:lang w:val="ka-GE"/>
        </w:rPr>
        <w:t>ხიდების დატვირთვები</w:t>
      </w:r>
      <w:bookmarkEnd w:id="142"/>
    </w:p>
    <w:p w14:paraId="62A63D15" w14:textId="3AE3FBF1" w:rsidR="00EA3205" w:rsidRPr="00B05F62" w:rsidRDefault="00EA3205" w:rsidP="00B33417">
      <w:pPr>
        <w:pStyle w:val="Heading4"/>
      </w:pPr>
      <w:r w:rsidRPr="00B05F62">
        <w:t>4.</w:t>
      </w:r>
      <w:r w:rsidR="00485FE3">
        <w:t>12.</w:t>
      </w:r>
      <w:r w:rsidRPr="00B05F62">
        <w:t>6.1</w:t>
      </w:r>
      <w:r w:rsidRPr="00B05F62">
        <w:tab/>
        <w:t>mudmivi datvirTva</w:t>
      </w:r>
    </w:p>
    <w:p w14:paraId="03D5AF89" w14:textId="77777777" w:rsidR="00EA3205" w:rsidRPr="00B05F62" w:rsidRDefault="00EA3205" w:rsidP="00EA3205">
      <w:pPr>
        <w:rPr>
          <w:rFonts w:ascii="AcadNusx" w:hAnsi="AcadNusx"/>
        </w:rPr>
      </w:pPr>
      <w:r w:rsidRPr="00B05F62">
        <w:rPr>
          <w:rFonts w:ascii="AcadNusx" w:hAnsi="AcadNusx"/>
        </w:rPr>
        <w:t xml:space="preserve">xidis mudmivi datvirTva moicavs Tavad nagebobis da xidis sxva kuTvnilebebis sakuTar wonas, rogorebicaa (1) mosaSandakebeli betonis safari, (2) sacveTi da hidrosaizolacio fenebi, (3) xidis moajirebi da zRudarebi. aRniSnuli garegani datvirTvebis garda, sadac Sesaferisia, mudmivi datvirTvis saxiT agreTve ganxiluli unda iqnas betonis SeklebiT (CajdomiT) gamowveuli daZabuloba. </w:t>
      </w:r>
    </w:p>
    <w:p w14:paraId="37BBBAC4" w14:textId="77777777" w:rsidR="00EA3205" w:rsidRPr="00B05F62" w:rsidRDefault="00EA3205" w:rsidP="00EA3205">
      <w:pPr>
        <w:rPr>
          <w:rFonts w:ascii="AcadNusx" w:hAnsi="AcadNusx"/>
        </w:rPr>
      </w:pPr>
    </w:p>
    <w:p w14:paraId="37F8BA2F" w14:textId="77777777" w:rsidR="00EA3205" w:rsidRPr="00B05F62" w:rsidRDefault="00EA3205" w:rsidP="00EA3205">
      <w:pPr>
        <w:rPr>
          <w:rFonts w:ascii="AcadNusx" w:hAnsi="AcadNusx"/>
        </w:rPr>
      </w:pPr>
      <w:r w:rsidRPr="00B05F62">
        <w:rPr>
          <w:rFonts w:ascii="AcadNusx" w:hAnsi="AcadNusx"/>
        </w:rPr>
        <w:t>xidis konstruqciuli elementebis wonebi iangariSeba Semdegi xvedriTi sidideebis gamoyenebiT:</w:t>
      </w:r>
    </w:p>
    <w:p w14:paraId="5C0B73C4" w14:textId="77777777" w:rsidR="00EA3205" w:rsidRPr="00B05F62" w:rsidRDefault="00EA3205" w:rsidP="00EA3205">
      <w:pPr>
        <w:rPr>
          <w:rFonts w:ascii="AcadNusx" w:hAnsi="AcadNusx"/>
        </w:rPr>
      </w:pPr>
    </w:p>
    <w:p w14:paraId="3E65061D" w14:textId="77777777" w:rsidR="00EA3205" w:rsidRPr="00B05F62" w:rsidRDefault="00EA3205" w:rsidP="00EA3205">
      <w:pPr>
        <w:rPr>
          <w:rFonts w:ascii="AcadNusx" w:hAnsi="AcadNusx"/>
        </w:rPr>
      </w:pPr>
      <w:r w:rsidRPr="00B05F62">
        <w:rPr>
          <w:rFonts w:ascii="AcadNusx" w:hAnsi="AcadNusx"/>
        </w:rPr>
        <w:t>rkinabetoni</w:t>
      </w:r>
      <w:r w:rsidRPr="00B05F62">
        <w:rPr>
          <w:rFonts w:ascii="AcadNusx" w:hAnsi="AcadNusx"/>
        </w:rPr>
        <w:tab/>
        <w:t>_</w:t>
      </w:r>
      <w:r w:rsidRPr="00B05F62">
        <w:rPr>
          <w:rFonts w:ascii="AcadNusx" w:hAnsi="AcadNusx"/>
        </w:rPr>
        <w:tab/>
        <w:t>25.00 kn/m3</w:t>
      </w:r>
    </w:p>
    <w:p w14:paraId="44A84D31" w14:textId="77777777" w:rsidR="00EA3205" w:rsidRPr="00B05F62" w:rsidRDefault="00EA3205" w:rsidP="00EA3205">
      <w:pPr>
        <w:rPr>
          <w:rFonts w:ascii="AcadNusx" w:hAnsi="AcadNusx"/>
        </w:rPr>
      </w:pPr>
      <w:r w:rsidRPr="00B05F62">
        <w:rPr>
          <w:rFonts w:ascii="AcadNusx" w:hAnsi="AcadNusx"/>
        </w:rPr>
        <w:t>foladi</w:t>
      </w:r>
      <w:r w:rsidRPr="00B05F62">
        <w:rPr>
          <w:rFonts w:ascii="AcadNusx" w:hAnsi="AcadNusx"/>
        </w:rPr>
        <w:tab/>
        <w:t>_</w:t>
      </w:r>
      <w:r w:rsidRPr="00B05F62">
        <w:rPr>
          <w:rFonts w:ascii="AcadNusx" w:hAnsi="AcadNusx"/>
        </w:rPr>
        <w:tab/>
        <w:t>78.50 kn/m3</w:t>
      </w:r>
    </w:p>
    <w:p w14:paraId="07A635A8" w14:textId="77777777" w:rsidR="00EA3205" w:rsidRPr="00B05F62" w:rsidRDefault="00EA3205" w:rsidP="00EA3205">
      <w:pPr>
        <w:rPr>
          <w:rFonts w:ascii="AcadNusx" w:hAnsi="AcadNusx"/>
        </w:rPr>
      </w:pPr>
      <w:r w:rsidRPr="00B05F62">
        <w:rPr>
          <w:rFonts w:ascii="AcadNusx" w:hAnsi="AcadNusx"/>
        </w:rPr>
        <w:t>sacveTi fena</w:t>
      </w:r>
      <w:r w:rsidRPr="00B05F62">
        <w:rPr>
          <w:rFonts w:ascii="AcadNusx" w:hAnsi="AcadNusx"/>
        </w:rPr>
        <w:tab/>
        <w:t>_</w:t>
      </w:r>
      <w:r w:rsidRPr="00B05F62">
        <w:rPr>
          <w:rFonts w:ascii="AcadNusx" w:hAnsi="AcadNusx"/>
        </w:rPr>
        <w:tab/>
        <w:t>23.00 kn/m3 _ hidroizolacia da sagzao samosi</w:t>
      </w:r>
    </w:p>
    <w:p w14:paraId="0E65343E" w14:textId="77777777" w:rsidR="00EA3205" w:rsidRPr="00B05F62" w:rsidRDefault="00EA3205" w:rsidP="00EA3205">
      <w:pPr>
        <w:rPr>
          <w:rFonts w:ascii="AcadNusx" w:hAnsi="AcadNusx"/>
        </w:rPr>
      </w:pPr>
      <w:r w:rsidRPr="00B05F62">
        <w:rPr>
          <w:rFonts w:ascii="AcadNusx" w:hAnsi="AcadNusx"/>
        </w:rPr>
        <w:t>grunti</w:t>
      </w:r>
      <w:r w:rsidRPr="00B05F62">
        <w:rPr>
          <w:rFonts w:ascii="AcadNusx" w:hAnsi="AcadNusx"/>
        </w:rPr>
        <w:tab/>
        <w:t>_</w:t>
      </w:r>
      <w:r w:rsidRPr="00B05F62">
        <w:rPr>
          <w:rFonts w:ascii="AcadNusx" w:hAnsi="AcadNusx"/>
        </w:rPr>
        <w:tab/>
        <w:t>20.00 kn/m3 _ sanapiro burjis/kedlis zurgis Sesavsebad SerCeuli yrilis masala</w:t>
      </w:r>
    </w:p>
    <w:p w14:paraId="5B91E991" w14:textId="77777777" w:rsidR="00EA3205" w:rsidRPr="00B05F62" w:rsidRDefault="00EA3205" w:rsidP="00EA3205">
      <w:pPr>
        <w:rPr>
          <w:rFonts w:ascii="AcadNusx" w:hAnsi="AcadNusx"/>
        </w:rPr>
      </w:pPr>
    </w:p>
    <w:p w14:paraId="07BA3E9D" w14:textId="649E4D61" w:rsidR="00EA3205" w:rsidRPr="00B05F62" w:rsidRDefault="00EA3205" w:rsidP="00B33417">
      <w:pPr>
        <w:pStyle w:val="Heading4"/>
      </w:pPr>
      <w:r w:rsidRPr="00B05F62">
        <w:t>4.</w:t>
      </w:r>
      <w:r w:rsidR="00B33417">
        <w:rPr>
          <w:lang w:val="en-US"/>
        </w:rPr>
        <w:t>1</w:t>
      </w:r>
      <w:r w:rsidR="00485FE3">
        <w:rPr>
          <w:rFonts w:ascii="Sylfaen" w:hAnsi="Sylfaen"/>
        </w:rPr>
        <w:t>2</w:t>
      </w:r>
      <w:r w:rsidRPr="00B05F62">
        <w:t>.6.2</w:t>
      </w:r>
      <w:r w:rsidRPr="00B05F62">
        <w:tab/>
      </w:r>
      <w:r w:rsidR="00485FE3">
        <w:rPr>
          <w:rFonts w:ascii="Sylfaen" w:hAnsi="Sylfaen"/>
        </w:rPr>
        <w:t>სატრანსპორტო დატვირთვა</w:t>
      </w:r>
    </w:p>
    <w:p w14:paraId="2BB24A15" w14:textId="77777777" w:rsidR="00EA3205" w:rsidRPr="00B05F62" w:rsidRDefault="00EA3205" w:rsidP="00EA3205">
      <w:pPr>
        <w:rPr>
          <w:rFonts w:ascii="AcadNusx" w:hAnsi="AcadNusx"/>
        </w:rPr>
      </w:pPr>
      <w:r w:rsidRPr="00B05F62">
        <w:rPr>
          <w:rFonts w:ascii="AcadNusx" w:hAnsi="AcadNusx"/>
        </w:rPr>
        <w:t xml:space="preserve">xidebze moZravi avtotransportis saangariSo datvirTvebis saxiT, zogadad, ganixileba </w:t>
      </w:r>
      <w:r w:rsidRPr="00B33417">
        <w:rPr>
          <w:rFonts w:ascii="Sylfaen" w:hAnsi="Sylfaen"/>
        </w:rPr>
        <w:t>AASHTO-</w:t>
      </w:r>
      <w:r w:rsidRPr="00B33417">
        <w:rPr>
          <w:rFonts w:ascii="AcadNusx" w:hAnsi="AcadNusx"/>
        </w:rPr>
        <w:t>s</w:t>
      </w:r>
      <w:r w:rsidRPr="00B33417">
        <w:rPr>
          <w:rFonts w:ascii="Sylfaen" w:hAnsi="Sylfaen"/>
        </w:rPr>
        <w:t>/LRFD</w:t>
      </w:r>
      <w:r w:rsidRPr="00B05F62">
        <w:rPr>
          <w:rFonts w:ascii="AcadNusx" w:hAnsi="AcadNusx"/>
        </w:rPr>
        <w:t xml:space="preserve">-is HL93 tipis normatiuli satransporto datvirTva. qvemoT moxerxebulobisTvis warmodgenilia normatiuli satransporto datvirTvebis ganmartebiTi diagramebi. aRsaniSnavia, rom NK100 tipis standartuli RerZuli datvirTva gamoiyeneba mxolod damuSavebuli teqnikuri proeqtis adeqvaturobis Sesamowmeblad. satransporto datvirTvebis moqmedeba ganisazRvreba </w:t>
      </w:r>
      <w:r w:rsidRPr="00B33417">
        <w:rPr>
          <w:rFonts w:ascii="Sylfaen" w:hAnsi="Sylfaen"/>
        </w:rPr>
        <w:t>AASHTO/LFRD</w:t>
      </w:r>
      <w:r w:rsidRPr="00B05F62">
        <w:rPr>
          <w:rFonts w:ascii="AcadNusx" w:hAnsi="AcadNusx"/>
        </w:rPr>
        <w:t>-is specifikaciebis gamoyenebiT.</w:t>
      </w:r>
    </w:p>
    <w:p w14:paraId="7ED7D095" w14:textId="0DCEDCFC" w:rsidR="00EA3205" w:rsidRPr="00B05F62" w:rsidRDefault="00EA3205" w:rsidP="00EA3205">
      <w:pPr>
        <w:rPr>
          <w:rFonts w:ascii="AcadNusx" w:hAnsi="AcadNusx"/>
        </w:rPr>
      </w:pPr>
      <w:r w:rsidRPr="00B05F62">
        <w:rPr>
          <w:rFonts w:ascii="AcadNusx" w:hAnsi="AcadNusx"/>
          <w:noProof/>
          <w:lang w:val="en-US" w:eastAsia="en-US"/>
        </w:rPr>
        <w:lastRenderedPageBreak/>
        <w:drawing>
          <wp:inline distT="0" distB="0" distL="0" distR="0" wp14:anchorId="1528D9DD" wp14:editId="6778ADD6">
            <wp:extent cx="6448425" cy="3752215"/>
            <wp:effectExtent l="0" t="0" r="9525"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9" cstate="email">
                      <a:extLst>
                        <a:ext uri="{28A0092B-C50C-407E-A947-70E740481C1C}">
                          <a14:useLocalDpi xmlns:a14="http://schemas.microsoft.com/office/drawing/2010/main"/>
                        </a:ext>
                      </a:extLst>
                    </a:blip>
                    <a:srcRect l="27013" r="22839" b="2451"/>
                    <a:stretch>
                      <a:fillRect/>
                    </a:stretch>
                  </pic:blipFill>
                  <pic:spPr bwMode="auto">
                    <a:xfrm>
                      <a:off x="0" y="0"/>
                      <a:ext cx="6448425" cy="3752215"/>
                    </a:xfrm>
                    <a:prstGeom prst="rect">
                      <a:avLst/>
                    </a:prstGeom>
                    <a:noFill/>
                    <a:ln>
                      <a:noFill/>
                    </a:ln>
                  </pic:spPr>
                </pic:pic>
              </a:graphicData>
            </a:graphic>
          </wp:inline>
        </w:drawing>
      </w:r>
    </w:p>
    <w:p w14:paraId="3869D9C4" w14:textId="3B32C5E1" w:rsidR="00EA3205" w:rsidRPr="00B05F62" w:rsidRDefault="00EA3205" w:rsidP="00EA3205">
      <w:pPr>
        <w:rPr>
          <w:rFonts w:ascii="AcadNusx" w:hAnsi="AcadNusx"/>
        </w:rPr>
      </w:pPr>
      <w:r w:rsidRPr="00B05F62">
        <w:rPr>
          <w:rFonts w:ascii="AcadNusx" w:hAnsi="AcadNusx"/>
        </w:rPr>
        <w:t>suraTi 4.</w:t>
      </w:r>
      <w:r w:rsidR="00B33417">
        <w:rPr>
          <w:rFonts w:ascii="AcadNusx" w:hAnsi="AcadNusx"/>
        </w:rPr>
        <w:t>13.6.2-1</w:t>
      </w:r>
      <w:r w:rsidRPr="00B05F62">
        <w:rPr>
          <w:rFonts w:ascii="AcadNusx" w:hAnsi="AcadNusx"/>
        </w:rPr>
        <w:t>L93 tipis satransporto datvirTvis ganmartebiTi diagrama</w:t>
      </w:r>
    </w:p>
    <w:p w14:paraId="4FD414EF" w14:textId="77777777" w:rsidR="00EA3205" w:rsidRPr="00B33417" w:rsidRDefault="00EA3205" w:rsidP="00EA3205">
      <w:pPr>
        <w:rPr>
          <w:rFonts w:ascii="AcadNusx" w:hAnsi="AcadNusx"/>
          <w:lang w:bidi="bn-BD"/>
        </w:rPr>
      </w:pPr>
    </w:p>
    <w:p w14:paraId="163401C6" w14:textId="5C414F19" w:rsidR="00EA3205" w:rsidRPr="00B05F62" w:rsidRDefault="00EA3205" w:rsidP="00EA3205">
      <w:pPr>
        <w:rPr>
          <w:rFonts w:ascii="AcadNusx" w:hAnsi="AcadNusx"/>
        </w:rPr>
      </w:pPr>
      <w:r w:rsidRPr="00B05F62">
        <w:rPr>
          <w:rFonts w:ascii="AcadNusx" w:hAnsi="AcadNusx"/>
          <w:noProof/>
          <w:lang w:val="en-US" w:eastAsia="en-US"/>
        </w:rPr>
        <w:drawing>
          <wp:inline distT="0" distB="0" distL="0" distR="0" wp14:anchorId="5B3ABFA3" wp14:editId="08B4C14E">
            <wp:extent cx="5495925" cy="191516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0" cstate="email">
                      <a:extLst>
                        <a:ext uri="{28A0092B-C50C-407E-A947-70E740481C1C}">
                          <a14:useLocalDpi xmlns:a14="http://schemas.microsoft.com/office/drawing/2010/main"/>
                        </a:ext>
                      </a:extLst>
                    </a:blip>
                    <a:srcRect l="39943" t="12984" r="28571" b="41405"/>
                    <a:stretch>
                      <a:fillRect/>
                    </a:stretch>
                  </pic:blipFill>
                  <pic:spPr bwMode="auto">
                    <a:xfrm>
                      <a:off x="0" y="0"/>
                      <a:ext cx="5495925" cy="1915160"/>
                    </a:xfrm>
                    <a:prstGeom prst="rect">
                      <a:avLst/>
                    </a:prstGeom>
                    <a:noFill/>
                    <a:ln>
                      <a:noFill/>
                    </a:ln>
                  </pic:spPr>
                </pic:pic>
              </a:graphicData>
            </a:graphic>
          </wp:inline>
        </w:drawing>
      </w:r>
    </w:p>
    <w:p w14:paraId="6434C073" w14:textId="77777777" w:rsidR="00EA3205" w:rsidRPr="00B05F62" w:rsidRDefault="00EA3205" w:rsidP="00EA3205">
      <w:pPr>
        <w:rPr>
          <w:rFonts w:ascii="AcadNusx" w:hAnsi="AcadNusx"/>
        </w:rPr>
      </w:pPr>
    </w:p>
    <w:p w14:paraId="56C7EC78" w14:textId="6F5158C7" w:rsidR="00EA3205" w:rsidRPr="00B05F62" w:rsidRDefault="00EA3205" w:rsidP="00EA3205">
      <w:pPr>
        <w:rPr>
          <w:rFonts w:ascii="AcadNusx" w:hAnsi="AcadNusx"/>
        </w:rPr>
      </w:pPr>
      <w:r w:rsidRPr="00B05F62">
        <w:rPr>
          <w:rFonts w:ascii="AcadNusx" w:hAnsi="AcadNusx"/>
        </w:rPr>
        <w:t xml:space="preserve">suraTi </w:t>
      </w:r>
      <w:r w:rsidR="00B33417" w:rsidRPr="00B05F62">
        <w:rPr>
          <w:rFonts w:ascii="AcadNusx" w:hAnsi="AcadNusx"/>
        </w:rPr>
        <w:t>4.</w:t>
      </w:r>
      <w:r w:rsidR="00B33417">
        <w:rPr>
          <w:rFonts w:ascii="AcadNusx" w:hAnsi="AcadNusx"/>
        </w:rPr>
        <w:t>1</w:t>
      </w:r>
      <w:r w:rsidR="00485FE3">
        <w:rPr>
          <w:rFonts w:ascii="Sylfaen" w:hAnsi="Sylfaen"/>
          <w:lang w:val="ka-GE"/>
        </w:rPr>
        <w:t>2</w:t>
      </w:r>
      <w:r w:rsidR="00B33417">
        <w:rPr>
          <w:rFonts w:ascii="AcadNusx" w:hAnsi="AcadNusx"/>
        </w:rPr>
        <w:t>.6.2-1</w:t>
      </w:r>
      <w:r w:rsidRPr="00B05F62">
        <w:rPr>
          <w:rFonts w:ascii="AcadNusx" w:hAnsi="AcadNusx"/>
        </w:rPr>
        <w:t xml:space="preserve">NK100 tipis satransporto datvirTvis ganmartebiTi diagrama </w:t>
      </w:r>
      <w:r w:rsidRPr="00B05F62">
        <w:rPr>
          <w:rFonts w:ascii="Cambria" w:hAnsi="Cambria" w:cs="Cambria"/>
        </w:rPr>
        <w:t>СНиП</w:t>
      </w:r>
      <w:r w:rsidRPr="00B05F62">
        <w:rPr>
          <w:rFonts w:ascii="AcadNusx" w:hAnsi="AcadNusx"/>
        </w:rPr>
        <w:t>-is Sesabamisad</w:t>
      </w:r>
    </w:p>
    <w:p w14:paraId="4EC798A0" w14:textId="77777777" w:rsidR="00EA3205" w:rsidRPr="00B05F62" w:rsidRDefault="00EA3205" w:rsidP="00EA3205">
      <w:pPr>
        <w:rPr>
          <w:rFonts w:ascii="AcadNusx" w:hAnsi="AcadNusx"/>
        </w:rPr>
      </w:pPr>
    </w:p>
    <w:p w14:paraId="5A371494" w14:textId="1C5A326E" w:rsidR="00EA3205" w:rsidRPr="00B05F62" w:rsidRDefault="00EA3205" w:rsidP="00B33417">
      <w:pPr>
        <w:pStyle w:val="Heading4"/>
      </w:pPr>
      <w:r w:rsidRPr="00B05F62">
        <w:t>4.</w:t>
      </w:r>
      <w:r w:rsidR="00485FE3">
        <w:rPr>
          <w:lang w:val="en-US"/>
        </w:rPr>
        <w:t>12</w:t>
      </w:r>
      <w:r w:rsidRPr="00B05F62">
        <w:t>.6.3</w:t>
      </w:r>
      <w:r w:rsidRPr="00B05F62">
        <w:tab/>
      </w:r>
      <w:r w:rsidR="00485FE3">
        <w:rPr>
          <w:rFonts w:ascii="Sylfaen" w:hAnsi="Sylfaen"/>
        </w:rPr>
        <w:t>გარემოს დატვირთვა</w:t>
      </w:r>
    </w:p>
    <w:p w14:paraId="18CCDE3D" w14:textId="77777777" w:rsidR="00EA3205" w:rsidRPr="00B05F62" w:rsidRDefault="00EA3205" w:rsidP="00B33417">
      <w:pPr>
        <w:spacing w:before="120" w:after="120"/>
        <w:rPr>
          <w:rFonts w:ascii="AcadNusx" w:hAnsi="AcadNusx"/>
        </w:rPr>
      </w:pPr>
      <w:r w:rsidRPr="00B05F62">
        <w:rPr>
          <w:rFonts w:ascii="AcadNusx" w:hAnsi="AcadNusx"/>
        </w:rPr>
        <w:t xml:space="preserve">garemos datvirTva xidebze ganpirobebulia qaris, temperaturis da Tovlis safaris zemoqmdebiT. aseTi datvirTvebis gasaangariSeblad sxvadasxva wyaroebidan mopovebulia saTanado sawyisi monacemebi. </w:t>
      </w:r>
    </w:p>
    <w:p w14:paraId="09B633CA" w14:textId="77777777" w:rsidR="00EA3205" w:rsidRPr="007D01FB" w:rsidRDefault="00EA3205" w:rsidP="00B33417">
      <w:pPr>
        <w:spacing w:before="120" w:after="120"/>
        <w:rPr>
          <w:rFonts w:ascii="AcadNusx" w:hAnsi="AcadNusx"/>
          <w:b/>
        </w:rPr>
      </w:pPr>
      <w:r w:rsidRPr="007D01FB">
        <w:rPr>
          <w:rFonts w:ascii="AcadNusx" w:hAnsi="AcadNusx"/>
          <w:b/>
        </w:rPr>
        <w:t>qaris datvirTva</w:t>
      </w:r>
    </w:p>
    <w:p w14:paraId="0A913522" w14:textId="77777777" w:rsidR="00EA3205" w:rsidRPr="00B05F62" w:rsidRDefault="00EA3205" w:rsidP="00B33417">
      <w:pPr>
        <w:spacing w:before="120" w:after="120"/>
        <w:rPr>
          <w:rFonts w:ascii="AcadNusx" w:hAnsi="AcadNusx"/>
        </w:rPr>
      </w:pPr>
      <w:r w:rsidRPr="00B05F62">
        <w:rPr>
          <w:rFonts w:ascii="AcadNusx" w:hAnsi="AcadNusx"/>
        </w:rPr>
        <w:t>xelmisawvdomi monacemebis Tanaxmad, qaris 20-wliani ganmereobadobis maqsimaluri siCqareebia:</w:t>
      </w:r>
    </w:p>
    <w:p w14:paraId="7FB00FD2" w14:textId="77777777" w:rsidR="00EA3205" w:rsidRPr="00B05F62" w:rsidRDefault="00EA3205" w:rsidP="00B33417">
      <w:pPr>
        <w:spacing w:before="120" w:after="120"/>
        <w:rPr>
          <w:rFonts w:ascii="AcadNusx" w:hAnsi="AcadNusx"/>
        </w:rPr>
      </w:pPr>
      <w:r w:rsidRPr="00B05F62">
        <w:rPr>
          <w:rFonts w:ascii="AcadNusx" w:hAnsi="AcadNusx"/>
        </w:rPr>
        <w:t>22 m/wm-s (80.0 km/sT) – gurjaanis meteosadguris monacemebiT</w:t>
      </w:r>
    </w:p>
    <w:p w14:paraId="205BED84" w14:textId="77777777" w:rsidR="00EA3205" w:rsidRPr="00B05F62" w:rsidRDefault="00EA3205" w:rsidP="00B33417">
      <w:pPr>
        <w:spacing w:before="120" w:after="120"/>
        <w:rPr>
          <w:rFonts w:ascii="AcadNusx" w:hAnsi="AcadNusx"/>
        </w:rPr>
      </w:pPr>
      <w:r w:rsidRPr="00B05F62">
        <w:rPr>
          <w:rFonts w:ascii="AcadNusx" w:hAnsi="AcadNusx"/>
        </w:rPr>
        <w:t>27 m/wm-s (100.0 km/sT) – wnoris meteosadguris monacemebiT</w:t>
      </w:r>
    </w:p>
    <w:p w14:paraId="65516397" w14:textId="77777777" w:rsidR="00EA3205" w:rsidRPr="007D01FB" w:rsidRDefault="00EA3205" w:rsidP="00B33417">
      <w:pPr>
        <w:spacing w:before="120" w:after="120"/>
        <w:rPr>
          <w:rFonts w:ascii="AcadNusx" w:hAnsi="AcadNusx"/>
          <w:b/>
        </w:rPr>
      </w:pPr>
      <w:r w:rsidRPr="007D01FB">
        <w:rPr>
          <w:rFonts w:ascii="AcadNusx" w:hAnsi="AcadNusx"/>
          <w:b/>
        </w:rPr>
        <w:lastRenderedPageBreak/>
        <w:t>temperatura</w:t>
      </w:r>
    </w:p>
    <w:p w14:paraId="3F6EB0F0" w14:textId="77777777" w:rsidR="00EA3205" w:rsidRPr="00B05F62" w:rsidRDefault="00EA3205" w:rsidP="00B33417">
      <w:pPr>
        <w:spacing w:before="120" w:after="120"/>
        <w:rPr>
          <w:rFonts w:ascii="AcadNusx" w:hAnsi="AcadNusx"/>
        </w:rPr>
      </w:pPr>
      <w:r w:rsidRPr="00B05F62">
        <w:rPr>
          <w:rFonts w:ascii="AcadNusx" w:hAnsi="AcadNusx"/>
        </w:rPr>
        <w:t>samSeneblo teritoriaze haeris temperaturis 50-wliani ganmeorebadobis zRvruli sidideebi ganisazRvreba Semdegi saxiT:</w:t>
      </w:r>
    </w:p>
    <w:p w14:paraId="1486B63D" w14:textId="77777777" w:rsidR="00EA3205" w:rsidRPr="00B33417" w:rsidRDefault="00EA3205" w:rsidP="00B33417">
      <w:pPr>
        <w:spacing w:before="120" w:after="120"/>
        <w:rPr>
          <w:rFonts w:ascii="Sylfaen" w:hAnsi="Sylfaen"/>
        </w:rPr>
      </w:pPr>
      <w:r w:rsidRPr="00B05F62">
        <w:rPr>
          <w:rFonts w:ascii="AcadNusx" w:hAnsi="AcadNusx"/>
        </w:rPr>
        <w:t xml:space="preserve">minimaluri temperatura </w:t>
      </w:r>
      <w:r w:rsidRPr="00B05F62">
        <w:rPr>
          <w:rFonts w:ascii="AcadNusx" w:hAnsi="AcadNusx"/>
        </w:rPr>
        <w:tab/>
      </w:r>
      <w:r w:rsidRPr="00B33417">
        <w:rPr>
          <w:rFonts w:ascii="Sylfaen" w:hAnsi="Sylfaen"/>
        </w:rPr>
        <w:t>-22.0 0C</w:t>
      </w:r>
    </w:p>
    <w:p w14:paraId="0F0A0DD7" w14:textId="77777777" w:rsidR="00EA3205" w:rsidRPr="00B33417" w:rsidRDefault="00EA3205" w:rsidP="00EA3205">
      <w:pPr>
        <w:rPr>
          <w:rFonts w:ascii="Sylfaen" w:hAnsi="Sylfaen"/>
        </w:rPr>
      </w:pPr>
      <w:r w:rsidRPr="00B05F62">
        <w:rPr>
          <w:rFonts w:ascii="AcadNusx" w:hAnsi="AcadNusx"/>
        </w:rPr>
        <w:t xml:space="preserve">maqsimaluri temperatura </w:t>
      </w:r>
      <w:r w:rsidRPr="00B05F62">
        <w:rPr>
          <w:rFonts w:ascii="AcadNusx" w:hAnsi="AcadNusx"/>
        </w:rPr>
        <w:tab/>
        <w:t>+</w:t>
      </w:r>
      <w:r w:rsidRPr="00B33417">
        <w:rPr>
          <w:rFonts w:ascii="Sylfaen" w:hAnsi="Sylfaen"/>
        </w:rPr>
        <w:t>38.0 0C</w:t>
      </w:r>
    </w:p>
    <w:p w14:paraId="0FC1B61E" w14:textId="77777777" w:rsidR="00EA3205" w:rsidRPr="00B33417" w:rsidRDefault="00EA3205" w:rsidP="00EA3205">
      <w:pPr>
        <w:rPr>
          <w:rFonts w:ascii="Sylfaen" w:hAnsi="Sylfaen"/>
        </w:rPr>
      </w:pPr>
      <w:r w:rsidRPr="00B05F62">
        <w:rPr>
          <w:rFonts w:ascii="AcadNusx" w:hAnsi="AcadNusx"/>
        </w:rPr>
        <w:t>samuSao sezonis saSualo temperatura</w:t>
      </w:r>
      <w:r w:rsidRPr="00B05F62">
        <w:rPr>
          <w:rFonts w:ascii="AcadNusx" w:hAnsi="AcadNusx"/>
        </w:rPr>
        <w:tab/>
        <w:t>≈</w:t>
      </w:r>
      <w:r w:rsidRPr="00B33417">
        <w:rPr>
          <w:rFonts w:ascii="Sylfaen" w:hAnsi="Sylfaen"/>
        </w:rPr>
        <w:t>8.0 0C</w:t>
      </w:r>
    </w:p>
    <w:p w14:paraId="15745B8B" w14:textId="77777777" w:rsidR="00EA3205" w:rsidRPr="00B05F62" w:rsidRDefault="00EA3205" w:rsidP="00EA3205">
      <w:pPr>
        <w:rPr>
          <w:rFonts w:ascii="AcadNusx" w:hAnsi="AcadNusx"/>
        </w:rPr>
      </w:pPr>
      <w:r w:rsidRPr="00B05F62">
        <w:rPr>
          <w:rFonts w:ascii="AcadNusx" w:hAnsi="AcadNusx"/>
        </w:rPr>
        <w:tab/>
        <w:t>(yvelaze civi da cxeli Tveebis saSualo sidide)</w:t>
      </w:r>
    </w:p>
    <w:p w14:paraId="2BE89147" w14:textId="77777777" w:rsidR="00EA3205" w:rsidRPr="00B05F62" w:rsidRDefault="00EA3205" w:rsidP="00EA3205">
      <w:pPr>
        <w:rPr>
          <w:rFonts w:ascii="AcadNusx" w:hAnsi="AcadNusx"/>
        </w:rPr>
      </w:pPr>
    </w:p>
    <w:p w14:paraId="141A29F6" w14:textId="77777777" w:rsidR="00EA3205" w:rsidRPr="00B05F62" w:rsidRDefault="00EA3205" w:rsidP="00EA3205">
      <w:pPr>
        <w:rPr>
          <w:rFonts w:ascii="AcadNusx" w:hAnsi="AcadNusx"/>
        </w:rPr>
      </w:pPr>
      <w:r w:rsidRPr="00B05F62">
        <w:rPr>
          <w:rFonts w:ascii="AcadNusx" w:hAnsi="AcadNusx"/>
        </w:rPr>
        <w:t>konstruqciul elementebze moqmedi temperaturuli datvirTvebis gaangariSebisas gamoiyeneba Semdegi koeficientebi:</w:t>
      </w:r>
    </w:p>
    <w:p w14:paraId="4AC87BB0" w14:textId="77777777" w:rsidR="00EA3205" w:rsidRPr="00B05F62" w:rsidRDefault="00EA3205" w:rsidP="00EA3205">
      <w:pPr>
        <w:rPr>
          <w:rFonts w:ascii="AcadNusx" w:hAnsi="AcadNusx"/>
        </w:rPr>
      </w:pPr>
      <w:r w:rsidRPr="00B05F62">
        <w:rPr>
          <w:rFonts w:ascii="AcadNusx" w:hAnsi="AcadNusx"/>
        </w:rPr>
        <w:t xml:space="preserve">betonis siTburi gafarToebis koeficienti, </w:t>
      </w:r>
      <w:r w:rsidRPr="00B33417">
        <w:rPr>
          <w:rFonts w:ascii="Sylfaen" w:hAnsi="Sylfaen"/>
        </w:rPr>
        <w:t>a</w:t>
      </w:r>
      <w:r w:rsidRPr="00B33417">
        <w:rPr>
          <w:rFonts w:ascii="Sylfaen" w:hAnsi="Sylfaen"/>
        </w:rPr>
        <w:tab/>
      </w:r>
      <m:oMath>
        <m:r>
          <m:rPr>
            <m:sty m:val="p"/>
          </m:rPr>
          <w:rPr>
            <w:rFonts w:ascii="Cambria Math" w:hAnsi="Cambria Math"/>
          </w:rPr>
          <m:t>=10.8×</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oMath>
    </w:p>
    <w:p w14:paraId="083DE70F" w14:textId="77777777" w:rsidR="00EA3205" w:rsidRPr="00B05F62" w:rsidRDefault="00EA3205" w:rsidP="00EA3205">
      <w:pPr>
        <w:rPr>
          <w:rFonts w:ascii="AcadNusx" w:hAnsi="AcadNusx"/>
        </w:rPr>
      </w:pPr>
      <w:r w:rsidRPr="00B05F62">
        <w:rPr>
          <w:rFonts w:ascii="AcadNusx" w:hAnsi="AcadNusx"/>
        </w:rPr>
        <w:t xml:space="preserve">foladis siTburi gafarToebis koeficienti, </w:t>
      </w:r>
      <w:r w:rsidRPr="00B33417">
        <w:rPr>
          <w:rFonts w:ascii="Sylfaen" w:hAnsi="Sylfaen"/>
        </w:rPr>
        <w:t>a</w:t>
      </w:r>
      <w:r w:rsidRPr="00B33417">
        <w:rPr>
          <w:rFonts w:ascii="Sylfaen" w:hAnsi="Sylfaen"/>
        </w:rPr>
        <w:tab/>
      </w:r>
      <m:oMath>
        <m:r>
          <m:rPr>
            <m:sty m:val="p"/>
          </m:rPr>
          <w:rPr>
            <w:rFonts w:ascii="Cambria Math" w:hAnsi="Cambria Math"/>
          </w:rPr>
          <m:t>=11.7×</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oMath>
    </w:p>
    <w:p w14:paraId="49D5CEF0" w14:textId="77777777" w:rsidR="00EA3205" w:rsidRPr="00B05F62" w:rsidRDefault="00EA3205" w:rsidP="00EA3205">
      <w:pPr>
        <w:rPr>
          <w:rFonts w:ascii="AcadNusx" w:hAnsi="AcadNusx"/>
        </w:rPr>
      </w:pPr>
      <w:bookmarkStart w:id="143" w:name="_Toc498772946"/>
    </w:p>
    <w:bookmarkEnd w:id="143"/>
    <w:p w14:paraId="2A70B8A3" w14:textId="77777777" w:rsidR="00EA3205" w:rsidRPr="007D01FB" w:rsidRDefault="00EA3205" w:rsidP="00EA3205">
      <w:pPr>
        <w:rPr>
          <w:rFonts w:ascii="AcadNusx" w:hAnsi="AcadNusx"/>
          <w:b/>
        </w:rPr>
      </w:pPr>
      <w:r w:rsidRPr="007D01FB">
        <w:rPr>
          <w:rFonts w:ascii="AcadNusx" w:hAnsi="AcadNusx"/>
          <w:b/>
        </w:rPr>
        <w:t>Tovlis safaris datvirTva</w:t>
      </w:r>
    </w:p>
    <w:p w14:paraId="41680AD3" w14:textId="77777777" w:rsidR="00EA3205" w:rsidRPr="00B05F62" w:rsidRDefault="00EA3205" w:rsidP="00EA3205">
      <w:pPr>
        <w:rPr>
          <w:rFonts w:ascii="AcadNusx" w:hAnsi="AcadNusx"/>
          <w:lang w:val="en-US"/>
        </w:rPr>
      </w:pPr>
    </w:p>
    <w:p w14:paraId="4F7410AD" w14:textId="77777777" w:rsidR="00EA3205" w:rsidRPr="00B05F62" w:rsidRDefault="00EA3205" w:rsidP="00EA3205">
      <w:pPr>
        <w:rPr>
          <w:rFonts w:ascii="AcadNusx" w:hAnsi="AcadNusx"/>
        </w:rPr>
      </w:pPr>
      <w:r w:rsidRPr="00B05F62">
        <w:rPr>
          <w:rFonts w:ascii="AcadNusx" w:hAnsi="AcadNusx"/>
        </w:rPr>
        <w:t>saproeqto sagzao monakveTis garsmomcvel regionSi Tovlis safaris maqsimaluri wnevis sidided miRebulia 0.5 kn/m2.</w:t>
      </w:r>
    </w:p>
    <w:p w14:paraId="32B09663" w14:textId="77777777" w:rsidR="00EA3205" w:rsidRPr="00B05F62" w:rsidRDefault="00EA3205" w:rsidP="00EA3205">
      <w:pPr>
        <w:rPr>
          <w:rFonts w:ascii="AcadNusx" w:hAnsi="AcadNusx"/>
        </w:rPr>
      </w:pPr>
    </w:p>
    <w:p w14:paraId="3B863021" w14:textId="3308DA3B" w:rsidR="00EA3205" w:rsidRPr="00B05F62" w:rsidRDefault="00EA3205" w:rsidP="00B33417">
      <w:pPr>
        <w:pStyle w:val="Heading4"/>
      </w:pPr>
      <w:r w:rsidRPr="00B05F62">
        <w:t>4.</w:t>
      </w:r>
      <w:r w:rsidR="00B33417">
        <w:rPr>
          <w:lang w:val="en-US"/>
        </w:rPr>
        <w:t>1</w:t>
      </w:r>
      <w:r w:rsidR="00485FE3">
        <w:rPr>
          <w:rFonts w:ascii="Sylfaen" w:hAnsi="Sylfaen"/>
        </w:rPr>
        <w:t>2</w:t>
      </w:r>
      <w:r w:rsidRPr="00B05F62">
        <w:t>.6.4</w:t>
      </w:r>
      <w:r w:rsidRPr="00B05F62">
        <w:tab/>
        <w:t>samSeneblo teritoriis seismuroba</w:t>
      </w:r>
    </w:p>
    <w:p w14:paraId="2F386C3A" w14:textId="77777777" w:rsidR="00EA3205" w:rsidRPr="00485FE3" w:rsidRDefault="00EA3205" w:rsidP="00EA3205">
      <w:pPr>
        <w:rPr>
          <w:rFonts w:ascii="AcadNusx" w:hAnsi="AcadNusx"/>
          <w:lang w:val="ka-GE"/>
        </w:rPr>
      </w:pPr>
      <w:r w:rsidRPr="00485FE3">
        <w:rPr>
          <w:rFonts w:ascii="AcadNusx" w:hAnsi="AcadNusx"/>
          <w:lang w:val="ka-GE"/>
        </w:rPr>
        <w:t xml:space="preserve">proeqtiT gaTvaliswinebuli xidebi daproeqtdeba </w:t>
      </w:r>
      <w:r w:rsidRPr="00485FE3">
        <w:rPr>
          <w:rFonts w:ascii="Sylfaen" w:hAnsi="Sylfaen"/>
          <w:lang w:val="ka-GE"/>
        </w:rPr>
        <w:t>AASHTO</w:t>
      </w:r>
      <w:r w:rsidRPr="00485FE3">
        <w:rPr>
          <w:rFonts w:ascii="AcadNusx" w:hAnsi="AcadNusx"/>
          <w:lang w:val="ka-GE"/>
        </w:rPr>
        <w:t xml:space="preserve">-s </w:t>
      </w:r>
      <w:r w:rsidRPr="00485FE3">
        <w:rPr>
          <w:rFonts w:ascii="Sylfaen" w:hAnsi="Sylfaen"/>
          <w:lang w:val="ka-GE"/>
        </w:rPr>
        <w:t>LRFD</w:t>
      </w:r>
      <w:r w:rsidRPr="00485FE3">
        <w:rPr>
          <w:rFonts w:ascii="AcadNusx" w:hAnsi="AcadNusx"/>
          <w:lang w:val="ka-GE"/>
        </w:rPr>
        <w:t>-Si mocemuli “xidebis proeqtirebis konceptualuri midgomis” gamoyenebiT, romlis Tanaxmadac _ “xidebi unda daproeqtdnen mwyobridan gamosvlis dabali albaTobiT, Tumca SeiZleba ganicadon mniSvnelovani dazianebebi da saeqspluatacio xasiaTis Seferxebebi 75-wlian periodSi gadaWarbebis 7%-iani albaTobis mqone seismuri movlenebiT gamowveuli miwis ryevebis moqmedebiT”.</w:t>
      </w:r>
    </w:p>
    <w:p w14:paraId="229CC6E9" w14:textId="77777777" w:rsidR="00EA3205" w:rsidRPr="00485FE3" w:rsidRDefault="00EA3205" w:rsidP="00EA3205">
      <w:pPr>
        <w:rPr>
          <w:rFonts w:ascii="AcadNusx" w:hAnsi="AcadNusx"/>
          <w:lang w:val="ka-GE"/>
        </w:rPr>
      </w:pPr>
    </w:p>
    <w:p w14:paraId="7387AA50" w14:textId="77777777" w:rsidR="00EA3205" w:rsidRPr="00B05F62" w:rsidRDefault="00EA3205" w:rsidP="00EA3205">
      <w:pPr>
        <w:rPr>
          <w:rFonts w:ascii="AcadNusx" w:hAnsi="AcadNusx"/>
        </w:rPr>
      </w:pPr>
      <w:r w:rsidRPr="00B05F62">
        <w:rPr>
          <w:rFonts w:ascii="AcadNusx" w:hAnsi="AcadNusx"/>
        </w:rPr>
        <w:t>maTematikuri gamoTvlebiT SeiZleba inaxos, rom zemoT miTiTebuli gadaWarbebis albaTobis mqone movlenis ganmeorebadobis periodi miaxloebiT 1000 wels Seadgens. 1000-wliani ganmeorebadobis seismuri safrTxis saangariSo sidideebi saqarTveloSi xelmisawvdomi ar aris. normatiul dokumentSi “sndw seismomedegi mSenebloba” (pn 01.01.09) mocemul “seismuri saSiSroebis rukaze” naCvenebia dasaxlebuli punqtebisTvis gansazRvruli “maqsimaluri horizontaluri aCqarebebi” da “seismuri intensiurobebi” (balebi), romlebic Seesabamebian 50-wlian periodSi gadaWarbebis 2%-ian albaTobas (2475-wlian ganmeorebadobis periods).</w:t>
      </w:r>
    </w:p>
    <w:p w14:paraId="369DBED1" w14:textId="52890F8F" w:rsidR="00EA3205" w:rsidRPr="00B05F62" w:rsidRDefault="007D01FB" w:rsidP="00EA3205">
      <w:pPr>
        <w:rPr>
          <w:rFonts w:ascii="AcadNusx" w:hAnsi="AcadNusx"/>
          <w:lang w:eastAsia="en-GB"/>
        </w:rPr>
      </w:pPr>
      <w:r>
        <w:rPr>
          <w:noProof/>
          <w:lang w:val="en-US" w:eastAsia="en-US"/>
        </w:rPr>
        <w:lastRenderedPageBreak/>
        <w:drawing>
          <wp:inline distT="0" distB="0" distL="0" distR="0" wp14:anchorId="6F26C726" wp14:editId="3DB2F3B7">
            <wp:extent cx="6457315" cy="3622675"/>
            <wp:effectExtent l="0" t="0" r="635" b="0"/>
            <wp:docPr id="448" name="Picture 448" descr="D:\my docs\Bakurtsikhe-tsnori\bakurcixe-wnori\ESIA reports\მეორე ეტაპისტის\Untitled.png"/>
            <wp:cNvGraphicFramePr/>
            <a:graphic xmlns:a="http://schemas.openxmlformats.org/drawingml/2006/main">
              <a:graphicData uri="http://schemas.openxmlformats.org/drawingml/2006/picture">
                <pic:pic xmlns:pic="http://schemas.openxmlformats.org/drawingml/2006/picture">
                  <pic:nvPicPr>
                    <pic:cNvPr id="263" name="Picture 263" descr="D:\my docs\Bakurtsikhe-tsnori\bakurcixe-wnori\ESIA reports\მეორე ეტაპისტის\Untitled.png"/>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6457315" cy="3622675"/>
                    </a:xfrm>
                    <a:prstGeom prst="rect">
                      <a:avLst/>
                    </a:prstGeom>
                    <a:noFill/>
                    <a:ln>
                      <a:noFill/>
                    </a:ln>
                  </pic:spPr>
                </pic:pic>
              </a:graphicData>
            </a:graphic>
          </wp:inline>
        </w:drawing>
      </w:r>
    </w:p>
    <w:p w14:paraId="5CAE2639" w14:textId="12341574" w:rsidR="00EA3205" w:rsidRPr="00B05F62" w:rsidRDefault="00EA3205" w:rsidP="00EA3205">
      <w:pPr>
        <w:rPr>
          <w:rFonts w:ascii="AcadNusx" w:hAnsi="AcadNusx"/>
        </w:rPr>
      </w:pPr>
    </w:p>
    <w:p w14:paraId="1FFD51CB" w14:textId="4CC62FF3" w:rsidR="00EA3205" w:rsidRPr="00B05F62" w:rsidRDefault="00EA3205" w:rsidP="00EA3205">
      <w:pPr>
        <w:rPr>
          <w:rFonts w:ascii="AcadNusx" w:hAnsi="AcadNusx"/>
        </w:rPr>
      </w:pPr>
      <w:r w:rsidRPr="00B05F62">
        <w:rPr>
          <w:rFonts w:ascii="AcadNusx" w:hAnsi="AcadNusx"/>
        </w:rPr>
        <w:t>suraTi 4.</w:t>
      </w:r>
      <w:r w:rsidR="00485FE3">
        <w:rPr>
          <w:rFonts w:ascii="AcadNusx" w:hAnsi="AcadNusx"/>
        </w:rPr>
        <w:t>12</w:t>
      </w:r>
      <w:r w:rsidR="00B33417">
        <w:rPr>
          <w:rFonts w:ascii="AcadNusx" w:hAnsi="AcadNusx"/>
        </w:rPr>
        <w:t>.6.4-1</w:t>
      </w:r>
      <w:r w:rsidRPr="00B05F62">
        <w:rPr>
          <w:rFonts w:ascii="AcadNusx" w:hAnsi="AcadNusx"/>
        </w:rPr>
        <w:t>. seismuri saSiSroebis ruka (sndw “seismomedegi mSenebloba” (pn 01.01.09))</w:t>
      </w:r>
    </w:p>
    <w:p w14:paraId="5437A09A" w14:textId="77777777" w:rsidR="00EA3205" w:rsidRPr="00B05F62" w:rsidRDefault="00EA3205" w:rsidP="00EA3205">
      <w:pPr>
        <w:rPr>
          <w:rFonts w:ascii="AcadNusx" w:hAnsi="AcadNusx"/>
          <w:lang w:eastAsia="en-GB" w:bidi="th-TH"/>
        </w:rPr>
      </w:pPr>
    </w:p>
    <w:p w14:paraId="75191533" w14:textId="77777777" w:rsidR="00EA3205" w:rsidRPr="00B05F62" w:rsidRDefault="00EA3205" w:rsidP="00EA3205">
      <w:pPr>
        <w:rPr>
          <w:rFonts w:ascii="AcadNusx" w:hAnsi="AcadNusx"/>
        </w:rPr>
      </w:pPr>
      <w:r w:rsidRPr="00B05F62">
        <w:rPr>
          <w:rFonts w:ascii="AcadNusx" w:hAnsi="AcadNusx"/>
        </w:rPr>
        <w:t xml:space="preserve">saproeqto gzis garsmomcveli teritoria Sedis 9-baliani seismuri saSiSroebis zonaSi, romlisTvisac gansazRvruli maqsimaluri horizontaluri aCqarebebi 0.26g-0.28g SualedSi icvleba. </w:t>
      </w:r>
    </w:p>
    <w:p w14:paraId="20DFB7F1" w14:textId="77777777" w:rsidR="00EA3205" w:rsidRPr="00B05F62" w:rsidRDefault="00EA3205" w:rsidP="00EA3205">
      <w:pPr>
        <w:rPr>
          <w:rFonts w:ascii="AcadNusx" w:hAnsi="AcadNusx"/>
        </w:rPr>
      </w:pPr>
      <w:r w:rsidRPr="00B05F62">
        <w:rPr>
          <w:rFonts w:ascii="AcadNusx" w:hAnsi="AcadNusx"/>
        </w:rPr>
        <w:t>sxva sididis gadaWarbebis albaTobis Sesabamisi monacemebi, romelTa interpolirebiT SesaZlebeli iqneboda 1000-wliani ganmeorebadobis seismuri safrTxis gaangariSeba, xelmisawvdomi ar aris. amitom “maqsimaluri saangariSo miwisZvris” (</w:t>
      </w:r>
      <w:r w:rsidRPr="007D01FB">
        <w:rPr>
          <w:rFonts w:ascii="Sylfaen" w:hAnsi="Sylfaen"/>
        </w:rPr>
        <w:t>DBE</w:t>
      </w:r>
      <w:r w:rsidRPr="00B05F62">
        <w:rPr>
          <w:rFonts w:ascii="AcadNusx" w:hAnsi="AcadNusx"/>
        </w:rPr>
        <w:t xml:space="preserve">) parametrebis gasaangariSeblad, arsebuli monacemebi mravldeba 2/3-is tol gadamyvan koeficientze. </w:t>
      </w:r>
    </w:p>
    <w:p w14:paraId="426E2238" w14:textId="77777777" w:rsidR="00EA3205" w:rsidRPr="00B05F62" w:rsidRDefault="00EA3205" w:rsidP="00EA3205">
      <w:pPr>
        <w:rPr>
          <w:rFonts w:ascii="AcadNusx" w:hAnsi="AcadNusx"/>
        </w:rPr>
      </w:pPr>
      <w:r w:rsidRPr="00B05F62">
        <w:rPr>
          <w:rFonts w:ascii="AcadNusx" w:hAnsi="AcadNusx"/>
        </w:rPr>
        <w:t xml:space="preserve">aRsaniSnavia, rom erTmaliani xidi seismur datvirTvebze gaangariSebas ar moiTxovs. sadac es proeqtiT gaTvaliswinebulia, ramdenime maliani xidebis winaswari proeqtireba Sesrulebulia konkretuli teritoriis saangariSo seismurobis (“seismuri moTxovnis”) gaTvaliswinebiT, romelic gamoiTvleba “reaqciis speqtris” datvirTvis saxiT. </w:t>
      </w:r>
    </w:p>
    <w:p w14:paraId="16238408" w14:textId="77777777" w:rsidR="00EA3205" w:rsidRPr="00B05F62" w:rsidRDefault="00EA3205" w:rsidP="00EA3205">
      <w:pPr>
        <w:rPr>
          <w:rFonts w:ascii="AcadNusx" w:hAnsi="AcadNusx"/>
        </w:rPr>
      </w:pPr>
    </w:p>
    <w:p w14:paraId="6B8CD788" w14:textId="0C5F74AE" w:rsidR="00EA3205" w:rsidRPr="00B05F62" w:rsidRDefault="00EA3205" w:rsidP="00B33417">
      <w:pPr>
        <w:pStyle w:val="Heading4"/>
      </w:pPr>
      <w:r w:rsidRPr="00B05F62">
        <w:t>4.</w:t>
      </w:r>
      <w:r w:rsidR="00485FE3">
        <w:rPr>
          <w:rFonts w:ascii="Sylfaen" w:hAnsi="Sylfaen"/>
        </w:rPr>
        <w:t>12</w:t>
      </w:r>
      <w:r w:rsidRPr="00B05F62">
        <w:t>.6.5</w:t>
      </w:r>
      <w:r w:rsidRPr="00B05F62">
        <w:tab/>
      </w:r>
      <w:r w:rsidR="00485FE3">
        <w:rPr>
          <w:rFonts w:ascii="Sylfaen" w:hAnsi="Sylfaen"/>
        </w:rPr>
        <w:t>მეორადი დატვირთვები</w:t>
      </w:r>
    </w:p>
    <w:p w14:paraId="3F50A5F9" w14:textId="708E81F8" w:rsidR="00EA3205" w:rsidRPr="007D01FB" w:rsidRDefault="00485FE3" w:rsidP="00EA3205">
      <w:pPr>
        <w:rPr>
          <w:rFonts w:ascii="AcadNusx" w:hAnsi="AcadNusx"/>
          <w:b/>
        </w:rPr>
      </w:pPr>
      <w:r>
        <w:rPr>
          <w:rFonts w:ascii="Sylfaen" w:hAnsi="Sylfaen"/>
          <w:b/>
          <w:lang w:val="ka-GE"/>
        </w:rPr>
        <w:t>შეკლება</w:t>
      </w:r>
    </w:p>
    <w:p w14:paraId="4B900EAF" w14:textId="77777777" w:rsidR="00EA3205" w:rsidRPr="00B05F62" w:rsidRDefault="00EA3205" w:rsidP="00B33417">
      <w:pPr>
        <w:spacing w:before="120" w:after="120"/>
        <w:rPr>
          <w:rFonts w:ascii="AcadNusx" w:hAnsi="AcadNusx"/>
        </w:rPr>
      </w:pPr>
      <w:r w:rsidRPr="00B05F62">
        <w:rPr>
          <w:rFonts w:ascii="AcadNusx" w:hAnsi="AcadNusx"/>
        </w:rPr>
        <w:t xml:space="preserve">zogadad, SeklebiT gamowveuli deformaciis gaangariSebisas mxedvelobSi miiReba, rom xidis betonis elementebi daitvirTeba maT mier sruli simtkicis akrefis Semdeg. Seklebis efeqti iangariSeba </w:t>
      </w:r>
      <w:r w:rsidRPr="00B33417">
        <w:rPr>
          <w:rFonts w:ascii="Sylfaen" w:hAnsi="Sylfaen"/>
        </w:rPr>
        <w:t>AASHTO</w:t>
      </w:r>
      <w:r w:rsidRPr="00B05F62">
        <w:rPr>
          <w:rFonts w:ascii="AcadNusx" w:hAnsi="AcadNusx"/>
        </w:rPr>
        <w:t>-s Sesabamisi debulebebis mixedviT.</w:t>
      </w:r>
    </w:p>
    <w:p w14:paraId="65D975F2" w14:textId="77777777" w:rsidR="00EA3205" w:rsidRPr="00B05F62" w:rsidRDefault="00EA3205" w:rsidP="00B33417">
      <w:pPr>
        <w:spacing w:before="120" w:after="120"/>
        <w:rPr>
          <w:rFonts w:ascii="AcadNusx" w:hAnsi="AcadNusx"/>
        </w:rPr>
      </w:pPr>
      <w:r w:rsidRPr="00B05F62">
        <w:rPr>
          <w:rFonts w:ascii="AcadNusx" w:hAnsi="AcadNusx"/>
        </w:rPr>
        <w:t xml:space="preserve">daSvebulia, rom SeklebiT gamowveuli maqsimaluri fardobiTi deformacia Seadgens 0.0005-s. agreTve gaTvaliswinebulia, rom tradiciul rkinabetonis elementebSi SeklebiT gamowveuli deformacia SeiZleba modelirdes rogorc “temperaturis dawevis” Sedegi. “elementebis temperaturuli (siTburi) datvirTvebis” monacemebis Sesabamisad, 0.0005-is toli fardobiTi deformaciis Sesatyvisi temperaturis cvlileba Seadgens </w:t>
      </w:r>
      <m:oMath>
        <m:r>
          <m:rPr>
            <m:sty m:val="p"/>
          </m:rPr>
          <w:rPr>
            <w:rFonts w:ascii="Cambria Math" w:hAnsi="Cambria Math"/>
          </w:rPr>
          <m:t>∆</m:t>
        </m:r>
        <m:r>
          <w:rPr>
            <w:rFonts w:ascii="Cambria Math" w:hAnsi="Cambria Math"/>
          </w:rPr>
          <m:t>T</m:t>
        </m:r>
        <m:r>
          <m:rPr>
            <m:sty m:val="p"/>
          </m:rPr>
          <w:rPr>
            <w:rFonts w:ascii="Cambria Math" w:hAnsi="Cambria Math"/>
          </w:rPr>
          <m:t>=</m:t>
        </m:r>
        <m:f>
          <m:fPr>
            <m:ctrlPr>
              <w:rPr>
                <w:rFonts w:ascii="Cambria Math" w:hAnsi="Cambria Math"/>
              </w:rPr>
            </m:ctrlPr>
          </m:fPr>
          <m:num>
            <m:r>
              <m:rPr>
                <m:sty m:val="p"/>
              </m:rPr>
              <w:rPr>
                <w:rFonts w:ascii="Cambria Math" w:hAnsi="Cambria Math"/>
              </w:rPr>
              <m:t>0.0005</m:t>
            </m:r>
          </m:num>
          <m:den>
            <m:r>
              <m:rPr>
                <m:sty m:val="p"/>
              </m:rPr>
              <w:rPr>
                <w:rFonts w:ascii="Cambria Math" w:hAnsi="Cambria Math"/>
              </w:rPr>
              <m:t>10.8×</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den>
        </m:f>
        <m:r>
          <m:rPr>
            <m:sty m:val="p"/>
          </m:rPr>
          <w:rPr>
            <w:rFonts w:ascii="Cambria Math" w:hAnsi="Cambria Math"/>
          </w:rPr>
          <m:t>≅</m:t>
        </m:r>
        <m:sSup>
          <m:sSupPr>
            <m:ctrlPr>
              <w:rPr>
                <w:rFonts w:ascii="Cambria Math" w:hAnsi="Cambria Math"/>
              </w:rPr>
            </m:ctrlPr>
          </m:sSupPr>
          <m:e>
            <m:r>
              <m:rPr>
                <m:sty m:val="p"/>
              </m:rPr>
              <w:rPr>
                <w:rFonts w:ascii="Cambria Math" w:hAnsi="Cambria Math"/>
              </w:rPr>
              <m:t>46.3</m:t>
            </m:r>
          </m:e>
          <m:sup>
            <m:r>
              <m:rPr>
                <m:sty m:val="p"/>
              </m:rPr>
              <w:rPr>
                <w:rFonts w:ascii="Cambria Math" w:hAnsi="Cambria Math"/>
              </w:rPr>
              <w:sym w:font="Symbol" w:char="F0B0"/>
            </m:r>
          </m:sup>
        </m:sSup>
      </m:oMath>
      <w:r w:rsidRPr="00B33417">
        <w:rPr>
          <w:rFonts w:ascii="Sylfaen" w:hAnsi="Sylfaen"/>
        </w:rPr>
        <w:t>C</w:t>
      </w:r>
      <w:r w:rsidRPr="00B05F62">
        <w:rPr>
          <w:rFonts w:ascii="AcadNusx" w:hAnsi="AcadNusx"/>
        </w:rPr>
        <w:t>-s.</w:t>
      </w:r>
    </w:p>
    <w:p w14:paraId="628EAA71" w14:textId="77777777" w:rsidR="00EA3205" w:rsidRPr="00B05F62" w:rsidRDefault="00EA3205" w:rsidP="00EA3205">
      <w:pPr>
        <w:rPr>
          <w:rFonts w:ascii="AcadNusx" w:hAnsi="AcadNusx"/>
        </w:rPr>
      </w:pPr>
    </w:p>
    <w:p w14:paraId="162D8F9D" w14:textId="77777777" w:rsidR="00EA3205" w:rsidRPr="00B05F62" w:rsidRDefault="00EA3205" w:rsidP="00EA3205">
      <w:pPr>
        <w:rPr>
          <w:rFonts w:ascii="AcadNusx" w:hAnsi="AcadNusx"/>
        </w:rPr>
      </w:pPr>
      <w:r w:rsidRPr="00B05F62">
        <w:rPr>
          <w:rFonts w:ascii="AcadNusx" w:eastAsiaTheme="minorEastAsia" w:hAnsi="AcadNusx"/>
        </w:rPr>
        <w:lastRenderedPageBreak/>
        <w:t>winaswari daZabuli konstruqciebis gaangariSebisTvis Seklebis daZabulobis detaluri gamoTvlebi dafuZnebulia samuSaos TiToeul safexurze gansazRvrul betonis simtkiceze, cementis moxmarebis tipze da sxva Sesabamis parametrebze.</w:t>
      </w:r>
    </w:p>
    <w:p w14:paraId="6CEB365A" w14:textId="77777777" w:rsidR="00EA3205" w:rsidRPr="00B05F62" w:rsidRDefault="00EA3205" w:rsidP="00EA3205">
      <w:pPr>
        <w:rPr>
          <w:rFonts w:ascii="AcadNusx" w:eastAsiaTheme="minorEastAsia" w:hAnsi="AcadNusx"/>
        </w:rPr>
      </w:pPr>
    </w:p>
    <w:p w14:paraId="1690FD01" w14:textId="5996E029" w:rsidR="00EA3205" w:rsidRPr="007D01FB" w:rsidRDefault="00485FE3" w:rsidP="00EA3205">
      <w:pPr>
        <w:rPr>
          <w:rFonts w:ascii="AcadNusx" w:hAnsi="AcadNusx"/>
          <w:b/>
        </w:rPr>
      </w:pPr>
      <w:r>
        <w:rPr>
          <w:rFonts w:ascii="Sylfaen" w:hAnsi="Sylfaen"/>
          <w:b/>
          <w:lang w:val="ka-GE"/>
        </w:rPr>
        <w:t>ცოცვავადობა</w:t>
      </w:r>
    </w:p>
    <w:p w14:paraId="5346CED4" w14:textId="77777777" w:rsidR="00EA3205" w:rsidRPr="00B05F62" w:rsidRDefault="00EA3205" w:rsidP="00EA3205">
      <w:pPr>
        <w:rPr>
          <w:rFonts w:ascii="AcadNusx" w:hAnsi="AcadNusx"/>
        </w:rPr>
      </w:pPr>
    </w:p>
    <w:p w14:paraId="5E796F15" w14:textId="77777777" w:rsidR="00EA3205" w:rsidRPr="00B05F62" w:rsidRDefault="00EA3205" w:rsidP="00EA3205">
      <w:pPr>
        <w:rPr>
          <w:rFonts w:ascii="AcadNusx" w:hAnsi="AcadNusx"/>
        </w:rPr>
      </w:pPr>
      <w:r w:rsidRPr="00B05F62">
        <w:rPr>
          <w:rFonts w:ascii="AcadNusx" w:hAnsi="AcadNusx"/>
        </w:rPr>
        <w:t xml:space="preserve">winaswar daZabuli konstruqciebis gaangariSebisas, cocvadobis efeqti detalurad ganisazRvreba </w:t>
      </w:r>
      <w:r w:rsidRPr="00B33417">
        <w:rPr>
          <w:rFonts w:ascii="Sylfaen" w:hAnsi="Sylfaen"/>
        </w:rPr>
        <w:t>AASHTO</w:t>
      </w:r>
      <w:r w:rsidRPr="00B05F62">
        <w:rPr>
          <w:rFonts w:ascii="AcadNusx" w:hAnsi="AcadNusx"/>
        </w:rPr>
        <w:t>-s/</w:t>
      </w:r>
      <w:r w:rsidRPr="00B33417">
        <w:rPr>
          <w:rFonts w:ascii="Sylfaen" w:hAnsi="Sylfaen"/>
        </w:rPr>
        <w:t>LRFD</w:t>
      </w:r>
      <w:r w:rsidRPr="00B05F62">
        <w:rPr>
          <w:rFonts w:ascii="AcadNusx" w:hAnsi="AcadNusx"/>
        </w:rPr>
        <w:t xml:space="preserve">-is dokumentSi mocemuli “cocvadobis gaangariSebis” instruqciis Sesabamisad. cocvadobis koeficientis gamoTvlisas mxedvelobaSi miiReba elementis datvirTva da geometriuli maxasiaTeblebi. savaraudo cocvadobis koeficientis mrudi ilustrirebulia momdevno suraTze. </w:t>
      </w:r>
    </w:p>
    <w:p w14:paraId="73A77130" w14:textId="221AEC5F" w:rsidR="00EA3205" w:rsidRPr="00B05F62" w:rsidRDefault="00EA3205" w:rsidP="00EA3205">
      <w:pPr>
        <w:rPr>
          <w:rFonts w:ascii="AcadNusx" w:hAnsi="AcadNusx"/>
        </w:rPr>
      </w:pPr>
      <w:r w:rsidRPr="00B05F62">
        <w:rPr>
          <w:rFonts w:ascii="AcadNusx" w:hAnsi="AcadNusx"/>
          <w:noProof/>
          <w:lang w:val="en-US" w:eastAsia="en-US"/>
        </w:rPr>
        <w:drawing>
          <wp:inline distT="0" distB="0" distL="0" distR="0" wp14:anchorId="01CDC6AF" wp14:editId="2C285393">
            <wp:extent cx="5572760" cy="2415540"/>
            <wp:effectExtent l="0" t="0" r="8890" b="3810"/>
            <wp:docPr id="324" name="Chart 324"/>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9AE223D" w14:textId="498BBBE0" w:rsidR="00EA3205" w:rsidRPr="00B05F62" w:rsidRDefault="00EA3205" w:rsidP="00EA3205">
      <w:pPr>
        <w:rPr>
          <w:rFonts w:ascii="AcadNusx" w:hAnsi="AcadNusx"/>
        </w:rPr>
      </w:pPr>
      <w:bookmarkStart w:id="144" w:name="_Ref497300316"/>
      <w:r w:rsidRPr="00B05F62">
        <w:rPr>
          <w:rFonts w:ascii="AcadNusx" w:hAnsi="AcadNusx"/>
        </w:rPr>
        <w:t>suraTi 4.</w:t>
      </w:r>
      <w:r w:rsidR="00BC62DB">
        <w:rPr>
          <w:rFonts w:ascii="AcadNusx" w:hAnsi="AcadNusx"/>
        </w:rPr>
        <w:t>1</w:t>
      </w:r>
      <w:r w:rsidR="00485FE3">
        <w:rPr>
          <w:rFonts w:ascii="Sylfaen" w:hAnsi="Sylfaen"/>
          <w:lang w:val="ka-GE"/>
        </w:rPr>
        <w:t>2</w:t>
      </w:r>
      <w:r w:rsidR="00BC62DB">
        <w:rPr>
          <w:rFonts w:ascii="AcadNusx" w:hAnsi="AcadNusx"/>
        </w:rPr>
        <w:t>.6.5.-1</w:t>
      </w:r>
      <w:r w:rsidRPr="00B05F62">
        <w:rPr>
          <w:rFonts w:ascii="AcadNusx" w:hAnsi="AcadNusx"/>
        </w:rPr>
        <w:tab/>
        <w:t>cocvadobis koeficientis tipiuri mrudi</w:t>
      </w:r>
    </w:p>
    <w:p w14:paraId="28647C44" w14:textId="77777777" w:rsidR="00EA3205" w:rsidRPr="00B05F62" w:rsidRDefault="00EA3205" w:rsidP="00EA3205">
      <w:pPr>
        <w:rPr>
          <w:rFonts w:ascii="AcadNusx" w:hAnsi="AcadNusx"/>
        </w:rPr>
      </w:pPr>
    </w:p>
    <w:p w14:paraId="32000B27" w14:textId="77777777" w:rsidR="00EA3205" w:rsidRPr="00B05F62" w:rsidRDefault="00EA3205" w:rsidP="00EA3205">
      <w:pPr>
        <w:rPr>
          <w:rFonts w:ascii="AcadNusx" w:hAnsi="AcadNusx"/>
        </w:rPr>
      </w:pPr>
    </w:p>
    <w:p w14:paraId="46B8B7D3" w14:textId="5EC83B5E" w:rsidR="00EA3205" w:rsidRPr="00BC62DB" w:rsidRDefault="00EA3205" w:rsidP="00BC62DB">
      <w:pPr>
        <w:pStyle w:val="Heading3"/>
        <w:rPr>
          <w:rFonts w:ascii="AcadNusx" w:hAnsi="AcadNusx"/>
        </w:rPr>
      </w:pPr>
      <w:bookmarkStart w:id="145" w:name="_Toc1581524"/>
      <w:bookmarkEnd w:id="144"/>
      <w:r w:rsidRPr="00BC62DB">
        <w:rPr>
          <w:rFonts w:ascii="AcadNusx" w:hAnsi="AcadNusx"/>
        </w:rPr>
        <w:t>4.</w:t>
      </w:r>
      <w:r w:rsidR="00BC62DB">
        <w:rPr>
          <w:rFonts w:ascii="AcadNusx" w:hAnsi="AcadNusx"/>
        </w:rPr>
        <w:t>1</w:t>
      </w:r>
      <w:r w:rsidR="00485FE3">
        <w:rPr>
          <w:rFonts w:ascii="Sylfaen" w:hAnsi="Sylfaen"/>
          <w:lang w:val="ka-GE"/>
        </w:rPr>
        <w:t>2</w:t>
      </w:r>
      <w:r w:rsidRPr="00BC62DB">
        <w:rPr>
          <w:rFonts w:ascii="AcadNusx" w:hAnsi="AcadNusx"/>
        </w:rPr>
        <w:t>.7</w:t>
      </w:r>
      <w:r w:rsidRPr="00BC62DB">
        <w:rPr>
          <w:rFonts w:ascii="AcadNusx" w:hAnsi="AcadNusx"/>
        </w:rPr>
        <w:tab/>
      </w:r>
      <w:r w:rsidR="00485FE3">
        <w:rPr>
          <w:rFonts w:ascii="Sylfaen" w:hAnsi="Sylfaen"/>
          <w:lang w:val="ka-GE"/>
        </w:rPr>
        <w:t>წინასწარი პროექტირება</w:t>
      </w:r>
      <w:bookmarkEnd w:id="145"/>
    </w:p>
    <w:p w14:paraId="3770FFA1" w14:textId="77777777" w:rsidR="00EA3205" w:rsidRPr="00B05F62" w:rsidRDefault="00EA3205" w:rsidP="00EA3205">
      <w:pPr>
        <w:rPr>
          <w:rFonts w:ascii="AcadNusx" w:hAnsi="AcadNusx"/>
        </w:rPr>
      </w:pPr>
    </w:p>
    <w:p w14:paraId="050BA580" w14:textId="58278956" w:rsidR="00EA3205" w:rsidRPr="00B05F62" w:rsidRDefault="00EA3205" w:rsidP="00BC62DB">
      <w:pPr>
        <w:pStyle w:val="Heading4"/>
      </w:pPr>
      <w:r w:rsidRPr="00B05F62">
        <w:t>4.</w:t>
      </w:r>
      <w:r w:rsidR="00BC62DB">
        <w:rPr>
          <w:lang w:val="en-US"/>
        </w:rPr>
        <w:t>1</w:t>
      </w:r>
      <w:r w:rsidR="00485FE3">
        <w:rPr>
          <w:rFonts w:ascii="Sylfaen" w:hAnsi="Sylfaen"/>
        </w:rPr>
        <w:t>2</w:t>
      </w:r>
      <w:r w:rsidRPr="00B05F62">
        <w:t>.7.1</w:t>
      </w:r>
      <w:r w:rsidRPr="00B05F62">
        <w:tab/>
      </w:r>
      <w:r w:rsidR="00485FE3">
        <w:rPr>
          <w:rFonts w:ascii="Sylfaen" w:hAnsi="Sylfaen"/>
        </w:rPr>
        <w:t>საძირკვლები</w:t>
      </w:r>
    </w:p>
    <w:p w14:paraId="4605FB58" w14:textId="306BCEEB" w:rsidR="00905EBC" w:rsidRPr="00905EBC" w:rsidRDefault="00905EBC" w:rsidP="00905EBC">
      <w:pPr>
        <w:spacing w:before="120" w:after="120"/>
        <w:rPr>
          <w:rFonts w:ascii="AcadNusx" w:hAnsi="AcadNusx"/>
        </w:rPr>
      </w:pPr>
      <w:r w:rsidRPr="00905EBC">
        <w:rPr>
          <w:rFonts w:ascii="Sylfaen" w:hAnsi="Sylfaen" w:cs="Sylfaen"/>
        </w:rPr>
        <w:t>ჩატარებულია</w:t>
      </w:r>
      <w:r w:rsidRPr="00905EBC">
        <w:rPr>
          <w:rFonts w:ascii="AcadNusx" w:hAnsi="AcadNusx"/>
        </w:rPr>
        <w:t xml:space="preserve"> </w:t>
      </w:r>
      <w:r w:rsidRPr="00905EBC">
        <w:rPr>
          <w:rFonts w:ascii="Sylfaen" w:hAnsi="Sylfaen" w:cs="Sylfaen"/>
        </w:rPr>
        <w:t>საწყისი</w:t>
      </w:r>
      <w:r w:rsidRPr="00905EBC">
        <w:rPr>
          <w:rFonts w:ascii="AcadNusx" w:hAnsi="AcadNusx"/>
        </w:rPr>
        <w:t xml:space="preserve"> </w:t>
      </w:r>
      <w:r w:rsidRPr="00905EBC">
        <w:rPr>
          <w:rFonts w:ascii="Sylfaen" w:hAnsi="Sylfaen" w:cs="Sylfaen"/>
        </w:rPr>
        <w:t>კვლევები</w:t>
      </w:r>
      <w:r w:rsidRPr="00905EBC">
        <w:rPr>
          <w:rFonts w:ascii="AcadNusx" w:hAnsi="AcadNusx"/>
        </w:rPr>
        <w:t xml:space="preserve"> </w:t>
      </w:r>
      <w:r w:rsidRPr="00905EBC">
        <w:rPr>
          <w:rFonts w:ascii="Sylfaen" w:hAnsi="Sylfaen" w:cs="Sylfaen"/>
        </w:rPr>
        <w:t>ახალი</w:t>
      </w:r>
      <w:r w:rsidRPr="00905EBC">
        <w:rPr>
          <w:rFonts w:ascii="AcadNusx" w:hAnsi="AcadNusx"/>
        </w:rPr>
        <w:t xml:space="preserve"> </w:t>
      </w:r>
      <w:r w:rsidRPr="00905EBC">
        <w:rPr>
          <w:rFonts w:ascii="Sylfaen" w:hAnsi="Sylfaen" w:cs="Sylfaen"/>
        </w:rPr>
        <w:t>ხიდების</w:t>
      </w:r>
      <w:r w:rsidRPr="00905EBC">
        <w:rPr>
          <w:rFonts w:ascii="AcadNusx" w:hAnsi="AcadNusx"/>
        </w:rPr>
        <w:t xml:space="preserve"> </w:t>
      </w:r>
      <w:r w:rsidRPr="00905EBC">
        <w:rPr>
          <w:rFonts w:ascii="Sylfaen" w:hAnsi="Sylfaen" w:cs="Sylfaen"/>
        </w:rPr>
        <w:t>სავარაუდო</w:t>
      </w:r>
      <w:r w:rsidRPr="00905EBC">
        <w:rPr>
          <w:rFonts w:ascii="AcadNusx" w:hAnsi="AcadNusx"/>
        </w:rPr>
        <w:t xml:space="preserve"> </w:t>
      </w:r>
      <w:r w:rsidRPr="00905EBC">
        <w:rPr>
          <w:rFonts w:ascii="Sylfaen" w:hAnsi="Sylfaen" w:cs="Sylfaen"/>
        </w:rPr>
        <w:t>სამშენებლო</w:t>
      </w:r>
      <w:r w:rsidRPr="00905EBC">
        <w:rPr>
          <w:rFonts w:ascii="AcadNusx" w:hAnsi="AcadNusx"/>
        </w:rPr>
        <w:t xml:space="preserve"> </w:t>
      </w:r>
      <w:r w:rsidRPr="00905EBC">
        <w:rPr>
          <w:rFonts w:ascii="Sylfaen" w:hAnsi="Sylfaen" w:cs="Sylfaen"/>
        </w:rPr>
        <w:t>მოედნებთან</w:t>
      </w:r>
      <w:r>
        <w:rPr>
          <w:rFonts w:ascii="Sylfaen" w:hAnsi="Sylfaen" w:cs="Sylfaen"/>
        </w:rPr>
        <w:t xml:space="preserve"> </w:t>
      </w:r>
      <w:r w:rsidRPr="00905EBC">
        <w:rPr>
          <w:rFonts w:ascii="Sylfaen" w:hAnsi="Sylfaen" w:cs="Sylfaen"/>
        </w:rPr>
        <w:t>გრუნტის</w:t>
      </w:r>
      <w:r w:rsidRPr="00905EBC">
        <w:rPr>
          <w:rFonts w:ascii="AcadNusx" w:hAnsi="AcadNusx"/>
        </w:rPr>
        <w:t xml:space="preserve"> </w:t>
      </w:r>
      <w:r w:rsidRPr="00905EBC">
        <w:rPr>
          <w:rFonts w:ascii="Sylfaen" w:hAnsi="Sylfaen" w:cs="Sylfaen"/>
        </w:rPr>
        <w:t>შედარებით</w:t>
      </w:r>
      <w:r w:rsidRPr="00905EBC">
        <w:rPr>
          <w:rFonts w:ascii="AcadNusx" w:hAnsi="AcadNusx"/>
        </w:rPr>
        <w:t xml:space="preserve"> </w:t>
      </w:r>
      <w:r w:rsidRPr="00905EBC">
        <w:rPr>
          <w:rFonts w:ascii="Sylfaen" w:hAnsi="Sylfaen" w:cs="Sylfaen"/>
        </w:rPr>
        <w:t>სიღრმული</w:t>
      </w:r>
      <w:r w:rsidRPr="00905EBC">
        <w:rPr>
          <w:rFonts w:ascii="AcadNusx" w:hAnsi="AcadNusx"/>
        </w:rPr>
        <w:t xml:space="preserve"> </w:t>
      </w:r>
      <w:r w:rsidRPr="00905EBC">
        <w:rPr>
          <w:rFonts w:ascii="Sylfaen" w:hAnsi="Sylfaen" w:cs="Sylfaen"/>
        </w:rPr>
        <w:t>პირობების</w:t>
      </w:r>
      <w:r w:rsidRPr="00905EBC">
        <w:rPr>
          <w:rFonts w:ascii="AcadNusx" w:hAnsi="AcadNusx"/>
        </w:rPr>
        <w:t xml:space="preserve"> </w:t>
      </w:r>
      <w:r w:rsidRPr="00905EBC">
        <w:rPr>
          <w:rFonts w:ascii="Sylfaen" w:hAnsi="Sylfaen" w:cs="Sylfaen"/>
        </w:rPr>
        <w:t>შესახებ</w:t>
      </w:r>
      <w:r w:rsidRPr="00905EBC">
        <w:rPr>
          <w:rFonts w:ascii="AcadNusx" w:hAnsi="AcadNusx"/>
        </w:rPr>
        <w:t xml:space="preserve"> </w:t>
      </w:r>
      <w:r w:rsidRPr="00905EBC">
        <w:rPr>
          <w:rFonts w:ascii="Sylfaen" w:hAnsi="Sylfaen" w:cs="Sylfaen"/>
        </w:rPr>
        <w:t>ზოგადი</w:t>
      </w:r>
      <w:r w:rsidRPr="00905EBC">
        <w:rPr>
          <w:rFonts w:ascii="AcadNusx" w:hAnsi="AcadNusx"/>
        </w:rPr>
        <w:t xml:space="preserve"> </w:t>
      </w:r>
      <w:r w:rsidRPr="00905EBC">
        <w:rPr>
          <w:rFonts w:ascii="Sylfaen" w:hAnsi="Sylfaen" w:cs="Sylfaen"/>
        </w:rPr>
        <w:t>ინფორმაციის</w:t>
      </w:r>
      <w:r>
        <w:rPr>
          <w:rFonts w:ascii="Sylfaen" w:hAnsi="Sylfaen" w:cs="Sylfaen"/>
        </w:rPr>
        <w:t xml:space="preserve"> </w:t>
      </w:r>
      <w:r w:rsidRPr="00905EBC">
        <w:rPr>
          <w:rFonts w:ascii="Sylfaen" w:hAnsi="Sylfaen" w:cs="Sylfaen"/>
        </w:rPr>
        <w:t>მოსაპოვებლად</w:t>
      </w:r>
      <w:r w:rsidRPr="00905EBC">
        <w:rPr>
          <w:rFonts w:ascii="AcadNusx" w:hAnsi="AcadNusx"/>
        </w:rPr>
        <w:t xml:space="preserve">. </w:t>
      </w:r>
      <w:r w:rsidRPr="00905EBC">
        <w:rPr>
          <w:rFonts w:ascii="Sylfaen" w:hAnsi="Sylfaen" w:cs="Sylfaen"/>
        </w:rPr>
        <w:t>ხიდების</w:t>
      </w:r>
      <w:r w:rsidRPr="00905EBC">
        <w:rPr>
          <w:rFonts w:ascii="AcadNusx" w:hAnsi="AcadNusx"/>
        </w:rPr>
        <w:t xml:space="preserve"> </w:t>
      </w:r>
      <w:r w:rsidRPr="00905EBC">
        <w:rPr>
          <w:rFonts w:ascii="Sylfaen" w:hAnsi="Sylfaen" w:cs="Sylfaen"/>
        </w:rPr>
        <w:t>საძირკვლების</w:t>
      </w:r>
      <w:r w:rsidRPr="00905EBC">
        <w:rPr>
          <w:rFonts w:ascii="AcadNusx" w:hAnsi="AcadNusx"/>
        </w:rPr>
        <w:t xml:space="preserve"> </w:t>
      </w:r>
      <w:r w:rsidRPr="00905EBC">
        <w:rPr>
          <w:rFonts w:ascii="Sylfaen" w:hAnsi="Sylfaen" w:cs="Sylfaen"/>
        </w:rPr>
        <w:t>გამოკვლევის</w:t>
      </w:r>
      <w:r w:rsidRPr="00905EBC">
        <w:rPr>
          <w:rFonts w:ascii="AcadNusx" w:hAnsi="AcadNusx"/>
        </w:rPr>
        <w:t xml:space="preserve"> </w:t>
      </w:r>
      <w:r w:rsidRPr="00905EBC">
        <w:rPr>
          <w:rFonts w:ascii="Sylfaen" w:hAnsi="Sylfaen" w:cs="Sylfaen"/>
        </w:rPr>
        <w:t>მიმდინარე</w:t>
      </w:r>
      <w:r w:rsidRPr="00905EBC">
        <w:rPr>
          <w:rFonts w:ascii="AcadNusx" w:hAnsi="AcadNusx"/>
        </w:rPr>
        <w:t xml:space="preserve"> </w:t>
      </w:r>
      <w:r w:rsidRPr="00905EBC">
        <w:rPr>
          <w:rFonts w:ascii="Sylfaen" w:hAnsi="Sylfaen" w:cs="Sylfaen"/>
        </w:rPr>
        <w:t>საფეხურზე</w:t>
      </w:r>
      <w:r>
        <w:rPr>
          <w:rFonts w:ascii="Sylfaen" w:hAnsi="Sylfaen" w:cs="Sylfaen"/>
        </w:rPr>
        <w:t xml:space="preserve"> </w:t>
      </w:r>
      <w:r w:rsidRPr="00905EBC">
        <w:rPr>
          <w:rFonts w:ascii="Sylfaen" w:hAnsi="Sylfaen" w:cs="Sylfaen"/>
        </w:rPr>
        <w:t>რეკომენდირებულია</w:t>
      </w:r>
      <w:r w:rsidRPr="00905EBC">
        <w:rPr>
          <w:rFonts w:ascii="AcadNusx" w:hAnsi="AcadNusx"/>
        </w:rPr>
        <w:t xml:space="preserve"> </w:t>
      </w:r>
      <w:r w:rsidRPr="00905EBC">
        <w:rPr>
          <w:rFonts w:ascii="Sylfaen" w:hAnsi="Sylfaen" w:cs="Sylfaen"/>
        </w:rPr>
        <w:t>ხიდების</w:t>
      </w:r>
      <w:r w:rsidRPr="00905EBC">
        <w:rPr>
          <w:rFonts w:ascii="AcadNusx" w:hAnsi="AcadNusx"/>
        </w:rPr>
        <w:t xml:space="preserve"> </w:t>
      </w:r>
      <w:r w:rsidRPr="00905EBC">
        <w:rPr>
          <w:rFonts w:ascii="Sylfaen" w:hAnsi="Sylfaen" w:cs="Sylfaen"/>
        </w:rPr>
        <w:t>დაპროექტება</w:t>
      </w:r>
      <w:r w:rsidRPr="00905EBC">
        <w:rPr>
          <w:rFonts w:ascii="AcadNusx" w:hAnsi="AcadNusx"/>
        </w:rPr>
        <w:t xml:space="preserve"> </w:t>
      </w:r>
      <w:r w:rsidRPr="00905EBC">
        <w:rPr>
          <w:rFonts w:ascii="Sylfaen" w:hAnsi="Sylfaen" w:cs="Sylfaen"/>
        </w:rPr>
        <w:t>სიღრმული</w:t>
      </w:r>
      <w:r w:rsidRPr="00905EBC">
        <w:rPr>
          <w:rFonts w:ascii="AcadNusx" w:hAnsi="AcadNusx"/>
        </w:rPr>
        <w:t>/</w:t>
      </w:r>
      <w:r w:rsidRPr="00905EBC">
        <w:rPr>
          <w:rFonts w:ascii="Sylfaen" w:hAnsi="Sylfaen" w:cs="Sylfaen"/>
        </w:rPr>
        <w:t>ხიმინჯოვანი</w:t>
      </w:r>
      <w:r w:rsidRPr="00905EBC">
        <w:rPr>
          <w:rFonts w:ascii="AcadNusx" w:hAnsi="AcadNusx"/>
        </w:rPr>
        <w:t xml:space="preserve"> </w:t>
      </w:r>
      <w:r w:rsidRPr="00905EBC">
        <w:rPr>
          <w:rFonts w:ascii="Sylfaen" w:hAnsi="Sylfaen" w:cs="Sylfaen"/>
        </w:rPr>
        <w:t>საძირკვლებით</w:t>
      </w:r>
      <w:r w:rsidRPr="00905EBC">
        <w:rPr>
          <w:rFonts w:ascii="AcadNusx" w:hAnsi="AcadNusx"/>
        </w:rPr>
        <w:t>.</w:t>
      </w:r>
      <w:r>
        <w:rPr>
          <w:rFonts w:ascii="AcadNusx" w:hAnsi="AcadNusx"/>
        </w:rPr>
        <w:t xml:space="preserve"> </w:t>
      </w:r>
      <w:r w:rsidRPr="00905EBC">
        <w:rPr>
          <w:rFonts w:ascii="Sylfaen" w:hAnsi="Sylfaen" w:cs="Sylfaen"/>
        </w:rPr>
        <w:t>მარცვლოვანი</w:t>
      </w:r>
      <w:r w:rsidRPr="00905EBC">
        <w:rPr>
          <w:rFonts w:ascii="AcadNusx" w:hAnsi="AcadNusx"/>
        </w:rPr>
        <w:t xml:space="preserve"> </w:t>
      </w:r>
      <w:r w:rsidRPr="00905EBC">
        <w:rPr>
          <w:rFonts w:ascii="Sylfaen" w:hAnsi="Sylfaen" w:cs="Sylfaen"/>
        </w:rPr>
        <w:t>გრუნტები</w:t>
      </w:r>
      <w:r w:rsidRPr="00905EBC">
        <w:rPr>
          <w:rFonts w:ascii="AcadNusx" w:hAnsi="AcadNusx"/>
        </w:rPr>
        <w:t xml:space="preserve"> </w:t>
      </w:r>
      <w:r w:rsidRPr="00905EBC">
        <w:rPr>
          <w:rFonts w:ascii="Sylfaen" w:hAnsi="Sylfaen" w:cs="Sylfaen"/>
        </w:rPr>
        <w:t>საკმარისი</w:t>
      </w:r>
      <w:r w:rsidRPr="00905EBC">
        <w:rPr>
          <w:rFonts w:ascii="AcadNusx" w:hAnsi="AcadNusx"/>
        </w:rPr>
        <w:t xml:space="preserve"> </w:t>
      </w:r>
      <w:r w:rsidRPr="00905EBC">
        <w:rPr>
          <w:rFonts w:ascii="Sylfaen" w:hAnsi="Sylfaen" w:cs="Sylfaen"/>
        </w:rPr>
        <w:t>სიმაგრისაა</w:t>
      </w:r>
      <w:r w:rsidRPr="00905EBC">
        <w:rPr>
          <w:rFonts w:ascii="AcadNusx" w:hAnsi="AcadNusx"/>
        </w:rPr>
        <w:t xml:space="preserve">, </w:t>
      </w:r>
      <w:r w:rsidRPr="00905EBC">
        <w:rPr>
          <w:rFonts w:ascii="Sylfaen" w:hAnsi="Sylfaen" w:cs="Sylfaen"/>
        </w:rPr>
        <w:t>თუმცა</w:t>
      </w:r>
      <w:r w:rsidRPr="00905EBC">
        <w:rPr>
          <w:rFonts w:ascii="AcadNusx" w:hAnsi="AcadNusx"/>
        </w:rPr>
        <w:t xml:space="preserve"> </w:t>
      </w:r>
      <w:r w:rsidRPr="00905EBC">
        <w:rPr>
          <w:rFonts w:ascii="Sylfaen" w:hAnsi="Sylfaen" w:cs="Sylfaen"/>
        </w:rPr>
        <w:t>ზედაპირიდან</w:t>
      </w:r>
      <w:r w:rsidRPr="00905EBC">
        <w:rPr>
          <w:rFonts w:ascii="AcadNusx" w:hAnsi="AcadNusx"/>
        </w:rPr>
        <w:t xml:space="preserve"> </w:t>
      </w:r>
      <w:r w:rsidRPr="00905EBC">
        <w:rPr>
          <w:rFonts w:ascii="Sylfaen" w:hAnsi="Sylfaen" w:cs="Sylfaen"/>
        </w:rPr>
        <w:t>მცირე</w:t>
      </w:r>
      <w:r>
        <w:rPr>
          <w:rFonts w:ascii="Sylfaen" w:hAnsi="Sylfaen" w:cs="Sylfaen"/>
        </w:rPr>
        <w:t xml:space="preserve"> </w:t>
      </w:r>
      <w:r w:rsidRPr="00905EBC">
        <w:rPr>
          <w:rFonts w:ascii="Sylfaen" w:hAnsi="Sylfaen" w:cs="Sylfaen"/>
        </w:rPr>
        <w:t>სიღრმეებზე</w:t>
      </w:r>
      <w:r w:rsidRPr="00905EBC">
        <w:rPr>
          <w:rFonts w:ascii="AcadNusx" w:hAnsi="AcadNusx"/>
        </w:rPr>
        <w:t xml:space="preserve"> </w:t>
      </w:r>
      <w:r w:rsidRPr="00905EBC">
        <w:rPr>
          <w:rFonts w:ascii="Sylfaen" w:hAnsi="Sylfaen" w:cs="Sylfaen"/>
        </w:rPr>
        <w:t>გრუნტების</w:t>
      </w:r>
      <w:r w:rsidRPr="00905EBC">
        <w:rPr>
          <w:rFonts w:ascii="AcadNusx" w:hAnsi="AcadNusx"/>
        </w:rPr>
        <w:t xml:space="preserve"> </w:t>
      </w:r>
      <w:r w:rsidRPr="00905EBC">
        <w:rPr>
          <w:rFonts w:ascii="Sylfaen" w:hAnsi="Sylfaen" w:cs="Sylfaen"/>
        </w:rPr>
        <w:t>საკმარისი</w:t>
      </w:r>
      <w:r w:rsidRPr="00905EBC">
        <w:rPr>
          <w:rFonts w:ascii="AcadNusx" w:hAnsi="AcadNusx"/>
        </w:rPr>
        <w:t xml:space="preserve"> </w:t>
      </w:r>
      <w:r w:rsidRPr="00905EBC">
        <w:rPr>
          <w:rFonts w:ascii="Sylfaen" w:hAnsi="Sylfaen" w:cs="Sylfaen"/>
        </w:rPr>
        <w:t>მზიდუნარიანობა</w:t>
      </w:r>
      <w:r w:rsidRPr="00905EBC">
        <w:rPr>
          <w:rFonts w:ascii="AcadNusx" w:hAnsi="AcadNusx"/>
        </w:rPr>
        <w:t xml:space="preserve"> </w:t>
      </w:r>
      <w:r w:rsidRPr="00905EBC">
        <w:rPr>
          <w:rFonts w:ascii="Sylfaen" w:hAnsi="Sylfaen" w:cs="Sylfaen"/>
        </w:rPr>
        <w:t>და</w:t>
      </w:r>
      <w:r w:rsidRPr="00905EBC">
        <w:rPr>
          <w:rFonts w:ascii="AcadNusx" w:hAnsi="AcadNusx"/>
        </w:rPr>
        <w:t xml:space="preserve"> </w:t>
      </w:r>
      <w:r w:rsidRPr="00905EBC">
        <w:rPr>
          <w:rFonts w:ascii="Sylfaen" w:hAnsi="Sylfaen" w:cs="Sylfaen"/>
        </w:rPr>
        <w:t>სისქეები</w:t>
      </w:r>
      <w:r w:rsidRPr="00905EBC">
        <w:rPr>
          <w:rFonts w:ascii="AcadNusx" w:hAnsi="AcadNusx"/>
        </w:rPr>
        <w:t xml:space="preserve"> </w:t>
      </w:r>
      <w:r w:rsidRPr="00905EBC">
        <w:rPr>
          <w:rFonts w:ascii="Sylfaen" w:hAnsi="Sylfaen" w:cs="Sylfaen"/>
        </w:rPr>
        <w:t>ყველგან</w:t>
      </w:r>
      <w:r>
        <w:rPr>
          <w:rFonts w:ascii="Sylfaen" w:hAnsi="Sylfaen" w:cs="Sylfaen"/>
        </w:rPr>
        <w:t xml:space="preserve"> </w:t>
      </w:r>
      <w:r w:rsidRPr="00905EBC">
        <w:rPr>
          <w:rFonts w:ascii="Sylfaen" w:hAnsi="Sylfaen" w:cs="Sylfaen"/>
        </w:rPr>
        <w:t>უზრუნველყოფილი</w:t>
      </w:r>
      <w:r w:rsidRPr="00905EBC">
        <w:rPr>
          <w:rFonts w:ascii="AcadNusx" w:hAnsi="AcadNusx"/>
        </w:rPr>
        <w:t xml:space="preserve"> </w:t>
      </w:r>
      <w:r w:rsidRPr="00905EBC">
        <w:rPr>
          <w:rFonts w:ascii="Sylfaen" w:hAnsi="Sylfaen" w:cs="Sylfaen"/>
        </w:rPr>
        <w:t>არ</w:t>
      </w:r>
      <w:r w:rsidRPr="00905EBC">
        <w:rPr>
          <w:rFonts w:ascii="AcadNusx" w:hAnsi="AcadNusx"/>
        </w:rPr>
        <w:t xml:space="preserve"> </w:t>
      </w:r>
      <w:r w:rsidRPr="00905EBC">
        <w:rPr>
          <w:rFonts w:ascii="Sylfaen" w:hAnsi="Sylfaen" w:cs="Sylfaen"/>
        </w:rPr>
        <w:t>არის</w:t>
      </w:r>
      <w:r w:rsidRPr="00905EBC">
        <w:rPr>
          <w:rFonts w:ascii="AcadNusx" w:hAnsi="AcadNusx"/>
        </w:rPr>
        <w:t xml:space="preserve">. </w:t>
      </w:r>
      <w:r w:rsidRPr="00905EBC">
        <w:rPr>
          <w:rFonts w:ascii="Sylfaen" w:hAnsi="Sylfaen" w:cs="Sylfaen"/>
        </w:rPr>
        <w:t>საძირკვლების</w:t>
      </w:r>
      <w:r w:rsidRPr="00905EBC">
        <w:rPr>
          <w:rFonts w:ascii="AcadNusx" w:hAnsi="AcadNusx"/>
        </w:rPr>
        <w:t xml:space="preserve"> </w:t>
      </w:r>
      <w:r w:rsidRPr="00905EBC">
        <w:rPr>
          <w:rFonts w:ascii="Sylfaen" w:hAnsi="Sylfaen" w:cs="Sylfaen"/>
        </w:rPr>
        <w:t>შეკავშირებულ</w:t>
      </w:r>
      <w:r w:rsidRPr="00905EBC">
        <w:rPr>
          <w:rFonts w:ascii="AcadNusx" w:hAnsi="AcadNusx"/>
        </w:rPr>
        <w:t xml:space="preserve"> </w:t>
      </w:r>
      <w:r w:rsidRPr="00905EBC">
        <w:rPr>
          <w:rFonts w:ascii="Sylfaen" w:hAnsi="Sylfaen" w:cs="Sylfaen"/>
        </w:rPr>
        <w:t>გრუნტებში</w:t>
      </w:r>
      <w:r w:rsidRPr="00905EBC">
        <w:rPr>
          <w:rFonts w:ascii="AcadNusx" w:hAnsi="AcadNusx"/>
        </w:rPr>
        <w:t xml:space="preserve"> </w:t>
      </w:r>
      <w:r w:rsidRPr="00905EBC">
        <w:rPr>
          <w:rFonts w:ascii="Sylfaen" w:hAnsi="Sylfaen" w:cs="Sylfaen"/>
        </w:rPr>
        <w:t>აშენების</w:t>
      </w:r>
      <w:r>
        <w:rPr>
          <w:rFonts w:ascii="Sylfaen" w:hAnsi="Sylfaen" w:cs="Sylfaen"/>
        </w:rPr>
        <w:t xml:space="preserve"> </w:t>
      </w:r>
      <w:r w:rsidRPr="00905EBC">
        <w:rPr>
          <w:rFonts w:ascii="Sylfaen" w:hAnsi="Sylfaen" w:cs="Sylfaen"/>
        </w:rPr>
        <w:t>შემთხვევაში</w:t>
      </w:r>
      <w:r w:rsidRPr="00905EBC">
        <w:rPr>
          <w:rFonts w:ascii="AcadNusx" w:hAnsi="AcadNusx"/>
        </w:rPr>
        <w:t xml:space="preserve"> </w:t>
      </w:r>
      <w:r w:rsidRPr="00905EBC">
        <w:rPr>
          <w:rFonts w:ascii="Sylfaen" w:hAnsi="Sylfaen" w:cs="Sylfaen"/>
        </w:rPr>
        <w:t>რეკომენდირებულია</w:t>
      </w:r>
      <w:r w:rsidRPr="00905EBC">
        <w:rPr>
          <w:rFonts w:ascii="AcadNusx" w:hAnsi="AcadNusx"/>
        </w:rPr>
        <w:t xml:space="preserve"> </w:t>
      </w:r>
      <w:r w:rsidRPr="00905EBC">
        <w:rPr>
          <w:rFonts w:ascii="Sylfaen" w:hAnsi="Sylfaen" w:cs="Sylfaen"/>
        </w:rPr>
        <w:t>დატვირთვების</w:t>
      </w:r>
      <w:r w:rsidRPr="00905EBC">
        <w:rPr>
          <w:rFonts w:ascii="AcadNusx" w:hAnsi="AcadNusx"/>
        </w:rPr>
        <w:t xml:space="preserve"> </w:t>
      </w:r>
      <w:r w:rsidRPr="00905EBC">
        <w:rPr>
          <w:rFonts w:ascii="Sylfaen" w:hAnsi="Sylfaen" w:cs="Sylfaen"/>
        </w:rPr>
        <w:t>გადაცემისთვის</w:t>
      </w:r>
      <w:r w:rsidRPr="00905EBC">
        <w:rPr>
          <w:rFonts w:ascii="AcadNusx" w:hAnsi="AcadNusx"/>
        </w:rPr>
        <w:t xml:space="preserve"> </w:t>
      </w:r>
      <w:r w:rsidRPr="00905EBC">
        <w:rPr>
          <w:rFonts w:ascii="Sylfaen" w:hAnsi="Sylfaen" w:cs="Sylfaen"/>
        </w:rPr>
        <w:t>კიდული</w:t>
      </w:r>
      <w:r w:rsidRPr="00905EBC">
        <w:rPr>
          <w:rFonts w:ascii="AcadNusx" w:hAnsi="AcadNusx"/>
        </w:rPr>
        <w:t xml:space="preserve"> </w:t>
      </w:r>
      <w:r w:rsidRPr="00905EBC">
        <w:rPr>
          <w:rFonts w:ascii="Sylfaen" w:hAnsi="Sylfaen" w:cs="Sylfaen"/>
        </w:rPr>
        <w:t>ხიმინჯების</w:t>
      </w:r>
      <w:r>
        <w:rPr>
          <w:rFonts w:ascii="Sylfaen" w:hAnsi="Sylfaen" w:cs="Sylfaen"/>
        </w:rPr>
        <w:t xml:space="preserve"> </w:t>
      </w:r>
      <w:r w:rsidRPr="00905EBC">
        <w:rPr>
          <w:rFonts w:ascii="Sylfaen" w:hAnsi="Sylfaen" w:cs="Sylfaen"/>
        </w:rPr>
        <w:t>გამოყენება</w:t>
      </w:r>
      <w:r w:rsidRPr="00905EBC">
        <w:rPr>
          <w:rFonts w:ascii="AcadNusx" w:hAnsi="AcadNusx"/>
        </w:rPr>
        <w:t>.</w:t>
      </w:r>
    </w:p>
    <w:p w14:paraId="01E73739" w14:textId="77777777" w:rsidR="00905EBC" w:rsidRDefault="00905EBC" w:rsidP="00905EBC">
      <w:pPr>
        <w:spacing w:before="120" w:after="120"/>
        <w:rPr>
          <w:rFonts w:ascii="AcadNusx" w:hAnsi="AcadNusx"/>
        </w:rPr>
      </w:pPr>
      <w:r w:rsidRPr="00905EBC">
        <w:rPr>
          <w:rFonts w:ascii="Sylfaen" w:hAnsi="Sylfaen" w:cs="Sylfaen"/>
        </w:rPr>
        <w:t>დეტალური</w:t>
      </w:r>
      <w:r w:rsidRPr="00905EBC">
        <w:rPr>
          <w:rFonts w:ascii="AcadNusx" w:hAnsi="AcadNusx"/>
        </w:rPr>
        <w:t xml:space="preserve"> </w:t>
      </w:r>
      <w:r w:rsidRPr="00905EBC">
        <w:rPr>
          <w:rFonts w:ascii="Sylfaen" w:hAnsi="Sylfaen" w:cs="Sylfaen"/>
        </w:rPr>
        <w:t>დაპროექტების</w:t>
      </w:r>
      <w:r w:rsidRPr="00905EBC">
        <w:rPr>
          <w:rFonts w:ascii="AcadNusx" w:hAnsi="AcadNusx"/>
        </w:rPr>
        <w:t xml:space="preserve"> </w:t>
      </w:r>
      <w:r w:rsidRPr="00905EBC">
        <w:rPr>
          <w:rFonts w:ascii="Sylfaen" w:hAnsi="Sylfaen" w:cs="Sylfaen"/>
        </w:rPr>
        <w:t>ეტაპზე</w:t>
      </w:r>
      <w:r w:rsidRPr="00905EBC">
        <w:rPr>
          <w:rFonts w:ascii="AcadNusx" w:hAnsi="AcadNusx"/>
        </w:rPr>
        <w:t xml:space="preserve"> </w:t>
      </w:r>
      <w:r w:rsidRPr="00905EBC">
        <w:rPr>
          <w:rFonts w:ascii="Sylfaen" w:hAnsi="Sylfaen" w:cs="Sylfaen"/>
        </w:rPr>
        <w:t>ყველა</w:t>
      </w:r>
      <w:r w:rsidRPr="00905EBC">
        <w:rPr>
          <w:rFonts w:ascii="AcadNusx" w:hAnsi="AcadNusx"/>
        </w:rPr>
        <w:t xml:space="preserve"> </w:t>
      </w:r>
      <w:r w:rsidRPr="00905EBC">
        <w:rPr>
          <w:rFonts w:ascii="Sylfaen" w:hAnsi="Sylfaen" w:cs="Sylfaen"/>
        </w:rPr>
        <w:t>ახალი</w:t>
      </w:r>
      <w:r w:rsidRPr="00905EBC">
        <w:rPr>
          <w:rFonts w:ascii="AcadNusx" w:hAnsi="AcadNusx"/>
        </w:rPr>
        <w:t xml:space="preserve"> </w:t>
      </w:r>
      <w:r w:rsidRPr="00905EBC">
        <w:rPr>
          <w:rFonts w:ascii="Sylfaen" w:hAnsi="Sylfaen" w:cs="Sylfaen"/>
        </w:rPr>
        <w:t>ხიდის</w:t>
      </w:r>
      <w:r w:rsidRPr="00905EBC">
        <w:rPr>
          <w:rFonts w:ascii="AcadNusx" w:hAnsi="AcadNusx"/>
        </w:rPr>
        <w:t xml:space="preserve"> </w:t>
      </w:r>
      <w:r w:rsidRPr="00905EBC">
        <w:rPr>
          <w:rFonts w:ascii="Sylfaen" w:hAnsi="Sylfaen" w:cs="Sylfaen"/>
        </w:rPr>
        <w:t>და</w:t>
      </w:r>
      <w:r w:rsidRPr="00905EBC">
        <w:rPr>
          <w:rFonts w:ascii="AcadNusx" w:hAnsi="AcadNusx"/>
        </w:rPr>
        <w:t xml:space="preserve"> </w:t>
      </w:r>
      <w:r w:rsidRPr="00905EBC">
        <w:rPr>
          <w:rFonts w:ascii="Sylfaen" w:hAnsi="Sylfaen" w:cs="Sylfaen"/>
        </w:rPr>
        <w:t>გზის</w:t>
      </w:r>
      <w:r w:rsidRPr="00905EBC">
        <w:rPr>
          <w:rFonts w:ascii="AcadNusx" w:hAnsi="AcadNusx"/>
        </w:rPr>
        <w:t xml:space="preserve"> </w:t>
      </w:r>
      <w:r w:rsidRPr="00905EBC">
        <w:rPr>
          <w:rFonts w:ascii="Sylfaen" w:hAnsi="Sylfaen" w:cs="Sylfaen"/>
        </w:rPr>
        <w:t>ქვედა</w:t>
      </w:r>
      <w:r w:rsidRPr="00905EBC">
        <w:rPr>
          <w:rFonts w:ascii="AcadNusx" w:hAnsi="AcadNusx"/>
        </w:rPr>
        <w:t xml:space="preserve"> </w:t>
      </w:r>
      <w:r w:rsidRPr="00905EBC">
        <w:rPr>
          <w:rFonts w:ascii="Sylfaen" w:hAnsi="Sylfaen" w:cs="Sylfaen"/>
        </w:rPr>
        <w:t>გასასვლელის</w:t>
      </w:r>
      <w:r>
        <w:rPr>
          <w:rFonts w:ascii="Sylfaen" w:hAnsi="Sylfaen" w:cs="Sylfaen"/>
        </w:rPr>
        <w:t xml:space="preserve"> </w:t>
      </w:r>
      <w:r w:rsidRPr="00905EBC">
        <w:rPr>
          <w:rFonts w:ascii="Sylfaen" w:hAnsi="Sylfaen" w:cs="Sylfaen"/>
        </w:rPr>
        <w:t>სამშენებლო</w:t>
      </w:r>
      <w:r w:rsidRPr="00905EBC">
        <w:rPr>
          <w:rFonts w:ascii="AcadNusx" w:hAnsi="AcadNusx"/>
        </w:rPr>
        <w:t xml:space="preserve"> </w:t>
      </w:r>
      <w:r w:rsidRPr="00905EBC">
        <w:rPr>
          <w:rFonts w:ascii="Sylfaen" w:hAnsi="Sylfaen" w:cs="Sylfaen"/>
        </w:rPr>
        <w:t>უბნებზე</w:t>
      </w:r>
      <w:r w:rsidRPr="00905EBC">
        <w:rPr>
          <w:rFonts w:ascii="AcadNusx" w:hAnsi="AcadNusx"/>
        </w:rPr>
        <w:t xml:space="preserve"> </w:t>
      </w:r>
      <w:r w:rsidRPr="00905EBC">
        <w:rPr>
          <w:rFonts w:ascii="Sylfaen" w:hAnsi="Sylfaen" w:cs="Sylfaen"/>
        </w:rPr>
        <w:t>უნდა</w:t>
      </w:r>
      <w:r w:rsidRPr="00905EBC">
        <w:rPr>
          <w:rFonts w:ascii="AcadNusx" w:hAnsi="AcadNusx"/>
        </w:rPr>
        <w:t xml:space="preserve"> </w:t>
      </w:r>
      <w:r w:rsidRPr="00905EBC">
        <w:rPr>
          <w:rFonts w:ascii="Sylfaen" w:hAnsi="Sylfaen" w:cs="Sylfaen"/>
        </w:rPr>
        <w:t>შესრულდეს</w:t>
      </w:r>
      <w:r w:rsidRPr="00905EBC">
        <w:rPr>
          <w:rFonts w:ascii="AcadNusx" w:hAnsi="AcadNusx"/>
        </w:rPr>
        <w:t xml:space="preserve"> </w:t>
      </w:r>
      <w:r w:rsidRPr="00905EBC">
        <w:rPr>
          <w:rFonts w:ascii="Sylfaen" w:hAnsi="Sylfaen" w:cs="Sylfaen"/>
        </w:rPr>
        <w:t>დამატებითი</w:t>
      </w:r>
      <w:r w:rsidRPr="00905EBC">
        <w:rPr>
          <w:rFonts w:ascii="AcadNusx" w:hAnsi="AcadNusx"/>
        </w:rPr>
        <w:t xml:space="preserve"> </w:t>
      </w:r>
      <w:r w:rsidRPr="00905EBC">
        <w:rPr>
          <w:rFonts w:ascii="Sylfaen" w:hAnsi="Sylfaen" w:cs="Sylfaen"/>
        </w:rPr>
        <w:t>დეტალური</w:t>
      </w:r>
      <w:r w:rsidRPr="00905EBC">
        <w:rPr>
          <w:rFonts w:ascii="AcadNusx" w:hAnsi="AcadNusx"/>
        </w:rPr>
        <w:t xml:space="preserve"> </w:t>
      </w:r>
      <w:r w:rsidRPr="00905EBC">
        <w:rPr>
          <w:rFonts w:ascii="Sylfaen" w:hAnsi="Sylfaen" w:cs="Sylfaen"/>
        </w:rPr>
        <w:t>კვლევები</w:t>
      </w:r>
      <w:r w:rsidRPr="00905EBC">
        <w:rPr>
          <w:rFonts w:ascii="AcadNusx" w:hAnsi="AcadNusx"/>
        </w:rPr>
        <w:t xml:space="preserve"> </w:t>
      </w:r>
      <w:r w:rsidRPr="00905EBC">
        <w:rPr>
          <w:rFonts w:ascii="Sylfaen" w:hAnsi="Sylfaen" w:cs="Sylfaen"/>
        </w:rPr>
        <w:t>გრუნტების</w:t>
      </w:r>
      <w:r>
        <w:rPr>
          <w:rFonts w:ascii="Sylfaen" w:hAnsi="Sylfaen" w:cs="Sylfaen"/>
        </w:rPr>
        <w:t xml:space="preserve"> </w:t>
      </w:r>
      <w:r w:rsidRPr="00905EBC">
        <w:rPr>
          <w:rFonts w:ascii="Sylfaen" w:hAnsi="Sylfaen" w:cs="Sylfaen"/>
        </w:rPr>
        <w:t>ფაქტიური</w:t>
      </w:r>
      <w:r w:rsidRPr="00905EBC">
        <w:rPr>
          <w:rFonts w:ascii="AcadNusx" w:hAnsi="AcadNusx"/>
        </w:rPr>
        <w:t xml:space="preserve"> </w:t>
      </w:r>
      <w:r w:rsidRPr="00905EBC">
        <w:rPr>
          <w:rFonts w:ascii="Sylfaen" w:hAnsi="Sylfaen" w:cs="Sylfaen"/>
        </w:rPr>
        <w:t>აგებულების</w:t>
      </w:r>
      <w:r w:rsidRPr="00905EBC">
        <w:rPr>
          <w:rFonts w:ascii="AcadNusx" w:hAnsi="AcadNusx"/>
        </w:rPr>
        <w:t xml:space="preserve"> </w:t>
      </w:r>
      <w:r w:rsidRPr="00905EBC">
        <w:rPr>
          <w:rFonts w:ascii="Sylfaen" w:hAnsi="Sylfaen" w:cs="Sylfaen"/>
        </w:rPr>
        <w:t>გადამოწმების</w:t>
      </w:r>
      <w:r w:rsidRPr="00905EBC">
        <w:rPr>
          <w:rFonts w:ascii="AcadNusx" w:hAnsi="AcadNusx"/>
        </w:rPr>
        <w:t xml:space="preserve"> </w:t>
      </w:r>
      <w:r w:rsidRPr="00905EBC">
        <w:rPr>
          <w:rFonts w:ascii="Sylfaen" w:hAnsi="Sylfaen" w:cs="Sylfaen"/>
        </w:rPr>
        <w:t>მიზნით</w:t>
      </w:r>
      <w:r w:rsidRPr="00905EBC">
        <w:rPr>
          <w:rFonts w:ascii="AcadNusx" w:hAnsi="AcadNusx"/>
        </w:rPr>
        <w:t>.</w:t>
      </w:r>
    </w:p>
    <w:p w14:paraId="1189CC56" w14:textId="77777777" w:rsidR="00905EBC" w:rsidRPr="00905EBC" w:rsidRDefault="00905EBC" w:rsidP="00905EBC">
      <w:pPr>
        <w:spacing w:before="120" w:after="120"/>
        <w:rPr>
          <w:rFonts w:ascii="AcadNusx" w:hAnsi="AcadNusx"/>
        </w:rPr>
      </w:pPr>
      <w:r w:rsidRPr="00905EBC">
        <w:rPr>
          <w:rFonts w:ascii="Sylfaen" w:hAnsi="Sylfaen" w:cs="Sylfaen"/>
        </w:rPr>
        <w:t>გრუნტის</w:t>
      </w:r>
      <w:r w:rsidRPr="00905EBC">
        <w:rPr>
          <w:rFonts w:ascii="AcadNusx" w:hAnsi="AcadNusx"/>
        </w:rPr>
        <w:t xml:space="preserve"> </w:t>
      </w:r>
      <w:r w:rsidRPr="00905EBC">
        <w:rPr>
          <w:rFonts w:ascii="Sylfaen" w:hAnsi="Sylfaen" w:cs="Sylfaen"/>
        </w:rPr>
        <w:t>პირობების</w:t>
      </w:r>
      <w:r w:rsidRPr="00905EBC">
        <w:rPr>
          <w:rFonts w:ascii="AcadNusx" w:hAnsi="AcadNusx"/>
        </w:rPr>
        <w:t xml:space="preserve"> </w:t>
      </w:r>
      <w:r w:rsidRPr="00905EBC">
        <w:rPr>
          <w:rFonts w:ascii="Sylfaen" w:hAnsi="Sylfaen" w:cs="Sylfaen"/>
        </w:rPr>
        <w:t>წინასწარი</w:t>
      </w:r>
      <w:r w:rsidRPr="00905EBC">
        <w:rPr>
          <w:rFonts w:ascii="AcadNusx" w:hAnsi="AcadNusx"/>
        </w:rPr>
        <w:t xml:space="preserve"> </w:t>
      </w:r>
      <w:r w:rsidRPr="00905EBC">
        <w:rPr>
          <w:rFonts w:ascii="Sylfaen" w:hAnsi="Sylfaen" w:cs="Sylfaen"/>
        </w:rPr>
        <w:t>გამოკვლევის</w:t>
      </w:r>
      <w:r w:rsidRPr="00905EBC">
        <w:rPr>
          <w:rFonts w:ascii="AcadNusx" w:hAnsi="AcadNusx"/>
        </w:rPr>
        <w:t xml:space="preserve"> </w:t>
      </w:r>
      <w:r w:rsidRPr="00905EBC">
        <w:rPr>
          <w:rFonts w:ascii="Sylfaen" w:hAnsi="Sylfaen" w:cs="Sylfaen"/>
        </w:rPr>
        <w:t>შედეგების</w:t>
      </w:r>
      <w:r w:rsidRPr="00905EBC">
        <w:rPr>
          <w:rFonts w:ascii="AcadNusx" w:hAnsi="AcadNusx"/>
        </w:rPr>
        <w:t xml:space="preserve"> </w:t>
      </w:r>
      <w:r w:rsidRPr="00905EBC">
        <w:rPr>
          <w:rFonts w:ascii="Sylfaen" w:hAnsi="Sylfaen" w:cs="Sylfaen"/>
        </w:rPr>
        <w:t>თანახმად</w:t>
      </w:r>
      <w:r w:rsidRPr="00905EBC">
        <w:rPr>
          <w:rFonts w:ascii="AcadNusx" w:hAnsi="AcadNusx"/>
        </w:rPr>
        <w:t xml:space="preserve">, </w:t>
      </w:r>
      <w:r w:rsidRPr="00905EBC">
        <w:rPr>
          <w:rFonts w:ascii="Sylfaen" w:hAnsi="Sylfaen" w:cs="Sylfaen"/>
        </w:rPr>
        <w:t>გრუნტის</w:t>
      </w:r>
      <w:r w:rsidRPr="00905EBC">
        <w:rPr>
          <w:rFonts w:ascii="AcadNusx" w:hAnsi="AcadNusx"/>
        </w:rPr>
        <w:t xml:space="preserve"> </w:t>
      </w:r>
      <w:r w:rsidRPr="00905EBC">
        <w:rPr>
          <w:rFonts w:ascii="Sylfaen" w:hAnsi="Sylfaen" w:cs="Sylfaen"/>
        </w:rPr>
        <w:t>ზედაპირული</w:t>
      </w:r>
      <w:r w:rsidRPr="00905EBC">
        <w:rPr>
          <w:rFonts w:ascii="AcadNusx" w:hAnsi="AcadNusx"/>
        </w:rPr>
        <w:t xml:space="preserve"> </w:t>
      </w:r>
      <w:r w:rsidRPr="00905EBC">
        <w:rPr>
          <w:rFonts w:ascii="Sylfaen" w:hAnsi="Sylfaen" w:cs="Sylfaen"/>
        </w:rPr>
        <w:t>ფენა</w:t>
      </w:r>
      <w:r w:rsidRPr="00905EBC">
        <w:rPr>
          <w:rFonts w:ascii="AcadNusx" w:hAnsi="AcadNusx"/>
        </w:rPr>
        <w:t xml:space="preserve"> </w:t>
      </w:r>
      <w:r w:rsidRPr="00905EBC">
        <w:rPr>
          <w:rFonts w:ascii="Sylfaen" w:hAnsi="Sylfaen" w:cs="Sylfaen"/>
        </w:rPr>
        <w:t>წარმოდგენილია</w:t>
      </w:r>
      <w:r w:rsidRPr="00905EBC">
        <w:rPr>
          <w:rFonts w:ascii="AcadNusx" w:hAnsi="AcadNusx"/>
        </w:rPr>
        <w:t xml:space="preserve"> </w:t>
      </w:r>
      <w:r w:rsidRPr="00905EBC">
        <w:rPr>
          <w:rFonts w:ascii="Sylfaen" w:hAnsi="Sylfaen" w:cs="Sylfaen"/>
        </w:rPr>
        <w:t>თიხნარებით</w:t>
      </w:r>
      <w:r w:rsidRPr="00905EBC">
        <w:rPr>
          <w:rFonts w:ascii="AcadNusx" w:hAnsi="AcadNusx"/>
        </w:rPr>
        <w:t xml:space="preserve">. </w:t>
      </w:r>
      <w:r w:rsidRPr="00905EBC">
        <w:rPr>
          <w:rFonts w:ascii="Sylfaen" w:hAnsi="Sylfaen" w:cs="Sylfaen"/>
        </w:rPr>
        <w:t>წინასწარი</w:t>
      </w:r>
      <w:r w:rsidRPr="00905EBC">
        <w:rPr>
          <w:rFonts w:ascii="AcadNusx" w:hAnsi="AcadNusx"/>
        </w:rPr>
        <w:t xml:space="preserve"> </w:t>
      </w:r>
      <w:r w:rsidRPr="00905EBC">
        <w:rPr>
          <w:rFonts w:ascii="Sylfaen" w:hAnsi="Sylfaen" w:cs="Sylfaen"/>
        </w:rPr>
        <w:t>ინფორმაციის</w:t>
      </w:r>
      <w:r w:rsidRPr="00905EBC">
        <w:rPr>
          <w:rFonts w:ascii="AcadNusx" w:hAnsi="AcadNusx"/>
        </w:rPr>
        <w:t xml:space="preserve"> </w:t>
      </w:r>
      <w:r w:rsidRPr="00905EBC">
        <w:rPr>
          <w:rFonts w:ascii="Sylfaen" w:hAnsi="Sylfaen" w:cs="Sylfaen"/>
        </w:rPr>
        <w:t>საფუძველზე</w:t>
      </w:r>
      <w:r w:rsidRPr="00905EBC">
        <w:rPr>
          <w:rFonts w:ascii="AcadNusx" w:hAnsi="AcadNusx"/>
        </w:rPr>
        <w:t xml:space="preserve"> </w:t>
      </w:r>
      <w:r w:rsidRPr="00905EBC">
        <w:rPr>
          <w:rFonts w:ascii="Sylfaen" w:hAnsi="Sylfaen" w:cs="Sylfaen"/>
        </w:rPr>
        <w:t>დაშვებულია</w:t>
      </w:r>
      <w:r w:rsidRPr="00905EBC">
        <w:rPr>
          <w:rFonts w:ascii="AcadNusx" w:hAnsi="AcadNusx"/>
        </w:rPr>
        <w:t xml:space="preserve">, </w:t>
      </w:r>
      <w:r w:rsidRPr="00905EBC">
        <w:rPr>
          <w:rFonts w:ascii="Sylfaen" w:hAnsi="Sylfaen" w:cs="Sylfaen"/>
        </w:rPr>
        <w:t>რომ</w:t>
      </w:r>
      <w:r w:rsidRPr="00905EBC">
        <w:rPr>
          <w:rFonts w:ascii="AcadNusx" w:hAnsi="AcadNusx"/>
        </w:rPr>
        <w:t xml:space="preserve"> </w:t>
      </w:r>
      <w:r w:rsidRPr="00905EBC">
        <w:rPr>
          <w:rFonts w:ascii="Sylfaen" w:hAnsi="Sylfaen" w:cs="Sylfaen"/>
        </w:rPr>
        <w:t>ხიდებისთვის</w:t>
      </w:r>
      <w:r w:rsidRPr="00905EBC">
        <w:rPr>
          <w:rFonts w:ascii="AcadNusx" w:hAnsi="AcadNusx"/>
        </w:rPr>
        <w:t xml:space="preserve"> </w:t>
      </w:r>
      <w:r w:rsidRPr="00905EBC">
        <w:rPr>
          <w:rFonts w:ascii="Sylfaen" w:hAnsi="Sylfaen" w:cs="Sylfaen"/>
        </w:rPr>
        <w:t>საჭირო</w:t>
      </w:r>
      <w:r w:rsidRPr="00905EBC">
        <w:rPr>
          <w:rFonts w:ascii="AcadNusx" w:hAnsi="AcadNusx"/>
        </w:rPr>
        <w:t xml:space="preserve"> </w:t>
      </w:r>
      <w:r w:rsidRPr="00905EBC">
        <w:rPr>
          <w:rFonts w:ascii="Sylfaen" w:hAnsi="Sylfaen" w:cs="Sylfaen"/>
        </w:rPr>
        <w:t>იქნება</w:t>
      </w:r>
      <w:r w:rsidRPr="00905EBC">
        <w:rPr>
          <w:rFonts w:ascii="AcadNusx" w:hAnsi="AcadNusx"/>
        </w:rPr>
        <w:t xml:space="preserve"> </w:t>
      </w:r>
      <w:r w:rsidRPr="00905EBC">
        <w:rPr>
          <w:rFonts w:ascii="Sylfaen" w:hAnsi="Sylfaen" w:cs="Sylfaen"/>
        </w:rPr>
        <w:t>სიღრმული</w:t>
      </w:r>
      <w:r w:rsidRPr="00905EBC">
        <w:rPr>
          <w:rFonts w:ascii="AcadNusx" w:hAnsi="AcadNusx"/>
        </w:rPr>
        <w:t xml:space="preserve"> </w:t>
      </w:r>
      <w:r w:rsidRPr="00905EBC">
        <w:rPr>
          <w:rFonts w:ascii="Sylfaen" w:hAnsi="Sylfaen" w:cs="Sylfaen"/>
        </w:rPr>
        <w:t>საძირკვლების</w:t>
      </w:r>
      <w:r w:rsidRPr="00905EBC">
        <w:rPr>
          <w:rFonts w:ascii="AcadNusx" w:hAnsi="AcadNusx"/>
        </w:rPr>
        <w:t xml:space="preserve"> </w:t>
      </w:r>
      <w:r w:rsidRPr="00905EBC">
        <w:rPr>
          <w:rFonts w:ascii="Sylfaen" w:hAnsi="Sylfaen" w:cs="Sylfaen"/>
        </w:rPr>
        <w:t>მოწყობა</w:t>
      </w:r>
      <w:r w:rsidRPr="00905EBC">
        <w:rPr>
          <w:rFonts w:ascii="AcadNusx" w:hAnsi="AcadNusx"/>
        </w:rPr>
        <w:t xml:space="preserve"> </w:t>
      </w:r>
      <w:r w:rsidRPr="00905EBC">
        <w:rPr>
          <w:rFonts w:ascii="Sylfaen" w:hAnsi="Sylfaen" w:cs="Sylfaen"/>
        </w:rPr>
        <w:t>საკმარისი</w:t>
      </w:r>
      <w:r w:rsidRPr="00905EBC">
        <w:rPr>
          <w:rFonts w:ascii="AcadNusx" w:hAnsi="AcadNusx"/>
        </w:rPr>
        <w:t xml:space="preserve"> </w:t>
      </w:r>
      <w:r w:rsidRPr="00905EBC">
        <w:rPr>
          <w:rFonts w:ascii="Sylfaen" w:hAnsi="Sylfaen" w:cs="Sylfaen"/>
        </w:rPr>
        <w:t>სიმტკიცის</w:t>
      </w:r>
      <w:r w:rsidRPr="00905EBC">
        <w:rPr>
          <w:rFonts w:ascii="AcadNusx" w:hAnsi="AcadNusx"/>
        </w:rPr>
        <w:t xml:space="preserve"> </w:t>
      </w:r>
      <w:r w:rsidRPr="00905EBC">
        <w:rPr>
          <w:rFonts w:ascii="Sylfaen" w:hAnsi="Sylfaen" w:cs="Sylfaen"/>
        </w:rPr>
        <w:t>მქონე</w:t>
      </w:r>
      <w:r w:rsidRPr="00905EBC">
        <w:rPr>
          <w:rFonts w:ascii="AcadNusx" w:hAnsi="AcadNusx"/>
        </w:rPr>
        <w:t xml:space="preserve"> </w:t>
      </w:r>
      <w:r w:rsidRPr="00905EBC">
        <w:rPr>
          <w:rFonts w:ascii="Sylfaen" w:hAnsi="Sylfaen" w:cs="Sylfaen"/>
        </w:rPr>
        <w:t>ხვინჭოვანი</w:t>
      </w:r>
      <w:r w:rsidRPr="00905EBC">
        <w:rPr>
          <w:rFonts w:ascii="AcadNusx" w:hAnsi="AcadNusx"/>
        </w:rPr>
        <w:t xml:space="preserve"> </w:t>
      </w:r>
      <w:r w:rsidRPr="00905EBC">
        <w:rPr>
          <w:rFonts w:ascii="Sylfaen" w:hAnsi="Sylfaen" w:cs="Sylfaen"/>
        </w:rPr>
        <w:t>აგებულების</w:t>
      </w:r>
      <w:r w:rsidRPr="00905EBC">
        <w:rPr>
          <w:rFonts w:ascii="AcadNusx" w:hAnsi="AcadNusx"/>
        </w:rPr>
        <w:t xml:space="preserve"> </w:t>
      </w:r>
      <w:r w:rsidRPr="00905EBC">
        <w:rPr>
          <w:rFonts w:ascii="Sylfaen" w:hAnsi="Sylfaen" w:cs="Sylfaen"/>
        </w:rPr>
        <w:t>მქონე</w:t>
      </w:r>
      <w:r w:rsidRPr="00905EBC">
        <w:rPr>
          <w:rFonts w:ascii="AcadNusx" w:hAnsi="AcadNusx"/>
        </w:rPr>
        <w:t xml:space="preserve"> </w:t>
      </w:r>
      <w:r w:rsidRPr="00905EBC">
        <w:rPr>
          <w:rFonts w:ascii="Sylfaen" w:hAnsi="Sylfaen" w:cs="Sylfaen"/>
        </w:rPr>
        <w:t>გეოლოგიურ</w:t>
      </w:r>
      <w:r w:rsidRPr="00905EBC">
        <w:rPr>
          <w:rFonts w:ascii="AcadNusx" w:hAnsi="AcadNusx"/>
        </w:rPr>
        <w:t xml:space="preserve"> </w:t>
      </w:r>
      <w:r w:rsidRPr="00905EBC">
        <w:rPr>
          <w:rFonts w:ascii="Sylfaen" w:hAnsi="Sylfaen" w:cs="Sylfaen"/>
        </w:rPr>
        <w:t>ფორმაციამდე</w:t>
      </w:r>
      <w:r w:rsidRPr="00905EBC">
        <w:rPr>
          <w:rFonts w:ascii="AcadNusx" w:hAnsi="AcadNusx"/>
        </w:rPr>
        <w:t xml:space="preserve"> </w:t>
      </w:r>
      <w:r w:rsidRPr="00905EBC">
        <w:rPr>
          <w:rFonts w:ascii="Sylfaen" w:hAnsi="Sylfaen" w:cs="Sylfaen"/>
        </w:rPr>
        <w:t>ჩაღწევის</w:t>
      </w:r>
      <w:r w:rsidRPr="00905EBC">
        <w:rPr>
          <w:rFonts w:ascii="AcadNusx" w:hAnsi="AcadNusx"/>
        </w:rPr>
        <w:t xml:space="preserve"> </w:t>
      </w:r>
      <w:r w:rsidRPr="00905EBC">
        <w:rPr>
          <w:rFonts w:ascii="Sylfaen" w:hAnsi="Sylfaen" w:cs="Sylfaen"/>
        </w:rPr>
        <w:t>მიზნით</w:t>
      </w:r>
      <w:r w:rsidRPr="00905EBC">
        <w:rPr>
          <w:rFonts w:ascii="AcadNusx" w:hAnsi="AcadNusx"/>
        </w:rPr>
        <w:t>.</w:t>
      </w:r>
    </w:p>
    <w:p w14:paraId="6E70CB71" w14:textId="77777777" w:rsidR="00905EBC" w:rsidRPr="00905EBC" w:rsidRDefault="00905EBC" w:rsidP="00905EBC">
      <w:pPr>
        <w:spacing w:before="120" w:after="120"/>
        <w:rPr>
          <w:rFonts w:ascii="AcadNusx" w:hAnsi="AcadNusx"/>
        </w:rPr>
      </w:pPr>
      <w:r w:rsidRPr="00905EBC">
        <w:rPr>
          <w:rFonts w:ascii="Sylfaen" w:hAnsi="Sylfaen" w:cs="Sylfaen"/>
        </w:rPr>
        <w:lastRenderedPageBreak/>
        <w:t>ქვედა</w:t>
      </w:r>
      <w:r w:rsidRPr="00905EBC">
        <w:rPr>
          <w:rFonts w:ascii="AcadNusx" w:hAnsi="AcadNusx"/>
        </w:rPr>
        <w:t xml:space="preserve"> </w:t>
      </w:r>
      <w:r w:rsidRPr="00905EBC">
        <w:rPr>
          <w:rFonts w:ascii="Sylfaen" w:hAnsi="Sylfaen" w:cs="Sylfaen"/>
        </w:rPr>
        <w:t>გასასვლელების</w:t>
      </w:r>
      <w:r w:rsidRPr="00905EBC">
        <w:rPr>
          <w:rFonts w:ascii="AcadNusx" w:hAnsi="AcadNusx"/>
        </w:rPr>
        <w:t xml:space="preserve"> </w:t>
      </w:r>
      <w:r w:rsidRPr="00905EBC">
        <w:rPr>
          <w:rFonts w:ascii="Sylfaen" w:hAnsi="Sylfaen" w:cs="Sylfaen"/>
        </w:rPr>
        <w:t>მოსაწყობი</w:t>
      </w:r>
      <w:r w:rsidRPr="00905EBC">
        <w:rPr>
          <w:rFonts w:ascii="AcadNusx" w:hAnsi="AcadNusx"/>
        </w:rPr>
        <w:t xml:space="preserve"> </w:t>
      </w:r>
      <w:r w:rsidRPr="00905EBC">
        <w:rPr>
          <w:rFonts w:ascii="Sylfaen" w:hAnsi="Sylfaen" w:cs="Sylfaen"/>
        </w:rPr>
        <w:t>ხიდებისთვის</w:t>
      </w:r>
      <w:r w:rsidRPr="00905EBC">
        <w:rPr>
          <w:rFonts w:ascii="AcadNusx" w:hAnsi="AcadNusx"/>
        </w:rPr>
        <w:t xml:space="preserve"> </w:t>
      </w:r>
      <w:r w:rsidRPr="00905EBC">
        <w:rPr>
          <w:rFonts w:ascii="Sylfaen" w:hAnsi="Sylfaen" w:cs="Sylfaen"/>
        </w:rPr>
        <w:t>გათვალისწინებულია</w:t>
      </w:r>
      <w:r w:rsidRPr="00905EBC">
        <w:rPr>
          <w:rFonts w:ascii="AcadNusx" w:hAnsi="AcadNusx"/>
        </w:rPr>
        <w:t xml:space="preserve"> 1000 </w:t>
      </w:r>
      <w:r w:rsidRPr="00905EBC">
        <w:rPr>
          <w:rFonts w:ascii="Sylfaen" w:hAnsi="Sylfaen" w:cs="Sylfaen"/>
        </w:rPr>
        <w:t>მმ</w:t>
      </w:r>
      <w:r w:rsidRPr="00905EBC">
        <w:rPr>
          <w:rFonts w:ascii="AcadNusx" w:hAnsi="AcadNusx"/>
        </w:rPr>
        <w:t xml:space="preserve"> </w:t>
      </w:r>
      <w:r w:rsidRPr="00905EBC">
        <w:rPr>
          <w:rFonts w:ascii="Sylfaen" w:hAnsi="Sylfaen" w:cs="Sylfaen"/>
        </w:rPr>
        <w:t>დიამეტრის</w:t>
      </w:r>
      <w:r w:rsidRPr="00905EBC">
        <w:rPr>
          <w:rFonts w:ascii="AcadNusx" w:hAnsi="AcadNusx"/>
        </w:rPr>
        <w:t xml:space="preserve"> </w:t>
      </w:r>
      <w:r w:rsidRPr="00905EBC">
        <w:rPr>
          <w:rFonts w:ascii="Sylfaen" w:hAnsi="Sylfaen" w:cs="Sylfaen"/>
        </w:rPr>
        <w:t>მონოლითური</w:t>
      </w:r>
      <w:r w:rsidRPr="00905EBC">
        <w:rPr>
          <w:rFonts w:ascii="AcadNusx" w:hAnsi="AcadNusx"/>
        </w:rPr>
        <w:t xml:space="preserve"> </w:t>
      </w:r>
      <w:r w:rsidRPr="00905EBC">
        <w:rPr>
          <w:rFonts w:ascii="Sylfaen" w:hAnsi="Sylfaen" w:cs="Sylfaen"/>
        </w:rPr>
        <w:t>ხიმინჯების</w:t>
      </w:r>
      <w:r w:rsidRPr="00905EBC">
        <w:rPr>
          <w:rFonts w:ascii="AcadNusx" w:hAnsi="AcadNusx"/>
        </w:rPr>
        <w:t xml:space="preserve"> </w:t>
      </w:r>
      <w:r w:rsidRPr="00905EBC">
        <w:rPr>
          <w:rFonts w:ascii="Sylfaen" w:hAnsi="Sylfaen" w:cs="Sylfaen"/>
        </w:rPr>
        <w:t>გამოყენება</w:t>
      </w:r>
      <w:r w:rsidRPr="00905EBC">
        <w:rPr>
          <w:rFonts w:ascii="AcadNusx" w:hAnsi="AcadNusx"/>
        </w:rPr>
        <w:t xml:space="preserve">, </w:t>
      </w:r>
      <w:r w:rsidRPr="00905EBC">
        <w:rPr>
          <w:rFonts w:ascii="Sylfaen" w:hAnsi="Sylfaen" w:cs="Sylfaen"/>
        </w:rPr>
        <w:t>ხოლო</w:t>
      </w:r>
      <w:r w:rsidRPr="00905EBC">
        <w:rPr>
          <w:rFonts w:ascii="AcadNusx" w:hAnsi="AcadNusx"/>
        </w:rPr>
        <w:t xml:space="preserve"> </w:t>
      </w:r>
      <w:r w:rsidRPr="00905EBC">
        <w:rPr>
          <w:rFonts w:ascii="Sylfaen" w:hAnsi="Sylfaen" w:cs="Sylfaen"/>
        </w:rPr>
        <w:t>კოჭოვანი</w:t>
      </w:r>
      <w:r w:rsidRPr="00905EBC">
        <w:rPr>
          <w:rFonts w:ascii="AcadNusx" w:hAnsi="AcadNusx"/>
        </w:rPr>
        <w:t xml:space="preserve"> </w:t>
      </w:r>
      <w:r w:rsidRPr="00905EBC">
        <w:rPr>
          <w:rFonts w:ascii="Sylfaen" w:hAnsi="Sylfaen" w:cs="Sylfaen"/>
        </w:rPr>
        <w:t>მალის</w:t>
      </w:r>
      <w:r w:rsidRPr="00905EBC">
        <w:rPr>
          <w:rFonts w:ascii="AcadNusx" w:hAnsi="AcadNusx"/>
        </w:rPr>
        <w:t xml:space="preserve"> </w:t>
      </w:r>
      <w:r w:rsidRPr="00905EBC">
        <w:rPr>
          <w:rFonts w:ascii="Sylfaen" w:hAnsi="Sylfaen" w:cs="Sylfaen"/>
        </w:rPr>
        <w:t>ნაშენის</w:t>
      </w:r>
      <w:r w:rsidRPr="00905EBC">
        <w:rPr>
          <w:rFonts w:ascii="AcadNusx" w:hAnsi="AcadNusx"/>
        </w:rPr>
        <w:t xml:space="preserve"> </w:t>
      </w:r>
      <w:r w:rsidRPr="00905EBC">
        <w:rPr>
          <w:rFonts w:ascii="Sylfaen" w:hAnsi="Sylfaen" w:cs="Sylfaen"/>
        </w:rPr>
        <w:t>მქონე</w:t>
      </w:r>
      <w:r w:rsidRPr="00905EBC">
        <w:rPr>
          <w:rFonts w:ascii="AcadNusx" w:hAnsi="AcadNusx"/>
        </w:rPr>
        <w:t xml:space="preserve"> </w:t>
      </w:r>
      <w:r w:rsidRPr="00905EBC">
        <w:rPr>
          <w:rFonts w:ascii="Sylfaen" w:hAnsi="Sylfaen" w:cs="Sylfaen"/>
        </w:rPr>
        <w:t>ხიდების</w:t>
      </w:r>
      <w:r w:rsidRPr="00905EBC">
        <w:rPr>
          <w:rFonts w:ascii="AcadNusx" w:hAnsi="AcadNusx"/>
        </w:rPr>
        <w:t xml:space="preserve"> </w:t>
      </w:r>
      <w:r w:rsidRPr="00905EBC">
        <w:rPr>
          <w:rFonts w:ascii="Sylfaen" w:hAnsi="Sylfaen" w:cs="Sylfaen"/>
        </w:rPr>
        <w:t>საძირკვლები</w:t>
      </w:r>
      <w:r w:rsidRPr="00905EBC">
        <w:rPr>
          <w:rFonts w:ascii="AcadNusx" w:hAnsi="AcadNusx"/>
        </w:rPr>
        <w:t xml:space="preserve"> 1200 </w:t>
      </w:r>
      <w:r w:rsidRPr="00905EBC">
        <w:rPr>
          <w:rFonts w:ascii="Sylfaen" w:hAnsi="Sylfaen" w:cs="Sylfaen"/>
        </w:rPr>
        <w:t>მმ</w:t>
      </w:r>
      <w:r w:rsidRPr="00905EBC">
        <w:rPr>
          <w:rFonts w:ascii="AcadNusx" w:hAnsi="AcadNusx"/>
        </w:rPr>
        <w:t xml:space="preserve"> </w:t>
      </w:r>
      <w:r w:rsidRPr="00905EBC">
        <w:rPr>
          <w:rFonts w:ascii="Sylfaen" w:hAnsi="Sylfaen" w:cs="Sylfaen"/>
        </w:rPr>
        <w:t>დიამეტრის</w:t>
      </w:r>
      <w:r w:rsidRPr="00905EBC">
        <w:rPr>
          <w:rFonts w:ascii="AcadNusx" w:hAnsi="AcadNusx"/>
        </w:rPr>
        <w:t xml:space="preserve"> </w:t>
      </w:r>
      <w:r w:rsidRPr="00905EBC">
        <w:rPr>
          <w:rFonts w:ascii="Sylfaen" w:hAnsi="Sylfaen" w:cs="Sylfaen"/>
        </w:rPr>
        <w:t>ხიმინჯებით</w:t>
      </w:r>
      <w:r w:rsidRPr="00905EBC">
        <w:rPr>
          <w:rFonts w:ascii="AcadNusx" w:hAnsi="AcadNusx"/>
        </w:rPr>
        <w:t xml:space="preserve"> </w:t>
      </w:r>
      <w:r w:rsidRPr="00905EBC">
        <w:rPr>
          <w:rFonts w:ascii="Sylfaen" w:hAnsi="Sylfaen" w:cs="Sylfaen"/>
        </w:rPr>
        <w:t>მოეწყობა</w:t>
      </w:r>
      <w:r w:rsidRPr="00905EBC">
        <w:rPr>
          <w:rFonts w:ascii="AcadNusx" w:hAnsi="AcadNusx"/>
        </w:rPr>
        <w:t xml:space="preserve">. </w:t>
      </w:r>
    </w:p>
    <w:p w14:paraId="7839A3D6" w14:textId="77777777" w:rsidR="00905EBC" w:rsidRPr="00905EBC" w:rsidRDefault="00905EBC" w:rsidP="00905EBC">
      <w:pPr>
        <w:spacing w:before="120" w:after="120"/>
        <w:rPr>
          <w:rFonts w:ascii="AcadNusx" w:hAnsi="AcadNusx"/>
        </w:rPr>
      </w:pPr>
      <w:r w:rsidRPr="00905EBC">
        <w:rPr>
          <w:rFonts w:ascii="Sylfaen" w:hAnsi="Sylfaen" w:cs="Sylfaen"/>
        </w:rPr>
        <w:t>ხიმინჯების</w:t>
      </w:r>
      <w:r w:rsidRPr="00905EBC">
        <w:rPr>
          <w:rFonts w:ascii="AcadNusx" w:hAnsi="AcadNusx"/>
        </w:rPr>
        <w:t xml:space="preserve"> </w:t>
      </w:r>
      <w:r w:rsidRPr="00905EBC">
        <w:rPr>
          <w:rFonts w:ascii="Sylfaen" w:hAnsi="Sylfaen" w:cs="Sylfaen"/>
        </w:rPr>
        <w:t>რაოდენობა</w:t>
      </w:r>
      <w:r w:rsidRPr="00905EBC">
        <w:rPr>
          <w:rFonts w:ascii="AcadNusx" w:hAnsi="AcadNusx"/>
        </w:rPr>
        <w:t xml:space="preserve">, </w:t>
      </w:r>
      <w:r w:rsidRPr="00905EBC">
        <w:rPr>
          <w:rFonts w:ascii="Sylfaen" w:hAnsi="Sylfaen" w:cs="Sylfaen"/>
        </w:rPr>
        <w:t>სიგრძეები</w:t>
      </w:r>
      <w:r w:rsidRPr="00905EBC">
        <w:rPr>
          <w:rFonts w:ascii="AcadNusx" w:hAnsi="AcadNusx"/>
        </w:rPr>
        <w:t xml:space="preserve"> </w:t>
      </w:r>
      <w:r w:rsidRPr="00905EBC">
        <w:rPr>
          <w:rFonts w:ascii="Sylfaen" w:hAnsi="Sylfaen" w:cs="Sylfaen"/>
        </w:rPr>
        <w:t>და</w:t>
      </w:r>
      <w:r w:rsidRPr="00905EBC">
        <w:rPr>
          <w:rFonts w:ascii="AcadNusx" w:hAnsi="AcadNusx"/>
        </w:rPr>
        <w:t xml:space="preserve"> </w:t>
      </w:r>
      <w:r w:rsidRPr="00905EBC">
        <w:rPr>
          <w:rFonts w:ascii="Sylfaen" w:hAnsi="Sylfaen" w:cs="Sylfaen"/>
        </w:rPr>
        <w:t>განთავსების</w:t>
      </w:r>
      <w:r w:rsidRPr="00905EBC">
        <w:rPr>
          <w:rFonts w:ascii="AcadNusx" w:hAnsi="AcadNusx"/>
        </w:rPr>
        <w:t xml:space="preserve"> </w:t>
      </w:r>
      <w:r w:rsidRPr="00905EBC">
        <w:rPr>
          <w:rFonts w:ascii="Sylfaen" w:hAnsi="Sylfaen" w:cs="Sylfaen"/>
        </w:rPr>
        <w:t>სქემები</w:t>
      </w:r>
      <w:r w:rsidRPr="00905EBC">
        <w:rPr>
          <w:rFonts w:ascii="AcadNusx" w:hAnsi="AcadNusx"/>
        </w:rPr>
        <w:t xml:space="preserve"> </w:t>
      </w:r>
      <w:r w:rsidRPr="00905EBC">
        <w:rPr>
          <w:rFonts w:ascii="Sylfaen" w:hAnsi="Sylfaen" w:cs="Sylfaen"/>
        </w:rPr>
        <w:t>განსაზღვრულია</w:t>
      </w:r>
      <w:r w:rsidRPr="00905EBC">
        <w:rPr>
          <w:rFonts w:ascii="AcadNusx" w:hAnsi="AcadNusx"/>
        </w:rPr>
        <w:t xml:space="preserve"> </w:t>
      </w:r>
      <w:r w:rsidRPr="00905EBC">
        <w:rPr>
          <w:rFonts w:ascii="Sylfaen" w:hAnsi="Sylfaen" w:cs="Sylfaen"/>
        </w:rPr>
        <w:t>კონსტრუქციული</w:t>
      </w:r>
      <w:r w:rsidRPr="00905EBC">
        <w:rPr>
          <w:rFonts w:ascii="AcadNusx" w:hAnsi="AcadNusx"/>
        </w:rPr>
        <w:t xml:space="preserve"> </w:t>
      </w:r>
      <w:r w:rsidRPr="00905EBC">
        <w:rPr>
          <w:rFonts w:ascii="Sylfaen" w:hAnsi="Sylfaen" w:cs="Sylfaen"/>
        </w:rPr>
        <w:t>გაანგარიშებების</w:t>
      </w:r>
      <w:r w:rsidRPr="00905EBC">
        <w:rPr>
          <w:rFonts w:ascii="AcadNusx" w:hAnsi="AcadNusx"/>
        </w:rPr>
        <w:t xml:space="preserve"> </w:t>
      </w:r>
      <w:r w:rsidRPr="00905EBC">
        <w:rPr>
          <w:rFonts w:ascii="Sylfaen" w:hAnsi="Sylfaen" w:cs="Sylfaen"/>
        </w:rPr>
        <w:t>შედეგების</w:t>
      </w:r>
      <w:r w:rsidRPr="00905EBC">
        <w:rPr>
          <w:rFonts w:ascii="AcadNusx" w:hAnsi="AcadNusx"/>
        </w:rPr>
        <w:t xml:space="preserve"> </w:t>
      </w:r>
      <w:r w:rsidRPr="00905EBC">
        <w:rPr>
          <w:rFonts w:ascii="Sylfaen" w:hAnsi="Sylfaen" w:cs="Sylfaen"/>
        </w:rPr>
        <w:t>საფუძველზე</w:t>
      </w:r>
      <w:r w:rsidRPr="00905EBC">
        <w:rPr>
          <w:rFonts w:ascii="AcadNusx" w:hAnsi="AcadNusx"/>
        </w:rPr>
        <w:t xml:space="preserve"> </w:t>
      </w:r>
      <w:r w:rsidRPr="00905EBC">
        <w:rPr>
          <w:rFonts w:ascii="Sylfaen" w:hAnsi="Sylfaen" w:cs="Sylfaen"/>
        </w:rPr>
        <w:t>და</w:t>
      </w:r>
      <w:r w:rsidRPr="00905EBC">
        <w:rPr>
          <w:rFonts w:ascii="AcadNusx" w:hAnsi="AcadNusx"/>
        </w:rPr>
        <w:t xml:space="preserve"> </w:t>
      </w:r>
      <w:r w:rsidRPr="00905EBC">
        <w:rPr>
          <w:rFonts w:ascii="Sylfaen" w:hAnsi="Sylfaen" w:cs="Sylfaen"/>
        </w:rPr>
        <w:t>მოგვიანებით</w:t>
      </w:r>
      <w:r w:rsidRPr="00905EBC">
        <w:rPr>
          <w:rFonts w:ascii="AcadNusx" w:hAnsi="AcadNusx"/>
        </w:rPr>
        <w:t xml:space="preserve"> </w:t>
      </w:r>
      <w:r w:rsidRPr="00905EBC">
        <w:rPr>
          <w:rFonts w:ascii="Sylfaen" w:hAnsi="Sylfaen" w:cs="Sylfaen"/>
        </w:rPr>
        <w:t>ოპტიმიზირდება</w:t>
      </w:r>
      <w:r w:rsidRPr="00905EBC">
        <w:rPr>
          <w:rFonts w:ascii="AcadNusx" w:hAnsi="AcadNusx"/>
        </w:rPr>
        <w:t xml:space="preserve"> </w:t>
      </w:r>
      <w:r w:rsidRPr="00905EBC">
        <w:rPr>
          <w:rFonts w:ascii="Sylfaen" w:hAnsi="Sylfaen" w:cs="Sylfaen"/>
        </w:rPr>
        <w:t>მშენებლობის</w:t>
      </w:r>
      <w:r w:rsidRPr="00905EBC">
        <w:rPr>
          <w:rFonts w:ascii="AcadNusx" w:hAnsi="AcadNusx"/>
        </w:rPr>
        <w:t xml:space="preserve"> </w:t>
      </w:r>
      <w:r w:rsidRPr="00905EBC">
        <w:rPr>
          <w:rFonts w:ascii="Sylfaen" w:hAnsi="Sylfaen" w:cs="Sylfaen"/>
        </w:rPr>
        <w:t>პერიოდში</w:t>
      </w:r>
      <w:r w:rsidRPr="00905EBC">
        <w:rPr>
          <w:rFonts w:ascii="AcadNusx" w:hAnsi="AcadNusx"/>
        </w:rPr>
        <w:t xml:space="preserve"> </w:t>
      </w:r>
      <w:r w:rsidRPr="00905EBC">
        <w:rPr>
          <w:rFonts w:ascii="Sylfaen" w:hAnsi="Sylfaen" w:cs="Sylfaen"/>
        </w:rPr>
        <w:t>გრუნტების</w:t>
      </w:r>
      <w:r w:rsidRPr="00905EBC">
        <w:rPr>
          <w:rFonts w:ascii="AcadNusx" w:hAnsi="AcadNusx"/>
        </w:rPr>
        <w:t xml:space="preserve"> </w:t>
      </w:r>
      <w:r w:rsidRPr="00905EBC">
        <w:rPr>
          <w:rFonts w:ascii="Sylfaen" w:hAnsi="Sylfaen" w:cs="Sylfaen"/>
        </w:rPr>
        <w:t>სიღრმული</w:t>
      </w:r>
      <w:r w:rsidRPr="00905EBC">
        <w:rPr>
          <w:rFonts w:ascii="AcadNusx" w:hAnsi="AcadNusx"/>
        </w:rPr>
        <w:t xml:space="preserve"> </w:t>
      </w:r>
      <w:r w:rsidRPr="00905EBC">
        <w:rPr>
          <w:rFonts w:ascii="Sylfaen" w:hAnsi="Sylfaen" w:cs="Sylfaen"/>
        </w:rPr>
        <w:t>აგებულების</w:t>
      </w:r>
      <w:r w:rsidRPr="00905EBC">
        <w:rPr>
          <w:rFonts w:ascii="AcadNusx" w:hAnsi="AcadNusx"/>
        </w:rPr>
        <w:t xml:space="preserve"> </w:t>
      </w:r>
      <w:r w:rsidRPr="00905EBC">
        <w:rPr>
          <w:rFonts w:ascii="Sylfaen" w:hAnsi="Sylfaen" w:cs="Sylfaen"/>
        </w:rPr>
        <w:t>დეტალური</w:t>
      </w:r>
      <w:r w:rsidRPr="00905EBC">
        <w:rPr>
          <w:rFonts w:ascii="AcadNusx" w:hAnsi="AcadNusx"/>
        </w:rPr>
        <w:t xml:space="preserve"> </w:t>
      </w:r>
      <w:r w:rsidRPr="00905EBC">
        <w:rPr>
          <w:rFonts w:ascii="Sylfaen" w:hAnsi="Sylfaen" w:cs="Sylfaen"/>
        </w:rPr>
        <w:t>შესწავლის</w:t>
      </w:r>
      <w:r w:rsidRPr="00905EBC">
        <w:rPr>
          <w:rFonts w:ascii="AcadNusx" w:hAnsi="AcadNusx"/>
        </w:rPr>
        <w:t xml:space="preserve"> </w:t>
      </w:r>
      <w:r w:rsidRPr="00905EBC">
        <w:rPr>
          <w:rFonts w:ascii="Sylfaen" w:hAnsi="Sylfaen" w:cs="Sylfaen"/>
        </w:rPr>
        <w:t>შედეგად</w:t>
      </w:r>
      <w:r w:rsidRPr="00905EBC">
        <w:rPr>
          <w:rFonts w:ascii="AcadNusx" w:hAnsi="AcadNusx"/>
        </w:rPr>
        <w:t xml:space="preserve"> </w:t>
      </w:r>
      <w:r w:rsidRPr="00905EBC">
        <w:rPr>
          <w:rFonts w:ascii="Sylfaen" w:hAnsi="Sylfaen" w:cs="Sylfaen"/>
        </w:rPr>
        <w:t>განსაზღვრული</w:t>
      </w:r>
      <w:r w:rsidRPr="00905EBC">
        <w:rPr>
          <w:rFonts w:ascii="AcadNusx" w:hAnsi="AcadNusx"/>
        </w:rPr>
        <w:t xml:space="preserve"> </w:t>
      </w:r>
      <w:r w:rsidRPr="00905EBC">
        <w:rPr>
          <w:rFonts w:ascii="Sylfaen" w:hAnsi="Sylfaen" w:cs="Sylfaen"/>
        </w:rPr>
        <w:t>მახასიათებლების</w:t>
      </w:r>
      <w:r w:rsidRPr="00905EBC">
        <w:rPr>
          <w:rFonts w:ascii="AcadNusx" w:hAnsi="AcadNusx"/>
        </w:rPr>
        <w:t xml:space="preserve"> </w:t>
      </w:r>
      <w:r w:rsidRPr="00905EBC">
        <w:rPr>
          <w:rFonts w:ascii="Sylfaen" w:hAnsi="Sylfaen" w:cs="Sylfaen"/>
        </w:rPr>
        <w:t>გათვალისწინებით</w:t>
      </w:r>
      <w:r w:rsidRPr="00905EBC">
        <w:rPr>
          <w:rFonts w:ascii="AcadNusx" w:hAnsi="AcadNusx"/>
        </w:rPr>
        <w:t xml:space="preserve">. </w:t>
      </w:r>
      <w:r w:rsidRPr="00905EBC">
        <w:rPr>
          <w:rFonts w:ascii="Sylfaen" w:hAnsi="Sylfaen" w:cs="Sylfaen"/>
        </w:rPr>
        <w:t>წინასწარი</w:t>
      </w:r>
      <w:r w:rsidRPr="00905EBC">
        <w:rPr>
          <w:rFonts w:ascii="AcadNusx" w:hAnsi="AcadNusx"/>
        </w:rPr>
        <w:t xml:space="preserve"> </w:t>
      </w:r>
      <w:r w:rsidRPr="00905EBC">
        <w:rPr>
          <w:rFonts w:ascii="Sylfaen" w:hAnsi="Sylfaen" w:cs="Sylfaen"/>
        </w:rPr>
        <w:t>პროექტირების</w:t>
      </w:r>
      <w:r w:rsidRPr="00905EBC">
        <w:rPr>
          <w:rFonts w:ascii="AcadNusx" w:hAnsi="AcadNusx"/>
        </w:rPr>
        <w:t xml:space="preserve"> </w:t>
      </w:r>
      <w:r w:rsidRPr="00905EBC">
        <w:rPr>
          <w:rFonts w:ascii="Sylfaen" w:hAnsi="Sylfaen" w:cs="Sylfaen"/>
        </w:rPr>
        <w:t>მიზნებისთვის</w:t>
      </w:r>
      <w:r w:rsidRPr="00905EBC">
        <w:rPr>
          <w:rFonts w:ascii="AcadNusx" w:hAnsi="AcadNusx"/>
        </w:rPr>
        <w:t xml:space="preserve">, </w:t>
      </w:r>
      <w:r w:rsidRPr="00905EBC">
        <w:rPr>
          <w:rFonts w:ascii="Sylfaen" w:hAnsi="Sylfaen" w:cs="Sylfaen"/>
        </w:rPr>
        <w:t>კომერციულად</w:t>
      </w:r>
      <w:r w:rsidRPr="00905EBC">
        <w:rPr>
          <w:rFonts w:ascii="AcadNusx" w:hAnsi="AcadNusx"/>
        </w:rPr>
        <w:t xml:space="preserve"> </w:t>
      </w:r>
      <w:r w:rsidRPr="00905EBC">
        <w:rPr>
          <w:rFonts w:ascii="Sylfaen" w:hAnsi="Sylfaen" w:cs="Sylfaen"/>
        </w:rPr>
        <w:t>ხელმისაწვდომი</w:t>
      </w:r>
      <w:r w:rsidRPr="00905EBC">
        <w:rPr>
          <w:rFonts w:ascii="AcadNusx" w:hAnsi="AcadNusx"/>
        </w:rPr>
        <w:t xml:space="preserve"> </w:t>
      </w:r>
      <w:r w:rsidRPr="00905EBC">
        <w:rPr>
          <w:rFonts w:ascii="Sylfaen" w:hAnsi="Sylfaen" w:cs="Sylfaen"/>
        </w:rPr>
        <w:t>კონტრუქციული</w:t>
      </w:r>
      <w:r w:rsidRPr="00905EBC">
        <w:rPr>
          <w:rFonts w:ascii="AcadNusx" w:hAnsi="AcadNusx"/>
        </w:rPr>
        <w:t xml:space="preserve"> </w:t>
      </w:r>
      <w:r w:rsidRPr="00905EBC">
        <w:rPr>
          <w:rFonts w:ascii="Sylfaen" w:hAnsi="Sylfaen" w:cs="Sylfaen"/>
        </w:rPr>
        <w:t>გაანგარიშების</w:t>
      </w:r>
      <w:r w:rsidRPr="00905EBC">
        <w:rPr>
          <w:rFonts w:ascii="AcadNusx" w:hAnsi="AcadNusx"/>
        </w:rPr>
        <w:t xml:space="preserve"> </w:t>
      </w:r>
      <w:r w:rsidRPr="00905EBC">
        <w:rPr>
          <w:rFonts w:ascii="Sylfaen" w:hAnsi="Sylfaen" w:cs="Sylfaen"/>
        </w:rPr>
        <w:t>კომიპუტერული</w:t>
      </w:r>
      <w:r w:rsidRPr="00905EBC">
        <w:rPr>
          <w:rFonts w:ascii="AcadNusx" w:hAnsi="AcadNusx"/>
        </w:rPr>
        <w:t xml:space="preserve"> </w:t>
      </w:r>
      <w:r w:rsidRPr="00905EBC">
        <w:rPr>
          <w:rFonts w:ascii="Sylfaen" w:hAnsi="Sylfaen" w:cs="Sylfaen"/>
        </w:rPr>
        <w:t>პროგრამის</w:t>
      </w:r>
      <w:r w:rsidRPr="00905EBC">
        <w:rPr>
          <w:rFonts w:ascii="AcadNusx" w:hAnsi="AcadNusx"/>
        </w:rPr>
        <w:t xml:space="preserve"> </w:t>
      </w:r>
      <w:r w:rsidRPr="00905EBC">
        <w:rPr>
          <w:rFonts w:ascii="Sylfaen" w:hAnsi="Sylfaen" w:cs="Sylfaen"/>
        </w:rPr>
        <w:t>საშუალებით</w:t>
      </w:r>
      <w:r w:rsidRPr="00905EBC">
        <w:rPr>
          <w:rFonts w:ascii="AcadNusx" w:hAnsi="AcadNusx"/>
        </w:rPr>
        <w:t xml:space="preserve">, </w:t>
      </w:r>
      <w:r w:rsidRPr="00905EBC">
        <w:rPr>
          <w:rFonts w:ascii="Sylfaen" w:hAnsi="Sylfaen" w:cs="Sylfaen"/>
        </w:rPr>
        <w:t>შესრულდა</w:t>
      </w:r>
      <w:r w:rsidRPr="00905EBC">
        <w:rPr>
          <w:rFonts w:ascii="AcadNusx" w:hAnsi="AcadNusx"/>
        </w:rPr>
        <w:t xml:space="preserve"> </w:t>
      </w:r>
      <w:r w:rsidRPr="00905EBC">
        <w:rPr>
          <w:rFonts w:ascii="Sylfaen" w:hAnsi="Sylfaen" w:cs="Sylfaen"/>
        </w:rPr>
        <w:t>ხიდების</w:t>
      </w:r>
      <w:r w:rsidRPr="00905EBC">
        <w:rPr>
          <w:rFonts w:ascii="AcadNusx" w:hAnsi="AcadNusx"/>
        </w:rPr>
        <w:t xml:space="preserve"> </w:t>
      </w:r>
      <w:r w:rsidRPr="00905EBC">
        <w:rPr>
          <w:rFonts w:ascii="Sylfaen" w:hAnsi="Sylfaen" w:cs="Sylfaen"/>
        </w:rPr>
        <w:t>ტიპიური</w:t>
      </w:r>
      <w:r w:rsidRPr="00905EBC">
        <w:rPr>
          <w:rFonts w:ascii="AcadNusx" w:hAnsi="AcadNusx"/>
        </w:rPr>
        <w:t xml:space="preserve"> </w:t>
      </w:r>
      <w:r w:rsidRPr="00905EBC">
        <w:rPr>
          <w:rFonts w:ascii="Sylfaen" w:hAnsi="Sylfaen" w:cs="Sylfaen"/>
        </w:rPr>
        <w:t>კონსტრუქციების</w:t>
      </w:r>
      <w:r w:rsidRPr="00905EBC">
        <w:rPr>
          <w:rFonts w:ascii="AcadNusx" w:hAnsi="AcadNusx"/>
        </w:rPr>
        <w:t xml:space="preserve"> </w:t>
      </w:r>
      <w:r w:rsidRPr="00905EBC">
        <w:rPr>
          <w:rFonts w:ascii="Sylfaen" w:hAnsi="Sylfaen" w:cs="Sylfaen"/>
        </w:rPr>
        <w:t>მოდელირება</w:t>
      </w:r>
      <w:r w:rsidRPr="00905EBC">
        <w:rPr>
          <w:rFonts w:ascii="AcadNusx" w:hAnsi="AcadNusx"/>
        </w:rPr>
        <w:t xml:space="preserve">. </w:t>
      </w:r>
      <w:r w:rsidRPr="00905EBC">
        <w:rPr>
          <w:rFonts w:ascii="Sylfaen" w:hAnsi="Sylfaen" w:cs="Sylfaen"/>
        </w:rPr>
        <w:t>მომდევნო</w:t>
      </w:r>
      <w:r w:rsidRPr="00905EBC">
        <w:rPr>
          <w:rFonts w:ascii="AcadNusx" w:hAnsi="AcadNusx"/>
        </w:rPr>
        <w:t xml:space="preserve"> </w:t>
      </w:r>
      <w:r w:rsidRPr="00905EBC">
        <w:rPr>
          <w:rFonts w:ascii="Sylfaen" w:hAnsi="Sylfaen" w:cs="Sylfaen"/>
        </w:rPr>
        <w:t>სურათებზე</w:t>
      </w:r>
      <w:r w:rsidRPr="00905EBC">
        <w:rPr>
          <w:rFonts w:ascii="AcadNusx" w:hAnsi="AcadNusx"/>
        </w:rPr>
        <w:t xml:space="preserve"> </w:t>
      </w:r>
      <w:r w:rsidRPr="00905EBC">
        <w:rPr>
          <w:rFonts w:ascii="Sylfaen" w:hAnsi="Sylfaen" w:cs="Sylfaen"/>
        </w:rPr>
        <w:t>ილუსტრირებულია</w:t>
      </w:r>
      <w:r w:rsidRPr="00905EBC">
        <w:rPr>
          <w:rFonts w:ascii="AcadNusx" w:hAnsi="AcadNusx"/>
        </w:rPr>
        <w:t xml:space="preserve"> </w:t>
      </w:r>
      <w:r w:rsidRPr="00905EBC">
        <w:rPr>
          <w:rFonts w:ascii="Sylfaen" w:hAnsi="Sylfaen" w:cs="Sylfaen"/>
        </w:rPr>
        <w:t>ხიმინჯების</w:t>
      </w:r>
      <w:r w:rsidRPr="00905EBC">
        <w:rPr>
          <w:rFonts w:ascii="AcadNusx" w:hAnsi="AcadNusx"/>
        </w:rPr>
        <w:t xml:space="preserve"> </w:t>
      </w:r>
      <w:r w:rsidRPr="00905EBC">
        <w:rPr>
          <w:rFonts w:ascii="Sylfaen" w:hAnsi="Sylfaen" w:cs="Sylfaen"/>
        </w:rPr>
        <w:t>საანგარიშო</w:t>
      </w:r>
      <w:r w:rsidRPr="00905EBC">
        <w:rPr>
          <w:rFonts w:ascii="AcadNusx" w:hAnsi="AcadNusx"/>
        </w:rPr>
        <w:t xml:space="preserve"> </w:t>
      </w:r>
      <w:r w:rsidRPr="00905EBC">
        <w:rPr>
          <w:rFonts w:ascii="Sylfaen" w:hAnsi="Sylfaen" w:cs="Sylfaen"/>
        </w:rPr>
        <w:t>რეაქცია</w:t>
      </w:r>
      <w:r w:rsidRPr="00905EBC">
        <w:rPr>
          <w:rFonts w:ascii="AcadNusx" w:hAnsi="AcadNusx"/>
        </w:rPr>
        <w:t xml:space="preserve"> </w:t>
      </w:r>
      <w:r w:rsidRPr="00905EBC">
        <w:rPr>
          <w:rFonts w:ascii="Sylfaen" w:hAnsi="Sylfaen" w:cs="Sylfaen"/>
        </w:rPr>
        <w:t>ცალკეული</w:t>
      </w:r>
      <w:r w:rsidRPr="00905EBC">
        <w:rPr>
          <w:rFonts w:ascii="AcadNusx" w:hAnsi="AcadNusx"/>
        </w:rPr>
        <w:t xml:space="preserve"> </w:t>
      </w:r>
      <w:r w:rsidRPr="00905EBC">
        <w:rPr>
          <w:rFonts w:ascii="Sylfaen" w:hAnsi="Sylfaen" w:cs="Sylfaen"/>
        </w:rPr>
        <w:t>კონტრუქციული</w:t>
      </w:r>
      <w:r w:rsidRPr="00905EBC">
        <w:rPr>
          <w:rFonts w:ascii="AcadNusx" w:hAnsi="AcadNusx"/>
        </w:rPr>
        <w:t xml:space="preserve"> </w:t>
      </w:r>
      <w:r w:rsidRPr="00905EBC">
        <w:rPr>
          <w:rFonts w:ascii="Sylfaen" w:hAnsi="Sylfaen" w:cs="Sylfaen"/>
        </w:rPr>
        <w:t>სახეობების</w:t>
      </w:r>
      <w:r w:rsidRPr="00905EBC">
        <w:rPr>
          <w:rFonts w:ascii="AcadNusx" w:hAnsi="AcadNusx"/>
        </w:rPr>
        <w:t xml:space="preserve"> </w:t>
      </w:r>
      <w:r w:rsidRPr="00905EBC">
        <w:rPr>
          <w:rFonts w:ascii="Sylfaen" w:hAnsi="Sylfaen" w:cs="Sylfaen"/>
        </w:rPr>
        <w:t>ხიდებისთვის</w:t>
      </w:r>
      <w:r w:rsidRPr="00905EBC">
        <w:rPr>
          <w:rFonts w:ascii="AcadNusx" w:hAnsi="AcadNusx"/>
        </w:rPr>
        <w:t>.</w:t>
      </w:r>
    </w:p>
    <w:p w14:paraId="1DAC16C9" w14:textId="77777777" w:rsidR="00905EBC" w:rsidRDefault="00905EBC" w:rsidP="00905EBC">
      <w:pPr>
        <w:spacing w:before="120" w:after="120"/>
        <w:rPr>
          <w:rFonts w:ascii="AcadNusx" w:hAnsi="AcadNusx"/>
        </w:rPr>
      </w:pPr>
      <w:r w:rsidRPr="00905EBC">
        <w:rPr>
          <w:rFonts w:ascii="Sylfaen" w:hAnsi="Sylfaen" w:cs="Sylfaen"/>
        </w:rPr>
        <w:t>თავისუფლად</w:t>
      </w:r>
      <w:r w:rsidRPr="00905EBC">
        <w:rPr>
          <w:rFonts w:ascii="AcadNusx" w:hAnsi="AcadNusx"/>
        </w:rPr>
        <w:t xml:space="preserve"> </w:t>
      </w:r>
      <w:r w:rsidRPr="00905EBC">
        <w:rPr>
          <w:rFonts w:ascii="Sylfaen" w:hAnsi="Sylfaen" w:cs="Sylfaen"/>
        </w:rPr>
        <w:t>დაყრდნობილი</w:t>
      </w:r>
      <w:r w:rsidRPr="00905EBC">
        <w:rPr>
          <w:rFonts w:ascii="AcadNusx" w:hAnsi="AcadNusx"/>
        </w:rPr>
        <w:t xml:space="preserve"> </w:t>
      </w:r>
      <w:r w:rsidRPr="00905EBC">
        <w:rPr>
          <w:rFonts w:ascii="Sylfaen" w:hAnsi="Sylfaen" w:cs="Sylfaen"/>
        </w:rPr>
        <w:t>კიდის</w:t>
      </w:r>
      <w:r w:rsidRPr="00905EBC">
        <w:rPr>
          <w:rFonts w:ascii="AcadNusx" w:hAnsi="AcadNusx"/>
        </w:rPr>
        <w:t xml:space="preserve"> </w:t>
      </w:r>
      <w:r w:rsidRPr="00905EBC">
        <w:rPr>
          <w:rFonts w:ascii="Sylfaen" w:hAnsi="Sylfaen" w:cs="Sylfaen"/>
        </w:rPr>
        <w:t>სასაზღვრო</w:t>
      </w:r>
      <w:r w:rsidRPr="00905EBC">
        <w:rPr>
          <w:rFonts w:ascii="AcadNusx" w:hAnsi="AcadNusx"/>
        </w:rPr>
        <w:t xml:space="preserve"> </w:t>
      </w:r>
      <w:r w:rsidRPr="00905EBC">
        <w:rPr>
          <w:rFonts w:ascii="Sylfaen" w:hAnsi="Sylfaen" w:cs="Sylfaen"/>
        </w:rPr>
        <w:t>პირობების</w:t>
      </w:r>
      <w:r w:rsidRPr="00905EBC">
        <w:rPr>
          <w:rFonts w:ascii="AcadNusx" w:hAnsi="AcadNusx"/>
        </w:rPr>
        <w:t xml:space="preserve"> </w:t>
      </w:r>
      <w:r w:rsidRPr="00905EBC">
        <w:rPr>
          <w:rFonts w:ascii="Sylfaen" w:hAnsi="Sylfaen" w:cs="Sylfaen"/>
        </w:rPr>
        <w:t>გათვალისწინებით</w:t>
      </w:r>
      <w:r w:rsidRPr="00905EBC">
        <w:rPr>
          <w:rFonts w:ascii="AcadNusx" w:hAnsi="AcadNusx"/>
        </w:rPr>
        <w:t xml:space="preserve">, </w:t>
      </w:r>
      <w:r w:rsidRPr="00905EBC">
        <w:rPr>
          <w:rFonts w:ascii="Sylfaen" w:hAnsi="Sylfaen" w:cs="Sylfaen"/>
        </w:rPr>
        <w:t>შესრულდა</w:t>
      </w:r>
      <w:r w:rsidRPr="00905EBC">
        <w:rPr>
          <w:rFonts w:ascii="AcadNusx" w:hAnsi="AcadNusx"/>
        </w:rPr>
        <w:t xml:space="preserve"> </w:t>
      </w:r>
      <w:r w:rsidRPr="00905EBC">
        <w:rPr>
          <w:rFonts w:ascii="Sylfaen" w:hAnsi="Sylfaen" w:cs="Sylfaen"/>
        </w:rPr>
        <w:t>ორმალიანი</w:t>
      </w:r>
      <w:r w:rsidRPr="00905EBC">
        <w:rPr>
          <w:rFonts w:ascii="AcadNusx" w:hAnsi="AcadNusx"/>
        </w:rPr>
        <w:t xml:space="preserve"> </w:t>
      </w:r>
      <w:r w:rsidRPr="00905EBC">
        <w:rPr>
          <w:rFonts w:ascii="Sylfaen" w:hAnsi="Sylfaen" w:cs="Sylfaen"/>
        </w:rPr>
        <w:t>კონფიგურაციის</w:t>
      </w:r>
      <w:r w:rsidRPr="00905EBC">
        <w:rPr>
          <w:rFonts w:ascii="AcadNusx" w:hAnsi="AcadNusx"/>
        </w:rPr>
        <w:t xml:space="preserve"> </w:t>
      </w:r>
      <w:r w:rsidRPr="00905EBC">
        <w:rPr>
          <w:rFonts w:ascii="Sylfaen" w:hAnsi="Sylfaen" w:cs="Sylfaen"/>
        </w:rPr>
        <w:t>მქონე</w:t>
      </w:r>
      <w:r w:rsidRPr="00905EBC">
        <w:rPr>
          <w:rFonts w:ascii="AcadNusx" w:hAnsi="AcadNusx"/>
        </w:rPr>
        <w:t xml:space="preserve"> </w:t>
      </w:r>
      <w:r w:rsidRPr="00905EBC">
        <w:rPr>
          <w:rFonts w:ascii="Sylfaen" w:hAnsi="Sylfaen" w:cs="Sylfaen"/>
        </w:rPr>
        <w:t>ორტესებრ</w:t>
      </w:r>
      <w:r w:rsidRPr="00905EBC">
        <w:rPr>
          <w:rFonts w:ascii="AcadNusx" w:hAnsi="AcadNusx"/>
        </w:rPr>
        <w:t>-</w:t>
      </w:r>
      <w:r w:rsidRPr="00905EBC">
        <w:rPr>
          <w:rFonts w:ascii="Sylfaen" w:hAnsi="Sylfaen" w:cs="Sylfaen"/>
        </w:rPr>
        <w:t>კოჭური</w:t>
      </w:r>
      <w:r w:rsidRPr="00905EBC">
        <w:rPr>
          <w:rFonts w:ascii="AcadNusx" w:hAnsi="AcadNusx"/>
        </w:rPr>
        <w:t xml:space="preserve"> </w:t>
      </w:r>
      <w:r w:rsidRPr="00905EBC">
        <w:rPr>
          <w:rFonts w:ascii="Sylfaen" w:hAnsi="Sylfaen" w:cs="Sylfaen"/>
        </w:rPr>
        <w:t>ხიდების</w:t>
      </w:r>
      <w:r w:rsidRPr="00905EBC">
        <w:rPr>
          <w:rFonts w:ascii="AcadNusx" w:hAnsi="AcadNusx"/>
        </w:rPr>
        <w:t xml:space="preserve"> </w:t>
      </w:r>
      <w:r w:rsidRPr="00905EBC">
        <w:rPr>
          <w:rFonts w:ascii="Sylfaen" w:hAnsi="Sylfaen" w:cs="Sylfaen"/>
        </w:rPr>
        <w:t>მოდელირება</w:t>
      </w:r>
      <w:r w:rsidRPr="00905EBC">
        <w:rPr>
          <w:rFonts w:ascii="AcadNusx" w:hAnsi="AcadNusx"/>
        </w:rPr>
        <w:t xml:space="preserve">. </w:t>
      </w:r>
      <w:r w:rsidRPr="00905EBC">
        <w:rPr>
          <w:rFonts w:ascii="Sylfaen" w:hAnsi="Sylfaen" w:cs="Sylfaen"/>
        </w:rPr>
        <w:t>სანაპირო</w:t>
      </w:r>
      <w:r w:rsidRPr="00905EBC">
        <w:rPr>
          <w:rFonts w:ascii="AcadNusx" w:hAnsi="AcadNusx"/>
        </w:rPr>
        <w:t xml:space="preserve"> </w:t>
      </w:r>
      <w:r w:rsidRPr="00905EBC">
        <w:rPr>
          <w:rFonts w:ascii="Sylfaen" w:hAnsi="Sylfaen" w:cs="Sylfaen"/>
        </w:rPr>
        <w:t>ბურჯების</w:t>
      </w:r>
      <w:r w:rsidRPr="00905EBC">
        <w:rPr>
          <w:rFonts w:ascii="AcadNusx" w:hAnsi="AcadNusx"/>
        </w:rPr>
        <w:t xml:space="preserve"> </w:t>
      </w:r>
      <w:r w:rsidRPr="00905EBC">
        <w:rPr>
          <w:rFonts w:ascii="Sylfaen" w:hAnsi="Sylfaen" w:cs="Sylfaen"/>
        </w:rPr>
        <w:t>საძირკველისთვის</w:t>
      </w:r>
      <w:r w:rsidRPr="00905EBC">
        <w:rPr>
          <w:rFonts w:ascii="AcadNusx" w:hAnsi="AcadNusx"/>
        </w:rPr>
        <w:t xml:space="preserve"> </w:t>
      </w:r>
      <w:r w:rsidRPr="00905EBC">
        <w:rPr>
          <w:rFonts w:ascii="Sylfaen" w:hAnsi="Sylfaen" w:cs="Sylfaen"/>
        </w:rPr>
        <w:t>მოდელირდა</w:t>
      </w:r>
      <w:r w:rsidRPr="00905EBC">
        <w:rPr>
          <w:rFonts w:ascii="AcadNusx" w:hAnsi="AcadNusx"/>
        </w:rPr>
        <w:t xml:space="preserve"> </w:t>
      </w:r>
      <w:r w:rsidRPr="00905EBC">
        <w:rPr>
          <w:rFonts w:ascii="Sylfaen" w:hAnsi="Sylfaen" w:cs="Sylfaen"/>
        </w:rPr>
        <w:t>ხიმინჯოვანი</w:t>
      </w:r>
      <w:r w:rsidRPr="00905EBC">
        <w:rPr>
          <w:rFonts w:ascii="AcadNusx" w:hAnsi="AcadNusx"/>
        </w:rPr>
        <w:t xml:space="preserve"> </w:t>
      </w:r>
      <w:r w:rsidRPr="00905EBC">
        <w:rPr>
          <w:rFonts w:ascii="Sylfaen" w:hAnsi="Sylfaen" w:cs="Sylfaen"/>
        </w:rPr>
        <w:t>როსტვერკი</w:t>
      </w:r>
      <w:r w:rsidRPr="00905EBC">
        <w:rPr>
          <w:rFonts w:ascii="AcadNusx" w:hAnsi="AcadNusx"/>
        </w:rPr>
        <w:t xml:space="preserve"> </w:t>
      </w:r>
      <w:r w:rsidRPr="00905EBC">
        <w:rPr>
          <w:rFonts w:ascii="Sylfaen" w:hAnsi="Sylfaen" w:cs="Sylfaen"/>
        </w:rPr>
        <w:t>ერთ</w:t>
      </w:r>
      <w:r w:rsidRPr="00905EBC">
        <w:rPr>
          <w:rFonts w:ascii="AcadNusx" w:hAnsi="AcadNusx"/>
        </w:rPr>
        <w:t xml:space="preserve"> </w:t>
      </w:r>
      <w:r w:rsidRPr="00905EBC">
        <w:rPr>
          <w:rFonts w:ascii="Sylfaen" w:hAnsi="Sylfaen" w:cs="Sylfaen"/>
        </w:rPr>
        <w:t>რიგად</w:t>
      </w:r>
      <w:r w:rsidRPr="00905EBC">
        <w:rPr>
          <w:rFonts w:ascii="AcadNusx" w:hAnsi="AcadNusx"/>
        </w:rPr>
        <w:t xml:space="preserve"> </w:t>
      </w:r>
      <w:r w:rsidRPr="00905EBC">
        <w:rPr>
          <w:rFonts w:ascii="Sylfaen" w:hAnsi="Sylfaen" w:cs="Sylfaen"/>
        </w:rPr>
        <w:t>განთავსებული</w:t>
      </w:r>
      <w:r w:rsidRPr="00905EBC">
        <w:rPr>
          <w:rFonts w:ascii="AcadNusx" w:hAnsi="AcadNusx"/>
        </w:rPr>
        <w:t xml:space="preserve"> 5 </w:t>
      </w:r>
      <w:r w:rsidRPr="00905EBC">
        <w:rPr>
          <w:rFonts w:ascii="Sylfaen" w:hAnsi="Sylfaen" w:cs="Sylfaen"/>
        </w:rPr>
        <w:t>ხიმინჯით</w:t>
      </w:r>
      <w:r w:rsidRPr="00905EBC">
        <w:rPr>
          <w:rFonts w:ascii="AcadNusx" w:hAnsi="AcadNusx"/>
        </w:rPr>
        <w:t xml:space="preserve">, </w:t>
      </w:r>
      <w:r w:rsidRPr="00905EBC">
        <w:rPr>
          <w:rFonts w:ascii="Sylfaen" w:hAnsi="Sylfaen" w:cs="Sylfaen"/>
        </w:rPr>
        <w:t>ხოლო</w:t>
      </w:r>
      <w:r w:rsidRPr="00905EBC">
        <w:rPr>
          <w:rFonts w:ascii="AcadNusx" w:hAnsi="AcadNusx"/>
        </w:rPr>
        <w:t xml:space="preserve"> </w:t>
      </w:r>
      <w:r w:rsidRPr="00905EBC">
        <w:rPr>
          <w:rFonts w:ascii="Sylfaen" w:hAnsi="Sylfaen" w:cs="Sylfaen"/>
        </w:rPr>
        <w:t>შუალედი</w:t>
      </w:r>
      <w:r w:rsidRPr="00905EBC">
        <w:rPr>
          <w:rFonts w:ascii="AcadNusx" w:hAnsi="AcadNusx"/>
        </w:rPr>
        <w:t xml:space="preserve"> </w:t>
      </w:r>
      <w:r w:rsidRPr="00905EBC">
        <w:rPr>
          <w:rFonts w:ascii="Sylfaen" w:hAnsi="Sylfaen" w:cs="Sylfaen"/>
        </w:rPr>
        <w:t>ბურჯების</w:t>
      </w:r>
      <w:r w:rsidRPr="00905EBC">
        <w:rPr>
          <w:rFonts w:ascii="AcadNusx" w:hAnsi="AcadNusx"/>
        </w:rPr>
        <w:t xml:space="preserve"> </w:t>
      </w:r>
      <w:r w:rsidRPr="00905EBC">
        <w:rPr>
          <w:rFonts w:ascii="Sylfaen" w:hAnsi="Sylfaen" w:cs="Sylfaen"/>
        </w:rPr>
        <w:t>საძირკვლებისთვის</w:t>
      </w:r>
      <w:r w:rsidRPr="00905EBC">
        <w:rPr>
          <w:rFonts w:ascii="AcadNusx" w:hAnsi="AcadNusx"/>
        </w:rPr>
        <w:t xml:space="preserve"> </w:t>
      </w:r>
      <w:r w:rsidRPr="00905EBC">
        <w:rPr>
          <w:rFonts w:ascii="Sylfaen" w:hAnsi="Sylfaen" w:cs="Sylfaen"/>
        </w:rPr>
        <w:t>გათვალისწინებული</w:t>
      </w:r>
      <w:r w:rsidRPr="00905EBC">
        <w:rPr>
          <w:rFonts w:ascii="AcadNusx" w:hAnsi="AcadNusx"/>
        </w:rPr>
        <w:t xml:space="preserve"> </w:t>
      </w:r>
      <w:r w:rsidRPr="00905EBC">
        <w:rPr>
          <w:rFonts w:ascii="Sylfaen" w:hAnsi="Sylfaen" w:cs="Sylfaen"/>
        </w:rPr>
        <w:t>იქნა</w:t>
      </w:r>
      <w:r w:rsidRPr="00905EBC">
        <w:rPr>
          <w:rFonts w:ascii="AcadNusx" w:hAnsi="AcadNusx"/>
        </w:rPr>
        <w:t xml:space="preserve"> 5-5 </w:t>
      </w:r>
      <w:r w:rsidRPr="00905EBC">
        <w:rPr>
          <w:rFonts w:ascii="Sylfaen" w:hAnsi="Sylfaen" w:cs="Sylfaen"/>
        </w:rPr>
        <w:t>ხიმინჯის</w:t>
      </w:r>
      <w:r w:rsidRPr="00905EBC">
        <w:rPr>
          <w:rFonts w:ascii="AcadNusx" w:hAnsi="AcadNusx"/>
        </w:rPr>
        <w:t xml:space="preserve"> </w:t>
      </w:r>
      <w:r w:rsidRPr="00905EBC">
        <w:rPr>
          <w:rFonts w:ascii="Sylfaen" w:hAnsi="Sylfaen" w:cs="Sylfaen"/>
        </w:rPr>
        <w:t>ორ</w:t>
      </w:r>
      <w:r w:rsidRPr="00905EBC">
        <w:rPr>
          <w:rFonts w:ascii="AcadNusx" w:hAnsi="AcadNusx"/>
        </w:rPr>
        <w:t xml:space="preserve"> </w:t>
      </w:r>
      <w:r w:rsidRPr="00905EBC">
        <w:rPr>
          <w:rFonts w:ascii="Sylfaen" w:hAnsi="Sylfaen" w:cs="Sylfaen"/>
        </w:rPr>
        <w:t>რიგად</w:t>
      </w:r>
      <w:r w:rsidRPr="00905EBC">
        <w:rPr>
          <w:rFonts w:ascii="AcadNusx" w:hAnsi="AcadNusx"/>
        </w:rPr>
        <w:t xml:space="preserve"> </w:t>
      </w:r>
      <w:r w:rsidRPr="00905EBC">
        <w:rPr>
          <w:rFonts w:ascii="Sylfaen" w:hAnsi="Sylfaen" w:cs="Sylfaen"/>
        </w:rPr>
        <w:t>განთავსება</w:t>
      </w:r>
      <w:r w:rsidRPr="00905EBC">
        <w:rPr>
          <w:rFonts w:ascii="AcadNusx" w:hAnsi="AcadNusx"/>
        </w:rPr>
        <w:t xml:space="preserve">. </w:t>
      </w:r>
      <w:r w:rsidRPr="00905EBC">
        <w:rPr>
          <w:rFonts w:ascii="Sylfaen" w:hAnsi="Sylfaen" w:cs="Sylfaen"/>
        </w:rPr>
        <w:t>სანაპირო</w:t>
      </w:r>
      <w:r w:rsidRPr="00905EBC">
        <w:rPr>
          <w:rFonts w:ascii="AcadNusx" w:hAnsi="AcadNusx"/>
        </w:rPr>
        <w:t xml:space="preserve"> </w:t>
      </w:r>
      <w:r w:rsidRPr="00905EBC">
        <w:rPr>
          <w:rFonts w:ascii="Sylfaen" w:hAnsi="Sylfaen" w:cs="Sylfaen"/>
        </w:rPr>
        <w:t>ბურჯის</w:t>
      </w:r>
      <w:r w:rsidRPr="00905EBC">
        <w:rPr>
          <w:rFonts w:ascii="AcadNusx" w:hAnsi="AcadNusx"/>
        </w:rPr>
        <w:t xml:space="preserve"> </w:t>
      </w:r>
      <w:r w:rsidRPr="00905EBC">
        <w:rPr>
          <w:rFonts w:ascii="Sylfaen" w:hAnsi="Sylfaen" w:cs="Sylfaen"/>
        </w:rPr>
        <w:t>საძირკველის</w:t>
      </w:r>
      <w:r w:rsidRPr="00905EBC">
        <w:rPr>
          <w:rFonts w:ascii="AcadNusx" w:hAnsi="AcadNusx"/>
        </w:rPr>
        <w:t xml:space="preserve"> </w:t>
      </w:r>
      <w:r w:rsidRPr="00905EBC">
        <w:rPr>
          <w:rFonts w:ascii="Sylfaen" w:hAnsi="Sylfaen" w:cs="Sylfaen"/>
        </w:rPr>
        <w:t>ხიმინჯის</w:t>
      </w:r>
      <w:r w:rsidRPr="00905EBC">
        <w:rPr>
          <w:rFonts w:ascii="AcadNusx" w:hAnsi="AcadNusx"/>
        </w:rPr>
        <w:t xml:space="preserve"> </w:t>
      </w:r>
      <w:r w:rsidRPr="00905EBC">
        <w:rPr>
          <w:rFonts w:ascii="Sylfaen" w:hAnsi="Sylfaen" w:cs="Sylfaen"/>
        </w:rPr>
        <w:t>სათავისთან</w:t>
      </w:r>
      <w:r w:rsidRPr="00905EBC">
        <w:rPr>
          <w:rFonts w:ascii="AcadNusx" w:hAnsi="AcadNusx"/>
        </w:rPr>
        <w:t xml:space="preserve"> </w:t>
      </w:r>
      <w:r w:rsidRPr="00905EBC">
        <w:rPr>
          <w:rFonts w:ascii="Sylfaen" w:hAnsi="Sylfaen" w:cs="Sylfaen"/>
        </w:rPr>
        <w:t>ვერტიკალური</w:t>
      </w:r>
      <w:r w:rsidRPr="00905EBC">
        <w:rPr>
          <w:rFonts w:ascii="AcadNusx" w:hAnsi="AcadNusx"/>
        </w:rPr>
        <w:t xml:space="preserve"> </w:t>
      </w:r>
      <w:r w:rsidRPr="00905EBC">
        <w:rPr>
          <w:rFonts w:ascii="Sylfaen" w:hAnsi="Sylfaen" w:cs="Sylfaen"/>
        </w:rPr>
        <w:t>რეაქციის</w:t>
      </w:r>
      <w:r w:rsidRPr="00905EBC">
        <w:rPr>
          <w:rFonts w:ascii="AcadNusx" w:hAnsi="AcadNusx"/>
        </w:rPr>
        <w:t xml:space="preserve"> </w:t>
      </w:r>
      <w:r w:rsidRPr="00905EBC">
        <w:rPr>
          <w:rFonts w:ascii="Sylfaen" w:hAnsi="Sylfaen" w:cs="Sylfaen"/>
        </w:rPr>
        <w:t>ძალვები</w:t>
      </w:r>
      <w:r w:rsidRPr="00905EBC">
        <w:rPr>
          <w:rFonts w:ascii="AcadNusx" w:hAnsi="AcadNusx"/>
        </w:rPr>
        <w:t xml:space="preserve"> </w:t>
      </w:r>
      <w:r w:rsidRPr="00905EBC">
        <w:rPr>
          <w:rFonts w:ascii="Sylfaen" w:hAnsi="Sylfaen" w:cs="Sylfaen"/>
        </w:rPr>
        <w:t>შეადგენენ</w:t>
      </w:r>
      <w:r w:rsidRPr="00905EBC">
        <w:rPr>
          <w:rFonts w:ascii="AcadNusx" w:hAnsi="AcadNusx"/>
        </w:rPr>
        <w:t xml:space="preserve"> </w:t>
      </w:r>
      <w:r w:rsidRPr="00905EBC">
        <w:rPr>
          <w:rFonts w:ascii="Sylfaen" w:hAnsi="Sylfaen" w:cs="Sylfaen"/>
        </w:rPr>
        <w:t>მიახლოებით</w:t>
      </w:r>
      <w:r w:rsidRPr="00905EBC">
        <w:rPr>
          <w:rFonts w:ascii="AcadNusx" w:hAnsi="AcadNusx"/>
        </w:rPr>
        <w:t xml:space="preserve"> 367 </w:t>
      </w:r>
      <w:r w:rsidRPr="00905EBC">
        <w:rPr>
          <w:rFonts w:ascii="Sylfaen" w:hAnsi="Sylfaen" w:cs="Sylfaen"/>
        </w:rPr>
        <w:t>ტონას</w:t>
      </w:r>
      <w:r w:rsidRPr="00905EBC">
        <w:rPr>
          <w:rFonts w:ascii="AcadNusx" w:hAnsi="AcadNusx"/>
        </w:rPr>
        <w:t xml:space="preserve">, </w:t>
      </w:r>
      <w:r w:rsidRPr="00905EBC">
        <w:rPr>
          <w:rFonts w:ascii="Sylfaen" w:hAnsi="Sylfaen" w:cs="Sylfaen"/>
        </w:rPr>
        <w:t>ხოლო</w:t>
      </w:r>
      <w:r w:rsidRPr="00905EBC">
        <w:rPr>
          <w:rFonts w:ascii="AcadNusx" w:hAnsi="AcadNusx"/>
        </w:rPr>
        <w:t xml:space="preserve"> </w:t>
      </w:r>
      <w:r w:rsidRPr="00905EBC">
        <w:rPr>
          <w:rFonts w:ascii="Sylfaen" w:hAnsi="Sylfaen" w:cs="Sylfaen"/>
        </w:rPr>
        <w:t>შუალედი</w:t>
      </w:r>
      <w:r w:rsidRPr="00905EBC">
        <w:rPr>
          <w:rFonts w:ascii="AcadNusx" w:hAnsi="AcadNusx"/>
        </w:rPr>
        <w:t xml:space="preserve"> </w:t>
      </w:r>
      <w:r w:rsidRPr="00905EBC">
        <w:rPr>
          <w:rFonts w:ascii="Sylfaen" w:hAnsi="Sylfaen" w:cs="Sylfaen"/>
        </w:rPr>
        <w:t>ბურჯის</w:t>
      </w:r>
      <w:r w:rsidRPr="00905EBC">
        <w:rPr>
          <w:rFonts w:ascii="AcadNusx" w:hAnsi="AcadNusx"/>
        </w:rPr>
        <w:t xml:space="preserve"> </w:t>
      </w:r>
      <w:r w:rsidRPr="00905EBC">
        <w:rPr>
          <w:rFonts w:ascii="Sylfaen" w:hAnsi="Sylfaen" w:cs="Sylfaen"/>
        </w:rPr>
        <w:t>საძირკვლის</w:t>
      </w:r>
      <w:r w:rsidRPr="00905EBC">
        <w:rPr>
          <w:rFonts w:ascii="AcadNusx" w:hAnsi="AcadNusx"/>
        </w:rPr>
        <w:t xml:space="preserve"> </w:t>
      </w:r>
      <w:r w:rsidRPr="00905EBC">
        <w:rPr>
          <w:rFonts w:ascii="Sylfaen" w:hAnsi="Sylfaen" w:cs="Sylfaen"/>
        </w:rPr>
        <w:t>ხიმინჯის</w:t>
      </w:r>
      <w:r w:rsidRPr="00905EBC">
        <w:rPr>
          <w:rFonts w:ascii="AcadNusx" w:hAnsi="AcadNusx"/>
        </w:rPr>
        <w:t xml:space="preserve"> </w:t>
      </w:r>
      <w:r w:rsidRPr="00905EBC">
        <w:rPr>
          <w:rFonts w:ascii="Sylfaen" w:hAnsi="Sylfaen" w:cs="Sylfaen"/>
        </w:rPr>
        <w:t>სათავისთან</w:t>
      </w:r>
      <w:r w:rsidRPr="00905EBC">
        <w:rPr>
          <w:rFonts w:ascii="AcadNusx" w:hAnsi="AcadNusx"/>
        </w:rPr>
        <w:t xml:space="preserve"> </w:t>
      </w:r>
      <w:r w:rsidRPr="00905EBC">
        <w:rPr>
          <w:rFonts w:ascii="AcadNusx" w:hAnsi="AcadNusx" w:cs="AcadNusx"/>
        </w:rPr>
        <w:t>–</w:t>
      </w:r>
      <w:r w:rsidRPr="00905EBC">
        <w:rPr>
          <w:rFonts w:ascii="AcadNusx" w:hAnsi="AcadNusx"/>
        </w:rPr>
        <w:t xml:space="preserve"> </w:t>
      </w:r>
      <w:r w:rsidRPr="00905EBC">
        <w:rPr>
          <w:rFonts w:ascii="Sylfaen" w:hAnsi="Sylfaen" w:cs="Sylfaen"/>
        </w:rPr>
        <w:t>მიახ</w:t>
      </w:r>
      <w:r w:rsidRPr="00905EBC">
        <w:rPr>
          <w:rFonts w:ascii="AcadNusx" w:hAnsi="AcadNusx"/>
        </w:rPr>
        <w:t xml:space="preserve">. 336 </w:t>
      </w:r>
      <w:r w:rsidRPr="00905EBC">
        <w:rPr>
          <w:rFonts w:ascii="Sylfaen" w:hAnsi="Sylfaen" w:cs="Sylfaen"/>
        </w:rPr>
        <w:t>ტონას</w:t>
      </w:r>
      <w:r w:rsidRPr="00905EBC">
        <w:rPr>
          <w:rFonts w:ascii="AcadNusx" w:hAnsi="AcadNusx"/>
        </w:rPr>
        <w:t xml:space="preserve">. </w:t>
      </w:r>
    </w:p>
    <w:p w14:paraId="221E2B33" w14:textId="4CA2D401" w:rsidR="00EA3205" w:rsidRPr="00B05F62" w:rsidRDefault="00EA3205" w:rsidP="00905EBC">
      <w:pPr>
        <w:rPr>
          <w:rFonts w:ascii="AcadNusx" w:hAnsi="AcadNusx"/>
          <w:lang w:val="en-US" w:bidi="bn-BD"/>
        </w:rPr>
      </w:pPr>
      <w:r w:rsidRPr="00B05F62">
        <w:rPr>
          <w:rFonts w:ascii="AcadNusx" w:hAnsi="AcadNusx"/>
          <w:noProof/>
          <w:lang w:val="en-US" w:eastAsia="en-US"/>
        </w:rPr>
        <w:drawing>
          <wp:inline distT="0" distB="0" distL="0" distR="0" wp14:anchorId="4E4BD8CD" wp14:editId="44D8F47A">
            <wp:extent cx="6515100" cy="3000375"/>
            <wp:effectExtent l="0" t="0" r="0" b="9525"/>
            <wp:docPr id="40" name="Picture 40" descr="Pile Reactions, 30 m girder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le Reactions, 30 m girders.bmp"/>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6515100" cy="3000375"/>
                    </a:xfrm>
                    <a:prstGeom prst="rect">
                      <a:avLst/>
                    </a:prstGeom>
                    <a:noFill/>
                    <a:ln>
                      <a:noFill/>
                    </a:ln>
                  </pic:spPr>
                </pic:pic>
              </a:graphicData>
            </a:graphic>
          </wp:inline>
        </w:drawing>
      </w:r>
    </w:p>
    <w:p w14:paraId="7A6C18DE" w14:textId="1E95EAC5" w:rsidR="00EA3205" w:rsidRDefault="00EA3205" w:rsidP="00905EBC">
      <w:pPr>
        <w:spacing w:before="120" w:after="120"/>
        <w:rPr>
          <w:rFonts w:ascii="AcadNusx" w:hAnsi="AcadNusx"/>
        </w:rPr>
      </w:pPr>
      <w:r w:rsidRPr="00B05F62">
        <w:rPr>
          <w:rFonts w:ascii="AcadNusx" w:hAnsi="AcadNusx"/>
        </w:rPr>
        <w:t>suraTi 4.</w:t>
      </w:r>
      <w:r w:rsidR="00485FE3">
        <w:rPr>
          <w:rFonts w:ascii="AcadNusx" w:hAnsi="AcadNusx"/>
        </w:rPr>
        <w:t>12</w:t>
      </w:r>
      <w:r w:rsidR="00BC62DB">
        <w:rPr>
          <w:rFonts w:ascii="AcadNusx" w:hAnsi="AcadNusx"/>
        </w:rPr>
        <w:t>.7.1-1</w:t>
      </w:r>
      <w:r w:rsidRPr="00B05F62">
        <w:rPr>
          <w:rFonts w:ascii="AcadNusx" w:hAnsi="AcadNusx"/>
        </w:rPr>
        <w:tab/>
        <w:t>orteseb</w:t>
      </w:r>
      <w:r w:rsidR="00905EBC">
        <w:rPr>
          <w:rFonts w:ascii="AcadNusx" w:hAnsi="AcadNusx"/>
        </w:rPr>
        <w:t xml:space="preserve">r-koWuri xidebis (# 02 da # 03) </w:t>
      </w:r>
      <w:r w:rsidRPr="00B05F62">
        <w:rPr>
          <w:rFonts w:ascii="AcadNusx" w:hAnsi="AcadNusx"/>
        </w:rPr>
        <w:t>ximinjebis saTavisebTan ganviTarebuli vertikaluri (RerZuli) reaqciis Zalvebis winaswari saangariSo sidideebi</w:t>
      </w:r>
      <w:r w:rsidR="00905EBC">
        <w:rPr>
          <w:rFonts w:ascii="AcadNusx" w:hAnsi="AcadNusx"/>
        </w:rPr>
        <w:t>.</w:t>
      </w:r>
    </w:p>
    <w:p w14:paraId="2D073064" w14:textId="77777777" w:rsidR="00EA3205" w:rsidRPr="00B05F62" w:rsidRDefault="00EA3205" w:rsidP="00905EBC">
      <w:pPr>
        <w:spacing w:before="120" w:after="120"/>
        <w:rPr>
          <w:rFonts w:ascii="AcadNusx" w:hAnsi="AcadNusx"/>
        </w:rPr>
      </w:pPr>
      <w:r w:rsidRPr="00B05F62">
        <w:rPr>
          <w:rFonts w:ascii="AcadNusx" w:hAnsi="AcadNusx"/>
        </w:rPr>
        <w:t xml:space="preserve">ximinjebis reaqciis Zalvebis gaangariSebuli sidideebi grafikulad arian naCvenebi momdevno suraTze. miuxedavad imisa, rom aRniSnuli xidi erTmaliania, modelireba Sesrulda zogadi SemTxvevisTvis, romelic dafuZnebulia ormalian konfiguraciaze, rac ar axdens gavlenas sanapiro burjis saZirkvelSi ganviTarebul reaqciis Zalvebis sidideebze. modelirebis Sedegebis Tanaxmad, sanapiro burjebis saZirkvlebis individualur ximinjebze mosuli maqsimaluri reaqciis Zalis sidideebi miaxloebiT 315 tonas aRwevs. </w:t>
      </w:r>
    </w:p>
    <w:p w14:paraId="07D83204" w14:textId="77777777" w:rsidR="00EA3205" w:rsidRPr="00B05F62" w:rsidRDefault="00EA3205" w:rsidP="00EA3205">
      <w:pPr>
        <w:rPr>
          <w:rFonts w:ascii="AcadNusx" w:hAnsi="AcadNusx"/>
        </w:rPr>
      </w:pPr>
    </w:p>
    <w:p w14:paraId="0C037416" w14:textId="5F23D3EB" w:rsidR="00EA3205" w:rsidRPr="00B05F62" w:rsidRDefault="00EA3205" w:rsidP="00EA3205">
      <w:pPr>
        <w:rPr>
          <w:rFonts w:ascii="AcadNusx" w:hAnsi="AcadNusx"/>
        </w:rPr>
      </w:pPr>
      <w:r w:rsidRPr="00B05F62">
        <w:rPr>
          <w:rFonts w:ascii="AcadNusx" w:hAnsi="AcadNusx"/>
          <w:noProof/>
          <w:lang w:val="en-US" w:eastAsia="en-US"/>
        </w:rPr>
        <w:lastRenderedPageBreak/>
        <w:drawing>
          <wp:inline distT="0" distB="0" distL="0" distR="0" wp14:anchorId="4EC91747" wp14:editId="5DFAB4DF">
            <wp:extent cx="6534150" cy="2829560"/>
            <wp:effectExtent l="0" t="0" r="0" b="8890"/>
            <wp:docPr id="39" name="Picture 39" descr="Pile Reactions, 30 m girders-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le Reactions, 30 m girders-2.bmp"/>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6534150" cy="2829560"/>
                    </a:xfrm>
                    <a:prstGeom prst="rect">
                      <a:avLst/>
                    </a:prstGeom>
                    <a:noFill/>
                    <a:ln>
                      <a:noFill/>
                    </a:ln>
                  </pic:spPr>
                </pic:pic>
              </a:graphicData>
            </a:graphic>
          </wp:inline>
        </w:drawing>
      </w:r>
    </w:p>
    <w:p w14:paraId="7B891F0B" w14:textId="5FFAD618" w:rsidR="00EA3205" w:rsidRPr="00B05F62" w:rsidRDefault="00EA3205" w:rsidP="00F31A39">
      <w:pPr>
        <w:spacing w:before="120" w:after="120"/>
        <w:rPr>
          <w:rFonts w:ascii="AcadNusx" w:hAnsi="AcadNusx"/>
        </w:rPr>
      </w:pPr>
      <w:r w:rsidRPr="00B05F62">
        <w:rPr>
          <w:rFonts w:ascii="AcadNusx" w:hAnsi="AcadNusx"/>
        </w:rPr>
        <w:t xml:space="preserve">suraTi </w:t>
      </w:r>
      <w:r w:rsidR="00BC62DB" w:rsidRPr="00B05F62">
        <w:rPr>
          <w:rFonts w:ascii="AcadNusx" w:hAnsi="AcadNusx"/>
        </w:rPr>
        <w:t>4.</w:t>
      </w:r>
      <w:r w:rsidR="00485FE3">
        <w:rPr>
          <w:rFonts w:ascii="AcadNusx" w:hAnsi="AcadNusx"/>
        </w:rPr>
        <w:t>12</w:t>
      </w:r>
      <w:r w:rsidR="00BC62DB">
        <w:rPr>
          <w:rFonts w:ascii="AcadNusx" w:hAnsi="AcadNusx"/>
        </w:rPr>
        <w:t>.7.1-2</w:t>
      </w:r>
      <w:r w:rsidRPr="00B05F62">
        <w:rPr>
          <w:rFonts w:ascii="AcadNusx" w:hAnsi="AcadNusx"/>
        </w:rPr>
        <w:tab/>
        <w:t># 01 ortesebr-koWuri xidis ximinjebis saTavisebTan ganviTarebuli reaqciis Zalvebis winaswari saangariSo sidideebi</w:t>
      </w:r>
    </w:p>
    <w:p w14:paraId="7CE510D9" w14:textId="77777777" w:rsidR="00EA3205" w:rsidRPr="00B05F62" w:rsidRDefault="00EA3205" w:rsidP="00F31A39">
      <w:pPr>
        <w:spacing w:before="120" w:after="120"/>
        <w:rPr>
          <w:rFonts w:ascii="AcadNusx" w:hAnsi="AcadNusx"/>
        </w:rPr>
      </w:pPr>
      <w:r w:rsidRPr="00B05F62">
        <w:rPr>
          <w:rFonts w:ascii="AcadNusx" w:hAnsi="AcadNusx"/>
        </w:rPr>
        <w:t>patara xidebisTvis, romelTa Riobis zoma 12 metrs Seadgens, Sesrulda xidis 6 metri sigrZis segmentis modelireba. sakmarisi maragis uzrunvelsayofad, modelirebisas xidis fenilis filovan elementze modebuli iqna saangariSo kombinirebuli datvirTva, romelic Sedgeboda fenilis 600 mm sisqis safariT ganviTarebuli dawnevisa da erT zolze mosuli satransporto datvirTvisgan. xidis segmentis TiTo gverdze dainiSna ori ximinji, romelTagan TiToeulSi ganviTarebuli maqsimaluri reaqciis Zalva miaxloebiT 225 tonas Seadgens.</w:t>
      </w:r>
    </w:p>
    <w:p w14:paraId="58AE8FA3" w14:textId="272BC36A" w:rsidR="00EA3205" w:rsidRPr="00B05F62" w:rsidRDefault="00EA3205" w:rsidP="00F31A39">
      <w:pPr>
        <w:jc w:val="center"/>
        <w:rPr>
          <w:rFonts w:ascii="AcadNusx" w:hAnsi="AcadNusx"/>
        </w:rPr>
      </w:pPr>
      <w:r w:rsidRPr="00B05F62">
        <w:rPr>
          <w:rFonts w:ascii="AcadNusx" w:hAnsi="AcadNusx"/>
          <w:noProof/>
          <w:lang w:val="en-US" w:eastAsia="en-US"/>
        </w:rPr>
        <w:drawing>
          <wp:inline distT="0" distB="0" distL="0" distR="0" wp14:anchorId="138ED15E" wp14:editId="46B2572C">
            <wp:extent cx="5810250" cy="3269615"/>
            <wp:effectExtent l="0" t="0" r="0" b="6985"/>
            <wp:docPr id="38" name="Picture 38" descr="Pile Reactions, 13 m fram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ile Reactions, 13 m frame.bmp"/>
                    <pic:cNvPicPr>
                      <a:picLocks noChangeAspect="1" noChangeArrowheads="1"/>
                    </pic:cNvPicPr>
                  </pic:nvPicPr>
                  <pic:blipFill>
                    <a:blip r:embed="rId75" cstate="email">
                      <a:extLst>
                        <a:ext uri="{28A0092B-C50C-407E-A947-70E740481C1C}">
                          <a14:useLocalDpi xmlns:a14="http://schemas.microsoft.com/office/drawing/2010/main"/>
                        </a:ext>
                      </a:extLst>
                    </a:blip>
                    <a:srcRect b="-85"/>
                    <a:stretch>
                      <a:fillRect/>
                    </a:stretch>
                  </pic:blipFill>
                  <pic:spPr bwMode="auto">
                    <a:xfrm>
                      <a:off x="0" y="0"/>
                      <a:ext cx="5810250" cy="3269615"/>
                    </a:xfrm>
                    <a:prstGeom prst="rect">
                      <a:avLst/>
                    </a:prstGeom>
                    <a:noFill/>
                    <a:ln>
                      <a:noFill/>
                    </a:ln>
                  </pic:spPr>
                </pic:pic>
              </a:graphicData>
            </a:graphic>
          </wp:inline>
        </w:drawing>
      </w:r>
    </w:p>
    <w:p w14:paraId="3BC940F3" w14:textId="32066467" w:rsidR="00EA3205" w:rsidRPr="00B05F62" w:rsidRDefault="00EA3205" w:rsidP="00BC62DB">
      <w:pPr>
        <w:spacing w:before="120" w:after="120"/>
        <w:rPr>
          <w:rFonts w:ascii="AcadNusx" w:hAnsi="AcadNusx"/>
        </w:rPr>
      </w:pPr>
      <w:r w:rsidRPr="00B05F62">
        <w:rPr>
          <w:rFonts w:ascii="AcadNusx" w:hAnsi="AcadNusx"/>
        </w:rPr>
        <w:t xml:space="preserve">suraTi </w:t>
      </w:r>
      <w:r w:rsidR="00BC62DB" w:rsidRPr="00B05F62">
        <w:rPr>
          <w:rFonts w:ascii="AcadNusx" w:hAnsi="AcadNusx"/>
        </w:rPr>
        <w:t>4.</w:t>
      </w:r>
      <w:r w:rsidR="00BC62DB">
        <w:rPr>
          <w:rFonts w:ascii="AcadNusx" w:hAnsi="AcadNusx"/>
        </w:rPr>
        <w:t>1</w:t>
      </w:r>
      <w:r w:rsidR="00485FE3">
        <w:rPr>
          <w:rFonts w:ascii="Sylfaen" w:hAnsi="Sylfaen"/>
          <w:lang w:val="ka-GE"/>
        </w:rPr>
        <w:t>2</w:t>
      </w:r>
      <w:r w:rsidR="00BC62DB">
        <w:rPr>
          <w:rFonts w:ascii="AcadNusx" w:hAnsi="AcadNusx"/>
        </w:rPr>
        <w:t>.7.1-3</w:t>
      </w:r>
      <w:r w:rsidRPr="00B05F62">
        <w:rPr>
          <w:rFonts w:ascii="AcadNusx" w:hAnsi="AcadNusx"/>
        </w:rPr>
        <w:t>.</w:t>
      </w:r>
      <w:r w:rsidRPr="00B05F62">
        <w:rPr>
          <w:rFonts w:ascii="AcadNusx" w:hAnsi="AcadNusx"/>
        </w:rPr>
        <w:tab/>
        <w:t>patara xidebis ximinjebis saTavisebTan ganviTarebuli vertikaluri (RerZuli) reaqciis Zalvebis winaswari saangariSo sidideebi</w:t>
      </w:r>
    </w:p>
    <w:p w14:paraId="32CD70DC" w14:textId="5B076542" w:rsidR="00EA3205" w:rsidRDefault="00EA3205" w:rsidP="00BC62DB">
      <w:pPr>
        <w:spacing w:before="120" w:after="120"/>
        <w:rPr>
          <w:rFonts w:ascii="AcadNusx" w:hAnsi="AcadNusx"/>
        </w:rPr>
      </w:pPr>
      <w:r w:rsidRPr="00B05F62">
        <w:rPr>
          <w:rFonts w:ascii="AcadNusx" w:hAnsi="AcadNusx"/>
        </w:rPr>
        <w:lastRenderedPageBreak/>
        <w:t>Semowmda ximinjebis geoteqnikuri mzidunarianobis sidideebis sakmarisoba reaqciis Zalvebis gaangariSebuli moTxovnili sidideebis mimarTebiT. Semowmebis Sedegad dadginda, rom gaangariSebuli ximinji sakmarisi mzidunarianobisaa (ix. danarTebSi 16-18 moceuli saproeqto gaangariSebebis uwyisebi).</w:t>
      </w:r>
    </w:p>
    <w:p w14:paraId="0E6F85CF" w14:textId="77777777" w:rsidR="00EA3205" w:rsidRPr="00B05F62" w:rsidRDefault="00EA3205" w:rsidP="00EA3205">
      <w:pPr>
        <w:rPr>
          <w:rFonts w:ascii="AcadNusx" w:hAnsi="AcadNusx"/>
        </w:rPr>
      </w:pPr>
    </w:p>
    <w:p w14:paraId="676D2087" w14:textId="0B093F02" w:rsidR="00EA3205" w:rsidRPr="00B05F62" w:rsidRDefault="00EA3205" w:rsidP="00BC62DB">
      <w:pPr>
        <w:pStyle w:val="Heading4"/>
      </w:pPr>
      <w:r w:rsidRPr="00B05F62">
        <w:t>4.</w:t>
      </w:r>
      <w:r w:rsidR="00F31A39">
        <w:rPr>
          <w:lang w:val="en-US"/>
        </w:rPr>
        <w:t>1</w:t>
      </w:r>
      <w:r w:rsidR="00485FE3">
        <w:rPr>
          <w:rFonts w:ascii="Sylfaen" w:hAnsi="Sylfaen"/>
        </w:rPr>
        <w:t>2</w:t>
      </w:r>
      <w:r w:rsidRPr="00B05F62">
        <w:t>.7.2</w:t>
      </w:r>
      <w:r w:rsidRPr="00B05F62">
        <w:tab/>
      </w:r>
      <w:r w:rsidR="00485FE3">
        <w:rPr>
          <w:rFonts w:ascii="Sylfaen" w:hAnsi="Sylfaen"/>
        </w:rPr>
        <w:t>ხიდების საყრდენი კონსტრუქციები და მალის ნაშე</w:t>
      </w:r>
      <w:r w:rsidR="00BE0BD2">
        <w:rPr>
          <w:rFonts w:ascii="Sylfaen" w:hAnsi="Sylfaen"/>
        </w:rPr>
        <w:t xml:space="preserve">ნი </w:t>
      </w:r>
    </w:p>
    <w:p w14:paraId="058D075D" w14:textId="77777777" w:rsidR="00EA3205" w:rsidRPr="00F31A39" w:rsidRDefault="00EA3205" w:rsidP="00BC62DB">
      <w:pPr>
        <w:spacing w:before="120" w:after="120"/>
        <w:rPr>
          <w:rFonts w:ascii="AcadNusx" w:hAnsi="AcadNusx"/>
          <w:lang w:val="ka-GE"/>
        </w:rPr>
      </w:pPr>
      <w:r w:rsidRPr="00F31A39">
        <w:rPr>
          <w:rFonts w:ascii="AcadNusx" w:hAnsi="AcadNusx"/>
          <w:lang w:val="ka-GE"/>
        </w:rPr>
        <w:t>xidis Sualedi da sanapiro burjebis konstruqciuli elementebis zomebi ganisazRvra winaswari proeqtirebis farglebSi Sesrulebuli gemoTvlebis da msgavsi konstruqciuli xidebis mSeneblobis Sedegad miRebuli gamocdilebis safuZvelze. am procesis amocanas Seadgenda gamoTvlili zomebiT daproeqtebuli konstruqciuli elementebis mxridan moTxovnili muSaobis miRwevis gadamowmeba.</w:t>
      </w:r>
    </w:p>
    <w:p w14:paraId="18FE677C" w14:textId="77777777" w:rsidR="00EA3205" w:rsidRPr="005E2832" w:rsidRDefault="00EA3205" w:rsidP="00BC62DB">
      <w:pPr>
        <w:spacing w:before="120" w:after="120"/>
        <w:rPr>
          <w:rFonts w:ascii="AcadNusx" w:hAnsi="AcadNusx"/>
          <w:lang w:val="ka-GE"/>
        </w:rPr>
      </w:pPr>
      <w:r w:rsidRPr="005E2832">
        <w:rPr>
          <w:rFonts w:ascii="AcadNusx" w:hAnsi="AcadNusx"/>
          <w:lang w:val="ka-GE"/>
        </w:rPr>
        <w:t xml:space="preserve">Sualedi burjis konstruqciuli simtkicis gadamowmebis Sedegebi warmodgenilia kompiuteruli modelirebis programis Sedegobriv uwyisSi, romelic Tan erTvis da moicavs Sualedi burjis Runvaze medegobis gaangariSebebs. aRniSnul gaangariSebaSi Sualedi burji modelirebulia cal-calke rogorc koWovan-ximinjovani da koWovan-dgarovani konstruqcia. momdevno suraTebze, moxerxebulobisTvis, grafikulad arian warmodgenili monoliTuri rkinabetonis xidis sanapiro burjebis kedlebis filovan elementebze, frTebze, rostverkze da fenilis filaze moqmedi saangariSo momentebi. filovani elementebis konstruqciuli simtkicis adeqvaturoba naCvenebia TandarTul gamoTvlis uwyisebSi, romlebic Sedgenilia winaswar daZabuli asakrebi betonis ortesebri koWebis winaswari proeqtirebisTvis da moicaven rogorc konstruqciebis damzadebis, aseve maTi adgilze muSaobis fazebs. </w:t>
      </w:r>
    </w:p>
    <w:p w14:paraId="72D4ACA0" w14:textId="77777777" w:rsidR="00EA3205" w:rsidRPr="005E2832" w:rsidRDefault="00EA3205" w:rsidP="00EA3205">
      <w:pPr>
        <w:rPr>
          <w:rFonts w:ascii="AcadNusx" w:hAnsi="AcadNusx"/>
          <w:lang w:val="ka-GE"/>
        </w:rPr>
      </w:pPr>
    </w:p>
    <w:p w14:paraId="63EF793F" w14:textId="773DE159" w:rsidR="00EA3205" w:rsidRPr="005E2832" w:rsidRDefault="00EA3205" w:rsidP="00EA3205">
      <w:pPr>
        <w:rPr>
          <w:rFonts w:ascii="AcadNusx" w:hAnsi="AcadNusx"/>
          <w:lang w:val="ka-GE"/>
        </w:rPr>
      </w:pPr>
      <w:r w:rsidRPr="00B05F62">
        <w:rPr>
          <w:rFonts w:ascii="AcadNusx" w:hAnsi="AcadNusx"/>
          <w:noProof/>
          <w:lang w:val="en-US" w:eastAsia="en-US"/>
        </w:rPr>
        <w:drawing>
          <wp:inline distT="0" distB="0" distL="0" distR="0" wp14:anchorId="6902BD11" wp14:editId="1EDB263F">
            <wp:extent cx="3096895" cy="2233930"/>
            <wp:effectExtent l="0" t="0" r="8255" b="0"/>
            <wp:docPr id="37" name="Picture 37" descr="Pier Pile Cap Mome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ier Pile Cap Moment.bmp"/>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3096895" cy="2233930"/>
                    </a:xfrm>
                    <a:prstGeom prst="rect">
                      <a:avLst/>
                    </a:prstGeom>
                    <a:noFill/>
                    <a:ln>
                      <a:noFill/>
                    </a:ln>
                  </pic:spPr>
                </pic:pic>
              </a:graphicData>
            </a:graphic>
          </wp:inline>
        </w:drawing>
      </w:r>
      <w:r w:rsidRPr="005E2832">
        <w:rPr>
          <w:rFonts w:ascii="AcadNusx" w:hAnsi="AcadNusx"/>
          <w:lang w:val="ka-GE"/>
        </w:rPr>
        <w:t xml:space="preserve"> </w:t>
      </w:r>
      <w:r w:rsidRPr="00B05F62">
        <w:rPr>
          <w:rFonts w:ascii="AcadNusx" w:hAnsi="AcadNusx"/>
          <w:noProof/>
          <w:lang w:val="en-US" w:eastAsia="en-US"/>
        </w:rPr>
        <w:drawing>
          <wp:inline distT="0" distB="0" distL="0" distR="0" wp14:anchorId="291C1EAD" wp14:editId="20C43163">
            <wp:extent cx="2769235" cy="2233930"/>
            <wp:effectExtent l="0" t="0" r="0" b="0"/>
            <wp:docPr id="36" name="Picture 36" descr="Pier Pile Cap Shea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er Pile Cap Shear.bmp"/>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2769235" cy="2233930"/>
                    </a:xfrm>
                    <a:prstGeom prst="rect">
                      <a:avLst/>
                    </a:prstGeom>
                    <a:noFill/>
                    <a:ln>
                      <a:noFill/>
                    </a:ln>
                  </pic:spPr>
                </pic:pic>
              </a:graphicData>
            </a:graphic>
          </wp:inline>
        </w:drawing>
      </w:r>
    </w:p>
    <w:p w14:paraId="750B614A" w14:textId="3A1471D8" w:rsidR="00EA3205" w:rsidRPr="005E2832" w:rsidRDefault="00EA3205" w:rsidP="00EA3205">
      <w:pPr>
        <w:rPr>
          <w:rFonts w:ascii="AcadNusx" w:hAnsi="AcadNusx"/>
          <w:lang w:val="ka-GE"/>
        </w:rPr>
      </w:pPr>
      <w:r w:rsidRPr="005E2832">
        <w:rPr>
          <w:rFonts w:ascii="AcadNusx" w:hAnsi="AcadNusx"/>
          <w:lang w:val="ka-GE"/>
        </w:rPr>
        <w:t>suraTi 4.</w:t>
      </w:r>
      <w:r w:rsidR="00BC62DB" w:rsidRPr="005E2832">
        <w:rPr>
          <w:rFonts w:ascii="AcadNusx" w:hAnsi="AcadNusx"/>
          <w:lang w:val="ka-GE"/>
        </w:rPr>
        <w:t>1</w:t>
      </w:r>
      <w:r w:rsidR="00BE0BD2">
        <w:rPr>
          <w:rFonts w:ascii="Sylfaen" w:hAnsi="Sylfaen"/>
          <w:lang w:val="ka-GE"/>
        </w:rPr>
        <w:t>2</w:t>
      </w:r>
      <w:r w:rsidR="00BC62DB" w:rsidRPr="005E2832">
        <w:rPr>
          <w:rFonts w:ascii="AcadNusx" w:hAnsi="AcadNusx"/>
          <w:lang w:val="ka-GE"/>
        </w:rPr>
        <w:t>.7.2-1</w:t>
      </w:r>
      <w:r w:rsidRPr="005E2832">
        <w:rPr>
          <w:rFonts w:ascii="AcadNusx" w:hAnsi="AcadNusx"/>
          <w:lang w:val="ka-GE"/>
        </w:rPr>
        <w:t>.</w:t>
      </w:r>
      <w:r w:rsidRPr="005E2832">
        <w:rPr>
          <w:rFonts w:ascii="AcadNusx" w:hAnsi="AcadNusx"/>
          <w:lang w:val="ka-GE"/>
        </w:rPr>
        <w:tab/>
        <w:t>Sualedi burjis ximinjovani rostverkis filovan elementze moqmedi moementebis (marcxniv) da Zvris Zalvebis ganawilebis diagramebi</w:t>
      </w:r>
    </w:p>
    <w:p w14:paraId="50A05A4E" w14:textId="77777777" w:rsidR="00EA3205" w:rsidRPr="005E2832" w:rsidRDefault="00EA3205" w:rsidP="00EA3205">
      <w:pPr>
        <w:rPr>
          <w:rFonts w:ascii="AcadNusx" w:hAnsi="AcadNusx"/>
          <w:lang w:val="ka-GE"/>
        </w:rPr>
      </w:pPr>
    </w:p>
    <w:p w14:paraId="32B53715" w14:textId="647344C2" w:rsidR="00EA3205" w:rsidRPr="00B05F62" w:rsidRDefault="00EA3205" w:rsidP="00EA3205">
      <w:pPr>
        <w:rPr>
          <w:rFonts w:ascii="AcadNusx" w:hAnsi="AcadNusx"/>
          <w:lang w:val="en-US" w:bidi="bn-BD"/>
        </w:rPr>
      </w:pPr>
      <w:r w:rsidRPr="00B05F62">
        <w:rPr>
          <w:rFonts w:ascii="AcadNusx" w:hAnsi="AcadNusx"/>
          <w:noProof/>
          <w:lang w:val="en-US" w:eastAsia="en-US"/>
        </w:rPr>
        <w:lastRenderedPageBreak/>
        <w:drawing>
          <wp:inline distT="0" distB="0" distL="0" distR="0" wp14:anchorId="36D1A319" wp14:editId="549D4450">
            <wp:extent cx="2837815" cy="1932305"/>
            <wp:effectExtent l="0" t="0" r="635" b="0"/>
            <wp:docPr id="35" name="Picture 35" descr="Abutm wall Mome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butm wall Moment.bmp"/>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2837815" cy="1932305"/>
                    </a:xfrm>
                    <a:prstGeom prst="rect">
                      <a:avLst/>
                    </a:prstGeom>
                    <a:noFill/>
                    <a:ln>
                      <a:noFill/>
                    </a:ln>
                  </pic:spPr>
                </pic:pic>
              </a:graphicData>
            </a:graphic>
          </wp:inline>
        </w:drawing>
      </w:r>
      <w:r w:rsidRPr="00B05F62">
        <w:rPr>
          <w:rFonts w:ascii="AcadNusx" w:hAnsi="AcadNusx"/>
        </w:rPr>
        <w:t xml:space="preserve">  </w:t>
      </w:r>
      <w:r w:rsidRPr="00B05F62">
        <w:rPr>
          <w:rFonts w:ascii="AcadNusx" w:hAnsi="AcadNusx"/>
          <w:noProof/>
          <w:lang w:val="en-US" w:eastAsia="en-US"/>
        </w:rPr>
        <w:drawing>
          <wp:inline distT="0" distB="0" distL="0" distR="0" wp14:anchorId="236ABE2A" wp14:editId="749D2B79">
            <wp:extent cx="2924175" cy="1923415"/>
            <wp:effectExtent l="0" t="0" r="9525" b="635"/>
            <wp:docPr id="34" name="Picture 34" descr="Abutm wall Shea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butm wall Shear.bmp"/>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2924175" cy="1923415"/>
                    </a:xfrm>
                    <a:prstGeom prst="rect">
                      <a:avLst/>
                    </a:prstGeom>
                    <a:noFill/>
                    <a:ln>
                      <a:noFill/>
                    </a:ln>
                  </pic:spPr>
                </pic:pic>
              </a:graphicData>
            </a:graphic>
          </wp:inline>
        </w:drawing>
      </w:r>
    </w:p>
    <w:p w14:paraId="6D0EE4D0" w14:textId="3C2F073C" w:rsidR="00EA3205" w:rsidRPr="00B05F62" w:rsidRDefault="00EA3205" w:rsidP="00EA3205">
      <w:pPr>
        <w:rPr>
          <w:rFonts w:ascii="AcadNusx" w:hAnsi="AcadNusx"/>
        </w:rPr>
      </w:pPr>
      <w:r w:rsidRPr="00B05F62">
        <w:rPr>
          <w:rFonts w:ascii="AcadNusx" w:hAnsi="AcadNusx"/>
        </w:rPr>
        <w:t xml:space="preserve">suraTi </w:t>
      </w:r>
      <w:r w:rsidR="00BC62DB" w:rsidRPr="00B05F62">
        <w:rPr>
          <w:rFonts w:ascii="AcadNusx" w:hAnsi="AcadNusx"/>
        </w:rPr>
        <w:t>4.</w:t>
      </w:r>
      <w:r w:rsidR="00BC62DB">
        <w:rPr>
          <w:rFonts w:ascii="AcadNusx" w:hAnsi="AcadNusx"/>
        </w:rPr>
        <w:t>1</w:t>
      </w:r>
      <w:r w:rsidR="00BE0BD2">
        <w:rPr>
          <w:rFonts w:ascii="Sylfaen" w:hAnsi="Sylfaen"/>
          <w:lang w:val="ka-GE"/>
        </w:rPr>
        <w:t>2</w:t>
      </w:r>
      <w:r w:rsidR="00BC62DB">
        <w:rPr>
          <w:rFonts w:ascii="AcadNusx" w:hAnsi="AcadNusx"/>
        </w:rPr>
        <w:t>.7.2-12</w:t>
      </w:r>
      <w:r w:rsidRPr="00B05F62">
        <w:rPr>
          <w:rFonts w:ascii="AcadNusx" w:hAnsi="AcadNusx"/>
        </w:rPr>
        <w:t>.</w:t>
      </w:r>
      <w:r w:rsidRPr="00B05F62">
        <w:rPr>
          <w:rFonts w:ascii="AcadNusx" w:hAnsi="AcadNusx"/>
        </w:rPr>
        <w:tab/>
        <w:t>sanapiro burjis kedlis filovan elementze moqmedi moementebis (marcxniv) da Zvris Zalvebis ganawilebis diagramebi</w:t>
      </w:r>
    </w:p>
    <w:p w14:paraId="6F6CE4A3" w14:textId="77777777" w:rsidR="00EA3205" w:rsidRPr="00B05F62" w:rsidRDefault="00EA3205" w:rsidP="00EA3205">
      <w:pPr>
        <w:rPr>
          <w:rFonts w:ascii="AcadNusx" w:hAnsi="AcadNusx"/>
        </w:rPr>
      </w:pPr>
    </w:p>
    <w:p w14:paraId="3F8C42C4" w14:textId="7924D663" w:rsidR="00EA3205" w:rsidRPr="00B05F62" w:rsidRDefault="00EA3205" w:rsidP="00EA3205">
      <w:pPr>
        <w:rPr>
          <w:rFonts w:ascii="AcadNusx" w:hAnsi="AcadNusx"/>
          <w:lang w:val="en-US" w:bidi="bn-BD"/>
        </w:rPr>
      </w:pPr>
      <w:r w:rsidRPr="00B05F62">
        <w:rPr>
          <w:rFonts w:ascii="AcadNusx" w:hAnsi="AcadNusx"/>
          <w:noProof/>
          <w:lang w:val="en-US" w:eastAsia="en-US"/>
        </w:rPr>
        <w:drawing>
          <wp:inline distT="0" distB="0" distL="0" distR="0" wp14:anchorId="510E210E" wp14:editId="6FF37D93">
            <wp:extent cx="2855595" cy="2769235"/>
            <wp:effectExtent l="0" t="0" r="1905" b="0"/>
            <wp:docPr id="33" name="Picture 33" descr="Wing wall Mome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ng wall Moment.bmp"/>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2855595" cy="2769235"/>
                    </a:xfrm>
                    <a:prstGeom prst="rect">
                      <a:avLst/>
                    </a:prstGeom>
                    <a:noFill/>
                    <a:ln>
                      <a:noFill/>
                    </a:ln>
                  </pic:spPr>
                </pic:pic>
              </a:graphicData>
            </a:graphic>
          </wp:inline>
        </w:drawing>
      </w:r>
      <w:r w:rsidRPr="00B05F62">
        <w:rPr>
          <w:rFonts w:ascii="AcadNusx" w:hAnsi="AcadNusx"/>
        </w:rPr>
        <w:t xml:space="preserve">     </w:t>
      </w:r>
      <w:r w:rsidRPr="00B05F62">
        <w:rPr>
          <w:rFonts w:ascii="AcadNusx" w:hAnsi="AcadNusx"/>
          <w:noProof/>
          <w:lang w:val="en-US" w:eastAsia="en-US"/>
        </w:rPr>
        <w:drawing>
          <wp:inline distT="0" distB="0" distL="0" distR="0" wp14:anchorId="26170116" wp14:editId="6321D625">
            <wp:extent cx="2872740" cy="2760345"/>
            <wp:effectExtent l="0" t="0" r="3810" b="1905"/>
            <wp:docPr id="32" name="Picture 32" descr="Wing wall Shea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ing wall Shear.bmp"/>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2872740" cy="2760345"/>
                    </a:xfrm>
                    <a:prstGeom prst="rect">
                      <a:avLst/>
                    </a:prstGeom>
                    <a:noFill/>
                    <a:ln>
                      <a:noFill/>
                    </a:ln>
                  </pic:spPr>
                </pic:pic>
              </a:graphicData>
            </a:graphic>
          </wp:inline>
        </w:drawing>
      </w:r>
    </w:p>
    <w:p w14:paraId="02EA354B" w14:textId="4E71154F" w:rsidR="00EA3205" w:rsidRPr="00B05F62" w:rsidRDefault="00EA3205" w:rsidP="00EA3205">
      <w:pPr>
        <w:rPr>
          <w:rFonts w:ascii="AcadNusx" w:hAnsi="AcadNusx"/>
        </w:rPr>
      </w:pPr>
      <w:r w:rsidRPr="00B05F62">
        <w:rPr>
          <w:rFonts w:ascii="AcadNusx" w:hAnsi="AcadNusx"/>
        </w:rPr>
        <w:t xml:space="preserve">suraTi </w:t>
      </w:r>
      <w:r w:rsidR="00BC62DB" w:rsidRPr="00B05F62">
        <w:rPr>
          <w:rFonts w:ascii="AcadNusx" w:hAnsi="AcadNusx"/>
        </w:rPr>
        <w:t>4.</w:t>
      </w:r>
      <w:r w:rsidR="00BC62DB">
        <w:rPr>
          <w:rFonts w:ascii="AcadNusx" w:hAnsi="AcadNusx"/>
        </w:rPr>
        <w:t>1</w:t>
      </w:r>
      <w:r w:rsidR="00BE0BD2">
        <w:rPr>
          <w:rFonts w:ascii="Sylfaen" w:hAnsi="Sylfaen"/>
          <w:lang w:val="ka-GE"/>
        </w:rPr>
        <w:t>2</w:t>
      </w:r>
      <w:r w:rsidR="00BC62DB">
        <w:rPr>
          <w:rFonts w:ascii="AcadNusx" w:hAnsi="AcadNusx"/>
        </w:rPr>
        <w:t>.7.2-3</w:t>
      </w:r>
      <w:r w:rsidRPr="00B05F62">
        <w:rPr>
          <w:rFonts w:ascii="AcadNusx" w:hAnsi="AcadNusx"/>
        </w:rPr>
        <w:tab/>
        <w:t>sanapiro burjis frTis filovan elementze moqmedi moementebis (marcxniv) da Zvris Zalvebis ganawilebis diagramebi</w:t>
      </w:r>
    </w:p>
    <w:p w14:paraId="6E0B3AC9" w14:textId="25747AA2" w:rsidR="00EA3205" w:rsidRPr="00B05F62" w:rsidRDefault="00EA3205" w:rsidP="00EA3205">
      <w:pPr>
        <w:rPr>
          <w:rFonts w:ascii="AcadNusx" w:hAnsi="AcadNusx"/>
          <w:lang w:val="en-US" w:bidi="bn-BD"/>
        </w:rPr>
      </w:pPr>
      <w:r w:rsidRPr="00B05F62">
        <w:rPr>
          <w:rFonts w:ascii="AcadNusx" w:hAnsi="AcadNusx"/>
          <w:noProof/>
          <w:lang w:val="en-US" w:eastAsia="en-US"/>
        </w:rPr>
        <w:drawing>
          <wp:inline distT="0" distB="0" distL="0" distR="0" wp14:anchorId="5B916B27" wp14:editId="41F568F1">
            <wp:extent cx="5262245" cy="2320505"/>
            <wp:effectExtent l="0" t="0" r="0" b="3810"/>
            <wp:docPr id="31" name="Picture 31" descr="Interg Bridge Mome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nterg Bridge Moment.bmp"/>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5264561" cy="2321526"/>
                    </a:xfrm>
                    <a:prstGeom prst="rect">
                      <a:avLst/>
                    </a:prstGeom>
                    <a:noFill/>
                    <a:ln>
                      <a:noFill/>
                    </a:ln>
                  </pic:spPr>
                </pic:pic>
              </a:graphicData>
            </a:graphic>
          </wp:inline>
        </w:drawing>
      </w:r>
    </w:p>
    <w:p w14:paraId="3FDB283C" w14:textId="0C5751D3" w:rsidR="00EA3205" w:rsidRPr="00B05F62" w:rsidRDefault="00EA3205" w:rsidP="00EA3205">
      <w:pPr>
        <w:rPr>
          <w:rFonts w:ascii="AcadNusx" w:hAnsi="AcadNusx"/>
        </w:rPr>
      </w:pPr>
      <w:r w:rsidRPr="00B05F62">
        <w:rPr>
          <w:rFonts w:ascii="AcadNusx" w:hAnsi="AcadNusx"/>
        </w:rPr>
        <w:t xml:space="preserve">suraTi </w:t>
      </w:r>
      <w:r w:rsidR="00BC62DB" w:rsidRPr="00B05F62">
        <w:rPr>
          <w:rFonts w:ascii="AcadNusx" w:hAnsi="AcadNusx"/>
        </w:rPr>
        <w:t>4.</w:t>
      </w:r>
      <w:r w:rsidR="00BC62DB">
        <w:rPr>
          <w:rFonts w:ascii="AcadNusx" w:hAnsi="AcadNusx"/>
        </w:rPr>
        <w:t>1</w:t>
      </w:r>
      <w:r w:rsidR="00BE0BD2">
        <w:rPr>
          <w:rFonts w:ascii="Sylfaen" w:hAnsi="Sylfaen"/>
          <w:lang w:val="ka-GE"/>
        </w:rPr>
        <w:t>2</w:t>
      </w:r>
      <w:r w:rsidR="00BC62DB">
        <w:rPr>
          <w:rFonts w:ascii="AcadNusx" w:hAnsi="AcadNusx"/>
        </w:rPr>
        <w:t>.7.2-4</w:t>
      </w:r>
      <w:r w:rsidRPr="00B05F62">
        <w:rPr>
          <w:rFonts w:ascii="AcadNusx" w:hAnsi="AcadNusx"/>
        </w:rPr>
        <w:tab/>
        <w:t>monoliTuri rkinabetonis xidis konstruqciebis filovan elementebze moqmedi moementebis ganawilebis diagrama</w:t>
      </w:r>
    </w:p>
    <w:p w14:paraId="55A34FE6" w14:textId="77777777" w:rsidR="00EA3205" w:rsidRPr="00B05F62" w:rsidRDefault="00EA3205" w:rsidP="00EA3205">
      <w:pPr>
        <w:rPr>
          <w:rFonts w:ascii="AcadNusx" w:hAnsi="AcadNusx"/>
        </w:rPr>
      </w:pPr>
    </w:p>
    <w:p w14:paraId="753D1D0B" w14:textId="1C1A1C31" w:rsidR="00EA3205" w:rsidRPr="00B05F62" w:rsidRDefault="00EA3205" w:rsidP="00EA3205">
      <w:pPr>
        <w:rPr>
          <w:rFonts w:ascii="AcadNusx" w:hAnsi="AcadNusx"/>
          <w:lang w:val="en-US" w:bidi="bn-BD"/>
        </w:rPr>
      </w:pPr>
      <w:r w:rsidRPr="00B05F62">
        <w:rPr>
          <w:rFonts w:ascii="AcadNusx" w:hAnsi="AcadNusx"/>
          <w:noProof/>
          <w:lang w:val="en-US" w:eastAsia="en-US"/>
        </w:rPr>
        <w:lastRenderedPageBreak/>
        <w:drawing>
          <wp:inline distT="0" distB="0" distL="0" distR="0" wp14:anchorId="74C89FEA" wp14:editId="4E61C131">
            <wp:extent cx="5279390" cy="2449902"/>
            <wp:effectExtent l="0" t="0" r="0" b="7620"/>
            <wp:docPr id="30" name="Picture 30" descr="Interg Bridge Shear Forc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nterg Bridge Shear Force.bmp"/>
                    <pic:cNvPicPr>
                      <a:picLocks noChangeAspect="1" noChangeArrowheads="1"/>
                    </pic:cNvPicPr>
                  </pic:nvPicPr>
                  <pic:blipFill>
                    <a:blip r:embed="rId83" cstate="email">
                      <a:extLst>
                        <a:ext uri="{28A0092B-C50C-407E-A947-70E740481C1C}">
                          <a14:useLocalDpi xmlns:a14="http://schemas.microsoft.com/office/drawing/2010/main"/>
                        </a:ext>
                      </a:extLst>
                    </a:blip>
                    <a:srcRect b="-76"/>
                    <a:stretch>
                      <a:fillRect/>
                    </a:stretch>
                  </pic:blipFill>
                  <pic:spPr bwMode="auto">
                    <a:xfrm>
                      <a:off x="0" y="0"/>
                      <a:ext cx="5287014" cy="2453440"/>
                    </a:xfrm>
                    <a:prstGeom prst="rect">
                      <a:avLst/>
                    </a:prstGeom>
                    <a:noFill/>
                    <a:ln>
                      <a:noFill/>
                    </a:ln>
                  </pic:spPr>
                </pic:pic>
              </a:graphicData>
            </a:graphic>
          </wp:inline>
        </w:drawing>
      </w:r>
    </w:p>
    <w:p w14:paraId="44901DD1" w14:textId="0F02379A" w:rsidR="00EA3205" w:rsidRPr="00B05F62" w:rsidRDefault="00EA3205" w:rsidP="00EA3205">
      <w:pPr>
        <w:rPr>
          <w:rFonts w:ascii="AcadNusx" w:hAnsi="AcadNusx"/>
        </w:rPr>
      </w:pPr>
      <w:r w:rsidRPr="00B05F62">
        <w:rPr>
          <w:rFonts w:ascii="AcadNusx" w:hAnsi="AcadNusx"/>
        </w:rPr>
        <w:t xml:space="preserve">suraTi </w:t>
      </w:r>
      <w:r w:rsidR="00BC62DB" w:rsidRPr="00B05F62">
        <w:rPr>
          <w:rFonts w:ascii="AcadNusx" w:hAnsi="AcadNusx"/>
        </w:rPr>
        <w:t>4.</w:t>
      </w:r>
      <w:r w:rsidR="00BC62DB">
        <w:rPr>
          <w:rFonts w:ascii="AcadNusx" w:hAnsi="AcadNusx"/>
        </w:rPr>
        <w:t>1</w:t>
      </w:r>
      <w:r w:rsidR="00BE0BD2">
        <w:rPr>
          <w:rFonts w:ascii="Sylfaen" w:hAnsi="Sylfaen"/>
          <w:lang w:val="ka-GE"/>
        </w:rPr>
        <w:t>2</w:t>
      </w:r>
      <w:r w:rsidR="00BC62DB">
        <w:rPr>
          <w:rFonts w:ascii="AcadNusx" w:hAnsi="AcadNusx"/>
        </w:rPr>
        <w:t>.7.2-5</w:t>
      </w:r>
      <w:r w:rsidRPr="00B05F62">
        <w:rPr>
          <w:rFonts w:ascii="AcadNusx" w:hAnsi="AcadNusx"/>
        </w:rPr>
        <w:tab/>
        <w:t>monoliTuri rkinabetonis xidis konstruqciebis filovan elementebze moqmedi Zvris Zalvebis ganawilebis diagrama</w:t>
      </w:r>
    </w:p>
    <w:p w14:paraId="67D4A747" w14:textId="77777777" w:rsidR="00EA3205" w:rsidRPr="00B05F62" w:rsidRDefault="00EA3205" w:rsidP="00EA3205">
      <w:pPr>
        <w:rPr>
          <w:rFonts w:ascii="AcadNusx" w:hAnsi="AcadNusx"/>
        </w:rPr>
      </w:pPr>
    </w:p>
    <w:p w14:paraId="31B4D396" w14:textId="34FD1D2E" w:rsidR="00EA3205" w:rsidRPr="00B05F62" w:rsidRDefault="00EA3205" w:rsidP="00EA3205">
      <w:pPr>
        <w:rPr>
          <w:rFonts w:ascii="AcadNusx" w:hAnsi="AcadNusx"/>
        </w:rPr>
      </w:pPr>
      <w:r w:rsidRPr="00B05F62">
        <w:rPr>
          <w:rFonts w:ascii="AcadNusx" w:hAnsi="AcadNusx"/>
        </w:rPr>
        <w:t>cxrili 4.</w:t>
      </w:r>
      <w:r w:rsidR="00F31A39">
        <w:rPr>
          <w:rFonts w:ascii="AcadNusx" w:hAnsi="AcadNusx"/>
        </w:rPr>
        <w:t>1</w:t>
      </w:r>
      <w:r w:rsidR="00BE0BD2">
        <w:rPr>
          <w:rFonts w:ascii="Sylfaen" w:hAnsi="Sylfaen"/>
          <w:lang w:val="ka-GE"/>
        </w:rPr>
        <w:t>2</w:t>
      </w:r>
      <w:r w:rsidR="00F31A39">
        <w:rPr>
          <w:rFonts w:ascii="AcadNusx" w:hAnsi="AcadNusx"/>
        </w:rPr>
        <w:t>.7.2-1</w:t>
      </w:r>
      <w:r w:rsidRPr="00B05F62">
        <w:rPr>
          <w:rFonts w:ascii="AcadNusx" w:hAnsi="AcadNusx"/>
        </w:rPr>
        <w:t xml:space="preserve"> xidebis nusxa</w:t>
      </w:r>
    </w:p>
    <w:p w14:paraId="0125E768" w14:textId="77777777" w:rsidR="00EA3205" w:rsidRPr="00B05F62" w:rsidRDefault="00EA3205" w:rsidP="00EA3205">
      <w:pPr>
        <w:rPr>
          <w:rFonts w:ascii="AcadNusx" w:hAnsi="AcadNusx"/>
        </w:rPr>
      </w:pPr>
    </w:p>
    <w:tbl>
      <w:tblPr>
        <w:tblW w:w="9888" w:type="dxa"/>
        <w:tblLayout w:type="fixed"/>
        <w:tblCellMar>
          <w:left w:w="30" w:type="dxa"/>
          <w:right w:w="30" w:type="dxa"/>
        </w:tblCellMar>
        <w:tblLook w:val="04A0" w:firstRow="1" w:lastRow="0" w:firstColumn="1" w:lastColumn="0" w:noHBand="0" w:noVBand="1"/>
      </w:tblPr>
      <w:tblGrid>
        <w:gridCol w:w="739"/>
        <w:gridCol w:w="1276"/>
        <w:gridCol w:w="1984"/>
        <w:gridCol w:w="2203"/>
        <w:gridCol w:w="844"/>
        <w:gridCol w:w="992"/>
        <w:gridCol w:w="715"/>
        <w:gridCol w:w="1135"/>
      </w:tblGrid>
      <w:tr w:rsidR="00EA3205" w:rsidRPr="00B05F62" w14:paraId="6AA724F9" w14:textId="77777777" w:rsidTr="00BE0BD2">
        <w:trPr>
          <w:tblHeader/>
        </w:trPr>
        <w:tc>
          <w:tcPr>
            <w:tcW w:w="739"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62B1FF4" w14:textId="77777777" w:rsidR="00EA3205" w:rsidRPr="00B05F62" w:rsidRDefault="00EA3205" w:rsidP="00EA3205">
            <w:pPr>
              <w:rPr>
                <w:rFonts w:ascii="AcadNusx" w:hAnsi="AcadNusx"/>
              </w:rPr>
            </w:pPr>
            <w:r w:rsidRPr="00B05F62">
              <w:rPr>
                <w:rFonts w:ascii="AcadNusx" w:hAnsi="AcadNusx"/>
              </w:rPr>
              <w:t>xidis #</w:t>
            </w:r>
          </w:p>
        </w:tc>
        <w:tc>
          <w:tcPr>
            <w:tcW w:w="1276"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5F759CB2" w14:textId="77777777" w:rsidR="00EA3205" w:rsidRPr="00B05F62" w:rsidRDefault="00EA3205" w:rsidP="00EA3205">
            <w:pPr>
              <w:rPr>
                <w:rFonts w:ascii="AcadNusx" w:hAnsi="AcadNusx"/>
              </w:rPr>
            </w:pPr>
            <w:r w:rsidRPr="00B05F62">
              <w:rPr>
                <w:rFonts w:ascii="AcadNusx" w:hAnsi="AcadNusx"/>
              </w:rPr>
              <w:t>piketaJi (km+m)</w:t>
            </w:r>
          </w:p>
        </w:tc>
        <w:tc>
          <w:tcPr>
            <w:tcW w:w="1984"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E0941D4" w14:textId="77777777" w:rsidR="00EA3205" w:rsidRPr="00B05F62" w:rsidRDefault="00EA3205" w:rsidP="00EA3205">
            <w:pPr>
              <w:rPr>
                <w:rFonts w:ascii="AcadNusx" w:hAnsi="AcadNusx"/>
              </w:rPr>
            </w:pPr>
            <w:r w:rsidRPr="00B05F62">
              <w:rPr>
                <w:rFonts w:ascii="AcadNusx" w:hAnsi="AcadNusx"/>
              </w:rPr>
              <w:t>ganikveTis forma</w:t>
            </w:r>
          </w:p>
        </w:tc>
        <w:tc>
          <w:tcPr>
            <w:tcW w:w="2203"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042F260E" w14:textId="77777777" w:rsidR="00EA3205" w:rsidRPr="00B05F62" w:rsidRDefault="00EA3205" w:rsidP="00EA3205">
            <w:pPr>
              <w:rPr>
                <w:rFonts w:ascii="AcadNusx" w:hAnsi="AcadNusx"/>
              </w:rPr>
            </w:pPr>
            <w:r w:rsidRPr="00B05F62">
              <w:rPr>
                <w:rFonts w:ascii="AcadNusx" w:hAnsi="AcadNusx"/>
              </w:rPr>
              <w:t>daniSnuleba</w:t>
            </w:r>
          </w:p>
        </w:tc>
        <w:tc>
          <w:tcPr>
            <w:tcW w:w="844"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1FD397DE" w14:textId="77777777" w:rsidR="00EA3205" w:rsidRPr="00B05F62" w:rsidRDefault="00EA3205" w:rsidP="00EA3205">
            <w:pPr>
              <w:rPr>
                <w:rFonts w:ascii="AcadNusx" w:hAnsi="AcadNusx"/>
              </w:rPr>
            </w:pPr>
            <w:r w:rsidRPr="00B05F62">
              <w:rPr>
                <w:rFonts w:ascii="AcadNusx" w:hAnsi="AcadNusx"/>
              </w:rPr>
              <w:t>xidis sigrZe (m)</w:t>
            </w:r>
          </w:p>
        </w:tc>
        <w:tc>
          <w:tcPr>
            <w:tcW w:w="992"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1375DCA5" w14:textId="77777777" w:rsidR="00EA3205" w:rsidRPr="00B05F62" w:rsidRDefault="00EA3205" w:rsidP="00EA3205">
            <w:pPr>
              <w:rPr>
                <w:rFonts w:ascii="AcadNusx" w:hAnsi="AcadNusx"/>
              </w:rPr>
            </w:pPr>
            <w:r w:rsidRPr="00B05F62">
              <w:rPr>
                <w:rFonts w:ascii="AcadNusx" w:hAnsi="AcadNusx"/>
              </w:rPr>
              <w:t>xidis sigane (m)</w:t>
            </w:r>
          </w:p>
        </w:tc>
        <w:tc>
          <w:tcPr>
            <w:tcW w:w="71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B9E53E0" w14:textId="77777777" w:rsidR="00EA3205" w:rsidRPr="00B05F62" w:rsidRDefault="00EA3205" w:rsidP="00EA3205">
            <w:pPr>
              <w:rPr>
                <w:rFonts w:ascii="AcadNusx" w:hAnsi="AcadNusx"/>
              </w:rPr>
            </w:pPr>
            <w:r w:rsidRPr="00B05F62">
              <w:rPr>
                <w:rFonts w:ascii="AcadNusx" w:hAnsi="AcadNusx"/>
              </w:rPr>
              <w:t>dace-reba (</w:t>
            </w:r>
            <w:r w:rsidRPr="00BE0BD2">
              <w:rPr>
                <w:rFonts w:ascii="Sylfaen" w:hAnsi="Sylfaen"/>
              </w:rPr>
              <w:t>°</w:t>
            </w:r>
            <w:r w:rsidRPr="00B05F62">
              <w:rPr>
                <w:rFonts w:ascii="AcadNusx" w:hAnsi="AcadNusx"/>
              </w:rPr>
              <w:t>)</w:t>
            </w:r>
          </w:p>
        </w:tc>
        <w:tc>
          <w:tcPr>
            <w:tcW w:w="113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7404791C" w14:textId="77777777" w:rsidR="00EA3205" w:rsidRPr="00B05F62" w:rsidRDefault="00EA3205" w:rsidP="00EA3205">
            <w:pPr>
              <w:rPr>
                <w:rFonts w:ascii="AcadNusx" w:hAnsi="AcadNusx"/>
              </w:rPr>
            </w:pPr>
            <w:r w:rsidRPr="00B05F62">
              <w:rPr>
                <w:rFonts w:ascii="AcadNusx" w:hAnsi="AcadNusx"/>
              </w:rPr>
              <w:t>malis wyoba</w:t>
            </w:r>
          </w:p>
        </w:tc>
      </w:tr>
      <w:tr w:rsidR="00EA3205" w:rsidRPr="00B05F62" w14:paraId="477E408D"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294263C3" w14:textId="77777777" w:rsidR="00EA3205" w:rsidRPr="00B05F62" w:rsidRDefault="00EA3205" w:rsidP="00EA3205">
            <w:pPr>
              <w:rPr>
                <w:rFonts w:ascii="AcadNusx" w:hAnsi="AcadNusx"/>
              </w:rPr>
            </w:pPr>
            <w:r w:rsidRPr="00B05F62">
              <w:rPr>
                <w:rFonts w:ascii="AcadNusx" w:hAnsi="AcadNusx"/>
              </w:rPr>
              <w:t>01</w:t>
            </w:r>
          </w:p>
        </w:tc>
        <w:tc>
          <w:tcPr>
            <w:tcW w:w="1276" w:type="dxa"/>
            <w:tcBorders>
              <w:top w:val="single" w:sz="6" w:space="0" w:color="auto"/>
              <w:left w:val="single" w:sz="6" w:space="0" w:color="auto"/>
              <w:bottom w:val="single" w:sz="6" w:space="0" w:color="auto"/>
              <w:right w:val="single" w:sz="6" w:space="0" w:color="auto"/>
            </w:tcBorders>
            <w:hideMark/>
          </w:tcPr>
          <w:p w14:paraId="72F9FA9E" w14:textId="77777777" w:rsidR="00EA3205" w:rsidRPr="00B05F62" w:rsidRDefault="00EA3205" w:rsidP="00EA3205">
            <w:pPr>
              <w:rPr>
                <w:rFonts w:ascii="AcadNusx" w:hAnsi="AcadNusx"/>
              </w:rPr>
            </w:pPr>
            <w:r w:rsidRPr="00B05F62">
              <w:rPr>
                <w:rFonts w:ascii="AcadNusx" w:hAnsi="AcadNusx"/>
              </w:rPr>
              <w:t>0+556.805</w:t>
            </w:r>
          </w:p>
        </w:tc>
        <w:tc>
          <w:tcPr>
            <w:tcW w:w="1984" w:type="dxa"/>
            <w:tcBorders>
              <w:top w:val="single" w:sz="6" w:space="0" w:color="auto"/>
              <w:left w:val="single" w:sz="6" w:space="0" w:color="auto"/>
              <w:bottom w:val="single" w:sz="6" w:space="0" w:color="auto"/>
              <w:right w:val="single" w:sz="6" w:space="0" w:color="auto"/>
            </w:tcBorders>
            <w:vAlign w:val="center"/>
            <w:hideMark/>
          </w:tcPr>
          <w:p w14:paraId="7B1063E0" w14:textId="77777777" w:rsidR="00EA3205" w:rsidRPr="00B05F62" w:rsidRDefault="00EA3205" w:rsidP="00EA3205">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tcPr>
          <w:p w14:paraId="7821432F" w14:textId="30DCD2B8" w:rsidR="00EA3205" w:rsidRPr="00B05F62" w:rsidRDefault="00EA3205" w:rsidP="00EA3205">
            <w:pPr>
              <w:rPr>
                <w:rFonts w:ascii="AcadNusx" w:hAnsi="AcadNusx"/>
              </w:rPr>
            </w:pPr>
            <w:r w:rsidRPr="00B05F62">
              <w:rPr>
                <w:rFonts w:ascii="AcadNusx" w:hAnsi="AcadNusx"/>
              </w:rPr>
              <w:t>ordonia</w:t>
            </w:r>
            <w:r w:rsidR="00BE0BD2">
              <w:rPr>
                <w:rFonts w:ascii="AcadNusx" w:hAnsi="AcadNusx"/>
              </w:rPr>
              <w:t>ni gadakveTa, Cumlayis daerTeba</w:t>
            </w:r>
          </w:p>
        </w:tc>
        <w:tc>
          <w:tcPr>
            <w:tcW w:w="844" w:type="dxa"/>
            <w:tcBorders>
              <w:top w:val="single" w:sz="6" w:space="0" w:color="auto"/>
              <w:left w:val="single" w:sz="6" w:space="0" w:color="auto"/>
              <w:bottom w:val="single" w:sz="6" w:space="0" w:color="auto"/>
              <w:right w:val="single" w:sz="6" w:space="0" w:color="auto"/>
            </w:tcBorders>
            <w:hideMark/>
          </w:tcPr>
          <w:p w14:paraId="2F1B6859" w14:textId="77777777" w:rsidR="00EA3205" w:rsidRPr="00B05F62" w:rsidRDefault="00EA3205" w:rsidP="00EA3205">
            <w:pPr>
              <w:rPr>
                <w:rFonts w:ascii="AcadNusx" w:hAnsi="AcadNusx"/>
              </w:rPr>
            </w:pPr>
            <w:r w:rsidRPr="00B05F62">
              <w:rPr>
                <w:rFonts w:ascii="AcadNusx" w:hAnsi="AcadNusx"/>
              </w:rPr>
              <w:t>30.2</w:t>
            </w:r>
          </w:p>
        </w:tc>
        <w:tc>
          <w:tcPr>
            <w:tcW w:w="992" w:type="dxa"/>
            <w:tcBorders>
              <w:top w:val="single" w:sz="6" w:space="0" w:color="auto"/>
              <w:left w:val="single" w:sz="6" w:space="0" w:color="auto"/>
              <w:bottom w:val="single" w:sz="6" w:space="0" w:color="auto"/>
              <w:right w:val="single" w:sz="6" w:space="0" w:color="auto"/>
            </w:tcBorders>
            <w:hideMark/>
          </w:tcPr>
          <w:p w14:paraId="497EE4FD" w14:textId="77777777" w:rsidR="00EA3205" w:rsidRPr="00B05F62" w:rsidRDefault="00EA3205" w:rsidP="00EA3205">
            <w:pPr>
              <w:rPr>
                <w:rFonts w:ascii="AcadNusx" w:hAnsi="AcadNusx"/>
              </w:rPr>
            </w:pPr>
            <w:r w:rsidRPr="00B05F62">
              <w:rPr>
                <w:rFonts w:ascii="AcadNusx" w:hAnsi="AcadNusx"/>
              </w:rPr>
              <w:t>18</w:t>
            </w:r>
          </w:p>
        </w:tc>
        <w:tc>
          <w:tcPr>
            <w:tcW w:w="715" w:type="dxa"/>
            <w:tcBorders>
              <w:top w:val="single" w:sz="6" w:space="0" w:color="auto"/>
              <w:left w:val="single" w:sz="6" w:space="0" w:color="auto"/>
              <w:bottom w:val="single" w:sz="6" w:space="0" w:color="auto"/>
              <w:right w:val="single" w:sz="6" w:space="0" w:color="auto"/>
            </w:tcBorders>
          </w:tcPr>
          <w:p w14:paraId="2423A2C4"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0627FF6A" w14:textId="77777777" w:rsidR="00EA3205" w:rsidRPr="00B05F62" w:rsidRDefault="00EA3205" w:rsidP="00EA3205">
            <w:pPr>
              <w:rPr>
                <w:rFonts w:ascii="AcadNusx" w:hAnsi="AcadNusx"/>
              </w:rPr>
            </w:pPr>
            <w:r w:rsidRPr="00B05F62">
              <w:rPr>
                <w:rFonts w:ascii="AcadNusx" w:hAnsi="AcadNusx"/>
              </w:rPr>
              <w:t>1X29.4</w:t>
            </w:r>
          </w:p>
        </w:tc>
      </w:tr>
      <w:tr w:rsidR="00EA3205" w:rsidRPr="00B05F62" w14:paraId="7A2173BC"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517F4028" w14:textId="77777777" w:rsidR="00EA3205" w:rsidRPr="00B05F62" w:rsidRDefault="00EA3205" w:rsidP="00EA3205">
            <w:pPr>
              <w:rPr>
                <w:rFonts w:ascii="AcadNusx" w:hAnsi="AcadNusx"/>
              </w:rPr>
            </w:pPr>
            <w:r w:rsidRPr="00B05F62">
              <w:rPr>
                <w:rFonts w:ascii="AcadNusx" w:hAnsi="AcadNusx"/>
              </w:rPr>
              <w:t>02</w:t>
            </w:r>
          </w:p>
        </w:tc>
        <w:tc>
          <w:tcPr>
            <w:tcW w:w="1276" w:type="dxa"/>
            <w:tcBorders>
              <w:top w:val="single" w:sz="6" w:space="0" w:color="auto"/>
              <w:left w:val="single" w:sz="6" w:space="0" w:color="auto"/>
              <w:bottom w:val="single" w:sz="6" w:space="0" w:color="auto"/>
              <w:right w:val="single" w:sz="6" w:space="0" w:color="auto"/>
            </w:tcBorders>
            <w:hideMark/>
          </w:tcPr>
          <w:p w14:paraId="19CD1DB1" w14:textId="77777777" w:rsidR="00EA3205" w:rsidRPr="00B05F62" w:rsidRDefault="00EA3205" w:rsidP="00EA3205">
            <w:pPr>
              <w:rPr>
                <w:rFonts w:ascii="AcadNusx" w:hAnsi="AcadNusx"/>
              </w:rPr>
            </w:pPr>
            <w:r w:rsidRPr="00B05F62">
              <w:rPr>
                <w:rFonts w:ascii="AcadNusx" w:hAnsi="AcadNusx"/>
              </w:rPr>
              <w:t>3+551.655</w:t>
            </w:r>
          </w:p>
        </w:tc>
        <w:tc>
          <w:tcPr>
            <w:tcW w:w="1984" w:type="dxa"/>
            <w:tcBorders>
              <w:top w:val="single" w:sz="6" w:space="0" w:color="auto"/>
              <w:left w:val="single" w:sz="6" w:space="0" w:color="auto"/>
              <w:bottom w:val="single" w:sz="6" w:space="0" w:color="auto"/>
              <w:right w:val="single" w:sz="6" w:space="0" w:color="auto"/>
            </w:tcBorders>
            <w:vAlign w:val="center"/>
            <w:hideMark/>
          </w:tcPr>
          <w:p w14:paraId="6CF8DD00" w14:textId="77777777" w:rsidR="00EA3205" w:rsidRPr="00B05F62" w:rsidRDefault="00EA3205" w:rsidP="00EA3205">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14:paraId="224330B4" w14:textId="77777777" w:rsidR="00EA3205" w:rsidRPr="00B05F62" w:rsidRDefault="00EA3205" w:rsidP="00EA3205">
            <w:pPr>
              <w:rPr>
                <w:rFonts w:ascii="AcadNusx" w:hAnsi="AcadNusx"/>
              </w:rPr>
            </w:pPr>
            <w:r w:rsidRPr="00B05F62">
              <w:rPr>
                <w:rFonts w:ascii="AcadNusx" w:hAnsi="AcadNusx"/>
              </w:rPr>
              <w:t>gzagamtari</w:t>
            </w:r>
          </w:p>
        </w:tc>
        <w:tc>
          <w:tcPr>
            <w:tcW w:w="844" w:type="dxa"/>
            <w:tcBorders>
              <w:top w:val="single" w:sz="6" w:space="0" w:color="auto"/>
              <w:left w:val="single" w:sz="6" w:space="0" w:color="auto"/>
              <w:bottom w:val="single" w:sz="6" w:space="0" w:color="auto"/>
              <w:right w:val="single" w:sz="6" w:space="0" w:color="auto"/>
            </w:tcBorders>
            <w:hideMark/>
          </w:tcPr>
          <w:p w14:paraId="06B02BDB" w14:textId="77777777" w:rsidR="00EA3205" w:rsidRPr="00B05F62" w:rsidRDefault="00EA3205" w:rsidP="00EA3205">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14:paraId="2F8F2875" w14:textId="77777777" w:rsidR="00EA3205" w:rsidRPr="00B05F62" w:rsidRDefault="00EA3205" w:rsidP="00EA3205">
            <w:pPr>
              <w:rPr>
                <w:rFonts w:ascii="AcadNusx" w:hAnsi="AcadNusx"/>
              </w:rPr>
            </w:pPr>
            <w:r w:rsidRPr="00B05F62">
              <w:rPr>
                <w:rFonts w:ascii="AcadNusx" w:hAnsi="AcadNusx"/>
              </w:rPr>
              <w:t>18</w:t>
            </w:r>
          </w:p>
        </w:tc>
        <w:tc>
          <w:tcPr>
            <w:tcW w:w="715" w:type="dxa"/>
            <w:tcBorders>
              <w:top w:val="single" w:sz="6" w:space="0" w:color="auto"/>
              <w:left w:val="single" w:sz="6" w:space="0" w:color="auto"/>
              <w:bottom w:val="single" w:sz="6" w:space="0" w:color="auto"/>
              <w:right w:val="single" w:sz="6" w:space="0" w:color="auto"/>
            </w:tcBorders>
          </w:tcPr>
          <w:p w14:paraId="220FD750"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54C3E47D" w14:textId="77777777" w:rsidR="00EA3205" w:rsidRPr="00B05F62" w:rsidRDefault="00EA3205" w:rsidP="00EA3205">
            <w:pPr>
              <w:rPr>
                <w:rFonts w:ascii="AcadNusx" w:hAnsi="AcadNusx"/>
              </w:rPr>
            </w:pPr>
            <w:r w:rsidRPr="00B05F62">
              <w:rPr>
                <w:rFonts w:ascii="AcadNusx" w:hAnsi="AcadNusx"/>
              </w:rPr>
              <w:t>1x13</w:t>
            </w:r>
          </w:p>
        </w:tc>
      </w:tr>
      <w:tr w:rsidR="00EA3205" w:rsidRPr="00B05F62" w14:paraId="527AE864"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7061FBD0" w14:textId="77777777" w:rsidR="00EA3205" w:rsidRPr="00B05F62" w:rsidRDefault="00EA3205" w:rsidP="00EA3205">
            <w:pPr>
              <w:rPr>
                <w:rFonts w:ascii="AcadNusx" w:hAnsi="AcadNusx"/>
              </w:rPr>
            </w:pPr>
            <w:r w:rsidRPr="00B05F62">
              <w:rPr>
                <w:rFonts w:ascii="AcadNusx" w:hAnsi="AcadNusx"/>
              </w:rPr>
              <w:t>03</w:t>
            </w:r>
          </w:p>
        </w:tc>
        <w:tc>
          <w:tcPr>
            <w:tcW w:w="1276" w:type="dxa"/>
            <w:tcBorders>
              <w:top w:val="single" w:sz="6" w:space="0" w:color="auto"/>
              <w:left w:val="single" w:sz="6" w:space="0" w:color="auto"/>
              <w:bottom w:val="single" w:sz="6" w:space="0" w:color="auto"/>
              <w:right w:val="single" w:sz="6" w:space="0" w:color="auto"/>
            </w:tcBorders>
            <w:hideMark/>
          </w:tcPr>
          <w:p w14:paraId="7A0658F7" w14:textId="77777777" w:rsidR="00EA3205" w:rsidRPr="00B05F62" w:rsidRDefault="00EA3205" w:rsidP="00EA3205">
            <w:pPr>
              <w:rPr>
                <w:rFonts w:ascii="AcadNusx" w:hAnsi="AcadNusx"/>
              </w:rPr>
            </w:pPr>
            <w:r w:rsidRPr="00B05F62">
              <w:rPr>
                <w:rFonts w:ascii="AcadNusx" w:hAnsi="AcadNusx"/>
              </w:rPr>
              <w:t>4+495.656</w:t>
            </w:r>
          </w:p>
        </w:tc>
        <w:tc>
          <w:tcPr>
            <w:tcW w:w="1984" w:type="dxa"/>
            <w:tcBorders>
              <w:top w:val="single" w:sz="6" w:space="0" w:color="auto"/>
              <w:left w:val="single" w:sz="6" w:space="0" w:color="auto"/>
              <w:bottom w:val="single" w:sz="6" w:space="0" w:color="auto"/>
              <w:right w:val="single" w:sz="6" w:space="0" w:color="auto"/>
            </w:tcBorders>
            <w:vAlign w:val="center"/>
            <w:hideMark/>
          </w:tcPr>
          <w:p w14:paraId="608FE60D" w14:textId="77777777" w:rsidR="00EA3205" w:rsidRPr="00B05F62" w:rsidRDefault="00EA3205" w:rsidP="00EA3205">
            <w:pPr>
              <w:rPr>
                <w:rFonts w:ascii="AcadNusx" w:hAnsi="AcadNusx"/>
              </w:rPr>
            </w:pPr>
            <w:r w:rsidRPr="00B05F62">
              <w:rPr>
                <w:rFonts w:ascii="AcadNusx" w:hAnsi="AcadNusx"/>
              </w:rPr>
              <w:t>kompozitur-koWovani</w:t>
            </w:r>
          </w:p>
        </w:tc>
        <w:tc>
          <w:tcPr>
            <w:tcW w:w="2203" w:type="dxa"/>
            <w:tcBorders>
              <w:top w:val="single" w:sz="6" w:space="0" w:color="auto"/>
              <w:left w:val="single" w:sz="6" w:space="0" w:color="auto"/>
              <w:bottom w:val="single" w:sz="6" w:space="0" w:color="auto"/>
              <w:right w:val="single" w:sz="6" w:space="0" w:color="auto"/>
            </w:tcBorders>
            <w:hideMark/>
          </w:tcPr>
          <w:p w14:paraId="0B797756" w14:textId="77777777" w:rsidR="00EA3205" w:rsidRPr="00B05F62" w:rsidRDefault="00EA3205" w:rsidP="00EA3205">
            <w:pPr>
              <w:rPr>
                <w:rFonts w:ascii="AcadNusx" w:hAnsi="AcadNusx"/>
              </w:rPr>
            </w:pPr>
            <w:r w:rsidRPr="00B05F62">
              <w:rPr>
                <w:rFonts w:ascii="AcadNusx" w:hAnsi="AcadNusx"/>
              </w:rPr>
              <w:t>mdinare Wermisxevi</w:t>
            </w:r>
          </w:p>
        </w:tc>
        <w:tc>
          <w:tcPr>
            <w:tcW w:w="844" w:type="dxa"/>
            <w:tcBorders>
              <w:top w:val="single" w:sz="6" w:space="0" w:color="auto"/>
              <w:left w:val="single" w:sz="6" w:space="0" w:color="auto"/>
              <w:bottom w:val="single" w:sz="6" w:space="0" w:color="auto"/>
              <w:right w:val="single" w:sz="6" w:space="0" w:color="auto"/>
            </w:tcBorders>
            <w:hideMark/>
          </w:tcPr>
          <w:p w14:paraId="4DE3E653" w14:textId="77777777" w:rsidR="00EA3205" w:rsidRPr="00B05F62" w:rsidRDefault="00EA3205" w:rsidP="00EA3205">
            <w:pPr>
              <w:rPr>
                <w:rFonts w:ascii="AcadNusx" w:hAnsi="AcadNusx"/>
              </w:rPr>
            </w:pPr>
            <w:r w:rsidRPr="00B05F62">
              <w:rPr>
                <w:rFonts w:ascii="AcadNusx" w:hAnsi="AcadNusx"/>
              </w:rPr>
              <w:t>163.5</w:t>
            </w:r>
          </w:p>
        </w:tc>
        <w:tc>
          <w:tcPr>
            <w:tcW w:w="992" w:type="dxa"/>
            <w:tcBorders>
              <w:top w:val="single" w:sz="6" w:space="0" w:color="auto"/>
              <w:left w:val="single" w:sz="6" w:space="0" w:color="auto"/>
              <w:bottom w:val="single" w:sz="6" w:space="0" w:color="auto"/>
              <w:right w:val="single" w:sz="6" w:space="0" w:color="auto"/>
            </w:tcBorders>
            <w:hideMark/>
          </w:tcPr>
          <w:p w14:paraId="3B07CDF4" w14:textId="77777777" w:rsidR="00EA3205" w:rsidRPr="00B05F62" w:rsidRDefault="00EA3205" w:rsidP="00EA3205">
            <w:pPr>
              <w:rPr>
                <w:rFonts w:ascii="AcadNusx" w:hAnsi="AcadNusx"/>
              </w:rPr>
            </w:pPr>
            <w:r w:rsidRPr="00B05F62">
              <w:rPr>
                <w:rFonts w:ascii="AcadNusx" w:hAnsi="AcadNusx"/>
              </w:rPr>
              <w:t>18</w:t>
            </w:r>
          </w:p>
        </w:tc>
        <w:tc>
          <w:tcPr>
            <w:tcW w:w="715" w:type="dxa"/>
            <w:tcBorders>
              <w:top w:val="single" w:sz="6" w:space="0" w:color="auto"/>
              <w:left w:val="single" w:sz="6" w:space="0" w:color="auto"/>
              <w:bottom w:val="single" w:sz="6" w:space="0" w:color="auto"/>
              <w:right w:val="single" w:sz="6" w:space="0" w:color="auto"/>
            </w:tcBorders>
          </w:tcPr>
          <w:p w14:paraId="3574CE47"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5D1A3BF4" w14:textId="77777777" w:rsidR="00EA3205" w:rsidRPr="00B05F62" w:rsidRDefault="00EA3205" w:rsidP="00EA3205">
            <w:pPr>
              <w:rPr>
                <w:rFonts w:ascii="AcadNusx" w:hAnsi="AcadNusx"/>
              </w:rPr>
            </w:pPr>
            <w:r w:rsidRPr="00B05F62">
              <w:rPr>
                <w:rFonts w:ascii="AcadNusx" w:hAnsi="AcadNusx"/>
              </w:rPr>
              <w:t>49+64+49</w:t>
            </w:r>
          </w:p>
        </w:tc>
      </w:tr>
      <w:tr w:rsidR="00EA3205" w:rsidRPr="00B05F62" w14:paraId="5F4864EA"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50321B9E" w14:textId="77777777" w:rsidR="00EA3205" w:rsidRPr="00B05F62" w:rsidRDefault="00EA3205" w:rsidP="00EA3205">
            <w:pPr>
              <w:rPr>
                <w:rFonts w:ascii="AcadNusx" w:hAnsi="AcadNusx"/>
              </w:rPr>
            </w:pPr>
            <w:r w:rsidRPr="00B05F62">
              <w:rPr>
                <w:rFonts w:ascii="AcadNusx" w:hAnsi="AcadNusx"/>
              </w:rPr>
              <w:t>04</w:t>
            </w:r>
          </w:p>
        </w:tc>
        <w:tc>
          <w:tcPr>
            <w:tcW w:w="1276" w:type="dxa"/>
            <w:tcBorders>
              <w:top w:val="single" w:sz="6" w:space="0" w:color="auto"/>
              <w:left w:val="single" w:sz="6" w:space="0" w:color="auto"/>
              <w:bottom w:val="single" w:sz="6" w:space="0" w:color="auto"/>
              <w:right w:val="single" w:sz="6" w:space="0" w:color="auto"/>
            </w:tcBorders>
            <w:hideMark/>
          </w:tcPr>
          <w:p w14:paraId="2D5A6DB1" w14:textId="77777777" w:rsidR="00EA3205" w:rsidRPr="00B05F62" w:rsidRDefault="00EA3205" w:rsidP="00EA3205">
            <w:pPr>
              <w:rPr>
                <w:rFonts w:ascii="AcadNusx" w:hAnsi="AcadNusx"/>
              </w:rPr>
            </w:pPr>
            <w:r w:rsidRPr="00B05F62">
              <w:rPr>
                <w:rFonts w:ascii="AcadNusx" w:hAnsi="AcadNusx"/>
              </w:rPr>
              <w:t>4+682.582</w:t>
            </w:r>
          </w:p>
        </w:tc>
        <w:tc>
          <w:tcPr>
            <w:tcW w:w="1984" w:type="dxa"/>
            <w:tcBorders>
              <w:top w:val="single" w:sz="6" w:space="0" w:color="auto"/>
              <w:left w:val="single" w:sz="6" w:space="0" w:color="auto"/>
              <w:bottom w:val="single" w:sz="6" w:space="0" w:color="auto"/>
              <w:right w:val="single" w:sz="6" w:space="0" w:color="auto"/>
            </w:tcBorders>
            <w:vAlign w:val="center"/>
            <w:hideMark/>
          </w:tcPr>
          <w:p w14:paraId="012EEB5B" w14:textId="77777777" w:rsidR="00EA3205" w:rsidRPr="00B05F62" w:rsidRDefault="00EA3205" w:rsidP="00EA3205">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14:paraId="0007C38D" w14:textId="77777777" w:rsidR="00EA3205" w:rsidRPr="00B05F62" w:rsidRDefault="00EA3205" w:rsidP="00EA3205">
            <w:pPr>
              <w:rPr>
                <w:rFonts w:ascii="AcadNusx" w:hAnsi="AcadNusx"/>
              </w:rPr>
            </w:pPr>
            <w:r w:rsidRPr="00B05F62">
              <w:rPr>
                <w:rFonts w:ascii="AcadNusx" w:hAnsi="AcadNusx"/>
              </w:rPr>
              <w:t>gzagamtari</w:t>
            </w:r>
          </w:p>
        </w:tc>
        <w:tc>
          <w:tcPr>
            <w:tcW w:w="844" w:type="dxa"/>
            <w:tcBorders>
              <w:top w:val="single" w:sz="6" w:space="0" w:color="auto"/>
              <w:left w:val="single" w:sz="6" w:space="0" w:color="auto"/>
              <w:bottom w:val="single" w:sz="6" w:space="0" w:color="auto"/>
              <w:right w:val="single" w:sz="6" w:space="0" w:color="auto"/>
            </w:tcBorders>
            <w:hideMark/>
          </w:tcPr>
          <w:p w14:paraId="44E5A242" w14:textId="77777777" w:rsidR="00EA3205" w:rsidRPr="00B05F62" w:rsidRDefault="00EA3205" w:rsidP="00EA3205">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14:paraId="388E9F7F" w14:textId="77777777" w:rsidR="00EA3205" w:rsidRPr="00B05F62" w:rsidRDefault="00EA3205" w:rsidP="00EA3205">
            <w:pPr>
              <w:rPr>
                <w:rFonts w:ascii="AcadNusx" w:hAnsi="AcadNusx"/>
              </w:rPr>
            </w:pPr>
            <w:r w:rsidRPr="00B05F62">
              <w:rPr>
                <w:rFonts w:ascii="AcadNusx" w:hAnsi="AcadNusx"/>
              </w:rPr>
              <w:t>30</w:t>
            </w:r>
          </w:p>
        </w:tc>
        <w:tc>
          <w:tcPr>
            <w:tcW w:w="715" w:type="dxa"/>
            <w:tcBorders>
              <w:top w:val="single" w:sz="6" w:space="0" w:color="auto"/>
              <w:left w:val="single" w:sz="6" w:space="0" w:color="auto"/>
              <w:bottom w:val="single" w:sz="6" w:space="0" w:color="auto"/>
              <w:right w:val="single" w:sz="6" w:space="0" w:color="auto"/>
            </w:tcBorders>
          </w:tcPr>
          <w:p w14:paraId="52898C79"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01DEE6C9" w14:textId="77777777" w:rsidR="00EA3205" w:rsidRPr="00B05F62" w:rsidRDefault="00EA3205" w:rsidP="00EA3205">
            <w:pPr>
              <w:rPr>
                <w:rFonts w:ascii="AcadNusx" w:hAnsi="AcadNusx"/>
              </w:rPr>
            </w:pPr>
            <w:r w:rsidRPr="00B05F62">
              <w:rPr>
                <w:rFonts w:ascii="AcadNusx" w:hAnsi="AcadNusx"/>
              </w:rPr>
              <w:t>1x13</w:t>
            </w:r>
          </w:p>
        </w:tc>
      </w:tr>
      <w:tr w:rsidR="00EA3205" w:rsidRPr="00B05F62" w14:paraId="41C40B83"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7754522D" w14:textId="77777777" w:rsidR="00EA3205" w:rsidRPr="00B05F62" w:rsidRDefault="00EA3205" w:rsidP="00EA3205">
            <w:pPr>
              <w:rPr>
                <w:rFonts w:ascii="AcadNusx" w:hAnsi="AcadNusx"/>
              </w:rPr>
            </w:pPr>
            <w:r w:rsidRPr="00B05F62">
              <w:rPr>
                <w:rFonts w:ascii="AcadNusx" w:hAnsi="AcadNusx"/>
              </w:rPr>
              <w:t>05</w:t>
            </w:r>
          </w:p>
        </w:tc>
        <w:tc>
          <w:tcPr>
            <w:tcW w:w="1276" w:type="dxa"/>
            <w:tcBorders>
              <w:top w:val="single" w:sz="6" w:space="0" w:color="auto"/>
              <w:left w:val="single" w:sz="6" w:space="0" w:color="auto"/>
              <w:bottom w:val="single" w:sz="6" w:space="0" w:color="auto"/>
              <w:right w:val="single" w:sz="6" w:space="0" w:color="auto"/>
            </w:tcBorders>
            <w:hideMark/>
          </w:tcPr>
          <w:p w14:paraId="78E19223" w14:textId="77777777" w:rsidR="00EA3205" w:rsidRPr="00B05F62" w:rsidRDefault="00EA3205" w:rsidP="00EA3205">
            <w:pPr>
              <w:rPr>
                <w:rFonts w:ascii="AcadNusx" w:hAnsi="AcadNusx"/>
              </w:rPr>
            </w:pPr>
            <w:r w:rsidRPr="00B05F62">
              <w:rPr>
                <w:rFonts w:ascii="AcadNusx" w:hAnsi="AcadNusx"/>
              </w:rPr>
              <w:t>4+900.869</w:t>
            </w:r>
          </w:p>
        </w:tc>
        <w:tc>
          <w:tcPr>
            <w:tcW w:w="1984" w:type="dxa"/>
            <w:tcBorders>
              <w:top w:val="single" w:sz="6" w:space="0" w:color="auto"/>
              <w:left w:val="single" w:sz="6" w:space="0" w:color="auto"/>
              <w:bottom w:val="single" w:sz="6" w:space="0" w:color="auto"/>
              <w:right w:val="single" w:sz="6" w:space="0" w:color="auto"/>
            </w:tcBorders>
            <w:vAlign w:val="center"/>
            <w:hideMark/>
          </w:tcPr>
          <w:p w14:paraId="00B04A6B" w14:textId="77777777" w:rsidR="00EA3205" w:rsidRPr="00B05F62" w:rsidRDefault="00EA3205" w:rsidP="00EA3205">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14:paraId="0623AE89" w14:textId="77777777" w:rsidR="00EA3205" w:rsidRPr="00B05F62" w:rsidRDefault="00EA3205" w:rsidP="00EA3205">
            <w:pPr>
              <w:rPr>
                <w:rFonts w:ascii="AcadNusx" w:hAnsi="AcadNusx"/>
              </w:rPr>
            </w:pPr>
            <w:r w:rsidRPr="00B05F62">
              <w:rPr>
                <w:rFonts w:ascii="AcadNusx" w:hAnsi="AcadNusx"/>
              </w:rPr>
              <w:t>ordoniani gadakveTa, mukuzanis daerTeba</w:t>
            </w:r>
          </w:p>
        </w:tc>
        <w:tc>
          <w:tcPr>
            <w:tcW w:w="844" w:type="dxa"/>
            <w:tcBorders>
              <w:top w:val="single" w:sz="6" w:space="0" w:color="auto"/>
              <w:left w:val="single" w:sz="6" w:space="0" w:color="auto"/>
              <w:bottom w:val="single" w:sz="6" w:space="0" w:color="auto"/>
              <w:right w:val="single" w:sz="6" w:space="0" w:color="auto"/>
            </w:tcBorders>
            <w:hideMark/>
          </w:tcPr>
          <w:p w14:paraId="21EB7213" w14:textId="77777777" w:rsidR="00EA3205" w:rsidRPr="00B05F62" w:rsidRDefault="00EA3205" w:rsidP="00EA3205">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14:paraId="6083F9A2" w14:textId="77777777" w:rsidR="00EA3205" w:rsidRPr="00B05F62" w:rsidRDefault="00EA3205" w:rsidP="00EA3205">
            <w:pPr>
              <w:rPr>
                <w:rFonts w:ascii="AcadNusx" w:hAnsi="AcadNusx"/>
              </w:rPr>
            </w:pPr>
            <w:r w:rsidRPr="00B05F62">
              <w:rPr>
                <w:rFonts w:ascii="AcadNusx" w:hAnsi="AcadNusx"/>
              </w:rPr>
              <w:t>42</w:t>
            </w:r>
          </w:p>
        </w:tc>
        <w:tc>
          <w:tcPr>
            <w:tcW w:w="715" w:type="dxa"/>
            <w:tcBorders>
              <w:top w:val="single" w:sz="6" w:space="0" w:color="auto"/>
              <w:left w:val="single" w:sz="6" w:space="0" w:color="auto"/>
              <w:bottom w:val="single" w:sz="6" w:space="0" w:color="auto"/>
              <w:right w:val="single" w:sz="6" w:space="0" w:color="auto"/>
            </w:tcBorders>
          </w:tcPr>
          <w:p w14:paraId="420C9547"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77C7A9A5" w14:textId="77777777" w:rsidR="00EA3205" w:rsidRPr="00B05F62" w:rsidRDefault="00EA3205" w:rsidP="00EA3205">
            <w:pPr>
              <w:rPr>
                <w:rFonts w:ascii="AcadNusx" w:hAnsi="AcadNusx"/>
              </w:rPr>
            </w:pPr>
            <w:r w:rsidRPr="00B05F62">
              <w:rPr>
                <w:rFonts w:ascii="AcadNusx" w:hAnsi="AcadNusx"/>
              </w:rPr>
              <w:t>1x13</w:t>
            </w:r>
          </w:p>
        </w:tc>
      </w:tr>
      <w:tr w:rsidR="00EA3205" w:rsidRPr="00B05F62" w14:paraId="122302EE"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18FA8213" w14:textId="77777777" w:rsidR="00EA3205" w:rsidRPr="00B05F62" w:rsidRDefault="00EA3205" w:rsidP="00EA3205">
            <w:pPr>
              <w:rPr>
                <w:rFonts w:ascii="AcadNusx" w:hAnsi="AcadNusx"/>
              </w:rPr>
            </w:pPr>
            <w:r w:rsidRPr="00B05F62">
              <w:rPr>
                <w:rFonts w:ascii="AcadNusx" w:hAnsi="AcadNusx"/>
              </w:rPr>
              <w:t>06</w:t>
            </w:r>
          </w:p>
        </w:tc>
        <w:tc>
          <w:tcPr>
            <w:tcW w:w="1276" w:type="dxa"/>
            <w:tcBorders>
              <w:top w:val="single" w:sz="6" w:space="0" w:color="auto"/>
              <w:left w:val="single" w:sz="6" w:space="0" w:color="auto"/>
              <w:bottom w:val="single" w:sz="6" w:space="0" w:color="auto"/>
              <w:right w:val="single" w:sz="6" w:space="0" w:color="auto"/>
            </w:tcBorders>
            <w:hideMark/>
          </w:tcPr>
          <w:p w14:paraId="5D5CD271" w14:textId="77777777" w:rsidR="00EA3205" w:rsidRPr="00B05F62" w:rsidRDefault="00EA3205" w:rsidP="00EA3205">
            <w:pPr>
              <w:rPr>
                <w:rFonts w:ascii="AcadNusx" w:hAnsi="AcadNusx"/>
              </w:rPr>
            </w:pPr>
            <w:r w:rsidRPr="00B05F62">
              <w:rPr>
                <w:rFonts w:ascii="AcadNusx" w:hAnsi="AcadNusx"/>
              </w:rPr>
              <w:t>8+150.000</w:t>
            </w:r>
          </w:p>
        </w:tc>
        <w:tc>
          <w:tcPr>
            <w:tcW w:w="1984" w:type="dxa"/>
            <w:tcBorders>
              <w:top w:val="single" w:sz="6" w:space="0" w:color="auto"/>
              <w:left w:val="single" w:sz="6" w:space="0" w:color="auto"/>
              <w:bottom w:val="single" w:sz="6" w:space="0" w:color="auto"/>
              <w:right w:val="single" w:sz="6" w:space="0" w:color="auto"/>
            </w:tcBorders>
            <w:vAlign w:val="center"/>
            <w:hideMark/>
          </w:tcPr>
          <w:p w14:paraId="4D021417" w14:textId="77777777" w:rsidR="00EA3205" w:rsidRPr="00B05F62" w:rsidRDefault="00EA3205" w:rsidP="00EA3205">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hideMark/>
          </w:tcPr>
          <w:p w14:paraId="63C9846E" w14:textId="77777777" w:rsidR="00EA3205" w:rsidRPr="00B05F62" w:rsidRDefault="00EA3205" w:rsidP="00EA3205">
            <w:pPr>
              <w:rPr>
                <w:rFonts w:ascii="AcadNusx" w:hAnsi="AcadNusx"/>
              </w:rPr>
            </w:pPr>
            <w:r w:rsidRPr="00B05F62">
              <w:rPr>
                <w:rFonts w:ascii="AcadNusx" w:hAnsi="AcadNusx"/>
              </w:rPr>
              <w:t>usaxelo xevi</w:t>
            </w:r>
          </w:p>
        </w:tc>
        <w:tc>
          <w:tcPr>
            <w:tcW w:w="844" w:type="dxa"/>
            <w:tcBorders>
              <w:top w:val="single" w:sz="6" w:space="0" w:color="auto"/>
              <w:left w:val="single" w:sz="6" w:space="0" w:color="auto"/>
              <w:bottom w:val="single" w:sz="6" w:space="0" w:color="auto"/>
              <w:right w:val="single" w:sz="6" w:space="0" w:color="auto"/>
            </w:tcBorders>
            <w:hideMark/>
          </w:tcPr>
          <w:p w14:paraId="44EA5424" w14:textId="77777777" w:rsidR="00EA3205" w:rsidRPr="00B05F62" w:rsidRDefault="00EA3205" w:rsidP="00EA3205">
            <w:pPr>
              <w:rPr>
                <w:rFonts w:ascii="AcadNusx" w:hAnsi="AcadNusx"/>
              </w:rPr>
            </w:pPr>
            <w:r w:rsidRPr="00B05F62">
              <w:rPr>
                <w:rFonts w:ascii="AcadNusx" w:hAnsi="AcadNusx"/>
              </w:rPr>
              <w:t>30.2</w:t>
            </w:r>
          </w:p>
        </w:tc>
        <w:tc>
          <w:tcPr>
            <w:tcW w:w="992" w:type="dxa"/>
            <w:tcBorders>
              <w:top w:val="single" w:sz="6" w:space="0" w:color="auto"/>
              <w:left w:val="single" w:sz="6" w:space="0" w:color="auto"/>
              <w:bottom w:val="single" w:sz="6" w:space="0" w:color="auto"/>
              <w:right w:val="single" w:sz="6" w:space="0" w:color="auto"/>
            </w:tcBorders>
            <w:hideMark/>
          </w:tcPr>
          <w:p w14:paraId="6CAABD4C" w14:textId="77777777" w:rsidR="00EA3205" w:rsidRPr="00B05F62" w:rsidRDefault="00EA3205" w:rsidP="00EA3205">
            <w:pPr>
              <w:rPr>
                <w:rFonts w:ascii="AcadNusx" w:hAnsi="AcadNusx"/>
              </w:rPr>
            </w:pPr>
            <w:r w:rsidRPr="00B05F62">
              <w:rPr>
                <w:rFonts w:ascii="AcadNusx" w:hAnsi="AcadNusx"/>
              </w:rPr>
              <w:t>16.55</w:t>
            </w:r>
          </w:p>
        </w:tc>
        <w:tc>
          <w:tcPr>
            <w:tcW w:w="715" w:type="dxa"/>
            <w:tcBorders>
              <w:top w:val="single" w:sz="6" w:space="0" w:color="auto"/>
              <w:left w:val="single" w:sz="6" w:space="0" w:color="auto"/>
              <w:bottom w:val="single" w:sz="6" w:space="0" w:color="auto"/>
              <w:right w:val="single" w:sz="6" w:space="0" w:color="auto"/>
            </w:tcBorders>
          </w:tcPr>
          <w:p w14:paraId="6D2CECBD"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6F8310A8" w14:textId="77777777" w:rsidR="00EA3205" w:rsidRPr="00B05F62" w:rsidRDefault="00EA3205" w:rsidP="00EA3205">
            <w:pPr>
              <w:rPr>
                <w:rFonts w:ascii="AcadNusx" w:hAnsi="AcadNusx"/>
              </w:rPr>
            </w:pPr>
            <w:r w:rsidRPr="00B05F62">
              <w:rPr>
                <w:rFonts w:ascii="AcadNusx" w:hAnsi="AcadNusx"/>
              </w:rPr>
              <w:t>1X29.4</w:t>
            </w:r>
          </w:p>
        </w:tc>
      </w:tr>
      <w:tr w:rsidR="00EA3205" w:rsidRPr="00B05F62" w14:paraId="37C134E7"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64342EB7" w14:textId="77777777" w:rsidR="00EA3205" w:rsidRPr="00B05F62" w:rsidRDefault="00EA3205" w:rsidP="00EA3205">
            <w:pPr>
              <w:rPr>
                <w:rFonts w:ascii="AcadNusx" w:hAnsi="AcadNusx"/>
              </w:rPr>
            </w:pPr>
            <w:r w:rsidRPr="00B05F62">
              <w:rPr>
                <w:rFonts w:ascii="AcadNusx" w:hAnsi="AcadNusx"/>
              </w:rPr>
              <w:t>07</w:t>
            </w:r>
          </w:p>
        </w:tc>
        <w:tc>
          <w:tcPr>
            <w:tcW w:w="1276" w:type="dxa"/>
            <w:tcBorders>
              <w:top w:val="single" w:sz="6" w:space="0" w:color="auto"/>
              <w:left w:val="single" w:sz="6" w:space="0" w:color="auto"/>
              <w:bottom w:val="single" w:sz="6" w:space="0" w:color="auto"/>
              <w:right w:val="single" w:sz="6" w:space="0" w:color="auto"/>
            </w:tcBorders>
            <w:hideMark/>
          </w:tcPr>
          <w:p w14:paraId="40F0FC8B" w14:textId="77777777" w:rsidR="00EA3205" w:rsidRPr="00B05F62" w:rsidRDefault="00EA3205" w:rsidP="00EA3205">
            <w:pPr>
              <w:rPr>
                <w:rFonts w:ascii="AcadNusx" w:hAnsi="AcadNusx"/>
              </w:rPr>
            </w:pPr>
            <w:r w:rsidRPr="00B05F62">
              <w:rPr>
                <w:rFonts w:ascii="AcadNusx" w:hAnsi="AcadNusx"/>
              </w:rPr>
              <w:t>9+455.840</w:t>
            </w:r>
          </w:p>
        </w:tc>
        <w:tc>
          <w:tcPr>
            <w:tcW w:w="1984" w:type="dxa"/>
            <w:tcBorders>
              <w:top w:val="single" w:sz="6" w:space="0" w:color="auto"/>
              <w:left w:val="single" w:sz="6" w:space="0" w:color="auto"/>
              <w:bottom w:val="single" w:sz="6" w:space="0" w:color="auto"/>
              <w:right w:val="single" w:sz="6" w:space="0" w:color="auto"/>
            </w:tcBorders>
            <w:vAlign w:val="center"/>
            <w:hideMark/>
          </w:tcPr>
          <w:p w14:paraId="78154712" w14:textId="77777777" w:rsidR="00EA3205" w:rsidRPr="00B05F62" w:rsidRDefault="00EA3205" w:rsidP="00EA3205">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hideMark/>
          </w:tcPr>
          <w:p w14:paraId="635470ED" w14:textId="77777777" w:rsidR="00EA3205" w:rsidRPr="00B05F62" w:rsidRDefault="00EA3205" w:rsidP="00EA3205">
            <w:pPr>
              <w:rPr>
                <w:rFonts w:ascii="AcadNusx" w:hAnsi="AcadNusx"/>
              </w:rPr>
            </w:pPr>
            <w:r w:rsidRPr="00B05F62">
              <w:rPr>
                <w:rFonts w:ascii="AcadNusx" w:hAnsi="AcadNusx"/>
              </w:rPr>
              <w:t>usaxelo xevi</w:t>
            </w:r>
          </w:p>
        </w:tc>
        <w:tc>
          <w:tcPr>
            <w:tcW w:w="844" w:type="dxa"/>
            <w:tcBorders>
              <w:top w:val="single" w:sz="6" w:space="0" w:color="auto"/>
              <w:left w:val="single" w:sz="6" w:space="0" w:color="auto"/>
              <w:bottom w:val="single" w:sz="6" w:space="0" w:color="auto"/>
              <w:right w:val="single" w:sz="6" w:space="0" w:color="auto"/>
            </w:tcBorders>
            <w:hideMark/>
          </w:tcPr>
          <w:p w14:paraId="397D29D0" w14:textId="77777777" w:rsidR="00EA3205" w:rsidRPr="00B05F62" w:rsidRDefault="00EA3205" w:rsidP="00EA3205">
            <w:pPr>
              <w:rPr>
                <w:rFonts w:ascii="AcadNusx" w:hAnsi="AcadNusx"/>
              </w:rPr>
            </w:pPr>
            <w:r w:rsidRPr="00B05F62">
              <w:rPr>
                <w:rFonts w:ascii="AcadNusx" w:hAnsi="AcadNusx"/>
              </w:rPr>
              <w:t>93.0</w:t>
            </w:r>
          </w:p>
        </w:tc>
        <w:tc>
          <w:tcPr>
            <w:tcW w:w="992" w:type="dxa"/>
            <w:tcBorders>
              <w:top w:val="single" w:sz="6" w:space="0" w:color="auto"/>
              <w:left w:val="single" w:sz="6" w:space="0" w:color="auto"/>
              <w:bottom w:val="single" w:sz="6" w:space="0" w:color="auto"/>
              <w:right w:val="single" w:sz="6" w:space="0" w:color="auto"/>
            </w:tcBorders>
            <w:hideMark/>
          </w:tcPr>
          <w:p w14:paraId="11B9D1C1" w14:textId="77777777" w:rsidR="00EA3205" w:rsidRPr="00B05F62" w:rsidRDefault="00EA3205" w:rsidP="00EA3205">
            <w:pPr>
              <w:rPr>
                <w:rFonts w:ascii="AcadNusx" w:hAnsi="AcadNusx"/>
              </w:rPr>
            </w:pPr>
            <w:r w:rsidRPr="00B05F62">
              <w:rPr>
                <w:rFonts w:ascii="AcadNusx" w:hAnsi="AcadNusx"/>
              </w:rPr>
              <w:t>18</w:t>
            </w:r>
          </w:p>
        </w:tc>
        <w:tc>
          <w:tcPr>
            <w:tcW w:w="715" w:type="dxa"/>
            <w:tcBorders>
              <w:top w:val="single" w:sz="6" w:space="0" w:color="auto"/>
              <w:left w:val="single" w:sz="6" w:space="0" w:color="auto"/>
              <w:bottom w:val="single" w:sz="6" w:space="0" w:color="auto"/>
              <w:right w:val="single" w:sz="6" w:space="0" w:color="auto"/>
            </w:tcBorders>
            <w:hideMark/>
          </w:tcPr>
          <w:p w14:paraId="20B08DA4" w14:textId="77777777" w:rsidR="00EA3205" w:rsidRPr="00B05F62" w:rsidRDefault="00EA3205" w:rsidP="00EA3205">
            <w:pPr>
              <w:rPr>
                <w:rFonts w:ascii="AcadNusx" w:hAnsi="AcadNusx"/>
              </w:rPr>
            </w:pPr>
            <w:r w:rsidRPr="00B05F62">
              <w:rPr>
                <w:rFonts w:ascii="AcadNusx" w:hAnsi="AcadNusx"/>
              </w:rPr>
              <w:t>25</w:t>
            </w:r>
          </w:p>
        </w:tc>
        <w:tc>
          <w:tcPr>
            <w:tcW w:w="1135" w:type="dxa"/>
            <w:tcBorders>
              <w:top w:val="single" w:sz="6" w:space="0" w:color="auto"/>
              <w:left w:val="single" w:sz="6" w:space="0" w:color="auto"/>
              <w:bottom w:val="single" w:sz="6" w:space="0" w:color="auto"/>
              <w:right w:val="single" w:sz="6" w:space="0" w:color="auto"/>
            </w:tcBorders>
            <w:hideMark/>
          </w:tcPr>
          <w:p w14:paraId="30368CB8" w14:textId="77777777" w:rsidR="00EA3205" w:rsidRPr="00B05F62" w:rsidRDefault="00EA3205" w:rsidP="00EA3205">
            <w:pPr>
              <w:rPr>
                <w:rFonts w:ascii="AcadNusx" w:hAnsi="AcadNusx"/>
              </w:rPr>
            </w:pPr>
            <w:r w:rsidRPr="00B05F62">
              <w:rPr>
                <w:rFonts w:ascii="AcadNusx" w:hAnsi="AcadNusx"/>
              </w:rPr>
              <w:t>3X29.4</w:t>
            </w:r>
          </w:p>
        </w:tc>
      </w:tr>
      <w:tr w:rsidR="00EA3205" w:rsidRPr="00B05F62" w14:paraId="49C0DC9E"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0A175564" w14:textId="77777777" w:rsidR="00EA3205" w:rsidRPr="00B05F62" w:rsidRDefault="00EA3205" w:rsidP="00EA3205">
            <w:pPr>
              <w:rPr>
                <w:rFonts w:ascii="AcadNusx" w:hAnsi="AcadNusx"/>
              </w:rPr>
            </w:pPr>
            <w:r w:rsidRPr="00B05F62">
              <w:rPr>
                <w:rFonts w:ascii="AcadNusx" w:hAnsi="AcadNusx"/>
              </w:rPr>
              <w:t>08</w:t>
            </w:r>
          </w:p>
        </w:tc>
        <w:tc>
          <w:tcPr>
            <w:tcW w:w="1276" w:type="dxa"/>
            <w:tcBorders>
              <w:top w:val="single" w:sz="6" w:space="0" w:color="auto"/>
              <w:left w:val="single" w:sz="6" w:space="0" w:color="auto"/>
              <w:bottom w:val="single" w:sz="6" w:space="0" w:color="auto"/>
              <w:right w:val="single" w:sz="6" w:space="0" w:color="auto"/>
            </w:tcBorders>
            <w:hideMark/>
          </w:tcPr>
          <w:p w14:paraId="3C339E24" w14:textId="77777777" w:rsidR="00EA3205" w:rsidRPr="00B05F62" w:rsidRDefault="00EA3205" w:rsidP="00EA3205">
            <w:pPr>
              <w:rPr>
                <w:rFonts w:ascii="AcadNusx" w:hAnsi="AcadNusx"/>
              </w:rPr>
            </w:pPr>
            <w:r w:rsidRPr="00B05F62">
              <w:rPr>
                <w:rFonts w:ascii="AcadNusx" w:hAnsi="AcadNusx"/>
              </w:rPr>
              <w:t>13+248.002</w:t>
            </w:r>
          </w:p>
        </w:tc>
        <w:tc>
          <w:tcPr>
            <w:tcW w:w="1984" w:type="dxa"/>
            <w:tcBorders>
              <w:top w:val="single" w:sz="6" w:space="0" w:color="auto"/>
              <w:left w:val="single" w:sz="6" w:space="0" w:color="auto"/>
              <w:bottom w:val="single" w:sz="6" w:space="0" w:color="auto"/>
              <w:right w:val="single" w:sz="6" w:space="0" w:color="auto"/>
            </w:tcBorders>
            <w:vAlign w:val="center"/>
            <w:hideMark/>
          </w:tcPr>
          <w:p w14:paraId="2346A97D" w14:textId="77777777" w:rsidR="00EA3205" w:rsidRPr="00B05F62" w:rsidRDefault="00EA3205" w:rsidP="00EA3205">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hideMark/>
          </w:tcPr>
          <w:p w14:paraId="68E0F527" w14:textId="77777777" w:rsidR="00EA3205" w:rsidRPr="00B05F62" w:rsidRDefault="00EA3205" w:rsidP="00EA3205">
            <w:pPr>
              <w:rPr>
                <w:rFonts w:ascii="AcadNusx" w:hAnsi="AcadNusx"/>
              </w:rPr>
            </w:pPr>
            <w:r w:rsidRPr="00B05F62">
              <w:rPr>
                <w:rFonts w:ascii="AcadNusx" w:hAnsi="AcadNusx"/>
              </w:rPr>
              <w:t>usaxelo xevi</w:t>
            </w:r>
          </w:p>
        </w:tc>
        <w:tc>
          <w:tcPr>
            <w:tcW w:w="844" w:type="dxa"/>
            <w:tcBorders>
              <w:top w:val="single" w:sz="6" w:space="0" w:color="auto"/>
              <w:left w:val="single" w:sz="6" w:space="0" w:color="auto"/>
              <w:bottom w:val="single" w:sz="6" w:space="0" w:color="auto"/>
              <w:right w:val="single" w:sz="6" w:space="0" w:color="auto"/>
            </w:tcBorders>
            <w:hideMark/>
          </w:tcPr>
          <w:p w14:paraId="1929C3B8" w14:textId="77777777" w:rsidR="00EA3205" w:rsidRPr="00B05F62" w:rsidRDefault="00EA3205" w:rsidP="00EA3205">
            <w:pPr>
              <w:rPr>
                <w:rFonts w:ascii="AcadNusx" w:hAnsi="AcadNusx"/>
              </w:rPr>
            </w:pPr>
            <w:r w:rsidRPr="00B05F62">
              <w:rPr>
                <w:rFonts w:ascii="AcadNusx" w:hAnsi="AcadNusx"/>
              </w:rPr>
              <w:t>90.4</w:t>
            </w:r>
          </w:p>
        </w:tc>
        <w:tc>
          <w:tcPr>
            <w:tcW w:w="992" w:type="dxa"/>
            <w:tcBorders>
              <w:top w:val="single" w:sz="6" w:space="0" w:color="auto"/>
              <w:left w:val="single" w:sz="6" w:space="0" w:color="auto"/>
              <w:bottom w:val="single" w:sz="6" w:space="0" w:color="auto"/>
              <w:right w:val="single" w:sz="6" w:space="0" w:color="auto"/>
            </w:tcBorders>
            <w:hideMark/>
          </w:tcPr>
          <w:p w14:paraId="7246288E" w14:textId="77777777" w:rsidR="00EA3205" w:rsidRPr="00B05F62" w:rsidRDefault="00EA3205" w:rsidP="00EA3205">
            <w:pPr>
              <w:rPr>
                <w:rFonts w:ascii="AcadNusx" w:hAnsi="AcadNusx"/>
              </w:rPr>
            </w:pPr>
            <w:r w:rsidRPr="00B05F62">
              <w:rPr>
                <w:rFonts w:ascii="AcadNusx" w:hAnsi="AcadNusx"/>
              </w:rPr>
              <w:t>16.55</w:t>
            </w:r>
          </w:p>
        </w:tc>
        <w:tc>
          <w:tcPr>
            <w:tcW w:w="715" w:type="dxa"/>
            <w:tcBorders>
              <w:top w:val="single" w:sz="6" w:space="0" w:color="auto"/>
              <w:left w:val="single" w:sz="6" w:space="0" w:color="auto"/>
              <w:bottom w:val="single" w:sz="6" w:space="0" w:color="auto"/>
              <w:right w:val="single" w:sz="6" w:space="0" w:color="auto"/>
            </w:tcBorders>
          </w:tcPr>
          <w:p w14:paraId="088ED111"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69F727DB" w14:textId="77777777" w:rsidR="00EA3205" w:rsidRPr="00B05F62" w:rsidRDefault="00EA3205" w:rsidP="00EA3205">
            <w:pPr>
              <w:rPr>
                <w:rFonts w:ascii="AcadNusx" w:hAnsi="AcadNusx"/>
              </w:rPr>
            </w:pPr>
            <w:r w:rsidRPr="00B05F62">
              <w:rPr>
                <w:rFonts w:ascii="AcadNusx" w:hAnsi="AcadNusx"/>
              </w:rPr>
              <w:t>3X29.4</w:t>
            </w:r>
          </w:p>
        </w:tc>
      </w:tr>
      <w:tr w:rsidR="00EA3205" w:rsidRPr="00B05F62" w14:paraId="16FA8EAE"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06DC6DFF" w14:textId="77777777" w:rsidR="00EA3205" w:rsidRPr="00B05F62" w:rsidRDefault="00EA3205" w:rsidP="00EA3205">
            <w:pPr>
              <w:rPr>
                <w:rFonts w:ascii="AcadNusx" w:hAnsi="AcadNusx"/>
              </w:rPr>
            </w:pPr>
            <w:r w:rsidRPr="00B05F62">
              <w:rPr>
                <w:rFonts w:ascii="AcadNusx" w:hAnsi="AcadNusx"/>
              </w:rPr>
              <w:t>09</w:t>
            </w:r>
          </w:p>
        </w:tc>
        <w:tc>
          <w:tcPr>
            <w:tcW w:w="1276" w:type="dxa"/>
            <w:tcBorders>
              <w:top w:val="single" w:sz="6" w:space="0" w:color="auto"/>
              <w:left w:val="single" w:sz="6" w:space="0" w:color="auto"/>
              <w:bottom w:val="single" w:sz="6" w:space="0" w:color="auto"/>
              <w:right w:val="single" w:sz="6" w:space="0" w:color="auto"/>
            </w:tcBorders>
            <w:hideMark/>
          </w:tcPr>
          <w:p w14:paraId="517485E2" w14:textId="77777777" w:rsidR="00EA3205" w:rsidRPr="00B05F62" w:rsidRDefault="00EA3205" w:rsidP="00EA3205">
            <w:pPr>
              <w:rPr>
                <w:rFonts w:ascii="AcadNusx" w:hAnsi="AcadNusx"/>
              </w:rPr>
            </w:pPr>
            <w:r w:rsidRPr="00B05F62">
              <w:rPr>
                <w:rFonts w:ascii="AcadNusx" w:hAnsi="AcadNusx"/>
              </w:rPr>
              <w:t>15+764.700</w:t>
            </w:r>
          </w:p>
        </w:tc>
        <w:tc>
          <w:tcPr>
            <w:tcW w:w="1984" w:type="dxa"/>
            <w:tcBorders>
              <w:top w:val="single" w:sz="6" w:space="0" w:color="auto"/>
              <w:left w:val="single" w:sz="6" w:space="0" w:color="auto"/>
              <w:bottom w:val="single" w:sz="6" w:space="0" w:color="auto"/>
              <w:right w:val="single" w:sz="6" w:space="0" w:color="auto"/>
            </w:tcBorders>
            <w:vAlign w:val="center"/>
            <w:hideMark/>
          </w:tcPr>
          <w:p w14:paraId="7E411C6B" w14:textId="77777777" w:rsidR="00EA3205" w:rsidRPr="00B05F62" w:rsidRDefault="00EA3205" w:rsidP="00EA3205">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hideMark/>
          </w:tcPr>
          <w:p w14:paraId="22EC359A" w14:textId="77777777" w:rsidR="00EA3205" w:rsidRPr="00B05F62" w:rsidRDefault="00EA3205" w:rsidP="00EA3205">
            <w:pPr>
              <w:rPr>
                <w:rFonts w:ascii="AcadNusx" w:hAnsi="AcadNusx"/>
              </w:rPr>
            </w:pPr>
            <w:r w:rsidRPr="00B05F62">
              <w:rPr>
                <w:rFonts w:ascii="AcadNusx" w:hAnsi="AcadNusx"/>
              </w:rPr>
              <w:t>usaxelo xevi</w:t>
            </w:r>
          </w:p>
        </w:tc>
        <w:tc>
          <w:tcPr>
            <w:tcW w:w="844" w:type="dxa"/>
            <w:tcBorders>
              <w:top w:val="single" w:sz="6" w:space="0" w:color="auto"/>
              <w:left w:val="single" w:sz="6" w:space="0" w:color="auto"/>
              <w:bottom w:val="single" w:sz="6" w:space="0" w:color="auto"/>
              <w:right w:val="single" w:sz="6" w:space="0" w:color="auto"/>
            </w:tcBorders>
            <w:hideMark/>
          </w:tcPr>
          <w:p w14:paraId="5AD10AD1" w14:textId="77777777" w:rsidR="00EA3205" w:rsidRPr="00B05F62" w:rsidRDefault="00EA3205" w:rsidP="00EA3205">
            <w:pPr>
              <w:rPr>
                <w:rFonts w:ascii="AcadNusx" w:hAnsi="AcadNusx"/>
              </w:rPr>
            </w:pPr>
            <w:r w:rsidRPr="00B05F62">
              <w:rPr>
                <w:rFonts w:ascii="AcadNusx" w:hAnsi="AcadNusx"/>
              </w:rPr>
              <w:t>30.8</w:t>
            </w:r>
          </w:p>
        </w:tc>
        <w:tc>
          <w:tcPr>
            <w:tcW w:w="992" w:type="dxa"/>
            <w:tcBorders>
              <w:top w:val="single" w:sz="6" w:space="0" w:color="auto"/>
              <w:left w:val="single" w:sz="6" w:space="0" w:color="auto"/>
              <w:bottom w:val="single" w:sz="6" w:space="0" w:color="auto"/>
              <w:right w:val="single" w:sz="6" w:space="0" w:color="auto"/>
            </w:tcBorders>
            <w:hideMark/>
          </w:tcPr>
          <w:p w14:paraId="2098E4C5" w14:textId="77777777" w:rsidR="00EA3205" w:rsidRPr="00B05F62" w:rsidRDefault="00EA3205" w:rsidP="00EA3205">
            <w:pPr>
              <w:rPr>
                <w:rFonts w:ascii="AcadNusx" w:hAnsi="AcadNusx"/>
              </w:rPr>
            </w:pPr>
            <w:r w:rsidRPr="00B05F62">
              <w:rPr>
                <w:rFonts w:ascii="AcadNusx" w:hAnsi="AcadNusx"/>
              </w:rPr>
              <w:t>18</w:t>
            </w:r>
          </w:p>
        </w:tc>
        <w:tc>
          <w:tcPr>
            <w:tcW w:w="715" w:type="dxa"/>
            <w:tcBorders>
              <w:top w:val="single" w:sz="6" w:space="0" w:color="auto"/>
              <w:left w:val="single" w:sz="6" w:space="0" w:color="auto"/>
              <w:bottom w:val="single" w:sz="6" w:space="0" w:color="auto"/>
              <w:right w:val="single" w:sz="6" w:space="0" w:color="auto"/>
            </w:tcBorders>
            <w:hideMark/>
          </w:tcPr>
          <w:p w14:paraId="248D222D" w14:textId="77777777" w:rsidR="00EA3205" w:rsidRPr="00B05F62" w:rsidRDefault="00EA3205" w:rsidP="00EA3205">
            <w:pPr>
              <w:rPr>
                <w:rFonts w:ascii="AcadNusx" w:hAnsi="AcadNusx"/>
              </w:rPr>
            </w:pPr>
            <w:r w:rsidRPr="00B05F62">
              <w:rPr>
                <w:rFonts w:ascii="AcadNusx" w:hAnsi="AcadNusx"/>
              </w:rPr>
              <w:t>25</w:t>
            </w:r>
          </w:p>
        </w:tc>
        <w:tc>
          <w:tcPr>
            <w:tcW w:w="1135" w:type="dxa"/>
            <w:tcBorders>
              <w:top w:val="single" w:sz="6" w:space="0" w:color="auto"/>
              <w:left w:val="single" w:sz="6" w:space="0" w:color="auto"/>
              <w:bottom w:val="single" w:sz="6" w:space="0" w:color="auto"/>
              <w:right w:val="single" w:sz="6" w:space="0" w:color="auto"/>
            </w:tcBorders>
            <w:hideMark/>
          </w:tcPr>
          <w:p w14:paraId="5564CC32" w14:textId="77777777" w:rsidR="00EA3205" w:rsidRPr="00B05F62" w:rsidRDefault="00EA3205" w:rsidP="00EA3205">
            <w:pPr>
              <w:rPr>
                <w:rFonts w:ascii="AcadNusx" w:hAnsi="AcadNusx"/>
              </w:rPr>
            </w:pPr>
            <w:r w:rsidRPr="00B05F62">
              <w:rPr>
                <w:rFonts w:ascii="AcadNusx" w:hAnsi="AcadNusx"/>
              </w:rPr>
              <w:t>1X29.4</w:t>
            </w:r>
          </w:p>
        </w:tc>
      </w:tr>
      <w:tr w:rsidR="00EA3205" w:rsidRPr="00B05F62" w14:paraId="35558AD1"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25406DFF" w14:textId="77777777" w:rsidR="00EA3205" w:rsidRPr="00B05F62" w:rsidRDefault="00EA3205" w:rsidP="00EA3205">
            <w:pPr>
              <w:rPr>
                <w:rFonts w:ascii="AcadNusx" w:hAnsi="AcadNusx"/>
              </w:rPr>
            </w:pPr>
            <w:r w:rsidRPr="00B05F62">
              <w:rPr>
                <w:rFonts w:ascii="AcadNusx" w:hAnsi="AcadNusx"/>
              </w:rPr>
              <w:t>10</w:t>
            </w:r>
          </w:p>
        </w:tc>
        <w:tc>
          <w:tcPr>
            <w:tcW w:w="1276" w:type="dxa"/>
            <w:tcBorders>
              <w:top w:val="single" w:sz="6" w:space="0" w:color="auto"/>
              <w:left w:val="single" w:sz="6" w:space="0" w:color="auto"/>
              <w:bottom w:val="single" w:sz="6" w:space="0" w:color="auto"/>
              <w:right w:val="single" w:sz="6" w:space="0" w:color="auto"/>
            </w:tcBorders>
            <w:hideMark/>
          </w:tcPr>
          <w:p w14:paraId="33C89FBC" w14:textId="77777777" w:rsidR="00EA3205" w:rsidRPr="00B05F62" w:rsidRDefault="00EA3205" w:rsidP="00EA3205">
            <w:pPr>
              <w:rPr>
                <w:rFonts w:ascii="AcadNusx" w:hAnsi="AcadNusx"/>
              </w:rPr>
            </w:pPr>
            <w:r w:rsidRPr="00B05F62">
              <w:rPr>
                <w:rFonts w:ascii="AcadNusx" w:hAnsi="AcadNusx"/>
              </w:rPr>
              <w:t>16+335.210</w:t>
            </w:r>
          </w:p>
        </w:tc>
        <w:tc>
          <w:tcPr>
            <w:tcW w:w="1984" w:type="dxa"/>
            <w:tcBorders>
              <w:top w:val="single" w:sz="6" w:space="0" w:color="auto"/>
              <w:left w:val="single" w:sz="6" w:space="0" w:color="auto"/>
              <w:bottom w:val="single" w:sz="6" w:space="0" w:color="auto"/>
              <w:right w:val="single" w:sz="6" w:space="0" w:color="auto"/>
            </w:tcBorders>
            <w:vAlign w:val="center"/>
            <w:hideMark/>
          </w:tcPr>
          <w:p w14:paraId="32A4CFCE" w14:textId="77777777" w:rsidR="00EA3205" w:rsidRPr="00B05F62" w:rsidRDefault="00EA3205" w:rsidP="00EA3205">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14:paraId="77C4E9E0" w14:textId="77777777" w:rsidR="00EA3205" w:rsidRPr="00B05F62" w:rsidRDefault="00EA3205" w:rsidP="00EA3205">
            <w:pPr>
              <w:rPr>
                <w:rFonts w:ascii="AcadNusx" w:hAnsi="AcadNusx"/>
              </w:rPr>
            </w:pPr>
            <w:r w:rsidRPr="00B05F62">
              <w:rPr>
                <w:rFonts w:ascii="AcadNusx" w:hAnsi="AcadNusx"/>
              </w:rPr>
              <w:t>ordoniani gadakveTa, akuras daerTeba</w:t>
            </w:r>
          </w:p>
        </w:tc>
        <w:tc>
          <w:tcPr>
            <w:tcW w:w="844" w:type="dxa"/>
            <w:tcBorders>
              <w:top w:val="single" w:sz="6" w:space="0" w:color="auto"/>
              <w:left w:val="single" w:sz="6" w:space="0" w:color="auto"/>
              <w:bottom w:val="single" w:sz="6" w:space="0" w:color="auto"/>
              <w:right w:val="single" w:sz="6" w:space="0" w:color="auto"/>
            </w:tcBorders>
            <w:hideMark/>
          </w:tcPr>
          <w:p w14:paraId="584D209F" w14:textId="77777777" w:rsidR="00EA3205" w:rsidRPr="00B05F62" w:rsidRDefault="00EA3205" w:rsidP="00EA3205">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14:paraId="21E9637B" w14:textId="77777777" w:rsidR="00EA3205" w:rsidRPr="00B05F62" w:rsidRDefault="00EA3205" w:rsidP="00EA3205">
            <w:pPr>
              <w:rPr>
                <w:rFonts w:ascii="AcadNusx" w:hAnsi="AcadNusx"/>
              </w:rPr>
            </w:pPr>
            <w:r w:rsidRPr="00B05F62">
              <w:rPr>
                <w:rFonts w:ascii="AcadNusx" w:hAnsi="AcadNusx"/>
              </w:rPr>
              <w:t>24</w:t>
            </w:r>
          </w:p>
        </w:tc>
        <w:tc>
          <w:tcPr>
            <w:tcW w:w="715" w:type="dxa"/>
            <w:tcBorders>
              <w:top w:val="single" w:sz="6" w:space="0" w:color="auto"/>
              <w:left w:val="single" w:sz="6" w:space="0" w:color="auto"/>
              <w:bottom w:val="single" w:sz="6" w:space="0" w:color="auto"/>
              <w:right w:val="single" w:sz="6" w:space="0" w:color="auto"/>
            </w:tcBorders>
          </w:tcPr>
          <w:p w14:paraId="119A38DB"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6483F4DC" w14:textId="77777777" w:rsidR="00EA3205" w:rsidRPr="00B05F62" w:rsidRDefault="00EA3205" w:rsidP="00EA3205">
            <w:pPr>
              <w:rPr>
                <w:rFonts w:ascii="AcadNusx" w:hAnsi="AcadNusx"/>
              </w:rPr>
            </w:pPr>
            <w:r w:rsidRPr="00B05F62">
              <w:rPr>
                <w:rFonts w:ascii="AcadNusx" w:hAnsi="AcadNusx"/>
              </w:rPr>
              <w:t>1x13</w:t>
            </w:r>
          </w:p>
        </w:tc>
      </w:tr>
      <w:tr w:rsidR="00EA3205" w:rsidRPr="00B05F62" w14:paraId="1FABEE5B"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2DBB472C" w14:textId="77777777" w:rsidR="00EA3205" w:rsidRPr="00B05F62" w:rsidRDefault="00EA3205" w:rsidP="00EA3205">
            <w:pPr>
              <w:rPr>
                <w:rFonts w:ascii="AcadNusx" w:hAnsi="AcadNusx"/>
              </w:rPr>
            </w:pPr>
            <w:r w:rsidRPr="00B05F62">
              <w:rPr>
                <w:rFonts w:ascii="AcadNusx" w:hAnsi="AcadNusx"/>
              </w:rPr>
              <w:t>11</w:t>
            </w:r>
          </w:p>
        </w:tc>
        <w:tc>
          <w:tcPr>
            <w:tcW w:w="1276" w:type="dxa"/>
            <w:tcBorders>
              <w:top w:val="single" w:sz="6" w:space="0" w:color="auto"/>
              <w:left w:val="single" w:sz="6" w:space="0" w:color="auto"/>
              <w:bottom w:val="single" w:sz="6" w:space="0" w:color="auto"/>
              <w:right w:val="single" w:sz="6" w:space="0" w:color="auto"/>
            </w:tcBorders>
            <w:hideMark/>
          </w:tcPr>
          <w:p w14:paraId="04A63542" w14:textId="77777777" w:rsidR="00EA3205" w:rsidRPr="00B05F62" w:rsidRDefault="00EA3205" w:rsidP="00EA3205">
            <w:pPr>
              <w:rPr>
                <w:rFonts w:ascii="AcadNusx" w:hAnsi="AcadNusx"/>
              </w:rPr>
            </w:pPr>
            <w:r w:rsidRPr="00B05F62">
              <w:rPr>
                <w:rFonts w:ascii="AcadNusx" w:hAnsi="AcadNusx"/>
              </w:rPr>
              <w:t>17+522.873</w:t>
            </w:r>
          </w:p>
        </w:tc>
        <w:tc>
          <w:tcPr>
            <w:tcW w:w="1984" w:type="dxa"/>
            <w:tcBorders>
              <w:top w:val="single" w:sz="6" w:space="0" w:color="auto"/>
              <w:left w:val="single" w:sz="6" w:space="0" w:color="auto"/>
              <w:bottom w:val="single" w:sz="6" w:space="0" w:color="auto"/>
              <w:right w:val="single" w:sz="6" w:space="0" w:color="auto"/>
            </w:tcBorders>
            <w:vAlign w:val="center"/>
            <w:hideMark/>
          </w:tcPr>
          <w:p w14:paraId="7755E962" w14:textId="77777777" w:rsidR="00EA3205" w:rsidRPr="00B05F62" w:rsidRDefault="00EA3205" w:rsidP="00EA3205">
            <w:pPr>
              <w:rPr>
                <w:rFonts w:ascii="AcadNusx" w:hAnsi="AcadNusx"/>
              </w:rPr>
            </w:pPr>
            <w:r w:rsidRPr="00B05F62">
              <w:rPr>
                <w:rFonts w:ascii="AcadNusx" w:hAnsi="AcadNusx"/>
              </w:rPr>
              <w:t>kompozitur-koWovani</w:t>
            </w:r>
          </w:p>
        </w:tc>
        <w:tc>
          <w:tcPr>
            <w:tcW w:w="2203" w:type="dxa"/>
            <w:tcBorders>
              <w:top w:val="single" w:sz="6" w:space="0" w:color="auto"/>
              <w:left w:val="single" w:sz="6" w:space="0" w:color="auto"/>
              <w:bottom w:val="single" w:sz="6" w:space="0" w:color="auto"/>
              <w:right w:val="single" w:sz="6" w:space="0" w:color="auto"/>
            </w:tcBorders>
            <w:hideMark/>
          </w:tcPr>
          <w:p w14:paraId="35E74E96" w14:textId="77777777" w:rsidR="00EA3205" w:rsidRPr="00B05F62" w:rsidRDefault="00EA3205" w:rsidP="00EA3205">
            <w:pPr>
              <w:rPr>
                <w:rFonts w:ascii="AcadNusx" w:hAnsi="AcadNusx"/>
              </w:rPr>
            </w:pPr>
            <w:r w:rsidRPr="00B05F62">
              <w:rPr>
                <w:rFonts w:ascii="AcadNusx" w:hAnsi="AcadNusx"/>
              </w:rPr>
              <w:t>usaxelo xevi</w:t>
            </w:r>
          </w:p>
        </w:tc>
        <w:tc>
          <w:tcPr>
            <w:tcW w:w="844" w:type="dxa"/>
            <w:tcBorders>
              <w:top w:val="single" w:sz="6" w:space="0" w:color="auto"/>
              <w:left w:val="single" w:sz="6" w:space="0" w:color="auto"/>
              <w:bottom w:val="single" w:sz="6" w:space="0" w:color="auto"/>
              <w:right w:val="single" w:sz="6" w:space="0" w:color="auto"/>
            </w:tcBorders>
            <w:hideMark/>
          </w:tcPr>
          <w:p w14:paraId="05BE9F3F" w14:textId="77777777" w:rsidR="00EA3205" w:rsidRPr="00B05F62" w:rsidRDefault="00EA3205" w:rsidP="00EA3205">
            <w:pPr>
              <w:rPr>
                <w:rFonts w:ascii="AcadNusx" w:hAnsi="AcadNusx"/>
              </w:rPr>
            </w:pPr>
            <w:r w:rsidRPr="00B05F62">
              <w:rPr>
                <w:rFonts w:ascii="AcadNusx" w:hAnsi="AcadNusx"/>
              </w:rPr>
              <w:t>115.4</w:t>
            </w:r>
          </w:p>
        </w:tc>
        <w:tc>
          <w:tcPr>
            <w:tcW w:w="992" w:type="dxa"/>
            <w:tcBorders>
              <w:top w:val="single" w:sz="6" w:space="0" w:color="auto"/>
              <w:left w:val="single" w:sz="6" w:space="0" w:color="auto"/>
              <w:bottom w:val="single" w:sz="6" w:space="0" w:color="auto"/>
              <w:right w:val="single" w:sz="6" w:space="0" w:color="auto"/>
            </w:tcBorders>
            <w:hideMark/>
          </w:tcPr>
          <w:p w14:paraId="7CEFE3B0" w14:textId="77777777" w:rsidR="00EA3205" w:rsidRPr="00B05F62" w:rsidRDefault="00EA3205" w:rsidP="00EA3205">
            <w:pPr>
              <w:rPr>
                <w:rFonts w:ascii="AcadNusx" w:hAnsi="AcadNusx"/>
              </w:rPr>
            </w:pPr>
            <w:r w:rsidRPr="00B05F62">
              <w:rPr>
                <w:rFonts w:ascii="AcadNusx" w:hAnsi="AcadNusx"/>
              </w:rPr>
              <w:t>16</w:t>
            </w:r>
          </w:p>
        </w:tc>
        <w:tc>
          <w:tcPr>
            <w:tcW w:w="715" w:type="dxa"/>
            <w:tcBorders>
              <w:top w:val="single" w:sz="6" w:space="0" w:color="auto"/>
              <w:left w:val="single" w:sz="6" w:space="0" w:color="auto"/>
              <w:bottom w:val="single" w:sz="6" w:space="0" w:color="auto"/>
              <w:right w:val="single" w:sz="6" w:space="0" w:color="auto"/>
            </w:tcBorders>
          </w:tcPr>
          <w:p w14:paraId="19FED2CC"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5FE99953" w14:textId="77777777" w:rsidR="00EA3205" w:rsidRPr="00B05F62" w:rsidRDefault="00EA3205" w:rsidP="00EA3205">
            <w:pPr>
              <w:rPr>
                <w:rFonts w:ascii="AcadNusx" w:hAnsi="AcadNusx"/>
              </w:rPr>
            </w:pPr>
            <w:r w:rsidRPr="00B05F62">
              <w:rPr>
                <w:rFonts w:ascii="AcadNusx" w:hAnsi="AcadNusx"/>
              </w:rPr>
              <w:t>36+42+36</w:t>
            </w:r>
          </w:p>
        </w:tc>
      </w:tr>
      <w:tr w:rsidR="00EA3205" w:rsidRPr="00B05F62" w14:paraId="266A97F1"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21E3CD70" w14:textId="77777777" w:rsidR="00EA3205" w:rsidRPr="00B05F62" w:rsidRDefault="00EA3205" w:rsidP="00EA3205">
            <w:pPr>
              <w:rPr>
                <w:rFonts w:ascii="AcadNusx" w:hAnsi="AcadNusx"/>
              </w:rPr>
            </w:pPr>
            <w:r w:rsidRPr="00B05F62">
              <w:rPr>
                <w:rFonts w:ascii="AcadNusx" w:hAnsi="AcadNusx"/>
              </w:rPr>
              <w:t>12</w:t>
            </w:r>
          </w:p>
        </w:tc>
        <w:tc>
          <w:tcPr>
            <w:tcW w:w="1276" w:type="dxa"/>
            <w:tcBorders>
              <w:top w:val="single" w:sz="6" w:space="0" w:color="auto"/>
              <w:left w:val="single" w:sz="6" w:space="0" w:color="auto"/>
              <w:bottom w:val="single" w:sz="6" w:space="0" w:color="auto"/>
              <w:right w:val="single" w:sz="6" w:space="0" w:color="auto"/>
            </w:tcBorders>
            <w:hideMark/>
          </w:tcPr>
          <w:p w14:paraId="3B4CF3E4" w14:textId="77777777" w:rsidR="00EA3205" w:rsidRPr="00B05F62" w:rsidRDefault="00EA3205" w:rsidP="00EA3205">
            <w:pPr>
              <w:rPr>
                <w:rFonts w:ascii="AcadNusx" w:hAnsi="AcadNusx"/>
              </w:rPr>
            </w:pPr>
            <w:r w:rsidRPr="00B05F62">
              <w:rPr>
                <w:rFonts w:ascii="AcadNusx" w:hAnsi="AcadNusx"/>
              </w:rPr>
              <w:t>18+047.602</w:t>
            </w:r>
          </w:p>
        </w:tc>
        <w:tc>
          <w:tcPr>
            <w:tcW w:w="1984" w:type="dxa"/>
            <w:tcBorders>
              <w:top w:val="single" w:sz="6" w:space="0" w:color="auto"/>
              <w:left w:val="single" w:sz="6" w:space="0" w:color="auto"/>
              <w:bottom w:val="single" w:sz="6" w:space="0" w:color="auto"/>
              <w:right w:val="single" w:sz="6" w:space="0" w:color="auto"/>
            </w:tcBorders>
            <w:vAlign w:val="center"/>
            <w:hideMark/>
          </w:tcPr>
          <w:p w14:paraId="12354022" w14:textId="77777777" w:rsidR="00EA3205" w:rsidRPr="00B05F62" w:rsidRDefault="00EA3205" w:rsidP="00EA3205">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14:paraId="1FEA04B6" w14:textId="77777777" w:rsidR="00EA3205" w:rsidRPr="00B05F62" w:rsidRDefault="00EA3205" w:rsidP="00EA3205">
            <w:pPr>
              <w:rPr>
                <w:rFonts w:ascii="AcadNusx" w:hAnsi="AcadNusx"/>
              </w:rPr>
            </w:pPr>
            <w:r w:rsidRPr="00B05F62">
              <w:rPr>
                <w:rFonts w:ascii="AcadNusx" w:hAnsi="AcadNusx"/>
              </w:rPr>
              <w:t>gzagamtari</w:t>
            </w:r>
          </w:p>
        </w:tc>
        <w:tc>
          <w:tcPr>
            <w:tcW w:w="844" w:type="dxa"/>
            <w:tcBorders>
              <w:top w:val="single" w:sz="6" w:space="0" w:color="auto"/>
              <w:left w:val="single" w:sz="6" w:space="0" w:color="auto"/>
              <w:bottom w:val="single" w:sz="6" w:space="0" w:color="auto"/>
              <w:right w:val="single" w:sz="6" w:space="0" w:color="auto"/>
            </w:tcBorders>
            <w:hideMark/>
          </w:tcPr>
          <w:p w14:paraId="6FC381F9" w14:textId="77777777" w:rsidR="00EA3205" w:rsidRPr="00B05F62" w:rsidRDefault="00EA3205" w:rsidP="00EA3205">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14:paraId="3A5E0EB7" w14:textId="77777777" w:rsidR="00EA3205" w:rsidRPr="00B05F62" w:rsidRDefault="00EA3205" w:rsidP="00EA3205">
            <w:pPr>
              <w:rPr>
                <w:rFonts w:ascii="AcadNusx" w:hAnsi="AcadNusx"/>
              </w:rPr>
            </w:pPr>
            <w:r w:rsidRPr="00B05F62">
              <w:rPr>
                <w:rFonts w:ascii="AcadNusx" w:hAnsi="AcadNusx"/>
              </w:rPr>
              <w:t>24</w:t>
            </w:r>
          </w:p>
        </w:tc>
        <w:tc>
          <w:tcPr>
            <w:tcW w:w="715" w:type="dxa"/>
            <w:tcBorders>
              <w:top w:val="single" w:sz="6" w:space="0" w:color="auto"/>
              <w:left w:val="single" w:sz="6" w:space="0" w:color="auto"/>
              <w:bottom w:val="single" w:sz="6" w:space="0" w:color="auto"/>
              <w:right w:val="single" w:sz="6" w:space="0" w:color="auto"/>
            </w:tcBorders>
          </w:tcPr>
          <w:p w14:paraId="456753A1"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28001677" w14:textId="77777777" w:rsidR="00EA3205" w:rsidRPr="00B05F62" w:rsidRDefault="00EA3205" w:rsidP="00EA3205">
            <w:pPr>
              <w:rPr>
                <w:rFonts w:ascii="AcadNusx" w:hAnsi="AcadNusx"/>
              </w:rPr>
            </w:pPr>
            <w:r w:rsidRPr="00B05F62">
              <w:rPr>
                <w:rFonts w:ascii="AcadNusx" w:hAnsi="AcadNusx"/>
              </w:rPr>
              <w:t>1x13</w:t>
            </w:r>
          </w:p>
        </w:tc>
      </w:tr>
      <w:tr w:rsidR="00EA3205" w:rsidRPr="00B05F62" w14:paraId="061E4867"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6253C1AE" w14:textId="77777777" w:rsidR="00EA3205" w:rsidRPr="00B05F62" w:rsidRDefault="00EA3205" w:rsidP="00EA3205">
            <w:pPr>
              <w:rPr>
                <w:rFonts w:ascii="AcadNusx" w:hAnsi="AcadNusx"/>
              </w:rPr>
            </w:pPr>
            <w:r w:rsidRPr="00B05F62">
              <w:rPr>
                <w:rFonts w:ascii="AcadNusx" w:hAnsi="AcadNusx"/>
              </w:rPr>
              <w:lastRenderedPageBreak/>
              <w:t>13</w:t>
            </w:r>
          </w:p>
        </w:tc>
        <w:tc>
          <w:tcPr>
            <w:tcW w:w="1276" w:type="dxa"/>
            <w:tcBorders>
              <w:top w:val="single" w:sz="6" w:space="0" w:color="auto"/>
              <w:left w:val="single" w:sz="6" w:space="0" w:color="auto"/>
              <w:bottom w:val="single" w:sz="6" w:space="0" w:color="auto"/>
              <w:right w:val="single" w:sz="6" w:space="0" w:color="auto"/>
            </w:tcBorders>
            <w:hideMark/>
          </w:tcPr>
          <w:p w14:paraId="423A14D7" w14:textId="77777777" w:rsidR="00EA3205" w:rsidRPr="00B05F62" w:rsidRDefault="00EA3205" w:rsidP="00EA3205">
            <w:pPr>
              <w:rPr>
                <w:rFonts w:ascii="AcadNusx" w:hAnsi="AcadNusx"/>
              </w:rPr>
            </w:pPr>
            <w:r w:rsidRPr="00B05F62">
              <w:rPr>
                <w:rFonts w:ascii="AcadNusx" w:hAnsi="AcadNusx"/>
              </w:rPr>
              <w:t>20+124.326</w:t>
            </w:r>
          </w:p>
        </w:tc>
        <w:tc>
          <w:tcPr>
            <w:tcW w:w="1984" w:type="dxa"/>
            <w:tcBorders>
              <w:top w:val="single" w:sz="6" w:space="0" w:color="auto"/>
              <w:left w:val="single" w:sz="6" w:space="0" w:color="auto"/>
              <w:bottom w:val="single" w:sz="6" w:space="0" w:color="auto"/>
              <w:right w:val="single" w:sz="6" w:space="0" w:color="auto"/>
            </w:tcBorders>
            <w:vAlign w:val="center"/>
            <w:hideMark/>
          </w:tcPr>
          <w:p w14:paraId="493E53C5" w14:textId="77777777" w:rsidR="00EA3205" w:rsidRPr="00B05F62" w:rsidRDefault="00EA3205" w:rsidP="00EA3205">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hideMark/>
          </w:tcPr>
          <w:p w14:paraId="77209A55" w14:textId="77777777" w:rsidR="00EA3205" w:rsidRPr="00B05F62" w:rsidRDefault="00EA3205" w:rsidP="00EA3205">
            <w:pPr>
              <w:rPr>
                <w:rFonts w:ascii="AcadNusx" w:hAnsi="AcadNusx"/>
              </w:rPr>
            </w:pPr>
            <w:r w:rsidRPr="00B05F62">
              <w:rPr>
                <w:rFonts w:ascii="AcadNusx" w:hAnsi="AcadNusx"/>
              </w:rPr>
              <w:t>usaxelo xevi</w:t>
            </w:r>
          </w:p>
        </w:tc>
        <w:tc>
          <w:tcPr>
            <w:tcW w:w="844" w:type="dxa"/>
            <w:tcBorders>
              <w:top w:val="single" w:sz="6" w:space="0" w:color="auto"/>
              <w:left w:val="single" w:sz="6" w:space="0" w:color="auto"/>
              <w:bottom w:val="single" w:sz="6" w:space="0" w:color="auto"/>
              <w:right w:val="single" w:sz="6" w:space="0" w:color="auto"/>
            </w:tcBorders>
            <w:hideMark/>
          </w:tcPr>
          <w:p w14:paraId="38CDB30E" w14:textId="77777777" w:rsidR="00EA3205" w:rsidRPr="00B05F62" w:rsidRDefault="00EA3205" w:rsidP="00EA3205">
            <w:pPr>
              <w:rPr>
                <w:rFonts w:ascii="AcadNusx" w:hAnsi="AcadNusx"/>
              </w:rPr>
            </w:pPr>
            <w:r w:rsidRPr="00B05F62">
              <w:rPr>
                <w:rFonts w:ascii="AcadNusx" w:hAnsi="AcadNusx"/>
              </w:rPr>
              <w:t>30.2</w:t>
            </w:r>
          </w:p>
        </w:tc>
        <w:tc>
          <w:tcPr>
            <w:tcW w:w="992" w:type="dxa"/>
            <w:tcBorders>
              <w:top w:val="single" w:sz="6" w:space="0" w:color="auto"/>
              <w:left w:val="single" w:sz="6" w:space="0" w:color="auto"/>
              <w:bottom w:val="single" w:sz="6" w:space="0" w:color="auto"/>
              <w:right w:val="single" w:sz="6" w:space="0" w:color="auto"/>
            </w:tcBorders>
            <w:hideMark/>
          </w:tcPr>
          <w:p w14:paraId="465AE372" w14:textId="77777777" w:rsidR="00EA3205" w:rsidRPr="00B05F62" w:rsidRDefault="00EA3205" w:rsidP="00EA3205">
            <w:pPr>
              <w:rPr>
                <w:rFonts w:ascii="AcadNusx" w:hAnsi="AcadNusx"/>
              </w:rPr>
            </w:pPr>
            <w:r w:rsidRPr="00B05F62">
              <w:rPr>
                <w:rFonts w:ascii="AcadNusx" w:hAnsi="AcadNusx"/>
              </w:rPr>
              <w:t>16.55</w:t>
            </w:r>
          </w:p>
        </w:tc>
        <w:tc>
          <w:tcPr>
            <w:tcW w:w="715" w:type="dxa"/>
            <w:tcBorders>
              <w:top w:val="single" w:sz="6" w:space="0" w:color="auto"/>
              <w:left w:val="single" w:sz="6" w:space="0" w:color="auto"/>
              <w:bottom w:val="single" w:sz="6" w:space="0" w:color="auto"/>
              <w:right w:val="single" w:sz="6" w:space="0" w:color="auto"/>
            </w:tcBorders>
          </w:tcPr>
          <w:p w14:paraId="27D47192"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1C15A9C2" w14:textId="77777777" w:rsidR="00EA3205" w:rsidRPr="00B05F62" w:rsidRDefault="00EA3205" w:rsidP="00EA3205">
            <w:pPr>
              <w:rPr>
                <w:rFonts w:ascii="AcadNusx" w:hAnsi="AcadNusx"/>
              </w:rPr>
            </w:pPr>
            <w:r w:rsidRPr="00B05F62">
              <w:rPr>
                <w:rFonts w:ascii="AcadNusx" w:hAnsi="AcadNusx"/>
              </w:rPr>
              <w:t>1X29.4</w:t>
            </w:r>
          </w:p>
        </w:tc>
      </w:tr>
      <w:tr w:rsidR="00EA3205" w:rsidRPr="00B05F62" w14:paraId="60D2C861"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52CC517D" w14:textId="77777777" w:rsidR="00EA3205" w:rsidRPr="00B05F62" w:rsidRDefault="00EA3205" w:rsidP="00EA3205">
            <w:pPr>
              <w:rPr>
                <w:rFonts w:ascii="AcadNusx" w:hAnsi="AcadNusx"/>
              </w:rPr>
            </w:pPr>
            <w:r w:rsidRPr="00B05F62">
              <w:rPr>
                <w:rFonts w:ascii="AcadNusx" w:hAnsi="AcadNusx"/>
              </w:rPr>
              <w:t>14</w:t>
            </w:r>
          </w:p>
        </w:tc>
        <w:tc>
          <w:tcPr>
            <w:tcW w:w="1276" w:type="dxa"/>
            <w:tcBorders>
              <w:top w:val="single" w:sz="6" w:space="0" w:color="auto"/>
              <w:left w:val="single" w:sz="6" w:space="0" w:color="auto"/>
              <w:bottom w:val="single" w:sz="6" w:space="0" w:color="auto"/>
              <w:right w:val="single" w:sz="6" w:space="0" w:color="auto"/>
            </w:tcBorders>
            <w:hideMark/>
          </w:tcPr>
          <w:p w14:paraId="035EF97D" w14:textId="77777777" w:rsidR="00EA3205" w:rsidRPr="00B05F62" w:rsidRDefault="00EA3205" w:rsidP="00EA3205">
            <w:pPr>
              <w:rPr>
                <w:rFonts w:ascii="AcadNusx" w:hAnsi="AcadNusx"/>
              </w:rPr>
            </w:pPr>
            <w:r w:rsidRPr="00B05F62">
              <w:rPr>
                <w:rFonts w:ascii="AcadNusx" w:hAnsi="AcadNusx"/>
              </w:rPr>
              <w:t>20+250.800</w:t>
            </w:r>
          </w:p>
        </w:tc>
        <w:tc>
          <w:tcPr>
            <w:tcW w:w="1984" w:type="dxa"/>
            <w:tcBorders>
              <w:top w:val="single" w:sz="6" w:space="0" w:color="auto"/>
              <w:left w:val="single" w:sz="6" w:space="0" w:color="auto"/>
              <w:bottom w:val="single" w:sz="6" w:space="0" w:color="auto"/>
              <w:right w:val="single" w:sz="6" w:space="0" w:color="auto"/>
            </w:tcBorders>
            <w:vAlign w:val="center"/>
            <w:hideMark/>
          </w:tcPr>
          <w:p w14:paraId="6D95D20D" w14:textId="77777777" w:rsidR="00EA3205" w:rsidRPr="00B05F62" w:rsidRDefault="00EA3205" w:rsidP="00EA3205">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14:paraId="27A82BEB" w14:textId="77777777" w:rsidR="00EA3205" w:rsidRPr="00B05F62" w:rsidRDefault="00EA3205" w:rsidP="00EA3205">
            <w:pPr>
              <w:rPr>
                <w:rFonts w:ascii="AcadNusx" w:hAnsi="AcadNusx"/>
              </w:rPr>
            </w:pPr>
            <w:r w:rsidRPr="00B05F62">
              <w:rPr>
                <w:rFonts w:ascii="AcadNusx" w:hAnsi="AcadNusx"/>
              </w:rPr>
              <w:t>gzagamtari</w:t>
            </w:r>
          </w:p>
        </w:tc>
        <w:tc>
          <w:tcPr>
            <w:tcW w:w="844" w:type="dxa"/>
            <w:tcBorders>
              <w:top w:val="single" w:sz="6" w:space="0" w:color="auto"/>
              <w:left w:val="single" w:sz="6" w:space="0" w:color="auto"/>
              <w:bottom w:val="single" w:sz="6" w:space="0" w:color="auto"/>
              <w:right w:val="single" w:sz="6" w:space="0" w:color="auto"/>
            </w:tcBorders>
            <w:hideMark/>
          </w:tcPr>
          <w:p w14:paraId="79A99F20" w14:textId="77777777" w:rsidR="00EA3205" w:rsidRPr="00B05F62" w:rsidRDefault="00EA3205" w:rsidP="00EA3205">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14:paraId="7B4A76C6" w14:textId="77777777" w:rsidR="00EA3205" w:rsidRPr="00B05F62" w:rsidRDefault="00EA3205" w:rsidP="00EA3205">
            <w:pPr>
              <w:rPr>
                <w:rFonts w:ascii="AcadNusx" w:hAnsi="AcadNusx"/>
              </w:rPr>
            </w:pPr>
            <w:r w:rsidRPr="00B05F62">
              <w:rPr>
                <w:rFonts w:ascii="AcadNusx" w:hAnsi="AcadNusx"/>
              </w:rPr>
              <w:t>24</w:t>
            </w:r>
          </w:p>
        </w:tc>
        <w:tc>
          <w:tcPr>
            <w:tcW w:w="715" w:type="dxa"/>
            <w:tcBorders>
              <w:top w:val="single" w:sz="6" w:space="0" w:color="auto"/>
              <w:left w:val="single" w:sz="6" w:space="0" w:color="auto"/>
              <w:bottom w:val="single" w:sz="6" w:space="0" w:color="auto"/>
              <w:right w:val="single" w:sz="6" w:space="0" w:color="auto"/>
            </w:tcBorders>
          </w:tcPr>
          <w:p w14:paraId="72BB7659"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1CB82E3E" w14:textId="77777777" w:rsidR="00EA3205" w:rsidRPr="00B05F62" w:rsidRDefault="00EA3205" w:rsidP="00EA3205">
            <w:pPr>
              <w:rPr>
                <w:rFonts w:ascii="AcadNusx" w:hAnsi="AcadNusx"/>
              </w:rPr>
            </w:pPr>
            <w:r w:rsidRPr="00B05F62">
              <w:rPr>
                <w:rFonts w:ascii="AcadNusx" w:hAnsi="AcadNusx"/>
              </w:rPr>
              <w:t>1x13</w:t>
            </w:r>
          </w:p>
        </w:tc>
      </w:tr>
      <w:tr w:rsidR="00EA3205" w:rsidRPr="00B05F62" w14:paraId="6DBB568A"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115E1280" w14:textId="77777777" w:rsidR="00EA3205" w:rsidRPr="00B05F62" w:rsidRDefault="00EA3205" w:rsidP="00EA3205">
            <w:pPr>
              <w:rPr>
                <w:rFonts w:ascii="AcadNusx" w:hAnsi="AcadNusx"/>
              </w:rPr>
            </w:pPr>
            <w:r w:rsidRPr="00B05F62">
              <w:rPr>
                <w:rFonts w:ascii="AcadNusx" w:hAnsi="AcadNusx"/>
              </w:rPr>
              <w:t>15</w:t>
            </w:r>
          </w:p>
        </w:tc>
        <w:tc>
          <w:tcPr>
            <w:tcW w:w="1276" w:type="dxa"/>
            <w:tcBorders>
              <w:top w:val="single" w:sz="6" w:space="0" w:color="auto"/>
              <w:left w:val="single" w:sz="6" w:space="0" w:color="auto"/>
              <w:bottom w:val="single" w:sz="6" w:space="0" w:color="auto"/>
              <w:right w:val="single" w:sz="6" w:space="0" w:color="auto"/>
            </w:tcBorders>
            <w:hideMark/>
          </w:tcPr>
          <w:p w14:paraId="60F86322" w14:textId="77777777" w:rsidR="00EA3205" w:rsidRPr="00B05F62" w:rsidRDefault="00EA3205" w:rsidP="00EA3205">
            <w:pPr>
              <w:rPr>
                <w:rFonts w:ascii="AcadNusx" w:hAnsi="AcadNusx"/>
              </w:rPr>
            </w:pPr>
            <w:r w:rsidRPr="00B05F62">
              <w:rPr>
                <w:rFonts w:ascii="AcadNusx" w:hAnsi="AcadNusx"/>
              </w:rPr>
              <w:t>21+592.853</w:t>
            </w:r>
          </w:p>
        </w:tc>
        <w:tc>
          <w:tcPr>
            <w:tcW w:w="1984" w:type="dxa"/>
            <w:tcBorders>
              <w:top w:val="single" w:sz="6" w:space="0" w:color="auto"/>
              <w:left w:val="single" w:sz="6" w:space="0" w:color="auto"/>
              <w:bottom w:val="single" w:sz="6" w:space="0" w:color="auto"/>
              <w:right w:val="single" w:sz="6" w:space="0" w:color="auto"/>
            </w:tcBorders>
            <w:vAlign w:val="center"/>
            <w:hideMark/>
          </w:tcPr>
          <w:p w14:paraId="33FFF6C1" w14:textId="77777777" w:rsidR="00EA3205" w:rsidRPr="00B05F62" w:rsidRDefault="00EA3205" w:rsidP="00EA3205">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hideMark/>
          </w:tcPr>
          <w:p w14:paraId="7DAA1710" w14:textId="77777777" w:rsidR="00EA3205" w:rsidRPr="00B05F62" w:rsidRDefault="00EA3205" w:rsidP="00EA3205">
            <w:pPr>
              <w:rPr>
                <w:rFonts w:ascii="AcadNusx" w:hAnsi="AcadNusx"/>
              </w:rPr>
            </w:pPr>
            <w:r w:rsidRPr="00B05F62">
              <w:rPr>
                <w:rFonts w:ascii="AcadNusx" w:hAnsi="AcadNusx"/>
              </w:rPr>
              <w:t>usaxelo xevi</w:t>
            </w:r>
          </w:p>
        </w:tc>
        <w:tc>
          <w:tcPr>
            <w:tcW w:w="844" w:type="dxa"/>
            <w:tcBorders>
              <w:top w:val="single" w:sz="6" w:space="0" w:color="auto"/>
              <w:left w:val="single" w:sz="6" w:space="0" w:color="auto"/>
              <w:bottom w:val="single" w:sz="6" w:space="0" w:color="auto"/>
              <w:right w:val="single" w:sz="6" w:space="0" w:color="auto"/>
            </w:tcBorders>
            <w:hideMark/>
          </w:tcPr>
          <w:p w14:paraId="0143AF90" w14:textId="77777777" w:rsidR="00EA3205" w:rsidRPr="00B05F62" w:rsidRDefault="00EA3205" w:rsidP="00EA3205">
            <w:pPr>
              <w:rPr>
                <w:rFonts w:ascii="AcadNusx" w:hAnsi="AcadNusx"/>
              </w:rPr>
            </w:pPr>
            <w:r w:rsidRPr="00B05F62">
              <w:rPr>
                <w:rFonts w:ascii="AcadNusx" w:hAnsi="AcadNusx"/>
              </w:rPr>
              <w:t>93.0</w:t>
            </w:r>
          </w:p>
        </w:tc>
        <w:tc>
          <w:tcPr>
            <w:tcW w:w="992" w:type="dxa"/>
            <w:tcBorders>
              <w:top w:val="single" w:sz="6" w:space="0" w:color="auto"/>
              <w:left w:val="single" w:sz="6" w:space="0" w:color="auto"/>
              <w:bottom w:val="single" w:sz="6" w:space="0" w:color="auto"/>
              <w:right w:val="single" w:sz="6" w:space="0" w:color="auto"/>
            </w:tcBorders>
            <w:hideMark/>
          </w:tcPr>
          <w:p w14:paraId="1CB2C669" w14:textId="77777777" w:rsidR="00EA3205" w:rsidRPr="00B05F62" w:rsidRDefault="00EA3205" w:rsidP="00EA3205">
            <w:pPr>
              <w:rPr>
                <w:rFonts w:ascii="AcadNusx" w:hAnsi="AcadNusx"/>
              </w:rPr>
            </w:pPr>
            <w:r w:rsidRPr="00B05F62">
              <w:rPr>
                <w:rFonts w:ascii="AcadNusx" w:hAnsi="AcadNusx"/>
              </w:rPr>
              <w:t>16.55</w:t>
            </w:r>
          </w:p>
        </w:tc>
        <w:tc>
          <w:tcPr>
            <w:tcW w:w="715" w:type="dxa"/>
            <w:tcBorders>
              <w:top w:val="single" w:sz="6" w:space="0" w:color="auto"/>
              <w:left w:val="single" w:sz="6" w:space="0" w:color="auto"/>
              <w:bottom w:val="single" w:sz="6" w:space="0" w:color="auto"/>
              <w:right w:val="single" w:sz="6" w:space="0" w:color="auto"/>
            </w:tcBorders>
            <w:hideMark/>
          </w:tcPr>
          <w:p w14:paraId="11726C3C" w14:textId="77777777" w:rsidR="00EA3205" w:rsidRPr="00B05F62" w:rsidRDefault="00EA3205" w:rsidP="00EA3205">
            <w:pPr>
              <w:rPr>
                <w:rFonts w:ascii="AcadNusx" w:hAnsi="AcadNusx"/>
              </w:rPr>
            </w:pPr>
            <w:r w:rsidRPr="00B05F62">
              <w:rPr>
                <w:rFonts w:ascii="AcadNusx" w:hAnsi="AcadNusx"/>
              </w:rPr>
              <w:t>25</w:t>
            </w:r>
          </w:p>
        </w:tc>
        <w:tc>
          <w:tcPr>
            <w:tcW w:w="1135" w:type="dxa"/>
            <w:tcBorders>
              <w:top w:val="single" w:sz="6" w:space="0" w:color="auto"/>
              <w:left w:val="single" w:sz="6" w:space="0" w:color="auto"/>
              <w:bottom w:val="single" w:sz="6" w:space="0" w:color="auto"/>
              <w:right w:val="single" w:sz="6" w:space="0" w:color="auto"/>
            </w:tcBorders>
            <w:hideMark/>
          </w:tcPr>
          <w:p w14:paraId="6DAF00B7" w14:textId="77777777" w:rsidR="00EA3205" w:rsidRPr="00B05F62" w:rsidRDefault="00EA3205" w:rsidP="00EA3205">
            <w:pPr>
              <w:rPr>
                <w:rFonts w:ascii="AcadNusx" w:hAnsi="AcadNusx"/>
              </w:rPr>
            </w:pPr>
            <w:r w:rsidRPr="00B05F62">
              <w:rPr>
                <w:rFonts w:ascii="AcadNusx" w:hAnsi="AcadNusx"/>
              </w:rPr>
              <w:t>3X29.4</w:t>
            </w:r>
          </w:p>
        </w:tc>
      </w:tr>
      <w:tr w:rsidR="00EA3205" w:rsidRPr="00B05F62" w14:paraId="6A8F87DE"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46F3DD80" w14:textId="77777777" w:rsidR="00EA3205" w:rsidRPr="00B05F62" w:rsidRDefault="00EA3205" w:rsidP="00EA3205">
            <w:pPr>
              <w:rPr>
                <w:rFonts w:ascii="AcadNusx" w:hAnsi="AcadNusx"/>
              </w:rPr>
            </w:pPr>
            <w:r w:rsidRPr="00B05F62">
              <w:rPr>
                <w:rFonts w:ascii="AcadNusx" w:hAnsi="AcadNusx"/>
              </w:rPr>
              <w:t>16</w:t>
            </w:r>
          </w:p>
        </w:tc>
        <w:tc>
          <w:tcPr>
            <w:tcW w:w="1276" w:type="dxa"/>
            <w:tcBorders>
              <w:top w:val="single" w:sz="6" w:space="0" w:color="auto"/>
              <w:left w:val="single" w:sz="6" w:space="0" w:color="auto"/>
              <w:bottom w:val="single" w:sz="6" w:space="0" w:color="auto"/>
              <w:right w:val="single" w:sz="6" w:space="0" w:color="auto"/>
            </w:tcBorders>
            <w:hideMark/>
          </w:tcPr>
          <w:p w14:paraId="14854A99" w14:textId="77777777" w:rsidR="00EA3205" w:rsidRPr="00B05F62" w:rsidRDefault="00EA3205" w:rsidP="00EA3205">
            <w:pPr>
              <w:rPr>
                <w:rFonts w:ascii="AcadNusx" w:hAnsi="AcadNusx"/>
              </w:rPr>
            </w:pPr>
            <w:r w:rsidRPr="00B05F62">
              <w:rPr>
                <w:rFonts w:ascii="AcadNusx" w:hAnsi="AcadNusx"/>
              </w:rPr>
              <w:t>22+578.863</w:t>
            </w:r>
          </w:p>
        </w:tc>
        <w:tc>
          <w:tcPr>
            <w:tcW w:w="1984" w:type="dxa"/>
            <w:tcBorders>
              <w:top w:val="single" w:sz="6" w:space="0" w:color="auto"/>
              <w:left w:val="single" w:sz="6" w:space="0" w:color="auto"/>
              <w:bottom w:val="single" w:sz="6" w:space="0" w:color="auto"/>
              <w:right w:val="single" w:sz="6" w:space="0" w:color="auto"/>
            </w:tcBorders>
            <w:vAlign w:val="center"/>
            <w:hideMark/>
          </w:tcPr>
          <w:p w14:paraId="588B93EA" w14:textId="77777777" w:rsidR="00EA3205" w:rsidRPr="00B05F62" w:rsidRDefault="00EA3205" w:rsidP="00EA3205">
            <w:pPr>
              <w:rPr>
                <w:rFonts w:ascii="AcadNusx" w:hAnsi="AcadNusx"/>
              </w:rPr>
            </w:pPr>
            <w:r w:rsidRPr="00B05F62">
              <w:rPr>
                <w:rFonts w:ascii="AcadNusx" w:hAnsi="AcadNusx"/>
              </w:rPr>
              <w:t>kompozitur-koWovani</w:t>
            </w:r>
          </w:p>
        </w:tc>
        <w:tc>
          <w:tcPr>
            <w:tcW w:w="2203" w:type="dxa"/>
            <w:tcBorders>
              <w:top w:val="single" w:sz="6" w:space="0" w:color="auto"/>
              <w:left w:val="single" w:sz="6" w:space="0" w:color="auto"/>
              <w:bottom w:val="single" w:sz="6" w:space="0" w:color="auto"/>
              <w:right w:val="single" w:sz="6" w:space="0" w:color="auto"/>
            </w:tcBorders>
            <w:hideMark/>
          </w:tcPr>
          <w:p w14:paraId="7DB66B05" w14:textId="77777777" w:rsidR="00EA3205" w:rsidRPr="00B05F62" w:rsidRDefault="00EA3205" w:rsidP="00EA3205">
            <w:pPr>
              <w:rPr>
                <w:rFonts w:ascii="AcadNusx" w:hAnsi="AcadNusx"/>
              </w:rPr>
            </w:pPr>
            <w:r w:rsidRPr="00B05F62">
              <w:rPr>
                <w:rFonts w:ascii="AcadNusx" w:hAnsi="AcadNusx"/>
              </w:rPr>
              <w:t>usaxelo xevi</w:t>
            </w:r>
          </w:p>
        </w:tc>
        <w:tc>
          <w:tcPr>
            <w:tcW w:w="844" w:type="dxa"/>
            <w:tcBorders>
              <w:top w:val="single" w:sz="6" w:space="0" w:color="auto"/>
              <w:left w:val="single" w:sz="6" w:space="0" w:color="auto"/>
              <w:bottom w:val="single" w:sz="6" w:space="0" w:color="auto"/>
              <w:right w:val="single" w:sz="6" w:space="0" w:color="auto"/>
            </w:tcBorders>
            <w:hideMark/>
          </w:tcPr>
          <w:p w14:paraId="5A34980D" w14:textId="77777777" w:rsidR="00EA3205" w:rsidRPr="00B05F62" w:rsidRDefault="00EA3205" w:rsidP="00EA3205">
            <w:pPr>
              <w:rPr>
                <w:rFonts w:ascii="AcadNusx" w:hAnsi="AcadNusx"/>
              </w:rPr>
            </w:pPr>
            <w:r w:rsidRPr="00B05F62">
              <w:rPr>
                <w:rFonts w:ascii="AcadNusx" w:hAnsi="AcadNusx"/>
              </w:rPr>
              <w:t>115.4</w:t>
            </w:r>
          </w:p>
        </w:tc>
        <w:tc>
          <w:tcPr>
            <w:tcW w:w="992" w:type="dxa"/>
            <w:tcBorders>
              <w:top w:val="single" w:sz="6" w:space="0" w:color="auto"/>
              <w:left w:val="single" w:sz="6" w:space="0" w:color="auto"/>
              <w:bottom w:val="single" w:sz="6" w:space="0" w:color="auto"/>
              <w:right w:val="single" w:sz="6" w:space="0" w:color="auto"/>
            </w:tcBorders>
            <w:hideMark/>
          </w:tcPr>
          <w:p w14:paraId="2EBA00AB" w14:textId="77777777" w:rsidR="00EA3205" w:rsidRPr="00B05F62" w:rsidRDefault="00EA3205" w:rsidP="00EA3205">
            <w:pPr>
              <w:rPr>
                <w:rFonts w:ascii="AcadNusx" w:hAnsi="AcadNusx"/>
              </w:rPr>
            </w:pPr>
            <w:r w:rsidRPr="00B05F62">
              <w:rPr>
                <w:rFonts w:ascii="AcadNusx" w:hAnsi="AcadNusx"/>
              </w:rPr>
              <w:t>16</w:t>
            </w:r>
          </w:p>
        </w:tc>
        <w:tc>
          <w:tcPr>
            <w:tcW w:w="715" w:type="dxa"/>
            <w:tcBorders>
              <w:top w:val="single" w:sz="6" w:space="0" w:color="auto"/>
              <w:left w:val="single" w:sz="6" w:space="0" w:color="auto"/>
              <w:bottom w:val="single" w:sz="6" w:space="0" w:color="auto"/>
              <w:right w:val="single" w:sz="6" w:space="0" w:color="auto"/>
            </w:tcBorders>
          </w:tcPr>
          <w:p w14:paraId="30B860B6"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2C62EFA0" w14:textId="77777777" w:rsidR="00EA3205" w:rsidRPr="00B05F62" w:rsidRDefault="00EA3205" w:rsidP="00EA3205">
            <w:pPr>
              <w:rPr>
                <w:rFonts w:ascii="AcadNusx" w:hAnsi="AcadNusx"/>
              </w:rPr>
            </w:pPr>
            <w:r w:rsidRPr="00B05F62">
              <w:rPr>
                <w:rFonts w:ascii="AcadNusx" w:hAnsi="AcadNusx"/>
              </w:rPr>
              <w:t>36+42+36</w:t>
            </w:r>
          </w:p>
        </w:tc>
      </w:tr>
      <w:tr w:rsidR="00EA3205" w:rsidRPr="00B05F62" w14:paraId="44F209FC"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1F5C3913" w14:textId="77777777" w:rsidR="00EA3205" w:rsidRPr="00B05F62" w:rsidRDefault="00EA3205" w:rsidP="00EA3205">
            <w:pPr>
              <w:rPr>
                <w:rFonts w:ascii="AcadNusx" w:hAnsi="AcadNusx"/>
              </w:rPr>
            </w:pPr>
            <w:r w:rsidRPr="00B05F62">
              <w:rPr>
                <w:rFonts w:ascii="AcadNusx" w:hAnsi="AcadNusx"/>
              </w:rPr>
              <w:t>17</w:t>
            </w:r>
          </w:p>
        </w:tc>
        <w:tc>
          <w:tcPr>
            <w:tcW w:w="1276" w:type="dxa"/>
            <w:tcBorders>
              <w:top w:val="single" w:sz="6" w:space="0" w:color="auto"/>
              <w:left w:val="single" w:sz="6" w:space="0" w:color="auto"/>
              <w:bottom w:val="single" w:sz="6" w:space="0" w:color="auto"/>
              <w:right w:val="single" w:sz="6" w:space="0" w:color="auto"/>
            </w:tcBorders>
            <w:hideMark/>
          </w:tcPr>
          <w:p w14:paraId="3006572F" w14:textId="77777777" w:rsidR="00EA3205" w:rsidRPr="00B05F62" w:rsidRDefault="00EA3205" w:rsidP="00EA3205">
            <w:pPr>
              <w:rPr>
                <w:rFonts w:ascii="AcadNusx" w:hAnsi="AcadNusx"/>
              </w:rPr>
            </w:pPr>
            <w:r w:rsidRPr="00B05F62">
              <w:rPr>
                <w:rFonts w:ascii="AcadNusx" w:hAnsi="AcadNusx"/>
              </w:rPr>
              <w:t>23+893.470</w:t>
            </w:r>
          </w:p>
        </w:tc>
        <w:tc>
          <w:tcPr>
            <w:tcW w:w="1984" w:type="dxa"/>
            <w:tcBorders>
              <w:top w:val="single" w:sz="6" w:space="0" w:color="auto"/>
              <w:left w:val="single" w:sz="6" w:space="0" w:color="auto"/>
              <w:bottom w:val="single" w:sz="6" w:space="0" w:color="auto"/>
              <w:right w:val="single" w:sz="6" w:space="0" w:color="auto"/>
            </w:tcBorders>
            <w:vAlign w:val="center"/>
            <w:hideMark/>
          </w:tcPr>
          <w:p w14:paraId="7E4B7246" w14:textId="77777777" w:rsidR="00EA3205" w:rsidRPr="00B05F62" w:rsidRDefault="00EA3205" w:rsidP="00EA3205">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14:paraId="2F6BDD38" w14:textId="77777777" w:rsidR="00EA3205" w:rsidRPr="00B05F62" w:rsidRDefault="00EA3205" w:rsidP="00EA3205">
            <w:pPr>
              <w:rPr>
                <w:rFonts w:ascii="AcadNusx" w:hAnsi="AcadNusx"/>
              </w:rPr>
            </w:pPr>
            <w:r w:rsidRPr="00B05F62">
              <w:rPr>
                <w:rFonts w:ascii="AcadNusx" w:hAnsi="AcadNusx"/>
              </w:rPr>
              <w:t>gzagamtari</w:t>
            </w:r>
          </w:p>
        </w:tc>
        <w:tc>
          <w:tcPr>
            <w:tcW w:w="844" w:type="dxa"/>
            <w:tcBorders>
              <w:top w:val="single" w:sz="6" w:space="0" w:color="auto"/>
              <w:left w:val="single" w:sz="6" w:space="0" w:color="auto"/>
              <w:bottom w:val="single" w:sz="6" w:space="0" w:color="auto"/>
              <w:right w:val="single" w:sz="6" w:space="0" w:color="auto"/>
            </w:tcBorders>
            <w:hideMark/>
          </w:tcPr>
          <w:p w14:paraId="58127580" w14:textId="77777777" w:rsidR="00EA3205" w:rsidRPr="00B05F62" w:rsidRDefault="00EA3205" w:rsidP="00EA3205">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14:paraId="57328644" w14:textId="77777777" w:rsidR="00EA3205" w:rsidRPr="00B05F62" w:rsidRDefault="00EA3205" w:rsidP="00EA3205">
            <w:pPr>
              <w:rPr>
                <w:rFonts w:ascii="AcadNusx" w:hAnsi="AcadNusx"/>
              </w:rPr>
            </w:pPr>
            <w:r w:rsidRPr="00B05F62">
              <w:rPr>
                <w:rFonts w:ascii="AcadNusx" w:hAnsi="AcadNusx"/>
              </w:rPr>
              <w:t>24</w:t>
            </w:r>
          </w:p>
        </w:tc>
        <w:tc>
          <w:tcPr>
            <w:tcW w:w="715" w:type="dxa"/>
            <w:tcBorders>
              <w:top w:val="single" w:sz="6" w:space="0" w:color="auto"/>
              <w:left w:val="single" w:sz="6" w:space="0" w:color="auto"/>
              <w:bottom w:val="single" w:sz="6" w:space="0" w:color="auto"/>
              <w:right w:val="single" w:sz="6" w:space="0" w:color="auto"/>
            </w:tcBorders>
          </w:tcPr>
          <w:p w14:paraId="4855C594"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1D89A7AB" w14:textId="77777777" w:rsidR="00EA3205" w:rsidRPr="00B05F62" w:rsidRDefault="00EA3205" w:rsidP="00EA3205">
            <w:pPr>
              <w:rPr>
                <w:rFonts w:ascii="AcadNusx" w:hAnsi="AcadNusx"/>
              </w:rPr>
            </w:pPr>
            <w:r w:rsidRPr="00B05F62">
              <w:rPr>
                <w:rFonts w:ascii="AcadNusx" w:hAnsi="AcadNusx"/>
              </w:rPr>
              <w:t>1x13</w:t>
            </w:r>
          </w:p>
        </w:tc>
      </w:tr>
      <w:tr w:rsidR="00EA3205" w:rsidRPr="00B05F62" w14:paraId="4646E5A5"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1475F199" w14:textId="77777777" w:rsidR="00EA3205" w:rsidRPr="00B05F62" w:rsidRDefault="00EA3205" w:rsidP="00EA3205">
            <w:pPr>
              <w:rPr>
                <w:rFonts w:ascii="AcadNusx" w:hAnsi="AcadNusx"/>
              </w:rPr>
            </w:pPr>
            <w:r w:rsidRPr="00B05F62">
              <w:rPr>
                <w:rFonts w:ascii="AcadNusx" w:hAnsi="AcadNusx"/>
              </w:rPr>
              <w:t>18</w:t>
            </w:r>
          </w:p>
        </w:tc>
        <w:tc>
          <w:tcPr>
            <w:tcW w:w="1276" w:type="dxa"/>
            <w:tcBorders>
              <w:top w:val="single" w:sz="6" w:space="0" w:color="auto"/>
              <w:left w:val="single" w:sz="6" w:space="0" w:color="auto"/>
              <w:bottom w:val="single" w:sz="6" w:space="0" w:color="auto"/>
              <w:right w:val="single" w:sz="6" w:space="0" w:color="auto"/>
            </w:tcBorders>
            <w:hideMark/>
          </w:tcPr>
          <w:p w14:paraId="0BC24763" w14:textId="77777777" w:rsidR="00EA3205" w:rsidRPr="00B05F62" w:rsidRDefault="00EA3205" w:rsidP="00EA3205">
            <w:pPr>
              <w:rPr>
                <w:rFonts w:ascii="AcadNusx" w:hAnsi="AcadNusx"/>
              </w:rPr>
            </w:pPr>
            <w:r w:rsidRPr="00B05F62">
              <w:rPr>
                <w:rFonts w:ascii="AcadNusx" w:hAnsi="AcadNusx"/>
              </w:rPr>
              <w:t>24+421.793</w:t>
            </w:r>
          </w:p>
        </w:tc>
        <w:tc>
          <w:tcPr>
            <w:tcW w:w="1984" w:type="dxa"/>
            <w:tcBorders>
              <w:top w:val="single" w:sz="6" w:space="0" w:color="auto"/>
              <w:left w:val="single" w:sz="6" w:space="0" w:color="auto"/>
              <w:bottom w:val="single" w:sz="6" w:space="0" w:color="auto"/>
              <w:right w:val="single" w:sz="6" w:space="0" w:color="auto"/>
            </w:tcBorders>
            <w:vAlign w:val="center"/>
            <w:hideMark/>
          </w:tcPr>
          <w:p w14:paraId="37395B69" w14:textId="77777777" w:rsidR="00EA3205" w:rsidRPr="00B05F62" w:rsidRDefault="00EA3205" w:rsidP="00EA3205">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14:paraId="2E7498B2" w14:textId="77777777" w:rsidR="00EA3205" w:rsidRPr="00B05F62" w:rsidRDefault="00EA3205" w:rsidP="00EA3205">
            <w:pPr>
              <w:rPr>
                <w:rFonts w:ascii="AcadNusx" w:hAnsi="AcadNusx"/>
              </w:rPr>
            </w:pPr>
            <w:r w:rsidRPr="00B05F62">
              <w:rPr>
                <w:rFonts w:ascii="AcadNusx" w:hAnsi="AcadNusx"/>
              </w:rPr>
              <w:t>ordoniani gadakveTa, kondoris daerTeba</w:t>
            </w:r>
          </w:p>
        </w:tc>
        <w:tc>
          <w:tcPr>
            <w:tcW w:w="844" w:type="dxa"/>
            <w:tcBorders>
              <w:top w:val="single" w:sz="6" w:space="0" w:color="auto"/>
              <w:left w:val="single" w:sz="6" w:space="0" w:color="auto"/>
              <w:bottom w:val="single" w:sz="6" w:space="0" w:color="auto"/>
              <w:right w:val="single" w:sz="6" w:space="0" w:color="auto"/>
            </w:tcBorders>
            <w:hideMark/>
          </w:tcPr>
          <w:p w14:paraId="4A12BE6E" w14:textId="77777777" w:rsidR="00EA3205" w:rsidRPr="00B05F62" w:rsidRDefault="00EA3205" w:rsidP="00EA3205">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14:paraId="4C204CAA" w14:textId="77777777" w:rsidR="00EA3205" w:rsidRPr="00B05F62" w:rsidRDefault="00EA3205" w:rsidP="00EA3205">
            <w:pPr>
              <w:rPr>
                <w:rFonts w:ascii="AcadNusx" w:hAnsi="AcadNusx"/>
              </w:rPr>
            </w:pPr>
            <w:r w:rsidRPr="00B05F62">
              <w:rPr>
                <w:rFonts w:ascii="AcadNusx" w:hAnsi="AcadNusx"/>
              </w:rPr>
              <w:t>54</w:t>
            </w:r>
          </w:p>
        </w:tc>
        <w:tc>
          <w:tcPr>
            <w:tcW w:w="715" w:type="dxa"/>
            <w:tcBorders>
              <w:top w:val="single" w:sz="6" w:space="0" w:color="auto"/>
              <w:left w:val="single" w:sz="6" w:space="0" w:color="auto"/>
              <w:bottom w:val="single" w:sz="6" w:space="0" w:color="auto"/>
              <w:right w:val="single" w:sz="6" w:space="0" w:color="auto"/>
            </w:tcBorders>
          </w:tcPr>
          <w:p w14:paraId="0E29F346"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7A666BEA" w14:textId="77777777" w:rsidR="00EA3205" w:rsidRPr="00B05F62" w:rsidRDefault="00EA3205" w:rsidP="00EA3205">
            <w:pPr>
              <w:rPr>
                <w:rFonts w:ascii="AcadNusx" w:hAnsi="AcadNusx"/>
              </w:rPr>
            </w:pPr>
            <w:r w:rsidRPr="00B05F62">
              <w:rPr>
                <w:rFonts w:ascii="AcadNusx" w:hAnsi="AcadNusx"/>
              </w:rPr>
              <w:t>1x13</w:t>
            </w:r>
          </w:p>
        </w:tc>
      </w:tr>
      <w:tr w:rsidR="00EA3205" w:rsidRPr="00B05F62" w14:paraId="57441E83"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28E4CBAD" w14:textId="77777777" w:rsidR="00EA3205" w:rsidRPr="00B05F62" w:rsidRDefault="00EA3205" w:rsidP="00EA3205">
            <w:pPr>
              <w:rPr>
                <w:rFonts w:ascii="AcadNusx" w:hAnsi="AcadNusx"/>
              </w:rPr>
            </w:pPr>
            <w:r w:rsidRPr="00B05F62">
              <w:rPr>
                <w:rFonts w:ascii="AcadNusx" w:hAnsi="AcadNusx"/>
              </w:rPr>
              <w:t>19</w:t>
            </w:r>
          </w:p>
        </w:tc>
        <w:tc>
          <w:tcPr>
            <w:tcW w:w="1276" w:type="dxa"/>
            <w:tcBorders>
              <w:top w:val="single" w:sz="6" w:space="0" w:color="auto"/>
              <w:left w:val="single" w:sz="6" w:space="0" w:color="auto"/>
              <w:bottom w:val="single" w:sz="6" w:space="0" w:color="auto"/>
              <w:right w:val="single" w:sz="6" w:space="0" w:color="auto"/>
            </w:tcBorders>
            <w:hideMark/>
          </w:tcPr>
          <w:p w14:paraId="6C66726D" w14:textId="77777777" w:rsidR="00EA3205" w:rsidRPr="00B05F62" w:rsidRDefault="00EA3205" w:rsidP="00EA3205">
            <w:pPr>
              <w:rPr>
                <w:rFonts w:ascii="AcadNusx" w:hAnsi="AcadNusx"/>
              </w:rPr>
            </w:pPr>
            <w:r w:rsidRPr="00B05F62">
              <w:rPr>
                <w:rFonts w:ascii="AcadNusx" w:hAnsi="AcadNusx"/>
              </w:rPr>
              <w:t>27+435.253</w:t>
            </w:r>
          </w:p>
        </w:tc>
        <w:tc>
          <w:tcPr>
            <w:tcW w:w="1984" w:type="dxa"/>
            <w:tcBorders>
              <w:top w:val="single" w:sz="6" w:space="0" w:color="auto"/>
              <w:left w:val="single" w:sz="6" w:space="0" w:color="auto"/>
              <w:bottom w:val="single" w:sz="6" w:space="0" w:color="auto"/>
              <w:right w:val="single" w:sz="6" w:space="0" w:color="auto"/>
            </w:tcBorders>
            <w:vAlign w:val="center"/>
            <w:hideMark/>
          </w:tcPr>
          <w:p w14:paraId="3140C3D9" w14:textId="77777777" w:rsidR="00EA3205" w:rsidRPr="00B05F62" w:rsidRDefault="00EA3205" w:rsidP="00EA3205">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14:paraId="1CA6263D" w14:textId="77777777" w:rsidR="00EA3205" w:rsidRPr="00B05F62" w:rsidRDefault="00EA3205" w:rsidP="00EA3205">
            <w:pPr>
              <w:rPr>
                <w:rFonts w:ascii="AcadNusx" w:hAnsi="AcadNusx"/>
              </w:rPr>
            </w:pPr>
            <w:r w:rsidRPr="00B05F62">
              <w:rPr>
                <w:rFonts w:ascii="AcadNusx" w:hAnsi="AcadNusx"/>
              </w:rPr>
              <w:t>gzagamtari</w:t>
            </w:r>
          </w:p>
        </w:tc>
        <w:tc>
          <w:tcPr>
            <w:tcW w:w="844" w:type="dxa"/>
            <w:tcBorders>
              <w:top w:val="single" w:sz="6" w:space="0" w:color="auto"/>
              <w:left w:val="single" w:sz="6" w:space="0" w:color="auto"/>
              <w:bottom w:val="single" w:sz="6" w:space="0" w:color="auto"/>
              <w:right w:val="single" w:sz="6" w:space="0" w:color="auto"/>
            </w:tcBorders>
            <w:hideMark/>
          </w:tcPr>
          <w:p w14:paraId="2D15B3CC" w14:textId="77777777" w:rsidR="00EA3205" w:rsidRPr="00B05F62" w:rsidRDefault="00EA3205" w:rsidP="00EA3205">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14:paraId="349F7772" w14:textId="77777777" w:rsidR="00EA3205" w:rsidRPr="00B05F62" w:rsidRDefault="00EA3205" w:rsidP="00EA3205">
            <w:pPr>
              <w:rPr>
                <w:rFonts w:ascii="AcadNusx" w:hAnsi="AcadNusx"/>
              </w:rPr>
            </w:pPr>
            <w:r w:rsidRPr="00B05F62">
              <w:rPr>
                <w:rFonts w:ascii="AcadNusx" w:hAnsi="AcadNusx"/>
              </w:rPr>
              <w:t>18</w:t>
            </w:r>
          </w:p>
        </w:tc>
        <w:tc>
          <w:tcPr>
            <w:tcW w:w="715" w:type="dxa"/>
            <w:tcBorders>
              <w:top w:val="single" w:sz="6" w:space="0" w:color="auto"/>
              <w:left w:val="single" w:sz="6" w:space="0" w:color="auto"/>
              <w:bottom w:val="single" w:sz="6" w:space="0" w:color="auto"/>
              <w:right w:val="single" w:sz="6" w:space="0" w:color="auto"/>
            </w:tcBorders>
          </w:tcPr>
          <w:p w14:paraId="64B61E30"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39B1061B" w14:textId="77777777" w:rsidR="00EA3205" w:rsidRPr="00B05F62" w:rsidRDefault="00EA3205" w:rsidP="00EA3205">
            <w:pPr>
              <w:rPr>
                <w:rFonts w:ascii="AcadNusx" w:hAnsi="AcadNusx"/>
              </w:rPr>
            </w:pPr>
            <w:r w:rsidRPr="00B05F62">
              <w:rPr>
                <w:rFonts w:ascii="AcadNusx" w:hAnsi="AcadNusx"/>
              </w:rPr>
              <w:t>1x13</w:t>
            </w:r>
          </w:p>
        </w:tc>
      </w:tr>
      <w:tr w:rsidR="00EA3205" w:rsidRPr="00B05F62" w14:paraId="4EB710E2"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6B536639" w14:textId="77777777" w:rsidR="00EA3205" w:rsidRPr="00B05F62" w:rsidRDefault="00EA3205" w:rsidP="00EA3205">
            <w:pPr>
              <w:rPr>
                <w:rFonts w:ascii="AcadNusx" w:hAnsi="AcadNusx"/>
              </w:rPr>
            </w:pPr>
            <w:r w:rsidRPr="00B05F62">
              <w:rPr>
                <w:rFonts w:ascii="AcadNusx" w:hAnsi="AcadNusx"/>
              </w:rPr>
              <w:t>20</w:t>
            </w:r>
          </w:p>
        </w:tc>
        <w:tc>
          <w:tcPr>
            <w:tcW w:w="1276" w:type="dxa"/>
            <w:tcBorders>
              <w:top w:val="single" w:sz="6" w:space="0" w:color="auto"/>
              <w:left w:val="single" w:sz="6" w:space="0" w:color="auto"/>
              <w:bottom w:val="single" w:sz="6" w:space="0" w:color="auto"/>
              <w:right w:val="single" w:sz="6" w:space="0" w:color="auto"/>
            </w:tcBorders>
            <w:hideMark/>
          </w:tcPr>
          <w:p w14:paraId="7985825A" w14:textId="77777777" w:rsidR="00EA3205" w:rsidRPr="00B05F62" w:rsidRDefault="00EA3205" w:rsidP="00EA3205">
            <w:pPr>
              <w:rPr>
                <w:rFonts w:ascii="AcadNusx" w:hAnsi="AcadNusx"/>
              </w:rPr>
            </w:pPr>
            <w:r w:rsidRPr="00B05F62">
              <w:rPr>
                <w:rFonts w:ascii="AcadNusx" w:hAnsi="AcadNusx"/>
              </w:rPr>
              <w:t>29+319.560</w:t>
            </w:r>
          </w:p>
        </w:tc>
        <w:tc>
          <w:tcPr>
            <w:tcW w:w="1984" w:type="dxa"/>
            <w:tcBorders>
              <w:top w:val="single" w:sz="6" w:space="0" w:color="auto"/>
              <w:left w:val="single" w:sz="6" w:space="0" w:color="auto"/>
              <w:bottom w:val="single" w:sz="6" w:space="0" w:color="auto"/>
              <w:right w:val="single" w:sz="6" w:space="0" w:color="auto"/>
            </w:tcBorders>
            <w:vAlign w:val="center"/>
            <w:hideMark/>
          </w:tcPr>
          <w:p w14:paraId="11E6BB65" w14:textId="77777777" w:rsidR="00EA3205" w:rsidRPr="00B05F62" w:rsidRDefault="00EA3205" w:rsidP="00EA3205">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hideMark/>
          </w:tcPr>
          <w:p w14:paraId="5BAFDF8A" w14:textId="77777777" w:rsidR="00EA3205" w:rsidRPr="00B05F62" w:rsidRDefault="00EA3205" w:rsidP="00EA3205">
            <w:pPr>
              <w:rPr>
                <w:rFonts w:ascii="AcadNusx" w:hAnsi="AcadNusx"/>
              </w:rPr>
            </w:pPr>
            <w:r w:rsidRPr="00B05F62">
              <w:rPr>
                <w:rFonts w:ascii="AcadNusx" w:hAnsi="AcadNusx"/>
              </w:rPr>
              <w:t>usaxelo xevi</w:t>
            </w:r>
          </w:p>
        </w:tc>
        <w:tc>
          <w:tcPr>
            <w:tcW w:w="844" w:type="dxa"/>
            <w:tcBorders>
              <w:top w:val="single" w:sz="6" w:space="0" w:color="auto"/>
              <w:left w:val="single" w:sz="6" w:space="0" w:color="auto"/>
              <w:bottom w:val="single" w:sz="6" w:space="0" w:color="auto"/>
              <w:right w:val="single" w:sz="6" w:space="0" w:color="auto"/>
            </w:tcBorders>
            <w:hideMark/>
          </w:tcPr>
          <w:p w14:paraId="051FA6C6" w14:textId="77777777" w:rsidR="00EA3205" w:rsidRPr="00B05F62" w:rsidRDefault="00EA3205" w:rsidP="00EA3205">
            <w:pPr>
              <w:rPr>
                <w:rFonts w:ascii="AcadNusx" w:hAnsi="AcadNusx"/>
              </w:rPr>
            </w:pPr>
            <w:r w:rsidRPr="00B05F62">
              <w:rPr>
                <w:rFonts w:ascii="AcadNusx" w:hAnsi="AcadNusx"/>
              </w:rPr>
              <w:t>91.4</w:t>
            </w:r>
          </w:p>
        </w:tc>
        <w:tc>
          <w:tcPr>
            <w:tcW w:w="992" w:type="dxa"/>
            <w:tcBorders>
              <w:top w:val="single" w:sz="6" w:space="0" w:color="auto"/>
              <w:left w:val="single" w:sz="6" w:space="0" w:color="auto"/>
              <w:bottom w:val="single" w:sz="6" w:space="0" w:color="auto"/>
              <w:right w:val="single" w:sz="6" w:space="0" w:color="auto"/>
            </w:tcBorders>
            <w:hideMark/>
          </w:tcPr>
          <w:p w14:paraId="2A4DB427" w14:textId="77777777" w:rsidR="00EA3205" w:rsidRPr="00B05F62" w:rsidRDefault="00EA3205" w:rsidP="00EA3205">
            <w:pPr>
              <w:rPr>
                <w:rFonts w:ascii="AcadNusx" w:hAnsi="AcadNusx"/>
              </w:rPr>
            </w:pPr>
            <w:r w:rsidRPr="00B05F62">
              <w:rPr>
                <w:rFonts w:ascii="AcadNusx" w:hAnsi="AcadNusx"/>
              </w:rPr>
              <w:t>16.55</w:t>
            </w:r>
          </w:p>
        </w:tc>
        <w:tc>
          <w:tcPr>
            <w:tcW w:w="715" w:type="dxa"/>
            <w:tcBorders>
              <w:top w:val="single" w:sz="6" w:space="0" w:color="auto"/>
              <w:left w:val="single" w:sz="6" w:space="0" w:color="auto"/>
              <w:bottom w:val="single" w:sz="6" w:space="0" w:color="auto"/>
              <w:right w:val="single" w:sz="6" w:space="0" w:color="auto"/>
            </w:tcBorders>
          </w:tcPr>
          <w:p w14:paraId="0204F4D1"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1330B5B1" w14:textId="77777777" w:rsidR="00EA3205" w:rsidRPr="00B05F62" w:rsidRDefault="00EA3205" w:rsidP="00EA3205">
            <w:pPr>
              <w:rPr>
                <w:rFonts w:ascii="AcadNusx" w:hAnsi="AcadNusx"/>
              </w:rPr>
            </w:pPr>
            <w:r w:rsidRPr="00B05F62">
              <w:rPr>
                <w:rFonts w:ascii="AcadNusx" w:hAnsi="AcadNusx"/>
              </w:rPr>
              <w:t>3X29.4</w:t>
            </w:r>
          </w:p>
        </w:tc>
      </w:tr>
      <w:tr w:rsidR="00EA3205" w:rsidRPr="00B05F62" w14:paraId="65208DE9"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600F86D1" w14:textId="77777777" w:rsidR="00EA3205" w:rsidRPr="00B05F62" w:rsidRDefault="00EA3205" w:rsidP="00EA3205">
            <w:pPr>
              <w:rPr>
                <w:rFonts w:ascii="AcadNusx" w:hAnsi="AcadNusx"/>
              </w:rPr>
            </w:pPr>
            <w:r w:rsidRPr="00B05F62">
              <w:rPr>
                <w:rFonts w:ascii="AcadNusx" w:hAnsi="AcadNusx"/>
              </w:rPr>
              <w:t>21</w:t>
            </w:r>
          </w:p>
        </w:tc>
        <w:tc>
          <w:tcPr>
            <w:tcW w:w="1276" w:type="dxa"/>
            <w:tcBorders>
              <w:top w:val="single" w:sz="6" w:space="0" w:color="auto"/>
              <w:left w:val="single" w:sz="6" w:space="0" w:color="auto"/>
              <w:bottom w:val="single" w:sz="6" w:space="0" w:color="auto"/>
              <w:right w:val="single" w:sz="6" w:space="0" w:color="auto"/>
            </w:tcBorders>
            <w:hideMark/>
          </w:tcPr>
          <w:p w14:paraId="4EB3DC29" w14:textId="77777777" w:rsidR="00EA3205" w:rsidRPr="00B05F62" w:rsidRDefault="00EA3205" w:rsidP="00EA3205">
            <w:pPr>
              <w:rPr>
                <w:rFonts w:ascii="AcadNusx" w:hAnsi="AcadNusx"/>
              </w:rPr>
            </w:pPr>
            <w:r w:rsidRPr="00B05F62">
              <w:rPr>
                <w:rFonts w:ascii="AcadNusx" w:hAnsi="AcadNusx"/>
              </w:rPr>
              <w:t>30+250.000</w:t>
            </w:r>
          </w:p>
        </w:tc>
        <w:tc>
          <w:tcPr>
            <w:tcW w:w="1984" w:type="dxa"/>
            <w:tcBorders>
              <w:top w:val="single" w:sz="6" w:space="0" w:color="auto"/>
              <w:left w:val="single" w:sz="6" w:space="0" w:color="auto"/>
              <w:bottom w:val="single" w:sz="6" w:space="0" w:color="auto"/>
              <w:right w:val="single" w:sz="6" w:space="0" w:color="auto"/>
            </w:tcBorders>
            <w:vAlign w:val="center"/>
            <w:hideMark/>
          </w:tcPr>
          <w:p w14:paraId="651201BC" w14:textId="77777777" w:rsidR="00EA3205" w:rsidRPr="00B05F62" w:rsidRDefault="00EA3205" w:rsidP="00EA3205">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14:paraId="7ED97843" w14:textId="77777777" w:rsidR="00EA3205" w:rsidRPr="00B05F62" w:rsidRDefault="00EA3205" w:rsidP="00EA3205">
            <w:pPr>
              <w:rPr>
                <w:rFonts w:ascii="AcadNusx" w:hAnsi="AcadNusx"/>
              </w:rPr>
            </w:pPr>
            <w:r w:rsidRPr="00B05F62">
              <w:rPr>
                <w:rFonts w:ascii="AcadNusx" w:hAnsi="AcadNusx"/>
              </w:rPr>
              <w:t>ordoniani gadakveTa, Telavis daerTeba</w:t>
            </w:r>
          </w:p>
        </w:tc>
        <w:tc>
          <w:tcPr>
            <w:tcW w:w="844" w:type="dxa"/>
            <w:tcBorders>
              <w:top w:val="single" w:sz="6" w:space="0" w:color="auto"/>
              <w:left w:val="single" w:sz="6" w:space="0" w:color="auto"/>
              <w:bottom w:val="single" w:sz="6" w:space="0" w:color="auto"/>
              <w:right w:val="single" w:sz="6" w:space="0" w:color="auto"/>
            </w:tcBorders>
            <w:hideMark/>
          </w:tcPr>
          <w:p w14:paraId="77E7A2EA" w14:textId="77777777" w:rsidR="00EA3205" w:rsidRPr="00B05F62" w:rsidRDefault="00EA3205" w:rsidP="00EA3205">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14:paraId="0C61DF86" w14:textId="77777777" w:rsidR="00EA3205" w:rsidRPr="00B05F62" w:rsidRDefault="00EA3205" w:rsidP="00EA3205">
            <w:pPr>
              <w:rPr>
                <w:rFonts w:ascii="AcadNusx" w:hAnsi="AcadNusx"/>
              </w:rPr>
            </w:pPr>
            <w:r w:rsidRPr="00B05F62">
              <w:rPr>
                <w:rFonts w:ascii="AcadNusx" w:hAnsi="AcadNusx"/>
              </w:rPr>
              <w:t>24</w:t>
            </w:r>
          </w:p>
        </w:tc>
        <w:tc>
          <w:tcPr>
            <w:tcW w:w="715" w:type="dxa"/>
            <w:tcBorders>
              <w:top w:val="single" w:sz="6" w:space="0" w:color="auto"/>
              <w:left w:val="single" w:sz="6" w:space="0" w:color="auto"/>
              <w:bottom w:val="single" w:sz="6" w:space="0" w:color="auto"/>
              <w:right w:val="single" w:sz="6" w:space="0" w:color="auto"/>
            </w:tcBorders>
          </w:tcPr>
          <w:p w14:paraId="21C8DC8A"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31C17133" w14:textId="77777777" w:rsidR="00EA3205" w:rsidRPr="00B05F62" w:rsidRDefault="00EA3205" w:rsidP="00EA3205">
            <w:pPr>
              <w:rPr>
                <w:rFonts w:ascii="AcadNusx" w:hAnsi="AcadNusx"/>
              </w:rPr>
            </w:pPr>
            <w:r w:rsidRPr="00B05F62">
              <w:rPr>
                <w:rFonts w:ascii="AcadNusx" w:hAnsi="AcadNusx"/>
              </w:rPr>
              <w:t>1x13</w:t>
            </w:r>
          </w:p>
        </w:tc>
      </w:tr>
      <w:tr w:rsidR="00EA3205" w:rsidRPr="00B05F62" w14:paraId="1D1E311C"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2CF1226D" w14:textId="77777777" w:rsidR="00EA3205" w:rsidRPr="00B05F62" w:rsidRDefault="00EA3205" w:rsidP="00EA3205">
            <w:pPr>
              <w:rPr>
                <w:rFonts w:ascii="AcadNusx" w:hAnsi="AcadNusx"/>
              </w:rPr>
            </w:pPr>
            <w:r w:rsidRPr="00B05F62">
              <w:rPr>
                <w:rFonts w:ascii="AcadNusx" w:hAnsi="AcadNusx"/>
              </w:rPr>
              <w:t>22</w:t>
            </w:r>
          </w:p>
        </w:tc>
        <w:tc>
          <w:tcPr>
            <w:tcW w:w="1276" w:type="dxa"/>
            <w:tcBorders>
              <w:top w:val="single" w:sz="6" w:space="0" w:color="auto"/>
              <w:left w:val="single" w:sz="6" w:space="0" w:color="auto"/>
              <w:bottom w:val="single" w:sz="6" w:space="0" w:color="auto"/>
              <w:right w:val="single" w:sz="6" w:space="0" w:color="auto"/>
            </w:tcBorders>
            <w:hideMark/>
          </w:tcPr>
          <w:p w14:paraId="39C26FF6" w14:textId="77777777" w:rsidR="00EA3205" w:rsidRPr="00B05F62" w:rsidRDefault="00EA3205" w:rsidP="00EA3205">
            <w:pPr>
              <w:rPr>
                <w:rFonts w:ascii="AcadNusx" w:hAnsi="AcadNusx"/>
              </w:rPr>
            </w:pPr>
            <w:r w:rsidRPr="00B05F62">
              <w:rPr>
                <w:rFonts w:ascii="AcadNusx" w:hAnsi="AcadNusx"/>
              </w:rPr>
              <w:t>32+941.656</w:t>
            </w:r>
          </w:p>
        </w:tc>
        <w:tc>
          <w:tcPr>
            <w:tcW w:w="1984" w:type="dxa"/>
            <w:tcBorders>
              <w:top w:val="single" w:sz="6" w:space="0" w:color="auto"/>
              <w:left w:val="single" w:sz="6" w:space="0" w:color="auto"/>
              <w:bottom w:val="single" w:sz="6" w:space="0" w:color="auto"/>
              <w:right w:val="single" w:sz="6" w:space="0" w:color="auto"/>
            </w:tcBorders>
            <w:vAlign w:val="center"/>
            <w:hideMark/>
          </w:tcPr>
          <w:p w14:paraId="734E0B54" w14:textId="77777777" w:rsidR="00EA3205" w:rsidRPr="00B05F62" w:rsidRDefault="00EA3205" w:rsidP="00EA3205">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hideMark/>
          </w:tcPr>
          <w:p w14:paraId="141582FD" w14:textId="77777777" w:rsidR="00EA3205" w:rsidRPr="00B05F62" w:rsidRDefault="00EA3205" w:rsidP="00EA3205">
            <w:pPr>
              <w:rPr>
                <w:rFonts w:ascii="AcadNusx" w:hAnsi="AcadNusx"/>
              </w:rPr>
            </w:pPr>
            <w:r w:rsidRPr="00B05F62">
              <w:rPr>
                <w:rFonts w:ascii="AcadNusx" w:hAnsi="AcadNusx"/>
              </w:rPr>
              <w:t>viaduki</w:t>
            </w:r>
          </w:p>
        </w:tc>
        <w:tc>
          <w:tcPr>
            <w:tcW w:w="844" w:type="dxa"/>
            <w:tcBorders>
              <w:top w:val="single" w:sz="6" w:space="0" w:color="auto"/>
              <w:left w:val="single" w:sz="6" w:space="0" w:color="auto"/>
              <w:bottom w:val="single" w:sz="6" w:space="0" w:color="auto"/>
              <w:right w:val="single" w:sz="6" w:space="0" w:color="auto"/>
            </w:tcBorders>
            <w:hideMark/>
          </w:tcPr>
          <w:p w14:paraId="184EE5ED" w14:textId="77777777" w:rsidR="00EA3205" w:rsidRPr="00B05F62" w:rsidRDefault="00EA3205" w:rsidP="00EA3205">
            <w:pPr>
              <w:rPr>
                <w:rFonts w:ascii="AcadNusx" w:hAnsi="AcadNusx"/>
              </w:rPr>
            </w:pPr>
            <w:r w:rsidRPr="00B05F62">
              <w:rPr>
                <w:rFonts w:ascii="AcadNusx" w:hAnsi="AcadNusx"/>
              </w:rPr>
              <w:t>90.4</w:t>
            </w:r>
          </w:p>
        </w:tc>
        <w:tc>
          <w:tcPr>
            <w:tcW w:w="992" w:type="dxa"/>
            <w:tcBorders>
              <w:top w:val="single" w:sz="6" w:space="0" w:color="auto"/>
              <w:left w:val="single" w:sz="6" w:space="0" w:color="auto"/>
              <w:bottom w:val="single" w:sz="6" w:space="0" w:color="auto"/>
              <w:right w:val="single" w:sz="6" w:space="0" w:color="auto"/>
            </w:tcBorders>
            <w:hideMark/>
          </w:tcPr>
          <w:p w14:paraId="25D7698D" w14:textId="77777777" w:rsidR="00EA3205" w:rsidRPr="00B05F62" w:rsidRDefault="00EA3205" w:rsidP="00EA3205">
            <w:pPr>
              <w:rPr>
                <w:rFonts w:ascii="AcadNusx" w:hAnsi="AcadNusx"/>
              </w:rPr>
            </w:pPr>
            <w:r w:rsidRPr="00B05F62">
              <w:rPr>
                <w:rFonts w:ascii="AcadNusx" w:hAnsi="AcadNusx"/>
              </w:rPr>
              <w:t>16.55</w:t>
            </w:r>
          </w:p>
        </w:tc>
        <w:tc>
          <w:tcPr>
            <w:tcW w:w="715" w:type="dxa"/>
            <w:tcBorders>
              <w:top w:val="single" w:sz="6" w:space="0" w:color="auto"/>
              <w:left w:val="single" w:sz="6" w:space="0" w:color="auto"/>
              <w:bottom w:val="single" w:sz="6" w:space="0" w:color="auto"/>
              <w:right w:val="single" w:sz="6" w:space="0" w:color="auto"/>
            </w:tcBorders>
          </w:tcPr>
          <w:p w14:paraId="53F8FF64"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126A8FE0" w14:textId="77777777" w:rsidR="00EA3205" w:rsidRPr="00B05F62" w:rsidRDefault="00EA3205" w:rsidP="00EA3205">
            <w:pPr>
              <w:rPr>
                <w:rFonts w:ascii="AcadNusx" w:hAnsi="AcadNusx"/>
              </w:rPr>
            </w:pPr>
            <w:r w:rsidRPr="00B05F62">
              <w:rPr>
                <w:rFonts w:ascii="AcadNusx" w:hAnsi="AcadNusx"/>
              </w:rPr>
              <w:t>3X29.4</w:t>
            </w:r>
          </w:p>
        </w:tc>
      </w:tr>
      <w:tr w:rsidR="00EA3205" w:rsidRPr="00B05F62" w14:paraId="0FA12756" w14:textId="77777777" w:rsidTr="00BE0BD2">
        <w:tc>
          <w:tcPr>
            <w:tcW w:w="739" w:type="dxa"/>
            <w:tcBorders>
              <w:top w:val="single" w:sz="6" w:space="0" w:color="auto"/>
              <w:left w:val="single" w:sz="6" w:space="0" w:color="auto"/>
              <w:bottom w:val="single" w:sz="6" w:space="0" w:color="auto"/>
              <w:right w:val="single" w:sz="6" w:space="0" w:color="auto"/>
            </w:tcBorders>
            <w:hideMark/>
          </w:tcPr>
          <w:p w14:paraId="2A4EC382" w14:textId="77777777" w:rsidR="00EA3205" w:rsidRPr="00B05F62" w:rsidRDefault="00EA3205" w:rsidP="00EA3205">
            <w:pPr>
              <w:rPr>
                <w:rFonts w:ascii="AcadNusx" w:hAnsi="AcadNusx"/>
              </w:rPr>
            </w:pPr>
            <w:r w:rsidRPr="00B05F62">
              <w:rPr>
                <w:rFonts w:ascii="AcadNusx" w:hAnsi="AcadNusx"/>
              </w:rPr>
              <w:t>23</w:t>
            </w:r>
          </w:p>
        </w:tc>
        <w:tc>
          <w:tcPr>
            <w:tcW w:w="1276" w:type="dxa"/>
            <w:tcBorders>
              <w:top w:val="single" w:sz="6" w:space="0" w:color="auto"/>
              <w:left w:val="single" w:sz="6" w:space="0" w:color="auto"/>
              <w:bottom w:val="single" w:sz="6" w:space="0" w:color="auto"/>
              <w:right w:val="single" w:sz="6" w:space="0" w:color="auto"/>
            </w:tcBorders>
            <w:hideMark/>
          </w:tcPr>
          <w:p w14:paraId="2AAF1EE1" w14:textId="77777777" w:rsidR="00EA3205" w:rsidRPr="00B05F62" w:rsidRDefault="00EA3205" w:rsidP="00EA3205">
            <w:pPr>
              <w:rPr>
                <w:rFonts w:ascii="AcadNusx" w:hAnsi="AcadNusx"/>
              </w:rPr>
            </w:pPr>
            <w:r w:rsidRPr="00B05F62">
              <w:rPr>
                <w:rFonts w:ascii="AcadNusx" w:hAnsi="AcadNusx"/>
              </w:rPr>
              <w:t>34+800.556</w:t>
            </w:r>
          </w:p>
        </w:tc>
        <w:tc>
          <w:tcPr>
            <w:tcW w:w="1984" w:type="dxa"/>
            <w:tcBorders>
              <w:top w:val="single" w:sz="6" w:space="0" w:color="auto"/>
              <w:left w:val="single" w:sz="6" w:space="0" w:color="auto"/>
              <w:bottom w:val="single" w:sz="6" w:space="0" w:color="auto"/>
              <w:right w:val="single" w:sz="6" w:space="0" w:color="auto"/>
            </w:tcBorders>
            <w:vAlign w:val="center"/>
            <w:hideMark/>
          </w:tcPr>
          <w:p w14:paraId="1B40709D" w14:textId="77777777" w:rsidR="00EA3205" w:rsidRPr="00B05F62" w:rsidRDefault="00EA3205" w:rsidP="00EA3205">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hideMark/>
          </w:tcPr>
          <w:p w14:paraId="122CE678" w14:textId="77777777" w:rsidR="00EA3205" w:rsidRPr="00B05F62" w:rsidRDefault="00EA3205" w:rsidP="00EA3205">
            <w:pPr>
              <w:rPr>
                <w:rFonts w:ascii="AcadNusx" w:hAnsi="AcadNusx"/>
              </w:rPr>
            </w:pPr>
            <w:r w:rsidRPr="00B05F62">
              <w:rPr>
                <w:rFonts w:ascii="AcadNusx" w:hAnsi="AcadNusx"/>
              </w:rPr>
              <w:t>viaduki</w:t>
            </w:r>
          </w:p>
        </w:tc>
        <w:tc>
          <w:tcPr>
            <w:tcW w:w="844" w:type="dxa"/>
            <w:tcBorders>
              <w:top w:val="single" w:sz="6" w:space="0" w:color="auto"/>
              <w:left w:val="single" w:sz="6" w:space="0" w:color="auto"/>
              <w:bottom w:val="single" w:sz="6" w:space="0" w:color="auto"/>
              <w:right w:val="single" w:sz="6" w:space="0" w:color="auto"/>
            </w:tcBorders>
            <w:hideMark/>
          </w:tcPr>
          <w:p w14:paraId="5F923C3E" w14:textId="77777777" w:rsidR="00EA3205" w:rsidRPr="00B05F62" w:rsidRDefault="00EA3205" w:rsidP="00EA3205">
            <w:pPr>
              <w:rPr>
                <w:rFonts w:ascii="AcadNusx" w:hAnsi="AcadNusx"/>
              </w:rPr>
            </w:pPr>
            <w:r w:rsidRPr="00B05F62">
              <w:rPr>
                <w:rFonts w:ascii="AcadNusx" w:hAnsi="AcadNusx"/>
              </w:rPr>
              <w:t>91.4</w:t>
            </w:r>
          </w:p>
        </w:tc>
        <w:tc>
          <w:tcPr>
            <w:tcW w:w="992" w:type="dxa"/>
            <w:tcBorders>
              <w:top w:val="single" w:sz="6" w:space="0" w:color="auto"/>
              <w:left w:val="single" w:sz="6" w:space="0" w:color="auto"/>
              <w:bottom w:val="single" w:sz="6" w:space="0" w:color="auto"/>
              <w:right w:val="single" w:sz="6" w:space="0" w:color="auto"/>
            </w:tcBorders>
            <w:hideMark/>
          </w:tcPr>
          <w:p w14:paraId="081E0EA3" w14:textId="77777777" w:rsidR="00EA3205" w:rsidRPr="00B05F62" w:rsidRDefault="00EA3205" w:rsidP="00EA3205">
            <w:pPr>
              <w:rPr>
                <w:rFonts w:ascii="AcadNusx" w:hAnsi="AcadNusx"/>
              </w:rPr>
            </w:pPr>
            <w:r w:rsidRPr="00B05F62">
              <w:rPr>
                <w:rFonts w:ascii="AcadNusx" w:hAnsi="AcadNusx"/>
              </w:rPr>
              <w:t>16.55</w:t>
            </w:r>
          </w:p>
        </w:tc>
        <w:tc>
          <w:tcPr>
            <w:tcW w:w="715" w:type="dxa"/>
            <w:tcBorders>
              <w:top w:val="single" w:sz="6" w:space="0" w:color="auto"/>
              <w:left w:val="single" w:sz="6" w:space="0" w:color="auto"/>
              <w:bottom w:val="single" w:sz="6" w:space="0" w:color="auto"/>
              <w:right w:val="single" w:sz="6" w:space="0" w:color="auto"/>
            </w:tcBorders>
          </w:tcPr>
          <w:p w14:paraId="04243D37" w14:textId="77777777" w:rsidR="00EA3205" w:rsidRPr="00B05F62" w:rsidRDefault="00EA3205" w:rsidP="00EA3205">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14:paraId="7D4D0AB8" w14:textId="77777777" w:rsidR="00EA3205" w:rsidRPr="00B05F62" w:rsidRDefault="00EA3205" w:rsidP="00EA3205">
            <w:pPr>
              <w:rPr>
                <w:rFonts w:ascii="AcadNusx" w:hAnsi="AcadNusx"/>
              </w:rPr>
            </w:pPr>
            <w:r w:rsidRPr="00B05F62">
              <w:rPr>
                <w:rFonts w:ascii="AcadNusx" w:hAnsi="AcadNusx"/>
              </w:rPr>
              <w:t>3X29.4</w:t>
            </w:r>
          </w:p>
        </w:tc>
      </w:tr>
    </w:tbl>
    <w:p w14:paraId="346ED6B3" w14:textId="77777777" w:rsidR="00EA3205" w:rsidRPr="00B05F62" w:rsidRDefault="00EA3205" w:rsidP="00EA3205">
      <w:pPr>
        <w:rPr>
          <w:rFonts w:ascii="AcadNusx" w:hAnsi="AcadNusx"/>
        </w:rPr>
      </w:pPr>
    </w:p>
    <w:p w14:paraId="1B2F5D4F" w14:textId="1299DE07" w:rsidR="00EA3205" w:rsidRDefault="00BC62DB" w:rsidP="00BE0BD2">
      <w:pPr>
        <w:pStyle w:val="Heading3"/>
        <w:spacing w:before="120" w:after="120"/>
        <w:rPr>
          <w:rFonts w:ascii="Sylfaen" w:hAnsi="Sylfaen"/>
          <w:lang w:val="ka-GE"/>
        </w:rPr>
      </w:pPr>
      <w:bookmarkStart w:id="146" w:name="_Toc1581525"/>
      <w:r>
        <w:rPr>
          <w:rFonts w:ascii="AcadNusx" w:hAnsi="AcadNusx"/>
        </w:rPr>
        <w:t>4.1</w:t>
      </w:r>
      <w:r w:rsidR="00A52183">
        <w:rPr>
          <w:rFonts w:ascii="Sylfaen" w:hAnsi="Sylfaen"/>
          <w:lang w:val="ka-GE"/>
        </w:rPr>
        <w:t>2</w:t>
      </w:r>
      <w:r w:rsidR="00EA3205" w:rsidRPr="00BC62DB">
        <w:rPr>
          <w:rFonts w:ascii="AcadNusx" w:hAnsi="AcadNusx"/>
        </w:rPr>
        <w:t>.8</w:t>
      </w:r>
      <w:r w:rsidR="00EA3205" w:rsidRPr="00BC62DB">
        <w:rPr>
          <w:rFonts w:ascii="AcadNusx" w:hAnsi="AcadNusx"/>
        </w:rPr>
        <w:tab/>
      </w:r>
      <w:r w:rsidR="00BE0BD2">
        <w:rPr>
          <w:rFonts w:ascii="Sylfaen" w:hAnsi="Sylfaen"/>
          <w:lang w:val="ka-GE"/>
        </w:rPr>
        <w:t>ხიდის კუთვნილებანი</w:t>
      </w:r>
      <w:bookmarkEnd w:id="146"/>
      <w:r w:rsidR="00BE0BD2">
        <w:rPr>
          <w:rFonts w:ascii="Sylfaen" w:hAnsi="Sylfaen"/>
          <w:lang w:val="ka-GE"/>
        </w:rPr>
        <w:t xml:space="preserve"> </w:t>
      </w:r>
    </w:p>
    <w:p w14:paraId="49CE7CF8" w14:textId="77777777" w:rsidR="00EA3205" w:rsidRPr="00BE0BD2" w:rsidRDefault="00EA3205" w:rsidP="00EA3205">
      <w:pPr>
        <w:rPr>
          <w:rFonts w:ascii="AcadNusx" w:hAnsi="AcadNusx"/>
          <w:lang w:val="ka-GE"/>
        </w:rPr>
      </w:pPr>
      <w:r w:rsidRPr="00BE0BD2">
        <w:rPr>
          <w:rFonts w:ascii="AcadNusx" w:hAnsi="AcadNusx"/>
          <w:lang w:val="ka-GE"/>
        </w:rPr>
        <w:t>qvermoT aRwerili xidis kuTvnilebani warmodgenilia saqarTveloSi miRebul samSeneblo praqtikaze dayrdnobiT. xidis kuTvnilebebis detalebi unda damuSavdes detaluri daproeqtebis etapze, rac aseve unda moicavdes gamoyenebuli standartebis SerCevas.</w:t>
      </w:r>
    </w:p>
    <w:p w14:paraId="119D0D3E" w14:textId="77777777" w:rsidR="00EA3205" w:rsidRPr="00BE0BD2" w:rsidRDefault="00EA3205" w:rsidP="00EA3205">
      <w:pPr>
        <w:rPr>
          <w:rFonts w:ascii="AcadNusx" w:hAnsi="AcadNusx"/>
          <w:lang w:val="ka-GE"/>
        </w:rPr>
      </w:pPr>
    </w:p>
    <w:p w14:paraId="5111B127" w14:textId="77777777" w:rsidR="00EA3205" w:rsidRPr="00373702" w:rsidRDefault="00EA3205" w:rsidP="00EA3205">
      <w:pPr>
        <w:rPr>
          <w:rFonts w:ascii="AcadNusx" w:hAnsi="AcadNusx"/>
          <w:b/>
          <w:lang w:val="ka-GE"/>
        </w:rPr>
      </w:pPr>
      <w:r w:rsidRPr="00373702">
        <w:rPr>
          <w:rFonts w:ascii="AcadNusx" w:hAnsi="AcadNusx"/>
          <w:b/>
          <w:lang w:val="ka-GE"/>
        </w:rPr>
        <w:t>drenaJi</w:t>
      </w:r>
    </w:p>
    <w:p w14:paraId="2EC616C3" w14:textId="42218C02" w:rsidR="00EA3205" w:rsidRPr="00B05F62" w:rsidRDefault="00EA3205" w:rsidP="00EA3205">
      <w:pPr>
        <w:rPr>
          <w:rFonts w:ascii="AcadNusx" w:hAnsi="AcadNusx"/>
        </w:rPr>
      </w:pPr>
      <w:r w:rsidRPr="00373702">
        <w:rPr>
          <w:rFonts w:ascii="AcadNusx" w:hAnsi="AcadNusx"/>
          <w:lang w:val="ka-GE"/>
        </w:rPr>
        <w:t xml:space="preserve">xidis fenilze moxvedrili wvimis wyali ZiriTadad bunebrivad gaedineba xidis qanobis mimarTulebiT. xidis fenilidan wylis arinebis mizniT, mis mTlian sigrZeze, saTanado SualedebiT moewyoba ganivi drenaJi. fenilidan modinebuli wyali Segrovdeba sadrenaJe milSi da gadamisamarTdeba miwis zedapirze Sesaferisi milgayvanilobiT. </w:t>
      </w:r>
      <w:r w:rsidRPr="00B05F62">
        <w:rPr>
          <w:rFonts w:ascii="AcadNusx" w:hAnsi="AcadNusx"/>
        </w:rPr>
        <w:t>SeTavazebuli sadrenaJe sistema daifareba betonis safariT. drenirebisTvis rekomendirebulia Tujis milebis gamoyeneba EN 545 da EN 598–is Sesabamisad</w:t>
      </w:r>
    </w:p>
    <w:p w14:paraId="0063F868" w14:textId="72AF7FC7" w:rsidR="00EA3205" w:rsidRPr="00B05F62" w:rsidRDefault="00EA3205" w:rsidP="00A52183">
      <w:pPr>
        <w:jc w:val="center"/>
        <w:rPr>
          <w:rFonts w:ascii="AcadNusx" w:hAnsi="AcadNusx"/>
        </w:rPr>
      </w:pPr>
      <w:r w:rsidRPr="00B05F62">
        <w:rPr>
          <w:rFonts w:ascii="AcadNusx" w:hAnsi="AcadNusx"/>
          <w:noProof/>
          <w:lang w:val="en-US" w:eastAsia="en-US"/>
        </w:rPr>
        <w:lastRenderedPageBreak/>
        <w:drawing>
          <wp:inline distT="0" distB="0" distL="0" distR="0" wp14:anchorId="4FABD1A9" wp14:editId="55D884C9">
            <wp:extent cx="4819650" cy="256159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4" cstate="email">
                      <a:extLst>
                        <a:ext uri="{28A0092B-C50C-407E-A947-70E740481C1C}">
                          <a14:useLocalDpi xmlns:a14="http://schemas.microsoft.com/office/drawing/2010/main"/>
                        </a:ext>
                      </a:extLst>
                    </a:blip>
                    <a:srcRect l="46844" t="39211" r="39015" b="36842"/>
                    <a:stretch>
                      <a:fillRect/>
                    </a:stretch>
                  </pic:blipFill>
                  <pic:spPr bwMode="auto">
                    <a:xfrm>
                      <a:off x="0" y="0"/>
                      <a:ext cx="4829030" cy="2566575"/>
                    </a:xfrm>
                    <a:prstGeom prst="rect">
                      <a:avLst/>
                    </a:prstGeom>
                    <a:noFill/>
                    <a:ln>
                      <a:noFill/>
                    </a:ln>
                  </pic:spPr>
                </pic:pic>
              </a:graphicData>
            </a:graphic>
          </wp:inline>
        </w:drawing>
      </w:r>
    </w:p>
    <w:p w14:paraId="163D5ECA" w14:textId="20CCF327" w:rsidR="00EA3205" w:rsidRPr="00B05F62" w:rsidRDefault="00EA3205" w:rsidP="00EA3205">
      <w:pPr>
        <w:rPr>
          <w:rFonts w:ascii="AcadNusx" w:hAnsi="AcadNusx"/>
        </w:rPr>
      </w:pPr>
      <w:r w:rsidRPr="00B05F62">
        <w:rPr>
          <w:rFonts w:ascii="AcadNusx" w:hAnsi="AcadNusx"/>
        </w:rPr>
        <w:t>suraTi 4.</w:t>
      </w:r>
      <w:r w:rsidR="00BC62DB">
        <w:rPr>
          <w:rFonts w:ascii="AcadNusx" w:hAnsi="AcadNusx"/>
        </w:rPr>
        <w:t>1</w:t>
      </w:r>
      <w:r w:rsidR="00BE0BD2">
        <w:rPr>
          <w:rFonts w:ascii="Sylfaen" w:hAnsi="Sylfaen"/>
          <w:lang w:val="ka-GE"/>
        </w:rPr>
        <w:t>2</w:t>
      </w:r>
      <w:r w:rsidRPr="00B05F62">
        <w:rPr>
          <w:rFonts w:ascii="AcadNusx" w:hAnsi="AcadNusx"/>
        </w:rPr>
        <w:t>.</w:t>
      </w:r>
      <w:r w:rsidR="00BC62DB">
        <w:rPr>
          <w:rFonts w:ascii="AcadNusx" w:hAnsi="AcadNusx"/>
        </w:rPr>
        <w:t>8-1</w:t>
      </w:r>
      <w:r w:rsidRPr="00B05F62">
        <w:rPr>
          <w:rFonts w:ascii="AcadNusx" w:hAnsi="AcadNusx"/>
        </w:rPr>
        <w:tab/>
        <w:t>wylis arineba xidis fenilidan</w:t>
      </w:r>
    </w:p>
    <w:p w14:paraId="4B6A16EB" w14:textId="77777777" w:rsidR="00EA3205" w:rsidRPr="00B05F62" w:rsidRDefault="00EA3205" w:rsidP="00EA3205">
      <w:pPr>
        <w:rPr>
          <w:rFonts w:ascii="AcadNusx" w:hAnsi="AcadNusx"/>
        </w:rPr>
      </w:pPr>
    </w:p>
    <w:p w14:paraId="3FFE0BAC" w14:textId="77777777" w:rsidR="00EA3205" w:rsidRPr="00BE0BD2" w:rsidRDefault="00EA3205" w:rsidP="00EA3205">
      <w:pPr>
        <w:rPr>
          <w:rFonts w:ascii="AcadNusx" w:hAnsi="AcadNusx"/>
          <w:u w:val="single"/>
        </w:rPr>
      </w:pPr>
      <w:r w:rsidRPr="00BE0BD2">
        <w:rPr>
          <w:rFonts w:ascii="AcadNusx" w:hAnsi="AcadNusx"/>
          <w:u w:val="single"/>
        </w:rPr>
        <w:t>moajirebi</w:t>
      </w:r>
    </w:p>
    <w:p w14:paraId="10128A6C" w14:textId="77777777" w:rsidR="00EA3205" w:rsidRPr="00B05F62" w:rsidRDefault="00EA3205" w:rsidP="00EA3205">
      <w:pPr>
        <w:rPr>
          <w:rFonts w:ascii="AcadNusx" w:hAnsi="AcadNusx"/>
        </w:rPr>
      </w:pPr>
    </w:p>
    <w:p w14:paraId="325508E8" w14:textId="682BC0BD" w:rsidR="00EA3205" w:rsidRPr="00B05F62" w:rsidRDefault="00EA3205" w:rsidP="00EA3205">
      <w:pPr>
        <w:rPr>
          <w:rFonts w:ascii="AcadNusx" w:hAnsi="AcadNusx"/>
        </w:rPr>
      </w:pPr>
      <w:r w:rsidRPr="00B05F62">
        <w:rPr>
          <w:rFonts w:ascii="AcadNusx" w:hAnsi="AcadNusx"/>
        </w:rPr>
        <w:t>xidebis moajirebi moewyoba saqarTveloSi farTod gavrcelebuli “safexmavlo moajirebis” saxiT. aRniSnuli konstruqcia Sedgeba foladis profilisa da boZkintebisgan da misi saorientacio simaRle 1070 mm-s Seadgens. SeTavazebuli moajiris forma da zomebi naCvenebia suraTze 4.</w:t>
      </w:r>
      <w:r w:rsidR="00BE0BD2">
        <w:rPr>
          <w:rFonts w:ascii="Sylfaen" w:hAnsi="Sylfaen"/>
          <w:lang w:val="ka-GE"/>
        </w:rPr>
        <w:t>12.8-2</w:t>
      </w:r>
      <w:r w:rsidRPr="00B05F62">
        <w:rPr>
          <w:rFonts w:ascii="AcadNusx" w:hAnsi="AcadNusx"/>
        </w:rPr>
        <w:t>.</w:t>
      </w:r>
    </w:p>
    <w:p w14:paraId="0343848D" w14:textId="77777777" w:rsidR="00EA3205" w:rsidRPr="00B05F62" w:rsidRDefault="00EA3205" w:rsidP="00EA3205">
      <w:pPr>
        <w:rPr>
          <w:rFonts w:ascii="AcadNusx" w:hAnsi="AcadNusx"/>
        </w:rPr>
      </w:pPr>
    </w:p>
    <w:p w14:paraId="5040C7A6" w14:textId="7B400AD3" w:rsidR="00EA3205" w:rsidRPr="00B05F62" w:rsidRDefault="00EA3205" w:rsidP="00A52183">
      <w:pPr>
        <w:jc w:val="center"/>
        <w:rPr>
          <w:rFonts w:ascii="AcadNusx" w:hAnsi="AcadNusx"/>
        </w:rPr>
      </w:pPr>
      <w:r w:rsidRPr="00B05F62">
        <w:rPr>
          <w:rFonts w:ascii="AcadNusx" w:hAnsi="AcadNusx"/>
          <w:noProof/>
          <w:lang w:val="en-US" w:eastAsia="en-US"/>
        </w:rPr>
        <w:drawing>
          <wp:inline distT="0" distB="0" distL="0" distR="0" wp14:anchorId="0D9731C4" wp14:editId="79DFD546">
            <wp:extent cx="4162425" cy="1725295"/>
            <wp:effectExtent l="0" t="0" r="9525"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4162425" cy="1725295"/>
                    </a:xfrm>
                    <a:prstGeom prst="rect">
                      <a:avLst/>
                    </a:prstGeom>
                    <a:noFill/>
                    <a:ln>
                      <a:noFill/>
                    </a:ln>
                  </pic:spPr>
                </pic:pic>
              </a:graphicData>
            </a:graphic>
          </wp:inline>
        </w:drawing>
      </w:r>
    </w:p>
    <w:p w14:paraId="60380E83" w14:textId="77777777" w:rsidR="00EA3205" w:rsidRPr="00B05F62" w:rsidRDefault="00EA3205" w:rsidP="00EA3205">
      <w:pPr>
        <w:rPr>
          <w:rFonts w:ascii="AcadNusx" w:hAnsi="AcadNusx"/>
        </w:rPr>
      </w:pPr>
      <w:bookmarkStart w:id="147" w:name="_Ref497303641"/>
    </w:p>
    <w:p w14:paraId="619194F3" w14:textId="5A404E70" w:rsidR="00EA3205" w:rsidRPr="00B05F62" w:rsidRDefault="00EA3205" w:rsidP="00EA3205">
      <w:pPr>
        <w:rPr>
          <w:rFonts w:ascii="AcadNusx" w:hAnsi="AcadNusx"/>
        </w:rPr>
      </w:pPr>
      <w:r w:rsidRPr="00B05F62">
        <w:rPr>
          <w:rFonts w:ascii="AcadNusx" w:hAnsi="AcadNusx"/>
        </w:rPr>
        <w:t>suraTi 4.</w:t>
      </w:r>
      <w:r w:rsidR="00BC62DB">
        <w:rPr>
          <w:rFonts w:ascii="AcadNusx" w:hAnsi="AcadNusx"/>
        </w:rPr>
        <w:t>1</w:t>
      </w:r>
      <w:r w:rsidR="00BE0BD2">
        <w:rPr>
          <w:rFonts w:ascii="Sylfaen" w:hAnsi="Sylfaen"/>
          <w:lang w:val="ka-GE"/>
        </w:rPr>
        <w:t>2</w:t>
      </w:r>
      <w:r w:rsidR="00BC62DB">
        <w:rPr>
          <w:rFonts w:ascii="AcadNusx" w:hAnsi="AcadNusx"/>
        </w:rPr>
        <w:t>.8-2</w:t>
      </w:r>
      <w:r w:rsidRPr="00B05F62">
        <w:rPr>
          <w:rFonts w:ascii="AcadNusx" w:hAnsi="AcadNusx"/>
        </w:rPr>
        <w:tab/>
        <w:t>“safexmavlo moajiris” sqema</w:t>
      </w:r>
    </w:p>
    <w:p w14:paraId="290C148E" w14:textId="77777777" w:rsidR="00EA3205" w:rsidRPr="00B05F62" w:rsidRDefault="00EA3205" w:rsidP="00EA3205">
      <w:pPr>
        <w:rPr>
          <w:rFonts w:ascii="AcadNusx" w:hAnsi="AcadNusx"/>
        </w:rPr>
      </w:pPr>
      <w:bookmarkStart w:id="148" w:name="_Toc499203352"/>
      <w:bookmarkEnd w:id="147"/>
    </w:p>
    <w:bookmarkEnd w:id="148"/>
    <w:p w14:paraId="184FBC48" w14:textId="77777777" w:rsidR="00EA3205" w:rsidRPr="00BE0BD2" w:rsidRDefault="00EA3205" w:rsidP="00EA3205">
      <w:pPr>
        <w:rPr>
          <w:rFonts w:ascii="AcadNusx" w:hAnsi="AcadNusx"/>
          <w:u w:val="single"/>
        </w:rPr>
      </w:pPr>
      <w:r w:rsidRPr="00BE0BD2">
        <w:rPr>
          <w:rFonts w:ascii="AcadNusx" w:hAnsi="AcadNusx"/>
          <w:u w:val="single"/>
        </w:rPr>
        <w:t>hidroizolacia</w:t>
      </w:r>
    </w:p>
    <w:p w14:paraId="2976A872" w14:textId="77777777" w:rsidR="00EA3205" w:rsidRPr="00B05F62" w:rsidRDefault="00EA3205" w:rsidP="00BC62DB">
      <w:pPr>
        <w:spacing w:before="120" w:after="120"/>
        <w:rPr>
          <w:rFonts w:ascii="AcadNusx" w:hAnsi="AcadNusx"/>
          <w:cs/>
          <w:lang w:val="en-US"/>
        </w:rPr>
      </w:pPr>
      <w:r w:rsidRPr="00B05F62">
        <w:rPr>
          <w:rFonts w:ascii="AcadNusx" w:hAnsi="AcadNusx"/>
        </w:rPr>
        <w:t>xidebis fenilebis hidroizolirebisTvis tradiciulad farTod gamoiyeneba hidrosaizolacio fenis mowyoba dabetonebuli armaturis badis Tavze. aseTi konstruqcia kargad muSaobs raime mniSvnelovani saCivrebis gareSe. Sesabamisad, saproeqto xidebis fenilebis hidroizolirebac igive tradiciuli meTodiT Sesruldeba. xidebis fenilebis hidroizolaciis sqema ilustrirebulia suraTze 4.8.19.</w:t>
      </w:r>
    </w:p>
    <w:p w14:paraId="4828E33F" w14:textId="5F384591" w:rsidR="00EA3205" w:rsidRPr="00B05F62" w:rsidRDefault="00EA3205" w:rsidP="00A52183">
      <w:pPr>
        <w:jc w:val="center"/>
        <w:rPr>
          <w:rFonts w:ascii="AcadNusx" w:hAnsi="AcadNusx"/>
        </w:rPr>
      </w:pPr>
      <w:r w:rsidRPr="00B05F62">
        <w:rPr>
          <w:rFonts w:ascii="AcadNusx" w:hAnsi="AcadNusx"/>
          <w:noProof/>
          <w:lang w:val="en-US" w:eastAsia="en-US"/>
        </w:rPr>
        <w:lastRenderedPageBreak/>
        <w:drawing>
          <wp:inline distT="0" distB="0" distL="0" distR="0" wp14:anchorId="7C5CD8DB" wp14:editId="6A25DFD3">
            <wp:extent cx="4307840" cy="21431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cstate="email">
                      <a:extLst>
                        <a:ext uri="{28A0092B-C50C-407E-A947-70E740481C1C}">
                          <a14:useLocalDpi xmlns:a14="http://schemas.microsoft.com/office/drawing/2010/main"/>
                        </a:ext>
                      </a:extLst>
                    </a:blip>
                    <a:srcRect l="30975" t="14436" r="30568" b="38132"/>
                    <a:stretch>
                      <a:fillRect/>
                    </a:stretch>
                  </pic:blipFill>
                  <pic:spPr bwMode="auto">
                    <a:xfrm>
                      <a:off x="0" y="0"/>
                      <a:ext cx="4307840" cy="2143125"/>
                    </a:xfrm>
                    <a:prstGeom prst="rect">
                      <a:avLst/>
                    </a:prstGeom>
                    <a:noFill/>
                    <a:ln>
                      <a:noFill/>
                    </a:ln>
                  </pic:spPr>
                </pic:pic>
              </a:graphicData>
            </a:graphic>
          </wp:inline>
        </w:drawing>
      </w:r>
    </w:p>
    <w:p w14:paraId="63A2CCD0" w14:textId="0F10E233" w:rsidR="00EA3205" w:rsidRPr="00B05F62" w:rsidRDefault="00EA3205" w:rsidP="00EA3205">
      <w:pPr>
        <w:rPr>
          <w:rFonts w:ascii="AcadNusx" w:hAnsi="AcadNusx"/>
        </w:rPr>
      </w:pPr>
      <w:bookmarkStart w:id="149" w:name="_Ref497304122"/>
      <w:r w:rsidRPr="00B05F62">
        <w:rPr>
          <w:rFonts w:ascii="AcadNusx" w:hAnsi="AcadNusx"/>
        </w:rPr>
        <w:t xml:space="preserve">suraTi </w:t>
      </w:r>
      <w:r w:rsidR="00BC62DB" w:rsidRPr="00B05F62">
        <w:rPr>
          <w:rFonts w:ascii="AcadNusx" w:hAnsi="AcadNusx"/>
        </w:rPr>
        <w:t>4.</w:t>
      </w:r>
      <w:r w:rsidR="00BE0BD2">
        <w:rPr>
          <w:rFonts w:ascii="AcadNusx" w:hAnsi="AcadNusx"/>
        </w:rPr>
        <w:t>12</w:t>
      </w:r>
      <w:r w:rsidR="00BC62DB">
        <w:rPr>
          <w:rFonts w:ascii="AcadNusx" w:hAnsi="AcadNusx"/>
        </w:rPr>
        <w:t>.8-3</w:t>
      </w:r>
      <w:r w:rsidRPr="00B05F62">
        <w:rPr>
          <w:rFonts w:ascii="AcadNusx" w:hAnsi="AcadNusx"/>
        </w:rPr>
        <w:t>. xidis fenilis hidroizolaciis SeTavazebuli gadawyveta</w:t>
      </w:r>
    </w:p>
    <w:p w14:paraId="77983B19" w14:textId="77777777" w:rsidR="00EA3205" w:rsidRPr="00B05F62" w:rsidRDefault="00EA3205" w:rsidP="00EA3205">
      <w:pPr>
        <w:rPr>
          <w:rFonts w:ascii="AcadNusx" w:hAnsi="AcadNusx"/>
        </w:rPr>
      </w:pPr>
      <w:bookmarkStart w:id="150" w:name="_Toc499203353"/>
      <w:bookmarkEnd w:id="149"/>
    </w:p>
    <w:p w14:paraId="262031BC" w14:textId="77777777" w:rsidR="00EA3205" w:rsidRPr="00B05F62" w:rsidRDefault="00EA3205" w:rsidP="00BE0BD2">
      <w:pPr>
        <w:spacing w:before="120" w:after="120"/>
        <w:rPr>
          <w:rFonts w:ascii="AcadNusx" w:hAnsi="AcadNusx"/>
        </w:rPr>
      </w:pPr>
      <w:r w:rsidRPr="00BE0BD2">
        <w:rPr>
          <w:rFonts w:ascii="AcadNusx" w:hAnsi="AcadNusx"/>
          <w:u w:val="single"/>
        </w:rPr>
        <w:t>sagzao zRudari (Tvalamridi</w:t>
      </w:r>
      <w:r w:rsidRPr="00B05F62">
        <w:rPr>
          <w:rFonts w:ascii="AcadNusx" w:hAnsi="AcadNusx"/>
        </w:rPr>
        <w:t>)</w:t>
      </w:r>
    </w:p>
    <w:p w14:paraId="4D65B008" w14:textId="77777777" w:rsidR="00EA3205" w:rsidRPr="00B05F62" w:rsidRDefault="00EA3205" w:rsidP="00EA3205">
      <w:pPr>
        <w:rPr>
          <w:rFonts w:ascii="AcadNusx" w:hAnsi="AcadNusx"/>
        </w:rPr>
      </w:pPr>
      <w:r w:rsidRPr="00B05F62">
        <w:rPr>
          <w:rFonts w:ascii="AcadNusx" w:hAnsi="AcadNusx"/>
        </w:rPr>
        <w:t>xidze moZraobis usafrTxoebis pirobebi dakmayofildeba saqarTveloSi moqmedi proeqtirebis normebis Sesabamisad. kerZod, xidze fexiT mosiaruleTa dacvis da avtomobilebis xididan gadavardnis aRkveTis mizniT, xidebze, trotuarsa da saval nawils Soris damontaJdeba 850 mm simaRlis foladis zRudarebi (boZkintebiT da horizontaluri profiliT). xidze Semsvleli avtomobilebis usafrTxoebis gazrdis mizniT, zRudarebi ramdenime metriT gagrZeldeba xidis boloebs miRma da mdovred daeSveba Sesasvlelebidan gareT.</w:t>
      </w:r>
    </w:p>
    <w:bookmarkEnd w:id="150"/>
    <w:p w14:paraId="511EFE3E" w14:textId="77777777" w:rsidR="00EA3205" w:rsidRPr="00B05F62" w:rsidRDefault="00EA3205" w:rsidP="00EA3205">
      <w:pPr>
        <w:rPr>
          <w:rFonts w:ascii="AcadNusx" w:hAnsi="AcadNusx"/>
        </w:rPr>
      </w:pPr>
    </w:p>
    <w:p w14:paraId="2D0C7A79" w14:textId="474B9045" w:rsidR="00EA3205" w:rsidRPr="00B05F62" w:rsidRDefault="00EA3205" w:rsidP="00F31A39">
      <w:pPr>
        <w:jc w:val="center"/>
        <w:rPr>
          <w:rFonts w:ascii="AcadNusx" w:hAnsi="AcadNusx"/>
        </w:rPr>
      </w:pPr>
      <w:r w:rsidRPr="00B05F62">
        <w:rPr>
          <w:rFonts w:ascii="AcadNusx" w:hAnsi="AcadNusx"/>
          <w:noProof/>
          <w:lang w:val="en-US" w:eastAsia="en-US"/>
        </w:rPr>
        <w:drawing>
          <wp:inline distT="0" distB="0" distL="0" distR="0" wp14:anchorId="10F853A8" wp14:editId="5D34E732">
            <wp:extent cx="2655146" cy="25787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2667034" cy="2590281"/>
                    </a:xfrm>
                    <a:prstGeom prst="rect">
                      <a:avLst/>
                    </a:prstGeom>
                    <a:noFill/>
                    <a:ln>
                      <a:noFill/>
                    </a:ln>
                  </pic:spPr>
                </pic:pic>
              </a:graphicData>
            </a:graphic>
          </wp:inline>
        </w:drawing>
      </w:r>
    </w:p>
    <w:p w14:paraId="4D8EEB9E" w14:textId="16240158" w:rsidR="00F22D8B" w:rsidRPr="00F22D8B" w:rsidRDefault="00F22D8B" w:rsidP="00F22D8B">
      <w:r w:rsidRPr="00F22D8B">
        <w:rPr>
          <w:rFonts w:ascii="Sylfaen" w:hAnsi="Sylfaen" w:cs="Sylfaen"/>
        </w:rPr>
        <w:t>სურათი</w:t>
      </w:r>
      <w:r w:rsidRPr="00F22D8B">
        <w:t xml:space="preserve"> 4.1</w:t>
      </w:r>
      <w:r w:rsidR="00BE0BD2">
        <w:rPr>
          <w:rFonts w:ascii="Sylfaen" w:hAnsi="Sylfaen"/>
          <w:lang w:val="ka-GE"/>
        </w:rPr>
        <w:t>2</w:t>
      </w:r>
      <w:r w:rsidRPr="00F22D8B">
        <w:t xml:space="preserve">.8-4 </w:t>
      </w:r>
      <w:r w:rsidRPr="00F22D8B">
        <w:rPr>
          <w:rFonts w:ascii="Sylfaen" w:hAnsi="Sylfaen" w:cs="Sylfaen"/>
        </w:rPr>
        <w:t>საგზაო</w:t>
      </w:r>
      <w:r w:rsidRPr="00F22D8B">
        <w:t xml:space="preserve"> </w:t>
      </w:r>
      <w:r w:rsidRPr="00F22D8B">
        <w:rPr>
          <w:rFonts w:ascii="Sylfaen" w:hAnsi="Sylfaen" w:cs="Sylfaen"/>
        </w:rPr>
        <w:t>ზღუდარის</w:t>
      </w:r>
      <w:r w:rsidRPr="00F22D8B">
        <w:t xml:space="preserve"> </w:t>
      </w:r>
      <w:r w:rsidRPr="00F22D8B">
        <w:rPr>
          <w:rFonts w:ascii="Sylfaen" w:hAnsi="Sylfaen" w:cs="Sylfaen"/>
        </w:rPr>
        <w:t>ტიპიური</w:t>
      </w:r>
      <w:r w:rsidRPr="00F22D8B">
        <w:t xml:space="preserve"> </w:t>
      </w:r>
      <w:r w:rsidRPr="00F22D8B">
        <w:rPr>
          <w:rFonts w:ascii="Sylfaen" w:hAnsi="Sylfaen" w:cs="Sylfaen"/>
        </w:rPr>
        <w:t>გადაწყვეტა</w:t>
      </w:r>
    </w:p>
    <w:p w14:paraId="21C6FC13" w14:textId="77777777" w:rsidR="00F22D8B" w:rsidRPr="00F22D8B" w:rsidRDefault="00F22D8B" w:rsidP="00F22D8B">
      <w:pPr>
        <w:rPr>
          <w:u w:val="single"/>
        </w:rPr>
      </w:pPr>
      <w:r w:rsidRPr="00F22D8B">
        <w:rPr>
          <w:rFonts w:ascii="Sylfaen" w:hAnsi="Sylfaen" w:cs="Sylfaen"/>
          <w:u w:val="single"/>
        </w:rPr>
        <w:t>სადეფორმაციო</w:t>
      </w:r>
      <w:r w:rsidRPr="00F22D8B">
        <w:rPr>
          <w:u w:val="single"/>
        </w:rPr>
        <w:t xml:space="preserve"> </w:t>
      </w:r>
      <w:r w:rsidRPr="00F22D8B">
        <w:rPr>
          <w:rFonts w:ascii="Sylfaen" w:hAnsi="Sylfaen" w:cs="Sylfaen"/>
          <w:u w:val="single"/>
        </w:rPr>
        <w:t>ნაკერები</w:t>
      </w:r>
    </w:p>
    <w:p w14:paraId="69C12D5B" w14:textId="77777777" w:rsidR="00F22D8B" w:rsidRPr="00F22D8B" w:rsidRDefault="00F22D8B" w:rsidP="00F22D8B">
      <w:r w:rsidRPr="00F22D8B">
        <w:rPr>
          <w:rFonts w:ascii="Sylfaen" w:hAnsi="Sylfaen" w:cs="Sylfaen"/>
        </w:rPr>
        <w:t>ხიდებზე</w:t>
      </w:r>
      <w:r w:rsidRPr="00F22D8B">
        <w:t xml:space="preserve"> </w:t>
      </w:r>
      <w:r w:rsidRPr="00F22D8B">
        <w:rPr>
          <w:rFonts w:ascii="Sylfaen" w:hAnsi="Sylfaen" w:cs="Sylfaen"/>
        </w:rPr>
        <w:t>სადეფორმაციო</w:t>
      </w:r>
      <w:r w:rsidRPr="00F22D8B">
        <w:t xml:space="preserve"> </w:t>
      </w:r>
      <w:r w:rsidRPr="00F22D8B">
        <w:rPr>
          <w:rFonts w:ascii="Sylfaen" w:hAnsi="Sylfaen" w:cs="Sylfaen"/>
        </w:rPr>
        <w:t>ნაკერები</w:t>
      </w:r>
      <w:r w:rsidRPr="00F22D8B">
        <w:t xml:space="preserve"> </w:t>
      </w:r>
      <w:r w:rsidRPr="00F22D8B">
        <w:rPr>
          <w:rFonts w:ascii="Sylfaen" w:hAnsi="Sylfaen" w:cs="Sylfaen"/>
        </w:rPr>
        <w:t>მოეწყობა</w:t>
      </w:r>
      <w:r w:rsidRPr="00F22D8B">
        <w:t xml:space="preserve"> </w:t>
      </w:r>
      <w:r w:rsidRPr="00F22D8B">
        <w:rPr>
          <w:rFonts w:ascii="Sylfaen" w:hAnsi="Sylfaen" w:cs="Sylfaen"/>
        </w:rPr>
        <w:t>მხოლოდ</w:t>
      </w:r>
      <w:r w:rsidRPr="00F22D8B">
        <w:t xml:space="preserve"> </w:t>
      </w:r>
      <w:r w:rsidRPr="00F22D8B">
        <w:rPr>
          <w:rFonts w:ascii="Sylfaen" w:hAnsi="Sylfaen" w:cs="Sylfaen"/>
        </w:rPr>
        <w:t>სანაპირო</w:t>
      </w:r>
      <w:r w:rsidRPr="00F22D8B">
        <w:t xml:space="preserve"> </w:t>
      </w:r>
      <w:r w:rsidRPr="00F22D8B">
        <w:rPr>
          <w:rFonts w:ascii="Sylfaen" w:hAnsi="Sylfaen" w:cs="Sylfaen"/>
        </w:rPr>
        <w:t>ბურჯებზე</w:t>
      </w:r>
      <w:r w:rsidRPr="00F22D8B">
        <w:t xml:space="preserve">. </w:t>
      </w:r>
      <w:r w:rsidRPr="00F22D8B">
        <w:rPr>
          <w:rFonts w:ascii="Sylfaen" w:hAnsi="Sylfaen" w:cs="Sylfaen"/>
        </w:rPr>
        <w:t>გათვალისწინებულია</w:t>
      </w:r>
      <w:r w:rsidRPr="00F22D8B">
        <w:t xml:space="preserve"> </w:t>
      </w:r>
      <w:r w:rsidRPr="00F22D8B">
        <w:rPr>
          <w:rFonts w:ascii="Sylfaen" w:hAnsi="Sylfaen" w:cs="Sylfaen"/>
        </w:rPr>
        <w:t>ხიდის</w:t>
      </w:r>
      <w:r w:rsidRPr="00F22D8B">
        <w:t xml:space="preserve"> </w:t>
      </w:r>
      <w:r w:rsidRPr="00F22D8B">
        <w:rPr>
          <w:rFonts w:ascii="Sylfaen" w:hAnsi="Sylfaen" w:cs="Sylfaen"/>
        </w:rPr>
        <w:t>მალის</w:t>
      </w:r>
      <w:r w:rsidRPr="00F22D8B">
        <w:t xml:space="preserve"> </w:t>
      </w:r>
      <w:r w:rsidRPr="00F22D8B">
        <w:rPr>
          <w:rFonts w:ascii="Sylfaen" w:hAnsi="Sylfaen" w:cs="Sylfaen"/>
        </w:rPr>
        <w:t>ნაშენის</w:t>
      </w:r>
      <w:r w:rsidRPr="00F22D8B">
        <w:t xml:space="preserve"> </w:t>
      </w:r>
      <w:r w:rsidRPr="00F22D8B">
        <w:rPr>
          <w:rFonts w:ascii="Sylfaen" w:hAnsi="Sylfaen" w:cs="Sylfaen"/>
        </w:rPr>
        <w:t>უწყვეტად</w:t>
      </w:r>
      <w:r w:rsidRPr="00F22D8B">
        <w:t xml:space="preserve"> (</w:t>
      </w:r>
      <w:r w:rsidRPr="00F22D8B">
        <w:rPr>
          <w:rFonts w:ascii="Sylfaen" w:hAnsi="Sylfaen" w:cs="Sylfaen"/>
        </w:rPr>
        <w:t>უჭრი</w:t>
      </w:r>
      <w:r w:rsidRPr="00F22D8B">
        <w:t xml:space="preserve"> </w:t>
      </w:r>
      <w:r w:rsidRPr="00F22D8B">
        <w:rPr>
          <w:rFonts w:ascii="Sylfaen" w:hAnsi="Sylfaen" w:cs="Sylfaen"/>
        </w:rPr>
        <w:t>სახით</w:t>
      </w:r>
      <w:r w:rsidRPr="00F22D8B">
        <w:t xml:space="preserve">) </w:t>
      </w:r>
      <w:r w:rsidRPr="00F22D8B">
        <w:rPr>
          <w:rFonts w:ascii="Sylfaen" w:hAnsi="Sylfaen" w:cs="Sylfaen"/>
        </w:rPr>
        <w:t>მოწყობა</w:t>
      </w:r>
      <w:r w:rsidRPr="00F22D8B">
        <w:t xml:space="preserve"> </w:t>
      </w:r>
      <w:r w:rsidRPr="00F22D8B">
        <w:rPr>
          <w:rFonts w:ascii="Sylfaen" w:hAnsi="Sylfaen" w:cs="Sylfaen"/>
        </w:rPr>
        <w:t>ხიდის</w:t>
      </w:r>
      <w:r w:rsidRPr="00F22D8B">
        <w:t xml:space="preserve"> </w:t>
      </w:r>
      <w:r w:rsidRPr="00F22D8B">
        <w:rPr>
          <w:rFonts w:ascii="Sylfaen" w:hAnsi="Sylfaen" w:cs="Sylfaen"/>
        </w:rPr>
        <w:t>მთლიან</w:t>
      </w:r>
      <w:r w:rsidRPr="00F22D8B">
        <w:t xml:space="preserve"> </w:t>
      </w:r>
      <w:r w:rsidRPr="00F22D8B">
        <w:rPr>
          <w:rFonts w:ascii="Sylfaen" w:hAnsi="Sylfaen" w:cs="Sylfaen"/>
        </w:rPr>
        <w:t>სიგრძეზე</w:t>
      </w:r>
      <w:r w:rsidRPr="00F22D8B">
        <w:t xml:space="preserve">, </w:t>
      </w:r>
      <w:r w:rsidRPr="00F22D8B">
        <w:rPr>
          <w:rFonts w:ascii="Sylfaen" w:hAnsi="Sylfaen" w:cs="Sylfaen"/>
        </w:rPr>
        <w:t>რაც</w:t>
      </w:r>
      <w:r w:rsidRPr="00F22D8B">
        <w:t xml:space="preserve"> </w:t>
      </w:r>
      <w:r w:rsidRPr="00F22D8B">
        <w:rPr>
          <w:rFonts w:ascii="Sylfaen" w:hAnsi="Sylfaen" w:cs="Sylfaen"/>
        </w:rPr>
        <w:t>გააუმჯობესებს</w:t>
      </w:r>
      <w:r w:rsidRPr="00F22D8B">
        <w:t xml:space="preserve"> </w:t>
      </w:r>
      <w:r w:rsidRPr="00F22D8B">
        <w:rPr>
          <w:rFonts w:ascii="Sylfaen" w:hAnsi="Sylfaen" w:cs="Sylfaen"/>
        </w:rPr>
        <w:t>მოძრაობის</w:t>
      </w:r>
      <w:r w:rsidRPr="00F22D8B">
        <w:t xml:space="preserve"> </w:t>
      </w:r>
      <w:r w:rsidRPr="00F22D8B">
        <w:rPr>
          <w:rFonts w:ascii="Sylfaen" w:hAnsi="Sylfaen" w:cs="Sylfaen"/>
        </w:rPr>
        <w:t>კომფორტულობას</w:t>
      </w:r>
      <w:r w:rsidRPr="00F22D8B">
        <w:t xml:space="preserve"> </w:t>
      </w:r>
      <w:r w:rsidRPr="00F22D8B">
        <w:rPr>
          <w:rFonts w:ascii="Sylfaen" w:hAnsi="Sylfaen" w:cs="Sylfaen"/>
        </w:rPr>
        <w:t>და</w:t>
      </w:r>
      <w:r w:rsidRPr="00F22D8B">
        <w:t xml:space="preserve"> </w:t>
      </w:r>
      <w:r w:rsidRPr="00F22D8B">
        <w:rPr>
          <w:rFonts w:ascii="Sylfaen" w:hAnsi="Sylfaen" w:cs="Sylfaen"/>
        </w:rPr>
        <w:t>შეამცირებს</w:t>
      </w:r>
      <w:r w:rsidRPr="00F22D8B">
        <w:t xml:space="preserve"> </w:t>
      </w:r>
      <w:r w:rsidRPr="00F22D8B">
        <w:rPr>
          <w:rFonts w:ascii="Sylfaen" w:hAnsi="Sylfaen" w:cs="Sylfaen"/>
        </w:rPr>
        <w:t>მოვლა</w:t>
      </w:r>
      <w:r w:rsidRPr="00F22D8B">
        <w:t>-</w:t>
      </w:r>
      <w:r w:rsidRPr="00F22D8B">
        <w:rPr>
          <w:rFonts w:ascii="Sylfaen" w:hAnsi="Sylfaen" w:cs="Sylfaen"/>
        </w:rPr>
        <w:t>შენახვის</w:t>
      </w:r>
      <w:r w:rsidRPr="00F22D8B">
        <w:t xml:space="preserve"> </w:t>
      </w:r>
      <w:r w:rsidRPr="00F22D8B">
        <w:rPr>
          <w:rFonts w:ascii="Sylfaen" w:hAnsi="Sylfaen" w:cs="Sylfaen"/>
        </w:rPr>
        <w:t>მოთხოვნებს</w:t>
      </w:r>
      <w:r w:rsidRPr="00F22D8B">
        <w:t xml:space="preserve">. </w:t>
      </w:r>
      <w:r w:rsidRPr="00F22D8B">
        <w:rPr>
          <w:rFonts w:ascii="Sylfaen" w:hAnsi="Sylfaen" w:cs="Sylfaen"/>
        </w:rPr>
        <w:t>ხარისხის</w:t>
      </w:r>
      <w:r w:rsidRPr="00F22D8B">
        <w:t xml:space="preserve"> </w:t>
      </w:r>
      <w:r w:rsidRPr="00F22D8B">
        <w:rPr>
          <w:rFonts w:ascii="Sylfaen" w:hAnsi="Sylfaen" w:cs="Sylfaen"/>
        </w:rPr>
        <w:t>უზრუნველყოფის</w:t>
      </w:r>
      <w:r w:rsidRPr="00F22D8B">
        <w:t xml:space="preserve"> </w:t>
      </w:r>
      <w:r w:rsidRPr="00F22D8B">
        <w:rPr>
          <w:rFonts w:ascii="Sylfaen" w:hAnsi="Sylfaen" w:cs="Sylfaen"/>
        </w:rPr>
        <w:t>მიზნით</w:t>
      </w:r>
      <w:r w:rsidRPr="00F22D8B">
        <w:t xml:space="preserve">, </w:t>
      </w:r>
      <w:r w:rsidRPr="00F22D8B">
        <w:rPr>
          <w:rFonts w:ascii="Sylfaen" w:hAnsi="Sylfaen" w:cs="Sylfaen"/>
        </w:rPr>
        <w:t>სადეფორმაციო</w:t>
      </w:r>
      <w:r w:rsidRPr="00F22D8B">
        <w:t xml:space="preserve"> </w:t>
      </w:r>
      <w:r w:rsidRPr="00F22D8B">
        <w:rPr>
          <w:rFonts w:ascii="Sylfaen" w:hAnsi="Sylfaen" w:cs="Sylfaen"/>
        </w:rPr>
        <w:t>ნაკერები</w:t>
      </w:r>
      <w:r w:rsidRPr="00F22D8B">
        <w:t xml:space="preserve"> </w:t>
      </w:r>
      <w:r w:rsidRPr="00F22D8B">
        <w:rPr>
          <w:rFonts w:ascii="Sylfaen" w:hAnsi="Sylfaen" w:cs="Sylfaen"/>
        </w:rPr>
        <w:t>მოწოდებული</w:t>
      </w:r>
      <w:r w:rsidRPr="00F22D8B">
        <w:t xml:space="preserve"> </w:t>
      </w:r>
      <w:r w:rsidRPr="00F22D8B">
        <w:rPr>
          <w:rFonts w:ascii="Sylfaen" w:hAnsi="Sylfaen" w:cs="Sylfaen"/>
        </w:rPr>
        <w:t>უნდა</w:t>
      </w:r>
      <w:r w:rsidRPr="00F22D8B">
        <w:t xml:space="preserve"> </w:t>
      </w:r>
      <w:r w:rsidRPr="00F22D8B">
        <w:rPr>
          <w:rFonts w:ascii="Sylfaen" w:hAnsi="Sylfaen" w:cs="Sylfaen"/>
        </w:rPr>
        <w:t>იყონ</w:t>
      </w:r>
      <w:r w:rsidRPr="00F22D8B">
        <w:t xml:space="preserve"> </w:t>
      </w:r>
      <w:r w:rsidRPr="00F22D8B">
        <w:rPr>
          <w:rFonts w:ascii="Sylfaen" w:hAnsi="Sylfaen" w:cs="Sylfaen"/>
        </w:rPr>
        <w:t>აღიარებული</w:t>
      </w:r>
      <w:r w:rsidRPr="00F22D8B">
        <w:t xml:space="preserve"> </w:t>
      </w:r>
      <w:r w:rsidRPr="00F22D8B">
        <w:rPr>
          <w:rFonts w:ascii="Sylfaen" w:hAnsi="Sylfaen" w:cs="Sylfaen"/>
        </w:rPr>
        <w:t>დამამზადებლებისგან</w:t>
      </w:r>
      <w:r w:rsidRPr="00F22D8B">
        <w:t xml:space="preserve">. </w:t>
      </w:r>
    </w:p>
    <w:p w14:paraId="32F5EEB3" w14:textId="77777777" w:rsidR="00F22D8B" w:rsidRPr="00F22D8B" w:rsidRDefault="00F22D8B" w:rsidP="00F22D8B"/>
    <w:p w14:paraId="1FD31F6C" w14:textId="77777777" w:rsidR="00F22D8B" w:rsidRPr="00F22D8B" w:rsidRDefault="00F22D8B" w:rsidP="00F22D8B">
      <w:pPr>
        <w:rPr>
          <w:u w:val="single"/>
        </w:rPr>
      </w:pPr>
      <w:r w:rsidRPr="00F22D8B">
        <w:rPr>
          <w:rFonts w:ascii="Sylfaen" w:hAnsi="Sylfaen" w:cs="Sylfaen"/>
          <w:u w:val="single"/>
        </w:rPr>
        <w:t>საყრდენი</w:t>
      </w:r>
      <w:r w:rsidRPr="00F22D8B">
        <w:rPr>
          <w:u w:val="single"/>
        </w:rPr>
        <w:t xml:space="preserve"> </w:t>
      </w:r>
      <w:r w:rsidRPr="00F22D8B">
        <w:rPr>
          <w:rFonts w:ascii="Sylfaen" w:hAnsi="Sylfaen" w:cs="Sylfaen"/>
          <w:u w:val="single"/>
        </w:rPr>
        <w:t>ნაწილები</w:t>
      </w:r>
    </w:p>
    <w:p w14:paraId="01693646" w14:textId="77777777" w:rsidR="00F22D8B" w:rsidRPr="00F22D8B" w:rsidRDefault="00F22D8B" w:rsidP="00F22D8B">
      <w:r w:rsidRPr="00F22D8B">
        <w:rPr>
          <w:rFonts w:ascii="Sylfaen" w:hAnsi="Sylfaen" w:cs="Sylfaen"/>
        </w:rPr>
        <w:lastRenderedPageBreak/>
        <w:t>ხიდის</w:t>
      </w:r>
      <w:r w:rsidRPr="00F22D8B">
        <w:t xml:space="preserve"> </w:t>
      </w:r>
      <w:r w:rsidRPr="00F22D8B">
        <w:rPr>
          <w:rFonts w:ascii="Sylfaen" w:hAnsi="Sylfaen" w:cs="Sylfaen"/>
        </w:rPr>
        <w:t>კონსტრუქციული</w:t>
      </w:r>
      <w:r w:rsidRPr="00F22D8B">
        <w:t xml:space="preserve"> </w:t>
      </w:r>
      <w:r w:rsidRPr="00F22D8B">
        <w:rPr>
          <w:rFonts w:ascii="Sylfaen" w:hAnsi="Sylfaen" w:cs="Sylfaen"/>
        </w:rPr>
        <w:t>ნაწილების</w:t>
      </w:r>
      <w:r w:rsidRPr="00F22D8B">
        <w:t xml:space="preserve"> </w:t>
      </w:r>
      <w:r w:rsidRPr="00F22D8B">
        <w:rPr>
          <w:rFonts w:ascii="Sylfaen" w:hAnsi="Sylfaen" w:cs="Sylfaen"/>
        </w:rPr>
        <w:t>შეუღლებისთვის</w:t>
      </w:r>
      <w:r w:rsidRPr="00F22D8B">
        <w:t xml:space="preserve"> </w:t>
      </w:r>
      <w:r w:rsidRPr="00F22D8B">
        <w:rPr>
          <w:rFonts w:ascii="Sylfaen" w:hAnsi="Sylfaen" w:cs="Sylfaen"/>
        </w:rPr>
        <w:t>გამოყენებული</w:t>
      </w:r>
      <w:r w:rsidRPr="00F22D8B">
        <w:t xml:space="preserve"> </w:t>
      </w:r>
      <w:r w:rsidRPr="00F22D8B">
        <w:rPr>
          <w:rFonts w:ascii="Sylfaen" w:hAnsi="Sylfaen" w:cs="Sylfaen"/>
        </w:rPr>
        <w:t>იქნება</w:t>
      </w:r>
      <w:r w:rsidRPr="00F22D8B">
        <w:t xml:space="preserve"> </w:t>
      </w:r>
      <w:r w:rsidRPr="00F22D8B">
        <w:rPr>
          <w:rFonts w:ascii="Sylfaen" w:hAnsi="Sylfaen" w:cs="Sylfaen"/>
        </w:rPr>
        <w:t>მარტივი</w:t>
      </w:r>
      <w:r w:rsidRPr="00F22D8B">
        <w:t xml:space="preserve"> </w:t>
      </w:r>
      <w:r w:rsidRPr="00F22D8B">
        <w:rPr>
          <w:rFonts w:ascii="Sylfaen" w:hAnsi="Sylfaen" w:cs="Sylfaen"/>
        </w:rPr>
        <w:t>ტიპის</w:t>
      </w:r>
      <w:r w:rsidRPr="00F22D8B">
        <w:t xml:space="preserve"> </w:t>
      </w:r>
      <w:r w:rsidRPr="00F22D8B">
        <w:rPr>
          <w:rFonts w:ascii="Sylfaen" w:hAnsi="Sylfaen" w:cs="Sylfaen"/>
        </w:rPr>
        <w:t>რეზინის</w:t>
      </w:r>
      <w:r w:rsidRPr="00F22D8B">
        <w:t xml:space="preserve"> </w:t>
      </w:r>
      <w:r w:rsidRPr="00F22D8B">
        <w:rPr>
          <w:rFonts w:ascii="Sylfaen" w:hAnsi="Sylfaen" w:cs="Sylfaen"/>
        </w:rPr>
        <w:t>და</w:t>
      </w:r>
      <w:r w:rsidRPr="00F22D8B">
        <w:t xml:space="preserve"> </w:t>
      </w:r>
      <w:r w:rsidRPr="00F22D8B">
        <w:rPr>
          <w:rFonts w:ascii="Sylfaen" w:hAnsi="Sylfaen" w:cs="Sylfaen"/>
        </w:rPr>
        <w:t>მეტალის</w:t>
      </w:r>
      <w:r w:rsidRPr="00F22D8B">
        <w:t xml:space="preserve"> </w:t>
      </w:r>
      <w:r w:rsidRPr="00F22D8B">
        <w:rPr>
          <w:rFonts w:ascii="Sylfaen" w:hAnsi="Sylfaen" w:cs="Sylfaen"/>
        </w:rPr>
        <w:t>ფენებიანი</w:t>
      </w:r>
      <w:r w:rsidRPr="00F22D8B">
        <w:t xml:space="preserve"> (</w:t>
      </w:r>
      <w:r w:rsidRPr="00F22D8B">
        <w:rPr>
          <w:rFonts w:ascii="Sylfaen" w:hAnsi="Sylfaen" w:cs="Sylfaen"/>
        </w:rPr>
        <w:t>ლამინირებული</w:t>
      </w:r>
      <w:r w:rsidRPr="00F22D8B">
        <w:t xml:space="preserve">) </w:t>
      </w:r>
      <w:r w:rsidRPr="00F22D8B">
        <w:rPr>
          <w:rFonts w:ascii="Sylfaen" w:hAnsi="Sylfaen" w:cs="Sylfaen"/>
        </w:rPr>
        <w:t>საყრდენი</w:t>
      </w:r>
      <w:r w:rsidRPr="00F22D8B">
        <w:t xml:space="preserve"> </w:t>
      </w:r>
      <w:r w:rsidRPr="00F22D8B">
        <w:rPr>
          <w:rFonts w:ascii="Sylfaen" w:hAnsi="Sylfaen" w:cs="Sylfaen"/>
        </w:rPr>
        <w:t>ნაწილები</w:t>
      </w:r>
      <w:r w:rsidRPr="00F22D8B">
        <w:t xml:space="preserve">. </w:t>
      </w:r>
      <w:r w:rsidRPr="00F22D8B">
        <w:rPr>
          <w:rFonts w:ascii="Sylfaen" w:hAnsi="Sylfaen" w:cs="Sylfaen"/>
        </w:rPr>
        <w:t>საყრდენი</w:t>
      </w:r>
      <w:r w:rsidRPr="00F22D8B">
        <w:t xml:space="preserve"> </w:t>
      </w:r>
      <w:r w:rsidRPr="00F22D8B">
        <w:rPr>
          <w:rFonts w:ascii="Sylfaen" w:hAnsi="Sylfaen" w:cs="Sylfaen"/>
        </w:rPr>
        <w:t>ნაწილები</w:t>
      </w:r>
      <w:r w:rsidRPr="00F22D8B">
        <w:t xml:space="preserve"> </w:t>
      </w:r>
      <w:r w:rsidRPr="00F22D8B">
        <w:rPr>
          <w:rFonts w:ascii="Sylfaen" w:hAnsi="Sylfaen" w:cs="Sylfaen"/>
        </w:rPr>
        <w:t>განთავსდება</w:t>
      </w:r>
      <w:r w:rsidRPr="00F22D8B">
        <w:t xml:space="preserve"> </w:t>
      </w:r>
      <w:r w:rsidRPr="00F22D8B">
        <w:rPr>
          <w:rFonts w:ascii="Sylfaen" w:hAnsi="Sylfaen" w:cs="Sylfaen"/>
        </w:rPr>
        <w:t>სანაპირო</w:t>
      </w:r>
      <w:r w:rsidRPr="00F22D8B">
        <w:t xml:space="preserve"> </w:t>
      </w:r>
      <w:r w:rsidRPr="00F22D8B">
        <w:rPr>
          <w:rFonts w:ascii="Sylfaen" w:hAnsi="Sylfaen" w:cs="Sylfaen"/>
        </w:rPr>
        <w:t>და</w:t>
      </w:r>
      <w:r w:rsidRPr="00F22D8B">
        <w:t xml:space="preserve"> </w:t>
      </w:r>
      <w:r w:rsidRPr="00F22D8B">
        <w:rPr>
          <w:rFonts w:ascii="Sylfaen" w:hAnsi="Sylfaen" w:cs="Sylfaen"/>
        </w:rPr>
        <w:t>შაულედ</w:t>
      </w:r>
      <w:r w:rsidRPr="00F22D8B">
        <w:t xml:space="preserve"> </w:t>
      </w:r>
      <w:r w:rsidRPr="00F22D8B">
        <w:rPr>
          <w:rFonts w:ascii="Sylfaen" w:hAnsi="Sylfaen" w:cs="Sylfaen"/>
        </w:rPr>
        <w:t>ბურჯებზე</w:t>
      </w:r>
      <w:r w:rsidRPr="00F22D8B">
        <w:t xml:space="preserve">, </w:t>
      </w:r>
      <w:r w:rsidRPr="00F22D8B">
        <w:rPr>
          <w:rFonts w:ascii="Sylfaen" w:hAnsi="Sylfaen" w:cs="Sylfaen"/>
        </w:rPr>
        <w:t>მალის</w:t>
      </w:r>
      <w:r w:rsidRPr="00F22D8B">
        <w:t xml:space="preserve"> </w:t>
      </w:r>
      <w:r w:rsidRPr="00F22D8B">
        <w:rPr>
          <w:rFonts w:ascii="Sylfaen" w:hAnsi="Sylfaen" w:cs="Sylfaen"/>
        </w:rPr>
        <w:t>ნაშენის</w:t>
      </w:r>
      <w:r w:rsidRPr="00F22D8B">
        <w:t xml:space="preserve"> </w:t>
      </w:r>
      <w:r w:rsidRPr="00F22D8B">
        <w:rPr>
          <w:rFonts w:ascii="Sylfaen" w:hAnsi="Sylfaen" w:cs="Sylfaen"/>
        </w:rPr>
        <w:t>დასაყრდნობად</w:t>
      </w:r>
      <w:r w:rsidRPr="00F22D8B">
        <w:t xml:space="preserve">. </w:t>
      </w:r>
      <w:r w:rsidRPr="00F22D8B">
        <w:rPr>
          <w:rFonts w:ascii="Sylfaen" w:hAnsi="Sylfaen" w:cs="Sylfaen"/>
        </w:rPr>
        <w:t>იგულისხმება</w:t>
      </w:r>
      <w:r w:rsidRPr="00F22D8B">
        <w:t xml:space="preserve">, </w:t>
      </w:r>
      <w:r w:rsidRPr="00F22D8B">
        <w:rPr>
          <w:rFonts w:ascii="Sylfaen" w:hAnsi="Sylfaen" w:cs="Sylfaen"/>
        </w:rPr>
        <w:t>რომ</w:t>
      </w:r>
      <w:r w:rsidRPr="00F22D8B">
        <w:t xml:space="preserve"> </w:t>
      </w:r>
      <w:r w:rsidRPr="00F22D8B">
        <w:rPr>
          <w:rFonts w:ascii="Sylfaen" w:hAnsi="Sylfaen" w:cs="Sylfaen"/>
        </w:rPr>
        <w:t>საყრდენი</w:t>
      </w:r>
      <w:r w:rsidRPr="00F22D8B">
        <w:t xml:space="preserve"> </w:t>
      </w:r>
      <w:r w:rsidRPr="00F22D8B">
        <w:rPr>
          <w:rFonts w:ascii="Sylfaen" w:hAnsi="Sylfaen" w:cs="Sylfaen"/>
        </w:rPr>
        <w:t>ნაწილების</w:t>
      </w:r>
      <w:r w:rsidRPr="00F22D8B">
        <w:t xml:space="preserve"> </w:t>
      </w:r>
      <w:r w:rsidRPr="00F22D8B">
        <w:rPr>
          <w:rFonts w:ascii="Sylfaen" w:hAnsi="Sylfaen" w:cs="Sylfaen"/>
        </w:rPr>
        <w:t>დრეკადობა</w:t>
      </w:r>
      <w:r w:rsidRPr="00F22D8B">
        <w:t xml:space="preserve"> </w:t>
      </w:r>
      <w:r w:rsidRPr="00F22D8B">
        <w:rPr>
          <w:rFonts w:ascii="Sylfaen" w:hAnsi="Sylfaen" w:cs="Sylfaen"/>
        </w:rPr>
        <w:t>ვერტიკალური</w:t>
      </w:r>
      <w:r w:rsidRPr="00F22D8B">
        <w:t xml:space="preserve"> </w:t>
      </w:r>
      <w:r w:rsidRPr="00F22D8B">
        <w:rPr>
          <w:rFonts w:ascii="Sylfaen" w:hAnsi="Sylfaen" w:cs="Sylfaen"/>
        </w:rPr>
        <w:t>მიმართულებით</w:t>
      </w:r>
      <w:r w:rsidRPr="00F22D8B">
        <w:t xml:space="preserve"> </w:t>
      </w:r>
      <w:r w:rsidRPr="00F22D8B">
        <w:rPr>
          <w:rFonts w:ascii="Sylfaen" w:hAnsi="Sylfaen" w:cs="Sylfaen"/>
        </w:rPr>
        <w:t>აბსოლუტური</w:t>
      </w:r>
      <w:r w:rsidRPr="00F22D8B">
        <w:t xml:space="preserve"> </w:t>
      </w:r>
      <w:r w:rsidRPr="00F22D8B">
        <w:rPr>
          <w:rFonts w:ascii="Sylfaen" w:hAnsi="Sylfaen" w:cs="Sylfaen"/>
        </w:rPr>
        <w:t>იქნება</w:t>
      </w:r>
      <w:r w:rsidRPr="00F22D8B">
        <w:t xml:space="preserve">, </w:t>
      </w:r>
      <w:r w:rsidRPr="00F22D8B">
        <w:rPr>
          <w:rFonts w:ascii="Sylfaen" w:hAnsi="Sylfaen" w:cs="Sylfaen"/>
        </w:rPr>
        <w:t>ხოლო</w:t>
      </w:r>
      <w:r w:rsidRPr="00F22D8B">
        <w:t xml:space="preserve"> </w:t>
      </w:r>
      <w:r w:rsidRPr="00F22D8B">
        <w:rPr>
          <w:rFonts w:ascii="Sylfaen" w:hAnsi="Sylfaen" w:cs="Sylfaen"/>
        </w:rPr>
        <w:t>ხიდის</w:t>
      </w:r>
      <w:r w:rsidRPr="00F22D8B">
        <w:t xml:space="preserve"> </w:t>
      </w:r>
      <w:r w:rsidRPr="00F22D8B">
        <w:rPr>
          <w:rFonts w:ascii="Sylfaen" w:hAnsi="Sylfaen" w:cs="Sylfaen"/>
        </w:rPr>
        <w:t>მიმართულებით</w:t>
      </w:r>
      <w:r w:rsidRPr="00F22D8B">
        <w:t xml:space="preserve"> </w:t>
      </w:r>
      <w:r w:rsidRPr="00F22D8B">
        <w:rPr>
          <w:rFonts w:ascii="AcadNusx" w:hAnsi="AcadNusx" w:cs="AcadNusx"/>
        </w:rPr>
        <w:t>–</w:t>
      </w:r>
      <w:r w:rsidRPr="00F22D8B">
        <w:t xml:space="preserve"> </w:t>
      </w:r>
      <w:r w:rsidRPr="00F22D8B">
        <w:rPr>
          <w:rFonts w:ascii="Sylfaen" w:hAnsi="Sylfaen" w:cs="Sylfaen"/>
        </w:rPr>
        <w:t>სასრული</w:t>
      </w:r>
      <w:r w:rsidRPr="00F22D8B">
        <w:t xml:space="preserve">. </w:t>
      </w:r>
      <w:r w:rsidRPr="00F22D8B">
        <w:rPr>
          <w:rFonts w:ascii="Sylfaen" w:hAnsi="Sylfaen" w:cs="Sylfaen"/>
        </w:rPr>
        <w:t>ექსტრემალური</w:t>
      </w:r>
      <w:r w:rsidRPr="00F22D8B">
        <w:t xml:space="preserve"> </w:t>
      </w:r>
      <w:r w:rsidRPr="00F22D8B">
        <w:rPr>
          <w:rFonts w:ascii="Sylfaen" w:hAnsi="Sylfaen" w:cs="Sylfaen"/>
        </w:rPr>
        <w:t>მოვლენის</w:t>
      </w:r>
      <w:r w:rsidRPr="00F22D8B">
        <w:t xml:space="preserve"> (</w:t>
      </w:r>
      <w:r w:rsidRPr="00F22D8B">
        <w:rPr>
          <w:rFonts w:ascii="Sylfaen" w:hAnsi="Sylfaen" w:cs="Sylfaen"/>
        </w:rPr>
        <w:t>მაგ</w:t>
      </w:r>
      <w:r w:rsidRPr="00F22D8B">
        <w:t xml:space="preserve">., </w:t>
      </w:r>
      <w:r w:rsidRPr="00F22D8B">
        <w:rPr>
          <w:rFonts w:ascii="Sylfaen" w:hAnsi="Sylfaen" w:cs="Sylfaen"/>
        </w:rPr>
        <w:t>მიწისძვრის</w:t>
      </w:r>
      <w:r w:rsidRPr="00F22D8B">
        <w:t xml:space="preserve">) </w:t>
      </w:r>
      <w:r w:rsidRPr="00F22D8B">
        <w:rPr>
          <w:rFonts w:ascii="Sylfaen" w:hAnsi="Sylfaen" w:cs="Sylfaen"/>
        </w:rPr>
        <w:t>დროს</w:t>
      </w:r>
      <w:r w:rsidRPr="00F22D8B">
        <w:t xml:space="preserve"> </w:t>
      </w:r>
      <w:r w:rsidRPr="00F22D8B">
        <w:rPr>
          <w:rFonts w:ascii="Sylfaen" w:hAnsi="Sylfaen" w:cs="Sylfaen"/>
        </w:rPr>
        <w:t>საყრდენი</w:t>
      </w:r>
      <w:r w:rsidRPr="00F22D8B">
        <w:t xml:space="preserve"> </w:t>
      </w:r>
      <w:r w:rsidRPr="00F22D8B">
        <w:rPr>
          <w:rFonts w:ascii="Sylfaen" w:hAnsi="Sylfaen" w:cs="Sylfaen"/>
        </w:rPr>
        <w:t>ნაწილების</w:t>
      </w:r>
      <w:r w:rsidRPr="00F22D8B">
        <w:t xml:space="preserve"> </w:t>
      </w:r>
      <w:r w:rsidRPr="00F22D8B">
        <w:rPr>
          <w:rFonts w:ascii="Sylfaen" w:hAnsi="Sylfaen" w:cs="Sylfaen"/>
        </w:rPr>
        <w:t>ჩამქრობი</w:t>
      </w:r>
      <w:r w:rsidRPr="00F22D8B">
        <w:t xml:space="preserve"> (</w:t>
      </w:r>
      <w:r w:rsidRPr="00F22D8B">
        <w:rPr>
          <w:rFonts w:ascii="Sylfaen" w:hAnsi="Sylfaen" w:cs="Sylfaen"/>
        </w:rPr>
        <w:t>მადემპფირებელი</w:t>
      </w:r>
      <w:r w:rsidRPr="00F22D8B">
        <w:t xml:space="preserve">) </w:t>
      </w:r>
      <w:r w:rsidRPr="00F22D8B">
        <w:rPr>
          <w:rFonts w:ascii="Sylfaen" w:hAnsi="Sylfaen" w:cs="Sylfaen"/>
        </w:rPr>
        <w:t>მოქმედება</w:t>
      </w:r>
      <w:r w:rsidRPr="00F22D8B">
        <w:t xml:space="preserve"> </w:t>
      </w:r>
      <w:r w:rsidRPr="00F22D8B">
        <w:rPr>
          <w:rFonts w:ascii="Sylfaen" w:hAnsi="Sylfaen" w:cs="Sylfaen"/>
        </w:rPr>
        <w:t>უმნიშვნელოდ</w:t>
      </w:r>
      <w:r w:rsidRPr="00F22D8B">
        <w:t xml:space="preserve"> </w:t>
      </w:r>
      <w:r w:rsidRPr="00F22D8B">
        <w:rPr>
          <w:rFonts w:ascii="Sylfaen" w:hAnsi="Sylfaen" w:cs="Sylfaen"/>
        </w:rPr>
        <w:t>მიიჩნევა</w:t>
      </w:r>
      <w:r w:rsidRPr="00F22D8B">
        <w:t xml:space="preserve"> </w:t>
      </w:r>
      <w:r w:rsidRPr="00F22D8B">
        <w:rPr>
          <w:rFonts w:ascii="Sylfaen" w:hAnsi="Sylfaen" w:cs="Sylfaen"/>
        </w:rPr>
        <w:t>და</w:t>
      </w:r>
      <w:r w:rsidRPr="00F22D8B">
        <w:t xml:space="preserve"> </w:t>
      </w:r>
      <w:r w:rsidRPr="00F22D8B">
        <w:rPr>
          <w:rFonts w:ascii="Sylfaen" w:hAnsi="Sylfaen" w:cs="Sylfaen"/>
        </w:rPr>
        <w:t>მხედველობაში</w:t>
      </w:r>
      <w:r w:rsidRPr="00F22D8B">
        <w:t xml:space="preserve"> </w:t>
      </w:r>
      <w:r w:rsidRPr="00F22D8B">
        <w:rPr>
          <w:rFonts w:ascii="Sylfaen" w:hAnsi="Sylfaen" w:cs="Sylfaen"/>
        </w:rPr>
        <w:t>არ</w:t>
      </w:r>
      <w:r w:rsidRPr="00F22D8B">
        <w:t xml:space="preserve"> </w:t>
      </w:r>
      <w:r w:rsidRPr="00F22D8B">
        <w:rPr>
          <w:rFonts w:ascii="Sylfaen" w:hAnsi="Sylfaen" w:cs="Sylfaen"/>
        </w:rPr>
        <w:t>მიიღება</w:t>
      </w:r>
      <w:r w:rsidRPr="00F22D8B">
        <w:t>.</w:t>
      </w:r>
    </w:p>
    <w:p w14:paraId="3C53CC35" w14:textId="77777777" w:rsidR="00F22D8B" w:rsidRPr="00F22D8B" w:rsidRDefault="00F22D8B" w:rsidP="00F22D8B"/>
    <w:p w14:paraId="75CDF09B" w14:textId="77777777" w:rsidR="00F22D8B" w:rsidRPr="00F22D8B" w:rsidRDefault="00F22D8B" w:rsidP="00F22D8B">
      <w:pPr>
        <w:rPr>
          <w:u w:val="single"/>
        </w:rPr>
      </w:pPr>
      <w:r w:rsidRPr="00F22D8B">
        <w:rPr>
          <w:rFonts w:ascii="Sylfaen" w:hAnsi="Sylfaen" w:cs="Sylfaen"/>
          <w:u w:val="single"/>
        </w:rPr>
        <w:t>საინჟინრო</w:t>
      </w:r>
      <w:r w:rsidRPr="00F22D8B">
        <w:rPr>
          <w:u w:val="single"/>
        </w:rPr>
        <w:t xml:space="preserve"> </w:t>
      </w:r>
      <w:r w:rsidRPr="00F22D8B">
        <w:rPr>
          <w:rFonts w:ascii="Sylfaen" w:hAnsi="Sylfaen" w:cs="Sylfaen"/>
          <w:u w:val="single"/>
        </w:rPr>
        <w:t>კომუნიკაციების</w:t>
      </w:r>
      <w:r w:rsidRPr="00F22D8B">
        <w:rPr>
          <w:u w:val="single"/>
        </w:rPr>
        <w:t xml:space="preserve"> </w:t>
      </w:r>
      <w:r w:rsidRPr="00F22D8B">
        <w:rPr>
          <w:rFonts w:ascii="Sylfaen" w:hAnsi="Sylfaen" w:cs="Sylfaen"/>
          <w:u w:val="single"/>
        </w:rPr>
        <w:t>გასატარებელი</w:t>
      </w:r>
      <w:r w:rsidRPr="00F22D8B">
        <w:rPr>
          <w:u w:val="single"/>
        </w:rPr>
        <w:t xml:space="preserve"> </w:t>
      </w:r>
      <w:r w:rsidRPr="00F22D8B">
        <w:rPr>
          <w:rFonts w:ascii="Sylfaen" w:hAnsi="Sylfaen" w:cs="Sylfaen"/>
          <w:u w:val="single"/>
        </w:rPr>
        <w:t>არხები</w:t>
      </w:r>
    </w:p>
    <w:p w14:paraId="6606B53F" w14:textId="77777777" w:rsidR="00F22D8B" w:rsidRDefault="00F22D8B" w:rsidP="00F22D8B">
      <w:pPr>
        <w:rPr>
          <w:b/>
        </w:rPr>
      </w:pPr>
      <w:r w:rsidRPr="00F22D8B">
        <w:rPr>
          <w:rFonts w:ascii="Sylfaen" w:hAnsi="Sylfaen" w:cs="Sylfaen"/>
        </w:rPr>
        <w:t>უნდა</w:t>
      </w:r>
      <w:r w:rsidRPr="00F22D8B">
        <w:t xml:space="preserve"> </w:t>
      </w:r>
      <w:r w:rsidRPr="00F22D8B">
        <w:rPr>
          <w:rFonts w:ascii="Sylfaen" w:hAnsi="Sylfaen" w:cs="Sylfaen"/>
        </w:rPr>
        <w:t>მოეწყოს</w:t>
      </w:r>
      <w:r w:rsidRPr="00F22D8B">
        <w:t xml:space="preserve"> </w:t>
      </w:r>
      <w:r w:rsidRPr="00F22D8B">
        <w:rPr>
          <w:rFonts w:ascii="Sylfaen" w:hAnsi="Sylfaen" w:cs="Sylfaen"/>
        </w:rPr>
        <w:t>ელექტროგაყვანილობა</w:t>
      </w:r>
      <w:r w:rsidRPr="00F22D8B">
        <w:t xml:space="preserve"> </w:t>
      </w:r>
      <w:r w:rsidRPr="00F22D8B">
        <w:rPr>
          <w:rFonts w:ascii="Sylfaen" w:hAnsi="Sylfaen" w:cs="Sylfaen"/>
        </w:rPr>
        <w:t>და</w:t>
      </w:r>
      <w:r w:rsidRPr="00F22D8B">
        <w:t xml:space="preserve"> </w:t>
      </w:r>
      <w:r w:rsidRPr="00F22D8B">
        <w:rPr>
          <w:rFonts w:ascii="Sylfaen" w:hAnsi="Sylfaen" w:cs="Sylfaen"/>
        </w:rPr>
        <w:t>სხვა</w:t>
      </w:r>
      <w:r w:rsidRPr="00F22D8B">
        <w:t xml:space="preserve"> </w:t>
      </w:r>
      <w:r w:rsidRPr="00F22D8B">
        <w:rPr>
          <w:rFonts w:ascii="Sylfaen" w:hAnsi="Sylfaen" w:cs="Sylfaen"/>
        </w:rPr>
        <w:t>საინჟინრო</w:t>
      </w:r>
      <w:r w:rsidRPr="00F22D8B">
        <w:t xml:space="preserve"> </w:t>
      </w:r>
      <w:r w:rsidRPr="00F22D8B">
        <w:rPr>
          <w:rFonts w:ascii="Sylfaen" w:hAnsi="Sylfaen" w:cs="Sylfaen"/>
        </w:rPr>
        <w:t>კომუნიკაციების</w:t>
      </w:r>
      <w:r w:rsidRPr="00F22D8B">
        <w:t xml:space="preserve">) </w:t>
      </w:r>
      <w:r w:rsidRPr="00F22D8B">
        <w:rPr>
          <w:rFonts w:ascii="Sylfaen" w:hAnsi="Sylfaen" w:cs="Sylfaen"/>
        </w:rPr>
        <w:t>არხები</w:t>
      </w:r>
      <w:r w:rsidRPr="00F22D8B">
        <w:t xml:space="preserve">, </w:t>
      </w:r>
      <w:r w:rsidRPr="00F22D8B">
        <w:rPr>
          <w:rFonts w:ascii="Sylfaen" w:hAnsi="Sylfaen" w:cs="Sylfaen"/>
        </w:rPr>
        <w:t>რომლებიც</w:t>
      </w:r>
      <w:r w:rsidRPr="00F22D8B">
        <w:t xml:space="preserve"> </w:t>
      </w:r>
      <w:r w:rsidRPr="00F22D8B">
        <w:rPr>
          <w:rFonts w:ascii="Sylfaen" w:hAnsi="Sylfaen" w:cs="Sylfaen"/>
        </w:rPr>
        <w:t>კონკრეტულად</w:t>
      </w:r>
      <w:r w:rsidRPr="00F22D8B">
        <w:t xml:space="preserve"> </w:t>
      </w:r>
      <w:r w:rsidRPr="00F22D8B">
        <w:rPr>
          <w:rFonts w:ascii="Sylfaen" w:hAnsi="Sylfaen" w:cs="Sylfaen"/>
        </w:rPr>
        <w:t>მოითხოვება</w:t>
      </w:r>
      <w:r w:rsidRPr="00F22D8B">
        <w:t xml:space="preserve"> </w:t>
      </w:r>
      <w:r w:rsidRPr="00F22D8B">
        <w:rPr>
          <w:rFonts w:ascii="Sylfaen" w:hAnsi="Sylfaen" w:cs="Sylfaen"/>
        </w:rPr>
        <w:t>გზაგამტარის</w:t>
      </w:r>
      <w:r w:rsidRPr="00F22D8B">
        <w:t xml:space="preserve"> </w:t>
      </w:r>
      <w:r w:rsidRPr="00F22D8B">
        <w:rPr>
          <w:rFonts w:ascii="Sylfaen" w:hAnsi="Sylfaen" w:cs="Sylfaen"/>
        </w:rPr>
        <w:t>ტიპის</w:t>
      </w:r>
      <w:r w:rsidRPr="00F22D8B">
        <w:t xml:space="preserve"> </w:t>
      </w:r>
      <w:r w:rsidRPr="00F22D8B">
        <w:rPr>
          <w:rFonts w:ascii="Sylfaen" w:hAnsi="Sylfaen" w:cs="Sylfaen"/>
        </w:rPr>
        <w:t>ხიდებისთვის</w:t>
      </w:r>
      <w:r w:rsidRPr="00F22D8B">
        <w:t xml:space="preserve">. </w:t>
      </w:r>
      <w:r w:rsidRPr="00F22D8B">
        <w:rPr>
          <w:rFonts w:ascii="Sylfaen" w:hAnsi="Sylfaen" w:cs="Sylfaen"/>
        </w:rPr>
        <w:t>ელექტროგაყვანილობის</w:t>
      </w:r>
      <w:r w:rsidRPr="00F22D8B">
        <w:t>/</w:t>
      </w:r>
      <w:r w:rsidRPr="00F22D8B">
        <w:rPr>
          <w:rFonts w:ascii="Sylfaen" w:hAnsi="Sylfaen" w:cs="Sylfaen"/>
        </w:rPr>
        <w:t>საკაბელო</w:t>
      </w:r>
      <w:r w:rsidRPr="00F22D8B">
        <w:t xml:space="preserve"> </w:t>
      </w:r>
      <w:r w:rsidRPr="00F22D8B">
        <w:rPr>
          <w:rFonts w:ascii="Sylfaen" w:hAnsi="Sylfaen" w:cs="Sylfaen"/>
        </w:rPr>
        <w:t>არხების</w:t>
      </w:r>
      <w:r w:rsidRPr="00F22D8B">
        <w:t xml:space="preserve"> </w:t>
      </w:r>
      <w:r w:rsidRPr="00F22D8B">
        <w:rPr>
          <w:rFonts w:ascii="Sylfaen" w:hAnsi="Sylfaen" w:cs="Sylfaen"/>
        </w:rPr>
        <w:t>პროექტირების</w:t>
      </w:r>
      <w:r w:rsidRPr="00F22D8B">
        <w:t xml:space="preserve"> </w:t>
      </w:r>
      <w:r w:rsidRPr="00F22D8B">
        <w:rPr>
          <w:rFonts w:ascii="Sylfaen" w:hAnsi="Sylfaen" w:cs="Sylfaen"/>
        </w:rPr>
        <w:t>დროს</w:t>
      </w:r>
      <w:r w:rsidRPr="00F22D8B">
        <w:t xml:space="preserve"> </w:t>
      </w:r>
      <w:r w:rsidRPr="00F22D8B">
        <w:rPr>
          <w:rFonts w:ascii="Sylfaen" w:hAnsi="Sylfaen" w:cs="Sylfaen"/>
        </w:rPr>
        <w:t>მთავარი</w:t>
      </w:r>
      <w:r w:rsidRPr="00F22D8B">
        <w:t xml:space="preserve"> </w:t>
      </w:r>
      <w:r w:rsidRPr="00F22D8B">
        <w:rPr>
          <w:rFonts w:ascii="Sylfaen" w:hAnsi="Sylfaen" w:cs="Sylfaen"/>
        </w:rPr>
        <w:t>პრიორიტეტი</w:t>
      </w:r>
      <w:r w:rsidRPr="00F22D8B">
        <w:t xml:space="preserve"> </w:t>
      </w:r>
      <w:r w:rsidRPr="00F22D8B">
        <w:rPr>
          <w:rFonts w:ascii="Sylfaen" w:hAnsi="Sylfaen" w:cs="Sylfaen"/>
        </w:rPr>
        <w:t>უნდა</w:t>
      </w:r>
      <w:r w:rsidRPr="00F22D8B">
        <w:t xml:space="preserve"> </w:t>
      </w:r>
      <w:r w:rsidRPr="00F22D8B">
        <w:rPr>
          <w:rFonts w:ascii="Sylfaen" w:hAnsi="Sylfaen" w:cs="Sylfaen"/>
        </w:rPr>
        <w:t>მიენიჭოს</w:t>
      </w:r>
      <w:r w:rsidRPr="00F22D8B">
        <w:t xml:space="preserve"> </w:t>
      </w:r>
      <w:r w:rsidRPr="00F22D8B">
        <w:rPr>
          <w:rFonts w:ascii="Sylfaen" w:hAnsi="Sylfaen" w:cs="Sylfaen"/>
        </w:rPr>
        <w:t>ნაგებობის</w:t>
      </w:r>
      <w:r w:rsidRPr="00F22D8B">
        <w:t xml:space="preserve"> </w:t>
      </w:r>
      <w:r w:rsidRPr="00F22D8B">
        <w:rPr>
          <w:rFonts w:ascii="Sylfaen" w:hAnsi="Sylfaen" w:cs="Sylfaen"/>
        </w:rPr>
        <w:t>ესთეტიურ</w:t>
      </w:r>
      <w:r w:rsidRPr="00F22D8B">
        <w:t xml:space="preserve"> </w:t>
      </w:r>
      <w:r w:rsidRPr="00F22D8B">
        <w:rPr>
          <w:rFonts w:ascii="Sylfaen" w:hAnsi="Sylfaen" w:cs="Sylfaen"/>
        </w:rPr>
        <w:t>შესახედაობას</w:t>
      </w:r>
      <w:r w:rsidRPr="00F22D8B">
        <w:t>.</w:t>
      </w:r>
    </w:p>
    <w:p w14:paraId="6B89B89B" w14:textId="60DF7AA2" w:rsidR="002545D5" w:rsidRDefault="002545D5" w:rsidP="00F22D8B">
      <w:pPr>
        <w:pStyle w:val="EIAH3"/>
        <w:rPr>
          <w:rFonts w:ascii="Sylfaen" w:hAnsi="Sylfaen"/>
          <w:lang w:val="ka-GE" w:bidi="bn-BD"/>
        </w:rPr>
      </w:pPr>
      <w:bookmarkStart w:id="151" w:name="_Toc1581526"/>
      <w:r>
        <w:rPr>
          <w:lang w:val="ka-GE" w:bidi="bn-BD"/>
        </w:rPr>
        <w:t>4.1</w:t>
      </w:r>
      <w:r w:rsidR="00BE0BD2">
        <w:rPr>
          <w:rFonts w:ascii="Sylfaen" w:hAnsi="Sylfaen"/>
          <w:lang w:val="ka-GE" w:bidi="bn-BD"/>
        </w:rPr>
        <w:t>2</w:t>
      </w:r>
      <w:r>
        <w:rPr>
          <w:lang w:val="ka-GE" w:bidi="bn-BD"/>
        </w:rPr>
        <w:t xml:space="preserve">.9 </w:t>
      </w:r>
      <w:r w:rsidR="00F22D8B">
        <w:rPr>
          <w:rFonts w:ascii="Sylfaen" w:hAnsi="Sylfaen"/>
          <w:lang w:val="ka-GE" w:bidi="bn-BD"/>
        </w:rPr>
        <w:t>წინასწარდაძაბული კოჭოვანი ხიდის წინასაპროექტო გაანგარიშება</w:t>
      </w:r>
      <w:bookmarkEnd w:id="151"/>
      <w:r w:rsidR="00F22D8B">
        <w:rPr>
          <w:rFonts w:ascii="Sylfaen" w:hAnsi="Sylfaen"/>
          <w:lang w:val="ka-GE" w:bidi="bn-BD"/>
        </w:rPr>
        <w:t xml:space="preserve"> </w:t>
      </w:r>
    </w:p>
    <w:p w14:paraId="78707636" w14:textId="7E7213EE" w:rsidR="00BE0BD2" w:rsidRPr="00BE0BD2" w:rsidRDefault="00BE0BD2" w:rsidP="00BE0BD2">
      <w:pPr>
        <w:rPr>
          <w:rFonts w:ascii="Sylfaen" w:hAnsi="Sylfaen"/>
          <w:u w:val="single"/>
          <w:lang w:val="ka-GE" w:bidi="bn-BD"/>
        </w:rPr>
      </w:pPr>
      <w:r w:rsidRPr="00BE0BD2">
        <w:rPr>
          <w:rFonts w:ascii="Sylfaen" w:hAnsi="Sylfaen"/>
          <w:u w:val="single"/>
          <w:lang w:val="ka-GE" w:bidi="bn-BD"/>
        </w:rPr>
        <w:t>კოჭოვანი ხიდის წინასაპროექტო გაანგარიშება 1</w:t>
      </w:r>
    </w:p>
    <w:p w14:paraId="536690FD" w14:textId="2F4FD8AB" w:rsidR="00F22D8B" w:rsidRDefault="00F22D8B" w:rsidP="00F22D8B">
      <w:pPr>
        <w:rPr>
          <w:lang w:val="en-US" w:bidi="bn-BD"/>
        </w:rPr>
      </w:pPr>
      <w:r w:rsidRPr="00F22D8B">
        <w:rPr>
          <w:noProof/>
          <w:lang w:val="en-US" w:eastAsia="en-US"/>
        </w:rPr>
        <w:lastRenderedPageBreak/>
        <w:drawing>
          <wp:inline distT="0" distB="0" distL="0" distR="0" wp14:anchorId="320F7B73" wp14:editId="6E93D769">
            <wp:extent cx="6602730" cy="5591175"/>
            <wp:effectExtent l="0" t="0" r="7620" b="9525"/>
            <wp:docPr id="450" name="Picture 450" descr="D:\my docs\Bakurtsikhe-tsnori\bakurcixe-wnori\ESIA reports\მეორე ეტაპისტის\new\ხიმინჯი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my docs\Bakurtsikhe-tsnori\bakurcixe-wnori\ESIA reports\მეორე ეტაპისტის\new\ხიმინჯი 1.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09475" cy="5596887"/>
                    </a:xfrm>
                    <a:prstGeom prst="rect">
                      <a:avLst/>
                    </a:prstGeom>
                    <a:noFill/>
                    <a:ln>
                      <a:noFill/>
                    </a:ln>
                  </pic:spPr>
                </pic:pic>
              </a:graphicData>
            </a:graphic>
          </wp:inline>
        </w:drawing>
      </w:r>
    </w:p>
    <w:p w14:paraId="2537D26B" w14:textId="3E7A3523" w:rsidR="00F22D8B" w:rsidRDefault="00F22D8B" w:rsidP="00F22D8B">
      <w:pPr>
        <w:rPr>
          <w:lang w:val="en-US" w:bidi="bn-BD"/>
        </w:rPr>
      </w:pPr>
      <w:r w:rsidRPr="00F22D8B">
        <w:rPr>
          <w:noProof/>
          <w:lang w:val="en-US" w:eastAsia="en-US"/>
        </w:rPr>
        <w:lastRenderedPageBreak/>
        <w:drawing>
          <wp:inline distT="0" distB="0" distL="0" distR="0" wp14:anchorId="51AEC49C" wp14:editId="0509D80F">
            <wp:extent cx="6603365" cy="3764133"/>
            <wp:effectExtent l="0" t="0" r="6985" b="8255"/>
            <wp:docPr id="451" name="Picture 451" descr="D:\my docs\Bakurtsikhe-tsnori\bakurcixe-wnori\ESIA reports\მეორე ეტაპისტის\new\ხიმინჯი 1 დამა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my docs\Bakurtsikhe-tsnori\bakurcixe-wnori\ESIA reports\მეორე ეტაპისტის\new\ხიმინჯი 1 დამატ.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03365" cy="3764133"/>
                    </a:xfrm>
                    <a:prstGeom prst="rect">
                      <a:avLst/>
                    </a:prstGeom>
                    <a:noFill/>
                    <a:ln>
                      <a:noFill/>
                    </a:ln>
                  </pic:spPr>
                </pic:pic>
              </a:graphicData>
            </a:graphic>
          </wp:inline>
        </w:drawing>
      </w:r>
    </w:p>
    <w:p w14:paraId="71554F70" w14:textId="1DC16733" w:rsidR="00F22D8B" w:rsidRDefault="00F22D8B" w:rsidP="00F22D8B">
      <w:pPr>
        <w:rPr>
          <w:lang w:val="en-US" w:bidi="bn-BD"/>
        </w:rPr>
      </w:pPr>
      <w:r w:rsidRPr="00F22D8B">
        <w:rPr>
          <w:noProof/>
          <w:lang w:val="en-US" w:eastAsia="en-US"/>
        </w:rPr>
        <w:drawing>
          <wp:inline distT="0" distB="0" distL="0" distR="0" wp14:anchorId="487E0C00" wp14:editId="5953041D">
            <wp:extent cx="6603365" cy="3606398"/>
            <wp:effectExtent l="0" t="0" r="6985" b="0"/>
            <wp:docPr id="452" name="Picture 452" descr="D:\my docs\Bakurtsikhe-tsnori\bakurcixe-wnori\ESIA reports\მეორე ეტაპისტის\new\ხიმინჯი 1 დამატ.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my docs\Bakurtsikhe-tsnori\bakurcixe-wnori\ESIA reports\მეორე ეტაპისტის\new\ხიმინჯი 1 დამატ. 2.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603365" cy="3606398"/>
                    </a:xfrm>
                    <a:prstGeom prst="rect">
                      <a:avLst/>
                    </a:prstGeom>
                    <a:noFill/>
                    <a:ln>
                      <a:noFill/>
                    </a:ln>
                  </pic:spPr>
                </pic:pic>
              </a:graphicData>
            </a:graphic>
          </wp:inline>
        </w:drawing>
      </w:r>
    </w:p>
    <w:p w14:paraId="1FA0CFBE" w14:textId="54B923FB" w:rsidR="00F22D8B" w:rsidRDefault="00E54654" w:rsidP="00F22D8B">
      <w:pPr>
        <w:rPr>
          <w:lang w:val="en-US" w:bidi="bn-BD"/>
        </w:rPr>
      </w:pPr>
      <w:r w:rsidRPr="00E54654">
        <w:rPr>
          <w:noProof/>
          <w:lang w:val="en-US" w:eastAsia="en-US"/>
        </w:rPr>
        <w:lastRenderedPageBreak/>
        <w:drawing>
          <wp:inline distT="0" distB="0" distL="0" distR="0" wp14:anchorId="3FD7DB9F" wp14:editId="6EA59950">
            <wp:extent cx="6603365" cy="2925881"/>
            <wp:effectExtent l="0" t="0" r="6985" b="8255"/>
            <wp:docPr id="453" name="Picture 453" descr="D:\my docs\Bakurtsikhe-tsnori\bakurcixe-wnori\ESIA reports\მეორე ეტაპისტის\new\ხიმინჯი 1 დამატ.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my docs\Bakurtsikhe-tsnori\bakurcixe-wnori\ESIA reports\მეორე ეტაპისტის\new\ხიმინჯი 1 დამატ. 3.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603365" cy="2925881"/>
                    </a:xfrm>
                    <a:prstGeom prst="rect">
                      <a:avLst/>
                    </a:prstGeom>
                    <a:noFill/>
                    <a:ln>
                      <a:noFill/>
                    </a:ln>
                  </pic:spPr>
                </pic:pic>
              </a:graphicData>
            </a:graphic>
          </wp:inline>
        </w:drawing>
      </w:r>
    </w:p>
    <w:p w14:paraId="0DB4BE6D" w14:textId="77777777" w:rsidR="00BE0BD2" w:rsidRPr="00BE0BD2" w:rsidRDefault="00BE0BD2" w:rsidP="00BE0BD2">
      <w:pPr>
        <w:rPr>
          <w:rFonts w:ascii="Sylfaen" w:hAnsi="Sylfaen"/>
          <w:u w:val="single"/>
          <w:lang w:val="ka-GE" w:bidi="bn-BD"/>
        </w:rPr>
      </w:pPr>
      <w:r w:rsidRPr="00BE0BD2">
        <w:rPr>
          <w:rFonts w:ascii="Sylfaen" w:hAnsi="Sylfaen"/>
          <w:u w:val="single"/>
          <w:lang w:val="ka-GE" w:bidi="bn-BD"/>
        </w:rPr>
        <w:t>კოჭოვანი ხიდის წინასაპროექტო გაანგარიშება 1</w:t>
      </w:r>
    </w:p>
    <w:p w14:paraId="06EF470B" w14:textId="60BC401D" w:rsidR="00E54654" w:rsidRDefault="00E54654" w:rsidP="00F22D8B">
      <w:pPr>
        <w:rPr>
          <w:rFonts w:ascii="Sylfaen" w:hAnsi="Sylfaen"/>
          <w:lang w:val="ka-GE" w:bidi="bn-BD"/>
        </w:rPr>
      </w:pPr>
      <w:r w:rsidRPr="00E54654">
        <w:rPr>
          <w:noProof/>
          <w:lang w:val="en-US" w:eastAsia="en-US"/>
        </w:rPr>
        <w:drawing>
          <wp:inline distT="0" distB="0" distL="0" distR="0" wp14:anchorId="5FE8F4A4" wp14:editId="6D515205">
            <wp:extent cx="6603365" cy="4867588"/>
            <wp:effectExtent l="0" t="0" r="6985" b="9525"/>
            <wp:docPr id="454" name="Picture 454" descr="D:\my docs\Bakurtsikhe-tsnori\bakurcixe-wnori\ESIA reports\მეორე ეტაპისტის\new\ხიმინჯი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my docs\Bakurtsikhe-tsnori\bakurcixe-wnori\ESIA reports\მეორე ეტაპისტის\new\ხიმინჯი 2.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603365" cy="4867588"/>
                    </a:xfrm>
                    <a:prstGeom prst="rect">
                      <a:avLst/>
                    </a:prstGeom>
                    <a:noFill/>
                    <a:ln>
                      <a:noFill/>
                    </a:ln>
                  </pic:spPr>
                </pic:pic>
              </a:graphicData>
            </a:graphic>
          </wp:inline>
        </w:drawing>
      </w:r>
    </w:p>
    <w:p w14:paraId="30F48615" w14:textId="1003A19F" w:rsidR="00E54654" w:rsidRDefault="00E54654" w:rsidP="00F22D8B">
      <w:pPr>
        <w:rPr>
          <w:rFonts w:ascii="Sylfaen" w:hAnsi="Sylfaen"/>
          <w:lang w:val="ka-GE" w:bidi="bn-BD"/>
        </w:rPr>
      </w:pPr>
      <w:r w:rsidRPr="00E54654">
        <w:rPr>
          <w:rFonts w:ascii="Sylfaen" w:hAnsi="Sylfaen"/>
          <w:noProof/>
          <w:lang w:val="en-US" w:eastAsia="en-US"/>
        </w:rPr>
        <w:lastRenderedPageBreak/>
        <w:drawing>
          <wp:inline distT="0" distB="0" distL="0" distR="0" wp14:anchorId="24A91215" wp14:editId="2769BED4">
            <wp:extent cx="6603365" cy="3748635"/>
            <wp:effectExtent l="0" t="0" r="6985" b="4445"/>
            <wp:docPr id="455" name="Picture 455" descr="D:\my docs\Bakurtsikhe-tsnori\bakurcixe-wnori\ESIA reports\მეორე ეტაპისტის\new\ხიმინჯი 2 დამა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my docs\Bakurtsikhe-tsnori\bakurcixe-wnori\ESIA reports\მეორე ეტაპისტის\new\ხიმინჯი 2 დამატ.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603365" cy="3748635"/>
                    </a:xfrm>
                    <a:prstGeom prst="rect">
                      <a:avLst/>
                    </a:prstGeom>
                    <a:noFill/>
                    <a:ln>
                      <a:noFill/>
                    </a:ln>
                  </pic:spPr>
                </pic:pic>
              </a:graphicData>
            </a:graphic>
          </wp:inline>
        </w:drawing>
      </w:r>
    </w:p>
    <w:p w14:paraId="765C0881" w14:textId="77FEBA1E" w:rsidR="00E54654" w:rsidRDefault="00E54654" w:rsidP="00F22D8B">
      <w:pPr>
        <w:rPr>
          <w:rFonts w:ascii="Sylfaen" w:hAnsi="Sylfaen"/>
          <w:lang w:val="ka-GE" w:bidi="bn-BD"/>
        </w:rPr>
      </w:pPr>
      <w:r w:rsidRPr="00E54654">
        <w:rPr>
          <w:rFonts w:ascii="Sylfaen" w:hAnsi="Sylfaen"/>
          <w:noProof/>
          <w:lang w:val="en-US" w:eastAsia="en-US"/>
        </w:rPr>
        <w:drawing>
          <wp:inline distT="0" distB="0" distL="0" distR="0" wp14:anchorId="0E259BEA" wp14:editId="09600FF5">
            <wp:extent cx="6603365" cy="3675947"/>
            <wp:effectExtent l="0" t="0" r="6985" b="1270"/>
            <wp:docPr id="456" name="Picture 456" descr="D:\my docs\Bakurtsikhe-tsnori\bakurcixe-wnori\ESIA reports\მეორე ეტაპისტის\new\ხიმინჯი 2 დამატება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my docs\Bakurtsikhe-tsnori\bakurcixe-wnori\ESIA reports\მეორე ეტაპისტის\new\ხიმინჯი 2 დამატება 2.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603365" cy="3675947"/>
                    </a:xfrm>
                    <a:prstGeom prst="rect">
                      <a:avLst/>
                    </a:prstGeom>
                    <a:noFill/>
                    <a:ln>
                      <a:noFill/>
                    </a:ln>
                  </pic:spPr>
                </pic:pic>
              </a:graphicData>
            </a:graphic>
          </wp:inline>
        </w:drawing>
      </w:r>
    </w:p>
    <w:p w14:paraId="02371886" w14:textId="15F78FB8" w:rsidR="00E54654" w:rsidRDefault="00E54654" w:rsidP="00F22D8B">
      <w:pPr>
        <w:rPr>
          <w:rFonts w:ascii="Sylfaen" w:hAnsi="Sylfaen"/>
          <w:lang w:val="ka-GE" w:bidi="bn-BD"/>
        </w:rPr>
      </w:pPr>
      <w:r w:rsidRPr="00E54654">
        <w:rPr>
          <w:rFonts w:ascii="Sylfaen" w:hAnsi="Sylfaen"/>
          <w:noProof/>
          <w:lang w:val="en-US" w:eastAsia="en-US"/>
        </w:rPr>
        <w:lastRenderedPageBreak/>
        <w:drawing>
          <wp:inline distT="0" distB="0" distL="0" distR="0" wp14:anchorId="45B5CD4F" wp14:editId="5756D66A">
            <wp:extent cx="6603365" cy="2862809"/>
            <wp:effectExtent l="0" t="0" r="6985" b="0"/>
            <wp:docPr id="457" name="Picture 457" descr="D:\my docs\Bakurtsikhe-tsnori\bakurcixe-wnori\ESIA reports\მეორე ეტაპისტის\new\ხიმინჯი 2 დამატ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my docs\Bakurtsikhe-tsnori\bakurcixe-wnori\ESIA reports\მეორე ეტაპისტის\new\ხიმინჯი 2 დამატ 3.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603365" cy="2862809"/>
                    </a:xfrm>
                    <a:prstGeom prst="rect">
                      <a:avLst/>
                    </a:prstGeom>
                    <a:noFill/>
                    <a:ln>
                      <a:noFill/>
                    </a:ln>
                  </pic:spPr>
                </pic:pic>
              </a:graphicData>
            </a:graphic>
          </wp:inline>
        </w:drawing>
      </w:r>
    </w:p>
    <w:p w14:paraId="55514442" w14:textId="40870203" w:rsidR="00E54654" w:rsidRDefault="00E54654" w:rsidP="00F22D8B">
      <w:pPr>
        <w:rPr>
          <w:rFonts w:ascii="Sylfaen" w:hAnsi="Sylfaen"/>
          <w:lang w:val="ka-GE" w:bidi="bn-BD"/>
        </w:rPr>
      </w:pPr>
    </w:p>
    <w:p w14:paraId="16651492" w14:textId="0B7C7A17" w:rsidR="00E54654" w:rsidRDefault="00E54654" w:rsidP="00F22D8B">
      <w:pPr>
        <w:rPr>
          <w:rFonts w:ascii="Sylfaen" w:hAnsi="Sylfaen"/>
          <w:lang w:val="ka-GE" w:bidi="bn-BD"/>
        </w:rPr>
      </w:pPr>
    </w:p>
    <w:p w14:paraId="41647236" w14:textId="1A74F37B" w:rsidR="00E54654" w:rsidRDefault="00E54654" w:rsidP="00F22D8B">
      <w:pPr>
        <w:rPr>
          <w:rFonts w:ascii="Sylfaen" w:hAnsi="Sylfaen"/>
          <w:lang w:val="ka-GE" w:bidi="bn-BD"/>
        </w:rPr>
      </w:pPr>
    </w:p>
    <w:p w14:paraId="13AD863C" w14:textId="48511B00" w:rsidR="00E54654" w:rsidRDefault="00E54654" w:rsidP="00F22D8B">
      <w:pPr>
        <w:rPr>
          <w:rFonts w:ascii="Sylfaen" w:hAnsi="Sylfaen"/>
          <w:lang w:val="ka-GE" w:bidi="bn-BD"/>
        </w:rPr>
      </w:pPr>
    </w:p>
    <w:p w14:paraId="6A859FFF" w14:textId="120CB845" w:rsidR="00E54654" w:rsidRDefault="00E54654" w:rsidP="00F22D8B">
      <w:pPr>
        <w:rPr>
          <w:rFonts w:ascii="Sylfaen" w:hAnsi="Sylfaen"/>
          <w:lang w:val="ka-GE" w:bidi="bn-BD"/>
        </w:rPr>
      </w:pPr>
    </w:p>
    <w:p w14:paraId="0D05F9EC" w14:textId="5E2D981F" w:rsidR="00E54654" w:rsidRDefault="00E54654" w:rsidP="00F22D8B">
      <w:pPr>
        <w:rPr>
          <w:rFonts w:ascii="Sylfaen" w:hAnsi="Sylfaen"/>
          <w:lang w:val="ka-GE" w:bidi="bn-BD"/>
        </w:rPr>
      </w:pPr>
    </w:p>
    <w:p w14:paraId="1631D094" w14:textId="6C248D04" w:rsidR="00E54654" w:rsidRDefault="00E54654" w:rsidP="00F22D8B">
      <w:pPr>
        <w:rPr>
          <w:rFonts w:ascii="Sylfaen" w:hAnsi="Sylfaen"/>
          <w:lang w:val="ka-GE" w:bidi="bn-BD"/>
        </w:rPr>
      </w:pPr>
    </w:p>
    <w:p w14:paraId="5142C877" w14:textId="5C50BB5E" w:rsidR="00E54654" w:rsidRDefault="00E54654" w:rsidP="00F22D8B">
      <w:pPr>
        <w:rPr>
          <w:rFonts w:ascii="Sylfaen" w:hAnsi="Sylfaen"/>
          <w:lang w:val="ka-GE" w:bidi="bn-BD"/>
        </w:rPr>
      </w:pPr>
    </w:p>
    <w:p w14:paraId="2030EA74" w14:textId="51673562" w:rsidR="00E54654" w:rsidRDefault="00E54654" w:rsidP="00F22D8B">
      <w:pPr>
        <w:rPr>
          <w:rFonts w:ascii="Sylfaen" w:hAnsi="Sylfaen"/>
          <w:lang w:val="ka-GE" w:bidi="bn-BD"/>
        </w:rPr>
      </w:pPr>
    </w:p>
    <w:p w14:paraId="7F77E3FD" w14:textId="40E2F3C7" w:rsidR="00E54654" w:rsidRDefault="00E54654" w:rsidP="00F22D8B">
      <w:pPr>
        <w:rPr>
          <w:rFonts w:ascii="Sylfaen" w:hAnsi="Sylfaen"/>
          <w:lang w:val="ka-GE" w:bidi="bn-BD"/>
        </w:rPr>
      </w:pPr>
    </w:p>
    <w:p w14:paraId="5DAEE472" w14:textId="0AA18521" w:rsidR="00E54654" w:rsidRDefault="00E54654" w:rsidP="00F22D8B">
      <w:pPr>
        <w:rPr>
          <w:rFonts w:ascii="Sylfaen" w:hAnsi="Sylfaen"/>
          <w:lang w:val="ka-GE" w:bidi="bn-BD"/>
        </w:rPr>
      </w:pPr>
    </w:p>
    <w:p w14:paraId="717CEDB2" w14:textId="378511EF" w:rsidR="00E54654" w:rsidRDefault="00E54654" w:rsidP="00F22D8B">
      <w:pPr>
        <w:rPr>
          <w:rFonts w:ascii="Sylfaen" w:hAnsi="Sylfaen"/>
          <w:lang w:val="ka-GE" w:bidi="bn-BD"/>
        </w:rPr>
      </w:pPr>
    </w:p>
    <w:p w14:paraId="070DC130" w14:textId="5541EE6F" w:rsidR="00E54654" w:rsidRDefault="00E54654" w:rsidP="00F22D8B">
      <w:pPr>
        <w:rPr>
          <w:rFonts w:ascii="Sylfaen" w:hAnsi="Sylfaen"/>
          <w:lang w:val="ka-GE" w:bidi="bn-BD"/>
        </w:rPr>
      </w:pPr>
    </w:p>
    <w:p w14:paraId="5D650D70" w14:textId="6D88DA8C" w:rsidR="00E54654" w:rsidRDefault="00E54654" w:rsidP="00F22D8B">
      <w:pPr>
        <w:rPr>
          <w:rFonts w:ascii="Sylfaen" w:hAnsi="Sylfaen"/>
          <w:lang w:val="ka-GE" w:bidi="bn-BD"/>
        </w:rPr>
      </w:pPr>
    </w:p>
    <w:p w14:paraId="36351516" w14:textId="7C34C2E8" w:rsidR="00E54654" w:rsidRDefault="00E54654" w:rsidP="00F22D8B">
      <w:pPr>
        <w:rPr>
          <w:rFonts w:ascii="Sylfaen" w:hAnsi="Sylfaen"/>
          <w:lang w:val="ka-GE" w:bidi="bn-BD"/>
        </w:rPr>
      </w:pPr>
    </w:p>
    <w:p w14:paraId="0F264215" w14:textId="1C30A6A5" w:rsidR="00E54654" w:rsidRDefault="00E54654" w:rsidP="00F22D8B">
      <w:pPr>
        <w:rPr>
          <w:rFonts w:ascii="Sylfaen" w:hAnsi="Sylfaen"/>
          <w:lang w:val="ka-GE" w:bidi="bn-BD"/>
        </w:rPr>
      </w:pPr>
    </w:p>
    <w:p w14:paraId="1175D51F" w14:textId="48D376AF" w:rsidR="00E54654" w:rsidRDefault="00E54654" w:rsidP="00F22D8B">
      <w:pPr>
        <w:rPr>
          <w:rFonts w:ascii="Sylfaen" w:hAnsi="Sylfaen"/>
          <w:lang w:val="ka-GE" w:bidi="bn-BD"/>
        </w:rPr>
      </w:pPr>
    </w:p>
    <w:p w14:paraId="737CFEBF" w14:textId="0AD5154D" w:rsidR="00E54654" w:rsidRDefault="00E54654" w:rsidP="00F22D8B">
      <w:pPr>
        <w:rPr>
          <w:rFonts w:ascii="Sylfaen" w:hAnsi="Sylfaen"/>
          <w:lang w:val="ka-GE" w:bidi="bn-BD"/>
        </w:rPr>
      </w:pPr>
    </w:p>
    <w:p w14:paraId="2B9EE0C6" w14:textId="7FF94FE0" w:rsidR="00E54654" w:rsidRDefault="00E54654" w:rsidP="00F22D8B">
      <w:pPr>
        <w:rPr>
          <w:rFonts w:ascii="Sylfaen" w:hAnsi="Sylfaen"/>
          <w:lang w:val="ka-GE" w:bidi="bn-BD"/>
        </w:rPr>
      </w:pPr>
    </w:p>
    <w:p w14:paraId="1A7A45DB" w14:textId="404EFD82" w:rsidR="00E54654" w:rsidRDefault="00E54654" w:rsidP="00F22D8B">
      <w:pPr>
        <w:rPr>
          <w:rFonts w:ascii="Sylfaen" w:hAnsi="Sylfaen"/>
          <w:lang w:val="ka-GE" w:bidi="bn-BD"/>
        </w:rPr>
      </w:pPr>
    </w:p>
    <w:p w14:paraId="31604D6D" w14:textId="76414065" w:rsidR="00E54654" w:rsidRDefault="00E54654" w:rsidP="00F22D8B">
      <w:pPr>
        <w:rPr>
          <w:rFonts w:ascii="Sylfaen" w:hAnsi="Sylfaen"/>
          <w:lang w:val="ka-GE" w:bidi="bn-BD"/>
        </w:rPr>
      </w:pPr>
    </w:p>
    <w:p w14:paraId="40505482" w14:textId="20B4281C" w:rsidR="00E54654" w:rsidRDefault="00E54654" w:rsidP="00F22D8B">
      <w:pPr>
        <w:rPr>
          <w:rFonts w:ascii="Sylfaen" w:hAnsi="Sylfaen"/>
          <w:lang w:val="ka-GE" w:bidi="bn-BD"/>
        </w:rPr>
      </w:pPr>
    </w:p>
    <w:p w14:paraId="3A737DFC" w14:textId="55C19906" w:rsidR="00E54654" w:rsidRDefault="00E54654" w:rsidP="00F22D8B">
      <w:pPr>
        <w:rPr>
          <w:rFonts w:ascii="Sylfaen" w:hAnsi="Sylfaen"/>
          <w:lang w:val="ka-GE" w:bidi="bn-BD"/>
        </w:rPr>
      </w:pPr>
    </w:p>
    <w:p w14:paraId="7F186234" w14:textId="5E2AB870" w:rsidR="00E54654" w:rsidRDefault="00E54654" w:rsidP="00F22D8B">
      <w:pPr>
        <w:rPr>
          <w:rFonts w:ascii="Sylfaen" w:hAnsi="Sylfaen"/>
          <w:lang w:val="ka-GE" w:bidi="bn-BD"/>
        </w:rPr>
      </w:pPr>
    </w:p>
    <w:p w14:paraId="27F27D4D" w14:textId="4A87BA6D" w:rsidR="00E54654" w:rsidRDefault="00E54654" w:rsidP="00F22D8B">
      <w:pPr>
        <w:rPr>
          <w:rFonts w:ascii="Sylfaen" w:hAnsi="Sylfaen"/>
          <w:lang w:val="ka-GE" w:bidi="bn-BD"/>
        </w:rPr>
      </w:pPr>
    </w:p>
    <w:p w14:paraId="5407C854" w14:textId="45A6675B" w:rsidR="00E54654" w:rsidRDefault="00E54654" w:rsidP="00F22D8B">
      <w:pPr>
        <w:rPr>
          <w:rFonts w:ascii="Sylfaen" w:hAnsi="Sylfaen"/>
          <w:lang w:val="ka-GE" w:bidi="bn-BD"/>
        </w:rPr>
      </w:pPr>
    </w:p>
    <w:p w14:paraId="1BD7E9A0" w14:textId="4A3DFA84" w:rsidR="00E54654" w:rsidRDefault="00E54654" w:rsidP="00F22D8B">
      <w:pPr>
        <w:rPr>
          <w:rFonts w:ascii="Sylfaen" w:hAnsi="Sylfaen"/>
          <w:lang w:val="ka-GE" w:bidi="bn-BD"/>
        </w:rPr>
      </w:pPr>
    </w:p>
    <w:p w14:paraId="46C0840D" w14:textId="5803F889" w:rsidR="00E54654" w:rsidRDefault="00E54654" w:rsidP="00F22D8B">
      <w:pPr>
        <w:rPr>
          <w:rFonts w:ascii="Sylfaen" w:hAnsi="Sylfaen"/>
          <w:lang w:val="ka-GE" w:bidi="bn-BD"/>
        </w:rPr>
      </w:pPr>
    </w:p>
    <w:p w14:paraId="2B627DF5" w14:textId="280CCE31" w:rsidR="00E54654" w:rsidRDefault="00E54654" w:rsidP="00F22D8B">
      <w:pPr>
        <w:rPr>
          <w:rFonts w:ascii="Sylfaen" w:hAnsi="Sylfaen"/>
          <w:lang w:val="ka-GE" w:bidi="bn-BD"/>
        </w:rPr>
      </w:pPr>
    </w:p>
    <w:p w14:paraId="30AFC240" w14:textId="06AAF620" w:rsidR="00E54654" w:rsidRPr="00860C5D" w:rsidRDefault="00860C5D" w:rsidP="00F22D8B">
      <w:pPr>
        <w:rPr>
          <w:rFonts w:ascii="Sylfaen" w:hAnsi="Sylfaen"/>
          <w:b/>
          <w:sz w:val="32"/>
          <w:lang w:val="ka-GE" w:bidi="bn-BD"/>
        </w:rPr>
      </w:pPr>
      <w:r w:rsidRPr="00860C5D">
        <w:rPr>
          <w:rFonts w:ascii="Sylfaen" w:eastAsiaTheme="minorHAnsi" w:hAnsi="Sylfaen" w:cs="AcadNusx"/>
          <w:b/>
          <w:szCs w:val="17"/>
          <w:lang w:val="ka-GE" w:eastAsia="en-US"/>
        </w:rPr>
        <w:t>რკბ-ის კონსტრუქციული ანგარიში</w:t>
      </w:r>
    </w:p>
    <w:p w14:paraId="60748523" w14:textId="59A218B7" w:rsidR="00E54654" w:rsidRDefault="00E54654" w:rsidP="00F22D8B">
      <w:pPr>
        <w:rPr>
          <w:rFonts w:ascii="Sylfaen" w:hAnsi="Sylfaen"/>
          <w:lang w:val="ka-GE" w:bidi="bn-BD"/>
        </w:rPr>
      </w:pPr>
      <w:r w:rsidRPr="00E54654">
        <w:rPr>
          <w:rFonts w:ascii="Sylfaen" w:hAnsi="Sylfaen"/>
          <w:noProof/>
          <w:lang w:val="en-US" w:eastAsia="en-US"/>
        </w:rPr>
        <w:lastRenderedPageBreak/>
        <w:drawing>
          <wp:inline distT="0" distB="0" distL="0" distR="0" wp14:anchorId="428EDDBD" wp14:editId="0EA4F787">
            <wp:extent cx="6448425" cy="7781925"/>
            <wp:effectExtent l="0" t="0" r="9525" b="9525"/>
            <wp:docPr id="458" name="Picture 458" descr="D:\my docs\Bakurtsikhe-tsnori\bakurcixe-wnori\ESIA reports\მეორე ეტაპისტის\new\ხიმინჯებ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my docs\Bakurtsikhe-tsnori\bakurcixe-wnori\ESIA reports\მეორე ეტაპისტის\new\ხიმინჯები.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448425" cy="7781925"/>
                    </a:xfrm>
                    <a:prstGeom prst="rect">
                      <a:avLst/>
                    </a:prstGeom>
                    <a:noFill/>
                    <a:ln>
                      <a:noFill/>
                    </a:ln>
                  </pic:spPr>
                </pic:pic>
              </a:graphicData>
            </a:graphic>
          </wp:inline>
        </w:drawing>
      </w:r>
    </w:p>
    <w:p w14:paraId="3A9B0FD1" w14:textId="42CDB978" w:rsidR="00860C5D" w:rsidRDefault="00860C5D" w:rsidP="00F22D8B">
      <w:pPr>
        <w:rPr>
          <w:rFonts w:ascii="Sylfaen" w:hAnsi="Sylfaen"/>
          <w:lang w:val="ka-GE" w:bidi="bn-BD"/>
        </w:rPr>
      </w:pPr>
      <w:r w:rsidRPr="00860C5D">
        <w:rPr>
          <w:rFonts w:ascii="Sylfaen" w:hAnsi="Sylfaen"/>
          <w:noProof/>
          <w:lang w:val="en-US" w:eastAsia="en-US"/>
        </w:rPr>
        <w:lastRenderedPageBreak/>
        <w:drawing>
          <wp:inline distT="0" distB="0" distL="0" distR="0" wp14:anchorId="335EEDF1" wp14:editId="0F2B9075">
            <wp:extent cx="6524625" cy="8001000"/>
            <wp:effectExtent l="0" t="0" r="9525" b="0"/>
            <wp:docPr id="459" name="Picture 459" descr="D:\my docs\Bakurtsikhe-tsnori\bakurcixe-wnori\ESIA reports\მეორე ეტაპისტის\new\ხიმინჯები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my docs\Bakurtsikhe-tsnori\bakurcixe-wnori\ESIA reports\მეორე ეტაპისტის\new\ხიმინჯები2.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524625" cy="8001000"/>
                    </a:xfrm>
                    <a:prstGeom prst="rect">
                      <a:avLst/>
                    </a:prstGeom>
                    <a:noFill/>
                    <a:ln>
                      <a:noFill/>
                    </a:ln>
                  </pic:spPr>
                </pic:pic>
              </a:graphicData>
            </a:graphic>
          </wp:inline>
        </w:drawing>
      </w:r>
    </w:p>
    <w:p w14:paraId="6951027D" w14:textId="05AAD860" w:rsidR="00860C5D" w:rsidRDefault="00860C5D" w:rsidP="00F22D8B">
      <w:pPr>
        <w:rPr>
          <w:rFonts w:ascii="Sylfaen" w:hAnsi="Sylfaen"/>
          <w:lang w:val="ka-GE" w:bidi="bn-BD"/>
        </w:rPr>
      </w:pPr>
      <w:r w:rsidRPr="00860C5D">
        <w:rPr>
          <w:rFonts w:ascii="Sylfaen" w:hAnsi="Sylfaen"/>
          <w:noProof/>
          <w:lang w:val="en-US" w:eastAsia="en-US"/>
        </w:rPr>
        <w:lastRenderedPageBreak/>
        <w:drawing>
          <wp:inline distT="0" distB="0" distL="0" distR="0" wp14:anchorId="3A255A21" wp14:editId="003513FF">
            <wp:extent cx="6591300" cy="8096250"/>
            <wp:effectExtent l="0" t="0" r="0" b="0"/>
            <wp:docPr id="460" name="Picture 460" descr="D:\my docs\Bakurtsikhe-tsnori\bakurcixe-wnori\ESIA reports\მეორე ეტაპისტის\new\ხიმინჯები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my docs\Bakurtsikhe-tsnori\bakurcixe-wnori\ESIA reports\მეორე ეტაპისტის\new\ხიმინჯები3.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591300" cy="8096250"/>
                    </a:xfrm>
                    <a:prstGeom prst="rect">
                      <a:avLst/>
                    </a:prstGeom>
                    <a:noFill/>
                    <a:ln>
                      <a:noFill/>
                    </a:ln>
                  </pic:spPr>
                </pic:pic>
              </a:graphicData>
            </a:graphic>
          </wp:inline>
        </w:drawing>
      </w:r>
    </w:p>
    <w:p w14:paraId="7B96EF4F" w14:textId="77777777" w:rsidR="006B0240" w:rsidRDefault="006B0240" w:rsidP="00F22D8B">
      <w:pPr>
        <w:rPr>
          <w:rFonts w:ascii="Sylfaen" w:hAnsi="Sylfaen"/>
          <w:b/>
          <w:lang w:val="ka-GE" w:bidi="bn-BD"/>
        </w:rPr>
      </w:pPr>
    </w:p>
    <w:p w14:paraId="7E4EF37B" w14:textId="77777777" w:rsidR="006B0240" w:rsidRDefault="006B0240" w:rsidP="00F22D8B">
      <w:pPr>
        <w:rPr>
          <w:rFonts w:ascii="Sylfaen" w:hAnsi="Sylfaen"/>
          <w:b/>
          <w:lang w:val="ka-GE" w:bidi="bn-BD"/>
        </w:rPr>
      </w:pPr>
    </w:p>
    <w:p w14:paraId="063B922D" w14:textId="5B20399C" w:rsidR="00860C5D" w:rsidRPr="00860C5D" w:rsidRDefault="00860C5D" w:rsidP="00F22D8B">
      <w:pPr>
        <w:rPr>
          <w:rFonts w:ascii="Sylfaen" w:hAnsi="Sylfaen"/>
          <w:b/>
          <w:lang w:val="ka-GE" w:bidi="bn-BD"/>
        </w:rPr>
      </w:pPr>
      <w:r w:rsidRPr="00860C5D">
        <w:rPr>
          <w:rFonts w:ascii="Sylfaen" w:hAnsi="Sylfaen"/>
          <w:b/>
          <w:lang w:val="ka-GE" w:bidi="bn-BD"/>
        </w:rPr>
        <w:t>კოჭები</w:t>
      </w:r>
    </w:p>
    <w:p w14:paraId="6DC5DB27" w14:textId="7CBA06F2" w:rsidR="00860C5D" w:rsidRDefault="00860C5D" w:rsidP="00F22D8B">
      <w:pPr>
        <w:rPr>
          <w:rFonts w:ascii="Sylfaen" w:hAnsi="Sylfaen"/>
          <w:lang w:val="ka-GE" w:bidi="bn-BD"/>
        </w:rPr>
      </w:pPr>
      <w:r w:rsidRPr="00860C5D">
        <w:rPr>
          <w:rFonts w:ascii="Sylfaen" w:hAnsi="Sylfaen"/>
          <w:noProof/>
          <w:lang w:val="en-US" w:eastAsia="en-US"/>
        </w:rPr>
        <w:lastRenderedPageBreak/>
        <w:drawing>
          <wp:inline distT="0" distB="0" distL="0" distR="0" wp14:anchorId="03FAB6DA" wp14:editId="226E3D5B">
            <wp:extent cx="6562725" cy="7067550"/>
            <wp:effectExtent l="0" t="0" r="9525" b="0"/>
            <wp:docPr id="461" name="Picture 461" descr="D:\my docs\Bakurtsikhe-tsnori\bakurcixe-wnori\ESIA reports\მეორე ეტაპისტის\new\კოჭ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my docs\Bakurtsikhe-tsnori\bakurcixe-wnori\ESIA reports\მეორე ეტაპისტის\new\კოჭი.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562725" cy="7067550"/>
                    </a:xfrm>
                    <a:prstGeom prst="rect">
                      <a:avLst/>
                    </a:prstGeom>
                    <a:noFill/>
                    <a:ln>
                      <a:noFill/>
                    </a:ln>
                  </pic:spPr>
                </pic:pic>
              </a:graphicData>
            </a:graphic>
          </wp:inline>
        </w:drawing>
      </w:r>
    </w:p>
    <w:p w14:paraId="07A9726B" w14:textId="26DC62A2" w:rsidR="00860C5D" w:rsidRDefault="00860C5D" w:rsidP="00860C5D">
      <w:pPr>
        <w:jc w:val="center"/>
        <w:rPr>
          <w:rFonts w:ascii="Sylfaen" w:hAnsi="Sylfaen"/>
          <w:lang w:val="ka-GE" w:bidi="bn-BD"/>
        </w:rPr>
      </w:pPr>
      <w:r w:rsidRPr="00860C5D">
        <w:rPr>
          <w:rFonts w:ascii="Sylfaen" w:hAnsi="Sylfaen"/>
          <w:noProof/>
          <w:lang w:val="en-US" w:eastAsia="en-US"/>
        </w:rPr>
        <w:lastRenderedPageBreak/>
        <w:drawing>
          <wp:inline distT="0" distB="0" distL="0" distR="0" wp14:anchorId="3AAC2588" wp14:editId="10FF2F4B">
            <wp:extent cx="5334000" cy="2724098"/>
            <wp:effectExtent l="0" t="0" r="0" b="635"/>
            <wp:docPr id="462" name="Picture 462" descr="D:\my docs\Bakurtsikhe-tsnori\bakurcixe-wnori\ESIA reports\მეორე ეტაპისტის\new\კოჭი დამა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my docs\Bakurtsikhe-tsnori\bakurcixe-wnori\ESIA reports\მეორე ეტაპისტის\new\კოჭი დამატ.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71891" cy="2743449"/>
                    </a:xfrm>
                    <a:prstGeom prst="rect">
                      <a:avLst/>
                    </a:prstGeom>
                    <a:noFill/>
                    <a:ln>
                      <a:noFill/>
                    </a:ln>
                  </pic:spPr>
                </pic:pic>
              </a:graphicData>
            </a:graphic>
          </wp:inline>
        </w:drawing>
      </w:r>
    </w:p>
    <w:p w14:paraId="6FC0B1FF" w14:textId="7F0D01BF" w:rsidR="00860C5D" w:rsidRDefault="00860C5D" w:rsidP="00860C5D">
      <w:pPr>
        <w:rPr>
          <w:rFonts w:ascii="Sylfaen" w:hAnsi="Sylfaen"/>
          <w:lang w:val="ka-GE" w:bidi="bn-BD"/>
        </w:rPr>
      </w:pPr>
      <w:r w:rsidRPr="00860C5D">
        <w:rPr>
          <w:rFonts w:ascii="Sylfaen" w:hAnsi="Sylfaen"/>
          <w:noProof/>
          <w:lang w:val="en-US" w:eastAsia="en-US"/>
        </w:rPr>
        <w:drawing>
          <wp:inline distT="0" distB="0" distL="0" distR="0" wp14:anchorId="5C8C90C8" wp14:editId="50A59B5D">
            <wp:extent cx="6602877" cy="3686175"/>
            <wp:effectExtent l="0" t="0" r="7620" b="0"/>
            <wp:docPr id="463" name="Picture 463" descr="D:\my docs\Bakurtsikhe-tsnori\bakurcixe-wnori\ESIA reports\მეორე ეტაპისტის\new\კოჭი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my docs\Bakurtsikhe-tsnori\bakurcixe-wnori\ESIA reports\მეორე ეტაპისტის\new\კოჭი 2.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604247" cy="3686940"/>
                    </a:xfrm>
                    <a:prstGeom prst="rect">
                      <a:avLst/>
                    </a:prstGeom>
                    <a:noFill/>
                    <a:ln>
                      <a:noFill/>
                    </a:ln>
                  </pic:spPr>
                </pic:pic>
              </a:graphicData>
            </a:graphic>
          </wp:inline>
        </w:drawing>
      </w:r>
    </w:p>
    <w:p w14:paraId="31090B6D" w14:textId="337BD879" w:rsidR="00860C5D" w:rsidRDefault="00860C5D" w:rsidP="00860C5D">
      <w:pPr>
        <w:rPr>
          <w:rFonts w:ascii="Sylfaen" w:hAnsi="Sylfaen"/>
          <w:lang w:val="ka-GE" w:bidi="bn-BD"/>
        </w:rPr>
      </w:pPr>
      <w:r w:rsidRPr="00860C5D">
        <w:rPr>
          <w:rFonts w:ascii="Sylfaen" w:hAnsi="Sylfaen"/>
          <w:noProof/>
          <w:lang w:val="en-US" w:eastAsia="en-US"/>
        </w:rPr>
        <w:lastRenderedPageBreak/>
        <w:drawing>
          <wp:inline distT="0" distB="0" distL="0" distR="0" wp14:anchorId="0064446C" wp14:editId="265EC078">
            <wp:extent cx="6467475" cy="7534275"/>
            <wp:effectExtent l="0" t="0" r="9525" b="9525"/>
            <wp:docPr id="464" name="Picture 464" descr="D:\my docs\Bakurtsikhe-tsnori\bakurcixe-wnori\ESIA reports\მეორე ეტაპისტის\new\კოჭი 2 დამა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my docs\Bakurtsikhe-tsnori\bakurcixe-wnori\ESIA reports\მეორე ეტაპისტის\new\კოჭი 2 დამატ.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467475" cy="7534275"/>
                    </a:xfrm>
                    <a:prstGeom prst="rect">
                      <a:avLst/>
                    </a:prstGeom>
                    <a:noFill/>
                    <a:ln>
                      <a:noFill/>
                    </a:ln>
                  </pic:spPr>
                </pic:pic>
              </a:graphicData>
            </a:graphic>
          </wp:inline>
        </w:drawing>
      </w:r>
    </w:p>
    <w:p w14:paraId="312C6842" w14:textId="2914B696" w:rsidR="00860C5D" w:rsidRDefault="00860C5D" w:rsidP="00860C5D">
      <w:pPr>
        <w:rPr>
          <w:rFonts w:ascii="Sylfaen" w:hAnsi="Sylfaen"/>
          <w:lang w:val="ka-GE" w:bidi="bn-BD"/>
        </w:rPr>
      </w:pPr>
    </w:p>
    <w:p w14:paraId="1AAD6EBD" w14:textId="77777777" w:rsidR="00BE0BD2" w:rsidRDefault="00BE0BD2" w:rsidP="00860C5D">
      <w:pPr>
        <w:rPr>
          <w:rFonts w:ascii="Sylfaen" w:hAnsi="Sylfaen"/>
          <w:lang w:val="ka-GE" w:bidi="bn-BD"/>
        </w:rPr>
      </w:pPr>
    </w:p>
    <w:p w14:paraId="7B7C9157" w14:textId="34BBE794" w:rsidR="00860C5D" w:rsidRDefault="00860C5D" w:rsidP="00860C5D">
      <w:pPr>
        <w:pStyle w:val="EIAH3"/>
        <w:rPr>
          <w:rFonts w:ascii="Sylfaen" w:eastAsiaTheme="minorHAnsi" w:hAnsi="Sylfaen" w:cs="Sylfaen"/>
        </w:rPr>
      </w:pPr>
      <w:bookmarkStart w:id="152" w:name="_Toc1581527"/>
      <w:r>
        <w:rPr>
          <w:rFonts w:eastAsiaTheme="minorHAnsi"/>
        </w:rPr>
        <w:lastRenderedPageBreak/>
        <w:t>4.1</w:t>
      </w:r>
      <w:r w:rsidR="00BE0BD2">
        <w:rPr>
          <w:rFonts w:ascii="Sylfaen" w:eastAsiaTheme="minorHAnsi" w:hAnsi="Sylfaen"/>
          <w:lang w:val="ka-GE"/>
        </w:rPr>
        <w:t>2</w:t>
      </w:r>
      <w:r>
        <w:rPr>
          <w:rFonts w:eastAsiaTheme="minorHAnsi"/>
        </w:rPr>
        <w:t xml:space="preserve">.10 </w:t>
      </w:r>
      <w:r>
        <w:rPr>
          <w:rFonts w:ascii="Sylfaen" w:eastAsiaTheme="minorHAnsi" w:hAnsi="Sylfaen" w:cs="Sylfaen"/>
        </w:rPr>
        <w:t>ინტეგრირებული</w:t>
      </w:r>
      <w:r>
        <w:rPr>
          <w:rFonts w:eastAsiaTheme="minorHAnsi"/>
        </w:rPr>
        <w:t xml:space="preserve"> </w:t>
      </w:r>
      <w:r>
        <w:rPr>
          <w:rFonts w:ascii="Sylfaen" w:eastAsiaTheme="minorHAnsi" w:hAnsi="Sylfaen" w:cs="Sylfaen"/>
        </w:rPr>
        <w:t>რკინაბეტონის</w:t>
      </w:r>
      <w:r>
        <w:rPr>
          <w:rFonts w:eastAsiaTheme="minorHAnsi"/>
        </w:rPr>
        <w:t xml:space="preserve"> </w:t>
      </w:r>
      <w:r>
        <w:rPr>
          <w:rFonts w:ascii="Sylfaen" w:eastAsiaTheme="minorHAnsi" w:hAnsi="Sylfaen" w:cs="Sylfaen"/>
        </w:rPr>
        <w:t>ხიდის</w:t>
      </w:r>
      <w:r>
        <w:rPr>
          <w:rFonts w:eastAsiaTheme="minorHAnsi"/>
        </w:rPr>
        <w:t xml:space="preserve"> </w:t>
      </w:r>
      <w:r>
        <w:rPr>
          <w:rFonts w:ascii="Sylfaen" w:eastAsiaTheme="minorHAnsi" w:hAnsi="Sylfaen" w:cs="Sylfaen"/>
        </w:rPr>
        <w:t>წინასაპროექტო</w:t>
      </w:r>
      <w:r>
        <w:rPr>
          <w:rFonts w:eastAsiaTheme="minorHAnsi"/>
        </w:rPr>
        <w:t xml:space="preserve"> </w:t>
      </w:r>
      <w:r>
        <w:rPr>
          <w:rFonts w:ascii="Sylfaen" w:eastAsiaTheme="minorHAnsi" w:hAnsi="Sylfaen" w:cs="Sylfaen"/>
        </w:rPr>
        <w:t>გაანგარიშება</w:t>
      </w:r>
      <w:bookmarkEnd w:id="152"/>
    </w:p>
    <w:p w14:paraId="27AFEF3C" w14:textId="78FFC78A" w:rsidR="00BE0BD2" w:rsidRPr="00BE0BD2" w:rsidRDefault="00BE0BD2" w:rsidP="00BE0BD2">
      <w:pPr>
        <w:rPr>
          <w:rFonts w:ascii="Sylfaen" w:eastAsiaTheme="minorHAnsi" w:hAnsi="Sylfaen"/>
          <w:u w:val="single"/>
          <w:lang w:val="ka-GE"/>
        </w:rPr>
      </w:pPr>
      <w:r w:rsidRPr="00BE0BD2">
        <w:rPr>
          <w:rFonts w:ascii="Sylfaen" w:eastAsiaTheme="minorHAnsi" w:hAnsi="Sylfaen"/>
          <w:u w:val="single"/>
          <w:lang w:val="ka-GE"/>
        </w:rPr>
        <w:t>რკინაბეტონის ხიდის წინასაპროექტო განგარიშება</w:t>
      </w:r>
    </w:p>
    <w:p w14:paraId="02E4BC68" w14:textId="5AE9DDAC" w:rsidR="00860C5D" w:rsidRDefault="00485FE3" w:rsidP="00860C5D">
      <w:pPr>
        <w:rPr>
          <w:rFonts w:ascii="Sylfaen" w:hAnsi="Sylfaen"/>
          <w:lang w:val="ka-GE" w:bidi="bn-BD"/>
        </w:rPr>
      </w:pPr>
      <w:r w:rsidRPr="00485FE3">
        <w:rPr>
          <w:rFonts w:ascii="Sylfaen" w:hAnsi="Sylfaen"/>
          <w:noProof/>
          <w:lang w:val="en-US" w:eastAsia="en-US"/>
        </w:rPr>
        <w:drawing>
          <wp:inline distT="0" distB="0" distL="0" distR="0" wp14:anchorId="143FD418" wp14:editId="1717D4D1">
            <wp:extent cx="6602543" cy="4400550"/>
            <wp:effectExtent l="0" t="0" r="8255" b="0"/>
            <wp:docPr id="465" name="Picture 465" descr="D:\my docs\Bakurtsikhe-tsnori\bakurcixe-wnori\ESIA reports\მეორე ეტაპისტის\new\ხიმინჯი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my docs\Bakurtsikhe-tsnori\bakurcixe-wnori\ESIA reports\მეორე ეტაპისტის\new\ხიმინჯი 3.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605157" cy="4402292"/>
                    </a:xfrm>
                    <a:prstGeom prst="rect">
                      <a:avLst/>
                    </a:prstGeom>
                    <a:noFill/>
                    <a:ln>
                      <a:noFill/>
                    </a:ln>
                  </pic:spPr>
                </pic:pic>
              </a:graphicData>
            </a:graphic>
          </wp:inline>
        </w:drawing>
      </w:r>
    </w:p>
    <w:p w14:paraId="25E73D2C" w14:textId="7801039B" w:rsidR="00485FE3" w:rsidRDefault="00485FE3" w:rsidP="00860C5D">
      <w:pPr>
        <w:rPr>
          <w:rFonts w:ascii="Sylfaen" w:hAnsi="Sylfaen"/>
          <w:lang w:val="ka-GE" w:bidi="bn-BD"/>
        </w:rPr>
      </w:pPr>
      <w:r w:rsidRPr="00485FE3">
        <w:rPr>
          <w:rFonts w:ascii="Sylfaen" w:hAnsi="Sylfaen"/>
          <w:noProof/>
          <w:lang w:val="en-US" w:eastAsia="en-US"/>
        </w:rPr>
        <w:drawing>
          <wp:inline distT="0" distB="0" distL="0" distR="0" wp14:anchorId="00EDD3D9" wp14:editId="3471834E">
            <wp:extent cx="6603022" cy="3105150"/>
            <wp:effectExtent l="0" t="0" r="7620" b="0"/>
            <wp:docPr id="466" name="Picture 466" descr="D:\my docs\Bakurtsikhe-tsnori\bakurcixe-wnori\ESIA reports\მეორე ეტაპისტის\new\ხიმინჯი 3 დამა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my docs\Bakurtsikhe-tsnori\bakurcixe-wnori\ESIA reports\მეორე ეტაპისტის\new\ხიმინჯი 3 დამატ.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604533" cy="3105861"/>
                    </a:xfrm>
                    <a:prstGeom prst="rect">
                      <a:avLst/>
                    </a:prstGeom>
                    <a:noFill/>
                    <a:ln>
                      <a:noFill/>
                    </a:ln>
                  </pic:spPr>
                </pic:pic>
              </a:graphicData>
            </a:graphic>
          </wp:inline>
        </w:drawing>
      </w:r>
    </w:p>
    <w:p w14:paraId="59F43809" w14:textId="77777777" w:rsidR="00485FE3" w:rsidRDefault="00485FE3" w:rsidP="00860C5D">
      <w:pPr>
        <w:rPr>
          <w:rFonts w:ascii="Sylfaen" w:hAnsi="Sylfaen"/>
          <w:lang w:val="ka-GE" w:bidi="bn-BD"/>
        </w:rPr>
      </w:pPr>
    </w:p>
    <w:p w14:paraId="3E23242E" w14:textId="21D73EF0" w:rsidR="00485FE3" w:rsidRDefault="00BE0BD2" w:rsidP="00860C5D">
      <w:pPr>
        <w:rPr>
          <w:rFonts w:ascii="Sylfaen" w:hAnsi="Sylfaen"/>
          <w:lang w:val="ka-GE" w:bidi="bn-BD"/>
        </w:rPr>
      </w:pPr>
      <w:r w:rsidRPr="00BE0BD2">
        <w:rPr>
          <w:rFonts w:ascii="Sylfaen" w:hAnsi="Sylfaen"/>
          <w:noProof/>
          <w:lang w:val="en-US" w:eastAsia="en-US"/>
        </w:rPr>
        <w:lastRenderedPageBreak/>
        <w:drawing>
          <wp:inline distT="0" distB="0" distL="0" distR="0" wp14:anchorId="1A546670" wp14:editId="65AD388B">
            <wp:extent cx="6603365" cy="3615250"/>
            <wp:effectExtent l="0" t="0" r="6985" b="4445"/>
            <wp:docPr id="467" name="Picture 467" descr="D:\my docs\Bakurtsikhe-tsnori\bakurcixe-wnori\ESIA reports\მეორე ეტაპისტის\new\კოჭი 2 დამატ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my docs\Bakurtsikhe-tsnori\bakurcixe-wnori\ESIA reports\მეორე ეტაპისტის\new\კოჭი 2 დამატ 1.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603365" cy="3615250"/>
                    </a:xfrm>
                    <a:prstGeom prst="rect">
                      <a:avLst/>
                    </a:prstGeom>
                    <a:noFill/>
                    <a:ln>
                      <a:noFill/>
                    </a:ln>
                  </pic:spPr>
                </pic:pic>
              </a:graphicData>
            </a:graphic>
          </wp:inline>
        </w:drawing>
      </w:r>
    </w:p>
    <w:p w14:paraId="5996432B" w14:textId="42DB2ED3" w:rsidR="00BE0BD2" w:rsidRDefault="00BE0BD2" w:rsidP="00860C5D">
      <w:pPr>
        <w:rPr>
          <w:rFonts w:ascii="Sylfaen" w:hAnsi="Sylfaen"/>
          <w:lang w:val="ka-GE" w:bidi="bn-BD"/>
        </w:rPr>
      </w:pPr>
    </w:p>
    <w:p w14:paraId="6DA02C17" w14:textId="7A21281C" w:rsidR="00BE0BD2" w:rsidRDefault="00BE0BD2" w:rsidP="00860C5D">
      <w:pPr>
        <w:rPr>
          <w:rFonts w:ascii="Sylfaen" w:hAnsi="Sylfaen"/>
          <w:lang w:val="ka-GE" w:bidi="bn-BD"/>
        </w:rPr>
      </w:pPr>
      <w:r w:rsidRPr="00BE0BD2">
        <w:rPr>
          <w:rFonts w:ascii="Sylfaen" w:hAnsi="Sylfaen"/>
          <w:noProof/>
          <w:lang w:val="en-US" w:eastAsia="en-US"/>
        </w:rPr>
        <w:drawing>
          <wp:inline distT="0" distB="0" distL="0" distR="0" wp14:anchorId="558C7D96" wp14:editId="620C4E56">
            <wp:extent cx="6603365" cy="2918541"/>
            <wp:effectExtent l="0" t="0" r="6985" b="0"/>
            <wp:docPr id="468" name="Picture 468" descr="D:\my docs\Bakurtsikhe-tsnori\bakurcixe-wnori\ESIA reports\მეორე ეტაპისტის\new\კოჭი 2 დამატ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my docs\Bakurtsikhe-tsnori\bakurcixe-wnori\ESIA reports\მეორე ეტაპისტის\new\კოჭი 2 დამატ 2.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603365" cy="2918541"/>
                    </a:xfrm>
                    <a:prstGeom prst="rect">
                      <a:avLst/>
                    </a:prstGeom>
                    <a:noFill/>
                    <a:ln>
                      <a:noFill/>
                    </a:ln>
                  </pic:spPr>
                </pic:pic>
              </a:graphicData>
            </a:graphic>
          </wp:inline>
        </w:drawing>
      </w:r>
    </w:p>
    <w:p w14:paraId="7F3B8E87" w14:textId="77777777" w:rsidR="00A52183" w:rsidRDefault="00A52183" w:rsidP="00860C5D">
      <w:pPr>
        <w:rPr>
          <w:rFonts w:ascii="Sylfaen" w:eastAsiaTheme="minorHAnsi" w:hAnsi="Sylfaen" w:cs="AcadNusx"/>
          <w:b/>
          <w:szCs w:val="17"/>
          <w:lang w:val="ka-GE" w:eastAsia="en-US"/>
        </w:rPr>
      </w:pPr>
    </w:p>
    <w:p w14:paraId="0355B7FD" w14:textId="77777777" w:rsidR="00A52183" w:rsidRDefault="00A52183" w:rsidP="00860C5D">
      <w:pPr>
        <w:rPr>
          <w:rFonts w:ascii="Sylfaen" w:eastAsiaTheme="minorHAnsi" w:hAnsi="Sylfaen" w:cs="AcadNusx"/>
          <w:b/>
          <w:szCs w:val="17"/>
          <w:lang w:val="ka-GE" w:eastAsia="en-US"/>
        </w:rPr>
      </w:pPr>
    </w:p>
    <w:p w14:paraId="1B06EF0B" w14:textId="77777777" w:rsidR="00A52183" w:rsidRDefault="00A52183" w:rsidP="00860C5D">
      <w:pPr>
        <w:rPr>
          <w:rFonts w:ascii="Sylfaen" w:eastAsiaTheme="minorHAnsi" w:hAnsi="Sylfaen" w:cs="AcadNusx"/>
          <w:b/>
          <w:szCs w:val="17"/>
          <w:lang w:val="ka-GE" w:eastAsia="en-US"/>
        </w:rPr>
      </w:pPr>
    </w:p>
    <w:p w14:paraId="5C89F40F" w14:textId="77777777" w:rsidR="00A52183" w:rsidRDefault="00A52183" w:rsidP="00860C5D">
      <w:pPr>
        <w:rPr>
          <w:rFonts w:ascii="Sylfaen" w:eastAsiaTheme="minorHAnsi" w:hAnsi="Sylfaen" w:cs="AcadNusx"/>
          <w:b/>
          <w:szCs w:val="17"/>
          <w:lang w:val="ka-GE" w:eastAsia="en-US"/>
        </w:rPr>
      </w:pPr>
    </w:p>
    <w:p w14:paraId="009C4C13" w14:textId="77777777" w:rsidR="00A52183" w:rsidRDefault="00A52183" w:rsidP="00860C5D">
      <w:pPr>
        <w:rPr>
          <w:rFonts w:ascii="Sylfaen" w:eastAsiaTheme="minorHAnsi" w:hAnsi="Sylfaen" w:cs="AcadNusx"/>
          <w:b/>
          <w:szCs w:val="17"/>
          <w:lang w:val="ka-GE" w:eastAsia="en-US"/>
        </w:rPr>
      </w:pPr>
    </w:p>
    <w:p w14:paraId="2BAC4D6D" w14:textId="77777777" w:rsidR="00A52183" w:rsidRDefault="00A52183" w:rsidP="00860C5D">
      <w:pPr>
        <w:rPr>
          <w:rFonts w:ascii="Sylfaen" w:eastAsiaTheme="minorHAnsi" w:hAnsi="Sylfaen" w:cs="AcadNusx"/>
          <w:b/>
          <w:szCs w:val="17"/>
          <w:lang w:val="ka-GE" w:eastAsia="en-US"/>
        </w:rPr>
      </w:pPr>
    </w:p>
    <w:p w14:paraId="18C7DB0C" w14:textId="77777777" w:rsidR="00A52183" w:rsidRDefault="00A52183" w:rsidP="00860C5D">
      <w:pPr>
        <w:rPr>
          <w:rFonts w:ascii="Sylfaen" w:eastAsiaTheme="minorHAnsi" w:hAnsi="Sylfaen" w:cs="AcadNusx"/>
          <w:b/>
          <w:szCs w:val="17"/>
          <w:lang w:val="ka-GE" w:eastAsia="en-US"/>
        </w:rPr>
      </w:pPr>
    </w:p>
    <w:p w14:paraId="7763194F" w14:textId="77777777" w:rsidR="00A52183" w:rsidRDefault="00A52183" w:rsidP="00860C5D">
      <w:pPr>
        <w:rPr>
          <w:rFonts w:ascii="Sylfaen" w:eastAsiaTheme="minorHAnsi" w:hAnsi="Sylfaen" w:cs="AcadNusx"/>
          <w:b/>
          <w:szCs w:val="17"/>
          <w:lang w:val="ka-GE" w:eastAsia="en-US"/>
        </w:rPr>
      </w:pPr>
    </w:p>
    <w:p w14:paraId="15709203" w14:textId="77777777" w:rsidR="00A52183" w:rsidRDefault="00A52183" w:rsidP="00860C5D">
      <w:pPr>
        <w:rPr>
          <w:rFonts w:ascii="Sylfaen" w:eastAsiaTheme="minorHAnsi" w:hAnsi="Sylfaen" w:cs="AcadNusx"/>
          <w:b/>
          <w:szCs w:val="17"/>
          <w:lang w:val="ka-GE" w:eastAsia="en-US"/>
        </w:rPr>
      </w:pPr>
    </w:p>
    <w:p w14:paraId="650CBC52" w14:textId="6594B855" w:rsidR="00A52183" w:rsidRDefault="00A52183" w:rsidP="00860C5D">
      <w:pPr>
        <w:rPr>
          <w:rFonts w:ascii="Sylfaen" w:eastAsiaTheme="minorHAnsi" w:hAnsi="Sylfaen" w:cs="AcadNusx"/>
          <w:b/>
          <w:szCs w:val="17"/>
          <w:lang w:val="ka-GE" w:eastAsia="en-US"/>
        </w:rPr>
      </w:pPr>
      <w:r w:rsidRPr="00A52183">
        <w:rPr>
          <w:rFonts w:ascii="Sylfaen" w:eastAsiaTheme="minorHAnsi" w:hAnsi="Sylfaen" w:cs="AcadNusx"/>
          <w:b/>
          <w:szCs w:val="17"/>
          <w:lang w:val="ka-GE" w:eastAsia="en-US"/>
        </w:rPr>
        <w:t>რკბ-ის კონსტრუქციული ანგარიში</w:t>
      </w:r>
    </w:p>
    <w:p w14:paraId="12057F65" w14:textId="59D0B4A2" w:rsidR="00A52183" w:rsidRDefault="00A52183" w:rsidP="00860C5D">
      <w:pPr>
        <w:rPr>
          <w:rFonts w:ascii="Sylfaen" w:hAnsi="Sylfaen"/>
          <w:b/>
          <w:sz w:val="32"/>
          <w:lang w:val="ka-GE" w:bidi="bn-BD"/>
        </w:rPr>
      </w:pPr>
      <w:r w:rsidRPr="00A52183">
        <w:rPr>
          <w:rFonts w:ascii="Sylfaen" w:hAnsi="Sylfaen"/>
          <w:b/>
          <w:noProof/>
          <w:sz w:val="32"/>
          <w:lang w:val="en-US" w:eastAsia="en-US"/>
        </w:rPr>
        <w:lastRenderedPageBreak/>
        <w:drawing>
          <wp:inline distT="0" distB="0" distL="0" distR="0" wp14:anchorId="6FE10F31" wp14:editId="64609FEF">
            <wp:extent cx="6410325" cy="7791450"/>
            <wp:effectExtent l="0" t="0" r="9525" b="0"/>
            <wp:docPr id="469" name="Picture 469" descr="D:\my docs\Bakurtsikhe-tsnori\bakurcixe-wnori\ESIA reports\მეორე ეტაპისტის\new\კონსც ანგ.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my docs\Bakurtsikhe-tsnori\bakurcixe-wnori\ESIA reports\მეორე ეტაპისტის\new\კონსც ანგ.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410325" cy="7791450"/>
                    </a:xfrm>
                    <a:prstGeom prst="rect">
                      <a:avLst/>
                    </a:prstGeom>
                    <a:noFill/>
                    <a:ln>
                      <a:noFill/>
                    </a:ln>
                  </pic:spPr>
                </pic:pic>
              </a:graphicData>
            </a:graphic>
          </wp:inline>
        </w:drawing>
      </w:r>
    </w:p>
    <w:p w14:paraId="36AE97E0" w14:textId="1B37CD11" w:rsidR="00A52183" w:rsidRDefault="00A52183" w:rsidP="00860C5D">
      <w:pPr>
        <w:rPr>
          <w:rFonts w:ascii="Sylfaen" w:hAnsi="Sylfaen"/>
          <w:b/>
          <w:sz w:val="32"/>
          <w:lang w:val="ka-GE" w:bidi="bn-BD"/>
        </w:rPr>
      </w:pPr>
      <w:r w:rsidRPr="00A52183">
        <w:rPr>
          <w:rFonts w:ascii="Sylfaen" w:hAnsi="Sylfaen"/>
          <w:b/>
          <w:noProof/>
          <w:sz w:val="32"/>
          <w:lang w:val="en-US" w:eastAsia="en-US"/>
        </w:rPr>
        <w:lastRenderedPageBreak/>
        <w:drawing>
          <wp:inline distT="0" distB="0" distL="0" distR="0" wp14:anchorId="7BBF2ECD" wp14:editId="0205E380">
            <wp:extent cx="6400800" cy="7762875"/>
            <wp:effectExtent l="0" t="0" r="0" b="9525"/>
            <wp:docPr id="470" name="Picture 470" descr="D:\my docs\Bakurtsikhe-tsnori\bakurcixe-wnori\ESIA reports\მეორე ეტაპისტის\new\კონს ანგ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my docs\Bakurtsikhe-tsnori\bakurcixe-wnori\ESIA reports\მეორე ეტაპისტის\new\კონს ანგ 2.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400800" cy="7762875"/>
                    </a:xfrm>
                    <a:prstGeom prst="rect">
                      <a:avLst/>
                    </a:prstGeom>
                    <a:noFill/>
                    <a:ln>
                      <a:noFill/>
                    </a:ln>
                  </pic:spPr>
                </pic:pic>
              </a:graphicData>
            </a:graphic>
          </wp:inline>
        </w:drawing>
      </w:r>
    </w:p>
    <w:p w14:paraId="46C2C10B" w14:textId="2E0036C6" w:rsidR="00A52183" w:rsidRDefault="00A52183" w:rsidP="00860C5D">
      <w:pPr>
        <w:rPr>
          <w:rFonts w:ascii="Sylfaen" w:hAnsi="Sylfaen"/>
          <w:b/>
          <w:sz w:val="32"/>
          <w:lang w:val="ka-GE" w:bidi="bn-BD"/>
        </w:rPr>
      </w:pPr>
      <w:r w:rsidRPr="00A52183">
        <w:rPr>
          <w:rFonts w:ascii="Sylfaen" w:hAnsi="Sylfaen"/>
          <w:b/>
          <w:noProof/>
          <w:sz w:val="32"/>
          <w:lang w:val="en-US" w:eastAsia="en-US"/>
        </w:rPr>
        <w:lastRenderedPageBreak/>
        <w:drawing>
          <wp:inline distT="0" distB="0" distL="0" distR="0" wp14:anchorId="55541232" wp14:editId="0DF97AA5">
            <wp:extent cx="6524625" cy="7753350"/>
            <wp:effectExtent l="0" t="0" r="9525" b="0"/>
            <wp:docPr id="471" name="Picture 471" descr="D:\my docs\Bakurtsikhe-tsnori\bakurcixe-wnori\ESIA reports\მეორე ეტაპისტის\new\კონს. ანგ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my docs\Bakurtsikhe-tsnori\bakurcixe-wnori\ESIA reports\მეორე ეტაპისტის\new\კონს. ანგ 2.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524625" cy="7753350"/>
                    </a:xfrm>
                    <a:prstGeom prst="rect">
                      <a:avLst/>
                    </a:prstGeom>
                    <a:noFill/>
                    <a:ln>
                      <a:noFill/>
                    </a:ln>
                  </pic:spPr>
                </pic:pic>
              </a:graphicData>
            </a:graphic>
          </wp:inline>
        </w:drawing>
      </w:r>
    </w:p>
    <w:p w14:paraId="594221D2" w14:textId="185B5B4E" w:rsidR="00A52183" w:rsidRDefault="00A52183" w:rsidP="00860C5D">
      <w:pPr>
        <w:rPr>
          <w:rFonts w:ascii="Sylfaen" w:hAnsi="Sylfaen"/>
          <w:b/>
          <w:sz w:val="32"/>
          <w:lang w:val="ka-GE" w:bidi="bn-BD"/>
        </w:rPr>
      </w:pPr>
      <w:r w:rsidRPr="00A52183">
        <w:rPr>
          <w:rFonts w:ascii="Sylfaen" w:hAnsi="Sylfaen"/>
          <w:b/>
          <w:noProof/>
          <w:sz w:val="32"/>
          <w:lang w:val="en-US" w:eastAsia="en-US"/>
        </w:rPr>
        <w:lastRenderedPageBreak/>
        <w:drawing>
          <wp:inline distT="0" distB="0" distL="0" distR="0" wp14:anchorId="5C7203E6" wp14:editId="34547F5D">
            <wp:extent cx="6505575" cy="7772400"/>
            <wp:effectExtent l="0" t="0" r="9525" b="0"/>
            <wp:docPr id="472" name="Picture 472" descr="D:\my docs\Bakurtsikhe-tsnori\bakurcixe-wnori\ESIA reports\მეორე ეტაპისტის\new\კონს ანგ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my docs\Bakurtsikhe-tsnori\bakurcixe-wnori\ESIA reports\მეორე ეტაპისტის\new\კონს ანგ 3.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505575" cy="7772400"/>
                    </a:xfrm>
                    <a:prstGeom prst="rect">
                      <a:avLst/>
                    </a:prstGeom>
                    <a:noFill/>
                    <a:ln>
                      <a:noFill/>
                    </a:ln>
                  </pic:spPr>
                </pic:pic>
              </a:graphicData>
            </a:graphic>
          </wp:inline>
        </w:drawing>
      </w:r>
    </w:p>
    <w:p w14:paraId="03CA8F4A" w14:textId="0B05E24C" w:rsidR="00A52183" w:rsidRDefault="00A52183" w:rsidP="00860C5D">
      <w:pPr>
        <w:rPr>
          <w:rFonts w:ascii="Sylfaen" w:hAnsi="Sylfaen"/>
          <w:b/>
          <w:sz w:val="32"/>
          <w:lang w:val="ka-GE" w:bidi="bn-BD"/>
        </w:rPr>
      </w:pPr>
      <w:r w:rsidRPr="00A52183">
        <w:rPr>
          <w:rFonts w:ascii="Sylfaen" w:hAnsi="Sylfaen"/>
          <w:b/>
          <w:noProof/>
          <w:sz w:val="32"/>
          <w:lang w:val="en-US" w:eastAsia="en-US"/>
        </w:rPr>
        <w:lastRenderedPageBreak/>
        <w:drawing>
          <wp:inline distT="0" distB="0" distL="0" distR="0" wp14:anchorId="053D616E" wp14:editId="5634E68A">
            <wp:extent cx="6328410" cy="7772400"/>
            <wp:effectExtent l="0" t="0" r="0" b="0"/>
            <wp:docPr id="474" name="Picture 474" descr="D:\my docs\Bakurtsikhe-tsnori\bakurcixe-wnori\ESIA reports\მეორე ეტაპისტის\new\კონს ანგ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my docs\Bakurtsikhe-tsnori\bakurcixe-wnori\ESIA reports\მეორე ეტაპისტის\new\კონს ანგ 4.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328410" cy="7772400"/>
                    </a:xfrm>
                    <a:prstGeom prst="rect">
                      <a:avLst/>
                    </a:prstGeom>
                    <a:noFill/>
                    <a:ln>
                      <a:noFill/>
                    </a:ln>
                  </pic:spPr>
                </pic:pic>
              </a:graphicData>
            </a:graphic>
          </wp:inline>
        </w:drawing>
      </w:r>
    </w:p>
    <w:p w14:paraId="7BC73820" w14:textId="57E752CA" w:rsidR="00A52183" w:rsidRDefault="00A52183" w:rsidP="00860C5D">
      <w:pPr>
        <w:rPr>
          <w:rFonts w:ascii="Sylfaen" w:hAnsi="Sylfaen"/>
          <w:b/>
          <w:sz w:val="32"/>
          <w:lang w:val="ka-GE" w:bidi="bn-BD"/>
        </w:rPr>
      </w:pPr>
    </w:p>
    <w:p w14:paraId="605FFCED" w14:textId="77777777" w:rsidR="00A52183" w:rsidRPr="00A52183" w:rsidRDefault="00A52183" w:rsidP="00860C5D">
      <w:pPr>
        <w:rPr>
          <w:rFonts w:ascii="Sylfaen" w:hAnsi="Sylfaen"/>
          <w:b/>
          <w:sz w:val="32"/>
          <w:lang w:val="ka-GE" w:bidi="bn-BD"/>
        </w:rPr>
      </w:pPr>
    </w:p>
    <w:p w14:paraId="32C8B150" w14:textId="16A52266" w:rsidR="00EA3205" w:rsidRPr="00A52183" w:rsidRDefault="00EA3205" w:rsidP="00BC62DB">
      <w:pPr>
        <w:pStyle w:val="EIAheading2"/>
        <w:rPr>
          <w:rFonts w:ascii="AcadNusx" w:hAnsi="AcadNusx"/>
          <w:lang w:val="ka-GE"/>
        </w:rPr>
      </w:pPr>
      <w:bookmarkStart w:id="153" w:name="_Toc529411834"/>
      <w:bookmarkStart w:id="154" w:name="_Toc1581528"/>
      <w:r w:rsidRPr="00A52183">
        <w:rPr>
          <w:rFonts w:ascii="AcadNusx" w:hAnsi="AcadNusx"/>
          <w:lang w:val="ka-GE"/>
        </w:rPr>
        <w:lastRenderedPageBreak/>
        <w:t>4.</w:t>
      </w:r>
      <w:r w:rsidR="00BC62DB" w:rsidRPr="00A52183">
        <w:rPr>
          <w:rFonts w:ascii="AcadNusx" w:hAnsi="AcadNusx"/>
          <w:lang w:val="ka-GE"/>
        </w:rPr>
        <w:t>1</w:t>
      </w:r>
      <w:r w:rsidR="006B0240">
        <w:rPr>
          <w:rFonts w:ascii="Sylfaen" w:hAnsi="Sylfaen"/>
          <w:lang w:val="ka-GE"/>
        </w:rPr>
        <w:t>3</w:t>
      </w:r>
      <w:r w:rsidRPr="00A52183">
        <w:rPr>
          <w:rFonts w:ascii="AcadNusx" w:hAnsi="AcadNusx"/>
          <w:lang w:val="ka-GE"/>
        </w:rPr>
        <w:tab/>
      </w:r>
      <w:r w:rsidR="00A52183">
        <w:rPr>
          <w:rFonts w:ascii="Sylfaen" w:hAnsi="Sylfaen"/>
          <w:lang w:val="ka-GE"/>
        </w:rPr>
        <w:t>საყრდენი ნაგებობანი</w:t>
      </w:r>
      <w:bookmarkEnd w:id="153"/>
      <w:bookmarkEnd w:id="154"/>
      <w:r w:rsidRPr="00A52183">
        <w:rPr>
          <w:rFonts w:ascii="AcadNusx" w:hAnsi="AcadNusx"/>
          <w:lang w:val="ka-GE"/>
        </w:rPr>
        <w:t xml:space="preserve"> </w:t>
      </w:r>
    </w:p>
    <w:p w14:paraId="38A9EF96" w14:textId="77777777" w:rsidR="00EA3205" w:rsidRPr="00373702" w:rsidRDefault="00EA3205" w:rsidP="00F31A39">
      <w:pPr>
        <w:spacing w:before="120" w:after="120"/>
        <w:rPr>
          <w:rFonts w:ascii="AcadNusx" w:hAnsi="AcadNusx"/>
          <w:lang w:val="ka-GE"/>
        </w:rPr>
      </w:pPr>
      <w:r w:rsidRPr="00A52183">
        <w:rPr>
          <w:rFonts w:ascii="AcadNusx" w:hAnsi="AcadNusx"/>
          <w:lang w:val="ka-GE"/>
        </w:rPr>
        <w:t xml:space="preserve">saproeqto gzis mxridan garemoze zemoqmedebis Serbilebis da miwis saWiroebis Semcirebis mizniT, axali gzis trasa gadis arsebuli rkinigzis xazis axlos. </w:t>
      </w:r>
      <w:r w:rsidRPr="00373702">
        <w:rPr>
          <w:rFonts w:ascii="AcadNusx" w:hAnsi="AcadNusx"/>
          <w:lang w:val="ka-GE"/>
        </w:rPr>
        <w:t>Tavis mxriv, rkinigzis xazi ganTavsebulia miwayrilze, romlis simaRle garsmomcveli gruntis zedapiridan 7-8 metramde aRwevs. axali SemovliTi gzis mTliani sigrZidan (36.6 km) miaxloebiT 20 km rkinigzis xazis axlos gadis. umetes adgilebSi, sadac axali gzis trasa rkinigzis xazs miuyveba, gza ganTavsebulia miwayrilze, romelic rkinigzis miwayrilis msgavsi simaRlisaa. miuxedavad imisa, rom axali gza metwilad miwayrilze ganTavsdeba, mxolod SezRuduli jamuri sigrZis sayrdeni nagebobebis mowyobaa gaTvaliswinebuli. yvelgan, sadac saWiroa sayrdeni nagebobebis aSeneba, aseTi nagebobebis simaRleebi 8.0 metrs aRweven, rac teqnikurad ekonomikurad mizanSeuwonels xdis tradiciuli gravitaciuli / naxevrad gravitaciuli (rogorebicaa rkinabetonis, konsoluri an gabionuri da sxv.) kedlebis gamoyenebas. aRniSnulidan gamomdinare, prioriteti mieniWa “meqanikurad stabilizirebuli gruntis” (</w:t>
      </w:r>
      <w:r w:rsidRPr="00373702">
        <w:rPr>
          <w:rFonts w:ascii="Sylfaen" w:hAnsi="Sylfaen"/>
          <w:lang w:val="ka-GE"/>
        </w:rPr>
        <w:t>MSE</w:t>
      </w:r>
      <w:r w:rsidRPr="00373702">
        <w:rPr>
          <w:rFonts w:ascii="AcadNusx" w:hAnsi="AcadNusx"/>
          <w:lang w:val="ka-GE"/>
        </w:rPr>
        <w:t>) sistemebs. momdevno cxrilSi 4.9.1 warmodgenilia proeqtiT gaTvaliswinebuli meqanikurad stabilizirebuli (armirebuli) gruntis kedlebis mdebareobis monacemebi.</w:t>
      </w:r>
    </w:p>
    <w:p w14:paraId="798316D5" w14:textId="6D17AA1D" w:rsidR="00EA3205" w:rsidRPr="00B05F62" w:rsidRDefault="00EA3205" w:rsidP="00F31A39">
      <w:pPr>
        <w:spacing w:before="120" w:after="120"/>
        <w:rPr>
          <w:rFonts w:ascii="AcadNusx" w:hAnsi="AcadNusx"/>
        </w:rPr>
      </w:pPr>
      <w:r w:rsidRPr="00B05F62">
        <w:rPr>
          <w:rFonts w:ascii="AcadNusx" w:hAnsi="AcadNusx"/>
        </w:rPr>
        <w:t>cxrili 4.</w:t>
      </w:r>
      <w:r w:rsidR="00BC62DB">
        <w:rPr>
          <w:rFonts w:ascii="AcadNusx" w:hAnsi="AcadNusx"/>
        </w:rPr>
        <w:t>1</w:t>
      </w:r>
      <w:r w:rsidR="006B0240">
        <w:rPr>
          <w:rFonts w:ascii="Sylfaen" w:hAnsi="Sylfaen"/>
          <w:lang w:val="ka-GE"/>
        </w:rPr>
        <w:t>3</w:t>
      </w:r>
      <w:r w:rsidR="00BC62DB">
        <w:rPr>
          <w:rFonts w:ascii="AcadNusx" w:hAnsi="AcadNusx"/>
        </w:rPr>
        <w:t>-1</w:t>
      </w:r>
      <w:r w:rsidRPr="00B05F62">
        <w:rPr>
          <w:rFonts w:ascii="AcadNusx" w:hAnsi="AcadNusx"/>
        </w:rPr>
        <w:t>.</w:t>
      </w:r>
      <w:r w:rsidRPr="00B05F62">
        <w:rPr>
          <w:rFonts w:ascii="AcadNusx" w:hAnsi="AcadNusx"/>
        </w:rPr>
        <w:tab/>
        <w:t>rkinabetonis meqanikurad stabilizirebuli gruntis sayrdeni kedlebis mdebareobebi da simaRleebi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1701"/>
        <w:gridCol w:w="1701"/>
        <w:gridCol w:w="1720"/>
        <w:gridCol w:w="1824"/>
      </w:tblGrid>
      <w:tr w:rsidR="00EA3205" w:rsidRPr="00F31A39" w14:paraId="48F25332" w14:textId="77777777" w:rsidTr="00EA3205">
        <w:tc>
          <w:tcPr>
            <w:tcW w:w="244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50FDF51" w14:textId="77777777" w:rsidR="00EA3205" w:rsidRPr="00F31A39" w:rsidRDefault="00EA3205" w:rsidP="00EA3205">
            <w:pPr>
              <w:rPr>
                <w:rFonts w:ascii="AcadNusx" w:hAnsi="AcadNusx"/>
                <w:sz w:val="20"/>
              </w:rPr>
            </w:pPr>
            <w:r w:rsidRPr="00F31A39">
              <w:rPr>
                <w:rFonts w:ascii="AcadNusx" w:hAnsi="AcadNusx"/>
                <w:sz w:val="20"/>
              </w:rPr>
              <w:t>centraluri RerZis #</w:t>
            </w:r>
          </w:p>
        </w:tc>
        <w:tc>
          <w:tcPr>
            <w:tcW w:w="3402" w:type="dxa"/>
            <w:gridSpan w:val="2"/>
            <w:tcBorders>
              <w:top w:val="single" w:sz="4" w:space="0" w:color="auto"/>
              <w:left w:val="single" w:sz="4" w:space="0" w:color="auto"/>
              <w:bottom w:val="nil"/>
              <w:right w:val="single" w:sz="4" w:space="0" w:color="auto"/>
            </w:tcBorders>
            <w:shd w:val="clear" w:color="auto" w:fill="E0E0E0"/>
            <w:hideMark/>
          </w:tcPr>
          <w:p w14:paraId="3CF6FCAB" w14:textId="77777777" w:rsidR="00EA3205" w:rsidRPr="00F31A39" w:rsidRDefault="00EA3205" w:rsidP="00EA3205">
            <w:pPr>
              <w:rPr>
                <w:rFonts w:ascii="AcadNusx" w:hAnsi="AcadNusx"/>
                <w:sz w:val="20"/>
              </w:rPr>
            </w:pPr>
            <w:r w:rsidRPr="00F31A39">
              <w:rPr>
                <w:rFonts w:ascii="AcadNusx" w:hAnsi="AcadNusx"/>
                <w:sz w:val="20"/>
              </w:rPr>
              <w:t>kedlis mdebareoba (kilometraJi)</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A480895" w14:textId="77777777" w:rsidR="00EA3205" w:rsidRPr="00F31A39" w:rsidRDefault="00EA3205" w:rsidP="00EA3205">
            <w:pPr>
              <w:rPr>
                <w:rFonts w:ascii="AcadNusx" w:hAnsi="AcadNusx"/>
                <w:sz w:val="20"/>
              </w:rPr>
            </w:pPr>
            <w:r w:rsidRPr="00F31A39">
              <w:rPr>
                <w:rFonts w:ascii="AcadNusx" w:hAnsi="AcadNusx"/>
                <w:sz w:val="20"/>
              </w:rPr>
              <w:t>sigrZe (m)</w:t>
            </w:r>
          </w:p>
        </w:tc>
        <w:tc>
          <w:tcPr>
            <w:tcW w:w="182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87E1B83" w14:textId="77777777" w:rsidR="00EA3205" w:rsidRPr="00F31A39" w:rsidRDefault="00EA3205" w:rsidP="00EA3205">
            <w:pPr>
              <w:rPr>
                <w:rFonts w:ascii="AcadNusx" w:hAnsi="AcadNusx"/>
                <w:sz w:val="20"/>
              </w:rPr>
            </w:pPr>
            <w:r w:rsidRPr="00F31A39">
              <w:rPr>
                <w:rFonts w:ascii="AcadNusx" w:hAnsi="AcadNusx"/>
                <w:sz w:val="20"/>
              </w:rPr>
              <w:t>simaRle (m)</w:t>
            </w:r>
          </w:p>
        </w:tc>
      </w:tr>
      <w:tr w:rsidR="00EA3205" w:rsidRPr="00F31A39" w14:paraId="3B977F0F" w14:textId="77777777" w:rsidTr="00EA3205">
        <w:tc>
          <w:tcPr>
            <w:tcW w:w="9386" w:type="dxa"/>
            <w:vMerge/>
            <w:tcBorders>
              <w:top w:val="single" w:sz="4" w:space="0" w:color="auto"/>
              <w:left w:val="single" w:sz="4" w:space="0" w:color="auto"/>
              <w:bottom w:val="single" w:sz="4" w:space="0" w:color="auto"/>
              <w:right w:val="single" w:sz="4" w:space="0" w:color="auto"/>
            </w:tcBorders>
            <w:vAlign w:val="center"/>
            <w:hideMark/>
          </w:tcPr>
          <w:p w14:paraId="136E8081" w14:textId="77777777" w:rsidR="00EA3205" w:rsidRPr="00F31A39" w:rsidRDefault="00EA3205" w:rsidP="00EA3205">
            <w:pPr>
              <w:rPr>
                <w:rFonts w:ascii="AcadNusx" w:hAnsi="AcadNusx"/>
                <w:sz w:val="20"/>
              </w:rPr>
            </w:pPr>
          </w:p>
        </w:tc>
        <w:tc>
          <w:tcPr>
            <w:tcW w:w="1701" w:type="dxa"/>
            <w:tcBorders>
              <w:top w:val="nil"/>
              <w:left w:val="single" w:sz="4" w:space="0" w:color="auto"/>
              <w:bottom w:val="single" w:sz="4" w:space="0" w:color="auto"/>
              <w:right w:val="single" w:sz="4" w:space="0" w:color="auto"/>
            </w:tcBorders>
            <w:shd w:val="clear" w:color="auto" w:fill="E0E0E0"/>
            <w:hideMark/>
          </w:tcPr>
          <w:p w14:paraId="11449874" w14:textId="77777777" w:rsidR="00EA3205" w:rsidRPr="00F31A39" w:rsidRDefault="00EA3205" w:rsidP="00EA3205">
            <w:pPr>
              <w:rPr>
                <w:rFonts w:ascii="AcadNusx" w:hAnsi="AcadNusx"/>
                <w:sz w:val="20"/>
              </w:rPr>
            </w:pPr>
            <w:r w:rsidRPr="00F31A39">
              <w:rPr>
                <w:rFonts w:ascii="AcadNusx" w:hAnsi="AcadNusx"/>
                <w:sz w:val="20"/>
              </w:rPr>
              <w:t>dasawyisi (m)</w:t>
            </w:r>
          </w:p>
        </w:tc>
        <w:tc>
          <w:tcPr>
            <w:tcW w:w="1701" w:type="dxa"/>
            <w:tcBorders>
              <w:top w:val="nil"/>
              <w:left w:val="single" w:sz="4" w:space="0" w:color="auto"/>
              <w:bottom w:val="single" w:sz="4" w:space="0" w:color="auto"/>
              <w:right w:val="single" w:sz="4" w:space="0" w:color="auto"/>
            </w:tcBorders>
            <w:shd w:val="clear" w:color="auto" w:fill="E0E0E0"/>
            <w:hideMark/>
          </w:tcPr>
          <w:p w14:paraId="0F99477A" w14:textId="77777777" w:rsidR="00EA3205" w:rsidRPr="00F31A39" w:rsidRDefault="00EA3205" w:rsidP="00EA3205">
            <w:pPr>
              <w:rPr>
                <w:rFonts w:ascii="AcadNusx" w:hAnsi="AcadNusx"/>
                <w:sz w:val="20"/>
              </w:rPr>
            </w:pPr>
            <w:r w:rsidRPr="00F31A39">
              <w:rPr>
                <w:rFonts w:ascii="AcadNusx" w:hAnsi="AcadNusx"/>
                <w:sz w:val="20"/>
              </w:rPr>
              <w:t>dasasruli (m)</w:t>
            </w: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657C2AE" w14:textId="77777777" w:rsidR="00EA3205" w:rsidRPr="00F31A39" w:rsidRDefault="00EA3205" w:rsidP="00EA3205">
            <w:pPr>
              <w:rPr>
                <w:rFonts w:ascii="AcadNusx" w:hAnsi="AcadNusx"/>
                <w:sz w:val="20"/>
              </w:rPr>
            </w:pPr>
          </w:p>
        </w:tc>
        <w:tc>
          <w:tcPr>
            <w:tcW w:w="1824" w:type="dxa"/>
            <w:vMerge/>
            <w:tcBorders>
              <w:top w:val="single" w:sz="4" w:space="0" w:color="auto"/>
              <w:left w:val="single" w:sz="4" w:space="0" w:color="auto"/>
              <w:bottom w:val="single" w:sz="4" w:space="0" w:color="auto"/>
              <w:right w:val="single" w:sz="4" w:space="0" w:color="auto"/>
            </w:tcBorders>
            <w:vAlign w:val="center"/>
            <w:hideMark/>
          </w:tcPr>
          <w:p w14:paraId="6FD438E4" w14:textId="77777777" w:rsidR="00EA3205" w:rsidRPr="00F31A39" w:rsidRDefault="00EA3205" w:rsidP="00EA3205">
            <w:pPr>
              <w:rPr>
                <w:rFonts w:ascii="AcadNusx" w:hAnsi="AcadNusx"/>
                <w:sz w:val="20"/>
              </w:rPr>
            </w:pPr>
          </w:p>
        </w:tc>
      </w:tr>
      <w:tr w:rsidR="00EA3205" w:rsidRPr="00F31A39" w14:paraId="11F129B2" w14:textId="77777777" w:rsidTr="00EA3205">
        <w:tc>
          <w:tcPr>
            <w:tcW w:w="9386" w:type="dxa"/>
            <w:gridSpan w:val="5"/>
            <w:tcBorders>
              <w:top w:val="single" w:sz="4" w:space="0" w:color="auto"/>
              <w:left w:val="single" w:sz="4" w:space="0" w:color="auto"/>
              <w:bottom w:val="single" w:sz="4" w:space="0" w:color="auto"/>
              <w:right w:val="single" w:sz="4" w:space="0" w:color="auto"/>
            </w:tcBorders>
            <w:hideMark/>
          </w:tcPr>
          <w:p w14:paraId="3DF24295" w14:textId="77777777" w:rsidR="00EA3205" w:rsidRPr="00F31A39" w:rsidRDefault="00EA3205" w:rsidP="00EA3205">
            <w:pPr>
              <w:rPr>
                <w:rFonts w:ascii="AcadNusx" w:hAnsi="AcadNusx"/>
                <w:sz w:val="20"/>
              </w:rPr>
            </w:pPr>
            <w:r w:rsidRPr="00F31A39">
              <w:rPr>
                <w:rFonts w:ascii="AcadNusx" w:hAnsi="AcadNusx"/>
                <w:sz w:val="20"/>
              </w:rPr>
              <w:t>mTavari saproeqto gza</w:t>
            </w:r>
          </w:p>
        </w:tc>
      </w:tr>
      <w:tr w:rsidR="00EA3205" w:rsidRPr="00F31A39" w14:paraId="4F9472C2" w14:textId="77777777" w:rsidTr="00EA3205">
        <w:tc>
          <w:tcPr>
            <w:tcW w:w="2440" w:type="dxa"/>
            <w:tcBorders>
              <w:top w:val="single" w:sz="4" w:space="0" w:color="auto"/>
              <w:left w:val="single" w:sz="4" w:space="0" w:color="auto"/>
              <w:bottom w:val="single" w:sz="4" w:space="0" w:color="auto"/>
              <w:right w:val="single" w:sz="4" w:space="0" w:color="auto"/>
            </w:tcBorders>
            <w:hideMark/>
          </w:tcPr>
          <w:p w14:paraId="6BD943CA" w14:textId="77777777" w:rsidR="00EA3205" w:rsidRPr="00F31A39" w:rsidRDefault="00EA3205" w:rsidP="00EA3205">
            <w:pPr>
              <w:rPr>
                <w:rFonts w:ascii="AcadNusx" w:hAnsi="AcadNusx"/>
                <w:sz w:val="20"/>
              </w:rPr>
            </w:pPr>
            <w:r w:rsidRPr="00F31A39">
              <w:rPr>
                <w:rFonts w:ascii="Sylfaen" w:hAnsi="Sylfaen"/>
                <w:sz w:val="20"/>
              </w:rPr>
              <w:t>CL</w:t>
            </w:r>
            <w:r w:rsidRPr="00F31A39">
              <w:rPr>
                <w:rFonts w:ascii="AcadNusx" w:hAnsi="AcadNusx"/>
                <w:sz w:val="20"/>
              </w:rPr>
              <w:t>-100</w:t>
            </w:r>
          </w:p>
        </w:tc>
        <w:tc>
          <w:tcPr>
            <w:tcW w:w="1701" w:type="dxa"/>
            <w:tcBorders>
              <w:top w:val="single" w:sz="4" w:space="0" w:color="auto"/>
              <w:left w:val="single" w:sz="4" w:space="0" w:color="auto"/>
              <w:bottom w:val="single" w:sz="4" w:space="0" w:color="auto"/>
              <w:right w:val="single" w:sz="4" w:space="0" w:color="auto"/>
            </w:tcBorders>
            <w:hideMark/>
          </w:tcPr>
          <w:p w14:paraId="090A8A15" w14:textId="77777777" w:rsidR="00EA3205" w:rsidRPr="00F31A39" w:rsidRDefault="00EA3205" w:rsidP="00EA3205">
            <w:pPr>
              <w:rPr>
                <w:rFonts w:ascii="AcadNusx" w:hAnsi="AcadNusx"/>
                <w:sz w:val="20"/>
              </w:rPr>
            </w:pPr>
            <w:r w:rsidRPr="00F31A39">
              <w:rPr>
                <w:rFonts w:ascii="AcadNusx" w:hAnsi="AcadNusx"/>
                <w:sz w:val="20"/>
              </w:rPr>
              <w:t>3562</w:t>
            </w:r>
          </w:p>
        </w:tc>
        <w:tc>
          <w:tcPr>
            <w:tcW w:w="1701" w:type="dxa"/>
            <w:tcBorders>
              <w:top w:val="single" w:sz="4" w:space="0" w:color="auto"/>
              <w:left w:val="single" w:sz="4" w:space="0" w:color="auto"/>
              <w:bottom w:val="single" w:sz="4" w:space="0" w:color="auto"/>
              <w:right w:val="single" w:sz="4" w:space="0" w:color="auto"/>
            </w:tcBorders>
            <w:hideMark/>
          </w:tcPr>
          <w:p w14:paraId="745FF81B" w14:textId="77777777" w:rsidR="00EA3205" w:rsidRPr="00F31A39" w:rsidRDefault="00EA3205" w:rsidP="00EA3205">
            <w:pPr>
              <w:rPr>
                <w:rFonts w:ascii="AcadNusx" w:hAnsi="AcadNusx"/>
                <w:sz w:val="20"/>
              </w:rPr>
            </w:pPr>
            <w:r w:rsidRPr="00F31A39">
              <w:rPr>
                <w:rFonts w:ascii="AcadNusx" w:hAnsi="AcadNusx"/>
                <w:sz w:val="20"/>
              </w:rPr>
              <w:t>3580</w:t>
            </w:r>
          </w:p>
        </w:tc>
        <w:tc>
          <w:tcPr>
            <w:tcW w:w="1720" w:type="dxa"/>
            <w:tcBorders>
              <w:top w:val="single" w:sz="4" w:space="0" w:color="auto"/>
              <w:left w:val="single" w:sz="4" w:space="0" w:color="auto"/>
              <w:bottom w:val="single" w:sz="4" w:space="0" w:color="auto"/>
              <w:right w:val="single" w:sz="4" w:space="0" w:color="auto"/>
            </w:tcBorders>
            <w:hideMark/>
          </w:tcPr>
          <w:p w14:paraId="20BE11A8" w14:textId="77777777" w:rsidR="00EA3205" w:rsidRPr="00F31A39" w:rsidRDefault="00EA3205" w:rsidP="00EA3205">
            <w:pPr>
              <w:rPr>
                <w:rFonts w:ascii="AcadNusx" w:hAnsi="AcadNusx"/>
                <w:sz w:val="20"/>
              </w:rPr>
            </w:pPr>
            <w:r w:rsidRPr="00F31A39">
              <w:rPr>
                <w:rFonts w:ascii="AcadNusx" w:hAnsi="AcadNusx"/>
                <w:sz w:val="20"/>
              </w:rPr>
              <w:t>18</w:t>
            </w:r>
          </w:p>
        </w:tc>
        <w:tc>
          <w:tcPr>
            <w:tcW w:w="1824" w:type="dxa"/>
            <w:tcBorders>
              <w:top w:val="single" w:sz="4" w:space="0" w:color="auto"/>
              <w:left w:val="single" w:sz="4" w:space="0" w:color="auto"/>
              <w:bottom w:val="single" w:sz="4" w:space="0" w:color="auto"/>
              <w:right w:val="single" w:sz="4" w:space="0" w:color="auto"/>
            </w:tcBorders>
            <w:hideMark/>
          </w:tcPr>
          <w:p w14:paraId="36B81899" w14:textId="77777777" w:rsidR="00EA3205" w:rsidRPr="00F31A39" w:rsidRDefault="00EA3205" w:rsidP="00EA3205">
            <w:pPr>
              <w:rPr>
                <w:rFonts w:ascii="AcadNusx" w:hAnsi="AcadNusx"/>
                <w:sz w:val="20"/>
              </w:rPr>
            </w:pPr>
            <w:r w:rsidRPr="00F31A39">
              <w:rPr>
                <w:rFonts w:ascii="AcadNusx" w:hAnsi="AcadNusx"/>
                <w:sz w:val="20"/>
              </w:rPr>
              <w:t>8.40</w:t>
            </w:r>
          </w:p>
        </w:tc>
      </w:tr>
      <w:tr w:rsidR="00EA3205" w:rsidRPr="00F31A39" w14:paraId="1B445FB1" w14:textId="77777777" w:rsidTr="00EA3205">
        <w:tc>
          <w:tcPr>
            <w:tcW w:w="2440" w:type="dxa"/>
            <w:tcBorders>
              <w:top w:val="single" w:sz="4" w:space="0" w:color="auto"/>
              <w:left w:val="single" w:sz="4" w:space="0" w:color="auto"/>
              <w:bottom w:val="single" w:sz="4" w:space="0" w:color="auto"/>
              <w:right w:val="single" w:sz="4" w:space="0" w:color="auto"/>
            </w:tcBorders>
            <w:hideMark/>
          </w:tcPr>
          <w:p w14:paraId="0D0359C4" w14:textId="77777777" w:rsidR="00EA3205" w:rsidRPr="00F31A39" w:rsidRDefault="00EA3205" w:rsidP="00EA3205">
            <w:pPr>
              <w:rPr>
                <w:rFonts w:ascii="AcadNusx" w:hAnsi="AcadNusx"/>
                <w:sz w:val="20"/>
              </w:rPr>
            </w:pPr>
            <w:r w:rsidRPr="00F31A39">
              <w:rPr>
                <w:rFonts w:ascii="Sylfaen" w:hAnsi="Sylfaen"/>
                <w:sz w:val="20"/>
              </w:rPr>
              <w:t>CL</w:t>
            </w:r>
            <w:r w:rsidRPr="00F31A39">
              <w:rPr>
                <w:rFonts w:ascii="AcadNusx" w:hAnsi="AcadNusx"/>
                <w:sz w:val="20"/>
              </w:rPr>
              <w:t>-100</w:t>
            </w:r>
          </w:p>
        </w:tc>
        <w:tc>
          <w:tcPr>
            <w:tcW w:w="1701" w:type="dxa"/>
            <w:tcBorders>
              <w:top w:val="single" w:sz="4" w:space="0" w:color="auto"/>
              <w:left w:val="single" w:sz="4" w:space="0" w:color="auto"/>
              <w:bottom w:val="single" w:sz="4" w:space="0" w:color="auto"/>
              <w:right w:val="single" w:sz="4" w:space="0" w:color="auto"/>
            </w:tcBorders>
            <w:hideMark/>
          </w:tcPr>
          <w:p w14:paraId="54976D26" w14:textId="77777777" w:rsidR="00EA3205" w:rsidRPr="00F31A39" w:rsidRDefault="00EA3205" w:rsidP="00EA3205">
            <w:pPr>
              <w:rPr>
                <w:rFonts w:ascii="AcadNusx" w:hAnsi="AcadNusx"/>
                <w:sz w:val="20"/>
              </w:rPr>
            </w:pPr>
            <w:r w:rsidRPr="00F31A39">
              <w:rPr>
                <w:rFonts w:ascii="AcadNusx" w:hAnsi="AcadNusx"/>
                <w:sz w:val="20"/>
              </w:rPr>
              <w:t>3580</w:t>
            </w:r>
          </w:p>
        </w:tc>
        <w:tc>
          <w:tcPr>
            <w:tcW w:w="1701" w:type="dxa"/>
            <w:tcBorders>
              <w:top w:val="single" w:sz="4" w:space="0" w:color="auto"/>
              <w:left w:val="single" w:sz="4" w:space="0" w:color="auto"/>
              <w:bottom w:val="single" w:sz="4" w:space="0" w:color="auto"/>
              <w:right w:val="single" w:sz="4" w:space="0" w:color="auto"/>
            </w:tcBorders>
            <w:hideMark/>
          </w:tcPr>
          <w:p w14:paraId="50432671" w14:textId="77777777" w:rsidR="00EA3205" w:rsidRPr="00F31A39" w:rsidRDefault="00EA3205" w:rsidP="00EA3205">
            <w:pPr>
              <w:rPr>
                <w:rFonts w:ascii="AcadNusx" w:hAnsi="AcadNusx"/>
                <w:sz w:val="20"/>
              </w:rPr>
            </w:pPr>
            <w:r w:rsidRPr="00F31A39">
              <w:rPr>
                <w:rFonts w:ascii="AcadNusx" w:hAnsi="AcadNusx"/>
                <w:sz w:val="20"/>
              </w:rPr>
              <w:t>3635</w:t>
            </w:r>
          </w:p>
        </w:tc>
        <w:tc>
          <w:tcPr>
            <w:tcW w:w="1720" w:type="dxa"/>
            <w:tcBorders>
              <w:top w:val="single" w:sz="4" w:space="0" w:color="auto"/>
              <w:left w:val="single" w:sz="4" w:space="0" w:color="auto"/>
              <w:bottom w:val="single" w:sz="4" w:space="0" w:color="auto"/>
              <w:right w:val="single" w:sz="4" w:space="0" w:color="auto"/>
            </w:tcBorders>
            <w:hideMark/>
          </w:tcPr>
          <w:p w14:paraId="3B269C83" w14:textId="77777777" w:rsidR="00EA3205" w:rsidRPr="00F31A39" w:rsidRDefault="00EA3205" w:rsidP="00EA3205">
            <w:pPr>
              <w:rPr>
                <w:rFonts w:ascii="AcadNusx" w:hAnsi="AcadNusx"/>
                <w:sz w:val="20"/>
              </w:rPr>
            </w:pPr>
            <w:r w:rsidRPr="00F31A39">
              <w:rPr>
                <w:rFonts w:ascii="AcadNusx" w:hAnsi="AcadNusx"/>
                <w:sz w:val="20"/>
              </w:rPr>
              <w:t>55</w:t>
            </w:r>
          </w:p>
        </w:tc>
        <w:tc>
          <w:tcPr>
            <w:tcW w:w="1824" w:type="dxa"/>
            <w:tcBorders>
              <w:top w:val="single" w:sz="4" w:space="0" w:color="auto"/>
              <w:left w:val="single" w:sz="4" w:space="0" w:color="auto"/>
              <w:bottom w:val="single" w:sz="4" w:space="0" w:color="auto"/>
              <w:right w:val="single" w:sz="4" w:space="0" w:color="auto"/>
            </w:tcBorders>
            <w:hideMark/>
          </w:tcPr>
          <w:p w14:paraId="534F10CD" w14:textId="77777777" w:rsidR="00EA3205" w:rsidRPr="00F31A39" w:rsidRDefault="00EA3205" w:rsidP="00EA3205">
            <w:pPr>
              <w:rPr>
                <w:rFonts w:ascii="AcadNusx" w:hAnsi="AcadNusx"/>
                <w:sz w:val="20"/>
              </w:rPr>
            </w:pPr>
            <w:r w:rsidRPr="00F31A39">
              <w:rPr>
                <w:rFonts w:ascii="AcadNusx" w:hAnsi="AcadNusx"/>
                <w:sz w:val="20"/>
              </w:rPr>
              <w:t>7.80</w:t>
            </w:r>
          </w:p>
        </w:tc>
      </w:tr>
      <w:tr w:rsidR="00EA3205" w:rsidRPr="00F31A39" w14:paraId="651B5CBA" w14:textId="77777777" w:rsidTr="00EA3205">
        <w:tc>
          <w:tcPr>
            <w:tcW w:w="2440" w:type="dxa"/>
            <w:tcBorders>
              <w:top w:val="single" w:sz="4" w:space="0" w:color="auto"/>
              <w:left w:val="single" w:sz="4" w:space="0" w:color="auto"/>
              <w:bottom w:val="single" w:sz="4" w:space="0" w:color="auto"/>
              <w:right w:val="single" w:sz="4" w:space="0" w:color="auto"/>
            </w:tcBorders>
            <w:hideMark/>
          </w:tcPr>
          <w:p w14:paraId="2917CD43" w14:textId="77777777" w:rsidR="00EA3205" w:rsidRPr="00F31A39" w:rsidRDefault="00EA3205" w:rsidP="00EA3205">
            <w:pPr>
              <w:rPr>
                <w:rFonts w:ascii="AcadNusx" w:hAnsi="AcadNusx"/>
                <w:sz w:val="20"/>
              </w:rPr>
            </w:pPr>
            <w:r w:rsidRPr="00F31A39">
              <w:rPr>
                <w:rFonts w:ascii="Sylfaen" w:hAnsi="Sylfaen"/>
                <w:sz w:val="20"/>
              </w:rPr>
              <w:t>CL-</w:t>
            </w:r>
            <w:r w:rsidRPr="00F31A39">
              <w:rPr>
                <w:rFonts w:ascii="AcadNusx" w:hAnsi="AcadNusx"/>
                <w:sz w:val="20"/>
              </w:rPr>
              <w:t>100</w:t>
            </w:r>
          </w:p>
        </w:tc>
        <w:tc>
          <w:tcPr>
            <w:tcW w:w="1701" w:type="dxa"/>
            <w:tcBorders>
              <w:top w:val="single" w:sz="4" w:space="0" w:color="auto"/>
              <w:left w:val="single" w:sz="4" w:space="0" w:color="auto"/>
              <w:bottom w:val="single" w:sz="4" w:space="0" w:color="auto"/>
              <w:right w:val="single" w:sz="4" w:space="0" w:color="auto"/>
            </w:tcBorders>
            <w:hideMark/>
          </w:tcPr>
          <w:p w14:paraId="112A5384" w14:textId="77777777" w:rsidR="00EA3205" w:rsidRPr="00F31A39" w:rsidRDefault="00EA3205" w:rsidP="00EA3205">
            <w:pPr>
              <w:rPr>
                <w:rFonts w:ascii="AcadNusx" w:hAnsi="AcadNusx"/>
                <w:sz w:val="20"/>
              </w:rPr>
            </w:pPr>
            <w:r w:rsidRPr="00F31A39">
              <w:rPr>
                <w:rFonts w:ascii="AcadNusx" w:hAnsi="AcadNusx"/>
                <w:sz w:val="20"/>
              </w:rPr>
              <w:t>3635</w:t>
            </w:r>
          </w:p>
        </w:tc>
        <w:tc>
          <w:tcPr>
            <w:tcW w:w="1701" w:type="dxa"/>
            <w:tcBorders>
              <w:top w:val="single" w:sz="4" w:space="0" w:color="auto"/>
              <w:left w:val="single" w:sz="4" w:space="0" w:color="auto"/>
              <w:bottom w:val="single" w:sz="4" w:space="0" w:color="auto"/>
              <w:right w:val="single" w:sz="4" w:space="0" w:color="auto"/>
            </w:tcBorders>
            <w:hideMark/>
          </w:tcPr>
          <w:p w14:paraId="1FD2B011" w14:textId="77777777" w:rsidR="00EA3205" w:rsidRPr="00F31A39" w:rsidRDefault="00EA3205" w:rsidP="00EA3205">
            <w:pPr>
              <w:rPr>
                <w:rFonts w:ascii="AcadNusx" w:hAnsi="AcadNusx"/>
                <w:sz w:val="20"/>
              </w:rPr>
            </w:pPr>
            <w:r w:rsidRPr="00F31A39">
              <w:rPr>
                <w:rFonts w:ascii="AcadNusx" w:hAnsi="AcadNusx"/>
                <w:sz w:val="20"/>
              </w:rPr>
              <w:t>3680</w:t>
            </w:r>
          </w:p>
        </w:tc>
        <w:tc>
          <w:tcPr>
            <w:tcW w:w="1720" w:type="dxa"/>
            <w:tcBorders>
              <w:top w:val="single" w:sz="4" w:space="0" w:color="auto"/>
              <w:left w:val="single" w:sz="4" w:space="0" w:color="auto"/>
              <w:bottom w:val="single" w:sz="4" w:space="0" w:color="auto"/>
              <w:right w:val="single" w:sz="4" w:space="0" w:color="auto"/>
            </w:tcBorders>
            <w:hideMark/>
          </w:tcPr>
          <w:p w14:paraId="70B95018" w14:textId="77777777" w:rsidR="00EA3205" w:rsidRPr="00F31A39" w:rsidRDefault="00EA3205" w:rsidP="00EA3205">
            <w:pPr>
              <w:rPr>
                <w:rFonts w:ascii="AcadNusx" w:hAnsi="AcadNusx"/>
                <w:sz w:val="20"/>
              </w:rPr>
            </w:pPr>
            <w:r w:rsidRPr="00F31A39">
              <w:rPr>
                <w:rFonts w:ascii="AcadNusx" w:hAnsi="AcadNusx"/>
                <w:sz w:val="20"/>
              </w:rPr>
              <w:t>45</w:t>
            </w:r>
          </w:p>
        </w:tc>
        <w:tc>
          <w:tcPr>
            <w:tcW w:w="1824" w:type="dxa"/>
            <w:tcBorders>
              <w:top w:val="single" w:sz="4" w:space="0" w:color="auto"/>
              <w:left w:val="single" w:sz="4" w:space="0" w:color="auto"/>
              <w:bottom w:val="single" w:sz="4" w:space="0" w:color="auto"/>
              <w:right w:val="single" w:sz="4" w:space="0" w:color="auto"/>
            </w:tcBorders>
            <w:hideMark/>
          </w:tcPr>
          <w:p w14:paraId="10429358" w14:textId="77777777" w:rsidR="00EA3205" w:rsidRPr="00F31A39" w:rsidRDefault="00EA3205" w:rsidP="00EA3205">
            <w:pPr>
              <w:rPr>
                <w:rFonts w:ascii="AcadNusx" w:hAnsi="AcadNusx"/>
                <w:sz w:val="20"/>
              </w:rPr>
            </w:pPr>
            <w:r w:rsidRPr="00F31A39">
              <w:rPr>
                <w:rFonts w:ascii="AcadNusx" w:hAnsi="AcadNusx"/>
                <w:sz w:val="20"/>
              </w:rPr>
              <w:t>7.20</w:t>
            </w:r>
          </w:p>
        </w:tc>
      </w:tr>
      <w:tr w:rsidR="00EA3205" w:rsidRPr="00F31A39" w14:paraId="0CFDF2F1" w14:textId="77777777" w:rsidTr="00EA3205">
        <w:tc>
          <w:tcPr>
            <w:tcW w:w="2440" w:type="dxa"/>
            <w:tcBorders>
              <w:top w:val="single" w:sz="4" w:space="0" w:color="auto"/>
              <w:left w:val="single" w:sz="4" w:space="0" w:color="auto"/>
              <w:bottom w:val="single" w:sz="4" w:space="0" w:color="auto"/>
              <w:right w:val="single" w:sz="4" w:space="0" w:color="auto"/>
            </w:tcBorders>
            <w:hideMark/>
          </w:tcPr>
          <w:p w14:paraId="65C12987" w14:textId="77777777" w:rsidR="00EA3205" w:rsidRPr="00F31A39" w:rsidRDefault="00EA3205" w:rsidP="00EA3205">
            <w:pPr>
              <w:rPr>
                <w:rFonts w:ascii="Sylfaen" w:hAnsi="Sylfaen"/>
                <w:sz w:val="20"/>
              </w:rPr>
            </w:pPr>
            <w:r w:rsidRPr="00F31A39">
              <w:rPr>
                <w:rFonts w:ascii="Sylfaen" w:hAnsi="Sylfaen"/>
                <w:sz w:val="20"/>
              </w:rPr>
              <w:t>CL-100</w:t>
            </w:r>
          </w:p>
        </w:tc>
        <w:tc>
          <w:tcPr>
            <w:tcW w:w="1701" w:type="dxa"/>
            <w:tcBorders>
              <w:top w:val="single" w:sz="4" w:space="0" w:color="auto"/>
              <w:left w:val="single" w:sz="4" w:space="0" w:color="auto"/>
              <w:bottom w:val="single" w:sz="4" w:space="0" w:color="auto"/>
              <w:right w:val="single" w:sz="4" w:space="0" w:color="auto"/>
            </w:tcBorders>
            <w:hideMark/>
          </w:tcPr>
          <w:p w14:paraId="3E6317B4" w14:textId="77777777" w:rsidR="00EA3205" w:rsidRPr="00F31A39" w:rsidRDefault="00EA3205" w:rsidP="00EA3205">
            <w:pPr>
              <w:rPr>
                <w:rFonts w:ascii="AcadNusx" w:hAnsi="AcadNusx"/>
                <w:sz w:val="20"/>
              </w:rPr>
            </w:pPr>
            <w:r w:rsidRPr="00F31A39">
              <w:rPr>
                <w:rFonts w:ascii="AcadNusx" w:hAnsi="AcadNusx"/>
                <w:sz w:val="20"/>
              </w:rPr>
              <w:t>3680</w:t>
            </w:r>
          </w:p>
        </w:tc>
        <w:tc>
          <w:tcPr>
            <w:tcW w:w="1701" w:type="dxa"/>
            <w:tcBorders>
              <w:top w:val="single" w:sz="4" w:space="0" w:color="auto"/>
              <w:left w:val="single" w:sz="4" w:space="0" w:color="auto"/>
              <w:bottom w:val="single" w:sz="4" w:space="0" w:color="auto"/>
              <w:right w:val="single" w:sz="4" w:space="0" w:color="auto"/>
            </w:tcBorders>
            <w:hideMark/>
          </w:tcPr>
          <w:p w14:paraId="7A91314C" w14:textId="77777777" w:rsidR="00EA3205" w:rsidRPr="00F31A39" w:rsidRDefault="00EA3205" w:rsidP="00EA3205">
            <w:pPr>
              <w:rPr>
                <w:rFonts w:ascii="AcadNusx" w:hAnsi="AcadNusx"/>
                <w:sz w:val="20"/>
              </w:rPr>
            </w:pPr>
            <w:r w:rsidRPr="00F31A39">
              <w:rPr>
                <w:rFonts w:ascii="AcadNusx" w:hAnsi="AcadNusx"/>
                <w:sz w:val="20"/>
              </w:rPr>
              <w:t>3715</w:t>
            </w:r>
          </w:p>
        </w:tc>
        <w:tc>
          <w:tcPr>
            <w:tcW w:w="1720" w:type="dxa"/>
            <w:tcBorders>
              <w:top w:val="single" w:sz="4" w:space="0" w:color="auto"/>
              <w:left w:val="single" w:sz="4" w:space="0" w:color="auto"/>
              <w:bottom w:val="single" w:sz="4" w:space="0" w:color="auto"/>
              <w:right w:val="single" w:sz="4" w:space="0" w:color="auto"/>
            </w:tcBorders>
            <w:hideMark/>
          </w:tcPr>
          <w:p w14:paraId="2F1D39CE" w14:textId="77777777" w:rsidR="00EA3205" w:rsidRPr="00F31A39" w:rsidRDefault="00EA3205" w:rsidP="00EA3205">
            <w:pPr>
              <w:rPr>
                <w:rFonts w:ascii="AcadNusx" w:hAnsi="AcadNusx"/>
                <w:sz w:val="20"/>
              </w:rPr>
            </w:pPr>
            <w:r w:rsidRPr="00F31A39">
              <w:rPr>
                <w:rFonts w:ascii="AcadNusx" w:hAnsi="AcadNusx"/>
                <w:sz w:val="20"/>
              </w:rPr>
              <w:t>35</w:t>
            </w:r>
          </w:p>
        </w:tc>
        <w:tc>
          <w:tcPr>
            <w:tcW w:w="1824" w:type="dxa"/>
            <w:tcBorders>
              <w:top w:val="single" w:sz="4" w:space="0" w:color="auto"/>
              <w:left w:val="single" w:sz="4" w:space="0" w:color="auto"/>
              <w:bottom w:val="single" w:sz="4" w:space="0" w:color="auto"/>
              <w:right w:val="single" w:sz="4" w:space="0" w:color="auto"/>
            </w:tcBorders>
            <w:hideMark/>
          </w:tcPr>
          <w:p w14:paraId="0F3F5DCB" w14:textId="77777777" w:rsidR="00EA3205" w:rsidRPr="00F31A39" w:rsidRDefault="00EA3205" w:rsidP="00EA3205">
            <w:pPr>
              <w:rPr>
                <w:rFonts w:ascii="AcadNusx" w:hAnsi="AcadNusx"/>
                <w:sz w:val="20"/>
              </w:rPr>
            </w:pPr>
            <w:r w:rsidRPr="00F31A39">
              <w:rPr>
                <w:rFonts w:ascii="AcadNusx" w:hAnsi="AcadNusx"/>
                <w:sz w:val="20"/>
              </w:rPr>
              <w:t>6.60</w:t>
            </w:r>
          </w:p>
        </w:tc>
      </w:tr>
      <w:tr w:rsidR="00EA3205" w:rsidRPr="00F31A39" w14:paraId="7DC7C5C9" w14:textId="77777777" w:rsidTr="00EA3205">
        <w:tc>
          <w:tcPr>
            <w:tcW w:w="2440" w:type="dxa"/>
            <w:tcBorders>
              <w:top w:val="single" w:sz="4" w:space="0" w:color="auto"/>
              <w:left w:val="single" w:sz="4" w:space="0" w:color="auto"/>
              <w:bottom w:val="single" w:sz="4" w:space="0" w:color="auto"/>
              <w:right w:val="single" w:sz="4" w:space="0" w:color="auto"/>
            </w:tcBorders>
            <w:hideMark/>
          </w:tcPr>
          <w:p w14:paraId="055DB1E4" w14:textId="77777777" w:rsidR="00EA3205" w:rsidRPr="00F31A39" w:rsidRDefault="00EA3205" w:rsidP="00EA3205">
            <w:pPr>
              <w:rPr>
                <w:rFonts w:ascii="Sylfaen" w:hAnsi="Sylfaen"/>
                <w:sz w:val="20"/>
              </w:rPr>
            </w:pPr>
            <w:r w:rsidRPr="00F31A39">
              <w:rPr>
                <w:rFonts w:ascii="Sylfaen" w:hAnsi="Sylfaen"/>
                <w:sz w:val="20"/>
              </w:rPr>
              <w:t>CL-100</w:t>
            </w:r>
          </w:p>
        </w:tc>
        <w:tc>
          <w:tcPr>
            <w:tcW w:w="1701" w:type="dxa"/>
            <w:tcBorders>
              <w:top w:val="single" w:sz="4" w:space="0" w:color="auto"/>
              <w:left w:val="single" w:sz="4" w:space="0" w:color="auto"/>
              <w:bottom w:val="single" w:sz="4" w:space="0" w:color="auto"/>
              <w:right w:val="single" w:sz="4" w:space="0" w:color="auto"/>
            </w:tcBorders>
            <w:hideMark/>
          </w:tcPr>
          <w:p w14:paraId="767E1CFD" w14:textId="77777777" w:rsidR="00EA3205" w:rsidRPr="00F31A39" w:rsidRDefault="00EA3205" w:rsidP="00EA3205">
            <w:pPr>
              <w:rPr>
                <w:rFonts w:ascii="AcadNusx" w:hAnsi="AcadNusx"/>
                <w:sz w:val="20"/>
              </w:rPr>
            </w:pPr>
            <w:r w:rsidRPr="00F31A39">
              <w:rPr>
                <w:rFonts w:ascii="AcadNusx" w:hAnsi="AcadNusx"/>
                <w:sz w:val="20"/>
              </w:rPr>
              <w:t>3715</w:t>
            </w:r>
          </w:p>
        </w:tc>
        <w:tc>
          <w:tcPr>
            <w:tcW w:w="1701" w:type="dxa"/>
            <w:tcBorders>
              <w:top w:val="single" w:sz="4" w:space="0" w:color="auto"/>
              <w:left w:val="single" w:sz="4" w:space="0" w:color="auto"/>
              <w:bottom w:val="single" w:sz="4" w:space="0" w:color="auto"/>
              <w:right w:val="single" w:sz="4" w:space="0" w:color="auto"/>
            </w:tcBorders>
            <w:hideMark/>
          </w:tcPr>
          <w:p w14:paraId="5F2B19B5" w14:textId="77777777" w:rsidR="00EA3205" w:rsidRPr="00F31A39" w:rsidRDefault="00EA3205" w:rsidP="00EA3205">
            <w:pPr>
              <w:rPr>
                <w:rFonts w:ascii="AcadNusx" w:hAnsi="AcadNusx"/>
                <w:sz w:val="20"/>
              </w:rPr>
            </w:pPr>
            <w:r w:rsidRPr="00F31A39">
              <w:rPr>
                <w:rFonts w:ascii="AcadNusx" w:hAnsi="AcadNusx"/>
                <w:sz w:val="20"/>
              </w:rPr>
              <w:t>3755</w:t>
            </w:r>
          </w:p>
        </w:tc>
        <w:tc>
          <w:tcPr>
            <w:tcW w:w="1720" w:type="dxa"/>
            <w:tcBorders>
              <w:top w:val="single" w:sz="4" w:space="0" w:color="auto"/>
              <w:left w:val="single" w:sz="4" w:space="0" w:color="auto"/>
              <w:bottom w:val="single" w:sz="4" w:space="0" w:color="auto"/>
              <w:right w:val="single" w:sz="4" w:space="0" w:color="auto"/>
            </w:tcBorders>
            <w:hideMark/>
          </w:tcPr>
          <w:p w14:paraId="13862214" w14:textId="77777777" w:rsidR="00EA3205" w:rsidRPr="00F31A39" w:rsidRDefault="00EA3205" w:rsidP="00EA3205">
            <w:pPr>
              <w:rPr>
                <w:rFonts w:ascii="AcadNusx" w:hAnsi="AcadNusx"/>
                <w:sz w:val="20"/>
              </w:rPr>
            </w:pPr>
            <w:r w:rsidRPr="00F31A39">
              <w:rPr>
                <w:rFonts w:ascii="AcadNusx" w:hAnsi="AcadNusx"/>
                <w:sz w:val="20"/>
              </w:rPr>
              <w:t>40</w:t>
            </w:r>
          </w:p>
        </w:tc>
        <w:tc>
          <w:tcPr>
            <w:tcW w:w="1824" w:type="dxa"/>
            <w:tcBorders>
              <w:top w:val="single" w:sz="4" w:space="0" w:color="auto"/>
              <w:left w:val="single" w:sz="4" w:space="0" w:color="auto"/>
              <w:bottom w:val="single" w:sz="4" w:space="0" w:color="auto"/>
              <w:right w:val="single" w:sz="4" w:space="0" w:color="auto"/>
            </w:tcBorders>
            <w:hideMark/>
          </w:tcPr>
          <w:p w14:paraId="1BD60D45" w14:textId="77777777" w:rsidR="00EA3205" w:rsidRPr="00F31A39" w:rsidRDefault="00EA3205" w:rsidP="00EA3205">
            <w:pPr>
              <w:rPr>
                <w:rFonts w:ascii="AcadNusx" w:hAnsi="AcadNusx"/>
                <w:sz w:val="20"/>
              </w:rPr>
            </w:pPr>
            <w:r w:rsidRPr="00F31A39">
              <w:rPr>
                <w:rFonts w:ascii="AcadNusx" w:hAnsi="AcadNusx"/>
                <w:sz w:val="20"/>
              </w:rPr>
              <w:t>6.00</w:t>
            </w:r>
          </w:p>
        </w:tc>
      </w:tr>
      <w:tr w:rsidR="00EA3205" w:rsidRPr="00F31A39" w14:paraId="0E2DA567" w14:textId="77777777" w:rsidTr="00EA3205">
        <w:tc>
          <w:tcPr>
            <w:tcW w:w="2440" w:type="dxa"/>
            <w:tcBorders>
              <w:top w:val="single" w:sz="4" w:space="0" w:color="auto"/>
              <w:left w:val="single" w:sz="4" w:space="0" w:color="auto"/>
              <w:bottom w:val="single" w:sz="4" w:space="0" w:color="auto"/>
              <w:right w:val="single" w:sz="4" w:space="0" w:color="auto"/>
            </w:tcBorders>
            <w:hideMark/>
          </w:tcPr>
          <w:p w14:paraId="73FBB949" w14:textId="77777777" w:rsidR="00EA3205" w:rsidRPr="00F31A39" w:rsidRDefault="00EA3205" w:rsidP="00EA3205">
            <w:pPr>
              <w:rPr>
                <w:rFonts w:ascii="Sylfaen" w:hAnsi="Sylfaen"/>
                <w:sz w:val="20"/>
              </w:rPr>
            </w:pPr>
            <w:r w:rsidRPr="00F31A39">
              <w:rPr>
                <w:rFonts w:ascii="Sylfaen" w:hAnsi="Sylfaen"/>
                <w:sz w:val="20"/>
              </w:rPr>
              <w:t>CL-100</w:t>
            </w:r>
          </w:p>
        </w:tc>
        <w:tc>
          <w:tcPr>
            <w:tcW w:w="1701" w:type="dxa"/>
            <w:tcBorders>
              <w:top w:val="single" w:sz="4" w:space="0" w:color="auto"/>
              <w:left w:val="single" w:sz="4" w:space="0" w:color="auto"/>
              <w:bottom w:val="single" w:sz="4" w:space="0" w:color="auto"/>
              <w:right w:val="single" w:sz="4" w:space="0" w:color="auto"/>
            </w:tcBorders>
            <w:hideMark/>
          </w:tcPr>
          <w:p w14:paraId="1B001CBC" w14:textId="77777777" w:rsidR="00EA3205" w:rsidRPr="00F31A39" w:rsidRDefault="00EA3205" w:rsidP="00EA3205">
            <w:pPr>
              <w:rPr>
                <w:rFonts w:ascii="AcadNusx" w:hAnsi="AcadNusx"/>
                <w:sz w:val="20"/>
              </w:rPr>
            </w:pPr>
            <w:r w:rsidRPr="00F31A39">
              <w:rPr>
                <w:rFonts w:ascii="AcadNusx" w:hAnsi="AcadNusx"/>
                <w:sz w:val="20"/>
              </w:rPr>
              <w:t>3755</w:t>
            </w:r>
          </w:p>
        </w:tc>
        <w:tc>
          <w:tcPr>
            <w:tcW w:w="1701" w:type="dxa"/>
            <w:tcBorders>
              <w:top w:val="single" w:sz="4" w:space="0" w:color="auto"/>
              <w:left w:val="single" w:sz="4" w:space="0" w:color="auto"/>
              <w:bottom w:val="single" w:sz="4" w:space="0" w:color="auto"/>
              <w:right w:val="single" w:sz="4" w:space="0" w:color="auto"/>
            </w:tcBorders>
            <w:hideMark/>
          </w:tcPr>
          <w:p w14:paraId="6E5B0B78" w14:textId="77777777" w:rsidR="00EA3205" w:rsidRPr="00F31A39" w:rsidRDefault="00EA3205" w:rsidP="00EA3205">
            <w:pPr>
              <w:rPr>
                <w:rFonts w:ascii="AcadNusx" w:hAnsi="AcadNusx"/>
                <w:sz w:val="20"/>
              </w:rPr>
            </w:pPr>
            <w:r w:rsidRPr="00F31A39">
              <w:rPr>
                <w:rFonts w:ascii="AcadNusx" w:hAnsi="AcadNusx"/>
                <w:sz w:val="20"/>
              </w:rPr>
              <w:t>3785</w:t>
            </w:r>
          </w:p>
        </w:tc>
        <w:tc>
          <w:tcPr>
            <w:tcW w:w="1720" w:type="dxa"/>
            <w:tcBorders>
              <w:top w:val="single" w:sz="4" w:space="0" w:color="auto"/>
              <w:left w:val="single" w:sz="4" w:space="0" w:color="auto"/>
              <w:bottom w:val="single" w:sz="4" w:space="0" w:color="auto"/>
              <w:right w:val="single" w:sz="4" w:space="0" w:color="auto"/>
            </w:tcBorders>
            <w:hideMark/>
          </w:tcPr>
          <w:p w14:paraId="35D3FD1F" w14:textId="77777777" w:rsidR="00EA3205" w:rsidRPr="00F31A39" w:rsidRDefault="00EA3205" w:rsidP="00EA3205">
            <w:pPr>
              <w:rPr>
                <w:rFonts w:ascii="AcadNusx" w:hAnsi="AcadNusx"/>
                <w:sz w:val="20"/>
              </w:rPr>
            </w:pPr>
            <w:r w:rsidRPr="00F31A39">
              <w:rPr>
                <w:rFonts w:ascii="AcadNusx" w:hAnsi="AcadNusx"/>
                <w:sz w:val="20"/>
              </w:rPr>
              <w:t>30</w:t>
            </w:r>
          </w:p>
        </w:tc>
        <w:tc>
          <w:tcPr>
            <w:tcW w:w="1824" w:type="dxa"/>
            <w:tcBorders>
              <w:top w:val="single" w:sz="4" w:space="0" w:color="auto"/>
              <w:left w:val="single" w:sz="4" w:space="0" w:color="auto"/>
              <w:bottom w:val="single" w:sz="4" w:space="0" w:color="auto"/>
              <w:right w:val="single" w:sz="4" w:space="0" w:color="auto"/>
            </w:tcBorders>
            <w:hideMark/>
          </w:tcPr>
          <w:p w14:paraId="20A251ED" w14:textId="77777777" w:rsidR="00EA3205" w:rsidRPr="00F31A39" w:rsidRDefault="00EA3205" w:rsidP="00EA3205">
            <w:pPr>
              <w:rPr>
                <w:rFonts w:ascii="AcadNusx" w:hAnsi="AcadNusx"/>
                <w:sz w:val="20"/>
              </w:rPr>
            </w:pPr>
            <w:r w:rsidRPr="00F31A39">
              <w:rPr>
                <w:rFonts w:ascii="AcadNusx" w:hAnsi="AcadNusx"/>
                <w:sz w:val="20"/>
              </w:rPr>
              <w:t>5.40</w:t>
            </w:r>
          </w:p>
        </w:tc>
      </w:tr>
      <w:tr w:rsidR="00EA3205" w:rsidRPr="00F31A39" w14:paraId="0FDED818" w14:textId="77777777" w:rsidTr="00EA3205">
        <w:tc>
          <w:tcPr>
            <w:tcW w:w="9386" w:type="dxa"/>
            <w:gridSpan w:val="5"/>
            <w:tcBorders>
              <w:top w:val="single" w:sz="4" w:space="0" w:color="auto"/>
              <w:left w:val="single" w:sz="4" w:space="0" w:color="auto"/>
              <w:bottom w:val="single" w:sz="4" w:space="0" w:color="auto"/>
              <w:right w:val="single" w:sz="4" w:space="0" w:color="auto"/>
            </w:tcBorders>
            <w:hideMark/>
          </w:tcPr>
          <w:p w14:paraId="082F0BA8" w14:textId="77777777" w:rsidR="00EA3205" w:rsidRPr="00F31A39" w:rsidRDefault="00EA3205" w:rsidP="00EA3205">
            <w:pPr>
              <w:rPr>
                <w:rFonts w:ascii="AcadNusx" w:hAnsi="AcadNusx"/>
                <w:sz w:val="20"/>
              </w:rPr>
            </w:pPr>
            <w:r w:rsidRPr="00F31A39">
              <w:rPr>
                <w:rFonts w:ascii="AcadNusx" w:hAnsi="AcadNusx"/>
                <w:sz w:val="20"/>
              </w:rPr>
              <w:t>pandusebi</w:t>
            </w:r>
          </w:p>
        </w:tc>
      </w:tr>
      <w:tr w:rsidR="00EA3205" w:rsidRPr="00F31A39" w14:paraId="609336F2" w14:textId="77777777" w:rsidTr="00EA3205">
        <w:tc>
          <w:tcPr>
            <w:tcW w:w="2440" w:type="dxa"/>
            <w:tcBorders>
              <w:top w:val="single" w:sz="4" w:space="0" w:color="auto"/>
              <w:left w:val="single" w:sz="4" w:space="0" w:color="auto"/>
              <w:bottom w:val="single" w:sz="4" w:space="0" w:color="auto"/>
              <w:right w:val="single" w:sz="4" w:space="0" w:color="auto"/>
            </w:tcBorders>
            <w:hideMark/>
          </w:tcPr>
          <w:p w14:paraId="7314BCB3" w14:textId="77777777" w:rsidR="00EA3205" w:rsidRPr="00F31A39" w:rsidRDefault="00EA3205" w:rsidP="00EA3205">
            <w:pPr>
              <w:rPr>
                <w:rFonts w:ascii="Sylfaen" w:hAnsi="Sylfaen"/>
                <w:sz w:val="20"/>
              </w:rPr>
            </w:pPr>
            <w:r w:rsidRPr="00F31A39">
              <w:rPr>
                <w:rFonts w:ascii="Sylfaen" w:hAnsi="Sylfaen"/>
                <w:sz w:val="20"/>
              </w:rPr>
              <w:t>CL-300</w:t>
            </w:r>
          </w:p>
        </w:tc>
        <w:tc>
          <w:tcPr>
            <w:tcW w:w="1701" w:type="dxa"/>
            <w:tcBorders>
              <w:top w:val="single" w:sz="4" w:space="0" w:color="auto"/>
              <w:left w:val="single" w:sz="4" w:space="0" w:color="auto"/>
              <w:bottom w:val="single" w:sz="4" w:space="0" w:color="auto"/>
              <w:right w:val="single" w:sz="4" w:space="0" w:color="auto"/>
            </w:tcBorders>
            <w:hideMark/>
          </w:tcPr>
          <w:p w14:paraId="7D9810C4" w14:textId="77777777" w:rsidR="00EA3205" w:rsidRPr="00F31A39" w:rsidRDefault="00EA3205" w:rsidP="00EA3205">
            <w:pPr>
              <w:rPr>
                <w:rFonts w:ascii="AcadNusx" w:hAnsi="AcadNusx"/>
                <w:sz w:val="20"/>
              </w:rPr>
            </w:pPr>
            <w:r w:rsidRPr="00F31A39">
              <w:rPr>
                <w:rFonts w:ascii="AcadNusx" w:hAnsi="AcadNusx"/>
                <w:sz w:val="20"/>
              </w:rPr>
              <w:t>98</w:t>
            </w:r>
          </w:p>
        </w:tc>
        <w:tc>
          <w:tcPr>
            <w:tcW w:w="1701" w:type="dxa"/>
            <w:tcBorders>
              <w:top w:val="single" w:sz="4" w:space="0" w:color="auto"/>
              <w:left w:val="single" w:sz="4" w:space="0" w:color="auto"/>
              <w:bottom w:val="single" w:sz="4" w:space="0" w:color="auto"/>
              <w:right w:val="single" w:sz="4" w:space="0" w:color="auto"/>
            </w:tcBorders>
            <w:hideMark/>
          </w:tcPr>
          <w:p w14:paraId="4DC82537" w14:textId="77777777" w:rsidR="00EA3205" w:rsidRPr="00F31A39" w:rsidRDefault="00EA3205" w:rsidP="00EA3205">
            <w:pPr>
              <w:rPr>
                <w:rFonts w:ascii="AcadNusx" w:hAnsi="AcadNusx"/>
                <w:sz w:val="20"/>
              </w:rPr>
            </w:pPr>
            <w:r w:rsidRPr="00F31A39">
              <w:rPr>
                <w:rFonts w:ascii="AcadNusx" w:hAnsi="AcadNusx"/>
                <w:sz w:val="20"/>
              </w:rPr>
              <w:t>110</w:t>
            </w:r>
          </w:p>
        </w:tc>
        <w:tc>
          <w:tcPr>
            <w:tcW w:w="1720" w:type="dxa"/>
            <w:tcBorders>
              <w:top w:val="single" w:sz="4" w:space="0" w:color="auto"/>
              <w:left w:val="single" w:sz="4" w:space="0" w:color="auto"/>
              <w:bottom w:val="single" w:sz="4" w:space="0" w:color="auto"/>
              <w:right w:val="single" w:sz="4" w:space="0" w:color="auto"/>
            </w:tcBorders>
            <w:hideMark/>
          </w:tcPr>
          <w:p w14:paraId="12488C1F" w14:textId="77777777" w:rsidR="00EA3205" w:rsidRPr="00F31A39" w:rsidRDefault="00EA3205" w:rsidP="00EA3205">
            <w:pPr>
              <w:rPr>
                <w:rFonts w:ascii="AcadNusx" w:hAnsi="AcadNusx"/>
                <w:sz w:val="20"/>
              </w:rPr>
            </w:pPr>
            <w:r w:rsidRPr="00F31A39">
              <w:rPr>
                <w:rFonts w:ascii="AcadNusx" w:hAnsi="AcadNusx"/>
                <w:sz w:val="20"/>
              </w:rPr>
              <w:t>12</w:t>
            </w:r>
          </w:p>
        </w:tc>
        <w:tc>
          <w:tcPr>
            <w:tcW w:w="1824" w:type="dxa"/>
            <w:tcBorders>
              <w:top w:val="single" w:sz="4" w:space="0" w:color="auto"/>
              <w:left w:val="single" w:sz="4" w:space="0" w:color="auto"/>
              <w:bottom w:val="single" w:sz="4" w:space="0" w:color="auto"/>
              <w:right w:val="single" w:sz="4" w:space="0" w:color="auto"/>
            </w:tcBorders>
            <w:hideMark/>
          </w:tcPr>
          <w:p w14:paraId="04342C46" w14:textId="77777777" w:rsidR="00EA3205" w:rsidRPr="00F31A39" w:rsidRDefault="00EA3205" w:rsidP="00EA3205">
            <w:pPr>
              <w:rPr>
                <w:rFonts w:ascii="AcadNusx" w:hAnsi="AcadNusx"/>
                <w:sz w:val="20"/>
              </w:rPr>
            </w:pPr>
            <w:r w:rsidRPr="00F31A39">
              <w:rPr>
                <w:rFonts w:ascii="AcadNusx" w:hAnsi="AcadNusx"/>
                <w:sz w:val="20"/>
              </w:rPr>
              <w:t>7.00</w:t>
            </w:r>
          </w:p>
        </w:tc>
      </w:tr>
      <w:tr w:rsidR="00EA3205" w:rsidRPr="00F31A39" w14:paraId="50137F99" w14:textId="77777777" w:rsidTr="00EA3205">
        <w:tc>
          <w:tcPr>
            <w:tcW w:w="2440" w:type="dxa"/>
            <w:tcBorders>
              <w:top w:val="single" w:sz="4" w:space="0" w:color="auto"/>
              <w:left w:val="single" w:sz="4" w:space="0" w:color="auto"/>
              <w:bottom w:val="single" w:sz="4" w:space="0" w:color="auto"/>
              <w:right w:val="single" w:sz="4" w:space="0" w:color="auto"/>
            </w:tcBorders>
            <w:hideMark/>
          </w:tcPr>
          <w:p w14:paraId="0AAFC0A1" w14:textId="77777777" w:rsidR="00EA3205" w:rsidRPr="00F31A39" w:rsidRDefault="00EA3205" w:rsidP="00EA3205">
            <w:pPr>
              <w:rPr>
                <w:rFonts w:ascii="Sylfaen" w:hAnsi="Sylfaen"/>
                <w:sz w:val="20"/>
              </w:rPr>
            </w:pPr>
            <w:r w:rsidRPr="00F31A39">
              <w:rPr>
                <w:rFonts w:ascii="Sylfaen" w:hAnsi="Sylfaen"/>
                <w:sz w:val="20"/>
              </w:rPr>
              <w:t>CL-300</w:t>
            </w:r>
          </w:p>
        </w:tc>
        <w:tc>
          <w:tcPr>
            <w:tcW w:w="1701" w:type="dxa"/>
            <w:tcBorders>
              <w:top w:val="single" w:sz="4" w:space="0" w:color="auto"/>
              <w:left w:val="single" w:sz="4" w:space="0" w:color="auto"/>
              <w:bottom w:val="single" w:sz="4" w:space="0" w:color="auto"/>
              <w:right w:val="single" w:sz="4" w:space="0" w:color="auto"/>
            </w:tcBorders>
            <w:hideMark/>
          </w:tcPr>
          <w:p w14:paraId="137D8462" w14:textId="77777777" w:rsidR="00EA3205" w:rsidRPr="00F31A39" w:rsidRDefault="00EA3205" w:rsidP="00EA3205">
            <w:pPr>
              <w:rPr>
                <w:rFonts w:ascii="AcadNusx" w:hAnsi="AcadNusx"/>
                <w:sz w:val="20"/>
              </w:rPr>
            </w:pPr>
            <w:r w:rsidRPr="00F31A39">
              <w:rPr>
                <w:rFonts w:ascii="AcadNusx" w:hAnsi="AcadNusx"/>
                <w:sz w:val="20"/>
              </w:rPr>
              <w:t>150</w:t>
            </w:r>
          </w:p>
        </w:tc>
        <w:tc>
          <w:tcPr>
            <w:tcW w:w="1701" w:type="dxa"/>
            <w:tcBorders>
              <w:top w:val="single" w:sz="4" w:space="0" w:color="auto"/>
              <w:left w:val="single" w:sz="4" w:space="0" w:color="auto"/>
              <w:bottom w:val="single" w:sz="4" w:space="0" w:color="auto"/>
              <w:right w:val="single" w:sz="4" w:space="0" w:color="auto"/>
            </w:tcBorders>
            <w:hideMark/>
          </w:tcPr>
          <w:p w14:paraId="514C574D" w14:textId="77777777" w:rsidR="00EA3205" w:rsidRPr="00F31A39" w:rsidRDefault="00EA3205" w:rsidP="00EA3205">
            <w:pPr>
              <w:rPr>
                <w:rFonts w:ascii="AcadNusx" w:hAnsi="AcadNusx"/>
                <w:sz w:val="20"/>
              </w:rPr>
            </w:pPr>
            <w:r w:rsidRPr="00F31A39">
              <w:rPr>
                <w:rFonts w:ascii="AcadNusx" w:hAnsi="AcadNusx"/>
                <w:sz w:val="20"/>
              </w:rPr>
              <w:t>162</w:t>
            </w:r>
          </w:p>
        </w:tc>
        <w:tc>
          <w:tcPr>
            <w:tcW w:w="1720" w:type="dxa"/>
            <w:tcBorders>
              <w:top w:val="single" w:sz="4" w:space="0" w:color="auto"/>
              <w:left w:val="single" w:sz="4" w:space="0" w:color="auto"/>
              <w:bottom w:val="single" w:sz="4" w:space="0" w:color="auto"/>
              <w:right w:val="single" w:sz="4" w:space="0" w:color="auto"/>
            </w:tcBorders>
            <w:hideMark/>
          </w:tcPr>
          <w:p w14:paraId="78BE0B8C" w14:textId="77777777" w:rsidR="00EA3205" w:rsidRPr="00F31A39" w:rsidRDefault="00EA3205" w:rsidP="00EA3205">
            <w:pPr>
              <w:rPr>
                <w:rFonts w:ascii="AcadNusx" w:hAnsi="AcadNusx"/>
                <w:sz w:val="20"/>
              </w:rPr>
            </w:pPr>
            <w:r w:rsidRPr="00F31A39">
              <w:rPr>
                <w:rFonts w:ascii="AcadNusx" w:hAnsi="AcadNusx"/>
                <w:sz w:val="20"/>
              </w:rPr>
              <w:t>12</w:t>
            </w:r>
          </w:p>
        </w:tc>
        <w:tc>
          <w:tcPr>
            <w:tcW w:w="1824" w:type="dxa"/>
            <w:tcBorders>
              <w:top w:val="single" w:sz="4" w:space="0" w:color="auto"/>
              <w:left w:val="single" w:sz="4" w:space="0" w:color="auto"/>
              <w:bottom w:val="single" w:sz="4" w:space="0" w:color="auto"/>
              <w:right w:val="single" w:sz="4" w:space="0" w:color="auto"/>
            </w:tcBorders>
            <w:hideMark/>
          </w:tcPr>
          <w:p w14:paraId="2DCDED40" w14:textId="77777777" w:rsidR="00EA3205" w:rsidRPr="00F31A39" w:rsidRDefault="00EA3205" w:rsidP="00EA3205">
            <w:pPr>
              <w:rPr>
                <w:rFonts w:ascii="AcadNusx" w:hAnsi="AcadNusx"/>
                <w:sz w:val="20"/>
              </w:rPr>
            </w:pPr>
            <w:r w:rsidRPr="00F31A39">
              <w:rPr>
                <w:rFonts w:ascii="AcadNusx" w:hAnsi="AcadNusx"/>
                <w:sz w:val="20"/>
              </w:rPr>
              <w:t>7.00</w:t>
            </w:r>
          </w:p>
        </w:tc>
      </w:tr>
      <w:tr w:rsidR="00EA3205" w:rsidRPr="00F31A39" w14:paraId="20881EDF" w14:textId="77777777" w:rsidTr="00EA3205">
        <w:tc>
          <w:tcPr>
            <w:tcW w:w="2440" w:type="dxa"/>
            <w:tcBorders>
              <w:top w:val="single" w:sz="4" w:space="0" w:color="auto"/>
              <w:left w:val="single" w:sz="4" w:space="0" w:color="auto"/>
              <w:bottom w:val="single" w:sz="4" w:space="0" w:color="auto"/>
              <w:right w:val="single" w:sz="4" w:space="0" w:color="auto"/>
            </w:tcBorders>
            <w:hideMark/>
          </w:tcPr>
          <w:p w14:paraId="1712F823" w14:textId="77777777" w:rsidR="00EA3205" w:rsidRPr="00F31A39" w:rsidRDefault="00EA3205" w:rsidP="00EA3205">
            <w:pPr>
              <w:rPr>
                <w:rFonts w:ascii="Sylfaen" w:hAnsi="Sylfaen"/>
                <w:sz w:val="20"/>
              </w:rPr>
            </w:pPr>
            <w:r w:rsidRPr="00F31A39">
              <w:rPr>
                <w:rFonts w:ascii="Sylfaen" w:hAnsi="Sylfaen"/>
                <w:sz w:val="20"/>
              </w:rPr>
              <w:t>CL-500</w:t>
            </w:r>
          </w:p>
        </w:tc>
        <w:tc>
          <w:tcPr>
            <w:tcW w:w="1701" w:type="dxa"/>
            <w:tcBorders>
              <w:top w:val="single" w:sz="4" w:space="0" w:color="auto"/>
              <w:left w:val="single" w:sz="4" w:space="0" w:color="auto"/>
              <w:bottom w:val="single" w:sz="4" w:space="0" w:color="auto"/>
              <w:right w:val="single" w:sz="4" w:space="0" w:color="auto"/>
            </w:tcBorders>
            <w:hideMark/>
          </w:tcPr>
          <w:p w14:paraId="4DC60B3D" w14:textId="77777777" w:rsidR="00EA3205" w:rsidRPr="00F31A39" w:rsidRDefault="00EA3205" w:rsidP="00EA3205">
            <w:pPr>
              <w:rPr>
                <w:rFonts w:ascii="AcadNusx" w:hAnsi="AcadNusx"/>
                <w:sz w:val="20"/>
              </w:rPr>
            </w:pPr>
            <w:r w:rsidRPr="00F31A39">
              <w:rPr>
                <w:rFonts w:ascii="AcadNusx" w:hAnsi="AcadNusx"/>
                <w:sz w:val="20"/>
              </w:rPr>
              <w:t>147</w:t>
            </w:r>
          </w:p>
        </w:tc>
        <w:tc>
          <w:tcPr>
            <w:tcW w:w="1701" w:type="dxa"/>
            <w:tcBorders>
              <w:top w:val="single" w:sz="4" w:space="0" w:color="auto"/>
              <w:left w:val="single" w:sz="4" w:space="0" w:color="auto"/>
              <w:bottom w:val="single" w:sz="4" w:space="0" w:color="auto"/>
              <w:right w:val="single" w:sz="4" w:space="0" w:color="auto"/>
            </w:tcBorders>
            <w:hideMark/>
          </w:tcPr>
          <w:p w14:paraId="41AA09AA" w14:textId="77777777" w:rsidR="00EA3205" w:rsidRPr="00F31A39" w:rsidRDefault="00EA3205" w:rsidP="00EA3205">
            <w:pPr>
              <w:rPr>
                <w:rFonts w:ascii="AcadNusx" w:hAnsi="AcadNusx"/>
                <w:sz w:val="20"/>
              </w:rPr>
            </w:pPr>
            <w:r w:rsidRPr="00F31A39">
              <w:rPr>
                <w:rFonts w:ascii="AcadNusx" w:hAnsi="AcadNusx"/>
                <w:sz w:val="20"/>
              </w:rPr>
              <w:t>155</w:t>
            </w:r>
          </w:p>
        </w:tc>
        <w:tc>
          <w:tcPr>
            <w:tcW w:w="1720" w:type="dxa"/>
            <w:tcBorders>
              <w:top w:val="single" w:sz="4" w:space="0" w:color="auto"/>
              <w:left w:val="single" w:sz="4" w:space="0" w:color="auto"/>
              <w:bottom w:val="single" w:sz="4" w:space="0" w:color="auto"/>
              <w:right w:val="single" w:sz="4" w:space="0" w:color="auto"/>
            </w:tcBorders>
            <w:hideMark/>
          </w:tcPr>
          <w:p w14:paraId="334184D1" w14:textId="77777777" w:rsidR="00EA3205" w:rsidRPr="00F31A39" w:rsidRDefault="00EA3205" w:rsidP="00EA3205">
            <w:pPr>
              <w:rPr>
                <w:rFonts w:ascii="AcadNusx" w:hAnsi="AcadNusx"/>
                <w:sz w:val="20"/>
              </w:rPr>
            </w:pPr>
            <w:r w:rsidRPr="00F31A39">
              <w:rPr>
                <w:rFonts w:ascii="AcadNusx" w:hAnsi="AcadNusx"/>
                <w:sz w:val="20"/>
              </w:rPr>
              <w:t>8</w:t>
            </w:r>
          </w:p>
        </w:tc>
        <w:tc>
          <w:tcPr>
            <w:tcW w:w="1824" w:type="dxa"/>
            <w:tcBorders>
              <w:top w:val="single" w:sz="4" w:space="0" w:color="auto"/>
              <w:left w:val="single" w:sz="4" w:space="0" w:color="auto"/>
              <w:bottom w:val="single" w:sz="4" w:space="0" w:color="auto"/>
              <w:right w:val="single" w:sz="4" w:space="0" w:color="auto"/>
            </w:tcBorders>
            <w:hideMark/>
          </w:tcPr>
          <w:p w14:paraId="73911965" w14:textId="77777777" w:rsidR="00EA3205" w:rsidRPr="00F31A39" w:rsidRDefault="00EA3205" w:rsidP="00EA3205">
            <w:pPr>
              <w:rPr>
                <w:rFonts w:ascii="AcadNusx" w:hAnsi="AcadNusx"/>
                <w:sz w:val="20"/>
              </w:rPr>
            </w:pPr>
            <w:r w:rsidRPr="00F31A39">
              <w:rPr>
                <w:rFonts w:ascii="AcadNusx" w:hAnsi="AcadNusx"/>
                <w:sz w:val="20"/>
              </w:rPr>
              <w:t>7.00</w:t>
            </w:r>
          </w:p>
        </w:tc>
      </w:tr>
      <w:tr w:rsidR="00EA3205" w:rsidRPr="00F31A39" w14:paraId="3FD71CED" w14:textId="77777777" w:rsidTr="00EA3205">
        <w:tc>
          <w:tcPr>
            <w:tcW w:w="2440" w:type="dxa"/>
            <w:tcBorders>
              <w:top w:val="single" w:sz="4" w:space="0" w:color="auto"/>
              <w:left w:val="single" w:sz="4" w:space="0" w:color="auto"/>
              <w:bottom w:val="single" w:sz="4" w:space="0" w:color="auto"/>
              <w:right w:val="single" w:sz="4" w:space="0" w:color="auto"/>
            </w:tcBorders>
            <w:hideMark/>
          </w:tcPr>
          <w:p w14:paraId="21150923" w14:textId="77777777" w:rsidR="00EA3205" w:rsidRPr="00F31A39" w:rsidRDefault="00EA3205" w:rsidP="00EA3205">
            <w:pPr>
              <w:rPr>
                <w:rFonts w:ascii="Sylfaen" w:hAnsi="Sylfaen"/>
                <w:sz w:val="20"/>
              </w:rPr>
            </w:pPr>
            <w:r w:rsidRPr="00F31A39">
              <w:rPr>
                <w:rFonts w:ascii="Sylfaen" w:hAnsi="Sylfaen"/>
                <w:sz w:val="20"/>
              </w:rPr>
              <w:t>CL-500</w:t>
            </w:r>
          </w:p>
        </w:tc>
        <w:tc>
          <w:tcPr>
            <w:tcW w:w="1701" w:type="dxa"/>
            <w:tcBorders>
              <w:top w:val="single" w:sz="4" w:space="0" w:color="auto"/>
              <w:left w:val="single" w:sz="4" w:space="0" w:color="auto"/>
              <w:bottom w:val="single" w:sz="4" w:space="0" w:color="auto"/>
              <w:right w:val="single" w:sz="4" w:space="0" w:color="auto"/>
            </w:tcBorders>
            <w:hideMark/>
          </w:tcPr>
          <w:p w14:paraId="3F0C3910" w14:textId="77777777" w:rsidR="00EA3205" w:rsidRPr="00F31A39" w:rsidRDefault="00EA3205" w:rsidP="00EA3205">
            <w:pPr>
              <w:rPr>
                <w:rFonts w:ascii="AcadNusx" w:hAnsi="AcadNusx"/>
                <w:sz w:val="20"/>
              </w:rPr>
            </w:pPr>
            <w:r w:rsidRPr="00F31A39">
              <w:rPr>
                <w:rFonts w:ascii="AcadNusx" w:hAnsi="AcadNusx"/>
                <w:sz w:val="20"/>
              </w:rPr>
              <w:t>208</w:t>
            </w:r>
          </w:p>
        </w:tc>
        <w:tc>
          <w:tcPr>
            <w:tcW w:w="1701" w:type="dxa"/>
            <w:tcBorders>
              <w:top w:val="single" w:sz="4" w:space="0" w:color="auto"/>
              <w:left w:val="single" w:sz="4" w:space="0" w:color="auto"/>
              <w:bottom w:val="single" w:sz="4" w:space="0" w:color="auto"/>
              <w:right w:val="single" w:sz="4" w:space="0" w:color="auto"/>
            </w:tcBorders>
            <w:hideMark/>
          </w:tcPr>
          <w:p w14:paraId="52F6013D" w14:textId="77777777" w:rsidR="00EA3205" w:rsidRPr="00F31A39" w:rsidRDefault="00EA3205" w:rsidP="00EA3205">
            <w:pPr>
              <w:rPr>
                <w:rFonts w:ascii="AcadNusx" w:hAnsi="AcadNusx"/>
                <w:sz w:val="20"/>
              </w:rPr>
            </w:pPr>
            <w:r w:rsidRPr="00F31A39">
              <w:rPr>
                <w:rFonts w:ascii="AcadNusx" w:hAnsi="AcadNusx"/>
                <w:sz w:val="20"/>
              </w:rPr>
              <w:t>220</w:t>
            </w:r>
          </w:p>
        </w:tc>
        <w:tc>
          <w:tcPr>
            <w:tcW w:w="1720" w:type="dxa"/>
            <w:tcBorders>
              <w:top w:val="single" w:sz="4" w:space="0" w:color="auto"/>
              <w:left w:val="single" w:sz="4" w:space="0" w:color="auto"/>
              <w:bottom w:val="single" w:sz="4" w:space="0" w:color="auto"/>
              <w:right w:val="single" w:sz="4" w:space="0" w:color="auto"/>
            </w:tcBorders>
            <w:hideMark/>
          </w:tcPr>
          <w:p w14:paraId="429A669D" w14:textId="77777777" w:rsidR="00EA3205" w:rsidRPr="00F31A39" w:rsidRDefault="00EA3205" w:rsidP="00EA3205">
            <w:pPr>
              <w:rPr>
                <w:rFonts w:ascii="AcadNusx" w:hAnsi="AcadNusx"/>
                <w:sz w:val="20"/>
              </w:rPr>
            </w:pPr>
            <w:r w:rsidRPr="00F31A39">
              <w:rPr>
                <w:rFonts w:ascii="AcadNusx" w:hAnsi="AcadNusx"/>
                <w:sz w:val="20"/>
              </w:rPr>
              <w:t>12</w:t>
            </w:r>
          </w:p>
        </w:tc>
        <w:tc>
          <w:tcPr>
            <w:tcW w:w="1824" w:type="dxa"/>
            <w:tcBorders>
              <w:top w:val="single" w:sz="4" w:space="0" w:color="auto"/>
              <w:left w:val="single" w:sz="4" w:space="0" w:color="auto"/>
              <w:bottom w:val="single" w:sz="4" w:space="0" w:color="auto"/>
              <w:right w:val="single" w:sz="4" w:space="0" w:color="auto"/>
            </w:tcBorders>
            <w:hideMark/>
          </w:tcPr>
          <w:p w14:paraId="385F6CA1" w14:textId="77777777" w:rsidR="00EA3205" w:rsidRPr="00F31A39" w:rsidRDefault="00EA3205" w:rsidP="00EA3205">
            <w:pPr>
              <w:rPr>
                <w:rFonts w:ascii="AcadNusx" w:hAnsi="AcadNusx"/>
                <w:sz w:val="20"/>
              </w:rPr>
            </w:pPr>
            <w:r w:rsidRPr="00F31A39">
              <w:rPr>
                <w:rFonts w:ascii="AcadNusx" w:hAnsi="AcadNusx"/>
                <w:sz w:val="20"/>
              </w:rPr>
              <w:t>7.00</w:t>
            </w:r>
          </w:p>
        </w:tc>
      </w:tr>
      <w:tr w:rsidR="00EA3205" w:rsidRPr="00F31A39" w14:paraId="5F6B8BFA" w14:textId="77777777" w:rsidTr="00EA3205">
        <w:tc>
          <w:tcPr>
            <w:tcW w:w="2440" w:type="dxa"/>
            <w:tcBorders>
              <w:top w:val="single" w:sz="4" w:space="0" w:color="auto"/>
              <w:left w:val="single" w:sz="4" w:space="0" w:color="auto"/>
              <w:bottom w:val="single" w:sz="4" w:space="0" w:color="auto"/>
              <w:right w:val="single" w:sz="4" w:space="0" w:color="auto"/>
            </w:tcBorders>
            <w:hideMark/>
          </w:tcPr>
          <w:p w14:paraId="3A7D9208" w14:textId="77777777" w:rsidR="00EA3205" w:rsidRPr="00F31A39" w:rsidRDefault="00EA3205" w:rsidP="00EA3205">
            <w:pPr>
              <w:rPr>
                <w:rFonts w:ascii="Sylfaen" w:hAnsi="Sylfaen"/>
                <w:sz w:val="20"/>
              </w:rPr>
            </w:pPr>
            <w:r w:rsidRPr="00F31A39">
              <w:rPr>
                <w:rFonts w:ascii="Sylfaen" w:hAnsi="Sylfaen"/>
                <w:sz w:val="20"/>
              </w:rPr>
              <w:t>CL-600</w:t>
            </w:r>
          </w:p>
        </w:tc>
        <w:tc>
          <w:tcPr>
            <w:tcW w:w="1701" w:type="dxa"/>
            <w:tcBorders>
              <w:top w:val="single" w:sz="4" w:space="0" w:color="auto"/>
              <w:left w:val="single" w:sz="4" w:space="0" w:color="auto"/>
              <w:bottom w:val="single" w:sz="4" w:space="0" w:color="auto"/>
              <w:right w:val="single" w:sz="4" w:space="0" w:color="auto"/>
            </w:tcBorders>
            <w:hideMark/>
          </w:tcPr>
          <w:p w14:paraId="7E57FFE3" w14:textId="77777777" w:rsidR="00EA3205" w:rsidRPr="00F31A39" w:rsidRDefault="00EA3205" w:rsidP="00EA3205">
            <w:pPr>
              <w:rPr>
                <w:rFonts w:ascii="AcadNusx" w:hAnsi="AcadNusx"/>
                <w:sz w:val="20"/>
              </w:rPr>
            </w:pPr>
            <w:r w:rsidRPr="00F31A39">
              <w:rPr>
                <w:rFonts w:ascii="AcadNusx" w:hAnsi="AcadNusx"/>
                <w:sz w:val="20"/>
              </w:rPr>
              <w:t>104</w:t>
            </w:r>
          </w:p>
        </w:tc>
        <w:tc>
          <w:tcPr>
            <w:tcW w:w="1701" w:type="dxa"/>
            <w:tcBorders>
              <w:top w:val="single" w:sz="4" w:space="0" w:color="auto"/>
              <w:left w:val="single" w:sz="4" w:space="0" w:color="auto"/>
              <w:bottom w:val="single" w:sz="4" w:space="0" w:color="auto"/>
              <w:right w:val="single" w:sz="4" w:space="0" w:color="auto"/>
            </w:tcBorders>
            <w:hideMark/>
          </w:tcPr>
          <w:p w14:paraId="1100B682" w14:textId="77777777" w:rsidR="00EA3205" w:rsidRPr="00F31A39" w:rsidRDefault="00EA3205" w:rsidP="00EA3205">
            <w:pPr>
              <w:rPr>
                <w:rFonts w:ascii="AcadNusx" w:hAnsi="AcadNusx"/>
                <w:sz w:val="20"/>
              </w:rPr>
            </w:pPr>
            <w:r w:rsidRPr="00F31A39">
              <w:rPr>
                <w:rFonts w:ascii="AcadNusx" w:hAnsi="AcadNusx"/>
                <w:sz w:val="20"/>
              </w:rPr>
              <w:t>112</w:t>
            </w:r>
          </w:p>
        </w:tc>
        <w:tc>
          <w:tcPr>
            <w:tcW w:w="1720" w:type="dxa"/>
            <w:tcBorders>
              <w:top w:val="single" w:sz="4" w:space="0" w:color="auto"/>
              <w:left w:val="single" w:sz="4" w:space="0" w:color="auto"/>
              <w:bottom w:val="single" w:sz="4" w:space="0" w:color="auto"/>
              <w:right w:val="single" w:sz="4" w:space="0" w:color="auto"/>
            </w:tcBorders>
            <w:hideMark/>
          </w:tcPr>
          <w:p w14:paraId="63664342" w14:textId="77777777" w:rsidR="00EA3205" w:rsidRPr="00F31A39" w:rsidRDefault="00EA3205" w:rsidP="00EA3205">
            <w:pPr>
              <w:rPr>
                <w:rFonts w:ascii="AcadNusx" w:hAnsi="AcadNusx"/>
                <w:sz w:val="20"/>
              </w:rPr>
            </w:pPr>
            <w:r w:rsidRPr="00F31A39">
              <w:rPr>
                <w:rFonts w:ascii="AcadNusx" w:hAnsi="AcadNusx"/>
                <w:sz w:val="20"/>
              </w:rPr>
              <w:t>8</w:t>
            </w:r>
          </w:p>
        </w:tc>
        <w:tc>
          <w:tcPr>
            <w:tcW w:w="1824" w:type="dxa"/>
            <w:tcBorders>
              <w:top w:val="single" w:sz="4" w:space="0" w:color="auto"/>
              <w:left w:val="single" w:sz="4" w:space="0" w:color="auto"/>
              <w:bottom w:val="single" w:sz="4" w:space="0" w:color="auto"/>
              <w:right w:val="single" w:sz="4" w:space="0" w:color="auto"/>
            </w:tcBorders>
            <w:hideMark/>
          </w:tcPr>
          <w:p w14:paraId="652F375B" w14:textId="77777777" w:rsidR="00EA3205" w:rsidRPr="00F31A39" w:rsidRDefault="00EA3205" w:rsidP="00EA3205">
            <w:pPr>
              <w:rPr>
                <w:rFonts w:ascii="AcadNusx" w:hAnsi="AcadNusx"/>
                <w:sz w:val="20"/>
              </w:rPr>
            </w:pPr>
            <w:r w:rsidRPr="00F31A39">
              <w:rPr>
                <w:rFonts w:ascii="AcadNusx" w:hAnsi="AcadNusx"/>
                <w:sz w:val="20"/>
              </w:rPr>
              <w:t>7.00</w:t>
            </w:r>
          </w:p>
        </w:tc>
      </w:tr>
      <w:tr w:rsidR="00EA3205" w:rsidRPr="00F31A39" w14:paraId="3AF3C71A" w14:textId="77777777" w:rsidTr="00EA3205">
        <w:tc>
          <w:tcPr>
            <w:tcW w:w="2440" w:type="dxa"/>
            <w:tcBorders>
              <w:top w:val="single" w:sz="4" w:space="0" w:color="auto"/>
              <w:left w:val="single" w:sz="4" w:space="0" w:color="auto"/>
              <w:bottom w:val="single" w:sz="4" w:space="0" w:color="auto"/>
              <w:right w:val="single" w:sz="4" w:space="0" w:color="auto"/>
            </w:tcBorders>
            <w:hideMark/>
          </w:tcPr>
          <w:p w14:paraId="3BE5E191" w14:textId="77777777" w:rsidR="00EA3205" w:rsidRPr="00F31A39" w:rsidRDefault="00EA3205" w:rsidP="00EA3205">
            <w:pPr>
              <w:rPr>
                <w:rFonts w:ascii="Sylfaen" w:hAnsi="Sylfaen"/>
                <w:sz w:val="20"/>
              </w:rPr>
            </w:pPr>
            <w:r w:rsidRPr="00F31A39">
              <w:rPr>
                <w:rFonts w:ascii="Sylfaen" w:hAnsi="Sylfaen"/>
                <w:sz w:val="20"/>
              </w:rPr>
              <w:t>CL-600</w:t>
            </w:r>
          </w:p>
        </w:tc>
        <w:tc>
          <w:tcPr>
            <w:tcW w:w="1701" w:type="dxa"/>
            <w:tcBorders>
              <w:top w:val="single" w:sz="4" w:space="0" w:color="auto"/>
              <w:left w:val="single" w:sz="4" w:space="0" w:color="auto"/>
              <w:bottom w:val="single" w:sz="4" w:space="0" w:color="auto"/>
              <w:right w:val="single" w:sz="4" w:space="0" w:color="auto"/>
            </w:tcBorders>
            <w:hideMark/>
          </w:tcPr>
          <w:p w14:paraId="7D0B5927" w14:textId="77777777" w:rsidR="00EA3205" w:rsidRPr="00F31A39" w:rsidRDefault="00EA3205" w:rsidP="00EA3205">
            <w:pPr>
              <w:rPr>
                <w:rFonts w:ascii="AcadNusx" w:hAnsi="AcadNusx"/>
                <w:sz w:val="20"/>
              </w:rPr>
            </w:pPr>
            <w:r w:rsidRPr="00F31A39">
              <w:rPr>
                <w:rFonts w:ascii="AcadNusx" w:hAnsi="AcadNusx"/>
                <w:sz w:val="20"/>
              </w:rPr>
              <w:t>135</w:t>
            </w:r>
          </w:p>
        </w:tc>
        <w:tc>
          <w:tcPr>
            <w:tcW w:w="1701" w:type="dxa"/>
            <w:tcBorders>
              <w:top w:val="single" w:sz="4" w:space="0" w:color="auto"/>
              <w:left w:val="single" w:sz="4" w:space="0" w:color="auto"/>
              <w:bottom w:val="single" w:sz="4" w:space="0" w:color="auto"/>
              <w:right w:val="single" w:sz="4" w:space="0" w:color="auto"/>
            </w:tcBorders>
            <w:hideMark/>
          </w:tcPr>
          <w:p w14:paraId="3768396F" w14:textId="77777777" w:rsidR="00EA3205" w:rsidRPr="00F31A39" w:rsidRDefault="00EA3205" w:rsidP="00EA3205">
            <w:pPr>
              <w:rPr>
                <w:rFonts w:ascii="AcadNusx" w:hAnsi="AcadNusx"/>
                <w:sz w:val="20"/>
              </w:rPr>
            </w:pPr>
            <w:r w:rsidRPr="00F31A39">
              <w:rPr>
                <w:rFonts w:ascii="AcadNusx" w:hAnsi="AcadNusx"/>
                <w:sz w:val="20"/>
              </w:rPr>
              <w:t>147</w:t>
            </w:r>
          </w:p>
        </w:tc>
        <w:tc>
          <w:tcPr>
            <w:tcW w:w="1720" w:type="dxa"/>
            <w:tcBorders>
              <w:top w:val="single" w:sz="4" w:space="0" w:color="auto"/>
              <w:left w:val="single" w:sz="4" w:space="0" w:color="auto"/>
              <w:bottom w:val="single" w:sz="4" w:space="0" w:color="auto"/>
              <w:right w:val="single" w:sz="4" w:space="0" w:color="auto"/>
            </w:tcBorders>
            <w:hideMark/>
          </w:tcPr>
          <w:p w14:paraId="3470325D" w14:textId="77777777" w:rsidR="00EA3205" w:rsidRPr="00F31A39" w:rsidRDefault="00EA3205" w:rsidP="00EA3205">
            <w:pPr>
              <w:rPr>
                <w:rFonts w:ascii="AcadNusx" w:hAnsi="AcadNusx"/>
                <w:sz w:val="20"/>
              </w:rPr>
            </w:pPr>
            <w:r w:rsidRPr="00F31A39">
              <w:rPr>
                <w:rFonts w:ascii="AcadNusx" w:hAnsi="AcadNusx"/>
                <w:sz w:val="20"/>
              </w:rPr>
              <w:t>12</w:t>
            </w:r>
          </w:p>
        </w:tc>
        <w:tc>
          <w:tcPr>
            <w:tcW w:w="1824" w:type="dxa"/>
            <w:tcBorders>
              <w:top w:val="single" w:sz="4" w:space="0" w:color="auto"/>
              <w:left w:val="single" w:sz="4" w:space="0" w:color="auto"/>
              <w:bottom w:val="single" w:sz="4" w:space="0" w:color="auto"/>
              <w:right w:val="single" w:sz="4" w:space="0" w:color="auto"/>
            </w:tcBorders>
            <w:hideMark/>
          </w:tcPr>
          <w:p w14:paraId="4F48E7DC" w14:textId="77777777" w:rsidR="00EA3205" w:rsidRPr="00F31A39" w:rsidRDefault="00EA3205" w:rsidP="00EA3205">
            <w:pPr>
              <w:rPr>
                <w:rFonts w:ascii="AcadNusx" w:hAnsi="AcadNusx"/>
                <w:sz w:val="20"/>
              </w:rPr>
            </w:pPr>
            <w:r w:rsidRPr="00F31A39">
              <w:rPr>
                <w:rFonts w:ascii="AcadNusx" w:hAnsi="AcadNusx"/>
                <w:sz w:val="20"/>
              </w:rPr>
              <w:t>7.00</w:t>
            </w:r>
          </w:p>
        </w:tc>
      </w:tr>
    </w:tbl>
    <w:p w14:paraId="352A04AA" w14:textId="77777777" w:rsidR="00EA3205" w:rsidRPr="00B05F62" w:rsidRDefault="00EA3205" w:rsidP="00EA3205">
      <w:pPr>
        <w:rPr>
          <w:rFonts w:ascii="AcadNusx" w:hAnsi="AcadNusx"/>
        </w:rPr>
      </w:pPr>
    </w:p>
    <w:p w14:paraId="2801CDE5" w14:textId="6CB62D73" w:rsidR="00EA3205" w:rsidRPr="00BC62DB" w:rsidRDefault="00EA3205" w:rsidP="00BC62DB">
      <w:pPr>
        <w:pStyle w:val="Heading3"/>
        <w:rPr>
          <w:rFonts w:ascii="AcadNusx" w:hAnsi="AcadNusx"/>
        </w:rPr>
      </w:pPr>
      <w:bookmarkStart w:id="155" w:name="_Toc1581529"/>
      <w:r w:rsidRPr="00BC62DB">
        <w:rPr>
          <w:rFonts w:ascii="AcadNusx" w:hAnsi="AcadNusx"/>
        </w:rPr>
        <w:t>4.</w:t>
      </w:r>
      <w:r w:rsidR="00BC62DB" w:rsidRPr="00BC62DB">
        <w:rPr>
          <w:rFonts w:ascii="AcadNusx" w:hAnsi="AcadNusx"/>
        </w:rPr>
        <w:t>1</w:t>
      </w:r>
      <w:r w:rsidR="006B0240">
        <w:rPr>
          <w:rFonts w:ascii="Sylfaen" w:hAnsi="Sylfaen"/>
          <w:lang w:val="ka-GE"/>
        </w:rPr>
        <w:t>3</w:t>
      </w:r>
      <w:r w:rsidRPr="00BC62DB">
        <w:rPr>
          <w:rFonts w:ascii="AcadNusx" w:hAnsi="AcadNusx"/>
        </w:rPr>
        <w:t>.1</w:t>
      </w:r>
      <w:r w:rsidRPr="00BC62DB">
        <w:rPr>
          <w:rFonts w:ascii="AcadNusx" w:hAnsi="AcadNusx"/>
        </w:rPr>
        <w:tab/>
      </w:r>
      <w:r w:rsidR="006B0240">
        <w:rPr>
          <w:rFonts w:ascii="Sylfaen" w:hAnsi="Sylfaen"/>
          <w:lang w:val="ka-GE"/>
        </w:rPr>
        <w:t>მექანიკურად სტაბილიზირებული გრუნტის კედლები</w:t>
      </w:r>
      <w:bookmarkEnd w:id="155"/>
      <w:r w:rsidR="006B0240">
        <w:rPr>
          <w:rFonts w:ascii="Sylfaen" w:hAnsi="Sylfaen"/>
          <w:lang w:val="ka-GE"/>
        </w:rPr>
        <w:t xml:space="preserve"> </w:t>
      </w:r>
    </w:p>
    <w:p w14:paraId="26D7F7D2" w14:textId="77777777" w:rsidR="00EA3205" w:rsidRPr="00B05F62" w:rsidRDefault="00EA3205" w:rsidP="00BC62DB">
      <w:pPr>
        <w:spacing w:before="120" w:after="120"/>
        <w:rPr>
          <w:rFonts w:ascii="AcadNusx" w:hAnsi="AcadNusx"/>
        </w:rPr>
      </w:pPr>
      <w:r w:rsidRPr="00B05F62">
        <w:rPr>
          <w:rFonts w:ascii="AcadNusx" w:hAnsi="AcadNusx"/>
        </w:rPr>
        <w:t xml:space="preserve">termini “meqanikurad stabilizirebuli gruntis kedeli” </w:t>
      </w:r>
      <w:r w:rsidRPr="00BC62DB">
        <w:rPr>
          <w:rFonts w:ascii="Sylfaen" w:hAnsi="Sylfaen"/>
        </w:rPr>
        <w:t>(MSE/MSEW</w:t>
      </w:r>
      <w:r w:rsidRPr="00B05F62">
        <w:rPr>
          <w:rFonts w:ascii="AcadNusx" w:hAnsi="AcadNusx"/>
        </w:rPr>
        <w:t>) krebsiTi xasiaTisaa da moicavs armirebul gruntebs (es dasaxeleba gamoiyeneba, rodesac yrilSi ganTavsebuli gruntebi gamagrebulia (armirebulia) CanarTebis ramdenime feniT).</w:t>
      </w:r>
    </w:p>
    <w:p w14:paraId="457D7C9B" w14:textId="77777777" w:rsidR="00EA3205" w:rsidRPr="00B05F62" w:rsidRDefault="00EA3205" w:rsidP="00BC62DB">
      <w:pPr>
        <w:spacing w:before="120" w:after="120"/>
        <w:rPr>
          <w:rFonts w:ascii="AcadNusx" w:hAnsi="AcadNusx"/>
        </w:rPr>
      </w:pPr>
      <w:r w:rsidRPr="00B05F62">
        <w:rPr>
          <w:rFonts w:ascii="AcadNusx" w:hAnsi="AcadNusx"/>
        </w:rPr>
        <w:t>meqanikurad stabilizirebuli gruntis kedlebi warmoadgenen rentabelur gruntis Semkavebel nagebobebs, romelTac gaaCniaT rkinabetonis kedlebTan SedarebiT gacilebiT didi jdenebis atanis unari. yrilis gruntSi Wimvaze momuSave armirebis elementebis (CanarTebis) ganTavseba iZleva gruntis simagris mniSvnelovnad gazrdis SesaZleblobas.</w:t>
      </w:r>
    </w:p>
    <w:p w14:paraId="0777E32A" w14:textId="77777777" w:rsidR="00EA3205" w:rsidRPr="00B05F62" w:rsidRDefault="00EA3205" w:rsidP="00BC62DB">
      <w:pPr>
        <w:spacing w:before="120" w:after="120"/>
        <w:rPr>
          <w:rFonts w:ascii="AcadNusx" w:hAnsi="AcadNusx"/>
        </w:rPr>
      </w:pPr>
      <w:r w:rsidRPr="00B05F62">
        <w:rPr>
          <w:rFonts w:ascii="AcadNusx" w:hAnsi="AcadNusx"/>
        </w:rPr>
        <w:t>meqanikurad stabilizirebuli (armirebuli) gruntis (</w:t>
      </w:r>
      <w:r w:rsidRPr="00BC62DB">
        <w:rPr>
          <w:rFonts w:ascii="Sylfaen" w:hAnsi="Sylfaen"/>
        </w:rPr>
        <w:t>MSE</w:t>
      </w:r>
      <w:r w:rsidRPr="00B05F62">
        <w:rPr>
          <w:rFonts w:ascii="AcadNusx" w:hAnsi="AcadNusx"/>
        </w:rPr>
        <w:t xml:space="preserve">) kedlebis erT-erT umTavres upiratesobas Seadgens naklebi moTxovna gasxvisebis zonis farTobze. aseTi Tviseba mniSvnelovan sargebels ganapirobebs, gansakuTrebiT gzebis gafarToebis (an axali sagzao mSeneblobis) proeqtebis urbanul teritoriebze ganxorcielebisas, sadac gasxvisebis </w:t>
      </w:r>
      <w:r w:rsidRPr="00B05F62">
        <w:rPr>
          <w:rFonts w:ascii="AcadNusx" w:hAnsi="AcadNusx"/>
        </w:rPr>
        <w:lastRenderedPageBreak/>
        <w:t xml:space="preserve">zonisTvis axali farTobebis SeZena yovelTvis did xarjebs moiTxovs, xolo zogjer saerTod SeuZlebelia. </w:t>
      </w:r>
    </w:p>
    <w:p w14:paraId="0141AA8A" w14:textId="77777777" w:rsidR="00EA3205" w:rsidRPr="00B05F62" w:rsidRDefault="00EA3205" w:rsidP="00BC62DB">
      <w:pPr>
        <w:spacing w:before="120" w:after="120"/>
        <w:rPr>
          <w:rFonts w:ascii="AcadNusx" w:hAnsi="AcadNusx"/>
        </w:rPr>
      </w:pPr>
      <w:r w:rsidRPr="00B05F62">
        <w:rPr>
          <w:rFonts w:ascii="AcadNusx" w:hAnsi="AcadNusx"/>
        </w:rPr>
        <w:t>meqanikurad stabilizirebuli gruntis kedlebis kidev erTi upiratesoba maT simaRleebs ukavSirdeba. aseTi kedlebi SeiZleba gamoyenebul iqnan maRali miwayrilebis gverdebis gasamagreblad. fasaduri mopirkvTebis sistemebis gamoyeneba gruntis armirebis elementebs Soris ganSrevebis prevenciis mizniT, iZleva Zalzed damreci ferdoebis da vertikaluri kedlebis usafrTxod aSenebis SesaZleblobas. meqanikurad stabilizirebuli kedlebis fasaduri/mosapirkeTebeli asakrebi rkinabetonis elementebi SeiZleba damzadnen esTetiur mosazrebebTan morgebuli sxvadasxva formebiTa da teqsturebiT.</w:t>
      </w:r>
    </w:p>
    <w:p w14:paraId="37D1E850" w14:textId="77777777" w:rsidR="00EA3205" w:rsidRPr="00B05F62" w:rsidRDefault="00EA3205" w:rsidP="00BC62DB">
      <w:pPr>
        <w:spacing w:before="120" w:after="120"/>
        <w:rPr>
          <w:rFonts w:ascii="AcadNusx" w:hAnsi="AcadNusx"/>
        </w:rPr>
      </w:pPr>
      <w:r w:rsidRPr="00B05F62">
        <w:rPr>
          <w:rFonts w:ascii="AcadNusx" w:hAnsi="AcadNusx"/>
        </w:rPr>
        <w:t>meqanikurad stabilizirebuli gruntis kedlebi gamoiyenebian ara marto xidebis sanapiro burjebisa da frTebis gamagrebisTvis, aramed ferdoebis mdgradobis da miwayrilebisTvis saWiro gasxvisebis zolebis siganeebis Semcirebis miznebiTac.</w:t>
      </w:r>
    </w:p>
    <w:p w14:paraId="03C61B7C" w14:textId="77777777" w:rsidR="00EA3205" w:rsidRPr="00B05F62" w:rsidRDefault="00EA3205" w:rsidP="00EA3205">
      <w:pPr>
        <w:rPr>
          <w:rFonts w:ascii="AcadNusx" w:hAnsi="AcadNusx"/>
        </w:rPr>
      </w:pPr>
    </w:p>
    <w:p w14:paraId="62192947" w14:textId="15B23DAE" w:rsidR="00EA3205" w:rsidRPr="00B05F62" w:rsidRDefault="00EA3205" w:rsidP="00EA3205">
      <w:pPr>
        <w:rPr>
          <w:rFonts w:ascii="AcadNusx" w:hAnsi="AcadNusx"/>
          <w:lang w:val="en-US" w:eastAsia="ru-RU"/>
        </w:rPr>
      </w:pPr>
      <w:r w:rsidRPr="00B05F62">
        <w:rPr>
          <w:rFonts w:ascii="AcadNusx" w:hAnsi="AcadNusx"/>
          <w:noProof/>
          <w:lang w:val="en-US" w:eastAsia="en-US"/>
        </w:rPr>
        <w:drawing>
          <wp:inline distT="0" distB="0" distL="0" distR="0" wp14:anchorId="21ADFE85" wp14:editId="2A581C6D">
            <wp:extent cx="2726055" cy="1819910"/>
            <wp:effectExtent l="0" t="0" r="0" b="8890"/>
            <wp:docPr id="12" name="Picture 12" descr="ist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descr="istha"/>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2726055" cy="1819910"/>
                    </a:xfrm>
                    <a:prstGeom prst="rect">
                      <a:avLst/>
                    </a:prstGeom>
                    <a:noFill/>
                    <a:ln>
                      <a:noFill/>
                    </a:ln>
                  </pic:spPr>
                </pic:pic>
              </a:graphicData>
            </a:graphic>
          </wp:inline>
        </w:drawing>
      </w:r>
      <w:r w:rsidRPr="00B05F62">
        <w:rPr>
          <w:rFonts w:ascii="AcadNusx" w:hAnsi="AcadNusx"/>
          <w:noProof/>
          <w:lang w:val="en-US" w:eastAsia="en-US"/>
        </w:rPr>
        <w:drawing>
          <wp:inline distT="0" distB="0" distL="0" distR="0" wp14:anchorId="2B09E76B" wp14:editId="39CE90B4">
            <wp:extent cx="2933065" cy="1837690"/>
            <wp:effectExtent l="0" t="0" r="635" b="0"/>
            <wp:docPr id="11" name="Picture 11" descr="IMG_1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descr="IMG_1935"/>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2933065" cy="1837690"/>
                    </a:xfrm>
                    <a:prstGeom prst="rect">
                      <a:avLst/>
                    </a:prstGeom>
                    <a:noFill/>
                    <a:ln>
                      <a:noFill/>
                    </a:ln>
                  </pic:spPr>
                </pic:pic>
              </a:graphicData>
            </a:graphic>
          </wp:inline>
        </w:drawing>
      </w:r>
    </w:p>
    <w:p w14:paraId="7A5182B3" w14:textId="19795703" w:rsidR="00EA3205" w:rsidRPr="00B05F62" w:rsidRDefault="00EA3205" w:rsidP="00EA3205">
      <w:pPr>
        <w:rPr>
          <w:rFonts w:ascii="AcadNusx" w:hAnsi="AcadNusx"/>
        </w:rPr>
      </w:pPr>
      <w:r w:rsidRPr="00B05F62">
        <w:rPr>
          <w:rFonts w:ascii="AcadNusx" w:hAnsi="AcadNusx"/>
        </w:rPr>
        <w:t>suraTi 4.</w:t>
      </w:r>
      <w:r w:rsidR="00BC62DB">
        <w:rPr>
          <w:rFonts w:ascii="AcadNusx" w:hAnsi="AcadNusx"/>
        </w:rPr>
        <w:t>1</w:t>
      </w:r>
      <w:r w:rsidR="006B0240">
        <w:rPr>
          <w:rFonts w:ascii="Sylfaen" w:hAnsi="Sylfaen"/>
          <w:lang w:val="ka-GE"/>
        </w:rPr>
        <w:t>3</w:t>
      </w:r>
      <w:r w:rsidR="00BC62DB">
        <w:rPr>
          <w:rFonts w:ascii="AcadNusx" w:hAnsi="AcadNusx"/>
        </w:rPr>
        <w:t>.1-1</w:t>
      </w:r>
      <w:r w:rsidRPr="00B05F62">
        <w:rPr>
          <w:rFonts w:ascii="AcadNusx" w:hAnsi="AcadNusx"/>
        </w:rPr>
        <w:t>.</w:t>
      </w:r>
      <w:r w:rsidRPr="00B05F62">
        <w:rPr>
          <w:rFonts w:ascii="AcadNusx" w:hAnsi="AcadNusx"/>
        </w:rPr>
        <w:tab/>
        <w:t>tipiuri meqanikurad stabilizirebuli gruntis kedlebi</w:t>
      </w:r>
    </w:p>
    <w:p w14:paraId="240FFB2D" w14:textId="77777777" w:rsidR="00EA3205" w:rsidRPr="00B05F62" w:rsidRDefault="00EA3205" w:rsidP="00EA3205">
      <w:pPr>
        <w:rPr>
          <w:rFonts w:ascii="AcadNusx" w:hAnsi="AcadNusx"/>
        </w:rPr>
      </w:pPr>
    </w:p>
    <w:p w14:paraId="1423A16D" w14:textId="452E6932" w:rsidR="00EA3205" w:rsidRPr="00B05F62" w:rsidRDefault="00BC62DB" w:rsidP="00BC62DB">
      <w:pPr>
        <w:pStyle w:val="Heading3"/>
      </w:pPr>
      <w:bookmarkStart w:id="156" w:name="_Toc1581530"/>
      <w:r>
        <w:t>4.1</w:t>
      </w:r>
      <w:r w:rsidR="006B0240">
        <w:rPr>
          <w:rFonts w:ascii="Sylfaen" w:hAnsi="Sylfaen"/>
          <w:lang w:val="ka-GE"/>
        </w:rPr>
        <w:t>3</w:t>
      </w:r>
      <w:r w:rsidR="00EA3205" w:rsidRPr="00B05F62">
        <w:t xml:space="preserve">.2 </w:t>
      </w:r>
      <w:r w:rsidR="00EA3205" w:rsidRPr="00B05F62">
        <w:tab/>
      </w:r>
      <w:r w:rsidR="006B0240">
        <w:rPr>
          <w:rFonts w:ascii="Sylfaen" w:hAnsi="Sylfaen"/>
          <w:lang w:val="ka-GE"/>
        </w:rPr>
        <w:t>პროექტების ნორმების და გამოყენებული კომპიუტერული პროგრამები</w:t>
      </w:r>
      <w:bookmarkEnd w:id="156"/>
    </w:p>
    <w:p w14:paraId="0229E8AC" w14:textId="77777777" w:rsidR="00EA3205" w:rsidRPr="00B05F62" w:rsidRDefault="00EA3205" w:rsidP="00BC62DB">
      <w:pPr>
        <w:spacing w:before="120" w:after="120"/>
        <w:rPr>
          <w:rFonts w:ascii="AcadNusx" w:hAnsi="AcadNusx"/>
        </w:rPr>
      </w:pPr>
      <w:r w:rsidRPr="00B05F62">
        <w:rPr>
          <w:rFonts w:ascii="AcadNusx" w:hAnsi="AcadNusx"/>
        </w:rPr>
        <w:t xml:space="preserve">yvela sayrdeni/napirdamcavi nagebobis gaangariSeba Sesrulebulia </w:t>
      </w:r>
      <w:r w:rsidRPr="00BC62DB">
        <w:rPr>
          <w:rFonts w:ascii="Sylfaen" w:hAnsi="Sylfaen"/>
        </w:rPr>
        <w:t>AASHTO</w:t>
      </w:r>
      <w:r w:rsidRPr="00B05F62">
        <w:rPr>
          <w:rFonts w:ascii="AcadNusx" w:hAnsi="AcadNusx"/>
        </w:rPr>
        <w:t>-s “datvirTvebis da mdgradobis koeficientebze dafuZnebuli proeqtirebis meTodis” (</w:t>
      </w:r>
      <w:r w:rsidRPr="00BC62DB">
        <w:rPr>
          <w:rFonts w:ascii="Sylfaen" w:hAnsi="Sylfaen"/>
        </w:rPr>
        <w:t>LRFD</w:t>
      </w:r>
      <w:r w:rsidRPr="00B05F62">
        <w:rPr>
          <w:rFonts w:ascii="AcadNusx" w:hAnsi="AcadNusx"/>
        </w:rPr>
        <w:t xml:space="preserve">) gamoyenebiT. saerTo, seismuri da garegani da Sinagani mdgradobis moTxovnebis dasakmayofileblad daproeqtebulia xisti gravitaciuli da naxevrad gravitaciuli (rkinabetonis, gabionuri da betonis blokebiani) sayrdeni kedlebi. dacurebisadmi mdgradobis parametrebi gadamowmebulia seismuri movlenebiT inducirebuli gruntis wnevis da inerciuli Zalebis moqmedebis gaTvaliswinebiT, rogorc es moiTxoveba </w:t>
      </w:r>
      <w:r w:rsidRPr="00BC62DB">
        <w:rPr>
          <w:rFonts w:ascii="Sylfaen" w:hAnsi="Sylfaen"/>
        </w:rPr>
        <w:t>AASHTO</w:t>
      </w:r>
      <w:r w:rsidRPr="00B05F62">
        <w:rPr>
          <w:rFonts w:ascii="AcadNusx" w:hAnsi="AcadNusx"/>
        </w:rPr>
        <w:t xml:space="preserve">-s </w:t>
      </w:r>
      <w:r w:rsidRPr="00BC62DB">
        <w:rPr>
          <w:rFonts w:ascii="Sylfaen" w:hAnsi="Sylfaen"/>
        </w:rPr>
        <w:t>LRFD</w:t>
      </w:r>
      <w:r w:rsidRPr="00B05F62">
        <w:rPr>
          <w:rFonts w:ascii="AcadNusx" w:hAnsi="AcadNusx"/>
        </w:rPr>
        <w:t>-is “xidebis proeqtirebis specifikaciebiT”.</w:t>
      </w:r>
    </w:p>
    <w:p w14:paraId="68063AE9" w14:textId="77777777" w:rsidR="00EA3205" w:rsidRPr="00BC62DB" w:rsidRDefault="00EA3205" w:rsidP="00BC62DB">
      <w:pPr>
        <w:spacing w:before="120" w:after="120"/>
        <w:rPr>
          <w:rFonts w:ascii="Sylfaen" w:hAnsi="Sylfaen"/>
        </w:rPr>
      </w:pPr>
      <w:r w:rsidRPr="00B05F62">
        <w:rPr>
          <w:rFonts w:ascii="AcadNusx" w:hAnsi="AcadNusx"/>
        </w:rPr>
        <w:t>meqanikurad stabilizirebuli gruntis (</w:t>
      </w:r>
      <w:r w:rsidRPr="00BC62DB">
        <w:rPr>
          <w:rFonts w:ascii="Sylfaen" w:hAnsi="Sylfaen"/>
        </w:rPr>
        <w:t>MSE</w:t>
      </w:r>
      <w:r w:rsidRPr="00B05F62">
        <w:rPr>
          <w:rFonts w:ascii="AcadNusx" w:hAnsi="AcadNusx"/>
        </w:rPr>
        <w:t xml:space="preserve">) kedlebis gaangariSeba dafuZnebulia aSS-is “saavtomobilo gzebis federaluri administraciis” normatiul dokumentze _ “meqanikurad armirebuli gruntis kedlebis da armirebuli gruntis ferdoebis proeqtireba” (I da II tomebi, # </w:t>
      </w:r>
      <w:r w:rsidRPr="00BC62DB">
        <w:rPr>
          <w:rFonts w:ascii="Sylfaen" w:hAnsi="Sylfaen"/>
        </w:rPr>
        <w:t>FHWA</w:t>
      </w:r>
      <w:r w:rsidRPr="00B05F62">
        <w:rPr>
          <w:rFonts w:ascii="AcadNusx" w:hAnsi="AcadNusx"/>
        </w:rPr>
        <w:t>-</w:t>
      </w:r>
      <w:r w:rsidRPr="00F31A39">
        <w:rPr>
          <w:rFonts w:ascii="Sylfaen" w:hAnsi="Sylfaen"/>
        </w:rPr>
        <w:t>NH</w:t>
      </w:r>
      <w:r w:rsidRPr="00B05F62">
        <w:rPr>
          <w:rFonts w:ascii="AcadNusx" w:hAnsi="AcadNusx"/>
        </w:rPr>
        <w:t>I-10-024, noemberi, 2009 w.) (</w:t>
      </w:r>
      <w:r w:rsidRPr="00BC62DB">
        <w:rPr>
          <w:rFonts w:ascii="Sylfaen" w:hAnsi="Sylfaen"/>
        </w:rPr>
        <w:t>Design and Construction of Mechanically Stabilized Earth Walls and Reinforced Soil Slopes, Volumes I and II, No. FHWA-NHI-10-024, November 2009).</w:t>
      </w:r>
    </w:p>
    <w:p w14:paraId="23B0A663" w14:textId="77777777" w:rsidR="00EA3205" w:rsidRPr="00B05F62" w:rsidRDefault="00EA3205" w:rsidP="00BC62DB">
      <w:pPr>
        <w:spacing w:before="120" w:after="120"/>
        <w:rPr>
          <w:rFonts w:ascii="AcadNusx" w:hAnsi="AcadNusx"/>
        </w:rPr>
      </w:pPr>
      <w:r w:rsidRPr="00B05F62">
        <w:rPr>
          <w:rFonts w:ascii="AcadNusx" w:hAnsi="AcadNusx"/>
        </w:rPr>
        <w:t xml:space="preserve">sayrdeni nagebobebi gaangariSda geoteqnikuri kompiuteruli programebis </w:t>
      </w:r>
      <w:r w:rsidRPr="00BC62DB">
        <w:rPr>
          <w:rFonts w:ascii="Sylfaen" w:hAnsi="Sylfaen"/>
        </w:rPr>
        <w:t>Geo</w:t>
      </w:r>
      <w:r w:rsidRPr="00B05F62">
        <w:rPr>
          <w:rFonts w:ascii="AcadNusx" w:hAnsi="AcadNusx"/>
        </w:rPr>
        <w:t xml:space="preserve">-5 da </w:t>
      </w:r>
      <w:r w:rsidRPr="00BC62DB">
        <w:rPr>
          <w:rFonts w:ascii="Sylfaen" w:hAnsi="Sylfaen"/>
        </w:rPr>
        <w:t>MacStars</w:t>
      </w:r>
      <w:r w:rsidRPr="00B05F62">
        <w:rPr>
          <w:rFonts w:ascii="AcadNusx" w:hAnsi="AcadNusx"/>
        </w:rPr>
        <w:t xml:space="preserve"> 2000 (mxolod meqanikurad stabilizirebuli gruntis kedlebisTvis) gamoyenebiT.  </w:t>
      </w:r>
    </w:p>
    <w:p w14:paraId="3F12CDCA" w14:textId="66648E1E" w:rsidR="00EA3205" w:rsidRPr="00B05F62" w:rsidRDefault="00EA3205" w:rsidP="00BC62DB">
      <w:pPr>
        <w:spacing w:before="120" w:after="120"/>
        <w:rPr>
          <w:rFonts w:ascii="AcadNusx" w:hAnsi="AcadNusx"/>
        </w:rPr>
      </w:pPr>
      <w:r w:rsidRPr="00B05F62">
        <w:rPr>
          <w:rFonts w:ascii="AcadNusx" w:hAnsi="AcadNusx"/>
        </w:rPr>
        <w:t>kedlebis konstruqciuli gaangariSebebi Sesrulda yvelaze araxelsayreli scenarebis gaTvaliswinebiT da moicavda TiToeuli tipis yvelaze maRali nagebobebis gaangariSebas yvelaze uares geoteqnikur pirobebSi. zogierTi nagebobis konstruqciuli gaangariSebis Sedegebi mocemulia winamdebare angariSis danarTSi 20.</w:t>
      </w:r>
    </w:p>
    <w:p w14:paraId="4F6D8EB5" w14:textId="77777777" w:rsidR="00EA3205" w:rsidRPr="00B05F62" w:rsidRDefault="00EA3205" w:rsidP="00BC62DB">
      <w:pPr>
        <w:spacing w:before="120" w:after="120"/>
        <w:rPr>
          <w:rFonts w:ascii="AcadNusx" w:hAnsi="AcadNusx"/>
        </w:rPr>
      </w:pPr>
      <w:r w:rsidRPr="00B05F62">
        <w:rPr>
          <w:rFonts w:ascii="AcadNusx" w:hAnsi="AcadNusx"/>
        </w:rPr>
        <w:lastRenderedPageBreak/>
        <w:t>km 3+562-dan km 3+785-mde niSnulebs Soris ubanze, romelzec maRali (8.0 m simaRlis) sagzao miwayrili gurjaani-Telavis arsebuli mTavari gzis mimdebared gadis, daproeqtebulia rkinabetonis fasadur-panelebiani stabilizirebuli gruntis kedeli. gadawyvetileba am ubanze stabilizirebuli gruntis kedlis mowyobis Sesaxeb ganpirobebulia gasxvisebis derefnis SezRuduli siganiT.</w:t>
      </w:r>
    </w:p>
    <w:p w14:paraId="390884CE" w14:textId="77777777" w:rsidR="00EA3205" w:rsidRPr="00B05F62" w:rsidRDefault="00EA3205" w:rsidP="00EA3205">
      <w:pPr>
        <w:rPr>
          <w:rFonts w:ascii="AcadNusx" w:hAnsi="AcadNusx"/>
        </w:rPr>
      </w:pPr>
    </w:p>
    <w:p w14:paraId="16DB9E84" w14:textId="49C50F80" w:rsidR="00EA3205" w:rsidRPr="00BC62DB" w:rsidRDefault="00EA3205" w:rsidP="00BC62DB">
      <w:pPr>
        <w:pStyle w:val="Heading3"/>
        <w:rPr>
          <w:rFonts w:ascii="AcadNusx" w:hAnsi="AcadNusx"/>
        </w:rPr>
      </w:pPr>
      <w:bookmarkStart w:id="157" w:name="_Toc1581531"/>
      <w:r w:rsidRPr="00BC62DB">
        <w:rPr>
          <w:rFonts w:ascii="AcadNusx" w:hAnsi="AcadNusx"/>
        </w:rPr>
        <w:t>4.</w:t>
      </w:r>
      <w:r w:rsidR="00BC62DB" w:rsidRPr="00BC62DB">
        <w:rPr>
          <w:rFonts w:ascii="AcadNusx" w:hAnsi="AcadNusx"/>
        </w:rPr>
        <w:t>1</w:t>
      </w:r>
      <w:r w:rsidR="006B0240">
        <w:rPr>
          <w:rFonts w:ascii="Sylfaen" w:hAnsi="Sylfaen"/>
          <w:lang w:val="ka-GE"/>
        </w:rPr>
        <w:t>3</w:t>
      </w:r>
      <w:r w:rsidRPr="00BC62DB">
        <w:rPr>
          <w:rFonts w:ascii="AcadNusx" w:hAnsi="AcadNusx"/>
        </w:rPr>
        <w:t xml:space="preserve">.3 </w:t>
      </w:r>
      <w:r w:rsidRPr="00BC62DB">
        <w:rPr>
          <w:rFonts w:ascii="AcadNusx" w:hAnsi="AcadNusx"/>
        </w:rPr>
        <w:tab/>
      </w:r>
      <w:r w:rsidR="006B0240">
        <w:rPr>
          <w:rFonts w:ascii="Sylfaen" w:hAnsi="Sylfaen"/>
          <w:lang w:val="ka-GE"/>
        </w:rPr>
        <w:t>პროექტებისთვის საჭირო პარამეტრები და დაშვებები</w:t>
      </w:r>
      <w:bookmarkEnd w:id="157"/>
      <w:r w:rsidR="006B0240">
        <w:rPr>
          <w:rFonts w:ascii="Sylfaen" w:hAnsi="Sylfaen"/>
          <w:lang w:val="ka-GE"/>
        </w:rPr>
        <w:t xml:space="preserve"> </w:t>
      </w:r>
    </w:p>
    <w:p w14:paraId="025CF2F7" w14:textId="77777777" w:rsidR="00EA3205" w:rsidRPr="00B05F62" w:rsidRDefault="00EA3205" w:rsidP="00EA3205">
      <w:pPr>
        <w:rPr>
          <w:rFonts w:ascii="AcadNusx" w:hAnsi="AcadNusx"/>
        </w:rPr>
      </w:pPr>
    </w:p>
    <w:p w14:paraId="42E1AC5F" w14:textId="77777777" w:rsidR="00EA3205" w:rsidRPr="006B0240" w:rsidRDefault="00EA3205" w:rsidP="00EA3205">
      <w:pPr>
        <w:rPr>
          <w:rFonts w:ascii="AcadNusx" w:hAnsi="AcadNusx"/>
          <w:b/>
        </w:rPr>
      </w:pPr>
      <w:r w:rsidRPr="006B0240">
        <w:rPr>
          <w:rFonts w:ascii="AcadNusx" w:hAnsi="AcadNusx"/>
          <w:b/>
        </w:rPr>
        <w:t>sawyisi geoteqnikuri monacemebi</w:t>
      </w:r>
    </w:p>
    <w:p w14:paraId="669E8CA8" w14:textId="77777777" w:rsidR="00EA3205" w:rsidRPr="00B05F62" w:rsidRDefault="00EA3205" w:rsidP="00EA3205">
      <w:pPr>
        <w:rPr>
          <w:rFonts w:ascii="AcadNusx" w:hAnsi="AcadNusx"/>
        </w:rPr>
      </w:pPr>
    </w:p>
    <w:p w14:paraId="6B86F932" w14:textId="553EC0E0" w:rsidR="00EA3205" w:rsidRPr="00B05F62" w:rsidRDefault="00EA3205" w:rsidP="00EA3205">
      <w:pPr>
        <w:rPr>
          <w:rFonts w:ascii="AcadNusx" w:hAnsi="AcadNusx"/>
        </w:rPr>
      </w:pPr>
      <w:r w:rsidRPr="00B05F62">
        <w:rPr>
          <w:rFonts w:ascii="AcadNusx" w:hAnsi="AcadNusx"/>
        </w:rPr>
        <w:t xml:space="preserve">kompiuteruli programiT Sesrulebuli gaangariSebis sawyisi sidideebis saxiT gamoyenebul iqna savele geoteqnikuri samuSaoebis angariSis monacemebi da laboratoriuli gamokvlevis Sedegebi. laboratoriis gundis mier identificirda ramdenime e.w. “sainJinro-geologiuri elementi” (“sge”), romelTaTvisac, samSeneblo teritoriaze, maT Soris sacdel SurfebSi da WaburRilebSi aRebuli nimuSebis gamokvlevis Sedegebis safuZvelze, gansazRvrulia momdevno cxrilSi </w:t>
      </w:r>
      <w:r w:rsidR="00ED417F" w:rsidRPr="00B05F62">
        <w:rPr>
          <w:rFonts w:ascii="AcadNusx" w:hAnsi="AcadNusx"/>
        </w:rPr>
        <w:t>4.</w:t>
      </w:r>
      <w:r w:rsidR="00ED417F">
        <w:rPr>
          <w:rFonts w:ascii="AcadNusx" w:hAnsi="AcadNusx"/>
        </w:rPr>
        <w:t>1</w:t>
      </w:r>
      <w:r w:rsidR="006B0240">
        <w:rPr>
          <w:rFonts w:ascii="Sylfaen" w:hAnsi="Sylfaen"/>
          <w:lang w:val="ka-GE"/>
        </w:rPr>
        <w:t>3</w:t>
      </w:r>
      <w:r w:rsidR="00ED417F">
        <w:rPr>
          <w:rFonts w:ascii="AcadNusx" w:hAnsi="AcadNusx"/>
        </w:rPr>
        <w:t>.3-1</w:t>
      </w:r>
      <w:r w:rsidR="00ED417F" w:rsidRPr="00B05F62">
        <w:rPr>
          <w:rFonts w:ascii="AcadNusx" w:hAnsi="AcadNusx"/>
        </w:rPr>
        <w:t>.</w:t>
      </w:r>
      <w:r w:rsidRPr="00B05F62">
        <w:rPr>
          <w:rFonts w:ascii="AcadNusx" w:hAnsi="AcadNusx"/>
        </w:rPr>
        <w:t>mocemuli nominaluri geoteqnikuri parametrebi, romlebic gamoyenebul iqna meqanikurad stabilizirebuli gruntis kedlebis konstruqciul gaangariSebebSi.</w:t>
      </w:r>
    </w:p>
    <w:p w14:paraId="55939461" w14:textId="60AC3E7B" w:rsidR="00EA3205" w:rsidRPr="00B05F62" w:rsidRDefault="00EA3205" w:rsidP="00EA3205">
      <w:pPr>
        <w:rPr>
          <w:rFonts w:ascii="AcadNusx" w:hAnsi="AcadNusx"/>
        </w:rPr>
      </w:pPr>
      <w:r w:rsidRPr="00B05F62">
        <w:rPr>
          <w:rFonts w:ascii="AcadNusx" w:hAnsi="AcadNusx"/>
        </w:rPr>
        <w:t>cxrili 4.</w:t>
      </w:r>
      <w:r w:rsidR="00BC62DB">
        <w:rPr>
          <w:rFonts w:ascii="AcadNusx" w:hAnsi="AcadNusx"/>
        </w:rPr>
        <w:t>1</w:t>
      </w:r>
      <w:r w:rsidR="006B0240">
        <w:rPr>
          <w:rFonts w:ascii="Sylfaen" w:hAnsi="Sylfaen"/>
          <w:lang w:val="ka-GE"/>
        </w:rPr>
        <w:t>3</w:t>
      </w:r>
      <w:r w:rsidR="00BC62DB">
        <w:rPr>
          <w:rFonts w:ascii="AcadNusx" w:hAnsi="AcadNusx"/>
        </w:rPr>
        <w:t>.3-1</w:t>
      </w:r>
      <w:r w:rsidRPr="00B05F62">
        <w:rPr>
          <w:rFonts w:ascii="AcadNusx" w:hAnsi="AcadNusx"/>
        </w:rPr>
        <w:t>.</w:t>
      </w:r>
      <w:r w:rsidRPr="00B05F62">
        <w:rPr>
          <w:rFonts w:ascii="AcadNusx" w:hAnsi="AcadNusx"/>
        </w:rPr>
        <w:tab/>
        <w:t>meqanikurad stabilizirebuli gruntis kedlebis gasaangariSebeli geoteqikuri parametrebi</w:t>
      </w:r>
    </w:p>
    <w:tbl>
      <w:tblPr>
        <w:tblW w:w="10392" w:type="dxa"/>
        <w:tblInd w:w="108" w:type="dxa"/>
        <w:tblLayout w:type="fixed"/>
        <w:tblLook w:val="04A0" w:firstRow="1" w:lastRow="0" w:firstColumn="1" w:lastColumn="0" w:noHBand="0" w:noVBand="1"/>
      </w:tblPr>
      <w:tblGrid>
        <w:gridCol w:w="1134"/>
        <w:gridCol w:w="4153"/>
        <w:gridCol w:w="992"/>
        <w:gridCol w:w="992"/>
        <w:gridCol w:w="999"/>
        <w:gridCol w:w="998"/>
        <w:gridCol w:w="1124"/>
      </w:tblGrid>
      <w:tr w:rsidR="00EA3205" w:rsidRPr="00F31A39" w14:paraId="356F5A4B" w14:textId="77777777" w:rsidTr="006B0240">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14:paraId="19B03E62" w14:textId="77777777" w:rsidR="00EA3205" w:rsidRPr="00F31A39" w:rsidRDefault="00EA3205" w:rsidP="00EA3205">
            <w:pPr>
              <w:rPr>
                <w:rFonts w:ascii="AcadNusx" w:hAnsi="AcadNusx"/>
                <w:sz w:val="18"/>
              </w:rPr>
            </w:pPr>
            <w:r w:rsidRPr="00F31A39">
              <w:rPr>
                <w:rFonts w:ascii="AcadNusx" w:hAnsi="AcadNusx"/>
                <w:sz w:val="18"/>
              </w:rPr>
              <w:t>sainJin-ro geol. elementi (sge) #</w:t>
            </w:r>
          </w:p>
        </w:tc>
        <w:tc>
          <w:tcPr>
            <w:tcW w:w="4153"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14:paraId="1955F3B8" w14:textId="77777777" w:rsidR="00EA3205" w:rsidRPr="00F31A39" w:rsidRDefault="00EA3205" w:rsidP="00EA3205">
            <w:pPr>
              <w:rPr>
                <w:rFonts w:ascii="AcadNusx" w:hAnsi="AcadNusx"/>
                <w:sz w:val="18"/>
              </w:rPr>
            </w:pPr>
            <w:r w:rsidRPr="00F31A39">
              <w:rPr>
                <w:rFonts w:ascii="AcadNusx" w:hAnsi="AcadNusx"/>
                <w:sz w:val="18"/>
              </w:rPr>
              <w:t>gruntis aRweriloba</w:t>
            </w:r>
          </w:p>
        </w:tc>
        <w:tc>
          <w:tcPr>
            <w:tcW w:w="992"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14:paraId="1173A394" w14:textId="77777777" w:rsidR="00EA3205" w:rsidRPr="00F31A39" w:rsidRDefault="00EA3205" w:rsidP="00EA3205">
            <w:pPr>
              <w:rPr>
                <w:rFonts w:ascii="AcadNusx" w:hAnsi="AcadNusx"/>
                <w:sz w:val="18"/>
              </w:rPr>
            </w:pPr>
            <w:r w:rsidRPr="00F31A39">
              <w:rPr>
                <w:rFonts w:ascii="AcadNusx" w:hAnsi="AcadNusx"/>
                <w:sz w:val="18"/>
              </w:rPr>
              <w:t>nomin. Sinagani xaxunis kuTxe</w:t>
            </w:r>
          </w:p>
          <w:p w14:paraId="1C570E0E" w14:textId="77777777" w:rsidR="00EA3205" w:rsidRPr="00F31A39" w:rsidRDefault="00EA3205" w:rsidP="00EA3205">
            <w:pPr>
              <w:rPr>
                <w:rFonts w:ascii="AcadNusx" w:hAnsi="AcadNusx"/>
                <w:sz w:val="18"/>
              </w:rPr>
            </w:pPr>
            <w:r w:rsidRPr="00F31A39">
              <w:rPr>
                <w:rFonts w:ascii="AcadNusx" w:hAnsi="AcadNusx"/>
                <w:sz w:val="18"/>
              </w:rPr>
              <w:t xml:space="preserve"> (</w:t>
            </w:r>
            <w:r w:rsidRPr="00F31A39">
              <w:rPr>
                <w:rFonts w:ascii="Sylfaen" w:hAnsi="Sylfaen"/>
                <w:sz w:val="18"/>
              </w:rPr>
              <w:t>O</w:t>
            </w:r>
            <w:r w:rsidRPr="00F31A39">
              <w:rPr>
                <w:rFonts w:ascii="AcadNusx" w:hAnsi="AcadNusx"/>
                <w:sz w:val="18"/>
              </w:rPr>
              <w:t>)</w:t>
            </w:r>
          </w:p>
        </w:tc>
        <w:tc>
          <w:tcPr>
            <w:tcW w:w="992"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14:paraId="52C2E5C8" w14:textId="77777777" w:rsidR="00EA3205" w:rsidRPr="00F31A39" w:rsidRDefault="00EA3205" w:rsidP="00EA3205">
            <w:pPr>
              <w:rPr>
                <w:rFonts w:ascii="AcadNusx" w:hAnsi="AcadNusx"/>
                <w:sz w:val="18"/>
              </w:rPr>
            </w:pPr>
            <w:r w:rsidRPr="00F31A39">
              <w:rPr>
                <w:rFonts w:ascii="AcadNusx" w:hAnsi="AcadNusx"/>
                <w:sz w:val="18"/>
              </w:rPr>
              <w:t xml:space="preserve">SeWi-duloba, </w:t>
            </w:r>
            <w:r w:rsidRPr="00F31A39">
              <w:rPr>
                <w:rFonts w:ascii="Sylfaen" w:hAnsi="Sylfaen"/>
                <w:sz w:val="18"/>
              </w:rPr>
              <w:t>C</w:t>
            </w:r>
            <w:r w:rsidRPr="00F31A39">
              <w:rPr>
                <w:rFonts w:ascii="AcadNusx" w:hAnsi="AcadNusx"/>
                <w:sz w:val="18"/>
              </w:rPr>
              <w:t xml:space="preserve"> </w:t>
            </w:r>
          </w:p>
          <w:p w14:paraId="19F61A6D" w14:textId="77777777" w:rsidR="00EA3205" w:rsidRPr="00F31A39" w:rsidRDefault="00EA3205" w:rsidP="00EA3205">
            <w:pPr>
              <w:rPr>
                <w:rFonts w:ascii="AcadNusx" w:hAnsi="AcadNusx"/>
                <w:sz w:val="18"/>
              </w:rPr>
            </w:pPr>
            <w:r w:rsidRPr="00F31A39">
              <w:rPr>
                <w:rFonts w:ascii="AcadNusx" w:hAnsi="AcadNusx"/>
                <w:sz w:val="18"/>
              </w:rPr>
              <w:t>(kpa)</w:t>
            </w:r>
          </w:p>
        </w:tc>
        <w:tc>
          <w:tcPr>
            <w:tcW w:w="999"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14:paraId="1160893D" w14:textId="77777777" w:rsidR="00EA3205" w:rsidRPr="00F31A39" w:rsidRDefault="00EA3205" w:rsidP="00EA3205">
            <w:pPr>
              <w:rPr>
                <w:rFonts w:ascii="AcadNusx" w:hAnsi="AcadNusx"/>
                <w:sz w:val="18"/>
              </w:rPr>
            </w:pPr>
            <w:r w:rsidRPr="00F31A39">
              <w:rPr>
                <w:rFonts w:ascii="AcadNusx" w:hAnsi="AcadNusx"/>
                <w:sz w:val="18"/>
              </w:rPr>
              <w:t xml:space="preserve">kalifor-niuli ricxvi mSrali mas. 95%-mde SemWid. nimuSis </w:t>
            </w:r>
          </w:p>
          <w:p w14:paraId="3F7DA122" w14:textId="77777777" w:rsidR="00EA3205" w:rsidRPr="00F31A39" w:rsidRDefault="00EA3205" w:rsidP="00EA3205">
            <w:pPr>
              <w:rPr>
                <w:rFonts w:ascii="AcadNusx" w:hAnsi="AcadNusx"/>
                <w:sz w:val="18"/>
              </w:rPr>
            </w:pPr>
            <w:r w:rsidRPr="00F31A39">
              <w:rPr>
                <w:rFonts w:ascii="AcadNusx" w:hAnsi="AcadNusx"/>
                <w:sz w:val="18"/>
              </w:rPr>
              <w:t>(%)</w:t>
            </w:r>
          </w:p>
        </w:tc>
        <w:tc>
          <w:tcPr>
            <w:tcW w:w="998"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14:paraId="519B6320" w14:textId="77777777" w:rsidR="00EA3205" w:rsidRPr="00F31A39" w:rsidRDefault="00EA3205" w:rsidP="00EA3205">
            <w:pPr>
              <w:rPr>
                <w:rFonts w:ascii="AcadNusx" w:hAnsi="AcadNusx"/>
                <w:sz w:val="18"/>
              </w:rPr>
            </w:pPr>
            <w:r w:rsidRPr="00F31A39">
              <w:rPr>
                <w:rFonts w:ascii="AcadNusx" w:hAnsi="AcadNusx"/>
                <w:sz w:val="18"/>
              </w:rPr>
              <w:t xml:space="preserve">xverdiTi wona </w:t>
            </w:r>
          </w:p>
          <w:p w14:paraId="5136B14B" w14:textId="77777777" w:rsidR="00EA3205" w:rsidRPr="00F31A39" w:rsidRDefault="00EA3205" w:rsidP="00EA3205">
            <w:pPr>
              <w:rPr>
                <w:rFonts w:ascii="AcadNusx" w:hAnsi="AcadNusx"/>
                <w:sz w:val="18"/>
              </w:rPr>
            </w:pPr>
            <w:r w:rsidRPr="00F31A39">
              <w:rPr>
                <w:rFonts w:ascii="AcadNusx" w:hAnsi="AcadNusx"/>
                <w:sz w:val="18"/>
              </w:rPr>
              <w:t>(kn/m3)</w:t>
            </w:r>
          </w:p>
        </w:tc>
        <w:tc>
          <w:tcPr>
            <w:tcW w:w="1124"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14:paraId="3A3C6EF3" w14:textId="77777777" w:rsidR="00EA3205" w:rsidRPr="00F31A39" w:rsidRDefault="00EA3205" w:rsidP="00EA3205">
            <w:pPr>
              <w:rPr>
                <w:rFonts w:ascii="AcadNusx" w:hAnsi="AcadNusx"/>
                <w:sz w:val="18"/>
              </w:rPr>
            </w:pPr>
            <w:r w:rsidRPr="00F31A39">
              <w:rPr>
                <w:rFonts w:ascii="AcadNusx" w:hAnsi="AcadNusx"/>
                <w:sz w:val="18"/>
              </w:rPr>
              <w:t>gruntis nomin. winaRoba</w:t>
            </w:r>
          </w:p>
          <w:p w14:paraId="3B793EEA" w14:textId="77777777" w:rsidR="00EA3205" w:rsidRPr="00F31A39" w:rsidRDefault="00EA3205" w:rsidP="00EA3205">
            <w:pPr>
              <w:rPr>
                <w:rFonts w:ascii="Sylfaen" w:hAnsi="Sylfaen"/>
                <w:sz w:val="18"/>
              </w:rPr>
            </w:pPr>
            <w:r w:rsidRPr="00F31A39">
              <w:rPr>
                <w:rFonts w:ascii="Sylfaen" w:hAnsi="Sylfaen"/>
                <w:sz w:val="18"/>
              </w:rPr>
              <w:t>RO (kpa)</w:t>
            </w:r>
          </w:p>
        </w:tc>
      </w:tr>
      <w:tr w:rsidR="00EA3205" w:rsidRPr="00F31A39" w14:paraId="6D8EA3C0" w14:textId="77777777" w:rsidTr="006B0240">
        <w:tc>
          <w:tcPr>
            <w:tcW w:w="1134" w:type="dxa"/>
            <w:tcBorders>
              <w:top w:val="single" w:sz="4" w:space="0" w:color="auto"/>
              <w:left w:val="single" w:sz="4" w:space="0" w:color="auto"/>
              <w:bottom w:val="single" w:sz="4" w:space="0" w:color="auto"/>
              <w:right w:val="single" w:sz="4" w:space="0" w:color="auto"/>
            </w:tcBorders>
            <w:vAlign w:val="center"/>
            <w:hideMark/>
          </w:tcPr>
          <w:p w14:paraId="0BE7CD6F" w14:textId="77777777" w:rsidR="00EA3205" w:rsidRPr="00F31A39" w:rsidRDefault="00EA3205" w:rsidP="00EA3205">
            <w:pPr>
              <w:rPr>
                <w:rFonts w:ascii="AcadNusx" w:hAnsi="AcadNusx"/>
                <w:sz w:val="18"/>
              </w:rPr>
            </w:pPr>
            <w:r w:rsidRPr="00F31A39">
              <w:rPr>
                <w:rFonts w:ascii="AcadNusx" w:hAnsi="AcadNusx"/>
                <w:sz w:val="18"/>
              </w:rPr>
              <w:t>4</w:t>
            </w:r>
          </w:p>
        </w:tc>
        <w:tc>
          <w:tcPr>
            <w:tcW w:w="4153" w:type="dxa"/>
            <w:tcBorders>
              <w:top w:val="single" w:sz="4" w:space="0" w:color="auto"/>
              <w:left w:val="single" w:sz="4" w:space="0" w:color="auto"/>
              <w:bottom w:val="single" w:sz="4" w:space="0" w:color="auto"/>
              <w:right w:val="single" w:sz="4" w:space="0" w:color="auto"/>
            </w:tcBorders>
            <w:vAlign w:val="center"/>
            <w:hideMark/>
          </w:tcPr>
          <w:p w14:paraId="56C0DB29" w14:textId="77777777" w:rsidR="00EA3205" w:rsidRPr="00F31A39" w:rsidRDefault="00EA3205" w:rsidP="00EA3205">
            <w:pPr>
              <w:rPr>
                <w:rFonts w:ascii="AcadNusx" w:hAnsi="AcadNusx"/>
                <w:sz w:val="18"/>
              </w:rPr>
            </w:pPr>
            <w:r w:rsidRPr="00F31A39">
              <w:rPr>
                <w:rFonts w:ascii="AcadNusx" w:hAnsi="AcadNusx"/>
                <w:sz w:val="18"/>
              </w:rPr>
              <w:t>Tixnari, yavisferi, naxevrad myari, Zlier karbonatuli, wvrili zomis kenWebis CanarTebiT (20%-30%), TixaqviSis da qviSis linzebiT</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A4AACE" w14:textId="77777777" w:rsidR="00EA3205" w:rsidRPr="00F31A39" w:rsidRDefault="00EA3205" w:rsidP="00EA3205">
            <w:pPr>
              <w:rPr>
                <w:rFonts w:ascii="AcadNusx" w:hAnsi="AcadNusx"/>
                <w:sz w:val="18"/>
              </w:rPr>
            </w:pPr>
            <w:r w:rsidRPr="00F31A39">
              <w:rPr>
                <w:rFonts w:ascii="AcadNusx" w:hAnsi="AcadNusx"/>
                <w:sz w:val="18"/>
              </w:rPr>
              <w:t>21.4</w:t>
            </w:r>
          </w:p>
        </w:tc>
        <w:tc>
          <w:tcPr>
            <w:tcW w:w="992" w:type="dxa"/>
            <w:tcBorders>
              <w:top w:val="single" w:sz="4" w:space="0" w:color="auto"/>
              <w:left w:val="single" w:sz="4" w:space="0" w:color="auto"/>
              <w:bottom w:val="single" w:sz="4" w:space="0" w:color="auto"/>
              <w:right w:val="single" w:sz="4" w:space="0" w:color="auto"/>
            </w:tcBorders>
            <w:vAlign w:val="center"/>
            <w:hideMark/>
          </w:tcPr>
          <w:p w14:paraId="2B3984CB" w14:textId="77777777" w:rsidR="00EA3205" w:rsidRPr="00F31A39" w:rsidRDefault="00EA3205" w:rsidP="00EA3205">
            <w:pPr>
              <w:rPr>
                <w:rFonts w:ascii="AcadNusx" w:hAnsi="AcadNusx"/>
                <w:sz w:val="18"/>
              </w:rPr>
            </w:pPr>
            <w:r w:rsidRPr="00F31A39">
              <w:rPr>
                <w:rFonts w:ascii="AcadNusx" w:hAnsi="AcadNusx"/>
                <w:sz w:val="18"/>
              </w:rPr>
              <w:t>22.9</w:t>
            </w:r>
          </w:p>
        </w:tc>
        <w:tc>
          <w:tcPr>
            <w:tcW w:w="999" w:type="dxa"/>
            <w:tcBorders>
              <w:top w:val="single" w:sz="4" w:space="0" w:color="auto"/>
              <w:left w:val="single" w:sz="4" w:space="0" w:color="auto"/>
              <w:bottom w:val="single" w:sz="4" w:space="0" w:color="auto"/>
              <w:right w:val="single" w:sz="4" w:space="0" w:color="auto"/>
            </w:tcBorders>
            <w:vAlign w:val="center"/>
            <w:hideMark/>
          </w:tcPr>
          <w:p w14:paraId="58A81F0F" w14:textId="77777777" w:rsidR="00EA3205" w:rsidRPr="00F31A39" w:rsidRDefault="00EA3205" w:rsidP="00EA3205">
            <w:pPr>
              <w:rPr>
                <w:rFonts w:ascii="AcadNusx" w:hAnsi="AcadNusx"/>
                <w:sz w:val="18"/>
              </w:rPr>
            </w:pPr>
            <w:r w:rsidRPr="00F31A39">
              <w:rPr>
                <w:rFonts w:ascii="AcadNusx" w:hAnsi="AcadNusx"/>
                <w:sz w:val="18"/>
              </w:rPr>
              <w:t>10.75</w:t>
            </w:r>
          </w:p>
        </w:tc>
        <w:tc>
          <w:tcPr>
            <w:tcW w:w="998" w:type="dxa"/>
            <w:tcBorders>
              <w:top w:val="single" w:sz="4" w:space="0" w:color="auto"/>
              <w:left w:val="single" w:sz="4" w:space="0" w:color="auto"/>
              <w:bottom w:val="single" w:sz="4" w:space="0" w:color="auto"/>
              <w:right w:val="single" w:sz="4" w:space="0" w:color="auto"/>
            </w:tcBorders>
            <w:vAlign w:val="center"/>
            <w:hideMark/>
          </w:tcPr>
          <w:p w14:paraId="44BC6EF2" w14:textId="77777777" w:rsidR="00EA3205" w:rsidRPr="00F31A39" w:rsidRDefault="00EA3205" w:rsidP="00EA3205">
            <w:pPr>
              <w:rPr>
                <w:rFonts w:ascii="AcadNusx" w:hAnsi="AcadNusx"/>
                <w:sz w:val="18"/>
              </w:rPr>
            </w:pPr>
            <w:r w:rsidRPr="00F31A39">
              <w:rPr>
                <w:rFonts w:ascii="AcadNusx" w:hAnsi="AcadNusx"/>
                <w:sz w:val="18"/>
              </w:rPr>
              <w:t>18.1</w:t>
            </w:r>
          </w:p>
        </w:tc>
        <w:tc>
          <w:tcPr>
            <w:tcW w:w="1124" w:type="dxa"/>
            <w:tcBorders>
              <w:top w:val="single" w:sz="4" w:space="0" w:color="auto"/>
              <w:left w:val="single" w:sz="4" w:space="0" w:color="auto"/>
              <w:bottom w:val="single" w:sz="4" w:space="0" w:color="auto"/>
              <w:right w:val="single" w:sz="4" w:space="0" w:color="auto"/>
            </w:tcBorders>
            <w:vAlign w:val="center"/>
            <w:hideMark/>
          </w:tcPr>
          <w:p w14:paraId="0BF9145B" w14:textId="77777777" w:rsidR="00EA3205" w:rsidRPr="00F31A39" w:rsidRDefault="00EA3205" w:rsidP="00EA3205">
            <w:pPr>
              <w:rPr>
                <w:rFonts w:ascii="AcadNusx" w:hAnsi="AcadNusx"/>
                <w:sz w:val="18"/>
              </w:rPr>
            </w:pPr>
            <w:r w:rsidRPr="00F31A39">
              <w:rPr>
                <w:rFonts w:ascii="AcadNusx" w:hAnsi="AcadNusx"/>
                <w:sz w:val="18"/>
              </w:rPr>
              <w:t>206</w:t>
            </w:r>
          </w:p>
        </w:tc>
      </w:tr>
      <w:tr w:rsidR="00EA3205" w:rsidRPr="00F31A39" w14:paraId="040289A8" w14:textId="77777777" w:rsidTr="006B0240">
        <w:tc>
          <w:tcPr>
            <w:tcW w:w="1134" w:type="dxa"/>
            <w:tcBorders>
              <w:top w:val="single" w:sz="4" w:space="0" w:color="auto"/>
              <w:left w:val="single" w:sz="4" w:space="0" w:color="auto"/>
              <w:bottom w:val="single" w:sz="4" w:space="0" w:color="auto"/>
              <w:right w:val="single" w:sz="4" w:space="0" w:color="auto"/>
            </w:tcBorders>
            <w:vAlign w:val="center"/>
            <w:hideMark/>
          </w:tcPr>
          <w:p w14:paraId="142CDB8A" w14:textId="77777777" w:rsidR="00EA3205" w:rsidRPr="00F31A39" w:rsidRDefault="00EA3205" w:rsidP="00EA3205">
            <w:pPr>
              <w:rPr>
                <w:rFonts w:ascii="AcadNusx" w:hAnsi="AcadNusx"/>
                <w:sz w:val="18"/>
              </w:rPr>
            </w:pPr>
            <w:r w:rsidRPr="00F31A39">
              <w:rPr>
                <w:rFonts w:ascii="AcadNusx" w:hAnsi="AcadNusx"/>
                <w:sz w:val="18"/>
              </w:rPr>
              <w:t>5</w:t>
            </w:r>
          </w:p>
        </w:tc>
        <w:tc>
          <w:tcPr>
            <w:tcW w:w="4153" w:type="dxa"/>
            <w:tcBorders>
              <w:top w:val="single" w:sz="4" w:space="0" w:color="auto"/>
              <w:left w:val="single" w:sz="4" w:space="0" w:color="auto"/>
              <w:bottom w:val="single" w:sz="4" w:space="0" w:color="auto"/>
              <w:right w:val="single" w:sz="4" w:space="0" w:color="auto"/>
            </w:tcBorders>
            <w:vAlign w:val="center"/>
            <w:hideMark/>
          </w:tcPr>
          <w:p w14:paraId="17EEE812" w14:textId="77777777" w:rsidR="00EA3205" w:rsidRPr="00F31A39" w:rsidRDefault="00EA3205" w:rsidP="00EA3205">
            <w:pPr>
              <w:rPr>
                <w:rFonts w:ascii="AcadNusx" w:hAnsi="AcadNusx"/>
                <w:sz w:val="18"/>
                <w:lang w:val="en-US"/>
              </w:rPr>
            </w:pPr>
            <w:r w:rsidRPr="00F31A39">
              <w:rPr>
                <w:rFonts w:ascii="AcadNusx" w:hAnsi="AcadNusx"/>
                <w:sz w:val="18"/>
              </w:rPr>
              <w:t>kenWnarovani grunti, saSualo da wvrili marcvlovnebis, xreSis CanarTebiT, yavisferi-monacrisfro, saSualo- da msxvilmarcvlovani qviSis SemavsebliT (20%-25%), TixaqviSis da Tixnaris Txeli da sasualo zomis linzebiT</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49B116" w14:textId="77777777" w:rsidR="00EA3205" w:rsidRPr="00F31A39" w:rsidRDefault="00EA3205" w:rsidP="00EA3205">
            <w:pPr>
              <w:rPr>
                <w:rFonts w:ascii="AcadNusx" w:hAnsi="AcadNusx"/>
                <w:sz w:val="18"/>
              </w:rPr>
            </w:pPr>
            <w:r w:rsidRPr="00F31A39">
              <w:rPr>
                <w:rFonts w:ascii="AcadNusx" w:hAnsi="AcadNusx"/>
                <w:sz w:val="18"/>
              </w:rPr>
              <w:t>45</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1B7BD2" w14:textId="77777777" w:rsidR="00EA3205" w:rsidRPr="00F31A39" w:rsidRDefault="00EA3205" w:rsidP="00EA3205">
            <w:pPr>
              <w:rPr>
                <w:rFonts w:ascii="AcadNusx" w:hAnsi="AcadNusx"/>
                <w:sz w:val="18"/>
              </w:rPr>
            </w:pPr>
            <w:r w:rsidRPr="00F31A39">
              <w:rPr>
                <w:rFonts w:ascii="AcadNusx" w:hAnsi="AcadNusx"/>
                <w:sz w:val="18"/>
              </w:rPr>
              <w:t>12</w:t>
            </w:r>
          </w:p>
        </w:tc>
        <w:tc>
          <w:tcPr>
            <w:tcW w:w="999" w:type="dxa"/>
            <w:tcBorders>
              <w:top w:val="single" w:sz="4" w:space="0" w:color="auto"/>
              <w:left w:val="single" w:sz="4" w:space="0" w:color="auto"/>
              <w:bottom w:val="single" w:sz="4" w:space="0" w:color="auto"/>
              <w:right w:val="single" w:sz="4" w:space="0" w:color="auto"/>
            </w:tcBorders>
            <w:vAlign w:val="center"/>
            <w:hideMark/>
          </w:tcPr>
          <w:p w14:paraId="226A1789" w14:textId="77777777" w:rsidR="00EA3205" w:rsidRPr="00F31A39" w:rsidRDefault="00EA3205" w:rsidP="00EA3205">
            <w:pPr>
              <w:rPr>
                <w:rFonts w:ascii="AcadNusx" w:hAnsi="AcadNusx"/>
                <w:sz w:val="18"/>
              </w:rPr>
            </w:pPr>
            <w:r w:rsidRPr="00F31A39">
              <w:rPr>
                <w:rFonts w:ascii="AcadNusx" w:hAnsi="AcadNusx"/>
                <w:sz w:val="18"/>
              </w:rPr>
              <w:t>36.14</w:t>
            </w:r>
          </w:p>
        </w:tc>
        <w:tc>
          <w:tcPr>
            <w:tcW w:w="998" w:type="dxa"/>
            <w:tcBorders>
              <w:top w:val="single" w:sz="4" w:space="0" w:color="auto"/>
              <w:left w:val="single" w:sz="4" w:space="0" w:color="auto"/>
              <w:bottom w:val="single" w:sz="4" w:space="0" w:color="auto"/>
              <w:right w:val="single" w:sz="4" w:space="0" w:color="auto"/>
            </w:tcBorders>
            <w:vAlign w:val="center"/>
            <w:hideMark/>
          </w:tcPr>
          <w:p w14:paraId="5B159A24" w14:textId="77777777" w:rsidR="00EA3205" w:rsidRPr="00F31A39" w:rsidRDefault="00EA3205" w:rsidP="00EA3205">
            <w:pPr>
              <w:rPr>
                <w:rFonts w:ascii="AcadNusx" w:hAnsi="AcadNusx"/>
                <w:sz w:val="18"/>
              </w:rPr>
            </w:pPr>
            <w:r w:rsidRPr="00F31A39">
              <w:rPr>
                <w:rFonts w:ascii="AcadNusx" w:hAnsi="AcadNusx"/>
                <w:sz w:val="18"/>
              </w:rPr>
              <w:t>19.5</w:t>
            </w:r>
          </w:p>
        </w:tc>
        <w:tc>
          <w:tcPr>
            <w:tcW w:w="1124" w:type="dxa"/>
            <w:tcBorders>
              <w:top w:val="single" w:sz="4" w:space="0" w:color="auto"/>
              <w:left w:val="single" w:sz="4" w:space="0" w:color="auto"/>
              <w:bottom w:val="single" w:sz="4" w:space="0" w:color="auto"/>
              <w:right w:val="single" w:sz="4" w:space="0" w:color="auto"/>
            </w:tcBorders>
            <w:vAlign w:val="center"/>
            <w:hideMark/>
          </w:tcPr>
          <w:p w14:paraId="66C739D5" w14:textId="77777777" w:rsidR="00EA3205" w:rsidRPr="00F31A39" w:rsidRDefault="00EA3205" w:rsidP="00EA3205">
            <w:pPr>
              <w:rPr>
                <w:rFonts w:ascii="AcadNusx" w:hAnsi="AcadNusx"/>
                <w:sz w:val="18"/>
              </w:rPr>
            </w:pPr>
            <w:r w:rsidRPr="00F31A39">
              <w:rPr>
                <w:rFonts w:ascii="AcadNusx" w:hAnsi="AcadNusx"/>
                <w:sz w:val="18"/>
              </w:rPr>
              <w:t>600</w:t>
            </w:r>
          </w:p>
        </w:tc>
      </w:tr>
      <w:tr w:rsidR="00EA3205" w:rsidRPr="00F31A39" w14:paraId="33580EE7" w14:textId="77777777" w:rsidTr="006B0240">
        <w:tc>
          <w:tcPr>
            <w:tcW w:w="1134" w:type="dxa"/>
            <w:tcBorders>
              <w:top w:val="single" w:sz="4" w:space="0" w:color="auto"/>
              <w:left w:val="single" w:sz="4" w:space="0" w:color="auto"/>
              <w:bottom w:val="single" w:sz="4" w:space="0" w:color="auto"/>
              <w:right w:val="single" w:sz="4" w:space="0" w:color="auto"/>
            </w:tcBorders>
            <w:vAlign w:val="center"/>
            <w:hideMark/>
          </w:tcPr>
          <w:p w14:paraId="7067AD5F" w14:textId="77777777" w:rsidR="00EA3205" w:rsidRPr="00F31A39" w:rsidRDefault="00EA3205" w:rsidP="00EA3205">
            <w:pPr>
              <w:rPr>
                <w:rFonts w:ascii="AcadNusx" w:hAnsi="AcadNusx"/>
                <w:sz w:val="18"/>
              </w:rPr>
            </w:pPr>
            <w:r w:rsidRPr="00F31A39">
              <w:rPr>
                <w:rFonts w:ascii="AcadNusx" w:hAnsi="AcadNusx"/>
                <w:sz w:val="18"/>
              </w:rPr>
              <w:t>10</w:t>
            </w:r>
          </w:p>
        </w:tc>
        <w:tc>
          <w:tcPr>
            <w:tcW w:w="4153" w:type="dxa"/>
            <w:tcBorders>
              <w:top w:val="single" w:sz="4" w:space="0" w:color="auto"/>
              <w:left w:val="single" w:sz="4" w:space="0" w:color="auto"/>
              <w:bottom w:val="single" w:sz="4" w:space="0" w:color="auto"/>
              <w:right w:val="single" w:sz="4" w:space="0" w:color="auto"/>
            </w:tcBorders>
            <w:vAlign w:val="center"/>
            <w:hideMark/>
          </w:tcPr>
          <w:p w14:paraId="54731051" w14:textId="77777777" w:rsidR="00EA3205" w:rsidRPr="00F31A39" w:rsidRDefault="00EA3205" w:rsidP="00EA3205">
            <w:pPr>
              <w:rPr>
                <w:rFonts w:ascii="AcadNusx" w:hAnsi="AcadNusx"/>
                <w:sz w:val="18"/>
                <w:lang w:val="en-US"/>
              </w:rPr>
            </w:pPr>
            <w:r w:rsidRPr="00F31A39">
              <w:rPr>
                <w:rFonts w:ascii="AcadNusx" w:hAnsi="AcadNusx"/>
                <w:sz w:val="18"/>
              </w:rPr>
              <w:t>xreSovani grunti, sxvadasxva fraqciuli zomebis, kenWis CanarTebiT (10%-15%), Tixis da qviSis SemavsebliT, qviSis SuaSreebiT</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45E88A" w14:textId="77777777" w:rsidR="00EA3205" w:rsidRPr="00F31A39" w:rsidRDefault="00EA3205" w:rsidP="00EA3205">
            <w:pPr>
              <w:rPr>
                <w:rFonts w:ascii="AcadNusx" w:hAnsi="AcadNusx"/>
                <w:sz w:val="18"/>
              </w:rPr>
            </w:pPr>
            <w:r w:rsidRPr="00F31A39">
              <w:rPr>
                <w:rFonts w:ascii="AcadNusx" w:hAnsi="AcadNusx"/>
                <w:sz w:val="18"/>
              </w:rPr>
              <w:t>45</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F6CC4D" w14:textId="77777777" w:rsidR="00EA3205" w:rsidRPr="00F31A39" w:rsidRDefault="00EA3205" w:rsidP="00EA3205">
            <w:pPr>
              <w:rPr>
                <w:rFonts w:ascii="AcadNusx" w:hAnsi="AcadNusx"/>
                <w:sz w:val="18"/>
              </w:rPr>
            </w:pPr>
            <w:r w:rsidRPr="00F31A39">
              <w:rPr>
                <w:rFonts w:ascii="AcadNusx" w:hAnsi="AcadNusx"/>
                <w:sz w:val="18"/>
              </w:rPr>
              <w:t>10</w:t>
            </w:r>
          </w:p>
        </w:tc>
        <w:tc>
          <w:tcPr>
            <w:tcW w:w="999" w:type="dxa"/>
            <w:tcBorders>
              <w:top w:val="single" w:sz="4" w:space="0" w:color="auto"/>
              <w:left w:val="single" w:sz="4" w:space="0" w:color="auto"/>
              <w:bottom w:val="single" w:sz="4" w:space="0" w:color="auto"/>
              <w:right w:val="single" w:sz="4" w:space="0" w:color="auto"/>
            </w:tcBorders>
            <w:vAlign w:val="center"/>
            <w:hideMark/>
          </w:tcPr>
          <w:p w14:paraId="60087B77" w14:textId="77777777" w:rsidR="00EA3205" w:rsidRPr="00F31A39" w:rsidRDefault="00EA3205" w:rsidP="00EA3205">
            <w:pPr>
              <w:rPr>
                <w:rFonts w:ascii="AcadNusx" w:hAnsi="AcadNusx"/>
                <w:sz w:val="18"/>
              </w:rPr>
            </w:pPr>
            <w:r w:rsidRPr="00F31A39">
              <w:rPr>
                <w:rFonts w:ascii="AcadNusx" w:hAnsi="AcadNusx"/>
                <w:sz w:val="18"/>
              </w:rPr>
              <w:t>35.39</w:t>
            </w:r>
          </w:p>
        </w:tc>
        <w:tc>
          <w:tcPr>
            <w:tcW w:w="998" w:type="dxa"/>
            <w:tcBorders>
              <w:top w:val="single" w:sz="4" w:space="0" w:color="auto"/>
              <w:left w:val="single" w:sz="4" w:space="0" w:color="auto"/>
              <w:bottom w:val="single" w:sz="4" w:space="0" w:color="auto"/>
              <w:right w:val="single" w:sz="4" w:space="0" w:color="auto"/>
            </w:tcBorders>
            <w:vAlign w:val="center"/>
            <w:hideMark/>
          </w:tcPr>
          <w:p w14:paraId="407567BC" w14:textId="77777777" w:rsidR="00EA3205" w:rsidRPr="00F31A39" w:rsidRDefault="00EA3205" w:rsidP="00EA3205">
            <w:pPr>
              <w:rPr>
                <w:rFonts w:ascii="AcadNusx" w:hAnsi="AcadNusx"/>
                <w:sz w:val="18"/>
              </w:rPr>
            </w:pPr>
            <w:r w:rsidRPr="00F31A39">
              <w:rPr>
                <w:rFonts w:ascii="AcadNusx" w:hAnsi="AcadNusx"/>
                <w:sz w:val="18"/>
              </w:rPr>
              <w:t>19.5</w:t>
            </w:r>
          </w:p>
        </w:tc>
        <w:tc>
          <w:tcPr>
            <w:tcW w:w="1124" w:type="dxa"/>
            <w:tcBorders>
              <w:top w:val="single" w:sz="4" w:space="0" w:color="auto"/>
              <w:left w:val="single" w:sz="4" w:space="0" w:color="auto"/>
              <w:bottom w:val="single" w:sz="4" w:space="0" w:color="auto"/>
              <w:right w:val="single" w:sz="4" w:space="0" w:color="auto"/>
            </w:tcBorders>
            <w:vAlign w:val="center"/>
            <w:hideMark/>
          </w:tcPr>
          <w:p w14:paraId="73197986" w14:textId="77777777" w:rsidR="00EA3205" w:rsidRPr="00F31A39" w:rsidRDefault="00EA3205" w:rsidP="00EA3205">
            <w:pPr>
              <w:rPr>
                <w:rFonts w:ascii="AcadNusx" w:hAnsi="AcadNusx"/>
                <w:sz w:val="18"/>
              </w:rPr>
            </w:pPr>
            <w:r w:rsidRPr="00F31A39">
              <w:rPr>
                <w:rFonts w:ascii="AcadNusx" w:hAnsi="AcadNusx"/>
                <w:sz w:val="18"/>
              </w:rPr>
              <w:t>450</w:t>
            </w:r>
          </w:p>
        </w:tc>
      </w:tr>
    </w:tbl>
    <w:p w14:paraId="54408C42" w14:textId="77777777" w:rsidR="00EA3205" w:rsidRPr="00B05F62" w:rsidRDefault="00EA3205" w:rsidP="00EA3205">
      <w:pPr>
        <w:rPr>
          <w:rFonts w:ascii="AcadNusx" w:hAnsi="AcadNusx"/>
        </w:rPr>
      </w:pPr>
    </w:p>
    <w:p w14:paraId="4B519FBC" w14:textId="77777777" w:rsidR="00EA3205" w:rsidRPr="00B05F62" w:rsidRDefault="00EA3205" w:rsidP="00EA3205">
      <w:pPr>
        <w:rPr>
          <w:rFonts w:ascii="AcadNusx" w:hAnsi="AcadNusx"/>
        </w:rPr>
      </w:pPr>
      <w:r w:rsidRPr="00B05F62">
        <w:rPr>
          <w:rFonts w:ascii="AcadNusx" w:hAnsi="AcadNusx"/>
        </w:rPr>
        <w:t>zemoT miTiTebul geoteqnikur parametrebTan erTad, agreTve gamoyenebul iqna WaburRilebidan aRebuli nimuSebidan da laboratoriuli gamokvlevis Sedegebidan amokrefili garkveuli damatebiTi informacia. kompiuteruli programiT gamoTvlebis warmoebisas mxedvelobaSi miiReboda savele gasvlebis da geoteqnikuri dakvirvebebis monacemebi da sawyisi daSvebebi.</w:t>
      </w:r>
    </w:p>
    <w:p w14:paraId="1569CE62" w14:textId="77777777" w:rsidR="00EA3205" w:rsidRPr="00B05F62" w:rsidRDefault="00EA3205" w:rsidP="00EA3205">
      <w:pPr>
        <w:rPr>
          <w:rFonts w:ascii="AcadNusx" w:hAnsi="AcadNusx"/>
        </w:rPr>
      </w:pPr>
    </w:p>
    <w:p w14:paraId="171F4C56" w14:textId="77777777" w:rsidR="00EA3205" w:rsidRPr="00B05F62" w:rsidRDefault="00EA3205" w:rsidP="00EA3205">
      <w:pPr>
        <w:rPr>
          <w:rFonts w:ascii="AcadNusx" w:hAnsi="AcadNusx"/>
        </w:rPr>
      </w:pPr>
      <w:r w:rsidRPr="00B05F62">
        <w:rPr>
          <w:rFonts w:ascii="AcadNusx" w:hAnsi="AcadNusx"/>
        </w:rPr>
        <w:t>gruntebis gamokvlevis Sedegebis damatebiTi detalebi wamordgenilia winamdebare proeqtirebis angariSze darTul geoteqnikuri kvlevis angariSSi.</w:t>
      </w:r>
    </w:p>
    <w:p w14:paraId="39186F7A" w14:textId="77777777" w:rsidR="00EA3205" w:rsidRPr="00B05F62" w:rsidRDefault="00EA3205" w:rsidP="00F31A39">
      <w:pPr>
        <w:spacing w:before="120" w:after="120"/>
        <w:rPr>
          <w:rFonts w:ascii="AcadNusx" w:hAnsi="AcadNusx"/>
        </w:rPr>
      </w:pPr>
      <w:r w:rsidRPr="00B05F62">
        <w:rPr>
          <w:rFonts w:ascii="AcadNusx" w:hAnsi="AcadNusx"/>
        </w:rPr>
        <w:t>meqanikurad stabilizirebuli gruntis kedlebis tipebi da armireba</w:t>
      </w:r>
    </w:p>
    <w:p w14:paraId="44C129DC" w14:textId="77777777" w:rsidR="00EA3205" w:rsidRPr="00B05F62" w:rsidRDefault="00EA3205" w:rsidP="00F31A39">
      <w:pPr>
        <w:spacing w:before="120" w:after="120"/>
        <w:rPr>
          <w:rFonts w:ascii="AcadNusx" w:hAnsi="AcadNusx"/>
        </w:rPr>
      </w:pPr>
      <w:r w:rsidRPr="00B05F62">
        <w:rPr>
          <w:rFonts w:ascii="AcadNusx" w:hAnsi="AcadNusx"/>
        </w:rPr>
        <w:lastRenderedPageBreak/>
        <w:t>proeqtis miznebisTvis gamoyenebulia ori tipis meqanikurad stabilizirebuli gruntis kedlebi. pirveli tipis kedlebi mokeTebulia betonis panelebiT, xolo meore tipis – gabionebiT (e.w. “terameSis” an “makaferis” kedlebi). pirveli tipis kedlebi gaangariSda rkinabetonis panelebis da gruntis armirebis masalebis saxiT Fortrac-is (kompaniis Huesker GmbH savaWro niSani) seriis geocxaurebis gamoyenebis gaTvaliswinebiT. rkinabetonis fasaduri panelebis zomebia 1.2m×0.6mm×0.3m, xolo betonis klasi _ C 30/37. panelur-fasaduri blokebi dayrdnobilia asakrebi rkinabetonis blokebiT Sedgenil fuZeze.</w:t>
      </w:r>
    </w:p>
    <w:p w14:paraId="7378C2E4" w14:textId="497C6164" w:rsidR="00EA3205" w:rsidRPr="00B05F62" w:rsidRDefault="00EA3205" w:rsidP="00F31A39">
      <w:pPr>
        <w:spacing w:before="120" w:after="120"/>
        <w:rPr>
          <w:rFonts w:ascii="AcadNusx" w:hAnsi="AcadNusx"/>
        </w:rPr>
      </w:pPr>
      <w:r w:rsidRPr="00B05F62">
        <w:rPr>
          <w:rFonts w:ascii="AcadNusx" w:hAnsi="AcadNusx"/>
        </w:rPr>
        <w:t>“terameSis” kedlebsac gaaCniaT sakuTari armireba (ix. momdevno suraTi 4.</w:t>
      </w:r>
      <w:r w:rsidR="00ED417F">
        <w:rPr>
          <w:rFonts w:ascii="AcadNusx" w:hAnsi="AcadNusx"/>
        </w:rPr>
        <w:t>14.3-1</w:t>
      </w:r>
      <w:r w:rsidRPr="00B05F62">
        <w:rPr>
          <w:rFonts w:ascii="AcadNusx" w:hAnsi="AcadNusx"/>
        </w:rPr>
        <w:t>) moTuTiebuli, ormagi grexviT dawnuli polivinilqloridiT (</w:t>
      </w:r>
      <w:r w:rsidRPr="00ED417F">
        <w:rPr>
          <w:rFonts w:ascii="Sylfaen" w:hAnsi="Sylfaen"/>
        </w:rPr>
        <w:t>PVC</w:t>
      </w:r>
      <w:r w:rsidRPr="00B05F62">
        <w:rPr>
          <w:rFonts w:ascii="AcadNusx" w:hAnsi="AcadNusx"/>
        </w:rPr>
        <w:t>) dafaruli liTonis badiT.</w:t>
      </w:r>
    </w:p>
    <w:p w14:paraId="0A0D3C1F" w14:textId="5AB81EB6" w:rsidR="00EA3205" w:rsidRPr="00B05F62" w:rsidRDefault="00EA3205" w:rsidP="00ED417F">
      <w:pPr>
        <w:spacing w:before="120" w:after="120"/>
        <w:rPr>
          <w:rFonts w:ascii="AcadNusx" w:hAnsi="AcadNusx"/>
        </w:rPr>
      </w:pPr>
      <w:r w:rsidRPr="00B05F62">
        <w:rPr>
          <w:rFonts w:ascii="AcadNusx" w:hAnsi="AcadNusx"/>
          <w:noProof/>
          <w:lang w:val="en-US" w:eastAsia="en-US"/>
        </w:rPr>
        <mc:AlternateContent>
          <mc:Choice Requires="wps">
            <w:drawing>
              <wp:anchor distT="0" distB="0" distL="114300" distR="114300" simplePos="0" relativeHeight="251682816" behindDoc="0" locked="0" layoutInCell="1" allowOverlap="1" wp14:anchorId="62B70F90" wp14:editId="348DA785">
                <wp:simplePos x="0" y="0"/>
                <wp:positionH relativeFrom="margin">
                  <wp:align>right</wp:align>
                </wp:positionH>
                <wp:positionV relativeFrom="paragraph">
                  <wp:posOffset>49530</wp:posOffset>
                </wp:positionV>
                <wp:extent cx="4933950" cy="2762250"/>
                <wp:effectExtent l="0" t="0" r="0" b="0"/>
                <wp:wrapSquare wrapText="bothSides"/>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2762250"/>
                        </a:xfrm>
                        <a:prstGeom prst="rect">
                          <a:avLst/>
                        </a:prstGeom>
                        <a:solidFill>
                          <a:srgbClr val="FFFFFF"/>
                        </a:solidFill>
                        <a:ln w="9525">
                          <a:noFill/>
                          <a:miter lim="800000"/>
                          <a:headEnd/>
                          <a:tailEnd/>
                        </a:ln>
                      </wps:spPr>
                      <wps:txbx>
                        <w:txbxContent>
                          <w:p w14:paraId="06DA24E2" w14:textId="39147969" w:rsidR="00A2588D" w:rsidRPr="00F2480A" w:rsidRDefault="00A2588D" w:rsidP="00EA3205">
                            <w:pPr>
                              <w:rPr>
                                <w:lang w:val="en-US"/>
                              </w:rPr>
                            </w:pPr>
                            <w:r w:rsidRPr="00F2480A">
                              <w:rPr>
                                <w:noProof/>
                                <w:lang w:val="en-US" w:eastAsia="en-US"/>
                              </w:rPr>
                              <w:drawing>
                                <wp:inline distT="0" distB="0" distL="0" distR="0" wp14:anchorId="62F908F9" wp14:editId="7F313327">
                                  <wp:extent cx="4248150" cy="2114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pic:cNvPicPr>
                                            <a:picLocks noChangeAspect="1"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bwMode="auto">
                                          <a:xfrm>
                                            <a:off x="0" y="0"/>
                                            <a:ext cx="4248150" cy="2114550"/>
                                          </a:xfrm>
                                          <a:prstGeom prst="rect">
                                            <a:avLst/>
                                          </a:prstGeom>
                                          <a:noFill/>
                                          <a:ln>
                                            <a:noFill/>
                                          </a:ln>
                                        </pic:spPr>
                                      </pic:pic>
                                    </a:graphicData>
                                  </a:graphic>
                                </wp:inline>
                              </w:drawing>
                            </w:r>
                          </w:p>
                          <w:p w14:paraId="79C59F35" w14:textId="63CBE9E0" w:rsidR="00A2588D" w:rsidRPr="00BC62DB" w:rsidRDefault="00A2588D" w:rsidP="00EA3205">
                            <w:pPr>
                              <w:rPr>
                                <w:rFonts w:ascii="AcadNusx" w:hAnsi="AcadNusx"/>
                              </w:rPr>
                            </w:pPr>
                            <w:r>
                              <w:rPr>
                                <w:rFonts w:ascii="AcadNusx" w:hAnsi="AcadNusx"/>
                              </w:rPr>
                              <w:t>suraTi 4.1</w:t>
                            </w:r>
                            <w:r>
                              <w:rPr>
                                <w:rFonts w:ascii="Sylfaen" w:hAnsi="Sylfaen"/>
                                <w:lang w:val="ka-GE"/>
                              </w:rPr>
                              <w:t>3</w:t>
                            </w:r>
                            <w:r>
                              <w:rPr>
                                <w:rFonts w:ascii="AcadNusx" w:hAnsi="AcadNusx"/>
                              </w:rPr>
                              <w:t>.3-1</w:t>
                            </w:r>
                            <w:r w:rsidRPr="00BC62DB">
                              <w:rPr>
                                <w:rFonts w:ascii="AcadNusx" w:hAnsi="AcadNusx"/>
                              </w:rPr>
                              <w:t xml:space="preserve"> </w:t>
                            </w:r>
                            <w:r w:rsidRPr="00BC62DB">
                              <w:rPr>
                                <w:rFonts w:ascii="AcadNusx" w:hAnsi="AcadNusx"/>
                              </w:rPr>
                              <w:tab/>
                              <w:t>“terameSis” tipis meqanikurad stabilizirebuli gruntis sistemis elementi</w:t>
                            </w:r>
                          </w:p>
                        </w:txbxContent>
                      </wps:txbx>
                      <wps:bodyPr rot="0" vert="horz" wrap="square" lIns="108000" tIns="72000" rIns="0" bIns="7200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70F90" id="Text Box 307" o:spid="_x0000_s1181" type="#_x0000_t202" style="position:absolute;left:0;text-align:left;margin-left:337.3pt;margin-top:3.9pt;width:388.5pt;height:217.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" stroked="f">
                <v:textbox inset="3mm,2mm,0,2mm">
                  <w:txbxContent>
                    <w:p w14:paraId="06DA24E2" w14:textId="39147969" w:rsidR="00A2588D" w:rsidRPr="00F2480A" w:rsidRDefault="00A2588D" w:rsidP="00EA3205">
                      <w:pPr>
                        <w:rPr>
                          <w:lang w:val="en-US"/>
                        </w:rPr>
                      </w:pPr>
                      <w:r w:rsidRPr="00F2480A">
                        <w:rPr>
                          <w:noProof/>
                          <w:lang w:val="en-US" w:eastAsia="en-US"/>
                        </w:rPr>
                        <w:drawing>
                          <wp:inline distT="0" distB="0" distL="0" distR="0" wp14:anchorId="62F908F9" wp14:editId="7F313327">
                            <wp:extent cx="4248150" cy="2114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pic:cNvPicPr>
                                      <a:picLocks noChangeAspect="1"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bwMode="auto">
                                    <a:xfrm>
                                      <a:off x="0" y="0"/>
                                      <a:ext cx="4248150" cy="2114550"/>
                                    </a:xfrm>
                                    <a:prstGeom prst="rect">
                                      <a:avLst/>
                                    </a:prstGeom>
                                    <a:noFill/>
                                    <a:ln>
                                      <a:noFill/>
                                    </a:ln>
                                  </pic:spPr>
                                </pic:pic>
                              </a:graphicData>
                            </a:graphic>
                          </wp:inline>
                        </w:drawing>
                      </w:r>
                    </w:p>
                    <w:p w14:paraId="79C59F35" w14:textId="63CBE9E0" w:rsidR="00A2588D" w:rsidRPr="00BC62DB" w:rsidRDefault="00A2588D" w:rsidP="00EA3205">
                      <w:pPr>
                        <w:rPr>
                          <w:rFonts w:ascii="AcadNusx" w:hAnsi="AcadNusx"/>
                        </w:rPr>
                      </w:pPr>
                      <w:r>
                        <w:rPr>
                          <w:rFonts w:ascii="AcadNusx" w:hAnsi="AcadNusx"/>
                        </w:rPr>
                        <w:t>suraTi 4.1</w:t>
                      </w:r>
                      <w:r>
                        <w:rPr>
                          <w:rFonts w:ascii="Sylfaen" w:hAnsi="Sylfaen"/>
                          <w:lang w:val="ka-GE"/>
                        </w:rPr>
                        <w:t>3</w:t>
                      </w:r>
                      <w:r>
                        <w:rPr>
                          <w:rFonts w:ascii="AcadNusx" w:hAnsi="AcadNusx"/>
                        </w:rPr>
                        <w:t>.3-1</w:t>
                      </w:r>
                      <w:r w:rsidRPr="00BC62DB">
                        <w:rPr>
                          <w:rFonts w:ascii="AcadNusx" w:hAnsi="AcadNusx"/>
                        </w:rPr>
                        <w:t xml:space="preserve"> </w:t>
                      </w:r>
                      <w:r w:rsidRPr="00BC62DB">
                        <w:rPr>
                          <w:rFonts w:ascii="AcadNusx" w:hAnsi="AcadNusx"/>
                        </w:rPr>
                        <w:tab/>
                        <w:t>“terameSis” tipis meqanikurad stabilizirebuli gruntis sistemis elementi</w:t>
                      </w:r>
                    </w:p>
                  </w:txbxContent>
                </v:textbox>
                <w10:wrap type="square" anchorx="margin"/>
              </v:shape>
            </w:pict>
          </mc:Fallback>
        </mc:AlternateContent>
      </w:r>
      <w:r w:rsidRPr="00B05F62">
        <w:rPr>
          <w:rFonts w:ascii="AcadNusx" w:hAnsi="AcadNusx"/>
        </w:rPr>
        <w:t>“terameSis” sistemis kedeli gabionebis yuTebiT (1.0m×1.0m×2.0m) Sedgenili fasadiT da L=5.0 m sigrZis safuZv-elis mavTulbadiT, romelic gamoiyeneba Semavsebeli masalis Sesakaveblad (ix. suraTi);</w:t>
      </w:r>
    </w:p>
    <w:p w14:paraId="74555460" w14:textId="77777777" w:rsidR="00EA3205" w:rsidRPr="00B05F62" w:rsidRDefault="00EA3205" w:rsidP="00ED417F">
      <w:pPr>
        <w:spacing w:before="120" w:after="120"/>
        <w:rPr>
          <w:rFonts w:ascii="AcadNusx" w:hAnsi="AcadNusx"/>
        </w:rPr>
      </w:pPr>
      <w:r w:rsidRPr="00B05F62">
        <w:rPr>
          <w:rFonts w:ascii="AcadNusx" w:hAnsi="AcadNusx"/>
        </w:rPr>
        <w:t>nagebobis zurgis mxares unda moewyos kargi xarisxis xreSo-vani filtri, ukuSevse-bis masalasTan sakon-taqto areSi ganTavse-buli geoteqstilis membraniT da geoteqs-tilSi SefuTuli RarebiT da perforirebuli milebiT nagebobidan wylis swrafad gamodevnis mizniT. armirebis mavTulbadis kuTri simtkice erT grZiv metrze miax. 40-50 kn-s Seadgens.</w:t>
      </w:r>
    </w:p>
    <w:p w14:paraId="076FB3BD" w14:textId="77777777" w:rsidR="00EA3205" w:rsidRPr="00B05F62" w:rsidRDefault="00EA3205" w:rsidP="00EA3205">
      <w:pPr>
        <w:rPr>
          <w:rFonts w:ascii="AcadNusx" w:hAnsi="AcadNusx"/>
        </w:rPr>
      </w:pPr>
      <w:r w:rsidRPr="00B05F62">
        <w:rPr>
          <w:rFonts w:ascii="AcadNusx" w:hAnsi="AcadNusx"/>
        </w:rPr>
        <w:t>“terameSis” armirebuli gruntis (</w:t>
      </w:r>
      <w:r w:rsidRPr="00ED417F">
        <w:rPr>
          <w:rFonts w:ascii="Sylfaen" w:hAnsi="Sylfaen"/>
        </w:rPr>
        <w:t>MSE</w:t>
      </w:r>
      <w:r w:rsidRPr="00B05F62">
        <w:rPr>
          <w:rFonts w:ascii="AcadNusx" w:hAnsi="AcadNusx"/>
        </w:rPr>
        <w:t>) kedlebi warmoadgenen moqnil nagebobebs, romlebic naklebad sentitiuri arian ukuSevsebis masalis xarisxis mimarT da xasiaTdebian mcire dajdomebis atanis unariT. amasTan, rogorc gamoTvlebidan Cans, proeqtis teritoriaze gavrcelebul gruntebSi asagebi kedlebi H=8.0 metramde simaRleebisaa, xolo maTi fasaduri zedapirebi vertikaluria, ris gamoc sasurvelia maT ZirebSi wminda xreSovani/qviani (H=0.50 sisqis) sagebis mowyoba nagebobebis qveS gavrcelebuli fuZis gruntebis simagris gasazrdelad.</w:t>
      </w:r>
    </w:p>
    <w:p w14:paraId="634F1873" w14:textId="77777777" w:rsidR="00EA3205" w:rsidRPr="00B05F62" w:rsidRDefault="00EA3205" w:rsidP="00EA3205">
      <w:pPr>
        <w:rPr>
          <w:rFonts w:ascii="AcadNusx" w:hAnsi="AcadNusx"/>
        </w:rPr>
      </w:pPr>
    </w:p>
    <w:p w14:paraId="6C69D5DB" w14:textId="54407985" w:rsidR="00EA3205" w:rsidRPr="00ED417F" w:rsidRDefault="00EA3205" w:rsidP="00ED417F">
      <w:pPr>
        <w:pStyle w:val="Heading3"/>
        <w:rPr>
          <w:rFonts w:ascii="AcadNusx" w:hAnsi="AcadNusx"/>
        </w:rPr>
      </w:pPr>
      <w:bookmarkStart w:id="158" w:name="_Toc1581532"/>
      <w:r w:rsidRPr="00ED417F">
        <w:rPr>
          <w:rFonts w:ascii="AcadNusx" w:hAnsi="AcadNusx"/>
        </w:rPr>
        <w:t>4.</w:t>
      </w:r>
      <w:r w:rsidR="00ED417F">
        <w:rPr>
          <w:rFonts w:ascii="AcadNusx" w:hAnsi="AcadNusx"/>
        </w:rPr>
        <w:t>1</w:t>
      </w:r>
      <w:r w:rsidR="006B0240">
        <w:rPr>
          <w:rFonts w:ascii="Sylfaen" w:hAnsi="Sylfaen"/>
          <w:lang w:val="ka-GE"/>
        </w:rPr>
        <w:t>3</w:t>
      </w:r>
      <w:r w:rsidRPr="00ED417F">
        <w:rPr>
          <w:rFonts w:ascii="AcadNusx" w:hAnsi="AcadNusx"/>
        </w:rPr>
        <w:t xml:space="preserve">.4 </w:t>
      </w:r>
      <w:r w:rsidR="006B0240">
        <w:rPr>
          <w:rFonts w:ascii="Sylfaen" w:hAnsi="Sylfaen"/>
          <w:lang w:val="ka-GE"/>
        </w:rPr>
        <w:t>გამოთვლების შედეგები და მიგნებები</w:t>
      </w:r>
      <w:bookmarkEnd w:id="158"/>
    </w:p>
    <w:p w14:paraId="333E29D8" w14:textId="77777777" w:rsidR="00EA3205" w:rsidRPr="00B05F62" w:rsidRDefault="00EA3205" w:rsidP="00EA3205">
      <w:pPr>
        <w:rPr>
          <w:rFonts w:ascii="AcadNusx" w:hAnsi="AcadNusx"/>
        </w:rPr>
      </w:pPr>
    </w:p>
    <w:p w14:paraId="72D823E6" w14:textId="77777777" w:rsidR="00EA3205" w:rsidRPr="00B05F62" w:rsidRDefault="00EA3205" w:rsidP="006B0240">
      <w:pPr>
        <w:spacing w:before="120" w:after="120"/>
        <w:rPr>
          <w:rFonts w:ascii="AcadNusx" w:hAnsi="AcadNusx"/>
        </w:rPr>
      </w:pPr>
      <w:r w:rsidRPr="00B05F62">
        <w:rPr>
          <w:rFonts w:ascii="AcadNusx" w:hAnsi="AcadNusx"/>
        </w:rPr>
        <w:t>meqanikurad stabilizirebuli gruntis kedlebi rkinabetonis paneluri blokebis fasadebiT</w:t>
      </w:r>
    </w:p>
    <w:p w14:paraId="604C496E" w14:textId="77777777" w:rsidR="00EA3205" w:rsidRPr="00B05F62" w:rsidRDefault="00EA3205" w:rsidP="006B0240">
      <w:pPr>
        <w:spacing w:before="120" w:after="120"/>
        <w:rPr>
          <w:rFonts w:ascii="AcadNusx" w:hAnsi="AcadNusx"/>
        </w:rPr>
      </w:pPr>
      <w:r w:rsidRPr="00B05F62">
        <w:rPr>
          <w:rFonts w:ascii="AcadNusx" w:hAnsi="AcadNusx"/>
        </w:rPr>
        <w:t xml:space="preserve">meqanikurad stabilizirebuli gruntis kedlebi rkinabetonis paneluri blokebis fasadebiT gaangariSda serTificirebuli kompiuteruli programis Geo5 gamoyenebiT. gamoTvlebis Sedegebis Tanaxmad, betonis blokebiT formirebuli kedlis Ziris done, sul cota, 0.75-1.0 metriT unda CaRrmavdes nulovani donidan. kompiuterul programaSi CaSenebulia ramdenime monacemTa baza sxvadasxva tipis armirebis monacemebiT, romelTagan, mocemul SemTxvevaSi, pirveli 6 rigis armirebisTvis da rigebs Soris 0.6 m manZilebze </w:t>
      </w:r>
      <w:r w:rsidRPr="00B05F62">
        <w:rPr>
          <w:rFonts w:ascii="AcadNusx" w:hAnsi="AcadNusx"/>
        </w:rPr>
        <w:lastRenderedPageBreak/>
        <w:t xml:space="preserve">gaTvaliswinebulia kompania Huesker GmbH-is “Fortrac”-is savaWro niSniT warmoebuli geocxaurebi “Fortrac 800/100-30T” (saangariSo simtkice Wimvaze _ 800 kn erT metr siganeze) (an sxva msgavsi specifikaciebis mqone armirebis saSualebebis) gamoyeneba. danarCen 14 armirebul fenaSi SeiZleba gamoyenebul iqnan “Fortrac R 200/30-30” tipis (saangariSo simtkice Wimvaze– 200 kn erT metr siganeze) geocxaurebi. armirebis saSualo kuTri xarji Seadgens 7.3 grZivi metris sigrZis masalas, romelic iSleba ukuSevsebis gruntis yoveli 0.6 m sisqis datkepnil fenaze. </w:t>
      </w:r>
    </w:p>
    <w:p w14:paraId="33C5E173" w14:textId="77777777" w:rsidR="00EA3205" w:rsidRPr="00B05F62" w:rsidRDefault="00EA3205" w:rsidP="00EA3205">
      <w:pPr>
        <w:rPr>
          <w:rFonts w:ascii="AcadNusx" w:hAnsi="AcadNusx"/>
        </w:rPr>
      </w:pPr>
      <w:r w:rsidRPr="00B05F62">
        <w:rPr>
          <w:rFonts w:ascii="AcadNusx" w:hAnsi="AcadNusx"/>
        </w:rPr>
        <w:t>ukuSevsebis masala unda SeirCes saTanado gulmodginebiT da akmayofilebdes momdevno cxrilSi mocemul parametrebs.</w:t>
      </w:r>
    </w:p>
    <w:p w14:paraId="4966BB50" w14:textId="77777777" w:rsidR="00EA3205" w:rsidRPr="00B05F62" w:rsidRDefault="00EA3205" w:rsidP="00EA3205">
      <w:pPr>
        <w:rPr>
          <w:rFonts w:ascii="AcadNusx" w:hAnsi="AcadNusx"/>
        </w:rPr>
      </w:pPr>
    </w:p>
    <w:p w14:paraId="052CD14B" w14:textId="2CB2C575" w:rsidR="00EA3205" w:rsidRPr="00B05F62" w:rsidRDefault="00EA3205" w:rsidP="00EA3205">
      <w:pPr>
        <w:rPr>
          <w:rFonts w:ascii="AcadNusx" w:hAnsi="AcadNusx"/>
        </w:rPr>
      </w:pPr>
      <w:r w:rsidRPr="00B05F62">
        <w:rPr>
          <w:rFonts w:ascii="AcadNusx" w:hAnsi="AcadNusx"/>
        </w:rPr>
        <w:t>cxrili 4.</w:t>
      </w:r>
      <w:r w:rsidR="00ED417F">
        <w:rPr>
          <w:rFonts w:ascii="AcadNusx" w:hAnsi="AcadNusx"/>
        </w:rPr>
        <w:t>1</w:t>
      </w:r>
      <w:r w:rsidR="006B0240">
        <w:rPr>
          <w:rFonts w:ascii="Sylfaen" w:hAnsi="Sylfaen"/>
          <w:lang w:val="ka-GE"/>
        </w:rPr>
        <w:t>3</w:t>
      </w:r>
      <w:r w:rsidR="00ED417F">
        <w:rPr>
          <w:rFonts w:ascii="AcadNusx" w:hAnsi="AcadNusx"/>
        </w:rPr>
        <w:t>.4.-1</w:t>
      </w:r>
      <w:r w:rsidRPr="00B05F62">
        <w:rPr>
          <w:rFonts w:ascii="AcadNusx" w:hAnsi="AcadNusx"/>
        </w:rPr>
        <w:t>.</w:t>
      </w:r>
      <w:r w:rsidRPr="00B05F62">
        <w:rPr>
          <w:rFonts w:ascii="AcadNusx" w:hAnsi="AcadNusx"/>
        </w:rPr>
        <w:tab/>
        <w:t>ukuSevsebis masalis specifikacia</w:t>
      </w:r>
    </w:p>
    <w:tbl>
      <w:tblPr>
        <w:tblW w:w="0" w:type="auto"/>
        <w:tblInd w:w="108" w:type="dxa"/>
        <w:tblLook w:val="04A0" w:firstRow="1" w:lastRow="0" w:firstColumn="1" w:lastColumn="0" w:noHBand="0" w:noVBand="1"/>
      </w:tblPr>
      <w:tblGrid>
        <w:gridCol w:w="4027"/>
        <w:gridCol w:w="2880"/>
        <w:gridCol w:w="3150"/>
      </w:tblGrid>
      <w:tr w:rsidR="00EA3205" w:rsidRPr="00B05F62" w14:paraId="2FDE89A4" w14:textId="77777777" w:rsidTr="006B0240">
        <w:tc>
          <w:tcPr>
            <w:tcW w:w="4027" w:type="dxa"/>
            <w:vMerge w:val="restart"/>
            <w:tcBorders>
              <w:top w:val="single" w:sz="4" w:space="0" w:color="auto"/>
              <w:left w:val="single" w:sz="4" w:space="0" w:color="auto"/>
              <w:bottom w:val="single" w:sz="4" w:space="0" w:color="auto"/>
              <w:right w:val="single" w:sz="4" w:space="0" w:color="auto"/>
            </w:tcBorders>
            <w:vAlign w:val="center"/>
          </w:tcPr>
          <w:p w14:paraId="2365ECEF" w14:textId="77777777" w:rsidR="00EA3205" w:rsidRPr="00B05F62" w:rsidRDefault="00EA3205" w:rsidP="00EA3205">
            <w:pPr>
              <w:rPr>
                <w:rFonts w:ascii="AcadNusx" w:hAnsi="AcadNusx"/>
              </w:rPr>
            </w:pPr>
            <w:r w:rsidRPr="00B05F62">
              <w:rPr>
                <w:rFonts w:ascii="AcadNusx" w:hAnsi="AcadNusx"/>
              </w:rPr>
              <w:t>sacerSi gasuli masalis fraqciuli zomebi</w:t>
            </w:r>
          </w:p>
          <w:p w14:paraId="183F59A1" w14:textId="77777777" w:rsidR="00EA3205" w:rsidRPr="00B05F62" w:rsidRDefault="00EA3205" w:rsidP="00EA3205">
            <w:pPr>
              <w:rPr>
                <w:rFonts w:ascii="AcadNusx" w:hAnsi="AcadNusx"/>
              </w:rPr>
            </w:pPr>
          </w:p>
        </w:tc>
        <w:tc>
          <w:tcPr>
            <w:tcW w:w="2880" w:type="dxa"/>
            <w:tcBorders>
              <w:top w:val="single" w:sz="4" w:space="0" w:color="auto"/>
              <w:left w:val="single" w:sz="4" w:space="0" w:color="auto"/>
              <w:bottom w:val="single" w:sz="4" w:space="0" w:color="auto"/>
              <w:right w:val="single" w:sz="4" w:space="0" w:color="auto"/>
            </w:tcBorders>
            <w:hideMark/>
          </w:tcPr>
          <w:p w14:paraId="515E2FEE" w14:textId="77777777" w:rsidR="00EA3205" w:rsidRPr="00B05F62" w:rsidRDefault="00EA3205" w:rsidP="00EA3205">
            <w:pPr>
              <w:rPr>
                <w:rFonts w:ascii="AcadNusx" w:hAnsi="AcadNusx"/>
              </w:rPr>
            </w:pPr>
            <w:r w:rsidRPr="00B05F62">
              <w:rPr>
                <w:rFonts w:ascii="AcadNusx" w:hAnsi="AcadNusx"/>
              </w:rPr>
              <w:t>saceris ujredis zoma</w:t>
            </w:r>
          </w:p>
        </w:tc>
        <w:tc>
          <w:tcPr>
            <w:tcW w:w="3150" w:type="dxa"/>
            <w:tcBorders>
              <w:top w:val="single" w:sz="4" w:space="0" w:color="auto"/>
              <w:left w:val="single" w:sz="4" w:space="0" w:color="auto"/>
              <w:bottom w:val="single" w:sz="4" w:space="0" w:color="auto"/>
              <w:right w:val="single" w:sz="4" w:space="0" w:color="auto"/>
            </w:tcBorders>
            <w:hideMark/>
          </w:tcPr>
          <w:p w14:paraId="2561B160" w14:textId="77777777" w:rsidR="00EA3205" w:rsidRPr="00B05F62" w:rsidRDefault="00EA3205" w:rsidP="00EA3205">
            <w:pPr>
              <w:rPr>
                <w:rFonts w:ascii="AcadNusx" w:hAnsi="AcadNusx"/>
              </w:rPr>
            </w:pPr>
            <w:r w:rsidRPr="00B05F62">
              <w:rPr>
                <w:rFonts w:ascii="AcadNusx" w:hAnsi="AcadNusx"/>
              </w:rPr>
              <w:t>gasuli masalis procentuli wili</w:t>
            </w:r>
          </w:p>
        </w:tc>
      </w:tr>
      <w:tr w:rsidR="00EA3205" w:rsidRPr="00B05F62" w14:paraId="722A86BA" w14:textId="77777777" w:rsidTr="006B0240">
        <w:tc>
          <w:tcPr>
            <w:tcW w:w="4027" w:type="dxa"/>
            <w:vMerge/>
            <w:tcBorders>
              <w:top w:val="single" w:sz="4" w:space="0" w:color="auto"/>
              <w:left w:val="single" w:sz="4" w:space="0" w:color="auto"/>
              <w:bottom w:val="single" w:sz="4" w:space="0" w:color="auto"/>
              <w:right w:val="single" w:sz="4" w:space="0" w:color="auto"/>
            </w:tcBorders>
            <w:vAlign w:val="center"/>
            <w:hideMark/>
          </w:tcPr>
          <w:p w14:paraId="07532349" w14:textId="77777777" w:rsidR="00EA3205" w:rsidRPr="00B05F62" w:rsidRDefault="00EA3205" w:rsidP="00EA3205">
            <w:pPr>
              <w:rPr>
                <w:rFonts w:ascii="AcadNusx" w:hAnsi="AcadNusx"/>
              </w:rPr>
            </w:pPr>
          </w:p>
        </w:tc>
        <w:tc>
          <w:tcPr>
            <w:tcW w:w="2880" w:type="dxa"/>
            <w:tcBorders>
              <w:top w:val="single" w:sz="4" w:space="0" w:color="auto"/>
              <w:left w:val="single" w:sz="4" w:space="0" w:color="auto"/>
              <w:bottom w:val="single" w:sz="4" w:space="0" w:color="auto"/>
              <w:right w:val="single" w:sz="4" w:space="0" w:color="auto"/>
            </w:tcBorders>
            <w:hideMark/>
          </w:tcPr>
          <w:p w14:paraId="1B7D5EAB" w14:textId="77777777" w:rsidR="00EA3205" w:rsidRPr="00B05F62" w:rsidRDefault="00EA3205" w:rsidP="00EA3205">
            <w:pPr>
              <w:rPr>
                <w:rFonts w:ascii="AcadNusx" w:hAnsi="AcadNusx"/>
              </w:rPr>
            </w:pPr>
            <w:r w:rsidRPr="00B05F62">
              <w:rPr>
                <w:rFonts w:ascii="AcadNusx" w:hAnsi="AcadNusx"/>
              </w:rPr>
              <w:t>100 mm</w:t>
            </w:r>
          </w:p>
        </w:tc>
        <w:tc>
          <w:tcPr>
            <w:tcW w:w="3150" w:type="dxa"/>
            <w:tcBorders>
              <w:top w:val="single" w:sz="4" w:space="0" w:color="auto"/>
              <w:left w:val="single" w:sz="4" w:space="0" w:color="auto"/>
              <w:bottom w:val="single" w:sz="4" w:space="0" w:color="auto"/>
              <w:right w:val="single" w:sz="4" w:space="0" w:color="auto"/>
            </w:tcBorders>
            <w:hideMark/>
          </w:tcPr>
          <w:p w14:paraId="33A593F9" w14:textId="77777777" w:rsidR="00EA3205" w:rsidRPr="00B05F62" w:rsidRDefault="00EA3205" w:rsidP="00EA3205">
            <w:pPr>
              <w:rPr>
                <w:rFonts w:ascii="AcadNusx" w:hAnsi="AcadNusx"/>
              </w:rPr>
            </w:pPr>
            <w:r w:rsidRPr="00B05F62">
              <w:rPr>
                <w:rFonts w:ascii="AcadNusx" w:hAnsi="AcadNusx"/>
              </w:rPr>
              <w:t>100</w:t>
            </w:r>
          </w:p>
        </w:tc>
      </w:tr>
      <w:tr w:rsidR="00EA3205" w:rsidRPr="00B05F62" w14:paraId="2CBA4C9C" w14:textId="77777777" w:rsidTr="006B0240">
        <w:tc>
          <w:tcPr>
            <w:tcW w:w="4027" w:type="dxa"/>
            <w:vMerge/>
            <w:tcBorders>
              <w:top w:val="single" w:sz="4" w:space="0" w:color="auto"/>
              <w:left w:val="single" w:sz="4" w:space="0" w:color="auto"/>
              <w:bottom w:val="single" w:sz="4" w:space="0" w:color="auto"/>
              <w:right w:val="single" w:sz="4" w:space="0" w:color="auto"/>
            </w:tcBorders>
            <w:vAlign w:val="center"/>
            <w:hideMark/>
          </w:tcPr>
          <w:p w14:paraId="647F9484" w14:textId="77777777" w:rsidR="00EA3205" w:rsidRPr="00B05F62" w:rsidRDefault="00EA3205" w:rsidP="00EA3205">
            <w:pPr>
              <w:rPr>
                <w:rFonts w:ascii="AcadNusx" w:hAnsi="AcadNusx"/>
              </w:rPr>
            </w:pPr>
          </w:p>
        </w:tc>
        <w:tc>
          <w:tcPr>
            <w:tcW w:w="2880" w:type="dxa"/>
            <w:tcBorders>
              <w:top w:val="single" w:sz="4" w:space="0" w:color="auto"/>
              <w:left w:val="single" w:sz="4" w:space="0" w:color="auto"/>
              <w:bottom w:val="single" w:sz="4" w:space="0" w:color="auto"/>
              <w:right w:val="single" w:sz="4" w:space="0" w:color="auto"/>
            </w:tcBorders>
            <w:hideMark/>
          </w:tcPr>
          <w:p w14:paraId="0D716B0A" w14:textId="77777777" w:rsidR="00EA3205" w:rsidRPr="00B05F62" w:rsidRDefault="00EA3205" w:rsidP="00EA3205">
            <w:pPr>
              <w:rPr>
                <w:rFonts w:ascii="AcadNusx" w:hAnsi="AcadNusx"/>
              </w:rPr>
            </w:pPr>
            <w:r w:rsidRPr="00B05F62">
              <w:rPr>
                <w:rFonts w:ascii="AcadNusx" w:hAnsi="AcadNusx"/>
              </w:rPr>
              <w:t>0.425 mm</w:t>
            </w:r>
          </w:p>
        </w:tc>
        <w:tc>
          <w:tcPr>
            <w:tcW w:w="3150" w:type="dxa"/>
            <w:tcBorders>
              <w:top w:val="single" w:sz="4" w:space="0" w:color="auto"/>
              <w:left w:val="single" w:sz="4" w:space="0" w:color="auto"/>
              <w:bottom w:val="single" w:sz="4" w:space="0" w:color="auto"/>
              <w:right w:val="single" w:sz="4" w:space="0" w:color="auto"/>
            </w:tcBorders>
            <w:hideMark/>
          </w:tcPr>
          <w:p w14:paraId="5324255D" w14:textId="77777777" w:rsidR="00EA3205" w:rsidRPr="00B05F62" w:rsidRDefault="00EA3205" w:rsidP="00EA3205">
            <w:pPr>
              <w:rPr>
                <w:rFonts w:ascii="AcadNusx" w:hAnsi="AcadNusx"/>
              </w:rPr>
            </w:pPr>
            <w:r w:rsidRPr="00B05F62">
              <w:rPr>
                <w:rFonts w:ascii="AcadNusx" w:hAnsi="AcadNusx"/>
              </w:rPr>
              <w:t>0-60</w:t>
            </w:r>
          </w:p>
        </w:tc>
      </w:tr>
      <w:tr w:rsidR="00EA3205" w:rsidRPr="00B05F62" w14:paraId="6CBE8AE2" w14:textId="77777777" w:rsidTr="006B0240">
        <w:tc>
          <w:tcPr>
            <w:tcW w:w="4027" w:type="dxa"/>
            <w:vMerge/>
            <w:tcBorders>
              <w:top w:val="single" w:sz="4" w:space="0" w:color="auto"/>
              <w:left w:val="single" w:sz="4" w:space="0" w:color="auto"/>
              <w:bottom w:val="single" w:sz="4" w:space="0" w:color="auto"/>
              <w:right w:val="single" w:sz="4" w:space="0" w:color="auto"/>
            </w:tcBorders>
            <w:vAlign w:val="center"/>
            <w:hideMark/>
          </w:tcPr>
          <w:p w14:paraId="0219BEC3" w14:textId="77777777" w:rsidR="00EA3205" w:rsidRPr="00B05F62" w:rsidRDefault="00EA3205" w:rsidP="00EA3205">
            <w:pPr>
              <w:rPr>
                <w:rFonts w:ascii="AcadNusx" w:hAnsi="AcadNusx"/>
              </w:rPr>
            </w:pPr>
          </w:p>
        </w:tc>
        <w:tc>
          <w:tcPr>
            <w:tcW w:w="2880" w:type="dxa"/>
            <w:tcBorders>
              <w:top w:val="single" w:sz="4" w:space="0" w:color="auto"/>
              <w:left w:val="single" w:sz="4" w:space="0" w:color="auto"/>
              <w:bottom w:val="single" w:sz="4" w:space="0" w:color="auto"/>
              <w:right w:val="single" w:sz="4" w:space="0" w:color="auto"/>
            </w:tcBorders>
            <w:hideMark/>
          </w:tcPr>
          <w:p w14:paraId="30B7FA42" w14:textId="77777777" w:rsidR="00EA3205" w:rsidRPr="00B05F62" w:rsidRDefault="00EA3205" w:rsidP="00EA3205">
            <w:pPr>
              <w:rPr>
                <w:rFonts w:ascii="AcadNusx" w:hAnsi="AcadNusx"/>
              </w:rPr>
            </w:pPr>
            <w:r w:rsidRPr="00B05F62">
              <w:rPr>
                <w:rFonts w:ascii="AcadNusx" w:hAnsi="AcadNusx"/>
              </w:rPr>
              <w:t>0.063 mm</w:t>
            </w:r>
          </w:p>
        </w:tc>
        <w:tc>
          <w:tcPr>
            <w:tcW w:w="3150" w:type="dxa"/>
            <w:tcBorders>
              <w:top w:val="single" w:sz="4" w:space="0" w:color="auto"/>
              <w:left w:val="single" w:sz="4" w:space="0" w:color="auto"/>
              <w:bottom w:val="single" w:sz="4" w:space="0" w:color="auto"/>
              <w:right w:val="single" w:sz="4" w:space="0" w:color="auto"/>
            </w:tcBorders>
            <w:hideMark/>
          </w:tcPr>
          <w:p w14:paraId="1D089165" w14:textId="77777777" w:rsidR="00EA3205" w:rsidRPr="00B05F62" w:rsidRDefault="00EA3205" w:rsidP="00EA3205">
            <w:pPr>
              <w:rPr>
                <w:rFonts w:ascii="AcadNusx" w:hAnsi="AcadNusx"/>
              </w:rPr>
            </w:pPr>
            <w:r w:rsidRPr="00B05F62">
              <w:rPr>
                <w:rFonts w:ascii="AcadNusx" w:hAnsi="AcadNusx"/>
              </w:rPr>
              <w:t>0-15</w:t>
            </w:r>
          </w:p>
        </w:tc>
      </w:tr>
      <w:tr w:rsidR="00EA3205" w:rsidRPr="00B05F62" w14:paraId="40878832" w14:textId="77777777" w:rsidTr="006B0240">
        <w:tc>
          <w:tcPr>
            <w:tcW w:w="4027" w:type="dxa"/>
            <w:tcBorders>
              <w:top w:val="single" w:sz="4" w:space="0" w:color="auto"/>
              <w:left w:val="single" w:sz="4" w:space="0" w:color="auto"/>
              <w:bottom w:val="single" w:sz="4" w:space="0" w:color="auto"/>
              <w:right w:val="single" w:sz="4" w:space="0" w:color="auto"/>
            </w:tcBorders>
            <w:vAlign w:val="center"/>
            <w:hideMark/>
          </w:tcPr>
          <w:p w14:paraId="64E2ECF8" w14:textId="77777777" w:rsidR="00EA3205" w:rsidRPr="00B05F62" w:rsidRDefault="00EA3205" w:rsidP="00EA3205">
            <w:pPr>
              <w:rPr>
                <w:rFonts w:ascii="AcadNusx" w:hAnsi="AcadNusx"/>
              </w:rPr>
            </w:pPr>
            <w:r w:rsidRPr="00B05F62">
              <w:rPr>
                <w:rFonts w:ascii="AcadNusx" w:hAnsi="AcadNusx"/>
              </w:rPr>
              <w:t>plastikurobis ricxvi, PI</w:t>
            </w:r>
          </w:p>
        </w:tc>
        <w:tc>
          <w:tcPr>
            <w:tcW w:w="6030" w:type="dxa"/>
            <w:gridSpan w:val="2"/>
            <w:tcBorders>
              <w:top w:val="single" w:sz="4" w:space="0" w:color="auto"/>
              <w:left w:val="single" w:sz="4" w:space="0" w:color="auto"/>
              <w:bottom w:val="single" w:sz="4" w:space="0" w:color="auto"/>
              <w:right w:val="single" w:sz="4" w:space="0" w:color="auto"/>
            </w:tcBorders>
            <w:vAlign w:val="center"/>
            <w:hideMark/>
          </w:tcPr>
          <w:p w14:paraId="70A9E372" w14:textId="77777777" w:rsidR="00EA3205" w:rsidRPr="00B05F62" w:rsidRDefault="00EA3205" w:rsidP="00EA3205">
            <w:pPr>
              <w:rPr>
                <w:rFonts w:ascii="AcadNusx" w:hAnsi="AcadNusx"/>
              </w:rPr>
            </w:pPr>
            <w:r w:rsidRPr="00B05F62">
              <w:rPr>
                <w:rFonts w:ascii="AcadNusx" w:hAnsi="AcadNusx"/>
              </w:rPr>
              <w:t>PI ≤6</w:t>
            </w:r>
          </w:p>
        </w:tc>
      </w:tr>
    </w:tbl>
    <w:p w14:paraId="2A80C2B4" w14:textId="77777777" w:rsidR="00EA3205" w:rsidRPr="00B05F62" w:rsidRDefault="00EA3205" w:rsidP="00EA3205">
      <w:pPr>
        <w:rPr>
          <w:rFonts w:ascii="AcadNusx" w:hAnsi="AcadNusx"/>
        </w:rPr>
      </w:pPr>
    </w:p>
    <w:p w14:paraId="28BA3362" w14:textId="77777777" w:rsidR="00EA3205" w:rsidRPr="00B05F62" w:rsidRDefault="00EA3205" w:rsidP="00ED417F">
      <w:pPr>
        <w:spacing w:before="120" w:after="120"/>
        <w:rPr>
          <w:rFonts w:ascii="AcadNusx" w:hAnsi="AcadNusx"/>
        </w:rPr>
      </w:pPr>
      <w:r w:rsidRPr="00B05F62">
        <w:rPr>
          <w:rFonts w:ascii="AcadNusx" w:hAnsi="AcadNusx"/>
        </w:rPr>
        <w:t xml:space="preserve">fasaduri panelur-blokuri saZirkveli moewyoba namzadi rkinabetonis blokebiT (betonis klasi </w:t>
      </w:r>
      <w:r w:rsidRPr="00ED417F">
        <w:rPr>
          <w:rFonts w:ascii="Sylfaen" w:hAnsi="Sylfaen"/>
        </w:rPr>
        <w:t>C</w:t>
      </w:r>
      <w:r w:rsidRPr="00B05F62">
        <w:rPr>
          <w:rFonts w:ascii="AcadNusx" w:hAnsi="AcadNusx"/>
        </w:rPr>
        <w:t xml:space="preserve"> 30/37), zomebiT (sigrZe, sigane, simaRle) 1.0m × 1.0m × 0.4m.</w:t>
      </w:r>
    </w:p>
    <w:p w14:paraId="04400AEC" w14:textId="77777777" w:rsidR="00EA3205" w:rsidRPr="00B05F62" w:rsidRDefault="00EA3205" w:rsidP="00ED417F">
      <w:pPr>
        <w:spacing w:before="120" w:after="120"/>
        <w:rPr>
          <w:rFonts w:ascii="AcadNusx" w:hAnsi="AcadNusx"/>
        </w:rPr>
      </w:pPr>
      <w:r w:rsidRPr="00B05F62">
        <w:rPr>
          <w:rFonts w:ascii="AcadNusx" w:hAnsi="AcadNusx"/>
        </w:rPr>
        <w:t>saerTo mdgradobis pirobebi Semowmda biSopis meTodiT. miRebuli maragis koeficienti Seadgens 1.75-s, rac metia 1.5-ze rogorc es standartiT moiTxoveba.</w:t>
      </w:r>
    </w:p>
    <w:p w14:paraId="339DDA90" w14:textId="77777777" w:rsidR="00EA3205" w:rsidRPr="00B05F62" w:rsidRDefault="00EA3205" w:rsidP="00ED417F">
      <w:pPr>
        <w:spacing w:before="120" w:after="120"/>
        <w:rPr>
          <w:rFonts w:ascii="AcadNusx" w:hAnsi="AcadNusx"/>
        </w:rPr>
      </w:pPr>
      <w:r w:rsidRPr="00B05F62">
        <w:rPr>
          <w:rFonts w:ascii="AcadNusx" w:hAnsi="AcadNusx"/>
        </w:rPr>
        <w:t>“terameSis” sistemis meqanikurad stabilizirebuli gruntis kedlebi</w:t>
      </w:r>
    </w:p>
    <w:p w14:paraId="49748DB8" w14:textId="292282DA" w:rsidR="00EA3205" w:rsidRPr="00B05F62" w:rsidRDefault="00EA3205" w:rsidP="00ED417F">
      <w:pPr>
        <w:spacing w:before="120" w:after="120"/>
        <w:rPr>
          <w:rFonts w:ascii="AcadNusx" w:hAnsi="AcadNusx"/>
        </w:rPr>
      </w:pPr>
      <w:r w:rsidRPr="00B05F62">
        <w:rPr>
          <w:rFonts w:ascii="AcadNusx" w:hAnsi="AcadNusx"/>
        </w:rPr>
        <w:t xml:space="preserve">“terameSis” sistemis kedlebi gaangariSda specialuri kompiuteruli programis MacStars-2000 (“makaferis” savaWro niSani) gamoyenebiT. gamoTvlebis Sedegebis Tanaxmad, kedlis saZirkveli 0.6 metriT (minimum H=0.5 metriT) unda CaRrmavdes nulovani donidan. amasTan, meqanikurad stabilizirebuli gruntis qveS unda moewyos xreSis safuZveli, romelzec daewyoba “terameSis” elementebis pirveli rigi. ukuSevsebis masalas unda gaaCndes gzis centraluri RerZis (CL-100) gaswvriv aSenebuli miwayrilis masalis msgavsi Semadgenloba/parametrebi. “terameSis” sistemis kedlebi gamoyenebuli iqnebian mTavari gzis miwayrilis Sesakaveblad gzis qveda gasasvlelebis mosawyobi xidebis Riobebis garSemo. </w:t>
      </w:r>
    </w:p>
    <w:p w14:paraId="65B06E47" w14:textId="77777777" w:rsidR="00EA3205" w:rsidRPr="00B05F62" w:rsidRDefault="00EA3205" w:rsidP="00ED417F">
      <w:pPr>
        <w:spacing w:before="120" w:after="120"/>
        <w:rPr>
          <w:rFonts w:ascii="AcadNusx" w:hAnsi="AcadNusx"/>
        </w:rPr>
      </w:pPr>
      <w:r w:rsidRPr="00B05F62">
        <w:rPr>
          <w:rFonts w:ascii="AcadNusx" w:hAnsi="AcadNusx"/>
        </w:rPr>
        <w:t>saerTo mdgradobis pirobebi Semowmda biSopis meTodiT. miRebuli maragis koeficienti Seadgens 1.53-s, rac metia 1.5-ze rogorc es moiTxoveba standartiT.</w:t>
      </w:r>
    </w:p>
    <w:p w14:paraId="1C3105EB" w14:textId="32D5D158" w:rsidR="00EA3205" w:rsidRPr="00ED417F" w:rsidRDefault="006B0240" w:rsidP="006B0240">
      <w:pPr>
        <w:pStyle w:val="Heading3"/>
        <w:spacing w:before="120" w:after="120"/>
        <w:rPr>
          <w:rFonts w:ascii="AcadNusx" w:hAnsi="AcadNusx"/>
        </w:rPr>
      </w:pPr>
      <w:bookmarkStart w:id="159" w:name="_Toc1581533"/>
      <w:r>
        <w:rPr>
          <w:rFonts w:ascii="AcadNusx" w:hAnsi="AcadNusx"/>
        </w:rPr>
        <w:t>4.13</w:t>
      </w:r>
      <w:r w:rsidR="00EA3205" w:rsidRPr="00ED417F">
        <w:rPr>
          <w:rFonts w:ascii="AcadNusx" w:hAnsi="AcadNusx"/>
        </w:rPr>
        <w:t xml:space="preserve">.5 </w:t>
      </w:r>
      <w:r w:rsidR="00EA3205" w:rsidRPr="00ED417F">
        <w:rPr>
          <w:rFonts w:ascii="AcadNusx" w:hAnsi="AcadNusx"/>
        </w:rPr>
        <w:tab/>
      </w:r>
      <w:r>
        <w:rPr>
          <w:rFonts w:ascii="Sylfaen" w:hAnsi="Sylfaen"/>
          <w:lang w:val="ka-GE"/>
        </w:rPr>
        <w:t>მექანიკურად სტაბილიზირებული გრუნტის კედლების მშენებლობა</w:t>
      </w:r>
      <w:bookmarkEnd w:id="159"/>
    </w:p>
    <w:p w14:paraId="2AA115EA" w14:textId="397B7299" w:rsidR="00EA3205" w:rsidRPr="00B05F62" w:rsidRDefault="00EA3205" w:rsidP="00EA3205">
      <w:pPr>
        <w:rPr>
          <w:rFonts w:ascii="AcadNusx" w:hAnsi="AcadNusx"/>
        </w:rPr>
      </w:pPr>
      <w:r w:rsidRPr="00B05F62">
        <w:rPr>
          <w:rFonts w:ascii="AcadNusx" w:hAnsi="AcadNusx"/>
        </w:rPr>
        <w:t xml:space="preserve">iseve rogorc yvela sxva nagebobas, meqanikurad stabilizirebuli gruntis kedlebic saimedo saZirkvelidan unda aigon. samSeneblo moednis sworad momzadeba zrdis kedlis gamarTulad funqcionirebis potencials. nagebobis saZirkvels qmnis saTanadod moSandakebuli nulovani donis zedapiri, romlis sigane ar unda iyos naklebi armirebuli gruntis nagebobis siganeze. </w:t>
      </w:r>
    </w:p>
    <w:p w14:paraId="00D27705" w14:textId="3657A975" w:rsidR="00EA3205" w:rsidRPr="00B05F62" w:rsidRDefault="00EA3205" w:rsidP="00EA3205">
      <w:pPr>
        <w:rPr>
          <w:rFonts w:ascii="AcadNusx" w:hAnsi="AcadNusx"/>
        </w:rPr>
      </w:pPr>
    </w:p>
    <w:p w14:paraId="252CB975" w14:textId="4331A015" w:rsidR="00EA3205" w:rsidRPr="00B05F62" w:rsidRDefault="00EA3205" w:rsidP="00EA3205">
      <w:pPr>
        <w:rPr>
          <w:rFonts w:ascii="AcadNusx" w:hAnsi="AcadNusx"/>
        </w:rPr>
      </w:pPr>
      <w:r w:rsidRPr="00B05F62">
        <w:rPr>
          <w:rFonts w:ascii="AcadNusx" w:hAnsi="AcadNusx"/>
        </w:rPr>
        <w:t>miwayrilis SuaSi ukuSevsebis masala unda daitkepnos mZime doluri satkepneliT, xolo miwayrilis napirebTan, kedlis fasadis dazianebis Tavidan asacileblad, upiratesoba unda mieniWos mcire zomis vibratorebs an xelis mowyobilobas.</w:t>
      </w:r>
    </w:p>
    <w:p w14:paraId="3FD391A6" w14:textId="4FE82D13" w:rsidR="00EA3205" w:rsidRPr="00B05F62" w:rsidRDefault="006B0240" w:rsidP="00EA3205">
      <w:pPr>
        <w:rPr>
          <w:rFonts w:ascii="AcadNusx" w:hAnsi="AcadNusx"/>
        </w:rPr>
      </w:pPr>
      <w:r w:rsidRPr="00B05F62">
        <w:rPr>
          <w:rFonts w:ascii="AcadNusx" w:hAnsi="AcadNusx"/>
          <w:noProof/>
          <w:lang w:val="en-US" w:eastAsia="en-US"/>
        </w:rPr>
        <w:lastRenderedPageBreak/>
        <w:drawing>
          <wp:anchor distT="0" distB="0" distL="114300" distR="114300" simplePos="0" relativeHeight="251683840" behindDoc="0" locked="0" layoutInCell="1" allowOverlap="1" wp14:anchorId="23DCE2F4" wp14:editId="683858F2">
            <wp:simplePos x="0" y="0"/>
            <wp:positionH relativeFrom="column">
              <wp:posOffset>3487420</wp:posOffset>
            </wp:positionH>
            <wp:positionV relativeFrom="paragraph">
              <wp:posOffset>15240</wp:posOffset>
            </wp:positionV>
            <wp:extent cx="2828290" cy="2082165"/>
            <wp:effectExtent l="0" t="0" r="0" b="0"/>
            <wp:wrapSquare wrapText="bothSides"/>
            <wp:docPr id="243" name="Picture 243" descr="https://media3.picsearch.com/is?J03Yd_YjiqocIo_ex5P_vlOiNAb_mtcPuYjDJ83-LTA&amp;height=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descr="https://media3.picsearch.com/is?J03Yd_YjiqocIo_ex5P_vlOiNAb_mtcPuYjDJ83-LTA&amp;height=213"/>
                    <pic:cNvPicPr>
                      <a:picLocks noChangeAspect="1" noChangeArrowheads="1"/>
                    </pic:cNvPicPr>
                  </pic:nvPicPr>
                  <pic:blipFill>
                    <a:blip r:embed="rId116">
                      <a:extLst>
                        <a:ext uri="{28A0092B-C50C-407E-A947-70E740481C1C}">
                          <a14:useLocalDpi xmlns:a14="http://schemas.microsoft.com/office/drawing/2010/main"/>
                        </a:ext>
                      </a:extLst>
                    </a:blip>
                    <a:srcRect/>
                    <a:stretch>
                      <a:fillRect/>
                    </a:stretch>
                  </pic:blipFill>
                  <pic:spPr bwMode="auto">
                    <a:xfrm>
                      <a:off x="0" y="0"/>
                      <a:ext cx="2828290" cy="2082165"/>
                    </a:xfrm>
                    <a:prstGeom prst="rect">
                      <a:avLst/>
                    </a:prstGeom>
                    <a:noFill/>
                  </pic:spPr>
                </pic:pic>
              </a:graphicData>
            </a:graphic>
            <wp14:sizeRelH relativeFrom="page">
              <wp14:pctWidth>0</wp14:pctWidth>
            </wp14:sizeRelH>
            <wp14:sizeRelV relativeFrom="page">
              <wp14:pctHeight>0</wp14:pctHeight>
            </wp14:sizeRelV>
          </wp:anchor>
        </w:drawing>
      </w:r>
    </w:p>
    <w:p w14:paraId="328771F9" w14:textId="0903CFD1" w:rsidR="00EA3205" w:rsidRPr="00B05F62" w:rsidRDefault="00EA3205" w:rsidP="00EA3205">
      <w:pPr>
        <w:rPr>
          <w:rFonts w:ascii="AcadNusx" w:hAnsi="AcadNusx"/>
        </w:rPr>
      </w:pPr>
      <w:r w:rsidRPr="00B05F62">
        <w:rPr>
          <w:rFonts w:ascii="AcadNusx" w:hAnsi="AcadNusx"/>
          <w:noProof/>
          <w:lang w:val="en-US" w:eastAsia="en-US"/>
        </w:rPr>
        <w:drawing>
          <wp:inline distT="0" distB="0" distL="0" distR="0" wp14:anchorId="35FFC911" wp14:editId="6DDDD4E9">
            <wp:extent cx="2924175" cy="2044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pic:cNvPicPr>
                      <a:picLocks noChangeAspect="1" noChangeArrowheads="1"/>
                    </pic:cNvPicPr>
                  </pic:nvPicPr>
                  <pic:blipFill>
                    <a:blip r:embed="rId117" cstate="email">
                      <a:extLst>
                        <a:ext uri="{28A0092B-C50C-407E-A947-70E740481C1C}">
                          <a14:useLocalDpi xmlns:a14="http://schemas.microsoft.com/office/drawing/2010/main"/>
                        </a:ext>
                      </a:extLst>
                    </a:blip>
                    <a:srcRect l="-687" r="-687"/>
                    <a:stretch>
                      <a:fillRect/>
                    </a:stretch>
                  </pic:blipFill>
                  <pic:spPr bwMode="auto">
                    <a:xfrm>
                      <a:off x="0" y="0"/>
                      <a:ext cx="2924175" cy="2044700"/>
                    </a:xfrm>
                    <a:prstGeom prst="rect">
                      <a:avLst/>
                    </a:prstGeom>
                    <a:noFill/>
                    <a:ln>
                      <a:noFill/>
                    </a:ln>
                  </pic:spPr>
                </pic:pic>
              </a:graphicData>
            </a:graphic>
          </wp:inline>
        </w:drawing>
      </w:r>
      <w:r w:rsidRPr="00B05F62">
        <w:rPr>
          <w:rFonts w:ascii="AcadNusx" w:hAnsi="AcadNusx"/>
        </w:rPr>
        <w:tab/>
      </w:r>
    </w:p>
    <w:p w14:paraId="112C2564" w14:textId="7E9C6931" w:rsidR="00EA3205" w:rsidRPr="00B05F62" w:rsidRDefault="00EA3205" w:rsidP="00EA3205">
      <w:pPr>
        <w:rPr>
          <w:rFonts w:ascii="AcadNusx" w:hAnsi="AcadNusx"/>
        </w:rPr>
      </w:pPr>
      <w:r w:rsidRPr="00B05F62">
        <w:rPr>
          <w:rFonts w:ascii="AcadNusx" w:hAnsi="AcadNusx"/>
        </w:rPr>
        <w:t>suraTi 4.</w:t>
      </w:r>
      <w:r w:rsidR="00ED417F">
        <w:rPr>
          <w:rFonts w:ascii="AcadNusx" w:hAnsi="AcadNusx"/>
        </w:rPr>
        <w:t>1</w:t>
      </w:r>
      <w:r w:rsidR="006B0240">
        <w:rPr>
          <w:rFonts w:ascii="Sylfaen" w:hAnsi="Sylfaen"/>
          <w:lang w:val="ka-GE"/>
        </w:rPr>
        <w:t>3</w:t>
      </w:r>
      <w:r w:rsidR="00ED417F">
        <w:rPr>
          <w:rFonts w:ascii="AcadNusx" w:hAnsi="AcadNusx"/>
        </w:rPr>
        <w:t>.5-1</w:t>
      </w:r>
      <w:r w:rsidRPr="00B05F62">
        <w:rPr>
          <w:rFonts w:ascii="AcadNusx" w:hAnsi="AcadNusx"/>
        </w:rPr>
        <w:t>. meqanikurad stabilizirebuli gruntis kedlebis ukuSevsebis masalis datkepnis procesi</w:t>
      </w:r>
    </w:p>
    <w:p w14:paraId="65A32F30" w14:textId="77777777" w:rsidR="00EA3205" w:rsidRPr="00B05F62" w:rsidRDefault="00EA3205" w:rsidP="00EA3205">
      <w:pPr>
        <w:rPr>
          <w:rFonts w:ascii="AcadNusx" w:hAnsi="AcadNusx"/>
        </w:rPr>
      </w:pPr>
    </w:p>
    <w:p w14:paraId="405637AD" w14:textId="77777777" w:rsidR="00EA3205" w:rsidRPr="00B05F62" w:rsidRDefault="00EA3205" w:rsidP="00EA3205">
      <w:pPr>
        <w:rPr>
          <w:rFonts w:ascii="AcadNusx" w:hAnsi="AcadNusx"/>
        </w:rPr>
      </w:pPr>
      <w:r w:rsidRPr="00B05F62">
        <w:rPr>
          <w:rFonts w:ascii="AcadNusx" w:hAnsi="AcadNusx"/>
        </w:rPr>
        <w:t xml:space="preserve">sakedle fasaduri panelebis daniSnulebaa gruntis Sekaveba kedlis zedapirTan. tipiurad, panelebi betonisaa, Tumca agreTve SeiZleba damzadebuli iyon metalis, xis, lodebis, badeebis an sxva masalebis gamoyenebiT. frontaluri fasads SeiZleba hqondes sxvadasxva tipis mopirkeTebis, formis, teqsturis da/an sxvagvari damuSavebis Sedegad formirebuli zedapiri. detaluri proeqtirebis etapze, kedlis fasaduri panelebis tipi da agebuleba unda SeTanxmdes gzebis departamentTan. </w:t>
      </w:r>
    </w:p>
    <w:p w14:paraId="46A2CFA0" w14:textId="77777777" w:rsidR="00EA3205" w:rsidRPr="00B05F62" w:rsidRDefault="00EA3205" w:rsidP="00EA3205">
      <w:pPr>
        <w:rPr>
          <w:rFonts w:ascii="AcadNusx" w:hAnsi="AcadNusx"/>
        </w:rPr>
      </w:pPr>
    </w:p>
    <w:p w14:paraId="6F03F68D" w14:textId="77777777" w:rsidR="00EA3205" w:rsidRPr="00B05F62" w:rsidRDefault="00EA3205" w:rsidP="00EA3205">
      <w:pPr>
        <w:rPr>
          <w:rFonts w:ascii="AcadNusx" w:hAnsi="AcadNusx"/>
        </w:rPr>
      </w:pPr>
      <w:r w:rsidRPr="00B05F62">
        <w:rPr>
          <w:rFonts w:ascii="AcadNusx" w:hAnsi="AcadNusx"/>
        </w:rPr>
        <w:t>panelebTan zurgis mxridan mierTebuli armirebis elementebis (“mierTebebis”) raodenoba damokidebulia kedlis simaRleze. Cveulebriv, panelebi yvelaze meti mierTebebiT ganTavsebilia kedlis qveda nawilSi, xolo zeda rigebSi mierTebebis raodenoba naklebia. mniSvnelovania panelebis swor poziciebSi ganTavseba. panelebis pirveli rigis sworad dafiqsireba uaRresad mniSvnelovania yvela sxva panelis sworad ganTavsebisTvis. panelebi dawyobili unda iyon saTanado sisworis, doneebis da daxrilobebis dacviT. aseve Zalzed mniSvnelovania panelebsSorisi RreCoebis dacva, winaaRmdeg SemTxvevaSi panelebis kuTxeebi gaixliCeba da aitkeCeba nagebobis dajdomis Sedegad. am mizniT aucilebelia ganmbjenebis (Suasadebebis) gamoyeneba.</w:t>
      </w:r>
    </w:p>
    <w:p w14:paraId="06167FBB" w14:textId="77777777" w:rsidR="00EA3205" w:rsidRPr="00B05F62" w:rsidRDefault="00EA3205" w:rsidP="00EA3205">
      <w:pPr>
        <w:rPr>
          <w:rFonts w:ascii="AcadNusx" w:hAnsi="AcadNusx"/>
        </w:rPr>
      </w:pPr>
    </w:p>
    <w:p w14:paraId="282EC9D4" w14:textId="77777777" w:rsidR="00EA3205" w:rsidRPr="00B05F62" w:rsidRDefault="00EA3205" w:rsidP="00EA3205">
      <w:pPr>
        <w:rPr>
          <w:rFonts w:ascii="AcadNusx" w:hAnsi="AcadNusx"/>
        </w:rPr>
      </w:pPr>
      <w:r w:rsidRPr="00B05F62">
        <w:rPr>
          <w:rFonts w:ascii="AcadNusx" w:hAnsi="AcadNusx"/>
        </w:rPr>
        <w:t>panelebis ukan unda Caidos filtraciuli tilo, romelic daicavs ukuSevsebis grunts nakerebs Soris eroziisgan da uzrunvelyofs nagebobis efeqtur drenaJs. mniSvnelovania nakerebis Riobebis siganeebis specifikaciiT gansazRvruli sidideebis dacva da filtraciuli tilos sworad ganTavseba. tilos da nakerebis sistemis arasaTanadod ganTavsebis/mowyobis SemTxvevaSi, nagebobis sul ramodenime wlis eqspluataciis Semdegac ki ukuSevsebis masala SeiZleba mniSnelovnad gailios.</w:t>
      </w:r>
    </w:p>
    <w:p w14:paraId="260199E4" w14:textId="77777777" w:rsidR="00EA3205" w:rsidRPr="00B05F62" w:rsidRDefault="00EA3205" w:rsidP="00EA3205">
      <w:pPr>
        <w:rPr>
          <w:rFonts w:ascii="AcadNusx" w:hAnsi="AcadNusx"/>
          <w:lang w:val="en-US" w:bidi="bn-BD"/>
        </w:rPr>
      </w:pPr>
    </w:p>
    <w:p w14:paraId="26798B6F" w14:textId="1B6ACB17" w:rsidR="00EA3205" w:rsidRPr="00ED417F" w:rsidRDefault="00EA3205" w:rsidP="00ED417F">
      <w:pPr>
        <w:pStyle w:val="EIAheading2"/>
        <w:rPr>
          <w:rFonts w:ascii="AcadNusx" w:hAnsi="AcadNusx"/>
        </w:rPr>
      </w:pPr>
      <w:bookmarkStart w:id="160" w:name="_Toc529411835"/>
      <w:bookmarkStart w:id="161" w:name="_Toc1581534"/>
      <w:r w:rsidRPr="00ED417F">
        <w:rPr>
          <w:rFonts w:ascii="AcadNusx" w:hAnsi="AcadNusx"/>
        </w:rPr>
        <w:t>4.1</w:t>
      </w:r>
      <w:r w:rsidR="006B0240">
        <w:rPr>
          <w:rFonts w:ascii="Sylfaen" w:hAnsi="Sylfaen"/>
          <w:lang w:val="ka-GE"/>
        </w:rPr>
        <w:t>4</w:t>
      </w:r>
      <w:r w:rsidRPr="00ED417F">
        <w:rPr>
          <w:rFonts w:ascii="AcadNusx" w:hAnsi="AcadNusx"/>
        </w:rPr>
        <w:tab/>
      </w:r>
      <w:r w:rsidR="00142B71">
        <w:rPr>
          <w:rFonts w:ascii="Sylfaen" w:hAnsi="Sylfaen"/>
          <w:lang w:val="ka-GE"/>
        </w:rPr>
        <w:t>ხაზოვანი ნაგებობანი</w:t>
      </w:r>
      <w:bookmarkEnd w:id="160"/>
      <w:bookmarkEnd w:id="161"/>
      <w:r w:rsidRPr="00ED417F">
        <w:rPr>
          <w:rFonts w:ascii="AcadNusx" w:hAnsi="AcadNusx"/>
        </w:rPr>
        <w:t xml:space="preserve"> </w:t>
      </w:r>
    </w:p>
    <w:p w14:paraId="7713DBE8" w14:textId="77777777" w:rsidR="00EA3205" w:rsidRPr="00B05F62" w:rsidRDefault="00EA3205" w:rsidP="00F31A39">
      <w:pPr>
        <w:spacing w:before="120" w:after="120"/>
        <w:rPr>
          <w:rFonts w:ascii="AcadNusx" w:hAnsi="AcadNusx"/>
        </w:rPr>
      </w:pPr>
      <w:r w:rsidRPr="00B05F62">
        <w:rPr>
          <w:rFonts w:ascii="AcadNusx" w:hAnsi="AcadNusx"/>
        </w:rPr>
        <w:t>gasxvisebis zolSi warmodgenilia komunaluri daniSnulebis xazobrivi nagebobebi, romelTa Sorisaa eleqtroenergiis gadamcemi xazebi, wylis da bunebrivi airis milsadenebi da cifruli kavSirgabmulobis kabelebi. proeqtis teritoriaze zemoqmedebis qveS moxvedrili cnobili xazobrivi nagebobebi naCvenebia naxazebze. momdevno cxrilebSi warmodgenilia zemoqmedebis qveS moqceuli wyalmomaragebis milsadenebis da eleqtrogadamcemi xazebis monacemebi.</w:t>
      </w:r>
    </w:p>
    <w:p w14:paraId="1DEEB859" w14:textId="7466DB93" w:rsidR="00EA3205" w:rsidRPr="00B05F62" w:rsidRDefault="00EA3205" w:rsidP="00F31A39">
      <w:pPr>
        <w:spacing w:before="120" w:after="120"/>
        <w:rPr>
          <w:rFonts w:ascii="AcadNusx" w:hAnsi="AcadNusx"/>
        </w:rPr>
      </w:pPr>
      <w:r w:rsidRPr="00B05F62">
        <w:rPr>
          <w:rFonts w:ascii="AcadNusx" w:hAnsi="AcadNusx"/>
        </w:rPr>
        <w:t>cxrili 4.1</w:t>
      </w:r>
      <w:r w:rsidR="00ED417F">
        <w:rPr>
          <w:rFonts w:ascii="AcadNusx" w:hAnsi="AcadNusx"/>
        </w:rPr>
        <w:t>5-</w:t>
      </w:r>
      <w:r w:rsidRPr="00B05F62">
        <w:rPr>
          <w:rFonts w:ascii="AcadNusx" w:hAnsi="AcadNusx"/>
        </w:rPr>
        <w:t>1.</w:t>
      </w:r>
      <w:r w:rsidRPr="00B05F62">
        <w:rPr>
          <w:rFonts w:ascii="AcadNusx" w:hAnsi="AcadNusx"/>
        </w:rPr>
        <w:tab/>
        <w:t>proeqtis teritoriaze zemoqmedebis qveS moqceuli wyalmomaragebis milebis monacemebi</w:t>
      </w:r>
    </w:p>
    <w:tbl>
      <w:tblPr>
        <w:tblW w:w="0" w:type="dxa"/>
        <w:tblInd w:w="65" w:type="dxa"/>
        <w:tblLayout w:type="fixed"/>
        <w:tblCellMar>
          <w:left w:w="70" w:type="dxa"/>
          <w:right w:w="70" w:type="dxa"/>
        </w:tblCellMar>
        <w:tblLook w:val="04A0" w:firstRow="1" w:lastRow="0" w:firstColumn="1" w:lastColumn="0" w:noHBand="0" w:noVBand="1"/>
      </w:tblPr>
      <w:tblGrid>
        <w:gridCol w:w="1990"/>
        <w:gridCol w:w="2410"/>
        <w:gridCol w:w="2268"/>
        <w:gridCol w:w="2693"/>
      </w:tblGrid>
      <w:tr w:rsidR="00EA3205" w:rsidRPr="00F31A39" w14:paraId="206E89A2" w14:textId="77777777" w:rsidTr="00EA3205">
        <w:trPr>
          <w:tblHeader/>
        </w:trPr>
        <w:tc>
          <w:tcPr>
            <w:tcW w:w="1990" w:type="dxa"/>
            <w:tcBorders>
              <w:top w:val="single" w:sz="8" w:space="0" w:color="auto"/>
              <w:left w:val="single" w:sz="4" w:space="0" w:color="auto"/>
              <w:bottom w:val="single" w:sz="8" w:space="0" w:color="auto"/>
              <w:right w:val="single" w:sz="4" w:space="0" w:color="auto"/>
            </w:tcBorders>
            <w:shd w:val="clear" w:color="auto" w:fill="E0E0E0"/>
            <w:vAlign w:val="center"/>
            <w:hideMark/>
          </w:tcPr>
          <w:p w14:paraId="6A22E3D4" w14:textId="77777777" w:rsidR="00EA3205" w:rsidRPr="00F31A39" w:rsidRDefault="00EA3205" w:rsidP="00EA3205">
            <w:pPr>
              <w:rPr>
                <w:rFonts w:ascii="AcadNusx" w:hAnsi="AcadNusx"/>
                <w:sz w:val="20"/>
              </w:rPr>
            </w:pPr>
            <w:r w:rsidRPr="00F31A39">
              <w:rPr>
                <w:rFonts w:ascii="AcadNusx" w:hAnsi="AcadNusx"/>
                <w:sz w:val="20"/>
              </w:rPr>
              <w:lastRenderedPageBreak/>
              <w:t>kilometraJi (km+m)</w:t>
            </w:r>
          </w:p>
        </w:tc>
        <w:tc>
          <w:tcPr>
            <w:tcW w:w="2410" w:type="dxa"/>
            <w:tcBorders>
              <w:top w:val="single" w:sz="8" w:space="0" w:color="auto"/>
              <w:left w:val="nil"/>
              <w:bottom w:val="single" w:sz="8" w:space="0" w:color="auto"/>
              <w:right w:val="single" w:sz="4" w:space="0" w:color="auto"/>
            </w:tcBorders>
            <w:shd w:val="clear" w:color="auto" w:fill="E0E0E0"/>
            <w:vAlign w:val="center"/>
            <w:hideMark/>
          </w:tcPr>
          <w:p w14:paraId="578B3061" w14:textId="77777777" w:rsidR="00EA3205" w:rsidRPr="00F31A39" w:rsidRDefault="00EA3205" w:rsidP="00EA3205">
            <w:pPr>
              <w:rPr>
                <w:rFonts w:ascii="AcadNusx" w:hAnsi="AcadNusx"/>
                <w:sz w:val="20"/>
              </w:rPr>
            </w:pPr>
            <w:r w:rsidRPr="00F31A39">
              <w:rPr>
                <w:rFonts w:ascii="AcadNusx" w:hAnsi="AcadNusx"/>
                <w:sz w:val="20"/>
              </w:rPr>
              <w:t>gadamkveTi milsadenis zemoqmed. qveS moqceuli sigrZe</w:t>
            </w:r>
          </w:p>
          <w:p w14:paraId="11CBD674" w14:textId="77777777" w:rsidR="00EA3205" w:rsidRPr="00F31A39" w:rsidRDefault="00EA3205" w:rsidP="00EA3205">
            <w:pPr>
              <w:rPr>
                <w:rFonts w:ascii="AcadNusx" w:hAnsi="AcadNusx"/>
                <w:sz w:val="20"/>
              </w:rPr>
            </w:pPr>
            <w:r w:rsidRPr="00F31A39">
              <w:rPr>
                <w:rFonts w:ascii="AcadNusx" w:hAnsi="AcadNusx"/>
                <w:sz w:val="20"/>
              </w:rPr>
              <w:t>(m)</w:t>
            </w:r>
          </w:p>
        </w:tc>
        <w:tc>
          <w:tcPr>
            <w:tcW w:w="2268" w:type="dxa"/>
            <w:tcBorders>
              <w:top w:val="single" w:sz="8" w:space="0" w:color="auto"/>
              <w:left w:val="nil"/>
              <w:bottom w:val="single" w:sz="8" w:space="0" w:color="auto"/>
              <w:right w:val="single" w:sz="4" w:space="0" w:color="auto"/>
            </w:tcBorders>
            <w:shd w:val="clear" w:color="auto" w:fill="E0E0E0"/>
            <w:vAlign w:val="center"/>
            <w:hideMark/>
          </w:tcPr>
          <w:p w14:paraId="53EED21E" w14:textId="77777777" w:rsidR="00EA3205" w:rsidRPr="00F31A39" w:rsidRDefault="00EA3205" w:rsidP="00EA3205">
            <w:pPr>
              <w:rPr>
                <w:rFonts w:ascii="AcadNusx" w:hAnsi="AcadNusx"/>
                <w:sz w:val="20"/>
              </w:rPr>
            </w:pPr>
            <w:r w:rsidRPr="00F31A39">
              <w:rPr>
                <w:rFonts w:ascii="AcadNusx" w:hAnsi="AcadNusx"/>
                <w:sz w:val="20"/>
              </w:rPr>
              <w:t>saproeqto gzis paraleluri milsadenis zemoqmed. qveS moqceuli sigrZe</w:t>
            </w:r>
          </w:p>
          <w:p w14:paraId="0BFFA8A9" w14:textId="77777777" w:rsidR="00EA3205" w:rsidRPr="00F31A39" w:rsidRDefault="00EA3205" w:rsidP="00EA3205">
            <w:pPr>
              <w:rPr>
                <w:rFonts w:ascii="AcadNusx" w:hAnsi="AcadNusx"/>
                <w:sz w:val="20"/>
              </w:rPr>
            </w:pPr>
            <w:r w:rsidRPr="00F31A39">
              <w:rPr>
                <w:rFonts w:ascii="AcadNusx" w:hAnsi="AcadNusx"/>
                <w:sz w:val="20"/>
              </w:rPr>
              <w:t>(m)</w:t>
            </w:r>
          </w:p>
        </w:tc>
        <w:tc>
          <w:tcPr>
            <w:tcW w:w="2693" w:type="dxa"/>
            <w:tcBorders>
              <w:top w:val="single" w:sz="8" w:space="0" w:color="auto"/>
              <w:left w:val="nil"/>
              <w:bottom w:val="single" w:sz="8" w:space="0" w:color="auto"/>
              <w:right w:val="single" w:sz="8" w:space="0" w:color="auto"/>
            </w:tcBorders>
            <w:shd w:val="clear" w:color="auto" w:fill="E0E0E0"/>
            <w:vAlign w:val="center"/>
            <w:hideMark/>
          </w:tcPr>
          <w:p w14:paraId="69F6141D" w14:textId="77777777" w:rsidR="00EA3205" w:rsidRPr="00F31A39" w:rsidRDefault="00EA3205" w:rsidP="00EA3205">
            <w:pPr>
              <w:rPr>
                <w:rFonts w:ascii="AcadNusx" w:hAnsi="AcadNusx"/>
                <w:sz w:val="20"/>
              </w:rPr>
            </w:pPr>
            <w:r w:rsidRPr="00F31A39">
              <w:rPr>
                <w:rFonts w:ascii="AcadNusx" w:hAnsi="AcadNusx"/>
                <w:sz w:val="20"/>
              </w:rPr>
              <w:t>SeniSvnebi</w:t>
            </w:r>
          </w:p>
        </w:tc>
      </w:tr>
      <w:tr w:rsidR="00EA3205" w:rsidRPr="00F31A39" w14:paraId="067736D7" w14:textId="77777777" w:rsidTr="00EA3205">
        <w:tc>
          <w:tcPr>
            <w:tcW w:w="1990" w:type="dxa"/>
            <w:tcBorders>
              <w:top w:val="nil"/>
              <w:left w:val="single" w:sz="4" w:space="0" w:color="auto"/>
              <w:bottom w:val="single" w:sz="4" w:space="0" w:color="auto"/>
              <w:right w:val="nil"/>
            </w:tcBorders>
            <w:noWrap/>
            <w:vAlign w:val="center"/>
            <w:hideMark/>
          </w:tcPr>
          <w:p w14:paraId="4BA2D14F" w14:textId="77777777" w:rsidR="00EA3205" w:rsidRPr="00F31A39" w:rsidRDefault="00EA3205" w:rsidP="00EA3205">
            <w:pPr>
              <w:rPr>
                <w:rFonts w:ascii="AcadNusx" w:hAnsi="AcadNusx"/>
                <w:sz w:val="20"/>
              </w:rPr>
            </w:pPr>
            <w:r w:rsidRPr="00F31A39">
              <w:rPr>
                <w:rFonts w:ascii="AcadNusx" w:hAnsi="AcadNusx"/>
                <w:sz w:val="20"/>
              </w:rPr>
              <w:t>13+280 - 13+580</w:t>
            </w:r>
          </w:p>
        </w:tc>
        <w:tc>
          <w:tcPr>
            <w:tcW w:w="2410" w:type="dxa"/>
            <w:tcBorders>
              <w:top w:val="nil"/>
              <w:left w:val="single" w:sz="8" w:space="0" w:color="auto"/>
              <w:bottom w:val="single" w:sz="8" w:space="0" w:color="auto"/>
              <w:right w:val="single" w:sz="8" w:space="0" w:color="auto"/>
            </w:tcBorders>
            <w:noWrap/>
            <w:vAlign w:val="center"/>
            <w:hideMark/>
          </w:tcPr>
          <w:p w14:paraId="4044AC26" w14:textId="77777777" w:rsidR="00EA3205" w:rsidRPr="00F31A39" w:rsidRDefault="00EA3205" w:rsidP="00EA3205">
            <w:pPr>
              <w:rPr>
                <w:rFonts w:ascii="AcadNusx" w:hAnsi="AcadNusx"/>
                <w:sz w:val="20"/>
              </w:rPr>
            </w:pPr>
            <w:r w:rsidRPr="00F31A39">
              <w:rPr>
                <w:rFonts w:ascii="AcadNusx" w:hAnsi="AcadNusx"/>
                <w:sz w:val="20"/>
              </w:rPr>
              <w:t xml:space="preserve"> -</w:t>
            </w:r>
          </w:p>
        </w:tc>
        <w:tc>
          <w:tcPr>
            <w:tcW w:w="2268" w:type="dxa"/>
            <w:tcBorders>
              <w:top w:val="nil"/>
              <w:left w:val="nil"/>
              <w:bottom w:val="single" w:sz="8" w:space="0" w:color="auto"/>
              <w:right w:val="single" w:sz="8" w:space="0" w:color="auto"/>
            </w:tcBorders>
            <w:noWrap/>
            <w:vAlign w:val="center"/>
            <w:hideMark/>
          </w:tcPr>
          <w:p w14:paraId="258D0F97" w14:textId="77777777" w:rsidR="00EA3205" w:rsidRPr="00F31A39" w:rsidRDefault="00EA3205" w:rsidP="00EA3205">
            <w:pPr>
              <w:rPr>
                <w:rFonts w:ascii="AcadNusx" w:hAnsi="AcadNusx"/>
                <w:sz w:val="20"/>
              </w:rPr>
            </w:pPr>
            <w:r w:rsidRPr="00F31A39">
              <w:rPr>
                <w:rFonts w:ascii="AcadNusx" w:hAnsi="AcadNusx"/>
                <w:sz w:val="20"/>
              </w:rPr>
              <w:t>315</w:t>
            </w:r>
          </w:p>
        </w:tc>
        <w:tc>
          <w:tcPr>
            <w:tcW w:w="2693" w:type="dxa"/>
            <w:tcBorders>
              <w:top w:val="nil"/>
              <w:left w:val="nil"/>
              <w:bottom w:val="single" w:sz="4" w:space="0" w:color="auto"/>
              <w:right w:val="single" w:sz="8" w:space="0" w:color="auto"/>
            </w:tcBorders>
            <w:vAlign w:val="center"/>
            <w:hideMark/>
          </w:tcPr>
          <w:p w14:paraId="2F9BC8E8" w14:textId="77777777" w:rsidR="00EA3205" w:rsidRPr="00F31A39" w:rsidRDefault="00EA3205" w:rsidP="00EA3205">
            <w:pPr>
              <w:rPr>
                <w:rFonts w:ascii="AcadNusx" w:hAnsi="AcadNusx"/>
                <w:sz w:val="20"/>
              </w:rPr>
            </w:pPr>
            <w:r w:rsidRPr="00F31A39">
              <w:rPr>
                <w:rFonts w:ascii="AcadNusx" w:hAnsi="AcadNusx"/>
                <w:sz w:val="20"/>
              </w:rPr>
              <w:t>gzis marcxena mxares gadasatani mili</w:t>
            </w:r>
          </w:p>
        </w:tc>
      </w:tr>
      <w:tr w:rsidR="00EA3205" w:rsidRPr="00F31A39" w14:paraId="47DB52CA" w14:textId="77777777" w:rsidTr="00EA3205">
        <w:tc>
          <w:tcPr>
            <w:tcW w:w="1990" w:type="dxa"/>
            <w:tcBorders>
              <w:top w:val="nil"/>
              <w:left w:val="single" w:sz="4" w:space="0" w:color="auto"/>
              <w:bottom w:val="single" w:sz="4" w:space="0" w:color="auto"/>
              <w:right w:val="nil"/>
            </w:tcBorders>
            <w:noWrap/>
            <w:vAlign w:val="center"/>
            <w:hideMark/>
          </w:tcPr>
          <w:p w14:paraId="267F7F51" w14:textId="77777777" w:rsidR="00EA3205" w:rsidRPr="00F31A39" w:rsidRDefault="00EA3205" w:rsidP="00EA3205">
            <w:pPr>
              <w:rPr>
                <w:rFonts w:ascii="AcadNusx" w:hAnsi="AcadNusx"/>
                <w:sz w:val="20"/>
              </w:rPr>
            </w:pPr>
            <w:r w:rsidRPr="00F31A39">
              <w:rPr>
                <w:rFonts w:ascii="AcadNusx" w:hAnsi="AcadNusx"/>
                <w:sz w:val="20"/>
              </w:rPr>
              <w:t>13+540</w:t>
            </w:r>
          </w:p>
        </w:tc>
        <w:tc>
          <w:tcPr>
            <w:tcW w:w="2410" w:type="dxa"/>
            <w:tcBorders>
              <w:top w:val="nil"/>
              <w:left w:val="single" w:sz="8" w:space="0" w:color="auto"/>
              <w:bottom w:val="single" w:sz="4" w:space="0" w:color="auto"/>
              <w:right w:val="single" w:sz="8" w:space="0" w:color="auto"/>
            </w:tcBorders>
            <w:noWrap/>
            <w:vAlign w:val="center"/>
            <w:hideMark/>
          </w:tcPr>
          <w:p w14:paraId="04441C86" w14:textId="77777777" w:rsidR="00EA3205" w:rsidRPr="00F31A39" w:rsidRDefault="00EA3205" w:rsidP="00EA3205">
            <w:pPr>
              <w:rPr>
                <w:rFonts w:ascii="AcadNusx" w:hAnsi="AcadNusx"/>
                <w:sz w:val="20"/>
              </w:rPr>
            </w:pPr>
            <w:r w:rsidRPr="00F31A39">
              <w:rPr>
                <w:rFonts w:ascii="AcadNusx" w:hAnsi="AcadNusx"/>
                <w:sz w:val="20"/>
              </w:rPr>
              <w:t>45</w:t>
            </w:r>
          </w:p>
        </w:tc>
        <w:tc>
          <w:tcPr>
            <w:tcW w:w="2268" w:type="dxa"/>
            <w:tcBorders>
              <w:top w:val="nil"/>
              <w:left w:val="nil"/>
              <w:bottom w:val="single" w:sz="4" w:space="0" w:color="auto"/>
              <w:right w:val="single" w:sz="4" w:space="0" w:color="auto"/>
            </w:tcBorders>
            <w:noWrap/>
            <w:vAlign w:val="center"/>
            <w:hideMark/>
          </w:tcPr>
          <w:p w14:paraId="4406E8D7" w14:textId="77777777" w:rsidR="00EA3205" w:rsidRPr="00F31A39" w:rsidRDefault="00EA3205" w:rsidP="00EA3205">
            <w:pPr>
              <w:rPr>
                <w:rFonts w:ascii="AcadNusx" w:hAnsi="AcadNusx"/>
                <w:sz w:val="20"/>
              </w:rPr>
            </w:pPr>
            <w:r w:rsidRPr="00F31A39">
              <w:rPr>
                <w:rFonts w:ascii="AcadNusx" w:hAnsi="AcadNusx"/>
                <w:sz w:val="20"/>
              </w:rPr>
              <w:t> </w:t>
            </w:r>
          </w:p>
        </w:tc>
        <w:tc>
          <w:tcPr>
            <w:tcW w:w="2693" w:type="dxa"/>
            <w:tcBorders>
              <w:top w:val="nil"/>
              <w:left w:val="nil"/>
              <w:bottom w:val="single" w:sz="4" w:space="0" w:color="auto"/>
              <w:right w:val="single" w:sz="8" w:space="0" w:color="auto"/>
            </w:tcBorders>
            <w:noWrap/>
            <w:vAlign w:val="center"/>
            <w:hideMark/>
          </w:tcPr>
          <w:p w14:paraId="581F67BB" w14:textId="77777777" w:rsidR="00EA3205" w:rsidRPr="00F31A39" w:rsidRDefault="00EA3205" w:rsidP="00EA3205">
            <w:pPr>
              <w:rPr>
                <w:rFonts w:ascii="AcadNusx" w:hAnsi="AcadNusx"/>
                <w:sz w:val="20"/>
              </w:rPr>
            </w:pPr>
            <w:r w:rsidRPr="00F31A39">
              <w:rPr>
                <w:rFonts w:ascii="AcadNusx" w:hAnsi="AcadNusx"/>
                <w:sz w:val="20"/>
              </w:rPr>
              <w:t> </w:t>
            </w:r>
          </w:p>
        </w:tc>
      </w:tr>
      <w:tr w:rsidR="00EA3205" w:rsidRPr="00F31A39" w14:paraId="499B8D4C" w14:textId="77777777" w:rsidTr="00EA3205">
        <w:tc>
          <w:tcPr>
            <w:tcW w:w="1990" w:type="dxa"/>
            <w:tcBorders>
              <w:top w:val="nil"/>
              <w:left w:val="single" w:sz="4" w:space="0" w:color="auto"/>
              <w:bottom w:val="single" w:sz="4" w:space="0" w:color="auto"/>
              <w:right w:val="nil"/>
            </w:tcBorders>
            <w:noWrap/>
            <w:vAlign w:val="center"/>
            <w:hideMark/>
          </w:tcPr>
          <w:p w14:paraId="4403F1C4" w14:textId="77777777" w:rsidR="00EA3205" w:rsidRPr="00F31A39" w:rsidRDefault="00EA3205" w:rsidP="00EA3205">
            <w:pPr>
              <w:rPr>
                <w:rFonts w:ascii="AcadNusx" w:hAnsi="AcadNusx"/>
                <w:sz w:val="20"/>
              </w:rPr>
            </w:pPr>
            <w:r w:rsidRPr="00F31A39">
              <w:rPr>
                <w:rFonts w:ascii="AcadNusx" w:hAnsi="AcadNusx"/>
                <w:sz w:val="20"/>
              </w:rPr>
              <w:t>13+576</w:t>
            </w:r>
          </w:p>
        </w:tc>
        <w:tc>
          <w:tcPr>
            <w:tcW w:w="2410" w:type="dxa"/>
            <w:tcBorders>
              <w:top w:val="nil"/>
              <w:left w:val="single" w:sz="8" w:space="0" w:color="auto"/>
              <w:bottom w:val="single" w:sz="4" w:space="0" w:color="auto"/>
              <w:right w:val="single" w:sz="8" w:space="0" w:color="auto"/>
            </w:tcBorders>
            <w:noWrap/>
            <w:vAlign w:val="center"/>
            <w:hideMark/>
          </w:tcPr>
          <w:p w14:paraId="665EB2A2" w14:textId="77777777" w:rsidR="00EA3205" w:rsidRPr="00F31A39" w:rsidRDefault="00EA3205" w:rsidP="00EA3205">
            <w:pPr>
              <w:rPr>
                <w:rFonts w:ascii="AcadNusx" w:hAnsi="AcadNusx"/>
                <w:sz w:val="20"/>
              </w:rPr>
            </w:pPr>
            <w:r w:rsidRPr="00F31A39">
              <w:rPr>
                <w:rFonts w:ascii="AcadNusx" w:hAnsi="AcadNusx"/>
                <w:sz w:val="20"/>
              </w:rPr>
              <w:t>55</w:t>
            </w:r>
          </w:p>
        </w:tc>
        <w:tc>
          <w:tcPr>
            <w:tcW w:w="2268" w:type="dxa"/>
            <w:tcBorders>
              <w:top w:val="nil"/>
              <w:left w:val="nil"/>
              <w:bottom w:val="single" w:sz="4" w:space="0" w:color="auto"/>
              <w:right w:val="single" w:sz="4" w:space="0" w:color="auto"/>
            </w:tcBorders>
            <w:noWrap/>
            <w:vAlign w:val="center"/>
            <w:hideMark/>
          </w:tcPr>
          <w:p w14:paraId="59F7E729" w14:textId="77777777" w:rsidR="00EA3205" w:rsidRPr="00F31A39" w:rsidRDefault="00EA3205" w:rsidP="00EA3205">
            <w:pPr>
              <w:rPr>
                <w:rFonts w:ascii="AcadNusx" w:hAnsi="AcadNusx"/>
                <w:sz w:val="20"/>
              </w:rPr>
            </w:pPr>
            <w:r w:rsidRPr="00F31A39">
              <w:rPr>
                <w:rFonts w:ascii="AcadNusx" w:hAnsi="AcadNusx"/>
                <w:sz w:val="20"/>
              </w:rPr>
              <w:t> </w:t>
            </w:r>
          </w:p>
        </w:tc>
        <w:tc>
          <w:tcPr>
            <w:tcW w:w="2693" w:type="dxa"/>
            <w:tcBorders>
              <w:top w:val="nil"/>
              <w:left w:val="nil"/>
              <w:bottom w:val="single" w:sz="4" w:space="0" w:color="auto"/>
              <w:right w:val="single" w:sz="8" w:space="0" w:color="auto"/>
            </w:tcBorders>
            <w:noWrap/>
            <w:vAlign w:val="center"/>
            <w:hideMark/>
          </w:tcPr>
          <w:p w14:paraId="166C08D5" w14:textId="77777777" w:rsidR="00EA3205" w:rsidRPr="00F31A39" w:rsidRDefault="00EA3205" w:rsidP="00EA3205">
            <w:pPr>
              <w:rPr>
                <w:rFonts w:ascii="AcadNusx" w:hAnsi="AcadNusx"/>
                <w:sz w:val="20"/>
              </w:rPr>
            </w:pPr>
            <w:r w:rsidRPr="00F31A39">
              <w:rPr>
                <w:rFonts w:ascii="AcadNusx" w:hAnsi="AcadNusx"/>
                <w:sz w:val="20"/>
              </w:rPr>
              <w:t> </w:t>
            </w:r>
          </w:p>
        </w:tc>
      </w:tr>
      <w:tr w:rsidR="00EA3205" w:rsidRPr="00F31A39" w14:paraId="3DDB8599" w14:textId="77777777" w:rsidTr="00EA3205">
        <w:tc>
          <w:tcPr>
            <w:tcW w:w="1990" w:type="dxa"/>
            <w:tcBorders>
              <w:top w:val="nil"/>
              <w:left w:val="single" w:sz="4" w:space="0" w:color="auto"/>
              <w:bottom w:val="single" w:sz="4" w:space="0" w:color="auto"/>
              <w:right w:val="nil"/>
            </w:tcBorders>
            <w:noWrap/>
            <w:vAlign w:val="center"/>
            <w:hideMark/>
          </w:tcPr>
          <w:p w14:paraId="6F88861B" w14:textId="77777777" w:rsidR="00EA3205" w:rsidRPr="00F31A39" w:rsidRDefault="00EA3205" w:rsidP="00EA3205">
            <w:pPr>
              <w:rPr>
                <w:rFonts w:ascii="AcadNusx" w:hAnsi="AcadNusx"/>
                <w:sz w:val="20"/>
              </w:rPr>
            </w:pPr>
            <w:r w:rsidRPr="00F31A39">
              <w:rPr>
                <w:rFonts w:ascii="AcadNusx" w:hAnsi="AcadNusx"/>
                <w:sz w:val="20"/>
              </w:rPr>
              <w:t>16+130</w:t>
            </w:r>
          </w:p>
        </w:tc>
        <w:tc>
          <w:tcPr>
            <w:tcW w:w="2410" w:type="dxa"/>
            <w:tcBorders>
              <w:top w:val="nil"/>
              <w:left w:val="single" w:sz="8" w:space="0" w:color="auto"/>
              <w:bottom w:val="single" w:sz="4" w:space="0" w:color="auto"/>
              <w:right w:val="single" w:sz="8" w:space="0" w:color="auto"/>
            </w:tcBorders>
            <w:noWrap/>
            <w:vAlign w:val="center"/>
            <w:hideMark/>
          </w:tcPr>
          <w:p w14:paraId="638DB06B" w14:textId="77777777" w:rsidR="00EA3205" w:rsidRPr="00F31A39" w:rsidRDefault="00EA3205" w:rsidP="00EA3205">
            <w:pPr>
              <w:rPr>
                <w:rFonts w:ascii="AcadNusx" w:hAnsi="AcadNusx"/>
                <w:sz w:val="20"/>
              </w:rPr>
            </w:pPr>
            <w:r w:rsidRPr="00F31A39">
              <w:rPr>
                <w:rFonts w:ascii="AcadNusx" w:hAnsi="AcadNusx"/>
                <w:sz w:val="20"/>
              </w:rPr>
              <w:t>50</w:t>
            </w:r>
          </w:p>
        </w:tc>
        <w:tc>
          <w:tcPr>
            <w:tcW w:w="2268" w:type="dxa"/>
            <w:tcBorders>
              <w:top w:val="nil"/>
              <w:left w:val="nil"/>
              <w:bottom w:val="single" w:sz="4" w:space="0" w:color="auto"/>
              <w:right w:val="single" w:sz="4" w:space="0" w:color="auto"/>
            </w:tcBorders>
            <w:noWrap/>
            <w:vAlign w:val="center"/>
            <w:hideMark/>
          </w:tcPr>
          <w:p w14:paraId="4DB5E764" w14:textId="77777777" w:rsidR="00EA3205" w:rsidRPr="00F31A39" w:rsidRDefault="00EA3205" w:rsidP="00EA3205">
            <w:pPr>
              <w:rPr>
                <w:rFonts w:ascii="AcadNusx" w:hAnsi="AcadNusx"/>
                <w:sz w:val="20"/>
              </w:rPr>
            </w:pPr>
            <w:r w:rsidRPr="00F31A39">
              <w:rPr>
                <w:rFonts w:ascii="AcadNusx" w:hAnsi="AcadNusx"/>
                <w:sz w:val="20"/>
              </w:rPr>
              <w:t> </w:t>
            </w:r>
          </w:p>
        </w:tc>
        <w:tc>
          <w:tcPr>
            <w:tcW w:w="2693" w:type="dxa"/>
            <w:tcBorders>
              <w:top w:val="nil"/>
              <w:left w:val="nil"/>
              <w:bottom w:val="single" w:sz="4" w:space="0" w:color="auto"/>
              <w:right w:val="single" w:sz="8" w:space="0" w:color="auto"/>
            </w:tcBorders>
            <w:noWrap/>
            <w:vAlign w:val="center"/>
            <w:hideMark/>
          </w:tcPr>
          <w:p w14:paraId="567ABE18" w14:textId="77777777" w:rsidR="00EA3205" w:rsidRPr="00F31A39" w:rsidRDefault="00EA3205" w:rsidP="00EA3205">
            <w:pPr>
              <w:rPr>
                <w:rFonts w:ascii="AcadNusx" w:hAnsi="AcadNusx"/>
                <w:sz w:val="20"/>
              </w:rPr>
            </w:pPr>
            <w:r w:rsidRPr="00F31A39">
              <w:rPr>
                <w:rFonts w:ascii="AcadNusx" w:hAnsi="AcadNusx"/>
                <w:sz w:val="20"/>
              </w:rPr>
              <w:t> </w:t>
            </w:r>
          </w:p>
        </w:tc>
      </w:tr>
      <w:tr w:rsidR="00EA3205" w:rsidRPr="00F31A39" w14:paraId="43C70F1D" w14:textId="77777777" w:rsidTr="00EA3205">
        <w:tc>
          <w:tcPr>
            <w:tcW w:w="1990" w:type="dxa"/>
            <w:tcBorders>
              <w:top w:val="nil"/>
              <w:left w:val="single" w:sz="4" w:space="0" w:color="auto"/>
              <w:bottom w:val="single" w:sz="4" w:space="0" w:color="auto"/>
              <w:right w:val="nil"/>
            </w:tcBorders>
            <w:noWrap/>
            <w:vAlign w:val="center"/>
            <w:hideMark/>
          </w:tcPr>
          <w:p w14:paraId="29A1011F" w14:textId="77777777" w:rsidR="00EA3205" w:rsidRPr="00F31A39" w:rsidRDefault="00EA3205" w:rsidP="00EA3205">
            <w:pPr>
              <w:rPr>
                <w:rFonts w:ascii="AcadNusx" w:hAnsi="AcadNusx"/>
                <w:sz w:val="20"/>
              </w:rPr>
            </w:pPr>
            <w:r w:rsidRPr="00F31A39">
              <w:rPr>
                <w:rFonts w:ascii="AcadNusx" w:hAnsi="AcadNusx"/>
                <w:sz w:val="20"/>
              </w:rPr>
              <w:t>16+330</w:t>
            </w:r>
          </w:p>
        </w:tc>
        <w:tc>
          <w:tcPr>
            <w:tcW w:w="2410" w:type="dxa"/>
            <w:tcBorders>
              <w:top w:val="nil"/>
              <w:left w:val="single" w:sz="8" w:space="0" w:color="auto"/>
              <w:bottom w:val="single" w:sz="4" w:space="0" w:color="auto"/>
              <w:right w:val="single" w:sz="8" w:space="0" w:color="auto"/>
            </w:tcBorders>
            <w:noWrap/>
            <w:vAlign w:val="center"/>
            <w:hideMark/>
          </w:tcPr>
          <w:p w14:paraId="20B4C121" w14:textId="77777777" w:rsidR="00EA3205" w:rsidRPr="00F31A39" w:rsidRDefault="00EA3205" w:rsidP="00EA3205">
            <w:pPr>
              <w:rPr>
                <w:rFonts w:ascii="AcadNusx" w:hAnsi="AcadNusx"/>
                <w:sz w:val="20"/>
              </w:rPr>
            </w:pPr>
            <w:r w:rsidRPr="00F31A39">
              <w:rPr>
                <w:rFonts w:ascii="AcadNusx" w:hAnsi="AcadNusx"/>
                <w:sz w:val="20"/>
              </w:rPr>
              <w:t>180</w:t>
            </w:r>
          </w:p>
        </w:tc>
        <w:tc>
          <w:tcPr>
            <w:tcW w:w="2268" w:type="dxa"/>
            <w:tcBorders>
              <w:top w:val="nil"/>
              <w:left w:val="nil"/>
              <w:bottom w:val="single" w:sz="4" w:space="0" w:color="auto"/>
              <w:right w:val="single" w:sz="4" w:space="0" w:color="auto"/>
            </w:tcBorders>
            <w:noWrap/>
            <w:vAlign w:val="center"/>
            <w:hideMark/>
          </w:tcPr>
          <w:p w14:paraId="5161D1AC" w14:textId="77777777" w:rsidR="00EA3205" w:rsidRPr="00F31A39" w:rsidRDefault="00EA3205" w:rsidP="00EA3205">
            <w:pPr>
              <w:rPr>
                <w:rFonts w:ascii="AcadNusx" w:hAnsi="AcadNusx"/>
                <w:sz w:val="20"/>
              </w:rPr>
            </w:pPr>
            <w:r w:rsidRPr="00F31A39">
              <w:rPr>
                <w:rFonts w:ascii="AcadNusx" w:hAnsi="AcadNusx"/>
                <w:sz w:val="20"/>
              </w:rPr>
              <w:t> </w:t>
            </w:r>
          </w:p>
        </w:tc>
        <w:tc>
          <w:tcPr>
            <w:tcW w:w="2693" w:type="dxa"/>
            <w:tcBorders>
              <w:top w:val="nil"/>
              <w:left w:val="nil"/>
              <w:bottom w:val="single" w:sz="4" w:space="0" w:color="auto"/>
              <w:right w:val="single" w:sz="8" w:space="0" w:color="auto"/>
            </w:tcBorders>
            <w:noWrap/>
            <w:vAlign w:val="center"/>
            <w:hideMark/>
          </w:tcPr>
          <w:p w14:paraId="30B5A6A7" w14:textId="77777777" w:rsidR="00EA3205" w:rsidRPr="00F31A39" w:rsidRDefault="00EA3205" w:rsidP="00EA3205">
            <w:pPr>
              <w:rPr>
                <w:rFonts w:ascii="AcadNusx" w:hAnsi="AcadNusx"/>
                <w:sz w:val="20"/>
              </w:rPr>
            </w:pPr>
          </w:p>
        </w:tc>
      </w:tr>
      <w:tr w:rsidR="00EA3205" w:rsidRPr="00F31A39" w14:paraId="01E5F990" w14:textId="77777777" w:rsidTr="00EA3205">
        <w:tc>
          <w:tcPr>
            <w:tcW w:w="1990" w:type="dxa"/>
            <w:tcBorders>
              <w:top w:val="nil"/>
              <w:left w:val="single" w:sz="4" w:space="0" w:color="auto"/>
              <w:bottom w:val="single" w:sz="4" w:space="0" w:color="auto"/>
              <w:right w:val="nil"/>
            </w:tcBorders>
            <w:noWrap/>
            <w:vAlign w:val="center"/>
            <w:hideMark/>
          </w:tcPr>
          <w:p w14:paraId="469B9916" w14:textId="77777777" w:rsidR="00EA3205" w:rsidRPr="00F31A39" w:rsidRDefault="00EA3205" w:rsidP="00EA3205">
            <w:pPr>
              <w:rPr>
                <w:rFonts w:ascii="AcadNusx" w:hAnsi="AcadNusx"/>
                <w:sz w:val="20"/>
              </w:rPr>
            </w:pPr>
            <w:r w:rsidRPr="00F31A39">
              <w:rPr>
                <w:rFonts w:ascii="AcadNusx" w:hAnsi="AcadNusx"/>
                <w:sz w:val="20"/>
              </w:rPr>
              <w:t>16+427</w:t>
            </w:r>
          </w:p>
        </w:tc>
        <w:tc>
          <w:tcPr>
            <w:tcW w:w="2410" w:type="dxa"/>
            <w:tcBorders>
              <w:top w:val="nil"/>
              <w:left w:val="single" w:sz="8" w:space="0" w:color="auto"/>
              <w:bottom w:val="single" w:sz="4" w:space="0" w:color="auto"/>
              <w:right w:val="single" w:sz="8" w:space="0" w:color="auto"/>
            </w:tcBorders>
            <w:noWrap/>
            <w:vAlign w:val="center"/>
            <w:hideMark/>
          </w:tcPr>
          <w:p w14:paraId="5A4CBAC1" w14:textId="77777777" w:rsidR="00EA3205" w:rsidRPr="00F31A39" w:rsidRDefault="00EA3205" w:rsidP="00EA3205">
            <w:pPr>
              <w:rPr>
                <w:rFonts w:ascii="AcadNusx" w:hAnsi="AcadNusx"/>
                <w:sz w:val="20"/>
              </w:rPr>
            </w:pPr>
            <w:r w:rsidRPr="00F31A39">
              <w:rPr>
                <w:rFonts w:ascii="AcadNusx" w:hAnsi="AcadNusx"/>
                <w:sz w:val="20"/>
              </w:rPr>
              <w:t>70</w:t>
            </w:r>
          </w:p>
        </w:tc>
        <w:tc>
          <w:tcPr>
            <w:tcW w:w="2268" w:type="dxa"/>
            <w:tcBorders>
              <w:top w:val="nil"/>
              <w:left w:val="nil"/>
              <w:bottom w:val="single" w:sz="4" w:space="0" w:color="auto"/>
              <w:right w:val="single" w:sz="4" w:space="0" w:color="auto"/>
            </w:tcBorders>
            <w:noWrap/>
            <w:vAlign w:val="center"/>
            <w:hideMark/>
          </w:tcPr>
          <w:p w14:paraId="4CA56F2E" w14:textId="77777777" w:rsidR="00EA3205" w:rsidRPr="00F31A39" w:rsidRDefault="00EA3205" w:rsidP="00EA3205">
            <w:pPr>
              <w:rPr>
                <w:rFonts w:ascii="AcadNusx" w:hAnsi="AcadNusx"/>
                <w:sz w:val="20"/>
              </w:rPr>
            </w:pPr>
            <w:r w:rsidRPr="00F31A39">
              <w:rPr>
                <w:rFonts w:ascii="AcadNusx" w:hAnsi="AcadNusx"/>
                <w:sz w:val="20"/>
              </w:rPr>
              <w:t> </w:t>
            </w:r>
          </w:p>
        </w:tc>
        <w:tc>
          <w:tcPr>
            <w:tcW w:w="2693" w:type="dxa"/>
            <w:tcBorders>
              <w:top w:val="nil"/>
              <w:left w:val="nil"/>
              <w:bottom w:val="single" w:sz="4" w:space="0" w:color="auto"/>
              <w:right w:val="single" w:sz="8" w:space="0" w:color="auto"/>
            </w:tcBorders>
            <w:noWrap/>
            <w:vAlign w:val="center"/>
            <w:hideMark/>
          </w:tcPr>
          <w:p w14:paraId="01A7153A" w14:textId="77777777" w:rsidR="00EA3205" w:rsidRPr="00F31A39" w:rsidRDefault="00EA3205" w:rsidP="00EA3205">
            <w:pPr>
              <w:rPr>
                <w:rFonts w:ascii="AcadNusx" w:hAnsi="AcadNusx"/>
                <w:sz w:val="20"/>
              </w:rPr>
            </w:pPr>
            <w:r w:rsidRPr="00F31A39">
              <w:rPr>
                <w:rFonts w:ascii="AcadNusx" w:hAnsi="AcadNusx"/>
                <w:sz w:val="20"/>
              </w:rPr>
              <w:t> </w:t>
            </w:r>
          </w:p>
        </w:tc>
      </w:tr>
      <w:tr w:rsidR="00EA3205" w:rsidRPr="00F31A39" w14:paraId="4F946638" w14:textId="77777777" w:rsidTr="00EA3205">
        <w:tc>
          <w:tcPr>
            <w:tcW w:w="1990" w:type="dxa"/>
            <w:tcBorders>
              <w:top w:val="nil"/>
              <w:left w:val="single" w:sz="4" w:space="0" w:color="auto"/>
              <w:bottom w:val="single" w:sz="4" w:space="0" w:color="auto"/>
              <w:right w:val="nil"/>
            </w:tcBorders>
            <w:noWrap/>
            <w:vAlign w:val="center"/>
            <w:hideMark/>
          </w:tcPr>
          <w:p w14:paraId="6EA3B239" w14:textId="77777777" w:rsidR="00EA3205" w:rsidRPr="00F31A39" w:rsidRDefault="00EA3205" w:rsidP="00EA3205">
            <w:pPr>
              <w:rPr>
                <w:rFonts w:ascii="AcadNusx" w:hAnsi="AcadNusx"/>
                <w:sz w:val="20"/>
              </w:rPr>
            </w:pPr>
            <w:r w:rsidRPr="00F31A39">
              <w:rPr>
                <w:rFonts w:ascii="AcadNusx" w:hAnsi="AcadNusx"/>
                <w:sz w:val="20"/>
              </w:rPr>
              <w:t>20+533</w:t>
            </w:r>
          </w:p>
        </w:tc>
        <w:tc>
          <w:tcPr>
            <w:tcW w:w="2410" w:type="dxa"/>
            <w:tcBorders>
              <w:top w:val="nil"/>
              <w:left w:val="single" w:sz="8" w:space="0" w:color="auto"/>
              <w:bottom w:val="single" w:sz="4" w:space="0" w:color="auto"/>
              <w:right w:val="single" w:sz="8" w:space="0" w:color="auto"/>
            </w:tcBorders>
            <w:noWrap/>
            <w:vAlign w:val="center"/>
            <w:hideMark/>
          </w:tcPr>
          <w:p w14:paraId="18F920CB" w14:textId="77777777" w:rsidR="00EA3205" w:rsidRPr="00F31A39" w:rsidRDefault="00EA3205" w:rsidP="00EA3205">
            <w:pPr>
              <w:rPr>
                <w:rFonts w:ascii="AcadNusx" w:hAnsi="AcadNusx"/>
                <w:sz w:val="20"/>
              </w:rPr>
            </w:pPr>
            <w:r w:rsidRPr="00F31A39">
              <w:rPr>
                <w:rFonts w:ascii="AcadNusx" w:hAnsi="AcadNusx"/>
                <w:sz w:val="20"/>
              </w:rPr>
              <w:t>35</w:t>
            </w:r>
          </w:p>
        </w:tc>
        <w:tc>
          <w:tcPr>
            <w:tcW w:w="2268" w:type="dxa"/>
            <w:tcBorders>
              <w:top w:val="nil"/>
              <w:left w:val="nil"/>
              <w:bottom w:val="single" w:sz="4" w:space="0" w:color="auto"/>
              <w:right w:val="single" w:sz="4" w:space="0" w:color="auto"/>
            </w:tcBorders>
            <w:noWrap/>
            <w:vAlign w:val="center"/>
            <w:hideMark/>
          </w:tcPr>
          <w:p w14:paraId="286BBC14" w14:textId="77777777" w:rsidR="00EA3205" w:rsidRPr="00F31A39" w:rsidRDefault="00EA3205" w:rsidP="00EA3205">
            <w:pPr>
              <w:rPr>
                <w:rFonts w:ascii="AcadNusx" w:hAnsi="AcadNusx"/>
                <w:sz w:val="20"/>
              </w:rPr>
            </w:pPr>
            <w:r w:rsidRPr="00F31A39">
              <w:rPr>
                <w:rFonts w:ascii="AcadNusx" w:hAnsi="AcadNusx"/>
                <w:sz w:val="20"/>
              </w:rPr>
              <w:t> </w:t>
            </w:r>
          </w:p>
        </w:tc>
        <w:tc>
          <w:tcPr>
            <w:tcW w:w="2693" w:type="dxa"/>
            <w:tcBorders>
              <w:top w:val="nil"/>
              <w:left w:val="nil"/>
              <w:bottom w:val="single" w:sz="4" w:space="0" w:color="auto"/>
              <w:right w:val="single" w:sz="8" w:space="0" w:color="auto"/>
            </w:tcBorders>
            <w:noWrap/>
            <w:vAlign w:val="center"/>
            <w:hideMark/>
          </w:tcPr>
          <w:p w14:paraId="481B04CF" w14:textId="77777777" w:rsidR="00EA3205" w:rsidRPr="00F31A39" w:rsidRDefault="00EA3205" w:rsidP="00EA3205">
            <w:pPr>
              <w:rPr>
                <w:rFonts w:ascii="AcadNusx" w:hAnsi="AcadNusx"/>
                <w:sz w:val="20"/>
              </w:rPr>
            </w:pPr>
            <w:r w:rsidRPr="00F31A39">
              <w:rPr>
                <w:rFonts w:ascii="AcadNusx" w:hAnsi="AcadNusx"/>
                <w:sz w:val="20"/>
              </w:rPr>
              <w:t> </w:t>
            </w:r>
          </w:p>
        </w:tc>
      </w:tr>
      <w:tr w:rsidR="00EA3205" w:rsidRPr="00F31A39" w14:paraId="57B71563" w14:textId="77777777" w:rsidTr="00EA3205">
        <w:tc>
          <w:tcPr>
            <w:tcW w:w="1990" w:type="dxa"/>
            <w:tcBorders>
              <w:top w:val="nil"/>
              <w:left w:val="single" w:sz="4" w:space="0" w:color="auto"/>
              <w:bottom w:val="single" w:sz="4" w:space="0" w:color="auto"/>
              <w:right w:val="nil"/>
            </w:tcBorders>
            <w:noWrap/>
            <w:vAlign w:val="center"/>
            <w:hideMark/>
          </w:tcPr>
          <w:p w14:paraId="0B225733" w14:textId="77777777" w:rsidR="00EA3205" w:rsidRPr="00F31A39" w:rsidRDefault="00EA3205" w:rsidP="00EA3205">
            <w:pPr>
              <w:rPr>
                <w:rFonts w:ascii="AcadNusx" w:hAnsi="AcadNusx"/>
                <w:sz w:val="20"/>
              </w:rPr>
            </w:pPr>
            <w:r w:rsidRPr="00F31A39">
              <w:rPr>
                <w:rFonts w:ascii="AcadNusx" w:hAnsi="AcadNusx"/>
                <w:sz w:val="20"/>
              </w:rPr>
              <w:t>24+630</w:t>
            </w:r>
          </w:p>
        </w:tc>
        <w:tc>
          <w:tcPr>
            <w:tcW w:w="2410" w:type="dxa"/>
            <w:tcBorders>
              <w:top w:val="nil"/>
              <w:left w:val="single" w:sz="8" w:space="0" w:color="auto"/>
              <w:bottom w:val="nil"/>
              <w:right w:val="single" w:sz="8" w:space="0" w:color="auto"/>
            </w:tcBorders>
            <w:noWrap/>
            <w:vAlign w:val="center"/>
            <w:hideMark/>
          </w:tcPr>
          <w:p w14:paraId="3F7805BC" w14:textId="77777777" w:rsidR="00EA3205" w:rsidRPr="00F31A39" w:rsidRDefault="00EA3205" w:rsidP="00EA3205">
            <w:pPr>
              <w:rPr>
                <w:rFonts w:ascii="AcadNusx" w:hAnsi="AcadNusx"/>
                <w:sz w:val="20"/>
              </w:rPr>
            </w:pPr>
            <w:r w:rsidRPr="00F31A39">
              <w:rPr>
                <w:rFonts w:ascii="AcadNusx" w:hAnsi="AcadNusx"/>
                <w:sz w:val="20"/>
              </w:rPr>
              <w:t>50</w:t>
            </w:r>
          </w:p>
        </w:tc>
        <w:tc>
          <w:tcPr>
            <w:tcW w:w="2268" w:type="dxa"/>
            <w:tcBorders>
              <w:top w:val="nil"/>
              <w:left w:val="nil"/>
              <w:bottom w:val="nil"/>
              <w:right w:val="single" w:sz="4" w:space="0" w:color="auto"/>
            </w:tcBorders>
            <w:noWrap/>
            <w:vAlign w:val="center"/>
            <w:hideMark/>
          </w:tcPr>
          <w:p w14:paraId="7A80DEB3" w14:textId="77777777" w:rsidR="00EA3205" w:rsidRPr="00F31A39" w:rsidRDefault="00EA3205" w:rsidP="00EA3205">
            <w:pPr>
              <w:rPr>
                <w:rFonts w:ascii="AcadNusx" w:hAnsi="AcadNusx"/>
                <w:sz w:val="20"/>
              </w:rPr>
            </w:pPr>
            <w:r w:rsidRPr="00F31A39">
              <w:rPr>
                <w:rFonts w:ascii="AcadNusx" w:hAnsi="AcadNusx"/>
                <w:sz w:val="20"/>
              </w:rPr>
              <w:t> </w:t>
            </w:r>
          </w:p>
        </w:tc>
        <w:tc>
          <w:tcPr>
            <w:tcW w:w="2693" w:type="dxa"/>
            <w:tcBorders>
              <w:top w:val="nil"/>
              <w:left w:val="nil"/>
              <w:bottom w:val="single" w:sz="4" w:space="0" w:color="auto"/>
              <w:right w:val="single" w:sz="8" w:space="0" w:color="auto"/>
            </w:tcBorders>
            <w:noWrap/>
            <w:vAlign w:val="center"/>
            <w:hideMark/>
          </w:tcPr>
          <w:p w14:paraId="3CEC7E53" w14:textId="77777777" w:rsidR="00EA3205" w:rsidRPr="00F31A39" w:rsidRDefault="00EA3205" w:rsidP="00EA3205">
            <w:pPr>
              <w:rPr>
                <w:rFonts w:ascii="AcadNusx" w:hAnsi="AcadNusx"/>
                <w:sz w:val="20"/>
              </w:rPr>
            </w:pPr>
            <w:r w:rsidRPr="00F31A39">
              <w:rPr>
                <w:rFonts w:ascii="AcadNusx" w:hAnsi="AcadNusx"/>
                <w:sz w:val="20"/>
              </w:rPr>
              <w:t> </w:t>
            </w:r>
          </w:p>
        </w:tc>
      </w:tr>
      <w:tr w:rsidR="00EA3205" w:rsidRPr="00F31A39" w14:paraId="3AFB1C6B" w14:textId="77777777" w:rsidTr="00EA3205">
        <w:tc>
          <w:tcPr>
            <w:tcW w:w="1990" w:type="dxa"/>
            <w:tcBorders>
              <w:top w:val="nil"/>
              <w:left w:val="single" w:sz="4" w:space="0" w:color="auto"/>
              <w:bottom w:val="single" w:sz="4" w:space="0" w:color="auto"/>
              <w:right w:val="nil"/>
            </w:tcBorders>
            <w:noWrap/>
            <w:vAlign w:val="center"/>
            <w:hideMark/>
          </w:tcPr>
          <w:p w14:paraId="25BC4BA3" w14:textId="77777777" w:rsidR="00EA3205" w:rsidRPr="00F31A39" w:rsidRDefault="00EA3205" w:rsidP="00EA3205">
            <w:pPr>
              <w:rPr>
                <w:rFonts w:ascii="AcadNusx" w:hAnsi="AcadNusx"/>
                <w:sz w:val="20"/>
              </w:rPr>
            </w:pPr>
            <w:r w:rsidRPr="00F31A39">
              <w:rPr>
                <w:rFonts w:ascii="AcadNusx" w:hAnsi="AcadNusx"/>
                <w:sz w:val="20"/>
              </w:rPr>
              <w:t>27+274 - 27+374</w:t>
            </w:r>
          </w:p>
        </w:tc>
        <w:tc>
          <w:tcPr>
            <w:tcW w:w="2410" w:type="dxa"/>
            <w:tcBorders>
              <w:top w:val="single" w:sz="8" w:space="0" w:color="auto"/>
              <w:left w:val="single" w:sz="8" w:space="0" w:color="auto"/>
              <w:bottom w:val="single" w:sz="8" w:space="0" w:color="auto"/>
              <w:right w:val="single" w:sz="8" w:space="0" w:color="auto"/>
            </w:tcBorders>
            <w:noWrap/>
            <w:vAlign w:val="center"/>
            <w:hideMark/>
          </w:tcPr>
          <w:p w14:paraId="43AE696E" w14:textId="77777777" w:rsidR="00EA3205" w:rsidRPr="00F31A39" w:rsidRDefault="00EA3205" w:rsidP="00EA3205">
            <w:pPr>
              <w:rPr>
                <w:rFonts w:ascii="AcadNusx" w:hAnsi="AcadNusx"/>
                <w:sz w:val="20"/>
              </w:rPr>
            </w:pPr>
            <w:r w:rsidRPr="00F31A39">
              <w:rPr>
                <w:rFonts w:ascii="AcadNusx" w:hAnsi="AcadNusx"/>
                <w:sz w:val="20"/>
              </w:rPr>
              <w:t>-</w:t>
            </w:r>
          </w:p>
        </w:tc>
        <w:tc>
          <w:tcPr>
            <w:tcW w:w="2268" w:type="dxa"/>
            <w:tcBorders>
              <w:top w:val="single" w:sz="8" w:space="0" w:color="auto"/>
              <w:left w:val="nil"/>
              <w:bottom w:val="single" w:sz="8" w:space="0" w:color="auto"/>
              <w:right w:val="single" w:sz="8" w:space="0" w:color="auto"/>
            </w:tcBorders>
            <w:noWrap/>
            <w:vAlign w:val="center"/>
            <w:hideMark/>
          </w:tcPr>
          <w:p w14:paraId="150F8A2A" w14:textId="77777777" w:rsidR="00EA3205" w:rsidRPr="00F31A39" w:rsidRDefault="00EA3205" w:rsidP="00EA3205">
            <w:pPr>
              <w:rPr>
                <w:rFonts w:ascii="AcadNusx" w:hAnsi="AcadNusx"/>
                <w:sz w:val="20"/>
              </w:rPr>
            </w:pPr>
            <w:r w:rsidRPr="00F31A39">
              <w:rPr>
                <w:rFonts w:ascii="AcadNusx" w:hAnsi="AcadNusx"/>
                <w:sz w:val="20"/>
              </w:rPr>
              <w:t>110</w:t>
            </w:r>
          </w:p>
        </w:tc>
        <w:tc>
          <w:tcPr>
            <w:tcW w:w="2693" w:type="dxa"/>
            <w:tcBorders>
              <w:top w:val="nil"/>
              <w:left w:val="nil"/>
              <w:bottom w:val="single" w:sz="4" w:space="0" w:color="auto"/>
              <w:right w:val="single" w:sz="8" w:space="0" w:color="auto"/>
            </w:tcBorders>
            <w:vAlign w:val="center"/>
            <w:hideMark/>
          </w:tcPr>
          <w:p w14:paraId="103421A3" w14:textId="77777777" w:rsidR="00EA3205" w:rsidRPr="00F31A39" w:rsidRDefault="00EA3205" w:rsidP="00EA3205">
            <w:pPr>
              <w:rPr>
                <w:rFonts w:ascii="AcadNusx" w:hAnsi="AcadNusx"/>
                <w:sz w:val="20"/>
              </w:rPr>
            </w:pPr>
            <w:r w:rsidRPr="00F31A39">
              <w:rPr>
                <w:rFonts w:ascii="AcadNusx" w:hAnsi="AcadNusx"/>
                <w:sz w:val="20"/>
              </w:rPr>
              <w:t>gzis marcxena mxares gadasatani mili</w:t>
            </w:r>
          </w:p>
        </w:tc>
      </w:tr>
      <w:tr w:rsidR="00EA3205" w:rsidRPr="00F31A39" w14:paraId="3227FC76" w14:textId="77777777" w:rsidTr="00EA3205">
        <w:tc>
          <w:tcPr>
            <w:tcW w:w="1990" w:type="dxa"/>
            <w:tcBorders>
              <w:top w:val="nil"/>
              <w:left w:val="single" w:sz="4" w:space="0" w:color="auto"/>
              <w:bottom w:val="single" w:sz="4" w:space="0" w:color="auto"/>
              <w:right w:val="nil"/>
            </w:tcBorders>
            <w:noWrap/>
            <w:vAlign w:val="center"/>
            <w:hideMark/>
          </w:tcPr>
          <w:p w14:paraId="4E7E032C" w14:textId="77777777" w:rsidR="00EA3205" w:rsidRPr="00F31A39" w:rsidRDefault="00EA3205" w:rsidP="00EA3205">
            <w:pPr>
              <w:rPr>
                <w:rFonts w:ascii="AcadNusx" w:hAnsi="AcadNusx"/>
                <w:sz w:val="20"/>
              </w:rPr>
            </w:pPr>
            <w:r w:rsidRPr="00F31A39">
              <w:rPr>
                <w:rFonts w:ascii="AcadNusx" w:hAnsi="AcadNusx"/>
                <w:sz w:val="20"/>
              </w:rPr>
              <w:t>27+370</w:t>
            </w:r>
          </w:p>
        </w:tc>
        <w:tc>
          <w:tcPr>
            <w:tcW w:w="2410" w:type="dxa"/>
            <w:tcBorders>
              <w:top w:val="nil"/>
              <w:left w:val="single" w:sz="8" w:space="0" w:color="auto"/>
              <w:bottom w:val="single" w:sz="4" w:space="0" w:color="auto"/>
              <w:right w:val="single" w:sz="8" w:space="0" w:color="auto"/>
            </w:tcBorders>
            <w:noWrap/>
            <w:vAlign w:val="center"/>
            <w:hideMark/>
          </w:tcPr>
          <w:p w14:paraId="534C81B4" w14:textId="77777777" w:rsidR="00EA3205" w:rsidRPr="00F31A39" w:rsidRDefault="00EA3205" w:rsidP="00EA3205">
            <w:pPr>
              <w:rPr>
                <w:rFonts w:ascii="AcadNusx" w:hAnsi="AcadNusx"/>
                <w:sz w:val="20"/>
              </w:rPr>
            </w:pPr>
            <w:r w:rsidRPr="00F31A39">
              <w:rPr>
                <w:rFonts w:ascii="AcadNusx" w:hAnsi="AcadNusx"/>
                <w:sz w:val="20"/>
              </w:rPr>
              <w:t>45</w:t>
            </w:r>
          </w:p>
        </w:tc>
        <w:tc>
          <w:tcPr>
            <w:tcW w:w="2268" w:type="dxa"/>
            <w:tcBorders>
              <w:top w:val="nil"/>
              <w:left w:val="nil"/>
              <w:bottom w:val="single" w:sz="4" w:space="0" w:color="auto"/>
              <w:right w:val="single" w:sz="4" w:space="0" w:color="auto"/>
            </w:tcBorders>
            <w:noWrap/>
            <w:vAlign w:val="center"/>
            <w:hideMark/>
          </w:tcPr>
          <w:p w14:paraId="3918C49C" w14:textId="77777777" w:rsidR="00EA3205" w:rsidRPr="00F31A39" w:rsidRDefault="00EA3205" w:rsidP="00EA3205">
            <w:pPr>
              <w:rPr>
                <w:rFonts w:ascii="AcadNusx" w:hAnsi="AcadNusx"/>
                <w:sz w:val="20"/>
              </w:rPr>
            </w:pPr>
            <w:r w:rsidRPr="00F31A39">
              <w:rPr>
                <w:rFonts w:ascii="AcadNusx" w:hAnsi="AcadNusx"/>
                <w:sz w:val="20"/>
              </w:rPr>
              <w:t> </w:t>
            </w:r>
          </w:p>
        </w:tc>
        <w:tc>
          <w:tcPr>
            <w:tcW w:w="2693" w:type="dxa"/>
            <w:tcBorders>
              <w:top w:val="nil"/>
              <w:left w:val="nil"/>
              <w:bottom w:val="single" w:sz="4" w:space="0" w:color="auto"/>
              <w:right w:val="single" w:sz="8" w:space="0" w:color="auto"/>
            </w:tcBorders>
            <w:noWrap/>
            <w:vAlign w:val="center"/>
            <w:hideMark/>
          </w:tcPr>
          <w:p w14:paraId="063B75EF" w14:textId="77777777" w:rsidR="00EA3205" w:rsidRPr="00F31A39" w:rsidRDefault="00EA3205" w:rsidP="00EA3205">
            <w:pPr>
              <w:rPr>
                <w:rFonts w:ascii="AcadNusx" w:hAnsi="AcadNusx"/>
                <w:sz w:val="20"/>
              </w:rPr>
            </w:pPr>
            <w:r w:rsidRPr="00F31A39">
              <w:rPr>
                <w:rFonts w:ascii="AcadNusx" w:hAnsi="AcadNusx"/>
                <w:sz w:val="20"/>
              </w:rPr>
              <w:t> </w:t>
            </w:r>
          </w:p>
        </w:tc>
      </w:tr>
      <w:tr w:rsidR="00EA3205" w:rsidRPr="00F31A39" w14:paraId="78809254" w14:textId="77777777" w:rsidTr="00EA3205">
        <w:tc>
          <w:tcPr>
            <w:tcW w:w="1990" w:type="dxa"/>
            <w:tcBorders>
              <w:top w:val="nil"/>
              <w:left w:val="single" w:sz="4" w:space="0" w:color="auto"/>
              <w:bottom w:val="single" w:sz="4" w:space="0" w:color="auto"/>
              <w:right w:val="nil"/>
            </w:tcBorders>
            <w:noWrap/>
            <w:vAlign w:val="center"/>
            <w:hideMark/>
          </w:tcPr>
          <w:p w14:paraId="430CFBE8" w14:textId="77777777" w:rsidR="00EA3205" w:rsidRPr="00F31A39" w:rsidRDefault="00EA3205" w:rsidP="00EA3205">
            <w:pPr>
              <w:rPr>
                <w:rFonts w:ascii="AcadNusx" w:hAnsi="AcadNusx"/>
                <w:sz w:val="20"/>
              </w:rPr>
            </w:pPr>
            <w:r w:rsidRPr="00F31A39">
              <w:rPr>
                <w:rFonts w:ascii="AcadNusx" w:hAnsi="AcadNusx"/>
                <w:sz w:val="20"/>
              </w:rPr>
              <w:t>28+908</w:t>
            </w:r>
          </w:p>
        </w:tc>
        <w:tc>
          <w:tcPr>
            <w:tcW w:w="2410" w:type="dxa"/>
            <w:tcBorders>
              <w:top w:val="nil"/>
              <w:left w:val="single" w:sz="8" w:space="0" w:color="auto"/>
              <w:bottom w:val="single" w:sz="4" w:space="0" w:color="auto"/>
              <w:right w:val="single" w:sz="8" w:space="0" w:color="auto"/>
            </w:tcBorders>
            <w:noWrap/>
            <w:vAlign w:val="center"/>
            <w:hideMark/>
          </w:tcPr>
          <w:p w14:paraId="6428C03B" w14:textId="77777777" w:rsidR="00EA3205" w:rsidRPr="00F31A39" w:rsidRDefault="00EA3205" w:rsidP="00EA3205">
            <w:pPr>
              <w:rPr>
                <w:rFonts w:ascii="AcadNusx" w:hAnsi="AcadNusx"/>
                <w:sz w:val="20"/>
              </w:rPr>
            </w:pPr>
            <w:r w:rsidRPr="00F31A39">
              <w:rPr>
                <w:rFonts w:ascii="AcadNusx" w:hAnsi="AcadNusx"/>
                <w:sz w:val="20"/>
              </w:rPr>
              <w:t>50</w:t>
            </w:r>
          </w:p>
        </w:tc>
        <w:tc>
          <w:tcPr>
            <w:tcW w:w="2268" w:type="dxa"/>
            <w:tcBorders>
              <w:top w:val="nil"/>
              <w:left w:val="nil"/>
              <w:bottom w:val="single" w:sz="4" w:space="0" w:color="auto"/>
              <w:right w:val="single" w:sz="4" w:space="0" w:color="auto"/>
            </w:tcBorders>
            <w:noWrap/>
            <w:vAlign w:val="center"/>
            <w:hideMark/>
          </w:tcPr>
          <w:p w14:paraId="0A63862E" w14:textId="77777777" w:rsidR="00EA3205" w:rsidRPr="00F31A39" w:rsidRDefault="00EA3205" w:rsidP="00EA3205">
            <w:pPr>
              <w:rPr>
                <w:rFonts w:ascii="AcadNusx" w:hAnsi="AcadNusx"/>
                <w:sz w:val="20"/>
              </w:rPr>
            </w:pPr>
            <w:r w:rsidRPr="00F31A39">
              <w:rPr>
                <w:rFonts w:ascii="AcadNusx" w:hAnsi="AcadNusx"/>
                <w:sz w:val="20"/>
              </w:rPr>
              <w:t> </w:t>
            </w:r>
          </w:p>
        </w:tc>
        <w:tc>
          <w:tcPr>
            <w:tcW w:w="2693" w:type="dxa"/>
            <w:tcBorders>
              <w:top w:val="nil"/>
              <w:left w:val="nil"/>
              <w:bottom w:val="single" w:sz="4" w:space="0" w:color="auto"/>
              <w:right w:val="single" w:sz="8" w:space="0" w:color="auto"/>
            </w:tcBorders>
            <w:noWrap/>
            <w:vAlign w:val="center"/>
            <w:hideMark/>
          </w:tcPr>
          <w:p w14:paraId="271F5805" w14:textId="77777777" w:rsidR="00EA3205" w:rsidRPr="00F31A39" w:rsidRDefault="00EA3205" w:rsidP="00EA3205">
            <w:pPr>
              <w:rPr>
                <w:rFonts w:ascii="AcadNusx" w:hAnsi="AcadNusx"/>
                <w:sz w:val="20"/>
              </w:rPr>
            </w:pPr>
            <w:r w:rsidRPr="00F31A39">
              <w:rPr>
                <w:rFonts w:ascii="AcadNusx" w:hAnsi="AcadNusx"/>
                <w:sz w:val="20"/>
              </w:rPr>
              <w:t> </w:t>
            </w:r>
          </w:p>
        </w:tc>
      </w:tr>
      <w:tr w:rsidR="00EA3205" w:rsidRPr="00F31A39" w14:paraId="7CB541C9" w14:textId="77777777" w:rsidTr="00EA3205">
        <w:tc>
          <w:tcPr>
            <w:tcW w:w="1990" w:type="dxa"/>
            <w:tcBorders>
              <w:top w:val="nil"/>
              <w:left w:val="single" w:sz="4" w:space="0" w:color="auto"/>
              <w:bottom w:val="single" w:sz="4" w:space="0" w:color="auto"/>
              <w:right w:val="nil"/>
            </w:tcBorders>
            <w:noWrap/>
            <w:vAlign w:val="center"/>
            <w:hideMark/>
          </w:tcPr>
          <w:p w14:paraId="777A8A89" w14:textId="77777777" w:rsidR="00EA3205" w:rsidRPr="00F31A39" w:rsidRDefault="00EA3205" w:rsidP="00EA3205">
            <w:pPr>
              <w:rPr>
                <w:rFonts w:ascii="AcadNusx" w:hAnsi="AcadNusx"/>
                <w:sz w:val="20"/>
              </w:rPr>
            </w:pPr>
            <w:r w:rsidRPr="00F31A39">
              <w:rPr>
                <w:rFonts w:ascii="AcadNusx" w:hAnsi="AcadNusx"/>
                <w:sz w:val="20"/>
              </w:rPr>
              <w:t>30+236</w:t>
            </w:r>
          </w:p>
        </w:tc>
        <w:tc>
          <w:tcPr>
            <w:tcW w:w="2410" w:type="dxa"/>
            <w:tcBorders>
              <w:top w:val="nil"/>
              <w:left w:val="single" w:sz="8" w:space="0" w:color="auto"/>
              <w:bottom w:val="single" w:sz="4" w:space="0" w:color="auto"/>
              <w:right w:val="single" w:sz="8" w:space="0" w:color="auto"/>
            </w:tcBorders>
            <w:noWrap/>
            <w:vAlign w:val="center"/>
            <w:hideMark/>
          </w:tcPr>
          <w:p w14:paraId="3321AADF" w14:textId="77777777" w:rsidR="00EA3205" w:rsidRPr="00F31A39" w:rsidRDefault="00EA3205" w:rsidP="00EA3205">
            <w:pPr>
              <w:rPr>
                <w:rFonts w:ascii="AcadNusx" w:hAnsi="AcadNusx"/>
                <w:sz w:val="20"/>
              </w:rPr>
            </w:pPr>
            <w:r w:rsidRPr="00F31A39">
              <w:rPr>
                <w:rFonts w:ascii="AcadNusx" w:hAnsi="AcadNusx"/>
                <w:sz w:val="20"/>
              </w:rPr>
              <w:t>50</w:t>
            </w:r>
          </w:p>
        </w:tc>
        <w:tc>
          <w:tcPr>
            <w:tcW w:w="2268" w:type="dxa"/>
            <w:tcBorders>
              <w:top w:val="nil"/>
              <w:left w:val="nil"/>
              <w:bottom w:val="single" w:sz="4" w:space="0" w:color="auto"/>
              <w:right w:val="single" w:sz="4" w:space="0" w:color="auto"/>
            </w:tcBorders>
            <w:noWrap/>
            <w:vAlign w:val="center"/>
            <w:hideMark/>
          </w:tcPr>
          <w:p w14:paraId="2DA505A7" w14:textId="77777777" w:rsidR="00EA3205" w:rsidRPr="00F31A39" w:rsidRDefault="00EA3205" w:rsidP="00EA3205">
            <w:pPr>
              <w:rPr>
                <w:rFonts w:ascii="AcadNusx" w:hAnsi="AcadNusx"/>
                <w:sz w:val="20"/>
              </w:rPr>
            </w:pPr>
            <w:r w:rsidRPr="00F31A39">
              <w:rPr>
                <w:rFonts w:ascii="AcadNusx" w:hAnsi="AcadNusx"/>
                <w:sz w:val="20"/>
              </w:rPr>
              <w:t> </w:t>
            </w:r>
          </w:p>
        </w:tc>
        <w:tc>
          <w:tcPr>
            <w:tcW w:w="2693" w:type="dxa"/>
            <w:tcBorders>
              <w:top w:val="nil"/>
              <w:left w:val="nil"/>
              <w:bottom w:val="single" w:sz="4" w:space="0" w:color="auto"/>
              <w:right w:val="single" w:sz="8" w:space="0" w:color="auto"/>
            </w:tcBorders>
            <w:noWrap/>
            <w:vAlign w:val="center"/>
          </w:tcPr>
          <w:p w14:paraId="2ED6ACF0" w14:textId="77777777" w:rsidR="00EA3205" w:rsidRPr="00F31A39" w:rsidRDefault="00EA3205" w:rsidP="00EA3205">
            <w:pPr>
              <w:rPr>
                <w:rFonts w:ascii="AcadNusx" w:hAnsi="AcadNusx"/>
                <w:sz w:val="20"/>
              </w:rPr>
            </w:pPr>
          </w:p>
        </w:tc>
      </w:tr>
      <w:tr w:rsidR="00EA3205" w:rsidRPr="00F31A39" w14:paraId="2B9C3485" w14:textId="77777777" w:rsidTr="00EA3205">
        <w:tc>
          <w:tcPr>
            <w:tcW w:w="1990" w:type="dxa"/>
            <w:tcBorders>
              <w:top w:val="nil"/>
              <w:left w:val="single" w:sz="4" w:space="0" w:color="auto"/>
              <w:bottom w:val="single" w:sz="4" w:space="0" w:color="auto"/>
              <w:right w:val="nil"/>
            </w:tcBorders>
            <w:noWrap/>
            <w:vAlign w:val="center"/>
            <w:hideMark/>
          </w:tcPr>
          <w:p w14:paraId="50A9AA9D" w14:textId="77777777" w:rsidR="00EA3205" w:rsidRPr="00F31A39" w:rsidRDefault="00EA3205" w:rsidP="00EA3205">
            <w:pPr>
              <w:rPr>
                <w:rFonts w:ascii="AcadNusx" w:hAnsi="AcadNusx"/>
                <w:sz w:val="20"/>
              </w:rPr>
            </w:pPr>
            <w:r w:rsidRPr="00F31A39">
              <w:rPr>
                <w:rFonts w:ascii="AcadNusx" w:hAnsi="AcadNusx"/>
                <w:sz w:val="20"/>
              </w:rPr>
              <w:t>30+236</w:t>
            </w:r>
          </w:p>
        </w:tc>
        <w:tc>
          <w:tcPr>
            <w:tcW w:w="2410" w:type="dxa"/>
            <w:tcBorders>
              <w:top w:val="nil"/>
              <w:left w:val="single" w:sz="8" w:space="0" w:color="auto"/>
              <w:bottom w:val="single" w:sz="4" w:space="0" w:color="auto"/>
              <w:right w:val="single" w:sz="8" w:space="0" w:color="auto"/>
            </w:tcBorders>
            <w:noWrap/>
            <w:vAlign w:val="center"/>
            <w:hideMark/>
          </w:tcPr>
          <w:p w14:paraId="180326C6" w14:textId="77777777" w:rsidR="00EA3205" w:rsidRPr="00F31A39" w:rsidRDefault="00EA3205" w:rsidP="00EA3205">
            <w:pPr>
              <w:rPr>
                <w:rFonts w:ascii="AcadNusx" w:hAnsi="AcadNusx"/>
                <w:sz w:val="20"/>
              </w:rPr>
            </w:pPr>
            <w:r w:rsidRPr="00F31A39">
              <w:rPr>
                <w:rFonts w:ascii="AcadNusx" w:hAnsi="AcadNusx"/>
                <w:sz w:val="20"/>
              </w:rPr>
              <w:t>30</w:t>
            </w:r>
          </w:p>
        </w:tc>
        <w:tc>
          <w:tcPr>
            <w:tcW w:w="2268" w:type="dxa"/>
            <w:tcBorders>
              <w:top w:val="nil"/>
              <w:left w:val="nil"/>
              <w:bottom w:val="single" w:sz="4" w:space="0" w:color="auto"/>
              <w:right w:val="single" w:sz="4" w:space="0" w:color="auto"/>
            </w:tcBorders>
            <w:noWrap/>
            <w:vAlign w:val="center"/>
            <w:hideMark/>
          </w:tcPr>
          <w:p w14:paraId="4BF33652" w14:textId="77777777" w:rsidR="00EA3205" w:rsidRPr="00F31A39" w:rsidRDefault="00EA3205" w:rsidP="00EA3205">
            <w:pPr>
              <w:rPr>
                <w:rFonts w:ascii="AcadNusx" w:hAnsi="AcadNusx"/>
                <w:sz w:val="20"/>
              </w:rPr>
            </w:pPr>
            <w:r w:rsidRPr="00F31A39">
              <w:rPr>
                <w:rFonts w:ascii="AcadNusx" w:hAnsi="AcadNusx"/>
                <w:sz w:val="20"/>
              </w:rPr>
              <w:t> </w:t>
            </w:r>
          </w:p>
        </w:tc>
        <w:tc>
          <w:tcPr>
            <w:tcW w:w="2693" w:type="dxa"/>
            <w:tcBorders>
              <w:top w:val="nil"/>
              <w:left w:val="nil"/>
              <w:bottom w:val="single" w:sz="4" w:space="0" w:color="auto"/>
              <w:right w:val="single" w:sz="8" w:space="0" w:color="auto"/>
            </w:tcBorders>
            <w:noWrap/>
            <w:vAlign w:val="center"/>
          </w:tcPr>
          <w:p w14:paraId="4C77D110" w14:textId="77777777" w:rsidR="00EA3205" w:rsidRPr="00F31A39" w:rsidRDefault="00EA3205" w:rsidP="00EA3205">
            <w:pPr>
              <w:rPr>
                <w:rFonts w:ascii="AcadNusx" w:hAnsi="AcadNusx"/>
                <w:sz w:val="20"/>
              </w:rPr>
            </w:pPr>
          </w:p>
        </w:tc>
      </w:tr>
      <w:tr w:rsidR="00EA3205" w:rsidRPr="00F31A39" w14:paraId="602F60C9" w14:textId="77777777" w:rsidTr="00EA3205">
        <w:tc>
          <w:tcPr>
            <w:tcW w:w="1990" w:type="dxa"/>
            <w:tcBorders>
              <w:top w:val="nil"/>
              <w:left w:val="single" w:sz="4" w:space="0" w:color="auto"/>
              <w:bottom w:val="single" w:sz="8" w:space="0" w:color="auto"/>
              <w:right w:val="nil"/>
            </w:tcBorders>
            <w:noWrap/>
            <w:vAlign w:val="center"/>
            <w:hideMark/>
          </w:tcPr>
          <w:p w14:paraId="2297A6C3" w14:textId="77777777" w:rsidR="00EA3205" w:rsidRPr="00F31A39" w:rsidRDefault="00EA3205" w:rsidP="00EA3205">
            <w:pPr>
              <w:rPr>
                <w:rFonts w:ascii="AcadNusx" w:hAnsi="AcadNusx"/>
                <w:sz w:val="20"/>
              </w:rPr>
            </w:pPr>
            <w:r w:rsidRPr="00F31A39">
              <w:rPr>
                <w:rFonts w:ascii="AcadNusx" w:hAnsi="AcadNusx"/>
                <w:sz w:val="20"/>
              </w:rPr>
              <w:t>35+642</w:t>
            </w:r>
          </w:p>
        </w:tc>
        <w:tc>
          <w:tcPr>
            <w:tcW w:w="2410" w:type="dxa"/>
            <w:tcBorders>
              <w:top w:val="nil"/>
              <w:left w:val="single" w:sz="8" w:space="0" w:color="auto"/>
              <w:bottom w:val="single" w:sz="8" w:space="0" w:color="auto"/>
              <w:right w:val="single" w:sz="8" w:space="0" w:color="auto"/>
            </w:tcBorders>
            <w:noWrap/>
            <w:vAlign w:val="center"/>
            <w:hideMark/>
          </w:tcPr>
          <w:p w14:paraId="2EE55584" w14:textId="77777777" w:rsidR="00EA3205" w:rsidRPr="00F31A39" w:rsidRDefault="00EA3205" w:rsidP="00EA3205">
            <w:pPr>
              <w:rPr>
                <w:rFonts w:ascii="AcadNusx" w:hAnsi="AcadNusx"/>
                <w:sz w:val="20"/>
              </w:rPr>
            </w:pPr>
            <w:r w:rsidRPr="00F31A39">
              <w:rPr>
                <w:rFonts w:ascii="AcadNusx" w:hAnsi="AcadNusx"/>
                <w:sz w:val="20"/>
              </w:rPr>
              <w:t>25</w:t>
            </w:r>
          </w:p>
        </w:tc>
        <w:tc>
          <w:tcPr>
            <w:tcW w:w="2268" w:type="dxa"/>
            <w:tcBorders>
              <w:top w:val="nil"/>
              <w:left w:val="nil"/>
              <w:bottom w:val="single" w:sz="8" w:space="0" w:color="auto"/>
              <w:right w:val="single" w:sz="4" w:space="0" w:color="auto"/>
            </w:tcBorders>
            <w:noWrap/>
            <w:vAlign w:val="center"/>
            <w:hideMark/>
          </w:tcPr>
          <w:p w14:paraId="2F0E7827" w14:textId="77777777" w:rsidR="00EA3205" w:rsidRPr="00F31A39" w:rsidRDefault="00EA3205" w:rsidP="00EA3205">
            <w:pPr>
              <w:rPr>
                <w:rFonts w:ascii="AcadNusx" w:hAnsi="AcadNusx"/>
                <w:sz w:val="20"/>
              </w:rPr>
            </w:pPr>
            <w:r w:rsidRPr="00F31A39">
              <w:rPr>
                <w:rFonts w:ascii="AcadNusx" w:hAnsi="AcadNusx"/>
                <w:sz w:val="20"/>
              </w:rPr>
              <w:t> </w:t>
            </w:r>
          </w:p>
        </w:tc>
        <w:tc>
          <w:tcPr>
            <w:tcW w:w="2693" w:type="dxa"/>
            <w:tcBorders>
              <w:top w:val="nil"/>
              <w:left w:val="nil"/>
              <w:bottom w:val="single" w:sz="8" w:space="0" w:color="auto"/>
              <w:right w:val="single" w:sz="8" w:space="0" w:color="auto"/>
            </w:tcBorders>
            <w:noWrap/>
            <w:vAlign w:val="center"/>
            <w:hideMark/>
          </w:tcPr>
          <w:p w14:paraId="592449C8" w14:textId="77777777" w:rsidR="00EA3205" w:rsidRPr="00F31A39" w:rsidRDefault="00EA3205" w:rsidP="00EA3205">
            <w:pPr>
              <w:rPr>
                <w:rFonts w:ascii="AcadNusx" w:hAnsi="AcadNusx"/>
                <w:sz w:val="20"/>
              </w:rPr>
            </w:pPr>
            <w:r w:rsidRPr="00F31A39">
              <w:rPr>
                <w:rFonts w:ascii="AcadNusx" w:hAnsi="AcadNusx"/>
                <w:sz w:val="20"/>
              </w:rPr>
              <w:t> </w:t>
            </w:r>
          </w:p>
        </w:tc>
      </w:tr>
    </w:tbl>
    <w:p w14:paraId="7B754D07" w14:textId="090A13FB" w:rsidR="00EA3205" w:rsidRPr="00B05F62" w:rsidRDefault="00EA3205" w:rsidP="00F31A39">
      <w:pPr>
        <w:spacing w:before="120" w:after="120"/>
        <w:rPr>
          <w:rFonts w:ascii="AcadNusx" w:hAnsi="AcadNusx"/>
        </w:rPr>
      </w:pPr>
      <w:r w:rsidRPr="00B05F62">
        <w:rPr>
          <w:rFonts w:ascii="AcadNusx" w:hAnsi="AcadNusx"/>
        </w:rPr>
        <w:t>cxrili 4.1</w:t>
      </w:r>
      <w:r w:rsidR="00ED417F">
        <w:rPr>
          <w:rFonts w:ascii="AcadNusx" w:hAnsi="AcadNusx"/>
        </w:rPr>
        <w:t>5-</w:t>
      </w:r>
      <w:r w:rsidRPr="00B05F62">
        <w:rPr>
          <w:rFonts w:ascii="AcadNusx" w:hAnsi="AcadNusx"/>
        </w:rPr>
        <w:t>.2.</w:t>
      </w:r>
      <w:r w:rsidRPr="00B05F62">
        <w:rPr>
          <w:rFonts w:ascii="AcadNusx" w:hAnsi="AcadNusx"/>
        </w:rPr>
        <w:tab/>
        <w:t>proeqtis teritoriaze zemoqmedebis qveS moqceuli eleqtrogadamcemi xazebis (“e.g.x.”) monacemebi</w:t>
      </w:r>
    </w:p>
    <w:tbl>
      <w:tblPr>
        <w:tblW w:w="9931" w:type="dxa"/>
        <w:tblInd w:w="65" w:type="dxa"/>
        <w:tblLayout w:type="fixed"/>
        <w:tblCellMar>
          <w:left w:w="70" w:type="dxa"/>
          <w:right w:w="70" w:type="dxa"/>
        </w:tblCellMar>
        <w:tblLook w:val="04A0" w:firstRow="1" w:lastRow="0" w:firstColumn="1" w:lastColumn="0" w:noHBand="0" w:noVBand="1"/>
      </w:tblPr>
      <w:tblGrid>
        <w:gridCol w:w="1281"/>
        <w:gridCol w:w="1559"/>
        <w:gridCol w:w="2130"/>
        <w:gridCol w:w="4961"/>
      </w:tblGrid>
      <w:tr w:rsidR="00EA3205" w:rsidRPr="00B05F62" w14:paraId="4E91D6CD" w14:textId="77777777" w:rsidTr="00F31A39">
        <w:trPr>
          <w:tblHeader/>
        </w:trPr>
        <w:tc>
          <w:tcPr>
            <w:tcW w:w="1281" w:type="dxa"/>
            <w:vMerge w:val="restart"/>
            <w:tcBorders>
              <w:top w:val="single" w:sz="8" w:space="0" w:color="auto"/>
              <w:left w:val="single" w:sz="4" w:space="0" w:color="auto"/>
              <w:bottom w:val="single" w:sz="4" w:space="0" w:color="auto"/>
              <w:right w:val="single" w:sz="4" w:space="0" w:color="auto"/>
            </w:tcBorders>
            <w:shd w:val="clear" w:color="auto" w:fill="E0E0E0"/>
            <w:vAlign w:val="center"/>
            <w:hideMark/>
          </w:tcPr>
          <w:p w14:paraId="5E190239" w14:textId="77777777" w:rsidR="00EA3205" w:rsidRPr="00F31A39" w:rsidRDefault="00EA3205" w:rsidP="00EA3205">
            <w:pPr>
              <w:rPr>
                <w:rFonts w:ascii="AcadNusx" w:hAnsi="AcadNusx"/>
                <w:sz w:val="20"/>
              </w:rPr>
            </w:pPr>
            <w:r w:rsidRPr="00F31A39">
              <w:rPr>
                <w:rFonts w:ascii="AcadNusx" w:hAnsi="AcadNusx"/>
                <w:sz w:val="20"/>
              </w:rPr>
              <w:t>e.g.x.-is mdebareoba (km+m)</w:t>
            </w:r>
          </w:p>
        </w:tc>
        <w:tc>
          <w:tcPr>
            <w:tcW w:w="3689" w:type="dxa"/>
            <w:gridSpan w:val="2"/>
            <w:tcBorders>
              <w:top w:val="single" w:sz="8" w:space="0" w:color="auto"/>
              <w:left w:val="nil"/>
              <w:bottom w:val="nil"/>
              <w:right w:val="single" w:sz="4" w:space="0" w:color="000000"/>
            </w:tcBorders>
            <w:shd w:val="clear" w:color="auto" w:fill="E0E0E0"/>
            <w:vAlign w:val="center"/>
            <w:hideMark/>
          </w:tcPr>
          <w:p w14:paraId="00772824" w14:textId="77777777" w:rsidR="00EA3205" w:rsidRPr="00F31A39" w:rsidRDefault="00EA3205" w:rsidP="00EA3205">
            <w:pPr>
              <w:rPr>
                <w:rFonts w:ascii="AcadNusx" w:hAnsi="AcadNusx"/>
                <w:sz w:val="20"/>
              </w:rPr>
            </w:pPr>
            <w:r w:rsidRPr="00F31A39">
              <w:rPr>
                <w:rFonts w:ascii="AcadNusx" w:hAnsi="AcadNusx"/>
                <w:sz w:val="20"/>
              </w:rPr>
              <w:t>gadasatani monakveTis sigrZe (m)</w:t>
            </w:r>
          </w:p>
        </w:tc>
        <w:tc>
          <w:tcPr>
            <w:tcW w:w="4961" w:type="dxa"/>
            <w:vMerge w:val="restart"/>
            <w:tcBorders>
              <w:top w:val="single" w:sz="8" w:space="0" w:color="auto"/>
              <w:left w:val="nil"/>
              <w:bottom w:val="single" w:sz="4" w:space="0" w:color="auto"/>
              <w:right w:val="single" w:sz="4" w:space="0" w:color="auto"/>
            </w:tcBorders>
            <w:shd w:val="clear" w:color="auto" w:fill="E0E0E0"/>
            <w:vAlign w:val="center"/>
            <w:hideMark/>
          </w:tcPr>
          <w:p w14:paraId="764BA1F9" w14:textId="77777777" w:rsidR="00EA3205" w:rsidRPr="00F31A39" w:rsidRDefault="00EA3205" w:rsidP="00EA3205">
            <w:pPr>
              <w:rPr>
                <w:rFonts w:ascii="AcadNusx" w:hAnsi="AcadNusx"/>
                <w:sz w:val="20"/>
              </w:rPr>
            </w:pPr>
            <w:r w:rsidRPr="00F31A39">
              <w:rPr>
                <w:rFonts w:ascii="AcadNusx" w:hAnsi="AcadNusx"/>
                <w:sz w:val="20"/>
              </w:rPr>
              <w:t>SeniSvnebi</w:t>
            </w:r>
          </w:p>
        </w:tc>
      </w:tr>
      <w:tr w:rsidR="00EA3205" w:rsidRPr="00B05F62" w14:paraId="635E9F1C" w14:textId="77777777" w:rsidTr="00F31A39">
        <w:trPr>
          <w:tblHeader/>
        </w:trPr>
        <w:tc>
          <w:tcPr>
            <w:tcW w:w="1281" w:type="dxa"/>
            <w:vMerge/>
            <w:tcBorders>
              <w:top w:val="single" w:sz="8" w:space="0" w:color="auto"/>
              <w:left w:val="single" w:sz="4" w:space="0" w:color="auto"/>
              <w:bottom w:val="single" w:sz="4" w:space="0" w:color="auto"/>
              <w:right w:val="single" w:sz="4" w:space="0" w:color="auto"/>
            </w:tcBorders>
            <w:vAlign w:val="center"/>
            <w:hideMark/>
          </w:tcPr>
          <w:p w14:paraId="4BEA59E7" w14:textId="77777777" w:rsidR="00EA3205" w:rsidRPr="00F31A39" w:rsidRDefault="00EA3205" w:rsidP="00EA3205">
            <w:pPr>
              <w:rPr>
                <w:rFonts w:ascii="AcadNusx" w:hAnsi="AcadNusx"/>
                <w:sz w:val="20"/>
              </w:rPr>
            </w:pPr>
          </w:p>
        </w:tc>
        <w:tc>
          <w:tcPr>
            <w:tcW w:w="1559" w:type="dxa"/>
            <w:tcBorders>
              <w:top w:val="nil"/>
              <w:left w:val="nil"/>
              <w:bottom w:val="single" w:sz="4" w:space="0" w:color="auto"/>
              <w:right w:val="single" w:sz="4" w:space="0" w:color="auto"/>
            </w:tcBorders>
            <w:shd w:val="clear" w:color="auto" w:fill="E0E0E0"/>
            <w:vAlign w:val="center"/>
            <w:hideMark/>
          </w:tcPr>
          <w:p w14:paraId="7887CE2D" w14:textId="77777777" w:rsidR="00EA3205" w:rsidRPr="00F31A39" w:rsidRDefault="00EA3205" w:rsidP="00EA3205">
            <w:pPr>
              <w:rPr>
                <w:rFonts w:ascii="AcadNusx" w:hAnsi="AcadNusx"/>
                <w:sz w:val="20"/>
              </w:rPr>
            </w:pPr>
            <w:r w:rsidRPr="00F31A39">
              <w:rPr>
                <w:rFonts w:ascii="AcadNusx" w:hAnsi="AcadNusx"/>
                <w:sz w:val="20"/>
              </w:rPr>
              <w:t>gzis marcxena mxare</w:t>
            </w:r>
          </w:p>
        </w:tc>
        <w:tc>
          <w:tcPr>
            <w:tcW w:w="2130" w:type="dxa"/>
            <w:tcBorders>
              <w:top w:val="nil"/>
              <w:left w:val="nil"/>
              <w:bottom w:val="single" w:sz="4" w:space="0" w:color="auto"/>
              <w:right w:val="single" w:sz="4" w:space="0" w:color="auto"/>
            </w:tcBorders>
            <w:shd w:val="clear" w:color="auto" w:fill="E0E0E0"/>
            <w:vAlign w:val="center"/>
            <w:hideMark/>
          </w:tcPr>
          <w:p w14:paraId="0CFD9DB2" w14:textId="77777777" w:rsidR="00EA3205" w:rsidRPr="00F31A39" w:rsidRDefault="00EA3205" w:rsidP="00EA3205">
            <w:pPr>
              <w:rPr>
                <w:rFonts w:ascii="AcadNusx" w:hAnsi="AcadNusx"/>
                <w:sz w:val="20"/>
              </w:rPr>
            </w:pPr>
            <w:r w:rsidRPr="00F31A39">
              <w:rPr>
                <w:rFonts w:ascii="AcadNusx" w:hAnsi="AcadNusx"/>
                <w:sz w:val="20"/>
              </w:rPr>
              <w:t>gzis marjvena mxare</w:t>
            </w:r>
          </w:p>
        </w:tc>
        <w:tc>
          <w:tcPr>
            <w:tcW w:w="4961" w:type="dxa"/>
            <w:vMerge/>
            <w:tcBorders>
              <w:top w:val="single" w:sz="8" w:space="0" w:color="auto"/>
              <w:left w:val="nil"/>
              <w:bottom w:val="single" w:sz="4" w:space="0" w:color="auto"/>
              <w:right w:val="single" w:sz="4" w:space="0" w:color="auto"/>
            </w:tcBorders>
            <w:vAlign w:val="center"/>
            <w:hideMark/>
          </w:tcPr>
          <w:p w14:paraId="78976730" w14:textId="77777777" w:rsidR="00EA3205" w:rsidRPr="00F31A39" w:rsidRDefault="00EA3205" w:rsidP="00EA3205">
            <w:pPr>
              <w:rPr>
                <w:rFonts w:ascii="AcadNusx" w:hAnsi="AcadNusx"/>
                <w:sz w:val="20"/>
              </w:rPr>
            </w:pPr>
          </w:p>
        </w:tc>
      </w:tr>
      <w:tr w:rsidR="00EA3205" w:rsidRPr="00B05F62" w14:paraId="47A4E89E" w14:textId="77777777" w:rsidTr="00F31A39">
        <w:tc>
          <w:tcPr>
            <w:tcW w:w="1281" w:type="dxa"/>
            <w:tcBorders>
              <w:top w:val="single" w:sz="4" w:space="0" w:color="auto"/>
              <w:left w:val="single" w:sz="4" w:space="0" w:color="auto"/>
              <w:bottom w:val="single" w:sz="4" w:space="0" w:color="auto"/>
              <w:right w:val="single" w:sz="4" w:space="0" w:color="auto"/>
            </w:tcBorders>
            <w:noWrap/>
            <w:vAlign w:val="center"/>
            <w:hideMark/>
          </w:tcPr>
          <w:p w14:paraId="400AECFC" w14:textId="77777777" w:rsidR="00EA3205" w:rsidRPr="00F31A39" w:rsidRDefault="00EA3205" w:rsidP="00EA3205">
            <w:pPr>
              <w:rPr>
                <w:rFonts w:ascii="AcadNusx" w:hAnsi="AcadNusx"/>
                <w:sz w:val="20"/>
              </w:rPr>
            </w:pPr>
            <w:r w:rsidRPr="00F31A39">
              <w:rPr>
                <w:rFonts w:ascii="AcadNusx" w:hAnsi="AcadNusx"/>
                <w:sz w:val="20"/>
              </w:rPr>
              <w:t>0+470</w:t>
            </w:r>
          </w:p>
        </w:tc>
        <w:tc>
          <w:tcPr>
            <w:tcW w:w="1559" w:type="dxa"/>
            <w:tcBorders>
              <w:top w:val="single" w:sz="4" w:space="0" w:color="auto"/>
              <w:left w:val="nil"/>
              <w:bottom w:val="single" w:sz="4" w:space="0" w:color="auto"/>
              <w:right w:val="single" w:sz="4" w:space="0" w:color="auto"/>
            </w:tcBorders>
            <w:noWrap/>
            <w:vAlign w:val="center"/>
            <w:hideMark/>
          </w:tcPr>
          <w:p w14:paraId="7E324407"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single" w:sz="4" w:space="0" w:color="auto"/>
              <w:left w:val="nil"/>
              <w:bottom w:val="single" w:sz="4" w:space="0" w:color="auto"/>
              <w:right w:val="single" w:sz="4" w:space="0" w:color="auto"/>
            </w:tcBorders>
            <w:noWrap/>
            <w:vAlign w:val="center"/>
            <w:hideMark/>
          </w:tcPr>
          <w:p w14:paraId="6968C17E"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single" w:sz="4" w:space="0" w:color="auto"/>
              <w:left w:val="nil"/>
              <w:bottom w:val="single" w:sz="4" w:space="0" w:color="auto"/>
              <w:right w:val="single" w:sz="4" w:space="0" w:color="auto"/>
            </w:tcBorders>
            <w:hideMark/>
          </w:tcPr>
          <w:p w14:paraId="72D3EFD6"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B3"/>
            </w:r>
            <w:r w:rsidRPr="00F31A39">
              <w:rPr>
                <w:rFonts w:ascii="AcadNusx" w:hAnsi="AcadNusx"/>
                <w:sz w:val="20"/>
              </w:rPr>
              <w:t xml:space="preserve">10 kv) sahaero e.g.x.-is sayrdeni </w:t>
            </w:r>
          </w:p>
        </w:tc>
      </w:tr>
      <w:tr w:rsidR="00EA3205" w:rsidRPr="00B05F62" w14:paraId="33374F55"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1C7CC340" w14:textId="77777777" w:rsidR="00EA3205" w:rsidRPr="00F31A39" w:rsidRDefault="00EA3205" w:rsidP="00EA3205">
            <w:pPr>
              <w:rPr>
                <w:rFonts w:ascii="AcadNusx" w:hAnsi="AcadNusx"/>
                <w:sz w:val="20"/>
              </w:rPr>
            </w:pPr>
            <w:r w:rsidRPr="00F31A39">
              <w:rPr>
                <w:rFonts w:ascii="AcadNusx" w:hAnsi="AcadNusx"/>
                <w:sz w:val="20"/>
              </w:rPr>
              <w:t>2+710</w:t>
            </w:r>
          </w:p>
        </w:tc>
        <w:tc>
          <w:tcPr>
            <w:tcW w:w="1559" w:type="dxa"/>
            <w:tcBorders>
              <w:top w:val="nil"/>
              <w:left w:val="nil"/>
              <w:bottom w:val="single" w:sz="4" w:space="0" w:color="auto"/>
              <w:right w:val="single" w:sz="4" w:space="0" w:color="auto"/>
            </w:tcBorders>
            <w:noWrap/>
            <w:vAlign w:val="center"/>
            <w:hideMark/>
          </w:tcPr>
          <w:p w14:paraId="795B3D85"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3C541E43" w14:textId="77777777" w:rsidR="00EA3205" w:rsidRPr="00F31A39" w:rsidRDefault="00EA3205" w:rsidP="00EA3205">
            <w:pPr>
              <w:rPr>
                <w:rFonts w:ascii="AcadNusx" w:hAnsi="AcadNusx"/>
                <w:sz w:val="20"/>
              </w:rPr>
            </w:pPr>
            <w:r w:rsidRPr="00F31A39">
              <w:rPr>
                <w:rFonts w:ascii="AcadNusx" w:hAnsi="AcadNusx"/>
                <w:sz w:val="20"/>
              </w:rPr>
              <w:t>20.0</w:t>
            </w:r>
          </w:p>
        </w:tc>
        <w:tc>
          <w:tcPr>
            <w:tcW w:w="4961" w:type="dxa"/>
            <w:tcBorders>
              <w:top w:val="nil"/>
              <w:left w:val="nil"/>
              <w:bottom w:val="single" w:sz="4" w:space="0" w:color="auto"/>
              <w:right w:val="single" w:sz="4" w:space="0" w:color="auto"/>
            </w:tcBorders>
            <w:hideMark/>
          </w:tcPr>
          <w:p w14:paraId="0219CF6E"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10FA49B1"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6BEB3556" w14:textId="77777777" w:rsidR="00EA3205" w:rsidRPr="00F31A39" w:rsidRDefault="00EA3205" w:rsidP="00EA3205">
            <w:pPr>
              <w:rPr>
                <w:rFonts w:ascii="AcadNusx" w:hAnsi="AcadNusx"/>
                <w:sz w:val="20"/>
              </w:rPr>
            </w:pPr>
            <w:r w:rsidRPr="00F31A39">
              <w:rPr>
                <w:rFonts w:ascii="AcadNusx" w:hAnsi="AcadNusx"/>
                <w:sz w:val="20"/>
              </w:rPr>
              <w:t>3+277</w:t>
            </w:r>
          </w:p>
        </w:tc>
        <w:tc>
          <w:tcPr>
            <w:tcW w:w="1559" w:type="dxa"/>
            <w:tcBorders>
              <w:top w:val="nil"/>
              <w:left w:val="nil"/>
              <w:bottom w:val="single" w:sz="4" w:space="0" w:color="auto"/>
              <w:right w:val="single" w:sz="4" w:space="0" w:color="auto"/>
            </w:tcBorders>
            <w:noWrap/>
            <w:vAlign w:val="center"/>
            <w:hideMark/>
          </w:tcPr>
          <w:p w14:paraId="396A23B2" w14:textId="77777777" w:rsidR="00EA3205" w:rsidRPr="00F31A39" w:rsidRDefault="00EA3205" w:rsidP="00EA3205">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14:paraId="37E83C74"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63641158"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57E2FCF4"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6CE9D447" w14:textId="77777777" w:rsidR="00EA3205" w:rsidRPr="00F31A39" w:rsidRDefault="00EA3205" w:rsidP="00EA3205">
            <w:pPr>
              <w:rPr>
                <w:rFonts w:ascii="AcadNusx" w:hAnsi="AcadNusx"/>
                <w:sz w:val="20"/>
              </w:rPr>
            </w:pPr>
            <w:r w:rsidRPr="00F31A39">
              <w:rPr>
                <w:rFonts w:ascii="AcadNusx" w:hAnsi="AcadNusx"/>
                <w:sz w:val="20"/>
              </w:rPr>
              <w:t>3+315</w:t>
            </w:r>
          </w:p>
        </w:tc>
        <w:tc>
          <w:tcPr>
            <w:tcW w:w="1559" w:type="dxa"/>
            <w:tcBorders>
              <w:top w:val="nil"/>
              <w:left w:val="nil"/>
              <w:bottom w:val="single" w:sz="4" w:space="0" w:color="auto"/>
              <w:right w:val="single" w:sz="4" w:space="0" w:color="auto"/>
            </w:tcBorders>
            <w:noWrap/>
            <w:vAlign w:val="center"/>
            <w:hideMark/>
          </w:tcPr>
          <w:p w14:paraId="6181A4D9" w14:textId="77777777" w:rsidR="00EA3205" w:rsidRPr="00F31A39" w:rsidRDefault="00EA3205" w:rsidP="00EA3205">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14:paraId="459DF8D1"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585F378D"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3ACD8D36"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3A0F0996" w14:textId="77777777" w:rsidR="00EA3205" w:rsidRPr="00F31A39" w:rsidRDefault="00EA3205" w:rsidP="00EA3205">
            <w:pPr>
              <w:rPr>
                <w:rFonts w:ascii="AcadNusx" w:hAnsi="AcadNusx"/>
                <w:sz w:val="20"/>
              </w:rPr>
            </w:pPr>
            <w:r w:rsidRPr="00F31A39">
              <w:rPr>
                <w:rFonts w:ascii="AcadNusx" w:hAnsi="AcadNusx"/>
                <w:sz w:val="20"/>
              </w:rPr>
              <w:t>3+317</w:t>
            </w:r>
          </w:p>
        </w:tc>
        <w:tc>
          <w:tcPr>
            <w:tcW w:w="1559" w:type="dxa"/>
            <w:tcBorders>
              <w:top w:val="nil"/>
              <w:left w:val="nil"/>
              <w:bottom w:val="single" w:sz="4" w:space="0" w:color="auto"/>
              <w:right w:val="single" w:sz="4" w:space="0" w:color="auto"/>
            </w:tcBorders>
            <w:noWrap/>
            <w:vAlign w:val="center"/>
            <w:hideMark/>
          </w:tcPr>
          <w:p w14:paraId="6DEF9D60" w14:textId="77777777" w:rsidR="00EA3205" w:rsidRPr="00F31A39" w:rsidRDefault="00EA3205" w:rsidP="00EA3205">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14:paraId="1C755C92"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5D6D07B5" w14:textId="77777777" w:rsidR="00EA3205" w:rsidRPr="00F31A39" w:rsidRDefault="00EA3205" w:rsidP="00EA3205">
            <w:pPr>
              <w:rPr>
                <w:rFonts w:ascii="AcadNusx" w:hAnsi="AcadNusx"/>
                <w:sz w:val="20"/>
              </w:rPr>
            </w:pPr>
            <w:r w:rsidRPr="00F31A39">
              <w:rPr>
                <w:rFonts w:ascii="AcadNusx" w:hAnsi="AcadNusx"/>
                <w:sz w:val="20"/>
              </w:rPr>
              <w:t>maRali Zabvis transformatori</w:t>
            </w:r>
          </w:p>
        </w:tc>
      </w:tr>
      <w:tr w:rsidR="00EA3205" w:rsidRPr="00B05F62" w14:paraId="783F641C"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7AAF1E04" w14:textId="77777777" w:rsidR="00EA3205" w:rsidRPr="00F31A39" w:rsidRDefault="00EA3205" w:rsidP="00EA3205">
            <w:pPr>
              <w:rPr>
                <w:rFonts w:ascii="AcadNusx" w:hAnsi="AcadNusx"/>
                <w:sz w:val="20"/>
              </w:rPr>
            </w:pPr>
            <w:r w:rsidRPr="00F31A39">
              <w:rPr>
                <w:rFonts w:ascii="AcadNusx" w:hAnsi="AcadNusx"/>
                <w:sz w:val="20"/>
              </w:rPr>
              <w:t>3+344</w:t>
            </w:r>
          </w:p>
        </w:tc>
        <w:tc>
          <w:tcPr>
            <w:tcW w:w="1559" w:type="dxa"/>
            <w:tcBorders>
              <w:top w:val="nil"/>
              <w:left w:val="nil"/>
              <w:bottom w:val="single" w:sz="4" w:space="0" w:color="auto"/>
              <w:right w:val="single" w:sz="4" w:space="0" w:color="auto"/>
            </w:tcBorders>
            <w:noWrap/>
            <w:vAlign w:val="center"/>
            <w:hideMark/>
          </w:tcPr>
          <w:p w14:paraId="2B1F71A5" w14:textId="77777777" w:rsidR="00EA3205" w:rsidRPr="00F31A39" w:rsidRDefault="00EA3205" w:rsidP="00EA3205">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14:paraId="705799E2"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6BB77639"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28D59E46"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32F08CAB" w14:textId="77777777" w:rsidR="00EA3205" w:rsidRPr="00F31A39" w:rsidRDefault="00EA3205" w:rsidP="00EA3205">
            <w:pPr>
              <w:rPr>
                <w:rFonts w:ascii="AcadNusx" w:hAnsi="AcadNusx"/>
                <w:sz w:val="20"/>
              </w:rPr>
            </w:pPr>
            <w:r w:rsidRPr="00F31A39">
              <w:rPr>
                <w:rFonts w:ascii="AcadNusx" w:hAnsi="AcadNusx"/>
                <w:sz w:val="20"/>
              </w:rPr>
              <w:t>3+405</w:t>
            </w:r>
          </w:p>
        </w:tc>
        <w:tc>
          <w:tcPr>
            <w:tcW w:w="1559" w:type="dxa"/>
            <w:tcBorders>
              <w:top w:val="nil"/>
              <w:left w:val="nil"/>
              <w:bottom w:val="single" w:sz="4" w:space="0" w:color="auto"/>
              <w:right w:val="single" w:sz="4" w:space="0" w:color="auto"/>
            </w:tcBorders>
            <w:noWrap/>
            <w:vAlign w:val="center"/>
            <w:hideMark/>
          </w:tcPr>
          <w:p w14:paraId="515157C2" w14:textId="77777777" w:rsidR="00EA3205" w:rsidRPr="00F31A39" w:rsidRDefault="00EA3205" w:rsidP="00EA3205">
            <w:pPr>
              <w:rPr>
                <w:rFonts w:ascii="AcadNusx" w:hAnsi="AcadNusx"/>
                <w:sz w:val="20"/>
              </w:rPr>
            </w:pPr>
            <w:r w:rsidRPr="00F31A39">
              <w:rPr>
                <w:rFonts w:ascii="AcadNusx" w:hAnsi="AcadNusx"/>
                <w:sz w:val="20"/>
              </w:rPr>
              <w:t>20.0</w:t>
            </w:r>
          </w:p>
        </w:tc>
        <w:tc>
          <w:tcPr>
            <w:tcW w:w="2130" w:type="dxa"/>
            <w:tcBorders>
              <w:top w:val="nil"/>
              <w:left w:val="nil"/>
              <w:bottom w:val="single" w:sz="4" w:space="0" w:color="auto"/>
              <w:right w:val="single" w:sz="4" w:space="0" w:color="auto"/>
            </w:tcBorders>
            <w:noWrap/>
            <w:vAlign w:val="center"/>
            <w:hideMark/>
          </w:tcPr>
          <w:p w14:paraId="38A08CF0"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024B9667"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1C791D9C"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2625A765" w14:textId="77777777" w:rsidR="00EA3205" w:rsidRPr="00F31A39" w:rsidRDefault="00EA3205" w:rsidP="00EA3205">
            <w:pPr>
              <w:rPr>
                <w:rFonts w:ascii="AcadNusx" w:hAnsi="AcadNusx"/>
                <w:sz w:val="20"/>
              </w:rPr>
            </w:pPr>
            <w:r w:rsidRPr="00F31A39">
              <w:rPr>
                <w:rFonts w:ascii="AcadNusx" w:hAnsi="AcadNusx"/>
                <w:sz w:val="20"/>
              </w:rPr>
              <w:t>3+747</w:t>
            </w:r>
          </w:p>
        </w:tc>
        <w:tc>
          <w:tcPr>
            <w:tcW w:w="1559" w:type="dxa"/>
            <w:tcBorders>
              <w:top w:val="nil"/>
              <w:left w:val="nil"/>
              <w:bottom w:val="single" w:sz="4" w:space="0" w:color="auto"/>
              <w:right w:val="single" w:sz="4" w:space="0" w:color="auto"/>
            </w:tcBorders>
            <w:noWrap/>
            <w:vAlign w:val="center"/>
            <w:hideMark/>
          </w:tcPr>
          <w:p w14:paraId="0D938E82" w14:textId="77777777" w:rsidR="00EA3205" w:rsidRPr="00F31A39" w:rsidRDefault="00EA3205" w:rsidP="00EA3205">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14:paraId="70CEC945"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480C572C"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3102BD47"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6D71AF5A" w14:textId="77777777" w:rsidR="00EA3205" w:rsidRPr="00F31A39" w:rsidRDefault="00EA3205" w:rsidP="00EA3205">
            <w:pPr>
              <w:rPr>
                <w:rFonts w:ascii="AcadNusx" w:hAnsi="AcadNusx"/>
                <w:sz w:val="20"/>
              </w:rPr>
            </w:pPr>
            <w:r w:rsidRPr="00F31A39">
              <w:rPr>
                <w:rFonts w:ascii="AcadNusx" w:hAnsi="AcadNusx"/>
                <w:sz w:val="20"/>
              </w:rPr>
              <w:t>3+786</w:t>
            </w:r>
          </w:p>
        </w:tc>
        <w:tc>
          <w:tcPr>
            <w:tcW w:w="1559" w:type="dxa"/>
            <w:tcBorders>
              <w:top w:val="nil"/>
              <w:left w:val="nil"/>
              <w:bottom w:val="single" w:sz="4" w:space="0" w:color="auto"/>
              <w:right w:val="single" w:sz="4" w:space="0" w:color="auto"/>
            </w:tcBorders>
            <w:noWrap/>
            <w:vAlign w:val="center"/>
            <w:hideMark/>
          </w:tcPr>
          <w:p w14:paraId="3D610D0D" w14:textId="77777777" w:rsidR="00EA3205" w:rsidRPr="00F31A39" w:rsidRDefault="00EA3205" w:rsidP="00EA3205">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14:paraId="4F3E8137"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2BEFFE7D"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7BBB64AD"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51242BA7" w14:textId="77777777" w:rsidR="00EA3205" w:rsidRPr="00F31A39" w:rsidRDefault="00EA3205" w:rsidP="00EA3205">
            <w:pPr>
              <w:rPr>
                <w:rFonts w:ascii="AcadNusx" w:hAnsi="AcadNusx"/>
                <w:sz w:val="20"/>
              </w:rPr>
            </w:pPr>
            <w:r w:rsidRPr="00F31A39">
              <w:rPr>
                <w:rFonts w:ascii="AcadNusx" w:hAnsi="AcadNusx"/>
                <w:sz w:val="20"/>
              </w:rPr>
              <w:t>3+825</w:t>
            </w:r>
          </w:p>
        </w:tc>
        <w:tc>
          <w:tcPr>
            <w:tcW w:w="1559" w:type="dxa"/>
            <w:tcBorders>
              <w:top w:val="nil"/>
              <w:left w:val="nil"/>
              <w:bottom w:val="single" w:sz="4" w:space="0" w:color="auto"/>
              <w:right w:val="single" w:sz="4" w:space="0" w:color="auto"/>
            </w:tcBorders>
            <w:noWrap/>
            <w:vAlign w:val="center"/>
            <w:hideMark/>
          </w:tcPr>
          <w:p w14:paraId="73AB7DDB" w14:textId="77777777" w:rsidR="00EA3205" w:rsidRPr="00F31A39" w:rsidRDefault="00EA3205" w:rsidP="00EA3205">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14:paraId="150832BF"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768F8A59"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6B3FE4A5"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5F1233DC" w14:textId="77777777" w:rsidR="00EA3205" w:rsidRPr="00F31A39" w:rsidRDefault="00EA3205" w:rsidP="00EA3205">
            <w:pPr>
              <w:rPr>
                <w:rFonts w:ascii="AcadNusx" w:hAnsi="AcadNusx"/>
                <w:sz w:val="20"/>
              </w:rPr>
            </w:pPr>
            <w:r w:rsidRPr="00F31A39">
              <w:rPr>
                <w:rFonts w:ascii="AcadNusx" w:hAnsi="AcadNusx"/>
                <w:sz w:val="20"/>
              </w:rPr>
              <w:t>3+864</w:t>
            </w:r>
          </w:p>
        </w:tc>
        <w:tc>
          <w:tcPr>
            <w:tcW w:w="1559" w:type="dxa"/>
            <w:tcBorders>
              <w:top w:val="nil"/>
              <w:left w:val="nil"/>
              <w:bottom w:val="single" w:sz="4" w:space="0" w:color="auto"/>
              <w:right w:val="single" w:sz="4" w:space="0" w:color="auto"/>
            </w:tcBorders>
            <w:noWrap/>
            <w:vAlign w:val="center"/>
            <w:hideMark/>
          </w:tcPr>
          <w:p w14:paraId="585C783B" w14:textId="77777777" w:rsidR="00EA3205" w:rsidRPr="00F31A39" w:rsidRDefault="00EA3205" w:rsidP="00EA3205">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14:paraId="6E7D4C31"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57E0EF0F"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249D650F"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0D3371C0" w14:textId="77777777" w:rsidR="00EA3205" w:rsidRPr="00F31A39" w:rsidRDefault="00EA3205" w:rsidP="00EA3205">
            <w:pPr>
              <w:rPr>
                <w:rFonts w:ascii="AcadNusx" w:hAnsi="AcadNusx"/>
                <w:sz w:val="20"/>
              </w:rPr>
            </w:pPr>
            <w:r w:rsidRPr="00F31A39">
              <w:rPr>
                <w:rFonts w:ascii="AcadNusx" w:hAnsi="AcadNusx"/>
                <w:sz w:val="20"/>
              </w:rPr>
              <w:t>3+903</w:t>
            </w:r>
          </w:p>
        </w:tc>
        <w:tc>
          <w:tcPr>
            <w:tcW w:w="1559" w:type="dxa"/>
            <w:tcBorders>
              <w:top w:val="nil"/>
              <w:left w:val="nil"/>
              <w:bottom w:val="single" w:sz="4" w:space="0" w:color="auto"/>
              <w:right w:val="single" w:sz="4" w:space="0" w:color="auto"/>
            </w:tcBorders>
            <w:noWrap/>
            <w:vAlign w:val="center"/>
            <w:hideMark/>
          </w:tcPr>
          <w:p w14:paraId="099F8422" w14:textId="77777777" w:rsidR="00EA3205" w:rsidRPr="00F31A39" w:rsidRDefault="00EA3205" w:rsidP="00EA3205">
            <w:pPr>
              <w:rPr>
                <w:rFonts w:ascii="AcadNusx" w:hAnsi="AcadNusx"/>
                <w:sz w:val="20"/>
              </w:rPr>
            </w:pPr>
            <w:r w:rsidRPr="00F31A39">
              <w:rPr>
                <w:rFonts w:ascii="AcadNusx" w:hAnsi="AcadNusx"/>
                <w:sz w:val="20"/>
              </w:rPr>
              <w:t>20.0</w:t>
            </w:r>
          </w:p>
        </w:tc>
        <w:tc>
          <w:tcPr>
            <w:tcW w:w="2130" w:type="dxa"/>
            <w:tcBorders>
              <w:top w:val="nil"/>
              <w:left w:val="nil"/>
              <w:bottom w:val="single" w:sz="4" w:space="0" w:color="auto"/>
              <w:right w:val="single" w:sz="4" w:space="0" w:color="auto"/>
            </w:tcBorders>
            <w:noWrap/>
            <w:vAlign w:val="center"/>
            <w:hideMark/>
          </w:tcPr>
          <w:p w14:paraId="479CB45D"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61C02D79"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1AA2DC6F"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453AABB8" w14:textId="77777777" w:rsidR="00EA3205" w:rsidRPr="00F31A39" w:rsidRDefault="00EA3205" w:rsidP="00EA3205">
            <w:pPr>
              <w:rPr>
                <w:rFonts w:ascii="AcadNusx" w:hAnsi="AcadNusx"/>
                <w:sz w:val="20"/>
              </w:rPr>
            </w:pPr>
            <w:r w:rsidRPr="00F31A39">
              <w:rPr>
                <w:rFonts w:ascii="AcadNusx" w:hAnsi="AcadNusx"/>
                <w:sz w:val="20"/>
              </w:rPr>
              <w:t>3+942</w:t>
            </w:r>
          </w:p>
        </w:tc>
        <w:tc>
          <w:tcPr>
            <w:tcW w:w="1559" w:type="dxa"/>
            <w:tcBorders>
              <w:top w:val="nil"/>
              <w:left w:val="nil"/>
              <w:bottom w:val="single" w:sz="4" w:space="0" w:color="auto"/>
              <w:right w:val="single" w:sz="4" w:space="0" w:color="auto"/>
            </w:tcBorders>
            <w:noWrap/>
            <w:vAlign w:val="center"/>
            <w:hideMark/>
          </w:tcPr>
          <w:p w14:paraId="76DA7F51" w14:textId="77777777" w:rsidR="00EA3205" w:rsidRPr="00F31A39" w:rsidRDefault="00EA3205" w:rsidP="00EA3205">
            <w:pPr>
              <w:rPr>
                <w:rFonts w:ascii="AcadNusx" w:hAnsi="AcadNusx"/>
                <w:sz w:val="20"/>
              </w:rPr>
            </w:pPr>
            <w:r w:rsidRPr="00F31A39">
              <w:rPr>
                <w:rFonts w:ascii="AcadNusx" w:hAnsi="AcadNusx"/>
                <w:sz w:val="20"/>
              </w:rPr>
              <w:t>20.0</w:t>
            </w:r>
          </w:p>
        </w:tc>
        <w:tc>
          <w:tcPr>
            <w:tcW w:w="2130" w:type="dxa"/>
            <w:tcBorders>
              <w:top w:val="nil"/>
              <w:left w:val="nil"/>
              <w:bottom w:val="single" w:sz="4" w:space="0" w:color="auto"/>
              <w:right w:val="single" w:sz="4" w:space="0" w:color="auto"/>
            </w:tcBorders>
            <w:noWrap/>
            <w:vAlign w:val="center"/>
            <w:hideMark/>
          </w:tcPr>
          <w:p w14:paraId="37533F96"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0FBB2C65"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77F0BCC6"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74EF5B93" w14:textId="77777777" w:rsidR="00EA3205" w:rsidRPr="00F31A39" w:rsidRDefault="00EA3205" w:rsidP="00EA3205">
            <w:pPr>
              <w:rPr>
                <w:rFonts w:ascii="AcadNusx" w:hAnsi="AcadNusx"/>
                <w:sz w:val="20"/>
              </w:rPr>
            </w:pPr>
            <w:r w:rsidRPr="00F31A39">
              <w:rPr>
                <w:rFonts w:ascii="AcadNusx" w:hAnsi="AcadNusx"/>
                <w:sz w:val="20"/>
              </w:rPr>
              <w:t>3+981</w:t>
            </w:r>
          </w:p>
        </w:tc>
        <w:tc>
          <w:tcPr>
            <w:tcW w:w="1559" w:type="dxa"/>
            <w:tcBorders>
              <w:top w:val="nil"/>
              <w:left w:val="nil"/>
              <w:bottom w:val="single" w:sz="4" w:space="0" w:color="auto"/>
              <w:right w:val="single" w:sz="4" w:space="0" w:color="auto"/>
            </w:tcBorders>
            <w:noWrap/>
            <w:vAlign w:val="center"/>
            <w:hideMark/>
          </w:tcPr>
          <w:p w14:paraId="1D98FAA9" w14:textId="77777777" w:rsidR="00EA3205" w:rsidRPr="00F31A39" w:rsidRDefault="00EA3205" w:rsidP="00EA3205">
            <w:pPr>
              <w:rPr>
                <w:rFonts w:ascii="AcadNusx" w:hAnsi="AcadNusx"/>
                <w:sz w:val="20"/>
              </w:rPr>
            </w:pPr>
            <w:r w:rsidRPr="00F31A39">
              <w:rPr>
                <w:rFonts w:ascii="AcadNusx" w:hAnsi="AcadNusx"/>
                <w:sz w:val="20"/>
              </w:rPr>
              <w:t>20.0</w:t>
            </w:r>
          </w:p>
        </w:tc>
        <w:tc>
          <w:tcPr>
            <w:tcW w:w="2130" w:type="dxa"/>
            <w:tcBorders>
              <w:top w:val="nil"/>
              <w:left w:val="nil"/>
              <w:bottom w:val="single" w:sz="4" w:space="0" w:color="auto"/>
              <w:right w:val="single" w:sz="4" w:space="0" w:color="auto"/>
            </w:tcBorders>
            <w:noWrap/>
            <w:vAlign w:val="center"/>
            <w:hideMark/>
          </w:tcPr>
          <w:p w14:paraId="10D4DA5F"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50CA3219"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6E120AFA"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6986F402" w14:textId="77777777" w:rsidR="00EA3205" w:rsidRPr="00F31A39" w:rsidRDefault="00EA3205" w:rsidP="00EA3205">
            <w:pPr>
              <w:rPr>
                <w:rFonts w:ascii="AcadNusx" w:hAnsi="AcadNusx"/>
                <w:sz w:val="20"/>
              </w:rPr>
            </w:pPr>
            <w:r w:rsidRPr="00F31A39">
              <w:rPr>
                <w:rFonts w:ascii="AcadNusx" w:hAnsi="AcadNusx"/>
                <w:sz w:val="20"/>
              </w:rPr>
              <w:t>4+020</w:t>
            </w:r>
          </w:p>
        </w:tc>
        <w:tc>
          <w:tcPr>
            <w:tcW w:w="1559" w:type="dxa"/>
            <w:tcBorders>
              <w:top w:val="nil"/>
              <w:left w:val="nil"/>
              <w:bottom w:val="single" w:sz="4" w:space="0" w:color="auto"/>
              <w:right w:val="single" w:sz="4" w:space="0" w:color="auto"/>
            </w:tcBorders>
            <w:noWrap/>
            <w:vAlign w:val="center"/>
            <w:hideMark/>
          </w:tcPr>
          <w:p w14:paraId="794BE922" w14:textId="77777777" w:rsidR="00EA3205" w:rsidRPr="00F31A39" w:rsidRDefault="00EA3205" w:rsidP="00EA3205">
            <w:pPr>
              <w:rPr>
                <w:rFonts w:ascii="AcadNusx" w:hAnsi="AcadNusx"/>
                <w:sz w:val="20"/>
              </w:rPr>
            </w:pPr>
            <w:r w:rsidRPr="00F31A39">
              <w:rPr>
                <w:rFonts w:ascii="AcadNusx" w:hAnsi="AcadNusx"/>
                <w:sz w:val="20"/>
              </w:rPr>
              <w:t>20.0</w:t>
            </w:r>
          </w:p>
        </w:tc>
        <w:tc>
          <w:tcPr>
            <w:tcW w:w="2130" w:type="dxa"/>
            <w:tcBorders>
              <w:top w:val="nil"/>
              <w:left w:val="nil"/>
              <w:bottom w:val="single" w:sz="4" w:space="0" w:color="auto"/>
              <w:right w:val="single" w:sz="4" w:space="0" w:color="auto"/>
            </w:tcBorders>
            <w:noWrap/>
            <w:vAlign w:val="center"/>
            <w:hideMark/>
          </w:tcPr>
          <w:p w14:paraId="703BB994"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3E4B6943"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3E3F22C0"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453BF847" w14:textId="77777777" w:rsidR="00EA3205" w:rsidRPr="00F31A39" w:rsidRDefault="00EA3205" w:rsidP="00EA3205">
            <w:pPr>
              <w:rPr>
                <w:rFonts w:ascii="AcadNusx" w:hAnsi="AcadNusx"/>
                <w:sz w:val="20"/>
              </w:rPr>
            </w:pPr>
            <w:r w:rsidRPr="00F31A39">
              <w:rPr>
                <w:rFonts w:ascii="AcadNusx" w:hAnsi="AcadNusx"/>
                <w:sz w:val="20"/>
              </w:rPr>
              <w:t>4+545</w:t>
            </w:r>
          </w:p>
        </w:tc>
        <w:tc>
          <w:tcPr>
            <w:tcW w:w="1559" w:type="dxa"/>
            <w:tcBorders>
              <w:top w:val="nil"/>
              <w:left w:val="nil"/>
              <w:bottom w:val="single" w:sz="4" w:space="0" w:color="auto"/>
              <w:right w:val="single" w:sz="4" w:space="0" w:color="auto"/>
            </w:tcBorders>
            <w:noWrap/>
            <w:vAlign w:val="center"/>
            <w:hideMark/>
          </w:tcPr>
          <w:p w14:paraId="28B0A585"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1BCA9E1C" w14:textId="77777777" w:rsidR="00EA3205" w:rsidRPr="00F31A39" w:rsidRDefault="00EA3205" w:rsidP="00EA3205">
            <w:pPr>
              <w:rPr>
                <w:rFonts w:ascii="AcadNusx" w:hAnsi="AcadNusx"/>
                <w:sz w:val="20"/>
              </w:rPr>
            </w:pPr>
            <w:r w:rsidRPr="00F31A39">
              <w:rPr>
                <w:rFonts w:ascii="AcadNusx" w:hAnsi="AcadNusx"/>
                <w:sz w:val="20"/>
              </w:rPr>
              <w:t>30.0</w:t>
            </w:r>
          </w:p>
        </w:tc>
        <w:tc>
          <w:tcPr>
            <w:tcW w:w="4961" w:type="dxa"/>
            <w:tcBorders>
              <w:top w:val="nil"/>
              <w:left w:val="nil"/>
              <w:bottom w:val="single" w:sz="4" w:space="0" w:color="auto"/>
              <w:right w:val="single" w:sz="4" w:space="0" w:color="auto"/>
            </w:tcBorders>
            <w:hideMark/>
          </w:tcPr>
          <w:p w14:paraId="472053E4"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5399E7E9"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1725002F" w14:textId="77777777" w:rsidR="00EA3205" w:rsidRPr="00F31A39" w:rsidRDefault="00EA3205" w:rsidP="00EA3205">
            <w:pPr>
              <w:rPr>
                <w:rFonts w:ascii="AcadNusx" w:hAnsi="AcadNusx"/>
                <w:sz w:val="20"/>
              </w:rPr>
            </w:pPr>
            <w:r w:rsidRPr="00F31A39">
              <w:rPr>
                <w:rFonts w:ascii="AcadNusx" w:hAnsi="AcadNusx"/>
                <w:sz w:val="20"/>
              </w:rPr>
              <w:t>4+660</w:t>
            </w:r>
          </w:p>
        </w:tc>
        <w:tc>
          <w:tcPr>
            <w:tcW w:w="1559" w:type="dxa"/>
            <w:tcBorders>
              <w:top w:val="nil"/>
              <w:left w:val="nil"/>
              <w:bottom w:val="single" w:sz="4" w:space="0" w:color="auto"/>
              <w:right w:val="single" w:sz="4" w:space="0" w:color="auto"/>
            </w:tcBorders>
            <w:noWrap/>
            <w:vAlign w:val="center"/>
            <w:hideMark/>
          </w:tcPr>
          <w:p w14:paraId="0184DC27" w14:textId="77777777" w:rsidR="00EA3205" w:rsidRPr="00F31A39" w:rsidRDefault="00EA3205" w:rsidP="00EA3205">
            <w:pPr>
              <w:rPr>
                <w:rFonts w:ascii="AcadNusx" w:hAnsi="AcadNusx"/>
                <w:sz w:val="20"/>
              </w:rPr>
            </w:pPr>
            <w:r w:rsidRPr="00F31A39">
              <w:rPr>
                <w:rFonts w:ascii="AcadNusx" w:hAnsi="AcadNusx"/>
                <w:sz w:val="20"/>
              </w:rPr>
              <w:t>6.0</w:t>
            </w:r>
          </w:p>
        </w:tc>
        <w:tc>
          <w:tcPr>
            <w:tcW w:w="2130" w:type="dxa"/>
            <w:tcBorders>
              <w:top w:val="nil"/>
              <w:left w:val="nil"/>
              <w:bottom w:val="single" w:sz="4" w:space="0" w:color="auto"/>
              <w:right w:val="single" w:sz="4" w:space="0" w:color="auto"/>
            </w:tcBorders>
            <w:noWrap/>
            <w:vAlign w:val="center"/>
            <w:hideMark/>
          </w:tcPr>
          <w:p w14:paraId="60FE65CF"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1A94A566"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11C721EE"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5262B5C7" w14:textId="77777777" w:rsidR="00EA3205" w:rsidRPr="00F31A39" w:rsidRDefault="00EA3205" w:rsidP="00EA3205">
            <w:pPr>
              <w:rPr>
                <w:rFonts w:ascii="AcadNusx" w:hAnsi="AcadNusx"/>
                <w:sz w:val="20"/>
              </w:rPr>
            </w:pPr>
            <w:r w:rsidRPr="00F31A39">
              <w:rPr>
                <w:rFonts w:ascii="AcadNusx" w:hAnsi="AcadNusx"/>
                <w:sz w:val="20"/>
              </w:rPr>
              <w:t>4+690</w:t>
            </w:r>
          </w:p>
        </w:tc>
        <w:tc>
          <w:tcPr>
            <w:tcW w:w="1559" w:type="dxa"/>
            <w:tcBorders>
              <w:top w:val="nil"/>
              <w:left w:val="nil"/>
              <w:bottom w:val="single" w:sz="4" w:space="0" w:color="auto"/>
              <w:right w:val="single" w:sz="4" w:space="0" w:color="auto"/>
            </w:tcBorders>
            <w:noWrap/>
            <w:vAlign w:val="center"/>
            <w:hideMark/>
          </w:tcPr>
          <w:p w14:paraId="2FE46EDB"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697DA00C" w14:textId="77777777" w:rsidR="00EA3205" w:rsidRPr="00F31A39" w:rsidRDefault="00EA3205" w:rsidP="00EA3205">
            <w:pPr>
              <w:rPr>
                <w:rFonts w:ascii="AcadNusx" w:hAnsi="AcadNusx"/>
                <w:sz w:val="20"/>
              </w:rPr>
            </w:pPr>
            <w:r w:rsidRPr="00F31A39">
              <w:rPr>
                <w:rFonts w:ascii="AcadNusx" w:hAnsi="AcadNusx"/>
                <w:sz w:val="20"/>
              </w:rPr>
              <w:t>10.0</w:t>
            </w:r>
          </w:p>
        </w:tc>
        <w:tc>
          <w:tcPr>
            <w:tcW w:w="4961" w:type="dxa"/>
            <w:tcBorders>
              <w:top w:val="nil"/>
              <w:left w:val="nil"/>
              <w:bottom w:val="single" w:sz="4" w:space="0" w:color="auto"/>
              <w:right w:val="single" w:sz="4" w:space="0" w:color="auto"/>
            </w:tcBorders>
            <w:hideMark/>
          </w:tcPr>
          <w:p w14:paraId="1371DA0F"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07F2BC29"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1F6D6EF2" w14:textId="77777777" w:rsidR="00EA3205" w:rsidRPr="00F31A39" w:rsidRDefault="00EA3205" w:rsidP="00EA3205">
            <w:pPr>
              <w:rPr>
                <w:rFonts w:ascii="AcadNusx" w:hAnsi="AcadNusx"/>
                <w:sz w:val="20"/>
              </w:rPr>
            </w:pPr>
            <w:r w:rsidRPr="00F31A39">
              <w:rPr>
                <w:rFonts w:ascii="AcadNusx" w:hAnsi="AcadNusx"/>
                <w:sz w:val="20"/>
              </w:rPr>
              <w:t>4+695</w:t>
            </w:r>
          </w:p>
        </w:tc>
        <w:tc>
          <w:tcPr>
            <w:tcW w:w="1559" w:type="dxa"/>
            <w:tcBorders>
              <w:top w:val="nil"/>
              <w:left w:val="nil"/>
              <w:bottom w:val="single" w:sz="4" w:space="0" w:color="auto"/>
              <w:right w:val="single" w:sz="4" w:space="0" w:color="auto"/>
            </w:tcBorders>
            <w:noWrap/>
            <w:vAlign w:val="center"/>
            <w:hideMark/>
          </w:tcPr>
          <w:p w14:paraId="4445F854"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4B54941E"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06C3286E"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67135EAB"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06292D37" w14:textId="77777777" w:rsidR="00EA3205" w:rsidRPr="00F31A39" w:rsidRDefault="00EA3205" w:rsidP="00EA3205">
            <w:pPr>
              <w:rPr>
                <w:rFonts w:ascii="AcadNusx" w:hAnsi="AcadNusx"/>
                <w:sz w:val="20"/>
              </w:rPr>
            </w:pPr>
            <w:r w:rsidRPr="00F31A39">
              <w:rPr>
                <w:rFonts w:ascii="AcadNusx" w:hAnsi="AcadNusx"/>
                <w:sz w:val="20"/>
              </w:rPr>
              <w:t>4+712</w:t>
            </w:r>
          </w:p>
        </w:tc>
        <w:tc>
          <w:tcPr>
            <w:tcW w:w="1559" w:type="dxa"/>
            <w:tcBorders>
              <w:top w:val="nil"/>
              <w:left w:val="nil"/>
              <w:bottom w:val="single" w:sz="4" w:space="0" w:color="auto"/>
              <w:right w:val="single" w:sz="4" w:space="0" w:color="auto"/>
            </w:tcBorders>
            <w:noWrap/>
            <w:vAlign w:val="center"/>
            <w:hideMark/>
          </w:tcPr>
          <w:p w14:paraId="74B852EC" w14:textId="77777777" w:rsidR="00EA3205" w:rsidRPr="00F31A39" w:rsidRDefault="00EA3205" w:rsidP="00EA3205">
            <w:pPr>
              <w:rPr>
                <w:rFonts w:ascii="AcadNusx" w:hAnsi="AcadNusx"/>
                <w:sz w:val="20"/>
              </w:rPr>
            </w:pPr>
            <w:r w:rsidRPr="00F31A39">
              <w:rPr>
                <w:rFonts w:ascii="AcadNusx" w:hAnsi="AcadNusx"/>
                <w:sz w:val="20"/>
              </w:rPr>
              <w:t>3.0</w:t>
            </w:r>
          </w:p>
        </w:tc>
        <w:tc>
          <w:tcPr>
            <w:tcW w:w="2130" w:type="dxa"/>
            <w:tcBorders>
              <w:top w:val="nil"/>
              <w:left w:val="nil"/>
              <w:bottom w:val="single" w:sz="4" w:space="0" w:color="auto"/>
              <w:right w:val="single" w:sz="4" w:space="0" w:color="auto"/>
            </w:tcBorders>
            <w:noWrap/>
            <w:vAlign w:val="center"/>
            <w:hideMark/>
          </w:tcPr>
          <w:p w14:paraId="5E520D8F"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0CDF2176"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1E877F51"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6D23A5CD" w14:textId="77777777" w:rsidR="00EA3205" w:rsidRPr="00F31A39" w:rsidRDefault="00EA3205" w:rsidP="00EA3205">
            <w:pPr>
              <w:rPr>
                <w:rFonts w:ascii="AcadNusx" w:hAnsi="AcadNusx"/>
                <w:sz w:val="20"/>
              </w:rPr>
            </w:pPr>
            <w:r w:rsidRPr="00F31A39">
              <w:rPr>
                <w:rFonts w:ascii="AcadNusx" w:hAnsi="AcadNusx"/>
                <w:sz w:val="20"/>
              </w:rPr>
              <w:t>4+855</w:t>
            </w:r>
          </w:p>
        </w:tc>
        <w:tc>
          <w:tcPr>
            <w:tcW w:w="1559" w:type="dxa"/>
            <w:tcBorders>
              <w:top w:val="nil"/>
              <w:left w:val="nil"/>
              <w:bottom w:val="single" w:sz="4" w:space="0" w:color="auto"/>
              <w:right w:val="single" w:sz="4" w:space="0" w:color="auto"/>
            </w:tcBorders>
            <w:noWrap/>
            <w:vAlign w:val="center"/>
            <w:hideMark/>
          </w:tcPr>
          <w:p w14:paraId="0B9CA7F5" w14:textId="77777777" w:rsidR="00EA3205" w:rsidRPr="00F31A39" w:rsidRDefault="00EA3205" w:rsidP="00EA3205">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14:paraId="13E4067F"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2DD9FB39"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2A87CCE0"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4F2C1673" w14:textId="77777777" w:rsidR="00EA3205" w:rsidRPr="00F31A39" w:rsidRDefault="00EA3205" w:rsidP="00EA3205">
            <w:pPr>
              <w:rPr>
                <w:rFonts w:ascii="AcadNusx" w:hAnsi="AcadNusx"/>
                <w:sz w:val="20"/>
              </w:rPr>
            </w:pPr>
            <w:r w:rsidRPr="00F31A39">
              <w:rPr>
                <w:rFonts w:ascii="AcadNusx" w:hAnsi="AcadNusx"/>
                <w:sz w:val="20"/>
              </w:rPr>
              <w:t>4+882</w:t>
            </w:r>
          </w:p>
        </w:tc>
        <w:tc>
          <w:tcPr>
            <w:tcW w:w="1559" w:type="dxa"/>
            <w:tcBorders>
              <w:top w:val="nil"/>
              <w:left w:val="nil"/>
              <w:bottom w:val="single" w:sz="4" w:space="0" w:color="auto"/>
              <w:right w:val="single" w:sz="4" w:space="0" w:color="auto"/>
            </w:tcBorders>
            <w:noWrap/>
            <w:vAlign w:val="center"/>
            <w:hideMark/>
          </w:tcPr>
          <w:p w14:paraId="69661350"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0BFFE697" w14:textId="77777777" w:rsidR="00EA3205" w:rsidRPr="00F31A39" w:rsidRDefault="00EA3205" w:rsidP="00EA3205">
            <w:pPr>
              <w:rPr>
                <w:rFonts w:ascii="AcadNusx" w:hAnsi="AcadNusx"/>
                <w:sz w:val="20"/>
              </w:rPr>
            </w:pPr>
            <w:r w:rsidRPr="00F31A39">
              <w:rPr>
                <w:rFonts w:ascii="AcadNusx" w:hAnsi="AcadNusx"/>
                <w:sz w:val="20"/>
              </w:rPr>
              <w:t>20.0</w:t>
            </w:r>
          </w:p>
        </w:tc>
        <w:tc>
          <w:tcPr>
            <w:tcW w:w="4961" w:type="dxa"/>
            <w:tcBorders>
              <w:top w:val="nil"/>
              <w:left w:val="nil"/>
              <w:bottom w:val="single" w:sz="4" w:space="0" w:color="auto"/>
              <w:right w:val="single" w:sz="4" w:space="0" w:color="auto"/>
            </w:tcBorders>
            <w:hideMark/>
          </w:tcPr>
          <w:p w14:paraId="733DF25D"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6A44D399"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36CB8737" w14:textId="77777777" w:rsidR="00EA3205" w:rsidRPr="00F31A39" w:rsidRDefault="00EA3205" w:rsidP="00EA3205">
            <w:pPr>
              <w:rPr>
                <w:rFonts w:ascii="AcadNusx" w:hAnsi="AcadNusx"/>
                <w:sz w:val="20"/>
              </w:rPr>
            </w:pPr>
            <w:r w:rsidRPr="00F31A39">
              <w:rPr>
                <w:rFonts w:ascii="AcadNusx" w:hAnsi="AcadNusx"/>
                <w:sz w:val="20"/>
              </w:rPr>
              <w:t>4+900</w:t>
            </w:r>
          </w:p>
        </w:tc>
        <w:tc>
          <w:tcPr>
            <w:tcW w:w="1559" w:type="dxa"/>
            <w:tcBorders>
              <w:top w:val="nil"/>
              <w:left w:val="nil"/>
              <w:bottom w:val="single" w:sz="4" w:space="0" w:color="auto"/>
              <w:right w:val="single" w:sz="4" w:space="0" w:color="auto"/>
            </w:tcBorders>
            <w:noWrap/>
            <w:vAlign w:val="center"/>
            <w:hideMark/>
          </w:tcPr>
          <w:p w14:paraId="390F1AA7"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137E520F" w14:textId="77777777" w:rsidR="00EA3205" w:rsidRPr="00F31A39" w:rsidRDefault="00EA3205" w:rsidP="00EA3205">
            <w:pPr>
              <w:rPr>
                <w:rFonts w:ascii="AcadNusx" w:hAnsi="AcadNusx"/>
                <w:sz w:val="20"/>
              </w:rPr>
            </w:pPr>
            <w:r w:rsidRPr="00F31A39">
              <w:rPr>
                <w:rFonts w:ascii="AcadNusx" w:hAnsi="AcadNusx"/>
                <w:sz w:val="20"/>
              </w:rPr>
              <w:t>35.0</w:t>
            </w:r>
          </w:p>
        </w:tc>
        <w:tc>
          <w:tcPr>
            <w:tcW w:w="4961" w:type="dxa"/>
            <w:tcBorders>
              <w:top w:val="nil"/>
              <w:left w:val="nil"/>
              <w:bottom w:val="single" w:sz="4" w:space="0" w:color="auto"/>
              <w:right w:val="single" w:sz="4" w:space="0" w:color="auto"/>
            </w:tcBorders>
            <w:hideMark/>
          </w:tcPr>
          <w:p w14:paraId="701ED7AC"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22958D8E"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6D7686FF" w14:textId="77777777" w:rsidR="00EA3205" w:rsidRPr="00F31A39" w:rsidRDefault="00EA3205" w:rsidP="00EA3205">
            <w:pPr>
              <w:rPr>
                <w:rFonts w:ascii="AcadNusx" w:hAnsi="AcadNusx"/>
                <w:sz w:val="20"/>
              </w:rPr>
            </w:pPr>
            <w:r w:rsidRPr="00F31A39">
              <w:rPr>
                <w:rFonts w:ascii="AcadNusx" w:hAnsi="AcadNusx"/>
                <w:sz w:val="20"/>
              </w:rPr>
              <w:t>0+13</w:t>
            </w:r>
          </w:p>
        </w:tc>
        <w:tc>
          <w:tcPr>
            <w:tcW w:w="1559" w:type="dxa"/>
            <w:tcBorders>
              <w:top w:val="nil"/>
              <w:left w:val="nil"/>
              <w:bottom w:val="single" w:sz="4" w:space="0" w:color="auto"/>
              <w:right w:val="single" w:sz="4" w:space="0" w:color="auto"/>
            </w:tcBorders>
            <w:noWrap/>
            <w:vAlign w:val="center"/>
            <w:hideMark/>
          </w:tcPr>
          <w:p w14:paraId="7725CC7C"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0022A7F6" w14:textId="77777777" w:rsidR="00EA3205" w:rsidRPr="00F31A39" w:rsidRDefault="00EA3205" w:rsidP="00EA3205">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14:paraId="4C924608"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B3"/>
            </w:r>
            <w:r w:rsidRPr="00F31A39">
              <w:rPr>
                <w:rFonts w:ascii="AcadNusx" w:hAnsi="AcadNusx"/>
                <w:sz w:val="20"/>
              </w:rPr>
              <w:t>10 kv) sahaero e.g.x.-is sayrdeni</w:t>
            </w:r>
          </w:p>
        </w:tc>
      </w:tr>
      <w:tr w:rsidR="00EA3205" w:rsidRPr="00B05F62" w14:paraId="0999FC32"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5E6450FC" w14:textId="77777777" w:rsidR="00EA3205" w:rsidRPr="00F31A39" w:rsidRDefault="00EA3205" w:rsidP="00EA3205">
            <w:pPr>
              <w:rPr>
                <w:rFonts w:ascii="AcadNusx" w:hAnsi="AcadNusx"/>
                <w:sz w:val="20"/>
              </w:rPr>
            </w:pPr>
            <w:r w:rsidRPr="00F31A39">
              <w:rPr>
                <w:rFonts w:ascii="AcadNusx" w:hAnsi="AcadNusx"/>
                <w:sz w:val="20"/>
              </w:rPr>
              <w:t>4+910</w:t>
            </w:r>
          </w:p>
        </w:tc>
        <w:tc>
          <w:tcPr>
            <w:tcW w:w="1559" w:type="dxa"/>
            <w:tcBorders>
              <w:top w:val="nil"/>
              <w:left w:val="nil"/>
              <w:bottom w:val="single" w:sz="4" w:space="0" w:color="auto"/>
              <w:right w:val="single" w:sz="4" w:space="0" w:color="auto"/>
            </w:tcBorders>
            <w:noWrap/>
            <w:vAlign w:val="center"/>
            <w:hideMark/>
          </w:tcPr>
          <w:p w14:paraId="4983A990"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5B0CE73B" w14:textId="77777777" w:rsidR="00EA3205" w:rsidRPr="00F31A39" w:rsidRDefault="00EA3205" w:rsidP="00EA3205">
            <w:pPr>
              <w:rPr>
                <w:rFonts w:ascii="AcadNusx" w:hAnsi="AcadNusx"/>
                <w:sz w:val="20"/>
              </w:rPr>
            </w:pPr>
            <w:r w:rsidRPr="00F31A39">
              <w:rPr>
                <w:rFonts w:ascii="AcadNusx" w:hAnsi="AcadNusx"/>
                <w:sz w:val="20"/>
              </w:rPr>
              <w:t>20.0</w:t>
            </w:r>
          </w:p>
        </w:tc>
        <w:tc>
          <w:tcPr>
            <w:tcW w:w="4961" w:type="dxa"/>
            <w:tcBorders>
              <w:top w:val="nil"/>
              <w:left w:val="nil"/>
              <w:bottom w:val="single" w:sz="4" w:space="0" w:color="auto"/>
              <w:right w:val="single" w:sz="4" w:space="0" w:color="auto"/>
            </w:tcBorders>
            <w:hideMark/>
          </w:tcPr>
          <w:p w14:paraId="190FAE2F"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1C55F9E4"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736CC9B3" w14:textId="77777777" w:rsidR="00EA3205" w:rsidRPr="00F31A39" w:rsidRDefault="00EA3205" w:rsidP="00EA3205">
            <w:pPr>
              <w:rPr>
                <w:rFonts w:ascii="AcadNusx" w:hAnsi="AcadNusx"/>
                <w:sz w:val="20"/>
              </w:rPr>
            </w:pPr>
            <w:r w:rsidRPr="00F31A39">
              <w:rPr>
                <w:rFonts w:ascii="AcadNusx" w:hAnsi="AcadNusx"/>
                <w:sz w:val="20"/>
              </w:rPr>
              <w:lastRenderedPageBreak/>
              <w:t>4+884</w:t>
            </w:r>
          </w:p>
        </w:tc>
        <w:tc>
          <w:tcPr>
            <w:tcW w:w="1559" w:type="dxa"/>
            <w:tcBorders>
              <w:top w:val="nil"/>
              <w:left w:val="nil"/>
              <w:bottom w:val="single" w:sz="4" w:space="0" w:color="auto"/>
              <w:right w:val="single" w:sz="4" w:space="0" w:color="auto"/>
            </w:tcBorders>
            <w:noWrap/>
            <w:vAlign w:val="center"/>
            <w:hideMark/>
          </w:tcPr>
          <w:p w14:paraId="2F82D96E" w14:textId="77777777" w:rsidR="00EA3205" w:rsidRPr="00F31A39" w:rsidRDefault="00EA3205" w:rsidP="00EA3205">
            <w:pPr>
              <w:rPr>
                <w:rFonts w:ascii="AcadNusx" w:hAnsi="AcadNusx"/>
                <w:sz w:val="20"/>
              </w:rPr>
            </w:pPr>
            <w:r w:rsidRPr="00F31A39">
              <w:rPr>
                <w:rFonts w:ascii="AcadNusx" w:hAnsi="AcadNusx"/>
                <w:sz w:val="20"/>
              </w:rPr>
              <w:t>35.0</w:t>
            </w:r>
          </w:p>
        </w:tc>
        <w:tc>
          <w:tcPr>
            <w:tcW w:w="2130" w:type="dxa"/>
            <w:tcBorders>
              <w:top w:val="nil"/>
              <w:left w:val="nil"/>
              <w:bottom w:val="single" w:sz="4" w:space="0" w:color="auto"/>
              <w:right w:val="single" w:sz="4" w:space="0" w:color="auto"/>
            </w:tcBorders>
            <w:noWrap/>
            <w:vAlign w:val="center"/>
            <w:hideMark/>
          </w:tcPr>
          <w:p w14:paraId="49DC1F1C"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1CA26052"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582D5309"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296059F9" w14:textId="77777777" w:rsidR="00EA3205" w:rsidRPr="00F31A39" w:rsidRDefault="00EA3205" w:rsidP="00EA3205">
            <w:pPr>
              <w:rPr>
                <w:rFonts w:ascii="AcadNusx" w:hAnsi="AcadNusx"/>
                <w:sz w:val="20"/>
              </w:rPr>
            </w:pPr>
            <w:r w:rsidRPr="00F31A39">
              <w:rPr>
                <w:rFonts w:ascii="AcadNusx" w:hAnsi="AcadNusx"/>
                <w:sz w:val="20"/>
              </w:rPr>
              <w:t>4+900</w:t>
            </w:r>
          </w:p>
        </w:tc>
        <w:tc>
          <w:tcPr>
            <w:tcW w:w="1559" w:type="dxa"/>
            <w:tcBorders>
              <w:top w:val="nil"/>
              <w:left w:val="nil"/>
              <w:bottom w:val="single" w:sz="4" w:space="0" w:color="auto"/>
              <w:right w:val="single" w:sz="4" w:space="0" w:color="auto"/>
            </w:tcBorders>
            <w:noWrap/>
            <w:vAlign w:val="center"/>
            <w:hideMark/>
          </w:tcPr>
          <w:p w14:paraId="70687D7F" w14:textId="77777777" w:rsidR="00EA3205" w:rsidRPr="00F31A39" w:rsidRDefault="00EA3205" w:rsidP="00EA3205">
            <w:pPr>
              <w:rPr>
                <w:rFonts w:ascii="AcadNusx" w:hAnsi="AcadNusx"/>
                <w:sz w:val="20"/>
              </w:rPr>
            </w:pPr>
            <w:r w:rsidRPr="00F31A39">
              <w:rPr>
                <w:rFonts w:ascii="AcadNusx" w:hAnsi="AcadNusx"/>
                <w:sz w:val="20"/>
              </w:rPr>
              <w:t>35.0</w:t>
            </w:r>
          </w:p>
        </w:tc>
        <w:tc>
          <w:tcPr>
            <w:tcW w:w="2130" w:type="dxa"/>
            <w:tcBorders>
              <w:top w:val="nil"/>
              <w:left w:val="nil"/>
              <w:bottom w:val="single" w:sz="4" w:space="0" w:color="auto"/>
              <w:right w:val="single" w:sz="4" w:space="0" w:color="auto"/>
            </w:tcBorders>
            <w:noWrap/>
            <w:vAlign w:val="center"/>
            <w:hideMark/>
          </w:tcPr>
          <w:p w14:paraId="73A35B62"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5CF5AE51"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36712B4A"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5DD7528A" w14:textId="77777777" w:rsidR="00EA3205" w:rsidRPr="00F31A39" w:rsidRDefault="00EA3205" w:rsidP="00EA3205">
            <w:pPr>
              <w:rPr>
                <w:rFonts w:ascii="AcadNusx" w:hAnsi="AcadNusx"/>
                <w:sz w:val="20"/>
              </w:rPr>
            </w:pPr>
            <w:r w:rsidRPr="00F31A39">
              <w:rPr>
                <w:rFonts w:ascii="AcadNusx" w:hAnsi="AcadNusx"/>
                <w:sz w:val="20"/>
              </w:rPr>
              <w:t>4+950</w:t>
            </w:r>
          </w:p>
        </w:tc>
        <w:tc>
          <w:tcPr>
            <w:tcW w:w="1559" w:type="dxa"/>
            <w:tcBorders>
              <w:top w:val="nil"/>
              <w:left w:val="nil"/>
              <w:bottom w:val="single" w:sz="4" w:space="0" w:color="auto"/>
              <w:right w:val="single" w:sz="4" w:space="0" w:color="auto"/>
            </w:tcBorders>
            <w:noWrap/>
            <w:vAlign w:val="center"/>
            <w:hideMark/>
          </w:tcPr>
          <w:p w14:paraId="288662E8" w14:textId="77777777" w:rsidR="00EA3205" w:rsidRPr="00F31A39" w:rsidRDefault="00EA3205" w:rsidP="00EA3205">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14:paraId="468D31E7"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31C039AB"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6842487B"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2E968B61" w14:textId="77777777" w:rsidR="00EA3205" w:rsidRPr="00F31A39" w:rsidRDefault="00EA3205" w:rsidP="00EA3205">
            <w:pPr>
              <w:rPr>
                <w:rFonts w:ascii="AcadNusx" w:hAnsi="AcadNusx"/>
                <w:sz w:val="20"/>
              </w:rPr>
            </w:pPr>
            <w:r w:rsidRPr="00F31A39">
              <w:rPr>
                <w:rFonts w:ascii="AcadNusx" w:hAnsi="AcadNusx"/>
                <w:sz w:val="20"/>
              </w:rPr>
              <w:t>5+070</w:t>
            </w:r>
          </w:p>
        </w:tc>
        <w:tc>
          <w:tcPr>
            <w:tcW w:w="1559" w:type="dxa"/>
            <w:tcBorders>
              <w:top w:val="nil"/>
              <w:left w:val="nil"/>
              <w:bottom w:val="single" w:sz="4" w:space="0" w:color="auto"/>
              <w:right w:val="single" w:sz="4" w:space="0" w:color="auto"/>
            </w:tcBorders>
            <w:noWrap/>
            <w:vAlign w:val="center"/>
            <w:hideMark/>
          </w:tcPr>
          <w:p w14:paraId="606DC561"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6E39FC77" w14:textId="77777777" w:rsidR="00EA3205" w:rsidRPr="00F31A39" w:rsidRDefault="00EA3205" w:rsidP="00EA3205">
            <w:pPr>
              <w:rPr>
                <w:rFonts w:ascii="AcadNusx" w:hAnsi="AcadNusx"/>
                <w:sz w:val="20"/>
              </w:rPr>
            </w:pPr>
            <w:r w:rsidRPr="00F31A39">
              <w:rPr>
                <w:rFonts w:ascii="AcadNusx" w:hAnsi="AcadNusx"/>
                <w:sz w:val="20"/>
              </w:rPr>
              <w:t>10.0</w:t>
            </w:r>
          </w:p>
        </w:tc>
        <w:tc>
          <w:tcPr>
            <w:tcW w:w="4961" w:type="dxa"/>
            <w:tcBorders>
              <w:top w:val="nil"/>
              <w:left w:val="nil"/>
              <w:bottom w:val="single" w:sz="4" w:space="0" w:color="auto"/>
              <w:right w:val="single" w:sz="4" w:space="0" w:color="auto"/>
            </w:tcBorders>
            <w:hideMark/>
          </w:tcPr>
          <w:p w14:paraId="41976674"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6CAB8C3F"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51E37671" w14:textId="77777777" w:rsidR="00EA3205" w:rsidRPr="00F31A39" w:rsidRDefault="00EA3205" w:rsidP="00EA3205">
            <w:pPr>
              <w:rPr>
                <w:rFonts w:ascii="AcadNusx" w:hAnsi="AcadNusx"/>
                <w:sz w:val="20"/>
              </w:rPr>
            </w:pPr>
            <w:r w:rsidRPr="00F31A39">
              <w:rPr>
                <w:rFonts w:ascii="AcadNusx" w:hAnsi="AcadNusx"/>
                <w:sz w:val="20"/>
              </w:rPr>
              <w:t>5+090</w:t>
            </w:r>
          </w:p>
        </w:tc>
        <w:tc>
          <w:tcPr>
            <w:tcW w:w="1559" w:type="dxa"/>
            <w:tcBorders>
              <w:top w:val="nil"/>
              <w:left w:val="nil"/>
              <w:bottom w:val="single" w:sz="4" w:space="0" w:color="auto"/>
              <w:right w:val="single" w:sz="4" w:space="0" w:color="auto"/>
            </w:tcBorders>
            <w:noWrap/>
            <w:vAlign w:val="center"/>
            <w:hideMark/>
          </w:tcPr>
          <w:p w14:paraId="1E43AC23"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252F8173" w14:textId="77777777" w:rsidR="00EA3205" w:rsidRPr="00F31A39" w:rsidRDefault="00EA3205" w:rsidP="00EA3205">
            <w:pPr>
              <w:rPr>
                <w:rFonts w:ascii="AcadNusx" w:hAnsi="AcadNusx"/>
                <w:sz w:val="20"/>
              </w:rPr>
            </w:pPr>
            <w:r w:rsidRPr="00F31A39">
              <w:rPr>
                <w:rFonts w:ascii="AcadNusx" w:hAnsi="AcadNusx"/>
                <w:sz w:val="20"/>
              </w:rPr>
              <w:t>22.0</w:t>
            </w:r>
          </w:p>
        </w:tc>
        <w:tc>
          <w:tcPr>
            <w:tcW w:w="4961" w:type="dxa"/>
            <w:tcBorders>
              <w:top w:val="nil"/>
              <w:left w:val="nil"/>
              <w:bottom w:val="single" w:sz="4" w:space="0" w:color="auto"/>
              <w:right w:val="single" w:sz="4" w:space="0" w:color="auto"/>
            </w:tcBorders>
            <w:hideMark/>
          </w:tcPr>
          <w:p w14:paraId="2A85DE3D"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595E3FDD"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0C302EAC" w14:textId="77777777" w:rsidR="00EA3205" w:rsidRPr="00F31A39" w:rsidRDefault="00EA3205" w:rsidP="00EA3205">
            <w:pPr>
              <w:rPr>
                <w:rFonts w:ascii="AcadNusx" w:hAnsi="AcadNusx"/>
                <w:sz w:val="20"/>
              </w:rPr>
            </w:pPr>
            <w:r w:rsidRPr="00F31A39">
              <w:rPr>
                <w:rFonts w:ascii="AcadNusx" w:hAnsi="AcadNusx"/>
                <w:sz w:val="20"/>
              </w:rPr>
              <w:t>5+130</w:t>
            </w:r>
          </w:p>
        </w:tc>
        <w:tc>
          <w:tcPr>
            <w:tcW w:w="1559" w:type="dxa"/>
            <w:tcBorders>
              <w:top w:val="nil"/>
              <w:left w:val="nil"/>
              <w:bottom w:val="single" w:sz="4" w:space="0" w:color="auto"/>
              <w:right w:val="single" w:sz="4" w:space="0" w:color="auto"/>
            </w:tcBorders>
            <w:noWrap/>
            <w:vAlign w:val="center"/>
            <w:hideMark/>
          </w:tcPr>
          <w:p w14:paraId="2F7B319C"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242AFF32"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208CEC9E"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497D3DD6"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0FC4F2A8" w14:textId="77777777" w:rsidR="00EA3205" w:rsidRPr="00F31A39" w:rsidRDefault="00EA3205" w:rsidP="00EA3205">
            <w:pPr>
              <w:rPr>
                <w:rFonts w:ascii="AcadNusx" w:hAnsi="AcadNusx"/>
                <w:sz w:val="20"/>
              </w:rPr>
            </w:pPr>
            <w:r w:rsidRPr="00F31A39">
              <w:rPr>
                <w:rFonts w:ascii="AcadNusx" w:hAnsi="AcadNusx"/>
                <w:sz w:val="20"/>
              </w:rPr>
              <w:t>5+155</w:t>
            </w:r>
          </w:p>
        </w:tc>
        <w:tc>
          <w:tcPr>
            <w:tcW w:w="1559" w:type="dxa"/>
            <w:tcBorders>
              <w:top w:val="nil"/>
              <w:left w:val="nil"/>
              <w:bottom w:val="single" w:sz="4" w:space="0" w:color="auto"/>
              <w:right w:val="single" w:sz="4" w:space="0" w:color="auto"/>
            </w:tcBorders>
            <w:noWrap/>
            <w:vAlign w:val="center"/>
            <w:hideMark/>
          </w:tcPr>
          <w:p w14:paraId="119DC3B1"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6C691AAA"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1730E2E6"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321DA665"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64BA21FE" w14:textId="77777777" w:rsidR="00EA3205" w:rsidRPr="00F31A39" w:rsidRDefault="00EA3205" w:rsidP="00EA3205">
            <w:pPr>
              <w:rPr>
                <w:rFonts w:ascii="AcadNusx" w:hAnsi="AcadNusx"/>
                <w:sz w:val="20"/>
              </w:rPr>
            </w:pPr>
            <w:r w:rsidRPr="00F31A39">
              <w:rPr>
                <w:rFonts w:ascii="AcadNusx" w:hAnsi="AcadNusx"/>
                <w:sz w:val="20"/>
              </w:rPr>
              <w:t>5+155</w:t>
            </w:r>
          </w:p>
        </w:tc>
        <w:tc>
          <w:tcPr>
            <w:tcW w:w="1559" w:type="dxa"/>
            <w:tcBorders>
              <w:top w:val="nil"/>
              <w:left w:val="nil"/>
              <w:bottom w:val="single" w:sz="4" w:space="0" w:color="auto"/>
              <w:right w:val="single" w:sz="4" w:space="0" w:color="auto"/>
            </w:tcBorders>
            <w:noWrap/>
            <w:vAlign w:val="center"/>
            <w:hideMark/>
          </w:tcPr>
          <w:p w14:paraId="53B6F2A7"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2C87C14B" w14:textId="77777777" w:rsidR="00EA3205" w:rsidRPr="00F31A39" w:rsidRDefault="00EA3205" w:rsidP="00EA3205">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14:paraId="6F0F1ECE"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784B8143"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3685375A" w14:textId="77777777" w:rsidR="00EA3205" w:rsidRPr="00F31A39" w:rsidRDefault="00EA3205" w:rsidP="00EA3205">
            <w:pPr>
              <w:rPr>
                <w:rFonts w:ascii="AcadNusx" w:hAnsi="AcadNusx"/>
                <w:sz w:val="20"/>
              </w:rPr>
            </w:pPr>
            <w:r w:rsidRPr="00F31A39">
              <w:rPr>
                <w:rFonts w:ascii="AcadNusx" w:hAnsi="AcadNusx"/>
                <w:sz w:val="20"/>
              </w:rPr>
              <w:t>5+790</w:t>
            </w:r>
          </w:p>
        </w:tc>
        <w:tc>
          <w:tcPr>
            <w:tcW w:w="1559" w:type="dxa"/>
            <w:tcBorders>
              <w:top w:val="nil"/>
              <w:left w:val="nil"/>
              <w:bottom w:val="single" w:sz="4" w:space="0" w:color="auto"/>
              <w:right w:val="single" w:sz="4" w:space="0" w:color="auto"/>
            </w:tcBorders>
            <w:noWrap/>
            <w:vAlign w:val="center"/>
            <w:hideMark/>
          </w:tcPr>
          <w:p w14:paraId="2FA93630"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099095A6" w14:textId="77777777" w:rsidR="00EA3205" w:rsidRPr="00F31A39" w:rsidRDefault="00EA3205" w:rsidP="00EA3205">
            <w:pPr>
              <w:rPr>
                <w:rFonts w:ascii="AcadNusx" w:hAnsi="AcadNusx"/>
                <w:sz w:val="20"/>
              </w:rPr>
            </w:pPr>
            <w:r w:rsidRPr="00F31A39">
              <w:rPr>
                <w:rFonts w:ascii="AcadNusx" w:hAnsi="AcadNusx"/>
                <w:sz w:val="20"/>
              </w:rPr>
              <w:t>25.0</w:t>
            </w:r>
          </w:p>
        </w:tc>
        <w:tc>
          <w:tcPr>
            <w:tcW w:w="4961" w:type="dxa"/>
            <w:tcBorders>
              <w:top w:val="nil"/>
              <w:left w:val="nil"/>
              <w:bottom w:val="single" w:sz="4" w:space="0" w:color="auto"/>
              <w:right w:val="single" w:sz="4" w:space="0" w:color="auto"/>
            </w:tcBorders>
            <w:hideMark/>
          </w:tcPr>
          <w:p w14:paraId="0AC9BC5A"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7E189FDB"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03AAECDE" w14:textId="77777777" w:rsidR="00EA3205" w:rsidRPr="00F31A39" w:rsidRDefault="00EA3205" w:rsidP="00EA3205">
            <w:pPr>
              <w:rPr>
                <w:rFonts w:ascii="AcadNusx" w:hAnsi="AcadNusx"/>
                <w:sz w:val="20"/>
              </w:rPr>
            </w:pPr>
            <w:r w:rsidRPr="00F31A39">
              <w:rPr>
                <w:rFonts w:ascii="AcadNusx" w:hAnsi="AcadNusx"/>
                <w:sz w:val="20"/>
              </w:rPr>
              <w:t>5+840</w:t>
            </w:r>
          </w:p>
        </w:tc>
        <w:tc>
          <w:tcPr>
            <w:tcW w:w="1559" w:type="dxa"/>
            <w:tcBorders>
              <w:top w:val="nil"/>
              <w:left w:val="nil"/>
              <w:bottom w:val="single" w:sz="4" w:space="0" w:color="auto"/>
              <w:right w:val="single" w:sz="4" w:space="0" w:color="auto"/>
            </w:tcBorders>
            <w:noWrap/>
            <w:vAlign w:val="center"/>
            <w:hideMark/>
          </w:tcPr>
          <w:p w14:paraId="4F4DA823" w14:textId="77777777" w:rsidR="00EA3205" w:rsidRPr="00F31A39" w:rsidRDefault="00EA3205" w:rsidP="00EA3205">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14:paraId="713815FC"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0FB06B7F"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6B5AAFCD"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11B981A8" w14:textId="77777777" w:rsidR="00EA3205" w:rsidRPr="00F31A39" w:rsidRDefault="00EA3205" w:rsidP="00EA3205">
            <w:pPr>
              <w:rPr>
                <w:rFonts w:ascii="AcadNusx" w:hAnsi="AcadNusx"/>
                <w:sz w:val="20"/>
              </w:rPr>
            </w:pPr>
            <w:r w:rsidRPr="00F31A39">
              <w:rPr>
                <w:rFonts w:ascii="AcadNusx" w:hAnsi="AcadNusx"/>
                <w:sz w:val="20"/>
              </w:rPr>
              <w:t>5+825</w:t>
            </w:r>
          </w:p>
        </w:tc>
        <w:tc>
          <w:tcPr>
            <w:tcW w:w="1559" w:type="dxa"/>
            <w:tcBorders>
              <w:top w:val="nil"/>
              <w:left w:val="nil"/>
              <w:bottom w:val="single" w:sz="4" w:space="0" w:color="auto"/>
              <w:right w:val="single" w:sz="4" w:space="0" w:color="auto"/>
            </w:tcBorders>
            <w:noWrap/>
            <w:vAlign w:val="center"/>
            <w:hideMark/>
          </w:tcPr>
          <w:p w14:paraId="14AFCF7E"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37B7D6DC" w14:textId="77777777" w:rsidR="00EA3205" w:rsidRPr="00F31A39" w:rsidRDefault="00EA3205" w:rsidP="00EA3205">
            <w:pPr>
              <w:rPr>
                <w:rFonts w:ascii="AcadNusx" w:hAnsi="AcadNusx"/>
                <w:sz w:val="20"/>
              </w:rPr>
            </w:pPr>
            <w:r w:rsidRPr="00F31A39">
              <w:rPr>
                <w:rFonts w:ascii="AcadNusx" w:hAnsi="AcadNusx"/>
                <w:sz w:val="20"/>
              </w:rPr>
              <w:t>25.0</w:t>
            </w:r>
          </w:p>
        </w:tc>
        <w:tc>
          <w:tcPr>
            <w:tcW w:w="4961" w:type="dxa"/>
            <w:tcBorders>
              <w:top w:val="nil"/>
              <w:left w:val="nil"/>
              <w:bottom w:val="single" w:sz="4" w:space="0" w:color="auto"/>
              <w:right w:val="single" w:sz="4" w:space="0" w:color="auto"/>
            </w:tcBorders>
            <w:hideMark/>
          </w:tcPr>
          <w:p w14:paraId="22BA97B5"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330C62F1"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11173C65" w14:textId="77777777" w:rsidR="00EA3205" w:rsidRPr="00F31A39" w:rsidRDefault="00EA3205" w:rsidP="00EA3205">
            <w:pPr>
              <w:rPr>
                <w:rFonts w:ascii="AcadNusx" w:hAnsi="AcadNusx"/>
                <w:sz w:val="20"/>
              </w:rPr>
            </w:pPr>
            <w:r w:rsidRPr="00F31A39">
              <w:rPr>
                <w:rFonts w:ascii="AcadNusx" w:hAnsi="AcadNusx"/>
                <w:sz w:val="20"/>
              </w:rPr>
              <w:t>5+885</w:t>
            </w:r>
          </w:p>
        </w:tc>
        <w:tc>
          <w:tcPr>
            <w:tcW w:w="1559" w:type="dxa"/>
            <w:tcBorders>
              <w:top w:val="nil"/>
              <w:left w:val="nil"/>
              <w:bottom w:val="single" w:sz="4" w:space="0" w:color="auto"/>
              <w:right w:val="single" w:sz="4" w:space="0" w:color="auto"/>
            </w:tcBorders>
            <w:noWrap/>
            <w:vAlign w:val="center"/>
            <w:hideMark/>
          </w:tcPr>
          <w:p w14:paraId="437497FA"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6AF72EE1" w14:textId="77777777" w:rsidR="00EA3205" w:rsidRPr="00F31A39" w:rsidRDefault="00EA3205" w:rsidP="00EA3205">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14:paraId="27CE5E82"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1E7EA1C3"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7D3C767D" w14:textId="77777777" w:rsidR="00EA3205" w:rsidRPr="00F31A39" w:rsidRDefault="00EA3205" w:rsidP="00EA3205">
            <w:pPr>
              <w:rPr>
                <w:rFonts w:ascii="AcadNusx" w:hAnsi="AcadNusx"/>
                <w:sz w:val="20"/>
              </w:rPr>
            </w:pPr>
            <w:r w:rsidRPr="00F31A39">
              <w:rPr>
                <w:rFonts w:ascii="AcadNusx" w:hAnsi="AcadNusx"/>
                <w:sz w:val="20"/>
              </w:rPr>
              <w:t>5+895</w:t>
            </w:r>
          </w:p>
        </w:tc>
        <w:tc>
          <w:tcPr>
            <w:tcW w:w="1559" w:type="dxa"/>
            <w:tcBorders>
              <w:top w:val="nil"/>
              <w:left w:val="nil"/>
              <w:bottom w:val="single" w:sz="4" w:space="0" w:color="auto"/>
              <w:right w:val="single" w:sz="4" w:space="0" w:color="auto"/>
            </w:tcBorders>
            <w:noWrap/>
            <w:vAlign w:val="center"/>
            <w:hideMark/>
          </w:tcPr>
          <w:p w14:paraId="139A896E"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2A9709B8" w14:textId="77777777" w:rsidR="00EA3205" w:rsidRPr="00F31A39" w:rsidRDefault="00EA3205" w:rsidP="00EA3205">
            <w:pPr>
              <w:rPr>
                <w:rFonts w:ascii="AcadNusx" w:hAnsi="AcadNusx"/>
                <w:sz w:val="20"/>
              </w:rPr>
            </w:pPr>
            <w:r w:rsidRPr="00F31A39">
              <w:rPr>
                <w:rFonts w:ascii="AcadNusx" w:hAnsi="AcadNusx"/>
                <w:sz w:val="20"/>
              </w:rPr>
              <w:t>12.0</w:t>
            </w:r>
          </w:p>
        </w:tc>
        <w:tc>
          <w:tcPr>
            <w:tcW w:w="4961" w:type="dxa"/>
            <w:tcBorders>
              <w:top w:val="nil"/>
              <w:left w:val="nil"/>
              <w:bottom w:val="single" w:sz="4" w:space="0" w:color="auto"/>
              <w:right w:val="single" w:sz="4" w:space="0" w:color="auto"/>
            </w:tcBorders>
            <w:hideMark/>
          </w:tcPr>
          <w:p w14:paraId="7F5C99A1"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61C57846"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7B107B72" w14:textId="77777777" w:rsidR="00EA3205" w:rsidRPr="00F31A39" w:rsidRDefault="00EA3205" w:rsidP="00EA3205">
            <w:pPr>
              <w:rPr>
                <w:rFonts w:ascii="AcadNusx" w:hAnsi="AcadNusx"/>
                <w:sz w:val="20"/>
              </w:rPr>
            </w:pPr>
            <w:r w:rsidRPr="00F31A39">
              <w:rPr>
                <w:rFonts w:ascii="AcadNusx" w:hAnsi="AcadNusx"/>
                <w:sz w:val="20"/>
              </w:rPr>
              <w:t>5+900</w:t>
            </w:r>
          </w:p>
        </w:tc>
        <w:tc>
          <w:tcPr>
            <w:tcW w:w="1559" w:type="dxa"/>
            <w:tcBorders>
              <w:top w:val="nil"/>
              <w:left w:val="nil"/>
              <w:bottom w:val="single" w:sz="4" w:space="0" w:color="auto"/>
              <w:right w:val="single" w:sz="4" w:space="0" w:color="auto"/>
            </w:tcBorders>
            <w:noWrap/>
            <w:vAlign w:val="center"/>
            <w:hideMark/>
          </w:tcPr>
          <w:p w14:paraId="425CBACD" w14:textId="77777777" w:rsidR="00EA3205" w:rsidRPr="00F31A39" w:rsidRDefault="00EA3205" w:rsidP="00EA3205">
            <w:pPr>
              <w:rPr>
                <w:rFonts w:ascii="AcadNusx" w:hAnsi="AcadNusx"/>
                <w:sz w:val="20"/>
              </w:rPr>
            </w:pPr>
            <w:r w:rsidRPr="00F31A39">
              <w:rPr>
                <w:rFonts w:ascii="AcadNusx" w:hAnsi="AcadNusx"/>
                <w:sz w:val="20"/>
              </w:rPr>
              <w:t>30.0</w:t>
            </w:r>
          </w:p>
        </w:tc>
        <w:tc>
          <w:tcPr>
            <w:tcW w:w="2130" w:type="dxa"/>
            <w:tcBorders>
              <w:top w:val="nil"/>
              <w:left w:val="nil"/>
              <w:bottom w:val="single" w:sz="4" w:space="0" w:color="auto"/>
              <w:right w:val="single" w:sz="4" w:space="0" w:color="auto"/>
            </w:tcBorders>
            <w:noWrap/>
            <w:vAlign w:val="center"/>
            <w:hideMark/>
          </w:tcPr>
          <w:p w14:paraId="7A772402"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47AD6340"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74C1F3D9"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6FA3F017" w14:textId="77777777" w:rsidR="00EA3205" w:rsidRPr="00F31A39" w:rsidRDefault="00EA3205" w:rsidP="00EA3205">
            <w:pPr>
              <w:rPr>
                <w:rFonts w:ascii="AcadNusx" w:hAnsi="AcadNusx"/>
                <w:sz w:val="20"/>
              </w:rPr>
            </w:pPr>
            <w:r w:rsidRPr="00F31A39">
              <w:rPr>
                <w:rFonts w:ascii="AcadNusx" w:hAnsi="AcadNusx"/>
                <w:sz w:val="20"/>
              </w:rPr>
              <w:t>5+905</w:t>
            </w:r>
          </w:p>
        </w:tc>
        <w:tc>
          <w:tcPr>
            <w:tcW w:w="1559" w:type="dxa"/>
            <w:tcBorders>
              <w:top w:val="nil"/>
              <w:left w:val="nil"/>
              <w:bottom w:val="single" w:sz="4" w:space="0" w:color="auto"/>
              <w:right w:val="single" w:sz="4" w:space="0" w:color="auto"/>
            </w:tcBorders>
            <w:noWrap/>
            <w:vAlign w:val="center"/>
            <w:hideMark/>
          </w:tcPr>
          <w:p w14:paraId="7F3E9A50" w14:textId="77777777" w:rsidR="00EA3205" w:rsidRPr="00F31A39" w:rsidRDefault="00EA3205" w:rsidP="00EA3205">
            <w:pPr>
              <w:rPr>
                <w:rFonts w:ascii="AcadNusx" w:hAnsi="AcadNusx"/>
                <w:sz w:val="20"/>
              </w:rPr>
            </w:pPr>
            <w:r w:rsidRPr="00F31A39">
              <w:rPr>
                <w:rFonts w:ascii="AcadNusx" w:hAnsi="AcadNusx"/>
                <w:sz w:val="20"/>
              </w:rPr>
              <w:t>35.0</w:t>
            </w:r>
          </w:p>
        </w:tc>
        <w:tc>
          <w:tcPr>
            <w:tcW w:w="2130" w:type="dxa"/>
            <w:tcBorders>
              <w:top w:val="nil"/>
              <w:left w:val="nil"/>
              <w:bottom w:val="single" w:sz="4" w:space="0" w:color="auto"/>
              <w:right w:val="single" w:sz="4" w:space="0" w:color="auto"/>
            </w:tcBorders>
            <w:noWrap/>
            <w:vAlign w:val="center"/>
            <w:hideMark/>
          </w:tcPr>
          <w:p w14:paraId="1FB2E7ED"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2D782220"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73D4A7E0"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4FB4BDF2" w14:textId="77777777" w:rsidR="00EA3205" w:rsidRPr="00F31A39" w:rsidRDefault="00EA3205" w:rsidP="00EA3205">
            <w:pPr>
              <w:rPr>
                <w:rFonts w:ascii="AcadNusx" w:hAnsi="AcadNusx"/>
                <w:sz w:val="20"/>
              </w:rPr>
            </w:pPr>
            <w:r w:rsidRPr="00F31A39">
              <w:rPr>
                <w:rFonts w:ascii="AcadNusx" w:hAnsi="AcadNusx"/>
                <w:sz w:val="20"/>
              </w:rPr>
              <w:t>5+930</w:t>
            </w:r>
          </w:p>
        </w:tc>
        <w:tc>
          <w:tcPr>
            <w:tcW w:w="1559" w:type="dxa"/>
            <w:tcBorders>
              <w:top w:val="nil"/>
              <w:left w:val="nil"/>
              <w:bottom w:val="single" w:sz="4" w:space="0" w:color="auto"/>
              <w:right w:val="single" w:sz="4" w:space="0" w:color="auto"/>
            </w:tcBorders>
            <w:noWrap/>
            <w:vAlign w:val="center"/>
            <w:hideMark/>
          </w:tcPr>
          <w:p w14:paraId="63E7DF54" w14:textId="77777777" w:rsidR="00EA3205" w:rsidRPr="00F31A39" w:rsidRDefault="00EA3205" w:rsidP="00EA3205">
            <w:pPr>
              <w:rPr>
                <w:rFonts w:ascii="AcadNusx" w:hAnsi="AcadNusx"/>
                <w:sz w:val="20"/>
              </w:rPr>
            </w:pPr>
            <w:r w:rsidRPr="00F31A39">
              <w:rPr>
                <w:rFonts w:ascii="AcadNusx" w:hAnsi="AcadNusx"/>
                <w:sz w:val="20"/>
              </w:rPr>
              <w:t>35.0</w:t>
            </w:r>
          </w:p>
        </w:tc>
        <w:tc>
          <w:tcPr>
            <w:tcW w:w="2130" w:type="dxa"/>
            <w:tcBorders>
              <w:top w:val="nil"/>
              <w:left w:val="nil"/>
              <w:bottom w:val="single" w:sz="4" w:space="0" w:color="auto"/>
              <w:right w:val="single" w:sz="4" w:space="0" w:color="auto"/>
            </w:tcBorders>
            <w:noWrap/>
            <w:vAlign w:val="center"/>
            <w:hideMark/>
          </w:tcPr>
          <w:p w14:paraId="516F815E"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3DC2C38C"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04F31984"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40392A4C" w14:textId="77777777" w:rsidR="00EA3205" w:rsidRPr="00F31A39" w:rsidRDefault="00EA3205" w:rsidP="00EA3205">
            <w:pPr>
              <w:rPr>
                <w:rFonts w:ascii="AcadNusx" w:hAnsi="AcadNusx"/>
                <w:sz w:val="20"/>
              </w:rPr>
            </w:pPr>
            <w:r w:rsidRPr="00F31A39">
              <w:rPr>
                <w:rFonts w:ascii="AcadNusx" w:hAnsi="AcadNusx"/>
                <w:sz w:val="20"/>
              </w:rPr>
              <w:t>5+950</w:t>
            </w:r>
          </w:p>
        </w:tc>
        <w:tc>
          <w:tcPr>
            <w:tcW w:w="1559" w:type="dxa"/>
            <w:tcBorders>
              <w:top w:val="nil"/>
              <w:left w:val="nil"/>
              <w:bottom w:val="single" w:sz="4" w:space="0" w:color="auto"/>
              <w:right w:val="single" w:sz="4" w:space="0" w:color="auto"/>
            </w:tcBorders>
            <w:noWrap/>
            <w:vAlign w:val="center"/>
            <w:hideMark/>
          </w:tcPr>
          <w:p w14:paraId="6C186B11"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7FD0539F" w14:textId="77777777" w:rsidR="00EA3205" w:rsidRPr="00F31A39" w:rsidRDefault="00EA3205" w:rsidP="00EA3205">
            <w:pPr>
              <w:rPr>
                <w:rFonts w:ascii="AcadNusx" w:hAnsi="AcadNusx"/>
                <w:sz w:val="20"/>
              </w:rPr>
            </w:pPr>
            <w:r w:rsidRPr="00F31A39">
              <w:rPr>
                <w:rFonts w:ascii="AcadNusx" w:hAnsi="AcadNusx"/>
                <w:sz w:val="20"/>
              </w:rPr>
              <w:t>10.0</w:t>
            </w:r>
          </w:p>
        </w:tc>
        <w:tc>
          <w:tcPr>
            <w:tcW w:w="4961" w:type="dxa"/>
            <w:tcBorders>
              <w:top w:val="nil"/>
              <w:left w:val="nil"/>
              <w:bottom w:val="single" w:sz="4" w:space="0" w:color="auto"/>
              <w:right w:val="single" w:sz="4" w:space="0" w:color="auto"/>
            </w:tcBorders>
            <w:hideMark/>
          </w:tcPr>
          <w:p w14:paraId="7625030E"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1000391C"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7D267FF1" w14:textId="77777777" w:rsidR="00EA3205" w:rsidRPr="00F31A39" w:rsidRDefault="00EA3205" w:rsidP="00EA3205">
            <w:pPr>
              <w:rPr>
                <w:rFonts w:ascii="AcadNusx" w:hAnsi="AcadNusx"/>
                <w:sz w:val="20"/>
              </w:rPr>
            </w:pPr>
            <w:r w:rsidRPr="00F31A39">
              <w:rPr>
                <w:rFonts w:ascii="AcadNusx" w:hAnsi="AcadNusx"/>
                <w:sz w:val="20"/>
              </w:rPr>
              <w:t>5+960</w:t>
            </w:r>
          </w:p>
        </w:tc>
        <w:tc>
          <w:tcPr>
            <w:tcW w:w="1559" w:type="dxa"/>
            <w:tcBorders>
              <w:top w:val="nil"/>
              <w:left w:val="nil"/>
              <w:bottom w:val="single" w:sz="4" w:space="0" w:color="auto"/>
              <w:right w:val="single" w:sz="4" w:space="0" w:color="auto"/>
            </w:tcBorders>
            <w:noWrap/>
            <w:vAlign w:val="center"/>
            <w:hideMark/>
          </w:tcPr>
          <w:p w14:paraId="49073A16" w14:textId="77777777" w:rsidR="00EA3205" w:rsidRPr="00F31A39" w:rsidRDefault="00EA3205" w:rsidP="00EA3205">
            <w:pPr>
              <w:rPr>
                <w:rFonts w:ascii="AcadNusx" w:hAnsi="AcadNusx"/>
                <w:sz w:val="20"/>
              </w:rPr>
            </w:pPr>
            <w:r w:rsidRPr="00F31A39">
              <w:rPr>
                <w:rFonts w:ascii="AcadNusx" w:hAnsi="AcadNusx"/>
                <w:sz w:val="20"/>
              </w:rPr>
              <w:t>25.0</w:t>
            </w:r>
          </w:p>
        </w:tc>
        <w:tc>
          <w:tcPr>
            <w:tcW w:w="2130" w:type="dxa"/>
            <w:tcBorders>
              <w:top w:val="nil"/>
              <w:left w:val="nil"/>
              <w:bottom w:val="single" w:sz="4" w:space="0" w:color="auto"/>
              <w:right w:val="single" w:sz="4" w:space="0" w:color="auto"/>
            </w:tcBorders>
            <w:noWrap/>
            <w:vAlign w:val="center"/>
            <w:hideMark/>
          </w:tcPr>
          <w:p w14:paraId="354C2972"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45DED0E2"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68703588"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739B93D4" w14:textId="77777777" w:rsidR="00EA3205" w:rsidRPr="00F31A39" w:rsidRDefault="00EA3205" w:rsidP="00EA3205">
            <w:pPr>
              <w:rPr>
                <w:rFonts w:ascii="AcadNusx" w:hAnsi="AcadNusx"/>
                <w:sz w:val="20"/>
              </w:rPr>
            </w:pPr>
            <w:r w:rsidRPr="00F31A39">
              <w:rPr>
                <w:rFonts w:ascii="AcadNusx" w:hAnsi="AcadNusx"/>
                <w:sz w:val="20"/>
              </w:rPr>
              <w:t>5+975</w:t>
            </w:r>
          </w:p>
        </w:tc>
        <w:tc>
          <w:tcPr>
            <w:tcW w:w="1559" w:type="dxa"/>
            <w:tcBorders>
              <w:top w:val="nil"/>
              <w:left w:val="nil"/>
              <w:bottom w:val="single" w:sz="4" w:space="0" w:color="auto"/>
              <w:right w:val="single" w:sz="4" w:space="0" w:color="auto"/>
            </w:tcBorders>
            <w:noWrap/>
            <w:vAlign w:val="center"/>
            <w:hideMark/>
          </w:tcPr>
          <w:p w14:paraId="32830FBF"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68FFE33B" w14:textId="77777777" w:rsidR="00EA3205" w:rsidRPr="00F31A39" w:rsidRDefault="00EA3205" w:rsidP="00EA3205">
            <w:pPr>
              <w:rPr>
                <w:rFonts w:ascii="AcadNusx" w:hAnsi="AcadNusx"/>
                <w:sz w:val="20"/>
              </w:rPr>
            </w:pPr>
            <w:r w:rsidRPr="00F31A39">
              <w:rPr>
                <w:rFonts w:ascii="AcadNusx" w:hAnsi="AcadNusx"/>
                <w:sz w:val="20"/>
              </w:rPr>
              <w:t>10.0</w:t>
            </w:r>
          </w:p>
        </w:tc>
        <w:tc>
          <w:tcPr>
            <w:tcW w:w="4961" w:type="dxa"/>
            <w:tcBorders>
              <w:top w:val="nil"/>
              <w:left w:val="nil"/>
              <w:bottom w:val="single" w:sz="4" w:space="0" w:color="auto"/>
              <w:right w:val="single" w:sz="4" w:space="0" w:color="auto"/>
            </w:tcBorders>
            <w:hideMark/>
          </w:tcPr>
          <w:p w14:paraId="3BBD4E43"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287B6565"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33C29067" w14:textId="77777777" w:rsidR="00EA3205" w:rsidRPr="00F31A39" w:rsidRDefault="00EA3205" w:rsidP="00EA3205">
            <w:pPr>
              <w:rPr>
                <w:rFonts w:ascii="AcadNusx" w:hAnsi="AcadNusx"/>
                <w:sz w:val="20"/>
              </w:rPr>
            </w:pPr>
            <w:r w:rsidRPr="00F31A39">
              <w:rPr>
                <w:rFonts w:ascii="AcadNusx" w:hAnsi="AcadNusx"/>
                <w:sz w:val="20"/>
              </w:rPr>
              <w:t>5+990</w:t>
            </w:r>
          </w:p>
        </w:tc>
        <w:tc>
          <w:tcPr>
            <w:tcW w:w="1559" w:type="dxa"/>
            <w:tcBorders>
              <w:top w:val="nil"/>
              <w:left w:val="nil"/>
              <w:bottom w:val="single" w:sz="4" w:space="0" w:color="auto"/>
              <w:right w:val="single" w:sz="4" w:space="0" w:color="auto"/>
            </w:tcBorders>
            <w:noWrap/>
            <w:vAlign w:val="center"/>
            <w:hideMark/>
          </w:tcPr>
          <w:p w14:paraId="4A2A8BC5" w14:textId="77777777" w:rsidR="00EA3205" w:rsidRPr="00F31A39" w:rsidRDefault="00EA3205" w:rsidP="00EA3205">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14:paraId="5D40E1ED"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1D282761"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28C54353"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20ED8D2A" w14:textId="77777777" w:rsidR="00EA3205" w:rsidRPr="00F31A39" w:rsidRDefault="00EA3205" w:rsidP="00EA3205">
            <w:pPr>
              <w:rPr>
                <w:rFonts w:ascii="AcadNusx" w:hAnsi="AcadNusx"/>
                <w:sz w:val="20"/>
              </w:rPr>
            </w:pPr>
            <w:r w:rsidRPr="00F31A39">
              <w:rPr>
                <w:rFonts w:ascii="AcadNusx" w:hAnsi="AcadNusx"/>
                <w:sz w:val="20"/>
              </w:rPr>
              <w:t>8+138</w:t>
            </w:r>
          </w:p>
        </w:tc>
        <w:tc>
          <w:tcPr>
            <w:tcW w:w="1559" w:type="dxa"/>
            <w:tcBorders>
              <w:top w:val="nil"/>
              <w:left w:val="nil"/>
              <w:bottom w:val="single" w:sz="4" w:space="0" w:color="auto"/>
              <w:right w:val="single" w:sz="4" w:space="0" w:color="auto"/>
            </w:tcBorders>
            <w:noWrap/>
            <w:vAlign w:val="center"/>
            <w:hideMark/>
          </w:tcPr>
          <w:p w14:paraId="544D43F2"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333483E4" w14:textId="77777777" w:rsidR="00EA3205" w:rsidRPr="00F31A39" w:rsidRDefault="00EA3205" w:rsidP="00EA3205">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14:paraId="00B487AA"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7B6469E4"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32B49455" w14:textId="77777777" w:rsidR="00EA3205" w:rsidRPr="00F31A39" w:rsidRDefault="00EA3205" w:rsidP="00EA3205">
            <w:pPr>
              <w:rPr>
                <w:rFonts w:ascii="AcadNusx" w:hAnsi="AcadNusx"/>
                <w:sz w:val="20"/>
              </w:rPr>
            </w:pPr>
            <w:r w:rsidRPr="00F31A39">
              <w:rPr>
                <w:rFonts w:ascii="AcadNusx" w:hAnsi="AcadNusx"/>
                <w:sz w:val="20"/>
              </w:rPr>
              <w:t>10+442</w:t>
            </w:r>
          </w:p>
        </w:tc>
        <w:tc>
          <w:tcPr>
            <w:tcW w:w="1559" w:type="dxa"/>
            <w:tcBorders>
              <w:top w:val="nil"/>
              <w:left w:val="nil"/>
              <w:bottom w:val="single" w:sz="4" w:space="0" w:color="auto"/>
              <w:right w:val="single" w:sz="4" w:space="0" w:color="auto"/>
            </w:tcBorders>
            <w:noWrap/>
            <w:vAlign w:val="center"/>
            <w:hideMark/>
          </w:tcPr>
          <w:p w14:paraId="54AB434D"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4941CEEE"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7CAC5C78"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234E55D1"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563F4B3C" w14:textId="77777777" w:rsidR="00EA3205" w:rsidRPr="00F31A39" w:rsidRDefault="00EA3205" w:rsidP="00EA3205">
            <w:pPr>
              <w:rPr>
                <w:rFonts w:ascii="AcadNusx" w:hAnsi="AcadNusx"/>
                <w:sz w:val="20"/>
              </w:rPr>
            </w:pPr>
            <w:r w:rsidRPr="00F31A39">
              <w:rPr>
                <w:rFonts w:ascii="AcadNusx" w:hAnsi="AcadNusx"/>
                <w:sz w:val="20"/>
              </w:rPr>
              <w:t>12+440</w:t>
            </w:r>
          </w:p>
        </w:tc>
        <w:tc>
          <w:tcPr>
            <w:tcW w:w="1559" w:type="dxa"/>
            <w:tcBorders>
              <w:top w:val="nil"/>
              <w:left w:val="nil"/>
              <w:bottom w:val="single" w:sz="4" w:space="0" w:color="auto"/>
              <w:right w:val="single" w:sz="4" w:space="0" w:color="auto"/>
            </w:tcBorders>
            <w:noWrap/>
            <w:vAlign w:val="center"/>
            <w:hideMark/>
          </w:tcPr>
          <w:p w14:paraId="55361CEE"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1800B207" w14:textId="77777777" w:rsidR="00EA3205" w:rsidRPr="00F31A39" w:rsidRDefault="00EA3205" w:rsidP="00EA3205">
            <w:pPr>
              <w:rPr>
                <w:rFonts w:ascii="AcadNusx" w:hAnsi="AcadNusx"/>
                <w:sz w:val="20"/>
              </w:rPr>
            </w:pPr>
            <w:r w:rsidRPr="00F31A39">
              <w:rPr>
                <w:rFonts w:ascii="AcadNusx" w:hAnsi="AcadNusx"/>
                <w:sz w:val="20"/>
              </w:rPr>
              <w:t>3.0</w:t>
            </w:r>
          </w:p>
        </w:tc>
        <w:tc>
          <w:tcPr>
            <w:tcW w:w="4961" w:type="dxa"/>
            <w:tcBorders>
              <w:top w:val="nil"/>
              <w:left w:val="nil"/>
              <w:bottom w:val="single" w:sz="4" w:space="0" w:color="auto"/>
              <w:right w:val="single" w:sz="4" w:space="0" w:color="auto"/>
            </w:tcBorders>
            <w:hideMark/>
          </w:tcPr>
          <w:p w14:paraId="6DBA68AB"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424EFE57"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0F3F09C5" w14:textId="77777777" w:rsidR="00EA3205" w:rsidRPr="00F31A39" w:rsidRDefault="00EA3205" w:rsidP="00EA3205">
            <w:pPr>
              <w:rPr>
                <w:rFonts w:ascii="AcadNusx" w:hAnsi="AcadNusx"/>
                <w:sz w:val="20"/>
              </w:rPr>
            </w:pPr>
            <w:r w:rsidRPr="00F31A39">
              <w:rPr>
                <w:rFonts w:ascii="AcadNusx" w:hAnsi="AcadNusx"/>
                <w:sz w:val="20"/>
              </w:rPr>
              <w:t>12+457</w:t>
            </w:r>
          </w:p>
        </w:tc>
        <w:tc>
          <w:tcPr>
            <w:tcW w:w="1559" w:type="dxa"/>
            <w:tcBorders>
              <w:top w:val="nil"/>
              <w:left w:val="nil"/>
              <w:bottom w:val="single" w:sz="4" w:space="0" w:color="auto"/>
              <w:right w:val="single" w:sz="4" w:space="0" w:color="auto"/>
            </w:tcBorders>
            <w:noWrap/>
            <w:vAlign w:val="center"/>
            <w:hideMark/>
          </w:tcPr>
          <w:p w14:paraId="0066920D"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79FDBB22"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16011352"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73889549"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6B80295E" w14:textId="77777777" w:rsidR="00EA3205" w:rsidRPr="00F31A39" w:rsidRDefault="00EA3205" w:rsidP="00EA3205">
            <w:pPr>
              <w:rPr>
                <w:rFonts w:ascii="AcadNusx" w:hAnsi="AcadNusx"/>
                <w:sz w:val="20"/>
              </w:rPr>
            </w:pPr>
            <w:r w:rsidRPr="00F31A39">
              <w:rPr>
                <w:rFonts w:ascii="AcadNusx" w:hAnsi="AcadNusx"/>
                <w:sz w:val="20"/>
              </w:rPr>
              <w:t>14+507</w:t>
            </w:r>
          </w:p>
        </w:tc>
        <w:tc>
          <w:tcPr>
            <w:tcW w:w="1559" w:type="dxa"/>
            <w:tcBorders>
              <w:top w:val="nil"/>
              <w:left w:val="nil"/>
              <w:bottom w:val="single" w:sz="4" w:space="0" w:color="auto"/>
              <w:right w:val="single" w:sz="4" w:space="0" w:color="auto"/>
            </w:tcBorders>
            <w:noWrap/>
            <w:vAlign w:val="center"/>
            <w:hideMark/>
          </w:tcPr>
          <w:p w14:paraId="2EBFEC37"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13D5D792" w14:textId="77777777" w:rsidR="00EA3205" w:rsidRPr="00F31A39" w:rsidRDefault="00EA3205" w:rsidP="00EA3205">
            <w:pPr>
              <w:rPr>
                <w:rFonts w:ascii="AcadNusx" w:hAnsi="AcadNusx"/>
                <w:sz w:val="20"/>
              </w:rPr>
            </w:pPr>
            <w:r w:rsidRPr="00F31A39">
              <w:rPr>
                <w:rFonts w:ascii="AcadNusx" w:hAnsi="AcadNusx"/>
                <w:sz w:val="20"/>
              </w:rPr>
              <w:t>10.0</w:t>
            </w:r>
          </w:p>
        </w:tc>
        <w:tc>
          <w:tcPr>
            <w:tcW w:w="4961" w:type="dxa"/>
            <w:tcBorders>
              <w:top w:val="nil"/>
              <w:left w:val="nil"/>
              <w:bottom w:val="single" w:sz="4" w:space="0" w:color="auto"/>
              <w:right w:val="single" w:sz="4" w:space="0" w:color="auto"/>
            </w:tcBorders>
            <w:hideMark/>
          </w:tcPr>
          <w:p w14:paraId="0DBBAA7F"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3180C232"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59D418D7" w14:textId="77777777" w:rsidR="00EA3205" w:rsidRPr="00F31A39" w:rsidRDefault="00EA3205" w:rsidP="00EA3205">
            <w:pPr>
              <w:rPr>
                <w:rFonts w:ascii="AcadNusx" w:hAnsi="AcadNusx"/>
                <w:sz w:val="20"/>
              </w:rPr>
            </w:pPr>
            <w:r w:rsidRPr="00F31A39">
              <w:rPr>
                <w:rFonts w:ascii="AcadNusx" w:hAnsi="AcadNusx"/>
                <w:sz w:val="20"/>
              </w:rPr>
              <w:t>14+559</w:t>
            </w:r>
          </w:p>
        </w:tc>
        <w:tc>
          <w:tcPr>
            <w:tcW w:w="1559" w:type="dxa"/>
            <w:tcBorders>
              <w:top w:val="nil"/>
              <w:left w:val="nil"/>
              <w:bottom w:val="single" w:sz="4" w:space="0" w:color="auto"/>
              <w:right w:val="single" w:sz="4" w:space="0" w:color="auto"/>
            </w:tcBorders>
            <w:noWrap/>
            <w:vAlign w:val="center"/>
            <w:hideMark/>
          </w:tcPr>
          <w:p w14:paraId="38C9CBBE"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309A177C" w14:textId="77777777" w:rsidR="00EA3205" w:rsidRPr="00F31A39" w:rsidRDefault="00EA3205" w:rsidP="00EA3205">
            <w:pPr>
              <w:rPr>
                <w:rFonts w:ascii="AcadNusx" w:hAnsi="AcadNusx"/>
                <w:sz w:val="20"/>
              </w:rPr>
            </w:pPr>
            <w:r w:rsidRPr="00F31A39">
              <w:rPr>
                <w:rFonts w:ascii="AcadNusx" w:hAnsi="AcadNusx"/>
                <w:sz w:val="20"/>
              </w:rPr>
              <w:t>10.0</w:t>
            </w:r>
          </w:p>
        </w:tc>
        <w:tc>
          <w:tcPr>
            <w:tcW w:w="4961" w:type="dxa"/>
            <w:tcBorders>
              <w:top w:val="nil"/>
              <w:left w:val="nil"/>
              <w:bottom w:val="single" w:sz="4" w:space="0" w:color="auto"/>
              <w:right w:val="single" w:sz="4" w:space="0" w:color="auto"/>
            </w:tcBorders>
            <w:hideMark/>
          </w:tcPr>
          <w:p w14:paraId="2283B342"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332E80C5"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33A6BC20" w14:textId="77777777" w:rsidR="00EA3205" w:rsidRPr="00F31A39" w:rsidRDefault="00EA3205" w:rsidP="00EA3205">
            <w:pPr>
              <w:rPr>
                <w:rFonts w:ascii="AcadNusx" w:hAnsi="AcadNusx"/>
                <w:sz w:val="20"/>
              </w:rPr>
            </w:pPr>
            <w:r w:rsidRPr="00F31A39">
              <w:rPr>
                <w:rFonts w:ascii="AcadNusx" w:hAnsi="AcadNusx"/>
                <w:sz w:val="20"/>
              </w:rPr>
              <w:t>14+615</w:t>
            </w:r>
          </w:p>
        </w:tc>
        <w:tc>
          <w:tcPr>
            <w:tcW w:w="1559" w:type="dxa"/>
            <w:tcBorders>
              <w:top w:val="nil"/>
              <w:left w:val="nil"/>
              <w:bottom w:val="single" w:sz="4" w:space="0" w:color="auto"/>
              <w:right w:val="single" w:sz="4" w:space="0" w:color="auto"/>
            </w:tcBorders>
            <w:noWrap/>
            <w:vAlign w:val="center"/>
            <w:hideMark/>
          </w:tcPr>
          <w:p w14:paraId="1E8BE7CD"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78486495" w14:textId="77777777" w:rsidR="00EA3205" w:rsidRPr="00F31A39" w:rsidRDefault="00EA3205" w:rsidP="00EA3205">
            <w:pPr>
              <w:rPr>
                <w:rFonts w:ascii="AcadNusx" w:hAnsi="AcadNusx"/>
                <w:sz w:val="20"/>
              </w:rPr>
            </w:pPr>
            <w:r w:rsidRPr="00F31A39">
              <w:rPr>
                <w:rFonts w:ascii="AcadNusx" w:hAnsi="AcadNusx"/>
                <w:sz w:val="20"/>
              </w:rPr>
              <w:t>2.0</w:t>
            </w:r>
          </w:p>
        </w:tc>
        <w:tc>
          <w:tcPr>
            <w:tcW w:w="4961" w:type="dxa"/>
            <w:tcBorders>
              <w:top w:val="nil"/>
              <w:left w:val="nil"/>
              <w:bottom w:val="single" w:sz="4" w:space="0" w:color="auto"/>
              <w:right w:val="single" w:sz="4" w:space="0" w:color="auto"/>
            </w:tcBorders>
            <w:hideMark/>
          </w:tcPr>
          <w:p w14:paraId="0C47A26A"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4C593C58"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1A0ECB41" w14:textId="77777777" w:rsidR="00EA3205" w:rsidRPr="00F31A39" w:rsidRDefault="00EA3205" w:rsidP="00EA3205">
            <w:pPr>
              <w:rPr>
                <w:rFonts w:ascii="AcadNusx" w:hAnsi="AcadNusx"/>
                <w:sz w:val="20"/>
              </w:rPr>
            </w:pPr>
            <w:r w:rsidRPr="00F31A39">
              <w:rPr>
                <w:rFonts w:ascii="AcadNusx" w:hAnsi="AcadNusx"/>
                <w:sz w:val="20"/>
              </w:rPr>
              <w:t>14+623</w:t>
            </w:r>
          </w:p>
        </w:tc>
        <w:tc>
          <w:tcPr>
            <w:tcW w:w="1559" w:type="dxa"/>
            <w:tcBorders>
              <w:top w:val="nil"/>
              <w:left w:val="nil"/>
              <w:bottom w:val="single" w:sz="4" w:space="0" w:color="auto"/>
              <w:right w:val="single" w:sz="4" w:space="0" w:color="auto"/>
            </w:tcBorders>
            <w:noWrap/>
            <w:vAlign w:val="center"/>
            <w:hideMark/>
          </w:tcPr>
          <w:p w14:paraId="44982D3E"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1D0C78F2" w14:textId="77777777" w:rsidR="00EA3205" w:rsidRPr="00F31A39" w:rsidRDefault="00EA3205" w:rsidP="00EA3205">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14:paraId="02889217" w14:textId="77777777" w:rsidR="00EA3205" w:rsidRPr="00F31A39" w:rsidRDefault="00EA3205" w:rsidP="00EA3205">
            <w:pPr>
              <w:rPr>
                <w:rFonts w:ascii="AcadNusx" w:hAnsi="AcadNusx"/>
                <w:sz w:val="20"/>
              </w:rPr>
            </w:pPr>
            <w:r w:rsidRPr="00F31A39">
              <w:rPr>
                <w:rFonts w:ascii="AcadNusx" w:hAnsi="AcadNusx"/>
                <w:sz w:val="20"/>
              </w:rPr>
              <w:t>maRali Zabvis transformatori</w:t>
            </w:r>
          </w:p>
        </w:tc>
      </w:tr>
      <w:tr w:rsidR="00EA3205" w:rsidRPr="00B05F62" w14:paraId="520D7CD2"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166CDA75" w14:textId="77777777" w:rsidR="00EA3205" w:rsidRPr="00F31A39" w:rsidRDefault="00EA3205" w:rsidP="00EA3205">
            <w:pPr>
              <w:rPr>
                <w:rFonts w:ascii="AcadNusx" w:hAnsi="AcadNusx"/>
                <w:sz w:val="20"/>
              </w:rPr>
            </w:pPr>
            <w:r w:rsidRPr="00F31A39">
              <w:rPr>
                <w:rFonts w:ascii="AcadNusx" w:hAnsi="AcadNusx"/>
                <w:sz w:val="20"/>
              </w:rPr>
              <w:t>0+12</w:t>
            </w:r>
          </w:p>
        </w:tc>
        <w:tc>
          <w:tcPr>
            <w:tcW w:w="1559" w:type="dxa"/>
            <w:tcBorders>
              <w:top w:val="nil"/>
              <w:left w:val="nil"/>
              <w:bottom w:val="single" w:sz="4" w:space="0" w:color="auto"/>
              <w:right w:val="single" w:sz="4" w:space="0" w:color="auto"/>
            </w:tcBorders>
            <w:noWrap/>
            <w:vAlign w:val="center"/>
            <w:hideMark/>
          </w:tcPr>
          <w:p w14:paraId="690586DB" w14:textId="77777777" w:rsidR="00EA3205" w:rsidRPr="00F31A39" w:rsidRDefault="00EA3205" w:rsidP="00EA3205">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14:paraId="14135CEC"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45E089A6"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49009C08"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6A7A641F" w14:textId="77777777" w:rsidR="00EA3205" w:rsidRPr="00F31A39" w:rsidRDefault="00EA3205" w:rsidP="00EA3205">
            <w:pPr>
              <w:rPr>
                <w:rFonts w:ascii="AcadNusx" w:hAnsi="AcadNusx"/>
                <w:sz w:val="20"/>
              </w:rPr>
            </w:pPr>
            <w:r w:rsidRPr="00F31A39">
              <w:rPr>
                <w:rFonts w:ascii="AcadNusx" w:hAnsi="AcadNusx"/>
                <w:sz w:val="20"/>
              </w:rPr>
              <w:t>16+405</w:t>
            </w:r>
          </w:p>
        </w:tc>
        <w:tc>
          <w:tcPr>
            <w:tcW w:w="1559" w:type="dxa"/>
            <w:tcBorders>
              <w:top w:val="nil"/>
              <w:left w:val="nil"/>
              <w:bottom w:val="single" w:sz="4" w:space="0" w:color="auto"/>
              <w:right w:val="single" w:sz="4" w:space="0" w:color="auto"/>
            </w:tcBorders>
            <w:noWrap/>
            <w:vAlign w:val="center"/>
            <w:hideMark/>
          </w:tcPr>
          <w:p w14:paraId="745FDF50"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1D06E90A" w14:textId="77777777" w:rsidR="00EA3205" w:rsidRPr="00F31A39" w:rsidRDefault="00EA3205" w:rsidP="00EA3205">
            <w:pPr>
              <w:rPr>
                <w:rFonts w:ascii="AcadNusx" w:hAnsi="AcadNusx"/>
                <w:sz w:val="20"/>
              </w:rPr>
            </w:pPr>
            <w:r w:rsidRPr="00F31A39">
              <w:rPr>
                <w:rFonts w:ascii="AcadNusx" w:hAnsi="AcadNusx"/>
                <w:sz w:val="20"/>
              </w:rPr>
              <w:t>10.0</w:t>
            </w:r>
          </w:p>
        </w:tc>
        <w:tc>
          <w:tcPr>
            <w:tcW w:w="4961" w:type="dxa"/>
            <w:tcBorders>
              <w:top w:val="nil"/>
              <w:left w:val="nil"/>
              <w:bottom w:val="single" w:sz="4" w:space="0" w:color="auto"/>
              <w:right w:val="single" w:sz="4" w:space="0" w:color="auto"/>
            </w:tcBorders>
            <w:hideMark/>
          </w:tcPr>
          <w:p w14:paraId="2D26EA8B"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00B188FB"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376EA7F6" w14:textId="77777777" w:rsidR="00EA3205" w:rsidRPr="00F31A39" w:rsidRDefault="00EA3205" w:rsidP="00EA3205">
            <w:pPr>
              <w:rPr>
                <w:rFonts w:ascii="AcadNusx" w:hAnsi="AcadNusx"/>
                <w:sz w:val="20"/>
              </w:rPr>
            </w:pPr>
            <w:r w:rsidRPr="00F31A39">
              <w:rPr>
                <w:rFonts w:ascii="AcadNusx" w:hAnsi="AcadNusx"/>
                <w:sz w:val="20"/>
              </w:rPr>
              <w:t>16+425</w:t>
            </w:r>
          </w:p>
        </w:tc>
        <w:tc>
          <w:tcPr>
            <w:tcW w:w="1559" w:type="dxa"/>
            <w:tcBorders>
              <w:top w:val="nil"/>
              <w:left w:val="nil"/>
              <w:bottom w:val="single" w:sz="4" w:space="0" w:color="auto"/>
              <w:right w:val="single" w:sz="4" w:space="0" w:color="auto"/>
            </w:tcBorders>
            <w:noWrap/>
            <w:vAlign w:val="center"/>
            <w:hideMark/>
          </w:tcPr>
          <w:p w14:paraId="2B2E6607" w14:textId="77777777" w:rsidR="00EA3205" w:rsidRPr="00F31A39" w:rsidRDefault="00EA3205" w:rsidP="00EA3205">
            <w:pPr>
              <w:rPr>
                <w:rFonts w:ascii="AcadNusx" w:hAnsi="AcadNusx"/>
                <w:sz w:val="20"/>
              </w:rPr>
            </w:pPr>
            <w:r w:rsidRPr="00F31A39">
              <w:rPr>
                <w:rFonts w:ascii="AcadNusx" w:hAnsi="AcadNusx"/>
                <w:sz w:val="20"/>
              </w:rPr>
              <w:t>25.0</w:t>
            </w:r>
          </w:p>
        </w:tc>
        <w:tc>
          <w:tcPr>
            <w:tcW w:w="2130" w:type="dxa"/>
            <w:tcBorders>
              <w:top w:val="nil"/>
              <w:left w:val="nil"/>
              <w:bottom w:val="single" w:sz="4" w:space="0" w:color="auto"/>
              <w:right w:val="single" w:sz="4" w:space="0" w:color="auto"/>
            </w:tcBorders>
            <w:noWrap/>
            <w:vAlign w:val="center"/>
            <w:hideMark/>
          </w:tcPr>
          <w:p w14:paraId="2E0CF655"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4252E1E9"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0B1750B8"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35E0B6C9" w14:textId="77777777" w:rsidR="00EA3205" w:rsidRPr="00F31A39" w:rsidRDefault="00EA3205" w:rsidP="00EA3205">
            <w:pPr>
              <w:rPr>
                <w:rFonts w:ascii="AcadNusx" w:hAnsi="AcadNusx"/>
                <w:sz w:val="20"/>
              </w:rPr>
            </w:pPr>
            <w:r w:rsidRPr="00F31A39">
              <w:rPr>
                <w:rFonts w:ascii="AcadNusx" w:hAnsi="AcadNusx"/>
                <w:sz w:val="20"/>
              </w:rPr>
              <w:t>16+475</w:t>
            </w:r>
          </w:p>
        </w:tc>
        <w:tc>
          <w:tcPr>
            <w:tcW w:w="1559" w:type="dxa"/>
            <w:tcBorders>
              <w:top w:val="nil"/>
              <w:left w:val="nil"/>
              <w:bottom w:val="single" w:sz="4" w:space="0" w:color="auto"/>
              <w:right w:val="single" w:sz="4" w:space="0" w:color="auto"/>
            </w:tcBorders>
            <w:noWrap/>
            <w:vAlign w:val="center"/>
            <w:hideMark/>
          </w:tcPr>
          <w:p w14:paraId="08D1204E"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59D102C3"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4263D60C"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5567389E"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18806BD4" w14:textId="77777777" w:rsidR="00EA3205" w:rsidRPr="00F31A39" w:rsidRDefault="00EA3205" w:rsidP="00EA3205">
            <w:pPr>
              <w:rPr>
                <w:rFonts w:ascii="AcadNusx" w:hAnsi="AcadNusx"/>
                <w:sz w:val="20"/>
              </w:rPr>
            </w:pPr>
            <w:r w:rsidRPr="00F31A39">
              <w:rPr>
                <w:rFonts w:ascii="AcadNusx" w:hAnsi="AcadNusx"/>
                <w:sz w:val="20"/>
              </w:rPr>
              <w:t>20+690</w:t>
            </w:r>
          </w:p>
        </w:tc>
        <w:tc>
          <w:tcPr>
            <w:tcW w:w="1559" w:type="dxa"/>
            <w:tcBorders>
              <w:top w:val="nil"/>
              <w:left w:val="nil"/>
              <w:bottom w:val="single" w:sz="4" w:space="0" w:color="auto"/>
              <w:right w:val="single" w:sz="4" w:space="0" w:color="auto"/>
            </w:tcBorders>
            <w:noWrap/>
            <w:vAlign w:val="center"/>
            <w:hideMark/>
          </w:tcPr>
          <w:p w14:paraId="11B55459"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747193E0" w14:textId="77777777" w:rsidR="00EA3205" w:rsidRPr="00F31A39" w:rsidRDefault="00EA3205" w:rsidP="00EA3205">
            <w:pPr>
              <w:rPr>
                <w:rFonts w:ascii="AcadNusx" w:hAnsi="AcadNusx"/>
                <w:sz w:val="20"/>
              </w:rPr>
            </w:pPr>
            <w:r w:rsidRPr="00F31A39">
              <w:rPr>
                <w:rFonts w:ascii="AcadNusx" w:hAnsi="AcadNusx"/>
                <w:sz w:val="20"/>
              </w:rPr>
              <w:t>20.0</w:t>
            </w:r>
          </w:p>
        </w:tc>
        <w:tc>
          <w:tcPr>
            <w:tcW w:w="4961" w:type="dxa"/>
            <w:tcBorders>
              <w:top w:val="nil"/>
              <w:left w:val="nil"/>
              <w:bottom w:val="single" w:sz="4" w:space="0" w:color="auto"/>
              <w:right w:val="single" w:sz="4" w:space="0" w:color="auto"/>
            </w:tcBorders>
            <w:hideMark/>
          </w:tcPr>
          <w:p w14:paraId="4442E565"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7728F3E6"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73F3F8EF" w14:textId="77777777" w:rsidR="00EA3205" w:rsidRPr="00F31A39" w:rsidRDefault="00EA3205" w:rsidP="00EA3205">
            <w:pPr>
              <w:rPr>
                <w:rFonts w:ascii="AcadNusx" w:hAnsi="AcadNusx"/>
                <w:sz w:val="20"/>
              </w:rPr>
            </w:pPr>
            <w:r w:rsidRPr="00F31A39">
              <w:rPr>
                <w:rFonts w:ascii="AcadNusx" w:hAnsi="AcadNusx"/>
                <w:sz w:val="20"/>
              </w:rPr>
              <w:t>21+035</w:t>
            </w:r>
          </w:p>
        </w:tc>
        <w:tc>
          <w:tcPr>
            <w:tcW w:w="1559" w:type="dxa"/>
            <w:tcBorders>
              <w:top w:val="nil"/>
              <w:left w:val="nil"/>
              <w:bottom w:val="single" w:sz="4" w:space="0" w:color="auto"/>
              <w:right w:val="single" w:sz="4" w:space="0" w:color="auto"/>
            </w:tcBorders>
            <w:noWrap/>
            <w:vAlign w:val="center"/>
            <w:hideMark/>
          </w:tcPr>
          <w:p w14:paraId="71A1EC78"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6BF9BD57" w14:textId="77777777" w:rsidR="00EA3205" w:rsidRPr="00F31A39" w:rsidRDefault="00EA3205" w:rsidP="00EA3205">
            <w:pPr>
              <w:rPr>
                <w:rFonts w:ascii="AcadNusx" w:hAnsi="AcadNusx"/>
                <w:sz w:val="20"/>
              </w:rPr>
            </w:pPr>
            <w:r w:rsidRPr="00F31A39">
              <w:rPr>
                <w:rFonts w:ascii="AcadNusx" w:hAnsi="AcadNusx"/>
                <w:sz w:val="20"/>
              </w:rPr>
              <w:t>25.0</w:t>
            </w:r>
          </w:p>
        </w:tc>
        <w:tc>
          <w:tcPr>
            <w:tcW w:w="4961" w:type="dxa"/>
            <w:tcBorders>
              <w:top w:val="nil"/>
              <w:left w:val="nil"/>
              <w:bottom w:val="single" w:sz="4" w:space="0" w:color="auto"/>
              <w:right w:val="single" w:sz="4" w:space="0" w:color="auto"/>
            </w:tcBorders>
            <w:hideMark/>
          </w:tcPr>
          <w:p w14:paraId="66E19549"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3B6D9E67"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7921AB59" w14:textId="77777777" w:rsidR="00EA3205" w:rsidRPr="00F31A39" w:rsidRDefault="00EA3205" w:rsidP="00EA3205">
            <w:pPr>
              <w:rPr>
                <w:rFonts w:ascii="AcadNusx" w:hAnsi="AcadNusx"/>
                <w:sz w:val="20"/>
              </w:rPr>
            </w:pPr>
            <w:r w:rsidRPr="00F31A39">
              <w:rPr>
                <w:rFonts w:ascii="AcadNusx" w:hAnsi="AcadNusx"/>
                <w:sz w:val="20"/>
              </w:rPr>
              <w:t>21+335</w:t>
            </w:r>
          </w:p>
        </w:tc>
        <w:tc>
          <w:tcPr>
            <w:tcW w:w="1559" w:type="dxa"/>
            <w:tcBorders>
              <w:top w:val="nil"/>
              <w:left w:val="nil"/>
              <w:bottom w:val="single" w:sz="4" w:space="0" w:color="auto"/>
              <w:right w:val="single" w:sz="4" w:space="0" w:color="auto"/>
            </w:tcBorders>
            <w:noWrap/>
            <w:vAlign w:val="center"/>
            <w:hideMark/>
          </w:tcPr>
          <w:p w14:paraId="1BB76BA5"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66A96B96"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0C9140BF"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44A7E13C"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7762A60A" w14:textId="77777777" w:rsidR="00EA3205" w:rsidRPr="00F31A39" w:rsidRDefault="00EA3205" w:rsidP="00EA3205">
            <w:pPr>
              <w:rPr>
                <w:rFonts w:ascii="AcadNusx" w:hAnsi="AcadNusx"/>
                <w:sz w:val="20"/>
              </w:rPr>
            </w:pPr>
            <w:r w:rsidRPr="00F31A39">
              <w:rPr>
                <w:rFonts w:ascii="AcadNusx" w:hAnsi="AcadNusx"/>
                <w:sz w:val="20"/>
              </w:rPr>
              <w:t>22+663</w:t>
            </w:r>
          </w:p>
        </w:tc>
        <w:tc>
          <w:tcPr>
            <w:tcW w:w="1559" w:type="dxa"/>
            <w:tcBorders>
              <w:top w:val="nil"/>
              <w:left w:val="nil"/>
              <w:bottom w:val="single" w:sz="4" w:space="0" w:color="auto"/>
              <w:right w:val="single" w:sz="4" w:space="0" w:color="auto"/>
            </w:tcBorders>
            <w:noWrap/>
            <w:vAlign w:val="center"/>
            <w:hideMark/>
          </w:tcPr>
          <w:p w14:paraId="1E88B88F"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7E1D0137"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39C48ED2"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4C3A760E"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7778978E" w14:textId="77777777" w:rsidR="00EA3205" w:rsidRPr="00F31A39" w:rsidRDefault="00EA3205" w:rsidP="00EA3205">
            <w:pPr>
              <w:rPr>
                <w:rFonts w:ascii="AcadNusx" w:hAnsi="AcadNusx"/>
                <w:sz w:val="20"/>
              </w:rPr>
            </w:pPr>
            <w:r w:rsidRPr="00F31A39">
              <w:rPr>
                <w:rFonts w:ascii="AcadNusx" w:hAnsi="AcadNusx"/>
                <w:sz w:val="20"/>
              </w:rPr>
              <w:t>22+725</w:t>
            </w:r>
          </w:p>
        </w:tc>
        <w:tc>
          <w:tcPr>
            <w:tcW w:w="1559" w:type="dxa"/>
            <w:tcBorders>
              <w:top w:val="nil"/>
              <w:left w:val="nil"/>
              <w:bottom w:val="single" w:sz="4" w:space="0" w:color="auto"/>
              <w:right w:val="single" w:sz="4" w:space="0" w:color="auto"/>
            </w:tcBorders>
            <w:noWrap/>
            <w:vAlign w:val="center"/>
            <w:hideMark/>
          </w:tcPr>
          <w:p w14:paraId="685B1DD7"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0A94B9AB"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06A39291"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7452ED9E"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79CFC575" w14:textId="77777777" w:rsidR="00EA3205" w:rsidRPr="00F31A39" w:rsidRDefault="00EA3205" w:rsidP="00EA3205">
            <w:pPr>
              <w:rPr>
                <w:rFonts w:ascii="AcadNusx" w:hAnsi="AcadNusx"/>
                <w:sz w:val="20"/>
              </w:rPr>
            </w:pPr>
            <w:r w:rsidRPr="00F31A39">
              <w:rPr>
                <w:rFonts w:ascii="AcadNusx" w:hAnsi="AcadNusx"/>
                <w:sz w:val="20"/>
              </w:rPr>
              <w:t>22+780</w:t>
            </w:r>
          </w:p>
        </w:tc>
        <w:tc>
          <w:tcPr>
            <w:tcW w:w="1559" w:type="dxa"/>
            <w:tcBorders>
              <w:top w:val="nil"/>
              <w:left w:val="nil"/>
              <w:bottom w:val="single" w:sz="4" w:space="0" w:color="auto"/>
              <w:right w:val="single" w:sz="4" w:space="0" w:color="auto"/>
            </w:tcBorders>
            <w:noWrap/>
            <w:vAlign w:val="center"/>
            <w:hideMark/>
          </w:tcPr>
          <w:p w14:paraId="32D7198F" w14:textId="77777777" w:rsidR="00EA3205" w:rsidRPr="00F31A39" w:rsidRDefault="00EA3205" w:rsidP="00EA3205">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14:paraId="00FC46C3"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69336913"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53B2903E"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2C72CB66" w14:textId="77777777" w:rsidR="00EA3205" w:rsidRPr="00F31A39" w:rsidRDefault="00EA3205" w:rsidP="00EA3205">
            <w:pPr>
              <w:rPr>
                <w:rFonts w:ascii="AcadNusx" w:hAnsi="AcadNusx"/>
                <w:sz w:val="20"/>
              </w:rPr>
            </w:pPr>
            <w:r w:rsidRPr="00F31A39">
              <w:rPr>
                <w:rFonts w:ascii="AcadNusx" w:hAnsi="AcadNusx"/>
                <w:sz w:val="20"/>
              </w:rPr>
              <w:t>22+795</w:t>
            </w:r>
          </w:p>
        </w:tc>
        <w:tc>
          <w:tcPr>
            <w:tcW w:w="1559" w:type="dxa"/>
            <w:tcBorders>
              <w:top w:val="nil"/>
              <w:left w:val="nil"/>
              <w:bottom w:val="single" w:sz="4" w:space="0" w:color="auto"/>
              <w:right w:val="single" w:sz="4" w:space="0" w:color="auto"/>
            </w:tcBorders>
            <w:noWrap/>
            <w:vAlign w:val="center"/>
            <w:hideMark/>
          </w:tcPr>
          <w:p w14:paraId="4AF1CB6A" w14:textId="77777777" w:rsidR="00EA3205" w:rsidRPr="00F31A39" w:rsidRDefault="00EA3205" w:rsidP="00EA3205">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14:paraId="391586A9"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09DBE37B" w14:textId="77777777" w:rsidR="00EA3205" w:rsidRPr="00F31A39" w:rsidRDefault="00EA3205" w:rsidP="00EA3205">
            <w:pPr>
              <w:rPr>
                <w:rFonts w:ascii="AcadNusx" w:hAnsi="AcadNusx"/>
                <w:sz w:val="20"/>
              </w:rPr>
            </w:pPr>
            <w:r w:rsidRPr="00F31A39">
              <w:rPr>
                <w:rFonts w:ascii="AcadNusx" w:hAnsi="AcadNusx"/>
                <w:sz w:val="20"/>
              </w:rPr>
              <w:t>maRali Zabvis transformatori</w:t>
            </w:r>
          </w:p>
        </w:tc>
      </w:tr>
      <w:tr w:rsidR="00EA3205" w:rsidRPr="00B05F62" w14:paraId="5D82C218"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04547AF6" w14:textId="77777777" w:rsidR="00EA3205" w:rsidRPr="00F31A39" w:rsidRDefault="00EA3205" w:rsidP="00EA3205">
            <w:pPr>
              <w:rPr>
                <w:rFonts w:ascii="AcadNusx" w:hAnsi="AcadNusx"/>
                <w:sz w:val="20"/>
              </w:rPr>
            </w:pPr>
            <w:r w:rsidRPr="00F31A39">
              <w:rPr>
                <w:rFonts w:ascii="AcadNusx" w:hAnsi="AcadNusx"/>
                <w:sz w:val="20"/>
              </w:rPr>
              <w:t>23+250</w:t>
            </w:r>
          </w:p>
        </w:tc>
        <w:tc>
          <w:tcPr>
            <w:tcW w:w="1559" w:type="dxa"/>
            <w:tcBorders>
              <w:top w:val="nil"/>
              <w:left w:val="nil"/>
              <w:bottom w:val="single" w:sz="4" w:space="0" w:color="auto"/>
              <w:right w:val="single" w:sz="4" w:space="0" w:color="auto"/>
            </w:tcBorders>
            <w:noWrap/>
            <w:vAlign w:val="center"/>
            <w:hideMark/>
          </w:tcPr>
          <w:p w14:paraId="37FDDA14"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20A3F946" w14:textId="77777777" w:rsidR="00EA3205" w:rsidRPr="00F31A39" w:rsidRDefault="00EA3205" w:rsidP="00EA3205">
            <w:pPr>
              <w:rPr>
                <w:rFonts w:ascii="AcadNusx" w:hAnsi="AcadNusx"/>
                <w:sz w:val="20"/>
              </w:rPr>
            </w:pPr>
            <w:r w:rsidRPr="00F31A39">
              <w:rPr>
                <w:rFonts w:ascii="AcadNusx" w:hAnsi="AcadNusx"/>
                <w:sz w:val="20"/>
              </w:rPr>
              <w:t>15.0</w:t>
            </w:r>
          </w:p>
        </w:tc>
        <w:tc>
          <w:tcPr>
            <w:tcW w:w="4961" w:type="dxa"/>
            <w:tcBorders>
              <w:top w:val="nil"/>
              <w:left w:val="nil"/>
              <w:bottom w:val="single" w:sz="4" w:space="0" w:color="auto"/>
              <w:right w:val="single" w:sz="4" w:space="0" w:color="auto"/>
            </w:tcBorders>
            <w:hideMark/>
          </w:tcPr>
          <w:p w14:paraId="4D9EBB42"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2D0611D0"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7C5CFADE" w14:textId="77777777" w:rsidR="00EA3205" w:rsidRPr="00F31A39" w:rsidRDefault="00EA3205" w:rsidP="00EA3205">
            <w:pPr>
              <w:rPr>
                <w:rFonts w:ascii="AcadNusx" w:hAnsi="AcadNusx"/>
                <w:sz w:val="20"/>
              </w:rPr>
            </w:pPr>
            <w:r w:rsidRPr="00F31A39">
              <w:rPr>
                <w:rFonts w:ascii="AcadNusx" w:hAnsi="AcadNusx"/>
                <w:sz w:val="20"/>
              </w:rPr>
              <w:t>23+888</w:t>
            </w:r>
          </w:p>
        </w:tc>
        <w:tc>
          <w:tcPr>
            <w:tcW w:w="1559" w:type="dxa"/>
            <w:tcBorders>
              <w:top w:val="nil"/>
              <w:left w:val="nil"/>
              <w:bottom w:val="single" w:sz="4" w:space="0" w:color="auto"/>
              <w:right w:val="single" w:sz="4" w:space="0" w:color="auto"/>
            </w:tcBorders>
            <w:noWrap/>
            <w:vAlign w:val="center"/>
            <w:hideMark/>
          </w:tcPr>
          <w:p w14:paraId="161102EC"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25A9DD58" w14:textId="77777777" w:rsidR="00EA3205" w:rsidRPr="00F31A39" w:rsidRDefault="00EA3205" w:rsidP="00EA3205">
            <w:pPr>
              <w:rPr>
                <w:rFonts w:ascii="AcadNusx" w:hAnsi="AcadNusx"/>
                <w:sz w:val="20"/>
              </w:rPr>
            </w:pPr>
            <w:r w:rsidRPr="00F31A39">
              <w:rPr>
                <w:rFonts w:ascii="AcadNusx" w:hAnsi="AcadNusx"/>
                <w:sz w:val="20"/>
              </w:rPr>
              <w:t>15.0</w:t>
            </w:r>
          </w:p>
        </w:tc>
        <w:tc>
          <w:tcPr>
            <w:tcW w:w="4961" w:type="dxa"/>
            <w:tcBorders>
              <w:top w:val="nil"/>
              <w:left w:val="nil"/>
              <w:bottom w:val="single" w:sz="4" w:space="0" w:color="auto"/>
              <w:right w:val="single" w:sz="4" w:space="0" w:color="auto"/>
            </w:tcBorders>
            <w:hideMark/>
          </w:tcPr>
          <w:p w14:paraId="009D48FF"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7DCA464B"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5CE634B9" w14:textId="77777777" w:rsidR="00EA3205" w:rsidRPr="00F31A39" w:rsidRDefault="00EA3205" w:rsidP="00EA3205">
            <w:pPr>
              <w:rPr>
                <w:rFonts w:ascii="AcadNusx" w:hAnsi="AcadNusx"/>
                <w:sz w:val="20"/>
              </w:rPr>
            </w:pPr>
            <w:r w:rsidRPr="00F31A39">
              <w:rPr>
                <w:rFonts w:ascii="AcadNusx" w:hAnsi="AcadNusx"/>
                <w:sz w:val="20"/>
              </w:rPr>
              <w:t>23+898</w:t>
            </w:r>
          </w:p>
        </w:tc>
        <w:tc>
          <w:tcPr>
            <w:tcW w:w="1559" w:type="dxa"/>
            <w:tcBorders>
              <w:top w:val="nil"/>
              <w:left w:val="nil"/>
              <w:bottom w:val="single" w:sz="4" w:space="0" w:color="auto"/>
              <w:right w:val="single" w:sz="4" w:space="0" w:color="auto"/>
            </w:tcBorders>
            <w:noWrap/>
            <w:vAlign w:val="center"/>
            <w:hideMark/>
          </w:tcPr>
          <w:p w14:paraId="06819296" w14:textId="77777777" w:rsidR="00EA3205" w:rsidRPr="00F31A39" w:rsidRDefault="00EA3205" w:rsidP="00EA3205">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14:paraId="33E1398B"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6269540C"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7B44CC56"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53F7A7B3" w14:textId="77777777" w:rsidR="00EA3205" w:rsidRPr="00F31A39" w:rsidRDefault="00EA3205" w:rsidP="00EA3205">
            <w:pPr>
              <w:rPr>
                <w:rFonts w:ascii="AcadNusx" w:hAnsi="AcadNusx"/>
                <w:sz w:val="20"/>
              </w:rPr>
            </w:pPr>
            <w:r w:rsidRPr="00F31A39">
              <w:rPr>
                <w:rFonts w:ascii="AcadNusx" w:hAnsi="AcadNusx"/>
                <w:sz w:val="20"/>
              </w:rPr>
              <w:t>27+147</w:t>
            </w:r>
          </w:p>
        </w:tc>
        <w:tc>
          <w:tcPr>
            <w:tcW w:w="1559" w:type="dxa"/>
            <w:tcBorders>
              <w:top w:val="nil"/>
              <w:left w:val="nil"/>
              <w:bottom w:val="single" w:sz="4" w:space="0" w:color="auto"/>
              <w:right w:val="single" w:sz="4" w:space="0" w:color="auto"/>
            </w:tcBorders>
            <w:noWrap/>
            <w:vAlign w:val="center"/>
            <w:hideMark/>
          </w:tcPr>
          <w:p w14:paraId="5EE972FD"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3CED4281" w14:textId="77777777" w:rsidR="00EA3205" w:rsidRPr="00F31A39" w:rsidRDefault="00EA3205" w:rsidP="00EA3205">
            <w:pPr>
              <w:rPr>
                <w:rFonts w:ascii="AcadNusx" w:hAnsi="AcadNusx"/>
                <w:sz w:val="20"/>
              </w:rPr>
            </w:pPr>
            <w:r w:rsidRPr="00F31A39">
              <w:rPr>
                <w:rFonts w:ascii="AcadNusx" w:hAnsi="AcadNusx"/>
                <w:sz w:val="20"/>
              </w:rPr>
              <w:t>20.0</w:t>
            </w:r>
          </w:p>
        </w:tc>
        <w:tc>
          <w:tcPr>
            <w:tcW w:w="4961" w:type="dxa"/>
            <w:tcBorders>
              <w:top w:val="nil"/>
              <w:left w:val="nil"/>
              <w:bottom w:val="single" w:sz="4" w:space="0" w:color="auto"/>
              <w:right w:val="single" w:sz="4" w:space="0" w:color="auto"/>
            </w:tcBorders>
            <w:hideMark/>
          </w:tcPr>
          <w:p w14:paraId="751D2C98"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730748DE"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195FE8AB" w14:textId="77777777" w:rsidR="00EA3205" w:rsidRPr="00F31A39" w:rsidRDefault="00EA3205" w:rsidP="00EA3205">
            <w:pPr>
              <w:rPr>
                <w:rFonts w:ascii="AcadNusx" w:hAnsi="AcadNusx"/>
                <w:sz w:val="20"/>
              </w:rPr>
            </w:pPr>
            <w:r w:rsidRPr="00F31A39">
              <w:rPr>
                <w:rFonts w:ascii="AcadNusx" w:hAnsi="AcadNusx"/>
                <w:sz w:val="20"/>
              </w:rPr>
              <w:t>27+274</w:t>
            </w:r>
          </w:p>
        </w:tc>
        <w:tc>
          <w:tcPr>
            <w:tcW w:w="1559" w:type="dxa"/>
            <w:tcBorders>
              <w:top w:val="nil"/>
              <w:left w:val="nil"/>
              <w:bottom w:val="single" w:sz="4" w:space="0" w:color="auto"/>
              <w:right w:val="single" w:sz="4" w:space="0" w:color="auto"/>
            </w:tcBorders>
            <w:noWrap/>
            <w:vAlign w:val="center"/>
            <w:hideMark/>
          </w:tcPr>
          <w:p w14:paraId="0F6DB17B"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7E3E687D" w14:textId="77777777" w:rsidR="00EA3205" w:rsidRPr="00F31A39" w:rsidRDefault="00EA3205" w:rsidP="00EA3205">
            <w:pPr>
              <w:rPr>
                <w:rFonts w:ascii="AcadNusx" w:hAnsi="AcadNusx"/>
                <w:sz w:val="20"/>
              </w:rPr>
            </w:pPr>
            <w:r w:rsidRPr="00F31A39">
              <w:rPr>
                <w:rFonts w:ascii="AcadNusx" w:hAnsi="AcadNusx"/>
                <w:sz w:val="20"/>
              </w:rPr>
              <w:t>15.0</w:t>
            </w:r>
          </w:p>
        </w:tc>
        <w:tc>
          <w:tcPr>
            <w:tcW w:w="4961" w:type="dxa"/>
            <w:tcBorders>
              <w:top w:val="nil"/>
              <w:left w:val="nil"/>
              <w:bottom w:val="single" w:sz="4" w:space="0" w:color="auto"/>
              <w:right w:val="single" w:sz="4" w:space="0" w:color="auto"/>
            </w:tcBorders>
            <w:hideMark/>
          </w:tcPr>
          <w:p w14:paraId="3B3B7514"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3D168169"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79836D39" w14:textId="77777777" w:rsidR="00EA3205" w:rsidRPr="00F31A39" w:rsidRDefault="00EA3205" w:rsidP="00EA3205">
            <w:pPr>
              <w:rPr>
                <w:rFonts w:ascii="AcadNusx" w:hAnsi="AcadNusx"/>
                <w:sz w:val="20"/>
              </w:rPr>
            </w:pPr>
            <w:r w:rsidRPr="00F31A39">
              <w:rPr>
                <w:rFonts w:ascii="AcadNusx" w:hAnsi="AcadNusx"/>
                <w:sz w:val="20"/>
              </w:rPr>
              <w:t>27+320</w:t>
            </w:r>
          </w:p>
        </w:tc>
        <w:tc>
          <w:tcPr>
            <w:tcW w:w="1559" w:type="dxa"/>
            <w:tcBorders>
              <w:top w:val="nil"/>
              <w:left w:val="nil"/>
              <w:bottom w:val="single" w:sz="4" w:space="0" w:color="auto"/>
              <w:right w:val="single" w:sz="4" w:space="0" w:color="auto"/>
            </w:tcBorders>
            <w:noWrap/>
            <w:vAlign w:val="center"/>
            <w:hideMark/>
          </w:tcPr>
          <w:p w14:paraId="42021839"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65680790"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62F71CBE"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6524967F"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236F7190" w14:textId="77777777" w:rsidR="00EA3205" w:rsidRPr="00F31A39" w:rsidRDefault="00EA3205" w:rsidP="00EA3205">
            <w:pPr>
              <w:rPr>
                <w:rFonts w:ascii="AcadNusx" w:hAnsi="AcadNusx"/>
                <w:sz w:val="20"/>
              </w:rPr>
            </w:pPr>
            <w:r w:rsidRPr="00F31A39">
              <w:rPr>
                <w:rFonts w:ascii="AcadNusx" w:hAnsi="AcadNusx"/>
                <w:sz w:val="20"/>
              </w:rPr>
              <w:t>27+363</w:t>
            </w:r>
          </w:p>
        </w:tc>
        <w:tc>
          <w:tcPr>
            <w:tcW w:w="1559" w:type="dxa"/>
            <w:tcBorders>
              <w:top w:val="nil"/>
              <w:left w:val="nil"/>
              <w:bottom w:val="single" w:sz="4" w:space="0" w:color="auto"/>
              <w:right w:val="single" w:sz="4" w:space="0" w:color="auto"/>
            </w:tcBorders>
            <w:noWrap/>
            <w:vAlign w:val="center"/>
            <w:hideMark/>
          </w:tcPr>
          <w:p w14:paraId="056461AE" w14:textId="77777777" w:rsidR="00EA3205" w:rsidRPr="00F31A39" w:rsidRDefault="00EA3205" w:rsidP="00EA3205">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14:paraId="770404CF"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703966AB"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175A06F8"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47AE6106" w14:textId="77777777" w:rsidR="00EA3205" w:rsidRPr="00F31A39" w:rsidRDefault="00EA3205" w:rsidP="00EA3205">
            <w:pPr>
              <w:rPr>
                <w:rFonts w:ascii="AcadNusx" w:hAnsi="AcadNusx"/>
                <w:sz w:val="20"/>
              </w:rPr>
            </w:pPr>
            <w:r w:rsidRPr="00F31A39">
              <w:rPr>
                <w:rFonts w:ascii="AcadNusx" w:hAnsi="AcadNusx"/>
                <w:sz w:val="20"/>
              </w:rPr>
              <w:t>27+378</w:t>
            </w:r>
          </w:p>
        </w:tc>
        <w:tc>
          <w:tcPr>
            <w:tcW w:w="1559" w:type="dxa"/>
            <w:tcBorders>
              <w:top w:val="nil"/>
              <w:left w:val="nil"/>
              <w:bottom w:val="single" w:sz="4" w:space="0" w:color="auto"/>
              <w:right w:val="single" w:sz="4" w:space="0" w:color="auto"/>
            </w:tcBorders>
            <w:noWrap/>
            <w:vAlign w:val="center"/>
            <w:hideMark/>
          </w:tcPr>
          <w:p w14:paraId="07CD09AF"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5FF944A1"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78CACE52"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7923A7C5"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73CA1036" w14:textId="77777777" w:rsidR="00EA3205" w:rsidRPr="00F31A39" w:rsidRDefault="00EA3205" w:rsidP="00EA3205">
            <w:pPr>
              <w:rPr>
                <w:rFonts w:ascii="AcadNusx" w:hAnsi="AcadNusx"/>
                <w:sz w:val="20"/>
              </w:rPr>
            </w:pPr>
            <w:r w:rsidRPr="00F31A39">
              <w:rPr>
                <w:rFonts w:ascii="AcadNusx" w:hAnsi="AcadNusx"/>
                <w:sz w:val="20"/>
              </w:rPr>
              <w:lastRenderedPageBreak/>
              <w:t>29+400</w:t>
            </w:r>
          </w:p>
        </w:tc>
        <w:tc>
          <w:tcPr>
            <w:tcW w:w="1559" w:type="dxa"/>
            <w:tcBorders>
              <w:top w:val="nil"/>
              <w:left w:val="nil"/>
              <w:bottom w:val="single" w:sz="4" w:space="0" w:color="auto"/>
              <w:right w:val="single" w:sz="4" w:space="0" w:color="auto"/>
            </w:tcBorders>
            <w:noWrap/>
            <w:vAlign w:val="center"/>
            <w:hideMark/>
          </w:tcPr>
          <w:p w14:paraId="29DCE9B2"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1AFE11BB"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1FFAF207"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0CA63072"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67E8175E" w14:textId="77777777" w:rsidR="00EA3205" w:rsidRPr="00F31A39" w:rsidRDefault="00EA3205" w:rsidP="00EA3205">
            <w:pPr>
              <w:rPr>
                <w:rFonts w:ascii="AcadNusx" w:hAnsi="AcadNusx"/>
                <w:sz w:val="20"/>
              </w:rPr>
            </w:pPr>
            <w:r w:rsidRPr="00F31A39">
              <w:rPr>
                <w:rFonts w:ascii="AcadNusx" w:hAnsi="AcadNusx"/>
                <w:sz w:val="20"/>
              </w:rPr>
              <w:t>30+255</w:t>
            </w:r>
          </w:p>
        </w:tc>
        <w:tc>
          <w:tcPr>
            <w:tcW w:w="1559" w:type="dxa"/>
            <w:tcBorders>
              <w:top w:val="nil"/>
              <w:left w:val="nil"/>
              <w:bottom w:val="single" w:sz="4" w:space="0" w:color="auto"/>
              <w:right w:val="single" w:sz="4" w:space="0" w:color="auto"/>
            </w:tcBorders>
            <w:noWrap/>
            <w:vAlign w:val="center"/>
            <w:hideMark/>
          </w:tcPr>
          <w:p w14:paraId="4DD55314"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0BE10F9E" w14:textId="77777777" w:rsidR="00EA3205" w:rsidRPr="00F31A39" w:rsidRDefault="00EA3205" w:rsidP="00EA3205">
            <w:pPr>
              <w:rPr>
                <w:rFonts w:ascii="AcadNusx" w:hAnsi="AcadNusx"/>
                <w:sz w:val="20"/>
              </w:rPr>
            </w:pPr>
            <w:r w:rsidRPr="00F31A39">
              <w:rPr>
                <w:rFonts w:ascii="AcadNusx" w:hAnsi="AcadNusx"/>
                <w:sz w:val="20"/>
              </w:rPr>
              <w:t>20.0</w:t>
            </w:r>
          </w:p>
        </w:tc>
        <w:tc>
          <w:tcPr>
            <w:tcW w:w="4961" w:type="dxa"/>
            <w:tcBorders>
              <w:top w:val="nil"/>
              <w:left w:val="nil"/>
              <w:bottom w:val="single" w:sz="4" w:space="0" w:color="auto"/>
              <w:right w:val="single" w:sz="4" w:space="0" w:color="auto"/>
            </w:tcBorders>
            <w:hideMark/>
          </w:tcPr>
          <w:p w14:paraId="5420E2B6"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549A57B4"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5E9D2E19" w14:textId="77777777" w:rsidR="00EA3205" w:rsidRPr="00F31A39" w:rsidRDefault="00EA3205" w:rsidP="00EA3205">
            <w:pPr>
              <w:rPr>
                <w:rFonts w:ascii="AcadNusx" w:hAnsi="AcadNusx"/>
                <w:sz w:val="20"/>
              </w:rPr>
            </w:pPr>
            <w:r w:rsidRPr="00F31A39">
              <w:rPr>
                <w:rFonts w:ascii="AcadNusx" w:hAnsi="AcadNusx"/>
                <w:sz w:val="20"/>
              </w:rPr>
              <w:t>30+298</w:t>
            </w:r>
          </w:p>
        </w:tc>
        <w:tc>
          <w:tcPr>
            <w:tcW w:w="1559" w:type="dxa"/>
            <w:tcBorders>
              <w:top w:val="nil"/>
              <w:left w:val="nil"/>
              <w:bottom w:val="single" w:sz="4" w:space="0" w:color="auto"/>
              <w:right w:val="single" w:sz="4" w:space="0" w:color="auto"/>
            </w:tcBorders>
            <w:noWrap/>
            <w:vAlign w:val="center"/>
            <w:hideMark/>
          </w:tcPr>
          <w:p w14:paraId="4EFE671F"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10C6FBA3" w14:textId="77777777" w:rsidR="00EA3205" w:rsidRPr="00F31A39" w:rsidRDefault="00EA3205" w:rsidP="00EA3205">
            <w:pPr>
              <w:rPr>
                <w:rFonts w:ascii="AcadNusx" w:hAnsi="AcadNusx"/>
                <w:sz w:val="20"/>
              </w:rPr>
            </w:pPr>
            <w:r w:rsidRPr="00F31A39">
              <w:rPr>
                <w:rFonts w:ascii="AcadNusx" w:hAnsi="AcadNusx"/>
                <w:sz w:val="20"/>
              </w:rPr>
              <w:t>20.0</w:t>
            </w:r>
          </w:p>
        </w:tc>
        <w:tc>
          <w:tcPr>
            <w:tcW w:w="4961" w:type="dxa"/>
            <w:tcBorders>
              <w:top w:val="nil"/>
              <w:left w:val="nil"/>
              <w:bottom w:val="single" w:sz="4" w:space="0" w:color="auto"/>
              <w:right w:val="single" w:sz="4" w:space="0" w:color="auto"/>
            </w:tcBorders>
            <w:hideMark/>
          </w:tcPr>
          <w:p w14:paraId="3CB05ADB"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6FD3778B"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40236D8E" w14:textId="77777777" w:rsidR="00EA3205" w:rsidRPr="00F31A39" w:rsidRDefault="00EA3205" w:rsidP="00EA3205">
            <w:pPr>
              <w:rPr>
                <w:rFonts w:ascii="AcadNusx" w:hAnsi="AcadNusx"/>
                <w:sz w:val="20"/>
              </w:rPr>
            </w:pPr>
            <w:r w:rsidRPr="00F31A39">
              <w:rPr>
                <w:rFonts w:ascii="AcadNusx" w:hAnsi="AcadNusx"/>
                <w:sz w:val="20"/>
              </w:rPr>
              <w:t>30+315</w:t>
            </w:r>
          </w:p>
        </w:tc>
        <w:tc>
          <w:tcPr>
            <w:tcW w:w="1559" w:type="dxa"/>
            <w:tcBorders>
              <w:top w:val="nil"/>
              <w:left w:val="nil"/>
              <w:bottom w:val="single" w:sz="4" w:space="0" w:color="auto"/>
              <w:right w:val="single" w:sz="4" w:space="0" w:color="auto"/>
            </w:tcBorders>
            <w:noWrap/>
            <w:vAlign w:val="center"/>
            <w:hideMark/>
          </w:tcPr>
          <w:p w14:paraId="2A2EC045" w14:textId="77777777" w:rsidR="00EA3205" w:rsidRPr="00F31A39" w:rsidRDefault="00EA3205" w:rsidP="00EA3205">
            <w:pPr>
              <w:rPr>
                <w:rFonts w:ascii="AcadNusx" w:hAnsi="AcadNusx"/>
                <w:sz w:val="20"/>
              </w:rPr>
            </w:pPr>
            <w:r w:rsidRPr="00F31A39">
              <w:rPr>
                <w:rFonts w:ascii="AcadNusx" w:hAnsi="AcadNusx"/>
                <w:sz w:val="20"/>
              </w:rPr>
              <w:t>20.0</w:t>
            </w:r>
          </w:p>
        </w:tc>
        <w:tc>
          <w:tcPr>
            <w:tcW w:w="2130" w:type="dxa"/>
            <w:tcBorders>
              <w:top w:val="nil"/>
              <w:left w:val="nil"/>
              <w:bottom w:val="single" w:sz="4" w:space="0" w:color="auto"/>
              <w:right w:val="single" w:sz="4" w:space="0" w:color="auto"/>
            </w:tcBorders>
            <w:noWrap/>
            <w:vAlign w:val="center"/>
            <w:hideMark/>
          </w:tcPr>
          <w:p w14:paraId="5E92EF2E"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45EEA8ED"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55394F7C"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1E9DFB78" w14:textId="77777777" w:rsidR="00EA3205" w:rsidRPr="00F31A39" w:rsidRDefault="00EA3205" w:rsidP="00EA3205">
            <w:pPr>
              <w:rPr>
                <w:rFonts w:ascii="AcadNusx" w:hAnsi="AcadNusx"/>
                <w:sz w:val="20"/>
              </w:rPr>
            </w:pPr>
            <w:r w:rsidRPr="00F31A39">
              <w:rPr>
                <w:rFonts w:ascii="AcadNusx" w:hAnsi="AcadNusx"/>
                <w:sz w:val="20"/>
              </w:rPr>
              <w:t>30+340</w:t>
            </w:r>
          </w:p>
        </w:tc>
        <w:tc>
          <w:tcPr>
            <w:tcW w:w="1559" w:type="dxa"/>
            <w:tcBorders>
              <w:top w:val="nil"/>
              <w:left w:val="nil"/>
              <w:bottom w:val="single" w:sz="4" w:space="0" w:color="auto"/>
              <w:right w:val="single" w:sz="4" w:space="0" w:color="auto"/>
            </w:tcBorders>
            <w:noWrap/>
            <w:vAlign w:val="center"/>
            <w:hideMark/>
          </w:tcPr>
          <w:p w14:paraId="2DC4FAB2"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78D238CE" w14:textId="77777777" w:rsidR="00EA3205" w:rsidRPr="00F31A39" w:rsidRDefault="00EA3205" w:rsidP="00EA3205">
            <w:pPr>
              <w:rPr>
                <w:rFonts w:ascii="AcadNusx" w:hAnsi="AcadNusx"/>
                <w:sz w:val="20"/>
              </w:rPr>
            </w:pPr>
            <w:r w:rsidRPr="00F31A39">
              <w:rPr>
                <w:rFonts w:ascii="AcadNusx" w:hAnsi="AcadNusx"/>
                <w:sz w:val="20"/>
              </w:rPr>
              <w:t>40.0</w:t>
            </w:r>
          </w:p>
        </w:tc>
        <w:tc>
          <w:tcPr>
            <w:tcW w:w="4961" w:type="dxa"/>
            <w:tcBorders>
              <w:top w:val="nil"/>
              <w:left w:val="nil"/>
              <w:bottom w:val="single" w:sz="4" w:space="0" w:color="auto"/>
              <w:right w:val="single" w:sz="4" w:space="0" w:color="auto"/>
            </w:tcBorders>
            <w:hideMark/>
          </w:tcPr>
          <w:p w14:paraId="33DA353E"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5780C77F"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12AB1839" w14:textId="77777777" w:rsidR="00EA3205" w:rsidRPr="00F31A39" w:rsidRDefault="00EA3205" w:rsidP="00EA3205">
            <w:pPr>
              <w:rPr>
                <w:rFonts w:ascii="AcadNusx" w:hAnsi="AcadNusx"/>
                <w:sz w:val="20"/>
              </w:rPr>
            </w:pPr>
            <w:r w:rsidRPr="00F31A39">
              <w:rPr>
                <w:rFonts w:ascii="AcadNusx" w:hAnsi="AcadNusx"/>
                <w:sz w:val="20"/>
              </w:rPr>
              <w:t>30+400</w:t>
            </w:r>
          </w:p>
        </w:tc>
        <w:tc>
          <w:tcPr>
            <w:tcW w:w="1559" w:type="dxa"/>
            <w:tcBorders>
              <w:top w:val="nil"/>
              <w:left w:val="nil"/>
              <w:bottom w:val="single" w:sz="4" w:space="0" w:color="auto"/>
              <w:right w:val="single" w:sz="4" w:space="0" w:color="auto"/>
            </w:tcBorders>
            <w:noWrap/>
            <w:vAlign w:val="center"/>
            <w:hideMark/>
          </w:tcPr>
          <w:p w14:paraId="48CD03D2"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7C186335" w14:textId="77777777" w:rsidR="00EA3205" w:rsidRPr="00F31A39" w:rsidRDefault="00EA3205" w:rsidP="00EA3205">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14:paraId="4EA2D2E0"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0BE73A44"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0272311A" w14:textId="77777777" w:rsidR="00EA3205" w:rsidRPr="00F31A39" w:rsidRDefault="00EA3205" w:rsidP="00EA3205">
            <w:pPr>
              <w:rPr>
                <w:rFonts w:ascii="AcadNusx" w:hAnsi="AcadNusx"/>
                <w:sz w:val="20"/>
              </w:rPr>
            </w:pPr>
            <w:r w:rsidRPr="00F31A39">
              <w:rPr>
                <w:rFonts w:ascii="AcadNusx" w:hAnsi="AcadNusx"/>
                <w:sz w:val="20"/>
              </w:rPr>
              <w:t>31+780</w:t>
            </w:r>
          </w:p>
        </w:tc>
        <w:tc>
          <w:tcPr>
            <w:tcW w:w="1559" w:type="dxa"/>
            <w:tcBorders>
              <w:top w:val="nil"/>
              <w:left w:val="nil"/>
              <w:bottom w:val="single" w:sz="4" w:space="0" w:color="auto"/>
              <w:right w:val="single" w:sz="4" w:space="0" w:color="auto"/>
            </w:tcBorders>
            <w:noWrap/>
            <w:vAlign w:val="center"/>
            <w:hideMark/>
          </w:tcPr>
          <w:p w14:paraId="71D25D60" w14:textId="77777777" w:rsidR="00EA3205" w:rsidRPr="00F31A39" w:rsidRDefault="00EA3205" w:rsidP="00EA3205">
            <w:pPr>
              <w:rPr>
                <w:rFonts w:ascii="AcadNusx" w:hAnsi="AcadNusx"/>
                <w:sz w:val="20"/>
              </w:rPr>
            </w:pPr>
            <w:r w:rsidRPr="00F31A39">
              <w:rPr>
                <w:rFonts w:ascii="AcadNusx" w:hAnsi="AcadNusx"/>
                <w:sz w:val="20"/>
              </w:rPr>
              <w:t>25.0</w:t>
            </w:r>
          </w:p>
        </w:tc>
        <w:tc>
          <w:tcPr>
            <w:tcW w:w="2130" w:type="dxa"/>
            <w:tcBorders>
              <w:top w:val="nil"/>
              <w:left w:val="nil"/>
              <w:bottom w:val="single" w:sz="4" w:space="0" w:color="auto"/>
              <w:right w:val="single" w:sz="4" w:space="0" w:color="auto"/>
            </w:tcBorders>
            <w:noWrap/>
            <w:vAlign w:val="center"/>
            <w:hideMark/>
          </w:tcPr>
          <w:p w14:paraId="2E552F27"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14FEBEB7"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4800D877"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40B2F6A1" w14:textId="77777777" w:rsidR="00EA3205" w:rsidRPr="00F31A39" w:rsidRDefault="00EA3205" w:rsidP="00EA3205">
            <w:pPr>
              <w:rPr>
                <w:rFonts w:ascii="AcadNusx" w:hAnsi="AcadNusx"/>
                <w:sz w:val="20"/>
              </w:rPr>
            </w:pPr>
            <w:r w:rsidRPr="00F31A39">
              <w:rPr>
                <w:rFonts w:ascii="AcadNusx" w:hAnsi="AcadNusx"/>
                <w:sz w:val="20"/>
              </w:rPr>
              <w:t>32+44</w:t>
            </w:r>
          </w:p>
        </w:tc>
        <w:tc>
          <w:tcPr>
            <w:tcW w:w="1559" w:type="dxa"/>
            <w:tcBorders>
              <w:top w:val="nil"/>
              <w:left w:val="nil"/>
              <w:bottom w:val="single" w:sz="4" w:space="0" w:color="auto"/>
              <w:right w:val="single" w:sz="4" w:space="0" w:color="auto"/>
            </w:tcBorders>
            <w:noWrap/>
            <w:vAlign w:val="center"/>
            <w:hideMark/>
          </w:tcPr>
          <w:p w14:paraId="2CAC539C"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6A104855"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0DB3DBB8"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534CA3FD"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637D3707" w14:textId="77777777" w:rsidR="00EA3205" w:rsidRPr="00F31A39" w:rsidRDefault="00EA3205" w:rsidP="00EA3205">
            <w:pPr>
              <w:rPr>
                <w:rFonts w:ascii="AcadNusx" w:hAnsi="AcadNusx"/>
                <w:sz w:val="20"/>
              </w:rPr>
            </w:pPr>
            <w:r w:rsidRPr="00F31A39">
              <w:rPr>
                <w:rFonts w:ascii="AcadNusx" w:hAnsi="AcadNusx"/>
                <w:sz w:val="20"/>
              </w:rPr>
              <w:t>34+320</w:t>
            </w:r>
          </w:p>
        </w:tc>
        <w:tc>
          <w:tcPr>
            <w:tcW w:w="1559" w:type="dxa"/>
            <w:tcBorders>
              <w:top w:val="nil"/>
              <w:left w:val="nil"/>
              <w:bottom w:val="single" w:sz="4" w:space="0" w:color="auto"/>
              <w:right w:val="single" w:sz="4" w:space="0" w:color="auto"/>
            </w:tcBorders>
            <w:noWrap/>
            <w:vAlign w:val="center"/>
            <w:hideMark/>
          </w:tcPr>
          <w:p w14:paraId="55B4F3AA"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19F49EB8"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5879CA24"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B3"/>
            </w:r>
            <w:r w:rsidRPr="00F31A39">
              <w:rPr>
                <w:rFonts w:ascii="AcadNusx" w:hAnsi="AcadNusx"/>
                <w:sz w:val="20"/>
              </w:rPr>
              <w:t>10 kv) sahaero e.g.x.-is sayrdeni</w:t>
            </w:r>
          </w:p>
        </w:tc>
      </w:tr>
      <w:tr w:rsidR="00EA3205" w:rsidRPr="00B05F62" w14:paraId="649439BA"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3E3C03BE" w14:textId="77777777" w:rsidR="00EA3205" w:rsidRPr="00F31A39" w:rsidRDefault="00EA3205" w:rsidP="00EA3205">
            <w:pPr>
              <w:rPr>
                <w:rFonts w:ascii="AcadNusx" w:hAnsi="AcadNusx"/>
                <w:sz w:val="20"/>
              </w:rPr>
            </w:pPr>
            <w:r w:rsidRPr="00F31A39">
              <w:rPr>
                <w:rFonts w:ascii="AcadNusx" w:hAnsi="AcadNusx"/>
                <w:sz w:val="20"/>
              </w:rPr>
              <w:t>34+810</w:t>
            </w:r>
          </w:p>
        </w:tc>
        <w:tc>
          <w:tcPr>
            <w:tcW w:w="1559" w:type="dxa"/>
            <w:tcBorders>
              <w:top w:val="nil"/>
              <w:left w:val="nil"/>
              <w:bottom w:val="single" w:sz="4" w:space="0" w:color="auto"/>
              <w:right w:val="single" w:sz="4" w:space="0" w:color="auto"/>
            </w:tcBorders>
            <w:noWrap/>
            <w:vAlign w:val="center"/>
            <w:hideMark/>
          </w:tcPr>
          <w:p w14:paraId="1F6859E8" w14:textId="77777777" w:rsidR="00EA3205" w:rsidRPr="00F31A39" w:rsidRDefault="00EA3205" w:rsidP="00EA3205">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14:paraId="014DD082"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2144B9AF"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4B5F7863"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25778108" w14:textId="77777777" w:rsidR="00EA3205" w:rsidRPr="00F31A39" w:rsidRDefault="00EA3205" w:rsidP="00EA3205">
            <w:pPr>
              <w:rPr>
                <w:rFonts w:ascii="AcadNusx" w:hAnsi="AcadNusx"/>
                <w:sz w:val="20"/>
              </w:rPr>
            </w:pPr>
            <w:r w:rsidRPr="00F31A39">
              <w:rPr>
                <w:rFonts w:ascii="AcadNusx" w:hAnsi="AcadNusx"/>
                <w:sz w:val="20"/>
              </w:rPr>
              <w:t>34+842</w:t>
            </w:r>
          </w:p>
        </w:tc>
        <w:tc>
          <w:tcPr>
            <w:tcW w:w="1559" w:type="dxa"/>
            <w:tcBorders>
              <w:top w:val="nil"/>
              <w:left w:val="nil"/>
              <w:bottom w:val="single" w:sz="4" w:space="0" w:color="auto"/>
              <w:right w:val="single" w:sz="4" w:space="0" w:color="auto"/>
            </w:tcBorders>
            <w:noWrap/>
            <w:vAlign w:val="center"/>
            <w:hideMark/>
          </w:tcPr>
          <w:p w14:paraId="749DD3A3"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65CD1C35" w14:textId="77777777" w:rsidR="00EA3205" w:rsidRPr="00F31A39" w:rsidRDefault="00EA3205" w:rsidP="00EA3205">
            <w:pPr>
              <w:rPr>
                <w:rFonts w:ascii="AcadNusx" w:hAnsi="AcadNusx"/>
                <w:sz w:val="20"/>
              </w:rPr>
            </w:pPr>
            <w:r w:rsidRPr="00F31A39">
              <w:rPr>
                <w:rFonts w:ascii="AcadNusx" w:hAnsi="AcadNusx"/>
                <w:sz w:val="20"/>
              </w:rPr>
              <w:t>15.0</w:t>
            </w:r>
          </w:p>
        </w:tc>
        <w:tc>
          <w:tcPr>
            <w:tcW w:w="4961" w:type="dxa"/>
            <w:tcBorders>
              <w:top w:val="nil"/>
              <w:left w:val="nil"/>
              <w:bottom w:val="single" w:sz="4" w:space="0" w:color="auto"/>
              <w:right w:val="single" w:sz="4" w:space="0" w:color="auto"/>
            </w:tcBorders>
            <w:hideMark/>
          </w:tcPr>
          <w:p w14:paraId="08C0112C"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B3"/>
            </w:r>
            <w:r w:rsidRPr="00F31A39">
              <w:rPr>
                <w:rFonts w:ascii="AcadNusx" w:hAnsi="AcadNusx"/>
                <w:sz w:val="20"/>
              </w:rPr>
              <w:t>10 kv) sahaero e.g.x.-is sayrdeni</w:t>
            </w:r>
          </w:p>
        </w:tc>
      </w:tr>
      <w:tr w:rsidR="00EA3205" w:rsidRPr="00B05F62" w14:paraId="4F02DF57"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289A38AC" w14:textId="77777777" w:rsidR="00EA3205" w:rsidRPr="00F31A39" w:rsidRDefault="00EA3205" w:rsidP="00EA3205">
            <w:pPr>
              <w:rPr>
                <w:rFonts w:ascii="AcadNusx" w:hAnsi="AcadNusx"/>
                <w:sz w:val="20"/>
              </w:rPr>
            </w:pPr>
            <w:r w:rsidRPr="00F31A39">
              <w:rPr>
                <w:rFonts w:ascii="AcadNusx" w:hAnsi="AcadNusx"/>
                <w:sz w:val="20"/>
              </w:rPr>
              <w:t>34+850</w:t>
            </w:r>
          </w:p>
        </w:tc>
        <w:tc>
          <w:tcPr>
            <w:tcW w:w="1559" w:type="dxa"/>
            <w:tcBorders>
              <w:top w:val="nil"/>
              <w:left w:val="nil"/>
              <w:bottom w:val="single" w:sz="4" w:space="0" w:color="auto"/>
              <w:right w:val="single" w:sz="4" w:space="0" w:color="auto"/>
            </w:tcBorders>
            <w:noWrap/>
            <w:vAlign w:val="center"/>
            <w:hideMark/>
          </w:tcPr>
          <w:p w14:paraId="3F7CD5A2"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331C75B4" w14:textId="77777777" w:rsidR="00EA3205" w:rsidRPr="00F31A39" w:rsidRDefault="00EA3205" w:rsidP="00EA3205">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14:paraId="65DC49AA"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1F005C4E"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3C3EEB9D" w14:textId="77777777" w:rsidR="00EA3205" w:rsidRPr="00F31A39" w:rsidRDefault="00EA3205" w:rsidP="00EA3205">
            <w:pPr>
              <w:rPr>
                <w:rFonts w:ascii="AcadNusx" w:hAnsi="AcadNusx"/>
                <w:sz w:val="20"/>
              </w:rPr>
            </w:pPr>
            <w:r w:rsidRPr="00F31A39">
              <w:rPr>
                <w:rFonts w:ascii="AcadNusx" w:hAnsi="AcadNusx"/>
                <w:sz w:val="20"/>
              </w:rPr>
              <w:t>35+0273</w:t>
            </w:r>
          </w:p>
        </w:tc>
        <w:tc>
          <w:tcPr>
            <w:tcW w:w="1559" w:type="dxa"/>
            <w:tcBorders>
              <w:top w:val="nil"/>
              <w:left w:val="nil"/>
              <w:bottom w:val="single" w:sz="4" w:space="0" w:color="auto"/>
              <w:right w:val="single" w:sz="4" w:space="0" w:color="auto"/>
            </w:tcBorders>
            <w:noWrap/>
            <w:vAlign w:val="center"/>
            <w:hideMark/>
          </w:tcPr>
          <w:p w14:paraId="54E1CC29"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756230D6" w14:textId="77777777" w:rsidR="00EA3205" w:rsidRPr="00F31A39" w:rsidRDefault="00EA3205" w:rsidP="00EA3205">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14:paraId="52F869D1"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70F95416"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6BE1ECF5" w14:textId="77777777" w:rsidR="00EA3205" w:rsidRPr="00F31A39" w:rsidRDefault="00EA3205" w:rsidP="00EA3205">
            <w:pPr>
              <w:rPr>
                <w:rFonts w:ascii="AcadNusx" w:hAnsi="AcadNusx"/>
                <w:sz w:val="20"/>
              </w:rPr>
            </w:pPr>
            <w:r w:rsidRPr="00F31A39">
              <w:rPr>
                <w:rFonts w:ascii="AcadNusx" w:hAnsi="AcadNusx"/>
                <w:sz w:val="20"/>
              </w:rPr>
              <w:t>35+100</w:t>
            </w:r>
          </w:p>
        </w:tc>
        <w:tc>
          <w:tcPr>
            <w:tcW w:w="1559" w:type="dxa"/>
            <w:tcBorders>
              <w:top w:val="nil"/>
              <w:left w:val="nil"/>
              <w:bottom w:val="single" w:sz="4" w:space="0" w:color="auto"/>
              <w:right w:val="single" w:sz="4" w:space="0" w:color="auto"/>
            </w:tcBorders>
            <w:noWrap/>
            <w:vAlign w:val="center"/>
            <w:hideMark/>
          </w:tcPr>
          <w:p w14:paraId="554C5DED"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6DBC2EBA" w14:textId="77777777" w:rsidR="00EA3205" w:rsidRPr="00F31A39" w:rsidRDefault="00EA3205" w:rsidP="00EA3205">
            <w:pPr>
              <w:rPr>
                <w:rFonts w:ascii="AcadNusx" w:hAnsi="AcadNusx"/>
                <w:sz w:val="20"/>
              </w:rPr>
            </w:pPr>
            <w:r w:rsidRPr="00F31A39">
              <w:rPr>
                <w:rFonts w:ascii="AcadNusx" w:hAnsi="AcadNusx"/>
                <w:sz w:val="20"/>
              </w:rPr>
              <w:t>15.0</w:t>
            </w:r>
          </w:p>
        </w:tc>
        <w:tc>
          <w:tcPr>
            <w:tcW w:w="4961" w:type="dxa"/>
            <w:tcBorders>
              <w:top w:val="nil"/>
              <w:left w:val="nil"/>
              <w:bottom w:val="single" w:sz="4" w:space="0" w:color="auto"/>
              <w:right w:val="single" w:sz="4" w:space="0" w:color="auto"/>
            </w:tcBorders>
            <w:hideMark/>
          </w:tcPr>
          <w:p w14:paraId="67598968"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6826D563"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281BD31E" w14:textId="77777777" w:rsidR="00EA3205" w:rsidRPr="00F31A39" w:rsidRDefault="00EA3205" w:rsidP="00EA3205">
            <w:pPr>
              <w:rPr>
                <w:rFonts w:ascii="AcadNusx" w:hAnsi="AcadNusx"/>
                <w:sz w:val="20"/>
              </w:rPr>
            </w:pPr>
            <w:r w:rsidRPr="00F31A39">
              <w:rPr>
                <w:rFonts w:ascii="AcadNusx" w:hAnsi="AcadNusx"/>
                <w:sz w:val="20"/>
              </w:rPr>
              <w:t>35+100</w:t>
            </w:r>
          </w:p>
        </w:tc>
        <w:tc>
          <w:tcPr>
            <w:tcW w:w="1559" w:type="dxa"/>
            <w:tcBorders>
              <w:top w:val="nil"/>
              <w:left w:val="nil"/>
              <w:bottom w:val="single" w:sz="4" w:space="0" w:color="auto"/>
              <w:right w:val="single" w:sz="4" w:space="0" w:color="auto"/>
            </w:tcBorders>
            <w:noWrap/>
            <w:vAlign w:val="center"/>
            <w:hideMark/>
          </w:tcPr>
          <w:p w14:paraId="4E7EFAF1"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786DCF9B" w14:textId="77777777" w:rsidR="00EA3205" w:rsidRPr="00F31A39" w:rsidRDefault="00EA3205" w:rsidP="00EA3205">
            <w:pPr>
              <w:rPr>
                <w:rFonts w:ascii="AcadNusx" w:hAnsi="AcadNusx"/>
                <w:sz w:val="20"/>
              </w:rPr>
            </w:pPr>
            <w:r w:rsidRPr="00F31A39">
              <w:rPr>
                <w:rFonts w:ascii="AcadNusx" w:hAnsi="AcadNusx"/>
                <w:sz w:val="20"/>
              </w:rPr>
              <w:t>15.0</w:t>
            </w:r>
          </w:p>
        </w:tc>
        <w:tc>
          <w:tcPr>
            <w:tcW w:w="4961" w:type="dxa"/>
            <w:tcBorders>
              <w:top w:val="nil"/>
              <w:left w:val="nil"/>
              <w:bottom w:val="single" w:sz="4" w:space="0" w:color="auto"/>
              <w:right w:val="single" w:sz="4" w:space="0" w:color="auto"/>
            </w:tcBorders>
            <w:hideMark/>
          </w:tcPr>
          <w:p w14:paraId="27C26845"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7098A1DF"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34D52B41" w14:textId="77777777" w:rsidR="00EA3205" w:rsidRPr="00F31A39" w:rsidRDefault="00EA3205" w:rsidP="00EA3205">
            <w:pPr>
              <w:rPr>
                <w:rFonts w:ascii="AcadNusx" w:hAnsi="AcadNusx"/>
                <w:sz w:val="20"/>
              </w:rPr>
            </w:pPr>
            <w:r w:rsidRPr="00F31A39">
              <w:rPr>
                <w:rFonts w:ascii="AcadNusx" w:hAnsi="AcadNusx"/>
                <w:sz w:val="20"/>
              </w:rPr>
              <w:t>35+172</w:t>
            </w:r>
          </w:p>
        </w:tc>
        <w:tc>
          <w:tcPr>
            <w:tcW w:w="1559" w:type="dxa"/>
            <w:tcBorders>
              <w:top w:val="nil"/>
              <w:left w:val="nil"/>
              <w:bottom w:val="single" w:sz="4" w:space="0" w:color="auto"/>
              <w:right w:val="single" w:sz="4" w:space="0" w:color="auto"/>
            </w:tcBorders>
            <w:noWrap/>
            <w:vAlign w:val="center"/>
            <w:hideMark/>
          </w:tcPr>
          <w:p w14:paraId="70E932DA" w14:textId="77777777" w:rsidR="00EA3205" w:rsidRPr="00F31A39" w:rsidRDefault="00EA3205" w:rsidP="00EA3205">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14:paraId="3D50D805"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617C1759"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19069D99"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2A86E179" w14:textId="77777777" w:rsidR="00EA3205" w:rsidRPr="00F31A39" w:rsidRDefault="00EA3205" w:rsidP="00EA3205">
            <w:pPr>
              <w:rPr>
                <w:rFonts w:ascii="AcadNusx" w:hAnsi="AcadNusx"/>
                <w:sz w:val="20"/>
              </w:rPr>
            </w:pPr>
            <w:r w:rsidRPr="00F31A39">
              <w:rPr>
                <w:rFonts w:ascii="AcadNusx" w:hAnsi="AcadNusx"/>
                <w:sz w:val="20"/>
              </w:rPr>
              <w:t>35+172</w:t>
            </w:r>
          </w:p>
        </w:tc>
        <w:tc>
          <w:tcPr>
            <w:tcW w:w="1559" w:type="dxa"/>
            <w:tcBorders>
              <w:top w:val="nil"/>
              <w:left w:val="nil"/>
              <w:bottom w:val="single" w:sz="4" w:space="0" w:color="auto"/>
              <w:right w:val="single" w:sz="4" w:space="0" w:color="auto"/>
            </w:tcBorders>
            <w:noWrap/>
            <w:vAlign w:val="center"/>
            <w:hideMark/>
          </w:tcPr>
          <w:p w14:paraId="1384A35F" w14:textId="77777777" w:rsidR="00EA3205" w:rsidRPr="00F31A39" w:rsidRDefault="00EA3205" w:rsidP="00EA3205">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14:paraId="627C20C4"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4F01F451"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6B95427C"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2DD8A5B7" w14:textId="77777777" w:rsidR="00EA3205" w:rsidRPr="00F31A39" w:rsidRDefault="00EA3205" w:rsidP="00EA3205">
            <w:pPr>
              <w:rPr>
                <w:rFonts w:ascii="AcadNusx" w:hAnsi="AcadNusx"/>
                <w:sz w:val="20"/>
              </w:rPr>
            </w:pPr>
            <w:r w:rsidRPr="00F31A39">
              <w:rPr>
                <w:rFonts w:ascii="AcadNusx" w:hAnsi="AcadNusx"/>
                <w:sz w:val="20"/>
              </w:rPr>
              <w:t>35+237</w:t>
            </w:r>
          </w:p>
        </w:tc>
        <w:tc>
          <w:tcPr>
            <w:tcW w:w="1559" w:type="dxa"/>
            <w:tcBorders>
              <w:top w:val="nil"/>
              <w:left w:val="nil"/>
              <w:bottom w:val="single" w:sz="4" w:space="0" w:color="auto"/>
              <w:right w:val="single" w:sz="4" w:space="0" w:color="auto"/>
            </w:tcBorders>
            <w:noWrap/>
            <w:vAlign w:val="center"/>
            <w:hideMark/>
          </w:tcPr>
          <w:p w14:paraId="6B5A1A9F" w14:textId="77777777" w:rsidR="00EA3205" w:rsidRPr="00F31A39" w:rsidRDefault="00EA3205" w:rsidP="00EA3205">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14:paraId="7ABC27FD"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1F571A36"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110E95F9"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58248A14" w14:textId="77777777" w:rsidR="00EA3205" w:rsidRPr="00F31A39" w:rsidRDefault="00EA3205" w:rsidP="00EA3205">
            <w:pPr>
              <w:rPr>
                <w:rFonts w:ascii="AcadNusx" w:hAnsi="AcadNusx"/>
                <w:sz w:val="20"/>
              </w:rPr>
            </w:pPr>
            <w:r w:rsidRPr="00F31A39">
              <w:rPr>
                <w:rFonts w:ascii="AcadNusx" w:hAnsi="AcadNusx"/>
                <w:sz w:val="20"/>
              </w:rPr>
              <w:t>35+237</w:t>
            </w:r>
          </w:p>
        </w:tc>
        <w:tc>
          <w:tcPr>
            <w:tcW w:w="1559" w:type="dxa"/>
            <w:tcBorders>
              <w:top w:val="nil"/>
              <w:left w:val="nil"/>
              <w:bottom w:val="single" w:sz="4" w:space="0" w:color="auto"/>
              <w:right w:val="single" w:sz="4" w:space="0" w:color="auto"/>
            </w:tcBorders>
            <w:noWrap/>
            <w:vAlign w:val="center"/>
            <w:hideMark/>
          </w:tcPr>
          <w:p w14:paraId="0CD20500" w14:textId="77777777" w:rsidR="00EA3205" w:rsidRPr="00F31A39" w:rsidRDefault="00EA3205" w:rsidP="00EA3205">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14:paraId="70167B68"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29893DA4"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01EEA2AB"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779C1951" w14:textId="77777777" w:rsidR="00EA3205" w:rsidRPr="00F31A39" w:rsidRDefault="00EA3205" w:rsidP="00EA3205">
            <w:pPr>
              <w:rPr>
                <w:rFonts w:ascii="AcadNusx" w:hAnsi="AcadNusx"/>
                <w:sz w:val="20"/>
              </w:rPr>
            </w:pPr>
            <w:r w:rsidRPr="00F31A39">
              <w:rPr>
                <w:rFonts w:ascii="AcadNusx" w:hAnsi="AcadNusx"/>
                <w:sz w:val="20"/>
              </w:rPr>
              <w:t>35+300</w:t>
            </w:r>
          </w:p>
        </w:tc>
        <w:tc>
          <w:tcPr>
            <w:tcW w:w="1559" w:type="dxa"/>
            <w:tcBorders>
              <w:top w:val="nil"/>
              <w:left w:val="nil"/>
              <w:bottom w:val="single" w:sz="4" w:space="0" w:color="auto"/>
              <w:right w:val="single" w:sz="4" w:space="0" w:color="auto"/>
            </w:tcBorders>
            <w:noWrap/>
            <w:vAlign w:val="center"/>
            <w:hideMark/>
          </w:tcPr>
          <w:p w14:paraId="3A842A8B"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7B60E28C"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4EDFFCB6"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3007A702"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3AE337B6" w14:textId="77777777" w:rsidR="00EA3205" w:rsidRPr="00F31A39" w:rsidRDefault="00EA3205" w:rsidP="00EA3205">
            <w:pPr>
              <w:rPr>
                <w:rFonts w:ascii="AcadNusx" w:hAnsi="AcadNusx"/>
                <w:sz w:val="20"/>
              </w:rPr>
            </w:pPr>
            <w:r w:rsidRPr="00F31A39">
              <w:rPr>
                <w:rFonts w:ascii="AcadNusx" w:hAnsi="AcadNusx"/>
                <w:sz w:val="20"/>
              </w:rPr>
              <w:t>35+300</w:t>
            </w:r>
          </w:p>
        </w:tc>
        <w:tc>
          <w:tcPr>
            <w:tcW w:w="1559" w:type="dxa"/>
            <w:tcBorders>
              <w:top w:val="nil"/>
              <w:left w:val="nil"/>
              <w:bottom w:val="single" w:sz="4" w:space="0" w:color="auto"/>
              <w:right w:val="single" w:sz="4" w:space="0" w:color="auto"/>
            </w:tcBorders>
            <w:noWrap/>
            <w:vAlign w:val="center"/>
            <w:hideMark/>
          </w:tcPr>
          <w:p w14:paraId="39DD26CC"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74263D3E"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7A086B41"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0F940124"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309EBE16" w14:textId="77777777" w:rsidR="00EA3205" w:rsidRPr="00F31A39" w:rsidRDefault="00EA3205" w:rsidP="00EA3205">
            <w:pPr>
              <w:rPr>
                <w:rFonts w:ascii="AcadNusx" w:hAnsi="AcadNusx"/>
                <w:sz w:val="20"/>
              </w:rPr>
            </w:pPr>
            <w:r w:rsidRPr="00F31A39">
              <w:rPr>
                <w:rFonts w:ascii="AcadNusx" w:hAnsi="AcadNusx"/>
                <w:sz w:val="20"/>
              </w:rPr>
              <w:t>35+342</w:t>
            </w:r>
          </w:p>
        </w:tc>
        <w:tc>
          <w:tcPr>
            <w:tcW w:w="1559" w:type="dxa"/>
            <w:tcBorders>
              <w:top w:val="nil"/>
              <w:left w:val="nil"/>
              <w:bottom w:val="single" w:sz="4" w:space="0" w:color="auto"/>
              <w:right w:val="single" w:sz="4" w:space="0" w:color="auto"/>
            </w:tcBorders>
            <w:noWrap/>
            <w:vAlign w:val="center"/>
            <w:hideMark/>
          </w:tcPr>
          <w:p w14:paraId="54EF1AF9"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73EA9925"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0A0226B7"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43D814DF"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3BFC8092" w14:textId="77777777" w:rsidR="00EA3205" w:rsidRPr="00F31A39" w:rsidRDefault="00EA3205" w:rsidP="00EA3205">
            <w:pPr>
              <w:rPr>
                <w:rFonts w:ascii="AcadNusx" w:hAnsi="AcadNusx"/>
                <w:sz w:val="20"/>
              </w:rPr>
            </w:pPr>
            <w:r w:rsidRPr="00F31A39">
              <w:rPr>
                <w:rFonts w:ascii="AcadNusx" w:hAnsi="AcadNusx"/>
                <w:sz w:val="20"/>
              </w:rPr>
              <w:t>35+342</w:t>
            </w:r>
          </w:p>
        </w:tc>
        <w:tc>
          <w:tcPr>
            <w:tcW w:w="1559" w:type="dxa"/>
            <w:tcBorders>
              <w:top w:val="nil"/>
              <w:left w:val="nil"/>
              <w:bottom w:val="single" w:sz="4" w:space="0" w:color="auto"/>
              <w:right w:val="single" w:sz="4" w:space="0" w:color="auto"/>
            </w:tcBorders>
            <w:noWrap/>
            <w:vAlign w:val="center"/>
            <w:hideMark/>
          </w:tcPr>
          <w:p w14:paraId="60DD273F"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1F377D4C"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2ECE852E"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4B0074E6"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53A57CB6" w14:textId="77777777" w:rsidR="00EA3205" w:rsidRPr="00F31A39" w:rsidRDefault="00EA3205" w:rsidP="00EA3205">
            <w:pPr>
              <w:rPr>
                <w:rFonts w:ascii="AcadNusx" w:hAnsi="AcadNusx"/>
                <w:sz w:val="20"/>
              </w:rPr>
            </w:pPr>
            <w:r w:rsidRPr="00F31A39">
              <w:rPr>
                <w:rFonts w:ascii="AcadNusx" w:hAnsi="AcadNusx"/>
                <w:sz w:val="20"/>
              </w:rPr>
              <w:t>35+800</w:t>
            </w:r>
          </w:p>
        </w:tc>
        <w:tc>
          <w:tcPr>
            <w:tcW w:w="1559" w:type="dxa"/>
            <w:tcBorders>
              <w:top w:val="nil"/>
              <w:left w:val="nil"/>
              <w:bottom w:val="single" w:sz="4" w:space="0" w:color="auto"/>
              <w:right w:val="single" w:sz="4" w:space="0" w:color="auto"/>
            </w:tcBorders>
            <w:noWrap/>
            <w:vAlign w:val="center"/>
            <w:hideMark/>
          </w:tcPr>
          <w:p w14:paraId="0EAE39D2" w14:textId="77777777" w:rsidR="00EA3205" w:rsidRPr="00F31A39" w:rsidRDefault="00EA3205" w:rsidP="00EA3205">
            <w:pPr>
              <w:rPr>
                <w:rFonts w:ascii="AcadNusx" w:hAnsi="AcadNusx"/>
                <w:sz w:val="20"/>
              </w:rPr>
            </w:pPr>
            <w:r w:rsidRPr="00F31A39">
              <w:rPr>
                <w:rFonts w:ascii="AcadNusx" w:hAnsi="AcadNusx"/>
                <w:sz w:val="20"/>
              </w:rPr>
              <w:t>3.0</w:t>
            </w:r>
          </w:p>
        </w:tc>
        <w:tc>
          <w:tcPr>
            <w:tcW w:w="2130" w:type="dxa"/>
            <w:tcBorders>
              <w:top w:val="nil"/>
              <w:left w:val="nil"/>
              <w:bottom w:val="single" w:sz="4" w:space="0" w:color="auto"/>
              <w:right w:val="single" w:sz="4" w:space="0" w:color="auto"/>
            </w:tcBorders>
            <w:noWrap/>
            <w:vAlign w:val="center"/>
            <w:hideMark/>
          </w:tcPr>
          <w:p w14:paraId="4CECEFC0"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38B67703"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1B409BFF"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6B9167FB" w14:textId="77777777" w:rsidR="00EA3205" w:rsidRPr="00F31A39" w:rsidRDefault="00EA3205" w:rsidP="00EA3205">
            <w:pPr>
              <w:rPr>
                <w:rFonts w:ascii="AcadNusx" w:hAnsi="AcadNusx"/>
                <w:sz w:val="20"/>
              </w:rPr>
            </w:pPr>
            <w:r w:rsidRPr="00F31A39">
              <w:rPr>
                <w:rFonts w:ascii="AcadNusx" w:hAnsi="AcadNusx"/>
                <w:sz w:val="20"/>
              </w:rPr>
              <w:t>35+867</w:t>
            </w:r>
          </w:p>
        </w:tc>
        <w:tc>
          <w:tcPr>
            <w:tcW w:w="1559" w:type="dxa"/>
            <w:tcBorders>
              <w:top w:val="nil"/>
              <w:left w:val="nil"/>
              <w:bottom w:val="single" w:sz="4" w:space="0" w:color="auto"/>
              <w:right w:val="single" w:sz="4" w:space="0" w:color="auto"/>
            </w:tcBorders>
            <w:noWrap/>
            <w:vAlign w:val="center"/>
            <w:hideMark/>
          </w:tcPr>
          <w:p w14:paraId="444EEC83"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22D43FD3"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43A13A26"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5E4F52D1"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18AD5776" w14:textId="77777777" w:rsidR="00EA3205" w:rsidRPr="00F31A39" w:rsidRDefault="00EA3205" w:rsidP="00EA3205">
            <w:pPr>
              <w:rPr>
                <w:rFonts w:ascii="AcadNusx" w:hAnsi="AcadNusx"/>
                <w:sz w:val="20"/>
              </w:rPr>
            </w:pPr>
            <w:r w:rsidRPr="00F31A39">
              <w:rPr>
                <w:rFonts w:ascii="AcadNusx" w:hAnsi="AcadNusx"/>
                <w:sz w:val="20"/>
              </w:rPr>
              <w:t>35+933</w:t>
            </w:r>
          </w:p>
        </w:tc>
        <w:tc>
          <w:tcPr>
            <w:tcW w:w="1559" w:type="dxa"/>
            <w:tcBorders>
              <w:top w:val="nil"/>
              <w:left w:val="nil"/>
              <w:bottom w:val="single" w:sz="4" w:space="0" w:color="auto"/>
              <w:right w:val="single" w:sz="4" w:space="0" w:color="auto"/>
            </w:tcBorders>
            <w:noWrap/>
            <w:vAlign w:val="center"/>
            <w:hideMark/>
          </w:tcPr>
          <w:p w14:paraId="4D010AD4"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3C09535D"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4CCFE349"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0E55EC61"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2428F9F6" w14:textId="77777777" w:rsidR="00EA3205" w:rsidRPr="00F31A39" w:rsidRDefault="00EA3205" w:rsidP="00EA3205">
            <w:pPr>
              <w:rPr>
                <w:rFonts w:ascii="AcadNusx" w:hAnsi="AcadNusx"/>
                <w:sz w:val="20"/>
              </w:rPr>
            </w:pPr>
            <w:r w:rsidRPr="00F31A39">
              <w:rPr>
                <w:rFonts w:ascii="AcadNusx" w:hAnsi="AcadNusx"/>
                <w:sz w:val="20"/>
              </w:rPr>
              <w:t>36+000</w:t>
            </w:r>
          </w:p>
        </w:tc>
        <w:tc>
          <w:tcPr>
            <w:tcW w:w="1559" w:type="dxa"/>
            <w:tcBorders>
              <w:top w:val="nil"/>
              <w:left w:val="nil"/>
              <w:bottom w:val="single" w:sz="4" w:space="0" w:color="auto"/>
              <w:right w:val="single" w:sz="4" w:space="0" w:color="auto"/>
            </w:tcBorders>
            <w:noWrap/>
            <w:vAlign w:val="center"/>
            <w:hideMark/>
          </w:tcPr>
          <w:p w14:paraId="530A2AA2"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481261A4"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0438B3CA"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068B7001"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115A0E39" w14:textId="77777777" w:rsidR="00EA3205" w:rsidRPr="00F31A39" w:rsidRDefault="00EA3205" w:rsidP="00EA3205">
            <w:pPr>
              <w:rPr>
                <w:rFonts w:ascii="AcadNusx" w:hAnsi="AcadNusx"/>
                <w:sz w:val="20"/>
              </w:rPr>
            </w:pPr>
            <w:r w:rsidRPr="00F31A39">
              <w:rPr>
                <w:rFonts w:ascii="AcadNusx" w:hAnsi="AcadNusx"/>
                <w:sz w:val="20"/>
              </w:rPr>
              <w:t>36+066</w:t>
            </w:r>
          </w:p>
        </w:tc>
        <w:tc>
          <w:tcPr>
            <w:tcW w:w="1559" w:type="dxa"/>
            <w:tcBorders>
              <w:top w:val="nil"/>
              <w:left w:val="nil"/>
              <w:bottom w:val="single" w:sz="4" w:space="0" w:color="auto"/>
              <w:right w:val="single" w:sz="4" w:space="0" w:color="auto"/>
            </w:tcBorders>
            <w:noWrap/>
            <w:vAlign w:val="center"/>
            <w:hideMark/>
          </w:tcPr>
          <w:p w14:paraId="46E05109"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2691A62E"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3CA0F95E"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3E438A58"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2E549C93" w14:textId="77777777" w:rsidR="00EA3205" w:rsidRPr="00F31A39" w:rsidRDefault="00EA3205" w:rsidP="00EA3205">
            <w:pPr>
              <w:rPr>
                <w:rFonts w:ascii="AcadNusx" w:hAnsi="AcadNusx"/>
                <w:sz w:val="20"/>
              </w:rPr>
            </w:pPr>
            <w:r w:rsidRPr="00F31A39">
              <w:rPr>
                <w:rFonts w:ascii="AcadNusx" w:hAnsi="AcadNusx"/>
                <w:sz w:val="20"/>
              </w:rPr>
              <w:t>36+140</w:t>
            </w:r>
          </w:p>
        </w:tc>
        <w:tc>
          <w:tcPr>
            <w:tcW w:w="1559" w:type="dxa"/>
            <w:tcBorders>
              <w:top w:val="nil"/>
              <w:left w:val="nil"/>
              <w:bottom w:val="single" w:sz="4" w:space="0" w:color="auto"/>
              <w:right w:val="single" w:sz="4" w:space="0" w:color="auto"/>
            </w:tcBorders>
            <w:noWrap/>
            <w:vAlign w:val="center"/>
            <w:hideMark/>
          </w:tcPr>
          <w:p w14:paraId="7F076E71"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5B24EA59"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323F3791"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2B74B9D1"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401F358C" w14:textId="77777777" w:rsidR="00EA3205" w:rsidRPr="00F31A39" w:rsidRDefault="00EA3205" w:rsidP="00EA3205">
            <w:pPr>
              <w:rPr>
                <w:rFonts w:ascii="AcadNusx" w:hAnsi="AcadNusx"/>
                <w:sz w:val="20"/>
              </w:rPr>
            </w:pPr>
            <w:r w:rsidRPr="00F31A39">
              <w:rPr>
                <w:rFonts w:ascii="AcadNusx" w:hAnsi="AcadNusx"/>
                <w:sz w:val="20"/>
              </w:rPr>
              <w:t>36+210</w:t>
            </w:r>
          </w:p>
        </w:tc>
        <w:tc>
          <w:tcPr>
            <w:tcW w:w="1559" w:type="dxa"/>
            <w:tcBorders>
              <w:top w:val="nil"/>
              <w:left w:val="nil"/>
              <w:bottom w:val="single" w:sz="4" w:space="0" w:color="auto"/>
              <w:right w:val="single" w:sz="4" w:space="0" w:color="auto"/>
            </w:tcBorders>
            <w:noWrap/>
            <w:vAlign w:val="center"/>
            <w:hideMark/>
          </w:tcPr>
          <w:p w14:paraId="08562510"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6BD88B2F"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6D608900"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2089D3BD"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3809414C" w14:textId="77777777" w:rsidR="00EA3205" w:rsidRPr="00F31A39" w:rsidRDefault="00EA3205" w:rsidP="00EA3205">
            <w:pPr>
              <w:rPr>
                <w:rFonts w:ascii="AcadNusx" w:hAnsi="AcadNusx"/>
                <w:sz w:val="20"/>
              </w:rPr>
            </w:pPr>
            <w:r w:rsidRPr="00F31A39">
              <w:rPr>
                <w:rFonts w:ascii="AcadNusx" w:hAnsi="AcadNusx"/>
                <w:sz w:val="20"/>
              </w:rPr>
              <w:t>36+277</w:t>
            </w:r>
          </w:p>
        </w:tc>
        <w:tc>
          <w:tcPr>
            <w:tcW w:w="1559" w:type="dxa"/>
            <w:tcBorders>
              <w:top w:val="nil"/>
              <w:left w:val="nil"/>
              <w:bottom w:val="single" w:sz="4" w:space="0" w:color="auto"/>
              <w:right w:val="single" w:sz="4" w:space="0" w:color="auto"/>
            </w:tcBorders>
            <w:noWrap/>
            <w:vAlign w:val="center"/>
            <w:hideMark/>
          </w:tcPr>
          <w:p w14:paraId="561AC731" w14:textId="77777777" w:rsidR="00EA3205" w:rsidRPr="00F31A39" w:rsidRDefault="00EA3205" w:rsidP="00EA3205">
            <w:pPr>
              <w:rPr>
                <w:rFonts w:ascii="AcadNusx" w:hAnsi="AcadNusx"/>
                <w:sz w:val="20"/>
              </w:rPr>
            </w:pPr>
            <w:r w:rsidRPr="00F31A39">
              <w:rPr>
                <w:rFonts w:ascii="AcadNusx" w:hAnsi="AcadNusx"/>
                <w:sz w:val="20"/>
              </w:rPr>
              <w:t>7.0</w:t>
            </w:r>
          </w:p>
        </w:tc>
        <w:tc>
          <w:tcPr>
            <w:tcW w:w="2130" w:type="dxa"/>
            <w:tcBorders>
              <w:top w:val="nil"/>
              <w:left w:val="nil"/>
              <w:bottom w:val="single" w:sz="4" w:space="0" w:color="auto"/>
              <w:right w:val="single" w:sz="4" w:space="0" w:color="auto"/>
            </w:tcBorders>
            <w:noWrap/>
            <w:vAlign w:val="center"/>
            <w:hideMark/>
          </w:tcPr>
          <w:p w14:paraId="5C5880AF"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4A4DAA44"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26F77CC9"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628CB5C0" w14:textId="77777777" w:rsidR="00EA3205" w:rsidRPr="00F31A39" w:rsidRDefault="00EA3205" w:rsidP="00EA3205">
            <w:pPr>
              <w:rPr>
                <w:rFonts w:ascii="AcadNusx" w:hAnsi="AcadNusx"/>
                <w:sz w:val="20"/>
              </w:rPr>
            </w:pPr>
            <w:r w:rsidRPr="00F31A39">
              <w:rPr>
                <w:rFonts w:ascii="AcadNusx" w:hAnsi="AcadNusx"/>
                <w:sz w:val="20"/>
              </w:rPr>
              <w:t>36+345</w:t>
            </w:r>
          </w:p>
        </w:tc>
        <w:tc>
          <w:tcPr>
            <w:tcW w:w="1559" w:type="dxa"/>
            <w:tcBorders>
              <w:top w:val="nil"/>
              <w:left w:val="nil"/>
              <w:bottom w:val="single" w:sz="4" w:space="0" w:color="auto"/>
              <w:right w:val="single" w:sz="4" w:space="0" w:color="auto"/>
            </w:tcBorders>
            <w:noWrap/>
            <w:vAlign w:val="center"/>
            <w:hideMark/>
          </w:tcPr>
          <w:p w14:paraId="4B257A84" w14:textId="77777777" w:rsidR="00EA3205" w:rsidRPr="00F31A39" w:rsidRDefault="00EA3205" w:rsidP="00EA3205">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14:paraId="77D9E5C7"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7D50FC99"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30AD6F7F"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7F7AE097" w14:textId="77777777" w:rsidR="00EA3205" w:rsidRPr="00F31A39" w:rsidRDefault="00EA3205" w:rsidP="00EA3205">
            <w:pPr>
              <w:rPr>
                <w:rFonts w:ascii="AcadNusx" w:hAnsi="AcadNusx"/>
                <w:sz w:val="20"/>
              </w:rPr>
            </w:pPr>
            <w:r w:rsidRPr="00F31A39">
              <w:rPr>
                <w:rFonts w:ascii="AcadNusx" w:hAnsi="AcadNusx"/>
                <w:sz w:val="20"/>
              </w:rPr>
              <w:t>36+415</w:t>
            </w:r>
          </w:p>
        </w:tc>
        <w:tc>
          <w:tcPr>
            <w:tcW w:w="1559" w:type="dxa"/>
            <w:tcBorders>
              <w:top w:val="nil"/>
              <w:left w:val="nil"/>
              <w:bottom w:val="single" w:sz="4" w:space="0" w:color="auto"/>
              <w:right w:val="single" w:sz="4" w:space="0" w:color="auto"/>
            </w:tcBorders>
            <w:noWrap/>
            <w:vAlign w:val="center"/>
            <w:hideMark/>
          </w:tcPr>
          <w:p w14:paraId="2806FC30" w14:textId="77777777" w:rsidR="00EA3205" w:rsidRPr="00F31A39" w:rsidRDefault="00EA3205" w:rsidP="00EA3205">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14:paraId="2F0596AE"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04725181"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191717D9"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089B265E" w14:textId="77777777" w:rsidR="00EA3205" w:rsidRPr="00F31A39" w:rsidRDefault="00EA3205" w:rsidP="00EA3205">
            <w:pPr>
              <w:rPr>
                <w:rFonts w:ascii="AcadNusx" w:hAnsi="AcadNusx"/>
                <w:sz w:val="20"/>
              </w:rPr>
            </w:pPr>
            <w:r w:rsidRPr="00F31A39">
              <w:rPr>
                <w:rFonts w:ascii="AcadNusx" w:hAnsi="AcadNusx"/>
                <w:sz w:val="20"/>
              </w:rPr>
              <w:t>36+430</w:t>
            </w:r>
          </w:p>
        </w:tc>
        <w:tc>
          <w:tcPr>
            <w:tcW w:w="1559" w:type="dxa"/>
            <w:tcBorders>
              <w:top w:val="nil"/>
              <w:left w:val="nil"/>
              <w:bottom w:val="single" w:sz="4" w:space="0" w:color="auto"/>
              <w:right w:val="single" w:sz="4" w:space="0" w:color="auto"/>
            </w:tcBorders>
            <w:noWrap/>
            <w:vAlign w:val="center"/>
            <w:hideMark/>
          </w:tcPr>
          <w:p w14:paraId="431BA5B6"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16B10E7D" w14:textId="77777777" w:rsidR="00EA3205" w:rsidRPr="00F31A39" w:rsidRDefault="00EA3205" w:rsidP="00EA3205">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14:paraId="21857CF2"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652CE20A"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25FAA1B2" w14:textId="77777777" w:rsidR="00EA3205" w:rsidRPr="00F31A39" w:rsidRDefault="00EA3205" w:rsidP="00EA3205">
            <w:pPr>
              <w:rPr>
                <w:rFonts w:ascii="AcadNusx" w:hAnsi="AcadNusx"/>
                <w:sz w:val="20"/>
              </w:rPr>
            </w:pPr>
            <w:r w:rsidRPr="00F31A39">
              <w:rPr>
                <w:rFonts w:ascii="AcadNusx" w:hAnsi="AcadNusx"/>
                <w:sz w:val="20"/>
              </w:rPr>
              <w:t>36+458</w:t>
            </w:r>
          </w:p>
        </w:tc>
        <w:tc>
          <w:tcPr>
            <w:tcW w:w="1559" w:type="dxa"/>
            <w:tcBorders>
              <w:top w:val="nil"/>
              <w:left w:val="nil"/>
              <w:bottom w:val="single" w:sz="4" w:space="0" w:color="auto"/>
              <w:right w:val="single" w:sz="4" w:space="0" w:color="auto"/>
            </w:tcBorders>
            <w:noWrap/>
            <w:vAlign w:val="center"/>
            <w:hideMark/>
          </w:tcPr>
          <w:p w14:paraId="1B19F68B"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4E13F3E8"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6E80FB12"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530E5CE6"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05E88742" w14:textId="77777777" w:rsidR="00EA3205" w:rsidRPr="00F31A39" w:rsidRDefault="00EA3205" w:rsidP="00EA3205">
            <w:pPr>
              <w:rPr>
                <w:rFonts w:ascii="AcadNusx" w:hAnsi="AcadNusx"/>
                <w:sz w:val="20"/>
              </w:rPr>
            </w:pPr>
            <w:r w:rsidRPr="00F31A39">
              <w:rPr>
                <w:rFonts w:ascii="AcadNusx" w:hAnsi="AcadNusx"/>
                <w:sz w:val="20"/>
              </w:rPr>
              <w:t>36+470</w:t>
            </w:r>
          </w:p>
        </w:tc>
        <w:tc>
          <w:tcPr>
            <w:tcW w:w="1559" w:type="dxa"/>
            <w:tcBorders>
              <w:top w:val="nil"/>
              <w:left w:val="nil"/>
              <w:bottom w:val="single" w:sz="4" w:space="0" w:color="auto"/>
              <w:right w:val="single" w:sz="4" w:space="0" w:color="auto"/>
            </w:tcBorders>
            <w:noWrap/>
            <w:vAlign w:val="center"/>
            <w:hideMark/>
          </w:tcPr>
          <w:p w14:paraId="4499987D"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537BBF03" w14:textId="77777777" w:rsidR="00EA3205" w:rsidRPr="00F31A39" w:rsidRDefault="00EA3205" w:rsidP="00EA3205">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14:paraId="4D5BBA7E"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11CC6C45"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690EB753" w14:textId="77777777" w:rsidR="00EA3205" w:rsidRPr="00F31A39" w:rsidRDefault="00EA3205" w:rsidP="00EA3205">
            <w:pPr>
              <w:rPr>
                <w:rFonts w:ascii="AcadNusx" w:hAnsi="AcadNusx"/>
                <w:sz w:val="20"/>
              </w:rPr>
            </w:pPr>
            <w:r w:rsidRPr="00F31A39">
              <w:rPr>
                <w:rFonts w:ascii="AcadNusx" w:hAnsi="AcadNusx"/>
                <w:sz w:val="20"/>
              </w:rPr>
              <w:t>36+510</w:t>
            </w:r>
          </w:p>
        </w:tc>
        <w:tc>
          <w:tcPr>
            <w:tcW w:w="1559" w:type="dxa"/>
            <w:tcBorders>
              <w:top w:val="nil"/>
              <w:left w:val="nil"/>
              <w:bottom w:val="single" w:sz="4" w:space="0" w:color="auto"/>
              <w:right w:val="single" w:sz="4" w:space="0" w:color="auto"/>
            </w:tcBorders>
            <w:noWrap/>
            <w:vAlign w:val="center"/>
            <w:hideMark/>
          </w:tcPr>
          <w:p w14:paraId="749BC7D6"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174E5109"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32877626"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0E50147D"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6A624C16" w14:textId="77777777" w:rsidR="00EA3205" w:rsidRPr="00F31A39" w:rsidRDefault="00EA3205" w:rsidP="00EA3205">
            <w:pPr>
              <w:rPr>
                <w:rFonts w:ascii="AcadNusx" w:hAnsi="AcadNusx"/>
                <w:sz w:val="20"/>
              </w:rPr>
            </w:pPr>
            <w:r w:rsidRPr="00F31A39">
              <w:rPr>
                <w:rFonts w:ascii="AcadNusx" w:hAnsi="AcadNusx"/>
                <w:sz w:val="20"/>
              </w:rPr>
              <w:t>36+542</w:t>
            </w:r>
          </w:p>
        </w:tc>
        <w:tc>
          <w:tcPr>
            <w:tcW w:w="1559" w:type="dxa"/>
            <w:tcBorders>
              <w:top w:val="nil"/>
              <w:left w:val="nil"/>
              <w:bottom w:val="single" w:sz="4" w:space="0" w:color="auto"/>
              <w:right w:val="single" w:sz="4" w:space="0" w:color="auto"/>
            </w:tcBorders>
            <w:noWrap/>
            <w:vAlign w:val="center"/>
            <w:hideMark/>
          </w:tcPr>
          <w:p w14:paraId="580DCA99"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24222AEC"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4DD56352"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3ABF69BA"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312EAEC4" w14:textId="77777777" w:rsidR="00EA3205" w:rsidRPr="00F31A39" w:rsidRDefault="00EA3205" w:rsidP="00EA3205">
            <w:pPr>
              <w:rPr>
                <w:rFonts w:ascii="AcadNusx" w:hAnsi="AcadNusx"/>
                <w:sz w:val="20"/>
              </w:rPr>
            </w:pPr>
            <w:r w:rsidRPr="00F31A39">
              <w:rPr>
                <w:rFonts w:ascii="AcadNusx" w:hAnsi="AcadNusx"/>
                <w:sz w:val="20"/>
              </w:rPr>
              <w:t>36+550</w:t>
            </w:r>
          </w:p>
        </w:tc>
        <w:tc>
          <w:tcPr>
            <w:tcW w:w="1559" w:type="dxa"/>
            <w:tcBorders>
              <w:top w:val="nil"/>
              <w:left w:val="nil"/>
              <w:bottom w:val="single" w:sz="4" w:space="0" w:color="auto"/>
              <w:right w:val="single" w:sz="4" w:space="0" w:color="auto"/>
            </w:tcBorders>
            <w:noWrap/>
            <w:vAlign w:val="center"/>
            <w:hideMark/>
          </w:tcPr>
          <w:p w14:paraId="66F3673F" w14:textId="77777777" w:rsidR="00EA3205" w:rsidRPr="00F31A39" w:rsidRDefault="00EA3205" w:rsidP="00EA3205">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14:paraId="22CCD81F" w14:textId="77777777" w:rsidR="00EA3205" w:rsidRPr="00F31A39" w:rsidRDefault="00EA3205" w:rsidP="00EA3205">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14:paraId="278BD6E2" w14:textId="77777777" w:rsidR="00EA3205" w:rsidRPr="00F31A39" w:rsidRDefault="00EA3205" w:rsidP="00EA3205">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EA3205" w:rsidRPr="00B05F62" w14:paraId="1CEA875F"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5C47E54D" w14:textId="77777777" w:rsidR="00EA3205" w:rsidRPr="00F31A39" w:rsidRDefault="00EA3205" w:rsidP="00EA3205">
            <w:pPr>
              <w:rPr>
                <w:rFonts w:ascii="AcadNusx" w:hAnsi="AcadNusx"/>
                <w:sz w:val="20"/>
              </w:rPr>
            </w:pPr>
            <w:r w:rsidRPr="00F31A39">
              <w:rPr>
                <w:rFonts w:ascii="AcadNusx" w:hAnsi="AcadNusx"/>
                <w:sz w:val="20"/>
              </w:rPr>
              <w:t>36+559</w:t>
            </w:r>
          </w:p>
        </w:tc>
        <w:tc>
          <w:tcPr>
            <w:tcW w:w="1559" w:type="dxa"/>
            <w:tcBorders>
              <w:top w:val="nil"/>
              <w:left w:val="nil"/>
              <w:bottom w:val="single" w:sz="4" w:space="0" w:color="auto"/>
              <w:right w:val="single" w:sz="4" w:space="0" w:color="auto"/>
            </w:tcBorders>
            <w:noWrap/>
            <w:vAlign w:val="center"/>
            <w:hideMark/>
          </w:tcPr>
          <w:p w14:paraId="4D34A7EB"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781AC041"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354E6E4E"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r w:rsidR="00EA3205" w:rsidRPr="00B05F62" w14:paraId="78CB2B92" w14:textId="77777777" w:rsidTr="00F31A39">
        <w:tc>
          <w:tcPr>
            <w:tcW w:w="1281" w:type="dxa"/>
            <w:tcBorders>
              <w:top w:val="nil"/>
              <w:left w:val="single" w:sz="4" w:space="0" w:color="auto"/>
              <w:bottom w:val="single" w:sz="4" w:space="0" w:color="auto"/>
              <w:right w:val="single" w:sz="4" w:space="0" w:color="auto"/>
            </w:tcBorders>
            <w:noWrap/>
            <w:vAlign w:val="center"/>
            <w:hideMark/>
          </w:tcPr>
          <w:p w14:paraId="6C58039A" w14:textId="77777777" w:rsidR="00EA3205" w:rsidRPr="00F31A39" w:rsidRDefault="00EA3205" w:rsidP="00EA3205">
            <w:pPr>
              <w:rPr>
                <w:rFonts w:ascii="AcadNusx" w:hAnsi="AcadNusx"/>
                <w:sz w:val="20"/>
              </w:rPr>
            </w:pPr>
            <w:r w:rsidRPr="00F31A39">
              <w:rPr>
                <w:rFonts w:ascii="AcadNusx" w:hAnsi="AcadNusx"/>
                <w:sz w:val="20"/>
              </w:rPr>
              <w:t>36+585</w:t>
            </w:r>
          </w:p>
        </w:tc>
        <w:tc>
          <w:tcPr>
            <w:tcW w:w="1559" w:type="dxa"/>
            <w:tcBorders>
              <w:top w:val="nil"/>
              <w:left w:val="nil"/>
              <w:bottom w:val="single" w:sz="4" w:space="0" w:color="auto"/>
              <w:right w:val="single" w:sz="4" w:space="0" w:color="auto"/>
            </w:tcBorders>
            <w:noWrap/>
            <w:vAlign w:val="center"/>
            <w:hideMark/>
          </w:tcPr>
          <w:p w14:paraId="078F1EB7" w14:textId="77777777" w:rsidR="00EA3205" w:rsidRPr="00F31A39" w:rsidRDefault="00EA3205" w:rsidP="00EA3205">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14:paraId="1899F806" w14:textId="77777777" w:rsidR="00EA3205" w:rsidRPr="00F31A39" w:rsidRDefault="00EA3205" w:rsidP="00EA3205">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14:paraId="65CCB1BA" w14:textId="77777777" w:rsidR="00EA3205" w:rsidRPr="00F31A39" w:rsidRDefault="00EA3205" w:rsidP="00EA3205">
            <w:pPr>
              <w:rPr>
                <w:rFonts w:ascii="AcadNusx" w:hAnsi="AcadNusx"/>
                <w:sz w:val="20"/>
              </w:rPr>
            </w:pPr>
            <w:r w:rsidRPr="00F31A39">
              <w:rPr>
                <w:rFonts w:ascii="AcadNusx" w:hAnsi="AcadNusx"/>
                <w:sz w:val="20"/>
              </w:rPr>
              <w:t>dabali Zabvis sahaero e.g.x.</w:t>
            </w:r>
          </w:p>
        </w:tc>
      </w:tr>
    </w:tbl>
    <w:p w14:paraId="0EBC443D" w14:textId="77777777" w:rsidR="00EA3205" w:rsidRPr="00B05F62" w:rsidRDefault="00EA3205" w:rsidP="00ED417F">
      <w:pPr>
        <w:spacing w:before="120" w:after="120"/>
        <w:rPr>
          <w:rFonts w:ascii="AcadNusx" w:hAnsi="AcadNusx"/>
        </w:rPr>
      </w:pPr>
      <w:r w:rsidRPr="00B05F62">
        <w:rPr>
          <w:rFonts w:ascii="AcadNusx" w:hAnsi="AcadNusx"/>
        </w:rPr>
        <w:t>xazobrivi nagebobebis mdebareobis gamovlenasTan da gadatanasTan dakavSirebuli sakiTxebi gzebis departamentis, komunaluri kompaniebis da kontraqtorebis mzard SeSfoTebebs iwvevs, vinaidan gasxvisebis zolSi arsebul komunaluri daniSnulebis xazobriv nagebobebs SeuZliaT ganapirobon samuSaoebis msvlelobis dayovnebebi, usafrTxoebasTan dakavSirebuli riskebi, xarjebis zrda da damatebiTi uxerxulobebi Seuqmnan adgilobriv mosaxleobas.</w:t>
      </w:r>
    </w:p>
    <w:p w14:paraId="7B76E438" w14:textId="77777777" w:rsidR="00EA3205" w:rsidRPr="00B05F62" w:rsidRDefault="00EA3205" w:rsidP="00ED417F">
      <w:pPr>
        <w:spacing w:before="120" w:after="120"/>
        <w:rPr>
          <w:rFonts w:ascii="AcadNusx" w:hAnsi="AcadNusx"/>
        </w:rPr>
      </w:pPr>
      <w:r w:rsidRPr="00B05F62">
        <w:rPr>
          <w:rFonts w:ascii="AcadNusx" w:hAnsi="AcadNusx"/>
        </w:rPr>
        <w:lastRenderedPageBreak/>
        <w:t>proeqtis ganxorcieleba gaTvaliswinebulia ~proeqtireba-mSeneblobis~ tipis sakontraqto sqemiT, rac proeqtirebis da mSeneblobis erTdroulad warmoebis SesaZleblobas iZleva. proeqtirebis da mSeneblobis erT kontraqtSi gaerTianebis Sedegad, kontraqtors SeuZlia sakuTari SexedulebiT SearCios xazobrivi komunaluri nagebobebis gadatanis vadebi, Tumca imavdroulad igi pasuxismgebelia samSeneblo samuSaoebis dayovnebebze aseT obieqtebTan dakavSirebuli mizezebiT.</w:t>
      </w:r>
    </w:p>
    <w:p w14:paraId="72DEF3D8" w14:textId="77777777" w:rsidR="00EA3205" w:rsidRPr="00B05F62" w:rsidRDefault="00EA3205" w:rsidP="00ED417F">
      <w:pPr>
        <w:spacing w:before="120" w:after="120"/>
        <w:rPr>
          <w:rFonts w:ascii="AcadNusx" w:hAnsi="AcadNusx"/>
        </w:rPr>
      </w:pPr>
      <w:r w:rsidRPr="00B05F62">
        <w:rPr>
          <w:rFonts w:ascii="AcadNusx" w:hAnsi="AcadNusx"/>
        </w:rPr>
        <w:t>proeqtirebis da mSeneblobis kontraqtoris movaleobebSi Sedis arsebul xazobriv nagebobebTan (sainJinro komunikaciebTan) dakavSirebuli yvela samuSaos Sesruleba, romlebic aucilebelia saproeqto obieqtis gegmiuri ganvrcobis uzrunvelyofis mizniT. zogadad, aseTi samuSaoebis Sesrulebis Sedegad uzrunvelyofili unda iyos gadatanili komunikaciebis, sul cota, arsebuli komunikaciebis analogiurad funqcionireba. proeqtirebis da mSeneblobis kontraqtoris movaleobebi SeiZleba Semdegi saxiT Sejamdes:</w:t>
      </w:r>
    </w:p>
    <w:p w14:paraId="6E3DAAB0" w14:textId="77777777" w:rsidR="00EA3205" w:rsidRPr="00B05F62" w:rsidRDefault="00EA3205" w:rsidP="00ED417F">
      <w:pPr>
        <w:spacing w:before="120" w:after="120"/>
        <w:rPr>
          <w:rFonts w:ascii="AcadNusx" w:hAnsi="AcadNusx"/>
        </w:rPr>
      </w:pPr>
      <w:r w:rsidRPr="00B05F62">
        <w:rPr>
          <w:rFonts w:ascii="AcadNusx" w:hAnsi="AcadNusx"/>
        </w:rPr>
        <w:t>potenciuri xelSemSleli xazobrivi nagebobebis gamovlena, gadasatani xazobrivi nagebobebis mdebareobebis sxva aucilebeli monacemebis gadamowmeba;</w:t>
      </w:r>
    </w:p>
    <w:p w14:paraId="4ECA20A4" w14:textId="77777777" w:rsidR="00EA3205" w:rsidRPr="00B05F62" w:rsidRDefault="00EA3205" w:rsidP="00ED417F">
      <w:pPr>
        <w:spacing w:before="120" w:after="120"/>
        <w:rPr>
          <w:rFonts w:ascii="AcadNusx" w:hAnsi="AcadNusx"/>
        </w:rPr>
      </w:pPr>
      <w:r w:rsidRPr="00B05F62">
        <w:rPr>
          <w:rFonts w:ascii="AcadNusx" w:hAnsi="AcadNusx"/>
        </w:rPr>
        <w:t>gadasatani xazobrivi nagebobebis aRmoCenis SemTxvevaSi, romelic Tavdapirvelad ar iyo identificirebuli, yvela zomis miReba aseTi aqtivebis sakuTrebis monacemebis da masTan dakavSirebuli yvela sxva aucilebeli informaciis mosapoveblad;</w:t>
      </w:r>
    </w:p>
    <w:p w14:paraId="3B531369" w14:textId="77777777" w:rsidR="00EA3205" w:rsidRPr="00B05F62" w:rsidRDefault="00EA3205" w:rsidP="00ED417F">
      <w:pPr>
        <w:spacing w:before="120" w:after="120"/>
        <w:rPr>
          <w:rFonts w:ascii="AcadNusx" w:hAnsi="AcadNusx"/>
        </w:rPr>
      </w:pPr>
      <w:r w:rsidRPr="00B05F62">
        <w:rPr>
          <w:rFonts w:ascii="AcadNusx" w:hAnsi="AcadNusx"/>
        </w:rPr>
        <w:t>yovelgvari koordinireba xazobrivi nagebobebis mesakuTreebTan, ramdenadac saWiroa proeqtisTvis an Sesabamisi komunikaciebis gamarTulad muSaobisTvis;</w:t>
      </w:r>
    </w:p>
    <w:p w14:paraId="7D1C8932" w14:textId="77777777" w:rsidR="00EA3205" w:rsidRPr="00B05F62" w:rsidRDefault="00EA3205" w:rsidP="00ED417F">
      <w:pPr>
        <w:spacing w:before="120" w:after="120"/>
        <w:rPr>
          <w:rFonts w:ascii="AcadNusx" w:hAnsi="AcadNusx"/>
        </w:rPr>
      </w:pPr>
      <w:r w:rsidRPr="00B05F62">
        <w:rPr>
          <w:rFonts w:ascii="AcadNusx" w:hAnsi="AcadNusx"/>
        </w:rPr>
        <w:t>xazobrivi nagebobebis gadatanis daproeqteba da Sesruleba;</w:t>
      </w:r>
    </w:p>
    <w:p w14:paraId="4AC82C23" w14:textId="77777777" w:rsidR="00EA3205" w:rsidRPr="00B05F62" w:rsidRDefault="00EA3205" w:rsidP="00ED417F">
      <w:pPr>
        <w:spacing w:before="120" w:after="120"/>
        <w:rPr>
          <w:rFonts w:ascii="AcadNusx" w:hAnsi="AcadNusx"/>
        </w:rPr>
      </w:pPr>
      <w:r w:rsidRPr="00B05F62">
        <w:rPr>
          <w:rFonts w:ascii="AcadNusx" w:hAnsi="AcadNusx"/>
        </w:rPr>
        <w:t>Sesabamisi nebarTvebis mopovebisTvis saWiro yvela winaswari kvlevis Sesruleba, winaswari nebarTvis damadasturebeli dokumentaciis miReba da xazobrivi nagebobebis gadatanis/koreqtirebis da maTTan dakavSirebuli yvela samuSaos momcveli xelSekrulebebis momzadeba;</w:t>
      </w:r>
    </w:p>
    <w:p w14:paraId="7C5226FC" w14:textId="77777777" w:rsidR="00EA3205" w:rsidRPr="00B05F62" w:rsidRDefault="00EA3205" w:rsidP="00ED417F">
      <w:pPr>
        <w:spacing w:before="120" w:after="120"/>
        <w:rPr>
          <w:rFonts w:ascii="AcadNusx" w:hAnsi="AcadNusx"/>
        </w:rPr>
      </w:pPr>
      <w:r w:rsidRPr="00B05F62">
        <w:rPr>
          <w:rFonts w:ascii="AcadNusx" w:hAnsi="AcadNusx"/>
        </w:rPr>
        <w:t>saproeqto obieqtis aSenebis Sedegad mitovebuli yvela xazobrivi nagebobis moSla da gatana.</w:t>
      </w:r>
    </w:p>
    <w:p w14:paraId="1F0F4779" w14:textId="77777777" w:rsidR="00EA3205" w:rsidRPr="00B05F62" w:rsidRDefault="00EA3205" w:rsidP="00ED417F">
      <w:pPr>
        <w:spacing w:before="120" w:after="120"/>
        <w:rPr>
          <w:rFonts w:ascii="AcadNusx" w:hAnsi="AcadNusx"/>
        </w:rPr>
      </w:pPr>
      <w:r w:rsidRPr="00B05F62">
        <w:rPr>
          <w:rFonts w:ascii="AcadNusx" w:hAnsi="AcadNusx"/>
        </w:rPr>
        <w:t>mSeneblobis periodSi uzrunvelyofili unda iyos gadatanis saWiroebis armqone (adgilze dasatovebeli) xazobrivi nagebobebis dauzianebel mdgomareobaSi SenarCuneba da saTanadod dacva, risTvisac mSeneblobis dawyebamde unda gatardes saTanado RonisZiebebi.</w:t>
      </w:r>
    </w:p>
    <w:p w14:paraId="2CEE0D46" w14:textId="77777777" w:rsidR="00EA3205" w:rsidRPr="00B05F62" w:rsidRDefault="00EA3205" w:rsidP="00ED417F">
      <w:pPr>
        <w:spacing w:before="120" w:after="120"/>
        <w:rPr>
          <w:rFonts w:ascii="AcadNusx" w:hAnsi="AcadNusx"/>
        </w:rPr>
      </w:pPr>
      <w:r w:rsidRPr="00B05F62">
        <w:rPr>
          <w:rFonts w:ascii="AcadNusx" w:hAnsi="AcadNusx"/>
        </w:rPr>
        <w:t>sagzao moZraobis sameTvalyureo sistema</w:t>
      </w:r>
    </w:p>
    <w:p w14:paraId="1F8D6050" w14:textId="77777777" w:rsidR="00EA3205" w:rsidRPr="00B05F62" w:rsidRDefault="00EA3205" w:rsidP="00ED417F">
      <w:pPr>
        <w:spacing w:before="120" w:after="120"/>
        <w:rPr>
          <w:rFonts w:ascii="AcadNusx" w:hAnsi="AcadNusx"/>
        </w:rPr>
      </w:pPr>
      <w:r w:rsidRPr="00B05F62">
        <w:rPr>
          <w:rFonts w:ascii="AcadNusx" w:hAnsi="AcadNusx"/>
        </w:rPr>
        <w:t>gzebis departamenti gegmavs saproeqto gzis gaswvriv videosameTvalyureo sistemis damontaJebas. sagzao moZraobis sameTvalyureo videokamerebis daniSnulebaa sagzao moZraobis monitoringis warmoeba da potenciurad anomaluri situaciebis Tvalmidevneba.</w:t>
      </w:r>
    </w:p>
    <w:p w14:paraId="680A96E6" w14:textId="77777777" w:rsidR="00EA3205" w:rsidRPr="00B05F62" w:rsidRDefault="00EA3205" w:rsidP="00ED417F">
      <w:pPr>
        <w:spacing w:before="120" w:after="120"/>
        <w:rPr>
          <w:rFonts w:ascii="AcadNusx" w:hAnsi="AcadNusx"/>
        </w:rPr>
      </w:pPr>
      <w:r w:rsidRPr="00B05F62">
        <w:rPr>
          <w:rFonts w:ascii="AcadNusx" w:hAnsi="AcadNusx"/>
        </w:rPr>
        <w:t>sagzao moZraobis sameTvalyureo sistemis damontaJeba mimdinare proeqtiT gaTvaliswinebul samuSao moculobaSi ar Sedis, Tumca gzebis departaments surs sarezervo kabelsaterebis mowyoba samomavlo gamoyenebis mizniT. aRniSnulidan gamomdinare, gzis gverdulebis qveS Caiwyoba 50 mm-iani dawyvilebuli sakabelo arxebi da miax. 2 km-iani intervalebiT moewyoba saTanado Webi.</w:t>
      </w:r>
    </w:p>
    <w:p w14:paraId="794BEB1D" w14:textId="77777777" w:rsidR="00EA3205" w:rsidRPr="00F2480A" w:rsidRDefault="00EA3205" w:rsidP="00EA3205"/>
    <w:p w14:paraId="250916D5" w14:textId="3B7452B6" w:rsidR="00F8565C" w:rsidRPr="003D733D" w:rsidRDefault="00ED417F" w:rsidP="009E41F2">
      <w:pPr>
        <w:pStyle w:val="EIAheading2"/>
      </w:pPr>
      <w:bookmarkStart w:id="162" w:name="_Toc1581535"/>
      <w:r>
        <w:t>4.1</w:t>
      </w:r>
      <w:r w:rsidR="00142B71">
        <w:rPr>
          <w:rFonts w:ascii="Sylfaen" w:hAnsi="Sylfaen"/>
          <w:lang w:val="ka-GE"/>
        </w:rPr>
        <w:t>5</w:t>
      </w:r>
      <w:r>
        <w:t xml:space="preserve"> </w:t>
      </w:r>
      <w:r w:rsidR="00F8565C" w:rsidRPr="003D733D">
        <w:rPr>
          <w:rFonts w:ascii="Sylfaen" w:hAnsi="Sylfaen" w:cs="Sylfaen"/>
        </w:rPr>
        <w:t>კარიერები</w:t>
      </w:r>
      <w:bookmarkEnd w:id="102"/>
      <w:bookmarkEnd w:id="162"/>
    </w:p>
    <w:p w14:paraId="68BDA04D" w14:textId="77777777" w:rsidR="00F8565C" w:rsidRPr="003D733D" w:rsidRDefault="00F8565C" w:rsidP="009E41F2">
      <w:pPr>
        <w:spacing w:before="120" w:after="120"/>
      </w:pPr>
      <w:r w:rsidRPr="003D733D">
        <w:rPr>
          <w:rFonts w:ascii="Sylfaen" w:hAnsi="Sylfaen" w:cs="Sylfaen"/>
        </w:rPr>
        <w:t>გზის</w:t>
      </w:r>
      <w:r w:rsidRPr="003D733D">
        <w:t xml:space="preserve"> </w:t>
      </w:r>
      <w:r w:rsidRPr="003D733D">
        <w:rPr>
          <w:rFonts w:ascii="Sylfaen" w:hAnsi="Sylfaen" w:cs="Sylfaen"/>
        </w:rPr>
        <w:t>მშენებლობისას</w:t>
      </w:r>
      <w:r w:rsidRPr="003D733D">
        <w:t xml:space="preserve"> </w:t>
      </w:r>
      <w:r w:rsidRPr="003D733D">
        <w:rPr>
          <w:rFonts w:ascii="Sylfaen" w:hAnsi="Sylfaen" w:cs="Sylfaen"/>
        </w:rPr>
        <w:t>კონტრაკტორის</w:t>
      </w:r>
      <w:r w:rsidRPr="003D733D">
        <w:t xml:space="preserve"> </w:t>
      </w:r>
      <w:r w:rsidRPr="003D733D">
        <w:rPr>
          <w:rFonts w:ascii="Sylfaen" w:hAnsi="Sylfaen" w:cs="Sylfaen"/>
        </w:rPr>
        <w:t>მიერ</w:t>
      </w:r>
      <w:r w:rsidRPr="003D733D">
        <w:t xml:space="preserve"> </w:t>
      </w:r>
      <w:r w:rsidRPr="003D733D">
        <w:rPr>
          <w:rFonts w:ascii="Sylfaen" w:hAnsi="Sylfaen" w:cs="Sylfaen"/>
        </w:rPr>
        <w:t>იქნება</w:t>
      </w:r>
      <w:r w:rsidRPr="003D733D">
        <w:t xml:space="preserve"> </w:t>
      </w:r>
      <w:r w:rsidRPr="003D733D">
        <w:rPr>
          <w:rFonts w:ascii="Sylfaen" w:hAnsi="Sylfaen" w:cs="Sylfaen"/>
        </w:rPr>
        <w:t>შემოთავაზებული</w:t>
      </w:r>
      <w:r w:rsidRPr="003D733D">
        <w:t xml:space="preserve">: </w:t>
      </w:r>
      <w:r w:rsidRPr="003D733D">
        <w:rPr>
          <w:rFonts w:ascii="Sylfaen" w:hAnsi="Sylfaen" w:cs="Sylfaen"/>
        </w:rPr>
        <w:t>კარიერები</w:t>
      </w:r>
      <w:r w:rsidRPr="003D733D">
        <w:t xml:space="preserve">, </w:t>
      </w:r>
      <w:r w:rsidRPr="003D733D">
        <w:rPr>
          <w:rFonts w:ascii="Sylfaen" w:hAnsi="Sylfaen" w:cs="Sylfaen"/>
        </w:rPr>
        <w:t>მისასვლელი</w:t>
      </w:r>
      <w:r w:rsidRPr="003D733D">
        <w:t xml:space="preserve"> </w:t>
      </w:r>
      <w:r w:rsidRPr="003D733D">
        <w:rPr>
          <w:rFonts w:ascii="Sylfaen" w:hAnsi="Sylfaen" w:cs="Sylfaen"/>
        </w:rPr>
        <w:t>გზები</w:t>
      </w:r>
      <w:r w:rsidRPr="003D733D">
        <w:t xml:space="preserve">, </w:t>
      </w:r>
      <w:r w:rsidRPr="003D733D">
        <w:rPr>
          <w:rFonts w:ascii="Sylfaen" w:hAnsi="Sylfaen" w:cs="Sylfaen"/>
        </w:rPr>
        <w:t>ნაგავსაყრელები</w:t>
      </w:r>
      <w:r w:rsidRPr="003D733D">
        <w:t xml:space="preserve"> </w:t>
      </w:r>
      <w:r w:rsidRPr="003D733D">
        <w:rPr>
          <w:rFonts w:ascii="Sylfaen" w:hAnsi="Sylfaen" w:cs="Sylfaen"/>
        </w:rPr>
        <w:t>და</w:t>
      </w:r>
      <w:r w:rsidRPr="003D733D">
        <w:t xml:space="preserve"> </w:t>
      </w:r>
      <w:r w:rsidRPr="003D733D">
        <w:rPr>
          <w:rFonts w:ascii="Sylfaen" w:hAnsi="Sylfaen" w:cs="Sylfaen"/>
        </w:rPr>
        <w:t>ა</w:t>
      </w:r>
      <w:r w:rsidRPr="003D733D">
        <w:t>.</w:t>
      </w:r>
      <w:r w:rsidRPr="003D733D">
        <w:rPr>
          <w:rFonts w:ascii="Sylfaen" w:hAnsi="Sylfaen" w:cs="Sylfaen"/>
        </w:rPr>
        <w:t>შ</w:t>
      </w:r>
      <w:r w:rsidRPr="003D733D">
        <w:t xml:space="preserve">. </w:t>
      </w:r>
      <w:r w:rsidRPr="003D733D">
        <w:rPr>
          <w:rFonts w:ascii="Sylfaen" w:hAnsi="Sylfaen" w:cs="Sylfaen"/>
        </w:rPr>
        <w:t>პროექტის</w:t>
      </w:r>
      <w:r w:rsidRPr="003D733D">
        <w:t xml:space="preserve"> </w:t>
      </w:r>
      <w:r w:rsidRPr="003D733D">
        <w:rPr>
          <w:rFonts w:ascii="Sylfaen" w:hAnsi="Sylfaen" w:cs="Sylfaen"/>
        </w:rPr>
        <w:t>მსვლელობისას</w:t>
      </w:r>
      <w:r w:rsidRPr="003D733D">
        <w:t xml:space="preserve"> </w:t>
      </w:r>
      <w:r w:rsidRPr="003D733D">
        <w:rPr>
          <w:rFonts w:ascii="Sylfaen" w:hAnsi="Sylfaen" w:cs="Sylfaen"/>
        </w:rPr>
        <w:t>არცერთი</w:t>
      </w:r>
      <w:r w:rsidRPr="003D733D">
        <w:t xml:space="preserve"> </w:t>
      </w:r>
      <w:r w:rsidRPr="003D733D">
        <w:rPr>
          <w:rFonts w:ascii="Sylfaen" w:hAnsi="Sylfaen" w:cs="Sylfaen"/>
        </w:rPr>
        <w:t>არა</w:t>
      </w:r>
      <w:r w:rsidRPr="003D733D">
        <w:t xml:space="preserve"> </w:t>
      </w:r>
      <w:r w:rsidRPr="003D733D">
        <w:rPr>
          <w:rFonts w:ascii="Sylfaen" w:hAnsi="Sylfaen" w:cs="Sylfaen"/>
        </w:rPr>
        <w:t>ლეგალური</w:t>
      </w:r>
      <w:r w:rsidRPr="003D733D">
        <w:t xml:space="preserve"> </w:t>
      </w:r>
      <w:r w:rsidRPr="003D733D">
        <w:rPr>
          <w:rFonts w:ascii="Sylfaen" w:hAnsi="Sylfaen" w:cs="Sylfaen"/>
        </w:rPr>
        <w:t>წყარო</w:t>
      </w:r>
      <w:r w:rsidRPr="003D733D">
        <w:t xml:space="preserve"> </w:t>
      </w:r>
      <w:r w:rsidRPr="003D733D">
        <w:rPr>
          <w:rFonts w:ascii="Sylfaen" w:hAnsi="Sylfaen" w:cs="Sylfaen"/>
        </w:rPr>
        <w:t>არ</w:t>
      </w:r>
      <w:r w:rsidRPr="003D733D">
        <w:t xml:space="preserve"> </w:t>
      </w:r>
      <w:r w:rsidRPr="003D733D">
        <w:rPr>
          <w:rFonts w:ascii="Sylfaen" w:hAnsi="Sylfaen" w:cs="Sylfaen"/>
        </w:rPr>
        <w:t>იქნება</w:t>
      </w:r>
      <w:r w:rsidRPr="003D733D">
        <w:t xml:space="preserve"> </w:t>
      </w:r>
      <w:r w:rsidRPr="003D733D">
        <w:rPr>
          <w:rFonts w:ascii="Sylfaen" w:hAnsi="Sylfaen" w:cs="Sylfaen"/>
        </w:rPr>
        <w:t>გამოყენებული</w:t>
      </w:r>
      <w:r w:rsidRPr="003D733D">
        <w:t>.</w:t>
      </w:r>
    </w:p>
    <w:p w14:paraId="4DBB8948" w14:textId="77777777" w:rsidR="00F8565C" w:rsidRPr="003D733D" w:rsidRDefault="00F8565C" w:rsidP="009E41F2">
      <w:pPr>
        <w:spacing w:before="120" w:after="120"/>
      </w:pPr>
      <w:r w:rsidRPr="003D733D">
        <w:rPr>
          <w:rFonts w:ascii="Sylfaen" w:hAnsi="Sylfaen" w:cs="Sylfaen"/>
        </w:rPr>
        <w:t>კარიერების</w:t>
      </w:r>
      <w:r w:rsidRPr="003D733D">
        <w:t xml:space="preserve"> </w:t>
      </w:r>
      <w:r w:rsidRPr="003D733D">
        <w:rPr>
          <w:rFonts w:ascii="Sylfaen" w:hAnsi="Sylfaen" w:cs="Sylfaen"/>
        </w:rPr>
        <w:t>ადგილმდებარეობა</w:t>
      </w:r>
      <w:r w:rsidRPr="003D733D">
        <w:t xml:space="preserve"> </w:t>
      </w:r>
      <w:r w:rsidRPr="003D733D">
        <w:rPr>
          <w:rFonts w:ascii="Sylfaen" w:hAnsi="Sylfaen" w:cs="Sylfaen"/>
        </w:rPr>
        <w:t>შემოთავაზებული</w:t>
      </w:r>
      <w:r w:rsidRPr="003D733D">
        <w:t xml:space="preserve"> </w:t>
      </w:r>
      <w:r w:rsidRPr="003D733D">
        <w:rPr>
          <w:rFonts w:ascii="Sylfaen" w:hAnsi="Sylfaen" w:cs="Sylfaen"/>
        </w:rPr>
        <w:t>იქნება</w:t>
      </w:r>
      <w:r w:rsidRPr="003D733D">
        <w:t xml:space="preserve"> </w:t>
      </w:r>
      <w:r w:rsidRPr="003D733D">
        <w:rPr>
          <w:rFonts w:ascii="Sylfaen" w:hAnsi="Sylfaen" w:cs="Sylfaen"/>
        </w:rPr>
        <w:t>საინჟინრო</w:t>
      </w:r>
      <w:r w:rsidRPr="003D733D">
        <w:t xml:space="preserve"> </w:t>
      </w:r>
      <w:r w:rsidRPr="003D733D">
        <w:rPr>
          <w:rFonts w:ascii="Sylfaen" w:hAnsi="Sylfaen" w:cs="Sylfaen"/>
        </w:rPr>
        <w:t>გუნდის</w:t>
      </w:r>
      <w:r w:rsidRPr="003D733D">
        <w:t xml:space="preserve"> </w:t>
      </w:r>
      <w:r w:rsidRPr="003D733D">
        <w:rPr>
          <w:rFonts w:ascii="Sylfaen" w:hAnsi="Sylfaen" w:cs="Sylfaen"/>
        </w:rPr>
        <w:t>მიერ</w:t>
      </w:r>
      <w:r w:rsidRPr="003D733D">
        <w:t xml:space="preserve"> </w:t>
      </w:r>
      <w:r w:rsidRPr="003D733D">
        <w:rPr>
          <w:rFonts w:ascii="Sylfaen" w:hAnsi="Sylfaen" w:cs="Sylfaen"/>
        </w:rPr>
        <w:t>და</w:t>
      </w:r>
      <w:r w:rsidRPr="003D733D">
        <w:t xml:space="preserve"> </w:t>
      </w:r>
      <w:r w:rsidRPr="003D733D">
        <w:rPr>
          <w:rFonts w:ascii="Sylfaen" w:hAnsi="Sylfaen" w:cs="Sylfaen"/>
        </w:rPr>
        <w:t>პროექტების</w:t>
      </w:r>
      <w:r w:rsidRPr="003D733D">
        <w:t xml:space="preserve"> </w:t>
      </w:r>
      <w:r w:rsidRPr="003D733D">
        <w:rPr>
          <w:rFonts w:ascii="Sylfaen" w:hAnsi="Sylfaen" w:cs="Sylfaen"/>
        </w:rPr>
        <w:t>საბოლოო</w:t>
      </w:r>
      <w:r w:rsidRPr="003D733D">
        <w:t xml:space="preserve"> </w:t>
      </w:r>
      <w:r w:rsidRPr="003D733D">
        <w:rPr>
          <w:rFonts w:ascii="Sylfaen" w:hAnsi="Sylfaen" w:cs="Sylfaen"/>
        </w:rPr>
        <w:t>ეტაპზე</w:t>
      </w:r>
      <w:r w:rsidRPr="003D733D">
        <w:t xml:space="preserve">. </w:t>
      </w:r>
      <w:r w:rsidRPr="003D733D">
        <w:rPr>
          <w:rFonts w:ascii="Sylfaen" w:hAnsi="Sylfaen" w:cs="Sylfaen"/>
        </w:rPr>
        <w:t>კარიერების</w:t>
      </w:r>
      <w:r w:rsidRPr="003D733D">
        <w:t xml:space="preserve"> </w:t>
      </w:r>
      <w:r w:rsidRPr="003D733D">
        <w:rPr>
          <w:rFonts w:ascii="Sylfaen" w:hAnsi="Sylfaen" w:cs="Sylfaen"/>
        </w:rPr>
        <w:t>ექსპლოატაცია</w:t>
      </w:r>
      <w:r w:rsidRPr="003D733D">
        <w:t xml:space="preserve"> </w:t>
      </w:r>
      <w:r w:rsidRPr="003D733D">
        <w:rPr>
          <w:rFonts w:ascii="Sylfaen" w:hAnsi="Sylfaen" w:cs="Sylfaen"/>
        </w:rPr>
        <w:t>უნდა</w:t>
      </w:r>
      <w:r w:rsidRPr="003D733D">
        <w:t xml:space="preserve"> </w:t>
      </w:r>
      <w:r w:rsidRPr="003D733D">
        <w:rPr>
          <w:rFonts w:ascii="Sylfaen" w:hAnsi="Sylfaen" w:cs="Sylfaen"/>
        </w:rPr>
        <w:t>განხორციელდეს</w:t>
      </w:r>
      <w:r w:rsidRPr="003D733D">
        <w:t xml:space="preserve"> </w:t>
      </w:r>
      <w:r w:rsidRPr="003D733D">
        <w:rPr>
          <w:rFonts w:ascii="Sylfaen" w:hAnsi="Sylfaen" w:cs="Sylfaen"/>
        </w:rPr>
        <w:t>ლიცენზირებული</w:t>
      </w:r>
      <w:r w:rsidRPr="003D733D">
        <w:t xml:space="preserve"> </w:t>
      </w:r>
      <w:r w:rsidRPr="003D733D">
        <w:rPr>
          <w:rFonts w:ascii="Sylfaen" w:hAnsi="Sylfaen" w:cs="Sylfaen"/>
        </w:rPr>
        <w:t>კომპანიის</w:t>
      </w:r>
      <w:r w:rsidRPr="003D733D">
        <w:t xml:space="preserve"> </w:t>
      </w:r>
      <w:r w:rsidRPr="003D733D">
        <w:rPr>
          <w:rFonts w:ascii="Sylfaen" w:hAnsi="Sylfaen" w:cs="Sylfaen"/>
        </w:rPr>
        <w:t>ან</w:t>
      </w:r>
      <w:r w:rsidRPr="003D733D">
        <w:t xml:space="preserve"> </w:t>
      </w:r>
      <w:r w:rsidRPr="003D733D">
        <w:rPr>
          <w:rFonts w:ascii="Sylfaen" w:hAnsi="Sylfaen" w:cs="Sylfaen"/>
        </w:rPr>
        <w:lastRenderedPageBreak/>
        <w:t>სამშენებლო</w:t>
      </w:r>
      <w:r w:rsidRPr="003D733D">
        <w:t xml:space="preserve"> </w:t>
      </w:r>
      <w:r w:rsidRPr="003D733D">
        <w:rPr>
          <w:rFonts w:ascii="Sylfaen" w:hAnsi="Sylfaen" w:cs="Sylfaen"/>
        </w:rPr>
        <w:t>კონტრაქტორის</w:t>
      </w:r>
      <w:r w:rsidRPr="003D733D">
        <w:t xml:space="preserve"> </w:t>
      </w:r>
      <w:r w:rsidRPr="003D733D">
        <w:rPr>
          <w:rFonts w:ascii="Sylfaen" w:hAnsi="Sylfaen" w:cs="Sylfaen"/>
        </w:rPr>
        <w:t>მიერ</w:t>
      </w:r>
      <w:r w:rsidRPr="003D733D">
        <w:t xml:space="preserve">, </w:t>
      </w:r>
      <w:r w:rsidRPr="003D733D">
        <w:rPr>
          <w:rFonts w:ascii="Sylfaen" w:hAnsi="Sylfaen" w:cs="Sylfaen"/>
        </w:rPr>
        <w:t>რომელიც</w:t>
      </w:r>
      <w:r w:rsidRPr="003D733D">
        <w:t xml:space="preserve"> </w:t>
      </w:r>
      <w:r w:rsidRPr="003D733D">
        <w:rPr>
          <w:rFonts w:ascii="Sylfaen" w:hAnsi="Sylfaen" w:cs="Sylfaen"/>
        </w:rPr>
        <w:t>მიიღებს</w:t>
      </w:r>
      <w:r w:rsidRPr="003D733D">
        <w:t xml:space="preserve"> </w:t>
      </w:r>
      <w:r w:rsidRPr="003D733D">
        <w:rPr>
          <w:rFonts w:ascii="Sylfaen" w:hAnsi="Sylfaen" w:cs="Sylfaen"/>
        </w:rPr>
        <w:t>საკუთარ</w:t>
      </w:r>
      <w:r w:rsidRPr="003D733D">
        <w:t xml:space="preserve"> </w:t>
      </w:r>
      <w:r w:rsidRPr="003D733D">
        <w:rPr>
          <w:rFonts w:ascii="Sylfaen" w:hAnsi="Sylfaen" w:cs="Sylfaen"/>
        </w:rPr>
        <w:t>ლიცენზიას</w:t>
      </w:r>
      <w:r w:rsidRPr="003D733D">
        <w:t xml:space="preserve">. </w:t>
      </w:r>
      <w:r w:rsidRPr="003D733D">
        <w:rPr>
          <w:rFonts w:ascii="Sylfaen" w:hAnsi="Sylfaen" w:cs="Sylfaen"/>
        </w:rPr>
        <w:t>არსებობს</w:t>
      </w:r>
      <w:r w:rsidRPr="003D733D">
        <w:t xml:space="preserve"> </w:t>
      </w:r>
      <w:r w:rsidRPr="003D733D">
        <w:rPr>
          <w:rFonts w:ascii="Sylfaen" w:hAnsi="Sylfaen" w:cs="Sylfaen"/>
        </w:rPr>
        <w:t>კარიერების</w:t>
      </w:r>
      <w:r w:rsidRPr="003D733D">
        <w:t xml:space="preserve"> </w:t>
      </w:r>
      <w:r w:rsidRPr="003D733D">
        <w:rPr>
          <w:rFonts w:ascii="Sylfaen" w:hAnsi="Sylfaen" w:cs="Sylfaen"/>
        </w:rPr>
        <w:t>გამოყენებით</w:t>
      </w:r>
      <w:r w:rsidRPr="003D733D">
        <w:t xml:space="preserve"> </w:t>
      </w:r>
      <w:r w:rsidRPr="003D733D">
        <w:rPr>
          <w:rFonts w:ascii="Sylfaen" w:hAnsi="Sylfaen" w:cs="Sylfaen"/>
        </w:rPr>
        <w:t>გამოწვეული</w:t>
      </w:r>
      <w:r w:rsidRPr="003D733D">
        <w:t xml:space="preserve"> </w:t>
      </w:r>
      <w:r w:rsidRPr="003D733D">
        <w:rPr>
          <w:rFonts w:ascii="Sylfaen" w:hAnsi="Sylfaen" w:cs="Sylfaen"/>
        </w:rPr>
        <w:t>პოტენციური</w:t>
      </w:r>
      <w:r w:rsidRPr="003D733D">
        <w:t xml:space="preserve"> </w:t>
      </w:r>
      <w:r w:rsidRPr="003D733D">
        <w:rPr>
          <w:rFonts w:ascii="Sylfaen" w:hAnsi="Sylfaen" w:cs="Sylfaen"/>
        </w:rPr>
        <w:t>ზემოქმედებები</w:t>
      </w:r>
      <w:r w:rsidRPr="003D733D">
        <w:t xml:space="preserve"> </w:t>
      </w:r>
      <w:r w:rsidRPr="003D733D">
        <w:rPr>
          <w:rFonts w:ascii="Sylfaen" w:hAnsi="Sylfaen" w:cs="Sylfaen"/>
        </w:rPr>
        <w:t>მდინარის</w:t>
      </w:r>
      <w:r w:rsidRPr="003D733D">
        <w:t xml:space="preserve"> </w:t>
      </w:r>
      <w:r w:rsidRPr="003D733D">
        <w:rPr>
          <w:rFonts w:ascii="Sylfaen" w:hAnsi="Sylfaen" w:cs="Sylfaen"/>
        </w:rPr>
        <w:t>კალაპოტსა</w:t>
      </w:r>
      <w:r w:rsidRPr="003D733D">
        <w:t xml:space="preserve"> </w:t>
      </w:r>
      <w:r w:rsidRPr="003D733D">
        <w:rPr>
          <w:rFonts w:ascii="Sylfaen" w:hAnsi="Sylfaen" w:cs="Sylfaen"/>
        </w:rPr>
        <w:t>და</w:t>
      </w:r>
      <w:r w:rsidRPr="003D733D">
        <w:t xml:space="preserve"> </w:t>
      </w:r>
      <w:r w:rsidRPr="003D733D">
        <w:rPr>
          <w:rFonts w:ascii="Sylfaen" w:hAnsi="Sylfaen" w:cs="Sylfaen"/>
        </w:rPr>
        <w:t>ჭალის</w:t>
      </w:r>
      <w:r w:rsidRPr="003D733D">
        <w:t xml:space="preserve"> </w:t>
      </w:r>
      <w:r w:rsidRPr="003D733D">
        <w:rPr>
          <w:rFonts w:ascii="Sylfaen" w:hAnsi="Sylfaen" w:cs="Sylfaen"/>
        </w:rPr>
        <w:t>მდებარეობაზე</w:t>
      </w:r>
      <w:r w:rsidRPr="003D733D">
        <w:t>.</w:t>
      </w:r>
    </w:p>
    <w:p w14:paraId="2E8E6ACC" w14:textId="1542701F" w:rsidR="00F8565C" w:rsidRDefault="00F8565C" w:rsidP="009E41F2">
      <w:pPr>
        <w:spacing w:before="120" w:after="120"/>
      </w:pPr>
      <w:r w:rsidRPr="003D733D">
        <w:rPr>
          <w:rFonts w:ascii="Sylfaen" w:hAnsi="Sylfaen" w:cs="Sylfaen"/>
        </w:rPr>
        <w:t>დეტალური</w:t>
      </w:r>
      <w:r w:rsidRPr="003D733D">
        <w:t xml:space="preserve"> </w:t>
      </w:r>
      <w:r w:rsidRPr="003D733D">
        <w:rPr>
          <w:rFonts w:ascii="Sylfaen" w:hAnsi="Sylfaen" w:cs="Sylfaen"/>
        </w:rPr>
        <w:t>დაპროექტებისას</w:t>
      </w:r>
      <w:r w:rsidRPr="003D733D">
        <w:t xml:space="preserve"> </w:t>
      </w:r>
      <w:r w:rsidRPr="003D733D">
        <w:rPr>
          <w:rFonts w:ascii="Sylfaen" w:hAnsi="Sylfaen" w:cs="Sylfaen"/>
        </w:rPr>
        <w:t>შეირჩა</w:t>
      </w:r>
      <w:r w:rsidRPr="003D733D">
        <w:t xml:space="preserve"> </w:t>
      </w:r>
      <w:r w:rsidRPr="003D733D">
        <w:rPr>
          <w:rFonts w:ascii="Sylfaen" w:hAnsi="Sylfaen" w:cs="Sylfaen"/>
        </w:rPr>
        <w:t>ქვემოთ</w:t>
      </w:r>
      <w:r w:rsidRPr="003D733D">
        <w:t xml:space="preserve"> </w:t>
      </w:r>
      <w:r w:rsidRPr="003D733D">
        <w:rPr>
          <w:rFonts w:ascii="Sylfaen" w:hAnsi="Sylfaen" w:cs="Sylfaen"/>
        </w:rPr>
        <w:t>მოყვანილი</w:t>
      </w:r>
      <w:r w:rsidRPr="003D733D">
        <w:t xml:space="preserve"> </w:t>
      </w:r>
      <w:r w:rsidRPr="003D733D">
        <w:rPr>
          <w:rFonts w:ascii="Sylfaen" w:hAnsi="Sylfaen" w:cs="Sylfaen"/>
        </w:rPr>
        <w:t>კარიერები</w:t>
      </w:r>
      <w:r w:rsidRPr="003D733D">
        <w:t xml:space="preserve">, </w:t>
      </w:r>
      <w:r w:rsidRPr="003D733D">
        <w:rPr>
          <w:rFonts w:ascii="Sylfaen" w:hAnsi="Sylfaen" w:cs="Sylfaen"/>
        </w:rPr>
        <w:t>რომლებიც</w:t>
      </w:r>
      <w:r w:rsidRPr="003D733D">
        <w:t xml:space="preserve"> </w:t>
      </w:r>
      <w:r w:rsidRPr="003D733D">
        <w:rPr>
          <w:rFonts w:ascii="Sylfaen" w:hAnsi="Sylfaen" w:cs="Sylfaen"/>
        </w:rPr>
        <w:t>შესაძლოა</w:t>
      </w:r>
      <w:r w:rsidRPr="003D733D">
        <w:t xml:space="preserve"> </w:t>
      </w:r>
      <w:r w:rsidRPr="003D733D">
        <w:rPr>
          <w:rFonts w:ascii="Sylfaen" w:hAnsi="Sylfaen" w:cs="Sylfaen"/>
        </w:rPr>
        <w:t>გამოყენებულ</w:t>
      </w:r>
      <w:r w:rsidRPr="003D733D">
        <w:t xml:space="preserve"> </w:t>
      </w:r>
      <w:r w:rsidRPr="003D733D">
        <w:rPr>
          <w:rFonts w:ascii="Sylfaen" w:hAnsi="Sylfaen" w:cs="Sylfaen"/>
        </w:rPr>
        <w:t>იქნეს</w:t>
      </w:r>
      <w:r w:rsidRPr="003D733D">
        <w:t xml:space="preserve"> </w:t>
      </w:r>
      <w:r w:rsidRPr="003D733D">
        <w:rPr>
          <w:rFonts w:ascii="Sylfaen" w:hAnsi="Sylfaen" w:cs="Sylfaen"/>
        </w:rPr>
        <w:t>გზის</w:t>
      </w:r>
      <w:r w:rsidRPr="003D733D">
        <w:t xml:space="preserve"> </w:t>
      </w:r>
      <w:r w:rsidRPr="003D733D">
        <w:rPr>
          <w:rFonts w:ascii="Sylfaen" w:hAnsi="Sylfaen" w:cs="Sylfaen"/>
        </w:rPr>
        <w:t>მშენებლობისთვის</w:t>
      </w:r>
      <w:r w:rsidRPr="003D733D">
        <w:t xml:space="preserve"> </w:t>
      </w:r>
      <w:r w:rsidRPr="003D733D">
        <w:rPr>
          <w:rFonts w:ascii="Sylfaen" w:hAnsi="Sylfaen" w:cs="Sylfaen"/>
        </w:rPr>
        <w:t>აუცილებელი</w:t>
      </w:r>
      <w:r w:rsidRPr="003D733D">
        <w:t xml:space="preserve"> </w:t>
      </w:r>
      <w:r w:rsidRPr="003D733D">
        <w:rPr>
          <w:rFonts w:ascii="Sylfaen" w:hAnsi="Sylfaen" w:cs="Sylfaen"/>
        </w:rPr>
        <w:t>მასალის</w:t>
      </w:r>
      <w:r w:rsidRPr="003D733D">
        <w:t xml:space="preserve"> </w:t>
      </w:r>
      <w:r w:rsidRPr="003D733D">
        <w:rPr>
          <w:rFonts w:ascii="Sylfaen" w:hAnsi="Sylfaen" w:cs="Sylfaen"/>
        </w:rPr>
        <w:t>მისაწოდებლად</w:t>
      </w:r>
      <w:r w:rsidRPr="003D733D">
        <w:t xml:space="preserve">. </w:t>
      </w:r>
    </w:p>
    <w:p w14:paraId="30D40BE3" w14:textId="6D7981D6" w:rsidR="00980876" w:rsidRPr="003D733D" w:rsidRDefault="00980876" w:rsidP="009E41F2">
      <w:pPr>
        <w:spacing w:before="120" w:after="120"/>
      </w:pPr>
      <w:r>
        <w:rPr>
          <w:rFonts w:ascii="Times New Roman" w:hAnsi="Times New Roman"/>
          <w:noProof/>
          <w:lang w:val="en-US" w:eastAsia="en-US"/>
        </w:rPr>
        <w:drawing>
          <wp:inline distT="0" distB="0" distL="0" distR="0" wp14:anchorId="6976EF78" wp14:editId="27270735">
            <wp:extent cx="6353175" cy="3295290"/>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6361497" cy="3299606"/>
                    </a:xfrm>
                    <a:prstGeom prst="rect">
                      <a:avLst/>
                    </a:prstGeom>
                    <a:noFill/>
                    <a:ln>
                      <a:noFill/>
                    </a:ln>
                  </pic:spPr>
                </pic:pic>
              </a:graphicData>
            </a:graphic>
          </wp:inline>
        </w:drawing>
      </w:r>
    </w:p>
    <w:p w14:paraId="28A3CD35" w14:textId="186E5C0B" w:rsidR="00F8565C" w:rsidRPr="003D733D" w:rsidRDefault="00980876" w:rsidP="009E41F2">
      <w:pPr>
        <w:spacing w:before="120" w:after="120"/>
      </w:pPr>
      <w:r w:rsidRPr="004D31A1">
        <w:rPr>
          <w:rFonts w:ascii="Sylfaen" w:hAnsi="Sylfaen" w:cs="Sylfaen"/>
          <w:lang w:val="ka-GE"/>
        </w:rPr>
        <w:t>ცხრილი</w:t>
      </w:r>
      <w:r>
        <w:rPr>
          <w:rFonts w:ascii="Sylfaen" w:hAnsi="Sylfaen" w:cs="Sylfaen"/>
          <w:lang w:val="ka-GE"/>
        </w:rPr>
        <w:t xml:space="preserve"> 4.1</w:t>
      </w:r>
      <w:r w:rsidR="00142B71">
        <w:rPr>
          <w:rFonts w:ascii="Sylfaen" w:hAnsi="Sylfaen" w:cs="Sylfaen"/>
          <w:lang w:val="ka-GE"/>
        </w:rPr>
        <w:t>5</w:t>
      </w:r>
      <w:r>
        <w:rPr>
          <w:rFonts w:ascii="Sylfaen" w:hAnsi="Sylfaen" w:cs="Sylfaen"/>
          <w:lang w:val="ka-GE"/>
        </w:rPr>
        <w:t>-1</w:t>
      </w:r>
      <w:r w:rsidRPr="004D31A1">
        <w:rPr>
          <w:rFonts w:ascii="Times New Roman" w:hAnsi="Times New Roman"/>
          <w:lang w:val="ka-GE"/>
        </w:rPr>
        <w:t xml:space="preserve"> </w:t>
      </w:r>
      <w:r w:rsidRPr="004D31A1">
        <w:rPr>
          <w:rFonts w:ascii="Sylfaen" w:hAnsi="Sylfaen" w:cs="Sylfaen"/>
          <w:lang w:val="ka-GE"/>
        </w:rPr>
        <w:t>ს</w:t>
      </w:r>
      <w:r>
        <w:rPr>
          <w:rFonts w:ascii="Sylfaen" w:hAnsi="Sylfaen" w:cs="Sylfaen"/>
          <w:lang w:val="ka-GE"/>
        </w:rPr>
        <w:t>ა</w:t>
      </w:r>
      <w:r w:rsidRPr="004D31A1">
        <w:rPr>
          <w:rFonts w:ascii="Sylfaen" w:hAnsi="Sylfaen" w:cs="Sylfaen"/>
          <w:lang w:val="ka-GE"/>
        </w:rPr>
        <w:t>პროექტო</w:t>
      </w:r>
      <w:r>
        <w:rPr>
          <w:rFonts w:ascii="Sylfaen" w:hAnsi="Sylfaen" w:cs="Sylfaen"/>
          <w:lang w:val="ka-GE"/>
        </w:rPr>
        <w:t xml:space="preserve"> </w:t>
      </w:r>
      <w:r w:rsidRPr="004D31A1">
        <w:rPr>
          <w:rFonts w:ascii="Sylfaen" w:hAnsi="Sylfaen" w:cs="Sylfaen"/>
          <w:lang w:val="ka-GE"/>
        </w:rPr>
        <w:t>ობიექტთან</w:t>
      </w:r>
      <w:r>
        <w:rPr>
          <w:rFonts w:ascii="Sylfaen" w:hAnsi="Sylfaen" w:cs="Sylfaen"/>
          <w:lang w:val="ka-GE"/>
        </w:rPr>
        <w:t xml:space="preserve"> </w:t>
      </w:r>
      <w:r w:rsidRPr="004D31A1">
        <w:rPr>
          <w:rFonts w:ascii="Sylfaen" w:hAnsi="Sylfaen" w:cs="Sylfaen"/>
          <w:lang w:val="ka-GE"/>
        </w:rPr>
        <w:t>ახლოს</w:t>
      </w:r>
      <w:r>
        <w:rPr>
          <w:rFonts w:ascii="Sylfaen" w:hAnsi="Sylfaen" w:cs="Sylfaen"/>
          <w:lang w:val="ka-GE"/>
        </w:rPr>
        <w:t xml:space="preserve"> </w:t>
      </w:r>
      <w:r w:rsidRPr="004D31A1">
        <w:rPr>
          <w:rFonts w:ascii="Sylfaen" w:hAnsi="Sylfaen" w:cs="Sylfaen"/>
          <w:lang w:val="ka-GE"/>
        </w:rPr>
        <w:t>მდებარე</w:t>
      </w:r>
      <w:r>
        <w:rPr>
          <w:rFonts w:ascii="Sylfaen" w:hAnsi="Sylfaen" w:cs="Sylfaen"/>
          <w:lang w:val="ka-GE"/>
        </w:rPr>
        <w:t xml:space="preserve"> </w:t>
      </w:r>
      <w:r w:rsidRPr="004D31A1">
        <w:rPr>
          <w:rFonts w:ascii="Sylfaen" w:hAnsi="Sylfaen" w:cs="Sylfaen"/>
          <w:lang w:val="ka-GE"/>
        </w:rPr>
        <w:t>კარიერები</w:t>
      </w:r>
      <w:r>
        <w:rPr>
          <w:rFonts w:ascii="Sylfaen" w:hAnsi="Sylfaen" w:cs="Sylfaen"/>
          <w:lang w:val="ka-GE"/>
        </w:rPr>
        <w:t xml:space="preserve"> </w:t>
      </w:r>
      <w:r w:rsidR="00F8565C" w:rsidRPr="003D733D">
        <w:t xml:space="preserve"> </w:t>
      </w:r>
      <w:r w:rsidR="00F8565C" w:rsidRPr="003D733D">
        <w:rPr>
          <w:rFonts w:ascii="Sylfaen" w:hAnsi="Sylfaen" w:cs="Sylfaen"/>
        </w:rPr>
        <w:t>კარიერები</w:t>
      </w:r>
      <w:r w:rsidR="00F8565C" w:rsidRPr="003D733D">
        <w:t>:</w:t>
      </w:r>
    </w:p>
    <w:p w14:paraId="3C8C3B4B" w14:textId="77777777" w:rsidR="00F8565C" w:rsidRPr="003D733D" w:rsidRDefault="00F8565C" w:rsidP="00F8565C">
      <w:r w:rsidRPr="003D733D">
        <w:rPr>
          <w:rFonts w:ascii="Sylfaen" w:hAnsi="Sylfaen" w:cs="Sylfaen"/>
        </w:rPr>
        <w:t>მშენებლობისას</w:t>
      </w:r>
      <w:r w:rsidRPr="003D733D">
        <w:t xml:space="preserve"> </w:t>
      </w:r>
      <w:r w:rsidRPr="003D733D">
        <w:rPr>
          <w:rFonts w:ascii="Sylfaen" w:hAnsi="Sylfaen" w:cs="Sylfaen"/>
        </w:rPr>
        <w:t>კონტრაქტორმა</w:t>
      </w:r>
      <w:r w:rsidRPr="003D733D">
        <w:t xml:space="preserve"> </w:t>
      </w:r>
      <w:r w:rsidRPr="003D733D">
        <w:rPr>
          <w:rFonts w:ascii="Sylfaen" w:hAnsi="Sylfaen" w:cs="Sylfaen"/>
        </w:rPr>
        <w:t>უნდა</w:t>
      </w:r>
      <w:r w:rsidRPr="003D733D">
        <w:t xml:space="preserve"> </w:t>
      </w:r>
      <w:r w:rsidRPr="003D733D">
        <w:rPr>
          <w:rFonts w:ascii="Sylfaen" w:hAnsi="Sylfaen" w:cs="Sylfaen"/>
        </w:rPr>
        <w:t>შეამოწმოს</w:t>
      </w:r>
      <w:r w:rsidRPr="003D733D">
        <w:t xml:space="preserve"> </w:t>
      </w:r>
      <w:r w:rsidRPr="003D733D">
        <w:rPr>
          <w:rFonts w:ascii="Sylfaen" w:hAnsi="Sylfaen" w:cs="Sylfaen"/>
        </w:rPr>
        <w:t>მასალის</w:t>
      </w:r>
      <w:r w:rsidRPr="003D733D">
        <w:t xml:space="preserve"> </w:t>
      </w:r>
      <w:r w:rsidRPr="003D733D">
        <w:rPr>
          <w:rFonts w:ascii="Sylfaen" w:hAnsi="Sylfaen" w:cs="Sylfaen"/>
        </w:rPr>
        <w:t>პროექტისთვის</w:t>
      </w:r>
      <w:r w:rsidRPr="003D733D">
        <w:t xml:space="preserve"> </w:t>
      </w:r>
      <w:r w:rsidRPr="003D733D">
        <w:rPr>
          <w:rFonts w:ascii="Sylfaen" w:hAnsi="Sylfaen" w:cs="Sylfaen"/>
        </w:rPr>
        <w:t>ვარგისიანობა</w:t>
      </w:r>
      <w:r w:rsidRPr="003D733D">
        <w:t xml:space="preserve">. </w:t>
      </w:r>
      <w:r w:rsidRPr="003D733D">
        <w:rPr>
          <w:rFonts w:ascii="Sylfaen" w:hAnsi="Sylfaen" w:cs="Sylfaen"/>
        </w:rPr>
        <w:t>ამავდროულად</w:t>
      </w:r>
      <w:r w:rsidRPr="003D733D">
        <w:t xml:space="preserve"> </w:t>
      </w:r>
      <w:r w:rsidRPr="003D733D">
        <w:rPr>
          <w:rFonts w:ascii="Sylfaen" w:hAnsi="Sylfaen" w:cs="Sylfaen"/>
        </w:rPr>
        <w:t>კონტრაკტორმა</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გადაწყვიტოს</w:t>
      </w:r>
      <w:r w:rsidRPr="003D733D">
        <w:t xml:space="preserve"> </w:t>
      </w:r>
      <w:r w:rsidRPr="003D733D">
        <w:rPr>
          <w:rFonts w:ascii="Sylfaen" w:hAnsi="Sylfaen" w:cs="Sylfaen"/>
        </w:rPr>
        <w:t>ახალი</w:t>
      </w:r>
      <w:r w:rsidRPr="003D733D">
        <w:t xml:space="preserve"> </w:t>
      </w:r>
      <w:r w:rsidRPr="003D733D">
        <w:rPr>
          <w:rFonts w:ascii="Sylfaen" w:hAnsi="Sylfaen" w:cs="Sylfaen"/>
        </w:rPr>
        <w:t>წიაღითსარგებლობის</w:t>
      </w:r>
      <w:r w:rsidRPr="003D733D">
        <w:t xml:space="preserve"> </w:t>
      </w:r>
      <w:r w:rsidRPr="003D733D">
        <w:rPr>
          <w:rFonts w:ascii="Sylfaen" w:hAnsi="Sylfaen" w:cs="Sylfaen"/>
        </w:rPr>
        <w:t>ლიცენზიის</w:t>
      </w:r>
      <w:r w:rsidRPr="003D733D">
        <w:t xml:space="preserve"> </w:t>
      </w:r>
      <w:r w:rsidRPr="003D733D">
        <w:rPr>
          <w:rFonts w:ascii="Sylfaen" w:hAnsi="Sylfaen" w:cs="Sylfaen"/>
        </w:rPr>
        <w:t>მოპოვება</w:t>
      </w:r>
      <w:r w:rsidRPr="003D733D">
        <w:t>.</w:t>
      </w:r>
    </w:p>
    <w:p w14:paraId="6ACB7F44" w14:textId="77777777" w:rsidR="00F8565C" w:rsidRPr="003D733D" w:rsidRDefault="00F8565C" w:rsidP="00F8565C"/>
    <w:p w14:paraId="1BDE376F" w14:textId="02ED02BB" w:rsidR="00F8565C" w:rsidRPr="003D733D" w:rsidRDefault="00F8565C" w:rsidP="009E41F2">
      <w:pPr>
        <w:pStyle w:val="EIAheading2"/>
        <w:rPr>
          <w:lang w:val="ka-GE"/>
        </w:rPr>
      </w:pPr>
      <w:bookmarkStart w:id="163" w:name="_Toc529977375"/>
      <w:bookmarkStart w:id="164" w:name="_Toc1581536"/>
      <w:r w:rsidRPr="003D733D">
        <w:t>4.</w:t>
      </w:r>
      <w:r w:rsidR="009E41F2">
        <w:rPr>
          <w:lang w:val="ka-GE"/>
        </w:rPr>
        <w:t>1</w:t>
      </w:r>
      <w:r w:rsidR="00142B71">
        <w:rPr>
          <w:rFonts w:ascii="Sylfaen" w:hAnsi="Sylfaen"/>
          <w:lang w:val="ka-GE"/>
        </w:rPr>
        <w:t>6</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ნიშნები</w:t>
      </w:r>
      <w:r w:rsidRPr="003D733D">
        <w:t xml:space="preserve">, </w:t>
      </w:r>
      <w:r w:rsidRPr="003D733D">
        <w:rPr>
          <w:rFonts w:ascii="Sylfaen" w:hAnsi="Sylfaen" w:cs="Sylfaen"/>
        </w:rPr>
        <w:t>გზის</w:t>
      </w:r>
      <w:r w:rsidRPr="003D733D">
        <w:t xml:space="preserve"> </w:t>
      </w:r>
      <w:r w:rsidRPr="003D733D">
        <w:rPr>
          <w:rFonts w:ascii="Sylfaen" w:hAnsi="Sylfaen" w:cs="Sylfaen"/>
        </w:rPr>
        <w:t>მონიშვნა</w:t>
      </w:r>
      <w:r w:rsidRPr="003D733D">
        <w:t xml:space="preserve"> </w:t>
      </w:r>
      <w:r w:rsidRPr="003D733D">
        <w:rPr>
          <w:rFonts w:ascii="Sylfaen" w:hAnsi="Sylfaen" w:cs="Sylfaen"/>
        </w:rPr>
        <w:t>და</w:t>
      </w:r>
      <w:r w:rsidRPr="003D733D">
        <w:t xml:space="preserve"> </w:t>
      </w:r>
      <w:r w:rsidRPr="003D733D">
        <w:rPr>
          <w:rFonts w:ascii="Sylfaen" w:hAnsi="Sylfaen" w:cs="Sylfaen"/>
        </w:rPr>
        <w:t>გზის</w:t>
      </w:r>
      <w:r w:rsidRPr="003D733D">
        <w:t xml:space="preserve"> </w:t>
      </w:r>
      <w:r w:rsidRPr="003D733D">
        <w:rPr>
          <w:rFonts w:ascii="Sylfaen" w:hAnsi="Sylfaen" w:cs="Sylfaen"/>
        </w:rPr>
        <w:t>სხვა</w:t>
      </w:r>
      <w:r w:rsidRPr="003D733D">
        <w:t xml:space="preserve"> </w:t>
      </w:r>
      <w:r w:rsidRPr="003D733D">
        <w:rPr>
          <w:rFonts w:ascii="Sylfaen" w:hAnsi="Sylfaen" w:cs="Sylfaen"/>
        </w:rPr>
        <w:t>კუთვნილება</w:t>
      </w:r>
      <w:r w:rsidRPr="003D733D">
        <w:t>/</w:t>
      </w:r>
      <w:r w:rsidRPr="003D733D">
        <w:rPr>
          <w:rFonts w:ascii="Sylfaen" w:hAnsi="Sylfaen" w:cs="Sylfaen"/>
        </w:rPr>
        <w:t>მოწყობა</w:t>
      </w:r>
      <w:bookmarkEnd w:id="163"/>
      <w:bookmarkEnd w:id="164"/>
      <w:r w:rsidRPr="003D733D">
        <w:t xml:space="preserve"> </w:t>
      </w:r>
    </w:p>
    <w:p w14:paraId="37016E2C" w14:textId="77777777" w:rsidR="00F8565C" w:rsidRPr="003D733D" w:rsidRDefault="00F8565C" w:rsidP="00F8565C">
      <w:pPr>
        <w:rPr>
          <w:lang w:eastAsia="en-US"/>
        </w:rPr>
      </w:pPr>
      <w:r w:rsidRPr="003D733D">
        <w:rPr>
          <w:rFonts w:ascii="Sylfaen" w:eastAsiaTheme="minorHAnsi" w:hAnsi="Sylfaen" w:cs="Sylfaen"/>
        </w:rPr>
        <w:t>სატრანსპორტო</w:t>
      </w:r>
      <w:r w:rsidRPr="003D733D">
        <w:rPr>
          <w:rFonts w:eastAsiaTheme="minorHAnsi"/>
        </w:rPr>
        <w:t xml:space="preserve"> </w:t>
      </w:r>
      <w:r w:rsidRPr="003D733D">
        <w:rPr>
          <w:rFonts w:ascii="Sylfaen" w:eastAsiaTheme="minorHAnsi" w:hAnsi="Sylfaen" w:cs="Sylfaen"/>
        </w:rPr>
        <w:t>მოძრაობის</w:t>
      </w:r>
      <w:r w:rsidRPr="003D733D">
        <w:rPr>
          <w:rFonts w:eastAsiaTheme="minorHAnsi"/>
        </w:rPr>
        <w:t xml:space="preserve"> </w:t>
      </w:r>
      <w:r w:rsidRPr="003D733D">
        <w:rPr>
          <w:rFonts w:ascii="Sylfaen" w:eastAsiaTheme="minorHAnsi" w:hAnsi="Sylfaen" w:cs="Sylfaen"/>
        </w:rPr>
        <w:t>კონტროლისა</w:t>
      </w:r>
      <w:r w:rsidRPr="003D733D">
        <w:rPr>
          <w:rFonts w:eastAsiaTheme="minorHAnsi"/>
        </w:rPr>
        <w:t xml:space="preserve"> </w:t>
      </w:r>
      <w:r w:rsidRPr="003D733D">
        <w:rPr>
          <w:rFonts w:ascii="Sylfaen" w:eastAsiaTheme="minorHAnsi" w:hAnsi="Sylfaen" w:cs="Sylfaen"/>
        </w:rPr>
        <w:t>და</w:t>
      </w:r>
      <w:r w:rsidRPr="003D733D">
        <w:rPr>
          <w:rFonts w:eastAsiaTheme="minorHAnsi"/>
        </w:rPr>
        <w:t xml:space="preserve"> </w:t>
      </w:r>
      <w:r w:rsidRPr="003D733D">
        <w:rPr>
          <w:rFonts w:ascii="Sylfaen" w:eastAsiaTheme="minorHAnsi" w:hAnsi="Sylfaen" w:cs="Sylfaen"/>
        </w:rPr>
        <w:t>უსაფრთხოების</w:t>
      </w:r>
      <w:r w:rsidRPr="003D733D">
        <w:rPr>
          <w:rFonts w:eastAsiaTheme="minorHAnsi"/>
        </w:rPr>
        <w:t xml:space="preserve"> </w:t>
      </w:r>
      <w:r w:rsidRPr="003D733D">
        <w:rPr>
          <w:rFonts w:ascii="Sylfaen" w:eastAsiaTheme="minorHAnsi" w:hAnsi="Sylfaen" w:cs="Sylfaen"/>
        </w:rPr>
        <w:t>უზრუნველყოფის</w:t>
      </w:r>
      <w:r w:rsidRPr="003D733D">
        <w:rPr>
          <w:rFonts w:eastAsiaTheme="minorHAnsi"/>
        </w:rPr>
        <w:t xml:space="preserve">  </w:t>
      </w:r>
      <w:r w:rsidRPr="003D733D">
        <w:rPr>
          <w:rFonts w:ascii="Sylfaen" w:eastAsiaTheme="minorHAnsi" w:hAnsi="Sylfaen" w:cs="Sylfaen"/>
        </w:rPr>
        <w:t>მიზნით</w:t>
      </w:r>
      <w:r w:rsidRPr="003D733D">
        <w:rPr>
          <w:rFonts w:eastAsiaTheme="minorHAnsi"/>
        </w:rPr>
        <w:t xml:space="preserve"> </w:t>
      </w:r>
      <w:r w:rsidRPr="003D733D">
        <w:rPr>
          <w:rFonts w:ascii="Sylfaen" w:eastAsiaTheme="minorHAnsi" w:hAnsi="Sylfaen" w:cs="Sylfaen"/>
        </w:rPr>
        <w:t>გზის</w:t>
      </w:r>
      <w:r w:rsidRPr="003D733D">
        <w:rPr>
          <w:rFonts w:eastAsiaTheme="minorHAnsi"/>
        </w:rPr>
        <w:t xml:space="preserve"> </w:t>
      </w:r>
      <w:r w:rsidRPr="003D733D">
        <w:rPr>
          <w:rFonts w:ascii="Sylfaen" w:eastAsiaTheme="minorHAnsi" w:hAnsi="Sylfaen" w:cs="Sylfaen"/>
        </w:rPr>
        <w:t>პროექტი</w:t>
      </w:r>
      <w:r w:rsidRPr="003D733D">
        <w:rPr>
          <w:rFonts w:eastAsiaTheme="minorHAnsi"/>
        </w:rPr>
        <w:t xml:space="preserve"> </w:t>
      </w:r>
      <w:r w:rsidRPr="003D733D">
        <w:rPr>
          <w:rFonts w:ascii="Sylfaen" w:eastAsiaTheme="minorHAnsi" w:hAnsi="Sylfaen" w:cs="Sylfaen"/>
        </w:rPr>
        <w:t>ითვალისწინებს</w:t>
      </w:r>
      <w:r w:rsidRPr="003D733D">
        <w:rPr>
          <w:rFonts w:eastAsiaTheme="minorHAnsi"/>
        </w:rPr>
        <w:t xml:space="preserve"> </w:t>
      </w:r>
      <w:r w:rsidRPr="003D733D">
        <w:rPr>
          <w:rFonts w:ascii="Sylfaen" w:eastAsiaTheme="minorHAnsi" w:hAnsi="Sylfaen" w:cs="Sylfaen"/>
        </w:rPr>
        <w:t>გამყოფი</w:t>
      </w:r>
      <w:r w:rsidRPr="003D733D">
        <w:rPr>
          <w:rFonts w:eastAsiaTheme="minorHAnsi"/>
        </w:rPr>
        <w:t xml:space="preserve"> </w:t>
      </w:r>
      <w:r w:rsidRPr="003D733D">
        <w:rPr>
          <w:rFonts w:ascii="Sylfaen" w:eastAsiaTheme="minorHAnsi" w:hAnsi="Sylfaen" w:cs="Sylfaen"/>
        </w:rPr>
        <w:t>ზოლების</w:t>
      </w:r>
      <w:r w:rsidRPr="003D733D">
        <w:rPr>
          <w:rFonts w:eastAsiaTheme="minorHAnsi"/>
        </w:rPr>
        <w:t xml:space="preserve"> </w:t>
      </w:r>
      <w:r w:rsidRPr="003D733D">
        <w:rPr>
          <w:rFonts w:ascii="Sylfaen" w:eastAsiaTheme="minorHAnsi" w:hAnsi="Sylfaen" w:cs="Sylfaen"/>
        </w:rPr>
        <w:t>მოწყობას</w:t>
      </w:r>
      <w:r w:rsidRPr="003D733D">
        <w:rPr>
          <w:rFonts w:eastAsiaTheme="minorHAnsi"/>
        </w:rPr>
        <w:t xml:space="preserve">, </w:t>
      </w:r>
      <w:r w:rsidRPr="003D733D">
        <w:rPr>
          <w:rFonts w:ascii="Sylfaen" w:eastAsiaTheme="minorHAnsi" w:hAnsi="Sylfaen" w:cs="Sylfaen"/>
        </w:rPr>
        <w:t>საგზაო</w:t>
      </w:r>
      <w:r w:rsidRPr="003D733D">
        <w:rPr>
          <w:rFonts w:eastAsiaTheme="minorHAnsi"/>
        </w:rPr>
        <w:t xml:space="preserve"> </w:t>
      </w:r>
      <w:r w:rsidRPr="003D733D">
        <w:rPr>
          <w:rFonts w:ascii="Sylfaen" w:eastAsiaTheme="minorHAnsi" w:hAnsi="Sylfaen" w:cs="Sylfaen"/>
        </w:rPr>
        <w:t>მოძრაობის</w:t>
      </w:r>
      <w:r w:rsidRPr="003D733D">
        <w:rPr>
          <w:rFonts w:eastAsiaTheme="minorHAnsi"/>
        </w:rPr>
        <w:t xml:space="preserve"> </w:t>
      </w:r>
      <w:r w:rsidRPr="003D733D">
        <w:rPr>
          <w:rFonts w:ascii="Sylfaen" w:eastAsiaTheme="minorHAnsi" w:hAnsi="Sylfaen" w:cs="Sylfaen"/>
        </w:rPr>
        <w:t>ნიშნების</w:t>
      </w:r>
      <w:r w:rsidRPr="003D733D">
        <w:rPr>
          <w:rFonts w:eastAsiaTheme="minorHAnsi"/>
        </w:rPr>
        <w:t xml:space="preserve"> </w:t>
      </w:r>
      <w:r w:rsidRPr="003D733D">
        <w:rPr>
          <w:rFonts w:ascii="Sylfaen" w:eastAsiaTheme="minorHAnsi" w:hAnsi="Sylfaen" w:cs="Sylfaen"/>
        </w:rPr>
        <w:t>მონტაჟს</w:t>
      </w:r>
      <w:r w:rsidRPr="003D733D">
        <w:rPr>
          <w:rFonts w:eastAsiaTheme="minorHAnsi"/>
        </w:rPr>
        <w:t xml:space="preserve">, </w:t>
      </w:r>
      <w:r w:rsidRPr="003D733D">
        <w:rPr>
          <w:rFonts w:ascii="Sylfaen" w:eastAsiaTheme="minorHAnsi" w:hAnsi="Sylfaen" w:cs="Sylfaen"/>
        </w:rPr>
        <w:t>სავალი</w:t>
      </w:r>
      <w:r w:rsidRPr="003D733D">
        <w:rPr>
          <w:rFonts w:eastAsiaTheme="minorHAnsi"/>
        </w:rPr>
        <w:t xml:space="preserve"> </w:t>
      </w:r>
      <w:r w:rsidRPr="003D733D">
        <w:rPr>
          <w:rFonts w:ascii="Sylfaen" w:eastAsiaTheme="minorHAnsi" w:hAnsi="Sylfaen" w:cs="Sylfaen"/>
        </w:rPr>
        <w:t>ნაწილის</w:t>
      </w:r>
      <w:r w:rsidRPr="003D733D">
        <w:rPr>
          <w:rFonts w:eastAsiaTheme="minorHAnsi"/>
        </w:rPr>
        <w:t xml:space="preserve"> </w:t>
      </w:r>
      <w:r w:rsidRPr="003D733D">
        <w:rPr>
          <w:rFonts w:ascii="Sylfaen" w:eastAsiaTheme="minorHAnsi" w:hAnsi="Sylfaen" w:cs="Sylfaen"/>
        </w:rPr>
        <w:t>მონიშვნას</w:t>
      </w:r>
      <w:r w:rsidRPr="003D733D">
        <w:rPr>
          <w:rFonts w:eastAsiaTheme="minorHAnsi"/>
        </w:rPr>
        <w:t xml:space="preserve">,  </w:t>
      </w:r>
      <w:r w:rsidRPr="003D733D">
        <w:rPr>
          <w:rFonts w:ascii="Sylfaen" w:eastAsiaTheme="minorHAnsi" w:hAnsi="Sylfaen" w:cs="Sylfaen"/>
        </w:rPr>
        <w:t>მოაჯირებისა</w:t>
      </w:r>
      <w:r w:rsidRPr="003D733D">
        <w:rPr>
          <w:rFonts w:eastAsiaTheme="minorHAnsi"/>
        </w:rPr>
        <w:t xml:space="preserve"> </w:t>
      </w:r>
      <w:r w:rsidRPr="003D733D">
        <w:rPr>
          <w:rFonts w:ascii="Sylfaen" w:eastAsiaTheme="minorHAnsi" w:hAnsi="Sylfaen" w:cs="Sylfaen"/>
        </w:rPr>
        <w:t>და</w:t>
      </w:r>
      <w:r w:rsidRPr="003D733D">
        <w:rPr>
          <w:rFonts w:eastAsiaTheme="minorHAnsi"/>
        </w:rPr>
        <w:t xml:space="preserve"> </w:t>
      </w:r>
      <w:r w:rsidRPr="003D733D">
        <w:rPr>
          <w:rFonts w:ascii="Sylfaen" w:eastAsiaTheme="minorHAnsi" w:hAnsi="Sylfaen" w:cs="Sylfaen"/>
        </w:rPr>
        <w:t>გზის</w:t>
      </w:r>
      <w:r w:rsidRPr="003D733D">
        <w:rPr>
          <w:rFonts w:eastAsiaTheme="minorHAnsi"/>
        </w:rPr>
        <w:t xml:space="preserve"> </w:t>
      </w:r>
      <w:r w:rsidRPr="003D733D">
        <w:rPr>
          <w:rFonts w:ascii="Sylfaen" w:eastAsiaTheme="minorHAnsi" w:hAnsi="Sylfaen" w:cs="Sylfaen"/>
        </w:rPr>
        <w:t>მიმართულების</w:t>
      </w:r>
      <w:r w:rsidRPr="003D733D">
        <w:rPr>
          <w:rFonts w:eastAsiaTheme="minorHAnsi"/>
        </w:rPr>
        <w:t xml:space="preserve"> </w:t>
      </w:r>
      <w:r w:rsidRPr="003D733D">
        <w:rPr>
          <w:rFonts w:ascii="Sylfaen" w:eastAsiaTheme="minorHAnsi" w:hAnsi="Sylfaen" w:cs="Sylfaen"/>
        </w:rPr>
        <w:t>მაჩვენებელი</w:t>
      </w:r>
      <w:r w:rsidRPr="003D733D">
        <w:rPr>
          <w:rFonts w:eastAsiaTheme="minorHAnsi"/>
        </w:rPr>
        <w:t xml:space="preserve"> </w:t>
      </w:r>
      <w:r w:rsidRPr="003D733D">
        <w:rPr>
          <w:rFonts w:ascii="Sylfaen" w:eastAsiaTheme="minorHAnsi" w:hAnsi="Sylfaen" w:cs="Sylfaen"/>
        </w:rPr>
        <w:t>ბოძების</w:t>
      </w:r>
      <w:r w:rsidRPr="003D733D">
        <w:rPr>
          <w:rFonts w:eastAsiaTheme="minorHAnsi"/>
        </w:rPr>
        <w:t xml:space="preserve"> </w:t>
      </w:r>
      <w:r w:rsidRPr="003D733D">
        <w:rPr>
          <w:rFonts w:ascii="Sylfaen" w:eastAsiaTheme="minorHAnsi" w:hAnsi="Sylfaen" w:cs="Sylfaen"/>
        </w:rPr>
        <w:t>მოწყობას</w:t>
      </w:r>
      <w:r w:rsidRPr="003D733D">
        <w:rPr>
          <w:rFonts w:eastAsiaTheme="minorHAnsi"/>
        </w:rPr>
        <w:t xml:space="preserve">.  </w:t>
      </w:r>
    </w:p>
    <w:p w14:paraId="4CEC6773" w14:textId="77777777" w:rsidR="00F8565C" w:rsidRPr="003D733D" w:rsidRDefault="00F8565C" w:rsidP="00F8565C">
      <w:pPr>
        <w:rPr>
          <w:rFonts w:eastAsiaTheme="minorHAnsi"/>
        </w:rPr>
      </w:pPr>
      <w:r w:rsidRPr="003D733D">
        <w:rPr>
          <w:rFonts w:ascii="Sylfaen" w:eastAsiaTheme="minorHAnsi" w:hAnsi="Sylfaen" w:cs="Sylfaen"/>
        </w:rPr>
        <w:t>მოძრაობის</w:t>
      </w:r>
      <w:r w:rsidRPr="003D733D">
        <w:rPr>
          <w:rFonts w:eastAsiaTheme="minorHAnsi"/>
        </w:rPr>
        <w:t xml:space="preserve"> </w:t>
      </w:r>
      <w:r w:rsidRPr="003D733D">
        <w:rPr>
          <w:rFonts w:ascii="Sylfaen" w:eastAsiaTheme="minorHAnsi" w:hAnsi="Sylfaen" w:cs="Sylfaen"/>
        </w:rPr>
        <w:t>ნიშნები</w:t>
      </w:r>
      <w:r w:rsidRPr="003D733D">
        <w:rPr>
          <w:rFonts w:eastAsiaTheme="minorHAnsi"/>
        </w:rPr>
        <w:t xml:space="preserve"> </w:t>
      </w:r>
      <w:r w:rsidRPr="003D733D">
        <w:rPr>
          <w:rFonts w:ascii="Sylfaen" w:eastAsiaTheme="minorHAnsi" w:hAnsi="Sylfaen" w:cs="Sylfaen"/>
        </w:rPr>
        <w:t>დაყენებული</w:t>
      </w:r>
      <w:r w:rsidRPr="003D733D">
        <w:rPr>
          <w:rFonts w:eastAsiaTheme="minorHAnsi"/>
        </w:rPr>
        <w:t xml:space="preserve"> </w:t>
      </w:r>
      <w:r w:rsidRPr="003D733D">
        <w:rPr>
          <w:rFonts w:ascii="Sylfaen" w:eastAsiaTheme="minorHAnsi" w:hAnsi="Sylfaen" w:cs="Sylfaen"/>
        </w:rPr>
        <w:t>იქნება</w:t>
      </w:r>
      <w:r w:rsidRPr="003D733D">
        <w:rPr>
          <w:rFonts w:eastAsiaTheme="minorHAnsi"/>
        </w:rPr>
        <w:t xml:space="preserve"> GOST 14918-80, GOST Р 52289-2004,  GOST Р 52290-2004 </w:t>
      </w:r>
      <w:r w:rsidRPr="003D733D">
        <w:rPr>
          <w:rFonts w:ascii="Sylfaen" w:eastAsiaTheme="minorHAnsi" w:hAnsi="Sylfaen" w:cs="Sylfaen"/>
        </w:rPr>
        <w:t>სტანდარტის</w:t>
      </w:r>
      <w:r w:rsidRPr="003D733D">
        <w:rPr>
          <w:rFonts w:eastAsiaTheme="minorHAnsi"/>
        </w:rPr>
        <w:t xml:space="preserve"> </w:t>
      </w:r>
      <w:r w:rsidRPr="003D733D">
        <w:rPr>
          <w:rFonts w:ascii="Sylfaen" w:eastAsiaTheme="minorHAnsi" w:hAnsi="Sylfaen" w:cs="Sylfaen"/>
        </w:rPr>
        <w:t>მოთხოვნების</w:t>
      </w:r>
      <w:r w:rsidRPr="003D733D">
        <w:rPr>
          <w:rFonts w:eastAsiaTheme="minorHAnsi"/>
        </w:rPr>
        <w:t xml:space="preserve"> </w:t>
      </w:r>
      <w:r w:rsidRPr="003D733D">
        <w:rPr>
          <w:rFonts w:ascii="Sylfaen" w:eastAsiaTheme="minorHAnsi" w:hAnsi="Sylfaen" w:cs="Sylfaen"/>
        </w:rPr>
        <w:t>და</w:t>
      </w:r>
      <w:r w:rsidRPr="003D733D">
        <w:rPr>
          <w:rFonts w:eastAsiaTheme="minorHAnsi"/>
        </w:rPr>
        <w:t xml:space="preserve"> ISO/EN, ASTM </w:t>
      </w:r>
      <w:r w:rsidRPr="003D733D">
        <w:rPr>
          <w:rFonts w:ascii="Sylfaen" w:eastAsiaTheme="minorHAnsi" w:hAnsi="Sylfaen" w:cs="Sylfaen"/>
        </w:rPr>
        <w:t>სტანდარტების</w:t>
      </w:r>
      <w:r w:rsidRPr="003D733D">
        <w:rPr>
          <w:rFonts w:eastAsiaTheme="minorHAnsi"/>
        </w:rPr>
        <w:t xml:space="preserve"> </w:t>
      </w:r>
      <w:r w:rsidRPr="003D733D">
        <w:rPr>
          <w:rFonts w:ascii="Sylfaen" w:eastAsiaTheme="minorHAnsi" w:hAnsi="Sylfaen" w:cs="Sylfaen"/>
        </w:rPr>
        <w:t>შესაბამისად</w:t>
      </w:r>
      <w:r w:rsidRPr="003D733D">
        <w:rPr>
          <w:rFonts w:eastAsiaTheme="minorHAnsi"/>
        </w:rPr>
        <w:t xml:space="preserve">. </w:t>
      </w:r>
    </w:p>
    <w:p w14:paraId="24497BF9" w14:textId="77777777" w:rsidR="00F8565C" w:rsidRPr="003D733D" w:rsidRDefault="00F8565C" w:rsidP="00F8565C">
      <w:pPr>
        <w:rPr>
          <w:rFonts w:eastAsiaTheme="minorHAnsi"/>
        </w:rPr>
      </w:pPr>
      <w:r w:rsidRPr="003D733D">
        <w:rPr>
          <w:rFonts w:ascii="Sylfaen" w:eastAsiaTheme="minorHAnsi" w:hAnsi="Sylfaen" w:cs="Sylfaen"/>
        </w:rPr>
        <w:t>სავალი</w:t>
      </w:r>
      <w:r w:rsidRPr="003D733D">
        <w:rPr>
          <w:rFonts w:eastAsiaTheme="minorHAnsi"/>
        </w:rPr>
        <w:t xml:space="preserve"> </w:t>
      </w:r>
      <w:r w:rsidRPr="003D733D">
        <w:rPr>
          <w:rFonts w:ascii="Sylfaen" w:eastAsiaTheme="minorHAnsi" w:hAnsi="Sylfaen" w:cs="Sylfaen"/>
        </w:rPr>
        <w:t>ნაწილის</w:t>
      </w:r>
      <w:r w:rsidRPr="003D733D">
        <w:rPr>
          <w:rFonts w:eastAsiaTheme="minorHAnsi"/>
        </w:rPr>
        <w:t xml:space="preserve"> </w:t>
      </w:r>
      <w:r w:rsidRPr="003D733D">
        <w:rPr>
          <w:rFonts w:ascii="Sylfaen" w:eastAsiaTheme="minorHAnsi" w:hAnsi="Sylfaen" w:cs="Sylfaen"/>
        </w:rPr>
        <w:t>მონიშვნა</w:t>
      </w:r>
      <w:r w:rsidRPr="003D733D">
        <w:rPr>
          <w:rFonts w:eastAsiaTheme="minorHAnsi"/>
        </w:rPr>
        <w:t xml:space="preserve"> </w:t>
      </w:r>
      <w:r w:rsidRPr="003D733D">
        <w:rPr>
          <w:rFonts w:ascii="Sylfaen" w:eastAsiaTheme="minorHAnsi" w:hAnsi="Sylfaen" w:cs="Sylfaen"/>
        </w:rPr>
        <w:t>განხორციელდება</w:t>
      </w:r>
      <w:r w:rsidRPr="003D733D">
        <w:rPr>
          <w:rFonts w:eastAsiaTheme="minorHAnsi"/>
        </w:rPr>
        <w:t xml:space="preserve"> </w:t>
      </w:r>
      <w:r w:rsidRPr="003D733D">
        <w:rPr>
          <w:rFonts w:ascii="Sylfaen" w:eastAsiaTheme="minorHAnsi" w:hAnsi="Sylfaen" w:cs="Sylfaen"/>
        </w:rPr>
        <w:t>საქართველოს</w:t>
      </w:r>
      <w:r w:rsidRPr="003D733D">
        <w:rPr>
          <w:rFonts w:eastAsiaTheme="minorHAnsi"/>
        </w:rPr>
        <w:t xml:space="preserve">  </w:t>
      </w:r>
      <w:r w:rsidRPr="003D733D">
        <w:rPr>
          <w:rFonts w:ascii="Sylfaen" w:eastAsiaTheme="minorHAnsi" w:hAnsi="Sylfaen" w:cs="Sylfaen"/>
        </w:rPr>
        <w:t>კანონის</w:t>
      </w:r>
      <w:r w:rsidRPr="003D733D">
        <w:rPr>
          <w:rFonts w:eastAsiaTheme="minorHAnsi"/>
        </w:rPr>
        <w:t xml:space="preserve"> ,,</w:t>
      </w:r>
      <w:r w:rsidRPr="003D733D">
        <w:rPr>
          <w:rFonts w:ascii="Sylfaen" w:eastAsiaTheme="minorHAnsi" w:hAnsi="Sylfaen" w:cs="Sylfaen"/>
        </w:rPr>
        <w:t>სატრანსპორტო</w:t>
      </w:r>
      <w:r w:rsidRPr="003D733D">
        <w:rPr>
          <w:rFonts w:eastAsiaTheme="minorHAnsi"/>
        </w:rPr>
        <w:t xml:space="preserve"> </w:t>
      </w:r>
      <w:r w:rsidRPr="003D733D">
        <w:rPr>
          <w:rFonts w:ascii="Sylfaen" w:eastAsiaTheme="minorHAnsi" w:hAnsi="Sylfaen" w:cs="Sylfaen"/>
        </w:rPr>
        <w:t>მოძრაობის</w:t>
      </w:r>
      <w:r w:rsidRPr="003D733D">
        <w:rPr>
          <w:rFonts w:eastAsiaTheme="minorHAnsi"/>
        </w:rPr>
        <w:t xml:space="preserve"> </w:t>
      </w:r>
      <w:r w:rsidRPr="003D733D">
        <w:rPr>
          <w:rFonts w:ascii="Sylfaen" w:eastAsiaTheme="minorHAnsi" w:hAnsi="Sylfaen" w:cs="Sylfaen"/>
        </w:rPr>
        <w:t>უსაფრთხოების</w:t>
      </w:r>
      <w:r w:rsidRPr="003D733D">
        <w:rPr>
          <w:rFonts w:eastAsiaTheme="minorHAnsi"/>
        </w:rPr>
        <w:t xml:space="preserve">” </w:t>
      </w:r>
      <w:r w:rsidRPr="003D733D">
        <w:rPr>
          <w:rFonts w:ascii="Sylfaen" w:eastAsiaTheme="minorHAnsi" w:hAnsi="Sylfaen" w:cs="Sylfaen"/>
        </w:rPr>
        <w:t>შესაბამისად</w:t>
      </w:r>
      <w:r w:rsidRPr="003D733D">
        <w:rPr>
          <w:rFonts w:eastAsiaTheme="minorHAnsi"/>
        </w:rPr>
        <w:t xml:space="preserve"> (2013 </w:t>
      </w:r>
      <w:r w:rsidRPr="003D733D">
        <w:rPr>
          <w:rFonts w:ascii="Sylfaen" w:eastAsiaTheme="minorHAnsi" w:hAnsi="Sylfaen" w:cs="Sylfaen"/>
        </w:rPr>
        <w:t>წ</w:t>
      </w:r>
      <w:r w:rsidRPr="003D733D">
        <w:rPr>
          <w:rFonts w:eastAsiaTheme="minorHAnsi"/>
        </w:rPr>
        <w:t xml:space="preserve">.), GOST Р 51256-2011, GOST Р 52289-2004, ISO 9001, EN 1436, EN 1871, EN 1423, EN 1424 </w:t>
      </w:r>
      <w:r w:rsidRPr="003D733D">
        <w:rPr>
          <w:rFonts w:ascii="Sylfaen" w:eastAsiaTheme="minorHAnsi" w:hAnsi="Sylfaen" w:cs="Sylfaen"/>
        </w:rPr>
        <w:t>სტანდარტის</w:t>
      </w:r>
      <w:r w:rsidRPr="003D733D">
        <w:rPr>
          <w:rFonts w:eastAsiaTheme="minorHAnsi"/>
        </w:rPr>
        <w:t xml:space="preserve"> </w:t>
      </w:r>
      <w:r w:rsidRPr="003D733D">
        <w:rPr>
          <w:rFonts w:ascii="Sylfaen" w:eastAsiaTheme="minorHAnsi" w:hAnsi="Sylfaen" w:cs="Sylfaen"/>
        </w:rPr>
        <w:t>მოთხოვნების</w:t>
      </w:r>
      <w:r w:rsidRPr="003D733D">
        <w:rPr>
          <w:rFonts w:eastAsiaTheme="minorHAnsi"/>
        </w:rPr>
        <w:t xml:space="preserve"> </w:t>
      </w:r>
      <w:r w:rsidRPr="003D733D">
        <w:rPr>
          <w:rFonts w:ascii="Sylfaen" w:eastAsiaTheme="minorHAnsi" w:hAnsi="Sylfaen" w:cs="Sylfaen"/>
        </w:rPr>
        <w:t>დაკმაყოფილების</w:t>
      </w:r>
      <w:r w:rsidRPr="003D733D">
        <w:rPr>
          <w:rFonts w:eastAsiaTheme="minorHAnsi"/>
        </w:rPr>
        <w:t xml:space="preserve"> </w:t>
      </w:r>
      <w:r w:rsidRPr="003D733D">
        <w:rPr>
          <w:rFonts w:ascii="Sylfaen" w:eastAsiaTheme="minorHAnsi" w:hAnsi="Sylfaen" w:cs="Sylfaen"/>
        </w:rPr>
        <w:t>მიზნით</w:t>
      </w:r>
      <w:r w:rsidRPr="003D733D">
        <w:rPr>
          <w:rFonts w:eastAsiaTheme="minorHAnsi"/>
        </w:rPr>
        <w:t>.  [</w:t>
      </w:r>
      <w:r w:rsidRPr="003D733D">
        <w:rPr>
          <w:rFonts w:ascii="Sylfaen" w:eastAsiaTheme="minorHAnsi" w:hAnsi="Sylfaen" w:cs="Sylfaen"/>
        </w:rPr>
        <w:t>პროექტი</w:t>
      </w:r>
      <w:r w:rsidRPr="003D733D">
        <w:rPr>
          <w:rFonts w:eastAsiaTheme="minorHAnsi"/>
        </w:rPr>
        <w:t xml:space="preserve"> </w:t>
      </w:r>
      <w:r w:rsidRPr="003D733D">
        <w:rPr>
          <w:rFonts w:ascii="Sylfaen" w:eastAsiaTheme="minorHAnsi" w:hAnsi="Sylfaen" w:cs="Sylfaen"/>
        </w:rPr>
        <w:t>მოიცავს</w:t>
      </w:r>
      <w:r w:rsidRPr="003D733D">
        <w:rPr>
          <w:rFonts w:eastAsiaTheme="minorHAnsi"/>
        </w:rPr>
        <w:t xml:space="preserve">: </w:t>
      </w:r>
      <w:r w:rsidRPr="003D733D">
        <w:rPr>
          <w:rFonts w:ascii="Sylfaen" w:eastAsiaTheme="minorHAnsi" w:hAnsi="Sylfaen" w:cs="Sylfaen"/>
        </w:rPr>
        <w:t>უწყვეტ</w:t>
      </w:r>
      <w:r w:rsidRPr="003D733D">
        <w:rPr>
          <w:rFonts w:eastAsiaTheme="minorHAnsi"/>
        </w:rPr>
        <w:t xml:space="preserve">  </w:t>
      </w:r>
      <w:r w:rsidRPr="003D733D">
        <w:rPr>
          <w:rFonts w:ascii="Sylfaen" w:eastAsiaTheme="minorHAnsi" w:hAnsi="Sylfaen" w:cs="Sylfaen"/>
        </w:rPr>
        <w:t>ხაზებს</w:t>
      </w:r>
      <w:r w:rsidRPr="003D733D">
        <w:rPr>
          <w:rFonts w:eastAsiaTheme="minorHAnsi"/>
        </w:rPr>
        <w:t xml:space="preserve"> (</w:t>
      </w:r>
      <w:r w:rsidRPr="003D733D">
        <w:rPr>
          <w:rFonts w:ascii="Sylfaen" w:eastAsiaTheme="minorHAnsi" w:hAnsi="Sylfaen" w:cs="Sylfaen"/>
        </w:rPr>
        <w:t>სიგანე</w:t>
      </w:r>
      <w:r w:rsidRPr="003D733D">
        <w:rPr>
          <w:rFonts w:eastAsiaTheme="minorHAnsi"/>
        </w:rPr>
        <w:t xml:space="preserve"> 100-150 </w:t>
      </w:r>
      <w:r w:rsidRPr="003D733D">
        <w:rPr>
          <w:rFonts w:ascii="Sylfaen" w:eastAsiaTheme="minorHAnsi" w:hAnsi="Sylfaen" w:cs="Sylfaen"/>
        </w:rPr>
        <w:t>მმ</w:t>
      </w:r>
      <w:r w:rsidRPr="003D733D">
        <w:rPr>
          <w:rFonts w:eastAsiaTheme="minorHAnsi"/>
        </w:rPr>
        <w:t xml:space="preserve">); </w:t>
      </w:r>
      <w:r w:rsidRPr="003D733D">
        <w:rPr>
          <w:rFonts w:ascii="Sylfaen" w:eastAsiaTheme="minorHAnsi" w:hAnsi="Sylfaen" w:cs="Sylfaen"/>
        </w:rPr>
        <w:t>გვერდით</w:t>
      </w:r>
      <w:r w:rsidRPr="003D733D">
        <w:rPr>
          <w:rFonts w:eastAsiaTheme="minorHAnsi"/>
        </w:rPr>
        <w:t xml:space="preserve"> </w:t>
      </w:r>
      <w:r w:rsidRPr="003D733D">
        <w:rPr>
          <w:rFonts w:ascii="Sylfaen" w:eastAsiaTheme="minorHAnsi" w:hAnsi="Sylfaen" w:cs="Sylfaen"/>
        </w:rPr>
        <w:t>მონიშვნას</w:t>
      </w:r>
      <w:r w:rsidRPr="003D733D">
        <w:rPr>
          <w:rFonts w:eastAsiaTheme="minorHAnsi"/>
        </w:rPr>
        <w:t xml:space="preserve"> (</w:t>
      </w:r>
      <w:r w:rsidRPr="003D733D">
        <w:rPr>
          <w:rFonts w:ascii="Sylfaen" w:eastAsiaTheme="minorHAnsi" w:hAnsi="Sylfaen" w:cs="Sylfaen"/>
        </w:rPr>
        <w:t>სიგანე</w:t>
      </w:r>
      <w:r w:rsidRPr="003D733D">
        <w:rPr>
          <w:rFonts w:eastAsiaTheme="minorHAnsi"/>
        </w:rPr>
        <w:t xml:space="preserve"> 100-200 </w:t>
      </w:r>
      <w:r w:rsidRPr="003D733D">
        <w:rPr>
          <w:rFonts w:ascii="Sylfaen" w:eastAsiaTheme="minorHAnsi" w:hAnsi="Sylfaen" w:cs="Sylfaen"/>
        </w:rPr>
        <w:t>მმ</w:t>
      </w:r>
      <w:r w:rsidRPr="003D733D">
        <w:rPr>
          <w:rFonts w:eastAsiaTheme="minorHAnsi"/>
        </w:rPr>
        <w:t xml:space="preserve">); </w:t>
      </w:r>
      <w:r w:rsidRPr="003D733D">
        <w:rPr>
          <w:rFonts w:ascii="Sylfaen" w:eastAsiaTheme="minorHAnsi" w:hAnsi="Sylfaen" w:cs="Sylfaen"/>
        </w:rPr>
        <w:t>წყვეტილ</w:t>
      </w:r>
      <w:r w:rsidRPr="003D733D">
        <w:rPr>
          <w:rFonts w:eastAsiaTheme="minorHAnsi"/>
        </w:rPr>
        <w:t xml:space="preserve"> </w:t>
      </w:r>
      <w:r w:rsidRPr="003D733D">
        <w:rPr>
          <w:rFonts w:ascii="Sylfaen" w:eastAsiaTheme="minorHAnsi" w:hAnsi="Sylfaen" w:cs="Sylfaen"/>
        </w:rPr>
        <w:t>ხაზებს</w:t>
      </w:r>
      <w:r w:rsidRPr="003D733D">
        <w:rPr>
          <w:rFonts w:eastAsiaTheme="minorHAnsi"/>
        </w:rPr>
        <w:t xml:space="preserve"> (</w:t>
      </w:r>
      <w:r w:rsidRPr="003D733D">
        <w:rPr>
          <w:rFonts w:ascii="Sylfaen" w:eastAsiaTheme="minorHAnsi" w:hAnsi="Sylfaen" w:cs="Sylfaen"/>
        </w:rPr>
        <w:t>თანაფარდობა</w:t>
      </w:r>
      <w:r w:rsidRPr="003D733D">
        <w:rPr>
          <w:rFonts w:eastAsiaTheme="minorHAnsi"/>
        </w:rPr>
        <w:t xml:space="preserve">  1:3, </w:t>
      </w:r>
      <w:r w:rsidRPr="003D733D">
        <w:rPr>
          <w:rFonts w:ascii="Sylfaen" w:eastAsiaTheme="minorHAnsi" w:hAnsi="Sylfaen" w:cs="Sylfaen"/>
        </w:rPr>
        <w:t>სიგანე</w:t>
      </w:r>
      <w:r w:rsidRPr="003D733D">
        <w:rPr>
          <w:rFonts w:eastAsiaTheme="minorHAnsi"/>
        </w:rPr>
        <w:t xml:space="preserve"> 100-150 </w:t>
      </w:r>
      <w:r w:rsidRPr="003D733D">
        <w:rPr>
          <w:rFonts w:ascii="Sylfaen" w:eastAsiaTheme="minorHAnsi" w:hAnsi="Sylfaen" w:cs="Sylfaen"/>
        </w:rPr>
        <w:t>მმ</w:t>
      </w:r>
      <w:r w:rsidRPr="003D733D">
        <w:rPr>
          <w:rFonts w:eastAsiaTheme="minorHAnsi"/>
        </w:rPr>
        <w:t xml:space="preserve">);  </w:t>
      </w:r>
      <w:r w:rsidRPr="003D733D">
        <w:rPr>
          <w:rFonts w:ascii="Sylfaen" w:eastAsiaTheme="minorHAnsi" w:hAnsi="Sylfaen" w:cs="Sylfaen"/>
        </w:rPr>
        <w:t>წყვეტილ</w:t>
      </w:r>
      <w:r w:rsidRPr="003D733D">
        <w:rPr>
          <w:rFonts w:eastAsiaTheme="minorHAnsi"/>
        </w:rPr>
        <w:t xml:space="preserve"> </w:t>
      </w:r>
      <w:r w:rsidRPr="003D733D">
        <w:rPr>
          <w:rFonts w:ascii="Sylfaen" w:eastAsiaTheme="minorHAnsi" w:hAnsi="Sylfaen" w:cs="Sylfaen"/>
        </w:rPr>
        <w:t>ხაზებს</w:t>
      </w:r>
      <w:r w:rsidRPr="003D733D">
        <w:rPr>
          <w:rFonts w:eastAsiaTheme="minorHAnsi"/>
        </w:rPr>
        <w:t xml:space="preserve"> (</w:t>
      </w:r>
      <w:r w:rsidRPr="003D733D">
        <w:rPr>
          <w:rFonts w:ascii="Sylfaen" w:eastAsiaTheme="minorHAnsi" w:hAnsi="Sylfaen" w:cs="Sylfaen"/>
        </w:rPr>
        <w:t>თანაფარდობა</w:t>
      </w:r>
      <w:r w:rsidRPr="003D733D">
        <w:rPr>
          <w:rFonts w:eastAsiaTheme="minorHAnsi"/>
        </w:rPr>
        <w:t xml:space="preserve">  3:1, </w:t>
      </w:r>
      <w:r w:rsidRPr="003D733D">
        <w:rPr>
          <w:rFonts w:ascii="Sylfaen" w:eastAsiaTheme="minorHAnsi" w:hAnsi="Sylfaen" w:cs="Sylfaen"/>
        </w:rPr>
        <w:t>სიგანე</w:t>
      </w:r>
      <w:r w:rsidRPr="003D733D">
        <w:rPr>
          <w:rFonts w:eastAsiaTheme="minorHAnsi"/>
        </w:rPr>
        <w:t xml:space="preserve"> 100 </w:t>
      </w:r>
      <w:r w:rsidRPr="003D733D">
        <w:rPr>
          <w:rFonts w:ascii="Sylfaen" w:eastAsiaTheme="minorHAnsi" w:hAnsi="Sylfaen" w:cs="Sylfaen"/>
        </w:rPr>
        <w:t>მმ</w:t>
      </w:r>
      <w:r w:rsidRPr="003D733D">
        <w:rPr>
          <w:rFonts w:eastAsiaTheme="minorHAnsi"/>
        </w:rPr>
        <w:t xml:space="preserve">);  </w:t>
      </w:r>
      <w:r w:rsidRPr="003D733D">
        <w:rPr>
          <w:rFonts w:ascii="Sylfaen" w:eastAsiaTheme="minorHAnsi" w:hAnsi="Sylfaen" w:cs="Sylfaen"/>
        </w:rPr>
        <w:t>გზაჯვარედინისა</w:t>
      </w:r>
      <w:r w:rsidRPr="003D733D">
        <w:rPr>
          <w:rFonts w:eastAsiaTheme="minorHAnsi"/>
        </w:rPr>
        <w:t xml:space="preserve"> </w:t>
      </w:r>
      <w:r w:rsidRPr="003D733D">
        <w:rPr>
          <w:rFonts w:ascii="Sylfaen" w:eastAsiaTheme="minorHAnsi" w:hAnsi="Sylfaen" w:cs="Sylfaen"/>
        </w:rPr>
        <w:t>და</w:t>
      </w:r>
      <w:r w:rsidRPr="003D733D">
        <w:rPr>
          <w:rFonts w:eastAsiaTheme="minorHAnsi"/>
        </w:rPr>
        <w:t xml:space="preserve"> </w:t>
      </w:r>
      <w:r w:rsidRPr="003D733D">
        <w:rPr>
          <w:rFonts w:ascii="Sylfaen" w:eastAsiaTheme="minorHAnsi" w:hAnsi="Sylfaen" w:cs="Sylfaen"/>
        </w:rPr>
        <w:t>წყვეტილ</w:t>
      </w:r>
      <w:r w:rsidRPr="003D733D">
        <w:rPr>
          <w:rFonts w:eastAsiaTheme="minorHAnsi"/>
        </w:rPr>
        <w:t xml:space="preserve"> </w:t>
      </w:r>
      <w:r w:rsidRPr="003D733D">
        <w:rPr>
          <w:rFonts w:ascii="Sylfaen" w:eastAsiaTheme="minorHAnsi" w:hAnsi="Sylfaen" w:cs="Sylfaen"/>
        </w:rPr>
        <w:t>ხაზების</w:t>
      </w:r>
      <w:r w:rsidRPr="003D733D">
        <w:rPr>
          <w:rFonts w:eastAsiaTheme="minorHAnsi"/>
        </w:rPr>
        <w:t xml:space="preserve"> </w:t>
      </w:r>
      <w:r w:rsidRPr="003D733D">
        <w:rPr>
          <w:rFonts w:ascii="Sylfaen" w:eastAsiaTheme="minorHAnsi" w:hAnsi="Sylfaen" w:cs="Sylfaen"/>
        </w:rPr>
        <w:t>მონიშვნა</w:t>
      </w:r>
      <w:r w:rsidRPr="003D733D">
        <w:rPr>
          <w:rFonts w:eastAsiaTheme="minorHAnsi"/>
        </w:rPr>
        <w:t xml:space="preserve"> (</w:t>
      </w:r>
      <w:r w:rsidRPr="003D733D">
        <w:rPr>
          <w:rFonts w:ascii="Sylfaen" w:eastAsiaTheme="minorHAnsi" w:hAnsi="Sylfaen" w:cs="Sylfaen"/>
        </w:rPr>
        <w:t>სიგანე</w:t>
      </w:r>
      <w:r w:rsidRPr="003D733D">
        <w:rPr>
          <w:rFonts w:eastAsiaTheme="minorHAnsi"/>
        </w:rPr>
        <w:t xml:space="preserve"> 100 </w:t>
      </w:r>
      <w:r w:rsidRPr="003D733D">
        <w:rPr>
          <w:rFonts w:ascii="Sylfaen" w:eastAsiaTheme="minorHAnsi" w:hAnsi="Sylfaen" w:cs="Sylfaen"/>
        </w:rPr>
        <w:t>მმ</w:t>
      </w:r>
      <w:r w:rsidRPr="003D733D">
        <w:rPr>
          <w:rFonts w:eastAsiaTheme="minorHAnsi"/>
        </w:rPr>
        <w:t xml:space="preserve">); </w:t>
      </w:r>
      <w:r w:rsidRPr="003D733D">
        <w:rPr>
          <w:rFonts w:ascii="Sylfaen" w:eastAsiaTheme="minorHAnsi" w:hAnsi="Sylfaen" w:cs="Sylfaen"/>
        </w:rPr>
        <w:t>წყვეტილ</w:t>
      </w:r>
      <w:r w:rsidRPr="003D733D">
        <w:rPr>
          <w:rFonts w:eastAsiaTheme="minorHAnsi"/>
        </w:rPr>
        <w:t xml:space="preserve"> </w:t>
      </w:r>
      <w:r w:rsidRPr="003D733D">
        <w:rPr>
          <w:rFonts w:ascii="Sylfaen" w:eastAsiaTheme="minorHAnsi" w:hAnsi="Sylfaen" w:cs="Sylfaen"/>
        </w:rPr>
        <w:t>ხაზებს</w:t>
      </w:r>
      <w:r w:rsidRPr="003D733D">
        <w:rPr>
          <w:rFonts w:eastAsiaTheme="minorHAnsi"/>
        </w:rPr>
        <w:t xml:space="preserve"> (</w:t>
      </w:r>
      <w:r w:rsidRPr="003D733D">
        <w:rPr>
          <w:rFonts w:ascii="Sylfaen" w:eastAsiaTheme="minorHAnsi" w:hAnsi="Sylfaen" w:cs="Sylfaen"/>
        </w:rPr>
        <w:t>სიგანე</w:t>
      </w:r>
      <w:r w:rsidRPr="003D733D">
        <w:rPr>
          <w:rFonts w:eastAsiaTheme="minorHAnsi"/>
        </w:rPr>
        <w:t xml:space="preserve"> 400 </w:t>
      </w:r>
      <w:r w:rsidRPr="003D733D">
        <w:rPr>
          <w:rFonts w:ascii="Sylfaen" w:eastAsiaTheme="minorHAnsi" w:hAnsi="Sylfaen" w:cs="Sylfaen"/>
        </w:rPr>
        <w:t>მმ</w:t>
      </w:r>
      <w:r w:rsidRPr="003D733D">
        <w:rPr>
          <w:rFonts w:eastAsiaTheme="minorHAnsi"/>
        </w:rPr>
        <w:t xml:space="preserve">);  </w:t>
      </w:r>
      <w:r w:rsidRPr="003D733D">
        <w:rPr>
          <w:rFonts w:ascii="Sylfaen" w:eastAsiaTheme="minorHAnsi" w:hAnsi="Sylfaen" w:cs="Sylfaen"/>
        </w:rPr>
        <w:t>მონიშვნას</w:t>
      </w:r>
      <w:r w:rsidRPr="003D733D">
        <w:rPr>
          <w:rFonts w:eastAsiaTheme="minorHAnsi"/>
        </w:rPr>
        <w:t xml:space="preserve"> </w:t>
      </w:r>
      <w:r w:rsidRPr="003D733D">
        <w:rPr>
          <w:rFonts w:ascii="Sylfaen" w:eastAsiaTheme="minorHAnsi" w:hAnsi="Sylfaen" w:cs="Sylfaen"/>
        </w:rPr>
        <w:t>ისრის</w:t>
      </w:r>
      <w:r w:rsidRPr="003D733D">
        <w:rPr>
          <w:rFonts w:eastAsiaTheme="minorHAnsi"/>
        </w:rPr>
        <w:t xml:space="preserve"> </w:t>
      </w:r>
      <w:r w:rsidRPr="003D733D">
        <w:rPr>
          <w:rFonts w:ascii="Sylfaen" w:eastAsiaTheme="minorHAnsi" w:hAnsi="Sylfaen" w:cs="Sylfaen"/>
        </w:rPr>
        <w:t>სახით</w:t>
      </w:r>
      <w:r w:rsidRPr="003D733D">
        <w:rPr>
          <w:rFonts w:eastAsiaTheme="minorHAnsi"/>
        </w:rPr>
        <w:t xml:space="preserve">.] </w:t>
      </w:r>
    </w:p>
    <w:p w14:paraId="3225C717" w14:textId="77777777" w:rsidR="00F8565C" w:rsidRPr="003D733D" w:rsidRDefault="00F8565C" w:rsidP="00F8565C">
      <w:pPr>
        <w:rPr>
          <w:rFonts w:eastAsiaTheme="minorHAnsi"/>
        </w:rPr>
      </w:pPr>
      <w:r w:rsidRPr="003D733D">
        <w:rPr>
          <w:rFonts w:eastAsiaTheme="minorHAnsi"/>
        </w:rPr>
        <w:t xml:space="preserve"> </w:t>
      </w:r>
      <w:r w:rsidRPr="003D733D">
        <w:rPr>
          <w:rFonts w:ascii="Sylfaen" w:eastAsiaTheme="minorHAnsi" w:hAnsi="Sylfaen" w:cs="Sylfaen"/>
        </w:rPr>
        <w:t>მიეწყობა</w:t>
      </w:r>
      <w:r w:rsidRPr="003D733D">
        <w:rPr>
          <w:rFonts w:eastAsiaTheme="minorHAnsi"/>
        </w:rPr>
        <w:t xml:space="preserve"> </w:t>
      </w:r>
      <w:r w:rsidRPr="003D733D">
        <w:rPr>
          <w:rFonts w:ascii="Sylfaen" w:eastAsiaTheme="minorHAnsi" w:hAnsi="Sylfaen" w:cs="Sylfaen"/>
        </w:rPr>
        <w:t>გზის</w:t>
      </w:r>
      <w:r w:rsidRPr="003D733D">
        <w:rPr>
          <w:rFonts w:eastAsiaTheme="minorHAnsi"/>
        </w:rPr>
        <w:t xml:space="preserve"> </w:t>
      </w:r>
      <w:r w:rsidRPr="003D733D">
        <w:rPr>
          <w:rFonts w:ascii="Sylfaen" w:eastAsiaTheme="minorHAnsi" w:hAnsi="Sylfaen" w:cs="Sylfaen"/>
        </w:rPr>
        <w:t>დამცავი</w:t>
      </w:r>
      <w:r w:rsidRPr="003D733D">
        <w:rPr>
          <w:rFonts w:eastAsiaTheme="minorHAnsi"/>
        </w:rPr>
        <w:t xml:space="preserve"> </w:t>
      </w:r>
      <w:r w:rsidRPr="003D733D">
        <w:rPr>
          <w:rFonts w:ascii="Sylfaen" w:eastAsiaTheme="minorHAnsi" w:hAnsi="Sylfaen" w:cs="Sylfaen"/>
        </w:rPr>
        <w:t>ბარიერები</w:t>
      </w:r>
      <w:r w:rsidRPr="003D733D">
        <w:rPr>
          <w:rFonts w:eastAsiaTheme="minorHAnsi"/>
        </w:rPr>
        <w:t xml:space="preserve">  </w:t>
      </w:r>
      <w:r w:rsidRPr="003D733D">
        <w:rPr>
          <w:rFonts w:ascii="Sylfaen" w:eastAsiaTheme="minorHAnsi" w:hAnsi="Sylfaen" w:cs="Sylfaen"/>
        </w:rPr>
        <w:t>ლითონის</w:t>
      </w:r>
      <w:r w:rsidRPr="003D733D">
        <w:rPr>
          <w:rFonts w:eastAsiaTheme="minorHAnsi"/>
        </w:rPr>
        <w:t xml:space="preserve"> </w:t>
      </w:r>
      <w:r w:rsidRPr="003D733D">
        <w:rPr>
          <w:rFonts w:ascii="Sylfaen" w:eastAsiaTheme="minorHAnsi" w:hAnsi="Sylfaen" w:cs="Sylfaen"/>
        </w:rPr>
        <w:t>მოაჯირების</w:t>
      </w:r>
      <w:r w:rsidRPr="003D733D">
        <w:rPr>
          <w:rFonts w:eastAsiaTheme="minorHAnsi"/>
        </w:rPr>
        <w:t xml:space="preserve"> </w:t>
      </w:r>
      <w:r w:rsidRPr="003D733D">
        <w:rPr>
          <w:rFonts w:ascii="Sylfaen" w:eastAsiaTheme="minorHAnsi" w:hAnsi="Sylfaen" w:cs="Sylfaen"/>
        </w:rPr>
        <w:t>სახით</w:t>
      </w:r>
      <w:r w:rsidRPr="003D733D">
        <w:rPr>
          <w:rFonts w:eastAsiaTheme="minorHAnsi"/>
        </w:rPr>
        <w:t xml:space="preserve"> - F-3 GOST Р52289-2004, GOST 26804-86 </w:t>
      </w:r>
      <w:r w:rsidRPr="003D733D">
        <w:rPr>
          <w:rFonts w:ascii="Sylfaen" w:eastAsiaTheme="minorHAnsi" w:hAnsi="Sylfaen" w:cs="Sylfaen"/>
        </w:rPr>
        <w:t>და</w:t>
      </w:r>
      <w:r w:rsidRPr="003D733D">
        <w:rPr>
          <w:rFonts w:eastAsiaTheme="minorHAnsi"/>
        </w:rPr>
        <w:t xml:space="preserve"> EN 1317 (1-5) H1-B-W2 </w:t>
      </w:r>
      <w:r w:rsidRPr="003D733D">
        <w:rPr>
          <w:rFonts w:ascii="Sylfaen" w:eastAsiaTheme="minorHAnsi" w:hAnsi="Sylfaen" w:cs="Sylfaen"/>
        </w:rPr>
        <w:t>სტანდარტების</w:t>
      </w:r>
      <w:r w:rsidRPr="003D733D">
        <w:rPr>
          <w:rFonts w:eastAsiaTheme="minorHAnsi"/>
        </w:rPr>
        <w:t xml:space="preserve"> </w:t>
      </w:r>
      <w:r w:rsidRPr="003D733D">
        <w:rPr>
          <w:rFonts w:ascii="Sylfaen" w:eastAsiaTheme="minorHAnsi" w:hAnsi="Sylfaen" w:cs="Sylfaen"/>
        </w:rPr>
        <w:t>მოთხოვნების</w:t>
      </w:r>
      <w:r w:rsidRPr="003D733D">
        <w:rPr>
          <w:rFonts w:eastAsiaTheme="minorHAnsi"/>
        </w:rPr>
        <w:t xml:space="preserve"> </w:t>
      </w:r>
      <w:r w:rsidRPr="003D733D">
        <w:rPr>
          <w:rFonts w:ascii="Sylfaen" w:eastAsiaTheme="minorHAnsi" w:hAnsi="Sylfaen" w:cs="Sylfaen"/>
        </w:rPr>
        <w:t>შესაბამისად</w:t>
      </w:r>
      <w:r w:rsidRPr="003D733D">
        <w:rPr>
          <w:rFonts w:eastAsiaTheme="minorHAnsi"/>
        </w:rPr>
        <w:t>.</w:t>
      </w:r>
    </w:p>
    <w:p w14:paraId="6E5389B4" w14:textId="77777777" w:rsidR="00F8565C" w:rsidRPr="003D733D" w:rsidRDefault="00F8565C" w:rsidP="00F8565C">
      <w:pPr>
        <w:rPr>
          <w:rFonts w:eastAsiaTheme="minorHAnsi"/>
        </w:rPr>
      </w:pPr>
      <w:r w:rsidRPr="003D733D">
        <w:rPr>
          <w:rFonts w:ascii="Sylfaen" w:eastAsiaTheme="minorHAnsi" w:hAnsi="Sylfaen" w:cs="Sylfaen"/>
        </w:rPr>
        <w:t>რკინაბეტონის</w:t>
      </w:r>
      <w:r w:rsidRPr="003D733D">
        <w:rPr>
          <w:rFonts w:eastAsiaTheme="minorHAnsi"/>
        </w:rPr>
        <w:t xml:space="preserve"> </w:t>
      </w:r>
      <w:r w:rsidRPr="003D733D">
        <w:rPr>
          <w:rFonts w:ascii="Sylfaen" w:eastAsiaTheme="minorHAnsi" w:hAnsi="Sylfaen" w:cs="Sylfaen"/>
        </w:rPr>
        <w:t>ბარიერები</w:t>
      </w:r>
      <w:r w:rsidRPr="003D733D">
        <w:rPr>
          <w:rFonts w:eastAsiaTheme="minorHAnsi"/>
        </w:rPr>
        <w:t xml:space="preserve"> </w:t>
      </w:r>
      <w:r w:rsidRPr="003D733D">
        <w:rPr>
          <w:rFonts w:ascii="Sylfaen" w:eastAsiaTheme="minorHAnsi" w:hAnsi="Sylfaen" w:cs="Sylfaen"/>
        </w:rPr>
        <w:t>მოწყობილი</w:t>
      </w:r>
      <w:r w:rsidRPr="003D733D">
        <w:rPr>
          <w:rFonts w:eastAsiaTheme="minorHAnsi"/>
        </w:rPr>
        <w:t xml:space="preserve"> </w:t>
      </w:r>
      <w:r w:rsidRPr="003D733D">
        <w:rPr>
          <w:rFonts w:ascii="Sylfaen" w:eastAsiaTheme="minorHAnsi" w:hAnsi="Sylfaen" w:cs="Sylfaen"/>
        </w:rPr>
        <w:t>იქნება</w:t>
      </w:r>
      <w:r w:rsidRPr="003D733D">
        <w:rPr>
          <w:rFonts w:eastAsiaTheme="minorHAnsi"/>
        </w:rPr>
        <w:t xml:space="preserve"> </w:t>
      </w:r>
      <w:r w:rsidRPr="003D733D">
        <w:rPr>
          <w:rFonts w:ascii="Sylfaen" w:eastAsiaTheme="minorHAnsi" w:hAnsi="Sylfaen" w:cs="Sylfaen"/>
        </w:rPr>
        <w:t>გამყოფ</w:t>
      </w:r>
      <w:r w:rsidRPr="003D733D">
        <w:rPr>
          <w:rFonts w:eastAsiaTheme="minorHAnsi"/>
        </w:rPr>
        <w:t xml:space="preserve"> </w:t>
      </w:r>
      <w:r w:rsidRPr="003D733D">
        <w:rPr>
          <w:rFonts w:ascii="Sylfaen" w:eastAsiaTheme="minorHAnsi" w:hAnsi="Sylfaen" w:cs="Sylfaen"/>
        </w:rPr>
        <w:t>ზოლზე</w:t>
      </w:r>
      <w:r w:rsidRPr="003D733D">
        <w:rPr>
          <w:rFonts w:eastAsiaTheme="minorHAnsi"/>
        </w:rPr>
        <w:t xml:space="preserve"> GOST Р 52289-2004, GOST Р 52607-2006, GOST Р 52721-2007 </w:t>
      </w:r>
      <w:r w:rsidRPr="003D733D">
        <w:rPr>
          <w:rFonts w:ascii="Sylfaen" w:eastAsiaTheme="minorHAnsi" w:hAnsi="Sylfaen" w:cs="Sylfaen"/>
        </w:rPr>
        <w:t>და</w:t>
      </w:r>
      <w:r w:rsidRPr="003D733D">
        <w:rPr>
          <w:rFonts w:eastAsiaTheme="minorHAnsi"/>
        </w:rPr>
        <w:t xml:space="preserve"> EN 1317 (1-5) H1-B-W2 </w:t>
      </w:r>
      <w:r w:rsidRPr="003D733D">
        <w:rPr>
          <w:rFonts w:ascii="Sylfaen" w:eastAsiaTheme="minorHAnsi" w:hAnsi="Sylfaen" w:cs="Sylfaen"/>
        </w:rPr>
        <w:t>სტანდარტის</w:t>
      </w:r>
      <w:r w:rsidRPr="003D733D">
        <w:rPr>
          <w:rFonts w:eastAsiaTheme="minorHAnsi"/>
        </w:rPr>
        <w:t xml:space="preserve"> </w:t>
      </w:r>
      <w:r w:rsidRPr="003D733D">
        <w:rPr>
          <w:rFonts w:ascii="Sylfaen" w:eastAsiaTheme="minorHAnsi" w:hAnsi="Sylfaen" w:cs="Sylfaen"/>
        </w:rPr>
        <w:t>გათვალისწინებით</w:t>
      </w:r>
      <w:r w:rsidRPr="003D733D">
        <w:rPr>
          <w:rFonts w:eastAsiaTheme="minorHAnsi"/>
        </w:rPr>
        <w:t>.</w:t>
      </w:r>
    </w:p>
    <w:p w14:paraId="15D6C21E" w14:textId="77777777" w:rsidR="00F8565C" w:rsidRPr="003D733D" w:rsidRDefault="00F8565C" w:rsidP="00F8565C">
      <w:pPr>
        <w:rPr>
          <w:rFonts w:eastAsiaTheme="minorHAnsi"/>
        </w:rPr>
      </w:pPr>
      <w:r w:rsidRPr="003D733D">
        <w:rPr>
          <w:rFonts w:ascii="Sylfaen" w:eastAsiaTheme="minorHAnsi" w:hAnsi="Sylfaen" w:cs="Sylfaen"/>
        </w:rPr>
        <w:lastRenderedPageBreak/>
        <w:t>გზის</w:t>
      </w:r>
      <w:r w:rsidRPr="003D733D">
        <w:rPr>
          <w:rFonts w:eastAsiaTheme="minorHAnsi"/>
        </w:rPr>
        <w:t xml:space="preserve"> </w:t>
      </w:r>
      <w:r w:rsidRPr="003D733D">
        <w:rPr>
          <w:rFonts w:ascii="Sylfaen" w:eastAsiaTheme="minorHAnsi" w:hAnsi="Sylfaen" w:cs="Sylfaen"/>
        </w:rPr>
        <w:t>მიმართულების</w:t>
      </w:r>
      <w:r w:rsidRPr="003D733D">
        <w:rPr>
          <w:rFonts w:eastAsiaTheme="minorHAnsi"/>
        </w:rPr>
        <w:t xml:space="preserve"> </w:t>
      </w:r>
      <w:r w:rsidRPr="003D733D">
        <w:rPr>
          <w:rFonts w:ascii="Sylfaen" w:eastAsiaTheme="minorHAnsi" w:hAnsi="Sylfaen" w:cs="Sylfaen"/>
        </w:rPr>
        <w:t>მაჩვენებელი</w:t>
      </w:r>
      <w:r w:rsidRPr="003D733D">
        <w:rPr>
          <w:rFonts w:eastAsiaTheme="minorHAnsi"/>
        </w:rPr>
        <w:t xml:space="preserve"> </w:t>
      </w:r>
      <w:r w:rsidRPr="003D733D">
        <w:rPr>
          <w:rFonts w:ascii="Sylfaen" w:eastAsiaTheme="minorHAnsi" w:hAnsi="Sylfaen" w:cs="Sylfaen"/>
        </w:rPr>
        <w:t>პლასტმასის</w:t>
      </w:r>
      <w:r w:rsidRPr="003D733D">
        <w:rPr>
          <w:rFonts w:eastAsiaTheme="minorHAnsi"/>
        </w:rPr>
        <w:t xml:space="preserve"> </w:t>
      </w:r>
      <w:r w:rsidRPr="003D733D">
        <w:rPr>
          <w:rFonts w:ascii="Sylfaen" w:eastAsiaTheme="minorHAnsi" w:hAnsi="Sylfaen" w:cs="Sylfaen"/>
        </w:rPr>
        <w:t>ბოძები</w:t>
      </w:r>
      <w:r w:rsidRPr="003D733D">
        <w:rPr>
          <w:rFonts w:eastAsiaTheme="minorHAnsi"/>
        </w:rPr>
        <w:t xml:space="preserve"> </w:t>
      </w:r>
      <w:r w:rsidRPr="003D733D">
        <w:rPr>
          <w:rFonts w:ascii="Sylfaen" w:eastAsiaTheme="minorHAnsi" w:hAnsi="Sylfaen" w:cs="Sylfaen"/>
        </w:rPr>
        <w:t>დამონტაჟებული</w:t>
      </w:r>
      <w:r w:rsidRPr="003D733D">
        <w:rPr>
          <w:rFonts w:eastAsiaTheme="minorHAnsi"/>
        </w:rPr>
        <w:t xml:space="preserve"> </w:t>
      </w:r>
      <w:r w:rsidRPr="003D733D">
        <w:rPr>
          <w:rFonts w:ascii="Sylfaen" w:eastAsiaTheme="minorHAnsi" w:hAnsi="Sylfaen" w:cs="Sylfaen"/>
        </w:rPr>
        <w:t>იქნება</w:t>
      </w:r>
      <w:r w:rsidRPr="003D733D">
        <w:rPr>
          <w:rFonts w:eastAsiaTheme="minorHAnsi"/>
        </w:rPr>
        <w:t xml:space="preserve"> </w:t>
      </w:r>
      <w:r w:rsidRPr="003D733D">
        <w:rPr>
          <w:rFonts w:ascii="Sylfaen" w:eastAsiaTheme="minorHAnsi" w:hAnsi="Sylfaen" w:cs="Sylfaen"/>
        </w:rPr>
        <w:t>გვერდულებზე</w:t>
      </w:r>
      <w:r w:rsidRPr="003D733D">
        <w:rPr>
          <w:rFonts w:eastAsiaTheme="minorHAnsi"/>
        </w:rPr>
        <w:t xml:space="preserve"> </w:t>
      </w:r>
      <w:r w:rsidRPr="003D733D">
        <w:rPr>
          <w:rFonts w:ascii="Sylfaen" w:eastAsiaTheme="minorHAnsi" w:hAnsi="Sylfaen" w:cs="Sylfaen"/>
        </w:rPr>
        <w:t>და</w:t>
      </w:r>
      <w:r w:rsidRPr="003D733D">
        <w:rPr>
          <w:rFonts w:eastAsiaTheme="minorHAnsi"/>
        </w:rPr>
        <w:t xml:space="preserve"> </w:t>
      </w:r>
      <w:r w:rsidRPr="003D733D">
        <w:rPr>
          <w:rFonts w:ascii="Sylfaen" w:eastAsiaTheme="minorHAnsi" w:hAnsi="Sylfaen" w:cs="Sylfaen"/>
        </w:rPr>
        <w:t>დამაგრებული</w:t>
      </w:r>
      <w:r w:rsidRPr="003D733D">
        <w:rPr>
          <w:rFonts w:eastAsiaTheme="minorHAnsi"/>
        </w:rPr>
        <w:t xml:space="preserve"> </w:t>
      </w:r>
      <w:r w:rsidRPr="003D733D">
        <w:rPr>
          <w:rFonts w:ascii="Sylfaen" w:eastAsiaTheme="minorHAnsi" w:hAnsi="Sylfaen" w:cs="Sylfaen"/>
        </w:rPr>
        <w:t>გამყოფ</w:t>
      </w:r>
      <w:r w:rsidRPr="003D733D">
        <w:rPr>
          <w:rFonts w:eastAsiaTheme="minorHAnsi"/>
        </w:rPr>
        <w:t xml:space="preserve"> </w:t>
      </w:r>
      <w:r w:rsidRPr="003D733D">
        <w:rPr>
          <w:rFonts w:ascii="Sylfaen" w:eastAsiaTheme="minorHAnsi" w:hAnsi="Sylfaen" w:cs="Sylfaen"/>
        </w:rPr>
        <w:t>ზოლზე</w:t>
      </w:r>
      <w:r w:rsidRPr="003D733D">
        <w:rPr>
          <w:rFonts w:eastAsiaTheme="minorHAnsi"/>
        </w:rPr>
        <w:t xml:space="preserve"> (GOST Р 52289-2004, GOST Р 50970-2011 </w:t>
      </w:r>
      <w:r w:rsidRPr="003D733D">
        <w:rPr>
          <w:rFonts w:ascii="Sylfaen" w:eastAsiaTheme="minorHAnsi" w:hAnsi="Sylfaen" w:cs="Sylfaen"/>
        </w:rPr>
        <w:t>სტანდარტის</w:t>
      </w:r>
      <w:r w:rsidRPr="003D733D">
        <w:rPr>
          <w:rFonts w:eastAsiaTheme="minorHAnsi"/>
        </w:rPr>
        <w:t xml:space="preserve"> </w:t>
      </w:r>
      <w:r w:rsidRPr="003D733D">
        <w:rPr>
          <w:rFonts w:ascii="Sylfaen" w:eastAsiaTheme="minorHAnsi" w:hAnsi="Sylfaen" w:cs="Sylfaen"/>
        </w:rPr>
        <w:t>მოთხოვნების</w:t>
      </w:r>
      <w:r w:rsidRPr="003D733D">
        <w:rPr>
          <w:rFonts w:eastAsiaTheme="minorHAnsi"/>
        </w:rPr>
        <w:t xml:space="preserve"> </w:t>
      </w:r>
      <w:r w:rsidRPr="003D733D">
        <w:rPr>
          <w:rFonts w:ascii="Sylfaen" w:eastAsiaTheme="minorHAnsi" w:hAnsi="Sylfaen" w:cs="Sylfaen"/>
        </w:rPr>
        <w:t>შესაბამისად</w:t>
      </w:r>
      <w:r w:rsidRPr="003D733D">
        <w:rPr>
          <w:rFonts w:eastAsiaTheme="minorHAnsi"/>
        </w:rPr>
        <w:t xml:space="preserve">). </w:t>
      </w:r>
    </w:p>
    <w:p w14:paraId="6AE1B8F6" w14:textId="7C274121" w:rsidR="00F8565C" w:rsidRDefault="00F8565C" w:rsidP="00F8565C">
      <w:pPr>
        <w:rPr>
          <w:rFonts w:eastAsiaTheme="minorHAnsi"/>
        </w:rPr>
      </w:pPr>
      <w:r w:rsidRPr="003D733D">
        <w:rPr>
          <w:rFonts w:ascii="Sylfaen" w:eastAsiaTheme="minorHAnsi" w:hAnsi="Sylfaen" w:cs="Sylfaen"/>
        </w:rPr>
        <w:t>სატრანსპორტო</w:t>
      </w:r>
      <w:r w:rsidRPr="003D733D">
        <w:rPr>
          <w:rFonts w:eastAsiaTheme="minorHAnsi"/>
        </w:rPr>
        <w:t xml:space="preserve"> </w:t>
      </w:r>
      <w:r w:rsidRPr="003D733D">
        <w:rPr>
          <w:rFonts w:ascii="Sylfaen" w:eastAsiaTheme="minorHAnsi" w:hAnsi="Sylfaen" w:cs="Sylfaen"/>
        </w:rPr>
        <w:t>მოძრაობის</w:t>
      </w:r>
      <w:r w:rsidRPr="003D733D">
        <w:rPr>
          <w:rFonts w:eastAsiaTheme="minorHAnsi"/>
        </w:rPr>
        <w:t xml:space="preserve"> </w:t>
      </w:r>
      <w:r w:rsidRPr="003D733D">
        <w:rPr>
          <w:rFonts w:ascii="Sylfaen" w:eastAsiaTheme="minorHAnsi" w:hAnsi="Sylfaen" w:cs="Sylfaen"/>
        </w:rPr>
        <w:t>უსაფრთხოების</w:t>
      </w:r>
      <w:r w:rsidRPr="003D733D">
        <w:rPr>
          <w:rFonts w:eastAsiaTheme="minorHAnsi"/>
        </w:rPr>
        <w:t xml:space="preserve"> </w:t>
      </w:r>
      <w:r w:rsidRPr="003D733D">
        <w:rPr>
          <w:rFonts w:ascii="Sylfaen" w:eastAsiaTheme="minorHAnsi" w:hAnsi="Sylfaen" w:cs="Sylfaen"/>
        </w:rPr>
        <w:t>უზრუნველყოფის</w:t>
      </w:r>
      <w:r w:rsidRPr="003D733D">
        <w:rPr>
          <w:rFonts w:eastAsiaTheme="minorHAnsi"/>
        </w:rPr>
        <w:t xml:space="preserve"> </w:t>
      </w:r>
      <w:r w:rsidRPr="003D733D">
        <w:rPr>
          <w:rFonts w:ascii="Sylfaen" w:eastAsiaTheme="minorHAnsi" w:hAnsi="Sylfaen" w:cs="Sylfaen"/>
        </w:rPr>
        <w:t>მიზნით</w:t>
      </w:r>
      <w:r w:rsidRPr="003D733D">
        <w:rPr>
          <w:rFonts w:eastAsiaTheme="minorHAnsi"/>
        </w:rPr>
        <w:t xml:space="preserve"> </w:t>
      </w:r>
      <w:r w:rsidRPr="003D733D">
        <w:rPr>
          <w:rFonts w:ascii="Sylfaen" w:eastAsiaTheme="minorHAnsi" w:hAnsi="Sylfaen" w:cs="Sylfaen"/>
        </w:rPr>
        <w:t>პროექტი</w:t>
      </w:r>
      <w:r w:rsidRPr="003D733D">
        <w:rPr>
          <w:rFonts w:eastAsiaTheme="minorHAnsi"/>
        </w:rPr>
        <w:t xml:space="preserve"> </w:t>
      </w:r>
      <w:r w:rsidRPr="003D733D">
        <w:rPr>
          <w:rFonts w:ascii="Sylfaen" w:eastAsiaTheme="minorHAnsi" w:hAnsi="Sylfaen" w:cs="Sylfaen"/>
        </w:rPr>
        <w:t>ითვალისწინებს</w:t>
      </w:r>
      <w:r w:rsidRPr="003D733D">
        <w:rPr>
          <w:rFonts w:eastAsiaTheme="minorHAnsi"/>
        </w:rPr>
        <w:t xml:space="preserve"> </w:t>
      </w:r>
      <w:r w:rsidRPr="003D733D">
        <w:rPr>
          <w:rFonts w:ascii="Sylfaen" w:eastAsiaTheme="minorHAnsi" w:hAnsi="Sylfaen" w:cs="Sylfaen"/>
        </w:rPr>
        <w:t>ტერმინალებს</w:t>
      </w:r>
      <w:r w:rsidRPr="003D733D">
        <w:rPr>
          <w:rFonts w:eastAsiaTheme="minorHAnsi"/>
        </w:rPr>
        <w:t xml:space="preserve"> </w:t>
      </w:r>
      <w:r w:rsidRPr="003D733D">
        <w:rPr>
          <w:rFonts w:ascii="Sylfaen" w:eastAsiaTheme="minorHAnsi" w:hAnsi="Sylfaen" w:cs="Sylfaen"/>
        </w:rPr>
        <w:t>ლითონის</w:t>
      </w:r>
      <w:r w:rsidRPr="003D733D">
        <w:rPr>
          <w:rFonts w:eastAsiaTheme="minorHAnsi"/>
        </w:rPr>
        <w:t xml:space="preserve"> </w:t>
      </w:r>
      <w:r w:rsidRPr="003D733D">
        <w:rPr>
          <w:rFonts w:ascii="Sylfaen" w:eastAsiaTheme="minorHAnsi" w:hAnsi="Sylfaen" w:cs="Sylfaen"/>
        </w:rPr>
        <w:t>დამცავ</w:t>
      </w:r>
      <w:r w:rsidRPr="003D733D">
        <w:rPr>
          <w:rFonts w:eastAsiaTheme="minorHAnsi"/>
        </w:rPr>
        <w:t xml:space="preserve"> </w:t>
      </w:r>
      <w:r w:rsidRPr="003D733D">
        <w:rPr>
          <w:rFonts w:ascii="Sylfaen" w:eastAsiaTheme="minorHAnsi" w:hAnsi="Sylfaen" w:cs="Sylfaen"/>
        </w:rPr>
        <w:t>ბარიერებსა</w:t>
      </w:r>
      <w:r w:rsidRPr="003D733D">
        <w:rPr>
          <w:rFonts w:eastAsiaTheme="minorHAnsi"/>
        </w:rPr>
        <w:t xml:space="preserve"> </w:t>
      </w:r>
      <w:r w:rsidRPr="003D733D">
        <w:rPr>
          <w:rFonts w:ascii="Sylfaen" w:eastAsiaTheme="minorHAnsi" w:hAnsi="Sylfaen" w:cs="Sylfaen"/>
        </w:rPr>
        <w:t>და</w:t>
      </w:r>
      <w:r w:rsidRPr="003D733D">
        <w:rPr>
          <w:rFonts w:eastAsiaTheme="minorHAnsi"/>
        </w:rPr>
        <w:t xml:space="preserve"> </w:t>
      </w:r>
      <w:r w:rsidRPr="003D733D">
        <w:rPr>
          <w:rFonts w:ascii="Sylfaen" w:eastAsiaTheme="minorHAnsi" w:hAnsi="Sylfaen" w:cs="Sylfaen"/>
        </w:rPr>
        <w:t>დარტყმის</w:t>
      </w:r>
      <w:r w:rsidRPr="003D733D">
        <w:rPr>
          <w:rFonts w:eastAsiaTheme="minorHAnsi"/>
        </w:rPr>
        <w:t xml:space="preserve">  </w:t>
      </w:r>
      <w:r w:rsidRPr="003D733D">
        <w:rPr>
          <w:rFonts w:ascii="Sylfaen" w:eastAsiaTheme="minorHAnsi" w:hAnsi="Sylfaen" w:cs="Sylfaen"/>
        </w:rPr>
        <w:t>ჩამქრობებს</w:t>
      </w:r>
      <w:r w:rsidRPr="003D733D">
        <w:rPr>
          <w:rFonts w:eastAsiaTheme="minorHAnsi"/>
        </w:rPr>
        <w:t xml:space="preserve">. </w:t>
      </w:r>
    </w:p>
    <w:p w14:paraId="08FA7A11" w14:textId="3340F535" w:rsidR="00F31A39" w:rsidRDefault="00F31A39" w:rsidP="00F8565C">
      <w:pPr>
        <w:rPr>
          <w:rFonts w:eastAsiaTheme="minorHAnsi"/>
        </w:rPr>
      </w:pPr>
    </w:p>
    <w:p w14:paraId="5E0BB7DC" w14:textId="0DC6F976" w:rsidR="00F31A39" w:rsidRDefault="00F31A39" w:rsidP="00F8565C">
      <w:pPr>
        <w:rPr>
          <w:rFonts w:eastAsiaTheme="minorHAnsi"/>
        </w:rPr>
      </w:pPr>
    </w:p>
    <w:p w14:paraId="255CCE81" w14:textId="513DA3EB" w:rsidR="00F31A39" w:rsidRDefault="00F31A39" w:rsidP="00F8565C">
      <w:pPr>
        <w:rPr>
          <w:rFonts w:eastAsiaTheme="minorHAnsi"/>
        </w:rPr>
      </w:pPr>
    </w:p>
    <w:p w14:paraId="44C64969" w14:textId="207792AF" w:rsidR="00F31A39" w:rsidRDefault="00F31A39" w:rsidP="00F8565C">
      <w:pPr>
        <w:rPr>
          <w:rFonts w:eastAsiaTheme="minorHAnsi"/>
        </w:rPr>
      </w:pPr>
    </w:p>
    <w:p w14:paraId="2642FB06" w14:textId="2FB090A4" w:rsidR="00F31A39" w:rsidRDefault="00F31A39" w:rsidP="00F8565C">
      <w:pPr>
        <w:rPr>
          <w:rFonts w:eastAsiaTheme="minorHAnsi"/>
        </w:rPr>
      </w:pPr>
    </w:p>
    <w:p w14:paraId="23A9BBD9" w14:textId="744602BE" w:rsidR="00F31A39" w:rsidRDefault="00F31A39" w:rsidP="00F8565C">
      <w:pPr>
        <w:rPr>
          <w:rFonts w:eastAsiaTheme="minorHAnsi"/>
        </w:rPr>
      </w:pPr>
    </w:p>
    <w:p w14:paraId="3CE42D15" w14:textId="1B89837F" w:rsidR="00F31A39" w:rsidRDefault="00F31A39" w:rsidP="00F8565C">
      <w:pPr>
        <w:rPr>
          <w:rFonts w:eastAsiaTheme="minorHAnsi"/>
        </w:rPr>
      </w:pPr>
    </w:p>
    <w:p w14:paraId="0586674C" w14:textId="5D0778DE" w:rsidR="00F31A39" w:rsidRDefault="00F31A39" w:rsidP="00F8565C">
      <w:pPr>
        <w:rPr>
          <w:rFonts w:eastAsiaTheme="minorHAnsi"/>
        </w:rPr>
      </w:pPr>
    </w:p>
    <w:p w14:paraId="02B4B5D1" w14:textId="66BED232" w:rsidR="00F31A39" w:rsidRDefault="00F31A39" w:rsidP="00F8565C">
      <w:pPr>
        <w:rPr>
          <w:rFonts w:eastAsiaTheme="minorHAnsi"/>
        </w:rPr>
      </w:pPr>
    </w:p>
    <w:p w14:paraId="4192A6CC" w14:textId="73AE548A" w:rsidR="00142B71" w:rsidRDefault="00142B71" w:rsidP="00F8565C">
      <w:pPr>
        <w:rPr>
          <w:rFonts w:eastAsiaTheme="minorHAnsi"/>
        </w:rPr>
      </w:pPr>
    </w:p>
    <w:p w14:paraId="01EE2633" w14:textId="7648B3BA" w:rsidR="00142B71" w:rsidRDefault="00142B71" w:rsidP="00F8565C">
      <w:pPr>
        <w:rPr>
          <w:rFonts w:eastAsiaTheme="minorHAnsi"/>
        </w:rPr>
      </w:pPr>
    </w:p>
    <w:p w14:paraId="5E23CE32" w14:textId="2053D87C" w:rsidR="00142B71" w:rsidRDefault="00142B71" w:rsidP="00F8565C">
      <w:pPr>
        <w:rPr>
          <w:rFonts w:eastAsiaTheme="minorHAnsi"/>
        </w:rPr>
      </w:pPr>
    </w:p>
    <w:p w14:paraId="4BA4D713" w14:textId="232579EB" w:rsidR="00142B71" w:rsidRDefault="00142B71" w:rsidP="00F8565C">
      <w:pPr>
        <w:rPr>
          <w:rFonts w:eastAsiaTheme="minorHAnsi"/>
        </w:rPr>
      </w:pPr>
    </w:p>
    <w:p w14:paraId="6FC2EBAF" w14:textId="55FB28FF" w:rsidR="00142B71" w:rsidRDefault="00142B71" w:rsidP="00F8565C">
      <w:pPr>
        <w:rPr>
          <w:rFonts w:eastAsiaTheme="minorHAnsi"/>
        </w:rPr>
      </w:pPr>
    </w:p>
    <w:p w14:paraId="1F609F99" w14:textId="0B225477" w:rsidR="00142B71" w:rsidRDefault="00142B71" w:rsidP="00F8565C">
      <w:pPr>
        <w:rPr>
          <w:rFonts w:eastAsiaTheme="minorHAnsi"/>
        </w:rPr>
      </w:pPr>
    </w:p>
    <w:p w14:paraId="3F0F139A" w14:textId="457382C5" w:rsidR="00142B71" w:rsidRDefault="00142B71" w:rsidP="00F8565C">
      <w:pPr>
        <w:rPr>
          <w:rFonts w:eastAsiaTheme="minorHAnsi"/>
        </w:rPr>
      </w:pPr>
    </w:p>
    <w:p w14:paraId="7B6C920F" w14:textId="1D2FA87A" w:rsidR="00142B71" w:rsidRDefault="00142B71" w:rsidP="00F8565C">
      <w:pPr>
        <w:rPr>
          <w:rFonts w:eastAsiaTheme="minorHAnsi"/>
        </w:rPr>
      </w:pPr>
    </w:p>
    <w:p w14:paraId="485F06CB" w14:textId="497A9729" w:rsidR="00142B71" w:rsidRDefault="00142B71" w:rsidP="00F8565C">
      <w:pPr>
        <w:rPr>
          <w:rFonts w:eastAsiaTheme="minorHAnsi"/>
        </w:rPr>
      </w:pPr>
    </w:p>
    <w:p w14:paraId="7F05E26C" w14:textId="281B8F21" w:rsidR="00142B71" w:rsidRDefault="00142B71" w:rsidP="00F8565C">
      <w:pPr>
        <w:rPr>
          <w:rFonts w:eastAsiaTheme="minorHAnsi"/>
        </w:rPr>
      </w:pPr>
    </w:p>
    <w:p w14:paraId="444EA341" w14:textId="73FFFF3C" w:rsidR="00142B71" w:rsidRDefault="00142B71" w:rsidP="00F8565C">
      <w:pPr>
        <w:rPr>
          <w:rFonts w:eastAsiaTheme="minorHAnsi"/>
        </w:rPr>
      </w:pPr>
    </w:p>
    <w:p w14:paraId="3EEF8FEA" w14:textId="4050BB3A" w:rsidR="00142B71" w:rsidRDefault="00142B71" w:rsidP="00F8565C">
      <w:pPr>
        <w:rPr>
          <w:rFonts w:eastAsiaTheme="minorHAnsi"/>
        </w:rPr>
      </w:pPr>
    </w:p>
    <w:p w14:paraId="742B74D0" w14:textId="3242AB90" w:rsidR="00142B71" w:rsidRDefault="00142B71" w:rsidP="00F8565C">
      <w:pPr>
        <w:rPr>
          <w:rFonts w:eastAsiaTheme="minorHAnsi"/>
        </w:rPr>
      </w:pPr>
    </w:p>
    <w:p w14:paraId="42BC7E04" w14:textId="252370D8" w:rsidR="00142B71" w:rsidRDefault="00142B71" w:rsidP="00F8565C">
      <w:pPr>
        <w:rPr>
          <w:rFonts w:eastAsiaTheme="minorHAnsi"/>
        </w:rPr>
      </w:pPr>
    </w:p>
    <w:p w14:paraId="5BACC9F6" w14:textId="061B862B" w:rsidR="00142B71" w:rsidRDefault="00142B71" w:rsidP="00F8565C">
      <w:pPr>
        <w:rPr>
          <w:rFonts w:eastAsiaTheme="minorHAnsi"/>
        </w:rPr>
      </w:pPr>
    </w:p>
    <w:p w14:paraId="68F6DF28" w14:textId="63AFF613" w:rsidR="00142B71" w:rsidRDefault="00142B71" w:rsidP="00F8565C">
      <w:pPr>
        <w:rPr>
          <w:rFonts w:eastAsiaTheme="minorHAnsi"/>
        </w:rPr>
      </w:pPr>
    </w:p>
    <w:p w14:paraId="708024AB" w14:textId="6ED3041B" w:rsidR="00142B71" w:rsidRDefault="00142B71" w:rsidP="00F8565C">
      <w:pPr>
        <w:rPr>
          <w:rFonts w:eastAsiaTheme="minorHAnsi"/>
        </w:rPr>
      </w:pPr>
    </w:p>
    <w:p w14:paraId="30517C6A" w14:textId="23159F77" w:rsidR="00142B71" w:rsidRDefault="00142B71" w:rsidP="00F8565C">
      <w:pPr>
        <w:rPr>
          <w:rFonts w:eastAsiaTheme="minorHAnsi"/>
        </w:rPr>
      </w:pPr>
    </w:p>
    <w:p w14:paraId="0F935381" w14:textId="5986E825" w:rsidR="00142B71" w:rsidRDefault="00142B71" w:rsidP="00F8565C">
      <w:pPr>
        <w:rPr>
          <w:rFonts w:eastAsiaTheme="minorHAnsi"/>
        </w:rPr>
      </w:pPr>
    </w:p>
    <w:p w14:paraId="2784C483" w14:textId="088D6C5E" w:rsidR="00142B71" w:rsidRDefault="00142B71" w:rsidP="00F8565C">
      <w:pPr>
        <w:rPr>
          <w:rFonts w:eastAsiaTheme="minorHAnsi"/>
        </w:rPr>
      </w:pPr>
    </w:p>
    <w:p w14:paraId="3483143C" w14:textId="0A579432" w:rsidR="00142B71" w:rsidRDefault="00142B71" w:rsidP="00F8565C">
      <w:pPr>
        <w:rPr>
          <w:rFonts w:eastAsiaTheme="minorHAnsi"/>
        </w:rPr>
      </w:pPr>
    </w:p>
    <w:p w14:paraId="5CDCFB7C" w14:textId="77777777" w:rsidR="00142B71" w:rsidRDefault="00142B71" w:rsidP="00F8565C">
      <w:pPr>
        <w:rPr>
          <w:rFonts w:eastAsiaTheme="minorHAnsi"/>
        </w:rPr>
      </w:pPr>
    </w:p>
    <w:p w14:paraId="277E2923" w14:textId="7890308A" w:rsidR="00F31A39" w:rsidRDefault="00F31A39" w:rsidP="00F8565C">
      <w:pPr>
        <w:rPr>
          <w:rFonts w:eastAsiaTheme="minorHAnsi"/>
        </w:rPr>
      </w:pPr>
    </w:p>
    <w:p w14:paraId="4EA305E8" w14:textId="79CCBFAE" w:rsidR="00F31A39" w:rsidRDefault="00F31A39" w:rsidP="00F8565C">
      <w:pPr>
        <w:rPr>
          <w:rFonts w:eastAsiaTheme="minorHAnsi"/>
        </w:rPr>
      </w:pPr>
    </w:p>
    <w:p w14:paraId="3EE27357" w14:textId="04B84870" w:rsidR="00F31A39" w:rsidRDefault="00F31A39" w:rsidP="00F8565C">
      <w:pPr>
        <w:rPr>
          <w:rFonts w:eastAsiaTheme="minorHAnsi"/>
        </w:rPr>
      </w:pPr>
    </w:p>
    <w:p w14:paraId="2CBFA31E" w14:textId="261677D1" w:rsidR="00F31A39" w:rsidRDefault="00F31A39" w:rsidP="00F8565C">
      <w:pPr>
        <w:rPr>
          <w:rFonts w:eastAsiaTheme="minorHAnsi"/>
        </w:rPr>
      </w:pPr>
    </w:p>
    <w:p w14:paraId="46FF5921" w14:textId="46D078C8" w:rsidR="00F31A39" w:rsidRDefault="00F31A39" w:rsidP="00F8565C">
      <w:pPr>
        <w:rPr>
          <w:rFonts w:eastAsiaTheme="minorHAnsi"/>
        </w:rPr>
      </w:pPr>
    </w:p>
    <w:p w14:paraId="46B661E1" w14:textId="4DC28636" w:rsidR="00F31A39" w:rsidRDefault="00F31A39" w:rsidP="00F8565C">
      <w:pPr>
        <w:rPr>
          <w:rFonts w:eastAsiaTheme="minorHAnsi"/>
        </w:rPr>
      </w:pPr>
    </w:p>
    <w:p w14:paraId="3AA3A12E" w14:textId="2E39E79C" w:rsidR="004B1ED5" w:rsidRDefault="004B1ED5" w:rsidP="00F8565C">
      <w:pPr>
        <w:rPr>
          <w:rFonts w:eastAsiaTheme="minorHAnsi"/>
        </w:rPr>
      </w:pPr>
    </w:p>
    <w:p w14:paraId="7E7729DA" w14:textId="77777777" w:rsidR="004B1ED5" w:rsidRDefault="004B1ED5" w:rsidP="00F8565C">
      <w:pPr>
        <w:rPr>
          <w:rFonts w:eastAsiaTheme="minorHAnsi"/>
        </w:rPr>
      </w:pPr>
    </w:p>
    <w:p w14:paraId="77D8B405" w14:textId="49C4A20A" w:rsidR="00F31A39" w:rsidRDefault="00F31A39" w:rsidP="00F8565C">
      <w:pPr>
        <w:rPr>
          <w:rFonts w:eastAsiaTheme="minorHAnsi"/>
        </w:rPr>
      </w:pPr>
    </w:p>
    <w:p w14:paraId="17893C77" w14:textId="6BECCC1A" w:rsidR="00F31A39" w:rsidRDefault="00F31A39" w:rsidP="00F8565C">
      <w:pPr>
        <w:rPr>
          <w:rFonts w:eastAsiaTheme="minorHAnsi"/>
        </w:rPr>
      </w:pPr>
    </w:p>
    <w:p w14:paraId="765EF342" w14:textId="23127881" w:rsidR="00F31A39" w:rsidRDefault="00F31A39" w:rsidP="00F8565C">
      <w:pPr>
        <w:rPr>
          <w:rFonts w:eastAsiaTheme="minorHAnsi"/>
        </w:rPr>
      </w:pPr>
    </w:p>
    <w:p w14:paraId="16A5A690" w14:textId="77777777" w:rsidR="00F31A39" w:rsidRPr="003D733D" w:rsidRDefault="00F31A39" w:rsidP="00F8565C">
      <w:pPr>
        <w:rPr>
          <w:rFonts w:eastAsiaTheme="minorHAnsi"/>
        </w:rPr>
      </w:pPr>
    </w:p>
    <w:p w14:paraId="76EFCE44" w14:textId="77777777" w:rsidR="006257C0" w:rsidRPr="007C708F" w:rsidRDefault="00D93382" w:rsidP="00980876">
      <w:pPr>
        <w:pStyle w:val="EIAH1"/>
        <w:numPr>
          <w:ilvl w:val="0"/>
          <w:numId w:val="0"/>
        </w:numPr>
        <w:ind w:left="720"/>
      </w:pPr>
      <w:bookmarkStart w:id="165" w:name="_Toc496611069"/>
      <w:bookmarkStart w:id="166" w:name="_Toc473478777"/>
      <w:bookmarkStart w:id="167" w:name="_Toc471745772"/>
      <w:bookmarkStart w:id="168" w:name="_Toc1581537"/>
      <w:bookmarkEnd w:id="43"/>
      <w:r w:rsidRPr="006257C0">
        <w:rPr>
          <w:rStyle w:val="Heading1Char"/>
          <w:b/>
        </w:rPr>
        <w:lastRenderedPageBreak/>
        <w:t>5</w:t>
      </w:r>
      <w:bookmarkStart w:id="169" w:name="_Toc431386009"/>
      <w:bookmarkEnd w:id="165"/>
      <w:bookmarkEnd w:id="166"/>
      <w:bookmarkEnd w:id="167"/>
      <w:r w:rsidR="006257C0">
        <w:rPr>
          <w:rStyle w:val="Heading1Char"/>
          <w:b/>
        </w:rPr>
        <w:t xml:space="preserve"> </w:t>
      </w:r>
      <w:r w:rsidR="0023451D">
        <w:rPr>
          <w:rStyle w:val="Heading1Char"/>
          <w:b/>
        </w:rPr>
        <w:t xml:space="preserve"> გზშ-ს </w:t>
      </w:r>
      <w:r w:rsidR="006257C0" w:rsidRPr="007C708F">
        <w:t>მეთოდოლოგია</w:t>
      </w:r>
      <w:bookmarkEnd w:id="168"/>
      <w:bookmarkEnd w:id="169"/>
    </w:p>
    <w:p w14:paraId="01E102D2" w14:textId="77777777" w:rsidR="00980876" w:rsidRDefault="00980876" w:rsidP="00980876">
      <w:pPr>
        <w:tabs>
          <w:tab w:val="left" w:pos="2520"/>
        </w:tabs>
        <w:spacing w:before="120" w:after="120"/>
        <w:rPr>
          <w:rFonts w:ascii="AcadNusx" w:hAnsi="AcadNusx"/>
          <w:lang w:val="ka-GE"/>
        </w:rPr>
      </w:pPr>
      <w:bookmarkStart w:id="170" w:name="_Toc496611070"/>
      <w:bookmarkStart w:id="171" w:name="_Toc473478783"/>
      <w:bookmarkStart w:id="172" w:name="_Toc495314353"/>
      <w:bookmarkStart w:id="173" w:name="_Toc479166487"/>
      <w:bookmarkStart w:id="174" w:name="_Toc479164757"/>
      <w:r>
        <w:rPr>
          <w:rFonts w:ascii="Sylfaen" w:hAnsi="Sylfaen" w:cs="Sylfaen"/>
          <w:lang w:val="ka-GE"/>
        </w:rPr>
        <w:t>გარემოზე ზემოქმედების შეფასება ექვს ძირითად კომპონენტს მოიცავს</w:t>
      </w:r>
      <w:r>
        <w:rPr>
          <w:rFonts w:ascii="AcadNusx" w:hAnsi="AcadNusx"/>
          <w:lang w:val="ka-GE"/>
        </w:rPr>
        <w:t xml:space="preserve">, </w:t>
      </w:r>
      <w:r>
        <w:rPr>
          <w:rFonts w:ascii="Sylfaen" w:hAnsi="Sylfaen" w:cs="Sylfaen"/>
          <w:lang w:val="ka-GE"/>
        </w:rPr>
        <w:t>რომლებიც ყველა საერთაშორისო სტანდარტების შესაბამისად შესრულებული შეფასების პროცესში ერთნაირია და გულისხმობს</w:t>
      </w:r>
      <w:r>
        <w:rPr>
          <w:rFonts w:ascii="AcadNusx" w:hAnsi="AcadNusx"/>
          <w:lang w:val="ka-GE"/>
        </w:rPr>
        <w:t>:</w:t>
      </w:r>
    </w:p>
    <w:p w14:paraId="3035F25B" w14:textId="77777777" w:rsidR="00980876" w:rsidRDefault="00980876" w:rsidP="00821E4D">
      <w:pPr>
        <w:pStyle w:val="ListParagraph"/>
        <w:numPr>
          <w:ilvl w:val="0"/>
          <w:numId w:val="47"/>
        </w:numPr>
        <w:spacing w:before="120" w:line="240" w:lineRule="auto"/>
        <w:ind w:right="117"/>
        <w:rPr>
          <w:rFonts w:ascii="Times New Roman" w:hAnsi="Times New Roman"/>
          <w:lang w:val="ka-GE"/>
        </w:rPr>
      </w:pPr>
      <w:r>
        <w:rPr>
          <w:rFonts w:eastAsia="Sylfaen" w:cs="Sylfaen"/>
          <w:spacing w:val="-1"/>
          <w:lang w:val="ka-GE"/>
        </w:rPr>
        <w:t xml:space="preserve">პროექტის შესრულების ტერიტორიაზე შესაძლო ზემოქმედების ქვეშ მოქცეული გარემოს კომპონენტების (ფიზიკური,ბიოლოგიური,სოციალური)ფონური მდგომარეობის შესახებ მონაცემების შეგროვებას </w:t>
      </w:r>
      <w:r>
        <w:rPr>
          <w:rFonts w:eastAsia="Sylfaen" w:cs="Sylfaen"/>
          <w:lang w:val="ka-GE"/>
        </w:rPr>
        <w:t xml:space="preserve">კამერალური </w:t>
      </w:r>
      <w:r>
        <w:rPr>
          <w:rFonts w:eastAsia="Sylfaen" w:cs="Sylfaen"/>
          <w:spacing w:val="-1"/>
          <w:lang w:val="ka-GE"/>
        </w:rPr>
        <w:t xml:space="preserve">და საველე სამუშაოების მეშვეობის ინფორმაციის მოპოვების </w:t>
      </w:r>
      <w:r>
        <w:rPr>
          <w:rFonts w:eastAsia="Sylfaen" w:cs="Sylfaen"/>
          <w:lang w:val="ka-GE"/>
        </w:rPr>
        <w:t>გზით</w:t>
      </w:r>
      <w:r>
        <w:rPr>
          <w:rFonts w:ascii="Times New Roman" w:hAnsi="Times New Roman"/>
          <w:lang w:val="ka-GE"/>
        </w:rPr>
        <w:t>.</w:t>
      </w:r>
    </w:p>
    <w:p w14:paraId="209F4C27" w14:textId="77777777" w:rsidR="00980876" w:rsidRDefault="00980876" w:rsidP="00821E4D">
      <w:pPr>
        <w:pStyle w:val="ListParagraph"/>
        <w:numPr>
          <w:ilvl w:val="0"/>
          <w:numId w:val="47"/>
        </w:numPr>
        <w:spacing w:before="120" w:line="240" w:lineRule="auto"/>
        <w:ind w:right="117"/>
        <w:rPr>
          <w:rFonts w:eastAsia="Sylfaen" w:cs="Sylfaen"/>
          <w:lang w:val="ka-GE"/>
        </w:rPr>
      </w:pPr>
      <w:r>
        <w:rPr>
          <w:rFonts w:eastAsia="Sylfaen" w:cs="Sylfaen"/>
          <w:spacing w:val="-1"/>
          <w:lang w:val="ka-GE"/>
        </w:rPr>
        <w:t>ზემოქმედების იდენტიფიკაციას, მნიშვნელოვნების შეფასებას და შემარბილებელი ღონისძიებების განსაზღვრას (მსოფლიო ბანკის მოთხოვნების და საგზაო დეპარტამენტის პოლიტიკის მიხედვით ზემოქმედების თავიდან აცილებას პრიორიტეტი ენიჭება შერბილებასთან შედარებით)</w:t>
      </w:r>
    </w:p>
    <w:p w14:paraId="1A393C67" w14:textId="77777777" w:rsidR="00980876" w:rsidRDefault="00980876" w:rsidP="00821E4D">
      <w:pPr>
        <w:pStyle w:val="ListParagraph"/>
        <w:numPr>
          <w:ilvl w:val="0"/>
          <w:numId w:val="47"/>
        </w:numPr>
        <w:spacing w:before="120" w:line="240" w:lineRule="auto"/>
        <w:ind w:right="119"/>
        <w:rPr>
          <w:rFonts w:ascii="Times New Roman" w:hAnsi="Times New Roman"/>
          <w:lang w:val="ka-GE"/>
        </w:rPr>
      </w:pPr>
      <w:r>
        <w:rPr>
          <w:rFonts w:eastAsia="Sylfaen" w:cs="Sylfaen"/>
          <w:spacing w:val="-1"/>
          <w:lang w:val="ka-GE"/>
        </w:rPr>
        <w:t xml:space="preserve">ალტერნატივების </w:t>
      </w:r>
      <w:r>
        <w:rPr>
          <w:rFonts w:eastAsia="Sylfaen" w:cs="Sylfaen"/>
          <w:lang w:val="ka-GE"/>
        </w:rPr>
        <w:t>ანალიზს-</w:t>
      </w:r>
      <w:r>
        <w:rPr>
          <w:rFonts w:eastAsia="Sylfaen" w:cs="Sylfaen"/>
          <w:spacing w:val="-1"/>
          <w:lang w:val="ka-GE"/>
        </w:rPr>
        <w:t>ადგილმდებარეობის, ტექნოლოგიის, დიზაინის და ოპერირების თვალსაზრისით, ნულოვანი ალტერნატივის ჩათვლით</w:t>
      </w:r>
      <w:r>
        <w:rPr>
          <w:rFonts w:ascii="Times New Roman" w:hAnsi="Times New Roman"/>
          <w:spacing w:val="-1"/>
          <w:lang w:val="ka-GE"/>
        </w:rPr>
        <w:t>.</w:t>
      </w:r>
    </w:p>
    <w:p w14:paraId="20CEF2CB" w14:textId="77777777" w:rsidR="00980876" w:rsidRDefault="00980876" w:rsidP="00821E4D">
      <w:pPr>
        <w:pStyle w:val="ListParagraph"/>
        <w:numPr>
          <w:ilvl w:val="0"/>
          <w:numId w:val="47"/>
        </w:numPr>
        <w:spacing w:before="120" w:line="240" w:lineRule="auto"/>
        <w:ind w:right="119"/>
        <w:rPr>
          <w:rFonts w:ascii="Times New Roman" w:hAnsi="Times New Roman"/>
          <w:lang w:val="ka-GE"/>
        </w:rPr>
      </w:pPr>
      <w:r>
        <w:rPr>
          <w:rFonts w:eastAsia="Sylfaen" w:cs="Sylfaen"/>
          <w:spacing w:val="-1"/>
          <w:lang w:val="ka-GE"/>
        </w:rPr>
        <w:t xml:space="preserve">გარემოსდაცვითი მენეჯმენტის გეგმის მომზადებას მსოფლიო ბანკის </w:t>
      </w:r>
      <w:r>
        <w:rPr>
          <w:rFonts w:ascii="Times New Roman" w:hAnsi="Times New Roman"/>
          <w:spacing w:val="-1"/>
          <w:lang w:val="ka-GE"/>
        </w:rPr>
        <w:t xml:space="preserve">OP </w:t>
      </w:r>
      <w:r>
        <w:rPr>
          <w:rFonts w:ascii="Times New Roman" w:hAnsi="Times New Roman"/>
          <w:lang w:val="ka-GE"/>
        </w:rPr>
        <w:t xml:space="preserve">4.01 </w:t>
      </w:r>
      <w:r>
        <w:rPr>
          <w:rFonts w:eastAsia="Sylfaen" w:cs="Sylfaen"/>
          <w:spacing w:val="-1"/>
          <w:lang w:val="ka-GE"/>
        </w:rPr>
        <w:t xml:space="preserve">დანართი </w:t>
      </w:r>
      <w:r>
        <w:rPr>
          <w:rFonts w:ascii="Times New Roman" w:hAnsi="Times New Roman"/>
          <w:lang w:val="ka-GE"/>
        </w:rPr>
        <w:t xml:space="preserve">C </w:t>
      </w:r>
      <w:r>
        <w:rPr>
          <w:rFonts w:eastAsia="Sylfaen" w:cs="Sylfaen"/>
          <w:spacing w:val="-1"/>
          <w:lang w:val="ka-GE"/>
        </w:rPr>
        <w:t>შესაბამისად</w:t>
      </w:r>
      <w:r>
        <w:rPr>
          <w:rFonts w:ascii="Times New Roman" w:hAnsi="Times New Roman"/>
          <w:spacing w:val="-1"/>
          <w:lang w:val="ka-GE"/>
        </w:rPr>
        <w:t>.</w:t>
      </w:r>
    </w:p>
    <w:p w14:paraId="3E451224" w14:textId="77777777" w:rsidR="00980876" w:rsidRDefault="00980876" w:rsidP="00821E4D">
      <w:pPr>
        <w:pStyle w:val="ListParagraph"/>
        <w:numPr>
          <w:ilvl w:val="0"/>
          <w:numId w:val="47"/>
        </w:numPr>
        <w:spacing w:before="120" w:line="240" w:lineRule="auto"/>
        <w:ind w:right="117"/>
        <w:rPr>
          <w:rFonts w:ascii="Times New Roman" w:hAnsi="Times New Roman"/>
          <w:lang w:val="ka-GE"/>
        </w:rPr>
      </w:pPr>
      <w:r>
        <w:rPr>
          <w:rFonts w:eastAsia="Sylfaen" w:cs="Sylfaen"/>
          <w:spacing w:val="-1"/>
          <w:lang w:val="ka-GE"/>
        </w:rPr>
        <w:t>კონსულტაციებს დაიტერესებულ მხარეებთან და ინფორმაციის გასაჯაროებას (საქართველოს კანონმდებლობის და მსოფლიობანკის პოლიტიკის შესაბამისად)</w:t>
      </w:r>
      <w:r>
        <w:rPr>
          <w:rFonts w:ascii="Times New Roman" w:hAnsi="Times New Roman"/>
          <w:spacing w:val="-1"/>
          <w:lang w:val="ka-GE"/>
        </w:rPr>
        <w:t>.</w:t>
      </w:r>
    </w:p>
    <w:p w14:paraId="7AD5B1FC" w14:textId="77777777" w:rsidR="00980876" w:rsidRDefault="00980876" w:rsidP="00821E4D">
      <w:pPr>
        <w:pStyle w:val="ListParagraph"/>
        <w:numPr>
          <w:ilvl w:val="0"/>
          <w:numId w:val="47"/>
        </w:numPr>
        <w:spacing w:before="120" w:line="240" w:lineRule="auto"/>
        <w:rPr>
          <w:rFonts w:ascii="Times New Roman" w:hAnsi="Times New Roman"/>
          <w:spacing w:val="-1"/>
          <w:lang w:val="ka-GE"/>
        </w:rPr>
      </w:pPr>
      <w:r>
        <w:rPr>
          <w:rFonts w:eastAsia="Sylfaen" w:cs="Sylfaen"/>
          <w:spacing w:val="-1"/>
          <w:lang w:val="ka-GE"/>
        </w:rPr>
        <w:t>გზშ ანგარიშის სამუშაო ვერსიის და დაინტერესებულ მხარეებისგან მიღებული კომენტარების/შეკითხვების და/ან შენიშვნების გათვალისწინებით საბოლოო ვერსიის მოზადებას</w:t>
      </w:r>
      <w:r>
        <w:rPr>
          <w:rFonts w:ascii="Times New Roman" w:hAnsi="Times New Roman"/>
          <w:spacing w:val="-1"/>
          <w:lang w:val="ka-GE"/>
        </w:rPr>
        <w:t>.</w:t>
      </w:r>
    </w:p>
    <w:p w14:paraId="731A189D" w14:textId="77777777" w:rsidR="00980876" w:rsidRDefault="00980876" w:rsidP="00980876">
      <w:pPr>
        <w:pStyle w:val="Heading2"/>
        <w:spacing w:before="120" w:after="120"/>
      </w:pPr>
      <w:r>
        <w:rPr>
          <w:u w:val="single"/>
        </w:rPr>
        <w:br/>
      </w:r>
      <w:bookmarkStart w:id="175" w:name="_Toc529977377"/>
      <w:bookmarkStart w:id="176" w:name="_Toc1581538"/>
      <w:r>
        <w:t xml:space="preserve">5.1 </w:t>
      </w:r>
      <w:r>
        <w:rPr>
          <w:rFonts w:ascii="Sylfaen" w:hAnsi="Sylfaen" w:cs="Sylfaen"/>
        </w:rPr>
        <w:t>ბოტანიკური</w:t>
      </w:r>
      <w:r>
        <w:t xml:space="preserve"> </w:t>
      </w:r>
      <w:r>
        <w:rPr>
          <w:rFonts w:ascii="Sylfaen" w:hAnsi="Sylfaen" w:cs="Sylfaen"/>
        </w:rPr>
        <w:t>და</w:t>
      </w:r>
      <w:r>
        <w:t xml:space="preserve"> </w:t>
      </w:r>
      <w:r>
        <w:rPr>
          <w:rFonts w:ascii="Sylfaen" w:hAnsi="Sylfaen" w:cs="Sylfaen"/>
          <w:lang w:val="ka-GE"/>
        </w:rPr>
        <w:t>ფაუნისტური</w:t>
      </w:r>
      <w:r>
        <w:rPr>
          <w:lang w:val="ka-GE"/>
        </w:rPr>
        <w:t xml:space="preserve"> </w:t>
      </w:r>
      <w:r>
        <w:rPr>
          <w:rFonts w:ascii="Sylfaen" w:hAnsi="Sylfaen" w:cs="Sylfaen"/>
        </w:rPr>
        <w:t>კვლევები</w:t>
      </w:r>
      <w:bookmarkEnd w:id="175"/>
      <w:bookmarkEnd w:id="176"/>
    </w:p>
    <w:p w14:paraId="4B2F39D8" w14:textId="77777777" w:rsidR="00980876" w:rsidRDefault="00980876" w:rsidP="00980876">
      <w:pPr>
        <w:pStyle w:val="BodyText"/>
        <w:spacing w:before="120" w:after="120" w:line="240" w:lineRule="auto"/>
        <w:jc w:val="both"/>
        <w:rPr>
          <w:rFonts w:ascii="Sylfaen" w:hAnsi="Sylfaen"/>
          <w:szCs w:val="22"/>
          <w:lang w:val="ka-GE"/>
        </w:rPr>
      </w:pPr>
      <w:r>
        <w:rPr>
          <w:rFonts w:ascii="Sylfaen" w:hAnsi="Sylfaen"/>
          <w:sz w:val="22"/>
          <w:szCs w:val="22"/>
          <w:lang w:val="ka-GE" w:eastAsia="en-US"/>
        </w:rPr>
        <w:t xml:space="preserve">შეფასების და ანგარიშის მომზადების პროცესში გამოყენებული იყო პირველადი და მეორადი წყაროები (ანგარიშები,სტატიები,სამეცნიერო ლიტერატურა და ა.შ.) ჩატარდა </w:t>
      </w:r>
      <w:r>
        <w:rPr>
          <w:rFonts w:ascii="Sylfaen" w:hAnsi="Sylfaen" w:cs="Sylfaen"/>
          <w:sz w:val="22"/>
          <w:szCs w:val="22"/>
          <w:lang w:val="ka-GE"/>
        </w:rPr>
        <w:t>ბოტანიკური</w:t>
      </w:r>
      <w:r>
        <w:rPr>
          <w:sz w:val="22"/>
          <w:szCs w:val="22"/>
          <w:lang w:val="ka-GE"/>
        </w:rPr>
        <w:t xml:space="preserve"> </w:t>
      </w:r>
      <w:r>
        <w:rPr>
          <w:rFonts w:ascii="Sylfaen" w:hAnsi="Sylfaen" w:cs="Sylfaen"/>
          <w:sz w:val="22"/>
          <w:szCs w:val="22"/>
          <w:lang w:val="ka-GE"/>
        </w:rPr>
        <w:t>და</w:t>
      </w:r>
      <w:r>
        <w:rPr>
          <w:sz w:val="22"/>
          <w:szCs w:val="22"/>
          <w:lang w:val="ka-GE"/>
        </w:rPr>
        <w:t xml:space="preserve"> </w:t>
      </w:r>
      <w:r>
        <w:rPr>
          <w:rFonts w:ascii="Sylfaen" w:hAnsi="Sylfaen" w:cs="Sylfaen"/>
          <w:sz w:val="22"/>
          <w:szCs w:val="22"/>
          <w:lang w:val="ka-GE"/>
        </w:rPr>
        <w:t>ფაუნის</w:t>
      </w:r>
      <w:r>
        <w:rPr>
          <w:sz w:val="22"/>
          <w:szCs w:val="22"/>
          <w:lang w:val="ka-GE"/>
        </w:rPr>
        <w:t xml:space="preserve"> </w:t>
      </w:r>
      <w:r>
        <w:rPr>
          <w:rFonts w:ascii="Sylfaen" w:hAnsi="Sylfaen" w:cs="Sylfaen"/>
          <w:sz w:val="22"/>
          <w:szCs w:val="22"/>
          <w:lang w:val="ka-GE"/>
        </w:rPr>
        <w:t>კვლევა</w:t>
      </w:r>
      <w:r>
        <w:rPr>
          <w:sz w:val="22"/>
          <w:szCs w:val="22"/>
          <w:lang w:val="ka-GE"/>
        </w:rPr>
        <w:t xml:space="preserve">. </w:t>
      </w:r>
      <w:r>
        <w:rPr>
          <w:rFonts w:ascii="Sylfaen" w:hAnsi="Sylfaen" w:cs="Sylfaen"/>
          <w:sz w:val="22"/>
          <w:szCs w:val="22"/>
          <w:lang w:val="ka-GE"/>
        </w:rPr>
        <w:t>საველე</w:t>
      </w:r>
      <w:r>
        <w:rPr>
          <w:sz w:val="22"/>
          <w:szCs w:val="22"/>
          <w:lang w:val="ka-GE"/>
        </w:rPr>
        <w:t xml:space="preserve"> </w:t>
      </w:r>
      <w:r>
        <w:rPr>
          <w:rFonts w:ascii="Sylfaen" w:hAnsi="Sylfaen" w:cs="Sylfaen"/>
          <w:sz w:val="22"/>
          <w:szCs w:val="22"/>
          <w:lang w:val="ka-GE"/>
        </w:rPr>
        <w:t>სამუშაოები</w:t>
      </w:r>
      <w:r>
        <w:rPr>
          <w:sz w:val="22"/>
          <w:szCs w:val="22"/>
          <w:lang w:val="ka-GE"/>
        </w:rPr>
        <w:t xml:space="preserve"> </w:t>
      </w:r>
      <w:r>
        <w:rPr>
          <w:rFonts w:ascii="Sylfaen" w:hAnsi="Sylfaen" w:cs="Sylfaen"/>
          <w:sz w:val="22"/>
          <w:szCs w:val="22"/>
          <w:lang w:val="ka-GE"/>
        </w:rPr>
        <w:t>შესრულდა</w:t>
      </w:r>
      <w:r>
        <w:rPr>
          <w:sz w:val="22"/>
          <w:szCs w:val="22"/>
          <w:lang w:val="ka-GE"/>
        </w:rPr>
        <w:t xml:space="preserve"> </w:t>
      </w:r>
      <w:r>
        <w:rPr>
          <w:rFonts w:ascii="Sylfaen" w:hAnsi="Sylfaen" w:cs="Sylfaen"/>
          <w:sz w:val="22"/>
          <w:szCs w:val="22"/>
          <w:lang w:val="ka-GE"/>
        </w:rPr>
        <w:t>ბიომრავალფეროვნების</w:t>
      </w:r>
      <w:r>
        <w:rPr>
          <w:sz w:val="22"/>
          <w:szCs w:val="22"/>
          <w:lang w:val="ka-GE"/>
        </w:rPr>
        <w:t xml:space="preserve"> </w:t>
      </w:r>
      <w:r>
        <w:rPr>
          <w:rFonts w:ascii="Sylfaen" w:hAnsi="Sylfaen" w:cs="Sylfaen"/>
          <w:sz w:val="22"/>
          <w:szCs w:val="22"/>
          <w:lang w:val="ka-GE"/>
        </w:rPr>
        <w:t>ჯგუფის</w:t>
      </w:r>
      <w:r>
        <w:rPr>
          <w:szCs w:val="22"/>
          <w:lang w:val="ka-GE"/>
        </w:rPr>
        <w:t xml:space="preserve"> </w:t>
      </w:r>
      <w:r>
        <w:rPr>
          <w:rFonts w:ascii="Sylfaen" w:hAnsi="Sylfaen" w:cs="Sylfaen"/>
          <w:szCs w:val="22"/>
          <w:lang w:val="ka-GE"/>
        </w:rPr>
        <w:t>მიერ</w:t>
      </w:r>
      <w:r>
        <w:rPr>
          <w:szCs w:val="22"/>
          <w:lang w:val="ka-GE"/>
        </w:rPr>
        <w:t xml:space="preserve"> 201</w:t>
      </w:r>
      <w:r>
        <w:rPr>
          <w:rFonts w:ascii="Sylfaen" w:hAnsi="Sylfaen"/>
          <w:szCs w:val="22"/>
          <w:lang w:val="ka-GE"/>
        </w:rPr>
        <w:t>7</w:t>
      </w:r>
      <w:r>
        <w:rPr>
          <w:szCs w:val="22"/>
          <w:lang w:val="ka-GE"/>
        </w:rPr>
        <w:t xml:space="preserve"> </w:t>
      </w:r>
      <w:r>
        <w:rPr>
          <w:rFonts w:ascii="Sylfaen" w:hAnsi="Sylfaen" w:cs="Sylfaen"/>
          <w:szCs w:val="22"/>
          <w:lang w:val="ka-GE"/>
        </w:rPr>
        <w:t>წლის</w:t>
      </w:r>
      <w:r>
        <w:rPr>
          <w:szCs w:val="22"/>
          <w:lang w:val="ka-GE"/>
        </w:rPr>
        <w:t xml:space="preserve"> </w:t>
      </w:r>
      <w:r>
        <w:rPr>
          <w:rFonts w:ascii="Sylfaen" w:hAnsi="Sylfaen"/>
          <w:szCs w:val="22"/>
          <w:lang w:val="ka-GE"/>
        </w:rPr>
        <w:t>ოქტომბერი-ნოემბერში</w:t>
      </w:r>
      <w:r>
        <w:rPr>
          <w:szCs w:val="22"/>
          <w:lang w:val="ka-GE"/>
        </w:rPr>
        <w:t xml:space="preserve">. </w:t>
      </w:r>
    </w:p>
    <w:p w14:paraId="6DCAE237" w14:textId="77777777" w:rsidR="00980876" w:rsidRDefault="00980876" w:rsidP="00980876">
      <w:pPr>
        <w:spacing w:before="120" w:after="120"/>
        <w:rPr>
          <w:rFonts w:ascii="Sylfaen" w:hAnsi="Sylfaen"/>
          <w:szCs w:val="22"/>
          <w:lang w:val="ka-GE" w:eastAsia="en-US"/>
        </w:rPr>
      </w:pPr>
      <w:r>
        <w:rPr>
          <w:rFonts w:ascii="Sylfaen" w:hAnsi="Sylfaen"/>
          <w:szCs w:val="22"/>
          <w:lang w:val="ka-GE" w:eastAsia="en-US"/>
        </w:rPr>
        <w:t xml:space="preserve">ბოტანიკური კვლევის შეფასები მიზანი იყო პროექტის განხორციელების ზოლში მოხვედრილი მცერანარეთა ნარისსახეობის განსაზღვრა, სენსიტიური/დაცული სახეობების გამოვლანა და მათი დაფიქსირება. შესაძლო პირდაპირი და ირივი ზემოქმედების გათვალისწინებით შეფასებულ იქნა 50მ ღერძულა ხაზიდან. ჩატარდა ტერიტორიის ვიზუალური დათვალიერება. </w:t>
      </w:r>
    </w:p>
    <w:p w14:paraId="1B555484" w14:textId="77777777" w:rsidR="00980876" w:rsidRDefault="00980876" w:rsidP="00980876">
      <w:pPr>
        <w:pStyle w:val="BodyText"/>
        <w:spacing w:before="120" w:after="120" w:line="240" w:lineRule="auto"/>
        <w:jc w:val="both"/>
        <w:rPr>
          <w:rFonts w:ascii="Sylfaen" w:hAnsi="Sylfaen"/>
          <w:sz w:val="22"/>
          <w:szCs w:val="22"/>
          <w:lang w:val="ka-GE"/>
        </w:rPr>
      </w:pPr>
      <w:r>
        <w:rPr>
          <w:rFonts w:ascii="Sylfaen" w:hAnsi="Sylfaen" w:cs="Sylfaen"/>
          <w:sz w:val="22"/>
          <w:szCs w:val="22"/>
          <w:lang w:val="ka-GE"/>
        </w:rPr>
        <w:t>შეფასდა</w:t>
      </w:r>
      <w:r>
        <w:rPr>
          <w:sz w:val="22"/>
          <w:szCs w:val="22"/>
          <w:lang w:val="ka-GE"/>
        </w:rPr>
        <w:t xml:space="preserve"> </w:t>
      </w:r>
      <w:r>
        <w:rPr>
          <w:rFonts w:ascii="Sylfaen" w:hAnsi="Sylfaen" w:cs="Sylfaen"/>
          <w:sz w:val="22"/>
          <w:szCs w:val="22"/>
          <w:lang w:val="ka-GE"/>
        </w:rPr>
        <w:t>მცენარეთა</w:t>
      </w:r>
      <w:r>
        <w:rPr>
          <w:sz w:val="22"/>
          <w:szCs w:val="22"/>
          <w:lang w:val="ka-GE"/>
        </w:rPr>
        <w:t xml:space="preserve"> </w:t>
      </w:r>
      <w:r>
        <w:rPr>
          <w:rFonts w:ascii="Sylfaen" w:hAnsi="Sylfaen" w:cs="Sylfaen"/>
          <w:sz w:val="22"/>
          <w:szCs w:val="22"/>
          <w:lang w:val="ka-GE"/>
        </w:rPr>
        <w:t>ძირითადი</w:t>
      </w:r>
      <w:r>
        <w:rPr>
          <w:sz w:val="22"/>
          <w:szCs w:val="22"/>
          <w:lang w:val="ka-GE"/>
        </w:rPr>
        <w:t xml:space="preserve"> </w:t>
      </w:r>
      <w:r>
        <w:rPr>
          <w:rFonts w:ascii="Sylfaen" w:hAnsi="Sylfaen" w:cs="Sylfaen"/>
          <w:sz w:val="22"/>
          <w:szCs w:val="22"/>
          <w:lang w:val="ka-GE"/>
        </w:rPr>
        <w:t>ტიპები</w:t>
      </w:r>
      <w:r>
        <w:rPr>
          <w:sz w:val="22"/>
          <w:szCs w:val="22"/>
          <w:lang w:val="ka-GE"/>
        </w:rPr>
        <w:t xml:space="preserve">, </w:t>
      </w:r>
      <w:r>
        <w:rPr>
          <w:rFonts w:ascii="Sylfaen" w:hAnsi="Sylfaen" w:cs="Sylfaen"/>
          <w:sz w:val="22"/>
          <w:szCs w:val="22"/>
          <w:lang w:val="ka-GE"/>
        </w:rPr>
        <w:t>სახეობრივი</w:t>
      </w:r>
      <w:r>
        <w:rPr>
          <w:rFonts w:cs="Sylfaen"/>
          <w:sz w:val="22"/>
          <w:szCs w:val="22"/>
          <w:lang w:val="ka-GE"/>
        </w:rPr>
        <w:t xml:space="preserve"> </w:t>
      </w:r>
      <w:r>
        <w:rPr>
          <w:rFonts w:ascii="Sylfaen" w:hAnsi="Sylfaen" w:cs="Sylfaen"/>
          <w:sz w:val="22"/>
          <w:szCs w:val="22"/>
          <w:lang w:val="ka-GE"/>
        </w:rPr>
        <w:t>შემადგენლობა</w:t>
      </w:r>
      <w:r>
        <w:rPr>
          <w:sz w:val="22"/>
          <w:szCs w:val="22"/>
          <w:lang w:val="ka-GE"/>
        </w:rPr>
        <w:t xml:space="preserve">, </w:t>
      </w:r>
      <w:r>
        <w:rPr>
          <w:rFonts w:ascii="Sylfaen" w:hAnsi="Sylfaen" w:cs="Sylfaen"/>
          <w:sz w:val="22"/>
          <w:szCs w:val="22"/>
          <w:lang w:val="ka-GE"/>
        </w:rPr>
        <w:t>განისაზღვრა</w:t>
      </w:r>
      <w:r>
        <w:rPr>
          <w:sz w:val="22"/>
          <w:szCs w:val="22"/>
          <w:lang w:val="ka-GE"/>
        </w:rPr>
        <w:t xml:space="preserve"> </w:t>
      </w:r>
      <w:r>
        <w:rPr>
          <w:rFonts w:ascii="Sylfaen" w:hAnsi="Sylfaen" w:cs="Sylfaen"/>
          <w:sz w:val="22"/>
          <w:szCs w:val="22"/>
          <w:lang w:val="ka-GE"/>
        </w:rPr>
        <w:t>დომინანტი</w:t>
      </w:r>
      <w:r>
        <w:rPr>
          <w:sz w:val="22"/>
          <w:szCs w:val="22"/>
          <w:lang w:val="ka-GE"/>
        </w:rPr>
        <w:t xml:space="preserve"> </w:t>
      </w:r>
      <w:r>
        <w:rPr>
          <w:rFonts w:ascii="Sylfaen" w:hAnsi="Sylfaen" w:cs="Sylfaen"/>
          <w:sz w:val="22"/>
          <w:szCs w:val="22"/>
          <w:lang w:val="ka-GE"/>
        </w:rPr>
        <w:t>სახეობები</w:t>
      </w:r>
      <w:r>
        <w:rPr>
          <w:sz w:val="22"/>
          <w:szCs w:val="22"/>
          <w:lang w:val="ka-GE"/>
        </w:rPr>
        <w:t xml:space="preserve">, </w:t>
      </w:r>
      <w:r>
        <w:rPr>
          <w:rFonts w:ascii="Sylfaen" w:hAnsi="Sylfaen" w:cs="Sylfaen"/>
          <w:sz w:val="22"/>
          <w:szCs w:val="22"/>
          <w:lang w:val="ka-GE"/>
        </w:rPr>
        <w:t>ბიომის</w:t>
      </w:r>
      <w:r>
        <w:rPr>
          <w:sz w:val="22"/>
          <w:szCs w:val="22"/>
          <w:lang w:val="ka-GE"/>
        </w:rPr>
        <w:t xml:space="preserve"> </w:t>
      </w:r>
      <w:r>
        <w:rPr>
          <w:rFonts w:ascii="Sylfaen" w:hAnsi="Sylfaen" w:cs="Sylfaen"/>
          <w:sz w:val="22"/>
          <w:szCs w:val="22"/>
          <w:lang w:val="ka-GE"/>
        </w:rPr>
        <w:t>სენსიტიურობა</w:t>
      </w:r>
      <w:r>
        <w:rPr>
          <w:sz w:val="22"/>
          <w:szCs w:val="22"/>
          <w:lang w:val="ka-GE"/>
        </w:rPr>
        <w:t xml:space="preserve"> </w:t>
      </w:r>
      <w:r>
        <w:rPr>
          <w:rFonts w:ascii="Sylfaen" w:hAnsi="Sylfaen" w:cs="Sylfaen"/>
          <w:sz w:val="22"/>
          <w:szCs w:val="22"/>
          <w:lang w:val="ka-GE"/>
        </w:rPr>
        <w:t>და</w:t>
      </w:r>
      <w:r>
        <w:rPr>
          <w:rFonts w:cs="Sylfaen"/>
          <w:sz w:val="22"/>
          <w:szCs w:val="22"/>
          <w:lang w:val="ka-GE"/>
        </w:rPr>
        <w:t xml:space="preserve"> </w:t>
      </w:r>
      <w:r>
        <w:rPr>
          <w:rFonts w:ascii="Sylfaen" w:hAnsi="Sylfaen" w:cs="Sylfaen"/>
          <w:sz w:val="22"/>
          <w:szCs w:val="22"/>
          <w:lang w:val="ka-GE"/>
        </w:rPr>
        <w:t>მცენარეთა</w:t>
      </w:r>
      <w:r>
        <w:rPr>
          <w:sz w:val="22"/>
          <w:szCs w:val="22"/>
          <w:lang w:val="ka-GE"/>
        </w:rPr>
        <w:t xml:space="preserve"> </w:t>
      </w:r>
      <w:r>
        <w:rPr>
          <w:rFonts w:ascii="Sylfaen" w:hAnsi="Sylfaen" w:cs="Sylfaen"/>
          <w:sz w:val="22"/>
          <w:szCs w:val="22"/>
          <w:lang w:val="ka-GE"/>
        </w:rPr>
        <w:t>კომერციული</w:t>
      </w:r>
      <w:r>
        <w:rPr>
          <w:sz w:val="22"/>
          <w:szCs w:val="22"/>
          <w:lang w:val="ka-GE"/>
        </w:rPr>
        <w:t xml:space="preserve"> </w:t>
      </w:r>
      <w:r>
        <w:rPr>
          <w:rFonts w:ascii="Sylfaen" w:hAnsi="Sylfaen" w:cs="Sylfaen"/>
          <w:sz w:val="22"/>
          <w:szCs w:val="22"/>
          <w:lang w:val="ka-GE"/>
        </w:rPr>
        <w:t>ღირებულება</w:t>
      </w:r>
      <w:r>
        <w:rPr>
          <w:sz w:val="22"/>
          <w:szCs w:val="22"/>
          <w:lang w:val="ka-GE"/>
        </w:rPr>
        <w:t xml:space="preserve">. </w:t>
      </w:r>
      <w:r>
        <w:rPr>
          <w:rFonts w:ascii="Sylfaen" w:hAnsi="Sylfaen" w:cs="Sylfaen"/>
          <w:sz w:val="22"/>
          <w:szCs w:val="22"/>
          <w:lang w:val="ka-GE"/>
        </w:rPr>
        <w:t>შესწავლილ</w:t>
      </w:r>
      <w:r>
        <w:rPr>
          <w:sz w:val="22"/>
          <w:szCs w:val="22"/>
          <w:lang w:val="ka-GE"/>
        </w:rPr>
        <w:t xml:space="preserve"> </w:t>
      </w:r>
      <w:r>
        <w:rPr>
          <w:rFonts w:ascii="Sylfaen" w:hAnsi="Sylfaen" w:cs="Sylfaen"/>
          <w:sz w:val="22"/>
          <w:szCs w:val="22"/>
          <w:lang w:val="ka-GE"/>
        </w:rPr>
        <w:t>იქნა</w:t>
      </w:r>
      <w:r>
        <w:rPr>
          <w:sz w:val="22"/>
          <w:szCs w:val="22"/>
          <w:lang w:val="ka-GE"/>
        </w:rPr>
        <w:t xml:space="preserve"> </w:t>
      </w:r>
      <w:r>
        <w:rPr>
          <w:rFonts w:ascii="Sylfaen" w:hAnsi="Sylfaen" w:cs="Sylfaen"/>
          <w:sz w:val="22"/>
          <w:szCs w:val="22"/>
          <w:lang w:val="ka-GE"/>
        </w:rPr>
        <w:t>ენდემური</w:t>
      </w:r>
      <w:r>
        <w:rPr>
          <w:sz w:val="22"/>
          <w:szCs w:val="22"/>
          <w:lang w:val="ka-GE"/>
        </w:rPr>
        <w:t xml:space="preserve">, </w:t>
      </w:r>
      <w:r>
        <w:rPr>
          <w:rFonts w:ascii="Sylfaen" w:hAnsi="Sylfaen" w:cs="Sylfaen"/>
          <w:sz w:val="22"/>
          <w:szCs w:val="22"/>
          <w:lang w:val="ka-GE"/>
        </w:rPr>
        <w:t>იშვიათი</w:t>
      </w:r>
      <w:r>
        <w:rPr>
          <w:sz w:val="22"/>
          <w:szCs w:val="22"/>
          <w:lang w:val="ka-GE"/>
        </w:rPr>
        <w:t xml:space="preserve"> </w:t>
      </w:r>
      <w:r>
        <w:rPr>
          <w:rFonts w:ascii="Sylfaen" w:hAnsi="Sylfaen" w:cs="Sylfaen"/>
          <w:sz w:val="22"/>
          <w:szCs w:val="22"/>
          <w:lang w:val="ka-GE"/>
        </w:rPr>
        <w:t>და</w:t>
      </w:r>
      <w:r>
        <w:rPr>
          <w:sz w:val="22"/>
          <w:szCs w:val="22"/>
          <w:lang w:val="ka-GE"/>
        </w:rPr>
        <w:t xml:space="preserve"> </w:t>
      </w:r>
      <w:r>
        <w:rPr>
          <w:rFonts w:ascii="Sylfaen" w:hAnsi="Sylfaen" w:cs="Sylfaen"/>
          <w:sz w:val="22"/>
          <w:szCs w:val="22"/>
          <w:lang w:val="ka-GE"/>
        </w:rPr>
        <w:t>სხვა</w:t>
      </w:r>
      <w:r>
        <w:rPr>
          <w:sz w:val="22"/>
          <w:szCs w:val="22"/>
          <w:lang w:val="ka-GE"/>
        </w:rPr>
        <w:t xml:space="preserve"> </w:t>
      </w:r>
      <w:r>
        <w:rPr>
          <w:rFonts w:ascii="Sylfaen" w:hAnsi="Sylfaen" w:cs="Sylfaen"/>
          <w:sz w:val="22"/>
          <w:szCs w:val="22"/>
          <w:lang w:val="ka-GE"/>
        </w:rPr>
        <w:t>დაცული</w:t>
      </w:r>
      <w:r>
        <w:rPr>
          <w:sz w:val="22"/>
          <w:szCs w:val="22"/>
          <w:lang w:val="ka-GE"/>
        </w:rPr>
        <w:t xml:space="preserve"> </w:t>
      </w:r>
      <w:r>
        <w:rPr>
          <w:rFonts w:ascii="Sylfaen" w:hAnsi="Sylfaen" w:cs="Sylfaen"/>
          <w:sz w:val="22"/>
          <w:szCs w:val="22"/>
          <w:lang w:val="ka-GE"/>
        </w:rPr>
        <w:t>სახეობების</w:t>
      </w:r>
      <w:r>
        <w:rPr>
          <w:sz w:val="22"/>
          <w:szCs w:val="22"/>
          <w:lang w:val="ka-GE"/>
        </w:rPr>
        <w:t xml:space="preserve"> </w:t>
      </w:r>
      <w:r>
        <w:rPr>
          <w:rFonts w:ascii="Sylfaen" w:hAnsi="Sylfaen" w:cs="Sylfaen"/>
          <w:sz w:val="22"/>
          <w:szCs w:val="22"/>
          <w:lang w:val="ka-GE"/>
        </w:rPr>
        <w:t>არსებობა</w:t>
      </w:r>
      <w:r>
        <w:rPr>
          <w:sz w:val="22"/>
          <w:szCs w:val="22"/>
          <w:lang w:val="ka-GE"/>
        </w:rPr>
        <w:t xml:space="preserve"> </w:t>
      </w:r>
      <w:r>
        <w:rPr>
          <w:rFonts w:ascii="Sylfaen" w:hAnsi="Sylfaen" w:cs="Sylfaen"/>
          <w:sz w:val="22"/>
          <w:szCs w:val="22"/>
          <w:lang w:val="ka-GE"/>
        </w:rPr>
        <w:t>პროექტის</w:t>
      </w:r>
      <w:r>
        <w:rPr>
          <w:sz w:val="22"/>
          <w:szCs w:val="22"/>
          <w:lang w:val="ka-GE"/>
        </w:rPr>
        <w:t xml:space="preserve"> </w:t>
      </w:r>
      <w:r>
        <w:rPr>
          <w:rFonts w:ascii="Sylfaen" w:hAnsi="Sylfaen" w:cs="Sylfaen"/>
          <w:sz w:val="22"/>
          <w:szCs w:val="22"/>
          <w:lang w:val="ka-GE"/>
        </w:rPr>
        <w:t>ზემოქმედების</w:t>
      </w:r>
      <w:r>
        <w:rPr>
          <w:rFonts w:cs="Sylfaen"/>
          <w:sz w:val="22"/>
          <w:szCs w:val="22"/>
          <w:lang w:val="ka-GE"/>
        </w:rPr>
        <w:t xml:space="preserve"> </w:t>
      </w:r>
      <w:r>
        <w:rPr>
          <w:rFonts w:ascii="Sylfaen" w:hAnsi="Sylfaen" w:cs="Sylfaen"/>
          <w:sz w:val="22"/>
          <w:szCs w:val="22"/>
          <w:lang w:val="ka-GE"/>
        </w:rPr>
        <w:t>ზონაში</w:t>
      </w:r>
      <w:r>
        <w:rPr>
          <w:sz w:val="22"/>
          <w:szCs w:val="22"/>
          <w:lang w:val="ka-GE"/>
        </w:rPr>
        <w:t xml:space="preserve">. </w:t>
      </w:r>
    </w:p>
    <w:p w14:paraId="3397FB3C" w14:textId="77777777" w:rsidR="00980876" w:rsidRDefault="00980876" w:rsidP="00980876">
      <w:pPr>
        <w:pStyle w:val="BodyText"/>
        <w:spacing w:before="120" w:after="120" w:line="240" w:lineRule="auto"/>
        <w:jc w:val="both"/>
        <w:rPr>
          <w:rFonts w:ascii="Sylfaen" w:hAnsi="Sylfaen"/>
          <w:sz w:val="22"/>
          <w:szCs w:val="22"/>
          <w:lang w:val="ka-GE"/>
        </w:rPr>
      </w:pPr>
      <w:r>
        <w:rPr>
          <w:rFonts w:ascii="Sylfaen" w:hAnsi="Sylfaen" w:cs="Sylfaen"/>
          <w:sz w:val="22"/>
          <w:szCs w:val="22"/>
          <w:lang w:val="ka-GE"/>
        </w:rPr>
        <w:t>ფაუნის</w:t>
      </w:r>
      <w:r>
        <w:rPr>
          <w:sz w:val="22"/>
          <w:szCs w:val="22"/>
          <w:lang w:val="ka-GE"/>
        </w:rPr>
        <w:t xml:space="preserve"> </w:t>
      </w:r>
      <w:r>
        <w:rPr>
          <w:rFonts w:ascii="Sylfaen" w:hAnsi="Sylfaen" w:cs="Sylfaen"/>
          <w:sz w:val="22"/>
          <w:szCs w:val="22"/>
          <w:lang w:val="ka-GE"/>
        </w:rPr>
        <w:t>შესწავლის</w:t>
      </w:r>
      <w:r>
        <w:rPr>
          <w:sz w:val="22"/>
          <w:szCs w:val="22"/>
          <w:lang w:val="ka-GE"/>
        </w:rPr>
        <w:t xml:space="preserve"> </w:t>
      </w:r>
      <w:r>
        <w:rPr>
          <w:rFonts w:ascii="Sylfaen" w:hAnsi="Sylfaen" w:cs="Sylfaen"/>
          <w:sz w:val="22"/>
          <w:szCs w:val="22"/>
          <w:lang w:val="ka-GE"/>
        </w:rPr>
        <w:t>მიზანი</w:t>
      </w:r>
      <w:r>
        <w:rPr>
          <w:sz w:val="22"/>
          <w:szCs w:val="22"/>
          <w:lang w:val="ka-GE"/>
        </w:rPr>
        <w:t xml:space="preserve"> </w:t>
      </w:r>
      <w:r>
        <w:rPr>
          <w:rFonts w:ascii="Sylfaen" w:hAnsi="Sylfaen" w:cs="Sylfaen"/>
          <w:sz w:val="22"/>
          <w:szCs w:val="22"/>
          <w:lang w:val="ka-GE"/>
        </w:rPr>
        <w:t>იყო</w:t>
      </w:r>
      <w:r>
        <w:rPr>
          <w:sz w:val="22"/>
          <w:szCs w:val="22"/>
          <w:lang w:val="ka-GE"/>
        </w:rPr>
        <w:t xml:space="preserve"> </w:t>
      </w:r>
      <w:r>
        <w:rPr>
          <w:rFonts w:ascii="Sylfaen" w:hAnsi="Sylfaen" w:cs="Sylfaen"/>
          <w:sz w:val="22"/>
          <w:szCs w:val="22"/>
          <w:lang w:val="ka-GE"/>
        </w:rPr>
        <w:t>სახეობების</w:t>
      </w:r>
      <w:r>
        <w:rPr>
          <w:sz w:val="22"/>
          <w:szCs w:val="22"/>
          <w:lang w:val="ka-GE"/>
        </w:rPr>
        <w:t xml:space="preserve"> </w:t>
      </w:r>
      <w:r>
        <w:rPr>
          <w:rFonts w:ascii="Sylfaen" w:hAnsi="Sylfaen" w:cs="Sylfaen"/>
          <w:sz w:val="22"/>
          <w:szCs w:val="22"/>
          <w:lang w:val="ka-GE"/>
        </w:rPr>
        <w:t>შესახებ</w:t>
      </w:r>
      <w:r>
        <w:rPr>
          <w:sz w:val="22"/>
          <w:szCs w:val="22"/>
          <w:lang w:val="ka-GE"/>
        </w:rPr>
        <w:t xml:space="preserve"> </w:t>
      </w:r>
      <w:r>
        <w:rPr>
          <w:rFonts w:ascii="Sylfaen" w:hAnsi="Sylfaen" w:cs="Sylfaen"/>
          <w:sz w:val="22"/>
          <w:szCs w:val="22"/>
          <w:lang w:val="ka-GE"/>
        </w:rPr>
        <w:t>ლიტერატურაში</w:t>
      </w:r>
      <w:r>
        <w:rPr>
          <w:rFonts w:cs="Sylfaen"/>
          <w:sz w:val="22"/>
          <w:szCs w:val="22"/>
          <w:lang w:val="ka-GE"/>
        </w:rPr>
        <w:t xml:space="preserve"> </w:t>
      </w:r>
      <w:r>
        <w:rPr>
          <w:rFonts w:ascii="Sylfaen" w:hAnsi="Sylfaen" w:cs="Sylfaen"/>
          <w:sz w:val="22"/>
          <w:szCs w:val="22"/>
          <w:lang w:val="ka-GE"/>
        </w:rPr>
        <w:t>არსებული</w:t>
      </w:r>
      <w:r>
        <w:rPr>
          <w:sz w:val="22"/>
          <w:szCs w:val="22"/>
          <w:lang w:val="ka-GE"/>
        </w:rPr>
        <w:t xml:space="preserve"> </w:t>
      </w:r>
      <w:r>
        <w:rPr>
          <w:rFonts w:ascii="Sylfaen" w:hAnsi="Sylfaen" w:cs="Sylfaen"/>
          <w:sz w:val="22"/>
          <w:szCs w:val="22"/>
          <w:lang w:val="ka-GE"/>
        </w:rPr>
        <w:t>მონაცემების</w:t>
      </w:r>
      <w:r>
        <w:rPr>
          <w:sz w:val="22"/>
          <w:szCs w:val="22"/>
          <w:lang w:val="ka-GE"/>
        </w:rPr>
        <w:t xml:space="preserve"> </w:t>
      </w:r>
      <w:r>
        <w:rPr>
          <w:rFonts w:ascii="Sylfaen" w:hAnsi="Sylfaen" w:cs="Sylfaen"/>
          <w:sz w:val="22"/>
          <w:szCs w:val="22"/>
          <w:lang w:val="ka-GE"/>
        </w:rPr>
        <w:t>გადამოწმება</w:t>
      </w:r>
      <w:r>
        <w:rPr>
          <w:sz w:val="22"/>
          <w:szCs w:val="22"/>
          <w:lang w:val="ka-GE"/>
        </w:rPr>
        <w:t>-</w:t>
      </w:r>
      <w:r>
        <w:rPr>
          <w:rFonts w:ascii="Sylfaen" w:hAnsi="Sylfaen" w:cs="Sylfaen"/>
          <w:sz w:val="22"/>
          <w:szCs w:val="22"/>
          <w:lang w:val="ka-GE"/>
        </w:rPr>
        <w:t>დაზუსტება</w:t>
      </w:r>
      <w:r>
        <w:rPr>
          <w:sz w:val="22"/>
          <w:szCs w:val="22"/>
          <w:lang w:val="ka-GE"/>
        </w:rPr>
        <w:t xml:space="preserve"> </w:t>
      </w:r>
      <w:r>
        <w:rPr>
          <w:rFonts w:ascii="Sylfaen" w:hAnsi="Sylfaen" w:cs="Sylfaen"/>
          <w:sz w:val="22"/>
          <w:szCs w:val="22"/>
          <w:lang w:val="ka-GE"/>
        </w:rPr>
        <w:t>და</w:t>
      </w:r>
      <w:r>
        <w:rPr>
          <w:sz w:val="22"/>
          <w:szCs w:val="22"/>
          <w:lang w:val="ka-GE"/>
        </w:rPr>
        <w:t xml:space="preserve"> </w:t>
      </w:r>
      <w:r>
        <w:rPr>
          <w:rFonts w:ascii="Sylfaen" w:hAnsi="Sylfaen" w:cs="Sylfaen"/>
          <w:sz w:val="22"/>
          <w:szCs w:val="22"/>
          <w:lang w:val="ka-GE"/>
        </w:rPr>
        <w:t>მათი</w:t>
      </w:r>
      <w:r>
        <w:rPr>
          <w:sz w:val="22"/>
          <w:szCs w:val="22"/>
          <w:lang w:val="ka-GE"/>
        </w:rPr>
        <w:t xml:space="preserve"> </w:t>
      </w:r>
      <w:r>
        <w:rPr>
          <w:rFonts w:ascii="Sylfaen" w:hAnsi="Sylfaen" w:cs="Sylfaen"/>
          <w:sz w:val="22"/>
          <w:szCs w:val="22"/>
          <w:lang w:val="ka-GE"/>
        </w:rPr>
        <w:t>კვლევის</w:t>
      </w:r>
      <w:r>
        <w:rPr>
          <w:sz w:val="22"/>
          <w:szCs w:val="22"/>
          <w:lang w:val="ka-GE"/>
        </w:rPr>
        <w:t xml:space="preserve"> </w:t>
      </w:r>
      <w:r>
        <w:rPr>
          <w:rFonts w:ascii="Sylfaen" w:hAnsi="Sylfaen" w:cs="Sylfaen"/>
          <w:sz w:val="22"/>
          <w:szCs w:val="22"/>
          <w:lang w:val="ka-GE"/>
        </w:rPr>
        <w:t>ზონაში</w:t>
      </w:r>
      <w:r>
        <w:rPr>
          <w:sz w:val="22"/>
          <w:szCs w:val="22"/>
          <w:lang w:val="ka-GE"/>
        </w:rPr>
        <w:t xml:space="preserve"> </w:t>
      </w:r>
      <w:r>
        <w:rPr>
          <w:rFonts w:ascii="Sylfaen" w:hAnsi="Sylfaen" w:cs="Sylfaen"/>
          <w:sz w:val="22"/>
          <w:szCs w:val="22"/>
          <w:lang w:val="ka-GE"/>
        </w:rPr>
        <w:t>არსებობის</w:t>
      </w:r>
      <w:r>
        <w:rPr>
          <w:sz w:val="22"/>
          <w:szCs w:val="22"/>
          <w:lang w:val="ka-GE"/>
        </w:rPr>
        <w:t xml:space="preserve"> </w:t>
      </w:r>
      <w:r>
        <w:rPr>
          <w:rFonts w:ascii="Sylfaen" w:hAnsi="Sylfaen" w:cs="Sylfaen"/>
          <w:sz w:val="22"/>
          <w:szCs w:val="22"/>
          <w:lang w:val="ka-GE"/>
        </w:rPr>
        <w:t>დაფიქსირება</w:t>
      </w:r>
      <w:r>
        <w:rPr>
          <w:sz w:val="22"/>
          <w:szCs w:val="22"/>
          <w:lang w:val="ka-GE"/>
        </w:rPr>
        <w:t xml:space="preserve">. </w:t>
      </w:r>
      <w:r>
        <w:rPr>
          <w:rFonts w:ascii="Sylfaen" w:hAnsi="Sylfaen" w:cs="Sylfaen"/>
          <w:sz w:val="22"/>
          <w:szCs w:val="22"/>
          <w:lang w:val="ka-GE"/>
        </w:rPr>
        <w:t>ცხოველთა</w:t>
      </w:r>
      <w:r>
        <w:rPr>
          <w:sz w:val="22"/>
          <w:szCs w:val="22"/>
          <w:lang w:val="ka-GE"/>
        </w:rPr>
        <w:t xml:space="preserve"> </w:t>
      </w:r>
      <w:r>
        <w:rPr>
          <w:rFonts w:ascii="Sylfaen" w:hAnsi="Sylfaen" w:cs="Sylfaen"/>
          <w:sz w:val="22"/>
          <w:szCs w:val="22"/>
          <w:lang w:val="ka-GE"/>
        </w:rPr>
        <w:t>ძირითადი</w:t>
      </w:r>
      <w:r>
        <w:rPr>
          <w:sz w:val="22"/>
          <w:szCs w:val="22"/>
          <w:lang w:val="ka-GE"/>
        </w:rPr>
        <w:t xml:space="preserve"> </w:t>
      </w:r>
      <w:r>
        <w:rPr>
          <w:rFonts w:ascii="Sylfaen" w:hAnsi="Sylfaen" w:cs="Sylfaen"/>
          <w:sz w:val="22"/>
          <w:szCs w:val="22"/>
          <w:lang w:val="ka-GE"/>
        </w:rPr>
        <w:t>სახეობების</w:t>
      </w:r>
      <w:r>
        <w:rPr>
          <w:sz w:val="22"/>
          <w:szCs w:val="22"/>
          <w:lang w:val="ka-GE"/>
        </w:rPr>
        <w:t xml:space="preserve"> </w:t>
      </w:r>
      <w:r>
        <w:rPr>
          <w:rFonts w:ascii="Sylfaen" w:hAnsi="Sylfaen" w:cs="Sylfaen"/>
          <w:sz w:val="22"/>
          <w:szCs w:val="22"/>
          <w:lang w:val="ka-GE"/>
        </w:rPr>
        <w:t>შესახებ</w:t>
      </w:r>
      <w:r>
        <w:rPr>
          <w:sz w:val="22"/>
          <w:szCs w:val="22"/>
          <w:lang w:val="ka-GE"/>
        </w:rPr>
        <w:t xml:space="preserve"> </w:t>
      </w:r>
      <w:r>
        <w:rPr>
          <w:rFonts w:ascii="Sylfaen" w:hAnsi="Sylfaen" w:cs="Sylfaen"/>
          <w:sz w:val="22"/>
          <w:szCs w:val="22"/>
          <w:lang w:val="ka-GE"/>
        </w:rPr>
        <w:t>საველე</w:t>
      </w:r>
      <w:r>
        <w:rPr>
          <w:sz w:val="22"/>
          <w:szCs w:val="22"/>
          <w:lang w:val="ka-GE"/>
        </w:rPr>
        <w:t xml:space="preserve"> </w:t>
      </w:r>
      <w:r>
        <w:rPr>
          <w:rFonts w:ascii="Sylfaen" w:hAnsi="Sylfaen" w:cs="Sylfaen"/>
          <w:sz w:val="22"/>
          <w:szCs w:val="22"/>
          <w:lang w:val="ka-GE"/>
        </w:rPr>
        <w:t>ინფორმაციის</w:t>
      </w:r>
      <w:r>
        <w:rPr>
          <w:sz w:val="22"/>
          <w:szCs w:val="22"/>
          <w:lang w:val="ka-GE"/>
        </w:rPr>
        <w:t xml:space="preserve"> </w:t>
      </w:r>
      <w:r>
        <w:rPr>
          <w:rFonts w:ascii="Sylfaen" w:hAnsi="Sylfaen" w:cs="Sylfaen"/>
          <w:sz w:val="22"/>
          <w:szCs w:val="22"/>
          <w:lang w:val="ka-GE"/>
        </w:rPr>
        <w:t>მოსაპოვებლად</w:t>
      </w:r>
      <w:r>
        <w:rPr>
          <w:sz w:val="22"/>
          <w:szCs w:val="22"/>
          <w:lang w:val="ka-GE"/>
        </w:rPr>
        <w:t xml:space="preserve"> </w:t>
      </w:r>
      <w:r>
        <w:rPr>
          <w:rFonts w:ascii="Sylfaen" w:hAnsi="Sylfaen" w:cs="Sylfaen"/>
          <w:sz w:val="22"/>
          <w:szCs w:val="22"/>
          <w:lang w:val="ka-GE"/>
        </w:rPr>
        <w:t>გამოყენებული</w:t>
      </w:r>
      <w:r>
        <w:rPr>
          <w:sz w:val="22"/>
          <w:szCs w:val="22"/>
          <w:lang w:val="ka-GE"/>
        </w:rPr>
        <w:t xml:space="preserve"> </w:t>
      </w:r>
      <w:r>
        <w:rPr>
          <w:rFonts w:ascii="Sylfaen" w:hAnsi="Sylfaen" w:cs="Sylfaen"/>
          <w:sz w:val="22"/>
          <w:szCs w:val="22"/>
          <w:lang w:val="ka-GE"/>
        </w:rPr>
        <w:t>იყო</w:t>
      </w:r>
      <w:r>
        <w:rPr>
          <w:sz w:val="22"/>
          <w:szCs w:val="22"/>
          <w:lang w:val="ka-GE"/>
        </w:rPr>
        <w:t xml:space="preserve"> </w:t>
      </w:r>
      <w:r>
        <w:rPr>
          <w:rFonts w:ascii="Sylfaen" w:hAnsi="Sylfaen" w:cs="Sylfaen"/>
          <w:sz w:val="22"/>
          <w:szCs w:val="22"/>
          <w:lang w:val="ka-GE"/>
        </w:rPr>
        <w:t>მარტივი</w:t>
      </w:r>
      <w:r>
        <w:rPr>
          <w:sz w:val="22"/>
          <w:szCs w:val="22"/>
          <w:lang w:val="ka-GE"/>
        </w:rPr>
        <w:t xml:space="preserve"> </w:t>
      </w:r>
      <w:r>
        <w:rPr>
          <w:rFonts w:ascii="Sylfaen" w:hAnsi="Sylfaen" w:cs="Sylfaen"/>
          <w:sz w:val="22"/>
          <w:szCs w:val="22"/>
          <w:lang w:val="ka-GE"/>
        </w:rPr>
        <w:t>მეთოდი</w:t>
      </w:r>
      <w:r>
        <w:rPr>
          <w:sz w:val="22"/>
          <w:szCs w:val="22"/>
          <w:lang w:val="ka-GE"/>
        </w:rPr>
        <w:t xml:space="preserve"> - </w:t>
      </w:r>
      <w:r>
        <w:rPr>
          <w:rFonts w:ascii="Sylfaen" w:hAnsi="Sylfaen" w:cs="Sylfaen"/>
          <w:sz w:val="22"/>
          <w:szCs w:val="22"/>
          <w:lang w:val="ka-GE"/>
        </w:rPr>
        <w:t>ნაკვალევის</w:t>
      </w:r>
      <w:r>
        <w:rPr>
          <w:sz w:val="22"/>
          <w:szCs w:val="22"/>
          <w:lang w:val="ka-GE"/>
        </w:rPr>
        <w:t xml:space="preserve">, </w:t>
      </w:r>
      <w:r>
        <w:rPr>
          <w:rFonts w:ascii="Sylfaen" w:hAnsi="Sylfaen" w:cs="Sylfaen"/>
          <w:sz w:val="22"/>
          <w:szCs w:val="22"/>
          <w:lang w:val="ka-GE"/>
        </w:rPr>
        <w:t>ექსკრემენტების</w:t>
      </w:r>
      <w:r>
        <w:rPr>
          <w:sz w:val="22"/>
          <w:szCs w:val="22"/>
          <w:lang w:val="ka-GE"/>
        </w:rPr>
        <w:t xml:space="preserve"> </w:t>
      </w:r>
      <w:r>
        <w:rPr>
          <w:rFonts w:ascii="Sylfaen" w:hAnsi="Sylfaen" w:cs="Sylfaen"/>
          <w:sz w:val="22"/>
          <w:szCs w:val="22"/>
          <w:lang w:val="ka-GE"/>
        </w:rPr>
        <w:t>და</w:t>
      </w:r>
      <w:r>
        <w:rPr>
          <w:sz w:val="22"/>
          <w:szCs w:val="22"/>
          <w:lang w:val="ka-GE"/>
        </w:rPr>
        <w:t xml:space="preserve"> </w:t>
      </w:r>
      <w:r>
        <w:rPr>
          <w:rFonts w:ascii="Sylfaen" w:hAnsi="Sylfaen" w:cs="Sylfaen"/>
          <w:sz w:val="22"/>
          <w:szCs w:val="22"/>
          <w:lang w:val="ka-GE"/>
        </w:rPr>
        <w:t>საცხოვრებლის</w:t>
      </w:r>
      <w:r>
        <w:rPr>
          <w:sz w:val="22"/>
          <w:szCs w:val="22"/>
          <w:lang w:val="ka-GE"/>
        </w:rPr>
        <w:t xml:space="preserve"> </w:t>
      </w:r>
      <w:r>
        <w:rPr>
          <w:rFonts w:ascii="Sylfaen" w:hAnsi="Sylfaen" w:cs="Sylfaen"/>
          <w:sz w:val="22"/>
          <w:szCs w:val="22"/>
          <w:lang w:val="ka-GE"/>
        </w:rPr>
        <w:t>დაფიქსირება</w:t>
      </w:r>
      <w:r>
        <w:rPr>
          <w:rFonts w:cs="Sylfaen"/>
          <w:sz w:val="22"/>
          <w:szCs w:val="22"/>
          <w:lang w:val="ka-GE"/>
        </w:rPr>
        <w:t xml:space="preserve">, </w:t>
      </w:r>
      <w:r>
        <w:rPr>
          <w:rFonts w:ascii="Sylfaen" w:hAnsi="Sylfaen" w:cs="Sylfaen"/>
          <w:sz w:val="22"/>
          <w:szCs w:val="22"/>
          <w:lang w:val="ka-GE"/>
        </w:rPr>
        <w:t>ვიზუალური</w:t>
      </w:r>
      <w:r>
        <w:rPr>
          <w:rFonts w:cs="Sylfaen"/>
          <w:sz w:val="22"/>
          <w:szCs w:val="22"/>
          <w:lang w:val="ka-GE"/>
        </w:rPr>
        <w:t xml:space="preserve"> </w:t>
      </w:r>
      <w:r>
        <w:rPr>
          <w:rFonts w:ascii="Sylfaen" w:hAnsi="Sylfaen" w:cs="Sylfaen"/>
          <w:sz w:val="22"/>
          <w:szCs w:val="22"/>
          <w:lang w:val="ka-GE"/>
        </w:rPr>
        <w:t>დაკვირვება</w:t>
      </w:r>
      <w:r>
        <w:rPr>
          <w:sz w:val="22"/>
          <w:szCs w:val="22"/>
          <w:lang w:val="ka-GE"/>
        </w:rPr>
        <w:t xml:space="preserve">. </w:t>
      </w:r>
      <w:r>
        <w:rPr>
          <w:rFonts w:ascii="Sylfaen" w:hAnsi="Sylfaen" w:cs="Sylfaen"/>
          <w:sz w:val="22"/>
          <w:szCs w:val="22"/>
          <w:lang w:val="ka-GE"/>
        </w:rPr>
        <w:t>კვლევა</w:t>
      </w:r>
      <w:r>
        <w:rPr>
          <w:rFonts w:cs="Sylfaen"/>
          <w:sz w:val="22"/>
          <w:szCs w:val="22"/>
          <w:lang w:val="ka-GE"/>
        </w:rPr>
        <w:t xml:space="preserve"> </w:t>
      </w:r>
      <w:r>
        <w:rPr>
          <w:rFonts w:ascii="Sylfaen" w:hAnsi="Sylfaen" w:cs="Sylfaen"/>
          <w:sz w:val="22"/>
          <w:szCs w:val="22"/>
          <w:lang w:val="ka-GE"/>
        </w:rPr>
        <w:t>დაეფუძნა</w:t>
      </w:r>
      <w:r>
        <w:rPr>
          <w:rFonts w:cs="Sylfaen"/>
          <w:sz w:val="22"/>
          <w:szCs w:val="22"/>
          <w:lang w:val="ka-GE"/>
        </w:rPr>
        <w:t xml:space="preserve"> </w:t>
      </w:r>
      <w:r>
        <w:rPr>
          <w:rFonts w:ascii="Sylfaen" w:hAnsi="Sylfaen" w:cs="Sylfaen"/>
          <w:sz w:val="22"/>
          <w:szCs w:val="22"/>
          <w:lang w:val="ka-GE"/>
        </w:rPr>
        <w:t>არსებულ</w:t>
      </w:r>
      <w:r>
        <w:rPr>
          <w:rFonts w:cs="Sylfaen"/>
          <w:sz w:val="22"/>
          <w:szCs w:val="22"/>
          <w:lang w:val="ka-GE"/>
        </w:rPr>
        <w:t xml:space="preserve"> </w:t>
      </w:r>
      <w:r>
        <w:rPr>
          <w:rFonts w:ascii="Sylfaen" w:hAnsi="Sylfaen" w:cs="Sylfaen"/>
          <w:sz w:val="22"/>
          <w:szCs w:val="22"/>
          <w:lang w:val="ka-GE"/>
        </w:rPr>
        <w:t>სამეცნიერო</w:t>
      </w:r>
      <w:r>
        <w:rPr>
          <w:rFonts w:cs="Sylfaen"/>
          <w:sz w:val="22"/>
          <w:szCs w:val="22"/>
          <w:lang w:val="ka-GE"/>
        </w:rPr>
        <w:t xml:space="preserve"> </w:t>
      </w:r>
      <w:r>
        <w:rPr>
          <w:rFonts w:ascii="Sylfaen" w:hAnsi="Sylfaen" w:cs="Sylfaen"/>
          <w:sz w:val="22"/>
          <w:szCs w:val="22"/>
          <w:lang w:val="ka-GE"/>
        </w:rPr>
        <w:t>პუბლიკაციებს</w:t>
      </w:r>
      <w:r>
        <w:rPr>
          <w:rFonts w:cs="Sylfaen"/>
          <w:sz w:val="22"/>
          <w:szCs w:val="22"/>
          <w:lang w:val="ka-GE"/>
        </w:rPr>
        <w:t xml:space="preserve">, </w:t>
      </w:r>
      <w:r>
        <w:rPr>
          <w:rFonts w:ascii="Sylfaen" w:hAnsi="Sylfaen" w:cs="Sylfaen"/>
          <w:sz w:val="22"/>
          <w:szCs w:val="22"/>
          <w:lang w:val="ka-GE"/>
        </w:rPr>
        <w:t>წინა</w:t>
      </w:r>
      <w:r>
        <w:rPr>
          <w:rFonts w:cs="Sylfaen"/>
          <w:sz w:val="22"/>
          <w:szCs w:val="22"/>
          <w:lang w:val="ka-GE"/>
        </w:rPr>
        <w:t xml:space="preserve"> </w:t>
      </w:r>
      <w:r>
        <w:rPr>
          <w:rFonts w:ascii="Sylfaen" w:hAnsi="Sylfaen" w:cs="Sylfaen"/>
          <w:sz w:val="22"/>
          <w:szCs w:val="22"/>
          <w:lang w:val="ka-GE"/>
        </w:rPr>
        <w:t>კვლევებისას</w:t>
      </w:r>
      <w:r>
        <w:rPr>
          <w:rFonts w:cs="Sylfaen"/>
          <w:sz w:val="22"/>
          <w:szCs w:val="22"/>
          <w:lang w:val="ka-GE"/>
        </w:rPr>
        <w:t xml:space="preserve"> </w:t>
      </w:r>
      <w:r>
        <w:rPr>
          <w:rFonts w:ascii="Sylfaen" w:hAnsi="Sylfaen" w:cs="Sylfaen"/>
          <w:sz w:val="22"/>
          <w:szCs w:val="22"/>
          <w:lang w:val="ka-GE"/>
        </w:rPr>
        <w:t>მოპოვებულ</w:t>
      </w:r>
      <w:r>
        <w:rPr>
          <w:rFonts w:cs="Sylfaen"/>
          <w:sz w:val="22"/>
          <w:szCs w:val="22"/>
          <w:lang w:val="ka-GE"/>
        </w:rPr>
        <w:t xml:space="preserve"> </w:t>
      </w:r>
      <w:r>
        <w:rPr>
          <w:rFonts w:ascii="Sylfaen" w:hAnsi="Sylfaen" w:cs="Sylfaen"/>
          <w:sz w:val="22"/>
          <w:szCs w:val="22"/>
          <w:lang w:val="ka-GE"/>
        </w:rPr>
        <w:t>ინფორმაციას</w:t>
      </w:r>
      <w:r>
        <w:rPr>
          <w:rFonts w:cs="Sylfaen"/>
          <w:sz w:val="22"/>
          <w:szCs w:val="22"/>
          <w:lang w:val="ka-GE"/>
        </w:rPr>
        <w:t xml:space="preserve"> (</w:t>
      </w:r>
      <w:r>
        <w:rPr>
          <w:rFonts w:ascii="Sylfaen" w:hAnsi="Sylfaen" w:cs="Sylfaen"/>
          <w:sz w:val="22"/>
          <w:szCs w:val="22"/>
          <w:lang w:val="ka-GE"/>
        </w:rPr>
        <w:t>კერძოდ</w:t>
      </w:r>
      <w:r>
        <w:rPr>
          <w:rFonts w:cs="Sylfaen"/>
          <w:sz w:val="22"/>
          <w:szCs w:val="22"/>
          <w:lang w:val="ka-GE"/>
        </w:rPr>
        <w:t>,  2014</w:t>
      </w:r>
      <w:r>
        <w:rPr>
          <w:rFonts w:ascii="Sylfaen" w:hAnsi="Sylfaen" w:cs="Sylfaen"/>
          <w:sz w:val="22"/>
          <w:szCs w:val="22"/>
          <w:lang w:val="ka-GE"/>
        </w:rPr>
        <w:t>-დღემდე</w:t>
      </w:r>
      <w:r>
        <w:rPr>
          <w:rFonts w:cs="Sylfaen"/>
          <w:sz w:val="22"/>
          <w:szCs w:val="22"/>
          <w:lang w:val="ka-GE"/>
        </w:rPr>
        <w:t xml:space="preserve"> </w:t>
      </w:r>
      <w:r>
        <w:rPr>
          <w:rFonts w:ascii="Sylfaen" w:hAnsi="Sylfaen" w:cs="Sylfaen"/>
          <w:sz w:val="22"/>
          <w:szCs w:val="22"/>
          <w:lang w:val="ka-GE"/>
        </w:rPr>
        <w:t>გურჯაანი-ბაკურციხის მშენებლობისთვის მომზადებულ გზშსა და მშენებელი და საზედამხედველო კომპანიების მიერ მოწოდებული ანგარიშებს</w:t>
      </w:r>
      <w:r>
        <w:rPr>
          <w:rFonts w:cs="Sylfaen"/>
          <w:sz w:val="22"/>
          <w:szCs w:val="22"/>
          <w:lang w:val="ka-GE"/>
        </w:rPr>
        <w:t xml:space="preserve">), </w:t>
      </w:r>
      <w:r>
        <w:rPr>
          <w:rFonts w:ascii="Sylfaen" w:hAnsi="Sylfaen" w:cs="Sylfaen"/>
          <w:sz w:val="22"/>
          <w:szCs w:val="22"/>
          <w:lang w:val="ka-GE"/>
        </w:rPr>
        <w:t>საცნობარო</w:t>
      </w:r>
      <w:r>
        <w:rPr>
          <w:rFonts w:cs="Sylfaen"/>
          <w:sz w:val="22"/>
          <w:szCs w:val="22"/>
          <w:lang w:val="ka-GE"/>
        </w:rPr>
        <w:t xml:space="preserve"> </w:t>
      </w:r>
      <w:r>
        <w:rPr>
          <w:rFonts w:ascii="Sylfaen" w:hAnsi="Sylfaen" w:cs="Sylfaen"/>
          <w:sz w:val="22"/>
          <w:szCs w:val="22"/>
          <w:lang w:val="ka-GE"/>
        </w:rPr>
        <w:t>და</w:t>
      </w:r>
      <w:r>
        <w:rPr>
          <w:rFonts w:cs="Sylfaen"/>
          <w:sz w:val="22"/>
          <w:szCs w:val="22"/>
          <w:lang w:val="ka-GE"/>
        </w:rPr>
        <w:t xml:space="preserve"> </w:t>
      </w:r>
      <w:r>
        <w:rPr>
          <w:rFonts w:ascii="Sylfaen" w:hAnsi="Sylfaen" w:cs="Sylfaen"/>
          <w:sz w:val="22"/>
          <w:szCs w:val="22"/>
          <w:lang w:val="ka-GE"/>
        </w:rPr>
        <w:t>მეორად</w:t>
      </w:r>
      <w:r>
        <w:rPr>
          <w:rFonts w:cs="Sylfaen"/>
          <w:sz w:val="22"/>
          <w:szCs w:val="22"/>
          <w:lang w:val="ka-GE"/>
        </w:rPr>
        <w:t xml:space="preserve"> </w:t>
      </w:r>
      <w:r>
        <w:rPr>
          <w:rFonts w:ascii="Sylfaen" w:hAnsi="Sylfaen" w:cs="Sylfaen"/>
          <w:sz w:val="22"/>
          <w:szCs w:val="22"/>
          <w:lang w:val="ka-GE"/>
        </w:rPr>
        <w:t>მონაცემებს</w:t>
      </w:r>
      <w:r>
        <w:rPr>
          <w:rFonts w:cs="Sylfaen"/>
          <w:sz w:val="22"/>
          <w:szCs w:val="22"/>
          <w:lang w:val="ka-GE"/>
        </w:rPr>
        <w:t xml:space="preserve">, </w:t>
      </w:r>
      <w:r>
        <w:rPr>
          <w:rFonts w:ascii="Sylfaen" w:hAnsi="Sylfaen" w:cs="Sylfaen"/>
          <w:sz w:val="22"/>
          <w:szCs w:val="22"/>
          <w:lang w:val="ka-GE"/>
        </w:rPr>
        <w:t>ასევე</w:t>
      </w:r>
      <w:r>
        <w:rPr>
          <w:rFonts w:cs="Sylfaen"/>
          <w:sz w:val="22"/>
          <w:szCs w:val="22"/>
          <w:lang w:val="ka-GE"/>
        </w:rPr>
        <w:t xml:space="preserve"> </w:t>
      </w:r>
      <w:r>
        <w:rPr>
          <w:rFonts w:ascii="Sylfaen" w:hAnsi="Sylfaen" w:cs="Sylfaen"/>
          <w:sz w:val="22"/>
          <w:szCs w:val="22"/>
          <w:lang w:val="ka-GE"/>
        </w:rPr>
        <w:t>ინტერვიუებს</w:t>
      </w:r>
      <w:r>
        <w:rPr>
          <w:rFonts w:cs="Sylfaen"/>
          <w:sz w:val="22"/>
          <w:szCs w:val="22"/>
          <w:lang w:val="ka-GE"/>
        </w:rPr>
        <w:t xml:space="preserve"> </w:t>
      </w:r>
      <w:r>
        <w:rPr>
          <w:rFonts w:ascii="Sylfaen" w:hAnsi="Sylfaen" w:cs="Sylfaen"/>
          <w:sz w:val="22"/>
          <w:szCs w:val="22"/>
          <w:lang w:val="ka-GE"/>
        </w:rPr>
        <w:t>ადგილობრივ</w:t>
      </w:r>
      <w:r>
        <w:rPr>
          <w:rFonts w:cs="Sylfaen"/>
          <w:sz w:val="22"/>
          <w:szCs w:val="22"/>
          <w:lang w:val="ka-GE"/>
        </w:rPr>
        <w:t xml:space="preserve"> </w:t>
      </w:r>
      <w:r>
        <w:rPr>
          <w:rFonts w:ascii="Sylfaen" w:hAnsi="Sylfaen" w:cs="Sylfaen"/>
          <w:sz w:val="22"/>
          <w:szCs w:val="22"/>
          <w:lang w:val="ka-GE"/>
        </w:rPr>
        <w:t>მოსახლეობასთან</w:t>
      </w:r>
      <w:r>
        <w:rPr>
          <w:rFonts w:cs="Sylfaen"/>
          <w:sz w:val="22"/>
          <w:szCs w:val="22"/>
          <w:lang w:val="ka-GE"/>
        </w:rPr>
        <w:t>.</w:t>
      </w:r>
    </w:p>
    <w:p w14:paraId="688DF7DF" w14:textId="77777777" w:rsidR="00980876" w:rsidRDefault="00980876" w:rsidP="00980876">
      <w:pPr>
        <w:pStyle w:val="BodyText"/>
        <w:spacing w:after="0" w:line="240" w:lineRule="auto"/>
        <w:jc w:val="both"/>
        <w:rPr>
          <w:sz w:val="22"/>
          <w:szCs w:val="22"/>
          <w:lang w:val="ka-GE"/>
        </w:rPr>
      </w:pPr>
    </w:p>
    <w:p w14:paraId="296B265E" w14:textId="77777777" w:rsidR="00980876" w:rsidRDefault="00980876" w:rsidP="00980876">
      <w:pPr>
        <w:pStyle w:val="BodyText"/>
        <w:spacing w:before="120" w:after="120" w:line="240" w:lineRule="auto"/>
        <w:jc w:val="both"/>
        <w:rPr>
          <w:sz w:val="22"/>
          <w:szCs w:val="22"/>
          <w:lang w:val="ka-GE"/>
        </w:rPr>
      </w:pPr>
      <w:r>
        <w:rPr>
          <w:rFonts w:ascii="Sylfaen" w:hAnsi="Sylfaen" w:cs="Sylfaen"/>
          <w:sz w:val="22"/>
          <w:szCs w:val="22"/>
          <w:lang w:val="ka-GE"/>
        </w:rPr>
        <w:lastRenderedPageBreak/>
        <w:t>გზის</w:t>
      </w:r>
      <w:r>
        <w:rPr>
          <w:sz w:val="22"/>
          <w:szCs w:val="22"/>
          <w:lang w:val="ka-GE"/>
        </w:rPr>
        <w:t xml:space="preserve"> </w:t>
      </w:r>
      <w:r>
        <w:rPr>
          <w:rFonts w:ascii="Sylfaen" w:hAnsi="Sylfaen" w:cs="Sylfaen"/>
          <w:sz w:val="22"/>
          <w:szCs w:val="22"/>
          <w:lang w:val="ka-GE"/>
        </w:rPr>
        <w:t>მშენებლობითა</w:t>
      </w:r>
      <w:r>
        <w:rPr>
          <w:sz w:val="22"/>
          <w:szCs w:val="22"/>
          <w:lang w:val="ka-GE"/>
        </w:rPr>
        <w:t xml:space="preserve"> </w:t>
      </w:r>
      <w:r>
        <w:rPr>
          <w:rFonts w:ascii="Sylfaen" w:hAnsi="Sylfaen" w:cs="Sylfaen"/>
          <w:sz w:val="22"/>
          <w:szCs w:val="22"/>
          <w:lang w:val="ka-GE"/>
        </w:rPr>
        <w:t>და</w:t>
      </w:r>
      <w:r>
        <w:rPr>
          <w:sz w:val="22"/>
          <w:szCs w:val="22"/>
          <w:lang w:val="ka-GE"/>
        </w:rPr>
        <w:t xml:space="preserve"> </w:t>
      </w:r>
      <w:r>
        <w:rPr>
          <w:rFonts w:ascii="Sylfaen" w:hAnsi="Sylfaen" w:cs="Sylfaen"/>
          <w:sz w:val="22"/>
          <w:szCs w:val="22"/>
          <w:lang w:val="ka-GE"/>
        </w:rPr>
        <w:t>ექსპლუატაციით</w:t>
      </w:r>
      <w:r>
        <w:rPr>
          <w:sz w:val="22"/>
          <w:szCs w:val="22"/>
          <w:lang w:val="ka-GE"/>
        </w:rPr>
        <w:t xml:space="preserve"> </w:t>
      </w:r>
      <w:r>
        <w:rPr>
          <w:rFonts w:ascii="Sylfaen" w:hAnsi="Sylfaen" w:cs="Sylfaen"/>
          <w:sz w:val="22"/>
          <w:szCs w:val="22"/>
          <w:lang w:val="ka-GE"/>
        </w:rPr>
        <w:t>გამოწვეული</w:t>
      </w:r>
      <w:r>
        <w:rPr>
          <w:sz w:val="22"/>
          <w:szCs w:val="22"/>
          <w:lang w:val="ka-GE"/>
        </w:rPr>
        <w:t xml:space="preserve"> </w:t>
      </w:r>
      <w:r>
        <w:rPr>
          <w:rFonts w:ascii="Sylfaen" w:hAnsi="Sylfaen" w:cs="Sylfaen"/>
          <w:sz w:val="22"/>
          <w:szCs w:val="22"/>
          <w:lang w:val="ka-GE"/>
        </w:rPr>
        <w:t>უარყოფითი</w:t>
      </w:r>
      <w:r>
        <w:rPr>
          <w:sz w:val="22"/>
          <w:szCs w:val="22"/>
          <w:lang w:val="ka-GE"/>
        </w:rPr>
        <w:t xml:space="preserve"> </w:t>
      </w:r>
      <w:r>
        <w:rPr>
          <w:rFonts w:ascii="Sylfaen" w:hAnsi="Sylfaen" w:cs="Sylfaen"/>
          <w:sz w:val="22"/>
          <w:szCs w:val="22"/>
          <w:lang w:val="ka-GE"/>
        </w:rPr>
        <w:t>ზემოქმედება</w:t>
      </w:r>
      <w:r>
        <w:rPr>
          <w:sz w:val="22"/>
          <w:szCs w:val="22"/>
          <w:lang w:val="ka-GE"/>
        </w:rPr>
        <w:t xml:space="preserve"> </w:t>
      </w:r>
      <w:r>
        <w:rPr>
          <w:rFonts w:ascii="Sylfaen" w:hAnsi="Sylfaen" w:cs="Sylfaen"/>
          <w:sz w:val="22"/>
          <w:szCs w:val="22"/>
          <w:lang w:val="ka-GE"/>
        </w:rPr>
        <w:t>შეფასდა</w:t>
      </w:r>
      <w:r>
        <w:rPr>
          <w:sz w:val="22"/>
          <w:szCs w:val="22"/>
          <w:lang w:val="ka-GE"/>
        </w:rPr>
        <w:t xml:space="preserve"> </w:t>
      </w:r>
      <w:r>
        <w:rPr>
          <w:rFonts w:ascii="Sylfaen" w:hAnsi="Sylfaen" w:cs="Sylfaen"/>
          <w:sz w:val="22"/>
          <w:szCs w:val="22"/>
          <w:lang w:val="ka-GE"/>
        </w:rPr>
        <w:t>ველური</w:t>
      </w:r>
      <w:r>
        <w:rPr>
          <w:sz w:val="22"/>
          <w:szCs w:val="22"/>
          <w:lang w:val="ka-GE"/>
        </w:rPr>
        <w:t xml:space="preserve"> </w:t>
      </w:r>
      <w:r>
        <w:rPr>
          <w:rFonts w:ascii="Sylfaen" w:hAnsi="Sylfaen" w:cs="Sylfaen"/>
          <w:sz w:val="22"/>
          <w:szCs w:val="22"/>
          <w:lang w:val="ka-GE"/>
        </w:rPr>
        <w:t>ბუნების</w:t>
      </w:r>
      <w:r>
        <w:rPr>
          <w:sz w:val="22"/>
          <w:szCs w:val="22"/>
          <w:lang w:val="ka-GE"/>
        </w:rPr>
        <w:t xml:space="preserve"> </w:t>
      </w:r>
      <w:r>
        <w:rPr>
          <w:rFonts w:ascii="Sylfaen" w:hAnsi="Sylfaen" w:cs="Sylfaen"/>
          <w:sz w:val="22"/>
          <w:szCs w:val="22"/>
          <w:lang w:val="ka-GE"/>
        </w:rPr>
        <w:t>შესახებ</w:t>
      </w:r>
      <w:r>
        <w:rPr>
          <w:sz w:val="22"/>
          <w:szCs w:val="22"/>
          <w:lang w:val="ka-GE"/>
        </w:rPr>
        <w:t xml:space="preserve"> </w:t>
      </w:r>
      <w:r>
        <w:rPr>
          <w:rFonts w:ascii="Sylfaen" w:hAnsi="Sylfaen" w:cs="Sylfaen"/>
          <w:sz w:val="22"/>
          <w:szCs w:val="22"/>
          <w:lang w:val="ka-GE"/>
        </w:rPr>
        <w:t>კანონის</w:t>
      </w:r>
      <w:r>
        <w:rPr>
          <w:sz w:val="22"/>
          <w:szCs w:val="22"/>
          <w:lang w:val="ka-GE"/>
        </w:rPr>
        <w:t xml:space="preserve">, </w:t>
      </w:r>
      <w:r>
        <w:rPr>
          <w:rFonts w:ascii="Sylfaen" w:hAnsi="Sylfaen" w:cs="Sylfaen"/>
          <w:sz w:val="22"/>
          <w:szCs w:val="22"/>
          <w:lang w:val="ka-GE"/>
        </w:rPr>
        <w:t>წითელი</w:t>
      </w:r>
      <w:r>
        <w:rPr>
          <w:sz w:val="22"/>
          <w:szCs w:val="22"/>
          <w:lang w:val="ka-GE"/>
        </w:rPr>
        <w:t xml:space="preserve"> </w:t>
      </w:r>
      <w:r>
        <w:rPr>
          <w:rFonts w:ascii="Sylfaen" w:hAnsi="Sylfaen" w:cs="Sylfaen"/>
          <w:sz w:val="22"/>
          <w:szCs w:val="22"/>
          <w:lang w:val="ka-GE"/>
        </w:rPr>
        <w:t>წიგნის</w:t>
      </w:r>
      <w:r>
        <w:rPr>
          <w:sz w:val="22"/>
          <w:szCs w:val="22"/>
          <w:lang w:val="ka-GE"/>
        </w:rPr>
        <w:t xml:space="preserve"> </w:t>
      </w:r>
      <w:r>
        <w:rPr>
          <w:rFonts w:ascii="Sylfaen" w:hAnsi="Sylfaen" w:cs="Sylfaen"/>
          <w:sz w:val="22"/>
          <w:szCs w:val="22"/>
          <w:lang w:val="ka-GE"/>
        </w:rPr>
        <w:t>და</w:t>
      </w:r>
      <w:r>
        <w:rPr>
          <w:sz w:val="22"/>
          <w:szCs w:val="22"/>
          <w:lang w:val="ka-GE"/>
        </w:rPr>
        <w:t xml:space="preserve"> </w:t>
      </w:r>
      <w:r>
        <w:rPr>
          <w:rFonts w:ascii="Sylfaen" w:hAnsi="Sylfaen" w:cs="Sylfaen"/>
          <w:sz w:val="22"/>
          <w:szCs w:val="22"/>
          <w:lang w:val="ka-GE"/>
        </w:rPr>
        <w:t>წითელი</w:t>
      </w:r>
      <w:r>
        <w:rPr>
          <w:sz w:val="22"/>
          <w:szCs w:val="22"/>
          <w:lang w:val="ka-GE"/>
        </w:rPr>
        <w:t xml:space="preserve"> </w:t>
      </w:r>
      <w:r>
        <w:rPr>
          <w:rFonts w:ascii="Sylfaen" w:hAnsi="Sylfaen" w:cs="Sylfaen"/>
          <w:sz w:val="22"/>
          <w:szCs w:val="22"/>
          <w:lang w:val="ka-GE"/>
        </w:rPr>
        <w:t>ნუსხის</w:t>
      </w:r>
      <w:r>
        <w:rPr>
          <w:sz w:val="22"/>
          <w:szCs w:val="22"/>
          <w:lang w:val="ka-GE"/>
        </w:rPr>
        <w:t xml:space="preserve"> </w:t>
      </w:r>
      <w:r>
        <w:rPr>
          <w:rFonts w:ascii="Sylfaen" w:hAnsi="Sylfaen" w:cs="Sylfaen"/>
          <w:sz w:val="22"/>
          <w:szCs w:val="22"/>
          <w:lang w:val="ka-GE"/>
        </w:rPr>
        <w:t>შესახებ</w:t>
      </w:r>
      <w:r>
        <w:rPr>
          <w:sz w:val="22"/>
          <w:szCs w:val="22"/>
          <w:lang w:val="ka-GE"/>
        </w:rPr>
        <w:t xml:space="preserve"> </w:t>
      </w:r>
      <w:r>
        <w:rPr>
          <w:rFonts w:ascii="Sylfaen" w:hAnsi="Sylfaen" w:cs="Sylfaen"/>
          <w:sz w:val="22"/>
          <w:szCs w:val="22"/>
          <w:lang w:val="ka-GE"/>
        </w:rPr>
        <w:t>კანონის</w:t>
      </w:r>
      <w:r>
        <w:rPr>
          <w:sz w:val="22"/>
          <w:szCs w:val="22"/>
          <w:lang w:val="ka-GE"/>
        </w:rPr>
        <w:t xml:space="preserve"> </w:t>
      </w:r>
      <w:r>
        <w:rPr>
          <w:rFonts w:ascii="Sylfaen" w:hAnsi="Sylfaen" w:cs="Sylfaen"/>
          <w:sz w:val="22"/>
          <w:szCs w:val="22"/>
          <w:lang w:val="ka-GE"/>
        </w:rPr>
        <w:t>და</w:t>
      </w:r>
      <w:r>
        <w:rPr>
          <w:sz w:val="22"/>
          <w:szCs w:val="22"/>
          <w:lang w:val="ka-GE"/>
        </w:rPr>
        <w:t xml:space="preserve"> </w:t>
      </w:r>
      <w:r>
        <w:rPr>
          <w:rFonts w:ascii="Sylfaen" w:hAnsi="Sylfaen" w:cs="Sylfaen"/>
          <w:sz w:val="22"/>
          <w:szCs w:val="22"/>
          <w:lang w:val="ka-GE"/>
        </w:rPr>
        <w:t>დაცულ</w:t>
      </w:r>
      <w:r>
        <w:rPr>
          <w:sz w:val="22"/>
          <w:szCs w:val="22"/>
          <w:lang w:val="ka-GE"/>
        </w:rPr>
        <w:t xml:space="preserve"> </w:t>
      </w:r>
      <w:r>
        <w:rPr>
          <w:rFonts w:ascii="Sylfaen" w:hAnsi="Sylfaen" w:cs="Sylfaen"/>
          <w:sz w:val="22"/>
          <w:szCs w:val="22"/>
          <w:lang w:val="ka-GE"/>
        </w:rPr>
        <w:t>სახეობებთან</w:t>
      </w:r>
      <w:r>
        <w:rPr>
          <w:sz w:val="22"/>
          <w:szCs w:val="22"/>
          <w:lang w:val="ka-GE"/>
        </w:rPr>
        <w:t xml:space="preserve"> </w:t>
      </w:r>
      <w:r>
        <w:rPr>
          <w:rFonts w:ascii="Sylfaen" w:hAnsi="Sylfaen" w:cs="Sylfaen"/>
          <w:sz w:val="22"/>
          <w:szCs w:val="22"/>
          <w:lang w:val="ka-GE"/>
        </w:rPr>
        <w:t>დაკავშირებული</w:t>
      </w:r>
      <w:r>
        <w:rPr>
          <w:sz w:val="22"/>
          <w:szCs w:val="22"/>
          <w:lang w:val="ka-GE"/>
        </w:rPr>
        <w:t xml:space="preserve"> </w:t>
      </w:r>
      <w:r>
        <w:rPr>
          <w:rFonts w:ascii="Sylfaen" w:hAnsi="Sylfaen" w:cs="Sylfaen"/>
          <w:sz w:val="22"/>
          <w:szCs w:val="22"/>
          <w:lang w:val="ka-GE"/>
        </w:rPr>
        <w:t>საერთაშორისო</w:t>
      </w:r>
      <w:r>
        <w:rPr>
          <w:sz w:val="22"/>
          <w:szCs w:val="22"/>
          <w:lang w:val="ka-GE"/>
        </w:rPr>
        <w:t xml:space="preserve"> </w:t>
      </w:r>
      <w:r>
        <w:rPr>
          <w:rFonts w:ascii="Sylfaen" w:hAnsi="Sylfaen" w:cs="Sylfaen"/>
          <w:sz w:val="22"/>
          <w:szCs w:val="22"/>
          <w:lang w:val="ka-GE"/>
        </w:rPr>
        <w:t>რეგულაციების</w:t>
      </w:r>
      <w:r>
        <w:rPr>
          <w:sz w:val="22"/>
          <w:szCs w:val="22"/>
          <w:lang w:val="ka-GE"/>
        </w:rPr>
        <w:t xml:space="preserve"> </w:t>
      </w:r>
      <w:r>
        <w:rPr>
          <w:rFonts w:ascii="Sylfaen" w:hAnsi="Sylfaen" w:cs="Sylfaen"/>
          <w:sz w:val="22"/>
          <w:szCs w:val="22"/>
          <w:lang w:val="ka-GE"/>
        </w:rPr>
        <w:t>მხედველობაში</w:t>
      </w:r>
      <w:r>
        <w:rPr>
          <w:sz w:val="22"/>
          <w:szCs w:val="22"/>
          <w:lang w:val="ka-GE"/>
        </w:rPr>
        <w:t xml:space="preserve"> </w:t>
      </w:r>
      <w:r>
        <w:rPr>
          <w:rFonts w:ascii="Sylfaen" w:hAnsi="Sylfaen" w:cs="Sylfaen"/>
          <w:sz w:val="22"/>
          <w:szCs w:val="22"/>
          <w:lang w:val="ka-GE"/>
        </w:rPr>
        <w:t>მიღებით</w:t>
      </w:r>
      <w:r>
        <w:rPr>
          <w:sz w:val="22"/>
          <w:szCs w:val="22"/>
          <w:lang w:val="ka-GE"/>
        </w:rPr>
        <w:t>/</w:t>
      </w:r>
      <w:r>
        <w:rPr>
          <w:rFonts w:ascii="Sylfaen" w:hAnsi="Sylfaen" w:cs="Sylfaen"/>
          <w:sz w:val="22"/>
          <w:szCs w:val="22"/>
          <w:lang w:val="ka-GE"/>
        </w:rPr>
        <w:t>დაცვით</w:t>
      </w:r>
      <w:r>
        <w:rPr>
          <w:sz w:val="22"/>
          <w:szCs w:val="22"/>
          <w:lang w:val="ka-GE"/>
        </w:rPr>
        <w:t xml:space="preserve">. </w:t>
      </w:r>
    </w:p>
    <w:p w14:paraId="0EAB9D66" w14:textId="77777777" w:rsidR="00980876" w:rsidRDefault="00980876" w:rsidP="00980876">
      <w:pPr>
        <w:pStyle w:val="BodyText"/>
        <w:spacing w:before="120" w:after="120" w:line="240" w:lineRule="auto"/>
        <w:jc w:val="both"/>
        <w:rPr>
          <w:sz w:val="22"/>
          <w:szCs w:val="22"/>
          <w:lang w:val="ka-GE"/>
        </w:rPr>
      </w:pPr>
      <w:r>
        <w:rPr>
          <w:rFonts w:ascii="Sylfaen" w:hAnsi="Sylfaen" w:cs="Sylfaen"/>
          <w:sz w:val="22"/>
          <w:szCs w:val="22"/>
          <w:lang w:val="ka-GE"/>
        </w:rPr>
        <w:t>შეფასების</w:t>
      </w:r>
      <w:r>
        <w:rPr>
          <w:sz w:val="22"/>
          <w:szCs w:val="22"/>
          <w:lang w:val="ka-GE"/>
        </w:rPr>
        <w:t xml:space="preserve"> </w:t>
      </w:r>
      <w:r>
        <w:rPr>
          <w:rFonts w:ascii="Sylfaen" w:hAnsi="Sylfaen" w:cs="Sylfaen"/>
          <w:sz w:val="22"/>
          <w:szCs w:val="22"/>
          <w:lang w:val="ka-GE"/>
        </w:rPr>
        <w:t>პროცესში</w:t>
      </w:r>
      <w:r>
        <w:rPr>
          <w:sz w:val="22"/>
          <w:szCs w:val="22"/>
          <w:lang w:val="ka-GE"/>
        </w:rPr>
        <w:t xml:space="preserve"> </w:t>
      </w:r>
      <w:r>
        <w:rPr>
          <w:rFonts w:ascii="Sylfaen" w:hAnsi="Sylfaen" w:cs="Sylfaen"/>
          <w:sz w:val="22"/>
          <w:szCs w:val="22"/>
          <w:lang w:val="ka-GE"/>
        </w:rPr>
        <w:t>საქართველოს</w:t>
      </w:r>
      <w:r>
        <w:rPr>
          <w:sz w:val="22"/>
          <w:szCs w:val="22"/>
          <w:lang w:val="ka-GE"/>
        </w:rPr>
        <w:t xml:space="preserve"> </w:t>
      </w:r>
      <w:r>
        <w:rPr>
          <w:rFonts w:ascii="Sylfaen" w:hAnsi="Sylfaen" w:cs="Sylfaen"/>
          <w:sz w:val="22"/>
          <w:szCs w:val="22"/>
          <w:lang w:val="ka-GE"/>
        </w:rPr>
        <w:t>კანონმდებლობასთან</w:t>
      </w:r>
      <w:r>
        <w:rPr>
          <w:sz w:val="22"/>
          <w:szCs w:val="22"/>
          <w:lang w:val="ka-GE"/>
        </w:rPr>
        <w:t xml:space="preserve">/ </w:t>
      </w:r>
      <w:r>
        <w:rPr>
          <w:rFonts w:ascii="Sylfaen" w:hAnsi="Sylfaen" w:cs="Sylfaen"/>
          <w:sz w:val="22"/>
          <w:szCs w:val="22"/>
          <w:lang w:val="ka-GE"/>
        </w:rPr>
        <w:t>რეგულაციებთან</w:t>
      </w:r>
      <w:r>
        <w:rPr>
          <w:sz w:val="22"/>
          <w:szCs w:val="22"/>
          <w:lang w:val="ka-GE"/>
        </w:rPr>
        <w:t xml:space="preserve"> </w:t>
      </w:r>
      <w:r>
        <w:rPr>
          <w:rFonts w:ascii="Sylfaen" w:hAnsi="Sylfaen" w:cs="Sylfaen"/>
          <w:sz w:val="22"/>
          <w:szCs w:val="22"/>
          <w:lang w:val="ka-GE"/>
        </w:rPr>
        <w:t>ერთად</w:t>
      </w:r>
      <w:r>
        <w:rPr>
          <w:sz w:val="22"/>
          <w:szCs w:val="22"/>
          <w:lang w:val="ka-GE"/>
        </w:rPr>
        <w:t xml:space="preserve"> </w:t>
      </w:r>
      <w:r>
        <w:rPr>
          <w:rFonts w:ascii="Sylfaen" w:hAnsi="Sylfaen" w:cs="Sylfaen"/>
          <w:sz w:val="22"/>
          <w:szCs w:val="22"/>
          <w:lang w:val="ka-GE"/>
        </w:rPr>
        <w:t>გათვალისწინებული</w:t>
      </w:r>
      <w:r>
        <w:rPr>
          <w:sz w:val="22"/>
          <w:szCs w:val="22"/>
          <w:lang w:val="ka-GE"/>
        </w:rPr>
        <w:t xml:space="preserve"> </w:t>
      </w:r>
      <w:r>
        <w:rPr>
          <w:rFonts w:ascii="Sylfaen" w:hAnsi="Sylfaen" w:cs="Sylfaen"/>
          <w:sz w:val="22"/>
          <w:szCs w:val="22"/>
          <w:lang w:val="ka-GE"/>
        </w:rPr>
        <w:t>იყო</w:t>
      </w:r>
      <w:r>
        <w:rPr>
          <w:sz w:val="22"/>
          <w:szCs w:val="22"/>
          <w:lang w:val="ka-GE"/>
        </w:rPr>
        <w:t xml:space="preserve"> </w:t>
      </w:r>
      <w:r>
        <w:rPr>
          <w:rFonts w:ascii="Sylfaen" w:hAnsi="Sylfaen" w:cs="Sylfaen"/>
          <w:sz w:val="22"/>
          <w:szCs w:val="22"/>
          <w:lang w:val="ka-GE"/>
        </w:rPr>
        <w:t>საერთაშორისო</w:t>
      </w:r>
      <w:r>
        <w:rPr>
          <w:sz w:val="22"/>
          <w:szCs w:val="22"/>
          <w:lang w:val="ka-GE"/>
        </w:rPr>
        <w:t xml:space="preserve"> </w:t>
      </w:r>
      <w:r>
        <w:rPr>
          <w:rFonts w:ascii="Sylfaen" w:hAnsi="Sylfaen" w:cs="Sylfaen"/>
          <w:sz w:val="22"/>
          <w:szCs w:val="22"/>
          <w:lang w:val="ka-GE"/>
        </w:rPr>
        <w:t>მოთხოვნები</w:t>
      </w:r>
      <w:r>
        <w:rPr>
          <w:sz w:val="22"/>
          <w:szCs w:val="22"/>
          <w:lang w:val="ka-GE"/>
        </w:rPr>
        <w:t xml:space="preserve"> </w:t>
      </w:r>
      <w:r>
        <w:rPr>
          <w:rFonts w:ascii="Sylfaen" w:hAnsi="Sylfaen" w:cs="Sylfaen"/>
          <w:sz w:val="22"/>
          <w:szCs w:val="22"/>
          <w:lang w:val="ka-GE"/>
        </w:rPr>
        <w:t>მსოფლიო</w:t>
      </w:r>
      <w:r>
        <w:rPr>
          <w:sz w:val="22"/>
          <w:szCs w:val="22"/>
          <w:lang w:val="ka-GE"/>
        </w:rPr>
        <w:t xml:space="preserve"> </w:t>
      </w:r>
      <w:r>
        <w:rPr>
          <w:rFonts w:ascii="Sylfaen" w:hAnsi="Sylfaen" w:cs="Sylfaen"/>
          <w:sz w:val="22"/>
          <w:szCs w:val="22"/>
          <w:lang w:val="ka-GE"/>
        </w:rPr>
        <w:t>ბანკის</w:t>
      </w:r>
      <w:r>
        <w:rPr>
          <w:sz w:val="22"/>
          <w:szCs w:val="22"/>
          <w:lang w:val="ka-GE"/>
        </w:rPr>
        <w:t xml:space="preserve"> </w:t>
      </w:r>
      <w:r>
        <w:rPr>
          <w:rFonts w:ascii="Sylfaen" w:hAnsi="Sylfaen"/>
          <w:sz w:val="22"/>
          <w:szCs w:val="22"/>
          <w:lang w:val="ka-GE"/>
        </w:rPr>
        <w:t>პოლიტიკისა</w:t>
      </w:r>
      <w:r>
        <w:rPr>
          <w:sz w:val="22"/>
          <w:szCs w:val="22"/>
          <w:lang w:val="ka-GE"/>
        </w:rPr>
        <w:t xml:space="preserve"> </w:t>
      </w:r>
      <w:r>
        <w:rPr>
          <w:rFonts w:ascii="Sylfaen" w:hAnsi="Sylfaen" w:cs="Sylfaen"/>
          <w:sz w:val="22"/>
          <w:szCs w:val="22"/>
          <w:lang w:val="ka-GE"/>
        </w:rPr>
        <w:t>და</w:t>
      </w:r>
      <w:r>
        <w:rPr>
          <w:sz w:val="22"/>
          <w:szCs w:val="22"/>
          <w:lang w:val="ka-GE"/>
        </w:rPr>
        <w:t xml:space="preserve"> </w:t>
      </w:r>
      <w:r>
        <w:rPr>
          <w:rFonts w:ascii="Sylfaen" w:hAnsi="Sylfaen" w:cs="Sylfaen"/>
          <w:sz w:val="22"/>
          <w:szCs w:val="22"/>
          <w:lang w:val="ka-GE"/>
        </w:rPr>
        <w:t>ევროკავშირის</w:t>
      </w:r>
      <w:r>
        <w:rPr>
          <w:sz w:val="22"/>
          <w:szCs w:val="22"/>
          <w:lang w:val="ka-GE"/>
        </w:rPr>
        <w:t xml:space="preserve"> </w:t>
      </w:r>
      <w:r>
        <w:rPr>
          <w:rFonts w:ascii="Sylfaen" w:hAnsi="Sylfaen" w:cs="Sylfaen"/>
          <w:sz w:val="22"/>
          <w:szCs w:val="22"/>
          <w:lang w:val="ka-GE"/>
        </w:rPr>
        <w:t>დირექტივები</w:t>
      </w:r>
      <w:r>
        <w:rPr>
          <w:sz w:val="22"/>
          <w:szCs w:val="22"/>
          <w:lang w:val="ka-GE"/>
        </w:rPr>
        <w:t>.</w:t>
      </w:r>
    </w:p>
    <w:p w14:paraId="68C1FCD6" w14:textId="77777777" w:rsidR="00980876" w:rsidRDefault="00980876" w:rsidP="00980876">
      <w:pPr>
        <w:rPr>
          <w:rFonts w:ascii="Sylfaen" w:hAnsi="Sylfaen"/>
          <w:szCs w:val="22"/>
          <w:lang w:val="ka-GE" w:eastAsia="en-US"/>
        </w:rPr>
      </w:pPr>
    </w:p>
    <w:p w14:paraId="24D05157" w14:textId="77777777" w:rsidR="00980876" w:rsidRDefault="00980876" w:rsidP="00980876">
      <w:pPr>
        <w:pStyle w:val="Heading2"/>
        <w:rPr>
          <w:rFonts w:ascii="Sylfaen" w:hAnsi="Sylfaen"/>
          <w:lang w:val="ka-GE"/>
        </w:rPr>
      </w:pPr>
      <w:bookmarkStart w:id="177" w:name="_Toc529977378"/>
      <w:bookmarkStart w:id="178" w:name="_Toc1581539"/>
      <w:r>
        <w:t xml:space="preserve">5.2 </w:t>
      </w:r>
      <w:r>
        <w:rPr>
          <w:rFonts w:ascii="Sylfaen" w:hAnsi="Sylfaen"/>
          <w:lang w:val="ka-GE"/>
        </w:rPr>
        <w:t>ნიადაგის დაბინძურება</w:t>
      </w:r>
      <w:bookmarkEnd w:id="177"/>
      <w:bookmarkEnd w:id="178"/>
    </w:p>
    <w:p w14:paraId="66CD3FCF" w14:textId="77777777" w:rsidR="00980876" w:rsidRDefault="00980876" w:rsidP="00980876">
      <w:pPr>
        <w:spacing w:before="120" w:after="120"/>
        <w:rPr>
          <w:rFonts w:ascii="Sylfaen" w:hAnsi="Sylfaen"/>
          <w:lang w:val="ka-GE"/>
        </w:rPr>
      </w:pPr>
      <w:r>
        <w:rPr>
          <w:rFonts w:ascii="Sylfaen" w:hAnsi="Sylfaen"/>
          <w:lang w:val="ka-GE"/>
        </w:rPr>
        <w:t>ნიადაგზე უარყოფითი ზემოქმედებისა და ნიადაგის დაბინძურების შეფასება განხორციელდა საქართველოს კანონმდებლობისა და ევრორეგულაციების შესაბამისად.</w:t>
      </w:r>
    </w:p>
    <w:p w14:paraId="6B15D3CB" w14:textId="77777777" w:rsidR="00980876" w:rsidRDefault="00980876" w:rsidP="00980876">
      <w:pPr>
        <w:autoSpaceDE w:val="0"/>
        <w:autoSpaceDN w:val="0"/>
        <w:adjustRightInd w:val="0"/>
        <w:rPr>
          <w:rFonts w:ascii="Sylfaen" w:hAnsi="Sylfaen" w:cs="Sylfaen"/>
          <w:szCs w:val="22"/>
          <w:lang w:val="ka-GE" w:eastAsia="da-DK"/>
        </w:rPr>
      </w:pPr>
      <w:r>
        <w:rPr>
          <w:rFonts w:ascii="Sylfaen" w:hAnsi="Sylfaen" w:cs="Sylfaen"/>
          <w:szCs w:val="22"/>
          <w:lang w:val="ka-GE" w:eastAsia="da-DK"/>
        </w:rPr>
        <w:t>ნიადაგის</w:t>
      </w:r>
      <w:r>
        <w:rPr>
          <w:rFonts w:cs="Sylfaen"/>
          <w:szCs w:val="22"/>
          <w:lang w:val="ka-GE" w:eastAsia="da-DK"/>
        </w:rPr>
        <w:t xml:space="preserve"> </w:t>
      </w:r>
      <w:r>
        <w:rPr>
          <w:rFonts w:ascii="Sylfaen" w:hAnsi="Sylfaen" w:cs="Sylfaen"/>
          <w:szCs w:val="22"/>
          <w:lang w:val="ka-GE" w:eastAsia="da-DK"/>
        </w:rPr>
        <w:t>ფონური</w:t>
      </w:r>
      <w:r>
        <w:rPr>
          <w:rFonts w:cs="Sylfaen"/>
          <w:szCs w:val="22"/>
          <w:lang w:val="ka-GE" w:eastAsia="da-DK"/>
        </w:rPr>
        <w:t xml:space="preserve"> </w:t>
      </w:r>
      <w:r>
        <w:rPr>
          <w:rFonts w:ascii="Sylfaen" w:hAnsi="Sylfaen" w:cs="Sylfaen"/>
          <w:szCs w:val="22"/>
          <w:lang w:val="ka-GE" w:eastAsia="da-DK"/>
        </w:rPr>
        <w:t>მდგომარეობის</w:t>
      </w:r>
      <w:r>
        <w:rPr>
          <w:rFonts w:cs="Sylfaen"/>
          <w:szCs w:val="22"/>
          <w:lang w:val="ka-GE" w:eastAsia="da-DK"/>
        </w:rPr>
        <w:t xml:space="preserve"> </w:t>
      </w:r>
      <w:r>
        <w:rPr>
          <w:rFonts w:ascii="Sylfaen" w:hAnsi="Sylfaen" w:cs="Sylfaen"/>
          <w:szCs w:val="22"/>
          <w:lang w:val="ka-GE" w:eastAsia="da-DK"/>
        </w:rPr>
        <w:t>დასადგენად</w:t>
      </w:r>
      <w:r>
        <w:rPr>
          <w:rFonts w:cs="Sylfaen"/>
          <w:szCs w:val="22"/>
          <w:lang w:val="ka-GE" w:eastAsia="da-DK"/>
        </w:rPr>
        <w:t xml:space="preserve"> </w:t>
      </w:r>
      <w:r>
        <w:rPr>
          <w:rFonts w:ascii="Sylfaen" w:hAnsi="Sylfaen" w:cs="Sylfaen"/>
          <w:szCs w:val="22"/>
          <w:lang w:val="ka-GE" w:eastAsia="da-DK"/>
        </w:rPr>
        <w:t>სინჯების</w:t>
      </w:r>
      <w:r>
        <w:rPr>
          <w:rFonts w:cs="Sylfaen"/>
          <w:szCs w:val="22"/>
          <w:lang w:val="ka-GE" w:eastAsia="da-DK"/>
        </w:rPr>
        <w:t xml:space="preserve"> </w:t>
      </w:r>
      <w:r>
        <w:rPr>
          <w:rFonts w:ascii="Sylfaen" w:hAnsi="Sylfaen" w:cs="Sylfaen"/>
          <w:szCs w:val="22"/>
          <w:lang w:val="ka-GE" w:eastAsia="da-DK"/>
        </w:rPr>
        <w:t>აღება</w:t>
      </w:r>
      <w:r>
        <w:rPr>
          <w:rFonts w:cs="Sylfaen"/>
          <w:szCs w:val="22"/>
          <w:lang w:val="ka-GE" w:eastAsia="da-DK"/>
        </w:rPr>
        <w:t xml:space="preserve"> </w:t>
      </w:r>
      <w:r>
        <w:rPr>
          <w:rFonts w:ascii="Sylfaen" w:hAnsi="Sylfaen" w:cs="Sylfaen"/>
          <w:szCs w:val="22"/>
          <w:lang w:val="ka-GE" w:eastAsia="da-DK"/>
        </w:rPr>
        <w:t>მოხდა</w:t>
      </w:r>
      <w:r>
        <w:rPr>
          <w:rFonts w:cs="Sylfaen"/>
          <w:szCs w:val="22"/>
          <w:lang w:val="ka-GE" w:eastAsia="da-DK"/>
        </w:rPr>
        <w:t xml:space="preserve"> </w:t>
      </w:r>
      <w:r>
        <w:rPr>
          <w:szCs w:val="22"/>
          <w:lang w:val="ka-GE"/>
        </w:rPr>
        <w:t>201</w:t>
      </w:r>
      <w:r>
        <w:rPr>
          <w:rFonts w:ascii="Sylfaen" w:hAnsi="Sylfaen"/>
          <w:szCs w:val="22"/>
          <w:lang w:val="ka-GE"/>
        </w:rPr>
        <w:t>7</w:t>
      </w:r>
      <w:r>
        <w:rPr>
          <w:szCs w:val="22"/>
          <w:lang w:val="ka-GE"/>
        </w:rPr>
        <w:t xml:space="preserve"> </w:t>
      </w:r>
      <w:r>
        <w:rPr>
          <w:rFonts w:ascii="Sylfaen" w:hAnsi="Sylfaen" w:cs="Sylfaen"/>
          <w:szCs w:val="22"/>
          <w:lang w:val="ka-GE"/>
        </w:rPr>
        <w:t>წლის</w:t>
      </w:r>
      <w:r>
        <w:rPr>
          <w:szCs w:val="22"/>
          <w:lang w:val="ka-GE"/>
        </w:rPr>
        <w:t xml:space="preserve"> </w:t>
      </w:r>
      <w:r>
        <w:rPr>
          <w:rFonts w:ascii="Sylfaen" w:hAnsi="Sylfaen"/>
          <w:szCs w:val="22"/>
          <w:lang w:val="ka-GE"/>
        </w:rPr>
        <w:t>ოქტომბერში</w:t>
      </w:r>
      <w:r>
        <w:rPr>
          <w:szCs w:val="22"/>
          <w:lang w:val="ka-GE"/>
        </w:rPr>
        <w:t xml:space="preserve">. </w:t>
      </w:r>
      <w:r>
        <w:rPr>
          <w:rFonts w:ascii="Sylfaen" w:hAnsi="Sylfaen" w:cs="Sylfaen"/>
          <w:szCs w:val="22"/>
          <w:lang w:val="ka-GE" w:eastAsia="da-DK"/>
        </w:rPr>
        <w:t>იმის</w:t>
      </w:r>
      <w:r>
        <w:rPr>
          <w:rFonts w:cs="Sylfaen"/>
          <w:szCs w:val="22"/>
          <w:lang w:val="ka-GE" w:eastAsia="da-DK"/>
        </w:rPr>
        <w:t xml:space="preserve"> </w:t>
      </w:r>
      <w:r>
        <w:rPr>
          <w:rFonts w:ascii="Sylfaen" w:hAnsi="Sylfaen" w:cs="Sylfaen"/>
          <w:szCs w:val="22"/>
          <w:lang w:val="ka-GE" w:eastAsia="da-DK"/>
        </w:rPr>
        <w:t>გათვალისწინებით</w:t>
      </w:r>
      <w:r>
        <w:rPr>
          <w:rFonts w:cs="Sylfaen"/>
          <w:szCs w:val="22"/>
          <w:lang w:val="ka-GE" w:eastAsia="da-DK"/>
        </w:rPr>
        <w:t xml:space="preserve">, </w:t>
      </w:r>
      <w:r>
        <w:rPr>
          <w:rFonts w:ascii="Sylfaen" w:hAnsi="Sylfaen" w:cs="Sylfaen"/>
          <w:szCs w:val="22"/>
          <w:lang w:val="ka-GE" w:eastAsia="da-DK"/>
        </w:rPr>
        <w:t>რომ</w:t>
      </w:r>
      <w:r>
        <w:rPr>
          <w:rFonts w:cs="Sylfaen"/>
          <w:szCs w:val="22"/>
          <w:lang w:val="ka-GE" w:eastAsia="da-DK"/>
        </w:rPr>
        <w:t xml:space="preserve"> </w:t>
      </w:r>
      <w:r>
        <w:rPr>
          <w:rFonts w:ascii="Sylfaen" w:hAnsi="Sylfaen" w:cs="Sylfaen"/>
          <w:szCs w:val="22"/>
          <w:lang w:val="ka-GE" w:eastAsia="da-DK"/>
        </w:rPr>
        <w:t>ტერიტორია</w:t>
      </w:r>
      <w:r>
        <w:rPr>
          <w:rFonts w:cs="Sylfaen"/>
          <w:szCs w:val="22"/>
          <w:lang w:val="ka-GE" w:eastAsia="da-DK"/>
        </w:rPr>
        <w:t xml:space="preserve"> </w:t>
      </w:r>
      <w:r>
        <w:rPr>
          <w:rFonts w:ascii="Sylfaen" w:hAnsi="Sylfaen" w:cs="Sylfaen"/>
          <w:szCs w:val="22"/>
          <w:lang w:val="ka-GE" w:eastAsia="da-DK"/>
        </w:rPr>
        <w:t>ძირითადად</w:t>
      </w:r>
      <w:r>
        <w:rPr>
          <w:rFonts w:cs="Sylfaen"/>
          <w:szCs w:val="22"/>
          <w:lang w:val="ka-GE" w:eastAsia="da-DK"/>
        </w:rPr>
        <w:t xml:space="preserve"> </w:t>
      </w:r>
      <w:r>
        <w:rPr>
          <w:rFonts w:ascii="Sylfaen" w:hAnsi="Sylfaen" w:cs="Sylfaen"/>
          <w:szCs w:val="22"/>
          <w:lang w:val="ka-GE" w:eastAsia="da-DK"/>
        </w:rPr>
        <w:t>სასოფლო</w:t>
      </w:r>
      <w:r>
        <w:rPr>
          <w:rFonts w:cs="Sylfaen"/>
          <w:szCs w:val="22"/>
          <w:lang w:val="ka-GE" w:eastAsia="da-DK"/>
        </w:rPr>
        <w:t>-</w:t>
      </w:r>
      <w:r>
        <w:rPr>
          <w:rFonts w:ascii="Sylfaen" w:hAnsi="Sylfaen" w:cs="Sylfaen"/>
          <w:szCs w:val="22"/>
          <w:lang w:val="ka-GE" w:eastAsia="da-DK"/>
        </w:rPr>
        <w:t>სამეურნეო</w:t>
      </w:r>
      <w:r>
        <w:rPr>
          <w:rFonts w:cs="Sylfaen"/>
          <w:szCs w:val="22"/>
          <w:lang w:val="ka-GE" w:eastAsia="da-DK"/>
        </w:rPr>
        <w:t xml:space="preserve"> </w:t>
      </w:r>
      <w:r>
        <w:rPr>
          <w:rFonts w:ascii="Sylfaen" w:hAnsi="Sylfaen" w:cs="Sylfaen"/>
          <w:szCs w:val="22"/>
          <w:lang w:val="ka-GE" w:eastAsia="da-DK"/>
        </w:rPr>
        <w:t>დანიშნულებისაა</w:t>
      </w:r>
      <w:r>
        <w:rPr>
          <w:rFonts w:cs="Sylfaen"/>
          <w:szCs w:val="22"/>
          <w:lang w:val="ka-GE" w:eastAsia="da-DK"/>
        </w:rPr>
        <w:t xml:space="preserve">, </w:t>
      </w:r>
      <w:r>
        <w:rPr>
          <w:rFonts w:ascii="Sylfaen" w:hAnsi="Sylfaen" w:cs="Sylfaen"/>
          <w:szCs w:val="22"/>
          <w:lang w:val="ka-GE" w:eastAsia="da-DK"/>
        </w:rPr>
        <w:t>აღებული</w:t>
      </w:r>
      <w:r>
        <w:rPr>
          <w:rFonts w:cs="Sylfaen"/>
          <w:szCs w:val="22"/>
          <w:lang w:val="ka-GE" w:eastAsia="da-DK"/>
        </w:rPr>
        <w:t xml:space="preserve"> </w:t>
      </w:r>
      <w:r>
        <w:rPr>
          <w:rFonts w:ascii="Sylfaen" w:hAnsi="Sylfaen" w:cs="Sylfaen"/>
          <w:szCs w:val="22"/>
          <w:lang w:val="ka-GE" w:eastAsia="da-DK"/>
        </w:rPr>
        <w:t>იყო</w:t>
      </w:r>
      <w:r>
        <w:rPr>
          <w:rFonts w:cs="Sylfaen"/>
          <w:szCs w:val="22"/>
          <w:lang w:val="ka-GE" w:eastAsia="da-DK"/>
        </w:rPr>
        <w:t xml:space="preserve"> </w:t>
      </w:r>
      <w:r>
        <w:rPr>
          <w:rFonts w:ascii="Sylfaen" w:hAnsi="Sylfaen" w:cs="Sylfaen"/>
          <w:szCs w:val="22"/>
          <w:lang w:val="ka-GE" w:eastAsia="da-DK"/>
        </w:rPr>
        <w:t>ოთხი</w:t>
      </w:r>
      <w:r>
        <w:rPr>
          <w:rFonts w:cs="Sylfaen"/>
          <w:szCs w:val="22"/>
          <w:lang w:val="ka-GE" w:eastAsia="da-DK"/>
        </w:rPr>
        <w:t xml:space="preserve"> </w:t>
      </w:r>
      <w:r>
        <w:rPr>
          <w:rFonts w:ascii="Sylfaen" w:hAnsi="Sylfaen" w:cs="Sylfaen"/>
          <w:szCs w:val="22"/>
          <w:lang w:val="ka-GE" w:eastAsia="da-DK"/>
        </w:rPr>
        <w:t>გასაშუალოებული</w:t>
      </w:r>
      <w:r>
        <w:rPr>
          <w:rFonts w:cs="Sylfaen"/>
          <w:szCs w:val="22"/>
          <w:lang w:val="ka-GE" w:eastAsia="da-DK"/>
        </w:rPr>
        <w:t xml:space="preserve"> </w:t>
      </w:r>
      <w:r>
        <w:rPr>
          <w:rFonts w:ascii="Sylfaen" w:hAnsi="Sylfaen" w:cs="Sylfaen"/>
          <w:szCs w:val="22"/>
          <w:lang w:val="ka-GE" w:eastAsia="da-DK"/>
        </w:rPr>
        <w:t>სინჯი</w:t>
      </w:r>
      <w:r>
        <w:rPr>
          <w:rFonts w:cs="Sylfaen"/>
          <w:szCs w:val="22"/>
          <w:lang w:val="ka-GE" w:eastAsia="da-DK"/>
        </w:rPr>
        <w:t xml:space="preserve">. </w:t>
      </w:r>
    </w:p>
    <w:p w14:paraId="3F6B0CA8" w14:textId="77777777" w:rsidR="00980876" w:rsidRDefault="00980876" w:rsidP="00980876">
      <w:pPr>
        <w:jc w:val="center"/>
        <w:rPr>
          <w:rFonts w:ascii="Sylfaen" w:hAnsi="Sylfaen"/>
          <w:b/>
          <w:bCs/>
          <w:iCs/>
          <w:color w:val="000000"/>
          <w:szCs w:val="22"/>
          <w:lang w:val="ka-GE" w:eastAsia="en-US"/>
        </w:rPr>
      </w:pPr>
      <w:r>
        <w:rPr>
          <w:rFonts w:ascii="Sylfaen" w:hAnsi="Sylfaen" w:cs="Sylfaen"/>
          <w:b/>
          <w:bCs/>
          <w:iCs/>
          <w:color w:val="000000"/>
          <w:lang w:val="ka-GE"/>
        </w:rPr>
        <w:t>ნიადაგის</w:t>
      </w:r>
      <w:r>
        <w:rPr>
          <w:b/>
          <w:bCs/>
          <w:iCs/>
          <w:color w:val="000000"/>
          <w:lang w:val="ka-GE"/>
        </w:rPr>
        <w:t xml:space="preserve"> </w:t>
      </w:r>
      <w:r>
        <w:rPr>
          <w:rFonts w:ascii="Sylfaen" w:hAnsi="Sylfaen" w:cs="Sylfaen"/>
          <w:b/>
          <w:bCs/>
          <w:iCs/>
          <w:color w:val="000000"/>
          <w:lang w:val="ka-GE"/>
        </w:rPr>
        <w:t>ანალიზის</w:t>
      </w:r>
      <w:r>
        <w:rPr>
          <w:b/>
          <w:bCs/>
          <w:iCs/>
          <w:color w:val="000000"/>
          <w:lang w:val="ka-GE"/>
        </w:rPr>
        <w:t xml:space="preserve"> </w:t>
      </w:r>
      <w:r>
        <w:rPr>
          <w:rFonts w:ascii="Sylfaen" w:hAnsi="Sylfaen" w:cs="Sylfaen"/>
          <w:b/>
          <w:bCs/>
          <w:iCs/>
          <w:color w:val="000000"/>
          <w:lang w:val="ka-GE"/>
        </w:rPr>
        <w:t>მეთოდები</w:t>
      </w:r>
    </w:p>
    <w:tbl>
      <w:tblPr>
        <w:tblStyle w:val="TableGrid"/>
        <w:tblW w:w="0" w:type="auto"/>
        <w:jc w:val="center"/>
        <w:tblLook w:val="04A0" w:firstRow="1" w:lastRow="0" w:firstColumn="1" w:lastColumn="0" w:noHBand="0" w:noVBand="1"/>
      </w:tblPr>
      <w:tblGrid>
        <w:gridCol w:w="3098"/>
        <w:gridCol w:w="6274"/>
      </w:tblGrid>
      <w:tr w:rsidR="00980876" w14:paraId="15978B35" w14:textId="77777777">
        <w:trPr>
          <w:trHeight w:val="198"/>
          <w:jc w:val="center"/>
        </w:trPr>
        <w:tc>
          <w:tcPr>
            <w:tcW w:w="3098" w:type="dxa"/>
            <w:tcBorders>
              <w:top w:val="single" w:sz="4" w:space="0" w:color="auto"/>
              <w:left w:val="single" w:sz="4" w:space="0" w:color="auto"/>
              <w:bottom w:val="single" w:sz="4" w:space="0" w:color="auto"/>
              <w:right w:val="single" w:sz="4" w:space="0" w:color="auto"/>
            </w:tcBorders>
            <w:hideMark/>
          </w:tcPr>
          <w:p w14:paraId="08D150E4" w14:textId="77777777" w:rsidR="00980876" w:rsidRDefault="00980876">
            <w:pPr>
              <w:rPr>
                <w:rFonts w:ascii="Times New Roman" w:hAnsi="Times New Roman"/>
                <w:color w:val="000000"/>
                <w:sz w:val="20"/>
                <w:szCs w:val="20"/>
                <w:lang w:val="en-US"/>
              </w:rPr>
            </w:pPr>
            <w:r>
              <w:rPr>
                <w:rFonts w:ascii="Times New Roman" w:hAnsi="Times New Roman"/>
                <w:color w:val="000000"/>
                <w:sz w:val="20"/>
                <w:szCs w:val="20"/>
              </w:rPr>
              <w:t>Cu, Zn, Pb, Ni, Co, Co, Cd</w:t>
            </w:r>
          </w:p>
        </w:tc>
        <w:tc>
          <w:tcPr>
            <w:tcW w:w="6274" w:type="dxa"/>
            <w:tcBorders>
              <w:top w:val="single" w:sz="4" w:space="0" w:color="auto"/>
              <w:left w:val="single" w:sz="4" w:space="0" w:color="auto"/>
              <w:bottom w:val="single" w:sz="4" w:space="0" w:color="auto"/>
              <w:right w:val="single" w:sz="4" w:space="0" w:color="auto"/>
            </w:tcBorders>
            <w:hideMark/>
          </w:tcPr>
          <w:p w14:paraId="6118F5B8" w14:textId="77777777" w:rsidR="00980876" w:rsidRDefault="00980876">
            <w:pPr>
              <w:rPr>
                <w:rFonts w:ascii="Times New Roman" w:hAnsi="Times New Roman"/>
                <w:color w:val="000000"/>
                <w:sz w:val="20"/>
                <w:szCs w:val="20"/>
              </w:rPr>
            </w:pPr>
            <w:r>
              <w:rPr>
                <w:rFonts w:ascii="Times New Roman" w:hAnsi="Times New Roman"/>
                <w:color w:val="000000"/>
                <w:sz w:val="20"/>
                <w:szCs w:val="20"/>
              </w:rPr>
              <w:t>ISO 11047, ISO 11466 - Cu, Mn, Fe, Mn, Co, Pb, Cd, Ni, Zn, Cr, Ni. Al</w:t>
            </w:r>
            <w:r>
              <w:rPr>
                <w:color w:val="000000"/>
                <w:sz w:val="20"/>
                <w:szCs w:val="20"/>
                <w:lang w:val="ka-GE"/>
              </w:rPr>
              <w:t>-</w:t>
            </w:r>
            <w:r>
              <w:rPr>
                <w:rFonts w:ascii="Sylfaen" w:hAnsi="Sylfaen" w:cs="Sylfaen"/>
                <w:color w:val="000000"/>
                <w:sz w:val="20"/>
                <w:szCs w:val="20"/>
                <w:lang w:val="ka-GE"/>
              </w:rPr>
              <w:t>ის</w:t>
            </w:r>
            <w:r>
              <w:rPr>
                <w:color w:val="000000"/>
                <w:sz w:val="20"/>
                <w:szCs w:val="20"/>
                <w:lang w:val="ka-GE"/>
              </w:rPr>
              <w:t xml:space="preserve"> </w:t>
            </w:r>
            <w:r>
              <w:rPr>
                <w:rFonts w:ascii="Sylfaen" w:hAnsi="Sylfaen" w:cs="Sylfaen"/>
                <w:color w:val="000000"/>
                <w:sz w:val="20"/>
                <w:szCs w:val="20"/>
                <w:lang w:val="ka-GE"/>
              </w:rPr>
              <w:t>სამეფო</w:t>
            </w:r>
            <w:r>
              <w:rPr>
                <w:color w:val="000000"/>
                <w:sz w:val="20"/>
                <w:szCs w:val="20"/>
                <w:lang w:val="ka-GE"/>
              </w:rPr>
              <w:t xml:space="preserve"> </w:t>
            </w:r>
            <w:r>
              <w:rPr>
                <w:rFonts w:ascii="Sylfaen" w:hAnsi="Sylfaen" w:cs="Sylfaen"/>
                <w:color w:val="000000"/>
                <w:sz w:val="20"/>
                <w:szCs w:val="20"/>
                <w:lang w:val="ka-GE"/>
              </w:rPr>
              <w:t>წყლის</w:t>
            </w:r>
            <w:r>
              <w:rPr>
                <w:color w:val="000000"/>
                <w:sz w:val="20"/>
                <w:szCs w:val="20"/>
                <w:lang w:val="ka-GE"/>
              </w:rPr>
              <w:t xml:space="preserve"> </w:t>
            </w:r>
            <w:r>
              <w:rPr>
                <w:rFonts w:ascii="Sylfaen" w:hAnsi="Sylfaen" w:cs="Sylfaen"/>
                <w:color w:val="000000"/>
                <w:sz w:val="20"/>
                <w:szCs w:val="20"/>
                <w:lang w:val="ka-GE"/>
              </w:rPr>
              <w:t>ექსტრაქტის</w:t>
            </w:r>
            <w:r>
              <w:rPr>
                <w:color w:val="000000"/>
                <w:sz w:val="20"/>
                <w:szCs w:val="20"/>
                <w:lang w:val="ka-GE"/>
              </w:rPr>
              <w:t xml:space="preserve"> </w:t>
            </w:r>
            <w:r>
              <w:rPr>
                <w:rFonts w:ascii="Sylfaen" w:hAnsi="Sylfaen" w:cs="Sylfaen"/>
                <w:color w:val="000000"/>
                <w:sz w:val="20"/>
                <w:szCs w:val="20"/>
                <w:lang w:val="ka-GE"/>
              </w:rPr>
              <w:t>განსაზღვრა</w:t>
            </w:r>
            <w:r>
              <w:rPr>
                <w:color w:val="000000"/>
                <w:sz w:val="20"/>
                <w:szCs w:val="20"/>
                <w:lang w:val="ka-GE"/>
              </w:rPr>
              <w:t xml:space="preserve"> </w:t>
            </w:r>
          </w:p>
        </w:tc>
      </w:tr>
      <w:tr w:rsidR="00980876" w14:paraId="3E8387FC" w14:textId="77777777">
        <w:trPr>
          <w:trHeight w:val="320"/>
          <w:jc w:val="center"/>
        </w:trPr>
        <w:tc>
          <w:tcPr>
            <w:tcW w:w="3098" w:type="dxa"/>
            <w:tcBorders>
              <w:top w:val="single" w:sz="4" w:space="0" w:color="auto"/>
              <w:left w:val="single" w:sz="4" w:space="0" w:color="auto"/>
              <w:bottom w:val="single" w:sz="4" w:space="0" w:color="auto"/>
              <w:right w:val="single" w:sz="4" w:space="0" w:color="auto"/>
            </w:tcBorders>
            <w:hideMark/>
          </w:tcPr>
          <w:p w14:paraId="71C4314A" w14:textId="77777777" w:rsidR="00980876" w:rsidRDefault="00980876">
            <w:pPr>
              <w:rPr>
                <w:rFonts w:ascii="Times New Roman" w:hAnsi="Times New Roman"/>
                <w:color w:val="000000"/>
                <w:sz w:val="20"/>
                <w:szCs w:val="20"/>
              </w:rPr>
            </w:pPr>
            <w:r>
              <w:rPr>
                <w:rFonts w:ascii="Times New Roman" w:hAnsi="Times New Roman"/>
                <w:color w:val="000000"/>
                <w:sz w:val="20"/>
                <w:szCs w:val="20"/>
              </w:rPr>
              <w:t>As</w:t>
            </w:r>
          </w:p>
        </w:tc>
        <w:tc>
          <w:tcPr>
            <w:tcW w:w="6274" w:type="dxa"/>
            <w:tcBorders>
              <w:top w:val="single" w:sz="4" w:space="0" w:color="auto"/>
              <w:left w:val="single" w:sz="4" w:space="0" w:color="auto"/>
              <w:bottom w:val="single" w:sz="4" w:space="0" w:color="auto"/>
              <w:right w:val="single" w:sz="4" w:space="0" w:color="auto"/>
            </w:tcBorders>
            <w:hideMark/>
          </w:tcPr>
          <w:p w14:paraId="0EA3D733" w14:textId="77777777" w:rsidR="00980876" w:rsidRDefault="00980876">
            <w:pPr>
              <w:rPr>
                <w:rFonts w:ascii="Sylfaen" w:hAnsi="Sylfaen"/>
                <w:color w:val="000000"/>
                <w:sz w:val="20"/>
                <w:szCs w:val="20"/>
                <w:lang w:val="ka-GE"/>
              </w:rPr>
            </w:pPr>
            <w:r>
              <w:rPr>
                <w:rFonts w:ascii="Times New Roman" w:hAnsi="Times New Roman"/>
                <w:color w:val="000000"/>
                <w:sz w:val="20"/>
                <w:szCs w:val="20"/>
              </w:rPr>
              <w:t xml:space="preserve">SO 2590 - </w:t>
            </w:r>
            <w:r>
              <w:rPr>
                <w:rFonts w:ascii="Sylfaen" w:hAnsi="Sylfaen" w:cs="Sylfaen"/>
                <w:color w:val="000000"/>
                <w:sz w:val="20"/>
                <w:szCs w:val="20"/>
                <w:lang w:val="ka-GE"/>
              </w:rPr>
              <w:t>დარიშხანის</w:t>
            </w:r>
            <w:r>
              <w:rPr>
                <w:color w:val="000000"/>
                <w:sz w:val="20"/>
                <w:szCs w:val="20"/>
                <w:lang w:val="ka-GE"/>
              </w:rPr>
              <w:t xml:space="preserve"> </w:t>
            </w:r>
            <w:r>
              <w:rPr>
                <w:rFonts w:ascii="Sylfaen" w:hAnsi="Sylfaen" w:cs="Sylfaen"/>
                <w:color w:val="000000"/>
                <w:sz w:val="20"/>
                <w:szCs w:val="20"/>
                <w:lang w:val="ka-GE"/>
              </w:rPr>
              <w:t>განსაზღვრის</w:t>
            </w:r>
            <w:r>
              <w:rPr>
                <w:color w:val="000000"/>
                <w:sz w:val="20"/>
                <w:szCs w:val="20"/>
                <w:lang w:val="ka-GE"/>
              </w:rPr>
              <w:t xml:space="preserve"> </w:t>
            </w:r>
            <w:r>
              <w:rPr>
                <w:rFonts w:ascii="Sylfaen" w:hAnsi="Sylfaen" w:cs="Sylfaen"/>
                <w:color w:val="000000"/>
                <w:sz w:val="20"/>
                <w:szCs w:val="20"/>
                <w:lang w:val="ka-GE"/>
              </w:rPr>
              <w:t>ზოგადი</w:t>
            </w:r>
            <w:r>
              <w:rPr>
                <w:color w:val="000000"/>
                <w:sz w:val="20"/>
                <w:szCs w:val="20"/>
                <w:lang w:val="ka-GE"/>
              </w:rPr>
              <w:t xml:space="preserve"> </w:t>
            </w:r>
            <w:r>
              <w:rPr>
                <w:rFonts w:ascii="Sylfaen" w:hAnsi="Sylfaen" w:cs="Sylfaen"/>
                <w:color w:val="000000"/>
                <w:sz w:val="20"/>
                <w:szCs w:val="20"/>
                <w:lang w:val="ka-GE"/>
              </w:rPr>
              <w:t>მეთოდი</w:t>
            </w:r>
            <w:r>
              <w:rPr>
                <w:color w:val="000000"/>
                <w:sz w:val="20"/>
                <w:szCs w:val="20"/>
                <w:lang w:val="ka-GE"/>
              </w:rPr>
              <w:t xml:space="preserve"> - </w:t>
            </w:r>
            <w:r>
              <w:rPr>
                <w:rFonts w:ascii="Sylfaen" w:hAnsi="Sylfaen" w:cs="Sylfaen"/>
                <w:color w:val="000000"/>
                <w:sz w:val="20"/>
                <w:szCs w:val="20"/>
                <w:lang w:val="ka-GE"/>
              </w:rPr>
              <w:t>ვერცხლის</w:t>
            </w:r>
            <w:r>
              <w:rPr>
                <w:color w:val="000000"/>
                <w:sz w:val="20"/>
                <w:szCs w:val="20"/>
                <w:lang w:val="ka-GE"/>
              </w:rPr>
              <w:t xml:space="preserve"> </w:t>
            </w:r>
            <w:r>
              <w:rPr>
                <w:rFonts w:ascii="Sylfaen" w:hAnsi="Sylfaen" w:cs="Sylfaen"/>
                <w:color w:val="000000"/>
                <w:sz w:val="20"/>
                <w:szCs w:val="20"/>
                <w:lang w:val="ka-GE"/>
              </w:rPr>
              <w:t>დიეთილდითიოკარბამატის</w:t>
            </w:r>
            <w:r>
              <w:rPr>
                <w:color w:val="000000"/>
                <w:sz w:val="20"/>
                <w:szCs w:val="20"/>
                <w:lang w:val="ka-GE"/>
              </w:rPr>
              <w:t xml:space="preserve"> </w:t>
            </w:r>
            <w:r>
              <w:rPr>
                <w:rFonts w:ascii="Sylfaen" w:hAnsi="Sylfaen" w:cs="Sylfaen"/>
                <w:color w:val="000000"/>
                <w:sz w:val="20"/>
                <w:szCs w:val="20"/>
                <w:lang w:val="ka-GE"/>
              </w:rPr>
              <w:t>ფოტომერული</w:t>
            </w:r>
            <w:r>
              <w:rPr>
                <w:color w:val="000000"/>
                <w:sz w:val="20"/>
                <w:szCs w:val="20"/>
                <w:lang w:val="ka-GE"/>
              </w:rPr>
              <w:t xml:space="preserve"> </w:t>
            </w:r>
            <w:r>
              <w:rPr>
                <w:rFonts w:ascii="Sylfaen" w:hAnsi="Sylfaen" w:cs="Sylfaen"/>
                <w:color w:val="000000"/>
                <w:sz w:val="20"/>
                <w:szCs w:val="20"/>
                <w:lang w:val="ka-GE"/>
              </w:rPr>
              <w:t>მეთოდი</w:t>
            </w:r>
          </w:p>
        </w:tc>
      </w:tr>
    </w:tbl>
    <w:p w14:paraId="57049AD3" w14:textId="77777777" w:rsidR="00980876" w:rsidRDefault="00980876" w:rsidP="00980876">
      <w:pPr>
        <w:spacing w:before="120" w:after="120"/>
        <w:rPr>
          <w:rFonts w:ascii="Sylfaen" w:hAnsi="Sylfaen"/>
          <w:color w:val="000000"/>
          <w:szCs w:val="22"/>
          <w:lang w:val="ka-GE"/>
        </w:rPr>
      </w:pPr>
      <w:r>
        <w:rPr>
          <w:rFonts w:ascii="Sylfaen" w:hAnsi="Sylfaen" w:cs="Sylfaen"/>
          <w:color w:val="000000"/>
          <w:lang w:val="ka-GE"/>
        </w:rPr>
        <w:t>ნიმუშის</w:t>
      </w:r>
      <w:r>
        <w:rPr>
          <w:color w:val="000000"/>
          <w:lang w:val="ka-GE"/>
        </w:rPr>
        <w:t xml:space="preserve"> </w:t>
      </w:r>
      <w:r>
        <w:rPr>
          <w:rFonts w:ascii="Sylfaen" w:hAnsi="Sylfaen" w:cs="Sylfaen"/>
          <w:color w:val="000000"/>
          <w:lang w:val="ka-GE"/>
        </w:rPr>
        <w:t>ანალიზის</w:t>
      </w:r>
      <w:r>
        <w:rPr>
          <w:color w:val="000000"/>
          <w:lang w:val="ka-GE"/>
        </w:rPr>
        <w:t xml:space="preserve"> </w:t>
      </w:r>
      <w:r>
        <w:rPr>
          <w:rFonts w:ascii="Sylfaen" w:hAnsi="Sylfaen" w:cs="Sylfaen"/>
          <w:color w:val="000000"/>
          <w:lang w:val="ka-GE"/>
        </w:rPr>
        <w:t>შედეგად</w:t>
      </w:r>
      <w:r>
        <w:rPr>
          <w:color w:val="000000"/>
          <w:lang w:val="ka-GE"/>
        </w:rPr>
        <w:t xml:space="preserve"> </w:t>
      </w:r>
      <w:r>
        <w:rPr>
          <w:rFonts w:ascii="Sylfaen" w:hAnsi="Sylfaen" w:cs="Sylfaen"/>
          <w:color w:val="000000"/>
          <w:lang w:val="ka-GE"/>
        </w:rPr>
        <w:t>დადგინდა</w:t>
      </w:r>
      <w:r>
        <w:rPr>
          <w:color w:val="000000"/>
          <w:lang w:val="ka-GE"/>
        </w:rPr>
        <w:t xml:space="preserve">, </w:t>
      </w:r>
      <w:r>
        <w:rPr>
          <w:rFonts w:ascii="Sylfaen" w:hAnsi="Sylfaen" w:cs="Sylfaen"/>
          <w:color w:val="000000"/>
          <w:lang w:val="ka-GE"/>
        </w:rPr>
        <w:t>რომ</w:t>
      </w:r>
      <w:r>
        <w:rPr>
          <w:color w:val="000000"/>
          <w:lang w:val="ka-GE"/>
        </w:rPr>
        <w:t xml:space="preserve"> </w:t>
      </w:r>
      <w:r>
        <w:rPr>
          <w:rFonts w:ascii="Sylfaen" w:hAnsi="Sylfaen" w:cs="Sylfaen"/>
          <w:color w:val="000000"/>
          <w:lang w:val="ka-GE"/>
        </w:rPr>
        <w:t>ყველა</w:t>
      </w:r>
      <w:r>
        <w:rPr>
          <w:color w:val="000000"/>
          <w:lang w:val="ka-GE"/>
        </w:rPr>
        <w:t xml:space="preserve"> </w:t>
      </w:r>
      <w:r>
        <w:rPr>
          <w:rFonts w:ascii="Sylfaen" w:hAnsi="Sylfaen" w:cs="Sylfaen"/>
          <w:color w:val="000000"/>
          <w:lang w:val="ka-GE"/>
        </w:rPr>
        <w:t>ლითონის</w:t>
      </w:r>
      <w:r>
        <w:rPr>
          <w:color w:val="000000"/>
          <w:lang w:val="ka-GE"/>
        </w:rPr>
        <w:t xml:space="preserve"> </w:t>
      </w:r>
      <w:r>
        <w:rPr>
          <w:rFonts w:ascii="Sylfaen" w:hAnsi="Sylfaen" w:cs="Sylfaen"/>
          <w:color w:val="000000"/>
          <w:lang w:val="ka-GE"/>
        </w:rPr>
        <w:t>კონცენტრაცია</w:t>
      </w:r>
      <w:r>
        <w:rPr>
          <w:color w:val="000000"/>
          <w:lang w:val="ka-GE"/>
        </w:rPr>
        <w:t xml:space="preserve"> </w:t>
      </w:r>
      <w:r>
        <w:rPr>
          <w:rFonts w:ascii="Sylfaen" w:hAnsi="Sylfaen" w:cs="Sylfaen"/>
          <w:color w:val="000000"/>
          <w:lang w:val="ka-GE"/>
        </w:rPr>
        <w:t>ევროკავშირის</w:t>
      </w:r>
      <w:r>
        <w:rPr>
          <w:color w:val="000000"/>
          <w:lang w:val="ka-GE"/>
        </w:rPr>
        <w:t xml:space="preserve"> </w:t>
      </w:r>
      <w:r>
        <w:rPr>
          <w:rFonts w:ascii="Sylfaen" w:hAnsi="Sylfaen" w:cs="Sylfaen"/>
          <w:color w:val="000000"/>
          <w:lang w:val="ka-GE"/>
        </w:rPr>
        <w:t>სტანდარტებით</w:t>
      </w:r>
      <w:r>
        <w:rPr>
          <w:color w:val="000000"/>
          <w:lang w:val="ka-GE"/>
        </w:rPr>
        <w:t xml:space="preserve"> </w:t>
      </w:r>
      <w:r>
        <w:rPr>
          <w:rFonts w:ascii="Sylfaen" w:hAnsi="Sylfaen" w:cs="Sylfaen"/>
          <w:color w:val="000000"/>
          <w:lang w:val="ka-GE"/>
        </w:rPr>
        <w:t>დასაშვებ</w:t>
      </w:r>
      <w:r>
        <w:rPr>
          <w:color w:val="000000"/>
          <w:lang w:val="ka-GE"/>
        </w:rPr>
        <w:t xml:space="preserve"> </w:t>
      </w:r>
      <w:r>
        <w:rPr>
          <w:rFonts w:ascii="Sylfaen" w:hAnsi="Sylfaen" w:cs="Sylfaen"/>
          <w:color w:val="000000"/>
          <w:lang w:val="ka-GE"/>
        </w:rPr>
        <w:t>მაქსიმალურ</w:t>
      </w:r>
      <w:r>
        <w:rPr>
          <w:color w:val="000000"/>
          <w:lang w:val="ka-GE"/>
        </w:rPr>
        <w:t xml:space="preserve"> </w:t>
      </w:r>
      <w:r>
        <w:rPr>
          <w:rFonts w:ascii="Sylfaen" w:hAnsi="Sylfaen" w:cs="Sylfaen"/>
          <w:color w:val="000000"/>
          <w:lang w:val="ka-GE"/>
        </w:rPr>
        <w:t>მაჩვენებელზე</w:t>
      </w:r>
      <w:r>
        <w:rPr>
          <w:color w:val="000000"/>
          <w:lang w:val="ka-GE"/>
        </w:rPr>
        <w:t xml:space="preserve"> </w:t>
      </w:r>
      <w:r>
        <w:rPr>
          <w:rFonts w:ascii="Sylfaen" w:hAnsi="Sylfaen" w:cs="Sylfaen"/>
          <w:color w:val="000000"/>
          <w:lang w:val="ka-GE"/>
        </w:rPr>
        <w:t>დაბალია</w:t>
      </w:r>
      <w:r>
        <w:rPr>
          <w:color w:val="000000"/>
          <w:lang w:val="ka-GE"/>
        </w:rPr>
        <w:t xml:space="preserve">. </w:t>
      </w:r>
    </w:p>
    <w:p w14:paraId="66B4670B" w14:textId="77777777" w:rsidR="00980876" w:rsidRDefault="00980876" w:rsidP="00980876">
      <w:pPr>
        <w:spacing w:before="120" w:after="120"/>
        <w:rPr>
          <w:rFonts w:ascii="Sylfaen" w:hAnsi="Sylfaen"/>
          <w:lang w:val="ka-GE"/>
        </w:rPr>
      </w:pPr>
      <w:r>
        <w:rPr>
          <w:rFonts w:ascii="Sylfaen" w:hAnsi="Sylfaen"/>
          <w:lang w:val="ka-GE"/>
        </w:rPr>
        <w:t>საინჟინტო-გეოლოგიური კვლევები ჩატარდა გეოტექსერვისის მიერ დანართი 6</w:t>
      </w:r>
    </w:p>
    <w:p w14:paraId="31E1FB65" w14:textId="77777777" w:rsidR="00980876" w:rsidRDefault="00980876" w:rsidP="00980876">
      <w:pPr>
        <w:rPr>
          <w:rFonts w:ascii="Sylfaen" w:hAnsi="Sylfaen"/>
          <w:lang w:val="ka-GE"/>
        </w:rPr>
      </w:pPr>
    </w:p>
    <w:p w14:paraId="457628D5" w14:textId="77777777" w:rsidR="00980876" w:rsidRDefault="00980876" w:rsidP="00980876">
      <w:pPr>
        <w:pStyle w:val="Heading2"/>
      </w:pPr>
      <w:bookmarkStart w:id="179" w:name="_Toc529977379"/>
      <w:bookmarkStart w:id="180" w:name="_Toc1581540"/>
      <w:r>
        <w:rPr>
          <w:rFonts w:ascii="Sylfaen" w:hAnsi="Sylfaen" w:cs="Sylfaen"/>
          <w:lang w:val="ka-GE"/>
        </w:rPr>
        <w:t xml:space="preserve">5.3 </w:t>
      </w:r>
      <w:r>
        <w:rPr>
          <w:rFonts w:ascii="Sylfaen" w:hAnsi="Sylfaen" w:cs="Sylfaen"/>
        </w:rPr>
        <w:t>ნარჩენები</w:t>
      </w:r>
      <w:bookmarkEnd w:id="179"/>
      <w:bookmarkEnd w:id="180"/>
    </w:p>
    <w:p w14:paraId="610956BB" w14:textId="77777777" w:rsidR="00980876" w:rsidRDefault="00980876" w:rsidP="00980876">
      <w:pPr>
        <w:spacing w:before="120" w:after="120"/>
        <w:rPr>
          <w:rFonts w:ascii="Sylfaen" w:hAnsi="Sylfaen" w:cs="Arial"/>
          <w:lang w:val="ka-GE"/>
        </w:rPr>
      </w:pPr>
      <w:r>
        <w:rPr>
          <w:rFonts w:hAnsi="Sylfaen" w:cs="Arial"/>
          <w:lang w:val="ka-GE"/>
        </w:rPr>
        <w:t>პროექტის</w:t>
      </w:r>
      <w:r>
        <w:rPr>
          <w:rFonts w:hAnsi="Sylfaen" w:cs="Arial"/>
          <w:lang w:val="ka-GE"/>
        </w:rPr>
        <w:t xml:space="preserve"> </w:t>
      </w:r>
      <w:r>
        <w:rPr>
          <w:rFonts w:hAnsi="Sylfaen" w:cs="Arial"/>
          <w:lang w:val="ka-GE"/>
        </w:rPr>
        <w:t>ფარგლებში</w:t>
      </w:r>
      <w:r>
        <w:rPr>
          <w:rFonts w:hAnsi="Sylfaen" w:cs="Arial"/>
          <w:lang w:val="ka-GE"/>
        </w:rPr>
        <w:t xml:space="preserve"> </w:t>
      </w:r>
      <w:r>
        <w:rPr>
          <w:rFonts w:hAnsi="Sylfaen" w:cs="Arial"/>
          <w:lang w:val="ka-GE"/>
        </w:rPr>
        <w:t>მოსამზადებელი</w:t>
      </w:r>
      <w:r>
        <w:rPr>
          <w:rFonts w:hAnsi="Sylfaen" w:cs="Arial"/>
          <w:lang w:val="ka-GE"/>
        </w:rPr>
        <w:t xml:space="preserve"> </w:t>
      </w:r>
      <w:r>
        <w:rPr>
          <w:rFonts w:hAnsi="Sylfaen" w:cs="Arial"/>
          <w:lang w:val="ka-GE"/>
        </w:rPr>
        <w:t>სამუშაოების</w:t>
      </w:r>
      <w:r>
        <w:rPr>
          <w:rFonts w:hAnsi="Sylfaen" w:cs="Arial"/>
          <w:lang w:val="ka-GE"/>
        </w:rPr>
        <w:t xml:space="preserve"> </w:t>
      </w:r>
      <w:r>
        <w:rPr>
          <w:rFonts w:hAnsi="Sylfaen" w:cs="Arial"/>
          <w:lang w:val="ka-GE"/>
        </w:rPr>
        <w:t>დაწყებამდე</w:t>
      </w:r>
      <w:r>
        <w:rPr>
          <w:rFonts w:hAnsi="Sylfaen" w:cs="Arial"/>
          <w:lang w:val="ka-GE"/>
        </w:rPr>
        <w:t xml:space="preserve"> </w:t>
      </w:r>
      <w:r>
        <w:rPr>
          <w:rFonts w:hAnsi="Sylfaen" w:cs="Arial"/>
          <w:lang w:val="ka-GE"/>
        </w:rPr>
        <w:t>აუცილებელია</w:t>
      </w:r>
      <w:r>
        <w:rPr>
          <w:rFonts w:hAnsi="Sylfaen" w:cs="Arial"/>
          <w:lang w:val="ka-GE"/>
        </w:rPr>
        <w:t xml:space="preserve"> </w:t>
      </w:r>
      <w:r>
        <w:rPr>
          <w:rFonts w:hAnsi="Sylfaen" w:cs="Arial"/>
          <w:lang w:val="ka-GE"/>
        </w:rPr>
        <w:t>საპროექტო</w:t>
      </w:r>
      <w:r>
        <w:rPr>
          <w:rFonts w:hAnsi="Sylfaen" w:cs="Arial"/>
          <w:lang w:val="ka-GE"/>
        </w:rPr>
        <w:t xml:space="preserve"> </w:t>
      </w:r>
      <w:r>
        <w:rPr>
          <w:rFonts w:hAnsi="Sylfaen" w:cs="Arial"/>
          <w:lang w:val="ka-GE"/>
        </w:rPr>
        <w:t>ტერიტორი</w:t>
      </w:r>
      <w:r>
        <w:rPr>
          <w:rFonts w:ascii="Sylfaen" w:hAnsi="Sylfaen" w:cs="Arial"/>
          <w:lang w:val="ka-GE"/>
        </w:rPr>
        <w:t>აზე</w:t>
      </w:r>
      <w:r>
        <w:rPr>
          <w:rFonts w:hAnsi="Sylfaen" w:cs="Arial"/>
          <w:lang w:val="ka-GE"/>
        </w:rPr>
        <w:t xml:space="preserve"> </w:t>
      </w:r>
      <w:r>
        <w:rPr>
          <w:rFonts w:ascii="Sylfaen" w:hAnsi="Sylfaen" w:cs="Arial"/>
          <w:lang w:val="ka-GE"/>
        </w:rPr>
        <w:t>არსებული</w:t>
      </w:r>
      <w:r>
        <w:rPr>
          <w:rFonts w:hAnsi="Sylfaen" w:cs="Arial"/>
          <w:lang w:val="ka-GE"/>
        </w:rPr>
        <w:t xml:space="preserve"> </w:t>
      </w:r>
      <w:r>
        <w:rPr>
          <w:rFonts w:hAnsi="Sylfaen" w:cs="Arial"/>
          <w:lang w:val="ka-GE"/>
        </w:rPr>
        <w:t>ნარჩენებიდან</w:t>
      </w:r>
      <w:r>
        <w:rPr>
          <w:rFonts w:hAnsi="Sylfaen" w:cs="Arial"/>
          <w:lang w:val="ka-GE"/>
        </w:rPr>
        <w:t xml:space="preserve"> </w:t>
      </w:r>
      <w:r>
        <w:rPr>
          <w:rFonts w:hAnsi="Sylfaen" w:cs="Arial"/>
          <w:lang w:val="ka-GE"/>
        </w:rPr>
        <w:t>განთავისუფლება</w:t>
      </w:r>
      <w:r>
        <w:rPr>
          <w:rFonts w:cs="Arial"/>
          <w:lang w:val="ka-GE"/>
        </w:rPr>
        <w:t xml:space="preserve">, </w:t>
      </w:r>
      <w:r>
        <w:rPr>
          <w:rFonts w:hAnsi="Sylfaen" w:cs="Arial"/>
          <w:lang w:val="ka-GE"/>
        </w:rPr>
        <w:t>რისთვისაც</w:t>
      </w:r>
      <w:r>
        <w:rPr>
          <w:rFonts w:hAnsi="Sylfaen" w:cs="Arial"/>
          <w:lang w:val="ka-GE"/>
        </w:rPr>
        <w:t xml:space="preserve"> </w:t>
      </w:r>
      <w:r>
        <w:rPr>
          <w:rFonts w:hAnsi="Sylfaen" w:cs="Arial"/>
          <w:lang w:val="ka-GE"/>
        </w:rPr>
        <w:t>განსახორციელებელია</w:t>
      </w:r>
      <w:r>
        <w:rPr>
          <w:rFonts w:hAnsi="Sylfaen" w:cs="Arial"/>
          <w:lang w:val="ka-GE"/>
        </w:rPr>
        <w:t xml:space="preserve"> </w:t>
      </w:r>
      <w:r>
        <w:rPr>
          <w:rFonts w:hAnsi="Sylfaen" w:cs="Arial"/>
          <w:lang w:val="ka-GE"/>
        </w:rPr>
        <w:t>აღნიშნული</w:t>
      </w:r>
      <w:r>
        <w:rPr>
          <w:rFonts w:hAnsi="Sylfaen" w:cs="Arial"/>
          <w:lang w:val="ka-GE"/>
        </w:rPr>
        <w:t xml:space="preserve"> </w:t>
      </w:r>
      <w:r>
        <w:rPr>
          <w:rFonts w:hAnsi="Sylfaen" w:cs="Arial"/>
          <w:lang w:val="ka-GE"/>
        </w:rPr>
        <w:t>ნარჩენების</w:t>
      </w:r>
      <w:r>
        <w:rPr>
          <w:rFonts w:hAnsi="Sylfaen" w:cs="Arial"/>
          <w:lang w:val="ka-GE"/>
        </w:rPr>
        <w:t xml:space="preserve"> </w:t>
      </w:r>
      <w:r>
        <w:rPr>
          <w:rFonts w:hAnsi="Sylfaen" w:cs="Arial"/>
          <w:lang w:val="ka-GE"/>
        </w:rPr>
        <w:t>შეგროვება</w:t>
      </w:r>
      <w:r>
        <w:rPr>
          <w:rFonts w:cs="Arial"/>
          <w:lang w:val="ka-GE"/>
        </w:rPr>
        <w:t xml:space="preserve">, </w:t>
      </w:r>
      <w:r>
        <w:rPr>
          <w:rFonts w:hAnsi="Sylfaen" w:cs="Arial"/>
          <w:lang w:val="ka-GE"/>
        </w:rPr>
        <w:t>ტრანსპორტირება</w:t>
      </w:r>
      <w:r>
        <w:rPr>
          <w:rFonts w:hAnsi="Sylfaen" w:cs="Arial"/>
          <w:lang w:val="ka-GE"/>
        </w:rPr>
        <w:t xml:space="preserve"> </w:t>
      </w:r>
      <w:r>
        <w:rPr>
          <w:rFonts w:hAnsi="Sylfaen" w:cs="Arial"/>
          <w:lang w:val="ka-GE"/>
        </w:rPr>
        <w:t>და</w:t>
      </w:r>
      <w:r>
        <w:rPr>
          <w:rFonts w:hAnsi="Sylfaen" w:cs="Arial"/>
          <w:lang w:val="ka-GE"/>
        </w:rPr>
        <w:t xml:space="preserve"> </w:t>
      </w:r>
      <w:r>
        <w:rPr>
          <w:rFonts w:hAnsi="Sylfaen" w:cs="Arial"/>
          <w:lang w:val="ka-GE"/>
        </w:rPr>
        <w:t>უახლოეს</w:t>
      </w:r>
      <w:r>
        <w:rPr>
          <w:rFonts w:hAnsi="Sylfaen" w:cs="Arial"/>
          <w:lang w:val="ka-GE"/>
        </w:rPr>
        <w:t xml:space="preserve"> </w:t>
      </w:r>
      <w:r>
        <w:rPr>
          <w:rFonts w:hAnsi="Sylfaen" w:cs="Arial"/>
          <w:lang w:val="ka-GE"/>
        </w:rPr>
        <w:t>ნაგავსაყრელზე</w:t>
      </w:r>
      <w:r>
        <w:rPr>
          <w:rFonts w:hAnsi="Sylfaen" w:cs="Arial"/>
          <w:lang w:val="ka-GE"/>
        </w:rPr>
        <w:t xml:space="preserve"> </w:t>
      </w:r>
      <w:r>
        <w:rPr>
          <w:rFonts w:hAnsi="Sylfaen" w:cs="Arial"/>
          <w:lang w:val="ka-GE"/>
        </w:rPr>
        <w:t>განთავსება</w:t>
      </w:r>
      <w:r>
        <w:rPr>
          <w:rFonts w:cs="Arial"/>
          <w:lang w:val="ka-GE"/>
        </w:rPr>
        <w:t>.</w:t>
      </w:r>
    </w:p>
    <w:p w14:paraId="3E513E97" w14:textId="77777777" w:rsidR="00980876" w:rsidRDefault="00980876" w:rsidP="00980876">
      <w:pPr>
        <w:spacing w:before="120" w:after="120"/>
        <w:rPr>
          <w:rFonts w:ascii="Sylfaen" w:hAnsi="Sylfaen" w:cs="Arial"/>
          <w:lang w:val="ka-GE"/>
        </w:rPr>
      </w:pPr>
    </w:p>
    <w:p w14:paraId="4DDB0DF5" w14:textId="77777777" w:rsidR="00980876" w:rsidRDefault="00980876" w:rsidP="00980876">
      <w:pPr>
        <w:pStyle w:val="Heading2"/>
        <w:rPr>
          <w:lang w:val="ka-GE"/>
        </w:rPr>
      </w:pPr>
      <w:bookmarkStart w:id="181" w:name="_Toc529977380"/>
      <w:bookmarkStart w:id="182" w:name="_Toc1581541"/>
      <w:r>
        <w:rPr>
          <w:lang w:val="ka-GE"/>
        </w:rPr>
        <w:t>5.</w:t>
      </w:r>
      <w:r>
        <w:rPr>
          <w:rFonts w:ascii="Sylfaen" w:hAnsi="Sylfaen"/>
          <w:lang w:val="ka-GE"/>
        </w:rPr>
        <w:t>4</w:t>
      </w:r>
      <w:r>
        <w:rPr>
          <w:lang w:val="ka-GE"/>
        </w:rPr>
        <w:t xml:space="preserve"> </w:t>
      </w:r>
      <w:r>
        <w:rPr>
          <w:rFonts w:ascii="Sylfaen" w:hAnsi="Sylfaen" w:cs="Sylfaen"/>
          <w:lang w:val="ka-GE"/>
        </w:rPr>
        <w:t>ფონური</w:t>
      </w:r>
      <w:r>
        <w:rPr>
          <w:lang w:val="ka-GE"/>
        </w:rPr>
        <w:t xml:space="preserve"> </w:t>
      </w:r>
      <w:r>
        <w:rPr>
          <w:rFonts w:ascii="Sylfaen" w:hAnsi="Sylfaen" w:cs="Sylfaen"/>
          <w:lang w:val="ka-GE"/>
        </w:rPr>
        <w:t>დაბინძურება</w:t>
      </w:r>
      <w:bookmarkEnd w:id="181"/>
      <w:bookmarkEnd w:id="182"/>
    </w:p>
    <w:p w14:paraId="67B34771" w14:textId="77777777" w:rsidR="00980876" w:rsidRDefault="00980876" w:rsidP="00980876">
      <w:pPr>
        <w:spacing w:before="120" w:after="120"/>
        <w:rPr>
          <w:rFonts w:hAnsi="Sylfaen" w:cs="Arial"/>
          <w:lang w:val="ka-GE"/>
        </w:rPr>
      </w:pPr>
      <w:r>
        <w:rPr>
          <w:rFonts w:hAnsi="Sylfaen" w:cs="Arial"/>
          <w:lang w:val="ka-GE"/>
        </w:rPr>
        <w:t>მსოფლიო</w:t>
      </w:r>
      <w:r>
        <w:rPr>
          <w:rFonts w:hAnsi="Sylfaen" w:cs="Arial"/>
          <w:lang w:val="ka-GE"/>
        </w:rPr>
        <w:t xml:space="preserve"> </w:t>
      </w:r>
      <w:r>
        <w:rPr>
          <w:rFonts w:hAnsi="Sylfaen" w:cs="Arial"/>
          <w:lang w:val="ka-GE"/>
        </w:rPr>
        <w:t>ბანკის</w:t>
      </w:r>
      <w:r>
        <w:rPr>
          <w:rFonts w:hAnsi="Sylfaen" w:cs="Arial"/>
          <w:lang w:val="ka-GE"/>
        </w:rPr>
        <w:t xml:space="preserve"> </w:t>
      </w:r>
      <w:r>
        <w:rPr>
          <w:rFonts w:hAnsi="Sylfaen" w:cs="Arial"/>
          <w:lang w:val="ka-GE"/>
        </w:rPr>
        <w:t>პოლიტიკის</w:t>
      </w:r>
      <w:r>
        <w:rPr>
          <w:rFonts w:hAnsi="Sylfaen" w:cs="Arial"/>
          <w:lang w:val="ka-GE"/>
        </w:rPr>
        <w:t xml:space="preserve"> </w:t>
      </w:r>
      <w:r>
        <w:rPr>
          <w:rFonts w:hAnsi="Sylfaen" w:cs="Arial"/>
          <w:lang w:val="ka-GE"/>
        </w:rPr>
        <w:t>შესაბამისად</w:t>
      </w:r>
      <w:r>
        <w:rPr>
          <w:rFonts w:hAnsi="Sylfaen" w:cs="Arial"/>
          <w:lang w:val="ka-GE"/>
        </w:rPr>
        <w:t xml:space="preserve">, </w:t>
      </w:r>
      <w:r>
        <w:rPr>
          <w:rFonts w:hAnsi="Sylfaen" w:cs="Arial"/>
          <w:lang w:val="ka-GE"/>
        </w:rPr>
        <w:t>ჰაერზე</w:t>
      </w:r>
      <w:r>
        <w:rPr>
          <w:rFonts w:hAnsi="Sylfaen" w:cs="Arial"/>
          <w:lang w:val="ka-GE"/>
        </w:rPr>
        <w:t xml:space="preserve"> </w:t>
      </w:r>
      <w:r>
        <w:rPr>
          <w:rFonts w:hAnsi="Sylfaen" w:cs="Arial"/>
          <w:lang w:val="ka-GE"/>
        </w:rPr>
        <w:t>ზემოქმედების</w:t>
      </w:r>
      <w:r>
        <w:rPr>
          <w:rFonts w:hAnsi="Sylfaen" w:cs="Arial"/>
          <w:lang w:val="ka-GE"/>
        </w:rPr>
        <w:t xml:space="preserve"> </w:t>
      </w:r>
      <w:r>
        <w:rPr>
          <w:rFonts w:hAnsi="Sylfaen" w:cs="Arial"/>
          <w:lang w:val="ka-GE"/>
        </w:rPr>
        <w:t>შეფასება</w:t>
      </w:r>
      <w:r>
        <w:rPr>
          <w:rFonts w:hAnsi="Sylfaen" w:cs="Arial"/>
          <w:lang w:val="ka-GE"/>
        </w:rPr>
        <w:t xml:space="preserve"> </w:t>
      </w:r>
      <w:r>
        <w:rPr>
          <w:rFonts w:hAnsi="Sylfaen" w:cs="Arial"/>
          <w:lang w:val="ka-GE"/>
        </w:rPr>
        <w:t>უნდა</w:t>
      </w:r>
      <w:r>
        <w:rPr>
          <w:rFonts w:hAnsi="Sylfaen" w:cs="Arial"/>
          <w:lang w:val="ka-GE"/>
        </w:rPr>
        <w:t xml:space="preserve"> </w:t>
      </w:r>
      <w:r>
        <w:rPr>
          <w:rFonts w:hAnsi="Sylfaen" w:cs="Arial"/>
          <w:lang w:val="ka-GE"/>
        </w:rPr>
        <w:t>ეყრდნობოდეს</w:t>
      </w:r>
      <w:r>
        <w:rPr>
          <w:rFonts w:hAnsi="Sylfaen" w:cs="Arial"/>
          <w:lang w:val="ka-GE"/>
        </w:rPr>
        <w:t xml:space="preserve"> </w:t>
      </w:r>
      <w:r>
        <w:rPr>
          <w:rFonts w:hAnsi="Sylfaen" w:cs="Arial"/>
          <w:lang w:val="ka-GE"/>
        </w:rPr>
        <w:t>ორივე</w:t>
      </w:r>
      <w:r>
        <w:rPr>
          <w:rFonts w:hAnsi="Sylfaen" w:cs="Arial"/>
          <w:lang w:val="ka-GE"/>
        </w:rPr>
        <w:t xml:space="preserve"> - </w:t>
      </w:r>
      <w:r>
        <w:rPr>
          <w:rFonts w:hAnsi="Sylfaen" w:cs="Arial"/>
          <w:lang w:val="ka-GE"/>
        </w:rPr>
        <w:t>მსოფლიო</w:t>
      </w:r>
      <w:r>
        <w:rPr>
          <w:rFonts w:hAnsi="Sylfaen" w:cs="Arial"/>
          <w:lang w:val="ka-GE"/>
        </w:rPr>
        <w:t xml:space="preserve"> </w:t>
      </w:r>
      <w:r>
        <w:rPr>
          <w:rFonts w:hAnsi="Sylfaen" w:cs="Arial"/>
          <w:lang w:val="ka-GE"/>
        </w:rPr>
        <w:t>ბანკის</w:t>
      </w:r>
      <w:r>
        <w:rPr>
          <w:rFonts w:hAnsi="Sylfaen" w:cs="Arial"/>
          <w:lang w:val="ka-GE"/>
        </w:rPr>
        <w:t xml:space="preserve"> </w:t>
      </w:r>
      <w:r>
        <w:rPr>
          <w:rFonts w:hAnsi="Sylfaen" w:cs="Arial"/>
          <w:lang w:val="ka-GE"/>
        </w:rPr>
        <w:t>და</w:t>
      </w:r>
      <w:r>
        <w:rPr>
          <w:rFonts w:hAnsi="Sylfaen" w:cs="Arial"/>
          <w:lang w:val="ka-GE"/>
        </w:rPr>
        <w:t xml:space="preserve"> </w:t>
      </w:r>
      <w:r>
        <w:rPr>
          <w:rFonts w:hAnsi="Sylfaen" w:cs="Arial"/>
          <w:lang w:val="ka-GE"/>
        </w:rPr>
        <w:t>მსესხებელი</w:t>
      </w:r>
      <w:r>
        <w:rPr>
          <w:rFonts w:hAnsi="Sylfaen" w:cs="Arial"/>
          <w:lang w:val="ka-GE"/>
        </w:rPr>
        <w:t xml:space="preserve"> </w:t>
      </w:r>
      <w:r>
        <w:rPr>
          <w:rFonts w:hAnsi="Sylfaen" w:cs="Arial"/>
          <w:lang w:val="ka-GE"/>
        </w:rPr>
        <w:t>ქვეყნის</w:t>
      </w:r>
      <w:r>
        <w:rPr>
          <w:rFonts w:hAnsi="Sylfaen" w:cs="Arial"/>
          <w:lang w:val="ka-GE"/>
        </w:rPr>
        <w:t xml:space="preserve"> </w:t>
      </w:r>
      <w:r>
        <w:rPr>
          <w:rFonts w:hAnsi="Sylfaen" w:cs="Arial"/>
          <w:lang w:val="ka-GE"/>
        </w:rPr>
        <w:t>რეგულაციებსა</w:t>
      </w:r>
      <w:r>
        <w:rPr>
          <w:rFonts w:hAnsi="Sylfaen" w:cs="Arial"/>
          <w:lang w:val="ka-GE"/>
        </w:rPr>
        <w:t xml:space="preserve"> </w:t>
      </w:r>
      <w:r>
        <w:rPr>
          <w:rFonts w:hAnsi="Sylfaen" w:cs="Arial"/>
          <w:lang w:val="ka-GE"/>
        </w:rPr>
        <w:t>და</w:t>
      </w:r>
      <w:r>
        <w:rPr>
          <w:rFonts w:hAnsi="Sylfaen" w:cs="Arial"/>
          <w:lang w:val="ka-GE"/>
        </w:rPr>
        <w:t xml:space="preserve"> </w:t>
      </w:r>
      <w:r>
        <w:rPr>
          <w:rFonts w:hAnsi="Sylfaen" w:cs="Arial"/>
          <w:lang w:val="ka-GE"/>
        </w:rPr>
        <w:t>სტანდარტებს</w:t>
      </w:r>
      <w:r>
        <w:rPr>
          <w:rFonts w:hAnsi="Sylfaen" w:cs="Arial"/>
          <w:lang w:val="ka-GE"/>
        </w:rPr>
        <w:t xml:space="preserve">. </w:t>
      </w:r>
      <w:r>
        <w:rPr>
          <w:rFonts w:hAnsi="Sylfaen" w:cs="Arial"/>
          <w:lang w:val="ka-GE"/>
        </w:rPr>
        <w:t>იმ</w:t>
      </w:r>
      <w:r>
        <w:rPr>
          <w:rFonts w:hAnsi="Sylfaen" w:cs="Arial"/>
          <w:lang w:val="ka-GE"/>
        </w:rPr>
        <w:t xml:space="preserve"> </w:t>
      </w:r>
      <w:r>
        <w:rPr>
          <w:rFonts w:hAnsi="Sylfaen" w:cs="Arial"/>
          <w:lang w:val="ka-GE"/>
        </w:rPr>
        <w:t>შემთხვევაში</w:t>
      </w:r>
      <w:r>
        <w:rPr>
          <w:rFonts w:hAnsi="Sylfaen" w:cs="Arial"/>
          <w:lang w:val="ka-GE"/>
        </w:rPr>
        <w:t xml:space="preserve">, </w:t>
      </w:r>
      <w:r>
        <w:rPr>
          <w:rFonts w:hAnsi="Sylfaen" w:cs="Arial"/>
          <w:lang w:val="ka-GE"/>
        </w:rPr>
        <w:t>თუ</w:t>
      </w:r>
      <w:r>
        <w:rPr>
          <w:rFonts w:hAnsi="Sylfaen" w:cs="Arial"/>
          <w:lang w:val="ka-GE"/>
        </w:rPr>
        <w:t xml:space="preserve"> </w:t>
      </w:r>
      <w:r>
        <w:rPr>
          <w:rFonts w:hAnsi="Sylfaen" w:cs="Arial"/>
          <w:lang w:val="ka-GE"/>
        </w:rPr>
        <w:t>მათ</w:t>
      </w:r>
      <w:r>
        <w:rPr>
          <w:rFonts w:hAnsi="Sylfaen" w:cs="Arial"/>
          <w:lang w:val="ka-GE"/>
        </w:rPr>
        <w:t xml:space="preserve"> </w:t>
      </w:r>
      <w:r>
        <w:rPr>
          <w:rFonts w:hAnsi="Sylfaen" w:cs="Arial"/>
          <w:lang w:val="ka-GE"/>
        </w:rPr>
        <w:t>შორის</w:t>
      </w:r>
      <w:r>
        <w:rPr>
          <w:rFonts w:hAnsi="Sylfaen" w:cs="Arial"/>
          <w:lang w:val="ka-GE"/>
        </w:rPr>
        <w:t xml:space="preserve"> </w:t>
      </w:r>
      <w:r>
        <w:rPr>
          <w:rFonts w:hAnsi="Sylfaen" w:cs="Arial"/>
          <w:lang w:val="ka-GE"/>
        </w:rPr>
        <w:t>განსხვავებაა</w:t>
      </w:r>
      <w:r>
        <w:rPr>
          <w:rFonts w:hAnsi="Sylfaen" w:cs="Arial"/>
          <w:lang w:val="ka-GE"/>
        </w:rPr>
        <w:t xml:space="preserve"> - </w:t>
      </w:r>
      <w:r>
        <w:rPr>
          <w:rFonts w:hAnsi="Sylfaen" w:cs="Arial"/>
          <w:lang w:val="ka-GE"/>
        </w:rPr>
        <w:t>გამოყენებულ</w:t>
      </w:r>
      <w:r>
        <w:rPr>
          <w:rFonts w:hAnsi="Sylfaen" w:cs="Arial"/>
          <w:lang w:val="ka-GE"/>
        </w:rPr>
        <w:t xml:space="preserve"> </w:t>
      </w:r>
      <w:r>
        <w:rPr>
          <w:rFonts w:hAnsi="Sylfaen" w:cs="Arial"/>
          <w:lang w:val="ka-GE"/>
        </w:rPr>
        <w:t>უნდა</w:t>
      </w:r>
      <w:r>
        <w:rPr>
          <w:rFonts w:hAnsi="Sylfaen" w:cs="Arial"/>
          <w:lang w:val="ka-GE"/>
        </w:rPr>
        <w:t xml:space="preserve"> </w:t>
      </w:r>
      <w:r>
        <w:rPr>
          <w:rFonts w:hAnsi="Sylfaen" w:cs="Arial"/>
          <w:lang w:val="ka-GE"/>
        </w:rPr>
        <w:t>იქნას</w:t>
      </w:r>
      <w:r>
        <w:rPr>
          <w:rFonts w:hAnsi="Sylfaen" w:cs="Arial"/>
          <w:lang w:val="ka-GE"/>
        </w:rPr>
        <w:t xml:space="preserve"> </w:t>
      </w:r>
      <w:r>
        <w:rPr>
          <w:rFonts w:hAnsi="Sylfaen" w:cs="Arial"/>
          <w:lang w:val="ka-GE"/>
        </w:rPr>
        <w:t>უფრო</w:t>
      </w:r>
      <w:r>
        <w:rPr>
          <w:rFonts w:hAnsi="Sylfaen" w:cs="Arial"/>
          <w:lang w:val="ka-GE"/>
        </w:rPr>
        <w:t xml:space="preserve"> </w:t>
      </w:r>
      <w:r>
        <w:rPr>
          <w:rFonts w:hAnsi="Sylfaen" w:cs="Arial"/>
          <w:lang w:val="ka-GE"/>
        </w:rPr>
        <w:t>მკაცრი</w:t>
      </w:r>
      <w:r>
        <w:rPr>
          <w:rFonts w:hAnsi="Sylfaen" w:cs="Arial"/>
          <w:lang w:val="ka-GE"/>
        </w:rPr>
        <w:t xml:space="preserve"> </w:t>
      </w:r>
      <w:r>
        <w:rPr>
          <w:rFonts w:hAnsi="Sylfaen" w:cs="Arial"/>
          <w:lang w:val="ka-GE"/>
        </w:rPr>
        <w:t>ნორმა</w:t>
      </w:r>
      <w:r>
        <w:rPr>
          <w:rFonts w:hAnsi="Sylfaen" w:cs="Arial"/>
          <w:lang w:val="ka-GE"/>
        </w:rPr>
        <w:t xml:space="preserve">. </w:t>
      </w:r>
      <w:r>
        <w:rPr>
          <w:rFonts w:hAnsi="Sylfaen" w:cs="Arial"/>
          <w:lang w:val="ka-GE"/>
        </w:rPr>
        <w:t>მაქსიმალური</w:t>
      </w:r>
      <w:r>
        <w:rPr>
          <w:rFonts w:hAnsi="Sylfaen" w:cs="Arial"/>
          <w:lang w:val="ka-GE"/>
        </w:rPr>
        <w:t xml:space="preserve"> </w:t>
      </w:r>
      <w:r>
        <w:rPr>
          <w:rFonts w:hAnsi="Sylfaen" w:cs="Arial"/>
          <w:lang w:val="ka-GE"/>
        </w:rPr>
        <w:t>დასაშვები</w:t>
      </w:r>
      <w:r>
        <w:rPr>
          <w:rFonts w:hAnsi="Sylfaen" w:cs="Arial"/>
          <w:lang w:val="ka-GE"/>
        </w:rPr>
        <w:t xml:space="preserve"> </w:t>
      </w:r>
      <w:r>
        <w:rPr>
          <w:rFonts w:hAnsi="Sylfaen" w:cs="Arial"/>
          <w:lang w:val="ka-GE"/>
        </w:rPr>
        <w:t>კონცენტრაცია</w:t>
      </w:r>
      <w:r>
        <w:rPr>
          <w:rFonts w:hAnsi="Sylfaen" w:cs="Arial"/>
          <w:lang w:val="ka-GE"/>
        </w:rPr>
        <w:t xml:space="preserve"> </w:t>
      </w:r>
      <w:r>
        <w:rPr>
          <w:rFonts w:hAnsi="Sylfaen" w:cs="Arial"/>
          <w:lang w:val="ka-GE"/>
        </w:rPr>
        <w:t>საქართველოს</w:t>
      </w:r>
      <w:r>
        <w:rPr>
          <w:rFonts w:hAnsi="Sylfaen" w:cs="Arial"/>
          <w:lang w:val="ka-GE"/>
        </w:rPr>
        <w:t xml:space="preserve"> </w:t>
      </w:r>
      <w:r>
        <w:rPr>
          <w:rFonts w:hAnsi="Sylfaen" w:cs="Arial"/>
          <w:lang w:val="ka-GE"/>
        </w:rPr>
        <w:t>ნორმატივების</w:t>
      </w:r>
      <w:r>
        <w:rPr>
          <w:rFonts w:hAnsi="Sylfaen" w:cs="Arial"/>
          <w:lang w:val="ka-GE"/>
        </w:rPr>
        <w:t xml:space="preserve"> </w:t>
      </w:r>
      <w:r>
        <w:rPr>
          <w:rFonts w:hAnsi="Sylfaen" w:cs="Arial"/>
          <w:lang w:val="ka-GE"/>
        </w:rPr>
        <w:t>შესაბამისად</w:t>
      </w:r>
      <w:r>
        <w:rPr>
          <w:rFonts w:hAnsi="Sylfaen" w:cs="Arial"/>
          <w:lang w:val="ka-GE"/>
        </w:rPr>
        <w:t xml:space="preserve"> (</w:t>
      </w:r>
      <w:r>
        <w:rPr>
          <w:rFonts w:hAnsi="Sylfaen" w:cs="Arial"/>
          <w:lang w:val="ka-GE"/>
        </w:rPr>
        <w:t>საქართველოს</w:t>
      </w:r>
      <w:r>
        <w:rPr>
          <w:rFonts w:hAnsi="Sylfaen" w:cs="Arial"/>
          <w:lang w:val="ka-GE"/>
        </w:rPr>
        <w:t xml:space="preserve"> </w:t>
      </w:r>
      <w:r>
        <w:rPr>
          <w:rFonts w:hAnsi="Sylfaen" w:cs="Arial"/>
          <w:lang w:val="ka-GE"/>
        </w:rPr>
        <w:t>შრომის</w:t>
      </w:r>
      <w:r>
        <w:rPr>
          <w:rFonts w:hAnsi="Sylfaen" w:cs="Arial"/>
          <w:lang w:val="ka-GE"/>
        </w:rPr>
        <w:t xml:space="preserve">, </w:t>
      </w:r>
      <w:r>
        <w:rPr>
          <w:rFonts w:hAnsi="Sylfaen" w:cs="Arial"/>
          <w:lang w:val="ka-GE"/>
        </w:rPr>
        <w:t>ჯანმრთელობისა</w:t>
      </w:r>
      <w:r>
        <w:rPr>
          <w:rFonts w:hAnsi="Sylfaen" w:cs="Arial"/>
          <w:lang w:val="ka-GE"/>
        </w:rPr>
        <w:t xml:space="preserve"> </w:t>
      </w:r>
      <w:r>
        <w:rPr>
          <w:rFonts w:hAnsi="Sylfaen" w:cs="Arial"/>
          <w:lang w:val="ka-GE"/>
        </w:rPr>
        <w:t>და</w:t>
      </w:r>
      <w:r>
        <w:rPr>
          <w:rFonts w:hAnsi="Sylfaen" w:cs="Arial"/>
          <w:lang w:val="ka-GE"/>
        </w:rPr>
        <w:t xml:space="preserve"> </w:t>
      </w:r>
      <w:r>
        <w:rPr>
          <w:rFonts w:hAnsi="Sylfaen" w:cs="Arial"/>
          <w:lang w:val="ka-GE"/>
        </w:rPr>
        <w:t>სოციალური</w:t>
      </w:r>
      <w:r>
        <w:rPr>
          <w:rFonts w:hAnsi="Sylfaen" w:cs="Arial"/>
          <w:lang w:val="ka-GE"/>
        </w:rPr>
        <w:t xml:space="preserve"> </w:t>
      </w:r>
      <w:r>
        <w:rPr>
          <w:rFonts w:hAnsi="Sylfaen" w:cs="Arial"/>
          <w:lang w:val="ka-GE"/>
        </w:rPr>
        <w:t>უზრუნველყოფის</w:t>
      </w:r>
      <w:r>
        <w:rPr>
          <w:rFonts w:hAnsi="Sylfaen" w:cs="Arial"/>
          <w:lang w:val="ka-GE"/>
        </w:rPr>
        <w:t xml:space="preserve"> </w:t>
      </w:r>
      <w:r>
        <w:rPr>
          <w:rFonts w:hAnsi="Sylfaen" w:cs="Arial"/>
          <w:lang w:val="ka-GE"/>
        </w:rPr>
        <w:t>სამინისტროს</w:t>
      </w:r>
      <w:r>
        <w:rPr>
          <w:rFonts w:hAnsi="Sylfaen" w:cs="Arial"/>
          <w:lang w:val="ka-GE"/>
        </w:rPr>
        <w:t xml:space="preserve"> 38/</w:t>
      </w:r>
      <w:r>
        <w:rPr>
          <w:rFonts w:hAnsi="Sylfaen" w:cs="Arial"/>
          <w:lang w:val="ka-GE"/>
        </w:rPr>
        <w:t>ნ</w:t>
      </w:r>
      <w:r>
        <w:rPr>
          <w:rFonts w:hAnsi="Sylfaen" w:cs="Arial"/>
          <w:lang w:val="ka-GE"/>
        </w:rPr>
        <w:t xml:space="preserve"> </w:t>
      </w:r>
      <w:r>
        <w:rPr>
          <w:rFonts w:hAnsi="Sylfaen" w:cs="Arial"/>
          <w:lang w:val="ka-GE"/>
        </w:rPr>
        <w:t>ბრძანების</w:t>
      </w:r>
      <w:r>
        <w:rPr>
          <w:rFonts w:hAnsi="Sylfaen" w:cs="Arial"/>
          <w:lang w:val="ka-GE"/>
        </w:rPr>
        <w:t xml:space="preserve"> (2003) </w:t>
      </w:r>
      <w:r>
        <w:rPr>
          <w:rFonts w:hAnsi="Sylfaen" w:cs="Arial"/>
          <w:lang w:val="ka-GE"/>
        </w:rPr>
        <w:t>შესაბამისად</w:t>
      </w:r>
      <w:r>
        <w:rPr>
          <w:rFonts w:hAnsi="Sylfaen" w:cs="Arial"/>
          <w:lang w:val="ka-GE"/>
        </w:rPr>
        <w:t xml:space="preserve"> </w:t>
      </w:r>
      <w:r>
        <w:rPr>
          <w:rFonts w:hAnsi="Sylfaen" w:cs="Arial"/>
          <w:lang w:val="ka-GE"/>
        </w:rPr>
        <w:t>“გარემოს</w:t>
      </w:r>
      <w:r>
        <w:rPr>
          <w:rFonts w:hAnsi="Sylfaen" w:cs="Arial"/>
          <w:lang w:val="ka-GE"/>
        </w:rPr>
        <w:t xml:space="preserve"> </w:t>
      </w:r>
      <w:r>
        <w:rPr>
          <w:rFonts w:hAnsi="Sylfaen" w:cs="Arial"/>
          <w:lang w:val="ka-GE"/>
        </w:rPr>
        <w:t>ხარისხობრივი</w:t>
      </w:r>
      <w:r>
        <w:rPr>
          <w:rFonts w:hAnsi="Sylfaen" w:cs="Arial"/>
          <w:lang w:val="ka-GE"/>
        </w:rPr>
        <w:t xml:space="preserve"> </w:t>
      </w:r>
      <w:r>
        <w:rPr>
          <w:rFonts w:hAnsi="Sylfaen" w:cs="Arial"/>
          <w:lang w:val="ka-GE"/>
        </w:rPr>
        <w:t>სტანდარტები</w:t>
      </w:r>
      <w:r>
        <w:rPr>
          <w:rFonts w:hAnsi="Sylfaen" w:cs="Arial"/>
          <w:lang w:val="ka-GE"/>
        </w:rPr>
        <w:t xml:space="preserve"> </w:t>
      </w:r>
      <w:r>
        <w:rPr>
          <w:rFonts w:hAnsi="Sylfaen" w:cs="Arial"/>
          <w:lang w:val="ka-GE"/>
        </w:rPr>
        <w:t>დამტკიცების</w:t>
      </w:r>
      <w:r>
        <w:rPr>
          <w:rFonts w:hAnsi="Sylfaen" w:cs="Arial"/>
          <w:lang w:val="ka-GE"/>
        </w:rPr>
        <w:t xml:space="preserve"> </w:t>
      </w:r>
      <w:r>
        <w:rPr>
          <w:rFonts w:hAnsi="Sylfaen" w:cs="Arial"/>
          <w:lang w:val="ka-GE"/>
        </w:rPr>
        <w:t>შესახებ</w:t>
      </w:r>
      <w:r>
        <w:rPr>
          <w:rFonts w:hAnsi="Sylfaen" w:cs="Arial"/>
          <w:lang w:val="ka-GE"/>
        </w:rPr>
        <w:t xml:space="preserve">: </w:t>
      </w:r>
      <w:r>
        <w:rPr>
          <w:rFonts w:hAnsi="Sylfaen" w:cs="Arial"/>
          <w:lang w:val="ka-GE"/>
        </w:rPr>
        <w:t>დასახლებული</w:t>
      </w:r>
      <w:r>
        <w:rPr>
          <w:rFonts w:hAnsi="Sylfaen" w:cs="Arial"/>
          <w:lang w:val="ka-GE"/>
        </w:rPr>
        <w:t xml:space="preserve"> </w:t>
      </w:r>
      <w:r>
        <w:rPr>
          <w:rFonts w:hAnsi="Sylfaen" w:cs="Arial"/>
          <w:lang w:val="ka-GE"/>
        </w:rPr>
        <w:t>პუნქტების</w:t>
      </w:r>
      <w:r>
        <w:rPr>
          <w:rFonts w:hAnsi="Sylfaen" w:cs="Arial"/>
          <w:lang w:val="ka-GE"/>
        </w:rPr>
        <w:t xml:space="preserve"> </w:t>
      </w:r>
      <w:r>
        <w:rPr>
          <w:rFonts w:hAnsi="Sylfaen" w:cs="Arial"/>
          <w:lang w:val="ka-GE"/>
        </w:rPr>
        <w:t>ატმოსფერული</w:t>
      </w:r>
      <w:r>
        <w:rPr>
          <w:rFonts w:hAnsi="Sylfaen" w:cs="Arial"/>
          <w:lang w:val="ka-GE"/>
        </w:rPr>
        <w:t xml:space="preserve"> </w:t>
      </w:r>
      <w:r>
        <w:rPr>
          <w:rFonts w:hAnsi="Sylfaen" w:cs="Arial"/>
          <w:lang w:val="ka-GE"/>
        </w:rPr>
        <w:t>დამაბინძურებლების</w:t>
      </w:r>
      <w:r>
        <w:rPr>
          <w:rFonts w:hAnsi="Sylfaen" w:cs="Arial"/>
          <w:lang w:val="ka-GE"/>
        </w:rPr>
        <w:t xml:space="preserve"> </w:t>
      </w:r>
      <w:r>
        <w:rPr>
          <w:rFonts w:hAnsi="Sylfaen" w:cs="Arial"/>
          <w:lang w:val="ka-GE"/>
        </w:rPr>
        <w:t>ზღვრულად</w:t>
      </w:r>
      <w:r>
        <w:rPr>
          <w:rFonts w:hAnsi="Sylfaen" w:cs="Arial"/>
          <w:lang w:val="ka-GE"/>
        </w:rPr>
        <w:t xml:space="preserve"> </w:t>
      </w:r>
      <w:r>
        <w:rPr>
          <w:rFonts w:hAnsi="Sylfaen" w:cs="Arial"/>
          <w:lang w:val="ka-GE"/>
        </w:rPr>
        <w:t>დასაშვები</w:t>
      </w:r>
      <w:r>
        <w:rPr>
          <w:rFonts w:hAnsi="Sylfaen" w:cs="Arial"/>
          <w:lang w:val="ka-GE"/>
        </w:rPr>
        <w:t xml:space="preserve"> </w:t>
      </w:r>
      <w:r>
        <w:rPr>
          <w:rFonts w:hAnsi="Sylfaen" w:cs="Arial"/>
          <w:lang w:val="ka-GE"/>
        </w:rPr>
        <w:t>კონცენტრაციები”</w:t>
      </w:r>
      <w:r>
        <w:rPr>
          <w:rFonts w:hAnsi="Sylfaen" w:cs="Arial"/>
          <w:lang w:val="ka-GE"/>
        </w:rPr>
        <w:t xml:space="preserve">) </w:t>
      </w:r>
      <w:r>
        <w:rPr>
          <w:rFonts w:hAnsi="Sylfaen" w:cs="Arial"/>
          <w:lang w:val="ka-GE"/>
        </w:rPr>
        <w:t>და</w:t>
      </w:r>
      <w:r>
        <w:rPr>
          <w:rFonts w:hAnsi="Sylfaen" w:cs="Arial"/>
          <w:lang w:val="ka-GE"/>
        </w:rPr>
        <w:t xml:space="preserve"> </w:t>
      </w:r>
      <w:r>
        <w:rPr>
          <w:rFonts w:hAnsi="Sylfaen" w:cs="Arial"/>
          <w:lang w:val="ka-GE"/>
        </w:rPr>
        <w:t>მსოფლიო</w:t>
      </w:r>
      <w:r>
        <w:rPr>
          <w:rFonts w:hAnsi="Sylfaen" w:cs="Arial"/>
          <w:lang w:val="ka-GE"/>
        </w:rPr>
        <w:t xml:space="preserve"> </w:t>
      </w:r>
      <w:r>
        <w:rPr>
          <w:rFonts w:hAnsi="Sylfaen" w:cs="Arial"/>
          <w:lang w:val="ka-GE"/>
        </w:rPr>
        <w:t>ბანკის</w:t>
      </w:r>
      <w:r>
        <w:rPr>
          <w:rFonts w:hAnsi="Sylfaen" w:cs="Arial"/>
          <w:lang w:val="ka-GE"/>
        </w:rPr>
        <w:t xml:space="preserve"> </w:t>
      </w:r>
      <w:r>
        <w:rPr>
          <w:rFonts w:hAnsi="Sylfaen" w:cs="Arial"/>
          <w:lang w:val="ka-GE"/>
        </w:rPr>
        <w:t>რეკომენდაციები</w:t>
      </w:r>
      <w:r>
        <w:rPr>
          <w:rFonts w:hAnsi="Sylfaen" w:cs="Arial"/>
          <w:lang w:val="ka-GE"/>
        </w:rPr>
        <w:t xml:space="preserve"> (</w:t>
      </w:r>
      <w:r>
        <w:rPr>
          <w:rFonts w:hAnsi="Sylfaen" w:cs="Arial"/>
          <w:lang w:val="ka-GE"/>
        </w:rPr>
        <w:t>გარემოსდაცვის</w:t>
      </w:r>
      <w:r>
        <w:rPr>
          <w:rFonts w:hAnsi="Sylfaen" w:cs="Arial"/>
          <w:lang w:val="ka-GE"/>
        </w:rPr>
        <w:t xml:space="preserve">, </w:t>
      </w:r>
      <w:r>
        <w:rPr>
          <w:rFonts w:hAnsi="Sylfaen" w:cs="Arial"/>
          <w:lang w:val="ka-GE"/>
        </w:rPr>
        <w:t>ჯანდაცვის</w:t>
      </w:r>
      <w:r>
        <w:rPr>
          <w:rFonts w:hAnsi="Sylfaen" w:cs="Arial"/>
          <w:lang w:val="ka-GE"/>
        </w:rPr>
        <w:t xml:space="preserve"> </w:t>
      </w:r>
      <w:r>
        <w:rPr>
          <w:rFonts w:hAnsi="Sylfaen" w:cs="Arial"/>
          <w:lang w:val="ka-GE"/>
        </w:rPr>
        <w:t>და</w:t>
      </w:r>
      <w:r>
        <w:rPr>
          <w:rFonts w:hAnsi="Sylfaen" w:cs="Arial"/>
          <w:lang w:val="ka-GE"/>
        </w:rPr>
        <w:t xml:space="preserve"> </w:t>
      </w:r>
      <w:r>
        <w:rPr>
          <w:rFonts w:hAnsi="Sylfaen" w:cs="Arial"/>
          <w:lang w:val="ka-GE"/>
        </w:rPr>
        <w:t>უსაფრთხოების</w:t>
      </w:r>
      <w:r>
        <w:rPr>
          <w:rFonts w:hAnsi="Sylfaen" w:cs="Arial"/>
          <w:lang w:val="ka-GE"/>
        </w:rPr>
        <w:t xml:space="preserve"> </w:t>
      </w:r>
      <w:r>
        <w:rPr>
          <w:rFonts w:hAnsi="Sylfaen" w:cs="Arial"/>
          <w:lang w:val="ka-GE"/>
        </w:rPr>
        <w:t>რეკომენდაციებში</w:t>
      </w:r>
      <w:r>
        <w:rPr>
          <w:rFonts w:hAnsi="Sylfaen" w:cs="Arial"/>
          <w:lang w:val="ka-GE"/>
        </w:rPr>
        <w:t xml:space="preserve"> (EHS) </w:t>
      </w:r>
      <w:r>
        <w:rPr>
          <w:rFonts w:hAnsi="Sylfaen" w:cs="Arial"/>
          <w:lang w:val="ka-GE"/>
        </w:rPr>
        <w:t>”ემისიები</w:t>
      </w:r>
      <w:r>
        <w:rPr>
          <w:rFonts w:hAnsi="Sylfaen" w:cs="Arial"/>
          <w:lang w:val="ka-GE"/>
        </w:rPr>
        <w:t xml:space="preserve"> </w:t>
      </w:r>
      <w:r>
        <w:rPr>
          <w:rFonts w:hAnsi="Sylfaen" w:cs="Arial"/>
          <w:lang w:val="ka-GE"/>
        </w:rPr>
        <w:t>ატმოსფერულ</w:t>
      </w:r>
      <w:r>
        <w:rPr>
          <w:rFonts w:hAnsi="Sylfaen" w:cs="Arial"/>
          <w:lang w:val="ka-GE"/>
        </w:rPr>
        <w:t xml:space="preserve"> </w:t>
      </w:r>
      <w:r>
        <w:rPr>
          <w:rFonts w:hAnsi="Sylfaen" w:cs="Arial"/>
          <w:lang w:val="ka-GE"/>
        </w:rPr>
        <w:t>ჰაერში</w:t>
      </w:r>
      <w:r>
        <w:rPr>
          <w:rFonts w:hAnsi="Sylfaen" w:cs="Arial"/>
          <w:lang w:val="ka-GE"/>
        </w:rPr>
        <w:t xml:space="preserve"> </w:t>
      </w:r>
      <w:r>
        <w:rPr>
          <w:rFonts w:hAnsi="Sylfaen" w:cs="Arial"/>
          <w:lang w:val="ka-GE"/>
        </w:rPr>
        <w:t>და</w:t>
      </w:r>
      <w:r>
        <w:rPr>
          <w:rFonts w:hAnsi="Sylfaen" w:cs="Arial"/>
          <w:lang w:val="ka-GE"/>
        </w:rPr>
        <w:t xml:space="preserve"> </w:t>
      </w:r>
      <w:r>
        <w:rPr>
          <w:rFonts w:hAnsi="Sylfaen" w:cs="Arial"/>
          <w:lang w:val="ka-GE"/>
        </w:rPr>
        <w:t>ჰაერის</w:t>
      </w:r>
      <w:r>
        <w:rPr>
          <w:rFonts w:hAnsi="Sylfaen" w:cs="Arial"/>
          <w:lang w:val="ka-GE"/>
        </w:rPr>
        <w:t xml:space="preserve"> </w:t>
      </w:r>
      <w:r>
        <w:rPr>
          <w:rFonts w:hAnsi="Sylfaen" w:cs="Arial"/>
          <w:lang w:val="ka-GE"/>
        </w:rPr>
        <w:t>ხარისხი”</w:t>
      </w:r>
      <w:r>
        <w:rPr>
          <w:rFonts w:hAnsi="Sylfaen" w:cs="Arial"/>
          <w:lang w:val="ka-GE"/>
        </w:rPr>
        <w:t xml:space="preserve">, </w:t>
      </w:r>
      <w:r>
        <w:rPr>
          <w:rFonts w:hAnsi="Sylfaen" w:cs="Arial"/>
          <w:lang w:val="ka-GE"/>
        </w:rPr>
        <w:t>შექმნილი</w:t>
      </w:r>
      <w:r>
        <w:rPr>
          <w:rFonts w:hAnsi="Sylfaen" w:cs="Arial"/>
          <w:lang w:val="ka-GE"/>
        </w:rPr>
        <w:t xml:space="preserve"> </w:t>
      </w:r>
      <w:r>
        <w:rPr>
          <w:rFonts w:hAnsi="Sylfaen" w:cs="Arial"/>
          <w:lang w:val="ka-GE"/>
        </w:rPr>
        <w:t>საერთაშორისო</w:t>
      </w:r>
      <w:r>
        <w:rPr>
          <w:rFonts w:hAnsi="Sylfaen" w:cs="Arial"/>
          <w:lang w:val="ka-GE"/>
        </w:rPr>
        <w:t xml:space="preserve"> </w:t>
      </w:r>
      <w:r>
        <w:rPr>
          <w:rFonts w:hAnsi="Sylfaen" w:cs="Arial"/>
          <w:lang w:val="ka-GE"/>
        </w:rPr>
        <w:t>საფინანსო</w:t>
      </w:r>
      <w:r>
        <w:rPr>
          <w:rFonts w:hAnsi="Sylfaen" w:cs="Arial"/>
          <w:lang w:val="ka-GE"/>
        </w:rPr>
        <w:t xml:space="preserve"> </w:t>
      </w:r>
      <w:r>
        <w:rPr>
          <w:rFonts w:hAnsi="Sylfaen" w:cs="Arial"/>
          <w:lang w:val="ka-GE"/>
        </w:rPr>
        <w:t>კორპორაციის</w:t>
      </w:r>
      <w:r>
        <w:rPr>
          <w:rFonts w:hAnsi="Sylfaen" w:cs="Arial"/>
          <w:lang w:val="ka-GE"/>
        </w:rPr>
        <w:t xml:space="preserve"> </w:t>
      </w:r>
      <w:r>
        <w:rPr>
          <w:rFonts w:hAnsi="Sylfaen" w:cs="Arial"/>
          <w:lang w:val="ka-GE"/>
        </w:rPr>
        <w:t>რეკომენდაციების</w:t>
      </w:r>
      <w:r>
        <w:rPr>
          <w:rFonts w:hAnsi="Sylfaen" w:cs="Arial"/>
          <w:lang w:val="ka-GE"/>
        </w:rPr>
        <w:t xml:space="preserve"> </w:t>
      </w:r>
      <w:r>
        <w:rPr>
          <w:rFonts w:hAnsi="Sylfaen" w:cs="Arial"/>
          <w:lang w:val="ka-GE"/>
        </w:rPr>
        <w:t>საფუძველზე</w:t>
      </w:r>
      <w:r>
        <w:rPr>
          <w:rFonts w:hAnsi="Sylfaen" w:cs="Arial"/>
          <w:lang w:val="ka-GE"/>
        </w:rPr>
        <w:t xml:space="preserve">) </w:t>
      </w:r>
      <w:r>
        <w:rPr>
          <w:rFonts w:hAnsi="Sylfaen" w:cs="Arial"/>
          <w:lang w:val="ka-GE"/>
        </w:rPr>
        <w:t>მოცემულია</w:t>
      </w:r>
      <w:r>
        <w:rPr>
          <w:rFonts w:hAnsi="Sylfaen" w:cs="Arial"/>
          <w:lang w:val="ka-GE"/>
        </w:rPr>
        <w:t xml:space="preserve"> </w:t>
      </w:r>
      <w:r>
        <w:rPr>
          <w:rFonts w:hAnsi="Sylfaen" w:cs="Arial"/>
          <w:lang w:val="ka-GE"/>
        </w:rPr>
        <w:t>ცხრილი</w:t>
      </w:r>
      <w:r>
        <w:rPr>
          <w:rFonts w:hAnsi="Sylfaen" w:cs="Arial"/>
          <w:lang w:val="ka-GE"/>
        </w:rPr>
        <w:t xml:space="preserve">. 30 </w:t>
      </w:r>
      <w:r>
        <w:rPr>
          <w:rFonts w:hAnsi="Sylfaen" w:cs="Arial"/>
          <w:lang w:val="ka-GE"/>
        </w:rPr>
        <w:t>წუთიანი</w:t>
      </w:r>
      <w:r>
        <w:rPr>
          <w:rFonts w:hAnsi="Sylfaen" w:cs="Arial"/>
          <w:lang w:val="ka-GE"/>
        </w:rPr>
        <w:t xml:space="preserve"> </w:t>
      </w:r>
      <w:r>
        <w:rPr>
          <w:rFonts w:hAnsi="Sylfaen" w:cs="Arial"/>
          <w:lang w:val="ka-GE"/>
        </w:rPr>
        <w:t>ერთჯერადი</w:t>
      </w:r>
      <w:r>
        <w:rPr>
          <w:rFonts w:hAnsi="Sylfaen" w:cs="Arial"/>
          <w:lang w:val="ka-GE"/>
        </w:rPr>
        <w:t xml:space="preserve"> </w:t>
      </w:r>
      <w:r>
        <w:rPr>
          <w:rFonts w:hAnsi="Sylfaen" w:cs="Arial"/>
          <w:lang w:val="ka-GE"/>
        </w:rPr>
        <w:t>მაქსიმალური</w:t>
      </w:r>
      <w:r>
        <w:rPr>
          <w:rFonts w:hAnsi="Sylfaen" w:cs="Arial"/>
          <w:lang w:val="ka-GE"/>
        </w:rPr>
        <w:t xml:space="preserve"> </w:t>
      </w:r>
      <w:r>
        <w:rPr>
          <w:rFonts w:hAnsi="Sylfaen" w:cs="Arial"/>
          <w:lang w:val="ka-GE"/>
        </w:rPr>
        <w:t>კონცენტრაციები</w:t>
      </w:r>
      <w:r>
        <w:rPr>
          <w:rFonts w:hAnsi="Sylfaen" w:cs="Arial"/>
          <w:lang w:val="ka-GE"/>
        </w:rPr>
        <w:t xml:space="preserve"> </w:t>
      </w:r>
      <w:r>
        <w:rPr>
          <w:rFonts w:hAnsi="Sylfaen" w:cs="Arial"/>
          <w:lang w:val="ka-GE"/>
        </w:rPr>
        <w:t>საქართველოს</w:t>
      </w:r>
      <w:r>
        <w:rPr>
          <w:rFonts w:hAnsi="Sylfaen" w:cs="Arial"/>
          <w:lang w:val="ka-GE"/>
        </w:rPr>
        <w:t xml:space="preserve"> </w:t>
      </w:r>
      <w:r>
        <w:rPr>
          <w:rFonts w:hAnsi="Sylfaen" w:cs="Arial"/>
          <w:lang w:val="ka-GE"/>
        </w:rPr>
        <w:t>სტანდარტების</w:t>
      </w:r>
      <w:r>
        <w:rPr>
          <w:rFonts w:hAnsi="Sylfaen" w:cs="Arial"/>
          <w:lang w:val="ka-GE"/>
        </w:rPr>
        <w:t xml:space="preserve"> </w:t>
      </w:r>
      <w:r>
        <w:rPr>
          <w:rFonts w:hAnsi="Sylfaen" w:cs="Arial"/>
          <w:lang w:val="ka-GE"/>
        </w:rPr>
        <w:t>შესაბამისად</w:t>
      </w:r>
      <w:r>
        <w:rPr>
          <w:rFonts w:hAnsi="Sylfaen" w:cs="Arial"/>
          <w:lang w:val="ka-GE"/>
        </w:rPr>
        <w:t xml:space="preserve"> </w:t>
      </w:r>
      <w:r>
        <w:rPr>
          <w:rFonts w:hAnsi="Sylfaen" w:cs="Arial"/>
          <w:lang w:val="ka-GE"/>
        </w:rPr>
        <w:t>მიჩნეულ</w:t>
      </w:r>
      <w:r>
        <w:rPr>
          <w:rFonts w:hAnsi="Sylfaen" w:cs="Arial"/>
          <w:lang w:val="ka-GE"/>
        </w:rPr>
        <w:t xml:space="preserve"> </w:t>
      </w:r>
      <w:r>
        <w:rPr>
          <w:rFonts w:hAnsi="Sylfaen" w:cs="Arial"/>
          <w:lang w:val="ka-GE"/>
        </w:rPr>
        <w:t>იქნა</w:t>
      </w:r>
      <w:r>
        <w:rPr>
          <w:rFonts w:hAnsi="Sylfaen" w:cs="Arial"/>
          <w:lang w:val="ka-GE"/>
        </w:rPr>
        <w:t xml:space="preserve"> </w:t>
      </w:r>
      <w:r>
        <w:rPr>
          <w:rFonts w:hAnsi="Sylfaen" w:cs="Arial"/>
          <w:lang w:val="ka-GE"/>
        </w:rPr>
        <w:t>ყველაზე</w:t>
      </w:r>
      <w:r>
        <w:rPr>
          <w:rFonts w:hAnsi="Sylfaen" w:cs="Arial"/>
          <w:lang w:val="ka-GE"/>
        </w:rPr>
        <w:t xml:space="preserve"> </w:t>
      </w:r>
      <w:r>
        <w:rPr>
          <w:rFonts w:hAnsi="Sylfaen" w:cs="Arial"/>
          <w:lang w:val="ka-GE"/>
        </w:rPr>
        <w:t>მკაცრად</w:t>
      </w:r>
      <w:r>
        <w:rPr>
          <w:rFonts w:hAnsi="Sylfaen" w:cs="Arial"/>
          <w:lang w:val="ka-GE"/>
        </w:rPr>
        <w:t xml:space="preserve"> </w:t>
      </w:r>
      <w:r>
        <w:rPr>
          <w:rFonts w:hAnsi="Sylfaen" w:cs="Arial"/>
          <w:lang w:val="ka-GE"/>
        </w:rPr>
        <w:t>და</w:t>
      </w:r>
      <w:r>
        <w:rPr>
          <w:rFonts w:hAnsi="Sylfaen" w:cs="Arial"/>
          <w:lang w:val="ka-GE"/>
        </w:rPr>
        <w:t xml:space="preserve"> </w:t>
      </w:r>
      <w:r>
        <w:rPr>
          <w:rFonts w:hAnsi="Sylfaen" w:cs="Arial"/>
          <w:lang w:val="ka-GE"/>
        </w:rPr>
        <w:t>მაშასადამე</w:t>
      </w:r>
      <w:r>
        <w:rPr>
          <w:rFonts w:hAnsi="Sylfaen" w:cs="Arial"/>
          <w:lang w:val="ka-GE"/>
        </w:rPr>
        <w:t xml:space="preserve"> </w:t>
      </w:r>
      <w:r>
        <w:rPr>
          <w:rFonts w:hAnsi="Sylfaen" w:cs="Arial"/>
          <w:lang w:val="ka-GE"/>
        </w:rPr>
        <w:t>გამოყენებულ</w:t>
      </w:r>
      <w:r>
        <w:rPr>
          <w:rFonts w:hAnsi="Sylfaen" w:cs="Arial"/>
          <w:lang w:val="ka-GE"/>
        </w:rPr>
        <w:t xml:space="preserve"> </w:t>
      </w:r>
      <w:r>
        <w:rPr>
          <w:rFonts w:hAnsi="Sylfaen" w:cs="Arial"/>
          <w:lang w:val="ka-GE"/>
        </w:rPr>
        <w:t>იქნა</w:t>
      </w:r>
      <w:r>
        <w:rPr>
          <w:rFonts w:hAnsi="Sylfaen" w:cs="Arial"/>
          <w:lang w:val="ka-GE"/>
        </w:rPr>
        <w:t xml:space="preserve"> </w:t>
      </w:r>
      <w:r>
        <w:rPr>
          <w:rFonts w:hAnsi="Sylfaen" w:cs="Arial"/>
          <w:lang w:val="ka-GE"/>
        </w:rPr>
        <w:t>შეფასები</w:t>
      </w:r>
      <w:r>
        <w:rPr>
          <w:rFonts w:ascii="Sylfaen" w:hAnsi="Sylfaen" w:cs="Arial"/>
          <w:lang w:val="ka-GE"/>
        </w:rPr>
        <w:t>ს</w:t>
      </w:r>
      <w:r>
        <w:rPr>
          <w:rFonts w:hAnsi="Sylfaen" w:cs="Arial"/>
          <w:lang w:val="ka-GE"/>
        </w:rPr>
        <w:t xml:space="preserve"> </w:t>
      </w:r>
      <w:r>
        <w:rPr>
          <w:rFonts w:hAnsi="Sylfaen" w:cs="Arial"/>
          <w:lang w:val="ka-GE"/>
        </w:rPr>
        <w:t>პროცესში</w:t>
      </w:r>
      <w:r>
        <w:rPr>
          <w:rFonts w:hAnsi="Sylfaen" w:cs="Arial"/>
          <w:lang w:val="ka-GE"/>
        </w:rPr>
        <w:t>.</w:t>
      </w:r>
    </w:p>
    <w:p w14:paraId="63C8B947" w14:textId="77777777" w:rsidR="00980876" w:rsidRDefault="00980876" w:rsidP="00980876">
      <w:pPr>
        <w:spacing w:before="120" w:after="120"/>
        <w:rPr>
          <w:rFonts w:hAnsi="Sylfaen" w:cs="Arial"/>
          <w:lang w:val="ka-GE"/>
        </w:rPr>
      </w:pPr>
      <w:r>
        <w:rPr>
          <w:rFonts w:hAnsi="Sylfaen" w:cs="Arial"/>
          <w:lang w:val="ka-GE"/>
        </w:rPr>
        <w:lastRenderedPageBreak/>
        <w:t>ითვლება</w:t>
      </w:r>
      <w:r>
        <w:rPr>
          <w:rFonts w:hAnsi="Sylfaen" w:cs="Arial"/>
          <w:lang w:val="ka-GE"/>
        </w:rPr>
        <w:t xml:space="preserve">, </w:t>
      </w:r>
      <w:r>
        <w:rPr>
          <w:rFonts w:hAnsi="Sylfaen" w:cs="Arial"/>
          <w:lang w:val="ka-GE"/>
        </w:rPr>
        <w:t>რომ</w:t>
      </w:r>
      <w:r>
        <w:rPr>
          <w:rFonts w:hAnsi="Sylfaen" w:cs="Arial"/>
          <w:lang w:val="ka-GE"/>
        </w:rPr>
        <w:t xml:space="preserve"> </w:t>
      </w:r>
      <w:r>
        <w:rPr>
          <w:rFonts w:hAnsi="Sylfaen" w:cs="Arial"/>
          <w:lang w:val="ka-GE"/>
        </w:rPr>
        <w:t>თუ</w:t>
      </w:r>
      <w:r>
        <w:rPr>
          <w:rFonts w:hAnsi="Sylfaen" w:cs="Arial"/>
          <w:lang w:val="ka-GE"/>
        </w:rPr>
        <w:t xml:space="preserve"> </w:t>
      </w:r>
      <w:r>
        <w:rPr>
          <w:rFonts w:hAnsi="Sylfaen" w:cs="Arial"/>
          <w:lang w:val="ka-GE"/>
        </w:rPr>
        <w:t>ყველაზე</w:t>
      </w:r>
      <w:r>
        <w:rPr>
          <w:rFonts w:hAnsi="Sylfaen" w:cs="Arial"/>
          <w:lang w:val="ka-GE"/>
        </w:rPr>
        <w:t xml:space="preserve"> </w:t>
      </w:r>
      <w:r>
        <w:rPr>
          <w:rFonts w:hAnsi="Sylfaen" w:cs="Arial"/>
          <w:lang w:val="ka-GE"/>
        </w:rPr>
        <w:t>უარეს</w:t>
      </w:r>
      <w:r>
        <w:rPr>
          <w:rFonts w:hAnsi="Sylfaen" w:cs="Arial"/>
          <w:lang w:val="ka-GE"/>
        </w:rPr>
        <w:t xml:space="preserve"> </w:t>
      </w:r>
      <w:r>
        <w:rPr>
          <w:rFonts w:hAnsi="Sylfaen" w:cs="Arial"/>
          <w:lang w:val="ka-GE"/>
        </w:rPr>
        <w:t>მეტეოროლოგიურ</w:t>
      </w:r>
      <w:r>
        <w:rPr>
          <w:rFonts w:hAnsi="Sylfaen" w:cs="Arial"/>
          <w:lang w:val="ka-GE"/>
        </w:rPr>
        <w:t xml:space="preserve"> </w:t>
      </w:r>
      <w:r>
        <w:rPr>
          <w:rFonts w:hAnsi="Sylfaen" w:cs="Arial"/>
          <w:lang w:val="ka-GE"/>
        </w:rPr>
        <w:t>პირობებისთვის</w:t>
      </w:r>
      <w:r>
        <w:rPr>
          <w:rFonts w:hAnsi="Sylfaen" w:cs="Arial"/>
          <w:lang w:val="ka-GE"/>
        </w:rPr>
        <w:t xml:space="preserve"> </w:t>
      </w:r>
      <w:r>
        <w:rPr>
          <w:rFonts w:hAnsi="Sylfaen" w:cs="Arial"/>
          <w:lang w:val="ka-GE"/>
        </w:rPr>
        <w:t>მოდელირების</w:t>
      </w:r>
      <w:r>
        <w:rPr>
          <w:rFonts w:hAnsi="Sylfaen" w:cs="Arial"/>
          <w:lang w:val="ka-GE"/>
        </w:rPr>
        <w:t xml:space="preserve"> </w:t>
      </w:r>
      <w:r>
        <w:rPr>
          <w:rFonts w:hAnsi="Sylfaen" w:cs="Arial"/>
          <w:lang w:val="ka-GE"/>
        </w:rPr>
        <w:t>ჩატარებისას</w:t>
      </w:r>
      <w:r>
        <w:rPr>
          <w:rFonts w:hAnsi="Sylfaen" w:cs="Arial"/>
          <w:lang w:val="ka-GE"/>
        </w:rPr>
        <w:t xml:space="preserve"> 30 </w:t>
      </w:r>
      <w:r>
        <w:rPr>
          <w:rFonts w:hAnsi="Sylfaen" w:cs="Arial"/>
          <w:lang w:val="ka-GE"/>
        </w:rPr>
        <w:t>წუთიანი</w:t>
      </w:r>
      <w:r>
        <w:rPr>
          <w:rFonts w:hAnsi="Sylfaen" w:cs="Arial"/>
          <w:lang w:val="ka-GE"/>
        </w:rPr>
        <w:t xml:space="preserve"> </w:t>
      </w:r>
      <w:r>
        <w:rPr>
          <w:rFonts w:hAnsi="Sylfaen" w:cs="Arial"/>
          <w:lang w:val="ka-GE"/>
        </w:rPr>
        <w:t>ერთჯერადი</w:t>
      </w:r>
      <w:r>
        <w:rPr>
          <w:rFonts w:hAnsi="Sylfaen" w:cs="Arial"/>
          <w:lang w:val="ka-GE"/>
        </w:rPr>
        <w:t xml:space="preserve"> </w:t>
      </w:r>
      <w:r>
        <w:rPr>
          <w:rFonts w:hAnsi="Sylfaen" w:cs="Arial"/>
          <w:lang w:val="ka-GE"/>
        </w:rPr>
        <w:t>მაქსიმალური</w:t>
      </w:r>
      <w:r>
        <w:rPr>
          <w:rFonts w:hAnsi="Sylfaen" w:cs="Arial"/>
          <w:lang w:val="ka-GE"/>
        </w:rPr>
        <w:t xml:space="preserve"> </w:t>
      </w:r>
      <w:r>
        <w:rPr>
          <w:rFonts w:hAnsi="Sylfaen" w:cs="Arial"/>
          <w:lang w:val="ka-GE"/>
        </w:rPr>
        <w:t>კონცენტრაციები</w:t>
      </w:r>
      <w:r>
        <w:rPr>
          <w:rFonts w:hAnsi="Sylfaen" w:cs="Arial"/>
          <w:lang w:val="ka-GE"/>
        </w:rPr>
        <w:t xml:space="preserve"> </w:t>
      </w:r>
      <w:r>
        <w:rPr>
          <w:rFonts w:hAnsi="Sylfaen" w:cs="Arial"/>
          <w:lang w:val="ka-GE"/>
        </w:rPr>
        <w:t>არ</w:t>
      </w:r>
      <w:r>
        <w:rPr>
          <w:rFonts w:hAnsi="Sylfaen" w:cs="Arial"/>
          <w:lang w:val="ka-GE"/>
        </w:rPr>
        <w:t xml:space="preserve"> </w:t>
      </w:r>
      <w:r>
        <w:rPr>
          <w:rFonts w:hAnsi="Sylfaen" w:cs="Arial"/>
          <w:lang w:val="ka-GE"/>
        </w:rPr>
        <w:t>აჭარბებს</w:t>
      </w:r>
      <w:r>
        <w:rPr>
          <w:rFonts w:hAnsi="Sylfaen" w:cs="Arial"/>
          <w:lang w:val="ka-GE"/>
        </w:rPr>
        <w:t xml:space="preserve"> </w:t>
      </w:r>
      <w:r>
        <w:rPr>
          <w:rFonts w:hAnsi="Sylfaen" w:cs="Arial"/>
          <w:lang w:val="ka-GE"/>
        </w:rPr>
        <w:t>ქვემოთ</w:t>
      </w:r>
      <w:r>
        <w:rPr>
          <w:rFonts w:hAnsi="Sylfaen" w:cs="Arial"/>
          <w:lang w:val="ka-GE"/>
        </w:rPr>
        <w:t xml:space="preserve"> </w:t>
      </w:r>
      <w:r>
        <w:rPr>
          <w:rFonts w:hAnsi="Sylfaen" w:cs="Arial"/>
          <w:lang w:val="ka-GE"/>
        </w:rPr>
        <w:t>მოცემულ</w:t>
      </w:r>
      <w:r>
        <w:rPr>
          <w:rFonts w:hAnsi="Sylfaen" w:cs="Arial"/>
          <w:lang w:val="ka-GE"/>
        </w:rPr>
        <w:t xml:space="preserve"> </w:t>
      </w:r>
      <w:r>
        <w:rPr>
          <w:rFonts w:hAnsi="Sylfaen" w:cs="Arial"/>
          <w:lang w:val="ka-GE"/>
        </w:rPr>
        <w:t>მნიშვნელობებს</w:t>
      </w:r>
      <w:r>
        <w:rPr>
          <w:rFonts w:hAnsi="Sylfaen" w:cs="Arial"/>
          <w:lang w:val="ka-GE"/>
        </w:rPr>
        <w:t xml:space="preserve">,  </w:t>
      </w:r>
      <w:r>
        <w:rPr>
          <w:rFonts w:hAnsi="Sylfaen" w:cs="Arial"/>
          <w:lang w:val="ka-GE"/>
        </w:rPr>
        <w:t>ამ</w:t>
      </w:r>
      <w:r>
        <w:rPr>
          <w:rFonts w:hAnsi="Sylfaen" w:cs="Arial"/>
          <w:lang w:val="ka-GE"/>
        </w:rPr>
        <w:t xml:space="preserve"> </w:t>
      </w:r>
      <w:r>
        <w:rPr>
          <w:rFonts w:hAnsi="Sylfaen" w:cs="Arial"/>
          <w:lang w:val="ka-GE"/>
        </w:rPr>
        <w:t>ზღვრის</w:t>
      </w:r>
      <w:r>
        <w:rPr>
          <w:rFonts w:hAnsi="Sylfaen" w:cs="Arial"/>
          <w:lang w:val="ka-GE"/>
        </w:rPr>
        <w:t xml:space="preserve"> </w:t>
      </w:r>
      <w:r>
        <w:rPr>
          <w:rFonts w:hAnsi="Sylfaen" w:cs="Arial"/>
          <w:lang w:val="ka-GE"/>
        </w:rPr>
        <w:t>გადაჭარბება</w:t>
      </w:r>
      <w:r>
        <w:rPr>
          <w:rFonts w:hAnsi="Sylfaen" w:cs="Arial"/>
          <w:lang w:val="ka-GE"/>
        </w:rPr>
        <w:t xml:space="preserve"> </w:t>
      </w:r>
      <w:r>
        <w:rPr>
          <w:rFonts w:hAnsi="Sylfaen" w:cs="Arial"/>
          <w:lang w:val="ka-GE"/>
        </w:rPr>
        <w:t>უფრო</w:t>
      </w:r>
      <w:r>
        <w:rPr>
          <w:rFonts w:hAnsi="Sylfaen" w:cs="Arial"/>
          <w:lang w:val="ka-GE"/>
        </w:rPr>
        <w:t xml:space="preserve"> </w:t>
      </w:r>
      <w:r>
        <w:rPr>
          <w:rFonts w:hAnsi="Sylfaen" w:cs="Arial"/>
          <w:lang w:val="ka-GE"/>
        </w:rPr>
        <w:t>ხანგრძლივ</w:t>
      </w:r>
      <w:r>
        <w:rPr>
          <w:rFonts w:hAnsi="Sylfaen" w:cs="Arial"/>
          <w:lang w:val="ka-GE"/>
        </w:rPr>
        <w:t xml:space="preserve"> </w:t>
      </w:r>
      <w:r>
        <w:rPr>
          <w:rFonts w:hAnsi="Sylfaen" w:cs="Arial"/>
          <w:lang w:val="ka-GE"/>
        </w:rPr>
        <w:t>პერიოდში</w:t>
      </w:r>
      <w:r>
        <w:rPr>
          <w:rFonts w:hAnsi="Sylfaen" w:cs="Arial"/>
          <w:lang w:val="ka-GE"/>
        </w:rPr>
        <w:t xml:space="preserve"> </w:t>
      </w:r>
      <w:r>
        <w:rPr>
          <w:rFonts w:hAnsi="Sylfaen" w:cs="Arial"/>
          <w:lang w:val="ka-GE"/>
        </w:rPr>
        <w:t>ასევე</w:t>
      </w:r>
      <w:r>
        <w:rPr>
          <w:rFonts w:hAnsi="Sylfaen" w:cs="Arial"/>
          <w:lang w:val="ka-GE"/>
        </w:rPr>
        <w:t xml:space="preserve"> </w:t>
      </w:r>
      <w:r>
        <w:rPr>
          <w:rFonts w:hAnsi="Sylfaen" w:cs="Arial"/>
          <w:lang w:val="ka-GE"/>
        </w:rPr>
        <w:t>მოსალოდნელი</w:t>
      </w:r>
      <w:r>
        <w:rPr>
          <w:rFonts w:hAnsi="Sylfaen" w:cs="Arial"/>
          <w:lang w:val="ka-GE"/>
        </w:rPr>
        <w:t xml:space="preserve"> </w:t>
      </w:r>
      <w:r>
        <w:rPr>
          <w:rFonts w:hAnsi="Sylfaen" w:cs="Arial"/>
          <w:lang w:val="ka-GE"/>
        </w:rPr>
        <w:t>არ</w:t>
      </w:r>
      <w:r>
        <w:rPr>
          <w:rFonts w:hAnsi="Sylfaen" w:cs="Arial"/>
          <w:lang w:val="ka-GE"/>
        </w:rPr>
        <w:t xml:space="preserve"> </w:t>
      </w:r>
      <w:r>
        <w:rPr>
          <w:rFonts w:hAnsi="Sylfaen" w:cs="Arial"/>
          <w:lang w:val="ka-GE"/>
        </w:rPr>
        <w:t>არის</w:t>
      </w:r>
      <w:r>
        <w:rPr>
          <w:rFonts w:hAnsi="Sylfaen" w:cs="Arial"/>
          <w:lang w:val="ka-GE"/>
        </w:rPr>
        <w:t>.</w:t>
      </w:r>
    </w:p>
    <w:p w14:paraId="2678C2F8" w14:textId="77777777" w:rsidR="00980876" w:rsidRDefault="00980876" w:rsidP="00980876">
      <w:pPr>
        <w:spacing w:before="120" w:after="120"/>
        <w:rPr>
          <w:rFonts w:hAnsi="Sylfaen" w:cs="Arial"/>
          <w:lang w:val="ka-GE"/>
        </w:rPr>
      </w:pPr>
    </w:p>
    <w:p w14:paraId="01DC6656" w14:textId="77777777" w:rsidR="00980876" w:rsidRDefault="00980876" w:rsidP="00980876">
      <w:pPr>
        <w:pStyle w:val="Heading3"/>
      </w:pPr>
      <w:bookmarkStart w:id="183" w:name="_Toc529977381"/>
      <w:bookmarkStart w:id="184" w:name="_Toc1581542"/>
      <w:r>
        <w:t>5.</w:t>
      </w:r>
      <w:r>
        <w:rPr>
          <w:rFonts w:ascii="Sylfaen" w:hAnsi="Sylfaen"/>
          <w:lang w:val="ka-GE"/>
        </w:rPr>
        <w:t>4</w:t>
      </w:r>
      <w:r>
        <w:t xml:space="preserve">.1 </w:t>
      </w:r>
      <w:r>
        <w:rPr>
          <w:rFonts w:ascii="Sylfaen" w:hAnsi="Sylfaen" w:cs="Sylfaen"/>
        </w:rPr>
        <w:t>ჰაერი</w:t>
      </w:r>
      <w:bookmarkEnd w:id="183"/>
      <w:bookmarkEnd w:id="184"/>
    </w:p>
    <w:p w14:paraId="7F4E943B" w14:textId="77777777" w:rsidR="00980876" w:rsidRDefault="00980876" w:rsidP="00980876">
      <w:pPr>
        <w:autoSpaceDE w:val="0"/>
        <w:autoSpaceDN w:val="0"/>
        <w:adjustRightInd w:val="0"/>
        <w:spacing w:before="120" w:after="120"/>
        <w:rPr>
          <w:rFonts w:ascii="Sylfaen" w:eastAsia="Sylfaen" w:hAnsi="Sylfaen" w:cs="Sylfaen"/>
          <w:spacing w:val="-2"/>
          <w:lang w:val="ka-GE"/>
        </w:rPr>
      </w:pPr>
      <w:r>
        <w:rPr>
          <w:rFonts w:ascii="Sylfaen" w:eastAsia="Sylfaen" w:hAnsi="Sylfaen" w:cs="Sylfaen"/>
          <w:spacing w:val="-2"/>
          <w:lang w:val="ka-GE"/>
        </w:rPr>
        <w:t>ავტოსატრანსპორტო წყაროებიდან ჰაერის დაბინძურების კონტროლი გარემოს დაცვისა და სოფლის მეურნეობის სამინისტროს კომპეტენციაში შედის. ტრანსპორტის ემისიას რაც შეეხება, საქართველოში ამჟამად არსებული შესაბამისი სტანდარტები საბჭოთა პერიოდიდანაა და ეხება ჭვარტლს, კარბონმონოქსიდს, ნიტროგენ ოქსიდებს, სულპურ დიოქსიდს და ჰიდროკარბონს. თუმცა, გარემოს დაცვისა და სოფლის მეურნეობის სამინისტროს მიხედვით, ამ სტანდარტების განხორციელება, პრაქტიკულად, არ ხდება და არ არსებობს ტრანსპორტის ემისიის თანდათან შემცირების ეროვნული პოლიტიკა თუ სტრატეგია. ტექნიკური შემოწმება მაინც საჭირო იქნება მძლავრი მანქანებისათვის (რომელშიც შედის მშენებლობისას გამოყენებული სატვირთო მანქანები).</w:t>
      </w:r>
    </w:p>
    <w:p w14:paraId="049994F9" w14:textId="6AEC0B87" w:rsidR="00980876" w:rsidRPr="00980876" w:rsidRDefault="00980876" w:rsidP="00980876">
      <w:pPr>
        <w:spacing w:before="120" w:after="120" w:line="228" w:lineRule="auto"/>
        <w:ind w:right="237"/>
        <w:rPr>
          <w:rFonts w:ascii="Sylfaen" w:eastAsia="Sylfaen" w:hAnsi="Sylfaen" w:cs="Sylfaen"/>
          <w:spacing w:val="-2"/>
          <w:lang w:val="ka-GE"/>
        </w:rPr>
      </w:pPr>
      <w:r w:rsidRPr="00980876">
        <w:rPr>
          <w:rFonts w:ascii="Sylfaen" w:eastAsia="Sylfaen" w:hAnsi="Sylfaen" w:cs="Sylfaen"/>
          <w:spacing w:val="-2"/>
          <w:lang w:val="ka-GE"/>
        </w:rPr>
        <w:t>5.4.1-1 მაქსიმალურად დასაშვები კონცენტრაციები (MAC)საქართველოს სტანდარტებისა</w:t>
      </w:r>
      <w:r w:rsidRPr="00980876">
        <w:rPr>
          <w:rFonts w:ascii="Sylfaen" w:eastAsia="Sylfaen" w:hAnsi="Sylfaen" w:cs="Sylfaen"/>
          <w:lang w:val="ka-GE"/>
        </w:rPr>
        <w:t xml:space="preserve"> და </w:t>
      </w:r>
      <w:r w:rsidRPr="00980876">
        <w:rPr>
          <w:rFonts w:ascii="Sylfaen" w:eastAsia="Sylfaen" w:hAnsi="Sylfaen" w:cs="Sylfaen"/>
          <w:spacing w:val="-2"/>
          <w:lang w:val="ka-GE"/>
        </w:rPr>
        <w:t>WHO-ს სახელმძღვანელო დოკუმენტების შესაბამისად</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2196"/>
        <w:gridCol w:w="3657"/>
        <w:gridCol w:w="3582"/>
      </w:tblGrid>
      <w:tr w:rsidR="00980876" w:rsidRPr="00980876" w14:paraId="679C99E2" w14:textId="77777777">
        <w:tc>
          <w:tcPr>
            <w:tcW w:w="1423" w:type="pct"/>
            <w:gridSpan w:val="2"/>
            <w:tcBorders>
              <w:top w:val="single" w:sz="4" w:space="0" w:color="auto"/>
              <w:left w:val="single" w:sz="4" w:space="0" w:color="auto"/>
              <w:bottom w:val="single" w:sz="4" w:space="0" w:color="auto"/>
              <w:right w:val="single" w:sz="4" w:space="0" w:color="auto"/>
            </w:tcBorders>
            <w:shd w:val="pct5" w:color="auto" w:fill="auto"/>
          </w:tcPr>
          <w:p w14:paraId="12F4D07A" w14:textId="77777777" w:rsidR="00980876" w:rsidRDefault="00980876">
            <w:pPr>
              <w:pStyle w:val="Normal0"/>
              <w:spacing w:line="256" w:lineRule="auto"/>
              <w:rPr>
                <w:rFonts w:ascii="Sylfaen" w:hAnsi="Sylfaen"/>
                <w:b/>
                <w:sz w:val="20"/>
                <w:lang w:val="ka-GE" w:eastAsia="da-DK"/>
              </w:rPr>
            </w:pPr>
          </w:p>
        </w:tc>
        <w:tc>
          <w:tcPr>
            <w:tcW w:w="1807" w:type="pct"/>
            <w:tcBorders>
              <w:top w:val="single" w:sz="4" w:space="0" w:color="auto"/>
              <w:left w:val="single" w:sz="4" w:space="0" w:color="auto"/>
              <w:bottom w:val="single" w:sz="4" w:space="0" w:color="auto"/>
              <w:right w:val="single" w:sz="4" w:space="0" w:color="auto"/>
            </w:tcBorders>
            <w:shd w:val="pct5" w:color="auto" w:fill="auto"/>
            <w:hideMark/>
          </w:tcPr>
          <w:p w14:paraId="54EE9EC1" w14:textId="77777777" w:rsidR="00980876" w:rsidRDefault="00980876">
            <w:pPr>
              <w:autoSpaceDE w:val="0"/>
              <w:autoSpaceDN w:val="0"/>
              <w:adjustRightInd w:val="0"/>
              <w:spacing w:line="256" w:lineRule="auto"/>
              <w:rPr>
                <w:rFonts w:ascii="Sylfaen" w:eastAsiaTheme="minorHAnsi" w:hAnsi="Sylfaen" w:cs="Sylfaen"/>
                <w:sz w:val="20"/>
                <w:szCs w:val="20"/>
                <w:lang w:val="ka-GE" w:eastAsia="en-US"/>
              </w:rPr>
            </w:pPr>
            <w:r>
              <w:rPr>
                <w:rFonts w:eastAsiaTheme="minorHAnsi" w:cs="Sylfaen"/>
                <w:sz w:val="20"/>
                <w:szCs w:val="20"/>
                <w:lang w:val="ka-GE" w:eastAsia="en-US"/>
              </w:rPr>
              <w:t xml:space="preserve">EHS </w:t>
            </w:r>
            <w:r>
              <w:rPr>
                <w:rFonts w:ascii="Sylfaen" w:eastAsiaTheme="minorHAnsi" w:hAnsi="Sylfaen" w:cs="Sylfaen"/>
                <w:sz w:val="20"/>
                <w:szCs w:val="20"/>
                <w:lang w:val="ka-GE" w:eastAsia="en-US"/>
              </w:rPr>
              <w:t>სახელმძღვანელო</w:t>
            </w:r>
          </w:p>
          <w:p w14:paraId="614D220F" w14:textId="77777777" w:rsidR="00980876" w:rsidRDefault="00980876">
            <w:pPr>
              <w:pStyle w:val="Normal0"/>
              <w:spacing w:line="256" w:lineRule="auto"/>
              <w:rPr>
                <w:rFonts w:ascii="Sylfaen" w:eastAsia="Times New Roman" w:hAnsi="Sylfaen"/>
                <w:b/>
                <w:sz w:val="20"/>
                <w:vertAlign w:val="superscript"/>
                <w:lang w:val="ka-GE" w:eastAsia="da-DK"/>
              </w:rPr>
            </w:pPr>
            <w:r>
              <w:rPr>
                <w:rFonts w:ascii="Sylfaen" w:eastAsiaTheme="minorHAnsi" w:hAnsi="Sylfaen" w:cs="Sylfaen"/>
                <w:sz w:val="20"/>
                <w:lang w:val="ka-GE" w:eastAsia="da-DK"/>
              </w:rPr>
              <w:t xml:space="preserve">დოკუმენტები </w:t>
            </w:r>
            <w:r>
              <w:rPr>
                <w:rFonts w:ascii="Sylfaen" w:eastAsiaTheme="minorHAnsi" w:hAnsi="Sylfaen" w:cs="Sylfaen"/>
                <w:sz w:val="12"/>
                <w:szCs w:val="12"/>
                <w:lang w:val="ka-GE" w:eastAsia="da-DK"/>
              </w:rPr>
              <w:t>*</w:t>
            </w:r>
          </w:p>
        </w:tc>
        <w:tc>
          <w:tcPr>
            <w:tcW w:w="1770" w:type="pct"/>
            <w:tcBorders>
              <w:top w:val="single" w:sz="4" w:space="0" w:color="auto"/>
              <w:left w:val="single" w:sz="4" w:space="0" w:color="auto"/>
              <w:bottom w:val="single" w:sz="4" w:space="0" w:color="auto"/>
              <w:right w:val="single" w:sz="4" w:space="0" w:color="auto"/>
            </w:tcBorders>
            <w:shd w:val="pct5" w:color="auto" w:fill="auto"/>
            <w:hideMark/>
          </w:tcPr>
          <w:p w14:paraId="67209262" w14:textId="77777777" w:rsidR="00980876" w:rsidRDefault="00980876">
            <w:pPr>
              <w:pStyle w:val="Normal0"/>
              <w:spacing w:line="256" w:lineRule="auto"/>
              <w:rPr>
                <w:rFonts w:ascii="Sylfaen" w:hAnsi="Sylfaen"/>
                <w:sz w:val="20"/>
                <w:lang w:val="ka-GE" w:eastAsia="da-DK"/>
              </w:rPr>
            </w:pPr>
            <w:r>
              <w:rPr>
                <w:rFonts w:ascii="Sylfaen" w:hAnsi="Sylfaen"/>
                <w:sz w:val="20"/>
                <w:lang w:val="ka-GE" w:eastAsia="da-DK"/>
              </w:rPr>
              <w:t>საქართველოს სტანდარტები</w:t>
            </w:r>
          </w:p>
        </w:tc>
      </w:tr>
      <w:tr w:rsidR="00980876" w:rsidRPr="00980876" w14:paraId="6E065476" w14:textId="77777777">
        <w:tc>
          <w:tcPr>
            <w:tcW w:w="338" w:type="pct"/>
            <w:vMerge w:val="restart"/>
            <w:tcBorders>
              <w:top w:val="single" w:sz="4" w:space="0" w:color="auto"/>
              <w:left w:val="single" w:sz="4" w:space="0" w:color="auto"/>
              <w:bottom w:val="single" w:sz="4" w:space="0" w:color="auto"/>
              <w:right w:val="single" w:sz="4" w:space="0" w:color="auto"/>
            </w:tcBorders>
            <w:hideMark/>
          </w:tcPr>
          <w:p w14:paraId="7DC85C99" w14:textId="77777777" w:rsidR="00980876" w:rsidRDefault="00980876">
            <w:pPr>
              <w:pStyle w:val="Normal0"/>
              <w:spacing w:line="256" w:lineRule="auto"/>
              <w:rPr>
                <w:rFonts w:ascii="Sylfaen" w:hAnsi="Sylfaen"/>
                <w:b/>
                <w:sz w:val="20"/>
                <w:lang w:val="ka-GE" w:eastAsia="da-DK"/>
              </w:rPr>
            </w:pPr>
            <w:r>
              <w:rPr>
                <w:rFonts w:ascii="Sylfaen" w:hAnsi="Sylfaen"/>
                <w:b/>
                <w:sz w:val="20"/>
                <w:lang w:val="ka-GE" w:eastAsia="da-DK"/>
              </w:rPr>
              <w:t>CO</w:t>
            </w:r>
          </w:p>
        </w:tc>
        <w:tc>
          <w:tcPr>
            <w:tcW w:w="1085" w:type="pct"/>
            <w:tcBorders>
              <w:top w:val="single" w:sz="4" w:space="0" w:color="auto"/>
              <w:left w:val="single" w:sz="4" w:space="0" w:color="auto"/>
              <w:bottom w:val="single" w:sz="4" w:space="0" w:color="auto"/>
              <w:right w:val="single" w:sz="4" w:space="0" w:color="auto"/>
            </w:tcBorders>
            <w:hideMark/>
          </w:tcPr>
          <w:p w14:paraId="0A955032" w14:textId="77777777" w:rsidR="00980876" w:rsidRDefault="00980876">
            <w:pPr>
              <w:pStyle w:val="Normal0"/>
              <w:spacing w:line="256" w:lineRule="auto"/>
              <w:rPr>
                <w:rFonts w:ascii="Sylfaen" w:hAnsi="Sylfaen"/>
                <w:i/>
                <w:sz w:val="20"/>
                <w:lang w:val="ka-GE" w:eastAsia="da-DK"/>
              </w:rPr>
            </w:pPr>
            <w:r>
              <w:rPr>
                <w:rFonts w:ascii="Sylfaen" w:hAnsi="Sylfaen"/>
                <w:i/>
                <w:sz w:val="20"/>
                <w:lang w:val="ka-GE" w:eastAsia="da-DK"/>
              </w:rPr>
              <w:t xml:space="preserve">1 საათი </w:t>
            </w:r>
          </w:p>
        </w:tc>
        <w:tc>
          <w:tcPr>
            <w:tcW w:w="1807" w:type="pct"/>
            <w:tcBorders>
              <w:top w:val="single" w:sz="4" w:space="0" w:color="auto"/>
              <w:left w:val="single" w:sz="4" w:space="0" w:color="auto"/>
              <w:bottom w:val="single" w:sz="4" w:space="0" w:color="auto"/>
              <w:right w:val="single" w:sz="4" w:space="0" w:color="auto"/>
            </w:tcBorders>
            <w:hideMark/>
          </w:tcPr>
          <w:p w14:paraId="1D325653" w14:textId="77777777" w:rsidR="00980876" w:rsidRDefault="00980876">
            <w:pPr>
              <w:pStyle w:val="Normal0"/>
              <w:spacing w:line="256" w:lineRule="auto"/>
              <w:rPr>
                <w:rFonts w:ascii="Sylfaen" w:hAnsi="Sylfaen"/>
                <w:sz w:val="20"/>
                <w:lang w:val="ka-GE" w:eastAsia="da-DK"/>
              </w:rPr>
            </w:pPr>
            <w:r>
              <w:rPr>
                <w:rFonts w:ascii="Sylfaen" w:hAnsi="Sylfaen"/>
                <w:sz w:val="20"/>
                <w:lang w:val="ka-GE" w:eastAsia="da-DK"/>
              </w:rPr>
              <w:t>30 მგ/მ</w:t>
            </w:r>
            <w:r>
              <w:rPr>
                <w:rFonts w:ascii="Sylfaen" w:hAnsi="Sylfaen"/>
                <w:sz w:val="20"/>
                <w:vertAlign w:val="superscript"/>
                <w:lang w:val="ka-GE" w:eastAsia="da-DK"/>
              </w:rPr>
              <w:t>3</w:t>
            </w:r>
            <w:r>
              <w:rPr>
                <w:rFonts w:ascii="Sylfaen" w:hAnsi="Sylfaen"/>
                <w:sz w:val="20"/>
                <w:lang w:val="ka-GE" w:eastAsia="da-DK"/>
              </w:rPr>
              <w:t xml:space="preserve"> (25 ppm)</w:t>
            </w:r>
          </w:p>
        </w:tc>
        <w:tc>
          <w:tcPr>
            <w:tcW w:w="1770" w:type="pct"/>
            <w:tcBorders>
              <w:top w:val="single" w:sz="4" w:space="0" w:color="auto"/>
              <w:left w:val="single" w:sz="4" w:space="0" w:color="auto"/>
              <w:bottom w:val="single" w:sz="4" w:space="0" w:color="auto"/>
              <w:right w:val="single" w:sz="4" w:space="0" w:color="auto"/>
            </w:tcBorders>
            <w:hideMark/>
          </w:tcPr>
          <w:p w14:paraId="2F265E8F" w14:textId="77777777" w:rsidR="00980876" w:rsidRDefault="00980876">
            <w:pPr>
              <w:pStyle w:val="Normal0"/>
              <w:spacing w:line="256" w:lineRule="auto"/>
              <w:rPr>
                <w:rFonts w:ascii="Sylfaen" w:hAnsi="Sylfaen"/>
                <w:sz w:val="20"/>
                <w:lang w:val="ka-GE" w:eastAsia="da-DK"/>
              </w:rPr>
            </w:pPr>
            <w:r>
              <w:rPr>
                <w:rFonts w:ascii="Sylfaen" w:hAnsi="Sylfaen"/>
                <w:sz w:val="20"/>
                <w:lang w:val="ka-GE" w:eastAsia="da-DK"/>
              </w:rPr>
              <w:t>-</w:t>
            </w:r>
          </w:p>
        </w:tc>
      </w:tr>
      <w:tr w:rsidR="00980876" w14:paraId="44379AA3"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3E31BC5" w14:textId="77777777" w:rsidR="00980876" w:rsidRDefault="00980876">
            <w:pPr>
              <w:spacing w:line="256" w:lineRule="auto"/>
              <w:jc w:val="left"/>
              <w:rPr>
                <w:rFonts w:ascii="Sylfaen" w:eastAsia="Arial" w:hAnsi="Sylfaen"/>
                <w:b/>
                <w:sz w:val="20"/>
                <w:szCs w:val="20"/>
                <w:lang w:val="ka-GE" w:eastAsia="da-DK"/>
              </w:rPr>
            </w:pPr>
          </w:p>
        </w:tc>
        <w:tc>
          <w:tcPr>
            <w:tcW w:w="1085" w:type="pct"/>
            <w:tcBorders>
              <w:top w:val="single" w:sz="4" w:space="0" w:color="auto"/>
              <w:left w:val="single" w:sz="4" w:space="0" w:color="auto"/>
              <w:bottom w:val="single" w:sz="4" w:space="0" w:color="auto"/>
              <w:right w:val="single" w:sz="4" w:space="0" w:color="auto"/>
            </w:tcBorders>
            <w:hideMark/>
          </w:tcPr>
          <w:p w14:paraId="3AAD136F" w14:textId="77777777" w:rsidR="00980876" w:rsidRDefault="00980876">
            <w:pPr>
              <w:pStyle w:val="Normal0"/>
              <w:spacing w:line="256" w:lineRule="auto"/>
              <w:rPr>
                <w:rFonts w:ascii="Sylfaen" w:hAnsi="Sylfaen"/>
                <w:i/>
                <w:sz w:val="20"/>
                <w:lang w:val="ka-GE" w:eastAsia="da-DK"/>
              </w:rPr>
            </w:pPr>
            <w:r>
              <w:rPr>
                <w:rFonts w:ascii="Sylfaen" w:hAnsi="Sylfaen"/>
                <w:i/>
                <w:sz w:val="20"/>
                <w:lang w:val="ka-GE" w:eastAsia="da-DK"/>
              </w:rPr>
              <w:t>8 საათი დღიური მაქსიმუმი</w:t>
            </w:r>
          </w:p>
        </w:tc>
        <w:tc>
          <w:tcPr>
            <w:tcW w:w="1807" w:type="pct"/>
            <w:tcBorders>
              <w:top w:val="single" w:sz="4" w:space="0" w:color="auto"/>
              <w:left w:val="single" w:sz="4" w:space="0" w:color="auto"/>
              <w:bottom w:val="single" w:sz="4" w:space="0" w:color="auto"/>
              <w:right w:val="single" w:sz="4" w:space="0" w:color="auto"/>
            </w:tcBorders>
            <w:hideMark/>
          </w:tcPr>
          <w:p w14:paraId="1CCF4C03" w14:textId="77777777" w:rsidR="00980876" w:rsidRDefault="00980876">
            <w:pPr>
              <w:pStyle w:val="Normal0"/>
              <w:spacing w:line="256" w:lineRule="auto"/>
              <w:rPr>
                <w:rFonts w:ascii="Sylfaen" w:hAnsi="Sylfaen"/>
                <w:sz w:val="20"/>
                <w:lang w:val="ka-GE" w:eastAsia="da-DK"/>
              </w:rPr>
            </w:pPr>
            <w:r>
              <w:rPr>
                <w:rFonts w:ascii="Sylfaen" w:hAnsi="Sylfaen"/>
                <w:sz w:val="20"/>
                <w:lang w:val="ka-GE" w:eastAsia="da-DK"/>
              </w:rPr>
              <w:t>10 მგ/მ</w:t>
            </w:r>
            <w:r>
              <w:rPr>
                <w:rFonts w:ascii="Sylfaen" w:hAnsi="Sylfaen"/>
                <w:sz w:val="20"/>
                <w:vertAlign w:val="superscript"/>
                <w:lang w:val="ka-GE" w:eastAsia="da-DK"/>
              </w:rPr>
              <w:t>3</w:t>
            </w:r>
            <w:r>
              <w:rPr>
                <w:rFonts w:ascii="Sylfaen" w:hAnsi="Sylfaen"/>
                <w:sz w:val="20"/>
                <w:lang w:val="ka-GE" w:eastAsia="da-DK"/>
              </w:rPr>
              <w:t xml:space="preserve"> (10 ppm)</w:t>
            </w:r>
          </w:p>
        </w:tc>
        <w:tc>
          <w:tcPr>
            <w:tcW w:w="1770" w:type="pct"/>
            <w:tcBorders>
              <w:top w:val="single" w:sz="4" w:space="0" w:color="auto"/>
              <w:left w:val="single" w:sz="4" w:space="0" w:color="auto"/>
              <w:bottom w:val="single" w:sz="4" w:space="0" w:color="auto"/>
              <w:right w:val="single" w:sz="4" w:space="0" w:color="auto"/>
            </w:tcBorders>
            <w:hideMark/>
          </w:tcPr>
          <w:p w14:paraId="57A3DBE4" w14:textId="77777777" w:rsidR="00980876" w:rsidRDefault="00980876">
            <w:pPr>
              <w:pStyle w:val="Normal0"/>
              <w:spacing w:line="256" w:lineRule="auto"/>
              <w:rPr>
                <w:rFonts w:ascii="Sylfaen" w:hAnsi="Sylfaen"/>
                <w:sz w:val="20"/>
                <w:lang w:val="ka-GE" w:eastAsia="da-DK"/>
              </w:rPr>
            </w:pPr>
            <w:r>
              <w:rPr>
                <w:rFonts w:ascii="Sylfaen" w:hAnsi="Sylfaen"/>
                <w:sz w:val="20"/>
                <w:lang w:val="ka-GE" w:eastAsia="da-DK"/>
              </w:rPr>
              <w:t>-</w:t>
            </w:r>
          </w:p>
        </w:tc>
      </w:tr>
      <w:tr w:rsidR="00980876" w14:paraId="6BA1981C"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4342CC5" w14:textId="77777777" w:rsidR="00980876" w:rsidRDefault="00980876">
            <w:pPr>
              <w:spacing w:line="256" w:lineRule="auto"/>
              <w:jc w:val="left"/>
              <w:rPr>
                <w:rFonts w:ascii="Sylfaen" w:eastAsia="Arial" w:hAnsi="Sylfaen"/>
                <w:b/>
                <w:sz w:val="20"/>
                <w:szCs w:val="20"/>
                <w:lang w:val="ka-GE" w:eastAsia="da-DK"/>
              </w:rPr>
            </w:pPr>
          </w:p>
        </w:tc>
        <w:tc>
          <w:tcPr>
            <w:tcW w:w="1085" w:type="pct"/>
            <w:tcBorders>
              <w:top w:val="single" w:sz="4" w:space="0" w:color="auto"/>
              <w:left w:val="single" w:sz="4" w:space="0" w:color="auto"/>
              <w:bottom w:val="single" w:sz="4" w:space="0" w:color="auto"/>
              <w:right w:val="single" w:sz="4" w:space="0" w:color="auto"/>
            </w:tcBorders>
            <w:hideMark/>
          </w:tcPr>
          <w:p w14:paraId="00A634F9" w14:textId="77777777" w:rsidR="00980876" w:rsidRDefault="00980876">
            <w:pPr>
              <w:pStyle w:val="Normal0"/>
              <w:spacing w:line="256" w:lineRule="auto"/>
              <w:rPr>
                <w:rFonts w:ascii="Sylfaen" w:hAnsi="Sylfaen"/>
                <w:i/>
                <w:sz w:val="20"/>
                <w:lang w:val="ka-GE" w:eastAsia="da-DK"/>
              </w:rPr>
            </w:pPr>
            <w:r>
              <w:rPr>
                <w:rFonts w:ascii="Sylfaen" w:hAnsi="Sylfaen"/>
                <w:i/>
                <w:sz w:val="20"/>
                <w:lang w:val="ka-GE" w:eastAsia="da-DK"/>
              </w:rPr>
              <w:t>30 წთ ერთჯერადი მაქსიმუმი</w:t>
            </w:r>
          </w:p>
        </w:tc>
        <w:tc>
          <w:tcPr>
            <w:tcW w:w="1807" w:type="pct"/>
            <w:tcBorders>
              <w:top w:val="single" w:sz="4" w:space="0" w:color="auto"/>
              <w:left w:val="single" w:sz="4" w:space="0" w:color="auto"/>
              <w:bottom w:val="single" w:sz="4" w:space="0" w:color="auto"/>
              <w:right w:val="single" w:sz="4" w:space="0" w:color="auto"/>
            </w:tcBorders>
            <w:hideMark/>
          </w:tcPr>
          <w:p w14:paraId="034AD8CD" w14:textId="77777777" w:rsidR="00980876" w:rsidRDefault="00980876">
            <w:pPr>
              <w:pStyle w:val="Normal0"/>
              <w:spacing w:line="256" w:lineRule="auto"/>
              <w:rPr>
                <w:rFonts w:ascii="Sylfaen" w:hAnsi="Sylfaen"/>
                <w:sz w:val="20"/>
                <w:lang w:val="ka-GE" w:eastAsia="da-DK"/>
              </w:rPr>
            </w:pPr>
            <w:r>
              <w:rPr>
                <w:rFonts w:ascii="Sylfaen" w:hAnsi="Sylfaen"/>
                <w:sz w:val="20"/>
                <w:lang w:val="ka-GE" w:eastAsia="da-DK"/>
              </w:rPr>
              <w:t>-</w:t>
            </w:r>
          </w:p>
        </w:tc>
        <w:tc>
          <w:tcPr>
            <w:tcW w:w="1770" w:type="pct"/>
            <w:tcBorders>
              <w:top w:val="single" w:sz="4" w:space="0" w:color="auto"/>
              <w:left w:val="single" w:sz="4" w:space="0" w:color="auto"/>
              <w:bottom w:val="single" w:sz="4" w:space="0" w:color="auto"/>
              <w:right w:val="single" w:sz="4" w:space="0" w:color="auto"/>
            </w:tcBorders>
            <w:hideMark/>
          </w:tcPr>
          <w:p w14:paraId="696BE79E" w14:textId="77777777" w:rsidR="00980876" w:rsidRDefault="00980876">
            <w:pPr>
              <w:pStyle w:val="Normal0"/>
              <w:spacing w:line="256" w:lineRule="auto"/>
              <w:rPr>
                <w:rFonts w:ascii="Sylfaen" w:hAnsi="Sylfaen"/>
                <w:sz w:val="20"/>
                <w:lang w:val="ka-GE" w:eastAsia="da-DK"/>
              </w:rPr>
            </w:pPr>
            <w:r>
              <w:rPr>
                <w:rFonts w:ascii="Sylfaen" w:hAnsi="Sylfaen"/>
                <w:sz w:val="20"/>
                <w:lang w:val="ka-GE" w:eastAsia="da-DK"/>
              </w:rPr>
              <w:t>5 მგ/მ</w:t>
            </w:r>
            <w:r>
              <w:rPr>
                <w:rFonts w:ascii="Sylfaen" w:hAnsi="Sylfaen"/>
                <w:sz w:val="20"/>
                <w:vertAlign w:val="superscript"/>
                <w:lang w:val="ka-GE" w:eastAsia="da-DK"/>
              </w:rPr>
              <w:t>3</w:t>
            </w:r>
          </w:p>
        </w:tc>
      </w:tr>
      <w:tr w:rsidR="00980876" w14:paraId="3DD5164A"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155577E" w14:textId="77777777" w:rsidR="00980876" w:rsidRDefault="00980876">
            <w:pPr>
              <w:spacing w:line="256" w:lineRule="auto"/>
              <w:jc w:val="left"/>
              <w:rPr>
                <w:rFonts w:ascii="Sylfaen" w:eastAsia="Arial" w:hAnsi="Sylfaen"/>
                <w:b/>
                <w:sz w:val="20"/>
                <w:szCs w:val="20"/>
                <w:lang w:val="ka-GE" w:eastAsia="da-DK"/>
              </w:rPr>
            </w:pPr>
          </w:p>
        </w:tc>
        <w:tc>
          <w:tcPr>
            <w:tcW w:w="1085" w:type="pct"/>
            <w:tcBorders>
              <w:top w:val="single" w:sz="4" w:space="0" w:color="auto"/>
              <w:left w:val="single" w:sz="4" w:space="0" w:color="auto"/>
              <w:bottom w:val="single" w:sz="4" w:space="0" w:color="auto"/>
              <w:right w:val="single" w:sz="4" w:space="0" w:color="auto"/>
            </w:tcBorders>
            <w:hideMark/>
          </w:tcPr>
          <w:p w14:paraId="320A5737" w14:textId="77777777" w:rsidR="00980876" w:rsidRDefault="00980876">
            <w:pPr>
              <w:pStyle w:val="Normal0"/>
              <w:spacing w:line="256" w:lineRule="auto"/>
              <w:rPr>
                <w:rFonts w:ascii="Sylfaen" w:hAnsi="Sylfaen"/>
                <w:i/>
                <w:sz w:val="20"/>
                <w:lang w:val="ka-GE" w:eastAsia="da-DK"/>
              </w:rPr>
            </w:pPr>
            <w:r>
              <w:rPr>
                <w:rFonts w:ascii="Sylfaen" w:hAnsi="Sylfaen"/>
                <w:i/>
                <w:sz w:val="20"/>
                <w:lang w:val="ka-GE" w:eastAsia="da-DK"/>
              </w:rPr>
              <w:t>24 საათი</w:t>
            </w:r>
          </w:p>
        </w:tc>
        <w:tc>
          <w:tcPr>
            <w:tcW w:w="1807" w:type="pct"/>
            <w:tcBorders>
              <w:top w:val="single" w:sz="4" w:space="0" w:color="auto"/>
              <w:left w:val="single" w:sz="4" w:space="0" w:color="auto"/>
              <w:bottom w:val="single" w:sz="4" w:space="0" w:color="auto"/>
              <w:right w:val="single" w:sz="4" w:space="0" w:color="auto"/>
            </w:tcBorders>
            <w:hideMark/>
          </w:tcPr>
          <w:p w14:paraId="51C095AC" w14:textId="77777777" w:rsidR="00980876" w:rsidRDefault="00980876">
            <w:pPr>
              <w:pStyle w:val="Normal0"/>
              <w:spacing w:line="256" w:lineRule="auto"/>
              <w:rPr>
                <w:rFonts w:ascii="Sylfaen" w:hAnsi="Sylfaen"/>
                <w:sz w:val="20"/>
                <w:lang w:val="ka-GE" w:eastAsia="da-DK"/>
              </w:rPr>
            </w:pPr>
            <w:r>
              <w:rPr>
                <w:rFonts w:ascii="Sylfaen" w:hAnsi="Sylfaen"/>
                <w:sz w:val="20"/>
                <w:lang w:val="ka-GE" w:eastAsia="da-DK"/>
              </w:rPr>
              <w:t>-</w:t>
            </w:r>
          </w:p>
        </w:tc>
        <w:tc>
          <w:tcPr>
            <w:tcW w:w="1770" w:type="pct"/>
            <w:tcBorders>
              <w:top w:val="single" w:sz="4" w:space="0" w:color="auto"/>
              <w:left w:val="single" w:sz="4" w:space="0" w:color="auto"/>
              <w:bottom w:val="single" w:sz="4" w:space="0" w:color="auto"/>
              <w:right w:val="single" w:sz="4" w:space="0" w:color="auto"/>
            </w:tcBorders>
            <w:hideMark/>
          </w:tcPr>
          <w:p w14:paraId="643AC644" w14:textId="77777777" w:rsidR="00980876" w:rsidRDefault="00980876">
            <w:pPr>
              <w:pStyle w:val="Normal0"/>
              <w:spacing w:line="256" w:lineRule="auto"/>
              <w:rPr>
                <w:rFonts w:ascii="Sylfaen" w:hAnsi="Sylfaen"/>
                <w:sz w:val="20"/>
                <w:lang w:val="ka-GE" w:eastAsia="da-DK"/>
              </w:rPr>
            </w:pPr>
            <w:r>
              <w:rPr>
                <w:rFonts w:ascii="Sylfaen" w:hAnsi="Sylfaen"/>
                <w:sz w:val="20"/>
                <w:lang w:val="ka-GE" w:eastAsia="da-DK"/>
              </w:rPr>
              <w:t>3 მგ/მ</w:t>
            </w:r>
            <w:r>
              <w:rPr>
                <w:rFonts w:ascii="Sylfaen" w:hAnsi="Sylfaen"/>
                <w:sz w:val="20"/>
                <w:vertAlign w:val="superscript"/>
                <w:lang w:val="ka-GE" w:eastAsia="da-DK"/>
              </w:rPr>
              <w:t>3</w:t>
            </w:r>
          </w:p>
        </w:tc>
      </w:tr>
      <w:tr w:rsidR="00980876" w14:paraId="021BE38D" w14:textId="77777777">
        <w:tc>
          <w:tcPr>
            <w:tcW w:w="338" w:type="pct"/>
            <w:vMerge w:val="restart"/>
            <w:tcBorders>
              <w:top w:val="single" w:sz="4" w:space="0" w:color="auto"/>
              <w:left w:val="single" w:sz="4" w:space="0" w:color="auto"/>
              <w:bottom w:val="single" w:sz="4" w:space="0" w:color="auto"/>
              <w:right w:val="single" w:sz="4" w:space="0" w:color="auto"/>
            </w:tcBorders>
            <w:hideMark/>
          </w:tcPr>
          <w:p w14:paraId="32C4EAD4" w14:textId="77777777" w:rsidR="00980876" w:rsidRDefault="00980876">
            <w:pPr>
              <w:pStyle w:val="Normal0"/>
              <w:spacing w:line="256" w:lineRule="auto"/>
              <w:rPr>
                <w:rFonts w:ascii="Sylfaen" w:hAnsi="Sylfaen"/>
                <w:b/>
                <w:sz w:val="20"/>
                <w:vertAlign w:val="subscript"/>
                <w:lang w:val="ka-GE" w:eastAsia="da-DK"/>
              </w:rPr>
            </w:pPr>
            <w:r>
              <w:rPr>
                <w:rFonts w:ascii="Sylfaen" w:hAnsi="Sylfaen"/>
                <w:b/>
                <w:sz w:val="20"/>
                <w:lang w:val="ka-GE" w:eastAsia="da-DK"/>
              </w:rPr>
              <w:t>NO</w:t>
            </w:r>
            <w:r>
              <w:rPr>
                <w:rFonts w:ascii="Sylfaen" w:hAnsi="Sylfaen"/>
                <w:b/>
                <w:sz w:val="20"/>
                <w:vertAlign w:val="subscript"/>
                <w:lang w:val="ka-GE" w:eastAsia="da-DK"/>
              </w:rPr>
              <w:t>2</w:t>
            </w:r>
          </w:p>
        </w:tc>
        <w:tc>
          <w:tcPr>
            <w:tcW w:w="1085" w:type="pct"/>
            <w:tcBorders>
              <w:top w:val="single" w:sz="4" w:space="0" w:color="auto"/>
              <w:left w:val="single" w:sz="4" w:space="0" w:color="auto"/>
              <w:bottom w:val="single" w:sz="4" w:space="0" w:color="auto"/>
              <w:right w:val="single" w:sz="4" w:space="0" w:color="auto"/>
            </w:tcBorders>
            <w:hideMark/>
          </w:tcPr>
          <w:p w14:paraId="4771879B" w14:textId="77777777" w:rsidR="00980876" w:rsidRDefault="00980876">
            <w:pPr>
              <w:pStyle w:val="Normal0"/>
              <w:spacing w:line="256" w:lineRule="auto"/>
              <w:rPr>
                <w:rFonts w:ascii="Sylfaen" w:hAnsi="Sylfaen"/>
                <w:i/>
                <w:sz w:val="20"/>
                <w:lang w:val="ka-GE" w:eastAsia="da-DK"/>
              </w:rPr>
            </w:pPr>
            <w:r>
              <w:rPr>
                <w:rFonts w:ascii="Sylfaen" w:hAnsi="Sylfaen"/>
                <w:i/>
                <w:sz w:val="20"/>
                <w:lang w:val="ka-GE" w:eastAsia="da-DK"/>
              </w:rPr>
              <w:t>1 საათი</w:t>
            </w:r>
          </w:p>
        </w:tc>
        <w:tc>
          <w:tcPr>
            <w:tcW w:w="1807" w:type="pct"/>
            <w:tcBorders>
              <w:top w:val="single" w:sz="4" w:space="0" w:color="auto"/>
              <w:left w:val="single" w:sz="4" w:space="0" w:color="auto"/>
              <w:bottom w:val="single" w:sz="4" w:space="0" w:color="auto"/>
              <w:right w:val="single" w:sz="4" w:space="0" w:color="auto"/>
            </w:tcBorders>
            <w:hideMark/>
          </w:tcPr>
          <w:p w14:paraId="696C0ED0" w14:textId="77777777" w:rsidR="00980876" w:rsidRDefault="00980876">
            <w:pPr>
              <w:pStyle w:val="Normal0"/>
              <w:spacing w:line="256" w:lineRule="auto"/>
              <w:rPr>
                <w:rFonts w:ascii="Sylfaen" w:hAnsi="Sylfaen"/>
                <w:sz w:val="20"/>
                <w:lang w:val="ka-GE" w:eastAsia="da-DK"/>
              </w:rPr>
            </w:pPr>
            <w:r>
              <w:rPr>
                <w:rFonts w:ascii="Sylfaen" w:hAnsi="Sylfaen"/>
                <w:bCs/>
                <w:sz w:val="20"/>
                <w:lang w:val="ka-GE" w:eastAsia="da-DK"/>
              </w:rPr>
              <w:t>200 მკგ/მ</w:t>
            </w:r>
            <w:r>
              <w:rPr>
                <w:rFonts w:ascii="Sylfaen" w:hAnsi="Sylfaen"/>
                <w:bCs/>
                <w:sz w:val="20"/>
                <w:vertAlign w:val="superscript"/>
                <w:lang w:val="ka-GE" w:eastAsia="da-DK"/>
              </w:rPr>
              <w:t>3</w:t>
            </w:r>
            <w:r>
              <w:rPr>
                <w:rFonts w:ascii="Sylfaen" w:hAnsi="Sylfaen"/>
                <w:bCs/>
                <w:sz w:val="20"/>
                <w:lang w:val="ka-GE" w:eastAsia="da-DK"/>
              </w:rPr>
              <w:t>(0.11 ppm)</w:t>
            </w:r>
          </w:p>
        </w:tc>
        <w:tc>
          <w:tcPr>
            <w:tcW w:w="1770" w:type="pct"/>
            <w:tcBorders>
              <w:top w:val="single" w:sz="4" w:space="0" w:color="auto"/>
              <w:left w:val="single" w:sz="4" w:space="0" w:color="auto"/>
              <w:bottom w:val="single" w:sz="4" w:space="0" w:color="auto"/>
              <w:right w:val="single" w:sz="4" w:space="0" w:color="auto"/>
            </w:tcBorders>
            <w:hideMark/>
          </w:tcPr>
          <w:p w14:paraId="718122AB" w14:textId="77777777" w:rsidR="00980876" w:rsidRDefault="00980876">
            <w:pPr>
              <w:pStyle w:val="Normal0"/>
              <w:spacing w:line="256" w:lineRule="auto"/>
              <w:rPr>
                <w:rFonts w:ascii="Sylfaen" w:hAnsi="Sylfaen"/>
                <w:sz w:val="20"/>
                <w:lang w:val="ka-GE" w:eastAsia="da-DK"/>
              </w:rPr>
            </w:pPr>
            <w:r>
              <w:rPr>
                <w:rFonts w:ascii="Sylfaen" w:hAnsi="Sylfaen"/>
                <w:sz w:val="20"/>
                <w:lang w:val="ka-GE" w:eastAsia="da-DK"/>
              </w:rPr>
              <w:t>-</w:t>
            </w:r>
          </w:p>
        </w:tc>
      </w:tr>
      <w:tr w:rsidR="00980876" w14:paraId="593FCF98"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2F53B38" w14:textId="77777777" w:rsidR="00980876" w:rsidRDefault="00980876">
            <w:pPr>
              <w:spacing w:line="256" w:lineRule="auto"/>
              <w:jc w:val="left"/>
              <w:rPr>
                <w:rFonts w:ascii="Sylfaen" w:eastAsia="Arial" w:hAnsi="Sylfaen"/>
                <w:b/>
                <w:sz w:val="20"/>
                <w:szCs w:val="20"/>
                <w:vertAlign w:val="subscript"/>
                <w:lang w:val="ka-GE" w:eastAsia="da-DK"/>
              </w:rPr>
            </w:pPr>
          </w:p>
        </w:tc>
        <w:tc>
          <w:tcPr>
            <w:tcW w:w="1085" w:type="pct"/>
            <w:tcBorders>
              <w:top w:val="single" w:sz="4" w:space="0" w:color="auto"/>
              <w:left w:val="single" w:sz="4" w:space="0" w:color="auto"/>
              <w:bottom w:val="single" w:sz="4" w:space="0" w:color="auto"/>
              <w:right w:val="single" w:sz="4" w:space="0" w:color="auto"/>
            </w:tcBorders>
            <w:hideMark/>
          </w:tcPr>
          <w:p w14:paraId="14ED8028" w14:textId="77777777" w:rsidR="00980876" w:rsidRDefault="00980876">
            <w:pPr>
              <w:pStyle w:val="Normal0"/>
              <w:spacing w:line="256" w:lineRule="auto"/>
              <w:rPr>
                <w:rFonts w:ascii="Sylfaen" w:hAnsi="Sylfaen"/>
                <w:i/>
                <w:sz w:val="20"/>
                <w:lang w:val="ka-GE" w:eastAsia="da-DK"/>
              </w:rPr>
            </w:pPr>
            <w:r>
              <w:rPr>
                <w:rFonts w:ascii="Sylfaen" w:hAnsi="Sylfaen"/>
                <w:i/>
                <w:sz w:val="20"/>
                <w:lang w:val="ka-GE" w:eastAsia="da-DK"/>
              </w:rPr>
              <w:t>წლიური</w:t>
            </w:r>
          </w:p>
        </w:tc>
        <w:tc>
          <w:tcPr>
            <w:tcW w:w="1807" w:type="pct"/>
            <w:tcBorders>
              <w:top w:val="single" w:sz="4" w:space="0" w:color="auto"/>
              <w:left w:val="single" w:sz="4" w:space="0" w:color="auto"/>
              <w:bottom w:val="single" w:sz="4" w:space="0" w:color="auto"/>
              <w:right w:val="single" w:sz="4" w:space="0" w:color="auto"/>
            </w:tcBorders>
            <w:hideMark/>
          </w:tcPr>
          <w:p w14:paraId="765A3A77" w14:textId="77777777" w:rsidR="00980876" w:rsidRDefault="00980876">
            <w:pPr>
              <w:pStyle w:val="Normal0"/>
              <w:spacing w:line="256" w:lineRule="auto"/>
              <w:rPr>
                <w:rFonts w:ascii="Sylfaen" w:hAnsi="Sylfaen"/>
                <w:sz w:val="20"/>
                <w:lang w:val="ka-GE" w:eastAsia="da-DK"/>
              </w:rPr>
            </w:pPr>
            <w:r>
              <w:rPr>
                <w:rFonts w:ascii="Sylfaen" w:hAnsi="Sylfaen"/>
                <w:bCs/>
                <w:sz w:val="20"/>
                <w:lang w:val="ka-GE" w:eastAsia="da-DK"/>
              </w:rPr>
              <w:t>40 მკგ/მ</w:t>
            </w:r>
            <w:r>
              <w:rPr>
                <w:rFonts w:ascii="Sylfaen" w:hAnsi="Sylfaen"/>
                <w:bCs/>
                <w:sz w:val="20"/>
                <w:vertAlign w:val="superscript"/>
                <w:lang w:val="ka-GE" w:eastAsia="da-DK"/>
              </w:rPr>
              <w:t>3</w:t>
            </w:r>
            <w:r>
              <w:rPr>
                <w:rFonts w:ascii="Sylfaen" w:hAnsi="Sylfaen"/>
                <w:bCs/>
                <w:sz w:val="20"/>
                <w:lang w:val="ka-GE" w:eastAsia="da-DK"/>
              </w:rPr>
              <w:t xml:space="preserve"> (0.026 ppm)</w:t>
            </w:r>
          </w:p>
        </w:tc>
        <w:tc>
          <w:tcPr>
            <w:tcW w:w="1770" w:type="pct"/>
            <w:tcBorders>
              <w:top w:val="single" w:sz="4" w:space="0" w:color="auto"/>
              <w:left w:val="single" w:sz="4" w:space="0" w:color="auto"/>
              <w:bottom w:val="single" w:sz="4" w:space="0" w:color="auto"/>
              <w:right w:val="single" w:sz="4" w:space="0" w:color="auto"/>
            </w:tcBorders>
            <w:hideMark/>
          </w:tcPr>
          <w:p w14:paraId="7E81EBCB" w14:textId="77777777" w:rsidR="00980876" w:rsidRDefault="00980876">
            <w:pPr>
              <w:pStyle w:val="Normal0"/>
              <w:spacing w:line="256" w:lineRule="auto"/>
              <w:rPr>
                <w:rFonts w:ascii="Sylfaen" w:hAnsi="Sylfaen"/>
                <w:sz w:val="20"/>
                <w:lang w:val="ka-GE" w:eastAsia="da-DK"/>
              </w:rPr>
            </w:pPr>
            <w:r>
              <w:rPr>
                <w:rFonts w:ascii="Sylfaen" w:hAnsi="Sylfaen"/>
                <w:sz w:val="20"/>
                <w:lang w:val="ka-GE" w:eastAsia="da-DK"/>
              </w:rPr>
              <w:t>-</w:t>
            </w:r>
          </w:p>
        </w:tc>
      </w:tr>
      <w:tr w:rsidR="00980876" w14:paraId="0C0F8001" w14:textId="77777777">
        <w:trPr>
          <w:trHeight w:val="3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BD603" w14:textId="77777777" w:rsidR="00980876" w:rsidRDefault="00980876">
            <w:pPr>
              <w:spacing w:line="256" w:lineRule="auto"/>
              <w:jc w:val="left"/>
              <w:rPr>
                <w:rFonts w:ascii="Sylfaen" w:eastAsia="Arial" w:hAnsi="Sylfaen"/>
                <w:b/>
                <w:sz w:val="20"/>
                <w:szCs w:val="20"/>
                <w:vertAlign w:val="subscript"/>
                <w:lang w:val="ka-GE" w:eastAsia="da-DK"/>
              </w:rPr>
            </w:pPr>
          </w:p>
        </w:tc>
        <w:tc>
          <w:tcPr>
            <w:tcW w:w="1085" w:type="pct"/>
            <w:tcBorders>
              <w:top w:val="single" w:sz="4" w:space="0" w:color="auto"/>
              <w:left w:val="single" w:sz="4" w:space="0" w:color="auto"/>
              <w:bottom w:val="single" w:sz="4" w:space="0" w:color="auto"/>
              <w:right w:val="single" w:sz="4" w:space="0" w:color="auto"/>
            </w:tcBorders>
            <w:hideMark/>
          </w:tcPr>
          <w:p w14:paraId="611DD1C2" w14:textId="77777777" w:rsidR="00980876" w:rsidRDefault="00980876">
            <w:pPr>
              <w:pStyle w:val="Normal0"/>
              <w:spacing w:line="256" w:lineRule="auto"/>
              <w:rPr>
                <w:rFonts w:ascii="Sylfaen" w:hAnsi="Sylfaen"/>
                <w:i/>
                <w:sz w:val="20"/>
                <w:lang w:val="ka-GE" w:eastAsia="da-DK"/>
              </w:rPr>
            </w:pPr>
            <w:r>
              <w:rPr>
                <w:rFonts w:ascii="Sylfaen" w:hAnsi="Sylfaen"/>
                <w:i/>
                <w:sz w:val="20"/>
                <w:lang w:val="ka-GE" w:eastAsia="da-DK"/>
              </w:rPr>
              <w:t>30 წთ ერთჯერადი მაქსიმუმი</w:t>
            </w:r>
          </w:p>
        </w:tc>
        <w:tc>
          <w:tcPr>
            <w:tcW w:w="1807" w:type="pct"/>
            <w:tcBorders>
              <w:top w:val="single" w:sz="4" w:space="0" w:color="auto"/>
              <w:left w:val="single" w:sz="4" w:space="0" w:color="auto"/>
              <w:bottom w:val="single" w:sz="4" w:space="0" w:color="auto"/>
              <w:right w:val="single" w:sz="4" w:space="0" w:color="auto"/>
            </w:tcBorders>
            <w:hideMark/>
          </w:tcPr>
          <w:p w14:paraId="5004E0CF" w14:textId="77777777" w:rsidR="00980876" w:rsidRDefault="00980876">
            <w:pPr>
              <w:pStyle w:val="Normal0"/>
              <w:spacing w:line="256" w:lineRule="auto"/>
              <w:rPr>
                <w:rFonts w:ascii="Sylfaen" w:hAnsi="Sylfaen"/>
                <w:bCs/>
                <w:sz w:val="20"/>
                <w:lang w:val="ka-GE" w:eastAsia="da-DK"/>
              </w:rPr>
            </w:pPr>
            <w:r>
              <w:rPr>
                <w:rFonts w:ascii="Sylfaen" w:hAnsi="Sylfaen"/>
                <w:bCs/>
                <w:sz w:val="20"/>
                <w:lang w:val="ka-GE" w:eastAsia="da-DK"/>
              </w:rPr>
              <w:t>-</w:t>
            </w:r>
          </w:p>
        </w:tc>
        <w:tc>
          <w:tcPr>
            <w:tcW w:w="1770" w:type="pct"/>
            <w:tcBorders>
              <w:top w:val="single" w:sz="4" w:space="0" w:color="auto"/>
              <w:left w:val="single" w:sz="4" w:space="0" w:color="auto"/>
              <w:bottom w:val="single" w:sz="4" w:space="0" w:color="auto"/>
              <w:right w:val="single" w:sz="4" w:space="0" w:color="auto"/>
            </w:tcBorders>
            <w:hideMark/>
          </w:tcPr>
          <w:p w14:paraId="66314ACD" w14:textId="77777777" w:rsidR="00980876" w:rsidRDefault="00980876">
            <w:pPr>
              <w:pStyle w:val="Normal0"/>
              <w:spacing w:line="256" w:lineRule="auto"/>
              <w:rPr>
                <w:rFonts w:ascii="Sylfaen" w:hAnsi="Sylfaen"/>
                <w:sz w:val="20"/>
                <w:lang w:val="ka-GE" w:eastAsia="da-DK"/>
              </w:rPr>
            </w:pPr>
            <w:r>
              <w:rPr>
                <w:rFonts w:ascii="Sylfaen" w:hAnsi="Sylfaen"/>
                <w:sz w:val="20"/>
                <w:lang w:val="ka-GE" w:eastAsia="da-DK"/>
              </w:rPr>
              <w:t xml:space="preserve">200 </w:t>
            </w:r>
            <w:r>
              <w:rPr>
                <w:rFonts w:ascii="Sylfaen" w:hAnsi="Sylfaen"/>
                <w:bCs/>
                <w:sz w:val="20"/>
                <w:lang w:val="ka-GE" w:eastAsia="da-DK"/>
              </w:rPr>
              <w:t>მკგ/მ</w:t>
            </w:r>
            <w:r>
              <w:rPr>
                <w:rFonts w:ascii="Sylfaen" w:hAnsi="Sylfaen"/>
                <w:bCs/>
                <w:sz w:val="20"/>
                <w:vertAlign w:val="superscript"/>
                <w:lang w:val="ka-GE" w:eastAsia="da-DK"/>
              </w:rPr>
              <w:t>3</w:t>
            </w:r>
          </w:p>
        </w:tc>
      </w:tr>
      <w:tr w:rsidR="00980876" w14:paraId="5DC62878"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9AE5E8F" w14:textId="77777777" w:rsidR="00980876" w:rsidRDefault="00980876">
            <w:pPr>
              <w:spacing w:line="256" w:lineRule="auto"/>
              <w:jc w:val="left"/>
              <w:rPr>
                <w:rFonts w:ascii="Sylfaen" w:eastAsia="Arial" w:hAnsi="Sylfaen"/>
                <w:b/>
                <w:sz w:val="20"/>
                <w:szCs w:val="20"/>
                <w:vertAlign w:val="subscript"/>
                <w:lang w:val="ka-GE" w:eastAsia="da-DK"/>
              </w:rPr>
            </w:pPr>
          </w:p>
        </w:tc>
        <w:tc>
          <w:tcPr>
            <w:tcW w:w="1085" w:type="pct"/>
            <w:tcBorders>
              <w:top w:val="single" w:sz="4" w:space="0" w:color="auto"/>
              <w:left w:val="single" w:sz="4" w:space="0" w:color="auto"/>
              <w:bottom w:val="single" w:sz="4" w:space="0" w:color="auto"/>
              <w:right w:val="single" w:sz="4" w:space="0" w:color="auto"/>
            </w:tcBorders>
            <w:hideMark/>
          </w:tcPr>
          <w:p w14:paraId="416E76A1" w14:textId="77777777" w:rsidR="00980876" w:rsidRDefault="00980876">
            <w:pPr>
              <w:spacing w:line="256" w:lineRule="auto"/>
              <w:rPr>
                <w:rFonts w:ascii="Sylfaen" w:hAnsi="Sylfaen"/>
                <w:lang w:val="ka-GE" w:eastAsia="en-US"/>
              </w:rPr>
            </w:pPr>
            <w:r>
              <w:rPr>
                <w:i/>
                <w:sz w:val="20"/>
                <w:lang w:val="ka-GE" w:eastAsia="en-US"/>
              </w:rPr>
              <w:t xml:space="preserve">24 </w:t>
            </w:r>
            <w:r>
              <w:rPr>
                <w:rFonts w:ascii="Sylfaen" w:hAnsi="Sylfaen" w:cs="Sylfaen"/>
                <w:i/>
                <w:sz w:val="20"/>
                <w:lang w:val="ka-GE" w:eastAsia="en-US"/>
              </w:rPr>
              <w:t>საათი</w:t>
            </w:r>
          </w:p>
        </w:tc>
        <w:tc>
          <w:tcPr>
            <w:tcW w:w="1807" w:type="pct"/>
            <w:tcBorders>
              <w:top w:val="single" w:sz="4" w:space="0" w:color="auto"/>
              <w:left w:val="single" w:sz="4" w:space="0" w:color="auto"/>
              <w:bottom w:val="single" w:sz="4" w:space="0" w:color="auto"/>
              <w:right w:val="single" w:sz="4" w:space="0" w:color="auto"/>
            </w:tcBorders>
            <w:hideMark/>
          </w:tcPr>
          <w:p w14:paraId="45C9E0CB" w14:textId="77777777" w:rsidR="00980876" w:rsidRDefault="00980876">
            <w:pPr>
              <w:pStyle w:val="Normal0"/>
              <w:spacing w:line="256" w:lineRule="auto"/>
              <w:rPr>
                <w:rFonts w:ascii="Sylfaen" w:hAnsi="Sylfaen"/>
                <w:bCs/>
                <w:sz w:val="20"/>
                <w:lang w:val="ka-GE" w:eastAsia="da-DK"/>
              </w:rPr>
            </w:pPr>
            <w:r>
              <w:rPr>
                <w:rFonts w:ascii="Sylfaen" w:hAnsi="Sylfaen"/>
                <w:bCs/>
                <w:sz w:val="20"/>
                <w:lang w:val="ka-GE" w:eastAsia="da-DK"/>
              </w:rPr>
              <w:t>-</w:t>
            </w:r>
          </w:p>
        </w:tc>
        <w:tc>
          <w:tcPr>
            <w:tcW w:w="1770" w:type="pct"/>
            <w:tcBorders>
              <w:top w:val="single" w:sz="4" w:space="0" w:color="auto"/>
              <w:left w:val="single" w:sz="4" w:space="0" w:color="auto"/>
              <w:bottom w:val="single" w:sz="4" w:space="0" w:color="auto"/>
              <w:right w:val="single" w:sz="4" w:space="0" w:color="auto"/>
            </w:tcBorders>
            <w:hideMark/>
          </w:tcPr>
          <w:p w14:paraId="6CC1B192" w14:textId="77777777" w:rsidR="00980876" w:rsidRDefault="00980876">
            <w:pPr>
              <w:pStyle w:val="Normal0"/>
              <w:spacing w:line="256" w:lineRule="auto"/>
              <w:rPr>
                <w:rFonts w:ascii="Sylfaen" w:hAnsi="Sylfaen"/>
                <w:sz w:val="20"/>
                <w:lang w:val="ka-GE" w:eastAsia="da-DK"/>
              </w:rPr>
            </w:pPr>
            <w:r>
              <w:rPr>
                <w:rFonts w:ascii="Sylfaen" w:hAnsi="Sylfaen"/>
                <w:sz w:val="20"/>
                <w:lang w:val="ka-GE" w:eastAsia="da-DK"/>
              </w:rPr>
              <w:t xml:space="preserve">40 </w:t>
            </w:r>
            <w:r>
              <w:rPr>
                <w:rFonts w:ascii="Sylfaen" w:hAnsi="Sylfaen"/>
                <w:bCs/>
                <w:sz w:val="20"/>
                <w:lang w:val="ka-GE" w:eastAsia="da-DK"/>
              </w:rPr>
              <w:t>მკგ/მ</w:t>
            </w:r>
            <w:r>
              <w:rPr>
                <w:rFonts w:ascii="Sylfaen" w:hAnsi="Sylfaen"/>
                <w:bCs/>
                <w:sz w:val="20"/>
                <w:vertAlign w:val="superscript"/>
                <w:lang w:val="ka-GE" w:eastAsia="da-DK"/>
              </w:rPr>
              <w:t>3</w:t>
            </w:r>
          </w:p>
        </w:tc>
      </w:tr>
      <w:tr w:rsidR="00980876" w14:paraId="2A6DDB59" w14:textId="77777777">
        <w:tc>
          <w:tcPr>
            <w:tcW w:w="338" w:type="pct"/>
            <w:vMerge w:val="restart"/>
            <w:tcBorders>
              <w:top w:val="single" w:sz="4" w:space="0" w:color="auto"/>
              <w:left w:val="single" w:sz="4" w:space="0" w:color="auto"/>
              <w:bottom w:val="single" w:sz="4" w:space="0" w:color="auto"/>
              <w:right w:val="single" w:sz="4" w:space="0" w:color="auto"/>
            </w:tcBorders>
            <w:hideMark/>
          </w:tcPr>
          <w:p w14:paraId="160B7C4E" w14:textId="77777777" w:rsidR="00980876" w:rsidRDefault="00980876">
            <w:pPr>
              <w:pStyle w:val="Normal0"/>
              <w:spacing w:line="256" w:lineRule="auto"/>
              <w:rPr>
                <w:rFonts w:ascii="Sylfaen" w:hAnsi="Sylfaen"/>
                <w:b/>
                <w:sz w:val="20"/>
                <w:vertAlign w:val="subscript"/>
                <w:lang w:val="ka-GE" w:eastAsia="da-DK"/>
              </w:rPr>
            </w:pPr>
            <w:r>
              <w:rPr>
                <w:rFonts w:ascii="Sylfaen" w:hAnsi="Sylfaen"/>
                <w:b/>
                <w:sz w:val="20"/>
                <w:lang w:val="ka-GE" w:eastAsia="da-DK"/>
              </w:rPr>
              <w:t>PM</w:t>
            </w:r>
            <w:r>
              <w:rPr>
                <w:rFonts w:ascii="Sylfaen" w:hAnsi="Sylfaen"/>
                <w:b/>
                <w:sz w:val="20"/>
                <w:vertAlign w:val="subscript"/>
                <w:lang w:val="ka-GE" w:eastAsia="da-DK"/>
              </w:rPr>
              <w:t>10</w:t>
            </w:r>
          </w:p>
        </w:tc>
        <w:tc>
          <w:tcPr>
            <w:tcW w:w="1085" w:type="pct"/>
            <w:tcBorders>
              <w:top w:val="single" w:sz="4" w:space="0" w:color="auto"/>
              <w:left w:val="single" w:sz="4" w:space="0" w:color="auto"/>
              <w:bottom w:val="single" w:sz="4" w:space="0" w:color="auto"/>
              <w:right w:val="single" w:sz="4" w:space="0" w:color="auto"/>
            </w:tcBorders>
            <w:hideMark/>
          </w:tcPr>
          <w:p w14:paraId="51AC87B7" w14:textId="77777777" w:rsidR="00980876" w:rsidRDefault="00980876">
            <w:pPr>
              <w:spacing w:line="256" w:lineRule="auto"/>
              <w:rPr>
                <w:rFonts w:ascii="Sylfaen" w:hAnsi="Sylfaen"/>
                <w:lang w:val="ka-GE" w:eastAsia="en-US"/>
              </w:rPr>
            </w:pPr>
            <w:r>
              <w:rPr>
                <w:i/>
                <w:sz w:val="20"/>
                <w:lang w:val="ka-GE" w:eastAsia="en-US"/>
              </w:rPr>
              <w:t xml:space="preserve">24 </w:t>
            </w:r>
            <w:r>
              <w:rPr>
                <w:rFonts w:ascii="Sylfaen" w:hAnsi="Sylfaen" w:cs="Sylfaen"/>
                <w:i/>
                <w:sz w:val="20"/>
                <w:lang w:val="ka-GE" w:eastAsia="en-US"/>
              </w:rPr>
              <w:t>საათი</w:t>
            </w:r>
          </w:p>
        </w:tc>
        <w:tc>
          <w:tcPr>
            <w:tcW w:w="1807" w:type="pct"/>
            <w:tcBorders>
              <w:top w:val="single" w:sz="4" w:space="0" w:color="auto"/>
              <w:left w:val="single" w:sz="4" w:space="0" w:color="auto"/>
              <w:bottom w:val="single" w:sz="4" w:space="0" w:color="auto"/>
              <w:right w:val="single" w:sz="4" w:space="0" w:color="auto"/>
            </w:tcBorders>
            <w:hideMark/>
          </w:tcPr>
          <w:p w14:paraId="62DF46FA" w14:textId="77777777" w:rsidR="00980876" w:rsidRDefault="00980876">
            <w:pPr>
              <w:pStyle w:val="Normal0"/>
              <w:spacing w:line="256" w:lineRule="auto"/>
              <w:rPr>
                <w:rFonts w:ascii="Sylfaen" w:hAnsi="Sylfaen"/>
                <w:sz w:val="20"/>
                <w:lang w:val="ka-GE" w:eastAsia="da-DK"/>
              </w:rPr>
            </w:pPr>
            <w:r>
              <w:rPr>
                <w:rFonts w:ascii="Sylfaen" w:hAnsi="Sylfaen"/>
                <w:bCs/>
                <w:sz w:val="20"/>
                <w:lang w:val="ka-GE" w:eastAsia="da-DK"/>
              </w:rPr>
              <w:t>50 მკგ/მ</w:t>
            </w:r>
            <w:r>
              <w:rPr>
                <w:rFonts w:ascii="Sylfaen" w:hAnsi="Sylfaen"/>
                <w:bCs/>
                <w:sz w:val="20"/>
                <w:vertAlign w:val="superscript"/>
                <w:lang w:val="ka-GE" w:eastAsia="da-DK"/>
              </w:rPr>
              <w:t>3</w:t>
            </w:r>
          </w:p>
        </w:tc>
        <w:tc>
          <w:tcPr>
            <w:tcW w:w="1770" w:type="pct"/>
            <w:tcBorders>
              <w:top w:val="single" w:sz="4" w:space="0" w:color="auto"/>
              <w:left w:val="single" w:sz="4" w:space="0" w:color="auto"/>
              <w:bottom w:val="single" w:sz="4" w:space="0" w:color="auto"/>
              <w:right w:val="single" w:sz="4" w:space="0" w:color="auto"/>
            </w:tcBorders>
            <w:hideMark/>
          </w:tcPr>
          <w:p w14:paraId="2AB2DA4F" w14:textId="77777777" w:rsidR="00980876" w:rsidRDefault="00980876">
            <w:pPr>
              <w:pStyle w:val="Normal0"/>
              <w:spacing w:line="256" w:lineRule="auto"/>
              <w:rPr>
                <w:rFonts w:ascii="Sylfaen" w:hAnsi="Sylfaen"/>
                <w:sz w:val="20"/>
                <w:lang w:val="ka-GE" w:eastAsia="da-DK"/>
              </w:rPr>
            </w:pPr>
            <w:r>
              <w:rPr>
                <w:rFonts w:ascii="Sylfaen" w:hAnsi="Sylfaen"/>
                <w:sz w:val="20"/>
                <w:lang w:val="ka-GE" w:eastAsia="da-DK"/>
              </w:rPr>
              <w:t xml:space="preserve">300 </w:t>
            </w:r>
            <w:r>
              <w:rPr>
                <w:rFonts w:ascii="Sylfaen" w:hAnsi="Sylfaen"/>
                <w:bCs/>
                <w:sz w:val="20"/>
                <w:lang w:val="ka-GE" w:eastAsia="da-DK"/>
              </w:rPr>
              <w:t>მკგ/მ</w:t>
            </w:r>
            <w:r>
              <w:rPr>
                <w:rFonts w:ascii="Sylfaen" w:hAnsi="Sylfaen"/>
                <w:bCs/>
                <w:sz w:val="20"/>
                <w:vertAlign w:val="superscript"/>
                <w:lang w:val="ka-GE" w:eastAsia="da-DK"/>
              </w:rPr>
              <w:t>3</w:t>
            </w:r>
          </w:p>
        </w:tc>
      </w:tr>
      <w:tr w:rsidR="00980876" w14:paraId="34E6EFD2"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384A638" w14:textId="77777777" w:rsidR="00980876" w:rsidRDefault="00980876">
            <w:pPr>
              <w:spacing w:line="256" w:lineRule="auto"/>
              <w:jc w:val="left"/>
              <w:rPr>
                <w:rFonts w:ascii="Sylfaen" w:eastAsia="Arial" w:hAnsi="Sylfaen"/>
                <w:b/>
                <w:sz w:val="20"/>
                <w:szCs w:val="20"/>
                <w:vertAlign w:val="subscript"/>
                <w:lang w:val="ka-GE" w:eastAsia="da-DK"/>
              </w:rPr>
            </w:pPr>
          </w:p>
        </w:tc>
        <w:tc>
          <w:tcPr>
            <w:tcW w:w="1085" w:type="pct"/>
            <w:tcBorders>
              <w:top w:val="single" w:sz="4" w:space="0" w:color="auto"/>
              <w:left w:val="single" w:sz="4" w:space="0" w:color="auto"/>
              <w:bottom w:val="single" w:sz="4" w:space="0" w:color="auto"/>
              <w:right w:val="single" w:sz="4" w:space="0" w:color="auto"/>
            </w:tcBorders>
            <w:hideMark/>
          </w:tcPr>
          <w:p w14:paraId="22E997B9" w14:textId="77777777" w:rsidR="00980876" w:rsidRDefault="00980876">
            <w:pPr>
              <w:pStyle w:val="Normal0"/>
              <w:spacing w:line="256" w:lineRule="auto"/>
              <w:rPr>
                <w:rFonts w:ascii="Sylfaen" w:hAnsi="Sylfaen"/>
                <w:i/>
                <w:sz w:val="20"/>
                <w:lang w:val="ka-GE" w:eastAsia="da-DK"/>
              </w:rPr>
            </w:pPr>
            <w:r>
              <w:rPr>
                <w:rFonts w:ascii="Sylfaen" w:hAnsi="Sylfaen"/>
                <w:i/>
                <w:sz w:val="20"/>
                <w:lang w:val="ka-GE" w:eastAsia="da-DK"/>
              </w:rPr>
              <w:t>წლიური</w:t>
            </w:r>
          </w:p>
        </w:tc>
        <w:tc>
          <w:tcPr>
            <w:tcW w:w="1807" w:type="pct"/>
            <w:tcBorders>
              <w:top w:val="single" w:sz="4" w:space="0" w:color="auto"/>
              <w:left w:val="single" w:sz="4" w:space="0" w:color="auto"/>
              <w:bottom w:val="single" w:sz="4" w:space="0" w:color="auto"/>
              <w:right w:val="single" w:sz="4" w:space="0" w:color="auto"/>
            </w:tcBorders>
            <w:hideMark/>
          </w:tcPr>
          <w:p w14:paraId="766E64D4" w14:textId="77777777" w:rsidR="00980876" w:rsidRDefault="00980876">
            <w:pPr>
              <w:pStyle w:val="Normal0"/>
              <w:spacing w:line="256" w:lineRule="auto"/>
              <w:rPr>
                <w:rFonts w:ascii="Sylfaen" w:hAnsi="Sylfaen"/>
                <w:sz w:val="20"/>
                <w:lang w:val="ka-GE" w:eastAsia="da-DK"/>
              </w:rPr>
            </w:pPr>
            <w:r>
              <w:rPr>
                <w:rFonts w:ascii="Sylfaen" w:hAnsi="Sylfaen"/>
                <w:bCs/>
                <w:sz w:val="20"/>
                <w:lang w:val="ka-GE" w:eastAsia="da-DK"/>
              </w:rPr>
              <w:t>20 მკგ/მ</w:t>
            </w:r>
            <w:r>
              <w:rPr>
                <w:rFonts w:ascii="Sylfaen" w:hAnsi="Sylfaen"/>
                <w:bCs/>
                <w:sz w:val="20"/>
                <w:vertAlign w:val="superscript"/>
                <w:lang w:val="ka-GE" w:eastAsia="da-DK"/>
              </w:rPr>
              <w:t>3</w:t>
            </w:r>
          </w:p>
        </w:tc>
        <w:tc>
          <w:tcPr>
            <w:tcW w:w="1770" w:type="pct"/>
            <w:tcBorders>
              <w:top w:val="single" w:sz="4" w:space="0" w:color="auto"/>
              <w:left w:val="single" w:sz="4" w:space="0" w:color="auto"/>
              <w:bottom w:val="single" w:sz="4" w:space="0" w:color="auto"/>
              <w:right w:val="single" w:sz="4" w:space="0" w:color="auto"/>
            </w:tcBorders>
            <w:hideMark/>
          </w:tcPr>
          <w:p w14:paraId="041F03F1" w14:textId="77777777" w:rsidR="00980876" w:rsidRDefault="00980876">
            <w:pPr>
              <w:pStyle w:val="Normal0"/>
              <w:spacing w:line="256" w:lineRule="auto"/>
              <w:rPr>
                <w:rFonts w:ascii="Sylfaen" w:hAnsi="Sylfaen"/>
                <w:sz w:val="20"/>
                <w:lang w:val="ka-GE" w:eastAsia="da-DK"/>
              </w:rPr>
            </w:pPr>
            <w:r>
              <w:rPr>
                <w:rFonts w:ascii="Sylfaen" w:hAnsi="Sylfaen"/>
                <w:sz w:val="20"/>
                <w:lang w:val="ka-GE" w:eastAsia="da-DK"/>
              </w:rPr>
              <w:t>-</w:t>
            </w:r>
          </w:p>
        </w:tc>
      </w:tr>
      <w:tr w:rsidR="00980876" w14:paraId="4ED315C1"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A8B18C4" w14:textId="77777777" w:rsidR="00980876" w:rsidRDefault="00980876">
            <w:pPr>
              <w:spacing w:line="256" w:lineRule="auto"/>
              <w:jc w:val="left"/>
              <w:rPr>
                <w:rFonts w:ascii="Sylfaen" w:eastAsia="Arial" w:hAnsi="Sylfaen"/>
                <w:b/>
                <w:sz w:val="20"/>
                <w:szCs w:val="20"/>
                <w:vertAlign w:val="subscript"/>
                <w:lang w:val="ka-GE" w:eastAsia="da-DK"/>
              </w:rPr>
            </w:pPr>
          </w:p>
        </w:tc>
        <w:tc>
          <w:tcPr>
            <w:tcW w:w="1085" w:type="pct"/>
            <w:tcBorders>
              <w:top w:val="single" w:sz="4" w:space="0" w:color="auto"/>
              <w:left w:val="single" w:sz="4" w:space="0" w:color="auto"/>
              <w:bottom w:val="single" w:sz="4" w:space="0" w:color="auto"/>
              <w:right w:val="single" w:sz="4" w:space="0" w:color="auto"/>
            </w:tcBorders>
            <w:hideMark/>
          </w:tcPr>
          <w:p w14:paraId="6541E9FF" w14:textId="77777777" w:rsidR="00980876" w:rsidRDefault="00980876">
            <w:pPr>
              <w:pStyle w:val="Normal0"/>
              <w:spacing w:line="256" w:lineRule="auto"/>
              <w:rPr>
                <w:rFonts w:ascii="Sylfaen" w:hAnsi="Sylfaen"/>
                <w:i/>
                <w:sz w:val="20"/>
                <w:lang w:val="ka-GE" w:eastAsia="da-DK"/>
              </w:rPr>
            </w:pPr>
            <w:r>
              <w:rPr>
                <w:rFonts w:ascii="Sylfaen" w:hAnsi="Sylfaen"/>
                <w:i/>
                <w:sz w:val="20"/>
                <w:lang w:val="ka-GE" w:eastAsia="da-DK"/>
              </w:rPr>
              <w:t>30 წთ ერთჯერადი მაქსიმუმი</w:t>
            </w:r>
          </w:p>
        </w:tc>
        <w:tc>
          <w:tcPr>
            <w:tcW w:w="1807" w:type="pct"/>
            <w:tcBorders>
              <w:top w:val="single" w:sz="4" w:space="0" w:color="auto"/>
              <w:left w:val="single" w:sz="4" w:space="0" w:color="auto"/>
              <w:bottom w:val="single" w:sz="4" w:space="0" w:color="auto"/>
              <w:right w:val="single" w:sz="4" w:space="0" w:color="auto"/>
            </w:tcBorders>
            <w:hideMark/>
          </w:tcPr>
          <w:p w14:paraId="2CBAD0D3" w14:textId="77777777" w:rsidR="00980876" w:rsidRDefault="00980876">
            <w:pPr>
              <w:pStyle w:val="Normal0"/>
              <w:spacing w:line="256" w:lineRule="auto"/>
              <w:rPr>
                <w:rFonts w:ascii="Sylfaen" w:hAnsi="Sylfaen"/>
                <w:bCs/>
                <w:sz w:val="20"/>
                <w:lang w:val="ka-GE" w:eastAsia="da-DK"/>
              </w:rPr>
            </w:pPr>
            <w:r>
              <w:rPr>
                <w:rFonts w:ascii="Sylfaen" w:hAnsi="Sylfaen"/>
                <w:bCs/>
                <w:sz w:val="20"/>
                <w:lang w:val="ka-GE" w:eastAsia="da-DK"/>
              </w:rPr>
              <w:t>-</w:t>
            </w:r>
          </w:p>
        </w:tc>
        <w:tc>
          <w:tcPr>
            <w:tcW w:w="1770" w:type="pct"/>
            <w:tcBorders>
              <w:top w:val="single" w:sz="4" w:space="0" w:color="auto"/>
              <w:left w:val="single" w:sz="4" w:space="0" w:color="auto"/>
              <w:bottom w:val="single" w:sz="4" w:space="0" w:color="auto"/>
              <w:right w:val="single" w:sz="4" w:space="0" w:color="auto"/>
            </w:tcBorders>
            <w:hideMark/>
          </w:tcPr>
          <w:p w14:paraId="15EA0BCB" w14:textId="77777777" w:rsidR="00980876" w:rsidRDefault="00980876">
            <w:pPr>
              <w:pStyle w:val="Normal0"/>
              <w:spacing w:line="256" w:lineRule="auto"/>
              <w:rPr>
                <w:rFonts w:ascii="Sylfaen" w:hAnsi="Sylfaen"/>
                <w:sz w:val="20"/>
                <w:lang w:val="ka-GE" w:eastAsia="da-DK"/>
              </w:rPr>
            </w:pPr>
            <w:r>
              <w:rPr>
                <w:rFonts w:ascii="Sylfaen" w:hAnsi="Sylfaen"/>
                <w:sz w:val="20"/>
                <w:lang w:val="ka-GE" w:eastAsia="da-DK"/>
              </w:rPr>
              <w:t xml:space="preserve">500 </w:t>
            </w:r>
            <w:r>
              <w:rPr>
                <w:rFonts w:ascii="Sylfaen" w:hAnsi="Sylfaen"/>
                <w:bCs/>
                <w:sz w:val="20"/>
                <w:lang w:val="ka-GE" w:eastAsia="da-DK"/>
              </w:rPr>
              <w:t>მკგ/მ</w:t>
            </w:r>
            <w:r>
              <w:rPr>
                <w:rFonts w:ascii="Sylfaen" w:hAnsi="Sylfaen"/>
                <w:bCs/>
                <w:sz w:val="20"/>
                <w:vertAlign w:val="superscript"/>
                <w:lang w:val="ka-GE" w:eastAsia="da-DK"/>
              </w:rPr>
              <w:t>3</w:t>
            </w:r>
          </w:p>
        </w:tc>
      </w:tr>
    </w:tbl>
    <w:p w14:paraId="12F670FF" w14:textId="77777777" w:rsidR="00980876" w:rsidRDefault="00980876" w:rsidP="00980876">
      <w:pPr>
        <w:tabs>
          <w:tab w:val="left" w:pos="2520"/>
        </w:tabs>
        <w:spacing w:before="120" w:after="120"/>
        <w:rPr>
          <w:rFonts w:ascii="Sylfaen" w:eastAsia="Sylfaen" w:hAnsi="Sylfaen" w:cs="Sylfaen"/>
          <w:i/>
        </w:rPr>
      </w:pPr>
      <w:r>
        <w:rPr>
          <w:rFonts w:ascii="Sylfaen" w:eastAsia="Sylfaen" w:hAnsi="Sylfaen" w:cs="Sylfaen"/>
          <w:position w:val="6"/>
        </w:rPr>
        <w:t>*</w:t>
      </w:r>
      <w:r>
        <w:rPr>
          <w:rFonts w:ascii="Sylfaen" w:eastAsia="Sylfaen" w:hAnsi="Sylfaen" w:cs="Sylfaen"/>
          <w:spacing w:val="-1"/>
        </w:rPr>
        <w:t>EHS</w:t>
      </w:r>
      <w:r>
        <w:rPr>
          <w:rFonts w:ascii="Sylfaen" w:eastAsia="Sylfaen" w:hAnsi="Sylfaen" w:cs="Sylfaen"/>
          <w:spacing w:val="-1"/>
          <w:lang w:val="ka-GE"/>
        </w:rPr>
        <w:t xml:space="preserve"> </w:t>
      </w:r>
      <w:r>
        <w:rPr>
          <w:rFonts w:ascii="Sylfaen" w:eastAsia="Sylfaen" w:hAnsi="Sylfaen" w:cs="Sylfaen"/>
          <w:i/>
          <w:spacing w:val="-2"/>
        </w:rPr>
        <w:t>სახელმძღვანელო</w:t>
      </w:r>
      <w:r>
        <w:rPr>
          <w:rFonts w:ascii="Sylfaen" w:eastAsia="Sylfaen" w:hAnsi="Sylfaen" w:cs="Sylfaen"/>
          <w:i/>
          <w:spacing w:val="-2"/>
          <w:lang w:val="ka-GE"/>
        </w:rPr>
        <w:t xml:space="preserve"> </w:t>
      </w:r>
      <w:r>
        <w:rPr>
          <w:rFonts w:ascii="Sylfaen" w:eastAsia="Sylfaen" w:hAnsi="Sylfaen" w:cs="Sylfaen"/>
          <w:i/>
        </w:rPr>
        <w:t>დოკუმენტები</w:t>
      </w:r>
      <w:r>
        <w:rPr>
          <w:rFonts w:ascii="Sylfaen" w:eastAsia="Sylfaen" w:hAnsi="Sylfaen" w:cs="Sylfaen"/>
          <w:i/>
          <w:lang w:val="ka-GE"/>
        </w:rPr>
        <w:t xml:space="preserve"> </w:t>
      </w:r>
      <w:r>
        <w:rPr>
          <w:rFonts w:ascii="Sylfaen" w:eastAsia="Sylfaen" w:hAnsi="Sylfaen" w:cs="Sylfaen"/>
          <w:i/>
          <w:spacing w:val="-2"/>
        </w:rPr>
        <w:t>ეფუძნება</w:t>
      </w:r>
      <w:r>
        <w:rPr>
          <w:rFonts w:ascii="Sylfaen" w:eastAsia="Sylfaen" w:hAnsi="Sylfaen" w:cs="Sylfaen"/>
          <w:i/>
          <w:spacing w:val="-2"/>
          <w:lang w:val="ka-GE"/>
        </w:rPr>
        <w:t xml:space="preserve"> </w:t>
      </w:r>
      <w:r>
        <w:rPr>
          <w:rFonts w:ascii="Sylfaen" w:eastAsia="Sylfaen" w:hAnsi="Sylfaen" w:cs="Sylfaen"/>
          <w:i/>
        </w:rPr>
        <w:t>WHO-ს</w:t>
      </w:r>
      <w:r>
        <w:rPr>
          <w:rFonts w:ascii="Sylfaen" w:eastAsia="Sylfaen" w:hAnsi="Sylfaen" w:cs="Sylfaen"/>
          <w:i/>
          <w:lang w:val="ka-GE"/>
        </w:rPr>
        <w:t xml:space="preserve"> </w:t>
      </w:r>
      <w:r>
        <w:rPr>
          <w:rFonts w:ascii="Sylfaen" w:eastAsia="Sylfaen" w:hAnsi="Sylfaen" w:cs="Sylfaen"/>
          <w:i/>
          <w:spacing w:val="-2"/>
        </w:rPr>
        <w:t>ჰაერის</w:t>
      </w:r>
      <w:r>
        <w:rPr>
          <w:rFonts w:ascii="Sylfaen" w:eastAsia="Sylfaen" w:hAnsi="Sylfaen" w:cs="Sylfaen"/>
          <w:i/>
          <w:spacing w:val="-2"/>
          <w:lang w:val="ka-GE"/>
        </w:rPr>
        <w:t xml:space="preserve"> </w:t>
      </w:r>
      <w:r>
        <w:rPr>
          <w:rFonts w:ascii="Sylfaen" w:eastAsia="Sylfaen" w:hAnsi="Sylfaen" w:cs="Sylfaen"/>
          <w:i/>
        </w:rPr>
        <w:t>ხარისხის</w:t>
      </w:r>
      <w:r>
        <w:rPr>
          <w:rFonts w:ascii="Sylfaen" w:eastAsia="Sylfaen" w:hAnsi="Sylfaen" w:cs="Sylfaen"/>
          <w:i/>
          <w:lang w:val="ka-GE"/>
        </w:rPr>
        <w:t xml:space="preserve"> </w:t>
      </w:r>
      <w:r>
        <w:rPr>
          <w:rFonts w:ascii="Sylfaen" w:eastAsia="Sylfaen" w:hAnsi="Sylfaen" w:cs="Sylfaen"/>
          <w:i/>
        </w:rPr>
        <w:t>სახელმძღვანელო დოკუმენტებს ევროპისათვის</w:t>
      </w:r>
    </w:p>
    <w:p w14:paraId="13599EFC" w14:textId="77777777" w:rsidR="00980876" w:rsidRDefault="00980876" w:rsidP="00980876">
      <w:pPr>
        <w:tabs>
          <w:tab w:val="left" w:pos="2520"/>
        </w:tabs>
        <w:spacing w:before="120" w:after="120"/>
        <w:rPr>
          <w:rFonts w:ascii="Sylfaen" w:eastAsia="Sylfaen" w:hAnsi="Sylfaen" w:cs="Sylfaen"/>
          <w:i/>
        </w:rPr>
      </w:pPr>
    </w:p>
    <w:p w14:paraId="7034F3CC" w14:textId="77777777" w:rsidR="00980876" w:rsidRDefault="00980876" w:rsidP="00980876">
      <w:pPr>
        <w:pStyle w:val="Heading3"/>
      </w:pPr>
      <w:bookmarkStart w:id="185" w:name="_Toc529977382"/>
      <w:bookmarkStart w:id="186" w:name="_Toc1581543"/>
      <w:r>
        <w:t xml:space="preserve">5.4.2 </w:t>
      </w:r>
      <w:r>
        <w:rPr>
          <w:rFonts w:ascii="Sylfaen" w:hAnsi="Sylfaen" w:cs="Sylfaen"/>
        </w:rPr>
        <w:t>ხმაური</w:t>
      </w:r>
      <w:bookmarkEnd w:id="185"/>
      <w:bookmarkEnd w:id="186"/>
    </w:p>
    <w:p w14:paraId="3A79D98A" w14:textId="77777777" w:rsidR="00980876" w:rsidRDefault="00980876" w:rsidP="00980876">
      <w:pPr>
        <w:autoSpaceDE w:val="0"/>
        <w:autoSpaceDN w:val="0"/>
        <w:adjustRightInd w:val="0"/>
        <w:spacing w:before="120" w:after="120"/>
        <w:rPr>
          <w:rFonts w:ascii="Sylfaen" w:hAnsi="Sylfaen"/>
          <w:szCs w:val="22"/>
          <w:lang w:val="ka-GE" w:eastAsia="en-GB"/>
        </w:rPr>
      </w:pPr>
      <w:r>
        <w:rPr>
          <w:rFonts w:ascii="Sylfaen" w:eastAsiaTheme="minorHAnsi" w:hAnsi="Sylfaen" w:cs="Sylfaen"/>
          <w:szCs w:val="22"/>
          <w:lang w:val="ka-GE" w:eastAsia="en-US"/>
        </w:rPr>
        <w:t>სატრანსპორტო</w:t>
      </w:r>
      <w:r>
        <w:rPr>
          <w:rFonts w:eastAsiaTheme="minorHAnsi" w:cs="Sylfaen"/>
          <w:szCs w:val="22"/>
          <w:lang w:val="ka-GE" w:eastAsia="en-US"/>
        </w:rPr>
        <w:t xml:space="preserve"> </w:t>
      </w:r>
      <w:r>
        <w:rPr>
          <w:rFonts w:ascii="Sylfaen" w:eastAsiaTheme="minorHAnsi" w:hAnsi="Sylfaen" w:cs="Sylfaen"/>
          <w:szCs w:val="22"/>
          <w:lang w:val="ka-GE" w:eastAsia="en-US"/>
        </w:rPr>
        <w:t>ხმაურის</w:t>
      </w:r>
      <w:r>
        <w:rPr>
          <w:rFonts w:eastAsiaTheme="minorHAnsi" w:cs="Sylfaen"/>
          <w:szCs w:val="22"/>
          <w:lang w:val="ka-GE" w:eastAsia="en-US"/>
        </w:rPr>
        <w:t xml:space="preserve"> </w:t>
      </w:r>
      <w:r>
        <w:rPr>
          <w:rFonts w:ascii="Sylfaen" w:eastAsiaTheme="minorHAnsi" w:hAnsi="Sylfaen" w:cs="Sylfaen"/>
          <w:szCs w:val="22"/>
          <w:lang w:val="ka-GE" w:eastAsia="en-US"/>
        </w:rPr>
        <w:t>კონტროლი</w:t>
      </w:r>
      <w:r>
        <w:rPr>
          <w:rFonts w:eastAsiaTheme="minorHAnsi" w:cs="Sylfaen"/>
          <w:szCs w:val="22"/>
          <w:lang w:val="ka-GE" w:eastAsia="en-US"/>
        </w:rPr>
        <w:t xml:space="preserve"> </w:t>
      </w:r>
      <w:r>
        <w:rPr>
          <w:rFonts w:ascii="Sylfaen" w:eastAsiaTheme="minorHAnsi" w:hAnsi="Sylfaen" w:cs="Sylfaen"/>
          <w:szCs w:val="22"/>
          <w:lang w:val="ka-GE" w:eastAsia="en-US"/>
        </w:rPr>
        <w:t>რეგულირდება</w:t>
      </w:r>
      <w:r>
        <w:rPr>
          <w:rFonts w:eastAsiaTheme="minorHAnsi" w:cs="Sylfaen"/>
          <w:szCs w:val="22"/>
          <w:lang w:val="ka-GE" w:eastAsia="en-US"/>
        </w:rPr>
        <w:t xml:space="preserve"> </w:t>
      </w:r>
      <w:r>
        <w:rPr>
          <w:rFonts w:ascii="Sylfaen" w:hAnsi="Sylfaen" w:cs="Sylfaen"/>
        </w:rPr>
        <w:t>ტექნიკური</w:t>
      </w:r>
      <w:r>
        <w:t xml:space="preserve"> </w:t>
      </w:r>
      <w:r>
        <w:rPr>
          <w:rFonts w:ascii="Sylfaen" w:hAnsi="Sylfaen" w:cs="Sylfaen"/>
        </w:rPr>
        <w:t>რეგლამენტი</w:t>
      </w:r>
      <w:r>
        <w:rPr>
          <w:rFonts w:ascii="Sylfaen" w:hAnsi="Sylfaen" w:cs="Sylfaen"/>
          <w:lang w:val="ka-GE"/>
        </w:rPr>
        <w:t>თ</w:t>
      </w:r>
      <w:r>
        <w:rPr>
          <w:lang w:val="ka-GE"/>
        </w:rPr>
        <w:t xml:space="preserve"> </w:t>
      </w:r>
      <w:r>
        <w:rPr>
          <w:rFonts w:cs="Arial"/>
        </w:rPr>
        <w:t>„</w:t>
      </w:r>
      <w:r>
        <w:rPr>
          <w:rFonts w:ascii="Sylfaen" w:hAnsi="Sylfaen" w:cs="Sylfaen"/>
        </w:rPr>
        <w:t>საცხოვრებელი</w:t>
      </w:r>
      <w:r>
        <w:t xml:space="preserve"> </w:t>
      </w:r>
      <w:r>
        <w:rPr>
          <w:rFonts w:ascii="Sylfaen" w:hAnsi="Sylfaen" w:cs="Sylfaen"/>
        </w:rPr>
        <w:t>სახლებისა</w:t>
      </w:r>
      <w:r>
        <w:t xml:space="preserve"> </w:t>
      </w:r>
      <w:r>
        <w:rPr>
          <w:rFonts w:ascii="Sylfaen" w:hAnsi="Sylfaen" w:cs="Sylfaen"/>
        </w:rPr>
        <w:t>და</w:t>
      </w:r>
      <w:r>
        <w:t xml:space="preserve"> </w:t>
      </w:r>
      <w:r>
        <w:rPr>
          <w:rFonts w:ascii="Sylfaen" w:hAnsi="Sylfaen" w:cs="Sylfaen"/>
        </w:rPr>
        <w:t>საზოგადოებრივი</w:t>
      </w:r>
      <w:r>
        <w:t>/</w:t>
      </w:r>
      <w:r>
        <w:rPr>
          <w:rFonts w:ascii="Sylfaen" w:hAnsi="Sylfaen" w:cs="Sylfaen"/>
        </w:rPr>
        <w:t>საჯარო</w:t>
      </w:r>
      <w:r>
        <w:t xml:space="preserve"> </w:t>
      </w:r>
      <w:r>
        <w:rPr>
          <w:rFonts w:ascii="Sylfaen" w:hAnsi="Sylfaen" w:cs="Sylfaen"/>
        </w:rPr>
        <w:t>დაწესებულებების</w:t>
      </w:r>
      <w:r>
        <w:t xml:space="preserve"> </w:t>
      </w:r>
      <w:r>
        <w:rPr>
          <w:rFonts w:ascii="Sylfaen" w:hAnsi="Sylfaen" w:cs="Sylfaen"/>
        </w:rPr>
        <w:t>შენობების</w:t>
      </w:r>
      <w:r>
        <w:t xml:space="preserve"> </w:t>
      </w:r>
      <w:r>
        <w:rPr>
          <w:rFonts w:ascii="Sylfaen" w:hAnsi="Sylfaen" w:cs="Sylfaen"/>
        </w:rPr>
        <w:t>სათავსებში</w:t>
      </w:r>
      <w:r>
        <w:t xml:space="preserve"> </w:t>
      </w:r>
      <w:r>
        <w:rPr>
          <w:rFonts w:ascii="Sylfaen" w:hAnsi="Sylfaen" w:cs="Sylfaen"/>
        </w:rPr>
        <w:t>და</w:t>
      </w:r>
      <w:r>
        <w:t xml:space="preserve"> </w:t>
      </w:r>
      <w:r>
        <w:rPr>
          <w:rFonts w:ascii="Sylfaen" w:hAnsi="Sylfaen" w:cs="Sylfaen"/>
        </w:rPr>
        <w:t>ტერიტორიებზე</w:t>
      </w:r>
      <w:r>
        <w:t xml:space="preserve"> </w:t>
      </w:r>
      <w:r>
        <w:rPr>
          <w:rFonts w:ascii="Sylfaen" w:hAnsi="Sylfaen" w:cs="Sylfaen"/>
        </w:rPr>
        <w:t>აკუსტიკური</w:t>
      </w:r>
      <w:r>
        <w:t xml:space="preserve"> </w:t>
      </w:r>
      <w:r>
        <w:rPr>
          <w:rFonts w:ascii="Sylfaen" w:hAnsi="Sylfaen" w:cs="Sylfaen"/>
        </w:rPr>
        <w:t>ხმაურის</w:t>
      </w:r>
      <w:r>
        <w:t xml:space="preserve"> </w:t>
      </w:r>
      <w:r>
        <w:rPr>
          <w:rFonts w:ascii="Sylfaen" w:hAnsi="Sylfaen" w:cs="Sylfaen"/>
        </w:rPr>
        <w:t>ნორმების</w:t>
      </w:r>
      <w:r>
        <w:t xml:space="preserve"> </w:t>
      </w:r>
      <w:r>
        <w:rPr>
          <w:rFonts w:ascii="Sylfaen" w:hAnsi="Sylfaen" w:cs="Sylfaen"/>
        </w:rPr>
        <w:t>შესახებ</w:t>
      </w:r>
      <w:r>
        <w:rPr>
          <w:rFonts w:cs="Arial"/>
        </w:rPr>
        <w:t>“</w:t>
      </w:r>
      <w:r>
        <w:t xml:space="preserve"> </w:t>
      </w:r>
      <w:r>
        <w:rPr>
          <w:rFonts w:ascii="Sylfaen" w:hAnsi="Sylfaen" w:cs="Sylfaen"/>
        </w:rPr>
        <w:t>საქართველოს</w:t>
      </w:r>
      <w:r>
        <w:t xml:space="preserve"> </w:t>
      </w:r>
      <w:r>
        <w:rPr>
          <w:rFonts w:ascii="Sylfaen" w:hAnsi="Sylfaen" w:cs="Sylfaen"/>
        </w:rPr>
        <w:t>მთავრობის</w:t>
      </w:r>
      <w:r>
        <w:t xml:space="preserve">  </w:t>
      </w:r>
      <w:r>
        <w:rPr>
          <w:rFonts w:ascii="Sylfaen" w:hAnsi="Sylfaen" w:cs="Sylfaen"/>
        </w:rPr>
        <w:t>დადგენილება</w:t>
      </w:r>
      <w:r>
        <w:t xml:space="preserve"> </w:t>
      </w:r>
      <w:r>
        <w:rPr>
          <w:rFonts w:cs="Arial"/>
        </w:rPr>
        <w:t>№</w:t>
      </w:r>
      <w:r>
        <w:t>398.</w:t>
      </w:r>
      <w:r>
        <w:rPr>
          <w:rFonts w:ascii="Sylfaen" w:hAnsi="Sylfaen"/>
          <w:lang w:val="ka-GE"/>
        </w:rPr>
        <w:t xml:space="preserve"> მსოფლიო ბანკის </w:t>
      </w:r>
      <w:r>
        <w:rPr>
          <w:rFonts w:ascii="Sylfaen" w:eastAsiaTheme="minorHAnsi" w:hAnsi="Sylfaen" w:cs="Sylfaen"/>
          <w:szCs w:val="22"/>
          <w:lang w:val="ka-GE" w:eastAsia="en-US"/>
        </w:rPr>
        <w:t>პოლიტიკის</w:t>
      </w:r>
      <w:r>
        <w:rPr>
          <w:rFonts w:eastAsiaTheme="minorHAnsi" w:cs="Sylfaen"/>
          <w:szCs w:val="22"/>
          <w:lang w:val="ka-GE" w:eastAsia="en-US"/>
        </w:rPr>
        <w:t xml:space="preserve"> </w:t>
      </w:r>
      <w:r>
        <w:rPr>
          <w:rFonts w:ascii="Sylfaen" w:eastAsiaTheme="minorHAnsi" w:hAnsi="Sylfaen" w:cs="Sylfaen"/>
          <w:szCs w:val="22"/>
          <w:lang w:val="ka-GE" w:eastAsia="en-US"/>
        </w:rPr>
        <w:t>შესაბამისად</w:t>
      </w:r>
      <w:r>
        <w:rPr>
          <w:rFonts w:eastAsiaTheme="minorHAnsi" w:cs="Sylfaen"/>
          <w:szCs w:val="22"/>
          <w:lang w:val="ka-GE" w:eastAsia="en-US"/>
        </w:rPr>
        <w:t xml:space="preserve"> </w:t>
      </w:r>
      <w:r>
        <w:rPr>
          <w:rFonts w:ascii="Sylfaen" w:eastAsiaTheme="minorHAnsi" w:hAnsi="Sylfaen" w:cs="Sylfaen"/>
          <w:szCs w:val="22"/>
          <w:lang w:val="ka-GE" w:eastAsia="en-US"/>
        </w:rPr>
        <w:t>გზის</w:t>
      </w:r>
      <w:r>
        <w:rPr>
          <w:rFonts w:eastAsiaTheme="minorHAnsi" w:cs="Sylfaen"/>
          <w:szCs w:val="22"/>
          <w:lang w:val="ka-GE" w:eastAsia="en-US"/>
        </w:rPr>
        <w:t xml:space="preserve"> </w:t>
      </w:r>
      <w:r>
        <w:rPr>
          <w:rFonts w:ascii="Sylfaen" w:eastAsiaTheme="minorHAnsi" w:hAnsi="Sylfaen" w:cs="Sylfaen"/>
          <w:szCs w:val="22"/>
          <w:lang w:val="ka-GE" w:eastAsia="en-US"/>
        </w:rPr>
        <w:t>ექსპლუატაციის</w:t>
      </w:r>
      <w:r>
        <w:rPr>
          <w:rFonts w:eastAsiaTheme="minorHAnsi" w:cs="Sylfaen"/>
          <w:szCs w:val="22"/>
          <w:lang w:val="ka-GE" w:eastAsia="en-US"/>
        </w:rPr>
        <w:t xml:space="preserve"> </w:t>
      </w:r>
      <w:r>
        <w:rPr>
          <w:rFonts w:ascii="Sylfaen" w:eastAsiaTheme="minorHAnsi" w:hAnsi="Sylfaen" w:cs="Sylfaen"/>
          <w:szCs w:val="22"/>
          <w:lang w:val="ka-GE" w:eastAsia="en-US"/>
        </w:rPr>
        <w:t>დროს</w:t>
      </w:r>
      <w:r>
        <w:rPr>
          <w:rFonts w:eastAsiaTheme="minorHAnsi" w:cs="Sylfaen"/>
          <w:szCs w:val="22"/>
          <w:lang w:val="ka-GE" w:eastAsia="en-US"/>
        </w:rPr>
        <w:t xml:space="preserve"> </w:t>
      </w:r>
      <w:r>
        <w:rPr>
          <w:rFonts w:ascii="Sylfaen" w:eastAsiaTheme="minorHAnsi" w:hAnsi="Sylfaen" w:cs="Sylfaen"/>
          <w:szCs w:val="22"/>
          <w:lang w:val="ka-GE" w:eastAsia="en-US"/>
        </w:rPr>
        <w:t>ხმაურისა</w:t>
      </w:r>
      <w:r>
        <w:rPr>
          <w:rFonts w:eastAsiaTheme="minorHAnsi" w:cs="Sylfaen"/>
          <w:szCs w:val="22"/>
          <w:lang w:val="ka-GE" w:eastAsia="en-US"/>
        </w:rPr>
        <w:t xml:space="preserve"> </w:t>
      </w:r>
      <w:r>
        <w:rPr>
          <w:rFonts w:ascii="Sylfaen" w:eastAsiaTheme="minorHAnsi" w:hAnsi="Sylfaen" w:cs="Sylfaen"/>
          <w:szCs w:val="22"/>
          <w:lang w:val="ka-GE" w:eastAsia="en-US"/>
        </w:rPr>
        <w:t>და</w:t>
      </w:r>
      <w:r>
        <w:rPr>
          <w:rFonts w:eastAsiaTheme="minorHAnsi" w:cs="Sylfaen"/>
          <w:szCs w:val="22"/>
          <w:lang w:val="ka-GE" w:eastAsia="en-US"/>
        </w:rPr>
        <w:t xml:space="preserve"> </w:t>
      </w:r>
      <w:r>
        <w:rPr>
          <w:rFonts w:ascii="Sylfaen" w:eastAsiaTheme="minorHAnsi" w:hAnsi="Sylfaen" w:cs="Sylfaen"/>
          <w:szCs w:val="22"/>
          <w:lang w:val="ka-GE" w:eastAsia="en-US"/>
        </w:rPr>
        <w:t>ვიბრაციის</w:t>
      </w:r>
      <w:r>
        <w:rPr>
          <w:rFonts w:eastAsiaTheme="minorHAnsi" w:cs="Sylfaen"/>
          <w:szCs w:val="22"/>
          <w:lang w:val="ka-GE" w:eastAsia="en-US"/>
        </w:rPr>
        <w:t xml:space="preserve"> </w:t>
      </w:r>
      <w:r>
        <w:rPr>
          <w:rFonts w:ascii="Sylfaen" w:eastAsiaTheme="minorHAnsi" w:hAnsi="Sylfaen" w:cs="Sylfaen"/>
          <w:szCs w:val="22"/>
          <w:lang w:val="ka-GE" w:eastAsia="en-US"/>
        </w:rPr>
        <w:t>შეფასება</w:t>
      </w:r>
      <w:r>
        <w:rPr>
          <w:rFonts w:eastAsiaTheme="minorHAnsi" w:cs="Sylfaen"/>
          <w:szCs w:val="22"/>
          <w:lang w:val="ka-GE" w:eastAsia="en-US"/>
        </w:rPr>
        <w:t xml:space="preserve"> </w:t>
      </w:r>
      <w:r>
        <w:rPr>
          <w:rFonts w:ascii="Sylfaen" w:eastAsiaTheme="minorHAnsi" w:hAnsi="Sylfaen" w:cs="Sylfaen"/>
          <w:szCs w:val="22"/>
          <w:lang w:val="ka-GE" w:eastAsia="en-US"/>
        </w:rPr>
        <w:t>ხორციელდება</w:t>
      </w:r>
      <w:r>
        <w:rPr>
          <w:rFonts w:eastAsiaTheme="minorHAnsi" w:cs="Sylfaen"/>
          <w:szCs w:val="22"/>
          <w:lang w:val="ka-GE" w:eastAsia="en-US"/>
        </w:rPr>
        <w:t xml:space="preserve"> EHS-</w:t>
      </w:r>
      <w:r>
        <w:rPr>
          <w:rFonts w:ascii="Sylfaen" w:eastAsiaTheme="minorHAnsi" w:hAnsi="Sylfaen" w:cs="Sylfaen"/>
          <w:szCs w:val="22"/>
          <w:lang w:val="ka-GE" w:eastAsia="en-US"/>
        </w:rPr>
        <w:t>ის</w:t>
      </w:r>
      <w:r>
        <w:rPr>
          <w:rFonts w:eastAsiaTheme="minorHAnsi" w:cs="Sylfaen"/>
          <w:szCs w:val="22"/>
          <w:lang w:val="ka-GE" w:eastAsia="en-US"/>
        </w:rPr>
        <w:t xml:space="preserve"> ”</w:t>
      </w:r>
      <w:r>
        <w:rPr>
          <w:rFonts w:ascii="Sylfaen" w:eastAsiaTheme="minorHAnsi" w:hAnsi="Sylfaen" w:cs="Sylfaen"/>
          <w:szCs w:val="22"/>
          <w:lang w:val="ka-GE" w:eastAsia="en-US"/>
        </w:rPr>
        <w:t>გარემოს</w:t>
      </w:r>
      <w:r>
        <w:rPr>
          <w:rFonts w:eastAsiaTheme="minorHAnsi" w:cs="Sylfaen"/>
          <w:szCs w:val="22"/>
          <w:lang w:val="ka-GE" w:eastAsia="en-US"/>
        </w:rPr>
        <w:t xml:space="preserve"> </w:t>
      </w:r>
      <w:r>
        <w:rPr>
          <w:rFonts w:ascii="Sylfaen" w:eastAsiaTheme="minorHAnsi" w:hAnsi="Sylfaen" w:cs="Sylfaen"/>
          <w:szCs w:val="22"/>
          <w:lang w:val="ka-GE" w:eastAsia="en-US"/>
        </w:rPr>
        <w:t>ხმაურის</w:t>
      </w:r>
      <w:r>
        <w:rPr>
          <w:rFonts w:eastAsiaTheme="minorHAnsi" w:cs="Sylfaen"/>
          <w:szCs w:val="22"/>
          <w:lang w:val="ka-GE" w:eastAsia="en-US"/>
        </w:rPr>
        <w:t xml:space="preserve"> </w:t>
      </w:r>
      <w:r>
        <w:rPr>
          <w:rFonts w:ascii="Sylfaen" w:eastAsiaTheme="minorHAnsi" w:hAnsi="Sylfaen" w:cs="Sylfaen"/>
          <w:szCs w:val="22"/>
          <w:lang w:val="ka-GE" w:eastAsia="en-US"/>
        </w:rPr>
        <w:t>მართვის</w:t>
      </w:r>
      <w:r>
        <w:rPr>
          <w:rFonts w:eastAsiaTheme="minorHAnsi" w:cs="Sylfaen"/>
          <w:szCs w:val="22"/>
          <w:lang w:val="ka-GE" w:eastAsia="en-US"/>
        </w:rPr>
        <w:t xml:space="preserve">” </w:t>
      </w:r>
      <w:r>
        <w:rPr>
          <w:rFonts w:ascii="Sylfaen" w:eastAsiaTheme="minorHAnsi" w:hAnsi="Sylfaen" w:cs="Sylfaen"/>
          <w:szCs w:val="22"/>
          <w:lang w:val="ka-GE" w:eastAsia="en-US"/>
        </w:rPr>
        <w:t>ზოგადი</w:t>
      </w:r>
      <w:r>
        <w:rPr>
          <w:rFonts w:eastAsiaTheme="minorHAnsi" w:cs="Sylfaen"/>
          <w:szCs w:val="22"/>
          <w:lang w:val="ka-GE" w:eastAsia="en-US"/>
        </w:rPr>
        <w:t xml:space="preserve"> </w:t>
      </w:r>
      <w:r>
        <w:rPr>
          <w:rFonts w:ascii="Sylfaen" w:eastAsiaTheme="minorHAnsi" w:hAnsi="Sylfaen" w:cs="Sylfaen"/>
          <w:szCs w:val="22"/>
          <w:lang w:val="ka-GE" w:eastAsia="en-US"/>
        </w:rPr>
        <w:t>სახელმძღვანელო</w:t>
      </w:r>
      <w:r>
        <w:rPr>
          <w:rFonts w:eastAsiaTheme="minorHAnsi" w:cs="Sylfaen"/>
          <w:szCs w:val="22"/>
          <w:lang w:val="ka-GE" w:eastAsia="en-US"/>
        </w:rPr>
        <w:t xml:space="preserve"> </w:t>
      </w:r>
      <w:r>
        <w:rPr>
          <w:rFonts w:ascii="Sylfaen" w:eastAsiaTheme="minorHAnsi" w:hAnsi="Sylfaen" w:cs="Sylfaen"/>
          <w:szCs w:val="22"/>
          <w:lang w:val="ka-GE" w:eastAsia="en-US"/>
        </w:rPr>
        <w:t>დოკუმენტის</w:t>
      </w:r>
      <w:r>
        <w:rPr>
          <w:rFonts w:eastAsiaTheme="minorHAnsi" w:cs="Sylfaen"/>
          <w:szCs w:val="22"/>
          <w:lang w:val="ka-GE" w:eastAsia="en-US"/>
        </w:rPr>
        <w:t xml:space="preserve"> </w:t>
      </w:r>
      <w:r>
        <w:rPr>
          <w:rFonts w:ascii="Sylfaen" w:eastAsiaTheme="minorHAnsi" w:hAnsi="Sylfaen" w:cs="Sylfaen"/>
          <w:szCs w:val="22"/>
          <w:lang w:val="ka-GE" w:eastAsia="en-US"/>
        </w:rPr>
        <w:t>შესაბამისად</w:t>
      </w:r>
      <w:r>
        <w:rPr>
          <w:rFonts w:eastAsiaTheme="minorHAnsi" w:cs="Sylfaen"/>
          <w:szCs w:val="22"/>
          <w:lang w:val="ka-GE" w:eastAsia="en-US"/>
        </w:rPr>
        <w:t xml:space="preserve"> (</w:t>
      </w:r>
      <w:r>
        <w:rPr>
          <w:rFonts w:ascii="Sylfaen" w:eastAsiaTheme="minorHAnsi" w:hAnsi="Sylfaen" w:cs="Sylfaen"/>
          <w:szCs w:val="22"/>
          <w:lang w:val="ka-GE" w:eastAsia="en-US"/>
        </w:rPr>
        <w:t>შემუშავებული</w:t>
      </w:r>
      <w:r>
        <w:rPr>
          <w:rFonts w:eastAsiaTheme="minorHAnsi" w:cs="Sylfaen"/>
          <w:szCs w:val="22"/>
          <w:lang w:val="ka-GE" w:eastAsia="en-US"/>
        </w:rPr>
        <w:t xml:space="preserve"> </w:t>
      </w:r>
      <w:r>
        <w:rPr>
          <w:rFonts w:ascii="Sylfaen" w:eastAsiaTheme="minorHAnsi" w:hAnsi="Sylfaen" w:cs="Sylfaen"/>
          <w:szCs w:val="22"/>
          <w:lang w:val="ka-GE" w:eastAsia="en-US"/>
        </w:rPr>
        <w:t>საერთაშორისო</w:t>
      </w:r>
      <w:r>
        <w:rPr>
          <w:rFonts w:eastAsiaTheme="minorHAnsi" w:cs="Sylfaen"/>
          <w:szCs w:val="22"/>
          <w:lang w:val="ka-GE" w:eastAsia="en-US"/>
        </w:rPr>
        <w:t xml:space="preserve"> </w:t>
      </w:r>
      <w:r>
        <w:rPr>
          <w:rFonts w:ascii="Sylfaen" w:eastAsiaTheme="minorHAnsi" w:hAnsi="Sylfaen" w:cs="Sylfaen"/>
          <w:szCs w:val="22"/>
          <w:lang w:val="ka-GE" w:eastAsia="en-US"/>
        </w:rPr>
        <w:t>ფინანსური</w:t>
      </w:r>
      <w:r>
        <w:rPr>
          <w:rFonts w:eastAsiaTheme="minorHAnsi" w:cs="Sylfaen"/>
          <w:szCs w:val="22"/>
          <w:lang w:val="ka-GE" w:eastAsia="en-US"/>
        </w:rPr>
        <w:t xml:space="preserve"> </w:t>
      </w:r>
      <w:r>
        <w:rPr>
          <w:rFonts w:ascii="Sylfaen" w:eastAsiaTheme="minorHAnsi" w:hAnsi="Sylfaen" w:cs="Sylfaen"/>
          <w:szCs w:val="22"/>
          <w:lang w:val="ka-GE" w:eastAsia="en-US"/>
        </w:rPr>
        <w:t>კორპორაციის</w:t>
      </w:r>
      <w:r>
        <w:rPr>
          <w:rFonts w:eastAsiaTheme="minorHAnsi" w:cs="Sylfaen"/>
          <w:szCs w:val="22"/>
          <w:lang w:val="ka-GE" w:eastAsia="en-US"/>
        </w:rPr>
        <w:t xml:space="preserve"> </w:t>
      </w:r>
      <w:r>
        <w:rPr>
          <w:rFonts w:ascii="Sylfaen" w:eastAsiaTheme="minorHAnsi" w:hAnsi="Sylfaen" w:cs="Sylfaen"/>
          <w:szCs w:val="22"/>
          <w:lang w:val="ka-GE" w:eastAsia="en-US"/>
        </w:rPr>
        <w:t>მიერ</w:t>
      </w:r>
      <w:r>
        <w:rPr>
          <w:rFonts w:eastAsiaTheme="minorHAnsi" w:cs="Sylfaen"/>
          <w:szCs w:val="22"/>
          <w:lang w:val="ka-GE" w:eastAsia="en-US"/>
        </w:rPr>
        <w:t xml:space="preserve">, 2007). </w:t>
      </w:r>
      <w:r>
        <w:rPr>
          <w:rFonts w:ascii="Sylfaen" w:eastAsiaTheme="minorHAnsi" w:hAnsi="Sylfaen" w:cs="Sylfaen"/>
          <w:szCs w:val="22"/>
          <w:lang w:val="ka-GE" w:eastAsia="en-US"/>
        </w:rPr>
        <w:t>საქართველოსა</w:t>
      </w:r>
      <w:r>
        <w:rPr>
          <w:rFonts w:eastAsiaTheme="minorHAnsi" w:cs="Sylfaen"/>
          <w:szCs w:val="22"/>
          <w:lang w:val="ka-GE" w:eastAsia="en-US"/>
        </w:rPr>
        <w:t xml:space="preserve"> </w:t>
      </w:r>
      <w:r>
        <w:rPr>
          <w:rFonts w:ascii="Sylfaen" w:eastAsiaTheme="minorHAnsi" w:hAnsi="Sylfaen" w:cs="Sylfaen"/>
          <w:szCs w:val="22"/>
          <w:lang w:val="ka-GE" w:eastAsia="en-US"/>
        </w:rPr>
        <w:t>და</w:t>
      </w:r>
      <w:r>
        <w:rPr>
          <w:rFonts w:eastAsiaTheme="minorHAnsi" w:cs="Sylfaen"/>
          <w:szCs w:val="22"/>
          <w:lang w:val="ka-GE" w:eastAsia="en-US"/>
        </w:rPr>
        <w:t xml:space="preserve"> EHS-</w:t>
      </w:r>
      <w:r>
        <w:rPr>
          <w:rFonts w:ascii="Sylfaen" w:eastAsiaTheme="minorHAnsi" w:hAnsi="Sylfaen" w:cs="Sylfaen"/>
          <w:szCs w:val="22"/>
          <w:lang w:val="ka-GE" w:eastAsia="en-US"/>
        </w:rPr>
        <w:t>ის</w:t>
      </w:r>
      <w:r>
        <w:rPr>
          <w:rFonts w:eastAsiaTheme="minorHAnsi" w:cs="Sylfaen"/>
          <w:szCs w:val="22"/>
          <w:lang w:val="ka-GE" w:eastAsia="en-US"/>
        </w:rPr>
        <w:t xml:space="preserve"> </w:t>
      </w:r>
      <w:r>
        <w:rPr>
          <w:rFonts w:ascii="Sylfaen" w:eastAsiaTheme="minorHAnsi" w:hAnsi="Sylfaen" w:cs="Sylfaen"/>
          <w:szCs w:val="22"/>
          <w:lang w:val="ka-GE" w:eastAsia="en-US"/>
        </w:rPr>
        <w:t>სტანდარტების</w:t>
      </w:r>
      <w:r>
        <w:rPr>
          <w:rFonts w:eastAsiaTheme="minorHAnsi" w:cs="Sylfaen"/>
          <w:szCs w:val="22"/>
          <w:lang w:val="ka-GE" w:eastAsia="en-US"/>
        </w:rPr>
        <w:t xml:space="preserve"> </w:t>
      </w:r>
      <w:r>
        <w:rPr>
          <w:rFonts w:ascii="Sylfaen" w:eastAsiaTheme="minorHAnsi" w:hAnsi="Sylfaen" w:cs="Sylfaen"/>
          <w:szCs w:val="22"/>
          <w:lang w:val="ka-GE" w:eastAsia="en-US"/>
        </w:rPr>
        <w:t>შესაბამისი</w:t>
      </w:r>
      <w:r>
        <w:rPr>
          <w:rFonts w:eastAsiaTheme="minorHAnsi" w:cs="Sylfaen"/>
          <w:szCs w:val="22"/>
          <w:lang w:val="ka-GE" w:eastAsia="en-US"/>
        </w:rPr>
        <w:t xml:space="preserve"> </w:t>
      </w:r>
      <w:r>
        <w:rPr>
          <w:rFonts w:ascii="Sylfaen" w:eastAsiaTheme="minorHAnsi" w:hAnsi="Sylfaen" w:cs="Sylfaen"/>
          <w:szCs w:val="22"/>
          <w:lang w:val="ka-GE" w:eastAsia="en-US"/>
        </w:rPr>
        <w:t>ხმაურის</w:t>
      </w:r>
      <w:r>
        <w:rPr>
          <w:rFonts w:eastAsiaTheme="minorHAnsi" w:cs="Sylfaen"/>
          <w:szCs w:val="22"/>
          <w:lang w:val="ka-GE" w:eastAsia="en-US"/>
        </w:rPr>
        <w:t xml:space="preserve"> </w:t>
      </w:r>
      <w:r>
        <w:rPr>
          <w:rFonts w:ascii="Sylfaen" w:eastAsiaTheme="minorHAnsi" w:hAnsi="Sylfaen" w:cs="Sylfaen"/>
          <w:szCs w:val="22"/>
          <w:lang w:val="ka-GE" w:eastAsia="en-US"/>
        </w:rPr>
        <w:t>დასაშვები</w:t>
      </w:r>
      <w:r>
        <w:rPr>
          <w:rFonts w:eastAsiaTheme="minorHAnsi" w:cs="Sylfaen"/>
          <w:szCs w:val="22"/>
          <w:lang w:val="ka-GE" w:eastAsia="en-US"/>
        </w:rPr>
        <w:t xml:space="preserve"> </w:t>
      </w:r>
      <w:r>
        <w:rPr>
          <w:rFonts w:ascii="Sylfaen" w:eastAsiaTheme="minorHAnsi" w:hAnsi="Sylfaen" w:cs="Sylfaen"/>
          <w:szCs w:val="22"/>
          <w:lang w:val="ka-GE" w:eastAsia="en-US"/>
        </w:rPr>
        <w:t>დონეები</w:t>
      </w:r>
      <w:r>
        <w:rPr>
          <w:rFonts w:eastAsiaTheme="minorHAnsi" w:cs="Sylfaen"/>
          <w:szCs w:val="22"/>
          <w:lang w:val="ka-GE" w:eastAsia="en-US"/>
        </w:rPr>
        <w:t xml:space="preserve"> </w:t>
      </w:r>
      <w:r>
        <w:rPr>
          <w:rFonts w:ascii="Sylfaen" w:eastAsiaTheme="minorHAnsi" w:hAnsi="Sylfaen" w:cs="Sylfaen"/>
          <w:szCs w:val="22"/>
          <w:lang w:val="ka-GE" w:eastAsia="en-US"/>
        </w:rPr>
        <w:t>მოცემულია</w:t>
      </w:r>
      <w:r>
        <w:rPr>
          <w:rFonts w:eastAsiaTheme="minorHAnsi" w:cs="Sylfaen"/>
          <w:szCs w:val="22"/>
          <w:lang w:val="ka-GE" w:eastAsia="en-US"/>
        </w:rPr>
        <w:t xml:space="preserve"> </w:t>
      </w:r>
      <w:r>
        <w:rPr>
          <w:rFonts w:ascii="Sylfaen" w:eastAsiaTheme="minorHAnsi" w:hAnsi="Sylfaen" w:cs="Sylfaen"/>
          <w:szCs w:val="22"/>
          <w:lang w:val="ka-GE" w:eastAsia="en-US"/>
        </w:rPr>
        <w:t>ქვემოთ</w:t>
      </w:r>
      <w:r>
        <w:rPr>
          <w:rFonts w:eastAsiaTheme="minorHAnsi" w:cs="Sylfaen"/>
          <w:szCs w:val="22"/>
          <w:lang w:val="ka-GE" w:eastAsia="en-US"/>
        </w:rPr>
        <w:t>.</w:t>
      </w:r>
    </w:p>
    <w:p w14:paraId="6F9B437E" w14:textId="77777777" w:rsidR="00980876" w:rsidRDefault="00980876" w:rsidP="00980876">
      <w:pPr>
        <w:pStyle w:val="lentele"/>
        <w:numPr>
          <w:ilvl w:val="0"/>
          <w:numId w:val="0"/>
        </w:numPr>
        <w:spacing w:before="120" w:after="120" w:line="240" w:lineRule="auto"/>
        <w:jc w:val="center"/>
        <w:rPr>
          <w:rFonts w:ascii="Sylfaen" w:hAnsi="Sylfaen"/>
          <w:color w:val="auto"/>
          <w:szCs w:val="22"/>
          <w:lang w:val="ka-GE"/>
        </w:rPr>
      </w:pPr>
      <w:r>
        <w:rPr>
          <w:rFonts w:ascii="Sylfaen" w:hAnsi="Sylfaen"/>
          <w:color w:val="auto"/>
          <w:lang w:val="ka-GE"/>
        </w:rPr>
        <w:lastRenderedPageBreak/>
        <w:t>საქართველოს ხმაურის სტანდარტების და EHS-ის სახელმძღვანელო დოკუმენტების შესაბამისი ხმაურის დასაშვები ნორმები</w:t>
      </w:r>
    </w:p>
    <w:tbl>
      <w:tblPr>
        <w:tblW w:w="0" w:type="dxa"/>
        <w:tblInd w:w="710" w:type="dxa"/>
        <w:tblLayout w:type="fixed"/>
        <w:tblCellMar>
          <w:left w:w="0" w:type="dxa"/>
          <w:right w:w="0" w:type="dxa"/>
        </w:tblCellMar>
        <w:tblLook w:val="04A0" w:firstRow="1" w:lastRow="0" w:firstColumn="1" w:lastColumn="0" w:noHBand="0" w:noVBand="1"/>
      </w:tblPr>
      <w:tblGrid>
        <w:gridCol w:w="3960"/>
        <w:gridCol w:w="1170"/>
        <w:gridCol w:w="1170"/>
        <w:gridCol w:w="1260"/>
        <w:gridCol w:w="1463"/>
      </w:tblGrid>
      <w:tr w:rsidR="00980876" w14:paraId="7925BA90" w14:textId="77777777">
        <w:tc>
          <w:tcPr>
            <w:tcW w:w="3960" w:type="dxa"/>
            <w:vMerge w:val="restart"/>
            <w:tcBorders>
              <w:top w:val="single" w:sz="8" w:space="0" w:color="auto"/>
              <w:left w:val="single" w:sz="8" w:space="0" w:color="auto"/>
              <w:bottom w:val="single" w:sz="8" w:space="0" w:color="auto"/>
              <w:right w:val="single" w:sz="8" w:space="0" w:color="auto"/>
            </w:tcBorders>
            <w:shd w:val="pct5" w:color="auto" w:fill="auto"/>
            <w:tcMar>
              <w:top w:w="0" w:type="dxa"/>
              <w:left w:w="108" w:type="dxa"/>
              <w:bottom w:w="0" w:type="dxa"/>
              <w:right w:w="108" w:type="dxa"/>
            </w:tcMar>
          </w:tcPr>
          <w:p w14:paraId="32793A1A" w14:textId="77777777" w:rsidR="00980876" w:rsidRDefault="00980876">
            <w:pPr>
              <w:spacing w:line="256" w:lineRule="auto"/>
              <w:rPr>
                <w:rFonts w:ascii="Sylfaen" w:hAnsi="Sylfaen"/>
                <w:b/>
                <w:bCs/>
                <w:color w:val="000000"/>
                <w:sz w:val="18"/>
                <w:szCs w:val="18"/>
                <w:lang w:val="ka-GE" w:eastAsia="en-US"/>
              </w:rPr>
            </w:pPr>
          </w:p>
        </w:tc>
        <w:tc>
          <w:tcPr>
            <w:tcW w:w="2340" w:type="dxa"/>
            <w:gridSpan w:val="2"/>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hideMark/>
          </w:tcPr>
          <w:p w14:paraId="6FB6BEB3" w14:textId="77777777" w:rsidR="00980876" w:rsidRDefault="00980876">
            <w:pPr>
              <w:autoSpaceDE w:val="0"/>
              <w:autoSpaceDN w:val="0"/>
              <w:adjustRightInd w:val="0"/>
              <w:spacing w:line="256" w:lineRule="auto"/>
              <w:jc w:val="center"/>
              <w:rPr>
                <w:rFonts w:eastAsiaTheme="minorHAnsi" w:cs="Sylfaen"/>
                <w:sz w:val="18"/>
                <w:szCs w:val="18"/>
                <w:lang w:val="ka-GE" w:eastAsia="en-US"/>
              </w:rPr>
            </w:pPr>
            <w:r>
              <w:rPr>
                <w:rFonts w:ascii="Sylfaen" w:eastAsiaTheme="minorHAnsi" w:hAnsi="Sylfaen" w:cs="Sylfaen"/>
                <w:sz w:val="18"/>
                <w:szCs w:val="18"/>
                <w:lang w:val="ka-GE" w:eastAsia="en-US"/>
              </w:rPr>
              <w:t>საქართველოს</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ხმაურის</w:t>
            </w:r>
          </w:p>
          <w:p w14:paraId="50BECF43" w14:textId="77777777" w:rsidR="00980876" w:rsidRDefault="00980876">
            <w:pPr>
              <w:spacing w:line="256" w:lineRule="auto"/>
              <w:jc w:val="center"/>
              <w:rPr>
                <w:b/>
                <w:bCs/>
                <w:color w:val="000000"/>
                <w:sz w:val="18"/>
                <w:szCs w:val="18"/>
                <w:lang w:val="ka-GE" w:eastAsia="en-US"/>
              </w:rPr>
            </w:pPr>
            <w:r>
              <w:rPr>
                <w:rFonts w:ascii="Sylfaen" w:eastAsiaTheme="minorHAnsi" w:hAnsi="Sylfaen" w:cs="Sylfaen"/>
                <w:sz w:val="18"/>
                <w:szCs w:val="18"/>
                <w:lang w:val="ka-GE" w:eastAsia="en-US"/>
              </w:rPr>
              <w:t>სტანდარტები</w:t>
            </w:r>
          </w:p>
        </w:tc>
        <w:tc>
          <w:tcPr>
            <w:tcW w:w="2723" w:type="dxa"/>
            <w:gridSpan w:val="2"/>
            <w:tcBorders>
              <w:top w:val="single" w:sz="8" w:space="0" w:color="auto"/>
              <w:left w:val="nil"/>
              <w:bottom w:val="single" w:sz="8" w:space="0" w:color="auto"/>
              <w:right w:val="single" w:sz="8" w:space="0" w:color="auto"/>
            </w:tcBorders>
            <w:shd w:val="pct5" w:color="auto" w:fill="auto"/>
            <w:hideMark/>
          </w:tcPr>
          <w:p w14:paraId="43222F75" w14:textId="77777777" w:rsidR="00980876" w:rsidRDefault="00980876">
            <w:pPr>
              <w:autoSpaceDE w:val="0"/>
              <w:autoSpaceDN w:val="0"/>
              <w:adjustRightInd w:val="0"/>
              <w:spacing w:line="256" w:lineRule="auto"/>
              <w:jc w:val="center"/>
              <w:rPr>
                <w:rFonts w:eastAsiaTheme="minorHAnsi" w:cs="Sylfaen"/>
                <w:sz w:val="18"/>
                <w:szCs w:val="18"/>
                <w:lang w:val="ka-GE" w:eastAsia="en-US"/>
              </w:rPr>
            </w:pPr>
            <w:r>
              <w:rPr>
                <w:rFonts w:eastAsiaTheme="minorHAnsi" w:cs="Sylfaen"/>
                <w:sz w:val="18"/>
                <w:szCs w:val="18"/>
                <w:lang w:val="ka-GE" w:eastAsia="en-US"/>
              </w:rPr>
              <w:t>EHS-</w:t>
            </w:r>
            <w:r>
              <w:rPr>
                <w:rFonts w:ascii="Sylfaen" w:eastAsiaTheme="minorHAnsi" w:hAnsi="Sylfaen" w:cs="Sylfaen"/>
                <w:sz w:val="18"/>
                <w:szCs w:val="18"/>
                <w:lang w:val="ka-GE" w:eastAsia="en-US"/>
              </w:rPr>
              <w:t>ის</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სახელმძღვანელო</w:t>
            </w:r>
          </w:p>
          <w:p w14:paraId="1183677C" w14:textId="77777777" w:rsidR="00980876" w:rsidRDefault="00980876">
            <w:pPr>
              <w:spacing w:line="256" w:lineRule="auto"/>
              <w:jc w:val="center"/>
              <w:rPr>
                <w:b/>
                <w:bCs/>
                <w:color w:val="000000"/>
                <w:sz w:val="18"/>
                <w:szCs w:val="18"/>
                <w:lang w:val="ka-GE" w:eastAsia="en-US"/>
              </w:rPr>
            </w:pPr>
            <w:r>
              <w:rPr>
                <w:rFonts w:ascii="Sylfaen" w:eastAsiaTheme="minorHAnsi" w:hAnsi="Sylfaen" w:cs="Sylfaen"/>
                <w:sz w:val="18"/>
                <w:szCs w:val="18"/>
                <w:lang w:val="ka-GE" w:eastAsia="en-US"/>
              </w:rPr>
              <w:t>დოკუმენტები</w:t>
            </w:r>
          </w:p>
        </w:tc>
      </w:tr>
      <w:tr w:rsidR="00980876" w14:paraId="609AFED9" w14:textId="77777777">
        <w:tc>
          <w:tcPr>
            <w:tcW w:w="3960" w:type="dxa"/>
            <w:vMerge/>
            <w:tcBorders>
              <w:top w:val="single" w:sz="8" w:space="0" w:color="auto"/>
              <w:left w:val="single" w:sz="8" w:space="0" w:color="auto"/>
              <w:bottom w:val="single" w:sz="8" w:space="0" w:color="auto"/>
              <w:right w:val="single" w:sz="8" w:space="0" w:color="auto"/>
            </w:tcBorders>
            <w:vAlign w:val="center"/>
            <w:hideMark/>
          </w:tcPr>
          <w:p w14:paraId="37732132" w14:textId="77777777" w:rsidR="00980876" w:rsidRDefault="00980876">
            <w:pPr>
              <w:spacing w:line="256" w:lineRule="auto"/>
              <w:jc w:val="left"/>
              <w:rPr>
                <w:rFonts w:ascii="Sylfaen" w:hAnsi="Sylfaen"/>
                <w:b/>
                <w:bCs/>
                <w:color w:val="000000"/>
                <w:sz w:val="18"/>
                <w:szCs w:val="18"/>
                <w:lang w:val="ka-GE" w:eastAsia="en-US"/>
              </w:rPr>
            </w:pPr>
          </w:p>
        </w:tc>
        <w:tc>
          <w:tcPr>
            <w:tcW w:w="1170" w:type="dxa"/>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hideMark/>
          </w:tcPr>
          <w:p w14:paraId="56CD50CE" w14:textId="77777777" w:rsidR="00980876" w:rsidRDefault="00980876">
            <w:pPr>
              <w:spacing w:line="256" w:lineRule="auto"/>
              <w:jc w:val="center"/>
              <w:rPr>
                <w:b/>
                <w:bCs/>
                <w:color w:val="000000"/>
                <w:sz w:val="18"/>
                <w:szCs w:val="18"/>
                <w:lang w:val="ka-GE" w:eastAsia="en-US"/>
              </w:rPr>
            </w:pPr>
            <w:r>
              <w:rPr>
                <w:b/>
                <w:bCs/>
                <w:color w:val="000000"/>
                <w:sz w:val="18"/>
                <w:szCs w:val="18"/>
                <w:lang w:val="ka-GE" w:eastAsia="en-US"/>
              </w:rPr>
              <w:t>7:00 – 11:00</w:t>
            </w:r>
          </w:p>
        </w:tc>
        <w:tc>
          <w:tcPr>
            <w:tcW w:w="1170" w:type="dxa"/>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hideMark/>
          </w:tcPr>
          <w:p w14:paraId="1DA1E048" w14:textId="77777777" w:rsidR="00980876" w:rsidRDefault="00980876">
            <w:pPr>
              <w:spacing w:line="256" w:lineRule="auto"/>
              <w:jc w:val="center"/>
              <w:rPr>
                <w:b/>
                <w:bCs/>
                <w:color w:val="000000"/>
                <w:sz w:val="18"/>
                <w:szCs w:val="18"/>
                <w:lang w:val="ka-GE" w:eastAsia="en-US"/>
              </w:rPr>
            </w:pPr>
            <w:r>
              <w:rPr>
                <w:b/>
                <w:bCs/>
                <w:color w:val="000000"/>
                <w:sz w:val="18"/>
                <w:szCs w:val="18"/>
                <w:lang w:val="ka-GE" w:eastAsia="en-US"/>
              </w:rPr>
              <w:t>11:00 – 19:00</w:t>
            </w:r>
          </w:p>
        </w:tc>
        <w:tc>
          <w:tcPr>
            <w:tcW w:w="1260" w:type="dxa"/>
            <w:tcBorders>
              <w:top w:val="single" w:sz="8" w:space="0" w:color="auto"/>
              <w:left w:val="nil"/>
              <w:bottom w:val="single" w:sz="8" w:space="0" w:color="auto"/>
              <w:right w:val="single" w:sz="4" w:space="0" w:color="auto"/>
            </w:tcBorders>
            <w:shd w:val="pct5" w:color="auto" w:fill="auto"/>
            <w:hideMark/>
          </w:tcPr>
          <w:p w14:paraId="6625DDC8" w14:textId="77777777" w:rsidR="00980876" w:rsidRDefault="00980876">
            <w:pPr>
              <w:spacing w:line="256" w:lineRule="auto"/>
              <w:jc w:val="center"/>
              <w:rPr>
                <w:b/>
                <w:bCs/>
                <w:color w:val="000000"/>
                <w:sz w:val="18"/>
                <w:szCs w:val="18"/>
                <w:lang w:val="ka-GE" w:eastAsia="en-US"/>
              </w:rPr>
            </w:pPr>
            <w:r>
              <w:rPr>
                <w:b/>
                <w:bCs/>
                <w:color w:val="000000"/>
                <w:sz w:val="18"/>
                <w:szCs w:val="18"/>
                <w:lang w:val="ka-GE" w:eastAsia="en-US"/>
              </w:rPr>
              <w:t>7:00 – 11:00</w:t>
            </w:r>
          </w:p>
        </w:tc>
        <w:tc>
          <w:tcPr>
            <w:tcW w:w="1462" w:type="dxa"/>
            <w:tcBorders>
              <w:top w:val="single" w:sz="8" w:space="0" w:color="auto"/>
              <w:left w:val="single" w:sz="4" w:space="0" w:color="auto"/>
              <w:bottom w:val="single" w:sz="8" w:space="0" w:color="auto"/>
              <w:right w:val="single" w:sz="8" w:space="0" w:color="auto"/>
            </w:tcBorders>
            <w:shd w:val="pct5" w:color="auto" w:fill="auto"/>
            <w:hideMark/>
          </w:tcPr>
          <w:p w14:paraId="55BA2144" w14:textId="77777777" w:rsidR="00980876" w:rsidRDefault="00980876">
            <w:pPr>
              <w:spacing w:line="256" w:lineRule="auto"/>
              <w:jc w:val="center"/>
              <w:rPr>
                <w:b/>
                <w:bCs/>
                <w:color w:val="000000"/>
                <w:sz w:val="18"/>
                <w:szCs w:val="18"/>
                <w:lang w:val="ka-GE" w:eastAsia="en-US"/>
              </w:rPr>
            </w:pPr>
            <w:r>
              <w:rPr>
                <w:b/>
                <w:bCs/>
                <w:color w:val="000000"/>
                <w:sz w:val="18"/>
                <w:szCs w:val="18"/>
                <w:lang w:val="ka-GE" w:eastAsia="en-US"/>
              </w:rPr>
              <w:t>11:00 – 19:00</w:t>
            </w:r>
          </w:p>
        </w:tc>
      </w:tr>
      <w:tr w:rsidR="00980876" w14:paraId="7AE7A2E6" w14:textId="77777777">
        <w:tc>
          <w:tcPr>
            <w:tcW w:w="3960" w:type="dxa"/>
            <w:vMerge/>
            <w:tcBorders>
              <w:top w:val="single" w:sz="8" w:space="0" w:color="auto"/>
              <w:left w:val="single" w:sz="8" w:space="0" w:color="auto"/>
              <w:bottom w:val="single" w:sz="8" w:space="0" w:color="auto"/>
              <w:right w:val="single" w:sz="8" w:space="0" w:color="auto"/>
            </w:tcBorders>
            <w:vAlign w:val="center"/>
            <w:hideMark/>
          </w:tcPr>
          <w:p w14:paraId="352FC02C" w14:textId="77777777" w:rsidR="00980876" w:rsidRDefault="00980876">
            <w:pPr>
              <w:spacing w:line="256" w:lineRule="auto"/>
              <w:jc w:val="left"/>
              <w:rPr>
                <w:rFonts w:ascii="Sylfaen" w:hAnsi="Sylfaen"/>
                <w:b/>
                <w:bCs/>
                <w:color w:val="000000"/>
                <w:sz w:val="18"/>
                <w:szCs w:val="18"/>
                <w:lang w:val="ka-GE" w:eastAsia="en-US"/>
              </w:rPr>
            </w:pPr>
          </w:p>
        </w:tc>
        <w:tc>
          <w:tcPr>
            <w:tcW w:w="1170" w:type="dxa"/>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hideMark/>
          </w:tcPr>
          <w:p w14:paraId="03EC1CB3" w14:textId="77777777" w:rsidR="00980876" w:rsidRDefault="00980876">
            <w:pPr>
              <w:spacing w:line="256" w:lineRule="auto"/>
              <w:jc w:val="center"/>
              <w:rPr>
                <w:bCs/>
                <w:color w:val="000000"/>
                <w:sz w:val="18"/>
                <w:szCs w:val="18"/>
                <w:lang w:val="ka-GE" w:eastAsia="en-US"/>
              </w:rPr>
            </w:pPr>
            <w:r>
              <w:rPr>
                <w:bCs/>
                <w:color w:val="000000"/>
                <w:sz w:val="18"/>
                <w:szCs w:val="18"/>
                <w:lang w:val="ka-GE" w:eastAsia="en-US"/>
              </w:rPr>
              <w:t>dBA</w:t>
            </w:r>
          </w:p>
        </w:tc>
        <w:tc>
          <w:tcPr>
            <w:tcW w:w="1170" w:type="dxa"/>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hideMark/>
          </w:tcPr>
          <w:p w14:paraId="1415A1CC" w14:textId="77777777" w:rsidR="00980876" w:rsidRDefault="00980876">
            <w:pPr>
              <w:spacing w:line="256" w:lineRule="auto"/>
              <w:jc w:val="center"/>
              <w:rPr>
                <w:bCs/>
                <w:color w:val="000000"/>
                <w:sz w:val="18"/>
                <w:szCs w:val="18"/>
                <w:lang w:val="ka-GE" w:eastAsia="en-US"/>
              </w:rPr>
            </w:pPr>
            <w:r>
              <w:rPr>
                <w:bCs/>
                <w:color w:val="000000"/>
                <w:sz w:val="18"/>
                <w:szCs w:val="18"/>
                <w:lang w:val="ka-GE" w:eastAsia="en-US"/>
              </w:rPr>
              <w:t>dBA</w:t>
            </w:r>
          </w:p>
        </w:tc>
        <w:tc>
          <w:tcPr>
            <w:tcW w:w="1260" w:type="dxa"/>
            <w:tcBorders>
              <w:top w:val="single" w:sz="8" w:space="0" w:color="auto"/>
              <w:left w:val="nil"/>
              <w:bottom w:val="single" w:sz="8" w:space="0" w:color="auto"/>
              <w:right w:val="single" w:sz="4" w:space="0" w:color="auto"/>
            </w:tcBorders>
            <w:shd w:val="pct5" w:color="auto" w:fill="auto"/>
            <w:hideMark/>
          </w:tcPr>
          <w:p w14:paraId="1CECCD61" w14:textId="77777777" w:rsidR="00980876" w:rsidRDefault="00980876">
            <w:pPr>
              <w:spacing w:line="256" w:lineRule="auto"/>
              <w:jc w:val="center"/>
              <w:rPr>
                <w:bCs/>
                <w:color w:val="000000"/>
                <w:sz w:val="18"/>
                <w:szCs w:val="18"/>
                <w:lang w:val="ka-GE" w:eastAsia="en-US"/>
              </w:rPr>
            </w:pPr>
            <w:r>
              <w:rPr>
                <w:rFonts w:ascii="Sylfaen" w:hAnsi="Sylfaen" w:cs="Sylfaen"/>
                <w:bCs/>
                <w:color w:val="000000"/>
                <w:sz w:val="18"/>
                <w:szCs w:val="18"/>
                <w:lang w:val="ka-GE" w:eastAsia="en-US"/>
              </w:rPr>
              <w:t>ექვივალენტი</w:t>
            </w:r>
            <w:r>
              <w:rPr>
                <w:bCs/>
                <w:color w:val="000000"/>
                <w:sz w:val="18"/>
                <w:szCs w:val="18"/>
                <w:lang w:val="ka-GE" w:eastAsia="en-US"/>
              </w:rPr>
              <w:t>, LA</w:t>
            </w:r>
            <w:r>
              <w:rPr>
                <w:bCs/>
                <w:color w:val="000000"/>
                <w:sz w:val="18"/>
                <w:szCs w:val="18"/>
                <w:vertAlign w:val="subscript"/>
                <w:lang w:val="ka-GE" w:eastAsia="en-US"/>
              </w:rPr>
              <w:t>EQ</w:t>
            </w:r>
            <w:r>
              <w:rPr>
                <w:bCs/>
                <w:color w:val="000000"/>
                <w:sz w:val="18"/>
                <w:szCs w:val="18"/>
                <w:lang w:val="ka-GE" w:eastAsia="en-US"/>
              </w:rPr>
              <w:t>, 1 h, dBA</w:t>
            </w:r>
          </w:p>
        </w:tc>
        <w:tc>
          <w:tcPr>
            <w:tcW w:w="1462" w:type="dxa"/>
            <w:tcBorders>
              <w:top w:val="single" w:sz="8" w:space="0" w:color="auto"/>
              <w:left w:val="single" w:sz="4" w:space="0" w:color="auto"/>
              <w:bottom w:val="single" w:sz="8" w:space="0" w:color="auto"/>
              <w:right w:val="single" w:sz="8" w:space="0" w:color="auto"/>
            </w:tcBorders>
            <w:shd w:val="pct5" w:color="auto" w:fill="auto"/>
            <w:hideMark/>
          </w:tcPr>
          <w:p w14:paraId="438FB38B" w14:textId="77777777" w:rsidR="00980876" w:rsidRDefault="00980876">
            <w:pPr>
              <w:spacing w:line="256" w:lineRule="auto"/>
              <w:jc w:val="center"/>
              <w:rPr>
                <w:bCs/>
                <w:color w:val="000000"/>
                <w:sz w:val="18"/>
                <w:szCs w:val="18"/>
                <w:lang w:val="ka-GE" w:eastAsia="en-US"/>
              </w:rPr>
            </w:pPr>
            <w:r>
              <w:rPr>
                <w:rFonts w:ascii="Sylfaen" w:hAnsi="Sylfaen" w:cs="Sylfaen"/>
                <w:bCs/>
                <w:color w:val="000000"/>
                <w:sz w:val="18"/>
                <w:szCs w:val="18"/>
                <w:lang w:val="ka-GE" w:eastAsia="en-US"/>
              </w:rPr>
              <w:t>ექვივალენტი</w:t>
            </w:r>
            <w:r>
              <w:rPr>
                <w:bCs/>
                <w:color w:val="000000"/>
                <w:sz w:val="18"/>
                <w:szCs w:val="18"/>
                <w:lang w:val="ka-GE" w:eastAsia="en-US"/>
              </w:rPr>
              <w:t>, LA</w:t>
            </w:r>
            <w:r>
              <w:rPr>
                <w:bCs/>
                <w:color w:val="000000"/>
                <w:sz w:val="18"/>
                <w:szCs w:val="18"/>
                <w:vertAlign w:val="subscript"/>
                <w:lang w:val="ka-GE" w:eastAsia="en-US"/>
              </w:rPr>
              <w:t>EQ</w:t>
            </w:r>
            <w:r>
              <w:rPr>
                <w:bCs/>
                <w:color w:val="000000"/>
                <w:sz w:val="18"/>
                <w:szCs w:val="18"/>
                <w:lang w:val="ka-GE" w:eastAsia="en-US"/>
              </w:rPr>
              <w:t>, 1 h, dBA</w:t>
            </w:r>
          </w:p>
        </w:tc>
      </w:tr>
      <w:tr w:rsidR="00980876" w14:paraId="6786F7A5" w14:textId="77777777">
        <w:tc>
          <w:tcPr>
            <w:tcW w:w="39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6155BB" w14:textId="77777777" w:rsidR="00980876" w:rsidRDefault="00980876">
            <w:pPr>
              <w:autoSpaceDE w:val="0"/>
              <w:autoSpaceDN w:val="0"/>
              <w:adjustRightInd w:val="0"/>
              <w:spacing w:line="256" w:lineRule="auto"/>
              <w:rPr>
                <w:b/>
                <w:bCs/>
                <w:color w:val="000000"/>
                <w:sz w:val="18"/>
                <w:szCs w:val="18"/>
                <w:lang w:val="ka-GE" w:eastAsia="en-US"/>
              </w:rPr>
            </w:pPr>
            <w:r>
              <w:rPr>
                <w:rFonts w:ascii="Sylfaen" w:eastAsiaTheme="minorHAnsi" w:hAnsi="Sylfaen" w:cs="Sylfaen"/>
                <w:sz w:val="18"/>
                <w:szCs w:val="18"/>
                <w:lang w:val="ka-GE" w:eastAsia="en-US"/>
              </w:rPr>
              <w:t>საცხოვრებელი</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სახლების</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სკოლებისა</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და</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საგანმანათლებო</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დაწესებულების</w:t>
            </w:r>
            <w:r>
              <w:rPr>
                <w:rFonts w:eastAsiaTheme="minorHAnsi" w:cs="Sylfaen"/>
                <w:sz w:val="18"/>
                <w:szCs w:val="18"/>
                <w:lang w:val="ka-GE" w:eastAsia="en-US"/>
              </w:rPr>
              <w:t xml:space="preserve"> </w:t>
            </w:r>
            <w:r>
              <w:rPr>
                <w:rFonts w:ascii="Sylfaen" w:eastAsiaTheme="minorHAnsi" w:hAnsi="Sylfaen" w:cs="Sylfaen"/>
                <w:b/>
                <w:sz w:val="18"/>
                <w:szCs w:val="18"/>
                <w:lang w:val="ka-GE" w:eastAsia="en-US"/>
              </w:rPr>
              <w:t>მიმდებარე</w:t>
            </w:r>
            <w:r>
              <w:rPr>
                <w:rFonts w:eastAsiaTheme="minorHAnsi" w:cs="Sylfaen"/>
                <w:b/>
                <w:sz w:val="18"/>
                <w:szCs w:val="18"/>
                <w:lang w:val="ka-GE" w:eastAsia="en-US"/>
              </w:rPr>
              <w:t xml:space="preserve"> </w:t>
            </w:r>
            <w:r>
              <w:rPr>
                <w:rFonts w:ascii="Sylfaen" w:eastAsiaTheme="minorHAnsi" w:hAnsi="Sylfaen" w:cs="Sylfaen"/>
                <w:b/>
                <w:sz w:val="18"/>
                <w:szCs w:val="18"/>
                <w:lang w:val="ka-GE" w:eastAsia="en-US"/>
              </w:rPr>
              <w:t>ტერიტორია</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6822AA4B" w14:textId="77777777" w:rsidR="00980876" w:rsidRDefault="00980876">
            <w:pPr>
              <w:spacing w:line="256" w:lineRule="auto"/>
              <w:jc w:val="center"/>
              <w:rPr>
                <w:bCs/>
                <w:color w:val="000000"/>
                <w:sz w:val="18"/>
                <w:szCs w:val="18"/>
                <w:lang w:val="ka-GE" w:eastAsia="en-US"/>
              </w:rPr>
            </w:pPr>
            <w:r>
              <w:rPr>
                <w:bCs/>
                <w:color w:val="000000"/>
                <w:sz w:val="18"/>
                <w:szCs w:val="18"/>
                <w:lang w:val="ka-GE" w:eastAsia="en-US"/>
              </w:rPr>
              <w:t>55</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14EBE467" w14:textId="77777777" w:rsidR="00980876" w:rsidRDefault="00980876">
            <w:pPr>
              <w:spacing w:line="256" w:lineRule="auto"/>
              <w:jc w:val="center"/>
              <w:rPr>
                <w:bCs/>
                <w:color w:val="000000"/>
                <w:sz w:val="18"/>
                <w:szCs w:val="18"/>
                <w:lang w:val="ka-GE" w:eastAsia="en-US"/>
              </w:rPr>
            </w:pPr>
            <w:r>
              <w:rPr>
                <w:bCs/>
                <w:color w:val="000000"/>
                <w:sz w:val="18"/>
                <w:szCs w:val="18"/>
                <w:lang w:val="ka-GE" w:eastAsia="en-US"/>
              </w:rPr>
              <w:t>45</w:t>
            </w:r>
          </w:p>
        </w:tc>
        <w:tc>
          <w:tcPr>
            <w:tcW w:w="1260" w:type="dxa"/>
            <w:tcBorders>
              <w:top w:val="nil"/>
              <w:left w:val="nil"/>
              <w:bottom w:val="single" w:sz="8" w:space="0" w:color="auto"/>
              <w:right w:val="single" w:sz="4" w:space="0" w:color="auto"/>
            </w:tcBorders>
            <w:hideMark/>
          </w:tcPr>
          <w:p w14:paraId="38A5FF23" w14:textId="77777777" w:rsidR="00980876" w:rsidRDefault="00980876">
            <w:pPr>
              <w:spacing w:line="256" w:lineRule="auto"/>
              <w:jc w:val="center"/>
              <w:rPr>
                <w:bCs/>
                <w:color w:val="000000"/>
                <w:sz w:val="18"/>
                <w:szCs w:val="18"/>
                <w:lang w:val="ka-GE" w:eastAsia="en-US"/>
              </w:rPr>
            </w:pPr>
            <w:r>
              <w:rPr>
                <w:bCs/>
                <w:color w:val="000000"/>
                <w:sz w:val="18"/>
                <w:szCs w:val="18"/>
                <w:lang w:val="ka-GE" w:eastAsia="en-US"/>
              </w:rPr>
              <w:t>55</w:t>
            </w:r>
          </w:p>
        </w:tc>
        <w:tc>
          <w:tcPr>
            <w:tcW w:w="1462" w:type="dxa"/>
            <w:tcBorders>
              <w:top w:val="nil"/>
              <w:left w:val="single" w:sz="4" w:space="0" w:color="auto"/>
              <w:bottom w:val="single" w:sz="8" w:space="0" w:color="auto"/>
              <w:right w:val="single" w:sz="8" w:space="0" w:color="auto"/>
            </w:tcBorders>
            <w:hideMark/>
          </w:tcPr>
          <w:p w14:paraId="5339B2A3" w14:textId="77777777" w:rsidR="00980876" w:rsidRDefault="00980876">
            <w:pPr>
              <w:spacing w:line="256" w:lineRule="auto"/>
              <w:jc w:val="center"/>
              <w:rPr>
                <w:bCs/>
                <w:color w:val="000000"/>
                <w:sz w:val="18"/>
                <w:szCs w:val="18"/>
                <w:lang w:val="ka-GE" w:eastAsia="en-US"/>
              </w:rPr>
            </w:pPr>
            <w:r>
              <w:rPr>
                <w:bCs/>
                <w:color w:val="000000"/>
                <w:sz w:val="18"/>
                <w:szCs w:val="18"/>
                <w:lang w:val="ka-GE" w:eastAsia="en-US"/>
              </w:rPr>
              <w:t>45</w:t>
            </w:r>
          </w:p>
        </w:tc>
      </w:tr>
      <w:tr w:rsidR="00980876" w14:paraId="0EC8B6CA" w14:textId="77777777">
        <w:tc>
          <w:tcPr>
            <w:tcW w:w="396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FD76C61" w14:textId="77777777" w:rsidR="00980876" w:rsidRDefault="00980876">
            <w:pPr>
              <w:autoSpaceDE w:val="0"/>
              <w:autoSpaceDN w:val="0"/>
              <w:adjustRightInd w:val="0"/>
              <w:spacing w:line="256" w:lineRule="auto"/>
              <w:rPr>
                <w:rFonts w:eastAsiaTheme="minorHAnsi" w:cs="Sylfaen"/>
                <w:sz w:val="18"/>
                <w:szCs w:val="18"/>
                <w:lang w:val="ka-GE" w:eastAsia="en-US"/>
              </w:rPr>
            </w:pPr>
            <w:r>
              <w:rPr>
                <w:rFonts w:ascii="Sylfaen" w:eastAsiaTheme="minorHAnsi" w:hAnsi="Sylfaen" w:cs="Sylfaen"/>
                <w:sz w:val="18"/>
                <w:szCs w:val="18"/>
                <w:lang w:val="ka-GE" w:eastAsia="en-US"/>
              </w:rPr>
              <w:t>სამედიცინო</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დაწესებულებების</w:t>
            </w:r>
          </w:p>
          <w:p w14:paraId="46658D3F" w14:textId="77777777" w:rsidR="00980876" w:rsidRDefault="00980876">
            <w:pPr>
              <w:spacing w:line="256" w:lineRule="auto"/>
              <w:rPr>
                <w:b/>
                <w:bCs/>
                <w:color w:val="000000"/>
                <w:sz w:val="18"/>
                <w:szCs w:val="18"/>
                <w:lang w:val="ka-GE" w:eastAsia="en-US"/>
              </w:rPr>
            </w:pPr>
            <w:r>
              <w:rPr>
                <w:rFonts w:ascii="Sylfaen" w:eastAsiaTheme="minorHAnsi" w:hAnsi="Sylfaen" w:cs="Sylfaen"/>
                <w:b/>
                <w:sz w:val="18"/>
                <w:szCs w:val="18"/>
                <w:lang w:val="ka-GE" w:eastAsia="en-US"/>
              </w:rPr>
              <w:t>მიმდებარე</w:t>
            </w:r>
            <w:r>
              <w:rPr>
                <w:rFonts w:eastAsiaTheme="minorHAnsi" w:cs="Sylfaen"/>
                <w:b/>
                <w:sz w:val="18"/>
                <w:szCs w:val="18"/>
                <w:lang w:val="ka-GE" w:eastAsia="en-US"/>
              </w:rPr>
              <w:t xml:space="preserve"> </w:t>
            </w:r>
            <w:r>
              <w:rPr>
                <w:rFonts w:ascii="Sylfaen" w:eastAsiaTheme="minorHAnsi" w:hAnsi="Sylfaen" w:cs="Sylfaen"/>
                <w:b/>
                <w:sz w:val="18"/>
                <w:szCs w:val="18"/>
                <w:lang w:val="ka-GE" w:eastAsia="en-US"/>
              </w:rPr>
              <w:t>ტერიტორია</w:t>
            </w:r>
          </w:p>
        </w:tc>
        <w:tc>
          <w:tcPr>
            <w:tcW w:w="117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0E872B8" w14:textId="77777777" w:rsidR="00980876" w:rsidRDefault="00980876">
            <w:pPr>
              <w:spacing w:line="256" w:lineRule="auto"/>
              <w:jc w:val="center"/>
              <w:rPr>
                <w:bCs/>
                <w:color w:val="000000"/>
                <w:sz w:val="18"/>
                <w:szCs w:val="18"/>
                <w:lang w:val="ka-GE" w:eastAsia="en-US"/>
              </w:rPr>
            </w:pPr>
            <w:r>
              <w:rPr>
                <w:bCs/>
                <w:color w:val="000000"/>
                <w:sz w:val="18"/>
                <w:szCs w:val="18"/>
                <w:lang w:val="ka-GE" w:eastAsia="en-US"/>
              </w:rPr>
              <w:t>45</w:t>
            </w:r>
          </w:p>
        </w:tc>
        <w:tc>
          <w:tcPr>
            <w:tcW w:w="117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085C59A" w14:textId="77777777" w:rsidR="00980876" w:rsidRDefault="00980876">
            <w:pPr>
              <w:spacing w:line="256" w:lineRule="auto"/>
              <w:jc w:val="center"/>
              <w:rPr>
                <w:bCs/>
                <w:color w:val="000000"/>
                <w:sz w:val="18"/>
                <w:szCs w:val="18"/>
                <w:lang w:val="ka-GE" w:eastAsia="en-US"/>
              </w:rPr>
            </w:pPr>
            <w:r>
              <w:rPr>
                <w:bCs/>
                <w:color w:val="000000"/>
                <w:sz w:val="18"/>
                <w:szCs w:val="18"/>
                <w:lang w:val="ka-GE" w:eastAsia="en-US"/>
              </w:rPr>
              <w:t>35</w:t>
            </w:r>
          </w:p>
        </w:tc>
        <w:tc>
          <w:tcPr>
            <w:tcW w:w="1260" w:type="dxa"/>
            <w:tcBorders>
              <w:top w:val="single" w:sz="4" w:space="0" w:color="auto"/>
              <w:left w:val="nil"/>
              <w:bottom w:val="single" w:sz="4" w:space="0" w:color="auto"/>
              <w:right w:val="single" w:sz="4" w:space="0" w:color="auto"/>
            </w:tcBorders>
            <w:hideMark/>
          </w:tcPr>
          <w:p w14:paraId="16FA66BC" w14:textId="77777777" w:rsidR="00980876" w:rsidRDefault="00980876">
            <w:pPr>
              <w:spacing w:line="256" w:lineRule="auto"/>
              <w:jc w:val="center"/>
              <w:rPr>
                <w:bCs/>
                <w:color w:val="000000"/>
                <w:sz w:val="18"/>
                <w:szCs w:val="18"/>
                <w:lang w:val="ka-GE" w:eastAsia="en-US"/>
              </w:rPr>
            </w:pPr>
            <w:r>
              <w:rPr>
                <w:bCs/>
                <w:color w:val="000000"/>
                <w:sz w:val="18"/>
                <w:szCs w:val="18"/>
                <w:lang w:val="ka-GE" w:eastAsia="en-US"/>
              </w:rPr>
              <w:t>-</w:t>
            </w:r>
          </w:p>
        </w:tc>
        <w:tc>
          <w:tcPr>
            <w:tcW w:w="1462" w:type="dxa"/>
            <w:tcBorders>
              <w:top w:val="single" w:sz="4" w:space="0" w:color="auto"/>
              <w:left w:val="single" w:sz="4" w:space="0" w:color="auto"/>
              <w:bottom w:val="single" w:sz="4" w:space="0" w:color="auto"/>
              <w:right w:val="single" w:sz="8" w:space="0" w:color="auto"/>
            </w:tcBorders>
            <w:hideMark/>
          </w:tcPr>
          <w:p w14:paraId="1F440035" w14:textId="77777777" w:rsidR="00980876" w:rsidRDefault="00980876">
            <w:pPr>
              <w:spacing w:line="256" w:lineRule="auto"/>
              <w:jc w:val="center"/>
              <w:rPr>
                <w:bCs/>
                <w:color w:val="000000"/>
                <w:sz w:val="18"/>
                <w:szCs w:val="18"/>
                <w:lang w:val="ka-GE" w:eastAsia="en-US"/>
              </w:rPr>
            </w:pPr>
            <w:r>
              <w:rPr>
                <w:bCs/>
                <w:color w:val="000000"/>
                <w:sz w:val="18"/>
                <w:szCs w:val="18"/>
                <w:lang w:val="ka-GE" w:eastAsia="en-US"/>
              </w:rPr>
              <w:t>-</w:t>
            </w:r>
          </w:p>
        </w:tc>
      </w:tr>
      <w:tr w:rsidR="00980876" w14:paraId="78C9806A" w14:textId="77777777">
        <w:tc>
          <w:tcPr>
            <w:tcW w:w="396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5192C70" w14:textId="77777777" w:rsidR="00980876" w:rsidRDefault="00980876">
            <w:pPr>
              <w:autoSpaceDE w:val="0"/>
              <w:autoSpaceDN w:val="0"/>
              <w:adjustRightInd w:val="0"/>
              <w:spacing w:line="256" w:lineRule="auto"/>
              <w:rPr>
                <w:rFonts w:eastAsiaTheme="minorHAnsi" w:cs="Sylfaen"/>
                <w:b/>
                <w:sz w:val="18"/>
                <w:szCs w:val="18"/>
                <w:lang w:val="ka-GE" w:eastAsia="en-US"/>
              </w:rPr>
            </w:pPr>
            <w:r>
              <w:rPr>
                <w:rFonts w:ascii="Sylfaen" w:eastAsiaTheme="minorHAnsi" w:hAnsi="Sylfaen" w:cs="Sylfaen"/>
                <w:b/>
                <w:sz w:val="18"/>
                <w:szCs w:val="18"/>
                <w:lang w:val="ka-GE" w:eastAsia="en-US"/>
              </w:rPr>
              <w:t>საცხოვრებელი</w:t>
            </w:r>
            <w:r>
              <w:rPr>
                <w:rFonts w:eastAsiaTheme="minorHAnsi" w:cs="Sylfaen"/>
                <w:b/>
                <w:sz w:val="18"/>
                <w:szCs w:val="18"/>
                <w:lang w:val="ka-GE" w:eastAsia="en-US"/>
              </w:rPr>
              <w:t xml:space="preserve"> </w:t>
            </w:r>
            <w:r>
              <w:rPr>
                <w:rFonts w:ascii="Sylfaen" w:eastAsiaTheme="minorHAnsi" w:hAnsi="Sylfaen" w:cs="Sylfaen"/>
                <w:b/>
                <w:sz w:val="18"/>
                <w:szCs w:val="18"/>
                <w:lang w:val="ka-GE" w:eastAsia="en-US"/>
              </w:rPr>
              <w:t>გარემო</w:t>
            </w:r>
            <w:r>
              <w:rPr>
                <w:rFonts w:eastAsiaTheme="minorHAnsi" w:cs="Sylfaen"/>
                <w:b/>
                <w:sz w:val="18"/>
                <w:szCs w:val="18"/>
                <w:lang w:val="ka-GE" w:eastAsia="en-US"/>
              </w:rPr>
              <w:t>:</w:t>
            </w:r>
          </w:p>
          <w:p w14:paraId="71CAA258" w14:textId="77777777" w:rsidR="00980876" w:rsidRDefault="00980876">
            <w:pPr>
              <w:autoSpaceDE w:val="0"/>
              <w:autoSpaceDN w:val="0"/>
              <w:adjustRightInd w:val="0"/>
              <w:spacing w:line="256" w:lineRule="auto"/>
              <w:rPr>
                <w:bCs/>
                <w:color w:val="000000"/>
                <w:sz w:val="18"/>
                <w:szCs w:val="18"/>
                <w:lang w:val="ka-GE" w:eastAsia="en-US"/>
              </w:rPr>
            </w:pPr>
            <w:r>
              <w:rPr>
                <w:rFonts w:ascii="Sylfaen" w:eastAsiaTheme="minorHAnsi" w:hAnsi="Sylfaen" w:cs="Sylfaen"/>
                <w:sz w:val="18"/>
                <w:szCs w:val="18"/>
                <w:lang w:val="ka-GE" w:eastAsia="en-US"/>
              </w:rPr>
              <w:t>საცხოვრებელი</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სახლები</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დასასვენებელი</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სახლები</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საერთო</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საცხოვრებლები</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საბავშვო</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სახლები</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და</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სკოლა</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პანსიონები</w:t>
            </w:r>
          </w:p>
        </w:tc>
        <w:tc>
          <w:tcPr>
            <w:tcW w:w="117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5C30C20" w14:textId="77777777" w:rsidR="00980876" w:rsidRDefault="00980876">
            <w:pPr>
              <w:spacing w:line="256" w:lineRule="auto"/>
              <w:jc w:val="center"/>
              <w:rPr>
                <w:bCs/>
                <w:color w:val="000000"/>
                <w:sz w:val="18"/>
                <w:szCs w:val="18"/>
                <w:lang w:val="ka-GE" w:eastAsia="en-US"/>
              </w:rPr>
            </w:pPr>
            <w:r>
              <w:rPr>
                <w:bCs/>
                <w:color w:val="000000"/>
                <w:sz w:val="18"/>
                <w:szCs w:val="18"/>
                <w:lang w:val="ka-GE" w:eastAsia="en-US"/>
              </w:rPr>
              <w:t>40</w:t>
            </w:r>
          </w:p>
        </w:tc>
        <w:tc>
          <w:tcPr>
            <w:tcW w:w="117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6B4C85F" w14:textId="77777777" w:rsidR="00980876" w:rsidRDefault="00980876">
            <w:pPr>
              <w:spacing w:line="256" w:lineRule="auto"/>
              <w:jc w:val="center"/>
              <w:rPr>
                <w:bCs/>
                <w:color w:val="000000"/>
                <w:sz w:val="18"/>
                <w:szCs w:val="18"/>
                <w:lang w:val="ka-GE" w:eastAsia="en-US"/>
              </w:rPr>
            </w:pPr>
            <w:r>
              <w:rPr>
                <w:bCs/>
                <w:color w:val="000000"/>
                <w:sz w:val="18"/>
                <w:szCs w:val="18"/>
                <w:lang w:val="ka-GE" w:eastAsia="en-US"/>
              </w:rPr>
              <w:t>30</w:t>
            </w:r>
          </w:p>
        </w:tc>
        <w:tc>
          <w:tcPr>
            <w:tcW w:w="1260" w:type="dxa"/>
            <w:tcBorders>
              <w:top w:val="single" w:sz="4" w:space="0" w:color="auto"/>
              <w:left w:val="nil"/>
              <w:bottom w:val="single" w:sz="4" w:space="0" w:color="auto"/>
              <w:right w:val="single" w:sz="4" w:space="0" w:color="auto"/>
            </w:tcBorders>
            <w:hideMark/>
          </w:tcPr>
          <w:p w14:paraId="0077A674" w14:textId="77777777" w:rsidR="00980876" w:rsidRDefault="00980876">
            <w:pPr>
              <w:spacing w:line="256" w:lineRule="auto"/>
              <w:jc w:val="center"/>
              <w:rPr>
                <w:bCs/>
                <w:color w:val="000000"/>
                <w:sz w:val="18"/>
                <w:szCs w:val="18"/>
                <w:lang w:val="ka-GE" w:eastAsia="en-US"/>
              </w:rPr>
            </w:pPr>
            <w:r>
              <w:rPr>
                <w:bCs/>
                <w:color w:val="000000"/>
                <w:sz w:val="18"/>
                <w:szCs w:val="18"/>
                <w:lang w:val="ka-GE" w:eastAsia="en-US"/>
              </w:rPr>
              <w:t>35</w:t>
            </w:r>
          </w:p>
        </w:tc>
        <w:tc>
          <w:tcPr>
            <w:tcW w:w="1462" w:type="dxa"/>
            <w:tcBorders>
              <w:top w:val="single" w:sz="4" w:space="0" w:color="auto"/>
              <w:left w:val="single" w:sz="4" w:space="0" w:color="auto"/>
              <w:bottom w:val="single" w:sz="4" w:space="0" w:color="auto"/>
              <w:right w:val="single" w:sz="8" w:space="0" w:color="auto"/>
            </w:tcBorders>
            <w:hideMark/>
          </w:tcPr>
          <w:p w14:paraId="09395DA0" w14:textId="77777777" w:rsidR="00980876" w:rsidRDefault="00980876">
            <w:pPr>
              <w:spacing w:line="256" w:lineRule="auto"/>
              <w:jc w:val="center"/>
              <w:rPr>
                <w:bCs/>
                <w:color w:val="000000"/>
                <w:sz w:val="18"/>
                <w:szCs w:val="18"/>
                <w:lang w:val="ka-GE" w:eastAsia="en-US"/>
              </w:rPr>
            </w:pPr>
            <w:r>
              <w:rPr>
                <w:bCs/>
                <w:color w:val="000000"/>
                <w:sz w:val="18"/>
                <w:szCs w:val="18"/>
                <w:lang w:val="ka-GE" w:eastAsia="en-US"/>
              </w:rPr>
              <w:t>30</w:t>
            </w:r>
          </w:p>
        </w:tc>
      </w:tr>
      <w:tr w:rsidR="00980876" w14:paraId="07A0870A" w14:textId="77777777">
        <w:tc>
          <w:tcPr>
            <w:tcW w:w="396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5505E2D" w14:textId="77777777" w:rsidR="00980876" w:rsidRDefault="00980876">
            <w:pPr>
              <w:autoSpaceDE w:val="0"/>
              <w:autoSpaceDN w:val="0"/>
              <w:adjustRightInd w:val="0"/>
              <w:spacing w:line="256" w:lineRule="auto"/>
              <w:rPr>
                <w:rFonts w:eastAsiaTheme="minorHAnsi" w:cs="Sylfaen"/>
                <w:b/>
                <w:sz w:val="18"/>
                <w:szCs w:val="18"/>
                <w:lang w:val="ka-GE" w:eastAsia="en-US"/>
              </w:rPr>
            </w:pPr>
            <w:r>
              <w:rPr>
                <w:rFonts w:ascii="Sylfaen" w:eastAsiaTheme="minorHAnsi" w:hAnsi="Sylfaen" w:cs="Sylfaen"/>
                <w:b/>
                <w:sz w:val="18"/>
                <w:szCs w:val="18"/>
                <w:lang w:val="ka-GE" w:eastAsia="en-US"/>
              </w:rPr>
              <w:t>სასტუმროს</w:t>
            </w:r>
            <w:r>
              <w:rPr>
                <w:rFonts w:eastAsiaTheme="minorHAnsi" w:cs="Sylfaen"/>
                <w:b/>
                <w:sz w:val="18"/>
                <w:szCs w:val="18"/>
                <w:lang w:val="ka-GE" w:eastAsia="en-US"/>
              </w:rPr>
              <w:t xml:space="preserve"> </w:t>
            </w:r>
            <w:r>
              <w:rPr>
                <w:rFonts w:ascii="Sylfaen" w:eastAsiaTheme="minorHAnsi" w:hAnsi="Sylfaen" w:cs="Sylfaen"/>
                <w:b/>
                <w:sz w:val="18"/>
                <w:szCs w:val="18"/>
                <w:lang w:val="ka-GE" w:eastAsia="en-US"/>
              </w:rPr>
              <w:t>შენობა</w:t>
            </w:r>
            <w:r>
              <w:rPr>
                <w:rFonts w:eastAsiaTheme="minorHAnsi" w:cs="Sylfaen"/>
                <w:b/>
                <w:sz w:val="18"/>
                <w:szCs w:val="18"/>
                <w:lang w:val="ka-GE" w:eastAsia="en-US"/>
              </w:rPr>
              <w:t>,</w:t>
            </w:r>
          </w:p>
          <w:p w14:paraId="5739C9B9" w14:textId="77777777" w:rsidR="00980876" w:rsidRDefault="00980876">
            <w:pPr>
              <w:spacing w:line="256" w:lineRule="auto"/>
              <w:rPr>
                <w:b/>
                <w:bCs/>
                <w:color w:val="000000"/>
                <w:sz w:val="18"/>
                <w:szCs w:val="18"/>
                <w:lang w:val="ka-GE" w:eastAsia="en-US"/>
              </w:rPr>
            </w:pPr>
            <w:r>
              <w:rPr>
                <w:rFonts w:ascii="Sylfaen" w:eastAsiaTheme="minorHAnsi" w:hAnsi="Sylfaen" w:cs="Sylfaen"/>
                <w:b/>
                <w:sz w:val="18"/>
                <w:szCs w:val="18"/>
                <w:lang w:val="ka-GE" w:eastAsia="en-US"/>
              </w:rPr>
              <w:t>საცხოვრებელი</w:t>
            </w:r>
            <w:r>
              <w:rPr>
                <w:rFonts w:eastAsiaTheme="minorHAnsi" w:cs="Sylfaen"/>
                <w:b/>
                <w:sz w:val="18"/>
                <w:szCs w:val="18"/>
                <w:lang w:val="ka-GE" w:eastAsia="en-US"/>
              </w:rPr>
              <w:t xml:space="preserve"> </w:t>
            </w:r>
            <w:r>
              <w:rPr>
                <w:rFonts w:ascii="Sylfaen" w:eastAsiaTheme="minorHAnsi" w:hAnsi="Sylfaen" w:cs="Sylfaen"/>
                <w:b/>
                <w:sz w:val="18"/>
                <w:szCs w:val="18"/>
                <w:lang w:val="ka-GE" w:eastAsia="en-US"/>
              </w:rPr>
              <w:t>ოთახები</w:t>
            </w:r>
          </w:p>
        </w:tc>
        <w:tc>
          <w:tcPr>
            <w:tcW w:w="117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EFCB531" w14:textId="77777777" w:rsidR="00980876" w:rsidRDefault="00980876">
            <w:pPr>
              <w:spacing w:line="256" w:lineRule="auto"/>
              <w:jc w:val="center"/>
              <w:rPr>
                <w:bCs/>
                <w:color w:val="000000"/>
                <w:sz w:val="18"/>
                <w:szCs w:val="18"/>
                <w:lang w:val="ka-GE" w:eastAsia="en-US"/>
              </w:rPr>
            </w:pPr>
            <w:r>
              <w:rPr>
                <w:bCs/>
                <w:color w:val="000000"/>
                <w:sz w:val="18"/>
                <w:szCs w:val="18"/>
                <w:lang w:val="ka-GE" w:eastAsia="en-US"/>
              </w:rPr>
              <w:t>45</w:t>
            </w:r>
          </w:p>
        </w:tc>
        <w:tc>
          <w:tcPr>
            <w:tcW w:w="117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FC003BA" w14:textId="77777777" w:rsidR="00980876" w:rsidRDefault="00980876">
            <w:pPr>
              <w:spacing w:line="256" w:lineRule="auto"/>
              <w:jc w:val="center"/>
              <w:rPr>
                <w:bCs/>
                <w:color w:val="000000"/>
                <w:sz w:val="18"/>
                <w:szCs w:val="18"/>
                <w:lang w:val="ka-GE" w:eastAsia="en-US"/>
              </w:rPr>
            </w:pPr>
            <w:r>
              <w:rPr>
                <w:bCs/>
                <w:color w:val="000000"/>
                <w:sz w:val="18"/>
                <w:szCs w:val="18"/>
                <w:lang w:val="ka-GE" w:eastAsia="en-US"/>
              </w:rPr>
              <w:t>35</w:t>
            </w:r>
          </w:p>
        </w:tc>
        <w:tc>
          <w:tcPr>
            <w:tcW w:w="1260" w:type="dxa"/>
            <w:tcBorders>
              <w:top w:val="single" w:sz="4" w:space="0" w:color="auto"/>
              <w:left w:val="nil"/>
              <w:bottom w:val="single" w:sz="4" w:space="0" w:color="auto"/>
              <w:right w:val="single" w:sz="4" w:space="0" w:color="auto"/>
            </w:tcBorders>
            <w:hideMark/>
          </w:tcPr>
          <w:p w14:paraId="245BB1C4" w14:textId="77777777" w:rsidR="00980876" w:rsidRDefault="00980876">
            <w:pPr>
              <w:spacing w:line="256" w:lineRule="auto"/>
              <w:jc w:val="center"/>
              <w:rPr>
                <w:bCs/>
                <w:color w:val="000000"/>
                <w:sz w:val="18"/>
                <w:szCs w:val="18"/>
                <w:lang w:val="ka-GE" w:eastAsia="en-US"/>
              </w:rPr>
            </w:pPr>
            <w:r>
              <w:rPr>
                <w:bCs/>
                <w:color w:val="000000"/>
                <w:sz w:val="18"/>
                <w:szCs w:val="18"/>
                <w:lang w:val="ka-GE" w:eastAsia="en-US"/>
              </w:rPr>
              <w:t>-</w:t>
            </w:r>
          </w:p>
        </w:tc>
        <w:tc>
          <w:tcPr>
            <w:tcW w:w="1462" w:type="dxa"/>
            <w:tcBorders>
              <w:top w:val="single" w:sz="4" w:space="0" w:color="auto"/>
              <w:left w:val="single" w:sz="4" w:space="0" w:color="auto"/>
              <w:bottom w:val="single" w:sz="4" w:space="0" w:color="auto"/>
              <w:right w:val="single" w:sz="8" w:space="0" w:color="auto"/>
            </w:tcBorders>
            <w:hideMark/>
          </w:tcPr>
          <w:p w14:paraId="6CBF72B5" w14:textId="77777777" w:rsidR="00980876" w:rsidRDefault="00980876">
            <w:pPr>
              <w:spacing w:line="256" w:lineRule="auto"/>
              <w:jc w:val="center"/>
              <w:rPr>
                <w:bCs/>
                <w:color w:val="000000"/>
                <w:sz w:val="18"/>
                <w:szCs w:val="18"/>
                <w:lang w:val="ka-GE" w:eastAsia="en-US"/>
              </w:rPr>
            </w:pPr>
            <w:r>
              <w:rPr>
                <w:bCs/>
                <w:color w:val="000000"/>
                <w:sz w:val="18"/>
                <w:szCs w:val="18"/>
                <w:lang w:val="ka-GE" w:eastAsia="en-US"/>
              </w:rPr>
              <w:t>-</w:t>
            </w:r>
          </w:p>
        </w:tc>
      </w:tr>
    </w:tbl>
    <w:p w14:paraId="346932B8" w14:textId="77777777" w:rsidR="00980876" w:rsidRDefault="00980876" w:rsidP="00980876">
      <w:pPr>
        <w:autoSpaceDE w:val="0"/>
        <w:autoSpaceDN w:val="0"/>
        <w:adjustRightInd w:val="0"/>
        <w:rPr>
          <w:rFonts w:ascii="Sylfaen" w:hAnsi="Sylfaen"/>
          <w:szCs w:val="22"/>
          <w:lang w:val="ka-GE" w:eastAsia="en-GB"/>
        </w:rPr>
      </w:pPr>
    </w:p>
    <w:p w14:paraId="42CB9D80" w14:textId="77777777" w:rsidR="00980876" w:rsidRDefault="00980876" w:rsidP="00980876">
      <w:pPr>
        <w:autoSpaceDE w:val="0"/>
        <w:autoSpaceDN w:val="0"/>
        <w:adjustRightInd w:val="0"/>
        <w:rPr>
          <w:lang w:val="ka-GE"/>
        </w:rPr>
      </w:pPr>
      <w:r>
        <w:rPr>
          <w:rFonts w:ascii="Sylfaen" w:eastAsiaTheme="minorHAnsi" w:hAnsi="Sylfaen" w:cs="Sylfaen"/>
          <w:szCs w:val="22"/>
          <w:lang w:val="ka-GE" w:eastAsia="en-US"/>
        </w:rPr>
        <w:t>არც</w:t>
      </w:r>
      <w:r>
        <w:rPr>
          <w:rFonts w:eastAsiaTheme="minorHAnsi" w:cs="Sylfaen"/>
          <w:szCs w:val="22"/>
          <w:lang w:val="ka-GE" w:eastAsia="en-US"/>
        </w:rPr>
        <w:t xml:space="preserve"> </w:t>
      </w:r>
      <w:r>
        <w:rPr>
          <w:rFonts w:ascii="Sylfaen" w:eastAsiaTheme="minorHAnsi" w:hAnsi="Sylfaen" w:cs="Sylfaen"/>
          <w:szCs w:val="22"/>
          <w:lang w:val="ka-GE" w:eastAsia="en-US"/>
        </w:rPr>
        <w:t>საქართველოს</w:t>
      </w:r>
      <w:r>
        <w:rPr>
          <w:rFonts w:eastAsiaTheme="minorHAnsi" w:cs="Sylfaen"/>
          <w:szCs w:val="22"/>
          <w:lang w:val="ka-GE" w:eastAsia="en-US"/>
        </w:rPr>
        <w:t xml:space="preserve"> </w:t>
      </w:r>
      <w:r>
        <w:rPr>
          <w:rFonts w:ascii="Sylfaen" w:eastAsiaTheme="minorHAnsi" w:hAnsi="Sylfaen" w:cs="Sylfaen"/>
          <w:szCs w:val="22"/>
          <w:lang w:val="ka-GE" w:eastAsia="en-US"/>
        </w:rPr>
        <w:t>სტანდარტები</w:t>
      </w:r>
      <w:r>
        <w:rPr>
          <w:rFonts w:eastAsiaTheme="minorHAnsi" w:cs="Sylfaen"/>
          <w:szCs w:val="22"/>
          <w:lang w:val="ka-GE" w:eastAsia="en-US"/>
        </w:rPr>
        <w:t xml:space="preserve"> </w:t>
      </w:r>
      <w:r>
        <w:rPr>
          <w:rFonts w:ascii="Sylfaen" w:eastAsiaTheme="minorHAnsi" w:hAnsi="Sylfaen" w:cs="Sylfaen"/>
          <w:szCs w:val="22"/>
          <w:lang w:val="ka-GE" w:eastAsia="en-US"/>
        </w:rPr>
        <w:t>და</w:t>
      </w:r>
      <w:r>
        <w:rPr>
          <w:rFonts w:eastAsiaTheme="minorHAnsi" w:cs="Sylfaen"/>
          <w:szCs w:val="22"/>
          <w:lang w:val="ka-GE" w:eastAsia="en-US"/>
        </w:rPr>
        <w:t xml:space="preserve"> </w:t>
      </w:r>
      <w:r>
        <w:rPr>
          <w:rFonts w:ascii="Sylfaen" w:eastAsiaTheme="minorHAnsi" w:hAnsi="Sylfaen" w:cs="Sylfaen"/>
          <w:szCs w:val="22"/>
          <w:lang w:val="ka-GE" w:eastAsia="en-US"/>
        </w:rPr>
        <w:t>არც</w:t>
      </w:r>
      <w:r>
        <w:rPr>
          <w:rFonts w:eastAsiaTheme="minorHAnsi" w:cs="Sylfaen"/>
          <w:szCs w:val="22"/>
          <w:lang w:val="ka-GE" w:eastAsia="en-US"/>
        </w:rPr>
        <w:t xml:space="preserve"> EHS </w:t>
      </w:r>
      <w:r>
        <w:rPr>
          <w:rFonts w:ascii="Sylfaen" w:eastAsiaTheme="minorHAnsi" w:hAnsi="Sylfaen" w:cs="Sylfaen"/>
          <w:szCs w:val="22"/>
          <w:lang w:val="ka-GE" w:eastAsia="en-US"/>
        </w:rPr>
        <w:t>რეკომენდაციები</w:t>
      </w:r>
      <w:r>
        <w:rPr>
          <w:rFonts w:eastAsiaTheme="minorHAnsi" w:cs="Sylfaen"/>
          <w:szCs w:val="22"/>
          <w:lang w:val="ka-GE" w:eastAsia="en-US"/>
        </w:rPr>
        <w:t xml:space="preserve"> </w:t>
      </w:r>
      <w:r>
        <w:rPr>
          <w:rFonts w:ascii="Sylfaen" w:eastAsiaTheme="minorHAnsi" w:hAnsi="Sylfaen" w:cs="Sylfaen"/>
          <w:szCs w:val="22"/>
          <w:lang w:val="ka-GE" w:eastAsia="en-US"/>
        </w:rPr>
        <w:t>არ</w:t>
      </w:r>
      <w:r>
        <w:rPr>
          <w:rFonts w:eastAsiaTheme="minorHAnsi" w:cs="Sylfaen"/>
          <w:szCs w:val="22"/>
          <w:lang w:val="ka-GE" w:eastAsia="en-US"/>
        </w:rPr>
        <w:t xml:space="preserve"> </w:t>
      </w:r>
      <w:r>
        <w:rPr>
          <w:rFonts w:ascii="Sylfaen" w:eastAsiaTheme="minorHAnsi" w:hAnsi="Sylfaen" w:cs="Sylfaen"/>
          <w:szCs w:val="22"/>
          <w:lang w:val="ka-GE" w:eastAsia="en-US"/>
        </w:rPr>
        <w:t>იძლევიან</w:t>
      </w:r>
      <w:r>
        <w:rPr>
          <w:rFonts w:eastAsiaTheme="minorHAnsi" w:cs="Sylfaen"/>
          <w:szCs w:val="22"/>
          <w:lang w:val="ka-GE" w:eastAsia="en-US"/>
        </w:rPr>
        <w:t xml:space="preserve"> </w:t>
      </w:r>
      <w:r>
        <w:rPr>
          <w:rFonts w:ascii="Sylfaen" w:eastAsiaTheme="minorHAnsi" w:hAnsi="Sylfaen" w:cs="Sylfaen"/>
          <w:szCs w:val="22"/>
          <w:lang w:val="ka-GE" w:eastAsia="en-US"/>
        </w:rPr>
        <w:t>გარემოში</w:t>
      </w:r>
      <w:r>
        <w:rPr>
          <w:rFonts w:eastAsiaTheme="minorHAnsi" w:cs="Sylfaen"/>
          <w:szCs w:val="22"/>
          <w:lang w:val="ka-GE" w:eastAsia="en-US"/>
        </w:rPr>
        <w:t xml:space="preserve"> </w:t>
      </w:r>
      <w:r>
        <w:rPr>
          <w:rFonts w:ascii="Sylfaen" w:eastAsiaTheme="minorHAnsi" w:hAnsi="Sylfaen" w:cs="Sylfaen"/>
          <w:szCs w:val="22"/>
          <w:lang w:val="ka-GE" w:eastAsia="en-US"/>
        </w:rPr>
        <w:t>ტრანსპორტით</w:t>
      </w:r>
      <w:r>
        <w:rPr>
          <w:rFonts w:eastAsiaTheme="minorHAnsi" w:cs="Sylfaen"/>
          <w:szCs w:val="22"/>
          <w:lang w:val="ka-GE" w:eastAsia="en-US"/>
        </w:rPr>
        <w:t xml:space="preserve"> </w:t>
      </w:r>
      <w:r>
        <w:rPr>
          <w:rFonts w:ascii="Sylfaen" w:eastAsiaTheme="minorHAnsi" w:hAnsi="Sylfaen" w:cs="Sylfaen"/>
          <w:szCs w:val="22"/>
          <w:lang w:val="ka-GE" w:eastAsia="en-US"/>
        </w:rPr>
        <w:t>გამოწვეული</w:t>
      </w:r>
      <w:r>
        <w:rPr>
          <w:rFonts w:eastAsiaTheme="minorHAnsi" w:cs="Sylfaen"/>
          <w:szCs w:val="22"/>
          <w:lang w:val="ka-GE" w:eastAsia="en-US"/>
        </w:rPr>
        <w:t xml:space="preserve"> </w:t>
      </w:r>
      <w:r>
        <w:rPr>
          <w:rFonts w:ascii="Sylfaen" w:eastAsiaTheme="minorHAnsi" w:hAnsi="Sylfaen" w:cs="Sylfaen"/>
          <w:szCs w:val="22"/>
          <w:lang w:val="ka-GE" w:eastAsia="en-US"/>
        </w:rPr>
        <w:t>ხმაურის</w:t>
      </w:r>
      <w:r>
        <w:rPr>
          <w:rFonts w:eastAsiaTheme="minorHAnsi" w:cs="Sylfaen"/>
          <w:szCs w:val="22"/>
          <w:lang w:val="ka-GE" w:eastAsia="en-US"/>
        </w:rPr>
        <w:t xml:space="preserve"> </w:t>
      </w:r>
      <w:r>
        <w:rPr>
          <w:rFonts w:ascii="Sylfaen" w:eastAsiaTheme="minorHAnsi" w:hAnsi="Sylfaen" w:cs="Sylfaen"/>
          <w:szCs w:val="22"/>
          <w:lang w:val="ka-GE" w:eastAsia="en-US"/>
        </w:rPr>
        <w:t>მაქსიმალური</w:t>
      </w:r>
      <w:r>
        <w:rPr>
          <w:rFonts w:eastAsiaTheme="minorHAnsi" w:cs="Sylfaen"/>
          <w:szCs w:val="22"/>
          <w:lang w:val="ka-GE" w:eastAsia="en-US"/>
        </w:rPr>
        <w:t xml:space="preserve"> </w:t>
      </w:r>
      <w:r>
        <w:rPr>
          <w:rFonts w:ascii="Sylfaen" w:eastAsiaTheme="minorHAnsi" w:hAnsi="Sylfaen" w:cs="Sylfaen"/>
          <w:szCs w:val="22"/>
          <w:lang w:val="ka-GE" w:eastAsia="en-US"/>
        </w:rPr>
        <w:t>დასაშვები</w:t>
      </w:r>
      <w:r>
        <w:rPr>
          <w:rFonts w:eastAsiaTheme="minorHAnsi" w:cs="Sylfaen"/>
          <w:szCs w:val="22"/>
          <w:lang w:val="ka-GE" w:eastAsia="en-US"/>
        </w:rPr>
        <w:t xml:space="preserve"> </w:t>
      </w:r>
      <w:r>
        <w:rPr>
          <w:rFonts w:ascii="Sylfaen" w:eastAsiaTheme="minorHAnsi" w:hAnsi="Sylfaen" w:cs="Sylfaen"/>
          <w:szCs w:val="22"/>
          <w:lang w:val="ka-GE" w:eastAsia="en-US"/>
        </w:rPr>
        <w:t>დონის</w:t>
      </w:r>
      <w:r>
        <w:rPr>
          <w:rFonts w:eastAsiaTheme="minorHAnsi" w:cs="Sylfaen"/>
          <w:szCs w:val="22"/>
          <w:lang w:val="ka-GE" w:eastAsia="en-US"/>
        </w:rPr>
        <w:t xml:space="preserve"> </w:t>
      </w:r>
      <w:r>
        <w:rPr>
          <w:rFonts w:ascii="Sylfaen" w:eastAsiaTheme="minorHAnsi" w:hAnsi="Sylfaen" w:cs="Sylfaen"/>
          <w:szCs w:val="22"/>
          <w:lang w:val="ka-GE" w:eastAsia="en-US"/>
        </w:rPr>
        <w:t>მნიშვნელობას</w:t>
      </w:r>
      <w:r>
        <w:rPr>
          <w:rFonts w:eastAsiaTheme="minorHAnsi" w:cs="Sylfaen"/>
          <w:szCs w:val="22"/>
          <w:lang w:val="ka-GE" w:eastAsia="en-US"/>
        </w:rPr>
        <w:t xml:space="preserve">. </w:t>
      </w:r>
      <w:r>
        <w:rPr>
          <w:rFonts w:ascii="Sylfaen" w:eastAsiaTheme="minorHAnsi" w:hAnsi="Sylfaen" w:cs="Sylfaen"/>
          <w:szCs w:val="22"/>
          <w:lang w:val="ka-GE" w:eastAsia="en-US"/>
        </w:rPr>
        <w:t>საერთაშორისო</w:t>
      </w:r>
      <w:r>
        <w:rPr>
          <w:rFonts w:eastAsiaTheme="minorHAnsi" w:cs="Sylfaen"/>
          <w:szCs w:val="22"/>
          <w:lang w:val="ka-GE" w:eastAsia="en-US"/>
        </w:rPr>
        <w:t xml:space="preserve"> </w:t>
      </w:r>
      <w:r>
        <w:rPr>
          <w:rFonts w:ascii="Sylfaen" w:eastAsiaTheme="minorHAnsi" w:hAnsi="Sylfaen" w:cs="Sylfaen"/>
          <w:szCs w:val="22"/>
          <w:lang w:val="ka-GE" w:eastAsia="en-US"/>
        </w:rPr>
        <w:t>პრაქტიკის</w:t>
      </w:r>
      <w:r>
        <w:rPr>
          <w:rFonts w:eastAsiaTheme="minorHAnsi" w:cs="Sylfaen"/>
          <w:szCs w:val="22"/>
          <w:lang w:val="ka-GE" w:eastAsia="en-US"/>
        </w:rPr>
        <w:t xml:space="preserve"> </w:t>
      </w:r>
      <w:r>
        <w:rPr>
          <w:rFonts w:ascii="Sylfaen" w:eastAsiaTheme="minorHAnsi" w:hAnsi="Sylfaen" w:cs="Sylfaen"/>
          <w:szCs w:val="22"/>
          <w:lang w:val="ka-GE" w:eastAsia="en-US"/>
        </w:rPr>
        <w:t>და</w:t>
      </w:r>
      <w:r>
        <w:rPr>
          <w:rFonts w:eastAsiaTheme="minorHAnsi" w:cs="Sylfaen"/>
          <w:szCs w:val="22"/>
          <w:lang w:val="ka-GE" w:eastAsia="en-US"/>
        </w:rPr>
        <w:t xml:space="preserve"> </w:t>
      </w:r>
      <w:r>
        <w:rPr>
          <w:rFonts w:ascii="Sylfaen" w:eastAsiaTheme="minorHAnsi" w:hAnsi="Sylfaen" w:cs="Sylfaen"/>
          <w:szCs w:val="22"/>
          <w:lang w:val="ka-GE" w:eastAsia="en-US"/>
        </w:rPr>
        <w:t>ევროპული</w:t>
      </w:r>
      <w:r>
        <w:rPr>
          <w:rFonts w:eastAsiaTheme="minorHAnsi" w:cs="Sylfaen"/>
          <w:szCs w:val="22"/>
          <w:lang w:val="ka-GE" w:eastAsia="en-US"/>
        </w:rPr>
        <w:t xml:space="preserve"> </w:t>
      </w:r>
      <w:r>
        <w:rPr>
          <w:rFonts w:ascii="Sylfaen" w:eastAsiaTheme="minorHAnsi" w:hAnsi="Sylfaen" w:cs="Sylfaen"/>
          <w:szCs w:val="22"/>
          <w:lang w:val="ka-GE" w:eastAsia="en-US"/>
        </w:rPr>
        <w:t>სტანდარტების</w:t>
      </w:r>
      <w:r>
        <w:rPr>
          <w:rFonts w:eastAsiaTheme="minorHAnsi" w:cs="Sylfaen"/>
          <w:szCs w:val="22"/>
          <w:lang w:val="ka-GE" w:eastAsia="en-US"/>
        </w:rPr>
        <w:t xml:space="preserve"> </w:t>
      </w:r>
      <w:r>
        <w:rPr>
          <w:rFonts w:ascii="Sylfaen" w:eastAsiaTheme="minorHAnsi" w:hAnsi="Sylfaen" w:cs="Sylfaen"/>
          <w:szCs w:val="22"/>
          <w:lang w:val="ka-GE" w:eastAsia="en-US"/>
        </w:rPr>
        <w:t>შესაბამისად</w:t>
      </w:r>
      <w:r>
        <w:rPr>
          <w:rFonts w:eastAsiaTheme="minorHAnsi" w:cs="Sylfaen"/>
          <w:szCs w:val="22"/>
          <w:lang w:val="ka-GE" w:eastAsia="en-US"/>
        </w:rPr>
        <w:t xml:space="preserve"> </w:t>
      </w:r>
      <w:r>
        <w:rPr>
          <w:rFonts w:ascii="Sylfaen" w:eastAsiaTheme="minorHAnsi" w:hAnsi="Sylfaen" w:cs="Sylfaen"/>
          <w:szCs w:val="22"/>
          <w:lang w:val="ka-GE" w:eastAsia="en-US"/>
        </w:rPr>
        <w:t>ურბანული</w:t>
      </w:r>
      <w:r>
        <w:rPr>
          <w:rFonts w:eastAsiaTheme="minorHAnsi" w:cs="Sylfaen"/>
          <w:szCs w:val="22"/>
          <w:lang w:val="ka-GE" w:eastAsia="en-US"/>
        </w:rPr>
        <w:t xml:space="preserve"> </w:t>
      </w:r>
      <w:r>
        <w:rPr>
          <w:rFonts w:ascii="Sylfaen" w:eastAsiaTheme="minorHAnsi" w:hAnsi="Sylfaen" w:cs="Sylfaen"/>
          <w:szCs w:val="22"/>
          <w:lang w:val="ka-GE" w:eastAsia="en-US"/>
        </w:rPr>
        <w:t>ტერიტორიისთვის</w:t>
      </w:r>
      <w:r>
        <w:rPr>
          <w:rFonts w:eastAsiaTheme="minorHAnsi" w:cs="Sylfaen"/>
          <w:szCs w:val="22"/>
          <w:lang w:val="ka-GE" w:eastAsia="en-US"/>
        </w:rPr>
        <w:t xml:space="preserve"> </w:t>
      </w:r>
      <w:r>
        <w:rPr>
          <w:rFonts w:ascii="Sylfaen" w:eastAsiaTheme="minorHAnsi" w:hAnsi="Sylfaen" w:cs="Sylfaen"/>
          <w:szCs w:val="22"/>
          <w:lang w:val="ka-GE" w:eastAsia="en-US"/>
        </w:rPr>
        <w:t>ხმაურის</w:t>
      </w:r>
      <w:r>
        <w:rPr>
          <w:rFonts w:eastAsiaTheme="minorHAnsi" w:cs="Sylfaen"/>
          <w:szCs w:val="22"/>
          <w:lang w:val="ka-GE" w:eastAsia="en-US"/>
        </w:rPr>
        <w:t xml:space="preserve"> </w:t>
      </w:r>
      <w:r>
        <w:rPr>
          <w:rFonts w:ascii="Sylfaen" w:eastAsiaTheme="minorHAnsi" w:hAnsi="Sylfaen" w:cs="Sylfaen"/>
          <w:szCs w:val="22"/>
          <w:lang w:val="ka-GE" w:eastAsia="en-US"/>
        </w:rPr>
        <w:t>მაქსიმალური</w:t>
      </w:r>
      <w:r>
        <w:rPr>
          <w:rFonts w:eastAsiaTheme="minorHAnsi" w:cs="Sylfaen"/>
          <w:szCs w:val="22"/>
          <w:lang w:val="ka-GE" w:eastAsia="en-US"/>
        </w:rPr>
        <w:t xml:space="preserve"> </w:t>
      </w:r>
      <w:r>
        <w:rPr>
          <w:rFonts w:ascii="Sylfaen" w:eastAsiaTheme="minorHAnsi" w:hAnsi="Sylfaen" w:cs="Sylfaen"/>
          <w:szCs w:val="22"/>
          <w:lang w:val="ka-GE" w:eastAsia="en-US"/>
        </w:rPr>
        <w:t>დონე</w:t>
      </w:r>
      <w:r>
        <w:rPr>
          <w:rFonts w:eastAsiaTheme="minorHAnsi" w:cs="Sylfaen"/>
          <w:szCs w:val="22"/>
          <w:lang w:val="ka-GE" w:eastAsia="en-US"/>
        </w:rPr>
        <w:t xml:space="preserve"> (</w:t>
      </w:r>
      <w:r>
        <w:rPr>
          <w:rFonts w:ascii="Sylfaen" w:eastAsiaTheme="minorHAnsi" w:hAnsi="Sylfaen" w:cs="Sylfaen"/>
          <w:szCs w:val="22"/>
          <w:lang w:val="ka-GE" w:eastAsia="en-US"/>
        </w:rPr>
        <w:t>რომელიც</w:t>
      </w:r>
      <w:r>
        <w:rPr>
          <w:rFonts w:eastAsiaTheme="minorHAnsi" w:cs="Sylfaen"/>
          <w:szCs w:val="22"/>
          <w:lang w:val="ka-GE" w:eastAsia="en-US"/>
        </w:rPr>
        <w:t xml:space="preserve"> </w:t>
      </w:r>
      <w:r>
        <w:rPr>
          <w:rFonts w:ascii="Sylfaen" w:eastAsiaTheme="minorHAnsi" w:hAnsi="Sylfaen" w:cs="Sylfaen"/>
          <w:szCs w:val="22"/>
          <w:lang w:val="ka-GE" w:eastAsia="en-US"/>
        </w:rPr>
        <w:t>ძირითადად</w:t>
      </w:r>
      <w:r>
        <w:rPr>
          <w:rFonts w:eastAsiaTheme="minorHAnsi" w:cs="Sylfaen"/>
          <w:szCs w:val="22"/>
          <w:lang w:val="ka-GE" w:eastAsia="en-US"/>
        </w:rPr>
        <w:t xml:space="preserve"> </w:t>
      </w:r>
      <w:r>
        <w:rPr>
          <w:rFonts w:ascii="Sylfaen" w:eastAsiaTheme="minorHAnsi" w:hAnsi="Sylfaen" w:cs="Sylfaen"/>
          <w:szCs w:val="22"/>
          <w:lang w:val="ka-GE" w:eastAsia="en-US"/>
        </w:rPr>
        <w:t>ტრანსპორტით</w:t>
      </w:r>
      <w:r>
        <w:rPr>
          <w:rFonts w:eastAsiaTheme="minorHAnsi" w:cs="Sylfaen"/>
          <w:szCs w:val="22"/>
          <w:lang w:val="ka-GE" w:eastAsia="en-US"/>
        </w:rPr>
        <w:t xml:space="preserve"> </w:t>
      </w:r>
      <w:r>
        <w:rPr>
          <w:rFonts w:ascii="Sylfaen" w:eastAsiaTheme="minorHAnsi" w:hAnsi="Sylfaen" w:cs="Sylfaen"/>
          <w:szCs w:val="22"/>
          <w:lang w:val="ka-GE" w:eastAsia="en-US"/>
        </w:rPr>
        <w:t>არის</w:t>
      </w:r>
      <w:r>
        <w:rPr>
          <w:rFonts w:eastAsiaTheme="minorHAnsi" w:cs="Sylfaen"/>
          <w:szCs w:val="22"/>
          <w:lang w:val="ka-GE" w:eastAsia="en-US"/>
        </w:rPr>
        <w:t xml:space="preserve"> </w:t>
      </w:r>
      <w:r>
        <w:rPr>
          <w:rFonts w:ascii="Sylfaen" w:eastAsiaTheme="minorHAnsi" w:hAnsi="Sylfaen" w:cs="Sylfaen"/>
          <w:szCs w:val="22"/>
          <w:lang w:val="ka-GE" w:eastAsia="en-US"/>
        </w:rPr>
        <w:t>განპირობებული</w:t>
      </w:r>
      <w:r>
        <w:rPr>
          <w:rFonts w:eastAsiaTheme="minorHAnsi" w:cs="Sylfaen"/>
          <w:szCs w:val="22"/>
          <w:lang w:val="ka-GE" w:eastAsia="en-US"/>
        </w:rPr>
        <w:t xml:space="preserve">) </w:t>
      </w:r>
      <w:r>
        <w:rPr>
          <w:rFonts w:ascii="Sylfaen" w:eastAsiaTheme="minorHAnsi" w:hAnsi="Sylfaen" w:cs="Sylfaen"/>
          <w:szCs w:val="22"/>
          <w:lang w:val="ka-GE" w:eastAsia="en-US"/>
        </w:rPr>
        <w:t>დღის</w:t>
      </w:r>
      <w:r>
        <w:rPr>
          <w:rFonts w:eastAsiaTheme="minorHAnsi" w:cs="Sylfaen"/>
          <w:szCs w:val="22"/>
          <w:lang w:val="ka-GE" w:eastAsia="en-US"/>
        </w:rPr>
        <w:t xml:space="preserve"> </w:t>
      </w:r>
      <w:r>
        <w:rPr>
          <w:rFonts w:ascii="Sylfaen" w:eastAsiaTheme="minorHAnsi" w:hAnsi="Sylfaen" w:cs="Sylfaen"/>
          <w:szCs w:val="22"/>
          <w:lang w:val="ka-GE" w:eastAsia="en-US"/>
        </w:rPr>
        <w:t>საათებში</w:t>
      </w:r>
      <w:r>
        <w:rPr>
          <w:rFonts w:eastAsiaTheme="minorHAnsi" w:cs="Sylfaen"/>
          <w:szCs w:val="22"/>
          <w:lang w:val="ka-GE" w:eastAsia="en-US"/>
        </w:rPr>
        <w:t xml:space="preserve"> 65 dBA-</w:t>
      </w:r>
      <w:r>
        <w:rPr>
          <w:rFonts w:ascii="Sylfaen" w:eastAsiaTheme="minorHAnsi" w:hAnsi="Sylfaen" w:cs="Sylfaen"/>
          <w:szCs w:val="22"/>
          <w:lang w:val="ka-GE" w:eastAsia="en-US"/>
        </w:rPr>
        <w:t>ს</w:t>
      </w:r>
      <w:r>
        <w:rPr>
          <w:rFonts w:eastAsiaTheme="minorHAnsi" w:cs="Sylfaen"/>
          <w:szCs w:val="22"/>
          <w:lang w:val="ka-GE" w:eastAsia="en-US"/>
        </w:rPr>
        <w:t xml:space="preserve">, </w:t>
      </w:r>
      <w:r>
        <w:rPr>
          <w:rFonts w:ascii="Sylfaen" w:eastAsiaTheme="minorHAnsi" w:hAnsi="Sylfaen" w:cs="Sylfaen"/>
          <w:szCs w:val="22"/>
          <w:lang w:val="ka-GE" w:eastAsia="en-US"/>
        </w:rPr>
        <w:t>ხოლო</w:t>
      </w:r>
      <w:r>
        <w:rPr>
          <w:rFonts w:eastAsiaTheme="minorHAnsi" w:cs="Sylfaen"/>
          <w:szCs w:val="22"/>
          <w:lang w:val="ka-GE" w:eastAsia="en-US"/>
        </w:rPr>
        <w:t xml:space="preserve"> </w:t>
      </w:r>
      <w:r>
        <w:rPr>
          <w:rFonts w:ascii="Sylfaen" w:eastAsiaTheme="minorHAnsi" w:hAnsi="Sylfaen" w:cs="Sylfaen"/>
          <w:szCs w:val="22"/>
          <w:lang w:val="ka-GE" w:eastAsia="en-US"/>
        </w:rPr>
        <w:t>ღამის</w:t>
      </w:r>
      <w:r>
        <w:rPr>
          <w:rFonts w:eastAsiaTheme="minorHAnsi" w:cs="Sylfaen"/>
          <w:szCs w:val="22"/>
          <w:lang w:val="ka-GE" w:eastAsia="en-US"/>
        </w:rPr>
        <w:t xml:space="preserve"> </w:t>
      </w:r>
      <w:r>
        <w:rPr>
          <w:rFonts w:ascii="Sylfaen" w:eastAsiaTheme="minorHAnsi" w:hAnsi="Sylfaen" w:cs="Sylfaen"/>
          <w:szCs w:val="22"/>
          <w:lang w:val="ka-GE" w:eastAsia="en-US"/>
        </w:rPr>
        <w:t>საათებში</w:t>
      </w:r>
      <w:r>
        <w:rPr>
          <w:rFonts w:eastAsiaTheme="minorHAnsi" w:cs="Sylfaen"/>
          <w:szCs w:val="22"/>
          <w:lang w:val="ka-GE" w:eastAsia="en-US"/>
        </w:rPr>
        <w:t xml:space="preserve"> 55 dBA </w:t>
      </w:r>
      <w:r>
        <w:rPr>
          <w:rFonts w:ascii="Sylfaen" w:eastAsiaTheme="minorHAnsi" w:hAnsi="Sylfaen" w:cs="Sylfaen"/>
          <w:szCs w:val="22"/>
          <w:lang w:val="ka-GE" w:eastAsia="en-US"/>
        </w:rPr>
        <w:t>შეადგენს</w:t>
      </w:r>
      <w:r>
        <w:rPr>
          <w:rFonts w:eastAsiaTheme="minorHAnsi" w:cs="Sylfaen"/>
          <w:szCs w:val="22"/>
          <w:lang w:val="ka-GE" w:eastAsia="en-US"/>
        </w:rPr>
        <w:t xml:space="preserve">. </w:t>
      </w:r>
      <w:r>
        <w:rPr>
          <w:rFonts w:ascii="Sylfaen" w:eastAsiaTheme="minorHAnsi" w:hAnsi="Sylfaen" w:cs="Sylfaen"/>
          <w:szCs w:val="22"/>
          <w:lang w:val="ka-GE" w:eastAsia="en-US"/>
        </w:rPr>
        <w:t>სწორედ</w:t>
      </w:r>
      <w:r>
        <w:rPr>
          <w:rFonts w:eastAsiaTheme="minorHAnsi" w:cs="Sylfaen"/>
          <w:szCs w:val="22"/>
          <w:lang w:val="ka-GE" w:eastAsia="en-US"/>
        </w:rPr>
        <w:t xml:space="preserve"> </w:t>
      </w:r>
      <w:r>
        <w:rPr>
          <w:rFonts w:ascii="Sylfaen" w:eastAsiaTheme="minorHAnsi" w:hAnsi="Sylfaen" w:cs="Sylfaen"/>
          <w:szCs w:val="22"/>
          <w:lang w:val="ka-GE" w:eastAsia="en-US"/>
        </w:rPr>
        <w:t>ეს</w:t>
      </w:r>
      <w:r>
        <w:rPr>
          <w:rFonts w:eastAsiaTheme="minorHAnsi" w:cs="Sylfaen"/>
          <w:szCs w:val="22"/>
          <w:lang w:val="ka-GE" w:eastAsia="en-US"/>
        </w:rPr>
        <w:t xml:space="preserve"> </w:t>
      </w:r>
      <w:r>
        <w:rPr>
          <w:rFonts w:ascii="Sylfaen" w:eastAsiaTheme="minorHAnsi" w:hAnsi="Sylfaen" w:cs="Sylfaen"/>
          <w:szCs w:val="22"/>
          <w:lang w:val="ka-GE" w:eastAsia="en-US"/>
        </w:rPr>
        <w:t>მნიშვნელობები</w:t>
      </w:r>
      <w:r>
        <w:rPr>
          <w:rFonts w:eastAsiaTheme="minorHAnsi" w:cs="Sylfaen"/>
          <w:szCs w:val="22"/>
          <w:lang w:val="ka-GE" w:eastAsia="en-US"/>
        </w:rPr>
        <w:t xml:space="preserve"> </w:t>
      </w:r>
      <w:r>
        <w:rPr>
          <w:rFonts w:ascii="Sylfaen" w:eastAsiaTheme="minorHAnsi" w:hAnsi="Sylfaen" w:cs="Sylfaen"/>
          <w:szCs w:val="22"/>
          <w:lang w:val="ka-GE" w:eastAsia="en-US"/>
        </w:rPr>
        <w:t>იქნა</w:t>
      </w:r>
      <w:r>
        <w:rPr>
          <w:rFonts w:eastAsiaTheme="minorHAnsi" w:cs="Sylfaen"/>
          <w:szCs w:val="22"/>
          <w:lang w:val="ka-GE" w:eastAsia="en-US"/>
        </w:rPr>
        <w:t xml:space="preserve"> </w:t>
      </w:r>
      <w:r>
        <w:rPr>
          <w:rFonts w:ascii="Sylfaen" w:eastAsiaTheme="minorHAnsi" w:hAnsi="Sylfaen" w:cs="Sylfaen"/>
          <w:szCs w:val="22"/>
          <w:lang w:val="ka-GE" w:eastAsia="en-US"/>
        </w:rPr>
        <w:t>გამოყენებული</w:t>
      </w:r>
      <w:r>
        <w:rPr>
          <w:rFonts w:eastAsiaTheme="minorHAnsi" w:cs="Sylfaen"/>
          <w:szCs w:val="22"/>
          <w:lang w:val="ka-GE" w:eastAsia="en-US"/>
        </w:rPr>
        <w:t xml:space="preserve"> </w:t>
      </w:r>
      <w:r>
        <w:rPr>
          <w:rFonts w:ascii="Sylfaen" w:eastAsiaTheme="minorHAnsi" w:hAnsi="Sylfaen" w:cs="Sylfaen"/>
          <w:szCs w:val="22"/>
          <w:lang w:val="ka-GE" w:eastAsia="en-US"/>
        </w:rPr>
        <w:t>ზემოქმედების</w:t>
      </w:r>
      <w:r>
        <w:rPr>
          <w:rFonts w:eastAsiaTheme="minorHAnsi" w:cs="Sylfaen"/>
          <w:szCs w:val="22"/>
          <w:lang w:val="ka-GE" w:eastAsia="en-US"/>
        </w:rPr>
        <w:t xml:space="preserve"> </w:t>
      </w:r>
      <w:r>
        <w:rPr>
          <w:rFonts w:ascii="Sylfaen" w:eastAsiaTheme="minorHAnsi" w:hAnsi="Sylfaen" w:cs="Sylfaen"/>
          <w:szCs w:val="22"/>
          <w:lang w:val="ka-GE" w:eastAsia="en-US"/>
        </w:rPr>
        <w:t>შეფასებისთვის</w:t>
      </w:r>
      <w:r>
        <w:rPr>
          <w:rFonts w:eastAsiaTheme="minorHAnsi" w:cs="Sylfaen"/>
          <w:szCs w:val="22"/>
          <w:lang w:val="ka-GE" w:eastAsia="en-US"/>
        </w:rPr>
        <w:t>.</w:t>
      </w:r>
    </w:p>
    <w:p w14:paraId="18661D7B" w14:textId="77777777" w:rsidR="00980876" w:rsidRDefault="00980876" w:rsidP="00980876">
      <w:pPr>
        <w:rPr>
          <w:rFonts w:ascii="Sylfaen" w:eastAsia="Sylfaen" w:hAnsi="Sylfaen"/>
          <w:w w:val="95"/>
          <w:lang w:val="ka-GE"/>
        </w:rPr>
      </w:pPr>
    </w:p>
    <w:p w14:paraId="2085B354" w14:textId="77777777" w:rsidR="00980876" w:rsidRPr="005E2832" w:rsidRDefault="00980876" w:rsidP="00980876">
      <w:pPr>
        <w:pStyle w:val="EIAheading2"/>
        <w:rPr>
          <w:b w:val="0"/>
          <w:lang w:val="ka-GE"/>
        </w:rPr>
      </w:pPr>
      <w:bookmarkStart w:id="187" w:name="_Toc529977383"/>
      <w:bookmarkStart w:id="188" w:name="_Toc428804831"/>
      <w:bookmarkStart w:id="189" w:name="_Toc1581544"/>
      <w:r w:rsidRPr="005E2832">
        <w:rPr>
          <w:b w:val="0"/>
          <w:lang w:val="ka-GE"/>
        </w:rPr>
        <w:t xml:space="preserve">5.5 </w:t>
      </w:r>
      <w:r w:rsidRPr="005E2832">
        <w:rPr>
          <w:rFonts w:ascii="Sylfaen" w:hAnsi="Sylfaen" w:cs="Sylfaen"/>
          <w:b w:val="0"/>
          <w:lang w:val="ka-GE"/>
        </w:rPr>
        <w:t>მეთოდოლოგია</w:t>
      </w:r>
      <w:r w:rsidRPr="005E2832">
        <w:rPr>
          <w:b w:val="0"/>
          <w:lang w:val="ka-GE"/>
        </w:rPr>
        <w:t xml:space="preserve"> </w:t>
      </w:r>
      <w:r w:rsidRPr="005E2832">
        <w:rPr>
          <w:rFonts w:ascii="Sylfaen" w:hAnsi="Sylfaen" w:cs="Sylfaen"/>
          <w:b w:val="0"/>
          <w:lang w:val="ka-GE"/>
        </w:rPr>
        <w:t>ალტერნატივების</w:t>
      </w:r>
      <w:r w:rsidRPr="005E2832">
        <w:rPr>
          <w:b w:val="0"/>
          <w:lang w:val="ka-GE"/>
        </w:rPr>
        <w:t xml:space="preserve"> </w:t>
      </w:r>
      <w:r w:rsidRPr="005E2832">
        <w:rPr>
          <w:rFonts w:ascii="Sylfaen" w:hAnsi="Sylfaen" w:cs="Sylfaen"/>
          <w:b w:val="0"/>
          <w:lang w:val="ka-GE"/>
        </w:rPr>
        <w:t>ანალიზისათვის</w:t>
      </w:r>
      <w:r w:rsidRPr="005E2832">
        <w:rPr>
          <w:b w:val="0"/>
          <w:lang w:val="ka-GE"/>
        </w:rPr>
        <w:t xml:space="preserve"> (</w:t>
      </w:r>
      <w:r w:rsidRPr="005E2832">
        <w:rPr>
          <w:rFonts w:ascii="Sylfaen" w:hAnsi="Sylfaen" w:cs="Sylfaen"/>
          <w:b w:val="0"/>
          <w:lang w:val="ka-GE"/>
        </w:rPr>
        <w:t>რანჟირება</w:t>
      </w:r>
      <w:r w:rsidRPr="005E2832">
        <w:rPr>
          <w:b w:val="0"/>
          <w:lang w:val="ka-GE"/>
        </w:rPr>
        <w:t>)</w:t>
      </w:r>
      <w:bookmarkEnd w:id="187"/>
      <w:bookmarkEnd w:id="189"/>
      <w:r w:rsidRPr="005E2832">
        <w:rPr>
          <w:b w:val="0"/>
          <w:lang w:val="ka-GE"/>
        </w:rPr>
        <w:t xml:space="preserve"> </w:t>
      </w:r>
      <w:bookmarkEnd w:id="188"/>
    </w:p>
    <w:p w14:paraId="443D6778" w14:textId="77777777" w:rsidR="00980876" w:rsidRPr="005E2832" w:rsidRDefault="00980876" w:rsidP="00980876">
      <w:pPr>
        <w:spacing w:before="200" w:after="200"/>
        <w:rPr>
          <w:rFonts w:ascii="Sylfaen" w:hAnsi="Sylfaen" w:cs="Arial"/>
          <w:lang w:val="ka-GE"/>
        </w:rPr>
      </w:pPr>
      <w:r w:rsidRPr="005E2832">
        <w:rPr>
          <w:rFonts w:ascii="Sylfaen" w:hAnsi="Sylfaen" w:cs="Arial"/>
          <w:lang w:val="ka-GE"/>
        </w:rPr>
        <w:t>ალტერნატივების ანალიზის პრინციპები შემდეგია:</w:t>
      </w:r>
    </w:p>
    <w:p w14:paraId="02B74B27" w14:textId="77777777" w:rsidR="00980876" w:rsidRPr="005E2832" w:rsidRDefault="00980876" w:rsidP="00980876">
      <w:pPr>
        <w:spacing w:before="200" w:after="200"/>
        <w:rPr>
          <w:rFonts w:ascii="Sylfaen" w:hAnsi="Sylfaen" w:cs="Arial"/>
          <w:lang w:val="ka-GE"/>
        </w:rPr>
      </w:pPr>
      <w:r w:rsidRPr="005E2832">
        <w:rPr>
          <w:rFonts w:ascii="Sylfaen" w:hAnsi="Sylfaen" w:cs="Arial"/>
          <w:lang w:val="ka-GE"/>
        </w:rPr>
        <w:t>ა) დაგეგმარებული საქმიანობის პროექტის გადაწყვეტილებების ტექნიკური, ტექნოლოგიური, ეკოლოგიური, სოლიალური და ეკონომიკური პარამეტრების ყოვლადმომცველი განხილვა;</w:t>
      </w:r>
    </w:p>
    <w:p w14:paraId="4CCAC181" w14:textId="77777777" w:rsidR="00980876" w:rsidRPr="005E2832" w:rsidRDefault="00980876" w:rsidP="00980876">
      <w:pPr>
        <w:spacing w:before="200" w:after="200"/>
        <w:rPr>
          <w:rFonts w:ascii="Sylfaen" w:hAnsi="Sylfaen" w:cs="Arial"/>
          <w:lang w:val="ka-GE"/>
        </w:rPr>
      </w:pPr>
      <w:r w:rsidRPr="005E2832">
        <w:rPr>
          <w:rFonts w:ascii="Sylfaen" w:hAnsi="Sylfaen" w:cs="Arial"/>
          <w:lang w:val="ka-GE"/>
        </w:rPr>
        <w:t xml:space="preserve">ბ) </w:t>
      </w:r>
      <w:r>
        <w:rPr>
          <w:rFonts w:ascii="Sylfaen" w:hAnsi="Sylfaen" w:cs="Sylfaen"/>
          <w:lang w:val="ka-GE"/>
        </w:rPr>
        <w:t>პროექტის</w:t>
      </w:r>
      <w:r>
        <w:rPr>
          <w:rFonts w:ascii="Sylfaen" w:hAnsi="Sylfaen" w:cs="Arial"/>
          <w:lang w:val="ka-GE"/>
        </w:rPr>
        <w:t xml:space="preserve"> </w:t>
      </w:r>
      <w:r>
        <w:rPr>
          <w:rFonts w:ascii="Sylfaen" w:hAnsi="Sylfaen" w:cs="Sylfaen"/>
          <w:lang w:val="ka-GE"/>
        </w:rPr>
        <w:t>გადაჭრის</w:t>
      </w:r>
      <w:r>
        <w:rPr>
          <w:rFonts w:ascii="Sylfaen" w:hAnsi="Sylfaen" w:cs="Arial"/>
          <w:lang w:val="ka-GE"/>
        </w:rPr>
        <w:t xml:space="preserve"> </w:t>
      </w:r>
      <w:r>
        <w:rPr>
          <w:rFonts w:ascii="Sylfaen" w:hAnsi="Sylfaen" w:cs="Sylfaen"/>
          <w:lang w:val="ka-GE"/>
        </w:rPr>
        <w:t>ვარიანტები</w:t>
      </w:r>
      <w:r>
        <w:rPr>
          <w:rFonts w:ascii="Sylfaen" w:hAnsi="Sylfaen" w:cs="Arial"/>
          <w:lang w:val="ka-GE"/>
        </w:rPr>
        <w:t xml:space="preserve"> </w:t>
      </w:r>
      <w:r>
        <w:rPr>
          <w:rFonts w:ascii="Sylfaen" w:hAnsi="Sylfaen" w:cs="Sylfaen"/>
          <w:lang w:val="ka-GE"/>
        </w:rPr>
        <w:t>გარემოს</w:t>
      </w:r>
      <w:r>
        <w:rPr>
          <w:rFonts w:ascii="Sylfaen" w:hAnsi="Sylfaen" w:cs="Arial"/>
          <w:lang w:val="ka-GE"/>
        </w:rPr>
        <w:t xml:space="preserve"> </w:t>
      </w:r>
      <w:r>
        <w:rPr>
          <w:rFonts w:ascii="Sylfaen" w:hAnsi="Sylfaen" w:cs="Sylfaen"/>
          <w:lang w:val="ka-GE"/>
        </w:rPr>
        <w:t>დაცვის</w:t>
      </w:r>
      <w:r>
        <w:rPr>
          <w:rFonts w:ascii="Sylfaen" w:hAnsi="Sylfaen" w:cs="Arial"/>
          <w:lang w:val="ka-GE"/>
        </w:rPr>
        <w:t xml:space="preserve"> </w:t>
      </w:r>
      <w:r>
        <w:rPr>
          <w:rFonts w:ascii="Sylfaen" w:hAnsi="Sylfaen" w:cs="Sylfaen"/>
          <w:lang w:val="ka-GE"/>
        </w:rPr>
        <w:t>სტანდარტებთან</w:t>
      </w:r>
      <w:r>
        <w:rPr>
          <w:rFonts w:ascii="Sylfaen" w:hAnsi="Sylfaen" w:cs="Arial"/>
          <w:lang w:val="ka-GE"/>
        </w:rPr>
        <w:t xml:space="preserve"> </w:t>
      </w:r>
      <w:r>
        <w:rPr>
          <w:rFonts w:ascii="Sylfaen" w:hAnsi="Sylfaen" w:cs="Sylfaen"/>
          <w:lang w:val="ka-GE"/>
        </w:rPr>
        <w:t>შესაბამისობისა</w:t>
      </w:r>
      <w:r>
        <w:rPr>
          <w:rFonts w:ascii="Sylfaen" w:hAnsi="Sylfaen" w:cs="Arial"/>
          <w:lang w:val="ka-GE"/>
        </w:rPr>
        <w:t xml:space="preserve"> </w:t>
      </w:r>
      <w:r>
        <w:rPr>
          <w:rFonts w:ascii="Sylfaen" w:hAnsi="Sylfaen" w:cs="Sylfaen"/>
          <w:lang w:val="ka-GE"/>
        </w:rPr>
        <w:t>და</w:t>
      </w:r>
      <w:r>
        <w:rPr>
          <w:rFonts w:ascii="Sylfaen" w:hAnsi="Sylfaen" w:cs="Arial"/>
          <w:lang w:val="ka-GE"/>
        </w:rPr>
        <w:t xml:space="preserve"> </w:t>
      </w:r>
      <w:r>
        <w:rPr>
          <w:rFonts w:ascii="Sylfaen" w:hAnsi="Sylfaen" w:cs="Sylfaen"/>
          <w:lang w:val="ka-GE"/>
        </w:rPr>
        <w:t>ალტერნატიული</w:t>
      </w:r>
      <w:r>
        <w:rPr>
          <w:rFonts w:ascii="Sylfaen" w:hAnsi="Sylfaen" w:cs="Arial"/>
          <w:lang w:val="ka-GE"/>
        </w:rPr>
        <w:t xml:space="preserve"> </w:t>
      </w:r>
      <w:r>
        <w:rPr>
          <w:rFonts w:ascii="Sylfaen" w:hAnsi="Sylfaen" w:cs="Sylfaen"/>
          <w:lang w:val="ka-GE"/>
        </w:rPr>
        <w:t>ვერსიების</w:t>
      </w:r>
      <w:r>
        <w:rPr>
          <w:rFonts w:ascii="Sylfaen" w:hAnsi="Sylfaen" w:cs="Arial"/>
          <w:lang w:val="ka-GE"/>
        </w:rPr>
        <w:t xml:space="preserve"> </w:t>
      </w:r>
      <w:r>
        <w:rPr>
          <w:rFonts w:ascii="Sylfaen" w:hAnsi="Sylfaen" w:cs="Sylfaen"/>
          <w:lang w:val="ka-GE"/>
        </w:rPr>
        <w:t>გათვალისწინებით</w:t>
      </w:r>
      <w:r>
        <w:rPr>
          <w:rFonts w:ascii="Sylfaen" w:hAnsi="Sylfaen"/>
          <w:lang w:val="ka-GE"/>
        </w:rPr>
        <w:t>;</w:t>
      </w:r>
    </w:p>
    <w:p w14:paraId="196E3D65" w14:textId="77777777" w:rsidR="00980876" w:rsidRPr="005E2832" w:rsidRDefault="00980876" w:rsidP="00980876">
      <w:pPr>
        <w:spacing w:before="200" w:after="200"/>
        <w:rPr>
          <w:rFonts w:ascii="Sylfaen" w:hAnsi="Sylfaen" w:cs="Arial"/>
          <w:lang w:val="ka-GE"/>
        </w:rPr>
      </w:pPr>
      <w:r w:rsidRPr="005E2832">
        <w:rPr>
          <w:rFonts w:ascii="Sylfaen" w:hAnsi="Sylfaen" w:cs="Arial"/>
          <w:lang w:val="ka-GE"/>
        </w:rPr>
        <w:t>გ) რეგიონალური და ადგილობრივი ფაქტორების ყოვლისმომცველი განხილვა.</w:t>
      </w:r>
    </w:p>
    <w:p w14:paraId="5E1E3394" w14:textId="353619C5" w:rsidR="00DA2E66" w:rsidRDefault="00980876" w:rsidP="00980876">
      <w:pPr>
        <w:pStyle w:val="EIAH1"/>
        <w:numPr>
          <w:ilvl w:val="0"/>
          <w:numId w:val="0"/>
        </w:numPr>
        <w:ind w:left="720" w:hanging="720"/>
      </w:pPr>
      <w:r>
        <w:br w:type="page"/>
      </w:r>
      <w:bookmarkStart w:id="190" w:name="_Toc1581545"/>
      <w:r w:rsidR="00DA2E66" w:rsidRPr="002B616A">
        <w:lastRenderedPageBreak/>
        <w:t>6. საბაზისო ინფორმაცია</w:t>
      </w:r>
      <w:bookmarkEnd w:id="170"/>
      <w:bookmarkEnd w:id="171"/>
      <w:bookmarkEnd w:id="190"/>
    </w:p>
    <w:p w14:paraId="24D18A78" w14:textId="17C6D161" w:rsidR="007D5393" w:rsidRPr="005E2832" w:rsidRDefault="007D5393" w:rsidP="007D5393">
      <w:pPr>
        <w:spacing w:line="238" w:lineRule="auto"/>
        <w:rPr>
          <w:rFonts w:ascii="Sylfaen" w:eastAsia="Sylfaen" w:hAnsi="Sylfaen"/>
          <w:lang w:val="ka-GE"/>
        </w:rPr>
      </w:pPr>
      <w:r w:rsidRPr="005E2832">
        <w:rPr>
          <w:rFonts w:ascii="Sylfaen" w:eastAsia="Sylfaen" w:hAnsi="Sylfaen"/>
          <w:lang w:val="ka-GE"/>
        </w:rPr>
        <w:t>წინამდებარე პარაგრაფში ძირითადად განხილულია თელავის</w:t>
      </w:r>
      <w:r>
        <w:rPr>
          <w:rFonts w:ascii="Sylfaen" w:eastAsia="Sylfaen" w:hAnsi="Sylfaen"/>
          <w:lang w:val="ka-GE"/>
        </w:rPr>
        <w:t>ა და გურჯაანის</w:t>
      </w:r>
      <w:r w:rsidRPr="005E2832">
        <w:rPr>
          <w:rFonts w:ascii="Sylfaen" w:eastAsia="Sylfaen" w:hAnsi="Sylfaen"/>
          <w:lang w:val="ka-GE"/>
        </w:rPr>
        <w:t xml:space="preserve"> მუნიციპალიტეტ</w:t>
      </w:r>
      <w:r>
        <w:rPr>
          <w:rFonts w:ascii="Sylfaen" w:eastAsia="Sylfaen" w:hAnsi="Sylfaen"/>
          <w:lang w:val="ka-GE"/>
        </w:rPr>
        <w:t>ებ</w:t>
      </w:r>
      <w:r w:rsidRPr="005E2832">
        <w:rPr>
          <w:rFonts w:ascii="Sylfaen" w:eastAsia="Sylfaen" w:hAnsi="Sylfaen"/>
          <w:lang w:val="ka-GE"/>
        </w:rPr>
        <w:t>ის ბუნებრივი და სოციალური გარემოს ფონური მდგომარეობა.</w:t>
      </w:r>
    </w:p>
    <w:p w14:paraId="15B9E4B4" w14:textId="77777777" w:rsidR="007D5393" w:rsidRPr="005E2832" w:rsidRDefault="007D5393" w:rsidP="007D5393">
      <w:pPr>
        <w:spacing w:line="126" w:lineRule="exact"/>
        <w:rPr>
          <w:rFonts w:ascii="Times New Roman" w:hAnsi="Times New Roman"/>
          <w:lang w:val="ka-GE"/>
        </w:rPr>
      </w:pPr>
    </w:p>
    <w:p w14:paraId="17878F55" w14:textId="77777777" w:rsidR="007D5393" w:rsidRPr="005E2832" w:rsidRDefault="007D5393" w:rsidP="007D5393">
      <w:pPr>
        <w:spacing w:line="239" w:lineRule="auto"/>
        <w:rPr>
          <w:rFonts w:ascii="Sylfaen" w:eastAsia="Sylfaen" w:hAnsi="Sylfaen"/>
          <w:lang w:val="ka-GE"/>
        </w:rPr>
      </w:pPr>
      <w:r w:rsidRPr="005E2832">
        <w:rPr>
          <w:rFonts w:ascii="Sylfaen" w:eastAsia="Sylfaen" w:hAnsi="Sylfaen"/>
          <w:lang w:val="ka-GE"/>
        </w:rPr>
        <w:t>ფიზიკურ-გეოგრაფიული თვალსაზრისით პროექტის განხორციელების არეალი ივერიის ოლქში შემავალი ალაზნის ანუ კახეთის ვაკის დასავლეთ ნაწილის ფარგლებშია მოქცეული (ლ.ი. მარუაშვილის მიხედვით). ალაზნის ვაკე თავის მხრივ ისაზღვრება შემდეგი ფიზიკურ-გეოგრაფიული ერთეულებით: ჩრდილო და ჩრდილო-აღმოსავლეთის მხრიდან - კახეთის კავკასიონით, სამხრეთ და სამხრეთ-დასავლეთის მხრიდან გომბორის ქედის ჩრდილო, ნაკლებ ციცაბო კალთებით.</w:t>
      </w:r>
    </w:p>
    <w:p w14:paraId="46925D5C" w14:textId="77777777" w:rsidR="007D5393" w:rsidRPr="005E2832" w:rsidRDefault="007D5393" w:rsidP="007D5393">
      <w:pPr>
        <w:spacing w:line="127" w:lineRule="exact"/>
        <w:rPr>
          <w:rFonts w:ascii="Times New Roman" w:hAnsi="Times New Roman"/>
          <w:lang w:val="ka-GE"/>
        </w:rPr>
      </w:pPr>
    </w:p>
    <w:p w14:paraId="4805D699" w14:textId="3238F2A9" w:rsidR="007D5393" w:rsidRPr="005E2832" w:rsidRDefault="007D5393" w:rsidP="00D848EC">
      <w:pPr>
        <w:rPr>
          <w:rFonts w:eastAsia="Sylfaen"/>
          <w:lang w:val="ka-GE"/>
        </w:rPr>
      </w:pPr>
      <w:r w:rsidRPr="005E2832">
        <w:rPr>
          <w:rFonts w:ascii="Sylfaen" w:eastAsia="Sylfaen" w:hAnsi="Sylfaen"/>
          <w:lang w:val="ka-GE"/>
        </w:rPr>
        <w:t>თელავის მუნიციპალიტეტს ჩრდილოეთით და დასავლეთით ესაზღვრება ახმეტის მუნიციპალიტეტი, ჩრდილო-აღმოსავლეთით დაღესტნის რესპუბლიკა, აღმოსავლეთით ყვარლის მუნიციპალიტეტი, სამხრეთ-აღმოსავლეთით გურჯაანის მუნიციპალიტეტი, ხოლო სამხრეთ-დასავლეთით საგარეჯოს მუნიციპალიტეტი.</w:t>
      </w:r>
    </w:p>
    <w:p w14:paraId="4DC20C4B" w14:textId="77777777" w:rsidR="007D5393" w:rsidRPr="005E2832" w:rsidRDefault="007D5393" w:rsidP="00D848EC">
      <w:pPr>
        <w:rPr>
          <w:rFonts w:eastAsia="Sylfaen"/>
          <w:lang w:val="ka-GE"/>
        </w:rPr>
      </w:pPr>
    </w:p>
    <w:p w14:paraId="47AD9B58" w14:textId="77777777" w:rsidR="00DA2E66" w:rsidRPr="005E2832" w:rsidRDefault="00DA2E66" w:rsidP="00D03A02">
      <w:pPr>
        <w:pStyle w:val="Heading2"/>
        <w:rPr>
          <w:lang w:val="ka-GE"/>
        </w:rPr>
      </w:pPr>
      <w:bookmarkStart w:id="191" w:name="_Toc496611071"/>
      <w:bookmarkStart w:id="192" w:name="_Toc1581546"/>
      <w:bookmarkEnd w:id="172"/>
      <w:bookmarkEnd w:id="173"/>
      <w:bookmarkEnd w:id="174"/>
      <w:r w:rsidRPr="005E2832">
        <w:rPr>
          <w:lang w:val="ka-GE"/>
        </w:rPr>
        <w:t xml:space="preserve">6.1 </w:t>
      </w:r>
      <w:r w:rsidRPr="005E2832">
        <w:rPr>
          <w:rFonts w:ascii="Sylfaen" w:hAnsi="Sylfaen" w:cs="Sylfaen"/>
          <w:lang w:val="ka-GE"/>
        </w:rPr>
        <w:t>ბიოფიზიკური</w:t>
      </w:r>
      <w:r w:rsidRPr="005E2832">
        <w:rPr>
          <w:lang w:val="ka-GE"/>
        </w:rPr>
        <w:t xml:space="preserve"> </w:t>
      </w:r>
      <w:r w:rsidRPr="005E2832">
        <w:rPr>
          <w:rFonts w:ascii="Sylfaen" w:hAnsi="Sylfaen" w:cs="Sylfaen"/>
          <w:lang w:val="ka-GE"/>
        </w:rPr>
        <w:t>გარემო</w:t>
      </w:r>
      <w:bookmarkEnd w:id="191"/>
      <w:bookmarkEnd w:id="192"/>
    </w:p>
    <w:p w14:paraId="6A2D4BFE" w14:textId="77777777" w:rsidR="00DA2E66" w:rsidRPr="00D03A02" w:rsidRDefault="00DA2E66" w:rsidP="00D03A02">
      <w:pPr>
        <w:pStyle w:val="EIAH3"/>
      </w:pPr>
      <w:bookmarkStart w:id="193" w:name="_Toc428804834"/>
      <w:bookmarkStart w:id="194" w:name="_Toc1581547"/>
      <w:r w:rsidRPr="00D03A02">
        <w:t xml:space="preserve">6.1.1 </w:t>
      </w:r>
      <w:r w:rsidRPr="00D03A02">
        <w:rPr>
          <w:rFonts w:ascii="Sylfaen" w:hAnsi="Sylfaen" w:cs="Sylfaen"/>
        </w:rPr>
        <w:t>კლიმატი</w:t>
      </w:r>
      <w:bookmarkEnd w:id="193"/>
      <w:bookmarkEnd w:id="194"/>
    </w:p>
    <w:p w14:paraId="66C944FC" w14:textId="77777777" w:rsidR="00D70F85" w:rsidRPr="008948B9" w:rsidRDefault="00D70F85" w:rsidP="00D70F85">
      <w:pPr>
        <w:tabs>
          <w:tab w:val="left" w:pos="700"/>
        </w:tabs>
        <w:spacing w:line="0" w:lineRule="atLeast"/>
        <w:rPr>
          <w:rFonts w:ascii="Sylfaen" w:eastAsia="Sylfaen" w:hAnsi="Sylfaen"/>
          <w:b/>
          <w:sz w:val="21"/>
          <w:lang w:val="da-DK"/>
        </w:rPr>
      </w:pPr>
      <w:r w:rsidRPr="005E2832">
        <w:rPr>
          <w:rFonts w:ascii="Sylfaen" w:eastAsia="Sylfaen" w:hAnsi="Sylfaen"/>
          <w:b/>
          <w:sz w:val="21"/>
          <w:lang w:val="ka-GE"/>
        </w:rPr>
        <w:t>კლიმატი</w:t>
      </w:r>
      <w:r w:rsidRPr="008948B9">
        <w:rPr>
          <w:rFonts w:ascii="Sylfaen" w:eastAsia="Sylfaen" w:hAnsi="Sylfaen"/>
          <w:b/>
          <w:sz w:val="21"/>
          <w:lang w:val="da-DK"/>
        </w:rPr>
        <w:t xml:space="preserve"> </w:t>
      </w:r>
      <w:r w:rsidRPr="005E2832">
        <w:rPr>
          <w:rFonts w:ascii="Sylfaen" w:eastAsia="Sylfaen" w:hAnsi="Sylfaen"/>
          <w:b/>
          <w:sz w:val="21"/>
          <w:lang w:val="ka-GE"/>
        </w:rPr>
        <w:t>და</w:t>
      </w:r>
      <w:r w:rsidRPr="008948B9">
        <w:rPr>
          <w:rFonts w:ascii="Sylfaen" w:eastAsia="Sylfaen" w:hAnsi="Sylfaen"/>
          <w:b/>
          <w:sz w:val="21"/>
          <w:lang w:val="da-DK"/>
        </w:rPr>
        <w:t xml:space="preserve"> </w:t>
      </w:r>
      <w:r w:rsidRPr="005E2832">
        <w:rPr>
          <w:rFonts w:ascii="Sylfaen" w:eastAsia="Sylfaen" w:hAnsi="Sylfaen"/>
          <w:b/>
          <w:sz w:val="21"/>
          <w:lang w:val="ka-GE"/>
        </w:rPr>
        <w:t>მეტეოროლოგიური</w:t>
      </w:r>
      <w:r w:rsidRPr="008948B9">
        <w:rPr>
          <w:rFonts w:ascii="Sylfaen" w:eastAsia="Sylfaen" w:hAnsi="Sylfaen"/>
          <w:b/>
          <w:sz w:val="21"/>
          <w:lang w:val="da-DK"/>
        </w:rPr>
        <w:t xml:space="preserve"> </w:t>
      </w:r>
      <w:r w:rsidRPr="005E2832">
        <w:rPr>
          <w:rFonts w:ascii="Sylfaen" w:eastAsia="Sylfaen" w:hAnsi="Sylfaen"/>
          <w:b/>
          <w:sz w:val="21"/>
          <w:lang w:val="ka-GE"/>
        </w:rPr>
        <w:t>პირობები</w:t>
      </w:r>
    </w:p>
    <w:p w14:paraId="52685F19" w14:textId="77777777" w:rsidR="00D70F85" w:rsidRPr="008948B9" w:rsidRDefault="00D70F85" w:rsidP="00D70F85">
      <w:pPr>
        <w:spacing w:line="124" w:lineRule="exact"/>
        <w:rPr>
          <w:rFonts w:ascii="Times New Roman" w:hAnsi="Times New Roman"/>
          <w:lang w:val="da-DK"/>
        </w:rPr>
      </w:pPr>
    </w:p>
    <w:p w14:paraId="09151CF9" w14:textId="77777777" w:rsidR="008948B9" w:rsidRDefault="008948B9" w:rsidP="007E6CA6">
      <w:pPr>
        <w:spacing w:after="120"/>
        <w:rPr>
          <w:rFonts w:ascii="Sylfaen" w:hAnsi="Sylfaen"/>
          <w:lang w:val="ka-GE"/>
        </w:rPr>
      </w:pPr>
      <w:r>
        <w:rPr>
          <w:rFonts w:ascii="Sylfaen" w:hAnsi="Sylfaen"/>
          <w:lang w:val="ka-GE"/>
        </w:rPr>
        <w:t>საკვლევი უბნის კლიმატური პირობების შეფასება ეყრდნობა ქ. გურჯაანის (40) მეტეოსადგურების მონაცემებს. მონაცემები მიღებულია სამშენებლო კლიმატოლოგიის სტანდარტით (პნ.01,05-08)</w:t>
      </w:r>
      <w:r w:rsidR="007E6CA6">
        <w:rPr>
          <w:rFonts w:ascii="Sylfaen" w:hAnsi="Sylfaen"/>
          <w:lang w:val="ka-GE"/>
        </w:rPr>
        <w:t>.</w:t>
      </w:r>
      <w:r>
        <w:rPr>
          <w:rFonts w:ascii="Sylfaen" w:hAnsi="Sylfaen"/>
          <w:lang w:val="ka-GE"/>
        </w:rPr>
        <w:t xml:space="preserve"> </w:t>
      </w:r>
    </w:p>
    <w:p w14:paraId="0A053C99" w14:textId="77777777" w:rsidR="008948B9" w:rsidRDefault="008948B9" w:rsidP="007E6CA6">
      <w:pPr>
        <w:spacing w:after="120"/>
        <w:rPr>
          <w:rFonts w:ascii="Sylfaen" w:hAnsi="Sylfaen"/>
          <w:lang w:val="ka-GE"/>
        </w:rPr>
      </w:pPr>
      <w:r>
        <w:rPr>
          <w:rFonts w:ascii="Sylfaen" w:hAnsi="Sylfaen"/>
          <w:lang w:val="ka-GE"/>
        </w:rPr>
        <w:t xml:space="preserve">საქართველოს სამშენებლო კლიმატური დარაიონების რუკის მიხედვით რაიონი მიეკუთვნება </w:t>
      </w:r>
      <w:r w:rsidRPr="008948B9">
        <w:rPr>
          <w:rFonts w:ascii="AcadNusx" w:hAnsi="AcadNusx"/>
          <w:lang w:val="ka-GE"/>
        </w:rPr>
        <w:t>II</w:t>
      </w:r>
      <w:r>
        <w:rPr>
          <w:rFonts w:ascii="Sylfaen" w:hAnsi="Sylfaen"/>
          <w:lang w:val="ka-GE"/>
        </w:rPr>
        <w:t xml:space="preserve"> კლიმატურ და </w:t>
      </w:r>
      <w:r w:rsidRPr="008948B9">
        <w:rPr>
          <w:rFonts w:ascii="AcadNusx" w:hAnsi="AcadNusx"/>
          <w:lang w:val="ka-GE"/>
        </w:rPr>
        <w:t>II</w:t>
      </w:r>
      <w:r>
        <w:rPr>
          <w:rFonts w:ascii="Sylfaen" w:hAnsi="Sylfaen"/>
          <w:lang w:val="ka-GE"/>
        </w:rPr>
        <w:t xml:space="preserve">-ბ ქვერაიონს. იანვრის საშუალო ტემპერატურა </w:t>
      </w:r>
      <w:r w:rsidRPr="008948B9">
        <w:rPr>
          <w:rFonts w:ascii="AcadNusx" w:hAnsi="AcadNusx"/>
          <w:lang w:val="ka-GE"/>
        </w:rPr>
        <w:t>-5</w:t>
      </w:r>
      <w:r w:rsidRPr="008948B9">
        <w:rPr>
          <w:rFonts w:ascii="AcadNusx" w:hAnsi="AcadNusx"/>
          <w:vertAlign w:val="superscript"/>
          <w:lang w:val="ka-GE"/>
        </w:rPr>
        <w:t>0</w:t>
      </w:r>
      <w:r w:rsidRPr="008948B9">
        <w:rPr>
          <w:lang w:val="ka-GE"/>
        </w:rPr>
        <w:t>C</w:t>
      </w:r>
      <w:r w:rsidRPr="008948B9">
        <w:rPr>
          <w:rFonts w:ascii="AcadNusx" w:hAnsi="AcadNusx"/>
          <w:lang w:val="ka-GE"/>
        </w:rPr>
        <w:t>-</w:t>
      </w:r>
      <w:r>
        <w:rPr>
          <w:rFonts w:ascii="Sylfaen" w:hAnsi="Sylfaen"/>
          <w:lang w:val="ka-GE"/>
        </w:rPr>
        <w:t>დან</w:t>
      </w:r>
      <w:r w:rsidRPr="008948B9">
        <w:rPr>
          <w:rFonts w:ascii="AcadNusx" w:hAnsi="AcadNusx"/>
          <w:lang w:val="ka-GE"/>
        </w:rPr>
        <w:t xml:space="preserve"> -2</w:t>
      </w:r>
      <w:r w:rsidRPr="008948B9">
        <w:rPr>
          <w:rFonts w:ascii="AcadNusx" w:hAnsi="AcadNusx"/>
          <w:vertAlign w:val="superscript"/>
          <w:lang w:val="ka-GE"/>
        </w:rPr>
        <w:t>0</w:t>
      </w:r>
      <w:r w:rsidRPr="008948B9">
        <w:rPr>
          <w:lang w:val="ka-GE"/>
        </w:rPr>
        <w:t>C</w:t>
      </w:r>
      <w:r w:rsidRPr="008948B9">
        <w:rPr>
          <w:rFonts w:ascii="AcadNusx" w:hAnsi="AcadNusx"/>
          <w:lang w:val="ka-GE"/>
        </w:rPr>
        <w:t>-</w:t>
      </w:r>
      <w:r>
        <w:rPr>
          <w:rFonts w:ascii="Sylfaen" w:hAnsi="Sylfaen"/>
          <w:lang w:val="ka-GE"/>
        </w:rPr>
        <w:t>დე იცვლება, ხოლო ივლისის საშუალო ტემპერატურა +21</w:t>
      </w:r>
      <w:r w:rsidRPr="008948B9">
        <w:rPr>
          <w:rFonts w:ascii="AcadNusx" w:hAnsi="AcadNusx"/>
          <w:vertAlign w:val="superscript"/>
          <w:lang w:val="ka-GE"/>
        </w:rPr>
        <w:t>0</w:t>
      </w:r>
      <w:r w:rsidRPr="008948B9">
        <w:rPr>
          <w:lang w:val="ka-GE"/>
        </w:rPr>
        <w:t>C</w:t>
      </w:r>
      <w:r w:rsidRPr="008948B9">
        <w:rPr>
          <w:rFonts w:ascii="AcadNusx" w:hAnsi="AcadNusx"/>
          <w:lang w:val="ka-GE"/>
        </w:rPr>
        <w:t>-</w:t>
      </w:r>
      <w:r>
        <w:rPr>
          <w:rFonts w:ascii="Sylfaen" w:hAnsi="Sylfaen"/>
          <w:lang w:val="ka-GE"/>
        </w:rPr>
        <w:t>დან</w:t>
      </w:r>
      <w:r w:rsidRPr="008948B9">
        <w:rPr>
          <w:rFonts w:ascii="AcadNusx" w:hAnsi="AcadNusx"/>
          <w:lang w:val="ka-GE"/>
        </w:rPr>
        <w:t xml:space="preserve"> +25</w:t>
      </w:r>
      <w:r w:rsidRPr="008948B9">
        <w:rPr>
          <w:rFonts w:ascii="AcadNusx" w:hAnsi="AcadNusx"/>
          <w:vertAlign w:val="superscript"/>
          <w:lang w:val="ka-GE"/>
        </w:rPr>
        <w:t>0</w:t>
      </w:r>
      <w:r w:rsidRPr="008948B9">
        <w:rPr>
          <w:lang w:val="ka-GE"/>
        </w:rPr>
        <w:t>C</w:t>
      </w:r>
      <w:r>
        <w:rPr>
          <w:rFonts w:ascii="Sylfaen" w:hAnsi="Sylfaen"/>
          <w:lang w:val="ka-GE"/>
        </w:rPr>
        <w:t>-ის ფარგლებშია</w:t>
      </w:r>
      <w:r w:rsidR="007E6CA6">
        <w:rPr>
          <w:rFonts w:ascii="Sylfaen" w:hAnsi="Sylfaen"/>
          <w:lang w:val="ka-GE"/>
        </w:rPr>
        <w:t>.</w:t>
      </w:r>
    </w:p>
    <w:p w14:paraId="05F27FA5" w14:textId="77777777" w:rsidR="007E6CA6" w:rsidRPr="005718CD" w:rsidRDefault="007E6CA6" w:rsidP="007E6CA6">
      <w:pPr>
        <w:spacing w:after="120"/>
        <w:rPr>
          <w:rFonts w:ascii="AcadNusx" w:hAnsi="AcadNusx"/>
          <w:lang w:val="en-US"/>
        </w:rPr>
      </w:pPr>
      <w:r w:rsidRPr="005718CD">
        <w:rPr>
          <w:rFonts w:ascii="Sylfaen" w:hAnsi="Sylfaen" w:cs="Sylfaen"/>
          <w:lang w:val="en-US"/>
        </w:rPr>
        <w:t>გრუნტების</w:t>
      </w:r>
      <w:r w:rsidRPr="005718CD">
        <w:rPr>
          <w:rFonts w:ascii="AcadNusx" w:hAnsi="AcadNusx"/>
          <w:lang w:val="en-US"/>
        </w:rPr>
        <w:t xml:space="preserve"> </w:t>
      </w:r>
      <w:r w:rsidRPr="005718CD">
        <w:rPr>
          <w:rFonts w:ascii="Sylfaen" w:hAnsi="Sylfaen" w:cs="Sylfaen"/>
          <w:lang w:val="en-US"/>
        </w:rPr>
        <w:t>სეზონური</w:t>
      </w:r>
      <w:r w:rsidRPr="005718CD">
        <w:rPr>
          <w:rFonts w:ascii="AcadNusx" w:hAnsi="AcadNusx"/>
          <w:lang w:val="en-US"/>
        </w:rPr>
        <w:t xml:space="preserve"> </w:t>
      </w:r>
      <w:r w:rsidRPr="005718CD">
        <w:rPr>
          <w:rFonts w:ascii="Sylfaen" w:hAnsi="Sylfaen" w:cs="Sylfaen"/>
          <w:lang w:val="en-US"/>
        </w:rPr>
        <w:t>გაყინვის</w:t>
      </w:r>
      <w:r w:rsidRPr="005718CD">
        <w:rPr>
          <w:rFonts w:ascii="AcadNusx" w:hAnsi="AcadNusx"/>
          <w:lang w:val="en-US"/>
        </w:rPr>
        <w:t xml:space="preserve"> </w:t>
      </w:r>
      <w:r w:rsidRPr="005718CD">
        <w:rPr>
          <w:rFonts w:ascii="Sylfaen" w:hAnsi="Sylfaen" w:cs="Sylfaen"/>
          <w:lang w:val="en-US"/>
        </w:rPr>
        <w:t>ნორმატიული</w:t>
      </w:r>
      <w:r w:rsidRPr="005718CD">
        <w:rPr>
          <w:rFonts w:ascii="AcadNusx" w:hAnsi="AcadNusx"/>
          <w:lang w:val="en-US"/>
        </w:rPr>
        <w:t xml:space="preserve"> </w:t>
      </w:r>
      <w:r w:rsidRPr="005718CD">
        <w:rPr>
          <w:rFonts w:ascii="Sylfaen" w:hAnsi="Sylfaen" w:cs="Sylfaen"/>
          <w:lang w:val="en-US"/>
        </w:rPr>
        <w:t>სიღრმე</w:t>
      </w:r>
      <w:r w:rsidRPr="005718CD">
        <w:rPr>
          <w:rFonts w:ascii="AcadNusx" w:hAnsi="AcadNusx"/>
          <w:lang w:val="en-US"/>
        </w:rPr>
        <w:t xml:space="preserve">, </w:t>
      </w:r>
      <w:r w:rsidRPr="005718CD">
        <w:rPr>
          <w:rFonts w:ascii="Sylfaen" w:hAnsi="Sylfaen" w:cs="Sylfaen"/>
          <w:lang w:val="en-US"/>
        </w:rPr>
        <w:t>სმ</w:t>
      </w:r>
      <w:r w:rsidRPr="005718CD">
        <w:rPr>
          <w:rFonts w:ascii="AcadNusx" w:hAnsi="AcadNusx"/>
          <w:lang w:val="en-US"/>
        </w:rPr>
        <w:t>:</w:t>
      </w:r>
    </w:p>
    <w:p w14:paraId="43178A0C" w14:textId="77777777" w:rsidR="007E6CA6" w:rsidRPr="005718CD" w:rsidRDefault="007E6CA6" w:rsidP="007E6CA6">
      <w:pPr>
        <w:spacing w:after="120"/>
        <w:rPr>
          <w:rFonts w:ascii="AcadNusx" w:hAnsi="AcadNusx"/>
          <w:lang w:val="en-US"/>
        </w:rPr>
      </w:pPr>
      <w:r w:rsidRPr="005718CD">
        <w:rPr>
          <w:rFonts w:ascii="Sylfaen" w:hAnsi="Sylfaen" w:cs="Sylfaen"/>
          <w:lang w:val="en-US"/>
        </w:rPr>
        <w:t>თიხოვანი</w:t>
      </w:r>
      <w:r w:rsidRPr="005718CD">
        <w:rPr>
          <w:rFonts w:ascii="AcadNusx" w:hAnsi="AcadNusx"/>
          <w:lang w:val="en-US"/>
        </w:rPr>
        <w:t xml:space="preserve"> </w:t>
      </w:r>
      <w:r w:rsidRPr="005718CD">
        <w:rPr>
          <w:rFonts w:ascii="Sylfaen" w:hAnsi="Sylfaen" w:cs="Sylfaen"/>
          <w:lang w:val="en-US"/>
        </w:rPr>
        <w:t>და</w:t>
      </w:r>
      <w:r w:rsidRPr="005718CD">
        <w:rPr>
          <w:rFonts w:ascii="AcadNusx" w:hAnsi="AcadNusx"/>
          <w:lang w:val="en-US"/>
        </w:rPr>
        <w:t xml:space="preserve"> </w:t>
      </w:r>
      <w:r w:rsidRPr="005718CD">
        <w:rPr>
          <w:rFonts w:ascii="Sylfaen" w:hAnsi="Sylfaen" w:cs="Sylfaen"/>
          <w:lang w:val="en-US"/>
        </w:rPr>
        <w:t>თიხნარი</w:t>
      </w:r>
      <w:r w:rsidRPr="005718CD">
        <w:rPr>
          <w:rFonts w:ascii="AcadNusx" w:hAnsi="AcadNusx"/>
          <w:lang w:val="en-US"/>
        </w:rPr>
        <w:t xml:space="preserve"> - 0;</w:t>
      </w:r>
    </w:p>
    <w:p w14:paraId="7917D588" w14:textId="77777777" w:rsidR="007E6CA6" w:rsidRPr="005718CD" w:rsidRDefault="007E6CA6" w:rsidP="007E6CA6">
      <w:pPr>
        <w:spacing w:after="120"/>
        <w:rPr>
          <w:rFonts w:ascii="AcadNusx" w:hAnsi="AcadNusx"/>
          <w:lang w:val="en-US"/>
        </w:rPr>
      </w:pPr>
      <w:r w:rsidRPr="005718CD">
        <w:rPr>
          <w:rFonts w:ascii="Sylfaen" w:hAnsi="Sylfaen" w:cs="Sylfaen"/>
          <w:lang w:val="en-US"/>
        </w:rPr>
        <w:t>წვრილი</w:t>
      </w:r>
      <w:r w:rsidRPr="005718CD">
        <w:rPr>
          <w:rFonts w:ascii="AcadNusx" w:hAnsi="AcadNusx"/>
          <w:lang w:val="en-US"/>
        </w:rPr>
        <w:t xml:space="preserve"> </w:t>
      </w:r>
      <w:r w:rsidRPr="005718CD">
        <w:rPr>
          <w:rFonts w:ascii="Sylfaen" w:hAnsi="Sylfaen" w:cs="Sylfaen"/>
          <w:lang w:val="en-US"/>
        </w:rPr>
        <w:t>და</w:t>
      </w:r>
      <w:r w:rsidRPr="005718CD">
        <w:rPr>
          <w:rFonts w:ascii="AcadNusx" w:hAnsi="AcadNusx"/>
          <w:lang w:val="en-US"/>
        </w:rPr>
        <w:t xml:space="preserve"> </w:t>
      </w:r>
      <w:r w:rsidRPr="005718CD">
        <w:rPr>
          <w:rFonts w:ascii="Sylfaen" w:hAnsi="Sylfaen" w:cs="Sylfaen"/>
          <w:lang w:val="en-US"/>
        </w:rPr>
        <w:t>მტვრისებრი</w:t>
      </w:r>
      <w:r w:rsidRPr="005718CD">
        <w:rPr>
          <w:rFonts w:ascii="AcadNusx" w:hAnsi="AcadNusx"/>
          <w:lang w:val="en-US"/>
        </w:rPr>
        <w:t xml:space="preserve"> </w:t>
      </w:r>
      <w:r w:rsidRPr="005718CD">
        <w:rPr>
          <w:rFonts w:ascii="Sylfaen" w:hAnsi="Sylfaen" w:cs="Sylfaen"/>
          <w:lang w:val="en-US"/>
        </w:rPr>
        <w:t>ქვიშის</w:t>
      </w:r>
      <w:r w:rsidRPr="005718CD">
        <w:rPr>
          <w:rFonts w:ascii="AcadNusx" w:hAnsi="AcadNusx"/>
          <w:lang w:val="en-US"/>
        </w:rPr>
        <w:t xml:space="preserve"> </w:t>
      </w:r>
      <w:r w:rsidRPr="005718CD">
        <w:rPr>
          <w:rFonts w:ascii="Sylfaen" w:hAnsi="Sylfaen" w:cs="Sylfaen"/>
          <w:lang w:val="en-US"/>
        </w:rPr>
        <w:t>ქვიშნარი</w:t>
      </w:r>
      <w:r w:rsidRPr="005718CD">
        <w:rPr>
          <w:rFonts w:ascii="AcadNusx" w:hAnsi="AcadNusx"/>
          <w:lang w:val="en-US"/>
        </w:rPr>
        <w:t xml:space="preserve"> </w:t>
      </w:r>
      <w:r w:rsidRPr="005718CD">
        <w:rPr>
          <w:rFonts w:ascii="AcadNusx" w:hAnsi="AcadNusx" w:cs="AcadNusx"/>
          <w:lang w:val="en-US"/>
        </w:rPr>
        <w:t>–</w:t>
      </w:r>
      <w:r w:rsidRPr="005718CD">
        <w:rPr>
          <w:rFonts w:ascii="AcadNusx" w:hAnsi="AcadNusx"/>
          <w:lang w:val="en-US"/>
        </w:rPr>
        <w:t xml:space="preserve"> 0;</w:t>
      </w:r>
    </w:p>
    <w:p w14:paraId="2267C72E" w14:textId="77777777" w:rsidR="007E6CA6" w:rsidRPr="005718CD" w:rsidRDefault="007E6CA6" w:rsidP="007E6CA6">
      <w:pPr>
        <w:spacing w:after="120"/>
        <w:rPr>
          <w:rFonts w:ascii="AcadNusx" w:hAnsi="AcadNusx"/>
          <w:lang w:val="en-US"/>
        </w:rPr>
      </w:pPr>
      <w:r w:rsidRPr="005718CD">
        <w:rPr>
          <w:rFonts w:ascii="Sylfaen" w:hAnsi="Sylfaen" w:cs="Sylfaen"/>
          <w:lang w:val="en-US"/>
        </w:rPr>
        <w:t>მსხვილი</w:t>
      </w:r>
      <w:r w:rsidRPr="005718CD">
        <w:rPr>
          <w:rFonts w:ascii="AcadNusx" w:hAnsi="AcadNusx"/>
          <w:lang w:val="en-US"/>
        </w:rPr>
        <w:t xml:space="preserve"> </w:t>
      </w:r>
      <w:r w:rsidRPr="005718CD">
        <w:rPr>
          <w:rFonts w:ascii="Sylfaen" w:hAnsi="Sylfaen" w:cs="Sylfaen"/>
          <w:lang w:val="en-US"/>
        </w:rPr>
        <w:t>და</w:t>
      </w:r>
      <w:r w:rsidRPr="005718CD">
        <w:rPr>
          <w:rFonts w:ascii="AcadNusx" w:hAnsi="AcadNusx"/>
          <w:lang w:val="en-US"/>
        </w:rPr>
        <w:t xml:space="preserve"> </w:t>
      </w:r>
      <w:r w:rsidRPr="005718CD">
        <w:rPr>
          <w:rFonts w:ascii="Sylfaen" w:hAnsi="Sylfaen" w:cs="Sylfaen"/>
          <w:lang w:val="en-US"/>
        </w:rPr>
        <w:t>საშ</w:t>
      </w:r>
      <w:r w:rsidRPr="005718CD">
        <w:rPr>
          <w:rFonts w:ascii="AcadNusx" w:hAnsi="AcadNusx"/>
          <w:lang w:val="en-US"/>
        </w:rPr>
        <w:t xml:space="preserve">. </w:t>
      </w:r>
      <w:r w:rsidRPr="005718CD">
        <w:rPr>
          <w:rFonts w:ascii="Sylfaen" w:hAnsi="Sylfaen" w:cs="Sylfaen"/>
          <w:lang w:val="en-US"/>
        </w:rPr>
        <w:t>სიმსხვილის</w:t>
      </w:r>
      <w:r w:rsidRPr="005718CD">
        <w:rPr>
          <w:rFonts w:ascii="AcadNusx" w:hAnsi="AcadNusx"/>
          <w:lang w:val="en-US"/>
        </w:rPr>
        <w:t xml:space="preserve"> </w:t>
      </w:r>
      <w:r w:rsidRPr="005718CD">
        <w:rPr>
          <w:rFonts w:ascii="Sylfaen" w:hAnsi="Sylfaen" w:cs="Sylfaen"/>
          <w:lang w:val="en-US"/>
        </w:rPr>
        <w:t>ხრეშისებური</w:t>
      </w:r>
      <w:r w:rsidRPr="005718CD">
        <w:rPr>
          <w:rFonts w:ascii="AcadNusx" w:hAnsi="AcadNusx"/>
          <w:lang w:val="en-US"/>
        </w:rPr>
        <w:t xml:space="preserve"> </w:t>
      </w:r>
      <w:r w:rsidRPr="005718CD">
        <w:rPr>
          <w:rFonts w:ascii="Sylfaen" w:hAnsi="Sylfaen" w:cs="Sylfaen"/>
          <w:lang w:val="en-US"/>
        </w:rPr>
        <w:t>ქვიშის</w:t>
      </w:r>
      <w:r w:rsidRPr="005718CD">
        <w:rPr>
          <w:rFonts w:ascii="AcadNusx" w:hAnsi="AcadNusx"/>
          <w:lang w:val="en-US"/>
        </w:rPr>
        <w:t xml:space="preserve"> </w:t>
      </w:r>
      <w:r w:rsidRPr="005718CD">
        <w:rPr>
          <w:rFonts w:ascii="AcadNusx" w:hAnsi="AcadNusx" w:cs="AcadNusx"/>
          <w:lang w:val="en-US"/>
        </w:rPr>
        <w:t>–</w:t>
      </w:r>
      <w:r w:rsidRPr="005718CD">
        <w:rPr>
          <w:rFonts w:ascii="AcadNusx" w:hAnsi="AcadNusx"/>
          <w:lang w:val="en-US"/>
        </w:rPr>
        <w:t xml:space="preserve"> 0;</w:t>
      </w:r>
    </w:p>
    <w:p w14:paraId="02510475" w14:textId="77777777" w:rsidR="007E6CA6" w:rsidRPr="005718CD" w:rsidRDefault="007E6CA6" w:rsidP="007E6CA6">
      <w:pPr>
        <w:spacing w:after="120"/>
        <w:rPr>
          <w:rFonts w:ascii="AcadNusx" w:hAnsi="AcadNusx"/>
          <w:lang w:val="en-US"/>
        </w:rPr>
      </w:pPr>
      <w:r w:rsidRPr="005718CD">
        <w:rPr>
          <w:rFonts w:ascii="Sylfaen" w:hAnsi="Sylfaen" w:cs="Sylfaen"/>
          <w:lang w:val="en-US"/>
        </w:rPr>
        <w:t>მსხვილნატეხოვანის</w:t>
      </w:r>
      <w:r w:rsidRPr="005718CD">
        <w:rPr>
          <w:rFonts w:ascii="AcadNusx" w:hAnsi="AcadNusx"/>
          <w:lang w:val="en-US"/>
        </w:rPr>
        <w:t xml:space="preserve"> </w:t>
      </w:r>
      <w:r w:rsidRPr="005718CD">
        <w:rPr>
          <w:rFonts w:ascii="AcadNusx" w:hAnsi="AcadNusx" w:cs="AcadNusx"/>
          <w:lang w:val="en-US"/>
        </w:rPr>
        <w:t>–</w:t>
      </w:r>
      <w:r w:rsidRPr="005718CD">
        <w:rPr>
          <w:rFonts w:ascii="AcadNusx" w:hAnsi="AcadNusx"/>
          <w:lang w:val="en-US"/>
        </w:rPr>
        <w:t xml:space="preserve"> 0.</w:t>
      </w:r>
    </w:p>
    <w:p w14:paraId="7924C0AF" w14:textId="77777777" w:rsidR="008948B9" w:rsidRPr="008948B9" w:rsidRDefault="0078141E" w:rsidP="008B0984">
      <w:pPr>
        <w:rPr>
          <w:rFonts w:ascii="AcadNusx" w:hAnsi="AcadNusx"/>
          <w:lang w:val="ka-GE"/>
        </w:rPr>
      </w:pPr>
      <w:r>
        <w:rPr>
          <w:rFonts w:ascii="Sylfaen" w:hAnsi="Sylfaen" w:cs="Sylfaen"/>
          <w:lang w:val="ka-GE"/>
        </w:rPr>
        <w:t>ჰაერის</w:t>
      </w:r>
      <w:r>
        <w:rPr>
          <w:lang w:val="ka-GE"/>
        </w:rPr>
        <w:t xml:space="preserve"> </w:t>
      </w:r>
      <w:r>
        <w:rPr>
          <w:rFonts w:ascii="Sylfaen" w:hAnsi="Sylfaen" w:cs="Sylfaen"/>
          <w:lang w:val="ka-GE"/>
        </w:rPr>
        <w:t>ტემპერატურული</w:t>
      </w:r>
      <w:r>
        <w:rPr>
          <w:lang w:val="ka-GE"/>
        </w:rPr>
        <w:t xml:space="preserve"> </w:t>
      </w:r>
      <w:r>
        <w:rPr>
          <w:rFonts w:ascii="Sylfaen" w:hAnsi="Sylfaen" w:cs="Sylfaen"/>
          <w:lang w:val="ka-GE"/>
        </w:rPr>
        <w:t>პარამეტრები</w:t>
      </w:r>
      <w:r>
        <w:rPr>
          <w:lang w:val="ka-GE"/>
        </w:rPr>
        <w:t xml:space="preserve"> </w:t>
      </w:r>
      <w:r>
        <w:rPr>
          <w:rFonts w:ascii="Sylfaen" w:hAnsi="Sylfaen" w:cs="Sylfaen"/>
          <w:lang w:val="ka-GE"/>
        </w:rPr>
        <w:t>მოცემულია</w:t>
      </w:r>
      <w:r>
        <w:rPr>
          <w:lang w:val="ka-GE"/>
        </w:rPr>
        <w:t xml:space="preserve"> </w:t>
      </w:r>
      <w:r>
        <w:rPr>
          <w:rFonts w:ascii="Sylfaen" w:hAnsi="Sylfaen" w:cs="Sylfaen"/>
          <w:lang w:val="ka-GE"/>
        </w:rPr>
        <w:t>ცხრილებში</w:t>
      </w:r>
    </w:p>
    <w:p w14:paraId="12010505" w14:textId="77777777" w:rsidR="008948B9" w:rsidRPr="008948B9" w:rsidRDefault="0078141E" w:rsidP="008B0984">
      <w:pPr>
        <w:rPr>
          <w:sz w:val="20"/>
          <w:szCs w:val="20"/>
          <w:lang w:val="ka-GE"/>
        </w:rPr>
      </w:pPr>
      <w:r>
        <w:rPr>
          <w:rFonts w:ascii="Sylfaen" w:hAnsi="Sylfaen" w:cs="Sylfaen"/>
          <w:sz w:val="20"/>
          <w:szCs w:val="20"/>
          <w:lang w:val="ka-GE"/>
        </w:rPr>
        <w:t>ჰაერის</w:t>
      </w:r>
      <w:r>
        <w:rPr>
          <w:sz w:val="20"/>
          <w:szCs w:val="20"/>
          <w:lang w:val="ka-GE"/>
        </w:rPr>
        <w:t xml:space="preserve"> </w:t>
      </w:r>
      <w:r>
        <w:rPr>
          <w:rFonts w:ascii="Sylfaen" w:hAnsi="Sylfaen" w:cs="Sylfaen"/>
          <w:sz w:val="20"/>
          <w:szCs w:val="20"/>
          <w:lang w:val="ka-GE"/>
        </w:rPr>
        <w:t>ტემპერატურა</w:t>
      </w:r>
      <w:r>
        <w:rPr>
          <w:sz w:val="20"/>
          <w:szCs w:val="20"/>
          <w:lang w:val="ka-GE"/>
        </w:rPr>
        <w:t xml:space="preserve"> </w:t>
      </w:r>
      <w:r>
        <w:rPr>
          <w:rFonts w:ascii="Sylfaen" w:hAnsi="Sylfaen" w:cs="Sylfaen"/>
          <w:sz w:val="20"/>
          <w:szCs w:val="20"/>
          <w:lang w:val="ka-GE"/>
        </w:rPr>
        <w:t>ცხრილი</w:t>
      </w:r>
      <w:r>
        <w:rPr>
          <w:sz w:val="20"/>
          <w:szCs w:val="20"/>
          <w:lang w:val="ka-GE"/>
        </w:rPr>
        <w:t xml:space="preserve"> 6.1.1.1</w:t>
      </w:r>
    </w:p>
    <w:tbl>
      <w:tblPr>
        <w:tblW w:w="7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709"/>
        <w:gridCol w:w="567"/>
        <w:gridCol w:w="567"/>
        <w:gridCol w:w="527"/>
        <w:gridCol w:w="553"/>
        <w:gridCol w:w="631"/>
        <w:gridCol w:w="670"/>
        <w:gridCol w:w="609"/>
        <w:gridCol w:w="597"/>
        <w:gridCol w:w="567"/>
        <w:gridCol w:w="724"/>
        <w:gridCol w:w="717"/>
      </w:tblGrid>
      <w:tr w:rsidR="008948B9" w:rsidRPr="0009255A" w14:paraId="53828F56" w14:textId="77777777" w:rsidTr="0009255A">
        <w:trPr>
          <w:cantSplit/>
          <w:trHeight w:val="341"/>
          <w:jc w:val="center"/>
        </w:trPr>
        <w:tc>
          <w:tcPr>
            <w:tcW w:w="7237" w:type="dxa"/>
            <w:gridSpan w:val="12"/>
            <w:tcBorders>
              <w:top w:val="single" w:sz="4" w:space="0" w:color="auto"/>
              <w:left w:val="single" w:sz="4" w:space="0" w:color="auto"/>
              <w:bottom w:val="single" w:sz="4" w:space="0" w:color="auto"/>
              <w:right w:val="single" w:sz="4" w:space="0" w:color="auto"/>
            </w:tcBorders>
            <w:vAlign w:val="center"/>
            <w:hideMark/>
          </w:tcPr>
          <w:p w14:paraId="4C2A5C92" w14:textId="77777777" w:rsidR="008948B9" w:rsidRPr="0009255A" w:rsidRDefault="0078141E" w:rsidP="008B0984">
            <w:pPr>
              <w:rPr>
                <w:sz w:val="16"/>
                <w:lang w:val="ka-GE"/>
              </w:rPr>
            </w:pPr>
            <w:r w:rsidRPr="0009255A">
              <w:rPr>
                <w:rFonts w:ascii="Sylfaen" w:hAnsi="Sylfaen" w:cs="Sylfaen"/>
                <w:sz w:val="16"/>
                <w:lang w:val="ka-GE"/>
              </w:rPr>
              <w:t>თვეები</w:t>
            </w:r>
          </w:p>
        </w:tc>
        <w:tc>
          <w:tcPr>
            <w:tcW w:w="71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2E1905" w14:textId="77777777" w:rsidR="008948B9" w:rsidRPr="0009255A" w:rsidRDefault="0078141E" w:rsidP="008B0984">
            <w:pPr>
              <w:rPr>
                <w:sz w:val="16"/>
                <w:szCs w:val="20"/>
                <w:lang w:val="ka-GE"/>
              </w:rPr>
            </w:pPr>
            <w:r w:rsidRPr="0009255A">
              <w:rPr>
                <w:rFonts w:ascii="Sylfaen" w:hAnsi="Sylfaen" w:cs="Sylfaen"/>
                <w:sz w:val="16"/>
                <w:szCs w:val="20"/>
                <w:lang w:val="ka-GE"/>
              </w:rPr>
              <w:t>წლის</w:t>
            </w:r>
            <w:r w:rsidRPr="0009255A">
              <w:rPr>
                <w:sz w:val="16"/>
                <w:szCs w:val="20"/>
                <w:lang w:val="ka-GE"/>
              </w:rPr>
              <w:t xml:space="preserve"> </w:t>
            </w:r>
            <w:r w:rsidRPr="0009255A">
              <w:rPr>
                <w:rFonts w:ascii="Sylfaen" w:hAnsi="Sylfaen" w:cs="Sylfaen"/>
                <w:sz w:val="16"/>
                <w:szCs w:val="20"/>
                <w:lang w:val="ka-GE"/>
              </w:rPr>
              <w:t>საშუალო</w:t>
            </w:r>
          </w:p>
        </w:tc>
      </w:tr>
      <w:tr w:rsidR="008948B9" w:rsidRPr="0009255A" w14:paraId="4DB7AD0A" w14:textId="77777777" w:rsidTr="0009255A">
        <w:trPr>
          <w:cantSplit/>
          <w:trHeight w:val="620"/>
          <w:jc w:val="center"/>
        </w:trPr>
        <w:tc>
          <w:tcPr>
            <w:tcW w:w="516" w:type="dxa"/>
            <w:tcBorders>
              <w:top w:val="single" w:sz="4" w:space="0" w:color="auto"/>
              <w:left w:val="single" w:sz="4" w:space="0" w:color="auto"/>
              <w:bottom w:val="single" w:sz="4" w:space="0" w:color="auto"/>
              <w:right w:val="single" w:sz="4" w:space="0" w:color="auto"/>
            </w:tcBorders>
            <w:vAlign w:val="center"/>
            <w:hideMark/>
          </w:tcPr>
          <w:p w14:paraId="52C1AAC3" w14:textId="77777777" w:rsidR="008948B9" w:rsidRPr="0009255A" w:rsidRDefault="008948B9" w:rsidP="008B0984">
            <w:pPr>
              <w:rPr>
                <w:spacing w:val="20"/>
                <w:kern w:val="14"/>
                <w:sz w:val="16"/>
                <w:szCs w:val="20"/>
                <w:lang w:val="ka-GE"/>
              </w:rPr>
            </w:pPr>
            <w:r w:rsidRPr="0009255A">
              <w:rPr>
                <w:spacing w:val="20"/>
                <w:kern w:val="14"/>
                <w:sz w:val="16"/>
                <w:szCs w:val="20"/>
                <w:lang w:val="ka-GE"/>
              </w:rPr>
              <w:t>I</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C0D07B" w14:textId="77777777" w:rsidR="008948B9" w:rsidRPr="0009255A" w:rsidRDefault="008948B9" w:rsidP="008B0984">
            <w:pPr>
              <w:rPr>
                <w:spacing w:val="20"/>
                <w:kern w:val="14"/>
                <w:sz w:val="16"/>
                <w:szCs w:val="20"/>
                <w:lang w:val="ka-GE"/>
              </w:rPr>
            </w:pPr>
            <w:r w:rsidRPr="0009255A">
              <w:rPr>
                <w:spacing w:val="20"/>
                <w:kern w:val="14"/>
                <w:sz w:val="16"/>
                <w:szCs w:val="20"/>
                <w:lang w:val="ka-GE"/>
              </w:rPr>
              <w:t>II</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0AF021" w14:textId="77777777" w:rsidR="008948B9" w:rsidRPr="0009255A" w:rsidRDefault="008948B9" w:rsidP="008B0984">
            <w:pPr>
              <w:rPr>
                <w:spacing w:val="20"/>
                <w:kern w:val="14"/>
                <w:sz w:val="16"/>
                <w:szCs w:val="20"/>
                <w:lang w:val="ka-GE"/>
              </w:rPr>
            </w:pPr>
            <w:r w:rsidRPr="0009255A">
              <w:rPr>
                <w:spacing w:val="20"/>
                <w:kern w:val="14"/>
                <w:sz w:val="16"/>
                <w:szCs w:val="20"/>
                <w:lang w:val="ka-GE"/>
              </w:rPr>
              <w:t>III</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AAD59C" w14:textId="77777777" w:rsidR="008948B9" w:rsidRPr="0009255A" w:rsidRDefault="008948B9" w:rsidP="008B0984">
            <w:pPr>
              <w:rPr>
                <w:spacing w:val="20"/>
                <w:kern w:val="14"/>
                <w:sz w:val="16"/>
                <w:szCs w:val="20"/>
                <w:lang w:val="ka-GE"/>
              </w:rPr>
            </w:pPr>
            <w:r w:rsidRPr="0009255A">
              <w:rPr>
                <w:spacing w:val="20"/>
                <w:kern w:val="14"/>
                <w:sz w:val="16"/>
                <w:szCs w:val="20"/>
                <w:lang w:val="ka-GE"/>
              </w:rPr>
              <w:t>IV</w:t>
            </w:r>
          </w:p>
        </w:tc>
        <w:tc>
          <w:tcPr>
            <w:tcW w:w="527" w:type="dxa"/>
            <w:tcBorders>
              <w:top w:val="single" w:sz="4" w:space="0" w:color="auto"/>
              <w:left w:val="single" w:sz="4" w:space="0" w:color="auto"/>
              <w:bottom w:val="single" w:sz="4" w:space="0" w:color="auto"/>
              <w:right w:val="single" w:sz="4" w:space="0" w:color="auto"/>
            </w:tcBorders>
            <w:vAlign w:val="center"/>
            <w:hideMark/>
          </w:tcPr>
          <w:p w14:paraId="4CD1C7A5" w14:textId="77777777" w:rsidR="008948B9" w:rsidRPr="0009255A" w:rsidRDefault="008948B9" w:rsidP="008B0984">
            <w:pPr>
              <w:rPr>
                <w:spacing w:val="20"/>
                <w:kern w:val="14"/>
                <w:sz w:val="16"/>
                <w:szCs w:val="20"/>
                <w:lang w:val="ka-GE"/>
              </w:rPr>
            </w:pPr>
            <w:r w:rsidRPr="0009255A">
              <w:rPr>
                <w:spacing w:val="20"/>
                <w:kern w:val="14"/>
                <w:sz w:val="16"/>
                <w:szCs w:val="20"/>
                <w:lang w:val="ka-GE"/>
              </w:rPr>
              <w:t>V</w:t>
            </w:r>
          </w:p>
        </w:tc>
        <w:tc>
          <w:tcPr>
            <w:tcW w:w="553" w:type="dxa"/>
            <w:tcBorders>
              <w:top w:val="single" w:sz="4" w:space="0" w:color="auto"/>
              <w:left w:val="single" w:sz="4" w:space="0" w:color="auto"/>
              <w:bottom w:val="single" w:sz="4" w:space="0" w:color="auto"/>
              <w:right w:val="single" w:sz="4" w:space="0" w:color="auto"/>
            </w:tcBorders>
            <w:vAlign w:val="center"/>
            <w:hideMark/>
          </w:tcPr>
          <w:p w14:paraId="26E4ED2B" w14:textId="77777777" w:rsidR="008948B9" w:rsidRPr="0009255A" w:rsidRDefault="008948B9" w:rsidP="008B0984">
            <w:pPr>
              <w:rPr>
                <w:spacing w:val="20"/>
                <w:kern w:val="14"/>
                <w:sz w:val="16"/>
                <w:szCs w:val="20"/>
                <w:lang w:val="ka-GE"/>
              </w:rPr>
            </w:pPr>
            <w:r w:rsidRPr="0009255A">
              <w:rPr>
                <w:spacing w:val="20"/>
                <w:kern w:val="14"/>
                <w:sz w:val="16"/>
                <w:szCs w:val="20"/>
                <w:lang w:val="ka-GE"/>
              </w:rPr>
              <w:t>VI</w:t>
            </w:r>
          </w:p>
        </w:tc>
        <w:tc>
          <w:tcPr>
            <w:tcW w:w="631" w:type="dxa"/>
            <w:tcBorders>
              <w:top w:val="single" w:sz="4" w:space="0" w:color="auto"/>
              <w:left w:val="single" w:sz="4" w:space="0" w:color="auto"/>
              <w:bottom w:val="single" w:sz="4" w:space="0" w:color="auto"/>
              <w:right w:val="single" w:sz="4" w:space="0" w:color="auto"/>
            </w:tcBorders>
            <w:vAlign w:val="center"/>
            <w:hideMark/>
          </w:tcPr>
          <w:p w14:paraId="376B5780" w14:textId="77777777" w:rsidR="008948B9" w:rsidRPr="0009255A" w:rsidRDefault="008948B9" w:rsidP="008B0984">
            <w:pPr>
              <w:rPr>
                <w:spacing w:val="20"/>
                <w:kern w:val="14"/>
                <w:sz w:val="16"/>
                <w:szCs w:val="20"/>
                <w:lang w:val="ka-GE"/>
              </w:rPr>
            </w:pPr>
            <w:r w:rsidRPr="0009255A">
              <w:rPr>
                <w:spacing w:val="20"/>
                <w:kern w:val="14"/>
                <w:sz w:val="16"/>
                <w:szCs w:val="20"/>
                <w:lang w:val="ka-GE"/>
              </w:rPr>
              <w:t>VII</w:t>
            </w:r>
          </w:p>
        </w:tc>
        <w:tc>
          <w:tcPr>
            <w:tcW w:w="670" w:type="dxa"/>
            <w:tcBorders>
              <w:top w:val="single" w:sz="4" w:space="0" w:color="auto"/>
              <w:left w:val="single" w:sz="4" w:space="0" w:color="auto"/>
              <w:bottom w:val="single" w:sz="4" w:space="0" w:color="auto"/>
              <w:right w:val="single" w:sz="4" w:space="0" w:color="auto"/>
            </w:tcBorders>
            <w:vAlign w:val="center"/>
            <w:hideMark/>
          </w:tcPr>
          <w:p w14:paraId="2C088AEA" w14:textId="77777777" w:rsidR="008948B9" w:rsidRPr="0009255A" w:rsidRDefault="008948B9" w:rsidP="008B0984">
            <w:pPr>
              <w:rPr>
                <w:spacing w:val="20"/>
                <w:kern w:val="14"/>
                <w:sz w:val="16"/>
                <w:szCs w:val="20"/>
                <w:lang w:val="ka-GE"/>
              </w:rPr>
            </w:pPr>
            <w:r w:rsidRPr="0009255A">
              <w:rPr>
                <w:spacing w:val="20"/>
                <w:kern w:val="14"/>
                <w:sz w:val="16"/>
                <w:szCs w:val="20"/>
                <w:lang w:val="ka-GE"/>
              </w:rPr>
              <w:t>VIII</w:t>
            </w:r>
          </w:p>
        </w:tc>
        <w:tc>
          <w:tcPr>
            <w:tcW w:w="609" w:type="dxa"/>
            <w:tcBorders>
              <w:top w:val="single" w:sz="4" w:space="0" w:color="auto"/>
              <w:left w:val="single" w:sz="4" w:space="0" w:color="auto"/>
              <w:bottom w:val="single" w:sz="4" w:space="0" w:color="auto"/>
              <w:right w:val="single" w:sz="4" w:space="0" w:color="auto"/>
            </w:tcBorders>
            <w:vAlign w:val="center"/>
            <w:hideMark/>
          </w:tcPr>
          <w:p w14:paraId="5EC5FC70" w14:textId="77777777" w:rsidR="008948B9" w:rsidRPr="0009255A" w:rsidRDefault="008948B9" w:rsidP="008B0984">
            <w:pPr>
              <w:rPr>
                <w:spacing w:val="20"/>
                <w:kern w:val="14"/>
                <w:sz w:val="16"/>
                <w:szCs w:val="20"/>
                <w:lang w:val="ka-GE"/>
              </w:rPr>
            </w:pPr>
            <w:r w:rsidRPr="0009255A">
              <w:rPr>
                <w:spacing w:val="20"/>
                <w:kern w:val="14"/>
                <w:sz w:val="16"/>
                <w:szCs w:val="20"/>
                <w:lang w:val="ka-GE"/>
              </w:rPr>
              <w:t>IX</w:t>
            </w:r>
          </w:p>
        </w:tc>
        <w:tc>
          <w:tcPr>
            <w:tcW w:w="597" w:type="dxa"/>
            <w:tcBorders>
              <w:top w:val="single" w:sz="4" w:space="0" w:color="auto"/>
              <w:left w:val="single" w:sz="4" w:space="0" w:color="auto"/>
              <w:bottom w:val="single" w:sz="4" w:space="0" w:color="auto"/>
              <w:right w:val="single" w:sz="4" w:space="0" w:color="auto"/>
            </w:tcBorders>
            <w:vAlign w:val="center"/>
            <w:hideMark/>
          </w:tcPr>
          <w:p w14:paraId="6C722ED3" w14:textId="77777777" w:rsidR="008948B9" w:rsidRPr="0009255A" w:rsidRDefault="008948B9" w:rsidP="008B0984">
            <w:pPr>
              <w:rPr>
                <w:spacing w:val="20"/>
                <w:kern w:val="14"/>
                <w:sz w:val="16"/>
                <w:szCs w:val="20"/>
                <w:lang w:val="ka-GE"/>
              </w:rPr>
            </w:pPr>
            <w:r w:rsidRPr="0009255A">
              <w:rPr>
                <w:spacing w:val="20"/>
                <w:kern w:val="14"/>
                <w:sz w:val="16"/>
                <w:szCs w:val="20"/>
                <w:lang w:val="ka-GE"/>
              </w:rPr>
              <w:t>X</w:t>
            </w:r>
          </w:p>
        </w:tc>
        <w:tc>
          <w:tcPr>
            <w:tcW w:w="567" w:type="dxa"/>
            <w:tcBorders>
              <w:top w:val="single" w:sz="4" w:space="0" w:color="auto"/>
              <w:left w:val="single" w:sz="4" w:space="0" w:color="auto"/>
              <w:bottom w:val="single" w:sz="4" w:space="0" w:color="auto"/>
              <w:right w:val="single" w:sz="4" w:space="0" w:color="auto"/>
            </w:tcBorders>
            <w:vAlign w:val="center"/>
            <w:hideMark/>
          </w:tcPr>
          <w:p w14:paraId="737B4232" w14:textId="77777777" w:rsidR="008948B9" w:rsidRPr="0009255A" w:rsidRDefault="008948B9" w:rsidP="008B0984">
            <w:pPr>
              <w:rPr>
                <w:spacing w:val="20"/>
                <w:kern w:val="14"/>
                <w:sz w:val="16"/>
                <w:szCs w:val="20"/>
                <w:lang w:val="ka-GE"/>
              </w:rPr>
            </w:pPr>
            <w:r w:rsidRPr="0009255A">
              <w:rPr>
                <w:spacing w:val="20"/>
                <w:kern w:val="14"/>
                <w:sz w:val="16"/>
                <w:szCs w:val="20"/>
                <w:lang w:val="ka-GE"/>
              </w:rPr>
              <w:t>XI</w:t>
            </w:r>
          </w:p>
        </w:tc>
        <w:tc>
          <w:tcPr>
            <w:tcW w:w="724" w:type="dxa"/>
            <w:tcBorders>
              <w:top w:val="single" w:sz="4" w:space="0" w:color="auto"/>
              <w:left w:val="single" w:sz="4" w:space="0" w:color="auto"/>
              <w:bottom w:val="single" w:sz="4" w:space="0" w:color="auto"/>
              <w:right w:val="single" w:sz="4" w:space="0" w:color="auto"/>
            </w:tcBorders>
            <w:vAlign w:val="center"/>
            <w:hideMark/>
          </w:tcPr>
          <w:p w14:paraId="5AA76795" w14:textId="77777777" w:rsidR="008948B9" w:rsidRPr="0009255A" w:rsidRDefault="008948B9" w:rsidP="008B0984">
            <w:pPr>
              <w:rPr>
                <w:spacing w:val="20"/>
                <w:kern w:val="14"/>
                <w:sz w:val="16"/>
                <w:szCs w:val="20"/>
                <w:lang w:val="ka-GE"/>
              </w:rPr>
            </w:pPr>
            <w:r w:rsidRPr="0009255A">
              <w:rPr>
                <w:spacing w:val="20"/>
                <w:kern w:val="14"/>
                <w:sz w:val="16"/>
                <w:szCs w:val="20"/>
                <w:lang w:val="ka-GE"/>
              </w:rPr>
              <w:t>XII</w:t>
            </w:r>
          </w:p>
        </w:tc>
        <w:tc>
          <w:tcPr>
            <w:tcW w:w="717" w:type="dxa"/>
            <w:vMerge/>
            <w:tcBorders>
              <w:top w:val="single" w:sz="4" w:space="0" w:color="auto"/>
              <w:left w:val="single" w:sz="4" w:space="0" w:color="auto"/>
              <w:bottom w:val="single" w:sz="4" w:space="0" w:color="auto"/>
              <w:right w:val="single" w:sz="4" w:space="0" w:color="auto"/>
            </w:tcBorders>
            <w:vAlign w:val="center"/>
            <w:hideMark/>
          </w:tcPr>
          <w:p w14:paraId="633D9CDD" w14:textId="77777777" w:rsidR="008948B9" w:rsidRPr="0009255A" w:rsidRDefault="008948B9" w:rsidP="008B0984">
            <w:pPr>
              <w:rPr>
                <w:sz w:val="16"/>
                <w:lang w:val="ka-GE"/>
              </w:rPr>
            </w:pPr>
          </w:p>
        </w:tc>
      </w:tr>
      <w:tr w:rsidR="008948B9" w:rsidRPr="0009255A" w14:paraId="0C9481D6" w14:textId="77777777" w:rsidTr="0009255A">
        <w:trPr>
          <w:cantSplit/>
          <w:trHeight w:val="530"/>
          <w:jc w:val="center"/>
        </w:trPr>
        <w:tc>
          <w:tcPr>
            <w:tcW w:w="516" w:type="dxa"/>
            <w:tcBorders>
              <w:top w:val="single" w:sz="4" w:space="0" w:color="auto"/>
              <w:left w:val="single" w:sz="4" w:space="0" w:color="auto"/>
              <w:bottom w:val="single" w:sz="4" w:space="0" w:color="auto"/>
              <w:right w:val="single" w:sz="4" w:space="0" w:color="auto"/>
            </w:tcBorders>
            <w:vAlign w:val="center"/>
          </w:tcPr>
          <w:p w14:paraId="1A7641E9" w14:textId="77777777" w:rsidR="008948B9" w:rsidRPr="0009255A" w:rsidRDefault="008948B9" w:rsidP="008B0984">
            <w:pPr>
              <w:rPr>
                <w:sz w:val="16"/>
                <w:szCs w:val="20"/>
                <w:lang w:val="ka-GE"/>
              </w:rPr>
            </w:pPr>
            <w:r w:rsidRPr="0009255A">
              <w:rPr>
                <w:sz w:val="16"/>
                <w:szCs w:val="20"/>
                <w:lang w:val="ka-GE"/>
              </w:rPr>
              <w:t>0.9</w:t>
            </w:r>
          </w:p>
        </w:tc>
        <w:tc>
          <w:tcPr>
            <w:tcW w:w="709" w:type="dxa"/>
            <w:tcBorders>
              <w:top w:val="single" w:sz="4" w:space="0" w:color="auto"/>
              <w:left w:val="single" w:sz="4" w:space="0" w:color="auto"/>
              <w:bottom w:val="single" w:sz="4" w:space="0" w:color="auto"/>
              <w:right w:val="single" w:sz="4" w:space="0" w:color="auto"/>
            </w:tcBorders>
            <w:vAlign w:val="center"/>
          </w:tcPr>
          <w:p w14:paraId="45CB42FD" w14:textId="77777777" w:rsidR="008948B9" w:rsidRPr="0009255A" w:rsidRDefault="008948B9" w:rsidP="008B0984">
            <w:pPr>
              <w:rPr>
                <w:sz w:val="16"/>
                <w:szCs w:val="20"/>
                <w:lang w:val="ka-GE"/>
              </w:rPr>
            </w:pPr>
            <w:r w:rsidRPr="0009255A">
              <w:rPr>
                <w:sz w:val="16"/>
                <w:szCs w:val="20"/>
                <w:lang w:val="ka-GE"/>
              </w:rPr>
              <w:t>2.5</w:t>
            </w:r>
          </w:p>
        </w:tc>
        <w:tc>
          <w:tcPr>
            <w:tcW w:w="567" w:type="dxa"/>
            <w:tcBorders>
              <w:top w:val="single" w:sz="4" w:space="0" w:color="auto"/>
              <w:left w:val="single" w:sz="4" w:space="0" w:color="auto"/>
              <w:bottom w:val="single" w:sz="4" w:space="0" w:color="auto"/>
              <w:right w:val="single" w:sz="4" w:space="0" w:color="auto"/>
            </w:tcBorders>
            <w:vAlign w:val="center"/>
          </w:tcPr>
          <w:p w14:paraId="21D5B85B" w14:textId="77777777" w:rsidR="008948B9" w:rsidRPr="0009255A" w:rsidRDefault="008948B9" w:rsidP="008B0984">
            <w:pPr>
              <w:rPr>
                <w:sz w:val="16"/>
                <w:szCs w:val="20"/>
                <w:lang w:val="ka-GE"/>
              </w:rPr>
            </w:pPr>
            <w:r w:rsidRPr="0009255A">
              <w:rPr>
                <w:sz w:val="16"/>
                <w:szCs w:val="20"/>
                <w:lang w:val="ka-GE"/>
              </w:rPr>
              <w:t>6.5</w:t>
            </w:r>
          </w:p>
        </w:tc>
        <w:tc>
          <w:tcPr>
            <w:tcW w:w="567" w:type="dxa"/>
            <w:tcBorders>
              <w:top w:val="single" w:sz="4" w:space="0" w:color="auto"/>
              <w:left w:val="single" w:sz="4" w:space="0" w:color="auto"/>
              <w:bottom w:val="single" w:sz="4" w:space="0" w:color="auto"/>
              <w:right w:val="single" w:sz="4" w:space="0" w:color="auto"/>
            </w:tcBorders>
            <w:vAlign w:val="center"/>
          </w:tcPr>
          <w:p w14:paraId="1F0E49BC" w14:textId="77777777" w:rsidR="008948B9" w:rsidRPr="0009255A" w:rsidRDefault="008948B9" w:rsidP="008B0984">
            <w:pPr>
              <w:rPr>
                <w:sz w:val="16"/>
                <w:szCs w:val="20"/>
                <w:lang w:val="ka-GE"/>
              </w:rPr>
            </w:pPr>
            <w:r w:rsidRPr="0009255A">
              <w:rPr>
                <w:sz w:val="16"/>
                <w:szCs w:val="20"/>
                <w:lang w:val="ka-GE"/>
              </w:rPr>
              <w:t>11.8</w:t>
            </w:r>
          </w:p>
        </w:tc>
        <w:tc>
          <w:tcPr>
            <w:tcW w:w="527" w:type="dxa"/>
            <w:tcBorders>
              <w:top w:val="single" w:sz="4" w:space="0" w:color="auto"/>
              <w:left w:val="single" w:sz="4" w:space="0" w:color="auto"/>
              <w:bottom w:val="single" w:sz="4" w:space="0" w:color="auto"/>
              <w:right w:val="single" w:sz="4" w:space="0" w:color="auto"/>
            </w:tcBorders>
            <w:vAlign w:val="center"/>
          </w:tcPr>
          <w:p w14:paraId="022F8080" w14:textId="77777777" w:rsidR="008948B9" w:rsidRPr="0009255A" w:rsidRDefault="008948B9" w:rsidP="008B0984">
            <w:pPr>
              <w:rPr>
                <w:sz w:val="16"/>
                <w:szCs w:val="20"/>
                <w:lang w:val="ka-GE"/>
              </w:rPr>
            </w:pPr>
            <w:r w:rsidRPr="0009255A">
              <w:rPr>
                <w:sz w:val="16"/>
                <w:szCs w:val="20"/>
                <w:lang w:val="ka-GE"/>
              </w:rPr>
              <w:t>16.8</w:t>
            </w:r>
          </w:p>
        </w:tc>
        <w:tc>
          <w:tcPr>
            <w:tcW w:w="553" w:type="dxa"/>
            <w:tcBorders>
              <w:top w:val="single" w:sz="4" w:space="0" w:color="auto"/>
              <w:left w:val="single" w:sz="4" w:space="0" w:color="auto"/>
              <w:bottom w:val="single" w:sz="4" w:space="0" w:color="auto"/>
              <w:right w:val="single" w:sz="4" w:space="0" w:color="auto"/>
            </w:tcBorders>
            <w:vAlign w:val="center"/>
          </w:tcPr>
          <w:p w14:paraId="736161C0" w14:textId="77777777" w:rsidR="008948B9" w:rsidRPr="0009255A" w:rsidRDefault="008948B9" w:rsidP="008B0984">
            <w:pPr>
              <w:rPr>
                <w:sz w:val="16"/>
                <w:szCs w:val="20"/>
                <w:lang w:val="ka-GE"/>
              </w:rPr>
            </w:pPr>
            <w:r w:rsidRPr="0009255A">
              <w:rPr>
                <w:sz w:val="16"/>
                <w:szCs w:val="20"/>
                <w:lang w:val="ka-GE"/>
              </w:rPr>
              <w:t>20.5</w:t>
            </w:r>
          </w:p>
        </w:tc>
        <w:tc>
          <w:tcPr>
            <w:tcW w:w="631" w:type="dxa"/>
            <w:tcBorders>
              <w:top w:val="single" w:sz="4" w:space="0" w:color="auto"/>
              <w:left w:val="single" w:sz="4" w:space="0" w:color="auto"/>
              <w:bottom w:val="single" w:sz="4" w:space="0" w:color="auto"/>
              <w:right w:val="single" w:sz="4" w:space="0" w:color="auto"/>
            </w:tcBorders>
            <w:vAlign w:val="center"/>
          </w:tcPr>
          <w:p w14:paraId="79EFE5E1" w14:textId="77777777" w:rsidR="008948B9" w:rsidRPr="0009255A" w:rsidRDefault="008948B9" w:rsidP="008B0984">
            <w:pPr>
              <w:rPr>
                <w:sz w:val="16"/>
                <w:szCs w:val="20"/>
                <w:lang w:val="ka-GE"/>
              </w:rPr>
            </w:pPr>
            <w:r w:rsidRPr="0009255A">
              <w:rPr>
                <w:sz w:val="16"/>
                <w:szCs w:val="20"/>
                <w:lang w:val="ka-GE"/>
              </w:rPr>
              <w:t>23.6</w:t>
            </w:r>
          </w:p>
        </w:tc>
        <w:tc>
          <w:tcPr>
            <w:tcW w:w="670" w:type="dxa"/>
            <w:tcBorders>
              <w:top w:val="single" w:sz="4" w:space="0" w:color="auto"/>
              <w:left w:val="single" w:sz="4" w:space="0" w:color="auto"/>
              <w:bottom w:val="single" w:sz="4" w:space="0" w:color="auto"/>
              <w:right w:val="single" w:sz="4" w:space="0" w:color="auto"/>
            </w:tcBorders>
            <w:vAlign w:val="center"/>
          </w:tcPr>
          <w:p w14:paraId="0352E57F" w14:textId="77777777" w:rsidR="008948B9" w:rsidRPr="0009255A" w:rsidRDefault="008948B9" w:rsidP="008B0984">
            <w:pPr>
              <w:rPr>
                <w:sz w:val="16"/>
                <w:szCs w:val="20"/>
                <w:lang w:val="en-US"/>
              </w:rPr>
            </w:pPr>
            <w:r w:rsidRPr="0009255A">
              <w:rPr>
                <w:sz w:val="16"/>
                <w:szCs w:val="20"/>
                <w:lang w:val="ka-GE"/>
              </w:rPr>
              <w:t>23.</w:t>
            </w:r>
            <w:r w:rsidRPr="0009255A">
              <w:rPr>
                <w:sz w:val="16"/>
                <w:szCs w:val="20"/>
                <w:lang w:val="en-US"/>
              </w:rPr>
              <w:t>6</w:t>
            </w:r>
          </w:p>
        </w:tc>
        <w:tc>
          <w:tcPr>
            <w:tcW w:w="609" w:type="dxa"/>
            <w:tcBorders>
              <w:top w:val="single" w:sz="4" w:space="0" w:color="auto"/>
              <w:left w:val="single" w:sz="4" w:space="0" w:color="auto"/>
              <w:bottom w:val="single" w:sz="4" w:space="0" w:color="auto"/>
              <w:right w:val="single" w:sz="4" w:space="0" w:color="auto"/>
            </w:tcBorders>
            <w:vAlign w:val="center"/>
          </w:tcPr>
          <w:p w14:paraId="1E3AFD40" w14:textId="77777777" w:rsidR="008948B9" w:rsidRPr="0009255A" w:rsidRDefault="008948B9" w:rsidP="008B0984">
            <w:pPr>
              <w:rPr>
                <w:sz w:val="16"/>
                <w:szCs w:val="20"/>
                <w:lang w:val="en-US"/>
              </w:rPr>
            </w:pPr>
            <w:r w:rsidRPr="0009255A">
              <w:rPr>
                <w:sz w:val="16"/>
                <w:szCs w:val="20"/>
                <w:lang w:val="en-US"/>
              </w:rPr>
              <w:t>19.0</w:t>
            </w:r>
          </w:p>
        </w:tc>
        <w:tc>
          <w:tcPr>
            <w:tcW w:w="597" w:type="dxa"/>
            <w:tcBorders>
              <w:top w:val="single" w:sz="4" w:space="0" w:color="auto"/>
              <w:left w:val="single" w:sz="4" w:space="0" w:color="auto"/>
              <w:bottom w:val="single" w:sz="4" w:space="0" w:color="auto"/>
              <w:right w:val="single" w:sz="4" w:space="0" w:color="auto"/>
            </w:tcBorders>
            <w:vAlign w:val="center"/>
          </w:tcPr>
          <w:p w14:paraId="581237FF" w14:textId="77777777" w:rsidR="008948B9" w:rsidRPr="0009255A" w:rsidRDefault="008948B9" w:rsidP="008B0984">
            <w:pPr>
              <w:rPr>
                <w:sz w:val="16"/>
                <w:szCs w:val="20"/>
                <w:lang w:val="en-US"/>
              </w:rPr>
            </w:pPr>
            <w:r w:rsidRPr="0009255A">
              <w:rPr>
                <w:sz w:val="16"/>
                <w:szCs w:val="20"/>
                <w:lang w:val="en-US"/>
              </w:rPr>
              <w:t>13.5</w:t>
            </w:r>
          </w:p>
        </w:tc>
        <w:tc>
          <w:tcPr>
            <w:tcW w:w="567" w:type="dxa"/>
            <w:tcBorders>
              <w:top w:val="single" w:sz="4" w:space="0" w:color="auto"/>
              <w:left w:val="single" w:sz="4" w:space="0" w:color="auto"/>
              <w:bottom w:val="single" w:sz="4" w:space="0" w:color="auto"/>
              <w:right w:val="single" w:sz="4" w:space="0" w:color="auto"/>
            </w:tcBorders>
            <w:vAlign w:val="center"/>
          </w:tcPr>
          <w:p w14:paraId="4DFB27DF" w14:textId="77777777" w:rsidR="008948B9" w:rsidRPr="0009255A" w:rsidRDefault="008948B9" w:rsidP="008B0984">
            <w:pPr>
              <w:rPr>
                <w:sz w:val="16"/>
                <w:szCs w:val="20"/>
                <w:lang w:val="en-US"/>
              </w:rPr>
            </w:pPr>
            <w:r w:rsidRPr="0009255A">
              <w:rPr>
                <w:sz w:val="16"/>
                <w:szCs w:val="20"/>
                <w:lang w:val="en-US"/>
              </w:rPr>
              <w:t>7.6</w:t>
            </w:r>
          </w:p>
        </w:tc>
        <w:tc>
          <w:tcPr>
            <w:tcW w:w="724" w:type="dxa"/>
            <w:tcBorders>
              <w:top w:val="single" w:sz="4" w:space="0" w:color="auto"/>
              <w:left w:val="single" w:sz="4" w:space="0" w:color="auto"/>
              <w:bottom w:val="single" w:sz="4" w:space="0" w:color="auto"/>
              <w:right w:val="single" w:sz="4" w:space="0" w:color="auto"/>
            </w:tcBorders>
            <w:vAlign w:val="center"/>
          </w:tcPr>
          <w:p w14:paraId="373587FA" w14:textId="77777777" w:rsidR="008948B9" w:rsidRPr="0009255A" w:rsidRDefault="008948B9" w:rsidP="008B0984">
            <w:pPr>
              <w:rPr>
                <w:spacing w:val="-10"/>
                <w:sz w:val="16"/>
                <w:szCs w:val="20"/>
                <w:lang w:val="en-US"/>
              </w:rPr>
            </w:pPr>
            <w:r w:rsidRPr="0009255A">
              <w:rPr>
                <w:spacing w:val="-10"/>
                <w:sz w:val="16"/>
                <w:szCs w:val="20"/>
                <w:lang w:val="en-US"/>
              </w:rPr>
              <w:t>2.7</w:t>
            </w:r>
          </w:p>
        </w:tc>
        <w:tc>
          <w:tcPr>
            <w:tcW w:w="717" w:type="dxa"/>
            <w:tcBorders>
              <w:top w:val="single" w:sz="4" w:space="0" w:color="auto"/>
              <w:left w:val="single" w:sz="4" w:space="0" w:color="auto"/>
              <w:bottom w:val="single" w:sz="4" w:space="0" w:color="auto"/>
              <w:right w:val="single" w:sz="4" w:space="0" w:color="auto"/>
            </w:tcBorders>
            <w:vAlign w:val="center"/>
          </w:tcPr>
          <w:p w14:paraId="1BAE663A" w14:textId="77777777" w:rsidR="008948B9" w:rsidRPr="0009255A" w:rsidRDefault="008948B9" w:rsidP="008B0984">
            <w:pPr>
              <w:rPr>
                <w:spacing w:val="-10"/>
                <w:sz w:val="16"/>
                <w:lang w:val="en-US"/>
              </w:rPr>
            </w:pPr>
            <w:r w:rsidRPr="0009255A">
              <w:rPr>
                <w:spacing w:val="-10"/>
                <w:sz w:val="16"/>
                <w:lang w:val="en-US"/>
              </w:rPr>
              <w:t>12.4</w:t>
            </w:r>
          </w:p>
        </w:tc>
      </w:tr>
    </w:tbl>
    <w:p w14:paraId="38459C26" w14:textId="77777777" w:rsidR="008948B9" w:rsidRPr="0071625B" w:rsidRDefault="0009255A" w:rsidP="008B0984">
      <w:pPr>
        <w:rPr>
          <w:rFonts w:ascii="AcadNusx" w:hAnsi="AcadNusx"/>
          <w:lang w:val="en-US"/>
        </w:rPr>
      </w:pPr>
      <w:r>
        <w:rPr>
          <w:noProof/>
          <w:lang w:val="en-US" w:eastAsia="en-US"/>
        </w:rPr>
        <w:lastRenderedPageBreak/>
        <w:drawing>
          <wp:anchor distT="0" distB="0" distL="114300" distR="114300" simplePos="0" relativeHeight="251659776" behindDoc="1" locked="0" layoutInCell="1" allowOverlap="1" wp14:anchorId="5AF723F1" wp14:editId="562ACE29">
            <wp:simplePos x="0" y="0"/>
            <wp:positionH relativeFrom="column">
              <wp:posOffset>850790</wp:posOffset>
            </wp:positionH>
            <wp:positionV relativeFrom="paragraph">
              <wp:posOffset>129650</wp:posOffset>
            </wp:positionV>
            <wp:extent cx="4462145" cy="1425575"/>
            <wp:effectExtent l="0" t="0" r="0" b="0"/>
            <wp:wrapTight wrapText="bothSides">
              <wp:wrapPolygon edited="0">
                <wp:start x="0" y="0"/>
                <wp:lineTo x="0" y="21359"/>
                <wp:lineTo x="21486" y="21359"/>
                <wp:lineTo x="2148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462145" cy="1425575"/>
                    </a:xfrm>
                    <a:prstGeom prst="rect">
                      <a:avLst/>
                    </a:prstGeom>
                    <a:noFill/>
                  </pic:spPr>
                </pic:pic>
              </a:graphicData>
            </a:graphic>
            <wp14:sizeRelH relativeFrom="page">
              <wp14:pctWidth>0</wp14:pctWidth>
            </wp14:sizeRelH>
            <wp14:sizeRelV relativeFrom="page">
              <wp14:pctHeight>0</wp14:pctHeight>
            </wp14:sizeRelV>
          </wp:anchor>
        </w:drawing>
      </w:r>
    </w:p>
    <w:p w14:paraId="61843A7D" w14:textId="77777777" w:rsidR="0009255A" w:rsidRDefault="0009255A" w:rsidP="008B0984">
      <w:pPr>
        <w:rPr>
          <w:sz w:val="20"/>
          <w:szCs w:val="20"/>
          <w:lang w:val="ka-GE"/>
        </w:rPr>
      </w:pPr>
    </w:p>
    <w:p w14:paraId="28C4C1B3" w14:textId="77777777" w:rsidR="0009255A" w:rsidRDefault="0009255A" w:rsidP="008B0984">
      <w:pPr>
        <w:rPr>
          <w:sz w:val="20"/>
          <w:szCs w:val="20"/>
          <w:lang w:val="ka-GE"/>
        </w:rPr>
      </w:pPr>
    </w:p>
    <w:p w14:paraId="1F47C646" w14:textId="77777777" w:rsidR="0009255A" w:rsidRDefault="0009255A" w:rsidP="008B0984">
      <w:pPr>
        <w:rPr>
          <w:sz w:val="20"/>
          <w:szCs w:val="20"/>
          <w:lang w:val="ka-GE"/>
        </w:rPr>
      </w:pPr>
    </w:p>
    <w:p w14:paraId="1F8E2188" w14:textId="77777777" w:rsidR="0009255A" w:rsidRDefault="0009255A" w:rsidP="008B0984">
      <w:pPr>
        <w:rPr>
          <w:sz w:val="20"/>
          <w:szCs w:val="20"/>
          <w:lang w:val="ka-GE"/>
        </w:rPr>
      </w:pPr>
    </w:p>
    <w:p w14:paraId="2AA9176E" w14:textId="77777777" w:rsidR="0009255A" w:rsidRDefault="0009255A" w:rsidP="008B0984">
      <w:pPr>
        <w:rPr>
          <w:sz w:val="20"/>
          <w:szCs w:val="20"/>
          <w:lang w:val="ka-GE"/>
        </w:rPr>
      </w:pPr>
    </w:p>
    <w:p w14:paraId="33F49334" w14:textId="77777777" w:rsidR="0009255A" w:rsidRDefault="0009255A" w:rsidP="008B0984">
      <w:pPr>
        <w:rPr>
          <w:sz w:val="20"/>
          <w:szCs w:val="20"/>
          <w:lang w:val="ka-GE"/>
        </w:rPr>
      </w:pPr>
    </w:p>
    <w:p w14:paraId="0E11919F" w14:textId="77777777" w:rsidR="008B0984" w:rsidRDefault="008B0984" w:rsidP="008B0984">
      <w:pPr>
        <w:rPr>
          <w:rFonts w:ascii="Sylfaen" w:hAnsi="Sylfaen" w:cs="Sylfaen"/>
          <w:sz w:val="20"/>
          <w:szCs w:val="20"/>
          <w:lang w:val="ka-GE"/>
        </w:rPr>
      </w:pPr>
    </w:p>
    <w:p w14:paraId="0EA559B9" w14:textId="77777777" w:rsidR="008B0984" w:rsidRDefault="008B0984" w:rsidP="008B0984">
      <w:pPr>
        <w:rPr>
          <w:rFonts w:ascii="Sylfaen" w:hAnsi="Sylfaen" w:cs="Sylfaen"/>
          <w:sz w:val="20"/>
          <w:szCs w:val="20"/>
          <w:lang w:val="ka-GE"/>
        </w:rPr>
      </w:pPr>
    </w:p>
    <w:p w14:paraId="55986D9A" w14:textId="77777777" w:rsidR="008B0984" w:rsidRDefault="008B0984" w:rsidP="008B0984">
      <w:pPr>
        <w:rPr>
          <w:rFonts w:ascii="Sylfaen" w:hAnsi="Sylfaen" w:cs="Sylfaen"/>
          <w:sz w:val="20"/>
          <w:szCs w:val="20"/>
          <w:lang w:val="ka-GE"/>
        </w:rPr>
      </w:pPr>
    </w:p>
    <w:p w14:paraId="48C00D3A" w14:textId="58768350" w:rsidR="0078141E" w:rsidRPr="008948B9" w:rsidRDefault="0078141E" w:rsidP="008B0984">
      <w:pPr>
        <w:rPr>
          <w:sz w:val="20"/>
          <w:szCs w:val="20"/>
          <w:lang w:val="ka-GE"/>
        </w:rPr>
      </w:pPr>
      <w:r>
        <w:rPr>
          <w:rFonts w:ascii="Sylfaen" w:hAnsi="Sylfaen" w:cs="Sylfaen"/>
          <w:sz w:val="20"/>
          <w:szCs w:val="20"/>
          <w:lang w:val="ka-GE"/>
        </w:rPr>
        <w:t>ჰაერის</w:t>
      </w:r>
      <w:r>
        <w:rPr>
          <w:sz w:val="20"/>
          <w:szCs w:val="20"/>
          <w:lang w:val="ka-GE"/>
        </w:rPr>
        <w:t xml:space="preserve"> </w:t>
      </w:r>
      <w:r>
        <w:rPr>
          <w:rFonts w:ascii="Sylfaen" w:hAnsi="Sylfaen" w:cs="Sylfaen"/>
          <w:sz w:val="20"/>
          <w:szCs w:val="20"/>
          <w:lang w:val="ka-GE"/>
        </w:rPr>
        <w:t>ტემპერატურა</w:t>
      </w:r>
      <w:r>
        <w:rPr>
          <w:sz w:val="20"/>
          <w:szCs w:val="20"/>
          <w:lang w:val="ka-GE"/>
        </w:rPr>
        <w:t xml:space="preserve"> </w:t>
      </w:r>
      <w:r>
        <w:rPr>
          <w:rFonts w:ascii="Sylfaen" w:hAnsi="Sylfaen" w:cs="Sylfaen"/>
          <w:sz w:val="20"/>
          <w:szCs w:val="20"/>
          <w:lang w:val="ka-GE"/>
        </w:rPr>
        <w:t>ცხრილი</w:t>
      </w:r>
      <w:r>
        <w:rPr>
          <w:sz w:val="20"/>
          <w:szCs w:val="20"/>
          <w:lang w:val="ka-GE"/>
        </w:rPr>
        <w:t xml:space="preserve"> 6.1.1.2</w:t>
      </w:r>
    </w:p>
    <w:tbl>
      <w:tblPr>
        <w:tblW w:w="6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813"/>
        <w:gridCol w:w="813"/>
        <w:gridCol w:w="813"/>
        <w:gridCol w:w="813"/>
        <w:gridCol w:w="813"/>
        <w:gridCol w:w="813"/>
        <w:gridCol w:w="813"/>
      </w:tblGrid>
      <w:tr w:rsidR="008948B9" w:rsidRPr="0071625B" w14:paraId="7EF0E7DC" w14:textId="77777777" w:rsidTr="0078141E">
        <w:trPr>
          <w:cantSplit/>
          <w:trHeight w:val="833"/>
          <w:jc w:val="center"/>
        </w:trPr>
        <w:tc>
          <w:tcPr>
            <w:tcW w:w="8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C85406" w14:textId="77777777" w:rsidR="008948B9" w:rsidRPr="0071625B" w:rsidRDefault="0078141E" w:rsidP="00F31A39">
            <w:pPr>
              <w:jc w:val="center"/>
              <w:rPr>
                <w:rFonts w:ascii="AcadNusx" w:hAnsi="AcadNusx"/>
                <w:sz w:val="18"/>
                <w:szCs w:val="18"/>
              </w:rPr>
            </w:pPr>
            <w:r>
              <w:rPr>
                <w:rFonts w:ascii="Sylfaen" w:hAnsi="Sylfaen" w:cs="Sylfaen"/>
                <w:sz w:val="18"/>
                <w:szCs w:val="18"/>
                <w:lang w:val="ka-GE"/>
              </w:rPr>
              <w:t>აბსოლიტური</w:t>
            </w:r>
            <w:r>
              <w:rPr>
                <w:sz w:val="18"/>
                <w:szCs w:val="18"/>
                <w:lang w:val="ka-GE"/>
              </w:rPr>
              <w:t xml:space="preserve"> </w:t>
            </w:r>
            <w:r>
              <w:rPr>
                <w:rFonts w:ascii="Sylfaen" w:hAnsi="Sylfaen" w:cs="Sylfaen"/>
                <w:sz w:val="18"/>
                <w:szCs w:val="18"/>
                <w:lang w:val="ka-GE"/>
              </w:rPr>
              <w:t>მინიმუმი</w:t>
            </w:r>
          </w:p>
        </w:tc>
        <w:tc>
          <w:tcPr>
            <w:tcW w:w="8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4C1783" w14:textId="77777777" w:rsidR="008948B9" w:rsidRPr="0071625B" w:rsidRDefault="0078141E" w:rsidP="00F31A39">
            <w:pPr>
              <w:jc w:val="center"/>
              <w:rPr>
                <w:rFonts w:ascii="AcadNusx" w:hAnsi="AcadNusx"/>
                <w:sz w:val="18"/>
                <w:szCs w:val="18"/>
                <w:lang w:val="en-US"/>
              </w:rPr>
            </w:pPr>
            <w:r>
              <w:rPr>
                <w:rFonts w:ascii="Sylfaen" w:hAnsi="Sylfaen" w:cs="Sylfaen"/>
                <w:sz w:val="18"/>
                <w:szCs w:val="18"/>
                <w:lang w:val="ka-GE"/>
              </w:rPr>
              <w:t>აბსოლიტური</w:t>
            </w:r>
            <w:r>
              <w:rPr>
                <w:sz w:val="18"/>
                <w:szCs w:val="18"/>
                <w:lang w:val="ka-GE"/>
              </w:rPr>
              <w:t xml:space="preserve">  </w:t>
            </w:r>
            <w:r>
              <w:rPr>
                <w:rFonts w:ascii="Sylfaen" w:hAnsi="Sylfaen" w:cs="Sylfaen"/>
                <w:sz w:val="18"/>
                <w:szCs w:val="18"/>
                <w:lang w:val="ka-GE"/>
              </w:rPr>
              <w:t>მაქსიმუმი</w:t>
            </w:r>
          </w:p>
        </w:tc>
        <w:tc>
          <w:tcPr>
            <w:tcW w:w="8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2ED24E" w14:textId="362FED4D" w:rsidR="0078141E" w:rsidRDefault="0078141E" w:rsidP="00F31A39">
            <w:pPr>
              <w:jc w:val="center"/>
              <w:rPr>
                <w:sz w:val="18"/>
                <w:szCs w:val="18"/>
                <w:lang w:val="ka-GE"/>
              </w:rPr>
            </w:pPr>
            <w:r w:rsidRPr="0071625B">
              <w:rPr>
                <w:rFonts w:ascii="AcadNusx" w:hAnsi="AcadNusx"/>
                <w:sz w:val="18"/>
                <w:szCs w:val="18"/>
                <w:lang w:val="en-US"/>
              </w:rPr>
              <w:t>Y</w:t>
            </w:r>
            <w:r>
              <w:rPr>
                <w:rFonts w:ascii="Sylfaen" w:hAnsi="Sylfaen" w:cs="Sylfaen"/>
                <w:sz w:val="18"/>
                <w:szCs w:val="18"/>
                <w:lang w:val="ka-GE"/>
              </w:rPr>
              <w:t>ყველაზე</w:t>
            </w:r>
            <w:r>
              <w:rPr>
                <w:sz w:val="18"/>
                <w:szCs w:val="18"/>
                <w:lang w:val="ka-GE"/>
              </w:rPr>
              <w:t xml:space="preserve"> </w:t>
            </w:r>
            <w:r>
              <w:rPr>
                <w:rFonts w:ascii="Sylfaen" w:hAnsi="Sylfaen" w:cs="Sylfaen"/>
                <w:sz w:val="18"/>
                <w:szCs w:val="18"/>
                <w:lang w:val="ka-GE"/>
              </w:rPr>
              <w:t>ცხეილი</w:t>
            </w:r>
            <w:r>
              <w:rPr>
                <w:sz w:val="18"/>
                <w:szCs w:val="18"/>
                <w:lang w:val="ka-GE"/>
              </w:rPr>
              <w:t xml:space="preserve"> </w:t>
            </w:r>
            <w:r>
              <w:rPr>
                <w:rFonts w:ascii="Sylfaen" w:hAnsi="Sylfaen" w:cs="Sylfaen"/>
                <w:sz w:val="18"/>
                <w:szCs w:val="18"/>
                <w:lang w:val="ka-GE"/>
              </w:rPr>
              <w:t>თვის</w:t>
            </w:r>
          </w:p>
          <w:p w14:paraId="2B46F2BF" w14:textId="4C471A0E" w:rsidR="008948B9" w:rsidRPr="0071625B" w:rsidRDefault="0078141E" w:rsidP="00F31A39">
            <w:pPr>
              <w:jc w:val="center"/>
              <w:rPr>
                <w:rFonts w:ascii="AcadNusx" w:hAnsi="AcadNusx"/>
                <w:sz w:val="18"/>
                <w:szCs w:val="18"/>
                <w:lang w:val="en-US"/>
              </w:rPr>
            </w:pPr>
            <w:r>
              <w:rPr>
                <w:rFonts w:ascii="Sylfaen" w:hAnsi="Sylfaen" w:cs="Sylfaen"/>
                <w:sz w:val="18"/>
                <w:szCs w:val="18"/>
                <w:lang w:val="ka-GE"/>
              </w:rPr>
              <w:t>საშ</w:t>
            </w:r>
            <w:r>
              <w:rPr>
                <w:sz w:val="18"/>
                <w:szCs w:val="18"/>
                <w:lang w:val="ka-GE"/>
              </w:rPr>
              <w:t xml:space="preserve">. </w:t>
            </w:r>
            <w:r>
              <w:rPr>
                <w:rFonts w:ascii="Sylfaen" w:hAnsi="Sylfaen" w:cs="Sylfaen"/>
                <w:sz w:val="18"/>
                <w:szCs w:val="18"/>
                <w:lang w:val="ka-GE"/>
              </w:rPr>
              <w:t>მაქს</w:t>
            </w:r>
            <w:r>
              <w:rPr>
                <w:sz w:val="18"/>
                <w:szCs w:val="18"/>
                <w:lang w:val="ka-GE"/>
              </w:rPr>
              <w:t>.</w:t>
            </w:r>
          </w:p>
        </w:tc>
        <w:tc>
          <w:tcPr>
            <w:tcW w:w="8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DB5F54" w14:textId="77777777" w:rsidR="008948B9" w:rsidRPr="0071625B" w:rsidRDefault="0078141E" w:rsidP="00F31A39">
            <w:pPr>
              <w:jc w:val="center"/>
              <w:rPr>
                <w:rFonts w:ascii="AcadNusx" w:hAnsi="AcadNusx"/>
                <w:sz w:val="18"/>
                <w:szCs w:val="18"/>
                <w:lang w:val="en-US"/>
              </w:rPr>
            </w:pPr>
            <w:r>
              <w:rPr>
                <w:rFonts w:ascii="Sylfaen" w:hAnsi="Sylfaen" w:cs="Sylfaen"/>
                <w:sz w:val="18"/>
                <w:szCs w:val="18"/>
                <w:lang w:val="ka-GE"/>
              </w:rPr>
              <w:t>ყველაზე</w:t>
            </w:r>
            <w:r>
              <w:rPr>
                <w:sz w:val="18"/>
                <w:szCs w:val="18"/>
                <w:lang w:val="ka-GE"/>
              </w:rPr>
              <w:t xml:space="preserve"> </w:t>
            </w:r>
            <w:r>
              <w:rPr>
                <w:rFonts w:ascii="Sylfaen" w:hAnsi="Sylfaen" w:cs="Sylfaen"/>
                <w:sz w:val="18"/>
                <w:szCs w:val="18"/>
                <w:lang w:val="ka-GE"/>
              </w:rPr>
              <w:t>ცივი</w:t>
            </w:r>
            <w:r>
              <w:rPr>
                <w:sz w:val="18"/>
                <w:szCs w:val="18"/>
                <w:lang w:val="ka-GE"/>
              </w:rPr>
              <w:t xml:space="preserve"> </w:t>
            </w:r>
            <w:r>
              <w:rPr>
                <w:rFonts w:ascii="Sylfaen" w:hAnsi="Sylfaen" w:cs="Sylfaen"/>
                <w:sz w:val="18"/>
                <w:szCs w:val="18"/>
                <w:lang w:val="ka-GE"/>
              </w:rPr>
              <w:t>ხუთდღიური</w:t>
            </w:r>
            <w:r>
              <w:rPr>
                <w:sz w:val="18"/>
                <w:szCs w:val="18"/>
                <w:lang w:val="ka-GE"/>
              </w:rPr>
              <w:t xml:space="preserve"> </w:t>
            </w:r>
            <w:r>
              <w:rPr>
                <w:rFonts w:ascii="Sylfaen" w:hAnsi="Sylfaen" w:cs="Sylfaen"/>
                <w:sz w:val="18"/>
                <w:szCs w:val="18"/>
                <w:lang w:val="ka-GE"/>
              </w:rPr>
              <w:t>საშ</w:t>
            </w:r>
            <w:r>
              <w:rPr>
                <w:sz w:val="18"/>
                <w:szCs w:val="18"/>
                <w:lang w:val="ka-GE"/>
              </w:rPr>
              <w:t>.</w:t>
            </w:r>
          </w:p>
        </w:tc>
        <w:tc>
          <w:tcPr>
            <w:tcW w:w="8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E50079" w14:textId="77777777" w:rsidR="008948B9" w:rsidRPr="0071625B" w:rsidRDefault="0078141E" w:rsidP="00F31A39">
            <w:pPr>
              <w:jc w:val="center"/>
              <w:rPr>
                <w:rFonts w:ascii="AcadNusx" w:hAnsi="AcadNusx"/>
                <w:sz w:val="18"/>
                <w:szCs w:val="18"/>
                <w:lang w:val="en-US"/>
              </w:rPr>
            </w:pPr>
            <w:r>
              <w:rPr>
                <w:rFonts w:ascii="Sylfaen" w:hAnsi="Sylfaen" w:cs="Sylfaen"/>
                <w:sz w:val="18"/>
                <w:szCs w:val="18"/>
                <w:lang w:val="ka-GE"/>
              </w:rPr>
              <w:t>ყველაზე</w:t>
            </w:r>
            <w:r>
              <w:rPr>
                <w:sz w:val="18"/>
                <w:szCs w:val="18"/>
                <w:lang w:val="ka-GE"/>
              </w:rPr>
              <w:t xml:space="preserve"> </w:t>
            </w:r>
            <w:r>
              <w:rPr>
                <w:rFonts w:ascii="Sylfaen" w:hAnsi="Sylfaen" w:cs="Sylfaen"/>
                <w:sz w:val="18"/>
                <w:szCs w:val="18"/>
                <w:lang w:val="ka-GE"/>
              </w:rPr>
              <w:t>ცივი</w:t>
            </w:r>
            <w:r>
              <w:rPr>
                <w:sz w:val="18"/>
                <w:szCs w:val="18"/>
                <w:lang w:val="ka-GE"/>
              </w:rPr>
              <w:t xml:space="preserve"> </w:t>
            </w:r>
            <w:r>
              <w:rPr>
                <w:rFonts w:ascii="Sylfaen" w:hAnsi="Sylfaen" w:cs="Sylfaen"/>
                <w:sz w:val="18"/>
                <w:szCs w:val="18"/>
                <w:lang w:val="ka-GE"/>
              </w:rPr>
              <w:t>დღის</w:t>
            </w:r>
            <w:r>
              <w:rPr>
                <w:sz w:val="18"/>
                <w:szCs w:val="18"/>
                <w:lang w:val="ka-GE"/>
              </w:rPr>
              <w:t xml:space="preserve"> </w:t>
            </w:r>
            <w:r>
              <w:rPr>
                <w:rFonts w:ascii="Sylfaen" w:hAnsi="Sylfaen" w:cs="Sylfaen"/>
                <w:sz w:val="18"/>
                <w:szCs w:val="18"/>
                <w:lang w:val="ka-GE"/>
              </w:rPr>
              <w:t>საშ</w:t>
            </w:r>
            <w:r>
              <w:rPr>
                <w:sz w:val="18"/>
                <w:szCs w:val="18"/>
                <w:lang w:val="ka-GE"/>
              </w:rPr>
              <w:t>.</w:t>
            </w:r>
          </w:p>
        </w:tc>
        <w:tc>
          <w:tcPr>
            <w:tcW w:w="8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4FC51A" w14:textId="77777777" w:rsidR="008948B9" w:rsidRPr="0071625B" w:rsidRDefault="0078141E" w:rsidP="00F31A39">
            <w:pPr>
              <w:jc w:val="center"/>
              <w:rPr>
                <w:rFonts w:ascii="AcadNusx" w:hAnsi="AcadNusx"/>
                <w:sz w:val="18"/>
                <w:szCs w:val="18"/>
                <w:lang w:val="en-US"/>
              </w:rPr>
            </w:pPr>
            <w:r>
              <w:rPr>
                <w:rFonts w:ascii="Sylfaen" w:hAnsi="Sylfaen" w:cs="Sylfaen"/>
                <w:sz w:val="18"/>
                <w:szCs w:val="18"/>
                <w:lang w:val="ka-GE"/>
              </w:rPr>
              <w:t>ყველაზე</w:t>
            </w:r>
            <w:r>
              <w:rPr>
                <w:sz w:val="18"/>
                <w:szCs w:val="18"/>
                <w:lang w:val="ka-GE"/>
              </w:rPr>
              <w:t xml:space="preserve"> </w:t>
            </w:r>
            <w:r>
              <w:rPr>
                <w:rFonts w:ascii="Sylfaen" w:hAnsi="Sylfaen" w:cs="Sylfaen"/>
                <w:sz w:val="18"/>
                <w:szCs w:val="18"/>
                <w:lang w:val="ka-GE"/>
              </w:rPr>
              <w:t>ცივი</w:t>
            </w:r>
            <w:r>
              <w:rPr>
                <w:sz w:val="18"/>
                <w:szCs w:val="18"/>
                <w:lang w:val="ka-GE"/>
              </w:rPr>
              <w:t xml:space="preserve"> </w:t>
            </w:r>
            <w:r>
              <w:rPr>
                <w:rFonts w:ascii="Sylfaen" w:hAnsi="Sylfaen" w:cs="Sylfaen"/>
                <w:sz w:val="18"/>
                <w:szCs w:val="18"/>
                <w:lang w:val="ka-GE"/>
              </w:rPr>
              <w:t>პერიოდის</w:t>
            </w:r>
            <w:r>
              <w:rPr>
                <w:sz w:val="18"/>
                <w:szCs w:val="18"/>
                <w:lang w:val="ka-GE"/>
              </w:rPr>
              <w:t xml:space="preserve"> </w:t>
            </w:r>
            <w:r>
              <w:rPr>
                <w:rFonts w:ascii="Sylfaen" w:hAnsi="Sylfaen" w:cs="Sylfaen"/>
                <w:sz w:val="18"/>
                <w:szCs w:val="18"/>
                <w:lang w:val="ka-GE"/>
              </w:rPr>
              <w:t>საშ</w:t>
            </w:r>
            <w:r>
              <w:rPr>
                <w:sz w:val="18"/>
                <w:szCs w:val="18"/>
                <w:lang w:val="ka-GE"/>
              </w:rPr>
              <w:t>.</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5C493130" w14:textId="77777777" w:rsidR="008948B9" w:rsidRPr="0071625B" w:rsidRDefault="0078141E" w:rsidP="008B0984">
            <w:pPr>
              <w:rPr>
                <w:rFonts w:ascii="AcadNusx" w:hAnsi="AcadNusx"/>
                <w:sz w:val="18"/>
                <w:szCs w:val="18"/>
                <w:lang w:val="en-US"/>
              </w:rPr>
            </w:pPr>
            <w:r>
              <w:rPr>
                <w:rFonts w:ascii="Sylfaen" w:hAnsi="Sylfaen" w:cs="Sylfaen"/>
                <w:sz w:val="18"/>
                <w:szCs w:val="18"/>
                <w:lang w:val="ka-GE"/>
              </w:rPr>
              <w:t>საშუალო</w:t>
            </w:r>
            <w:r>
              <w:rPr>
                <w:sz w:val="18"/>
                <w:szCs w:val="18"/>
                <w:lang w:val="ka-GE"/>
              </w:rPr>
              <w:t xml:space="preserve"> </w:t>
            </w:r>
            <w:r>
              <w:rPr>
                <w:rFonts w:ascii="Sylfaen" w:hAnsi="Sylfaen" w:cs="Sylfaen"/>
                <w:sz w:val="18"/>
                <w:szCs w:val="18"/>
                <w:lang w:val="ka-GE"/>
              </w:rPr>
              <w:t>ტემპერატურა</w:t>
            </w:r>
            <w:r>
              <w:rPr>
                <w:sz w:val="18"/>
                <w:szCs w:val="18"/>
                <w:lang w:val="ka-GE"/>
              </w:rPr>
              <w:t xml:space="preserve"> 13 </w:t>
            </w:r>
            <w:r>
              <w:rPr>
                <w:rFonts w:ascii="Sylfaen" w:hAnsi="Sylfaen" w:cs="Sylfaen"/>
                <w:sz w:val="18"/>
                <w:szCs w:val="18"/>
                <w:lang w:val="ka-GE"/>
              </w:rPr>
              <w:t>სთ</w:t>
            </w:r>
            <w:r>
              <w:rPr>
                <w:sz w:val="18"/>
                <w:szCs w:val="18"/>
                <w:lang w:val="ka-GE"/>
              </w:rPr>
              <w:t>-</w:t>
            </w:r>
            <w:r>
              <w:rPr>
                <w:rFonts w:ascii="Sylfaen" w:hAnsi="Sylfaen" w:cs="Sylfaen"/>
                <w:sz w:val="18"/>
                <w:szCs w:val="18"/>
                <w:lang w:val="ka-GE"/>
              </w:rPr>
              <w:t>ზე</w:t>
            </w:r>
          </w:p>
        </w:tc>
      </w:tr>
      <w:tr w:rsidR="008948B9" w:rsidRPr="0071625B" w14:paraId="2D39543B" w14:textId="77777777" w:rsidTr="00F31A39">
        <w:trPr>
          <w:cantSplit/>
          <w:trHeight w:val="1187"/>
          <w:jc w:val="center"/>
        </w:trPr>
        <w:tc>
          <w:tcPr>
            <w:tcW w:w="813" w:type="dxa"/>
            <w:vMerge/>
            <w:tcBorders>
              <w:top w:val="single" w:sz="4" w:space="0" w:color="auto"/>
              <w:left w:val="single" w:sz="4" w:space="0" w:color="auto"/>
              <w:bottom w:val="single" w:sz="4" w:space="0" w:color="auto"/>
              <w:right w:val="single" w:sz="4" w:space="0" w:color="auto"/>
            </w:tcBorders>
            <w:vAlign w:val="center"/>
            <w:hideMark/>
          </w:tcPr>
          <w:p w14:paraId="7AFBD290" w14:textId="77777777" w:rsidR="008948B9" w:rsidRPr="0071625B" w:rsidRDefault="008948B9" w:rsidP="008B0984">
            <w:pPr>
              <w:rPr>
                <w:rFonts w:ascii="AcadNusx" w:hAnsi="AcadNusx"/>
                <w:sz w:val="18"/>
                <w:szCs w:val="18"/>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14:paraId="29C9D108" w14:textId="77777777" w:rsidR="008948B9" w:rsidRPr="0071625B" w:rsidRDefault="008948B9" w:rsidP="008B0984">
            <w:pPr>
              <w:rPr>
                <w:rFonts w:ascii="AcadNusx" w:hAnsi="AcadNusx"/>
                <w:sz w:val="18"/>
                <w:szCs w:val="18"/>
                <w:lang w:val="en-US"/>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14:paraId="3E64D6FB" w14:textId="77777777" w:rsidR="008948B9" w:rsidRPr="0071625B" w:rsidRDefault="008948B9" w:rsidP="008B0984">
            <w:pPr>
              <w:rPr>
                <w:rFonts w:ascii="AcadNusx" w:hAnsi="AcadNusx"/>
                <w:sz w:val="18"/>
                <w:szCs w:val="18"/>
                <w:lang w:val="en-US"/>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14:paraId="3D982211" w14:textId="77777777" w:rsidR="008948B9" w:rsidRPr="0071625B" w:rsidRDefault="008948B9" w:rsidP="008B0984">
            <w:pPr>
              <w:rPr>
                <w:rFonts w:ascii="AcadNusx" w:hAnsi="AcadNusx"/>
                <w:sz w:val="18"/>
                <w:szCs w:val="18"/>
                <w:lang w:val="en-US"/>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14:paraId="105FB993" w14:textId="77777777" w:rsidR="008948B9" w:rsidRPr="0071625B" w:rsidRDefault="008948B9" w:rsidP="008B0984">
            <w:pPr>
              <w:rPr>
                <w:rFonts w:ascii="AcadNusx" w:hAnsi="AcadNusx"/>
                <w:sz w:val="18"/>
                <w:szCs w:val="18"/>
                <w:lang w:val="en-US"/>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14:paraId="435EF63F" w14:textId="77777777" w:rsidR="008948B9" w:rsidRPr="0071625B" w:rsidRDefault="008948B9" w:rsidP="008B0984">
            <w:pPr>
              <w:rPr>
                <w:rFonts w:ascii="AcadNusx" w:hAnsi="AcadNusx"/>
                <w:sz w:val="18"/>
                <w:szCs w:val="18"/>
                <w:lang w:val="en-US"/>
              </w:rPr>
            </w:pPr>
          </w:p>
        </w:tc>
        <w:tc>
          <w:tcPr>
            <w:tcW w:w="813" w:type="dxa"/>
            <w:tcBorders>
              <w:top w:val="single" w:sz="4" w:space="0" w:color="auto"/>
              <w:left w:val="single" w:sz="4" w:space="0" w:color="auto"/>
              <w:bottom w:val="single" w:sz="4" w:space="0" w:color="auto"/>
              <w:right w:val="single" w:sz="4" w:space="0" w:color="auto"/>
            </w:tcBorders>
            <w:textDirection w:val="btLr"/>
            <w:vAlign w:val="center"/>
          </w:tcPr>
          <w:p w14:paraId="2D19B16B" w14:textId="77777777" w:rsidR="008948B9" w:rsidRPr="0071625B" w:rsidRDefault="0078141E" w:rsidP="008B0984">
            <w:pPr>
              <w:rPr>
                <w:rFonts w:ascii="AcadNusx" w:hAnsi="AcadNusx"/>
                <w:sz w:val="18"/>
                <w:szCs w:val="18"/>
                <w:lang w:val="en-US"/>
              </w:rPr>
            </w:pPr>
            <w:r>
              <w:rPr>
                <w:rFonts w:ascii="Sylfaen" w:hAnsi="Sylfaen" w:cs="Sylfaen"/>
                <w:sz w:val="18"/>
                <w:szCs w:val="18"/>
                <w:lang w:val="ka-GE"/>
              </w:rPr>
              <w:t>ყველაზე</w:t>
            </w:r>
            <w:r w:rsidR="005718CD">
              <w:rPr>
                <w:sz w:val="18"/>
                <w:szCs w:val="18"/>
                <w:lang w:val="ka-GE"/>
              </w:rPr>
              <w:t xml:space="preserve"> </w:t>
            </w:r>
            <w:r w:rsidR="005718CD">
              <w:rPr>
                <w:rFonts w:ascii="Sylfaen" w:hAnsi="Sylfaen" w:cs="Sylfaen"/>
                <w:sz w:val="18"/>
                <w:szCs w:val="18"/>
                <w:lang w:val="ka-GE"/>
              </w:rPr>
              <w:t>ცივი</w:t>
            </w:r>
            <w:r w:rsidR="005718CD">
              <w:rPr>
                <w:sz w:val="18"/>
                <w:szCs w:val="18"/>
                <w:lang w:val="ka-GE"/>
              </w:rPr>
              <w:t xml:space="preserve"> </w:t>
            </w:r>
            <w:r w:rsidR="005718CD">
              <w:rPr>
                <w:rFonts w:ascii="Sylfaen" w:hAnsi="Sylfaen" w:cs="Sylfaen"/>
                <w:sz w:val="18"/>
                <w:szCs w:val="18"/>
                <w:lang w:val="ka-GE"/>
              </w:rPr>
              <w:t>თვის</w:t>
            </w:r>
          </w:p>
        </w:tc>
        <w:tc>
          <w:tcPr>
            <w:tcW w:w="813" w:type="dxa"/>
            <w:tcBorders>
              <w:top w:val="single" w:sz="4" w:space="0" w:color="auto"/>
              <w:left w:val="single" w:sz="4" w:space="0" w:color="auto"/>
              <w:bottom w:val="single" w:sz="4" w:space="0" w:color="auto"/>
              <w:right w:val="single" w:sz="4" w:space="0" w:color="auto"/>
            </w:tcBorders>
            <w:textDirection w:val="btLr"/>
            <w:vAlign w:val="center"/>
          </w:tcPr>
          <w:p w14:paraId="4DB82A3D" w14:textId="77777777" w:rsidR="008948B9" w:rsidRPr="0071625B" w:rsidRDefault="005718CD" w:rsidP="008B0984">
            <w:pPr>
              <w:rPr>
                <w:rFonts w:ascii="AcadNusx" w:hAnsi="AcadNusx"/>
                <w:sz w:val="18"/>
                <w:szCs w:val="18"/>
                <w:lang w:val="en-US"/>
              </w:rPr>
            </w:pPr>
            <w:r>
              <w:rPr>
                <w:rFonts w:ascii="Sylfaen" w:hAnsi="Sylfaen" w:cs="Sylfaen"/>
                <w:sz w:val="18"/>
                <w:szCs w:val="18"/>
                <w:lang w:val="ka-GE"/>
              </w:rPr>
              <w:t>ყველაზე</w:t>
            </w:r>
            <w:r>
              <w:rPr>
                <w:sz w:val="18"/>
                <w:szCs w:val="18"/>
                <w:lang w:val="ka-GE"/>
              </w:rPr>
              <w:t xml:space="preserve"> </w:t>
            </w:r>
            <w:r>
              <w:rPr>
                <w:rFonts w:ascii="Sylfaen" w:hAnsi="Sylfaen" w:cs="Sylfaen"/>
                <w:sz w:val="18"/>
                <w:szCs w:val="18"/>
                <w:lang w:val="ka-GE"/>
              </w:rPr>
              <w:t>ცხეილი</w:t>
            </w:r>
            <w:r>
              <w:rPr>
                <w:sz w:val="18"/>
                <w:szCs w:val="18"/>
                <w:lang w:val="ka-GE"/>
              </w:rPr>
              <w:t xml:space="preserve"> </w:t>
            </w:r>
            <w:r>
              <w:rPr>
                <w:rFonts w:ascii="Sylfaen" w:hAnsi="Sylfaen" w:cs="Sylfaen"/>
                <w:sz w:val="18"/>
                <w:szCs w:val="18"/>
                <w:lang w:val="ka-GE"/>
              </w:rPr>
              <w:t>თვის</w:t>
            </w:r>
          </w:p>
        </w:tc>
      </w:tr>
      <w:tr w:rsidR="008948B9" w:rsidRPr="005718CD" w14:paraId="52E43D09" w14:textId="77777777" w:rsidTr="0078141E">
        <w:trPr>
          <w:cantSplit/>
          <w:trHeight w:val="694"/>
          <w:jc w:val="center"/>
        </w:trPr>
        <w:tc>
          <w:tcPr>
            <w:tcW w:w="813" w:type="dxa"/>
            <w:tcBorders>
              <w:top w:val="single" w:sz="4" w:space="0" w:color="auto"/>
              <w:left w:val="single" w:sz="4" w:space="0" w:color="auto"/>
              <w:bottom w:val="single" w:sz="4" w:space="0" w:color="auto"/>
              <w:right w:val="single" w:sz="4" w:space="0" w:color="auto"/>
            </w:tcBorders>
            <w:vAlign w:val="center"/>
          </w:tcPr>
          <w:p w14:paraId="0B612EC2" w14:textId="77777777" w:rsidR="008948B9" w:rsidRPr="005718CD" w:rsidRDefault="008948B9" w:rsidP="008B0984">
            <w:pPr>
              <w:rPr>
                <w:spacing w:val="-10"/>
                <w:sz w:val="18"/>
                <w:szCs w:val="18"/>
                <w:lang w:val="en-US"/>
              </w:rPr>
            </w:pPr>
            <w:r w:rsidRPr="005718CD">
              <w:rPr>
                <w:spacing w:val="-10"/>
                <w:sz w:val="18"/>
                <w:szCs w:val="18"/>
                <w:lang w:val="en-US"/>
              </w:rPr>
              <w:t>-22</w:t>
            </w:r>
          </w:p>
        </w:tc>
        <w:tc>
          <w:tcPr>
            <w:tcW w:w="813" w:type="dxa"/>
            <w:tcBorders>
              <w:top w:val="single" w:sz="4" w:space="0" w:color="auto"/>
              <w:left w:val="single" w:sz="4" w:space="0" w:color="auto"/>
              <w:bottom w:val="single" w:sz="4" w:space="0" w:color="auto"/>
              <w:right w:val="single" w:sz="4" w:space="0" w:color="auto"/>
            </w:tcBorders>
            <w:vAlign w:val="center"/>
          </w:tcPr>
          <w:p w14:paraId="2A4B7B5B" w14:textId="77777777" w:rsidR="008948B9" w:rsidRPr="005718CD" w:rsidRDefault="008948B9" w:rsidP="008B0984">
            <w:pPr>
              <w:rPr>
                <w:spacing w:val="-10"/>
                <w:sz w:val="18"/>
                <w:szCs w:val="18"/>
                <w:lang w:val="en-US"/>
              </w:rPr>
            </w:pPr>
            <w:r w:rsidRPr="005718CD">
              <w:rPr>
                <w:spacing w:val="-10"/>
                <w:sz w:val="18"/>
                <w:szCs w:val="18"/>
                <w:lang w:val="en-US"/>
              </w:rPr>
              <w:t>38</w:t>
            </w:r>
          </w:p>
        </w:tc>
        <w:tc>
          <w:tcPr>
            <w:tcW w:w="813" w:type="dxa"/>
            <w:tcBorders>
              <w:top w:val="single" w:sz="4" w:space="0" w:color="auto"/>
              <w:left w:val="single" w:sz="4" w:space="0" w:color="auto"/>
              <w:bottom w:val="single" w:sz="4" w:space="0" w:color="auto"/>
              <w:right w:val="single" w:sz="4" w:space="0" w:color="auto"/>
            </w:tcBorders>
            <w:vAlign w:val="center"/>
          </w:tcPr>
          <w:p w14:paraId="2CC81259" w14:textId="77777777" w:rsidR="008948B9" w:rsidRPr="005718CD" w:rsidRDefault="008948B9" w:rsidP="008B0984">
            <w:pPr>
              <w:rPr>
                <w:spacing w:val="-10"/>
                <w:sz w:val="18"/>
                <w:szCs w:val="18"/>
                <w:lang w:val="en-US"/>
              </w:rPr>
            </w:pPr>
            <w:r w:rsidRPr="005718CD">
              <w:rPr>
                <w:spacing w:val="-10"/>
                <w:sz w:val="18"/>
                <w:szCs w:val="18"/>
                <w:lang w:val="en-US"/>
              </w:rPr>
              <w:t>29.8</w:t>
            </w:r>
          </w:p>
        </w:tc>
        <w:tc>
          <w:tcPr>
            <w:tcW w:w="813" w:type="dxa"/>
            <w:tcBorders>
              <w:top w:val="single" w:sz="4" w:space="0" w:color="auto"/>
              <w:left w:val="single" w:sz="4" w:space="0" w:color="auto"/>
              <w:bottom w:val="single" w:sz="4" w:space="0" w:color="auto"/>
              <w:right w:val="single" w:sz="4" w:space="0" w:color="auto"/>
            </w:tcBorders>
            <w:vAlign w:val="center"/>
          </w:tcPr>
          <w:p w14:paraId="1274B454" w14:textId="77777777" w:rsidR="008948B9" w:rsidRPr="005718CD" w:rsidRDefault="008948B9" w:rsidP="008B0984">
            <w:pPr>
              <w:rPr>
                <w:spacing w:val="-10"/>
                <w:sz w:val="18"/>
                <w:szCs w:val="18"/>
                <w:lang w:val="en-US"/>
              </w:rPr>
            </w:pPr>
            <w:r w:rsidRPr="005718CD">
              <w:rPr>
                <w:spacing w:val="-10"/>
                <w:sz w:val="18"/>
                <w:szCs w:val="18"/>
                <w:lang w:val="en-US"/>
              </w:rPr>
              <w:t>-8</w:t>
            </w:r>
          </w:p>
        </w:tc>
        <w:tc>
          <w:tcPr>
            <w:tcW w:w="813" w:type="dxa"/>
            <w:tcBorders>
              <w:top w:val="single" w:sz="4" w:space="0" w:color="auto"/>
              <w:left w:val="single" w:sz="4" w:space="0" w:color="auto"/>
              <w:bottom w:val="single" w:sz="4" w:space="0" w:color="auto"/>
              <w:right w:val="single" w:sz="4" w:space="0" w:color="auto"/>
            </w:tcBorders>
            <w:vAlign w:val="center"/>
          </w:tcPr>
          <w:p w14:paraId="2236C5BF" w14:textId="77777777" w:rsidR="008948B9" w:rsidRPr="005718CD" w:rsidRDefault="008948B9" w:rsidP="008B0984">
            <w:pPr>
              <w:rPr>
                <w:spacing w:val="-10"/>
                <w:sz w:val="18"/>
                <w:szCs w:val="18"/>
                <w:lang w:val="en-US"/>
              </w:rPr>
            </w:pPr>
            <w:r w:rsidRPr="005718CD">
              <w:rPr>
                <w:spacing w:val="-10"/>
                <w:sz w:val="18"/>
                <w:szCs w:val="18"/>
                <w:lang w:val="en-US"/>
              </w:rPr>
              <w:t>-4</w:t>
            </w:r>
          </w:p>
        </w:tc>
        <w:tc>
          <w:tcPr>
            <w:tcW w:w="813" w:type="dxa"/>
            <w:tcBorders>
              <w:top w:val="single" w:sz="4" w:space="0" w:color="auto"/>
              <w:left w:val="single" w:sz="4" w:space="0" w:color="auto"/>
              <w:bottom w:val="single" w:sz="4" w:space="0" w:color="auto"/>
              <w:right w:val="single" w:sz="4" w:space="0" w:color="auto"/>
            </w:tcBorders>
            <w:vAlign w:val="center"/>
          </w:tcPr>
          <w:p w14:paraId="2A4CF1F3" w14:textId="77777777" w:rsidR="008948B9" w:rsidRPr="005718CD" w:rsidRDefault="008948B9" w:rsidP="008B0984">
            <w:pPr>
              <w:rPr>
                <w:spacing w:val="-10"/>
                <w:sz w:val="18"/>
                <w:szCs w:val="18"/>
                <w:lang w:val="en-US"/>
              </w:rPr>
            </w:pPr>
            <w:r w:rsidRPr="005718CD">
              <w:rPr>
                <w:spacing w:val="-10"/>
                <w:sz w:val="18"/>
                <w:szCs w:val="18"/>
                <w:lang w:val="en-US"/>
              </w:rPr>
              <w:t>0.8</w:t>
            </w:r>
          </w:p>
        </w:tc>
        <w:tc>
          <w:tcPr>
            <w:tcW w:w="813" w:type="dxa"/>
            <w:tcBorders>
              <w:top w:val="single" w:sz="4" w:space="0" w:color="auto"/>
              <w:left w:val="single" w:sz="4" w:space="0" w:color="auto"/>
              <w:bottom w:val="single" w:sz="4" w:space="0" w:color="auto"/>
              <w:right w:val="single" w:sz="4" w:space="0" w:color="auto"/>
            </w:tcBorders>
            <w:vAlign w:val="center"/>
          </w:tcPr>
          <w:p w14:paraId="64EACEA4" w14:textId="77777777" w:rsidR="008948B9" w:rsidRPr="005718CD" w:rsidRDefault="008948B9" w:rsidP="008B0984">
            <w:pPr>
              <w:rPr>
                <w:spacing w:val="-10"/>
                <w:sz w:val="18"/>
                <w:szCs w:val="18"/>
                <w:lang w:val="en-US"/>
              </w:rPr>
            </w:pPr>
            <w:r w:rsidRPr="005718CD">
              <w:rPr>
                <w:spacing w:val="-10"/>
                <w:sz w:val="18"/>
                <w:szCs w:val="18"/>
                <w:lang w:val="en-US"/>
              </w:rPr>
              <w:t>3.2</w:t>
            </w:r>
          </w:p>
        </w:tc>
        <w:tc>
          <w:tcPr>
            <w:tcW w:w="813" w:type="dxa"/>
            <w:tcBorders>
              <w:top w:val="single" w:sz="4" w:space="0" w:color="auto"/>
              <w:left w:val="single" w:sz="4" w:space="0" w:color="auto"/>
              <w:bottom w:val="single" w:sz="4" w:space="0" w:color="auto"/>
              <w:right w:val="single" w:sz="4" w:space="0" w:color="auto"/>
            </w:tcBorders>
            <w:vAlign w:val="center"/>
          </w:tcPr>
          <w:p w14:paraId="1F0661D7" w14:textId="77777777" w:rsidR="008948B9" w:rsidRPr="005718CD" w:rsidRDefault="008948B9" w:rsidP="008B0984">
            <w:pPr>
              <w:rPr>
                <w:spacing w:val="-10"/>
                <w:sz w:val="18"/>
                <w:szCs w:val="18"/>
                <w:lang w:val="en-US"/>
              </w:rPr>
            </w:pPr>
            <w:r w:rsidRPr="005718CD">
              <w:rPr>
                <w:spacing w:val="-10"/>
                <w:sz w:val="18"/>
                <w:szCs w:val="18"/>
                <w:lang w:val="en-US"/>
              </w:rPr>
              <w:t>27.9</w:t>
            </w:r>
          </w:p>
        </w:tc>
      </w:tr>
    </w:tbl>
    <w:p w14:paraId="19066A7F" w14:textId="77777777" w:rsidR="008948B9" w:rsidRPr="0071625B" w:rsidRDefault="008948B9" w:rsidP="008B0984">
      <w:pPr>
        <w:rPr>
          <w:rFonts w:ascii="AcadNusx" w:hAnsi="AcadNusx"/>
          <w:sz w:val="20"/>
          <w:szCs w:val="20"/>
          <w:lang w:val="en-US"/>
        </w:rPr>
      </w:pPr>
    </w:p>
    <w:p w14:paraId="26305704" w14:textId="77777777" w:rsidR="005718CD" w:rsidRPr="008948B9" w:rsidRDefault="005718CD" w:rsidP="008B0984">
      <w:pPr>
        <w:rPr>
          <w:sz w:val="20"/>
          <w:szCs w:val="20"/>
          <w:lang w:val="ka-GE"/>
        </w:rPr>
      </w:pPr>
      <w:r>
        <w:rPr>
          <w:rFonts w:ascii="Sylfaen" w:hAnsi="Sylfaen" w:cs="Sylfaen"/>
          <w:sz w:val="20"/>
          <w:szCs w:val="20"/>
          <w:lang w:val="ka-GE"/>
        </w:rPr>
        <w:t>ჰაერის</w:t>
      </w:r>
      <w:r>
        <w:rPr>
          <w:sz w:val="20"/>
          <w:szCs w:val="20"/>
          <w:lang w:val="ka-GE"/>
        </w:rPr>
        <w:t xml:space="preserve"> </w:t>
      </w:r>
      <w:r>
        <w:rPr>
          <w:rFonts w:ascii="Sylfaen" w:hAnsi="Sylfaen" w:cs="Sylfaen"/>
          <w:sz w:val="20"/>
          <w:szCs w:val="20"/>
          <w:lang w:val="ka-GE"/>
        </w:rPr>
        <w:t>ფარდობითი</w:t>
      </w:r>
      <w:r>
        <w:rPr>
          <w:sz w:val="20"/>
          <w:szCs w:val="20"/>
          <w:lang w:val="ka-GE"/>
        </w:rPr>
        <w:t xml:space="preserve"> </w:t>
      </w:r>
      <w:r>
        <w:rPr>
          <w:rFonts w:ascii="Sylfaen" w:hAnsi="Sylfaen" w:cs="Sylfaen"/>
          <w:sz w:val="20"/>
          <w:szCs w:val="20"/>
          <w:lang w:val="ka-GE"/>
        </w:rPr>
        <w:t>ტენიანობა</w:t>
      </w:r>
      <w:r>
        <w:rPr>
          <w:sz w:val="20"/>
          <w:szCs w:val="20"/>
          <w:lang w:val="ka-GE"/>
        </w:rPr>
        <w:t xml:space="preserve"> </w:t>
      </w:r>
      <w:r>
        <w:rPr>
          <w:rFonts w:ascii="Sylfaen" w:hAnsi="Sylfaen" w:cs="Sylfaen"/>
          <w:sz w:val="20"/>
          <w:szCs w:val="20"/>
          <w:lang w:val="ka-GE"/>
        </w:rPr>
        <w:t>ცხრილი</w:t>
      </w:r>
      <w:r>
        <w:rPr>
          <w:sz w:val="20"/>
          <w:szCs w:val="20"/>
          <w:lang w:val="ka-GE"/>
        </w:rPr>
        <w:t xml:space="preserve"> 6.1.1.3</w:t>
      </w:r>
    </w:p>
    <w:tbl>
      <w:tblPr>
        <w:tblW w:w="7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709"/>
        <w:gridCol w:w="567"/>
        <w:gridCol w:w="567"/>
        <w:gridCol w:w="527"/>
        <w:gridCol w:w="553"/>
        <w:gridCol w:w="631"/>
        <w:gridCol w:w="670"/>
        <w:gridCol w:w="609"/>
        <w:gridCol w:w="597"/>
        <w:gridCol w:w="567"/>
        <w:gridCol w:w="724"/>
        <w:gridCol w:w="717"/>
      </w:tblGrid>
      <w:tr w:rsidR="008948B9" w:rsidRPr="0009255A" w14:paraId="47B64C67" w14:textId="77777777" w:rsidTr="0078141E">
        <w:trPr>
          <w:cantSplit/>
          <w:trHeight w:val="482"/>
          <w:jc w:val="center"/>
        </w:trPr>
        <w:tc>
          <w:tcPr>
            <w:tcW w:w="7237" w:type="dxa"/>
            <w:gridSpan w:val="12"/>
            <w:tcBorders>
              <w:top w:val="single" w:sz="4" w:space="0" w:color="auto"/>
              <w:left w:val="single" w:sz="4" w:space="0" w:color="auto"/>
              <w:bottom w:val="single" w:sz="4" w:space="0" w:color="auto"/>
              <w:right w:val="single" w:sz="4" w:space="0" w:color="auto"/>
            </w:tcBorders>
            <w:vAlign w:val="center"/>
            <w:hideMark/>
          </w:tcPr>
          <w:p w14:paraId="2786F5DE" w14:textId="77777777" w:rsidR="008948B9" w:rsidRPr="0009255A" w:rsidRDefault="005718CD" w:rsidP="008B0984">
            <w:pPr>
              <w:rPr>
                <w:sz w:val="18"/>
                <w:lang w:val="ka-GE"/>
              </w:rPr>
            </w:pPr>
            <w:r w:rsidRPr="0009255A">
              <w:rPr>
                <w:rFonts w:ascii="Sylfaen" w:hAnsi="Sylfaen" w:cs="Sylfaen"/>
                <w:sz w:val="18"/>
                <w:lang w:val="ka-GE"/>
              </w:rPr>
              <w:t>თვეები</w:t>
            </w:r>
          </w:p>
        </w:tc>
        <w:tc>
          <w:tcPr>
            <w:tcW w:w="71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930F13" w14:textId="77777777" w:rsidR="008948B9" w:rsidRPr="0009255A" w:rsidRDefault="005718CD" w:rsidP="008B0984">
            <w:pPr>
              <w:rPr>
                <w:sz w:val="18"/>
                <w:szCs w:val="20"/>
                <w:lang w:val="ka-GE"/>
              </w:rPr>
            </w:pPr>
            <w:r w:rsidRPr="0009255A">
              <w:rPr>
                <w:rFonts w:ascii="Sylfaen" w:hAnsi="Sylfaen" w:cs="Sylfaen"/>
                <w:sz w:val="18"/>
                <w:szCs w:val="20"/>
                <w:lang w:val="ka-GE"/>
              </w:rPr>
              <w:t>წლის</w:t>
            </w:r>
            <w:r w:rsidRPr="0009255A">
              <w:rPr>
                <w:sz w:val="18"/>
                <w:szCs w:val="20"/>
                <w:lang w:val="ka-GE"/>
              </w:rPr>
              <w:t xml:space="preserve"> </w:t>
            </w:r>
            <w:r w:rsidRPr="0009255A">
              <w:rPr>
                <w:rFonts w:ascii="Sylfaen" w:hAnsi="Sylfaen" w:cs="Sylfaen"/>
                <w:sz w:val="18"/>
                <w:szCs w:val="20"/>
                <w:lang w:val="ka-GE"/>
              </w:rPr>
              <w:t>საშუალო</w:t>
            </w:r>
          </w:p>
        </w:tc>
      </w:tr>
      <w:tr w:rsidR="008948B9" w:rsidRPr="0009255A" w14:paraId="53F49BEE" w14:textId="77777777" w:rsidTr="0009255A">
        <w:trPr>
          <w:cantSplit/>
          <w:trHeight w:val="449"/>
          <w:jc w:val="center"/>
        </w:trPr>
        <w:tc>
          <w:tcPr>
            <w:tcW w:w="516" w:type="dxa"/>
            <w:tcBorders>
              <w:top w:val="single" w:sz="4" w:space="0" w:color="auto"/>
              <w:left w:val="single" w:sz="4" w:space="0" w:color="auto"/>
              <w:bottom w:val="single" w:sz="4" w:space="0" w:color="auto"/>
              <w:right w:val="single" w:sz="4" w:space="0" w:color="auto"/>
            </w:tcBorders>
            <w:vAlign w:val="center"/>
            <w:hideMark/>
          </w:tcPr>
          <w:p w14:paraId="379DF90A" w14:textId="77777777" w:rsidR="008948B9" w:rsidRPr="0009255A" w:rsidRDefault="008948B9" w:rsidP="008B0984">
            <w:pPr>
              <w:rPr>
                <w:spacing w:val="20"/>
                <w:kern w:val="14"/>
                <w:sz w:val="18"/>
                <w:szCs w:val="16"/>
                <w:lang w:val="en-US"/>
              </w:rPr>
            </w:pPr>
            <w:r w:rsidRPr="0009255A">
              <w:rPr>
                <w:spacing w:val="20"/>
                <w:kern w:val="14"/>
                <w:sz w:val="18"/>
                <w:szCs w:val="16"/>
                <w:lang w:val="en-US"/>
              </w:rPr>
              <w:t>I</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67C482" w14:textId="77777777" w:rsidR="008948B9" w:rsidRPr="0009255A" w:rsidRDefault="008948B9" w:rsidP="008B0984">
            <w:pPr>
              <w:rPr>
                <w:spacing w:val="20"/>
                <w:kern w:val="14"/>
                <w:sz w:val="18"/>
                <w:szCs w:val="16"/>
                <w:lang w:val="en-US"/>
              </w:rPr>
            </w:pPr>
            <w:r w:rsidRPr="0009255A">
              <w:rPr>
                <w:spacing w:val="20"/>
                <w:kern w:val="14"/>
                <w:sz w:val="18"/>
                <w:szCs w:val="16"/>
                <w:lang w:val="en-US"/>
              </w:rPr>
              <w:t>II</w:t>
            </w:r>
          </w:p>
        </w:tc>
        <w:tc>
          <w:tcPr>
            <w:tcW w:w="567" w:type="dxa"/>
            <w:tcBorders>
              <w:top w:val="single" w:sz="4" w:space="0" w:color="auto"/>
              <w:left w:val="single" w:sz="4" w:space="0" w:color="auto"/>
              <w:bottom w:val="single" w:sz="4" w:space="0" w:color="auto"/>
              <w:right w:val="single" w:sz="4" w:space="0" w:color="auto"/>
            </w:tcBorders>
            <w:vAlign w:val="center"/>
            <w:hideMark/>
          </w:tcPr>
          <w:p w14:paraId="21EA7AD5" w14:textId="77777777" w:rsidR="008948B9" w:rsidRPr="0009255A" w:rsidRDefault="008948B9" w:rsidP="008B0984">
            <w:pPr>
              <w:rPr>
                <w:spacing w:val="20"/>
                <w:kern w:val="14"/>
                <w:sz w:val="18"/>
                <w:szCs w:val="16"/>
                <w:lang w:val="en-US"/>
              </w:rPr>
            </w:pPr>
            <w:r w:rsidRPr="0009255A">
              <w:rPr>
                <w:spacing w:val="20"/>
                <w:kern w:val="14"/>
                <w:sz w:val="18"/>
                <w:szCs w:val="16"/>
                <w:lang w:val="en-US"/>
              </w:rPr>
              <w:t>III</w:t>
            </w:r>
          </w:p>
        </w:tc>
        <w:tc>
          <w:tcPr>
            <w:tcW w:w="567" w:type="dxa"/>
            <w:tcBorders>
              <w:top w:val="single" w:sz="4" w:space="0" w:color="auto"/>
              <w:left w:val="single" w:sz="4" w:space="0" w:color="auto"/>
              <w:bottom w:val="single" w:sz="4" w:space="0" w:color="auto"/>
              <w:right w:val="single" w:sz="4" w:space="0" w:color="auto"/>
            </w:tcBorders>
            <w:vAlign w:val="center"/>
            <w:hideMark/>
          </w:tcPr>
          <w:p w14:paraId="3B76FB6C" w14:textId="77777777" w:rsidR="008948B9" w:rsidRPr="0009255A" w:rsidRDefault="008948B9" w:rsidP="008B0984">
            <w:pPr>
              <w:rPr>
                <w:spacing w:val="20"/>
                <w:kern w:val="14"/>
                <w:sz w:val="18"/>
                <w:szCs w:val="16"/>
                <w:lang w:val="en-US"/>
              </w:rPr>
            </w:pPr>
            <w:r w:rsidRPr="0009255A">
              <w:rPr>
                <w:spacing w:val="20"/>
                <w:kern w:val="14"/>
                <w:sz w:val="18"/>
                <w:szCs w:val="16"/>
                <w:lang w:val="en-US"/>
              </w:rPr>
              <w:t>IV</w:t>
            </w:r>
          </w:p>
        </w:tc>
        <w:tc>
          <w:tcPr>
            <w:tcW w:w="527" w:type="dxa"/>
            <w:tcBorders>
              <w:top w:val="single" w:sz="4" w:space="0" w:color="auto"/>
              <w:left w:val="single" w:sz="4" w:space="0" w:color="auto"/>
              <w:bottom w:val="single" w:sz="4" w:space="0" w:color="auto"/>
              <w:right w:val="single" w:sz="4" w:space="0" w:color="auto"/>
            </w:tcBorders>
            <w:vAlign w:val="center"/>
            <w:hideMark/>
          </w:tcPr>
          <w:p w14:paraId="5E9820FE" w14:textId="77777777" w:rsidR="008948B9" w:rsidRPr="0009255A" w:rsidRDefault="008948B9" w:rsidP="008B0984">
            <w:pPr>
              <w:rPr>
                <w:spacing w:val="20"/>
                <w:kern w:val="14"/>
                <w:sz w:val="18"/>
                <w:szCs w:val="16"/>
                <w:lang w:val="en-US"/>
              </w:rPr>
            </w:pPr>
            <w:r w:rsidRPr="0009255A">
              <w:rPr>
                <w:spacing w:val="20"/>
                <w:kern w:val="14"/>
                <w:sz w:val="18"/>
                <w:szCs w:val="16"/>
                <w:lang w:val="en-US"/>
              </w:rPr>
              <w:t>V</w:t>
            </w:r>
          </w:p>
        </w:tc>
        <w:tc>
          <w:tcPr>
            <w:tcW w:w="553" w:type="dxa"/>
            <w:tcBorders>
              <w:top w:val="single" w:sz="4" w:space="0" w:color="auto"/>
              <w:left w:val="single" w:sz="4" w:space="0" w:color="auto"/>
              <w:bottom w:val="single" w:sz="4" w:space="0" w:color="auto"/>
              <w:right w:val="single" w:sz="4" w:space="0" w:color="auto"/>
            </w:tcBorders>
            <w:vAlign w:val="center"/>
            <w:hideMark/>
          </w:tcPr>
          <w:p w14:paraId="0D36AA69" w14:textId="77777777" w:rsidR="008948B9" w:rsidRPr="0009255A" w:rsidRDefault="008948B9" w:rsidP="008B0984">
            <w:pPr>
              <w:rPr>
                <w:spacing w:val="20"/>
                <w:kern w:val="14"/>
                <w:sz w:val="18"/>
                <w:szCs w:val="16"/>
                <w:lang w:val="en-US"/>
              </w:rPr>
            </w:pPr>
            <w:r w:rsidRPr="0009255A">
              <w:rPr>
                <w:spacing w:val="20"/>
                <w:kern w:val="14"/>
                <w:sz w:val="18"/>
                <w:szCs w:val="16"/>
                <w:lang w:val="en-US"/>
              </w:rPr>
              <w:t>VI</w:t>
            </w:r>
          </w:p>
        </w:tc>
        <w:tc>
          <w:tcPr>
            <w:tcW w:w="631" w:type="dxa"/>
            <w:tcBorders>
              <w:top w:val="single" w:sz="4" w:space="0" w:color="auto"/>
              <w:left w:val="single" w:sz="4" w:space="0" w:color="auto"/>
              <w:bottom w:val="single" w:sz="4" w:space="0" w:color="auto"/>
              <w:right w:val="single" w:sz="4" w:space="0" w:color="auto"/>
            </w:tcBorders>
            <w:vAlign w:val="center"/>
            <w:hideMark/>
          </w:tcPr>
          <w:p w14:paraId="05343479" w14:textId="77777777" w:rsidR="008948B9" w:rsidRPr="0009255A" w:rsidRDefault="008948B9" w:rsidP="008B0984">
            <w:pPr>
              <w:rPr>
                <w:spacing w:val="20"/>
                <w:kern w:val="14"/>
                <w:sz w:val="18"/>
                <w:szCs w:val="16"/>
                <w:lang w:val="en-US"/>
              </w:rPr>
            </w:pPr>
            <w:r w:rsidRPr="0009255A">
              <w:rPr>
                <w:spacing w:val="20"/>
                <w:kern w:val="14"/>
                <w:sz w:val="18"/>
                <w:szCs w:val="16"/>
                <w:lang w:val="en-US"/>
              </w:rPr>
              <w:t>VII</w:t>
            </w:r>
          </w:p>
        </w:tc>
        <w:tc>
          <w:tcPr>
            <w:tcW w:w="670" w:type="dxa"/>
            <w:tcBorders>
              <w:top w:val="single" w:sz="4" w:space="0" w:color="auto"/>
              <w:left w:val="single" w:sz="4" w:space="0" w:color="auto"/>
              <w:bottom w:val="single" w:sz="4" w:space="0" w:color="auto"/>
              <w:right w:val="single" w:sz="4" w:space="0" w:color="auto"/>
            </w:tcBorders>
            <w:vAlign w:val="center"/>
            <w:hideMark/>
          </w:tcPr>
          <w:p w14:paraId="3ECDAD85" w14:textId="77777777" w:rsidR="008948B9" w:rsidRPr="0009255A" w:rsidRDefault="008948B9" w:rsidP="008B0984">
            <w:pPr>
              <w:rPr>
                <w:spacing w:val="20"/>
                <w:kern w:val="14"/>
                <w:sz w:val="18"/>
                <w:szCs w:val="16"/>
                <w:lang w:val="en-US"/>
              </w:rPr>
            </w:pPr>
            <w:r w:rsidRPr="0009255A">
              <w:rPr>
                <w:spacing w:val="20"/>
                <w:kern w:val="14"/>
                <w:sz w:val="18"/>
                <w:szCs w:val="16"/>
                <w:lang w:val="en-US"/>
              </w:rPr>
              <w:t>VIII</w:t>
            </w:r>
          </w:p>
        </w:tc>
        <w:tc>
          <w:tcPr>
            <w:tcW w:w="609" w:type="dxa"/>
            <w:tcBorders>
              <w:top w:val="single" w:sz="4" w:space="0" w:color="auto"/>
              <w:left w:val="single" w:sz="4" w:space="0" w:color="auto"/>
              <w:bottom w:val="single" w:sz="4" w:space="0" w:color="auto"/>
              <w:right w:val="single" w:sz="4" w:space="0" w:color="auto"/>
            </w:tcBorders>
            <w:vAlign w:val="center"/>
            <w:hideMark/>
          </w:tcPr>
          <w:p w14:paraId="73869D8E" w14:textId="77777777" w:rsidR="008948B9" w:rsidRPr="0009255A" w:rsidRDefault="008948B9" w:rsidP="008B0984">
            <w:pPr>
              <w:rPr>
                <w:spacing w:val="20"/>
                <w:kern w:val="14"/>
                <w:sz w:val="18"/>
                <w:szCs w:val="16"/>
                <w:lang w:val="en-US"/>
              </w:rPr>
            </w:pPr>
            <w:r w:rsidRPr="0009255A">
              <w:rPr>
                <w:spacing w:val="20"/>
                <w:kern w:val="14"/>
                <w:sz w:val="18"/>
                <w:szCs w:val="16"/>
                <w:lang w:val="en-US"/>
              </w:rPr>
              <w:t>IX</w:t>
            </w:r>
          </w:p>
        </w:tc>
        <w:tc>
          <w:tcPr>
            <w:tcW w:w="597" w:type="dxa"/>
            <w:tcBorders>
              <w:top w:val="single" w:sz="4" w:space="0" w:color="auto"/>
              <w:left w:val="single" w:sz="4" w:space="0" w:color="auto"/>
              <w:bottom w:val="single" w:sz="4" w:space="0" w:color="auto"/>
              <w:right w:val="single" w:sz="4" w:space="0" w:color="auto"/>
            </w:tcBorders>
            <w:vAlign w:val="center"/>
            <w:hideMark/>
          </w:tcPr>
          <w:p w14:paraId="0E57536A" w14:textId="77777777" w:rsidR="008948B9" w:rsidRPr="0009255A" w:rsidRDefault="008948B9" w:rsidP="008B0984">
            <w:pPr>
              <w:rPr>
                <w:spacing w:val="20"/>
                <w:kern w:val="14"/>
                <w:sz w:val="18"/>
                <w:szCs w:val="16"/>
                <w:lang w:val="en-US"/>
              </w:rPr>
            </w:pPr>
            <w:r w:rsidRPr="0009255A">
              <w:rPr>
                <w:spacing w:val="20"/>
                <w:kern w:val="14"/>
                <w:sz w:val="18"/>
                <w:szCs w:val="16"/>
                <w:lang w:val="en-US"/>
              </w:rPr>
              <w:t>X</w:t>
            </w:r>
          </w:p>
        </w:tc>
        <w:tc>
          <w:tcPr>
            <w:tcW w:w="567" w:type="dxa"/>
            <w:tcBorders>
              <w:top w:val="single" w:sz="4" w:space="0" w:color="auto"/>
              <w:left w:val="single" w:sz="4" w:space="0" w:color="auto"/>
              <w:bottom w:val="single" w:sz="4" w:space="0" w:color="auto"/>
              <w:right w:val="single" w:sz="4" w:space="0" w:color="auto"/>
            </w:tcBorders>
            <w:vAlign w:val="center"/>
            <w:hideMark/>
          </w:tcPr>
          <w:p w14:paraId="4727C2AE" w14:textId="77777777" w:rsidR="008948B9" w:rsidRPr="0009255A" w:rsidRDefault="008948B9" w:rsidP="008B0984">
            <w:pPr>
              <w:rPr>
                <w:spacing w:val="20"/>
                <w:kern w:val="14"/>
                <w:sz w:val="18"/>
                <w:szCs w:val="16"/>
                <w:lang w:val="en-US"/>
              </w:rPr>
            </w:pPr>
            <w:r w:rsidRPr="0009255A">
              <w:rPr>
                <w:spacing w:val="20"/>
                <w:kern w:val="14"/>
                <w:sz w:val="18"/>
                <w:szCs w:val="16"/>
                <w:lang w:val="en-US"/>
              </w:rPr>
              <w:t>XI</w:t>
            </w:r>
          </w:p>
        </w:tc>
        <w:tc>
          <w:tcPr>
            <w:tcW w:w="724" w:type="dxa"/>
            <w:tcBorders>
              <w:top w:val="single" w:sz="4" w:space="0" w:color="auto"/>
              <w:left w:val="single" w:sz="4" w:space="0" w:color="auto"/>
              <w:bottom w:val="single" w:sz="4" w:space="0" w:color="auto"/>
              <w:right w:val="single" w:sz="4" w:space="0" w:color="auto"/>
            </w:tcBorders>
            <w:vAlign w:val="center"/>
            <w:hideMark/>
          </w:tcPr>
          <w:p w14:paraId="5B645763" w14:textId="77777777" w:rsidR="008948B9" w:rsidRPr="0009255A" w:rsidRDefault="008948B9" w:rsidP="008B0984">
            <w:pPr>
              <w:rPr>
                <w:spacing w:val="20"/>
                <w:kern w:val="14"/>
                <w:sz w:val="18"/>
                <w:szCs w:val="16"/>
                <w:lang w:val="en-US"/>
              </w:rPr>
            </w:pPr>
            <w:r w:rsidRPr="0009255A">
              <w:rPr>
                <w:spacing w:val="20"/>
                <w:kern w:val="14"/>
                <w:sz w:val="18"/>
                <w:szCs w:val="16"/>
                <w:lang w:val="en-US"/>
              </w:rPr>
              <w:t>XII</w:t>
            </w:r>
          </w:p>
        </w:tc>
        <w:tc>
          <w:tcPr>
            <w:tcW w:w="717" w:type="dxa"/>
            <w:vMerge/>
            <w:tcBorders>
              <w:top w:val="single" w:sz="4" w:space="0" w:color="auto"/>
              <w:left w:val="single" w:sz="4" w:space="0" w:color="auto"/>
              <w:bottom w:val="single" w:sz="4" w:space="0" w:color="auto"/>
              <w:right w:val="single" w:sz="4" w:space="0" w:color="auto"/>
            </w:tcBorders>
            <w:vAlign w:val="center"/>
            <w:hideMark/>
          </w:tcPr>
          <w:p w14:paraId="33796A6D" w14:textId="77777777" w:rsidR="008948B9" w:rsidRPr="0009255A" w:rsidRDefault="008948B9" w:rsidP="008B0984">
            <w:pPr>
              <w:rPr>
                <w:sz w:val="18"/>
                <w:lang w:val="en-US"/>
              </w:rPr>
            </w:pPr>
          </w:p>
        </w:tc>
      </w:tr>
      <w:tr w:rsidR="008948B9" w:rsidRPr="0009255A" w14:paraId="6F252BFE" w14:textId="77777777" w:rsidTr="0078141E">
        <w:trPr>
          <w:cantSplit/>
          <w:trHeight w:val="556"/>
          <w:jc w:val="center"/>
        </w:trPr>
        <w:tc>
          <w:tcPr>
            <w:tcW w:w="516" w:type="dxa"/>
            <w:tcBorders>
              <w:top w:val="single" w:sz="4" w:space="0" w:color="auto"/>
              <w:left w:val="single" w:sz="4" w:space="0" w:color="auto"/>
              <w:bottom w:val="single" w:sz="4" w:space="0" w:color="auto"/>
              <w:right w:val="single" w:sz="4" w:space="0" w:color="auto"/>
            </w:tcBorders>
            <w:vAlign w:val="center"/>
          </w:tcPr>
          <w:p w14:paraId="6A0EEC79" w14:textId="77777777" w:rsidR="008948B9" w:rsidRPr="0009255A" w:rsidRDefault="008948B9" w:rsidP="008B0984">
            <w:pPr>
              <w:rPr>
                <w:sz w:val="18"/>
                <w:szCs w:val="20"/>
                <w:lang w:val="en-US"/>
              </w:rPr>
            </w:pPr>
            <w:r w:rsidRPr="0009255A">
              <w:rPr>
                <w:sz w:val="18"/>
                <w:szCs w:val="20"/>
                <w:lang w:val="en-US"/>
              </w:rPr>
              <w:t>76</w:t>
            </w:r>
          </w:p>
        </w:tc>
        <w:tc>
          <w:tcPr>
            <w:tcW w:w="709" w:type="dxa"/>
            <w:tcBorders>
              <w:top w:val="single" w:sz="4" w:space="0" w:color="auto"/>
              <w:left w:val="single" w:sz="4" w:space="0" w:color="auto"/>
              <w:bottom w:val="single" w:sz="4" w:space="0" w:color="auto"/>
              <w:right w:val="single" w:sz="4" w:space="0" w:color="auto"/>
            </w:tcBorders>
            <w:vAlign w:val="center"/>
          </w:tcPr>
          <w:p w14:paraId="5992D731" w14:textId="77777777" w:rsidR="008948B9" w:rsidRPr="0009255A" w:rsidRDefault="008948B9" w:rsidP="008B0984">
            <w:pPr>
              <w:rPr>
                <w:sz w:val="18"/>
                <w:szCs w:val="20"/>
                <w:lang w:val="en-US"/>
              </w:rPr>
            </w:pPr>
            <w:r w:rsidRPr="0009255A">
              <w:rPr>
                <w:sz w:val="18"/>
                <w:szCs w:val="20"/>
                <w:lang w:val="en-US"/>
              </w:rPr>
              <w:t>73</w:t>
            </w:r>
          </w:p>
        </w:tc>
        <w:tc>
          <w:tcPr>
            <w:tcW w:w="567" w:type="dxa"/>
            <w:tcBorders>
              <w:top w:val="single" w:sz="4" w:space="0" w:color="auto"/>
              <w:left w:val="single" w:sz="4" w:space="0" w:color="auto"/>
              <w:bottom w:val="single" w:sz="4" w:space="0" w:color="auto"/>
              <w:right w:val="single" w:sz="4" w:space="0" w:color="auto"/>
            </w:tcBorders>
            <w:vAlign w:val="center"/>
          </w:tcPr>
          <w:p w14:paraId="71564897" w14:textId="77777777" w:rsidR="008948B9" w:rsidRPr="0009255A" w:rsidRDefault="008948B9" w:rsidP="008B0984">
            <w:pPr>
              <w:rPr>
                <w:sz w:val="18"/>
                <w:szCs w:val="20"/>
                <w:lang w:val="en-US"/>
              </w:rPr>
            </w:pPr>
            <w:r w:rsidRPr="0009255A">
              <w:rPr>
                <w:sz w:val="18"/>
                <w:szCs w:val="20"/>
                <w:lang w:val="en-US"/>
              </w:rPr>
              <w:t>72</w:t>
            </w:r>
          </w:p>
        </w:tc>
        <w:tc>
          <w:tcPr>
            <w:tcW w:w="567" w:type="dxa"/>
            <w:tcBorders>
              <w:top w:val="single" w:sz="4" w:space="0" w:color="auto"/>
              <w:left w:val="single" w:sz="4" w:space="0" w:color="auto"/>
              <w:bottom w:val="single" w:sz="4" w:space="0" w:color="auto"/>
              <w:right w:val="single" w:sz="4" w:space="0" w:color="auto"/>
            </w:tcBorders>
            <w:vAlign w:val="center"/>
          </w:tcPr>
          <w:p w14:paraId="162BC83D" w14:textId="77777777" w:rsidR="008948B9" w:rsidRPr="0009255A" w:rsidRDefault="008948B9" w:rsidP="008B0984">
            <w:pPr>
              <w:rPr>
                <w:sz w:val="18"/>
                <w:szCs w:val="20"/>
                <w:lang w:val="en-US"/>
              </w:rPr>
            </w:pPr>
            <w:r w:rsidRPr="0009255A">
              <w:rPr>
                <w:sz w:val="18"/>
                <w:szCs w:val="20"/>
                <w:lang w:val="en-US"/>
              </w:rPr>
              <w:t>72</w:t>
            </w:r>
          </w:p>
        </w:tc>
        <w:tc>
          <w:tcPr>
            <w:tcW w:w="527" w:type="dxa"/>
            <w:tcBorders>
              <w:top w:val="single" w:sz="4" w:space="0" w:color="auto"/>
              <w:left w:val="single" w:sz="4" w:space="0" w:color="auto"/>
              <w:bottom w:val="single" w:sz="4" w:space="0" w:color="auto"/>
              <w:right w:val="single" w:sz="4" w:space="0" w:color="auto"/>
            </w:tcBorders>
            <w:vAlign w:val="center"/>
          </w:tcPr>
          <w:p w14:paraId="28AD778C" w14:textId="77777777" w:rsidR="008948B9" w:rsidRPr="0009255A" w:rsidRDefault="008948B9" w:rsidP="008B0984">
            <w:pPr>
              <w:rPr>
                <w:sz w:val="18"/>
                <w:szCs w:val="20"/>
                <w:lang w:val="en-US"/>
              </w:rPr>
            </w:pPr>
            <w:r w:rsidRPr="0009255A">
              <w:rPr>
                <w:sz w:val="18"/>
                <w:szCs w:val="20"/>
                <w:lang w:val="en-US"/>
              </w:rPr>
              <w:t>72</w:t>
            </w:r>
          </w:p>
        </w:tc>
        <w:tc>
          <w:tcPr>
            <w:tcW w:w="553" w:type="dxa"/>
            <w:tcBorders>
              <w:top w:val="single" w:sz="4" w:space="0" w:color="auto"/>
              <w:left w:val="single" w:sz="4" w:space="0" w:color="auto"/>
              <w:bottom w:val="single" w:sz="4" w:space="0" w:color="auto"/>
              <w:right w:val="single" w:sz="4" w:space="0" w:color="auto"/>
            </w:tcBorders>
            <w:vAlign w:val="center"/>
          </w:tcPr>
          <w:p w14:paraId="21CFEFDB" w14:textId="77777777" w:rsidR="008948B9" w:rsidRPr="0009255A" w:rsidRDefault="008948B9" w:rsidP="008B0984">
            <w:pPr>
              <w:rPr>
                <w:sz w:val="18"/>
                <w:szCs w:val="20"/>
                <w:lang w:val="en-US"/>
              </w:rPr>
            </w:pPr>
            <w:r w:rsidRPr="0009255A">
              <w:rPr>
                <w:sz w:val="18"/>
                <w:szCs w:val="20"/>
                <w:lang w:val="en-US"/>
              </w:rPr>
              <w:t>68</w:t>
            </w:r>
          </w:p>
        </w:tc>
        <w:tc>
          <w:tcPr>
            <w:tcW w:w="631" w:type="dxa"/>
            <w:tcBorders>
              <w:top w:val="single" w:sz="4" w:space="0" w:color="auto"/>
              <w:left w:val="single" w:sz="4" w:space="0" w:color="auto"/>
              <w:bottom w:val="single" w:sz="4" w:space="0" w:color="auto"/>
              <w:right w:val="single" w:sz="4" w:space="0" w:color="auto"/>
            </w:tcBorders>
            <w:vAlign w:val="center"/>
          </w:tcPr>
          <w:p w14:paraId="41316EAA" w14:textId="77777777" w:rsidR="008948B9" w:rsidRPr="0009255A" w:rsidRDefault="008948B9" w:rsidP="008B0984">
            <w:pPr>
              <w:rPr>
                <w:sz w:val="18"/>
                <w:szCs w:val="20"/>
                <w:lang w:val="en-US"/>
              </w:rPr>
            </w:pPr>
            <w:r w:rsidRPr="0009255A">
              <w:rPr>
                <w:sz w:val="18"/>
                <w:szCs w:val="20"/>
                <w:lang w:val="en-US"/>
              </w:rPr>
              <w:t>65</w:t>
            </w:r>
          </w:p>
        </w:tc>
        <w:tc>
          <w:tcPr>
            <w:tcW w:w="670" w:type="dxa"/>
            <w:tcBorders>
              <w:top w:val="single" w:sz="4" w:space="0" w:color="auto"/>
              <w:left w:val="single" w:sz="4" w:space="0" w:color="auto"/>
              <w:bottom w:val="single" w:sz="4" w:space="0" w:color="auto"/>
              <w:right w:val="single" w:sz="4" w:space="0" w:color="auto"/>
            </w:tcBorders>
            <w:vAlign w:val="center"/>
          </w:tcPr>
          <w:p w14:paraId="206F3BE3" w14:textId="77777777" w:rsidR="008948B9" w:rsidRPr="0009255A" w:rsidRDefault="008948B9" w:rsidP="008B0984">
            <w:pPr>
              <w:rPr>
                <w:sz w:val="18"/>
                <w:szCs w:val="20"/>
                <w:lang w:val="en-US"/>
              </w:rPr>
            </w:pPr>
            <w:r w:rsidRPr="0009255A">
              <w:rPr>
                <w:sz w:val="18"/>
                <w:szCs w:val="20"/>
                <w:lang w:val="en-US"/>
              </w:rPr>
              <w:t>64</w:t>
            </w:r>
          </w:p>
        </w:tc>
        <w:tc>
          <w:tcPr>
            <w:tcW w:w="609" w:type="dxa"/>
            <w:tcBorders>
              <w:top w:val="single" w:sz="4" w:space="0" w:color="auto"/>
              <w:left w:val="single" w:sz="4" w:space="0" w:color="auto"/>
              <w:bottom w:val="single" w:sz="4" w:space="0" w:color="auto"/>
              <w:right w:val="single" w:sz="4" w:space="0" w:color="auto"/>
            </w:tcBorders>
            <w:vAlign w:val="center"/>
          </w:tcPr>
          <w:p w14:paraId="66593BEB" w14:textId="77777777" w:rsidR="008948B9" w:rsidRPr="0009255A" w:rsidRDefault="008948B9" w:rsidP="008B0984">
            <w:pPr>
              <w:rPr>
                <w:sz w:val="18"/>
                <w:szCs w:val="20"/>
                <w:lang w:val="en-US"/>
              </w:rPr>
            </w:pPr>
            <w:r w:rsidRPr="0009255A">
              <w:rPr>
                <w:sz w:val="18"/>
                <w:szCs w:val="20"/>
                <w:lang w:val="en-US"/>
              </w:rPr>
              <w:t>72</w:t>
            </w:r>
          </w:p>
        </w:tc>
        <w:tc>
          <w:tcPr>
            <w:tcW w:w="597" w:type="dxa"/>
            <w:tcBorders>
              <w:top w:val="single" w:sz="4" w:space="0" w:color="auto"/>
              <w:left w:val="single" w:sz="4" w:space="0" w:color="auto"/>
              <w:bottom w:val="single" w:sz="4" w:space="0" w:color="auto"/>
              <w:right w:val="single" w:sz="4" w:space="0" w:color="auto"/>
            </w:tcBorders>
            <w:vAlign w:val="center"/>
          </w:tcPr>
          <w:p w14:paraId="085C9904" w14:textId="77777777" w:rsidR="008948B9" w:rsidRPr="0009255A" w:rsidRDefault="008948B9" w:rsidP="008B0984">
            <w:pPr>
              <w:rPr>
                <w:sz w:val="18"/>
                <w:szCs w:val="20"/>
                <w:lang w:val="en-US"/>
              </w:rPr>
            </w:pPr>
            <w:r w:rsidRPr="0009255A">
              <w:rPr>
                <w:sz w:val="18"/>
                <w:szCs w:val="20"/>
                <w:lang w:val="en-US"/>
              </w:rPr>
              <w:t>78</w:t>
            </w:r>
          </w:p>
        </w:tc>
        <w:tc>
          <w:tcPr>
            <w:tcW w:w="567" w:type="dxa"/>
            <w:tcBorders>
              <w:top w:val="single" w:sz="4" w:space="0" w:color="auto"/>
              <w:left w:val="single" w:sz="4" w:space="0" w:color="auto"/>
              <w:bottom w:val="single" w:sz="4" w:space="0" w:color="auto"/>
              <w:right w:val="single" w:sz="4" w:space="0" w:color="auto"/>
            </w:tcBorders>
            <w:vAlign w:val="center"/>
          </w:tcPr>
          <w:p w14:paraId="6366DE7B" w14:textId="77777777" w:rsidR="008948B9" w:rsidRPr="0009255A" w:rsidRDefault="008948B9" w:rsidP="008B0984">
            <w:pPr>
              <w:rPr>
                <w:sz w:val="18"/>
                <w:szCs w:val="20"/>
                <w:lang w:val="en-US"/>
              </w:rPr>
            </w:pPr>
            <w:r w:rsidRPr="0009255A">
              <w:rPr>
                <w:sz w:val="18"/>
                <w:szCs w:val="20"/>
                <w:lang w:val="en-US"/>
              </w:rPr>
              <w:t>80</w:t>
            </w:r>
          </w:p>
        </w:tc>
        <w:tc>
          <w:tcPr>
            <w:tcW w:w="724" w:type="dxa"/>
            <w:tcBorders>
              <w:top w:val="single" w:sz="4" w:space="0" w:color="auto"/>
              <w:left w:val="single" w:sz="4" w:space="0" w:color="auto"/>
              <w:bottom w:val="single" w:sz="4" w:space="0" w:color="auto"/>
              <w:right w:val="single" w:sz="4" w:space="0" w:color="auto"/>
            </w:tcBorders>
            <w:vAlign w:val="center"/>
          </w:tcPr>
          <w:p w14:paraId="7C71FF14" w14:textId="77777777" w:rsidR="008948B9" w:rsidRPr="0009255A" w:rsidRDefault="008948B9" w:rsidP="008B0984">
            <w:pPr>
              <w:rPr>
                <w:spacing w:val="-10"/>
                <w:sz w:val="18"/>
                <w:szCs w:val="20"/>
                <w:lang w:val="en-US"/>
              </w:rPr>
            </w:pPr>
            <w:r w:rsidRPr="0009255A">
              <w:rPr>
                <w:spacing w:val="-10"/>
                <w:sz w:val="18"/>
                <w:szCs w:val="20"/>
                <w:lang w:val="en-US"/>
              </w:rPr>
              <w:t>78</w:t>
            </w:r>
          </w:p>
        </w:tc>
        <w:tc>
          <w:tcPr>
            <w:tcW w:w="717" w:type="dxa"/>
            <w:tcBorders>
              <w:top w:val="single" w:sz="4" w:space="0" w:color="auto"/>
              <w:left w:val="single" w:sz="4" w:space="0" w:color="auto"/>
              <w:bottom w:val="single" w:sz="4" w:space="0" w:color="auto"/>
              <w:right w:val="single" w:sz="4" w:space="0" w:color="auto"/>
            </w:tcBorders>
            <w:vAlign w:val="center"/>
          </w:tcPr>
          <w:p w14:paraId="3C539FC5" w14:textId="77777777" w:rsidR="008948B9" w:rsidRPr="0009255A" w:rsidRDefault="008948B9" w:rsidP="008B0984">
            <w:pPr>
              <w:rPr>
                <w:spacing w:val="-10"/>
                <w:sz w:val="18"/>
                <w:lang w:val="en-US"/>
              </w:rPr>
            </w:pPr>
            <w:r w:rsidRPr="0009255A">
              <w:rPr>
                <w:spacing w:val="-10"/>
                <w:sz w:val="18"/>
                <w:lang w:val="en-US"/>
              </w:rPr>
              <w:t>72</w:t>
            </w:r>
          </w:p>
        </w:tc>
      </w:tr>
    </w:tbl>
    <w:p w14:paraId="0015B0E7" w14:textId="77777777" w:rsidR="008948B9" w:rsidRPr="0071625B" w:rsidRDefault="008948B9" w:rsidP="008B0984">
      <w:pPr>
        <w:rPr>
          <w:rFonts w:ascii="AcadNusx" w:hAnsi="AcadNusx"/>
          <w:lang w:val="en-US"/>
        </w:rPr>
      </w:pPr>
    </w:p>
    <w:p w14:paraId="5B304AAF" w14:textId="77777777" w:rsidR="005718CD" w:rsidRPr="005718CD" w:rsidRDefault="005718CD" w:rsidP="00821E4D">
      <w:pPr>
        <w:pStyle w:val="ListParagraph"/>
        <w:numPr>
          <w:ilvl w:val="0"/>
          <w:numId w:val="27"/>
        </w:numPr>
        <w:spacing w:line="240" w:lineRule="auto"/>
        <w:rPr>
          <w:rFonts w:ascii="AcadNusx" w:hAnsi="AcadNusx"/>
        </w:rPr>
      </w:pPr>
      <w:r w:rsidRPr="005718CD">
        <w:rPr>
          <w:rFonts w:cs="Sylfaen"/>
        </w:rPr>
        <w:t>ატმოსფერული</w:t>
      </w:r>
      <w:r w:rsidRPr="005718CD">
        <w:rPr>
          <w:rFonts w:ascii="AcadNusx" w:hAnsi="AcadNusx"/>
        </w:rPr>
        <w:t xml:space="preserve"> </w:t>
      </w:r>
      <w:r w:rsidRPr="005718CD">
        <w:rPr>
          <w:rFonts w:cs="Sylfaen"/>
        </w:rPr>
        <w:t>ნალექების</w:t>
      </w:r>
      <w:r w:rsidRPr="005718CD">
        <w:rPr>
          <w:rFonts w:ascii="AcadNusx" w:hAnsi="AcadNusx"/>
        </w:rPr>
        <w:t xml:space="preserve"> </w:t>
      </w:r>
      <w:r w:rsidRPr="005718CD">
        <w:rPr>
          <w:rFonts w:cs="Sylfaen"/>
        </w:rPr>
        <w:t>რაოდენობა</w:t>
      </w:r>
      <w:r w:rsidRPr="005718CD">
        <w:rPr>
          <w:rFonts w:ascii="AcadNusx" w:hAnsi="AcadNusx"/>
        </w:rPr>
        <w:t xml:space="preserve"> </w:t>
      </w:r>
      <w:r w:rsidRPr="005718CD">
        <w:rPr>
          <w:rFonts w:cs="Sylfaen"/>
        </w:rPr>
        <w:t>წელიწადში</w:t>
      </w:r>
      <w:r w:rsidRPr="005718CD">
        <w:rPr>
          <w:rFonts w:ascii="AcadNusx" w:hAnsi="AcadNusx"/>
        </w:rPr>
        <w:t xml:space="preserve"> </w:t>
      </w:r>
      <w:r w:rsidRPr="005718CD">
        <w:rPr>
          <w:rFonts w:cs="Sylfaen"/>
        </w:rPr>
        <w:t>შეადგენს</w:t>
      </w:r>
      <w:r w:rsidRPr="005718CD">
        <w:rPr>
          <w:rFonts w:ascii="AcadNusx" w:hAnsi="AcadNusx"/>
        </w:rPr>
        <w:t xml:space="preserve"> </w:t>
      </w:r>
      <w:r w:rsidRPr="005718CD">
        <w:rPr>
          <w:rFonts w:ascii="AcadNusx" w:hAnsi="AcadNusx" w:cs="AcadNusx"/>
        </w:rPr>
        <w:t>–</w:t>
      </w:r>
      <w:r w:rsidRPr="005718CD">
        <w:rPr>
          <w:rFonts w:ascii="AcadNusx" w:hAnsi="AcadNusx"/>
        </w:rPr>
        <w:t xml:space="preserve"> 802</w:t>
      </w:r>
      <w:r w:rsidRPr="005718CD">
        <w:rPr>
          <w:rFonts w:cs="Sylfaen"/>
        </w:rPr>
        <w:t>მმ</w:t>
      </w:r>
      <w:r w:rsidRPr="005718CD">
        <w:rPr>
          <w:rFonts w:ascii="AcadNusx" w:hAnsi="AcadNusx"/>
        </w:rPr>
        <w:t>;</w:t>
      </w:r>
    </w:p>
    <w:p w14:paraId="66AE0154" w14:textId="77777777" w:rsidR="005718CD" w:rsidRPr="005718CD" w:rsidRDefault="005718CD" w:rsidP="00821E4D">
      <w:pPr>
        <w:pStyle w:val="ListParagraph"/>
        <w:numPr>
          <w:ilvl w:val="0"/>
          <w:numId w:val="27"/>
        </w:numPr>
        <w:spacing w:line="240" w:lineRule="auto"/>
        <w:rPr>
          <w:rFonts w:ascii="AcadNusx" w:hAnsi="AcadNusx"/>
        </w:rPr>
      </w:pPr>
      <w:r w:rsidRPr="005718CD">
        <w:rPr>
          <w:rFonts w:cs="Sylfaen"/>
        </w:rPr>
        <w:t>ნალექების</w:t>
      </w:r>
      <w:r w:rsidRPr="005718CD">
        <w:rPr>
          <w:rFonts w:ascii="AcadNusx" w:hAnsi="AcadNusx"/>
        </w:rPr>
        <w:t xml:space="preserve"> </w:t>
      </w:r>
      <w:r w:rsidRPr="005718CD">
        <w:rPr>
          <w:rFonts w:cs="Sylfaen"/>
        </w:rPr>
        <w:t>დღეღამური</w:t>
      </w:r>
      <w:r w:rsidRPr="005718CD">
        <w:rPr>
          <w:rFonts w:ascii="AcadNusx" w:hAnsi="AcadNusx"/>
        </w:rPr>
        <w:t xml:space="preserve"> </w:t>
      </w:r>
      <w:r w:rsidRPr="005718CD">
        <w:rPr>
          <w:rFonts w:cs="Sylfaen"/>
        </w:rPr>
        <w:t>მაქსიმუმი</w:t>
      </w:r>
      <w:r w:rsidRPr="005718CD">
        <w:rPr>
          <w:rFonts w:ascii="AcadNusx" w:hAnsi="AcadNusx"/>
        </w:rPr>
        <w:t xml:space="preserve"> </w:t>
      </w:r>
      <w:r w:rsidRPr="005718CD">
        <w:rPr>
          <w:rFonts w:ascii="AcadNusx" w:hAnsi="AcadNusx" w:cs="AcadNusx"/>
        </w:rPr>
        <w:t>–</w:t>
      </w:r>
      <w:r w:rsidRPr="005718CD">
        <w:rPr>
          <w:rFonts w:ascii="AcadNusx" w:hAnsi="AcadNusx"/>
        </w:rPr>
        <w:t xml:space="preserve"> 84</w:t>
      </w:r>
      <w:r w:rsidRPr="005718CD">
        <w:rPr>
          <w:rFonts w:cs="Sylfaen"/>
        </w:rPr>
        <w:t>მმ</w:t>
      </w:r>
      <w:r w:rsidRPr="005718CD">
        <w:rPr>
          <w:rFonts w:ascii="AcadNusx" w:hAnsi="AcadNusx"/>
        </w:rPr>
        <w:t>;</w:t>
      </w:r>
    </w:p>
    <w:p w14:paraId="3C75CE41" w14:textId="77777777" w:rsidR="005718CD" w:rsidRPr="005718CD" w:rsidRDefault="005718CD" w:rsidP="00821E4D">
      <w:pPr>
        <w:pStyle w:val="ListParagraph"/>
        <w:numPr>
          <w:ilvl w:val="0"/>
          <w:numId w:val="27"/>
        </w:numPr>
        <w:spacing w:line="240" w:lineRule="auto"/>
        <w:rPr>
          <w:rFonts w:ascii="AcadNusx" w:hAnsi="AcadNusx"/>
        </w:rPr>
      </w:pPr>
      <w:r w:rsidRPr="005718CD">
        <w:rPr>
          <w:rFonts w:cs="Sylfaen"/>
        </w:rPr>
        <w:t>თოვლის</w:t>
      </w:r>
      <w:r w:rsidRPr="005718CD">
        <w:rPr>
          <w:rFonts w:ascii="AcadNusx" w:hAnsi="AcadNusx"/>
        </w:rPr>
        <w:t xml:space="preserve"> </w:t>
      </w:r>
      <w:r w:rsidRPr="005718CD">
        <w:rPr>
          <w:rFonts w:cs="Sylfaen"/>
        </w:rPr>
        <w:t>საფარის</w:t>
      </w:r>
      <w:r w:rsidRPr="005718CD">
        <w:rPr>
          <w:rFonts w:ascii="AcadNusx" w:hAnsi="AcadNusx"/>
        </w:rPr>
        <w:t xml:space="preserve"> </w:t>
      </w:r>
      <w:r w:rsidRPr="005718CD">
        <w:rPr>
          <w:rFonts w:cs="Sylfaen"/>
        </w:rPr>
        <w:t>წონა</w:t>
      </w:r>
      <w:r w:rsidRPr="005718CD">
        <w:rPr>
          <w:rFonts w:ascii="AcadNusx" w:hAnsi="AcadNusx"/>
        </w:rPr>
        <w:t xml:space="preserve"> </w:t>
      </w:r>
      <w:r w:rsidRPr="005718CD">
        <w:rPr>
          <w:rFonts w:ascii="AcadNusx" w:hAnsi="AcadNusx" w:cs="AcadNusx"/>
        </w:rPr>
        <w:t>–</w:t>
      </w:r>
      <w:r w:rsidRPr="005718CD">
        <w:rPr>
          <w:rFonts w:ascii="AcadNusx" w:hAnsi="AcadNusx"/>
        </w:rPr>
        <w:t xml:space="preserve"> 0.50</w:t>
      </w:r>
      <w:r w:rsidRPr="005718CD">
        <w:rPr>
          <w:rFonts w:cs="Sylfaen"/>
        </w:rPr>
        <w:t>კპა</w:t>
      </w:r>
      <w:r w:rsidRPr="005718CD">
        <w:rPr>
          <w:rFonts w:ascii="AcadNusx" w:hAnsi="AcadNusx"/>
        </w:rPr>
        <w:t>;</w:t>
      </w:r>
    </w:p>
    <w:p w14:paraId="0E766C2F" w14:textId="77777777" w:rsidR="005718CD" w:rsidRPr="005718CD" w:rsidRDefault="005718CD" w:rsidP="00821E4D">
      <w:pPr>
        <w:pStyle w:val="ListParagraph"/>
        <w:numPr>
          <w:ilvl w:val="0"/>
          <w:numId w:val="27"/>
        </w:numPr>
        <w:spacing w:line="240" w:lineRule="auto"/>
        <w:rPr>
          <w:rFonts w:ascii="AcadNusx" w:hAnsi="AcadNusx"/>
        </w:rPr>
      </w:pPr>
      <w:r w:rsidRPr="005718CD">
        <w:rPr>
          <w:rFonts w:cs="Sylfaen"/>
        </w:rPr>
        <w:t>თოვლის</w:t>
      </w:r>
      <w:r w:rsidRPr="005718CD">
        <w:rPr>
          <w:rFonts w:ascii="AcadNusx" w:hAnsi="AcadNusx"/>
        </w:rPr>
        <w:t xml:space="preserve"> </w:t>
      </w:r>
      <w:r w:rsidRPr="005718CD">
        <w:rPr>
          <w:rFonts w:cs="Sylfaen"/>
        </w:rPr>
        <w:t>საფარის</w:t>
      </w:r>
      <w:r w:rsidRPr="005718CD">
        <w:rPr>
          <w:rFonts w:ascii="AcadNusx" w:hAnsi="AcadNusx"/>
        </w:rPr>
        <w:t xml:space="preserve"> </w:t>
      </w:r>
      <w:r w:rsidRPr="005718CD">
        <w:rPr>
          <w:rFonts w:cs="Sylfaen"/>
        </w:rPr>
        <w:t>დღეთა</w:t>
      </w:r>
      <w:r w:rsidRPr="005718CD">
        <w:rPr>
          <w:rFonts w:ascii="AcadNusx" w:hAnsi="AcadNusx"/>
        </w:rPr>
        <w:t xml:space="preserve"> </w:t>
      </w:r>
      <w:r w:rsidRPr="005718CD">
        <w:rPr>
          <w:rFonts w:cs="Sylfaen"/>
        </w:rPr>
        <w:t>რიცხვი</w:t>
      </w:r>
      <w:r w:rsidRPr="005718CD">
        <w:rPr>
          <w:rFonts w:ascii="AcadNusx" w:hAnsi="AcadNusx"/>
        </w:rPr>
        <w:t xml:space="preserve"> </w:t>
      </w:r>
      <w:r w:rsidRPr="005718CD">
        <w:rPr>
          <w:rFonts w:ascii="AcadNusx" w:hAnsi="AcadNusx" w:cs="AcadNusx"/>
        </w:rPr>
        <w:t>–</w:t>
      </w:r>
      <w:r w:rsidRPr="005718CD">
        <w:rPr>
          <w:rFonts w:ascii="AcadNusx" w:hAnsi="AcadNusx"/>
        </w:rPr>
        <w:t xml:space="preserve"> 25;</w:t>
      </w:r>
    </w:p>
    <w:p w14:paraId="7020EF02" w14:textId="77777777" w:rsidR="005718CD" w:rsidRPr="005718CD" w:rsidRDefault="005718CD" w:rsidP="005718CD">
      <w:pPr>
        <w:rPr>
          <w:rFonts w:ascii="AcadNusx" w:hAnsi="AcadNusx"/>
          <w:lang w:val="en-US"/>
        </w:rPr>
      </w:pPr>
      <w:r w:rsidRPr="005718CD">
        <w:rPr>
          <w:rFonts w:ascii="Sylfaen" w:hAnsi="Sylfaen" w:cs="Sylfaen"/>
          <w:lang w:val="en-US"/>
        </w:rPr>
        <w:t>ქარის</w:t>
      </w:r>
      <w:r w:rsidRPr="005718CD">
        <w:rPr>
          <w:rFonts w:ascii="AcadNusx" w:hAnsi="AcadNusx"/>
          <w:lang w:val="en-US"/>
        </w:rPr>
        <w:t xml:space="preserve"> </w:t>
      </w:r>
      <w:r w:rsidRPr="005718CD">
        <w:rPr>
          <w:rFonts w:ascii="Sylfaen" w:hAnsi="Sylfaen" w:cs="Sylfaen"/>
          <w:lang w:val="en-US"/>
        </w:rPr>
        <w:t>წნევის</w:t>
      </w:r>
      <w:r w:rsidRPr="005718CD">
        <w:rPr>
          <w:rFonts w:ascii="AcadNusx" w:hAnsi="AcadNusx"/>
          <w:lang w:val="en-US"/>
        </w:rPr>
        <w:t xml:space="preserve"> </w:t>
      </w:r>
      <w:r w:rsidRPr="005718CD">
        <w:rPr>
          <w:rFonts w:ascii="Sylfaen" w:hAnsi="Sylfaen" w:cs="Sylfaen"/>
          <w:lang w:val="en-US"/>
        </w:rPr>
        <w:t>ნორმატიული</w:t>
      </w:r>
      <w:r w:rsidRPr="005718CD">
        <w:rPr>
          <w:rFonts w:ascii="AcadNusx" w:hAnsi="AcadNusx"/>
          <w:lang w:val="en-US"/>
        </w:rPr>
        <w:t xml:space="preserve"> </w:t>
      </w:r>
      <w:r w:rsidRPr="005718CD">
        <w:rPr>
          <w:rFonts w:ascii="Sylfaen" w:hAnsi="Sylfaen" w:cs="Sylfaen"/>
          <w:lang w:val="en-US"/>
        </w:rPr>
        <w:t>მნიშვნელობა</w:t>
      </w:r>
      <w:r w:rsidRPr="005718CD">
        <w:rPr>
          <w:rFonts w:ascii="AcadNusx" w:hAnsi="AcadNusx"/>
          <w:lang w:val="en-US"/>
        </w:rPr>
        <w:t xml:space="preserve"> </w:t>
      </w:r>
      <w:r w:rsidRPr="005718CD">
        <w:rPr>
          <w:rFonts w:ascii="Sylfaen" w:hAnsi="Sylfaen" w:cs="Sylfaen"/>
          <w:lang w:val="en-US"/>
        </w:rPr>
        <w:t>წ</w:t>
      </w:r>
      <w:r w:rsidRPr="005718CD">
        <w:rPr>
          <w:rFonts w:ascii="AcadNusx" w:hAnsi="AcadNusx"/>
          <w:lang w:val="en-US"/>
        </w:rPr>
        <w:t xml:space="preserve"> 5 </w:t>
      </w:r>
      <w:r w:rsidRPr="005718CD">
        <w:rPr>
          <w:rFonts w:ascii="Sylfaen" w:hAnsi="Sylfaen" w:cs="Sylfaen"/>
          <w:lang w:val="en-US"/>
        </w:rPr>
        <w:t>წელიწადში</w:t>
      </w:r>
      <w:r w:rsidRPr="005718CD">
        <w:rPr>
          <w:rFonts w:ascii="AcadNusx" w:hAnsi="AcadNusx"/>
          <w:lang w:val="en-US"/>
        </w:rPr>
        <w:t xml:space="preserve"> </w:t>
      </w:r>
      <w:r w:rsidRPr="005718CD">
        <w:rPr>
          <w:rFonts w:ascii="Sylfaen" w:hAnsi="Sylfaen" w:cs="Sylfaen"/>
          <w:lang w:val="en-US"/>
        </w:rPr>
        <w:t>ერთხელ</w:t>
      </w:r>
      <w:r w:rsidRPr="005718CD">
        <w:rPr>
          <w:rFonts w:ascii="AcadNusx" w:hAnsi="AcadNusx"/>
          <w:lang w:val="en-US"/>
        </w:rPr>
        <w:t xml:space="preserve"> 0.23</w:t>
      </w:r>
      <w:r w:rsidRPr="005718CD">
        <w:rPr>
          <w:rFonts w:ascii="Sylfaen" w:hAnsi="Sylfaen" w:cs="Sylfaen"/>
          <w:lang w:val="en-US"/>
        </w:rPr>
        <w:t>კპა</w:t>
      </w:r>
      <w:r w:rsidRPr="005718CD">
        <w:rPr>
          <w:rFonts w:ascii="AcadNusx" w:hAnsi="AcadNusx"/>
          <w:lang w:val="en-US"/>
        </w:rPr>
        <w:t>;</w:t>
      </w:r>
    </w:p>
    <w:p w14:paraId="3A7E18D0" w14:textId="77777777" w:rsidR="005718CD" w:rsidRPr="005718CD" w:rsidRDefault="005718CD" w:rsidP="005718CD">
      <w:pPr>
        <w:rPr>
          <w:rFonts w:ascii="AcadNusx" w:hAnsi="AcadNusx"/>
          <w:lang w:val="en-US"/>
        </w:rPr>
      </w:pPr>
      <w:r w:rsidRPr="005718CD">
        <w:rPr>
          <w:rFonts w:ascii="Sylfaen" w:hAnsi="Sylfaen" w:cs="Sylfaen"/>
          <w:lang w:val="en-US"/>
        </w:rPr>
        <w:t>ქარის</w:t>
      </w:r>
      <w:r w:rsidRPr="005718CD">
        <w:rPr>
          <w:rFonts w:ascii="AcadNusx" w:hAnsi="AcadNusx"/>
          <w:lang w:val="en-US"/>
        </w:rPr>
        <w:t xml:space="preserve"> </w:t>
      </w:r>
      <w:r w:rsidRPr="005718CD">
        <w:rPr>
          <w:rFonts w:ascii="Sylfaen" w:hAnsi="Sylfaen" w:cs="Sylfaen"/>
          <w:lang w:val="en-US"/>
        </w:rPr>
        <w:t>წნევის</w:t>
      </w:r>
      <w:r w:rsidRPr="005718CD">
        <w:rPr>
          <w:rFonts w:ascii="AcadNusx" w:hAnsi="AcadNusx"/>
          <w:lang w:val="en-US"/>
        </w:rPr>
        <w:t xml:space="preserve"> </w:t>
      </w:r>
      <w:r w:rsidRPr="005718CD">
        <w:rPr>
          <w:rFonts w:ascii="Sylfaen" w:hAnsi="Sylfaen" w:cs="Sylfaen"/>
          <w:lang w:val="en-US"/>
        </w:rPr>
        <w:t>ნორმატიული</w:t>
      </w:r>
      <w:r w:rsidRPr="005718CD">
        <w:rPr>
          <w:rFonts w:ascii="AcadNusx" w:hAnsi="AcadNusx"/>
          <w:lang w:val="en-US"/>
        </w:rPr>
        <w:t xml:space="preserve"> </w:t>
      </w:r>
      <w:r w:rsidRPr="005718CD">
        <w:rPr>
          <w:rFonts w:ascii="Sylfaen" w:hAnsi="Sylfaen" w:cs="Sylfaen"/>
          <w:lang w:val="en-US"/>
        </w:rPr>
        <w:t>მნიშვნელობა</w:t>
      </w:r>
      <w:r w:rsidRPr="005718CD">
        <w:rPr>
          <w:rFonts w:ascii="AcadNusx" w:hAnsi="AcadNusx"/>
          <w:lang w:val="en-US"/>
        </w:rPr>
        <w:t xml:space="preserve"> </w:t>
      </w:r>
      <w:r w:rsidRPr="005718CD">
        <w:rPr>
          <w:rFonts w:ascii="Sylfaen" w:hAnsi="Sylfaen" w:cs="Sylfaen"/>
          <w:lang w:val="en-US"/>
        </w:rPr>
        <w:t>წ</w:t>
      </w:r>
      <w:r w:rsidRPr="005718CD">
        <w:rPr>
          <w:rFonts w:ascii="AcadNusx" w:hAnsi="AcadNusx"/>
          <w:lang w:val="en-US"/>
        </w:rPr>
        <w:t xml:space="preserve"> 15 </w:t>
      </w:r>
      <w:r w:rsidRPr="005718CD">
        <w:rPr>
          <w:rFonts w:ascii="Sylfaen" w:hAnsi="Sylfaen" w:cs="Sylfaen"/>
          <w:lang w:val="en-US"/>
        </w:rPr>
        <w:t>წელიწადში</w:t>
      </w:r>
      <w:r w:rsidRPr="005718CD">
        <w:rPr>
          <w:rFonts w:ascii="AcadNusx" w:hAnsi="AcadNusx"/>
          <w:lang w:val="en-US"/>
        </w:rPr>
        <w:t xml:space="preserve"> </w:t>
      </w:r>
      <w:r w:rsidRPr="005718CD">
        <w:rPr>
          <w:rFonts w:ascii="Sylfaen" w:hAnsi="Sylfaen" w:cs="Sylfaen"/>
          <w:lang w:val="en-US"/>
        </w:rPr>
        <w:t>ერთხელ</w:t>
      </w:r>
      <w:r w:rsidRPr="005718CD">
        <w:rPr>
          <w:rFonts w:ascii="AcadNusx" w:hAnsi="AcadNusx"/>
          <w:lang w:val="en-US"/>
        </w:rPr>
        <w:t xml:space="preserve"> 0.30</w:t>
      </w:r>
      <w:r w:rsidRPr="005718CD">
        <w:rPr>
          <w:rFonts w:ascii="Sylfaen" w:hAnsi="Sylfaen" w:cs="Sylfaen"/>
          <w:lang w:val="en-US"/>
        </w:rPr>
        <w:t>კპა</w:t>
      </w:r>
      <w:r w:rsidRPr="005718CD">
        <w:rPr>
          <w:rFonts w:ascii="AcadNusx" w:hAnsi="AcadNusx"/>
          <w:lang w:val="en-US"/>
        </w:rPr>
        <w:t>;</w:t>
      </w:r>
    </w:p>
    <w:p w14:paraId="128AAB6C" w14:textId="77777777" w:rsidR="005718CD" w:rsidRPr="005718CD" w:rsidRDefault="005718CD" w:rsidP="005718CD">
      <w:pPr>
        <w:rPr>
          <w:rFonts w:ascii="AcadNusx" w:hAnsi="AcadNusx"/>
          <w:lang w:val="en-US"/>
        </w:rPr>
      </w:pPr>
      <w:r w:rsidRPr="005718CD">
        <w:rPr>
          <w:rFonts w:ascii="AcadNusx" w:hAnsi="AcadNusx"/>
          <w:lang w:val="en-US"/>
        </w:rPr>
        <w:t xml:space="preserve">1  </w:t>
      </w:r>
      <w:r w:rsidRPr="005718CD">
        <w:rPr>
          <w:rFonts w:ascii="Sylfaen" w:hAnsi="Sylfaen" w:cs="Sylfaen"/>
          <w:lang w:val="en-US"/>
        </w:rPr>
        <w:t>წელიწადში</w:t>
      </w:r>
      <w:r w:rsidRPr="005718CD">
        <w:rPr>
          <w:rFonts w:ascii="AcadNusx" w:hAnsi="AcadNusx"/>
          <w:lang w:val="en-US"/>
        </w:rPr>
        <w:t xml:space="preserve"> </w:t>
      </w:r>
      <w:r w:rsidRPr="005718CD">
        <w:rPr>
          <w:rFonts w:ascii="Sylfaen" w:hAnsi="Sylfaen" w:cs="Sylfaen"/>
          <w:lang w:val="en-US"/>
        </w:rPr>
        <w:t>ერთხელ</w:t>
      </w:r>
      <w:r w:rsidRPr="005718CD">
        <w:rPr>
          <w:rFonts w:ascii="AcadNusx" w:hAnsi="AcadNusx"/>
          <w:lang w:val="en-US"/>
        </w:rPr>
        <w:t xml:space="preserve"> </w:t>
      </w:r>
      <w:r w:rsidRPr="005718CD">
        <w:rPr>
          <w:rFonts w:ascii="Sylfaen" w:hAnsi="Sylfaen" w:cs="Sylfaen"/>
          <w:lang w:val="en-US"/>
        </w:rPr>
        <w:t>მოსალოდნელია</w:t>
      </w:r>
      <w:r w:rsidRPr="005718CD">
        <w:rPr>
          <w:rFonts w:ascii="AcadNusx" w:hAnsi="AcadNusx"/>
          <w:lang w:val="en-US"/>
        </w:rPr>
        <w:t xml:space="preserve"> </w:t>
      </w:r>
      <w:r w:rsidRPr="005718CD">
        <w:rPr>
          <w:rFonts w:ascii="Sylfaen" w:hAnsi="Sylfaen" w:cs="Sylfaen"/>
          <w:lang w:val="en-US"/>
        </w:rPr>
        <w:t>ქარი</w:t>
      </w:r>
      <w:r w:rsidRPr="005718CD">
        <w:rPr>
          <w:rFonts w:ascii="AcadNusx" w:hAnsi="AcadNusx"/>
          <w:lang w:val="en-US"/>
        </w:rPr>
        <w:t xml:space="preserve">, </w:t>
      </w:r>
      <w:r w:rsidRPr="005718CD">
        <w:rPr>
          <w:rFonts w:ascii="Sylfaen" w:hAnsi="Sylfaen" w:cs="Sylfaen"/>
          <w:lang w:val="en-US"/>
        </w:rPr>
        <w:t>სიჩქარით</w:t>
      </w:r>
      <w:r w:rsidRPr="005718CD">
        <w:rPr>
          <w:rFonts w:ascii="AcadNusx" w:hAnsi="AcadNusx"/>
          <w:lang w:val="en-US"/>
        </w:rPr>
        <w:t xml:space="preserve"> 16 </w:t>
      </w:r>
      <w:r w:rsidRPr="005718CD">
        <w:rPr>
          <w:rFonts w:ascii="Sylfaen" w:hAnsi="Sylfaen" w:cs="Sylfaen"/>
          <w:lang w:val="en-US"/>
        </w:rPr>
        <w:t>მ</w:t>
      </w:r>
      <w:r w:rsidRPr="005718CD">
        <w:rPr>
          <w:rFonts w:ascii="AcadNusx" w:hAnsi="AcadNusx"/>
          <w:lang w:val="en-US"/>
        </w:rPr>
        <w:t>/</w:t>
      </w:r>
      <w:r w:rsidRPr="005718CD">
        <w:rPr>
          <w:rFonts w:ascii="Sylfaen" w:hAnsi="Sylfaen" w:cs="Sylfaen"/>
          <w:lang w:val="en-US"/>
        </w:rPr>
        <w:t>წმ</w:t>
      </w:r>
      <w:r w:rsidRPr="005718CD">
        <w:rPr>
          <w:rFonts w:ascii="AcadNusx" w:hAnsi="AcadNusx"/>
          <w:lang w:val="en-US"/>
        </w:rPr>
        <w:t>;</w:t>
      </w:r>
    </w:p>
    <w:p w14:paraId="6CDF0920" w14:textId="77777777" w:rsidR="005718CD" w:rsidRPr="005718CD" w:rsidRDefault="005718CD" w:rsidP="005718CD">
      <w:pPr>
        <w:rPr>
          <w:rFonts w:ascii="AcadNusx" w:hAnsi="AcadNusx"/>
          <w:lang w:val="en-US"/>
        </w:rPr>
      </w:pPr>
      <w:r w:rsidRPr="005718CD">
        <w:rPr>
          <w:rFonts w:ascii="AcadNusx" w:hAnsi="AcadNusx"/>
          <w:lang w:val="en-US"/>
        </w:rPr>
        <w:t xml:space="preserve">5 </w:t>
      </w:r>
      <w:r w:rsidRPr="005718CD">
        <w:rPr>
          <w:rFonts w:ascii="Sylfaen" w:hAnsi="Sylfaen" w:cs="Sylfaen"/>
          <w:lang w:val="en-US"/>
        </w:rPr>
        <w:t>წელიწადში</w:t>
      </w:r>
      <w:r w:rsidRPr="005718CD">
        <w:rPr>
          <w:rFonts w:ascii="AcadNusx" w:hAnsi="AcadNusx"/>
          <w:lang w:val="en-US"/>
        </w:rPr>
        <w:t xml:space="preserve"> </w:t>
      </w:r>
      <w:r w:rsidRPr="005718CD">
        <w:rPr>
          <w:rFonts w:ascii="Sylfaen" w:hAnsi="Sylfaen" w:cs="Sylfaen"/>
          <w:lang w:val="en-US"/>
        </w:rPr>
        <w:t>ერთხელ</w:t>
      </w:r>
      <w:r w:rsidRPr="005718CD">
        <w:rPr>
          <w:rFonts w:ascii="AcadNusx" w:hAnsi="AcadNusx"/>
          <w:lang w:val="en-US"/>
        </w:rPr>
        <w:t xml:space="preserve"> </w:t>
      </w:r>
      <w:r w:rsidRPr="005718CD">
        <w:rPr>
          <w:rFonts w:ascii="Sylfaen" w:hAnsi="Sylfaen" w:cs="Sylfaen"/>
          <w:lang w:val="en-US"/>
        </w:rPr>
        <w:t>მოსალოდნელია</w:t>
      </w:r>
      <w:r w:rsidRPr="005718CD">
        <w:rPr>
          <w:rFonts w:ascii="AcadNusx" w:hAnsi="AcadNusx"/>
          <w:lang w:val="en-US"/>
        </w:rPr>
        <w:t xml:space="preserve"> </w:t>
      </w:r>
      <w:r w:rsidRPr="005718CD">
        <w:rPr>
          <w:rFonts w:ascii="Sylfaen" w:hAnsi="Sylfaen" w:cs="Sylfaen"/>
          <w:lang w:val="en-US"/>
        </w:rPr>
        <w:t>ქარი</w:t>
      </w:r>
      <w:r w:rsidRPr="005718CD">
        <w:rPr>
          <w:rFonts w:ascii="AcadNusx" w:hAnsi="AcadNusx"/>
          <w:lang w:val="en-US"/>
        </w:rPr>
        <w:t xml:space="preserve">, </w:t>
      </w:r>
      <w:r w:rsidRPr="005718CD">
        <w:rPr>
          <w:rFonts w:ascii="Sylfaen" w:hAnsi="Sylfaen" w:cs="Sylfaen"/>
          <w:lang w:val="en-US"/>
        </w:rPr>
        <w:t>სიჩქარით</w:t>
      </w:r>
      <w:r w:rsidRPr="005718CD">
        <w:rPr>
          <w:rFonts w:ascii="AcadNusx" w:hAnsi="AcadNusx"/>
          <w:lang w:val="en-US"/>
        </w:rPr>
        <w:t xml:space="preserve"> 19 </w:t>
      </w:r>
      <w:r w:rsidRPr="005718CD">
        <w:rPr>
          <w:rFonts w:ascii="Sylfaen" w:hAnsi="Sylfaen" w:cs="Sylfaen"/>
          <w:lang w:val="en-US"/>
        </w:rPr>
        <w:t>მ</w:t>
      </w:r>
      <w:r w:rsidRPr="005718CD">
        <w:rPr>
          <w:rFonts w:ascii="AcadNusx" w:hAnsi="AcadNusx"/>
          <w:lang w:val="en-US"/>
        </w:rPr>
        <w:t>/</w:t>
      </w:r>
      <w:r w:rsidRPr="005718CD">
        <w:rPr>
          <w:rFonts w:ascii="Sylfaen" w:hAnsi="Sylfaen" w:cs="Sylfaen"/>
          <w:lang w:val="en-US"/>
        </w:rPr>
        <w:t>წმ</w:t>
      </w:r>
      <w:r w:rsidRPr="005718CD">
        <w:rPr>
          <w:rFonts w:ascii="AcadNusx" w:hAnsi="AcadNusx"/>
          <w:lang w:val="en-US"/>
        </w:rPr>
        <w:t>;</w:t>
      </w:r>
    </w:p>
    <w:p w14:paraId="436E07FC" w14:textId="77777777" w:rsidR="005718CD" w:rsidRPr="005718CD" w:rsidRDefault="005718CD" w:rsidP="005718CD">
      <w:pPr>
        <w:rPr>
          <w:rFonts w:ascii="AcadNusx" w:hAnsi="AcadNusx"/>
          <w:lang w:val="en-US"/>
        </w:rPr>
      </w:pPr>
      <w:r w:rsidRPr="005718CD">
        <w:rPr>
          <w:rFonts w:ascii="AcadNusx" w:hAnsi="AcadNusx"/>
          <w:lang w:val="en-US"/>
        </w:rPr>
        <w:t xml:space="preserve">10 </w:t>
      </w:r>
      <w:r w:rsidRPr="005718CD">
        <w:rPr>
          <w:rFonts w:ascii="Sylfaen" w:hAnsi="Sylfaen" w:cs="Sylfaen"/>
          <w:lang w:val="en-US"/>
        </w:rPr>
        <w:t>წელიწადში</w:t>
      </w:r>
      <w:r w:rsidRPr="005718CD">
        <w:rPr>
          <w:rFonts w:ascii="AcadNusx" w:hAnsi="AcadNusx"/>
          <w:lang w:val="en-US"/>
        </w:rPr>
        <w:t xml:space="preserve"> </w:t>
      </w:r>
      <w:r w:rsidRPr="005718CD">
        <w:rPr>
          <w:rFonts w:ascii="Sylfaen" w:hAnsi="Sylfaen" w:cs="Sylfaen"/>
          <w:lang w:val="en-US"/>
        </w:rPr>
        <w:t>ერთხელ</w:t>
      </w:r>
      <w:r w:rsidRPr="005718CD">
        <w:rPr>
          <w:rFonts w:ascii="AcadNusx" w:hAnsi="AcadNusx"/>
          <w:lang w:val="en-US"/>
        </w:rPr>
        <w:t xml:space="preserve"> </w:t>
      </w:r>
      <w:r w:rsidRPr="005718CD">
        <w:rPr>
          <w:rFonts w:ascii="Sylfaen" w:hAnsi="Sylfaen" w:cs="Sylfaen"/>
          <w:lang w:val="en-US"/>
        </w:rPr>
        <w:t>მოსალოდნელია</w:t>
      </w:r>
      <w:r w:rsidRPr="005718CD">
        <w:rPr>
          <w:rFonts w:ascii="AcadNusx" w:hAnsi="AcadNusx"/>
          <w:lang w:val="en-US"/>
        </w:rPr>
        <w:t xml:space="preserve"> </w:t>
      </w:r>
      <w:r w:rsidRPr="005718CD">
        <w:rPr>
          <w:rFonts w:ascii="Sylfaen" w:hAnsi="Sylfaen" w:cs="Sylfaen"/>
          <w:lang w:val="en-US"/>
        </w:rPr>
        <w:t>ქარი</w:t>
      </w:r>
      <w:r w:rsidRPr="005718CD">
        <w:rPr>
          <w:rFonts w:ascii="AcadNusx" w:hAnsi="AcadNusx"/>
          <w:lang w:val="en-US"/>
        </w:rPr>
        <w:t xml:space="preserve">, </w:t>
      </w:r>
      <w:r w:rsidRPr="005718CD">
        <w:rPr>
          <w:rFonts w:ascii="Sylfaen" w:hAnsi="Sylfaen" w:cs="Sylfaen"/>
          <w:lang w:val="en-US"/>
        </w:rPr>
        <w:t>სიჩქარით</w:t>
      </w:r>
      <w:r w:rsidRPr="005718CD">
        <w:rPr>
          <w:rFonts w:ascii="AcadNusx" w:hAnsi="AcadNusx"/>
          <w:lang w:val="en-US"/>
        </w:rPr>
        <w:t xml:space="preserve"> 21 </w:t>
      </w:r>
      <w:r w:rsidRPr="005718CD">
        <w:rPr>
          <w:rFonts w:ascii="Sylfaen" w:hAnsi="Sylfaen" w:cs="Sylfaen"/>
          <w:lang w:val="en-US"/>
        </w:rPr>
        <w:t>მ</w:t>
      </w:r>
      <w:r w:rsidRPr="005718CD">
        <w:rPr>
          <w:rFonts w:ascii="AcadNusx" w:hAnsi="AcadNusx"/>
          <w:lang w:val="en-US"/>
        </w:rPr>
        <w:t>/</w:t>
      </w:r>
      <w:r w:rsidRPr="005718CD">
        <w:rPr>
          <w:rFonts w:ascii="Sylfaen" w:hAnsi="Sylfaen" w:cs="Sylfaen"/>
          <w:lang w:val="en-US"/>
        </w:rPr>
        <w:t>წმ</w:t>
      </w:r>
      <w:r w:rsidRPr="005718CD">
        <w:rPr>
          <w:rFonts w:ascii="AcadNusx" w:hAnsi="AcadNusx"/>
          <w:lang w:val="en-US"/>
        </w:rPr>
        <w:t>;</w:t>
      </w:r>
    </w:p>
    <w:p w14:paraId="6F353605" w14:textId="77777777" w:rsidR="005718CD" w:rsidRPr="005718CD" w:rsidRDefault="005718CD" w:rsidP="005718CD">
      <w:pPr>
        <w:rPr>
          <w:rFonts w:ascii="AcadNusx" w:hAnsi="AcadNusx"/>
          <w:lang w:val="en-US"/>
        </w:rPr>
      </w:pPr>
      <w:r w:rsidRPr="005718CD">
        <w:rPr>
          <w:rFonts w:ascii="AcadNusx" w:hAnsi="AcadNusx"/>
          <w:lang w:val="en-US"/>
        </w:rPr>
        <w:t xml:space="preserve">15 </w:t>
      </w:r>
      <w:r w:rsidRPr="005718CD">
        <w:rPr>
          <w:rFonts w:ascii="Sylfaen" w:hAnsi="Sylfaen" w:cs="Sylfaen"/>
          <w:lang w:val="en-US"/>
        </w:rPr>
        <w:t>წელიწადში</w:t>
      </w:r>
      <w:r w:rsidRPr="005718CD">
        <w:rPr>
          <w:rFonts w:ascii="AcadNusx" w:hAnsi="AcadNusx"/>
          <w:lang w:val="en-US"/>
        </w:rPr>
        <w:t xml:space="preserve"> </w:t>
      </w:r>
      <w:r w:rsidRPr="005718CD">
        <w:rPr>
          <w:rFonts w:ascii="Sylfaen" w:hAnsi="Sylfaen" w:cs="Sylfaen"/>
          <w:lang w:val="en-US"/>
        </w:rPr>
        <w:t>ერთხელ</w:t>
      </w:r>
      <w:r w:rsidRPr="005718CD">
        <w:rPr>
          <w:rFonts w:ascii="AcadNusx" w:hAnsi="AcadNusx"/>
          <w:lang w:val="en-US"/>
        </w:rPr>
        <w:t xml:space="preserve"> </w:t>
      </w:r>
      <w:r w:rsidRPr="005718CD">
        <w:rPr>
          <w:rFonts w:ascii="Sylfaen" w:hAnsi="Sylfaen" w:cs="Sylfaen"/>
          <w:lang w:val="en-US"/>
        </w:rPr>
        <w:t>მოსალოდნელია</w:t>
      </w:r>
      <w:r w:rsidRPr="005718CD">
        <w:rPr>
          <w:rFonts w:ascii="AcadNusx" w:hAnsi="AcadNusx"/>
          <w:lang w:val="en-US"/>
        </w:rPr>
        <w:t xml:space="preserve"> </w:t>
      </w:r>
      <w:r w:rsidRPr="005718CD">
        <w:rPr>
          <w:rFonts w:ascii="Sylfaen" w:hAnsi="Sylfaen" w:cs="Sylfaen"/>
          <w:lang w:val="en-US"/>
        </w:rPr>
        <w:t>ქარი</w:t>
      </w:r>
      <w:r w:rsidRPr="005718CD">
        <w:rPr>
          <w:rFonts w:ascii="AcadNusx" w:hAnsi="AcadNusx"/>
          <w:lang w:val="en-US"/>
        </w:rPr>
        <w:t xml:space="preserve">, </w:t>
      </w:r>
      <w:r w:rsidRPr="005718CD">
        <w:rPr>
          <w:rFonts w:ascii="Sylfaen" w:hAnsi="Sylfaen" w:cs="Sylfaen"/>
          <w:lang w:val="en-US"/>
        </w:rPr>
        <w:t>სიჩქარით</w:t>
      </w:r>
      <w:r w:rsidRPr="005718CD">
        <w:rPr>
          <w:rFonts w:ascii="AcadNusx" w:hAnsi="AcadNusx"/>
          <w:lang w:val="en-US"/>
        </w:rPr>
        <w:t xml:space="preserve"> 22 </w:t>
      </w:r>
      <w:r w:rsidRPr="005718CD">
        <w:rPr>
          <w:rFonts w:ascii="Sylfaen" w:hAnsi="Sylfaen" w:cs="Sylfaen"/>
          <w:lang w:val="en-US"/>
        </w:rPr>
        <w:t>მ</w:t>
      </w:r>
      <w:r w:rsidRPr="005718CD">
        <w:rPr>
          <w:rFonts w:ascii="AcadNusx" w:hAnsi="AcadNusx"/>
          <w:lang w:val="en-US"/>
        </w:rPr>
        <w:t>/</w:t>
      </w:r>
      <w:r w:rsidRPr="005718CD">
        <w:rPr>
          <w:rFonts w:ascii="Sylfaen" w:hAnsi="Sylfaen" w:cs="Sylfaen"/>
          <w:lang w:val="en-US"/>
        </w:rPr>
        <w:t>წმ</w:t>
      </w:r>
      <w:r w:rsidRPr="005718CD">
        <w:rPr>
          <w:rFonts w:ascii="AcadNusx" w:hAnsi="AcadNusx"/>
          <w:lang w:val="en-US"/>
        </w:rPr>
        <w:t>;</w:t>
      </w:r>
    </w:p>
    <w:p w14:paraId="67665819" w14:textId="77777777" w:rsidR="005718CD" w:rsidRDefault="005718CD" w:rsidP="005718CD">
      <w:pPr>
        <w:rPr>
          <w:rFonts w:ascii="AcadNusx" w:hAnsi="AcadNusx"/>
          <w:lang w:val="en-US"/>
        </w:rPr>
      </w:pPr>
      <w:r w:rsidRPr="005718CD">
        <w:rPr>
          <w:rFonts w:ascii="AcadNusx" w:hAnsi="AcadNusx"/>
          <w:lang w:val="en-US"/>
        </w:rPr>
        <w:t xml:space="preserve">20 </w:t>
      </w:r>
      <w:r w:rsidRPr="005718CD">
        <w:rPr>
          <w:rFonts w:ascii="Sylfaen" w:hAnsi="Sylfaen" w:cs="Sylfaen"/>
          <w:lang w:val="en-US"/>
        </w:rPr>
        <w:t>წელიწადში</w:t>
      </w:r>
      <w:r w:rsidRPr="005718CD">
        <w:rPr>
          <w:rFonts w:ascii="AcadNusx" w:hAnsi="AcadNusx"/>
          <w:lang w:val="en-US"/>
        </w:rPr>
        <w:t xml:space="preserve"> </w:t>
      </w:r>
      <w:r w:rsidRPr="005718CD">
        <w:rPr>
          <w:rFonts w:ascii="Sylfaen" w:hAnsi="Sylfaen" w:cs="Sylfaen"/>
          <w:lang w:val="en-US"/>
        </w:rPr>
        <w:t>ერთხელ</w:t>
      </w:r>
      <w:r w:rsidRPr="005718CD">
        <w:rPr>
          <w:rFonts w:ascii="AcadNusx" w:hAnsi="AcadNusx"/>
          <w:lang w:val="en-US"/>
        </w:rPr>
        <w:t xml:space="preserve"> </w:t>
      </w:r>
      <w:r w:rsidRPr="005718CD">
        <w:rPr>
          <w:rFonts w:ascii="Sylfaen" w:hAnsi="Sylfaen" w:cs="Sylfaen"/>
          <w:lang w:val="en-US"/>
        </w:rPr>
        <w:t>მოსალოდნელია</w:t>
      </w:r>
      <w:r w:rsidRPr="005718CD">
        <w:rPr>
          <w:rFonts w:ascii="AcadNusx" w:hAnsi="AcadNusx"/>
          <w:lang w:val="en-US"/>
        </w:rPr>
        <w:t xml:space="preserve"> </w:t>
      </w:r>
      <w:r w:rsidRPr="005718CD">
        <w:rPr>
          <w:rFonts w:ascii="Sylfaen" w:hAnsi="Sylfaen" w:cs="Sylfaen"/>
          <w:lang w:val="en-US"/>
        </w:rPr>
        <w:t>ქარი</w:t>
      </w:r>
      <w:r w:rsidRPr="005718CD">
        <w:rPr>
          <w:rFonts w:ascii="AcadNusx" w:hAnsi="AcadNusx"/>
          <w:lang w:val="en-US"/>
        </w:rPr>
        <w:t xml:space="preserve">, </w:t>
      </w:r>
      <w:r w:rsidRPr="005718CD">
        <w:rPr>
          <w:rFonts w:ascii="Sylfaen" w:hAnsi="Sylfaen" w:cs="Sylfaen"/>
          <w:lang w:val="en-US"/>
        </w:rPr>
        <w:t>სიჩქარით</w:t>
      </w:r>
      <w:r w:rsidRPr="005718CD">
        <w:rPr>
          <w:rFonts w:ascii="AcadNusx" w:hAnsi="AcadNusx"/>
          <w:lang w:val="en-US"/>
        </w:rPr>
        <w:t xml:space="preserve"> 22 </w:t>
      </w:r>
      <w:r w:rsidRPr="005718CD">
        <w:rPr>
          <w:rFonts w:ascii="Sylfaen" w:hAnsi="Sylfaen" w:cs="Sylfaen"/>
          <w:lang w:val="en-US"/>
        </w:rPr>
        <w:t>მ</w:t>
      </w:r>
      <w:r w:rsidRPr="005718CD">
        <w:rPr>
          <w:rFonts w:ascii="AcadNusx" w:hAnsi="AcadNusx"/>
          <w:lang w:val="en-US"/>
        </w:rPr>
        <w:t>/</w:t>
      </w:r>
      <w:r w:rsidRPr="005718CD">
        <w:rPr>
          <w:rFonts w:ascii="Sylfaen" w:hAnsi="Sylfaen" w:cs="Sylfaen"/>
          <w:lang w:val="en-US"/>
        </w:rPr>
        <w:t>წმ</w:t>
      </w:r>
      <w:r w:rsidRPr="005718CD">
        <w:rPr>
          <w:rFonts w:ascii="AcadNusx" w:hAnsi="AcadNusx"/>
          <w:lang w:val="en-US"/>
        </w:rPr>
        <w:t>;</w:t>
      </w:r>
    </w:p>
    <w:p w14:paraId="5C4EA1B4" w14:textId="77777777" w:rsidR="005718CD" w:rsidRPr="005718CD" w:rsidRDefault="005718CD" w:rsidP="008B0984">
      <w:pPr>
        <w:rPr>
          <w:lang w:val="ka-GE"/>
        </w:rPr>
      </w:pPr>
      <w:r w:rsidRPr="005718CD">
        <w:rPr>
          <w:rFonts w:ascii="Sylfaen" w:hAnsi="Sylfaen" w:cs="Sylfaen"/>
          <w:lang w:val="ka-GE"/>
        </w:rPr>
        <w:t>ქარის</w:t>
      </w:r>
      <w:r w:rsidRPr="005718CD">
        <w:rPr>
          <w:lang w:val="ka-GE"/>
        </w:rPr>
        <w:t xml:space="preserve"> </w:t>
      </w:r>
      <w:r w:rsidRPr="005718CD">
        <w:rPr>
          <w:rFonts w:ascii="Sylfaen" w:hAnsi="Sylfaen" w:cs="Sylfaen"/>
          <w:lang w:val="ka-GE"/>
        </w:rPr>
        <w:t>მახასიათბლები</w:t>
      </w:r>
      <w:r w:rsidRPr="005718CD">
        <w:rPr>
          <w:lang w:val="ka-GE"/>
        </w:rPr>
        <w:t xml:space="preserve"> </w:t>
      </w:r>
      <w:r w:rsidRPr="005718CD">
        <w:rPr>
          <w:rFonts w:ascii="Sylfaen" w:hAnsi="Sylfaen" w:cs="Sylfaen"/>
          <w:lang w:val="ka-GE"/>
        </w:rPr>
        <w:t>ცხრილი</w:t>
      </w:r>
      <w:r w:rsidRPr="005718CD">
        <w:rPr>
          <w:lang w:val="ka-GE"/>
        </w:rPr>
        <w:t xml:space="preserve"> 6.1.1.</w:t>
      </w:r>
      <w:r>
        <w:rPr>
          <w:lang w:val="ka-GE"/>
        </w:rPr>
        <w:t>4</w:t>
      </w:r>
    </w:p>
    <w:tbl>
      <w:tblPr>
        <w:tblW w:w="6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561"/>
        <w:gridCol w:w="560"/>
        <w:gridCol w:w="561"/>
        <w:gridCol w:w="561"/>
        <w:gridCol w:w="560"/>
        <w:gridCol w:w="561"/>
        <w:gridCol w:w="561"/>
        <w:gridCol w:w="864"/>
        <w:gridCol w:w="695"/>
      </w:tblGrid>
      <w:tr w:rsidR="008948B9" w:rsidRPr="00D85D9B" w14:paraId="6A389DA0" w14:textId="77777777" w:rsidTr="0078141E">
        <w:trPr>
          <w:cantSplit/>
          <w:trHeight w:val="621"/>
          <w:jc w:val="center"/>
        </w:trPr>
        <w:tc>
          <w:tcPr>
            <w:tcW w:w="4485" w:type="dxa"/>
            <w:gridSpan w:val="8"/>
            <w:tcBorders>
              <w:top w:val="single" w:sz="4" w:space="0" w:color="auto"/>
              <w:left w:val="single" w:sz="4" w:space="0" w:color="auto"/>
              <w:bottom w:val="single" w:sz="4" w:space="0" w:color="auto"/>
              <w:right w:val="single" w:sz="4" w:space="0" w:color="auto"/>
            </w:tcBorders>
            <w:vAlign w:val="center"/>
            <w:hideMark/>
          </w:tcPr>
          <w:p w14:paraId="4F9E6270" w14:textId="77777777" w:rsidR="008948B9" w:rsidRPr="0071625B" w:rsidRDefault="005718CD" w:rsidP="008B0984">
            <w:pPr>
              <w:rPr>
                <w:rFonts w:ascii="AcadNusx" w:hAnsi="AcadNusx"/>
                <w:sz w:val="20"/>
                <w:lang w:val="en-US"/>
              </w:rPr>
            </w:pPr>
            <w:r w:rsidRPr="005718CD">
              <w:rPr>
                <w:rFonts w:ascii="Sylfaen" w:hAnsi="Sylfaen" w:cs="Sylfaen"/>
                <w:sz w:val="20"/>
                <w:lang w:val="en-US"/>
              </w:rPr>
              <w:t>ქარის</w:t>
            </w:r>
            <w:r w:rsidRPr="005718CD">
              <w:rPr>
                <w:rFonts w:ascii="AcadNusx" w:hAnsi="AcadNusx"/>
                <w:sz w:val="20"/>
                <w:lang w:val="en-US"/>
              </w:rPr>
              <w:t xml:space="preserve"> </w:t>
            </w:r>
            <w:r w:rsidRPr="005718CD">
              <w:rPr>
                <w:rFonts w:ascii="Sylfaen" w:hAnsi="Sylfaen" w:cs="Sylfaen"/>
                <w:sz w:val="20"/>
                <w:lang w:val="en-US"/>
              </w:rPr>
              <w:t>მიმართულების</w:t>
            </w:r>
            <w:r w:rsidRPr="005718CD">
              <w:rPr>
                <w:rFonts w:ascii="AcadNusx" w:hAnsi="AcadNusx"/>
                <w:sz w:val="20"/>
                <w:lang w:val="en-US"/>
              </w:rPr>
              <w:t xml:space="preserve"> </w:t>
            </w:r>
            <w:r w:rsidRPr="005718CD">
              <w:rPr>
                <w:rFonts w:ascii="Sylfaen" w:hAnsi="Sylfaen" w:cs="Sylfaen"/>
                <w:sz w:val="20"/>
                <w:lang w:val="en-US"/>
              </w:rPr>
              <w:t>განმეორადობა</w:t>
            </w:r>
            <w:r w:rsidRPr="005718CD">
              <w:rPr>
                <w:rFonts w:ascii="AcadNusx" w:hAnsi="AcadNusx"/>
                <w:sz w:val="20"/>
                <w:lang w:val="en-US"/>
              </w:rPr>
              <w:t xml:space="preserve"> (%) </w:t>
            </w:r>
            <w:r w:rsidRPr="005718CD">
              <w:rPr>
                <w:rFonts w:ascii="Sylfaen" w:hAnsi="Sylfaen" w:cs="Sylfaen"/>
                <w:sz w:val="20"/>
                <w:lang w:val="en-US"/>
              </w:rPr>
              <w:t>იანვარი</w:t>
            </w:r>
            <w:r w:rsidRPr="005718CD">
              <w:rPr>
                <w:rFonts w:ascii="AcadNusx" w:hAnsi="AcadNusx"/>
                <w:sz w:val="20"/>
                <w:lang w:val="en-US"/>
              </w:rPr>
              <w:t xml:space="preserve">, </w:t>
            </w:r>
            <w:r w:rsidRPr="005718CD">
              <w:rPr>
                <w:rFonts w:ascii="Sylfaen" w:hAnsi="Sylfaen" w:cs="Sylfaen"/>
                <w:sz w:val="20"/>
                <w:lang w:val="en-US"/>
              </w:rPr>
              <w:t>ივლისი</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0A3339AF" w14:textId="77777777" w:rsidR="008948B9" w:rsidRPr="0071625B" w:rsidRDefault="005718CD" w:rsidP="008B0984">
            <w:pPr>
              <w:rPr>
                <w:rFonts w:ascii="AcadNusx" w:hAnsi="AcadNusx"/>
                <w:sz w:val="16"/>
                <w:szCs w:val="16"/>
                <w:lang w:val="en-US"/>
              </w:rPr>
            </w:pPr>
            <w:r w:rsidRPr="005718CD">
              <w:rPr>
                <w:rFonts w:ascii="Sylfaen" w:hAnsi="Sylfaen" w:cs="Sylfaen"/>
                <w:sz w:val="16"/>
                <w:szCs w:val="16"/>
                <w:lang w:val="en-US"/>
              </w:rPr>
              <w:t>ქარის</w:t>
            </w:r>
            <w:r w:rsidRPr="005718CD">
              <w:rPr>
                <w:rFonts w:ascii="AcadNusx" w:hAnsi="AcadNusx"/>
                <w:sz w:val="16"/>
                <w:szCs w:val="16"/>
                <w:lang w:val="en-US"/>
              </w:rPr>
              <w:t xml:space="preserve"> </w:t>
            </w:r>
            <w:r w:rsidRPr="005718CD">
              <w:rPr>
                <w:rFonts w:ascii="Sylfaen" w:hAnsi="Sylfaen" w:cs="Sylfaen"/>
                <w:sz w:val="16"/>
                <w:szCs w:val="16"/>
                <w:lang w:val="en-US"/>
              </w:rPr>
              <w:t>საშუალო</w:t>
            </w:r>
            <w:r w:rsidRPr="005718CD">
              <w:rPr>
                <w:rFonts w:ascii="AcadNusx" w:hAnsi="AcadNusx"/>
                <w:sz w:val="16"/>
                <w:szCs w:val="16"/>
                <w:lang w:val="en-US"/>
              </w:rPr>
              <w:t xml:space="preserve"> </w:t>
            </w:r>
            <w:r w:rsidRPr="005718CD">
              <w:rPr>
                <w:rFonts w:ascii="Sylfaen" w:hAnsi="Sylfaen" w:cs="Sylfaen"/>
                <w:sz w:val="16"/>
                <w:szCs w:val="16"/>
                <w:lang w:val="en-US"/>
              </w:rPr>
              <w:t>უდიდესი</w:t>
            </w:r>
            <w:r w:rsidRPr="005718CD">
              <w:rPr>
                <w:rFonts w:ascii="AcadNusx" w:hAnsi="AcadNusx"/>
                <w:sz w:val="16"/>
                <w:szCs w:val="16"/>
                <w:lang w:val="en-US"/>
              </w:rPr>
              <w:t xml:space="preserve"> </w:t>
            </w:r>
            <w:r w:rsidRPr="005718CD">
              <w:rPr>
                <w:rFonts w:ascii="Sylfaen" w:hAnsi="Sylfaen" w:cs="Sylfaen"/>
                <w:sz w:val="16"/>
                <w:szCs w:val="16"/>
                <w:lang w:val="en-US"/>
              </w:rPr>
              <w:t>და</w:t>
            </w:r>
            <w:r w:rsidRPr="005718CD">
              <w:rPr>
                <w:rFonts w:ascii="AcadNusx" w:hAnsi="AcadNusx"/>
                <w:sz w:val="16"/>
                <w:szCs w:val="16"/>
                <w:lang w:val="en-US"/>
              </w:rPr>
              <w:t xml:space="preserve"> </w:t>
            </w:r>
            <w:r w:rsidRPr="005718CD">
              <w:rPr>
                <w:rFonts w:ascii="Sylfaen" w:hAnsi="Sylfaen" w:cs="Sylfaen"/>
                <w:sz w:val="16"/>
                <w:szCs w:val="16"/>
                <w:lang w:val="en-US"/>
              </w:rPr>
              <w:t>უმცირესი</w:t>
            </w:r>
            <w:r w:rsidRPr="005718CD">
              <w:rPr>
                <w:rFonts w:ascii="AcadNusx" w:hAnsi="AcadNusx"/>
                <w:sz w:val="16"/>
                <w:szCs w:val="16"/>
                <w:lang w:val="en-US"/>
              </w:rPr>
              <w:t xml:space="preserve"> </w:t>
            </w:r>
            <w:r w:rsidRPr="005718CD">
              <w:rPr>
                <w:rFonts w:ascii="Sylfaen" w:hAnsi="Sylfaen" w:cs="Sylfaen"/>
                <w:sz w:val="16"/>
                <w:szCs w:val="16"/>
                <w:lang w:val="en-US"/>
              </w:rPr>
              <w:t>სიჩქარე</w:t>
            </w:r>
            <w:r w:rsidRPr="005718CD">
              <w:rPr>
                <w:rFonts w:ascii="AcadNusx" w:hAnsi="AcadNusx"/>
                <w:sz w:val="16"/>
                <w:szCs w:val="16"/>
                <w:lang w:val="en-US"/>
              </w:rPr>
              <w:t xml:space="preserve">, </w:t>
            </w:r>
            <w:r w:rsidRPr="005718CD">
              <w:rPr>
                <w:rFonts w:ascii="Sylfaen" w:hAnsi="Sylfaen" w:cs="Sylfaen"/>
                <w:sz w:val="16"/>
                <w:szCs w:val="16"/>
                <w:lang w:val="en-US"/>
              </w:rPr>
              <w:t>მ</w:t>
            </w:r>
            <w:r w:rsidRPr="005718CD">
              <w:rPr>
                <w:rFonts w:ascii="AcadNusx" w:hAnsi="AcadNusx"/>
                <w:sz w:val="16"/>
                <w:szCs w:val="16"/>
                <w:lang w:val="en-US"/>
              </w:rPr>
              <w:t>/</w:t>
            </w:r>
            <w:r w:rsidRPr="005718CD">
              <w:rPr>
                <w:rFonts w:ascii="Sylfaen" w:hAnsi="Sylfaen" w:cs="Sylfaen"/>
                <w:sz w:val="16"/>
                <w:szCs w:val="16"/>
                <w:lang w:val="en-US"/>
              </w:rPr>
              <w:t>წმ</w:t>
            </w:r>
          </w:p>
        </w:tc>
      </w:tr>
      <w:tr w:rsidR="008948B9" w:rsidRPr="0071625B" w14:paraId="7789E882" w14:textId="77777777" w:rsidTr="0078141E">
        <w:trPr>
          <w:cantSplit/>
          <w:trHeight w:val="1038"/>
          <w:jc w:val="center"/>
        </w:trPr>
        <w:tc>
          <w:tcPr>
            <w:tcW w:w="560" w:type="dxa"/>
            <w:tcBorders>
              <w:top w:val="single" w:sz="4" w:space="0" w:color="auto"/>
              <w:left w:val="single" w:sz="4" w:space="0" w:color="auto"/>
              <w:bottom w:val="single" w:sz="4" w:space="0" w:color="auto"/>
              <w:right w:val="single" w:sz="4" w:space="0" w:color="auto"/>
            </w:tcBorders>
            <w:vAlign w:val="center"/>
            <w:hideMark/>
          </w:tcPr>
          <w:p w14:paraId="19040607" w14:textId="77777777" w:rsidR="008948B9" w:rsidRPr="005718CD" w:rsidRDefault="005718CD" w:rsidP="008B0984">
            <w:pPr>
              <w:rPr>
                <w:spacing w:val="20"/>
                <w:kern w:val="14"/>
                <w:sz w:val="20"/>
                <w:lang w:val="ka-GE"/>
              </w:rPr>
            </w:pPr>
            <w:r>
              <w:rPr>
                <w:rFonts w:ascii="Sylfaen" w:hAnsi="Sylfaen" w:cs="Sylfaen"/>
                <w:spacing w:val="20"/>
                <w:kern w:val="14"/>
                <w:sz w:val="20"/>
                <w:lang w:val="ka-GE"/>
              </w:rPr>
              <w:t>ჩ</w:t>
            </w:r>
          </w:p>
        </w:tc>
        <w:tc>
          <w:tcPr>
            <w:tcW w:w="561" w:type="dxa"/>
            <w:tcBorders>
              <w:top w:val="single" w:sz="4" w:space="0" w:color="auto"/>
              <w:left w:val="single" w:sz="4" w:space="0" w:color="auto"/>
              <w:bottom w:val="single" w:sz="4" w:space="0" w:color="auto"/>
              <w:right w:val="single" w:sz="4" w:space="0" w:color="auto"/>
            </w:tcBorders>
            <w:vAlign w:val="center"/>
            <w:hideMark/>
          </w:tcPr>
          <w:p w14:paraId="4A67FA88" w14:textId="77777777" w:rsidR="008948B9" w:rsidRPr="005718CD" w:rsidRDefault="005718CD" w:rsidP="008B0984">
            <w:pPr>
              <w:rPr>
                <w:spacing w:val="20"/>
                <w:kern w:val="14"/>
                <w:sz w:val="20"/>
                <w:lang w:val="ka-GE"/>
              </w:rPr>
            </w:pPr>
            <w:r>
              <w:rPr>
                <w:rFonts w:ascii="Sylfaen" w:hAnsi="Sylfaen" w:cs="Sylfaen"/>
                <w:spacing w:val="20"/>
                <w:kern w:val="14"/>
                <w:sz w:val="20"/>
                <w:lang w:val="ka-GE"/>
              </w:rPr>
              <w:t>ჩა</w:t>
            </w:r>
          </w:p>
        </w:tc>
        <w:tc>
          <w:tcPr>
            <w:tcW w:w="560" w:type="dxa"/>
            <w:tcBorders>
              <w:top w:val="single" w:sz="4" w:space="0" w:color="auto"/>
              <w:left w:val="single" w:sz="4" w:space="0" w:color="auto"/>
              <w:bottom w:val="single" w:sz="4" w:space="0" w:color="auto"/>
              <w:right w:val="single" w:sz="4" w:space="0" w:color="auto"/>
            </w:tcBorders>
            <w:vAlign w:val="center"/>
            <w:hideMark/>
          </w:tcPr>
          <w:p w14:paraId="120311E5" w14:textId="77777777" w:rsidR="008948B9" w:rsidRPr="005718CD" w:rsidRDefault="005718CD" w:rsidP="008B0984">
            <w:pPr>
              <w:rPr>
                <w:spacing w:val="20"/>
                <w:kern w:val="14"/>
                <w:sz w:val="20"/>
                <w:lang w:val="ka-GE"/>
              </w:rPr>
            </w:pPr>
            <w:r>
              <w:rPr>
                <w:rFonts w:ascii="Sylfaen" w:hAnsi="Sylfaen" w:cs="Sylfaen"/>
                <w:spacing w:val="20"/>
                <w:kern w:val="14"/>
                <w:sz w:val="20"/>
                <w:lang w:val="ka-GE"/>
              </w:rPr>
              <w:t>ა</w:t>
            </w:r>
          </w:p>
        </w:tc>
        <w:tc>
          <w:tcPr>
            <w:tcW w:w="561" w:type="dxa"/>
            <w:tcBorders>
              <w:top w:val="single" w:sz="4" w:space="0" w:color="auto"/>
              <w:left w:val="single" w:sz="4" w:space="0" w:color="auto"/>
              <w:bottom w:val="single" w:sz="4" w:space="0" w:color="auto"/>
              <w:right w:val="single" w:sz="4" w:space="0" w:color="auto"/>
            </w:tcBorders>
            <w:vAlign w:val="center"/>
            <w:hideMark/>
          </w:tcPr>
          <w:p w14:paraId="1AD2338B" w14:textId="77777777" w:rsidR="008948B9" w:rsidRPr="005718CD" w:rsidRDefault="005718CD" w:rsidP="008B0984">
            <w:pPr>
              <w:rPr>
                <w:spacing w:val="20"/>
                <w:kern w:val="14"/>
                <w:sz w:val="20"/>
                <w:lang w:val="ka-GE"/>
              </w:rPr>
            </w:pPr>
            <w:r>
              <w:rPr>
                <w:rFonts w:ascii="Sylfaen" w:hAnsi="Sylfaen" w:cs="Sylfaen"/>
                <w:spacing w:val="20"/>
                <w:kern w:val="14"/>
                <w:sz w:val="20"/>
                <w:lang w:val="ka-GE"/>
              </w:rPr>
              <w:t>სა</w:t>
            </w:r>
          </w:p>
        </w:tc>
        <w:tc>
          <w:tcPr>
            <w:tcW w:w="561" w:type="dxa"/>
            <w:tcBorders>
              <w:top w:val="single" w:sz="4" w:space="0" w:color="auto"/>
              <w:left w:val="single" w:sz="4" w:space="0" w:color="auto"/>
              <w:bottom w:val="single" w:sz="4" w:space="0" w:color="auto"/>
              <w:right w:val="single" w:sz="4" w:space="0" w:color="auto"/>
            </w:tcBorders>
            <w:vAlign w:val="center"/>
            <w:hideMark/>
          </w:tcPr>
          <w:p w14:paraId="0D101B90" w14:textId="77777777" w:rsidR="008948B9" w:rsidRPr="005718CD" w:rsidRDefault="005718CD" w:rsidP="008B0984">
            <w:pPr>
              <w:rPr>
                <w:spacing w:val="20"/>
                <w:kern w:val="14"/>
                <w:sz w:val="20"/>
                <w:lang w:val="ka-GE"/>
              </w:rPr>
            </w:pPr>
            <w:r>
              <w:rPr>
                <w:rFonts w:ascii="Sylfaen" w:hAnsi="Sylfaen" w:cs="Sylfaen"/>
                <w:spacing w:val="20"/>
                <w:kern w:val="14"/>
                <w:sz w:val="20"/>
                <w:lang w:val="ka-GE"/>
              </w:rPr>
              <w:t>ს</w:t>
            </w:r>
          </w:p>
        </w:tc>
        <w:tc>
          <w:tcPr>
            <w:tcW w:w="560" w:type="dxa"/>
            <w:tcBorders>
              <w:top w:val="single" w:sz="4" w:space="0" w:color="auto"/>
              <w:left w:val="single" w:sz="4" w:space="0" w:color="auto"/>
              <w:bottom w:val="single" w:sz="4" w:space="0" w:color="auto"/>
              <w:right w:val="single" w:sz="4" w:space="0" w:color="auto"/>
            </w:tcBorders>
            <w:vAlign w:val="center"/>
            <w:hideMark/>
          </w:tcPr>
          <w:p w14:paraId="3DFE2267" w14:textId="77777777" w:rsidR="008948B9" w:rsidRPr="005718CD" w:rsidRDefault="005718CD" w:rsidP="008B0984">
            <w:pPr>
              <w:rPr>
                <w:spacing w:val="20"/>
                <w:kern w:val="14"/>
                <w:sz w:val="20"/>
                <w:lang w:val="ka-GE"/>
              </w:rPr>
            </w:pPr>
            <w:r>
              <w:rPr>
                <w:rFonts w:ascii="Sylfaen" w:hAnsi="Sylfaen" w:cs="Sylfaen"/>
                <w:spacing w:val="20"/>
                <w:kern w:val="14"/>
                <w:sz w:val="20"/>
                <w:lang w:val="ka-GE"/>
              </w:rPr>
              <w:t>სდ</w:t>
            </w:r>
          </w:p>
        </w:tc>
        <w:tc>
          <w:tcPr>
            <w:tcW w:w="561" w:type="dxa"/>
            <w:tcBorders>
              <w:top w:val="single" w:sz="4" w:space="0" w:color="auto"/>
              <w:left w:val="single" w:sz="4" w:space="0" w:color="auto"/>
              <w:bottom w:val="single" w:sz="4" w:space="0" w:color="auto"/>
              <w:right w:val="single" w:sz="4" w:space="0" w:color="auto"/>
            </w:tcBorders>
            <w:vAlign w:val="center"/>
            <w:hideMark/>
          </w:tcPr>
          <w:p w14:paraId="597AA102" w14:textId="77777777" w:rsidR="008948B9" w:rsidRPr="005718CD" w:rsidRDefault="005718CD" w:rsidP="008B0984">
            <w:pPr>
              <w:rPr>
                <w:spacing w:val="20"/>
                <w:kern w:val="14"/>
                <w:sz w:val="20"/>
                <w:lang w:val="ka-GE"/>
              </w:rPr>
            </w:pPr>
            <w:r>
              <w:rPr>
                <w:rFonts w:ascii="Sylfaen" w:hAnsi="Sylfaen" w:cs="Sylfaen"/>
                <w:spacing w:val="20"/>
                <w:kern w:val="14"/>
                <w:sz w:val="20"/>
                <w:lang w:val="ka-GE"/>
              </w:rPr>
              <w:t>დ</w:t>
            </w:r>
          </w:p>
        </w:tc>
        <w:tc>
          <w:tcPr>
            <w:tcW w:w="561" w:type="dxa"/>
            <w:tcBorders>
              <w:top w:val="single" w:sz="4" w:space="0" w:color="auto"/>
              <w:left w:val="single" w:sz="4" w:space="0" w:color="auto"/>
              <w:bottom w:val="single" w:sz="4" w:space="0" w:color="auto"/>
              <w:right w:val="single" w:sz="4" w:space="0" w:color="auto"/>
            </w:tcBorders>
            <w:vAlign w:val="center"/>
            <w:hideMark/>
          </w:tcPr>
          <w:p w14:paraId="507FB087" w14:textId="77777777" w:rsidR="008948B9" w:rsidRPr="005718CD" w:rsidRDefault="005718CD" w:rsidP="008B0984">
            <w:pPr>
              <w:rPr>
                <w:spacing w:val="20"/>
                <w:kern w:val="14"/>
                <w:sz w:val="20"/>
                <w:lang w:val="ka-GE"/>
              </w:rPr>
            </w:pPr>
            <w:r>
              <w:rPr>
                <w:rFonts w:ascii="Sylfaen" w:hAnsi="Sylfaen" w:cs="Sylfaen"/>
                <w:spacing w:val="20"/>
                <w:kern w:val="14"/>
                <w:sz w:val="20"/>
                <w:lang w:val="ka-GE"/>
              </w:rPr>
              <w:t>ჩდ</w:t>
            </w:r>
          </w:p>
        </w:tc>
        <w:tc>
          <w:tcPr>
            <w:tcW w:w="864" w:type="dxa"/>
            <w:tcBorders>
              <w:top w:val="single" w:sz="4" w:space="0" w:color="auto"/>
              <w:left w:val="single" w:sz="4" w:space="0" w:color="auto"/>
              <w:bottom w:val="single" w:sz="4" w:space="0" w:color="auto"/>
              <w:right w:val="single" w:sz="4" w:space="0" w:color="auto"/>
            </w:tcBorders>
            <w:textDirection w:val="btLr"/>
            <w:vAlign w:val="center"/>
            <w:hideMark/>
          </w:tcPr>
          <w:p w14:paraId="4DA40CF9" w14:textId="77777777" w:rsidR="008948B9" w:rsidRPr="005718CD" w:rsidRDefault="005718CD" w:rsidP="008B0984">
            <w:pPr>
              <w:rPr>
                <w:spacing w:val="20"/>
                <w:kern w:val="14"/>
                <w:sz w:val="18"/>
                <w:szCs w:val="18"/>
                <w:lang w:val="ka-GE"/>
              </w:rPr>
            </w:pPr>
            <w:r>
              <w:rPr>
                <w:rFonts w:ascii="Sylfaen" w:hAnsi="Sylfaen" w:cs="Sylfaen"/>
                <w:spacing w:val="20"/>
                <w:kern w:val="14"/>
                <w:sz w:val="18"/>
                <w:szCs w:val="18"/>
                <w:lang w:val="ka-GE"/>
              </w:rPr>
              <w:t>იანვარი</w:t>
            </w:r>
          </w:p>
        </w:tc>
        <w:tc>
          <w:tcPr>
            <w:tcW w:w="695" w:type="dxa"/>
            <w:tcBorders>
              <w:top w:val="single" w:sz="4" w:space="0" w:color="auto"/>
              <w:left w:val="single" w:sz="4" w:space="0" w:color="auto"/>
              <w:bottom w:val="single" w:sz="4" w:space="0" w:color="auto"/>
              <w:right w:val="single" w:sz="4" w:space="0" w:color="auto"/>
            </w:tcBorders>
            <w:textDirection w:val="btLr"/>
            <w:vAlign w:val="center"/>
            <w:hideMark/>
          </w:tcPr>
          <w:p w14:paraId="299295CF" w14:textId="77777777" w:rsidR="008948B9" w:rsidRPr="005718CD" w:rsidRDefault="005718CD" w:rsidP="008B0984">
            <w:pPr>
              <w:rPr>
                <w:spacing w:val="20"/>
                <w:kern w:val="14"/>
                <w:sz w:val="18"/>
                <w:szCs w:val="18"/>
                <w:lang w:val="ka-GE"/>
              </w:rPr>
            </w:pPr>
            <w:r>
              <w:rPr>
                <w:rFonts w:ascii="Sylfaen" w:hAnsi="Sylfaen" w:cs="Sylfaen"/>
                <w:spacing w:val="20"/>
                <w:kern w:val="14"/>
                <w:sz w:val="18"/>
                <w:szCs w:val="18"/>
                <w:lang w:val="ka-GE"/>
              </w:rPr>
              <w:t>ივლისი</w:t>
            </w:r>
          </w:p>
        </w:tc>
      </w:tr>
      <w:tr w:rsidR="008948B9" w:rsidRPr="0071625B" w14:paraId="7A220519" w14:textId="77777777" w:rsidTr="0078141E">
        <w:trPr>
          <w:cantSplit/>
          <w:trHeight w:val="418"/>
          <w:jc w:val="center"/>
        </w:trPr>
        <w:tc>
          <w:tcPr>
            <w:tcW w:w="560" w:type="dxa"/>
            <w:tcBorders>
              <w:top w:val="single" w:sz="4" w:space="0" w:color="auto"/>
              <w:left w:val="single" w:sz="4" w:space="0" w:color="auto"/>
              <w:bottom w:val="single" w:sz="4" w:space="0" w:color="auto"/>
              <w:right w:val="single" w:sz="4" w:space="0" w:color="auto"/>
            </w:tcBorders>
            <w:vAlign w:val="center"/>
          </w:tcPr>
          <w:p w14:paraId="00A9B9EB" w14:textId="77777777" w:rsidR="008948B9" w:rsidRPr="0071625B" w:rsidRDefault="008948B9" w:rsidP="008B0984">
            <w:pPr>
              <w:rPr>
                <w:rFonts w:ascii="AcadNusx" w:hAnsi="AcadNusx"/>
                <w:sz w:val="20"/>
                <w:lang w:val="en-US"/>
              </w:rPr>
            </w:pPr>
            <w:r>
              <w:rPr>
                <w:rFonts w:ascii="AcadNusx" w:hAnsi="AcadNusx"/>
                <w:sz w:val="20"/>
                <w:lang w:val="en-US"/>
              </w:rPr>
              <w:lastRenderedPageBreak/>
              <w:t>6/5</w:t>
            </w:r>
          </w:p>
        </w:tc>
        <w:tc>
          <w:tcPr>
            <w:tcW w:w="561" w:type="dxa"/>
            <w:tcBorders>
              <w:top w:val="single" w:sz="4" w:space="0" w:color="auto"/>
              <w:left w:val="single" w:sz="4" w:space="0" w:color="auto"/>
              <w:bottom w:val="single" w:sz="4" w:space="0" w:color="auto"/>
              <w:right w:val="single" w:sz="4" w:space="0" w:color="auto"/>
            </w:tcBorders>
            <w:vAlign w:val="center"/>
          </w:tcPr>
          <w:p w14:paraId="0A4E1510" w14:textId="77777777" w:rsidR="008948B9" w:rsidRPr="0071625B" w:rsidRDefault="008948B9" w:rsidP="008B0984">
            <w:pPr>
              <w:rPr>
                <w:rFonts w:ascii="AcadNusx" w:hAnsi="AcadNusx"/>
                <w:sz w:val="20"/>
                <w:lang w:val="en-US"/>
              </w:rPr>
            </w:pPr>
            <w:r>
              <w:rPr>
                <w:rFonts w:ascii="AcadNusx" w:hAnsi="AcadNusx"/>
                <w:sz w:val="20"/>
                <w:lang w:val="en-US"/>
              </w:rPr>
              <w:t>8/10</w:t>
            </w:r>
          </w:p>
        </w:tc>
        <w:tc>
          <w:tcPr>
            <w:tcW w:w="560" w:type="dxa"/>
            <w:tcBorders>
              <w:top w:val="single" w:sz="4" w:space="0" w:color="auto"/>
              <w:left w:val="single" w:sz="4" w:space="0" w:color="auto"/>
              <w:bottom w:val="single" w:sz="4" w:space="0" w:color="auto"/>
              <w:right w:val="single" w:sz="4" w:space="0" w:color="auto"/>
            </w:tcBorders>
            <w:vAlign w:val="center"/>
          </w:tcPr>
          <w:p w14:paraId="708AAC20" w14:textId="77777777" w:rsidR="008948B9" w:rsidRPr="0071625B" w:rsidRDefault="008948B9" w:rsidP="008B0984">
            <w:pPr>
              <w:rPr>
                <w:rFonts w:ascii="AcadNusx" w:hAnsi="AcadNusx"/>
                <w:sz w:val="20"/>
                <w:lang w:val="en-US"/>
              </w:rPr>
            </w:pPr>
            <w:r>
              <w:rPr>
                <w:rFonts w:ascii="AcadNusx" w:hAnsi="AcadNusx"/>
                <w:sz w:val="20"/>
                <w:lang w:val="en-US"/>
              </w:rPr>
              <w:t>8/12</w:t>
            </w:r>
          </w:p>
        </w:tc>
        <w:tc>
          <w:tcPr>
            <w:tcW w:w="561" w:type="dxa"/>
            <w:tcBorders>
              <w:top w:val="single" w:sz="4" w:space="0" w:color="auto"/>
              <w:left w:val="single" w:sz="4" w:space="0" w:color="auto"/>
              <w:bottom w:val="single" w:sz="4" w:space="0" w:color="auto"/>
              <w:right w:val="single" w:sz="4" w:space="0" w:color="auto"/>
            </w:tcBorders>
            <w:vAlign w:val="center"/>
          </w:tcPr>
          <w:p w14:paraId="12FA3E80" w14:textId="77777777" w:rsidR="008948B9" w:rsidRPr="0071625B" w:rsidRDefault="008948B9" w:rsidP="008B0984">
            <w:pPr>
              <w:rPr>
                <w:rFonts w:ascii="AcadNusx" w:hAnsi="AcadNusx"/>
                <w:sz w:val="20"/>
                <w:lang w:val="en-US"/>
              </w:rPr>
            </w:pPr>
            <w:r>
              <w:rPr>
                <w:rFonts w:ascii="AcadNusx" w:hAnsi="AcadNusx"/>
                <w:sz w:val="20"/>
                <w:lang w:val="en-US"/>
              </w:rPr>
              <w:t>8/3</w:t>
            </w:r>
          </w:p>
        </w:tc>
        <w:tc>
          <w:tcPr>
            <w:tcW w:w="561" w:type="dxa"/>
            <w:tcBorders>
              <w:top w:val="single" w:sz="4" w:space="0" w:color="auto"/>
              <w:left w:val="single" w:sz="4" w:space="0" w:color="auto"/>
              <w:bottom w:val="single" w:sz="4" w:space="0" w:color="auto"/>
              <w:right w:val="single" w:sz="4" w:space="0" w:color="auto"/>
            </w:tcBorders>
            <w:vAlign w:val="center"/>
          </w:tcPr>
          <w:p w14:paraId="253C81E7" w14:textId="77777777" w:rsidR="008948B9" w:rsidRPr="0071625B" w:rsidRDefault="008948B9" w:rsidP="008B0984">
            <w:pPr>
              <w:rPr>
                <w:rFonts w:ascii="AcadNusx" w:hAnsi="AcadNusx"/>
                <w:sz w:val="20"/>
                <w:lang w:val="en-US"/>
              </w:rPr>
            </w:pPr>
            <w:r>
              <w:rPr>
                <w:rFonts w:ascii="AcadNusx" w:hAnsi="AcadNusx"/>
                <w:sz w:val="20"/>
                <w:lang w:val="en-US"/>
              </w:rPr>
              <w:t>5/8</w:t>
            </w:r>
          </w:p>
        </w:tc>
        <w:tc>
          <w:tcPr>
            <w:tcW w:w="560" w:type="dxa"/>
            <w:tcBorders>
              <w:top w:val="single" w:sz="4" w:space="0" w:color="auto"/>
              <w:left w:val="single" w:sz="4" w:space="0" w:color="auto"/>
              <w:bottom w:val="single" w:sz="4" w:space="0" w:color="auto"/>
              <w:right w:val="single" w:sz="4" w:space="0" w:color="auto"/>
            </w:tcBorders>
            <w:vAlign w:val="center"/>
          </w:tcPr>
          <w:p w14:paraId="1D5046BF" w14:textId="77777777" w:rsidR="008948B9" w:rsidRPr="0071625B" w:rsidRDefault="008948B9" w:rsidP="008B0984">
            <w:pPr>
              <w:rPr>
                <w:rFonts w:ascii="AcadNusx" w:hAnsi="AcadNusx"/>
                <w:sz w:val="20"/>
                <w:lang w:val="en-US"/>
              </w:rPr>
            </w:pPr>
            <w:r>
              <w:rPr>
                <w:rFonts w:ascii="AcadNusx" w:hAnsi="AcadNusx"/>
                <w:sz w:val="20"/>
                <w:lang w:val="en-US"/>
              </w:rPr>
              <w:t>34/30</w:t>
            </w:r>
          </w:p>
        </w:tc>
        <w:tc>
          <w:tcPr>
            <w:tcW w:w="561" w:type="dxa"/>
            <w:tcBorders>
              <w:top w:val="single" w:sz="4" w:space="0" w:color="auto"/>
              <w:left w:val="single" w:sz="4" w:space="0" w:color="auto"/>
              <w:bottom w:val="single" w:sz="4" w:space="0" w:color="auto"/>
              <w:right w:val="single" w:sz="4" w:space="0" w:color="auto"/>
            </w:tcBorders>
            <w:vAlign w:val="center"/>
          </w:tcPr>
          <w:p w14:paraId="2BB6E055" w14:textId="77777777" w:rsidR="008948B9" w:rsidRPr="0071625B" w:rsidRDefault="008948B9" w:rsidP="008B0984">
            <w:pPr>
              <w:rPr>
                <w:rFonts w:ascii="AcadNusx" w:hAnsi="AcadNusx"/>
                <w:sz w:val="20"/>
                <w:lang w:val="en-US"/>
              </w:rPr>
            </w:pPr>
            <w:r>
              <w:rPr>
                <w:rFonts w:ascii="AcadNusx" w:hAnsi="AcadNusx"/>
                <w:sz w:val="20"/>
                <w:lang w:val="en-US"/>
              </w:rPr>
              <w:t>19/18</w:t>
            </w:r>
          </w:p>
        </w:tc>
        <w:tc>
          <w:tcPr>
            <w:tcW w:w="561" w:type="dxa"/>
            <w:tcBorders>
              <w:top w:val="single" w:sz="4" w:space="0" w:color="auto"/>
              <w:left w:val="single" w:sz="4" w:space="0" w:color="auto"/>
              <w:bottom w:val="single" w:sz="4" w:space="0" w:color="auto"/>
              <w:right w:val="single" w:sz="4" w:space="0" w:color="auto"/>
            </w:tcBorders>
            <w:vAlign w:val="center"/>
          </w:tcPr>
          <w:p w14:paraId="21C8F9A4" w14:textId="77777777" w:rsidR="008948B9" w:rsidRPr="0071625B" w:rsidRDefault="008948B9" w:rsidP="008B0984">
            <w:pPr>
              <w:rPr>
                <w:rFonts w:ascii="AcadNusx" w:hAnsi="AcadNusx"/>
                <w:sz w:val="20"/>
                <w:lang w:val="en-US"/>
              </w:rPr>
            </w:pPr>
            <w:r>
              <w:rPr>
                <w:rFonts w:ascii="AcadNusx" w:hAnsi="AcadNusx"/>
                <w:sz w:val="20"/>
                <w:lang w:val="en-US"/>
              </w:rPr>
              <w:t>12/9</w:t>
            </w:r>
          </w:p>
        </w:tc>
        <w:tc>
          <w:tcPr>
            <w:tcW w:w="864" w:type="dxa"/>
            <w:tcBorders>
              <w:top w:val="single" w:sz="4" w:space="0" w:color="auto"/>
              <w:left w:val="single" w:sz="4" w:space="0" w:color="auto"/>
              <w:bottom w:val="single" w:sz="4" w:space="0" w:color="auto"/>
              <w:right w:val="single" w:sz="4" w:space="0" w:color="auto"/>
            </w:tcBorders>
            <w:vAlign w:val="center"/>
          </w:tcPr>
          <w:p w14:paraId="361DDD79" w14:textId="77777777" w:rsidR="008948B9" w:rsidRPr="0071625B" w:rsidRDefault="008948B9" w:rsidP="008B0984">
            <w:pPr>
              <w:rPr>
                <w:rFonts w:ascii="AcadNusx" w:hAnsi="AcadNusx"/>
                <w:sz w:val="20"/>
                <w:lang w:val="en-US"/>
              </w:rPr>
            </w:pPr>
            <w:r>
              <w:rPr>
                <w:rFonts w:ascii="AcadNusx" w:hAnsi="AcadNusx"/>
                <w:sz w:val="20"/>
                <w:lang w:val="en-US"/>
              </w:rPr>
              <w:t>3.8/0.8</w:t>
            </w:r>
          </w:p>
        </w:tc>
        <w:tc>
          <w:tcPr>
            <w:tcW w:w="695" w:type="dxa"/>
            <w:tcBorders>
              <w:top w:val="single" w:sz="4" w:space="0" w:color="auto"/>
              <w:left w:val="single" w:sz="4" w:space="0" w:color="auto"/>
              <w:bottom w:val="single" w:sz="4" w:space="0" w:color="auto"/>
              <w:right w:val="single" w:sz="4" w:space="0" w:color="auto"/>
            </w:tcBorders>
            <w:vAlign w:val="center"/>
          </w:tcPr>
          <w:p w14:paraId="32C63D14" w14:textId="77777777" w:rsidR="008948B9" w:rsidRPr="0071625B" w:rsidRDefault="008948B9" w:rsidP="008B0984">
            <w:pPr>
              <w:rPr>
                <w:rFonts w:ascii="AcadNusx" w:hAnsi="AcadNusx"/>
                <w:sz w:val="20"/>
                <w:lang w:val="en-US"/>
              </w:rPr>
            </w:pPr>
            <w:r>
              <w:rPr>
                <w:rFonts w:ascii="AcadNusx" w:hAnsi="AcadNusx"/>
                <w:sz w:val="20"/>
                <w:lang w:val="en-US"/>
              </w:rPr>
              <w:t>2.7/1.2</w:t>
            </w:r>
          </w:p>
        </w:tc>
      </w:tr>
    </w:tbl>
    <w:p w14:paraId="062A9250" w14:textId="77777777" w:rsidR="005718CD" w:rsidRPr="005718CD" w:rsidRDefault="005718CD" w:rsidP="008B0984">
      <w:pPr>
        <w:rPr>
          <w:lang w:val="ka-GE"/>
        </w:rPr>
      </w:pPr>
      <w:r w:rsidRPr="005718CD">
        <w:rPr>
          <w:rFonts w:ascii="Sylfaen" w:hAnsi="Sylfaen" w:cs="Sylfaen"/>
          <w:lang w:val="ka-GE"/>
        </w:rPr>
        <w:t>ქარის</w:t>
      </w:r>
      <w:r w:rsidRPr="005718CD">
        <w:rPr>
          <w:lang w:val="ka-GE"/>
        </w:rPr>
        <w:t xml:space="preserve"> </w:t>
      </w:r>
      <w:r w:rsidRPr="005718CD">
        <w:rPr>
          <w:rFonts w:ascii="Sylfaen" w:hAnsi="Sylfaen" w:cs="Sylfaen"/>
          <w:lang w:val="ka-GE"/>
        </w:rPr>
        <w:t>მახასიათბლები</w:t>
      </w:r>
      <w:r w:rsidRPr="005718CD">
        <w:rPr>
          <w:lang w:val="ka-GE"/>
        </w:rPr>
        <w:t xml:space="preserve"> </w:t>
      </w:r>
      <w:r w:rsidRPr="005718CD">
        <w:rPr>
          <w:rFonts w:ascii="Sylfaen" w:hAnsi="Sylfaen" w:cs="Sylfaen"/>
          <w:lang w:val="ka-GE"/>
        </w:rPr>
        <w:t>ცხრილი</w:t>
      </w:r>
      <w:r w:rsidRPr="005718CD">
        <w:rPr>
          <w:lang w:val="ka-GE"/>
        </w:rPr>
        <w:t xml:space="preserve"> 6.1.1.</w:t>
      </w:r>
      <w:r>
        <w:rPr>
          <w:lang w:val="ka-GE"/>
        </w:rPr>
        <w:t>5</w:t>
      </w:r>
    </w:p>
    <w:tbl>
      <w:tblPr>
        <w:tblW w:w="5231" w:type="dxa"/>
        <w:tblInd w:w="2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561"/>
        <w:gridCol w:w="560"/>
        <w:gridCol w:w="561"/>
        <w:gridCol w:w="561"/>
        <w:gridCol w:w="560"/>
        <w:gridCol w:w="561"/>
        <w:gridCol w:w="561"/>
        <w:gridCol w:w="746"/>
      </w:tblGrid>
      <w:tr w:rsidR="008948B9" w:rsidRPr="005718CD" w14:paraId="4EAFA5FB" w14:textId="77777777" w:rsidTr="0009255A">
        <w:trPr>
          <w:cantSplit/>
          <w:trHeight w:val="621"/>
        </w:trPr>
        <w:tc>
          <w:tcPr>
            <w:tcW w:w="5231" w:type="dxa"/>
            <w:gridSpan w:val="9"/>
            <w:tcBorders>
              <w:top w:val="single" w:sz="4" w:space="0" w:color="auto"/>
              <w:left w:val="single" w:sz="4" w:space="0" w:color="auto"/>
              <w:bottom w:val="single" w:sz="4" w:space="0" w:color="auto"/>
              <w:right w:val="single" w:sz="4" w:space="0" w:color="auto"/>
            </w:tcBorders>
            <w:vAlign w:val="center"/>
            <w:hideMark/>
          </w:tcPr>
          <w:p w14:paraId="2A3BAEDA" w14:textId="77777777" w:rsidR="008948B9" w:rsidRPr="005718CD" w:rsidRDefault="005718CD" w:rsidP="008B0984">
            <w:pPr>
              <w:rPr>
                <w:sz w:val="16"/>
                <w:szCs w:val="16"/>
                <w:lang w:val="en-US"/>
              </w:rPr>
            </w:pPr>
            <w:r w:rsidRPr="005718CD">
              <w:rPr>
                <w:rFonts w:ascii="Sylfaen" w:hAnsi="Sylfaen" w:cs="Sylfaen"/>
                <w:sz w:val="20"/>
                <w:lang w:val="en-US"/>
              </w:rPr>
              <w:t>ქარის</w:t>
            </w:r>
            <w:r w:rsidRPr="005718CD">
              <w:rPr>
                <w:sz w:val="20"/>
                <w:lang w:val="en-US"/>
              </w:rPr>
              <w:t xml:space="preserve"> </w:t>
            </w:r>
            <w:r w:rsidRPr="005718CD">
              <w:rPr>
                <w:rFonts w:ascii="Sylfaen" w:hAnsi="Sylfaen" w:cs="Sylfaen"/>
                <w:sz w:val="20"/>
                <w:lang w:val="en-US"/>
              </w:rPr>
              <w:t>მიმართულების</w:t>
            </w:r>
            <w:r w:rsidRPr="005718CD">
              <w:rPr>
                <w:sz w:val="20"/>
                <w:lang w:val="en-US"/>
              </w:rPr>
              <w:t xml:space="preserve"> </w:t>
            </w:r>
            <w:r w:rsidRPr="005718CD">
              <w:rPr>
                <w:rFonts w:ascii="Sylfaen" w:hAnsi="Sylfaen" w:cs="Sylfaen"/>
                <w:sz w:val="20"/>
                <w:lang w:val="en-US"/>
              </w:rPr>
              <w:t>და</w:t>
            </w:r>
            <w:r w:rsidRPr="005718CD">
              <w:rPr>
                <w:sz w:val="20"/>
                <w:lang w:val="en-US"/>
              </w:rPr>
              <w:t xml:space="preserve"> </w:t>
            </w:r>
            <w:r w:rsidRPr="005718CD">
              <w:rPr>
                <w:rFonts w:ascii="Sylfaen" w:hAnsi="Sylfaen" w:cs="Sylfaen"/>
                <w:sz w:val="20"/>
                <w:lang w:val="en-US"/>
              </w:rPr>
              <w:t>შტილის</w:t>
            </w:r>
            <w:r w:rsidRPr="005718CD">
              <w:rPr>
                <w:sz w:val="20"/>
                <w:lang w:val="en-US"/>
              </w:rPr>
              <w:t xml:space="preserve"> </w:t>
            </w:r>
            <w:r w:rsidRPr="005718CD">
              <w:rPr>
                <w:rFonts w:ascii="Sylfaen" w:hAnsi="Sylfaen" w:cs="Sylfaen"/>
                <w:sz w:val="20"/>
                <w:lang w:val="en-US"/>
              </w:rPr>
              <w:t>განმეორადობა</w:t>
            </w:r>
            <w:r w:rsidRPr="005718CD">
              <w:rPr>
                <w:sz w:val="20"/>
                <w:lang w:val="en-US"/>
              </w:rPr>
              <w:t xml:space="preserve"> (%) </w:t>
            </w:r>
            <w:r w:rsidRPr="005718CD">
              <w:rPr>
                <w:rFonts w:ascii="Sylfaen" w:hAnsi="Sylfaen" w:cs="Sylfaen"/>
                <w:sz w:val="20"/>
                <w:lang w:val="en-US"/>
              </w:rPr>
              <w:t>შტილი</w:t>
            </w:r>
          </w:p>
        </w:tc>
      </w:tr>
      <w:tr w:rsidR="008948B9" w:rsidRPr="005718CD" w14:paraId="663BD9CD" w14:textId="77777777" w:rsidTr="0009255A">
        <w:trPr>
          <w:cantSplit/>
          <w:trHeight w:val="1038"/>
        </w:trPr>
        <w:tc>
          <w:tcPr>
            <w:tcW w:w="560" w:type="dxa"/>
            <w:tcBorders>
              <w:top w:val="single" w:sz="4" w:space="0" w:color="auto"/>
              <w:left w:val="single" w:sz="4" w:space="0" w:color="auto"/>
              <w:bottom w:val="single" w:sz="4" w:space="0" w:color="auto"/>
              <w:right w:val="single" w:sz="4" w:space="0" w:color="auto"/>
            </w:tcBorders>
            <w:vAlign w:val="center"/>
            <w:hideMark/>
          </w:tcPr>
          <w:p w14:paraId="437F5E48" w14:textId="77777777" w:rsidR="008948B9" w:rsidRPr="005718CD" w:rsidRDefault="005718CD" w:rsidP="008B0984">
            <w:pPr>
              <w:rPr>
                <w:spacing w:val="20"/>
                <w:kern w:val="14"/>
                <w:sz w:val="20"/>
                <w:lang w:val="ka-GE"/>
              </w:rPr>
            </w:pPr>
            <w:r w:rsidRPr="005718CD">
              <w:rPr>
                <w:rFonts w:ascii="Sylfaen" w:hAnsi="Sylfaen" w:cs="Sylfaen"/>
                <w:spacing w:val="20"/>
                <w:kern w:val="14"/>
                <w:sz w:val="20"/>
                <w:lang w:val="ka-GE"/>
              </w:rPr>
              <w:t>ჩ</w:t>
            </w:r>
          </w:p>
        </w:tc>
        <w:tc>
          <w:tcPr>
            <w:tcW w:w="561" w:type="dxa"/>
            <w:tcBorders>
              <w:top w:val="single" w:sz="4" w:space="0" w:color="auto"/>
              <w:left w:val="single" w:sz="4" w:space="0" w:color="auto"/>
              <w:bottom w:val="single" w:sz="4" w:space="0" w:color="auto"/>
              <w:right w:val="single" w:sz="4" w:space="0" w:color="auto"/>
            </w:tcBorders>
            <w:vAlign w:val="center"/>
            <w:hideMark/>
          </w:tcPr>
          <w:p w14:paraId="0850D0AB" w14:textId="77777777" w:rsidR="008948B9" w:rsidRPr="005718CD" w:rsidRDefault="005718CD" w:rsidP="008B0984">
            <w:pPr>
              <w:rPr>
                <w:spacing w:val="20"/>
                <w:kern w:val="14"/>
                <w:sz w:val="20"/>
                <w:lang w:val="ka-GE"/>
              </w:rPr>
            </w:pPr>
            <w:r w:rsidRPr="005718CD">
              <w:rPr>
                <w:rFonts w:ascii="Sylfaen" w:hAnsi="Sylfaen" w:cs="Sylfaen"/>
                <w:spacing w:val="20"/>
                <w:kern w:val="14"/>
                <w:sz w:val="20"/>
                <w:lang w:val="ka-GE"/>
              </w:rPr>
              <w:t>ჩა</w:t>
            </w:r>
          </w:p>
        </w:tc>
        <w:tc>
          <w:tcPr>
            <w:tcW w:w="560" w:type="dxa"/>
            <w:tcBorders>
              <w:top w:val="single" w:sz="4" w:space="0" w:color="auto"/>
              <w:left w:val="single" w:sz="4" w:space="0" w:color="auto"/>
              <w:bottom w:val="single" w:sz="4" w:space="0" w:color="auto"/>
              <w:right w:val="single" w:sz="4" w:space="0" w:color="auto"/>
            </w:tcBorders>
            <w:vAlign w:val="center"/>
            <w:hideMark/>
          </w:tcPr>
          <w:p w14:paraId="1F61E1CD" w14:textId="77777777" w:rsidR="008948B9" w:rsidRPr="005718CD" w:rsidRDefault="005718CD" w:rsidP="008B0984">
            <w:pPr>
              <w:rPr>
                <w:spacing w:val="20"/>
                <w:kern w:val="14"/>
                <w:sz w:val="20"/>
                <w:lang w:val="ka-GE"/>
              </w:rPr>
            </w:pPr>
            <w:r w:rsidRPr="005718CD">
              <w:rPr>
                <w:rFonts w:ascii="Sylfaen" w:hAnsi="Sylfaen" w:cs="Sylfaen"/>
                <w:spacing w:val="20"/>
                <w:kern w:val="14"/>
                <w:sz w:val="20"/>
                <w:lang w:val="ka-GE"/>
              </w:rPr>
              <w:t>ა</w:t>
            </w:r>
          </w:p>
        </w:tc>
        <w:tc>
          <w:tcPr>
            <w:tcW w:w="561" w:type="dxa"/>
            <w:tcBorders>
              <w:top w:val="single" w:sz="4" w:space="0" w:color="auto"/>
              <w:left w:val="single" w:sz="4" w:space="0" w:color="auto"/>
              <w:bottom w:val="single" w:sz="4" w:space="0" w:color="auto"/>
              <w:right w:val="single" w:sz="4" w:space="0" w:color="auto"/>
            </w:tcBorders>
            <w:vAlign w:val="center"/>
            <w:hideMark/>
          </w:tcPr>
          <w:p w14:paraId="0920395D" w14:textId="77777777" w:rsidR="008948B9" w:rsidRPr="005718CD" w:rsidRDefault="005718CD" w:rsidP="008B0984">
            <w:pPr>
              <w:rPr>
                <w:spacing w:val="20"/>
                <w:kern w:val="14"/>
                <w:sz w:val="20"/>
                <w:lang w:val="ka-GE"/>
              </w:rPr>
            </w:pPr>
            <w:r w:rsidRPr="005718CD">
              <w:rPr>
                <w:rFonts w:ascii="Sylfaen" w:hAnsi="Sylfaen" w:cs="Sylfaen"/>
                <w:spacing w:val="20"/>
                <w:kern w:val="14"/>
                <w:sz w:val="20"/>
                <w:lang w:val="ka-GE"/>
              </w:rPr>
              <w:t>სა</w:t>
            </w:r>
          </w:p>
        </w:tc>
        <w:tc>
          <w:tcPr>
            <w:tcW w:w="561" w:type="dxa"/>
            <w:tcBorders>
              <w:top w:val="single" w:sz="4" w:space="0" w:color="auto"/>
              <w:left w:val="single" w:sz="4" w:space="0" w:color="auto"/>
              <w:bottom w:val="single" w:sz="4" w:space="0" w:color="auto"/>
              <w:right w:val="single" w:sz="4" w:space="0" w:color="auto"/>
            </w:tcBorders>
            <w:vAlign w:val="center"/>
            <w:hideMark/>
          </w:tcPr>
          <w:p w14:paraId="344547A1" w14:textId="77777777" w:rsidR="008948B9" w:rsidRPr="005718CD" w:rsidRDefault="005718CD" w:rsidP="008B0984">
            <w:pPr>
              <w:rPr>
                <w:spacing w:val="20"/>
                <w:kern w:val="14"/>
                <w:sz w:val="20"/>
                <w:lang w:val="ka-GE"/>
              </w:rPr>
            </w:pPr>
            <w:r w:rsidRPr="005718CD">
              <w:rPr>
                <w:rFonts w:ascii="Sylfaen" w:hAnsi="Sylfaen" w:cs="Sylfaen"/>
                <w:spacing w:val="20"/>
                <w:kern w:val="14"/>
                <w:sz w:val="20"/>
                <w:lang w:val="ka-GE"/>
              </w:rPr>
              <w:t>ს</w:t>
            </w:r>
          </w:p>
        </w:tc>
        <w:tc>
          <w:tcPr>
            <w:tcW w:w="560" w:type="dxa"/>
            <w:tcBorders>
              <w:top w:val="single" w:sz="4" w:space="0" w:color="auto"/>
              <w:left w:val="single" w:sz="4" w:space="0" w:color="auto"/>
              <w:bottom w:val="single" w:sz="4" w:space="0" w:color="auto"/>
              <w:right w:val="single" w:sz="4" w:space="0" w:color="auto"/>
            </w:tcBorders>
            <w:vAlign w:val="center"/>
            <w:hideMark/>
          </w:tcPr>
          <w:p w14:paraId="60D9B0B8" w14:textId="77777777" w:rsidR="008948B9" w:rsidRPr="005718CD" w:rsidRDefault="005718CD" w:rsidP="008B0984">
            <w:pPr>
              <w:rPr>
                <w:spacing w:val="20"/>
                <w:kern w:val="14"/>
                <w:sz w:val="20"/>
                <w:lang w:val="ka-GE"/>
              </w:rPr>
            </w:pPr>
            <w:r w:rsidRPr="005718CD">
              <w:rPr>
                <w:rFonts w:ascii="Sylfaen" w:hAnsi="Sylfaen" w:cs="Sylfaen"/>
                <w:spacing w:val="20"/>
                <w:kern w:val="14"/>
                <w:sz w:val="20"/>
                <w:lang w:val="ka-GE"/>
              </w:rPr>
              <w:t>სდ</w:t>
            </w:r>
          </w:p>
        </w:tc>
        <w:tc>
          <w:tcPr>
            <w:tcW w:w="561" w:type="dxa"/>
            <w:tcBorders>
              <w:top w:val="single" w:sz="4" w:space="0" w:color="auto"/>
              <w:left w:val="single" w:sz="4" w:space="0" w:color="auto"/>
              <w:bottom w:val="single" w:sz="4" w:space="0" w:color="auto"/>
              <w:right w:val="single" w:sz="4" w:space="0" w:color="auto"/>
            </w:tcBorders>
            <w:vAlign w:val="center"/>
            <w:hideMark/>
          </w:tcPr>
          <w:p w14:paraId="1A5D7CC1" w14:textId="77777777" w:rsidR="008948B9" w:rsidRPr="005718CD" w:rsidRDefault="005718CD" w:rsidP="008B0984">
            <w:pPr>
              <w:rPr>
                <w:spacing w:val="20"/>
                <w:kern w:val="14"/>
                <w:sz w:val="20"/>
                <w:lang w:val="ka-GE"/>
              </w:rPr>
            </w:pPr>
            <w:r w:rsidRPr="005718CD">
              <w:rPr>
                <w:rFonts w:ascii="Sylfaen" w:hAnsi="Sylfaen" w:cs="Sylfaen"/>
                <w:spacing w:val="20"/>
                <w:kern w:val="14"/>
                <w:sz w:val="20"/>
                <w:lang w:val="ka-GE"/>
              </w:rPr>
              <w:t>დ</w:t>
            </w:r>
          </w:p>
        </w:tc>
        <w:tc>
          <w:tcPr>
            <w:tcW w:w="561" w:type="dxa"/>
            <w:tcBorders>
              <w:top w:val="single" w:sz="4" w:space="0" w:color="auto"/>
              <w:left w:val="single" w:sz="4" w:space="0" w:color="auto"/>
              <w:bottom w:val="single" w:sz="4" w:space="0" w:color="auto"/>
              <w:right w:val="single" w:sz="4" w:space="0" w:color="auto"/>
            </w:tcBorders>
            <w:vAlign w:val="center"/>
            <w:hideMark/>
          </w:tcPr>
          <w:p w14:paraId="0F87BFE6" w14:textId="77777777" w:rsidR="008948B9" w:rsidRPr="005718CD" w:rsidRDefault="005718CD" w:rsidP="008B0984">
            <w:pPr>
              <w:rPr>
                <w:spacing w:val="20"/>
                <w:kern w:val="14"/>
                <w:sz w:val="20"/>
                <w:lang w:val="ka-GE"/>
              </w:rPr>
            </w:pPr>
            <w:r w:rsidRPr="005718CD">
              <w:rPr>
                <w:rFonts w:ascii="Sylfaen" w:hAnsi="Sylfaen" w:cs="Sylfaen"/>
                <w:spacing w:val="20"/>
                <w:kern w:val="14"/>
                <w:sz w:val="20"/>
                <w:lang w:val="ka-GE"/>
              </w:rPr>
              <w:t>ჩდ</w:t>
            </w:r>
          </w:p>
        </w:tc>
        <w:tc>
          <w:tcPr>
            <w:tcW w:w="746" w:type="dxa"/>
            <w:tcBorders>
              <w:top w:val="single" w:sz="4" w:space="0" w:color="auto"/>
              <w:left w:val="single" w:sz="4" w:space="0" w:color="auto"/>
              <w:bottom w:val="single" w:sz="4" w:space="0" w:color="auto"/>
              <w:right w:val="single" w:sz="4" w:space="0" w:color="auto"/>
            </w:tcBorders>
            <w:textDirection w:val="btLr"/>
            <w:vAlign w:val="center"/>
            <w:hideMark/>
          </w:tcPr>
          <w:p w14:paraId="65D98E7A" w14:textId="77777777" w:rsidR="008948B9" w:rsidRPr="005718CD" w:rsidRDefault="005718CD" w:rsidP="008B0984">
            <w:pPr>
              <w:rPr>
                <w:spacing w:val="20"/>
                <w:kern w:val="14"/>
                <w:sz w:val="18"/>
                <w:szCs w:val="18"/>
                <w:lang w:val="ka-GE"/>
              </w:rPr>
            </w:pPr>
            <w:r w:rsidRPr="005718CD">
              <w:rPr>
                <w:rFonts w:ascii="Sylfaen" w:hAnsi="Sylfaen" w:cs="Sylfaen"/>
                <w:spacing w:val="20"/>
                <w:kern w:val="14"/>
                <w:sz w:val="18"/>
                <w:szCs w:val="18"/>
                <w:lang w:val="ka-GE"/>
              </w:rPr>
              <w:t>შტილი</w:t>
            </w:r>
          </w:p>
        </w:tc>
      </w:tr>
      <w:tr w:rsidR="008948B9" w:rsidRPr="005718CD" w14:paraId="69F63A8E" w14:textId="77777777" w:rsidTr="0009255A">
        <w:trPr>
          <w:cantSplit/>
          <w:trHeight w:val="418"/>
        </w:trPr>
        <w:tc>
          <w:tcPr>
            <w:tcW w:w="560" w:type="dxa"/>
            <w:tcBorders>
              <w:top w:val="single" w:sz="4" w:space="0" w:color="auto"/>
              <w:left w:val="single" w:sz="4" w:space="0" w:color="auto"/>
              <w:bottom w:val="single" w:sz="4" w:space="0" w:color="auto"/>
              <w:right w:val="single" w:sz="4" w:space="0" w:color="auto"/>
            </w:tcBorders>
            <w:vAlign w:val="center"/>
          </w:tcPr>
          <w:p w14:paraId="211F7480" w14:textId="77777777" w:rsidR="008948B9" w:rsidRPr="005718CD" w:rsidRDefault="008948B9" w:rsidP="008B0984">
            <w:pPr>
              <w:rPr>
                <w:sz w:val="20"/>
                <w:lang w:val="en-US"/>
              </w:rPr>
            </w:pPr>
            <w:r w:rsidRPr="005718CD">
              <w:rPr>
                <w:sz w:val="20"/>
                <w:lang w:val="en-US"/>
              </w:rPr>
              <w:t>5</w:t>
            </w:r>
          </w:p>
        </w:tc>
        <w:tc>
          <w:tcPr>
            <w:tcW w:w="561" w:type="dxa"/>
            <w:tcBorders>
              <w:top w:val="single" w:sz="4" w:space="0" w:color="auto"/>
              <w:left w:val="single" w:sz="4" w:space="0" w:color="auto"/>
              <w:bottom w:val="single" w:sz="4" w:space="0" w:color="auto"/>
              <w:right w:val="single" w:sz="4" w:space="0" w:color="auto"/>
            </w:tcBorders>
            <w:vAlign w:val="center"/>
          </w:tcPr>
          <w:p w14:paraId="4EC522F9" w14:textId="77777777" w:rsidR="008948B9" w:rsidRPr="005718CD" w:rsidRDefault="008948B9" w:rsidP="008B0984">
            <w:pPr>
              <w:rPr>
                <w:sz w:val="20"/>
                <w:lang w:val="en-US"/>
              </w:rPr>
            </w:pPr>
            <w:r w:rsidRPr="005718CD">
              <w:rPr>
                <w:sz w:val="20"/>
                <w:lang w:val="en-US"/>
              </w:rPr>
              <w:t>8</w:t>
            </w:r>
          </w:p>
        </w:tc>
        <w:tc>
          <w:tcPr>
            <w:tcW w:w="560" w:type="dxa"/>
            <w:tcBorders>
              <w:top w:val="single" w:sz="4" w:space="0" w:color="auto"/>
              <w:left w:val="single" w:sz="4" w:space="0" w:color="auto"/>
              <w:bottom w:val="single" w:sz="4" w:space="0" w:color="auto"/>
              <w:right w:val="single" w:sz="4" w:space="0" w:color="auto"/>
            </w:tcBorders>
            <w:vAlign w:val="center"/>
          </w:tcPr>
          <w:p w14:paraId="7BDB8771" w14:textId="77777777" w:rsidR="008948B9" w:rsidRPr="005718CD" w:rsidRDefault="008948B9" w:rsidP="008B0984">
            <w:pPr>
              <w:rPr>
                <w:sz w:val="20"/>
                <w:lang w:val="en-US"/>
              </w:rPr>
            </w:pPr>
            <w:r w:rsidRPr="005718CD">
              <w:rPr>
                <w:sz w:val="20"/>
                <w:lang w:val="en-US"/>
              </w:rPr>
              <w:t>12</w:t>
            </w:r>
          </w:p>
        </w:tc>
        <w:tc>
          <w:tcPr>
            <w:tcW w:w="561" w:type="dxa"/>
            <w:tcBorders>
              <w:top w:val="single" w:sz="4" w:space="0" w:color="auto"/>
              <w:left w:val="single" w:sz="4" w:space="0" w:color="auto"/>
              <w:bottom w:val="single" w:sz="4" w:space="0" w:color="auto"/>
              <w:right w:val="single" w:sz="4" w:space="0" w:color="auto"/>
            </w:tcBorders>
            <w:vAlign w:val="center"/>
          </w:tcPr>
          <w:p w14:paraId="2FE7E3DA" w14:textId="77777777" w:rsidR="008948B9" w:rsidRPr="005718CD" w:rsidRDefault="008948B9" w:rsidP="008B0984">
            <w:pPr>
              <w:rPr>
                <w:sz w:val="20"/>
                <w:lang w:val="en-US"/>
              </w:rPr>
            </w:pPr>
            <w:r w:rsidRPr="005718CD">
              <w:rPr>
                <w:sz w:val="20"/>
                <w:lang w:val="en-US"/>
              </w:rPr>
              <w:t>9</w:t>
            </w:r>
          </w:p>
        </w:tc>
        <w:tc>
          <w:tcPr>
            <w:tcW w:w="561" w:type="dxa"/>
            <w:tcBorders>
              <w:top w:val="single" w:sz="4" w:space="0" w:color="auto"/>
              <w:left w:val="single" w:sz="4" w:space="0" w:color="auto"/>
              <w:bottom w:val="single" w:sz="4" w:space="0" w:color="auto"/>
              <w:right w:val="single" w:sz="4" w:space="0" w:color="auto"/>
            </w:tcBorders>
            <w:vAlign w:val="center"/>
          </w:tcPr>
          <w:p w14:paraId="6E1CE7F3" w14:textId="77777777" w:rsidR="008948B9" w:rsidRPr="005718CD" w:rsidRDefault="008948B9" w:rsidP="008B0984">
            <w:pPr>
              <w:rPr>
                <w:sz w:val="20"/>
                <w:lang w:val="en-US"/>
              </w:rPr>
            </w:pPr>
            <w:r w:rsidRPr="005718CD">
              <w:rPr>
                <w:sz w:val="20"/>
                <w:lang w:val="en-US"/>
              </w:rPr>
              <w:t>7</w:t>
            </w:r>
          </w:p>
        </w:tc>
        <w:tc>
          <w:tcPr>
            <w:tcW w:w="560" w:type="dxa"/>
            <w:tcBorders>
              <w:top w:val="single" w:sz="4" w:space="0" w:color="auto"/>
              <w:left w:val="single" w:sz="4" w:space="0" w:color="auto"/>
              <w:bottom w:val="single" w:sz="4" w:space="0" w:color="auto"/>
              <w:right w:val="single" w:sz="4" w:space="0" w:color="auto"/>
            </w:tcBorders>
            <w:vAlign w:val="center"/>
          </w:tcPr>
          <w:p w14:paraId="65FB5999" w14:textId="77777777" w:rsidR="008948B9" w:rsidRPr="005718CD" w:rsidRDefault="008948B9" w:rsidP="008B0984">
            <w:pPr>
              <w:rPr>
                <w:sz w:val="20"/>
                <w:lang w:val="en-US"/>
              </w:rPr>
            </w:pPr>
            <w:r w:rsidRPr="005718CD">
              <w:rPr>
                <w:sz w:val="20"/>
                <w:lang w:val="en-US"/>
              </w:rPr>
              <w:t>33</w:t>
            </w:r>
          </w:p>
        </w:tc>
        <w:tc>
          <w:tcPr>
            <w:tcW w:w="561" w:type="dxa"/>
            <w:tcBorders>
              <w:top w:val="single" w:sz="4" w:space="0" w:color="auto"/>
              <w:left w:val="single" w:sz="4" w:space="0" w:color="auto"/>
              <w:bottom w:val="single" w:sz="4" w:space="0" w:color="auto"/>
              <w:right w:val="single" w:sz="4" w:space="0" w:color="auto"/>
            </w:tcBorders>
            <w:vAlign w:val="center"/>
          </w:tcPr>
          <w:p w14:paraId="76A93A64" w14:textId="77777777" w:rsidR="008948B9" w:rsidRPr="005718CD" w:rsidRDefault="008948B9" w:rsidP="008B0984">
            <w:pPr>
              <w:rPr>
                <w:sz w:val="20"/>
                <w:lang w:val="en-US"/>
              </w:rPr>
            </w:pPr>
            <w:r w:rsidRPr="005718CD">
              <w:rPr>
                <w:sz w:val="20"/>
                <w:lang w:val="en-US"/>
              </w:rPr>
              <w:t>18</w:t>
            </w:r>
          </w:p>
        </w:tc>
        <w:tc>
          <w:tcPr>
            <w:tcW w:w="561" w:type="dxa"/>
            <w:tcBorders>
              <w:top w:val="single" w:sz="4" w:space="0" w:color="auto"/>
              <w:left w:val="single" w:sz="4" w:space="0" w:color="auto"/>
              <w:bottom w:val="single" w:sz="4" w:space="0" w:color="auto"/>
              <w:right w:val="single" w:sz="4" w:space="0" w:color="auto"/>
            </w:tcBorders>
            <w:vAlign w:val="center"/>
          </w:tcPr>
          <w:p w14:paraId="5531F92D" w14:textId="77777777" w:rsidR="008948B9" w:rsidRPr="005718CD" w:rsidRDefault="008948B9" w:rsidP="008B0984">
            <w:pPr>
              <w:rPr>
                <w:sz w:val="20"/>
                <w:lang w:val="en-US"/>
              </w:rPr>
            </w:pPr>
            <w:r w:rsidRPr="005718CD">
              <w:rPr>
                <w:sz w:val="20"/>
                <w:lang w:val="en-US"/>
              </w:rPr>
              <w:t>8</w:t>
            </w:r>
          </w:p>
        </w:tc>
        <w:tc>
          <w:tcPr>
            <w:tcW w:w="746" w:type="dxa"/>
            <w:tcBorders>
              <w:top w:val="single" w:sz="4" w:space="0" w:color="auto"/>
              <w:left w:val="single" w:sz="4" w:space="0" w:color="auto"/>
              <w:bottom w:val="single" w:sz="4" w:space="0" w:color="auto"/>
              <w:right w:val="single" w:sz="4" w:space="0" w:color="auto"/>
            </w:tcBorders>
            <w:vAlign w:val="center"/>
          </w:tcPr>
          <w:p w14:paraId="79310E15" w14:textId="77777777" w:rsidR="008948B9" w:rsidRPr="005718CD" w:rsidRDefault="008948B9" w:rsidP="008B0984">
            <w:pPr>
              <w:rPr>
                <w:sz w:val="20"/>
                <w:lang w:val="en-US"/>
              </w:rPr>
            </w:pPr>
            <w:r w:rsidRPr="005718CD">
              <w:rPr>
                <w:sz w:val="20"/>
                <w:lang w:val="en-US"/>
              </w:rPr>
              <w:t>8</w:t>
            </w:r>
          </w:p>
        </w:tc>
      </w:tr>
    </w:tbl>
    <w:p w14:paraId="26314E67" w14:textId="77777777" w:rsidR="008948B9" w:rsidRPr="0071625B" w:rsidRDefault="008948B9" w:rsidP="008B0984">
      <w:pPr>
        <w:rPr>
          <w:rFonts w:ascii="AcadNusx" w:hAnsi="AcadNusx"/>
          <w:lang w:val="en-US"/>
        </w:rPr>
      </w:pPr>
    </w:p>
    <w:p w14:paraId="0938D580" w14:textId="34CD0829" w:rsidR="00007238" w:rsidRPr="0078141E" w:rsidRDefault="00DA2E66" w:rsidP="00007238">
      <w:pPr>
        <w:pStyle w:val="Heading2"/>
        <w:rPr>
          <w:rFonts w:ascii="Sylfaen" w:hAnsi="Sylfaen"/>
          <w:sz w:val="24"/>
          <w:szCs w:val="24"/>
          <w:lang w:val="da-DK"/>
        </w:rPr>
      </w:pPr>
      <w:bookmarkStart w:id="195" w:name="_Toc365827139"/>
      <w:bookmarkStart w:id="196" w:name="_Toc1581548"/>
      <w:r w:rsidRPr="00E9639A">
        <w:rPr>
          <w:rFonts w:ascii="Sylfaen" w:hAnsi="Sylfaen"/>
          <w:sz w:val="24"/>
          <w:szCs w:val="24"/>
          <w:lang w:val="da-DK"/>
        </w:rPr>
        <w:t>6.2</w:t>
      </w:r>
      <w:r w:rsidRPr="00E9639A">
        <w:rPr>
          <w:rFonts w:ascii="Sylfaen" w:hAnsi="Sylfaen"/>
          <w:sz w:val="24"/>
          <w:szCs w:val="24"/>
          <w:lang w:val="da-DK"/>
        </w:rPr>
        <w:tab/>
      </w:r>
      <w:bookmarkEnd w:id="195"/>
      <w:r w:rsidR="00007238" w:rsidRPr="00E9639A">
        <w:rPr>
          <w:rFonts w:ascii="Sylfaen" w:hAnsi="Sylfaen"/>
          <w:sz w:val="24"/>
          <w:szCs w:val="24"/>
          <w:lang w:val="ka-GE"/>
        </w:rPr>
        <w:t>გეომორფოლოგია და ნიადაგები</w:t>
      </w:r>
      <w:bookmarkEnd w:id="196"/>
      <w:r w:rsidR="00007238" w:rsidRPr="0078141E">
        <w:rPr>
          <w:rFonts w:ascii="Sylfaen" w:hAnsi="Sylfaen"/>
          <w:sz w:val="24"/>
          <w:szCs w:val="24"/>
          <w:lang w:val="da-DK"/>
        </w:rPr>
        <w:t xml:space="preserve"> </w:t>
      </w:r>
    </w:p>
    <w:p w14:paraId="4E8F03C1" w14:textId="77777777" w:rsidR="00EA3C65" w:rsidRDefault="00EA3C65" w:rsidP="00007238">
      <w:pPr>
        <w:tabs>
          <w:tab w:val="left" w:pos="1080"/>
        </w:tabs>
        <w:spacing w:before="200" w:after="200"/>
        <w:rPr>
          <w:rFonts w:ascii="Sylfaen" w:hAnsi="Sylfaen"/>
          <w:b/>
          <w:u w:val="single"/>
          <w:lang w:val="ka-GE"/>
        </w:rPr>
      </w:pPr>
      <w:r>
        <w:rPr>
          <w:rFonts w:ascii="Sylfaen" w:hAnsi="Sylfaen"/>
          <w:b/>
          <w:u w:val="single"/>
          <w:lang w:val="ka-GE"/>
        </w:rPr>
        <w:t>რელიეფი</w:t>
      </w:r>
    </w:p>
    <w:p w14:paraId="5F8FE352" w14:textId="77777777" w:rsidR="00EA3C65" w:rsidRPr="008069E4" w:rsidRDefault="00EA3C65" w:rsidP="00EA3C65">
      <w:pPr>
        <w:spacing w:line="239" w:lineRule="auto"/>
        <w:ind w:left="7"/>
        <w:rPr>
          <w:rFonts w:ascii="Sylfaen" w:eastAsia="Sylfaen" w:hAnsi="Sylfaen"/>
          <w:lang w:val="da-DK"/>
        </w:rPr>
      </w:pPr>
      <w:r>
        <w:rPr>
          <w:rFonts w:ascii="Sylfaen" w:eastAsia="Sylfaen" w:hAnsi="Sylfaen"/>
        </w:rPr>
        <w:t>ალაზნის</w:t>
      </w:r>
      <w:r w:rsidRPr="008069E4">
        <w:rPr>
          <w:rFonts w:ascii="Sylfaen" w:eastAsia="Sylfaen" w:hAnsi="Sylfaen"/>
          <w:lang w:val="da-DK"/>
        </w:rPr>
        <w:t xml:space="preserve"> </w:t>
      </w:r>
      <w:r>
        <w:rPr>
          <w:rFonts w:ascii="Sylfaen" w:eastAsia="Sylfaen" w:hAnsi="Sylfaen"/>
        </w:rPr>
        <w:t>ვაკე</w:t>
      </w:r>
      <w:r w:rsidRPr="008069E4">
        <w:rPr>
          <w:rFonts w:ascii="Sylfaen" w:eastAsia="Sylfaen" w:hAnsi="Sylfaen"/>
          <w:lang w:val="da-DK"/>
        </w:rPr>
        <w:t xml:space="preserve"> </w:t>
      </w:r>
      <w:r>
        <w:rPr>
          <w:rFonts w:ascii="Sylfaen" w:eastAsia="Sylfaen" w:hAnsi="Sylfaen"/>
        </w:rPr>
        <w:t>წარმოადგენს</w:t>
      </w:r>
      <w:r w:rsidRPr="008069E4">
        <w:rPr>
          <w:rFonts w:ascii="Sylfaen" w:eastAsia="Sylfaen" w:hAnsi="Sylfaen"/>
          <w:lang w:val="da-DK"/>
        </w:rPr>
        <w:t xml:space="preserve"> </w:t>
      </w:r>
      <w:r>
        <w:rPr>
          <w:rFonts w:ascii="Sylfaen" w:eastAsia="Sylfaen" w:hAnsi="Sylfaen"/>
        </w:rPr>
        <w:t>მთათაშუა</w:t>
      </w:r>
      <w:r w:rsidRPr="008069E4">
        <w:rPr>
          <w:rFonts w:ascii="Sylfaen" w:eastAsia="Sylfaen" w:hAnsi="Sylfaen"/>
          <w:lang w:val="da-DK"/>
        </w:rPr>
        <w:t xml:space="preserve"> </w:t>
      </w:r>
      <w:r>
        <w:rPr>
          <w:rFonts w:ascii="Sylfaen" w:eastAsia="Sylfaen" w:hAnsi="Sylfaen"/>
        </w:rPr>
        <w:t>აკუმულაციური</w:t>
      </w:r>
      <w:r w:rsidRPr="008069E4">
        <w:rPr>
          <w:rFonts w:ascii="Sylfaen" w:eastAsia="Sylfaen" w:hAnsi="Sylfaen"/>
          <w:lang w:val="da-DK"/>
        </w:rPr>
        <w:t xml:space="preserve"> </w:t>
      </w:r>
      <w:r>
        <w:rPr>
          <w:rFonts w:ascii="Sylfaen" w:eastAsia="Sylfaen" w:hAnsi="Sylfaen"/>
        </w:rPr>
        <w:t>ვაკეს</w:t>
      </w:r>
      <w:r w:rsidRPr="008069E4">
        <w:rPr>
          <w:rFonts w:ascii="Sylfaen" w:eastAsia="Sylfaen" w:hAnsi="Sylfaen"/>
          <w:lang w:val="da-DK"/>
        </w:rPr>
        <w:t xml:space="preserve"> </w:t>
      </w:r>
      <w:r>
        <w:rPr>
          <w:rFonts w:ascii="Sylfaen" w:eastAsia="Sylfaen" w:hAnsi="Sylfaen"/>
        </w:rPr>
        <w:t>კახეთის</w:t>
      </w:r>
      <w:r w:rsidRPr="008069E4">
        <w:rPr>
          <w:rFonts w:ascii="Sylfaen" w:eastAsia="Sylfaen" w:hAnsi="Sylfaen"/>
          <w:lang w:val="da-DK"/>
        </w:rPr>
        <w:t xml:space="preserve"> </w:t>
      </w:r>
      <w:r>
        <w:rPr>
          <w:rFonts w:ascii="Sylfaen" w:eastAsia="Sylfaen" w:hAnsi="Sylfaen"/>
        </w:rPr>
        <w:t>კავკასიონსა</w:t>
      </w:r>
      <w:r w:rsidRPr="008069E4">
        <w:rPr>
          <w:rFonts w:ascii="Sylfaen" w:eastAsia="Sylfaen" w:hAnsi="Sylfaen"/>
          <w:lang w:val="da-DK"/>
        </w:rPr>
        <w:t xml:space="preserve">, </w:t>
      </w:r>
      <w:r>
        <w:rPr>
          <w:rFonts w:ascii="Sylfaen" w:eastAsia="Sylfaen" w:hAnsi="Sylfaen"/>
        </w:rPr>
        <w:t>გომბორის</w:t>
      </w:r>
      <w:r w:rsidRPr="008069E4">
        <w:rPr>
          <w:rFonts w:ascii="Sylfaen" w:eastAsia="Sylfaen" w:hAnsi="Sylfaen"/>
          <w:lang w:val="da-DK"/>
        </w:rPr>
        <w:t xml:space="preserve"> </w:t>
      </w:r>
      <w:r>
        <w:rPr>
          <w:rFonts w:ascii="Sylfaen" w:eastAsia="Sylfaen" w:hAnsi="Sylfaen"/>
        </w:rPr>
        <w:t>ქედსა</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ივრის</w:t>
      </w:r>
      <w:r w:rsidRPr="008069E4">
        <w:rPr>
          <w:rFonts w:ascii="Sylfaen" w:eastAsia="Sylfaen" w:hAnsi="Sylfaen"/>
          <w:lang w:val="da-DK"/>
        </w:rPr>
        <w:t xml:space="preserve"> </w:t>
      </w:r>
      <w:r>
        <w:rPr>
          <w:rFonts w:ascii="Sylfaen" w:eastAsia="Sylfaen" w:hAnsi="Sylfaen"/>
        </w:rPr>
        <w:t>ზეგანს</w:t>
      </w:r>
      <w:r w:rsidRPr="008069E4">
        <w:rPr>
          <w:rFonts w:ascii="Sylfaen" w:eastAsia="Sylfaen" w:hAnsi="Sylfaen"/>
          <w:lang w:val="da-DK"/>
        </w:rPr>
        <w:t xml:space="preserve"> </w:t>
      </w:r>
      <w:r>
        <w:rPr>
          <w:rFonts w:ascii="Sylfaen" w:eastAsia="Sylfaen" w:hAnsi="Sylfaen"/>
        </w:rPr>
        <w:t>შორის</w:t>
      </w:r>
      <w:r w:rsidRPr="008069E4">
        <w:rPr>
          <w:rFonts w:ascii="Sylfaen" w:eastAsia="Sylfaen" w:hAnsi="Sylfaen"/>
          <w:lang w:val="da-DK"/>
        </w:rPr>
        <w:t xml:space="preserve">. </w:t>
      </w:r>
      <w:r>
        <w:rPr>
          <w:rFonts w:ascii="Sylfaen" w:eastAsia="Sylfaen" w:hAnsi="Sylfaen"/>
        </w:rPr>
        <w:t>იგი</w:t>
      </w:r>
      <w:r w:rsidRPr="008069E4">
        <w:rPr>
          <w:rFonts w:ascii="Sylfaen" w:eastAsia="Sylfaen" w:hAnsi="Sylfaen"/>
          <w:lang w:val="da-DK"/>
        </w:rPr>
        <w:t xml:space="preserve"> </w:t>
      </w:r>
      <w:r>
        <w:rPr>
          <w:rFonts w:ascii="Sylfaen" w:eastAsia="Sylfaen" w:hAnsi="Sylfaen"/>
        </w:rPr>
        <w:t>მდებარეობს</w:t>
      </w:r>
      <w:r w:rsidRPr="008069E4">
        <w:rPr>
          <w:rFonts w:ascii="Sylfaen" w:eastAsia="Sylfaen" w:hAnsi="Sylfaen"/>
          <w:lang w:val="da-DK"/>
        </w:rPr>
        <w:t xml:space="preserve"> </w:t>
      </w:r>
      <w:r>
        <w:rPr>
          <w:rFonts w:ascii="Sylfaen" w:eastAsia="Sylfaen" w:hAnsi="Sylfaen"/>
        </w:rPr>
        <w:t>ზღვის</w:t>
      </w:r>
      <w:r w:rsidRPr="008069E4">
        <w:rPr>
          <w:rFonts w:ascii="Sylfaen" w:eastAsia="Sylfaen" w:hAnsi="Sylfaen"/>
          <w:lang w:val="da-DK"/>
        </w:rPr>
        <w:t xml:space="preserve"> </w:t>
      </w:r>
      <w:r>
        <w:rPr>
          <w:rFonts w:ascii="Sylfaen" w:eastAsia="Sylfaen" w:hAnsi="Sylfaen"/>
        </w:rPr>
        <w:t>დონიდან</w:t>
      </w:r>
      <w:r w:rsidRPr="008069E4">
        <w:rPr>
          <w:rFonts w:ascii="Sylfaen" w:eastAsia="Sylfaen" w:hAnsi="Sylfaen"/>
          <w:lang w:val="da-DK"/>
        </w:rPr>
        <w:t xml:space="preserve"> 200–470 </w:t>
      </w:r>
      <w:r>
        <w:rPr>
          <w:rFonts w:ascii="Sylfaen" w:eastAsia="Sylfaen" w:hAnsi="Sylfaen"/>
        </w:rPr>
        <w:t>მ</w:t>
      </w:r>
      <w:r w:rsidRPr="008069E4">
        <w:rPr>
          <w:rFonts w:ascii="Sylfaen" w:eastAsia="Sylfaen" w:hAnsi="Sylfaen"/>
          <w:lang w:val="da-DK"/>
        </w:rPr>
        <w:t xml:space="preserve"> </w:t>
      </w:r>
      <w:r>
        <w:rPr>
          <w:rFonts w:ascii="Sylfaen" w:eastAsia="Sylfaen" w:hAnsi="Sylfaen"/>
        </w:rPr>
        <w:t>სიმაღლეზე</w:t>
      </w:r>
      <w:r w:rsidRPr="008069E4">
        <w:rPr>
          <w:rFonts w:ascii="Sylfaen" w:eastAsia="Sylfaen" w:hAnsi="Sylfaen"/>
          <w:lang w:val="da-DK"/>
        </w:rPr>
        <w:t xml:space="preserve">. </w:t>
      </w:r>
      <w:r>
        <w:rPr>
          <w:rFonts w:ascii="Sylfaen" w:eastAsia="Sylfaen" w:hAnsi="Sylfaen"/>
        </w:rPr>
        <w:t>ვაკე</w:t>
      </w:r>
      <w:r w:rsidRPr="008069E4">
        <w:rPr>
          <w:rFonts w:ascii="Sylfaen" w:eastAsia="Sylfaen" w:hAnsi="Sylfaen"/>
          <w:lang w:val="da-DK"/>
        </w:rPr>
        <w:t xml:space="preserve"> </w:t>
      </w:r>
      <w:r>
        <w:rPr>
          <w:rFonts w:ascii="Sylfaen" w:eastAsia="Sylfaen" w:hAnsi="Sylfaen"/>
        </w:rPr>
        <w:t>დახრილია</w:t>
      </w:r>
      <w:r w:rsidRPr="008069E4">
        <w:rPr>
          <w:rFonts w:ascii="Sylfaen" w:eastAsia="Sylfaen" w:hAnsi="Sylfaen"/>
          <w:lang w:val="da-DK"/>
        </w:rPr>
        <w:t xml:space="preserve"> </w:t>
      </w:r>
      <w:r>
        <w:rPr>
          <w:rFonts w:ascii="Sylfaen" w:eastAsia="Sylfaen" w:hAnsi="Sylfaen"/>
        </w:rPr>
        <w:t>სამხრეთ</w:t>
      </w:r>
      <w:r w:rsidRPr="008069E4">
        <w:rPr>
          <w:rFonts w:ascii="Sylfaen" w:eastAsia="Sylfaen" w:hAnsi="Sylfaen"/>
          <w:lang w:val="da-DK"/>
        </w:rPr>
        <w:t>-</w:t>
      </w:r>
      <w:r>
        <w:rPr>
          <w:rFonts w:ascii="Sylfaen" w:eastAsia="Sylfaen" w:hAnsi="Sylfaen"/>
        </w:rPr>
        <w:t>აღმოსავლეთისაკენ</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გაგრძელებას</w:t>
      </w:r>
      <w:r w:rsidRPr="008069E4">
        <w:rPr>
          <w:rFonts w:ascii="Sylfaen" w:eastAsia="Sylfaen" w:hAnsi="Sylfaen"/>
          <w:lang w:val="da-DK"/>
        </w:rPr>
        <w:t xml:space="preserve"> </w:t>
      </w:r>
      <w:r>
        <w:rPr>
          <w:rFonts w:ascii="Sylfaen" w:eastAsia="Sylfaen" w:hAnsi="Sylfaen"/>
        </w:rPr>
        <w:t>პოულობს</w:t>
      </w:r>
      <w:r w:rsidRPr="008069E4">
        <w:rPr>
          <w:rFonts w:ascii="Sylfaen" w:eastAsia="Sylfaen" w:hAnsi="Sylfaen"/>
          <w:lang w:val="da-DK"/>
        </w:rPr>
        <w:t xml:space="preserve"> </w:t>
      </w:r>
      <w:r>
        <w:rPr>
          <w:rFonts w:ascii="Sylfaen" w:eastAsia="Sylfaen" w:hAnsi="Sylfaen"/>
        </w:rPr>
        <w:t>აზერბაიჯანის</w:t>
      </w:r>
      <w:r w:rsidRPr="008069E4">
        <w:rPr>
          <w:rFonts w:ascii="Sylfaen" w:eastAsia="Sylfaen" w:hAnsi="Sylfaen"/>
          <w:lang w:val="da-DK"/>
        </w:rPr>
        <w:t xml:space="preserve"> </w:t>
      </w:r>
      <w:r>
        <w:rPr>
          <w:rFonts w:ascii="Sylfaen" w:eastAsia="Sylfaen" w:hAnsi="Sylfaen"/>
        </w:rPr>
        <w:t>ფარგლებში</w:t>
      </w:r>
      <w:r w:rsidRPr="008069E4">
        <w:rPr>
          <w:rFonts w:ascii="Sylfaen" w:eastAsia="Sylfaen" w:hAnsi="Sylfaen"/>
          <w:lang w:val="da-DK"/>
        </w:rPr>
        <w:t xml:space="preserve"> </w:t>
      </w:r>
      <w:r>
        <w:rPr>
          <w:rFonts w:ascii="Sylfaen" w:eastAsia="Sylfaen" w:hAnsi="Sylfaen"/>
        </w:rPr>
        <w:t>აგრიჩაის</w:t>
      </w:r>
      <w:r w:rsidRPr="008069E4">
        <w:rPr>
          <w:rFonts w:ascii="Sylfaen" w:eastAsia="Sylfaen" w:hAnsi="Sylfaen"/>
          <w:lang w:val="da-DK"/>
        </w:rPr>
        <w:t xml:space="preserve"> </w:t>
      </w:r>
      <w:r>
        <w:rPr>
          <w:rFonts w:ascii="Sylfaen" w:eastAsia="Sylfaen" w:hAnsi="Sylfaen"/>
        </w:rPr>
        <w:t>ველის</w:t>
      </w:r>
      <w:r w:rsidRPr="008069E4">
        <w:rPr>
          <w:rFonts w:ascii="Sylfaen" w:eastAsia="Sylfaen" w:hAnsi="Sylfaen"/>
          <w:lang w:val="da-DK"/>
        </w:rPr>
        <w:t xml:space="preserve"> </w:t>
      </w:r>
      <w:r>
        <w:rPr>
          <w:rFonts w:ascii="Sylfaen" w:eastAsia="Sylfaen" w:hAnsi="Sylfaen"/>
        </w:rPr>
        <w:t>სახით</w:t>
      </w:r>
      <w:r w:rsidRPr="008069E4">
        <w:rPr>
          <w:rFonts w:ascii="Sylfaen" w:eastAsia="Sylfaen" w:hAnsi="Sylfaen"/>
          <w:lang w:val="da-DK"/>
        </w:rPr>
        <w:t xml:space="preserve">. </w:t>
      </w:r>
      <w:r>
        <w:rPr>
          <w:rFonts w:ascii="Sylfaen" w:eastAsia="Sylfaen" w:hAnsi="Sylfaen"/>
        </w:rPr>
        <w:t>ვაკის</w:t>
      </w:r>
      <w:r w:rsidRPr="008069E4">
        <w:rPr>
          <w:rFonts w:ascii="Sylfaen" w:eastAsia="Sylfaen" w:hAnsi="Sylfaen"/>
          <w:lang w:val="da-DK"/>
        </w:rPr>
        <w:t xml:space="preserve"> </w:t>
      </w:r>
      <w:r>
        <w:rPr>
          <w:rFonts w:ascii="Sylfaen" w:eastAsia="Sylfaen" w:hAnsi="Sylfaen"/>
        </w:rPr>
        <w:t>მთლიანი</w:t>
      </w:r>
      <w:r w:rsidRPr="008069E4">
        <w:rPr>
          <w:rFonts w:ascii="Sylfaen" w:eastAsia="Sylfaen" w:hAnsi="Sylfaen"/>
          <w:lang w:val="da-DK"/>
        </w:rPr>
        <w:t xml:space="preserve"> </w:t>
      </w:r>
      <w:r>
        <w:rPr>
          <w:rFonts w:ascii="Sylfaen" w:eastAsia="Sylfaen" w:hAnsi="Sylfaen"/>
        </w:rPr>
        <w:t>სიგრძე</w:t>
      </w:r>
      <w:r w:rsidRPr="008069E4">
        <w:rPr>
          <w:rFonts w:ascii="Sylfaen" w:eastAsia="Sylfaen" w:hAnsi="Sylfaen"/>
          <w:lang w:val="da-DK"/>
        </w:rPr>
        <w:t xml:space="preserve"> </w:t>
      </w:r>
      <w:r>
        <w:rPr>
          <w:rFonts w:ascii="Sylfaen" w:eastAsia="Sylfaen" w:hAnsi="Sylfaen"/>
        </w:rPr>
        <w:t>თითქმის</w:t>
      </w:r>
      <w:r w:rsidRPr="008069E4">
        <w:rPr>
          <w:rFonts w:ascii="Sylfaen" w:eastAsia="Sylfaen" w:hAnsi="Sylfaen"/>
          <w:lang w:val="da-DK"/>
        </w:rPr>
        <w:t xml:space="preserve"> 200 </w:t>
      </w:r>
      <w:r>
        <w:rPr>
          <w:rFonts w:ascii="Sylfaen" w:eastAsia="Sylfaen" w:hAnsi="Sylfaen"/>
        </w:rPr>
        <w:t>კმ</w:t>
      </w:r>
      <w:r w:rsidRPr="008069E4">
        <w:rPr>
          <w:rFonts w:ascii="Sylfaen" w:eastAsia="Sylfaen" w:hAnsi="Sylfaen"/>
          <w:lang w:val="da-DK"/>
        </w:rPr>
        <w:t>-</w:t>
      </w:r>
      <w:r>
        <w:rPr>
          <w:rFonts w:ascii="Sylfaen" w:eastAsia="Sylfaen" w:hAnsi="Sylfaen"/>
        </w:rPr>
        <w:t>ს</w:t>
      </w:r>
      <w:r w:rsidRPr="008069E4">
        <w:rPr>
          <w:rFonts w:ascii="Sylfaen" w:eastAsia="Sylfaen" w:hAnsi="Sylfaen"/>
          <w:lang w:val="da-DK"/>
        </w:rPr>
        <w:t xml:space="preserve"> </w:t>
      </w:r>
      <w:r>
        <w:rPr>
          <w:rFonts w:ascii="Sylfaen" w:eastAsia="Sylfaen" w:hAnsi="Sylfaen"/>
        </w:rPr>
        <w:t>აღწევს</w:t>
      </w:r>
      <w:r w:rsidRPr="008069E4">
        <w:rPr>
          <w:rFonts w:ascii="Sylfaen" w:eastAsia="Sylfaen" w:hAnsi="Sylfaen"/>
          <w:lang w:val="da-DK"/>
        </w:rPr>
        <w:t xml:space="preserve">. </w:t>
      </w:r>
      <w:r>
        <w:rPr>
          <w:rFonts w:ascii="Sylfaen" w:eastAsia="Sylfaen" w:hAnsi="Sylfaen"/>
        </w:rPr>
        <w:t>საქართველოს</w:t>
      </w:r>
      <w:r w:rsidRPr="008069E4">
        <w:rPr>
          <w:rFonts w:ascii="Sylfaen" w:eastAsia="Sylfaen" w:hAnsi="Sylfaen"/>
          <w:lang w:val="da-DK"/>
        </w:rPr>
        <w:t xml:space="preserve"> </w:t>
      </w:r>
      <w:r>
        <w:rPr>
          <w:rFonts w:ascii="Sylfaen" w:eastAsia="Sylfaen" w:hAnsi="Sylfaen"/>
        </w:rPr>
        <w:t>ფარგლებში</w:t>
      </w:r>
      <w:r w:rsidRPr="008069E4">
        <w:rPr>
          <w:rFonts w:ascii="Sylfaen" w:eastAsia="Sylfaen" w:hAnsi="Sylfaen"/>
          <w:lang w:val="da-DK"/>
        </w:rPr>
        <w:t xml:space="preserve"> </w:t>
      </w:r>
      <w:r>
        <w:rPr>
          <w:rFonts w:ascii="Sylfaen" w:eastAsia="Sylfaen" w:hAnsi="Sylfaen"/>
        </w:rPr>
        <w:t>ვაკე</w:t>
      </w:r>
      <w:r w:rsidRPr="008069E4">
        <w:rPr>
          <w:rFonts w:ascii="Sylfaen" w:eastAsia="Sylfaen" w:hAnsi="Sylfaen"/>
          <w:lang w:val="da-DK"/>
        </w:rPr>
        <w:t xml:space="preserve"> </w:t>
      </w:r>
      <w:r>
        <w:rPr>
          <w:rFonts w:ascii="Sylfaen" w:eastAsia="Sylfaen" w:hAnsi="Sylfaen"/>
        </w:rPr>
        <w:t>გაჭიმულია</w:t>
      </w:r>
      <w:r w:rsidRPr="008069E4">
        <w:rPr>
          <w:rFonts w:ascii="Sylfaen" w:eastAsia="Sylfaen" w:hAnsi="Sylfaen"/>
          <w:lang w:val="da-DK"/>
        </w:rPr>
        <w:t xml:space="preserve"> </w:t>
      </w:r>
      <w:r>
        <w:rPr>
          <w:rFonts w:ascii="Sylfaen" w:eastAsia="Sylfaen" w:hAnsi="Sylfaen"/>
        </w:rPr>
        <w:t>დაახლოებით</w:t>
      </w:r>
      <w:r w:rsidRPr="008069E4">
        <w:rPr>
          <w:rFonts w:ascii="Sylfaen" w:eastAsia="Sylfaen" w:hAnsi="Sylfaen"/>
          <w:lang w:val="da-DK"/>
        </w:rPr>
        <w:t xml:space="preserve"> 110 </w:t>
      </w:r>
      <w:r>
        <w:rPr>
          <w:rFonts w:ascii="Sylfaen" w:eastAsia="Sylfaen" w:hAnsi="Sylfaen"/>
        </w:rPr>
        <w:t>კმ</w:t>
      </w:r>
      <w:r w:rsidRPr="008069E4">
        <w:rPr>
          <w:rFonts w:ascii="Sylfaen" w:eastAsia="Sylfaen" w:hAnsi="Sylfaen"/>
          <w:lang w:val="da-DK"/>
        </w:rPr>
        <w:t>-</w:t>
      </w:r>
      <w:r>
        <w:rPr>
          <w:rFonts w:ascii="Sylfaen" w:eastAsia="Sylfaen" w:hAnsi="Sylfaen"/>
        </w:rPr>
        <w:t>ზე</w:t>
      </w:r>
      <w:r w:rsidRPr="008069E4">
        <w:rPr>
          <w:rFonts w:ascii="Sylfaen" w:eastAsia="Sylfaen" w:hAnsi="Sylfaen"/>
          <w:lang w:val="da-DK"/>
        </w:rPr>
        <w:t xml:space="preserve">. </w:t>
      </w:r>
      <w:r>
        <w:rPr>
          <w:rFonts w:ascii="Sylfaen" w:eastAsia="Sylfaen" w:hAnsi="Sylfaen"/>
        </w:rPr>
        <w:t>მისი</w:t>
      </w:r>
      <w:r w:rsidRPr="008069E4">
        <w:rPr>
          <w:rFonts w:ascii="Sylfaen" w:eastAsia="Sylfaen" w:hAnsi="Sylfaen"/>
          <w:lang w:val="da-DK"/>
        </w:rPr>
        <w:t xml:space="preserve"> </w:t>
      </w:r>
      <w:r>
        <w:rPr>
          <w:rFonts w:ascii="Sylfaen" w:eastAsia="Sylfaen" w:hAnsi="Sylfaen"/>
        </w:rPr>
        <w:t>უდიდესი</w:t>
      </w:r>
      <w:r w:rsidRPr="008069E4">
        <w:rPr>
          <w:rFonts w:ascii="Sylfaen" w:eastAsia="Sylfaen" w:hAnsi="Sylfaen"/>
          <w:lang w:val="da-DK"/>
        </w:rPr>
        <w:t xml:space="preserve"> </w:t>
      </w:r>
      <w:r>
        <w:rPr>
          <w:rFonts w:ascii="Sylfaen" w:eastAsia="Sylfaen" w:hAnsi="Sylfaen"/>
        </w:rPr>
        <w:t>სიგანე</w:t>
      </w:r>
      <w:r w:rsidRPr="008069E4">
        <w:rPr>
          <w:rFonts w:ascii="Sylfaen" w:eastAsia="Sylfaen" w:hAnsi="Sylfaen"/>
          <w:lang w:val="da-DK"/>
        </w:rPr>
        <w:t xml:space="preserve"> </w:t>
      </w:r>
      <w:r>
        <w:rPr>
          <w:rFonts w:ascii="Sylfaen" w:eastAsia="Sylfaen" w:hAnsi="Sylfaen"/>
        </w:rPr>
        <w:t>კი</w:t>
      </w:r>
      <w:r w:rsidRPr="008069E4">
        <w:rPr>
          <w:rFonts w:ascii="Sylfaen" w:eastAsia="Sylfaen" w:hAnsi="Sylfaen"/>
          <w:lang w:val="da-DK"/>
        </w:rPr>
        <w:t xml:space="preserve"> 28-30 </w:t>
      </w:r>
      <w:r>
        <w:rPr>
          <w:rFonts w:ascii="Sylfaen" w:eastAsia="Sylfaen" w:hAnsi="Sylfaen"/>
        </w:rPr>
        <w:t>კმ</w:t>
      </w:r>
      <w:r w:rsidRPr="008069E4">
        <w:rPr>
          <w:rFonts w:ascii="Sylfaen" w:eastAsia="Sylfaen" w:hAnsi="Sylfaen"/>
          <w:lang w:val="da-DK"/>
        </w:rPr>
        <w:t>-</w:t>
      </w:r>
      <w:r>
        <w:rPr>
          <w:rFonts w:ascii="Sylfaen" w:eastAsia="Sylfaen" w:hAnsi="Sylfaen"/>
        </w:rPr>
        <w:t>ს</w:t>
      </w:r>
      <w:r w:rsidRPr="008069E4">
        <w:rPr>
          <w:rFonts w:ascii="Sylfaen" w:eastAsia="Sylfaen" w:hAnsi="Sylfaen"/>
          <w:lang w:val="da-DK"/>
        </w:rPr>
        <w:t xml:space="preserve"> </w:t>
      </w:r>
      <w:r>
        <w:rPr>
          <w:rFonts w:ascii="Sylfaen" w:eastAsia="Sylfaen" w:hAnsi="Sylfaen"/>
        </w:rPr>
        <w:t>უდრის</w:t>
      </w:r>
      <w:r w:rsidRPr="008069E4">
        <w:rPr>
          <w:rFonts w:ascii="Sylfaen" w:eastAsia="Sylfaen" w:hAnsi="Sylfaen"/>
          <w:lang w:val="da-DK"/>
        </w:rPr>
        <w:t>.</w:t>
      </w:r>
    </w:p>
    <w:p w14:paraId="2E10A352" w14:textId="77777777" w:rsidR="00EA3C65" w:rsidRPr="008069E4" w:rsidRDefault="00EA3C65" w:rsidP="00EA3C65">
      <w:pPr>
        <w:spacing w:line="127" w:lineRule="exact"/>
        <w:rPr>
          <w:rFonts w:ascii="Times New Roman" w:hAnsi="Times New Roman"/>
          <w:lang w:val="da-DK"/>
        </w:rPr>
      </w:pPr>
    </w:p>
    <w:p w14:paraId="4F565528" w14:textId="77777777" w:rsidR="00EA3C65" w:rsidRPr="008069E4" w:rsidRDefault="00EA3C65" w:rsidP="00EA3C65">
      <w:pPr>
        <w:spacing w:line="239" w:lineRule="auto"/>
        <w:ind w:left="7"/>
        <w:rPr>
          <w:rFonts w:ascii="Sylfaen" w:eastAsia="Sylfaen" w:hAnsi="Sylfaen"/>
          <w:lang w:val="da-DK"/>
        </w:rPr>
      </w:pPr>
      <w:r>
        <w:rPr>
          <w:rFonts w:ascii="Sylfaen" w:eastAsia="Sylfaen" w:hAnsi="Sylfaen"/>
        </w:rPr>
        <w:t>ალაზნის</w:t>
      </w:r>
      <w:r w:rsidRPr="008069E4">
        <w:rPr>
          <w:rFonts w:ascii="Sylfaen" w:eastAsia="Sylfaen" w:hAnsi="Sylfaen"/>
          <w:lang w:val="da-DK"/>
        </w:rPr>
        <w:t xml:space="preserve"> </w:t>
      </w:r>
      <w:r>
        <w:rPr>
          <w:rFonts w:ascii="Sylfaen" w:eastAsia="Sylfaen" w:hAnsi="Sylfaen"/>
        </w:rPr>
        <w:t>ვაკის</w:t>
      </w:r>
      <w:r w:rsidRPr="008069E4">
        <w:rPr>
          <w:rFonts w:ascii="Sylfaen" w:eastAsia="Sylfaen" w:hAnsi="Sylfaen"/>
          <w:lang w:val="da-DK"/>
        </w:rPr>
        <w:t xml:space="preserve"> </w:t>
      </w:r>
      <w:r>
        <w:rPr>
          <w:rFonts w:ascii="Sylfaen" w:eastAsia="Sylfaen" w:hAnsi="Sylfaen"/>
        </w:rPr>
        <w:t>ფიზიკურ</w:t>
      </w:r>
      <w:r w:rsidRPr="008069E4">
        <w:rPr>
          <w:rFonts w:ascii="Sylfaen" w:eastAsia="Sylfaen" w:hAnsi="Sylfaen"/>
          <w:lang w:val="da-DK"/>
        </w:rPr>
        <w:t>-</w:t>
      </w:r>
      <w:r>
        <w:rPr>
          <w:rFonts w:ascii="Sylfaen" w:eastAsia="Sylfaen" w:hAnsi="Sylfaen"/>
        </w:rPr>
        <w:t>გეოგრაფიული</w:t>
      </w:r>
      <w:r w:rsidRPr="008069E4">
        <w:rPr>
          <w:rFonts w:ascii="Sylfaen" w:eastAsia="Sylfaen" w:hAnsi="Sylfaen"/>
          <w:lang w:val="da-DK"/>
        </w:rPr>
        <w:t xml:space="preserve"> </w:t>
      </w:r>
      <w:r>
        <w:rPr>
          <w:rFonts w:ascii="Sylfaen" w:eastAsia="Sylfaen" w:hAnsi="Sylfaen"/>
        </w:rPr>
        <w:t>ერთეულის</w:t>
      </w:r>
      <w:r w:rsidRPr="008069E4">
        <w:rPr>
          <w:rFonts w:ascii="Sylfaen" w:eastAsia="Sylfaen" w:hAnsi="Sylfaen"/>
          <w:lang w:val="da-DK"/>
        </w:rPr>
        <w:t xml:space="preserve"> </w:t>
      </w:r>
      <w:r>
        <w:rPr>
          <w:rFonts w:ascii="Sylfaen" w:eastAsia="Sylfaen" w:hAnsi="Sylfaen"/>
        </w:rPr>
        <w:t>თავისებურება</w:t>
      </w:r>
      <w:r w:rsidRPr="008069E4">
        <w:rPr>
          <w:rFonts w:ascii="Sylfaen" w:eastAsia="Sylfaen" w:hAnsi="Sylfaen"/>
          <w:lang w:val="da-DK"/>
        </w:rPr>
        <w:t xml:space="preserve"> </w:t>
      </w:r>
      <w:r>
        <w:rPr>
          <w:rFonts w:ascii="Sylfaen" w:eastAsia="Sylfaen" w:hAnsi="Sylfaen"/>
        </w:rPr>
        <w:t>მდგომარეობს</w:t>
      </w:r>
      <w:r w:rsidRPr="008069E4">
        <w:rPr>
          <w:rFonts w:ascii="Sylfaen" w:eastAsia="Sylfaen" w:hAnsi="Sylfaen"/>
          <w:lang w:val="da-DK"/>
        </w:rPr>
        <w:t xml:space="preserve"> </w:t>
      </w:r>
      <w:r>
        <w:rPr>
          <w:rFonts w:ascii="Sylfaen" w:eastAsia="Sylfaen" w:hAnsi="Sylfaen"/>
        </w:rPr>
        <w:t>პირველ</w:t>
      </w:r>
      <w:r w:rsidRPr="008069E4">
        <w:rPr>
          <w:rFonts w:ascii="Sylfaen" w:eastAsia="Sylfaen" w:hAnsi="Sylfaen"/>
          <w:lang w:val="da-DK"/>
        </w:rPr>
        <w:t xml:space="preserve"> </w:t>
      </w:r>
      <w:r>
        <w:rPr>
          <w:rFonts w:ascii="Sylfaen" w:eastAsia="Sylfaen" w:hAnsi="Sylfaen"/>
        </w:rPr>
        <w:t>რიგში</w:t>
      </w:r>
      <w:r w:rsidRPr="008069E4">
        <w:rPr>
          <w:rFonts w:ascii="Sylfaen" w:eastAsia="Sylfaen" w:hAnsi="Sylfaen"/>
          <w:lang w:val="da-DK"/>
        </w:rPr>
        <w:t xml:space="preserve">, </w:t>
      </w:r>
      <w:r>
        <w:rPr>
          <w:rFonts w:ascii="Sylfaen" w:eastAsia="Sylfaen" w:hAnsi="Sylfaen"/>
        </w:rPr>
        <w:t>მის</w:t>
      </w:r>
      <w:r w:rsidRPr="008069E4">
        <w:rPr>
          <w:rFonts w:ascii="Sylfaen" w:eastAsia="Sylfaen" w:hAnsi="Sylfaen"/>
          <w:lang w:val="da-DK"/>
        </w:rPr>
        <w:t xml:space="preserve"> </w:t>
      </w:r>
      <w:r>
        <w:rPr>
          <w:rFonts w:ascii="Sylfaen" w:eastAsia="Sylfaen" w:hAnsi="Sylfaen"/>
        </w:rPr>
        <w:t>რელიეფში</w:t>
      </w:r>
      <w:r w:rsidRPr="008069E4">
        <w:rPr>
          <w:rFonts w:ascii="Sylfaen" w:eastAsia="Sylfaen" w:hAnsi="Sylfaen"/>
          <w:lang w:val="da-DK"/>
        </w:rPr>
        <w:t xml:space="preserve">, </w:t>
      </w:r>
      <w:r>
        <w:rPr>
          <w:rFonts w:ascii="Sylfaen" w:eastAsia="Sylfaen" w:hAnsi="Sylfaen"/>
        </w:rPr>
        <w:t>რომელიც</w:t>
      </w:r>
      <w:r w:rsidRPr="008069E4">
        <w:rPr>
          <w:rFonts w:ascii="Sylfaen" w:eastAsia="Sylfaen" w:hAnsi="Sylfaen"/>
          <w:lang w:val="da-DK"/>
        </w:rPr>
        <w:t xml:space="preserve"> </w:t>
      </w:r>
      <w:r>
        <w:rPr>
          <w:rFonts w:ascii="Sylfaen" w:eastAsia="Sylfaen" w:hAnsi="Sylfaen"/>
        </w:rPr>
        <w:t>კონტინენტური</w:t>
      </w:r>
      <w:r w:rsidRPr="008069E4">
        <w:rPr>
          <w:rFonts w:ascii="Sylfaen" w:eastAsia="Sylfaen" w:hAnsi="Sylfaen"/>
          <w:lang w:val="da-DK"/>
        </w:rPr>
        <w:t xml:space="preserve"> </w:t>
      </w:r>
      <w:r>
        <w:rPr>
          <w:rFonts w:ascii="Sylfaen" w:eastAsia="Sylfaen" w:hAnsi="Sylfaen"/>
        </w:rPr>
        <w:t>გეოსინკლინის</w:t>
      </w:r>
      <w:r w:rsidRPr="008069E4">
        <w:rPr>
          <w:rFonts w:ascii="Sylfaen" w:eastAsia="Sylfaen" w:hAnsi="Sylfaen"/>
          <w:lang w:val="da-DK"/>
        </w:rPr>
        <w:t xml:space="preserve"> </w:t>
      </w:r>
      <w:r>
        <w:rPr>
          <w:rFonts w:ascii="Sylfaen" w:eastAsia="Sylfaen" w:hAnsi="Sylfaen"/>
        </w:rPr>
        <w:t>ტიპობრივ</w:t>
      </w:r>
      <w:r w:rsidRPr="008069E4">
        <w:rPr>
          <w:rFonts w:ascii="Sylfaen" w:eastAsia="Sylfaen" w:hAnsi="Sylfaen"/>
          <w:lang w:val="da-DK"/>
        </w:rPr>
        <w:t xml:space="preserve"> </w:t>
      </w:r>
      <w:r>
        <w:rPr>
          <w:rFonts w:ascii="Sylfaen" w:eastAsia="Sylfaen" w:hAnsi="Sylfaen"/>
        </w:rPr>
        <w:t>თვისებებს</w:t>
      </w:r>
      <w:r w:rsidRPr="008069E4">
        <w:rPr>
          <w:rFonts w:ascii="Sylfaen" w:eastAsia="Sylfaen" w:hAnsi="Sylfaen"/>
          <w:lang w:val="da-DK"/>
        </w:rPr>
        <w:t xml:space="preserve"> </w:t>
      </w:r>
      <w:r>
        <w:rPr>
          <w:rFonts w:ascii="Sylfaen" w:eastAsia="Sylfaen" w:hAnsi="Sylfaen"/>
        </w:rPr>
        <w:t>ატარებს</w:t>
      </w:r>
      <w:r w:rsidRPr="008069E4">
        <w:rPr>
          <w:rFonts w:ascii="Sylfaen" w:eastAsia="Sylfaen" w:hAnsi="Sylfaen"/>
          <w:lang w:val="da-DK"/>
        </w:rPr>
        <w:t xml:space="preserve">. </w:t>
      </w:r>
      <w:r>
        <w:rPr>
          <w:rFonts w:ascii="Sylfaen" w:eastAsia="Sylfaen" w:hAnsi="Sylfaen"/>
        </w:rPr>
        <w:t>ალაზნის</w:t>
      </w:r>
      <w:r w:rsidRPr="008069E4">
        <w:rPr>
          <w:rFonts w:ascii="Sylfaen" w:eastAsia="Sylfaen" w:hAnsi="Sylfaen"/>
          <w:lang w:val="da-DK"/>
        </w:rPr>
        <w:t xml:space="preserve"> </w:t>
      </w:r>
      <w:r>
        <w:rPr>
          <w:rFonts w:ascii="Sylfaen" w:eastAsia="Sylfaen" w:hAnsi="Sylfaen"/>
        </w:rPr>
        <w:t>ვაკე</w:t>
      </w:r>
      <w:r w:rsidRPr="008069E4">
        <w:rPr>
          <w:rFonts w:ascii="Sylfaen" w:eastAsia="Sylfaen" w:hAnsi="Sylfaen"/>
          <w:lang w:val="da-DK"/>
        </w:rPr>
        <w:t xml:space="preserve"> </w:t>
      </w:r>
      <w:r>
        <w:rPr>
          <w:rFonts w:ascii="Sylfaen" w:eastAsia="Sylfaen" w:hAnsi="Sylfaen"/>
        </w:rPr>
        <w:t>ბრტყელი</w:t>
      </w:r>
      <w:r w:rsidRPr="008069E4">
        <w:rPr>
          <w:rFonts w:ascii="Sylfaen" w:eastAsia="Sylfaen" w:hAnsi="Sylfaen"/>
          <w:lang w:val="da-DK"/>
        </w:rPr>
        <w:t xml:space="preserve"> </w:t>
      </w:r>
      <w:r>
        <w:rPr>
          <w:rFonts w:ascii="Sylfaen" w:eastAsia="Sylfaen" w:hAnsi="Sylfaen"/>
        </w:rPr>
        <w:t>ვაკის</w:t>
      </w:r>
      <w:r w:rsidRPr="008069E4">
        <w:rPr>
          <w:rFonts w:ascii="Sylfaen" w:eastAsia="Sylfaen" w:hAnsi="Sylfaen"/>
          <w:lang w:val="da-DK"/>
        </w:rPr>
        <w:t xml:space="preserve"> </w:t>
      </w:r>
      <w:r>
        <w:rPr>
          <w:rFonts w:ascii="Sylfaen" w:eastAsia="Sylfaen" w:hAnsi="Sylfaen"/>
        </w:rPr>
        <w:t>შთაბეჭდილებას</w:t>
      </w:r>
      <w:r w:rsidRPr="008069E4">
        <w:rPr>
          <w:rFonts w:ascii="Sylfaen" w:eastAsia="Sylfaen" w:hAnsi="Sylfaen"/>
          <w:lang w:val="da-DK"/>
        </w:rPr>
        <w:t xml:space="preserve"> </w:t>
      </w:r>
      <w:r>
        <w:rPr>
          <w:rFonts w:ascii="Sylfaen" w:eastAsia="Sylfaen" w:hAnsi="Sylfaen"/>
        </w:rPr>
        <w:t>სტოვებს</w:t>
      </w:r>
      <w:r w:rsidRPr="008069E4">
        <w:rPr>
          <w:rFonts w:ascii="Sylfaen" w:eastAsia="Sylfaen" w:hAnsi="Sylfaen"/>
          <w:lang w:val="da-DK"/>
        </w:rPr>
        <w:t xml:space="preserve">, </w:t>
      </w:r>
      <w:r>
        <w:rPr>
          <w:rFonts w:ascii="Sylfaen" w:eastAsia="Sylfaen" w:hAnsi="Sylfaen"/>
        </w:rPr>
        <w:t>მაგრამ</w:t>
      </w:r>
      <w:r w:rsidRPr="008069E4">
        <w:rPr>
          <w:rFonts w:ascii="Sylfaen" w:eastAsia="Sylfaen" w:hAnsi="Sylfaen"/>
          <w:lang w:val="da-DK"/>
        </w:rPr>
        <w:t xml:space="preserve"> </w:t>
      </w:r>
      <w:r>
        <w:rPr>
          <w:rFonts w:ascii="Sylfaen" w:eastAsia="Sylfaen" w:hAnsi="Sylfaen"/>
        </w:rPr>
        <w:t>სინამდვილეში</w:t>
      </w:r>
      <w:r w:rsidRPr="008069E4">
        <w:rPr>
          <w:rFonts w:ascii="Sylfaen" w:eastAsia="Sylfaen" w:hAnsi="Sylfaen"/>
          <w:lang w:val="da-DK"/>
        </w:rPr>
        <w:t xml:space="preserve"> </w:t>
      </w:r>
      <w:r>
        <w:rPr>
          <w:rFonts w:ascii="Sylfaen" w:eastAsia="Sylfaen" w:hAnsi="Sylfaen"/>
        </w:rPr>
        <w:t>იგი</w:t>
      </w:r>
      <w:r w:rsidRPr="008069E4">
        <w:rPr>
          <w:rFonts w:ascii="Sylfaen" w:eastAsia="Sylfaen" w:hAnsi="Sylfaen"/>
          <w:lang w:val="da-DK"/>
        </w:rPr>
        <w:t xml:space="preserve"> </w:t>
      </w:r>
      <w:r>
        <w:rPr>
          <w:rFonts w:ascii="Sylfaen" w:eastAsia="Sylfaen" w:hAnsi="Sylfaen"/>
        </w:rPr>
        <w:t>გართულებულია</w:t>
      </w:r>
      <w:r w:rsidRPr="008069E4">
        <w:rPr>
          <w:rFonts w:ascii="Sylfaen" w:eastAsia="Sylfaen" w:hAnsi="Sylfaen"/>
          <w:lang w:val="da-DK"/>
        </w:rPr>
        <w:t xml:space="preserve"> </w:t>
      </w:r>
      <w:r>
        <w:rPr>
          <w:rFonts w:ascii="Sylfaen" w:eastAsia="Sylfaen" w:hAnsi="Sylfaen"/>
        </w:rPr>
        <w:t>მდინარე</w:t>
      </w:r>
      <w:r w:rsidRPr="008069E4">
        <w:rPr>
          <w:rFonts w:ascii="Sylfaen" w:eastAsia="Sylfaen" w:hAnsi="Sylfaen"/>
          <w:lang w:val="da-DK"/>
        </w:rPr>
        <w:t xml:space="preserve"> </w:t>
      </w:r>
      <w:r>
        <w:rPr>
          <w:rFonts w:ascii="Sylfaen" w:eastAsia="Sylfaen" w:hAnsi="Sylfaen"/>
        </w:rPr>
        <w:t>ალაზნის</w:t>
      </w:r>
      <w:r w:rsidRPr="008069E4">
        <w:rPr>
          <w:rFonts w:ascii="Sylfaen" w:eastAsia="Sylfaen" w:hAnsi="Sylfaen"/>
          <w:lang w:val="da-DK"/>
        </w:rPr>
        <w:t xml:space="preserve"> </w:t>
      </w:r>
      <w:r>
        <w:rPr>
          <w:rFonts w:ascii="Sylfaen" w:eastAsia="Sylfaen" w:hAnsi="Sylfaen"/>
        </w:rPr>
        <w:t>მარცხენა</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მარჯვენა</w:t>
      </w:r>
      <w:r w:rsidRPr="008069E4">
        <w:rPr>
          <w:rFonts w:ascii="Sylfaen" w:eastAsia="Sylfaen" w:hAnsi="Sylfaen"/>
          <w:lang w:val="da-DK"/>
        </w:rPr>
        <w:t xml:space="preserve"> </w:t>
      </w:r>
      <w:r>
        <w:rPr>
          <w:rFonts w:ascii="Sylfaen" w:eastAsia="Sylfaen" w:hAnsi="Sylfaen"/>
        </w:rPr>
        <w:t>შენაკადების</w:t>
      </w:r>
      <w:r w:rsidRPr="008069E4">
        <w:rPr>
          <w:rFonts w:ascii="Sylfaen" w:eastAsia="Sylfaen" w:hAnsi="Sylfaen"/>
          <w:lang w:val="da-DK"/>
        </w:rPr>
        <w:t xml:space="preserve"> </w:t>
      </w:r>
      <w:r>
        <w:rPr>
          <w:rFonts w:ascii="Sylfaen" w:eastAsia="Sylfaen" w:hAnsi="Sylfaen"/>
        </w:rPr>
        <w:t>მძლავრი</w:t>
      </w:r>
      <w:r w:rsidRPr="008069E4">
        <w:rPr>
          <w:rFonts w:ascii="Sylfaen" w:eastAsia="Sylfaen" w:hAnsi="Sylfaen"/>
          <w:lang w:val="da-DK"/>
        </w:rPr>
        <w:t xml:space="preserve"> </w:t>
      </w:r>
      <w:r>
        <w:rPr>
          <w:rFonts w:ascii="Sylfaen" w:eastAsia="Sylfaen" w:hAnsi="Sylfaen"/>
        </w:rPr>
        <w:t>გამოზიდვის</w:t>
      </w:r>
      <w:r w:rsidRPr="008069E4">
        <w:rPr>
          <w:rFonts w:ascii="Sylfaen" w:eastAsia="Sylfaen" w:hAnsi="Sylfaen"/>
          <w:lang w:val="da-DK"/>
        </w:rPr>
        <w:t xml:space="preserve"> </w:t>
      </w:r>
      <w:r>
        <w:rPr>
          <w:rFonts w:ascii="Sylfaen" w:eastAsia="Sylfaen" w:hAnsi="Sylfaen"/>
        </w:rPr>
        <w:t>კონუსებით</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მცირე</w:t>
      </w:r>
      <w:r w:rsidRPr="008069E4">
        <w:rPr>
          <w:rFonts w:ascii="Sylfaen" w:eastAsia="Sylfaen" w:hAnsi="Sylfaen"/>
          <w:lang w:val="da-DK"/>
        </w:rPr>
        <w:t xml:space="preserve"> </w:t>
      </w:r>
      <w:r>
        <w:rPr>
          <w:rFonts w:ascii="Sylfaen" w:eastAsia="Sylfaen" w:hAnsi="Sylfaen"/>
        </w:rPr>
        <w:t>სიღრმის</w:t>
      </w:r>
      <w:r w:rsidRPr="008069E4">
        <w:rPr>
          <w:rFonts w:ascii="Sylfaen" w:eastAsia="Sylfaen" w:hAnsi="Sylfaen"/>
          <w:lang w:val="da-DK"/>
        </w:rPr>
        <w:t xml:space="preserve"> </w:t>
      </w:r>
      <w:r>
        <w:rPr>
          <w:rFonts w:ascii="Sylfaen" w:eastAsia="Sylfaen" w:hAnsi="Sylfaen"/>
        </w:rPr>
        <w:t>მქონე</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იშვიათი</w:t>
      </w:r>
      <w:r w:rsidRPr="008069E4">
        <w:rPr>
          <w:rFonts w:ascii="Sylfaen" w:eastAsia="Sylfaen" w:hAnsi="Sylfaen"/>
          <w:lang w:val="da-DK"/>
        </w:rPr>
        <w:t xml:space="preserve"> </w:t>
      </w:r>
      <w:r>
        <w:rPr>
          <w:rFonts w:ascii="Sylfaen" w:eastAsia="Sylfaen" w:hAnsi="Sylfaen"/>
        </w:rPr>
        <w:t>ეროზიული</w:t>
      </w:r>
      <w:r w:rsidRPr="008069E4">
        <w:rPr>
          <w:rFonts w:ascii="Sylfaen" w:eastAsia="Sylfaen" w:hAnsi="Sylfaen"/>
          <w:lang w:val="da-DK"/>
        </w:rPr>
        <w:t xml:space="preserve"> </w:t>
      </w:r>
      <w:r>
        <w:rPr>
          <w:rFonts w:ascii="Sylfaen" w:eastAsia="Sylfaen" w:hAnsi="Sylfaen"/>
        </w:rPr>
        <w:t>ფორმებით</w:t>
      </w:r>
      <w:r w:rsidRPr="008069E4">
        <w:rPr>
          <w:rFonts w:ascii="Sylfaen" w:eastAsia="Sylfaen" w:hAnsi="Sylfaen"/>
          <w:lang w:val="da-DK"/>
        </w:rPr>
        <w:t xml:space="preserve">, </w:t>
      </w:r>
      <w:r>
        <w:rPr>
          <w:rFonts w:ascii="Sylfaen" w:eastAsia="Sylfaen" w:hAnsi="Sylfaen"/>
        </w:rPr>
        <w:t>რომლებიც</w:t>
      </w:r>
      <w:r w:rsidRPr="008069E4">
        <w:rPr>
          <w:rFonts w:ascii="Sylfaen" w:eastAsia="Sylfaen" w:hAnsi="Sylfaen"/>
          <w:lang w:val="da-DK"/>
        </w:rPr>
        <w:t xml:space="preserve"> </w:t>
      </w:r>
      <w:r>
        <w:rPr>
          <w:rFonts w:ascii="Sylfaen" w:eastAsia="Sylfaen" w:hAnsi="Sylfaen"/>
        </w:rPr>
        <w:t>ჩაჭრილია</w:t>
      </w:r>
      <w:r w:rsidRPr="008069E4">
        <w:rPr>
          <w:rFonts w:ascii="Sylfaen" w:eastAsia="Sylfaen" w:hAnsi="Sylfaen"/>
          <w:lang w:val="da-DK"/>
        </w:rPr>
        <w:t xml:space="preserve"> </w:t>
      </w:r>
      <w:r>
        <w:rPr>
          <w:rFonts w:ascii="Sylfaen" w:eastAsia="Sylfaen" w:hAnsi="Sylfaen"/>
        </w:rPr>
        <w:t>გამონაზიდებში</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არ</w:t>
      </w:r>
      <w:r w:rsidRPr="008069E4">
        <w:rPr>
          <w:rFonts w:ascii="Sylfaen" w:eastAsia="Sylfaen" w:hAnsi="Sylfaen"/>
          <w:lang w:val="da-DK"/>
        </w:rPr>
        <w:t xml:space="preserve"> </w:t>
      </w:r>
      <w:r>
        <w:rPr>
          <w:rFonts w:ascii="Sylfaen" w:eastAsia="Sylfaen" w:hAnsi="Sylfaen"/>
        </w:rPr>
        <w:t>ქმნიან</w:t>
      </w:r>
      <w:r w:rsidRPr="008069E4">
        <w:rPr>
          <w:rFonts w:ascii="Sylfaen" w:eastAsia="Sylfaen" w:hAnsi="Sylfaen"/>
          <w:lang w:val="da-DK"/>
        </w:rPr>
        <w:t xml:space="preserve"> </w:t>
      </w:r>
      <w:r>
        <w:rPr>
          <w:rFonts w:ascii="Sylfaen" w:eastAsia="Sylfaen" w:hAnsi="Sylfaen"/>
        </w:rPr>
        <w:t>ერთობლივ</w:t>
      </w:r>
      <w:r w:rsidRPr="008069E4">
        <w:rPr>
          <w:rFonts w:ascii="Sylfaen" w:eastAsia="Sylfaen" w:hAnsi="Sylfaen"/>
          <w:lang w:val="da-DK"/>
        </w:rPr>
        <w:t xml:space="preserve"> </w:t>
      </w:r>
      <w:r>
        <w:rPr>
          <w:rFonts w:ascii="Sylfaen" w:eastAsia="Sylfaen" w:hAnsi="Sylfaen"/>
        </w:rPr>
        <w:t>ქსელს</w:t>
      </w:r>
      <w:r w:rsidRPr="008069E4">
        <w:rPr>
          <w:rFonts w:ascii="Sylfaen" w:eastAsia="Sylfaen" w:hAnsi="Sylfaen"/>
          <w:lang w:val="da-DK"/>
        </w:rPr>
        <w:t>.</w:t>
      </w:r>
    </w:p>
    <w:p w14:paraId="3E0DCD9A" w14:textId="77777777" w:rsidR="00EA3C65" w:rsidRPr="008069E4" w:rsidRDefault="00EA3C65" w:rsidP="00EA3C65">
      <w:pPr>
        <w:spacing w:line="115" w:lineRule="exact"/>
        <w:rPr>
          <w:rFonts w:ascii="Times New Roman" w:hAnsi="Times New Roman"/>
          <w:lang w:val="da-DK"/>
        </w:rPr>
      </w:pPr>
    </w:p>
    <w:p w14:paraId="32956044" w14:textId="77777777" w:rsidR="00EA3C65" w:rsidRPr="008069E4" w:rsidRDefault="00EA3C65" w:rsidP="00EA3C65">
      <w:pPr>
        <w:tabs>
          <w:tab w:val="left" w:pos="307"/>
        </w:tabs>
        <w:spacing w:line="0" w:lineRule="atLeast"/>
        <w:ind w:left="7"/>
        <w:rPr>
          <w:rFonts w:ascii="Sylfaen" w:eastAsia="Sylfaen" w:hAnsi="Sylfaen"/>
          <w:lang w:val="da-DK"/>
        </w:rPr>
      </w:pPr>
      <w:r>
        <w:rPr>
          <w:rFonts w:ascii="Sylfaen" w:eastAsia="Sylfaen" w:hAnsi="Sylfaen"/>
        </w:rPr>
        <w:t>თელავი</w:t>
      </w:r>
      <w:r w:rsidRPr="008069E4">
        <w:rPr>
          <w:rFonts w:ascii="Sylfaen" w:eastAsia="Sylfaen" w:hAnsi="Sylfaen"/>
          <w:lang w:val="da-DK"/>
        </w:rPr>
        <w:t xml:space="preserve"> </w:t>
      </w:r>
      <w:r>
        <w:rPr>
          <w:rFonts w:ascii="Sylfaen" w:eastAsia="Sylfaen" w:hAnsi="Sylfaen"/>
        </w:rPr>
        <w:t>განლაგებულია</w:t>
      </w:r>
      <w:r w:rsidRPr="008069E4">
        <w:rPr>
          <w:rFonts w:ascii="Sylfaen" w:eastAsia="Sylfaen" w:hAnsi="Sylfaen"/>
          <w:lang w:val="da-DK"/>
        </w:rPr>
        <w:t xml:space="preserve"> </w:t>
      </w:r>
      <w:r>
        <w:rPr>
          <w:rFonts w:ascii="Sylfaen" w:eastAsia="Sylfaen" w:hAnsi="Sylfaen"/>
        </w:rPr>
        <w:t>ზ</w:t>
      </w:r>
      <w:r w:rsidRPr="008069E4">
        <w:rPr>
          <w:rFonts w:ascii="Sylfaen" w:eastAsia="Sylfaen" w:hAnsi="Sylfaen"/>
          <w:lang w:val="da-DK"/>
        </w:rPr>
        <w:t>.</w:t>
      </w:r>
      <w:r>
        <w:rPr>
          <w:rFonts w:ascii="Sylfaen" w:eastAsia="Sylfaen" w:hAnsi="Sylfaen"/>
        </w:rPr>
        <w:t>დ</w:t>
      </w:r>
      <w:r w:rsidRPr="008069E4">
        <w:rPr>
          <w:rFonts w:ascii="Sylfaen" w:eastAsia="Sylfaen" w:hAnsi="Sylfaen"/>
          <w:lang w:val="da-DK"/>
        </w:rPr>
        <w:t xml:space="preserve">. 550-800 </w:t>
      </w:r>
      <w:r>
        <w:rPr>
          <w:rFonts w:ascii="Sylfaen" w:eastAsia="Sylfaen" w:hAnsi="Sylfaen"/>
        </w:rPr>
        <w:t>მ</w:t>
      </w:r>
      <w:r w:rsidRPr="008069E4">
        <w:rPr>
          <w:rFonts w:ascii="Sylfaen" w:eastAsia="Sylfaen" w:hAnsi="Sylfaen"/>
          <w:lang w:val="da-DK"/>
        </w:rPr>
        <w:t xml:space="preserve"> </w:t>
      </w:r>
      <w:r>
        <w:rPr>
          <w:rFonts w:ascii="Sylfaen" w:eastAsia="Sylfaen" w:hAnsi="Sylfaen"/>
        </w:rPr>
        <w:t>სიმაღლეზე</w:t>
      </w:r>
      <w:r w:rsidRPr="008069E4">
        <w:rPr>
          <w:rFonts w:ascii="Sylfaen" w:eastAsia="Sylfaen" w:hAnsi="Sylfaen"/>
          <w:lang w:val="da-DK"/>
        </w:rPr>
        <w:t xml:space="preserve">. </w:t>
      </w:r>
      <w:r>
        <w:rPr>
          <w:rFonts w:ascii="Sylfaen" w:eastAsia="Sylfaen" w:hAnsi="Sylfaen"/>
        </w:rPr>
        <w:t>უშუალოდ</w:t>
      </w:r>
      <w:r w:rsidRPr="008069E4">
        <w:rPr>
          <w:rFonts w:ascii="Sylfaen" w:eastAsia="Sylfaen" w:hAnsi="Sylfaen"/>
          <w:lang w:val="da-DK"/>
        </w:rPr>
        <w:t xml:space="preserve"> </w:t>
      </w:r>
      <w:r>
        <w:rPr>
          <w:rFonts w:ascii="Sylfaen" w:eastAsia="Sylfaen" w:hAnsi="Sylfaen"/>
        </w:rPr>
        <w:t>ქალაქის</w:t>
      </w:r>
      <w:r w:rsidRPr="008069E4">
        <w:rPr>
          <w:rFonts w:ascii="Sylfaen" w:eastAsia="Sylfaen" w:hAnsi="Sylfaen"/>
          <w:lang w:val="da-DK"/>
        </w:rPr>
        <w:t xml:space="preserve"> </w:t>
      </w:r>
      <w:r>
        <w:rPr>
          <w:rFonts w:ascii="Sylfaen" w:eastAsia="Sylfaen" w:hAnsi="Sylfaen"/>
        </w:rPr>
        <w:t>ტერიტორიის</w:t>
      </w:r>
      <w:r w:rsidRPr="008069E4">
        <w:rPr>
          <w:rFonts w:ascii="Sylfaen" w:eastAsia="Sylfaen" w:hAnsi="Sylfaen"/>
          <w:lang w:val="da-DK"/>
        </w:rPr>
        <w:t xml:space="preserve"> (</w:t>
      </w:r>
      <w:r>
        <w:rPr>
          <w:rFonts w:ascii="Sylfaen" w:eastAsia="Sylfaen" w:hAnsi="Sylfaen"/>
        </w:rPr>
        <w:t>განსაკუთრებით</w:t>
      </w:r>
      <w:r w:rsidRPr="008069E4">
        <w:rPr>
          <w:rFonts w:ascii="Sylfaen" w:eastAsia="Sylfaen" w:hAnsi="Sylfaen"/>
          <w:lang w:val="da-DK"/>
        </w:rPr>
        <w:t xml:space="preserve"> </w:t>
      </w:r>
      <w:r>
        <w:rPr>
          <w:rFonts w:ascii="Sylfaen" w:eastAsia="Sylfaen" w:hAnsi="Sylfaen"/>
        </w:rPr>
        <w:t>მისი</w:t>
      </w:r>
      <w:r w:rsidRPr="008069E4">
        <w:rPr>
          <w:rFonts w:ascii="Sylfaen" w:eastAsia="Sylfaen" w:hAnsi="Sylfaen"/>
          <w:lang w:val="da-DK"/>
        </w:rPr>
        <w:t xml:space="preserve"> </w:t>
      </w:r>
      <w:r>
        <w:rPr>
          <w:rFonts w:ascii="Sylfaen" w:eastAsia="Sylfaen" w:hAnsi="Sylfaen"/>
        </w:rPr>
        <w:t>სამხრეთი</w:t>
      </w:r>
      <w:r w:rsidRPr="008069E4">
        <w:rPr>
          <w:rFonts w:ascii="Sylfaen" w:eastAsia="Sylfaen" w:hAnsi="Sylfaen"/>
          <w:lang w:val="da-DK"/>
        </w:rPr>
        <w:t xml:space="preserve"> </w:t>
      </w:r>
      <w:r>
        <w:rPr>
          <w:rFonts w:ascii="Sylfaen" w:eastAsia="Sylfaen" w:hAnsi="Sylfaen"/>
        </w:rPr>
        <w:t>ნაწილი</w:t>
      </w:r>
      <w:r w:rsidRPr="008069E4">
        <w:rPr>
          <w:rFonts w:ascii="Sylfaen" w:eastAsia="Sylfaen" w:hAnsi="Sylfaen"/>
          <w:lang w:val="da-DK"/>
        </w:rPr>
        <w:t xml:space="preserve">) </w:t>
      </w:r>
      <w:r>
        <w:rPr>
          <w:rFonts w:ascii="Sylfaen" w:eastAsia="Sylfaen" w:hAnsi="Sylfaen"/>
        </w:rPr>
        <w:t>რელიეფი</w:t>
      </w:r>
      <w:r w:rsidRPr="008069E4">
        <w:rPr>
          <w:rFonts w:ascii="Sylfaen" w:eastAsia="Sylfaen" w:hAnsi="Sylfaen"/>
          <w:lang w:val="da-DK"/>
        </w:rPr>
        <w:t xml:space="preserve"> </w:t>
      </w:r>
      <w:r>
        <w:rPr>
          <w:rFonts w:ascii="Sylfaen" w:eastAsia="Sylfaen" w:hAnsi="Sylfaen"/>
        </w:rPr>
        <w:t>ძლიერ</w:t>
      </w:r>
      <w:r w:rsidRPr="008069E4">
        <w:rPr>
          <w:rFonts w:ascii="Sylfaen" w:eastAsia="Sylfaen" w:hAnsi="Sylfaen"/>
          <w:lang w:val="da-DK"/>
        </w:rPr>
        <w:t xml:space="preserve"> </w:t>
      </w:r>
      <w:r>
        <w:rPr>
          <w:rFonts w:ascii="Sylfaen" w:eastAsia="Sylfaen" w:hAnsi="Sylfaen"/>
        </w:rPr>
        <w:t>დახრილი</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ღრმად</w:t>
      </w:r>
      <w:r w:rsidRPr="008069E4">
        <w:rPr>
          <w:rFonts w:ascii="Sylfaen" w:eastAsia="Sylfaen" w:hAnsi="Sylfaen"/>
          <w:lang w:val="da-DK"/>
        </w:rPr>
        <w:t xml:space="preserve"> </w:t>
      </w:r>
      <w:r>
        <w:rPr>
          <w:rFonts w:ascii="Sylfaen" w:eastAsia="Sylfaen" w:hAnsi="Sylfaen"/>
        </w:rPr>
        <w:t>არის</w:t>
      </w:r>
      <w:r w:rsidRPr="008069E4">
        <w:rPr>
          <w:rFonts w:ascii="Sylfaen" w:eastAsia="Sylfaen" w:hAnsi="Sylfaen"/>
          <w:lang w:val="da-DK"/>
        </w:rPr>
        <w:t xml:space="preserve"> </w:t>
      </w:r>
      <w:r>
        <w:rPr>
          <w:rFonts w:ascii="Sylfaen" w:eastAsia="Sylfaen" w:hAnsi="Sylfaen"/>
        </w:rPr>
        <w:t>დანაწევრებული</w:t>
      </w:r>
      <w:r w:rsidRPr="008069E4">
        <w:rPr>
          <w:rFonts w:ascii="Sylfaen" w:eastAsia="Sylfaen" w:hAnsi="Sylfaen"/>
          <w:lang w:val="da-DK"/>
        </w:rPr>
        <w:t xml:space="preserve"> V-</w:t>
      </w:r>
      <w:r>
        <w:rPr>
          <w:rFonts w:ascii="Sylfaen" w:eastAsia="Sylfaen" w:hAnsi="Sylfaen"/>
        </w:rPr>
        <w:t>სებრი</w:t>
      </w:r>
      <w:r w:rsidRPr="008069E4">
        <w:rPr>
          <w:rFonts w:ascii="Sylfaen" w:eastAsia="Sylfaen" w:hAnsi="Sylfaen"/>
          <w:lang w:val="da-DK"/>
        </w:rPr>
        <w:t xml:space="preserve"> </w:t>
      </w:r>
      <w:r>
        <w:rPr>
          <w:rFonts w:ascii="Sylfaen" w:eastAsia="Sylfaen" w:hAnsi="Sylfaen"/>
        </w:rPr>
        <w:t>ციცაბოფერდობებიანი</w:t>
      </w:r>
      <w:r w:rsidRPr="008069E4">
        <w:rPr>
          <w:rFonts w:ascii="Sylfaen" w:eastAsia="Sylfaen" w:hAnsi="Sylfaen"/>
          <w:lang w:val="da-DK"/>
        </w:rPr>
        <w:t xml:space="preserve"> </w:t>
      </w:r>
      <w:r>
        <w:rPr>
          <w:rFonts w:ascii="Sylfaen" w:eastAsia="Sylfaen" w:hAnsi="Sylfaen"/>
        </w:rPr>
        <w:t>ხეობებით</w:t>
      </w:r>
      <w:r w:rsidRPr="008069E4">
        <w:rPr>
          <w:rFonts w:ascii="Sylfaen" w:eastAsia="Sylfaen" w:hAnsi="Sylfaen"/>
          <w:lang w:val="da-DK"/>
        </w:rPr>
        <w:t xml:space="preserve">. </w:t>
      </w:r>
      <w:r>
        <w:rPr>
          <w:rFonts w:ascii="Sylfaen" w:eastAsia="Sylfaen" w:hAnsi="Sylfaen"/>
        </w:rPr>
        <w:t>ქალაქიდან</w:t>
      </w:r>
      <w:r w:rsidRPr="008069E4">
        <w:rPr>
          <w:rFonts w:ascii="Sylfaen" w:eastAsia="Sylfaen" w:hAnsi="Sylfaen"/>
          <w:lang w:val="da-DK"/>
        </w:rPr>
        <w:t xml:space="preserve"> </w:t>
      </w:r>
      <w:r>
        <w:rPr>
          <w:rFonts w:ascii="Sylfaen" w:eastAsia="Sylfaen" w:hAnsi="Sylfaen"/>
        </w:rPr>
        <w:t>ჩრდილოეთის</w:t>
      </w:r>
      <w:r w:rsidRPr="008069E4">
        <w:rPr>
          <w:rFonts w:ascii="Sylfaen" w:eastAsia="Sylfaen" w:hAnsi="Sylfaen"/>
          <w:lang w:val="da-DK"/>
        </w:rPr>
        <w:t xml:space="preserve"> </w:t>
      </w:r>
      <w:r>
        <w:rPr>
          <w:rFonts w:ascii="Sylfaen" w:eastAsia="Sylfaen" w:hAnsi="Sylfaen"/>
        </w:rPr>
        <w:t>მიმართულებით</w:t>
      </w:r>
      <w:r w:rsidRPr="008069E4">
        <w:rPr>
          <w:rFonts w:ascii="Sylfaen" w:eastAsia="Sylfaen" w:hAnsi="Sylfaen"/>
          <w:lang w:val="da-DK"/>
        </w:rPr>
        <w:t xml:space="preserve"> </w:t>
      </w:r>
      <w:r>
        <w:rPr>
          <w:rFonts w:ascii="Sylfaen" w:eastAsia="Sylfaen" w:hAnsi="Sylfaen"/>
        </w:rPr>
        <w:t>რელიეფის</w:t>
      </w:r>
      <w:r w:rsidRPr="008069E4">
        <w:rPr>
          <w:rFonts w:ascii="Sylfaen" w:eastAsia="Sylfaen" w:hAnsi="Sylfaen"/>
          <w:lang w:val="da-DK"/>
        </w:rPr>
        <w:t xml:space="preserve"> </w:t>
      </w:r>
      <w:r>
        <w:rPr>
          <w:rFonts w:ascii="Sylfaen" w:eastAsia="Sylfaen" w:hAnsi="Sylfaen"/>
        </w:rPr>
        <w:t>აბსოლუტური</w:t>
      </w:r>
      <w:r w:rsidRPr="008069E4">
        <w:rPr>
          <w:rFonts w:ascii="Sylfaen" w:eastAsia="Sylfaen" w:hAnsi="Sylfaen"/>
          <w:lang w:val="da-DK"/>
        </w:rPr>
        <w:t xml:space="preserve"> </w:t>
      </w:r>
      <w:r>
        <w:rPr>
          <w:rFonts w:ascii="Sylfaen" w:eastAsia="Sylfaen" w:hAnsi="Sylfaen"/>
        </w:rPr>
        <w:t>ნიშნულები</w:t>
      </w:r>
      <w:r w:rsidRPr="008069E4">
        <w:rPr>
          <w:rFonts w:ascii="Sylfaen" w:eastAsia="Sylfaen" w:hAnsi="Sylfaen"/>
          <w:lang w:val="da-DK"/>
        </w:rPr>
        <w:t xml:space="preserve"> </w:t>
      </w:r>
      <w:r>
        <w:rPr>
          <w:rFonts w:ascii="Sylfaen" w:eastAsia="Sylfaen" w:hAnsi="Sylfaen"/>
        </w:rPr>
        <w:t>თანმიმდევრულად</w:t>
      </w:r>
      <w:r w:rsidRPr="008069E4">
        <w:rPr>
          <w:rFonts w:ascii="Sylfaen" w:eastAsia="Sylfaen" w:hAnsi="Sylfaen"/>
          <w:lang w:val="da-DK"/>
        </w:rPr>
        <w:t xml:space="preserve"> </w:t>
      </w:r>
      <w:r>
        <w:rPr>
          <w:rFonts w:ascii="Sylfaen" w:eastAsia="Sylfaen" w:hAnsi="Sylfaen"/>
        </w:rPr>
        <w:t>იკლებს</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მდ</w:t>
      </w:r>
      <w:r w:rsidRPr="008069E4">
        <w:rPr>
          <w:rFonts w:ascii="Sylfaen" w:eastAsia="Sylfaen" w:hAnsi="Sylfaen"/>
          <w:lang w:val="da-DK"/>
        </w:rPr>
        <w:t xml:space="preserve">. </w:t>
      </w:r>
      <w:r>
        <w:rPr>
          <w:rFonts w:ascii="Sylfaen" w:eastAsia="Sylfaen" w:hAnsi="Sylfaen"/>
        </w:rPr>
        <w:t>ალაზნის</w:t>
      </w:r>
      <w:r w:rsidRPr="008069E4">
        <w:rPr>
          <w:rFonts w:ascii="Sylfaen" w:eastAsia="Sylfaen" w:hAnsi="Sylfaen"/>
          <w:lang w:val="da-DK"/>
        </w:rPr>
        <w:t xml:space="preserve"> </w:t>
      </w:r>
      <w:r>
        <w:rPr>
          <w:rFonts w:ascii="Sylfaen" w:eastAsia="Sylfaen" w:hAnsi="Sylfaen"/>
        </w:rPr>
        <w:t>კალაპოტის</w:t>
      </w:r>
      <w:r w:rsidRPr="008069E4">
        <w:rPr>
          <w:rFonts w:ascii="Sylfaen" w:eastAsia="Sylfaen" w:hAnsi="Sylfaen"/>
          <w:lang w:val="da-DK"/>
        </w:rPr>
        <w:t xml:space="preserve"> </w:t>
      </w:r>
      <w:r>
        <w:rPr>
          <w:rFonts w:ascii="Sylfaen" w:eastAsia="Sylfaen" w:hAnsi="Sylfaen"/>
        </w:rPr>
        <w:t>სიახლოვეს</w:t>
      </w:r>
      <w:r w:rsidRPr="008069E4">
        <w:rPr>
          <w:rFonts w:ascii="Sylfaen" w:eastAsia="Sylfaen" w:hAnsi="Sylfaen"/>
          <w:lang w:val="da-DK"/>
        </w:rPr>
        <w:t xml:space="preserve"> (</w:t>
      </w:r>
      <w:r>
        <w:rPr>
          <w:rFonts w:ascii="Sylfaen" w:eastAsia="Sylfaen" w:hAnsi="Sylfaen"/>
        </w:rPr>
        <w:t>ძველი</w:t>
      </w:r>
      <w:r w:rsidRPr="008069E4">
        <w:rPr>
          <w:rFonts w:ascii="Sylfaen" w:eastAsia="Sylfaen" w:hAnsi="Sylfaen"/>
          <w:lang w:val="da-DK"/>
        </w:rPr>
        <w:t xml:space="preserve"> </w:t>
      </w:r>
      <w:r>
        <w:rPr>
          <w:rFonts w:ascii="Sylfaen" w:eastAsia="Sylfaen" w:hAnsi="Sylfaen"/>
        </w:rPr>
        <w:t>გამწმენდი</w:t>
      </w:r>
      <w:r w:rsidRPr="008069E4">
        <w:rPr>
          <w:rFonts w:ascii="Sylfaen" w:eastAsia="Sylfaen" w:hAnsi="Sylfaen"/>
          <w:lang w:val="da-DK"/>
        </w:rPr>
        <w:t xml:space="preserve"> </w:t>
      </w:r>
      <w:r>
        <w:rPr>
          <w:rFonts w:ascii="Sylfaen" w:eastAsia="Sylfaen" w:hAnsi="Sylfaen"/>
        </w:rPr>
        <w:t>ნაგებობის</w:t>
      </w:r>
      <w:r w:rsidRPr="008069E4">
        <w:rPr>
          <w:rFonts w:ascii="Sylfaen" w:eastAsia="Sylfaen" w:hAnsi="Sylfaen"/>
          <w:lang w:val="da-DK"/>
        </w:rPr>
        <w:t xml:space="preserve"> </w:t>
      </w:r>
      <w:r>
        <w:rPr>
          <w:rFonts w:ascii="Sylfaen" w:eastAsia="Sylfaen" w:hAnsi="Sylfaen"/>
        </w:rPr>
        <w:t>ტერიტორიასთან</w:t>
      </w:r>
      <w:r w:rsidRPr="008069E4">
        <w:rPr>
          <w:rFonts w:ascii="Sylfaen" w:eastAsia="Sylfaen" w:hAnsi="Sylfaen"/>
          <w:lang w:val="da-DK"/>
        </w:rPr>
        <w:t xml:space="preserve">) </w:t>
      </w:r>
      <w:r>
        <w:rPr>
          <w:rFonts w:ascii="Sylfaen" w:eastAsia="Sylfaen" w:hAnsi="Sylfaen"/>
        </w:rPr>
        <w:t>ზ</w:t>
      </w:r>
      <w:r w:rsidRPr="008069E4">
        <w:rPr>
          <w:rFonts w:ascii="Sylfaen" w:eastAsia="Sylfaen" w:hAnsi="Sylfaen"/>
          <w:lang w:val="da-DK"/>
        </w:rPr>
        <w:t>.</w:t>
      </w:r>
      <w:r>
        <w:rPr>
          <w:rFonts w:ascii="Sylfaen" w:eastAsia="Sylfaen" w:hAnsi="Sylfaen"/>
        </w:rPr>
        <w:t>დ</w:t>
      </w:r>
      <w:r w:rsidRPr="008069E4">
        <w:rPr>
          <w:rFonts w:ascii="Sylfaen" w:eastAsia="Sylfaen" w:hAnsi="Sylfaen"/>
          <w:lang w:val="da-DK"/>
        </w:rPr>
        <w:t xml:space="preserve">. 350-360 </w:t>
      </w:r>
      <w:r>
        <w:rPr>
          <w:rFonts w:ascii="Sylfaen" w:eastAsia="Sylfaen" w:hAnsi="Sylfaen"/>
        </w:rPr>
        <w:t>მ</w:t>
      </w:r>
      <w:r w:rsidRPr="008069E4">
        <w:rPr>
          <w:rFonts w:ascii="Sylfaen" w:eastAsia="Sylfaen" w:hAnsi="Sylfaen"/>
          <w:lang w:val="da-DK"/>
        </w:rPr>
        <w:t>-</w:t>
      </w:r>
      <w:r>
        <w:rPr>
          <w:rFonts w:ascii="Sylfaen" w:eastAsia="Sylfaen" w:hAnsi="Sylfaen"/>
        </w:rPr>
        <w:t>ს</w:t>
      </w:r>
      <w:r w:rsidRPr="008069E4">
        <w:rPr>
          <w:rFonts w:ascii="Sylfaen" w:eastAsia="Sylfaen" w:hAnsi="Sylfaen"/>
          <w:lang w:val="da-DK"/>
        </w:rPr>
        <w:t xml:space="preserve"> </w:t>
      </w:r>
      <w:r>
        <w:rPr>
          <w:rFonts w:ascii="Sylfaen" w:eastAsia="Sylfaen" w:hAnsi="Sylfaen"/>
        </w:rPr>
        <w:t>შეადგენს</w:t>
      </w:r>
      <w:r w:rsidRPr="008069E4">
        <w:rPr>
          <w:rFonts w:ascii="Sylfaen" w:eastAsia="Sylfaen" w:hAnsi="Sylfaen"/>
          <w:lang w:val="da-DK"/>
        </w:rPr>
        <w:t xml:space="preserve">. </w:t>
      </w:r>
      <w:r>
        <w:rPr>
          <w:rFonts w:ascii="Sylfaen" w:eastAsia="Sylfaen" w:hAnsi="Sylfaen"/>
        </w:rPr>
        <w:t>საკვლევი</w:t>
      </w:r>
      <w:r w:rsidRPr="008069E4">
        <w:rPr>
          <w:rFonts w:ascii="Sylfaen" w:eastAsia="Sylfaen" w:hAnsi="Sylfaen"/>
          <w:lang w:val="da-DK"/>
        </w:rPr>
        <w:t xml:space="preserve"> </w:t>
      </w:r>
      <w:r>
        <w:rPr>
          <w:rFonts w:ascii="Sylfaen" w:eastAsia="Sylfaen" w:hAnsi="Sylfaen"/>
        </w:rPr>
        <w:t>დერეფნის</w:t>
      </w:r>
      <w:r w:rsidRPr="008069E4">
        <w:rPr>
          <w:rFonts w:ascii="Sylfaen" w:eastAsia="Sylfaen" w:hAnsi="Sylfaen"/>
          <w:lang w:val="da-DK"/>
        </w:rPr>
        <w:t xml:space="preserve"> </w:t>
      </w:r>
      <w:r>
        <w:rPr>
          <w:rFonts w:ascii="Sylfaen" w:eastAsia="Sylfaen" w:hAnsi="Sylfaen"/>
        </w:rPr>
        <w:t>გასწვრივ</w:t>
      </w:r>
      <w:r w:rsidRPr="008069E4">
        <w:rPr>
          <w:rFonts w:ascii="Sylfaen" w:eastAsia="Sylfaen" w:hAnsi="Sylfaen"/>
          <w:lang w:val="da-DK"/>
        </w:rPr>
        <w:t xml:space="preserve"> </w:t>
      </w:r>
      <w:r>
        <w:rPr>
          <w:rFonts w:ascii="Sylfaen" w:eastAsia="Sylfaen" w:hAnsi="Sylfaen"/>
        </w:rPr>
        <w:t>არ</w:t>
      </w:r>
      <w:r w:rsidRPr="008069E4">
        <w:rPr>
          <w:rFonts w:ascii="Sylfaen" w:eastAsia="Sylfaen" w:hAnsi="Sylfaen"/>
          <w:lang w:val="da-DK"/>
        </w:rPr>
        <w:t xml:space="preserve"> </w:t>
      </w:r>
      <w:r>
        <w:rPr>
          <w:rFonts w:ascii="Sylfaen" w:eastAsia="Sylfaen" w:hAnsi="Sylfaen"/>
        </w:rPr>
        <w:t>შეინიშნება</w:t>
      </w:r>
      <w:r w:rsidRPr="008069E4">
        <w:rPr>
          <w:rFonts w:ascii="Sylfaen" w:eastAsia="Sylfaen" w:hAnsi="Sylfaen"/>
          <w:lang w:val="da-DK"/>
        </w:rPr>
        <w:t xml:space="preserve"> </w:t>
      </w:r>
      <w:r>
        <w:rPr>
          <w:rFonts w:ascii="Sylfaen" w:eastAsia="Sylfaen" w:hAnsi="Sylfaen"/>
        </w:rPr>
        <w:t>რელიეფის</w:t>
      </w:r>
      <w:r w:rsidRPr="008069E4">
        <w:rPr>
          <w:rFonts w:ascii="Sylfaen" w:eastAsia="Sylfaen" w:hAnsi="Sylfaen"/>
          <w:lang w:val="da-DK"/>
        </w:rPr>
        <w:t xml:space="preserve"> </w:t>
      </w:r>
      <w:r>
        <w:rPr>
          <w:rFonts w:ascii="Sylfaen" w:eastAsia="Sylfaen" w:hAnsi="Sylfaen"/>
        </w:rPr>
        <w:t>მკვეთრად</w:t>
      </w:r>
      <w:r w:rsidRPr="008069E4">
        <w:rPr>
          <w:rFonts w:ascii="Sylfaen" w:eastAsia="Sylfaen" w:hAnsi="Sylfaen"/>
          <w:lang w:val="da-DK"/>
        </w:rPr>
        <w:t xml:space="preserve"> </w:t>
      </w:r>
      <w:r>
        <w:rPr>
          <w:rFonts w:ascii="Sylfaen" w:eastAsia="Sylfaen" w:hAnsi="Sylfaen"/>
        </w:rPr>
        <w:t>გამოხატული</w:t>
      </w:r>
      <w:r w:rsidRPr="008069E4">
        <w:rPr>
          <w:rFonts w:ascii="Sylfaen" w:eastAsia="Sylfaen" w:hAnsi="Sylfaen"/>
          <w:lang w:val="da-DK"/>
        </w:rPr>
        <w:t xml:space="preserve"> </w:t>
      </w:r>
      <w:r>
        <w:rPr>
          <w:rFonts w:ascii="Sylfaen" w:eastAsia="Sylfaen" w:hAnsi="Sylfaen"/>
        </w:rPr>
        <w:t>უარყოფითი</w:t>
      </w:r>
      <w:r w:rsidRPr="008069E4">
        <w:rPr>
          <w:rFonts w:ascii="Sylfaen" w:eastAsia="Sylfaen" w:hAnsi="Sylfaen"/>
          <w:lang w:val="da-DK"/>
        </w:rPr>
        <w:t xml:space="preserve"> </w:t>
      </w:r>
      <w:r>
        <w:rPr>
          <w:rFonts w:ascii="Sylfaen" w:eastAsia="Sylfaen" w:hAnsi="Sylfaen"/>
        </w:rPr>
        <w:t>ან</w:t>
      </w:r>
      <w:r w:rsidRPr="008069E4">
        <w:rPr>
          <w:rFonts w:ascii="Sylfaen" w:eastAsia="Sylfaen" w:hAnsi="Sylfaen"/>
          <w:lang w:val="da-DK"/>
        </w:rPr>
        <w:t xml:space="preserve"> </w:t>
      </w:r>
      <w:r>
        <w:rPr>
          <w:rFonts w:ascii="Sylfaen" w:eastAsia="Sylfaen" w:hAnsi="Sylfaen"/>
        </w:rPr>
        <w:t>დადებითი</w:t>
      </w:r>
      <w:r w:rsidRPr="008069E4">
        <w:rPr>
          <w:rFonts w:ascii="Sylfaen" w:eastAsia="Sylfaen" w:hAnsi="Sylfaen"/>
          <w:lang w:val="da-DK"/>
        </w:rPr>
        <w:t xml:space="preserve"> </w:t>
      </w:r>
      <w:r>
        <w:rPr>
          <w:rFonts w:ascii="Sylfaen" w:eastAsia="Sylfaen" w:hAnsi="Sylfaen"/>
        </w:rPr>
        <w:t>ფორმები</w:t>
      </w:r>
      <w:r w:rsidRPr="008069E4">
        <w:rPr>
          <w:rFonts w:ascii="Sylfaen" w:eastAsia="Sylfaen" w:hAnsi="Sylfaen"/>
          <w:lang w:val="da-DK"/>
        </w:rPr>
        <w:t xml:space="preserve">. </w:t>
      </w:r>
      <w:r>
        <w:rPr>
          <w:rFonts w:ascii="Sylfaen" w:eastAsia="Sylfaen" w:hAnsi="Sylfaen"/>
        </w:rPr>
        <w:t>წყნარი</w:t>
      </w:r>
      <w:r w:rsidRPr="008069E4">
        <w:rPr>
          <w:rFonts w:ascii="Sylfaen" w:eastAsia="Sylfaen" w:hAnsi="Sylfaen"/>
          <w:lang w:val="da-DK"/>
        </w:rPr>
        <w:t xml:space="preserve"> </w:t>
      </w:r>
      <w:r>
        <w:rPr>
          <w:rFonts w:ascii="Sylfaen" w:eastAsia="Sylfaen" w:hAnsi="Sylfaen"/>
        </w:rPr>
        <w:t>რელიეფით</w:t>
      </w:r>
      <w:r w:rsidRPr="008069E4">
        <w:rPr>
          <w:rFonts w:ascii="Sylfaen" w:eastAsia="Sylfaen" w:hAnsi="Sylfaen"/>
          <w:lang w:val="da-DK"/>
        </w:rPr>
        <w:t xml:space="preserve"> </w:t>
      </w:r>
      <w:r>
        <w:rPr>
          <w:rFonts w:ascii="Sylfaen" w:eastAsia="Sylfaen" w:hAnsi="Sylfaen"/>
        </w:rPr>
        <w:t>ხასიათდება</w:t>
      </w:r>
      <w:r w:rsidRPr="008069E4">
        <w:rPr>
          <w:rFonts w:ascii="Sylfaen" w:eastAsia="Sylfaen" w:hAnsi="Sylfaen"/>
          <w:lang w:val="da-DK"/>
        </w:rPr>
        <w:t xml:space="preserve"> </w:t>
      </w:r>
      <w:r>
        <w:rPr>
          <w:rFonts w:ascii="Sylfaen" w:eastAsia="Sylfaen" w:hAnsi="Sylfaen"/>
        </w:rPr>
        <w:t>უშუალოდ</w:t>
      </w:r>
      <w:r w:rsidRPr="008069E4">
        <w:rPr>
          <w:rFonts w:ascii="Sylfaen" w:eastAsia="Sylfaen" w:hAnsi="Sylfaen"/>
          <w:lang w:val="da-DK"/>
        </w:rPr>
        <w:t xml:space="preserve"> </w:t>
      </w:r>
      <w:r>
        <w:rPr>
          <w:rFonts w:ascii="Sylfaen" w:eastAsia="Sylfaen" w:hAnsi="Sylfaen"/>
        </w:rPr>
        <w:t>გამწმენდი</w:t>
      </w:r>
      <w:r w:rsidRPr="008069E4">
        <w:rPr>
          <w:rFonts w:ascii="Sylfaen" w:eastAsia="Sylfaen" w:hAnsi="Sylfaen"/>
          <w:lang w:val="da-DK"/>
        </w:rPr>
        <w:t xml:space="preserve"> </w:t>
      </w:r>
      <w:r>
        <w:rPr>
          <w:rFonts w:ascii="Sylfaen" w:eastAsia="Sylfaen" w:hAnsi="Sylfaen"/>
        </w:rPr>
        <w:t>ნაგებობის</w:t>
      </w:r>
      <w:r w:rsidRPr="008069E4">
        <w:rPr>
          <w:rFonts w:ascii="Sylfaen" w:eastAsia="Sylfaen" w:hAnsi="Sylfaen"/>
          <w:lang w:val="da-DK"/>
        </w:rPr>
        <w:t xml:space="preserve"> </w:t>
      </w:r>
      <w:r>
        <w:rPr>
          <w:rFonts w:ascii="Sylfaen" w:eastAsia="Sylfaen" w:hAnsi="Sylfaen"/>
        </w:rPr>
        <w:t>ტერიტორია</w:t>
      </w:r>
      <w:r w:rsidRPr="008069E4">
        <w:rPr>
          <w:rFonts w:ascii="Sylfaen" w:eastAsia="Sylfaen" w:hAnsi="Sylfaen"/>
          <w:lang w:val="da-DK"/>
        </w:rPr>
        <w:t>.</w:t>
      </w:r>
    </w:p>
    <w:p w14:paraId="279AE9F2" w14:textId="77777777" w:rsidR="00EA3C65" w:rsidRPr="008069E4" w:rsidRDefault="00EA3C65" w:rsidP="00EA3C65">
      <w:pPr>
        <w:spacing w:line="133" w:lineRule="exact"/>
        <w:rPr>
          <w:rFonts w:ascii="Times New Roman" w:hAnsi="Times New Roman"/>
          <w:lang w:val="da-DK"/>
        </w:rPr>
      </w:pPr>
    </w:p>
    <w:p w14:paraId="7D0DA933" w14:textId="77777777" w:rsidR="00EA3C65" w:rsidRPr="008069E4" w:rsidRDefault="00EA3C65" w:rsidP="00EA3C65">
      <w:pPr>
        <w:spacing w:line="239" w:lineRule="auto"/>
        <w:rPr>
          <w:rFonts w:ascii="Sylfaen" w:eastAsia="Sylfaen" w:hAnsi="Sylfaen"/>
          <w:lang w:val="da-DK"/>
        </w:rPr>
      </w:pPr>
      <w:r>
        <w:rPr>
          <w:rFonts w:ascii="Sylfaen" w:eastAsia="Sylfaen" w:hAnsi="Sylfaen"/>
          <w:lang w:val="ka-GE"/>
        </w:rPr>
        <w:t>საპროექტო გზის</w:t>
      </w:r>
      <w:r w:rsidRPr="008069E4">
        <w:rPr>
          <w:rFonts w:ascii="Sylfaen" w:eastAsia="Sylfaen" w:hAnsi="Sylfaen"/>
          <w:lang w:val="da-DK"/>
        </w:rPr>
        <w:t xml:space="preserve"> </w:t>
      </w:r>
      <w:r>
        <w:rPr>
          <w:rFonts w:ascii="Sylfaen" w:eastAsia="Sylfaen" w:hAnsi="Sylfaen"/>
        </w:rPr>
        <w:t>ტერიტორია</w:t>
      </w:r>
      <w:r w:rsidRPr="008069E4">
        <w:rPr>
          <w:rFonts w:ascii="Sylfaen" w:eastAsia="Sylfaen" w:hAnsi="Sylfaen"/>
          <w:lang w:val="da-DK"/>
        </w:rPr>
        <w:t xml:space="preserve"> </w:t>
      </w:r>
      <w:r>
        <w:rPr>
          <w:rFonts w:ascii="Sylfaen" w:eastAsia="Sylfaen" w:hAnsi="Sylfaen"/>
        </w:rPr>
        <w:t>გეომორფოლოგიური</w:t>
      </w:r>
      <w:r w:rsidRPr="008069E4">
        <w:rPr>
          <w:rFonts w:ascii="Sylfaen" w:eastAsia="Sylfaen" w:hAnsi="Sylfaen"/>
          <w:lang w:val="da-DK"/>
        </w:rPr>
        <w:t xml:space="preserve"> </w:t>
      </w:r>
      <w:r>
        <w:rPr>
          <w:rFonts w:ascii="Sylfaen" w:eastAsia="Sylfaen" w:hAnsi="Sylfaen"/>
        </w:rPr>
        <w:t>თვალსაზრისით</w:t>
      </w:r>
      <w:r w:rsidRPr="008069E4">
        <w:rPr>
          <w:rFonts w:ascii="Sylfaen" w:eastAsia="Sylfaen" w:hAnsi="Sylfaen"/>
          <w:lang w:val="da-DK"/>
        </w:rPr>
        <w:t xml:space="preserve"> </w:t>
      </w:r>
      <w:r>
        <w:rPr>
          <w:rFonts w:ascii="Sylfaen" w:eastAsia="Sylfaen" w:hAnsi="Sylfaen"/>
        </w:rPr>
        <w:t>შედის</w:t>
      </w:r>
      <w:r w:rsidRPr="008069E4">
        <w:rPr>
          <w:rFonts w:ascii="Sylfaen" w:eastAsia="Sylfaen" w:hAnsi="Sylfaen"/>
          <w:lang w:val="da-DK"/>
        </w:rPr>
        <w:t xml:space="preserve"> </w:t>
      </w:r>
      <w:r>
        <w:rPr>
          <w:rFonts w:ascii="Sylfaen" w:eastAsia="Sylfaen" w:hAnsi="Sylfaen"/>
        </w:rPr>
        <w:t>ამიერკავკასიის</w:t>
      </w:r>
      <w:r w:rsidRPr="008069E4">
        <w:rPr>
          <w:rFonts w:ascii="Sylfaen" w:eastAsia="Sylfaen" w:hAnsi="Sylfaen"/>
          <w:lang w:val="da-DK"/>
        </w:rPr>
        <w:t xml:space="preserve"> </w:t>
      </w:r>
      <w:r>
        <w:rPr>
          <w:rFonts w:ascii="Sylfaen" w:eastAsia="Sylfaen" w:hAnsi="Sylfaen"/>
        </w:rPr>
        <w:t>მთათაშუა</w:t>
      </w:r>
      <w:r w:rsidRPr="008069E4">
        <w:rPr>
          <w:rFonts w:ascii="Sylfaen" w:eastAsia="Sylfaen" w:hAnsi="Sylfaen"/>
          <w:lang w:val="da-DK"/>
        </w:rPr>
        <w:t xml:space="preserve"> </w:t>
      </w:r>
      <w:r>
        <w:rPr>
          <w:rFonts w:ascii="Sylfaen" w:eastAsia="Sylfaen" w:hAnsi="Sylfaen"/>
        </w:rPr>
        <w:t>არეში</w:t>
      </w:r>
      <w:r w:rsidRPr="008069E4">
        <w:rPr>
          <w:rFonts w:ascii="Sylfaen" w:eastAsia="Sylfaen" w:hAnsi="Sylfaen"/>
          <w:lang w:val="da-DK"/>
        </w:rPr>
        <w:t xml:space="preserve">, </w:t>
      </w:r>
      <w:r>
        <w:rPr>
          <w:rFonts w:ascii="Sylfaen" w:eastAsia="Sylfaen" w:hAnsi="Sylfaen"/>
        </w:rPr>
        <w:t>აღმოსავლეთ</w:t>
      </w:r>
      <w:r w:rsidRPr="008069E4">
        <w:rPr>
          <w:rFonts w:ascii="Sylfaen" w:eastAsia="Sylfaen" w:hAnsi="Sylfaen"/>
          <w:lang w:val="da-DK"/>
        </w:rPr>
        <w:t xml:space="preserve"> </w:t>
      </w:r>
      <w:r>
        <w:rPr>
          <w:rFonts w:ascii="Sylfaen" w:eastAsia="Sylfaen" w:hAnsi="Sylfaen"/>
        </w:rPr>
        <w:t>დაძირვის</w:t>
      </w:r>
      <w:r w:rsidRPr="008069E4">
        <w:rPr>
          <w:rFonts w:ascii="Sylfaen" w:eastAsia="Sylfaen" w:hAnsi="Sylfaen"/>
          <w:lang w:val="da-DK"/>
        </w:rPr>
        <w:t xml:space="preserve"> </w:t>
      </w:r>
      <w:r>
        <w:rPr>
          <w:rFonts w:ascii="Sylfaen" w:eastAsia="Sylfaen" w:hAnsi="Sylfaen"/>
        </w:rPr>
        <w:t>მოლასური</w:t>
      </w:r>
      <w:r w:rsidRPr="008069E4">
        <w:rPr>
          <w:rFonts w:ascii="Sylfaen" w:eastAsia="Sylfaen" w:hAnsi="Sylfaen"/>
          <w:lang w:val="da-DK"/>
        </w:rPr>
        <w:t xml:space="preserve"> </w:t>
      </w:r>
      <w:r>
        <w:rPr>
          <w:rFonts w:ascii="Sylfaen" w:eastAsia="Sylfaen" w:hAnsi="Sylfaen"/>
        </w:rPr>
        <w:t>ზონა</w:t>
      </w:r>
      <w:r w:rsidRPr="008069E4">
        <w:rPr>
          <w:rFonts w:ascii="Sylfaen" w:eastAsia="Sylfaen" w:hAnsi="Sylfaen"/>
          <w:lang w:val="da-DK"/>
        </w:rPr>
        <w:t xml:space="preserve"> (</w:t>
      </w:r>
      <w:r>
        <w:rPr>
          <w:rFonts w:ascii="Sylfaen" w:eastAsia="Sylfaen" w:hAnsi="Sylfaen"/>
        </w:rPr>
        <w:t>მტკვრის</w:t>
      </w:r>
      <w:r w:rsidRPr="008069E4">
        <w:rPr>
          <w:rFonts w:ascii="Sylfaen" w:eastAsia="Sylfaen" w:hAnsi="Sylfaen"/>
          <w:lang w:val="da-DK"/>
        </w:rPr>
        <w:t xml:space="preserve"> </w:t>
      </w:r>
      <w:r>
        <w:rPr>
          <w:rFonts w:ascii="Sylfaen" w:eastAsia="Sylfaen" w:hAnsi="Sylfaen"/>
        </w:rPr>
        <w:t>მთათაშუაროფი</w:t>
      </w:r>
      <w:r w:rsidRPr="008069E4">
        <w:rPr>
          <w:rFonts w:ascii="Sylfaen" w:eastAsia="Sylfaen" w:hAnsi="Sylfaen"/>
          <w:lang w:val="da-DK"/>
        </w:rPr>
        <w:t xml:space="preserve">), </w:t>
      </w:r>
      <w:r>
        <w:rPr>
          <w:rFonts w:ascii="Sylfaen" w:eastAsia="Sylfaen" w:hAnsi="Sylfaen"/>
        </w:rPr>
        <w:t>ალაზნის</w:t>
      </w:r>
      <w:r w:rsidRPr="008069E4">
        <w:rPr>
          <w:rFonts w:ascii="Sylfaen" w:eastAsia="Sylfaen" w:hAnsi="Sylfaen"/>
          <w:lang w:val="da-DK"/>
        </w:rPr>
        <w:t xml:space="preserve"> </w:t>
      </w:r>
      <w:r>
        <w:rPr>
          <w:rFonts w:ascii="Sylfaen" w:eastAsia="Sylfaen" w:hAnsi="Sylfaen"/>
        </w:rPr>
        <w:t>ზედნადები</w:t>
      </w:r>
      <w:r w:rsidRPr="008069E4">
        <w:rPr>
          <w:rFonts w:ascii="Sylfaen" w:eastAsia="Sylfaen" w:hAnsi="Sylfaen"/>
          <w:lang w:val="da-DK"/>
        </w:rPr>
        <w:t xml:space="preserve"> </w:t>
      </w:r>
      <w:r>
        <w:rPr>
          <w:rFonts w:ascii="Sylfaen" w:eastAsia="Sylfaen" w:hAnsi="Sylfaen"/>
        </w:rPr>
        <w:t>მოლასური</w:t>
      </w:r>
      <w:r w:rsidRPr="008069E4">
        <w:rPr>
          <w:rFonts w:ascii="Sylfaen" w:eastAsia="Sylfaen" w:hAnsi="Sylfaen"/>
          <w:lang w:val="da-DK"/>
        </w:rPr>
        <w:t xml:space="preserve"> </w:t>
      </w:r>
      <w:r>
        <w:rPr>
          <w:rFonts w:ascii="Sylfaen" w:eastAsia="Sylfaen" w:hAnsi="Sylfaen"/>
        </w:rPr>
        <w:t>ქვეზონა</w:t>
      </w:r>
      <w:r w:rsidRPr="008069E4">
        <w:rPr>
          <w:rFonts w:ascii="Sylfaen" w:eastAsia="Sylfaen" w:hAnsi="Sylfaen"/>
          <w:lang w:val="da-DK"/>
        </w:rPr>
        <w:t xml:space="preserve">. </w:t>
      </w:r>
      <w:r>
        <w:rPr>
          <w:rFonts w:ascii="Sylfaen" w:eastAsia="Sylfaen" w:hAnsi="Sylfaen"/>
        </w:rPr>
        <w:t>ნაოჭა</w:t>
      </w:r>
      <w:r w:rsidRPr="008069E4">
        <w:rPr>
          <w:rFonts w:ascii="Sylfaen" w:eastAsia="Sylfaen" w:hAnsi="Sylfaen"/>
          <w:lang w:val="da-DK"/>
        </w:rPr>
        <w:t xml:space="preserve"> </w:t>
      </w:r>
      <w:r>
        <w:rPr>
          <w:rFonts w:ascii="Sylfaen" w:eastAsia="Sylfaen" w:hAnsi="Sylfaen"/>
        </w:rPr>
        <w:t>კომპლექსი</w:t>
      </w:r>
      <w:r w:rsidRPr="008069E4">
        <w:rPr>
          <w:rFonts w:ascii="Sylfaen" w:eastAsia="Sylfaen" w:hAnsi="Sylfaen"/>
          <w:lang w:val="da-DK"/>
        </w:rPr>
        <w:t xml:space="preserve">, </w:t>
      </w:r>
      <w:r>
        <w:rPr>
          <w:rFonts w:ascii="Sylfaen" w:eastAsia="Sylfaen" w:hAnsi="Sylfaen"/>
        </w:rPr>
        <w:t>ალპური</w:t>
      </w:r>
      <w:r w:rsidRPr="008069E4">
        <w:rPr>
          <w:rFonts w:ascii="Sylfaen" w:eastAsia="Sylfaen" w:hAnsi="Sylfaen"/>
          <w:lang w:val="da-DK"/>
        </w:rPr>
        <w:t xml:space="preserve">, </w:t>
      </w:r>
      <w:r>
        <w:rPr>
          <w:rFonts w:ascii="Sylfaen" w:eastAsia="Sylfaen" w:hAnsi="Sylfaen"/>
        </w:rPr>
        <w:t>გვიანოროგენული</w:t>
      </w:r>
      <w:r w:rsidRPr="008069E4">
        <w:rPr>
          <w:rFonts w:ascii="Sylfaen" w:eastAsia="Sylfaen" w:hAnsi="Sylfaen"/>
          <w:lang w:val="da-DK"/>
        </w:rPr>
        <w:t xml:space="preserve"> (</w:t>
      </w:r>
      <w:r>
        <w:rPr>
          <w:rFonts w:ascii="Sylfaen" w:eastAsia="Sylfaen" w:hAnsi="Sylfaen"/>
        </w:rPr>
        <w:t>კოლიზიური</w:t>
      </w:r>
      <w:r w:rsidRPr="008069E4">
        <w:rPr>
          <w:rFonts w:ascii="Sylfaen" w:eastAsia="Sylfaen" w:hAnsi="Sylfaen"/>
          <w:lang w:val="da-DK"/>
        </w:rPr>
        <w:t xml:space="preserve">), </w:t>
      </w:r>
      <w:r>
        <w:rPr>
          <w:rFonts w:ascii="Sylfaen" w:eastAsia="Sylfaen" w:hAnsi="Sylfaen"/>
        </w:rPr>
        <w:t>გვიანკოლიზიური</w:t>
      </w:r>
      <w:r w:rsidRPr="008069E4">
        <w:rPr>
          <w:rFonts w:ascii="Sylfaen" w:eastAsia="Sylfaen" w:hAnsi="Sylfaen"/>
          <w:lang w:val="da-DK"/>
        </w:rPr>
        <w:t xml:space="preserve"> (</w:t>
      </w:r>
      <w:r>
        <w:rPr>
          <w:rFonts w:ascii="Sylfaen" w:eastAsia="Sylfaen" w:hAnsi="Sylfaen"/>
        </w:rPr>
        <w:t>მეოთხეული</w:t>
      </w:r>
      <w:r w:rsidRPr="008069E4">
        <w:rPr>
          <w:rFonts w:ascii="Sylfaen" w:eastAsia="Sylfaen" w:hAnsi="Sylfaen"/>
          <w:lang w:val="da-DK"/>
        </w:rPr>
        <w:t xml:space="preserve">) </w:t>
      </w:r>
      <w:r>
        <w:rPr>
          <w:rFonts w:ascii="Sylfaen" w:eastAsia="Sylfaen" w:hAnsi="Sylfaen"/>
        </w:rPr>
        <w:t>სუსტად</w:t>
      </w:r>
      <w:r w:rsidRPr="008069E4">
        <w:rPr>
          <w:rFonts w:ascii="Sylfaen" w:eastAsia="Sylfaen" w:hAnsi="Sylfaen"/>
          <w:lang w:val="da-DK"/>
        </w:rPr>
        <w:t xml:space="preserve"> </w:t>
      </w:r>
      <w:r>
        <w:rPr>
          <w:rFonts w:ascii="Sylfaen" w:eastAsia="Sylfaen" w:hAnsi="Sylfaen"/>
        </w:rPr>
        <w:t>დანაოჭებული</w:t>
      </w:r>
      <w:r w:rsidRPr="008069E4">
        <w:rPr>
          <w:rFonts w:ascii="Sylfaen" w:eastAsia="Sylfaen" w:hAnsi="Sylfaen"/>
          <w:lang w:val="da-DK"/>
        </w:rPr>
        <w:t xml:space="preserve">. </w:t>
      </w:r>
      <w:r>
        <w:rPr>
          <w:rFonts w:ascii="Sylfaen" w:eastAsia="Sylfaen" w:hAnsi="Sylfaen"/>
        </w:rPr>
        <w:t>დანალექი</w:t>
      </w:r>
      <w:r w:rsidRPr="008069E4">
        <w:rPr>
          <w:rFonts w:ascii="Sylfaen" w:eastAsia="Sylfaen" w:hAnsi="Sylfaen"/>
          <w:lang w:val="da-DK"/>
        </w:rPr>
        <w:t xml:space="preserve"> </w:t>
      </w:r>
      <w:r>
        <w:rPr>
          <w:rFonts w:ascii="Sylfaen" w:eastAsia="Sylfaen" w:hAnsi="Sylfaen"/>
        </w:rPr>
        <w:t>ქანების</w:t>
      </w:r>
      <w:r w:rsidRPr="008069E4">
        <w:rPr>
          <w:rFonts w:ascii="Sylfaen" w:eastAsia="Sylfaen" w:hAnsi="Sylfaen"/>
          <w:lang w:val="da-DK"/>
        </w:rPr>
        <w:t xml:space="preserve"> </w:t>
      </w:r>
      <w:r>
        <w:rPr>
          <w:rFonts w:ascii="Sylfaen" w:eastAsia="Sylfaen" w:hAnsi="Sylfaen"/>
        </w:rPr>
        <w:t>გეოდინამიკური</w:t>
      </w:r>
      <w:r w:rsidRPr="008069E4">
        <w:rPr>
          <w:rFonts w:ascii="Sylfaen" w:eastAsia="Sylfaen" w:hAnsi="Sylfaen"/>
          <w:lang w:val="da-DK"/>
        </w:rPr>
        <w:t xml:space="preserve"> </w:t>
      </w:r>
      <w:r>
        <w:rPr>
          <w:rFonts w:ascii="Sylfaen" w:eastAsia="Sylfaen" w:hAnsi="Sylfaen"/>
        </w:rPr>
        <w:t>კომპლექსი</w:t>
      </w:r>
      <w:r w:rsidRPr="008069E4">
        <w:rPr>
          <w:rFonts w:ascii="Sylfaen" w:eastAsia="Sylfaen" w:hAnsi="Sylfaen"/>
          <w:lang w:val="da-DK"/>
        </w:rPr>
        <w:t xml:space="preserve">, </w:t>
      </w:r>
      <w:r>
        <w:rPr>
          <w:rFonts w:ascii="Sylfaen" w:eastAsia="Sylfaen" w:hAnsi="Sylfaen"/>
        </w:rPr>
        <w:t>მოლასური</w:t>
      </w:r>
      <w:r w:rsidRPr="008069E4">
        <w:rPr>
          <w:rFonts w:ascii="Sylfaen" w:eastAsia="Sylfaen" w:hAnsi="Sylfaen"/>
          <w:lang w:val="da-DK"/>
        </w:rPr>
        <w:t xml:space="preserve"> </w:t>
      </w:r>
      <w:r>
        <w:rPr>
          <w:rFonts w:ascii="Sylfaen" w:eastAsia="Sylfaen" w:hAnsi="Sylfaen"/>
        </w:rPr>
        <w:t>უხეში</w:t>
      </w:r>
      <w:r w:rsidRPr="008069E4">
        <w:rPr>
          <w:rFonts w:ascii="Sylfaen" w:eastAsia="Sylfaen" w:hAnsi="Sylfaen"/>
          <w:lang w:val="da-DK"/>
        </w:rPr>
        <w:t>.</w:t>
      </w:r>
    </w:p>
    <w:p w14:paraId="102103E3" w14:textId="77777777" w:rsidR="00EA3C65" w:rsidRPr="008069E4" w:rsidRDefault="00EA3C65" w:rsidP="00EA3C65">
      <w:pPr>
        <w:spacing w:line="200" w:lineRule="exact"/>
        <w:rPr>
          <w:rFonts w:ascii="Times New Roman" w:hAnsi="Times New Roman"/>
          <w:lang w:val="da-DK"/>
        </w:rPr>
      </w:pPr>
    </w:p>
    <w:p w14:paraId="5D9EE6C4" w14:textId="2133E3F9" w:rsidR="00EA3C65" w:rsidRDefault="00EA3C65" w:rsidP="00EA3C65">
      <w:pPr>
        <w:spacing w:line="0" w:lineRule="atLeast"/>
        <w:rPr>
          <w:rFonts w:ascii="Sylfaen" w:eastAsia="Sylfaen" w:hAnsi="Sylfaen"/>
          <w:b/>
        </w:rPr>
      </w:pPr>
      <w:r>
        <w:rPr>
          <w:rFonts w:ascii="Sylfaen" w:eastAsia="Sylfaen" w:hAnsi="Sylfaen"/>
          <w:b/>
        </w:rPr>
        <w:t>გეოლოგიური</w:t>
      </w:r>
      <w:r w:rsidRPr="008069E4">
        <w:rPr>
          <w:rFonts w:ascii="Sylfaen" w:eastAsia="Sylfaen" w:hAnsi="Sylfaen"/>
          <w:b/>
          <w:lang w:val="da-DK"/>
        </w:rPr>
        <w:t xml:space="preserve"> </w:t>
      </w:r>
      <w:r>
        <w:rPr>
          <w:rFonts w:ascii="Sylfaen" w:eastAsia="Sylfaen" w:hAnsi="Sylfaen"/>
          <w:b/>
        </w:rPr>
        <w:t>და</w:t>
      </w:r>
      <w:r w:rsidRPr="008069E4">
        <w:rPr>
          <w:rFonts w:ascii="Sylfaen" w:eastAsia="Sylfaen" w:hAnsi="Sylfaen"/>
          <w:b/>
          <w:lang w:val="da-DK"/>
        </w:rPr>
        <w:t xml:space="preserve"> </w:t>
      </w:r>
      <w:r>
        <w:rPr>
          <w:rFonts w:ascii="Sylfaen" w:eastAsia="Sylfaen" w:hAnsi="Sylfaen"/>
          <w:b/>
        </w:rPr>
        <w:t>ტექტონიკური</w:t>
      </w:r>
      <w:r w:rsidRPr="008069E4">
        <w:rPr>
          <w:rFonts w:ascii="Sylfaen" w:eastAsia="Sylfaen" w:hAnsi="Sylfaen"/>
          <w:b/>
          <w:lang w:val="da-DK"/>
        </w:rPr>
        <w:t xml:space="preserve"> </w:t>
      </w:r>
      <w:r>
        <w:rPr>
          <w:rFonts w:ascii="Sylfaen" w:eastAsia="Sylfaen" w:hAnsi="Sylfaen"/>
          <w:b/>
        </w:rPr>
        <w:t>პირობები</w:t>
      </w:r>
    </w:p>
    <w:p w14:paraId="589AECB7" w14:textId="77777777" w:rsidR="002E0662" w:rsidRPr="0075374D" w:rsidRDefault="002E0662" w:rsidP="002E0662">
      <w:pPr>
        <w:tabs>
          <w:tab w:val="left" w:pos="2520"/>
        </w:tabs>
        <w:spacing w:before="120" w:after="120"/>
        <w:rPr>
          <w:rFonts w:ascii="Sylfaen" w:hAnsi="Sylfaen" w:cs="Sylfaen"/>
          <w:lang w:val="ka-GE"/>
        </w:rPr>
      </w:pPr>
      <w:r w:rsidRPr="0075374D">
        <w:rPr>
          <w:rFonts w:ascii="Sylfaen" w:hAnsi="Sylfaen" w:cs="Sylfaen"/>
          <w:lang w:val="ka-GE"/>
        </w:rPr>
        <w:t>შპს ,,გეოტექსერვისმა” შ.პ.ს. ,,ბითი”-სთან 2017 წლის ივლისის თვეში დადებული ხელშეკრულების თანახმად მიიღო ტექნიკური დავალება ჩაეტარებინა ტექ.-ეკონ. დასაბუთება, გარემოზე და სოციალური ზემოქმედების, სატენდერო დოკუმენტაციის მომზადება პროექტირება - მშენებლობისათვის ,,გურჯაანი (ჩუმლაყი) – თელავის ასაქცევი გზის (30კმ)” მონაკვეთისათვის, საინჟინრო-გეოლოგიური კვლევა</w:t>
      </w:r>
      <w:r>
        <w:rPr>
          <w:rFonts w:ascii="Sylfaen" w:hAnsi="Sylfaen" w:cs="Sylfaen"/>
          <w:lang w:val="ka-GE"/>
        </w:rPr>
        <w:t xml:space="preserve"> (დანართი 5 - საინჟინრო გეოლოგიური კვლევა)</w:t>
      </w:r>
      <w:r w:rsidRPr="0075374D">
        <w:rPr>
          <w:rFonts w:ascii="Sylfaen" w:hAnsi="Sylfaen" w:cs="Sylfaen"/>
          <w:lang w:val="ka-GE"/>
        </w:rPr>
        <w:t xml:space="preserve">. </w:t>
      </w:r>
    </w:p>
    <w:p w14:paraId="4A78076A" w14:textId="77777777" w:rsidR="002E0662" w:rsidRPr="0075374D" w:rsidRDefault="002E0662" w:rsidP="002E0662">
      <w:pPr>
        <w:tabs>
          <w:tab w:val="left" w:pos="2520"/>
        </w:tabs>
        <w:spacing w:before="120" w:after="120"/>
        <w:rPr>
          <w:rFonts w:ascii="Sylfaen" w:hAnsi="Sylfaen" w:cs="Sylfaen"/>
          <w:lang w:val="ka-GE"/>
        </w:rPr>
      </w:pPr>
      <w:r w:rsidRPr="0075374D">
        <w:rPr>
          <w:rFonts w:ascii="Sylfaen" w:hAnsi="Sylfaen" w:cs="Sylfaen"/>
          <w:lang w:val="ka-GE"/>
        </w:rPr>
        <w:lastRenderedPageBreak/>
        <w:t xml:space="preserve">საველე სამუშაოები მიმდინარეობდა 2017 წლის 25-27 ივლისი, (ინჟ. გეოლოგი: შ.პ.ს. ,,გეოტექსერვისი”-ს მხრიდან ზ. ღაღანიძე). </w:t>
      </w:r>
    </w:p>
    <w:p w14:paraId="79C14CAA" w14:textId="77777777" w:rsidR="002E0662" w:rsidRPr="0075374D" w:rsidRDefault="002E0662" w:rsidP="002E0662">
      <w:pPr>
        <w:tabs>
          <w:tab w:val="left" w:pos="2520"/>
        </w:tabs>
        <w:spacing w:before="120" w:after="120"/>
        <w:rPr>
          <w:rFonts w:ascii="Sylfaen" w:hAnsi="Sylfaen" w:cs="Sylfaen"/>
          <w:lang w:val="ka-GE"/>
        </w:rPr>
      </w:pPr>
      <w:r w:rsidRPr="0075374D">
        <w:rPr>
          <w:rFonts w:ascii="Sylfaen" w:hAnsi="Sylfaen" w:cs="Sylfaen"/>
          <w:lang w:val="ka-GE"/>
        </w:rPr>
        <w:t>ლაბორატორიული კვლევები მიმდინარეობდა 2017 წლის 25 აგვისტო 4 სექტემბერი (გ. ნაცვლიშვილი, ბ. ხატიაშვილი, ქ. თედლიაშვილი).</w:t>
      </w:r>
    </w:p>
    <w:p w14:paraId="07A709D3" w14:textId="77777777" w:rsidR="002E0662" w:rsidRPr="0075374D" w:rsidRDefault="002E0662" w:rsidP="002E0662">
      <w:pPr>
        <w:tabs>
          <w:tab w:val="left" w:pos="2520"/>
        </w:tabs>
        <w:spacing w:before="120" w:after="120"/>
        <w:rPr>
          <w:rFonts w:ascii="Sylfaen" w:hAnsi="Sylfaen" w:cs="Sylfaen"/>
          <w:lang w:val="ka-GE"/>
        </w:rPr>
      </w:pPr>
      <w:r w:rsidRPr="0075374D">
        <w:rPr>
          <w:rFonts w:ascii="Sylfaen" w:hAnsi="Sylfaen" w:cs="Sylfaen"/>
          <w:lang w:val="ka-GE"/>
        </w:rPr>
        <w:t>კამერალური სამუშაოები მიმდინარეობდა 1 - 5 სექტემბერი (გ. ტლაშაძე, თარჯიმანი – ე. ჯიჯიაშვილი).</w:t>
      </w:r>
    </w:p>
    <w:p w14:paraId="2E30A511" w14:textId="77777777" w:rsidR="002E0662" w:rsidRPr="0075374D" w:rsidRDefault="002E0662" w:rsidP="002E0662">
      <w:pPr>
        <w:tabs>
          <w:tab w:val="left" w:pos="2520"/>
        </w:tabs>
        <w:spacing w:before="120" w:after="120"/>
        <w:rPr>
          <w:rFonts w:ascii="Sylfaen" w:hAnsi="Sylfaen" w:cs="Sylfaen"/>
          <w:lang w:val="ka-GE"/>
        </w:rPr>
      </w:pPr>
      <w:r w:rsidRPr="0075374D">
        <w:rPr>
          <w:rFonts w:ascii="Sylfaen" w:hAnsi="Sylfaen" w:cs="Sylfaen"/>
          <w:lang w:val="ka-GE"/>
        </w:rPr>
        <w:t>საველე კვლევებისას ყველა გამონამუშევარი (ჭაბურღილი, შურფი) შესრულებულია დამკვეთის მიერ მითითებული რაოდენობით, სიღრმით და კოორდინატების შესაბამისად (ცხრილი 1.1) (სახელმძღვანელოდ გამოყენებულია СНиП 1,02,07-87).</w:t>
      </w:r>
    </w:p>
    <w:p w14:paraId="5EBD923C" w14:textId="27F47AA7" w:rsidR="002E0662" w:rsidRPr="002E0662" w:rsidRDefault="002E0662" w:rsidP="002E0662">
      <w:pPr>
        <w:spacing w:line="0" w:lineRule="atLeast"/>
        <w:rPr>
          <w:rFonts w:ascii="Sylfaen" w:eastAsia="Sylfaen" w:hAnsi="Sylfaen"/>
          <w:b/>
          <w:lang w:val="en-US"/>
        </w:rPr>
      </w:pPr>
      <w:r w:rsidRPr="0075374D">
        <w:rPr>
          <w:rFonts w:ascii="Sylfaen" w:hAnsi="Sylfaen" w:cs="Sylfaen"/>
          <w:lang w:val="ka-GE"/>
        </w:rPr>
        <w:t>გამონამუშევრებიდან, მათი შემდგომი ლაბორატორიული კვლევისათვის აღებული იქნა დაშლილი და დაუშლელი სტრუქტურის ნიმუშები. ნიმუშების ნუსხა გადაეცა დამკვეთს, რის შემდგომ - ლაბორატორიული კვლევა ჩატარდა დამკვეთის მიერ მითითებული ცდებით და რაოდენობის შესაბამისად</w:t>
      </w:r>
      <w:r>
        <w:rPr>
          <w:rFonts w:ascii="Sylfaen" w:hAnsi="Sylfaen" w:cs="Sylfaen"/>
          <w:lang w:val="en-US"/>
        </w:rPr>
        <w:t>.</w:t>
      </w:r>
    </w:p>
    <w:p w14:paraId="3407DC19" w14:textId="77777777" w:rsidR="00EA3C65" w:rsidRPr="008069E4" w:rsidRDefault="00EA3C65" w:rsidP="00EA3C65">
      <w:pPr>
        <w:spacing w:line="124" w:lineRule="exact"/>
        <w:rPr>
          <w:rFonts w:ascii="Times New Roman" w:hAnsi="Times New Roman"/>
          <w:lang w:val="da-DK"/>
        </w:rPr>
      </w:pPr>
    </w:p>
    <w:p w14:paraId="2C937E54" w14:textId="77777777" w:rsidR="00EA3C65" w:rsidRPr="008069E4" w:rsidRDefault="00EA3C65" w:rsidP="00EA3C65">
      <w:pPr>
        <w:spacing w:line="239" w:lineRule="auto"/>
        <w:rPr>
          <w:rFonts w:ascii="Sylfaen" w:eastAsia="Sylfaen" w:hAnsi="Sylfaen"/>
          <w:lang w:val="da-DK"/>
        </w:rPr>
      </w:pPr>
      <w:r>
        <w:rPr>
          <w:rFonts w:ascii="Sylfaen" w:eastAsia="Sylfaen" w:hAnsi="Sylfaen"/>
        </w:rPr>
        <w:t>გეოლოგიური</w:t>
      </w:r>
      <w:r w:rsidRPr="008069E4">
        <w:rPr>
          <w:rFonts w:ascii="Sylfaen" w:eastAsia="Sylfaen" w:hAnsi="Sylfaen"/>
          <w:lang w:val="da-DK"/>
        </w:rPr>
        <w:t xml:space="preserve"> </w:t>
      </w:r>
      <w:r>
        <w:rPr>
          <w:rFonts w:ascii="Sylfaen" w:eastAsia="Sylfaen" w:hAnsi="Sylfaen"/>
        </w:rPr>
        <w:t>თვალსაზრისით</w:t>
      </w:r>
      <w:r w:rsidRPr="008069E4">
        <w:rPr>
          <w:rFonts w:ascii="Sylfaen" w:eastAsia="Sylfaen" w:hAnsi="Sylfaen"/>
          <w:lang w:val="da-DK"/>
        </w:rPr>
        <w:t xml:space="preserve"> </w:t>
      </w:r>
      <w:r>
        <w:rPr>
          <w:rFonts w:ascii="Sylfaen" w:eastAsia="Sylfaen" w:hAnsi="Sylfaen"/>
        </w:rPr>
        <w:t>ალაზნის</w:t>
      </w:r>
      <w:r w:rsidRPr="008069E4">
        <w:rPr>
          <w:rFonts w:ascii="Sylfaen" w:eastAsia="Sylfaen" w:hAnsi="Sylfaen"/>
          <w:lang w:val="da-DK"/>
        </w:rPr>
        <w:t xml:space="preserve"> </w:t>
      </w:r>
      <w:r>
        <w:rPr>
          <w:rFonts w:ascii="Sylfaen" w:eastAsia="Sylfaen" w:hAnsi="Sylfaen"/>
        </w:rPr>
        <w:t>ვაკე</w:t>
      </w:r>
      <w:r w:rsidRPr="008069E4">
        <w:rPr>
          <w:rFonts w:ascii="Sylfaen" w:eastAsia="Sylfaen" w:hAnsi="Sylfaen"/>
          <w:lang w:val="da-DK"/>
        </w:rPr>
        <w:t xml:space="preserve"> </w:t>
      </w:r>
      <w:r>
        <w:rPr>
          <w:rFonts w:ascii="Sylfaen" w:eastAsia="Sylfaen" w:hAnsi="Sylfaen"/>
        </w:rPr>
        <w:t>საქართველოს</w:t>
      </w:r>
      <w:r w:rsidRPr="008069E4">
        <w:rPr>
          <w:rFonts w:ascii="Sylfaen" w:eastAsia="Sylfaen" w:hAnsi="Sylfaen"/>
          <w:lang w:val="da-DK"/>
        </w:rPr>
        <w:t xml:space="preserve"> </w:t>
      </w:r>
      <w:r>
        <w:rPr>
          <w:rFonts w:ascii="Sylfaen" w:eastAsia="Sylfaen" w:hAnsi="Sylfaen"/>
        </w:rPr>
        <w:t>ტერიტორიის</w:t>
      </w:r>
      <w:r w:rsidRPr="008069E4">
        <w:rPr>
          <w:rFonts w:ascii="Sylfaen" w:eastAsia="Sylfaen" w:hAnsi="Sylfaen"/>
          <w:lang w:val="da-DK"/>
        </w:rPr>
        <w:t xml:space="preserve"> </w:t>
      </w:r>
      <w:r>
        <w:rPr>
          <w:rFonts w:ascii="Sylfaen" w:eastAsia="Sylfaen" w:hAnsi="Sylfaen"/>
        </w:rPr>
        <w:t>ფრიად</w:t>
      </w:r>
      <w:r w:rsidRPr="008069E4">
        <w:rPr>
          <w:rFonts w:ascii="Sylfaen" w:eastAsia="Sylfaen" w:hAnsi="Sylfaen"/>
          <w:lang w:val="da-DK"/>
        </w:rPr>
        <w:t xml:space="preserve"> </w:t>
      </w:r>
      <w:r>
        <w:rPr>
          <w:rFonts w:ascii="Sylfaen" w:eastAsia="Sylfaen" w:hAnsi="Sylfaen"/>
        </w:rPr>
        <w:t>თავისებურ</w:t>
      </w:r>
      <w:r w:rsidRPr="008069E4">
        <w:rPr>
          <w:rFonts w:ascii="Sylfaen" w:eastAsia="Sylfaen" w:hAnsi="Sylfaen"/>
          <w:lang w:val="da-DK"/>
        </w:rPr>
        <w:t xml:space="preserve"> </w:t>
      </w:r>
      <w:r>
        <w:rPr>
          <w:rFonts w:ascii="Sylfaen" w:eastAsia="Sylfaen" w:hAnsi="Sylfaen"/>
        </w:rPr>
        <w:t>ტექტონიკურ</w:t>
      </w:r>
      <w:r w:rsidRPr="008069E4">
        <w:rPr>
          <w:rFonts w:ascii="Sylfaen" w:eastAsia="Sylfaen" w:hAnsi="Sylfaen"/>
          <w:lang w:val="da-DK"/>
        </w:rPr>
        <w:t xml:space="preserve"> </w:t>
      </w:r>
      <w:r>
        <w:rPr>
          <w:rFonts w:ascii="Sylfaen" w:eastAsia="Sylfaen" w:hAnsi="Sylfaen"/>
        </w:rPr>
        <w:t>ერთეულს</w:t>
      </w:r>
      <w:r w:rsidRPr="008069E4">
        <w:rPr>
          <w:rFonts w:ascii="Sylfaen" w:eastAsia="Sylfaen" w:hAnsi="Sylfaen"/>
          <w:lang w:val="da-DK"/>
        </w:rPr>
        <w:t xml:space="preserve"> </w:t>
      </w:r>
      <w:r>
        <w:rPr>
          <w:rFonts w:ascii="Sylfaen" w:eastAsia="Sylfaen" w:hAnsi="Sylfaen"/>
        </w:rPr>
        <w:t>წარმოადგენს</w:t>
      </w:r>
      <w:r w:rsidRPr="008069E4">
        <w:rPr>
          <w:rFonts w:ascii="Sylfaen" w:eastAsia="Sylfaen" w:hAnsi="Sylfaen"/>
          <w:lang w:val="da-DK"/>
        </w:rPr>
        <w:t xml:space="preserve">. </w:t>
      </w:r>
      <w:r>
        <w:rPr>
          <w:rFonts w:ascii="Sylfaen" w:eastAsia="Sylfaen" w:hAnsi="Sylfaen"/>
        </w:rPr>
        <w:t>ეს</w:t>
      </w:r>
      <w:r w:rsidRPr="008069E4">
        <w:rPr>
          <w:rFonts w:ascii="Sylfaen" w:eastAsia="Sylfaen" w:hAnsi="Sylfaen"/>
          <w:lang w:val="da-DK"/>
        </w:rPr>
        <w:t xml:space="preserve"> </w:t>
      </w:r>
      <w:r>
        <w:rPr>
          <w:rFonts w:ascii="Sylfaen" w:eastAsia="Sylfaen" w:hAnsi="Sylfaen"/>
        </w:rPr>
        <w:t>არის</w:t>
      </w:r>
      <w:r w:rsidRPr="008069E4">
        <w:rPr>
          <w:rFonts w:ascii="Sylfaen" w:eastAsia="Sylfaen" w:hAnsi="Sylfaen"/>
          <w:lang w:val="da-DK"/>
        </w:rPr>
        <w:t xml:space="preserve"> </w:t>
      </w:r>
      <w:r>
        <w:rPr>
          <w:rFonts w:ascii="Sylfaen" w:eastAsia="Sylfaen" w:hAnsi="Sylfaen"/>
        </w:rPr>
        <w:t>ინტენსიური</w:t>
      </w:r>
      <w:r w:rsidRPr="008069E4">
        <w:rPr>
          <w:rFonts w:ascii="Sylfaen" w:eastAsia="Sylfaen" w:hAnsi="Sylfaen"/>
          <w:lang w:val="da-DK"/>
        </w:rPr>
        <w:t xml:space="preserve"> </w:t>
      </w:r>
      <w:r>
        <w:rPr>
          <w:rFonts w:ascii="Sylfaen" w:eastAsia="Sylfaen" w:hAnsi="Sylfaen"/>
        </w:rPr>
        <w:t>დაძირვის</w:t>
      </w:r>
      <w:r w:rsidRPr="008069E4">
        <w:rPr>
          <w:rFonts w:ascii="Sylfaen" w:eastAsia="Sylfaen" w:hAnsi="Sylfaen"/>
          <w:lang w:val="da-DK"/>
        </w:rPr>
        <w:t xml:space="preserve"> </w:t>
      </w:r>
      <w:r>
        <w:rPr>
          <w:rFonts w:ascii="Sylfaen" w:eastAsia="Sylfaen" w:hAnsi="Sylfaen"/>
        </w:rPr>
        <w:t>ზონა</w:t>
      </w:r>
      <w:r w:rsidRPr="008069E4">
        <w:rPr>
          <w:rFonts w:ascii="Sylfaen" w:eastAsia="Sylfaen" w:hAnsi="Sylfaen"/>
          <w:lang w:val="da-DK"/>
        </w:rPr>
        <w:t xml:space="preserve"> - </w:t>
      </w:r>
      <w:r>
        <w:rPr>
          <w:rFonts w:ascii="Sylfaen" w:eastAsia="Sylfaen" w:hAnsi="Sylfaen"/>
        </w:rPr>
        <w:t>ცოცხალი</w:t>
      </w:r>
      <w:r w:rsidRPr="008069E4">
        <w:rPr>
          <w:rFonts w:ascii="Sylfaen" w:eastAsia="Sylfaen" w:hAnsi="Sylfaen"/>
          <w:lang w:val="da-DK"/>
        </w:rPr>
        <w:t xml:space="preserve"> </w:t>
      </w:r>
      <w:r>
        <w:rPr>
          <w:rFonts w:ascii="Sylfaen" w:eastAsia="Sylfaen" w:hAnsi="Sylfaen"/>
        </w:rPr>
        <w:t>კონტინენტური</w:t>
      </w:r>
      <w:r w:rsidRPr="008069E4">
        <w:rPr>
          <w:rFonts w:ascii="Sylfaen" w:eastAsia="Sylfaen" w:hAnsi="Sylfaen"/>
          <w:lang w:val="da-DK"/>
        </w:rPr>
        <w:t xml:space="preserve"> </w:t>
      </w:r>
      <w:r>
        <w:rPr>
          <w:rFonts w:ascii="Sylfaen" w:eastAsia="Sylfaen" w:hAnsi="Sylfaen"/>
        </w:rPr>
        <w:t>გეოსინკლინი</w:t>
      </w:r>
      <w:r w:rsidRPr="008069E4">
        <w:rPr>
          <w:rFonts w:ascii="Sylfaen" w:eastAsia="Sylfaen" w:hAnsi="Sylfaen"/>
          <w:lang w:val="da-DK"/>
        </w:rPr>
        <w:t xml:space="preserve">, </w:t>
      </w:r>
      <w:r>
        <w:rPr>
          <w:rFonts w:ascii="Sylfaen" w:eastAsia="Sylfaen" w:hAnsi="Sylfaen"/>
        </w:rPr>
        <w:t>რომელიც</w:t>
      </w:r>
      <w:r w:rsidRPr="008069E4">
        <w:rPr>
          <w:rFonts w:ascii="Sylfaen" w:eastAsia="Sylfaen" w:hAnsi="Sylfaen"/>
          <w:lang w:val="da-DK"/>
        </w:rPr>
        <w:t xml:space="preserve"> </w:t>
      </w:r>
      <w:r>
        <w:rPr>
          <w:rFonts w:ascii="Sylfaen" w:eastAsia="Sylfaen" w:hAnsi="Sylfaen"/>
        </w:rPr>
        <w:t>ნალექების</w:t>
      </w:r>
      <w:r w:rsidRPr="008069E4">
        <w:rPr>
          <w:rFonts w:ascii="Sylfaen" w:eastAsia="Sylfaen" w:hAnsi="Sylfaen"/>
          <w:lang w:val="da-DK"/>
        </w:rPr>
        <w:t xml:space="preserve"> </w:t>
      </w:r>
      <w:r>
        <w:rPr>
          <w:rFonts w:ascii="Sylfaen" w:eastAsia="Sylfaen" w:hAnsi="Sylfaen"/>
        </w:rPr>
        <w:t>დაგროვების</w:t>
      </w:r>
      <w:r w:rsidRPr="008069E4">
        <w:rPr>
          <w:rFonts w:ascii="Sylfaen" w:eastAsia="Sylfaen" w:hAnsi="Sylfaen"/>
          <w:lang w:val="da-DK"/>
        </w:rPr>
        <w:t xml:space="preserve"> </w:t>
      </w:r>
      <w:r>
        <w:rPr>
          <w:rFonts w:ascii="Sylfaen" w:eastAsia="Sylfaen" w:hAnsi="Sylfaen"/>
        </w:rPr>
        <w:t>სტადიაში</w:t>
      </w:r>
      <w:r w:rsidRPr="008069E4">
        <w:rPr>
          <w:rFonts w:ascii="Sylfaen" w:eastAsia="Sylfaen" w:hAnsi="Sylfaen"/>
          <w:lang w:val="da-DK"/>
        </w:rPr>
        <w:t xml:space="preserve"> </w:t>
      </w:r>
      <w:r>
        <w:rPr>
          <w:rFonts w:ascii="Sylfaen" w:eastAsia="Sylfaen" w:hAnsi="Sylfaen"/>
        </w:rPr>
        <w:t>იმყოფება</w:t>
      </w:r>
      <w:r w:rsidRPr="008069E4">
        <w:rPr>
          <w:rFonts w:ascii="Sylfaen" w:eastAsia="Sylfaen" w:hAnsi="Sylfaen"/>
          <w:lang w:val="da-DK"/>
        </w:rPr>
        <w:t xml:space="preserve">. </w:t>
      </w:r>
      <w:r>
        <w:rPr>
          <w:rFonts w:ascii="Sylfaen" w:eastAsia="Sylfaen" w:hAnsi="Sylfaen"/>
        </w:rPr>
        <w:t>ამ</w:t>
      </w:r>
      <w:r w:rsidRPr="008069E4">
        <w:rPr>
          <w:rFonts w:ascii="Sylfaen" w:eastAsia="Sylfaen" w:hAnsi="Sylfaen"/>
          <w:lang w:val="da-DK"/>
        </w:rPr>
        <w:t xml:space="preserve"> </w:t>
      </w:r>
      <w:r>
        <w:rPr>
          <w:rFonts w:ascii="Sylfaen" w:eastAsia="Sylfaen" w:hAnsi="Sylfaen"/>
        </w:rPr>
        <w:t>გეოსინკლინის</w:t>
      </w:r>
      <w:r w:rsidRPr="008069E4">
        <w:rPr>
          <w:rFonts w:ascii="Sylfaen" w:eastAsia="Sylfaen" w:hAnsi="Sylfaen"/>
          <w:lang w:val="da-DK"/>
        </w:rPr>
        <w:t xml:space="preserve"> </w:t>
      </w:r>
      <w:r>
        <w:rPr>
          <w:rFonts w:ascii="Sylfaen" w:eastAsia="Sylfaen" w:hAnsi="Sylfaen"/>
        </w:rPr>
        <w:t>ფორმირება</w:t>
      </w:r>
      <w:r w:rsidRPr="008069E4">
        <w:rPr>
          <w:rFonts w:ascii="Sylfaen" w:eastAsia="Sylfaen" w:hAnsi="Sylfaen"/>
          <w:lang w:val="da-DK"/>
        </w:rPr>
        <w:t xml:space="preserve"> </w:t>
      </w:r>
      <w:r>
        <w:rPr>
          <w:rFonts w:ascii="Sylfaen" w:eastAsia="Sylfaen" w:hAnsi="Sylfaen"/>
        </w:rPr>
        <w:t>პლიოცენიდან</w:t>
      </w:r>
      <w:r w:rsidRPr="008069E4">
        <w:rPr>
          <w:rFonts w:ascii="Sylfaen" w:eastAsia="Sylfaen" w:hAnsi="Sylfaen"/>
          <w:lang w:val="da-DK"/>
        </w:rPr>
        <w:t xml:space="preserve"> </w:t>
      </w:r>
      <w:r>
        <w:rPr>
          <w:rFonts w:ascii="Sylfaen" w:eastAsia="Sylfaen" w:hAnsi="Sylfaen"/>
        </w:rPr>
        <w:t>დაიწყო</w:t>
      </w:r>
      <w:r w:rsidRPr="008069E4">
        <w:rPr>
          <w:rFonts w:ascii="Sylfaen" w:eastAsia="Sylfaen" w:hAnsi="Sylfaen"/>
          <w:lang w:val="da-DK"/>
        </w:rPr>
        <w:t xml:space="preserve">. </w:t>
      </w:r>
      <w:r>
        <w:rPr>
          <w:rFonts w:ascii="Sylfaen" w:eastAsia="Sylfaen" w:hAnsi="Sylfaen"/>
        </w:rPr>
        <w:t>როდანულ</w:t>
      </w:r>
      <w:r w:rsidRPr="008069E4">
        <w:rPr>
          <w:rFonts w:ascii="Sylfaen" w:eastAsia="Sylfaen" w:hAnsi="Sylfaen"/>
          <w:lang w:val="da-DK"/>
        </w:rPr>
        <w:t xml:space="preserve"> </w:t>
      </w:r>
      <w:r>
        <w:rPr>
          <w:rFonts w:ascii="Sylfaen" w:eastAsia="Sylfaen" w:hAnsi="Sylfaen"/>
        </w:rPr>
        <w:t>მთაგამჩენ</w:t>
      </w:r>
      <w:r w:rsidRPr="008069E4">
        <w:rPr>
          <w:rFonts w:ascii="Sylfaen" w:eastAsia="Sylfaen" w:hAnsi="Sylfaen"/>
          <w:lang w:val="da-DK"/>
        </w:rPr>
        <w:t xml:space="preserve"> </w:t>
      </w:r>
      <w:r>
        <w:rPr>
          <w:rFonts w:ascii="Sylfaen" w:eastAsia="Sylfaen" w:hAnsi="Sylfaen"/>
        </w:rPr>
        <w:t>ფაზამდე</w:t>
      </w:r>
      <w:r w:rsidRPr="008069E4">
        <w:rPr>
          <w:rFonts w:ascii="Sylfaen" w:eastAsia="Sylfaen" w:hAnsi="Sylfaen"/>
          <w:lang w:val="da-DK"/>
        </w:rPr>
        <w:t xml:space="preserve"> (</w:t>
      </w:r>
      <w:r>
        <w:rPr>
          <w:rFonts w:ascii="Sylfaen" w:eastAsia="Sylfaen" w:hAnsi="Sylfaen"/>
        </w:rPr>
        <w:t>შუა</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ზედა</w:t>
      </w:r>
      <w:r w:rsidRPr="008069E4">
        <w:rPr>
          <w:rFonts w:ascii="Sylfaen" w:eastAsia="Sylfaen" w:hAnsi="Sylfaen"/>
          <w:lang w:val="da-DK"/>
        </w:rPr>
        <w:t xml:space="preserve"> </w:t>
      </w:r>
      <w:r>
        <w:rPr>
          <w:rFonts w:ascii="Sylfaen" w:eastAsia="Sylfaen" w:hAnsi="Sylfaen"/>
        </w:rPr>
        <w:t>პლიოცენის</w:t>
      </w:r>
      <w:r w:rsidRPr="008069E4">
        <w:rPr>
          <w:rFonts w:ascii="Sylfaen" w:eastAsia="Sylfaen" w:hAnsi="Sylfaen"/>
          <w:lang w:val="da-DK"/>
        </w:rPr>
        <w:t xml:space="preserve"> </w:t>
      </w:r>
      <w:r>
        <w:rPr>
          <w:rFonts w:ascii="Sylfaen" w:eastAsia="Sylfaen" w:hAnsi="Sylfaen"/>
        </w:rPr>
        <w:t>მიჯნაზე</w:t>
      </w:r>
      <w:r w:rsidRPr="008069E4">
        <w:rPr>
          <w:rFonts w:ascii="Sylfaen" w:eastAsia="Sylfaen" w:hAnsi="Sylfaen"/>
          <w:lang w:val="da-DK"/>
        </w:rPr>
        <w:t xml:space="preserve">) </w:t>
      </w:r>
      <w:r>
        <w:rPr>
          <w:rFonts w:ascii="Sylfaen" w:eastAsia="Sylfaen" w:hAnsi="Sylfaen"/>
        </w:rPr>
        <w:t>ალაზნის</w:t>
      </w:r>
      <w:r w:rsidRPr="008069E4">
        <w:rPr>
          <w:rFonts w:ascii="Sylfaen" w:eastAsia="Sylfaen" w:hAnsi="Sylfaen"/>
          <w:lang w:val="da-DK"/>
        </w:rPr>
        <w:t xml:space="preserve"> </w:t>
      </w:r>
      <w:r>
        <w:rPr>
          <w:rFonts w:ascii="Sylfaen" w:eastAsia="Sylfaen" w:hAnsi="Sylfaen"/>
        </w:rPr>
        <w:t>ვაკის</w:t>
      </w:r>
      <w:r w:rsidRPr="008069E4">
        <w:rPr>
          <w:rFonts w:ascii="Sylfaen" w:eastAsia="Sylfaen" w:hAnsi="Sylfaen"/>
          <w:lang w:val="da-DK"/>
        </w:rPr>
        <w:t xml:space="preserve"> </w:t>
      </w:r>
      <w:r>
        <w:rPr>
          <w:rFonts w:ascii="Sylfaen" w:eastAsia="Sylfaen" w:hAnsi="Sylfaen"/>
        </w:rPr>
        <w:t>ადგილას</w:t>
      </w:r>
      <w:r w:rsidRPr="008069E4">
        <w:rPr>
          <w:rFonts w:ascii="Sylfaen" w:eastAsia="Sylfaen" w:hAnsi="Sylfaen"/>
          <w:lang w:val="da-DK"/>
        </w:rPr>
        <w:t xml:space="preserve"> </w:t>
      </w:r>
      <w:r>
        <w:rPr>
          <w:rFonts w:ascii="Sylfaen" w:eastAsia="Sylfaen" w:hAnsi="Sylfaen"/>
        </w:rPr>
        <w:t>კავკასიონის</w:t>
      </w:r>
      <w:r w:rsidRPr="008069E4">
        <w:rPr>
          <w:rFonts w:ascii="Sylfaen" w:eastAsia="Sylfaen" w:hAnsi="Sylfaen"/>
          <w:lang w:val="da-DK"/>
        </w:rPr>
        <w:t xml:space="preserve"> </w:t>
      </w:r>
      <w:r>
        <w:rPr>
          <w:rFonts w:ascii="Sylfaen" w:eastAsia="Sylfaen" w:hAnsi="Sylfaen"/>
        </w:rPr>
        <w:t>მთისწინეთი</w:t>
      </w:r>
      <w:r w:rsidRPr="008069E4">
        <w:rPr>
          <w:rFonts w:ascii="Sylfaen" w:eastAsia="Sylfaen" w:hAnsi="Sylfaen"/>
          <w:lang w:val="da-DK"/>
        </w:rPr>
        <w:t xml:space="preserve"> </w:t>
      </w:r>
      <w:r>
        <w:rPr>
          <w:rFonts w:ascii="Sylfaen" w:eastAsia="Sylfaen" w:hAnsi="Sylfaen"/>
        </w:rPr>
        <w:t>იყო</w:t>
      </w:r>
      <w:r w:rsidRPr="008069E4">
        <w:rPr>
          <w:rFonts w:ascii="Sylfaen" w:eastAsia="Sylfaen" w:hAnsi="Sylfaen"/>
          <w:lang w:val="da-DK"/>
        </w:rPr>
        <w:t xml:space="preserve">, </w:t>
      </w:r>
      <w:r>
        <w:rPr>
          <w:rFonts w:ascii="Sylfaen" w:eastAsia="Sylfaen" w:hAnsi="Sylfaen"/>
        </w:rPr>
        <w:t>რაც</w:t>
      </w:r>
      <w:r w:rsidRPr="008069E4">
        <w:rPr>
          <w:rFonts w:ascii="Sylfaen" w:eastAsia="Sylfaen" w:hAnsi="Sylfaen"/>
          <w:lang w:val="da-DK"/>
        </w:rPr>
        <w:t xml:space="preserve"> </w:t>
      </w:r>
      <w:r>
        <w:rPr>
          <w:rFonts w:ascii="Sylfaen" w:eastAsia="Sylfaen" w:hAnsi="Sylfaen"/>
        </w:rPr>
        <w:t>მტკიცდება</w:t>
      </w:r>
      <w:r w:rsidRPr="008069E4">
        <w:rPr>
          <w:rFonts w:ascii="Sylfaen" w:eastAsia="Sylfaen" w:hAnsi="Sylfaen"/>
          <w:lang w:val="da-DK"/>
        </w:rPr>
        <w:t xml:space="preserve"> </w:t>
      </w:r>
      <w:r>
        <w:rPr>
          <w:rFonts w:ascii="Sylfaen" w:eastAsia="Sylfaen" w:hAnsi="Sylfaen"/>
        </w:rPr>
        <w:t>ე</w:t>
      </w:r>
      <w:r w:rsidRPr="008069E4">
        <w:rPr>
          <w:rFonts w:ascii="Sylfaen" w:eastAsia="Sylfaen" w:hAnsi="Sylfaen"/>
          <w:lang w:val="da-DK"/>
        </w:rPr>
        <w:t>.</w:t>
      </w:r>
      <w:r>
        <w:rPr>
          <w:rFonts w:ascii="Sylfaen" w:eastAsia="Sylfaen" w:hAnsi="Sylfaen"/>
        </w:rPr>
        <w:t>წ</w:t>
      </w:r>
      <w:r w:rsidRPr="008069E4">
        <w:rPr>
          <w:rFonts w:ascii="Sylfaen" w:eastAsia="Sylfaen" w:hAnsi="Sylfaen"/>
          <w:lang w:val="da-DK"/>
        </w:rPr>
        <w:t xml:space="preserve">. </w:t>
      </w:r>
      <w:r>
        <w:rPr>
          <w:rFonts w:ascii="Sylfaen" w:eastAsia="Sylfaen" w:hAnsi="Sylfaen"/>
        </w:rPr>
        <w:t>პროდუქტული</w:t>
      </w:r>
      <w:r w:rsidRPr="008069E4">
        <w:rPr>
          <w:rFonts w:ascii="Sylfaen" w:eastAsia="Sylfaen" w:hAnsi="Sylfaen"/>
          <w:lang w:val="da-DK"/>
        </w:rPr>
        <w:t xml:space="preserve"> (</w:t>
      </w:r>
      <w:r>
        <w:rPr>
          <w:rFonts w:ascii="Sylfaen" w:eastAsia="Sylfaen" w:hAnsi="Sylfaen"/>
        </w:rPr>
        <w:t>შუაპლიოცენური</w:t>
      </w:r>
      <w:r w:rsidRPr="008069E4">
        <w:rPr>
          <w:rFonts w:ascii="Sylfaen" w:eastAsia="Sylfaen" w:hAnsi="Sylfaen"/>
          <w:lang w:val="da-DK"/>
        </w:rPr>
        <w:t xml:space="preserve">) </w:t>
      </w:r>
      <w:r>
        <w:rPr>
          <w:rFonts w:ascii="Sylfaen" w:eastAsia="Sylfaen" w:hAnsi="Sylfaen"/>
        </w:rPr>
        <w:t>წყების</w:t>
      </w:r>
      <w:r w:rsidRPr="008069E4">
        <w:rPr>
          <w:rFonts w:ascii="Sylfaen" w:eastAsia="Sylfaen" w:hAnsi="Sylfaen"/>
          <w:lang w:val="da-DK"/>
        </w:rPr>
        <w:t xml:space="preserve"> </w:t>
      </w:r>
      <w:r>
        <w:rPr>
          <w:rFonts w:ascii="Sylfaen" w:eastAsia="Sylfaen" w:hAnsi="Sylfaen"/>
        </w:rPr>
        <w:t>მინერალოგიური</w:t>
      </w:r>
      <w:r w:rsidRPr="008069E4">
        <w:rPr>
          <w:rFonts w:ascii="Sylfaen" w:eastAsia="Sylfaen" w:hAnsi="Sylfaen"/>
          <w:lang w:val="da-DK"/>
        </w:rPr>
        <w:t xml:space="preserve"> </w:t>
      </w:r>
      <w:r>
        <w:rPr>
          <w:rFonts w:ascii="Sylfaen" w:eastAsia="Sylfaen" w:hAnsi="Sylfaen"/>
        </w:rPr>
        <w:t>შედგენილობით</w:t>
      </w:r>
      <w:r w:rsidRPr="008069E4">
        <w:rPr>
          <w:rFonts w:ascii="Sylfaen" w:eastAsia="Sylfaen" w:hAnsi="Sylfaen"/>
          <w:lang w:val="da-DK"/>
        </w:rPr>
        <w:t xml:space="preserve"> </w:t>
      </w:r>
      <w:r>
        <w:rPr>
          <w:rFonts w:ascii="Sylfaen" w:eastAsia="Sylfaen" w:hAnsi="Sylfaen"/>
        </w:rPr>
        <w:t>ივრის</w:t>
      </w:r>
      <w:r w:rsidRPr="008069E4">
        <w:rPr>
          <w:rFonts w:ascii="Sylfaen" w:eastAsia="Sylfaen" w:hAnsi="Sylfaen"/>
          <w:lang w:val="da-DK"/>
        </w:rPr>
        <w:t xml:space="preserve"> </w:t>
      </w:r>
      <w:r>
        <w:rPr>
          <w:rFonts w:ascii="Sylfaen" w:eastAsia="Sylfaen" w:hAnsi="Sylfaen"/>
        </w:rPr>
        <w:t>ზეგანზე</w:t>
      </w:r>
      <w:r w:rsidRPr="008069E4">
        <w:rPr>
          <w:rFonts w:ascii="Sylfaen" w:eastAsia="Sylfaen" w:hAnsi="Sylfaen"/>
          <w:lang w:val="da-DK"/>
        </w:rPr>
        <w:t xml:space="preserve">. </w:t>
      </w:r>
      <w:r>
        <w:rPr>
          <w:rFonts w:ascii="Sylfaen" w:eastAsia="Sylfaen" w:hAnsi="Sylfaen"/>
        </w:rPr>
        <w:t>ზედა</w:t>
      </w:r>
      <w:r w:rsidRPr="008069E4">
        <w:rPr>
          <w:rFonts w:ascii="Sylfaen" w:eastAsia="Sylfaen" w:hAnsi="Sylfaen"/>
          <w:lang w:val="da-DK"/>
        </w:rPr>
        <w:t xml:space="preserve"> </w:t>
      </w:r>
      <w:r>
        <w:rPr>
          <w:rFonts w:ascii="Sylfaen" w:eastAsia="Sylfaen" w:hAnsi="Sylfaen"/>
        </w:rPr>
        <w:t>პლიოცენიდან</w:t>
      </w:r>
      <w:r w:rsidRPr="008069E4">
        <w:rPr>
          <w:rFonts w:ascii="Sylfaen" w:eastAsia="Sylfaen" w:hAnsi="Sylfaen"/>
          <w:lang w:val="da-DK"/>
        </w:rPr>
        <w:t xml:space="preserve"> </w:t>
      </w:r>
      <w:r>
        <w:rPr>
          <w:rFonts w:ascii="Sylfaen" w:eastAsia="Sylfaen" w:hAnsi="Sylfaen"/>
        </w:rPr>
        <w:t>მიმდინარეობს</w:t>
      </w:r>
      <w:r w:rsidRPr="008069E4">
        <w:rPr>
          <w:rFonts w:ascii="Sylfaen" w:eastAsia="Sylfaen" w:hAnsi="Sylfaen"/>
          <w:lang w:val="da-DK"/>
        </w:rPr>
        <w:t xml:space="preserve"> </w:t>
      </w:r>
      <w:r>
        <w:rPr>
          <w:rFonts w:ascii="Sylfaen" w:eastAsia="Sylfaen" w:hAnsi="Sylfaen"/>
        </w:rPr>
        <w:t>ალაზან</w:t>
      </w:r>
      <w:r w:rsidRPr="008069E4">
        <w:rPr>
          <w:rFonts w:ascii="Sylfaen" w:eastAsia="Sylfaen" w:hAnsi="Sylfaen"/>
          <w:lang w:val="da-DK"/>
        </w:rPr>
        <w:t>-</w:t>
      </w:r>
      <w:r>
        <w:rPr>
          <w:rFonts w:ascii="Sylfaen" w:eastAsia="Sylfaen" w:hAnsi="Sylfaen"/>
        </w:rPr>
        <w:t>აგრიჩაის</w:t>
      </w:r>
      <w:r w:rsidRPr="008069E4">
        <w:rPr>
          <w:rFonts w:ascii="Sylfaen" w:eastAsia="Sylfaen" w:hAnsi="Sylfaen"/>
          <w:lang w:val="da-DK"/>
        </w:rPr>
        <w:t xml:space="preserve"> </w:t>
      </w:r>
      <w:r>
        <w:rPr>
          <w:rFonts w:ascii="Sylfaen" w:eastAsia="Sylfaen" w:hAnsi="Sylfaen"/>
        </w:rPr>
        <w:t>დეპრესიის</w:t>
      </w:r>
      <w:r w:rsidRPr="008069E4">
        <w:rPr>
          <w:rFonts w:ascii="Sylfaen" w:eastAsia="Sylfaen" w:hAnsi="Sylfaen"/>
          <w:lang w:val="da-DK"/>
        </w:rPr>
        <w:t xml:space="preserve"> </w:t>
      </w:r>
      <w:r>
        <w:rPr>
          <w:rFonts w:ascii="Sylfaen" w:eastAsia="Sylfaen" w:hAnsi="Sylfaen"/>
        </w:rPr>
        <w:t>ევოლუციის</w:t>
      </w:r>
      <w:r w:rsidRPr="008069E4">
        <w:rPr>
          <w:rFonts w:ascii="Sylfaen" w:eastAsia="Sylfaen" w:hAnsi="Sylfaen"/>
          <w:lang w:val="da-DK"/>
        </w:rPr>
        <w:t xml:space="preserve"> </w:t>
      </w:r>
      <w:r>
        <w:rPr>
          <w:rFonts w:ascii="Sylfaen" w:eastAsia="Sylfaen" w:hAnsi="Sylfaen"/>
        </w:rPr>
        <w:t>პროცესი</w:t>
      </w:r>
      <w:r w:rsidRPr="008069E4">
        <w:rPr>
          <w:rFonts w:ascii="Sylfaen" w:eastAsia="Sylfaen" w:hAnsi="Sylfaen"/>
          <w:lang w:val="da-DK"/>
        </w:rPr>
        <w:t xml:space="preserve">. </w:t>
      </w:r>
      <w:r>
        <w:rPr>
          <w:rFonts w:ascii="Sylfaen" w:eastAsia="Sylfaen" w:hAnsi="Sylfaen"/>
        </w:rPr>
        <w:t>დაძირვა</w:t>
      </w:r>
      <w:r w:rsidRPr="008069E4">
        <w:rPr>
          <w:rFonts w:ascii="Sylfaen" w:eastAsia="Sylfaen" w:hAnsi="Sylfaen"/>
          <w:lang w:val="da-DK"/>
        </w:rPr>
        <w:t xml:space="preserve"> </w:t>
      </w:r>
      <w:r>
        <w:rPr>
          <w:rFonts w:ascii="Sylfaen" w:eastAsia="Sylfaen" w:hAnsi="Sylfaen"/>
        </w:rPr>
        <w:t>თანადროულ</w:t>
      </w:r>
      <w:r w:rsidRPr="008069E4">
        <w:rPr>
          <w:rFonts w:ascii="Sylfaen" w:eastAsia="Sylfaen" w:hAnsi="Sylfaen"/>
          <w:lang w:val="da-DK"/>
        </w:rPr>
        <w:t xml:space="preserve"> </w:t>
      </w:r>
      <w:r>
        <w:rPr>
          <w:rFonts w:ascii="Sylfaen" w:eastAsia="Sylfaen" w:hAnsi="Sylfaen"/>
        </w:rPr>
        <w:t>ეპოქაშიც</w:t>
      </w:r>
      <w:r w:rsidRPr="008069E4">
        <w:rPr>
          <w:rFonts w:ascii="Sylfaen" w:eastAsia="Sylfaen" w:hAnsi="Sylfaen"/>
          <w:lang w:val="da-DK"/>
        </w:rPr>
        <w:t xml:space="preserve"> </w:t>
      </w:r>
      <w:r>
        <w:rPr>
          <w:rFonts w:ascii="Sylfaen" w:eastAsia="Sylfaen" w:hAnsi="Sylfaen"/>
        </w:rPr>
        <w:t>გრძელდება</w:t>
      </w:r>
      <w:r w:rsidRPr="008069E4">
        <w:rPr>
          <w:rFonts w:ascii="Sylfaen" w:eastAsia="Sylfaen" w:hAnsi="Sylfaen"/>
          <w:lang w:val="da-DK"/>
        </w:rPr>
        <w:t xml:space="preserve">, </w:t>
      </w:r>
      <w:r>
        <w:rPr>
          <w:rFonts w:ascii="Sylfaen" w:eastAsia="Sylfaen" w:hAnsi="Sylfaen"/>
        </w:rPr>
        <w:t>რაც</w:t>
      </w:r>
      <w:r w:rsidRPr="008069E4">
        <w:rPr>
          <w:rFonts w:ascii="Sylfaen" w:eastAsia="Sylfaen" w:hAnsi="Sylfaen"/>
          <w:lang w:val="da-DK"/>
        </w:rPr>
        <w:t xml:space="preserve"> </w:t>
      </w:r>
      <w:r>
        <w:rPr>
          <w:rFonts w:ascii="Sylfaen" w:eastAsia="Sylfaen" w:hAnsi="Sylfaen"/>
        </w:rPr>
        <w:t>მტკიცდება</w:t>
      </w:r>
      <w:r w:rsidRPr="008069E4">
        <w:rPr>
          <w:rFonts w:ascii="Sylfaen" w:eastAsia="Sylfaen" w:hAnsi="Sylfaen"/>
          <w:lang w:val="da-DK"/>
        </w:rPr>
        <w:t xml:space="preserve"> </w:t>
      </w:r>
      <w:r>
        <w:rPr>
          <w:rFonts w:ascii="Sylfaen" w:eastAsia="Sylfaen" w:hAnsi="Sylfaen"/>
        </w:rPr>
        <w:t>სტრატიგრაფიული</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გეომორფოლოგიური</w:t>
      </w:r>
      <w:r w:rsidRPr="008069E4">
        <w:rPr>
          <w:rFonts w:ascii="Sylfaen" w:eastAsia="Sylfaen" w:hAnsi="Sylfaen"/>
          <w:lang w:val="da-DK"/>
        </w:rPr>
        <w:t xml:space="preserve"> </w:t>
      </w:r>
      <w:r>
        <w:rPr>
          <w:rFonts w:ascii="Sylfaen" w:eastAsia="Sylfaen" w:hAnsi="Sylfaen"/>
        </w:rPr>
        <w:t>ფაქტებით</w:t>
      </w:r>
      <w:r w:rsidRPr="008069E4">
        <w:rPr>
          <w:rFonts w:ascii="Sylfaen" w:eastAsia="Sylfaen" w:hAnsi="Sylfaen"/>
          <w:lang w:val="da-DK"/>
        </w:rPr>
        <w:t xml:space="preserve"> - </w:t>
      </w:r>
      <w:r>
        <w:rPr>
          <w:rFonts w:ascii="Sylfaen" w:eastAsia="Sylfaen" w:hAnsi="Sylfaen"/>
        </w:rPr>
        <w:t>დამარხული</w:t>
      </w:r>
      <w:r w:rsidRPr="008069E4">
        <w:rPr>
          <w:rFonts w:ascii="Sylfaen" w:eastAsia="Sylfaen" w:hAnsi="Sylfaen"/>
          <w:lang w:val="da-DK"/>
        </w:rPr>
        <w:t xml:space="preserve"> </w:t>
      </w:r>
      <w:r>
        <w:rPr>
          <w:rFonts w:ascii="Sylfaen" w:eastAsia="Sylfaen" w:hAnsi="Sylfaen"/>
        </w:rPr>
        <w:t>ნიადაგური</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კულტურული</w:t>
      </w:r>
      <w:r w:rsidRPr="008069E4">
        <w:rPr>
          <w:rFonts w:ascii="Sylfaen" w:eastAsia="Sylfaen" w:hAnsi="Sylfaen"/>
          <w:lang w:val="da-DK"/>
        </w:rPr>
        <w:t xml:space="preserve"> </w:t>
      </w:r>
      <w:r>
        <w:rPr>
          <w:rFonts w:ascii="Sylfaen" w:eastAsia="Sylfaen" w:hAnsi="Sylfaen"/>
        </w:rPr>
        <w:t>ჰორიზონტების</w:t>
      </w:r>
      <w:r w:rsidRPr="008069E4">
        <w:rPr>
          <w:rFonts w:ascii="Sylfaen" w:eastAsia="Sylfaen" w:hAnsi="Sylfaen"/>
          <w:lang w:val="da-DK"/>
        </w:rPr>
        <w:t xml:space="preserve"> </w:t>
      </w:r>
      <w:r>
        <w:rPr>
          <w:rFonts w:ascii="Sylfaen" w:eastAsia="Sylfaen" w:hAnsi="Sylfaen"/>
        </w:rPr>
        <w:t>შემცველი</w:t>
      </w:r>
      <w:r w:rsidRPr="008069E4">
        <w:rPr>
          <w:rFonts w:ascii="Sylfaen" w:eastAsia="Sylfaen" w:hAnsi="Sylfaen"/>
          <w:lang w:val="da-DK"/>
        </w:rPr>
        <w:t xml:space="preserve"> </w:t>
      </w:r>
      <w:r>
        <w:rPr>
          <w:rFonts w:ascii="Sylfaen" w:eastAsia="Sylfaen" w:hAnsi="Sylfaen"/>
        </w:rPr>
        <w:t>უხეშნგრეული</w:t>
      </w:r>
      <w:r w:rsidRPr="008069E4">
        <w:rPr>
          <w:rFonts w:ascii="Sylfaen" w:eastAsia="Sylfaen" w:hAnsi="Sylfaen"/>
          <w:lang w:val="da-DK"/>
        </w:rPr>
        <w:t xml:space="preserve"> </w:t>
      </w:r>
      <w:r>
        <w:rPr>
          <w:rFonts w:ascii="Sylfaen" w:eastAsia="Sylfaen" w:hAnsi="Sylfaen"/>
        </w:rPr>
        <w:t>სქელი</w:t>
      </w:r>
      <w:r w:rsidRPr="008069E4">
        <w:rPr>
          <w:rFonts w:ascii="Sylfaen" w:eastAsia="Sylfaen" w:hAnsi="Sylfaen"/>
          <w:lang w:val="da-DK"/>
        </w:rPr>
        <w:t xml:space="preserve"> </w:t>
      </w:r>
      <w:r>
        <w:rPr>
          <w:rFonts w:ascii="Sylfaen" w:eastAsia="Sylfaen" w:hAnsi="Sylfaen"/>
        </w:rPr>
        <w:t>წყების</w:t>
      </w:r>
      <w:r w:rsidRPr="008069E4">
        <w:rPr>
          <w:rFonts w:ascii="Sylfaen" w:eastAsia="Sylfaen" w:hAnsi="Sylfaen"/>
          <w:lang w:val="da-DK"/>
        </w:rPr>
        <w:t xml:space="preserve"> </w:t>
      </w:r>
      <w:r>
        <w:rPr>
          <w:rFonts w:ascii="Sylfaen" w:eastAsia="Sylfaen" w:hAnsi="Sylfaen"/>
        </w:rPr>
        <w:t>არსებობით</w:t>
      </w:r>
      <w:r w:rsidRPr="008069E4">
        <w:rPr>
          <w:rFonts w:ascii="Sylfaen" w:eastAsia="Sylfaen" w:hAnsi="Sylfaen"/>
          <w:lang w:val="da-DK"/>
        </w:rPr>
        <w:t xml:space="preserve">, </w:t>
      </w:r>
      <w:r>
        <w:rPr>
          <w:rFonts w:ascii="Sylfaen" w:eastAsia="Sylfaen" w:hAnsi="Sylfaen"/>
        </w:rPr>
        <w:t>კავკასიონიდან</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გომბორის</w:t>
      </w:r>
      <w:r w:rsidRPr="008069E4">
        <w:rPr>
          <w:rFonts w:ascii="Sylfaen" w:eastAsia="Sylfaen" w:hAnsi="Sylfaen"/>
          <w:lang w:val="da-DK"/>
        </w:rPr>
        <w:t xml:space="preserve"> </w:t>
      </w:r>
      <w:r>
        <w:rPr>
          <w:rFonts w:ascii="Sylfaen" w:eastAsia="Sylfaen" w:hAnsi="Sylfaen"/>
        </w:rPr>
        <w:t>ქედიდან</w:t>
      </w:r>
      <w:r w:rsidRPr="008069E4">
        <w:rPr>
          <w:rFonts w:ascii="Sylfaen" w:eastAsia="Sylfaen" w:hAnsi="Sylfaen"/>
          <w:lang w:val="da-DK"/>
        </w:rPr>
        <w:t xml:space="preserve"> </w:t>
      </w:r>
      <w:r>
        <w:rPr>
          <w:rFonts w:ascii="Sylfaen" w:eastAsia="Sylfaen" w:hAnsi="Sylfaen"/>
        </w:rPr>
        <w:t>ჩამომავალი</w:t>
      </w:r>
      <w:r w:rsidRPr="008069E4">
        <w:rPr>
          <w:rFonts w:ascii="Sylfaen" w:eastAsia="Sylfaen" w:hAnsi="Sylfaen"/>
          <w:lang w:val="da-DK"/>
        </w:rPr>
        <w:t xml:space="preserve"> </w:t>
      </w:r>
      <w:r>
        <w:rPr>
          <w:rFonts w:ascii="Sylfaen" w:eastAsia="Sylfaen" w:hAnsi="Sylfaen"/>
        </w:rPr>
        <w:t>მდინარეების</w:t>
      </w:r>
      <w:r w:rsidRPr="008069E4">
        <w:rPr>
          <w:rFonts w:ascii="Sylfaen" w:eastAsia="Sylfaen" w:hAnsi="Sylfaen"/>
          <w:lang w:val="da-DK"/>
        </w:rPr>
        <w:t xml:space="preserve"> </w:t>
      </w:r>
      <w:r>
        <w:rPr>
          <w:rFonts w:ascii="Sylfaen" w:eastAsia="Sylfaen" w:hAnsi="Sylfaen"/>
        </w:rPr>
        <w:t>მძლავრი</w:t>
      </w:r>
      <w:r w:rsidRPr="008069E4">
        <w:rPr>
          <w:rFonts w:ascii="Sylfaen" w:eastAsia="Sylfaen" w:hAnsi="Sylfaen"/>
          <w:lang w:val="da-DK"/>
        </w:rPr>
        <w:t xml:space="preserve"> </w:t>
      </w:r>
      <w:r>
        <w:rPr>
          <w:rFonts w:ascii="Sylfaen" w:eastAsia="Sylfaen" w:hAnsi="Sylfaen"/>
        </w:rPr>
        <w:t>გამონაზიდი</w:t>
      </w:r>
      <w:r w:rsidRPr="008069E4">
        <w:rPr>
          <w:rFonts w:ascii="Sylfaen" w:eastAsia="Sylfaen" w:hAnsi="Sylfaen"/>
          <w:lang w:val="da-DK"/>
        </w:rPr>
        <w:t xml:space="preserve"> </w:t>
      </w:r>
      <w:r>
        <w:rPr>
          <w:rFonts w:ascii="Sylfaen" w:eastAsia="Sylfaen" w:hAnsi="Sylfaen"/>
        </w:rPr>
        <w:t>კონუსების</w:t>
      </w:r>
      <w:r w:rsidRPr="008069E4">
        <w:rPr>
          <w:rFonts w:ascii="Sylfaen" w:eastAsia="Sylfaen" w:hAnsi="Sylfaen"/>
          <w:lang w:val="da-DK"/>
        </w:rPr>
        <w:t xml:space="preserve"> </w:t>
      </w:r>
      <w:r>
        <w:rPr>
          <w:rFonts w:ascii="Sylfaen" w:eastAsia="Sylfaen" w:hAnsi="Sylfaen"/>
        </w:rPr>
        <w:t>დეფორმაციის</w:t>
      </w:r>
      <w:r w:rsidRPr="008069E4">
        <w:rPr>
          <w:rFonts w:ascii="Sylfaen" w:eastAsia="Sylfaen" w:hAnsi="Sylfaen"/>
          <w:lang w:val="da-DK"/>
        </w:rPr>
        <w:t xml:space="preserve"> </w:t>
      </w:r>
      <w:r>
        <w:rPr>
          <w:rFonts w:ascii="Sylfaen" w:eastAsia="Sylfaen" w:hAnsi="Sylfaen"/>
        </w:rPr>
        <w:t>ნიშნებით</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ა</w:t>
      </w:r>
      <w:r w:rsidRPr="008069E4">
        <w:rPr>
          <w:rFonts w:ascii="Sylfaen" w:eastAsia="Sylfaen" w:hAnsi="Sylfaen"/>
          <w:lang w:val="da-DK"/>
        </w:rPr>
        <w:t>.</w:t>
      </w:r>
      <w:r>
        <w:rPr>
          <w:rFonts w:ascii="Sylfaen" w:eastAsia="Sylfaen" w:hAnsi="Sylfaen"/>
        </w:rPr>
        <w:t>შ</w:t>
      </w:r>
      <w:r w:rsidRPr="008069E4">
        <w:rPr>
          <w:rFonts w:ascii="Sylfaen" w:eastAsia="Sylfaen" w:hAnsi="Sylfaen"/>
          <w:lang w:val="da-DK"/>
        </w:rPr>
        <w:t>.</w:t>
      </w:r>
    </w:p>
    <w:p w14:paraId="31622ECA" w14:textId="77777777" w:rsidR="00EA3C65" w:rsidRPr="008069E4" w:rsidRDefault="00EA3C65" w:rsidP="00EA3C65">
      <w:pPr>
        <w:spacing w:line="134" w:lineRule="exact"/>
        <w:rPr>
          <w:rFonts w:ascii="Times New Roman" w:hAnsi="Times New Roman"/>
          <w:lang w:val="da-DK"/>
        </w:rPr>
      </w:pPr>
    </w:p>
    <w:p w14:paraId="1EA9BFCB" w14:textId="77777777" w:rsidR="00EA3C65" w:rsidRPr="008069E4" w:rsidRDefault="00EA3C65" w:rsidP="00EA3C65">
      <w:pPr>
        <w:spacing w:line="239" w:lineRule="auto"/>
        <w:rPr>
          <w:rFonts w:ascii="Sylfaen" w:eastAsia="Sylfaen" w:hAnsi="Sylfaen"/>
          <w:lang w:val="da-DK"/>
        </w:rPr>
      </w:pPr>
      <w:r>
        <w:rPr>
          <w:rFonts w:ascii="Sylfaen" w:eastAsia="Sylfaen" w:hAnsi="Sylfaen"/>
        </w:rPr>
        <w:t>ვაკეზე</w:t>
      </w:r>
      <w:r w:rsidRPr="008069E4">
        <w:rPr>
          <w:rFonts w:ascii="Sylfaen" w:eastAsia="Sylfaen" w:hAnsi="Sylfaen"/>
          <w:lang w:val="da-DK"/>
        </w:rPr>
        <w:t xml:space="preserve"> </w:t>
      </w:r>
      <w:r>
        <w:rPr>
          <w:rFonts w:ascii="Sylfaen" w:eastAsia="Sylfaen" w:hAnsi="Sylfaen"/>
        </w:rPr>
        <w:t>ჩრდილოეთიდან</w:t>
      </w:r>
      <w:r w:rsidRPr="008069E4">
        <w:rPr>
          <w:rFonts w:ascii="Sylfaen" w:eastAsia="Sylfaen" w:hAnsi="Sylfaen"/>
          <w:lang w:val="da-DK"/>
        </w:rPr>
        <w:t xml:space="preserve"> </w:t>
      </w:r>
      <w:r>
        <w:rPr>
          <w:rFonts w:ascii="Sylfaen" w:eastAsia="Sylfaen" w:hAnsi="Sylfaen"/>
        </w:rPr>
        <w:t>მიბჯენილი</w:t>
      </w:r>
      <w:r w:rsidRPr="008069E4">
        <w:rPr>
          <w:rFonts w:ascii="Sylfaen" w:eastAsia="Sylfaen" w:hAnsi="Sylfaen"/>
          <w:lang w:val="da-DK"/>
        </w:rPr>
        <w:t xml:space="preserve"> </w:t>
      </w:r>
      <w:r>
        <w:rPr>
          <w:rFonts w:ascii="Sylfaen" w:eastAsia="Sylfaen" w:hAnsi="Sylfaen"/>
        </w:rPr>
        <w:t>კავკასიონის</w:t>
      </w:r>
      <w:r w:rsidRPr="008069E4">
        <w:rPr>
          <w:rFonts w:ascii="Sylfaen" w:eastAsia="Sylfaen" w:hAnsi="Sylfaen"/>
          <w:lang w:val="da-DK"/>
        </w:rPr>
        <w:t xml:space="preserve"> </w:t>
      </w:r>
      <w:r>
        <w:rPr>
          <w:rFonts w:ascii="Sylfaen" w:eastAsia="Sylfaen" w:hAnsi="Sylfaen"/>
        </w:rPr>
        <w:t>მთისწინეთი</w:t>
      </w:r>
      <w:r w:rsidRPr="008069E4">
        <w:rPr>
          <w:rFonts w:ascii="Sylfaen" w:eastAsia="Sylfaen" w:hAnsi="Sylfaen"/>
          <w:lang w:val="da-DK"/>
        </w:rPr>
        <w:t xml:space="preserve"> </w:t>
      </w:r>
      <w:r>
        <w:rPr>
          <w:rFonts w:ascii="Sylfaen" w:eastAsia="Sylfaen" w:hAnsi="Sylfaen"/>
        </w:rPr>
        <w:t>აგებულია</w:t>
      </w:r>
      <w:r w:rsidRPr="008069E4">
        <w:rPr>
          <w:rFonts w:ascii="Sylfaen" w:eastAsia="Sylfaen" w:hAnsi="Sylfaen"/>
          <w:lang w:val="da-DK"/>
        </w:rPr>
        <w:t xml:space="preserve"> </w:t>
      </w:r>
      <w:r>
        <w:rPr>
          <w:rFonts w:ascii="Sylfaen" w:eastAsia="Sylfaen" w:hAnsi="Sylfaen"/>
        </w:rPr>
        <w:t>ალპინოტიპურად</w:t>
      </w:r>
      <w:r w:rsidRPr="008069E4">
        <w:rPr>
          <w:rFonts w:ascii="Sylfaen" w:eastAsia="Sylfaen" w:hAnsi="Sylfaen"/>
          <w:lang w:val="da-DK"/>
        </w:rPr>
        <w:t xml:space="preserve"> </w:t>
      </w:r>
      <w:r>
        <w:rPr>
          <w:rFonts w:ascii="Sylfaen" w:eastAsia="Sylfaen" w:hAnsi="Sylfaen"/>
        </w:rPr>
        <w:t>დანაოჭებული</w:t>
      </w:r>
      <w:r w:rsidRPr="008069E4">
        <w:rPr>
          <w:rFonts w:ascii="Sylfaen" w:eastAsia="Sylfaen" w:hAnsi="Sylfaen"/>
          <w:lang w:val="da-DK"/>
        </w:rPr>
        <w:t xml:space="preserve"> </w:t>
      </w:r>
      <w:r>
        <w:rPr>
          <w:rFonts w:ascii="Sylfaen" w:eastAsia="Sylfaen" w:hAnsi="Sylfaen"/>
        </w:rPr>
        <w:t>ზედა</w:t>
      </w:r>
      <w:r w:rsidRPr="008069E4">
        <w:rPr>
          <w:rFonts w:ascii="Sylfaen" w:eastAsia="Sylfaen" w:hAnsi="Sylfaen"/>
          <w:lang w:val="da-DK"/>
        </w:rPr>
        <w:t xml:space="preserve"> </w:t>
      </w:r>
      <w:r>
        <w:rPr>
          <w:rFonts w:ascii="Sylfaen" w:eastAsia="Sylfaen" w:hAnsi="Sylfaen"/>
        </w:rPr>
        <w:t>იურული</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ცარცული</w:t>
      </w:r>
      <w:r w:rsidRPr="008069E4">
        <w:rPr>
          <w:rFonts w:ascii="Sylfaen" w:eastAsia="Sylfaen" w:hAnsi="Sylfaen"/>
          <w:lang w:val="da-DK"/>
        </w:rPr>
        <w:t xml:space="preserve"> </w:t>
      </w:r>
      <w:r>
        <w:rPr>
          <w:rFonts w:ascii="Sylfaen" w:eastAsia="Sylfaen" w:hAnsi="Sylfaen"/>
        </w:rPr>
        <w:t>ნალექებით</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წარმოადგენს</w:t>
      </w:r>
      <w:r w:rsidRPr="008069E4">
        <w:rPr>
          <w:rFonts w:ascii="Sylfaen" w:eastAsia="Sylfaen" w:hAnsi="Sylfaen"/>
          <w:lang w:val="da-DK"/>
        </w:rPr>
        <w:t xml:space="preserve"> </w:t>
      </w:r>
      <w:r>
        <w:rPr>
          <w:rFonts w:ascii="Sylfaen" w:eastAsia="Sylfaen" w:hAnsi="Sylfaen"/>
        </w:rPr>
        <w:t>დაძირული</w:t>
      </w:r>
      <w:r w:rsidRPr="008069E4">
        <w:rPr>
          <w:rFonts w:ascii="Sylfaen" w:eastAsia="Sylfaen" w:hAnsi="Sylfaen"/>
          <w:lang w:val="da-DK"/>
        </w:rPr>
        <w:t xml:space="preserve"> </w:t>
      </w:r>
      <w:r>
        <w:rPr>
          <w:rFonts w:ascii="Sylfaen" w:eastAsia="Sylfaen" w:hAnsi="Sylfaen"/>
        </w:rPr>
        <w:t>ზონის</w:t>
      </w:r>
      <w:r w:rsidRPr="008069E4">
        <w:rPr>
          <w:rFonts w:ascii="Sylfaen" w:eastAsia="Sylfaen" w:hAnsi="Sylfaen"/>
          <w:lang w:val="da-DK"/>
        </w:rPr>
        <w:t xml:space="preserve"> </w:t>
      </w:r>
      <w:r>
        <w:rPr>
          <w:rFonts w:ascii="Sylfaen" w:eastAsia="Sylfaen" w:hAnsi="Sylfaen"/>
        </w:rPr>
        <w:t>ნაშთს</w:t>
      </w:r>
      <w:r w:rsidRPr="008069E4">
        <w:rPr>
          <w:rFonts w:ascii="Sylfaen" w:eastAsia="Sylfaen" w:hAnsi="Sylfaen"/>
          <w:lang w:val="da-DK"/>
        </w:rPr>
        <w:t xml:space="preserve">. </w:t>
      </w:r>
      <w:r>
        <w:rPr>
          <w:rFonts w:ascii="Sylfaen" w:eastAsia="Sylfaen" w:hAnsi="Sylfaen"/>
        </w:rPr>
        <w:t>კავკასიონი</w:t>
      </w:r>
      <w:r w:rsidRPr="008069E4">
        <w:rPr>
          <w:rFonts w:ascii="Sylfaen" w:eastAsia="Sylfaen" w:hAnsi="Sylfaen"/>
          <w:lang w:val="da-DK"/>
        </w:rPr>
        <w:t xml:space="preserve"> </w:t>
      </w:r>
      <w:r>
        <w:rPr>
          <w:rFonts w:ascii="Sylfaen" w:eastAsia="Sylfaen" w:hAnsi="Sylfaen"/>
        </w:rPr>
        <w:t>აქ</w:t>
      </w:r>
      <w:r w:rsidRPr="008069E4">
        <w:rPr>
          <w:rFonts w:ascii="Sylfaen" w:eastAsia="Sylfaen" w:hAnsi="Sylfaen"/>
          <w:lang w:val="da-DK"/>
        </w:rPr>
        <w:t xml:space="preserve"> </w:t>
      </w:r>
      <w:r>
        <w:rPr>
          <w:rFonts w:ascii="Sylfaen" w:eastAsia="Sylfaen" w:hAnsi="Sylfaen"/>
        </w:rPr>
        <w:t>განიცდის</w:t>
      </w:r>
      <w:r w:rsidRPr="008069E4">
        <w:rPr>
          <w:rFonts w:ascii="Sylfaen" w:eastAsia="Sylfaen" w:hAnsi="Sylfaen"/>
          <w:lang w:val="da-DK"/>
        </w:rPr>
        <w:t xml:space="preserve"> </w:t>
      </w:r>
      <w:r>
        <w:rPr>
          <w:rFonts w:ascii="Sylfaen" w:eastAsia="Sylfaen" w:hAnsi="Sylfaen"/>
        </w:rPr>
        <w:t>სამხრეთ</w:t>
      </w:r>
      <w:r w:rsidRPr="008069E4">
        <w:rPr>
          <w:rFonts w:ascii="Sylfaen" w:eastAsia="Sylfaen" w:hAnsi="Sylfaen"/>
          <w:lang w:val="da-DK"/>
        </w:rPr>
        <w:t>-</w:t>
      </w:r>
      <w:r>
        <w:rPr>
          <w:rFonts w:ascii="Sylfaen" w:eastAsia="Sylfaen" w:hAnsi="Sylfaen"/>
        </w:rPr>
        <w:t>დასავლეთისაკენ</w:t>
      </w:r>
      <w:r w:rsidRPr="008069E4">
        <w:rPr>
          <w:rFonts w:ascii="Sylfaen" w:eastAsia="Sylfaen" w:hAnsi="Sylfaen"/>
          <w:lang w:val="da-DK"/>
        </w:rPr>
        <w:t xml:space="preserve"> </w:t>
      </w:r>
      <w:r>
        <w:rPr>
          <w:rFonts w:ascii="Sylfaen" w:eastAsia="Sylfaen" w:hAnsi="Sylfaen"/>
        </w:rPr>
        <w:t>წამოცოცებას</w:t>
      </w:r>
      <w:r w:rsidRPr="008069E4">
        <w:rPr>
          <w:rFonts w:ascii="Sylfaen" w:eastAsia="Sylfaen" w:hAnsi="Sylfaen"/>
          <w:lang w:val="da-DK"/>
        </w:rPr>
        <w:t xml:space="preserve">. </w:t>
      </w:r>
      <w:r>
        <w:rPr>
          <w:rFonts w:ascii="Sylfaen" w:eastAsia="Sylfaen" w:hAnsi="Sylfaen"/>
        </w:rPr>
        <w:t>კახეთი</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მასთან</w:t>
      </w:r>
      <w:r w:rsidRPr="008069E4">
        <w:rPr>
          <w:rFonts w:ascii="Sylfaen" w:eastAsia="Sylfaen" w:hAnsi="Sylfaen"/>
          <w:lang w:val="da-DK"/>
        </w:rPr>
        <w:t xml:space="preserve"> </w:t>
      </w:r>
      <w:r>
        <w:rPr>
          <w:rFonts w:ascii="Sylfaen" w:eastAsia="Sylfaen" w:hAnsi="Sylfaen"/>
        </w:rPr>
        <w:t>მოსაზღვრე</w:t>
      </w:r>
      <w:r w:rsidRPr="008069E4">
        <w:rPr>
          <w:rFonts w:ascii="Sylfaen" w:eastAsia="Sylfaen" w:hAnsi="Sylfaen"/>
          <w:lang w:val="da-DK"/>
        </w:rPr>
        <w:t xml:space="preserve"> </w:t>
      </w:r>
      <w:r>
        <w:rPr>
          <w:rFonts w:ascii="Sylfaen" w:eastAsia="Sylfaen" w:hAnsi="Sylfaen"/>
        </w:rPr>
        <w:t>შირვანი</w:t>
      </w:r>
      <w:r w:rsidRPr="008069E4">
        <w:rPr>
          <w:rFonts w:ascii="Sylfaen" w:eastAsia="Sylfaen" w:hAnsi="Sylfaen"/>
          <w:lang w:val="da-DK"/>
        </w:rPr>
        <w:t xml:space="preserve"> </w:t>
      </w:r>
      <w:r>
        <w:rPr>
          <w:rFonts w:ascii="Sylfaen" w:eastAsia="Sylfaen" w:hAnsi="Sylfaen"/>
        </w:rPr>
        <w:t>კავკასიონის</w:t>
      </w:r>
      <w:r w:rsidRPr="008069E4">
        <w:rPr>
          <w:rFonts w:ascii="Sylfaen" w:eastAsia="Sylfaen" w:hAnsi="Sylfaen"/>
          <w:lang w:val="da-DK"/>
        </w:rPr>
        <w:t xml:space="preserve"> </w:t>
      </w:r>
      <w:r>
        <w:rPr>
          <w:rFonts w:ascii="Sylfaen" w:eastAsia="Sylfaen" w:hAnsi="Sylfaen"/>
        </w:rPr>
        <w:t>სამხრული</w:t>
      </w:r>
      <w:r w:rsidRPr="008069E4">
        <w:rPr>
          <w:rFonts w:ascii="Sylfaen" w:eastAsia="Sylfaen" w:hAnsi="Sylfaen"/>
          <w:lang w:val="da-DK"/>
        </w:rPr>
        <w:t xml:space="preserve"> </w:t>
      </w:r>
      <w:r>
        <w:rPr>
          <w:rFonts w:ascii="Sylfaen" w:eastAsia="Sylfaen" w:hAnsi="Sylfaen"/>
        </w:rPr>
        <w:t>ფერდობის</w:t>
      </w:r>
      <w:r w:rsidRPr="008069E4">
        <w:rPr>
          <w:rFonts w:ascii="Sylfaen" w:eastAsia="Sylfaen" w:hAnsi="Sylfaen"/>
          <w:lang w:val="da-DK"/>
        </w:rPr>
        <w:t xml:space="preserve"> </w:t>
      </w:r>
      <w:r>
        <w:rPr>
          <w:rFonts w:ascii="Sylfaen" w:eastAsia="Sylfaen" w:hAnsi="Sylfaen"/>
        </w:rPr>
        <w:t>მთისწინა</w:t>
      </w:r>
      <w:r w:rsidRPr="008069E4">
        <w:rPr>
          <w:rFonts w:ascii="Sylfaen" w:eastAsia="Sylfaen" w:hAnsi="Sylfaen"/>
          <w:lang w:val="da-DK"/>
        </w:rPr>
        <w:t xml:space="preserve"> </w:t>
      </w:r>
      <w:r>
        <w:rPr>
          <w:rFonts w:ascii="Sylfaen" w:eastAsia="Sylfaen" w:hAnsi="Sylfaen"/>
        </w:rPr>
        <w:t>ზოლის</w:t>
      </w:r>
      <w:r w:rsidRPr="008069E4">
        <w:rPr>
          <w:rFonts w:ascii="Sylfaen" w:eastAsia="Sylfaen" w:hAnsi="Sylfaen"/>
          <w:lang w:val="da-DK"/>
        </w:rPr>
        <w:t xml:space="preserve"> </w:t>
      </w:r>
      <w:r>
        <w:rPr>
          <w:rFonts w:ascii="Sylfaen" w:eastAsia="Sylfaen" w:hAnsi="Sylfaen"/>
        </w:rPr>
        <w:t>ერთადერთი</w:t>
      </w:r>
      <w:r w:rsidRPr="008069E4">
        <w:rPr>
          <w:rFonts w:ascii="Sylfaen" w:eastAsia="Sylfaen" w:hAnsi="Sylfaen"/>
          <w:lang w:val="da-DK"/>
        </w:rPr>
        <w:t xml:space="preserve"> </w:t>
      </w:r>
      <w:r>
        <w:rPr>
          <w:rFonts w:ascii="Sylfaen" w:eastAsia="Sylfaen" w:hAnsi="Sylfaen"/>
        </w:rPr>
        <w:t>ნაწილია</w:t>
      </w:r>
      <w:r w:rsidRPr="008069E4">
        <w:rPr>
          <w:rFonts w:ascii="Sylfaen" w:eastAsia="Sylfaen" w:hAnsi="Sylfaen"/>
          <w:lang w:val="da-DK"/>
        </w:rPr>
        <w:t xml:space="preserve">, </w:t>
      </w:r>
      <w:r>
        <w:rPr>
          <w:rFonts w:ascii="Sylfaen" w:eastAsia="Sylfaen" w:hAnsi="Sylfaen"/>
        </w:rPr>
        <w:t>რომელიც</w:t>
      </w:r>
      <w:r w:rsidRPr="008069E4">
        <w:rPr>
          <w:rFonts w:ascii="Sylfaen" w:eastAsia="Sylfaen" w:hAnsi="Sylfaen"/>
          <w:lang w:val="da-DK"/>
        </w:rPr>
        <w:t xml:space="preserve"> </w:t>
      </w:r>
      <w:r>
        <w:rPr>
          <w:rFonts w:ascii="Sylfaen" w:eastAsia="Sylfaen" w:hAnsi="Sylfaen"/>
        </w:rPr>
        <w:t>აგებულია</w:t>
      </w:r>
      <w:r w:rsidRPr="008069E4">
        <w:rPr>
          <w:rFonts w:ascii="Sylfaen" w:eastAsia="Sylfaen" w:hAnsi="Sylfaen"/>
          <w:lang w:val="da-DK"/>
        </w:rPr>
        <w:t xml:space="preserve"> </w:t>
      </w:r>
      <w:r>
        <w:rPr>
          <w:rFonts w:ascii="Sylfaen" w:eastAsia="Sylfaen" w:hAnsi="Sylfaen"/>
        </w:rPr>
        <w:t>არა</w:t>
      </w:r>
      <w:r w:rsidRPr="008069E4">
        <w:rPr>
          <w:rFonts w:ascii="Sylfaen" w:eastAsia="Sylfaen" w:hAnsi="Sylfaen"/>
          <w:lang w:val="da-DK"/>
        </w:rPr>
        <w:t xml:space="preserve"> </w:t>
      </w:r>
      <w:r>
        <w:rPr>
          <w:rFonts w:ascii="Sylfaen" w:eastAsia="Sylfaen" w:hAnsi="Sylfaen"/>
        </w:rPr>
        <w:t>მესამეული</w:t>
      </w:r>
      <w:r w:rsidRPr="008069E4">
        <w:rPr>
          <w:rFonts w:ascii="Sylfaen" w:eastAsia="Sylfaen" w:hAnsi="Sylfaen"/>
          <w:lang w:val="da-DK"/>
        </w:rPr>
        <w:t xml:space="preserve">, </w:t>
      </w:r>
      <w:r>
        <w:rPr>
          <w:rFonts w:ascii="Sylfaen" w:eastAsia="Sylfaen" w:hAnsi="Sylfaen"/>
        </w:rPr>
        <w:t>არამედ</w:t>
      </w:r>
      <w:r w:rsidRPr="008069E4">
        <w:rPr>
          <w:rFonts w:ascii="Sylfaen" w:eastAsia="Sylfaen" w:hAnsi="Sylfaen"/>
          <w:lang w:val="da-DK"/>
        </w:rPr>
        <w:t xml:space="preserve"> </w:t>
      </w:r>
      <w:r>
        <w:rPr>
          <w:rFonts w:ascii="Sylfaen" w:eastAsia="Sylfaen" w:hAnsi="Sylfaen"/>
        </w:rPr>
        <w:t>მეზოზოური</w:t>
      </w:r>
      <w:r w:rsidRPr="008069E4">
        <w:rPr>
          <w:rFonts w:ascii="Sylfaen" w:eastAsia="Sylfaen" w:hAnsi="Sylfaen"/>
          <w:lang w:val="da-DK"/>
        </w:rPr>
        <w:t xml:space="preserve"> </w:t>
      </w:r>
      <w:r>
        <w:rPr>
          <w:rFonts w:ascii="Sylfaen" w:eastAsia="Sylfaen" w:hAnsi="Sylfaen"/>
        </w:rPr>
        <w:t>ფორმაციებით</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სადაც</w:t>
      </w:r>
      <w:r w:rsidRPr="008069E4">
        <w:rPr>
          <w:rFonts w:ascii="Sylfaen" w:eastAsia="Sylfaen" w:hAnsi="Sylfaen"/>
          <w:lang w:val="da-DK"/>
        </w:rPr>
        <w:t xml:space="preserve"> </w:t>
      </w:r>
      <w:r>
        <w:rPr>
          <w:rFonts w:ascii="Sylfaen" w:eastAsia="Sylfaen" w:hAnsi="Sylfaen"/>
        </w:rPr>
        <w:t>ბორცვნალი</w:t>
      </w:r>
      <w:r w:rsidRPr="008069E4">
        <w:rPr>
          <w:rFonts w:ascii="Sylfaen" w:eastAsia="Sylfaen" w:hAnsi="Sylfaen"/>
          <w:lang w:val="da-DK"/>
        </w:rPr>
        <w:t xml:space="preserve"> </w:t>
      </w:r>
      <w:r>
        <w:rPr>
          <w:rFonts w:ascii="Sylfaen" w:eastAsia="Sylfaen" w:hAnsi="Sylfaen"/>
        </w:rPr>
        <w:t>ზოლი</w:t>
      </w:r>
      <w:r w:rsidRPr="008069E4">
        <w:rPr>
          <w:rFonts w:ascii="Sylfaen" w:eastAsia="Sylfaen" w:hAnsi="Sylfaen"/>
          <w:lang w:val="da-DK"/>
        </w:rPr>
        <w:t xml:space="preserve"> </w:t>
      </w:r>
      <w:r>
        <w:rPr>
          <w:rFonts w:ascii="Sylfaen" w:eastAsia="Sylfaen" w:hAnsi="Sylfaen"/>
        </w:rPr>
        <w:t>ძლიერ</w:t>
      </w:r>
      <w:r w:rsidRPr="008069E4">
        <w:rPr>
          <w:rFonts w:ascii="Sylfaen" w:eastAsia="Sylfaen" w:hAnsi="Sylfaen"/>
          <w:lang w:val="da-DK"/>
        </w:rPr>
        <w:t xml:space="preserve"> </w:t>
      </w:r>
      <w:r>
        <w:rPr>
          <w:rFonts w:ascii="Sylfaen" w:eastAsia="Sylfaen" w:hAnsi="Sylfaen"/>
        </w:rPr>
        <w:t>შევისწროებულია</w:t>
      </w:r>
      <w:r w:rsidRPr="008069E4">
        <w:rPr>
          <w:rFonts w:ascii="Sylfaen" w:eastAsia="Sylfaen" w:hAnsi="Sylfaen"/>
          <w:lang w:val="da-DK"/>
        </w:rPr>
        <w:t>.</w:t>
      </w:r>
    </w:p>
    <w:p w14:paraId="712FA25D" w14:textId="77777777" w:rsidR="00EA3C65" w:rsidRPr="008069E4" w:rsidRDefault="00EA3C65" w:rsidP="00EA3C65">
      <w:pPr>
        <w:spacing w:line="127" w:lineRule="exact"/>
        <w:rPr>
          <w:rFonts w:ascii="Times New Roman" w:hAnsi="Times New Roman"/>
          <w:lang w:val="da-DK"/>
        </w:rPr>
      </w:pPr>
    </w:p>
    <w:p w14:paraId="4B74BEE6" w14:textId="77777777" w:rsidR="00EA3C65" w:rsidRPr="008069E4" w:rsidRDefault="00EA3C65" w:rsidP="00EA3C65">
      <w:pPr>
        <w:spacing w:line="239" w:lineRule="auto"/>
        <w:rPr>
          <w:rFonts w:ascii="Sylfaen" w:eastAsia="Sylfaen" w:hAnsi="Sylfaen"/>
          <w:lang w:val="da-DK"/>
        </w:rPr>
      </w:pPr>
      <w:r>
        <w:rPr>
          <w:rFonts w:ascii="Sylfaen" w:eastAsia="Sylfaen" w:hAnsi="Sylfaen"/>
        </w:rPr>
        <w:t>გომბორის</w:t>
      </w:r>
      <w:r w:rsidRPr="008069E4">
        <w:rPr>
          <w:rFonts w:ascii="Sylfaen" w:eastAsia="Sylfaen" w:hAnsi="Sylfaen"/>
          <w:lang w:val="da-DK"/>
        </w:rPr>
        <w:t xml:space="preserve"> </w:t>
      </w:r>
      <w:r>
        <w:rPr>
          <w:rFonts w:ascii="Sylfaen" w:eastAsia="Sylfaen" w:hAnsi="Sylfaen"/>
        </w:rPr>
        <w:t>ქედი</w:t>
      </w:r>
      <w:r w:rsidRPr="008069E4">
        <w:rPr>
          <w:rFonts w:ascii="Sylfaen" w:eastAsia="Sylfaen" w:hAnsi="Sylfaen"/>
          <w:lang w:val="da-DK"/>
        </w:rPr>
        <w:t xml:space="preserve"> </w:t>
      </w:r>
      <w:r>
        <w:rPr>
          <w:rFonts w:ascii="Sylfaen" w:eastAsia="Sylfaen" w:hAnsi="Sylfaen"/>
        </w:rPr>
        <w:t>აგებულია</w:t>
      </w:r>
      <w:r w:rsidRPr="008069E4">
        <w:rPr>
          <w:rFonts w:ascii="Sylfaen" w:eastAsia="Sylfaen" w:hAnsi="Sylfaen"/>
          <w:lang w:val="da-DK"/>
        </w:rPr>
        <w:t xml:space="preserve"> </w:t>
      </w:r>
      <w:r>
        <w:rPr>
          <w:rFonts w:ascii="Sylfaen" w:eastAsia="Sylfaen" w:hAnsi="Sylfaen"/>
        </w:rPr>
        <w:t>მეზოზოური</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კაინოზოური</w:t>
      </w:r>
      <w:r w:rsidRPr="008069E4">
        <w:rPr>
          <w:rFonts w:ascii="Sylfaen" w:eastAsia="Sylfaen" w:hAnsi="Sylfaen"/>
          <w:lang w:val="da-DK"/>
        </w:rPr>
        <w:t xml:space="preserve"> </w:t>
      </w:r>
      <w:r>
        <w:rPr>
          <w:rFonts w:ascii="Sylfaen" w:eastAsia="Sylfaen" w:hAnsi="Sylfaen"/>
        </w:rPr>
        <w:t>წყებებით</w:t>
      </w:r>
      <w:r w:rsidRPr="008069E4">
        <w:rPr>
          <w:rFonts w:ascii="Sylfaen" w:eastAsia="Sylfaen" w:hAnsi="Sylfaen"/>
          <w:lang w:val="da-DK"/>
        </w:rPr>
        <w:t xml:space="preserve">, </w:t>
      </w:r>
      <w:r>
        <w:rPr>
          <w:rFonts w:ascii="Sylfaen" w:eastAsia="Sylfaen" w:hAnsi="Sylfaen"/>
        </w:rPr>
        <w:t>რომლებიც</w:t>
      </w:r>
      <w:r w:rsidRPr="008069E4">
        <w:rPr>
          <w:rFonts w:ascii="Sylfaen" w:eastAsia="Sylfaen" w:hAnsi="Sylfaen"/>
          <w:lang w:val="da-DK"/>
        </w:rPr>
        <w:t xml:space="preserve"> </w:t>
      </w:r>
      <w:r>
        <w:rPr>
          <w:rFonts w:ascii="Sylfaen" w:eastAsia="Sylfaen" w:hAnsi="Sylfaen"/>
        </w:rPr>
        <w:t>მკაფიოდ</w:t>
      </w:r>
      <w:r w:rsidRPr="008069E4">
        <w:rPr>
          <w:rFonts w:ascii="Sylfaen" w:eastAsia="Sylfaen" w:hAnsi="Sylfaen"/>
          <w:lang w:val="da-DK"/>
        </w:rPr>
        <w:t xml:space="preserve"> </w:t>
      </w:r>
      <w:r>
        <w:rPr>
          <w:rFonts w:ascii="Sylfaen" w:eastAsia="Sylfaen" w:hAnsi="Sylfaen"/>
        </w:rPr>
        <w:t>იყოფა</w:t>
      </w:r>
      <w:r w:rsidRPr="008069E4">
        <w:rPr>
          <w:rFonts w:ascii="Sylfaen" w:eastAsia="Sylfaen" w:hAnsi="Sylfaen"/>
          <w:lang w:val="da-DK"/>
        </w:rPr>
        <w:t xml:space="preserve"> </w:t>
      </w:r>
      <w:r>
        <w:rPr>
          <w:rFonts w:ascii="Sylfaen" w:eastAsia="Sylfaen" w:hAnsi="Sylfaen"/>
        </w:rPr>
        <w:t>ორ</w:t>
      </w:r>
      <w:r w:rsidRPr="008069E4">
        <w:rPr>
          <w:rFonts w:ascii="Sylfaen" w:eastAsia="Sylfaen" w:hAnsi="Sylfaen"/>
          <w:lang w:val="da-DK"/>
        </w:rPr>
        <w:t xml:space="preserve">, </w:t>
      </w:r>
      <w:r>
        <w:rPr>
          <w:rFonts w:ascii="Sylfaen" w:eastAsia="Sylfaen" w:hAnsi="Sylfaen"/>
        </w:rPr>
        <w:t>ტექტონიკური</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ლითოლოგიური</w:t>
      </w:r>
      <w:r w:rsidRPr="008069E4">
        <w:rPr>
          <w:rFonts w:ascii="Sylfaen" w:eastAsia="Sylfaen" w:hAnsi="Sylfaen"/>
          <w:lang w:val="da-DK"/>
        </w:rPr>
        <w:t xml:space="preserve"> </w:t>
      </w:r>
      <w:r>
        <w:rPr>
          <w:rFonts w:ascii="Sylfaen" w:eastAsia="Sylfaen" w:hAnsi="Sylfaen"/>
        </w:rPr>
        <w:t>თვალსაზრისით</w:t>
      </w:r>
      <w:r w:rsidRPr="008069E4">
        <w:rPr>
          <w:rFonts w:ascii="Sylfaen" w:eastAsia="Sylfaen" w:hAnsi="Sylfaen"/>
          <w:lang w:val="da-DK"/>
        </w:rPr>
        <w:t xml:space="preserve"> </w:t>
      </w:r>
      <w:r>
        <w:rPr>
          <w:rFonts w:ascii="Sylfaen" w:eastAsia="Sylfaen" w:hAnsi="Sylfaen"/>
        </w:rPr>
        <w:t>განსხვავებულ</w:t>
      </w:r>
      <w:r w:rsidRPr="008069E4">
        <w:rPr>
          <w:rFonts w:ascii="Sylfaen" w:eastAsia="Sylfaen" w:hAnsi="Sylfaen"/>
          <w:lang w:val="da-DK"/>
        </w:rPr>
        <w:t xml:space="preserve"> </w:t>
      </w:r>
      <w:r>
        <w:rPr>
          <w:rFonts w:ascii="Sylfaen" w:eastAsia="Sylfaen" w:hAnsi="Sylfaen"/>
        </w:rPr>
        <w:t>კომპლექსად</w:t>
      </w:r>
      <w:r w:rsidRPr="008069E4">
        <w:rPr>
          <w:rFonts w:ascii="Sylfaen" w:eastAsia="Sylfaen" w:hAnsi="Sylfaen"/>
          <w:lang w:val="da-DK"/>
        </w:rPr>
        <w:t xml:space="preserve">. </w:t>
      </w:r>
      <w:r>
        <w:rPr>
          <w:rFonts w:ascii="Sylfaen" w:eastAsia="Sylfaen" w:hAnsi="Sylfaen"/>
        </w:rPr>
        <w:t>უფრო</w:t>
      </w:r>
      <w:r w:rsidRPr="008069E4">
        <w:rPr>
          <w:rFonts w:ascii="Sylfaen" w:eastAsia="Sylfaen" w:hAnsi="Sylfaen"/>
          <w:lang w:val="da-DK"/>
        </w:rPr>
        <w:t xml:space="preserve"> </w:t>
      </w:r>
      <w:r>
        <w:rPr>
          <w:rFonts w:ascii="Sylfaen" w:eastAsia="Sylfaen" w:hAnsi="Sylfaen"/>
        </w:rPr>
        <w:t>ძველი</w:t>
      </w:r>
      <w:r w:rsidRPr="008069E4">
        <w:rPr>
          <w:rFonts w:ascii="Sylfaen" w:eastAsia="Sylfaen" w:hAnsi="Sylfaen"/>
          <w:lang w:val="da-DK"/>
        </w:rPr>
        <w:t xml:space="preserve"> </w:t>
      </w:r>
      <w:r>
        <w:rPr>
          <w:rFonts w:ascii="Sylfaen" w:eastAsia="Sylfaen" w:hAnsi="Sylfaen"/>
        </w:rPr>
        <w:t>კომპლექსი</w:t>
      </w:r>
      <w:r w:rsidRPr="008069E4">
        <w:rPr>
          <w:rFonts w:ascii="Sylfaen" w:eastAsia="Sylfaen" w:hAnsi="Sylfaen"/>
          <w:lang w:val="da-DK"/>
        </w:rPr>
        <w:t xml:space="preserve"> </w:t>
      </w:r>
      <w:r>
        <w:rPr>
          <w:rFonts w:ascii="Sylfaen" w:eastAsia="Sylfaen" w:hAnsi="Sylfaen"/>
        </w:rPr>
        <w:t>აერთიანებს</w:t>
      </w:r>
      <w:r w:rsidRPr="008069E4">
        <w:rPr>
          <w:rFonts w:ascii="Sylfaen" w:eastAsia="Sylfaen" w:hAnsi="Sylfaen"/>
          <w:lang w:val="da-DK"/>
        </w:rPr>
        <w:t xml:space="preserve"> </w:t>
      </w:r>
      <w:r>
        <w:rPr>
          <w:rFonts w:ascii="Sylfaen" w:eastAsia="Sylfaen" w:hAnsi="Sylfaen"/>
        </w:rPr>
        <w:t>ნაირგვარი</w:t>
      </w:r>
      <w:r w:rsidRPr="008069E4">
        <w:rPr>
          <w:rFonts w:ascii="Sylfaen" w:eastAsia="Sylfaen" w:hAnsi="Sylfaen"/>
          <w:lang w:val="da-DK"/>
        </w:rPr>
        <w:t xml:space="preserve"> </w:t>
      </w:r>
      <w:r>
        <w:rPr>
          <w:rFonts w:ascii="Sylfaen" w:eastAsia="Sylfaen" w:hAnsi="Sylfaen"/>
        </w:rPr>
        <w:t>შედგენილობის</w:t>
      </w:r>
      <w:r w:rsidRPr="008069E4">
        <w:rPr>
          <w:rFonts w:ascii="Sylfaen" w:eastAsia="Sylfaen" w:hAnsi="Sylfaen"/>
          <w:lang w:val="da-DK"/>
        </w:rPr>
        <w:t xml:space="preserve"> (</w:t>
      </w:r>
      <w:r>
        <w:rPr>
          <w:rFonts w:ascii="Sylfaen" w:eastAsia="Sylfaen" w:hAnsi="Sylfaen"/>
        </w:rPr>
        <w:t>თიხები</w:t>
      </w:r>
      <w:r w:rsidRPr="008069E4">
        <w:rPr>
          <w:rFonts w:ascii="Sylfaen" w:eastAsia="Sylfaen" w:hAnsi="Sylfaen"/>
          <w:lang w:val="da-DK"/>
        </w:rPr>
        <w:t xml:space="preserve">, </w:t>
      </w:r>
      <w:r>
        <w:rPr>
          <w:rFonts w:ascii="Sylfaen" w:eastAsia="Sylfaen" w:hAnsi="Sylfaen"/>
        </w:rPr>
        <w:t>ქვიშაქვები</w:t>
      </w:r>
      <w:r w:rsidRPr="008069E4">
        <w:rPr>
          <w:rFonts w:ascii="Sylfaen" w:eastAsia="Sylfaen" w:hAnsi="Sylfaen"/>
          <w:lang w:val="da-DK"/>
        </w:rPr>
        <w:t xml:space="preserve">, </w:t>
      </w:r>
      <w:r>
        <w:rPr>
          <w:rFonts w:ascii="Sylfaen" w:eastAsia="Sylfaen" w:hAnsi="Sylfaen"/>
        </w:rPr>
        <w:t>კირქვები</w:t>
      </w:r>
      <w:r w:rsidRPr="008069E4">
        <w:rPr>
          <w:rFonts w:ascii="Sylfaen" w:eastAsia="Sylfaen" w:hAnsi="Sylfaen"/>
          <w:lang w:val="da-DK"/>
        </w:rPr>
        <w:t xml:space="preserve">, </w:t>
      </w:r>
      <w:r>
        <w:rPr>
          <w:rFonts w:ascii="Sylfaen" w:eastAsia="Sylfaen" w:hAnsi="Sylfaen"/>
        </w:rPr>
        <w:t>ტუფოგენები</w:t>
      </w:r>
      <w:r w:rsidRPr="008069E4">
        <w:rPr>
          <w:rFonts w:ascii="Sylfaen" w:eastAsia="Sylfaen" w:hAnsi="Sylfaen"/>
          <w:lang w:val="da-DK"/>
        </w:rPr>
        <w:t xml:space="preserve">) </w:t>
      </w:r>
      <w:r>
        <w:rPr>
          <w:rFonts w:ascii="Sylfaen" w:eastAsia="Sylfaen" w:hAnsi="Sylfaen"/>
        </w:rPr>
        <w:t>წარმონაქმნებს</w:t>
      </w:r>
      <w:r w:rsidRPr="008069E4">
        <w:rPr>
          <w:rFonts w:ascii="Sylfaen" w:eastAsia="Sylfaen" w:hAnsi="Sylfaen"/>
          <w:lang w:val="da-DK"/>
        </w:rPr>
        <w:t xml:space="preserve">, </w:t>
      </w:r>
      <w:r>
        <w:rPr>
          <w:rFonts w:ascii="Sylfaen" w:eastAsia="Sylfaen" w:hAnsi="Sylfaen"/>
        </w:rPr>
        <w:t>ხოლო</w:t>
      </w:r>
      <w:r w:rsidRPr="008069E4">
        <w:rPr>
          <w:rFonts w:ascii="Sylfaen" w:eastAsia="Sylfaen" w:hAnsi="Sylfaen"/>
          <w:lang w:val="da-DK"/>
        </w:rPr>
        <w:t xml:space="preserve"> </w:t>
      </w:r>
      <w:r>
        <w:rPr>
          <w:rFonts w:ascii="Sylfaen" w:eastAsia="Sylfaen" w:hAnsi="Sylfaen"/>
        </w:rPr>
        <w:t>უფრო</w:t>
      </w:r>
      <w:r w:rsidRPr="008069E4">
        <w:rPr>
          <w:rFonts w:ascii="Sylfaen" w:eastAsia="Sylfaen" w:hAnsi="Sylfaen"/>
          <w:lang w:val="da-DK"/>
        </w:rPr>
        <w:t xml:space="preserve"> </w:t>
      </w:r>
      <w:r>
        <w:rPr>
          <w:rFonts w:ascii="Sylfaen" w:eastAsia="Sylfaen" w:hAnsi="Sylfaen"/>
        </w:rPr>
        <w:t>ახალგაზრდა</w:t>
      </w:r>
      <w:r w:rsidRPr="008069E4">
        <w:rPr>
          <w:rFonts w:ascii="Sylfaen" w:eastAsia="Sylfaen" w:hAnsi="Sylfaen"/>
          <w:lang w:val="da-DK"/>
        </w:rPr>
        <w:t xml:space="preserve"> </w:t>
      </w:r>
      <w:r>
        <w:rPr>
          <w:rFonts w:ascii="Sylfaen" w:eastAsia="Sylfaen" w:hAnsi="Sylfaen"/>
        </w:rPr>
        <w:t>კომპლექსი</w:t>
      </w:r>
      <w:r w:rsidRPr="008069E4">
        <w:rPr>
          <w:rFonts w:ascii="Sylfaen" w:eastAsia="Sylfaen" w:hAnsi="Sylfaen"/>
          <w:lang w:val="da-DK"/>
        </w:rPr>
        <w:t xml:space="preserve"> </w:t>
      </w:r>
      <w:r>
        <w:rPr>
          <w:rFonts w:ascii="Sylfaen" w:eastAsia="Sylfaen" w:hAnsi="Sylfaen"/>
        </w:rPr>
        <w:t>წარმოდგენილია</w:t>
      </w:r>
      <w:r w:rsidRPr="008069E4">
        <w:rPr>
          <w:rFonts w:ascii="Sylfaen" w:eastAsia="Sylfaen" w:hAnsi="Sylfaen"/>
          <w:lang w:val="da-DK"/>
        </w:rPr>
        <w:t xml:space="preserve"> </w:t>
      </w:r>
      <w:r>
        <w:rPr>
          <w:rFonts w:ascii="Sylfaen" w:eastAsia="Sylfaen" w:hAnsi="Sylfaen"/>
        </w:rPr>
        <w:t>ნეოგენური</w:t>
      </w:r>
      <w:r w:rsidRPr="008069E4">
        <w:rPr>
          <w:rFonts w:ascii="Sylfaen" w:eastAsia="Sylfaen" w:hAnsi="Sylfaen"/>
          <w:lang w:val="da-DK"/>
        </w:rPr>
        <w:t xml:space="preserve"> (</w:t>
      </w:r>
      <w:r>
        <w:rPr>
          <w:rFonts w:ascii="Sylfaen" w:eastAsia="Sylfaen" w:hAnsi="Sylfaen"/>
        </w:rPr>
        <w:t>სარმატულ</w:t>
      </w:r>
      <w:r w:rsidRPr="008069E4">
        <w:rPr>
          <w:rFonts w:ascii="Sylfaen" w:eastAsia="Sylfaen" w:hAnsi="Sylfaen"/>
          <w:lang w:val="da-DK"/>
        </w:rPr>
        <w:t>-</w:t>
      </w:r>
      <w:r>
        <w:rPr>
          <w:rFonts w:ascii="Sylfaen" w:eastAsia="Sylfaen" w:hAnsi="Sylfaen"/>
        </w:rPr>
        <w:t>კიმერიული</w:t>
      </w:r>
      <w:r w:rsidRPr="008069E4">
        <w:rPr>
          <w:rFonts w:ascii="Sylfaen" w:eastAsia="Sylfaen" w:hAnsi="Sylfaen"/>
          <w:lang w:val="da-DK"/>
        </w:rPr>
        <w:t xml:space="preserve">) </w:t>
      </w:r>
      <w:r>
        <w:rPr>
          <w:rFonts w:ascii="Sylfaen" w:eastAsia="Sylfaen" w:hAnsi="Sylfaen"/>
        </w:rPr>
        <w:t>უხეშნგრეული</w:t>
      </w:r>
      <w:r w:rsidRPr="008069E4">
        <w:rPr>
          <w:rFonts w:ascii="Sylfaen" w:eastAsia="Sylfaen" w:hAnsi="Sylfaen"/>
          <w:lang w:val="da-DK"/>
        </w:rPr>
        <w:t xml:space="preserve"> </w:t>
      </w:r>
      <w:r>
        <w:rPr>
          <w:rFonts w:ascii="Sylfaen" w:eastAsia="Sylfaen" w:hAnsi="Sylfaen"/>
        </w:rPr>
        <w:t>მოლასური</w:t>
      </w:r>
      <w:r w:rsidRPr="008069E4">
        <w:rPr>
          <w:rFonts w:ascii="Sylfaen" w:eastAsia="Sylfaen" w:hAnsi="Sylfaen"/>
          <w:lang w:val="da-DK"/>
        </w:rPr>
        <w:t xml:space="preserve"> </w:t>
      </w:r>
      <w:r>
        <w:rPr>
          <w:rFonts w:ascii="Sylfaen" w:eastAsia="Sylfaen" w:hAnsi="Sylfaen"/>
        </w:rPr>
        <w:t>წყებით</w:t>
      </w:r>
      <w:r w:rsidRPr="008069E4">
        <w:rPr>
          <w:rFonts w:ascii="Sylfaen" w:eastAsia="Sylfaen" w:hAnsi="Sylfaen"/>
          <w:lang w:val="da-DK"/>
        </w:rPr>
        <w:t xml:space="preserve">. </w:t>
      </w:r>
      <w:r>
        <w:rPr>
          <w:rFonts w:ascii="Sylfaen" w:eastAsia="Sylfaen" w:hAnsi="Sylfaen"/>
        </w:rPr>
        <w:t>ამ</w:t>
      </w:r>
      <w:r w:rsidRPr="008069E4">
        <w:rPr>
          <w:rFonts w:ascii="Sylfaen" w:eastAsia="Sylfaen" w:hAnsi="Sylfaen"/>
          <w:lang w:val="da-DK"/>
        </w:rPr>
        <w:t xml:space="preserve"> </w:t>
      </w:r>
      <w:r>
        <w:rPr>
          <w:rFonts w:ascii="Sylfaen" w:eastAsia="Sylfaen" w:hAnsi="Sylfaen"/>
        </w:rPr>
        <w:t>კონგლომერატ</w:t>
      </w:r>
      <w:r w:rsidRPr="008069E4">
        <w:rPr>
          <w:rFonts w:ascii="Sylfaen" w:eastAsia="Sylfaen" w:hAnsi="Sylfaen"/>
          <w:lang w:val="da-DK"/>
        </w:rPr>
        <w:t>-</w:t>
      </w:r>
      <w:r>
        <w:rPr>
          <w:rFonts w:ascii="Sylfaen" w:eastAsia="Sylfaen" w:hAnsi="Sylfaen"/>
        </w:rPr>
        <w:t>ქვიშქავურ</w:t>
      </w:r>
      <w:r w:rsidRPr="008069E4">
        <w:rPr>
          <w:rFonts w:ascii="Sylfaen" w:eastAsia="Sylfaen" w:hAnsi="Sylfaen"/>
          <w:lang w:val="da-DK"/>
        </w:rPr>
        <w:t xml:space="preserve"> </w:t>
      </w:r>
      <w:r>
        <w:rPr>
          <w:rFonts w:ascii="Sylfaen" w:eastAsia="Sylfaen" w:hAnsi="Sylfaen"/>
        </w:rPr>
        <w:t>წყებას</w:t>
      </w:r>
      <w:r w:rsidRPr="008069E4">
        <w:rPr>
          <w:rFonts w:ascii="Sylfaen" w:eastAsia="Sylfaen" w:hAnsi="Sylfaen"/>
          <w:lang w:val="da-DK"/>
        </w:rPr>
        <w:t xml:space="preserve"> </w:t>
      </w:r>
      <w:r>
        <w:rPr>
          <w:rFonts w:ascii="Sylfaen" w:eastAsia="Sylfaen" w:hAnsi="Sylfaen"/>
        </w:rPr>
        <w:t>ცივის</w:t>
      </w:r>
      <w:r w:rsidRPr="008069E4">
        <w:rPr>
          <w:rFonts w:ascii="Sylfaen" w:eastAsia="Sylfaen" w:hAnsi="Sylfaen"/>
          <w:lang w:val="da-DK"/>
        </w:rPr>
        <w:t xml:space="preserve"> </w:t>
      </w:r>
      <w:r>
        <w:rPr>
          <w:rFonts w:ascii="Sylfaen" w:eastAsia="Sylfaen" w:hAnsi="Sylfaen"/>
        </w:rPr>
        <w:t>ანუ</w:t>
      </w:r>
      <w:r w:rsidRPr="008069E4">
        <w:rPr>
          <w:rFonts w:ascii="Sylfaen" w:eastAsia="Sylfaen" w:hAnsi="Sylfaen"/>
          <w:lang w:val="da-DK"/>
        </w:rPr>
        <w:t xml:space="preserve"> </w:t>
      </w:r>
      <w:r>
        <w:rPr>
          <w:rFonts w:ascii="Sylfaen" w:eastAsia="Sylfaen" w:hAnsi="Sylfaen"/>
        </w:rPr>
        <w:t>ალაზნის</w:t>
      </w:r>
      <w:r w:rsidRPr="008069E4">
        <w:rPr>
          <w:rFonts w:ascii="Sylfaen" w:eastAsia="Sylfaen" w:hAnsi="Sylfaen"/>
          <w:lang w:val="da-DK"/>
        </w:rPr>
        <w:t xml:space="preserve"> </w:t>
      </w:r>
      <w:r>
        <w:rPr>
          <w:rFonts w:ascii="Sylfaen" w:eastAsia="Sylfaen" w:hAnsi="Sylfaen"/>
        </w:rPr>
        <w:t>წყებას</w:t>
      </w:r>
      <w:r w:rsidRPr="008069E4">
        <w:rPr>
          <w:rFonts w:ascii="Sylfaen" w:eastAsia="Sylfaen" w:hAnsi="Sylfaen"/>
          <w:lang w:val="da-DK"/>
        </w:rPr>
        <w:t xml:space="preserve"> </w:t>
      </w:r>
      <w:r>
        <w:rPr>
          <w:rFonts w:ascii="Sylfaen" w:eastAsia="Sylfaen" w:hAnsi="Sylfaen"/>
        </w:rPr>
        <w:t>უწოდებენ</w:t>
      </w:r>
      <w:r w:rsidRPr="008069E4">
        <w:rPr>
          <w:rFonts w:ascii="Sylfaen" w:eastAsia="Sylfaen" w:hAnsi="Sylfaen"/>
          <w:lang w:val="da-DK"/>
        </w:rPr>
        <w:t>.</w:t>
      </w:r>
    </w:p>
    <w:p w14:paraId="58CC53CC" w14:textId="77777777" w:rsidR="00EA3C65" w:rsidRPr="008069E4" w:rsidRDefault="00EA3C65" w:rsidP="00EA3C65">
      <w:pPr>
        <w:spacing w:line="129" w:lineRule="exact"/>
        <w:rPr>
          <w:rFonts w:ascii="Times New Roman" w:hAnsi="Times New Roman"/>
          <w:lang w:val="da-DK"/>
        </w:rPr>
      </w:pPr>
    </w:p>
    <w:p w14:paraId="31B79592" w14:textId="77777777" w:rsidR="00EA3C65" w:rsidRPr="008069E4" w:rsidRDefault="00EA3C65" w:rsidP="00EA3C65">
      <w:pPr>
        <w:spacing w:line="238" w:lineRule="auto"/>
        <w:rPr>
          <w:rFonts w:ascii="Sylfaen" w:eastAsia="Sylfaen" w:hAnsi="Sylfaen"/>
          <w:lang w:val="da-DK"/>
        </w:rPr>
      </w:pPr>
      <w:r>
        <w:rPr>
          <w:rFonts w:ascii="Sylfaen" w:eastAsia="Sylfaen" w:hAnsi="Sylfaen"/>
        </w:rPr>
        <w:t>ზემოთაღწერილ</w:t>
      </w:r>
      <w:r w:rsidRPr="008069E4">
        <w:rPr>
          <w:rFonts w:ascii="Sylfaen" w:eastAsia="Sylfaen" w:hAnsi="Sylfaen"/>
          <w:lang w:val="da-DK"/>
        </w:rPr>
        <w:t xml:space="preserve"> </w:t>
      </w:r>
      <w:r>
        <w:rPr>
          <w:rFonts w:ascii="Sylfaen" w:eastAsia="Sylfaen" w:hAnsi="Sylfaen"/>
        </w:rPr>
        <w:t>ორ</w:t>
      </w:r>
      <w:r w:rsidRPr="008069E4">
        <w:rPr>
          <w:rFonts w:ascii="Sylfaen" w:eastAsia="Sylfaen" w:hAnsi="Sylfaen"/>
          <w:lang w:val="da-DK"/>
        </w:rPr>
        <w:t xml:space="preserve"> </w:t>
      </w:r>
      <w:r>
        <w:rPr>
          <w:rFonts w:ascii="Sylfaen" w:eastAsia="Sylfaen" w:hAnsi="Sylfaen"/>
        </w:rPr>
        <w:t>გეომორფოლოგიურ</w:t>
      </w:r>
      <w:r w:rsidRPr="008069E4">
        <w:rPr>
          <w:rFonts w:ascii="Sylfaen" w:eastAsia="Sylfaen" w:hAnsi="Sylfaen"/>
          <w:lang w:val="da-DK"/>
        </w:rPr>
        <w:t xml:space="preserve"> </w:t>
      </w:r>
      <w:r>
        <w:rPr>
          <w:rFonts w:ascii="Sylfaen" w:eastAsia="Sylfaen" w:hAnsi="Sylfaen"/>
        </w:rPr>
        <w:t>ელემენტს</w:t>
      </w:r>
      <w:r w:rsidRPr="008069E4">
        <w:rPr>
          <w:rFonts w:ascii="Sylfaen" w:eastAsia="Sylfaen" w:hAnsi="Sylfaen"/>
          <w:lang w:val="da-DK"/>
        </w:rPr>
        <w:t xml:space="preserve"> </w:t>
      </w:r>
      <w:r>
        <w:rPr>
          <w:rFonts w:ascii="Sylfaen" w:eastAsia="Sylfaen" w:hAnsi="Sylfaen"/>
        </w:rPr>
        <w:t>შორის</w:t>
      </w:r>
      <w:r w:rsidRPr="008069E4">
        <w:rPr>
          <w:rFonts w:ascii="Sylfaen" w:eastAsia="Sylfaen" w:hAnsi="Sylfaen"/>
          <w:lang w:val="da-DK"/>
        </w:rPr>
        <w:t xml:space="preserve"> </w:t>
      </w:r>
      <w:r>
        <w:rPr>
          <w:rFonts w:ascii="Sylfaen" w:eastAsia="Sylfaen" w:hAnsi="Sylfaen"/>
        </w:rPr>
        <w:t>მოქცეული</w:t>
      </w:r>
      <w:r w:rsidRPr="008069E4">
        <w:rPr>
          <w:rFonts w:ascii="Sylfaen" w:eastAsia="Sylfaen" w:hAnsi="Sylfaen"/>
          <w:lang w:val="da-DK"/>
        </w:rPr>
        <w:t xml:space="preserve"> </w:t>
      </w:r>
      <w:r>
        <w:rPr>
          <w:rFonts w:ascii="Sylfaen" w:eastAsia="Sylfaen" w:hAnsi="Sylfaen"/>
        </w:rPr>
        <w:t>ალაზნის</w:t>
      </w:r>
      <w:r w:rsidRPr="008069E4">
        <w:rPr>
          <w:rFonts w:ascii="Sylfaen" w:eastAsia="Sylfaen" w:hAnsi="Sylfaen"/>
          <w:lang w:val="da-DK"/>
        </w:rPr>
        <w:t xml:space="preserve"> </w:t>
      </w:r>
      <w:r>
        <w:rPr>
          <w:rFonts w:ascii="Sylfaen" w:eastAsia="Sylfaen" w:hAnsi="Sylfaen"/>
        </w:rPr>
        <w:t>აკუმულაციურ</w:t>
      </w:r>
      <w:r w:rsidRPr="008069E4">
        <w:rPr>
          <w:rFonts w:ascii="Sylfaen" w:eastAsia="Sylfaen" w:hAnsi="Sylfaen"/>
          <w:lang w:val="da-DK"/>
        </w:rPr>
        <w:t xml:space="preserve"> </w:t>
      </w:r>
      <w:r>
        <w:rPr>
          <w:rFonts w:ascii="Sylfaen" w:eastAsia="Sylfaen" w:hAnsi="Sylfaen"/>
        </w:rPr>
        <w:t>ვაკე</w:t>
      </w:r>
      <w:r w:rsidRPr="008069E4">
        <w:rPr>
          <w:rFonts w:ascii="Sylfaen" w:eastAsia="Sylfaen" w:hAnsi="Sylfaen"/>
          <w:lang w:val="da-DK"/>
        </w:rPr>
        <w:t xml:space="preserve"> </w:t>
      </w:r>
      <w:r>
        <w:rPr>
          <w:rFonts w:ascii="Sylfaen" w:eastAsia="Sylfaen" w:hAnsi="Sylfaen"/>
        </w:rPr>
        <w:t>აგებულია</w:t>
      </w:r>
      <w:r w:rsidRPr="008069E4">
        <w:rPr>
          <w:rFonts w:ascii="Sylfaen" w:eastAsia="Sylfaen" w:hAnsi="Sylfaen"/>
          <w:lang w:val="da-DK"/>
        </w:rPr>
        <w:t xml:space="preserve"> </w:t>
      </w:r>
      <w:r>
        <w:rPr>
          <w:rFonts w:ascii="Sylfaen" w:eastAsia="Sylfaen" w:hAnsi="Sylfaen"/>
        </w:rPr>
        <w:t>მეოთხეული</w:t>
      </w:r>
      <w:r w:rsidRPr="008069E4">
        <w:rPr>
          <w:rFonts w:ascii="Sylfaen" w:eastAsia="Sylfaen" w:hAnsi="Sylfaen"/>
          <w:lang w:val="da-DK"/>
        </w:rPr>
        <w:t xml:space="preserve"> </w:t>
      </w:r>
      <w:r>
        <w:rPr>
          <w:rFonts w:ascii="Sylfaen" w:eastAsia="Sylfaen" w:hAnsi="Sylfaen"/>
        </w:rPr>
        <w:t>ალუვიური</w:t>
      </w:r>
      <w:r w:rsidRPr="008069E4">
        <w:rPr>
          <w:rFonts w:ascii="Sylfaen" w:eastAsia="Sylfaen" w:hAnsi="Sylfaen"/>
          <w:lang w:val="da-DK"/>
        </w:rPr>
        <w:t xml:space="preserve">, </w:t>
      </w:r>
      <w:r>
        <w:rPr>
          <w:rFonts w:ascii="Sylfaen" w:eastAsia="Sylfaen" w:hAnsi="Sylfaen"/>
        </w:rPr>
        <w:t>პროლუვიური</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პროლუვიურ</w:t>
      </w:r>
      <w:r w:rsidRPr="008069E4">
        <w:rPr>
          <w:rFonts w:ascii="Sylfaen" w:eastAsia="Sylfaen" w:hAnsi="Sylfaen"/>
          <w:lang w:val="da-DK"/>
        </w:rPr>
        <w:t>-</w:t>
      </w:r>
      <w:r>
        <w:rPr>
          <w:rFonts w:ascii="Sylfaen" w:eastAsia="Sylfaen" w:hAnsi="Sylfaen"/>
        </w:rPr>
        <w:t>დელუვიური</w:t>
      </w:r>
      <w:r w:rsidRPr="008069E4">
        <w:rPr>
          <w:rFonts w:ascii="Sylfaen" w:eastAsia="Sylfaen" w:hAnsi="Sylfaen"/>
          <w:lang w:val="da-DK"/>
        </w:rPr>
        <w:t xml:space="preserve"> </w:t>
      </w:r>
      <w:r>
        <w:rPr>
          <w:rFonts w:ascii="Sylfaen" w:eastAsia="Sylfaen" w:hAnsi="Sylfaen"/>
        </w:rPr>
        <w:t>კენჭნარით</w:t>
      </w:r>
      <w:r w:rsidRPr="008069E4">
        <w:rPr>
          <w:rFonts w:ascii="Sylfaen" w:eastAsia="Sylfaen" w:hAnsi="Sylfaen"/>
          <w:lang w:val="da-DK"/>
        </w:rPr>
        <w:t xml:space="preserve">, </w:t>
      </w:r>
      <w:r>
        <w:rPr>
          <w:rFonts w:ascii="Sylfaen" w:eastAsia="Sylfaen" w:hAnsi="Sylfaen"/>
        </w:rPr>
        <w:t>ქვიშაქვებითა</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თიხებით</w:t>
      </w:r>
      <w:r w:rsidRPr="008069E4">
        <w:rPr>
          <w:rFonts w:ascii="Sylfaen" w:eastAsia="Sylfaen" w:hAnsi="Sylfaen"/>
          <w:lang w:val="da-DK"/>
        </w:rPr>
        <w:t>.</w:t>
      </w:r>
    </w:p>
    <w:p w14:paraId="6AF1E16C" w14:textId="77777777" w:rsidR="00EA3C65" w:rsidRPr="008069E4" w:rsidRDefault="00EA3C65" w:rsidP="00EA3C65">
      <w:pPr>
        <w:spacing w:line="127" w:lineRule="exact"/>
        <w:rPr>
          <w:rFonts w:ascii="Times New Roman" w:hAnsi="Times New Roman"/>
          <w:lang w:val="da-DK"/>
        </w:rPr>
      </w:pPr>
    </w:p>
    <w:p w14:paraId="5C61CED7" w14:textId="4CE887C4" w:rsidR="00EA3C65" w:rsidRDefault="00EA3C65" w:rsidP="00EA3C65">
      <w:pPr>
        <w:spacing w:line="239" w:lineRule="auto"/>
        <w:rPr>
          <w:rFonts w:ascii="Sylfaen" w:eastAsia="Sylfaen" w:hAnsi="Sylfaen"/>
          <w:lang w:val="da-DK"/>
        </w:rPr>
      </w:pPr>
      <w:r>
        <w:rPr>
          <w:rFonts w:ascii="Sylfaen" w:eastAsia="Sylfaen" w:hAnsi="Sylfaen"/>
        </w:rPr>
        <w:t>საფონდო</w:t>
      </w:r>
      <w:r w:rsidRPr="008069E4">
        <w:rPr>
          <w:rFonts w:ascii="Sylfaen" w:eastAsia="Sylfaen" w:hAnsi="Sylfaen"/>
          <w:lang w:val="da-DK"/>
        </w:rPr>
        <w:t xml:space="preserve"> </w:t>
      </w:r>
      <w:r>
        <w:rPr>
          <w:rFonts w:ascii="Sylfaen" w:eastAsia="Sylfaen" w:hAnsi="Sylfaen"/>
        </w:rPr>
        <w:t>მასალების</w:t>
      </w:r>
      <w:r w:rsidRPr="008069E4">
        <w:rPr>
          <w:rFonts w:ascii="Sylfaen" w:eastAsia="Sylfaen" w:hAnsi="Sylfaen"/>
          <w:lang w:val="da-DK"/>
        </w:rPr>
        <w:t xml:space="preserve"> </w:t>
      </w:r>
      <w:r>
        <w:rPr>
          <w:rFonts w:ascii="Sylfaen" w:eastAsia="Sylfaen" w:hAnsi="Sylfaen"/>
        </w:rPr>
        <w:t>დამუშავების</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რეკოგნოსცირებით</w:t>
      </w:r>
      <w:r w:rsidRPr="008069E4">
        <w:rPr>
          <w:rFonts w:ascii="Sylfaen" w:eastAsia="Sylfaen" w:hAnsi="Sylfaen"/>
          <w:lang w:val="da-DK"/>
        </w:rPr>
        <w:t xml:space="preserve"> </w:t>
      </w:r>
      <w:r>
        <w:rPr>
          <w:rFonts w:ascii="Sylfaen" w:eastAsia="Sylfaen" w:hAnsi="Sylfaen"/>
        </w:rPr>
        <w:t>სამუშაოების</w:t>
      </w:r>
      <w:r w:rsidRPr="008069E4">
        <w:rPr>
          <w:rFonts w:ascii="Sylfaen" w:eastAsia="Sylfaen" w:hAnsi="Sylfaen"/>
          <w:lang w:val="da-DK"/>
        </w:rPr>
        <w:t xml:space="preserve"> </w:t>
      </w:r>
      <w:r>
        <w:rPr>
          <w:rFonts w:ascii="Sylfaen" w:eastAsia="Sylfaen" w:hAnsi="Sylfaen"/>
        </w:rPr>
        <w:t>საფუძველზე</w:t>
      </w:r>
      <w:r w:rsidRPr="008069E4">
        <w:rPr>
          <w:rFonts w:ascii="Sylfaen" w:eastAsia="Sylfaen" w:hAnsi="Sylfaen"/>
          <w:lang w:val="da-DK"/>
        </w:rPr>
        <w:t xml:space="preserve"> </w:t>
      </w:r>
      <w:r>
        <w:rPr>
          <w:rFonts w:ascii="Sylfaen" w:eastAsia="Sylfaen" w:hAnsi="Sylfaen"/>
        </w:rPr>
        <w:t>შეიძლება</w:t>
      </w:r>
      <w:r w:rsidRPr="008069E4">
        <w:rPr>
          <w:rFonts w:ascii="Sylfaen" w:eastAsia="Sylfaen" w:hAnsi="Sylfaen"/>
          <w:lang w:val="da-DK"/>
        </w:rPr>
        <w:t xml:space="preserve"> </w:t>
      </w:r>
      <w:r>
        <w:rPr>
          <w:rFonts w:ascii="Sylfaen" w:eastAsia="Sylfaen" w:hAnsi="Sylfaen"/>
        </w:rPr>
        <w:t>ითქვას</w:t>
      </w:r>
      <w:r w:rsidRPr="008069E4">
        <w:rPr>
          <w:rFonts w:ascii="Sylfaen" w:eastAsia="Sylfaen" w:hAnsi="Sylfaen"/>
          <w:lang w:val="da-DK"/>
        </w:rPr>
        <w:t xml:space="preserve">, </w:t>
      </w:r>
      <w:r>
        <w:rPr>
          <w:rFonts w:ascii="Sylfaen" w:eastAsia="Sylfaen" w:hAnsi="Sylfaen"/>
        </w:rPr>
        <w:t>რომ</w:t>
      </w:r>
      <w:r w:rsidRPr="008069E4">
        <w:rPr>
          <w:rFonts w:ascii="Sylfaen" w:eastAsia="Sylfaen" w:hAnsi="Sylfaen"/>
          <w:lang w:val="da-DK"/>
        </w:rPr>
        <w:t xml:space="preserve"> </w:t>
      </w:r>
      <w:r>
        <w:rPr>
          <w:rFonts w:ascii="Sylfaen" w:eastAsia="Sylfaen" w:hAnsi="Sylfaen"/>
        </w:rPr>
        <w:t>საკვლევი</w:t>
      </w:r>
      <w:r w:rsidRPr="008069E4">
        <w:rPr>
          <w:rFonts w:ascii="Sylfaen" w:eastAsia="Sylfaen" w:hAnsi="Sylfaen"/>
          <w:lang w:val="da-DK"/>
        </w:rPr>
        <w:t xml:space="preserve"> </w:t>
      </w:r>
      <w:r>
        <w:rPr>
          <w:rFonts w:ascii="Sylfaen" w:eastAsia="Sylfaen" w:hAnsi="Sylfaen"/>
        </w:rPr>
        <w:t>დერეფნის</w:t>
      </w:r>
      <w:r w:rsidRPr="008069E4">
        <w:rPr>
          <w:rFonts w:ascii="Sylfaen" w:eastAsia="Sylfaen" w:hAnsi="Sylfaen"/>
          <w:lang w:val="da-DK"/>
        </w:rPr>
        <w:t xml:space="preserve"> </w:t>
      </w:r>
      <w:r>
        <w:rPr>
          <w:rFonts w:ascii="Sylfaen" w:eastAsia="Sylfaen" w:hAnsi="Sylfaen"/>
        </w:rPr>
        <w:t>ფარგლებში</w:t>
      </w:r>
      <w:r w:rsidRPr="008069E4">
        <w:rPr>
          <w:rFonts w:ascii="Sylfaen" w:eastAsia="Sylfaen" w:hAnsi="Sylfaen"/>
          <w:lang w:val="da-DK"/>
        </w:rPr>
        <w:t xml:space="preserve"> </w:t>
      </w:r>
      <w:r>
        <w:rPr>
          <w:rFonts w:ascii="Sylfaen" w:eastAsia="Sylfaen" w:hAnsi="Sylfaen"/>
        </w:rPr>
        <w:t>წარმოდგენილია</w:t>
      </w:r>
      <w:r w:rsidRPr="008069E4">
        <w:rPr>
          <w:rFonts w:ascii="Sylfaen" w:eastAsia="Sylfaen" w:hAnsi="Sylfaen"/>
          <w:lang w:val="da-DK"/>
        </w:rPr>
        <w:t xml:space="preserve"> </w:t>
      </w:r>
      <w:r>
        <w:rPr>
          <w:rFonts w:ascii="Sylfaen" w:eastAsia="Sylfaen" w:hAnsi="Sylfaen"/>
        </w:rPr>
        <w:t>მეოთხეული</w:t>
      </w:r>
      <w:r w:rsidRPr="008069E4">
        <w:rPr>
          <w:rFonts w:ascii="Sylfaen" w:eastAsia="Sylfaen" w:hAnsi="Sylfaen"/>
          <w:lang w:val="da-DK"/>
        </w:rPr>
        <w:t xml:space="preserve"> </w:t>
      </w:r>
      <w:r>
        <w:rPr>
          <w:rFonts w:ascii="Sylfaen" w:eastAsia="Sylfaen" w:hAnsi="Sylfaen"/>
        </w:rPr>
        <w:t>ნალექები</w:t>
      </w:r>
      <w:r w:rsidRPr="008069E4">
        <w:rPr>
          <w:rFonts w:ascii="Sylfaen" w:eastAsia="Sylfaen" w:hAnsi="Sylfaen"/>
          <w:lang w:val="da-DK"/>
        </w:rPr>
        <w:t xml:space="preserve"> (</w:t>
      </w:r>
      <w:r>
        <w:rPr>
          <w:rFonts w:ascii="Sylfaen" w:eastAsia="Sylfaen" w:hAnsi="Sylfaen"/>
        </w:rPr>
        <w:t>კენჭნარი</w:t>
      </w:r>
      <w:r w:rsidRPr="008069E4">
        <w:rPr>
          <w:rFonts w:ascii="Sylfaen" w:eastAsia="Sylfaen" w:hAnsi="Sylfaen"/>
          <w:lang w:val="da-DK"/>
        </w:rPr>
        <w:t xml:space="preserve">, </w:t>
      </w:r>
      <w:r>
        <w:rPr>
          <w:rFonts w:ascii="Sylfaen" w:eastAsia="Sylfaen" w:hAnsi="Sylfaen"/>
        </w:rPr>
        <w:t>ქვიშაქვები</w:t>
      </w:r>
      <w:r w:rsidRPr="008069E4">
        <w:rPr>
          <w:rFonts w:ascii="Sylfaen" w:eastAsia="Sylfaen" w:hAnsi="Sylfaen"/>
          <w:lang w:val="da-DK"/>
        </w:rPr>
        <w:t xml:space="preserve">). </w:t>
      </w:r>
      <w:r>
        <w:rPr>
          <w:rFonts w:ascii="Sylfaen" w:eastAsia="Sylfaen" w:hAnsi="Sylfaen"/>
        </w:rPr>
        <w:t>დერეფნის</w:t>
      </w:r>
      <w:r w:rsidRPr="008069E4">
        <w:rPr>
          <w:rFonts w:ascii="Sylfaen" w:eastAsia="Sylfaen" w:hAnsi="Sylfaen"/>
          <w:lang w:val="da-DK"/>
        </w:rPr>
        <w:t xml:space="preserve"> </w:t>
      </w:r>
      <w:r>
        <w:rPr>
          <w:rFonts w:ascii="Sylfaen" w:eastAsia="Sylfaen" w:hAnsi="Sylfaen"/>
        </w:rPr>
        <w:t>მიმდებარე</w:t>
      </w:r>
      <w:r w:rsidRPr="008069E4">
        <w:rPr>
          <w:rFonts w:ascii="Sylfaen" w:eastAsia="Sylfaen" w:hAnsi="Sylfaen"/>
          <w:lang w:val="da-DK"/>
        </w:rPr>
        <w:t xml:space="preserve"> </w:t>
      </w:r>
      <w:r>
        <w:rPr>
          <w:rFonts w:ascii="Sylfaen" w:eastAsia="Sylfaen" w:hAnsi="Sylfaen"/>
        </w:rPr>
        <w:t>ტერიტორიები</w:t>
      </w:r>
      <w:r w:rsidRPr="008069E4">
        <w:rPr>
          <w:rFonts w:ascii="Sylfaen" w:eastAsia="Sylfaen" w:hAnsi="Sylfaen"/>
          <w:lang w:val="da-DK"/>
        </w:rPr>
        <w:t xml:space="preserve"> </w:t>
      </w:r>
      <w:r>
        <w:rPr>
          <w:rFonts w:ascii="Sylfaen" w:eastAsia="Sylfaen" w:hAnsi="Sylfaen"/>
        </w:rPr>
        <w:t>ინტენსიურად</w:t>
      </w:r>
      <w:r w:rsidRPr="008069E4">
        <w:rPr>
          <w:rFonts w:ascii="Sylfaen" w:eastAsia="Sylfaen" w:hAnsi="Sylfaen"/>
          <w:lang w:val="da-DK"/>
        </w:rPr>
        <w:t xml:space="preserve"> </w:t>
      </w:r>
      <w:r>
        <w:rPr>
          <w:rFonts w:ascii="Sylfaen" w:eastAsia="Sylfaen" w:hAnsi="Sylfaen"/>
        </w:rPr>
        <w:t>გამოიყენება</w:t>
      </w:r>
      <w:r w:rsidRPr="008069E4">
        <w:rPr>
          <w:rFonts w:ascii="Sylfaen" w:eastAsia="Sylfaen" w:hAnsi="Sylfaen"/>
          <w:lang w:val="da-DK"/>
        </w:rPr>
        <w:t xml:space="preserve"> </w:t>
      </w:r>
      <w:r>
        <w:rPr>
          <w:rFonts w:ascii="Sylfaen" w:eastAsia="Sylfaen" w:hAnsi="Sylfaen"/>
        </w:rPr>
        <w:t>სასოფლო</w:t>
      </w:r>
      <w:r w:rsidRPr="008069E4">
        <w:rPr>
          <w:rFonts w:ascii="Sylfaen" w:eastAsia="Sylfaen" w:hAnsi="Sylfaen"/>
          <w:lang w:val="da-DK"/>
        </w:rPr>
        <w:t>-</w:t>
      </w:r>
      <w:r>
        <w:rPr>
          <w:rFonts w:ascii="Sylfaen" w:eastAsia="Sylfaen" w:hAnsi="Sylfaen"/>
        </w:rPr>
        <w:t>სამეურნეო</w:t>
      </w:r>
      <w:r w:rsidRPr="008069E4">
        <w:rPr>
          <w:rFonts w:ascii="Sylfaen" w:eastAsia="Sylfaen" w:hAnsi="Sylfaen"/>
          <w:lang w:val="da-DK"/>
        </w:rPr>
        <w:t xml:space="preserve"> </w:t>
      </w:r>
      <w:r>
        <w:rPr>
          <w:rFonts w:ascii="Sylfaen" w:eastAsia="Sylfaen" w:hAnsi="Sylfaen"/>
        </w:rPr>
        <w:t>დანიშნულებით</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შესაბამისად</w:t>
      </w:r>
      <w:r w:rsidRPr="008069E4">
        <w:rPr>
          <w:rFonts w:ascii="Sylfaen" w:eastAsia="Sylfaen" w:hAnsi="Sylfaen"/>
          <w:lang w:val="da-DK"/>
        </w:rPr>
        <w:t xml:space="preserve"> </w:t>
      </w:r>
      <w:r>
        <w:rPr>
          <w:rFonts w:ascii="Sylfaen" w:eastAsia="Sylfaen" w:hAnsi="Sylfaen"/>
        </w:rPr>
        <w:t>ზედაპირული</w:t>
      </w:r>
      <w:r w:rsidRPr="008069E4">
        <w:rPr>
          <w:rFonts w:ascii="Sylfaen" w:eastAsia="Sylfaen" w:hAnsi="Sylfaen"/>
          <w:lang w:val="da-DK"/>
        </w:rPr>
        <w:t xml:space="preserve"> </w:t>
      </w:r>
      <w:r>
        <w:rPr>
          <w:rFonts w:ascii="Sylfaen" w:eastAsia="Sylfaen" w:hAnsi="Sylfaen"/>
        </w:rPr>
        <w:t>ფენა</w:t>
      </w:r>
      <w:r w:rsidRPr="008069E4">
        <w:rPr>
          <w:rFonts w:ascii="Sylfaen" w:eastAsia="Sylfaen" w:hAnsi="Sylfaen"/>
          <w:lang w:val="da-DK"/>
        </w:rPr>
        <w:t xml:space="preserve"> </w:t>
      </w:r>
      <w:r>
        <w:rPr>
          <w:rFonts w:ascii="Sylfaen" w:eastAsia="Sylfaen" w:hAnsi="Sylfaen"/>
        </w:rPr>
        <w:t>წარმოდგენილია</w:t>
      </w:r>
      <w:r w:rsidRPr="008069E4">
        <w:rPr>
          <w:rFonts w:ascii="Sylfaen" w:eastAsia="Sylfaen" w:hAnsi="Sylfaen"/>
          <w:lang w:val="da-DK"/>
        </w:rPr>
        <w:t xml:space="preserve"> </w:t>
      </w:r>
      <w:r>
        <w:rPr>
          <w:rFonts w:ascii="Sylfaen" w:eastAsia="Sylfaen" w:hAnsi="Sylfaen"/>
        </w:rPr>
        <w:t>საკმაოდ</w:t>
      </w:r>
      <w:r w:rsidRPr="008069E4">
        <w:rPr>
          <w:rFonts w:ascii="Sylfaen" w:eastAsia="Sylfaen" w:hAnsi="Sylfaen"/>
          <w:lang w:val="da-DK"/>
        </w:rPr>
        <w:t xml:space="preserve"> </w:t>
      </w:r>
      <w:r>
        <w:rPr>
          <w:rFonts w:ascii="Sylfaen" w:eastAsia="Sylfaen" w:hAnsi="Sylfaen"/>
        </w:rPr>
        <w:t>პროდუქტიული</w:t>
      </w:r>
      <w:r w:rsidRPr="008069E4">
        <w:rPr>
          <w:rFonts w:ascii="Sylfaen" w:eastAsia="Sylfaen" w:hAnsi="Sylfaen"/>
          <w:lang w:val="da-DK"/>
        </w:rPr>
        <w:t xml:space="preserve"> </w:t>
      </w:r>
      <w:r>
        <w:rPr>
          <w:rFonts w:ascii="Sylfaen" w:eastAsia="Sylfaen" w:hAnsi="Sylfaen"/>
        </w:rPr>
        <w:t>ჰუმუსოვანი</w:t>
      </w:r>
      <w:r w:rsidRPr="008069E4">
        <w:rPr>
          <w:rFonts w:ascii="Sylfaen" w:eastAsia="Sylfaen" w:hAnsi="Sylfaen"/>
          <w:lang w:val="da-DK"/>
        </w:rPr>
        <w:t xml:space="preserve"> </w:t>
      </w:r>
      <w:r>
        <w:rPr>
          <w:rFonts w:ascii="Sylfaen" w:eastAsia="Sylfaen" w:hAnsi="Sylfaen"/>
        </w:rPr>
        <w:t>ფენით</w:t>
      </w:r>
      <w:r w:rsidRPr="008069E4">
        <w:rPr>
          <w:rFonts w:ascii="Sylfaen" w:eastAsia="Sylfaen" w:hAnsi="Sylfaen"/>
          <w:lang w:val="da-DK"/>
        </w:rPr>
        <w:t>.</w:t>
      </w:r>
    </w:p>
    <w:p w14:paraId="0FAD3EE0" w14:textId="77777777" w:rsidR="008168A3" w:rsidRPr="008069E4" w:rsidRDefault="008168A3" w:rsidP="00EA3C65">
      <w:pPr>
        <w:spacing w:line="239" w:lineRule="auto"/>
        <w:rPr>
          <w:rFonts w:ascii="Sylfaen" w:eastAsia="Sylfaen" w:hAnsi="Sylfaen"/>
          <w:lang w:val="da-DK"/>
        </w:rPr>
      </w:pPr>
    </w:p>
    <w:p w14:paraId="1B307E01" w14:textId="77777777" w:rsidR="00007238" w:rsidRPr="005E2832" w:rsidRDefault="00007238" w:rsidP="00007238">
      <w:pPr>
        <w:tabs>
          <w:tab w:val="left" w:pos="1080"/>
        </w:tabs>
        <w:spacing w:before="200" w:after="200"/>
        <w:rPr>
          <w:rFonts w:ascii="Sylfaen" w:hAnsi="Sylfaen"/>
          <w:b/>
          <w:u w:val="single"/>
          <w:lang w:val="da-DK"/>
        </w:rPr>
      </w:pPr>
      <w:r w:rsidRPr="005E2832">
        <w:rPr>
          <w:rFonts w:ascii="Sylfaen" w:hAnsi="Sylfaen"/>
          <w:b/>
          <w:u w:val="single"/>
        </w:rPr>
        <w:lastRenderedPageBreak/>
        <w:t>გეოლოგიური</w:t>
      </w:r>
      <w:r w:rsidRPr="005E2832">
        <w:rPr>
          <w:rFonts w:ascii="Sylfaen" w:hAnsi="Sylfaen"/>
          <w:b/>
          <w:u w:val="single"/>
          <w:lang w:val="da-DK"/>
        </w:rPr>
        <w:t xml:space="preserve"> </w:t>
      </w:r>
      <w:r w:rsidRPr="005E2832">
        <w:rPr>
          <w:rFonts w:ascii="Sylfaen" w:hAnsi="Sylfaen"/>
          <w:b/>
          <w:u w:val="single"/>
        </w:rPr>
        <w:t>აგებულება</w:t>
      </w:r>
      <w:r w:rsidRPr="005E2832">
        <w:rPr>
          <w:rFonts w:ascii="Sylfaen" w:hAnsi="Sylfaen"/>
          <w:b/>
          <w:u w:val="single"/>
          <w:lang w:val="da-DK"/>
        </w:rPr>
        <w:t xml:space="preserve"> </w:t>
      </w:r>
      <w:r w:rsidRPr="005E2832">
        <w:rPr>
          <w:rFonts w:ascii="Sylfaen" w:hAnsi="Sylfaen"/>
          <w:b/>
          <w:u w:val="single"/>
        </w:rPr>
        <w:t>და</w:t>
      </w:r>
      <w:r w:rsidRPr="005E2832">
        <w:rPr>
          <w:rFonts w:ascii="Sylfaen" w:hAnsi="Sylfaen"/>
          <w:b/>
          <w:u w:val="single"/>
          <w:lang w:val="da-DK"/>
        </w:rPr>
        <w:t xml:space="preserve"> </w:t>
      </w:r>
      <w:r w:rsidRPr="005E2832">
        <w:rPr>
          <w:rFonts w:ascii="Sylfaen" w:hAnsi="Sylfaen"/>
          <w:b/>
          <w:u w:val="single"/>
        </w:rPr>
        <w:t>სეისმურობა</w:t>
      </w:r>
    </w:p>
    <w:p w14:paraId="18AC8BE6" w14:textId="77777777" w:rsidR="00436E12" w:rsidRPr="00436E12" w:rsidRDefault="00436E12" w:rsidP="00436E12">
      <w:pPr>
        <w:tabs>
          <w:tab w:val="left" w:pos="2520"/>
        </w:tabs>
        <w:spacing w:before="120" w:after="120"/>
        <w:rPr>
          <w:rFonts w:ascii="Sylfaen" w:hAnsi="Sylfaen"/>
          <w:lang w:val="ka-GE"/>
        </w:rPr>
      </w:pPr>
      <w:r w:rsidRPr="00436E12">
        <w:rPr>
          <w:rFonts w:ascii="Sylfaen" w:hAnsi="Sylfaen"/>
          <w:lang w:val="ka-GE"/>
        </w:rPr>
        <w:t>გეომორფოლოგიური თვალსაზრისით შედის ამიერკავკასიის მთათაშუა არეში, აღმოსავლეთი დაძირვის მოლასური ზონა (მტკვრის მთათაშუა როფი), ალაზნის ზედნადები მოლასური ქვეზონა.  ნაოჭა კომპლექსი, ალპური, გვიანოროგენული (კოლიზიური), გვიანკოლიზიური (მეოთხეული) სუსტად დანაოჭებული. დანალექი ქანების გეოდინამიკური კომპლექსი, მოლასური უხეში.</w:t>
      </w:r>
    </w:p>
    <w:p w14:paraId="2E7FC05C" w14:textId="6093E454" w:rsidR="00436E12" w:rsidRPr="0000351B" w:rsidRDefault="00436E12" w:rsidP="00436E12">
      <w:pPr>
        <w:tabs>
          <w:tab w:val="left" w:pos="2520"/>
        </w:tabs>
        <w:spacing w:before="120" w:after="120"/>
        <w:rPr>
          <w:rFonts w:ascii="Sylfaen" w:hAnsi="Sylfaen"/>
          <w:lang w:val="en-US"/>
        </w:rPr>
      </w:pPr>
      <w:r w:rsidRPr="00436E12">
        <w:rPr>
          <w:rFonts w:ascii="Sylfaen" w:hAnsi="Sylfaen"/>
          <w:lang w:val="ka-GE"/>
        </w:rPr>
        <w:t xml:space="preserve">გეოლოგიურად აგებულია: </w:t>
      </w:r>
      <w:r w:rsidR="006D670E" w:rsidRPr="006D670E">
        <w:rPr>
          <w:u w:val="single"/>
          <w:lang w:val="ka-GE"/>
        </w:rPr>
        <w:t>N</w:t>
      </w:r>
      <w:r w:rsidR="006D670E" w:rsidRPr="006D670E">
        <w:rPr>
          <w:u w:val="single"/>
          <w:vertAlign w:val="subscript"/>
          <w:lang w:val="ka-GE"/>
        </w:rPr>
        <w:t>2</w:t>
      </w:r>
      <w:r w:rsidR="006D670E" w:rsidRPr="006D670E">
        <w:rPr>
          <w:u w:val="single"/>
          <w:lang w:val="ka-GE"/>
        </w:rPr>
        <w:t xml:space="preserve">ak-ap </w:t>
      </w:r>
      <w:r w:rsidRPr="00436E12">
        <w:rPr>
          <w:rFonts w:ascii="Sylfaen" w:hAnsi="Sylfaen"/>
          <w:lang w:val="ka-GE"/>
        </w:rPr>
        <w:t xml:space="preserve">აკჩაგილური და აფშერონული სართულით, კასპიის ზღვის პროვინციალ. კონგლომერატი და ზღვიური მოლასა: კონგლომერატები, ქვიშაქვები, თიხები, თიხნარები და ვულკანური ფერფლის შუაშრეები. ალუვიურ-პროლუვიური ნალექებით, ცარცული ასაკის კლდოვანი და ნახევრად კლდოვანი ნალექებით. </w:t>
      </w:r>
      <w:r w:rsidR="006D670E" w:rsidRPr="006D670E">
        <w:rPr>
          <w:u w:val="single"/>
          <w:lang w:val="ka-GE"/>
        </w:rPr>
        <w:t>K</w:t>
      </w:r>
      <w:r w:rsidR="006D670E" w:rsidRPr="006D670E">
        <w:rPr>
          <w:u w:val="single"/>
          <w:vertAlign w:val="subscript"/>
          <w:lang w:val="ka-GE"/>
        </w:rPr>
        <w:t>2</w:t>
      </w:r>
      <w:r w:rsidR="006D670E" w:rsidRPr="006D670E">
        <w:rPr>
          <w:u w:val="single"/>
          <w:lang w:val="ka-GE"/>
        </w:rPr>
        <w:t xml:space="preserve">km-m </w:t>
      </w:r>
      <w:r w:rsidRPr="00436E12">
        <w:rPr>
          <w:rFonts w:ascii="Sylfaen" w:hAnsi="Sylfaen"/>
          <w:lang w:val="ka-GE"/>
        </w:rPr>
        <w:t xml:space="preserve">კირქვები, მერგელოვანი და ქვიშიანი კირქვები, მერგელები, ზოგან დაციტური შემადგენლობის ტუფები და ტუფიტები. </w:t>
      </w:r>
      <w:r w:rsidR="006D670E" w:rsidRPr="006D670E">
        <w:rPr>
          <w:u w:val="single"/>
          <w:lang w:val="ka-GE"/>
        </w:rPr>
        <w:t>Q</w:t>
      </w:r>
      <w:r w:rsidRPr="00436E12">
        <w:rPr>
          <w:rFonts w:ascii="Sylfaen" w:hAnsi="Sylfaen"/>
          <w:lang w:val="ka-GE"/>
        </w:rPr>
        <w:t xml:space="preserve"> მეოთხეული სისტემის </w:t>
      </w:r>
      <w:r w:rsidR="006D670E" w:rsidRPr="000B5F83">
        <w:rPr>
          <w:u w:val="single"/>
          <w:lang w:val="ka-GE"/>
        </w:rPr>
        <w:t>ap</w:t>
      </w:r>
      <w:r w:rsidRPr="00436E12">
        <w:rPr>
          <w:rFonts w:ascii="Sylfaen" w:hAnsi="Sylfaen"/>
          <w:lang w:val="ka-GE"/>
        </w:rPr>
        <w:t xml:space="preserve"> გენეტური ტიპების ნალექები: რიყნარი, ლოდნარი, ხრეში, ქვიშაქვები, კონგლომერატები, თიხები და თიხნარები.</w:t>
      </w:r>
      <w:r w:rsidR="0000351B" w:rsidRPr="005E2832">
        <w:rPr>
          <w:rFonts w:ascii="Sylfaen" w:hAnsi="Sylfaen"/>
          <w:lang w:val="ka-GE"/>
        </w:rPr>
        <w:t xml:space="preserve"> </w:t>
      </w:r>
      <w:r w:rsidR="0000351B">
        <w:rPr>
          <w:rFonts w:ascii="Sylfaen" w:hAnsi="Sylfaen"/>
          <w:lang w:val="en-US"/>
        </w:rPr>
        <w:t>(</w:t>
      </w:r>
      <w:r w:rsidR="0000351B">
        <w:rPr>
          <w:rFonts w:ascii="Sylfaen" w:hAnsi="Sylfaen"/>
          <w:lang w:val="ka-GE"/>
        </w:rPr>
        <w:t>დანართი 6</w:t>
      </w:r>
      <w:r w:rsidR="0000351B">
        <w:rPr>
          <w:rFonts w:ascii="Sylfaen" w:hAnsi="Sylfaen"/>
          <w:lang w:val="en-US"/>
        </w:rPr>
        <w:t>)</w:t>
      </w:r>
    </w:p>
    <w:p w14:paraId="7A883892" w14:textId="40B5BC4E" w:rsidR="00436E12" w:rsidRDefault="00436E12" w:rsidP="00436E12">
      <w:pPr>
        <w:tabs>
          <w:tab w:val="left" w:pos="2520"/>
        </w:tabs>
        <w:spacing w:before="120" w:after="120"/>
        <w:rPr>
          <w:rFonts w:ascii="Sylfaen" w:hAnsi="Sylfaen"/>
          <w:lang w:val="ka-GE"/>
        </w:rPr>
      </w:pPr>
      <w:r w:rsidRPr="00436E12">
        <w:rPr>
          <w:rFonts w:ascii="Sylfaen" w:hAnsi="Sylfaen"/>
          <w:lang w:val="ka-GE"/>
        </w:rPr>
        <w:t xml:space="preserve">საქართველოს სეისმური საშიშროების რუკის მიხედვით, საკვლევი ტერიტორია ქ. თელავი (#1604), განლაგებულია 9 ბალიან სეისმურ ზონაში </w:t>
      </w:r>
      <w:r w:rsidR="006D670E" w:rsidRPr="000B5F83">
        <w:rPr>
          <w:u w:val="single"/>
          <w:lang w:val="ka-GE"/>
        </w:rPr>
        <w:t>MSK</w:t>
      </w:r>
      <w:r w:rsidRPr="00436E12">
        <w:rPr>
          <w:rFonts w:ascii="Sylfaen" w:hAnsi="Sylfaen"/>
          <w:lang w:val="ka-GE"/>
        </w:rPr>
        <w:t xml:space="preserve">64-სკალა), სეისმურობის უგანზომილებო კოეფიციენტი </w:t>
      </w:r>
      <w:r w:rsidR="006D670E" w:rsidRPr="000B5F83">
        <w:rPr>
          <w:u w:val="single"/>
          <w:lang w:val="ka-GE"/>
        </w:rPr>
        <w:t>A</w:t>
      </w:r>
      <w:r w:rsidRPr="00436E12">
        <w:rPr>
          <w:rFonts w:ascii="Sylfaen" w:hAnsi="Sylfaen"/>
          <w:lang w:val="ka-GE"/>
        </w:rPr>
        <w:t xml:space="preserve">=0.32. ჩუმლაყი (#1582), განლაგებულია 9 ბალიან სეისმურ ზონაში </w:t>
      </w:r>
      <w:r w:rsidR="0000351B">
        <w:rPr>
          <w:rFonts w:ascii="Sylfaen" w:hAnsi="Sylfaen"/>
          <w:lang w:val="ka-GE"/>
        </w:rPr>
        <w:t>(</w:t>
      </w:r>
      <w:r w:rsidR="006D670E" w:rsidRPr="000B5F83">
        <w:rPr>
          <w:u w:val="single"/>
          <w:lang w:val="ka-GE"/>
        </w:rPr>
        <w:t>MSK</w:t>
      </w:r>
      <w:r w:rsidRPr="00436E12">
        <w:rPr>
          <w:rFonts w:ascii="Sylfaen" w:hAnsi="Sylfaen"/>
          <w:lang w:val="ka-GE"/>
        </w:rPr>
        <w:t xml:space="preserve">64-სკალა), სეისმურობის უგანზომილებო კოეფიციენტი </w:t>
      </w:r>
      <w:r w:rsidR="006D670E" w:rsidRPr="000B5F83">
        <w:rPr>
          <w:u w:val="single"/>
          <w:lang w:val="ka-GE"/>
        </w:rPr>
        <w:t>A</w:t>
      </w:r>
      <w:r w:rsidRPr="00436E12">
        <w:rPr>
          <w:rFonts w:ascii="Sylfaen" w:hAnsi="Sylfaen"/>
          <w:lang w:val="ka-GE"/>
        </w:rPr>
        <w:t>=0.28 (სამშენებლო ნორმები და წესები - ,,სეისმომედეგი მშენებლობა” - პნ 01.01-09).</w:t>
      </w:r>
    </w:p>
    <w:p w14:paraId="77769B08" w14:textId="587E9F64" w:rsidR="002E0662" w:rsidRPr="00436E12" w:rsidRDefault="002E0662" w:rsidP="00436E12">
      <w:pPr>
        <w:tabs>
          <w:tab w:val="left" w:pos="2520"/>
        </w:tabs>
        <w:spacing w:before="120" w:after="120"/>
        <w:rPr>
          <w:rFonts w:ascii="Sylfaen" w:hAnsi="Sylfaen"/>
          <w:lang w:val="ka-GE"/>
        </w:rPr>
      </w:pPr>
      <w:r>
        <w:rPr>
          <w:noProof/>
          <w:lang w:val="en-US" w:eastAsia="en-US"/>
        </w:rPr>
        <w:drawing>
          <wp:inline distT="0" distB="0" distL="0" distR="0" wp14:anchorId="0CB5ABE7" wp14:editId="343C3508">
            <wp:extent cx="6457315" cy="3623094"/>
            <wp:effectExtent l="0" t="0" r="635" b="0"/>
            <wp:docPr id="263" name="Picture 263" descr="D:\my docs\Bakurtsikhe-tsnori\bakurcixe-wnori\ESIA reports\მეორე ეტაპისტის\Untitled.png"/>
            <wp:cNvGraphicFramePr/>
            <a:graphic xmlns:a="http://schemas.openxmlformats.org/drawingml/2006/main">
              <a:graphicData uri="http://schemas.openxmlformats.org/drawingml/2006/picture">
                <pic:pic xmlns:pic="http://schemas.openxmlformats.org/drawingml/2006/picture">
                  <pic:nvPicPr>
                    <pic:cNvPr id="41" name="Picture 41" descr="D:\my docs\Bakurtsikhe-tsnori\bakurcixe-wnori\ESIA reports\მეორე ეტაპისტის\Untitled.png"/>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6462682" cy="3626105"/>
                    </a:xfrm>
                    <a:prstGeom prst="rect">
                      <a:avLst/>
                    </a:prstGeom>
                    <a:noFill/>
                    <a:ln>
                      <a:noFill/>
                    </a:ln>
                  </pic:spPr>
                </pic:pic>
              </a:graphicData>
            </a:graphic>
          </wp:inline>
        </w:drawing>
      </w:r>
    </w:p>
    <w:p w14:paraId="7F8F0DBF" w14:textId="3E30ED28" w:rsidR="006D670E" w:rsidRPr="006D670E" w:rsidRDefault="006D670E" w:rsidP="006D670E">
      <w:pPr>
        <w:tabs>
          <w:tab w:val="left" w:pos="2520"/>
        </w:tabs>
        <w:spacing w:before="120" w:after="120"/>
        <w:rPr>
          <w:rFonts w:ascii="Sylfaen" w:hAnsi="Sylfaen"/>
          <w:lang w:val="ka-GE"/>
        </w:rPr>
      </w:pPr>
      <w:r w:rsidRPr="006D670E">
        <w:rPr>
          <w:rFonts w:ascii="Sylfaen" w:hAnsi="Sylfaen"/>
          <w:lang w:val="ka-GE"/>
        </w:rPr>
        <w:t xml:space="preserve">საავტომობილო </w:t>
      </w:r>
      <w:r>
        <w:rPr>
          <w:rFonts w:ascii="Sylfaen" w:hAnsi="Sylfaen"/>
          <w:lang w:val="ka-GE"/>
        </w:rPr>
        <w:t>გზის</w:t>
      </w:r>
      <w:r w:rsidRPr="006D670E">
        <w:rPr>
          <w:rFonts w:ascii="Sylfaen" w:hAnsi="Sylfaen"/>
          <w:lang w:val="ka-GE"/>
        </w:rPr>
        <w:t xml:space="preserve"> 30.0კმ მონაკვეთზე ,, </w:t>
      </w:r>
      <w:r w:rsidR="006D3BB5">
        <w:rPr>
          <w:rFonts w:ascii="Sylfaen" w:hAnsi="Sylfaen"/>
          <w:lang w:val="ka-GE"/>
        </w:rPr>
        <w:t>გურჯაანის (ჩუმლაყი)</w:t>
      </w:r>
      <w:r w:rsidR="006D3BB5" w:rsidRPr="00EA6DAA">
        <w:rPr>
          <w:rFonts w:ascii="Sylfaen" w:hAnsi="Sylfaen"/>
          <w:lang w:val="ka-GE"/>
        </w:rPr>
        <w:t>-</w:t>
      </w:r>
      <w:r w:rsidR="006D3BB5">
        <w:rPr>
          <w:rFonts w:ascii="Sylfaen" w:hAnsi="Sylfaen"/>
          <w:lang w:val="ka-GE"/>
        </w:rPr>
        <w:t xml:space="preserve">თელავის </w:t>
      </w:r>
      <w:r>
        <w:rPr>
          <w:rFonts w:ascii="Sylfaen" w:hAnsi="Sylfaen"/>
          <w:lang w:val="ka-GE"/>
        </w:rPr>
        <w:t>შემოვლითი</w:t>
      </w:r>
      <w:r w:rsidRPr="006D670E">
        <w:rPr>
          <w:rFonts w:ascii="Sylfaen" w:hAnsi="Sylfaen"/>
          <w:lang w:val="ka-GE"/>
        </w:rPr>
        <w:t xml:space="preserve"> გზის მონაკვეთის“-ს მიმართულებით გაბურულია 1</w:t>
      </w:r>
      <w:r w:rsidR="00960921">
        <w:rPr>
          <w:rFonts w:ascii="Sylfaen" w:hAnsi="Sylfaen"/>
          <w:lang w:val="ka-GE"/>
        </w:rPr>
        <w:t>3</w:t>
      </w:r>
      <w:r w:rsidRPr="006D670E">
        <w:rPr>
          <w:rFonts w:ascii="Sylfaen" w:hAnsi="Sylfaen"/>
          <w:lang w:val="ka-GE"/>
        </w:rPr>
        <w:t xml:space="preserve"> ჭაბურღილი </w:t>
      </w:r>
      <w:r w:rsidRPr="006D670E">
        <w:rPr>
          <w:rFonts w:cs="Arial"/>
          <w:lang w:val="ka-GE"/>
        </w:rPr>
        <w:t>(</w:t>
      </w:r>
      <w:r w:rsidRPr="000B5F83">
        <w:rPr>
          <w:lang w:val="ka-GE" w:eastAsia="en-US"/>
        </w:rPr>
        <w:t xml:space="preserve">Br </w:t>
      </w:r>
      <w:r w:rsidRPr="006D670E">
        <w:rPr>
          <w:rFonts w:ascii="Sylfaen" w:hAnsi="Sylfaen"/>
          <w:lang w:val="ka-GE"/>
        </w:rPr>
        <w:t>1-დან 1</w:t>
      </w:r>
      <w:r w:rsidR="006D7CB7">
        <w:rPr>
          <w:rFonts w:ascii="Sylfaen" w:hAnsi="Sylfaen"/>
          <w:lang w:val="ka-GE"/>
        </w:rPr>
        <w:t>4</w:t>
      </w:r>
      <w:r w:rsidRPr="006D670E">
        <w:rPr>
          <w:rFonts w:ascii="Sylfaen" w:hAnsi="Sylfaen"/>
          <w:lang w:val="ka-GE"/>
        </w:rPr>
        <w:t xml:space="preserve">-მდე) საპროექტო ხიდების მშენებლობისათვის და 7 ჭაბურღილი (შოილ 1, 2, 3, 4, 5, 6 და 7) გზის პროექტირებისათვის. </w:t>
      </w:r>
    </w:p>
    <w:p w14:paraId="2E0F4A21" w14:textId="471EDDE9" w:rsidR="006D670E" w:rsidRPr="006D670E" w:rsidRDefault="006D670E" w:rsidP="006D670E">
      <w:pPr>
        <w:tabs>
          <w:tab w:val="left" w:pos="2520"/>
        </w:tabs>
        <w:spacing w:before="120" w:after="120"/>
        <w:rPr>
          <w:rFonts w:ascii="Sylfaen" w:hAnsi="Sylfaen"/>
          <w:lang w:val="ka-GE"/>
        </w:rPr>
      </w:pPr>
      <w:r w:rsidRPr="006D670E">
        <w:rPr>
          <w:rFonts w:ascii="Sylfaen" w:hAnsi="Sylfaen"/>
          <w:lang w:val="ka-GE"/>
        </w:rPr>
        <w:t>გეოლოგიურად გზის გასწვრივ გამოკვლეული ტერიტორია აგებულია სამხრეთ, სამხრეთ-დასავლეთ და ჩრდილო-დასავლეთ პერიფერიებზე ცარცული და პლიოცენური ასაკის ნალექებით, რომლებიც ზემოდან გადაფარებულია ძირითადად ტექნოგენური (</w:t>
      </w:r>
      <w:r w:rsidRPr="000B5F83">
        <w:rPr>
          <w:lang w:val="ka-GE" w:eastAsia="en-US"/>
        </w:rPr>
        <w:t>tQIV</w:t>
      </w:r>
      <w:r w:rsidRPr="006D670E">
        <w:rPr>
          <w:rFonts w:ascii="Sylfaen" w:hAnsi="Sylfaen"/>
          <w:lang w:val="ka-GE"/>
        </w:rPr>
        <w:t>) და ელუვიურ-დელუვიური (</w:t>
      </w:r>
      <w:r w:rsidRPr="000B5F83">
        <w:rPr>
          <w:lang w:val="ka-GE" w:eastAsia="en-US"/>
        </w:rPr>
        <w:t>edQIV</w:t>
      </w:r>
      <w:r w:rsidRPr="006D670E">
        <w:rPr>
          <w:rFonts w:ascii="Sylfaen" w:hAnsi="Sylfaen"/>
          <w:lang w:val="ka-GE"/>
        </w:rPr>
        <w:t xml:space="preserve">) </w:t>
      </w:r>
      <w:r w:rsidRPr="006D670E">
        <w:rPr>
          <w:rFonts w:ascii="Sylfaen" w:hAnsi="Sylfaen"/>
          <w:lang w:val="ka-GE"/>
        </w:rPr>
        <w:lastRenderedPageBreak/>
        <w:t>ნალექებით, ხოლო აღმოსავლეთ და ჩრდილო-აღმოსავლეთ პერიფერიებზე – ალუვიურ-პროლუვიური (</w:t>
      </w:r>
      <w:r w:rsidR="000B5F83" w:rsidRPr="000B5F83">
        <w:rPr>
          <w:lang w:val="ka-GE" w:eastAsia="en-US"/>
        </w:rPr>
        <w:t>apQIV</w:t>
      </w:r>
      <w:r w:rsidRPr="006D670E">
        <w:rPr>
          <w:rFonts w:ascii="Sylfaen" w:hAnsi="Sylfaen"/>
          <w:lang w:val="ka-GE"/>
        </w:rPr>
        <w:t>) გენეზისის თანამედროვე ნალექებით.</w:t>
      </w:r>
    </w:p>
    <w:p w14:paraId="3CE18147" w14:textId="1BA1458C" w:rsidR="006D670E" w:rsidRPr="006D670E" w:rsidRDefault="006D670E" w:rsidP="006D670E">
      <w:pPr>
        <w:tabs>
          <w:tab w:val="left" w:pos="2520"/>
        </w:tabs>
        <w:spacing w:before="120" w:after="120"/>
        <w:rPr>
          <w:rFonts w:ascii="Sylfaen" w:hAnsi="Sylfaen"/>
          <w:lang w:val="ka-GE"/>
        </w:rPr>
      </w:pPr>
      <w:r w:rsidRPr="006D670E">
        <w:rPr>
          <w:rFonts w:ascii="Sylfaen" w:hAnsi="Sylfaen"/>
          <w:lang w:val="ka-GE"/>
        </w:rPr>
        <w:t>სახიდე გადასასვლელის შესასწავლად გაყვანილი ჭაბურღილები წარმოდგენილია მეოთხეული წარმოშობის სხვადასხვა კონსისტენციის თიხნაროვანი და კენჭნაროვანი გრუნტებით. კერძოდ: ნიადაგის ფენით, საგზაო სამოსის ფენებით, წარმოდგენილი წვრილი და საშუალო ზომის კენჭნარით, ხრეშის ჩანართებით, საშუალო და მსხვილმარცვლოვანი ქვიშის შემავსებლით 20-30%-მდე; მყარი თიხნარით, მუქი ყავისფერი, თიხაქვიშის და ქვიშის შუაშრეებით; ნახევრად მყარი თიხნარით, ყავისფერი, წვრილი ზომის კენჭის ჩანართებით 20-30%-მდე, თიხაქვიშის და ქვიშის ლინზებით; ძნელპლასტიკური თიხნარით, მოყვითალო-ყავისფერი, ხრეშის და კენჭის 10-20% ჩანართებით, თიხაქვიშის  - ქვიშის ლინზებით და შუაშრეებით; რბილპლასტიკური თიხნარით, მოწითალო-ყავისფერი, ხრეშის და კენჭის 15-20% ჩანართებით, თიხაქვიშის  - ქვიშის ლინზებით და შუაშრეებით; მყარი თიხებით, ყავისფერი, მარილების ჩანაწინწკლებით და ბუდობებით, ხრეშის 10-15%-მდე ჩანართებით, ქვიშის შუაშრეებით; პლასტიკური თიხაქვიშებით, ყავისფერი, ხრეშის და კენჭის 20-25%-მდე ჩანართებით, თიხის და თიხნარის შუაშრეებით, იშვიათად კაჭარის გამოვლინებებით; კენჭნაროვანი გრუნტით, საშუალო და წვრილი ზომის, ხრეშის ჩანართებით, ყავისფერი-მონაცრისფრო, საშუალო და მსხვილმარცვლოვანი ქვიშის შემავსებლით 20-25%-მდე, თიხაქვიშის და თიხნარის თხელი და საშუალო ზომის ლინზებით. ასევე ხრეშოვანი გრუნტით, სხვადასხვა მარცვლოვანი, კენჭის 10-15%-მდე ჩანართებით, თიხის და თიხაქვიშის შემავსებელით, ქვიშის შუაშრეებით. გაბურღულ #</w:t>
      </w:r>
      <w:r w:rsidR="000B5F83" w:rsidRPr="000B5F83">
        <w:rPr>
          <w:lang w:val="ka-GE" w:eastAsia="en-US"/>
        </w:rPr>
        <w:t>Br</w:t>
      </w:r>
      <w:r w:rsidRPr="006D670E">
        <w:rPr>
          <w:rFonts w:ascii="Sylfaen" w:hAnsi="Sylfaen"/>
          <w:lang w:val="ka-GE"/>
        </w:rPr>
        <w:t xml:space="preserve">-11 ჭაბურღილში წყალის გამოვლენა დაფიქსირდა 5.8 მ ინტერვალში, ხოლო დამყარება 5.3მ ინტერვალში.  </w:t>
      </w:r>
    </w:p>
    <w:p w14:paraId="7536A529" w14:textId="02F0EB97" w:rsidR="006D670E" w:rsidRPr="006D670E" w:rsidRDefault="006D670E" w:rsidP="006D670E">
      <w:pPr>
        <w:tabs>
          <w:tab w:val="left" w:pos="2520"/>
        </w:tabs>
        <w:spacing w:before="120" w:after="120"/>
        <w:rPr>
          <w:rFonts w:ascii="Sylfaen" w:hAnsi="Sylfaen"/>
          <w:lang w:val="ka-GE"/>
        </w:rPr>
      </w:pPr>
      <w:r w:rsidRPr="006D670E">
        <w:rPr>
          <w:rFonts w:ascii="Sylfaen" w:hAnsi="Sylfaen"/>
          <w:lang w:val="ka-GE"/>
        </w:rPr>
        <w:t>ტრასის სამშენებლო მოედანის შესასწავლად გაყვანილია 7</w:t>
      </w:r>
      <w:r w:rsidR="000B5F83" w:rsidRPr="000B5F83">
        <w:rPr>
          <w:rFonts w:ascii="Sylfaen" w:hAnsi="Sylfaen"/>
          <w:lang w:val="ka-GE"/>
        </w:rPr>
        <w:t xml:space="preserve"> </w:t>
      </w:r>
      <w:r w:rsidRPr="006D670E">
        <w:rPr>
          <w:rFonts w:ascii="Sylfaen" w:hAnsi="Sylfaen"/>
          <w:lang w:val="ka-GE"/>
        </w:rPr>
        <w:t>ჭაბურღილი: შოილ 1, 2, 3, 4, 5, 6 და 7. ჭაბურღილები წარმოდგენილია ტექნოგენური გრუნტით, მეოთხეული წარმოშობის სხვადასხვა კონსისტენციის თიხნაროვანი და კენჭნაროვანი გრუნტები. კერძოდ: ტექნოგენური გრუნტით - თიხაქვიშით, ყავისფერი, მყარი; ღორღის და კენჭის 10-15%-მდე ჩანართებით, ქვიშის ლინზებით, მცენარეული ფესვების შემცველობით; წარმოდგენილია ასევე ნახევრად მყარი თიხნარი, ყავისფერი, წვრილი ზომის კენჭის ჩანართებით 20-30%-მდე, თიხაქვიშის და ქვიშის ლინზებით; რბილპლასტიკური თიხნარით, მოწითალო-ყავისფერი, ხრეშის და კენჭის 15-20% ჩანართებით, თიხაქვიშის - ქვიშის ლინზებით და შუაშრეებით; მყარი თიხით, ყავისფერი, მარილების ჩანაწინწკლებით და ბუდობებით, ხრეშის 10-15%-მდე ჩანართებით, ქვიშის შუაშრეებით; კენჭნაროვანი გრუნტით, საშუალო და წვრილი ზომის, ხრეშის ჩანართებით, ყავისფერი-მონაცრისფრო, საშუალო და მსხვილმარცვლოვანი ქვიშის შემავსებლით 20-25%-მდე, თიხაქვიშის და თიხნარის თხელი და საშუალო ზომის ლინზებით. ასევე ხრეშოვანი გრუნტით, სხვადასხვა მარცვლოვანი, კენჭის 10-15%-მდე ჩანართებით, თიხის და თიხაქვიშის შემავსებელით, ქვიშის შუაშრეებით.</w:t>
      </w:r>
    </w:p>
    <w:p w14:paraId="4C6B1A98" w14:textId="77777777" w:rsidR="006D670E" w:rsidRPr="006D670E" w:rsidRDefault="006D670E" w:rsidP="006D670E">
      <w:pPr>
        <w:tabs>
          <w:tab w:val="left" w:pos="2520"/>
        </w:tabs>
        <w:spacing w:before="120" w:after="120"/>
        <w:rPr>
          <w:rFonts w:ascii="Sylfaen" w:hAnsi="Sylfaen"/>
          <w:lang w:val="ka-GE"/>
        </w:rPr>
      </w:pPr>
      <w:r w:rsidRPr="006D670E">
        <w:rPr>
          <w:rFonts w:ascii="Sylfaen" w:hAnsi="Sylfaen"/>
          <w:lang w:val="ka-GE"/>
        </w:rPr>
        <w:t>გაბურღულ ჭაბურღილებში წყალის გამოვლენა არ დაფიქსირდა.</w:t>
      </w:r>
    </w:p>
    <w:p w14:paraId="37640CD0" w14:textId="7B904F55" w:rsidR="006D670E" w:rsidRPr="006D670E" w:rsidRDefault="006D670E" w:rsidP="006D670E">
      <w:pPr>
        <w:tabs>
          <w:tab w:val="left" w:pos="2520"/>
        </w:tabs>
        <w:spacing w:before="120" w:after="120"/>
        <w:rPr>
          <w:rFonts w:ascii="Sylfaen" w:hAnsi="Sylfaen"/>
          <w:lang w:val="ka-GE"/>
        </w:rPr>
      </w:pPr>
      <w:r w:rsidRPr="006D670E">
        <w:rPr>
          <w:rFonts w:ascii="Sylfaen" w:hAnsi="Sylfaen"/>
          <w:lang w:val="ka-GE"/>
        </w:rPr>
        <w:t xml:space="preserve">გაბურღულ ჭაბურღილებში (ტექნიკური დავალების შესაბამისად) ჩატარდა სტანდარტული პენეტრაციის </w:t>
      </w:r>
      <w:r w:rsidR="000B5F83" w:rsidRPr="000B5F83">
        <w:rPr>
          <w:lang w:val="ka-GE"/>
        </w:rPr>
        <w:t>SPT(C)</w:t>
      </w:r>
      <w:r w:rsidR="000B5F83" w:rsidRPr="000B5F83">
        <w:rPr>
          <w:rFonts w:ascii="AcadNusx" w:hAnsi="AcadNusx"/>
          <w:lang w:val="ka-GE"/>
        </w:rPr>
        <w:t>-</w:t>
      </w:r>
      <w:r w:rsidRPr="006D670E">
        <w:rPr>
          <w:rFonts w:ascii="Sylfaen" w:hAnsi="Sylfaen"/>
          <w:lang w:val="ka-GE"/>
        </w:rPr>
        <w:t xml:space="preserve">ს ცდები, სულ 30 ცდა. </w:t>
      </w:r>
      <w:r w:rsidR="000B5F83" w:rsidRPr="000B5F83">
        <w:rPr>
          <w:lang w:val="ka-GE"/>
        </w:rPr>
        <w:t>SPT(C)</w:t>
      </w:r>
      <w:r w:rsidRPr="006D670E">
        <w:rPr>
          <w:rFonts w:ascii="Sylfaen" w:hAnsi="Sylfaen"/>
          <w:lang w:val="ka-GE"/>
        </w:rPr>
        <w:t>-ს ჩატარებისას გამოყენებულია საშუალო სიმძიმის ჩაქუჩი რომლის წონა 60კგ-ს შეადგენს, ხოლო ვარდნის სიმაღლე 800მმ. გამოყენებული კონუსის მაქსიმალური დიამეტრი 74მმ-ია, წონა 1კგ, წვეროს კუთხე 600-ია.</w:t>
      </w:r>
    </w:p>
    <w:p w14:paraId="144C6826" w14:textId="6AF9D0E5" w:rsidR="006D670E" w:rsidRPr="006D670E" w:rsidRDefault="006D670E" w:rsidP="006D670E">
      <w:pPr>
        <w:tabs>
          <w:tab w:val="left" w:pos="2520"/>
        </w:tabs>
        <w:spacing w:before="120" w:after="120"/>
        <w:rPr>
          <w:rFonts w:ascii="Sylfaen" w:hAnsi="Sylfaen"/>
          <w:lang w:val="ka-GE"/>
        </w:rPr>
      </w:pPr>
      <w:r w:rsidRPr="006D670E">
        <w:rPr>
          <w:rFonts w:ascii="Sylfaen" w:hAnsi="Sylfaen"/>
          <w:lang w:val="ka-GE"/>
        </w:rPr>
        <w:t xml:space="preserve">ცდის შედეგები მოცემულია ჭაბურღილების ჭრილებზე. ჩატარებული </w:t>
      </w:r>
      <w:r w:rsidR="000B5F83" w:rsidRPr="000B5F83">
        <w:rPr>
          <w:rFonts w:ascii="Sylfaen" w:hAnsi="Sylfaen"/>
          <w:lang w:val="ka-GE"/>
        </w:rPr>
        <w:t>SPT</w:t>
      </w:r>
      <w:r w:rsidRPr="006D670E">
        <w:rPr>
          <w:rFonts w:ascii="Sylfaen" w:hAnsi="Sylfaen"/>
          <w:lang w:val="ka-GE"/>
        </w:rPr>
        <w:t>(</w:t>
      </w:r>
      <w:r w:rsidR="000B5F83" w:rsidRPr="000B5F83">
        <w:rPr>
          <w:rFonts w:ascii="Sylfaen" w:hAnsi="Sylfaen"/>
          <w:lang w:val="ka-GE"/>
        </w:rPr>
        <w:t>C</w:t>
      </w:r>
      <w:r w:rsidRPr="006D670E">
        <w:rPr>
          <w:rFonts w:ascii="Sylfaen" w:hAnsi="Sylfaen"/>
          <w:lang w:val="ka-GE"/>
        </w:rPr>
        <w:t xml:space="preserve">)-ს შედეგები ინტერვალების მიხედვით, მოცემული რიცხვები შეესაბამება კონუსის ჩაღრმავების </w:t>
      </w:r>
      <w:r w:rsidR="000B5F83" w:rsidRPr="000B5F83">
        <w:rPr>
          <w:rFonts w:ascii="Sylfaen" w:hAnsi="Sylfaen"/>
          <w:lang w:val="ka-GE"/>
        </w:rPr>
        <w:t>A</w:t>
      </w:r>
      <w:r w:rsidRPr="006D670E">
        <w:rPr>
          <w:rFonts w:ascii="Sylfaen" w:hAnsi="Sylfaen"/>
          <w:lang w:val="ka-GE"/>
        </w:rPr>
        <w:t xml:space="preserve">, </w:t>
      </w:r>
      <w:r w:rsidR="000B5F83" w:rsidRPr="000B5F83">
        <w:rPr>
          <w:rFonts w:ascii="Sylfaen" w:hAnsi="Sylfaen"/>
          <w:lang w:val="ka-GE"/>
        </w:rPr>
        <w:t>B</w:t>
      </w:r>
      <w:r w:rsidRPr="006D670E">
        <w:rPr>
          <w:rFonts w:ascii="Sylfaen" w:hAnsi="Sylfaen"/>
          <w:lang w:val="ka-GE"/>
        </w:rPr>
        <w:t xml:space="preserve">, </w:t>
      </w:r>
      <w:r w:rsidR="000B5F83" w:rsidRPr="000B5F83">
        <w:rPr>
          <w:rFonts w:ascii="Sylfaen" w:hAnsi="Sylfaen"/>
          <w:lang w:val="ka-GE"/>
        </w:rPr>
        <w:t>C</w:t>
      </w:r>
      <w:r w:rsidRPr="006D670E">
        <w:rPr>
          <w:rFonts w:ascii="Sylfaen" w:hAnsi="Sylfaen"/>
          <w:lang w:val="ka-GE"/>
        </w:rPr>
        <w:t xml:space="preserve"> და</w:t>
      </w:r>
      <w:r w:rsidR="000B5F83" w:rsidRPr="000B5F83">
        <w:rPr>
          <w:rFonts w:ascii="Sylfaen" w:hAnsi="Sylfaen"/>
          <w:lang w:val="ka-GE"/>
        </w:rPr>
        <w:t xml:space="preserve"> B</w:t>
      </w:r>
      <w:r w:rsidRPr="006D670E">
        <w:rPr>
          <w:rFonts w:ascii="Sylfaen" w:hAnsi="Sylfaen"/>
          <w:lang w:val="ka-GE"/>
        </w:rPr>
        <w:t>+</w:t>
      </w:r>
      <w:r w:rsidR="000B5F83" w:rsidRPr="000B5F83">
        <w:rPr>
          <w:rFonts w:ascii="Sylfaen" w:hAnsi="Sylfaen"/>
          <w:lang w:val="ka-GE"/>
        </w:rPr>
        <w:t>C</w:t>
      </w:r>
      <w:r w:rsidRPr="006D670E">
        <w:rPr>
          <w:rFonts w:ascii="Sylfaen" w:hAnsi="Sylfaen"/>
          <w:lang w:val="ka-GE"/>
        </w:rPr>
        <w:t xml:space="preserve"> ინტერვალებს, </w:t>
      </w:r>
      <w:r w:rsidR="000B5F83" w:rsidRPr="000B5F83">
        <w:rPr>
          <w:rFonts w:ascii="Sylfaen" w:hAnsi="Sylfaen"/>
          <w:lang w:val="ka-GE"/>
        </w:rPr>
        <w:t>B</w:t>
      </w:r>
      <w:r w:rsidRPr="006D670E">
        <w:rPr>
          <w:rFonts w:ascii="Sylfaen" w:hAnsi="Sylfaen"/>
          <w:lang w:val="ka-GE"/>
        </w:rPr>
        <w:t>+</w:t>
      </w:r>
      <w:r w:rsidR="000B5F83" w:rsidRPr="000B5F83">
        <w:rPr>
          <w:rFonts w:ascii="Sylfaen" w:hAnsi="Sylfaen"/>
          <w:lang w:val="ka-GE"/>
        </w:rPr>
        <w:t>C</w:t>
      </w:r>
      <w:r w:rsidRPr="006D670E">
        <w:rPr>
          <w:rFonts w:ascii="Sylfaen" w:hAnsi="Sylfaen"/>
          <w:lang w:val="ka-GE"/>
        </w:rPr>
        <w:t xml:space="preserve"> ინტერვალის სიგრძე 30სმ-ის ტოლია.</w:t>
      </w:r>
    </w:p>
    <w:p w14:paraId="52443273" w14:textId="77777777" w:rsidR="006D670E" w:rsidRPr="006D670E" w:rsidRDefault="006D670E" w:rsidP="006D670E">
      <w:pPr>
        <w:tabs>
          <w:tab w:val="left" w:pos="2520"/>
        </w:tabs>
        <w:spacing w:before="120" w:after="120"/>
        <w:rPr>
          <w:rFonts w:ascii="Sylfaen" w:hAnsi="Sylfaen"/>
          <w:lang w:val="ka-GE"/>
        </w:rPr>
      </w:pPr>
      <w:r w:rsidRPr="006D670E">
        <w:rPr>
          <w:rFonts w:ascii="Sylfaen" w:hAnsi="Sylfaen"/>
          <w:lang w:val="ka-GE"/>
        </w:rPr>
        <w:t xml:space="preserve">ჭაბურღილებში ჩატარებულია სტანდარტული პენეტრაციის ცდები, როგორც მეოთხეული ასაკის: თიხა-თიხნარებში (სგე 3, 6 და 8), თიხაქვიშებში (სგე 9) და კენჭნარ-ხრეშოვანი გრუნტში (სგე 5, 10). ჩატარებული ცდები საშუალებას გვაძლევს შევაფასოთ ჭრილში წარმოდგენილი გრუნტების სიმკვრივეები ურთიერთ მიმართებაში. ქვემოთ ცხრილში 4.1 მოცემულია სტანდარტული პენეტრაციის </w:t>
      </w:r>
      <w:r w:rsidRPr="006D670E">
        <w:rPr>
          <w:rFonts w:ascii="Sylfaen" w:hAnsi="Sylfaen"/>
          <w:lang w:val="ka-GE"/>
        </w:rPr>
        <w:lastRenderedPageBreak/>
        <w:t>ცდების შედეგები და მათი გასაშუალოებული მნიშვნელობები თითოეული გამოყოფილი საინჟინრო გეოლოგიური ელემენტებისათვის.</w:t>
      </w:r>
    </w:p>
    <w:p w14:paraId="56EF2A41" w14:textId="5F568C67" w:rsidR="00436E12" w:rsidRDefault="006D670E" w:rsidP="006D670E">
      <w:pPr>
        <w:tabs>
          <w:tab w:val="left" w:pos="2520"/>
        </w:tabs>
        <w:spacing w:before="120" w:after="120"/>
        <w:rPr>
          <w:rFonts w:ascii="Sylfaen" w:hAnsi="Sylfaen"/>
          <w:lang w:val="ka-GE"/>
        </w:rPr>
      </w:pPr>
      <w:r w:rsidRPr="006D670E">
        <w:rPr>
          <w:rFonts w:ascii="Sylfaen" w:hAnsi="Sylfaen"/>
          <w:lang w:val="ka-GE"/>
        </w:rPr>
        <w:t xml:space="preserve">როგორც ცხრილიდან ჩანს, სგე 3 თიხნარებისათვის </w:t>
      </w:r>
      <w:r w:rsidR="007F1830" w:rsidRPr="007F1830">
        <w:rPr>
          <w:rFonts w:ascii="Sylfaen" w:hAnsi="Sylfaen"/>
          <w:lang w:val="ka-GE"/>
        </w:rPr>
        <w:t>B</w:t>
      </w:r>
      <w:r w:rsidRPr="006D670E">
        <w:rPr>
          <w:rFonts w:ascii="Sylfaen" w:hAnsi="Sylfaen"/>
          <w:lang w:val="ka-GE"/>
        </w:rPr>
        <w:t>+</w:t>
      </w:r>
      <w:r w:rsidR="007F1830" w:rsidRPr="007F1830">
        <w:rPr>
          <w:rFonts w:ascii="Sylfaen" w:hAnsi="Sylfaen"/>
          <w:lang w:val="ka-GE"/>
        </w:rPr>
        <w:t>C</w:t>
      </w:r>
      <w:r w:rsidRPr="006D670E">
        <w:rPr>
          <w:rFonts w:ascii="Sylfaen" w:hAnsi="Sylfaen"/>
          <w:lang w:val="ka-GE"/>
        </w:rPr>
        <w:t>=</w:t>
      </w:r>
      <w:r w:rsidR="007F1830" w:rsidRPr="007F1830">
        <w:rPr>
          <w:rFonts w:ascii="Sylfaen" w:hAnsi="Sylfaen"/>
          <w:lang w:val="ka-GE"/>
        </w:rPr>
        <w:t>N</w:t>
      </w:r>
      <w:r w:rsidRPr="006D670E">
        <w:rPr>
          <w:rFonts w:ascii="Sylfaen" w:hAnsi="Sylfaen"/>
          <w:lang w:val="ka-GE"/>
        </w:rPr>
        <w:t xml:space="preserve"> მაჩვენებელი საშუალოდ 44-ის ტოლია, რაც მიუთითებს, რომ მიეკუთვნება მყარი კონსისტენციის გრუნტს. სგე 6 თიხნარებისათვის ბ+ჩ=ნ მაჩვენებელი საშუალოდ 18-ის ტოლია, რაც მიუთითებს, რომ მიეკუთვნება ძნელპლასტიკური კონსისტენციის გრუნტს. სგე 8 თიხებისათვის </w:t>
      </w:r>
      <w:r w:rsidR="007F1830" w:rsidRPr="007F1830">
        <w:rPr>
          <w:rFonts w:ascii="Sylfaen" w:hAnsi="Sylfaen"/>
          <w:lang w:val="ka-GE"/>
        </w:rPr>
        <w:t>B</w:t>
      </w:r>
      <w:r w:rsidR="007F1830" w:rsidRPr="006D670E">
        <w:rPr>
          <w:rFonts w:ascii="Sylfaen" w:hAnsi="Sylfaen"/>
          <w:lang w:val="ka-GE"/>
        </w:rPr>
        <w:t>+</w:t>
      </w:r>
      <w:r w:rsidR="007F1830" w:rsidRPr="007F1830">
        <w:rPr>
          <w:rFonts w:ascii="Sylfaen" w:hAnsi="Sylfaen"/>
          <w:lang w:val="ka-GE"/>
        </w:rPr>
        <w:t>C</w:t>
      </w:r>
      <w:r w:rsidR="007F1830" w:rsidRPr="006D670E">
        <w:rPr>
          <w:rFonts w:ascii="Sylfaen" w:hAnsi="Sylfaen"/>
          <w:lang w:val="ka-GE"/>
        </w:rPr>
        <w:t>=</w:t>
      </w:r>
      <w:r w:rsidR="007F1830" w:rsidRPr="007F1830">
        <w:rPr>
          <w:rFonts w:ascii="Sylfaen" w:hAnsi="Sylfaen"/>
          <w:lang w:val="ka-GE"/>
        </w:rPr>
        <w:t>N</w:t>
      </w:r>
      <w:r w:rsidR="007F1830" w:rsidRPr="006D670E">
        <w:rPr>
          <w:rFonts w:ascii="Sylfaen" w:hAnsi="Sylfaen"/>
          <w:lang w:val="ka-GE"/>
        </w:rPr>
        <w:t xml:space="preserve"> </w:t>
      </w:r>
      <w:r w:rsidRPr="006D670E">
        <w:rPr>
          <w:rFonts w:ascii="Sylfaen" w:hAnsi="Sylfaen"/>
          <w:lang w:val="ka-GE"/>
        </w:rPr>
        <w:t xml:space="preserve">მაჩვენებელი საშუალოდ 44-ის ტოლია, რაც მიუთითებს, რომ მიეკუთვნება მყარი კონსისტენციის გრუნტს. სგე 9 თიხაქვიშებისათვის ბ+ჩ=ნ მაჩვენებელი საშუალოდ 27-ის ტოლია, რაც მიუთითებს, რომ მიეკუთვნება პლასტიკური კონსისტენციის გრუნტს. სგე 5 კენჭნაროვანი გრუნტებისათვის </w:t>
      </w:r>
      <w:r w:rsidR="007F1830" w:rsidRPr="007F1830">
        <w:rPr>
          <w:rFonts w:ascii="Sylfaen" w:hAnsi="Sylfaen"/>
          <w:lang w:val="ka-GE"/>
        </w:rPr>
        <w:t>B</w:t>
      </w:r>
      <w:r w:rsidR="007F1830" w:rsidRPr="006D670E">
        <w:rPr>
          <w:rFonts w:ascii="Sylfaen" w:hAnsi="Sylfaen"/>
          <w:lang w:val="ka-GE"/>
        </w:rPr>
        <w:t>+</w:t>
      </w:r>
      <w:r w:rsidR="007F1830" w:rsidRPr="007F1830">
        <w:rPr>
          <w:rFonts w:ascii="Sylfaen" w:hAnsi="Sylfaen"/>
          <w:lang w:val="ka-GE"/>
        </w:rPr>
        <w:t>C</w:t>
      </w:r>
      <w:r w:rsidR="007F1830" w:rsidRPr="006D670E">
        <w:rPr>
          <w:rFonts w:ascii="Sylfaen" w:hAnsi="Sylfaen"/>
          <w:lang w:val="ka-GE"/>
        </w:rPr>
        <w:t>=</w:t>
      </w:r>
      <w:r w:rsidR="007F1830" w:rsidRPr="007F1830">
        <w:rPr>
          <w:rFonts w:ascii="Sylfaen" w:hAnsi="Sylfaen"/>
          <w:lang w:val="ka-GE"/>
        </w:rPr>
        <w:t>N</w:t>
      </w:r>
      <w:r w:rsidRPr="006D670E">
        <w:rPr>
          <w:rFonts w:ascii="Sylfaen" w:hAnsi="Sylfaen"/>
          <w:lang w:val="ka-GE"/>
        </w:rPr>
        <w:t xml:space="preserve"> მაჩვენებელი საშუალოდ &gt;50-ის ტოლია, რაც მიუთითებს, რომ მიეკუთვნება ძლიერ მკვრივ გრუნტებს. სგე 10 ხრეშოვანი გრუნტებისათვის </w:t>
      </w:r>
      <w:r w:rsidR="007F1830" w:rsidRPr="007F1830">
        <w:rPr>
          <w:rFonts w:ascii="Sylfaen" w:hAnsi="Sylfaen"/>
          <w:lang w:val="ka-GE"/>
        </w:rPr>
        <w:t>B</w:t>
      </w:r>
      <w:r w:rsidR="007F1830" w:rsidRPr="006D670E">
        <w:rPr>
          <w:rFonts w:ascii="Sylfaen" w:hAnsi="Sylfaen"/>
          <w:lang w:val="ka-GE"/>
        </w:rPr>
        <w:t>+</w:t>
      </w:r>
      <w:r w:rsidR="007F1830" w:rsidRPr="007F1830">
        <w:rPr>
          <w:rFonts w:ascii="Sylfaen" w:hAnsi="Sylfaen"/>
          <w:lang w:val="ka-GE"/>
        </w:rPr>
        <w:t>C</w:t>
      </w:r>
      <w:r w:rsidR="007F1830" w:rsidRPr="006D670E">
        <w:rPr>
          <w:rFonts w:ascii="Sylfaen" w:hAnsi="Sylfaen"/>
          <w:lang w:val="ka-GE"/>
        </w:rPr>
        <w:t>=</w:t>
      </w:r>
      <w:r w:rsidR="007F1830" w:rsidRPr="007F1830">
        <w:rPr>
          <w:rFonts w:ascii="Sylfaen" w:hAnsi="Sylfaen"/>
          <w:lang w:val="ka-GE"/>
        </w:rPr>
        <w:t>N</w:t>
      </w:r>
      <w:r w:rsidRPr="006D670E">
        <w:rPr>
          <w:rFonts w:ascii="Sylfaen" w:hAnsi="Sylfaen"/>
          <w:lang w:val="ka-GE"/>
        </w:rPr>
        <w:t xml:space="preserve"> მაჩვენებელი საშუალოდ &gt;50-ის ტოლია, რაც მიუთითებს, რომ მიეკუთვნება ძლიერ მკვრივ გრუნტებს.</w:t>
      </w:r>
    </w:p>
    <w:p w14:paraId="1655258F" w14:textId="672FE4C1" w:rsidR="007F1830" w:rsidRPr="007F1830" w:rsidRDefault="007F1830" w:rsidP="006D670E">
      <w:pPr>
        <w:tabs>
          <w:tab w:val="left" w:pos="2520"/>
        </w:tabs>
        <w:spacing w:before="120" w:after="120"/>
        <w:rPr>
          <w:rFonts w:ascii="Sylfaen" w:hAnsi="Sylfaen"/>
          <w:lang w:val="ka-GE"/>
        </w:rPr>
      </w:pPr>
      <w:r>
        <w:rPr>
          <w:rFonts w:ascii="Sylfaen" w:hAnsi="Sylfaen"/>
          <w:lang w:val="ka-GE"/>
        </w:rPr>
        <w:t>ცხრილი 6.2-1</w:t>
      </w:r>
    </w:p>
    <w:tbl>
      <w:tblPr>
        <w:tblW w:w="9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080"/>
        <w:gridCol w:w="1400"/>
        <w:gridCol w:w="1180"/>
        <w:gridCol w:w="1180"/>
        <w:gridCol w:w="1240"/>
        <w:gridCol w:w="1240"/>
        <w:gridCol w:w="1400"/>
      </w:tblGrid>
      <w:tr w:rsidR="007F1830" w14:paraId="36215CF8" w14:textId="77777777" w:rsidTr="007F1830">
        <w:trPr>
          <w:trHeight w:val="46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02EE3D0D" w14:textId="77777777" w:rsidR="007F1830" w:rsidRDefault="007F1830">
            <w:pPr>
              <w:jc w:val="center"/>
              <w:rPr>
                <w:rFonts w:ascii="Calibri" w:hAnsi="Calibri" w:cs="Calibri"/>
                <w:color w:val="000000"/>
                <w:szCs w:val="22"/>
                <w:lang w:val="en-US" w:eastAsia="en-US"/>
              </w:rPr>
            </w:pPr>
            <w:r>
              <w:rPr>
                <w:rFonts w:ascii="Calibri" w:hAnsi="Calibri" w:cs="Calibri"/>
                <w:color w:val="000000"/>
                <w:szCs w:val="22"/>
              </w:rPr>
              <w:t>#</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08A8E053" w14:textId="77777777" w:rsidR="007F1830" w:rsidRDefault="007F1830">
            <w:pPr>
              <w:jc w:val="center"/>
              <w:rPr>
                <w:rFonts w:ascii="AcadNusx" w:hAnsi="AcadNusx" w:cs="Calibri"/>
                <w:b/>
                <w:bCs/>
                <w:color w:val="000000"/>
                <w:szCs w:val="22"/>
                <w:lang w:val="ru-RU" w:eastAsia="ru-RU"/>
              </w:rPr>
            </w:pPr>
            <w:r>
              <w:rPr>
                <w:rFonts w:ascii="AcadNusx" w:hAnsi="AcadNusx" w:cs="Calibri"/>
                <w:b/>
                <w:bCs/>
                <w:color w:val="000000"/>
                <w:szCs w:val="22"/>
              </w:rPr>
              <w:t>Wab #</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51B27BA6" w14:textId="77777777" w:rsidR="007F1830" w:rsidRDefault="007F1830">
            <w:pPr>
              <w:jc w:val="center"/>
              <w:rPr>
                <w:rFonts w:ascii="AcadNusx" w:hAnsi="AcadNusx" w:cs="Calibri"/>
                <w:b/>
                <w:bCs/>
                <w:color w:val="000000"/>
                <w:szCs w:val="22"/>
              </w:rPr>
            </w:pPr>
            <w:r>
              <w:rPr>
                <w:rFonts w:ascii="AcadNusx" w:hAnsi="AcadNusx" w:cs="Calibri"/>
                <w:b/>
                <w:bCs/>
                <w:color w:val="000000"/>
                <w:szCs w:val="22"/>
              </w:rPr>
              <w:t>siRrme</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473E7DED" w14:textId="77777777" w:rsidR="007F1830" w:rsidRDefault="007F1830">
            <w:pPr>
              <w:jc w:val="center"/>
              <w:rPr>
                <w:rFonts w:ascii="AcadNusx" w:hAnsi="AcadNusx" w:cs="Calibri"/>
                <w:b/>
                <w:bCs/>
                <w:color w:val="000000"/>
                <w:szCs w:val="22"/>
              </w:rPr>
            </w:pPr>
            <w:r>
              <w:rPr>
                <w:rFonts w:ascii="AcadNusx" w:hAnsi="AcadNusx" w:cs="Calibri"/>
                <w:b/>
                <w:bCs/>
                <w:color w:val="000000"/>
                <w:szCs w:val="22"/>
              </w:rPr>
              <w:t>sge</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4371D240" w14:textId="77777777" w:rsidR="007F1830" w:rsidRDefault="007F1830">
            <w:pPr>
              <w:jc w:val="center"/>
              <w:rPr>
                <w:rFonts w:ascii="Calibri" w:hAnsi="Calibri" w:cs="Calibri"/>
                <w:b/>
                <w:bCs/>
                <w:color w:val="000000"/>
                <w:szCs w:val="22"/>
              </w:rPr>
            </w:pPr>
            <w:r>
              <w:rPr>
                <w:rFonts w:ascii="Calibri" w:hAnsi="Calibri" w:cs="Calibri"/>
                <w:b/>
                <w:bCs/>
                <w:color w:val="000000"/>
                <w:szCs w:val="22"/>
              </w:rPr>
              <w:t>A</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009BC356" w14:textId="77777777" w:rsidR="007F1830" w:rsidRDefault="007F1830">
            <w:pPr>
              <w:jc w:val="center"/>
              <w:rPr>
                <w:rFonts w:ascii="Calibri" w:hAnsi="Calibri" w:cs="Calibri"/>
                <w:b/>
                <w:bCs/>
                <w:color w:val="000000"/>
                <w:szCs w:val="22"/>
              </w:rPr>
            </w:pPr>
            <w:r>
              <w:rPr>
                <w:rFonts w:ascii="Calibri" w:hAnsi="Calibri" w:cs="Calibri"/>
                <w:b/>
                <w:bCs/>
                <w:color w:val="000000"/>
                <w:szCs w:val="22"/>
              </w:rPr>
              <w:t>B</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72A164CC" w14:textId="77777777" w:rsidR="007F1830" w:rsidRDefault="007F1830">
            <w:pPr>
              <w:jc w:val="center"/>
              <w:rPr>
                <w:rFonts w:ascii="Calibri" w:hAnsi="Calibri" w:cs="Calibri"/>
                <w:b/>
                <w:bCs/>
                <w:color w:val="000000"/>
                <w:szCs w:val="22"/>
              </w:rPr>
            </w:pPr>
            <w:r>
              <w:rPr>
                <w:rFonts w:ascii="Calibri" w:hAnsi="Calibri" w:cs="Calibri"/>
                <w:b/>
                <w:bCs/>
                <w:color w:val="000000"/>
                <w:szCs w:val="22"/>
              </w:rPr>
              <w:t>C</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34A4ECE8" w14:textId="77777777" w:rsidR="007F1830" w:rsidRDefault="007F1830">
            <w:pPr>
              <w:jc w:val="center"/>
              <w:rPr>
                <w:rFonts w:ascii="Calibri" w:hAnsi="Calibri" w:cs="Calibri"/>
                <w:b/>
                <w:bCs/>
                <w:color w:val="000000"/>
                <w:szCs w:val="22"/>
              </w:rPr>
            </w:pPr>
            <w:r>
              <w:rPr>
                <w:rFonts w:ascii="Calibri" w:hAnsi="Calibri" w:cs="Calibri"/>
                <w:b/>
                <w:bCs/>
                <w:color w:val="000000"/>
                <w:szCs w:val="22"/>
              </w:rPr>
              <w:t>B+C</w:t>
            </w:r>
          </w:p>
        </w:tc>
      </w:tr>
      <w:tr w:rsidR="007F1830" w14:paraId="1A1F17E1"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38F86405" w14:textId="77777777" w:rsidR="007F1830" w:rsidRDefault="007F1830">
            <w:pPr>
              <w:jc w:val="center"/>
              <w:rPr>
                <w:rFonts w:ascii="Calibri" w:hAnsi="Calibri" w:cs="Calibri"/>
                <w:color w:val="000000"/>
                <w:szCs w:val="22"/>
              </w:rPr>
            </w:pPr>
            <w:r>
              <w:rPr>
                <w:rFonts w:ascii="Calibri" w:hAnsi="Calibri" w:cs="Calibri"/>
                <w:color w:val="000000"/>
                <w:szCs w:val="22"/>
              </w:rPr>
              <w:t>1</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2C21EA0F" w14:textId="77777777" w:rsidR="007F1830" w:rsidRDefault="007F1830">
            <w:pPr>
              <w:jc w:val="center"/>
              <w:rPr>
                <w:rFonts w:ascii="Calibri" w:hAnsi="Calibri" w:cs="Calibri"/>
                <w:color w:val="000000"/>
                <w:szCs w:val="22"/>
              </w:rPr>
            </w:pPr>
            <w:r>
              <w:rPr>
                <w:rFonts w:ascii="Calibri" w:hAnsi="Calibri" w:cs="Calibri"/>
                <w:color w:val="000000"/>
                <w:szCs w:val="22"/>
              </w:rPr>
              <w:t>Br-14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2C1D1DEA" w14:textId="77777777" w:rsidR="007F1830" w:rsidRDefault="007F1830">
            <w:pPr>
              <w:jc w:val="center"/>
              <w:rPr>
                <w:rFonts w:ascii="AcadNusx" w:hAnsi="AcadNusx" w:cs="Calibri"/>
                <w:color w:val="000000"/>
                <w:szCs w:val="22"/>
              </w:rPr>
            </w:pPr>
            <w:r>
              <w:rPr>
                <w:rFonts w:ascii="AcadNusx" w:hAnsi="AcadNusx" w:cs="Calibri"/>
                <w:color w:val="000000"/>
                <w:szCs w:val="22"/>
              </w:rPr>
              <w:t>9.0-9.45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74115307" w14:textId="77777777" w:rsidR="007F1830" w:rsidRDefault="007F1830">
            <w:pPr>
              <w:jc w:val="center"/>
              <w:rPr>
                <w:rFonts w:ascii="AcadNusx" w:hAnsi="AcadNusx" w:cs="Calibri"/>
                <w:color w:val="000000"/>
                <w:szCs w:val="22"/>
              </w:rPr>
            </w:pPr>
            <w:r>
              <w:rPr>
                <w:rFonts w:ascii="AcadNusx" w:hAnsi="AcadNusx" w:cs="Calibri"/>
                <w:color w:val="000000"/>
                <w:szCs w:val="22"/>
              </w:rPr>
              <w:t>3</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7AB1626" w14:textId="77777777" w:rsidR="007F1830" w:rsidRDefault="007F1830">
            <w:pPr>
              <w:jc w:val="center"/>
              <w:rPr>
                <w:rFonts w:ascii="AcadNusx" w:hAnsi="AcadNusx" w:cs="Calibri"/>
                <w:color w:val="000000"/>
                <w:szCs w:val="22"/>
              </w:rPr>
            </w:pPr>
            <w:r>
              <w:rPr>
                <w:rFonts w:ascii="AcadNusx" w:hAnsi="AcadNusx" w:cs="Calibri"/>
                <w:color w:val="000000"/>
                <w:szCs w:val="22"/>
              </w:rPr>
              <w:t>20</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597D8B24" w14:textId="77777777" w:rsidR="007F1830" w:rsidRDefault="007F1830">
            <w:pPr>
              <w:jc w:val="center"/>
              <w:rPr>
                <w:rFonts w:ascii="AcadNusx" w:hAnsi="AcadNusx" w:cs="Calibri"/>
                <w:color w:val="000000"/>
                <w:szCs w:val="22"/>
              </w:rPr>
            </w:pPr>
            <w:r>
              <w:rPr>
                <w:rFonts w:ascii="AcadNusx" w:hAnsi="AcadNusx" w:cs="Calibri"/>
                <w:color w:val="000000"/>
                <w:szCs w:val="22"/>
              </w:rPr>
              <w:t>20</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404FCE07" w14:textId="77777777" w:rsidR="007F1830" w:rsidRDefault="007F1830">
            <w:pPr>
              <w:jc w:val="center"/>
              <w:rPr>
                <w:rFonts w:ascii="AcadNusx" w:hAnsi="AcadNusx" w:cs="Calibri"/>
                <w:color w:val="000000"/>
                <w:szCs w:val="22"/>
              </w:rPr>
            </w:pPr>
            <w:r>
              <w:rPr>
                <w:rFonts w:ascii="AcadNusx" w:hAnsi="AcadNusx" w:cs="Calibri"/>
                <w:color w:val="000000"/>
                <w:szCs w:val="22"/>
              </w:rPr>
              <w:t>23</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509FB63D" w14:textId="77777777" w:rsidR="007F1830" w:rsidRDefault="007F1830">
            <w:pPr>
              <w:jc w:val="center"/>
              <w:rPr>
                <w:rFonts w:ascii="AcadNusx" w:hAnsi="AcadNusx" w:cs="Calibri"/>
                <w:color w:val="000000"/>
                <w:szCs w:val="22"/>
              </w:rPr>
            </w:pPr>
            <w:r>
              <w:rPr>
                <w:rFonts w:ascii="AcadNusx" w:hAnsi="AcadNusx" w:cs="Calibri"/>
                <w:color w:val="000000"/>
                <w:szCs w:val="22"/>
              </w:rPr>
              <w:t>43</w:t>
            </w:r>
          </w:p>
        </w:tc>
      </w:tr>
      <w:tr w:rsidR="007F1830" w14:paraId="078D0B21"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35E3E4C9" w14:textId="77777777" w:rsidR="007F1830" w:rsidRDefault="007F1830">
            <w:pPr>
              <w:jc w:val="center"/>
              <w:rPr>
                <w:rFonts w:ascii="Calibri" w:hAnsi="Calibri" w:cs="Calibri"/>
                <w:color w:val="000000"/>
                <w:szCs w:val="22"/>
              </w:rPr>
            </w:pPr>
            <w:r>
              <w:rPr>
                <w:rFonts w:ascii="Calibri" w:hAnsi="Calibri" w:cs="Calibri"/>
                <w:color w:val="000000"/>
                <w:szCs w:val="22"/>
              </w:rPr>
              <w:t>2</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02CCC8E4" w14:textId="77777777" w:rsidR="007F1830" w:rsidRDefault="007F1830">
            <w:pPr>
              <w:jc w:val="center"/>
              <w:rPr>
                <w:rFonts w:ascii="Calibri" w:hAnsi="Calibri" w:cs="Calibri"/>
                <w:color w:val="000000"/>
                <w:szCs w:val="22"/>
              </w:rPr>
            </w:pPr>
            <w:r>
              <w:rPr>
                <w:rFonts w:ascii="Calibri" w:hAnsi="Calibri" w:cs="Calibri"/>
                <w:color w:val="000000"/>
                <w:szCs w:val="22"/>
              </w:rPr>
              <w:t>Br-14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5438C74" w14:textId="77777777" w:rsidR="007F1830" w:rsidRDefault="007F1830">
            <w:pPr>
              <w:jc w:val="center"/>
              <w:rPr>
                <w:rFonts w:ascii="AcadNusx" w:hAnsi="AcadNusx" w:cs="Calibri"/>
                <w:color w:val="000000"/>
                <w:szCs w:val="22"/>
              </w:rPr>
            </w:pPr>
            <w:r>
              <w:rPr>
                <w:rFonts w:ascii="AcadNusx" w:hAnsi="AcadNusx" w:cs="Calibri"/>
                <w:color w:val="000000"/>
                <w:szCs w:val="22"/>
              </w:rPr>
              <w:t>1.0-1.45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0B6FE569" w14:textId="77777777" w:rsidR="007F1830" w:rsidRDefault="007F1830">
            <w:pPr>
              <w:jc w:val="center"/>
              <w:rPr>
                <w:rFonts w:ascii="AcadNusx" w:hAnsi="AcadNusx" w:cs="Calibri"/>
                <w:color w:val="000000"/>
                <w:szCs w:val="22"/>
              </w:rPr>
            </w:pPr>
            <w:r>
              <w:rPr>
                <w:rFonts w:ascii="AcadNusx" w:hAnsi="AcadNusx" w:cs="Calibri"/>
                <w:color w:val="000000"/>
                <w:szCs w:val="22"/>
              </w:rPr>
              <w:t>3</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EC09824" w14:textId="77777777" w:rsidR="007F1830" w:rsidRDefault="007F1830">
            <w:pPr>
              <w:jc w:val="center"/>
              <w:rPr>
                <w:rFonts w:ascii="AcadNusx" w:hAnsi="AcadNusx" w:cs="Calibri"/>
                <w:color w:val="000000"/>
                <w:szCs w:val="22"/>
              </w:rPr>
            </w:pPr>
            <w:r>
              <w:rPr>
                <w:rFonts w:ascii="AcadNusx" w:hAnsi="AcadNusx" w:cs="Calibri"/>
                <w:color w:val="000000"/>
                <w:szCs w:val="22"/>
              </w:rPr>
              <w:t>18</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1D999811" w14:textId="77777777" w:rsidR="007F1830" w:rsidRDefault="007F1830">
            <w:pPr>
              <w:jc w:val="center"/>
              <w:rPr>
                <w:rFonts w:ascii="AcadNusx" w:hAnsi="AcadNusx" w:cs="Calibri"/>
                <w:color w:val="000000"/>
                <w:szCs w:val="22"/>
              </w:rPr>
            </w:pPr>
            <w:r>
              <w:rPr>
                <w:rFonts w:ascii="AcadNusx" w:hAnsi="AcadNusx" w:cs="Calibri"/>
                <w:color w:val="000000"/>
                <w:szCs w:val="22"/>
              </w:rPr>
              <w:t>20</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286B81D8" w14:textId="77777777" w:rsidR="007F1830" w:rsidRDefault="007F1830">
            <w:pPr>
              <w:jc w:val="center"/>
              <w:rPr>
                <w:rFonts w:ascii="AcadNusx" w:hAnsi="AcadNusx" w:cs="Calibri"/>
                <w:color w:val="000000"/>
                <w:szCs w:val="22"/>
              </w:rPr>
            </w:pPr>
            <w:r>
              <w:rPr>
                <w:rFonts w:ascii="AcadNusx" w:hAnsi="AcadNusx" w:cs="Calibri"/>
                <w:color w:val="000000"/>
                <w:szCs w:val="22"/>
              </w:rPr>
              <w:t>24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3F6101C0" w14:textId="77777777" w:rsidR="007F1830" w:rsidRDefault="007F1830">
            <w:pPr>
              <w:jc w:val="center"/>
              <w:rPr>
                <w:rFonts w:ascii="AcadNusx" w:hAnsi="AcadNusx" w:cs="Calibri"/>
                <w:color w:val="000000"/>
                <w:szCs w:val="22"/>
              </w:rPr>
            </w:pPr>
            <w:r>
              <w:rPr>
                <w:rFonts w:ascii="AcadNusx" w:hAnsi="AcadNusx" w:cs="Calibri"/>
                <w:color w:val="000000"/>
                <w:szCs w:val="22"/>
              </w:rPr>
              <w:t>44</w:t>
            </w:r>
          </w:p>
        </w:tc>
      </w:tr>
      <w:tr w:rsidR="007F1830" w14:paraId="658DE9E2" w14:textId="77777777" w:rsidTr="007F1830">
        <w:trPr>
          <w:trHeight w:val="315"/>
          <w:jc w:val="center"/>
        </w:trPr>
        <w:tc>
          <w:tcPr>
            <w:tcW w:w="7880" w:type="dxa"/>
            <w:gridSpan w:val="7"/>
            <w:tcBorders>
              <w:top w:val="single" w:sz="4" w:space="0" w:color="auto"/>
              <w:left w:val="single" w:sz="4" w:space="0" w:color="auto"/>
              <w:bottom w:val="single" w:sz="4" w:space="0" w:color="auto"/>
              <w:right w:val="single" w:sz="4" w:space="0" w:color="auto"/>
            </w:tcBorders>
            <w:noWrap/>
            <w:vAlign w:val="center"/>
            <w:hideMark/>
          </w:tcPr>
          <w:p w14:paraId="48F0A570" w14:textId="77777777" w:rsidR="007F1830" w:rsidRDefault="007F1830">
            <w:pPr>
              <w:rPr>
                <w:rFonts w:ascii="AcadNusx" w:hAnsi="AcadNusx" w:cs="Calibri"/>
                <w:b/>
                <w:bCs/>
                <w:color w:val="000000"/>
                <w:szCs w:val="22"/>
              </w:rPr>
            </w:pPr>
            <w:r>
              <w:rPr>
                <w:rFonts w:ascii="AcadNusx" w:hAnsi="AcadNusx" w:cs="Calibri"/>
                <w:b/>
                <w:bCs/>
                <w:color w:val="000000"/>
                <w:szCs w:val="22"/>
              </w:rPr>
              <w:t>saSualo</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53079938" w14:textId="77777777" w:rsidR="007F1830" w:rsidRDefault="007F1830">
            <w:pPr>
              <w:jc w:val="center"/>
              <w:rPr>
                <w:rFonts w:ascii="AcadNusx" w:hAnsi="AcadNusx" w:cs="Calibri"/>
                <w:b/>
                <w:bCs/>
                <w:color w:val="000000"/>
                <w:szCs w:val="22"/>
              </w:rPr>
            </w:pPr>
            <w:r>
              <w:rPr>
                <w:rFonts w:ascii="AcadNusx" w:hAnsi="AcadNusx" w:cs="Calibri"/>
                <w:b/>
                <w:bCs/>
                <w:color w:val="000000"/>
                <w:szCs w:val="22"/>
              </w:rPr>
              <w:t>44</w:t>
            </w:r>
          </w:p>
        </w:tc>
      </w:tr>
      <w:tr w:rsidR="007F1830" w14:paraId="582E5EAC"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10527C90" w14:textId="77777777" w:rsidR="007F1830" w:rsidRDefault="007F1830">
            <w:pPr>
              <w:jc w:val="center"/>
              <w:rPr>
                <w:rFonts w:ascii="Calibri" w:hAnsi="Calibri" w:cs="Calibri"/>
                <w:color w:val="000000"/>
                <w:szCs w:val="22"/>
              </w:rPr>
            </w:pPr>
            <w:r>
              <w:rPr>
                <w:rFonts w:ascii="Calibri" w:hAnsi="Calibri" w:cs="Calibri"/>
                <w:color w:val="000000"/>
                <w:szCs w:val="22"/>
              </w:rPr>
              <w:t>3</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478164A6" w14:textId="77777777" w:rsidR="007F1830" w:rsidRDefault="007F1830">
            <w:pPr>
              <w:jc w:val="center"/>
              <w:rPr>
                <w:rFonts w:ascii="Calibri" w:hAnsi="Calibri" w:cs="Calibri"/>
                <w:b/>
                <w:bCs/>
                <w:color w:val="000000"/>
                <w:szCs w:val="22"/>
              </w:rPr>
            </w:pPr>
            <w:r>
              <w:rPr>
                <w:rFonts w:ascii="Calibri" w:hAnsi="Calibri" w:cs="Calibri"/>
                <w:b/>
                <w:bCs/>
                <w:color w:val="000000"/>
                <w:szCs w:val="22"/>
              </w:rPr>
              <w:t>Br-4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49FF00F5" w14:textId="77777777" w:rsidR="007F1830" w:rsidRDefault="007F1830">
            <w:pPr>
              <w:jc w:val="center"/>
              <w:rPr>
                <w:rFonts w:ascii="Calibri" w:hAnsi="Calibri" w:cs="Calibri"/>
                <w:color w:val="000000"/>
                <w:szCs w:val="22"/>
              </w:rPr>
            </w:pPr>
            <w:r>
              <w:rPr>
                <w:rFonts w:ascii="Calibri" w:hAnsi="Calibri" w:cs="Calibri"/>
                <w:color w:val="000000"/>
                <w:szCs w:val="22"/>
              </w:rPr>
              <w:t>1.0-1.45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6D489E0" w14:textId="77777777" w:rsidR="007F1830" w:rsidRDefault="007F1830">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2BA2C2B" w14:textId="77777777" w:rsidR="007F1830" w:rsidRDefault="007F1830">
            <w:pPr>
              <w:jc w:val="center"/>
              <w:rPr>
                <w:rFonts w:ascii="AcadNusx" w:hAnsi="AcadNusx" w:cs="Calibri"/>
                <w:color w:val="000000"/>
                <w:szCs w:val="22"/>
              </w:rPr>
            </w:pPr>
            <w:r>
              <w:rPr>
                <w:rFonts w:ascii="AcadNusx" w:hAnsi="AcadNusx" w:cs="Calibri"/>
                <w:color w:val="000000"/>
                <w:szCs w:val="22"/>
              </w:rPr>
              <w:t>23</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2B3D46A3" w14:textId="77777777" w:rsidR="007F1830" w:rsidRDefault="007F1830">
            <w:pPr>
              <w:jc w:val="center"/>
              <w:rPr>
                <w:rFonts w:ascii="AcadNusx" w:hAnsi="AcadNusx" w:cs="Calibri"/>
                <w:color w:val="000000"/>
                <w:szCs w:val="22"/>
              </w:rPr>
            </w:pPr>
            <w:r>
              <w:rPr>
                <w:rFonts w:ascii="AcadNusx" w:hAnsi="AcadNusx" w:cs="Calibri"/>
                <w:color w:val="000000"/>
                <w:szCs w:val="22"/>
              </w:rPr>
              <w:t>22</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68CBACF6" w14:textId="77777777" w:rsidR="007F1830" w:rsidRDefault="007F1830">
            <w:pPr>
              <w:jc w:val="center"/>
              <w:rPr>
                <w:rFonts w:ascii="AcadNusx" w:hAnsi="AcadNusx" w:cs="Calibri"/>
                <w:color w:val="000000"/>
                <w:szCs w:val="22"/>
              </w:rPr>
            </w:pPr>
            <w:r>
              <w:rPr>
                <w:rFonts w:ascii="AcadNusx" w:hAnsi="AcadNusx" w:cs="Calibri"/>
                <w:color w:val="000000"/>
                <w:szCs w:val="22"/>
              </w:rPr>
              <w:t>23</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8B739B9" w14:textId="77777777" w:rsidR="007F1830" w:rsidRDefault="007F1830">
            <w:pPr>
              <w:jc w:val="center"/>
              <w:rPr>
                <w:rFonts w:ascii="AcadNusx" w:hAnsi="AcadNusx" w:cs="Calibri"/>
                <w:color w:val="000000"/>
                <w:szCs w:val="22"/>
              </w:rPr>
            </w:pPr>
            <w:r>
              <w:rPr>
                <w:rFonts w:ascii="AcadNusx" w:hAnsi="AcadNusx" w:cs="Calibri"/>
                <w:color w:val="000000"/>
                <w:szCs w:val="22"/>
              </w:rPr>
              <w:t>45</w:t>
            </w:r>
          </w:p>
        </w:tc>
      </w:tr>
      <w:tr w:rsidR="007F1830" w14:paraId="524DDA1C"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05F2DEFB" w14:textId="77777777" w:rsidR="007F1830" w:rsidRDefault="007F1830">
            <w:pPr>
              <w:jc w:val="center"/>
              <w:rPr>
                <w:rFonts w:ascii="Calibri" w:hAnsi="Calibri" w:cs="Calibri"/>
                <w:color w:val="000000"/>
                <w:szCs w:val="22"/>
              </w:rPr>
            </w:pPr>
            <w:r>
              <w:rPr>
                <w:rFonts w:ascii="Calibri" w:hAnsi="Calibri" w:cs="Calibri"/>
                <w:color w:val="000000"/>
                <w:szCs w:val="22"/>
              </w:rPr>
              <w:t>4</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5160E546" w14:textId="77777777" w:rsidR="007F1830" w:rsidRDefault="007F1830">
            <w:pPr>
              <w:jc w:val="center"/>
              <w:rPr>
                <w:rFonts w:ascii="Calibri" w:hAnsi="Calibri" w:cs="Calibri"/>
                <w:color w:val="000000"/>
                <w:szCs w:val="22"/>
              </w:rPr>
            </w:pPr>
            <w:r>
              <w:rPr>
                <w:rFonts w:ascii="Calibri" w:hAnsi="Calibri" w:cs="Calibri"/>
                <w:color w:val="000000"/>
                <w:szCs w:val="22"/>
              </w:rPr>
              <w:t>Br-1</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D48A113" w14:textId="77777777" w:rsidR="007F1830" w:rsidRDefault="007F1830">
            <w:pPr>
              <w:jc w:val="center"/>
              <w:rPr>
                <w:rFonts w:ascii="AcadNusx" w:hAnsi="AcadNusx" w:cs="Calibri"/>
                <w:color w:val="000000"/>
                <w:szCs w:val="22"/>
              </w:rPr>
            </w:pPr>
            <w:r>
              <w:rPr>
                <w:rFonts w:ascii="AcadNusx" w:hAnsi="AcadNusx" w:cs="Calibri"/>
                <w:color w:val="000000"/>
                <w:szCs w:val="22"/>
              </w:rPr>
              <w:t>4.0-4.45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65805EF" w14:textId="77777777" w:rsidR="007F1830" w:rsidRDefault="007F1830">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9E865DB" w14:textId="77777777" w:rsidR="007F1830" w:rsidRDefault="007F1830">
            <w:pPr>
              <w:jc w:val="center"/>
              <w:rPr>
                <w:rFonts w:ascii="AcadNusx" w:hAnsi="AcadNusx" w:cs="Calibri"/>
                <w:color w:val="000000"/>
                <w:szCs w:val="22"/>
              </w:rPr>
            </w:pPr>
            <w:r>
              <w:rPr>
                <w:rFonts w:ascii="AcadNusx" w:hAnsi="AcadNusx" w:cs="Calibri"/>
                <w:color w:val="000000"/>
                <w:szCs w:val="22"/>
              </w:rPr>
              <w:t>20</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13988011" w14:textId="77777777" w:rsidR="007F1830" w:rsidRDefault="007F1830">
            <w:pPr>
              <w:jc w:val="center"/>
              <w:rPr>
                <w:rFonts w:ascii="AcadNusx" w:hAnsi="AcadNusx" w:cs="Calibri"/>
                <w:color w:val="000000"/>
                <w:szCs w:val="22"/>
              </w:rPr>
            </w:pPr>
            <w:r>
              <w:rPr>
                <w:rFonts w:ascii="AcadNusx" w:hAnsi="AcadNusx" w:cs="Calibri"/>
                <w:color w:val="000000"/>
                <w:szCs w:val="22"/>
              </w:rPr>
              <w:t>21</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5C75C92A" w14:textId="77777777" w:rsidR="007F1830" w:rsidRDefault="007F1830">
            <w:pPr>
              <w:jc w:val="center"/>
              <w:rPr>
                <w:rFonts w:ascii="AcadNusx" w:hAnsi="AcadNusx" w:cs="Calibri"/>
                <w:color w:val="000000"/>
                <w:szCs w:val="22"/>
              </w:rPr>
            </w:pPr>
            <w:r>
              <w:rPr>
                <w:rFonts w:ascii="AcadNusx" w:hAnsi="AcadNusx" w:cs="Calibri"/>
                <w:color w:val="000000"/>
                <w:szCs w:val="22"/>
              </w:rPr>
              <w:t>&gt;25</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2DB34AEB"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2C7B931D"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0FB53B9E" w14:textId="77777777" w:rsidR="007F1830" w:rsidRDefault="007F1830">
            <w:pPr>
              <w:jc w:val="center"/>
              <w:rPr>
                <w:rFonts w:ascii="Calibri" w:hAnsi="Calibri" w:cs="Calibri"/>
                <w:color w:val="000000"/>
                <w:szCs w:val="22"/>
              </w:rPr>
            </w:pPr>
            <w:r>
              <w:rPr>
                <w:rFonts w:ascii="Calibri" w:hAnsi="Calibri" w:cs="Calibri"/>
                <w:color w:val="000000"/>
                <w:szCs w:val="22"/>
              </w:rPr>
              <w:t>5</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36BCCEE7" w14:textId="77777777" w:rsidR="007F1830" w:rsidRDefault="007F1830">
            <w:pPr>
              <w:jc w:val="center"/>
              <w:rPr>
                <w:rFonts w:ascii="Calibri" w:hAnsi="Calibri" w:cs="Calibri"/>
                <w:b/>
                <w:bCs/>
                <w:color w:val="000000"/>
                <w:szCs w:val="22"/>
              </w:rPr>
            </w:pPr>
            <w:r>
              <w:rPr>
                <w:rFonts w:ascii="Calibri" w:hAnsi="Calibri" w:cs="Calibri"/>
                <w:b/>
                <w:bCs/>
                <w:color w:val="000000"/>
                <w:szCs w:val="22"/>
              </w:rPr>
              <w:t>Br-1</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45A37BB" w14:textId="77777777" w:rsidR="007F1830" w:rsidRDefault="007F1830">
            <w:pPr>
              <w:jc w:val="center"/>
              <w:rPr>
                <w:rFonts w:ascii="AcadNusx" w:hAnsi="AcadNusx" w:cs="Calibri"/>
                <w:color w:val="000000"/>
                <w:szCs w:val="22"/>
              </w:rPr>
            </w:pPr>
            <w:r>
              <w:rPr>
                <w:rFonts w:ascii="AcadNusx" w:hAnsi="AcadNusx" w:cs="Calibri"/>
                <w:color w:val="000000"/>
                <w:szCs w:val="22"/>
              </w:rPr>
              <w:t>2.0-2.45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418C32C" w14:textId="77777777" w:rsidR="007F1830" w:rsidRDefault="007F1830">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5043858" w14:textId="77777777" w:rsidR="007F1830" w:rsidRDefault="007F1830">
            <w:pPr>
              <w:jc w:val="center"/>
              <w:rPr>
                <w:rFonts w:ascii="AcadNusx" w:hAnsi="AcadNusx" w:cs="Calibri"/>
                <w:color w:val="000000"/>
                <w:szCs w:val="22"/>
              </w:rPr>
            </w:pPr>
            <w:r>
              <w:rPr>
                <w:rFonts w:ascii="AcadNusx" w:hAnsi="AcadNusx" w:cs="Calibri"/>
                <w:color w:val="000000"/>
                <w:szCs w:val="22"/>
              </w:rPr>
              <w:t>16</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14:paraId="5DF234C6"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2FDF8199"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7C40F10B"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1BC792C8" w14:textId="77777777" w:rsidR="007F1830" w:rsidRDefault="007F1830">
            <w:pPr>
              <w:jc w:val="center"/>
              <w:rPr>
                <w:rFonts w:ascii="Calibri" w:hAnsi="Calibri" w:cs="Calibri"/>
                <w:color w:val="000000"/>
                <w:szCs w:val="22"/>
              </w:rPr>
            </w:pPr>
            <w:r>
              <w:rPr>
                <w:rFonts w:ascii="Calibri" w:hAnsi="Calibri" w:cs="Calibri"/>
                <w:color w:val="000000"/>
                <w:szCs w:val="22"/>
              </w:rPr>
              <w:t>6</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5256D4ED" w14:textId="77777777" w:rsidR="007F1830" w:rsidRDefault="007F1830">
            <w:pPr>
              <w:jc w:val="center"/>
              <w:rPr>
                <w:rFonts w:ascii="Calibri" w:hAnsi="Calibri" w:cs="Calibri"/>
                <w:color w:val="000000"/>
                <w:szCs w:val="22"/>
              </w:rPr>
            </w:pPr>
            <w:r>
              <w:rPr>
                <w:rFonts w:ascii="Calibri" w:hAnsi="Calibri" w:cs="Calibri"/>
                <w:color w:val="000000"/>
                <w:szCs w:val="22"/>
              </w:rPr>
              <w:t>Br-1</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83372DE" w14:textId="77777777" w:rsidR="007F1830" w:rsidRDefault="007F1830">
            <w:pPr>
              <w:jc w:val="center"/>
              <w:rPr>
                <w:rFonts w:ascii="AcadNusx" w:hAnsi="AcadNusx" w:cs="Calibri"/>
                <w:color w:val="000000"/>
                <w:szCs w:val="22"/>
              </w:rPr>
            </w:pPr>
            <w:r>
              <w:rPr>
                <w:rFonts w:ascii="AcadNusx" w:hAnsi="AcadNusx" w:cs="Calibri"/>
                <w:color w:val="000000"/>
                <w:szCs w:val="22"/>
              </w:rPr>
              <w:t>6.0-6.45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8CAA8A2" w14:textId="77777777" w:rsidR="007F1830" w:rsidRDefault="007F1830">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1B41D9A" w14:textId="77777777" w:rsidR="007F1830" w:rsidRDefault="007F1830">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14:paraId="65E0731C"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EACF507"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779B8412"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626C3B97" w14:textId="77777777" w:rsidR="007F1830" w:rsidRDefault="007F1830">
            <w:pPr>
              <w:jc w:val="center"/>
              <w:rPr>
                <w:rFonts w:ascii="Calibri" w:hAnsi="Calibri" w:cs="Calibri"/>
                <w:color w:val="000000"/>
                <w:szCs w:val="22"/>
              </w:rPr>
            </w:pPr>
            <w:r>
              <w:rPr>
                <w:rFonts w:ascii="Calibri" w:hAnsi="Calibri" w:cs="Calibri"/>
                <w:color w:val="000000"/>
                <w:szCs w:val="22"/>
              </w:rPr>
              <w:t>7</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6D36EECA" w14:textId="77777777" w:rsidR="007F1830" w:rsidRDefault="007F1830">
            <w:pPr>
              <w:jc w:val="center"/>
              <w:rPr>
                <w:rFonts w:ascii="Calibri" w:hAnsi="Calibri" w:cs="Calibri"/>
                <w:color w:val="000000"/>
                <w:szCs w:val="22"/>
              </w:rPr>
            </w:pPr>
            <w:r>
              <w:rPr>
                <w:rFonts w:ascii="Calibri" w:hAnsi="Calibri" w:cs="Calibri"/>
                <w:color w:val="000000"/>
                <w:szCs w:val="22"/>
              </w:rPr>
              <w:t>Br-1</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F739A8A" w14:textId="77777777" w:rsidR="007F1830" w:rsidRDefault="007F1830">
            <w:pPr>
              <w:jc w:val="center"/>
              <w:rPr>
                <w:rFonts w:ascii="AcadNusx" w:hAnsi="AcadNusx" w:cs="Calibri"/>
                <w:color w:val="000000"/>
                <w:szCs w:val="22"/>
              </w:rPr>
            </w:pPr>
            <w:r>
              <w:rPr>
                <w:rFonts w:ascii="AcadNusx" w:hAnsi="AcadNusx" w:cs="Calibri"/>
                <w:color w:val="000000"/>
                <w:szCs w:val="22"/>
              </w:rPr>
              <w:t>8.0-8.45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40FC9459" w14:textId="77777777" w:rsidR="007F1830" w:rsidRDefault="007F1830">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4D3E9AF" w14:textId="77777777" w:rsidR="007F1830" w:rsidRDefault="007F1830">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14:paraId="40B89FC3"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5D5D6BB"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2BBC9830"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242692F6" w14:textId="77777777" w:rsidR="007F1830" w:rsidRDefault="007F1830">
            <w:pPr>
              <w:jc w:val="center"/>
              <w:rPr>
                <w:rFonts w:ascii="Calibri" w:hAnsi="Calibri" w:cs="Calibri"/>
                <w:color w:val="000000"/>
                <w:szCs w:val="22"/>
              </w:rPr>
            </w:pPr>
            <w:r>
              <w:rPr>
                <w:rFonts w:ascii="Calibri" w:hAnsi="Calibri" w:cs="Calibri"/>
                <w:color w:val="000000"/>
                <w:szCs w:val="22"/>
              </w:rPr>
              <w:t>8</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76E0BAE9" w14:textId="77777777" w:rsidR="007F1830" w:rsidRDefault="007F1830">
            <w:pPr>
              <w:jc w:val="center"/>
              <w:rPr>
                <w:rFonts w:ascii="Calibri" w:hAnsi="Calibri" w:cs="Calibri"/>
                <w:color w:val="000000"/>
                <w:szCs w:val="22"/>
              </w:rPr>
            </w:pPr>
            <w:r>
              <w:rPr>
                <w:rFonts w:ascii="Calibri" w:hAnsi="Calibri" w:cs="Calibri"/>
                <w:color w:val="000000"/>
                <w:szCs w:val="22"/>
              </w:rPr>
              <w:t>Br-1</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266F6ACB" w14:textId="77777777" w:rsidR="007F1830" w:rsidRDefault="007F1830">
            <w:pPr>
              <w:jc w:val="center"/>
              <w:rPr>
                <w:rFonts w:ascii="AcadNusx" w:hAnsi="AcadNusx" w:cs="Calibri"/>
                <w:color w:val="000000"/>
                <w:szCs w:val="22"/>
              </w:rPr>
            </w:pPr>
            <w:r>
              <w:rPr>
                <w:rFonts w:ascii="AcadNusx" w:hAnsi="AcadNusx" w:cs="Calibri"/>
                <w:color w:val="000000"/>
                <w:szCs w:val="22"/>
              </w:rPr>
              <w:t>10.0-10.45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B60A1D3" w14:textId="77777777" w:rsidR="007F1830" w:rsidRDefault="007F1830">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52CD858" w14:textId="77777777" w:rsidR="007F1830" w:rsidRDefault="007F1830">
            <w:pPr>
              <w:jc w:val="center"/>
              <w:rPr>
                <w:rFonts w:ascii="AcadNusx" w:hAnsi="AcadNusx" w:cs="Calibri"/>
                <w:color w:val="000000"/>
                <w:szCs w:val="22"/>
              </w:rPr>
            </w:pPr>
            <w:r>
              <w:rPr>
                <w:rFonts w:ascii="AcadNusx" w:hAnsi="AcadNusx" w:cs="Calibri"/>
                <w:color w:val="000000"/>
                <w:szCs w:val="22"/>
              </w:rPr>
              <w:t>23</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14:paraId="047486C2"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5626B57"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1F449B51"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7D272A06" w14:textId="77777777" w:rsidR="007F1830" w:rsidRDefault="007F1830">
            <w:pPr>
              <w:jc w:val="center"/>
              <w:rPr>
                <w:rFonts w:ascii="Calibri" w:hAnsi="Calibri" w:cs="Calibri"/>
                <w:color w:val="000000"/>
                <w:szCs w:val="22"/>
              </w:rPr>
            </w:pPr>
            <w:r>
              <w:rPr>
                <w:rFonts w:ascii="Calibri" w:hAnsi="Calibri" w:cs="Calibri"/>
                <w:color w:val="000000"/>
                <w:szCs w:val="22"/>
              </w:rPr>
              <w:t>9</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6284180C" w14:textId="77777777" w:rsidR="007F1830" w:rsidRDefault="007F1830">
            <w:pPr>
              <w:jc w:val="center"/>
              <w:rPr>
                <w:rFonts w:ascii="Calibri" w:hAnsi="Calibri" w:cs="Calibri"/>
                <w:color w:val="000000"/>
                <w:szCs w:val="22"/>
              </w:rPr>
            </w:pPr>
            <w:r>
              <w:rPr>
                <w:rFonts w:ascii="Calibri" w:hAnsi="Calibri" w:cs="Calibri"/>
                <w:color w:val="000000"/>
                <w:szCs w:val="22"/>
              </w:rPr>
              <w:t>Br-1</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09B658C" w14:textId="77777777" w:rsidR="007F1830" w:rsidRDefault="007F1830">
            <w:pPr>
              <w:jc w:val="center"/>
              <w:rPr>
                <w:rFonts w:ascii="AcadNusx" w:hAnsi="AcadNusx" w:cs="Calibri"/>
                <w:color w:val="000000"/>
                <w:szCs w:val="22"/>
              </w:rPr>
            </w:pPr>
            <w:r>
              <w:rPr>
                <w:rFonts w:ascii="AcadNusx" w:hAnsi="AcadNusx" w:cs="Calibri"/>
                <w:color w:val="000000"/>
                <w:szCs w:val="22"/>
              </w:rPr>
              <w:t>12.0-12.45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4934F86" w14:textId="77777777" w:rsidR="007F1830" w:rsidRDefault="007F1830">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025EB335" w14:textId="77777777" w:rsidR="007F1830" w:rsidRDefault="007F1830">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14:paraId="060DA9EF"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553CF9B6"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49EFFEA7"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260745AC" w14:textId="77777777" w:rsidR="007F1830" w:rsidRDefault="007F1830">
            <w:pPr>
              <w:jc w:val="center"/>
              <w:rPr>
                <w:rFonts w:ascii="Calibri" w:hAnsi="Calibri" w:cs="Calibri"/>
                <w:color w:val="000000"/>
                <w:szCs w:val="22"/>
              </w:rPr>
            </w:pPr>
            <w:r>
              <w:rPr>
                <w:rFonts w:ascii="Calibri" w:hAnsi="Calibri" w:cs="Calibri"/>
                <w:color w:val="000000"/>
                <w:szCs w:val="22"/>
              </w:rPr>
              <w:t>10</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0008A9C3" w14:textId="77777777" w:rsidR="007F1830" w:rsidRDefault="007F1830">
            <w:pPr>
              <w:jc w:val="center"/>
              <w:rPr>
                <w:rFonts w:ascii="Calibri" w:hAnsi="Calibri" w:cs="Calibri"/>
                <w:color w:val="000000"/>
                <w:szCs w:val="22"/>
              </w:rPr>
            </w:pPr>
            <w:r>
              <w:rPr>
                <w:rFonts w:ascii="Calibri" w:hAnsi="Calibri" w:cs="Calibri"/>
                <w:color w:val="000000"/>
                <w:szCs w:val="22"/>
              </w:rPr>
              <w:t>Br-1</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7653BE2" w14:textId="77777777" w:rsidR="007F1830" w:rsidRDefault="007F1830">
            <w:pPr>
              <w:jc w:val="center"/>
              <w:rPr>
                <w:rFonts w:ascii="Calibri" w:hAnsi="Calibri" w:cs="Calibri"/>
                <w:color w:val="000000"/>
                <w:szCs w:val="22"/>
              </w:rPr>
            </w:pPr>
            <w:r>
              <w:rPr>
                <w:rFonts w:ascii="Calibri" w:hAnsi="Calibri" w:cs="Calibri"/>
                <w:color w:val="000000"/>
                <w:szCs w:val="22"/>
              </w:rPr>
              <w:t>14.0-14.45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1B74716" w14:textId="77777777" w:rsidR="007F1830" w:rsidRDefault="007F1830">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F2EF361" w14:textId="77777777" w:rsidR="007F1830" w:rsidRDefault="007F1830">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14:paraId="273BA8A8"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36C1F565"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759D6DEC"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17093A24" w14:textId="77777777" w:rsidR="007F1830" w:rsidRDefault="007F1830">
            <w:pPr>
              <w:jc w:val="center"/>
              <w:rPr>
                <w:rFonts w:ascii="Calibri" w:hAnsi="Calibri" w:cs="Calibri"/>
                <w:color w:val="000000"/>
                <w:szCs w:val="22"/>
              </w:rPr>
            </w:pPr>
            <w:r>
              <w:rPr>
                <w:rFonts w:ascii="Calibri" w:hAnsi="Calibri" w:cs="Calibri"/>
                <w:color w:val="000000"/>
                <w:szCs w:val="22"/>
              </w:rPr>
              <w:t>11</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58083904" w14:textId="77777777" w:rsidR="007F1830" w:rsidRDefault="007F1830">
            <w:pPr>
              <w:jc w:val="center"/>
              <w:rPr>
                <w:rFonts w:ascii="Calibri" w:hAnsi="Calibri" w:cs="Calibri"/>
                <w:color w:val="000000"/>
                <w:szCs w:val="22"/>
              </w:rPr>
            </w:pPr>
            <w:r>
              <w:rPr>
                <w:rFonts w:ascii="Calibri" w:hAnsi="Calibri" w:cs="Calibri"/>
                <w:color w:val="000000"/>
                <w:szCs w:val="22"/>
              </w:rPr>
              <w:t>Br-4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4E80224C" w14:textId="77777777" w:rsidR="007F1830" w:rsidRDefault="007F1830">
            <w:pPr>
              <w:jc w:val="center"/>
              <w:rPr>
                <w:rFonts w:ascii="AcadNusx" w:hAnsi="AcadNusx" w:cs="Calibri"/>
                <w:color w:val="000000"/>
                <w:szCs w:val="22"/>
              </w:rPr>
            </w:pPr>
            <w:r>
              <w:rPr>
                <w:rFonts w:ascii="AcadNusx" w:hAnsi="AcadNusx" w:cs="Calibri"/>
                <w:color w:val="000000"/>
                <w:szCs w:val="22"/>
              </w:rPr>
              <w:t>3.0-3.45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24B0A144" w14:textId="77777777" w:rsidR="007F1830" w:rsidRDefault="007F1830">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27277782" w14:textId="77777777" w:rsidR="007F1830" w:rsidRDefault="007F1830">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14:paraId="30208CD8"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BC81368"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3123E7A8"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338EDB5D" w14:textId="77777777" w:rsidR="007F1830" w:rsidRDefault="007F1830">
            <w:pPr>
              <w:jc w:val="center"/>
              <w:rPr>
                <w:rFonts w:ascii="Calibri" w:hAnsi="Calibri" w:cs="Calibri"/>
                <w:color w:val="000000"/>
                <w:szCs w:val="22"/>
              </w:rPr>
            </w:pPr>
            <w:r>
              <w:rPr>
                <w:rFonts w:ascii="Calibri" w:hAnsi="Calibri" w:cs="Calibri"/>
                <w:color w:val="000000"/>
                <w:szCs w:val="22"/>
              </w:rPr>
              <w:t>12</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0A825688" w14:textId="77777777" w:rsidR="007F1830" w:rsidRDefault="007F1830">
            <w:pPr>
              <w:jc w:val="center"/>
              <w:rPr>
                <w:rFonts w:ascii="Calibri" w:hAnsi="Calibri" w:cs="Calibri"/>
                <w:color w:val="000000"/>
                <w:szCs w:val="22"/>
              </w:rPr>
            </w:pPr>
            <w:r>
              <w:rPr>
                <w:rFonts w:ascii="Calibri" w:hAnsi="Calibri" w:cs="Calibri"/>
                <w:color w:val="000000"/>
                <w:szCs w:val="22"/>
              </w:rPr>
              <w:t>Br-14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453E476B" w14:textId="77777777" w:rsidR="007F1830" w:rsidRDefault="007F1830">
            <w:pPr>
              <w:jc w:val="center"/>
              <w:rPr>
                <w:rFonts w:ascii="AcadNusx" w:hAnsi="AcadNusx" w:cs="Calibri"/>
                <w:color w:val="000000"/>
                <w:szCs w:val="22"/>
              </w:rPr>
            </w:pPr>
            <w:r>
              <w:rPr>
                <w:rFonts w:ascii="AcadNusx" w:hAnsi="AcadNusx" w:cs="Calibri"/>
                <w:color w:val="000000"/>
                <w:szCs w:val="22"/>
              </w:rPr>
              <w:t>11.0-11.45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0146AD90" w14:textId="77777777" w:rsidR="007F1830" w:rsidRDefault="007F1830">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0F7D310D" w14:textId="77777777" w:rsidR="007F1830" w:rsidRDefault="007F1830">
            <w:pPr>
              <w:jc w:val="center"/>
              <w:rPr>
                <w:rFonts w:ascii="AcadNusx" w:hAnsi="AcadNusx" w:cs="Calibri"/>
                <w:color w:val="000000"/>
                <w:szCs w:val="22"/>
              </w:rPr>
            </w:pPr>
            <w:r>
              <w:rPr>
                <w:rFonts w:ascii="AcadNusx" w:hAnsi="AcadNusx" w:cs="Calibri"/>
                <w:color w:val="000000"/>
                <w:szCs w:val="22"/>
              </w:rPr>
              <w:t>22</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14:paraId="50CF7AFE"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42AE3B40"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6A0E70A0"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497AF6F7" w14:textId="77777777" w:rsidR="007F1830" w:rsidRDefault="007F1830">
            <w:pPr>
              <w:jc w:val="center"/>
              <w:rPr>
                <w:rFonts w:ascii="Calibri" w:hAnsi="Calibri" w:cs="Calibri"/>
                <w:color w:val="000000"/>
                <w:szCs w:val="22"/>
              </w:rPr>
            </w:pPr>
            <w:r>
              <w:rPr>
                <w:rFonts w:ascii="Calibri" w:hAnsi="Calibri" w:cs="Calibri"/>
                <w:color w:val="000000"/>
                <w:szCs w:val="22"/>
              </w:rPr>
              <w:t>13</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0D6140E5" w14:textId="77777777" w:rsidR="007F1830" w:rsidRDefault="007F1830">
            <w:pPr>
              <w:jc w:val="center"/>
              <w:rPr>
                <w:rFonts w:ascii="Calibri" w:hAnsi="Calibri" w:cs="Calibri"/>
                <w:color w:val="000000"/>
                <w:szCs w:val="22"/>
              </w:rPr>
            </w:pPr>
            <w:r>
              <w:rPr>
                <w:rFonts w:ascii="Calibri" w:hAnsi="Calibri" w:cs="Calibri"/>
                <w:color w:val="000000"/>
                <w:szCs w:val="22"/>
              </w:rPr>
              <w:t>Br-14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7033887" w14:textId="77777777" w:rsidR="007F1830" w:rsidRDefault="007F1830">
            <w:pPr>
              <w:jc w:val="center"/>
              <w:rPr>
                <w:rFonts w:ascii="AcadNusx" w:hAnsi="AcadNusx" w:cs="Calibri"/>
                <w:color w:val="000000"/>
                <w:szCs w:val="22"/>
              </w:rPr>
            </w:pPr>
            <w:r>
              <w:rPr>
                <w:rFonts w:ascii="AcadNusx" w:hAnsi="AcadNusx" w:cs="Calibri"/>
                <w:color w:val="000000"/>
                <w:szCs w:val="22"/>
              </w:rPr>
              <w:t>13.0-13.45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019C7ABF" w14:textId="77777777" w:rsidR="007F1830" w:rsidRDefault="007F1830">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B1DB3D9" w14:textId="77777777" w:rsidR="007F1830" w:rsidRDefault="007F1830">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14:paraId="6D896A17"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4BB7ED11"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3B0BACC2"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4703A6F5" w14:textId="77777777" w:rsidR="007F1830" w:rsidRDefault="007F1830">
            <w:pPr>
              <w:jc w:val="center"/>
              <w:rPr>
                <w:rFonts w:ascii="Calibri" w:hAnsi="Calibri" w:cs="Calibri"/>
                <w:color w:val="000000"/>
                <w:szCs w:val="22"/>
              </w:rPr>
            </w:pPr>
            <w:r>
              <w:rPr>
                <w:rFonts w:ascii="Calibri" w:hAnsi="Calibri" w:cs="Calibri"/>
                <w:color w:val="000000"/>
                <w:szCs w:val="22"/>
              </w:rPr>
              <w:t>14</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7228D001" w14:textId="77777777" w:rsidR="007F1830" w:rsidRDefault="007F1830">
            <w:pPr>
              <w:jc w:val="center"/>
              <w:rPr>
                <w:rFonts w:ascii="Calibri" w:hAnsi="Calibri" w:cs="Calibri"/>
                <w:color w:val="000000"/>
                <w:szCs w:val="22"/>
              </w:rPr>
            </w:pPr>
            <w:r>
              <w:rPr>
                <w:rFonts w:ascii="Calibri" w:hAnsi="Calibri" w:cs="Calibri"/>
                <w:color w:val="000000"/>
                <w:szCs w:val="22"/>
              </w:rPr>
              <w:t>Br-14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22C0AFC0" w14:textId="77777777" w:rsidR="007F1830" w:rsidRDefault="007F1830">
            <w:pPr>
              <w:jc w:val="center"/>
              <w:rPr>
                <w:rFonts w:ascii="AcadNusx" w:hAnsi="AcadNusx" w:cs="Calibri"/>
                <w:color w:val="000000"/>
                <w:szCs w:val="22"/>
              </w:rPr>
            </w:pPr>
            <w:r>
              <w:rPr>
                <w:rFonts w:ascii="AcadNusx" w:hAnsi="AcadNusx" w:cs="Calibri"/>
                <w:color w:val="000000"/>
                <w:szCs w:val="22"/>
              </w:rPr>
              <w:t>14.5-14.95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523161E" w14:textId="77777777" w:rsidR="007F1830" w:rsidRDefault="007F1830">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E144DAC" w14:textId="77777777" w:rsidR="007F1830" w:rsidRDefault="007F1830">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14:paraId="2BF491FB"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091237F"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41AB3E03" w14:textId="77777777" w:rsidTr="007F1830">
        <w:trPr>
          <w:trHeight w:val="315"/>
          <w:jc w:val="center"/>
        </w:trPr>
        <w:tc>
          <w:tcPr>
            <w:tcW w:w="7880" w:type="dxa"/>
            <w:gridSpan w:val="7"/>
            <w:tcBorders>
              <w:top w:val="single" w:sz="4" w:space="0" w:color="auto"/>
              <w:left w:val="single" w:sz="4" w:space="0" w:color="auto"/>
              <w:bottom w:val="single" w:sz="4" w:space="0" w:color="auto"/>
              <w:right w:val="single" w:sz="4" w:space="0" w:color="auto"/>
            </w:tcBorders>
            <w:noWrap/>
            <w:vAlign w:val="center"/>
            <w:hideMark/>
          </w:tcPr>
          <w:p w14:paraId="49EF5E5A" w14:textId="77777777" w:rsidR="007F1830" w:rsidRDefault="007F1830">
            <w:pPr>
              <w:rPr>
                <w:rFonts w:ascii="AcadNusx" w:hAnsi="AcadNusx" w:cs="Calibri"/>
                <w:b/>
                <w:bCs/>
                <w:color w:val="000000"/>
                <w:szCs w:val="22"/>
              </w:rPr>
            </w:pPr>
            <w:r>
              <w:rPr>
                <w:rFonts w:ascii="AcadNusx" w:hAnsi="AcadNusx" w:cs="Calibri"/>
                <w:b/>
                <w:bCs/>
                <w:color w:val="000000"/>
                <w:szCs w:val="22"/>
              </w:rPr>
              <w:t>saSualo</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7F036E4B" w14:textId="77777777" w:rsidR="007F1830" w:rsidRDefault="007F1830">
            <w:pPr>
              <w:jc w:val="center"/>
              <w:rPr>
                <w:rFonts w:ascii="AcadNusx" w:hAnsi="AcadNusx" w:cs="Calibri"/>
                <w:b/>
                <w:bCs/>
                <w:color w:val="000000"/>
                <w:szCs w:val="22"/>
              </w:rPr>
            </w:pPr>
            <w:r>
              <w:rPr>
                <w:rFonts w:ascii="AcadNusx" w:hAnsi="AcadNusx" w:cs="Calibri"/>
                <w:b/>
                <w:bCs/>
                <w:color w:val="000000"/>
                <w:szCs w:val="22"/>
              </w:rPr>
              <w:t>&gt;50</w:t>
            </w:r>
          </w:p>
        </w:tc>
      </w:tr>
      <w:tr w:rsidR="007F1830" w14:paraId="69102EA4"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6176E236" w14:textId="77777777" w:rsidR="007F1830" w:rsidRDefault="007F1830">
            <w:pPr>
              <w:jc w:val="center"/>
              <w:rPr>
                <w:rFonts w:ascii="Calibri" w:hAnsi="Calibri" w:cs="Calibri"/>
                <w:color w:val="000000"/>
                <w:szCs w:val="22"/>
              </w:rPr>
            </w:pPr>
            <w:r>
              <w:rPr>
                <w:rFonts w:ascii="Calibri" w:hAnsi="Calibri" w:cs="Calibri"/>
                <w:color w:val="000000"/>
                <w:szCs w:val="22"/>
              </w:rPr>
              <w:t>15</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28D12BC1" w14:textId="77777777" w:rsidR="007F1830" w:rsidRDefault="007F1830">
            <w:pPr>
              <w:jc w:val="center"/>
              <w:rPr>
                <w:rFonts w:ascii="Calibri" w:hAnsi="Calibri" w:cs="Calibri"/>
                <w:color w:val="000000"/>
                <w:szCs w:val="22"/>
              </w:rPr>
            </w:pPr>
            <w:r>
              <w:rPr>
                <w:rFonts w:ascii="Calibri" w:hAnsi="Calibri" w:cs="Calibri"/>
                <w:color w:val="000000"/>
                <w:szCs w:val="22"/>
              </w:rPr>
              <w:t>Br-7</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7B88416F" w14:textId="77777777" w:rsidR="007F1830" w:rsidRDefault="007F1830">
            <w:pPr>
              <w:jc w:val="center"/>
              <w:rPr>
                <w:rFonts w:ascii="AcadNusx" w:hAnsi="AcadNusx" w:cs="Calibri"/>
                <w:color w:val="000000"/>
                <w:szCs w:val="22"/>
              </w:rPr>
            </w:pPr>
            <w:r>
              <w:rPr>
                <w:rFonts w:ascii="AcadNusx" w:hAnsi="AcadNusx" w:cs="Calibri"/>
                <w:color w:val="000000"/>
                <w:szCs w:val="22"/>
              </w:rPr>
              <w:t>12.0-12.45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543339D" w14:textId="77777777" w:rsidR="007F1830" w:rsidRDefault="007F1830">
            <w:pPr>
              <w:jc w:val="center"/>
              <w:rPr>
                <w:rFonts w:ascii="AcadNusx" w:hAnsi="AcadNusx" w:cs="Calibri"/>
                <w:color w:val="000000"/>
                <w:szCs w:val="22"/>
              </w:rPr>
            </w:pPr>
            <w:r>
              <w:rPr>
                <w:rFonts w:ascii="AcadNusx" w:hAnsi="AcadNusx" w:cs="Calibri"/>
                <w:color w:val="000000"/>
                <w:szCs w:val="22"/>
              </w:rPr>
              <w:t>6</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E1FE446" w14:textId="77777777" w:rsidR="007F1830" w:rsidRDefault="007F1830">
            <w:pPr>
              <w:jc w:val="center"/>
              <w:rPr>
                <w:rFonts w:ascii="AcadNusx" w:hAnsi="AcadNusx" w:cs="Calibri"/>
                <w:color w:val="000000"/>
                <w:szCs w:val="22"/>
              </w:rPr>
            </w:pPr>
            <w:r>
              <w:rPr>
                <w:rFonts w:ascii="AcadNusx" w:hAnsi="AcadNusx" w:cs="Calibri"/>
                <w:color w:val="000000"/>
                <w:szCs w:val="22"/>
              </w:rPr>
              <w:t>8</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58855441" w14:textId="77777777" w:rsidR="007F1830" w:rsidRDefault="007F1830">
            <w:pPr>
              <w:jc w:val="center"/>
              <w:rPr>
                <w:rFonts w:ascii="AcadNusx" w:hAnsi="AcadNusx" w:cs="Calibri"/>
                <w:color w:val="000000"/>
                <w:szCs w:val="22"/>
              </w:rPr>
            </w:pPr>
            <w:r>
              <w:rPr>
                <w:rFonts w:ascii="AcadNusx" w:hAnsi="AcadNusx" w:cs="Calibri"/>
                <w:color w:val="000000"/>
                <w:szCs w:val="22"/>
              </w:rPr>
              <w:t>9</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0DFE2126" w14:textId="77777777" w:rsidR="007F1830" w:rsidRDefault="007F1830">
            <w:pPr>
              <w:jc w:val="center"/>
              <w:rPr>
                <w:rFonts w:ascii="AcadNusx" w:hAnsi="AcadNusx" w:cs="Calibri"/>
                <w:color w:val="000000"/>
                <w:szCs w:val="22"/>
              </w:rPr>
            </w:pPr>
            <w:r>
              <w:rPr>
                <w:rFonts w:ascii="AcadNusx" w:hAnsi="AcadNusx" w:cs="Calibri"/>
                <w:color w:val="000000"/>
                <w:szCs w:val="22"/>
              </w:rPr>
              <w:t>9</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94A78FB" w14:textId="77777777" w:rsidR="007F1830" w:rsidRDefault="007F1830">
            <w:pPr>
              <w:jc w:val="center"/>
              <w:rPr>
                <w:rFonts w:ascii="AcadNusx" w:hAnsi="AcadNusx" w:cs="Calibri"/>
                <w:color w:val="000000"/>
                <w:szCs w:val="22"/>
              </w:rPr>
            </w:pPr>
            <w:r>
              <w:rPr>
                <w:rFonts w:ascii="AcadNusx" w:hAnsi="AcadNusx" w:cs="Calibri"/>
                <w:color w:val="000000"/>
                <w:szCs w:val="22"/>
              </w:rPr>
              <w:t>18</w:t>
            </w:r>
          </w:p>
        </w:tc>
      </w:tr>
      <w:tr w:rsidR="007F1830" w14:paraId="61B0F750"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2CDA3447" w14:textId="77777777" w:rsidR="007F1830" w:rsidRDefault="007F1830">
            <w:pPr>
              <w:jc w:val="center"/>
              <w:rPr>
                <w:rFonts w:ascii="Calibri" w:hAnsi="Calibri" w:cs="Calibri"/>
                <w:color w:val="000000"/>
                <w:szCs w:val="22"/>
              </w:rPr>
            </w:pPr>
            <w:r>
              <w:rPr>
                <w:rFonts w:ascii="Calibri" w:hAnsi="Calibri" w:cs="Calibri"/>
                <w:color w:val="000000"/>
                <w:szCs w:val="22"/>
              </w:rPr>
              <w:t>16</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4A145472" w14:textId="77777777" w:rsidR="007F1830" w:rsidRDefault="007F1830">
            <w:pPr>
              <w:jc w:val="center"/>
              <w:rPr>
                <w:rFonts w:ascii="Calibri" w:hAnsi="Calibri" w:cs="Calibri"/>
                <w:color w:val="000000"/>
                <w:szCs w:val="22"/>
              </w:rPr>
            </w:pPr>
            <w:r>
              <w:rPr>
                <w:rFonts w:ascii="Calibri" w:hAnsi="Calibri" w:cs="Calibri"/>
                <w:color w:val="000000"/>
                <w:szCs w:val="22"/>
              </w:rPr>
              <w:t>Br-7</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8F86C4A" w14:textId="77777777" w:rsidR="007F1830" w:rsidRDefault="007F1830">
            <w:pPr>
              <w:jc w:val="center"/>
              <w:rPr>
                <w:rFonts w:ascii="AcadNusx" w:hAnsi="AcadNusx" w:cs="Calibri"/>
                <w:color w:val="000000"/>
                <w:szCs w:val="22"/>
              </w:rPr>
            </w:pPr>
            <w:r>
              <w:rPr>
                <w:rFonts w:ascii="AcadNusx" w:hAnsi="AcadNusx" w:cs="Calibri"/>
                <w:color w:val="000000"/>
                <w:szCs w:val="22"/>
              </w:rPr>
              <w:t>14.0-14.45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D5F0250" w14:textId="77777777" w:rsidR="007F1830" w:rsidRDefault="007F1830">
            <w:pPr>
              <w:jc w:val="center"/>
              <w:rPr>
                <w:rFonts w:ascii="AcadNusx" w:hAnsi="AcadNusx" w:cs="Calibri"/>
                <w:color w:val="000000"/>
                <w:szCs w:val="22"/>
              </w:rPr>
            </w:pPr>
            <w:r>
              <w:rPr>
                <w:rFonts w:ascii="AcadNusx" w:hAnsi="AcadNusx" w:cs="Calibri"/>
                <w:color w:val="000000"/>
                <w:szCs w:val="22"/>
              </w:rPr>
              <w:t>6</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00E89015" w14:textId="77777777" w:rsidR="007F1830" w:rsidRDefault="007F1830">
            <w:pPr>
              <w:jc w:val="center"/>
              <w:rPr>
                <w:rFonts w:ascii="AcadNusx" w:hAnsi="AcadNusx" w:cs="Calibri"/>
                <w:color w:val="000000"/>
                <w:szCs w:val="22"/>
              </w:rPr>
            </w:pPr>
            <w:r>
              <w:rPr>
                <w:rFonts w:ascii="AcadNusx" w:hAnsi="AcadNusx" w:cs="Calibri"/>
                <w:color w:val="000000"/>
                <w:szCs w:val="22"/>
              </w:rPr>
              <w:t>10</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74EC2102" w14:textId="77777777" w:rsidR="007F1830" w:rsidRDefault="007F1830">
            <w:pPr>
              <w:jc w:val="center"/>
              <w:rPr>
                <w:rFonts w:ascii="AcadNusx" w:hAnsi="AcadNusx" w:cs="Calibri"/>
                <w:color w:val="000000"/>
                <w:szCs w:val="22"/>
              </w:rPr>
            </w:pPr>
            <w:r>
              <w:rPr>
                <w:rFonts w:ascii="AcadNusx" w:hAnsi="AcadNusx" w:cs="Calibri"/>
                <w:color w:val="000000"/>
                <w:szCs w:val="22"/>
              </w:rPr>
              <w:t>7</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21BB5073" w14:textId="77777777" w:rsidR="007F1830" w:rsidRDefault="007F1830">
            <w:pPr>
              <w:jc w:val="center"/>
              <w:rPr>
                <w:rFonts w:ascii="AcadNusx" w:hAnsi="AcadNusx" w:cs="Calibri"/>
                <w:color w:val="000000"/>
                <w:szCs w:val="22"/>
              </w:rPr>
            </w:pPr>
            <w:r>
              <w:rPr>
                <w:rFonts w:ascii="AcadNusx" w:hAnsi="AcadNusx" w:cs="Calibri"/>
                <w:color w:val="000000"/>
                <w:szCs w:val="22"/>
              </w:rPr>
              <w:t>9</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2A0A216C" w14:textId="77777777" w:rsidR="007F1830" w:rsidRDefault="007F1830">
            <w:pPr>
              <w:jc w:val="center"/>
              <w:rPr>
                <w:rFonts w:ascii="AcadNusx" w:hAnsi="AcadNusx" w:cs="Calibri"/>
                <w:color w:val="000000"/>
                <w:szCs w:val="22"/>
              </w:rPr>
            </w:pPr>
            <w:r>
              <w:rPr>
                <w:rFonts w:ascii="AcadNusx" w:hAnsi="AcadNusx" w:cs="Calibri"/>
                <w:color w:val="000000"/>
                <w:szCs w:val="22"/>
              </w:rPr>
              <w:t>16</w:t>
            </w:r>
          </w:p>
        </w:tc>
      </w:tr>
      <w:tr w:rsidR="007F1830" w14:paraId="71163A4B"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5D0C920D" w14:textId="77777777" w:rsidR="007F1830" w:rsidRDefault="007F1830">
            <w:pPr>
              <w:jc w:val="center"/>
              <w:rPr>
                <w:rFonts w:ascii="Calibri" w:hAnsi="Calibri" w:cs="Calibri"/>
                <w:color w:val="000000"/>
                <w:szCs w:val="22"/>
              </w:rPr>
            </w:pPr>
            <w:r>
              <w:rPr>
                <w:rFonts w:ascii="Calibri" w:hAnsi="Calibri" w:cs="Calibri"/>
                <w:color w:val="000000"/>
                <w:szCs w:val="22"/>
              </w:rPr>
              <w:t>17</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464BDC55" w14:textId="77777777" w:rsidR="007F1830" w:rsidRDefault="007F1830">
            <w:pPr>
              <w:jc w:val="center"/>
              <w:rPr>
                <w:rFonts w:ascii="Calibri" w:hAnsi="Calibri" w:cs="Calibri"/>
                <w:color w:val="000000"/>
                <w:szCs w:val="22"/>
              </w:rPr>
            </w:pPr>
            <w:r>
              <w:rPr>
                <w:rFonts w:ascii="Calibri" w:hAnsi="Calibri" w:cs="Calibri"/>
                <w:color w:val="000000"/>
                <w:szCs w:val="22"/>
              </w:rPr>
              <w:t>Br-7</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7507A06" w14:textId="77777777" w:rsidR="007F1830" w:rsidRDefault="007F1830">
            <w:pPr>
              <w:jc w:val="center"/>
              <w:rPr>
                <w:rFonts w:ascii="AcadNusx" w:hAnsi="AcadNusx" w:cs="Calibri"/>
                <w:color w:val="000000"/>
                <w:szCs w:val="22"/>
              </w:rPr>
            </w:pPr>
            <w:r>
              <w:rPr>
                <w:rFonts w:ascii="AcadNusx" w:hAnsi="AcadNusx" w:cs="Calibri"/>
                <w:color w:val="000000"/>
                <w:szCs w:val="22"/>
              </w:rPr>
              <w:t>6.0-6.45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5662D85" w14:textId="77777777" w:rsidR="007F1830" w:rsidRDefault="007F1830">
            <w:pPr>
              <w:jc w:val="center"/>
              <w:rPr>
                <w:rFonts w:ascii="AcadNusx" w:hAnsi="AcadNusx" w:cs="Calibri"/>
                <w:color w:val="000000"/>
                <w:szCs w:val="22"/>
              </w:rPr>
            </w:pPr>
            <w:r>
              <w:rPr>
                <w:rFonts w:ascii="AcadNusx" w:hAnsi="AcadNusx" w:cs="Calibri"/>
                <w:color w:val="000000"/>
                <w:szCs w:val="22"/>
              </w:rPr>
              <w:t>6</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0BED0C07" w14:textId="77777777" w:rsidR="007F1830" w:rsidRDefault="007F1830">
            <w:pPr>
              <w:jc w:val="center"/>
              <w:rPr>
                <w:rFonts w:ascii="AcadNusx" w:hAnsi="AcadNusx" w:cs="Calibri"/>
                <w:color w:val="000000"/>
                <w:szCs w:val="22"/>
              </w:rPr>
            </w:pPr>
            <w:r>
              <w:rPr>
                <w:rFonts w:ascii="AcadNusx" w:hAnsi="AcadNusx" w:cs="Calibri"/>
                <w:color w:val="000000"/>
                <w:szCs w:val="22"/>
              </w:rPr>
              <w:t>8</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1FF331AD" w14:textId="77777777" w:rsidR="007F1830" w:rsidRDefault="007F1830">
            <w:pPr>
              <w:jc w:val="center"/>
              <w:rPr>
                <w:rFonts w:ascii="AcadNusx" w:hAnsi="AcadNusx" w:cs="Calibri"/>
                <w:color w:val="000000"/>
                <w:szCs w:val="22"/>
              </w:rPr>
            </w:pPr>
            <w:r>
              <w:rPr>
                <w:rFonts w:ascii="AcadNusx" w:hAnsi="AcadNusx" w:cs="Calibri"/>
                <w:color w:val="000000"/>
                <w:szCs w:val="22"/>
              </w:rPr>
              <w:t>8</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4FC5781D" w14:textId="77777777" w:rsidR="007F1830" w:rsidRDefault="007F1830">
            <w:pPr>
              <w:jc w:val="center"/>
              <w:rPr>
                <w:rFonts w:ascii="AcadNusx" w:hAnsi="AcadNusx" w:cs="Calibri"/>
                <w:color w:val="000000"/>
                <w:szCs w:val="22"/>
              </w:rPr>
            </w:pPr>
            <w:r>
              <w:rPr>
                <w:rFonts w:ascii="AcadNusx" w:hAnsi="AcadNusx" w:cs="Calibri"/>
                <w:color w:val="000000"/>
                <w:szCs w:val="22"/>
              </w:rPr>
              <w:t>11</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59DC833" w14:textId="77777777" w:rsidR="007F1830" w:rsidRDefault="007F1830">
            <w:pPr>
              <w:jc w:val="center"/>
              <w:rPr>
                <w:rFonts w:ascii="AcadNusx" w:hAnsi="AcadNusx" w:cs="Calibri"/>
                <w:color w:val="000000"/>
                <w:szCs w:val="22"/>
              </w:rPr>
            </w:pPr>
            <w:r>
              <w:rPr>
                <w:rFonts w:ascii="AcadNusx" w:hAnsi="AcadNusx" w:cs="Calibri"/>
                <w:color w:val="000000"/>
                <w:szCs w:val="22"/>
              </w:rPr>
              <w:t>19</w:t>
            </w:r>
          </w:p>
        </w:tc>
      </w:tr>
      <w:tr w:rsidR="007F1830" w14:paraId="4E5AC172" w14:textId="77777777" w:rsidTr="007F1830">
        <w:trPr>
          <w:trHeight w:val="315"/>
          <w:jc w:val="center"/>
        </w:trPr>
        <w:tc>
          <w:tcPr>
            <w:tcW w:w="7880" w:type="dxa"/>
            <w:gridSpan w:val="7"/>
            <w:tcBorders>
              <w:top w:val="single" w:sz="4" w:space="0" w:color="auto"/>
              <w:left w:val="single" w:sz="4" w:space="0" w:color="auto"/>
              <w:bottom w:val="single" w:sz="4" w:space="0" w:color="auto"/>
              <w:right w:val="single" w:sz="4" w:space="0" w:color="auto"/>
            </w:tcBorders>
            <w:noWrap/>
            <w:vAlign w:val="center"/>
            <w:hideMark/>
          </w:tcPr>
          <w:p w14:paraId="7CC7536B" w14:textId="77777777" w:rsidR="007F1830" w:rsidRDefault="007F1830">
            <w:pPr>
              <w:rPr>
                <w:rFonts w:ascii="AcadNusx" w:hAnsi="AcadNusx" w:cs="Calibri"/>
                <w:b/>
                <w:bCs/>
                <w:color w:val="000000"/>
                <w:szCs w:val="22"/>
              </w:rPr>
            </w:pPr>
            <w:r>
              <w:rPr>
                <w:rFonts w:ascii="AcadNusx" w:hAnsi="AcadNusx" w:cs="Calibri"/>
                <w:b/>
                <w:bCs/>
                <w:color w:val="000000"/>
                <w:szCs w:val="22"/>
              </w:rPr>
              <w:t>saSualo</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5D81999" w14:textId="77777777" w:rsidR="007F1830" w:rsidRDefault="007F1830">
            <w:pPr>
              <w:jc w:val="center"/>
              <w:rPr>
                <w:rFonts w:ascii="AcadNusx" w:hAnsi="AcadNusx" w:cs="Calibri"/>
                <w:b/>
                <w:bCs/>
                <w:color w:val="000000"/>
                <w:szCs w:val="22"/>
              </w:rPr>
            </w:pPr>
            <w:r>
              <w:rPr>
                <w:rFonts w:ascii="AcadNusx" w:hAnsi="AcadNusx" w:cs="Calibri"/>
                <w:b/>
                <w:bCs/>
                <w:color w:val="000000"/>
                <w:szCs w:val="22"/>
              </w:rPr>
              <w:t>18</w:t>
            </w:r>
          </w:p>
        </w:tc>
      </w:tr>
      <w:tr w:rsidR="007F1830" w14:paraId="528961A1"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0ABC1B78" w14:textId="77777777" w:rsidR="007F1830" w:rsidRDefault="007F1830">
            <w:pPr>
              <w:jc w:val="center"/>
              <w:rPr>
                <w:rFonts w:ascii="Calibri" w:hAnsi="Calibri" w:cs="Calibri"/>
                <w:color w:val="000000"/>
                <w:szCs w:val="22"/>
              </w:rPr>
            </w:pPr>
            <w:r>
              <w:rPr>
                <w:rFonts w:ascii="Calibri" w:hAnsi="Calibri" w:cs="Calibri"/>
                <w:color w:val="000000"/>
                <w:szCs w:val="22"/>
              </w:rPr>
              <w:t>18</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6D767108" w14:textId="77777777" w:rsidR="007F1830" w:rsidRDefault="007F1830">
            <w:pPr>
              <w:jc w:val="center"/>
              <w:rPr>
                <w:rFonts w:ascii="Calibri" w:hAnsi="Calibri" w:cs="Calibri"/>
                <w:color w:val="000000"/>
                <w:szCs w:val="22"/>
              </w:rPr>
            </w:pPr>
            <w:r>
              <w:rPr>
                <w:rFonts w:ascii="Calibri" w:hAnsi="Calibri" w:cs="Calibri"/>
                <w:color w:val="000000"/>
                <w:szCs w:val="22"/>
              </w:rPr>
              <w:t>Br-7</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73DB20B6" w14:textId="77777777" w:rsidR="007F1830" w:rsidRDefault="007F1830">
            <w:pPr>
              <w:jc w:val="center"/>
              <w:rPr>
                <w:rFonts w:ascii="AcadNusx" w:hAnsi="AcadNusx" w:cs="Calibri"/>
                <w:color w:val="000000"/>
                <w:szCs w:val="22"/>
              </w:rPr>
            </w:pPr>
            <w:r>
              <w:rPr>
                <w:rFonts w:ascii="AcadNusx" w:hAnsi="AcadNusx" w:cs="Calibri"/>
                <w:color w:val="000000"/>
                <w:szCs w:val="22"/>
              </w:rPr>
              <w:t>10.0-10.45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882DA08" w14:textId="77777777" w:rsidR="007F1830" w:rsidRDefault="007F1830">
            <w:pPr>
              <w:jc w:val="center"/>
              <w:rPr>
                <w:rFonts w:ascii="AcadNusx" w:hAnsi="AcadNusx" w:cs="Calibri"/>
                <w:color w:val="000000"/>
                <w:szCs w:val="22"/>
              </w:rPr>
            </w:pPr>
            <w:r>
              <w:rPr>
                <w:rFonts w:ascii="AcadNusx" w:hAnsi="AcadNusx" w:cs="Calibri"/>
                <w:color w:val="000000"/>
                <w:szCs w:val="22"/>
              </w:rPr>
              <w:t>8</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0EF33EC0" w14:textId="77777777" w:rsidR="007F1830" w:rsidRDefault="007F1830">
            <w:pPr>
              <w:jc w:val="center"/>
              <w:rPr>
                <w:rFonts w:ascii="AcadNusx" w:hAnsi="AcadNusx" w:cs="Calibri"/>
                <w:color w:val="000000"/>
                <w:szCs w:val="22"/>
              </w:rPr>
            </w:pPr>
            <w:r>
              <w:rPr>
                <w:rFonts w:ascii="AcadNusx" w:hAnsi="AcadNusx" w:cs="Calibri"/>
                <w:color w:val="000000"/>
                <w:szCs w:val="22"/>
              </w:rPr>
              <w:t>23</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24BAF710" w14:textId="77777777" w:rsidR="007F1830" w:rsidRDefault="007F1830">
            <w:pPr>
              <w:jc w:val="center"/>
              <w:rPr>
                <w:rFonts w:ascii="AcadNusx" w:hAnsi="AcadNusx" w:cs="Calibri"/>
                <w:color w:val="000000"/>
                <w:szCs w:val="22"/>
              </w:rPr>
            </w:pPr>
            <w:r>
              <w:rPr>
                <w:rFonts w:ascii="AcadNusx" w:hAnsi="AcadNusx" w:cs="Calibri"/>
                <w:color w:val="000000"/>
                <w:szCs w:val="22"/>
              </w:rPr>
              <w:t>22</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33A4D3D7" w14:textId="77777777" w:rsidR="007F1830" w:rsidRDefault="007F1830">
            <w:pPr>
              <w:jc w:val="center"/>
              <w:rPr>
                <w:rFonts w:ascii="AcadNusx" w:hAnsi="AcadNusx" w:cs="Calibri"/>
                <w:color w:val="000000"/>
                <w:szCs w:val="22"/>
              </w:rPr>
            </w:pPr>
            <w:r>
              <w:rPr>
                <w:rFonts w:ascii="AcadNusx" w:hAnsi="AcadNusx" w:cs="Calibri"/>
                <w:color w:val="000000"/>
                <w:szCs w:val="22"/>
              </w:rPr>
              <w:t>22</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555FAD54" w14:textId="77777777" w:rsidR="007F1830" w:rsidRDefault="007F1830">
            <w:pPr>
              <w:jc w:val="center"/>
              <w:rPr>
                <w:rFonts w:ascii="AcadNusx" w:hAnsi="AcadNusx" w:cs="Calibri"/>
                <w:color w:val="000000"/>
                <w:szCs w:val="22"/>
              </w:rPr>
            </w:pPr>
            <w:r>
              <w:rPr>
                <w:rFonts w:ascii="AcadNusx" w:hAnsi="AcadNusx" w:cs="Calibri"/>
                <w:color w:val="000000"/>
                <w:szCs w:val="22"/>
              </w:rPr>
              <w:t>44</w:t>
            </w:r>
          </w:p>
        </w:tc>
      </w:tr>
      <w:tr w:rsidR="007F1830" w14:paraId="1AC14427" w14:textId="77777777" w:rsidTr="007F1830">
        <w:trPr>
          <w:trHeight w:val="315"/>
          <w:jc w:val="center"/>
        </w:trPr>
        <w:tc>
          <w:tcPr>
            <w:tcW w:w="7880" w:type="dxa"/>
            <w:gridSpan w:val="7"/>
            <w:tcBorders>
              <w:top w:val="single" w:sz="4" w:space="0" w:color="auto"/>
              <w:left w:val="single" w:sz="4" w:space="0" w:color="auto"/>
              <w:bottom w:val="single" w:sz="4" w:space="0" w:color="auto"/>
              <w:right w:val="single" w:sz="4" w:space="0" w:color="auto"/>
            </w:tcBorders>
            <w:noWrap/>
            <w:vAlign w:val="center"/>
            <w:hideMark/>
          </w:tcPr>
          <w:p w14:paraId="7B734FD3" w14:textId="77777777" w:rsidR="007F1830" w:rsidRDefault="007F1830">
            <w:pPr>
              <w:rPr>
                <w:rFonts w:ascii="AcadNusx" w:hAnsi="AcadNusx" w:cs="Calibri"/>
                <w:b/>
                <w:bCs/>
                <w:color w:val="000000"/>
                <w:szCs w:val="22"/>
              </w:rPr>
            </w:pPr>
            <w:r>
              <w:rPr>
                <w:rFonts w:ascii="AcadNusx" w:hAnsi="AcadNusx" w:cs="Calibri"/>
                <w:b/>
                <w:bCs/>
                <w:color w:val="000000"/>
                <w:szCs w:val="22"/>
              </w:rPr>
              <w:t>saSualo</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11CA58E7" w14:textId="77777777" w:rsidR="007F1830" w:rsidRDefault="007F1830">
            <w:pPr>
              <w:jc w:val="center"/>
              <w:rPr>
                <w:rFonts w:ascii="AcadNusx" w:hAnsi="AcadNusx" w:cs="Calibri"/>
                <w:b/>
                <w:bCs/>
                <w:color w:val="000000"/>
                <w:szCs w:val="22"/>
              </w:rPr>
            </w:pPr>
            <w:r>
              <w:rPr>
                <w:rFonts w:ascii="AcadNusx" w:hAnsi="AcadNusx" w:cs="Calibri"/>
                <w:b/>
                <w:bCs/>
                <w:color w:val="000000"/>
                <w:szCs w:val="22"/>
              </w:rPr>
              <w:t>44</w:t>
            </w:r>
          </w:p>
        </w:tc>
      </w:tr>
      <w:tr w:rsidR="007F1830" w14:paraId="641039B6"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0360426C" w14:textId="77777777" w:rsidR="007F1830" w:rsidRDefault="007F1830">
            <w:pPr>
              <w:jc w:val="center"/>
              <w:rPr>
                <w:rFonts w:ascii="Calibri" w:hAnsi="Calibri" w:cs="Calibri"/>
                <w:color w:val="000000"/>
                <w:szCs w:val="22"/>
              </w:rPr>
            </w:pPr>
            <w:r>
              <w:rPr>
                <w:rFonts w:ascii="Calibri" w:hAnsi="Calibri" w:cs="Calibri"/>
                <w:color w:val="000000"/>
                <w:szCs w:val="22"/>
              </w:rPr>
              <w:t>19</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1EE0C9D5" w14:textId="77777777" w:rsidR="007F1830" w:rsidRDefault="007F1830">
            <w:pPr>
              <w:jc w:val="center"/>
              <w:rPr>
                <w:rFonts w:ascii="Calibri" w:hAnsi="Calibri" w:cs="Calibri"/>
                <w:color w:val="000000"/>
                <w:szCs w:val="22"/>
              </w:rPr>
            </w:pPr>
            <w:r>
              <w:rPr>
                <w:rFonts w:ascii="Calibri" w:hAnsi="Calibri" w:cs="Calibri"/>
                <w:color w:val="000000"/>
                <w:szCs w:val="22"/>
              </w:rPr>
              <w:t>Br-14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30ABA461" w14:textId="77777777" w:rsidR="007F1830" w:rsidRDefault="007F1830">
            <w:pPr>
              <w:jc w:val="center"/>
              <w:rPr>
                <w:rFonts w:ascii="AcadNusx" w:hAnsi="AcadNusx" w:cs="Calibri"/>
                <w:color w:val="000000"/>
                <w:szCs w:val="22"/>
              </w:rPr>
            </w:pPr>
            <w:r>
              <w:rPr>
                <w:rFonts w:ascii="AcadNusx" w:hAnsi="AcadNusx" w:cs="Calibri"/>
                <w:color w:val="000000"/>
                <w:szCs w:val="22"/>
              </w:rPr>
              <w:t>5.0-5.45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43CDF953" w14:textId="77777777" w:rsidR="007F1830" w:rsidRDefault="007F1830">
            <w:pPr>
              <w:jc w:val="center"/>
              <w:rPr>
                <w:rFonts w:ascii="AcadNusx" w:hAnsi="AcadNusx" w:cs="Calibri"/>
                <w:color w:val="000000"/>
                <w:szCs w:val="22"/>
              </w:rPr>
            </w:pPr>
            <w:r>
              <w:rPr>
                <w:rFonts w:ascii="AcadNusx" w:hAnsi="AcadNusx" w:cs="Calibri"/>
                <w:color w:val="000000"/>
                <w:szCs w:val="22"/>
              </w:rPr>
              <w:t>9</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4FE2C80F" w14:textId="77777777" w:rsidR="007F1830" w:rsidRDefault="007F1830">
            <w:pPr>
              <w:jc w:val="center"/>
              <w:rPr>
                <w:rFonts w:ascii="AcadNusx" w:hAnsi="AcadNusx" w:cs="Calibri"/>
                <w:color w:val="000000"/>
                <w:szCs w:val="22"/>
              </w:rPr>
            </w:pPr>
            <w:r>
              <w:rPr>
                <w:rFonts w:ascii="AcadNusx" w:hAnsi="AcadNusx" w:cs="Calibri"/>
                <w:color w:val="000000"/>
                <w:szCs w:val="22"/>
              </w:rPr>
              <w:t>8</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4A21B84C" w14:textId="77777777" w:rsidR="007F1830" w:rsidRDefault="007F1830">
            <w:pPr>
              <w:jc w:val="center"/>
              <w:rPr>
                <w:rFonts w:ascii="AcadNusx" w:hAnsi="AcadNusx" w:cs="Calibri"/>
                <w:color w:val="000000"/>
                <w:szCs w:val="22"/>
              </w:rPr>
            </w:pPr>
            <w:r>
              <w:rPr>
                <w:rFonts w:ascii="AcadNusx" w:hAnsi="AcadNusx" w:cs="Calibri"/>
                <w:color w:val="000000"/>
                <w:szCs w:val="22"/>
              </w:rPr>
              <w:t>15</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0AA81514" w14:textId="77777777" w:rsidR="007F1830" w:rsidRDefault="007F1830">
            <w:pPr>
              <w:jc w:val="center"/>
              <w:rPr>
                <w:rFonts w:ascii="AcadNusx" w:hAnsi="AcadNusx" w:cs="Calibri"/>
                <w:color w:val="000000"/>
                <w:szCs w:val="22"/>
              </w:rPr>
            </w:pPr>
            <w:r>
              <w:rPr>
                <w:rFonts w:ascii="AcadNusx" w:hAnsi="AcadNusx" w:cs="Calibri"/>
                <w:color w:val="000000"/>
                <w:szCs w:val="22"/>
              </w:rPr>
              <w:t>11</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D3D4F18" w14:textId="77777777" w:rsidR="007F1830" w:rsidRDefault="007F1830">
            <w:pPr>
              <w:jc w:val="center"/>
              <w:rPr>
                <w:rFonts w:ascii="AcadNusx" w:hAnsi="AcadNusx" w:cs="Calibri"/>
                <w:color w:val="000000"/>
                <w:szCs w:val="22"/>
              </w:rPr>
            </w:pPr>
            <w:r>
              <w:rPr>
                <w:rFonts w:ascii="AcadNusx" w:hAnsi="AcadNusx" w:cs="Calibri"/>
                <w:color w:val="000000"/>
                <w:szCs w:val="22"/>
              </w:rPr>
              <w:t>26</w:t>
            </w:r>
          </w:p>
        </w:tc>
      </w:tr>
      <w:tr w:rsidR="007F1830" w14:paraId="18FCEFD4"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5D82EDD5" w14:textId="77777777" w:rsidR="007F1830" w:rsidRDefault="007F1830">
            <w:pPr>
              <w:jc w:val="center"/>
              <w:rPr>
                <w:rFonts w:ascii="Calibri" w:hAnsi="Calibri" w:cs="Calibri"/>
                <w:color w:val="000000"/>
                <w:szCs w:val="22"/>
              </w:rPr>
            </w:pPr>
            <w:r>
              <w:rPr>
                <w:rFonts w:ascii="Calibri" w:hAnsi="Calibri" w:cs="Calibri"/>
                <w:color w:val="000000"/>
                <w:szCs w:val="22"/>
              </w:rPr>
              <w:t>20</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02EAE1BE" w14:textId="77777777" w:rsidR="007F1830" w:rsidRDefault="007F1830">
            <w:pPr>
              <w:jc w:val="center"/>
              <w:rPr>
                <w:rFonts w:ascii="Calibri" w:hAnsi="Calibri" w:cs="Calibri"/>
                <w:color w:val="000000"/>
                <w:szCs w:val="22"/>
              </w:rPr>
            </w:pPr>
            <w:r>
              <w:rPr>
                <w:rFonts w:ascii="Calibri" w:hAnsi="Calibri" w:cs="Calibri"/>
                <w:color w:val="000000"/>
                <w:szCs w:val="22"/>
              </w:rPr>
              <w:t>Br-14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7E2F5F1" w14:textId="77777777" w:rsidR="007F1830" w:rsidRDefault="007F1830">
            <w:pPr>
              <w:jc w:val="center"/>
              <w:rPr>
                <w:rFonts w:ascii="AcadNusx" w:hAnsi="AcadNusx" w:cs="Calibri"/>
                <w:color w:val="000000"/>
                <w:szCs w:val="22"/>
              </w:rPr>
            </w:pPr>
            <w:r>
              <w:rPr>
                <w:rFonts w:ascii="AcadNusx" w:hAnsi="AcadNusx" w:cs="Calibri"/>
                <w:color w:val="000000"/>
                <w:szCs w:val="22"/>
              </w:rPr>
              <w:t>7.0-7.45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2901CFB5" w14:textId="77777777" w:rsidR="007F1830" w:rsidRDefault="007F1830">
            <w:pPr>
              <w:jc w:val="center"/>
              <w:rPr>
                <w:rFonts w:ascii="AcadNusx" w:hAnsi="AcadNusx" w:cs="Calibri"/>
                <w:color w:val="000000"/>
                <w:szCs w:val="22"/>
              </w:rPr>
            </w:pPr>
            <w:r>
              <w:rPr>
                <w:rFonts w:ascii="AcadNusx" w:hAnsi="AcadNusx" w:cs="Calibri"/>
                <w:color w:val="000000"/>
                <w:szCs w:val="22"/>
              </w:rPr>
              <w:t>9</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458A2338" w14:textId="77777777" w:rsidR="007F1830" w:rsidRDefault="007F1830">
            <w:pPr>
              <w:jc w:val="center"/>
              <w:rPr>
                <w:rFonts w:ascii="AcadNusx" w:hAnsi="AcadNusx" w:cs="Calibri"/>
                <w:color w:val="000000"/>
                <w:szCs w:val="22"/>
              </w:rPr>
            </w:pPr>
            <w:r>
              <w:rPr>
                <w:rFonts w:ascii="AcadNusx" w:hAnsi="AcadNusx" w:cs="Calibri"/>
                <w:color w:val="000000"/>
                <w:szCs w:val="22"/>
              </w:rPr>
              <w:t>16</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5F75E915" w14:textId="77777777" w:rsidR="007F1830" w:rsidRDefault="007F1830">
            <w:pPr>
              <w:jc w:val="center"/>
              <w:rPr>
                <w:rFonts w:ascii="AcadNusx" w:hAnsi="AcadNusx" w:cs="Calibri"/>
                <w:color w:val="000000"/>
                <w:szCs w:val="22"/>
              </w:rPr>
            </w:pPr>
            <w:r>
              <w:rPr>
                <w:rFonts w:ascii="AcadNusx" w:hAnsi="AcadNusx" w:cs="Calibri"/>
                <w:color w:val="000000"/>
                <w:szCs w:val="22"/>
              </w:rPr>
              <w:t>12</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497BA298" w14:textId="77777777" w:rsidR="007F1830" w:rsidRDefault="007F1830">
            <w:pPr>
              <w:jc w:val="center"/>
              <w:rPr>
                <w:rFonts w:ascii="AcadNusx" w:hAnsi="AcadNusx" w:cs="Calibri"/>
                <w:color w:val="000000"/>
                <w:szCs w:val="22"/>
              </w:rPr>
            </w:pPr>
            <w:r>
              <w:rPr>
                <w:rFonts w:ascii="AcadNusx" w:hAnsi="AcadNusx" w:cs="Calibri"/>
                <w:color w:val="000000"/>
                <w:szCs w:val="22"/>
              </w:rPr>
              <w:t>15</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27198480" w14:textId="77777777" w:rsidR="007F1830" w:rsidRDefault="007F1830">
            <w:pPr>
              <w:jc w:val="center"/>
              <w:rPr>
                <w:rFonts w:ascii="AcadNusx" w:hAnsi="AcadNusx" w:cs="Calibri"/>
                <w:color w:val="000000"/>
                <w:szCs w:val="22"/>
              </w:rPr>
            </w:pPr>
            <w:r>
              <w:rPr>
                <w:rFonts w:ascii="AcadNusx" w:hAnsi="AcadNusx" w:cs="Calibri"/>
                <w:color w:val="000000"/>
                <w:szCs w:val="22"/>
              </w:rPr>
              <w:t>27</w:t>
            </w:r>
          </w:p>
        </w:tc>
      </w:tr>
      <w:tr w:rsidR="007F1830" w14:paraId="612ECF70" w14:textId="77777777" w:rsidTr="007F1830">
        <w:trPr>
          <w:trHeight w:val="315"/>
          <w:jc w:val="center"/>
        </w:trPr>
        <w:tc>
          <w:tcPr>
            <w:tcW w:w="7880" w:type="dxa"/>
            <w:gridSpan w:val="7"/>
            <w:tcBorders>
              <w:top w:val="single" w:sz="4" w:space="0" w:color="auto"/>
              <w:left w:val="single" w:sz="4" w:space="0" w:color="auto"/>
              <w:bottom w:val="single" w:sz="4" w:space="0" w:color="auto"/>
              <w:right w:val="single" w:sz="4" w:space="0" w:color="auto"/>
            </w:tcBorders>
            <w:noWrap/>
            <w:vAlign w:val="center"/>
            <w:hideMark/>
          </w:tcPr>
          <w:p w14:paraId="3A895CE0" w14:textId="77777777" w:rsidR="007F1830" w:rsidRDefault="007F1830">
            <w:pPr>
              <w:rPr>
                <w:rFonts w:ascii="AcadNusx" w:hAnsi="AcadNusx" w:cs="Calibri"/>
                <w:b/>
                <w:bCs/>
                <w:color w:val="000000"/>
                <w:szCs w:val="22"/>
              </w:rPr>
            </w:pPr>
            <w:r>
              <w:rPr>
                <w:rFonts w:ascii="AcadNusx" w:hAnsi="AcadNusx" w:cs="Calibri"/>
                <w:b/>
                <w:bCs/>
                <w:color w:val="000000"/>
                <w:szCs w:val="22"/>
              </w:rPr>
              <w:t>saSualo</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42BCD471" w14:textId="77777777" w:rsidR="007F1830" w:rsidRDefault="007F1830">
            <w:pPr>
              <w:jc w:val="center"/>
              <w:rPr>
                <w:rFonts w:ascii="AcadNusx" w:hAnsi="AcadNusx" w:cs="Calibri"/>
                <w:b/>
                <w:bCs/>
                <w:color w:val="000000"/>
                <w:szCs w:val="22"/>
              </w:rPr>
            </w:pPr>
            <w:r>
              <w:rPr>
                <w:rFonts w:ascii="AcadNusx" w:hAnsi="AcadNusx" w:cs="Calibri"/>
                <w:b/>
                <w:bCs/>
                <w:color w:val="000000"/>
                <w:szCs w:val="22"/>
              </w:rPr>
              <w:t>27</w:t>
            </w:r>
          </w:p>
        </w:tc>
      </w:tr>
      <w:tr w:rsidR="007F1830" w14:paraId="59E3520F"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5BD8D41A" w14:textId="77777777" w:rsidR="007F1830" w:rsidRDefault="007F1830">
            <w:pPr>
              <w:jc w:val="center"/>
              <w:rPr>
                <w:rFonts w:ascii="Calibri" w:hAnsi="Calibri" w:cs="Calibri"/>
                <w:color w:val="000000"/>
                <w:szCs w:val="22"/>
              </w:rPr>
            </w:pPr>
            <w:r>
              <w:rPr>
                <w:rFonts w:ascii="Calibri" w:hAnsi="Calibri" w:cs="Calibri"/>
                <w:color w:val="000000"/>
                <w:szCs w:val="22"/>
              </w:rPr>
              <w:t>21</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284DD02C" w14:textId="77777777" w:rsidR="007F1830" w:rsidRDefault="007F1830">
            <w:pPr>
              <w:jc w:val="center"/>
              <w:rPr>
                <w:rFonts w:ascii="Calibri" w:hAnsi="Calibri" w:cs="Calibri"/>
                <w:color w:val="000000"/>
                <w:szCs w:val="22"/>
              </w:rPr>
            </w:pPr>
            <w:r>
              <w:rPr>
                <w:rFonts w:ascii="Calibri" w:hAnsi="Calibri" w:cs="Calibri"/>
                <w:color w:val="000000"/>
                <w:szCs w:val="22"/>
              </w:rPr>
              <w:t>Br-7</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4C3802F2" w14:textId="77777777" w:rsidR="007F1830" w:rsidRDefault="007F1830">
            <w:pPr>
              <w:jc w:val="center"/>
              <w:rPr>
                <w:rFonts w:ascii="AcadNusx" w:hAnsi="AcadNusx" w:cs="Calibri"/>
                <w:color w:val="000000"/>
                <w:szCs w:val="22"/>
              </w:rPr>
            </w:pPr>
            <w:r>
              <w:rPr>
                <w:rFonts w:ascii="AcadNusx" w:hAnsi="AcadNusx" w:cs="Calibri"/>
                <w:color w:val="000000"/>
                <w:szCs w:val="22"/>
              </w:rPr>
              <w:t>8.0-8.45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BD5EB63" w14:textId="77777777" w:rsidR="007F1830" w:rsidRDefault="007F1830">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78B3F6E6" w14:textId="77777777" w:rsidR="007F1830" w:rsidRDefault="007F1830">
            <w:pPr>
              <w:jc w:val="center"/>
              <w:rPr>
                <w:rFonts w:ascii="AcadNusx" w:hAnsi="AcadNusx" w:cs="Calibri"/>
                <w:color w:val="000000"/>
                <w:szCs w:val="22"/>
              </w:rPr>
            </w:pPr>
            <w:r>
              <w:rPr>
                <w:rFonts w:ascii="AcadNusx" w:hAnsi="AcadNusx" w:cs="Calibri"/>
                <w:color w:val="000000"/>
                <w:szCs w:val="22"/>
              </w:rPr>
              <w:t>21</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2B13CFC4" w14:textId="77777777" w:rsidR="007F1830" w:rsidRDefault="007F1830">
            <w:pPr>
              <w:jc w:val="center"/>
              <w:rPr>
                <w:rFonts w:ascii="AcadNusx" w:hAnsi="AcadNusx" w:cs="Calibri"/>
                <w:color w:val="000000"/>
                <w:szCs w:val="22"/>
              </w:rPr>
            </w:pPr>
            <w:r>
              <w:rPr>
                <w:rFonts w:ascii="AcadNusx" w:hAnsi="AcadNusx" w:cs="Calibri"/>
                <w:color w:val="000000"/>
                <w:szCs w:val="22"/>
              </w:rPr>
              <w:t>21</w:t>
            </w:r>
          </w:p>
        </w:tc>
        <w:tc>
          <w:tcPr>
            <w:tcW w:w="1240" w:type="dxa"/>
            <w:tcBorders>
              <w:top w:val="single" w:sz="4" w:space="0" w:color="auto"/>
              <w:left w:val="single" w:sz="4" w:space="0" w:color="auto"/>
              <w:bottom w:val="single" w:sz="4" w:space="0" w:color="auto"/>
              <w:right w:val="single" w:sz="4" w:space="0" w:color="auto"/>
            </w:tcBorders>
            <w:noWrap/>
            <w:vAlign w:val="center"/>
            <w:hideMark/>
          </w:tcPr>
          <w:p w14:paraId="32164F92" w14:textId="77777777" w:rsidR="007F1830" w:rsidRDefault="007F1830">
            <w:pPr>
              <w:jc w:val="center"/>
              <w:rPr>
                <w:rFonts w:ascii="AcadNusx" w:hAnsi="AcadNusx" w:cs="Calibri"/>
                <w:color w:val="000000"/>
                <w:szCs w:val="22"/>
              </w:rPr>
            </w:pPr>
            <w:r>
              <w:rPr>
                <w:rFonts w:ascii="AcadNusx" w:hAnsi="AcadNusx" w:cs="Calibri"/>
                <w:color w:val="000000"/>
                <w:szCs w:val="22"/>
              </w:rPr>
              <w:t>24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1CF764D0" w14:textId="77777777" w:rsidR="007F1830" w:rsidRDefault="007F1830">
            <w:pPr>
              <w:jc w:val="center"/>
              <w:rPr>
                <w:rFonts w:ascii="AcadNusx" w:hAnsi="AcadNusx" w:cs="Calibri"/>
                <w:color w:val="000000"/>
                <w:szCs w:val="22"/>
              </w:rPr>
            </w:pPr>
            <w:r>
              <w:rPr>
                <w:rFonts w:ascii="AcadNusx" w:hAnsi="AcadNusx" w:cs="Calibri"/>
                <w:color w:val="000000"/>
                <w:szCs w:val="22"/>
              </w:rPr>
              <w:t>45</w:t>
            </w:r>
          </w:p>
        </w:tc>
      </w:tr>
      <w:tr w:rsidR="007F1830" w14:paraId="6EB3AFEA"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00CFE2C5" w14:textId="77777777" w:rsidR="007F1830" w:rsidRDefault="007F1830">
            <w:pPr>
              <w:jc w:val="center"/>
              <w:rPr>
                <w:rFonts w:ascii="Calibri" w:hAnsi="Calibri" w:cs="Calibri"/>
                <w:color w:val="000000"/>
                <w:szCs w:val="22"/>
              </w:rPr>
            </w:pPr>
            <w:r>
              <w:rPr>
                <w:rFonts w:ascii="Calibri" w:hAnsi="Calibri" w:cs="Calibri"/>
                <w:color w:val="000000"/>
                <w:szCs w:val="22"/>
              </w:rPr>
              <w:t>22</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423B4076" w14:textId="77777777" w:rsidR="007F1830" w:rsidRDefault="007F1830">
            <w:pPr>
              <w:jc w:val="center"/>
              <w:rPr>
                <w:rFonts w:ascii="Calibri" w:hAnsi="Calibri" w:cs="Calibri"/>
                <w:color w:val="000000"/>
                <w:szCs w:val="22"/>
              </w:rPr>
            </w:pPr>
            <w:r>
              <w:rPr>
                <w:rFonts w:ascii="Calibri" w:hAnsi="Calibri" w:cs="Calibri"/>
                <w:color w:val="000000"/>
                <w:szCs w:val="22"/>
              </w:rPr>
              <w:t>Br-4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7624BEBD" w14:textId="77777777" w:rsidR="007F1830" w:rsidRDefault="007F1830">
            <w:pPr>
              <w:jc w:val="center"/>
              <w:rPr>
                <w:rFonts w:ascii="AcadNusx" w:hAnsi="AcadNusx" w:cs="Calibri"/>
                <w:color w:val="000000"/>
                <w:szCs w:val="22"/>
              </w:rPr>
            </w:pPr>
            <w:r>
              <w:rPr>
                <w:rFonts w:ascii="AcadNusx" w:hAnsi="AcadNusx" w:cs="Calibri"/>
                <w:color w:val="000000"/>
                <w:szCs w:val="22"/>
              </w:rPr>
              <w:t>5.0-5.45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7AB65616" w14:textId="77777777" w:rsidR="007F1830" w:rsidRDefault="007F1830">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40118CE4" w14:textId="77777777" w:rsidR="007F1830" w:rsidRDefault="007F1830">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14:paraId="7C56ED40"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2DD8BC11"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25A45A39"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7E7098BE" w14:textId="77777777" w:rsidR="007F1830" w:rsidRDefault="007F1830">
            <w:pPr>
              <w:jc w:val="center"/>
              <w:rPr>
                <w:rFonts w:ascii="Calibri" w:hAnsi="Calibri" w:cs="Calibri"/>
                <w:color w:val="000000"/>
                <w:szCs w:val="22"/>
              </w:rPr>
            </w:pPr>
            <w:r>
              <w:rPr>
                <w:rFonts w:ascii="Calibri" w:hAnsi="Calibri" w:cs="Calibri"/>
                <w:color w:val="000000"/>
                <w:szCs w:val="22"/>
              </w:rPr>
              <w:t>23</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40A0B13A" w14:textId="77777777" w:rsidR="007F1830" w:rsidRDefault="007F1830">
            <w:pPr>
              <w:jc w:val="center"/>
              <w:rPr>
                <w:rFonts w:ascii="Calibri" w:hAnsi="Calibri" w:cs="Calibri"/>
                <w:color w:val="000000"/>
                <w:szCs w:val="22"/>
              </w:rPr>
            </w:pPr>
            <w:r>
              <w:rPr>
                <w:rFonts w:ascii="Calibri" w:hAnsi="Calibri" w:cs="Calibri"/>
                <w:color w:val="000000"/>
                <w:szCs w:val="22"/>
              </w:rPr>
              <w:t>Br-4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FBBCFD1" w14:textId="77777777" w:rsidR="007F1830" w:rsidRDefault="007F1830">
            <w:pPr>
              <w:jc w:val="center"/>
              <w:rPr>
                <w:rFonts w:ascii="AcadNusx" w:hAnsi="AcadNusx" w:cs="Calibri"/>
                <w:color w:val="000000"/>
                <w:szCs w:val="22"/>
              </w:rPr>
            </w:pPr>
            <w:r>
              <w:rPr>
                <w:rFonts w:ascii="AcadNusx" w:hAnsi="AcadNusx" w:cs="Calibri"/>
                <w:color w:val="000000"/>
                <w:szCs w:val="22"/>
              </w:rPr>
              <w:t>7.0-7.45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3206549" w14:textId="77777777" w:rsidR="007F1830" w:rsidRDefault="007F1830">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CDA6BC6" w14:textId="77777777" w:rsidR="007F1830" w:rsidRDefault="007F1830">
            <w:pPr>
              <w:jc w:val="center"/>
              <w:rPr>
                <w:rFonts w:ascii="AcadNusx" w:hAnsi="AcadNusx" w:cs="Calibri"/>
                <w:color w:val="000000"/>
                <w:szCs w:val="22"/>
              </w:rPr>
            </w:pPr>
            <w:r>
              <w:rPr>
                <w:rFonts w:ascii="AcadNusx" w:hAnsi="AcadNusx" w:cs="Calibri"/>
                <w:color w:val="000000"/>
                <w:szCs w:val="22"/>
              </w:rPr>
              <w:t>22</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14:paraId="426564FE"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46E04ADA"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7472A9A7"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2D260C0F" w14:textId="77777777" w:rsidR="007F1830" w:rsidRDefault="007F1830">
            <w:pPr>
              <w:jc w:val="center"/>
              <w:rPr>
                <w:rFonts w:ascii="Calibri" w:hAnsi="Calibri" w:cs="Calibri"/>
                <w:color w:val="000000"/>
                <w:szCs w:val="22"/>
              </w:rPr>
            </w:pPr>
            <w:r>
              <w:rPr>
                <w:rFonts w:ascii="Calibri" w:hAnsi="Calibri" w:cs="Calibri"/>
                <w:color w:val="000000"/>
                <w:szCs w:val="22"/>
              </w:rPr>
              <w:lastRenderedPageBreak/>
              <w:t>24</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27A95CA3" w14:textId="77777777" w:rsidR="007F1830" w:rsidRDefault="007F1830">
            <w:pPr>
              <w:jc w:val="center"/>
              <w:rPr>
                <w:rFonts w:ascii="Calibri" w:hAnsi="Calibri" w:cs="Calibri"/>
                <w:color w:val="000000"/>
                <w:szCs w:val="22"/>
              </w:rPr>
            </w:pPr>
            <w:r>
              <w:rPr>
                <w:rFonts w:ascii="Calibri" w:hAnsi="Calibri" w:cs="Calibri"/>
                <w:color w:val="000000"/>
                <w:szCs w:val="22"/>
              </w:rPr>
              <w:t>Br-4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2753B41B" w14:textId="77777777" w:rsidR="007F1830" w:rsidRDefault="007F1830">
            <w:pPr>
              <w:jc w:val="center"/>
              <w:rPr>
                <w:rFonts w:ascii="AcadNusx" w:hAnsi="AcadNusx" w:cs="Calibri"/>
                <w:color w:val="000000"/>
                <w:szCs w:val="22"/>
              </w:rPr>
            </w:pPr>
            <w:r>
              <w:rPr>
                <w:rFonts w:ascii="AcadNusx" w:hAnsi="AcadNusx" w:cs="Calibri"/>
                <w:color w:val="000000"/>
                <w:szCs w:val="22"/>
              </w:rPr>
              <w:t>9.0-9.45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1312FF2" w14:textId="77777777" w:rsidR="007F1830" w:rsidRDefault="007F1830">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7094355" w14:textId="77777777" w:rsidR="007F1830" w:rsidRDefault="007F1830">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14:paraId="69690DB6"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7E3FE64A"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05B2EBFE"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6DE366C6" w14:textId="77777777" w:rsidR="007F1830" w:rsidRDefault="007F1830">
            <w:pPr>
              <w:jc w:val="center"/>
              <w:rPr>
                <w:rFonts w:ascii="Calibri" w:hAnsi="Calibri" w:cs="Calibri"/>
                <w:color w:val="000000"/>
                <w:szCs w:val="22"/>
              </w:rPr>
            </w:pPr>
            <w:r>
              <w:rPr>
                <w:rFonts w:ascii="Calibri" w:hAnsi="Calibri" w:cs="Calibri"/>
                <w:color w:val="000000"/>
                <w:szCs w:val="22"/>
              </w:rPr>
              <w:t>25</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47EAA48D" w14:textId="77777777" w:rsidR="007F1830" w:rsidRDefault="007F1830">
            <w:pPr>
              <w:jc w:val="center"/>
              <w:rPr>
                <w:rFonts w:ascii="Calibri" w:hAnsi="Calibri" w:cs="Calibri"/>
                <w:color w:val="000000"/>
                <w:szCs w:val="22"/>
              </w:rPr>
            </w:pPr>
            <w:r>
              <w:rPr>
                <w:rFonts w:ascii="Calibri" w:hAnsi="Calibri" w:cs="Calibri"/>
                <w:color w:val="000000"/>
                <w:szCs w:val="22"/>
              </w:rPr>
              <w:t>Br-4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FB7A159" w14:textId="77777777" w:rsidR="007F1830" w:rsidRDefault="007F1830">
            <w:pPr>
              <w:jc w:val="center"/>
              <w:rPr>
                <w:rFonts w:ascii="AcadNusx" w:hAnsi="AcadNusx" w:cs="Calibri"/>
                <w:color w:val="000000"/>
                <w:szCs w:val="22"/>
              </w:rPr>
            </w:pPr>
            <w:r>
              <w:rPr>
                <w:rFonts w:ascii="AcadNusx" w:hAnsi="AcadNusx" w:cs="Calibri"/>
                <w:color w:val="000000"/>
                <w:szCs w:val="22"/>
              </w:rPr>
              <w:t>11.0-11.45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2B58AEF" w14:textId="77777777" w:rsidR="007F1830" w:rsidRDefault="007F1830">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99F9DC2" w14:textId="77777777" w:rsidR="007F1830" w:rsidRDefault="007F1830">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14:paraId="5B73F863"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B0CD0CC"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4E00E4AE"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3C14267F" w14:textId="77777777" w:rsidR="007F1830" w:rsidRDefault="007F1830">
            <w:pPr>
              <w:jc w:val="center"/>
              <w:rPr>
                <w:rFonts w:ascii="Calibri" w:hAnsi="Calibri" w:cs="Calibri"/>
                <w:color w:val="000000"/>
                <w:szCs w:val="22"/>
              </w:rPr>
            </w:pPr>
            <w:r>
              <w:rPr>
                <w:rFonts w:ascii="Calibri" w:hAnsi="Calibri" w:cs="Calibri"/>
                <w:color w:val="000000"/>
                <w:szCs w:val="22"/>
              </w:rPr>
              <w:t>26</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6C15AAF4" w14:textId="77777777" w:rsidR="007F1830" w:rsidRDefault="007F1830">
            <w:pPr>
              <w:jc w:val="center"/>
              <w:rPr>
                <w:rFonts w:ascii="Calibri" w:hAnsi="Calibri" w:cs="Calibri"/>
                <w:color w:val="000000"/>
                <w:szCs w:val="22"/>
              </w:rPr>
            </w:pPr>
            <w:r>
              <w:rPr>
                <w:rFonts w:ascii="Calibri" w:hAnsi="Calibri" w:cs="Calibri"/>
                <w:color w:val="000000"/>
                <w:szCs w:val="22"/>
              </w:rPr>
              <w:t>Br-4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164C4429" w14:textId="77777777" w:rsidR="007F1830" w:rsidRDefault="007F1830">
            <w:pPr>
              <w:jc w:val="center"/>
              <w:rPr>
                <w:rFonts w:ascii="AcadNusx" w:hAnsi="AcadNusx" w:cs="Calibri"/>
                <w:color w:val="000000"/>
                <w:szCs w:val="22"/>
              </w:rPr>
            </w:pPr>
            <w:r>
              <w:rPr>
                <w:rFonts w:ascii="AcadNusx" w:hAnsi="AcadNusx" w:cs="Calibri"/>
                <w:color w:val="000000"/>
                <w:szCs w:val="22"/>
              </w:rPr>
              <w:t>13..0-13.45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06DF9391" w14:textId="77777777" w:rsidR="007F1830" w:rsidRDefault="007F1830">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4A2CDDC5" w14:textId="77777777" w:rsidR="007F1830" w:rsidRDefault="007F1830">
            <w:pPr>
              <w:jc w:val="center"/>
              <w:rPr>
                <w:rFonts w:ascii="AcadNusx" w:hAnsi="AcadNusx" w:cs="Calibri"/>
                <w:color w:val="000000"/>
                <w:szCs w:val="22"/>
              </w:rPr>
            </w:pPr>
            <w:r>
              <w:rPr>
                <w:rFonts w:ascii="AcadNusx" w:hAnsi="AcadNusx" w:cs="Calibri"/>
                <w:color w:val="000000"/>
                <w:szCs w:val="22"/>
              </w:rPr>
              <w:t>19</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14:paraId="36449BF8"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12044ED"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4482361B"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1351C3FA" w14:textId="77777777" w:rsidR="007F1830" w:rsidRDefault="007F1830">
            <w:pPr>
              <w:jc w:val="center"/>
              <w:rPr>
                <w:rFonts w:ascii="Calibri" w:hAnsi="Calibri" w:cs="Calibri"/>
                <w:color w:val="000000"/>
                <w:szCs w:val="22"/>
              </w:rPr>
            </w:pPr>
            <w:r>
              <w:rPr>
                <w:rFonts w:ascii="Calibri" w:hAnsi="Calibri" w:cs="Calibri"/>
                <w:color w:val="000000"/>
                <w:szCs w:val="22"/>
              </w:rPr>
              <w:t>27</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42D807D1" w14:textId="77777777" w:rsidR="007F1830" w:rsidRDefault="007F1830">
            <w:pPr>
              <w:jc w:val="center"/>
              <w:rPr>
                <w:rFonts w:ascii="Calibri" w:hAnsi="Calibri" w:cs="Calibri"/>
                <w:color w:val="000000"/>
                <w:szCs w:val="22"/>
              </w:rPr>
            </w:pPr>
            <w:r>
              <w:rPr>
                <w:rFonts w:ascii="Calibri" w:hAnsi="Calibri" w:cs="Calibri"/>
                <w:color w:val="000000"/>
                <w:szCs w:val="22"/>
              </w:rPr>
              <w:t>Br-4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74B0A707" w14:textId="77777777" w:rsidR="007F1830" w:rsidRDefault="007F1830">
            <w:pPr>
              <w:jc w:val="center"/>
              <w:rPr>
                <w:rFonts w:ascii="AcadNusx" w:hAnsi="AcadNusx" w:cs="Calibri"/>
                <w:color w:val="000000"/>
                <w:szCs w:val="22"/>
              </w:rPr>
            </w:pPr>
            <w:r>
              <w:rPr>
                <w:rFonts w:ascii="AcadNusx" w:hAnsi="AcadNusx" w:cs="Calibri"/>
                <w:color w:val="000000"/>
                <w:szCs w:val="22"/>
              </w:rPr>
              <w:t>14.5-14.95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804AA09" w14:textId="77777777" w:rsidR="007F1830" w:rsidRDefault="007F1830">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25FBE3BA" w14:textId="77777777" w:rsidR="007F1830" w:rsidRDefault="007F1830">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14:paraId="4B5C22D9"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28B1B53A"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5D76A29B"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526280F3" w14:textId="77777777" w:rsidR="007F1830" w:rsidRDefault="007F1830">
            <w:pPr>
              <w:jc w:val="center"/>
              <w:rPr>
                <w:rFonts w:ascii="Calibri" w:hAnsi="Calibri" w:cs="Calibri"/>
                <w:color w:val="000000"/>
                <w:szCs w:val="22"/>
              </w:rPr>
            </w:pPr>
            <w:r>
              <w:rPr>
                <w:rFonts w:ascii="Calibri" w:hAnsi="Calibri" w:cs="Calibri"/>
                <w:color w:val="000000"/>
                <w:szCs w:val="22"/>
              </w:rPr>
              <w:t>28</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27F9CDA2" w14:textId="77777777" w:rsidR="007F1830" w:rsidRDefault="007F1830">
            <w:pPr>
              <w:jc w:val="center"/>
              <w:rPr>
                <w:rFonts w:ascii="Calibri" w:hAnsi="Calibri" w:cs="Calibri"/>
                <w:b/>
                <w:bCs/>
                <w:color w:val="000000"/>
                <w:szCs w:val="22"/>
              </w:rPr>
            </w:pPr>
            <w:r>
              <w:rPr>
                <w:rFonts w:ascii="Calibri" w:hAnsi="Calibri" w:cs="Calibri"/>
                <w:b/>
                <w:bCs/>
                <w:color w:val="000000"/>
                <w:szCs w:val="22"/>
              </w:rPr>
              <w:t>Br-7</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35529426" w14:textId="77777777" w:rsidR="007F1830" w:rsidRDefault="007F1830">
            <w:pPr>
              <w:jc w:val="center"/>
              <w:rPr>
                <w:rFonts w:ascii="AcadNusx" w:hAnsi="AcadNusx" w:cs="Calibri"/>
                <w:color w:val="000000"/>
                <w:szCs w:val="22"/>
              </w:rPr>
            </w:pPr>
            <w:r>
              <w:rPr>
                <w:rFonts w:ascii="AcadNusx" w:hAnsi="AcadNusx" w:cs="Calibri"/>
                <w:color w:val="000000"/>
                <w:szCs w:val="22"/>
              </w:rPr>
              <w:t>2.0-2.45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C0A368B" w14:textId="77777777" w:rsidR="007F1830" w:rsidRDefault="007F1830">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EDB49EF" w14:textId="77777777" w:rsidR="007F1830" w:rsidRDefault="007F1830">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14:paraId="6DB0550D"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20BBBE0C"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33403261"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2B4902C1" w14:textId="77777777" w:rsidR="007F1830" w:rsidRDefault="007F1830">
            <w:pPr>
              <w:jc w:val="center"/>
              <w:rPr>
                <w:rFonts w:ascii="Calibri" w:hAnsi="Calibri" w:cs="Calibri"/>
                <w:color w:val="000000"/>
                <w:szCs w:val="22"/>
              </w:rPr>
            </w:pPr>
            <w:r>
              <w:rPr>
                <w:rFonts w:ascii="Calibri" w:hAnsi="Calibri" w:cs="Calibri"/>
                <w:color w:val="000000"/>
                <w:szCs w:val="22"/>
              </w:rPr>
              <w:t>29</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2AFB75EA" w14:textId="77777777" w:rsidR="007F1830" w:rsidRDefault="007F1830">
            <w:pPr>
              <w:jc w:val="center"/>
              <w:rPr>
                <w:rFonts w:ascii="Calibri" w:hAnsi="Calibri" w:cs="Calibri"/>
                <w:color w:val="000000"/>
                <w:szCs w:val="22"/>
              </w:rPr>
            </w:pPr>
            <w:r>
              <w:rPr>
                <w:rFonts w:ascii="Calibri" w:hAnsi="Calibri" w:cs="Calibri"/>
                <w:color w:val="000000"/>
                <w:szCs w:val="22"/>
              </w:rPr>
              <w:t>Br-7</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BE756A5" w14:textId="77777777" w:rsidR="007F1830" w:rsidRDefault="007F1830">
            <w:pPr>
              <w:jc w:val="center"/>
              <w:rPr>
                <w:rFonts w:ascii="AcadNusx" w:hAnsi="AcadNusx" w:cs="Calibri"/>
                <w:color w:val="000000"/>
                <w:szCs w:val="22"/>
              </w:rPr>
            </w:pPr>
            <w:r>
              <w:rPr>
                <w:rFonts w:ascii="AcadNusx" w:hAnsi="AcadNusx" w:cs="Calibri"/>
                <w:color w:val="000000"/>
                <w:szCs w:val="22"/>
              </w:rPr>
              <w:t>4.0-4.45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44F3BA1A" w14:textId="77777777" w:rsidR="007F1830" w:rsidRDefault="007F1830">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5376032" w14:textId="77777777" w:rsidR="007F1830" w:rsidRDefault="007F1830">
            <w:pPr>
              <w:jc w:val="center"/>
              <w:rPr>
                <w:rFonts w:ascii="AcadNusx" w:hAnsi="AcadNusx" w:cs="Calibri"/>
                <w:color w:val="000000"/>
                <w:szCs w:val="22"/>
              </w:rPr>
            </w:pPr>
            <w:r>
              <w:rPr>
                <w:rFonts w:ascii="AcadNusx" w:hAnsi="AcadNusx" w:cs="Calibri"/>
                <w:color w:val="000000"/>
                <w:szCs w:val="22"/>
              </w:rPr>
              <w:t>19</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14:paraId="48723575"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079946E"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416B640A" w14:textId="77777777" w:rsidTr="007F1830">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40D974BA" w14:textId="77777777" w:rsidR="007F1830" w:rsidRDefault="007F1830">
            <w:pPr>
              <w:jc w:val="center"/>
              <w:rPr>
                <w:rFonts w:ascii="Calibri" w:hAnsi="Calibri" w:cs="Calibri"/>
                <w:color w:val="000000"/>
                <w:szCs w:val="22"/>
              </w:rPr>
            </w:pPr>
            <w:r>
              <w:rPr>
                <w:rFonts w:ascii="Calibri" w:hAnsi="Calibri" w:cs="Calibri"/>
                <w:color w:val="000000"/>
                <w:szCs w:val="22"/>
              </w:rPr>
              <w:t>30</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715FD3F7" w14:textId="77777777" w:rsidR="007F1830" w:rsidRDefault="007F1830">
            <w:pPr>
              <w:jc w:val="center"/>
              <w:rPr>
                <w:rFonts w:ascii="Calibri" w:hAnsi="Calibri" w:cs="Calibri"/>
                <w:color w:val="000000"/>
                <w:szCs w:val="22"/>
              </w:rPr>
            </w:pPr>
            <w:r>
              <w:rPr>
                <w:rFonts w:ascii="Calibri" w:hAnsi="Calibri" w:cs="Calibri"/>
                <w:color w:val="000000"/>
                <w:szCs w:val="22"/>
              </w:rPr>
              <w:t>Br-14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453A71E" w14:textId="77777777" w:rsidR="007F1830" w:rsidRDefault="007F1830">
            <w:pPr>
              <w:jc w:val="center"/>
              <w:rPr>
                <w:rFonts w:ascii="AcadNusx" w:hAnsi="AcadNusx" w:cs="Calibri"/>
                <w:color w:val="000000"/>
                <w:szCs w:val="22"/>
              </w:rPr>
            </w:pPr>
            <w:r>
              <w:rPr>
                <w:rFonts w:ascii="AcadNusx" w:hAnsi="AcadNusx" w:cs="Calibri"/>
                <w:color w:val="000000"/>
                <w:szCs w:val="22"/>
              </w:rPr>
              <w:t>2.3-2.75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83ECB18" w14:textId="77777777" w:rsidR="007F1830" w:rsidRDefault="007F1830">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C021D1A" w14:textId="77777777" w:rsidR="007F1830" w:rsidRDefault="007F1830">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14:paraId="38234FEE"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3DBE1D00" w14:textId="77777777" w:rsidR="007F1830" w:rsidRDefault="007F1830">
            <w:pPr>
              <w:jc w:val="center"/>
              <w:rPr>
                <w:rFonts w:ascii="AcadNusx" w:hAnsi="AcadNusx" w:cs="Calibri"/>
                <w:color w:val="000000"/>
                <w:szCs w:val="22"/>
              </w:rPr>
            </w:pPr>
            <w:r>
              <w:rPr>
                <w:rFonts w:ascii="AcadNusx" w:hAnsi="AcadNusx" w:cs="Calibri"/>
                <w:color w:val="000000"/>
                <w:szCs w:val="22"/>
              </w:rPr>
              <w:t>&gt;50</w:t>
            </w:r>
          </w:p>
        </w:tc>
      </w:tr>
      <w:tr w:rsidR="007F1830" w14:paraId="4278250B" w14:textId="77777777" w:rsidTr="007F1830">
        <w:trPr>
          <w:trHeight w:val="330"/>
          <w:jc w:val="center"/>
        </w:trPr>
        <w:tc>
          <w:tcPr>
            <w:tcW w:w="7880" w:type="dxa"/>
            <w:gridSpan w:val="7"/>
            <w:tcBorders>
              <w:top w:val="single" w:sz="4" w:space="0" w:color="auto"/>
              <w:left w:val="single" w:sz="4" w:space="0" w:color="auto"/>
              <w:bottom w:val="single" w:sz="4" w:space="0" w:color="auto"/>
              <w:right w:val="single" w:sz="4" w:space="0" w:color="auto"/>
            </w:tcBorders>
            <w:noWrap/>
            <w:vAlign w:val="center"/>
            <w:hideMark/>
          </w:tcPr>
          <w:p w14:paraId="4FE9A1B5" w14:textId="77777777" w:rsidR="007F1830" w:rsidRDefault="007F1830">
            <w:pPr>
              <w:rPr>
                <w:rFonts w:ascii="AcadNusx" w:hAnsi="AcadNusx" w:cs="Calibri"/>
                <w:b/>
                <w:bCs/>
                <w:color w:val="000000"/>
                <w:szCs w:val="22"/>
              </w:rPr>
            </w:pPr>
            <w:r>
              <w:rPr>
                <w:rFonts w:ascii="AcadNusx" w:hAnsi="AcadNusx" w:cs="Calibri"/>
                <w:b/>
                <w:bCs/>
                <w:color w:val="000000"/>
                <w:szCs w:val="22"/>
              </w:rPr>
              <w:t>saSualo</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50ED80EF" w14:textId="77777777" w:rsidR="007F1830" w:rsidRDefault="007F1830">
            <w:pPr>
              <w:jc w:val="center"/>
              <w:rPr>
                <w:rFonts w:ascii="AcadNusx" w:hAnsi="AcadNusx" w:cs="Calibri"/>
                <w:b/>
                <w:bCs/>
                <w:color w:val="000000"/>
                <w:szCs w:val="22"/>
              </w:rPr>
            </w:pPr>
            <w:r>
              <w:rPr>
                <w:rFonts w:ascii="AcadNusx" w:hAnsi="AcadNusx" w:cs="Calibri"/>
                <w:b/>
                <w:bCs/>
                <w:color w:val="000000"/>
                <w:szCs w:val="22"/>
              </w:rPr>
              <w:t>&gt;50</w:t>
            </w:r>
          </w:p>
        </w:tc>
      </w:tr>
    </w:tbl>
    <w:p w14:paraId="4E2FC526" w14:textId="2995B89E"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 xml:space="preserve">საკვლევ ტერიტორიაზე გაყვანილი </w:t>
      </w:r>
      <w:r w:rsidR="006D7CB7">
        <w:rPr>
          <w:rFonts w:ascii="Sylfaen" w:hAnsi="Sylfaen"/>
          <w:lang w:val="ka-GE"/>
        </w:rPr>
        <w:t>13</w:t>
      </w:r>
      <w:r w:rsidRPr="007F1830">
        <w:rPr>
          <w:rFonts w:ascii="Sylfaen" w:hAnsi="Sylfaen"/>
          <w:lang w:val="ka-GE"/>
        </w:rPr>
        <w:t xml:space="preserve"> ჭაბურღილიდან აღებულია 70 გრუნტის და 1 წყლის ნიმუში, დამკვეთის დავალების შესაბამისად ჩატარდა ლაბორატორიული კვლევა საქართველოში მოქმედი სახელმწიფო სტანდარტების შესაბამისად (ГОСТ 9,015-74, СНиП 2,03,11-85, ბშ 1377, ჵარტ 4).</w:t>
      </w:r>
    </w:p>
    <w:p w14:paraId="19AB1A7A" w14:textId="77777777"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ლაბორატორიული კვლევები ჩატარდა შ.პ.ს. ,,გეოტექსერვისი”-ს კუთვნილ გეოტექნიკურ ლაბორატორიაში, დამკვეთის მოთხოვნის რაოდენობით და სახესხვაობების შესაბამისად.</w:t>
      </w:r>
    </w:p>
    <w:p w14:paraId="54236900" w14:textId="77777777"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ლაბორატორიული კვლევა მოიცავდა როგორც გრუნტების დაუშლელი მონოლითური სტრუქტურის, ასევე დაშლილი ნიმუშების კვლევას.</w:t>
      </w:r>
    </w:p>
    <w:p w14:paraId="6D80050E" w14:textId="77777777"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საველე და ლაბორატორიული კვლევებით სამშენებლო უბანზე გამოიყო ნიადაგის ფენა და ათი საინჟინრო-გეოლოგიური ელემენტი (სგე).</w:t>
      </w:r>
    </w:p>
    <w:p w14:paraId="634EE50B" w14:textId="77777777"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სგე 1 საგზაო სამოსის ფენები, წარმოდგენილი წვრილი და საშუალო ზომის კენჭნარით, ხრეშის ჩანართებით; საშუალო და მსხვილმარცვლოვანი ქვიშის შემავსებლით 20-30%-მდე;</w:t>
      </w:r>
    </w:p>
    <w:p w14:paraId="64B5B3AE" w14:textId="77777777"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 xml:space="preserve">სგე 2 ტექნოგენური გრუნტი, წარმოდგენილი თიხაქვიშით, ყავისფერი, მყარი; ღორღის და კენჭის 10-15%-მდე ჩანართებით, ქვიშის ლინზებით, მცენარეული ფესვების შემცველობით; </w:t>
      </w:r>
    </w:p>
    <w:p w14:paraId="29BB0E80" w14:textId="77777777"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სგე 3 თიხნარი, მუქი ყავისფერი, მყარი, თიხაქვიშის და ქვიშის შუაშრეებით;</w:t>
      </w:r>
    </w:p>
    <w:p w14:paraId="08281ABF" w14:textId="77777777"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 xml:space="preserve">სგე 4 თიხნარი, ყავისფერი, ნახევრად მყარი; წვრილი ზომის კენჭის ჩანართებით 20-30%-მდე, თიხაქვიშის და ქვიშის ლინზებით; </w:t>
      </w:r>
    </w:p>
    <w:p w14:paraId="0596C77D" w14:textId="77777777"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სგე 5 კენჭნაროვანი გრუნტი, საშუალო და წვრილი ზომის, ხრეშის ჩანართებით; ყავისფერი-მონაცრისფრო, საშუალო და მსხვილმარცვლოვანი ქვიშის შემავსებლით 20-25%-მდე, თიხაქვიშის და თიხნარის თხელი და საშუალო ზომის ლინზებით;</w:t>
      </w:r>
    </w:p>
    <w:p w14:paraId="046FBF6F" w14:textId="77777777"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სგე 6 თიხნარი, მოყვითალო-ყავისფერი, ძნელპლასტიკური, ხრეშის და კენჭის 10-20% ჩანართებით, თიხაქვიშის - ქვიშის ლინზებით და შუაშრეებით;</w:t>
      </w:r>
    </w:p>
    <w:p w14:paraId="4E0FC191" w14:textId="77777777"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სგე 7 თიხნარი, მოწითალო-ყავისფერი, რბილპლასტიკური, ხრეშის და კენჭის 15-20% ჩანართებით, თიხაქვიშის - ქვიშის ლინზებით და შუაშრეებით;</w:t>
      </w:r>
    </w:p>
    <w:p w14:paraId="4D81B303" w14:textId="77777777"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სგე 8 თიხა, ყავისფერი, მყარი, მარილების ჩანაწინწკლებით და ბუდობებით, ხრეშის 10-15%-მდე ჩანართებით, ქვიშის შუაშრეებით;</w:t>
      </w:r>
    </w:p>
    <w:p w14:paraId="03BD640B" w14:textId="77777777"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სგე 9 თიხაქვიშა, ყავისფერი, პლასტიკური, ხრეშის და კენჭის 20-25%-მდე ჩანართებით, თიხის და თიხნარის შუაშრეებით, იშვიათად კაჭარის გამოვლინებებით;</w:t>
      </w:r>
    </w:p>
    <w:p w14:paraId="13B3A755" w14:textId="77777777"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სგე 10 ხრეშოვანი გრუნტი, სხვადასხვა მარცვლოვანი, კენჭის 10-15%-მდე ჩანართებით, თიხის და თიხაქვიშის შემავსებელით, ქვიშის შუაშრეებით.</w:t>
      </w:r>
    </w:p>
    <w:p w14:paraId="6E27173B" w14:textId="77777777"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აღსანიშნავია, რომ ლაბორატორიული კვლევები არ ჩატარებულა ნიადაგის ფენაზე და სგე 1-ზე.</w:t>
      </w:r>
    </w:p>
    <w:p w14:paraId="1F36586A" w14:textId="468BAA99"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lastRenderedPageBreak/>
        <w:t>გრუნტების ქიმიური შედგენილობა შესწავლილია სგე 4, 6, 7 და 8 გრუნტებისათვი</w:t>
      </w:r>
      <w:r>
        <w:rPr>
          <w:rFonts w:ascii="Sylfaen" w:hAnsi="Sylfaen"/>
          <w:lang w:val="ka-GE"/>
        </w:rPr>
        <w:t>ს 4 ნიმუშის ანალიზზე დაყრდნობით</w:t>
      </w:r>
      <w:r w:rsidRPr="007F1830">
        <w:rPr>
          <w:rFonts w:ascii="Sylfaen" w:hAnsi="Sylfaen"/>
          <w:lang w:val="ka-GE"/>
        </w:rPr>
        <w:t xml:space="preserve">. </w:t>
      </w:r>
    </w:p>
    <w:p w14:paraId="02EA9FAC" w14:textId="77777777"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 xml:space="preserve">ქიმიური შედგენილობის მიხედვით გრუნტები ჰიდროკარბონატულ კალციუმიანი დამარილიანების ტიპისანი არიან. </w:t>
      </w:r>
    </w:p>
    <w:p w14:paraId="7DFC2FB2" w14:textId="77777777"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 xml:space="preserve"> გრუნტები არ ამჟღავნებენ აგრესიულობას არცერთი სახის ბეტონის მიმართ (დანართი 8).</w:t>
      </w:r>
    </w:p>
    <w:p w14:paraId="4EBEB1EE" w14:textId="00DEF0BE"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 xml:space="preserve">გრუნტის წყლის ქიმიური შედგენილობა შესწავლილია ჭაბურღილი </w:t>
      </w:r>
      <w:r>
        <w:rPr>
          <w:lang w:val="en-US"/>
        </w:rPr>
        <w:t>Br</w:t>
      </w:r>
      <w:r w:rsidRPr="007F1830">
        <w:rPr>
          <w:rFonts w:ascii="Sylfaen" w:hAnsi="Sylfaen"/>
          <w:lang w:val="ka-GE"/>
        </w:rPr>
        <w:t xml:space="preserve"> -11-დან აღებული ნიმუშის საფუძველზე. </w:t>
      </w:r>
    </w:p>
    <w:p w14:paraId="04BCE862" w14:textId="47CE05CD"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ქიმიური შედგენილობის მიხედვით წყალი ჰიდროკარბონატულ კალ</w:t>
      </w:r>
      <w:r>
        <w:rPr>
          <w:rFonts w:ascii="Sylfaen" w:hAnsi="Sylfaen"/>
          <w:lang w:val="ka-GE"/>
        </w:rPr>
        <w:t>ციუმიანი დამარილიანების ტიპისაა</w:t>
      </w:r>
      <w:r w:rsidRPr="007F1830">
        <w:rPr>
          <w:rFonts w:ascii="Sylfaen" w:hAnsi="Sylfaen"/>
          <w:lang w:val="ka-GE"/>
        </w:rPr>
        <w:t xml:space="preserve">. </w:t>
      </w:r>
    </w:p>
    <w:p w14:paraId="5E2BA0D0" w14:textId="740EDA2C"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 xml:space="preserve">ნიმუში ამჟღავნებს სუსტ აგრესიულობას წყალბადიონის მაჩვენებლით (განლაგებულ ქანებში </w:t>
      </w:r>
      <w:r w:rsidRPr="007F1830">
        <w:rPr>
          <w:lang w:val="ka-GE"/>
        </w:rPr>
        <w:t>K</w:t>
      </w:r>
      <w:r w:rsidRPr="007F1830">
        <w:rPr>
          <w:vertAlign w:val="subscript"/>
          <w:lang w:val="ka-GE"/>
        </w:rPr>
        <w:t>f</w:t>
      </w:r>
      <w:r w:rsidRPr="007F1830">
        <w:rPr>
          <w:rFonts w:ascii="AcadNusx" w:hAnsi="AcadNusx"/>
          <w:lang w:val="ka-GE"/>
        </w:rPr>
        <w:t>&lt;0</w:t>
      </w:r>
      <w:r w:rsidRPr="007F1830">
        <w:rPr>
          <w:rFonts w:ascii="Sylfaen" w:hAnsi="Sylfaen"/>
          <w:lang w:val="ka-GE"/>
        </w:rPr>
        <w:t xml:space="preserve"> &lt;0.1მ/დღ.ღ), W4 სახის ცემენტის მიმართ.</w:t>
      </w:r>
    </w:p>
    <w:p w14:paraId="4AC521A8" w14:textId="3BDE4D24"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წყლის აგრესიული ზემოქმედების ხარისხი რკინაბეტონის არმატურაზე, პერიოდული დასველებით არის სუსტი, ხოლო ქანების აგრესიული ზემოქმედების ხარისხი ნახშირბადიან ფოლადზე, გრუნტის წყლის დონის დაბლა იმ ქანებისათვის რომელთა ფილტრაციის კოეფიციენტი</w:t>
      </w:r>
      <w:r>
        <w:rPr>
          <w:rFonts w:ascii="Sylfaen" w:hAnsi="Sylfaen"/>
          <w:lang w:val="ka-GE"/>
        </w:rPr>
        <w:t xml:space="preserve"> &gt;0.1მ/დღე-ღამეში, არის საშუალო</w:t>
      </w:r>
      <w:r w:rsidRPr="007F1830">
        <w:rPr>
          <w:rFonts w:ascii="Sylfaen" w:hAnsi="Sylfaen"/>
          <w:lang w:val="ka-GE"/>
        </w:rPr>
        <w:t>.</w:t>
      </w:r>
    </w:p>
    <w:p w14:paraId="07A8F88F" w14:textId="77777777"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 xml:space="preserve">გამოყოფილი საინჟინრო-გეოლოგიური ელემენტებიდან, სგე 1 და 2 გრუნტები მიეკუთვნებიან ჳვ კლასის ტექნოგენური შეკავშირებული და შეუკავშირებელი გრუნტების ჯგუფს (ГОСТ 25100-96б Грунты, классификация). </w:t>
      </w:r>
    </w:p>
    <w:p w14:paraId="78544735" w14:textId="77777777"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სგე 3, 4, 6, 7, 8 და 9 გრუნტები მიეკუთვნებიან ჳჳ კლასის შეკავშირებული გრუნტების ჯგუფს (ГОСТ 25100-96б Грунты, классификация), სგე 5 და 10 გრუნტები მიეკუთვნებიან ჳჳ კლასის შეუკავშირებელი გრუნტების ჯგუფს (ГОСТ 25100-96б Грунты, классификация).</w:t>
      </w:r>
    </w:p>
    <w:p w14:paraId="543CC479" w14:textId="7509A62C"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 xml:space="preserve">გრუნტების სეისმურობა დადგენილია  სამშენებლო მოედნის 9 ბალიანი სეისმურობის ზონაში მდებარეობის და მათი ფიზიკურ-მექანიკური თვისებების გათვალისწინებით (,,სეისმომედეგი მშენებლობა” პნ 01.01-09). აღნიშნულის თანახმად, სეისმურობის მიხედვით გრუნტები განეკუთვნება: სგე 1, 3, 4, 5, 6, 8, 9 და 10  - </w:t>
      </w:r>
      <w:r>
        <w:rPr>
          <w:rFonts w:ascii="Sylfaen" w:hAnsi="Sylfaen"/>
          <w:lang w:val="en-US"/>
        </w:rPr>
        <w:t>II</w:t>
      </w:r>
      <w:r w:rsidRPr="007F1830">
        <w:rPr>
          <w:rFonts w:ascii="Sylfaen" w:hAnsi="Sylfaen"/>
          <w:lang w:val="ka-GE"/>
        </w:rPr>
        <w:t xml:space="preserve"> კატეგორიას და განისაზღვრება 9 ბალით. სგე 7 - </w:t>
      </w:r>
      <w:r>
        <w:rPr>
          <w:rFonts w:ascii="AcadNusx" w:hAnsi="AcadNusx"/>
          <w:lang w:val="it-IT"/>
        </w:rPr>
        <w:t xml:space="preserve">III </w:t>
      </w:r>
      <w:r w:rsidRPr="007F1830">
        <w:rPr>
          <w:rFonts w:ascii="Sylfaen" w:hAnsi="Sylfaen"/>
          <w:lang w:val="ka-GE"/>
        </w:rPr>
        <w:t xml:space="preserve">კატეგორიას და განისაზღვრება &gt;9 ბალით. სგე 2  - </w:t>
      </w:r>
      <w:r>
        <w:rPr>
          <w:rFonts w:ascii="Sylfaen" w:hAnsi="Sylfaen"/>
          <w:lang w:val="en-US"/>
        </w:rPr>
        <w:t>IV</w:t>
      </w:r>
      <w:r w:rsidRPr="007F1830">
        <w:rPr>
          <w:rFonts w:ascii="Sylfaen" w:hAnsi="Sylfaen"/>
          <w:lang w:val="ka-GE"/>
        </w:rPr>
        <w:t xml:space="preserve"> კატეგორიას და სეისმურობა ზუსტდება სპეციალური კვლევის შედეგად.</w:t>
      </w:r>
    </w:p>
    <w:p w14:paraId="3A4A387D" w14:textId="19EF9FE4" w:rsidR="007F1830" w:rsidRPr="007F1830" w:rsidRDefault="007F1830" w:rsidP="007F1830">
      <w:pPr>
        <w:tabs>
          <w:tab w:val="left" w:pos="2520"/>
        </w:tabs>
        <w:spacing w:before="120" w:after="120"/>
        <w:rPr>
          <w:rFonts w:ascii="Sylfaen" w:hAnsi="Sylfaen"/>
          <w:lang w:val="en-US"/>
        </w:rPr>
      </w:pPr>
      <w:r w:rsidRPr="007F1830">
        <w:rPr>
          <w:rFonts w:ascii="Sylfaen" w:hAnsi="Sylfaen"/>
          <w:lang w:val="ka-GE"/>
        </w:rPr>
        <w:t>გრუნტების (სგე) საანგარიშო მაჩვენებლები მოცემულია ცხრილში # 6.</w:t>
      </w:r>
      <w:r>
        <w:rPr>
          <w:rFonts w:ascii="Sylfaen" w:hAnsi="Sylfaen"/>
          <w:lang w:val="en-US"/>
        </w:rPr>
        <w:t>2-2</w:t>
      </w:r>
    </w:p>
    <w:p w14:paraId="7C79AB5C" w14:textId="15022F0C" w:rsidR="007F1830" w:rsidRPr="007F1830" w:rsidRDefault="007F1830" w:rsidP="007F1830">
      <w:pPr>
        <w:tabs>
          <w:tab w:val="left" w:pos="2520"/>
        </w:tabs>
        <w:spacing w:before="120" w:after="120"/>
        <w:rPr>
          <w:rFonts w:ascii="Sylfaen" w:hAnsi="Sylfaen"/>
          <w:b/>
          <w:lang w:val="ka-GE"/>
        </w:rPr>
      </w:pPr>
      <w:r w:rsidRPr="007F1830">
        <w:rPr>
          <w:rFonts w:ascii="Sylfaen" w:hAnsi="Sylfaen"/>
          <w:lang w:val="ka-GE"/>
        </w:rPr>
        <w:t xml:space="preserve"> </w:t>
      </w:r>
      <w:r w:rsidRPr="007F1830">
        <w:rPr>
          <w:rFonts w:ascii="Sylfaen" w:hAnsi="Sylfaen"/>
          <w:b/>
          <w:lang w:val="ka-GE"/>
        </w:rPr>
        <w:t>დასკვნა</w:t>
      </w:r>
    </w:p>
    <w:p w14:paraId="62AFE21B" w14:textId="77777777" w:rsidR="007F1830" w:rsidRPr="007F1830" w:rsidRDefault="007F1830" w:rsidP="007F1830">
      <w:pPr>
        <w:tabs>
          <w:tab w:val="left" w:pos="2520"/>
        </w:tabs>
        <w:spacing w:before="120" w:after="120"/>
        <w:rPr>
          <w:rFonts w:ascii="Sylfaen" w:hAnsi="Sylfaen"/>
          <w:lang w:val="ka-GE"/>
        </w:rPr>
      </w:pPr>
      <w:r w:rsidRPr="007F1830">
        <w:rPr>
          <w:rFonts w:ascii="Sylfaen" w:hAnsi="Sylfaen"/>
          <w:lang w:val="ka-GE"/>
        </w:rPr>
        <w:t>ჩატარებული კვლევების შედეგების და არსებული მასალების ანალიზის შედეგად შეიძლება დავასკვნათ შემდეგი:</w:t>
      </w:r>
    </w:p>
    <w:p w14:paraId="75A61CC9" w14:textId="6AC122B5" w:rsidR="007F1830" w:rsidRPr="007F1830" w:rsidRDefault="007F1830" w:rsidP="007F1830">
      <w:pPr>
        <w:pStyle w:val="ListParagraph"/>
        <w:numPr>
          <w:ilvl w:val="1"/>
          <w:numId w:val="1"/>
        </w:numPr>
        <w:tabs>
          <w:tab w:val="clear" w:pos="1440"/>
          <w:tab w:val="num" w:pos="720"/>
        </w:tabs>
        <w:spacing w:before="120"/>
        <w:ind w:left="270" w:hanging="270"/>
      </w:pPr>
      <w:r w:rsidRPr="007F1830">
        <w:rPr>
          <w:rFonts w:cs="Sylfaen"/>
          <w:lang w:val="ka-GE"/>
        </w:rPr>
        <w:t>საქართველოს</w:t>
      </w:r>
      <w:r w:rsidRPr="007F1830">
        <w:rPr>
          <w:lang w:val="ka-GE"/>
        </w:rPr>
        <w:t xml:space="preserve"> </w:t>
      </w:r>
      <w:r w:rsidRPr="007F1830">
        <w:rPr>
          <w:rFonts w:cs="Sylfaen"/>
          <w:lang w:val="ka-GE"/>
        </w:rPr>
        <w:t>სამშენებლო</w:t>
      </w:r>
      <w:r w:rsidRPr="007F1830">
        <w:rPr>
          <w:lang w:val="ka-GE"/>
        </w:rPr>
        <w:t xml:space="preserve"> </w:t>
      </w:r>
      <w:r w:rsidRPr="007F1830">
        <w:rPr>
          <w:rFonts w:cs="Sylfaen"/>
          <w:lang w:val="ka-GE"/>
        </w:rPr>
        <w:t>კლიმატური</w:t>
      </w:r>
      <w:r w:rsidRPr="007F1830">
        <w:rPr>
          <w:lang w:val="ka-GE"/>
        </w:rPr>
        <w:t xml:space="preserve"> </w:t>
      </w:r>
      <w:r w:rsidRPr="007F1830">
        <w:rPr>
          <w:rFonts w:cs="Sylfaen"/>
          <w:lang w:val="ka-GE"/>
        </w:rPr>
        <w:t>დარაიონების</w:t>
      </w:r>
      <w:r w:rsidRPr="007F1830">
        <w:rPr>
          <w:lang w:val="ka-GE"/>
        </w:rPr>
        <w:t xml:space="preserve"> </w:t>
      </w:r>
      <w:r w:rsidRPr="007F1830">
        <w:rPr>
          <w:rFonts w:cs="Sylfaen"/>
          <w:lang w:val="ka-GE"/>
        </w:rPr>
        <w:t>რუკის</w:t>
      </w:r>
      <w:r w:rsidRPr="007F1830">
        <w:rPr>
          <w:lang w:val="ka-GE"/>
        </w:rPr>
        <w:t xml:space="preserve"> </w:t>
      </w:r>
      <w:r w:rsidRPr="007F1830">
        <w:rPr>
          <w:rFonts w:cs="Sylfaen"/>
          <w:lang w:val="ka-GE"/>
        </w:rPr>
        <w:t>მიხედვით</w:t>
      </w:r>
      <w:r w:rsidRPr="007F1830">
        <w:rPr>
          <w:lang w:val="ka-GE"/>
        </w:rPr>
        <w:t xml:space="preserve"> </w:t>
      </w:r>
      <w:r w:rsidRPr="007F1830">
        <w:rPr>
          <w:rFonts w:cs="Sylfaen"/>
          <w:lang w:val="ka-GE"/>
        </w:rPr>
        <w:t>რაიონი</w:t>
      </w:r>
      <w:r w:rsidRPr="007F1830">
        <w:rPr>
          <w:lang w:val="ka-GE"/>
        </w:rPr>
        <w:t xml:space="preserve"> </w:t>
      </w:r>
      <w:r w:rsidRPr="007F1830">
        <w:rPr>
          <w:rFonts w:cs="Sylfaen"/>
          <w:lang w:val="ka-GE"/>
        </w:rPr>
        <w:t>მიეკუთვნება</w:t>
      </w:r>
      <w:r w:rsidRPr="007F1830">
        <w:rPr>
          <w:lang w:val="ka-GE"/>
        </w:rPr>
        <w:t xml:space="preserve"> </w:t>
      </w:r>
      <w:r>
        <w:t>II</w:t>
      </w:r>
      <w:r w:rsidRPr="007F1830">
        <w:rPr>
          <w:lang w:val="ka-GE"/>
        </w:rPr>
        <w:t xml:space="preserve"> </w:t>
      </w:r>
      <w:r w:rsidRPr="007F1830">
        <w:rPr>
          <w:rFonts w:cs="Sylfaen"/>
          <w:lang w:val="ka-GE"/>
        </w:rPr>
        <w:t>კლიმატურ</w:t>
      </w:r>
      <w:r w:rsidRPr="007F1830">
        <w:rPr>
          <w:lang w:val="ka-GE"/>
        </w:rPr>
        <w:t xml:space="preserve"> </w:t>
      </w:r>
      <w:r w:rsidRPr="007F1830">
        <w:rPr>
          <w:rFonts w:cs="Sylfaen"/>
          <w:lang w:val="ka-GE"/>
        </w:rPr>
        <w:t>და</w:t>
      </w:r>
      <w:r w:rsidRPr="007F1830">
        <w:rPr>
          <w:lang w:val="ka-GE"/>
        </w:rPr>
        <w:t xml:space="preserve"> </w:t>
      </w:r>
      <w:r>
        <w:t>II</w:t>
      </w:r>
      <w:r w:rsidRPr="007F1830">
        <w:rPr>
          <w:lang w:val="ka-GE"/>
        </w:rPr>
        <w:t>-</w:t>
      </w:r>
      <w:r w:rsidRPr="007F1830">
        <w:rPr>
          <w:rFonts w:cs="Sylfaen"/>
          <w:lang w:val="ka-GE"/>
        </w:rPr>
        <w:t>ბ</w:t>
      </w:r>
      <w:r w:rsidRPr="007F1830">
        <w:rPr>
          <w:lang w:val="ka-GE"/>
        </w:rPr>
        <w:t xml:space="preserve"> </w:t>
      </w:r>
      <w:r w:rsidRPr="007F1830">
        <w:rPr>
          <w:rFonts w:cs="Sylfaen"/>
          <w:lang w:val="ka-GE"/>
        </w:rPr>
        <w:t>ქვერაიონებს</w:t>
      </w:r>
      <w:r w:rsidRPr="007F1830">
        <w:rPr>
          <w:lang w:val="ka-GE"/>
        </w:rPr>
        <w:t>;</w:t>
      </w:r>
    </w:p>
    <w:p w14:paraId="66225602" w14:textId="29EC9F40" w:rsidR="007F1830" w:rsidRPr="007F1830" w:rsidRDefault="007F1830" w:rsidP="007F1830">
      <w:pPr>
        <w:pStyle w:val="ListParagraph"/>
        <w:numPr>
          <w:ilvl w:val="1"/>
          <w:numId w:val="1"/>
        </w:numPr>
        <w:tabs>
          <w:tab w:val="clear" w:pos="1440"/>
          <w:tab w:val="num" w:pos="720"/>
        </w:tabs>
        <w:spacing w:before="120"/>
        <w:ind w:left="270" w:hanging="270"/>
      </w:pPr>
      <w:r w:rsidRPr="007F1830">
        <w:t>საველე და ლაბორატორიული კვლევებით სამშენებლო უბანზე გამოიყო ნიადაგის ფენა და ათი საინჟინრო-გეოლოგიური ელემენტი (სგე):</w:t>
      </w:r>
    </w:p>
    <w:p w14:paraId="4E4A8515" w14:textId="01BC6DBE" w:rsidR="007F1830" w:rsidRPr="007F1830" w:rsidRDefault="007F1830" w:rsidP="007F1830">
      <w:pPr>
        <w:tabs>
          <w:tab w:val="left" w:pos="2520"/>
        </w:tabs>
        <w:spacing w:before="120" w:after="120"/>
        <w:rPr>
          <w:rFonts w:ascii="Sylfaen" w:hAnsi="Sylfaen"/>
          <w:lang w:val="ka-GE"/>
        </w:rPr>
      </w:pPr>
      <w:r>
        <w:rPr>
          <w:rFonts w:ascii="Sylfaen" w:hAnsi="Sylfaen"/>
          <w:lang w:val="ka-GE"/>
        </w:rPr>
        <w:t>•</w:t>
      </w:r>
      <w:r>
        <w:rPr>
          <w:rFonts w:ascii="Sylfaen" w:hAnsi="Sylfaen"/>
          <w:lang w:val="en-US"/>
        </w:rPr>
        <w:t xml:space="preserve"> </w:t>
      </w:r>
      <w:r w:rsidRPr="007F1830">
        <w:rPr>
          <w:rFonts w:ascii="Sylfaen" w:hAnsi="Sylfaen"/>
          <w:lang w:val="ka-GE"/>
        </w:rPr>
        <w:t>სგე 1 საგზაო სამოსის ფენები, წარმოდგენილი წვრილი და საშუალო ზომის კენჭნარით, ხრეშის ჩანართებით; საშუალო და მსხვილმარცვლოვანი ქვიშის შემავსებლით 20-30%-მდე;</w:t>
      </w:r>
    </w:p>
    <w:p w14:paraId="1BE06839" w14:textId="4C579A8C" w:rsidR="007F1830" w:rsidRPr="007F1830" w:rsidRDefault="007F1830" w:rsidP="007F1830">
      <w:pPr>
        <w:tabs>
          <w:tab w:val="left" w:pos="2520"/>
        </w:tabs>
        <w:spacing w:before="120" w:after="120"/>
        <w:rPr>
          <w:rFonts w:ascii="Sylfaen" w:hAnsi="Sylfaen"/>
          <w:lang w:val="ka-GE"/>
        </w:rPr>
      </w:pPr>
      <w:r>
        <w:rPr>
          <w:rFonts w:ascii="Sylfaen" w:hAnsi="Sylfaen"/>
          <w:lang w:val="ka-GE"/>
        </w:rPr>
        <w:t xml:space="preserve">• </w:t>
      </w:r>
      <w:r w:rsidRPr="007F1830">
        <w:rPr>
          <w:rFonts w:ascii="Sylfaen" w:hAnsi="Sylfaen"/>
          <w:lang w:val="ka-GE"/>
        </w:rPr>
        <w:t>სგე 2 ტექნოგენური გრუნტი, წარმოდგენილი თიხაქვიშით, ყავისფერი, მყარი; ღორღის და კენჭის 10-15%-მდე ჩანართებით, ქვიშის ლინზებით, მცენარეული ფესვების შემცველობით;</w:t>
      </w:r>
    </w:p>
    <w:p w14:paraId="0B0B1446" w14:textId="0D20E500" w:rsidR="007F1830" w:rsidRPr="007F1830" w:rsidRDefault="007F1830" w:rsidP="007F1830">
      <w:pPr>
        <w:tabs>
          <w:tab w:val="left" w:pos="2520"/>
        </w:tabs>
        <w:spacing w:before="120" w:after="120"/>
        <w:rPr>
          <w:rFonts w:ascii="Sylfaen" w:hAnsi="Sylfaen"/>
          <w:lang w:val="ka-GE"/>
        </w:rPr>
      </w:pPr>
      <w:r>
        <w:rPr>
          <w:rFonts w:ascii="Sylfaen" w:hAnsi="Sylfaen"/>
          <w:lang w:val="ka-GE"/>
        </w:rPr>
        <w:lastRenderedPageBreak/>
        <w:t xml:space="preserve">• </w:t>
      </w:r>
      <w:r w:rsidRPr="007F1830">
        <w:rPr>
          <w:rFonts w:ascii="Sylfaen" w:hAnsi="Sylfaen"/>
          <w:lang w:val="ka-GE"/>
        </w:rPr>
        <w:t>სგე 3 თიხნარი, მუქი ყავისფერი, მყარი, თიხაქვიშის და ქვიშის შუაშრეებით;</w:t>
      </w:r>
    </w:p>
    <w:p w14:paraId="4315726F" w14:textId="4EA156BD" w:rsidR="007F1830" w:rsidRPr="007F1830" w:rsidRDefault="007F1830" w:rsidP="007F1830">
      <w:pPr>
        <w:tabs>
          <w:tab w:val="left" w:pos="2520"/>
        </w:tabs>
        <w:spacing w:before="120" w:after="120"/>
        <w:rPr>
          <w:rFonts w:ascii="Sylfaen" w:hAnsi="Sylfaen"/>
          <w:lang w:val="ka-GE"/>
        </w:rPr>
      </w:pPr>
      <w:r>
        <w:rPr>
          <w:rFonts w:ascii="Sylfaen" w:hAnsi="Sylfaen"/>
          <w:lang w:val="ka-GE"/>
        </w:rPr>
        <w:t xml:space="preserve">• </w:t>
      </w:r>
      <w:r w:rsidRPr="007F1830">
        <w:rPr>
          <w:rFonts w:ascii="Sylfaen" w:hAnsi="Sylfaen"/>
          <w:lang w:val="ka-GE"/>
        </w:rPr>
        <w:t xml:space="preserve">სგე 4 თიხნარი, ყავისფერი, ნახევრად მყარი; წვრილი ზომის კენჭის ჩანართებით 20-30%-მდე, თიხაქვიშის და ქვიშის ლინზებით; </w:t>
      </w:r>
    </w:p>
    <w:p w14:paraId="28D3DE39" w14:textId="4A7518E6" w:rsidR="007F1830" w:rsidRPr="007F1830" w:rsidRDefault="007F1830" w:rsidP="007F1830">
      <w:pPr>
        <w:tabs>
          <w:tab w:val="left" w:pos="2520"/>
        </w:tabs>
        <w:spacing w:before="120" w:after="120"/>
        <w:rPr>
          <w:rFonts w:ascii="Sylfaen" w:hAnsi="Sylfaen"/>
          <w:lang w:val="ka-GE"/>
        </w:rPr>
      </w:pPr>
      <w:r>
        <w:rPr>
          <w:rFonts w:ascii="Sylfaen" w:hAnsi="Sylfaen"/>
          <w:lang w:val="ka-GE"/>
        </w:rPr>
        <w:t xml:space="preserve">• </w:t>
      </w:r>
      <w:r w:rsidRPr="007F1830">
        <w:rPr>
          <w:rFonts w:ascii="Sylfaen" w:hAnsi="Sylfaen"/>
          <w:lang w:val="ka-GE"/>
        </w:rPr>
        <w:t>სგე 5 კენჭნაროვანი გრუნტი, საშუალო და წვრილი ზომის, ხრეშის ჩანართებით; ყავისფერი-მონაცრისფრო, საშუალო და მსხვილმარცვლოვანი ქვიშის შემავსებლით 20-25%-მდე, თიხაქვიშის და თიხნარის თხელი და საშუალო ზომის ლინზებით;</w:t>
      </w:r>
    </w:p>
    <w:p w14:paraId="6300F8A3" w14:textId="07144781" w:rsidR="007F1830" w:rsidRPr="007F1830" w:rsidRDefault="007F1830" w:rsidP="007F1830">
      <w:pPr>
        <w:tabs>
          <w:tab w:val="left" w:pos="2520"/>
        </w:tabs>
        <w:spacing w:before="120" w:after="120"/>
        <w:rPr>
          <w:rFonts w:ascii="Sylfaen" w:hAnsi="Sylfaen"/>
          <w:lang w:val="ka-GE"/>
        </w:rPr>
      </w:pPr>
      <w:r>
        <w:rPr>
          <w:rFonts w:ascii="Sylfaen" w:hAnsi="Sylfaen"/>
          <w:lang w:val="ka-GE"/>
        </w:rPr>
        <w:t xml:space="preserve">• </w:t>
      </w:r>
      <w:r w:rsidRPr="007F1830">
        <w:rPr>
          <w:rFonts w:ascii="Sylfaen" w:hAnsi="Sylfaen"/>
          <w:lang w:val="ka-GE"/>
        </w:rPr>
        <w:t>სგე 6 თიხნარი, მოყვითალო-ყავისფერი, ძნელპლასტიკური, ხრეშის და კენჭის 10-20% ჩანართებით, თიხაქვიშის - ქვიშის ლინზებით და შუაშრეებით;</w:t>
      </w:r>
    </w:p>
    <w:p w14:paraId="374F6D71" w14:textId="50F10D9E" w:rsidR="007F1830" w:rsidRPr="007F1830" w:rsidRDefault="007F1830" w:rsidP="007F1830">
      <w:pPr>
        <w:tabs>
          <w:tab w:val="left" w:pos="2520"/>
        </w:tabs>
        <w:spacing w:before="120" w:after="120"/>
        <w:rPr>
          <w:rFonts w:ascii="Sylfaen" w:hAnsi="Sylfaen"/>
          <w:lang w:val="ka-GE"/>
        </w:rPr>
      </w:pPr>
      <w:r>
        <w:rPr>
          <w:rFonts w:ascii="Sylfaen" w:hAnsi="Sylfaen"/>
          <w:lang w:val="ka-GE"/>
        </w:rPr>
        <w:t xml:space="preserve">• </w:t>
      </w:r>
      <w:r w:rsidRPr="007F1830">
        <w:rPr>
          <w:rFonts w:ascii="Sylfaen" w:hAnsi="Sylfaen"/>
          <w:lang w:val="ka-GE"/>
        </w:rPr>
        <w:t>სგე 7 თიხნარი, მოწითალო-ყავისფერი, რბილპლასტიკური, ხრეშის და კენჭის 15-20% ჩანართებით, თიხაქვიშის - ქვიშის ლინზებით და შუაშრეებით;</w:t>
      </w:r>
    </w:p>
    <w:p w14:paraId="7D2654EC" w14:textId="0319425F" w:rsidR="007F1830" w:rsidRPr="007F1830" w:rsidRDefault="007F1830" w:rsidP="007F1830">
      <w:pPr>
        <w:tabs>
          <w:tab w:val="left" w:pos="2520"/>
        </w:tabs>
        <w:spacing w:before="120" w:after="120"/>
        <w:rPr>
          <w:rFonts w:ascii="Sylfaen" w:hAnsi="Sylfaen"/>
          <w:lang w:val="ka-GE"/>
        </w:rPr>
      </w:pPr>
      <w:r>
        <w:rPr>
          <w:rFonts w:ascii="Sylfaen" w:hAnsi="Sylfaen"/>
          <w:lang w:val="ka-GE"/>
        </w:rPr>
        <w:t xml:space="preserve">• </w:t>
      </w:r>
      <w:r w:rsidRPr="007F1830">
        <w:rPr>
          <w:rFonts w:ascii="Sylfaen" w:hAnsi="Sylfaen"/>
          <w:lang w:val="ka-GE"/>
        </w:rPr>
        <w:t>სგე 8 თიხა, ყავისფერი, მყარი, მარილების ჩანაწინწკლებით და ბუდობებით, ხრეშის 10-15%-მდე ჩანართებით, ქვიშის შუაშრეებით;</w:t>
      </w:r>
    </w:p>
    <w:p w14:paraId="4294EFE0" w14:textId="6B0DA8B5" w:rsidR="007F1830" w:rsidRPr="007F1830" w:rsidRDefault="007F1830" w:rsidP="007F1830">
      <w:pPr>
        <w:tabs>
          <w:tab w:val="left" w:pos="2520"/>
        </w:tabs>
        <w:spacing w:before="120" w:after="120"/>
        <w:rPr>
          <w:rFonts w:ascii="Sylfaen" w:hAnsi="Sylfaen"/>
          <w:lang w:val="ka-GE"/>
        </w:rPr>
      </w:pPr>
      <w:r>
        <w:rPr>
          <w:rFonts w:ascii="Sylfaen" w:hAnsi="Sylfaen"/>
          <w:lang w:val="ka-GE"/>
        </w:rPr>
        <w:t xml:space="preserve">• </w:t>
      </w:r>
      <w:r w:rsidRPr="007F1830">
        <w:rPr>
          <w:rFonts w:ascii="Sylfaen" w:hAnsi="Sylfaen"/>
          <w:lang w:val="ka-GE"/>
        </w:rPr>
        <w:t>სგე 9 თიხაქვიშა, ყავისფერი, პლასტიკური, ხრეშის და კენჭის 20-25%-მდე ჩანართებით, თიხის და თიხნარის შუაშრეებით, იშვიათად კაჭარის გამოვლინებებით;</w:t>
      </w:r>
    </w:p>
    <w:p w14:paraId="66C32DE1" w14:textId="1B6F9D1F" w:rsidR="007F1830" w:rsidRPr="007F1830" w:rsidRDefault="007F1830" w:rsidP="007F1830">
      <w:pPr>
        <w:tabs>
          <w:tab w:val="left" w:pos="2520"/>
        </w:tabs>
        <w:spacing w:before="120" w:after="120"/>
        <w:rPr>
          <w:rFonts w:ascii="Sylfaen" w:hAnsi="Sylfaen"/>
          <w:lang w:val="ka-GE"/>
        </w:rPr>
      </w:pPr>
      <w:r>
        <w:rPr>
          <w:rFonts w:ascii="Sylfaen" w:hAnsi="Sylfaen"/>
          <w:lang w:val="ka-GE"/>
        </w:rPr>
        <w:t xml:space="preserve">• </w:t>
      </w:r>
      <w:r w:rsidRPr="007F1830">
        <w:rPr>
          <w:rFonts w:ascii="Sylfaen" w:hAnsi="Sylfaen"/>
          <w:lang w:val="ka-GE"/>
        </w:rPr>
        <w:t>სგე 10 ხრეშოვანი გრუნტი, სხვადასხვა მარცვლოვანი, კენჭის 10-15%-მდე ჩანართებით, თიხის და თიხაქვიშის შემავსებელით, ქვიშის შუაშრეებით.</w:t>
      </w:r>
    </w:p>
    <w:p w14:paraId="68C3F1D8" w14:textId="5614294D" w:rsidR="007F1830" w:rsidRPr="007F1830" w:rsidRDefault="007F1830" w:rsidP="007F1830">
      <w:pPr>
        <w:tabs>
          <w:tab w:val="left" w:pos="2520"/>
        </w:tabs>
        <w:spacing w:before="120" w:after="120"/>
        <w:rPr>
          <w:rFonts w:ascii="Sylfaen" w:hAnsi="Sylfaen"/>
          <w:lang w:val="ka-GE"/>
        </w:rPr>
      </w:pPr>
      <w:r>
        <w:rPr>
          <w:rFonts w:ascii="Sylfaen" w:hAnsi="Sylfaen"/>
          <w:lang w:val="ka-GE"/>
        </w:rPr>
        <w:t xml:space="preserve">3. </w:t>
      </w:r>
      <w:r w:rsidRPr="007F1830">
        <w:rPr>
          <w:rFonts w:ascii="Sylfaen" w:hAnsi="Sylfaen"/>
          <w:lang w:val="ka-GE"/>
        </w:rPr>
        <w:t>შესწავლილი უბნის აგებულებაში მონაწილეობენ ტექნოგენური და მეოთხეული ასაკის გრუნტები;</w:t>
      </w:r>
    </w:p>
    <w:p w14:paraId="4021D4E5" w14:textId="1FBF69D0" w:rsidR="007F1830" w:rsidRPr="007F1830" w:rsidRDefault="007F1830" w:rsidP="007F1830">
      <w:pPr>
        <w:tabs>
          <w:tab w:val="left" w:pos="2520"/>
        </w:tabs>
        <w:spacing w:before="120" w:after="120"/>
        <w:rPr>
          <w:rFonts w:ascii="Sylfaen" w:hAnsi="Sylfaen"/>
          <w:lang w:val="ka-GE"/>
        </w:rPr>
      </w:pPr>
      <w:r>
        <w:rPr>
          <w:rFonts w:ascii="Sylfaen" w:hAnsi="Sylfaen"/>
          <w:lang w:val="ka-GE"/>
        </w:rPr>
        <w:t xml:space="preserve">4. </w:t>
      </w:r>
      <w:r w:rsidRPr="007F1830">
        <w:rPr>
          <w:rFonts w:ascii="Sylfaen" w:hAnsi="Sylfaen"/>
          <w:lang w:val="ka-GE"/>
        </w:rPr>
        <w:t>გრუნტების ქიმიური შედგენილობა შესწავლილია სგე 4, 6, 7 და 8 გრუნტებისათვის 4 ნიმუშის ანალიზზე დაყრდნობით;</w:t>
      </w:r>
    </w:p>
    <w:p w14:paraId="6CF11E78" w14:textId="693C3282" w:rsidR="007F1830" w:rsidRPr="007F1830" w:rsidRDefault="007F1830" w:rsidP="007F1830">
      <w:pPr>
        <w:tabs>
          <w:tab w:val="left" w:pos="2520"/>
        </w:tabs>
        <w:spacing w:before="120" w:after="120"/>
        <w:rPr>
          <w:rFonts w:ascii="Sylfaen" w:hAnsi="Sylfaen"/>
          <w:lang w:val="ka-GE"/>
        </w:rPr>
      </w:pPr>
      <w:r>
        <w:rPr>
          <w:rFonts w:ascii="Sylfaen" w:hAnsi="Sylfaen"/>
          <w:lang w:val="ka-GE"/>
        </w:rPr>
        <w:t xml:space="preserve">5. </w:t>
      </w:r>
      <w:r w:rsidRPr="007F1830">
        <w:rPr>
          <w:rFonts w:ascii="Sylfaen" w:hAnsi="Sylfaen"/>
          <w:lang w:val="ka-GE"/>
        </w:rPr>
        <w:t>ქიმიური შედგენილობის მიხედვით გრუნტები ჰიდროკარბონატულ კალციუმიანი დამარილიანების ტიპისანი არიან;</w:t>
      </w:r>
    </w:p>
    <w:p w14:paraId="792AD428" w14:textId="4A0570B6" w:rsidR="007F1830" w:rsidRPr="007F1830" w:rsidRDefault="007F1830" w:rsidP="007F1830">
      <w:pPr>
        <w:tabs>
          <w:tab w:val="left" w:pos="2520"/>
        </w:tabs>
        <w:spacing w:before="120" w:after="120"/>
        <w:rPr>
          <w:rFonts w:ascii="Sylfaen" w:hAnsi="Sylfaen"/>
          <w:lang w:val="ka-GE"/>
        </w:rPr>
      </w:pPr>
      <w:r>
        <w:rPr>
          <w:rFonts w:ascii="Sylfaen" w:hAnsi="Sylfaen"/>
          <w:lang w:val="ka-GE"/>
        </w:rPr>
        <w:t xml:space="preserve">6. </w:t>
      </w:r>
      <w:r w:rsidRPr="007F1830">
        <w:rPr>
          <w:rFonts w:ascii="Sylfaen" w:hAnsi="Sylfaen"/>
          <w:lang w:val="ka-GE"/>
        </w:rPr>
        <w:t>გრუნტები არ ამჟღავნებენ აგრესიულობას არცერთი სახის ბეტონის მიმართ;</w:t>
      </w:r>
    </w:p>
    <w:p w14:paraId="7B19F864" w14:textId="366BF701" w:rsidR="007F1830" w:rsidRPr="007F1830" w:rsidRDefault="007F1830" w:rsidP="007F1830">
      <w:pPr>
        <w:tabs>
          <w:tab w:val="left" w:pos="2520"/>
        </w:tabs>
        <w:spacing w:before="120" w:after="120"/>
        <w:rPr>
          <w:rFonts w:ascii="Sylfaen" w:hAnsi="Sylfaen"/>
          <w:lang w:val="ka-GE"/>
        </w:rPr>
      </w:pPr>
      <w:r>
        <w:rPr>
          <w:rFonts w:ascii="Sylfaen" w:hAnsi="Sylfaen"/>
          <w:lang w:val="ka-GE"/>
        </w:rPr>
        <w:t xml:space="preserve">7. </w:t>
      </w:r>
      <w:r w:rsidRPr="007F1830">
        <w:rPr>
          <w:rFonts w:ascii="Sylfaen" w:hAnsi="Sylfaen"/>
          <w:lang w:val="ka-GE"/>
        </w:rPr>
        <w:t xml:space="preserve">გრუნტის წყლის ქიმიური შედგენილობა შესწავლილია ჭაბურღილი ბრ-11-დან აღებული ნიმუშის საფუძველზე. </w:t>
      </w:r>
    </w:p>
    <w:p w14:paraId="2E5B09E4" w14:textId="3A2DC382" w:rsidR="007F1830" w:rsidRPr="007F1830" w:rsidRDefault="007F1830" w:rsidP="007F1830">
      <w:pPr>
        <w:tabs>
          <w:tab w:val="left" w:pos="2520"/>
        </w:tabs>
        <w:spacing w:before="120" w:after="120"/>
        <w:rPr>
          <w:rFonts w:ascii="Sylfaen" w:hAnsi="Sylfaen"/>
          <w:lang w:val="ka-GE"/>
        </w:rPr>
      </w:pPr>
      <w:r>
        <w:rPr>
          <w:rFonts w:ascii="Sylfaen" w:hAnsi="Sylfaen"/>
          <w:lang w:val="ka-GE"/>
        </w:rPr>
        <w:t>8.</w:t>
      </w:r>
      <w:r>
        <w:rPr>
          <w:rFonts w:ascii="Sylfaen" w:hAnsi="Sylfaen"/>
          <w:lang w:val="en-US"/>
        </w:rPr>
        <w:t xml:space="preserve"> </w:t>
      </w:r>
      <w:r w:rsidRPr="007F1830">
        <w:rPr>
          <w:rFonts w:ascii="Sylfaen" w:hAnsi="Sylfaen"/>
          <w:lang w:val="ka-GE"/>
        </w:rPr>
        <w:t>ქიმიური შედგენილობის მიხედვით წყალი ჰიდროკარბონატულ კალციუმიანი დამარილიანების ტიპისაა;</w:t>
      </w:r>
    </w:p>
    <w:p w14:paraId="75974984" w14:textId="09A1C4F7" w:rsidR="007F1830" w:rsidRPr="007F1830" w:rsidRDefault="007F1830" w:rsidP="007F1830">
      <w:pPr>
        <w:tabs>
          <w:tab w:val="left" w:pos="2520"/>
        </w:tabs>
        <w:spacing w:before="120" w:after="120"/>
        <w:rPr>
          <w:rFonts w:ascii="Sylfaen" w:hAnsi="Sylfaen"/>
          <w:lang w:val="ka-GE"/>
        </w:rPr>
      </w:pPr>
      <w:r>
        <w:rPr>
          <w:rFonts w:ascii="Sylfaen" w:hAnsi="Sylfaen"/>
          <w:lang w:val="ka-GE"/>
        </w:rPr>
        <w:t xml:space="preserve">9. </w:t>
      </w:r>
      <w:r w:rsidRPr="007F1830">
        <w:rPr>
          <w:rFonts w:ascii="Sylfaen" w:hAnsi="Sylfaen"/>
          <w:lang w:val="ka-GE"/>
        </w:rPr>
        <w:t xml:space="preserve">ნიმუში ამჟღავნებს სუსტ აგრესიულობას წყალბადიონის მაჩვენებლით (განლაგებულ ქანებში </w:t>
      </w:r>
      <w:r>
        <w:rPr>
          <w:rFonts w:ascii="Calibri Light" w:hAnsi="Calibri Light" w:cs="Calibri Light"/>
          <w:lang w:val="en-US"/>
        </w:rPr>
        <w:t>K</w:t>
      </w:r>
      <w:r>
        <w:rPr>
          <w:rFonts w:ascii="Calibri Light" w:hAnsi="Calibri Light" w:cs="Calibri Light"/>
          <w:vertAlign w:val="subscript"/>
          <w:lang w:val="en-US"/>
        </w:rPr>
        <w:t>f</w:t>
      </w:r>
      <w:r>
        <w:rPr>
          <w:rFonts w:ascii="Calibri Light" w:hAnsi="Calibri Light" w:cs="Calibri Light"/>
          <w:lang w:val="en-US"/>
        </w:rPr>
        <w:t>&lt;</w:t>
      </w:r>
      <w:r>
        <w:rPr>
          <w:rFonts w:ascii="AcadNusx" w:hAnsi="AcadNusx"/>
          <w:lang w:val="en-US"/>
        </w:rPr>
        <w:t>0.1m/dR.R),</w:t>
      </w:r>
      <w:r>
        <w:rPr>
          <w:lang w:val="en-US"/>
        </w:rPr>
        <w:t xml:space="preserve"> W4</w:t>
      </w:r>
      <w:r>
        <w:rPr>
          <w:rFonts w:ascii="AcadNusx" w:hAnsi="AcadNusx"/>
          <w:lang w:val="en-US"/>
        </w:rPr>
        <w:t xml:space="preserve"> </w:t>
      </w:r>
      <w:r w:rsidRPr="007F1830">
        <w:rPr>
          <w:rFonts w:ascii="Sylfaen" w:hAnsi="Sylfaen"/>
          <w:lang w:val="ka-GE"/>
        </w:rPr>
        <w:t>სახის ცემენტის მიმართ;</w:t>
      </w:r>
    </w:p>
    <w:p w14:paraId="47EC370D" w14:textId="4335BA00" w:rsidR="007F1830" w:rsidRPr="007F1830" w:rsidRDefault="007F1830" w:rsidP="007F1830">
      <w:pPr>
        <w:tabs>
          <w:tab w:val="left" w:pos="2520"/>
        </w:tabs>
        <w:spacing w:before="120" w:after="120"/>
        <w:rPr>
          <w:rFonts w:ascii="Sylfaen" w:hAnsi="Sylfaen"/>
          <w:lang w:val="ka-GE"/>
        </w:rPr>
      </w:pPr>
      <w:r>
        <w:rPr>
          <w:rFonts w:ascii="Sylfaen" w:hAnsi="Sylfaen"/>
          <w:lang w:val="ka-GE"/>
        </w:rPr>
        <w:t xml:space="preserve">10. </w:t>
      </w:r>
      <w:r w:rsidRPr="007F1830">
        <w:rPr>
          <w:rFonts w:ascii="Sylfaen" w:hAnsi="Sylfaen"/>
          <w:lang w:val="ka-GE"/>
        </w:rPr>
        <w:t>წყლის აგრესიული ზემოქმედების ხარისხი რკინაბეტონის არმატურაზე, პერიოდული დასველებით არის სუსტი, ხოლო ქანების აგრესიული ზემოქმედების ხარისხი ნახშირბადიან ფოლადზე, გრუნტის წყლის დონის დაბლა იმ ქანებისათვის რომელთა ფილტრაციის კოეფიციენტი &gt;0.1მ/დღე-ღამეში, არის საშუალო;</w:t>
      </w:r>
    </w:p>
    <w:p w14:paraId="4C08CF5B" w14:textId="05846748" w:rsidR="007F1830" w:rsidRPr="007F1830" w:rsidRDefault="007F1830" w:rsidP="007F1830">
      <w:pPr>
        <w:tabs>
          <w:tab w:val="left" w:pos="2520"/>
        </w:tabs>
        <w:spacing w:before="120" w:after="120"/>
        <w:rPr>
          <w:rFonts w:ascii="Sylfaen" w:hAnsi="Sylfaen"/>
          <w:lang w:val="ka-GE"/>
        </w:rPr>
      </w:pPr>
      <w:r>
        <w:rPr>
          <w:rFonts w:ascii="Sylfaen" w:hAnsi="Sylfaen"/>
          <w:lang w:val="ka-GE"/>
        </w:rPr>
        <w:t>11.</w:t>
      </w:r>
      <w:r>
        <w:rPr>
          <w:rFonts w:ascii="Sylfaen" w:hAnsi="Sylfaen"/>
          <w:lang w:val="en-US"/>
        </w:rPr>
        <w:t xml:space="preserve"> </w:t>
      </w:r>
      <w:r w:rsidRPr="007F1830">
        <w:rPr>
          <w:rFonts w:ascii="Sylfaen" w:hAnsi="Sylfaen"/>
          <w:lang w:val="ka-GE"/>
        </w:rPr>
        <w:t>გამოყოფილი საინჟინრო-გეოლოგიური ელემენტებიდან, სგე 1 და 2 გრუნტები მიეკუთვნებიან ჳვ კლასის ტექნოგენური შეკავშირებული და შეუკავშირებელი გრუნტების ჯგუფს (ГОСТ 25100-96б Грунты, классификация);</w:t>
      </w:r>
    </w:p>
    <w:p w14:paraId="0907A38A" w14:textId="2DA26B1F" w:rsidR="007F1830" w:rsidRPr="007F1830" w:rsidRDefault="007F1830" w:rsidP="007F1830">
      <w:pPr>
        <w:tabs>
          <w:tab w:val="left" w:pos="2520"/>
        </w:tabs>
        <w:spacing w:before="120" w:after="120"/>
        <w:rPr>
          <w:rFonts w:ascii="Sylfaen" w:hAnsi="Sylfaen"/>
          <w:lang w:val="ka-GE"/>
        </w:rPr>
      </w:pPr>
      <w:r>
        <w:rPr>
          <w:rFonts w:ascii="Sylfaen" w:hAnsi="Sylfaen"/>
          <w:lang w:val="ka-GE"/>
        </w:rPr>
        <w:t>12.</w:t>
      </w:r>
      <w:r w:rsidRPr="007F1830">
        <w:rPr>
          <w:rFonts w:ascii="Sylfaen" w:hAnsi="Sylfaen"/>
          <w:lang w:val="ka-GE"/>
        </w:rPr>
        <w:t xml:space="preserve"> სგე 3, 4,  6, 7, 8 და 9 გრუნტები მიეკუთვნებიან ჳჳ კლასის შეკავშირებული გრუნტების ჯგუფს (ГОСТ 25100-96б Грунты, классификация), სგე 5 და 10 გრუნტები მიეკუთვნებიან ჳჳ კლასის შეუკავშირებელი გრუნტების ჯგუფს (ГОСТ 25100-96б Грунты, классификация);</w:t>
      </w:r>
    </w:p>
    <w:p w14:paraId="05199192" w14:textId="21D0F9AB" w:rsidR="007F1830" w:rsidRPr="007F1830" w:rsidRDefault="007F1830" w:rsidP="007F1830">
      <w:pPr>
        <w:tabs>
          <w:tab w:val="left" w:pos="2520"/>
        </w:tabs>
        <w:spacing w:before="120" w:after="120"/>
        <w:rPr>
          <w:rFonts w:ascii="Sylfaen" w:hAnsi="Sylfaen"/>
          <w:lang w:val="ka-GE"/>
        </w:rPr>
      </w:pPr>
      <w:r>
        <w:rPr>
          <w:rFonts w:ascii="Sylfaen" w:hAnsi="Sylfaen"/>
          <w:lang w:val="ka-GE"/>
        </w:rPr>
        <w:lastRenderedPageBreak/>
        <w:t xml:space="preserve">13. </w:t>
      </w:r>
      <w:r w:rsidRPr="007F1830">
        <w:rPr>
          <w:rFonts w:ascii="Sylfaen" w:hAnsi="Sylfaen"/>
          <w:lang w:val="ka-GE"/>
        </w:rPr>
        <w:t>საქართველოს სეისმური საშიშროების რუკის მიხედვით, საკვლევი ტერიტორია ქ. თელავი (#1604), განლაგებულია 9 ბალიან სეისმურ ზონაში (</w:t>
      </w:r>
      <w:r w:rsidR="002E0662" w:rsidRPr="005E2832">
        <w:rPr>
          <w:lang w:val="ka-GE"/>
        </w:rPr>
        <w:t>MSK64</w:t>
      </w:r>
      <w:r w:rsidR="002E0662" w:rsidRPr="007F1830">
        <w:rPr>
          <w:rFonts w:ascii="Sylfaen" w:hAnsi="Sylfaen"/>
          <w:lang w:val="ka-GE"/>
        </w:rPr>
        <w:t xml:space="preserve"> </w:t>
      </w:r>
      <w:r w:rsidRPr="007F1830">
        <w:rPr>
          <w:rFonts w:ascii="Sylfaen" w:hAnsi="Sylfaen"/>
          <w:lang w:val="ka-GE"/>
        </w:rPr>
        <w:t xml:space="preserve">-სკალა), სეისმურობის უგანზომილებო კოეფიციენტი </w:t>
      </w:r>
      <w:r w:rsidR="002E0662" w:rsidRPr="005E2832">
        <w:rPr>
          <w:rFonts w:ascii="Sylfaen" w:hAnsi="Sylfaen"/>
          <w:lang w:val="ka-GE"/>
        </w:rPr>
        <w:t>A</w:t>
      </w:r>
      <w:r w:rsidRPr="007F1830">
        <w:rPr>
          <w:rFonts w:ascii="Sylfaen" w:hAnsi="Sylfaen"/>
          <w:lang w:val="ka-GE"/>
        </w:rPr>
        <w:t>=0.32. ჩუმლაყი (#1582), განლაგებულია 9 ბალიან სეისმურ ზონაში (</w:t>
      </w:r>
      <w:r w:rsidR="002E0662" w:rsidRPr="005E2832">
        <w:rPr>
          <w:lang w:val="ka-GE"/>
        </w:rPr>
        <w:t>MSK64</w:t>
      </w:r>
      <w:r w:rsidR="002E0662" w:rsidRPr="007F1830">
        <w:rPr>
          <w:rFonts w:ascii="Sylfaen" w:hAnsi="Sylfaen"/>
          <w:lang w:val="ka-GE"/>
        </w:rPr>
        <w:t xml:space="preserve"> </w:t>
      </w:r>
      <w:r w:rsidRPr="007F1830">
        <w:rPr>
          <w:rFonts w:ascii="Sylfaen" w:hAnsi="Sylfaen"/>
          <w:lang w:val="ka-GE"/>
        </w:rPr>
        <w:t xml:space="preserve">-სკალა), სეისმურობის უგანზომილებო კოეფიციენტი </w:t>
      </w:r>
      <w:r w:rsidR="002E0662" w:rsidRPr="005E2832">
        <w:rPr>
          <w:rFonts w:ascii="Sylfaen" w:hAnsi="Sylfaen"/>
          <w:lang w:val="ka-GE"/>
        </w:rPr>
        <w:t>A</w:t>
      </w:r>
      <w:r w:rsidRPr="007F1830">
        <w:rPr>
          <w:rFonts w:ascii="Sylfaen" w:hAnsi="Sylfaen"/>
          <w:lang w:val="ka-GE"/>
        </w:rPr>
        <w:t>=0.28 (სამშენებლო ნორმები და წესები - ,,სეისმომედეგი მშენებლობა” - პნ 01.01-09);</w:t>
      </w:r>
    </w:p>
    <w:p w14:paraId="40F23680" w14:textId="692E5B44" w:rsidR="007F1830" w:rsidRPr="007F1830" w:rsidRDefault="002E0662" w:rsidP="007F1830">
      <w:pPr>
        <w:tabs>
          <w:tab w:val="left" w:pos="2520"/>
        </w:tabs>
        <w:spacing w:before="120" w:after="120"/>
        <w:rPr>
          <w:rFonts w:ascii="Sylfaen" w:hAnsi="Sylfaen"/>
          <w:lang w:val="ka-GE"/>
        </w:rPr>
      </w:pPr>
      <w:r>
        <w:rPr>
          <w:rFonts w:ascii="Sylfaen" w:hAnsi="Sylfaen"/>
          <w:lang w:val="ka-GE"/>
        </w:rPr>
        <w:t xml:space="preserve">14. </w:t>
      </w:r>
      <w:r w:rsidR="007F1830" w:rsidRPr="007F1830">
        <w:rPr>
          <w:rFonts w:ascii="Sylfaen" w:hAnsi="Sylfaen"/>
          <w:lang w:val="ka-GE"/>
        </w:rPr>
        <w:t xml:space="preserve">სეისმურობის მიხედვით გრუნტები განეკუთვნება: სგე 1, 3, 4, 5, 6, 8, 9 და 10 - </w:t>
      </w:r>
      <w:r w:rsidRPr="005E2832">
        <w:rPr>
          <w:rFonts w:ascii="Sylfaen" w:hAnsi="Sylfaen"/>
          <w:lang w:val="ka-GE"/>
        </w:rPr>
        <w:t>II</w:t>
      </w:r>
      <w:r w:rsidR="007F1830" w:rsidRPr="007F1830">
        <w:rPr>
          <w:rFonts w:ascii="Sylfaen" w:hAnsi="Sylfaen"/>
          <w:lang w:val="ka-GE"/>
        </w:rPr>
        <w:t xml:space="preserve"> კატეგორიას და განისაზღვრება 9 ბალით. სგე 7 - </w:t>
      </w:r>
      <w:r w:rsidRPr="005E2832">
        <w:rPr>
          <w:rFonts w:ascii="Sylfaen" w:hAnsi="Sylfaen"/>
          <w:lang w:val="ka-GE"/>
        </w:rPr>
        <w:t>III</w:t>
      </w:r>
      <w:r w:rsidR="007F1830" w:rsidRPr="007F1830">
        <w:rPr>
          <w:rFonts w:ascii="Sylfaen" w:hAnsi="Sylfaen"/>
          <w:lang w:val="ka-GE"/>
        </w:rPr>
        <w:t xml:space="preserve"> კატეგორიას და განისაზღვრება &gt;9 ბალით. სგე 2 - ჳვ კატეგორიას და სეისმურობა ზუსტდება სპეციალური კვლევის შედეგად;</w:t>
      </w:r>
    </w:p>
    <w:p w14:paraId="2721A9A3" w14:textId="27B32E8A" w:rsidR="007F1830" w:rsidRPr="007F1830" w:rsidRDefault="002E0662" w:rsidP="007F1830">
      <w:pPr>
        <w:tabs>
          <w:tab w:val="left" w:pos="2520"/>
        </w:tabs>
        <w:spacing w:before="120" w:after="120"/>
        <w:rPr>
          <w:rFonts w:ascii="Sylfaen" w:hAnsi="Sylfaen"/>
          <w:lang w:val="ka-GE"/>
        </w:rPr>
      </w:pPr>
      <w:r>
        <w:rPr>
          <w:rFonts w:ascii="Sylfaen" w:hAnsi="Sylfaen"/>
          <w:lang w:val="ka-GE"/>
        </w:rPr>
        <w:t xml:space="preserve">15. </w:t>
      </w:r>
      <w:r w:rsidR="007F1830" w:rsidRPr="007F1830">
        <w:rPr>
          <w:rFonts w:ascii="Sylfaen" w:hAnsi="Sylfaen"/>
          <w:lang w:val="ka-GE"/>
        </w:rPr>
        <w:t>დეტალური პროექტის შედგენისას აუცილებლად მიგვაჩნია ნაგებობებისთვის მიწისძვრის საწინააღმდეგო ღონისძიებების გათვალისწინება;</w:t>
      </w:r>
    </w:p>
    <w:p w14:paraId="5175A396" w14:textId="2419B658" w:rsidR="007F1830" w:rsidRPr="007F1830" w:rsidRDefault="002E0662" w:rsidP="007F1830">
      <w:pPr>
        <w:tabs>
          <w:tab w:val="left" w:pos="2520"/>
        </w:tabs>
        <w:spacing w:before="120" w:after="120"/>
        <w:rPr>
          <w:rFonts w:ascii="Sylfaen" w:hAnsi="Sylfaen"/>
          <w:lang w:val="ka-GE"/>
        </w:rPr>
      </w:pPr>
      <w:r>
        <w:rPr>
          <w:rFonts w:ascii="Sylfaen" w:hAnsi="Sylfaen"/>
          <w:lang w:val="ka-GE"/>
        </w:rPr>
        <w:t xml:space="preserve">16. </w:t>
      </w:r>
      <w:r w:rsidR="007F1830" w:rsidRPr="007F1830">
        <w:rPr>
          <w:rFonts w:ascii="Sylfaen" w:hAnsi="Sylfaen"/>
          <w:lang w:val="ka-GE"/>
        </w:rPr>
        <w:t xml:space="preserve">საანგარიშო წინააღმდეგობა </w:t>
      </w:r>
      <w:r>
        <w:rPr>
          <w:rFonts w:ascii="Cambria" w:hAnsi="Cambria"/>
          <w:lang w:val="it-IT" w:eastAsia="en-US"/>
        </w:rPr>
        <w:t>R</w:t>
      </w:r>
      <w:r>
        <w:rPr>
          <w:rFonts w:ascii="Cambria" w:hAnsi="Cambria"/>
          <w:vertAlign w:val="subscript"/>
          <w:lang w:val="it-IT" w:eastAsia="en-US"/>
        </w:rPr>
        <w:t>0</w:t>
      </w:r>
      <w:r w:rsidR="007F1830" w:rsidRPr="007F1830">
        <w:rPr>
          <w:rFonts w:ascii="Sylfaen" w:hAnsi="Sylfaen"/>
          <w:lang w:val="ka-GE"/>
        </w:rPr>
        <w:t xml:space="preserve"> შეადგენს: სგე 1 – 450კპა, სგე 2 – 195კპა, სგე 3 – 233კპა, სგე 4 – 206კპა, სგე 5 – 600კპა, სგე 6 – 179კპა, სგე 7 – 157კპა, სგე 8 – 468კპა, სგე 9 – 230კპა, სგე 10 – 450კპა;</w:t>
      </w:r>
    </w:p>
    <w:p w14:paraId="29119560" w14:textId="52E8E8C0" w:rsidR="007F1830" w:rsidRPr="007F1830" w:rsidRDefault="002E0662" w:rsidP="007F1830">
      <w:pPr>
        <w:tabs>
          <w:tab w:val="left" w:pos="2520"/>
        </w:tabs>
        <w:spacing w:before="120" w:after="120"/>
        <w:rPr>
          <w:rFonts w:ascii="Sylfaen" w:hAnsi="Sylfaen"/>
          <w:lang w:val="ka-GE"/>
        </w:rPr>
      </w:pPr>
      <w:r>
        <w:rPr>
          <w:rFonts w:ascii="Sylfaen" w:hAnsi="Sylfaen"/>
          <w:lang w:val="ka-GE"/>
        </w:rPr>
        <w:t xml:space="preserve">17. </w:t>
      </w:r>
      <w:r w:rsidR="007F1830" w:rsidRPr="007F1830">
        <w:rPr>
          <w:rFonts w:ascii="Sylfaen" w:hAnsi="Sylfaen"/>
          <w:lang w:val="ka-GE"/>
        </w:rPr>
        <w:t>სამშენებლო მონაკვეთზე, რაიმე სახის, აქტიური, საინჟინრო გეოლოგიური მოვლენა ან პროცესი, რომელიც ხელს შეუშლის სამუშაოების ჩატარებას მოსალოდნელი არ არის;</w:t>
      </w:r>
    </w:p>
    <w:p w14:paraId="253ADE13" w14:textId="77777777" w:rsidR="002E0662" w:rsidRDefault="002E0662" w:rsidP="007F1830">
      <w:pPr>
        <w:tabs>
          <w:tab w:val="left" w:pos="2520"/>
        </w:tabs>
        <w:spacing w:before="120" w:after="120"/>
        <w:rPr>
          <w:rFonts w:ascii="Sylfaen" w:hAnsi="Sylfaen"/>
          <w:lang w:val="en-US"/>
        </w:rPr>
      </w:pPr>
      <w:r>
        <w:rPr>
          <w:rFonts w:ascii="Sylfaen" w:hAnsi="Sylfaen"/>
          <w:lang w:val="ka-GE"/>
        </w:rPr>
        <w:t xml:space="preserve">18. </w:t>
      </w:r>
      <w:r w:rsidR="007F1830" w:rsidRPr="007F1830">
        <w:rPr>
          <w:rFonts w:ascii="Sylfaen" w:hAnsi="Sylfaen"/>
          <w:lang w:val="ka-GE"/>
        </w:rPr>
        <w:t>კვლევების შედეგად მიღებული საინჟინრო გეოლოგიური ელემენტებისათვის ყველა მშენებლობისათვის საჭირო საანგარიშო მაჩვენებლები მოცემულია ტექსტის ბოლოს ცხრილში 6.</w:t>
      </w:r>
      <w:r>
        <w:rPr>
          <w:rFonts w:ascii="Sylfaen" w:hAnsi="Sylfaen"/>
          <w:lang w:val="en-US"/>
        </w:rPr>
        <w:t>2-2</w:t>
      </w:r>
    </w:p>
    <w:p w14:paraId="138D5DB6" w14:textId="365401EE" w:rsidR="002E0662" w:rsidRDefault="002E0662" w:rsidP="002E0662">
      <w:pPr>
        <w:spacing w:line="360" w:lineRule="auto"/>
        <w:ind w:firstLine="567"/>
        <w:jc w:val="center"/>
        <w:rPr>
          <w:rFonts w:ascii="AcadNusx" w:hAnsi="AcadNusx"/>
          <w:lang w:val="it-IT" w:eastAsia="ru-RU"/>
        </w:rPr>
      </w:pPr>
      <w:r>
        <w:rPr>
          <w:rFonts w:ascii="AcadNusx" w:hAnsi="AcadNusx"/>
          <w:lang w:val="it-IT" w:eastAsia="en-US"/>
        </w:rPr>
        <w:t>cxrili 6.2-2</w:t>
      </w:r>
      <w:r>
        <w:rPr>
          <w:rFonts w:ascii="AcadNusx" w:hAnsi="AcadNusx"/>
          <w:lang w:val="it-IT"/>
        </w:rPr>
        <w:t xml:space="preserve"> gruntebis saangariSo maCveneblebi </w:t>
      </w:r>
    </w:p>
    <w:tbl>
      <w:tblPr>
        <w:tblW w:w="9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628"/>
        <w:gridCol w:w="731"/>
        <w:gridCol w:w="568"/>
        <w:gridCol w:w="829"/>
        <w:gridCol w:w="611"/>
        <w:gridCol w:w="788"/>
        <w:gridCol w:w="567"/>
        <w:gridCol w:w="567"/>
        <w:gridCol w:w="567"/>
        <w:gridCol w:w="607"/>
        <w:gridCol w:w="708"/>
        <w:gridCol w:w="567"/>
        <w:gridCol w:w="567"/>
        <w:gridCol w:w="567"/>
        <w:gridCol w:w="567"/>
      </w:tblGrid>
      <w:tr w:rsidR="002E0662" w14:paraId="24D00D26" w14:textId="77777777" w:rsidTr="002E0662">
        <w:trPr>
          <w:cantSplit/>
          <w:trHeight w:val="2367"/>
          <w:jc w:val="center"/>
        </w:trPr>
        <w:tc>
          <w:tcPr>
            <w:tcW w:w="5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4844BA" w14:textId="315FC0B3" w:rsidR="002E0662" w:rsidRDefault="002E0662">
            <w:pPr>
              <w:pStyle w:val="Title"/>
              <w:ind w:left="-166" w:right="-122"/>
              <w:rPr>
                <w:rFonts w:ascii="AcadNusx" w:hAnsi="AcadNusx" w:cs="Americana BT"/>
                <w:sz w:val="16"/>
                <w:szCs w:val="16"/>
                <w:lang w:val="en-US" w:eastAsia="ru-RU"/>
              </w:rPr>
            </w:pPr>
            <w:r>
              <w:rPr>
                <w:rFonts w:ascii="AcadNusx" w:hAnsi="AcadNusx"/>
                <w:lang w:val="it-IT"/>
              </w:rPr>
              <w:t xml:space="preserve">                   </w:t>
            </w:r>
            <w:r>
              <w:rPr>
                <w:rFonts w:ascii="AcadNusx" w:hAnsi="AcadNusx"/>
                <w:lang w:val="it-IT"/>
              </w:rPr>
              <w:tab/>
            </w:r>
            <w:r>
              <w:rPr>
                <w:rFonts w:ascii="AcadNusx" w:hAnsi="AcadNusx"/>
                <w:lang w:val="it-IT"/>
              </w:rPr>
              <w:tab/>
            </w:r>
            <w:r>
              <w:rPr>
                <w:rFonts w:ascii="AcadNusx" w:hAnsi="AcadNusx"/>
                <w:lang w:val="it-IT"/>
              </w:rPr>
              <w:tab/>
            </w:r>
            <w:r>
              <w:rPr>
                <w:rFonts w:ascii="AcadNusx" w:hAnsi="AcadNusx"/>
                <w:lang w:val="it-IT"/>
              </w:rPr>
              <w:tab/>
            </w:r>
            <w:r>
              <w:rPr>
                <w:rFonts w:ascii="AcadNusx" w:hAnsi="AcadNusx"/>
                <w:lang w:val="it-IT"/>
              </w:rPr>
              <w:tab/>
            </w:r>
            <w:r>
              <w:rPr>
                <w:rFonts w:ascii="AcadNusx" w:hAnsi="AcadNusx"/>
                <w:lang w:val="it-IT"/>
              </w:rPr>
              <w:tab/>
            </w:r>
            <w:r>
              <w:rPr>
                <w:rFonts w:ascii="AcadNusx" w:hAnsi="AcadNusx"/>
                <w:lang w:val="it-IT"/>
              </w:rPr>
              <w:tab/>
            </w:r>
            <w:r>
              <w:rPr>
                <w:rFonts w:ascii="AcadNusx" w:hAnsi="AcadNusx"/>
                <w:lang w:val="it-IT"/>
              </w:rPr>
              <w:tab/>
            </w:r>
            <w:r>
              <w:rPr>
                <w:rFonts w:ascii="AcadNusx" w:hAnsi="AcadNusx"/>
                <w:lang w:val="it-IT"/>
              </w:rPr>
              <w:tab/>
            </w:r>
            <w:r>
              <w:rPr>
                <w:rFonts w:ascii="AcadNusx" w:hAnsi="AcadNusx" w:cs="Americana BT"/>
                <w:sz w:val="16"/>
                <w:szCs w:val="16"/>
                <w:lang w:eastAsia="ru-RU"/>
              </w:rPr>
              <w:t>sge #</w:t>
            </w:r>
          </w:p>
        </w:tc>
        <w:tc>
          <w:tcPr>
            <w:tcW w:w="62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813930" w14:textId="77777777" w:rsidR="002E0662" w:rsidRDefault="002E0662">
            <w:pPr>
              <w:pStyle w:val="Title"/>
              <w:ind w:left="-151" w:right="-34"/>
              <w:rPr>
                <w:rFonts w:ascii="AcadNusx" w:hAnsi="AcadNusx" w:cs="Americana BT"/>
                <w:sz w:val="16"/>
                <w:szCs w:val="16"/>
                <w:lang w:eastAsia="ru-RU"/>
              </w:rPr>
            </w:pPr>
            <w:r>
              <w:rPr>
                <w:rFonts w:ascii="AcadNusx" w:hAnsi="AcadNusx" w:cs="Americana BT"/>
                <w:sz w:val="16"/>
                <w:szCs w:val="16"/>
                <w:lang w:eastAsia="ru-RU"/>
              </w:rPr>
              <w:t>gruntis kategoria damuSavebis mixedviT</w:t>
            </w:r>
          </w:p>
          <w:p w14:paraId="017BA0F6" w14:textId="77777777" w:rsidR="002E0662" w:rsidRDefault="002E0662">
            <w:pPr>
              <w:pStyle w:val="Title"/>
              <w:ind w:left="-151" w:right="-34"/>
              <w:rPr>
                <w:rFonts w:ascii="AcadNusx" w:hAnsi="AcadNusx" w:cs="Americana BT"/>
                <w:sz w:val="16"/>
                <w:szCs w:val="16"/>
                <w:lang w:eastAsia="ru-RU"/>
              </w:rPr>
            </w:pPr>
            <w:r>
              <w:rPr>
                <w:rFonts w:ascii="AcadNusx" w:hAnsi="AcadNusx" w:cs="Americana BT"/>
                <w:b w:val="0"/>
                <w:sz w:val="16"/>
                <w:szCs w:val="16"/>
              </w:rPr>
              <w:t>(meqanizirebuli, snw-IV-5-82)</w:t>
            </w:r>
          </w:p>
        </w:tc>
        <w:tc>
          <w:tcPr>
            <w:tcW w:w="73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DAAB85" w14:textId="77777777" w:rsidR="002E0662" w:rsidRDefault="002E0662">
            <w:pPr>
              <w:pStyle w:val="Title"/>
              <w:ind w:left="-151" w:right="-34"/>
              <w:rPr>
                <w:rFonts w:ascii="AcadNusx" w:hAnsi="AcadNusx" w:cs="Americana BT"/>
                <w:b w:val="0"/>
                <w:sz w:val="16"/>
                <w:szCs w:val="16"/>
                <w:lang w:eastAsia="ru-RU"/>
              </w:rPr>
            </w:pPr>
            <w:r>
              <w:rPr>
                <w:rFonts w:ascii="AcadNusx" w:hAnsi="AcadNusx" w:cs="Americana BT"/>
                <w:sz w:val="16"/>
                <w:szCs w:val="16"/>
                <w:lang w:eastAsia="ru-RU"/>
              </w:rPr>
              <w:t>gruntis kategoria damuSavebis mixedviT</w:t>
            </w:r>
          </w:p>
          <w:p w14:paraId="25F30953" w14:textId="77777777" w:rsidR="002E0662" w:rsidRDefault="002E0662">
            <w:pPr>
              <w:pStyle w:val="Title"/>
              <w:ind w:left="113" w:right="113"/>
              <w:rPr>
                <w:rFonts w:ascii="AcadNusx" w:hAnsi="AcadNusx" w:cs="Americana BT"/>
                <w:sz w:val="16"/>
                <w:szCs w:val="16"/>
                <w:lang w:eastAsia="ru-RU"/>
              </w:rPr>
            </w:pPr>
            <w:r>
              <w:rPr>
                <w:rFonts w:ascii="AcadNusx" w:hAnsi="AcadNusx" w:cs="Americana BT"/>
                <w:b w:val="0"/>
                <w:sz w:val="16"/>
                <w:szCs w:val="16"/>
              </w:rPr>
              <w:t>(xeliT, snw-IV-5-82)</w:t>
            </w:r>
          </w:p>
        </w:tc>
        <w:tc>
          <w:tcPr>
            <w:tcW w:w="56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B98BD7" w14:textId="77777777" w:rsidR="002E0662" w:rsidRDefault="002E0662">
            <w:pPr>
              <w:pStyle w:val="Title"/>
              <w:ind w:left="113" w:right="113"/>
              <w:rPr>
                <w:rFonts w:ascii="AcadNusx" w:hAnsi="AcadNusx" w:cs="Americana BT"/>
                <w:b w:val="0"/>
                <w:sz w:val="16"/>
                <w:szCs w:val="16"/>
                <w:lang w:eastAsia="ru-RU"/>
              </w:rPr>
            </w:pPr>
            <w:r>
              <w:rPr>
                <w:rFonts w:ascii="AcadNusx" w:hAnsi="AcadNusx" w:cs="Americana BT"/>
                <w:sz w:val="16"/>
                <w:szCs w:val="16"/>
                <w:lang w:eastAsia="ru-RU"/>
              </w:rPr>
              <w:t>gruntis kategoria seismurobis mixedviT (pn 01.01-91</w:t>
            </w:r>
            <w:r>
              <w:rPr>
                <w:rFonts w:ascii="Times New Roman" w:hAnsi="Times New Roman" w:cs="Americana BT"/>
                <w:sz w:val="16"/>
                <w:szCs w:val="16"/>
                <w:lang w:eastAsia="ru-RU"/>
              </w:rPr>
              <w:t>)</w:t>
            </w:r>
          </w:p>
        </w:tc>
        <w:tc>
          <w:tcPr>
            <w:tcW w:w="2228" w:type="dxa"/>
            <w:gridSpan w:val="3"/>
            <w:tcBorders>
              <w:top w:val="single" w:sz="4" w:space="0" w:color="auto"/>
              <w:left w:val="single" w:sz="4" w:space="0" w:color="auto"/>
              <w:bottom w:val="single" w:sz="4" w:space="0" w:color="auto"/>
              <w:right w:val="single" w:sz="4" w:space="0" w:color="auto"/>
            </w:tcBorders>
            <w:vAlign w:val="center"/>
            <w:hideMark/>
          </w:tcPr>
          <w:p w14:paraId="2436BD61" w14:textId="77777777" w:rsidR="002E0662" w:rsidRDefault="002E0662">
            <w:pPr>
              <w:pStyle w:val="Title"/>
              <w:ind w:left="-115" w:right="-122"/>
              <w:rPr>
                <w:rFonts w:ascii="AcadNusx" w:hAnsi="AcadNusx" w:cs="Americana BT"/>
                <w:sz w:val="16"/>
                <w:szCs w:val="16"/>
                <w:lang w:eastAsia="ru-RU"/>
              </w:rPr>
            </w:pPr>
            <w:r>
              <w:rPr>
                <w:rFonts w:ascii="AcadNusx" w:hAnsi="AcadNusx" w:cs="Americana BT"/>
                <w:sz w:val="16"/>
                <w:szCs w:val="16"/>
                <w:lang w:eastAsia="ru-RU"/>
              </w:rPr>
              <w:t>droebiTi qanobi</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0BF8E5" w14:textId="77777777" w:rsidR="002E0662" w:rsidRDefault="002E0662">
            <w:pPr>
              <w:pStyle w:val="Title"/>
              <w:ind w:left="-115" w:right="-122"/>
              <w:rPr>
                <w:rFonts w:ascii="AcadNusx" w:hAnsi="AcadNusx" w:cs="Americana BT"/>
                <w:sz w:val="16"/>
                <w:szCs w:val="16"/>
                <w:vertAlign w:val="superscript"/>
                <w:lang w:eastAsia="ru-RU"/>
              </w:rPr>
            </w:pPr>
            <w:r>
              <w:rPr>
                <w:rFonts w:ascii="AcadNusx" w:hAnsi="AcadNusx" w:cs="Americana BT"/>
                <w:sz w:val="16"/>
                <w:szCs w:val="16"/>
                <w:lang w:eastAsia="ru-RU"/>
              </w:rPr>
              <w:t xml:space="preserve">bunebrivi tenianoba </w:t>
            </w:r>
            <w:r>
              <w:rPr>
                <w:rFonts w:ascii="Times New Roman" w:hAnsi="Times New Roman" w:cs="Americana BT"/>
                <w:b w:val="0"/>
                <w:sz w:val="16"/>
                <w:szCs w:val="16"/>
                <w:lang w:eastAsia="ru-RU"/>
              </w:rPr>
              <w:t>W,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14:paraId="5D584E0B" w14:textId="77777777" w:rsidR="002E0662" w:rsidRDefault="002E0662">
            <w:pPr>
              <w:pStyle w:val="Title"/>
              <w:ind w:left="-119" w:right="-108"/>
              <w:rPr>
                <w:rFonts w:ascii="AcadNusx" w:hAnsi="AcadNusx" w:cs="Americana BT"/>
                <w:sz w:val="16"/>
                <w:szCs w:val="16"/>
                <w:lang w:eastAsia="ru-RU"/>
              </w:rPr>
            </w:pPr>
            <w:r>
              <w:rPr>
                <w:rFonts w:ascii="AcadNusx" w:hAnsi="AcadNusx" w:cs="Americana BT"/>
                <w:sz w:val="16"/>
                <w:szCs w:val="16"/>
                <w:lang w:eastAsia="ru-RU"/>
              </w:rPr>
              <w:t xml:space="preserve">plastikurobis ricxvi </w:t>
            </w:r>
            <w:r>
              <w:rPr>
                <w:rFonts w:ascii="Times New Roman" w:hAnsi="Times New Roman" w:cs="Americana BT"/>
                <w:b w:val="0"/>
                <w:sz w:val="16"/>
                <w:szCs w:val="16"/>
                <w:lang w:eastAsia="ru-RU"/>
              </w:rPr>
              <w:t>I</w:t>
            </w:r>
            <w:r>
              <w:rPr>
                <w:rFonts w:ascii="Times New Roman" w:hAnsi="Times New Roman" w:cs="Americana BT"/>
                <w:b w:val="0"/>
                <w:sz w:val="16"/>
                <w:szCs w:val="16"/>
                <w:vertAlign w:val="subscript"/>
                <w:lang w:eastAsia="ru-RU"/>
              </w:rPr>
              <w:t>p</w:t>
            </w:r>
          </w:p>
          <w:p w14:paraId="1FB6E892" w14:textId="77777777" w:rsidR="002E0662" w:rsidRDefault="002E0662">
            <w:pPr>
              <w:pStyle w:val="Title"/>
              <w:ind w:left="-57" w:right="-97"/>
              <w:rPr>
                <w:rFonts w:ascii="Times New Roman" w:hAnsi="Times New Roman"/>
                <w:sz w:val="16"/>
                <w:szCs w:val="16"/>
                <w:lang w:eastAsia="ru-RU"/>
              </w:rPr>
            </w:pP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14:paraId="4704E415" w14:textId="77777777" w:rsidR="002E0662" w:rsidRDefault="002E0662">
            <w:pPr>
              <w:pStyle w:val="Title"/>
              <w:ind w:left="-57" w:right="-97"/>
              <w:rPr>
                <w:rFonts w:ascii="AcadNusx" w:hAnsi="AcadNusx" w:cs="Americana BT"/>
                <w:bCs/>
                <w:i/>
                <w:iCs/>
                <w:sz w:val="16"/>
                <w:szCs w:val="16"/>
                <w:lang w:eastAsia="x-none"/>
              </w:rPr>
            </w:pPr>
            <w:r>
              <w:rPr>
                <w:rFonts w:ascii="AcadNusx" w:hAnsi="AcadNusx" w:cs="Americana BT"/>
                <w:i/>
                <w:iCs/>
                <w:sz w:val="16"/>
                <w:szCs w:val="16"/>
                <w:lang w:val="ru-RU"/>
              </w:rPr>
              <w:t xml:space="preserve">bunebrivi,     </w:t>
            </w:r>
            <w:r>
              <w:rPr>
                <w:rFonts w:ascii="Cambria" w:hAnsi="Cambria" w:cs="Cambria"/>
                <w:b w:val="0"/>
                <w:bCs/>
                <w:i/>
                <w:iCs/>
                <w:sz w:val="16"/>
                <w:szCs w:val="16"/>
                <w:lang w:val="ru-RU"/>
              </w:rPr>
              <w:t>ρ</w:t>
            </w:r>
          </w:p>
          <w:p w14:paraId="21AED891" w14:textId="77777777" w:rsidR="002E0662" w:rsidRDefault="002E0662">
            <w:pPr>
              <w:pStyle w:val="Title"/>
              <w:ind w:left="-57" w:right="-97"/>
              <w:rPr>
                <w:rFonts w:ascii="AcadNusx" w:hAnsi="AcadNusx" w:cs="Americana BT"/>
                <w:b w:val="0"/>
                <w:sz w:val="16"/>
                <w:szCs w:val="16"/>
                <w:lang w:eastAsia="ru-RU"/>
              </w:rPr>
            </w:pPr>
          </w:p>
        </w:tc>
        <w:tc>
          <w:tcPr>
            <w:tcW w:w="60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B6EB79" w14:textId="77777777" w:rsidR="002E0662" w:rsidRDefault="002E0662">
            <w:pPr>
              <w:jc w:val="center"/>
              <w:rPr>
                <w:rFonts w:ascii="AcadNusx" w:hAnsi="AcadNusx" w:cs="Calibri"/>
                <w:i/>
                <w:iCs/>
                <w:sz w:val="16"/>
                <w:szCs w:val="16"/>
                <w:lang w:val="en-US" w:eastAsia="en-US"/>
              </w:rPr>
            </w:pPr>
            <w:r>
              <w:rPr>
                <w:rFonts w:ascii="AcadNusx" w:hAnsi="AcadNusx" w:cs="Calibri"/>
                <w:i/>
                <w:iCs/>
                <w:sz w:val="16"/>
                <w:szCs w:val="16"/>
                <w:lang w:val="en-US"/>
              </w:rPr>
              <w:t xml:space="preserve">winaRoba erTRerZa kumSvaze bunebrivmdgomareobaSi,   </w:t>
            </w:r>
            <w:r>
              <w:rPr>
                <w:i/>
                <w:iCs/>
                <w:sz w:val="16"/>
                <w:szCs w:val="16"/>
                <w:lang w:val="en-US"/>
              </w:rPr>
              <w:t>Rc</w:t>
            </w:r>
            <w:r>
              <w:rPr>
                <w:rFonts w:ascii="AcadNusx" w:hAnsi="AcadNusx" w:cs="Calibri"/>
                <w:i/>
                <w:iCs/>
                <w:sz w:val="16"/>
                <w:szCs w:val="16"/>
                <w:lang w:val="en-US"/>
              </w:rPr>
              <w:t xml:space="preserve"> kpa</w:t>
            </w:r>
          </w:p>
        </w:tc>
        <w:tc>
          <w:tcPr>
            <w:tcW w:w="7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744EA8" w14:textId="77777777" w:rsidR="002E0662" w:rsidRDefault="002E0662">
            <w:pPr>
              <w:jc w:val="center"/>
              <w:rPr>
                <w:rFonts w:ascii="AcadNusx" w:hAnsi="AcadNusx" w:cs="Calibri"/>
                <w:i/>
                <w:iCs/>
                <w:sz w:val="16"/>
                <w:szCs w:val="16"/>
                <w:lang w:val="en-US" w:eastAsia="en-US"/>
              </w:rPr>
            </w:pPr>
            <w:r>
              <w:rPr>
                <w:rFonts w:ascii="AcadNusx" w:hAnsi="AcadNusx" w:cs="Calibri"/>
                <w:i/>
                <w:iCs/>
                <w:sz w:val="16"/>
                <w:szCs w:val="16"/>
                <w:lang w:val="en-US"/>
              </w:rPr>
              <w:t xml:space="preserve">winaRoba erTRerZa kumSvaze wyalqveS,   </w:t>
            </w:r>
            <w:r>
              <w:rPr>
                <w:i/>
                <w:iCs/>
                <w:sz w:val="16"/>
                <w:szCs w:val="16"/>
                <w:lang w:val="en-US"/>
              </w:rPr>
              <w:t>Rcw</w:t>
            </w:r>
            <w:r>
              <w:rPr>
                <w:rFonts w:ascii="AcadNusx" w:hAnsi="AcadNusx" w:cs="Calibri"/>
                <w:i/>
                <w:iCs/>
                <w:sz w:val="16"/>
                <w:szCs w:val="16"/>
                <w:lang w:val="en-US"/>
              </w:rPr>
              <w:t xml:space="preserve"> kpa</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FA6ABB" w14:textId="77777777" w:rsidR="002E0662" w:rsidRDefault="002E0662">
            <w:pPr>
              <w:pStyle w:val="Title"/>
              <w:ind w:left="-120" w:right="-70"/>
              <w:rPr>
                <w:rFonts w:ascii="AcadNusx" w:hAnsi="AcadNusx" w:cs="Americana BT"/>
                <w:sz w:val="16"/>
                <w:szCs w:val="16"/>
                <w:lang w:val="en-US" w:eastAsia="ru-RU"/>
              </w:rPr>
            </w:pPr>
            <w:r>
              <w:rPr>
                <w:rFonts w:ascii="AcadNusx" w:hAnsi="AcadNusx" w:cs="Americana BT"/>
                <w:sz w:val="16"/>
                <w:szCs w:val="16"/>
                <w:lang w:eastAsia="ru-RU"/>
              </w:rPr>
              <w:t xml:space="preserve">pirobiTi saangariSo winaaRmdegoba, </w:t>
            </w:r>
            <w:r>
              <w:rPr>
                <w:rFonts w:ascii="Times New Roman" w:hAnsi="Times New Roman" w:cs="Americana BT"/>
                <w:sz w:val="16"/>
                <w:szCs w:val="16"/>
                <w:lang w:eastAsia="ru-RU"/>
              </w:rPr>
              <w:t>R</w:t>
            </w:r>
            <w:r>
              <w:rPr>
                <w:rFonts w:ascii="Times New Roman" w:hAnsi="Times New Roman" w:cs="Americana BT"/>
                <w:sz w:val="16"/>
                <w:szCs w:val="16"/>
                <w:vertAlign w:val="subscript"/>
                <w:lang w:eastAsia="ru-RU"/>
              </w:rPr>
              <w:t>0</w:t>
            </w:r>
            <w:r>
              <w:rPr>
                <w:rFonts w:ascii="AcadNusx" w:hAnsi="AcadNusx" w:cs="Americana BT"/>
                <w:sz w:val="16"/>
                <w:szCs w:val="16"/>
                <w:vertAlign w:val="subscript"/>
                <w:lang w:eastAsia="ru-RU"/>
              </w:rPr>
              <w:t>, kpa</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DD70C3" w14:textId="77777777" w:rsidR="002E0662" w:rsidRDefault="002E0662">
            <w:pPr>
              <w:pStyle w:val="Title"/>
              <w:ind w:left="-120" w:right="-70"/>
              <w:rPr>
                <w:rFonts w:ascii="AcadNusx" w:hAnsi="AcadNusx" w:cs="Americana BT"/>
                <w:sz w:val="16"/>
                <w:szCs w:val="16"/>
                <w:lang w:eastAsia="ru-RU"/>
              </w:rPr>
            </w:pPr>
            <w:r>
              <w:rPr>
                <w:rFonts w:ascii="Sylfaen" w:hAnsi="Sylfaen" w:cs="Sylfaen"/>
                <w:sz w:val="16"/>
                <w:szCs w:val="16"/>
                <w:lang w:eastAsia="ru-RU"/>
              </w:rPr>
              <w:t>ოპტიმალური</w:t>
            </w:r>
            <w:r>
              <w:rPr>
                <w:rFonts w:ascii="AcadNusx" w:hAnsi="AcadNusx" w:cs="Americana BT"/>
                <w:sz w:val="16"/>
                <w:szCs w:val="16"/>
                <w:lang w:eastAsia="ru-RU"/>
              </w:rPr>
              <w:t xml:space="preserve"> </w:t>
            </w:r>
            <w:r>
              <w:rPr>
                <w:rFonts w:ascii="Sylfaen" w:hAnsi="Sylfaen" w:cs="Sylfaen"/>
                <w:sz w:val="16"/>
                <w:szCs w:val="16"/>
                <w:lang w:eastAsia="ru-RU"/>
              </w:rPr>
              <w:t>ტენიანობა</w:t>
            </w:r>
            <w:r>
              <w:rPr>
                <w:rFonts w:ascii="AcadNusx" w:hAnsi="AcadNusx" w:cs="Americana BT"/>
                <w:sz w:val="16"/>
                <w:szCs w:val="16"/>
                <w:lang w:eastAsia="ru-RU"/>
              </w:rPr>
              <w:t xml:space="preserve">, </w:t>
            </w:r>
            <w:r>
              <w:rPr>
                <w:rFonts w:ascii="Times New Roman" w:hAnsi="Times New Roman"/>
                <w:sz w:val="16"/>
                <w:szCs w:val="16"/>
                <w:lang w:eastAsia="ru-RU"/>
              </w:rPr>
              <w:t xml:space="preserve"> Wopt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3BA0BC" w14:textId="77777777" w:rsidR="002E0662" w:rsidRDefault="002E0662">
            <w:pPr>
              <w:pStyle w:val="Title"/>
              <w:ind w:left="-120" w:right="-70"/>
              <w:rPr>
                <w:rFonts w:ascii="AcadNusx" w:hAnsi="AcadNusx" w:cs="Americana BT"/>
                <w:sz w:val="16"/>
                <w:szCs w:val="16"/>
                <w:lang w:eastAsia="ru-RU"/>
              </w:rPr>
            </w:pPr>
            <w:r>
              <w:rPr>
                <w:rFonts w:ascii="Sylfaen" w:hAnsi="Sylfaen" w:cs="Sylfaen"/>
                <w:sz w:val="16"/>
                <w:szCs w:val="16"/>
                <w:lang w:eastAsia="ru-RU"/>
              </w:rPr>
              <w:t>ჩონჩხის</w:t>
            </w:r>
            <w:r>
              <w:rPr>
                <w:rFonts w:ascii="AcadNusx" w:hAnsi="AcadNusx" w:cs="Americana BT"/>
                <w:sz w:val="16"/>
                <w:szCs w:val="16"/>
                <w:lang w:eastAsia="ru-RU"/>
              </w:rPr>
              <w:t xml:space="preserve"> </w:t>
            </w:r>
            <w:r>
              <w:rPr>
                <w:rFonts w:ascii="Sylfaen" w:hAnsi="Sylfaen" w:cs="Sylfaen"/>
                <w:sz w:val="16"/>
                <w:szCs w:val="16"/>
                <w:lang w:eastAsia="ru-RU"/>
              </w:rPr>
              <w:t>მაქსიმალური</w:t>
            </w:r>
          </w:p>
          <w:p w14:paraId="30923978" w14:textId="77777777" w:rsidR="002E0662" w:rsidRDefault="002E0662">
            <w:pPr>
              <w:pStyle w:val="Title"/>
              <w:ind w:left="-120" w:right="-70"/>
              <w:rPr>
                <w:rFonts w:ascii="AcadNusx" w:hAnsi="AcadNusx" w:cs="Americana BT"/>
                <w:sz w:val="16"/>
                <w:szCs w:val="16"/>
                <w:lang w:eastAsia="ru-RU"/>
              </w:rPr>
            </w:pPr>
            <w:r>
              <w:rPr>
                <w:rFonts w:ascii="Sylfaen" w:hAnsi="Sylfaen" w:cs="Sylfaen"/>
                <w:sz w:val="16"/>
                <w:szCs w:val="16"/>
                <w:lang w:eastAsia="ru-RU"/>
              </w:rPr>
              <w:t>სიმკვრივე</w:t>
            </w:r>
            <w:r>
              <w:rPr>
                <w:rFonts w:ascii="AcadNusx" w:hAnsi="AcadNusx" w:cs="Americana BT"/>
                <w:sz w:val="16"/>
                <w:szCs w:val="16"/>
                <w:lang w:eastAsia="ru-RU"/>
              </w:rPr>
              <w:t xml:space="preserve">,   </w:t>
            </w:r>
            <w:r>
              <w:rPr>
                <w:rFonts w:ascii="Times New Roman" w:hAnsi="Times New Roman"/>
                <w:sz w:val="16"/>
                <w:szCs w:val="16"/>
                <w:lang w:eastAsia="ru-RU"/>
              </w:rPr>
              <w:t>ρd max</w:t>
            </w:r>
            <w:r>
              <w:rPr>
                <w:rFonts w:ascii="AcadNusx" w:hAnsi="AcadNusx" w:cs="Americana BT"/>
                <w:sz w:val="16"/>
                <w:szCs w:val="16"/>
                <w:lang w:eastAsia="ru-RU"/>
              </w:rPr>
              <w:t xml:space="preserve">  </w:t>
            </w:r>
            <w:r>
              <w:rPr>
                <w:rFonts w:ascii="Sylfaen" w:hAnsi="Sylfaen" w:cs="Sylfaen"/>
                <w:sz w:val="16"/>
                <w:szCs w:val="16"/>
                <w:lang w:eastAsia="ru-RU"/>
              </w:rPr>
              <w:t>გ</w:t>
            </w:r>
            <w:r>
              <w:rPr>
                <w:rFonts w:ascii="AcadNusx" w:hAnsi="AcadNusx" w:cs="Americana BT"/>
                <w:sz w:val="16"/>
                <w:szCs w:val="16"/>
                <w:lang w:eastAsia="ru-RU"/>
              </w:rPr>
              <w:t>/</w:t>
            </w:r>
            <w:r>
              <w:rPr>
                <w:rFonts w:ascii="Sylfaen" w:hAnsi="Sylfaen" w:cs="Sylfaen"/>
                <w:sz w:val="16"/>
                <w:szCs w:val="16"/>
                <w:lang w:eastAsia="ru-RU"/>
              </w:rPr>
              <w:t>სმ</w:t>
            </w:r>
            <w:r>
              <w:rPr>
                <w:rFonts w:ascii="AcadNusx" w:hAnsi="AcadNusx" w:cs="Americana BT"/>
                <w:sz w:val="16"/>
                <w:szCs w:val="16"/>
                <w:lang w:eastAsia="ru-RU"/>
              </w:rPr>
              <w:t>3</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B37D05" w14:textId="77777777" w:rsidR="002E0662" w:rsidRDefault="002E0662">
            <w:pPr>
              <w:pStyle w:val="Title"/>
              <w:ind w:left="-120" w:right="-70"/>
              <w:rPr>
                <w:rFonts w:ascii="AcadNusx" w:hAnsi="AcadNusx" w:cs="Americana BT"/>
                <w:sz w:val="16"/>
                <w:szCs w:val="16"/>
                <w:lang w:eastAsia="ru-RU"/>
              </w:rPr>
            </w:pPr>
            <w:r>
              <w:rPr>
                <w:rFonts w:ascii="Times New Roman" w:hAnsi="Times New Roman"/>
                <w:sz w:val="16"/>
                <w:szCs w:val="16"/>
                <w:lang w:eastAsia="ru-RU"/>
              </w:rPr>
              <w:t>CBR</w:t>
            </w:r>
            <w:r>
              <w:rPr>
                <w:rFonts w:ascii="AcadNusx" w:hAnsi="AcadNusx" w:cs="Americana BT"/>
                <w:sz w:val="16"/>
                <w:szCs w:val="16"/>
                <w:lang w:eastAsia="ru-RU"/>
              </w:rPr>
              <w:t>-</w:t>
            </w:r>
            <w:r>
              <w:rPr>
                <w:rFonts w:ascii="Sylfaen" w:hAnsi="Sylfaen" w:cs="Sylfaen"/>
                <w:sz w:val="16"/>
                <w:szCs w:val="16"/>
                <w:lang w:eastAsia="ru-RU"/>
              </w:rPr>
              <w:t>ის</w:t>
            </w:r>
            <w:r>
              <w:rPr>
                <w:rFonts w:ascii="AcadNusx" w:hAnsi="AcadNusx" w:cs="Americana BT"/>
                <w:sz w:val="16"/>
                <w:szCs w:val="16"/>
                <w:lang w:eastAsia="ru-RU"/>
              </w:rPr>
              <w:t xml:space="preserve"> </w:t>
            </w:r>
            <w:r>
              <w:rPr>
                <w:rFonts w:ascii="Sylfaen" w:hAnsi="Sylfaen" w:cs="Sylfaen"/>
                <w:sz w:val="16"/>
                <w:szCs w:val="16"/>
                <w:lang w:eastAsia="ru-RU"/>
              </w:rPr>
              <w:t>ცდა, 95 %</w:t>
            </w:r>
          </w:p>
        </w:tc>
      </w:tr>
      <w:tr w:rsidR="002E0662" w14:paraId="7C9D0A09" w14:textId="77777777" w:rsidTr="002E0662">
        <w:trPr>
          <w:cantSplit/>
          <w:trHeight w:val="698"/>
          <w:jc w:val="center"/>
        </w:trPr>
        <w:tc>
          <w:tcPr>
            <w:tcW w:w="557" w:type="dxa"/>
            <w:vMerge/>
            <w:tcBorders>
              <w:top w:val="single" w:sz="4" w:space="0" w:color="auto"/>
              <w:left w:val="single" w:sz="4" w:space="0" w:color="auto"/>
              <w:bottom w:val="single" w:sz="4" w:space="0" w:color="auto"/>
              <w:right w:val="single" w:sz="4" w:space="0" w:color="auto"/>
            </w:tcBorders>
            <w:vAlign w:val="center"/>
            <w:hideMark/>
          </w:tcPr>
          <w:p w14:paraId="5C9526AC" w14:textId="77777777" w:rsidR="002E0662" w:rsidRDefault="002E0662">
            <w:pPr>
              <w:rPr>
                <w:rFonts w:ascii="AcadNusx" w:hAnsi="AcadNusx" w:cs="Americana BT"/>
                <w:sz w:val="16"/>
                <w:szCs w:val="16"/>
                <w:lang w:val="en-US" w:eastAsia="ru-RU"/>
              </w:rPr>
            </w:pPr>
          </w:p>
        </w:tc>
        <w:tc>
          <w:tcPr>
            <w:tcW w:w="628" w:type="dxa"/>
            <w:vMerge/>
            <w:tcBorders>
              <w:top w:val="single" w:sz="4" w:space="0" w:color="auto"/>
              <w:left w:val="single" w:sz="4" w:space="0" w:color="auto"/>
              <w:bottom w:val="single" w:sz="4" w:space="0" w:color="auto"/>
              <w:right w:val="single" w:sz="4" w:space="0" w:color="auto"/>
            </w:tcBorders>
            <w:vAlign w:val="center"/>
            <w:hideMark/>
          </w:tcPr>
          <w:p w14:paraId="60F97358" w14:textId="77777777" w:rsidR="002E0662" w:rsidRDefault="002E0662">
            <w:pPr>
              <w:rPr>
                <w:rFonts w:ascii="AcadNusx" w:hAnsi="AcadNusx" w:cs="Americana BT"/>
                <w:b/>
                <w:sz w:val="16"/>
                <w:szCs w:val="16"/>
                <w:lang w:val="en-US" w:eastAsia="ru-RU"/>
              </w:rPr>
            </w:pPr>
          </w:p>
        </w:tc>
        <w:tc>
          <w:tcPr>
            <w:tcW w:w="731" w:type="dxa"/>
            <w:vMerge/>
            <w:tcBorders>
              <w:top w:val="single" w:sz="4" w:space="0" w:color="auto"/>
              <w:left w:val="single" w:sz="4" w:space="0" w:color="auto"/>
              <w:bottom w:val="single" w:sz="4" w:space="0" w:color="auto"/>
              <w:right w:val="single" w:sz="4" w:space="0" w:color="auto"/>
            </w:tcBorders>
            <w:vAlign w:val="center"/>
            <w:hideMark/>
          </w:tcPr>
          <w:p w14:paraId="5CCACF28" w14:textId="77777777" w:rsidR="002E0662" w:rsidRDefault="002E0662">
            <w:pPr>
              <w:rPr>
                <w:rFonts w:ascii="AcadNusx" w:hAnsi="AcadNusx" w:cs="Americana BT"/>
                <w:b/>
                <w:sz w:val="16"/>
                <w:szCs w:val="16"/>
                <w:lang w:val="en-US" w:eastAsia="ru-RU"/>
              </w:rPr>
            </w:pPr>
          </w:p>
        </w:tc>
        <w:tc>
          <w:tcPr>
            <w:tcW w:w="568" w:type="dxa"/>
            <w:vMerge/>
            <w:tcBorders>
              <w:top w:val="single" w:sz="4" w:space="0" w:color="auto"/>
              <w:left w:val="single" w:sz="4" w:space="0" w:color="auto"/>
              <w:bottom w:val="single" w:sz="4" w:space="0" w:color="auto"/>
              <w:right w:val="single" w:sz="4" w:space="0" w:color="auto"/>
            </w:tcBorders>
            <w:vAlign w:val="center"/>
            <w:hideMark/>
          </w:tcPr>
          <w:p w14:paraId="6B7A29B7" w14:textId="77777777" w:rsidR="002E0662" w:rsidRDefault="002E0662">
            <w:pPr>
              <w:rPr>
                <w:rFonts w:ascii="AcadNusx" w:hAnsi="AcadNusx" w:cs="Americana BT"/>
                <w:sz w:val="16"/>
                <w:szCs w:val="16"/>
                <w:lang w:val="en-US" w:eastAsia="ru-RU"/>
              </w:rPr>
            </w:pPr>
          </w:p>
        </w:tc>
        <w:tc>
          <w:tcPr>
            <w:tcW w:w="829" w:type="dxa"/>
            <w:tcBorders>
              <w:top w:val="single" w:sz="4" w:space="0" w:color="auto"/>
              <w:left w:val="single" w:sz="4" w:space="0" w:color="auto"/>
              <w:bottom w:val="single" w:sz="4" w:space="0" w:color="auto"/>
              <w:right w:val="single" w:sz="4" w:space="0" w:color="auto"/>
            </w:tcBorders>
            <w:textDirection w:val="btLr"/>
            <w:vAlign w:val="center"/>
            <w:hideMark/>
          </w:tcPr>
          <w:p w14:paraId="489F38CE" w14:textId="77777777" w:rsidR="002E0662" w:rsidRDefault="002E0662">
            <w:pPr>
              <w:pStyle w:val="Title"/>
              <w:ind w:left="113" w:right="113"/>
              <w:rPr>
                <w:rFonts w:ascii="AcadNusx" w:hAnsi="AcadNusx" w:cs="Americana BT"/>
                <w:sz w:val="18"/>
                <w:szCs w:val="18"/>
                <w:lang w:eastAsia="ru-RU"/>
              </w:rPr>
            </w:pPr>
            <w:r>
              <w:rPr>
                <w:rFonts w:ascii="AcadNusx" w:hAnsi="AcadNusx" w:cs="Americana BT"/>
                <w:sz w:val="18"/>
                <w:szCs w:val="18"/>
                <w:lang w:eastAsia="ru-RU"/>
              </w:rPr>
              <w:t>1.5 m</w:t>
            </w:r>
          </w:p>
        </w:tc>
        <w:tc>
          <w:tcPr>
            <w:tcW w:w="611" w:type="dxa"/>
            <w:tcBorders>
              <w:top w:val="single" w:sz="4" w:space="0" w:color="auto"/>
              <w:left w:val="single" w:sz="4" w:space="0" w:color="auto"/>
              <w:bottom w:val="single" w:sz="4" w:space="0" w:color="auto"/>
              <w:right w:val="single" w:sz="4" w:space="0" w:color="auto"/>
            </w:tcBorders>
            <w:textDirection w:val="btLr"/>
            <w:vAlign w:val="center"/>
            <w:hideMark/>
          </w:tcPr>
          <w:p w14:paraId="1F532342" w14:textId="77777777" w:rsidR="002E0662" w:rsidRDefault="002E0662">
            <w:pPr>
              <w:pStyle w:val="Title"/>
              <w:ind w:left="-115" w:right="-122"/>
              <w:rPr>
                <w:rFonts w:ascii="AcadNusx" w:hAnsi="AcadNusx" w:cs="Americana BT"/>
                <w:sz w:val="18"/>
                <w:szCs w:val="18"/>
                <w:lang w:eastAsia="ru-RU"/>
              </w:rPr>
            </w:pPr>
            <w:r>
              <w:rPr>
                <w:rFonts w:ascii="AcadNusx" w:hAnsi="AcadNusx" w:cs="Americana BT"/>
                <w:sz w:val="18"/>
                <w:szCs w:val="18"/>
                <w:lang w:eastAsia="ru-RU"/>
              </w:rPr>
              <w:t>3.0 m</w:t>
            </w:r>
          </w:p>
        </w:tc>
        <w:tc>
          <w:tcPr>
            <w:tcW w:w="788" w:type="dxa"/>
            <w:tcBorders>
              <w:top w:val="single" w:sz="4" w:space="0" w:color="auto"/>
              <w:left w:val="single" w:sz="4" w:space="0" w:color="auto"/>
              <w:bottom w:val="single" w:sz="4" w:space="0" w:color="auto"/>
              <w:right w:val="single" w:sz="4" w:space="0" w:color="auto"/>
            </w:tcBorders>
            <w:textDirection w:val="btLr"/>
            <w:vAlign w:val="center"/>
            <w:hideMark/>
          </w:tcPr>
          <w:p w14:paraId="537C6E72" w14:textId="77777777" w:rsidR="002E0662" w:rsidRDefault="002E0662">
            <w:pPr>
              <w:pStyle w:val="Title"/>
              <w:ind w:left="-57" w:right="-122"/>
              <w:rPr>
                <w:rFonts w:ascii="AcadNusx" w:hAnsi="AcadNusx" w:cs="Americana BT"/>
                <w:sz w:val="18"/>
                <w:szCs w:val="18"/>
                <w:lang w:eastAsia="ru-RU"/>
              </w:rPr>
            </w:pPr>
            <w:r>
              <w:rPr>
                <w:rFonts w:ascii="AcadNusx" w:hAnsi="AcadNusx" w:cs="Americana BT"/>
                <w:sz w:val="18"/>
                <w:szCs w:val="18"/>
                <w:lang w:eastAsia="ru-RU"/>
              </w:rPr>
              <w:t>5.0 m</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7A5F297" w14:textId="77777777" w:rsidR="002E0662" w:rsidRDefault="002E0662">
            <w:pPr>
              <w:rPr>
                <w:rFonts w:ascii="AcadNusx" w:hAnsi="AcadNusx" w:cs="Americana BT"/>
                <w:sz w:val="16"/>
                <w:szCs w:val="16"/>
                <w:vertAlign w:val="superscript"/>
                <w:lang w:val="en-US"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4586943" w14:textId="77777777" w:rsidR="002E0662" w:rsidRDefault="002E0662">
            <w:pPr>
              <w:rPr>
                <w:sz w:val="16"/>
                <w:szCs w:val="16"/>
                <w:lang w:val="en-US"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ECB2A73" w14:textId="77777777" w:rsidR="002E0662" w:rsidRDefault="002E0662">
            <w:pPr>
              <w:rPr>
                <w:rFonts w:ascii="AcadNusx" w:hAnsi="AcadNusx" w:cs="Americana BT"/>
                <w:sz w:val="16"/>
                <w:szCs w:val="16"/>
                <w:lang w:val="en-US" w:eastAsia="ru-RU"/>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432841F6" w14:textId="77777777" w:rsidR="002E0662" w:rsidRDefault="002E0662">
            <w:pPr>
              <w:rPr>
                <w:rFonts w:ascii="AcadNusx" w:hAnsi="AcadNusx" w:cs="Calibri"/>
                <w:i/>
                <w:iCs/>
                <w:sz w:val="16"/>
                <w:szCs w:val="16"/>
                <w:lang w:val="en-US"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A775F71" w14:textId="77777777" w:rsidR="002E0662" w:rsidRDefault="002E0662">
            <w:pPr>
              <w:rPr>
                <w:rFonts w:ascii="AcadNusx" w:hAnsi="AcadNusx" w:cs="Calibri"/>
                <w:i/>
                <w:iCs/>
                <w:sz w:val="16"/>
                <w:szCs w:val="16"/>
                <w:lang w:val="en-US"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0957387" w14:textId="77777777" w:rsidR="002E0662" w:rsidRDefault="002E0662">
            <w:pPr>
              <w:rPr>
                <w:rFonts w:ascii="AcadNusx" w:hAnsi="AcadNusx" w:cs="Americana BT"/>
                <w:sz w:val="16"/>
                <w:szCs w:val="16"/>
                <w:lang w:val="en-US"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07DD717" w14:textId="77777777" w:rsidR="002E0662" w:rsidRDefault="002E0662">
            <w:pPr>
              <w:rPr>
                <w:rFonts w:ascii="AcadNusx" w:hAnsi="AcadNusx" w:cs="Americana BT"/>
                <w:sz w:val="16"/>
                <w:szCs w:val="16"/>
                <w:lang w:val="en-US"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6B1470D" w14:textId="77777777" w:rsidR="002E0662" w:rsidRDefault="002E0662">
            <w:pPr>
              <w:rPr>
                <w:rFonts w:ascii="AcadNusx" w:hAnsi="AcadNusx" w:cs="Americana BT"/>
                <w:sz w:val="16"/>
                <w:szCs w:val="16"/>
                <w:lang w:val="en-US"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9FF9252" w14:textId="77777777" w:rsidR="002E0662" w:rsidRDefault="002E0662">
            <w:pPr>
              <w:rPr>
                <w:rFonts w:ascii="AcadNusx" w:hAnsi="AcadNusx" w:cs="Americana BT"/>
                <w:sz w:val="16"/>
                <w:szCs w:val="16"/>
                <w:lang w:val="en-US" w:eastAsia="ru-RU"/>
              </w:rPr>
            </w:pPr>
          </w:p>
        </w:tc>
      </w:tr>
      <w:tr w:rsidR="002E0662" w14:paraId="1F5CDF04" w14:textId="77777777" w:rsidTr="002E0662">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14:paraId="2F96E897" w14:textId="77777777" w:rsidR="002E0662" w:rsidRDefault="002E0662">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1</w:t>
            </w:r>
          </w:p>
        </w:tc>
        <w:tc>
          <w:tcPr>
            <w:tcW w:w="628" w:type="dxa"/>
            <w:tcBorders>
              <w:top w:val="single" w:sz="4" w:space="0" w:color="auto"/>
              <w:left w:val="single" w:sz="4" w:space="0" w:color="auto"/>
              <w:bottom w:val="single" w:sz="4" w:space="0" w:color="auto"/>
              <w:right w:val="single" w:sz="4" w:space="0" w:color="auto"/>
            </w:tcBorders>
            <w:vAlign w:val="center"/>
            <w:hideMark/>
          </w:tcPr>
          <w:p w14:paraId="4B65C34B" w14:textId="77777777" w:rsidR="002E0662" w:rsidRDefault="002E0662">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6a-I</w:t>
            </w:r>
          </w:p>
        </w:tc>
        <w:tc>
          <w:tcPr>
            <w:tcW w:w="731" w:type="dxa"/>
            <w:tcBorders>
              <w:top w:val="single" w:sz="4" w:space="0" w:color="auto"/>
              <w:left w:val="single" w:sz="4" w:space="0" w:color="auto"/>
              <w:bottom w:val="single" w:sz="4" w:space="0" w:color="auto"/>
              <w:right w:val="single" w:sz="4" w:space="0" w:color="auto"/>
            </w:tcBorders>
            <w:vAlign w:val="center"/>
            <w:hideMark/>
          </w:tcPr>
          <w:p w14:paraId="1A01F74E" w14:textId="77777777" w:rsidR="002E0662" w:rsidRDefault="002E0662">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6a-II</w:t>
            </w:r>
          </w:p>
        </w:tc>
        <w:tc>
          <w:tcPr>
            <w:tcW w:w="568" w:type="dxa"/>
            <w:tcBorders>
              <w:top w:val="single" w:sz="4" w:space="0" w:color="auto"/>
              <w:left w:val="single" w:sz="4" w:space="0" w:color="auto"/>
              <w:bottom w:val="single" w:sz="4" w:space="0" w:color="auto"/>
              <w:right w:val="single" w:sz="4" w:space="0" w:color="auto"/>
            </w:tcBorders>
            <w:vAlign w:val="center"/>
            <w:hideMark/>
          </w:tcPr>
          <w:p w14:paraId="587923C1" w14:textId="77777777" w:rsidR="002E0662" w:rsidRDefault="002E0662">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II</w:t>
            </w:r>
          </w:p>
        </w:tc>
        <w:tc>
          <w:tcPr>
            <w:tcW w:w="829" w:type="dxa"/>
            <w:tcBorders>
              <w:top w:val="single" w:sz="4" w:space="0" w:color="auto"/>
              <w:left w:val="single" w:sz="4" w:space="0" w:color="auto"/>
              <w:bottom w:val="single" w:sz="4" w:space="0" w:color="auto"/>
              <w:right w:val="single" w:sz="4" w:space="0" w:color="auto"/>
            </w:tcBorders>
            <w:vAlign w:val="center"/>
            <w:hideMark/>
          </w:tcPr>
          <w:p w14:paraId="3A5D9AB3" w14:textId="77777777" w:rsidR="002E0662" w:rsidRDefault="002E0662">
            <w:pPr>
              <w:jc w:val="center"/>
              <w:rPr>
                <w:rFonts w:ascii="Times New Roman" w:hAnsi="Times New Roman"/>
                <w:i/>
                <w:sz w:val="18"/>
                <w:szCs w:val="18"/>
                <w:lang w:eastAsia="ru-RU"/>
              </w:rPr>
            </w:pPr>
            <w:r>
              <w:rPr>
                <w:i/>
                <w:sz w:val="18"/>
                <w:szCs w:val="18"/>
              </w:rPr>
              <w:t>1:0.67</w:t>
            </w:r>
          </w:p>
        </w:tc>
        <w:tc>
          <w:tcPr>
            <w:tcW w:w="611" w:type="dxa"/>
            <w:tcBorders>
              <w:top w:val="single" w:sz="4" w:space="0" w:color="auto"/>
              <w:left w:val="single" w:sz="4" w:space="0" w:color="auto"/>
              <w:bottom w:val="single" w:sz="4" w:space="0" w:color="auto"/>
              <w:right w:val="single" w:sz="4" w:space="0" w:color="auto"/>
            </w:tcBorders>
            <w:vAlign w:val="center"/>
            <w:hideMark/>
          </w:tcPr>
          <w:p w14:paraId="34049AF9" w14:textId="77777777" w:rsidR="002E0662" w:rsidRDefault="002E0662">
            <w:pPr>
              <w:jc w:val="center"/>
              <w:rPr>
                <w:i/>
                <w:sz w:val="18"/>
                <w:szCs w:val="18"/>
              </w:rPr>
            </w:pPr>
            <w:r>
              <w:rPr>
                <w:i/>
                <w:sz w:val="18"/>
                <w:szCs w:val="18"/>
              </w:rPr>
              <w:t>1:1</w:t>
            </w:r>
          </w:p>
        </w:tc>
        <w:tc>
          <w:tcPr>
            <w:tcW w:w="788" w:type="dxa"/>
            <w:tcBorders>
              <w:top w:val="single" w:sz="4" w:space="0" w:color="auto"/>
              <w:left w:val="single" w:sz="4" w:space="0" w:color="auto"/>
              <w:bottom w:val="single" w:sz="4" w:space="0" w:color="auto"/>
              <w:right w:val="single" w:sz="4" w:space="0" w:color="auto"/>
            </w:tcBorders>
            <w:vAlign w:val="center"/>
            <w:hideMark/>
          </w:tcPr>
          <w:p w14:paraId="2FBA030C" w14:textId="77777777" w:rsidR="002E0662" w:rsidRDefault="002E0662">
            <w:pPr>
              <w:jc w:val="center"/>
              <w:rPr>
                <w:i/>
                <w:sz w:val="18"/>
                <w:szCs w:val="18"/>
              </w:rPr>
            </w:pPr>
            <w:r>
              <w:rPr>
                <w:i/>
                <w:sz w:val="18"/>
                <w:szCs w:val="18"/>
              </w:rPr>
              <w:t>1:1.25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E13ACDE" w14:textId="77777777" w:rsidR="002E0662" w:rsidRDefault="002E0662">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3DB7B65"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1994C1"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1.75</w:t>
            </w:r>
          </w:p>
        </w:tc>
        <w:tc>
          <w:tcPr>
            <w:tcW w:w="607" w:type="dxa"/>
            <w:tcBorders>
              <w:top w:val="single" w:sz="4" w:space="0" w:color="auto"/>
              <w:left w:val="single" w:sz="4" w:space="0" w:color="auto"/>
              <w:bottom w:val="single" w:sz="4" w:space="0" w:color="auto"/>
              <w:right w:val="single" w:sz="4" w:space="0" w:color="auto"/>
            </w:tcBorders>
            <w:vAlign w:val="center"/>
            <w:hideMark/>
          </w:tcPr>
          <w:p w14:paraId="0E6C7966"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7279E3E4" w14:textId="77777777" w:rsidR="002E0662" w:rsidRDefault="002E0662">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28979D"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450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4D508E"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182E5A"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4B71993"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r>
      <w:tr w:rsidR="002E0662" w14:paraId="7C6C94A3" w14:textId="77777777" w:rsidTr="002E0662">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14:paraId="48E46249" w14:textId="77777777" w:rsidR="002E0662" w:rsidRDefault="002E0662">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2</w:t>
            </w:r>
          </w:p>
        </w:tc>
        <w:tc>
          <w:tcPr>
            <w:tcW w:w="628" w:type="dxa"/>
            <w:tcBorders>
              <w:top w:val="single" w:sz="4" w:space="0" w:color="auto"/>
              <w:left w:val="single" w:sz="4" w:space="0" w:color="auto"/>
              <w:bottom w:val="single" w:sz="4" w:space="0" w:color="auto"/>
              <w:right w:val="single" w:sz="4" w:space="0" w:color="auto"/>
            </w:tcBorders>
            <w:vAlign w:val="center"/>
            <w:hideMark/>
          </w:tcPr>
          <w:p w14:paraId="7C9B6F72" w14:textId="77777777" w:rsidR="002E0662" w:rsidRDefault="002E0662">
            <w:pPr>
              <w:pStyle w:val="Title"/>
              <w:spacing w:line="360" w:lineRule="auto"/>
              <w:ind w:left="-77" w:right="-34"/>
              <w:rPr>
                <w:rFonts w:ascii="AcadNusx" w:hAnsi="AcadNusx" w:cs="Americana BT"/>
                <w:i/>
                <w:sz w:val="18"/>
                <w:szCs w:val="18"/>
                <w:lang w:eastAsia="ru-RU"/>
              </w:rPr>
            </w:pPr>
            <w:r>
              <w:rPr>
                <w:rFonts w:ascii="Sylfaen" w:hAnsi="Sylfaen" w:cs="Americana BT"/>
                <w:i/>
                <w:sz w:val="18"/>
                <w:szCs w:val="18"/>
                <w:lang w:eastAsia="ru-RU"/>
              </w:rPr>
              <w:t>24</w:t>
            </w:r>
            <w:r>
              <w:rPr>
                <w:rFonts w:ascii="AcadNusx" w:hAnsi="AcadNusx" w:cs="Americana BT"/>
                <w:i/>
                <w:sz w:val="18"/>
                <w:szCs w:val="18"/>
                <w:lang w:eastAsia="ru-RU"/>
              </w:rPr>
              <w:t>b-III</w:t>
            </w:r>
          </w:p>
        </w:tc>
        <w:tc>
          <w:tcPr>
            <w:tcW w:w="731" w:type="dxa"/>
            <w:tcBorders>
              <w:top w:val="single" w:sz="4" w:space="0" w:color="auto"/>
              <w:left w:val="single" w:sz="4" w:space="0" w:color="auto"/>
              <w:bottom w:val="single" w:sz="4" w:space="0" w:color="auto"/>
              <w:right w:val="single" w:sz="4" w:space="0" w:color="auto"/>
            </w:tcBorders>
            <w:vAlign w:val="center"/>
            <w:hideMark/>
          </w:tcPr>
          <w:p w14:paraId="720F5BF3" w14:textId="77777777" w:rsidR="002E0662" w:rsidRDefault="002E0662">
            <w:pPr>
              <w:pStyle w:val="Title"/>
              <w:spacing w:line="360" w:lineRule="auto"/>
              <w:ind w:left="-77" w:right="-34"/>
              <w:rPr>
                <w:rFonts w:ascii="AcadNusx" w:hAnsi="AcadNusx" w:cs="Americana BT"/>
                <w:i/>
                <w:sz w:val="18"/>
                <w:szCs w:val="18"/>
                <w:lang w:eastAsia="ru-RU"/>
              </w:rPr>
            </w:pPr>
            <w:r>
              <w:rPr>
                <w:rFonts w:ascii="Sylfaen" w:hAnsi="Sylfaen" w:cs="Americana BT"/>
                <w:i/>
                <w:sz w:val="18"/>
                <w:szCs w:val="18"/>
                <w:lang w:eastAsia="ru-RU"/>
              </w:rPr>
              <w:t>24</w:t>
            </w:r>
            <w:r>
              <w:rPr>
                <w:rFonts w:ascii="AcadNusx" w:hAnsi="AcadNusx" w:cs="Americana BT"/>
                <w:i/>
                <w:sz w:val="18"/>
                <w:szCs w:val="18"/>
                <w:lang w:eastAsia="ru-RU"/>
              </w:rPr>
              <w:t>b-III</w:t>
            </w:r>
          </w:p>
        </w:tc>
        <w:tc>
          <w:tcPr>
            <w:tcW w:w="568" w:type="dxa"/>
            <w:tcBorders>
              <w:top w:val="single" w:sz="4" w:space="0" w:color="auto"/>
              <w:left w:val="single" w:sz="4" w:space="0" w:color="auto"/>
              <w:bottom w:val="single" w:sz="4" w:space="0" w:color="auto"/>
              <w:right w:val="single" w:sz="4" w:space="0" w:color="auto"/>
            </w:tcBorders>
            <w:vAlign w:val="center"/>
            <w:hideMark/>
          </w:tcPr>
          <w:p w14:paraId="52477D13" w14:textId="77777777" w:rsidR="002E0662" w:rsidRDefault="002E0662">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IV</w:t>
            </w:r>
          </w:p>
        </w:tc>
        <w:tc>
          <w:tcPr>
            <w:tcW w:w="829" w:type="dxa"/>
            <w:tcBorders>
              <w:top w:val="single" w:sz="4" w:space="0" w:color="auto"/>
              <w:left w:val="single" w:sz="4" w:space="0" w:color="auto"/>
              <w:bottom w:val="single" w:sz="4" w:space="0" w:color="auto"/>
              <w:right w:val="single" w:sz="4" w:space="0" w:color="auto"/>
            </w:tcBorders>
            <w:vAlign w:val="center"/>
            <w:hideMark/>
          </w:tcPr>
          <w:p w14:paraId="1B962F3A" w14:textId="77777777" w:rsidR="002E0662" w:rsidRDefault="002E0662">
            <w:pPr>
              <w:jc w:val="center"/>
              <w:rPr>
                <w:rFonts w:ascii="Times New Roman" w:hAnsi="Times New Roman"/>
                <w:i/>
                <w:sz w:val="18"/>
                <w:szCs w:val="18"/>
                <w:lang w:eastAsia="ru-RU"/>
              </w:rPr>
            </w:pPr>
            <w:r>
              <w:rPr>
                <w:i/>
                <w:sz w:val="18"/>
                <w:szCs w:val="18"/>
              </w:rPr>
              <w:t>1:0.67</w:t>
            </w:r>
          </w:p>
        </w:tc>
        <w:tc>
          <w:tcPr>
            <w:tcW w:w="611" w:type="dxa"/>
            <w:tcBorders>
              <w:top w:val="single" w:sz="4" w:space="0" w:color="auto"/>
              <w:left w:val="single" w:sz="4" w:space="0" w:color="auto"/>
              <w:bottom w:val="single" w:sz="4" w:space="0" w:color="auto"/>
              <w:right w:val="single" w:sz="4" w:space="0" w:color="auto"/>
            </w:tcBorders>
            <w:vAlign w:val="center"/>
            <w:hideMark/>
          </w:tcPr>
          <w:p w14:paraId="6B9E7811" w14:textId="77777777" w:rsidR="002E0662" w:rsidRDefault="002E0662">
            <w:pPr>
              <w:jc w:val="center"/>
              <w:rPr>
                <w:i/>
                <w:sz w:val="18"/>
                <w:szCs w:val="18"/>
              </w:rPr>
            </w:pPr>
            <w:r>
              <w:rPr>
                <w:i/>
                <w:sz w:val="18"/>
                <w:szCs w:val="18"/>
              </w:rPr>
              <w:t>1:1</w:t>
            </w:r>
          </w:p>
        </w:tc>
        <w:tc>
          <w:tcPr>
            <w:tcW w:w="788" w:type="dxa"/>
            <w:tcBorders>
              <w:top w:val="single" w:sz="4" w:space="0" w:color="auto"/>
              <w:left w:val="single" w:sz="4" w:space="0" w:color="auto"/>
              <w:bottom w:val="single" w:sz="4" w:space="0" w:color="auto"/>
              <w:right w:val="single" w:sz="4" w:space="0" w:color="auto"/>
            </w:tcBorders>
            <w:vAlign w:val="center"/>
            <w:hideMark/>
          </w:tcPr>
          <w:p w14:paraId="397126A0" w14:textId="77777777" w:rsidR="002E0662" w:rsidRDefault="002E0662">
            <w:pPr>
              <w:jc w:val="center"/>
              <w:rPr>
                <w:i/>
                <w:sz w:val="18"/>
                <w:szCs w:val="18"/>
              </w:rPr>
            </w:pPr>
            <w:r>
              <w:rPr>
                <w:i/>
                <w:sz w:val="18"/>
                <w:szCs w:val="18"/>
              </w:rPr>
              <w:t>1:1.25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E3AB1B" w14:textId="77777777" w:rsidR="002E0662" w:rsidRDefault="002E0662">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28029F"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2F98978"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w:t>
            </w:r>
          </w:p>
        </w:tc>
        <w:tc>
          <w:tcPr>
            <w:tcW w:w="607" w:type="dxa"/>
            <w:tcBorders>
              <w:top w:val="single" w:sz="4" w:space="0" w:color="auto"/>
              <w:left w:val="single" w:sz="4" w:space="0" w:color="auto"/>
              <w:bottom w:val="single" w:sz="4" w:space="0" w:color="auto"/>
              <w:right w:val="single" w:sz="4" w:space="0" w:color="auto"/>
            </w:tcBorders>
            <w:vAlign w:val="center"/>
            <w:hideMark/>
          </w:tcPr>
          <w:p w14:paraId="2A1B963D"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7F5F6D3C" w14:textId="77777777" w:rsidR="002E0662" w:rsidRDefault="002E0662">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AEE9727"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195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7E296C7C"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1633CF87"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CAD38E5"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r>
      <w:tr w:rsidR="002E0662" w14:paraId="71B89FC2" w14:textId="77777777" w:rsidTr="002E0662">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14:paraId="6C8F1D2F" w14:textId="77777777" w:rsidR="002E0662" w:rsidRDefault="002E0662">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3</w:t>
            </w:r>
          </w:p>
        </w:tc>
        <w:tc>
          <w:tcPr>
            <w:tcW w:w="628" w:type="dxa"/>
            <w:tcBorders>
              <w:top w:val="single" w:sz="4" w:space="0" w:color="auto"/>
              <w:left w:val="single" w:sz="4" w:space="0" w:color="auto"/>
              <w:bottom w:val="single" w:sz="4" w:space="0" w:color="auto"/>
              <w:right w:val="single" w:sz="4" w:space="0" w:color="auto"/>
            </w:tcBorders>
            <w:vAlign w:val="center"/>
            <w:hideMark/>
          </w:tcPr>
          <w:p w14:paraId="495F8A89" w14:textId="77777777" w:rsidR="002E0662" w:rsidRDefault="002E0662">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33</w:t>
            </w:r>
            <w:r>
              <w:rPr>
                <w:rFonts w:ascii="Sylfaen" w:hAnsi="Sylfaen" w:cs="Americana BT"/>
                <w:i/>
                <w:sz w:val="18"/>
                <w:szCs w:val="18"/>
                <w:lang w:val="ka-GE" w:eastAsia="ru-RU"/>
              </w:rPr>
              <w:t>ვ</w:t>
            </w:r>
            <w:r>
              <w:rPr>
                <w:rFonts w:ascii="AcadNusx" w:hAnsi="AcadNusx" w:cs="Americana BT"/>
                <w:i/>
                <w:sz w:val="18"/>
                <w:szCs w:val="18"/>
                <w:lang w:eastAsia="ru-RU"/>
              </w:rPr>
              <w:t>-II</w:t>
            </w:r>
          </w:p>
        </w:tc>
        <w:tc>
          <w:tcPr>
            <w:tcW w:w="731" w:type="dxa"/>
            <w:tcBorders>
              <w:top w:val="single" w:sz="4" w:space="0" w:color="auto"/>
              <w:left w:val="single" w:sz="4" w:space="0" w:color="auto"/>
              <w:bottom w:val="single" w:sz="4" w:space="0" w:color="auto"/>
              <w:right w:val="single" w:sz="4" w:space="0" w:color="auto"/>
            </w:tcBorders>
            <w:vAlign w:val="center"/>
            <w:hideMark/>
          </w:tcPr>
          <w:p w14:paraId="71528A59" w14:textId="77777777" w:rsidR="002E0662" w:rsidRDefault="002E0662">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33</w:t>
            </w:r>
            <w:r>
              <w:rPr>
                <w:rFonts w:ascii="Sylfaen" w:hAnsi="Sylfaen" w:cs="Americana BT"/>
                <w:i/>
                <w:sz w:val="18"/>
                <w:szCs w:val="18"/>
                <w:lang w:val="ka-GE" w:eastAsia="ru-RU"/>
              </w:rPr>
              <w:t>ვ</w:t>
            </w:r>
            <w:r>
              <w:rPr>
                <w:rFonts w:ascii="AcadNusx" w:hAnsi="AcadNusx" w:cs="Americana BT"/>
                <w:i/>
                <w:sz w:val="18"/>
                <w:szCs w:val="18"/>
                <w:lang w:eastAsia="ru-RU"/>
              </w:rPr>
              <w:t>-II</w:t>
            </w:r>
          </w:p>
        </w:tc>
        <w:tc>
          <w:tcPr>
            <w:tcW w:w="568" w:type="dxa"/>
            <w:tcBorders>
              <w:top w:val="single" w:sz="4" w:space="0" w:color="auto"/>
              <w:left w:val="single" w:sz="4" w:space="0" w:color="auto"/>
              <w:bottom w:val="single" w:sz="4" w:space="0" w:color="auto"/>
              <w:right w:val="single" w:sz="4" w:space="0" w:color="auto"/>
            </w:tcBorders>
            <w:vAlign w:val="center"/>
            <w:hideMark/>
          </w:tcPr>
          <w:p w14:paraId="06927DB5" w14:textId="77777777" w:rsidR="002E0662" w:rsidRDefault="002E0662">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II</w:t>
            </w:r>
          </w:p>
        </w:tc>
        <w:tc>
          <w:tcPr>
            <w:tcW w:w="829" w:type="dxa"/>
            <w:tcBorders>
              <w:top w:val="single" w:sz="4" w:space="0" w:color="auto"/>
              <w:left w:val="single" w:sz="4" w:space="0" w:color="auto"/>
              <w:bottom w:val="single" w:sz="4" w:space="0" w:color="auto"/>
              <w:right w:val="single" w:sz="4" w:space="0" w:color="auto"/>
            </w:tcBorders>
            <w:vAlign w:val="center"/>
            <w:hideMark/>
          </w:tcPr>
          <w:p w14:paraId="3CED4885" w14:textId="77777777" w:rsidR="002E0662" w:rsidRDefault="002E0662">
            <w:pPr>
              <w:pStyle w:val="Title"/>
              <w:spacing w:line="360" w:lineRule="auto"/>
              <w:ind w:left="-167" w:right="-170"/>
              <w:rPr>
                <w:rFonts w:ascii="Times New Roman" w:hAnsi="Times New Roman" w:cs="Americana BT"/>
                <w:i/>
                <w:sz w:val="18"/>
                <w:szCs w:val="18"/>
                <w:lang w:eastAsia="ru-RU"/>
              </w:rPr>
            </w:pPr>
            <w:r>
              <w:rPr>
                <w:rFonts w:ascii="Times New Roman" w:hAnsi="Times New Roman" w:cs="Americana BT"/>
                <w:i/>
                <w:sz w:val="18"/>
                <w:szCs w:val="18"/>
                <w:lang w:eastAsia="ru-RU"/>
              </w:rPr>
              <w:t>1:0</w:t>
            </w:r>
          </w:p>
        </w:tc>
        <w:tc>
          <w:tcPr>
            <w:tcW w:w="611" w:type="dxa"/>
            <w:tcBorders>
              <w:top w:val="single" w:sz="4" w:space="0" w:color="auto"/>
              <w:left w:val="single" w:sz="4" w:space="0" w:color="auto"/>
              <w:bottom w:val="single" w:sz="4" w:space="0" w:color="auto"/>
              <w:right w:val="single" w:sz="4" w:space="0" w:color="auto"/>
            </w:tcBorders>
            <w:vAlign w:val="center"/>
            <w:hideMark/>
          </w:tcPr>
          <w:p w14:paraId="7603DFE5" w14:textId="77777777" w:rsidR="002E0662" w:rsidRDefault="002E0662">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1:0.50</w:t>
            </w:r>
          </w:p>
        </w:tc>
        <w:tc>
          <w:tcPr>
            <w:tcW w:w="788" w:type="dxa"/>
            <w:tcBorders>
              <w:top w:val="single" w:sz="4" w:space="0" w:color="auto"/>
              <w:left w:val="single" w:sz="4" w:space="0" w:color="auto"/>
              <w:bottom w:val="single" w:sz="4" w:space="0" w:color="auto"/>
              <w:right w:val="single" w:sz="4" w:space="0" w:color="auto"/>
            </w:tcBorders>
            <w:vAlign w:val="center"/>
            <w:hideMark/>
          </w:tcPr>
          <w:p w14:paraId="0DB13C45" w14:textId="77777777" w:rsidR="002E0662" w:rsidRDefault="002E0662">
            <w:pPr>
              <w:pStyle w:val="Title"/>
              <w:spacing w:line="360" w:lineRule="auto"/>
              <w:ind w:left="-57" w:right="-122"/>
              <w:rPr>
                <w:rFonts w:ascii="Times New Roman" w:hAnsi="Times New Roman" w:cs="Americana BT"/>
                <w:i/>
                <w:sz w:val="18"/>
                <w:szCs w:val="18"/>
                <w:lang w:eastAsia="ru-RU"/>
              </w:rPr>
            </w:pPr>
            <w:r>
              <w:rPr>
                <w:rFonts w:ascii="Times New Roman" w:hAnsi="Times New Roman" w:cs="Americana BT"/>
                <w:i/>
                <w:sz w:val="18"/>
                <w:szCs w:val="18"/>
                <w:lang w:eastAsia="ru-RU"/>
              </w:rPr>
              <w:t>1:0.75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361E214" w14:textId="77777777" w:rsidR="002E0662" w:rsidRDefault="002E0662">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23.7</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2B1041"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81B522C"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1.82</w:t>
            </w:r>
          </w:p>
        </w:tc>
        <w:tc>
          <w:tcPr>
            <w:tcW w:w="607" w:type="dxa"/>
            <w:tcBorders>
              <w:top w:val="single" w:sz="4" w:space="0" w:color="auto"/>
              <w:left w:val="single" w:sz="4" w:space="0" w:color="auto"/>
              <w:bottom w:val="single" w:sz="4" w:space="0" w:color="auto"/>
              <w:right w:val="single" w:sz="4" w:space="0" w:color="auto"/>
            </w:tcBorders>
            <w:vAlign w:val="center"/>
            <w:hideMark/>
          </w:tcPr>
          <w:p w14:paraId="0B2C438B"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433</w:t>
            </w:r>
          </w:p>
        </w:tc>
        <w:tc>
          <w:tcPr>
            <w:tcW w:w="708" w:type="dxa"/>
            <w:tcBorders>
              <w:top w:val="single" w:sz="4" w:space="0" w:color="auto"/>
              <w:left w:val="single" w:sz="4" w:space="0" w:color="auto"/>
              <w:bottom w:val="single" w:sz="4" w:space="0" w:color="auto"/>
              <w:right w:val="single" w:sz="4" w:space="0" w:color="auto"/>
            </w:tcBorders>
            <w:vAlign w:val="center"/>
            <w:hideMark/>
          </w:tcPr>
          <w:p w14:paraId="3C27F201" w14:textId="77777777" w:rsidR="002E0662" w:rsidRDefault="002E0662">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347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637BE747"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364839C"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219B1F7"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ECD36B6"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r>
      <w:tr w:rsidR="002E0662" w14:paraId="1080DBB6" w14:textId="77777777" w:rsidTr="002E0662">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14:paraId="52D5C5CB" w14:textId="77777777" w:rsidR="002E0662" w:rsidRDefault="002E0662">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4</w:t>
            </w:r>
          </w:p>
        </w:tc>
        <w:tc>
          <w:tcPr>
            <w:tcW w:w="628" w:type="dxa"/>
            <w:tcBorders>
              <w:top w:val="single" w:sz="4" w:space="0" w:color="auto"/>
              <w:left w:val="single" w:sz="4" w:space="0" w:color="auto"/>
              <w:bottom w:val="single" w:sz="4" w:space="0" w:color="auto"/>
              <w:right w:val="single" w:sz="4" w:space="0" w:color="auto"/>
            </w:tcBorders>
            <w:vAlign w:val="center"/>
            <w:hideMark/>
          </w:tcPr>
          <w:p w14:paraId="6E11E15F" w14:textId="77777777" w:rsidR="002E0662" w:rsidRDefault="002E0662">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33</w:t>
            </w:r>
            <w:r>
              <w:rPr>
                <w:rFonts w:ascii="Sylfaen" w:hAnsi="Sylfaen" w:cs="Americana BT"/>
                <w:i/>
                <w:sz w:val="18"/>
                <w:szCs w:val="18"/>
                <w:lang w:val="ka-GE" w:eastAsia="ru-RU"/>
              </w:rPr>
              <w:t>გ</w:t>
            </w:r>
            <w:r>
              <w:rPr>
                <w:rFonts w:ascii="AcadNusx" w:hAnsi="AcadNusx" w:cs="Americana BT"/>
                <w:i/>
                <w:sz w:val="18"/>
                <w:szCs w:val="18"/>
                <w:lang w:eastAsia="ru-RU"/>
              </w:rPr>
              <w:t>-III</w:t>
            </w:r>
          </w:p>
        </w:tc>
        <w:tc>
          <w:tcPr>
            <w:tcW w:w="731" w:type="dxa"/>
            <w:tcBorders>
              <w:top w:val="single" w:sz="4" w:space="0" w:color="auto"/>
              <w:left w:val="single" w:sz="4" w:space="0" w:color="auto"/>
              <w:bottom w:val="single" w:sz="4" w:space="0" w:color="auto"/>
              <w:right w:val="single" w:sz="4" w:space="0" w:color="auto"/>
            </w:tcBorders>
            <w:vAlign w:val="center"/>
            <w:hideMark/>
          </w:tcPr>
          <w:p w14:paraId="3EFFF78B" w14:textId="77777777" w:rsidR="002E0662" w:rsidRDefault="002E0662">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33</w:t>
            </w:r>
            <w:r>
              <w:rPr>
                <w:rFonts w:ascii="Sylfaen" w:hAnsi="Sylfaen" w:cs="Americana BT"/>
                <w:i/>
                <w:sz w:val="18"/>
                <w:szCs w:val="18"/>
                <w:lang w:val="ka-GE" w:eastAsia="ru-RU"/>
              </w:rPr>
              <w:t>გ</w:t>
            </w:r>
            <w:r>
              <w:rPr>
                <w:rFonts w:ascii="AcadNusx" w:hAnsi="AcadNusx" w:cs="Americana BT"/>
                <w:i/>
                <w:sz w:val="18"/>
                <w:szCs w:val="18"/>
                <w:lang w:eastAsia="ru-RU"/>
              </w:rPr>
              <w:t>-III</w:t>
            </w:r>
          </w:p>
        </w:tc>
        <w:tc>
          <w:tcPr>
            <w:tcW w:w="568" w:type="dxa"/>
            <w:tcBorders>
              <w:top w:val="single" w:sz="4" w:space="0" w:color="auto"/>
              <w:left w:val="single" w:sz="4" w:space="0" w:color="auto"/>
              <w:bottom w:val="single" w:sz="4" w:space="0" w:color="auto"/>
              <w:right w:val="single" w:sz="4" w:space="0" w:color="auto"/>
            </w:tcBorders>
            <w:vAlign w:val="center"/>
            <w:hideMark/>
          </w:tcPr>
          <w:p w14:paraId="7CC8570D" w14:textId="77777777" w:rsidR="002E0662" w:rsidRDefault="002E0662">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II</w:t>
            </w:r>
          </w:p>
        </w:tc>
        <w:tc>
          <w:tcPr>
            <w:tcW w:w="829" w:type="dxa"/>
            <w:tcBorders>
              <w:top w:val="single" w:sz="4" w:space="0" w:color="auto"/>
              <w:left w:val="single" w:sz="4" w:space="0" w:color="auto"/>
              <w:bottom w:val="single" w:sz="4" w:space="0" w:color="auto"/>
              <w:right w:val="single" w:sz="4" w:space="0" w:color="auto"/>
            </w:tcBorders>
            <w:vAlign w:val="center"/>
            <w:hideMark/>
          </w:tcPr>
          <w:p w14:paraId="2CC07979" w14:textId="77777777" w:rsidR="002E0662" w:rsidRDefault="002E0662">
            <w:pPr>
              <w:pStyle w:val="Title"/>
              <w:spacing w:line="360" w:lineRule="auto"/>
              <w:ind w:left="-167" w:right="-170"/>
              <w:rPr>
                <w:rFonts w:ascii="Times New Roman" w:hAnsi="Times New Roman" w:cs="Americana BT"/>
                <w:i/>
                <w:sz w:val="18"/>
                <w:szCs w:val="18"/>
                <w:lang w:eastAsia="ru-RU"/>
              </w:rPr>
            </w:pPr>
            <w:r>
              <w:rPr>
                <w:rFonts w:ascii="Times New Roman" w:hAnsi="Times New Roman" w:cs="Americana BT"/>
                <w:i/>
                <w:sz w:val="18"/>
                <w:szCs w:val="18"/>
                <w:lang w:eastAsia="ru-RU"/>
              </w:rPr>
              <w:t>1:0</w:t>
            </w:r>
          </w:p>
        </w:tc>
        <w:tc>
          <w:tcPr>
            <w:tcW w:w="611" w:type="dxa"/>
            <w:tcBorders>
              <w:top w:val="single" w:sz="4" w:space="0" w:color="auto"/>
              <w:left w:val="single" w:sz="4" w:space="0" w:color="auto"/>
              <w:bottom w:val="single" w:sz="4" w:space="0" w:color="auto"/>
              <w:right w:val="single" w:sz="4" w:space="0" w:color="auto"/>
            </w:tcBorders>
            <w:vAlign w:val="center"/>
            <w:hideMark/>
          </w:tcPr>
          <w:p w14:paraId="6F00D239" w14:textId="77777777" w:rsidR="002E0662" w:rsidRDefault="002E0662">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1:0.50</w:t>
            </w:r>
          </w:p>
        </w:tc>
        <w:tc>
          <w:tcPr>
            <w:tcW w:w="788" w:type="dxa"/>
            <w:tcBorders>
              <w:top w:val="single" w:sz="4" w:space="0" w:color="auto"/>
              <w:left w:val="single" w:sz="4" w:space="0" w:color="auto"/>
              <w:bottom w:val="single" w:sz="4" w:space="0" w:color="auto"/>
              <w:right w:val="single" w:sz="4" w:space="0" w:color="auto"/>
            </w:tcBorders>
            <w:vAlign w:val="center"/>
            <w:hideMark/>
          </w:tcPr>
          <w:p w14:paraId="0D8DC88D" w14:textId="77777777" w:rsidR="002E0662" w:rsidRDefault="002E0662">
            <w:pPr>
              <w:pStyle w:val="Title"/>
              <w:spacing w:line="360" w:lineRule="auto"/>
              <w:ind w:left="-57" w:right="-122"/>
              <w:rPr>
                <w:rFonts w:ascii="Times New Roman" w:hAnsi="Times New Roman" w:cs="Americana BT"/>
                <w:i/>
                <w:sz w:val="18"/>
                <w:szCs w:val="18"/>
                <w:lang w:eastAsia="ru-RU"/>
              </w:rPr>
            </w:pPr>
            <w:r>
              <w:rPr>
                <w:rFonts w:ascii="Times New Roman" w:hAnsi="Times New Roman" w:cs="Americana BT"/>
                <w:i/>
                <w:sz w:val="18"/>
                <w:szCs w:val="18"/>
                <w:lang w:eastAsia="ru-RU"/>
              </w:rPr>
              <w:t>1:0.75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5375CF" w14:textId="77777777" w:rsidR="002E0662" w:rsidRDefault="002E0662">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25.3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3DB3C9A"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13.2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CB08E7B"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1.81</w:t>
            </w:r>
          </w:p>
        </w:tc>
        <w:tc>
          <w:tcPr>
            <w:tcW w:w="607" w:type="dxa"/>
            <w:tcBorders>
              <w:top w:val="single" w:sz="4" w:space="0" w:color="auto"/>
              <w:left w:val="single" w:sz="4" w:space="0" w:color="auto"/>
              <w:bottom w:val="single" w:sz="4" w:space="0" w:color="auto"/>
              <w:right w:val="single" w:sz="4" w:space="0" w:color="auto"/>
            </w:tcBorders>
            <w:vAlign w:val="center"/>
            <w:hideMark/>
          </w:tcPr>
          <w:p w14:paraId="6C56B070"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363</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BBBBE3" w14:textId="77777777" w:rsidR="002E0662" w:rsidRDefault="002E0662">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288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23CF67"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206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D87764"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13.7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C68EA0E"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1.77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E7F3CD"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10.75</w:t>
            </w:r>
          </w:p>
        </w:tc>
      </w:tr>
      <w:tr w:rsidR="002E0662" w14:paraId="673A5CA6" w14:textId="77777777" w:rsidTr="002E0662">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14:paraId="3A799F99" w14:textId="77777777" w:rsidR="002E0662" w:rsidRDefault="002E0662">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5</w:t>
            </w:r>
          </w:p>
        </w:tc>
        <w:tc>
          <w:tcPr>
            <w:tcW w:w="628" w:type="dxa"/>
            <w:tcBorders>
              <w:top w:val="single" w:sz="4" w:space="0" w:color="auto"/>
              <w:left w:val="single" w:sz="4" w:space="0" w:color="auto"/>
              <w:bottom w:val="single" w:sz="4" w:space="0" w:color="auto"/>
              <w:right w:val="single" w:sz="4" w:space="0" w:color="auto"/>
            </w:tcBorders>
            <w:vAlign w:val="center"/>
            <w:hideMark/>
          </w:tcPr>
          <w:p w14:paraId="66EC792F" w14:textId="77777777" w:rsidR="002E0662" w:rsidRDefault="002E0662">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6</w:t>
            </w:r>
            <w:r>
              <w:rPr>
                <w:rFonts w:ascii="Sylfaen" w:hAnsi="Sylfaen" w:cs="Americana BT"/>
                <w:i/>
                <w:sz w:val="18"/>
                <w:szCs w:val="18"/>
                <w:lang w:val="ka-GE" w:eastAsia="ru-RU"/>
              </w:rPr>
              <w:t>ბ</w:t>
            </w:r>
            <w:r>
              <w:rPr>
                <w:rFonts w:ascii="AcadNusx" w:hAnsi="AcadNusx" w:cs="Americana BT"/>
                <w:i/>
                <w:sz w:val="18"/>
                <w:szCs w:val="18"/>
                <w:lang w:eastAsia="ru-RU"/>
              </w:rPr>
              <w:t>-II</w:t>
            </w:r>
          </w:p>
        </w:tc>
        <w:tc>
          <w:tcPr>
            <w:tcW w:w="731" w:type="dxa"/>
            <w:tcBorders>
              <w:top w:val="single" w:sz="4" w:space="0" w:color="auto"/>
              <w:left w:val="single" w:sz="4" w:space="0" w:color="auto"/>
              <w:bottom w:val="single" w:sz="4" w:space="0" w:color="auto"/>
              <w:right w:val="single" w:sz="4" w:space="0" w:color="auto"/>
            </w:tcBorders>
            <w:vAlign w:val="center"/>
            <w:hideMark/>
          </w:tcPr>
          <w:p w14:paraId="18F200A7" w14:textId="77777777" w:rsidR="002E0662" w:rsidRDefault="002E0662">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6</w:t>
            </w:r>
            <w:r>
              <w:rPr>
                <w:rFonts w:ascii="Sylfaen" w:hAnsi="Sylfaen" w:cs="Americana BT"/>
                <w:i/>
                <w:sz w:val="18"/>
                <w:szCs w:val="18"/>
                <w:lang w:val="ka-GE" w:eastAsia="ru-RU"/>
              </w:rPr>
              <w:t>ბ</w:t>
            </w:r>
            <w:r>
              <w:rPr>
                <w:rFonts w:ascii="AcadNusx" w:hAnsi="AcadNusx" w:cs="Americana BT"/>
                <w:i/>
                <w:sz w:val="18"/>
                <w:szCs w:val="18"/>
                <w:lang w:eastAsia="ru-RU"/>
              </w:rPr>
              <w:t>-III</w:t>
            </w:r>
          </w:p>
        </w:tc>
        <w:tc>
          <w:tcPr>
            <w:tcW w:w="568" w:type="dxa"/>
            <w:tcBorders>
              <w:top w:val="single" w:sz="4" w:space="0" w:color="auto"/>
              <w:left w:val="single" w:sz="4" w:space="0" w:color="auto"/>
              <w:bottom w:val="single" w:sz="4" w:space="0" w:color="auto"/>
              <w:right w:val="single" w:sz="4" w:space="0" w:color="auto"/>
            </w:tcBorders>
            <w:vAlign w:val="center"/>
            <w:hideMark/>
          </w:tcPr>
          <w:p w14:paraId="170FD4D2" w14:textId="77777777" w:rsidR="002E0662" w:rsidRDefault="002E0662">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II</w:t>
            </w:r>
          </w:p>
        </w:tc>
        <w:tc>
          <w:tcPr>
            <w:tcW w:w="829" w:type="dxa"/>
            <w:tcBorders>
              <w:top w:val="single" w:sz="4" w:space="0" w:color="auto"/>
              <w:left w:val="single" w:sz="4" w:space="0" w:color="auto"/>
              <w:bottom w:val="single" w:sz="4" w:space="0" w:color="auto"/>
              <w:right w:val="single" w:sz="4" w:space="0" w:color="auto"/>
            </w:tcBorders>
            <w:vAlign w:val="center"/>
            <w:hideMark/>
          </w:tcPr>
          <w:p w14:paraId="55644112" w14:textId="77777777" w:rsidR="002E0662" w:rsidRDefault="002E0662">
            <w:pPr>
              <w:jc w:val="center"/>
              <w:rPr>
                <w:rFonts w:ascii="Times New Roman" w:hAnsi="Times New Roman"/>
                <w:i/>
                <w:sz w:val="18"/>
                <w:szCs w:val="18"/>
                <w:lang w:val="en-US" w:eastAsia="ru-RU"/>
              </w:rPr>
            </w:pPr>
            <w:r>
              <w:rPr>
                <w:i/>
                <w:sz w:val="18"/>
                <w:szCs w:val="18"/>
              </w:rPr>
              <w:t>1:0.</w:t>
            </w:r>
            <w:r>
              <w:rPr>
                <w:i/>
                <w:sz w:val="18"/>
                <w:szCs w:val="18"/>
                <w:lang w:val="en-US"/>
              </w:rPr>
              <w:t>50</w:t>
            </w:r>
          </w:p>
        </w:tc>
        <w:tc>
          <w:tcPr>
            <w:tcW w:w="611" w:type="dxa"/>
            <w:tcBorders>
              <w:top w:val="single" w:sz="4" w:space="0" w:color="auto"/>
              <w:left w:val="single" w:sz="4" w:space="0" w:color="auto"/>
              <w:bottom w:val="single" w:sz="4" w:space="0" w:color="auto"/>
              <w:right w:val="single" w:sz="4" w:space="0" w:color="auto"/>
            </w:tcBorders>
            <w:vAlign w:val="center"/>
            <w:hideMark/>
          </w:tcPr>
          <w:p w14:paraId="02214601" w14:textId="77777777" w:rsidR="002E0662" w:rsidRDefault="002E0662">
            <w:pPr>
              <w:jc w:val="center"/>
              <w:rPr>
                <w:i/>
                <w:sz w:val="18"/>
                <w:szCs w:val="18"/>
                <w:lang w:val="ru-RU"/>
              </w:rPr>
            </w:pPr>
            <w:r>
              <w:rPr>
                <w:i/>
                <w:sz w:val="18"/>
                <w:szCs w:val="18"/>
              </w:rPr>
              <w:t>1:1</w:t>
            </w:r>
          </w:p>
        </w:tc>
        <w:tc>
          <w:tcPr>
            <w:tcW w:w="788" w:type="dxa"/>
            <w:tcBorders>
              <w:top w:val="single" w:sz="4" w:space="0" w:color="auto"/>
              <w:left w:val="single" w:sz="4" w:space="0" w:color="auto"/>
              <w:bottom w:val="single" w:sz="4" w:space="0" w:color="auto"/>
              <w:right w:val="single" w:sz="4" w:space="0" w:color="auto"/>
            </w:tcBorders>
            <w:vAlign w:val="center"/>
            <w:hideMark/>
          </w:tcPr>
          <w:p w14:paraId="51874E82" w14:textId="77777777" w:rsidR="002E0662" w:rsidRDefault="002E0662">
            <w:pPr>
              <w:jc w:val="center"/>
              <w:rPr>
                <w:i/>
                <w:sz w:val="18"/>
                <w:szCs w:val="18"/>
              </w:rPr>
            </w:pPr>
            <w:r>
              <w:rPr>
                <w:i/>
                <w:sz w:val="18"/>
                <w:szCs w:val="18"/>
              </w:rPr>
              <w:t>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EDBA945" w14:textId="77777777" w:rsidR="002E0662" w:rsidRDefault="002E0662">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18.5*</w:t>
            </w:r>
          </w:p>
        </w:tc>
        <w:tc>
          <w:tcPr>
            <w:tcW w:w="567" w:type="dxa"/>
            <w:tcBorders>
              <w:top w:val="single" w:sz="4" w:space="0" w:color="auto"/>
              <w:left w:val="single" w:sz="4" w:space="0" w:color="auto"/>
              <w:bottom w:val="single" w:sz="4" w:space="0" w:color="auto"/>
              <w:right w:val="single" w:sz="4" w:space="0" w:color="auto"/>
            </w:tcBorders>
            <w:vAlign w:val="center"/>
            <w:hideMark/>
          </w:tcPr>
          <w:p w14:paraId="5BF996F4"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13.2*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120F525"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1.95</w:t>
            </w:r>
          </w:p>
        </w:tc>
        <w:tc>
          <w:tcPr>
            <w:tcW w:w="607" w:type="dxa"/>
            <w:tcBorders>
              <w:top w:val="single" w:sz="4" w:space="0" w:color="auto"/>
              <w:left w:val="single" w:sz="4" w:space="0" w:color="auto"/>
              <w:bottom w:val="single" w:sz="4" w:space="0" w:color="auto"/>
              <w:right w:val="single" w:sz="4" w:space="0" w:color="auto"/>
            </w:tcBorders>
            <w:vAlign w:val="center"/>
            <w:hideMark/>
          </w:tcPr>
          <w:p w14:paraId="38695280"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3B8ECBF9" w14:textId="77777777" w:rsidR="002E0662" w:rsidRDefault="002E0662">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033D044"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600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EC9C57B"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6.2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A9AE10"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2.17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187865D"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36.14</w:t>
            </w:r>
          </w:p>
        </w:tc>
      </w:tr>
      <w:tr w:rsidR="002E0662" w14:paraId="3A983B2E" w14:textId="77777777" w:rsidTr="002E0662">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14:paraId="4501355B" w14:textId="77777777" w:rsidR="002E0662" w:rsidRDefault="002E0662">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6</w:t>
            </w:r>
          </w:p>
        </w:tc>
        <w:tc>
          <w:tcPr>
            <w:tcW w:w="628" w:type="dxa"/>
            <w:tcBorders>
              <w:top w:val="single" w:sz="4" w:space="0" w:color="auto"/>
              <w:left w:val="single" w:sz="4" w:space="0" w:color="auto"/>
              <w:bottom w:val="single" w:sz="4" w:space="0" w:color="auto"/>
              <w:right w:val="single" w:sz="4" w:space="0" w:color="auto"/>
            </w:tcBorders>
            <w:vAlign w:val="center"/>
            <w:hideMark/>
          </w:tcPr>
          <w:p w14:paraId="5A68B0DC" w14:textId="77777777" w:rsidR="002E0662" w:rsidRDefault="002E0662">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33</w:t>
            </w:r>
            <w:r>
              <w:rPr>
                <w:rFonts w:ascii="Sylfaen" w:hAnsi="Sylfaen" w:cs="Americana BT"/>
                <w:i/>
                <w:sz w:val="18"/>
                <w:szCs w:val="18"/>
                <w:lang w:val="ka-GE" w:eastAsia="ru-RU"/>
              </w:rPr>
              <w:t>ვ</w:t>
            </w:r>
            <w:r>
              <w:rPr>
                <w:rFonts w:ascii="AcadNusx" w:hAnsi="AcadNusx" w:cs="Americana BT"/>
                <w:i/>
                <w:sz w:val="18"/>
                <w:szCs w:val="18"/>
                <w:lang w:eastAsia="ru-RU"/>
              </w:rPr>
              <w:t>-II</w:t>
            </w:r>
          </w:p>
        </w:tc>
        <w:tc>
          <w:tcPr>
            <w:tcW w:w="731" w:type="dxa"/>
            <w:tcBorders>
              <w:top w:val="single" w:sz="4" w:space="0" w:color="auto"/>
              <w:left w:val="single" w:sz="4" w:space="0" w:color="auto"/>
              <w:bottom w:val="single" w:sz="4" w:space="0" w:color="auto"/>
              <w:right w:val="single" w:sz="4" w:space="0" w:color="auto"/>
            </w:tcBorders>
            <w:vAlign w:val="center"/>
            <w:hideMark/>
          </w:tcPr>
          <w:p w14:paraId="7D55C8BA" w14:textId="77777777" w:rsidR="002E0662" w:rsidRDefault="002E0662">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33</w:t>
            </w:r>
            <w:r>
              <w:rPr>
                <w:rFonts w:ascii="Sylfaen" w:hAnsi="Sylfaen" w:cs="Americana BT"/>
                <w:i/>
                <w:sz w:val="18"/>
                <w:szCs w:val="18"/>
                <w:lang w:val="ka-GE" w:eastAsia="ru-RU"/>
              </w:rPr>
              <w:t>ვ</w:t>
            </w:r>
            <w:r>
              <w:rPr>
                <w:rFonts w:ascii="AcadNusx" w:hAnsi="AcadNusx" w:cs="Americana BT"/>
                <w:i/>
                <w:sz w:val="18"/>
                <w:szCs w:val="18"/>
                <w:lang w:eastAsia="ru-RU"/>
              </w:rPr>
              <w:t>-II</w:t>
            </w:r>
          </w:p>
        </w:tc>
        <w:tc>
          <w:tcPr>
            <w:tcW w:w="568" w:type="dxa"/>
            <w:tcBorders>
              <w:top w:val="single" w:sz="4" w:space="0" w:color="auto"/>
              <w:left w:val="single" w:sz="4" w:space="0" w:color="auto"/>
              <w:bottom w:val="single" w:sz="4" w:space="0" w:color="auto"/>
              <w:right w:val="single" w:sz="4" w:space="0" w:color="auto"/>
            </w:tcBorders>
            <w:vAlign w:val="center"/>
            <w:hideMark/>
          </w:tcPr>
          <w:p w14:paraId="5F027B7C" w14:textId="77777777" w:rsidR="002E0662" w:rsidRDefault="002E0662">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II</w:t>
            </w:r>
          </w:p>
        </w:tc>
        <w:tc>
          <w:tcPr>
            <w:tcW w:w="829" w:type="dxa"/>
            <w:tcBorders>
              <w:top w:val="single" w:sz="4" w:space="0" w:color="auto"/>
              <w:left w:val="single" w:sz="4" w:space="0" w:color="auto"/>
              <w:bottom w:val="single" w:sz="4" w:space="0" w:color="auto"/>
              <w:right w:val="single" w:sz="4" w:space="0" w:color="auto"/>
            </w:tcBorders>
            <w:vAlign w:val="center"/>
            <w:hideMark/>
          </w:tcPr>
          <w:p w14:paraId="7D481DE2" w14:textId="77777777" w:rsidR="002E0662" w:rsidRDefault="002E0662">
            <w:pPr>
              <w:pStyle w:val="Title"/>
              <w:spacing w:line="360" w:lineRule="auto"/>
              <w:ind w:left="-167" w:right="-170"/>
              <w:rPr>
                <w:rFonts w:ascii="Times New Roman" w:hAnsi="Times New Roman" w:cs="Americana BT"/>
                <w:i/>
                <w:sz w:val="18"/>
                <w:szCs w:val="18"/>
                <w:lang w:eastAsia="ru-RU"/>
              </w:rPr>
            </w:pPr>
            <w:r>
              <w:rPr>
                <w:rFonts w:ascii="Times New Roman" w:hAnsi="Times New Roman" w:cs="Americana BT"/>
                <w:i/>
                <w:sz w:val="18"/>
                <w:szCs w:val="18"/>
                <w:lang w:eastAsia="ru-RU"/>
              </w:rPr>
              <w:t>1:0</w:t>
            </w:r>
          </w:p>
        </w:tc>
        <w:tc>
          <w:tcPr>
            <w:tcW w:w="611" w:type="dxa"/>
            <w:tcBorders>
              <w:top w:val="single" w:sz="4" w:space="0" w:color="auto"/>
              <w:left w:val="single" w:sz="4" w:space="0" w:color="auto"/>
              <w:bottom w:val="single" w:sz="4" w:space="0" w:color="auto"/>
              <w:right w:val="single" w:sz="4" w:space="0" w:color="auto"/>
            </w:tcBorders>
            <w:vAlign w:val="center"/>
            <w:hideMark/>
          </w:tcPr>
          <w:p w14:paraId="52AF5F23" w14:textId="77777777" w:rsidR="002E0662" w:rsidRDefault="002E0662">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1:0.50</w:t>
            </w:r>
          </w:p>
        </w:tc>
        <w:tc>
          <w:tcPr>
            <w:tcW w:w="788" w:type="dxa"/>
            <w:tcBorders>
              <w:top w:val="single" w:sz="4" w:space="0" w:color="auto"/>
              <w:left w:val="single" w:sz="4" w:space="0" w:color="auto"/>
              <w:bottom w:val="single" w:sz="4" w:space="0" w:color="auto"/>
              <w:right w:val="single" w:sz="4" w:space="0" w:color="auto"/>
            </w:tcBorders>
            <w:vAlign w:val="center"/>
            <w:hideMark/>
          </w:tcPr>
          <w:p w14:paraId="2CE19B41" w14:textId="77777777" w:rsidR="002E0662" w:rsidRDefault="002E0662">
            <w:pPr>
              <w:pStyle w:val="Title"/>
              <w:spacing w:line="360" w:lineRule="auto"/>
              <w:ind w:left="-57" w:right="-122"/>
              <w:rPr>
                <w:rFonts w:ascii="Times New Roman" w:hAnsi="Times New Roman" w:cs="Americana BT"/>
                <w:i/>
                <w:sz w:val="18"/>
                <w:szCs w:val="18"/>
                <w:lang w:eastAsia="ru-RU"/>
              </w:rPr>
            </w:pPr>
            <w:r>
              <w:rPr>
                <w:rFonts w:ascii="Times New Roman" w:hAnsi="Times New Roman" w:cs="Americana BT"/>
                <w:i/>
                <w:sz w:val="18"/>
                <w:szCs w:val="18"/>
                <w:lang w:eastAsia="ru-RU"/>
              </w:rPr>
              <w:t>1:0.75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60DE8C6" w14:textId="77777777" w:rsidR="002E0662" w:rsidRDefault="002E0662">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26.6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EA7DDCE"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15.7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F4F490"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1.77</w:t>
            </w:r>
          </w:p>
        </w:tc>
        <w:tc>
          <w:tcPr>
            <w:tcW w:w="607" w:type="dxa"/>
            <w:tcBorders>
              <w:top w:val="single" w:sz="4" w:space="0" w:color="auto"/>
              <w:left w:val="single" w:sz="4" w:space="0" w:color="auto"/>
              <w:bottom w:val="single" w:sz="4" w:space="0" w:color="auto"/>
              <w:right w:val="single" w:sz="4" w:space="0" w:color="auto"/>
            </w:tcBorders>
            <w:vAlign w:val="center"/>
            <w:hideMark/>
          </w:tcPr>
          <w:p w14:paraId="78571226"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192</w:t>
            </w:r>
          </w:p>
        </w:tc>
        <w:tc>
          <w:tcPr>
            <w:tcW w:w="708" w:type="dxa"/>
            <w:tcBorders>
              <w:top w:val="single" w:sz="4" w:space="0" w:color="auto"/>
              <w:left w:val="single" w:sz="4" w:space="0" w:color="auto"/>
              <w:bottom w:val="single" w:sz="4" w:space="0" w:color="auto"/>
              <w:right w:val="single" w:sz="4" w:space="0" w:color="auto"/>
            </w:tcBorders>
            <w:vAlign w:val="center"/>
            <w:hideMark/>
          </w:tcPr>
          <w:p w14:paraId="3F6033D7" w14:textId="77777777" w:rsidR="002E0662" w:rsidRDefault="002E0662">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155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8B198A5"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179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039CE1C"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A4A552"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670784"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r>
      <w:tr w:rsidR="002E0662" w14:paraId="7990DF06" w14:textId="77777777" w:rsidTr="002E0662">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14:paraId="7D2320A9" w14:textId="77777777" w:rsidR="002E0662" w:rsidRDefault="002E0662">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7</w:t>
            </w:r>
          </w:p>
        </w:tc>
        <w:tc>
          <w:tcPr>
            <w:tcW w:w="628" w:type="dxa"/>
            <w:tcBorders>
              <w:top w:val="single" w:sz="4" w:space="0" w:color="auto"/>
              <w:left w:val="single" w:sz="4" w:space="0" w:color="auto"/>
              <w:bottom w:val="single" w:sz="4" w:space="0" w:color="auto"/>
              <w:right w:val="single" w:sz="4" w:space="0" w:color="auto"/>
            </w:tcBorders>
            <w:vAlign w:val="center"/>
            <w:hideMark/>
          </w:tcPr>
          <w:p w14:paraId="47A8E223" w14:textId="77777777" w:rsidR="002E0662" w:rsidRDefault="002E0662">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33</w:t>
            </w:r>
            <w:r>
              <w:rPr>
                <w:rFonts w:ascii="Sylfaen" w:hAnsi="Sylfaen" w:cs="Americana BT"/>
                <w:i/>
                <w:sz w:val="18"/>
                <w:szCs w:val="18"/>
                <w:lang w:val="ka-GE" w:eastAsia="ru-RU"/>
              </w:rPr>
              <w:t>ვ</w:t>
            </w:r>
            <w:r>
              <w:rPr>
                <w:rFonts w:ascii="AcadNusx" w:hAnsi="AcadNusx" w:cs="Americana BT"/>
                <w:i/>
                <w:sz w:val="18"/>
                <w:szCs w:val="18"/>
                <w:lang w:eastAsia="ru-RU"/>
              </w:rPr>
              <w:t>-II</w:t>
            </w:r>
          </w:p>
        </w:tc>
        <w:tc>
          <w:tcPr>
            <w:tcW w:w="731" w:type="dxa"/>
            <w:tcBorders>
              <w:top w:val="single" w:sz="4" w:space="0" w:color="auto"/>
              <w:left w:val="single" w:sz="4" w:space="0" w:color="auto"/>
              <w:bottom w:val="single" w:sz="4" w:space="0" w:color="auto"/>
              <w:right w:val="single" w:sz="4" w:space="0" w:color="auto"/>
            </w:tcBorders>
            <w:vAlign w:val="center"/>
            <w:hideMark/>
          </w:tcPr>
          <w:p w14:paraId="34F8448A" w14:textId="77777777" w:rsidR="002E0662" w:rsidRDefault="002E0662">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33</w:t>
            </w:r>
            <w:r>
              <w:rPr>
                <w:rFonts w:ascii="Sylfaen" w:hAnsi="Sylfaen" w:cs="Americana BT"/>
                <w:i/>
                <w:sz w:val="18"/>
                <w:szCs w:val="18"/>
                <w:lang w:val="ka-GE" w:eastAsia="ru-RU"/>
              </w:rPr>
              <w:t>ვ</w:t>
            </w:r>
            <w:r>
              <w:rPr>
                <w:rFonts w:ascii="AcadNusx" w:hAnsi="AcadNusx" w:cs="Americana BT"/>
                <w:i/>
                <w:sz w:val="18"/>
                <w:szCs w:val="18"/>
                <w:lang w:eastAsia="ru-RU"/>
              </w:rPr>
              <w:t>-II</w:t>
            </w:r>
          </w:p>
        </w:tc>
        <w:tc>
          <w:tcPr>
            <w:tcW w:w="568" w:type="dxa"/>
            <w:tcBorders>
              <w:top w:val="single" w:sz="4" w:space="0" w:color="auto"/>
              <w:left w:val="single" w:sz="4" w:space="0" w:color="auto"/>
              <w:bottom w:val="single" w:sz="4" w:space="0" w:color="auto"/>
              <w:right w:val="single" w:sz="4" w:space="0" w:color="auto"/>
            </w:tcBorders>
            <w:vAlign w:val="center"/>
            <w:hideMark/>
          </w:tcPr>
          <w:p w14:paraId="336A2438" w14:textId="77777777" w:rsidR="002E0662" w:rsidRDefault="002E0662">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III</w:t>
            </w:r>
          </w:p>
        </w:tc>
        <w:tc>
          <w:tcPr>
            <w:tcW w:w="829" w:type="dxa"/>
            <w:tcBorders>
              <w:top w:val="single" w:sz="4" w:space="0" w:color="auto"/>
              <w:left w:val="single" w:sz="4" w:space="0" w:color="auto"/>
              <w:bottom w:val="single" w:sz="4" w:space="0" w:color="auto"/>
              <w:right w:val="single" w:sz="4" w:space="0" w:color="auto"/>
            </w:tcBorders>
            <w:vAlign w:val="center"/>
            <w:hideMark/>
          </w:tcPr>
          <w:p w14:paraId="09FC5A21" w14:textId="77777777" w:rsidR="002E0662" w:rsidRDefault="002E0662">
            <w:pPr>
              <w:pStyle w:val="Title"/>
              <w:spacing w:line="360" w:lineRule="auto"/>
              <w:ind w:left="-167" w:right="-170"/>
              <w:rPr>
                <w:rFonts w:ascii="Times New Roman" w:hAnsi="Times New Roman" w:cs="Americana BT"/>
                <w:i/>
                <w:sz w:val="18"/>
                <w:szCs w:val="18"/>
                <w:lang w:eastAsia="ru-RU"/>
              </w:rPr>
            </w:pPr>
            <w:r>
              <w:rPr>
                <w:rFonts w:ascii="Times New Roman" w:hAnsi="Times New Roman" w:cs="Americana BT"/>
                <w:i/>
                <w:sz w:val="18"/>
                <w:szCs w:val="18"/>
                <w:lang w:eastAsia="ru-RU"/>
              </w:rPr>
              <w:t>1:0</w:t>
            </w:r>
          </w:p>
        </w:tc>
        <w:tc>
          <w:tcPr>
            <w:tcW w:w="611" w:type="dxa"/>
            <w:tcBorders>
              <w:top w:val="single" w:sz="4" w:space="0" w:color="auto"/>
              <w:left w:val="single" w:sz="4" w:space="0" w:color="auto"/>
              <w:bottom w:val="single" w:sz="4" w:space="0" w:color="auto"/>
              <w:right w:val="single" w:sz="4" w:space="0" w:color="auto"/>
            </w:tcBorders>
            <w:vAlign w:val="center"/>
            <w:hideMark/>
          </w:tcPr>
          <w:p w14:paraId="311A590A" w14:textId="77777777" w:rsidR="002E0662" w:rsidRDefault="002E0662">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1:0.50</w:t>
            </w:r>
          </w:p>
        </w:tc>
        <w:tc>
          <w:tcPr>
            <w:tcW w:w="788" w:type="dxa"/>
            <w:tcBorders>
              <w:top w:val="single" w:sz="4" w:space="0" w:color="auto"/>
              <w:left w:val="single" w:sz="4" w:space="0" w:color="auto"/>
              <w:bottom w:val="single" w:sz="4" w:space="0" w:color="auto"/>
              <w:right w:val="single" w:sz="4" w:space="0" w:color="auto"/>
            </w:tcBorders>
            <w:vAlign w:val="center"/>
            <w:hideMark/>
          </w:tcPr>
          <w:p w14:paraId="5AD69F2F" w14:textId="77777777" w:rsidR="002E0662" w:rsidRDefault="002E0662">
            <w:pPr>
              <w:pStyle w:val="Title"/>
              <w:spacing w:line="360" w:lineRule="auto"/>
              <w:ind w:left="-57" w:right="-122"/>
              <w:rPr>
                <w:rFonts w:ascii="Times New Roman" w:hAnsi="Times New Roman" w:cs="Americana BT"/>
                <w:i/>
                <w:sz w:val="18"/>
                <w:szCs w:val="18"/>
                <w:lang w:eastAsia="ru-RU"/>
              </w:rPr>
            </w:pPr>
            <w:r>
              <w:rPr>
                <w:rFonts w:ascii="Times New Roman" w:hAnsi="Times New Roman" w:cs="Americana BT"/>
                <w:i/>
                <w:sz w:val="18"/>
                <w:szCs w:val="18"/>
                <w:lang w:eastAsia="ru-RU"/>
              </w:rPr>
              <w:t>1:0.75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A5C402" w14:textId="77777777" w:rsidR="002E0662" w:rsidRDefault="002E0662">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28.6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05D7D2F"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12.8</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9842AD"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1.80</w:t>
            </w:r>
          </w:p>
        </w:tc>
        <w:tc>
          <w:tcPr>
            <w:tcW w:w="607" w:type="dxa"/>
            <w:tcBorders>
              <w:top w:val="single" w:sz="4" w:space="0" w:color="auto"/>
              <w:left w:val="single" w:sz="4" w:space="0" w:color="auto"/>
              <w:bottom w:val="single" w:sz="4" w:space="0" w:color="auto"/>
              <w:right w:val="single" w:sz="4" w:space="0" w:color="auto"/>
            </w:tcBorders>
            <w:vAlign w:val="center"/>
            <w:hideMark/>
          </w:tcPr>
          <w:p w14:paraId="4542AF14"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2A437001" w14:textId="77777777" w:rsidR="002E0662" w:rsidRDefault="002E0662">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2C92C1"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157</w:t>
            </w:r>
          </w:p>
        </w:tc>
        <w:tc>
          <w:tcPr>
            <w:tcW w:w="567" w:type="dxa"/>
            <w:tcBorders>
              <w:top w:val="single" w:sz="4" w:space="0" w:color="auto"/>
              <w:left w:val="single" w:sz="4" w:space="0" w:color="auto"/>
              <w:bottom w:val="single" w:sz="4" w:space="0" w:color="auto"/>
              <w:right w:val="single" w:sz="4" w:space="0" w:color="auto"/>
            </w:tcBorders>
            <w:vAlign w:val="center"/>
            <w:hideMark/>
          </w:tcPr>
          <w:p w14:paraId="6106DF63"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15.3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B4BABF"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1.72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6D0CCD"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9.31</w:t>
            </w:r>
          </w:p>
        </w:tc>
      </w:tr>
      <w:tr w:rsidR="002E0662" w14:paraId="1FD308A8" w14:textId="77777777" w:rsidTr="002E0662">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14:paraId="45C8DF1E" w14:textId="77777777" w:rsidR="002E0662" w:rsidRDefault="002E0662">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8</w:t>
            </w:r>
          </w:p>
        </w:tc>
        <w:tc>
          <w:tcPr>
            <w:tcW w:w="628" w:type="dxa"/>
            <w:tcBorders>
              <w:top w:val="single" w:sz="4" w:space="0" w:color="auto"/>
              <w:left w:val="single" w:sz="4" w:space="0" w:color="auto"/>
              <w:bottom w:val="single" w:sz="4" w:space="0" w:color="auto"/>
              <w:right w:val="single" w:sz="4" w:space="0" w:color="auto"/>
            </w:tcBorders>
            <w:vAlign w:val="center"/>
            <w:hideMark/>
          </w:tcPr>
          <w:p w14:paraId="46245824" w14:textId="77777777" w:rsidR="002E0662" w:rsidRDefault="002E0662">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6</w:t>
            </w:r>
            <w:r>
              <w:rPr>
                <w:rFonts w:ascii="Sylfaen" w:hAnsi="Sylfaen" w:cs="Americana BT"/>
                <w:i/>
                <w:sz w:val="18"/>
                <w:szCs w:val="18"/>
                <w:lang w:val="ka-GE" w:eastAsia="ru-RU"/>
              </w:rPr>
              <w:t>დ</w:t>
            </w:r>
            <w:r>
              <w:rPr>
                <w:rFonts w:ascii="AcadNusx" w:hAnsi="AcadNusx" w:cs="Americana BT"/>
                <w:i/>
                <w:sz w:val="18"/>
                <w:szCs w:val="18"/>
                <w:lang w:eastAsia="ru-RU"/>
              </w:rPr>
              <w:t>-IV</w:t>
            </w:r>
          </w:p>
        </w:tc>
        <w:tc>
          <w:tcPr>
            <w:tcW w:w="731" w:type="dxa"/>
            <w:tcBorders>
              <w:top w:val="single" w:sz="4" w:space="0" w:color="auto"/>
              <w:left w:val="single" w:sz="4" w:space="0" w:color="auto"/>
              <w:bottom w:val="single" w:sz="4" w:space="0" w:color="auto"/>
              <w:right w:val="single" w:sz="4" w:space="0" w:color="auto"/>
            </w:tcBorders>
            <w:vAlign w:val="center"/>
            <w:hideMark/>
          </w:tcPr>
          <w:p w14:paraId="7B563989" w14:textId="77777777" w:rsidR="002E0662" w:rsidRDefault="002E0662">
            <w:pPr>
              <w:pStyle w:val="Title"/>
              <w:spacing w:line="360" w:lineRule="auto"/>
              <w:ind w:left="-77" w:right="-34"/>
              <w:rPr>
                <w:rFonts w:ascii="Sylfaen" w:hAnsi="Sylfaen" w:cs="Americana BT"/>
                <w:i/>
                <w:sz w:val="18"/>
                <w:szCs w:val="18"/>
                <w:lang w:val="ka-GE" w:eastAsia="ru-RU"/>
              </w:rPr>
            </w:pPr>
            <w:r>
              <w:rPr>
                <w:rFonts w:ascii="AcadNusx" w:hAnsi="AcadNusx" w:cs="Americana BT"/>
                <w:i/>
                <w:sz w:val="18"/>
                <w:szCs w:val="18"/>
                <w:lang w:eastAsia="ru-RU"/>
              </w:rPr>
              <w:t>6</w:t>
            </w:r>
            <w:r>
              <w:rPr>
                <w:rFonts w:ascii="Sylfaen" w:hAnsi="Sylfaen" w:cs="Americana BT"/>
                <w:i/>
                <w:sz w:val="18"/>
                <w:szCs w:val="18"/>
                <w:lang w:val="ka-GE" w:eastAsia="ru-RU"/>
              </w:rPr>
              <w:t>დ</w:t>
            </w:r>
            <w:r>
              <w:rPr>
                <w:rFonts w:ascii="AcadNusx" w:hAnsi="AcadNusx" w:cs="Americana BT"/>
                <w:i/>
                <w:sz w:val="18"/>
                <w:szCs w:val="18"/>
                <w:lang w:eastAsia="ru-RU"/>
              </w:rPr>
              <w:t>-IV</w:t>
            </w:r>
          </w:p>
        </w:tc>
        <w:tc>
          <w:tcPr>
            <w:tcW w:w="568" w:type="dxa"/>
            <w:tcBorders>
              <w:top w:val="single" w:sz="4" w:space="0" w:color="auto"/>
              <w:left w:val="single" w:sz="4" w:space="0" w:color="auto"/>
              <w:bottom w:val="single" w:sz="4" w:space="0" w:color="auto"/>
              <w:right w:val="single" w:sz="4" w:space="0" w:color="auto"/>
            </w:tcBorders>
            <w:vAlign w:val="center"/>
            <w:hideMark/>
          </w:tcPr>
          <w:p w14:paraId="35EA4284" w14:textId="77777777" w:rsidR="002E0662" w:rsidRDefault="002E0662">
            <w:pPr>
              <w:pStyle w:val="Title"/>
              <w:spacing w:line="360" w:lineRule="auto"/>
              <w:rPr>
                <w:rFonts w:ascii="AcadNusx" w:hAnsi="AcadNusx" w:cs="Americana BT"/>
                <w:i/>
                <w:sz w:val="18"/>
                <w:szCs w:val="18"/>
                <w:lang w:val="en-US" w:eastAsia="ru-RU"/>
              </w:rPr>
            </w:pPr>
            <w:r>
              <w:rPr>
                <w:rFonts w:ascii="AcadNusx" w:hAnsi="AcadNusx" w:cs="Americana BT"/>
                <w:i/>
                <w:sz w:val="18"/>
                <w:szCs w:val="18"/>
                <w:lang w:eastAsia="ru-RU"/>
              </w:rPr>
              <w:t>II</w:t>
            </w:r>
          </w:p>
        </w:tc>
        <w:tc>
          <w:tcPr>
            <w:tcW w:w="829" w:type="dxa"/>
            <w:tcBorders>
              <w:top w:val="single" w:sz="4" w:space="0" w:color="auto"/>
              <w:left w:val="single" w:sz="4" w:space="0" w:color="auto"/>
              <w:bottom w:val="single" w:sz="4" w:space="0" w:color="auto"/>
              <w:right w:val="single" w:sz="4" w:space="0" w:color="auto"/>
            </w:tcBorders>
            <w:vAlign w:val="center"/>
            <w:hideMark/>
          </w:tcPr>
          <w:p w14:paraId="7706A4A1" w14:textId="77777777" w:rsidR="002E0662" w:rsidRDefault="002E0662">
            <w:pPr>
              <w:pStyle w:val="Title"/>
              <w:spacing w:line="360" w:lineRule="auto"/>
              <w:ind w:left="-167" w:right="-170"/>
              <w:rPr>
                <w:rFonts w:ascii="Times New Roman" w:hAnsi="Times New Roman" w:cs="Americana BT"/>
                <w:i/>
                <w:sz w:val="18"/>
                <w:szCs w:val="18"/>
                <w:lang w:eastAsia="ru-RU"/>
              </w:rPr>
            </w:pPr>
            <w:r>
              <w:rPr>
                <w:rFonts w:ascii="Times New Roman" w:hAnsi="Times New Roman" w:cs="Americana BT"/>
                <w:i/>
                <w:sz w:val="18"/>
                <w:szCs w:val="18"/>
                <w:lang w:eastAsia="ru-RU"/>
              </w:rPr>
              <w:t>1:0</w:t>
            </w:r>
          </w:p>
        </w:tc>
        <w:tc>
          <w:tcPr>
            <w:tcW w:w="611" w:type="dxa"/>
            <w:tcBorders>
              <w:top w:val="single" w:sz="4" w:space="0" w:color="auto"/>
              <w:left w:val="single" w:sz="4" w:space="0" w:color="auto"/>
              <w:bottom w:val="single" w:sz="4" w:space="0" w:color="auto"/>
              <w:right w:val="single" w:sz="4" w:space="0" w:color="auto"/>
            </w:tcBorders>
            <w:vAlign w:val="center"/>
            <w:hideMark/>
          </w:tcPr>
          <w:p w14:paraId="54E6BD28" w14:textId="77777777" w:rsidR="002E0662" w:rsidRDefault="002E0662">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1:0.25</w:t>
            </w:r>
          </w:p>
        </w:tc>
        <w:tc>
          <w:tcPr>
            <w:tcW w:w="788" w:type="dxa"/>
            <w:tcBorders>
              <w:top w:val="single" w:sz="4" w:space="0" w:color="auto"/>
              <w:left w:val="single" w:sz="4" w:space="0" w:color="auto"/>
              <w:bottom w:val="single" w:sz="4" w:space="0" w:color="auto"/>
              <w:right w:val="single" w:sz="4" w:space="0" w:color="auto"/>
            </w:tcBorders>
            <w:vAlign w:val="center"/>
            <w:hideMark/>
          </w:tcPr>
          <w:p w14:paraId="32F38D5C" w14:textId="77777777" w:rsidR="002E0662" w:rsidRDefault="002E0662">
            <w:pPr>
              <w:pStyle w:val="Title"/>
              <w:spacing w:line="360" w:lineRule="auto"/>
              <w:ind w:left="-57" w:right="-122"/>
              <w:rPr>
                <w:rFonts w:ascii="Times New Roman" w:hAnsi="Times New Roman" w:cs="Americana BT"/>
                <w:i/>
                <w:sz w:val="18"/>
                <w:szCs w:val="18"/>
                <w:lang w:eastAsia="ru-RU"/>
              </w:rPr>
            </w:pPr>
            <w:r>
              <w:rPr>
                <w:rFonts w:ascii="Times New Roman" w:hAnsi="Times New Roman" w:cs="Americana BT"/>
                <w:i/>
                <w:sz w:val="18"/>
                <w:szCs w:val="18"/>
                <w:lang w:eastAsia="ru-RU"/>
              </w:rPr>
              <w:t>1:0.50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2D67E" w14:textId="77777777" w:rsidR="002E0662" w:rsidRDefault="002E0662">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17.5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6B71F8"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19.0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7001AE6"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1.95</w:t>
            </w:r>
          </w:p>
        </w:tc>
        <w:tc>
          <w:tcPr>
            <w:tcW w:w="607" w:type="dxa"/>
            <w:tcBorders>
              <w:top w:val="single" w:sz="4" w:space="0" w:color="auto"/>
              <w:left w:val="single" w:sz="4" w:space="0" w:color="auto"/>
              <w:bottom w:val="single" w:sz="4" w:space="0" w:color="auto"/>
              <w:right w:val="single" w:sz="4" w:space="0" w:color="auto"/>
            </w:tcBorders>
            <w:vAlign w:val="center"/>
            <w:hideMark/>
          </w:tcPr>
          <w:p w14:paraId="1A14C14C"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500</w:t>
            </w:r>
          </w:p>
        </w:tc>
        <w:tc>
          <w:tcPr>
            <w:tcW w:w="708" w:type="dxa"/>
            <w:tcBorders>
              <w:top w:val="single" w:sz="4" w:space="0" w:color="auto"/>
              <w:left w:val="single" w:sz="4" w:space="0" w:color="auto"/>
              <w:bottom w:val="single" w:sz="4" w:space="0" w:color="auto"/>
              <w:right w:val="single" w:sz="4" w:space="0" w:color="auto"/>
            </w:tcBorders>
            <w:vAlign w:val="center"/>
            <w:hideMark/>
          </w:tcPr>
          <w:p w14:paraId="29484EFC" w14:textId="77777777" w:rsidR="002E0662" w:rsidRDefault="002E0662">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455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0AF33C"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468</w:t>
            </w:r>
          </w:p>
        </w:tc>
        <w:tc>
          <w:tcPr>
            <w:tcW w:w="567" w:type="dxa"/>
            <w:tcBorders>
              <w:top w:val="single" w:sz="4" w:space="0" w:color="auto"/>
              <w:left w:val="single" w:sz="4" w:space="0" w:color="auto"/>
              <w:bottom w:val="single" w:sz="4" w:space="0" w:color="auto"/>
              <w:right w:val="single" w:sz="4" w:space="0" w:color="auto"/>
            </w:tcBorders>
            <w:vAlign w:val="center"/>
            <w:hideMark/>
          </w:tcPr>
          <w:p w14:paraId="7D222EE4"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20.8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236DE8D3"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1.64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A89B434"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6.91</w:t>
            </w:r>
          </w:p>
        </w:tc>
      </w:tr>
      <w:tr w:rsidR="002E0662" w14:paraId="299EA044" w14:textId="77777777" w:rsidTr="002E0662">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14:paraId="7DFFDFBB" w14:textId="77777777" w:rsidR="002E0662" w:rsidRDefault="002E0662">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9</w:t>
            </w:r>
          </w:p>
        </w:tc>
        <w:tc>
          <w:tcPr>
            <w:tcW w:w="628" w:type="dxa"/>
            <w:tcBorders>
              <w:top w:val="single" w:sz="4" w:space="0" w:color="auto"/>
              <w:left w:val="single" w:sz="4" w:space="0" w:color="auto"/>
              <w:bottom w:val="single" w:sz="4" w:space="0" w:color="auto"/>
              <w:right w:val="single" w:sz="4" w:space="0" w:color="auto"/>
            </w:tcBorders>
            <w:vAlign w:val="center"/>
            <w:hideMark/>
          </w:tcPr>
          <w:p w14:paraId="5C370CCE" w14:textId="77777777" w:rsidR="002E0662" w:rsidRDefault="002E0662">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34</w:t>
            </w:r>
            <w:r>
              <w:rPr>
                <w:rFonts w:ascii="Sylfaen" w:hAnsi="Sylfaen" w:cs="Americana BT"/>
                <w:i/>
                <w:sz w:val="18"/>
                <w:szCs w:val="18"/>
                <w:lang w:val="ka-GE" w:eastAsia="ru-RU"/>
              </w:rPr>
              <w:t>ვ</w:t>
            </w:r>
            <w:r>
              <w:rPr>
                <w:rFonts w:ascii="AcadNusx" w:hAnsi="AcadNusx" w:cs="Americana BT"/>
                <w:i/>
                <w:sz w:val="18"/>
                <w:szCs w:val="18"/>
                <w:lang w:eastAsia="ru-RU"/>
              </w:rPr>
              <w:t>-I</w:t>
            </w:r>
          </w:p>
        </w:tc>
        <w:tc>
          <w:tcPr>
            <w:tcW w:w="731" w:type="dxa"/>
            <w:tcBorders>
              <w:top w:val="single" w:sz="4" w:space="0" w:color="auto"/>
              <w:left w:val="single" w:sz="4" w:space="0" w:color="auto"/>
              <w:bottom w:val="single" w:sz="4" w:space="0" w:color="auto"/>
              <w:right w:val="single" w:sz="4" w:space="0" w:color="auto"/>
            </w:tcBorders>
            <w:vAlign w:val="center"/>
            <w:hideMark/>
          </w:tcPr>
          <w:p w14:paraId="46F32F0D" w14:textId="77777777" w:rsidR="002E0662" w:rsidRDefault="002E0662">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34</w:t>
            </w:r>
            <w:r>
              <w:rPr>
                <w:rFonts w:ascii="Sylfaen" w:hAnsi="Sylfaen" w:cs="Americana BT"/>
                <w:i/>
                <w:sz w:val="18"/>
                <w:szCs w:val="18"/>
                <w:lang w:val="ka-GE" w:eastAsia="ru-RU"/>
              </w:rPr>
              <w:t>ვ</w:t>
            </w:r>
            <w:r>
              <w:rPr>
                <w:rFonts w:ascii="AcadNusx" w:hAnsi="AcadNusx" w:cs="Americana BT"/>
                <w:i/>
                <w:sz w:val="18"/>
                <w:szCs w:val="18"/>
                <w:lang w:eastAsia="ru-RU"/>
              </w:rPr>
              <w:t>-II</w:t>
            </w:r>
          </w:p>
        </w:tc>
        <w:tc>
          <w:tcPr>
            <w:tcW w:w="568" w:type="dxa"/>
            <w:tcBorders>
              <w:top w:val="single" w:sz="4" w:space="0" w:color="auto"/>
              <w:left w:val="single" w:sz="4" w:space="0" w:color="auto"/>
              <w:bottom w:val="single" w:sz="4" w:space="0" w:color="auto"/>
              <w:right w:val="single" w:sz="4" w:space="0" w:color="auto"/>
            </w:tcBorders>
            <w:vAlign w:val="center"/>
            <w:hideMark/>
          </w:tcPr>
          <w:p w14:paraId="7A60D4FE" w14:textId="77777777" w:rsidR="002E0662" w:rsidRDefault="002E0662">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II</w:t>
            </w:r>
          </w:p>
        </w:tc>
        <w:tc>
          <w:tcPr>
            <w:tcW w:w="829" w:type="dxa"/>
            <w:tcBorders>
              <w:top w:val="single" w:sz="4" w:space="0" w:color="auto"/>
              <w:left w:val="single" w:sz="4" w:space="0" w:color="auto"/>
              <w:bottom w:val="single" w:sz="4" w:space="0" w:color="auto"/>
              <w:right w:val="single" w:sz="4" w:space="0" w:color="auto"/>
            </w:tcBorders>
            <w:vAlign w:val="center"/>
            <w:hideMark/>
          </w:tcPr>
          <w:p w14:paraId="6FD81B37" w14:textId="77777777" w:rsidR="002E0662" w:rsidRDefault="002E0662">
            <w:pPr>
              <w:pStyle w:val="Title"/>
              <w:spacing w:line="360" w:lineRule="auto"/>
              <w:ind w:left="-167" w:right="-170"/>
              <w:rPr>
                <w:rFonts w:ascii="Times New Roman" w:hAnsi="Times New Roman" w:cs="Americana BT"/>
                <w:i/>
                <w:sz w:val="18"/>
                <w:szCs w:val="18"/>
                <w:lang w:eastAsia="ru-RU"/>
              </w:rPr>
            </w:pPr>
            <w:r>
              <w:rPr>
                <w:rFonts w:ascii="Times New Roman" w:hAnsi="Times New Roman" w:cs="Americana BT"/>
                <w:i/>
                <w:sz w:val="18"/>
                <w:szCs w:val="18"/>
                <w:lang w:eastAsia="ru-RU"/>
              </w:rPr>
              <w:t>1:0.25</w:t>
            </w:r>
          </w:p>
        </w:tc>
        <w:tc>
          <w:tcPr>
            <w:tcW w:w="611" w:type="dxa"/>
            <w:tcBorders>
              <w:top w:val="single" w:sz="4" w:space="0" w:color="auto"/>
              <w:left w:val="single" w:sz="4" w:space="0" w:color="auto"/>
              <w:bottom w:val="single" w:sz="4" w:space="0" w:color="auto"/>
              <w:right w:val="single" w:sz="4" w:space="0" w:color="auto"/>
            </w:tcBorders>
            <w:vAlign w:val="center"/>
            <w:hideMark/>
          </w:tcPr>
          <w:p w14:paraId="5099126D" w14:textId="77777777" w:rsidR="002E0662" w:rsidRDefault="002E0662">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1:0.67</w:t>
            </w:r>
          </w:p>
        </w:tc>
        <w:tc>
          <w:tcPr>
            <w:tcW w:w="788" w:type="dxa"/>
            <w:tcBorders>
              <w:top w:val="single" w:sz="4" w:space="0" w:color="auto"/>
              <w:left w:val="single" w:sz="4" w:space="0" w:color="auto"/>
              <w:bottom w:val="single" w:sz="4" w:space="0" w:color="auto"/>
              <w:right w:val="single" w:sz="4" w:space="0" w:color="auto"/>
            </w:tcBorders>
            <w:vAlign w:val="center"/>
            <w:hideMark/>
          </w:tcPr>
          <w:p w14:paraId="1B64CCC5" w14:textId="77777777" w:rsidR="002E0662" w:rsidRDefault="002E0662">
            <w:pPr>
              <w:pStyle w:val="Title"/>
              <w:spacing w:line="360" w:lineRule="auto"/>
              <w:ind w:left="-57" w:right="-122"/>
              <w:rPr>
                <w:rFonts w:ascii="Times New Roman" w:hAnsi="Times New Roman" w:cs="Americana BT"/>
                <w:i/>
                <w:sz w:val="18"/>
                <w:szCs w:val="18"/>
                <w:lang w:eastAsia="ru-RU"/>
              </w:rPr>
            </w:pPr>
            <w:r>
              <w:rPr>
                <w:rFonts w:ascii="Times New Roman" w:hAnsi="Times New Roman" w:cs="Americana BT"/>
                <w:i/>
                <w:sz w:val="18"/>
                <w:szCs w:val="18"/>
                <w:lang w:eastAsia="ru-RU"/>
              </w:rPr>
              <w:t>1:0.85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5106DFF" w14:textId="77777777" w:rsidR="002E0662" w:rsidRDefault="002E0662">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26.0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2588D9A"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6.2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3D2F19"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1.85</w:t>
            </w:r>
          </w:p>
        </w:tc>
        <w:tc>
          <w:tcPr>
            <w:tcW w:w="607" w:type="dxa"/>
            <w:tcBorders>
              <w:top w:val="single" w:sz="4" w:space="0" w:color="auto"/>
              <w:left w:val="single" w:sz="4" w:space="0" w:color="auto"/>
              <w:bottom w:val="single" w:sz="4" w:space="0" w:color="auto"/>
              <w:right w:val="single" w:sz="4" w:space="0" w:color="auto"/>
            </w:tcBorders>
            <w:vAlign w:val="center"/>
            <w:hideMark/>
          </w:tcPr>
          <w:p w14:paraId="1844D057"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22F94FA2" w14:textId="77777777" w:rsidR="002E0662" w:rsidRDefault="002E0662">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170ABE7"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230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7FA3A4"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B5CBE8"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5C4A64"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r>
      <w:tr w:rsidR="002E0662" w14:paraId="72EAA76C" w14:textId="77777777" w:rsidTr="002E0662">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14:paraId="4577248D" w14:textId="77777777" w:rsidR="002E0662" w:rsidRDefault="002E0662">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10</w:t>
            </w:r>
          </w:p>
        </w:tc>
        <w:tc>
          <w:tcPr>
            <w:tcW w:w="628" w:type="dxa"/>
            <w:tcBorders>
              <w:top w:val="single" w:sz="4" w:space="0" w:color="auto"/>
              <w:left w:val="single" w:sz="4" w:space="0" w:color="auto"/>
              <w:bottom w:val="single" w:sz="4" w:space="0" w:color="auto"/>
              <w:right w:val="single" w:sz="4" w:space="0" w:color="auto"/>
            </w:tcBorders>
            <w:vAlign w:val="center"/>
            <w:hideMark/>
          </w:tcPr>
          <w:p w14:paraId="06C20985" w14:textId="77777777" w:rsidR="002E0662" w:rsidRDefault="002E0662">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6</w:t>
            </w:r>
            <w:r>
              <w:rPr>
                <w:rFonts w:ascii="Sylfaen" w:hAnsi="Sylfaen" w:cs="Americana BT"/>
                <w:i/>
                <w:sz w:val="18"/>
                <w:szCs w:val="18"/>
                <w:lang w:val="ka-GE" w:eastAsia="ru-RU"/>
              </w:rPr>
              <w:t>ბ</w:t>
            </w:r>
            <w:r>
              <w:rPr>
                <w:rFonts w:ascii="AcadNusx" w:hAnsi="AcadNusx" w:cs="Americana BT"/>
                <w:i/>
                <w:sz w:val="18"/>
                <w:szCs w:val="18"/>
                <w:lang w:eastAsia="ru-RU"/>
              </w:rPr>
              <w:t>-II</w:t>
            </w:r>
          </w:p>
        </w:tc>
        <w:tc>
          <w:tcPr>
            <w:tcW w:w="731" w:type="dxa"/>
            <w:tcBorders>
              <w:top w:val="single" w:sz="4" w:space="0" w:color="auto"/>
              <w:left w:val="single" w:sz="4" w:space="0" w:color="auto"/>
              <w:bottom w:val="single" w:sz="4" w:space="0" w:color="auto"/>
              <w:right w:val="single" w:sz="4" w:space="0" w:color="auto"/>
            </w:tcBorders>
            <w:vAlign w:val="center"/>
            <w:hideMark/>
          </w:tcPr>
          <w:p w14:paraId="5CF3F40E" w14:textId="77777777" w:rsidR="002E0662" w:rsidRDefault="002E0662">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6</w:t>
            </w:r>
            <w:r>
              <w:rPr>
                <w:rFonts w:ascii="Sylfaen" w:hAnsi="Sylfaen" w:cs="Americana BT"/>
                <w:i/>
                <w:sz w:val="18"/>
                <w:szCs w:val="18"/>
                <w:lang w:val="ka-GE" w:eastAsia="ru-RU"/>
              </w:rPr>
              <w:t>ბ</w:t>
            </w:r>
            <w:r>
              <w:rPr>
                <w:rFonts w:ascii="AcadNusx" w:hAnsi="AcadNusx" w:cs="Americana BT"/>
                <w:i/>
                <w:sz w:val="18"/>
                <w:szCs w:val="18"/>
                <w:lang w:eastAsia="ru-RU"/>
              </w:rPr>
              <w:t>-III</w:t>
            </w:r>
          </w:p>
        </w:tc>
        <w:tc>
          <w:tcPr>
            <w:tcW w:w="568" w:type="dxa"/>
            <w:tcBorders>
              <w:top w:val="single" w:sz="4" w:space="0" w:color="auto"/>
              <w:left w:val="single" w:sz="4" w:space="0" w:color="auto"/>
              <w:bottom w:val="single" w:sz="4" w:space="0" w:color="auto"/>
              <w:right w:val="single" w:sz="4" w:space="0" w:color="auto"/>
            </w:tcBorders>
            <w:vAlign w:val="center"/>
            <w:hideMark/>
          </w:tcPr>
          <w:p w14:paraId="15E69488" w14:textId="77777777" w:rsidR="002E0662" w:rsidRDefault="002E0662">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II</w:t>
            </w:r>
          </w:p>
        </w:tc>
        <w:tc>
          <w:tcPr>
            <w:tcW w:w="829" w:type="dxa"/>
            <w:tcBorders>
              <w:top w:val="single" w:sz="4" w:space="0" w:color="auto"/>
              <w:left w:val="single" w:sz="4" w:space="0" w:color="auto"/>
              <w:bottom w:val="single" w:sz="4" w:space="0" w:color="auto"/>
              <w:right w:val="single" w:sz="4" w:space="0" w:color="auto"/>
            </w:tcBorders>
            <w:vAlign w:val="center"/>
            <w:hideMark/>
          </w:tcPr>
          <w:p w14:paraId="49DCD7E8" w14:textId="77777777" w:rsidR="002E0662" w:rsidRDefault="002E0662">
            <w:pPr>
              <w:jc w:val="center"/>
              <w:rPr>
                <w:rFonts w:ascii="Times New Roman" w:hAnsi="Times New Roman"/>
                <w:i/>
                <w:sz w:val="18"/>
                <w:szCs w:val="18"/>
                <w:lang w:val="en-US" w:eastAsia="ru-RU"/>
              </w:rPr>
            </w:pPr>
            <w:r>
              <w:rPr>
                <w:i/>
                <w:sz w:val="18"/>
                <w:szCs w:val="18"/>
              </w:rPr>
              <w:t>1:0.</w:t>
            </w:r>
            <w:r>
              <w:rPr>
                <w:i/>
                <w:sz w:val="18"/>
                <w:szCs w:val="18"/>
                <w:lang w:val="en-US"/>
              </w:rPr>
              <w:t>50</w:t>
            </w:r>
          </w:p>
        </w:tc>
        <w:tc>
          <w:tcPr>
            <w:tcW w:w="611" w:type="dxa"/>
            <w:tcBorders>
              <w:top w:val="single" w:sz="4" w:space="0" w:color="auto"/>
              <w:left w:val="single" w:sz="4" w:space="0" w:color="auto"/>
              <w:bottom w:val="single" w:sz="4" w:space="0" w:color="auto"/>
              <w:right w:val="single" w:sz="4" w:space="0" w:color="auto"/>
            </w:tcBorders>
            <w:vAlign w:val="center"/>
            <w:hideMark/>
          </w:tcPr>
          <w:p w14:paraId="3853C975" w14:textId="77777777" w:rsidR="002E0662" w:rsidRDefault="002E0662">
            <w:pPr>
              <w:jc w:val="center"/>
              <w:rPr>
                <w:i/>
                <w:sz w:val="18"/>
                <w:szCs w:val="18"/>
                <w:lang w:val="ru-RU"/>
              </w:rPr>
            </w:pPr>
            <w:r>
              <w:rPr>
                <w:i/>
                <w:sz w:val="18"/>
                <w:szCs w:val="18"/>
              </w:rPr>
              <w:t>1:1</w:t>
            </w:r>
          </w:p>
        </w:tc>
        <w:tc>
          <w:tcPr>
            <w:tcW w:w="788" w:type="dxa"/>
            <w:tcBorders>
              <w:top w:val="single" w:sz="4" w:space="0" w:color="auto"/>
              <w:left w:val="single" w:sz="4" w:space="0" w:color="auto"/>
              <w:bottom w:val="single" w:sz="4" w:space="0" w:color="auto"/>
              <w:right w:val="single" w:sz="4" w:space="0" w:color="auto"/>
            </w:tcBorders>
            <w:vAlign w:val="center"/>
            <w:hideMark/>
          </w:tcPr>
          <w:p w14:paraId="01644FBF" w14:textId="77777777" w:rsidR="002E0662" w:rsidRDefault="002E0662">
            <w:pPr>
              <w:jc w:val="center"/>
              <w:rPr>
                <w:i/>
                <w:sz w:val="18"/>
                <w:szCs w:val="18"/>
              </w:rPr>
            </w:pPr>
            <w:r>
              <w:rPr>
                <w:i/>
                <w:sz w:val="18"/>
                <w:szCs w:val="18"/>
              </w:rPr>
              <w:t>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053F562" w14:textId="77777777" w:rsidR="002E0662" w:rsidRDefault="002E0662">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F95D69"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C815BF3"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1.95</w:t>
            </w:r>
          </w:p>
        </w:tc>
        <w:tc>
          <w:tcPr>
            <w:tcW w:w="607" w:type="dxa"/>
            <w:tcBorders>
              <w:top w:val="single" w:sz="4" w:space="0" w:color="auto"/>
              <w:left w:val="single" w:sz="4" w:space="0" w:color="auto"/>
              <w:bottom w:val="single" w:sz="4" w:space="0" w:color="auto"/>
              <w:right w:val="single" w:sz="4" w:space="0" w:color="auto"/>
            </w:tcBorders>
            <w:vAlign w:val="center"/>
            <w:hideMark/>
          </w:tcPr>
          <w:p w14:paraId="59B13C56" w14:textId="77777777" w:rsidR="002E0662" w:rsidRDefault="002E0662">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w:t>
            </w:r>
          </w:p>
        </w:tc>
        <w:tc>
          <w:tcPr>
            <w:tcW w:w="708" w:type="dxa"/>
            <w:tcBorders>
              <w:top w:val="single" w:sz="4" w:space="0" w:color="auto"/>
              <w:left w:val="single" w:sz="4" w:space="0" w:color="auto"/>
              <w:bottom w:val="single" w:sz="4" w:space="0" w:color="auto"/>
              <w:right w:val="single" w:sz="4" w:space="0" w:color="auto"/>
            </w:tcBorders>
            <w:vAlign w:val="center"/>
            <w:hideMark/>
          </w:tcPr>
          <w:p w14:paraId="7F649EE2" w14:textId="77777777" w:rsidR="002E0662" w:rsidRDefault="002E0662">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3036AB"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450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AE0D9F"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7.9</w:t>
            </w:r>
          </w:p>
        </w:tc>
        <w:tc>
          <w:tcPr>
            <w:tcW w:w="567" w:type="dxa"/>
            <w:tcBorders>
              <w:top w:val="single" w:sz="4" w:space="0" w:color="auto"/>
              <w:left w:val="single" w:sz="4" w:space="0" w:color="auto"/>
              <w:bottom w:val="single" w:sz="4" w:space="0" w:color="auto"/>
              <w:right w:val="single" w:sz="4" w:space="0" w:color="auto"/>
            </w:tcBorders>
            <w:vAlign w:val="center"/>
            <w:hideMark/>
          </w:tcPr>
          <w:p w14:paraId="164D5BE4"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2.15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0CAE61D" w14:textId="77777777" w:rsidR="002E0662" w:rsidRDefault="002E0662">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35.39</w:t>
            </w:r>
          </w:p>
        </w:tc>
      </w:tr>
    </w:tbl>
    <w:p w14:paraId="229C3C39" w14:textId="54B93347" w:rsidR="007F1830" w:rsidRPr="002E0662" w:rsidRDefault="002E0662" w:rsidP="002E0662">
      <w:pPr>
        <w:tabs>
          <w:tab w:val="left" w:pos="2520"/>
        </w:tabs>
        <w:spacing w:before="120" w:after="120"/>
        <w:rPr>
          <w:rFonts w:ascii="Sylfaen" w:hAnsi="Sylfaen"/>
          <w:sz w:val="20"/>
          <w:lang w:val="ka-GE"/>
        </w:rPr>
      </w:pPr>
      <w:r w:rsidRPr="002E0662">
        <w:rPr>
          <w:rFonts w:ascii="AcadNusx" w:hAnsi="AcadNusx"/>
          <w:sz w:val="20"/>
          <w:lang w:val="it-IT"/>
        </w:rPr>
        <w:t>SeniSvna: * monacemebi mocemulia SemavseblisaTvis</w:t>
      </w:r>
    </w:p>
    <w:p w14:paraId="2A74ED4D" w14:textId="77777777" w:rsidR="000465B2" w:rsidRPr="004D56CC" w:rsidRDefault="000465B2" w:rsidP="00707CDE">
      <w:pPr>
        <w:pStyle w:val="Heading2"/>
        <w:rPr>
          <w:lang w:val="ka-GE"/>
        </w:rPr>
      </w:pPr>
      <w:bookmarkStart w:id="197" w:name="_Toc496611081"/>
      <w:bookmarkStart w:id="198" w:name="_Toc1581549"/>
      <w:r w:rsidRPr="004D56CC">
        <w:rPr>
          <w:lang w:val="ka-GE"/>
        </w:rPr>
        <w:lastRenderedPageBreak/>
        <w:t>6.</w:t>
      </w:r>
      <w:r w:rsidR="00EC44B2">
        <w:rPr>
          <w:rFonts w:ascii="Sylfaen" w:hAnsi="Sylfaen"/>
          <w:lang w:val="ka-GE"/>
        </w:rPr>
        <w:t>3</w:t>
      </w:r>
      <w:r w:rsidRPr="004D56CC">
        <w:rPr>
          <w:lang w:val="ka-GE"/>
        </w:rPr>
        <w:t xml:space="preserve"> </w:t>
      </w:r>
      <w:bookmarkEnd w:id="197"/>
      <w:r w:rsidR="00FF1D35" w:rsidRPr="004D56CC">
        <w:rPr>
          <w:rFonts w:ascii="Sylfaen" w:hAnsi="Sylfaen" w:cs="Sylfaen"/>
          <w:lang w:val="ka-GE"/>
        </w:rPr>
        <w:t>ჰიდროლოგია</w:t>
      </w:r>
      <w:bookmarkEnd w:id="198"/>
    </w:p>
    <w:p w14:paraId="39837A26" w14:textId="131113FB" w:rsidR="00287210" w:rsidRPr="00287210" w:rsidRDefault="006D3BB5" w:rsidP="0000351B">
      <w:pPr>
        <w:spacing w:before="120" w:after="120"/>
        <w:ind w:right="46"/>
        <w:rPr>
          <w:rFonts w:ascii="Sylfaen" w:hAnsi="Sylfaen" w:cs="Sylfaen"/>
          <w:szCs w:val="22"/>
          <w:lang w:val="ka-GE"/>
        </w:rPr>
      </w:pPr>
      <w:bookmarkStart w:id="199" w:name="_Toc464212169"/>
      <w:r>
        <w:rPr>
          <w:rFonts w:ascii="Sylfaen" w:hAnsi="Sylfaen"/>
          <w:lang w:val="ka-GE"/>
        </w:rPr>
        <w:t>გურჯაანის (ჩუმლაყი)</w:t>
      </w:r>
      <w:r>
        <w:rPr>
          <w:rFonts w:ascii="Sylfaen" w:hAnsi="Sylfaen"/>
          <w:lang w:val="en-US"/>
        </w:rPr>
        <w:t>-</w:t>
      </w:r>
      <w:r>
        <w:rPr>
          <w:rFonts w:ascii="Sylfaen" w:hAnsi="Sylfaen"/>
          <w:lang w:val="ka-GE"/>
        </w:rPr>
        <w:t xml:space="preserve">თელავის </w:t>
      </w:r>
      <w:r w:rsidR="00287210" w:rsidRPr="00287210">
        <w:rPr>
          <w:rFonts w:ascii="Sylfaen" w:hAnsi="Sylfaen" w:cs="Sylfaen"/>
          <w:szCs w:val="22"/>
          <w:lang w:val="ka-GE"/>
        </w:rPr>
        <w:t xml:space="preserve"> </w:t>
      </w:r>
      <w:r w:rsidR="00E12C77">
        <w:rPr>
          <w:rFonts w:ascii="Sylfaen" w:hAnsi="Sylfaen" w:cs="Sylfaen"/>
          <w:szCs w:val="22"/>
          <w:lang w:val="ka-GE"/>
        </w:rPr>
        <w:t xml:space="preserve">საპროექტო </w:t>
      </w:r>
      <w:r w:rsidR="00287210" w:rsidRPr="00287210">
        <w:rPr>
          <w:rFonts w:ascii="Sylfaen" w:hAnsi="Sylfaen" w:cs="Sylfaen"/>
          <w:szCs w:val="22"/>
          <w:lang w:val="ka-GE"/>
        </w:rPr>
        <w:t>გზა იკვეთება მდინარეების</w:t>
      </w:r>
      <w:r w:rsidR="00287210">
        <w:rPr>
          <w:rFonts w:ascii="Sylfaen" w:hAnsi="Sylfaen" w:cs="Sylfaen"/>
          <w:szCs w:val="22"/>
          <w:lang w:val="ka-GE"/>
        </w:rPr>
        <w:t xml:space="preserve"> </w:t>
      </w:r>
      <w:r w:rsidR="00287210" w:rsidRPr="00287210">
        <w:rPr>
          <w:rFonts w:ascii="Sylfaen" w:hAnsi="Sylfaen" w:cs="Sylfaen"/>
          <w:szCs w:val="22"/>
          <w:lang w:val="ka-GE"/>
        </w:rPr>
        <w:t>სახელით ცნობილი 10 შედარებით დიდი ხევით, 41 მცირე ხევით და ირიგაციული</w:t>
      </w:r>
      <w:r w:rsidR="00287210">
        <w:rPr>
          <w:rFonts w:ascii="Sylfaen" w:hAnsi="Sylfaen" w:cs="Sylfaen"/>
          <w:szCs w:val="22"/>
          <w:lang w:val="ka-GE"/>
        </w:rPr>
        <w:t xml:space="preserve"> </w:t>
      </w:r>
      <w:r w:rsidR="00287210" w:rsidRPr="00287210">
        <w:rPr>
          <w:rFonts w:ascii="Sylfaen" w:hAnsi="Sylfaen" w:cs="Sylfaen"/>
          <w:szCs w:val="22"/>
          <w:lang w:val="ka-GE"/>
        </w:rPr>
        <w:t>დანიშნულების ზემო ალაზნის მაგისტრალური არხის რამდენიმე გამანაწილებლით.</w:t>
      </w:r>
    </w:p>
    <w:p w14:paraId="3E8E19B4" w14:textId="0EBDAD3B" w:rsidR="00287210" w:rsidRPr="00287210" w:rsidRDefault="00287210" w:rsidP="0000351B">
      <w:pPr>
        <w:spacing w:before="120" w:after="120"/>
        <w:ind w:right="46"/>
        <w:rPr>
          <w:rFonts w:ascii="Sylfaen" w:hAnsi="Sylfaen" w:cs="Sylfaen"/>
          <w:szCs w:val="22"/>
          <w:lang w:val="ka-GE"/>
        </w:rPr>
      </w:pPr>
      <w:r>
        <w:rPr>
          <w:rFonts w:ascii="Sylfaen" w:hAnsi="Sylfaen" w:cs="Sylfaen"/>
          <w:szCs w:val="22"/>
          <w:lang w:val="ka-GE"/>
        </w:rPr>
        <w:t>სამშენებლო</w:t>
      </w:r>
      <w:r w:rsidRPr="00287210">
        <w:rPr>
          <w:rFonts w:ascii="Sylfaen" w:hAnsi="Sylfaen" w:cs="Sylfaen"/>
          <w:szCs w:val="22"/>
          <w:lang w:val="ka-GE"/>
        </w:rPr>
        <w:t xml:space="preserve"> გზის გადამკვეთი ხევები სათავეს იღებენ ცივ-გომბორის</w:t>
      </w:r>
      <w:r>
        <w:rPr>
          <w:rFonts w:ascii="Sylfaen" w:hAnsi="Sylfaen" w:cs="Sylfaen"/>
          <w:szCs w:val="22"/>
          <w:lang w:val="ka-GE"/>
        </w:rPr>
        <w:t xml:space="preserve"> </w:t>
      </w:r>
      <w:r w:rsidRPr="00287210">
        <w:rPr>
          <w:rFonts w:ascii="Sylfaen" w:hAnsi="Sylfaen" w:cs="Sylfaen"/>
          <w:szCs w:val="22"/>
          <w:lang w:val="ka-GE"/>
        </w:rPr>
        <w:t>ქედის აღმოსავლეთ ფერდობზე და ცალკეულ უხვნალექიან წლებში ერთვიან მდ.ალაზანს მარჯვენა მხრიდან. აღნიშნულ ხევებში წყლის შედარებით მუდმივი დინება</w:t>
      </w:r>
      <w:r>
        <w:rPr>
          <w:rFonts w:ascii="Sylfaen" w:hAnsi="Sylfaen" w:cs="Sylfaen"/>
          <w:szCs w:val="22"/>
          <w:lang w:val="ka-GE"/>
        </w:rPr>
        <w:t xml:space="preserve"> </w:t>
      </w:r>
      <w:r w:rsidRPr="00287210">
        <w:rPr>
          <w:rFonts w:ascii="Sylfaen" w:hAnsi="Sylfaen" w:cs="Sylfaen"/>
          <w:szCs w:val="22"/>
          <w:lang w:val="ka-GE"/>
        </w:rPr>
        <w:t>ფიქსირდება ცივ-გომბორის ქედის ფერდობებზე, ქვემოთ არსებულ დასახლებულ</w:t>
      </w:r>
      <w:r>
        <w:rPr>
          <w:rFonts w:ascii="Sylfaen" w:hAnsi="Sylfaen" w:cs="Sylfaen"/>
          <w:szCs w:val="22"/>
          <w:lang w:val="ka-GE"/>
        </w:rPr>
        <w:t xml:space="preserve"> </w:t>
      </w:r>
      <w:r w:rsidRPr="00287210">
        <w:rPr>
          <w:rFonts w:ascii="Sylfaen" w:hAnsi="Sylfaen" w:cs="Sylfaen"/>
          <w:szCs w:val="22"/>
          <w:lang w:val="ka-GE"/>
        </w:rPr>
        <w:t>პუნქტებთან და ალაზნის ველზე ხევების კალაპოტები მშრალია. ამ მონაკვეთებზე</w:t>
      </w:r>
      <w:r>
        <w:rPr>
          <w:rFonts w:ascii="Sylfaen" w:hAnsi="Sylfaen" w:cs="Sylfaen"/>
          <w:szCs w:val="22"/>
          <w:lang w:val="ka-GE"/>
        </w:rPr>
        <w:t xml:space="preserve"> </w:t>
      </w:r>
      <w:r w:rsidRPr="00287210">
        <w:rPr>
          <w:rFonts w:ascii="Sylfaen" w:hAnsi="Sylfaen" w:cs="Sylfaen"/>
          <w:szCs w:val="22"/>
          <w:lang w:val="ka-GE"/>
        </w:rPr>
        <w:t>ხევების კალაპოტებში წყლის ნაკადი აღინიშნება მხოლოდ თოვლის დნობის და</w:t>
      </w:r>
      <w:r>
        <w:rPr>
          <w:rFonts w:ascii="Sylfaen" w:hAnsi="Sylfaen" w:cs="Sylfaen"/>
          <w:szCs w:val="22"/>
          <w:lang w:val="ka-GE"/>
        </w:rPr>
        <w:t xml:space="preserve"> </w:t>
      </w:r>
      <w:r w:rsidRPr="00287210">
        <w:rPr>
          <w:rFonts w:ascii="Sylfaen" w:hAnsi="Sylfaen" w:cs="Sylfaen"/>
          <w:szCs w:val="22"/>
          <w:lang w:val="ka-GE"/>
        </w:rPr>
        <w:t>ინტენსიური წვიმების პერიოდში. ცალკეული ინტენსიური წვიმების დროს შედარებით</w:t>
      </w:r>
      <w:r>
        <w:rPr>
          <w:rFonts w:ascii="Sylfaen" w:hAnsi="Sylfaen" w:cs="Sylfaen"/>
          <w:szCs w:val="22"/>
          <w:lang w:val="ka-GE"/>
        </w:rPr>
        <w:t xml:space="preserve"> </w:t>
      </w:r>
      <w:r w:rsidRPr="00287210">
        <w:rPr>
          <w:rFonts w:ascii="Sylfaen" w:hAnsi="Sylfaen" w:cs="Sylfaen"/>
          <w:szCs w:val="22"/>
          <w:lang w:val="ka-GE"/>
        </w:rPr>
        <w:t>დიდ ხევებზე, მათი კალაპოტების მაღალი ქანობების პირობებში, ყალიბდება</w:t>
      </w:r>
      <w:r>
        <w:rPr>
          <w:rFonts w:ascii="Sylfaen" w:hAnsi="Sylfaen" w:cs="Sylfaen"/>
          <w:szCs w:val="22"/>
          <w:lang w:val="ka-GE"/>
        </w:rPr>
        <w:t xml:space="preserve"> </w:t>
      </w:r>
      <w:r w:rsidRPr="00287210">
        <w:rPr>
          <w:rFonts w:ascii="Sylfaen" w:hAnsi="Sylfaen" w:cs="Sylfaen"/>
          <w:szCs w:val="22"/>
          <w:lang w:val="ka-GE"/>
        </w:rPr>
        <w:t>ღვარცოფული ნაკადები, რომლებიც დიდ მატერიალურ ზარალს აყენებენ</w:t>
      </w:r>
      <w:r>
        <w:rPr>
          <w:rFonts w:ascii="Sylfaen" w:hAnsi="Sylfaen" w:cs="Sylfaen"/>
          <w:szCs w:val="22"/>
          <w:lang w:val="ka-GE"/>
        </w:rPr>
        <w:t xml:space="preserve"> </w:t>
      </w:r>
      <w:r w:rsidRPr="00287210">
        <w:rPr>
          <w:rFonts w:ascii="Sylfaen" w:hAnsi="Sylfaen" w:cs="Sylfaen"/>
          <w:szCs w:val="22"/>
          <w:lang w:val="ka-GE"/>
        </w:rPr>
        <w:t>დასახლებულ პუნქტებს და სასოფლო-სამეურნეო სავარგულებს. ცალკეული დიდი</w:t>
      </w:r>
      <w:r>
        <w:rPr>
          <w:rFonts w:ascii="Sylfaen" w:hAnsi="Sylfaen" w:cs="Sylfaen"/>
          <w:szCs w:val="22"/>
          <w:lang w:val="ka-GE"/>
        </w:rPr>
        <w:t xml:space="preserve"> </w:t>
      </w:r>
      <w:r w:rsidRPr="00287210">
        <w:rPr>
          <w:rFonts w:ascii="Sylfaen" w:hAnsi="Sylfaen" w:cs="Sylfaen"/>
          <w:szCs w:val="22"/>
          <w:lang w:val="ka-GE"/>
        </w:rPr>
        <w:t>მდინარეების/ხევების მოკლე ჰიდროგრაფიული დახასიათება მოცემულია ქვემოთ.</w:t>
      </w:r>
    </w:p>
    <w:p w14:paraId="1BFBEC71" w14:textId="74FEEADC" w:rsidR="00287210" w:rsidRPr="00287210" w:rsidRDefault="00287210" w:rsidP="0000351B">
      <w:pPr>
        <w:spacing w:before="120" w:after="120"/>
        <w:ind w:right="46"/>
        <w:rPr>
          <w:rFonts w:ascii="Sylfaen" w:hAnsi="Sylfaen" w:cs="Sylfaen"/>
          <w:szCs w:val="22"/>
          <w:lang w:val="ka-GE"/>
        </w:rPr>
      </w:pPr>
      <w:r w:rsidRPr="00287210">
        <w:rPr>
          <w:rFonts w:ascii="Sylfaen" w:hAnsi="Sylfaen" w:cs="Sylfaen"/>
          <w:szCs w:val="22"/>
          <w:lang w:val="ka-GE"/>
        </w:rPr>
        <w:t xml:space="preserve">მდინარე </w:t>
      </w:r>
      <w:r w:rsidRPr="00287210">
        <w:rPr>
          <w:rFonts w:ascii="Sylfaen" w:hAnsi="Sylfaen" w:cs="Sylfaen"/>
          <w:b/>
          <w:szCs w:val="22"/>
          <w:lang w:val="ka-GE"/>
        </w:rPr>
        <w:t>ჭერემისხევი</w:t>
      </w:r>
      <w:r w:rsidRPr="00287210">
        <w:rPr>
          <w:rFonts w:ascii="Sylfaen" w:hAnsi="Sylfaen" w:cs="Sylfaen"/>
          <w:szCs w:val="22"/>
          <w:lang w:val="ka-GE"/>
        </w:rPr>
        <w:t xml:space="preserve"> სათავეს იღებს ცივ-გომბორის ქედის სამხრეთაღმოსავლეთ</w:t>
      </w:r>
      <w:r>
        <w:rPr>
          <w:rFonts w:ascii="Sylfaen" w:hAnsi="Sylfaen" w:cs="Sylfaen"/>
          <w:szCs w:val="22"/>
          <w:lang w:val="ka-GE"/>
        </w:rPr>
        <w:t xml:space="preserve"> </w:t>
      </w:r>
      <w:r w:rsidRPr="00287210">
        <w:rPr>
          <w:rFonts w:ascii="Sylfaen" w:hAnsi="Sylfaen" w:cs="Sylfaen"/>
          <w:szCs w:val="22"/>
          <w:lang w:val="ka-GE"/>
        </w:rPr>
        <w:t>კალთებზე, მთა დასტეპეს (1522,8 მ) სამხრეთით 1 კმ-ში 1515 მეტრის</w:t>
      </w:r>
      <w:r>
        <w:rPr>
          <w:rFonts w:ascii="Sylfaen" w:hAnsi="Sylfaen" w:cs="Sylfaen"/>
          <w:szCs w:val="22"/>
          <w:lang w:val="ka-GE"/>
        </w:rPr>
        <w:t xml:space="preserve"> </w:t>
      </w:r>
      <w:r w:rsidRPr="00287210">
        <w:rPr>
          <w:rFonts w:ascii="Sylfaen" w:hAnsi="Sylfaen" w:cs="Sylfaen"/>
          <w:szCs w:val="22"/>
          <w:lang w:val="ka-GE"/>
        </w:rPr>
        <w:t>სიმაღლეზე და ერთვის მდ. ალაზანს მარჯვენა მხრიდან. მდინარის აუზის ზედა ზონა</w:t>
      </w:r>
      <w:r>
        <w:rPr>
          <w:rFonts w:ascii="Sylfaen" w:hAnsi="Sylfaen" w:cs="Sylfaen"/>
          <w:szCs w:val="22"/>
          <w:lang w:val="ka-GE"/>
        </w:rPr>
        <w:t xml:space="preserve"> </w:t>
      </w:r>
      <w:r w:rsidRPr="00287210">
        <w:rPr>
          <w:rFonts w:ascii="Sylfaen" w:hAnsi="Sylfaen" w:cs="Sylfaen"/>
          <w:szCs w:val="22"/>
          <w:lang w:val="ka-GE"/>
        </w:rPr>
        <w:t>მთიანია. სოფელ მუკუზანის ქვემოთ მთიანი ზონა იცვლება ალაზნის ველით. მთიანი</w:t>
      </w:r>
      <w:r>
        <w:rPr>
          <w:rFonts w:ascii="Sylfaen" w:hAnsi="Sylfaen" w:cs="Sylfaen"/>
          <w:szCs w:val="22"/>
          <w:lang w:val="ka-GE"/>
        </w:rPr>
        <w:t xml:space="preserve"> </w:t>
      </w:r>
      <w:r w:rsidRPr="00287210">
        <w:rPr>
          <w:rFonts w:ascii="Sylfaen" w:hAnsi="Sylfaen" w:cs="Sylfaen"/>
          <w:szCs w:val="22"/>
          <w:lang w:val="ka-GE"/>
        </w:rPr>
        <w:t>ზონის გელოგიურ აგებულებაში მონაწილეობას იღებენ ქვიშაქვები, მერგელები და</w:t>
      </w:r>
      <w:r>
        <w:rPr>
          <w:rFonts w:ascii="Sylfaen" w:hAnsi="Sylfaen" w:cs="Sylfaen"/>
          <w:szCs w:val="22"/>
          <w:lang w:val="ka-GE"/>
        </w:rPr>
        <w:t xml:space="preserve"> </w:t>
      </w:r>
      <w:r w:rsidRPr="00287210">
        <w:rPr>
          <w:rFonts w:ascii="Sylfaen" w:hAnsi="Sylfaen" w:cs="Sylfaen"/>
          <w:szCs w:val="22"/>
          <w:lang w:val="ka-GE"/>
        </w:rPr>
        <w:t>ძველი კონგლომერატების მძლავრი განფენები. ალაზნის ველის გეოლოგია</w:t>
      </w:r>
      <w:r>
        <w:rPr>
          <w:rFonts w:ascii="Sylfaen" w:hAnsi="Sylfaen" w:cs="Sylfaen"/>
          <w:szCs w:val="22"/>
          <w:lang w:val="ka-GE"/>
        </w:rPr>
        <w:t xml:space="preserve"> </w:t>
      </w:r>
      <w:r w:rsidRPr="00287210">
        <w:rPr>
          <w:rFonts w:ascii="Sylfaen" w:hAnsi="Sylfaen" w:cs="Sylfaen"/>
          <w:szCs w:val="22"/>
          <w:lang w:val="ka-GE"/>
        </w:rPr>
        <w:t>წარმოდგენილია შედარებით ახალი ალუვიური დანალექებით. აუზში გავრცელებულია</w:t>
      </w:r>
      <w:r>
        <w:rPr>
          <w:rFonts w:ascii="Sylfaen" w:hAnsi="Sylfaen" w:cs="Sylfaen"/>
          <w:szCs w:val="22"/>
          <w:lang w:val="ka-GE"/>
        </w:rPr>
        <w:t xml:space="preserve"> </w:t>
      </w:r>
      <w:r w:rsidRPr="00287210">
        <w:rPr>
          <w:rFonts w:ascii="Sylfaen" w:hAnsi="Sylfaen" w:cs="Sylfaen"/>
          <w:szCs w:val="22"/>
          <w:lang w:val="ka-GE"/>
        </w:rPr>
        <w:t>ტყის ყომრალი, მთა-მდელოს და მდელოს კარბონატული ნიადაგები. მცენარეული</w:t>
      </w:r>
      <w:r>
        <w:rPr>
          <w:rFonts w:ascii="Sylfaen" w:hAnsi="Sylfaen" w:cs="Sylfaen"/>
          <w:szCs w:val="22"/>
          <w:lang w:val="ka-GE"/>
        </w:rPr>
        <w:t xml:space="preserve"> </w:t>
      </w:r>
      <w:r w:rsidRPr="00287210">
        <w:rPr>
          <w:rFonts w:ascii="Sylfaen" w:hAnsi="Sylfaen" w:cs="Sylfaen"/>
          <w:szCs w:val="22"/>
          <w:lang w:val="ka-GE"/>
        </w:rPr>
        <w:t>საფარი წარმოდგენილია ხშირი ფოთლოვანი ტყით და ბუჩქნარით. სოფელ ახაშენის</w:t>
      </w:r>
      <w:r>
        <w:rPr>
          <w:rFonts w:ascii="Sylfaen" w:hAnsi="Sylfaen" w:cs="Sylfaen"/>
          <w:szCs w:val="22"/>
          <w:lang w:val="ka-GE"/>
        </w:rPr>
        <w:t xml:space="preserve"> </w:t>
      </w:r>
      <w:r w:rsidRPr="00287210">
        <w:rPr>
          <w:rFonts w:ascii="Sylfaen" w:hAnsi="Sylfaen" w:cs="Sylfaen"/>
          <w:szCs w:val="22"/>
          <w:lang w:val="ka-GE"/>
        </w:rPr>
        <w:t>მიმდებარე ტერიტორიიდან მდ. ალაზნამდე აუზის ტერიტორია ათვისებულია</w:t>
      </w:r>
      <w:r>
        <w:rPr>
          <w:rFonts w:ascii="Sylfaen" w:hAnsi="Sylfaen" w:cs="Sylfaen"/>
          <w:szCs w:val="22"/>
          <w:lang w:val="ka-GE"/>
        </w:rPr>
        <w:t xml:space="preserve"> </w:t>
      </w:r>
      <w:r w:rsidRPr="00287210">
        <w:rPr>
          <w:rFonts w:ascii="Sylfaen" w:hAnsi="Sylfaen" w:cs="Sylfaen"/>
          <w:szCs w:val="22"/>
          <w:lang w:val="ka-GE"/>
        </w:rPr>
        <w:t>სასოფლო-სამეურნეო კულტურებით.</w:t>
      </w:r>
    </w:p>
    <w:p w14:paraId="269FB96B" w14:textId="7D21EAF3" w:rsidR="00287210" w:rsidRPr="00287210" w:rsidRDefault="00287210" w:rsidP="0000351B">
      <w:pPr>
        <w:spacing w:before="120" w:after="120"/>
        <w:ind w:right="46"/>
        <w:rPr>
          <w:rFonts w:ascii="Sylfaen" w:hAnsi="Sylfaen" w:cs="Sylfaen"/>
          <w:szCs w:val="22"/>
          <w:lang w:val="ka-GE"/>
        </w:rPr>
      </w:pPr>
      <w:r w:rsidRPr="00287210">
        <w:rPr>
          <w:rFonts w:ascii="Sylfaen" w:hAnsi="Sylfaen" w:cs="Sylfaen"/>
          <w:szCs w:val="22"/>
          <w:lang w:val="ka-GE"/>
        </w:rPr>
        <w:t xml:space="preserve">მდინარის ხეობა სათავიდან სოფ. მუკუზნამდე </w:t>
      </w:r>
      <w:r w:rsidRPr="008B0984">
        <w:rPr>
          <w:rFonts w:ascii="Sylfaen" w:hAnsi="Sylfaen" w:cs="Sylfaen"/>
          <w:szCs w:val="22"/>
          <w:lang w:val="ka-GE"/>
        </w:rPr>
        <w:t>V</w:t>
      </w:r>
      <w:r w:rsidRPr="00287210">
        <w:rPr>
          <w:rFonts w:ascii="Sylfaen" w:hAnsi="Sylfaen" w:cs="Sylfaen"/>
          <w:szCs w:val="22"/>
          <w:lang w:val="ka-GE"/>
        </w:rPr>
        <w:t>-ეს ფორმისაა, სოფ. მუკუზანთან</w:t>
      </w:r>
      <w:r>
        <w:rPr>
          <w:rFonts w:ascii="Sylfaen" w:hAnsi="Sylfaen" w:cs="Sylfaen"/>
          <w:szCs w:val="22"/>
          <w:lang w:val="ka-GE"/>
        </w:rPr>
        <w:t xml:space="preserve"> </w:t>
      </w:r>
      <w:r w:rsidRPr="00287210">
        <w:rPr>
          <w:rFonts w:ascii="Sylfaen" w:hAnsi="Sylfaen" w:cs="Sylfaen"/>
          <w:szCs w:val="22"/>
          <w:lang w:val="ka-GE"/>
        </w:rPr>
        <w:t>ყუთისმაგვარი, ხოლო ალაზნის ველზე არამკაფიოდ არის გამოხატული.სამოდერნიზაციო გზის ქვემოთ მდინარეს გააჩნია მძლავრი გამოზიდვის კონუსი,</w:t>
      </w:r>
      <w:r w:rsidRPr="008B0984">
        <w:rPr>
          <w:rFonts w:ascii="Sylfaen" w:hAnsi="Sylfaen" w:cs="Sylfaen"/>
          <w:szCs w:val="22"/>
          <w:lang w:val="ka-GE"/>
        </w:rPr>
        <w:t xml:space="preserve"> </w:t>
      </w:r>
      <w:r w:rsidRPr="00287210">
        <w:rPr>
          <w:rFonts w:ascii="Sylfaen" w:hAnsi="Sylfaen" w:cs="Sylfaen"/>
          <w:szCs w:val="22"/>
          <w:lang w:val="ka-GE"/>
        </w:rPr>
        <w:t>რომელზეც გაშენებულია სოფ. ველისციხე. მდინარის კალაპოტი ქვა-ხრეშიანია, ზემო</w:t>
      </w:r>
      <w:r w:rsidRPr="008B0984">
        <w:rPr>
          <w:rFonts w:ascii="Sylfaen" w:hAnsi="Sylfaen" w:cs="Sylfaen"/>
          <w:szCs w:val="22"/>
          <w:lang w:val="ka-GE"/>
        </w:rPr>
        <w:t xml:space="preserve"> </w:t>
      </w:r>
      <w:r w:rsidRPr="00287210">
        <w:rPr>
          <w:rFonts w:ascii="Sylfaen" w:hAnsi="Sylfaen" w:cs="Sylfaen"/>
          <w:szCs w:val="22"/>
          <w:lang w:val="ka-GE"/>
        </w:rPr>
        <w:t>დინებაში გვხვდება ფერდობებიდან ჩამოგორებული დიდი ზომის ლოდები, შუა</w:t>
      </w:r>
      <w:r w:rsidRPr="008B0984">
        <w:rPr>
          <w:rFonts w:ascii="Sylfaen" w:hAnsi="Sylfaen" w:cs="Sylfaen"/>
          <w:szCs w:val="22"/>
          <w:lang w:val="ka-GE"/>
        </w:rPr>
        <w:t xml:space="preserve"> </w:t>
      </w:r>
      <w:r w:rsidRPr="00287210">
        <w:rPr>
          <w:rFonts w:ascii="Sylfaen" w:hAnsi="Sylfaen" w:cs="Sylfaen"/>
          <w:szCs w:val="22"/>
          <w:lang w:val="ka-GE"/>
        </w:rPr>
        <w:t>დინების ფარგლებში მდინარის ნაპირები ძალზე ციცაბო და ჩამონგრეულია, რაც</w:t>
      </w:r>
      <w:r w:rsidRPr="008B0984">
        <w:rPr>
          <w:rFonts w:ascii="Sylfaen" w:hAnsi="Sylfaen" w:cs="Sylfaen"/>
          <w:szCs w:val="22"/>
          <w:lang w:val="ka-GE"/>
        </w:rPr>
        <w:t xml:space="preserve"> </w:t>
      </w:r>
      <w:r w:rsidRPr="00287210">
        <w:rPr>
          <w:rFonts w:ascii="Sylfaen" w:hAnsi="Sylfaen" w:cs="Sylfaen"/>
          <w:szCs w:val="22"/>
          <w:lang w:val="ka-GE"/>
        </w:rPr>
        <w:t>ხელს უწყობს მდინარის კალაპოტში უხვი მყარი მასალის დაგროვებას და</w:t>
      </w:r>
      <w:r w:rsidRPr="008B0984">
        <w:rPr>
          <w:rFonts w:ascii="Sylfaen" w:hAnsi="Sylfaen" w:cs="Sylfaen"/>
          <w:szCs w:val="22"/>
          <w:lang w:val="ka-GE"/>
        </w:rPr>
        <w:t xml:space="preserve"> </w:t>
      </w:r>
      <w:r w:rsidRPr="00287210">
        <w:rPr>
          <w:rFonts w:ascii="Sylfaen" w:hAnsi="Sylfaen" w:cs="Sylfaen"/>
          <w:szCs w:val="22"/>
          <w:lang w:val="ka-GE"/>
        </w:rPr>
        <w:t>ღვარცოფული ნაკადების ფორმირებას.</w:t>
      </w:r>
    </w:p>
    <w:p w14:paraId="3FD6CE36" w14:textId="3F85CEB6" w:rsidR="00287210" w:rsidRPr="00287210" w:rsidRDefault="00287210" w:rsidP="0000351B">
      <w:pPr>
        <w:spacing w:before="120" w:after="120"/>
        <w:ind w:right="46"/>
        <w:rPr>
          <w:rFonts w:ascii="Sylfaen" w:hAnsi="Sylfaen" w:cs="Sylfaen"/>
          <w:szCs w:val="22"/>
          <w:lang w:val="ka-GE"/>
        </w:rPr>
      </w:pPr>
      <w:r w:rsidRPr="00287210">
        <w:rPr>
          <w:rFonts w:ascii="Sylfaen" w:hAnsi="Sylfaen" w:cs="Sylfaen"/>
          <w:szCs w:val="22"/>
          <w:lang w:val="ka-GE"/>
        </w:rPr>
        <w:t>მდინარე საზრდოობს თოვლის, წვიმისა და გრუნტის წყლებით. თოვლის წყალი</w:t>
      </w:r>
      <w:r w:rsidRPr="008B0984">
        <w:rPr>
          <w:rFonts w:ascii="Sylfaen" w:hAnsi="Sylfaen" w:cs="Sylfaen"/>
          <w:szCs w:val="22"/>
          <w:lang w:val="ka-GE"/>
        </w:rPr>
        <w:t xml:space="preserve"> </w:t>
      </w:r>
      <w:r w:rsidRPr="00287210">
        <w:rPr>
          <w:rFonts w:ascii="Sylfaen" w:hAnsi="Sylfaen" w:cs="Sylfaen"/>
          <w:szCs w:val="22"/>
          <w:lang w:val="ka-GE"/>
        </w:rPr>
        <w:t>მდინარის საზრდოობაში მეორეხარისხოვან როლს ასრულებს. მდინარის წყლიანობის</w:t>
      </w:r>
      <w:r w:rsidRPr="008B0984">
        <w:rPr>
          <w:rFonts w:ascii="Sylfaen" w:hAnsi="Sylfaen" w:cs="Sylfaen"/>
          <w:szCs w:val="22"/>
          <w:lang w:val="ka-GE"/>
        </w:rPr>
        <w:t xml:space="preserve"> </w:t>
      </w:r>
      <w:r w:rsidRPr="00287210">
        <w:rPr>
          <w:rFonts w:ascii="Sylfaen" w:hAnsi="Sylfaen" w:cs="Sylfaen"/>
          <w:szCs w:val="22"/>
          <w:lang w:val="ka-GE"/>
        </w:rPr>
        <w:t>რეჟიმი ხასიათდება გაზაფხულის წყალდიდობით და ზაფხულ-შემოდგომის</w:t>
      </w:r>
      <w:r w:rsidRPr="008B0984">
        <w:rPr>
          <w:rFonts w:ascii="Sylfaen" w:hAnsi="Sylfaen" w:cs="Sylfaen"/>
          <w:szCs w:val="22"/>
          <w:lang w:val="ka-GE"/>
        </w:rPr>
        <w:t xml:space="preserve"> </w:t>
      </w:r>
      <w:r w:rsidRPr="00287210">
        <w:rPr>
          <w:rFonts w:ascii="Sylfaen" w:hAnsi="Sylfaen" w:cs="Sylfaen"/>
          <w:szCs w:val="22"/>
          <w:lang w:val="ka-GE"/>
        </w:rPr>
        <w:t>წყალმოვარდნებით. წყალმცირობის პერიოდში მდინარის ჩამონადენი აღინიშნება</w:t>
      </w:r>
      <w:r w:rsidRPr="008B0984">
        <w:rPr>
          <w:rFonts w:ascii="Sylfaen" w:hAnsi="Sylfaen" w:cs="Sylfaen"/>
          <w:szCs w:val="22"/>
          <w:lang w:val="ka-GE"/>
        </w:rPr>
        <w:t xml:space="preserve"> </w:t>
      </w:r>
      <w:r w:rsidRPr="00287210">
        <w:rPr>
          <w:rFonts w:ascii="Sylfaen" w:hAnsi="Sylfaen" w:cs="Sylfaen"/>
          <w:szCs w:val="22"/>
          <w:lang w:val="ka-GE"/>
        </w:rPr>
        <w:t>მხოლოდ ზედა და შუა დინებაში, ქვემოთ მდინარის ნაკადი იკარგება ალუვიურ</w:t>
      </w:r>
      <w:r w:rsidRPr="008B0984">
        <w:rPr>
          <w:rFonts w:ascii="Sylfaen" w:hAnsi="Sylfaen" w:cs="Sylfaen"/>
          <w:szCs w:val="22"/>
          <w:lang w:val="ka-GE"/>
        </w:rPr>
        <w:t xml:space="preserve"> </w:t>
      </w:r>
      <w:r w:rsidRPr="00287210">
        <w:rPr>
          <w:rFonts w:ascii="Sylfaen" w:hAnsi="Sylfaen" w:cs="Sylfaen"/>
          <w:szCs w:val="22"/>
          <w:lang w:val="ka-GE"/>
        </w:rPr>
        <w:t>განფენებში და მშრალია.</w:t>
      </w:r>
    </w:p>
    <w:p w14:paraId="538016C2" w14:textId="44C83654" w:rsidR="00287210" w:rsidRPr="00287210" w:rsidRDefault="00287210" w:rsidP="0000351B">
      <w:pPr>
        <w:spacing w:before="120" w:after="120"/>
        <w:ind w:right="46"/>
        <w:rPr>
          <w:rFonts w:ascii="Sylfaen" w:hAnsi="Sylfaen" w:cs="Sylfaen"/>
          <w:szCs w:val="22"/>
          <w:lang w:val="ka-GE"/>
        </w:rPr>
      </w:pPr>
      <w:r w:rsidRPr="00287210">
        <w:rPr>
          <w:rFonts w:ascii="Sylfaen" w:hAnsi="Sylfaen" w:cs="Sylfaen"/>
          <w:szCs w:val="22"/>
          <w:lang w:val="ka-GE"/>
        </w:rPr>
        <w:t>მდინარე ჭერემისხევი სიგრძე სამოდერნიზაციო გზის გადაკვეთამდე 28,1 კმ,</w:t>
      </w:r>
      <w:r w:rsidRPr="008B0984">
        <w:rPr>
          <w:rFonts w:ascii="Sylfaen" w:hAnsi="Sylfaen" w:cs="Sylfaen"/>
          <w:szCs w:val="22"/>
          <w:lang w:val="ka-GE"/>
        </w:rPr>
        <w:t xml:space="preserve"> </w:t>
      </w:r>
      <w:r w:rsidRPr="00287210">
        <w:rPr>
          <w:rFonts w:ascii="Sylfaen" w:hAnsi="Sylfaen" w:cs="Sylfaen"/>
          <w:szCs w:val="22"/>
          <w:lang w:val="ka-GE"/>
        </w:rPr>
        <w:t>საერთო ვარდნა 1102 მ, საშუალო ქანობი 39,2 ‰, წყალშემკრები აუზის ფართობი კი</w:t>
      </w:r>
      <w:r w:rsidRPr="008B0984">
        <w:rPr>
          <w:rFonts w:ascii="Sylfaen" w:hAnsi="Sylfaen" w:cs="Sylfaen"/>
          <w:szCs w:val="22"/>
          <w:lang w:val="ka-GE"/>
        </w:rPr>
        <w:t xml:space="preserve"> </w:t>
      </w:r>
      <w:r w:rsidRPr="00287210">
        <w:rPr>
          <w:rFonts w:ascii="Sylfaen" w:hAnsi="Sylfaen" w:cs="Sylfaen"/>
          <w:szCs w:val="22"/>
          <w:lang w:val="ka-GE"/>
        </w:rPr>
        <w:t>103 კმ2-ია.</w:t>
      </w:r>
    </w:p>
    <w:p w14:paraId="6C690852" w14:textId="1EC1E6B9" w:rsidR="00287210" w:rsidRPr="008B0984" w:rsidRDefault="00287210" w:rsidP="0000351B">
      <w:pPr>
        <w:spacing w:before="120" w:after="120"/>
        <w:ind w:right="46"/>
        <w:rPr>
          <w:rFonts w:ascii="Sylfaen" w:hAnsi="Sylfaen" w:cs="Sylfaen"/>
          <w:szCs w:val="22"/>
          <w:lang w:val="ka-GE"/>
        </w:rPr>
      </w:pPr>
      <w:r w:rsidRPr="00287210">
        <w:rPr>
          <w:rFonts w:ascii="Sylfaen" w:hAnsi="Sylfaen" w:cs="Sylfaen"/>
          <w:szCs w:val="22"/>
          <w:lang w:val="ka-GE"/>
        </w:rPr>
        <w:t xml:space="preserve">მდინარე </w:t>
      </w:r>
      <w:r w:rsidRPr="00287210">
        <w:rPr>
          <w:rFonts w:ascii="Sylfaen" w:hAnsi="Sylfaen" w:cs="Sylfaen"/>
          <w:b/>
          <w:szCs w:val="22"/>
          <w:lang w:val="ka-GE"/>
        </w:rPr>
        <w:t>მღვრიეხევი (შაშიანისხევი)</w:t>
      </w:r>
      <w:r w:rsidRPr="00287210">
        <w:rPr>
          <w:rFonts w:ascii="Sylfaen" w:hAnsi="Sylfaen" w:cs="Sylfaen"/>
          <w:szCs w:val="22"/>
          <w:lang w:val="ka-GE"/>
        </w:rPr>
        <w:t xml:space="preserve"> სათავეს იღებს ცივ-გომბორის ქედის</w:t>
      </w:r>
      <w:r w:rsidRPr="008B0984">
        <w:rPr>
          <w:rFonts w:ascii="Sylfaen" w:hAnsi="Sylfaen" w:cs="Sylfaen"/>
          <w:szCs w:val="22"/>
          <w:lang w:val="ka-GE"/>
        </w:rPr>
        <w:t xml:space="preserve"> </w:t>
      </w:r>
      <w:r w:rsidRPr="00287210">
        <w:rPr>
          <w:rFonts w:ascii="Sylfaen" w:hAnsi="Sylfaen" w:cs="Sylfaen"/>
          <w:szCs w:val="22"/>
          <w:lang w:val="ka-GE"/>
        </w:rPr>
        <w:t>ჩრდილო-აღმოსავლეთ ფერდობზე 1355 მეტრის სიმაღლეზე და ერთვის მდ. ალაზანს</w:t>
      </w:r>
      <w:r w:rsidRPr="008B0984">
        <w:rPr>
          <w:rFonts w:ascii="Sylfaen" w:hAnsi="Sylfaen" w:cs="Sylfaen"/>
          <w:szCs w:val="22"/>
          <w:lang w:val="ka-GE"/>
        </w:rPr>
        <w:t xml:space="preserve"> </w:t>
      </w:r>
      <w:r w:rsidRPr="00287210">
        <w:rPr>
          <w:rFonts w:ascii="Sylfaen" w:hAnsi="Sylfaen" w:cs="Sylfaen"/>
          <w:szCs w:val="22"/>
          <w:lang w:val="ka-GE"/>
        </w:rPr>
        <w:t>მარჯვენა მხრიდან. მდინარის აუზის ზედა ზონა მთიანია. სოფელ შაშიანის ქვემოთ</w:t>
      </w:r>
      <w:r w:rsidRPr="008B0984">
        <w:rPr>
          <w:rFonts w:ascii="Sylfaen" w:hAnsi="Sylfaen" w:cs="Sylfaen"/>
          <w:szCs w:val="22"/>
          <w:lang w:val="ka-GE"/>
        </w:rPr>
        <w:t xml:space="preserve"> </w:t>
      </w:r>
      <w:r w:rsidRPr="00287210">
        <w:rPr>
          <w:rFonts w:ascii="Sylfaen" w:hAnsi="Sylfaen" w:cs="Sylfaen"/>
          <w:szCs w:val="22"/>
          <w:lang w:val="ka-GE"/>
        </w:rPr>
        <w:t>მდინარის აუზი გამოდის ალაზნის მარჯვენა ტერასაზე. მთიანი ზონის გელოგიურ</w:t>
      </w:r>
      <w:r w:rsidRPr="008B0984">
        <w:rPr>
          <w:rFonts w:ascii="Sylfaen" w:hAnsi="Sylfaen" w:cs="Sylfaen"/>
          <w:szCs w:val="22"/>
          <w:lang w:val="ka-GE"/>
        </w:rPr>
        <w:t xml:space="preserve"> </w:t>
      </w:r>
      <w:r w:rsidRPr="00287210">
        <w:rPr>
          <w:rFonts w:ascii="Sylfaen" w:hAnsi="Sylfaen" w:cs="Sylfaen"/>
          <w:szCs w:val="22"/>
          <w:lang w:val="ka-GE"/>
        </w:rPr>
        <w:t>აგებულებაში მონაწილეობას იღებენ მერგელები და ძველი კონგლომერატები,</w:t>
      </w:r>
      <w:r w:rsidRPr="008B0984">
        <w:rPr>
          <w:rFonts w:ascii="Sylfaen" w:hAnsi="Sylfaen" w:cs="Sylfaen"/>
          <w:szCs w:val="22"/>
          <w:lang w:val="ka-GE"/>
        </w:rPr>
        <w:t xml:space="preserve"> ალაზნის ტერასა კი აგებულია ახალი ალუვიური დანალექებით. აუზში გავრცელებულია ტყის ყომრალი და მდელოს კარბონატული ნიადაგები. მცენარეული საფარი წარმოდგენილია ხშირი ფოთლოვანი ტყით და ბუჩქნარით. სოფელ შაშიანის ქვემოთ აუზის ტერიტორია ათვისებულია სასოფლო-სამეურნეო კულტურებით.</w:t>
      </w:r>
    </w:p>
    <w:p w14:paraId="7D4F2807" w14:textId="286C8BE0" w:rsidR="00287210" w:rsidRPr="008B0984" w:rsidRDefault="00287210" w:rsidP="0000351B">
      <w:pPr>
        <w:spacing w:before="120" w:after="120"/>
        <w:ind w:right="46"/>
        <w:rPr>
          <w:rFonts w:ascii="Sylfaen" w:hAnsi="Sylfaen" w:cs="Sylfaen"/>
          <w:szCs w:val="22"/>
          <w:lang w:val="ka-GE"/>
        </w:rPr>
      </w:pPr>
      <w:r w:rsidRPr="008B0984">
        <w:rPr>
          <w:rFonts w:ascii="Sylfaen" w:hAnsi="Sylfaen" w:cs="Sylfaen"/>
          <w:szCs w:val="22"/>
          <w:lang w:val="ka-GE"/>
        </w:rPr>
        <w:lastRenderedPageBreak/>
        <w:t>მდინარის ხეობა სათავიდან 6 კმ-ის მანძილზე V-ეს ფორმისაა, ქვემოთ კი ყუთისმაგვარი. ალაზნის ველზე ხეობა არამკაფიოდ არის გამოხატული. ყუთისმაგვარი ხეობის ფარგლებში ხეობის ფსკერი განივრდება, ნაპირები კი დამეწყრილია. ამ უბანზე რამდენჯერმე ადგილი ჰქონდა მეწყერით ხევის კალაპოტის გადაკეტვას და წყლის დაგუბებას, რაც ზღუდარის გაგნგრევის შემდეგ წარმოქმნიდა ძლიერ ღვარცოფს.</w:t>
      </w:r>
    </w:p>
    <w:p w14:paraId="3F9C9E19" w14:textId="28D71055" w:rsidR="00287210" w:rsidRPr="008B0984" w:rsidRDefault="00287210" w:rsidP="0000351B">
      <w:pPr>
        <w:spacing w:before="120" w:after="120"/>
        <w:ind w:right="46"/>
        <w:rPr>
          <w:rFonts w:ascii="Sylfaen" w:hAnsi="Sylfaen" w:cs="Sylfaen"/>
          <w:szCs w:val="22"/>
          <w:lang w:val="ka-GE"/>
        </w:rPr>
      </w:pPr>
      <w:r w:rsidRPr="008B0984">
        <w:rPr>
          <w:rFonts w:ascii="Sylfaen" w:hAnsi="Sylfaen" w:cs="Sylfaen"/>
          <w:szCs w:val="22"/>
          <w:lang w:val="ka-GE"/>
        </w:rPr>
        <w:t>მდინარე საზრდოობს თოვლის, წვიმისა და გრუნტის წყლებით. თოვლის წყალი მდინარის საზრდოობაში უმნიშვნელო როლს ასრულებს. მდინარის ჩამონადენი აღინიშნება მხოლოდ აუზის ზედა ზონაში. აუზის შუა და ქვემო ზონაში მდინარის კალაპოტი წლის ხანგრძლივი დროის მანძილზე მშრალია.</w:t>
      </w:r>
    </w:p>
    <w:p w14:paraId="6C038403" w14:textId="3F371691" w:rsidR="00287210" w:rsidRPr="008B0984" w:rsidRDefault="00287210" w:rsidP="0000351B">
      <w:pPr>
        <w:spacing w:before="120" w:after="120"/>
        <w:ind w:right="46"/>
        <w:rPr>
          <w:rFonts w:ascii="Sylfaen" w:hAnsi="Sylfaen" w:cs="Sylfaen"/>
          <w:szCs w:val="22"/>
          <w:lang w:val="ka-GE"/>
        </w:rPr>
      </w:pPr>
      <w:r w:rsidRPr="008B0984">
        <w:rPr>
          <w:rFonts w:ascii="Sylfaen" w:hAnsi="Sylfaen" w:cs="Sylfaen"/>
          <w:szCs w:val="22"/>
          <w:lang w:val="ka-GE"/>
        </w:rPr>
        <w:t>მდინარე მღვრიეხევის სიგრძე სამოდერნიზაციო გზის გადაკვეთამდე 14,0 კმ, საერთო ვარდნა 899 მ, საშუალო ქანობი 64,2 ‰, წყალშემკრები აუზის ფართობი კი 17,1 კმ2-ია.</w:t>
      </w:r>
    </w:p>
    <w:p w14:paraId="0A37B0B0" w14:textId="2E6C80C2" w:rsidR="00287210" w:rsidRPr="008B0984" w:rsidRDefault="00287210" w:rsidP="0000351B">
      <w:pPr>
        <w:spacing w:before="120" w:after="120"/>
        <w:ind w:right="46"/>
        <w:rPr>
          <w:rFonts w:ascii="Sylfaen" w:hAnsi="Sylfaen" w:cs="Sylfaen"/>
          <w:szCs w:val="22"/>
          <w:lang w:val="ka-GE"/>
        </w:rPr>
      </w:pPr>
      <w:r w:rsidRPr="008B0984">
        <w:rPr>
          <w:rFonts w:ascii="Sylfaen" w:hAnsi="Sylfaen" w:cs="Sylfaen"/>
          <w:szCs w:val="22"/>
          <w:lang w:val="ka-GE"/>
        </w:rPr>
        <w:t xml:space="preserve">მდინარე </w:t>
      </w:r>
      <w:r w:rsidRPr="008B0984">
        <w:rPr>
          <w:rFonts w:ascii="Sylfaen" w:hAnsi="Sylfaen" w:cs="Sylfaen"/>
          <w:b/>
          <w:szCs w:val="22"/>
          <w:lang w:val="ka-GE"/>
        </w:rPr>
        <w:t>შრომისხევი</w:t>
      </w:r>
      <w:r w:rsidRPr="008B0984">
        <w:rPr>
          <w:rFonts w:ascii="Sylfaen" w:hAnsi="Sylfaen" w:cs="Sylfaen"/>
          <w:szCs w:val="22"/>
          <w:lang w:val="ka-GE"/>
        </w:rPr>
        <w:t xml:space="preserve"> სათავეს იღებს ცივ-გომბორის ქედის ჩრდილო-აღმოსავლეთ ფერდობზე 1435 მეტრის სიმაღლეზე და ერთვის მდ. ალაზანს მარჯვენა მხრიდან. მდინარის აუზის ზედა ზონა მთიანია. სოფელ შრომას ქვემოთ მდინარის აუზი გამოდის ალაზნის ველზე. მთიანი ზონის გელოგიურ აგებულებაში მონაწილეობას იღებენ მერგელები და ძველი კონგლომერატები, ალაზნის ველი კი აგებულია ახალი ალუვიური დანალექებით. აუზში გავრცელებულია ტყის ყომრალი, მთა-მდელოს და მდელოს კარბონატული ნიადაგები. მცენარეული საფარი წარმოდგენილია ხშირი ფოთლოვანი ტყით და ბუჩქნარით. სოფელ შრომას ქვემოთ აუზის ტერიტორია ათვისებულია სასოფლო-სამეურნეო კულტურებით.</w:t>
      </w:r>
    </w:p>
    <w:p w14:paraId="0D04A256" w14:textId="63BF99B6" w:rsidR="00287210" w:rsidRPr="008B0984" w:rsidRDefault="00287210" w:rsidP="0000351B">
      <w:pPr>
        <w:spacing w:before="120" w:after="120"/>
        <w:ind w:right="46"/>
        <w:rPr>
          <w:rFonts w:ascii="Sylfaen" w:hAnsi="Sylfaen" w:cs="Sylfaen"/>
          <w:szCs w:val="22"/>
          <w:lang w:val="ka-GE"/>
        </w:rPr>
      </w:pPr>
      <w:r w:rsidRPr="008B0984">
        <w:rPr>
          <w:rFonts w:ascii="Sylfaen" w:hAnsi="Sylfaen" w:cs="Sylfaen"/>
          <w:szCs w:val="22"/>
          <w:lang w:val="ka-GE"/>
        </w:rPr>
        <w:t>მდინარის ხეობა სათავიდან სოფ. შრომამდე V-ეს ფორმისაა, სოფ. შრომასთან ყუთისმაგვარი, ალაზნის ველზე კი არამკაფიოდ არის გამოხატული. მდინარის ხეობაში გვხვდება გაშიშვლებები, რომელთა სიმაღლე 150-200 მეტრს აღწევს. გაშიშვლებები წარმოდგენილია ცივისწყების თიხნარებისა და კონგლომერატების მორიგეობით, რომლებიც ინტენსიურ გამოფიტვას განიცდიან. გამოფიტული მასალა გრავიტაციული ზემოქმედებით გროვდება მდინარის კალაპოტში, რაც წყალმოვარდნების პერიოდში ღვარცოფული ნაკადის სახით გადაადგილდებიან ქვემოთ.</w:t>
      </w:r>
    </w:p>
    <w:p w14:paraId="5490ECCC" w14:textId="2044626D" w:rsidR="00287210" w:rsidRPr="008B0984" w:rsidRDefault="00287210" w:rsidP="0000351B">
      <w:pPr>
        <w:spacing w:before="120" w:after="120"/>
        <w:ind w:right="46"/>
        <w:rPr>
          <w:rFonts w:ascii="Sylfaen" w:hAnsi="Sylfaen" w:cs="Sylfaen"/>
          <w:szCs w:val="22"/>
          <w:lang w:val="ka-GE"/>
        </w:rPr>
      </w:pPr>
      <w:r w:rsidRPr="008B0984">
        <w:rPr>
          <w:rFonts w:ascii="Sylfaen" w:hAnsi="Sylfaen" w:cs="Sylfaen"/>
          <w:szCs w:val="22"/>
          <w:lang w:val="ka-GE"/>
        </w:rPr>
        <w:t>მდინარე საზრდოობს თოვლის, წვიმისა და გრუნტის წყლებით. თოვლის წყალი მდინარის საზრდოობაში უმნიშვნელო როლს ასრულებს. მდინარის ჩამონადენი აღინიშნება მხოლოდ აუზის ზედა ზონაში. აუზის შუა და ქვემო ზონაში მდინარის კალაპოტი წლის ხანგრძლივი დროის მანძილზე მშრალია.</w:t>
      </w:r>
    </w:p>
    <w:p w14:paraId="3A9520C4" w14:textId="47E92793" w:rsidR="00287210" w:rsidRPr="008B0984" w:rsidRDefault="00287210" w:rsidP="0000351B">
      <w:pPr>
        <w:spacing w:before="120" w:after="120"/>
        <w:ind w:right="46"/>
        <w:rPr>
          <w:rFonts w:ascii="Sylfaen" w:hAnsi="Sylfaen" w:cs="Sylfaen"/>
          <w:szCs w:val="22"/>
          <w:lang w:val="ka-GE"/>
        </w:rPr>
      </w:pPr>
      <w:r w:rsidRPr="008B0984">
        <w:rPr>
          <w:rFonts w:ascii="Sylfaen" w:hAnsi="Sylfaen" w:cs="Sylfaen"/>
          <w:szCs w:val="22"/>
          <w:lang w:val="ka-GE"/>
        </w:rPr>
        <w:t>მდინარე შრომისხევის სიგრძე სამოდერნიზაციო გზის გადაკვეთამდე 14,0 კმ, საერთო ვარდნა 952 მ, საშუალო ქანობი 68,0 ‰, წყალშემკრები აუზის ფართობი კი 28,3 კმ2-ია.</w:t>
      </w:r>
    </w:p>
    <w:p w14:paraId="5116A2EE" w14:textId="11F98789" w:rsidR="00287210" w:rsidRPr="008B0984" w:rsidRDefault="00287210" w:rsidP="0000351B">
      <w:pPr>
        <w:spacing w:before="120" w:after="120"/>
        <w:ind w:right="46"/>
        <w:rPr>
          <w:rFonts w:ascii="Sylfaen" w:hAnsi="Sylfaen" w:cs="Sylfaen"/>
          <w:szCs w:val="22"/>
          <w:lang w:val="ka-GE"/>
        </w:rPr>
      </w:pPr>
      <w:r w:rsidRPr="008B0984">
        <w:rPr>
          <w:rFonts w:ascii="Sylfaen" w:hAnsi="Sylfaen" w:cs="Sylfaen"/>
          <w:szCs w:val="22"/>
          <w:lang w:val="ka-GE"/>
        </w:rPr>
        <w:t xml:space="preserve">მდინარე </w:t>
      </w:r>
      <w:r w:rsidRPr="008B0984">
        <w:rPr>
          <w:rFonts w:ascii="Sylfaen" w:hAnsi="Sylfaen" w:cs="Sylfaen"/>
          <w:b/>
          <w:szCs w:val="22"/>
          <w:lang w:val="ka-GE"/>
        </w:rPr>
        <w:t>კისისხევი</w:t>
      </w:r>
      <w:r w:rsidRPr="008B0984">
        <w:rPr>
          <w:rFonts w:ascii="Sylfaen" w:hAnsi="Sylfaen" w:cs="Sylfaen"/>
          <w:szCs w:val="22"/>
          <w:lang w:val="ka-GE"/>
        </w:rPr>
        <w:t xml:space="preserve"> სათავეს იღებს ცივ-გომბორის ქედის ჩრდილო-აღმოსავლეთ ფერდობზე, მთა ცივის (1991,1 მ) სამხრეთ-დასავლეთით 1,5 კმ-ში 1850 მეტრის სიმაღლეზე და ერთვის მდ. ალაზანს მარჯვენა მხრიდან. მდინარის აუზის ზედა ზონა მთიანია, რომელიც სოფ. წინანდლის ქვემოთ იცვლება ალაზნის ველით. მთიანი ზონის გელოგიურ აგებულებაში მონაწილეობას იღებენ ქვიშაქვები, მერგელები და ძველი კონგლომერატები, ალაზნის ველი კი აგებულია ახალი ალუვიური დანალექებით. აუზში გავრცელებულია ტყის ყომრალი, მთა-მდელოს და მდელოს კარბონატული ნიადაგები. მცენარეული საფარი წარმოდგენილია ხშირი ფოთლოვანი ტყით და ბუჩქნარით. სოფელ წინანდლის ქვემოთ აუზის ტერიტორია ათვისებულია სასოფლოსამეურნეო კულტურებით.</w:t>
      </w:r>
    </w:p>
    <w:p w14:paraId="1726121F" w14:textId="56F620D7" w:rsidR="00287210" w:rsidRPr="008B0984" w:rsidRDefault="00287210" w:rsidP="0000351B">
      <w:pPr>
        <w:spacing w:before="120" w:after="120"/>
        <w:ind w:right="46"/>
        <w:rPr>
          <w:rFonts w:ascii="Sylfaen" w:hAnsi="Sylfaen" w:cs="Sylfaen"/>
          <w:szCs w:val="22"/>
          <w:lang w:val="ka-GE"/>
        </w:rPr>
      </w:pPr>
      <w:r w:rsidRPr="008B0984">
        <w:rPr>
          <w:rFonts w:ascii="Sylfaen" w:hAnsi="Sylfaen" w:cs="Sylfaen"/>
          <w:szCs w:val="22"/>
          <w:lang w:val="ka-GE"/>
        </w:rPr>
        <w:t xml:space="preserve">მდინარის ხეობა სათავიდან სოფ. წინანდლამდე </w:t>
      </w:r>
      <w:r w:rsidR="00D308BF" w:rsidRPr="008B0984">
        <w:rPr>
          <w:rFonts w:ascii="Sylfaen" w:hAnsi="Sylfaen" w:cs="Sylfaen"/>
          <w:szCs w:val="22"/>
          <w:lang w:val="ka-GE"/>
        </w:rPr>
        <w:t>V</w:t>
      </w:r>
      <w:r w:rsidRPr="008B0984">
        <w:rPr>
          <w:rFonts w:ascii="Sylfaen" w:hAnsi="Sylfaen" w:cs="Sylfaen"/>
          <w:szCs w:val="22"/>
          <w:lang w:val="ka-GE"/>
        </w:rPr>
        <w:t xml:space="preserve">-ეს ფორმისაა, სოფ. წინანდალთან ყუთისმაგვარი, ალაზნის ველზე კი არამკაფიოდ არის გამოხატული. ხეობის ფსკერი სათავეებში ვიწროა, ქვემოთ განივრდება და სოფ. წინანდალთან 400 მეტრს აღწევს. ამ მიდამოებში მდინარის ციცაბო ნაპირების სიმაღლე 40-50 მეტრის ფარგლებში მეყეობს. აღნიშნული ციცაბო და მაღალი ნაპირები ადვილად </w:t>
      </w:r>
      <w:r w:rsidRPr="008B0984">
        <w:rPr>
          <w:rFonts w:ascii="Sylfaen" w:hAnsi="Sylfaen" w:cs="Sylfaen"/>
          <w:szCs w:val="22"/>
          <w:lang w:val="ka-GE"/>
        </w:rPr>
        <w:lastRenderedPageBreak/>
        <w:t>ემორჩილებიან გამოფიტვას, რაც ხელს უწყობს მდინარის კალაპოტში უხვი მყარი მასალის დაგროვებას და ღვარცოფული ნაკადების ფორმირებას.</w:t>
      </w:r>
    </w:p>
    <w:p w14:paraId="004B669C" w14:textId="2CBA4A7F" w:rsidR="00287210" w:rsidRPr="008B0984" w:rsidRDefault="00287210" w:rsidP="0000351B">
      <w:pPr>
        <w:spacing w:before="120" w:after="120"/>
        <w:ind w:right="46"/>
        <w:rPr>
          <w:rFonts w:ascii="Sylfaen" w:hAnsi="Sylfaen" w:cs="Sylfaen"/>
          <w:szCs w:val="22"/>
          <w:lang w:val="ka-GE"/>
        </w:rPr>
      </w:pPr>
      <w:r w:rsidRPr="008B0984">
        <w:rPr>
          <w:rFonts w:ascii="Sylfaen" w:hAnsi="Sylfaen" w:cs="Sylfaen"/>
          <w:szCs w:val="22"/>
          <w:lang w:val="ka-GE"/>
        </w:rPr>
        <w:t>მდინარე საზრდოობს თოვლის, წვიმისა და გრუნტის წყლებით. თოვლის წყალი მდინარის საზრდოობაში მეორეხარისხოვან როლს ასრულებს. მდინარის წყლიანობის რეჟიმი ხასიათდება გაზაფხულის წყალდიდობით და ზაფხულ-შემოდგომის წყალმოვარდნებით. წყალმცირობის პერიოდში მდინარის ჩამონადენი აღინიშნება მხოლოდ ზედა და შუა დინებაში, ქვემოთ მდინარის ნაკადი იკარგება ალუვიურ განფენებში და მშრალია.</w:t>
      </w:r>
    </w:p>
    <w:p w14:paraId="08D3F471" w14:textId="5E1DD258" w:rsidR="00287210" w:rsidRPr="008B0984" w:rsidRDefault="00287210" w:rsidP="0000351B">
      <w:pPr>
        <w:spacing w:before="120" w:after="120"/>
        <w:ind w:right="46"/>
        <w:rPr>
          <w:rFonts w:ascii="Sylfaen" w:hAnsi="Sylfaen" w:cs="Sylfaen"/>
          <w:szCs w:val="22"/>
          <w:lang w:val="ka-GE"/>
        </w:rPr>
      </w:pPr>
      <w:r w:rsidRPr="008B0984">
        <w:rPr>
          <w:rFonts w:ascii="Sylfaen" w:hAnsi="Sylfaen" w:cs="Sylfaen"/>
          <w:szCs w:val="22"/>
          <w:lang w:val="ka-GE"/>
        </w:rPr>
        <w:t>წყალდიდობისა და წყალმოვარდნების პერიოდში მდინარეს ღვარცოფული ნაკადის სახით გამოაქვს დიდი რაოდენობის მყარი მასალა, რაც გროვდება კალაპოტის შევიწროვებულ ადგილების (სარკინიგზო და სამანქანო ხიდები, ზემო ალაზნის მაგისტრალური არხის დიუკერი) ზევით, რის გამო მისი კალაპოტი მაღლდება და იწვევს წყლის გადასვლას დაბალ ნაპირებზე.</w:t>
      </w:r>
    </w:p>
    <w:p w14:paraId="2DC7FE40" w14:textId="67A8086A" w:rsidR="00287210" w:rsidRPr="008B0984" w:rsidRDefault="00287210" w:rsidP="0000351B">
      <w:pPr>
        <w:spacing w:before="120" w:after="120"/>
        <w:ind w:right="46"/>
        <w:rPr>
          <w:rFonts w:ascii="Sylfaen" w:hAnsi="Sylfaen" w:cs="Sylfaen"/>
          <w:szCs w:val="22"/>
          <w:lang w:val="ka-GE"/>
        </w:rPr>
      </w:pPr>
      <w:r w:rsidRPr="008B0984">
        <w:rPr>
          <w:rFonts w:ascii="Sylfaen" w:hAnsi="Sylfaen" w:cs="Sylfaen"/>
          <w:szCs w:val="22"/>
          <w:lang w:val="ka-GE"/>
        </w:rPr>
        <w:t>მდინარე კისისხევის სიგრძე სამოდერნიზაციო გზის გადაკვეთამდე 27,8 კმ,</w:t>
      </w:r>
      <w:r w:rsidR="00D308BF" w:rsidRPr="008B0984">
        <w:rPr>
          <w:rFonts w:ascii="Sylfaen" w:hAnsi="Sylfaen" w:cs="Sylfaen"/>
          <w:szCs w:val="22"/>
          <w:lang w:val="ka-GE"/>
        </w:rPr>
        <w:t xml:space="preserve"> </w:t>
      </w:r>
      <w:r w:rsidRPr="008B0984">
        <w:rPr>
          <w:rFonts w:ascii="Sylfaen" w:hAnsi="Sylfaen" w:cs="Sylfaen"/>
          <w:szCs w:val="22"/>
          <w:lang w:val="ka-GE"/>
        </w:rPr>
        <w:t>საერთო ვარდნა 1342 მ, საშუალო ქანობი 48,3 ‰, წყალშემკრები აუზის ფართობი კი</w:t>
      </w:r>
      <w:r w:rsidR="00D308BF" w:rsidRPr="008B0984">
        <w:rPr>
          <w:rFonts w:ascii="Sylfaen" w:hAnsi="Sylfaen" w:cs="Sylfaen"/>
          <w:szCs w:val="22"/>
          <w:lang w:val="ka-GE"/>
        </w:rPr>
        <w:t xml:space="preserve"> </w:t>
      </w:r>
      <w:r w:rsidRPr="008B0984">
        <w:rPr>
          <w:rFonts w:ascii="Sylfaen" w:hAnsi="Sylfaen" w:cs="Sylfaen"/>
          <w:szCs w:val="22"/>
          <w:lang w:val="ka-GE"/>
        </w:rPr>
        <w:t>106 კმ2-ია.</w:t>
      </w:r>
    </w:p>
    <w:p w14:paraId="73C67FA6" w14:textId="2FED3650" w:rsidR="00287210" w:rsidRPr="008B0984" w:rsidRDefault="00287210" w:rsidP="0000351B">
      <w:pPr>
        <w:spacing w:before="120" w:after="120"/>
        <w:ind w:right="46"/>
        <w:rPr>
          <w:rFonts w:ascii="Sylfaen" w:hAnsi="Sylfaen" w:cs="Sylfaen"/>
          <w:szCs w:val="22"/>
          <w:lang w:val="ka-GE"/>
        </w:rPr>
      </w:pPr>
      <w:r w:rsidRPr="008B0984">
        <w:rPr>
          <w:rFonts w:ascii="Sylfaen" w:hAnsi="Sylfaen" w:cs="Sylfaen"/>
          <w:szCs w:val="22"/>
          <w:lang w:val="ka-GE"/>
        </w:rPr>
        <w:t xml:space="preserve">მდინარე </w:t>
      </w:r>
      <w:r w:rsidRPr="008B0984">
        <w:rPr>
          <w:rFonts w:ascii="Sylfaen" w:hAnsi="Sylfaen" w:cs="Sylfaen"/>
          <w:b/>
          <w:szCs w:val="22"/>
          <w:lang w:val="ka-GE"/>
        </w:rPr>
        <w:t>თელავისრიყე</w:t>
      </w:r>
      <w:r w:rsidRPr="008B0984">
        <w:rPr>
          <w:rFonts w:ascii="Sylfaen" w:hAnsi="Sylfaen" w:cs="Sylfaen"/>
          <w:szCs w:val="22"/>
          <w:lang w:val="ka-GE"/>
        </w:rPr>
        <w:t xml:space="preserve"> სათავეს იღებს ცივ-გომბორის ქედის ჩრდილოეთ</w:t>
      </w:r>
      <w:r w:rsidR="00D308BF" w:rsidRPr="008B0984">
        <w:rPr>
          <w:rFonts w:ascii="Sylfaen" w:hAnsi="Sylfaen" w:cs="Sylfaen"/>
          <w:szCs w:val="22"/>
          <w:lang w:val="ka-GE"/>
        </w:rPr>
        <w:t xml:space="preserve"> </w:t>
      </w:r>
      <w:r w:rsidRPr="008B0984">
        <w:rPr>
          <w:rFonts w:ascii="Sylfaen" w:hAnsi="Sylfaen" w:cs="Sylfaen"/>
          <w:szCs w:val="22"/>
          <w:lang w:val="ka-GE"/>
        </w:rPr>
        <w:t>ფერდობზე 1795 მეტრის სიმაღლეზე და ერთვის მდ. ალაზანს მარჯვენა მხრიდან.</w:t>
      </w:r>
      <w:r w:rsidR="00D308BF" w:rsidRPr="008B0984">
        <w:rPr>
          <w:rFonts w:ascii="Sylfaen" w:hAnsi="Sylfaen" w:cs="Sylfaen"/>
          <w:szCs w:val="22"/>
          <w:lang w:val="ka-GE"/>
        </w:rPr>
        <w:t xml:space="preserve"> </w:t>
      </w:r>
      <w:r w:rsidRPr="008B0984">
        <w:rPr>
          <w:rFonts w:ascii="Sylfaen" w:hAnsi="Sylfaen" w:cs="Sylfaen"/>
          <w:szCs w:val="22"/>
          <w:lang w:val="ka-GE"/>
        </w:rPr>
        <w:t>მდინარის ხეობა მდებარეობს ცივ-გომბორის ქედის ჩრდილოეთ ფერდობზე</w:t>
      </w:r>
      <w:r w:rsidR="00D308BF" w:rsidRPr="008B0984">
        <w:rPr>
          <w:rFonts w:ascii="Sylfaen" w:hAnsi="Sylfaen" w:cs="Sylfaen"/>
          <w:szCs w:val="22"/>
          <w:lang w:val="ka-GE"/>
        </w:rPr>
        <w:t xml:space="preserve"> </w:t>
      </w:r>
      <w:r w:rsidRPr="008B0984">
        <w:rPr>
          <w:rFonts w:ascii="Sylfaen" w:hAnsi="Sylfaen" w:cs="Sylfaen"/>
          <w:szCs w:val="22"/>
          <w:lang w:val="ka-GE"/>
        </w:rPr>
        <w:t>მდინარეების კისისხევისა და მაწანწარას აუზებს შორის. მისი წყალგამყოფის</w:t>
      </w:r>
      <w:r w:rsidR="00D308BF" w:rsidRPr="008B0984">
        <w:rPr>
          <w:rFonts w:ascii="Sylfaen" w:hAnsi="Sylfaen" w:cs="Sylfaen"/>
          <w:szCs w:val="22"/>
          <w:lang w:val="ka-GE"/>
        </w:rPr>
        <w:t xml:space="preserve"> </w:t>
      </w:r>
      <w:r w:rsidRPr="008B0984">
        <w:rPr>
          <w:rFonts w:ascii="Sylfaen" w:hAnsi="Sylfaen" w:cs="Sylfaen"/>
          <w:szCs w:val="22"/>
          <w:lang w:val="ka-GE"/>
        </w:rPr>
        <w:t>ნიშნულები იცვლება 814 მეტრიდან 1812 მეტრამდე. ხეობის ფსკერის სიგანე იცვლება</w:t>
      </w:r>
      <w:r w:rsidR="00D308BF" w:rsidRPr="008B0984">
        <w:rPr>
          <w:rFonts w:ascii="Sylfaen" w:hAnsi="Sylfaen" w:cs="Sylfaen"/>
          <w:szCs w:val="22"/>
          <w:lang w:val="ka-GE"/>
        </w:rPr>
        <w:t xml:space="preserve"> </w:t>
      </w:r>
      <w:r w:rsidRPr="008B0984">
        <w:rPr>
          <w:rFonts w:ascii="Sylfaen" w:hAnsi="Sylfaen" w:cs="Sylfaen"/>
          <w:szCs w:val="22"/>
          <w:lang w:val="ka-GE"/>
        </w:rPr>
        <w:t>5-10 მეტრიდან 65-80 მეტრამდე. ხეობის ფერდობები სათავეებში ციცაბო და ძლიერ</w:t>
      </w:r>
      <w:r w:rsidR="00D308BF" w:rsidRPr="008B0984">
        <w:rPr>
          <w:rFonts w:ascii="Sylfaen" w:hAnsi="Sylfaen" w:cs="Sylfaen"/>
          <w:szCs w:val="22"/>
          <w:lang w:val="ka-GE"/>
        </w:rPr>
        <w:t xml:space="preserve"> </w:t>
      </w:r>
      <w:r w:rsidRPr="008B0984">
        <w:rPr>
          <w:rFonts w:ascii="Sylfaen" w:hAnsi="Sylfaen" w:cs="Sylfaen"/>
          <w:szCs w:val="22"/>
          <w:lang w:val="ka-GE"/>
        </w:rPr>
        <w:t>ეროზირებულია, რაც დამახასიათებელია ცივ-გომბორის ქედის ჩრდილოეთ</w:t>
      </w:r>
      <w:r w:rsidR="00D308BF" w:rsidRPr="008B0984">
        <w:rPr>
          <w:rFonts w:ascii="Sylfaen" w:hAnsi="Sylfaen" w:cs="Sylfaen"/>
          <w:szCs w:val="22"/>
          <w:lang w:val="ka-GE"/>
        </w:rPr>
        <w:t xml:space="preserve"> </w:t>
      </w:r>
      <w:r w:rsidRPr="008B0984">
        <w:rPr>
          <w:rFonts w:ascii="Sylfaen" w:hAnsi="Sylfaen" w:cs="Sylfaen"/>
          <w:szCs w:val="22"/>
          <w:lang w:val="ka-GE"/>
        </w:rPr>
        <w:t>ფერდობებზე არსებული ყველა მდინარისთვის. 1600 მეტრიდან 1075 მეტრამდე</w:t>
      </w:r>
      <w:r w:rsidR="00D308BF" w:rsidRPr="008B0984">
        <w:rPr>
          <w:rFonts w:ascii="Sylfaen" w:hAnsi="Sylfaen" w:cs="Sylfaen"/>
          <w:szCs w:val="22"/>
          <w:lang w:val="ka-GE"/>
        </w:rPr>
        <w:t xml:space="preserve"> </w:t>
      </w:r>
      <w:r w:rsidRPr="008B0984">
        <w:rPr>
          <w:rFonts w:ascii="Sylfaen" w:hAnsi="Sylfaen" w:cs="Sylfaen"/>
          <w:szCs w:val="22"/>
          <w:lang w:val="ka-GE"/>
        </w:rPr>
        <w:t>მდინარის ხეობა ვ-ს ფორმისაა, ქვემოთ განივრდება და დარეგულირებული</w:t>
      </w:r>
      <w:r w:rsidR="00D308BF" w:rsidRPr="008B0984">
        <w:rPr>
          <w:rFonts w:ascii="Sylfaen" w:hAnsi="Sylfaen" w:cs="Sylfaen"/>
          <w:szCs w:val="22"/>
          <w:lang w:val="ka-GE"/>
        </w:rPr>
        <w:t xml:space="preserve"> </w:t>
      </w:r>
      <w:r w:rsidRPr="008B0984">
        <w:rPr>
          <w:rFonts w:ascii="Sylfaen" w:hAnsi="Sylfaen" w:cs="Sylfaen"/>
          <w:szCs w:val="22"/>
          <w:lang w:val="ka-GE"/>
        </w:rPr>
        <w:t>კალაპოტის დასაწყისამდე ტრაპეციულ ფორმას იძენს.</w:t>
      </w:r>
    </w:p>
    <w:p w14:paraId="5D74C6F0" w14:textId="07B113BE" w:rsidR="00287210" w:rsidRPr="008B0984" w:rsidRDefault="00287210" w:rsidP="0000351B">
      <w:pPr>
        <w:spacing w:before="120" w:after="120"/>
        <w:ind w:right="46"/>
        <w:rPr>
          <w:rFonts w:ascii="Sylfaen" w:hAnsi="Sylfaen" w:cs="Sylfaen"/>
          <w:szCs w:val="22"/>
          <w:lang w:val="ka-GE"/>
        </w:rPr>
      </w:pPr>
      <w:r w:rsidRPr="008B0984">
        <w:rPr>
          <w:rFonts w:ascii="Sylfaen" w:hAnsi="Sylfaen" w:cs="Sylfaen"/>
          <w:szCs w:val="22"/>
          <w:lang w:val="ka-GE"/>
        </w:rPr>
        <w:t>მდინარის კალაპოტი ზომიერად კლაკნილი და ძირითადად დაუტოტავია. ქ.</w:t>
      </w:r>
      <w:r w:rsidR="00D308BF" w:rsidRPr="008B0984">
        <w:rPr>
          <w:rFonts w:ascii="Sylfaen" w:hAnsi="Sylfaen" w:cs="Sylfaen"/>
          <w:szCs w:val="22"/>
          <w:lang w:val="ka-GE"/>
        </w:rPr>
        <w:t xml:space="preserve"> </w:t>
      </w:r>
      <w:r w:rsidRPr="008B0984">
        <w:rPr>
          <w:rFonts w:ascii="Sylfaen" w:hAnsi="Sylfaen" w:cs="Sylfaen"/>
          <w:szCs w:val="22"/>
          <w:lang w:val="ka-GE"/>
        </w:rPr>
        <w:t>თელავის ტერიტორიიდან მისი კალაპოტი დარეგულირებულია მონოლითური ბეტონით,</w:t>
      </w:r>
      <w:r w:rsidR="00D308BF" w:rsidRPr="008B0984">
        <w:rPr>
          <w:rFonts w:ascii="Sylfaen" w:hAnsi="Sylfaen" w:cs="Sylfaen"/>
          <w:szCs w:val="22"/>
          <w:lang w:val="ka-GE"/>
        </w:rPr>
        <w:t xml:space="preserve"> </w:t>
      </w:r>
      <w:r w:rsidRPr="008B0984">
        <w:rPr>
          <w:rFonts w:ascii="Sylfaen" w:hAnsi="Sylfaen" w:cs="Sylfaen"/>
          <w:szCs w:val="22"/>
          <w:lang w:val="ka-GE"/>
        </w:rPr>
        <w:t>რომელიც ქ. თელავის ქვემოთ გასწორხაზოვნებულია და გაერთიანებულია</w:t>
      </w:r>
      <w:r w:rsidR="00D308BF" w:rsidRPr="008B0984">
        <w:rPr>
          <w:rFonts w:ascii="Sylfaen" w:hAnsi="Sylfaen" w:cs="Sylfaen"/>
          <w:szCs w:val="22"/>
          <w:lang w:val="ka-GE"/>
        </w:rPr>
        <w:t xml:space="preserve"> </w:t>
      </w:r>
      <w:r w:rsidRPr="008B0984">
        <w:rPr>
          <w:rFonts w:ascii="Sylfaen" w:hAnsi="Sylfaen" w:cs="Sylfaen"/>
          <w:szCs w:val="22"/>
          <w:lang w:val="ka-GE"/>
        </w:rPr>
        <w:t>მაწანწარასა და ვარდისუბნისხევის კალაპოტებთან. შესართავისკენ იგი იტოტება და</w:t>
      </w:r>
      <w:r w:rsidR="00D308BF" w:rsidRPr="008B0984">
        <w:rPr>
          <w:rFonts w:ascii="Sylfaen" w:hAnsi="Sylfaen" w:cs="Sylfaen"/>
          <w:szCs w:val="22"/>
          <w:lang w:val="ka-GE"/>
        </w:rPr>
        <w:t xml:space="preserve"> </w:t>
      </w:r>
      <w:r w:rsidRPr="008B0984">
        <w:rPr>
          <w:rFonts w:ascii="Sylfaen" w:hAnsi="Sylfaen" w:cs="Sylfaen"/>
          <w:szCs w:val="22"/>
          <w:lang w:val="ka-GE"/>
        </w:rPr>
        <w:t>მისი კალაპოტი შევსებულია მდინარის მიერ ჩამოტანილი მძლავრი ალუვიური</w:t>
      </w:r>
      <w:r w:rsidR="00D308BF" w:rsidRPr="008B0984">
        <w:rPr>
          <w:rFonts w:ascii="Sylfaen" w:hAnsi="Sylfaen" w:cs="Sylfaen"/>
          <w:szCs w:val="22"/>
          <w:lang w:val="ka-GE"/>
        </w:rPr>
        <w:t xml:space="preserve"> </w:t>
      </w:r>
      <w:r w:rsidRPr="008B0984">
        <w:rPr>
          <w:rFonts w:ascii="Sylfaen" w:hAnsi="Sylfaen" w:cs="Sylfaen"/>
          <w:szCs w:val="22"/>
          <w:lang w:val="ka-GE"/>
        </w:rPr>
        <w:t>მასალით, რომელშიც იკარგება მდინარის ჩამონადენი. მდინარის დარეგულირებული</w:t>
      </w:r>
      <w:r w:rsidR="00D308BF" w:rsidRPr="008B0984">
        <w:rPr>
          <w:rFonts w:ascii="Sylfaen" w:hAnsi="Sylfaen" w:cs="Sylfaen"/>
          <w:szCs w:val="22"/>
          <w:lang w:val="ka-GE"/>
        </w:rPr>
        <w:t xml:space="preserve"> </w:t>
      </w:r>
      <w:r w:rsidRPr="008B0984">
        <w:rPr>
          <w:rFonts w:ascii="Sylfaen" w:hAnsi="Sylfaen" w:cs="Sylfaen"/>
          <w:szCs w:val="22"/>
          <w:lang w:val="ka-GE"/>
        </w:rPr>
        <w:t>კალაპოტი წლის ხანგრძლივი დროის მანძილზე მშრალია.</w:t>
      </w:r>
    </w:p>
    <w:p w14:paraId="3DC23914" w14:textId="77777777" w:rsidR="00D308BF" w:rsidRPr="008B0984" w:rsidRDefault="00287210" w:rsidP="0000351B">
      <w:pPr>
        <w:spacing w:before="120" w:after="120"/>
        <w:ind w:right="46"/>
        <w:rPr>
          <w:rFonts w:ascii="Sylfaen" w:hAnsi="Sylfaen" w:cs="Sylfaen"/>
          <w:szCs w:val="22"/>
          <w:lang w:val="ka-GE"/>
        </w:rPr>
      </w:pPr>
      <w:r w:rsidRPr="008B0984">
        <w:rPr>
          <w:rFonts w:ascii="Sylfaen" w:hAnsi="Sylfaen" w:cs="Sylfaen"/>
          <w:szCs w:val="22"/>
          <w:lang w:val="ka-GE"/>
        </w:rPr>
        <w:t>აღსანიშნავია, რომ ქ. თელავის ღვარცოფული ნაკადებისგან დაცვის მიზნით,</w:t>
      </w:r>
      <w:r w:rsidR="00D308BF" w:rsidRPr="008B0984">
        <w:rPr>
          <w:rFonts w:ascii="Sylfaen" w:hAnsi="Sylfaen" w:cs="Sylfaen"/>
          <w:szCs w:val="22"/>
          <w:lang w:val="ka-GE"/>
        </w:rPr>
        <w:t xml:space="preserve"> </w:t>
      </w:r>
      <w:r w:rsidRPr="008B0984">
        <w:rPr>
          <w:rFonts w:ascii="Sylfaen" w:hAnsi="Sylfaen" w:cs="Sylfaen"/>
          <w:szCs w:val="22"/>
          <w:lang w:val="ka-GE"/>
        </w:rPr>
        <w:t>მდინარის კალაპოტში, ქალაქიდან მოცილებით, დაახლოებით 2 კმ-ში და მის ზევით</w:t>
      </w:r>
      <w:r w:rsidR="00D308BF" w:rsidRPr="008B0984">
        <w:rPr>
          <w:rFonts w:ascii="Sylfaen" w:hAnsi="Sylfaen" w:cs="Sylfaen"/>
          <w:szCs w:val="22"/>
          <w:lang w:val="ka-GE"/>
        </w:rPr>
        <w:t xml:space="preserve"> </w:t>
      </w:r>
      <w:r w:rsidRPr="008B0984">
        <w:rPr>
          <w:rFonts w:ascii="Sylfaen" w:hAnsi="Sylfaen" w:cs="Sylfaen"/>
          <w:szCs w:val="22"/>
          <w:lang w:val="ka-GE"/>
        </w:rPr>
        <w:t>ყოველ 250-300 მეტრში მოეწყო ამიერკავკასიის ჰიდრომეტეოროლოგიის სამეცნიეროკვლევით</w:t>
      </w:r>
      <w:r w:rsidR="00D308BF" w:rsidRPr="008B0984">
        <w:rPr>
          <w:rFonts w:ascii="Sylfaen" w:hAnsi="Sylfaen" w:cs="Sylfaen"/>
          <w:szCs w:val="22"/>
          <w:lang w:val="ka-GE"/>
        </w:rPr>
        <w:t xml:space="preserve"> </w:t>
      </w:r>
      <w:r w:rsidRPr="008B0984">
        <w:rPr>
          <w:rFonts w:ascii="Sylfaen" w:hAnsi="Sylfaen" w:cs="Sylfaen"/>
          <w:szCs w:val="22"/>
          <w:lang w:val="ka-GE"/>
        </w:rPr>
        <w:t>ინსტიტუტში შექმნილი ღვარცოფის დამჭერი სამი ნაგებობა. აღსანიშნავია,</w:t>
      </w:r>
      <w:r w:rsidR="00D308BF" w:rsidRPr="008B0984">
        <w:rPr>
          <w:rFonts w:ascii="Sylfaen" w:hAnsi="Sylfaen" w:cs="Sylfaen"/>
          <w:szCs w:val="22"/>
          <w:lang w:val="ka-GE"/>
        </w:rPr>
        <w:t xml:space="preserve"> </w:t>
      </w:r>
      <w:r w:rsidRPr="008B0984">
        <w:rPr>
          <w:rFonts w:ascii="Sylfaen" w:hAnsi="Sylfaen" w:cs="Sylfaen"/>
          <w:szCs w:val="22"/>
          <w:lang w:val="ka-GE"/>
        </w:rPr>
        <w:t>რომ სამივე ნაგებობა დღეისთვის კარგ ტექნიკურ მდგომარეობაშია.</w:t>
      </w:r>
      <w:r w:rsidR="00D308BF" w:rsidRPr="008B0984">
        <w:rPr>
          <w:rFonts w:ascii="Sylfaen" w:hAnsi="Sylfaen" w:cs="Sylfaen"/>
          <w:szCs w:val="22"/>
          <w:lang w:val="ka-GE"/>
        </w:rPr>
        <w:t xml:space="preserve"> </w:t>
      </w:r>
    </w:p>
    <w:p w14:paraId="2EB508F5" w14:textId="0A06B108" w:rsidR="00287210" w:rsidRPr="008B0984" w:rsidRDefault="00287210" w:rsidP="0000351B">
      <w:pPr>
        <w:spacing w:before="120" w:after="120"/>
        <w:ind w:right="46"/>
        <w:rPr>
          <w:rFonts w:ascii="Sylfaen" w:hAnsi="Sylfaen" w:cs="Sylfaen"/>
          <w:szCs w:val="22"/>
          <w:lang w:val="ka-GE"/>
        </w:rPr>
      </w:pPr>
      <w:r w:rsidRPr="008B0984">
        <w:rPr>
          <w:rFonts w:ascii="Sylfaen" w:hAnsi="Sylfaen" w:cs="Sylfaen"/>
          <w:szCs w:val="22"/>
          <w:lang w:val="ka-GE"/>
        </w:rPr>
        <w:t>მდინარე თელავისრიყეს სიგრძე სამოდერნიზაციო გზის გადაკვეთამდე 12,0 კმ,</w:t>
      </w:r>
      <w:r w:rsidR="00D308BF" w:rsidRPr="008B0984">
        <w:rPr>
          <w:rFonts w:ascii="Sylfaen" w:hAnsi="Sylfaen" w:cs="Sylfaen"/>
          <w:szCs w:val="22"/>
          <w:lang w:val="ka-GE"/>
        </w:rPr>
        <w:t xml:space="preserve"> </w:t>
      </w:r>
      <w:r w:rsidRPr="008B0984">
        <w:rPr>
          <w:rFonts w:ascii="Sylfaen" w:hAnsi="Sylfaen" w:cs="Sylfaen"/>
          <w:szCs w:val="22"/>
          <w:lang w:val="ka-GE"/>
        </w:rPr>
        <w:t>საერთო ვარდნა 1271 მ, საშუალო ქანობი 105,9 ‰, წყალშემკრები აუზის ფართობი კი</w:t>
      </w:r>
      <w:r w:rsidR="00D308BF" w:rsidRPr="008B0984">
        <w:rPr>
          <w:rFonts w:ascii="Sylfaen" w:hAnsi="Sylfaen" w:cs="Sylfaen"/>
          <w:szCs w:val="22"/>
          <w:lang w:val="ka-GE"/>
        </w:rPr>
        <w:t xml:space="preserve"> </w:t>
      </w:r>
      <w:r w:rsidRPr="008B0984">
        <w:rPr>
          <w:rFonts w:ascii="Sylfaen" w:hAnsi="Sylfaen" w:cs="Sylfaen"/>
          <w:szCs w:val="22"/>
          <w:lang w:val="ka-GE"/>
        </w:rPr>
        <w:t>24,7 კმ2-ია.</w:t>
      </w:r>
    </w:p>
    <w:p w14:paraId="2CD15D53" w14:textId="4F225EA0" w:rsidR="00287210" w:rsidRPr="008B0984" w:rsidRDefault="00287210" w:rsidP="0000351B">
      <w:pPr>
        <w:spacing w:before="120" w:after="120"/>
        <w:ind w:right="46"/>
        <w:rPr>
          <w:rFonts w:ascii="Sylfaen" w:hAnsi="Sylfaen" w:cs="Sylfaen"/>
          <w:szCs w:val="22"/>
          <w:lang w:val="ka-GE"/>
        </w:rPr>
      </w:pPr>
      <w:r w:rsidRPr="008B0984">
        <w:rPr>
          <w:rFonts w:ascii="Sylfaen" w:hAnsi="Sylfaen" w:cs="Sylfaen"/>
          <w:szCs w:val="22"/>
          <w:lang w:val="ka-GE"/>
        </w:rPr>
        <w:t>სხვა მცირე მდინარეებისა და ხევების გეოლოგიური პირობები და წყლიანობის</w:t>
      </w:r>
      <w:r w:rsidR="00D308BF" w:rsidRPr="008B0984">
        <w:rPr>
          <w:rFonts w:ascii="Sylfaen" w:hAnsi="Sylfaen" w:cs="Sylfaen"/>
          <w:szCs w:val="22"/>
          <w:lang w:val="ka-GE"/>
        </w:rPr>
        <w:t xml:space="preserve">  </w:t>
      </w:r>
      <w:r w:rsidRPr="008B0984">
        <w:rPr>
          <w:rFonts w:ascii="Sylfaen" w:hAnsi="Sylfaen" w:cs="Sylfaen"/>
          <w:szCs w:val="22"/>
          <w:lang w:val="ka-GE"/>
        </w:rPr>
        <w:t>რეჟიმი იდენტურია ზემოთ აღწერილი მდინარეების, ამიტომ მათი დეტალური</w:t>
      </w:r>
      <w:r w:rsidR="00D308BF" w:rsidRPr="008B0984">
        <w:rPr>
          <w:rFonts w:ascii="Sylfaen" w:hAnsi="Sylfaen" w:cs="Sylfaen"/>
          <w:szCs w:val="22"/>
          <w:lang w:val="ka-GE"/>
        </w:rPr>
        <w:t xml:space="preserve"> </w:t>
      </w:r>
      <w:r w:rsidRPr="008B0984">
        <w:rPr>
          <w:rFonts w:ascii="Sylfaen" w:hAnsi="Sylfaen" w:cs="Sylfaen"/>
          <w:szCs w:val="22"/>
          <w:lang w:val="ka-GE"/>
        </w:rPr>
        <w:t>დახასიათების მოყვანა არ იქნა მიჩნეული მიზანშეწონილად.</w:t>
      </w:r>
    </w:p>
    <w:p w14:paraId="456CF016" w14:textId="77777777" w:rsidR="00D308BF" w:rsidRPr="008B0984" w:rsidRDefault="00D308BF" w:rsidP="0000351B">
      <w:pPr>
        <w:spacing w:before="120" w:after="120"/>
        <w:ind w:right="46"/>
        <w:rPr>
          <w:rFonts w:ascii="Sylfaen" w:hAnsi="Sylfaen" w:cs="Sylfaen"/>
          <w:b/>
          <w:szCs w:val="22"/>
          <w:lang w:val="ka-GE"/>
        </w:rPr>
      </w:pPr>
      <w:r w:rsidRPr="008B0984">
        <w:rPr>
          <w:rFonts w:ascii="Sylfaen" w:hAnsi="Sylfaen" w:cs="Sylfaen"/>
          <w:b/>
          <w:szCs w:val="22"/>
          <w:lang w:val="ka-GE"/>
        </w:rPr>
        <w:t>წყლის მაქსიმალური ხარჯები</w:t>
      </w:r>
    </w:p>
    <w:p w14:paraId="55DF3475" w14:textId="636E8156" w:rsidR="00D308BF" w:rsidRPr="008B0984" w:rsidRDefault="006D3BB5" w:rsidP="0000351B">
      <w:pPr>
        <w:spacing w:before="120" w:after="120"/>
        <w:ind w:right="46"/>
        <w:rPr>
          <w:rFonts w:ascii="Sylfaen" w:hAnsi="Sylfaen" w:cs="Sylfaen"/>
          <w:szCs w:val="22"/>
          <w:lang w:val="ka-GE"/>
        </w:rPr>
      </w:pPr>
      <w:r>
        <w:rPr>
          <w:rFonts w:ascii="Sylfaen" w:hAnsi="Sylfaen"/>
          <w:lang w:val="ka-GE"/>
        </w:rPr>
        <w:t>გურჯაანის (ჩუმლაყი)</w:t>
      </w:r>
      <w:r>
        <w:rPr>
          <w:rFonts w:ascii="Sylfaen" w:hAnsi="Sylfaen"/>
          <w:lang w:val="en-US"/>
        </w:rPr>
        <w:t>-</w:t>
      </w:r>
      <w:r>
        <w:rPr>
          <w:rFonts w:ascii="Sylfaen" w:hAnsi="Sylfaen"/>
          <w:lang w:val="ka-GE"/>
        </w:rPr>
        <w:t xml:space="preserve">თელავის </w:t>
      </w:r>
      <w:r w:rsidR="00D308BF" w:rsidRPr="008B0984">
        <w:rPr>
          <w:rFonts w:ascii="Sylfaen" w:hAnsi="Sylfaen" w:cs="Sylfaen"/>
          <w:szCs w:val="22"/>
          <w:lang w:val="ka-GE"/>
        </w:rPr>
        <w:t xml:space="preserve"> </w:t>
      </w:r>
      <w:r w:rsidR="00D308BF">
        <w:rPr>
          <w:rFonts w:ascii="Sylfaen" w:hAnsi="Sylfaen" w:cs="Sylfaen"/>
          <w:szCs w:val="22"/>
          <w:lang w:val="ka-GE"/>
        </w:rPr>
        <w:t>სამშენებლო</w:t>
      </w:r>
      <w:r w:rsidR="00D308BF" w:rsidRPr="008B0984">
        <w:rPr>
          <w:rFonts w:ascii="Sylfaen" w:hAnsi="Sylfaen" w:cs="Sylfaen"/>
          <w:szCs w:val="22"/>
          <w:lang w:val="ka-GE"/>
        </w:rPr>
        <w:t xml:space="preserve"> გზის გადამკვეთი მდინარეები</w:t>
      </w:r>
      <w:r w:rsidR="00D308BF">
        <w:rPr>
          <w:rFonts w:ascii="Sylfaen" w:hAnsi="Sylfaen" w:cs="Sylfaen"/>
          <w:szCs w:val="22"/>
          <w:lang w:val="ka-GE"/>
        </w:rPr>
        <w:t xml:space="preserve"> </w:t>
      </w:r>
      <w:r w:rsidR="00D308BF" w:rsidRPr="008B0984">
        <w:rPr>
          <w:rFonts w:ascii="Sylfaen" w:hAnsi="Sylfaen" w:cs="Sylfaen"/>
          <w:szCs w:val="22"/>
          <w:lang w:val="ka-GE"/>
        </w:rPr>
        <w:t>და ხევები შეუსწავლელია ჰიდროლოგიური თვალსაზრისით. ამიტომ, მათი წყლის</w:t>
      </w:r>
      <w:r w:rsidR="00D308BF">
        <w:rPr>
          <w:rFonts w:ascii="Sylfaen" w:hAnsi="Sylfaen" w:cs="Sylfaen"/>
          <w:szCs w:val="22"/>
          <w:lang w:val="ka-GE"/>
        </w:rPr>
        <w:t xml:space="preserve"> </w:t>
      </w:r>
      <w:r w:rsidR="00D308BF" w:rsidRPr="008B0984">
        <w:rPr>
          <w:rFonts w:ascii="Sylfaen" w:hAnsi="Sylfaen" w:cs="Sylfaen"/>
          <w:szCs w:val="22"/>
          <w:lang w:val="ka-GE"/>
        </w:rPr>
        <w:t>მაქსიმალური ხარჯები საპროექტო კვეთებში დადგენილია მეთოდით, რომელიც</w:t>
      </w:r>
      <w:r w:rsidR="00D308BF">
        <w:rPr>
          <w:rFonts w:ascii="Sylfaen" w:hAnsi="Sylfaen" w:cs="Sylfaen"/>
          <w:szCs w:val="22"/>
          <w:lang w:val="ka-GE"/>
        </w:rPr>
        <w:t xml:space="preserve"> </w:t>
      </w:r>
      <w:r w:rsidR="00D308BF" w:rsidRPr="008B0984">
        <w:rPr>
          <w:rFonts w:ascii="Sylfaen" w:hAnsi="Sylfaen" w:cs="Sylfaen"/>
          <w:szCs w:val="22"/>
          <w:lang w:val="ka-GE"/>
        </w:rPr>
        <w:t>მოცემულია ,,კავკასიის პირობებში მდინარეთა მაქსიმალური ჩამონადენის საანგარიშო</w:t>
      </w:r>
      <w:r w:rsidR="00D308BF">
        <w:rPr>
          <w:rFonts w:ascii="Sylfaen" w:hAnsi="Sylfaen" w:cs="Sylfaen"/>
          <w:szCs w:val="22"/>
          <w:lang w:val="ka-GE"/>
        </w:rPr>
        <w:t xml:space="preserve"> </w:t>
      </w:r>
      <w:r w:rsidR="00D308BF" w:rsidRPr="008B0984">
        <w:rPr>
          <w:rFonts w:ascii="Sylfaen" w:hAnsi="Sylfaen" w:cs="Sylfaen"/>
          <w:szCs w:val="22"/>
          <w:lang w:val="ka-GE"/>
        </w:rPr>
        <w:t>ტექნიკურ მითითებაში”.</w:t>
      </w:r>
    </w:p>
    <w:p w14:paraId="09ED2F1D" w14:textId="2E0F9D56" w:rsidR="00D308BF" w:rsidRPr="008B0984" w:rsidRDefault="00D308BF" w:rsidP="0000351B">
      <w:pPr>
        <w:spacing w:before="120" w:after="120"/>
        <w:ind w:right="46"/>
        <w:rPr>
          <w:rFonts w:ascii="Sylfaen" w:hAnsi="Sylfaen" w:cs="Sylfaen"/>
          <w:szCs w:val="22"/>
          <w:lang w:val="ka-GE"/>
        </w:rPr>
      </w:pPr>
      <w:r w:rsidRPr="008B0984">
        <w:rPr>
          <w:rFonts w:ascii="Sylfaen" w:hAnsi="Sylfaen" w:cs="Sylfaen"/>
          <w:szCs w:val="22"/>
          <w:lang w:val="ka-GE"/>
        </w:rPr>
        <w:lastRenderedPageBreak/>
        <w:t>აღსანიშნავია, რომ შემოთავაზებული მეთოდი წყლის მაქსიმალური ხარჯების</w:t>
      </w:r>
      <w:r>
        <w:rPr>
          <w:rFonts w:ascii="Sylfaen" w:hAnsi="Sylfaen" w:cs="Sylfaen"/>
          <w:szCs w:val="22"/>
          <w:lang w:val="ka-GE"/>
        </w:rPr>
        <w:t xml:space="preserve"> </w:t>
      </w:r>
      <w:r w:rsidRPr="008B0984">
        <w:rPr>
          <w:rFonts w:ascii="Sylfaen" w:hAnsi="Sylfaen" w:cs="Sylfaen"/>
          <w:szCs w:val="22"/>
          <w:lang w:val="ka-GE"/>
        </w:rPr>
        <w:t>15-18%-ით მაღალ მნიშვნელობებს იძლევა, ვიდრე СНиП</w:t>
      </w:r>
      <w:r w:rsidRPr="008B0984">
        <w:rPr>
          <w:rFonts w:ascii="Sylfaen" w:hAnsi="Sylfaen" w:cs="Sylfaen"/>
          <w:szCs w:val="22"/>
          <w:lang w:val="ka-GE"/>
        </w:rPr>
        <w:softHyphen/>
        <w:t>2.01.14-83–ში (,,Определение</w:t>
      </w:r>
      <w:r>
        <w:rPr>
          <w:rFonts w:ascii="Sylfaen" w:hAnsi="Sylfaen" w:cs="Sylfaen"/>
          <w:szCs w:val="22"/>
          <w:lang w:val="ka-GE"/>
        </w:rPr>
        <w:t xml:space="preserve"> </w:t>
      </w:r>
      <w:r w:rsidRPr="008B0984">
        <w:rPr>
          <w:rFonts w:ascii="Sylfaen" w:hAnsi="Sylfaen" w:cs="Sylfaen"/>
          <w:szCs w:val="22"/>
          <w:lang w:val="ka-GE"/>
        </w:rPr>
        <w:t>расчетных Гидролгических Характеристик”) მოცემული ზღვრული ინტენსივობის</w:t>
      </w:r>
      <w:r>
        <w:rPr>
          <w:rFonts w:ascii="Sylfaen" w:hAnsi="Sylfaen" w:cs="Sylfaen"/>
          <w:szCs w:val="22"/>
          <w:lang w:val="ka-GE"/>
        </w:rPr>
        <w:t xml:space="preserve"> </w:t>
      </w:r>
      <w:r w:rsidRPr="008B0984">
        <w:rPr>
          <w:rFonts w:ascii="Sylfaen" w:hAnsi="Sylfaen" w:cs="Sylfaen"/>
          <w:szCs w:val="22"/>
          <w:lang w:val="ka-GE"/>
        </w:rPr>
        <w:t>ფორმულა, რომელიც გამოყვანილია ყოფილი სსრ კავშირის მდინარეებისთვის გასული</w:t>
      </w:r>
      <w:r>
        <w:rPr>
          <w:rFonts w:ascii="Sylfaen" w:hAnsi="Sylfaen" w:cs="Sylfaen"/>
          <w:szCs w:val="22"/>
          <w:lang w:val="ka-GE"/>
        </w:rPr>
        <w:t xml:space="preserve"> </w:t>
      </w:r>
      <w:r w:rsidRPr="008B0984">
        <w:rPr>
          <w:rFonts w:ascii="Sylfaen" w:hAnsi="Sylfaen" w:cs="Sylfaen"/>
          <w:szCs w:val="22"/>
          <w:lang w:val="ka-GE"/>
        </w:rPr>
        <w:t>საუკუნის 60-იან წლებში. ზღვრული ინტენსივობის ფორმულა არ ითვალისწინებს</w:t>
      </w:r>
      <w:r>
        <w:rPr>
          <w:rFonts w:ascii="Sylfaen" w:hAnsi="Sylfaen" w:cs="Sylfaen"/>
          <w:szCs w:val="22"/>
          <w:lang w:val="ka-GE"/>
        </w:rPr>
        <w:t xml:space="preserve"> </w:t>
      </w:r>
      <w:r w:rsidRPr="008B0984">
        <w:rPr>
          <w:rFonts w:ascii="Sylfaen" w:hAnsi="Sylfaen" w:cs="Sylfaen"/>
          <w:szCs w:val="22"/>
          <w:lang w:val="ka-GE"/>
        </w:rPr>
        <w:t>ბოლო ათწლეულების განმავლობაში მიმდინარე კლიმატის გლობალურ ცვლილებებს</w:t>
      </w:r>
      <w:r>
        <w:rPr>
          <w:rFonts w:ascii="Sylfaen" w:hAnsi="Sylfaen" w:cs="Sylfaen"/>
          <w:szCs w:val="22"/>
          <w:lang w:val="ka-GE"/>
        </w:rPr>
        <w:t xml:space="preserve"> </w:t>
      </w:r>
      <w:r w:rsidRPr="008B0984">
        <w:rPr>
          <w:rFonts w:ascii="Sylfaen" w:hAnsi="Sylfaen" w:cs="Sylfaen"/>
          <w:szCs w:val="22"/>
          <w:lang w:val="ka-GE"/>
        </w:rPr>
        <w:t>და მასთან დაკავშირებულ ნალექების გაზრდილ ინტენსივობას, რაც შესაბამისად</w:t>
      </w:r>
      <w:r>
        <w:rPr>
          <w:rFonts w:ascii="Sylfaen" w:hAnsi="Sylfaen" w:cs="Sylfaen"/>
          <w:szCs w:val="22"/>
          <w:lang w:val="ka-GE"/>
        </w:rPr>
        <w:t xml:space="preserve"> </w:t>
      </w:r>
      <w:r w:rsidRPr="008B0984">
        <w:rPr>
          <w:rFonts w:ascii="Sylfaen" w:hAnsi="Sylfaen" w:cs="Sylfaen"/>
          <w:szCs w:val="22"/>
          <w:lang w:val="ka-GE"/>
        </w:rPr>
        <w:t>აისახება ამ ფორმულით მიღებული ხარჯების დაბალ სიდიდეებზე. კლიმატის</w:t>
      </w:r>
      <w:r>
        <w:rPr>
          <w:rFonts w:ascii="Sylfaen" w:hAnsi="Sylfaen" w:cs="Sylfaen"/>
          <w:szCs w:val="22"/>
          <w:lang w:val="ka-GE"/>
        </w:rPr>
        <w:t xml:space="preserve"> </w:t>
      </w:r>
      <w:r w:rsidRPr="008B0984">
        <w:rPr>
          <w:rFonts w:ascii="Sylfaen" w:hAnsi="Sylfaen" w:cs="Sylfaen"/>
          <w:szCs w:val="22"/>
          <w:lang w:val="ka-GE"/>
        </w:rPr>
        <w:t>გლობალური ცვლილებების ფონზე ნალექების გაზრდილი ინტენსივობისა და</w:t>
      </w:r>
      <w:r>
        <w:rPr>
          <w:rFonts w:ascii="Sylfaen" w:hAnsi="Sylfaen" w:cs="Sylfaen"/>
          <w:szCs w:val="22"/>
          <w:lang w:val="ka-GE"/>
        </w:rPr>
        <w:t xml:space="preserve"> </w:t>
      </w:r>
      <w:r w:rsidRPr="008B0984">
        <w:rPr>
          <w:rFonts w:ascii="Sylfaen" w:hAnsi="Sylfaen" w:cs="Sylfaen"/>
          <w:szCs w:val="22"/>
          <w:lang w:val="ka-GE"/>
        </w:rPr>
        <w:t>შესაბამისად მაქსიმალური ხარჯების გაზრდილი მაჩვენებლების გათვალისწინებით,</w:t>
      </w:r>
      <w:r>
        <w:rPr>
          <w:rFonts w:ascii="Sylfaen" w:hAnsi="Sylfaen" w:cs="Sylfaen"/>
          <w:szCs w:val="22"/>
          <w:lang w:val="ka-GE"/>
        </w:rPr>
        <w:t xml:space="preserve"> </w:t>
      </w:r>
      <w:r w:rsidRPr="008B0984">
        <w:rPr>
          <w:rFonts w:ascii="Sylfaen" w:hAnsi="Sylfaen" w:cs="Sylfaen"/>
          <w:szCs w:val="22"/>
          <w:lang w:val="ka-GE"/>
        </w:rPr>
        <w:t>მიღებული იქნა გადაწყვეტილება წყლის მაქსიმალური ხარჯების საანგარიშო</w:t>
      </w:r>
      <w:r>
        <w:rPr>
          <w:rFonts w:ascii="Sylfaen" w:hAnsi="Sylfaen" w:cs="Sylfaen"/>
          <w:szCs w:val="22"/>
          <w:lang w:val="ka-GE"/>
        </w:rPr>
        <w:t xml:space="preserve"> </w:t>
      </w:r>
      <w:r w:rsidRPr="008B0984">
        <w:rPr>
          <w:rFonts w:ascii="Sylfaen" w:hAnsi="Sylfaen" w:cs="Sylfaen"/>
          <w:szCs w:val="22"/>
          <w:lang w:val="ka-GE"/>
        </w:rPr>
        <w:t>სიდიდეების დადგენის შესახებ ტექნიკურ მითითებაში მოცემული მეთოდით.</w:t>
      </w:r>
      <w:r>
        <w:rPr>
          <w:rFonts w:ascii="Sylfaen" w:hAnsi="Sylfaen" w:cs="Sylfaen"/>
          <w:szCs w:val="22"/>
          <w:lang w:val="ka-GE"/>
        </w:rPr>
        <w:t xml:space="preserve"> </w:t>
      </w:r>
      <w:r w:rsidRPr="008B0984">
        <w:rPr>
          <w:rFonts w:ascii="Sylfaen" w:hAnsi="Sylfaen" w:cs="Sylfaen"/>
          <w:szCs w:val="22"/>
          <w:lang w:val="ka-GE"/>
        </w:rPr>
        <w:t>აღნიშნული მეთოდი კარგად აპრობირებულია საქართველოს პირობებში და</w:t>
      </w:r>
      <w:r>
        <w:rPr>
          <w:rFonts w:ascii="Sylfaen" w:hAnsi="Sylfaen" w:cs="Sylfaen"/>
          <w:szCs w:val="22"/>
          <w:lang w:val="ka-GE"/>
        </w:rPr>
        <w:t xml:space="preserve"> </w:t>
      </w:r>
      <w:r w:rsidRPr="008B0984">
        <w:rPr>
          <w:rFonts w:ascii="Sylfaen" w:hAnsi="Sylfaen" w:cs="Sylfaen"/>
          <w:szCs w:val="22"/>
          <w:lang w:val="ka-GE"/>
        </w:rPr>
        <w:t>პრაქტიკული გამოცდილებიდან გამომდინარე აკამყოფილებს თანამედროვე</w:t>
      </w:r>
      <w:r>
        <w:rPr>
          <w:rFonts w:ascii="Sylfaen" w:hAnsi="Sylfaen" w:cs="Sylfaen"/>
          <w:szCs w:val="22"/>
          <w:lang w:val="ka-GE"/>
        </w:rPr>
        <w:t xml:space="preserve"> </w:t>
      </w:r>
      <w:r w:rsidRPr="008B0984">
        <w:rPr>
          <w:rFonts w:ascii="Sylfaen" w:hAnsi="Sylfaen" w:cs="Sylfaen"/>
          <w:szCs w:val="22"/>
          <w:lang w:val="ka-GE"/>
        </w:rPr>
        <w:t>მოთხოვნებს.</w:t>
      </w:r>
    </w:p>
    <w:p w14:paraId="4FDCA7BD" w14:textId="77777777" w:rsidR="00D308BF" w:rsidRDefault="00D308BF" w:rsidP="0000351B">
      <w:pPr>
        <w:spacing w:before="120" w:after="120"/>
        <w:ind w:right="49"/>
        <w:rPr>
          <w:rFonts w:ascii="Sylfaen" w:hAnsi="Sylfaen" w:cs="Sylfaen"/>
          <w:lang w:val="it-IT"/>
        </w:rPr>
      </w:pPr>
      <w:r w:rsidRPr="00D308BF">
        <w:rPr>
          <w:rFonts w:ascii="Sylfaen" w:hAnsi="Sylfaen" w:cs="Sylfaen"/>
          <w:szCs w:val="22"/>
          <w:lang w:val="en-US"/>
        </w:rPr>
        <w:t>,,კავკასიის პირობებში მდინარეთა მაქსიმალური ჩამონადენის საანგარიშო</w:t>
      </w:r>
      <w:r>
        <w:rPr>
          <w:rFonts w:ascii="Sylfaen" w:hAnsi="Sylfaen" w:cs="Sylfaen"/>
          <w:szCs w:val="22"/>
          <w:lang w:val="ka-GE"/>
        </w:rPr>
        <w:t xml:space="preserve"> </w:t>
      </w:r>
      <w:r w:rsidRPr="00D308BF">
        <w:rPr>
          <w:rFonts w:ascii="Sylfaen" w:hAnsi="Sylfaen" w:cs="Sylfaen"/>
          <w:szCs w:val="22"/>
          <w:lang w:val="en-US"/>
        </w:rPr>
        <w:t>ტექნიკურ მითითებაში” მოცემული მეთოდის თანახმად, წყლის მაქსიმალური ხარჯების</w:t>
      </w:r>
      <w:r>
        <w:rPr>
          <w:rFonts w:ascii="Sylfaen" w:hAnsi="Sylfaen" w:cs="Sylfaen"/>
          <w:szCs w:val="22"/>
          <w:lang w:val="ka-GE"/>
        </w:rPr>
        <w:t xml:space="preserve"> </w:t>
      </w:r>
      <w:r w:rsidRPr="00D308BF">
        <w:rPr>
          <w:rFonts w:ascii="Sylfaen" w:hAnsi="Sylfaen" w:cs="Sylfaen"/>
          <w:szCs w:val="22"/>
          <w:lang w:val="en-US"/>
        </w:rPr>
        <w:t>სიდიდეები იმ მდინარეებზე და ხევებზე, რომელთა წყალშემკრები აუზის ფართობი არ</w:t>
      </w:r>
      <w:r>
        <w:rPr>
          <w:rFonts w:ascii="Sylfaen" w:hAnsi="Sylfaen" w:cs="Sylfaen"/>
          <w:szCs w:val="22"/>
          <w:lang w:val="ka-GE"/>
        </w:rPr>
        <w:t xml:space="preserve"> </w:t>
      </w:r>
      <w:r w:rsidRPr="00D308BF">
        <w:rPr>
          <w:rFonts w:ascii="Sylfaen" w:hAnsi="Sylfaen" w:cs="Sylfaen"/>
          <w:szCs w:val="22"/>
          <w:lang w:val="en-US"/>
        </w:rPr>
        <w:t xml:space="preserve">აღემატება 300 კმ2-ს, იანგარიშება ფორმულით, </w:t>
      </w:r>
      <w:r>
        <w:rPr>
          <w:rFonts w:ascii="Sylfaen" w:hAnsi="Sylfaen" w:cs="Sylfaen"/>
          <w:lang w:val="it-IT"/>
        </w:rPr>
        <w:t>რომელსაც</w:t>
      </w:r>
      <w:r>
        <w:rPr>
          <w:rFonts w:ascii="AcadNusx" w:hAnsi="AcadNusx"/>
          <w:lang w:val="it-IT"/>
        </w:rPr>
        <w:t xml:space="preserve"> </w:t>
      </w:r>
      <w:r>
        <w:rPr>
          <w:rFonts w:ascii="Sylfaen" w:hAnsi="Sylfaen" w:cs="Sylfaen"/>
          <w:lang w:val="it-IT"/>
        </w:rPr>
        <w:t>შემდეგი</w:t>
      </w:r>
      <w:r>
        <w:rPr>
          <w:rFonts w:ascii="AcadNusx" w:hAnsi="AcadNusx"/>
          <w:lang w:val="it-IT"/>
        </w:rPr>
        <w:t xml:space="preserve"> </w:t>
      </w:r>
      <w:r>
        <w:rPr>
          <w:rFonts w:ascii="Sylfaen" w:hAnsi="Sylfaen" w:cs="Sylfaen"/>
          <w:lang w:val="it-IT"/>
        </w:rPr>
        <w:t>სახე</w:t>
      </w:r>
      <w:r>
        <w:rPr>
          <w:rFonts w:ascii="AcadNusx" w:hAnsi="AcadNusx"/>
          <w:lang w:val="it-IT"/>
        </w:rPr>
        <w:t xml:space="preserve"> </w:t>
      </w:r>
      <w:r>
        <w:rPr>
          <w:rFonts w:ascii="Sylfaen" w:hAnsi="Sylfaen" w:cs="Sylfaen"/>
          <w:lang w:val="it-IT"/>
        </w:rPr>
        <w:t>გააჩნია</w:t>
      </w:r>
    </w:p>
    <w:p w14:paraId="5F1BDBFE" w14:textId="77777777" w:rsidR="00D308BF" w:rsidRDefault="00D308BF" w:rsidP="0000351B">
      <w:pPr>
        <w:ind w:right="49"/>
        <w:jc w:val="center"/>
        <w:rPr>
          <w:rFonts w:ascii="AcadNusx" w:hAnsi="AcadNusx"/>
          <w:lang w:val="it-IT"/>
        </w:rPr>
      </w:pPr>
      <w:r>
        <w:rPr>
          <w:rFonts w:ascii="AcadNusx" w:hAnsi="AcadNusx"/>
          <w:position w:val="-32"/>
        </w:rPr>
        <w:object w:dxaOrig="4125" w:dyaOrig="765" w14:anchorId="495F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45pt;height:36pt" o:ole="">
            <v:imagedata r:id="rId120" o:title=""/>
          </v:shape>
          <o:OLEObject Type="Embed" ProgID="Equation.3" ShapeID="_x0000_i1025" DrawAspect="Content" ObjectID="_1612194547" r:id="rId121"/>
        </w:object>
      </w:r>
      <w:r>
        <w:rPr>
          <w:rFonts w:ascii="AcadNusx" w:hAnsi="AcadNusx"/>
          <w:lang w:val="it-IT"/>
        </w:rPr>
        <w:t xml:space="preserve"> m</w:t>
      </w:r>
      <w:r>
        <w:rPr>
          <w:rFonts w:ascii="AcadNusx" w:hAnsi="AcadNusx"/>
          <w:vertAlign w:val="superscript"/>
          <w:lang w:val="it-IT"/>
        </w:rPr>
        <w:t>3</w:t>
      </w:r>
      <w:r>
        <w:rPr>
          <w:rFonts w:ascii="AcadNusx" w:hAnsi="AcadNusx"/>
          <w:lang w:val="it-IT"/>
        </w:rPr>
        <w:t>/wm</w:t>
      </w:r>
    </w:p>
    <w:p w14:paraId="4AD39369" w14:textId="77777777" w:rsidR="00D308BF" w:rsidRDefault="00D308BF" w:rsidP="0000351B">
      <w:pPr>
        <w:ind w:right="49"/>
        <w:rPr>
          <w:rFonts w:ascii="AcadNusx" w:hAnsi="AcadNusx"/>
          <w:lang w:val="it-IT"/>
        </w:rPr>
      </w:pPr>
      <w:r>
        <w:rPr>
          <w:rFonts w:ascii="Sylfaen" w:hAnsi="Sylfaen"/>
          <w:lang w:val="ka-GE"/>
        </w:rPr>
        <w:t>სადაც</w:t>
      </w:r>
      <w:r>
        <w:rPr>
          <w:rFonts w:ascii="AcadNusx" w:hAnsi="AcadNusx"/>
          <w:lang w:val="it-IT"/>
        </w:rPr>
        <w:t xml:space="preserve"> </w:t>
      </w:r>
      <w:r>
        <w:rPr>
          <w:rFonts w:ascii="AcadNusx" w:hAnsi="AcadNusx"/>
          <w:position w:val="-4"/>
        </w:rPr>
        <w:object w:dxaOrig="240" w:dyaOrig="255" w14:anchorId="5FE3DD79">
          <v:shape id="_x0000_i1026" type="#_x0000_t75" style="width:14.25pt;height:14.25pt" o:ole="">
            <v:imagedata r:id="rId122" o:title=""/>
          </v:shape>
          <o:OLEObject Type="Embed" ProgID="Equation.3" ShapeID="_x0000_i1026" DrawAspect="Content" ObjectID="_1612194548" r:id="rId123"/>
        </w:object>
      </w:r>
      <w:r>
        <w:rPr>
          <w:rFonts w:ascii="AcadNusx" w:hAnsi="AcadNusx"/>
          <w:lang w:val="it-IT"/>
        </w:rPr>
        <w:t>_</w:t>
      </w:r>
      <w:r>
        <w:rPr>
          <w:rFonts w:ascii="Sylfaen" w:hAnsi="Sylfaen"/>
          <w:lang w:val="ka-GE"/>
        </w:rPr>
        <w:t xml:space="preserve"> რაიონული პარამეტრია. მისი მნიშვნელობა აღმოსავლეთ საქართველოს პირობებში მიღებულია 1,15-ის ტოლი;</w:t>
      </w:r>
    </w:p>
    <w:p w14:paraId="31CB11D1" w14:textId="77777777" w:rsidR="00D308BF" w:rsidRDefault="00D308BF" w:rsidP="0000351B">
      <w:pPr>
        <w:ind w:right="49"/>
        <w:rPr>
          <w:rFonts w:ascii="AcadNusx" w:hAnsi="AcadNusx"/>
          <w:lang w:val="it-IT"/>
        </w:rPr>
      </w:pPr>
      <w:r>
        <w:rPr>
          <w:rFonts w:ascii="AcadNusx" w:hAnsi="AcadNusx"/>
          <w:position w:val="-4"/>
        </w:rPr>
        <w:object w:dxaOrig="255" w:dyaOrig="255" w14:anchorId="43B44C37">
          <v:shape id="_x0000_i1027" type="#_x0000_t75" style="width:14.25pt;height:14.25pt" o:ole="">
            <v:imagedata r:id="rId124" o:title=""/>
          </v:shape>
          <o:OLEObject Type="Embed" ProgID="Equation.3" ShapeID="_x0000_i1027" DrawAspect="Content" ObjectID="_1612194549" r:id="rId125"/>
        </w:object>
      </w:r>
      <w:r>
        <w:rPr>
          <w:rFonts w:ascii="AcadNusx" w:hAnsi="AcadNusx"/>
          <w:lang w:val="it-IT"/>
        </w:rPr>
        <w:t xml:space="preserve">_ </w:t>
      </w:r>
      <w:r>
        <w:rPr>
          <w:rFonts w:ascii="Sylfaen" w:hAnsi="Sylfaen"/>
          <w:lang w:val="ka-GE"/>
        </w:rPr>
        <w:t>წყალშემკრები აუზის ფართობია საპროექტო კვეთში კმ</w:t>
      </w:r>
      <w:r>
        <w:rPr>
          <w:rFonts w:ascii="AcadNusx" w:hAnsi="AcadNusx"/>
          <w:vertAlign w:val="superscript"/>
          <w:lang w:val="it-IT"/>
        </w:rPr>
        <w:t>2</w:t>
      </w:r>
      <w:r>
        <w:rPr>
          <w:rFonts w:ascii="AcadNusx" w:hAnsi="AcadNusx"/>
          <w:lang w:val="it-IT"/>
        </w:rPr>
        <w:t>-</w:t>
      </w:r>
      <w:r>
        <w:rPr>
          <w:rFonts w:ascii="Sylfaen" w:hAnsi="Sylfaen"/>
          <w:lang w:val="ka-GE"/>
        </w:rPr>
        <w:t>ში;</w:t>
      </w:r>
      <w:r>
        <w:rPr>
          <w:rFonts w:ascii="AcadNusx" w:hAnsi="AcadNusx"/>
          <w:lang w:val="it-IT"/>
        </w:rPr>
        <w:t>;</w:t>
      </w:r>
    </w:p>
    <w:p w14:paraId="56773D44" w14:textId="77777777" w:rsidR="00D308BF" w:rsidRDefault="00D308BF" w:rsidP="0000351B">
      <w:pPr>
        <w:ind w:right="49"/>
        <w:rPr>
          <w:rFonts w:ascii="Sylfaen" w:hAnsi="Sylfaen"/>
          <w:lang w:val="ka-GE"/>
        </w:rPr>
      </w:pPr>
      <w:r>
        <w:rPr>
          <w:rFonts w:ascii="AcadNusx" w:hAnsi="AcadNusx"/>
          <w:position w:val="-4"/>
        </w:rPr>
        <w:object w:dxaOrig="255" w:dyaOrig="255" w14:anchorId="76DCAAFA">
          <v:shape id="_x0000_i1028" type="#_x0000_t75" style="width:14.25pt;height:14.25pt" o:ole="">
            <v:imagedata r:id="rId126" o:title=""/>
          </v:shape>
          <o:OLEObject Type="Embed" ProgID="Equation.3" ShapeID="_x0000_i1028" DrawAspect="Content" ObjectID="_1612194550" r:id="rId127"/>
        </w:object>
      </w:r>
      <w:r>
        <w:rPr>
          <w:rFonts w:ascii="AcadNusx" w:hAnsi="AcadNusx"/>
        </w:rPr>
        <w:t xml:space="preserve">_ </w:t>
      </w:r>
      <w:r>
        <w:rPr>
          <w:rFonts w:ascii="Sylfaen" w:hAnsi="Sylfaen"/>
          <w:lang w:val="ka-GE"/>
        </w:rPr>
        <w:t xml:space="preserve">რაიონის კლიმატური კოეფიციენტია, რომლის მნიშვნელობა აიღება სპეციალური რუკიდან; </w:t>
      </w:r>
      <w:r>
        <w:rPr>
          <w:rFonts w:ascii="AcadNusx" w:hAnsi="AcadNusx"/>
        </w:rPr>
        <w:t xml:space="preserve">       </w:t>
      </w:r>
      <w:r>
        <w:rPr>
          <w:rFonts w:ascii="AcadNusx" w:hAnsi="AcadNusx"/>
          <w:position w:val="-6"/>
        </w:rPr>
        <w:object w:dxaOrig="225" w:dyaOrig="225" w14:anchorId="0A98203A">
          <v:shape id="_x0000_i1029" type="#_x0000_t75" style="width:14.25pt;height:14.25pt" o:ole="">
            <v:imagedata r:id="rId128" o:title=""/>
          </v:shape>
          <o:OLEObject Type="Embed" ProgID="Equation.3" ShapeID="_x0000_i1029" DrawAspect="Content" ObjectID="_1612194551" r:id="rId129"/>
        </w:object>
      </w:r>
      <w:r>
        <w:rPr>
          <w:rFonts w:ascii="AcadNusx" w:hAnsi="AcadNusx"/>
        </w:rPr>
        <w:t xml:space="preserve">_ </w:t>
      </w:r>
      <w:r>
        <w:rPr>
          <w:rFonts w:ascii="Sylfaen" w:hAnsi="Sylfaen"/>
          <w:lang w:val="ka-GE"/>
        </w:rPr>
        <w:t>განმეორებადობაა წლებში;</w:t>
      </w:r>
    </w:p>
    <w:p w14:paraId="37763857" w14:textId="77777777" w:rsidR="00D308BF" w:rsidRDefault="00D308BF" w:rsidP="0000351B">
      <w:pPr>
        <w:ind w:right="49"/>
        <w:rPr>
          <w:rFonts w:ascii="Sylfaen" w:hAnsi="Sylfaen"/>
          <w:lang w:val="ka-GE"/>
        </w:rPr>
      </w:pPr>
      <w:r>
        <w:rPr>
          <w:rFonts w:ascii="AcadNusx" w:hAnsi="AcadNusx"/>
          <w:position w:val="-6"/>
        </w:rPr>
        <w:object w:dxaOrig="165" w:dyaOrig="300" w14:anchorId="0918F7A9">
          <v:shape id="_x0000_i1030" type="#_x0000_t75" style="width:7.55pt;height:14.25pt" o:ole="">
            <v:imagedata r:id="rId130" o:title=""/>
          </v:shape>
          <o:OLEObject Type="Embed" ProgID="Equation.3" ShapeID="_x0000_i1030" DrawAspect="Content" ObjectID="_1612194552" r:id="rId131"/>
        </w:object>
      </w:r>
      <w:r>
        <w:rPr>
          <w:rFonts w:ascii="AcadNusx" w:hAnsi="AcadNusx"/>
          <w:lang w:val="ka-GE"/>
        </w:rPr>
        <w:t>_</w:t>
      </w:r>
      <w:r>
        <w:rPr>
          <w:rFonts w:ascii="Sylfaen" w:hAnsi="Sylfaen"/>
          <w:lang w:val="ka-GE"/>
        </w:rPr>
        <w:t xml:space="preserve"> მდინარის ან ხევის კალაპოტის გაწონასწორებული ქანობია ერთეულებში სათავიდან საპროექტო კვეთამდე;</w:t>
      </w:r>
    </w:p>
    <w:p w14:paraId="4D5C24E4" w14:textId="77777777" w:rsidR="00D308BF" w:rsidRDefault="00D308BF" w:rsidP="0000351B">
      <w:pPr>
        <w:ind w:right="49"/>
        <w:rPr>
          <w:rFonts w:ascii="Sylfaen" w:hAnsi="Sylfaen"/>
          <w:lang w:val="ka-GE"/>
        </w:rPr>
      </w:pPr>
      <w:r>
        <w:rPr>
          <w:rFonts w:ascii="AcadNusx" w:hAnsi="AcadNusx"/>
          <w:position w:val="-4"/>
        </w:rPr>
        <w:object w:dxaOrig="225" w:dyaOrig="255" w14:anchorId="1DE1D6C7">
          <v:shape id="_x0000_i1031" type="#_x0000_t75" style="width:14.25pt;height:14.25pt" o:ole="">
            <v:imagedata r:id="rId132" o:title=""/>
          </v:shape>
          <o:OLEObject Type="Embed" ProgID="Equation.3" ShapeID="_x0000_i1031" DrawAspect="Content" ObjectID="_1612194553" r:id="rId133"/>
        </w:object>
      </w:r>
      <w:r>
        <w:rPr>
          <w:rFonts w:ascii="AcadNusx" w:hAnsi="AcadNusx"/>
          <w:lang w:val="es-ES"/>
        </w:rPr>
        <w:t xml:space="preserve">_ </w:t>
      </w:r>
      <w:r>
        <w:rPr>
          <w:rFonts w:ascii="Sylfaen" w:hAnsi="Sylfaen"/>
          <w:lang w:val="ka-GE"/>
        </w:rPr>
        <w:t>მდინარის ან ხევის სიგრძეა სათავიდან საპროექტო კვეთამდე კმ-ში;</w:t>
      </w:r>
    </w:p>
    <w:p w14:paraId="63001D03" w14:textId="77777777" w:rsidR="00D308BF" w:rsidRDefault="00D308BF" w:rsidP="0000351B">
      <w:pPr>
        <w:ind w:right="49"/>
        <w:rPr>
          <w:rFonts w:ascii="AcadNusx" w:hAnsi="AcadNusx"/>
          <w:lang w:val="es-ES"/>
        </w:rPr>
      </w:pPr>
      <w:r>
        <w:rPr>
          <w:rFonts w:ascii="AcadNusx" w:hAnsi="AcadNusx"/>
          <w:position w:val="-4"/>
          <w:lang w:val="es-ES"/>
        </w:rPr>
        <w:object w:dxaOrig="255" w:dyaOrig="240" w14:anchorId="7BF95599">
          <v:shape id="_x0000_i1032" type="#_x0000_t75" style="width:14.25pt;height:14.25pt" o:ole="">
            <v:imagedata r:id="rId134" o:title=""/>
          </v:shape>
          <o:OLEObject Type="Embed" ProgID="Equation.3" ShapeID="_x0000_i1032" DrawAspect="Content" ObjectID="_1612194554" r:id="rId135"/>
        </w:object>
      </w:r>
      <w:r>
        <w:rPr>
          <w:rFonts w:ascii="AcadNusx" w:hAnsi="AcadNusx"/>
          <w:lang w:val="es-ES"/>
        </w:rPr>
        <w:t>_</w:t>
      </w:r>
      <w:r>
        <w:rPr>
          <w:rFonts w:ascii="Sylfaen" w:hAnsi="Sylfaen"/>
          <w:lang w:val="ka-GE"/>
        </w:rPr>
        <w:t xml:space="preserve">ხევის აუზში არსებული ნიადაგის საფარველის მახასიათებელი კოეფიციენტია. მისი მნიშვნელობა აიღება სპეციალური რუკიდან და შესაბამისი ცხრილიდან; </w:t>
      </w:r>
    </w:p>
    <w:p w14:paraId="1665E24B" w14:textId="77777777" w:rsidR="00D308BF" w:rsidRDefault="00D308BF" w:rsidP="0000351B">
      <w:pPr>
        <w:ind w:right="49"/>
        <w:rPr>
          <w:rFonts w:ascii="Sylfaen" w:hAnsi="Sylfaen" w:cs="Sylfaen"/>
          <w:lang w:val="es-ES"/>
        </w:rPr>
      </w:pPr>
      <w:r>
        <w:rPr>
          <w:rFonts w:ascii="AcadNusx" w:hAnsi="AcadNusx"/>
          <w:position w:val="-6"/>
          <w:lang w:val="es-ES"/>
        </w:rPr>
        <w:object w:dxaOrig="225" w:dyaOrig="270" w14:anchorId="2755CF76">
          <v:shape id="_x0000_i1033" type="#_x0000_t75" style="width:14.25pt;height:14.25pt" o:ole="">
            <v:imagedata r:id="rId136" o:title=""/>
          </v:shape>
          <o:OLEObject Type="Embed" ProgID="Equation.3" ShapeID="_x0000_i1033" DrawAspect="Content" ObjectID="_1612194555" r:id="rId137"/>
        </w:object>
      </w:r>
      <w:r>
        <w:rPr>
          <w:rFonts w:ascii="AcadNusx" w:hAnsi="AcadNusx"/>
          <w:lang w:val="es-ES"/>
        </w:rPr>
        <w:t>_</w:t>
      </w:r>
      <w:r>
        <w:rPr>
          <w:lang w:val="es-ES"/>
        </w:rPr>
        <w:t xml:space="preserve"> </w:t>
      </w:r>
      <w:r>
        <w:rPr>
          <w:rFonts w:ascii="Sylfaen" w:hAnsi="Sylfaen" w:cs="Sylfaen"/>
          <w:lang w:val="es-ES"/>
        </w:rPr>
        <w:t>აუზის</w:t>
      </w:r>
      <w:r>
        <w:rPr>
          <w:rFonts w:ascii="AcadNusx" w:hAnsi="AcadNusx"/>
          <w:lang w:val="es-ES"/>
        </w:rPr>
        <w:t xml:space="preserve"> </w:t>
      </w:r>
      <w:r>
        <w:rPr>
          <w:rFonts w:ascii="Sylfaen" w:hAnsi="Sylfaen" w:cs="Sylfaen"/>
          <w:lang w:val="es-ES"/>
        </w:rPr>
        <w:t>ტყიანობის</w:t>
      </w:r>
      <w:r>
        <w:rPr>
          <w:rFonts w:ascii="AcadNusx" w:hAnsi="AcadNusx"/>
          <w:lang w:val="es-ES"/>
        </w:rPr>
        <w:t xml:space="preserve"> </w:t>
      </w:r>
      <w:r>
        <w:rPr>
          <w:rFonts w:ascii="Sylfaen" w:hAnsi="Sylfaen" w:cs="Sylfaen"/>
          <w:lang w:val="es-ES"/>
        </w:rPr>
        <w:t>კოეფიციენტია</w:t>
      </w:r>
      <w:r>
        <w:rPr>
          <w:rFonts w:ascii="AcadNusx" w:hAnsi="AcadNusx"/>
          <w:lang w:val="es-ES"/>
        </w:rPr>
        <w:t xml:space="preserve">, </w:t>
      </w:r>
      <w:r>
        <w:rPr>
          <w:rFonts w:ascii="Sylfaen" w:hAnsi="Sylfaen" w:cs="Sylfaen"/>
          <w:lang w:val="es-ES"/>
        </w:rPr>
        <w:t>რომლის</w:t>
      </w:r>
      <w:r>
        <w:rPr>
          <w:rFonts w:ascii="AcadNusx" w:hAnsi="AcadNusx"/>
          <w:lang w:val="es-ES"/>
        </w:rPr>
        <w:t xml:space="preserve"> </w:t>
      </w:r>
      <w:r>
        <w:rPr>
          <w:rFonts w:ascii="Sylfaen" w:hAnsi="Sylfaen" w:cs="Sylfaen"/>
          <w:lang w:val="es-ES"/>
        </w:rPr>
        <w:t>სიდიდე</w:t>
      </w:r>
      <w:r>
        <w:rPr>
          <w:rFonts w:ascii="AcadNusx" w:hAnsi="AcadNusx"/>
          <w:lang w:val="es-ES"/>
        </w:rPr>
        <w:t xml:space="preserve"> </w:t>
      </w:r>
      <w:r>
        <w:rPr>
          <w:rFonts w:ascii="Sylfaen" w:hAnsi="Sylfaen" w:cs="Sylfaen"/>
          <w:lang w:val="es-ES"/>
        </w:rPr>
        <w:t>იანგარიშება</w:t>
      </w:r>
      <w:r>
        <w:rPr>
          <w:rFonts w:ascii="AcadNusx" w:hAnsi="AcadNusx"/>
          <w:lang w:val="es-ES"/>
        </w:rPr>
        <w:t xml:space="preserve"> </w:t>
      </w:r>
      <w:r>
        <w:rPr>
          <w:rFonts w:ascii="Sylfaen" w:hAnsi="Sylfaen" w:cs="Sylfaen"/>
          <w:lang w:val="es-ES"/>
        </w:rPr>
        <w:t>გამოსახულებით</w:t>
      </w:r>
    </w:p>
    <w:p w14:paraId="5DA727CB" w14:textId="77777777" w:rsidR="00D308BF" w:rsidRDefault="00D308BF" w:rsidP="0000351B">
      <w:pPr>
        <w:ind w:right="49"/>
        <w:jc w:val="center"/>
        <w:rPr>
          <w:rFonts w:ascii="AcadNusx" w:hAnsi="AcadNusx"/>
          <w:lang w:val="es-ES"/>
        </w:rPr>
      </w:pPr>
      <w:r>
        <w:rPr>
          <w:rFonts w:ascii="AcadNusx" w:hAnsi="AcadNusx"/>
          <w:position w:val="-56"/>
          <w:lang w:val="es-ES"/>
        </w:rPr>
        <w:object w:dxaOrig="1530" w:dyaOrig="945" w14:anchorId="2204A588">
          <v:shape id="_x0000_i1034" type="#_x0000_t75" style="width:78.7pt;height:43.55pt" o:ole="">
            <v:imagedata r:id="rId138" o:title=""/>
          </v:shape>
          <o:OLEObject Type="Embed" ProgID="Equation.3" ShapeID="_x0000_i1034" DrawAspect="Content" ObjectID="_1612194556" r:id="rId139"/>
        </w:object>
      </w:r>
    </w:p>
    <w:p w14:paraId="70AE7AB3" w14:textId="77777777" w:rsidR="00D308BF" w:rsidRDefault="00D308BF" w:rsidP="0000351B">
      <w:pPr>
        <w:rPr>
          <w:rFonts w:ascii="Sylfaen" w:hAnsi="Sylfaen"/>
          <w:lang w:val="ka-GE"/>
        </w:rPr>
      </w:pPr>
      <w:r>
        <w:rPr>
          <w:rFonts w:ascii="AcadNusx" w:hAnsi="AcadNusx"/>
          <w:lang w:val="es-ES"/>
        </w:rPr>
        <w:t xml:space="preserve">      </w:t>
      </w:r>
      <w:r>
        <w:rPr>
          <w:rFonts w:ascii="Sylfaen" w:hAnsi="Sylfaen"/>
          <w:lang w:val="ka-GE"/>
        </w:rPr>
        <w:t>აქ</w:t>
      </w:r>
      <w:r>
        <w:rPr>
          <w:rFonts w:ascii="AcadNusx" w:hAnsi="AcadNusx"/>
          <w:lang w:val="es-ES"/>
        </w:rPr>
        <w:t xml:space="preserve"> </w:t>
      </w:r>
      <w:r>
        <w:rPr>
          <w:rFonts w:ascii="AcadNusx" w:hAnsi="AcadNusx"/>
          <w:position w:val="-12"/>
          <w:lang w:val="es-ES"/>
        </w:rPr>
        <w:object w:dxaOrig="255" w:dyaOrig="375" w14:anchorId="274F06B5">
          <v:shape id="_x0000_i1035" type="#_x0000_t75" style="width:14.25pt;height:21.75pt" o:ole="">
            <v:imagedata r:id="rId140" o:title=""/>
          </v:shape>
          <o:OLEObject Type="Embed" ProgID="Equation.3" ShapeID="_x0000_i1035" DrawAspect="Content" ObjectID="_1612194557" r:id="rId141"/>
        </w:object>
      </w:r>
      <w:r>
        <w:rPr>
          <w:rFonts w:ascii="AcadNusx" w:hAnsi="AcadNusx"/>
          <w:lang w:val="es-ES"/>
        </w:rPr>
        <w:t xml:space="preserve">_ </w:t>
      </w:r>
      <w:r>
        <w:rPr>
          <w:rFonts w:ascii="Sylfaen" w:hAnsi="Sylfaen"/>
          <w:lang w:val="ka-GE"/>
        </w:rPr>
        <w:t>აუზის ტყით დაფარული ფართობია %-ში</w:t>
      </w:r>
    </w:p>
    <w:p w14:paraId="70A60AB4" w14:textId="77777777" w:rsidR="00D308BF" w:rsidRDefault="00D308BF" w:rsidP="0000351B">
      <w:pPr>
        <w:rPr>
          <w:rFonts w:ascii="AcadNusx" w:hAnsi="AcadNusx"/>
          <w:lang w:val="fr-FR"/>
        </w:rPr>
      </w:pPr>
      <w:r>
        <w:rPr>
          <w:rFonts w:ascii="Sylfaen" w:hAnsi="Sylfaen"/>
          <w:lang w:val="ka-GE"/>
        </w:rPr>
        <w:t xml:space="preserve">                  </w:t>
      </w:r>
      <w:r>
        <w:rPr>
          <w:rFonts w:ascii="AcadNusx" w:hAnsi="AcadNusx"/>
          <w:position w:val="-6"/>
          <w:lang w:val="fr-FR"/>
        </w:rPr>
        <w:object w:dxaOrig="225" w:dyaOrig="285" w14:anchorId="1DC11F5A">
          <v:shape id="_x0000_i1036" type="#_x0000_t75" style="width:14.25pt;height:14.25pt" o:ole="">
            <v:imagedata r:id="rId142" o:title=""/>
          </v:shape>
          <o:OLEObject Type="Embed" ProgID="Equation.3" ShapeID="_x0000_i1036" DrawAspect="Content" ObjectID="_1612194558" r:id="rId143"/>
        </w:object>
      </w:r>
      <w:r>
        <w:rPr>
          <w:rFonts w:ascii="AcadNusx" w:hAnsi="AcadNusx"/>
          <w:lang w:val="fr-FR"/>
        </w:rPr>
        <w:t>_</w:t>
      </w:r>
      <w:r>
        <w:rPr>
          <w:rFonts w:ascii="Sylfaen" w:hAnsi="Sylfaen"/>
          <w:lang w:val="ka-GE"/>
        </w:rPr>
        <w:t>აუზის ფორმის კოეფიციენტია. მისიმნიშვნელობა მიიღება გამოსახულებით</w:t>
      </w:r>
    </w:p>
    <w:p w14:paraId="2CF587F7" w14:textId="77777777" w:rsidR="00D308BF" w:rsidRDefault="00D308BF" w:rsidP="0000351B">
      <w:pPr>
        <w:jc w:val="center"/>
        <w:rPr>
          <w:rFonts w:ascii="AcadNusx" w:hAnsi="AcadNusx"/>
          <w:lang w:val="fr-FR"/>
        </w:rPr>
      </w:pPr>
      <w:r>
        <w:rPr>
          <w:rFonts w:ascii="AcadNusx" w:hAnsi="AcadNusx"/>
          <w:position w:val="-30"/>
          <w:lang w:val="fr-FR"/>
        </w:rPr>
        <w:object w:dxaOrig="2145" w:dyaOrig="705" w14:anchorId="14DC921F">
          <v:shape id="_x0000_i1037" type="#_x0000_t75" style="width:108pt;height:36pt" o:ole="">
            <v:imagedata r:id="rId144" o:title=""/>
          </v:shape>
          <o:OLEObject Type="Embed" ProgID="Equation.3" ShapeID="_x0000_i1037" DrawAspect="Content" ObjectID="_1612194559" r:id="rId145"/>
        </w:object>
      </w:r>
    </w:p>
    <w:p w14:paraId="626DC9D9" w14:textId="77777777" w:rsidR="00D308BF" w:rsidRDefault="00D308BF" w:rsidP="0000351B">
      <w:pPr>
        <w:rPr>
          <w:rFonts w:ascii="AcadNusx" w:hAnsi="AcadNusx"/>
          <w:lang w:val="fr-FR"/>
        </w:rPr>
      </w:pPr>
      <w:r>
        <w:rPr>
          <w:rFonts w:ascii="Sylfaen" w:hAnsi="Sylfaen"/>
          <w:lang w:val="ka-GE"/>
        </w:rPr>
        <w:t>სადაც</w:t>
      </w:r>
      <w:r>
        <w:rPr>
          <w:rFonts w:ascii="AcadNusx" w:hAnsi="AcadNusx"/>
          <w:lang w:val="fr-FR"/>
        </w:rPr>
        <w:t xml:space="preserve"> </w:t>
      </w:r>
      <w:r>
        <w:rPr>
          <w:rFonts w:ascii="AcadNusx" w:hAnsi="AcadNusx"/>
          <w:position w:val="-12"/>
          <w:lang w:val="fr-FR"/>
        </w:rPr>
        <w:object w:dxaOrig="480" w:dyaOrig="375" w14:anchorId="6CDE5B3E">
          <v:shape id="_x0000_i1038" type="#_x0000_t75" style="width:21.75pt;height:21.75pt" o:ole="">
            <v:imagedata r:id="rId146" o:title=""/>
          </v:shape>
          <o:OLEObject Type="Embed" ProgID="Equation.3" ShapeID="_x0000_i1038" DrawAspect="Content" ObjectID="_1612194560" r:id="rId147"/>
        </w:object>
      </w:r>
      <w:r>
        <w:rPr>
          <w:rFonts w:ascii="AcadNusx" w:hAnsi="AcadNusx"/>
          <w:lang w:val="fr-FR"/>
        </w:rPr>
        <w:t xml:space="preserve">_ </w:t>
      </w:r>
      <w:r>
        <w:rPr>
          <w:rFonts w:ascii="Sylfaen" w:hAnsi="Sylfaen"/>
          <w:lang w:val="ka-GE"/>
        </w:rPr>
        <w:t>აუზის მაქსიმალური სიგანეა კმ-ში;</w:t>
      </w:r>
    </w:p>
    <w:p w14:paraId="28E56FBC" w14:textId="77777777" w:rsidR="00D308BF" w:rsidRDefault="00D308BF" w:rsidP="0000351B">
      <w:pPr>
        <w:rPr>
          <w:rFonts w:ascii="AcadNusx" w:hAnsi="AcadNusx"/>
          <w:lang w:val="fr-FR"/>
        </w:rPr>
      </w:pPr>
      <w:r>
        <w:rPr>
          <w:rFonts w:ascii="AcadNusx" w:hAnsi="AcadNusx"/>
          <w:lang w:val="fr-FR"/>
        </w:rPr>
        <w:t xml:space="preserve">       </w:t>
      </w:r>
      <w:r>
        <w:rPr>
          <w:rFonts w:ascii="AcadNusx" w:hAnsi="AcadNusx"/>
          <w:position w:val="-12"/>
          <w:lang w:val="fr-FR"/>
        </w:rPr>
        <w:object w:dxaOrig="420" w:dyaOrig="375" w14:anchorId="295F4B44">
          <v:shape id="_x0000_i1039" type="#_x0000_t75" style="width:21.75pt;height:21.75pt" o:ole="">
            <v:imagedata r:id="rId148" o:title=""/>
          </v:shape>
          <o:OLEObject Type="Embed" ProgID="Equation.3" ShapeID="_x0000_i1039" DrawAspect="Content" ObjectID="_1612194561" r:id="rId149"/>
        </w:object>
      </w:r>
      <w:r>
        <w:rPr>
          <w:rFonts w:ascii="AcadNusx" w:hAnsi="AcadNusx"/>
          <w:lang w:val="fr-FR"/>
        </w:rPr>
        <w:t>_</w:t>
      </w:r>
      <w:r>
        <w:rPr>
          <w:rFonts w:ascii="Sylfaen" w:hAnsi="Sylfaen"/>
          <w:lang w:val="ka-GE"/>
        </w:rPr>
        <w:t xml:space="preserve">აუზის საშუალო სიგანეა კმ-ში. მისი მნიშვნელობა მიიღება დამოკიდებულებით </w:t>
      </w:r>
      <w:r>
        <w:rPr>
          <w:rFonts w:ascii="AcadNusx" w:hAnsi="AcadNusx"/>
          <w:position w:val="-24"/>
          <w:lang w:val="fr-FR"/>
        </w:rPr>
        <w:object w:dxaOrig="915" w:dyaOrig="615" w14:anchorId="47D73F5A">
          <v:shape id="_x0000_i1040" type="#_x0000_t75" style="width:43.55pt;height:28.45pt" o:ole="">
            <v:imagedata r:id="rId150" o:title=""/>
          </v:shape>
          <o:OLEObject Type="Embed" ProgID="Equation.3" ShapeID="_x0000_i1040" DrawAspect="Content" ObjectID="_1612194562" r:id="rId151"/>
        </w:object>
      </w:r>
      <w:r>
        <w:rPr>
          <w:rFonts w:ascii="AcadNusx" w:hAnsi="AcadNusx"/>
          <w:lang w:val="fr-FR"/>
        </w:rPr>
        <w:t xml:space="preserve">;  </w:t>
      </w:r>
    </w:p>
    <w:p w14:paraId="04FC5A57" w14:textId="77777777" w:rsidR="00D308BF" w:rsidRDefault="00D308BF" w:rsidP="0000351B">
      <w:pPr>
        <w:spacing w:after="120"/>
        <w:rPr>
          <w:rFonts w:ascii="AcadNusx" w:hAnsi="AcadNusx"/>
          <w:lang w:val="ka-GE"/>
        </w:rPr>
      </w:pPr>
      <w:r>
        <w:rPr>
          <w:rFonts w:ascii="Sylfaen" w:hAnsi="Sylfaen" w:cs="Sylfaen"/>
          <w:lang w:val="es-ES"/>
        </w:rPr>
        <w:t>იმ</w:t>
      </w:r>
      <w:r>
        <w:rPr>
          <w:rFonts w:ascii="AcadNusx" w:hAnsi="AcadNusx"/>
          <w:lang w:val="es-ES"/>
        </w:rPr>
        <w:t xml:space="preserve"> </w:t>
      </w:r>
      <w:r>
        <w:rPr>
          <w:rFonts w:ascii="Sylfaen" w:hAnsi="Sylfaen" w:cs="Sylfaen"/>
          <w:lang w:val="es-ES"/>
        </w:rPr>
        <w:t>მცირე</w:t>
      </w:r>
      <w:r>
        <w:rPr>
          <w:rFonts w:ascii="AcadNusx" w:hAnsi="AcadNusx"/>
          <w:lang w:val="es-ES"/>
        </w:rPr>
        <w:t xml:space="preserve"> </w:t>
      </w:r>
      <w:r>
        <w:rPr>
          <w:rFonts w:ascii="Sylfaen" w:hAnsi="Sylfaen" w:cs="Sylfaen"/>
          <w:lang w:val="es-ES"/>
        </w:rPr>
        <w:t>ხევების</w:t>
      </w:r>
      <w:r>
        <w:rPr>
          <w:rFonts w:ascii="AcadNusx" w:hAnsi="AcadNusx"/>
          <w:lang w:val="es-ES"/>
        </w:rPr>
        <w:t xml:space="preserve"> </w:t>
      </w:r>
      <w:r>
        <w:rPr>
          <w:rFonts w:ascii="Sylfaen" w:hAnsi="Sylfaen" w:cs="Sylfaen"/>
          <w:lang w:val="es-ES"/>
        </w:rPr>
        <w:t>წყლის</w:t>
      </w:r>
      <w:r>
        <w:rPr>
          <w:rFonts w:ascii="AcadNusx" w:hAnsi="AcadNusx"/>
          <w:lang w:val="es-ES"/>
        </w:rPr>
        <w:t xml:space="preserve"> </w:t>
      </w:r>
      <w:r>
        <w:rPr>
          <w:rFonts w:ascii="Sylfaen" w:hAnsi="Sylfaen" w:cs="Sylfaen"/>
          <w:lang w:val="es-ES"/>
        </w:rPr>
        <w:t>მაქსიმალური</w:t>
      </w:r>
      <w:r>
        <w:rPr>
          <w:rFonts w:ascii="AcadNusx" w:hAnsi="AcadNusx"/>
          <w:lang w:val="es-ES"/>
        </w:rPr>
        <w:t xml:space="preserve"> </w:t>
      </w:r>
      <w:r>
        <w:rPr>
          <w:rFonts w:ascii="Sylfaen" w:hAnsi="Sylfaen" w:cs="Sylfaen"/>
          <w:lang w:val="es-ES"/>
        </w:rPr>
        <w:t>ხარჯების</w:t>
      </w:r>
      <w:r>
        <w:rPr>
          <w:rFonts w:ascii="AcadNusx" w:hAnsi="AcadNusx"/>
          <w:lang w:val="es-ES"/>
        </w:rPr>
        <w:t xml:space="preserve"> </w:t>
      </w:r>
      <w:r>
        <w:rPr>
          <w:rFonts w:ascii="Sylfaen" w:hAnsi="Sylfaen" w:cs="Sylfaen"/>
          <w:lang w:val="es-ES"/>
        </w:rPr>
        <w:t>გაანგარიშებისას</w:t>
      </w:r>
      <w:r>
        <w:rPr>
          <w:rFonts w:ascii="AcadNusx" w:hAnsi="AcadNusx"/>
          <w:lang w:val="es-ES"/>
        </w:rPr>
        <w:t xml:space="preserve">, </w:t>
      </w:r>
      <w:r>
        <w:rPr>
          <w:rFonts w:ascii="Sylfaen" w:hAnsi="Sylfaen" w:cs="Sylfaen"/>
          <w:lang w:val="es-ES"/>
        </w:rPr>
        <w:t>რომელთა</w:t>
      </w:r>
      <w:r>
        <w:rPr>
          <w:rFonts w:ascii="AcadNusx" w:hAnsi="AcadNusx"/>
          <w:lang w:val="es-ES"/>
        </w:rPr>
        <w:t xml:space="preserve"> </w:t>
      </w:r>
      <w:r>
        <w:rPr>
          <w:rFonts w:ascii="Sylfaen" w:hAnsi="Sylfaen" w:cs="Sylfaen"/>
          <w:lang w:val="es-ES"/>
        </w:rPr>
        <w:t>წყალშემკრები</w:t>
      </w:r>
      <w:r>
        <w:rPr>
          <w:rFonts w:ascii="AcadNusx" w:hAnsi="AcadNusx"/>
          <w:lang w:val="es-ES"/>
        </w:rPr>
        <w:t xml:space="preserve"> </w:t>
      </w:r>
      <w:r>
        <w:rPr>
          <w:rFonts w:ascii="Sylfaen" w:hAnsi="Sylfaen" w:cs="Sylfaen"/>
          <w:lang w:val="es-ES"/>
        </w:rPr>
        <w:t>აუზის</w:t>
      </w:r>
      <w:r>
        <w:rPr>
          <w:rFonts w:ascii="AcadNusx" w:hAnsi="AcadNusx"/>
          <w:lang w:val="es-ES"/>
        </w:rPr>
        <w:t xml:space="preserve"> </w:t>
      </w:r>
      <w:r>
        <w:rPr>
          <w:rFonts w:ascii="Sylfaen" w:hAnsi="Sylfaen" w:cs="Sylfaen"/>
          <w:lang w:val="es-ES"/>
        </w:rPr>
        <w:t>ფართობები</w:t>
      </w:r>
      <w:r>
        <w:rPr>
          <w:rFonts w:ascii="AcadNusx" w:hAnsi="AcadNusx"/>
          <w:lang w:val="es-ES"/>
        </w:rPr>
        <w:t xml:space="preserve"> </w:t>
      </w:r>
      <w:r>
        <w:rPr>
          <w:rFonts w:ascii="Sylfaen" w:hAnsi="Sylfaen" w:cs="Sylfaen"/>
          <w:lang w:val="es-ES"/>
        </w:rPr>
        <w:t>ნაკლებია</w:t>
      </w:r>
      <w:r>
        <w:rPr>
          <w:rFonts w:ascii="AcadNusx" w:hAnsi="AcadNusx"/>
          <w:lang w:val="es-ES"/>
        </w:rPr>
        <w:t xml:space="preserve"> 5</w:t>
      </w:r>
      <w:r>
        <w:rPr>
          <w:rFonts w:ascii="Sylfaen" w:hAnsi="Sylfaen" w:cs="Sylfaen"/>
          <w:lang w:val="es-ES"/>
        </w:rPr>
        <w:t>კმ</w:t>
      </w:r>
      <w:r>
        <w:rPr>
          <w:rFonts w:ascii="AcadNusx" w:hAnsi="AcadNusx"/>
          <w:vertAlign w:val="superscript"/>
          <w:lang w:val="es-ES"/>
        </w:rPr>
        <w:t>2</w:t>
      </w:r>
      <w:r>
        <w:rPr>
          <w:rFonts w:ascii="AcadNusx" w:hAnsi="AcadNusx"/>
          <w:lang w:val="es-ES"/>
        </w:rPr>
        <w:t>-</w:t>
      </w:r>
      <w:r>
        <w:rPr>
          <w:rFonts w:ascii="Sylfaen" w:hAnsi="Sylfaen" w:cs="Sylfaen"/>
          <w:lang w:val="es-ES"/>
        </w:rPr>
        <w:t>ზე</w:t>
      </w:r>
      <w:r>
        <w:rPr>
          <w:rFonts w:ascii="AcadNusx" w:hAnsi="AcadNusx"/>
          <w:lang w:val="es-ES"/>
        </w:rPr>
        <w:t xml:space="preserve">, </w:t>
      </w:r>
      <w:r>
        <w:rPr>
          <w:rFonts w:ascii="Sylfaen" w:hAnsi="Sylfaen" w:cs="Sylfaen"/>
          <w:lang w:val="es-ES"/>
        </w:rPr>
        <w:t>ზემოთ</w:t>
      </w:r>
      <w:r>
        <w:rPr>
          <w:rFonts w:ascii="AcadNusx" w:hAnsi="AcadNusx"/>
          <w:lang w:val="es-ES"/>
        </w:rPr>
        <w:t xml:space="preserve"> </w:t>
      </w:r>
      <w:r>
        <w:rPr>
          <w:rFonts w:ascii="Sylfaen" w:hAnsi="Sylfaen" w:cs="Sylfaen"/>
          <w:lang w:val="es-ES"/>
        </w:rPr>
        <w:t>განხილულ</w:t>
      </w:r>
      <w:r>
        <w:rPr>
          <w:rFonts w:ascii="AcadNusx" w:hAnsi="AcadNusx"/>
          <w:lang w:val="es-ES"/>
        </w:rPr>
        <w:t xml:space="preserve"> </w:t>
      </w:r>
      <w:r>
        <w:rPr>
          <w:rFonts w:ascii="Sylfaen" w:hAnsi="Sylfaen" w:cs="Sylfaen"/>
          <w:lang w:val="es-ES"/>
        </w:rPr>
        <w:t>ფორმულაში</w:t>
      </w:r>
      <w:r>
        <w:rPr>
          <w:rFonts w:ascii="AcadNusx" w:hAnsi="AcadNusx"/>
          <w:lang w:val="es-ES"/>
        </w:rPr>
        <w:t xml:space="preserve"> </w:t>
      </w:r>
      <w:r>
        <w:rPr>
          <w:rFonts w:ascii="Sylfaen" w:hAnsi="Sylfaen" w:cs="Sylfaen"/>
          <w:lang w:val="es-ES"/>
        </w:rPr>
        <w:t>დამატებით</w:t>
      </w:r>
      <w:r>
        <w:rPr>
          <w:rFonts w:ascii="AcadNusx" w:hAnsi="AcadNusx"/>
          <w:lang w:val="es-ES"/>
        </w:rPr>
        <w:t xml:space="preserve"> </w:t>
      </w:r>
      <w:r>
        <w:rPr>
          <w:rFonts w:ascii="Sylfaen" w:hAnsi="Sylfaen" w:cs="Sylfaen"/>
          <w:lang w:val="es-ES"/>
        </w:rPr>
        <w:t>შედის</w:t>
      </w:r>
      <w:r>
        <w:rPr>
          <w:rFonts w:ascii="AcadNusx" w:hAnsi="AcadNusx"/>
          <w:lang w:val="es-ES"/>
        </w:rPr>
        <w:t xml:space="preserve"> </w:t>
      </w:r>
      <w:r>
        <w:rPr>
          <w:rFonts w:ascii="Sylfaen" w:hAnsi="Sylfaen" w:cs="Sylfaen"/>
          <w:lang w:val="es-ES"/>
        </w:rPr>
        <w:t>წყალშემკრები</w:t>
      </w:r>
      <w:r>
        <w:rPr>
          <w:rFonts w:ascii="AcadNusx" w:hAnsi="AcadNusx"/>
          <w:lang w:val="es-ES"/>
        </w:rPr>
        <w:t xml:space="preserve"> </w:t>
      </w:r>
      <w:r>
        <w:rPr>
          <w:rFonts w:ascii="Sylfaen" w:hAnsi="Sylfaen" w:cs="Sylfaen"/>
          <w:lang w:val="es-ES"/>
        </w:rPr>
        <w:t>აუზის</w:t>
      </w:r>
      <w:r>
        <w:rPr>
          <w:rFonts w:ascii="AcadNusx" w:hAnsi="AcadNusx"/>
          <w:lang w:val="es-ES"/>
        </w:rPr>
        <w:t xml:space="preserve"> </w:t>
      </w:r>
      <w:r>
        <w:rPr>
          <w:rFonts w:ascii="Sylfaen" w:hAnsi="Sylfaen" w:cs="Sylfaen"/>
          <w:lang w:val="es-ES"/>
        </w:rPr>
        <w:t>ფართობების</w:t>
      </w:r>
      <w:r>
        <w:rPr>
          <w:rFonts w:ascii="AcadNusx" w:hAnsi="AcadNusx"/>
          <w:lang w:val="es-ES"/>
        </w:rPr>
        <w:t xml:space="preserve"> </w:t>
      </w:r>
      <w:r>
        <w:rPr>
          <w:rFonts w:ascii="Sylfaen" w:hAnsi="Sylfaen" w:cs="Sylfaen"/>
          <w:lang w:val="es-ES"/>
        </w:rPr>
        <w:t>შესაბამისი</w:t>
      </w:r>
      <w:r>
        <w:rPr>
          <w:rFonts w:ascii="AcadNusx" w:hAnsi="AcadNusx"/>
          <w:lang w:val="es-ES"/>
        </w:rPr>
        <w:t xml:space="preserve">, </w:t>
      </w:r>
      <w:r>
        <w:rPr>
          <w:rFonts w:ascii="Sylfaen" w:hAnsi="Sylfaen" w:cs="Sylfaen"/>
          <w:lang w:val="es-ES"/>
        </w:rPr>
        <w:t>სპეციალურად</w:t>
      </w:r>
      <w:r>
        <w:rPr>
          <w:rFonts w:ascii="AcadNusx" w:hAnsi="AcadNusx"/>
          <w:lang w:val="es-ES"/>
        </w:rPr>
        <w:t xml:space="preserve"> </w:t>
      </w:r>
      <w:r>
        <w:rPr>
          <w:rFonts w:ascii="Sylfaen" w:hAnsi="Sylfaen" w:cs="Sylfaen"/>
          <w:lang w:val="es-ES"/>
        </w:rPr>
        <w:t>დამუშავებული</w:t>
      </w:r>
      <w:r>
        <w:rPr>
          <w:rFonts w:ascii="AcadNusx" w:hAnsi="AcadNusx"/>
          <w:lang w:val="es-ES"/>
        </w:rPr>
        <w:t xml:space="preserve"> </w:t>
      </w:r>
      <w:r>
        <w:rPr>
          <w:rFonts w:ascii="Sylfaen" w:hAnsi="Sylfaen" w:cs="Sylfaen"/>
          <w:lang w:val="es-ES"/>
        </w:rPr>
        <w:t>ქვემოთ</w:t>
      </w:r>
      <w:r>
        <w:rPr>
          <w:rFonts w:ascii="AcadNusx" w:hAnsi="AcadNusx"/>
          <w:lang w:val="es-ES"/>
        </w:rPr>
        <w:t xml:space="preserve"> </w:t>
      </w:r>
      <w:r>
        <w:rPr>
          <w:rFonts w:ascii="Sylfaen" w:hAnsi="Sylfaen" w:cs="Sylfaen"/>
          <w:lang w:val="es-ES"/>
        </w:rPr>
        <w:t>მოყვანილი</w:t>
      </w:r>
      <w:r>
        <w:rPr>
          <w:rFonts w:ascii="AcadNusx" w:hAnsi="AcadNusx"/>
          <w:lang w:val="es-ES"/>
        </w:rPr>
        <w:t xml:space="preserve"> </w:t>
      </w:r>
      <w:r>
        <w:rPr>
          <w:rFonts w:ascii="Sylfaen" w:hAnsi="Sylfaen" w:cs="Sylfaen"/>
          <w:lang w:val="es-ES"/>
        </w:rPr>
        <w:t>კოეფიციენტებ</w:t>
      </w:r>
      <w:r>
        <w:rPr>
          <w:rFonts w:ascii="Sylfaen" w:hAnsi="Sylfaen" w:cs="Sylfaen"/>
          <w:lang w:val="ka-GE"/>
        </w:rPr>
        <w:t>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367"/>
        <w:gridCol w:w="1367"/>
        <w:gridCol w:w="1367"/>
        <w:gridCol w:w="1367"/>
        <w:gridCol w:w="1368"/>
        <w:gridCol w:w="1368"/>
      </w:tblGrid>
      <w:tr w:rsidR="00D308BF" w14:paraId="3BEDB834" w14:textId="77777777" w:rsidTr="00D308BF">
        <w:trPr>
          <w:jc w:val="center"/>
        </w:trPr>
        <w:tc>
          <w:tcPr>
            <w:tcW w:w="1367" w:type="dxa"/>
            <w:tcBorders>
              <w:top w:val="single" w:sz="4" w:space="0" w:color="auto"/>
              <w:left w:val="single" w:sz="4" w:space="0" w:color="auto"/>
              <w:bottom w:val="single" w:sz="4" w:space="0" w:color="auto"/>
              <w:right w:val="single" w:sz="4" w:space="0" w:color="auto"/>
            </w:tcBorders>
            <w:hideMark/>
          </w:tcPr>
          <w:p w14:paraId="60226351" w14:textId="77777777" w:rsidR="00D308BF" w:rsidRDefault="00D308BF" w:rsidP="0000351B">
            <w:pPr>
              <w:spacing w:line="256" w:lineRule="auto"/>
              <w:jc w:val="center"/>
              <w:rPr>
                <w:rFonts w:ascii="Sylfaen" w:hAnsi="Sylfaen"/>
                <w:sz w:val="20"/>
                <w:szCs w:val="20"/>
                <w:lang w:val="es-ES"/>
              </w:rPr>
            </w:pPr>
            <w:r>
              <w:rPr>
                <w:rFonts w:ascii="Sylfaen" w:hAnsi="Sylfaen"/>
                <w:position w:val="-4"/>
                <w:sz w:val="20"/>
                <w:szCs w:val="20"/>
              </w:rPr>
              <w:object w:dxaOrig="255" w:dyaOrig="255" w14:anchorId="27A63CC2">
                <v:shape id="_x0000_i1041" type="#_x0000_t75" style="width:14.25pt;height:14.25pt" o:ole="">
                  <v:imagedata r:id="rId124" o:title=""/>
                </v:shape>
                <o:OLEObject Type="Embed" ProgID="Equation.3" ShapeID="_x0000_i1041" DrawAspect="Content" ObjectID="_1612194563" r:id="rId152"/>
              </w:object>
            </w:r>
            <w:r>
              <w:rPr>
                <w:rFonts w:ascii="Sylfaen" w:hAnsi="Sylfaen"/>
                <w:sz w:val="20"/>
                <w:szCs w:val="20"/>
                <w:lang w:val="ka-GE"/>
              </w:rPr>
              <w:t>კმ</w:t>
            </w:r>
            <w:r>
              <w:rPr>
                <w:rFonts w:ascii="Sylfaen" w:hAnsi="Sylfaen"/>
                <w:sz w:val="20"/>
                <w:szCs w:val="20"/>
                <w:vertAlign w:val="superscript"/>
              </w:rPr>
              <w:t>2</w:t>
            </w:r>
          </w:p>
        </w:tc>
        <w:tc>
          <w:tcPr>
            <w:tcW w:w="1367" w:type="dxa"/>
            <w:tcBorders>
              <w:top w:val="single" w:sz="4" w:space="0" w:color="auto"/>
              <w:left w:val="single" w:sz="4" w:space="0" w:color="auto"/>
              <w:bottom w:val="single" w:sz="4" w:space="0" w:color="auto"/>
              <w:right w:val="single" w:sz="4" w:space="0" w:color="auto"/>
            </w:tcBorders>
            <w:hideMark/>
          </w:tcPr>
          <w:p w14:paraId="2248FE9B" w14:textId="77777777" w:rsidR="00D308BF" w:rsidRDefault="00D308BF" w:rsidP="0000351B">
            <w:pPr>
              <w:spacing w:line="256" w:lineRule="auto"/>
              <w:rPr>
                <w:rFonts w:ascii="Sylfaen" w:hAnsi="Sylfaen"/>
                <w:sz w:val="20"/>
                <w:szCs w:val="20"/>
                <w:lang w:val="es-ES"/>
              </w:rPr>
            </w:pPr>
            <w:r>
              <w:rPr>
                <w:rFonts w:ascii="Sylfaen" w:hAnsi="Sylfaen" w:cs="Arial"/>
                <w:sz w:val="20"/>
                <w:szCs w:val="20"/>
                <w:lang w:val="es-ES"/>
              </w:rPr>
              <w:t>&lt;</w:t>
            </w:r>
            <w:r>
              <w:rPr>
                <w:rFonts w:ascii="Sylfaen" w:hAnsi="Sylfaen"/>
                <w:sz w:val="20"/>
                <w:szCs w:val="20"/>
                <w:lang w:val="es-ES"/>
              </w:rPr>
              <w:t>1</w:t>
            </w:r>
          </w:p>
        </w:tc>
        <w:tc>
          <w:tcPr>
            <w:tcW w:w="1367" w:type="dxa"/>
            <w:tcBorders>
              <w:top w:val="single" w:sz="4" w:space="0" w:color="auto"/>
              <w:left w:val="single" w:sz="4" w:space="0" w:color="auto"/>
              <w:bottom w:val="single" w:sz="4" w:space="0" w:color="auto"/>
              <w:right w:val="single" w:sz="4" w:space="0" w:color="auto"/>
            </w:tcBorders>
            <w:hideMark/>
          </w:tcPr>
          <w:p w14:paraId="655C5487" w14:textId="77777777" w:rsidR="00D308BF" w:rsidRDefault="00D308BF" w:rsidP="0000351B">
            <w:pPr>
              <w:spacing w:line="256" w:lineRule="auto"/>
              <w:rPr>
                <w:rFonts w:ascii="Sylfaen" w:hAnsi="Sylfaen"/>
                <w:sz w:val="20"/>
                <w:szCs w:val="20"/>
                <w:lang w:val="es-ES"/>
              </w:rPr>
            </w:pPr>
            <w:r>
              <w:rPr>
                <w:rFonts w:ascii="Sylfaen" w:hAnsi="Sylfaen"/>
                <w:sz w:val="20"/>
                <w:szCs w:val="20"/>
                <w:lang w:val="es-ES"/>
              </w:rPr>
              <w:t>1</w:t>
            </w:r>
          </w:p>
        </w:tc>
        <w:tc>
          <w:tcPr>
            <w:tcW w:w="1367" w:type="dxa"/>
            <w:tcBorders>
              <w:top w:val="single" w:sz="4" w:space="0" w:color="auto"/>
              <w:left w:val="single" w:sz="4" w:space="0" w:color="auto"/>
              <w:bottom w:val="single" w:sz="4" w:space="0" w:color="auto"/>
              <w:right w:val="single" w:sz="4" w:space="0" w:color="auto"/>
            </w:tcBorders>
            <w:hideMark/>
          </w:tcPr>
          <w:p w14:paraId="22239F2E" w14:textId="77777777" w:rsidR="00D308BF" w:rsidRDefault="00D308BF" w:rsidP="0000351B">
            <w:pPr>
              <w:spacing w:line="256" w:lineRule="auto"/>
              <w:rPr>
                <w:rFonts w:ascii="Sylfaen" w:hAnsi="Sylfaen"/>
                <w:sz w:val="20"/>
                <w:szCs w:val="20"/>
                <w:lang w:val="es-ES"/>
              </w:rPr>
            </w:pPr>
            <w:r>
              <w:rPr>
                <w:rFonts w:ascii="Sylfaen" w:hAnsi="Sylfaen"/>
                <w:sz w:val="20"/>
                <w:szCs w:val="20"/>
                <w:lang w:val="es-ES"/>
              </w:rPr>
              <w:t>2</w:t>
            </w:r>
          </w:p>
        </w:tc>
        <w:tc>
          <w:tcPr>
            <w:tcW w:w="1367" w:type="dxa"/>
            <w:tcBorders>
              <w:top w:val="single" w:sz="4" w:space="0" w:color="auto"/>
              <w:left w:val="single" w:sz="4" w:space="0" w:color="auto"/>
              <w:bottom w:val="single" w:sz="4" w:space="0" w:color="auto"/>
              <w:right w:val="single" w:sz="4" w:space="0" w:color="auto"/>
            </w:tcBorders>
            <w:hideMark/>
          </w:tcPr>
          <w:p w14:paraId="4B9E5CE9" w14:textId="77777777" w:rsidR="00D308BF" w:rsidRDefault="00D308BF" w:rsidP="0000351B">
            <w:pPr>
              <w:spacing w:line="256" w:lineRule="auto"/>
              <w:rPr>
                <w:rFonts w:ascii="Sylfaen" w:hAnsi="Sylfaen"/>
                <w:sz w:val="20"/>
                <w:szCs w:val="20"/>
                <w:lang w:val="es-ES"/>
              </w:rPr>
            </w:pPr>
            <w:r>
              <w:rPr>
                <w:rFonts w:ascii="Sylfaen" w:hAnsi="Sylfaen"/>
                <w:sz w:val="20"/>
                <w:szCs w:val="20"/>
                <w:lang w:val="es-ES"/>
              </w:rPr>
              <w:t>3</w:t>
            </w:r>
          </w:p>
        </w:tc>
        <w:tc>
          <w:tcPr>
            <w:tcW w:w="1368" w:type="dxa"/>
            <w:tcBorders>
              <w:top w:val="single" w:sz="4" w:space="0" w:color="auto"/>
              <w:left w:val="single" w:sz="4" w:space="0" w:color="auto"/>
              <w:bottom w:val="single" w:sz="4" w:space="0" w:color="auto"/>
              <w:right w:val="single" w:sz="4" w:space="0" w:color="auto"/>
            </w:tcBorders>
            <w:hideMark/>
          </w:tcPr>
          <w:p w14:paraId="155F2F23" w14:textId="77777777" w:rsidR="00D308BF" w:rsidRDefault="00D308BF" w:rsidP="0000351B">
            <w:pPr>
              <w:spacing w:line="256" w:lineRule="auto"/>
              <w:rPr>
                <w:rFonts w:ascii="Sylfaen" w:hAnsi="Sylfaen"/>
                <w:sz w:val="20"/>
                <w:szCs w:val="20"/>
                <w:lang w:val="es-ES"/>
              </w:rPr>
            </w:pPr>
            <w:r>
              <w:rPr>
                <w:rFonts w:ascii="Sylfaen" w:hAnsi="Sylfaen"/>
                <w:sz w:val="20"/>
                <w:szCs w:val="20"/>
                <w:lang w:val="es-ES"/>
              </w:rPr>
              <w:t>4</w:t>
            </w:r>
          </w:p>
        </w:tc>
        <w:tc>
          <w:tcPr>
            <w:tcW w:w="1368" w:type="dxa"/>
            <w:tcBorders>
              <w:top w:val="single" w:sz="4" w:space="0" w:color="auto"/>
              <w:left w:val="single" w:sz="4" w:space="0" w:color="auto"/>
              <w:bottom w:val="single" w:sz="4" w:space="0" w:color="auto"/>
              <w:right w:val="single" w:sz="4" w:space="0" w:color="auto"/>
            </w:tcBorders>
            <w:hideMark/>
          </w:tcPr>
          <w:p w14:paraId="7FA0190B" w14:textId="77777777" w:rsidR="00D308BF" w:rsidRDefault="00D308BF" w:rsidP="0000351B">
            <w:pPr>
              <w:spacing w:line="256" w:lineRule="auto"/>
              <w:rPr>
                <w:rFonts w:ascii="Sylfaen" w:hAnsi="Sylfaen"/>
                <w:sz w:val="20"/>
                <w:szCs w:val="20"/>
                <w:lang w:val="es-ES"/>
              </w:rPr>
            </w:pPr>
            <w:r>
              <w:rPr>
                <w:rFonts w:ascii="Sylfaen" w:hAnsi="Sylfaen"/>
                <w:sz w:val="20"/>
                <w:szCs w:val="20"/>
                <w:lang w:val="es-ES"/>
              </w:rPr>
              <w:t>5</w:t>
            </w:r>
          </w:p>
        </w:tc>
      </w:tr>
      <w:tr w:rsidR="00D308BF" w14:paraId="610DB666" w14:textId="77777777" w:rsidTr="00D308BF">
        <w:trPr>
          <w:jc w:val="center"/>
        </w:trPr>
        <w:tc>
          <w:tcPr>
            <w:tcW w:w="1367" w:type="dxa"/>
            <w:tcBorders>
              <w:top w:val="single" w:sz="4" w:space="0" w:color="auto"/>
              <w:left w:val="single" w:sz="4" w:space="0" w:color="auto"/>
              <w:bottom w:val="single" w:sz="4" w:space="0" w:color="auto"/>
              <w:right w:val="single" w:sz="4" w:space="0" w:color="auto"/>
            </w:tcBorders>
            <w:hideMark/>
          </w:tcPr>
          <w:p w14:paraId="29C06A73" w14:textId="77777777" w:rsidR="00D308BF" w:rsidRDefault="00D308BF" w:rsidP="0000351B">
            <w:pPr>
              <w:spacing w:line="256" w:lineRule="auto"/>
              <w:rPr>
                <w:rFonts w:ascii="Sylfaen" w:hAnsi="Sylfaen"/>
                <w:sz w:val="20"/>
                <w:szCs w:val="20"/>
                <w:lang w:val="es-ES"/>
              </w:rPr>
            </w:pPr>
            <w:r>
              <w:rPr>
                <w:rFonts w:ascii="Sylfaen" w:hAnsi="Sylfaen"/>
                <w:position w:val="-4"/>
                <w:sz w:val="20"/>
                <w:szCs w:val="20"/>
              </w:rPr>
              <w:object w:dxaOrig="255" w:dyaOrig="255" w14:anchorId="2F75A8E2">
                <v:shape id="_x0000_i1042" type="#_x0000_t75" style="width:14.25pt;height:14.25pt" o:ole="">
                  <v:imagedata r:id="rId126" o:title=""/>
                </v:shape>
                <o:OLEObject Type="Embed" ProgID="Equation.3" ShapeID="_x0000_i1042" DrawAspect="Content" ObjectID="_1612194564" r:id="rId153"/>
              </w:object>
            </w:r>
            <w:r>
              <w:rPr>
                <w:rFonts w:ascii="Sylfaen" w:hAnsi="Sylfaen"/>
                <w:sz w:val="20"/>
                <w:szCs w:val="20"/>
                <w:vertAlign w:val="superscript"/>
              </w:rPr>
              <w:t>I</w:t>
            </w:r>
          </w:p>
        </w:tc>
        <w:tc>
          <w:tcPr>
            <w:tcW w:w="1367" w:type="dxa"/>
            <w:tcBorders>
              <w:top w:val="single" w:sz="4" w:space="0" w:color="auto"/>
              <w:left w:val="single" w:sz="4" w:space="0" w:color="auto"/>
              <w:bottom w:val="single" w:sz="4" w:space="0" w:color="auto"/>
              <w:right w:val="single" w:sz="4" w:space="0" w:color="auto"/>
            </w:tcBorders>
            <w:hideMark/>
          </w:tcPr>
          <w:p w14:paraId="55C08329" w14:textId="77777777" w:rsidR="00D308BF" w:rsidRDefault="00D308BF" w:rsidP="0000351B">
            <w:pPr>
              <w:spacing w:line="256" w:lineRule="auto"/>
              <w:rPr>
                <w:rFonts w:ascii="Sylfaen" w:hAnsi="Sylfaen"/>
                <w:sz w:val="20"/>
                <w:szCs w:val="20"/>
                <w:lang w:val="es-ES"/>
              </w:rPr>
            </w:pPr>
            <w:r>
              <w:rPr>
                <w:rFonts w:ascii="Sylfaen" w:hAnsi="Sylfaen"/>
                <w:sz w:val="20"/>
                <w:szCs w:val="20"/>
                <w:lang w:val="es-ES"/>
              </w:rPr>
              <w:t>0.70</w:t>
            </w:r>
          </w:p>
        </w:tc>
        <w:tc>
          <w:tcPr>
            <w:tcW w:w="1367" w:type="dxa"/>
            <w:tcBorders>
              <w:top w:val="single" w:sz="4" w:space="0" w:color="auto"/>
              <w:left w:val="single" w:sz="4" w:space="0" w:color="auto"/>
              <w:bottom w:val="single" w:sz="4" w:space="0" w:color="auto"/>
              <w:right w:val="single" w:sz="4" w:space="0" w:color="auto"/>
            </w:tcBorders>
            <w:hideMark/>
          </w:tcPr>
          <w:p w14:paraId="55749D60" w14:textId="77777777" w:rsidR="00D308BF" w:rsidRDefault="00D308BF" w:rsidP="0000351B">
            <w:pPr>
              <w:spacing w:line="256" w:lineRule="auto"/>
              <w:rPr>
                <w:rFonts w:ascii="Sylfaen" w:hAnsi="Sylfaen"/>
                <w:sz w:val="20"/>
                <w:szCs w:val="20"/>
                <w:lang w:val="es-ES"/>
              </w:rPr>
            </w:pPr>
            <w:r>
              <w:rPr>
                <w:rFonts w:ascii="Sylfaen" w:hAnsi="Sylfaen"/>
                <w:sz w:val="20"/>
                <w:szCs w:val="20"/>
                <w:lang w:val="es-ES"/>
              </w:rPr>
              <w:t>0.80</w:t>
            </w:r>
          </w:p>
        </w:tc>
        <w:tc>
          <w:tcPr>
            <w:tcW w:w="1367" w:type="dxa"/>
            <w:tcBorders>
              <w:top w:val="single" w:sz="4" w:space="0" w:color="auto"/>
              <w:left w:val="single" w:sz="4" w:space="0" w:color="auto"/>
              <w:bottom w:val="single" w:sz="4" w:space="0" w:color="auto"/>
              <w:right w:val="single" w:sz="4" w:space="0" w:color="auto"/>
            </w:tcBorders>
            <w:hideMark/>
          </w:tcPr>
          <w:p w14:paraId="75C651C6" w14:textId="77777777" w:rsidR="00D308BF" w:rsidRDefault="00D308BF" w:rsidP="0000351B">
            <w:pPr>
              <w:spacing w:line="256" w:lineRule="auto"/>
              <w:rPr>
                <w:rFonts w:ascii="Sylfaen" w:hAnsi="Sylfaen"/>
                <w:sz w:val="20"/>
                <w:szCs w:val="20"/>
                <w:lang w:val="es-ES"/>
              </w:rPr>
            </w:pPr>
            <w:r>
              <w:rPr>
                <w:rFonts w:ascii="Sylfaen" w:hAnsi="Sylfaen"/>
                <w:sz w:val="20"/>
                <w:szCs w:val="20"/>
                <w:lang w:val="es-ES"/>
              </w:rPr>
              <w:t>0.83</w:t>
            </w:r>
          </w:p>
        </w:tc>
        <w:tc>
          <w:tcPr>
            <w:tcW w:w="1367" w:type="dxa"/>
            <w:tcBorders>
              <w:top w:val="single" w:sz="4" w:space="0" w:color="auto"/>
              <w:left w:val="single" w:sz="4" w:space="0" w:color="auto"/>
              <w:bottom w:val="single" w:sz="4" w:space="0" w:color="auto"/>
              <w:right w:val="single" w:sz="4" w:space="0" w:color="auto"/>
            </w:tcBorders>
            <w:hideMark/>
          </w:tcPr>
          <w:p w14:paraId="543C1A54" w14:textId="77777777" w:rsidR="00D308BF" w:rsidRDefault="00D308BF" w:rsidP="0000351B">
            <w:pPr>
              <w:spacing w:line="256" w:lineRule="auto"/>
              <w:rPr>
                <w:rFonts w:ascii="Sylfaen" w:hAnsi="Sylfaen"/>
                <w:sz w:val="20"/>
                <w:szCs w:val="20"/>
                <w:lang w:val="es-ES"/>
              </w:rPr>
            </w:pPr>
            <w:r>
              <w:rPr>
                <w:rFonts w:ascii="Sylfaen" w:hAnsi="Sylfaen"/>
                <w:sz w:val="20"/>
                <w:szCs w:val="20"/>
                <w:lang w:val="es-ES"/>
              </w:rPr>
              <w:t>0.87</w:t>
            </w:r>
          </w:p>
        </w:tc>
        <w:tc>
          <w:tcPr>
            <w:tcW w:w="1368" w:type="dxa"/>
            <w:tcBorders>
              <w:top w:val="single" w:sz="4" w:space="0" w:color="auto"/>
              <w:left w:val="single" w:sz="4" w:space="0" w:color="auto"/>
              <w:bottom w:val="single" w:sz="4" w:space="0" w:color="auto"/>
              <w:right w:val="single" w:sz="4" w:space="0" w:color="auto"/>
            </w:tcBorders>
            <w:hideMark/>
          </w:tcPr>
          <w:p w14:paraId="20CAFD08" w14:textId="77777777" w:rsidR="00D308BF" w:rsidRDefault="00D308BF" w:rsidP="0000351B">
            <w:pPr>
              <w:spacing w:line="256" w:lineRule="auto"/>
              <w:rPr>
                <w:rFonts w:ascii="Sylfaen" w:hAnsi="Sylfaen"/>
                <w:sz w:val="20"/>
                <w:szCs w:val="20"/>
                <w:lang w:val="es-ES"/>
              </w:rPr>
            </w:pPr>
            <w:r>
              <w:rPr>
                <w:rFonts w:ascii="Sylfaen" w:hAnsi="Sylfaen"/>
                <w:sz w:val="20"/>
                <w:szCs w:val="20"/>
                <w:lang w:val="es-ES"/>
              </w:rPr>
              <w:t>0.93</w:t>
            </w:r>
          </w:p>
        </w:tc>
        <w:tc>
          <w:tcPr>
            <w:tcW w:w="1368" w:type="dxa"/>
            <w:tcBorders>
              <w:top w:val="single" w:sz="4" w:space="0" w:color="auto"/>
              <w:left w:val="single" w:sz="4" w:space="0" w:color="auto"/>
              <w:bottom w:val="single" w:sz="4" w:space="0" w:color="auto"/>
              <w:right w:val="single" w:sz="4" w:space="0" w:color="auto"/>
            </w:tcBorders>
            <w:hideMark/>
          </w:tcPr>
          <w:p w14:paraId="2659E0B1" w14:textId="77777777" w:rsidR="00D308BF" w:rsidRDefault="00D308BF" w:rsidP="0000351B">
            <w:pPr>
              <w:spacing w:line="256" w:lineRule="auto"/>
              <w:rPr>
                <w:rFonts w:ascii="Sylfaen" w:hAnsi="Sylfaen"/>
                <w:sz w:val="20"/>
                <w:szCs w:val="20"/>
                <w:lang w:val="es-ES"/>
              </w:rPr>
            </w:pPr>
            <w:r>
              <w:rPr>
                <w:rFonts w:ascii="Sylfaen" w:hAnsi="Sylfaen"/>
                <w:sz w:val="20"/>
                <w:szCs w:val="20"/>
                <w:lang w:val="es-ES"/>
              </w:rPr>
              <w:t>1.00</w:t>
            </w:r>
          </w:p>
        </w:tc>
      </w:tr>
    </w:tbl>
    <w:p w14:paraId="661B478F" w14:textId="77777777" w:rsidR="00D308BF" w:rsidRDefault="00D308BF" w:rsidP="0000351B">
      <w:pPr>
        <w:rPr>
          <w:rFonts w:ascii="AcadNusx" w:hAnsi="AcadNusx"/>
        </w:rPr>
      </w:pPr>
    </w:p>
    <w:p w14:paraId="0DB15285" w14:textId="6714B91A" w:rsidR="00D308BF" w:rsidRDefault="00D308BF" w:rsidP="0000351B">
      <w:pPr>
        <w:spacing w:after="120"/>
        <w:ind w:right="49"/>
        <w:rPr>
          <w:rFonts w:ascii="AcadNusx" w:hAnsi="AcadNusx"/>
        </w:rPr>
      </w:pPr>
      <w:r>
        <w:rPr>
          <w:rFonts w:ascii="Sylfaen" w:hAnsi="Sylfaen" w:cs="Sylfaen"/>
          <w:lang w:val="ka-GE"/>
        </w:rPr>
        <w:t>სამშენებლო</w:t>
      </w:r>
      <w:r>
        <w:rPr>
          <w:rFonts w:ascii="AcadNusx" w:hAnsi="AcadNusx"/>
        </w:rPr>
        <w:t xml:space="preserve"> </w:t>
      </w:r>
      <w:r>
        <w:rPr>
          <w:rFonts w:ascii="Sylfaen" w:hAnsi="Sylfaen" w:cs="Sylfaen"/>
        </w:rPr>
        <w:t>გზის</w:t>
      </w:r>
      <w:r>
        <w:rPr>
          <w:rFonts w:ascii="AcadNusx" w:hAnsi="AcadNusx"/>
        </w:rPr>
        <w:t xml:space="preserve"> </w:t>
      </w:r>
      <w:r>
        <w:rPr>
          <w:rFonts w:ascii="Sylfaen" w:hAnsi="Sylfaen" w:cs="Sylfaen"/>
        </w:rPr>
        <w:t>გადამკვეთი</w:t>
      </w:r>
      <w:r>
        <w:rPr>
          <w:rFonts w:ascii="AcadNusx" w:hAnsi="AcadNusx"/>
        </w:rPr>
        <w:t xml:space="preserve"> </w:t>
      </w:r>
      <w:r>
        <w:rPr>
          <w:rFonts w:ascii="Sylfaen" w:hAnsi="Sylfaen" w:cs="Sylfaen"/>
        </w:rPr>
        <w:t>ხევების</w:t>
      </w:r>
      <w:r>
        <w:rPr>
          <w:rFonts w:ascii="AcadNusx" w:hAnsi="AcadNusx"/>
        </w:rPr>
        <w:t xml:space="preserve"> </w:t>
      </w:r>
      <w:r>
        <w:rPr>
          <w:rFonts w:ascii="Sylfaen" w:hAnsi="Sylfaen" w:cs="Sylfaen"/>
        </w:rPr>
        <w:t>წყლის</w:t>
      </w:r>
      <w:r>
        <w:rPr>
          <w:rFonts w:ascii="AcadNusx" w:hAnsi="AcadNusx"/>
        </w:rPr>
        <w:t xml:space="preserve"> </w:t>
      </w:r>
      <w:r>
        <w:rPr>
          <w:rFonts w:ascii="Sylfaen" w:hAnsi="Sylfaen" w:cs="Sylfaen"/>
        </w:rPr>
        <w:t>მაქსიმალური</w:t>
      </w:r>
      <w:r>
        <w:rPr>
          <w:rFonts w:ascii="AcadNusx" w:hAnsi="AcadNusx"/>
        </w:rPr>
        <w:t xml:space="preserve"> </w:t>
      </w:r>
      <w:r>
        <w:rPr>
          <w:rFonts w:ascii="Sylfaen" w:hAnsi="Sylfaen" w:cs="Sylfaen"/>
        </w:rPr>
        <w:t>ხარჯების</w:t>
      </w:r>
      <w:r>
        <w:rPr>
          <w:rFonts w:ascii="AcadNusx" w:hAnsi="AcadNusx"/>
        </w:rPr>
        <w:t xml:space="preserve"> </w:t>
      </w:r>
      <w:r>
        <w:rPr>
          <w:rFonts w:ascii="Sylfaen" w:hAnsi="Sylfaen" w:cs="Sylfaen"/>
        </w:rPr>
        <w:t>საანგარიშოდ</w:t>
      </w:r>
      <w:r>
        <w:rPr>
          <w:rFonts w:ascii="AcadNusx" w:hAnsi="AcadNusx"/>
        </w:rPr>
        <w:t xml:space="preserve"> </w:t>
      </w:r>
      <w:r>
        <w:rPr>
          <w:rFonts w:ascii="Sylfaen" w:hAnsi="Sylfaen" w:cs="Sylfaen"/>
        </w:rPr>
        <w:t>საჭირო</w:t>
      </w:r>
      <w:r>
        <w:rPr>
          <w:rFonts w:ascii="AcadNusx" w:hAnsi="AcadNusx"/>
        </w:rPr>
        <w:t xml:space="preserve"> </w:t>
      </w:r>
      <w:r>
        <w:rPr>
          <w:rFonts w:ascii="Sylfaen" w:hAnsi="Sylfaen" w:cs="Sylfaen"/>
        </w:rPr>
        <w:t>მორფომეტრიული</w:t>
      </w:r>
      <w:r>
        <w:rPr>
          <w:rFonts w:ascii="AcadNusx" w:hAnsi="AcadNusx"/>
        </w:rPr>
        <w:t xml:space="preserve"> </w:t>
      </w:r>
      <w:r>
        <w:rPr>
          <w:rFonts w:ascii="Sylfaen" w:hAnsi="Sylfaen" w:cs="Sylfaen"/>
        </w:rPr>
        <w:t>ელემენტების</w:t>
      </w:r>
      <w:r>
        <w:rPr>
          <w:rFonts w:ascii="AcadNusx" w:hAnsi="AcadNusx"/>
        </w:rPr>
        <w:t xml:space="preserve"> </w:t>
      </w:r>
      <w:r>
        <w:rPr>
          <w:rFonts w:ascii="Sylfaen" w:hAnsi="Sylfaen" w:cs="Sylfaen"/>
        </w:rPr>
        <w:t>მნიშვნელობები</w:t>
      </w:r>
      <w:r>
        <w:rPr>
          <w:rFonts w:ascii="AcadNusx" w:hAnsi="AcadNusx"/>
        </w:rPr>
        <w:t xml:space="preserve">, </w:t>
      </w:r>
      <w:r>
        <w:rPr>
          <w:rFonts w:ascii="Sylfaen" w:hAnsi="Sylfaen" w:cs="Sylfaen"/>
        </w:rPr>
        <w:t>დადგენილი</w:t>
      </w:r>
      <w:r>
        <w:rPr>
          <w:rFonts w:ascii="AcadNusx" w:hAnsi="AcadNusx"/>
        </w:rPr>
        <w:t xml:space="preserve"> 1:25000 </w:t>
      </w:r>
      <w:r>
        <w:rPr>
          <w:rFonts w:ascii="Sylfaen" w:hAnsi="Sylfaen" w:cs="Sylfaen"/>
        </w:rPr>
        <w:t>მასშტაბის</w:t>
      </w:r>
      <w:r>
        <w:rPr>
          <w:rFonts w:ascii="AcadNusx" w:hAnsi="AcadNusx"/>
        </w:rPr>
        <w:t xml:space="preserve"> </w:t>
      </w:r>
      <w:r>
        <w:rPr>
          <w:rFonts w:ascii="Sylfaen" w:hAnsi="Sylfaen" w:cs="Sylfaen"/>
        </w:rPr>
        <w:t>ტოპოგრაფიული</w:t>
      </w:r>
      <w:r>
        <w:rPr>
          <w:rFonts w:ascii="AcadNusx" w:hAnsi="AcadNusx"/>
        </w:rPr>
        <w:t xml:space="preserve"> </w:t>
      </w:r>
      <w:r>
        <w:rPr>
          <w:rFonts w:ascii="Sylfaen" w:hAnsi="Sylfaen" w:cs="Sylfaen"/>
        </w:rPr>
        <w:t>რუკის</w:t>
      </w:r>
      <w:r>
        <w:rPr>
          <w:rFonts w:ascii="AcadNusx" w:hAnsi="AcadNusx"/>
        </w:rPr>
        <w:t xml:space="preserve"> </w:t>
      </w:r>
      <w:r>
        <w:rPr>
          <w:rFonts w:ascii="Sylfaen" w:hAnsi="Sylfaen" w:cs="Sylfaen"/>
        </w:rPr>
        <w:t>მიხედვით</w:t>
      </w:r>
      <w:r>
        <w:rPr>
          <w:rFonts w:ascii="AcadNusx" w:hAnsi="AcadNusx"/>
        </w:rPr>
        <w:t xml:space="preserve">, </w:t>
      </w:r>
      <w:r>
        <w:rPr>
          <w:rFonts w:ascii="Sylfaen" w:hAnsi="Sylfaen" w:cs="Sylfaen"/>
        </w:rPr>
        <w:t>ასევე</w:t>
      </w:r>
      <w:r>
        <w:rPr>
          <w:rFonts w:ascii="AcadNusx" w:hAnsi="AcadNusx"/>
        </w:rPr>
        <w:t xml:space="preserve"> </w:t>
      </w:r>
      <w:r>
        <w:rPr>
          <w:rFonts w:ascii="Sylfaen" w:hAnsi="Sylfaen" w:cs="Sylfaen"/>
        </w:rPr>
        <w:t>ზემოთ</w:t>
      </w:r>
      <w:r>
        <w:rPr>
          <w:rFonts w:ascii="AcadNusx" w:hAnsi="AcadNusx"/>
        </w:rPr>
        <w:t xml:space="preserve"> </w:t>
      </w:r>
      <w:r>
        <w:rPr>
          <w:rFonts w:ascii="Sylfaen" w:hAnsi="Sylfaen" w:cs="Sylfaen"/>
        </w:rPr>
        <w:t>მოყვანილი</w:t>
      </w:r>
      <w:r>
        <w:rPr>
          <w:rFonts w:ascii="AcadNusx" w:hAnsi="AcadNusx"/>
        </w:rPr>
        <w:t xml:space="preserve"> </w:t>
      </w:r>
      <w:r>
        <w:rPr>
          <w:rFonts w:ascii="Sylfaen" w:hAnsi="Sylfaen" w:cs="Sylfaen"/>
        </w:rPr>
        <w:t>ფორმულით</w:t>
      </w:r>
      <w:r>
        <w:rPr>
          <w:rFonts w:ascii="AcadNusx" w:hAnsi="AcadNusx"/>
        </w:rPr>
        <w:t xml:space="preserve"> </w:t>
      </w:r>
      <w:r>
        <w:rPr>
          <w:rFonts w:ascii="Sylfaen" w:hAnsi="Sylfaen" w:cs="Sylfaen"/>
        </w:rPr>
        <w:t>გაანგარიშებული</w:t>
      </w:r>
      <w:r>
        <w:rPr>
          <w:rFonts w:ascii="AcadNusx" w:hAnsi="AcadNusx"/>
        </w:rPr>
        <w:t xml:space="preserve"> 200 </w:t>
      </w:r>
      <w:r>
        <w:rPr>
          <w:rFonts w:ascii="Sylfaen" w:hAnsi="Sylfaen" w:cs="Sylfaen"/>
        </w:rPr>
        <w:t>წლიანი</w:t>
      </w:r>
      <w:r>
        <w:rPr>
          <w:rFonts w:ascii="AcadNusx" w:hAnsi="AcadNusx"/>
        </w:rPr>
        <w:t xml:space="preserve">, 100 </w:t>
      </w:r>
      <w:r>
        <w:rPr>
          <w:rFonts w:ascii="Sylfaen" w:hAnsi="Sylfaen" w:cs="Sylfaen"/>
        </w:rPr>
        <w:t>წლიანი</w:t>
      </w:r>
      <w:r>
        <w:rPr>
          <w:rFonts w:ascii="AcadNusx" w:hAnsi="AcadNusx"/>
        </w:rPr>
        <w:t xml:space="preserve">, 50 </w:t>
      </w:r>
      <w:r>
        <w:rPr>
          <w:rFonts w:ascii="Sylfaen" w:hAnsi="Sylfaen" w:cs="Sylfaen"/>
        </w:rPr>
        <w:t>წლიანი</w:t>
      </w:r>
      <w:r>
        <w:rPr>
          <w:rFonts w:ascii="AcadNusx" w:hAnsi="AcadNusx"/>
        </w:rPr>
        <w:t xml:space="preserve">, 20 </w:t>
      </w:r>
      <w:r>
        <w:rPr>
          <w:rFonts w:ascii="Sylfaen" w:hAnsi="Sylfaen" w:cs="Sylfaen"/>
        </w:rPr>
        <w:t>წლიანი</w:t>
      </w:r>
      <w:r>
        <w:rPr>
          <w:rFonts w:ascii="AcadNusx" w:hAnsi="AcadNusx"/>
        </w:rPr>
        <w:t xml:space="preserve"> </w:t>
      </w:r>
      <w:r>
        <w:rPr>
          <w:rFonts w:ascii="Sylfaen" w:hAnsi="Sylfaen" w:cs="Sylfaen"/>
        </w:rPr>
        <w:t>და</w:t>
      </w:r>
      <w:r>
        <w:rPr>
          <w:rFonts w:ascii="AcadNusx" w:hAnsi="AcadNusx"/>
        </w:rPr>
        <w:t xml:space="preserve"> 10 </w:t>
      </w:r>
      <w:r>
        <w:rPr>
          <w:rFonts w:ascii="Sylfaen" w:hAnsi="Sylfaen" w:cs="Sylfaen"/>
        </w:rPr>
        <w:t>წლიანი</w:t>
      </w:r>
      <w:r>
        <w:rPr>
          <w:rFonts w:ascii="AcadNusx" w:hAnsi="AcadNusx"/>
        </w:rPr>
        <w:t xml:space="preserve"> </w:t>
      </w:r>
      <w:r>
        <w:rPr>
          <w:rFonts w:ascii="Sylfaen" w:hAnsi="Sylfaen" w:cs="Sylfaen"/>
        </w:rPr>
        <w:t>განმეორებადობის</w:t>
      </w:r>
      <w:r>
        <w:rPr>
          <w:rFonts w:ascii="AcadNusx" w:hAnsi="AcadNusx"/>
        </w:rPr>
        <w:t xml:space="preserve"> </w:t>
      </w:r>
      <w:r>
        <w:rPr>
          <w:rFonts w:ascii="Sylfaen" w:hAnsi="Sylfaen" w:cs="Sylfaen"/>
        </w:rPr>
        <w:t>წყლის</w:t>
      </w:r>
      <w:r>
        <w:rPr>
          <w:rFonts w:ascii="AcadNusx" w:hAnsi="AcadNusx"/>
        </w:rPr>
        <w:t xml:space="preserve"> </w:t>
      </w:r>
      <w:r>
        <w:rPr>
          <w:rFonts w:ascii="Sylfaen" w:hAnsi="Sylfaen" w:cs="Sylfaen"/>
        </w:rPr>
        <w:t>მაქსიმალური</w:t>
      </w:r>
      <w:r>
        <w:rPr>
          <w:rFonts w:ascii="AcadNusx" w:hAnsi="AcadNusx"/>
        </w:rPr>
        <w:t xml:space="preserve"> </w:t>
      </w:r>
      <w:r>
        <w:rPr>
          <w:rFonts w:ascii="Sylfaen" w:hAnsi="Sylfaen" w:cs="Sylfaen"/>
        </w:rPr>
        <w:t>ხარჯების</w:t>
      </w:r>
      <w:r>
        <w:rPr>
          <w:rFonts w:ascii="AcadNusx" w:hAnsi="AcadNusx"/>
        </w:rPr>
        <w:t xml:space="preserve"> </w:t>
      </w:r>
      <w:r>
        <w:rPr>
          <w:rFonts w:ascii="Sylfaen" w:hAnsi="Sylfaen" w:cs="Sylfaen"/>
        </w:rPr>
        <w:t>სიდიდეები</w:t>
      </w:r>
      <w:r>
        <w:rPr>
          <w:rFonts w:ascii="AcadNusx" w:hAnsi="AcadNusx"/>
        </w:rPr>
        <w:t xml:space="preserve">, </w:t>
      </w:r>
      <w:r>
        <w:rPr>
          <w:rFonts w:ascii="Sylfaen" w:hAnsi="Sylfaen" w:cs="Sylfaen"/>
        </w:rPr>
        <w:t>მოცემულია</w:t>
      </w:r>
      <w:r>
        <w:rPr>
          <w:rFonts w:ascii="AcadNusx" w:hAnsi="AcadNusx"/>
        </w:rPr>
        <w:t xml:space="preserve"> </w:t>
      </w:r>
      <w:r>
        <w:rPr>
          <w:rFonts w:ascii="Sylfaen" w:hAnsi="Sylfaen" w:cs="Sylfaen"/>
        </w:rPr>
        <w:t>ქვემოთ</w:t>
      </w:r>
      <w:r>
        <w:rPr>
          <w:rFonts w:ascii="AcadNusx" w:hAnsi="AcadNusx"/>
        </w:rPr>
        <w:t>,  #6.3</w:t>
      </w:r>
      <w:r>
        <w:rPr>
          <w:rFonts w:ascii="Sylfaen" w:hAnsi="Sylfaen"/>
          <w:lang w:val="ka-GE"/>
        </w:rPr>
        <w:t>.-</w:t>
      </w:r>
      <w:r>
        <w:rPr>
          <w:rFonts w:ascii="AcadNusx" w:hAnsi="AcadNusx"/>
        </w:rPr>
        <w:t xml:space="preserve">1 </w:t>
      </w:r>
      <w:r>
        <w:rPr>
          <w:rFonts w:ascii="Sylfaen" w:hAnsi="Sylfaen" w:cs="Sylfaen"/>
        </w:rPr>
        <w:t>ცხრილში</w:t>
      </w:r>
      <w:r>
        <w:rPr>
          <w:rFonts w:ascii="AcadNusx" w:hAnsi="AcadNusx"/>
        </w:rPr>
        <w:t>.</w:t>
      </w:r>
    </w:p>
    <w:p w14:paraId="66B77468" w14:textId="77777777" w:rsidR="00D308BF" w:rsidRDefault="00D308BF" w:rsidP="0000351B">
      <w:pPr>
        <w:spacing w:after="120"/>
        <w:ind w:right="49"/>
        <w:rPr>
          <w:rFonts w:ascii="AcadNusx" w:hAnsi="AcadNusx"/>
          <w:lang w:val="fr-FR"/>
        </w:rPr>
      </w:pPr>
      <w:r>
        <w:rPr>
          <w:rFonts w:ascii="Sylfaen" w:hAnsi="Sylfaen" w:cs="Sylfaen"/>
        </w:rPr>
        <w:t>ხევების</w:t>
      </w:r>
      <w:r>
        <w:rPr>
          <w:rFonts w:ascii="AcadNusx" w:hAnsi="AcadNusx"/>
        </w:rPr>
        <w:t xml:space="preserve"> </w:t>
      </w:r>
      <w:r>
        <w:rPr>
          <w:rFonts w:ascii="Sylfaen" w:hAnsi="Sylfaen" w:cs="Sylfaen"/>
        </w:rPr>
        <w:t>გარდა</w:t>
      </w:r>
      <w:r>
        <w:rPr>
          <w:rFonts w:ascii="AcadNusx" w:hAnsi="AcadNusx"/>
        </w:rPr>
        <w:t xml:space="preserve"> </w:t>
      </w:r>
      <w:r>
        <w:rPr>
          <w:rFonts w:ascii="Sylfaen" w:hAnsi="Sylfaen" w:cs="Sylfaen"/>
        </w:rPr>
        <w:t>სამოდერნიზაციო</w:t>
      </w:r>
      <w:r>
        <w:rPr>
          <w:rFonts w:ascii="AcadNusx" w:hAnsi="AcadNusx"/>
        </w:rPr>
        <w:t xml:space="preserve"> </w:t>
      </w:r>
      <w:r>
        <w:rPr>
          <w:rFonts w:ascii="Sylfaen" w:hAnsi="Sylfaen" w:cs="Sylfaen"/>
        </w:rPr>
        <w:t>გზის</w:t>
      </w:r>
      <w:r>
        <w:rPr>
          <w:rFonts w:ascii="AcadNusx" w:hAnsi="AcadNusx"/>
        </w:rPr>
        <w:t xml:space="preserve"> </w:t>
      </w:r>
      <w:r>
        <w:rPr>
          <w:rFonts w:ascii="Sylfaen" w:hAnsi="Sylfaen" w:cs="Sylfaen"/>
        </w:rPr>
        <w:t>გადაკვეთაზე</w:t>
      </w:r>
      <w:r>
        <w:rPr>
          <w:rFonts w:ascii="AcadNusx" w:hAnsi="AcadNusx"/>
        </w:rPr>
        <w:t xml:space="preserve"> </w:t>
      </w:r>
      <w:r>
        <w:rPr>
          <w:rFonts w:ascii="Sylfaen" w:hAnsi="Sylfaen" w:cs="Sylfaen"/>
        </w:rPr>
        <w:t>გვხვდება</w:t>
      </w:r>
      <w:r>
        <w:rPr>
          <w:rFonts w:ascii="AcadNusx" w:hAnsi="AcadNusx"/>
        </w:rPr>
        <w:t xml:space="preserve"> </w:t>
      </w:r>
      <w:r>
        <w:rPr>
          <w:rFonts w:ascii="Sylfaen" w:hAnsi="Sylfaen" w:cs="Sylfaen"/>
        </w:rPr>
        <w:t>მცირე</w:t>
      </w:r>
      <w:r>
        <w:rPr>
          <w:rFonts w:ascii="AcadNusx" w:hAnsi="AcadNusx"/>
        </w:rPr>
        <w:t xml:space="preserve"> </w:t>
      </w:r>
      <w:r>
        <w:rPr>
          <w:rFonts w:ascii="Sylfaen" w:hAnsi="Sylfaen" w:cs="Sylfaen"/>
        </w:rPr>
        <w:t>მონაკვეთები</w:t>
      </w:r>
      <w:r>
        <w:rPr>
          <w:rFonts w:ascii="AcadNusx" w:hAnsi="AcadNusx"/>
        </w:rPr>
        <w:t xml:space="preserve">, </w:t>
      </w:r>
      <w:r>
        <w:rPr>
          <w:rFonts w:ascii="Sylfaen" w:hAnsi="Sylfaen" w:cs="Sylfaen"/>
        </w:rPr>
        <w:t>რომლებსაც</w:t>
      </w:r>
      <w:r>
        <w:rPr>
          <w:rFonts w:ascii="AcadNusx" w:hAnsi="AcadNusx"/>
        </w:rPr>
        <w:t xml:space="preserve"> </w:t>
      </w:r>
      <w:r>
        <w:rPr>
          <w:rFonts w:ascii="Sylfaen" w:hAnsi="Sylfaen" w:cs="Sylfaen"/>
        </w:rPr>
        <w:t>არ</w:t>
      </w:r>
      <w:r>
        <w:rPr>
          <w:rFonts w:ascii="AcadNusx" w:hAnsi="AcadNusx"/>
        </w:rPr>
        <w:t xml:space="preserve"> </w:t>
      </w:r>
      <w:r>
        <w:rPr>
          <w:rFonts w:ascii="Sylfaen" w:hAnsi="Sylfaen" w:cs="Sylfaen"/>
        </w:rPr>
        <w:t>გააჩნიათ</w:t>
      </w:r>
      <w:r>
        <w:rPr>
          <w:rFonts w:ascii="AcadNusx" w:hAnsi="AcadNusx"/>
        </w:rPr>
        <w:t xml:space="preserve"> </w:t>
      </w:r>
      <w:r>
        <w:rPr>
          <w:rFonts w:ascii="Sylfaen" w:hAnsi="Sylfaen" w:cs="Sylfaen"/>
        </w:rPr>
        <w:t>ჩამოყალიბებული</w:t>
      </w:r>
      <w:r>
        <w:rPr>
          <w:rFonts w:ascii="AcadNusx" w:hAnsi="AcadNusx"/>
        </w:rPr>
        <w:t xml:space="preserve"> </w:t>
      </w:r>
      <w:r>
        <w:rPr>
          <w:rFonts w:ascii="Sylfaen" w:hAnsi="Sylfaen" w:cs="Sylfaen"/>
        </w:rPr>
        <w:t>კალაპოტი</w:t>
      </w:r>
      <w:r>
        <w:rPr>
          <w:rFonts w:ascii="AcadNusx" w:hAnsi="AcadNusx"/>
        </w:rPr>
        <w:t xml:space="preserve">, </w:t>
      </w:r>
      <w:r>
        <w:rPr>
          <w:rFonts w:ascii="Sylfaen" w:hAnsi="Sylfaen" w:cs="Sylfaen"/>
        </w:rPr>
        <w:t>რის</w:t>
      </w:r>
      <w:r>
        <w:rPr>
          <w:rFonts w:ascii="AcadNusx" w:hAnsi="AcadNusx"/>
        </w:rPr>
        <w:t xml:space="preserve"> </w:t>
      </w:r>
      <w:r>
        <w:rPr>
          <w:rFonts w:ascii="Sylfaen" w:hAnsi="Sylfaen" w:cs="Sylfaen"/>
        </w:rPr>
        <w:t>გამო</w:t>
      </w:r>
      <w:r>
        <w:rPr>
          <w:rFonts w:ascii="AcadNusx" w:hAnsi="AcadNusx"/>
        </w:rPr>
        <w:t xml:space="preserve"> </w:t>
      </w:r>
      <w:r>
        <w:rPr>
          <w:rFonts w:ascii="Sylfaen" w:hAnsi="Sylfaen" w:cs="Sylfaen"/>
        </w:rPr>
        <w:t>მათი</w:t>
      </w:r>
      <w:r>
        <w:rPr>
          <w:rFonts w:ascii="AcadNusx" w:hAnsi="AcadNusx"/>
        </w:rPr>
        <w:t xml:space="preserve"> </w:t>
      </w:r>
      <w:r>
        <w:rPr>
          <w:rFonts w:ascii="Sylfaen" w:hAnsi="Sylfaen" w:cs="Sylfaen"/>
        </w:rPr>
        <w:t>მაქსიმალური</w:t>
      </w:r>
      <w:r>
        <w:rPr>
          <w:rFonts w:ascii="AcadNusx" w:hAnsi="AcadNusx"/>
        </w:rPr>
        <w:t xml:space="preserve"> </w:t>
      </w:r>
      <w:r>
        <w:rPr>
          <w:rFonts w:ascii="Sylfaen" w:hAnsi="Sylfaen" w:cs="Sylfaen"/>
        </w:rPr>
        <w:t>ხარჯების</w:t>
      </w:r>
      <w:r>
        <w:rPr>
          <w:rFonts w:ascii="AcadNusx" w:hAnsi="AcadNusx"/>
        </w:rPr>
        <w:t xml:space="preserve"> </w:t>
      </w:r>
      <w:r>
        <w:rPr>
          <w:rFonts w:ascii="Sylfaen" w:hAnsi="Sylfaen" w:cs="Sylfaen"/>
        </w:rPr>
        <w:t>ანგარიში</w:t>
      </w:r>
      <w:r>
        <w:rPr>
          <w:rFonts w:ascii="AcadNusx" w:hAnsi="AcadNusx"/>
        </w:rPr>
        <w:t xml:space="preserve"> </w:t>
      </w:r>
      <w:r>
        <w:rPr>
          <w:rFonts w:ascii="Sylfaen" w:hAnsi="Sylfaen" w:cs="Sylfaen"/>
        </w:rPr>
        <w:t>ზევით</w:t>
      </w:r>
      <w:r>
        <w:rPr>
          <w:rFonts w:ascii="AcadNusx" w:hAnsi="AcadNusx"/>
        </w:rPr>
        <w:t xml:space="preserve"> </w:t>
      </w:r>
      <w:r>
        <w:rPr>
          <w:rFonts w:ascii="Sylfaen" w:hAnsi="Sylfaen" w:cs="Sylfaen"/>
        </w:rPr>
        <w:t>მოყვანილი</w:t>
      </w:r>
      <w:r>
        <w:rPr>
          <w:rFonts w:ascii="AcadNusx" w:hAnsi="AcadNusx"/>
        </w:rPr>
        <w:t xml:space="preserve"> </w:t>
      </w:r>
      <w:r>
        <w:rPr>
          <w:rFonts w:ascii="Sylfaen" w:hAnsi="Sylfaen" w:cs="Sylfaen"/>
        </w:rPr>
        <w:t>ფორმულით</w:t>
      </w:r>
      <w:r>
        <w:rPr>
          <w:rFonts w:ascii="AcadNusx" w:hAnsi="AcadNusx"/>
        </w:rPr>
        <w:t xml:space="preserve"> </w:t>
      </w:r>
      <w:r>
        <w:rPr>
          <w:rFonts w:ascii="Sylfaen" w:hAnsi="Sylfaen" w:cs="Sylfaen"/>
        </w:rPr>
        <w:t>შეუძლებელია</w:t>
      </w:r>
      <w:r>
        <w:rPr>
          <w:rFonts w:ascii="AcadNusx" w:hAnsi="AcadNusx"/>
        </w:rPr>
        <w:t xml:space="preserve">. </w:t>
      </w:r>
      <w:r>
        <w:rPr>
          <w:rFonts w:ascii="Sylfaen" w:hAnsi="Sylfaen" w:cs="Sylfaen"/>
        </w:rPr>
        <w:t>ამიტომ</w:t>
      </w:r>
      <w:r>
        <w:rPr>
          <w:rFonts w:ascii="AcadNusx" w:hAnsi="AcadNusx"/>
        </w:rPr>
        <w:t xml:space="preserve">, </w:t>
      </w:r>
      <w:r>
        <w:rPr>
          <w:rFonts w:ascii="Sylfaen" w:hAnsi="Sylfaen" w:cs="Sylfaen"/>
        </w:rPr>
        <w:t>მათი</w:t>
      </w:r>
      <w:r>
        <w:rPr>
          <w:rFonts w:ascii="AcadNusx" w:hAnsi="AcadNusx"/>
        </w:rPr>
        <w:t xml:space="preserve"> </w:t>
      </w:r>
      <w:r>
        <w:rPr>
          <w:rFonts w:ascii="Sylfaen" w:hAnsi="Sylfaen" w:cs="Sylfaen"/>
        </w:rPr>
        <w:t>ფართობებიდან</w:t>
      </w:r>
      <w:r>
        <w:rPr>
          <w:rFonts w:ascii="AcadNusx" w:hAnsi="AcadNusx"/>
        </w:rPr>
        <w:t xml:space="preserve"> </w:t>
      </w:r>
      <w:r>
        <w:rPr>
          <w:rFonts w:ascii="Sylfaen" w:hAnsi="Sylfaen" w:cs="Sylfaen"/>
        </w:rPr>
        <w:t>ჩამომდინარე</w:t>
      </w:r>
      <w:r>
        <w:rPr>
          <w:rFonts w:ascii="AcadNusx" w:hAnsi="AcadNusx"/>
        </w:rPr>
        <w:t xml:space="preserve"> </w:t>
      </w:r>
      <w:r>
        <w:rPr>
          <w:rFonts w:ascii="Sylfaen" w:hAnsi="Sylfaen" w:cs="Sylfaen"/>
        </w:rPr>
        <w:t>წყლის</w:t>
      </w:r>
      <w:r>
        <w:rPr>
          <w:rFonts w:ascii="AcadNusx" w:hAnsi="AcadNusx"/>
        </w:rPr>
        <w:t xml:space="preserve"> </w:t>
      </w:r>
      <w:r>
        <w:rPr>
          <w:rFonts w:ascii="Sylfaen" w:hAnsi="Sylfaen" w:cs="Sylfaen"/>
        </w:rPr>
        <w:t>მაქსიმალური</w:t>
      </w:r>
      <w:r>
        <w:rPr>
          <w:rFonts w:ascii="AcadNusx" w:hAnsi="AcadNusx"/>
        </w:rPr>
        <w:t xml:space="preserve"> </w:t>
      </w:r>
      <w:r>
        <w:rPr>
          <w:rFonts w:ascii="Sylfaen" w:hAnsi="Sylfaen" w:cs="Sylfaen"/>
        </w:rPr>
        <w:t>რაოდენობა</w:t>
      </w:r>
      <w:r>
        <w:rPr>
          <w:rFonts w:ascii="AcadNusx" w:hAnsi="AcadNusx"/>
        </w:rPr>
        <w:t xml:space="preserve"> </w:t>
      </w:r>
      <w:r>
        <w:rPr>
          <w:rFonts w:ascii="Sylfaen" w:hAnsi="Sylfaen" w:cs="Sylfaen"/>
        </w:rPr>
        <w:t>დადგენილია</w:t>
      </w:r>
      <w:r>
        <w:rPr>
          <w:rFonts w:ascii="AcadNusx" w:hAnsi="AcadNusx"/>
        </w:rPr>
        <w:t xml:space="preserve"> </w:t>
      </w:r>
      <w:r>
        <w:rPr>
          <w:rFonts w:ascii="Sylfaen" w:hAnsi="Sylfaen" w:cs="Sylfaen"/>
        </w:rPr>
        <w:t>მის</w:t>
      </w:r>
      <w:r>
        <w:rPr>
          <w:rFonts w:ascii="AcadNusx" w:hAnsi="AcadNusx"/>
        </w:rPr>
        <w:t xml:space="preserve"> </w:t>
      </w:r>
      <w:r>
        <w:rPr>
          <w:rFonts w:ascii="Sylfaen" w:hAnsi="Sylfaen" w:cs="Sylfaen"/>
        </w:rPr>
        <w:t>მეზობლად</w:t>
      </w:r>
      <w:r>
        <w:rPr>
          <w:rFonts w:ascii="AcadNusx" w:hAnsi="AcadNusx"/>
        </w:rPr>
        <w:t xml:space="preserve"> </w:t>
      </w:r>
      <w:r>
        <w:rPr>
          <w:rFonts w:ascii="Sylfaen" w:hAnsi="Sylfaen" w:cs="Sylfaen"/>
        </w:rPr>
        <w:t>არსებული</w:t>
      </w:r>
      <w:r>
        <w:rPr>
          <w:rFonts w:ascii="AcadNusx" w:hAnsi="AcadNusx"/>
        </w:rPr>
        <w:t xml:space="preserve">, </w:t>
      </w:r>
      <w:r>
        <w:rPr>
          <w:rFonts w:ascii="Sylfaen" w:hAnsi="Sylfaen" w:cs="Sylfaen"/>
        </w:rPr>
        <w:t>დაახლოებით</w:t>
      </w:r>
      <w:r>
        <w:rPr>
          <w:rFonts w:ascii="AcadNusx" w:hAnsi="AcadNusx"/>
        </w:rPr>
        <w:t xml:space="preserve"> </w:t>
      </w:r>
      <w:r>
        <w:rPr>
          <w:rFonts w:ascii="Sylfaen" w:hAnsi="Sylfaen" w:cs="Sylfaen"/>
        </w:rPr>
        <w:t>იმავე</w:t>
      </w:r>
      <w:r>
        <w:rPr>
          <w:rFonts w:ascii="AcadNusx" w:hAnsi="AcadNusx"/>
        </w:rPr>
        <w:t xml:space="preserve"> </w:t>
      </w:r>
      <w:r>
        <w:rPr>
          <w:rFonts w:ascii="Sylfaen" w:hAnsi="Sylfaen" w:cs="Sylfaen"/>
        </w:rPr>
        <w:t>წყალშემკრები</w:t>
      </w:r>
      <w:r>
        <w:rPr>
          <w:rFonts w:ascii="AcadNusx" w:hAnsi="AcadNusx"/>
        </w:rPr>
        <w:t xml:space="preserve"> </w:t>
      </w:r>
      <w:r>
        <w:rPr>
          <w:rFonts w:ascii="Sylfaen" w:hAnsi="Sylfaen" w:cs="Sylfaen"/>
        </w:rPr>
        <w:t>აუზის</w:t>
      </w:r>
      <w:r>
        <w:rPr>
          <w:rFonts w:ascii="AcadNusx" w:hAnsi="AcadNusx"/>
        </w:rPr>
        <w:t xml:space="preserve"> </w:t>
      </w:r>
      <w:r>
        <w:rPr>
          <w:rFonts w:ascii="Sylfaen" w:hAnsi="Sylfaen" w:cs="Sylfaen"/>
        </w:rPr>
        <w:t>ფართობის</w:t>
      </w:r>
      <w:r>
        <w:rPr>
          <w:rFonts w:ascii="AcadNusx" w:hAnsi="AcadNusx"/>
        </w:rPr>
        <w:t xml:space="preserve"> </w:t>
      </w:r>
      <w:r>
        <w:rPr>
          <w:rFonts w:ascii="Sylfaen" w:hAnsi="Sylfaen" w:cs="Sylfaen"/>
        </w:rPr>
        <w:t>მქონე</w:t>
      </w:r>
      <w:r>
        <w:rPr>
          <w:rFonts w:ascii="AcadNusx" w:hAnsi="AcadNusx"/>
        </w:rPr>
        <w:t xml:space="preserve"> </w:t>
      </w:r>
      <w:r>
        <w:rPr>
          <w:rFonts w:ascii="Sylfaen" w:hAnsi="Sylfaen" w:cs="Sylfaen"/>
        </w:rPr>
        <w:t>ხევის</w:t>
      </w:r>
      <w:r>
        <w:rPr>
          <w:rFonts w:ascii="AcadNusx" w:hAnsi="AcadNusx"/>
        </w:rPr>
        <w:t xml:space="preserve"> </w:t>
      </w:r>
      <w:r>
        <w:rPr>
          <w:rFonts w:ascii="Sylfaen" w:hAnsi="Sylfaen" w:cs="Sylfaen"/>
        </w:rPr>
        <w:t>მაქსიმალური</w:t>
      </w:r>
      <w:r>
        <w:rPr>
          <w:rFonts w:ascii="AcadNusx" w:hAnsi="AcadNusx"/>
        </w:rPr>
        <w:t xml:space="preserve"> </w:t>
      </w:r>
      <w:r>
        <w:rPr>
          <w:rFonts w:ascii="Sylfaen" w:hAnsi="Sylfaen" w:cs="Sylfaen"/>
        </w:rPr>
        <w:t>ხარჯების</w:t>
      </w:r>
      <w:r>
        <w:rPr>
          <w:rFonts w:ascii="AcadNusx" w:hAnsi="AcadNusx"/>
        </w:rPr>
        <w:t xml:space="preserve"> </w:t>
      </w:r>
      <w:r>
        <w:rPr>
          <w:rFonts w:ascii="Sylfaen" w:hAnsi="Sylfaen" w:cs="Sylfaen"/>
        </w:rPr>
        <w:t>მოდულებით</w:t>
      </w:r>
      <w:r>
        <w:rPr>
          <w:rFonts w:ascii="AcadNusx" w:hAnsi="AcadNusx"/>
        </w:rPr>
        <w:t xml:space="preserve">. 1:25000 </w:t>
      </w:r>
      <w:r>
        <w:rPr>
          <w:rFonts w:ascii="Sylfaen" w:hAnsi="Sylfaen" w:cs="Sylfaen"/>
        </w:rPr>
        <w:t>მასშტაბის</w:t>
      </w:r>
      <w:r>
        <w:rPr>
          <w:rFonts w:ascii="AcadNusx" w:hAnsi="AcadNusx"/>
        </w:rPr>
        <w:t xml:space="preserve"> </w:t>
      </w:r>
      <w:r>
        <w:rPr>
          <w:rFonts w:ascii="Sylfaen" w:hAnsi="Sylfaen" w:cs="Sylfaen"/>
        </w:rPr>
        <w:t>სქემაზე</w:t>
      </w:r>
      <w:r>
        <w:rPr>
          <w:rFonts w:ascii="AcadNusx" w:hAnsi="AcadNusx"/>
        </w:rPr>
        <w:t xml:space="preserve"> </w:t>
      </w:r>
      <w:r>
        <w:rPr>
          <w:rFonts w:ascii="Sylfaen" w:hAnsi="Sylfaen" w:cs="Sylfaen"/>
        </w:rPr>
        <w:t>ასეთი</w:t>
      </w:r>
      <w:r>
        <w:rPr>
          <w:rFonts w:ascii="AcadNusx" w:hAnsi="AcadNusx"/>
        </w:rPr>
        <w:t xml:space="preserve"> </w:t>
      </w:r>
      <w:r>
        <w:rPr>
          <w:rFonts w:ascii="Sylfaen" w:hAnsi="Sylfaen" w:cs="Sylfaen"/>
        </w:rPr>
        <w:t>ფართობები</w:t>
      </w:r>
      <w:r>
        <w:rPr>
          <w:rFonts w:ascii="AcadNusx" w:hAnsi="AcadNusx"/>
        </w:rPr>
        <w:t xml:space="preserve"> </w:t>
      </w:r>
      <w:r>
        <w:rPr>
          <w:rFonts w:ascii="Sylfaen" w:hAnsi="Sylfaen" w:cs="Sylfaen"/>
        </w:rPr>
        <w:t>აღნიშნულია</w:t>
      </w:r>
      <w:r>
        <w:rPr>
          <w:rFonts w:ascii="AcadNusx" w:hAnsi="AcadNusx"/>
        </w:rPr>
        <w:t xml:space="preserve"> </w:t>
      </w:r>
      <w:r>
        <w:rPr>
          <w:rFonts w:ascii="Sylfaen" w:hAnsi="Sylfaen" w:cs="Sylfaen"/>
        </w:rPr>
        <w:t>I</w:t>
      </w:r>
      <w:r>
        <w:rPr>
          <w:rFonts w:ascii="AcadNusx" w:hAnsi="AcadNusx"/>
        </w:rPr>
        <w:t>-</w:t>
      </w:r>
      <w:r>
        <w:rPr>
          <w:rFonts w:ascii="Sylfaen" w:hAnsi="Sylfaen" w:cs="Sylfaen"/>
        </w:rPr>
        <w:t>ით</w:t>
      </w:r>
      <w:r>
        <w:rPr>
          <w:rFonts w:ascii="AcadNusx" w:hAnsi="AcadNusx"/>
        </w:rPr>
        <w:t xml:space="preserve">. </w:t>
      </w:r>
      <w:r>
        <w:rPr>
          <w:rFonts w:ascii="Sylfaen" w:hAnsi="Sylfaen"/>
          <w:lang w:val="ka-GE"/>
        </w:rPr>
        <w:t>ბაკურციხე-წნორის საპროექტო გზის გადამკვეთი ხევების წლის მაქსიმალური ხარჯები მ</w:t>
      </w:r>
      <w:r>
        <w:rPr>
          <w:rFonts w:ascii="Sylfaen" w:hAnsi="Sylfaen"/>
          <w:vertAlign w:val="superscript"/>
          <w:lang w:val="ka-GE"/>
        </w:rPr>
        <w:t>3</w:t>
      </w:r>
      <w:r>
        <w:rPr>
          <w:rFonts w:ascii="Sylfaen" w:hAnsi="Sylfaen"/>
          <w:lang w:val="ka-GE"/>
        </w:rPr>
        <w:t>/წმ-ში</w:t>
      </w:r>
    </w:p>
    <w:p w14:paraId="26F9AD8C" w14:textId="0E348C82" w:rsidR="00D308BF" w:rsidRDefault="00D308BF" w:rsidP="00D308BF">
      <w:pPr>
        <w:ind w:right="49"/>
        <w:jc w:val="center"/>
        <w:rPr>
          <w:rFonts w:ascii="Sylfaen" w:hAnsi="Sylfaen"/>
          <w:lang w:val="fr-FR"/>
        </w:rPr>
      </w:pPr>
      <w:r>
        <w:rPr>
          <w:rFonts w:ascii="Sylfaen" w:hAnsi="Sylfaen"/>
          <w:lang w:val="ka-GE"/>
        </w:rPr>
        <w:t xml:space="preserve">ცხრილი </w:t>
      </w:r>
      <w:r>
        <w:rPr>
          <w:rFonts w:ascii="Sylfaen" w:hAnsi="Sylfaen"/>
          <w:lang w:val="fr-FR"/>
        </w:rPr>
        <w:t>№</w:t>
      </w:r>
      <w:r>
        <w:rPr>
          <w:rFonts w:ascii="Sylfaen" w:hAnsi="Sylfaen"/>
          <w:lang w:val="ka-GE"/>
        </w:rPr>
        <w:t>6.3-</w:t>
      </w:r>
      <w:r>
        <w:rPr>
          <w:rFonts w:ascii="Sylfaen" w:hAnsi="Sylfaen"/>
          <w:lang w:val="fr-FR"/>
        </w:rPr>
        <w:t>1</w:t>
      </w:r>
    </w:p>
    <w:tbl>
      <w:tblPr>
        <w:tblW w:w="1061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628"/>
        <w:gridCol w:w="627"/>
        <w:gridCol w:w="843"/>
        <w:gridCol w:w="626"/>
        <w:gridCol w:w="607"/>
        <w:gridCol w:w="613"/>
        <w:gridCol w:w="620"/>
        <w:gridCol w:w="625"/>
        <w:gridCol w:w="797"/>
        <w:gridCol w:w="797"/>
        <w:gridCol w:w="797"/>
        <w:gridCol w:w="797"/>
        <w:gridCol w:w="797"/>
      </w:tblGrid>
      <w:tr w:rsidR="00D34C21" w:rsidRPr="00D34C21" w14:paraId="05364C7D" w14:textId="77777777" w:rsidTr="00D34C21">
        <w:tc>
          <w:tcPr>
            <w:tcW w:w="1440" w:type="dxa"/>
            <w:vMerge w:val="restart"/>
          </w:tcPr>
          <w:p w14:paraId="4676CD24"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 xml:space="preserve"> </w:t>
            </w:r>
            <w:r w:rsidRPr="00D34C21">
              <w:rPr>
                <w:rFonts w:ascii="Sylfaen" w:hAnsi="Sylfaen"/>
                <w:sz w:val="18"/>
                <w:szCs w:val="22"/>
                <w:lang w:val="ka-GE"/>
              </w:rPr>
              <w:t>ხევის დასახლება</w:t>
            </w:r>
            <w:r w:rsidRPr="00D34C21">
              <w:rPr>
                <w:rFonts w:ascii="AcadNusx" w:hAnsi="AcadNusx"/>
                <w:sz w:val="18"/>
                <w:szCs w:val="22"/>
                <w:lang w:val="fr-FR"/>
              </w:rPr>
              <w:t xml:space="preserve"> </w:t>
            </w:r>
          </w:p>
          <w:p w14:paraId="56A8C0AF"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 xml:space="preserve">      </w:t>
            </w:r>
            <w:r w:rsidRPr="00D34C21">
              <w:rPr>
                <w:rFonts w:ascii="Sylfaen" w:hAnsi="Sylfaen"/>
                <w:sz w:val="18"/>
                <w:szCs w:val="22"/>
                <w:lang w:val="ka-GE"/>
              </w:rPr>
              <w:t xml:space="preserve">და </w:t>
            </w:r>
            <w:r w:rsidRPr="00D34C21">
              <w:rPr>
                <w:rFonts w:ascii="AcadNusx" w:hAnsi="AcadNusx"/>
                <w:sz w:val="18"/>
                <w:szCs w:val="22"/>
                <w:lang w:val="fr-FR"/>
              </w:rPr>
              <w:t>#</w:t>
            </w:r>
          </w:p>
        </w:tc>
        <w:tc>
          <w:tcPr>
            <w:tcW w:w="628" w:type="dxa"/>
            <w:vMerge w:val="restart"/>
          </w:tcPr>
          <w:p w14:paraId="22F4D4EA" w14:textId="77777777" w:rsidR="00D34C21" w:rsidRPr="00D34C21" w:rsidRDefault="00D34C21" w:rsidP="00D34C21">
            <w:pPr>
              <w:ind w:right="46"/>
              <w:rPr>
                <w:rFonts w:ascii="AcadNusx" w:hAnsi="AcadNusx"/>
                <w:sz w:val="18"/>
              </w:rPr>
            </w:pPr>
            <w:r w:rsidRPr="00D34C21">
              <w:rPr>
                <w:rFonts w:ascii="AcadNusx" w:hAnsi="AcadNusx"/>
                <w:position w:val="-4"/>
                <w:sz w:val="18"/>
                <w:szCs w:val="22"/>
              </w:rPr>
              <w:object w:dxaOrig="260" w:dyaOrig="260" w14:anchorId="3BF89C60">
                <v:shape id="_x0000_i1043" type="#_x0000_t75" style="width:14.25pt;height:14.25pt" o:ole="">
                  <v:imagedata r:id="rId124" o:title=""/>
                </v:shape>
                <o:OLEObject Type="Embed" ProgID="Equation.3" ShapeID="_x0000_i1043" DrawAspect="Content" ObjectID="_1612194565" r:id="rId154"/>
              </w:object>
            </w:r>
          </w:p>
          <w:p w14:paraId="2598D898"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კმ</w:t>
            </w:r>
            <w:r w:rsidRPr="00D34C21">
              <w:rPr>
                <w:rFonts w:ascii="AcadNusx" w:hAnsi="AcadNusx"/>
                <w:sz w:val="18"/>
                <w:szCs w:val="22"/>
                <w:vertAlign w:val="superscript"/>
              </w:rPr>
              <w:t>2</w:t>
            </w:r>
          </w:p>
        </w:tc>
        <w:tc>
          <w:tcPr>
            <w:tcW w:w="627" w:type="dxa"/>
            <w:vMerge w:val="restart"/>
          </w:tcPr>
          <w:p w14:paraId="73BA12E9" w14:textId="77777777" w:rsidR="00D34C21" w:rsidRPr="00D34C21" w:rsidRDefault="00D34C21" w:rsidP="00D34C21">
            <w:pPr>
              <w:ind w:right="46"/>
              <w:rPr>
                <w:rFonts w:ascii="AcadNusx" w:hAnsi="AcadNusx"/>
                <w:sz w:val="18"/>
                <w:lang w:val="es-ES"/>
              </w:rPr>
            </w:pPr>
            <w:r w:rsidRPr="00D34C21">
              <w:rPr>
                <w:rFonts w:ascii="AcadNusx" w:hAnsi="AcadNusx"/>
                <w:position w:val="-4"/>
                <w:sz w:val="18"/>
                <w:szCs w:val="22"/>
              </w:rPr>
              <w:object w:dxaOrig="220" w:dyaOrig="260" w14:anchorId="4B93D7B4">
                <v:shape id="_x0000_i1044" type="#_x0000_t75" style="width:14.25pt;height:14.25pt" o:ole="">
                  <v:imagedata r:id="rId132" o:title=""/>
                </v:shape>
                <o:OLEObject Type="Embed" ProgID="Equation.3" ShapeID="_x0000_i1044" DrawAspect="Content" ObjectID="_1612194566" r:id="rId155"/>
              </w:object>
            </w:r>
          </w:p>
          <w:p w14:paraId="447470BA" w14:textId="77777777" w:rsidR="00D34C21" w:rsidRPr="00D34C21" w:rsidRDefault="00D34C21" w:rsidP="00D34C21">
            <w:pPr>
              <w:ind w:right="46"/>
              <w:rPr>
                <w:rFonts w:ascii="Sylfaen" w:hAnsi="Sylfaen"/>
                <w:sz w:val="18"/>
                <w:lang w:val="ka-GE"/>
              </w:rPr>
            </w:pPr>
            <w:r w:rsidRPr="00D34C21">
              <w:rPr>
                <w:rFonts w:ascii="Sylfaen" w:hAnsi="Sylfaen"/>
                <w:sz w:val="18"/>
                <w:szCs w:val="22"/>
                <w:lang w:val="ka-GE"/>
              </w:rPr>
              <w:t>კმ</w:t>
            </w:r>
          </w:p>
        </w:tc>
        <w:tc>
          <w:tcPr>
            <w:tcW w:w="843" w:type="dxa"/>
            <w:vMerge w:val="restart"/>
          </w:tcPr>
          <w:p w14:paraId="4215619E" w14:textId="77777777" w:rsidR="00D34C21" w:rsidRPr="00D34C21" w:rsidRDefault="00D34C21" w:rsidP="00D34C21">
            <w:pPr>
              <w:ind w:right="46"/>
              <w:rPr>
                <w:rFonts w:ascii="AcadNusx" w:hAnsi="AcadNusx"/>
                <w:sz w:val="18"/>
              </w:rPr>
            </w:pPr>
            <w:r w:rsidRPr="00D34C21">
              <w:rPr>
                <w:rFonts w:ascii="AcadNusx" w:hAnsi="AcadNusx"/>
                <w:sz w:val="18"/>
                <w:szCs w:val="22"/>
              </w:rPr>
              <w:t xml:space="preserve"> </w:t>
            </w:r>
            <w:r w:rsidRPr="00D34C21">
              <w:rPr>
                <w:rFonts w:ascii="AcadNusx" w:hAnsi="AcadNusx"/>
                <w:position w:val="-6"/>
                <w:sz w:val="18"/>
                <w:szCs w:val="22"/>
              </w:rPr>
              <w:object w:dxaOrig="139" w:dyaOrig="260" w14:anchorId="01C70383">
                <v:shape id="_x0000_i1045" type="#_x0000_t75" style="width:7.55pt;height:14.25pt" o:ole="">
                  <v:imagedata r:id="rId156" o:title=""/>
                </v:shape>
                <o:OLEObject Type="Embed" ProgID="Equation.3" ShapeID="_x0000_i1045" DrawAspect="Content" ObjectID="_1612194567" r:id="rId157"/>
              </w:object>
            </w:r>
          </w:p>
          <w:p w14:paraId="494EC044"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კალ</w:t>
            </w:r>
            <w:r w:rsidRPr="00D34C21">
              <w:rPr>
                <w:rFonts w:ascii="AcadNusx" w:hAnsi="AcadNusx"/>
                <w:sz w:val="18"/>
                <w:szCs w:val="22"/>
              </w:rPr>
              <w:t>.</w:t>
            </w:r>
          </w:p>
        </w:tc>
        <w:tc>
          <w:tcPr>
            <w:tcW w:w="626" w:type="dxa"/>
            <w:vMerge w:val="restart"/>
          </w:tcPr>
          <w:p w14:paraId="6D32D0AF" w14:textId="77777777" w:rsidR="00D34C21" w:rsidRPr="00D34C21" w:rsidRDefault="00D34C21" w:rsidP="00D34C21">
            <w:pPr>
              <w:tabs>
                <w:tab w:val="left" w:pos="216"/>
              </w:tabs>
              <w:ind w:right="46"/>
              <w:rPr>
                <w:rFonts w:ascii="AcadNusx" w:hAnsi="AcadNusx"/>
                <w:sz w:val="18"/>
                <w:lang w:val="fr-FR"/>
              </w:rPr>
            </w:pPr>
            <w:r w:rsidRPr="00D34C21">
              <w:rPr>
                <w:rFonts w:ascii="AcadNusx" w:hAnsi="AcadNusx"/>
                <w:position w:val="-6"/>
                <w:sz w:val="18"/>
                <w:szCs w:val="22"/>
                <w:lang w:val="es-ES"/>
              </w:rPr>
              <w:object w:dxaOrig="220" w:dyaOrig="279" w14:anchorId="4ADE7A60">
                <v:shape id="_x0000_i1046" type="#_x0000_t75" style="width:14.25pt;height:14.25pt" o:ole="">
                  <v:imagedata r:id="rId136" o:title=""/>
                </v:shape>
                <o:OLEObject Type="Embed" ProgID="Equation.3" ShapeID="_x0000_i1046" DrawAspect="Content" ObjectID="_1612194568" r:id="rId158"/>
              </w:object>
            </w:r>
          </w:p>
        </w:tc>
        <w:tc>
          <w:tcPr>
            <w:tcW w:w="607" w:type="dxa"/>
            <w:vMerge w:val="restart"/>
          </w:tcPr>
          <w:p w14:paraId="517CBD90" w14:textId="77777777" w:rsidR="00D34C21" w:rsidRPr="00D34C21" w:rsidRDefault="00D34C21" w:rsidP="00D34C21">
            <w:pPr>
              <w:ind w:right="46"/>
              <w:rPr>
                <w:rFonts w:ascii="AcadNusx" w:hAnsi="AcadNusx"/>
                <w:sz w:val="18"/>
                <w:lang w:val="fr-FR"/>
              </w:rPr>
            </w:pPr>
            <w:r w:rsidRPr="00D34C21">
              <w:rPr>
                <w:rFonts w:ascii="AcadNusx" w:hAnsi="AcadNusx"/>
                <w:position w:val="-6"/>
                <w:sz w:val="18"/>
                <w:szCs w:val="22"/>
                <w:lang w:val="fr-FR"/>
              </w:rPr>
              <w:object w:dxaOrig="220" w:dyaOrig="280" w14:anchorId="5409A126">
                <v:shape id="_x0000_i1047" type="#_x0000_t75" style="width:14.25pt;height:14.25pt" o:ole="">
                  <v:imagedata r:id="rId142" o:title=""/>
                </v:shape>
                <o:OLEObject Type="Embed" ProgID="Equation.3" ShapeID="_x0000_i1047" DrawAspect="Content" ObjectID="_1612194569" r:id="rId159"/>
              </w:object>
            </w:r>
          </w:p>
        </w:tc>
        <w:tc>
          <w:tcPr>
            <w:tcW w:w="613" w:type="dxa"/>
            <w:vMerge w:val="restart"/>
          </w:tcPr>
          <w:p w14:paraId="39811E0C" w14:textId="77777777" w:rsidR="00D34C21" w:rsidRPr="00D34C21" w:rsidRDefault="00D34C21" w:rsidP="00D34C21">
            <w:pPr>
              <w:ind w:right="46"/>
              <w:rPr>
                <w:rFonts w:ascii="AcadNusx" w:hAnsi="AcadNusx"/>
                <w:sz w:val="18"/>
                <w:lang w:val="fr-FR"/>
              </w:rPr>
            </w:pPr>
            <w:r w:rsidRPr="00D34C21">
              <w:rPr>
                <w:rFonts w:ascii="AcadNusx" w:hAnsi="AcadNusx"/>
                <w:position w:val="-4"/>
                <w:sz w:val="18"/>
                <w:szCs w:val="22"/>
              </w:rPr>
              <w:object w:dxaOrig="260" w:dyaOrig="260" w14:anchorId="10780B58">
                <v:shape id="_x0000_i1048" type="#_x0000_t75" style="width:14.25pt;height:14.25pt" o:ole="">
                  <v:imagedata r:id="rId126" o:title=""/>
                </v:shape>
                <o:OLEObject Type="Embed" ProgID="Equation.3" ShapeID="_x0000_i1048" DrawAspect="Content" ObjectID="_1612194570" r:id="rId160"/>
              </w:object>
            </w:r>
          </w:p>
        </w:tc>
        <w:tc>
          <w:tcPr>
            <w:tcW w:w="620" w:type="dxa"/>
            <w:vMerge w:val="restart"/>
          </w:tcPr>
          <w:p w14:paraId="296A78F2" w14:textId="77777777" w:rsidR="00D34C21" w:rsidRPr="00D34C21" w:rsidRDefault="00D34C21" w:rsidP="00D34C21">
            <w:pPr>
              <w:ind w:right="46"/>
              <w:rPr>
                <w:rFonts w:ascii="AcadNusx" w:hAnsi="AcadNusx"/>
                <w:sz w:val="18"/>
                <w:lang w:val="fr-FR"/>
              </w:rPr>
            </w:pPr>
            <w:r w:rsidRPr="00D34C21">
              <w:rPr>
                <w:rFonts w:ascii="AcadNusx" w:hAnsi="AcadNusx"/>
                <w:position w:val="-4"/>
                <w:sz w:val="18"/>
                <w:szCs w:val="22"/>
                <w:lang w:val="es-ES"/>
              </w:rPr>
              <w:object w:dxaOrig="260" w:dyaOrig="240" w14:anchorId="6857EEF5">
                <v:shape id="_x0000_i1049" type="#_x0000_t75" style="width:14.25pt;height:14.25pt" o:ole="">
                  <v:imagedata r:id="rId134" o:title=""/>
                </v:shape>
                <o:OLEObject Type="Embed" ProgID="Equation.3" ShapeID="_x0000_i1049" DrawAspect="Content" ObjectID="_1612194571" r:id="rId161"/>
              </w:object>
            </w:r>
          </w:p>
        </w:tc>
        <w:tc>
          <w:tcPr>
            <w:tcW w:w="625" w:type="dxa"/>
            <w:vMerge w:val="restart"/>
          </w:tcPr>
          <w:p w14:paraId="74AE936F" w14:textId="77777777" w:rsidR="00D34C21" w:rsidRPr="00D34C21" w:rsidRDefault="00D34C21" w:rsidP="00D34C21">
            <w:pPr>
              <w:ind w:right="46"/>
              <w:rPr>
                <w:rFonts w:ascii="AcadNusx" w:hAnsi="AcadNusx"/>
                <w:sz w:val="18"/>
                <w:lang w:val="fr-FR"/>
              </w:rPr>
            </w:pPr>
            <w:r w:rsidRPr="00D34C21">
              <w:rPr>
                <w:rFonts w:ascii="AcadNusx" w:hAnsi="AcadNusx"/>
                <w:position w:val="-4"/>
                <w:sz w:val="18"/>
                <w:szCs w:val="22"/>
              </w:rPr>
              <w:object w:dxaOrig="260" w:dyaOrig="260" w14:anchorId="10770B7E">
                <v:shape id="_x0000_i1050" type="#_x0000_t75" style="width:14.25pt;height:14.25pt" o:ole="">
                  <v:imagedata r:id="rId126" o:title=""/>
                </v:shape>
                <o:OLEObject Type="Embed" ProgID="Equation.3" ShapeID="_x0000_i1050" DrawAspect="Content" ObjectID="_1612194572" r:id="rId162"/>
              </w:object>
            </w:r>
            <w:r w:rsidRPr="00D34C21">
              <w:rPr>
                <w:rFonts w:ascii="AcadNusx" w:hAnsi="AcadNusx"/>
                <w:sz w:val="18"/>
                <w:szCs w:val="22"/>
                <w:vertAlign w:val="superscript"/>
              </w:rPr>
              <w:t>I</w:t>
            </w:r>
          </w:p>
        </w:tc>
        <w:tc>
          <w:tcPr>
            <w:tcW w:w="3985" w:type="dxa"/>
            <w:gridSpan w:val="5"/>
          </w:tcPr>
          <w:p w14:paraId="685AFA04" w14:textId="77777777" w:rsidR="00D34C21" w:rsidRPr="00D34C21" w:rsidRDefault="00D34C21" w:rsidP="00D34C21">
            <w:pPr>
              <w:ind w:right="46"/>
              <w:rPr>
                <w:rFonts w:ascii="AcadNusx" w:hAnsi="AcadNusx"/>
                <w:sz w:val="18"/>
              </w:rPr>
            </w:pPr>
            <w:r w:rsidRPr="00D34C21">
              <w:rPr>
                <w:rFonts w:ascii="AcadNusx" w:hAnsi="AcadNusx"/>
                <w:sz w:val="18"/>
                <w:szCs w:val="22"/>
              </w:rPr>
              <w:t xml:space="preserve">    </w:t>
            </w:r>
            <w:r w:rsidRPr="00D34C21">
              <w:rPr>
                <w:rFonts w:ascii="Sylfaen" w:hAnsi="Sylfaen"/>
                <w:sz w:val="18"/>
                <w:szCs w:val="22"/>
                <w:lang w:val="ka-GE"/>
              </w:rPr>
              <w:t>მაქსიმალური ხარჯები მ</w:t>
            </w:r>
            <w:r w:rsidRPr="00D34C21">
              <w:rPr>
                <w:rFonts w:ascii="Sylfaen" w:hAnsi="Sylfaen"/>
                <w:sz w:val="18"/>
                <w:szCs w:val="22"/>
                <w:vertAlign w:val="superscript"/>
                <w:lang w:val="ka-GE"/>
              </w:rPr>
              <w:t>3</w:t>
            </w:r>
            <w:r w:rsidRPr="00D34C21">
              <w:rPr>
                <w:rFonts w:ascii="Sylfaen" w:hAnsi="Sylfaen"/>
                <w:sz w:val="18"/>
                <w:szCs w:val="22"/>
                <w:lang w:val="ka-GE"/>
              </w:rPr>
              <w:t>/წმ-ში</w:t>
            </w:r>
          </w:p>
        </w:tc>
      </w:tr>
      <w:tr w:rsidR="00D34C21" w:rsidRPr="00D34C21" w14:paraId="129B977C" w14:textId="77777777" w:rsidTr="00D34C21">
        <w:tc>
          <w:tcPr>
            <w:tcW w:w="1440" w:type="dxa"/>
            <w:vMerge/>
          </w:tcPr>
          <w:p w14:paraId="0F211382" w14:textId="77777777" w:rsidR="00D34C21" w:rsidRPr="00D34C21" w:rsidRDefault="00D34C21" w:rsidP="00D34C21">
            <w:pPr>
              <w:ind w:right="46"/>
              <w:rPr>
                <w:rFonts w:ascii="AcadNusx" w:hAnsi="AcadNusx"/>
                <w:sz w:val="18"/>
                <w:lang w:val="fr-FR"/>
              </w:rPr>
            </w:pPr>
          </w:p>
        </w:tc>
        <w:tc>
          <w:tcPr>
            <w:tcW w:w="628" w:type="dxa"/>
            <w:vMerge/>
          </w:tcPr>
          <w:p w14:paraId="02F60945" w14:textId="77777777" w:rsidR="00D34C21" w:rsidRPr="00D34C21" w:rsidRDefault="00D34C21" w:rsidP="00D34C21">
            <w:pPr>
              <w:ind w:right="46"/>
              <w:rPr>
                <w:rFonts w:ascii="AcadNusx" w:hAnsi="AcadNusx"/>
                <w:sz w:val="18"/>
                <w:lang w:val="fr-FR"/>
              </w:rPr>
            </w:pPr>
          </w:p>
        </w:tc>
        <w:tc>
          <w:tcPr>
            <w:tcW w:w="627" w:type="dxa"/>
            <w:vMerge/>
          </w:tcPr>
          <w:p w14:paraId="33CE4188" w14:textId="77777777" w:rsidR="00D34C21" w:rsidRPr="00D34C21" w:rsidRDefault="00D34C21" w:rsidP="00D34C21">
            <w:pPr>
              <w:ind w:right="46"/>
              <w:rPr>
                <w:rFonts w:ascii="AcadNusx" w:hAnsi="AcadNusx"/>
                <w:sz w:val="18"/>
                <w:lang w:val="fr-FR"/>
              </w:rPr>
            </w:pPr>
          </w:p>
        </w:tc>
        <w:tc>
          <w:tcPr>
            <w:tcW w:w="843" w:type="dxa"/>
            <w:vMerge/>
          </w:tcPr>
          <w:p w14:paraId="0AB4D15C" w14:textId="77777777" w:rsidR="00D34C21" w:rsidRPr="00D34C21" w:rsidRDefault="00D34C21" w:rsidP="00D34C21">
            <w:pPr>
              <w:ind w:right="46"/>
              <w:rPr>
                <w:rFonts w:ascii="AcadNusx" w:hAnsi="AcadNusx"/>
                <w:sz w:val="18"/>
                <w:lang w:val="fr-FR"/>
              </w:rPr>
            </w:pPr>
          </w:p>
        </w:tc>
        <w:tc>
          <w:tcPr>
            <w:tcW w:w="626" w:type="dxa"/>
            <w:vMerge/>
          </w:tcPr>
          <w:p w14:paraId="55D05D75" w14:textId="77777777" w:rsidR="00D34C21" w:rsidRPr="00D34C21" w:rsidRDefault="00D34C21" w:rsidP="00D34C21">
            <w:pPr>
              <w:ind w:right="46"/>
              <w:rPr>
                <w:rFonts w:ascii="AcadNusx" w:hAnsi="AcadNusx"/>
                <w:sz w:val="18"/>
                <w:lang w:val="fr-FR"/>
              </w:rPr>
            </w:pPr>
          </w:p>
        </w:tc>
        <w:tc>
          <w:tcPr>
            <w:tcW w:w="607" w:type="dxa"/>
            <w:vMerge/>
          </w:tcPr>
          <w:p w14:paraId="359E43B2" w14:textId="77777777" w:rsidR="00D34C21" w:rsidRPr="00D34C21" w:rsidRDefault="00D34C21" w:rsidP="00D34C21">
            <w:pPr>
              <w:ind w:right="46"/>
              <w:rPr>
                <w:rFonts w:ascii="AcadNusx" w:hAnsi="AcadNusx"/>
                <w:sz w:val="18"/>
                <w:lang w:val="fr-FR"/>
              </w:rPr>
            </w:pPr>
          </w:p>
        </w:tc>
        <w:tc>
          <w:tcPr>
            <w:tcW w:w="613" w:type="dxa"/>
            <w:vMerge/>
          </w:tcPr>
          <w:p w14:paraId="1397D69D" w14:textId="77777777" w:rsidR="00D34C21" w:rsidRPr="00D34C21" w:rsidRDefault="00D34C21" w:rsidP="00D34C21">
            <w:pPr>
              <w:ind w:right="46"/>
              <w:rPr>
                <w:rFonts w:ascii="AcadNusx" w:hAnsi="AcadNusx"/>
                <w:sz w:val="18"/>
                <w:lang w:val="fr-FR"/>
              </w:rPr>
            </w:pPr>
          </w:p>
        </w:tc>
        <w:tc>
          <w:tcPr>
            <w:tcW w:w="620" w:type="dxa"/>
            <w:vMerge/>
          </w:tcPr>
          <w:p w14:paraId="4310FB6F" w14:textId="77777777" w:rsidR="00D34C21" w:rsidRPr="00D34C21" w:rsidRDefault="00D34C21" w:rsidP="00D34C21">
            <w:pPr>
              <w:ind w:right="46"/>
              <w:rPr>
                <w:rFonts w:ascii="AcadNusx" w:hAnsi="AcadNusx"/>
                <w:sz w:val="18"/>
                <w:lang w:val="fr-FR"/>
              </w:rPr>
            </w:pPr>
          </w:p>
        </w:tc>
        <w:tc>
          <w:tcPr>
            <w:tcW w:w="625" w:type="dxa"/>
            <w:vMerge/>
          </w:tcPr>
          <w:p w14:paraId="7D8AA637" w14:textId="77777777" w:rsidR="00D34C21" w:rsidRPr="00D34C21" w:rsidRDefault="00D34C21" w:rsidP="00D34C21">
            <w:pPr>
              <w:ind w:right="46"/>
              <w:rPr>
                <w:rFonts w:ascii="AcadNusx" w:hAnsi="AcadNusx"/>
                <w:sz w:val="18"/>
                <w:lang w:val="fr-FR"/>
              </w:rPr>
            </w:pPr>
          </w:p>
        </w:tc>
        <w:tc>
          <w:tcPr>
            <w:tcW w:w="797" w:type="dxa"/>
          </w:tcPr>
          <w:p w14:paraId="4B178477" w14:textId="77777777" w:rsidR="00D34C21" w:rsidRPr="00D34C21" w:rsidRDefault="00D34C21" w:rsidP="00D34C21">
            <w:pPr>
              <w:tabs>
                <w:tab w:val="left" w:pos="216"/>
              </w:tabs>
              <w:ind w:right="46"/>
              <w:rPr>
                <w:rFonts w:ascii="AcadNusx" w:hAnsi="AcadNusx" w:cs="Arial"/>
                <w:sz w:val="18"/>
              </w:rPr>
            </w:pPr>
            <w:r w:rsidRPr="00D34C21">
              <w:rPr>
                <w:rFonts w:ascii="AcadNusx" w:hAnsi="AcadNusx" w:cs="Arial"/>
                <w:position w:val="-6"/>
                <w:sz w:val="18"/>
                <w:szCs w:val="22"/>
              </w:rPr>
              <w:object w:dxaOrig="380" w:dyaOrig="220" w14:anchorId="4200961F">
                <v:shape id="_x0000_i1051" type="#_x0000_t75" style="width:21.75pt;height:14.25pt" o:ole="">
                  <v:imagedata r:id="rId163" o:title=""/>
                </v:shape>
                <o:OLEObject Type="Embed" ProgID="Equation.3" ShapeID="_x0000_i1051" DrawAspect="Content" ObjectID="_1612194573" r:id="rId164"/>
              </w:object>
            </w:r>
            <w:r w:rsidRPr="00D34C21">
              <w:rPr>
                <w:rFonts w:ascii="AcadNusx" w:hAnsi="AcadNusx" w:cs="Arial"/>
                <w:sz w:val="18"/>
                <w:szCs w:val="22"/>
              </w:rPr>
              <w:t>200</w:t>
            </w:r>
          </w:p>
          <w:p w14:paraId="6041A611" w14:textId="77777777" w:rsidR="00D34C21" w:rsidRPr="00D34C21" w:rsidRDefault="00D34C21" w:rsidP="00D34C21">
            <w:pPr>
              <w:ind w:right="46"/>
              <w:rPr>
                <w:rFonts w:ascii="Sylfaen" w:hAnsi="Sylfaen"/>
                <w:sz w:val="18"/>
                <w:lang w:val="ka-GE"/>
              </w:rPr>
            </w:pPr>
            <w:r w:rsidRPr="00D34C21">
              <w:rPr>
                <w:rFonts w:ascii="AcadNusx" w:hAnsi="AcadNusx" w:cs="Arial"/>
                <w:sz w:val="18"/>
                <w:szCs w:val="22"/>
              </w:rPr>
              <w:t xml:space="preserve"> </w:t>
            </w:r>
            <w:r w:rsidRPr="00D34C21">
              <w:rPr>
                <w:rFonts w:ascii="Sylfaen" w:hAnsi="Sylfaen" w:cs="Arial"/>
                <w:sz w:val="18"/>
                <w:szCs w:val="22"/>
                <w:lang w:val="ka-GE"/>
              </w:rPr>
              <w:t>წელს</w:t>
            </w:r>
          </w:p>
        </w:tc>
        <w:tc>
          <w:tcPr>
            <w:tcW w:w="797" w:type="dxa"/>
          </w:tcPr>
          <w:p w14:paraId="518CB60A" w14:textId="77777777" w:rsidR="00D34C21" w:rsidRPr="00D34C21" w:rsidRDefault="00D34C21" w:rsidP="00D34C21">
            <w:pPr>
              <w:tabs>
                <w:tab w:val="left" w:pos="216"/>
              </w:tabs>
              <w:ind w:right="46"/>
              <w:rPr>
                <w:rFonts w:ascii="AcadNusx" w:hAnsi="AcadNusx" w:cs="Arial"/>
                <w:sz w:val="18"/>
              </w:rPr>
            </w:pPr>
            <w:r w:rsidRPr="00D34C21">
              <w:rPr>
                <w:rFonts w:ascii="AcadNusx" w:hAnsi="AcadNusx" w:cs="Arial"/>
                <w:position w:val="-6"/>
                <w:sz w:val="18"/>
                <w:szCs w:val="22"/>
              </w:rPr>
              <w:t xml:space="preserve"> </w:t>
            </w:r>
            <w:r w:rsidRPr="00D34C21">
              <w:rPr>
                <w:rFonts w:ascii="AcadNusx" w:hAnsi="AcadNusx" w:cs="Arial"/>
                <w:position w:val="-6"/>
                <w:sz w:val="18"/>
                <w:szCs w:val="22"/>
              </w:rPr>
              <w:object w:dxaOrig="380" w:dyaOrig="220" w14:anchorId="2B8C09B1">
                <v:shape id="_x0000_i1052" type="#_x0000_t75" style="width:21.75pt;height:14.25pt" o:ole="">
                  <v:imagedata r:id="rId163" o:title=""/>
                </v:shape>
                <o:OLEObject Type="Embed" ProgID="Equation.3" ShapeID="_x0000_i1052" DrawAspect="Content" ObjectID="_1612194574" r:id="rId165"/>
              </w:object>
            </w:r>
            <w:r w:rsidRPr="00D34C21">
              <w:rPr>
                <w:rFonts w:ascii="AcadNusx" w:hAnsi="AcadNusx" w:cs="Arial"/>
                <w:sz w:val="18"/>
                <w:szCs w:val="22"/>
              </w:rPr>
              <w:t>100</w:t>
            </w:r>
          </w:p>
          <w:p w14:paraId="1E306BA3" w14:textId="77777777" w:rsidR="00D34C21" w:rsidRPr="00D34C21" w:rsidRDefault="00D34C21" w:rsidP="00D34C21">
            <w:pPr>
              <w:ind w:right="46"/>
              <w:rPr>
                <w:rFonts w:ascii="AcadNusx" w:hAnsi="AcadNusx"/>
                <w:sz w:val="18"/>
                <w:lang w:val="fr-FR"/>
              </w:rPr>
            </w:pPr>
            <w:r w:rsidRPr="00D34C21">
              <w:rPr>
                <w:rFonts w:ascii="AcadNusx" w:hAnsi="AcadNusx" w:cs="Arial"/>
                <w:sz w:val="18"/>
                <w:szCs w:val="22"/>
              </w:rPr>
              <w:t xml:space="preserve"> </w:t>
            </w:r>
            <w:r w:rsidRPr="00D34C21">
              <w:rPr>
                <w:rFonts w:ascii="Sylfaen" w:hAnsi="Sylfaen" w:cs="Arial"/>
                <w:sz w:val="18"/>
                <w:szCs w:val="22"/>
                <w:lang w:val="ka-GE"/>
              </w:rPr>
              <w:t>წელს</w:t>
            </w:r>
          </w:p>
        </w:tc>
        <w:tc>
          <w:tcPr>
            <w:tcW w:w="797" w:type="dxa"/>
          </w:tcPr>
          <w:p w14:paraId="429E0310" w14:textId="77777777" w:rsidR="00D34C21" w:rsidRPr="00D34C21" w:rsidRDefault="00D34C21" w:rsidP="00D34C21">
            <w:pPr>
              <w:tabs>
                <w:tab w:val="left" w:pos="216"/>
              </w:tabs>
              <w:ind w:right="46"/>
              <w:rPr>
                <w:rFonts w:ascii="AcadNusx" w:hAnsi="AcadNusx" w:cs="Arial"/>
                <w:sz w:val="18"/>
              </w:rPr>
            </w:pPr>
            <w:r w:rsidRPr="00D34C21">
              <w:rPr>
                <w:rFonts w:ascii="AcadNusx" w:hAnsi="AcadNusx" w:cs="Arial"/>
                <w:position w:val="-6"/>
                <w:sz w:val="18"/>
                <w:szCs w:val="22"/>
              </w:rPr>
              <w:t xml:space="preserve"> </w:t>
            </w:r>
            <w:r w:rsidRPr="00D34C21">
              <w:rPr>
                <w:rFonts w:ascii="AcadNusx" w:hAnsi="AcadNusx" w:cs="Arial"/>
                <w:position w:val="-6"/>
                <w:sz w:val="18"/>
                <w:szCs w:val="22"/>
              </w:rPr>
              <w:object w:dxaOrig="380" w:dyaOrig="220" w14:anchorId="365C8A64">
                <v:shape id="_x0000_i1053" type="#_x0000_t75" style="width:21.75pt;height:14.25pt" o:ole="">
                  <v:imagedata r:id="rId163" o:title=""/>
                </v:shape>
                <o:OLEObject Type="Embed" ProgID="Equation.3" ShapeID="_x0000_i1053" DrawAspect="Content" ObjectID="_1612194575" r:id="rId166"/>
              </w:object>
            </w:r>
            <w:r w:rsidRPr="00D34C21">
              <w:rPr>
                <w:rFonts w:ascii="AcadNusx" w:hAnsi="AcadNusx" w:cs="Arial"/>
                <w:sz w:val="18"/>
                <w:szCs w:val="22"/>
              </w:rPr>
              <w:t>50</w:t>
            </w:r>
          </w:p>
          <w:p w14:paraId="42E85527" w14:textId="77777777" w:rsidR="00D34C21" w:rsidRPr="00D34C21" w:rsidRDefault="00D34C21" w:rsidP="00D34C21">
            <w:pPr>
              <w:tabs>
                <w:tab w:val="left" w:pos="180"/>
              </w:tabs>
              <w:ind w:right="46"/>
              <w:rPr>
                <w:rFonts w:ascii="AcadNusx" w:hAnsi="AcadNusx"/>
                <w:sz w:val="18"/>
                <w:lang w:val="fr-FR"/>
              </w:rPr>
            </w:pPr>
            <w:r w:rsidRPr="00D34C21">
              <w:rPr>
                <w:rFonts w:ascii="AcadNusx" w:hAnsi="AcadNusx" w:cs="Arial"/>
                <w:sz w:val="18"/>
                <w:szCs w:val="22"/>
              </w:rPr>
              <w:t xml:space="preserve"> </w:t>
            </w:r>
            <w:r w:rsidRPr="00D34C21">
              <w:rPr>
                <w:rFonts w:ascii="Sylfaen" w:hAnsi="Sylfaen" w:cs="Arial"/>
                <w:sz w:val="18"/>
                <w:szCs w:val="22"/>
                <w:lang w:val="ka-GE"/>
              </w:rPr>
              <w:t>წელს</w:t>
            </w:r>
          </w:p>
        </w:tc>
        <w:tc>
          <w:tcPr>
            <w:tcW w:w="797" w:type="dxa"/>
          </w:tcPr>
          <w:p w14:paraId="661798ED" w14:textId="77777777" w:rsidR="00D34C21" w:rsidRPr="00D34C21" w:rsidRDefault="00D34C21" w:rsidP="00D34C21">
            <w:pPr>
              <w:tabs>
                <w:tab w:val="left" w:pos="216"/>
              </w:tabs>
              <w:ind w:right="46"/>
              <w:rPr>
                <w:rFonts w:ascii="AcadNusx" w:hAnsi="AcadNusx" w:cs="Arial"/>
                <w:sz w:val="18"/>
              </w:rPr>
            </w:pPr>
            <w:r w:rsidRPr="00D34C21">
              <w:rPr>
                <w:rFonts w:ascii="AcadNusx" w:hAnsi="AcadNusx" w:cs="Arial"/>
                <w:position w:val="-6"/>
                <w:sz w:val="18"/>
                <w:szCs w:val="22"/>
              </w:rPr>
              <w:object w:dxaOrig="380" w:dyaOrig="220" w14:anchorId="1735F5EC">
                <v:shape id="_x0000_i1054" type="#_x0000_t75" style="width:21.75pt;height:14.25pt" o:ole="">
                  <v:imagedata r:id="rId163" o:title=""/>
                </v:shape>
                <o:OLEObject Type="Embed" ProgID="Equation.3" ShapeID="_x0000_i1054" DrawAspect="Content" ObjectID="_1612194576" r:id="rId167"/>
              </w:object>
            </w:r>
            <w:r w:rsidRPr="00D34C21">
              <w:rPr>
                <w:rFonts w:ascii="AcadNusx" w:hAnsi="AcadNusx" w:cs="Arial"/>
                <w:sz w:val="18"/>
                <w:szCs w:val="22"/>
              </w:rPr>
              <w:t>20</w:t>
            </w:r>
          </w:p>
          <w:p w14:paraId="32529B2F" w14:textId="77777777" w:rsidR="00D34C21" w:rsidRPr="00D34C21" w:rsidRDefault="00D34C21" w:rsidP="00D34C21">
            <w:pPr>
              <w:ind w:right="46"/>
              <w:rPr>
                <w:rFonts w:ascii="AcadNusx" w:hAnsi="AcadNusx"/>
                <w:sz w:val="18"/>
                <w:lang w:val="fr-FR"/>
              </w:rPr>
            </w:pPr>
            <w:r w:rsidRPr="00D34C21">
              <w:rPr>
                <w:rFonts w:ascii="Sylfaen" w:hAnsi="Sylfaen" w:cs="Arial"/>
                <w:sz w:val="18"/>
                <w:szCs w:val="22"/>
                <w:lang w:val="ka-GE"/>
              </w:rPr>
              <w:t>წელს</w:t>
            </w:r>
          </w:p>
        </w:tc>
        <w:tc>
          <w:tcPr>
            <w:tcW w:w="797" w:type="dxa"/>
          </w:tcPr>
          <w:p w14:paraId="261820CF" w14:textId="77777777" w:rsidR="00D34C21" w:rsidRPr="00D34C21" w:rsidRDefault="00D34C21" w:rsidP="00D34C21">
            <w:pPr>
              <w:tabs>
                <w:tab w:val="left" w:pos="216"/>
              </w:tabs>
              <w:ind w:right="46"/>
              <w:rPr>
                <w:rFonts w:ascii="AcadNusx" w:hAnsi="AcadNusx" w:cs="Arial"/>
                <w:sz w:val="18"/>
              </w:rPr>
            </w:pPr>
            <w:r w:rsidRPr="00D34C21">
              <w:rPr>
                <w:rFonts w:ascii="AcadNusx" w:hAnsi="AcadNusx" w:cs="Arial"/>
                <w:position w:val="-6"/>
                <w:sz w:val="18"/>
                <w:szCs w:val="22"/>
              </w:rPr>
              <w:object w:dxaOrig="380" w:dyaOrig="220" w14:anchorId="0C281F2D">
                <v:shape id="_x0000_i1055" type="#_x0000_t75" style="width:21.75pt;height:14.25pt" o:ole="">
                  <v:imagedata r:id="rId163" o:title=""/>
                </v:shape>
                <o:OLEObject Type="Embed" ProgID="Equation.3" ShapeID="_x0000_i1055" DrawAspect="Content" ObjectID="_1612194577" r:id="rId168"/>
              </w:object>
            </w:r>
            <w:r w:rsidRPr="00D34C21">
              <w:rPr>
                <w:rFonts w:ascii="AcadNusx" w:hAnsi="AcadNusx" w:cs="Arial"/>
                <w:sz w:val="18"/>
                <w:szCs w:val="22"/>
              </w:rPr>
              <w:t>10</w:t>
            </w:r>
          </w:p>
          <w:p w14:paraId="06AF6AA9" w14:textId="77777777" w:rsidR="00D34C21" w:rsidRPr="00D34C21" w:rsidRDefault="00D34C21" w:rsidP="00D34C21">
            <w:pPr>
              <w:ind w:right="46"/>
              <w:rPr>
                <w:rFonts w:ascii="AcadNusx" w:hAnsi="AcadNusx"/>
                <w:sz w:val="18"/>
                <w:lang w:val="fr-FR"/>
              </w:rPr>
            </w:pPr>
            <w:r w:rsidRPr="00D34C21">
              <w:rPr>
                <w:rFonts w:ascii="Sylfaen" w:hAnsi="Sylfaen" w:cs="Arial"/>
                <w:sz w:val="18"/>
                <w:szCs w:val="22"/>
                <w:lang w:val="ka-GE"/>
              </w:rPr>
              <w:t>წელს</w:t>
            </w:r>
          </w:p>
        </w:tc>
      </w:tr>
      <w:tr w:rsidR="00D34C21" w:rsidRPr="00D34C21" w14:paraId="19BD4BF5" w14:textId="77777777" w:rsidTr="00D34C21">
        <w:tc>
          <w:tcPr>
            <w:tcW w:w="1440" w:type="dxa"/>
          </w:tcPr>
          <w:p w14:paraId="760F2B76" w14:textId="77777777" w:rsidR="00D34C21" w:rsidRPr="00D34C21" w:rsidRDefault="00D34C21" w:rsidP="00D34C21">
            <w:pPr>
              <w:ind w:right="46"/>
              <w:rPr>
                <w:rFonts w:ascii="AcadNusx" w:hAnsi="AcadNusx"/>
                <w:sz w:val="18"/>
                <w:lang w:val="fr-FR"/>
              </w:rPr>
            </w:pPr>
            <w:r w:rsidRPr="00D34C21">
              <w:rPr>
                <w:rFonts w:ascii="Sylfaen" w:hAnsi="Sylfaen"/>
                <w:sz w:val="18"/>
                <w:szCs w:val="22"/>
                <w:lang w:val="ka-GE"/>
              </w:rPr>
              <w:t>ხევი</w:t>
            </w:r>
            <w:r w:rsidRPr="00D34C21">
              <w:rPr>
                <w:rFonts w:ascii="AcadNusx" w:hAnsi="AcadNusx"/>
                <w:sz w:val="18"/>
                <w:szCs w:val="22"/>
                <w:lang w:val="fr-FR"/>
              </w:rPr>
              <w:t xml:space="preserve"> #1</w:t>
            </w:r>
          </w:p>
        </w:tc>
        <w:tc>
          <w:tcPr>
            <w:tcW w:w="628" w:type="dxa"/>
          </w:tcPr>
          <w:p w14:paraId="3F034FA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0.56</w:t>
            </w:r>
          </w:p>
        </w:tc>
        <w:tc>
          <w:tcPr>
            <w:tcW w:w="627" w:type="dxa"/>
          </w:tcPr>
          <w:p w14:paraId="7D13377E"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1.32</w:t>
            </w:r>
          </w:p>
        </w:tc>
        <w:tc>
          <w:tcPr>
            <w:tcW w:w="843" w:type="dxa"/>
          </w:tcPr>
          <w:p w14:paraId="6544D2B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0.0576</w:t>
            </w:r>
          </w:p>
        </w:tc>
        <w:tc>
          <w:tcPr>
            <w:tcW w:w="626" w:type="dxa"/>
          </w:tcPr>
          <w:p w14:paraId="1C54665D"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.96</w:t>
            </w:r>
          </w:p>
        </w:tc>
        <w:tc>
          <w:tcPr>
            <w:tcW w:w="607" w:type="dxa"/>
          </w:tcPr>
          <w:p w14:paraId="6CE7B3E2"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1.16</w:t>
            </w:r>
          </w:p>
        </w:tc>
        <w:tc>
          <w:tcPr>
            <w:tcW w:w="613" w:type="dxa"/>
          </w:tcPr>
          <w:p w14:paraId="0FECC47D"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5.50</w:t>
            </w:r>
          </w:p>
        </w:tc>
        <w:tc>
          <w:tcPr>
            <w:tcW w:w="620" w:type="dxa"/>
          </w:tcPr>
          <w:p w14:paraId="093AABB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0.87</w:t>
            </w:r>
          </w:p>
        </w:tc>
        <w:tc>
          <w:tcPr>
            <w:tcW w:w="625" w:type="dxa"/>
          </w:tcPr>
          <w:p w14:paraId="2ADAE0E1"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0.70</w:t>
            </w:r>
          </w:p>
        </w:tc>
        <w:tc>
          <w:tcPr>
            <w:tcW w:w="797" w:type="dxa"/>
          </w:tcPr>
          <w:p w14:paraId="29F1D73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11.3</w:t>
            </w:r>
          </w:p>
        </w:tc>
        <w:tc>
          <w:tcPr>
            <w:tcW w:w="797" w:type="dxa"/>
          </w:tcPr>
          <w:p w14:paraId="3DD9B9F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9.40</w:t>
            </w:r>
          </w:p>
        </w:tc>
        <w:tc>
          <w:tcPr>
            <w:tcW w:w="797" w:type="dxa"/>
          </w:tcPr>
          <w:p w14:paraId="64BFE49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7.22</w:t>
            </w:r>
          </w:p>
        </w:tc>
        <w:tc>
          <w:tcPr>
            <w:tcW w:w="797" w:type="dxa"/>
          </w:tcPr>
          <w:p w14:paraId="30B04C1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5.10</w:t>
            </w:r>
          </w:p>
        </w:tc>
        <w:tc>
          <w:tcPr>
            <w:tcW w:w="797" w:type="dxa"/>
          </w:tcPr>
          <w:p w14:paraId="7664F2A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3.92</w:t>
            </w:r>
          </w:p>
        </w:tc>
      </w:tr>
      <w:tr w:rsidR="00D34C21" w:rsidRPr="00D34C21" w14:paraId="59F0EE02" w14:textId="77777777" w:rsidTr="00D34C21">
        <w:tc>
          <w:tcPr>
            <w:tcW w:w="1440" w:type="dxa"/>
          </w:tcPr>
          <w:p w14:paraId="0E17A97C" w14:textId="77777777" w:rsidR="00D34C21" w:rsidRPr="00D34C21" w:rsidRDefault="00D34C21" w:rsidP="00D34C21">
            <w:pPr>
              <w:ind w:right="46"/>
              <w:rPr>
                <w:rFonts w:ascii="AcadNusx" w:hAnsi="AcadNusx"/>
                <w:sz w:val="18"/>
                <w:lang w:val="fr-FR"/>
              </w:rPr>
            </w:pPr>
            <w:r w:rsidRPr="00D34C21">
              <w:rPr>
                <w:rFonts w:ascii="Sylfaen" w:hAnsi="Sylfaen"/>
                <w:sz w:val="18"/>
                <w:szCs w:val="22"/>
                <w:lang w:val="ka-GE"/>
              </w:rPr>
              <w:t>ხევი</w:t>
            </w:r>
            <w:r w:rsidRPr="00D34C21">
              <w:rPr>
                <w:rFonts w:ascii="AcadNusx" w:hAnsi="AcadNusx"/>
                <w:sz w:val="18"/>
                <w:szCs w:val="22"/>
                <w:lang w:val="fr-FR"/>
              </w:rPr>
              <w:t xml:space="preserve"> #2</w:t>
            </w:r>
          </w:p>
        </w:tc>
        <w:tc>
          <w:tcPr>
            <w:tcW w:w="628" w:type="dxa"/>
          </w:tcPr>
          <w:p w14:paraId="3CCDA55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1.85</w:t>
            </w:r>
          </w:p>
        </w:tc>
        <w:tc>
          <w:tcPr>
            <w:tcW w:w="627" w:type="dxa"/>
          </w:tcPr>
          <w:p w14:paraId="384D6D73"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2.55</w:t>
            </w:r>
          </w:p>
        </w:tc>
        <w:tc>
          <w:tcPr>
            <w:tcW w:w="843" w:type="dxa"/>
          </w:tcPr>
          <w:p w14:paraId="0D6CA302"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0.0608</w:t>
            </w:r>
          </w:p>
        </w:tc>
        <w:tc>
          <w:tcPr>
            <w:tcW w:w="626" w:type="dxa"/>
          </w:tcPr>
          <w:p w14:paraId="1BB6291E"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0.98</w:t>
            </w:r>
          </w:p>
        </w:tc>
        <w:tc>
          <w:tcPr>
            <w:tcW w:w="607" w:type="dxa"/>
          </w:tcPr>
          <w:p w14:paraId="36542FE0"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1.13</w:t>
            </w:r>
          </w:p>
        </w:tc>
        <w:tc>
          <w:tcPr>
            <w:tcW w:w="613" w:type="dxa"/>
          </w:tcPr>
          <w:p w14:paraId="56BD8542"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3FAE097F"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12AF22C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0.82</w:t>
            </w:r>
          </w:p>
        </w:tc>
        <w:tc>
          <w:tcPr>
            <w:tcW w:w="797" w:type="dxa"/>
          </w:tcPr>
          <w:p w14:paraId="63D61DBC"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21.1</w:t>
            </w:r>
          </w:p>
        </w:tc>
        <w:tc>
          <w:tcPr>
            <w:tcW w:w="797" w:type="dxa"/>
          </w:tcPr>
          <w:p w14:paraId="283F8F4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17.6</w:t>
            </w:r>
          </w:p>
        </w:tc>
        <w:tc>
          <w:tcPr>
            <w:tcW w:w="797" w:type="dxa"/>
          </w:tcPr>
          <w:p w14:paraId="2968C321"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13.5</w:t>
            </w:r>
          </w:p>
        </w:tc>
        <w:tc>
          <w:tcPr>
            <w:tcW w:w="797" w:type="dxa"/>
          </w:tcPr>
          <w:p w14:paraId="33129A2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9.55</w:t>
            </w:r>
          </w:p>
        </w:tc>
        <w:tc>
          <w:tcPr>
            <w:tcW w:w="797" w:type="dxa"/>
          </w:tcPr>
          <w:p w14:paraId="6BAFFFB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7.35</w:t>
            </w:r>
          </w:p>
        </w:tc>
      </w:tr>
      <w:tr w:rsidR="00D34C21" w:rsidRPr="00D34C21" w14:paraId="28CE4E0F" w14:textId="77777777" w:rsidTr="00D34C21">
        <w:tc>
          <w:tcPr>
            <w:tcW w:w="1440" w:type="dxa"/>
          </w:tcPr>
          <w:p w14:paraId="0AE7B24C" w14:textId="77777777" w:rsidR="00D34C21" w:rsidRPr="00D34C21" w:rsidRDefault="00D34C21" w:rsidP="00D34C21">
            <w:pPr>
              <w:ind w:right="46"/>
              <w:rPr>
                <w:rFonts w:ascii="AcadNusx" w:hAnsi="AcadNusx"/>
                <w:sz w:val="18"/>
                <w:lang w:val="fr-FR"/>
              </w:rPr>
            </w:pPr>
            <w:r w:rsidRPr="00D34C21">
              <w:rPr>
                <w:rFonts w:ascii="Sylfaen" w:hAnsi="Sylfaen"/>
                <w:sz w:val="18"/>
                <w:szCs w:val="22"/>
                <w:lang w:val="ka-GE"/>
              </w:rPr>
              <w:t>ხევი</w:t>
            </w:r>
            <w:r w:rsidRPr="00D34C21">
              <w:rPr>
                <w:rFonts w:ascii="AcadNusx" w:hAnsi="AcadNusx"/>
                <w:sz w:val="18"/>
                <w:szCs w:val="22"/>
                <w:lang w:val="fr-FR"/>
              </w:rPr>
              <w:t xml:space="preserve"> #3</w:t>
            </w:r>
          </w:p>
        </w:tc>
        <w:tc>
          <w:tcPr>
            <w:tcW w:w="628" w:type="dxa"/>
          </w:tcPr>
          <w:p w14:paraId="75AFD2D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7.06</w:t>
            </w:r>
          </w:p>
        </w:tc>
        <w:tc>
          <w:tcPr>
            <w:tcW w:w="627" w:type="dxa"/>
          </w:tcPr>
          <w:p w14:paraId="75387C03"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6.30</w:t>
            </w:r>
          </w:p>
        </w:tc>
        <w:tc>
          <w:tcPr>
            <w:tcW w:w="843" w:type="dxa"/>
          </w:tcPr>
          <w:p w14:paraId="12FA6D50"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0.0736</w:t>
            </w:r>
          </w:p>
        </w:tc>
        <w:tc>
          <w:tcPr>
            <w:tcW w:w="626" w:type="dxa"/>
          </w:tcPr>
          <w:p w14:paraId="2C405108"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0.96</w:t>
            </w:r>
          </w:p>
        </w:tc>
        <w:tc>
          <w:tcPr>
            <w:tcW w:w="607" w:type="dxa"/>
          </w:tcPr>
          <w:p w14:paraId="3A7177DF"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1.13</w:t>
            </w:r>
          </w:p>
        </w:tc>
        <w:tc>
          <w:tcPr>
            <w:tcW w:w="613" w:type="dxa"/>
          </w:tcPr>
          <w:p w14:paraId="2E10894B"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4B6FCF92"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1B7AFF44"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_</w:t>
            </w:r>
          </w:p>
        </w:tc>
        <w:tc>
          <w:tcPr>
            <w:tcW w:w="797" w:type="dxa"/>
          </w:tcPr>
          <w:p w14:paraId="589F8468"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56.5</w:t>
            </w:r>
          </w:p>
        </w:tc>
        <w:tc>
          <w:tcPr>
            <w:tcW w:w="797" w:type="dxa"/>
          </w:tcPr>
          <w:p w14:paraId="7AA7662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47.1</w:t>
            </w:r>
          </w:p>
        </w:tc>
        <w:tc>
          <w:tcPr>
            <w:tcW w:w="797" w:type="dxa"/>
          </w:tcPr>
          <w:p w14:paraId="0307580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36.2</w:t>
            </w:r>
          </w:p>
        </w:tc>
        <w:tc>
          <w:tcPr>
            <w:tcW w:w="797" w:type="dxa"/>
          </w:tcPr>
          <w:p w14:paraId="4BC937F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25.6</w:t>
            </w:r>
          </w:p>
        </w:tc>
        <w:tc>
          <w:tcPr>
            <w:tcW w:w="797" w:type="dxa"/>
          </w:tcPr>
          <w:p w14:paraId="01760C9B"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19.6</w:t>
            </w:r>
          </w:p>
        </w:tc>
      </w:tr>
      <w:tr w:rsidR="00D34C21" w:rsidRPr="00D34C21" w14:paraId="7F6EA416" w14:textId="77777777" w:rsidTr="00D34C21">
        <w:tc>
          <w:tcPr>
            <w:tcW w:w="1440" w:type="dxa"/>
          </w:tcPr>
          <w:p w14:paraId="0D954E53" w14:textId="77777777" w:rsidR="00D34C21" w:rsidRPr="00D34C21" w:rsidRDefault="00D34C21" w:rsidP="00D34C21">
            <w:pPr>
              <w:ind w:right="46"/>
              <w:rPr>
                <w:rFonts w:ascii="AcadNusx" w:hAnsi="AcadNusx"/>
                <w:sz w:val="18"/>
                <w:lang w:val="fr-FR"/>
              </w:rPr>
            </w:pPr>
            <w:r w:rsidRPr="00D34C21">
              <w:rPr>
                <w:rFonts w:ascii="Sylfaen" w:hAnsi="Sylfaen"/>
                <w:sz w:val="18"/>
                <w:szCs w:val="22"/>
                <w:lang w:val="ka-GE"/>
              </w:rPr>
              <w:t>ხევი</w:t>
            </w:r>
            <w:r w:rsidRPr="00D34C21">
              <w:rPr>
                <w:rFonts w:ascii="AcadNusx" w:hAnsi="AcadNusx"/>
                <w:sz w:val="18"/>
                <w:szCs w:val="22"/>
                <w:lang w:val="fr-FR"/>
              </w:rPr>
              <w:t xml:space="preserve"> #4</w:t>
            </w:r>
          </w:p>
        </w:tc>
        <w:tc>
          <w:tcPr>
            <w:tcW w:w="628" w:type="dxa"/>
          </w:tcPr>
          <w:p w14:paraId="33EA7FF6"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1.88</w:t>
            </w:r>
          </w:p>
        </w:tc>
        <w:tc>
          <w:tcPr>
            <w:tcW w:w="627" w:type="dxa"/>
          </w:tcPr>
          <w:p w14:paraId="463BCC3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3.27</w:t>
            </w:r>
          </w:p>
        </w:tc>
        <w:tc>
          <w:tcPr>
            <w:tcW w:w="843" w:type="dxa"/>
          </w:tcPr>
          <w:p w14:paraId="7F16DD0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0.0703</w:t>
            </w:r>
          </w:p>
        </w:tc>
        <w:tc>
          <w:tcPr>
            <w:tcW w:w="626" w:type="dxa"/>
          </w:tcPr>
          <w:p w14:paraId="2B2ADCD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0.98</w:t>
            </w:r>
          </w:p>
        </w:tc>
        <w:tc>
          <w:tcPr>
            <w:tcW w:w="607" w:type="dxa"/>
          </w:tcPr>
          <w:p w14:paraId="26670909"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1.14</w:t>
            </w:r>
          </w:p>
        </w:tc>
        <w:tc>
          <w:tcPr>
            <w:tcW w:w="613" w:type="dxa"/>
          </w:tcPr>
          <w:p w14:paraId="59D26B72"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7870D1B2"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1B299F5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0.82</w:t>
            </w:r>
          </w:p>
        </w:tc>
        <w:tc>
          <w:tcPr>
            <w:tcW w:w="797" w:type="dxa"/>
          </w:tcPr>
          <w:p w14:paraId="26D281E2"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22.7</w:t>
            </w:r>
          </w:p>
        </w:tc>
        <w:tc>
          <w:tcPr>
            <w:tcW w:w="797" w:type="dxa"/>
          </w:tcPr>
          <w:p w14:paraId="74CD7432"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18.9</w:t>
            </w:r>
          </w:p>
        </w:tc>
        <w:tc>
          <w:tcPr>
            <w:tcW w:w="797" w:type="dxa"/>
          </w:tcPr>
          <w:p w14:paraId="08EF8BB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14.5</w:t>
            </w:r>
          </w:p>
        </w:tc>
        <w:tc>
          <w:tcPr>
            <w:tcW w:w="797" w:type="dxa"/>
          </w:tcPr>
          <w:p w14:paraId="68D0A8F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10.2</w:t>
            </w:r>
          </w:p>
        </w:tc>
        <w:tc>
          <w:tcPr>
            <w:tcW w:w="797" w:type="dxa"/>
          </w:tcPr>
          <w:p w14:paraId="27EE6392"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7.89</w:t>
            </w:r>
          </w:p>
        </w:tc>
      </w:tr>
      <w:tr w:rsidR="00D34C21" w:rsidRPr="00D34C21" w14:paraId="6009784D" w14:textId="77777777" w:rsidTr="00D34C21">
        <w:tc>
          <w:tcPr>
            <w:tcW w:w="1440" w:type="dxa"/>
          </w:tcPr>
          <w:p w14:paraId="5299EE35" w14:textId="77777777" w:rsidR="00D34C21" w:rsidRPr="00D34C21" w:rsidRDefault="00D34C21" w:rsidP="00D34C21">
            <w:pPr>
              <w:ind w:right="46"/>
              <w:rPr>
                <w:rFonts w:ascii="AcadNusx" w:hAnsi="AcadNusx"/>
                <w:sz w:val="18"/>
                <w:lang w:val="fr-FR"/>
              </w:rPr>
            </w:pPr>
            <w:r w:rsidRPr="00D34C21">
              <w:rPr>
                <w:rFonts w:ascii="Sylfaen" w:hAnsi="Sylfaen"/>
                <w:sz w:val="18"/>
                <w:szCs w:val="22"/>
                <w:lang w:val="ka-GE"/>
              </w:rPr>
              <w:t>ჭერემისხევი</w:t>
            </w:r>
            <w:r w:rsidRPr="00D34C21">
              <w:rPr>
                <w:rFonts w:ascii="AcadNusx" w:hAnsi="AcadNusx"/>
                <w:sz w:val="18"/>
                <w:szCs w:val="22"/>
                <w:lang w:val="fr-FR"/>
              </w:rPr>
              <w:t xml:space="preserve"> #5</w:t>
            </w:r>
          </w:p>
        </w:tc>
        <w:tc>
          <w:tcPr>
            <w:tcW w:w="628" w:type="dxa"/>
          </w:tcPr>
          <w:p w14:paraId="765437CD"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103</w:t>
            </w:r>
          </w:p>
        </w:tc>
        <w:tc>
          <w:tcPr>
            <w:tcW w:w="627" w:type="dxa"/>
          </w:tcPr>
          <w:p w14:paraId="17ED976E"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28.1</w:t>
            </w:r>
          </w:p>
        </w:tc>
        <w:tc>
          <w:tcPr>
            <w:tcW w:w="843" w:type="dxa"/>
          </w:tcPr>
          <w:p w14:paraId="10D7166E"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0.0392</w:t>
            </w:r>
          </w:p>
        </w:tc>
        <w:tc>
          <w:tcPr>
            <w:tcW w:w="626" w:type="dxa"/>
          </w:tcPr>
          <w:p w14:paraId="268427AB"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0.86</w:t>
            </w:r>
          </w:p>
        </w:tc>
        <w:tc>
          <w:tcPr>
            <w:tcW w:w="607" w:type="dxa"/>
          </w:tcPr>
          <w:p w14:paraId="36F29D51"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1.00</w:t>
            </w:r>
          </w:p>
        </w:tc>
        <w:tc>
          <w:tcPr>
            <w:tcW w:w="613" w:type="dxa"/>
          </w:tcPr>
          <w:p w14:paraId="148A103C"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0F9D7F2E"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1.00</w:t>
            </w:r>
          </w:p>
        </w:tc>
        <w:tc>
          <w:tcPr>
            <w:tcW w:w="625" w:type="dxa"/>
          </w:tcPr>
          <w:p w14:paraId="2824AFB9" w14:textId="77777777" w:rsidR="00D34C21" w:rsidRPr="00D34C21" w:rsidRDefault="00D34C21" w:rsidP="00D34C21">
            <w:pPr>
              <w:ind w:right="46"/>
              <w:jc w:val="center"/>
              <w:rPr>
                <w:rFonts w:ascii="AcadNusx" w:hAnsi="AcadNusx"/>
                <w:sz w:val="18"/>
              </w:rPr>
            </w:pPr>
            <w:r w:rsidRPr="00D34C21">
              <w:rPr>
                <w:rFonts w:ascii="AcadNusx" w:hAnsi="AcadNusx"/>
                <w:sz w:val="18"/>
                <w:szCs w:val="22"/>
                <w:lang w:val="fr-FR"/>
              </w:rPr>
              <w:t>_</w:t>
            </w:r>
          </w:p>
        </w:tc>
        <w:tc>
          <w:tcPr>
            <w:tcW w:w="797" w:type="dxa"/>
          </w:tcPr>
          <w:p w14:paraId="227625E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197</w:t>
            </w:r>
          </w:p>
        </w:tc>
        <w:tc>
          <w:tcPr>
            <w:tcW w:w="797" w:type="dxa"/>
          </w:tcPr>
          <w:p w14:paraId="2998AC4B"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164</w:t>
            </w:r>
          </w:p>
        </w:tc>
        <w:tc>
          <w:tcPr>
            <w:tcW w:w="797" w:type="dxa"/>
          </w:tcPr>
          <w:p w14:paraId="6116748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126</w:t>
            </w:r>
          </w:p>
        </w:tc>
        <w:tc>
          <w:tcPr>
            <w:tcW w:w="797" w:type="dxa"/>
          </w:tcPr>
          <w:p w14:paraId="3580B96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89.0</w:t>
            </w:r>
          </w:p>
        </w:tc>
        <w:tc>
          <w:tcPr>
            <w:tcW w:w="797" w:type="dxa"/>
          </w:tcPr>
          <w:p w14:paraId="265683C2"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68.4</w:t>
            </w:r>
          </w:p>
        </w:tc>
      </w:tr>
      <w:tr w:rsidR="00D34C21" w:rsidRPr="00D34C21" w14:paraId="482E3B48" w14:textId="77777777" w:rsidTr="00D34C21">
        <w:tc>
          <w:tcPr>
            <w:tcW w:w="1440" w:type="dxa"/>
          </w:tcPr>
          <w:p w14:paraId="6658FF1B" w14:textId="77777777" w:rsidR="00D34C21" w:rsidRPr="00D34C21" w:rsidRDefault="00D34C21" w:rsidP="00D34C21">
            <w:pPr>
              <w:ind w:right="46"/>
              <w:rPr>
                <w:rFonts w:ascii="Sylfaen" w:hAnsi="Sylfaen"/>
                <w:sz w:val="18"/>
                <w:lang w:val="ka-GE"/>
              </w:rPr>
            </w:pPr>
            <w:r w:rsidRPr="00D34C21">
              <w:rPr>
                <w:rFonts w:ascii="Sylfaen" w:hAnsi="Sylfaen"/>
                <w:sz w:val="18"/>
                <w:szCs w:val="22"/>
                <w:lang w:val="ka-GE"/>
              </w:rPr>
              <w:t>ხევი</w:t>
            </w:r>
            <w:r w:rsidRPr="00D34C21">
              <w:rPr>
                <w:rFonts w:ascii="AcadNusx" w:hAnsi="AcadNusx"/>
                <w:sz w:val="18"/>
                <w:szCs w:val="22"/>
                <w:lang w:val="fr-FR"/>
              </w:rPr>
              <w:t xml:space="preserve"> #6</w:t>
            </w:r>
            <w:r w:rsidRPr="00D34C21">
              <w:rPr>
                <w:rFonts w:ascii="Sylfaen" w:hAnsi="Sylfaen"/>
                <w:sz w:val="18"/>
                <w:szCs w:val="22"/>
                <w:lang w:val="ka-GE"/>
              </w:rPr>
              <w:t xml:space="preserve"> </w:t>
            </w:r>
          </w:p>
        </w:tc>
        <w:tc>
          <w:tcPr>
            <w:tcW w:w="628" w:type="dxa"/>
          </w:tcPr>
          <w:p w14:paraId="7F3FA68A"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0.67</w:t>
            </w:r>
          </w:p>
        </w:tc>
        <w:tc>
          <w:tcPr>
            <w:tcW w:w="627" w:type="dxa"/>
          </w:tcPr>
          <w:p w14:paraId="47E50660"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1.66</w:t>
            </w:r>
          </w:p>
        </w:tc>
        <w:tc>
          <w:tcPr>
            <w:tcW w:w="843" w:type="dxa"/>
          </w:tcPr>
          <w:p w14:paraId="38326FA9"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0.0458</w:t>
            </w:r>
          </w:p>
        </w:tc>
        <w:tc>
          <w:tcPr>
            <w:tcW w:w="626" w:type="dxa"/>
          </w:tcPr>
          <w:p w14:paraId="01F2779F"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0.96</w:t>
            </w:r>
          </w:p>
        </w:tc>
        <w:tc>
          <w:tcPr>
            <w:tcW w:w="607" w:type="dxa"/>
          </w:tcPr>
          <w:p w14:paraId="4DE3BE5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1.06</w:t>
            </w:r>
          </w:p>
        </w:tc>
        <w:tc>
          <w:tcPr>
            <w:tcW w:w="613" w:type="dxa"/>
          </w:tcPr>
          <w:p w14:paraId="3509F68F"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5A44AC7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0.87</w:t>
            </w:r>
          </w:p>
        </w:tc>
        <w:tc>
          <w:tcPr>
            <w:tcW w:w="625" w:type="dxa"/>
          </w:tcPr>
          <w:p w14:paraId="1798DC8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0.70</w:t>
            </w:r>
          </w:p>
        </w:tc>
        <w:tc>
          <w:tcPr>
            <w:tcW w:w="797" w:type="dxa"/>
          </w:tcPr>
          <w:p w14:paraId="5E51AAB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8.36</w:t>
            </w:r>
          </w:p>
        </w:tc>
        <w:tc>
          <w:tcPr>
            <w:tcW w:w="797" w:type="dxa"/>
          </w:tcPr>
          <w:p w14:paraId="7E102A97"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6.97</w:t>
            </w:r>
          </w:p>
        </w:tc>
        <w:tc>
          <w:tcPr>
            <w:tcW w:w="797" w:type="dxa"/>
          </w:tcPr>
          <w:p w14:paraId="4D3ECE7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5.36</w:t>
            </w:r>
          </w:p>
        </w:tc>
        <w:tc>
          <w:tcPr>
            <w:tcW w:w="797" w:type="dxa"/>
          </w:tcPr>
          <w:p w14:paraId="7D830BA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3.78</w:t>
            </w:r>
          </w:p>
        </w:tc>
        <w:tc>
          <w:tcPr>
            <w:tcW w:w="797" w:type="dxa"/>
          </w:tcPr>
          <w:p w14:paraId="276426B8"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2.91</w:t>
            </w:r>
          </w:p>
        </w:tc>
      </w:tr>
      <w:tr w:rsidR="00D34C21" w:rsidRPr="00D34C21" w14:paraId="10125D2A" w14:textId="77777777" w:rsidTr="00D34C21">
        <w:tc>
          <w:tcPr>
            <w:tcW w:w="1440" w:type="dxa"/>
          </w:tcPr>
          <w:p w14:paraId="30A51C36" w14:textId="77777777" w:rsidR="00D34C21" w:rsidRPr="00D34C21" w:rsidRDefault="00D34C21" w:rsidP="00D34C21">
            <w:pPr>
              <w:ind w:right="46"/>
              <w:rPr>
                <w:rFonts w:ascii="AcadNusx" w:hAnsi="AcadNusx"/>
                <w:sz w:val="18"/>
                <w:lang w:val="fr-FR"/>
              </w:rPr>
            </w:pPr>
            <w:r w:rsidRPr="00D34C21">
              <w:rPr>
                <w:rFonts w:ascii="Sylfaen" w:hAnsi="Sylfaen"/>
                <w:sz w:val="18"/>
                <w:szCs w:val="22"/>
                <w:lang w:val="ka-GE"/>
              </w:rPr>
              <w:t>ფართობი</w:t>
            </w:r>
            <w:r w:rsidRPr="00D34C21">
              <w:rPr>
                <w:rFonts w:ascii="AcadNusx" w:hAnsi="AcadNusx"/>
                <w:sz w:val="18"/>
                <w:szCs w:val="22"/>
                <w:lang w:val="fr-FR"/>
              </w:rPr>
              <w:t xml:space="preserve"> 6</w:t>
            </w:r>
            <w:r w:rsidRPr="00D34C21">
              <w:rPr>
                <w:rFonts w:ascii="AcadNusx" w:hAnsi="AcadNusx"/>
                <w:sz w:val="18"/>
                <w:szCs w:val="22"/>
                <w:vertAlign w:val="superscript"/>
                <w:lang w:val="fr-FR"/>
              </w:rPr>
              <w:t>I</w:t>
            </w:r>
          </w:p>
        </w:tc>
        <w:tc>
          <w:tcPr>
            <w:tcW w:w="628" w:type="dxa"/>
          </w:tcPr>
          <w:p w14:paraId="4938226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0.21</w:t>
            </w:r>
          </w:p>
        </w:tc>
        <w:tc>
          <w:tcPr>
            <w:tcW w:w="627" w:type="dxa"/>
          </w:tcPr>
          <w:p w14:paraId="098C9AA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 xml:space="preserve"> _</w:t>
            </w:r>
          </w:p>
        </w:tc>
        <w:tc>
          <w:tcPr>
            <w:tcW w:w="843" w:type="dxa"/>
          </w:tcPr>
          <w:p w14:paraId="72155B85"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6" w:type="dxa"/>
          </w:tcPr>
          <w:p w14:paraId="3864E445"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07" w:type="dxa"/>
          </w:tcPr>
          <w:p w14:paraId="1195F4B9"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13" w:type="dxa"/>
          </w:tcPr>
          <w:p w14:paraId="40DA25E3"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0" w:type="dxa"/>
          </w:tcPr>
          <w:p w14:paraId="0BEC56A6"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5" w:type="dxa"/>
          </w:tcPr>
          <w:p w14:paraId="04C4E856"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797" w:type="dxa"/>
          </w:tcPr>
          <w:p w14:paraId="1111F067"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2.36</w:t>
            </w:r>
          </w:p>
        </w:tc>
        <w:tc>
          <w:tcPr>
            <w:tcW w:w="797" w:type="dxa"/>
          </w:tcPr>
          <w:p w14:paraId="78406BF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1.96</w:t>
            </w:r>
          </w:p>
        </w:tc>
        <w:tc>
          <w:tcPr>
            <w:tcW w:w="797" w:type="dxa"/>
          </w:tcPr>
          <w:p w14:paraId="5A7BE18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1.51</w:t>
            </w:r>
          </w:p>
        </w:tc>
        <w:tc>
          <w:tcPr>
            <w:tcW w:w="797" w:type="dxa"/>
          </w:tcPr>
          <w:p w14:paraId="5D88451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1.06</w:t>
            </w:r>
          </w:p>
        </w:tc>
        <w:tc>
          <w:tcPr>
            <w:tcW w:w="797" w:type="dxa"/>
          </w:tcPr>
          <w:p w14:paraId="4FD095D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0.82</w:t>
            </w:r>
          </w:p>
        </w:tc>
      </w:tr>
      <w:tr w:rsidR="00D34C21" w:rsidRPr="00D34C21" w14:paraId="16F34387" w14:textId="77777777" w:rsidTr="00D34C21">
        <w:tc>
          <w:tcPr>
            <w:tcW w:w="1440" w:type="dxa"/>
          </w:tcPr>
          <w:p w14:paraId="2B8CBCDF" w14:textId="77777777" w:rsidR="00D34C21" w:rsidRPr="00D34C21" w:rsidRDefault="00D34C21" w:rsidP="00D34C21">
            <w:pPr>
              <w:ind w:right="46"/>
              <w:rPr>
                <w:rFonts w:ascii="AcadNusx" w:hAnsi="AcadNusx"/>
                <w:sz w:val="18"/>
                <w:lang w:val="fr-FR"/>
              </w:rPr>
            </w:pPr>
            <w:r w:rsidRPr="00D34C21">
              <w:rPr>
                <w:rFonts w:ascii="Sylfaen" w:hAnsi="Sylfaen"/>
                <w:sz w:val="18"/>
                <w:szCs w:val="22"/>
                <w:lang w:val="ka-GE"/>
              </w:rPr>
              <w:t>ხევი</w:t>
            </w:r>
            <w:r w:rsidRPr="00D34C21">
              <w:rPr>
                <w:rFonts w:ascii="AcadNusx" w:hAnsi="AcadNusx"/>
                <w:sz w:val="18"/>
                <w:szCs w:val="22"/>
                <w:lang w:val="fr-FR"/>
              </w:rPr>
              <w:t xml:space="preserve"> #7</w:t>
            </w:r>
          </w:p>
        </w:tc>
        <w:tc>
          <w:tcPr>
            <w:tcW w:w="628" w:type="dxa"/>
          </w:tcPr>
          <w:p w14:paraId="51367BB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1.85</w:t>
            </w:r>
          </w:p>
        </w:tc>
        <w:tc>
          <w:tcPr>
            <w:tcW w:w="627" w:type="dxa"/>
          </w:tcPr>
          <w:p w14:paraId="3235315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3.18</w:t>
            </w:r>
          </w:p>
        </w:tc>
        <w:tc>
          <w:tcPr>
            <w:tcW w:w="843" w:type="dxa"/>
          </w:tcPr>
          <w:p w14:paraId="3DB294DF"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0.0846</w:t>
            </w:r>
          </w:p>
        </w:tc>
        <w:tc>
          <w:tcPr>
            <w:tcW w:w="626" w:type="dxa"/>
          </w:tcPr>
          <w:p w14:paraId="070606AE"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0.98</w:t>
            </w:r>
          </w:p>
        </w:tc>
        <w:tc>
          <w:tcPr>
            <w:tcW w:w="607" w:type="dxa"/>
          </w:tcPr>
          <w:p w14:paraId="0D3B089F"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1.09</w:t>
            </w:r>
          </w:p>
        </w:tc>
        <w:tc>
          <w:tcPr>
            <w:tcW w:w="613" w:type="dxa"/>
          </w:tcPr>
          <w:p w14:paraId="2CC67336"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543EA1FA"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01D8D8FA"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0.82</w:t>
            </w:r>
          </w:p>
        </w:tc>
        <w:tc>
          <w:tcPr>
            <w:tcW w:w="797" w:type="dxa"/>
          </w:tcPr>
          <w:p w14:paraId="7708AA8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20.8</w:t>
            </w:r>
          </w:p>
        </w:tc>
        <w:tc>
          <w:tcPr>
            <w:tcW w:w="797" w:type="dxa"/>
          </w:tcPr>
          <w:p w14:paraId="2283410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17.3</w:t>
            </w:r>
          </w:p>
        </w:tc>
        <w:tc>
          <w:tcPr>
            <w:tcW w:w="797" w:type="dxa"/>
          </w:tcPr>
          <w:p w14:paraId="2063AD9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13.3</w:t>
            </w:r>
          </w:p>
        </w:tc>
        <w:tc>
          <w:tcPr>
            <w:tcW w:w="797" w:type="dxa"/>
          </w:tcPr>
          <w:p w14:paraId="2B07958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9.39</w:t>
            </w:r>
          </w:p>
        </w:tc>
        <w:tc>
          <w:tcPr>
            <w:tcW w:w="797" w:type="dxa"/>
          </w:tcPr>
          <w:p w14:paraId="5D0153A8"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7.22</w:t>
            </w:r>
          </w:p>
        </w:tc>
      </w:tr>
      <w:tr w:rsidR="00D34C21" w:rsidRPr="00D34C21" w14:paraId="0D532976" w14:textId="77777777" w:rsidTr="00D34C21">
        <w:tc>
          <w:tcPr>
            <w:tcW w:w="1440" w:type="dxa"/>
          </w:tcPr>
          <w:p w14:paraId="0D725050"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#8</w:t>
            </w:r>
          </w:p>
        </w:tc>
        <w:tc>
          <w:tcPr>
            <w:tcW w:w="628" w:type="dxa"/>
          </w:tcPr>
          <w:p w14:paraId="757FBE5D"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1.19</w:t>
            </w:r>
          </w:p>
        </w:tc>
        <w:tc>
          <w:tcPr>
            <w:tcW w:w="627" w:type="dxa"/>
          </w:tcPr>
          <w:p w14:paraId="40B6E38E"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2.71</w:t>
            </w:r>
          </w:p>
        </w:tc>
        <w:tc>
          <w:tcPr>
            <w:tcW w:w="843" w:type="dxa"/>
          </w:tcPr>
          <w:p w14:paraId="43449C79"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0.0841</w:t>
            </w:r>
          </w:p>
        </w:tc>
        <w:tc>
          <w:tcPr>
            <w:tcW w:w="626" w:type="dxa"/>
          </w:tcPr>
          <w:p w14:paraId="3A339849"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0.98</w:t>
            </w:r>
          </w:p>
        </w:tc>
        <w:tc>
          <w:tcPr>
            <w:tcW w:w="607" w:type="dxa"/>
          </w:tcPr>
          <w:p w14:paraId="6866098D"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1.09</w:t>
            </w:r>
          </w:p>
        </w:tc>
        <w:tc>
          <w:tcPr>
            <w:tcW w:w="613" w:type="dxa"/>
          </w:tcPr>
          <w:p w14:paraId="2D8948AE"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06B6089E"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10753ADE"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0.81</w:t>
            </w:r>
          </w:p>
        </w:tc>
        <w:tc>
          <w:tcPr>
            <w:tcW w:w="797" w:type="dxa"/>
          </w:tcPr>
          <w:p w14:paraId="7C60033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15.5</w:t>
            </w:r>
          </w:p>
        </w:tc>
        <w:tc>
          <w:tcPr>
            <w:tcW w:w="797" w:type="dxa"/>
          </w:tcPr>
          <w:p w14:paraId="0A68CB3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12.9</w:t>
            </w:r>
          </w:p>
        </w:tc>
        <w:tc>
          <w:tcPr>
            <w:tcW w:w="797" w:type="dxa"/>
          </w:tcPr>
          <w:p w14:paraId="7148123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9.92</w:t>
            </w:r>
          </w:p>
        </w:tc>
        <w:tc>
          <w:tcPr>
            <w:tcW w:w="797" w:type="dxa"/>
          </w:tcPr>
          <w:p w14:paraId="74EF5B4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7.00</w:t>
            </w:r>
          </w:p>
        </w:tc>
        <w:tc>
          <w:tcPr>
            <w:tcW w:w="797" w:type="dxa"/>
          </w:tcPr>
          <w:p w14:paraId="1D8EE0C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5.38</w:t>
            </w:r>
          </w:p>
        </w:tc>
      </w:tr>
      <w:tr w:rsidR="00D34C21" w:rsidRPr="00D34C21" w14:paraId="7276203C" w14:textId="77777777" w:rsidTr="00D34C21">
        <w:tc>
          <w:tcPr>
            <w:tcW w:w="1440" w:type="dxa"/>
          </w:tcPr>
          <w:p w14:paraId="4A6A598D"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#9</w:t>
            </w:r>
          </w:p>
        </w:tc>
        <w:tc>
          <w:tcPr>
            <w:tcW w:w="628" w:type="dxa"/>
          </w:tcPr>
          <w:p w14:paraId="6CFA4D36"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2.41</w:t>
            </w:r>
          </w:p>
        </w:tc>
        <w:tc>
          <w:tcPr>
            <w:tcW w:w="627" w:type="dxa"/>
          </w:tcPr>
          <w:p w14:paraId="59710C66"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4.24</w:t>
            </w:r>
          </w:p>
        </w:tc>
        <w:tc>
          <w:tcPr>
            <w:tcW w:w="843" w:type="dxa"/>
          </w:tcPr>
          <w:p w14:paraId="60F5819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0.0842</w:t>
            </w:r>
          </w:p>
        </w:tc>
        <w:tc>
          <w:tcPr>
            <w:tcW w:w="626" w:type="dxa"/>
          </w:tcPr>
          <w:p w14:paraId="4579643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0.90</w:t>
            </w:r>
          </w:p>
        </w:tc>
        <w:tc>
          <w:tcPr>
            <w:tcW w:w="607" w:type="dxa"/>
          </w:tcPr>
          <w:p w14:paraId="5D0623BD"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1.10</w:t>
            </w:r>
          </w:p>
        </w:tc>
        <w:tc>
          <w:tcPr>
            <w:tcW w:w="613" w:type="dxa"/>
          </w:tcPr>
          <w:p w14:paraId="4F95E55F"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448D53F0"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7CDA03A3"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0.85</w:t>
            </w:r>
          </w:p>
        </w:tc>
        <w:tc>
          <w:tcPr>
            <w:tcW w:w="797" w:type="dxa"/>
          </w:tcPr>
          <w:p w14:paraId="52CA822B"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23.0</w:t>
            </w:r>
          </w:p>
        </w:tc>
        <w:tc>
          <w:tcPr>
            <w:tcW w:w="797" w:type="dxa"/>
          </w:tcPr>
          <w:p w14:paraId="3DF0928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19.2</w:t>
            </w:r>
          </w:p>
        </w:tc>
        <w:tc>
          <w:tcPr>
            <w:tcW w:w="797" w:type="dxa"/>
          </w:tcPr>
          <w:p w14:paraId="5130FB0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14.8</w:t>
            </w:r>
          </w:p>
        </w:tc>
        <w:tc>
          <w:tcPr>
            <w:tcW w:w="797" w:type="dxa"/>
          </w:tcPr>
          <w:p w14:paraId="5F1B6D7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10.4</w:t>
            </w:r>
          </w:p>
        </w:tc>
        <w:tc>
          <w:tcPr>
            <w:tcW w:w="797" w:type="dxa"/>
          </w:tcPr>
          <w:p w14:paraId="3A448A3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8.00</w:t>
            </w:r>
          </w:p>
        </w:tc>
      </w:tr>
      <w:tr w:rsidR="00D34C21" w:rsidRPr="00D34C21" w14:paraId="297096A3" w14:textId="77777777" w:rsidTr="00D34C21">
        <w:tc>
          <w:tcPr>
            <w:tcW w:w="1440" w:type="dxa"/>
          </w:tcPr>
          <w:p w14:paraId="38BFA4F8" w14:textId="77777777" w:rsidR="00D34C21" w:rsidRPr="00D34C21" w:rsidRDefault="00D34C21" w:rsidP="00D34C21">
            <w:pPr>
              <w:ind w:right="46"/>
              <w:rPr>
                <w:rFonts w:ascii="AcadNusx" w:hAnsi="AcadNusx"/>
                <w:sz w:val="18"/>
                <w:lang w:val="fr-FR"/>
              </w:rPr>
            </w:pPr>
            <w:r w:rsidRPr="00D34C21">
              <w:rPr>
                <w:rFonts w:ascii="Sylfaen" w:hAnsi="Sylfaen"/>
                <w:sz w:val="18"/>
                <w:szCs w:val="22"/>
                <w:lang w:val="ka-GE"/>
              </w:rPr>
              <w:t>ფართობი</w:t>
            </w:r>
            <w:r w:rsidRPr="00D34C21">
              <w:rPr>
                <w:rFonts w:ascii="AcadNusx" w:hAnsi="AcadNusx"/>
                <w:sz w:val="18"/>
                <w:szCs w:val="22"/>
                <w:lang w:val="fr-FR"/>
              </w:rPr>
              <w:t xml:space="preserve"> 9</w:t>
            </w:r>
            <w:r w:rsidRPr="00D34C21">
              <w:rPr>
                <w:rFonts w:ascii="AcadNusx" w:hAnsi="AcadNusx"/>
                <w:sz w:val="18"/>
                <w:szCs w:val="22"/>
                <w:vertAlign w:val="superscript"/>
                <w:lang w:val="fr-FR"/>
              </w:rPr>
              <w:t>I</w:t>
            </w:r>
          </w:p>
        </w:tc>
        <w:tc>
          <w:tcPr>
            <w:tcW w:w="628" w:type="dxa"/>
          </w:tcPr>
          <w:p w14:paraId="2B288BA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0.55</w:t>
            </w:r>
          </w:p>
        </w:tc>
        <w:tc>
          <w:tcPr>
            <w:tcW w:w="627" w:type="dxa"/>
          </w:tcPr>
          <w:p w14:paraId="4D8212B4"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843" w:type="dxa"/>
          </w:tcPr>
          <w:p w14:paraId="12147476"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6" w:type="dxa"/>
          </w:tcPr>
          <w:p w14:paraId="35C48A04"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07" w:type="dxa"/>
          </w:tcPr>
          <w:p w14:paraId="4FEF894E"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13" w:type="dxa"/>
          </w:tcPr>
          <w:p w14:paraId="3373449C"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0" w:type="dxa"/>
          </w:tcPr>
          <w:p w14:paraId="681BF541"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5" w:type="dxa"/>
          </w:tcPr>
          <w:p w14:paraId="139C9DA0"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797" w:type="dxa"/>
          </w:tcPr>
          <w:p w14:paraId="7A57C2E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4.14</w:t>
            </w:r>
          </w:p>
        </w:tc>
        <w:tc>
          <w:tcPr>
            <w:tcW w:w="797" w:type="dxa"/>
          </w:tcPr>
          <w:p w14:paraId="13DC6E6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3.45</w:t>
            </w:r>
          </w:p>
        </w:tc>
        <w:tc>
          <w:tcPr>
            <w:tcW w:w="797" w:type="dxa"/>
          </w:tcPr>
          <w:p w14:paraId="0A84740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2.65</w:t>
            </w:r>
          </w:p>
        </w:tc>
        <w:tc>
          <w:tcPr>
            <w:tcW w:w="797" w:type="dxa"/>
          </w:tcPr>
          <w:p w14:paraId="16633D9B"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1.87</w:t>
            </w:r>
          </w:p>
        </w:tc>
        <w:tc>
          <w:tcPr>
            <w:tcW w:w="797" w:type="dxa"/>
          </w:tcPr>
          <w:p w14:paraId="783F24B8"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1.44</w:t>
            </w:r>
          </w:p>
        </w:tc>
      </w:tr>
      <w:tr w:rsidR="00D34C21" w:rsidRPr="00D34C21" w14:paraId="337A2126" w14:textId="77777777" w:rsidTr="00D34C21">
        <w:tc>
          <w:tcPr>
            <w:tcW w:w="1440" w:type="dxa"/>
          </w:tcPr>
          <w:p w14:paraId="5F4FC55A"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წილიანა</w:t>
            </w:r>
            <w:r w:rsidRPr="00D34C21">
              <w:rPr>
                <w:rFonts w:ascii="AcadNusx" w:hAnsi="AcadNusx"/>
                <w:sz w:val="18"/>
                <w:szCs w:val="22"/>
                <w:lang w:val="fr-FR"/>
              </w:rPr>
              <w:t xml:space="preserve"> #10</w:t>
            </w:r>
          </w:p>
        </w:tc>
        <w:tc>
          <w:tcPr>
            <w:tcW w:w="628" w:type="dxa"/>
          </w:tcPr>
          <w:p w14:paraId="1252FB3E"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10.0</w:t>
            </w:r>
          </w:p>
        </w:tc>
        <w:tc>
          <w:tcPr>
            <w:tcW w:w="627" w:type="dxa"/>
          </w:tcPr>
          <w:p w14:paraId="147D426F"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7.97</w:t>
            </w:r>
          </w:p>
        </w:tc>
        <w:tc>
          <w:tcPr>
            <w:tcW w:w="843" w:type="dxa"/>
          </w:tcPr>
          <w:p w14:paraId="246A45B0"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0.0649</w:t>
            </w:r>
          </w:p>
        </w:tc>
        <w:tc>
          <w:tcPr>
            <w:tcW w:w="626" w:type="dxa"/>
          </w:tcPr>
          <w:p w14:paraId="1C002E9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0.91</w:t>
            </w:r>
          </w:p>
        </w:tc>
        <w:tc>
          <w:tcPr>
            <w:tcW w:w="607" w:type="dxa"/>
          </w:tcPr>
          <w:p w14:paraId="4E08B69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1.16</w:t>
            </w:r>
          </w:p>
        </w:tc>
        <w:tc>
          <w:tcPr>
            <w:tcW w:w="613" w:type="dxa"/>
          </w:tcPr>
          <w:p w14:paraId="3F51A73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5.50</w:t>
            </w:r>
          </w:p>
        </w:tc>
        <w:tc>
          <w:tcPr>
            <w:tcW w:w="620" w:type="dxa"/>
          </w:tcPr>
          <w:p w14:paraId="3A895D3F"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1.00</w:t>
            </w:r>
          </w:p>
        </w:tc>
        <w:tc>
          <w:tcPr>
            <w:tcW w:w="625" w:type="dxa"/>
          </w:tcPr>
          <w:p w14:paraId="42CB196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14:paraId="049B0E6B"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75.2</w:t>
            </w:r>
          </w:p>
        </w:tc>
        <w:tc>
          <w:tcPr>
            <w:tcW w:w="797" w:type="dxa"/>
          </w:tcPr>
          <w:p w14:paraId="4B84CB9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62.7</w:t>
            </w:r>
          </w:p>
        </w:tc>
        <w:tc>
          <w:tcPr>
            <w:tcW w:w="797" w:type="dxa"/>
          </w:tcPr>
          <w:p w14:paraId="4083BDA5"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48.2</w:t>
            </w:r>
          </w:p>
        </w:tc>
        <w:tc>
          <w:tcPr>
            <w:tcW w:w="797" w:type="dxa"/>
          </w:tcPr>
          <w:p w14:paraId="190F2F9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34.0</w:t>
            </w:r>
          </w:p>
        </w:tc>
        <w:tc>
          <w:tcPr>
            <w:tcW w:w="797" w:type="dxa"/>
          </w:tcPr>
          <w:p w14:paraId="76A1AD1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26.2</w:t>
            </w:r>
          </w:p>
        </w:tc>
      </w:tr>
      <w:tr w:rsidR="00D34C21" w:rsidRPr="00D34C21" w14:paraId="6F60E68C" w14:textId="77777777" w:rsidTr="00D34C21">
        <w:tc>
          <w:tcPr>
            <w:tcW w:w="1440" w:type="dxa"/>
          </w:tcPr>
          <w:p w14:paraId="6F5687E4" w14:textId="77777777" w:rsidR="00D34C21" w:rsidRPr="00D34C21" w:rsidRDefault="00D34C21" w:rsidP="00D34C21">
            <w:pPr>
              <w:ind w:right="46"/>
              <w:rPr>
                <w:rFonts w:ascii="AcadNusx" w:hAnsi="AcadNusx"/>
                <w:sz w:val="18"/>
                <w:lang w:val="fr-FR"/>
              </w:rPr>
            </w:pPr>
            <w:r w:rsidRPr="00D34C21">
              <w:rPr>
                <w:rFonts w:ascii="Sylfaen" w:hAnsi="Sylfaen"/>
                <w:sz w:val="18"/>
                <w:szCs w:val="22"/>
                <w:lang w:val="ka-GE"/>
              </w:rPr>
              <w:t>ფართობი</w:t>
            </w:r>
            <w:r w:rsidRPr="00D34C21">
              <w:rPr>
                <w:rFonts w:ascii="AcadNusx" w:hAnsi="AcadNusx"/>
                <w:sz w:val="18"/>
                <w:szCs w:val="22"/>
                <w:lang w:val="fr-FR"/>
              </w:rPr>
              <w:t xml:space="preserve"> 10</w:t>
            </w:r>
            <w:r w:rsidRPr="00D34C21">
              <w:rPr>
                <w:rFonts w:ascii="AcadNusx" w:hAnsi="AcadNusx"/>
                <w:sz w:val="18"/>
                <w:szCs w:val="22"/>
                <w:vertAlign w:val="superscript"/>
                <w:lang w:val="fr-FR"/>
              </w:rPr>
              <w:t>I</w:t>
            </w:r>
          </w:p>
        </w:tc>
        <w:tc>
          <w:tcPr>
            <w:tcW w:w="628" w:type="dxa"/>
          </w:tcPr>
          <w:p w14:paraId="65A834E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0.65</w:t>
            </w:r>
          </w:p>
        </w:tc>
        <w:tc>
          <w:tcPr>
            <w:tcW w:w="627" w:type="dxa"/>
          </w:tcPr>
          <w:p w14:paraId="01028486"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843" w:type="dxa"/>
          </w:tcPr>
          <w:p w14:paraId="58A2ACCB"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6" w:type="dxa"/>
          </w:tcPr>
          <w:p w14:paraId="73CBD6B7"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07" w:type="dxa"/>
          </w:tcPr>
          <w:p w14:paraId="6DF91028"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13" w:type="dxa"/>
          </w:tcPr>
          <w:p w14:paraId="06EDBB1B"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0" w:type="dxa"/>
          </w:tcPr>
          <w:p w14:paraId="692FB5ED"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5" w:type="dxa"/>
          </w:tcPr>
          <w:p w14:paraId="66632B00"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797" w:type="dxa"/>
          </w:tcPr>
          <w:p w14:paraId="05757A0B"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4.89</w:t>
            </w:r>
          </w:p>
        </w:tc>
        <w:tc>
          <w:tcPr>
            <w:tcW w:w="797" w:type="dxa"/>
          </w:tcPr>
          <w:p w14:paraId="06D79FB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4.08</w:t>
            </w:r>
          </w:p>
        </w:tc>
        <w:tc>
          <w:tcPr>
            <w:tcW w:w="797" w:type="dxa"/>
          </w:tcPr>
          <w:p w14:paraId="1916C6F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3.13</w:t>
            </w:r>
          </w:p>
        </w:tc>
        <w:tc>
          <w:tcPr>
            <w:tcW w:w="797" w:type="dxa"/>
          </w:tcPr>
          <w:p w14:paraId="19DA930C"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2.21</w:t>
            </w:r>
          </w:p>
        </w:tc>
        <w:tc>
          <w:tcPr>
            <w:tcW w:w="797" w:type="dxa"/>
          </w:tcPr>
          <w:p w14:paraId="7147ED2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1.70</w:t>
            </w:r>
          </w:p>
        </w:tc>
      </w:tr>
      <w:tr w:rsidR="00D34C21" w:rsidRPr="00D34C21" w14:paraId="4D71EC48" w14:textId="77777777" w:rsidTr="00D34C21">
        <w:tc>
          <w:tcPr>
            <w:tcW w:w="1440" w:type="dxa"/>
          </w:tcPr>
          <w:p w14:paraId="737987DC"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მღვრიეხევი</w:t>
            </w:r>
            <w:r w:rsidRPr="00D34C21">
              <w:rPr>
                <w:rFonts w:ascii="AcadNusx" w:hAnsi="AcadNusx"/>
                <w:sz w:val="18"/>
                <w:szCs w:val="22"/>
                <w:lang w:val="fr-FR"/>
              </w:rPr>
              <w:t xml:space="preserve"> #11</w:t>
            </w:r>
          </w:p>
        </w:tc>
        <w:tc>
          <w:tcPr>
            <w:tcW w:w="628" w:type="dxa"/>
          </w:tcPr>
          <w:p w14:paraId="185DFEA2"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17.1</w:t>
            </w:r>
          </w:p>
        </w:tc>
        <w:tc>
          <w:tcPr>
            <w:tcW w:w="627" w:type="dxa"/>
          </w:tcPr>
          <w:p w14:paraId="68FE3C21"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14.0</w:t>
            </w:r>
          </w:p>
        </w:tc>
        <w:tc>
          <w:tcPr>
            <w:tcW w:w="843" w:type="dxa"/>
          </w:tcPr>
          <w:p w14:paraId="7C55AF6D"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0.0642</w:t>
            </w:r>
          </w:p>
        </w:tc>
        <w:tc>
          <w:tcPr>
            <w:tcW w:w="626" w:type="dxa"/>
          </w:tcPr>
          <w:p w14:paraId="7E37E8F2"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0.89</w:t>
            </w:r>
          </w:p>
        </w:tc>
        <w:tc>
          <w:tcPr>
            <w:tcW w:w="607" w:type="dxa"/>
          </w:tcPr>
          <w:p w14:paraId="41F091F6"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1.07</w:t>
            </w:r>
          </w:p>
        </w:tc>
        <w:tc>
          <w:tcPr>
            <w:tcW w:w="613" w:type="dxa"/>
          </w:tcPr>
          <w:p w14:paraId="451C628F"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5.50</w:t>
            </w:r>
          </w:p>
        </w:tc>
        <w:tc>
          <w:tcPr>
            <w:tcW w:w="620" w:type="dxa"/>
          </w:tcPr>
          <w:p w14:paraId="6CFDD9C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1.00</w:t>
            </w:r>
          </w:p>
        </w:tc>
        <w:tc>
          <w:tcPr>
            <w:tcW w:w="625" w:type="dxa"/>
          </w:tcPr>
          <w:p w14:paraId="619841E4"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14:paraId="2924B44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85.4</w:t>
            </w:r>
          </w:p>
        </w:tc>
        <w:tc>
          <w:tcPr>
            <w:tcW w:w="797" w:type="dxa"/>
          </w:tcPr>
          <w:p w14:paraId="0023CEB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71.2</w:t>
            </w:r>
          </w:p>
        </w:tc>
        <w:tc>
          <w:tcPr>
            <w:tcW w:w="797" w:type="dxa"/>
          </w:tcPr>
          <w:p w14:paraId="78BE500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54.7</w:t>
            </w:r>
          </w:p>
        </w:tc>
        <w:tc>
          <w:tcPr>
            <w:tcW w:w="797" w:type="dxa"/>
          </w:tcPr>
          <w:p w14:paraId="3810AE3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38.6</w:t>
            </w:r>
          </w:p>
        </w:tc>
        <w:tc>
          <w:tcPr>
            <w:tcW w:w="797" w:type="dxa"/>
          </w:tcPr>
          <w:p w14:paraId="72F8CA3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29.7</w:t>
            </w:r>
          </w:p>
        </w:tc>
      </w:tr>
      <w:tr w:rsidR="00D34C21" w:rsidRPr="00D34C21" w14:paraId="6ED93A96" w14:textId="77777777" w:rsidTr="00D34C21">
        <w:tc>
          <w:tcPr>
            <w:tcW w:w="1440" w:type="dxa"/>
          </w:tcPr>
          <w:p w14:paraId="26825369" w14:textId="77777777" w:rsidR="00D34C21" w:rsidRPr="00D34C21" w:rsidRDefault="00D34C21" w:rsidP="00D34C21">
            <w:pPr>
              <w:ind w:right="46"/>
              <w:rPr>
                <w:rFonts w:ascii="AcadNusx" w:hAnsi="AcadNusx"/>
                <w:sz w:val="18"/>
                <w:lang w:val="fr-FR"/>
              </w:rPr>
            </w:pPr>
            <w:r w:rsidRPr="00D34C21">
              <w:rPr>
                <w:rFonts w:ascii="Sylfaen" w:hAnsi="Sylfaen"/>
                <w:sz w:val="18"/>
                <w:szCs w:val="22"/>
                <w:lang w:val="ka-GE"/>
              </w:rPr>
              <w:t>ფართობი</w:t>
            </w:r>
            <w:r w:rsidRPr="00D34C21">
              <w:rPr>
                <w:rFonts w:ascii="AcadNusx" w:hAnsi="AcadNusx"/>
                <w:sz w:val="18"/>
                <w:szCs w:val="22"/>
                <w:lang w:val="fr-FR"/>
              </w:rPr>
              <w:t xml:space="preserve"> 11</w:t>
            </w:r>
            <w:r w:rsidRPr="00D34C21">
              <w:rPr>
                <w:rFonts w:ascii="AcadNusx" w:hAnsi="AcadNusx"/>
                <w:sz w:val="18"/>
                <w:szCs w:val="22"/>
                <w:vertAlign w:val="superscript"/>
                <w:lang w:val="fr-FR"/>
              </w:rPr>
              <w:t>I</w:t>
            </w:r>
          </w:p>
        </w:tc>
        <w:tc>
          <w:tcPr>
            <w:tcW w:w="628" w:type="dxa"/>
          </w:tcPr>
          <w:p w14:paraId="70C6A10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0.28</w:t>
            </w:r>
          </w:p>
        </w:tc>
        <w:tc>
          <w:tcPr>
            <w:tcW w:w="627" w:type="dxa"/>
          </w:tcPr>
          <w:p w14:paraId="0F1CB176"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843" w:type="dxa"/>
          </w:tcPr>
          <w:p w14:paraId="5AD0B197"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6" w:type="dxa"/>
          </w:tcPr>
          <w:p w14:paraId="1339D0C4"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07" w:type="dxa"/>
          </w:tcPr>
          <w:p w14:paraId="2C0A99B0"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13" w:type="dxa"/>
          </w:tcPr>
          <w:p w14:paraId="2DB6CE67"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0" w:type="dxa"/>
          </w:tcPr>
          <w:p w14:paraId="59191A9C"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5" w:type="dxa"/>
          </w:tcPr>
          <w:p w14:paraId="331EC0AB"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797" w:type="dxa"/>
          </w:tcPr>
          <w:p w14:paraId="3DD22C7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3.15</w:t>
            </w:r>
          </w:p>
        </w:tc>
        <w:tc>
          <w:tcPr>
            <w:tcW w:w="797" w:type="dxa"/>
          </w:tcPr>
          <w:p w14:paraId="4300FB51"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2.61</w:t>
            </w:r>
          </w:p>
        </w:tc>
        <w:tc>
          <w:tcPr>
            <w:tcW w:w="797" w:type="dxa"/>
          </w:tcPr>
          <w:p w14:paraId="17B638B5"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2.01</w:t>
            </w:r>
          </w:p>
        </w:tc>
        <w:tc>
          <w:tcPr>
            <w:tcW w:w="797" w:type="dxa"/>
          </w:tcPr>
          <w:p w14:paraId="44AA28E8"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1.41</w:t>
            </w:r>
          </w:p>
        </w:tc>
        <w:tc>
          <w:tcPr>
            <w:tcW w:w="797" w:type="dxa"/>
          </w:tcPr>
          <w:p w14:paraId="4EF02C1D"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1.09</w:t>
            </w:r>
          </w:p>
        </w:tc>
      </w:tr>
      <w:tr w:rsidR="00D34C21" w:rsidRPr="00D34C21" w14:paraId="594A338D" w14:textId="77777777" w:rsidTr="00D34C21">
        <w:tc>
          <w:tcPr>
            <w:tcW w:w="1440" w:type="dxa"/>
          </w:tcPr>
          <w:p w14:paraId="1EA97578"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#12</w:t>
            </w:r>
          </w:p>
        </w:tc>
        <w:tc>
          <w:tcPr>
            <w:tcW w:w="628" w:type="dxa"/>
          </w:tcPr>
          <w:p w14:paraId="660C4280"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0.53</w:t>
            </w:r>
          </w:p>
        </w:tc>
        <w:tc>
          <w:tcPr>
            <w:tcW w:w="627" w:type="dxa"/>
          </w:tcPr>
          <w:p w14:paraId="7F60146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1.50</w:t>
            </w:r>
          </w:p>
        </w:tc>
        <w:tc>
          <w:tcPr>
            <w:tcW w:w="843" w:type="dxa"/>
          </w:tcPr>
          <w:p w14:paraId="23FB561D"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0.0307</w:t>
            </w:r>
          </w:p>
        </w:tc>
        <w:tc>
          <w:tcPr>
            <w:tcW w:w="626" w:type="dxa"/>
          </w:tcPr>
          <w:p w14:paraId="7C234DE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0.99</w:t>
            </w:r>
          </w:p>
        </w:tc>
        <w:tc>
          <w:tcPr>
            <w:tcW w:w="607" w:type="dxa"/>
          </w:tcPr>
          <w:p w14:paraId="7170A009"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1.05</w:t>
            </w:r>
          </w:p>
        </w:tc>
        <w:tc>
          <w:tcPr>
            <w:tcW w:w="613" w:type="dxa"/>
          </w:tcPr>
          <w:p w14:paraId="08B862B3"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24AF1005"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6B0662F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0.70</w:t>
            </w:r>
          </w:p>
        </w:tc>
        <w:tc>
          <w:tcPr>
            <w:tcW w:w="797" w:type="dxa"/>
          </w:tcPr>
          <w:p w14:paraId="6F104F3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7.00</w:t>
            </w:r>
          </w:p>
        </w:tc>
        <w:tc>
          <w:tcPr>
            <w:tcW w:w="797" w:type="dxa"/>
          </w:tcPr>
          <w:p w14:paraId="5FBBB99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5.83</w:t>
            </w:r>
          </w:p>
        </w:tc>
        <w:tc>
          <w:tcPr>
            <w:tcW w:w="797" w:type="dxa"/>
          </w:tcPr>
          <w:p w14:paraId="3FCB89C8"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4.48</w:t>
            </w:r>
          </w:p>
        </w:tc>
        <w:tc>
          <w:tcPr>
            <w:tcW w:w="797" w:type="dxa"/>
          </w:tcPr>
          <w:p w14:paraId="7E7192C5"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3.16</w:t>
            </w:r>
          </w:p>
        </w:tc>
        <w:tc>
          <w:tcPr>
            <w:tcW w:w="797" w:type="dxa"/>
          </w:tcPr>
          <w:p w14:paraId="66189CF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2.43</w:t>
            </w:r>
          </w:p>
        </w:tc>
      </w:tr>
      <w:tr w:rsidR="00D34C21" w:rsidRPr="00D34C21" w14:paraId="6C0FF046" w14:textId="77777777" w:rsidTr="00D34C21">
        <w:tc>
          <w:tcPr>
            <w:tcW w:w="1440" w:type="dxa"/>
          </w:tcPr>
          <w:p w14:paraId="0EA88C2E" w14:textId="77777777" w:rsidR="00D34C21" w:rsidRPr="00D34C21" w:rsidRDefault="00D34C21" w:rsidP="00D34C21">
            <w:pPr>
              <w:ind w:right="46"/>
              <w:rPr>
                <w:rFonts w:ascii="AcadNusx" w:hAnsi="AcadNusx"/>
                <w:sz w:val="18"/>
                <w:lang w:val="fr-FR"/>
              </w:rPr>
            </w:pPr>
            <w:r w:rsidRPr="00D34C21">
              <w:rPr>
                <w:rFonts w:ascii="Sylfaen" w:hAnsi="Sylfaen"/>
                <w:sz w:val="18"/>
                <w:szCs w:val="22"/>
                <w:lang w:val="ka-GE"/>
              </w:rPr>
              <w:t>ხევი</w:t>
            </w:r>
            <w:r w:rsidRPr="00D34C21">
              <w:rPr>
                <w:rFonts w:ascii="AcadNusx" w:hAnsi="AcadNusx"/>
                <w:sz w:val="18"/>
                <w:szCs w:val="22"/>
                <w:lang w:val="fr-FR"/>
              </w:rPr>
              <w:t xml:space="preserve"> #13</w:t>
            </w:r>
          </w:p>
        </w:tc>
        <w:tc>
          <w:tcPr>
            <w:tcW w:w="628" w:type="dxa"/>
          </w:tcPr>
          <w:p w14:paraId="73168006"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0.19</w:t>
            </w:r>
          </w:p>
        </w:tc>
        <w:tc>
          <w:tcPr>
            <w:tcW w:w="627" w:type="dxa"/>
          </w:tcPr>
          <w:p w14:paraId="413A52AD"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1.00</w:t>
            </w:r>
          </w:p>
        </w:tc>
        <w:tc>
          <w:tcPr>
            <w:tcW w:w="843" w:type="dxa"/>
          </w:tcPr>
          <w:p w14:paraId="75829148"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0.0520</w:t>
            </w:r>
          </w:p>
        </w:tc>
        <w:tc>
          <w:tcPr>
            <w:tcW w:w="626" w:type="dxa"/>
          </w:tcPr>
          <w:p w14:paraId="2D0C8094"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0.99</w:t>
            </w:r>
          </w:p>
        </w:tc>
        <w:tc>
          <w:tcPr>
            <w:tcW w:w="607" w:type="dxa"/>
          </w:tcPr>
          <w:p w14:paraId="53AD6656"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1.07</w:t>
            </w:r>
          </w:p>
        </w:tc>
        <w:tc>
          <w:tcPr>
            <w:tcW w:w="613" w:type="dxa"/>
          </w:tcPr>
          <w:p w14:paraId="3E3BD067"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17B6CD1F"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5AE7DF99"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0.70</w:t>
            </w:r>
          </w:p>
        </w:tc>
        <w:tc>
          <w:tcPr>
            <w:tcW w:w="797" w:type="dxa"/>
          </w:tcPr>
          <w:p w14:paraId="0C79D96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3.91</w:t>
            </w:r>
          </w:p>
        </w:tc>
        <w:tc>
          <w:tcPr>
            <w:tcW w:w="797" w:type="dxa"/>
          </w:tcPr>
          <w:p w14:paraId="3996490B"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3.26</w:t>
            </w:r>
          </w:p>
        </w:tc>
        <w:tc>
          <w:tcPr>
            <w:tcW w:w="797" w:type="dxa"/>
          </w:tcPr>
          <w:p w14:paraId="557CF1CD"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2.50</w:t>
            </w:r>
          </w:p>
        </w:tc>
        <w:tc>
          <w:tcPr>
            <w:tcW w:w="797" w:type="dxa"/>
          </w:tcPr>
          <w:p w14:paraId="3555384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1.77</w:t>
            </w:r>
          </w:p>
        </w:tc>
        <w:tc>
          <w:tcPr>
            <w:tcW w:w="797" w:type="dxa"/>
          </w:tcPr>
          <w:p w14:paraId="215C46AC"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1.36</w:t>
            </w:r>
          </w:p>
        </w:tc>
      </w:tr>
      <w:tr w:rsidR="00D34C21" w:rsidRPr="00D34C21" w14:paraId="1D566818" w14:textId="77777777" w:rsidTr="00D34C21">
        <w:tc>
          <w:tcPr>
            <w:tcW w:w="1440" w:type="dxa"/>
          </w:tcPr>
          <w:p w14:paraId="3A81ABAF"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#14</w:t>
            </w:r>
          </w:p>
        </w:tc>
        <w:tc>
          <w:tcPr>
            <w:tcW w:w="628" w:type="dxa"/>
          </w:tcPr>
          <w:p w14:paraId="1BA434F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1.10</w:t>
            </w:r>
          </w:p>
        </w:tc>
        <w:tc>
          <w:tcPr>
            <w:tcW w:w="627" w:type="dxa"/>
          </w:tcPr>
          <w:p w14:paraId="059099C9"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3.44</w:t>
            </w:r>
          </w:p>
        </w:tc>
        <w:tc>
          <w:tcPr>
            <w:tcW w:w="843" w:type="dxa"/>
          </w:tcPr>
          <w:p w14:paraId="17687463"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0.0683</w:t>
            </w:r>
          </w:p>
        </w:tc>
        <w:tc>
          <w:tcPr>
            <w:tcW w:w="626" w:type="dxa"/>
          </w:tcPr>
          <w:p w14:paraId="1D45AE91"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0.98</w:t>
            </w:r>
          </w:p>
        </w:tc>
        <w:tc>
          <w:tcPr>
            <w:tcW w:w="607" w:type="dxa"/>
          </w:tcPr>
          <w:p w14:paraId="1546B7C9"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1.19</w:t>
            </w:r>
          </w:p>
        </w:tc>
        <w:tc>
          <w:tcPr>
            <w:tcW w:w="613" w:type="dxa"/>
          </w:tcPr>
          <w:p w14:paraId="55055BF5"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49A599D9"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710BFD7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0.81</w:t>
            </w:r>
          </w:p>
        </w:tc>
        <w:tc>
          <w:tcPr>
            <w:tcW w:w="797" w:type="dxa"/>
          </w:tcPr>
          <w:p w14:paraId="74086E3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15.2</w:t>
            </w:r>
          </w:p>
        </w:tc>
        <w:tc>
          <w:tcPr>
            <w:tcW w:w="797" w:type="dxa"/>
          </w:tcPr>
          <w:p w14:paraId="02790AAD"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12.7</w:t>
            </w:r>
          </w:p>
        </w:tc>
        <w:tc>
          <w:tcPr>
            <w:tcW w:w="797" w:type="dxa"/>
          </w:tcPr>
          <w:p w14:paraId="789B4877"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9.76</w:t>
            </w:r>
          </w:p>
        </w:tc>
        <w:tc>
          <w:tcPr>
            <w:tcW w:w="797" w:type="dxa"/>
          </w:tcPr>
          <w:p w14:paraId="7837F138"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6.89</w:t>
            </w:r>
          </w:p>
        </w:tc>
        <w:tc>
          <w:tcPr>
            <w:tcW w:w="797" w:type="dxa"/>
          </w:tcPr>
          <w:p w14:paraId="152DE928"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5.30</w:t>
            </w:r>
          </w:p>
        </w:tc>
      </w:tr>
      <w:tr w:rsidR="00D34C21" w:rsidRPr="00D34C21" w14:paraId="724EBE72" w14:textId="77777777" w:rsidTr="00D34C21">
        <w:tc>
          <w:tcPr>
            <w:tcW w:w="1440" w:type="dxa"/>
          </w:tcPr>
          <w:p w14:paraId="16E41BEA"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#15</w:t>
            </w:r>
          </w:p>
        </w:tc>
        <w:tc>
          <w:tcPr>
            <w:tcW w:w="628" w:type="dxa"/>
          </w:tcPr>
          <w:p w14:paraId="480FA684"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0.26</w:t>
            </w:r>
          </w:p>
        </w:tc>
        <w:tc>
          <w:tcPr>
            <w:tcW w:w="627" w:type="dxa"/>
          </w:tcPr>
          <w:p w14:paraId="1B73ECDF"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0.95</w:t>
            </w:r>
          </w:p>
        </w:tc>
        <w:tc>
          <w:tcPr>
            <w:tcW w:w="843" w:type="dxa"/>
          </w:tcPr>
          <w:p w14:paraId="4952F576"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0.0589</w:t>
            </w:r>
          </w:p>
        </w:tc>
        <w:tc>
          <w:tcPr>
            <w:tcW w:w="626" w:type="dxa"/>
          </w:tcPr>
          <w:p w14:paraId="0E9F9087"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0.96</w:t>
            </w:r>
          </w:p>
        </w:tc>
        <w:tc>
          <w:tcPr>
            <w:tcW w:w="607" w:type="dxa"/>
          </w:tcPr>
          <w:p w14:paraId="1A784AA9"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1.07</w:t>
            </w:r>
          </w:p>
        </w:tc>
        <w:tc>
          <w:tcPr>
            <w:tcW w:w="613" w:type="dxa"/>
          </w:tcPr>
          <w:p w14:paraId="13D4F10A"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6B2FD696"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25481D0C"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0.70</w:t>
            </w:r>
          </w:p>
        </w:tc>
        <w:tc>
          <w:tcPr>
            <w:tcW w:w="797" w:type="dxa"/>
          </w:tcPr>
          <w:p w14:paraId="5A8F2635"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4.44</w:t>
            </w:r>
          </w:p>
        </w:tc>
        <w:tc>
          <w:tcPr>
            <w:tcW w:w="797" w:type="dxa"/>
          </w:tcPr>
          <w:p w14:paraId="40B998B8"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3.70</w:t>
            </w:r>
          </w:p>
        </w:tc>
        <w:tc>
          <w:tcPr>
            <w:tcW w:w="797" w:type="dxa"/>
          </w:tcPr>
          <w:p w14:paraId="2B24A00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2.84</w:t>
            </w:r>
          </w:p>
        </w:tc>
        <w:tc>
          <w:tcPr>
            <w:tcW w:w="797" w:type="dxa"/>
          </w:tcPr>
          <w:p w14:paraId="371C674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2.01</w:t>
            </w:r>
          </w:p>
        </w:tc>
        <w:tc>
          <w:tcPr>
            <w:tcW w:w="797" w:type="dxa"/>
          </w:tcPr>
          <w:p w14:paraId="57B2680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1.54</w:t>
            </w:r>
          </w:p>
        </w:tc>
      </w:tr>
      <w:tr w:rsidR="00D34C21" w:rsidRPr="00D34C21" w14:paraId="4F0F7B08" w14:textId="77777777" w:rsidTr="00D34C21">
        <w:tc>
          <w:tcPr>
            <w:tcW w:w="1440" w:type="dxa"/>
          </w:tcPr>
          <w:p w14:paraId="51ED01B1"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#16</w:t>
            </w:r>
          </w:p>
        </w:tc>
        <w:tc>
          <w:tcPr>
            <w:tcW w:w="628" w:type="dxa"/>
          </w:tcPr>
          <w:p w14:paraId="0C66BAE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0.78</w:t>
            </w:r>
          </w:p>
        </w:tc>
        <w:tc>
          <w:tcPr>
            <w:tcW w:w="627" w:type="dxa"/>
          </w:tcPr>
          <w:p w14:paraId="5C1CA3A1"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1.58</w:t>
            </w:r>
          </w:p>
        </w:tc>
        <w:tc>
          <w:tcPr>
            <w:tcW w:w="843" w:type="dxa"/>
          </w:tcPr>
          <w:p w14:paraId="51BE396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0.0664</w:t>
            </w:r>
          </w:p>
        </w:tc>
        <w:tc>
          <w:tcPr>
            <w:tcW w:w="626" w:type="dxa"/>
          </w:tcPr>
          <w:p w14:paraId="09ADA739"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0.95</w:t>
            </w:r>
          </w:p>
        </w:tc>
        <w:tc>
          <w:tcPr>
            <w:tcW w:w="607" w:type="dxa"/>
          </w:tcPr>
          <w:p w14:paraId="65F4F804"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1.03</w:t>
            </w:r>
          </w:p>
        </w:tc>
        <w:tc>
          <w:tcPr>
            <w:tcW w:w="613" w:type="dxa"/>
          </w:tcPr>
          <w:p w14:paraId="01DBA825"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62CE3C20"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1CE589A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0.70</w:t>
            </w:r>
          </w:p>
        </w:tc>
        <w:tc>
          <w:tcPr>
            <w:tcW w:w="797" w:type="dxa"/>
          </w:tcPr>
          <w:p w14:paraId="2CDF4122"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9.36</w:t>
            </w:r>
          </w:p>
        </w:tc>
        <w:tc>
          <w:tcPr>
            <w:tcW w:w="797" w:type="dxa"/>
          </w:tcPr>
          <w:p w14:paraId="0BD2914B"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7.80</w:t>
            </w:r>
          </w:p>
        </w:tc>
        <w:tc>
          <w:tcPr>
            <w:tcW w:w="797" w:type="dxa"/>
          </w:tcPr>
          <w:p w14:paraId="281C98D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6.00</w:t>
            </w:r>
          </w:p>
        </w:tc>
        <w:tc>
          <w:tcPr>
            <w:tcW w:w="797" w:type="dxa"/>
          </w:tcPr>
          <w:p w14:paraId="6C20BC48"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4.23</w:t>
            </w:r>
          </w:p>
        </w:tc>
        <w:tc>
          <w:tcPr>
            <w:tcW w:w="797" w:type="dxa"/>
          </w:tcPr>
          <w:p w14:paraId="3EE4153C"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3.26</w:t>
            </w:r>
          </w:p>
        </w:tc>
      </w:tr>
      <w:tr w:rsidR="00D34C21" w:rsidRPr="00D34C21" w14:paraId="20624A1D" w14:textId="77777777" w:rsidTr="00D34C21">
        <w:tc>
          <w:tcPr>
            <w:tcW w:w="1440" w:type="dxa"/>
          </w:tcPr>
          <w:p w14:paraId="1FEFD2C0" w14:textId="77777777" w:rsidR="00D34C21" w:rsidRPr="00D34C21" w:rsidRDefault="00D34C21" w:rsidP="00D34C21">
            <w:pPr>
              <w:ind w:right="46"/>
              <w:rPr>
                <w:rFonts w:ascii="AcadNusx" w:hAnsi="AcadNusx"/>
                <w:sz w:val="18"/>
                <w:lang w:val="fr-FR"/>
              </w:rPr>
            </w:pPr>
            <w:r w:rsidRPr="00D34C21">
              <w:rPr>
                <w:rFonts w:ascii="Sylfaen" w:hAnsi="Sylfaen"/>
                <w:sz w:val="18"/>
                <w:szCs w:val="22"/>
                <w:lang w:val="ka-GE"/>
              </w:rPr>
              <w:t>წილიანახევი</w:t>
            </w:r>
            <w:r w:rsidRPr="00D34C21">
              <w:rPr>
                <w:rFonts w:ascii="AcadNusx" w:hAnsi="AcadNusx"/>
                <w:sz w:val="18"/>
                <w:szCs w:val="22"/>
                <w:lang w:val="fr-FR"/>
              </w:rPr>
              <w:t xml:space="preserve"> #17</w:t>
            </w:r>
          </w:p>
        </w:tc>
        <w:tc>
          <w:tcPr>
            <w:tcW w:w="628" w:type="dxa"/>
          </w:tcPr>
          <w:p w14:paraId="4E74D85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11.7</w:t>
            </w:r>
          </w:p>
        </w:tc>
        <w:tc>
          <w:tcPr>
            <w:tcW w:w="627" w:type="dxa"/>
          </w:tcPr>
          <w:p w14:paraId="739CF54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7.92</w:t>
            </w:r>
          </w:p>
        </w:tc>
        <w:tc>
          <w:tcPr>
            <w:tcW w:w="843" w:type="dxa"/>
          </w:tcPr>
          <w:p w14:paraId="677A4C94"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0.0893</w:t>
            </w:r>
          </w:p>
        </w:tc>
        <w:tc>
          <w:tcPr>
            <w:tcW w:w="626" w:type="dxa"/>
          </w:tcPr>
          <w:p w14:paraId="59D8B4FD"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0.92</w:t>
            </w:r>
          </w:p>
        </w:tc>
        <w:tc>
          <w:tcPr>
            <w:tcW w:w="607" w:type="dxa"/>
          </w:tcPr>
          <w:p w14:paraId="69A424FA"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1.14</w:t>
            </w:r>
          </w:p>
        </w:tc>
        <w:tc>
          <w:tcPr>
            <w:tcW w:w="613" w:type="dxa"/>
          </w:tcPr>
          <w:p w14:paraId="592B6735"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712334AB"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1.00</w:t>
            </w:r>
          </w:p>
        </w:tc>
        <w:tc>
          <w:tcPr>
            <w:tcW w:w="625" w:type="dxa"/>
          </w:tcPr>
          <w:p w14:paraId="6EA86AD8" w14:textId="77777777" w:rsidR="00D34C21" w:rsidRPr="00D34C21" w:rsidRDefault="00D34C21" w:rsidP="00D34C21">
            <w:pPr>
              <w:ind w:right="46"/>
              <w:jc w:val="center"/>
              <w:rPr>
                <w:rFonts w:ascii="AcadNusx" w:hAnsi="AcadNusx"/>
                <w:sz w:val="18"/>
              </w:rPr>
            </w:pPr>
            <w:r w:rsidRPr="00D34C21">
              <w:rPr>
                <w:rFonts w:ascii="AcadNusx" w:hAnsi="AcadNusx"/>
                <w:sz w:val="18"/>
                <w:szCs w:val="22"/>
                <w:lang w:val="fr-FR"/>
              </w:rPr>
              <w:t>_</w:t>
            </w:r>
          </w:p>
        </w:tc>
        <w:tc>
          <w:tcPr>
            <w:tcW w:w="797" w:type="dxa"/>
          </w:tcPr>
          <w:p w14:paraId="4E17E1D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86.5</w:t>
            </w:r>
          </w:p>
        </w:tc>
        <w:tc>
          <w:tcPr>
            <w:tcW w:w="797" w:type="dxa"/>
          </w:tcPr>
          <w:p w14:paraId="0540F62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72.1</w:t>
            </w:r>
          </w:p>
        </w:tc>
        <w:tc>
          <w:tcPr>
            <w:tcW w:w="797" w:type="dxa"/>
          </w:tcPr>
          <w:p w14:paraId="28306E0B"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55.4</w:t>
            </w:r>
          </w:p>
        </w:tc>
        <w:tc>
          <w:tcPr>
            <w:tcW w:w="797" w:type="dxa"/>
          </w:tcPr>
          <w:p w14:paraId="64FA6C18"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39.1</w:t>
            </w:r>
          </w:p>
        </w:tc>
        <w:tc>
          <w:tcPr>
            <w:tcW w:w="797" w:type="dxa"/>
          </w:tcPr>
          <w:p w14:paraId="7611B53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30.1</w:t>
            </w:r>
          </w:p>
        </w:tc>
      </w:tr>
      <w:tr w:rsidR="00D34C21" w:rsidRPr="00D34C21" w14:paraId="2BD8A003" w14:textId="77777777" w:rsidTr="00D34C21">
        <w:tc>
          <w:tcPr>
            <w:tcW w:w="1440" w:type="dxa"/>
          </w:tcPr>
          <w:p w14:paraId="75C1FE7E"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ფართობი</w:t>
            </w:r>
            <w:r w:rsidRPr="00D34C21">
              <w:rPr>
                <w:rFonts w:ascii="AcadNusx" w:hAnsi="AcadNusx"/>
                <w:sz w:val="18"/>
                <w:szCs w:val="22"/>
                <w:lang w:val="fr-FR"/>
              </w:rPr>
              <w:t xml:space="preserve"> 17</w:t>
            </w:r>
            <w:r w:rsidRPr="00D34C21">
              <w:rPr>
                <w:rFonts w:ascii="AcadNusx" w:hAnsi="AcadNusx"/>
                <w:sz w:val="18"/>
                <w:szCs w:val="22"/>
                <w:vertAlign w:val="superscript"/>
                <w:lang w:val="fr-FR"/>
              </w:rPr>
              <w:t>I</w:t>
            </w:r>
          </w:p>
        </w:tc>
        <w:tc>
          <w:tcPr>
            <w:tcW w:w="628" w:type="dxa"/>
          </w:tcPr>
          <w:p w14:paraId="2E4D1E50"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0.17</w:t>
            </w:r>
          </w:p>
        </w:tc>
        <w:tc>
          <w:tcPr>
            <w:tcW w:w="627" w:type="dxa"/>
          </w:tcPr>
          <w:p w14:paraId="5F90A453"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843" w:type="dxa"/>
          </w:tcPr>
          <w:p w14:paraId="4AFCE602"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6" w:type="dxa"/>
          </w:tcPr>
          <w:p w14:paraId="6310BD1B"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07" w:type="dxa"/>
          </w:tcPr>
          <w:p w14:paraId="1433A19C"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13" w:type="dxa"/>
          </w:tcPr>
          <w:p w14:paraId="1BCB8742"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0" w:type="dxa"/>
          </w:tcPr>
          <w:p w14:paraId="6A10C18C"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5" w:type="dxa"/>
          </w:tcPr>
          <w:p w14:paraId="1FDDF825"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797" w:type="dxa"/>
          </w:tcPr>
          <w:p w14:paraId="2185669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1.93</w:t>
            </w:r>
          </w:p>
        </w:tc>
        <w:tc>
          <w:tcPr>
            <w:tcW w:w="797" w:type="dxa"/>
          </w:tcPr>
          <w:p w14:paraId="15BD0C0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1.58</w:t>
            </w:r>
          </w:p>
        </w:tc>
        <w:tc>
          <w:tcPr>
            <w:tcW w:w="797" w:type="dxa"/>
          </w:tcPr>
          <w:p w14:paraId="1082BD8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1.22</w:t>
            </w:r>
          </w:p>
        </w:tc>
        <w:tc>
          <w:tcPr>
            <w:tcW w:w="797" w:type="dxa"/>
          </w:tcPr>
          <w:p w14:paraId="02AE0092"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0.86</w:t>
            </w:r>
          </w:p>
        </w:tc>
        <w:tc>
          <w:tcPr>
            <w:tcW w:w="797" w:type="dxa"/>
          </w:tcPr>
          <w:p w14:paraId="6858A5AC"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0.66</w:t>
            </w:r>
          </w:p>
        </w:tc>
      </w:tr>
      <w:tr w:rsidR="00D34C21" w:rsidRPr="00D34C21" w14:paraId="25AD3AA9" w14:textId="77777777" w:rsidTr="00D34C21">
        <w:tc>
          <w:tcPr>
            <w:tcW w:w="1440" w:type="dxa"/>
          </w:tcPr>
          <w:p w14:paraId="307F6C7B"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#18</w:t>
            </w:r>
          </w:p>
        </w:tc>
        <w:tc>
          <w:tcPr>
            <w:tcW w:w="628" w:type="dxa"/>
          </w:tcPr>
          <w:p w14:paraId="237178E9"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1.36</w:t>
            </w:r>
          </w:p>
        </w:tc>
        <w:tc>
          <w:tcPr>
            <w:tcW w:w="627" w:type="dxa"/>
          </w:tcPr>
          <w:p w14:paraId="53384E6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3.30</w:t>
            </w:r>
          </w:p>
        </w:tc>
        <w:tc>
          <w:tcPr>
            <w:tcW w:w="843" w:type="dxa"/>
          </w:tcPr>
          <w:p w14:paraId="32246B0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0.0530</w:t>
            </w:r>
          </w:p>
        </w:tc>
        <w:tc>
          <w:tcPr>
            <w:tcW w:w="626" w:type="dxa"/>
          </w:tcPr>
          <w:p w14:paraId="3A2AF2CA"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0.95</w:t>
            </w:r>
          </w:p>
        </w:tc>
        <w:tc>
          <w:tcPr>
            <w:tcW w:w="607" w:type="dxa"/>
          </w:tcPr>
          <w:p w14:paraId="1CB103E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1.11</w:t>
            </w:r>
          </w:p>
        </w:tc>
        <w:tc>
          <w:tcPr>
            <w:tcW w:w="613" w:type="dxa"/>
          </w:tcPr>
          <w:p w14:paraId="4DEF8A8F"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79A38163"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0.87</w:t>
            </w:r>
          </w:p>
        </w:tc>
        <w:tc>
          <w:tcPr>
            <w:tcW w:w="625" w:type="dxa"/>
          </w:tcPr>
          <w:p w14:paraId="10A7B352"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0.81</w:t>
            </w:r>
          </w:p>
        </w:tc>
        <w:tc>
          <w:tcPr>
            <w:tcW w:w="797" w:type="dxa"/>
          </w:tcPr>
          <w:p w14:paraId="0C970A1D"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15.5</w:t>
            </w:r>
          </w:p>
        </w:tc>
        <w:tc>
          <w:tcPr>
            <w:tcW w:w="797" w:type="dxa"/>
          </w:tcPr>
          <w:p w14:paraId="196BAC4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12.9</w:t>
            </w:r>
          </w:p>
        </w:tc>
        <w:tc>
          <w:tcPr>
            <w:tcW w:w="797" w:type="dxa"/>
          </w:tcPr>
          <w:p w14:paraId="52BD5DBC"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9.92</w:t>
            </w:r>
          </w:p>
        </w:tc>
        <w:tc>
          <w:tcPr>
            <w:tcW w:w="797" w:type="dxa"/>
          </w:tcPr>
          <w:p w14:paraId="45C1E0B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7.00</w:t>
            </w:r>
          </w:p>
        </w:tc>
        <w:tc>
          <w:tcPr>
            <w:tcW w:w="797" w:type="dxa"/>
          </w:tcPr>
          <w:p w14:paraId="39D7C4F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5.38</w:t>
            </w:r>
          </w:p>
        </w:tc>
      </w:tr>
      <w:tr w:rsidR="00D34C21" w:rsidRPr="00D34C21" w14:paraId="20DDAFBA" w14:textId="77777777" w:rsidTr="00D34C21">
        <w:tc>
          <w:tcPr>
            <w:tcW w:w="1440" w:type="dxa"/>
          </w:tcPr>
          <w:p w14:paraId="01B03EF0"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შრომისხევი</w:t>
            </w:r>
            <w:r w:rsidRPr="00D34C21">
              <w:rPr>
                <w:rFonts w:ascii="AcadNusx" w:hAnsi="AcadNusx"/>
                <w:sz w:val="18"/>
                <w:szCs w:val="22"/>
              </w:rPr>
              <w:t xml:space="preserve"> #19</w:t>
            </w:r>
          </w:p>
        </w:tc>
        <w:tc>
          <w:tcPr>
            <w:tcW w:w="628" w:type="dxa"/>
          </w:tcPr>
          <w:p w14:paraId="616B32F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28.3</w:t>
            </w:r>
          </w:p>
        </w:tc>
        <w:tc>
          <w:tcPr>
            <w:tcW w:w="627" w:type="dxa"/>
          </w:tcPr>
          <w:p w14:paraId="688FD76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14.0</w:t>
            </w:r>
          </w:p>
        </w:tc>
        <w:tc>
          <w:tcPr>
            <w:tcW w:w="843" w:type="dxa"/>
          </w:tcPr>
          <w:p w14:paraId="71482DF6"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0.0680</w:t>
            </w:r>
          </w:p>
        </w:tc>
        <w:tc>
          <w:tcPr>
            <w:tcW w:w="626" w:type="dxa"/>
          </w:tcPr>
          <w:p w14:paraId="79182D80"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0.85</w:t>
            </w:r>
          </w:p>
        </w:tc>
        <w:tc>
          <w:tcPr>
            <w:tcW w:w="607" w:type="dxa"/>
          </w:tcPr>
          <w:p w14:paraId="2F968083"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1.15</w:t>
            </w:r>
          </w:p>
        </w:tc>
        <w:tc>
          <w:tcPr>
            <w:tcW w:w="613" w:type="dxa"/>
          </w:tcPr>
          <w:p w14:paraId="3BCCE28E"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3E1C2792"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1.00</w:t>
            </w:r>
          </w:p>
        </w:tc>
        <w:tc>
          <w:tcPr>
            <w:tcW w:w="625" w:type="dxa"/>
          </w:tcPr>
          <w:p w14:paraId="5926D88A"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14:paraId="424E116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124</w:t>
            </w:r>
          </w:p>
        </w:tc>
        <w:tc>
          <w:tcPr>
            <w:tcW w:w="797" w:type="dxa"/>
          </w:tcPr>
          <w:p w14:paraId="47FF86F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103</w:t>
            </w:r>
          </w:p>
        </w:tc>
        <w:tc>
          <w:tcPr>
            <w:tcW w:w="797" w:type="dxa"/>
          </w:tcPr>
          <w:p w14:paraId="30EABCE7"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79.2</w:t>
            </w:r>
          </w:p>
        </w:tc>
        <w:tc>
          <w:tcPr>
            <w:tcW w:w="797" w:type="dxa"/>
          </w:tcPr>
          <w:p w14:paraId="385DC2B5"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55.9</w:t>
            </w:r>
          </w:p>
        </w:tc>
        <w:tc>
          <w:tcPr>
            <w:tcW w:w="797" w:type="dxa"/>
          </w:tcPr>
          <w:p w14:paraId="00037CF7"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43.0</w:t>
            </w:r>
          </w:p>
        </w:tc>
      </w:tr>
      <w:tr w:rsidR="00D34C21" w:rsidRPr="00D34C21" w14:paraId="17250BE7" w14:textId="77777777" w:rsidTr="00D34C21">
        <w:tc>
          <w:tcPr>
            <w:tcW w:w="1440" w:type="dxa"/>
          </w:tcPr>
          <w:p w14:paraId="73AB3B8D"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#20</w:t>
            </w:r>
          </w:p>
        </w:tc>
        <w:tc>
          <w:tcPr>
            <w:tcW w:w="628" w:type="dxa"/>
          </w:tcPr>
          <w:p w14:paraId="0B1874BE"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0.28</w:t>
            </w:r>
          </w:p>
        </w:tc>
        <w:tc>
          <w:tcPr>
            <w:tcW w:w="627" w:type="dxa"/>
          </w:tcPr>
          <w:p w14:paraId="4443571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0.87</w:t>
            </w:r>
          </w:p>
        </w:tc>
        <w:tc>
          <w:tcPr>
            <w:tcW w:w="843" w:type="dxa"/>
          </w:tcPr>
          <w:p w14:paraId="667104CA"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0.0345</w:t>
            </w:r>
          </w:p>
        </w:tc>
        <w:tc>
          <w:tcPr>
            <w:tcW w:w="626" w:type="dxa"/>
          </w:tcPr>
          <w:p w14:paraId="18D1A7C1"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0.98</w:t>
            </w:r>
          </w:p>
        </w:tc>
        <w:tc>
          <w:tcPr>
            <w:tcW w:w="607" w:type="dxa"/>
          </w:tcPr>
          <w:p w14:paraId="3E1D5FF2"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1.12</w:t>
            </w:r>
          </w:p>
        </w:tc>
        <w:tc>
          <w:tcPr>
            <w:tcW w:w="613" w:type="dxa"/>
          </w:tcPr>
          <w:p w14:paraId="07F68FAC"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18F27B46"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296FF25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0.70</w:t>
            </w:r>
          </w:p>
        </w:tc>
        <w:tc>
          <w:tcPr>
            <w:tcW w:w="797" w:type="dxa"/>
          </w:tcPr>
          <w:p w14:paraId="46B0B92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5.00</w:t>
            </w:r>
          </w:p>
        </w:tc>
        <w:tc>
          <w:tcPr>
            <w:tcW w:w="797" w:type="dxa"/>
          </w:tcPr>
          <w:p w14:paraId="04BB632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4.17</w:t>
            </w:r>
          </w:p>
        </w:tc>
        <w:tc>
          <w:tcPr>
            <w:tcW w:w="797" w:type="dxa"/>
          </w:tcPr>
          <w:p w14:paraId="23D6ED0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3.20</w:t>
            </w:r>
          </w:p>
        </w:tc>
        <w:tc>
          <w:tcPr>
            <w:tcW w:w="797" w:type="dxa"/>
          </w:tcPr>
          <w:p w14:paraId="074F67E1"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2.26</w:t>
            </w:r>
          </w:p>
        </w:tc>
        <w:tc>
          <w:tcPr>
            <w:tcW w:w="797" w:type="dxa"/>
          </w:tcPr>
          <w:p w14:paraId="0C50E9C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1.74</w:t>
            </w:r>
          </w:p>
        </w:tc>
      </w:tr>
      <w:tr w:rsidR="00D34C21" w:rsidRPr="00D34C21" w14:paraId="1C9F4AB7" w14:textId="77777777" w:rsidTr="00D34C21">
        <w:tc>
          <w:tcPr>
            <w:tcW w:w="1440" w:type="dxa"/>
          </w:tcPr>
          <w:p w14:paraId="03464E86"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#21</w:t>
            </w:r>
          </w:p>
        </w:tc>
        <w:tc>
          <w:tcPr>
            <w:tcW w:w="628" w:type="dxa"/>
          </w:tcPr>
          <w:p w14:paraId="3B3F2799"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0.75</w:t>
            </w:r>
          </w:p>
        </w:tc>
        <w:tc>
          <w:tcPr>
            <w:tcW w:w="627" w:type="dxa"/>
          </w:tcPr>
          <w:p w14:paraId="00DEE5EA"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1.61</w:t>
            </w:r>
          </w:p>
        </w:tc>
        <w:tc>
          <w:tcPr>
            <w:tcW w:w="843" w:type="dxa"/>
          </w:tcPr>
          <w:p w14:paraId="0226F783"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0.0497</w:t>
            </w:r>
          </w:p>
        </w:tc>
        <w:tc>
          <w:tcPr>
            <w:tcW w:w="626" w:type="dxa"/>
          </w:tcPr>
          <w:p w14:paraId="2BF2043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0.99</w:t>
            </w:r>
          </w:p>
        </w:tc>
        <w:tc>
          <w:tcPr>
            <w:tcW w:w="607" w:type="dxa"/>
          </w:tcPr>
          <w:p w14:paraId="7E990DC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1.00</w:t>
            </w:r>
          </w:p>
        </w:tc>
        <w:tc>
          <w:tcPr>
            <w:tcW w:w="613" w:type="dxa"/>
          </w:tcPr>
          <w:p w14:paraId="50B281A4"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6B2459DA"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6C97E1E6"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0.70</w:t>
            </w:r>
          </w:p>
        </w:tc>
        <w:tc>
          <w:tcPr>
            <w:tcW w:w="797" w:type="dxa"/>
          </w:tcPr>
          <w:p w14:paraId="19C22F5D"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8.89</w:t>
            </w:r>
          </w:p>
        </w:tc>
        <w:tc>
          <w:tcPr>
            <w:tcW w:w="797" w:type="dxa"/>
          </w:tcPr>
          <w:p w14:paraId="499FD18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7.41</w:t>
            </w:r>
          </w:p>
        </w:tc>
        <w:tc>
          <w:tcPr>
            <w:tcW w:w="797" w:type="dxa"/>
          </w:tcPr>
          <w:p w14:paraId="13364AF1"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5.70</w:t>
            </w:r>
          </w:p>
        </w:tc>
        <w:tc>
          <w:tcPr>
            <w:tcW w:w="797" w:type="dxa"/>
          </w:tcPr>
          <w:p w14:paraId="24E5AEA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4.02</w:t>
            </w:r>
          </w:p>
        </w:tc>
        <w:tc>
          <w:tcPr>
            <w:tcW w:w="797" w:type="dxa"/>
          </w:tcPr>
          <w:p w14:paraId="1A6B2CB8"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3.09</w:t>
            </w:r>
          </w:p>
        </w:tc>
      </w:tr>
      <w:tr w:rsidR="00D34C21" w:rsidRPr="00D34C21" w14:paraId="08B2E9B6" w14:textId="77777777" w:rsidTr="00D34C21">
        <w:tc>
          <w:tcPr>
            <w:tcW w:w="1440" w:type="dxa"/>
          </w:tcPr>
          <w:p w14:paraId="260206FA"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#22</w:t>
            </w:r>
          </w:p>
        </w:tc>
        <w:tc>
          <w:tcPr>
            <w:tcW w:w="628" w:type="dxa"/>
          </w:tcPr>
          <w:p w14:paraId="36D27D03"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1.33</w:t>
            </w:r>
          </w:p>
        </w:tc>
        <w:tc>
          <w:tcPr>
            <w:tcW w:w="627" w:type="dxa"/>
          </w:tcPr>
          <w:p w14:paraId="4412ADE9"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3.12</w:t>
            </w:r>
          </w:p>
        </w:tc>
        <w:tc>
          <w:tcPr>
            <w:tcW w:w="843" w:type="dxa"/>
          </w:tcPr>
          <w:p w14:paraId="1BA6AAF9"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0.0320</w:t>
            </w:r>
          </w:p>
        </w:tc>
        <w:tc>
          <w:tcPr>
            <w:tcW w:w="626" w:type="dxa"/>
          </w:tcPr>
          <w:p w14:paraId="63F9D870"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0.97</w:t>
            </w:r>
          </w:p>
        </w:tc>
        <w:tc>
          <w:tcPr>
            <w:tcW w:w="607" w:type="dxa"/>
          </w:tcPr>
          <w:p w14:paraId="02F1338E"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1.07</w:t>
            </w:r>
          </w:p>
        </w:tc>
        <w:tc>
          <w:tcPr>
            <w:tcW w:w="613" w:type="dxa"/>
          </w:tcPr>
          <w:p w14:paraId="7A539384"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734F335A"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4071F2F7"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0.81</w:t>
            </w:r>
          </w:p>
        </w:tc>
        <w:tc>
          <w:tcPr>
            <w:tcW w:w="797" w:type="dxa"/>
          </w:tcPr>
          <w:p w14:paraId="6E82BD87"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14.2</w:t>
            </w:r>
          </w:p>
        </w:tc>
        <w:tc>
          <w:tcPr>
            <w:tcW w:w="797" w:type="dxa"/>
          </w:tcPr>
          <w:p w14:paraId="28ADCF0B"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11.8</w:t>
            </w:r>
          </w:p>
        </w:tc>
        <w:tc>
          <w:tcPr>
            <w:tcW w:w="797" w:type="dxa"/>
          </w:tcPr>
          <w:p w14:paraId="2EEC9B2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9.07</w:t>
            </w:r>
          </w:p>
        </w:tc>
        <w:tc>
          <w:tcPr>
            <w:tcW w:w="797" w:type="dxa"/>
          </w:tcPr>
          <w:p w14:paraId="46093648"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6.40</w:t>
            </w:r>
          </w:p>
        </w:tc>
        <w:tc>
          <w:tcPr>
            <w:tcW w:w="797" w:type="dxa"/>
          </w:tcPr>
          <w:p w14:paraId="6A743F72"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4.92</w:t>
            </w:r>
          </w:p>
        </w:tc>
      </w:tr>
      <w:tr w:rsidR="00D34C21" w:rsidRPr="00D34C21" w14:paraId="656FC134" w14:textId="77777777" w:rsidTr="00D34C21">
        <w:tc>
          <w:tcPr>
            <w:tcW w:w="1440" w:type="dxa"/>
          </w:tcPr>
          <w:p w14:paraId="52BC90CE"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#23</w:t>
            </w:r>
          </w:p>
        </w:tc>
        <w:tc>
          <w:tcPr>
            <w:tcW w:w="628" w:type="dxa"/>
          </w:tcPr>
          <w:p w14:paraId="270C16B0"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1.32</w:t>
            </w:r>
          </w:p>
        </w:tc>
        <w:tc>
          <w:tcPr>
            <w:tcW w:w="627" w:type="dxa"/>
          </w:tcPr>
          <w:p w14:paraId="15CF2E5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2.25</w:t>
            </w:r>
          </w:p>
        </w:tc>
        <w:tc>
          <w:tcPr>
            <w:tcW w:w="843" w:type="dxa"/>
          </w:tcPr>
          <w:p w14:paraId="48316F42"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0.0631</w:t>
            </w:r>
          </w:p>
        </w:tc>
        <w:tc>
          <w:tcPr>
            <w:tcW w:w="626" w:type="dxa"/>
          </w:tcPr>
          <w:p w14:paraId="2B8624E6"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0.97</w:t>
            </w:r>
          </w:p>
        </w:tc>
        <w:tc>
          <w:tcPr>
            <w:tcW w:w="607" w:type="dxa"/>
          </w:tcPr>
          <w:p w14:paraId="544250F0"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1.11</w:t>
            </w:r>
          </w:p>
        </w:tc>
        <w:tc>
          <w:tcPr>
            <w:tcW w:w="613" w:type="dxa"/>
          </w:tcPr>
          <w:p w14:paraId="0F27E8AC"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0915CE07"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248D973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0.81</w:t>
            </w:r>
          </w:p>
        </w:tc>
        <w:tc>
          <w:tcPr>
            <w:tcW w:w="797" w:type="dxa"/>
          </w:tcPr>
          <w:p w14:paraId="66EF0D6B"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16.4</w:t>
            </w:r>
          </w:p>
        </w:tc>
        <w:tc>
          <w:tcPr>
            <w:tcW w:w="797" w:type="dxa"/>
          </w:tcPr>
          <w:p w14:paraId="7BE2A60C"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13.7</w:t>
            </w:r>
          </w:p>
        </w:tc>
        <w:tc>
          <w:tcPr>
            <w:tcW w:w="797" w:type="dxa"/>
          </w:tcPr>
          <w:p w14:paraId="410914F1"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10.5</w:t>
            </w:r>
          </w:p>
        </w:tc>
        <w:tc>
          <w:tcPr>
            <w:tcW w:w="797" w:type="dxa"/>
          </w:tcPr>
          <w:p w14:paraId="147541B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7.43</w:t>
            </w:r>
          </w:p>
        </w:tc>
        <w:tc>
          <w:tcPr>
            <w:tcW w:w="797" w:type="dxa"/>
          </w:tcPr>
          <w:p w14:paraId="7165B222"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5.72</w:t>
            </w:r>
          </w:p>
        </w:tc>
      </w:tr>
      <w:tr w:rsidR="00D34C21" w:rsidRPr="00D34C21" w14:paraId="6989B56E" w14:textId="77777777" w:rsidTr="00D34C21">
        <w:tc>
          <w:tcPr>
            <w:tcW w:w="1440" w:type="dxa"/>
          </w:tcPr>
          <w:p w14:paraId="0B53D5AA" w14:textId="77777777" w:rsidR="00D34C21" w:rsidRPr="00D34C21" w:rsidRDefault="00D34C21" w:rsidP="00D34C21">
            <w:pPr>
              <w:ind w:right="46"/>
              <w:rPr>
                <w:rFonts w:ascii="AcadNusx" w:hAnsi="AcadNusx"/>
                <w:sz w:val="18"/>
              </w:rPr>
            </w:pPr>
            <w:r w:rsidRPr="00D34C21">
              <w:rPr>
                <w:rFonts w:ascii="Sylfaen" w:hAnsi="Sylfaen"/>
                <w:sz w:val="18"/>
                <w:szCs w:val="22"/>
                <w:lang w:val="ka-GE"/>
              </w:rPr>
              <w:lastRenderedPageBreak/>
              <w:t>აკურისხევი</w:t>
            </w:r>
            <w:r w:rsidRPr="00D34C21">
              <w:rPr>
                <w:rFonts w:ascii="AcadNusx" w:hAnsi="AcadNusx"/>
                <w:sz w:val="18"/>
                <w:szCs w:val="22"/>
                <w:lang w:val="fr-FR"/>
              </w:rPr>
              <w:t>#24</w:t>
            </w:r>
          </w:p>
        </w:tc>
        <w:tc>
          <w:tcPr>
            <w:tcW w:w="628" w:type="dxa"/>
          </w:tcPr>
          <w:p w14:paraId="2A38923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8.14</w:t>
            </w:r>
          </w:p>
        </w:tc>
        <w:tc>
          <w:tcPr>
            <w:tcW w:w="627" w:type="dxa"/>
          </w:tcPr>
          <w:p w14:paraId="574DBE9D"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6.20</w:t>
            </w:r>
          </w:p>
        </w:tc>
        <w:tc>
          <w:tcPr>
            <w:tcW w:w="843" w:type="dxa"/>
          </w:tcPr>
          <w:p w14:paraId="5C967230"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0.0814</w:t>
            </w:r>
          </w:p>
        </w:tc>
        <w:tc>
          <w:tcPr>
            <w:tcW w:w="626" w:type="dxa"/>
          </w:tcPr>
          <w:p w14:paraId="12A77D86"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0.88</w:t>
            </w:r>
          </w:p>
        </w:tc>
        <w:tc>
          <w:tcPr>
            <w:tcW w:w="607" w:type="dxa"/>
          </w:tcPr>
          <w:p w14:paraId="3E87283D"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1.16</w:t>
            </w:r>
          </w:p>
        </w:tc>
        <w:tc>
          <w:tcPr>
            <w:tcW w:w="613" w:type="dxa"/>
          </w:tcPr>
          <w:p w14:paraId="621F8C97"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6F61744A"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1.00</w:t>
            </w:r>
          </w:p>
        </w:tc>
        <w:tc>
          <w:tcPr>
            <w:tcW w:w="625" w:type="dxa"/>
          </w:tcPr>
          <w:p w14:paraId="08B72942" w14:textId="77777777" w:rsidR="00D34C21" w:rsidRPr="00D34C21" w:rsidRDefault="00D34C21" w:rsidP="00D34C21">
            <w:pPr>
              <w:ind w:right="46"/>
              <w:jc w:val="center"/>
              <w:rPr>
                <w:rFonts w:ascii="AcadNusx" w:hAnsi="AcadNusx"/>
                <w:sz w:val="18"/>
              </w:rPr>
            </w:pPr>
            <w:r w:rsidRPr="00D34C21">
              <w:rPr>
                <w:rFonts w:ascii="AcadNusx" w:hAnsi="AcadNusx"/>
                <w:sz w:val="18"/>
                <w:szCs w:val="22"/>
                <w:lang w:val="fr-FR"/>
              </w:rPr>
              <w:t>_</w:t>
            </w:r>
          </w:p>
        </w:tc>
        <w:tc>
          <w:tcPr>
            <w:tcW w:w="797" w:type="dxa"/>
          </w:tcPr>
          <w:p w14:paraId="75B66B8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68.3</w:t>
            </w:r>
          </w:p>
        </w:tc>
        <w:tc>
          <w:tcPr>
            <w:tcW w:w="797" w:type="dxa"/>
          </w:tcPr>
          <w:p w14:paraId="72479D0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56.9</w:t>
            </w:r>
          </w:p>
        </w:tc>
        <w:tc>
          <w:tcPr>
            <w:tcW w:w="797" w:type="dxa"/>
          </w:tcPr>
          <w:p w14:paraId="40606CA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43.7</w:t>
            </w:r>
          </w:p>
        </w:tc>
        <w:tc>
          <w:tcPr>
            <w:tcW w:w="797" w:type="dxa"/>
          </w:tcPr>
          <w:p w14:paraId="4E357C1D"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30.9</w:t>
            </w:r>
          </w:p>
        </w:tc>
        <w:tc>
          <w:tcPr>
            <w:tcW w:w="797" w:type="dxa"/>
          </w:tcPr>
          <w:p w14:paraId="74E753E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23.7</w:t>
            </w:r>
          </w:p>
        </w:tc>
      </w:tr>
      <w:tr w:rsidR="00D34C21" w:rsidRPr="00D34C21" w14:paraId="10D58BE0" w14:textId="77777777" w:rsidTr="00D34C21">
        <w:tc>
          <w:tcPr>
            <w:tcW w:w="1440" w:type="dxa"/>
          </w:tcPr>
          <w:p w14:paraId="63021CF1"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ფართობი</w:t>
            </w:r>
            <w:r w:rsidRPr="00D34C21">
              <w:rPr>
                <w:rFonts w:ascii="AcadNusx" w:hAnsi="AcadNusx"/>
                <w:sz w:val="18"/>
                <w:szCs w:val="22"/>
                <w:lang w:val="fr-FR"/>
              </w:rPr>
              <w:t xml:space="preserve"> 25</w:t>
            </w:r>
            <w:r w:rsidRPr="00D34C21">
              <w:rPr>
                <w:rFonts w:ascii="AcadNusx" w:hAnsi="AcadNusx"/>
                <w:sz w:val="18"/>
                <w:szCs w:val="22"/>
                <w:vertAlign w:val="superscript"/>
                <w:lang w:val="fr-FR"/>
              </w:rPr>
              <w:t>I</w:t>
            </w:r>
          </w:p>
        </w:tc>
        <w:tc>
          <w:tcPr>
            <w:tcW w:w="628" w:type="dxa"/>
          </w:tcPr>
          <w:p w14:paraId="631D3D8A"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0.23</w:t>
            </w:r>
          </w:p>
        </w:tc>
        <w:tc>
          <w:tcPr>
            <w:tcW w:w="627" w:type="dxa"/>
          </w:tcPr>
          <w:p w14:paraId="73CEB7DD"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843" w:type="dxa"/>
          </w:tcPr>
          <w:p w14:paraId="5C70863B"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6" w:type="dxa"/>
          </w:tcPr>
          <w:p w14:paraId="63DA6377"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07" w:type="dxa"/>
          </w:tcPr>
          <w:p w14:paraId="4C26CADC"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13" w:type="dxa"/>
          </w:tcPr>
          <w:p w14:paraId="074132B7"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0" w:type="dxa"/>
          </w:tcPr>
          <w:p w14:paraId="6B435352"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5" w:type="dxa"/>
          </w:tcPr>
          <w:p w14:paraId="10E05D83"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797" w:type="dxa"/>
          </w:tcPr>
          <w:p w14:paraId="0A7033A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2.61</w:t>
            </w:r>
          </w:p>
        </w:tc>
        <w:tc>
          <w:tcPr>
            <w:tcW w:w="797" w:type="dxa"/>
          </w:tcPr>
          <w:p w14:paraId="0D7A1E9B"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2.14</w:t>
            </w:r>
          </w:p>
        </w:tc>
        <w:tc>
          <w:tcPr>
            <w:tcW w:w="797" w:type="dxa"/>
          </w:tcPr>
          <w:p w14:paraId="20F4D5BC"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1.65</w:t>
            </w:r>
          </w:p>
        </w:tc>
        <w:tc>
          <w:tcPr>
            <w:tcW w:w="797" w:type="dxa"/>
          </w:tcPr>
          <w:p w14:paraId="6BB8545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1.16</w:t>
            </w:r>
          </w:p>
        </w:tc>
        <w:tc>
          <w:tcPr>
            <w:tcW w:w="797" w:type="dxa"/>
          </w:tcPr>
          <w:p w14:paraId="1987FBD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0.89</w:t>
            </w:r>
          </w:p>
        </w:tc>
      </w:tr>
      <w:tr w:rsidR="00D34C21" w:rsidRPr="00D34C21" w14:paraId="74C47593" w14:textId="77777777" w:rsidTr="00D34C21">
        <w:tc>
          <w:tcPr>
            <w:tcW w:w="1440" w:type="dxa"/>
          </w:tcPr>
          <w:p w14:paraId="6B63D442"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#25</w:t>
            </w:r>
          </w:p>
        </w:tc>
        <w:tc>
          <w:tcPr>
            <w:tcW w:w="628" w:type="dxa"/>
          </w:tcPr>
          <w:p w14:paraId="6FD2D78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0.79</w:t>
            </w:r>
          </w:p>
        </w:tc>
        <w:tc>
          <w:tcPr>
            <w:tcW w:w="627" w:type="dxa"/>
          </w:tcPr>
          <w:p w14:paraId="06A3DB2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1.63</w:t>
            </w:r>
          </w:p>
        </w:tc>
        <w:tc>
          <w:tcPr>
            <w:tcW w:w="843" w:type="dxa"/>
          </w:tcPr>
          <w:p w14:paraId="571BDB35"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0.0448</w:t>
            </w:r>
          </w:p>
        </w:tc>
        <w:tc>
          <w:tcPr>
            <w:tcW w:w="626" w:type="dxa"/>
          </w:tcPr>
          <w:p w14:paraId="62B5713E"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0.98</w:t>
            </w:r>
          </w:p>
        </w:tc>
        <w:tc>
          <w:tcPr>
            <w:tcW w:w="607" w:type="dxa"/>
          </w:tcPr>
          <w:p w14:paraId="65C6546D"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1.07</w:t>
            </w:r>
          </w:p>
        </w:tc>
        <w:tc>
          <w:tcPr>
            <w:tcW w:w="613" w:type="dxa"/>
          </w:tcPr>
          <w:p w14:paraId="04A1D1F0"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4EFF8CB9" w14:textId="77777777" w:rsidR="00D34C21" w:rsidRPr="00D34C21" w:rsidRDefault="00D34C21" w:rsidP="00D34C21">
            <w:pPr>
              <w:ind w:right="46"/>
              <w:jc w:val="center"/>
              <w:rPr>
                <w:rFonts w:ascii="AcadNusx" w:hAnsi="AcadNusx"/>
                <w:sz w:val="18"/>
              </w:rPr>
            </w:pPr>
            <w:r w:rsidRPr="00D34C21">
              <w:rPr>
                <w:rFonts w:ascii="AcadNusx" w:hAnsi="AcadNusx"/>
                <w:sz w:val="18"/>
                <w:szCs w:val="22"/>
                <w:lang w:val="fr-FR"/>
              </w:rPr>
              <w:t>0.87</w:t>
            </w:r>
          </w:p>
        </w:tc>
        <w:tc>
          <w:tcPr>
            <w:tcW w:w="625" w:type="dxa"/>
          </w:tcPr>
          <w:p w14:paraId="3CC67950" w14:textId="77777777" w:rsidR="00D34C21" w:rsidRPr="00D34C21" w:rsidRDefault="00D34C21" w:rsidP="00D34C21">
            <w:pPr>
              <w:ind w:right="46"/>
              <w:jc w:val="center"/>
              <w:rPr>
                <w:rFonts w:ascii="AcadNusx" w:hAnsi="AcadNusx"/>
                <w:sz w:val="18"/>
              </w:rPr>
            </w:pPr>
            <w:r w:rsidRPr="00D34C21">
              <w:rPr>
                <w:rFonts w:ascii="AcadNusx" w:hAnsi="AcadNusx"/>
                <w:sz w:val="18"/>
                <w:szCs w:val="22"/>
              </w:rPr>
              <w:t>0.70</w:t>
            </w:r>
          </w:p>
        </w:tc>
        <w:tc>
          <w:tcPr>
            <w:tcW w:w="797" w:type="dxa"/>
          </w:tcPr>
          <w:p w14:paraId="2528BF51"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9.60</w:t>
            </w:r>
          </w:p>
        </w:tc>
        <w:tc>
          <w:tcPr>
            <w:tcW w:w="797" w:type="dxa"/>
          </w:tcPr>
          <w:p w14:paraId="27404452"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8.00</w:t>
            </w:r>
          </w:p>
        </w:tc>
        <w:tc>
          <w:tcPr>
            <w:tcW w:w="797" w:type="dxa"/>
          </w:tcPr>
          <w:p w14:paraId="6789B29D"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6.15</w:t>
            </w:r>
          </w:p>
        </w:tc>
        <w:tc>
          <w:tcPr>
            <w:tcW w:w="797" w:type="dxa"/>
          </w:tcPr>
          <w:p w14:paraId="28960D0D"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4.34</w:t>
            </w:r>
          </w:p>
        </w:tc>
        <w:tc>
          <w:tcPr>
            <w:tcW w:w="797" w:type="dxa"/>
          </w:tcPr>
          <w:p w14:paraId="1F7F614C"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3.34</w:t>
            </w:r>
          </w:p>
        </w:tc>
      </w:tr>
      <w:tr w:rsidR="00D34C21" w:rsidRPr="00D34C21" w14:paraId="28BB2BE9" w14:textId="77777777" w:rsidTr="00D34C21">
        <w:tc>
          <w:tcPr>
            <w:tcW w:w="1440" w:type="dxa"/>
          </w:tcPr>
          <w:p w14:paraId="2FDF87DB" w14:textId="77777777" w:rsidR="00D34C21" w:rsidRPr="00D34C21" w:rsidRDefault="00D34C21" w:rsidP="00D34C21">
            <w:pPr>
              <w:ind w:right="46"/>
              <w:rPr>
                <w:rFonts w:ascii="AcadNusx" w:hAnsi="AcadNusx"/>
                <w:sz w:val="18"/>
              </w:rPr>
            </w:pPr>
            <w:r w:rsidRPr="00D34C21">
              <w:rPr>
                <w:rFonts w:ascii="AcadNusx" w:hAnsi="AcadNusx"/>
                <w:sz w:val="18"/>
                <w:szCs w:val="22"/>
              </w:rPr>
              <w:t>vanTisxevi #26</w:t>
            </w:r>
          </w:p>
        </w:tc>
        <w:tc>
          <w:tcPr>
            <w:tcW w:w="628" w:type="dxa"/>
          </w:tcPr>
          <w:p w14:paraId="2D6BB55A"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20.4</w:t>
            </w:r>
          </w:p>
        </w:tc>
        <w:tc>
          <w:tcPr>
            <w:tcW w:w="627" w:type="dxa"/>
          </w:tcPr>
          <w:p w14:paraId="1818FA8A"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14.6</w:t>
            </w:r>
          </w:p>
        </w:tc>
        <w:tc>
          <w:tcPr>
            <w:tcW w:w="843" w:type="dxa"/>
          </w:tcPr>
          <w:p w14:paraId="1150467E"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0.0682</w:t>
            </w:r>
          </w:p>
        </w:tc>
        <w:tc>
          <w:tcPr>
            <w:tcW w:w="626" w:type="dxa"/>
          </w:tcPr>
          <w:p w14:paraId="4FAD18C1"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0.85</w:t>
            </w:r>
          </w:p>
        </w:tc>
        <w:tc>
          <w:tcPr>
            <w:tcW w:w="607" w:type="dxa"/>
          </w:tcPr>
          <w:p w14:paraId="3E9B7ACE"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1.21</w:t>
            </w:r>
          </w:p>
        </w:tc>
        <w:tc>
          <w:tcPr>
            <w:tcW w:w="613" w:type="dxa"/>
          </w:tcPr>
          <w:p w14:paraId="6DC310BE"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6F66360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1.00</w:t>
            </w:r>
          </w:p>
        </w:tc>
        <w:tc>
          <w:tcPr>
            <w:tcW w:w="625" w:type="dxa"/>
          </w:tcPr>
          <w:p w14:paraId="3F3428ED"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14:paraId="4F12D95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104</w:t>
            </w:r>
          </w:p>
        </w:tc>
        <w:tc>
          <w:tcPr>
            <w:tcW w:w="797" w:type="dxa"/>
          </w:tcPr>
          <w:p w14:paraId="21290F97"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86.4</w:t>
            </w:r>
          </w:p>
        </w:tc>
        <w:tc>
          <w:tcPr>
            <w:tcW w:w="797" w:type="dxa"/>
          </w:tcPr>
          <w:p w14:paraId="3F47C8A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66.4</w:t>
            </w:r>
          </w:p>
        </w:tc>
        <w:tc>
          <w:tcPr>
            <w:tcW w:w="797" w:type="dxa"/>
          </w:tcPr>
          <w:p w14:paraId="3FEA973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46.9</w:t>
            </w:r>
          </w:p>
        </w:tc>
        <w:tc>
          <w:tcPr>
            <w:tcW w:w="797" w:type="dxa"/>
          </w:tcPr>
          <w:p w14:paraId="25B841A5"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36.1</w:t>
            </w:r>
          </w:p>
        </w:tc>
      </w:tr>
      <w:tr w:rsidR="00D34C21" w:rsidRPr="00D34C21" w14:paraId="5082B81C" w14:textId="77777777" w:rsidTr="00D34C21">
        <w:tc>
          <w:tcPr>
            <w:tcW w:w="1440" w:type="dxa"/>
          </w:tcPr>
          <w:p w14:paraId="2F9062BC"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farTobi 26</w:t>
            </w:r>
            <w:r w:rsidRPr="00D34C21">
              <w:rPr>
                <w:rFonts w:ascii="AcadNusx" w:hAnsi="AcadNusx"/>
                <w:sz w:val="18"/>
                <w:szCs w:val="22"/>
                <w:vertAlign w:val="superscript"/>
                <w:lang w:val="fr-FR"/>
              </w:rPr>
              <w:t>I</w:t>
            </w:r>
          </w:p>
        </w:tc>
        <w:tc>
          <w:tcPr>
            <w:tcW w:w="628" w:type="dxa"/>
          </w:tcPr>
          <w:p w14:paraId="51289F03"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0.08</w:t>
            </w:r>
          </w:p>
        </w:tc>
        <w:tc>
          <w:tcPr>
            <w:tcW w:w="627" w:type="dxa"/>
          </w:tcPr>
          <w:p w14:paraId="1E691254"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843" w:type="dxa"/>
          </w:tcPr>
          <w:p w14:paraId="3FF0EAFF"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6" w:type="dxa"/>
          </w:tcPr>
          <w:p w14:paraId="1874013F"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07" w:type="dxa"/>
          </w:tcPr>
          <w:p w14:paraId="356081BD"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13" w:type="dxa"/>
          </w:tcPr>
          <w:p w14:paraId="525DFDCF"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0" w:type="dxa"/>
          </w:tcPr>
          <w:p w14:paraId="7ADED958"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5" w:type="dxa"/>
          </w:tcPr>
          <w:p w14:paraId="5244FB6E"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797" w:type="dxa"/>
          </w:tcPr>
          <w:p w14:paraId="3B6E8B8B"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0.91</w:t>
            </w:r>
          </w:p>
        </w:tc>
        <w:tc>
          <w:tcPr>
            <w:tcW w:w="797" w:type="dxa"/>
          </w:tcPr>
          <w:p w14:paraId="1AEC3282"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0.74</w:t>
            </w:r>
          </w:p>
        </w:tc>
        <w:tc>
          <w:tcPr>
            <w:tcW w:w="797" w:type="dxa"/>
          </w:tcPr>
          <w:p w14:paraId="725A64FD"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0.57</w:t>
            </w:r>
          </w:p>
        </w:tc>
        <w:tc>
          <w:tcPr>
            <w:tcW w:w="797" w:type="dxa"/>
          </w:tcPr>
          <w:p w14:paraId="10E12DDB"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0.40</w:t>
            </w:r>
          </w:p>
        </w:tc>
        <w:tc>
          <w:tcPr>
            <w:tcW w:w="797" w:type="dxa"/>
          </w:tcPr>
          <w:p w14:paraId="29A8EC6C"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0.31</w:t>
            </w:r>
          </w:p>
        </w:tc>
      </w:tr>
      <w:tr w:rsidR="00D34C21" w:rsidRPr="00D34C21" w14:paraId="611B9EC6" w14:textId="77777777" w:rsidTr="00D34C21">
        <w:tc>
          <w:tcPr>
            <w:tcW w:w="1440" w:type="dxa"/>
          </w:tcPr>
          <w:p w14:paraId="41DDF1F3"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#27</w:t>
            </w:r>
          </w:p>
        </w:tc>
        <w:tc>
          <w:tcPr>
            <w:tcW w:w="628" w:type="dxa"/>
          </w:tcPr>
          <w:p w14:paraId="7A97C0B4"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2.29</w:t>
            </w:r>
          </w:p>
        </w:tc>
        <w:tc>
          <w:tcPr>
            <w:tcW w:w="627" w:type="dxa"/>
          </w:tcPr>
          <w:p w14:paraId="2AC8B9E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4.70</w:t>
            </w:r>
          </w:p>
        </w:tc>
        <w:tc>
          <w:tcPr>
            <w:tcW w:w="843" w:type="dxa"/>
          </w:tcPr>
          <w:p w14:paraId="71904D72"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0.0670</w:t>
            </w:r>
          </w:p>
        </w:tc>
        <w:tc>
          <w:tcPr>
            <w:tcW w:w="626" w:type="dxa"/>
          </w:tcPr>
          <w:p w14:paraId="47F804A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0.98</w:t>
            </w:r>
          </w:p>
        </w:tc>
        <w:tc>
          <w:tcPr>
            <w:tcW w:w="607" w:type="dxa"/>
          </w:tcPr>
          <w:p w14:paraId="10D7466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1.18</w:t>
            </w:r>
          </w:p>
        </w:tc>
        <w:tc>
          <w:tcPr>
            <w:tcW w:w="613" w:type="dxa"/>
          </w:tcPr>
          <w:p w14:paraId="2DB56937"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23921D80"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37828C0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0.84</w:t>
            </w:r>
          </w:p>
        </w:tc>
        <w:tc>
          <w:tcPr>
            <w:tcW w:w="797" w:type="dxa"/>
          </w:tcPr>
          <w:p w14:paraId="2642717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24.6</w:t>
            </w:r>
          </w:p>
        </w:tc>
        <w:tc>
          <w:tcPr>
            <w:tcW w:w="797" w:type="dxa"/>
          </w:tcPr>
          <w:p w14:paraId="5E0786F2"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20.5</w:t>
            </w:r>
          </w:p>
        </w:tc>
        <w:tc>
          <w:tcPr>
            <w:tcW w:w="797" w:type="dxa"/>
          </w:tcPr>
          <w:p w14:paraId="61D0CBE7"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15.8</w:t>
            </w:r>
          </w:p>
        </w:tc>
        <w:tc>
          <w:tcPr>
            <w:tcW w:w="797" w:type="dxa"/>
          </w:tcPr>
          <w:p w14:paraId="222B3C87"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11.1</w:t>
            </w:r>
          </w:p>
        </w:tc>
        <w:tc>
          <w:tcPr>
            <w:tcW w:w="797" w:type="dxa"/>
          </w:tcPr>
          <w:p w14:paraId="6FBDD83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8.56</w:t>
            </w:r>
          </w:p>
        </w:tc>
      </w:tr>
      <w:tr w:rsidR="00D34C21" w:rsidRPr="00D34C21" w14:paraId="57500263" w14:textId="77777777" w:rsidTr="00D34C21">
        <w:tc>
          <w:tcPr>
            <w:tcW w:w="1440" w:type="dxa"/>
          </w:tcPr>
          <w:p w14:paraId="7BA6FD26"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#28</w:t>
            </w:r>
          </w:p>
        </w:tc>
        <w:tc>
          <w:tcPr>
            <w:tcW w:w="628" w:type="dxa"/>
          </w:tcPr>
          <w:p w14:paraId="504A983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0.37</w:t>
            </w:r>
          </w:p>
        </w:tc>
        <w:tc>
          <w:tcPr>
            <w:tcW w:w="627" w:type="dxa"/>
          </w:tcPr>
          <w:p w14:paraId="58BF125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1.41</w:t>
            </w:r>
          </w:p>
        </w:tc>
        <w:tc>
          <w:tcPr>
            <w:tcW w:w="843" w:type="dxa"/>
          </w:tcPr>
          <w:p w14:paraId="352F2D3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0.0489</w:t>
            </w:r>
          </w:p>
        </w:tc>
        <w:tc>
          <w:tcPr>
            <w:tcW w:w="626" w:type="dxa"/>
          </w:tcPr>
          <w:p w14:paraId="6DE70EEA"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0.99</w:t>
            </w:r>
          </w:p>
        </w:tc>
        <w:tc>
          <w:tcPr>
            <w:tcW w:w="607" w:type="dxa"/>
          </w:tcPr>
          <w:p w14:paraId="5434291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1.00</w:t>
            </w:r>
          </w:p>
        </w:tc>
        <w:tc>
          <w:tcPr>
            <w:tcW w:w="613" w:type="dxa"/>
          </w:tcPr>
          <w:p w14:paraId="7018F10E"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07E48B8B"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65CA04DF"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0.70</w:t>
            </w:r>
          </w:p>
        </w:tc>
        <w:tc>
          <w:tcPr>
            <w:tcW w:w="797" w:type="dxa"/>
          </w:tcPr>
          <w:p w14:paraId="1229D3C1"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5.57</w:t>
            </w:r>
          </w:p>
        </w:tc>
        <w:tc>
          <w:tcPr>
            <w:tcW w:w="797" w:type="dxa"/>
          </w:tcPr>
          <w:p w14:paraId="69AD467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4.64</w:t>
            </w:r>
          </w:p>
        </w:tc>
        <w:tc>
          <w:tcPr>
            <w:tcW w:w="797" w:type="dxa"/>
          </w:tcPr>
          <w:p w14:paraId="377420C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3.57</w:t>
            </w:r>
          </w:p>
        </w:tc>
        <w:tc>
          <w:tcPr>
            <w:tcW w:w="797" w:type="dxa"/>
          </w:tcPr>
          <w:p w14:paraId="7D1AA0A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2.52</w:t>
            </w:r>
          </w:p>
        </w:tc>
        <w:tc>
          <w:tcPr>
            <w:tcW w:w="797" w:type="dxa"/>
          </w:tcPr>
          <w:p w14:paraId="0191F42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1.94</w:t>
            </w:r>
          </w:p>
        </w:tc>
      </w:tr>
      <w:tr w:rsidR="00D34C21" w:rsidRPr="00D34C21" w14:paraId="2AAAE885" w14:textId="77777777" w:rsidTr="00D34C21">
        <w:tc>
          <w:tcPr>
            <w:tcW w:w="1440" w:type="dxa"/>
          </w:tcPr>
          <w:p w14:paraId="33786CBA"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#29</w:t>
            </w:r>
          </w:p>
        </w:tc>
        <w:tc>
          <w:tcPr>
            <w:tcW w:w="628" w:type="dxa"/>
          </w:tcPr>
          <w:p w14:paraId="2DEFFBEE"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0.54</w:t>
            </w:r>
          </w:p>
        </w:tc>
        <w:tc>
          <w:tcPr>
            <w:tcW w:w="627" w:type="dxa"/>
          </w:tcPr>
          <w:p w14:paraId="6AA0A390"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1.22</w:t>
            </w:r>
          </w:p>
        </w:tc>
        <w:tc>
          <w:tcPr>
            <w:tcW w:w="843" w:type="dxa"/>
          </w:tcPr>
          <w:p w14:paraId="2FAFBDCE"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0.0524</w:t>
            </w:r>
          </w:p>
        </w:tc>
        <w:tc>
          <w:tcPr>
            <w:tcW w:w="626" w:type="dxa"/>
          </w:tcPr>
          <w:p w14:paraId="0411504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0.98</w:t>
            </w:r>
          </w:p>
        </w:tc>
        <w:tc>
          <w:tcPr>
            <w:tcW w:w="607" w:type="dxa"/>
          </w:tcPr>
          <w:p w14:paraId="27421986"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1.03</w:t>
            </w:r>
          </w:p>
        </w:tc>
        <w:tc>
          <w:tcPr>
            <w:tcW w:w="613" w:type="dxa"/>
          </w:tcPr>
          <w:p w14:paraId="2DDA0013"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1F419CF1"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332E7A5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0.70</w:t>
            </w:r>
          </w:p>
        </w:tc>
        <w:tc>
          <w:tcPr>
            <w:tcW w:w="797" w:type="dxa"/>
          </w:tcPr>
          <w:p w14:paraId="1917CBE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7.43</w:t>
            </w:r>
          </w:p>
        </w:tc>
        <w:tc>
          <w:tcPr>
            <w:tcW w:w="797" w:type="dxa"/>
          </w:tcPr>
          <w:p w14:paraId="40F4FE4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6.19</w:t>
            </w:r>
          </w:p>
        </w:tc>
        <w:tc>
          <w:tcPr>
            <w:tcW w:w="797" w:type="dxa"/>
          </w:tcPr>
          <w:p w14:paraId="11CCDD71"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4.76</w:t>
            </w:r>
          </w:p>
        </w:tc>
        <w:tc>
          <w:tcPr>
            <w:tcW w:w="797" w:type="dxa"/>
          </w:tcPr>
          <w:p w14:paraId="7B57E92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3.36</w:t>
            </w:r>
          </w:p>
        </w:tc>
        <w:tc>
          <w:tcPr>
            <w:tcW w:w="797" w:type="dxa"/>
          </w:tcPr>
          <w:p w14:paraId="76976FD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2.58</w:t>
            </w:r>
          </w:p>
        </w:tc>
      </w:tr>
      <w:tr w:rsidR="00D34C21" w:rsidRPr="00D34C21" w14:paraId="29FDA0C4" w14:textId="77777777" w:rsidTr="00D34C21">
        <w:tc>
          <w:tcPr>
            <w:tcW w:w="1440" w:type="dxa"/>
          </w:tcPr>
          <w:p w14:paraId="79A70690"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#30</w:t>
            </w:r>
          </w:p>
        </w:tc>
        <w:tc>
          <w:tcPr>
            <w:tcW w:w="628" w:type="dxa"/>
          </w:tcPr>
          <w:p w14:paraId="17B3B0C2"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0.18</w:t>
            </w:r>
          </w:p>
        </w:tc>
        <w:tc>
          <w:tcPr>
            <w:tcW w:w="627" w:type="dxa"/>
          </w:tcPr>
          <w:p w14:paraId="6390D26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0.88</w:t>
            </w:r>
          </w:p>
        </w:tc>
        <w:tc>
          <w:tcPr>
            <w:tcW w:w="843" w:type="dxa"/>
          </w:tcPr>
          <w:p w14:paraId="45E5722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0.0557</w:t>
            </w:r>
          </w:p>
        </w:tc>
        <w:tc>
          <w:tcPr>
            <w:tcW w:w="626" w:type="dxa"/>
          </w:tcPr>
          <w:p w14:paraId="0E59BBE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0.98</w:t>
            </w:r>
          </w:p>
        </w:tc>
        <w:tc>
          <w:tcPr>
            <w:tcW w:w="607" w:type="dxa"/>
          </w:tcPr>
          <w:p w14:paraId="238A766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1.00</w:t>
            </w:r>
          </w:p>
        </w:tc>
        <w:tc>
          <w:tcPr>
            <w:tcW w:w="613" w:type="dxa"/>
          </w:tcPr>
          <w:p w14:paraId="11EDB71F"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6796E857"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235C47C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0.70</w:t>
            </w:r>
          </w:p>
        </w:tc>
        <w:tc>
          <w:tcPr>
            <w:tcW w:w="797" w:type="dxa"/>
          </w:tcPr>
          <w:p w14:paraId="263A153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3.53</w:t>
            </w:r>
          </w:p>
        </w:tc>
        <w:tc>
          <w:tcPr>
            <w:tcW w:w="797" w:type="dxa"/>
          </w:tcPr>
          <w:p w14:paraId="1D4C2E0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2.94</w:t>
            </w:r>
          </w:p>
        </w:tc>
        <w:tc>
          <w:tcPr>
            <w:tcW w:w="797" w:type="dxa"/>
          </w:tcPr>
          <w:p w14:paraId="0E8F917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2.26</w:t>
            </w:r>
          </w:p>
        </w:tc>
        <w:tc>
          <w:tcPr>
            <w:tcW w:w="797" w:type="dxa"/>
          </w:tcPr>
          <w:p w14:paraId="34CCA64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1.60</w:t>
            </w:r>
          </w:p>
        </w:tc>
        <w:tc>
          <w:tcPr>
            <w:tcW w:w="797" w:type="dxa"/>
          </w:tcPr>
          <w:p w14:paraId="2A12B02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1.23</w:t>
            </w:r>
          </w:p>
        </w:tc>
      </w:tr>
      <w:tr w:rsidR="00D34C21" w:rsidRPr="00D34C21" w14:paraId="14F4E952" w14:textId="77777777" w:rsidTr="00D34C21">
        <w:tc>
          <w:tcPr>
            <w:tcW w:w="1440" w:type="dxa"/>
          </w:tcPr>
          <w:p w14:paraId="020D40B2"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#31</w:t>
            </w:r>
          </w:p>
        </w:tc>
        <w:tc>
          <w:tcPr>
            <w:tcW w:w="628" w:type="dxa"/>
          </w:tcPr>
          <w:p w14:paraId="517796B3"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0.32</w:t>
            </w:r>
          </w:p>
        </w:tc>
        <w:tc>
          <w:tcPr>
            <w:tcW w:w="627" w:type="dxa"/>
          </w:tcPr>
          <w:p w14:paraId="73DD270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0.80</w:t>
            </w:r>
          </w:p>
        </w:tc>
        <w:tc>
          <w:tcPr>
            <w:tcW w:w="843" w:type="dxa"/>
          </w:tcPr>
          <w:p w14:paraId="062FD5E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0.0538</w:t>
            </w:r>
          </w:p>
        </w:tc>
        <w:tc>
          <w:tcPr>
            <w:tcW w:w="626" w:type="dxa"/>
          </w:tcPr>
          <w:p w14:paraId="742E7B33"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0.98</w:t>
            </w:r>
          </w:p>
        </w:tc>
        <w:tc>
          <w:tcPr>
            <w:tcW w:w="607" w:type="dxa"/>
          </w:tcPr>
          <w:p w14:paraId="363943C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1.02</w:t>
            </w:r>
          </w:p>
        </w:tc>
        <w:tc>
          <w:tcPr>
            <w:tcW w:w="613" w:type="dxa"/>
          </w:tcPr>
          <w:p w14:paraId="4DE9BA4D"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1A9CFEBB"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13E50ED9"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0.70</w:t>
            </w:r>
          </w:p>
        </w:tc>
        <w:tc>
          <w:tcPr>
            <w:tcW w:w="797" w:type="dxa"/>
          </w:tcPr>
          <w:p w14:paraId="5577562D"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5.29</w:t>
            </w:r>
          </w:p>
        </w:tc>
        <w:tc>
          <w:tcPr>
            <w:tcW w:w="797" w:type="dxa"/>
          </w:tcPr>
          <w:p w14:paraId="5E31D0C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4.41</w:t>
            </w:r>
          </w:p>
        </w:tc>
        <w:tc>
          <w:tcPr>
            <w:tcW w:w="797" w:type="dxa"/>
          </w:tcPr>
          <w:p w14:paraId="3823CA6C"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3.39</w:t>
            </w:r>
          </w:p>
        </w:tc>
        <w:tc>
          <w:tcPr>
            <w:tcW w:w="797" w:type="dxa"/>
          </w:tcPr>
          <w:p w14:paraId="5019606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2.39</w:t>
            </w:r>
          </w:p>
        </w:tc>
        <w:tc>
          <w:tcPr>
            <w:tcW w:w="797" w:type="dxa"/>
          </w:tcPr>
          <w:p w14:paraId="78955BE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1.84</w:t>
            </w:r>
          </w:p>
        </w:tc>
      </w:tr>
      <w:tr w:rsidR="00D34C21" w:rsidRPr="00D34C21" w14:paraId="58A5F951" w14:textId="77777777" w:rsidTr="00D34C21">
        <w:tc>
          <w:tcPr>
            <w:tcW w:w="1440" w:type="dxa"/>
          </w:tcPr>
          <w:p w14:paraId="12A7AE42"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ბუშეთისხევი</w:t>
            </w:r>
            <w:r w:rsidRPr="00D34C21">
              <w:rPr>
                <w:rFonts w:ascii="AcadNusx" w:hAnsi="AcadNusx"/>
                <w:sz w:val="18"/>
                <w:szCs w:val="22"/>
              </w:rPr>
              <w:t xml:space="preserve"> #32</w:t>
            </w:r>
          </w:p>
        </w:tc>
        <w:tc>
          <w:tcPr>
            <w:tcW w:w="628" w:type="dxa"/>
          </w:tcPr>
          <w:p w14:paraId="45D4C7AF"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7.51</w:t>
            </w:r>
          </w:p>
        </w:tc>
        <w:tc>
          <w:tcPr>
            <w:tcW w:w="627" w:type="dxa"/>
          </w:tcPr>
          <w:p w14:paraId="0EFD56C6"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8.49</w:t>
            </w:r>
          </w:p>
        </w:tc>
        <w:tc>
          <w:tcPr>
            <w:tcW w:w="843" w:type="dxa"/>
          </w:tcPr>
          <w:p w14:paraId="27F6A75F"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0.0819</w:t>
            </w:r>
          </w:p>
        </w:tc>
        <w:tc>
          <w:tcPr>
            <w:tcW w:w="626" w:type="dxa"/>
          </w:tcPr>
          <w:p w14:paraId="3C7FBF41"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0.93</w:t>
            </w:r>
          </w:p>
        </w:tc>
        <w:tc>
          <w:tcPr>
            <w:tcW w:w="607" w:type="dxa"/>
          </w:tcPr>
          <w:p w14:paraId="0BD8EEFE"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1.13</w:t>
            </w:r>
          </w:p>
        </w:tc>
        <w:tc>
          <w:tcPr>
            <w:tcW w:w="613" w:type="dxa"/>
          </w:tcPr>
          <w:p w14:paraId="1C55399A"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0C8F8CAF"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1.00</w:t>
            </w:r>
          </w:p>
        </w:tc>
        <w:tc>
          <w:tcPr>
            <w:tcW w:w="625" w:type="dxa"/>
          </w:tcPr>
          <w:p w14:paraId="7A14D0D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14:paraId="0B9CBBF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62.9</w:t>
            </w:r>
          </w:p>
        </w:tc>
        <w:tc>
          <w:tcPr>
            <w:tcW w:w="797" w:type="dxa"/>
          </w:tcPr>
          <w:p w14:paraId="16E305DD"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52.4</w:t>
            </w:r>
          </w:p>
        </w:tc>
        <w:tc>
          <w:tcPr>
            <w:tcW w:w="797" w:type="dxa"/>
          </w:tcPr>
          <w:p w14:paraId="1E64A5A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40.3</w:t>
            </w:r>
          </w:p>
        </w:tc>
        <w:tc>
          <w:tcPr>
            <w:tcW w:w="797" w:type="dxa"/>
          </w:tcPr>
          <w:p w14:paraId="1634FF7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28.4</w:t>
            </w:r>
          </w:p>
        </w:tc>
        <w:tc>
          <w:tcPr>
            <w:tcW w:w="797" w:type="dxa"/>
          </w:tcPr>
          <w:p w14:paraId="0A3970B8"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21.9</w:t>
            </w:r>
          </w:p>
        </w:tc>
      </w:tr>
      <w:tr w:rsidR="00D34C21" w:rsidRPr="00D34C21" w14:paraId="294BD5C3" w14:textId="77777777" w:rsidTr="00D34C21">
        <w:tc>
          <w:tcPr>
            <w:tcW w:w="1440" w:type="dxa"/>
          </w:tcPr>
          <w:p w14:paraId="725A7449"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პატარახევი</w:t>
            </w:r>
            <w:r w:rsidRPr="00D34C21">
              <w:rPr>
                <w:rFonts w:ascii="AcadNusx" w:hAnsi="AcadNusx"/>
                <w:sz w:val="18"/>
                <w:szCs w:val="22"/>
              </w:rPr>
              <w:t xml:space="preserve"> #33</w:t>
            </w:r>
          </w:p>
        </w:tc>
        <w:tc>
          <w:tcPr>
            <w:tcW w:w="628" w:type="dxa"/>
          </w:tcPr>
          <w:p w14:paraId="132C08E3"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6.55</w:t>
            </w:r>
          </w:p>
        </w:tc>
        <w:tc>
          <w:tcPr>
            <w:tcW w:w="627" w:type="dxa"/>
          </w:tcPr>
          <w:p w14:paraId="1B5DA364"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6.67</w:t>
            </w:r>
          </w:p>
        </w:tc>
        <w:tc>
          <w:tcPr>
            <w:tcW w:w="843" w:type="dxa"/>
          </w:tcPr>
          <w:p w14:paraId="7251EC4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0.0854</w:t>
            </w:r>
          </w:p>
        </w:tc>
        <w:tc>
          <w:tcPr>
            <w:tcW w:w="626" w:type="dxa"/>
          </w:tcPr>
          <w:p w14:paraId="4BE21511"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0.94</w:t>
            </w:r>
          </w:p>
        </w:tc>
        <w:tc>
          <w:tcPr>
            <w:tcW w:w="607" w:type="dxa"/>
          </w:tcPr>
          <w:p w14:paraId="3B4F0CB6"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1.14</w:t>
            </w:r>
          </w:p>
        </w:tc>
        <w:tc>
          <w:tcPr>
            <w:tcW w:w="613" w:type="dxa"/>
          </w:tcPr>
          <w:p w14:paraId="62A76C4B"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4BF272B4"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1.00</w:t>
            </w:r>
          </w:p>
        </w:tc>
        <w:tc>
          <w:tcPr>
            <w:tcW w:w="625" w:type="dxa"/>
          </w:tcPr>
          <w:p w14:paraId="2F274E1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14:paraId="11EB950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61.6</w:t>
            </w:r>
          </w:p>
        </w:tc>
        <w:tc>
          <w:tcPr>
            <w:tcW w:w="797" w:type="dxa"/>
          </w:tcPr>
          <w:p w14:paraId="15C0409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51.3</w:t>
            </w:r>
          </w:p>
        </w:tc>
        <w:tc>
          <w:tcPr>
            <w:tcW w:w="797" w:type="dxa"/>
          </w:tcPr>
          <w:p w14:paraId="0B7B0361"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39.4</w:t>
            </w:r>
          </w:p>
        </w:tc>
        <w:tc>
          <w:tcPr>
            <w:tcW w:w="797" w:type="dxa"/>
          </w:tcPr>
          <w:p w14:paraId="093D52E5"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27.8</w:t>
            </w:r>
          </w:p>
        </w:tc>
        <w:tc>
          <w:tcPr>
            <w:tcW w:w="797" w:type="dxa"/>
          </w:tcPr>
          <w:p w14:paraId="10A1C69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21.4</w:t>
            </w:r>
          </w:p>
        </w:tc>
      </w:tr>
      <w:tr w:rsidR="00D34C21" w:rsidRPr="00D34C21" w14:paraId="3D799CAE" w14:textId="77777777" w:rsidTr="00D34C21">
        <w:tc>
          <w:tcPr>
            <w:tcW w:w="1440" w:type="dxa"/>
          </w:tcPr>
          <w:p w14:paraId="5D5463F1"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ფართობი</w:t>
            </w:r>
            <w:r w:rsidRPr="00D34C21">
              <w:rPr>
                <w:rFonts w:ascii="AcadNusx" w:hAnsi="AcadNusx"/>
                <w:sz w:val="18"/>
                <w:szCs w:val="22"/>
                <w:lang w:val="fr-FR"/>
              </w:rPr>
              <w:t xml:space="preserve"> 33</w:t>
            </w:r>
            <w:r w:rsidRPr="00D34C21">
              <w:rPr>
                <w:rFonts w:ascii="AcadNusx" w:hAnsi="AcadNusx"/>
                <w:sz w:val="18"/>
                <w:szCs w:val="22"/>
                <w:vertAlign w:val="superscript"/>
                <w:lang w:val="fr-FR"/>
              </w:rPr>
              <w:t>I</w:t>
            </w:r>
          </w:p>
        </w:tc>
        <w:tc>
          <w:tcPr>
            <w:tcW w:w="628" w:type="dxa"/>
          </w:tcPr>
          <w:p w14:paraId="098B070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0.11</w:t>
            </w:r>
          </w:p>
        </w:tc>
        <w:tc>
          <w:tcPr>
            <w:tcW w:w="627" w:type="dxa"/>
          </w:tcPr>
          <w:p w14:paraId="3599F974"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843" w:type="dxa"/>
          </w:tcPr>
          <w:p w14:paraId="6F03A36A"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6" w:type="dxa"/>
          </w:tcPr>
          <w:p w14:paraId="79A11643"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07" w:type="dxa"/>
          </w:tcPr>
          <w:p w14:paraId="33DFF2D0"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13" w:type="dxa"/>
          </w:tcPr>
          <w:p w14:paraId="3172F3C0"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0" w:type="dxa"/>
          </w:tcPr>
          <w:p w14:paraId="21FDCC97"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5" w:type="dxa"/>
          </w:tcPr>
          <w:p w14:paraId="209E8D68"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797" w:type="dxa"/>
          </w:tcPr>
          <w:p w14:paraId="7DA38C5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1.25</w:t>
            </w:r>
          </w:p>
        </w:tc>
        <w:tc>
          <w:tcPr>
            <w:tcW w:w="797" w:type="dxa"/>
          </w:tcPr>
          <w:p w14:paraId="064CFE31"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1.02</w:t>
            </w:r>
          </w:p>
        </w:tc>
        <w:tc>
          <w:tcPr>
            <w:tcW w:w="797" w:type="dxa"/>
          </w:tcPr>
          <w:p w14:paraId="52C06402"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0.78</w:t>
            </w:r>
          </w:p>
        </w:tc>
        <w:tc>
          <w:tcPr>
            <w:tcW w:w="797" w:type="dxa"/>
          </w:tcPr>
          <w:p w14:paraId="39C98222"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0.55</w:t>
            </w:r>
          </w:p>
        </w:tc>
        <w:tc>
          <w:tcPr>
            <w:tcW w:w="797" w:type="dxa"/>
          </w:tcPr>
          <w:p w14:paraId="0292314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0.43</w:t>
            </w:r>
          </w:p>
        </w:tc>
      </w:tr>
      <w:tr w:rsidR="00D34C21" w:rsidRPr="00D34C21" w14:paraId="6F37BF76" w14:textId="77777777" w:rsidTr="00D34C21">
        <w:tc>
          <w:tcPr>
            <w:tcW w:w="1440" w:type="dxa"/>
          </w:tcPr>
          <w:p w14:paraId="7D7C8CE9" w14:textId="77777777" w:rsidR="00D34C21" w:rsidRPr="00D34C21" w:rsidRDefault="00D34C21" w:rsidP="00D34C21">
            <w:pPr>
              <w:ind w:right="46"/>
              <w:rPr>
                <w:rFonts w:ascii="AcadNusx" w:hAnsi="AcadNusx"/>
                <w:sz w:val="18"/>
              </w:rPr>
            </w:pPr>
            <w:r w:rsidRPr="00D34C21">
              <w:rPr>
                <w:rFonts w:ascii="Sylfaen" w:hAnsi="Sylfaen"/>
                <w:sz w:val="18"/>
                <w:szCs w:val="22"/>
                <w:lang w:val="ka-GE"/>
              </w:rPr>
              <w:t xml:space="preserve">ხოდაშნისხევი </w:t>
            </w:r>
            <w:r w:rsidRPr="00D34C21">
              <w:rPr>
                <w:rFonts w:ascii="AcadNusx" w:hAnsi="AcadNusx"/>
                <w:sz w:val="18"/>
                <w:szCs w:val="22"/>
              </w:rPr>
              <w:t>#34</w:t>
            </w:r>
          </w:p>
        </w:tc>
        <w:tc>
          <w:tcPr>
            <w:tcW w:w="628" w:type="dxa"/>
          </w:tcPr>
          <w:p w14:paraId="2E36C55A"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2.26</w:t>
            </w:r>
          </w:p>
        </w:tc>
        <w:tc>
          <w:tcPr>
            <w:tcW w:w="627" w:type="dxa"/>
          </w:tcPr>
          <w:p w14:paraId="063DC72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3.52</w:t>
            </w:r>
          </w:p>
        </w:tc>
        <w:tc>
          <w:tcPr>
            <w:tcW w:w="843" w:type="dxa"/>
          </w:tcPr>
          <w:p w14:paraId="0B0E7C50"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0.0619</w:t>
            </w:r>
          </w:p>
        </w:tc>
        <w:tc>
          <w:tcPr>
            <w:tcW w:w="626" w:type="dxa"/>
          </w:tcPr>
          <w:p w14:paraId="45C3CBA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0.98</w:t>
            </w:r>
          </w:p>
        </w:tc>
        <w:tc>
          <w:tcPr>
            <w:tcW w:w="607" w:type="dxa"/>
          </w:tcPr>
          <w:p w14:paraId="036971AF"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1.17</w:t>
            </w:r>
          </w:p>
        </w:tc>
        <w:tc>
          <w:tcPr>
            <w:tcW w:w="613" w:type="dxa"/>
          </w:tcPr>
          <w:p w14:paraId="7F3B0523"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5.50</w:t>
            </w:r>
          </w:p>
        </w:tc>
        <w:tc>
          <w:tcPr>
            <w:tcW w:w="620" w:type="dxa"/>
          </w:tcPr>
          <w:p w14:paraId="16410342"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0.87</w:t>
            </w:r>
          </w:p>
        </w:tc>
        <w:tc>
          <w:tcPr>
            <w:tcW w:w="625" w:type="dxa"/>
          </w:tcPr>
          <w:p w14:paraId="5726B20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0.84</w:t>
            </w:r>
          </w:p>
        </w:tc>
        <w:tc>
          <w:tcPr>
            <w:tcW w:w="797" w:type="dxa"/>
          </w:tcPr>
          <w:p w14:paraId="0289639C"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24.8</w:t>
            </w:r>
          </w:p>
        </w:tc>
        <w:tc>
          <w:tcPr>
            <w:tcW w:w="797" w:type="dxa"/>
          </w:tcPr>
          <w:p w14:paraId="6BBF04B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20.7</w:t>
            </w:r>
          </w:p>
        </w:tc>
        <w:tc>
          <w:tcPr>
            <w:tcW w:w="797" w:type="dxa"/>
          </w:tcPr>
          <w:p w14:paraId="1A244D9B"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15.9</w:t>
            </w:r>
          </w:p>
        </w:tc>
        <w:tc>
          <w:tcPr>
            <w:tcW w:w="797" w:type="dxa"/>
          </w:tcPr>
          <w:p w14:paraId="7DC1E03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11.2</w:t>
            </w:r>
          </w:p>
        </w:tc>
        <w:tc>
          <w:tcPr>
            <w:tcW w:w="797" w:type="dxa"/>
          </w:tcPr>
          <w:p w14:paraId="11C28A1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8.64</w:t>
            </w:r>
          </w:p>
        </w:tc>
      </w:tr>
      <w:tr w:rsidR="00D34C21" w:rsidRPr="00D34C21" w14:paraId="76FB9FF7" w14:textId="77777777" w:rsidTr="00D34C21">
        <w:tc>
          <w:tcPr>
            <w:tcW w:w="1440" w:type="dxa"/>
          </w:tcPr>
          <w:p w14:paraId="48B8F36C"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ფართობი</w:t>
            </w:r>
            <w:r w:rsidRPr="00D34C21">
              <w:rPr>
                <w:rFonts w:ascii="AcadNusx" w:hAnsi="AcadNusx"/>
                <w:sz w:val="18"/>
                <w:szCs w:val="22"/>
                <w:lang w:val="fr-FR"/>
              </w:rPr>
              <w:t xml:space="preserve"> 34</w:t>
            </w:r>
            <w:r w:rsidRPr="00D34C21">
              <w:rPr>
                <w:rFonts w:ascii="AcadNusx" w:hAnsi="AcadNusx"/>
                <w:sz w:val="18"/>
                <w:szCs w:val="22"/>
                <w:vertAlign w:val="superscript"/>
                <w:lang w:val="fr-FR"/>
              </w:rPr>
              <w:t>I</w:t>
            </w:r>
          </w:p>
        </w:tc>
        <w:tc>
          <w:tcPr>
            <w:tcW w:w="628" w:type="dxa"/>
          </w:tcPr>
          <w:p w14:paraId="7A5F6340"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0.06</w:t>
            </w:r>
          </w:p>
        </w:tc>
        <w:tc>
          <w:tcPr>
            <w:tcW w:w="627" w:type="dxa"/>
          </w:tcPr>
          <w:p w14:paraId="386F9978"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843" w:type="dxa"/>
          </w:tcPr>
          <w:p w14:paraId="2C5F56F4"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6" w:type="dxa"/>
          </w:tcPr>
          <w:p w14:paraId="6097979E"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07" w:type="dxa"/>
          </w:tcPr>
          <w:p w14:paraId="32A08574"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13" w:type="dxa"/>
          </w:tcPr>
          <w:p w14:paraId="532C930C"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0" w:type="dxa"/>
          </w:tcPr>
          <w:p w14:paraId="70122061"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5" w:type="dxa"/>
          </w:tcPr>
          <w:p w14:paraId="02710E19"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797" w:type="dxa"/>
          </w:tcPr>
          <w:p w14:paraId="4636751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0.68</w:t>
            </w:r>
          </w:p>
        </w:tc>
        <w:tc>
          <w:tcPr>
            <w:tcW w:w="797" w:type="dxa"/>
          </w:tcPr>
          <w:p w14:paraId="3236494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0.56</w:t>
            </w:r>
          </w:p>
        </w:tc>
        <w:tc>
          <w:tcPr>
            <w:tcW w:w="797" w:type="dxa"/>
          </w:tcPr>
          <w:p w14:paraId="67A4E39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0.42</w:t>
            </w:r>
          </w:p>
        </w:tc>
        <w:tc>
          <w:tcPr>
            <w:tcW w:w="797" w:type="dxa"/>
          </w:tcPr>
          <w:p w14:paraId="3BBBA1F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0.30</w:t>
            </w:r>
          </w:p>
        </w:tc>
        <w:tc>
          <w:tcPr>
            <w:tcW w:w="797" w:type="dxa"/>
          </w:tcPr>
          <w:p w14:paraId="284194F1"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0.23</w:t>
            </w:r>
          </w:p>
        </w:tc>
      </w:tr>
      <w:tr w:rsidR="00D34C21" w:rsidRPr="00D34C21" w14:paraId="6CC2BE56" w14:textId="77777777" w:rsidTr="00D34C21">
        <w:tc>
          <w:tcPr>
            <w:tcW w:w="1440" w:type="dxa"/>
          </w:tcPr>
          <w:p w14:paraId="2E34AC56"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#35</w:t>
            </w:r>
          </w:p>
        </w:tc>
        <w:tc>
          <w:tcPr>
            <w:tcW w:w="628" w:type="dxa"/>
          </w:tcPr>
          <w:p w14:paraId="35C41E6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0.31</w:t>
            </w:r>
          </w:p>
        </w:tc>
        <w:tc>
          <w:tcPr>
            <w:tcW w:w="627" w:type="dxa"/>
          </w:tcPr>
          <w:p w14:paraId="3FCF5A5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0.80</w:t>
            </w:r>
          </w:p>
        </w:tc>
        <w:tc>
          <w:tcPr>
            <w:tcW w:w="843" w:type="dxa"/>
          </w:tcPr>
          <w:p w14:paraId="10C99E4A"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0.0488</w:t>
            </w:r>
          </w:p>
        </w:tc>
        <w:tc>
          <w:tcPr>
            <w:tcW w:w="626" w:type="dxa"/>
          </w:tcPr>
          <w:p w14:paraId="21CA38D4"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0.98</w:t>
            </w:r>
          </w:p>
        </w:tc>
        <w:tc>
          <w:tcPr>
            <w:tcW w:w="607" w:type="dxa"/>
          </w:tcPr>
          <w:p w14:paraId="65F2DC7A"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1.07</w:t>
            </w:r>
          </w:p>
        </w:tc>
        <w:tc>
          <w:tcPr>
            <w:tcW w:w="613" w:type="dxa"/>
          </w:tcPr>
          <w:p w14:paraId="31012EC1"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156B7450"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0.87</w:t>
            </w:r>
          </w:p>
        </w:tc>
        <w:tc>
          <w:tcPr>
            <w:tcW w:w="625" w:type="dxa"/>
          </w:tcPr>
          <w:p w14:paraId="5659DE81"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0.70</w:t>
            </w:r>
          </w:p>
        </w:tc>
        <w:tc>
          <w:tcPr>
            <w:tcW w:w="797" w:type="dxa"/>
          </w:tcPr>
          <w:p w14:paraId="50B9D29B"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5.35</w:t>
            </w:r>
          </w:p>
        </w:tc>
        <w:tc>
          <w:tcPr>
            <w:tcW w:w="797" w:type="dxa"/>
          </w:tcPr>
          <w:p w14:paraId="03D152B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4.46</w:t>
            </w:r>
          </w:p>
        </w:tc>
        <w:tc>
          <w:tcPr>
            <w:tcW w:w="797" w:type="dxa"/>
          </w:tcPr>
          <w:p w14:paraId="105DDD4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3.43</w:t>
            </w:r>
          </w:p>
        </w:tc>
        <w:tc>
          <w:tcPr>
            <w:tcW w:w="797" w:type="dxa"/>
          </w:tcPr>
          <w:p w14:paraId="7BFE3D6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2.42</w:t>
            </w:r>
          </w:p>
        </w:tc>
        <w:tc>
          <w:tcPr>
            <w:tcW w:w="797" w:type="dxa"/>
          </w:tcPr>
          <w:p w14:paraId="6387D351"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1.86</w:t>
            </w:r>
          </w:p>
        </w:tc>
      </w:tr>
      <w:tr w:rsidR="00D34C21" w:rsidRPr="00D34C21" w14:paraId="62BE0D4E" w14:textId="77777777" w:rsidTr="00D34C21">
        <w:tc>
          <w:tcPr>
            <w:tcW w:w="1440" w:type="dxa"/>
          </w:tcPr>
          <w:p w14:paraId="060CE960" w14:textId="77777777" w:rsidR="00D34C21" w:rsidRPr="00D34C21" w:rsidRDefault="00D34C21" w:rsidP="00D34C21">
            <w:pPr>
              <w:ind w:right="46"/>
              <w:rPr>
                <w:rFonts w:ascii="AcadNusx" w:hAnsi="AcadNusx"/>
                <w:sz w:val="18"/>
              </w:rPr>
            </w:pPr>
            <w:r w:rsidRPr="00D34C21">
              <w:rPr>
                <w:rFonts w:ascii="Sylfaen" w:hAnsi="Sylfaen"/>
                <w:sz w:val="18"/>
                <w:szCs w:val="22"/>
                <w:lang w:val="ka-GE"/>
              </w:rPr>
              <w:t xml:space="preserve">დოლიაურისხევი </w:t>
            </w:r>
            <w:r w:rsidRPr="00D34C21">
              <w:rPr>
                <w:rFonts w:ascii="AcadNusx" w:hAnsi="AcadNusx"/>
                <w:sz w:val="18"/>
                <w:szCs w:val="22"/>
              </w:rPr>
              <w:t>36</w:t>
            </w:r>
          </w:p>
        </w:tc>
        <w:tc>
          <w:tcPr>
            <w:tcW w:w="628" w:type="dxa"/>
          </w:tcPr>
          <w:p w14:paraId="3861AC5E"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8.86</w:t>
            </w:r>
          </w:p>
        </w:tc>
        <w:tc>
          <w:tcPr>
            <w:tcW w:w="627" w:type="dxa"/>
          </w:tcPr>
          <w:p w14:paraId="161E573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7.60</w:t>
            </w:r>
          </w:p>
        </w:tc>
        <w:tc>
          <w:tcPr>
            <w:tcW w:w="843" w:type="dxa"/>
          </w:tcPr>
          <w:p w14:paraId="25055E6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0.0758</w:t>
            </w:r>
          </w:p>
        </w:tc>
        <w:tc>
          <w:tcPr>
            <w:tcW w:w="626" w:type="dxa"/>
          </w:tcPr>
          <w:p w14:paraId="5A038BCE"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0.93</w:t>
            </w:r>
          </w:p>
        </w:tc>
        <w:tc>
          <w:tcPr>
            <w:tcW w:w="607" w:type="dxa"/>
          </w:tcPr>
          <w:p w14:paraId="55173760"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1.14</w:t>
            </w:r>
          </w:p>
        </w:tc>
        <w:tc>
          <w:tcPr>
            <w:tcW w:w="613" w:type="dxa"/>
          </w:tcPr>
          <w:p w14:paraId="76B43A09"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7B235524"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1.00</w:t>
            </w:r>
          </w:p>
        </w:tc>
        <w:tc>
          <w:tcPr>
            <w:tcW w:w="625" w:type="dxa"/>
          </w:tcPr>
          <w:p w14:paraId="1586393F"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14:paraId="594EE068"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71.8</w:t>
            </w:r>
          </w:p>
        </w:tc>
        <w:tc>
          <w:tcPr>
            <w:tcW w:w="797" w:type="dxa"/>
          </w:tcPr>
          <w:p w14:paraId="4203CA4D"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59.8</w:t>
            </w:r>
          </w:p>
        </w:tc>
        <w:tc>
          <w:tcPr>
            <w:tcW w:w="797" w:type="dxa"/>
          </w:tcPr>
          <w:p w14:paraId="2674C19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46.0</w:t>
            </w:r>
          </w:p>
        </w:tc>
        <w:tc>
          <w:tcPr>
            <w:tcW w:w="797" w:type="dxa"/>
          </w:tcPr>
          <w:p w14:paraId="6834957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32.4</w:t>
            </w:r>
          </w:p>
        </w:tc>
        <w:tc>
          <w:tcPr>
            <w:tcW w:w="797" w:type="dxa"/>
          </w:tcPr>
          <w:p w14:paraId="4457434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25.0</w:t>
            </w:r>
          </w:p>
        </w:tc>
      </w:tr>
      <w:tr w:rsidR="00D34C21" w:rsidRPr="00D34C21" w14:paraId="3E154765" w14:textId="77777777" w:rsidTr="00D34C21">
        <w:tc>
          <w:tcPr>
            <w:tcW w:w="1440" w:type="dxa"/>
          </w:tcPr>
          <w:p w14:paraId="301160D9"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#37</w:t>
            </w:r>
          </w:p>
        </w:tc>
        <w:tc>
          <w:tcPr>
            <w:tcW w:w="628" w:type="dxa"/>
          </w:tcPr>
          <w:p w14:paraId="25BD33CF"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0.38</w:t>
            </w:r>
          </w:p>
        </w:tc>
        <w:tc>
          <w:tcPr>
            <w:tcW w:w="627" w:type="dxa"/>
          </w:tcPr>
          <w:p w14:paraId="667950E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0.90</w:t>
            </w:r>
          </w:p>
        </w:tc>
        <w:tc>
          <w:tcPr>
            <w:tcW w:w="843" w:type="dxa"/>
          </w:tcPr>
          <w:p w14:paraId="5721C3C6"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0.0444</w:t>
            </w:r>
          </w:p>
        </w:tc>
        <w:tc>
          <w:tcPr>
            <w:tcW w:w="626" w:type="dxa"/>
          </w:tcPr>
          <w:p w14:paraId="4560678F"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0.98</w:t>
            </w:r>
          </w:p>
        </w:tc>
        <w:tc>
          <w:tcPr>
            <w:tcW w:w="607" w:type="dxa"/>
          </w:tcPr>
          <w:p w14:paraId="1E71B09E"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1.10</w:t>
            </w:r>
          </w:p>
        </w:tc>
        <w:tc>
          <w:tcPr>
            <w:tcW w:w="613" w:type="dxa"/>
          </w:tcPr>
          <w:p w14:paraId="0A9164CF"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06D510A6"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0.87</w:t>
            </w:r>
          </w:p>
        </w:tc>
        <w:tc>
          <w:tcPr>
            <w:tcW w:w="625" w:type="dxa"/>
          </w:tcPr>
          <w:p w14:paraId="36EC73A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0.70</w:t>
            </w:r>
          </w:p>
        </w:tc>
        <w:tc>
          <w:tcPr>
            <w:tcW w:w="797" w:type="dxa"/>
          </w:tcPr>
          <w:p w14:paraId="281E25E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6.22</w:t>
            </w:r>
          </w:p>
        </w:tc>
        <w:tc>
          <w:tcPr>
            <w:tcW w:w="797" w:type="dxa"/>
          </w:tcPr>
          <w:p w14:paraId="27A13DB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5.18</w:t>
            </w:r>
          </w:p>
        </w:tc>
        <w:tc>
          <w:tcPr>
            <w:tcW w:w="797" w:type="dxa"/>
          </w:tcPr>
          <w:p w14:paraId="6FC9D97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3.98</w:t>
            </w:r>
          </w:p>
        </w:tc>
        <w:tc>
          <w:tcPr>
            <w:tcW w:w="797" w:type="dxa"/>
          </w:tcPr>
          <w:p w14:paraId="2DA99735"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2.81</w:t>
            </w:r>
          </w:p>
        </w:tc>
        <w:tc>
          <w:tcPr>
            <w:tcW w:w="797" w:type="dxa"/>
          </w:tcPr>
          <w:p w14:paraId="5E1A9D6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2.16</w:t>
            </w:r>
          </w:p>
        </w:tc>
      </w:tr>
      <w:tr w:rsidR="00D34C21" w:rsidRPr="00D34C21" w14:paraId="37489867" w14:textId="77777777" w:rsidTr="00D34C21">
        <w:tc>
          <w:tcPr>
            <w:tcW w:w="1440" w:type="dxa"/>
          </w:tcPr>
          <w:p w14:paraId="5160B266"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კისისხევი</w:t>
            </w:r>
            <w:r w:rsidRPr="00D34C21">
              <w:rPr>
                <w:rFonts w:ascii="AcadNusx" w:hAnsi="AcadNusx"/>
                <w:sz w:val="18"/>
                <w:szCs w:val="22"/>
              </w:rPr>
              <w:t xml:space="preserve"> #38</w:t>
            </w:r>
          </w:p>
        </w:tc>
        <w:tc>
          <w:tcPr>
            <w:tcW w:w="628" w:type="dxa"/>
          </w:tcPr>
          <w:p w14:paraId="05A8E28D"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106</w:t>
            </w:r>
          </w:p>
        </w:tc>
        <w:tc>
          <w:tcPr>
            <w:tcW w:w="627" w:type="dxa"/>
          </w:tcPr>
          <w:p w14:paraId="3B07F97D"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27.8</w:t>
            </w:r>
          </w:p>
        </w:tc>
        <w:tc>
          <w:tcPr>
            <w:tcW w:w="843" w:type="dxa"/>
          </w:tcPr>
          <w:p w14:paraId="3BFB0814"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0.0483</w:t>
            </w:r>
          </w:p>
        </w:tc>
        <w:tc>
          <w:tcPr>
            <w:tcW w:w="626" w:type="dxa"/>
          </w:tcPr>
          <w:p w14:paraId="2871AEAD"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0.84</w:t>
            </w:r>
          </w:p>
        </w:tc>
        <w:tc>
          <w:tcPr>
            <w:tcW w:w="607" w:type="dxa"/>
          </w:tcPr>
          <w:p w14:paraId="2C46DA4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1.20</w:t>
            </w:r>
          </w:p>
        </w:tc>
        <w:tc>
          <w:tcPr>
            <w:tcW w:w="613" w:type="dxa"/>
          </w:tcPr>
          <w:p w14:paraId="353158F9"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412F073F"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1.00</w:t>
            </w:r>
          </w:p>
        </w:tc>
        <w:tc>
          <w:tcPr>
            <w:tcW w:w="625" w:type="dxa"/>
          </w:tcPr>
          <w:p w14:paraId="4435DDF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14:paraId="6191440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242</w:t>
            </w:r>
          </w:p>
        </w:tc>
        <w:tc>
          <w:tcPr>
            <w:tcW w:w="797" w:type="dxa"/>
          </w:tcPr>
          <w:p w14:paraId="1CEB2DE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202</w:t>
            </w:r>
          </w:p>
        </w:tc>
        <w:tc>
          <w:tcPr>
            <w:tcW w:w="797" w:type="dxa"/>
          </w:tcPr>
          <w:p w14:paraId="054C2E8B"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155</w:t>
            </w:r>
          </w:p>
        </w:tc>
        <w:tc>
          <w:tcPr>
            <w:tcW w:w="797" w:type="dxa"/>
          </w:tcPr>
          <w:p w14:paraId="56A22C2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110</w:t>
            </w:r>
          </w:p>
        </w:tc>
        <w:tc>
          <w:tcPr>
            <w:tcW w:w="797" w:type="dxa"/>
          </w:tcPr>
          <w:p w14:paraId="268429E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84.3</w:t>
            </w:r>
          </w:p>
        </w:tc>
      </w:tr>
      <w:tr w:rsidR="00D34C21" w:rsidRPr="00D34C21" w14:paraId="7FDD91DA" w14:textId="77777777" w:rsidTr="00D34C21">
        <w:tc>
          <w:tcPr>
            <w:tcW w:w="1440" w:type="dxa"/>
          </w:tcPr>
          <w:p w14:paraId="770B6934"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#39</w:t>
            </w:r>
          </w:p>
        </w:tc>
        <w:tc>
          <w:tcPr>
            <w:tcW w:w="628" w:type="dxa"/>
          </w:tcPr>
          <w:p w14:paraId="0BCFDC2A"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0.44</w:t>
            </w:r>
          </w:p>
        </w:tc>
        <w:tc>
          <w:tcPr>
            <w:tcW w:w="627" w:type="dxa"/>
          </w:tcPr>
          <w:p w14:paraId="403DFCDE"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1.02</w:t>
            </w:r>
          </w:p>
        </w:tc>
        <w:tc>
          <w:tcPr>
            <w:tcW w:w="843" w:type="dxa"/>
          </w:tcPr>
          <w:p w14:paraId="251AA0A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0.0402</w:t>
            </w:r>
          </w:p>
        </w:tc>
        <w:tc>
          <w:tcPr>
            <w:tcW w:w="626" w:type="dxa"/>
          </w:tcPr>
          <w:p w14:paraId="0992C00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0.99</w:t>
            </w:r>
          </w:p>
        </w:tc>
        <w:tc>
          <w:tcPr>
            <w:tcW w:w="607" w:type="dxa"/>
          </w:tcPr>
          <w:p w14:paraId="5DDD825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1.08</w:t>
            </w:r>
          </w:p>
        </w:tc>
        <w:tc>
          <w:tcPr>
            <w:tcW w:w="613" w:type="dxa"/>
          </w:tcPr>
          <w:p w14:paraId="15DE2D7B"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0783946A"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5DE159F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0.70</w:t>
            </w:r>
          </w:p>
        </w:tc>
        <w:tc>
          <w:tcPr>
            <w:tcW w:w="797" w:type="dxa"/>
          </w:tcPr>
          <w:p w14:paraId="2945EA38"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6.70</w:t>
            </w:r>
          </w:p>
        </w:tc>
        <w:tc>
          <w:tcPr>
            <w:tcW w:w="797" w:type="dxa"/>
          </w:tcPr>
          <w:p w14:paraId="7A373FBB"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5.58</w:t>
            </w:r>
          </w:p>
        </w:tc>
        <w:tc>
          <w:tcPr>
            <w:tcW w:w="797" w:type="dxa"/>
          </w:tcPr>
          <w:p w14:paraId="3494DD8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4.29</w:t>
            </w:r>
          </w:p>
        </w:tc>
        <w:tc>
          <w:tcPr>
            <w:tcW w:w="797" w:type="dxa"/>
          </w:tcPr>
          <w:p w14:paraId="4E03296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3.03</w:t>
            </w:r>
          </w:p>
        </w:tc>
        <w:tc>
          <w:tcPr>
            <w:tcW w:w="797" w:type="dxa"/>
          </w:tcPr>
          <w:p w14:paraId="6A59534D"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2.33</w:t>
            </w:r>
          </w:p>
        </w:tc>
      </w:tr>
      <w:tr w:rsidR="00D34C21" w:rsidRPr="00D34C21" w14:paraId="286B13E4" w14:textId="77777777" w:rsidTr="00D34C21">
        <w:tc>
          <w:tcPr>
            <w:tcW w:w="1440" w:type="dxa"/>
          </w:tcPr>
          <w:p w14:paraId="72315313"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#40</w:t>
            </w:r>
          </w:p>
        </w:tc>
        <w:tc>
          <w:tcPr>
            <w:tcW w:w="628" w:type="dxa"/>
          </w:tcPr>
          <w:p w14:paraId="694CFBE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0.76</w:t>
            </w:r>
          </w:p>
        </w:tc>
        <w:tc>
          <w:tcPr>
            <w:tcW w:w="627" w:type="dxa"/>
          </w:tcPr>
          <w:p w14:paraId="4968E4C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1.40</w:t>
            </w:r>
          </w:p>
        </w:tc>
        <w:tc>
          <w:tcPr>
            <w:tcW w:w="843" w:type="dxa"/>
          </w:tcPr>
          <w:p w14:paraId="581E4711"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0.0264</w:t>
            </w:r>
          </w:p>
        </w:tc>
        <w:tc>
          <w:tcPr>
            <w:tcW w:w="626" w:type="dxa"/>
          </w:tcPr>
          <w:p w14:paraId="1C9932AA"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0.98</w:t>
            </w:r>
          </w:p>
        </w:tc>
        <w:tc>
          <w:tcPr>
            <w:tcW w:w="607" w:type="dxa"/>
          </w:tcPr>
          <w:p w14:paraId="3C39754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1.05</w:t>
            </w:r>
          </w:p>
        </w:tc>
        <w:tc>
          <w:tcPr>
            <w:tcW w:w="613" w:type="dxa"/>
          </w:tcPr>
          <w:p w14:paraId="0355169D"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72513523"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30707116"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0.70</w:t>
            </w:r>
          </w:p>
        </w:tc>
        <w:tc>
          <w:tcPr>
            <w:tcW w:w="797" w:type="dxa"/>
          </w:tcPr>
          <w:p w14:paraId="64AF1CA7"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8.66</w:t>
            </w:r>
          </w:p>
        </w:tc>
        <w:tc>
          <w:tcPr>
            <w:tcW w:w="797" w:type="dxa"/>
          </w:tcPr>
          <w:p w14:paraId="2CEB0D55"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7.22</w:t>
            </w:r>
          </w:p>
        </w:tc>
        <w:tc>
          <w:tcPr>
            <w:tcW w:w="797" w:type="dxa"/>
          </w:tcPr>
          <w:p w14:paraId="506B477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5.55</w:t>
            </w:r>
          </w:p>
        </w:tc>
        <w:tc>
          <w:tcPr>
            <w:tcW w:w="797" w:type="dxa"/>
          </w:tcPr>
          <w:p w14:paraId="3EA1E5B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3.92</w:t>
            </w:r>
          </w:p>
        </w:tc>
        <w:tc>
          <w:tcPr>
            <w:tcW w:w="797" w:type="dxa"/>
          </w:tcPr>
          <w:p w14:paraId="63F77C5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3.01</w:t>
            </w:r>
          </w:p>
        </w:tc>
      </w:tr>
      <w:tr w:rsidR="00D34C21" w:rsidRPr="00D34C21" w14:paraId="61AEC80A" w14:textId="77777777" w:rsidTr="00D34C21">
        <w:tc>
          <w:tcPr>
            <w:tcW w:w="1440" w:type="dxa"/>
          </w:tcPr>
          <w:p w14:paraId="2EE6E154" w14:textId="77777777" w:rsidR="00D34C21" w:rsidRPr="00D34C21" w:rsidRDefault="00D34C21" w:rsidP="00D34C21">
            <w:pPr>
              <w:ind w:right="46"/>
              <w:rPr>
                <w:rFonts w:ascii="AcadNusx" w:hAnsi="AcadNusx"/>
                <w:sz w:val="18"/>
              </w:rPr>
            </w:pPr>
            <w:r w:rsidRPr="00D34C21">
              <w:rPr>
                <w:rFonts w:ascii="Sylfaen" w:hAnsi="Sylfaen"/>
                <w:sz w:val="18"/>
                <w:szCs w:val="22"/>
                <w:lang w:val="ka-GE"/>
              </w:rPr>
              <w:t xml:space="preserve">შაქარაანთხევი </w:t>
            </w:r>
            <w:r w:rsidRPr="00D34C21">
              <w:rPr>
                <w:rFonts w:ascii="AcadNusx" w:hAnsi="AcadNusx"/>
                <w:sz w:val="18"/>
                <w:szCs w:val="22"/>
              </w:rPr>
              <w:t>#41</w:t>
            </w:r>
          </w:p>
        </w:tc>
        <w:tc>
          <w:tcPr>
            <w:tcW w:w="628" w:type="dxa"/>
          </w:tcPr>
          <w:p w14:paraId="6A5F22A3"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1.58</w:t>
            </w:r>
          </w:p>
        </w:tc>
        <w:tc>
          <w:tcPr>
            <w:tcW w:w="627" w:type="dxa"/>
          </w:tcPr>
          <w:p w14:paraId="5EC0C039"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2.90</w:t>
            </w:r>
          </w:p>
        </w:tc>
        <w:tc>
          <w:tcPr>
            <w:tcW w:w="843" w:type="dxa"/>
          </w:tcPr>
          <w:p w14:paraId="239B31F6"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0.0331</w:t>
            </w:r>
          </w:p>
        </w:tc>
        <w:tc>
          <w:tcPr>
            <w:tcW w:w="626" w:type="dxa"/>
          </w:tcPr>
          <w:p w14:paraId="13D86963"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0.98</w:t>
            </w:r>
          </w:p>
        </w:tc>
        <w:tc>
          <w:tcPr>
            <w:tcW w:w="607" w:type="dxa"/>
          </w:tcPr>
          <w:p w14:paraId="704FA539"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1.05</w:t>
            </w:r>
          </w:p>
        </w:tc>
        <w:tc>
          <w:tcPr>
            <w:tcW w:w="613" w:type="dxa"/>
          </w:tcPr>
          <w:p w14:paraId="3A8266A1"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37A8101F"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457F42BD"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0.81</w:t>
            </w:r>
          </w:p>
        </w:tc>
        <w:tc>
          <w:tcPr>
            <w:tcW w:w="797" w:type="dxa"/>
          </w:tcPr>
          <w:p w14:paraId="3E301F75"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16.0</w:t>
            </w:r>
          </w:p>
        </w:tc>
        <w:tc>
          <w:tcPr>
            <w:tcW w:w="797" w:type="dxa"/>
          </w:tcPr>
          <w:p w14:paraId="57339A5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13.3</w:t>
            </w:r>
          </w:p>
        </w:tc>
        <w:tc>
          <w:tcPr>
            <w:tcW w:w="797" w:type="dxa"/>
          </w:tcPr>
          <w:p w14:paraId="71B465A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10.2</w:t>
            </w:r>
          </w:p>
        </w:tc>
        <w:tc>
          <w:tcPr>
            <w:tcW w:w="797" w:type="dxa"/>
          </w:tcPr>
          <w:p w14:paraId="30AC890B"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7.22</w:t>
            </w:r>
          </w:p>
        </w:tc>
        <w:tc>
          <w:tcPr>
            <w:tcW w:w="797" w:type="dxa"/>
          </w:tcPr>
          <w:p w14:paraId="661228A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5.55</w:t>
            </w:r>
          </w:p>
        </w:tc>
      </w:tr>
      <w:tr w:rsidR="00D34C21" w:rsidRPr="00D34C21" w14:paraId="74AC6EBC" w14:textId="77777777" w:rsidTr="00D34C21">
        <w:tc>
          <w:tcPr>
            <w:tcW w:w="1440" w:type="dxa"/>
          </w:tcPr>
          <w:p w14:paraId="093D1003"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#42</w:t>
            </w:r>
          </w:p>
        </w:tc>
        <w:tc>
          <w:tcPr>
            <w:tcW w:w="628" w:type="dxa"/>
          </w:tcPr>
          <w:p w14:paraId="069BF78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0.71</w:t>
            </w:r>
          </w:p>
        </w:tc>
        <w:tc>
          <w:tcPr>
            <w:tcW w:w="627" w:type="dxa"/>
          </w:tcPr>
          <w:p w14:paraId="287448A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1.38</w:t>
            </w:r>
          </w:p>
        </w:tc>
        <w:tc>
          <w:tcPr>
            <w:tcW w:w="843" w:type="dxa"/>
          </w:tcPr>
          <w:p w14:paraId="1014924E"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0.0427</w:t>
            </w:r>
          </w:p>
        </w:tc>
        <w:tc>
          <w:tcPr>
            <w:tcW w:w="626" w:type="dxa"/>
          </w:tcPr>
          <w:p w14:paraId="003D6713"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0.98</w:t>
            </w:r>
          </w:p>
        </w:tc>
        <w:tc>
          <w:tcPr>
            <w:tcW w:w="607" w:type="dxa"/>
          </w:tcPr>
          <w:p w14:paraId="4EA7E1E0"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1.00</w:t>
            </w:r>
          </w:p>
        </w:tc>
        <w:tc>
          <w:tcPr>
            <w:tcW w:w="613" w:type="dxa"/>
          </w:tcPr>
          <w:p w14:paraId="19911B08"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6EC6BCCC"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5945D57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0.70</w:t>
            </w:r>
          </w:p>
        </w:tc>
        <w:tc>
          <w:tcPr>
            <w:tcW w:w="797" w:type="dxa"/>
          </w:tcPr>
          <w:p w14:paraId="671B4411"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8.39</w:t>
            </w:r>
          </w:p>
        </w:tc>
        <w:tc>
          <w:tcPr>
            <w:tcW w:w="797" w:type="dxa"/>
          </w:tcPr>
          <w:p w14:paraId="1C0F3A7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6.99</w:t>
            </w:r>
          </w:p>
        </w:tc>
        <w:tc>
          <w:tcPr>
            <w:tcW w:w="797" w:type="dxa"/>
          </w:tcPr>
          <w:p w14:paraId="0F428521"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5.37</w:t>
            </w:r>
          </w:p>
        </w:tc>
        <w:tc>
          <w:tcPr>
            <w:tcW w:w="797" w:type="dxa"/>
          </w:tcPr>
          <w:p w14:paraId="05FA08AD"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3.79</w:t>
            </w:r>
          </w:p>
        </w:tc>
        <w:tc>
          <w:tcPr>
            <w:tcW w:w="797" w:type="dxa"/>
          </w:tcPr>
          <w:p w14:paraId="642B857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2.92</w:t>
            </w:r>
          </w:p>
        </w:tc>
      </w:tr>
      <w:tr w:rsidR="00D34C21" w:rsidRPr="00D34C21" w14:paraId="5AD80A42" w14:textId="77777777" w:rsidTr="00D34C21">
        <w:tc>
          <w:tcPr>
            <w:tcW w:w="1440" w:type="dxa"/>
          </w:tcPr>
          <w:p w14:paraId="16212533"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ფართობი</w:t>
            </w:r>
            <w:r w:rsidRPr="00D34C21">
              <w:rPr>
                <w:rFonts w:ascii="AcadNusx" w:hAnsi="AcadNusx"/>
                <w:sz w:val="18"/>
                <w:szCs w:val="22"/>
                <w:lang w:val="fr-FR"/>
              </w:rPr>
              <w:t xml:space="preserve"> 42</w:t>
            </w:r>
            <w:r w:rsidRPr="00D34C21">
              <w:rPr>
                <w:rFonts w:ascii="AcadNusx" w:hAnsi="AcadNusx"/>
                <w:sz w:val="18"/>
                <w:szCs w:val="22"/>
                <w:vertAlign w:val="superscript"/>
                <w:lang w:val="fr-FR"/>
              </w:rPr>
              <w:t>I</w:t>
            </w:r>
          </w:p>
        </w:tc>
        <w:tc>
          <w:tcPr>
            <w:tcW w:w="628" w:type="dxa"/>
          </w:tcPr>
          <w:p w14:paraId="109CD59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0.15</w:t>
            </w:r>
          </w:p>
        </w:tc>
        <w:tc>
          <w:tcPr>
            <w:tcW w:w="627" w:type="dxa"/>
          </w:tcPr>
          <w:p w14:paraId="6BBAE74E"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843" w:type="dxa"/>
          </w:tcPr>
          <w:p w14:paraId="7C489949"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6" w:type="dxa"/>
          </w:tcPr>
          <w:p w14:paraId="082D92C3"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07" w:type="dxa"/>
          </w:tcPr>
          <w:p w14:paraId="57640573"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13" w:type="dxa"/>
          </w:tcPr>
          <w:p w14:paraId="3331F8FA"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0" w:type="dxa"/>
          </w:tcPr>
          <w:p w14:paraId="1F294D63"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5" w:type="dxa"/>
          </w:tcPr>
          <w:p w14:paraId="0E8A9C25"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797" w:type="dxa"/>
          </w:tcPr>
          <w:p w14:paraId="7694EE5C"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1.70</w:t>
            </w:r>
          </w:p>
        </w:tc>
        <w:tc>
          <w:tcPr>
            <w:tcW w:w="797" w:type="dxa"/>
          </w:tcPr>
          <w:p w14:paraId="4A894518"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1.39</w:t>
            </w:r>
          </w:p>
        </w:tc>
        <w:tc>
          <w:tcPr>
            <w:tcW w:w="797" w:type="dxa"/>
          </w:tcPr>
          <w:p w14:paraId="0F2C855C"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1.06</w:t>
            </w:r>
          </w:p>
        </w:tc>
        <w:tc>
          <w:tcPr>
            <w:tcW w:w="797" w:type="dxa"/>
          </w:tcPr>
          <w:p w14:paraId="3A04D385"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0.75</w:t>
            </w:r>
          </w:p>
        </w:tc>
        <w:tc>
          <w:tcPr>
            <w:tcW w:w="797" w:type="dxa"/>
          </w:tcPr>
          <w:p w14:paraId="6633588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0.59</w:t>
            </w:r>
          </w:p>
        </w:tc>
      </w:tr>
      <w:tr w:rsidR="00D34C21" w:rsidRPr="00D34C21" w14:paraId="644970C2" w14:textId="77777777" w:rsidTr="00D34C21">
        <w:tc>
          <w:tcPr>
            <w:tcW w:w="1440" w:type="dxa"/>
          </w:tcPr>
          <w:p w14:paraId="2D0E704D" w14:textId="77777777" w:rsidR="00D34C21" w:rsidRPr="00D34C21" w:rsidRDefault="00D34C21" w:rsidP="00D34C21">
            <w:pPr>
              <w:ind w:right="46"/>
              <w:rPr>
                <w:rFonts w:ascii="AcadNusx" w:hAnsi="AcadNusx"/>
                <w:sz w:val="18"/>
                <w:lang w:val="fr-FR"/>
              </w:rPr>
            </w:pPr>
            <w:r w:rsidRPr="00D34C21">
              <w:rPr>
                <w:rFonts w:ascii="Sylfaen" w:hAnsi="Sylfaen"/>
                <w:sz w:val="18"/>
                <w:szCs w:val="22"/>
                <w:lang w:val="ka-GE"/>
              </w:rPr>
              <w:t>ხევი</w:t>
            </w:r>
            <w:r w:rsidRPr="00D34C21">
              <w:rPr>
                <w:rFonts w:ascii="AcadNusx" w:hAnsi="AcadNusx"/>
                <w:sz w:val="18"/>
                <w:szCs w:val="22"/>
                <w:lang w:val="fr-FR"/>
              </w:rPr>
              <w:t xml:space="preserve"> #43</w:t>
            </w:r>
          </w:p>
        </w:tc>
        <w:tc>
          <w:tcPr>
            <w:tcW w:w="628" w:type="dxa"/>
          </w:tcPr>
          <w:p w14:paraId="1DF70A26"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2.67</w:t>
            </w:r>
          </w:p>
        </w:tc>
        <w:tc>
          <w:tcPr>
            <w:tcW w:w="627" w:type="dxa"/>
          </w:tcPr>
          <w:p w14:paraId="294D14E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5.11</w:t>
            </w:r>
          </w:p>
        </w:tc>
        <w:tc>
          <w:tcPr>
            <w:tcW w:w="843" w:type="dxa"/>
          </w:tcPr>
          <w:p w14:paraId="0D284F4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0.0697</w:t>
            </w:r>
          </w:p>
        </w:tc>
        <w:tc>
          <w:tcPr>
            <w:tcW w:w="626" w:type="dxa"/>
          </w:tcPr>
          <w:p w14:paraId="5E76B481"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0.96</w:t>
            </w:r>
          </w:p>
        </w:tc>
        <w:tc>
          <w:tcPr>
            <w:tcW w:w="607" w:type="dxa"/>
          </w:tcPr>
          <w:p w14:paraId="0AF7A4EA"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1.15</w:t>
            </w:r>
          </w:p>
        </w:tc>
        <w:tc>
          <w:tcPr>
            <w:tcW w:w="613" w:type="dxa"/>
          </w:tcPr>
          <w:p w14:paraId="597E55A3"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5EA823A2"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736BDA63"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0.85</w:t>
            </w:r>
          </w:p>
        </w:tc>
        <w:tc>
          <w:tcPr>
            <w:tcW w:w="797" w:type="dxa"/>
          </w:tcPr>
          <w:p w14:paraId="0BA5EE52"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26.2</w:t>
            </w:r>
          </w:p>
        </w:tc>
        <w:tc>
          <w:tcPr>
            <w:tcW w:w="797" w:type="dxa"/>
          </w:tcPr>
          <w:p w14:paraId="77B4780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21.8</w:t>
            </w:r>
          </w:p>
        </w:tc>
        <w:tc>
          <w:tcPr>
            <w:tcW w:w="797" w:type="dxa"/>
          </w:tcPr>
          <w:p w14:paraId="616EC11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16.8</w:t>
            </w:r>
          </w:p>
        </w:tc>
        <w:tc>
          <w:tcPr>
            <w:tcW w:w="797" w:type="dxa"/>
          </w:tcPr>
          <w:p w14:paraId="70F2BA6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11.8</w:t>
            </w:r>
          </w:p>
        </w:tc>
        <w:tc>
          <w:tcPr>
            <w:tcW w:w="797" w:type="dxa"/>
          </w:tcPr>
          <w:p w14:paraId="2AE668A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9.10</w:t>
            </w:r>
          </w:p>
        </w:tc>
      </w:tr>
      <w:tr w:rsidR="00D34C21" w:rsidRPr="00D34C21" w14:paraId="0B6ABF96" w14:textId="77777777" w:rsidTr="00D34C21">
        <w:tc>
          <w:tcPr>
            <w:tcW w:w="1440" w:type="dxa"/>
          </w:tcPr>
          <w:p w14:paraId="7077B51D"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ჭუნიასხევი</w:t>
            </w:r>
            <w:r w:rsidRPr="00D34C21">
              <w:rPr>
                <w:rFonts w:ascii="AcadNusx" w:hAnsi="AcadNusx"/>
                <w:sz w:val="18"/>
                <w:szCs w:val="22"/>
              </w:rPr>
              <w:t xml:space="preserve"> #44</w:t>
            </w:r>
          </w:p>
        </w:tc>
        <w:tc>
          <w:tcPr>
            <w:tcW w:w="628" w:type="dxa"/>
          </w:tcPr>
          <w:p w14:paraId="3B6C164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3.08</w:t>
            </w:r>
          </w:p>
        </w:tc>
        <w:tc>
          <w:tcPr>
            <w:tcW w:w="627" w:type="dxa"/>
          </w:tcPr>
          <w:p w14:paraId="3C9FFF5B" w14:textId="77777777" w:rsidR="00D34C21" w:rsidRPr="00D34C21" w:rsidRDefault="00D34C21" w:rsidP="00D34C21">
            <w:pPr>
              <w:ind w:right="46"/>
              <w:rPr>
                <w:rFonts w:ascii="AcadNusx" w:hAnsi="AcadNusx"/>
                <w:sz w:val="18"/>
              </w:rPr>
            </w:pPr>
            <w:r w:rsidRPr="00D34C21">
              <w:rPr>
                <w:rFonts w:ascii="AcadNusx" w:hAnsi="AcadNusx"/>
                <w:sz w:val="18"/>
                <w:szCs w:val="22"/>
              </w:rPr>
              <w:t>4.66</w:t>
            </w:r>
          </w:p>
        </w:tc>
        <w:tc>
          <w:tcPr>
            <w:tcW w:w="843" w:type="dxa"/>
          </w:tcPr>
          <w:p w14:paraId="6114242B" w14:textId="77777777" w:rsidR="00D34C21" w:rsidRPr="00D34C21" w:rsidRDefault="00D34C21" w:rsidP="00D34C21">
            <w:pPr>
              <w:ind w:right="46"/>
              <w:rPr>
                <w:rFonts w:ascii="AcadNusx" w:hAnsi="AcadNusx"/>
                <w:sz w:val="18"/>
              </w:rPr>
            </w:pPr>
            <w:r w:rsidRPr="00D34C21">
              <w:rPr>
                <w:rFonts w:ascii="AcadNusx" w:hAnsi="AcadNusx"/>
                <w:sz w:val="18"/>
                <w:szCs w:val="22"/>
              </w:rPr>
              <w:t>0.0753</w:t>
            </w:r>
          </w:p>
        </w:tc>
        <w:tc>
          <w:tcPr>
            <w:tcW w:w="626" w:type="dxa"/>
          </w:tcPr>
          <w:p w14:paraId="5CBC64DB" w14:textId="77777777" w:rsidR="00D34C21" w:rsidRPr="00D34C21" w:rsidRDefault="00D34C21" w:rsidP="00D34C21">
            <w:pPr>
              <w:ind w:right="46"/>
              <w:rPr>
                <w:rFonts w:ascii="AcadNusx" w:hAnsi="AcadNusx"/>
                <w:sz w:val="18"/>
              </w:rPr>
            </w:pPr>
            <w:r w:rsidRPr="00D34C21">
              <w:rPr>
                <w:rFonts w:ascii="AcadNusx" w:hAnsi="AcadNusx"/>
                <w:sz w:val="18"/>
                <w:szCs w:val="22"/>
              </w:rPr>
              <w:t>0.96</w:t>
            </w:r>
          </w:p>
        </w:tc>
        <w:tc>
          <w:tcPr>
            <w:tcW w:w="607" w:type="dxa"/>
          </w:tcPr>
          <w:p w14:paraId="4275FA3A" w14:textId="77777777" w:rsidR="00D34C21" w:rsidRPr="00D34C21" w:rsidRDefault="00D34C21" w:rsidP="00D34C21">
            <w:pPr>
              <w:ind w:right="46"/>
              <w:rPr>
                <w:rFonts w:ascii="AcadNusx" w:hAnsi="AcadNusx"/>
                <w:sz w:val="18"/>
              </w:rPr>
            </w:pPr>
            <w:r w:rsidRPr="00D34C21">
              <w:rPr>
                <w:rFonts w:ascii="AcadNusx" w:hAnsi="AcadNusx"/>
                <w:sz w:val="18"/>
                <w:szCs w:val="22"/>
              </w:rPr>
              <w:t>1.09</w:t>
            </w:r>
          </w:p>
        </w:tc>
        <w:tc>
          <w:tcPr>
            <w:tcW w:w="613" w:type="dxa"/>
          </w:tcPr>
          <w:p w14:paraId="430D66A6"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7427D780"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37834A9A" w14:textId="77777777" w:rsidR="00D34C21" w:rsidRPr="00D34C21" w:rsidRDefault="00D34C21" w:rsidP="00D34C21">
            <w:pPr>
              <w:ind w:right="46"/>
              <w:rPr>
                <w:rFonts w:ascii="AcadNusx" w:hAnsi="AcadNusx"/>
                <w:sz w:val="18"/>
              </w:rPr>
            </w:pPr>
            <w:r w:rsidRPr="00D34C21">
              <w:rPr>
                <w:rFonts w:ascii="AcadNusx" w:hAnsi="AcadNusx"/>
                <w:sz w:val="18"/>
                <w:szCs w:val="22"/>
              </w:rPr>
              <w:t>0.87</w:t>
            </w:r>
          </w:p>
        </w:tc>
        <w:tc>
          <w:tcPr>
            <w:tcW w:w="797" w:type="dxa"/>
          </w:tcPr>
          <w:p w14:paraId="42D1CE9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28.6</w:t>
            </w:r>
          </w:p>
        </w:tc>
        <w:tc>
          <w:tcPr>
            <w:tcW w:w="797" w:type="dxa"/>
          </w:tcPr>
          <w:p w14:paraId="05EF25C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23.8</w:t>
            </w:r>
          </w:p>
        </w:tc>
        <w:tc>
          <w:tcPr>
            <w:tcW w:w="797" w:type="dxa"/>
          </w:tcPr>
          <w:p w14:paraId="42887871"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18.3</w:t>
            </w:r>
          </w:p>
        </w:tc>
        <w:tc>
          <w:tcPr>
            <w:tcW w:w="797" w:type="dxa"/>
          </w:tcPr>
          <w:p w14:paraId="08814F4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12.9</w:t>
            </w:r>
          </w:p>
        </w:tc>
        <w:tc>
          <w:tcPr>
            <w:tcW w:w="797" w:type="dxa"/>
          </w:tcPr>
          <w:p w14:paraId="63CB5AE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9.93</w:t>
            </w:r>
          </w:p>
        </w:tc>
      </w:tr>
      <w:tr w:rsidR="00D34C21" w:rsidRPr="00D34C21" w14:paraId="411A3E12" w14:textId="77777777" w:rsidTr="00D34C21">
        <w:tc>
          <w:tcPr>
            <w:tcW w:w="1440" w:type="dxa"/>
          </w:tcPr>
          <w:p w14:paraId="1944A068" w14:textId="77777777" w:rsidR="00D34C21" w:rsidRPr="00D34C21" w:rsidRDefault="00D34C21" w:rsidP="00D34C21">
            <w:pPr>
              <w:ind w:right="46"/>
              <w:rPr>
                <w:rFonts w:ascii="AcadNusx" w:hAnsi="AcadNusx"/>
                <w:sz w:val="18"/>
              </w:rPr>
            </w:pPr>
            <w:r w:rsidRPr="00D34C21">
              <w:rPr>
                <w:rFonts w:ascii="Sylfaen" w:hAnsi="Sylfaen"/>
                <w:sz w:val="18"/>
                <w:szCs w:val="22"/>
                <w:lang w:val="ka-GE"/>
              </w:rPr>
              <w:t xml:space="preserve">სათლიანისხევი </w:t>
            </w:r>
            <w:r w:rsidRPr="00D34C21">
              <w:rPr>
                <w:rFonts w:ascii="AcadNusx" w:hAnsi="AcadNusx"/>
                <w:sz w:val="18"/>
                <w:szCs w:val="22"/>
              </w:rPr>
              <w:t>#45</w:t>
            </w:r>
          </w:p>
        </w:tc>
        <w:tc>
          <w:tcPr>
            <w:tcW w:w="628" w:type="dxa"/>
          </w:tcPr>
          <w:p w14:paraId="78CA711F"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12.5</w:t>
            </w:r>
          </w:p>
        </w:tc>
        <w:tc>
          <w:tcPr>
            <w:tcW w:w="627" w:type="dxa"/>
          </w:tcPr>
          <w:p w14:paraId="0962AD13" w14:textId="77777777" w:rsidR="00D34C21" w:rsidRPr="00D34C21" w:rsidRDefault="00D34C21" w:rsidP="00D34C21">
            <w:pPr>
              <w:ind w:right="46"/>
              <w:rPr>
                <w:rFonts w:ascii="AcadNusx" w:hAnsi="AcadNusx"/>
                <w:sz w:val="18"/>
              </w:rPr>
            </w:pPr>
            <w:r w:rsidRPr="00D34C21">
              <w:rPr>
                <w:rFonts w:ascii="AcadNusx" w:hAnsi="AcadNusx"/>
                <w:sz w:val="18"/>
                <w:szCs w:val="22"/>
              </w:rPr>
              <w:t>8.63</w:t>
            </w:r>
          </w:p>
        </w:tc>
        <w:tc>
          <w:tcPr>
            <w:tcW w:w="843" w:type="dxa"/>
          </w:tcPr>
          <w:p w14:paraId="29965A4A" w14:textId="77777777" w:rsidR="00D34C21" w:rsidRPr="00D34C21" w:rsidRDefault="00D34C21" w:rsidP="00D34C21">
            <w:pPr>
              <w:ind w:right="46"/>
              <w:rPr>
                <w:rFonts w:ascii="AcadNusx" w:hAnsi="AcadNusx"/>
                <w:sz w:val="18"/>
              </w:rPr>
            </w:pPr>
            <w:r w:rsidRPr="00D34C21">
              <w:rPr>
                <w:rFonts w:ascii="AcadNusx" w:hAnsi="AcadNusx"/>
                <w:sz w:val="18"/>
                <w:szCs w:val="22"/>
              </w:rPr>
              <w:t>0.0839</w:t>
            </w:r>
          </w:p>
        </w:tc>
        <w:tc>
          <w:tcPr>
            <w:tcW w:w="626" w:type="dxa"/>
          </w:tcPr>
          <w:p w14:paraId="08129F0E" w14:textId="77777777" w:rsidR="00D34C21" w:rsidRPr="00D34C21" w:rsidRDefault="00D34C21" w:rsidP="00D34C21">
            <w:pPr>
              <w:ind w:right="46"/>
              <w:rPr>
                <w:rFonts w:ascii="AcadNusx" w:hAnsi="AcadNusx"/>
                <w:sz w:val="18"/>
              </w:rPr>
            </w:pPr>
            <w:r w:rsidRPr="00D34C21">
              <w:rPr>
                <w:rFonts w:ascii="AcadNusx" w:hAnsi="AcadNusx"/>
                <w:sz w:val="18"/>
                <w:szCs w:val="22"/>
              </w:rPr>
              <w:t>0.87</w:t>
            </w:r>
          </w:p>
        </w:tc>
        <w:tc>
          <w:tcPr>
            <w:tcW w:w="607" w:type="dxa"/>
          </w:tcPr>
          <w:p w14:paraId="4D6C8B37" w14:textId="77777777" w:rsidR="00D34C21" w:rsidRPr="00D34C21" w:rsidRDefault="00D34C21" w:rsidP="00D34C21">
            <w:pPr>
              <w:ind w:right="46"/>
              <w:rPr>
                <w:rFonts w:ascii="AcadNusx" w:hAnsi="AcadNusx"/>
                <w:sz w:val="18"/>
              </w:rPr>
            </w:pPr>
            <w:r w:rsidRPr="00D34C21">
              <w:rPr>
                <w:rFonts w:ascii="AcadNusx" w:hAnsi="AcadNusx"/>
                <w:sz w:val="18"/>
                <w:szCs w:val="22"/>
              </w:rPr>
              <w:t>1.18</w:t>
            </w:r>
          </w:p>
        </w:tc>
        <w:tc>
          <w:tcPr>
            <w:tcW w:w="613" w:type="dxa"/>
          </w:tcPr>
          <w:p w14:paraId="5825A07C"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368A9747" w14:textId="77777777" w:rsidR="00D34C21" w:rsidRPr="00D34C21" w:rsidRDefault="00D34C21" w:rsidP="00D34C21">
            <w:pPr>
              <w:ind w:right="46"/>
              <w:rPr>
                <w:rFonts w:ascii="AcadNusx" w:hAnsi="AcadNusx"/>
                <w:sz w:val="18"/>
              </w:rPr>
            </w:pPr>
            <w:r w:rsidRPr="00D34C21">
              <w:rPr>
                <w:rFonts w:ascii="AcadNusx" w:hAnsi="AcadNusx"/>
                <w:sz w:val="18"/>
                <w:szCs w:val="22"/>
              </w:rPr>
              <w:t>0.87</w:t>
            </w:r>
          </w:p>
        </w:tc>
        <w:tc>
          <w:tcPr>
            <w:tcW w:w="625" w:type="dxa"/>
          </w:tcPr>
          <w:p w14:paraId="7DDA5DA6" w14:textId="77777777" w:rsidR="00D34C21" w:rsidRPr="00D34C21" w:rsidRDefault="00D34C21" w:rsidP="00D34C21">
            <w:pPr>
              <w:ind w:right="46"/>
              <w:rPr>
                <w:rFonts w:ascii="AcadNusx" w:hAnsi="AcadNusx"/>
                <w:sz w:val="18"/>
              </w:rPr>
            </w:pPr>
            <w:r w:rsidRPr="00D34C21">
              <w:rPr>
                <w:rFonts w:ascii="AcadNusx" w:hAnsi="AcadNusx"/>
                <w:sz w:val="18"/>
                <w:szCs w:val="22"/>
              </w:rPr>
              <w:t xml:space="preserve"> _</w:t>
            </w:r>
          </w:p>
        </w:tc>
        <w:tc>
          <w:tcPr>
            <w:tcW w:w="797" w:type="dxa"/>
          </w:tcPr>
          <w:p w14:paraId="3D47A7DC"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75.1</w:t>
            </w:r>
          </w:p>
        </w:tc>
        <w:tc>
          <w:tcPr>
            <w:tcW w:w="797" w:type="dxa"/>
          </w:tcPr>
          <w:p w14:paraId="00FF74D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62.6</w:t>
            </w:r>
          </w:p>
        </w:tc>
        <w:tc>
          <w:tcPr>
            <w:tcW w:w="797" w:type="dxa"/>
          </w:tcPr>
          <w:p w14:paraId="63316438"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48.1</w:t>
            </w:r>
          </w:p>
        </w:tc>
        <w:tc>
          <w:tcPr>
            <w:tcW w:w="797" w:type="dxa"/>
          </w:tcPr>
          <w:p w14:paraId="78DEA091"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34.0</w:t>
            </w:r>
          </w:p>
        </w:tc>
        <w:tc>
          <w:tcPr>
            <w:tcW w:w="797" w:type="dxa"/>
          </w:tcPr>
          <w:p w14:paraId="0FC2D962"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26.1</w:t>
            </w:r>
          </w:p>
        </w:tc>
      </w:tr>
      <w:tr w:rsidR="00D34C21" w:rsidRPr="00D34C21" w14:paraId="5E6B9F5F" w14:textId="77777777" w:rsidTr="00D34C21">
        <w:tc>
          <w:tcPr>
            <w:tcW w:w="1440" w:type="dxa"/>
          </w:tcPr>
          <w:p w14:paraId="26CC1E98"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ფართობი</w:t>
            </w:r>
            <w:r w:rsidRPr="00D34C21">
              <w:rPr>
                <w:rFonts w:ascii="AcadNusx" w:hAnsi="AcadNusx"/>
                <w:sz w:val="18"/>
                <w:szCs w:val="22"/>
                <w:lang w:val="fr-FR"/>
              </w:rPr>
              <w:t xml:space="preserve"> 45</w:t>
            </w:r>
            <w:r w:rsidRPr="00D34C21">
              <w:rPr>
                <w:rFonts w:ascii="AcadNusx" w:hAnsi="AcadNusx"/>
                <w:sz w:val="18"/>
                <w:szCs w:val="22"/>
                <w:vertAlign w:val="superscript"/>
                <w:lang w:val="fr-FR"/>
              </w:rPr>
              <w:t>I</w:t>
            </w:r>
          </w:p>
        </w:tc>
        <w:tc>
          <w:tcPr>
            <w:tcW w:w="628" w:type="dxa"/>
          </w:tcPr>
          <w:p w14:paraId="7FBE6FD4"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0.11</w:t>
            </w:r>
          </w:p>
        </w:tc>
        <w:tc>
          <w:tcPr>
            <w:tcW w:w="627" w:type="dxa"/>
          </w:tcPr>
          <w:p w14:paraId="47D50436"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843" w:type="dxa"/>
          </w:tcPr>
          <w:p w14:paraId="520F708B"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6" w:type="dxa"/>
          </w:tcPr>
          <w:p w14:paraId="355D7809"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07" w:type="dxa"/>
          </w:tcPr>
          <w:p w14:paraId="5DD2CE8E"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13" w:type="dxa"/>
          </w:tcPr>
          <w:p w14:paraId="7B4AFCE4"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0" w:type="dxa"/>
          </w:tcPr>
          <w:p w14:paraId="06D4B8D5"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5" w:type="dxa"/>
          </w:tcPr>
          <w:p w14:paraId="29C37C8D"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797" w:type="dxa"/>
          </w:tcPr>
          <w:p w14:paraId="4B8DF767"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1.25</w:t>
            </w:r>
          </w:p>
        </w:tc>
        <w:tc>
          <w:tcPr>
            <w:tcW w:w="797" w:type="dxa"/>
          </w:tcPr>
          <w:p w14:paraId="2058FD8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1.02</w:t>
            </w:r>
          </w:p>
        </w:tc>
        <w:tc>
          <w:tcPr>
            <w:tcW w:w="797" w:type="dxa"/>
          </w:tcPr>
          <w:p w14:paraId="1102754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0.78</w:t>
            </w:r>
          </w:p>
        </w:tc>
        <w:tc>
          <w:tcPr>
            <w:tcW w:w="797" w:type="dxa"/>
          </w:tcPr>
          <w:p w14:paraId="265A648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0.55</w:t>
            </w:r>
          </w:p>
        </w:tc>
        <w:tc>
          <w:tcPr>
            <w:tcW w:w="797" w:type="dxa"/>
          </w:tcPr>
          <w:p w14:paraId="74CFAEA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0.43</w:t>
            </w:r>
          </w:p>
        </w:tc>
      </w:tr>
      <w:tr w:rsidR="00D34C21" w:rsidRPr="00D34C21" w14:paraId="24C014E5" w14:textId="77777777" w:rsidTr="00D34C21">
        <w:tc>
          <w:tcPr>
            <w:tcW w:w="1440" w:type="dxa"/>
          </w:tcPr>
          <w:p w14:paraId="61CDD89A"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სვიანაათხევი</w:t>
            </w:r>
            <w:r w:rsidRPr="00D34C21">
              <w:rPr>
                <w:rFonts w:ascii="AcadNusx" w:hAnsi="AcadNusx"/>
                <w:sz w:val="18"/>
                <w:szCs w:val="22"/>
              </w:rPr>
              <w:t xml:space="preserve"> #46</w:t>
            </w:r>
          </w:p>
        </w:tc>
        <w:tc>
          <w:tcPr>
            <w:tcW w:w="628" w:type="dxa"/>
          </w:tcPr>
          <w:p w14:paraId="30FB64A9"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3.27</w:t>
            </w:r>
          </w:p>
        </w:tc>
        <w:tc>
          <w:tcPr>
            <w:tcW w:w="627" w:type="dxa"/>
          </w:tcPr>
          <w:p w14:paraId="375183A2"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5.62</w:t>
            </w:r>
          </w:p>
        </w:tc>
        <w:tc>
          <w:tcPr>
            <w:tcW w:w="843" w:type="dxa"/>
          </w:tcPr>
          <w:p w14:paraId="4D33A854"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0.0799</w:t>
            </w:r>
          </w:p>
        </w:tc>
        <w:tc>
          <w:tcPr>
            <w:tcW w:w="626" w:type="dxa"/>
          </w:tcPr>
          <w:p w14:paraId="51CD8D7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0.94</w:t>
            </w:r>
          </w:p>
        </w:tc>
        <w:tc>
          <w:tcPr>
            <w:tcW w:w="607" w:type="dxa"/>
          </w:tcPr>
          <w:p w14:paraId="55B9A842"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1.17</w:t>
            </w:r>
          </w:p>
        </w:tc>
        <w:tc>
          <w:tcPr>
            <w:tcW w:w="613" w:type="dxa"/>
          </w:tcPr>
          <w:p w14:paraId="4E78E07D"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5.50</w:t>
            </w:r>
          </w:p>
        </w:tc>
        <w:tc>
          <w:tcPr>
            <w:tcW w:w="620" w:type="dxa"/>
          </w:tcPr>
          <w:p w14:paraId="0E490690"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0.87</w:t>
            </w:r>
          </w:p>
        </w:tc>
        <w:tc>
          <w:tcPr>
            <w:tcW w:w="625" w:type="dxa"/>
          </w:tcPr>
          <w:p w14:paraId="228D6C0D"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0.88</w:t>
            </w:r>
          </w:p>
        </w:tc>
        <w:tc>
          <w:tcPr>
            <w:tcW w:w="797" w:type="dxa"/>
          </w:tcPr>
          <w:p w14:paraId="2676E8D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31.0</w:t>
            </w:r>
          </w:p>
        </w:tc>
        <w:tc>
          <w:tcPr>
            <w:tcW w:w="797" w:type="dxa"/>
          </w:tcPr>
          <w:p w14:paraId="3AD064B1"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25.8</w:t>
            </w:r>
          </w:p>
        </w:tc>
        <w:tc>
          <w:tcPr>
            <w:tcW w:w="797" w:type="dxa"/>
          </w:tcPr>
          <w:p w14:paraId="67B39E2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19.8</w:t>
            </w:r>
          </w:p>
        </w:tc>
        <w:tc>
          <w:tcPr>
            <w:tcW w:w="797" w:type="dxa"/>
          </w:tcPr>
          <w:p w14:paraId="70C860A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14.0</w:t>
            </w:r>
          </w:p>
        </w:tc>
        <w:tc>
          <w:tcPr>
            <w:tcW w:w="797" w:type="dxa"/>
          </w:tcPr>
          <w:p w14:paraId="52305F2D"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10.8</w:t>
            </w:r>
          </w:p>
        </w:tc>
      </w:tr>
      <w:tr w:rsidR="00D34C21" w:rsidRPr="00D34C21" w14:paraId="36784219" w14:textId="77777777" w:rsidTr="00D34C21">
        <w:tc>
          <w:tcPr>
            <w:tcW w:w="1440" w:type="dxa"/>
          </w:tcPr>
          <w:p w14:paraId="77EE5CF8"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ფართობი</w:t>
            </w:r>
            <w:r w:rsidRPr="00D34C21">
              <w:rPr>
                <w:rFonts w:ascii="AcadNusx" w:hAnsi="AcadNusx"/>
                <w:sz w:val="18"/>
                <w:szCs w:val="22"/>
                <w:lang w:val="fr-FR"/>
              </w:rPr>
              <w:t xml:space="preserve"> 46</w:t>
            </w:r>
            <w:r w:rsidRPr="00D34C21">
              <w:rPr>
                <w:rFonts w:ascii="AcadNusx" w:hAnsi="AcadNusx"/>
                <w:sz w:val="18"/>
                <w:szCs w:val="22"/>
                <w:vertAlign w:val="superscript"/>
                <w:lang w:val="fr-FR"/>
              </w:rPr>
              <w:t>I</w:t>
            </w:r>
          </w:p>
        </w:tc>
        <w:tc>
          <w:tcPr>
            <w:tcW w:w="628" w:type="dxa"/>
          </w:tcPr>
          <w:p w14:paraId="0E7196C0"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0.12</w:t>
            </w:r>
          </w:p>
        </w:tc>
        <w:tc>
          <w:tcPr>
            <w:tcW w:w="627" w:type="dxa"/>
          </w:tcPr>
          <w:p w14:paraId="36B0F295"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843" w:type="dxa"/>
          </w:tcPr>
          <w:p w14:paraId="3D5705C3"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6" w:type="dxa"/>
          </w:tcPr>
          <w:p w14:paraId="4E84D631"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07" w:type="dxa"/>
          </w:tcPr>
          <w:p w14:paraId="5919F329"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13" w:type="dxa"/>
          </w:tcPr>
          <w:p w14:paraId="5392522C"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0" w:type="dxa"/>
          </w:tcPr>
          <w:p w14:paraId="2F673981"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5" w:type="dxa"/>
          </w:tcPr>
          <w:p w14:paraId="2615C356"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797" w:type="dxa"/>
          </w:tcPr>
          <w:p w14:paraId="2BF379E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1.36</w:t>
            </w:r>
          </w:p>
        </w:tc>
        <w:tc>
          <w:tcPr>
            <w:tcW w:w="797" w:type="dxa"/>
          </w:tcPr>
          <w:p w14:paraId="3699887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1.11</w:t>
            </w:r>
          </w:p>
        </w:tc>
        <w:tc>
          <w:tcPr>
            <w:tcW w:w="797" w:type="dxa"/>
          </w:tcPr>
          <w:p w14:paraId="3B13F685"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0.85</w:t>
            </w:r>
          </w:p>
        </w:tc>
        <w:tc>
          <w:tcPr>
            <w:tcW w:w="797" w:type="dxa"/>
          </w:tcPr>
          <w:p w14:paraId="07E5314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0.60</w:t>
            </w:r>
          </w:p>
        </w:tc>
        <w:tc>
          <w:tcPr>
            <w:tcW w:w="797" w:type="dxa"/>
          </w:tcPr>
          <w:p w14:paraId="7E9F0B0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0.47</w:t>
            </w:r>
          </w:p>
        </w:tc>
      </w:tr>
      <w:tr w:rsidR="00D34C21" w:rsidRPr="00D34C21" w14:paraId="6A6ADD18" w14:textId="77777777" w:rsidTr="00D34C21">
        <w:tc>
          <w:tcPr>
            <w:tcW w:w="1440" w:type="dxa"/>
          </w:tcPr>
          <w:p w14:paraId="3E8C9877"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ხრუკიასხევი</w:t>
            </w:r>
            <w:r w:rsidRPr="00D34C21">
              <w:rPr>
                <w:rFonts w:ascii="AcadNusx" w:hAnsi="AcadNusx"/>
                <w:sz w:val="18"/>
                <w:szCs w:val="22"/>
              </w:rPr>
              <w:t xml:space="preserve"> #47</w:t>
            </w:r>
          </w:p>
        </w:tc>
        <w:tc>
          <w:tcPr>
            <w:tcW w:w="628" w:type="dxa"/>
          </w:tcPr>
          <w:p w14:paraId="32C1EFD6"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7.05</w:t>
            </w:r>
          </w:p>
        </w:tc>
        <w:tc>
          <w:tcPr>
            <w:tcW w:w="627" w:type="dxa"/>
          </w:tcPr>
          <w:p w14:paraId="551AC014"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9.35</w:t>
            </w:r>
          </w:p>
        </w:tc>
        <w:tc>
          <w:tcPr>
            <w:tcW w:w="843" w:type="dxa"/>
          </w:tcPr>
          <w:p w14:paraId="7E47A936"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0.0910</w:t>
            </w:r>
          </w:p>
        </w:tc>
        <w:tc>
          <w:tcPr>
            <w:tcW w:w="626" w:type="dxa"/>
          </w:tcPr>
          <w:p w14:paraId="1E3376AE"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0.90</w:t>
            </w:r>
          </w:p>
        </w:tc>
        <w:tc>
          <w:tcPr>
            <w:tcW w:w="607" w:type="dxa"/>
          </w:tcPr>
          <w:p w14:paraId="375CA0A4"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1.25</w:t>
            </w:r>
          </w:p>
        </w:tc>
        <w:tc>
          <w:tcPr>
            <w:tcW w:w="613" w:type="dxa"/>
          </w:tcPr>
          <w:p w14:paraId="778B8C97"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3F9D74F7"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169D082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14:paraId="214F0455"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55.8</w:t>
            </w:r>
          </w:p>
        </w:tc>
        <w:tc>
          <w:tcPr>
            <w:tcW w:w="797" w:type="dxa"/>
          </w:tcPr>
          <w:p w14:paraId="6F65F8E2"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46.5</w:t>
            </w:r>
          </w:p>
        </w:tc>
        <w:tc>
          <w:tcPr>
            <w:tcW w:w="797" w:type="dxa"/>
          </w:tcPr>
          <w:p w14:paraId="3609E54C"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35.7</w:t>
            </w:r>
          </w:p>
        </w:tc>
        <w:tc>
          <w:tcPr>
            <w:tcW w:w="797" w:type="dxa"/>
          </w:tcPr>
          <w:p w14:paraId="34AE5D5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25.2</w:t>
            </w:r>
          </w:p>
        </w:tc>
        <w:tc>
          <w:tcPr>
            <w:tcW w:w="797" w:type="dxa"/>
          </w:tcPr>
          <w:p w14:paraId="2040A0F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19.4</w:t>
            </w:r>
          </w:p>
        </w:tc>
      </w:tr>
      <w:tr w:rsidR="00D34C21" w:rsidRPr="00D34C21" w14:paraId="09E59D3E" w14:textId="77777777" w:rsidTr="00D34C21">
        <w:tc>
          <w:tcPr>
            <w:tcW w:w="1440" w:type="dxa"/>
          </w:tcPr>
          <w:p w14:paraId="20B0CD9E"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#48</w:t>
            </w:r>
          </w:p>
        </w:tc>
        <w:tc>
          <w:tcPr>
            <w:tcW w:w="628" w:type="dxa"/>
          </w:tcPr>
          <w:p w14:paraId="39CCEF74"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1.51</w:t>
            </w:r>
          </w:p>
        </w:tc>
        <w:tc>
          <w:tcPr>
            <w:tcW w:w="627" w:type="dxa"/>
          </w:tcPr>
          <w:p w14:paraId="060B12CE"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2.90</w:t>
            </w:r>
          </w:p>
        </w:tc>
        <w:tc>
          <w:tcPr>
            <w:tcW w:w="843" w:type="dxa"/>
          </w:tcPr>
          <w:p w14:paraId="71DD1E42"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0.0517</w:t>
            </w:r>
          </w:p>
        </w:tc>
        <w:tc>
          <w:tcPr>
            <w:tcW w:w="626" w:type="dxa"/>
          </w:tcPr>
          <w:p w14:paraId="4ADEB75F"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0.98</w:t>
            </w:r>
          </w:p>
        </w:tc>
        <w:tc>
          <w:tcPr>
            <w:tcW w:w="607" w:type="dxa"/>
          </w:tcPr>
          <w:p w14:paraId="5D2D98D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1.08</w:t>
            </w:r>
          </w:p>
        </w:tc>
        <w:tc>
          <w:tcPr>
            <w:tcW w:w="613" w:type="dxa"/>
          </w:tcPr>
          <w:p w14:paraId="394D6E6F"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6A927B9A"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109CB6A3"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0.82</w:t>
            </w:r>
          </w:p>
        </w:tc>
        <w:tc>
          <w:tcPr>
            <w:tcW w:w="797" w:type="dxa"/>
          </w:tcPr>
          <w:p w14:paraId="67175012"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17.0</w:t>
            </w:r>
          </w:p>
        </w:tc>
        <w:tc>
          <w:tcPr>
            <w:tcW w:w="797" w:type="dxa"/>
          </w:tcPr>
          <w:p w14:paraId="0467BFF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14.2</w:t>
            </w:r>
          </w:p>
        </w:tc>
        <w:tc>
          <w:tcPr>
            <w:tcW w:w="797" w:type="dxa"/>
          </w:tcPr>
          <w:p w14:paraId="1B3C697C"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10.9</w:t>
            </w:r>
          </w:p>
        </w:tc>
        <w:tc>
          <w:tcPr>
            <w:tcW w:w="797" w:type="dxa"/>
          </w:tcPr>
          <w:p w14:paraId="77A76C1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7.70</w:t>
            </w:r>
          </w:p>
        </w:tc>
        <w:tc>
          <w:tcPr>
            <w:tcW w:w="797" w:type="dxa"/>
          </w:tcPr>
          <w:p w14:paraId="6CEAE1C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5.93</w:t>
            </w:r>
          </w:p>
        </w:tc>
      </w:tr>
      <w:tr w:rsidR="00D34C21" w:rsidRPr="00D34C21" w14:paraId="67746F31" w14:textId="77777777" w:rsidTr="00D34C21">
        <w:tc>
          <w:tcPr>
            <w:tcW w:w="1440" w:type="dxa"/>
          </w:tcPr>
          <w:p w14:paraId="48CDFB4F"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#49</w:t>
            </w:r>
          </w:p>
        </w:tc>
        <w:tc>
          <w:tcPr>
            <w:tcW w:w="628" w:type="dxa"/>
          </w:tcPr>
          <w:p w14:paraId="212EF0D9"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8.12</w:t>
            </w:r>
          </w:p>
        </w:tc>
        <w:tc>
          <w:tcPr>
            <w:tcW w:w="627" w:type="dxa"/>
          </w:tcPr>
          <w:p w14:paraId="20DA84EF"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7.10</w:t>
            </w:r>
          </w:p>
        </w:tc>
        <w:tc>
          <w:tcPr>
            <w:tcW w:w="843" w:type="dxa"/>
          </w:tcPr>
          <w:p w14:paraId="7A2A7EF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0.0747</w:t>
            </w:r>
          </w:p>
        </w:tc>
        <w:tc>
          <w:tcPr>
            <w:tcW w:w="626" w:type="dxa"/>
          </w:tcPr>
          <w:p w14:paraId="4B55C822"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0.91</w:t>
            </w:r>
          </w:p>
        </w:tc>
        <w:tc>
          <w:tcPr>
            <w:tcW w:w="607" w:type="dxa"/>
          </w:tcPr>
          <w:p w14:paraId="34EBAAAD"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1.18</w:t>
            </w:r>
          </w:p>
        </w:tc>
        <w:tc>
          <w:tcPr>
            <w:tcW w:w="613" w:type="dxa"/>
          </w:tcPr>
          <w:p w14:paraId="4FFF7F05"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17B8CA4C"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2735732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14:paraId="488FFCE1"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60.2</w:t>
            </w:r>
          </w:p>
        </w:tc>
        <w:tc>
          <w:tcPr>
            <w:tcW w:w="797" w:type="dxa"/>
          </w:tcPr>
          <w:p w14:paraId="56E52FC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50.2</w:t>
            </w:r>
          </w:p>
        </w:tc>
        <w:tc>
          <w:tcPr>
            <w:tcW w:w="797" w:type="dxa"/>
          </w:tcPr>
          <w:p w14:paraId="3167090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38.6</w:t>
            </w:r>
          </w:p>
        </w:tc>
        <w:tc>
          <w:tcPr>
            <w:tcW w:w="797" w:type="dxa"/>
          </w:tcPr>
          <w:p w14:paraId="58D18D82"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27.2</w:t>
            </w:r>
          </w:p>
        </w:tc>
        <w:tc>
          <w:tcPr>
            <w:tcW w:w="797" w:type="dxa"/>
          </w:tcPr>
          <w:p w14:paraId="7A2E90C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21.0</w:t>
            </w:r>
          </w:p>
        </w:tc>
      </w:tr>
      <w:tr w:rsidR="00D34C21" w:rsidRPr="00D34C21" w14:paraId="15E75F12" w14:textId="77777777" w:rsidTr="00D34C21">
        <w:tc>
          <w:tcPr>
            <w:tcW w:w="1440" w:type="dxa"/>
          </w:tcPr>
          <w:p w14:paraId="78DA896F"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#50</w:t>
            </w:r>
          </w:p>
        </w:tc>
        <w:tc>
          <w:tcPr>
            <w:tcW w:w="628" w:type="dxa"/>
          </w:tcPr>
          <w:p w14:paraId="72D750F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0.26</w:t>
            </w:r>
          </w:p>
        </w:tc>
        <w:tc>
          <w:tcPr>
            <w:tcW w:w="627" w:type="dxa"/>
          </w:tcPr>
          <w:p w14:paraId="494A3EC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0.60</w:t>
            </w:r>
          </w:p>
        </w:tc>
        <w:tc>
          <w:tcPr>
            <w:tcW w:w="843" w:type="dxa"/>
          </w:tcPr>
          <w:p w14:paraId="4057BF99"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0.0583</w:t>
            </w:r>
          </w:p>
        </w:tc>
        <w:tc>
          <w:tcPr>
            <w:tcW w:w="626" w:type="dxa"/>
          </w:tcPr>
          <w:p w14:paraId="015E1FDC"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0.98</w:t>
            </w:r>
          </w:p>
        </w:tc>
        <w:tc>
          <w:tcPr>
            <w:tcW w:w="607" w:type="dxa"/>
          </w:tcPr>
          <w:p w14:paraId="12F8F52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1.01</w:t>
            </w:r>
          </w:p>
        </w:tc>
        <w:tc>
          <w:tcPr>
            <w:tcW w:w="613" w:type="dxa"/>
          </w:tcPr>
          <w:p w14:paraId="73E14516"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24244E9F"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1FE9021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0.70</w:t>
            </w:r>
          </w:p>
        </w:tc>
        <w:tc>
          <w:tcPr>
            <w:tcW w:w="797" w:type="dxa"/>
          </w:tcPr>
          <w:p w14:paraId="49027F3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4.64</w:t>
            </w:r>
          </w:p>
        </w:tc>
        <w:tc>
          <w:tcPr>
            <w:tcW w:w="797" w:type="dxa"/>
          </w:tcPr>
          <w:p w14:paraId="7FD6CCF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3.87</w:t>
            </w:r>
          </w:p>
        </w:tc>
        <w:tc>
          <w:tcPr>
            <w:tcW w:w="797" w:type="dxa"/>
          </w:tcPr>
          <w:p w14:paraId="6E82598D"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2.97</w:t>
            </w:r>
          </w:p>
        </w:tc>
        <w:tc>
          <w:tcPr>
            <w:tcW w:w="797" w:type="dxa"/>
          </w:tcPr>
          <w:p w14:paraId="19B2620C"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2.10</w:t>
            </w:r>
          </w:p>
        </w:tc>
        <w:tc>
          <w:tcPr>
            <w:tcW w:w="797" w:type="dxa"/>
          </w:tcPr>
          <w:p w14:paraId="6B682885"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1.62</w:t>
            </w:r>
          </w:p>
        </w:tc>
      </w:tr>
      <w:tr w:rsidR="00D34C21" w:rsidRPr="00D34C21" w14:paraId="0168BAC5" w14:textId="77777777" w:rsidTr="00D34C21">
        <w:tc>
          <w:tcPr>
            <w:tcW w:w="1440" w:type="dxa"/>
          </w:tcPr>
          <w:p w14:paraId="6836E69D"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#51</w:t>
            </w:r>
          </w:p>
        </w:tc>
        <w:tc>
          <w:tcPr>
            <w:tcW w:w="628" w:type="dxa"/>
          </w:tcPr>
          <w:p w14:paraId="1D3A1444"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1.02</w:t>
            </w:r>
          </w:p>
        </w:tc>
        <w:tc>
          <w:tcPr>
            <w:tcW w:w="627" w:type="dxa"/>
          </w:tcPr>
          <w:p w14:paraId="58283883"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1.60</w:t>
            </w:r>
          </w:p>
        </w:tc>
        <w:tc>
          <w:tcPr>
            <w:tcW w:w="843" w:type="dxa"/>
          </w:tcPr>
          <w:p w14:paraId="1A0CE231"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0.0550</w:t>
            </w:r>
          </w:p>
        </w:tc>
        <w:tc>
          <w:tcPr>
            <w:tcW w:w="626" w:type="dxa"/>
          </w:tcPr>
          <w:p w14:paraId="7B4E3B2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0.98</w:t>
            </w:r>
          </w:p>
        </w:tc>
        <w:tc>
          <w:tcPr>
            <w:tcW w:w="607" w:type="dxa"/>
          </w:tcPr>
          <w:p w14:paraId="034040B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1.06</w:t>
            </w:r>
          </w:p>
        </w:tc>
        <w:tc>
          <w:tcPr>
            <w:tcW w:w="613" w:type="dxa"/>
          </w:tcPr>
          <w:p w14:paraId="52FF04D8"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1C69A8F1"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0.87</w:t>
            </w:r>
          </w:p>
        </w:tc>
        <w:tc>
          <w:tcPr>
            <w:tcW w:w="625" w:type="dxa"/>
          </w:tcPr>
          <w:p w14:paraId="1C82E132"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0.70</w:t>
            </w:r>
          </w:p>
        </w:tc>
        <w:tc>
          <w:tcPr>
            <w:tcW w:w="797" w:type="dxa"/>
          </w:tcPr>
          <w:p w14:paraId="6406051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11.6</w:t>
            </w:r>
          </w:p>
        </w:tc>
        <w:tc>
          <w:tcPr>
            <w:tcW w:w="797" w:type="dxa"/>
          </w:tcPr>
          <w:p w14:paraId="55FF347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9.66</w:t>
            </w:r>
          </w:p>
        </w:tc>
        <w:tc>
          <w:tcPr>
            <w:tcW w:w="797" w:type="dxa"/>
          </w:tcPr>
          <w:p w14:paraId="3A8C16D7"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7.42</w:t>
            </w:r>
          </w:p>
        </w:tc>
        <w:tc>
          <w:tcPr>
            <w:tcW w:w="797" w:type="dxa"/>
          </w:tcPr>
          <w:p w14:paraId="2B5501A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5.24</w:t>
            </w:r>
          </w:p>
        </w:tc>
        <w:tc>
          <w:tcPr>
            <w:tcW w:w="797" w:type="dxa"/>
          </w:tcPr>
          <w:p w14:paraId="772C814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4.03</w:t>
            </w:r>
          </w:p>
        </w:tc>
      </w:tr>
      <w:tr w:rsidR="00D34C21" w:rsidRPr="00D34C21" w14:paraId="61B71B2D" w14:textId="77777777" w:rsidTr="00D34C21">
        <w:tc>
          <w:tcPr>
            <w:tcW w:w="1440" w:type="dxa"/>
          </w:tcPr>
          <w:p w14:paraId="29D1C4C0"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ფართობი</w:t>
            </w:r>
            <w:r w:rsidRPr="00D34C21">
              <w:rPr>
                <w:rFonts w:ascii="AcadNusx" w:hAnsi="AcadNusx"/>
                <w:sz w:val="18"/>
                <w:szCs w:val="22"/>
                <w:lang w:val="fr-FR"/>
              </w:rPr>
              <w:t xml:space="preserve"> 51</w:t>
            </w:r>
            <w:r w:rsidRPr="00D34C21">
              <w:rPr>
                <w:rFonts w:ascii="AcadNusx" w:hAnsi="AcadNusx"/>
                <w:sz w:val="18"/>
                <w:szCs w:val="22"/>
                <w:vertAlign w:val="superscript"/>
                <w:lang w:val="fr-FR"/>
              </w:rPr>
              <w:t>I</w:t>
            </w:r>
          </w:p>
        </w:tc>
        <w:tc>
          <w:tcPr>
            <w:tcW w:w="628" w:type="dxa"/>
          </w:tcPr>
          <w:p w14:paraId="6F75C18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0.08</w:t>
            </w:r>
          </w:p>
        </w:tc>
        <w:tc>
          <w:tcPr>
            <w:tcW w:w="627" w:type="dxa"/>
          </w:tcPr>
          <w:p w14:paraId="138E6433"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843" w:type="dxa"/>
          </w:tcPr>
          <w:p w14:paraId="58A6B60B"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6" w:type="dxa"/>
          </w:tcPr>
          <w:p w14:paraId="0EA2A2B5"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07" w:type="dxa"/>
          </w:tcPr>
          <w:p w14:paraId="1048C403"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13" w:type="dxa"/>
          </w:tcPr>
          <w:p w14:paraId="52945ACA"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0" w:type="dxa"/>
          </w:tcPr>
          <w:p w14:paraId="206BDDF6"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625" w:type="dxa"/>
          </w:tcPr>
          <w:p w14:paraId="652EF364"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 xml:space="preserve"> _</w:t>
            </w:r>
          </w:p>
        </w:tc>
        <w:tc>
          <w:tcPr>
            <w:tcW w:w="797" w:type="dxa"/>
          </w:tcPr>
          <w:p w14:paraId="553C390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0.91</w:t>
            </w:r>
          </w:p>
        </w:tc>
        <w:tc>
          <w:tcPr>
            <w:tcW w:w="797" w:type="dxa"/>
          </w:tcPr>
          <w:p w14:paraId="02651C30"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0.74</w:t>
            </w:r>
          </w:p>
        </w:tc>
        <w:tc>
          <w:tcPr>
            <w:tcW w:w="797" w:type="dxa"/>
          </w:tcPr>
          <w:p w14:paraId="7BF711F5"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0.57</w:t>
            </w:r>
          </w:p>
        </w:tc>
        <w:tc>
          <w:tcPr>
            <w:tcW w:w="797" w:type="dxa"/>
          </w:tcPr>
          <w:p w14:paraId="5078F0DF"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0.40</w:t>
            </w:r>
          </w:p>
        </w:tc>
        <w:tc>
          <w:tcPr>
            <w:tcW w:w="797" w:type="dxa"/>
          </w:tcPr>
          <w:p w14:paraId="4ABD7826"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0.31</w:t>
            </w:r>
          </w:p>
        </w:tc>
      </w:tr>
      <w:tr w:rsidR="00D34C21" w:rsidRPr="00D34C21" w14:paraId="2D494CB4" w14:textId="77777777" w:rsidTr="00D34C21">
        <w:tc>
          <w:tcPr>
            <w:tcW w:w="1440" w:type="dxa"/>
          </w:tcPr>
          <w:p w14:paraId="489A713A" w14:textId="77777777" w:rsidR="00D34C21" w:rsidRPr="00D34C21" w:rsidRDefault="00D34C21" w:rsidP="00D34C21">
            <w:pPr>
              <w:ind w:right="46"/>
              <w:rPr>
                <w:rFonts w:ascii="Sylfaen" w:hAnsi="Sylfaen"/>
                <w:sz w:val="18"/>
                <w:lang w:val="ka-GE"/>
              </w:rPr>
            </w:pPr>
            <w:r w:rsidRPr="00D34C21">
              <w:rPr>
                <w:rFonts w:ascii="Sylfaen" w:hAnsi="Sylfaen"/>
                <w:sz w:val="18"/>
                <w:szCs w:val="22"/>
                <w:lang w:val="ka-GE"/>
              </w:rPr>
              <w:t>ხევი</w:t>
            </w:r>
            <w:r w:rsidRPr="00D34C21">
              <w:rPr>
                <w:rFonts w:ascii="AcadNusx" w:hAnsi="AcadNusx"/>
                <w:sz w:val="18"/>
                <w:szCs w:val="22"/>
                <w:lang w:val="fr-FR"/>
              </w:rPr>
              <w:t xml:space="preserve"> #52</w:t>
            </w:r>
            <w:r w:rsidRPr="00D34C21">
              <w:rPr>
                <w:rFonts w:ascii="Sylfaen" w:hAnsi="Sylfaen"/>
                <w:sz w:val="18"/>
                <w:szCs w:val="22"/>
                <w:lang w:val="ka-GE"/>
              </w:rPr>
              <w:t xml:space="preserve"> </w:t>
            </w:r>
          </w:p>
        </w:tc>
        <w:tc>
          <w:tcPr>
            <w:tcW w:w="628" w:type="dxa"/>
          </w:tcPr>
          <w:p w14:paraId="67F69CC7"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3.39</w:t>
            </w:r>
          </w:p>
        </w:tc>
        <w:tc>
          <w:tcPr>
            <w:tcW w:w="627" w:type="dxa"/>
          </w:tcPr>
          <w:p w14:paraId="7AE96EE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4.15</w:t>
            </w:r>
          </w:p>
        </w:tc>
        <w:tc>
          <w:tcPr>
            <w:tcW w:w="843" w:type="dxa"/>
          </w:tcPr>
          <w:p w14:paraId="6850BAB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0.0600</w:t>
            </w:r>
          </w:p>
        </w:tc>
        <w:tc>
          <w:tcPr>
            <w:tcW w:w="626" w:type="dxa"/>
          </w:tcPr>
          <w:p w14:paraId="7C17987A"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0.99</w:t>
            </w:r>
          </w:p>
        </w:tc>
        <w:tc>
          <w:tcPr>
            <w:tcW w:w="607" w:type="dxa"/>
          </w:tcPr>
          <w:p w14:paraId="304181A6"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1.15</w:t>
            </w:r>
          </w:p>
        </w:tc>
        <w:tc>
          <w:tcPr>
            <w:tcW w:w="613" w:type="dxa"/>
          </w:tcPr>
          <w:p w14:paraId="5C17848F"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0D455831"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0.87</w:t>
            </w:r>
          </w:p>
        </w:tc>
        <w:tc>
          <w:tcPr>
            <w:tcW w:w="625" w:type="dxa"/>
          </w:tcPr>
          <w:p w14:paraId="3854F50A"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0.88</w:t>
            </w:r>
          </w:p>
        </w:tc>
        <w:tc>
          <w:tcPr>
            <w:tcW w:w="797" w:type="dxa"/>
          </w:tcPr>
          <w:p w14:paraId="2E49650A"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33.1</w:t>
            </w:r>
          </w:p>
        </w:tc>
        <w:tc>
          <w:tcPr>
            <w:tcW w:w="797" w:type="dxa"/>
          </w:tcPr>
          <w:p w14:paraId="50B5F365"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27.6</w:t>
            </w:r>
          </w:p>
        </w:tc>
        <w:tc>
          <w:tcPr>
            <w:tcW w:w="797" w:type="dxa"/>
          </w:tcPr>
          <w:p w14:paraId="6F473D75"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21.2</w:t>
            </w:r>
          </w:p>
        </w:tc>
        <w:tc>
          <w:tcPr>
            <w:tcW w:w="797" w:type="dxa"/>
          </w:tcPr>
          <w:p w14:paraId="1B0DB48E"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15.0</w:t>
            </w:r>
          </w:p>
        </w:tc>
        <w:tc>
          <w:tcPr>
            <w:tcW w:w="797" w:type="dxa"/>
          </w:tcPr>
          <w:p w14:paraId="77D47995"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11.5</w:t>
            </w:r>
          </w:p>
        </w:tc>
      </w:tr>
      <w:tr w:rsidR="00D34C21" w:rsidRPr="00D34C21" w14:paraId="00D14506" w14:textId="77777777" w:rsidTr="00D34C21">
        <w:tc>
          <w:tcPr>
            <w:tcW w:w="1440" w:type="dxa"/>
          </w:tcPr>
          <w:p w14:paraId="70106DBA" w14:textId="77777777" w:rsidR="00D34C21" w:rsidRPr="00D34C21" w:rsidRDefault="00D34C21" w:rsidP="00D34C21">
            <w:pPr>
              <w:ind w:right="46"/>
              <w:rPr>
                <w:rFonts w:ascii="AcadNusx" w:hAnsi="AcadNusx"/>
                <w:sz w:val="18"/>
              </w:rPr>
            </w:pPr>
            <w:r w:rsidRPr="00D34C21">
              <w:rPr>
                <w:rFonts w:ascii="Sylfaen" w:hAnsi="Sylfaen"/>
                <w:sz w:val="18"/>
                <w:szCs w:val="22"/>
                <w:lang w:val="ka-GE"/>
              </w:rPr>
              <w:t>თელავისრიყე</w:t>
            </w:r>
            <w:r w:rsidRPr="00D34C21">
              <w:rPr>
                <w:rFonts w:ascii="AcadNusx" w:hAnsi="AcadNusx"/>
                <w:sz w:val="18"/>
                <w:szCs w:val="22"/>
              </w:rPr>
              <w:t xml:space="preserve"> #53</w:t>
            </w:r>
          </w:p>
        </w:tc>
        <w:tc>
          <w:tcPr>
            <w:tcW w:w="628" w:type="dxa"/>
          </w:tcPr>
          <w:p w14:paraId="414E7EB1"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24.7</w:t>
            </w:r>
          </w:p>
        </w:tc>
        <w:tc>
          <w:tcPr>
            <w:tcW w:w="627" w:type="dxa"/>
          </w:tcPr>
          <w:p w14:paraId="7B5F2B88"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12.0</w:t>
            </w:r>
          </w:p>
        </w:tc>
        <w:tc>
          <w:tcPr>
            <w:tcW w:w="843" w:type="dxa"/>
          </w:tcPr>
          <w:p w14:paraId="0D15FB71"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0.1059</w:t>
            </w:r>
          </w:p>
        </w:tc>
        <w:tc>
          <w:tcPr>
            <w:tcW w:w="626" w:type="dxa"/>
          </w:tcPr>
          <w:p w14:paraId="1F5BDB6B"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0.86</w:t>
            </w:r>
          </w:p>
        </w:tc>
        <w:tc>
          <w:tcPr>
            <w:tcW w:w="607" w:type="dxa"/>
          </w:tcPr>
          <w:p w14:paraId="21FD68A5"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1.19</w:t>
            </w:r>
          </w:p>
        </w:tc>
        <w:tc>
          <w:tcPr>
            <w:tcW w:w="613" w:type="dxa"/>
          </w:tcPr>
          <w:p w14:paraId="11A45471" w14:textId="77777777" w:rsidR="00D34C21" w:rsidRPr="00D34C21" w:rsidRDefault="00D34C21" w:rsidP="00D34C21">
            <w:pPr>
              <w:ind w:right="46"/>
              <w:rPr>
                <w:rFonts w:ascii="AcadNusx" w:hAnsi="AcadNusx"/>
                <w:sz w:val="18"/>
              </w:rPr>
            </w:pPr>
            <w:r w:rsidRPr="00D34C21">
              <w:rPr>
                <w:rFonts w:ascii="AcadNusx" w:hAnsi="AcadNusx"/>
                <w:sz w:val="18"/>
                <w:szCs w:val="22"/>
                <w:lang w:val="fr-FR"/>
              </w:rPr>
              <w:t>5.50</w:t>
            </w:r>
          </w:p>
        </w:tc>
        <w:tc>
          <w:tcPr>
            <w:tcW w:w="620" w:type="dxa"/>
          </w:tcPr>
          <w:p w14:paraId="68482600"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1.00</w:t>
            </w:r>
          </w:p>
        </w:tc>
        <w:tc>
          <w:tcPr>
            <w:tcW w:w="625" w:type="dxa"/>
          </w:tcPr>
          <w:p w14:paraId="32E6BB9F" w14:textId="77777777" w:rsidR="00D34C21" w:rsidRPr="00D34C21" w:rsidRDefault="00D34C21" w:rsidP="00D34C21">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14:paraId="58B892A2"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130</w:t>
            </w:r>
          </w:p>
        </w:tc>
        <w:tc>
          <w:tcPr>
            <w:tcW w:w="797" w:type="dxa"/>
          </w:tcPr>
          <w:p w14:paraId="3BDE42D1"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108</w:t>
            </w:r>
          </w:p>
        </w:tc>
        <w:tc>
          <w:tcPr>
            <w:tcW w:w="797" w:type="dxa"/>
          </w:tcPr>
          <w:p w14:paraId="58B63054"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83.0</w:t>
            </w:r>
          </w:p>
        </w:tc>
        <w:tc>
          <w:tcPr>
            <w:tcW w:w="797" w:type="dxa"/>
          </w:tcPr>
          <w:p w14:paraId="6068EFA3"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58.6</w:t>
            </w:r>
          </w:p>
        </w:tc>
        <w:tc>
          <w:tcPr>
            <w:tcW w:w="797" w:type="dxa"/>
          </w:tcPr>
          <w:p w14:paraId="34BE3A59" w14:textId="77777777" w:rsidR="00D34C21" w:rsidRPr="00D34C21" w:rsidRDefault="00D34C21" w:rsidP="00D34C21">
            <w:pPr>
              <w:tabs>
                <w:tab w:val="left" w:pos="216"/>
              </w:tabs>
              <w:ind w:right="46"/>
              <w:rPr>
                <w:rFonts w:ascii="AcadNusx" w:hAnsi="AcadNusx" w:cs="Arial"/>
                <w:position w:val="-6"/>
                <w:sz w:val="18"/>
              </w:rPr>
            </w:pPr>
            <w:r w:rsidRPr="00D34C21">
              <w:rPr>
                <w:rFonts w:ascii="AcadNusx" w:hAnsi="AcadNusx" w:cs="Arial"/>
                <w:position w:val="-6"/>
                <w:sz w:val="18"/>
                <w:szCs w:val="22"/>
              </w:rPr>
              <w:t>45.1</w:t>
            </w:r>
          </w:p>
        </w:tc>
      </w:tr>
    </w:tbl>
    <w:p w14:paraId="77519EBD" w14:textId="745F85A0" w:rsidR="00D34C21" w:rsidRPr="00256680" w:rsidRDefault="006D3BB5" w:rsidP="00DB613A">
      <w:pPr>
        <w:spacing w:before="200" w:after="200"/>
        <w:ind w:right="46"/>
        <w:rPr>
          <w:rFonts w:ascii="AcadNusx" w:hAnsi="AcadNusx"/>
          <w:szCs w:val="22"/>
          <w:lang w:val="fr-FR"/>
        </w:rPr>
      </w:pPr>
      <w:r>
        <w:rPr>
          <w:rFonts w:ascii="Sylfaen" w:hAnsi="Sylfaen"/>
          <w:lang w:val="ka-GE"/>
        </w:rPr>
        <w:t>გურჯაანის (ჩუმლაყი)</w:t>
      </w:r>
      <w:r>
        <w:rPr>
          <w:rFonts w:ascii="Sylfaen" w:hAnsi="Sylfaen"/>
          <w:lang w:val="en-US"/>
        </w:rPr>
        <w:t>-</w:t>
      </w:r>
      <w:r>
        <w:rPr>
          <w:rFonts w:ascii="Sylfaen" w:hAnsi="Sylfaen"/>
          <w:lang w:val="ka-GE"/>
        </w:rPr>
        <w:t xml:space="preserve">თელავის </w:t>
      </w:r>
      <w:r w:rsidR="00735AFE">
        <w:rPr>
          <w:rFonts w:ascii="Sylfaen" w:hAnsi="Sylfaen" w:cs="Sylfaen"/>
          <w:szCs w:val="22"/>
          <w:lang w:val="ka-GE"/>
        </w:rPr>
        <w:t>საპროექტო</w:t>
      </w:r>
      <w:r w:rsidR="00735AFE" w:rsidRPr="00AE7C13">
        <w:rPr>
          <w:rFonts w:ascii="AcadNusx" w:hAnsi="AcadNusx"/>
          <w:szCs w:val="22"/>
        </w:rPr>
        <w:t xml:space="preserve"> </w:t>
      </w:r>
      <w:r w:rsidR="00D34C21" w:rsidRPr="00256680">
        <w:rPr>
          <w:rFonts w:ascii="Sylfaen" w:hAnsi="Sylfaen" w:cs="Sylfaen"/>
          <w:szCs w:val="22"/>
          <w:lang w:val="fr-FR"/>
        </w:rPr>
        <w:t>გზის</w:t>
      </w:r>
      <w:r w:rsidR="00D34C21" w:rsidRPr="00256680">
        <w:rPr>
          <w:rFonts w:ascii="AcadNusx" w:hAnsi="AcadNusx"/>
          <w:szCs w:val="22"/>
          <w:lang w:val="fr-FR"/>
        </w:rPr>
        <w:t xml:space="preserve"> </w:t>
      </w:r>
      <w:r w:rsidR="00D34C21" w:rsidRPr="00256680">
        <w:rPr>
          <w:rFonts w:ascii="Sylfaen" w:hAnsi="Sylfaen" w:cs="Sylfaen"/>
          <w:szCs w:val="22"/>
          <w:lang w:val="fr-FR"/>
        </w:rPr>
        <w:t>გადამკვეთი</w:t>
      </w:r>
      <w:r w:rsidR="00D34C21" w:rsidRPr="00256680">
        <w:rPr>
          <w:rFonts w:ascii="AcadNusx" w:hAnsi="AcadNusx"/>
          <w:szCs w:val="22"/>
          <w:lang w:val="fr-FR"/>
        </w:rPr>
        <w:t xml:space="preserve"> </w:t>
      </w:r>
      <w:r w:rsidR="00D34C21" w:rsidRPr="00256680">
        <w:rPr>
          <w:rFonts w:ascii="Sylfaen" w:hAnsi="Sylfaen" w:cs="Sylfaen"/>
          <w:szCs w:val="22"/>
          <w:lang w:val="fr-FR"/>
        </w:rPr>
        <w:t>ჭერემისხევი</w:t>
      </w:r>
      <w:r w:rsidR="00D34C21" w:rsidRPr="00256680">
        <w:rPr>
          <w:rFonts w:ascii="AcadNusx" w:hAnsi="AcadNusx"/>
          <w:szCs w:val="22"/>
          <w:lang w:val="fr-FR"/>
        </w:rPr>
        <w:t xml:space="preserve"> (#5), </w:t>
      </w:r>
      <w:r w:rsidR="00D34C21" w:rsidRPr="00256680">
        <w:rPr>
          <w:rFonts w:ascii="Sylfaen" w:hAnsi="Sylfaen" w:cs="Sylfaen"/>
          <w:szCs w:val="22"/>
          <w:lang w:val="fr-FR"/>
        </w:rPr>
        <w:t>მღვრიეხევი</w:t>
      </w:r>
      <w:r w:rsidR="00D34C21" w:rsidRPr="00256680">
        <w:rPr>
          <w:rFonts w:ascii="AcadNusx" w:hAnsi="AcadNusx"/>
          <w:szCs w:val="22"/>
          <w:lang w:val="fr-FR"/>
        </w:rPr>
        <w:t xml:space="preserve"> (#11), </w:t>
      </w:r>
      <w:r w:rsidR="00D34C21" w:rsidRPr="00256680">
        <w:rPr>
          <w:rFonts w:ascii="Sylfaen" w:hAnsi="Sylfaen" w:cs="Sylfaen"/>
          <w:szCs w:val="22"/>
          <w:lang w:val="fr-FR"/>
        </w:rPr>
        <w:t>შრომისხევი</w:t>
      </w:r>
      <w:r w:rsidR="00D34C21" w:rsidRPr="00256680">
        <w:rPr>
          <w:rFonts w:ascii="AcadNusx" w:hAnsi="AcadNusx"/>
          <w:szCs w:val="22"/>
          <w:lang w:val="fr-FR"/>
        </w:rPr>
        <w:t xml:space="preserve"> (#19), </w:t>
      </w:r>
      <w:r w:rsidR="00D34C21" w:rsidRPr="00256680">
        <w:rPr>
          <w:rFonts w:ascii="Sylfaen" w:hAnsi="Sylfaen" w:cs="Sylfaen"/>
          <w:szCs w:val="22"/>
          <w:lang w:val="fr-FR"/>
        </w:rPr>
        <w:t>ვანთისხევი</w:t>
      </w:r>
      <w:r w:rsidR="00D34C21" w:rsidRPr="00256680">
        <w:rPr>
          <w:rFonts w:ascii="AcadNusx" w:hAnsi="AcadNusx"/>
          <w:szCs w:val="22"/>
          <w:lang w:val="fr-FR"/>
        </w:rPr>
        <w:t xml:space="preserve"> (#26), </w:t>
      </w:r>
      <w:r w:rsidR="00D34C21" w:rsidRPr="00256680">
        <w:rPr>
          <w:rFonts w:ascii="Sylfaen" w:hAnsi="Sylfaen" w:cs="Sylfaen"/>
          <w:szCs w:val="22"/>
          <w:lang w:val="fr-FR"/>
        </w:rPr>
        <w:t>ბუშეთისხევი</w:t>
      </w:r>
      <w:r w:rsidR="00D34C21" w:rsidRPr="00256680">
        <w:rPr>
          <w:rFonts w:ascii="AcadNusx" w:hAnsi="AcadNusx"/>
          <w:szCs w:val="22"/>
          <w:lang w:val="fr-FR"/>
        </w:rPr>
        <w:t xml:space="preserve"> (#32), </w:t>
      </w:r>
      <w:r w:rsidR="00D34C21" w:rsidRPr="00256680">
        <w:rPr>
          <w:rFonts w:ascii="Sylfaen" w:hAnsi="Sylfaen" w:cs="Sylfaen"/>
          <w:szCs w:val="22"/>
          <w:lang w:val="fr-FR"/>
        </w:rPr>
        <w:t>კისისხევი</w:t>
      </w:r>
      <w:r w:rsidR="00D34C21" w:rsidRPr="00256680">
        <w:rPr>
          <w:rFonts w:ascii="AcadNusx" w:hAnsi="AcadNusx"/>
          <w:szCs w:val="22"/>
          <w:lang w:val="fr-FR"/>
        </w:rPr>
        <w:t xml:space="preserve"> (#38), </w:t>
      </w:r>
      <w:r w:rsidR="00D34C21" w:rsidRPr="00256680">
        <w:rPr>
          <w:rFonts w:ascii="Sylfaen" w:hAnsi="Sylfaen" w:cs="Sylfaen"/>
          <w:szCs w:val="22"/>
          <w:lang w:val="fr-FR"/>
        </w:rPr>
        <w:t>სათლიანისხევი</w:t>
      </w:r>
      <w:r w:rsidR="00D34C21" w:rsidRPr="00256680">
        <w:rPr>
          <w:rFonts w:ascii="AcadNusx" w:hAnsi="AcadNusx"/>
          <w:szCs w:val="22"/>
          <w:lang w:val="fr-FR"/>
        </w:rPr>
        <w:t xml:space="preserve"> (#45), </w:t>
      </w:r>
      <w:r w:rsidR="00D34C21" w:rsidRPr="00256680">
        <w:rPr>
          <w:rFonts w:ascii="Sylfaen" w:hAnsi="Sylfaen" w:cs="Sylfaen"/>
          <w:szCs w:val="22"/>
          <w:lang w:val="fr-FR"/>
        </w:rPr>
        <w:t>ხრუკიასხევი</w:t>
      </w:r>
      <w:r w:rsidR="00D34C21" w:rsidRPr="00256680">
        <w:rPr>
          <w:rFonts w:ascii="AcadNusx" w:hAnsi="AcadNusx"/>
          <w:szCs w:val="22"/>
          <w:lang w:val="fr-FR"/>
        </w:rPr>
        <w:t xml:space="preserve"> (#47) </w:t>
      </w:r>
      <w:r w:rsidR="00D34C21" w:rsidRPr="00256680">
        <w:rPr>
          <w:rFonts w:ascii="Sylfaen" w:hAnsi="Sylfaen" w:cs="Sylfaen"/>
          <w:szCs w:val="22"/>
          <w:lang w:val="fr-FR"/>
        </w:rPr>
        <w:t>და</w:t>
      </w:r>
      <w:r w:rsidR="00D34C21" w:rsidRPr="00256680">
        <w:rPr>
          <w:rFonts w:ascii="AcadNusx" w:hAnsi="AcadNusx"/>
          <w:szCs w:val="22"/>
          <w:lang w:val="fr-FR"/>
        </w:rPr>
        <w:t xml:space="preserve"> </w:t>
      </w:r>
      <w:r w:rsidR="00D34C21" w:rsidRPr="00256680">
        <w:rPr>
          <w:rFonts w:ascii="Sylfaen" w:hAnsi="Sylfaen" w:cs="Sylfaen"/>
          <w:szCs w:val="22"/>
          <w:lang w:val="fr-FR"/>
        </w:rPr>
        <w:t>თელავისრიყე</w:t>
      </w:r>
      <w:r w:rsidR="00D34C21" w:rsidRPr="00256680">
        <w:rPr>
          <w:rFonts w:ascii="AcadNusx" w:hAnsi="AcadNusx"/>
          <w:szCs w:val="22"/>
          <w:lang w:val="fr-FR"/>
        </w:rPr>
        <w:t xml:space="preserve"> (#53), </w:t>
      </w:r>
      <w:r w:rsidR="00D34C21" w:rsidRPr="00256680">
        <w:rPr>
          <w:rFonts w:ascii="Sylfaen" w:hAnsi="Sylfaen" w:cs="Sylfaen"/>
          <w:szCs w:val="22"/>
          <w:lang w:val="fr-FR"/>
        </w:rPr>
        <w:t>როგორც</w:t>
      </w:r>
      <w:r w:rsidR="00D34C21" w:rsidRPr="00256680">
        <w:rPr>
          <w:rFonts w:ascii="AcadNusx" w:hAnsi="AcadNusx"/>
          <w:szCs w:val="22"/>
          <w:lang w:val="fr-FR"/>
        </w:rPr>
        <w:t xml:space="preserve"> </w:t>
      </w:r>
      <w:r w:rsidR="00D34C21" w:rsidRPr="00256680">
        <w:rPr>
          <w:rFonts w:ascii="Sylfaen" w:hAnsi="Sylfaen" w:cs="Sylfaen"/>
          <w:szCs w:val="22"/>
          <w:lang w:val="fr-FR"/>
        </w:rPr>
        <w:t>ზემოთ</w:t>
      </w:r>
      <w:r w:rsidR="00D34C21" w:rsidRPr="00256680">
        <w:rPr>
          <w:rFonts w:ascii="AcadNusx" w:hAnsi="AcadNusx"/>
          <w:szCs w:val="22"/>
          <w:lang w:val="fr-FR"/>
        </w:rPr>
        <w:t xml:space="preserve"> </w:t>
      </w:r>
      <w:r w:rsidR="00D34C21" w:rsidRPr="00256680">
        <w:rPr>
          <w:rFonts w:ascii="Sylfaen" w:hAnsi="Sylfaen" w:cs="Sylfaen"/>
          <w:szCs w:val="22"/>
          <w:lang w:val="fr-FR"/>
        </w:rPr>
        <w:t>იყო</w:t>
      </w:r>
      <w:r w:rsidR="00D34C21" w:rsidRPr="00256680">
        <w:rPr>
          <w:rFonts w:ascii="AcadNusx" w:hAnsi="AcadNusx"/>
          <w:szCs w:val="22"/>
          <w:lang w:val="fr-FR"/>
        </w:rPr>
        <w:t xml:space="preserve"> </w:t>
      </w:r>
      <w:r w:rsidR="00D34C21" w:rsidRPr="00256680">
        <w:rPr>
          <w:rFonts w:ascii="Sylfaen" w:hAnsi="Sylfaen" w:cs="Sylfaen"/>
          <w:szCs w:val="22"/>
          <w:lang w:val="fr-FR"/>
        </w:rPr>
        <w:t>აღნიშნული</w:t>
      </w:r>
      <w:r w:rsidR="00D34C21" w:rsidRPr="00256680">
        <w:rPr>
          <w:rFonts w:ascii="AcadNusx" w:hAnsi="AcadNusx"/>
          <w:szCs w:val="22"/>
          <w:lang w:val="fr-FR"/>
        </w:rPr>
        <w:t xml:space="preserve">, </w:t>
      </w:r>
      <w:r w:rsidR="00D34C21" w:rsidRPr="00256680">
        <w:rPr>
          <w:rFonts w:ascii="Sylfaen" w:hAnsi="Sylfaen" w:cs="Sylfaen"/>
          <w:szCs w:val="22"/>
          <w:lang w:val="fr-FR"/>
        </w:rPr>
        <w:t>ღვარცოფული</w:t>
      </w:r>
      <w:r w:rsidR="00D34C21" w:rsidRPr="00256680">
        <w:rPr>
          <w:rFonts w:ascii="AcadNusx" w:hAnsi="AcadNusx"/>
          <w:szCs w:val="22"/>
          <w:lang w:val="fr-FR"/>
        </w:rPr>
        <w:t xml:space="preserve"> </w:t>
      </w:r>
      <w:r w:rsidR="00D34C21" w:rsidRPr="00256680">
        <w:rPr>
          <w:rFonts w:ascii="Sylfaen" w:hAnsi="Sylfaen" w:cs="Sylfaen"/>
          <w:szCs w:val="22"/>
          <w:lang w:val="fr-FR"/>
        </w:rPr>
        <w:t>ხასიათისაა</w:t>
      </w:r>
      <w:r w:rsidR="00D34C21" w:rsidRPr="00256680">
        <w:rPr>
          <w:rFonts w:ascii="AcadNusx" w:hAnsi="AcadNusx"/>
          <w:szCs w:val="22"/>
          <w:lang w:val="fr-FR"/>
        </w:rPr>
        <w:t xml:space="preserve">. </w:t>
      </w:r>
      <w:r w:rsidR="00D34C21" w:rsidRPr="00256680">
        <w:rPr>
          <w:rFonts w:ascii="Sylfaen" w:hAnsi="Sylfaen" w:cs="Sylfaen"/>
          <w:szCs w:val="22"/>
          <w:lang w:val="fr-FR"/>
        </w:rPr>
        <w:t>მათი</w:t>
      </w:r>
      <w:r w:rsidR="00D34C21" w:rsidRPr="00256680">
        <w:rPr>
          <w:rFonts w:ascii="AcadNusx" w:hAnsi="AcadNusx"/>
          <w:szCs w:val="22"/>
          <w:lang w:val="fr-FR"/>
        </w:rPr>
        <w:t xml:space="preserve"> </w:t>
      </w:r>
      <w:r w:rsidR="00D34C21" w:rsidRPr="00256680">
        <w:rPr>
          <w:rFonts w:ascii="Sylfaen" w:hAnsi="Sylfaen" w:cs="Sylfaen"/>
          <w:szCs w:val="22"/>
          <w:lang w:val="fr-FR"/>
        </w:rPr>
        <w:t>და</w:t>
      </w:r>
      <w:r w:rsidR="00D34C21" w:rsidRPr="00256680">
        <w:rPr>
          <w:rFonts w:ascii="AcadNusx" w:hAnsi="AcadNusx"/>
          <w:szCs w:val="22"/>
          <w:lang w:val="fr-FR"/>
        </w:rPr>
        <w:t xml:space="preserve"> </w:t>
      </w:r>
      <w:r w:rsidR="00D34C21" w:rsidRPr="00256680">
        <w:rPr>
          <w:rFonts w:ascii="Sylfaen" w:hAnsi="Sylfaen" w:cs="Sylfaen"/>
          <w:szCs w:val="22"/>
          <w:lang w:val="fr-FR"/>
        </w:rPr>
        <w:t>მათი</w:t>
      </w:r>
      <w:r w:rsidR="00D34C21" w:rsidRPr="00256680">
        <w:rPr>
          <w:rFonts w:ascii="AcadNusx" w:hAnsi="AcadNusx"/>
          <w:szCs w:val="22"/>
          <w:lang w:val="fr-FR"/>
        </w:rPr>
        <w:t xml:space="preserve"> </w:t>
      </w:r>
      <w:r w:rsidR="00D34C21" w:rsidRPr="00256680">
        <w:rPr>
          <w:rFonts w:ascii="Sylfaen" w:hAnsi="Sylfaen" w:cs="Sylfaen"/>
          <w:szCs w:val="22"/>
          <w:lang w:val="fr-FR"/>
        </w:rPr>
        <w:t>შენაკადების</w:t>
      </w:r>
      <w:r w:rsidR="00D34C21" w:rsidRPr="00256680">
        <w:rPr>
          <w:rFonts w:ascii="AcadNusx" w:hAnsi="AcadNusx"/>
          <w:szCs w:val="22"/>
          <w:lang w:val="fr-FR"/>
        </w:rPr>
        <w:t xml:space="preserve"> </w:t>
      </w:r>
      <w:r w:rsidR="00D34C21" w:rsidRPr="00256680">
        <w:rPr>
          <w:rFonts w:ascii="Sylfaen" w:hAnsi="Sylfaen" w:cs="Sylfaen"/>
          <w:szCs w:val="22"/>
          <w:lang w:val="fr-FR"/>
        </w:rPr>
        <w:t>ხეობების</w:t>
      </w:r>
      <w:r w:rsidR="00D34C21" w:rsidRPr="00256680">
        <w:rPr>
          <w:rFonts w:ascii="AcadNusx" w:hAnsi="AcadNusx"/>
          <w:szCs w:val="22"/>
          <w:lang w:val="fr-FR"/>
        </w:rPr>
        <w:t xml:space="preserve"> </w:t>
      </w:r>
      <w:r w:rsidR="00D34C21" w:rsidRPr="00256680">
        <w:rPr>
          <w:rFonts w:ascii="Sylfaen" w:hAnsi="Sylfaen" w:cs="Sylfaen"/>
          <w:szCs w:val="22"/>
          <w:lang w:val="fr-FR"/>
        </w:rPr>
        <w:t>მნიშვნელოვანი</w:t>
      </w:r>
      <w:r w:rsidR="00D34C21" w:rsidRPr="00256680">
        <w:rPr>
          <w:rFonts w:ascii="AcadNusx" w:hAnsi="AcadNusx"/>
          <w:szCs w:val="22"/>
          <w:lang w:val="fr-FR"/>
        </w:rPr>
        <w:t xml:space="preserve"> </w:t>
      </w:r>
      <w:r w:rsidR="00D34C21" w:rsidRPr="00256680">
        <w:rPr>
          <w:rFonts w:ascii="Sylfaen" w:hAnsi="Sylfaen" w:cs="Sylfaen"/>
          <w:szCs w:val="22"/>
          <w:lang w:val="fr-FR"/>
        </w:rPr>
        <w:t>ფართობები</w:t>
      </w:r>
      <w:r w:rsidR="00D34C21" w:rsidRPr="00256680">
        <w:rPr>
          <w:rFonts w:ascii="AcadNusx" w:hAnsi="AcadNusx"/>
          <w:szCs w:val="22"/>
          <w:lang w:val="fr-FR"/>
        </w:rPr>
        <w:t xml:space="preserve"> </w:t>
      </w:r>
      <w:r w:rsidR="00D34C21" w:rsidRPr="00256680">
        <w:rPr>
          <w:rFonts w:ascii="Sylfaen" w:hAnsi="Sylfaen" w:cs="Sylfaen"/>
          <w:szCs w:val="22"/>
          <w:lang w:val="fr-FR"/>
        </w:rPr>
        <w:t>გაშიშვლებულია</w:t>
      </w:r>
      <w:r w:rsidR="00D34C21" w:rsidRPr="00256680">
        <w:rPr>
          <w:rFonts w:ascii="AcadNusx" w:hAnsi="AcadNusx"/>
          <w:szCs w:val="22"/>
          <w:lang w:val="fr-FR"/>
        </w:rPr>
        <w:t xml:space="preserve">, </w:t>
      </w:r>
      <w:r w:rsidR="00D34C21" w:rsidRPr="00256680">
        <w:rPr>
          <w:rFonts w:ascii="Sylfaen" w:hAnsi="Sylfaen" w:cs="Sylfaen"/>
          <w:szCs w:val="22"/>
          <w:lang w:val="fr-FR"/>
        </w:rPr>
        <w:t>რის</w:t>
      </w:r>
      <w:r w:rsidR="00D34C21" w:rsidRPr="00256680">
        <w:rPr>
          <w:rFonts w:ascii="AcadNusx" w:hAnsi="AcadNusx"/>
          <w:szCs w:val="22"/>
          <w:lang w:val="fr-FR"/>
        </w:rPr>
        <w:t xml:space="preserve"> </w:t>
      </w:r>
      <w:r w:rsidR="00D34C21" w:rsidRPr="00256680">
        <w:rPr>
          <w:rFonts w:ascii="Sylfaen" w:hAnsi="Sylfaen" w:cs="Sylfaen"/>
          <w:szCs w:val="22"/>
          <w:lang w:val="fr-FR"/>
        </w:rPr>
        <w:lastRenderedPageBreak/>
        <w:t>გამო</w:t>
      </w:r>
      <w:r w:rsidR="00D34C21" w:rsidRPr="00256680">
        <w:rPr>
          <w:rFonts w:ascii="AcadNusx" w:hAnsi="AcadNusx"/>
          <w:szCs w:val="22"/>
          <w:lang w:val="fr-FR"/>
        </w:rPr>
        <w:t xml:space="preserve"> </w:t>
      </w:r>
      <w:r w:rsidR="00D34C21" w:rsidRPr="00256680">
        <w:rPr>
          <w:rFonts w:ascii="Sylfaen" w:hAnsi="Sylfaen" w:cs="Sylfaen"/>
          <w:szCs w:val="22"/>
          <w:lang w:val="fr-FR"/>
        </w:rPr>
        <w:t>ადგილი</w:t>
      </w:r>
      <w:r w:rsidR="00D34C21" w:rsidRPr="00256680">
        <w:rPr>
          <w:rFonts w:ascii="AcadNusx" w:hAnsi="AcadNusx"/>
          <w:szCs w:val="22"/>
          <w:lang w:val="fr-FR"/>
        </w:rPr>
        <w:t xml:space="preserve"> </w:t>
      </w:r>
      <w:r w:rsidR="00D34C21" w:rsidRPr="00256680">
        <w:rPr>
          <w:rFonts w:ascii="Sylfaen" w:hAnsi="Sylfaen" w:cs="Sylfaen"/>
          <w:szCs w:val="22"/>
          <w:lang w:val="fr-FR"/>
        </w:rPr>
        <w:t>აქვს</w:t>
      </w:r>
      <w:r w:rsidR="00D34C21" w:rsidRPr="00256680">
        <w:rPr>
          <w:rFonts w:ascii="AcadNusx" w:hAnsi="AcadNusx"/>
          <w:szCs w:val="22"/>
          <w:lang w:val="fr-FR"/>
        </w:rPr>
        <w:t xml:space="preserve"> </w:t>
      </w:r>
      <w:r w:rsidR="00D34C21" w:rsidRPr="00256680">
        <w:rPr>
          <w:rFonts w:ascii="Sylfaen" w:hAnsi="Sylfaen" w:cs="Sylfaen"/>
          <w:szCs w:val="22"/>
          <w:lang w:val="fr-FR"/>
        </w:rPr>
        <w:t>გრავიტაციული</w:t>
      </w:r>
      <w:r w:rsidR="00D34C21" w:rsidRPr="00256680">
        <w:rPr>
          <w:rFonts w:ascii="AcadNusx" w:hAnsi="AcadNusx"/>
          <w:szCs w:val="22"/>
          <w:lang w:val="fr-FR"/>
        </w:rPr>
        <w:t xml:space="preserve"> </w:t>
      </w:r>
      <w:r w:rsidR="00D34C21" w:rsidRPr="00256680">
        <w:rPr>
          <w:rFonts w:ascii="Sylfaen" w:hAnsi="Sylfaen" w:cs="Sylfaen"/>
          <w:szCs w:val="22"/>
          <w:lang w:val="fr-FR"/>
        </w:rPr>
        <w:t>პროცესების</w:t>
      </w:r>
      <w:r w:rsidR="00D34C21" w:rsidRPr="00256680">
        <w:rPr>
          <w:rFonts w:ascii="AcadNusx" w:hAnsi="AcadNusx"/>
          <w:szCs w:val="22"/>
          <w:lang w:val="fr-FR"/>
        </w:rPr>
        <w:t xml:space="preserve"> (</w:t>
      </w:r>
      <w:r w:rsidR="00D34C21" w:rsidRPr="00256680">
        <w:rPr>
          <w:rFonts w:ascii="Sylfaen" w:hAnsi="Sylfaen" w:cs="Sylfaen"/>
          <w:szCs w:val="22"/>
          <w:lang w:val="fr-FR"/>
        </w:rPr>
        <w:t>ქვათაცვენა</w:t>
      </w:r>
      <w:r w:rsidR="00D34C21" w:rsidRPr="00256680">
        <w:rPr>
          <w:rFonts w:ascii="AcadNusx" w:hAnsi="AcadNusx"/>
          <w:szCs w:val="22"/>
          <w:lang w:val="fr-FR"/>
        </w:rPr>
        <w:t xml:space="preserve">, </w:t>
      </w:r>
      <w:r w:rsidR="00D34C21" w:rsidRPr="00256680">
        <w:rPr>
          <w:rFonts w:ascii="Sylfaen" w:hAnsi="Sylfaen" w:cs="Sylfaen"/>
          <w:szCs w:val="22"/>
          <w:lang w:val="fr-FR"/>
        </w:rPr>
        <w:t>ნაშვავები</w:t>
      </w:r>
      <w:r w:rsidR="00D34C21" w:rsidRPr="00256680">
        <w:rPr>
          <w:rFonts w:ascii="AcadNusx" w:hAnsi="AcadNusx"/>
          <w:szCs w:val="22"/>
          <w:lang w:val="fr-FR"/>
        </w:rPr>
        <w:t xml:space="preserve">, </w:t>
      </w:r>
      <w:r w:rsidR="00D34C21" w:rsidRPr="00256680">
        <w:rPr>
          <w:rFonts w:ascii="Sylfaen" w:hAnsi="Sylfaen" w:cs="Sylfaen"/>
          <w:szCs w:val="22"/>
          <w:lang w:val="fr-FR"/>
        </w:rPr>
        <w:t>მეწყერები</w:t>
      </w:r>
      <w:r w:rsidR="00D34C21" w:rsidRPr="00256680">
        <w:rPr>
          <w:rFonts w:ascii="AcadNusx" w:hAnsi="AcadNusx"/>
          <w:szCs w:val="22"/>
          <w:lang w:val="fr-FR"/>
        </w:rPr>
        <w:t xml:space="preserve"> </w:t>
      </w:r>
      <w:r w:rsidR="00D34C21" w:rsidRPr="00256680">
        <w:rPr>
          <w:rFonts w:ascii="Sylfaen" w:hAnsi="Sylfaen" w:cs="Sylfaen"/>
          <w:szCs w:val="22"/>
          <w:lang w:val="fr-FR"/>
        </w:rPr>
        <w:t>და</w:t>
      </w:r>
      <w:r w:rsidR="00D34C21" w:rsidRPr="00256680">
        <w:rPr>
          <w:rFonts w:ascii="AcadNusx" w:hAnsi="AcadNusx"/>
          <w:szCs w:val="22"/>
          <w:lang w:val="fr-FR"/>
        </w:rPr>
        <w:t xml:space="preserve"> </w:t>
      </w:r>
      <w:r w:rsidR="00D34C21" w:rsidRPr="00256680">
        <w:rPr>
          <w:rFonts w:ascii="Sylfaen" w:hAnsi="Sylfaen" w:cs="Sylfaen"/>
          <w:szCs w:val="22"/>
          <w:lang w:val="fr-FR"/>
        </w:rPr>
        <w:t>სხვა</w:t>
      </w:r>
      <w:r w:rsidR="00D34C21" w:rsidRPr="00256680">
        <w:rPr>
          <w:rFonts w:ascii="AcadNusx" w:hAnsi="AcadNusx"/>
          <w:szCs w:val="22"/>
          <w:lang w:val="fr-FR"/>
        </w:rPr>
        <w:t xml:space="preserve">) </w:t>
      </w:r>
      <w:r w:rsidR="00D34C21" w:rsidRPr="00256680">
        <w:rPr>
          <w:rFonts w:ascii="Sylfaen" w:hAnsi="Sylfaen" w:cs="Sylfaen"/>
          <w:szCs w:val="22"/>
          <w:lang w:val="fr-FR"/>
        </w:rPr>
        <w:t>ინტენსიურ</w:t>
      </w:r>
      <w:r w:rsidR="00D34C21" w:rsidRPr="00256680">
        <w:rPr>
          <w:rFonts w:ascii="AcadNusx" w:hAnsi="AcadNusx"/>
          <w:szCs w:val="22"/>
          <w:lang w:val="fr-FR"/>
        </w:rPr>
        <w:t xml:space="preserve"> </w:t>
      </w:r>
      <w:r w:rsidR="00D34C21" w:rsidRPr="00256680">
        <w:rPr>
          <w:rFonts w:ascii="Sylfaen" w:hAnsi="Sylfaen" w:cs="Sylfaen"/>
          <w:szCs w:val="22"/>
          <w:lang w:val="fr-FR"/>
        </w:rPr>
        <w:t>გამოვლინებებს</w:t>
      </w:r>
      <w:r w:rsidR="00D34C21" w:rsidRPr="00256680">
        <w:rPr>
          <w:rFonts w:ascii="AcadNusx" w:hAnsi="AcadNusx"/>
          <w:szCs w:val="22"/>
          <w:lang w:val="fr-FR"/>
        </w:rPr>
        <w:t xml:space="preserve"> </w:t>
      </w:r>
      <w:r w:rsidR="00D34C21" w:rsidRPr="00256680">
        <w:rPr>
          <w:rFonts w:ascii="Sylfaen" w:hAnsi="Sylfaen" w:cs="Sylfaen"/>
          <w:szCs w:val="22"/>
          <w:lang w:val="fr-FR"/>
        </w:rPr>
        <w:t>და</w:t>
      </w:r>
      <w:r w:rsidR="00D34C21" w:rsidRPr="00256680">
        <w:rPr>
          <w:rFonts w:ascii="AcadNusx" w:hAnsi="AcadNusx"/>
          <w:szCs w:val="22"/>
          <w:lang w:val="fr-FR"/>
        </w:rPr>
        <w:t xml:space="preserve"> </w:t>
      </w:r>
      <w:r w:rsidR="00D34C21" w:rsidRPr="00256680">
        <w:rPr>
          <w:rFonts w:ascii="Sylfaen" w:hAnsi="Sylfaen" w:cs="Sylfaen"/>
          <w:szCs w:val="22"/>
          <w:lang w:val="fr-FR"/>
        </w:rPr>
        <w:t>ხეობის</w:t>
      </w:r>
      <w:r w:rsidR="00D34C21" w:rsidRPr="00256680">
        <w:rPr>
          <w:rFonts w:ascii="AcadNusx" w:hAnsi="AcadNusx"/>
          <w:szCs w:val="22"/>
          <w:lang w:val="fr-FR"/>
        </w:rPr>
        <w:t xml:space="preserve"> </w:t>
      </w:r>
      <w:r w:rsidR="00D34C21" w:rsidRPr="00256680">
        <w:rPr>
          <w:rFonts w:ascii="Sylfaen" w:hAnsi="Sylfaen" w:cs="Sylfaen"/>
          <w:szCs w:val="22"/>
          <w:lang w:val="fr-FR"/>
        </w:rPr>
        <w:t>ფსკერზე</w:t>
      </w:r>
      <w:r w:rsidR="00D34C21" w:rsidRPr="00256680">
        <w:rPr>
          <w:rFonts w:ascii="AcadNusx" w:hAnsi="AcadNusx"/>
          <w:szCs w:val="22"/>
          <w:lang w:val="fr-FR"/>
        </w:rPr>
        <w:t xml:space="preserve"> </w:t>
      </w:r>
      <w:r w:rsidR="00D34C21" w:rsidRPr="00256680">
        <w:rPr>
          <w:rFonts w:ascii="Sylfaen" w:hAnsi="Sylfaen" w:cs="Sylfaen"/>
          <w:szCs w:val="22"/>
          <w:lang w:val="fr-FR"/>
        </w:rPr>
        <w:t>დიდი</w:t>
      </w:r>
      <w:r w:rsidR="00D34C21" w:rsidRPr="00256680">
        <w:rPr>
          <w:rFonts w:ascii="AcadNusx" w:hAnsi="AcadNusx"/>
          <w:szCs w:val="22"/>
          <w:lang w:val="fr-FR"/>
        </w:rPr>
        <w:t xml:space="preserve"> </w:t>
      </w:r>
      <w:r w:rsidR="00D34C21" w:rsidRPr="00256680">
        <w:rPr>
          <w:rFonts w:ascii="Sylfaen" w:hAnsi="Sylfaen" w:cs="Sylfaen"/>
          <w:szCs w:val="22"/>
          <w:lang w:val="fr-FR"/>
        </w:rPr>
        <w:t>მოცულობის</w:t>
      </w:r>
      <w:r w:rsidR="00D34C21" w:rsidRPr="00256680">
        <w:rPr>
          <w:rFonts w:ascii="AcadNusx" w:hAnsi="AcadNusx"/>
          <w:szCs w:val="22"/>
          <w:lang w:val="fr-FR"/>
        </w:rPr>
        <w:t xml:space="preserve"> </w:t>
      </w:r>
      <w:r w:rsidR="00D34C21" w:rsidRPr="00256680">
        <w:rPr>
          <w:rFonts w:ascii="Sylfaen" w:hAnsi="Sylfaen" w:cs="Sylfaen"/>
          <w:szCs w:val="22"/>
          <w:lang w:val="fr-FR"/>
        </w:rPr>
        <w:t>მყარი</w:t>
      </w:r>
      <w:r w:rsidR="00D34C21" w:rsidRPr="00256680">
        <w:rPr>
          <w:rFonts w:ascii="AcadNusx" w:hAnsi="AcadNusx"/>
          <w:szCs w:val="22"/>
          <w:lang w:val="fr-FR"/>
        </w:rPr>
        <w:t xml:space="preserve"> </w:t>
      </w:r>
      <w:r w:rsidR="00D34C21" w:rsidRPr="00256680">
        <w:rPr>
          <w:rFonts w:ascii="Sylfaen" w:hAnsi="Sylfaen" w:cs="Sylfaen"/>
          <w:szCs w:val="22"/>
          <w:lang w:val="fr-FR"/>
        </w:rPr>
        <w:t>მასალის</w:t>
      </w:r>
      <w:r w:rsidR="00D34C21" w:rsidRPr="00256680">
        <w:rPr>
          <w:rFonts w:ascii="AcadNusx" w:hAnsi="AcadNusx"/>
          <w:szCs w:val="22"/>
          <w:lang w:val="fr-FR"/>
        </w:rPr>
        <w:t xml:space="preserve"> </w:t>
      </w:r>
      <w:r w:rsidR="00D34C21" w:rsidRPr="00256680">
        <w:rPr>
          <w:rFonts w:ascii="Sylfaen" w:hAnsi="Sylfaen" w:cs="Sylfaen"/>
          <w:szCs w:val="22"/>
          <w:lang w:val="fr-FR"/>
        </w:rPr>
        <w:t>დაგროვებას</w:t>
      </w:r>
      <w:r w:rsidR="00D34C21" w:rsidRPr="00256680">
        <w:rPr>
          <w:rFonts w:ascii="AcadNusx" w:hAnsi="AcadNusx"/>
          <w:szCs w:val="22"/>
          <w:lang w:val="fr-FR"/>
        </w:rPr>
        <w:t xml:space="preserve">. </w:t>
      </w:r>
      <w:r w:rsidR="00D34C21" w:rsidRPr="00256680">
        <w:rPr>
          <w:rFonts w:ascii="Sylfaen" w:hAnsi="Sylfaen" w:cs="Sylfaen"/>
          <w:szCs w:val="22"/>
          <w:lang w:val="fr-FR"/>
        </w:rPr>
        <w:t>ეს</w:t>
      </w:r>
      <w:r w:rsidR="00D34C21" w:rsidRPr="00256680">
        <w:rPr>
          <w:rFonts w:ascii="AcadNusx" w:hAnsi="AcadNusx"/>
          <w:szCs w:val="22"/>
          <w:lang w:val="fr-FR"/>
        </w:rPr>
        <w:t xml:space="preserve"> </w:t>
      </w:r>
      <w:r w:rsidR="00D34C21" w:rsidRPr="00256680">
        <w:rPr>
          <w:rFonts w:ascii="Sylfaen" w:hAnsi="Sylfaen" w:cs="Sylfaen"/>
          <w:szCs w:val="22"/>
          <w:lang w:val="fr-FR"/>
        </w:rPr>
        <w:t>უკანასკნელნი</w:t>
      </w:r>
      <w:r w:rsidR="00D34C21" w:rsidRPr="00256680">
        <w:rPr>
          <w:rFonts w:ascii="AcadNusx" w:hAnsi="AcadNusx"/>
          <w:szCs w:val="22"/>
          <w:lang w:val="fr-FR"/>
        </w:rPr>
        <w:t xml:space="preserve"> </w:t>
      </w:r>
      <w:r w:rsidR="00D34C21" w:rsidRPr="00256680">
        <w:rPr>
          <w:rFonts w:ascii="Sylfaen" w:hAnsi="Sylfaen" w:cs="Sylfaen"/>
          <w:szCs w:val="22"/>
          <w:lang w:val="fr-FR"/>
        </w:rPr>
        <w:t>წყალმოვარდნების</w:t>
      </w:r>
      <w:r w:rsidR="00D34C21" w:rsidRPr="00256680">
        <w:rPr>
          <w:rFonts w:ascii="AcadNusx" w:hAnsi="AcadNusx"/>
          <w:szCs w:val="22"/>
          <w:lang w:val="fr-FR"/>
        </w:rPr>
        <w:t xml:space="preserve"> </w:t>
      </w:r>
      <w:r w:rsidR="00D34C21" w:rsidRPr="00256680">
        <w:rPr>
          <w:rFonts w:ascii="Sylfaen" w:hAnsi="Sylfaen" w:cs="Sylfaen"/>
          <w:szCs w:val="22"/>
          <w:lang w:val="fr-FR"/>
        </w:rPr>
        <w:t>გავლის</w:t>
      </w:r>
      <w:r w:rsidR="00D34C21" w:rsidRPr="00256680">
        <w:rPr>
          <w:rFonts w:ascii="AcadNusx" w:hAnsi="AcadNusx"/>
          <w:szCs w:val="22"/>
          <w:lang w:val="fr-FR"/>
        </w:rPr>
        <w:t xml:space="preserve"> </w:t>
      </w:r>
      <w:r w:rsidR="00D34C21" w:rsidRPr="00256680">
        <w:rPr>
          <w:rFonts w:ascii="Sylfaen" w:hAnsi="Sylfaen" w:cs="Sylfaen"/>
          <w:szCs w:val="22"/>
          <w:lang w:val="fr-FR"/>
        </w:rPr>
        <w:t>პროცესში</w:t>
      </w:r>
      <w:r w:rsidR="00D34C21" w:rsidRPr="00256680">
        <w:rPr>
          <w:rFonts w:ascii="AcadNusx" w:hAnsi="AcadNusx"/>
          <w:szCs w:val="22"/>
          <w:lang w:val="fr-FR"/>
        </w:rPr>
        <w:t xml:space="preserve"> </w:t>
      </w:r>
      <w:r w:rsidR="00D34C21" w:rsidRPr="00256680">
        <w:rPr>
          <w:rFonts w:ascii="Sylfaen" w:hAnsi="Sylfaen" w:cs="Sylfaen"/>
          <w:szCs w:val="22"/>
          <w:lang w:val="fr-FR"/>
        </w:rPr>
        <w:t>წარმოადგენენ</w:t>
      </w:r>
      <w:r w:rsidR="00D34C21" w:rsidRPr="00256680">
        <w:rPr>
          <w:rFonts w:ascii="AcadNusx" w:hAnsi="AcadNusx"/>
          <w:szCs w:val="22"/>
          <w:lang w:val="fr-FR"/>
        </w:rPr>
        <w:t xml:space="preserve"> </w:t>
      </w:r>
      <w:r w:rsidR="00D34C21" w:rsidRPr="00256680">
        <w:rPr>
          <w:rFonts w:ascii="Sylfaen" w:hAnsi="Sylfaen" w:cs="Sylfaen"/>
          <w:szCs w:val="22"/>
          <w:lang w:val="fr-FR"/>
        </w:rPr>
        <w:t>ნაკადის</w:t>
      </w:r>
      <w:r w:rsidR="00D34C21" w:rsidRPr="00256680">
        <w:rPr>
          <w:rFonts w:ascii="AcadNusx" w:hAnsi="AcadNusx"/>
          <w:szCs w:val="22"/>
          <w:lang w:val="fr-FR"/>
        </w:rPr>
        <w:t xml:space="preserve"> </w:t>
      </w:r>
      <w:r w:rsidR="00D34C21" w:rsidRPr="00256680">
        <w:rPr>
          <w:rFonts w:ascii="Sylfaen" w:hAnsi="Sylfaen" w:cs="Sylfaen"/>
          <w:szCs w:val="22"/>
          <w:lang w:val="fr-FR"/>
        </w:rPr>
        <w:t>მყარი</w:t>
      </w:r>
      <w:r w:rsidR="00D34C21" w:rsidRPr="00256680">
        <w:rPr>
          <w:rFonts w:ascii="AcadNusx" w:hAnsi="AcadNusx"/>
          <w:szCs w:val="22"/>
          <w:lang w:val="fr-FR"/>
        </w:rPr>
        <w:t xml:space="preserve"> </w:t>
      </w:r>
      <w:r w:rsidR="00D34C21" w:rsidRPr="00256680">
        <w:rPr>
          <w:rFonts w:ascii="Sylfaen" w:hAnsi="Sylfaen" w:cs="Sylfaen"/>
          <w:szCs w:val="22"/>
          <w:lang w:val="fr-FR"/>
        </w:rPr>
        <w:t>მასალით</w:t>
      </w:r>
      <w:r w:rsidR="00D34C21" w:rsidRPr="00256680">
        <w:rPr>
          <w:rFonts w:ascii="AcadNusx" w:hAnsi="AcadNusx"/>
          <w:szCs w:val="22"/>
          <w:lang w:val="fr-FR"/>
        </w:rPr>
        <w:t xml:space="preserve"> </w:t>
      </w:r>
      <w:r w:rsidR="00D34C21" w:rsidRPr="00256680">
        <w:rPr>
          <w:rFonts w:ascii="Sylfaen" w:hAnsi="Sylfaen" w:cs="Sylfaen"/>
          <w:szCs w:val="22"/>
          <w:lang w:val="fr-FR"/>
        </w:rPr>
        <w:t>ინტენსიურად</w:t>
      </w:r>
      <w:r w:rsidR="00D34C21" w:rsidRPr="00256680">
        <w:rPr>
          <w:rFonts w:ascii="AcadNusx" w:hAnsi="AcadNusx"/>
          <w:szCs w:val="22"/>
          <w:lang w:val="fr-FR"/>
        </w:rPr>
        <w:t xml:space="preserve"> </w:t>
      </w:r>
      <w:r w:rsidR="00D34C21" w:rsidRPr="00256680">
        <w:rPr>
          <w:rFonts w:ascii="Sylfaen" w:hAnsi="Sylfaen" w:cs="Sylfaen"/>
          <w:szCs w:val="22"/>
          <w:lang w:val="fr-FR"/>
        </w:rPr>
        <w:t>შევსების</w:t>
      </w:r>
      <w:r w:rsidR="00D34C21" w:rsidRPr="00256680">
        <w:rPr>
          <w:rFonts w:ascii="AcadNusx" w:hAnsi="AcadNusx"/>
          <w:szCs w:val="22"/>
          <w:lang w:val="fr-FR"/>
        </w:rPr>
        <w:t xml:space="preserve"> </w:t>
      </w:r>
      <w:r w:rsidR="00D34C21" w:rsidRPr="00256680">
        <w:rPr>
          <w:rFonts w:ascii="Sylfaen" w:hAnsi="Sylfaen" w:cs="Sylfaen"/>
          <w:szCs w:val="22"/>
          <w:lang w:val="fr-FR"/>
        </w:rPr>
        <w:t>წყაროს</w:t>
      </w:r>
      <w:r w:rsidR="00D34C21" w:rsidRPr="00256680">
        <w:rPr>
          <w:rFonts w:ascii="AcadNusx" w:hAnsi="AcadNusx"/>
          <w:szCs w:val="22"/>
          <w:lang w:val="fr-FR"/>
        </w:rPr>
        <w:t xml:space="preserve">, </w:t>
      </w:r>
      <w:r w:rsidR="00D34C21" w:rsidRPr="00256680">
        <w:rPr>
          <w:rFonts w:ascii="Sylfaen" w:hAnsi="Sylfaen" w:cs="Sylfaen"/>
          <w:szCs w:val="22"/>
          <w:lang w:val="fr-FR"/>
        </w:rPr>
        <w:t>რის</w:t>
      </w:r>
      <w:r w:rsidR="00D34C21" w:rsidRPr="00256680">
        <w:rPr>
          <w:rFonts w:ascii="AcadNusx" w:hAnsi="AcadNusx"/>
          <w:szCs w:val="22"/>
          <w:lang w:val="fr-FR"/>
        </w:rPr>
        <w:t xml:space="preserve"> </w:t>
      </w:r>
      <w:r w:rsidR="00D34C21" w:rsidRPr="00256680">
        <w:rPr>
          <w:rFonts w:ascii="Sylfaen" w:hAnsi="Sylfaen" w:cs="Sylfaen"/>
          <w:szCs w:val="22"/>
          <w:lang w:val="fr-FR"/>
        </w:rPr>
        <w:t>შედეგად</w:t>
      </w:r>
      <w:r w:rsidR="00D34C21" w:rsidRPr="00256680">
        <w:rPr>
          <w:rFonts w:ascii="AcadNusx" w:hAnsi="AcadNusx"/>
          <w:szCs w:val="22"/>
          <w:lang w:val="fr-FR"/>
        </w:rPr>
        <w:t xml:space="preserve"> </w:t>
      </w:r>
      <w:r w:rsidR="00D34C21" w:rsidRPr="00256680">
        <w:rPr>
          <w:rFonts w:ascii="Sylfaen" w:hAnsi="Sylfaen" w:cs="Sylfaen"/>
          <w:szCs w:val="22"/>
          <w:lang w:val="fr-FR"/>
        </w:rPr>
        <w:t>კალაპოტის</w:t>
      </w:r>
      <w:r w:rsidR="00D34C21" w:rsidRPr="00256680">
        <w:rPr>
          <w:rFonts w:ascii="AcadNusx" w:hAnsi="AcadNusx"/>
          <w:szCs w:val="22"/>
          <w:lang w:val="fr-FR"/>
        </w:rPr>
        <w:t xml:space="preserve"> </w:t>
      </w:r>
      <w:r w:rsidR="00D34C21" w:rsidRPr="00256680">
        <w:rPr>
          <w:rFonts w:ascii="Sylfaen" w:hAnsi="Sylfaen" w:cs="Sylfaen"/>
          <w:szCs w:val="22"/>
          <w:lang w:val="fr-FR"/>
        </w:rPr>
        <w:t>გრძივი</w:t>
      </w:r>
      <w:r w:rsidR="00D34C21" w:rsidRPr="00256680">
        <w:rPr>
          <w:rFonts w:ascii="AcadNusx" w:hAnsi="AcadNusx"/>
          <w:szCs w:val="22"/>
          <w:lang w:val="fr-FR"/>
        </w:rPr>
        <w:t xml:space="preserve"> </w:t>
      </w:r>
      <w:r w:rsidR="00D34C21" w:rsidRPr="00256680">
        <w:rPr>
          <w:rFonts w:ascii="Sylfaen" w:hAnsi="Sylfaen" w:cs="Sylfaen"/>
          <w:szCs w:val="22"/>
          <w:lang w:val="fr-FR"/>
        </w:rPr>
        <w:t>ქანობების</w:t>
      </w:r>
      <w:r w:rsidR="00D34C21" w:rsidRPr="00256680">
        <w:rPr>
          <w:rFonts w:ascii="AcadNusx" w:hAnsi="AcadNusx"/>
          <w:szCs w:val="22"/>
          <w:lang w:val="fr-FR"/>
        </w:rPr>
        <w:t xml:space="preserve"> </w:t>
      </w:r>
      <w:r w:rsidR="00D34C21" w:rsidRPr="00256680">
        <w:rPr>
          <w:rFonts w:ascii="Sylfaen" w:hAnsi="Sylfaen" w:cs="Sylfaen"/>
          <w:szCs w:val="22"/>
          <w:lang w:val="fr-FR"/>
        </w:rPr>
        <w:t>მაღალი</w:t>
      </w:r>
      <w:r w:rsidR="00D34C21" w:rsidRPr="00256680">
        <w:rPr>
          <w:rFonts w:ascii="AcadNusx" w:hAnsi="AcadNusx"/>
          <w:szCs w:val="22"/>
          <w:lang w:val="fr-FR"/>
        </w:rPr>
        <w:t xml:space="preserve"> </w:t>
      </w:r>
      <w:r w:rsidR="00D34C21" w:rsidRPr="00256680">
        <w:rPr>
          <w:rFonts w:ascii="Sylfaen" w:hAnsi="Sylfaen" w:cs="Sylfaen"/>
          <w:szCs w:val="22"/>
          <w:lang w:val="fr-FR"/>
        </w:rPr>
        <w:t>მნიშვნელობის</w:t>
      </w:r>
      <w:r w:rsidR="00D34C21" w:rsidRPr="00256680">
        <w:rPr>
          <w:rFonts w:ascii="AcadNusx" w:hAnsi="AcadNusx"/>
          <w:szCs w:val="22"/>
          <w:lang w:val="fr-FR"/>
        </w:rPr>
        <w:t xml:space="preserve"> </w:t>
      </w:r>
      <w:r w:rsidR="00D34C21" w:rsidRPr="00256680">
        <w:rPr>
          <w:rFonts w:ascii="Sylfaen" w:hAnsi="Sylfaen" w:cs="Sylfaen"/>
          <w:szCs w:val="22"/>
          <w:lang w:val="fr-FR"/>
        </w:rPr>
        <w:t>პირობებში</w:t>
      </w:r>
      <w:r w:rsidR="00D34C21" w:rsidRPr="00256680">
        <w:rPr>
          <w:rFonts w:ascii="AcadNusx" w:hAnsi="AcadNusx"/>
          <w:szCs w:val="22"/>
          <w:lang w:val="fr-FR"/>
        </w:rPr>
        <w:t xml:space="preserve"> </w:t>
      </w:r>
      <w:r w:rsidR="00D34C21" w:rsidRPr="00256680">
        <w:rPr>
          <w:rFonts w:ascii="Sylfaen" w:hAnsi="Sylfaen" w:cs="Sylfaen"/>
          <w:szCs w:val="22"/>
          <w:lang w:val="fr-FR"/>
        </w:rPr>
        <w:t>წყალმოვარდნის</w:t>
      </w:r>
      <w:r w:rsidR="00D34C21" w:rsidRPr="00256680">
        <w:rPr>
          <w:rFonts w:ascii="AcadNusx" w:hAnsi="AcadNusx"/>
          <w:szCs w:val="22"/>
          <w:lang w:val="fr-FR"/>
        </w:rPr>
        <w:t xml:space="preserve"> </w:t>
      </w:r>
      <w:r w:rsidR="00D34C21" w:rsidRPr="00256680">
        <w:rPr>
          <w:rFonts w:ascii="Sylfaen" w:hAnsi="Sylfaen" w:cs="Sylfaen"/>
          <w:szCs w:val="22"/>
          <w:lang w:val="fr-FR"/>
        </w:rPr>
        <w:t>ნაკადები</w:t>
      </w:r>
      <w:r w:rsidR="00D34C21" w:rsidRPr="00256680">
        <w:rPr>
          <w:rFonts w:ascii="AcadNusx" w:hAnsi="AcadNusx"/>
          <w:szCs w:val="22"/>
          <w:lang w:val="fr-FR"/>
        </w:rPr>
        <w:t xml:space="preserve"> </w:t>
      </w:r>
      <w:r w:rsidR="00D34C21" w:rsidRPr="00256680">
        <w:rPr>
          <w:rFonts w:ascii="Sylfaen" w:hAnsi="Sylfaen" w:cs="Sylfaen"/>
          <w:szCs w:val="22"/>
          <w:lang w:val="fr-FR"/>
        </w:rPr>
        <w:t>ზღვრულად</w:t>
      </w:r>
      <w:r w:rsidR="00D34C21" w:rsidRPr="00256680">
        <w:rPr>
          <w:rFonts w:ascii="AcadNusx" w:hAnsi="AcadNusx"/>
          <w:szCs w:val="22"/>
          <w:lang w:val="fr-FR"/>
        </w:rPr>
        <w:t xml:space="preserve"> </w:t>
      </w:r>
      <w:r w:rsidR="00D34C21" w:rsidRPr="00256680">
        <w:rPr>
          <w:rFonts w:ascii="Sylfaen" w:hAnsi="Sylfaen" w:cs="Sylfaen"/>
          <w:szCs w:val="22"/>
          <w:lang w:val="fr-FR"/>
        </w:rPr>
        <w:t>იტვირთება</w:t>
      </w:r>
      <w:r w:rsidR="00D34C21" w:rsidRPr="00256680">
        <w:rPr>
          <w:rFonts w:ascii="AcadNusx" w:hAnsi="AcadNusx"/>
          <w:szCs w:val="22"/>
          <w:lang w:val="fr-FR"/>
        </w:rPr>
        <w:t xml:space="preserve"> </w:t>
      </w:r>
      <w:r w:rsidR="00D34C21" w:rsidRPr="00256680">
        <w:rPr>
          <w:rFonts w:ascii="Sylfaen" w:hAnsi="Sylfaen" w:cs="Sylfaen"/>
          <w:szCs w:val="22"/>
          <w:lang w:val="fr-FR"/>
        </w:rPr>
        <w:t>მყარი</w:t>
      </w:r>
      <w:r w:rsidR="00D34C21" w:rsidRPr="00256680">
        <w:rPr>
          <w:rFonts w:ascii="AcadNusx" w:hAnsi="AcadNusx"/>
          <w:szCs w:val="22"/>
          <w:lang w:val="fr-FR"/>
        </w:rPr>
        <w:t xml:space="preserve"> </w:t>
      </w:r>
      <w:r w:rsidR="00D34C21" w:rsidRPr="00256680">
        <w:rPr>
          <w:rFonts w:ascii="Sylfaen" w:hAnsi="Sylfaen" w:cs="Sylfaen"/>
          <w:szCs w:val="22"/>
          <w:lang w:val="fr-FR"/>
        </w:rPr>
        <w:t>ნაშალი</w:t>
      </w:r>
      <w:r w:rsidR="00D34C21" w:rsidRPr="00256680">
        <w:rPr>
          <w:rFonts w:ascii="AcadNusx" w:hAnsi="AcadNusx"/>
          <w:szCs w:val="22"/>
          <w:lang w:val="fr-FR"/>
        </w:rPr>
        <w:t xml:space="preserve"> </w:t>
      </w:r>
      <w:r w:rsidR="00D34C21" w:rsidRPr="00256680">
        <w:rPr>
          <w:rFonts w:ascii="Sylfaen" w:hAnsi="Sylfaen" w:cs="Sylfaen"/>
          <w:szCs w:val="22"/>
          <w:lang w:val="fr-FR"/>
        </w:rPr>
        <w:t>მასალით</w:t>
      </w:r>
      <w:r w:rsidR="00D34C21" w:rsidRPr="00256680">
        <w:rPr>
          <w:rFonts w:ascii="AcadNusx" w:hAnsi="AcadNusx"/>
          <w:szCs w:val="22"/>
          <w:lang w:val="fr-FR"/>
        </w:rPr>
        <w:t xml:space="preserve"> </w:t>
      </w:r>
      <w:r w:rsidR="00D34C21" w:rsidRPr="00256680">
        <w:rPr>
          <w:rFonts w:ascii="Sylfaen" w:hAnsi="Sylfaen" w:cs="Sylfaen"/>
          <w:szCs w:val="22"/>
          <w:lang w:val="fr-FR"/>
        </w:rPr>
        <w:t>და</w:t>
      </w:r>
      <w:r w:rsidR="00D34C21" w:rsidRPr="00256680">
        <w:rPr>
          <w:rFonts w:ascii="AcadNusx" w:hAnsi="AcadNusx"/>
          <w:szCs w:val="22"/>
          <w:lang w:val="fr-FR"/>
        </w:rPr>
        <w:t xml:space="preserve"> </w:t>
      </w:r>
      <w:r w:rsidR="00D34C21" w:rsidRPr="00256680">
        <w:rPr>
          <w:rFonts w:ascii="Sylfaen" w:hAnsi="Sylfaen" w:cs="Sylfaen"/>
          <w:szCs w:val="22"/>
          <w:lang w:val="fr-FR"/>
        </w:rPr>
        <w:t>წარმოიქმნება</w:t>
      </w:r>
      <w:r w:rsidR="00D34C21" w:rsidRPr="00256680">
        <w:rPr>
          <w:rFonts w:ascii="AcadNusx" w:hAnsi="AcadNusx"/>
          <w:szCs w:val="22"/>
          <w:lang w:val="fr-FR"/>
        </w:rPr>
        <w:t xml:space="preserve"> </w:t>
      </w:r>
      <w:r w:rsidR="00D34C21" w:rsidRPr="00256680">
        <w:rPr>
          <w:rFonts w:ascii="Sylfaen" w:hAnsi="Sylfaen" w:cs="Sylfaen"/>
          <w:szCs w:val="22"/>
          <w:lang w:val="fr-FR"/>
        </w:rPr>
        <w:t>ორფაზა</w:t>
      </w:r>
      <w:r w:rsidR="00D34C21" w:rsidRPr="00256680">
        <w:rPr>
          <w:rFonts w:ascii="AcadNusx" w:hAnsi="AcadNusx"/>
          <w:szCs w:val="22"/>
          <w:lang w:val="fr-FR"/>
        </w:rPr>
        <w:t xml:space="preserve"> </w:t>
      </w:r>
      <w:r w:rsidR="00D34C21" w:rsidRPr="00256680">
        <w:rPr>
          <w:rFonts w:ascii="Sylfaen" w:hAnsi="Sylfaen" w:cs="Sylfaen"/>
          <w:szCs w:val="22"/>
          <w:lang w:val="fr-FR"/>
        </w:rPr>
        <w:t>ნაკადები</w:t>
      </w:r>
      <w:r w:rsidR="00D34C21" w:rsidRPr="00256680">
        <w:rPr>
          <w:rFonts w:ascii="AcadNusx" w:hAnsi="AcadNusx"/>
          <w:szCs w:val="22"/>
          <w:lang w:val="fr-FR"/>
        </w:rPr>
        <w:t xml:space="preserve">, </w:t>
      </w:r>
      <w:r w:rsidR="00D34C21" w:rsidRPr="00256680">
        <w:rPr>
          <w:rFonts w:ascii="Sylfaen" w:hAnsi="Sylfaen" w:cs="Sylfaen"/>
          <w:szCs w:val="22"/>
          <w:lang w:val="fr-FR"/>
        </w:rPr>
        <w:t>ანუ</w:t>
      </w:r>
      <w:r w:rsidR="00D34C21" w:rsidRPr="00256680">
        <w:rPr>
          <w:rFonts w:ascii="AcadNusx" w:hAnsi="AcadNusx"/>
          <w:szCs w:val="22"/>
          <w:lang w:val="fr-FR"/>
        </w:rPr>
        <w:t xml:space="preserve"> </w:t>
      </w:r>
      <w:r w:rsidR="00D34C21" w:rsidRPr="00256680">
        <w:rPr>
          <w:rFonts w:ascii="Sylfaen" w:hAnsi="Sylfaen" w:cs="Sylfaen"/>
          <w:szCs w:val="22"/>
          <w:lang w:val="fr-FR"/>
        </w:rPr>
        <w:t>ღვარცოფები</w:t>
      </w:r>
      <w:r w:rsidR="00D34C21" w:rsidRPr="00256680">
        <w:rPr>
          <w:rFonts w:ascii="AcadNusx" w:hAnsi="AcadNusx"/>
          <w:szCs w:val="22"/>
          <w:lang w:val="fr-FR"/>
        </w:rPr>
        <w:t>.</w:t>
      </w:r>
    </w:p>
    <w:p w14:paraId="1143B545" w14:textId="77777777" w:rsidR="00D34C21" w:rsidRPr="00145D9F" w:rsidRDefault="00D34C21" w:rsidP="00E12C77">
      <w:pPr>
        <w:spacing w:before="120" w:after="120"/>
        <w:ind w:right="46"/>
        <w:rPr>
          <w:rFonts w:ascii="AcadNusx" w:hAnsi="AcadNusx"/>
          <w:color w:val="FF0000"/>
          <w:szCs w:val="22"/>
          <w:lang w:val="es-ES"/>
        </w:rPr>
      </w:pPr>
      <w:r w:rsidRPr="00256680">
        <w:rPr>
          <w:rFonts w:ascii="Sylfaen" w:hAnsi="Sylfaen" w:cs="Sylfaen"/>
          <w:szCs w:val="22"/>
          <w:lang w:val="fr-FR"/>
        </w:rPr>
        <w:t>მსგავს</w:t>
      </w:r>
      <w:r w:rsidRPr="00256680">
        <w:rPr>
          <w:rFonts w:ascii="AcadNusx" w:hAnsi="AcadNusx"/>
          <w:szCs w:val="22"/>
          <w:lang w:val="fr-FR"/>
        </w:rPr>
        <w:t xml:space="preserve"> </w:t>
      </w:r>
      <w:r w:rsidRPr="00256680">
        <w:rPr>
          <w:rFonts w:ascii="Sylfaen" w:hAnsi="Sylfaen" w:cs="Sylfaen"/>
          <w:szCs w:val="22"/>
          <w:lang w:val="fr-FR"/>
        </w:rPr>
        <w:t>ნაკადებში</w:t>
      </w:r>
      <w:r w:rsidRPr="00256680">
        <w:rPr>
          <w:rFonts w:ascii="AcadNusx" w:hAnsi="AcadNusx"/>
          <w:szCs w:val="22"/>
          <w:lang w:val="fr-FR"/>
        </w:rPr>
        <w:t xml:space="preserve"> </w:t>
      </w:r>
      <w:r w:rsidRPr="00256680">
        <w:rPr>
          <w:rFonts w:ascii="Sylfaen" w:hAnsi="Sylfaen" w:cs="Sylfaen"/>
          <w:szCs w:val="22"/>
          <w:lang w:val="fr-FR"/>
        </w:rPr>
        <w:t>მყარი</w:t>
      </w:r>
      <w:r w:rsidRPr="00256680">
        <w:rPr>
          <w:rFonts w:ascii="AcadNusx" w:hAnsi="AcadNusx"/>
          <w:szCs w:val="22"/>
          <w:lang w:val="fr-FR"/>
        </w:rPr>
        <w:t xml:space="preserve"> </w:t>
      </w:r>
      <w:r w:rsidRPr="00256680">
        <w:rPr>
          <w:rFonts w:ascii="Sylfaen" w:hAnsi="Sylfaen" w:cs="Sylfaen"/>
          <w:szCs w:val="22"/>
          <w:lang w:val="fr-FR"/>
        </w:rPr>
        <w:t>ნატანის</w:t>
      </w:r>
      <w:r w:rsidRPr="00256680">
        <w:rPr>
          <w:rFonts w:ascii="AcadNusx" w:hAnsi="AcadNusx"/>
          <w:szCs w:val="22"/>
          <w:lang w:val="fr-FR"/>
        </w:rPr>
        <w:t xml:space="preserve"> </w:t>
      </w:r>
      <w:r w:rsidRPr="00256680">
        <w:rPr>
          <w:rFonts w:ascii="Sylfaen" w:hAnsi="Sylfaen" w:cs="Sylfaen"/>
          <w:szCs w:val="22"/>
          <w:lang w:val="fr-FR"/>
        </w:rPr>
        <w:t>ზღვრული</w:t>
      </w:r>
      <w:r w:rsidRPr="00256680">
        <w:rPr>
          <w:rFonts w:ascii="AcadNusx" w:hAnsi="AcadNusx"/>
          <w:szCs w:val="22"/>
          <w:lang w:val="fr-FR"/>
        </w:rPr>
        <w:t xml:space="preserve"> </w:t>
      </w:r>
      <w:r w:rsidRPr="00256680">
        <w:rPr>
          <w:rFonts w:ascii="Sylfaen" w:hAnsi="Sylfaen" w:cs="Sylfaen"/>
          <w:szCs w:val="22"/>
          <w:lang w:val="fr-FR"/>
        </w:rPr>
        <w:t>მოცულობა</w:t>
      </w:r>
      <w:r w:rsidRPr="00256680">
        <w:rPr>
          <w:rFonts w:ascii="AcadNusx" w:hAnsi="AcadNusx"/>
          <w:szCs w:val="22"/>
          <w:lang w:val="fr-FR"/>
        </w:rPr>
        <w:t xml:space="preserve"> (</w:t>
      </w:r>
      <w:r w:rsidRPr="00256680">
        <w:rPr>
          <w:rFonts w:ascii="Sylfaen" w:hAnsi="Sylfaen" w:cs="Sylfaen"/>
          <w:szCs w:val="22"/>
          <w:lang w:val="fr-FR"/>
        </w:rPr>
        <w:t>მოცულობითი</w:t>
      </w:r>
      <w:r w:rsidRPr="00256680">
        <w:rPr>
          <w:rFonts w:ascii="AcadNusx" w:hAnsi="AcadNusx"/>
          <w:szCs w:val="22"/>
          <w:lang w:val="fr-FR"/>
        </w:rPr>
        <w:t xml:space="preserve"> </w:t>
      </w:r>
      <w:r w:rsidRPr="00256680">
        <w:rPr>
          <w:rFonts w:ascii="Sylfaen" w:hAnsi="Sylfaen" w:cs="Sylfaen"/>
          <w:szCs w:val="22"/>
          <w:lang w:val="fr-FR"/>
        </w:rPr>
        <w:t>კონცენტრაცია</w:t>
      </w:r>
      <w:r w:rsidRPr="00145D9F">
        <w:rPr>
          <w:rFonts w:ascii="AcadNusx" w:hAnsi="AcadNusx"/>
          <w:szCs w:val="22"/>
          <w:lang w:val="es-ES"/>
        </w:rPr>
        <w:t xml:space="preserve">) </w:t>
      </w:r>
      <w:r w:rsidRPr="00145D9F">
        <w:rPr>
          <w:rFonts w:ascii="AcadNusx" w:hAnsi="AcadNusx"/>
          <w:position w:val="-10"/>
          <w:szCs w:val="22"/>
          <w:lang w:val="es-ES"/>
        </w:rPr>
        <w:object w:dxaOrig="520" w:dyaOrig="320" w14:anchorId="7A40BCEA">
          <v:shape id="_x0000_i1056" type="#_x0000_t75" style="width:28.45pt;height:14.25pt" o:ole="">
            <v:imagedata r:id="rId169" o:title=""/>
          </v:shape>
          <o:OLEObject Type="Embed" ProgID="Equation.3" ShapeID="_x0000_i1056" DrawAspect="Content" ObjectID="_1612194578" r:id="rId170"/>
        </w:object>
      </w:r>
      <w:r w:rsidRPr="00145D9F">
        <w:rPr>
          <w:rFonts w:ascii="AcadNusx" w:hAnsi="AcadNusx"/>
          <w:szCs w:val="22"/>
          <w:lang w:val="es-ES"/>
        </w:rPr>
        <w:t xml:space="preserve">0,20_0,25 </w:t>
      </w:r>
      <w:r w:rsidRPr="00E65234">
        <w:rPr>
          <w:rFonts w:ascii="Sylfaen" w:hAnsi="Sylfaen" w:cs="Sylfaen"/>
          <w:szCs w:val="22"/>
          <w:lang w:val="es-ES"/>
        </w:rPr>
        <w:t>აღწევს</w:t>
      </w:r>
      <w:r w:rsidRPr="00E65234">
        <w:rPr>
          <w:rFonts w:ascii="AcadNusx" w:hAnsi="AcadNusx"/>
          <w:szCs w:val="22"/>
          <w:lang w:val="es-ES"/>
        </w:rPr>
        <w:t xml:space="preserve">. </w:t>
      </w:r>
      <w:r w:rsidRPr="00E65234">
        <w:rPr>
          <w:rFonts w:ascii="Sylfaen" w:hAnsi="Sylfaen" w:cs="Sylfaen"/>
          <w:szCs w:val="22"/>
          <w:lang w:val="es-ES"/>
        </w:rPr>
        <w:t>ჩვენ</w:t>
      </w:r>
      <w:r w:rsidRPr="00E65234">
        <w:rPr>
          <w:rFonts w:ascii="AcadNusx" w:hAnsi="AcadNusx"/>
          <w:szCs w:val="22"/>
          <w:lang w:val="es-ES"/>
        </w:rPr>
        <w:t xml:space="preserve"> </w:t>
      </w:r>
      <w:r w:rsidRPr="00E65234">
        <w:rPr>
          <w:rFonts w:ascii="Sylfaen" w:hAnsi="Sylfaen" w:cs="Sylfaen"/>
          <w:szCs w:val="22"/>
          <w:lang w:val="es-ES"/>
        </w:rPr>
        <w:t>შემთხვევაში</w:t>
      </w:r>
      <w:r w:rsidRPr="00E65234">
        <w:rPr>
          <w:rFonts w:ascii="AcadNusx" w:hAnsi="AcadNusx"/>
          <w:szCs w:val="22"/>
          <w:lang w:val="es-ES"/>
        </w:rPr>
        <w:t xml:space="preserve">, </w:t>
      </w:r>
      <w:r w:rsidRPr="00E65234">
        <w:rPr>
          <w:rFonts w:ascii="Sylfaen" w:hAnsi="Sylfaen" w:cs="Sylfaen"/>
          <w:szCs w:val="22"/>
          <w:lang w:val="es-ES"/>
        </w:rPr>
        <w:t>აღნიშნული</w:t>
      </w:r>
      <w:r w:rsidRPr="00E65234">
        <w:rPr>
          <w:rFonts w:ascii="AcadNusx" w:hAnsi="AcadNusx"/>
          <w:szCs w:val="22"/>
          <w:lang w:val="es-ES"/>
        </w:rPr>
        <w:t xml:space="preserve"> </w:t>
      </w:r>
      <w:r w:rsidRPr="00E65234">
        <w:rPr>
          <w:rFonts w:ascii="Sylfaen" w:hAnsi="Sylfaen" w:cs="Sylfaen"/>
          <w:szCs w:val="22"/>
          <w:lang w:val="es-ES"/>
        </w:rPr>
        <w:t>მდინარეების</w:t>
      </w:r>
      <w:r w:rsidRPr="00E65234">
        <w:rPr>
          <w:rFonts w:ascii="AcadNusx" w:hAnsi="AcadNusx"/>
          <w:szCs w:val="22"/>
          <w:lang w:val="es-ES"/>
        </w:rPr>
        <w:t xml:space="preserve"> </w:t>
      </w:r>
      <w:r w:rsidRPr="00145D9F">
        <w:rPr>
          <w:rFonts w:ascii="AcadNusx" w:hAnsi="AcadNusx"/>
          <w:position w:val="-10"/>
          <w:szCs w:val="22"/>
          <w:lang w:val="es-ES"/>
        </w:rPr>
        <w:object w:dxaOrig="320" w:dyaOrig="320" w14:anchorId="209C465C">
          <v:shape id="_x0000_i1057" type="#_x0000_t75" style="width:14.25pt;height:14.25pt" o:ole="">
            <v:imagedata r:id="rId171" o:title=""/>
          </v:shape>
          <o:OLEObject Type="Embed" ProgID="Equation.3" ShapeID="_x0000_i1057" DrawAspect="Content" ObjectID="_1612194579" r:id="rId172"/>
        </w:object>
      </w:r>
      <w:r w:rsidRPr="00145D9F">
        <w:rPr>
          <w:rFonts w:ascii="AcadNusx" w:hAnsi="AcadNusx"/>
          <w:szCs w:val="22"/>
          <w:lang w:val="es-ES"/>
        </w:rPr>
        <w:t>-</w:t>
      </w:r>
      <w:r w:rsidRPr="00E65234">
        <w:t xml:space="preserve"> </w:t>
      </w:r>
      <w:r w:rsidRPr="00E65234">
        <w:rPr>
          <w:rFonts w:ascii="Sylfaen" w:hAnsi="Sylfaen" w:cs="Sylfaen"/>
          <w:szCs w:val="22"/>
          <w:lang w:val="es-ES"/>
        </w:rPr>
        <w:t>ის</w:t>
      </w:r>
      <w:r w:rsidRPr="00E65234">
        <w:rPr>
          <w:rFonts w:ascii="AcadNusx" w:hAnsi="AcadNusx"/>
          <w:szCs w:val="22"/>
          <w:lang w:val="es-ES"/>
        </w:rPr>
        <w:t xml:space="preserve"> </w:t>
      </w:r>
      <w:r w:rsidRPr="00E65234">
        <w:rPr>
          <w:rFonts w:ascii="Sylfaen" w:hAnsi="Sylfaen" w:cs="Sylfaen"/>
          <w:szCs w:val="22"/>
          <w:lang w:val="es-ES"/>
        </w:rPr>
        <w:t>მნიშვნელობა</w:t>
      </w:r>
      <w:r w:rsidRPr="00E65234">
        <w:rPr>
          <w:rFonts w:ascii="AcadNusx" w:hAnsi="AcadNusx"/>
          <w:szCs w:val="22"/>
          <w:lang w:val="es-ES"/>
        </w:rPr>
        <w:t xml:space="preserve">, </w:t>
      </w:r>
      <w:r w:rsidRPr="00E65234">
        <w:rPr>
          <w:rFonts w:ascii="Sylfaen" w:hAnsi="Sylfaen" w:cs="Sylfaen"/>
          <w:szCs w:val="22"/>
          <w:lang w:val="es-ES"/>
        </w:rPr>
        <w:t>ადრე</w:t>
      </w:r>
      <w:r w:rsidRPr="00E65234">
        <w:rPr>
          <w:rFonts w:ascii="AcadNusx" w:hAnsi="AcadNusx"/>
          <w:szCs w:val="22"/>
          <w:lang w:val="es-ES"/>
        </w:rPr>
        <w:t xml:space="preserve"> </w:t>
      </w:r>
      <w:r w:rsidRPr="00E65234">
        <w:rPr>
          <w:rFonts w:ascii="Sylfaen" w:hAnsi="Sylfaen" w:cs="Sylfaen"/>
          <w:szCs w:val="22"/>
          <w:lang w:val="es-ES"/>
        </w:rPr>
        <w:t>ჩატარებული</w:t>
      </w:r>
      <w:r w:rsidRPr="00E65234">
        <w:rPr>
          <w:rFonts w:ascii="AcadNusx" w:hAnsi="AcadNusx"/>
          <w:szCs w:val="22"/>
          <w:lang w:val="es-ES"/>
        </w:rPr>
        <w:t xml:space="preserve"> </w:t>
      </w:r>
      <w:r w:rsidRPr="00E65234">
        <w:rPr>
          <w:rFonts w:ascii="Sylfaen" w:hAnsi="Sylfaen" w:cs="Sylfaen"/>
          <w:szCs w:val="22"/>
          <w:lang w:val="es-ES"/>
        </w:rPr>
        <w:t>გამოკვლევების</w:t>
      </w:r>
      <w:r w:rsidRPr="00E65234">
        <w:rPr>
          <w:rFonts w:ascii="AcadNusx" w:hAnsi="AcadNusx"/>
          <w:szCs w:val="22"/>
          <w:lang w:val="es-ES"/>
        </w:rPr>
        <w:t xml:space="preserve"> </w:t>
      </w:r>
      <w:r w:rsidRPr="00E65234">
        <w:rPr>
          <w:rFonts w:ascii="Sylfaen" w:hAnsi="Sylfaen" w:cs="Sylfaen"/>
          <w:szCs w:val="22"/>
          <w:lang w:val="es-ES"/>
        </w:rPr>
        <w:t>საფუძველზე</w:t>
      </w:r>
      <w:r w:rsidRPr="00E65234">
        <w:rPr>
          <w:rFonts w:ascii="AcadNusx" w:hAnsi="AcadNusx"/>
          <w:szCs w:val="22"/>
          <w:lang w:val="es-ES"/>
        </w:rPr>
        <w:t xml:space="preserve">, </w:t>
      </w:r>
      <w:r w:rsidRPr="00E65234">
        <w:rPr>
          <w:rFonts w:ascii="Sylfaen" w:hAnsi="Sylfaen" w:cs="Sylfaen"/>
          <w:szCs w:val="22"/>
          <w:lang w:val="es-ES"/>
        </w:rPr>
        <w:t>მიღებულია</w:t>
      </w:r>
      <w:r w:rsidRPr="00E65234">
        <w:rPr>
          <w:rFonts w:ascii="AcadNusx" w:hAnsi="AcadNusx"/>
          <w:szCs w:val="22"/>
          <w:lang w:val="es-ES"/>
        </w:rPr>
        <w:t xml:space="preserve"> 0,20-</w:t>
      </w:r>
      <w:r w:rsidRPr="00E65234">
        <w:rPr>
          <w:rFonts w:ascii="Sylfaen" w:hAnsi="Sylfaen" w:cs="Sylfaen"/>
          <w:szCs w:val="22"/>
          <w:lang w:val="es-ES"/>
        </w:rPr>
        <w:t>ის</w:t>
      </w:r>
      <w:r w:rsidRPr="00E65234">
        <w:rPr>
          <w:rFonts w:ascii="AcadNusx" w:hAnsi="AcadNusx"/>
          <w:szCs w:val="22"/>
          <w:lang w:val="es-ES"/>
        </w:rPr>
        <w:t xml:space="preserve"> </w:t>
      </w:r>
      <w:r w:rsidRPr="00E65234">
        <w:rPr>
          <w:rFonts w:ascii="Sylfaen" w:hAnsi="Sylfaen" w:cs="Sylfaen"/>
          <w:szCs w:val="22"/>
          <w:lang w:val="es-ES"/>
        </w:rPr>
        <w:t>ტოლი</w:t>
      </w:r>
      <w:r w:rsidRPr="00E65234">
        <w:rPr>
          <w:rFonts w:ascii="AcadNusx" w:hAnsi="AcadNusx"/>
          <w:szCs w:val="22"/>
          <w:lang w:val="es-ES"/>
        </w:rPr>
        <w:t xml:space="preserve">, </w:t>
      </w:r>
      <w:r w:rsidRPr="00E65234">
        <w:rPr>
          <w:rFonts w:ascii="Sylfaen" w:hAnsi="Sylfaen" w:cs="Sylfaen"/>
          <w:szCs w:val="22"/>
          <w:lang w:val="es-ES"/>
        </w:rPr>
        <w:t>რაც</w:t>
      </w:r>
      <w:r w:rsidRPr="00E65234">
        <w:rPr>
          <w:rFonts w:ascii="AcadNusx" w:hAnsi="AcadNusx"/>
          <w:szCs w:val="22"/>
          <w:lang w:val="es-ES"/>
        </w:rPr>
        <w:t xml:space="preserve"> </w:t>
      </w:r>
      <w:r w:rsidRPr="00E65234">
        <w:rPr>
          <w:rFonts w:ascii="Sylfaen" w:hAnsi="Sylfaen" w:cs="Sylfaen"/>
          <w:szCs w:val="22"/>
          <w:lang w:val="es-ES"/>
        </w:rPr>
        <w:t>ღვარცოფული</w:t>
      </w:r>
      <w:r w:rsidRPr="00E65234">
        <w:rPr>
          <w:rFonts w:ascii="AcadNusx" w:hAnsi="AcadNusx"/>
          <w:szCs w:val="22"/>
          <w:lang w:val="es-ES"/>
        </w:rPr>
        <w:t xml:space="preserve"> </w:t>
      </w:r>
      <w:r w:rsidRPr="00E65234">
        <w:rPr>
          <w:rFonts w:ascii="Sylfaen" w:hAnsi="Sylfaen" w:cs="Sylfaen"/>
          <w:szCs w:val="22"/>
          <w:lang w:val="es-ES"/>
        </w:rPr>
        <w:t>ნაკადის</w:t>
      </w:r>
      <w:r w:rsidRPr="00E65234">
        <w:rPr>
          <w:rFonts w:ascii="AcadNusx" w:hAnsi="AcadNusx"/>
          <w:szCs w:val="22"/>
          <w:lang w:val="es-ES"/>
        </w:rPr>
        <w:t xml:space="preserve"> </w:t>
      </w:r>
      <w:r w:rsidRPr="00E65234">
        <w:rPr>
          <w:rFonts w:ascii="Sylfaen" w:hAnsi="Sylfaen" w:cs="Sylfaen"/>
          <w:szCs w:val="22"/>
          <w:lang w:val="es-ES"/>
        </w:rPr>
        <w:t>კონცენტრაციისთვის</w:t>
      </w:r>
      <w:r w:rsidRPr="00E65234">
        <w:rPr>
          <w:rFonts w:ascii="AcadNusx" w:hAnsi="AcadNusx"/>
          <w:szCs w:val="22"/>
          <w:lang w:val="es-ES"/>
        </w:rPr>
        <w:t xml:space="preserve"> </w:t>
      </w:r>
      <w:r w:rsidRPr="00E65234">
        <w:rPr>
          <w:rFonts w:ascii="Sylfaen" w:hAnsi="Sylfaen" w:cs="Sylfaen"/>
          <w:szCs w:val="22"/>
          <w:lang w:val="es-ES"/>
        </w:rPr>
        <w:t>ტოლი</w:t>
      </w:r>
      <w:r w:rsidRPr="00E65234">
        <w:rPr>
          <w:rFonts w:ascii="AcadNusx" w:hAnsi="AcadNusx"/>
          <w:szCs w:val="22"/>
          <w:lang w:val="es-ES"/>
        </w:rPr>
        <w:t xml:space="preserve"> </w:t>
      </w:r>
      <w:r w:rsidRPr="00E65234">
        <w:rPr>
          <w:rFonts w:ascii="Sylfaen" w:hAnsi="Sylfaen" w:cs="Sylfaen"/>
          <w:szCs w:val="22"/>
          <w:lang w:val="es-ES"/>
        </w:rPr>
        <w:t>იქნება</w:t>
      </w:r>
      <w:r w:rsidRPr="00E65234">
        <w:rPr>
          <w:rFonts w:ascii="AcadNusx" w:hAnsi="AcadNusx"/>
          <w:szCs w:val="22"/>
          <w:lang w:val="es-ES"/>
        </w:rPr>
        <w:t xml:space="preserve"> </w:t>
      </w:r>
      <w:r w:rsidRPr="00145D9F">
        <w:rPr>
          <w:rFonts w:ascii="AcadNusx" w:hAnsi="AcadNusx"/>
          <w:color w:val="FF0000"/>
          <w:position w:val="-28"/>
          <w:szCs w:val="22"/>
          <w:lang w:val="es-ES"/>
        </w:rPr>
        <w:object w:dxaOrig="2880" w:dyaOrig="660" w14:anchorId="2643F9E3">
          <v:shape id="_x0000_i1058" type="#_x0000_t75" style="width:2in;height:36pt" o:ole="">
            <v:imagedata r:id="rId173" o:title=""/>
          </v:shape>
          <o:OLEObject Type="Embed" ProgID="Equation.3" ShapeID="_x0000_i1058" DrawAspect="Content" ObjectID="_1612194580" r:id="rId174"/>
        </w:object>
      </w:r>
    </w:p>
    <w:p w14:paraId="6D8DD9C7" w14:textId="77777777" w:rsidR="00D34C21" w:rsidRDefault="00D34C21" w:rsidP="00E12C77">
      <w:pPr>
        <w:spacing w:before="120" w:after="120"/>
        <w:ind w:right="46"/>
        <w:jc w:val="center"/>
        <w:rPr>
          <w:rFonts w:ascii="AcadNusx" w:hAnsi="AcadNusx"/>
          <w:szCs w:val="22"/>
          <w:lang w:val="es-ES"/>
        </w:rPr>
      </w:pPr>
      <w:r w:rsidRPr="00E65234">
        <w:rPr>
          <w:rFonts w:ascii="Sylfaen" w:hAnsi="Sylfaen" w:cs="Sylfaen"/>
          <w:szCs w:val="22"/>
          <w:lang w:val="es-ES"/>
        </w:rPr>
        <w:t>აქედან</w:t>
      </w:r>
      <w:r w:rsidRPr="00E65234">
        <w:rPr>
          <w:rFonts w:ascii="AcadNusx" w:hAnsi="AcadNusx"/>
          <w:szCs w:val="22"/>
          <w:lang w:val="es-ES"/>
        </w:rPr>
        <w:t xml:space="preserve">, </w:t>
      </w:r>
      <w:r w:rsidRPr="00E65234">
        <w:rPr>
          <w:rFonts w:ascii="Sylfaen" w:hAnsi="Sylfaen" w:cs="Sylfaen"/>
          <w:szCs w:val="22"/>
          <w:lang w:val="es-ES"/>
        </w:rPr>
        <w:t>ორფაზა</w:t>
      </w:r>
      <w:r w:rsidRPr="00E65234">
        <w:rPr>
          <w:rFonts w:ascii="AcadNusx" w:hAnsi="AcadNusx"/>
          <w:szCs w:val="22"/>
          <w:lang w:val="es-ES"/>
        </w:rPr>
        <w:t xml:space="preserve"> </w:t>
      </w:r>
      <w:r w:rsidRPr="00E65234">
        <w:rPr>
          <w:rFonts w:ascii="Sylfaen" w:hAnsi="Sylfaen" w:cs="Sylfaen"/>
          <w:szCs w:val="22"/>
          <w:lang w:val="es-ES"/>
        </w:rPr>
        <w:t>ანუ</w:t>
      </w:r>
      <w:r w:rsidRPr="00E65234">
        <w:rPr>
          <w:rFonts w:ascii="AcadNusx" w:hAnsi="AcadNusx"/>
          <w:szCs w:val="22"/>
          <w:lang w:val="es-ES"/>
        </w:rPr>
        <w:t xml:space="preserve"> </w:t>
      </w:r>
      <w:r w:rsidRPr="00E65234">
        <w:rPr>
          <w:rFonts w:ascii="Sylfaen" w:hAnsi="Sylfaen" w:cs="Sylfaen"/>
          <w:szCs w:val="22"/>
          <w:lang w:val="es-ES"/>
        </w:rPr>
        <w:t>ღვარცოფული</w:t>
      </w:r>
      <w:r w:rsidRPr="00E65234">
        <w:rPr>
          <w:rFonts w:ascii="AcadNusx" w:hAnsi="AcadNusx"/>
          <w:szCs w:val="22"/>
          <w:lang w:val="es-ES"/>
        </w:rPr>
        <w:t xml:space="preserve"> </w:t>
      </w:r>
      <w:r w:rsidRPr="00E65234">
        <w:rPr>
          <w:rFonts w:ascii="Sylfaen" w:hAnsi="Sylfaen" w:cs="Sylfaen"/>
          <w:szCs w:val="22"/>
          <w:lang w:val="es-ES"/>
        </w:rPr>
        <w:t>ნაკადის</w:t>
      </w:r>
      <w:r w:rsidRPr="00E65234">
        <w:rPr>
          <w:rFonts w:ascii="AcadNusx" w:hAnsi="AcadNusx"/>
          <w:szCs w:val="22"/>
          <w:lang w:val="es-ES"/>
        </w:rPr>
        <w:t xml:space="preserve"> </w:t>
      </w:r>
      <w:r w:rsidRPr="00E65234">
        <w:rPr>
          <w:rFonts w:ascii="Sylfaen" w:hAnsi="Sylfaen" w:cs="Sylfaen"/>
          <w:szCs w:val="22"/>
          <w:lang w:val="es-ES"/>
        </w:rPr>
        <w:t>ხარჯი</w:t>
      </w:r>
      <w:r w:rsidRPr="00E65234">
        <w:rPr>
          <w:rFonts w:ascii="AcadNusx" w:hAnsi="AcadNusx"/>
          <w:szCs w:val="22"/>
          <w:lang w:val="es-ES"/>
        </w:rPr>
        <w:t xml:space="preserve"> </w:t>
      </w:r>
      <w:r w:rsidRPr="00E65234">
        <w:rPr>
          <w:rFonts w:ascii="Sylfaen" w:hAnsi="Sylfaen" w:cs="Sylfaen"/>
          <w:szCs w:val="22"/>
          <w:lang w:val="es-ES"/>
        </w:rPr>
        <w:t>ტოლი</w:t>
      </w:r>
      <w:r w:rsidRPr="00E65234">
        <w:rPr>
          <w:rFonts w:ascii="AcadNusx" w:hAnsi="AcadNusx"/>
          <w:szCs w:val="22"/>
          <w:lang w:val="es-ES"/>
        </w:rPr>
        <w:t xml:space="preserve"> </w:t>
      </w:r>
      <w:r w:rsidRPr="00E65234">
        <w:rPr>
          <w:rFonts w:ascii="Sylfaen" w:hAnsi="Sylfaen" w:cs="Sylfaen"/>
          <w:szCs w:val="22"/>
          <w:lang w:val="es-ES"/>
        </w:rPr>
        <w:t>იქნება</w:t>
      </w:r>
      <w:r w:rsidRPr="00E65234">
        <w:rPr>
          <w:rFonts w:ascii="AcadNusx" w:hAnsi="AcadNusx"/>
          <w:szCs w:val="22"/>
          <w:lang w:val="es-ES"/>
        </w:rPr>
        <w:t xml:space="preserve"> </w:t>
      </w:r>
    </w:p>
    <w:p w14:paraId="75E88C98" w14:textId="77777777" w:rsidR="00D34C21" w:rsidRPr="00145D9F" w:rsidRDefault="00D34C21" w:rsidP="00E12C77">
      <w:pPr>
        <w:spacing w:before="120" w:after="120"/>
        <w:ind w:right="46"/>
        <w:jc w:val="center"/>
        <w:rPr>
          <w:rFonts w:ascii="AcadNusx" w:hAnsi="AcadNusx"/>
          <w:szCs w:val="22"/>
          <w:lang w:val="es-ES"/>
        </w:rPr>
      </w:pPr>
      <w:r w:rsidRPr="00145D9F">
        <w:rPr>
          <w:rFonts w:ascii="AcadNusx" w:hAnsi="AcadNusx"/>
          <w:position w:val="-28"/>
          <w:szCs w:val="22"/>
          <w:lang w:val="es-ES"/>
        </w:rPr>
        <w:object w:dxaOrig="1660" w:dyaOrig="660" w14:anchorId="18D6315D">
          <v:shape id="_x0000_i1059" type="#_x0000_t75" style="width:86.25pt;height:36pt" o:ole="">
            <v:imagedata r:id="rId175" o:title=""/>
          </v:shape>
          <o:OLEObject Type="Embed" ProgID="Equation.3" ShapeID="_x0000_i1059" DrawAspect="Content" ObjectID="_1612194581" r:id="rId176"/>
        </w:object>
      </w:r>
      <w:r w:rsidRPr="00145D9F">
        <w:rPr>
          <w:rFonts w:ascii="AcadNusx" w:hAnsi="AcadNusx"/>
          <w:szCs w:val="22"/>
          <w:lang w:val="es-ES"/>
        </w:rPr>
        <w:t xml:space="preserve"> m</w:t>
      </w:r>
      <w:r w:rsidRPr="00145D9F">
        <w:rPr>
          <w:rFonts w:ascii="AcadNusx" w:hAnsi="AcadNusx"/>
          <w:szCs w:val="22"/>
          <w:vertAlign w:val="superscript"/>
          <w:lang w:val="es-ES"/>
        </w:rPr>
        <w:t>3</w:t>
      </w:r>
      <w:r w:rsidRPr="00145D9F">
        <w:rPr>
          <w:rFonts w:ascii="AcadNusx" w:hAnsi="AcadNusx"/>
          <w:szCs w:val="22"/>
          <w:lang w:val="es-ES"/>
        </w:rPr>
        <w:t>/wm</w:t>
      </w:r>
    </w:p>
    <w:p w14:paraId="7566933C" w14:textId="77777777" w:rsidR="00D34C21" w:rsidRPr="00E65234" w:rsidRDefault="00D34C21" w:rsidP="0000351B">
      <w:pPr>
        <w:spacing w:before="120" w:after="120"/>
        <w:ind w:right="46"/>
        <w:rPr>
          <w:rFonts w:ascii="AcadNusx" w:hAnsi="AcadNusx"/>
          <w:szCs w:val="22"/>
          <w:lang w:val="es-ES"/>
        </w:rPr>
      </w:pPr>
      <w:r w:rsidRPr="00145D9F">
        <w:rPr>
          <w:rFonts w:ascii="AcadNusx" w:hAnsi="AcadNusx"/>
          <w:szCs w:val="22"/>
          <w:lang w:val="es-ES"/>
        </w:rPr>
        <w:t xml:space="preserve">sadac </w:t>
      </w:r>
      <w:r w:rsidRPr="00145D9F">
        <w:rPr>
          <w:rFonts w:ascii="AcadNusx" w:hAnsi="AcadNusx"/>
          <w:position w:val="-10"/>
          <w:szCs w:val="22"/>
          <w:lang w:val="es-ES"/>
        </w:rPr>
        <w:object w:dxaOrig="400" w:dyaOrig="320" w14:anchorId="6C308397">
          <v:shape id="_x0000_i1060" type="#_x0000_t75" style="width:21.75pt;height:14.25pt" o:ole="">
            <v:imagedata r:id="rId177" o:title=""/>
          </v:shape>
          <o:OLEObject Type="Embed" ProgID="Equation.3" ShapeID="_x0000_i1060" DrawAspect="Content" ObjectID="_1612194582" r:id="rId178"/>
        </w:object>
      </w:r>
      <w:r w:rsidRPr="00145D9F">
        <w:rPr>
          <w:rFonts w:ascii="AcadNusx" w:hAnsi="AcadNusx"/>
          <w:szCs w:val="22"/>
          <w:lang w:val="es-ES"/>
        </w:rPr>
        <w:t>-</w:t>
      </w:r>
      <w:r w:rsidRPr="00E65234">
        <w:t xml:space="preserve"> </w:t>
      </w:r>
      <w:r w:rsidRPr="00E65234">
        <w:rPr>
          <w:rFonts w:ascii="Sylfaen" w:hAnsi="Sylfaen" w:cs="Sylfaen"/>
          <w:szCs w:val="22"/>
          <w:lang w:val="es-ES"/>
        </w:rPr>
        <w:t>წყლის</w:t>
      </w:r>
      <w:r w:rsidRPr="00E65234">
        <w:rPr>
          <w:rFonts w:ascii="AcadNusx" w:hAnsi="AcadNusx"/>
          <w:szCs w:val="22"/>
          <w:lang w:val="es-ES"/>
        </w:rPr>
        <w:t xml:space="preserve"> </w:t>
      </w:r>
      <w:r w:rsidRPr="00E65234">
        <w:rPr>
          <w:rFonts w:ascii="Sylfaen" w:hAnsi="Sylfaen" w:cs="Sylfaen"/>
          <w:szCs w:val="22"/>
          <w:lang w:val="es-ES"/>
        </w:rPr>
        <w:t>საანგარიშო</w:t>
      </w:r>
      <w:r w:rsidRPr="00E65234">
        <w:rPr>
          <w:rFonts w:ascii="AcadNusx" w:hAnsi="AcadNusx"/>
          <w:szCs w:val="22"/>
          <w:lang w:val="es-ES"/>
        </w:rPr>
        <w:t xml:space="preserve"> </w:t>
      </w:r>
      <w:r w:rsidRPr="00E65234">
        <w:rPr>
          <w:rFonts w:ascii="Sylfaen" w:hAnsi="Sylfaen" w:cs="Sylfaen"/>
          <w:szCs w:val="22"/>
          <w:lang w:val="es-ES"/>
        </w:rPr>
        <w:t>უზრუნველყოფის</w:t>
      </w:r>
      <w:r w:rsidRPr="00E65234">
        <w:rPr>
          <w:rFonts w:ascii="AcadNusx" w:hAnsi="AcadNusx"/>
          <w:szCs w:val="22"/>
          <w:lang w:val="es-ES"/>
        </w:rPr>
        <w:t xml:space="preserve"> </w:t>
      </w:r>
      <w:r w:rsidRPr="00E65234">
        <w:rPr>
          <w:rFonts w:ascii="Sylfaen" w:hAnsi="Sylfaen" w:cs="Sylfaen"/>
          <w:szCs w:val="22"/>
          <w:lang w:val="es-ES"/>
        </w:rPr>
        <w:t>მაქსიმალური</w:t>
      </w:r>
      <w:r w:rsidRPr="00E65234">
        <w:rPr>
          <w:rFonts w:ascii="AcadNusx" w:hAnsi="AcadNusx"/>
          <w:szCs w:val="22"/>
          <w:lang w:val="es-ES"/>
        </w:rPr>
        <w:t xml:space="preserve"> </w:t>
      </w:r>
      <w:r w:rsidRPr="00E65234">
        <w:rPr>
          <w:rFonts w:ascii="Sylfaen" w:hAnsi="Sylfaen" w:cs="Sylfaen"/>
          <w:szCs w:val="22"/>
          <w:lang w:val="es-ES"/>
        </w:rPr>
        <w:t>ხარჯია</w:t>
      </w:r>
      <w:r w:rsidRPr="00E65234">
        <w:rPr>
          <w:rFonts w:ascii="AcadNusx" w:hAnsi="AcadNusx"/>
          <w:szCs w:val="22"/>
          <w:lang w:val="es-ES"/>
        </w:rPr>
        <w:t xml:space="preserve"> </w:t>
      </w:r>
      <w:r w:rsidRPr="00E65234">
        <w:rPr>
          <w:rFonts w:ascii="Sylfaen" w:hAnsi="Sylfaen" w:cs="Sylfaen"/>
          <w:szCs w:val="22"/>
          <w:lang w:val="es-ES"/>
        </w:rPr>
        <w:t>მ</w:t>
      </w:r>
      <w:r w:rsidRPr="00E65234">
        <w:rPr>
          <w:rFonts w:ascii="AcadNusx" w:hAnsi="AcadNusx"/>
          <w:szCs w:val="22"/>
          <w:lang w:val="es-ES"/>
        </w:rPr>
        <w:t>3/</w:t>
      </w:r>
      <w:r w:rsidRPr="00E65234">
        <w:rPr>
          <w:rFonts w:ascii="Sylfaen" w:hAnsi="Sylfaen" w:cs="Sylfaen"/>
          <w:szCs w:val="22"/>
          <w:lang w:val="es-ES"/>
        </w:rPr>
        <w:t>წმ</w:t>
      </w:r>
      <w:r w:rsidRPr="00E65234">
        <w:rPr>
          <w:rFonts w:ascii="AcadNusx" w:hAnsi="AcadNusx"/>
          <w:szCs w:val="22"/>
          <w:lang w:val="es-ES"/>
        </w:rPr>
        <w:t>-</w:t>
      </w:r>
      <w:r w:rsidRPr="00E65234">
        <w:rPr>
          <w:rFonts w:ascii="Sylfaen" w:hAnsi="Sylfaen" w:cs="Sylfaen"/>
          <w:szCs w:val="22"/>
          <w:lang w:val="es-ES"/>
        </w:rPr>
        <w:t>ში</w:t>
      </w:r>
      <w:r w:rsidRPr="00E65234">
        <w:rPr>
          <w:rFonts w:ascii="AcadNusx" w:hAnsi="AcadNusx"/>
          <w:szCs w:val="22"/>
          <w:lang w:val="es-ES"/>
        </w:rPr>
        <w:t>;</w:t>
      </w:r>
    </w:p>
    <w:p w14:paraId="483F203C" w14:textId="4BC4A081" w:rsidR="00D34C21" w:rsidRPr="00E65234" w:rsidRDefault="00D34C21" w:rsidP="0000351B">
      <w:pPr>
        <w:spacing w:before="120" w:after="120"/>
        <w:ind w:right="46"/>
        <w:rPr>
          <w:rFonts w:ascii="AcadNusx" w:hAnsi="AcadNusx"/>
          <w:szCs w:val="22"/>
          <w:lang w:val="es-ES"/>
        </w:rPr>
      </w:pPr>
      <w:r w:rsidRPr="00E65234">
        <w:rPr>
          <w:rFonts w:ascii="Sylfaen" w:hAnsi="Sylfaen" w:cs="Sylfaen"/>
          <w:szCs w:val="22"/>
          <w:lang w:val="es-ES"/>
        </w:rPr>
        <w:t>აღნიშნული</w:t>
      </w:r>
      <w:r w:rsidRPr="00E65234">
        <w:rPr>
          <w:rFonts w:ascii="AcadNusx" w:hAnsi="AcadNusx"/>
          <w:szCs w:val="22"/>
          <w:lang w:val="es-ES"/>
        </w:rPr>
        <w:t xml:space="preserve"> </w:t>
      </w:r>
      <w:r w:rsidRPr="00E65234">
        <w:rPr>
          <w:rFonts w:ascii="Sylfaen" w:hAnsi="Sylfaen" w:cs="Sylfaen"/>
          <w:szCs w:val="22"/>
          <w:lang w:val="es-ES"/>
        </w:rPr>
        <w:t>მდინარეების</w:t>
      </w:r>
      <w:r w:rsidRPr="00E65234">
        <w:rPr>
          <w:rFonts w:ascii="AcadNusx" w:hAnsi="AcadNusx"/>
          <w:szCs w:val="22"/>
          <w:lang w:val="es-ES"/>
        </w:rPr>
        <w:t xml:space="preserve"> </w:t>
      </w:r>
      <w:r w:rsidRPr="00E65234">
        <w:rPr>
          <w:rFonts w:ascii="Sylfaen" w:hAnsi="Sylfaen" w:cs="Sylfaen"/>
          <w:szCs w:val="22"/>
          <w:lang w:val="es-ES"/>
        </w:rPr>
        <w:t>ღვარცოფული</w:t>
      </w:r>
      <w:r w:rsidRPr="00E65234">
        <w:rPr>
          <w:rFonts w:ascii="AcadNusx" w:hAnsi="AcadNusx"/>
          <w:szCs w:val="22"/>
          <w:lang w:val="es-ES"/>
        </w:rPr>
        <w:t xml:space="preserve"> </w:t>
      </w:r>
      <w:r w:rsidRPr="00E65234">
        <w:rPr>
          <w:rFonts w:ascii="Sylfaen" w:hAnsi="Sylfaen" w:cs="Sylfaen"/>
          <w:szCs w:val="22"/>
          <w:lang w:val="es-ES"/>
        </w:rPr>
        <w:t>ნაკადების</w:t>
      </w:r>
      <w:r w:rsidRPr="00E65234">
        <w:rPr>
          <w:rFonts w:ascii="AcadNusx" w:hAnsi="AcadNusx"/>
          <w:szCs w:val="22"/>
          <w:lang w:val="es-ES"/>
        </w:rPr>
        <w:t xml:space="preserve"> </w:t>
      </w:r>
      <w:r w:rsidRPr="00E65234">
        <w:rPr>
          <w:rFonts w:ascii="Sylfaen" w:hAnsi="Sylfaen" w:cs="Sylfaen"/>
          <w:szCs w:val="22"/>
          <w:lang w:val="es-ES"/>
        </w:rPr>
        <w:t>მაქსიმალური</w:t>
      </w:r>
      <w:r w:rsidRPr="00E65234">
        <w:rPr>
          <w:rFonts w:ascii="AcadNusx" w:hAnsi="AcadNusx"/>
          <w:szCs w:val="22"/>
          <w:lang w:val="es-ES"/>
        </w:rPr>
        <w:t xml:space="preserve"> </w:t>
      </w:r>
      <w:r w:rsidRPr="00E65234">
        <w:rPr>
          <w:rFonts w:ascii="Sylfaen" w:hAnsi="Sylfaen" w:cs="Sylfaen"/>
          <w:szCs w:val="22"/>
          <w:lang w:val="es-ES"/>
        </w:rPr>
        <w:t>ხარჯები</w:t>
      </w:r>
      <w:r w:rsidRPr="00E65234">
        <w:rPr>
          <w:rFonts w:ascii="AcadNusx" w:hAnsi="AcadNusx"/>
          <w:szCs w:val="22"/>
          <w:lang w:val="es-ES"/>
        </w:rPr>
        <w:t xml:space="preserve"> </w:t>
      </w:r>
      <w:r w:rsidRPr="00E65234">
        <w:rPr>
          <w:rFonts w:ascii="Sylfaen" w:hAnsi="Sylfaen" w:cs="Sylfaen"/>
          <w:szCs w:val="22"/>
          <w:lang w:val="es-ES"/>
        </w:rPr>
        <w:t>სამოდერნიზაციო</w:t>
      </w:r>
      <w:r w:rsidRPr="00E65234">
        <w:rPr>
          <w:rFonts w:ascii="AcadNusx" w:hAnsi="AcadNusx"/>
          <w:szCs w:val="22"/>
          <w:lang w:val="es-ES"/>
        </w:rPr>
        <w:t xml:space="preserve"> </w:t>
      </w:r>
      <w:r w:rsidRPr="00E65234">
        <w:rPr>
          <w:rFonts w:ascii="Sylfaen" w:hAnsi="Sylfaen" w:cs="Sylfaen"/>
          <w:szCs w:val="22"/>
          <w:lang w:val="es-ES"/>
        </w:rPr>
        <w:t>გზის</w:t>
      </w:r>
      <w:r w:rsidRPr="00E65234">
        <w:rPr>
          <w:rFonts w:ascii="AcadNusx" w:hAnsi="AcadNusx"/>
          <w:szCs w:val="22"/>
          <w:lang w:val="es-ES"/>
        </w:rPr>
        <w:t xml:space="preserve"> </w:t>
      </w:r>
      <w:r w:rsidRPr="00E65234">
        <w:rPr>
          <w:rFonts w:ascii="Sylfaen" w:hAnsi="Sylfaen" w:cs="Sylfaen"/>
          <w:szCs w:val="22"/>
          <w:lang w:val="es-ES"/>
        </w:rPr>
        <w:t>გადაკვეთაზე</w:t>
      </w:r>
      <w:r w:rsidR="002E0662">
        <w:rPr>
          <w:rFonts w:ascii="AcadNusx" w:hAnsi="AcadNusx"/>
          <w:szCs w:val="22"/>
          <w:lang w:val="es-ES"/>
        </w:rPr>
        <w:t xml:space="preserve"> </w:t>
      </w:r>
    </w:p>
    <w:p w14:paraId="38C46AC0" w14:textId="0781CFAB" w:rsidR="00D34C21" w:rsidRPr="00145D9F" w:rsidRDefault="00D34C21" w:rsidP="0000351B">
      <w:pPr>
        <w:spacing w:before="120" w:after="120"/>
        <w:ind w:right="46"/>
        <w:jc w:val="left"/>
        <w:rPr>
          <w:rFonts w:ascii="AcadNusx" w:hAnsi="AcadNusx"/>
          <w:color w:val="FF0000"/>
          <w:szCs w:val="22"/>
          <w:lang w:val="es-ES"/>
        </w:rPr>
      </w:pPr>
      <w:r w:rsidRPr="00E65234">
        <w:rPr>
          <w:rFonts w:ascii="Sylfaen" w:hAnsi="Sylfaen" w:cs="Sylfaen"/>
          <w:szCs w:val="22"/>
          <w:lang w:val="es-ES"/>
        </w:rPr>
        <w:t>ცხრილი</w:t>
      </w:r>
      <w:r w:rsidRPr="00E65234">
        <w:rPr>
          <w:rFonts w:ascii="AcadNusx" w:hAnsi="AcadNusx"/>
          <w:szCs w:val="22"/>
          <w:lang w:val="es-ES"/>
        </w:rPr>
        <w:t xml:space="preserve"> #</w:t>
      </w:r>
      <w:r w:rsidR="00735AFE">
        <w:rPr>
          <w:rFonts w:ascii="Sylfaen" w:hAnsi="Sylfaen"/>
          <w:szCs w:val="22"/>
          <w:lang w:val="ka-GE"/>
        </w:rPr>
        <w:t>6</w:t>
      </w:r>
      <w:r w:rsidR="00DB613A">
        <w:rPr>
          <w:rFonts w:ascii="Sylfaen" w:hAnsi="Sylfaen"/>
          <w:szCs w:val="22"/>
          <w:lang w:val="ka-GE"/>
        </w:rPr>
        <w:t>.</w:t>
      </w:r>
      <w:r w:rsidR="00735AFE">
        <w:rPr>
          <w:rFonts w:ascii="Sylfaen" w:hAnsi="Sylfaen"/>
          <w:szCs w:val="22"/>
          <w:lang w:val="ka-GE"/>
        </w:rPr>
        <w:t>3</w:t>
      </w:r>
      <w:r w:rsidR="00595A35">
        <w:rPr>
          <w:rFonts w:ascii="Sylfaen" w:hAnsi="Sylfaen"/>
          <w:szCs w:val="22"/>
          <w:lang w:val="ka-GE"/>
        </w:rPr>
        <w:t>-</w:t>
      </w:r>
      <w:r w:rsidR="00735AFE">
        <w:rPr>
          <w:rFonts w:ascii="Sylfaen" w:hAnsi="Sylfaen"/>
          <w:szCs w:val="22"/>
          <w:lang w:val="ka-GE"/>
        </w:rPr>
        <w:t>2</w:t>
      </w:r>
      <w:r w:rsidR="002E0662">
        <w:rPr>
          <w:rFonts w:ascii="Sylfaen" w:hAnsi="Sylfaen"/>
          <w:szCs w:val="22"/>
          <w:lang w:val="en-US"/>
        </w:rPr>
        <w:t xml:space="preserve"> </w:t>
      </w:r>
      <w:r w:rsidR="002E0662" w:rsidRPr="00E65234">
        <w:rPr>
          <w:rFonts w:ascii="Sylfaen" w:hAnsi="Sylfaen" w:cs="Sylfaen"/>
          <w:szCs w:val="22"/>
          <w:lang w:val="es-ES"/>
        </w:rPr>
        <w:t>ღვარცოფული</w:t>
      </w:r>
      <w:r w:rsidR="002E0662" w:rsidRPr="00E65234">
        <w:rPr>
          <w:rFonts w:ascii="AcadNusx" w:hAnsi="AcadNusx"/>
          <w:szCs w:val="22"/>
          <w:lang w:val="es-ES"/>
        </w:rPr>
        <w:t xml:space="preserve"> </w:t>
      </w:r>
      <w:r w:rsidR="002E0662" w:rsidRPr="00E65234">
        <w:rPr>
          <w:rFonts w:ascii="Sylfaen" w:hAnsi="Sylfaen" w:cs="Sylfaen"/>
          <w:szCs w:val="22"/>
          <w:lang w:val="es-ES"/>
        </w:rPr>
        <w:t>ნაკადების</w:t>
      </w:r>
      <w:r w:rsidR="002E0662" w:rsidRPr="00E65234">
        <w:rPr>
          <w:rFonts w:ascii="AcadNusx" w:hAnsi="AcadNusx"/>
          <w:szCs w:val="22"/>
          <w:lang w:val="es-ES"/>
        </w:rPr>
        <w:t xml:space="preserve"> </w:t>
      </w:r>
      <w:r w:rsidR="002E0662" w:rsidRPr="00E65234">
        <w:rPr>
          <w:rFonts w:ascii="Sylfaen" w:hAnsi="Sylfaen" w:cs="Sylfaen"/>
          <w:szCs w:val="22"/>
          <w:lang w:val="es-ES"/>
        </w:rPr>
        <w:t>მაქსიმალური</w:t>
      </w:r>
      <w:r w:rsidR="002E0662" w:rsidRPr="00E65234">
        <w:rPr>
          <w:rFonts w:ascii="AcadNusx" w:hAnsi="AcadNusx"/>
          <w:szCs w:val="22"/>
          <w:lang w:val="es-ES"/>
        </w:rPr>
        <w:t xml:space="preserve"> </w:t>
      </w:r>
      <w:r w:rsidR="002E0662" w:rsidRPr="00E65234">
        <w:rPr>
          <w:rFonts w:ascii="Sylfaen" w:hAnsi="Sylfaen" w:cs="Sylfaen"/>
          <w:szCs w:val="22"/>
          <w:lang w:val="es-ES"/>
        </w:rPr>
        <w:t>ხარჯები</w:t>
      </w:r>
      <w:r w:rsidR="002E0662" w:rsidRPr="00E65234">
        <w:rPr>
          <w:rFonts w:ascii="AcadNusx" w:hAnsi="AcadNusx"/>
          <w:szCs w:val="22"/>
          <w:lang w:val="es-ES"/>
        </w:rPr>
        <w:t xml:space="preserve"> </w:t>
      </w:r>
      <w:r w:rsidR="002E0662" w:rsidRPr="00E65234">
        <w:rPr>
          <w:rFonts w:ascii="Sylfaen" w:hAnsi="Sylfaen" w:cs="Sylfaen"/>
          <w:szCs w:val="22"/>
          <w:lang w:val="es-ES"/>
        </w:rPr>
        <w:t>მ</w:t>
      </w:r>
      <w:r w:rsidR="002E0662" w:rsidRPr="00735AFE">
        <w:rPr>
          <w:rFonts w:ascii="AcadNusx" w:hAnsi="AcadNusx"/>
          <w:szCs w:val="22"/>
          <w:vertAlign w:val="superscript"/>
          <w:lang w:val="es-ES"/>
        </w:rPr>
        <w:t>3</w:t>
      </w:r>
      <w:r w:rsidR="002E0662" w:rsidRPr="00E65234">
        <w:rPr>
          <w:rFonts w:ascii="AcadNusx" w:hAnsi="AcadNusx"/>
          <w:szCs w:val="22"/>
          <w:lang w:val="es-ES"/>
        </w:rPr>
        <w:t>/</w:t>
      </w:r>
      <w:r w:rsidR="002E0662" w:rsidRPr="00E65234">
        <w:rPr>
          <w:rFonts w:ascii="Sylfaen" w:hAnsi="Sylfaen" w:cs="Sylfaen"/>
          <w:szCs w:val="22"/>
          <w:lang w:val="es-ES"/>
        </w:rPr>
        <w:t>წმ</w:t>
      </w:r>
      <w:r w:rsidR="002E0662" w:rsidRPr="00E65234">
        <w:rPr>
          <w:rFonts w:ascii="AcadNusx" w:hAnsi="AcadNusx"/>
          <w:szCs w:val="22"/>
          <w:lang w:val="es-ES"/>
        </w:rPr>
        <w:t>-</w:t>
      </w:r>
      <w:r w:rsidR="002E0662" w:rsidRPr="00E65234">
        <w:rPr>
          <w:rFonts w:ascii="Sylfaen" w:hAnsi="Sylfaen" w:cs="Sylfaen"/>
          <w:szCs w:val="22"/>
          <w:lang w:val="es-ES"/>
        </w:rPr>
        <w:t>ში</w:t>
      </w:r>
    </w:p>
    <w:tbl>
      <w:tblPr>
        <w:tblW w:w="9198"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489"/>
        <w:gridCol w:w="1685"/>
        <w:gridCol w:w="1717"/>
        <w:gridCol w:w="2219"/>
      </w:tblGrid>
      <w:tr w:rsidR="00D34C21" w:rsidRPr="008C0A3D" w14:paraId="601874E9" w14:textId="77777777" w:rsidTr="00DB613A">
        <w:tc>
          <w:tcPr>
            <w:tcW w:w="2088" w:type="dxa"/>
          </w:tcPr>
          <w:p w14:paraId="62401021" w14:textId="77777777" w:rsidR="00D34C21" w:rsidRPr="008C0A3D" w:rsidRDefault="00D34C21" w:rsidP="00D34C21">
            <w:pPr>
              <w:ind w:right="46"/>
              <w:rPr>
                <w:rFonts w:ascii="AcadNusx" w:hAnsi="AcadNusx"/>
                <w:sz w:val="20"/>
                <w:lang w:val="fr-FR"/>
              </w:rPr>
            </w:pPr>
            <w:r w:rsidRPr="008C0A3D">
              <w:rPr>
                <w:rFonts w:ascii="AcadNusx" w:hAnsi="AcadNusx"/>
                <w:sz w:val="20"/>
                <w:szCs w:val="22"/>
                <w:lang w:val="fr-FR"/>
              </w:rPr>
              <w:t xml:space="preserve"> </w:t>
            </w:r>
            <w:r w:rsidRPr="008C0A3D">
              <w:rPr>
                <w:rFonts w:ascii="Sylfaen" w:hAnsi="Sylfaen"/>
                <w:sz w:val="20"/>
                <w:szCs w:val="22"/>
                <w:lang w:val="ka-GE"/>
              </w:rPr>
              <w:t>ხევის დასახელება</w:t>
            </w:r>
          </w:p>
          <w:p w14:paraId="4EB7ADA9" w14:textId="77777777" w:rsidR="00D34C21" w:rsidRPr="008C0A3D" w:rsidRDefault="00D34C21" w:rsidP="00D34C21">
            <w:pPr>
              <w:ind w:right="46"/>
              <w:rPr>
                <w:rFonts w:ascii="AcadNusx" w:hAnsi="AcadNusx"/>
                <w:sz w:val="20"/>
                <w:lang w:val="fr-FR"/>
              </w:rPr>
            </w:pPr>
            <w:r w:rsidRPr="008C0A3D">
              <w:rPr>
                <w:rFonts w:ascii="AcadNusx" w:hAnsi="AcadNusx"/>
                <w:sz w:val="20"/>
                <w:szCs w:val="22"/>
                <w:lang w:val="fr-FR"/>
              </w:rPr>
              <w:t xml:space="preserve">     da #</w:t>
            </w:r>
          </w:p>
        </w:tc>
        <w:tc>
          <w:tcPr>
            <w:tcW w:w="1489" w:type="dxa"/>
          </w:tcPr>
          <w:p w14:paraId="778E06E8" w14:textId="77777777" w:rsidR="00D34C21" w:rsidRPr="008C0A3D" w:rsidRDefault="00D34C21" w:rsidP="00D34C21">
            <w:pPr>
              <w:tabs>
                <w:tab w:val="num" w:pos="720"/>
              </w:tabs>
              <w:ind w:right="46"/>
              <w:jc w:val="center"/>
              <w:rPr>
                <w:rFonts w:ascii="AcadNusx" w:hAnsi="AcadNusx"/>
                <w:position w:val="-6"/>
                <w:sz w:val="20"/>
                <w:lang w:val="fr-FR"/>
              </w:rPr>
            </w:pPr>
            <w:r w:rsidRPr="008C0A3D">
              <w:rPr>
                <w:rFonts w:ascii="AcadNusx" w:hAnsi="AcadNusx"/>
                <w:position w:val="-6"/>
                <w:sz w:val="20"/>
                <w:szCs w:val="22"/>
                <w:lang w:val="fr-FR"/>
              </w:rPr>
              <w:object w:dxaOrig="200" w:dyaOrig="220" w14:anchorId="1C352AA6">
                <v:shape id="_x0000_i1061" type="#_x0000_t75" style="width:7.55pt;height:14.25pt" o:ole="" o:bullet="t">
                  <v:imagedata r:id="rId179" o:title=""/>
                </v:shape>
                <o:OLEObject Type="Embed" ProgID="Equation.3" ShapeID="_x0000_i1061" DrawAspect="Content" ObjectID="_1612194583" r:id="rId180"/>
              </w:object>
            </w:r>
          </w:p>
          <w:p w14:paraId="1EABDC4F" w14:textId="77777777" w:rsidR="00D34C21" w:rsidRPr="008C0A3D" w:rsidRDefault="00D34C21" w:rsidP="00D34C21">
            <w:pPr>
              <w:tabs>
                <w:tab w:val="num" w:pos="720"/>
              </w:tabs>
              <w:ind w:right="46"/>
              <w:jc w:val="center"/>
              <w:rPr>
                <w:rFonts w:ascii="Sylfaen" w:hAnsi="Sylfaen"/>
                <w:position w:val="-6"/>
                <w:sz w:val="20"/>
                <w:lang w:val="ka-GE"/>
              </w:rPr>
            </w:pPr>
            <w:r w:rsidRPr="008C0A3D">
              <w:rPr>
                <w:rFonts w:ascii="Sylfaen" w:hAnsi="Sylfaen"/>
                <w:sz w:val="20"/>
                <w:szCs w:val="22"/>
                <w:lang w:val="ka-GE"/>
              </w:rPr>
              <w:t>წელი</w:t>
            </w:r>
          </w:p>
        </w:tc>
        <w:tc>
          <w:tcPr>
            <w:tcW w:w="1685" w:type="dxa"/>
          </w:tcPr>
          <w:p w14:paraId="422F7713" w14:textId="77777777" w:rsidR="00D34C21" w:rsidRPr="008C0A3D" w:rsidRDefault="00D34C21" w:rsidP="00D34C21">
            <w:pPr>
              <w:ind w:right="46"/>
              <w:jc w:val="center"/>
              <w:rPr>
                <w:rFonts w:ascii="AcadNusx" w:hAnsi="AcadNusx"/>
                <w:sz w:val="20"/>
                <w:lang w:val="fr-FR"/>
              </w:rPr>
            </w:pPr>
            <w:r w:rsidRPr="008C0A3D">
              <w:rPr>
                <w:rFonts w:ascii="AcadNusx" w:hAnsi="AcadNusx"/>
                <w:position w:val="-6"/>
                <w:sz w:val="20"/>
                <w:szCs w:val="22"/>
                <w:lang w:val="fr-FR"/>
              </w:rPr>
              <w:object w:dxaOrig="440" w:dyaOrig="279" w14:anchorId="3EB1E045">
                <v:shape id="_x0000_i1062" type="#_x0000_t75" style="width:21.75pt;height:14.25pt" o:ole="">
                  <v:imagedata r:id="rId181" o:title=""/>
                </v:shape>
                <o:OLEObject Type="Embed" ProgID="Equation.3" ShapeID="_x0000_i1062" DrawAspect="Content" ObjectID="_1612194584" r:id="rId182"/>
              </w:object>
            </w:r>
          </w:p>
        </w:tc>
        <w:tc>
          <w:tcPr>
            <w:tcW w:w="1717" w:type="dxa"/>
          </w:tcPr>
          <w:p w14:paraId="31F7EC78" w14:textId="77777777" w:rsidR="00D34C21" w:rsidRPr="008C0A3D" w:rsidRDefault="00D34C21" w:rsidP="00D34C21">
            <w:pPr>
              <w:ind w:right="46"/>
              <w:jc w:val="center"/>
              <w:rPr>
                <w:rFonts w:ascii="AcadNusx" w:hAnsi="AcadNusx"/>
                <w:sz w:val="20"/>
                <w:lang w:val="es-ES"/>
              </w:rPr>
            </w:pPr>
            <w:r w:rsidRPr="008C0A3D">
              <w:rPr>
                <w:rFonts w:ascii="AcadNusx" w:hAnsi="AcadNusx"/>
                <w:position w:val="-10"/>
                <w:sz w:val="20"/>
                <w:szCs w:val="22"/>
                <w:lang w:val="es-ES"/>
              </w:rPr>
              <w:object w:dxaOrig="400" w:dyaOrig="320" w14:anchorId="48F59939">
                <v:shape id="_x0000_i1063" type="#_x0000_t75" style="width:21.75pt;height:14.25pt" o:ole="">
                  <v:imagedata r:id="rId177" o:title=""/>
                </v:shape>
                <o:OLEObject Type="Embed" ProgID="Equation.3" ShapeID="_x0000_i1063" DrawAspect="Content" ObjectID="_1612194585" r:id="rId183"/>
              </w:object>
            </w:r>
            <w:r w:rsidRPr="008C0A3D">
              <w:rPr>
                <w:rFonts w:ascii="AcadNusx" w:hAnsi="AcadNusx"/>
                <w:sz w:val="20"/>
                <w:szCs w:val="22"/>
                <w:lang w:val="es-ES"/>
              </w:rPr>
              <w:t>-</w:t>
            </w:r>
            <w:r w:rsidRPr="008C0A3D">
              <w:rPr>
                <w:rFonts w:ascii="Sylfaen" w:hAnsi="Sylfaen"/>
                <w:sz w:val="20"/>
                <w:szCs w:val="22"/>
                <w:lang w:val="ka-GE"/>
              </w:rPr>
              <w:t>წყლის მაქს. ხარჯი</w:t>
            </w:r>
          </w:p>
        </w:tc>
        <w:tc>
          <w:tcPr>
            <w:tcW w:w="2219" w:type="dxa"/>
          </w:tcPr>
          <w:p w14:paraId="0F3785E6" w14:textId="77777777" w:rsidR="00D34C21" w:rsidRPr="008C0A3D" w:rsidRDefault="00D34C21" w:rsidP="00D34C21">
            <w:pPr>
              <w:ind w:right="46"/>
              <w:jc w:val="center"/>
              <w:rPr>
                <w:rFonts w:ascii="AcadNusx" w:hAnsi="AcadNusx"/>
                <w:sz w:val="20"/>
                <w:lang w:val="es-ES"/>
              </w:rPr>
            </w:pPr>
            <w:r w:rsidRPr="008C0A3D">
              <w:rPr>
                <w:rFonts w:ascii="AcadNusx" w:hAnsi="AcadNusx"/>
                <w:position w:val="-10"/>
                <w:sz w:val="20"/>
                <w:szCs w:val="22"/>
                <w:lang w:val="es-ES"/>
              </w:rPr>
              <w:object w:dxaOrig="520" w:dyaOrig="320" w14:anchorId="1103F79A">
                <v:shape id="_x0000_i1064" type="#_x0000_t75" style="width:28.45pt;height:14.25pt" o:ole="">
                  <v:imagedata r:id="rId184" o:title=""/>
                </v:shape>
                <o:OLEObject Type="Embed" ProgID="Equation.3" ShapeID="_x0000_i1064" DrawAspect="Content" ObjectID="_1612194586" r:id="rId185"/>
              </w:object>
            </w:r>
            <w:r w:rsidRPr="008C0A3D">
              <w:rPr>
                <w:rFonts w:ascii="Sylfaen" w:hAnsi="Sylfaen"/>
                <w:sz w:val="20"/>
                <w:szCs w:val="22"/>
                <w:lang w:val="ka-GE"/>
              </w:rPr>
              <w:t>ღვარცოფის მაქს. ხარჯი</w:t>
            </w:r>
          </w:p>
        </w:tc>
      </w:tr>
      <w:tr w:rsidR="00D34C21" w:rsidRPr="008C0A3D" w14:paraId="777EC36A" w14:textId="77777777" w:rsidTr="00DB613A">
        <w:tc>
          <w:tcPr>
            <w:tcW w:w="2088" w:type="dxa"/>
            <w:vMerge w:val="restart"/>
          </w:tcPr>
          <w:p w14:paraId="2549FCDE" w14:textId="77777777" w:rsidR="00D34C21" w:rsidRPr="008C0A3D" w:rsidRDefault="00D34C21" w:rsidP="00D34C21">
            <w:pPr>
              <w:ind w:right="46"/>
              <w:jc w:val="center"/>
              <w:rPr>
                <w:rFonts w:ascii="AcadNusx" w:hAnsi="AcadNusx"/>
                <w:sz w:val="20"/>
                <w:lang w:val="es-ES"/>
              </w:rPr>
            </w:pPr>
          </w:p>
          <w:p w14:paraId="22768B8B" w14:textId="77777777" w:rsidR="00D34C21" w:rsidRPr="008C0A3D" w:rsidRDefault="00D34C21" w:rsidP="00D34C21">
            <w:pPr>
              <w:ind w:right="46"/>
              <w:jc w:val="center"/>
              <w:rPr>
                <w:rFonts w:ascii="AcadNusx" w:hAnsi="AcadNusx"/>
                <w:sz w:val="20"/>
                <w:lang w:val="es-ES"/>
              </w:rPr>
            </w:pPr>
          </w:p>
          <w:p w14:paraId="38D4247F" w14:textId="77777777" w:rsidR="00D34C21" w:rsidRPr="008C0A3D" w:rsidRDefault="00D34C21" w:rsidP="00D34C21">
            <w:pPr>
              <w:ind w:right="46"/>
              <w:jc w:val="center"/>
              <w:rPr>
                <w:rFonts w:ascii="Sylfaen" w:hAnsi="Sylfaen"/>
                <w:sz w:val="20"/>
                <w:lang w:val="ka-GE"/>
              </w:rPr>
            </w:pPr>
            <w:r w:rsidRPr="008C0A3D">
              <w:rPr>
                <w:rFonts w:ascii="Sylfaen" w:hAnsi="Sylfaen"/>
                <w:sz w:val="20"/>
                <w:szCs w:val="22"/>
                <w:lang w:val="ka-GE"/>
              </w:rPr>
              <w:t>ჭერემისხევი</w:t>
            </w:r>
          </w:p>
          <w:p w14:paraId="3D88DD2D"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w:t>
            </w:r>
          </w:p>
        </w:tc>
        <w:tc>
          <w:tcPr>
            <w:tcW w:w="1489" w:type="dxa"/>
          </w:tcPr>
          <w:p w14:paraId="4699D44D"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200</w:t>
            </w:r>
          </w:p>
        </w:tc>
        <w:tc>
          <w:tcPr>
            <w:tcW w:w="1685" w:type="dxa"/>
          </w:tcPr>
          <w:p w14:paraId="1672565B"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0.5</w:t>
            </w:r>
          </w:p>
        </w:tc>
        <w:tc>
          <w:tcPr>
            <w:tcW w:w="1717" w:type="dxa"/>
          </w:tcPr>
          <w:p w14:paraId="3B67A65E"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197</w:t>
            </w:r>
          </w:p>
        </w:tc>
        <w:tc>
          <w:tcPr>
            <w:tcW w:w="2219" w:type="dxa"/>
          </w:tcPr>
          <w:p w14:paraId="12663EAA"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236</w:t>
            </w:r>
          </w:p>
        </w:tc>
      </w:tr>
      <w:tr w:rsidR="00D34C21" w:rsidRPr="008C0A3D" w14:paraId="1DC5F914" w14:textId="77777777" w:rsidTr="00DB613A">
        <w:tc>
          <w:tcPr>
            <w:tcW w:w="2088" w:type="dxa"/>
            <w:vMerge/>
          </w:tcPr>
          <w:p w14:paraId="551BBA89" w14:textId="77777777" w:rsidR="00D34C21" w:rsidRPr="008C0A3D" w:rsidRDefault="00D34C21" w:rsidP="00D34C21">
            <w:pPr>
              <w:ind w:right="46"/>
              <w:jc w:val="center"/>
              <w:rPr>
                <w:rFonts w:ascii="AcadNusx" w:hAnsi="AcadNusx"/>
                <w:sz w:val="20"/>
                <w:lang w:val="es-ES"/>
              </w:rPr>
            </w:pPr>
          </w:p>
        </w:tc>
        <w:tc>
          <w:tcPr>
            <w:tcW w:w="1489" w:type="dxa"/>
          </w:tcPr>
          <w:p w14:paraId="23CFEB85"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100</w:t>
            </w:r>
          </w:p>
        </w:tc>
        <w:tc>
          <w:tcPr>
            <w:tcW w:w="1685" w:type="dxa"/>
          </w:tcPr>
          <w:p w14:paraId="7A8B074F"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w:t>
            </w:r>
          </w:p>
        </w:tc>
        <w:tc>
          <w:tcPr>
            <w:tcW w:w="1717" w:type="dxa"/>
          </w:tcPr>
          <w:p w14:paraId="42A4522B"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164</w:t>
            </w:r>
          </w:p>
        </w:tc>
        <w:tc>
          <w:tcPr>
            <w:tcW w:w="2219" w:type="dxa"/>
          </w:tcPr>
          <w:p w14:paraId="34F107D3"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197</w:t>
            </w:r>
          </w:p>
        </w:tc>
      </w:tr>
      <w:tr w:rsidR="00D34C21" w:rsidRPr="008C0A3D" w14:paraId="5B316A28" w14:textId="77777777" w:rsidTr="00DB613A">
        <w:tc>
          <w:tcPr>
            <w:tcW w:w="2088" w:type="dxa"/>
            <w:vMerge/>
          </w:tcPr>
          <w:p w14:paraId="4EF13C6C" w14:textId="77777777" w:rsidR="00D34C21" w:rsidRPr="008C0A3D" w:rsidRDefault="00D34C21" w:rsidP="00D34C21">
            <w:pPr>
              <w:ind w:right="46"/>
              <w:jc w:val="center"/>
              <w:rPr>
                <w:rFonts w:ascii="AcadNusx" w:hAnsi="AcadNusx"/>
                <w:sz w:val="20"/>
                <w:lang w:val="es-ES"/>
              </w:rPr>
            </w:pPr>
          </w:p>
        </w:tc>
        <w:tc>
          <w:tcPr>
            <w:tcW w:w="1489" w:type="dxa"/>
          </w:tcPr>
          <w:p w14:paraId="17A7D201"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50</w:t>
            </w:r>
          </w:p>
        </w:tc>
        <w:tc>
          <w:tcPr>
            <w:tcW w:w="1685" w:type="dxa"/>
          </w:tcPr>
          <w:p w14:paraId="1C3030E1"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w:t>
            </w:r>
          </w:p>
        </w:tc>
        <w:tc>
          <w:tcPr>
            <w:tcW w:w="1717" w:type="dxa"/>
          </w:tcPr>
          <w:p w14:paraId="7FCFEA45"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126</w:t>
            </w:r>
          </w:p>
        </w:tc>
        <w:tc>
          <w:tcPr>
            <w:tcW w:w="2219" w:type="dxa"/>
          </w:tcPr>
          <w:p w14:paraId="665B64A8"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151</w:t>
            </w:r>
          </w:p>
        </w:tc>
      </w:tr>
      <w:tr w:rsidR="00D34C21" w:rsidRPr="008C0A3D" w14:paraId="2BDE3789" w14:textId="77777777" w:rsidTr="00DB613A">
        <w:tc>
          <w:tcPr>
            <w:tcW w:w="2088" w:type="dxa"/>
            <w:vMerge/>
          </w:tcPr>
          <w:p w14:paraId="11C2544E" w14:textId="77777777" w:rsidR="00D34C21" w:rsidRPr="008C0A3D" w:rsidRDefault="00D34C21" w:rsidP="00D34C21">
            <w:pPr>
              <w:ind w:right="46"/>
              <w:jc w:val="center"/>
              <w:rPr>
                <w:rFonts w:ascii="AcadNusx" w:hAnsi="AcadNusx"/>
                <w:sz w:val="20"/>
                <w:lang w:val="es-ES"/>
              </w:rPr>
            </w:pPr>
          </w:p>
        </w:tc>
        <w:tc>
          <w:tcPr>
            <w:tcW w:w="1489" w:type="dxa"/>
          </w:tcPr>
          <w:p w14:paraId="6728EAA8"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20</w:t>
            </w:r>
          </w:p>
        </w:tc>
        <w:tc>
          <w:tcPr>
            <w:tcW w:w="1685" w:type="dxa"/>
          </w:tcPr>
          <w:p w14:paraId="27BF2352"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w:t>
            </w:r>
          </w:p>
        </w:tc>
        <w:tc>
          <w:tcPr>
            <w:tcW w:w="1717" w:type="dxa"/>
          </w:tcPr>
          <w:p w14:paraId="6ABAD707"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89.0</w:t>
            </w:r>
          </w:p>
        </w:tc>
        <w:tc>
          <w:tcPr>
            <w:tcW w:w="2219" w:type="dxa"/>
          </w:tcPr>
          <w:p w14:paraId="1CD82A5F"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107</w:t>
            </w:r>
          </w:p>
        </w:tc>
      </w:tr>
      <w:tr w:rsidR="00D34C21" w:rsidRPr="008C0A3D" w14:paraId="0220D92B" w14:textId="77777777" w:rsidTr="00DB613A">
        <w:tc>
          <w:tcPr>
            <w:tcW w:w="2088" w:type="dxa"/>
            <w:vMerge/>
          </w:tcPr>
          <w:p w14:paraId="07053F04" w14:textId="77777777" w:rsidR="00D34C21" w:rsidRPr="008C0A3D" w:rsidRDefault="00D34C21" w:rsidP="00D34C21">
            <w:pPr>
              <w:ind w:right="46"/>
              <w:jc w:val="center"/>
              <w:rPr>
                <w:rFonts w:ascii="AcadNusx" w:hAnsi="AcadNusx"/>
                <w:sz w:val="20"/>
                <w:lang w:val="es-ES"/>
              </w:rPr>
            </w:pPr>
          </w:p>
        </w:tc>
        <w:tc>
          <w:tcPr>
            <w:tcW w:w="1489" w:type="dxa"/>
          </w:tcPr>
          <w:p w14:paraId="6F4F316D"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w:t>
            </w:r>
          </w:p>
        </w:tc>
        <w:tc>
          <w:tcPr>
            <w:tcW w:w="1685" w:type="dxa"/>
          </w:tcPr>
          <w:p w14:paraId="4C280C8C"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w:t>
            </w:r>
          </w:p>
        </w:tc>
        <w:tc>
          <w:tcPr>
            <w:tcW w:w="1717" w:type="dxa"/>
          </w:tcPr>
          <w:p w14:paraId="37762AB4"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68.4</w:t>
            </w:r>
          </w:p>
        </w:tc>
        <w:tc>
          <w:tcPr>
            <w:tcW w:w="2219" w:type="dxa"/>
          </w:tcPr>
          <w:p w14:paraId="4B511F0B"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82.1</w:t>
            </w:r>
          </w:p>
        </w:tc>
      </w:tr>
      <w:tr w:rsidR="00D34C21" w:rsidRPr="008C0A3D" w14:paraId="3E35991E" w14:textId="77777777" w:rsidTr="00DB613A">
        <w:tc>
          <w:tcPr>
            <w:tcW w:w="2088" w:type="dxa"/>
            <w:vMerge w:val="restart"/>
          </w:tcPr>
          <w:p w14:paraId="4137F6E0" w14:textId="77777777" w:rsidR="00D34C21" w:rsidRPr="008C0A3D" w:rsidRDefault="00D34C21" w:rsidP="00D34C21">
            <w:pPr>
              <w:ind w:right="46"/>
              <w:jc w:val="center"/>
              <w:rPr>
                <w:rFonts w:ascii="AcadNusx" w:hAnsi="AcadNusx"/>
                <w:sz w:val="20"/>
                <w:lang w:val="es-ES"/>
              </w:rPr>
            </w:pPr>
          </w:p>
          <w:p w14:paraId="1B06C852" w14:textId="77777777" w:rsidR="00D34C21" w:rsidRPr="008C0A3D" w:rsidRDefault="00D34C21" w:rsidP="00D34C21">
            <w:pPr>
              <w:ind w:right="46"/>
              <w:jc w:val="center"/>
              <w:rPr>
                <w:rFonts w:ascii="Sylfaen" w:hAnsi="Sylfaen"/>
                <w:sz w:val="20"/>
                <w:lang w:val="ka-GE"/>
              </w:rPr>
            </w:pPr>
            <w:r w:rsidRPr="008C0A3D">
              <w:rPr>
                <w:rFonts w:ascii="Sylfaen" w:hAnsi="Sylfaen"/>
                <w:sz w:val="20"/>
                <w:szCs w:val="22"/>
                <w:lang w:val="ka-GE"/>
              </w:rPr>
              <w:t>მღვრიესხევი</w:t>
            </w:r>
          </w:p>
          <w:p w14:paraId="6E3FAD34"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#11</w:t>
            </w:r>
          </w:p>
        </w:tc>
        <w:tc>
          <w:tcPr>
            <w:tcW w:w="1489" w:type="dxa"/>
          </w:tcPr>
          <w:p w14:paraId="1BE4A5AB"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200</w:t>
            </w:r>
          </w:p>
        </w:tc>
        <w:tc>
          <w:tcPr>
            <w:tcW w:w="1685" w:type="dxa"/>
          </w:tcPr>
          <w:p w14:paraId="2DB45BAD"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0.5</w:t>
            </w:r>
          </w:p>
        </w:tc>
        <w:tc>
          <w:tcPr>
            <w:tcW w:w="1717" w:type="dxa"/>
          </w:tcPr>
          <w:p w14:paraId="7B2DCB6B"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85.4</w:t>
            </w:r>
          </w:p>
        </w:tc>
        <w:tc>
          <w:tcPr>
            <w:tcW w:w="2219" w:type="dxa"/>
          </w:tcPr>
          <w:p w14:paraId="26E1C454"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102</w:t>
            </w:r>
          </w:p>
        </w:tc>
      </w:tr>
      <w:tr w:rsidR="00D34C21" w:rsidRPr="008C0A3D" w14:paraId="1DB86DF7" w14:textId="77777777" w:rsidTr="00DB613A">
        <w:tc>
          <w:tcPr>
            <w:tcW w:w="2088" w:type="dxa"/>
            <w:vMerge/>
          </w:tcPr>
          <w:p w14:paraId="293FDC22" w14:textId="77777777" w:rsidR="00D34C21" w:rsidRPr="008C0A3D" w:rsidRDefault="00D34C21" w:rsidP="00D34C21">
            <w:pPr>
              <w:ind w:right="46"/>
              <w:jc w:val="center"/>
              <w:rPr>
                <w:rFonts w:ascii="AcadNusx" w:hAnsi="AcadNusx"/>
                <w:sz w:val="20"/>
                <w:lang w:val="es-ES"/>
              </w:rPr>
            </w:pPr>
          </w:p>
        </w:tc>
        <w:tc>
          <w:tcPr>
            <w:tcW w:w="1489" w:type="dxa"/>
          </w:tcPr>
          <w:p w14:paraId="11ECBBBA"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100</w:t>
            </w:r>
          </w:p>
        </w:tc>
        <w:tc>
          <w:tcPr>
            <w:tcW w:w="1685" w:type="dxa"/>
          </w:tcPr>
          <w:p w14:paraId="41EA8AF6"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w:t>
            </w:r>
          </w:p>
        </w:tc>
        <w:tc>
          <w:tcPr>
            <w:tcW w:w="1717" w:type="dxa"/>
          </w:tcPr>
          <w:p w14:paraId="5DE1E8A4"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71.2</w:t>
            </w:r>
          </w:p>
        </w:tc>
        <w:tc>
          <w:tcPr>
            <w:tcW w:w="2219" w:type="dxa"/>
          </w:tcPr>
          <w:p w14:paraId="3EA6BD49"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85.4</w:t>
            </w:r>
          </w:p>
        </w:tc>
      </w:tr>
      <w:tr w:rsidR="00D34C21" w:rsidRPr="008C0A3D" w14:paraId="1189E10F" w14:textId="77777777" w:rsidTr="00DB613A">
        <w:tc>
          <w:tcPr>
            <w:tcW w:w="2088" w:type="dxa"/>
            <w:vMerge/>
          </w:tcPr>
          <w:p w14:paraId="475F6B68" w14:textId="77777777" w:rsidR="00D34C21" w:rsidRPr="008C0A3D" w:rsidRDefault="00D34C21" w:rsidP="00D34C21">
            <w:pPr>
              <w:ind w:right="46"/>
              <w:jc w:val="center"/>
              <w:rPr>
                <w:rFonts w:ascii="AcadNusx" w:hAnsi="AcadNusx"/>
                <w:sz w:val="20"/>
                <w:lang w:val="es-ES"/>
              </w:rPr>
            </w:pPr>
          </w:p>
        </w:tc>
        <w:tc>
          <w:tcPr>
            <w:tcW w:w="1489" w:type="dxa"/>
          </w:tcPr>
          <w:p w14:paraId="32A843FB"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50</w:t>
            </w:r>
          </w:p>
        </w:tc>
        <w:tc>
          <w:tcPr>
            <w:tcW w:w="1685" w:type="dxa"/>
          </w:tcPr>
          <w:p w14:paraId="7C44CDCB"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w:t>
            </w:r>
          </w:p>
        </w:tc>
        <w:tc>
          <w:tcPr>
            <w:tcW w:w="1717" w:type="dxa"/>
          </w:tcPr>
          <w:p w14:paraId="7697EE3D"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54.7</w:t>
            </w:r>
          </w:p>
        </w:tc>
        <w:tc>
          <w:tcPr>
            <w:tcW w:w="2219" w:type="dxa"/>
          </w:tcPr>
          <w:p w14:paraId="3D9B7FFD"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65.6</w:t>
            </w:r>
          </w:p>
        </w:tc>
      </w:tr>
      <w:tr w:rsidR="00D34C21" w:rsidRPr="008C0A3D" w14:paraId="48A9D576" w14:textId="77777777" w:rsidTr="00DB613A">
        <w:tc>
          <w:tcPr>
            <w:tcW w:w="2088" w:type="dxa"/>
            <w:vMerge/>
          </w:tcPr>
          <w:p w14:paraId="718BAF3F" w14:textId="77777777" w:rsidR="00D34C21" w:rsidRPr="008C0A3D" w:rsidRDefault="00D34C21" w:rsidP="00D34C21">
            <w:pPr>
              <w:ind w:right="46"/>
              <w:jc w:val="center"/>
              <w:rPr>
                <w:rFonts w:ascii="AcadNusx" w:hAnsi="AcadNusx"/>
                <w:sz w:val="20"/>
                <w:lang w:val="es-ES"/>
              </w:rPr>
            </w:pPr>
          </w:p>
        </w:tc>
        <w:tc>
          <w:tcPr>
            <w:tcW w:w="1489" w:type="dxa"/>
          </w:tcPr>
          <w:p w14:paraId="16CF09F0"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20</w:t>
            </w:r>
          </w:p>
        </w:tc>
        <w:tc>
          <w:tcPr>
            <w:tcW w:w="1685" w:type="dxa"/>
          </w:tcPr>
          <w:p w14:paraId="1FBCEE04"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w:t>
            </w:r>
          </w:p>
        </w:tc>
        <w:tc>
          <w:tcPr>
            <w:tcW w:w="1717" w:type="dxa"/>
          </w:tcPr>
          <w:p w14:paraId="2E03E147"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38.6</w:t>
            </w:r>
          </w:p>
        </w:tc>
        <w:tc>
          <w:tcPr>
            <w:tcW w:w="2219" w:type="dxa"/>
          </w:tcPr>
          <w:p w14:paraId="65E621C1"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46.3</w:t>
            </w:r>
          </w:p>
        </w:tc>
      </w:tr>
      <w:tr w:rsidR="00D34C21" w:rsidRPr="008C0A3D" w14:paraId="2C96B83A" w14:textId="77777777" w:rsidTr="00DB613A">
        <w:tc>
          <w:tcPr>
            <w:tcW w:w="2088" w:type="dxa"/>
            <w:vMerge/>
          </w:tcPr>
          <w:p w14:paraId="366EDC5F" w14:textId="77777777" w:rsidR="00D34C21" w:rsidRPr="008C0A3D" w:rsidRDefault="00D34C21" w:rsidP="00D34C21">
            <w:pPr>
              <w:ind w:right="46"/>
              <w:jc w:val="center"/>
              <w:rPr>
                <w:rFonts w:ascii="AcadNusx" w:hAnsi="AcadNusx"/>
                <w:sz w:val="20"/>
                <w:lang w:val="es-ES"/>
              </w:rPr>
            </w:pPr>
          </w:p>
        </w:tc>
        <w:tc>
          <w:tcPr>
            <w:tcW w:w="1489" w:type="dxa"/>
          </w:tcPr>
          <w:p w14:paraId="5608ED72"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w:t>
            </w:r>
          </w:p>
        </w:tc>
        <w:tc>
          <w:tcPr>
            <w:tcW w:w="1685" w:type="dxa"/>
          </w:tcPr>
          <w:p w14:paraId="2F8A0C73"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w:t>
            </w:r>
          </w:p>
        </w:tc>
        <w:tc>
          <w:tcPr>
            <w:tcW w:w="1717" w:type="dxa"/>
          </w:tcPr>
          <w:p w14:paraId="5E0C700B"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29.7</w:t>
            </w:r>
          </w:p>
        </w:tc>
        <w:tc>
          <w:tcPr>
            <w:tcW w:w="2219" w:type="dxa"/>
          </w:tcPr>
          <w:p w14:paraId="1E332ECA"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35.6</w:t>
            </w:r>
          </w:p>
        </w:tc>
      </w:tr>
      <w:tr w:rsidR="00D34C21" w:rsidRPr="008C0A3D" w14:paraId="70309182" w14:textId="77777777" w:rsidTr="00DB613A">
        <w:tc>
          <w:tcPr>
            <w:tcW w:w="2088" w:type="dxa"/>
            <w:vMerge w:val="restart"/>
          </w:tcPr>
          <w:p w14:paraId="2D264F6E" w14:textId="77777777" w:rsidR="00D34C21" w:rsidRPr="008C0A3D" w:rsidRDefault="00D34C21" w:rsidP="00D34C21">
            <w:pPr>
              <w:ind w:right="46"/>
              <w:jc w:val="center"/>
              <w:rPr>
                <w:rFonts w:ascii="AcadNusx" w:hAnsi="AcadNusx"/>
                <w:sz w:val="20"/>
                <w:lang w:val="es-ES"/>
              </w:rPr>
            </w:pPr>
          </w:p>
          <w:p w14:paraId="31C1F7F1" w14:textId="77777777" w:rsidR="00D34C21" w:rsidRPr="008C0A3D" w:rsidRDefault="00D34C21" w:rsidP="00D34C21">
            <w:pPr>
              <w:ind w:right="46"/>
              <w:jc w:val="center"/>
              <w:rPr>
                <w:rFonts w:ascii="AcadNusx" w:hAnsi="AcadNusx"/>
                <w:sz w:val="20"/>
                <w:lang w:val="es-ES"/>
              </w:rPr>
            </w:pPr>
            <w:r w:rsidRPr="008C0A3D">
              <w:rPr>
                <w:rFonts w:ascii="Sylfaen" w:hAnsi="Sylfaen"/>
                <w:sz w:val="20"/>
                <w:szCs w:val="22"/>
                <w:lang w:val="ka-GE"/>
              </w:rPr>
              <w:t>შრმისხევი</w:t>
            </w:r>
          </w:p>
          <w:p w14:paraId="7951AF3D"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#19</w:t>
            </w:r>
          </w:p>
        </w:tc>
        <w:tc>
          <w:tcPr>
            <w:tcW w:w="1489" w:type="dxa"/>
          </w:tcPr>
          <w:p w14:paraId="4DBCBD6E"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200</w:t>
            </w:r>
          </w:p>
        </w:tc>
        <w:tc>
          <w:tcPr>
            <w:tcW w:w="1685" w:type="dxa"/>
          </w:tcPr>
          <w:p w14:paraId="5CBC11FB"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0.5</w:t>
            </w:r>
          </w:p>
        </w:tc>
        <w:tc>
          <w:tcPr>
            <w:tcW w:w="1717" w:type="dxa"/>
          </w:tcPr>
          <w:p w14:paraId="360AAF0A"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124</w:t>
            </w:r>
          </w:p>
        </w:tc>
        <w:tc>
          <w:tcPr>
            <w:tcW w:w="2219" w:type="dxa"/>
          </w:tcPr>
          <w:p w14:paraId="52E9D8D7"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149</w:t>
            </w:r>
          </w:p>
        </w:tc>
      </w:tr>
      <w:tr w:rsidR="00D34C21" w:rsidRPr="008C0A3D" w14:paraId="292FC7D9" w14:textId="77777777" w:rsidTr="00DB613A">
        <w:tc>
          <w:tcPr>
            <w:tcW w:w="2088" w:type="dxa"/>
            <w:vMerge/>
          </w:tcPr>
          <w:p w14:paraId="124B2D87" w14:textId="77777777" w:rsidR="00D34C21" w:rsidRPr="008C0A3D" w:rsidRDefault="00D34C21" w:rsidP="00D34C21">
            <w:pPr>
              <w:ind w:right="46"/>
              <w:jc w:val="center"/>
              <w:rPr>
                <w:rFonts w:ascii="AcadNusx" w:hAnsi="AcadNusx"/>
                <w:sz w:val="20"/>
                <w:lang w:val="es-ES"/>
              </w:rPr>
            </w:pPr>
          </w:p>
        </w:tc>
        <w:tc>
          <w:tcPr>
            <w:tcW w:w="1489" w:type="dxa"/>
          </w:tcPr>
          <w:p w14:paraId="691E4CE9"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100</w:t>
            </w:r>
          </w:p>
        </w:tc>
        <w:tc>
          <w:tcPr>
            <w:tcW w:w="1685" w:type="dxa"/>
          </w:tcPr>
          <w:p w14:paraId="4A7981AD"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w:t>
            </w:r>
          </w:p>
        </w:tc>
        <w:tc>
          <w:tcPr>
            <w:tcW w:w="1717" w:type="dxa"/>
          </w:tcPr>
          <w:p w14:paraId="3270AD6E"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103</w:t>
            </w:r>
          </w:p>
        </w:tc>
        <w:tc>
          <w:tcPr>
            <w:tcW w:w="2219" w:type="dxa"/>
          </w:tcPr>
          <w:p w14:paraId="27BA17CC"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124</w:t>
            </w:r>
          </w:p>
        </w:tc>
      </w:tr>
      <w:tr w:rsidR="00D34C21" w:rsidRPr="008C0A3D" w14:paraId="485DC7B3" w14:textId="77777777" w:rsidTr="00DB613A">
        <w:tc>
          <w:tcPr>
            <w:tcW w:w="2088" w:type="dxa"/>
            <w:vMerge/>
          </w:tcPr>
          <w:p w14:paraId="2912A866" w14:textId="77777777" w:rsidR="00D34C21" w:rsidRPr="008C0A3D" w:rsidRDefault="00D34C21" w:rsidP="00D34C21">
            <w:pPr>
              <w:ind w:right="46"/>
              <w:jc w:val="center"/>
              <w:rPr>
                <w:rFonts w:ascii="AcadNusx" w:hAnsi="AcadNusx"/>
                <w:sz w:val="20"/>
                <w:lang w:val="es-ES"/>
              </w:rPr>
            </w:pPr>
          </w:p>
        </w:tc>
        <w:tc>
          <w:tcPr>
            <w:tcW w:w="1489" w:type="dxa"/>
          </w:tcPr>
          <w:p w14:paraId="4BD31F5B"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50</w:t>
            </w:r>
          </w:p>
        </w:tc>
        <w:tc>
          <w:tcPr>
            <w:tcW w:w="1685" w:type="dxa"/>
          </w:tcPr>
          <w:p w14:paraId="7D66B8C7"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w:t>
            </w:r>
          </w:p>
        </w:tc>
        <w:tc>
          <w:tcPr>
            <w:tcW w:w="1717" w:type="dxa"/>
          </w:tcPr>
          <w:p w14:paraId="68CB9883"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79.2</w:t>
            </w:r>
          </w:p>
        </w:tc>
        <w:tc>
          <w:tcPr>
            <w:tcW w:w="2219" w:type="dxa"/>
          </w:tcPr>
          <w:p w14:paraId="65A6BAEB"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95.0</w:t>
            </w:r>
          </w:p>
        </w:tc>
      </w:tr>
      <w:tr w:rsidR="00D34C21" w:rsidRPr="008C0A3D" w14:paraId="491B63BD" w14:textId="77777777" w:rsidTr="00DB613A">
        <w:tc>
          <w:tcPr>
            <w:tcW w:w="2088" w:type="dxa"/>
            <w:vMerge/>
          </w:tcPr>
          <w:p w14:paraId="50C3014E" w14:textId="77777777" w:rsidR="00D34C21" w:rsidRPr="008C0A3D" w:rsidRDefault="00D34C21" w:rsidP="00D34C21">
            <w:pPr>
              <w:ind w:right="46"/>
              <w:jc w:val="center"/>
              <w:rPr>
                <w:rFonts w:ascii="AcadNusx" w:hAnsi="AcadNusx"/>
                <w:sz w:val="20"/>
                <w:lang w:val="es-ES"/>
              </w:rPr>
            </w:pPr>
          </w:p>
        </w:tc>
        <w:tc>
          <w:tcPr>
            <w:tcW w:w="1489" w:type="dxa"/>
          </w:tcPr>
          <w:p w14:paraId="64160106"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20</w:t>
            </w:r>
          </w:p>
        </w:tc>
        <w:tc>
          <w:tcPr>
            <w:tcW w:w="1685" w:type="dxa"/>
          </w:tcPr>
          <w:p w14:paraId="3B322E67"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w:t>
            </w:r>
          </w:p>
        </w:tc>
        <w:tc>
          <w:tcPr>
            <w:tcW w:w="1717" w:type="dxa"/>
          </w:tcPr>
          <w:p w14:paraId="0F2AFC7D"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55.9</w:t>
            </w:r>
          </w:p>
        </w:tc>
        <w:tc>
          <w:tcPr>
            <w:tcW w:w="2219" w:type="dxa"/>
          </w:tcPr>
          <w:p w14:paraId="7F24FD6E"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67.1</w:t>
            </w:r>
          </w:p>
        </w:tc>
      </w:tr>
      <w:tr w:rsidR="00D34C21" w:rsidRPr="008C0A3D" w14:paraId="75F9C669" w14:textId="77777777" w:rsidTr="00DB613A">
        <w:tc>
          <w:tcPr>
            <w:tcW w:w="2088" w:type="dxa"/>
            <w:vMerge/>
          </w:tcPr>
          <w:p w14:paraId="3ACE3063" w14:textId="77777777" w:rsidR="00D34C21" w:rsidRPr="008C0A3D" w:rsidRDefault="00D34C21" w:rsidP="00D34C21">
            <w:pPr>
              <w:ind w:right="46"/>
              <w:jc w:val="center"/>
              <w:rPr>
                <w:rFonts w:ascii="AcadNusx" w:hAnsi="AcadNusx"/>
                <w:sz w:val="20"/>
                <w:lang w:val="es-ES"/>
              </w:rPr>
            </w:pPr>
          </w:p>
        </w:tc>
        <w:tc>
          <w:tcPr>
            <w:tcW w:w="1489" w:type="dxa"/>
          </w:tcPr>
          <w:p w14:paraId="132320EE"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w:t>
            </w:r>
          </w:p>
        </w:tc>
        <w:tc>
          <w:tcPr>
            <w:tcW w:w="1685" w:type="dxa"/>
          </w:tcPr>
          <w:p w14:paraId="45B31191"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w:t>
            </w:r>
          </w:p>
        </w:tc>
        <w:tc>
          <w:tcPr>
            <w:tcW w:w="1717" w:type="dxa"/>
          </w:tcPr>
          <w:p w14:paraId="01B5CFFB"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43.0</w:t>
            </w:r>
          </w:p>
        </w:tc>
        <w:tc>
          <w:tcPr>
            <w:tcW w:w="2219" w:type="dxa"/>
          </w:tcPr>
          <w:p w14:paraId="36F87DAA"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51.6</w:t>
            </w:r>
          </w:p>
        </w:tc>
      </w:tr>
      <w:tr w:rsidR="00D34C21" w:rsidRPr="008C0A3D" w14:paraId="5490F213" w14:textId="77777777" w:rsidTr="00DB613A">
        <w:tc>
          <w:tcPr>
            <w:tcW w:w="2088" w:type="dxa"/>
            <w:vMerge w:val="restart"/>
          </w:tcPr>
          <w:p w14:paraId="0A3DB152" w14:textId="77777777" w:rsidR="00D34C21" w:rsidRPr="008C0A3D" w:rsidRDefault="00D34C21" w:rsidP="00D34C21">
            <w:pPr>
              <w:ind w:right="46"/>
              <w:jc w:val="center"/>
              <w:rPr>
                <w:rFonts w:ascii="AcadNusx" w:hAnsi="AcadNusx"/>
                <w:sz w:val="20"/>
                <w:lang w:val="es-ES"/>
              </w:rPr>
            </w:pPr>
          </w:p>
          <w:p w14:paraId="7BC83DF9" w14:textId="77777777" w:rsidR="00D34C21" w:rsidRPr="008C0A3D" w:rsidRDefault="00D34C21" w:rsidP="00D34C21">
            <w:pPr>
              <w:ind w:right="46"/>
              <w:jc w:val="center"/>
              <w:rPr>
                <w:rFonts w:ascii="AcadNusx" w:hAnsi="AcadNusx"/>
                <w:sz w:val="20"/>
                <w:lang w:val="es-ES"/>
              </w:rPr>
            </w:pPr>
            <w:r w:rsidRPr="008C0A3D">
              <w:rPr>
                <w:rFonts w:ascii="Sylfaen" w:hAnsi="Sylfaen"/>
                <w:sz w:val="20"/>
                <w:szCs w:val="22"/>
                <w:lang w:val="ka-GE"/>
              </w:rPr>
              <w:t>ვანთისხევი</w:t>
            </w:r>
          </w:p>
          <w:p w14:paraId="4BFE7996"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#26</w:t>
            </w:r>
          </w:p>
        </w:tc>
        <w:tc>
          <w:tcPr>
            <w:tcW w:w="1489" w:type="dxa"/>
          </w:tcPr>
          <w:p w14:paraId="7C8B3A58"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200</w:t>
            </w:r>
          </w:p>
        </w:tc>
        <w:tc>
          <w:tcPr>
            <w:tcW w:w="1685" w:type="dxa"/>
          </w:tcPr>
          <w:p w14:paraId="044A2D6B"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0.5</w:t>
            </w:r>
          </w:p>
        </w:tc>
        <w:tc>
          <w:tcPr>
            <w:tcW w:w="1717" w:type="dxa"/>
          </w:tcPr>
          <w:p w14:paraId="2CBD27A1"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104</w:t>
            </w:r>
          </w:p>
        </w:tc>
        <w:tc>
          <w:tcPr>
            <w:tcW w:w="2219" w:type="dxa"/>
          </w:tcPr>
          <w:p w14:paraId="6FA62972"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125</w:t>
            </w:r>
          </w:p>
        </w:tc>
      </w:tr>
      <w:tr w:rsidR="00D34C21" w:rsidRPr="008C0A3D" w14:paraId="4EDA92FA" w14:textId="77777777" w:rsidTr="00DB613A">
        <w:tc>
          <w:tcPr>
            <w:tcW w:w="2088" w:type="dxa"/>
            <w:vMerge/>
          </w:tcPr>
          <w:p w14:paraId="57A39FE3" w14:textId="77777777" w:rsidR="00D34C21" w:rsidRPr="008C0A3D" w:rsidRDefault="00D34C21" w:rsidP="00D34C21">
            <w:pPr>
              <w:ind w:right="46"/>
              <w:jc w:val="center"/>
              <w:rPr>
                <w:rFonts w:ascii="AcadNusx" w:hAnsi="AcadNusx"/>
                <w:sz w:val="20"/>
                <w:lang w:val="es-ES"/>
              </w:rPr>
            </w:pPr>
          </w:p>
        </w:tc>
        <w:tc>
          <w:tcPr>
            <w:tcW w:w="1489" w:type="dxa"/>
          </w:tcPr>
          <w:p w14:paraId="3B39B144"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100</w:t>
            </w:r>
          </w:p>
        </w:tc>
        <w:tc>
          <w:tcPr>
            <w:tcW w:w="1685" w:type="dxa"/>
          </w:tcPr>
          <w:p w14:paraId="2F524376"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w:t>
            </w:r>
          </w:p>
        </w:tc>
        <w:tc>
          <w:tcPr>
            <w:tcW w:w="1717" w:type="dxa"/>
          </w:tcPr>
          <w:p w14:paraId="01F2E3D5"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86.4</w:t>
            </w:r>
          </w:p>
        </w:tc>
        <w:tc>
          <w:tcPr>
            <w:tcW w:w="2219" w:type="dxa"/>
          </w:tcPr>
          <w:p w14:paraId="5E1B0D50"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104</w:t>
            </w:r>
          </w:p>
        </w:tc>
      </w:tr>
      <w:tr w:rsidR="00D34C21" w:rsidRPr="008C0A3D" w14:paraId="540EC86A" w14:textId="77777777" w:rsidTr="00DB613A">
        <w:tc>
          <w:tcPr>
            <w:tcW w:w="2088" w:type="dxa"/>
            <w:vMerge/>
          </w:tcPr>
          <w:p w14:paraId="3245544B" w14:textId="77777777" w:rsidR="00D34C21" w:rsidRPr="008C0A3D" w:rsidRDefault="00D34C21" w:rsidP="00D34C21">
            <w:pPr>
              <w:ind w:right="46"/>
              <w:jc w:val="center"/>
              <w:rPr>
                <w:rFonts w:ascii="AcadNusx" w:hAnsi="AcadNusx"/>
                <w:sz w:val="20"/>
                <w:lang w:val="es-ES"/>
              </w:rPr>
            </w:pPr>
          </w:p>
        </w:tc>
        <w:tc>
          <w:tcPr>
            <w:tcW w:w="1489" w:type="dxa"/>
          </w:tcPr>
          <w:p w14:paraId="28BF8210"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50</w:t>
            </w:r>
          </w:p>
        </w:tc>
        <w:tc>
          <w:tcPr>
            <w:tcW w:w="1685" w:type="dxa"/>
          </w:tcPr>
          <w:p w14:paraId="55ED57DC"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w:t>
            </w:r>
          </w:p>
        </w:tc>
        <w:tc>
          <w:tcPr>
            <w:tcW w:w="1717" w:type="dxa"/>
          </w:tcPr>
          <w:p w14:paraId="0D5067AB"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66.4</w:t>
            </w:r>
          </w:p>
        </w:tc>
        <w:tc>
          <w:tcPr>
            <w:tcW w:w="2219" w:type="dxa"/>
          </w:tcPr>
          <w:p w14:paraId="60A5CF4E"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80.0</w:t>
            </w:r>
          </w:p>
        </w:tc>
      </w:tr>
      <w:tr w:rsidR="00D34C21" w:rsidRPr="008C0A3D" w14:paraId="1D8488AF" w14:textId="77777777" w:rsidTr="00DB613A">
        <w:tc>
          <w:tcPr>
            <w:tcW w:w="2088" w:type="dxa"/>
            <w:vMerge/>
          </w:tcPr>
          <w:p w14:paraId="562B659F" w14:textId="77777777" w:rsidR="00D34C21" w:rsidRPr="008C0A3D" w:rsidRDefault="00D34C21" w:rsidP="00D34C21">
            <w:pPr>
              <w:ind w:right="46"/>
              <w:jc w:val="center"/>
              <w:rPr>
                <w:rFonts w:ascii="AcadNusx" w:hAnsi="AcadNusx"/>
                <w:sz w:val="20"/>
                <w:lang w:val="es-ES"/>
              </w:rPr>
            </w:pPr>
          </w:p>
        </w:tc>
        <w:tc>
          <w:tcPr>
            <w:tcW w:w="1489" w:type="dxa"/>
          </w:tcPr>
          <w:p w14:paraId="59E659CE"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20</w:t>
            </w:r>
          </w:p>
        </w:tc>
        <w:tc>
          <w:tcPr>
            <w:tcW w:w="1685" w:type="dxa"/>
          </w:tcPr>
          <w:p w14:paraId="751013E4"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w:t>
            </w:r>
          </w:p>
        </w:tc>
        <w:tc>
          <w:tcPr>
            <w:tcW w:w="1717" w:type="dxa"/>
          </w:tcPr>
          <w:p w14:paraId="04D80CCA"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46.9</w:t>
            </w:r>
          </w:p>
        </w:tc>
        <w:tc>
          <w:tcPr>
            <w:tcW w:w="2219" w:type="dxa"/>
          </w:tcPr>
          <w:p w14:paraId="6F6F57B4"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56.3</w:t>
            </w:r>
          </w:p>
        </w:tc>
      </w:tr>
      <w:tr w:rsidR="00D34C21" w:rsidRPr="008C0A3D" w14:paraId="0FAAFBCE" w14:textId="77777777" w:rsidTr="00DB613A">
        <w:tc>
          <w:tcPr>
            <w:tcW w:w="2088" w:type="dxa"/>
            <w:vMerge/>
          </w:tcPr>
          <w:p w14:paraId="007C5175" w14:textId="77777777" w:rsidR="00D34C21" w:rsidRPr="008C0A3D" w:rsidRDefault="00D34C21" w:rsidP="00D34C21">
            <w:pPr>
              <w:ind w:right="46"/>
              <w:jc w:val="center"/>
              <w:rPr>
                <w:rFonts w:ascii="AcadNusx" w:hAnsi="AcadNusx"/>
                <w:sz w:val="20"/>
                <w:lang w:val="es-ES"/>
              </w:rPr>
            </w:pPr>
          </w:p>
        </w:tc>
        <w:tc>
          <w:tcPr>
            <w:tcW w:w="1489" w:type="dxa"/>
          </w:tcPr>
          <w:p w14:paraId="3C4DAB9A"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w:t>
            </w:r>
          </w:p>
        </w:tc>
        <w:tc>
          <w:tcPr>
            <w:tcW w:w="1685" w:type="dxa"/>
          </w:tcPr>
          <w:p w14:paraId="0ABD1255"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w:t>
            </w:r>
          </w:p>
        </w:tc>
        <w:tc>
          <w:tcPr>
            <w:tcW w:w="1717" w:type="dxa"/>
          </w:tcPr>
          <w:p w14:paraId="12750E97"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36.1</w:t>
            </w:r>
          </w:p>
        </w:tc>
        <w:tc>
          <w:tcPr>
            <w:tcW w:w="2219" w:type="dxa"/>
          </w:tcPr>
          <w:p w14:paraId="2FBD63D0"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43.3</w:t>
            </w:r>
          </w:p>
        </w:tc>
      </w:tr>
      <w:tr w:rsidR="00D34C21" w:rsidRPr="008C0A3D" w14:paraId="06BE8B1A" w14:textId="77777777" w:rsidTr="00DB613A">
        <w:tc>
          <w:tcPr>
            <w:tcW w:w="2088" w:type="dxa"/>
            <w:vMerge w:val="restart"/>
          </w:tcPr>
          <w:p w14:paraId="2D8ACE20" w14:textId="77777777" w:rsidR="00D34C21" w:rsidRPr="008C0A3D" w:rsidRDefault="00D34C21" w:rsidP="00D34C21">
            <w:pPr>
              <w:ind w:right="46"/>
              <w:jc w:val="center"/>
              <w:rPr>
                <w:rFonts w:ascii="AcadNusx" w:hAnsi="AcadNusx"/>
                <w:sz w:val="20"/>
                <w:lang w:val="es-ES"/>
              </w:rPr>
            </w:pPr>
          </w:p>
          <w:p w14:paraId="4112759F" w14:textId="77777777" w:rsidR="00D34C21" w:rsidRPr="008C0A3D" w:rsidRDefault="00D34C21" w:rsidP="00D34C21">
            <w:pPr>
              <w:ind w:right="46"/>
              <w:jc w:val="center"/>
              <w:rPr>
                <w:rFonts w:ascii="AcadNusx" w:hAnsi="AcadNusx"/>
                <w:sz w:val="20"/>
                <w:lang w:val="es-ES"/>
              </w:rPr>
            </w:pPr>
            <w:r w:rsidRPr="008C0A3D">
              <w:rPr>
                <w:rFonts w:ascii="Sylfaen" w:hAnsi="Sylfaen"/>
                <w:sz w:val="20"/>
                <w:szCs w:val="22"/>
                <w:lang w:val="ka-GE"/>
              </w:rPr>
              <w:t>ბუშეთისხევი</w:t>
            </w:r>
          </w:p>
          <w:p w14:paraId="7C371FFD"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#32</w:t>
            </w:r>
          </w:p>
        </w:tc>
        <w:tc>
          <w:tcPr>
            <w:tcW w:w="1489" w:type="dxa"/>
          </w:tcPr>
          <w:p w14:paraId="69D314D5"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200</w:t>
            </w:r>
          </w:p>
        </w:tc>
        <w:tc>
          <w:tcPr>
            <w:tcW w:w="1685" w:type="dxa"/>
          </w:tcPr>
          <w:p w14:paraId="61D32D2F"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0.5</w:t>
            </w:r>
          </w:p>
        </w:tc>
        <w:tc>
          <w:tcPr>
            <w:tcW w:w="1717" w:type="dxa"/>
          </w:tcPr>
          <w:p w14:paraId="7D793CF0"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62.9</w:t>
            </w:r>
          </w:p>
        </w:tc>
        <w:tc>
          <w:tcPr>
            <w:tcW w:w="2219" w:type="dxa"/>
          </w:tcPr>
          <w:p w14:paraId="2F23AD5D"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75.5</w:t>
            </w:r>
          </w:p>
        </w:tc>
      </w:tr>
      <w:tr w:rsidR="00D34C21" w:rsidRPr="008C0A3D" w14:paraId="3E3F395F" w14:textId="77777777" w:rsidTr="00DB613A">
        <w:tc>
          <w:tcPr>
            <w:tcW w:w="2088" w:type="dxa"/>
            <w:vMerge/>
          </w:tcPr>
          <w:p w14:paraId="56EB0E67" w14:textId="77777777" w:rsidR="00D34C21" w:rsidRPr="008C0A3D" w:rsidRDefault="00D34C21" w:rsidP="00D34C21">
            <w:pPr>
              <w:ind w:right="46"/>
              <w:jc w:val="center"/>
              <w:rPr>
                <w:rFonts w:ascii="AcadNusx" w:hAnsi="AcadNusx"/>
                <w:sz w:val="20"/>
                <w:lang w:val="es-ES"/>
              </w:rPr>
            </w:pPr>
          </w:p>
        </w:tc>
        <w:tc>
          <w:tcPr>
            <w:tcW w:w="1489" w:type="dxa"/>
          </w:tcPr>
          <w:p w14:paraId="12947AD5"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100</w:t>
            </w:r>
          </w:p>
        </w:tc>
        <w:tc>
          <w:tcPr>
            <w:tcW w:w="1685" w:type="dxa"/>
          </w:tcPr>
          <w:p w14:paraId="6539090E"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w:t>
            </w:r>
          </w:p>
        </w:tc>
        <w:tc>
          <w:tcPr>
            <w:tcW w:w="1717" w:type="dxa"/>
          </w:tcPr>
          <w:p w14:paraId="581D4975"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52.4</w:t>
            </w:r>
          </w:p>
        </w:tc>
        <w:tc>
          <w:tcPr>
            <w:tcW w:w="2219" w:type="dxa"/>
          </w:tcPr>
          <w:p w14:paraId="7697F281"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62.9</w:t>
            </w:r>
          </w:p>
        </w:tc>
      </w:tr>
      <w:tr w:rsidR="00D34C21" w:rsidRPr="008C0A3D" w14:paraId="31503826" w14:textId="77777777" w:rsidTr="00DB613A">
        <w:tc>
          <w:tcPr>
            <w:tcW w:w="2088" w:type="dxa"/>
            <w:vMerge/>
          </w:tcPr>
          <w:p w14:paraId="1A88CAC1" w14:textId="77777777" w:rsidR="00D34C21" w:rsidRPr="008C0A3D" w:rsidRDefault="00D34C21" w:rsidP="00D34C21">
            <w:pPr>
              <w:ind w:right="46"/>
              <w:jc w:val="center"/>
              <w:rPr>
                <w:rFonts w:ascii="AcadNusx" w:hAnsi="AcadNusx"/>
                <w:sz w:val="20"/>
                <w:lang w:val="es-ES"/>
              </w:rPr>
            </w:pPr>
          </w:p>
        </w:tc>
        <w:tc>
          <w:tcPr>
            <w:tcW w:w="1489" w:type="dxa"/>
          </w:tcPr>
          <w:p w14:paraId="0CD70E68"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50</w:t>
            </w:r>
          </w:p>
        </w:tc>
        <w:tc>
          <w:tcPr>
            <w:tcW w:w="1685" w:type="dxa"/>
          </w:tcPr>
          <w:p w14:paraId="3150596A"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w:t>
            </w:r>
          </w:p>
        </w:tc>
        <w:tc>
          <w:tcPr>
            <w:tcW w:w="1717" w:type="dxa"/>
          </w:tcPr>
          <w:p w14:paraId="728302BC"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40.3</w:t>
            </w:r>
          </w:p>
        </w:tc>
        <w:tc>
          <w:tcPr>
            <w:tcW w:w="2219" w:type="dxa"/>
          </w:tcPr>
          <w:p w14:paraId="270CCE39"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48.4</w:t>
            </w:r>
          </w:p>
        </w:tc>
      </w:tr>
      <w:tr w:rsidR="00D34C21" w:rsidRPr="008C0A3D" w14:paraId="47AACB2D" w14:textId="77777777" w:rsidTr="00DB613A">
        <w:tc>
          <w:tcPr>
            <w:tcW w:w="2088" w:type="dxa"/>
            <w:vMerge/>
          </w:tcPr>
          <w:p w14:paraId="6D86E2AB" w14:textId="77777777" w:rsidR="00D34C21" w:rsidRPr="008C0A3D" w:rsidRDefault="00D34C21" w:rsidP="00D34C21">
            <w:pPr>
              <w:ind w:right="46"/>
              <w:jc w:val="center"/>
              <w:rPr>
                <w:rFonts w:ascii="AcadNusx" w:hAnsi="AcadNusx"/>
                <w:sz w:val="20"/>
                <w:lang w:val="es-ES"/>
              </w:rPr>
            </w:pPr>
          </w:p>
        </w:tc>
        <w:tc>
          <w:tcPr>
            <w:tcW w:w="1489" w:type="dxa"/>
          </w:tcPr>
          <w:p w14:paraId="6AB2A44B"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20</w:t>
            </w:r>
          </w:p>
        </w:tc>
        <w:tc>
          <w:tcPr>
            <w:tcW w:w="1685" w:type="dxa"/>
          </w:tcPr>
          <w:p w14:paraId="6255B9EB"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w:t>
            </w:r>
          </w:p>
        </w:tc>
        <w:tc>
          <w:tcPr>
            <w:tcW w:w="1717" w:type="dxa"/>
          </w:tcPr>
          <w:p w14:paraId="0DCA6310"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28.4</w:t>
            </w:r>
          </w:p>
        </w:tc>
        <w:tc>
          <w:tcPr>
            <w:tcW w:w="2219" w:type="dxa"/>
          </w:tcPr>
          <w:p w14:paraId="28470580"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34.1</w:t>
            </w:r>
          </w:p>
        </w:tc>
      </w:tr>
      <w:tr w:rsidR="00D34C21" w:rsidRPr="008C0A3D" w14:paraId="5BFFD45D" w14:textId="77777777" w:rsidTr="00DB613A">
        <w:tc>
          <w:tcPr>
            <w:tcW w:w="2088" w:type="dxa"/>
            <w:vMerge/>
          </w:tcPr>
          <w:p w14:paraId="7E4168B7" w14:textId="77777777" w:rsidR="00D34C21" w:rsidRPr="008C0A3D" w:rsidRDefault="00D34C21" w:rsidP="00D34C21">
            <w:pPr>
              <w:ind w:right="46"/>
              <w:jc w:val="center"/>
              <w:rPr>
                <w:rFonts w:ascii="AcadNusx" w:hAnsi="AcadNusx"/>
                <w:sz w:val="20"/>
                <w:lang w:val="es-ES"/>
              </w:rPr>
            </w:pPr>
          </w:p>
        </w:tc>
        <w:tc>
          <w:tcPr>
            <w:tcW w:w="1489" w:type="dxa"/>
          </w:tcPr>
          <w:p w14:paraId="2E5B3FD9"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w:t>
            </w:r>
          </w:p>
        </w:tc>
        <w:tc>
          <w:tcPr>
            <w:tcW w:w="1685" w:type="dxa"/>
          </w:tcPr>
          <w:p w14:paraId="7DAD3BF9"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w:t>
            </w:r>
          </w:p>
        </w:tc>
        <w:tc>
          <w:tcPr>
            <w:tcW w:w="1717" w:type="dxa"/>
          </w:tcPr>
          <w:p w14:paraId="79E2BEFB"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21.9</w:t>
            </w:r>
          </w:p>
        </w:tc>
        <w:tc>
          <w:tcPr>
            <w:tcW w:w="2219" w:type="dxa"/>
          </w:tcPr>
          <w:p w14:paraId="0AC5A962"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26.3</w:t>
            </w:r>
          </w:p>
        </w:tc>
      </w:tr>
      <w:tr w:rsidR="00D34C21" w:rsidRPr="008C0A3D" w14:paraId="2750674E" w14:textId="77777777" w:rsidTr="00DB613A">
        <w:tc>
          <w:tcPr>
            <w:tcW w:w="2088" w:type="dxa"/>
            <w:vMerge w:val="restart"/>
          </w:tcPr>
          <w:p w14:paraId="0082E3BB" w14:textId="77777777" w:rsidR="00D34C21" w:rsidRPr="008C0A3D" w:rsidRDefault="00D34C21" w:rsidP="00D34C21">
            <w:pPr>
              <w:ind w:right="46"/>
              <w:jc w:val="center"/>
              <w:rPr>
                <w:rFonts w:ascii="AcadNusx" w:hAnsi="AcadNusx"/>
                <w:sz w:val="20"/>
                <w:lang w:val="es-ES"/>
              </w:rPr>
            </w:pPr>
          </w:p>
          <w:p w14:paraId="38673EA6" w14:textId="77777777" w:rsidR="00D34C21" w:rsidRPr="008C0A3D" w:rsidRDefault="00D34C21" w:rsidP="00D34C21">
            <w:pPr>
              <w:ind w:right="46"/>
              <w:jc w:val="center"/>
              <w:rPr>
                <w:rFonts w:ascii="AcadNusx" w:hAnsi="AcadNusx"/>
                <w:sz w:val="20"/>
                <w:lang w:val="es-ES"/>
              </w:rPr>
            </w:pPr>
            <w:r w:rsidRPr="008C0A3D">
              <w:rPr>
                <w:rFonts w:ascii="Sylfaen" w:hAnsi="Sylfaen"/>
                <w:sz w:val="20"/>
                <w:szCs w:val="22"/>
                <w:lang w:val="ka-GE"/>
              </w:rPr>
              <w:lastRenderedPageBreak/>
              <w:t>კისისხევი</w:t>
            </w:r>
          </w:p>
          <w:p w14:paraId="6BDB253E"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#38</w:t>
            </w:r>
          </w:p>
        </w:tc>
        <w:tc>
          <w:tcPr>
            <w:tcW w:w="1489" w:type="dxa"/>
          </w:tcPr>
          <w:p w14:paraId="5130B701"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lastRenderedPageBreak/>
              <w:t>200</w:t>
            </w:r>
          </w:p>
        </w:tc>
        <w:tc>
          <w:tcPr>
            <w:tcW w:w="1685" w:type="dxa"/>
          </w:tcPr>
          <w:p w14:paraId="54E98864"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0.5</w:t>
            </w:r>
          </w:p>
        </w:tc>
        <w:tc>
          <w:tcPr>
            <w:tcW w:w="1717" w:type="dxa"/>
          </w:tcPr>
          <w:p w14:paraId="1E2234CE"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242</w:t>
            </w:r>
          </w:p>
        </w:tc>
        <w:tc>
          <w:tcPr>
            <w:tcW w:w="2219" w:type="dxa"/>
          </w:tcPr>
          <w:p w14:paraId="21507976"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290</w:t>
            </w:r>
          </w:p>
        </w:tc>
      </w:tr>
      <w:tr w:rsidR="00D34C21" w:rsidRPr="008C0A3D" w14:paraId="329EF0BD" w14:textId="77777777" w:rsidTr="00DB613A">
        <w:tc>
          <w:tcPr>
            <w:tcW w:w="2088" w:type="dxa"/>
            <w:vMerge/>
          </w:tcPr>
          <w:p w14:paraId="5297E118" w14:textId="77777777" w:rsidR="00D34C21" w:rsidRPr="008C0A3D" w:rsidRDefault="00D34C21" w:rsidP="00D34C21">
            <w:pPr>
              <w:ind w:right="46"/>
              <w:jc w:val="center"/>
              <w:rPr>
                <w:rFonts w:ascii="AcadNusx" w:hAnsi="AcadNusx"/>
                <w:sz w:val="20"/>
                <w:lang w:val="es-ES"/>
              </w:rPr>
            </w:pPr>
          </w:p>
        </w:tc>
        <w:tc>
          <w:tcPr>
            <w:tcW w:w="1489" w:type="dxa"/>
          </w:tcPr>
          <w:p w14:paraId="27A333AE"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100</w:t>
            </w:r>
          </w:p>
        </w:tc>
        <w:tc>
          <w:tcPr>
            <w:tcW w:w="1685" w:type="dxa"/>
          </w:tcPr>
          <w:p w14:paraId="3B026B82"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w:t>
            </w:r>
          </w:p>
        </w:tc>
        <w:tc>
          <w:tcPr>
            <w:tcW w:w="1717" w:type="dxa"/>
          </w:tcPr>
          <w:p w14:paraId="66E33723"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202</w:t>
            </w:r>
          </w:p>
        </w:tc>
        <w:tc>
          <w:tcPr>
            <w:tcW w:w="2219" w:type="dxa"/>
          </w:tcPr>
          <w:p w14:paraId="35C71C8C"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242</w:t>
            </w:r>
          </w:p>
        </w:tc>
      </w:tr>
      <w:tr w:rsidR="00D34C21" w:rsidRPr="008C0A3D" w14:paraId="66A6A8D3" w14:textId="77777777" w:rsidTr="00DB613A">
        <w:tc>
          <w:tcPr>
            <w:tcW w:w="2088" w:type="dxa"/>
            <w:vMerge/>
          </w:tcPr>
          <w:p w14:paraId="16866040" w14:textId="77777777" w:rsidR="00D34C21" w:rsidRPr="008C0A3D" w:rsidRDefault="00D34C21" w:rsidP="00D34C21">
            <w:pPr>
              <w:ind w:right="46"/>
              <w:jc w:val="center"/>
              <w:rPr>
                <w:rFonts w:ascii="AcadNusx" w:hAnsi="AcadNusx"/>
                <w:sz w:val="20"/>
                <w:lang w:val="es-ES"/>
              </w:rPr>
            </w:pPr>
          </w:p>
        </w:tc>
        <w:tc>
          <w:tcPr>
            <w:tcW w:w="1489" w:type="dxa"/>
          </w:tcPr>
          <w:p w14:paraId="3C2725B5"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50</w:t>
            </w:r>
          </w:p>
        </w:tc>
        <w:tc>
          <w:tcPr>
            <w:tcW w:w="1685" w:type="dxa"/>
          </w:tcPr>
          <w:p w14:paraId="44DE5BE8"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w:t>
            </w:r>
          </w:p>
        </w:tc>
        <w:tc>
          <w:tcPr>
            <w:tcW w:w="1717" w:type="dxa"/>
          </w:tcPr>
          <w:p w14:paraId="2178B43E"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155</w:t>
            </w:r>
          </w:p>
        </w:tc>
        <w:tc>
          <w:tcPr>
            <w:tcW w:w="2219" w:type="dxa"/>
          </w:tcPr>
          <w:p w14:paraId="2EA763A6"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186</w:t>
            </w:r>
          </w:p>
        </w:tc>
      </w:tr>
      <w:tr w:rsidR="00D34C21" w:rsidRPr="008C0A3D" w14:paraId="484213B7" w14:textId="77777777" w:rsidTr="00DB613A">
        <w:tc>
          <w:tcPr>
            <w:tcW w:w="2088" w:type="dxa"/>
            <w:vMerge/>
          </w:tcPr>
          <w:p w14:paraId="22A79878" w14:textId="77777777" w:rsidR="00D34C21" w:rsidRPr="008C0A3D" w:rsidRDefault="00D34C21" w:rsidP="00D34C21">
            <w:pPr>
              <w:ind w:right="46"/>
              <w:jc w:val="center"/>
              <w:rPr>
                <w:rFonts w:ascii="AcadNusx" w:hAnsi="AcadNusx"/>
                <w:sz w:val="20"/>
                <w:lang w:val="es-ES"/>
              </w:rPr>
            </w:pPr>
          </w:p>
        </w:tc>
        <w:tc>
          <w:tcPr>
            <w:tcW w:w="1489" w:type="dxa"/>
          </w:tcPr>
          <w:p w14:paraId="12910A10"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20</w:t>
            </w:r>
          </w:p>
        </w:tc>
        <w:tc>
          <w:tcPr>
            <w:tcW w:w="1685" w:type="dxa"/>
          </w:tcPr>
          <w:p w14:paraId="613BD2D0"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w:t>
            </w:r>
          </w:p>
        </w:tc>
        <w:tc>
          <w:tcPr>
            <w:tcW w:w="1717" w:type="dxa"/>
          </w:tcPr>
          <w:p w14:paraId="4F136EF2"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110</w:t>
            </w:r>
          </w:p>
        </w:tc>
        <w:tc>
          <w:tcPr>
            <w:tcW w:w="2219" w:type="dxa"/>
          </w:tcPr>
          <w:p w14:paraId="37941DA5"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132</w:t>
            </w:r>
          </w:p>
        </w:tc>
      </w:tr>
      <w:tr w:rsidR="00D34C21" w:rsidRPr="008C0A3D" w14:paraId="18C944D5" w14:textId="77777777" w:rsidTr="00DB613A">
        <w:tc>
          <w:tcPr>
            <w:tcW w:w="2088" w:type="dxa"/>
            <w:vMerge/>
          </w:tcPr>
          <w:p w14:paraId="29FB25FA" w14:textId="77777777" w:rsidR="00D34C21" w:rsidRPr="008C0A3D" w:rsidRDefault="00D34C21" w:rsidP="00D34C21">
            <w:pPr>
              <w:ind w:right="46"/>
              <w:jc w:val="center"/>
              <w:rPr>
                <w:rFonts w:ascii="AcadNusx" w:hAnsi="AcadNusx"/>
                <w:sz w:val="20"/>
                <w:lang w:val="es-ES"/>
              </w:rPr>
            </w:pPr>
          </w:p>
        </w:tc>
        <w:tc>
          <w:tcPr>
            <w:tcW w:w="1489" w:type="dxa"/>
          </w:tcPr>
          <w:p w14:paraId="22ECC123"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w:t>
            </w:r>
          </w:p>
        </w:tc>
        <w:tc>
          <w:tcPr>
            <w:tcW w:w="1685" w:type="dxa"/>
          </w:tcPr>
          <w:p w14:paraId="6FBA22F8"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w:t>
            </w:r>
          </w:p>
        </w:tc>
        <w:tc>
          <w:tcPr>
            <w:tcW w:w="1717" w:type="dxa"/>
          </w:tcPr>
          <w:p w14:paraId="52DC7A54"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84.3</w:t>
            </w:r>
          </w:p>
        </w:tc>
        <w:tc>
          <w:tcPr>
            <w:tcW w:w="2219" w:type="dxa"/>
          </w:tcPr>
          <w:p w14:paraId="6F4DDAA1"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101</w:t>
            </w:r>
          </w:p>
        </w:tc>
      </w:tr>
      <w:tr w:rsidR="00D34C21" w:rsidRPr="008C0A3D" w14:paraId="1CBFECCE" w14:textId="77777777" w:rsidTr="00DB613A">
        <w:tc>
          <w:tcPr>
            <w:tcW w:w="2088" w:type="dxa"/>
            <w:vMerge w:val="restart"/>
          </w:tcPr>
          <w:p w14:paraId="7C625A0B" w14:textId="77777777" w:rsidR="00D34C21" w:rsidRPr="008C0A3D" w:rsidRDefault="00D34C21" w:rsidP="00D34C21">
            <w:pPr>
              <w:ind w:right="46"/>
              <w:jc w:val="center"/>
              <w:rPr>
                <w:rFonts w:ascii="AcadNusx" w:hAnsi="AcadNusx"/>
                <w:sz w:val="20"/>
                <w:lang w:val="es-ES"/>
              </w:rPr>
            </w:pPr>
          </w:p>
          <w:p w14:paraId="642560D0" w14:textId="77777777" w:rsidR="00D34C21" w:rsidRPr="008C0A3D" w:rsidRDefault="00D34C21" w:rsidP="00D34C21">
            <w:pPr>
              <w:ind w:right="46"/>
              <w:jc w:val="center"/>
              <w:rPr>
                <w:rFonts w:ascii="AcadNusx" w:hAnsi="AcadNusx"/>
                <w:sz w:val="20"/>
                <w:lang w:val="es-ES"/>
              </w:rPr>
            </w:pPr>
            <w:r w:rsidRPr="008C0A3D">
              <w:rPr>
                <w:rFonts w:ascii="Sylfaen" w:hAnsi="Sylfaen"/>
                <w:sz w:val="20"/>
                <w:szCs w:val="22"/>
                <w:lang w:val="ka-GE"/>
              </w:rPr>
              <w:t>სათლიანისხევი</w:t>
            </w:r>
          </w:p>
          <w:p w14:paraId="08FFFF7B"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#45</w:t>
            </w:r>
          </w:p>
        </w:tc>
        <w:tc>
          <w:tcPr>
            <w:tcW w:w="1489" w:type="dxa"/>
          </w:tcPr>
          <w:p w14:paraId="5FF8C515"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200</w:t>
            </w:r>
          </w:p>
        </w:tc>
        <w:tc>
          <w:tcPr>
            <w:tcW w:w="1685" w:type="dxa"/>
          </w:tcPr>
          <w:p w14:paraId="65ADA7B2"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0.5</w:t>
            </w:r>
          </w:p>
        </w:tc>
        <w:tc>
          <w:tcPr>
            <w:tcW w:w="1717" w:type="dxa"/>
          </w:tcPr>
          <w:p w14:paraId="5207352C"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75.1</w:t>
            </w:r>
          </w:p>
        </w:tc>
        <w:tc>
          <w:tcPr>
            <w:tcW w:w="2219" w:type="dxa"/>
          </w:tcPr>
          <w:p w14:paraId="798FCD32"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90.1</w:t>
            </w:r>
          </w:p>
        </w:tc>
      </w:tr>
      <w:tr w:rsidR="00D34C21" w:rsidRPr="008C0A3D" w14:paraId="25C34076" w14:textId="77777777" w:rsidTr="00DB613A">
        <w:tc>
          <w:tcPr>
            <w:tcW w:w="2088" w:type="dxa"/>
            <w:vMerge/>
          </w:tcPr>
          <w:p w14:paraId="09EC5535" w14:textId="77777777" w:rsidR="00D34C21" w:rsidRPr="008C0A3D" w:rsidRDefault="00D34C21" w:rsidP="00D34C21">
            <w:pPr>
              <w:ind w:right="46"/>
              <w:jc w:val="center"/>
              <w:rPr>
                <w:rFonts w:ascii="AcadNusx" w:hAnsi="AcadNusx"/>
                <w:sz w:val="20"/>
                <w:lang w:val="es-ES"/>
              </w:rPr>
            </w:pPr>
          </w:p>
        </w:tc>
        <w:tc>
          <w:tcPr>
            <w:tcW w:w="1489" w:type="dxa"/>
          </w:tcPr>
          <w:p w14:paraId="4A8D98D6"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100</w:t>
            </w:r>
          </w:p>
        </w:tc>
        <w:tc>
          <w:tcPr>
            <w:tcW w:w="1685" w:type="dxa"/>
          </w:tcPr>
          <w:p w14:paraId="352D27A1"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w:t>
            </w:r>
          </w:p>
        </w:tc>
        <w:tc>
          <w:tcPr>
            <w:tcW w:w="1717" w:type="dxa"/>
          </w:tcPr>
          <w:p w14:paraId="205615D2"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62.6</w:t>
            </w:r>
          </w:p>
        </w:tc>
        <w:tc>
          <w:tcPr>
            <w:tcW w:w="2219" w:type="dxa"/>
          </w:tcPr>
          <w:p w14:paraId="218FD3F6"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75.1</w:t>
            </w:r>
          </w:p>
        </w:tc>
      </w:tr>
      <w:tr w:rsidR="00D34C21" w:rsidRPr="008C0A3D" w14:paraId="66CD4E1A" w14:textId="77777777" w:rsidTr="00DB613A">
        <w:tc>
          <w:tcPr>
            <w:tcW w:w="2088" w:type="dxa"/>
            <w:vMerge/>
          </w:tcPr>
          <w:p w14:paraId="4E8CBC44" w14:textId="77777777" w:rsidR="00D34C21" w:rsidRPr="008C0A3D" w:rsidRDefault="00D34C21" w:rsidP="00D34C21">
            <w:pPr>
              <w:ind w:right="46"/>
              <w:jc w:val="center"/>
              <w:rPr>
                <w:rFonts w:ascii="AcadNusx" w:hAnsi="AcadNusx"/>
                <w:sz w:val="20"/>
                <w:lang w:val="es-ES"/>
              </w:rPr>
            </w:pPr>
          </w:p>
        </w:tc>
        <w:tc>
          <w:tcPr>
            <w:tcW w:w="1489" w:type="dxa"/>
          </w:tcPr>
          <w:p w14:paraId="081F6EE6"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50</w:t>
            </w:r>
          </w:p>
        </w:tc>
        <w:tc>
          <w:tcPr>
            <w:tcW w:w="1685" w:type="dxa"/>
          </w:tcPr>
          <w:p w14:paraId="38EE1A23"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w:t>
            </w:r>
          </w:p>
        </w:tc>
        <w:tc>
          <w:tcPr>
            <w:tcW w:w="1717" w:type="dxa"/>
          </w:tcPr>
          <w:p w14:paraId="216D8D7A"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48.1</w:t>
            </w:r>
          </w:p>
        </w:tc>
        <w:tc>
          <w:tcPr>
            <w:tcW w:w="2219" w:type="dxa"/>
          </w:tcPr>
          <w:p w14:paraId="02D95638"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57.7</w:t>
            </w:r>
          </w:p>
        </w:tc>
      </w:tr>
      <w:tr w:rsidR="00D34C21" w:rsidRPr="008C0A3D" w14:paraId="6A8A5054" w14:textId="77777777" w:rsidTr="00DB613A">
        <w:tc>
          <w:tcPr>
            <w:tcW w:w="2088" w:type="dxa"/>
            <w:vMerge/>
          </w:tcPr>
          <w:p w14:paraId="6D3A1848" w14:textId="77777777" w:rsidR="00D34C21" w:rsidRPr="008C0A3D" w:rsidRDefault="00D34C21" w:rsidP="00D34C21">
            <w:pPr>
              <w:ind w:right="46"/>
              <w:jc w:val="center"/>
              <w:rPr>
                <w:rFonts w:ascii="AcadNusx" w:hAnsi="AcadNusx"/>
                <w:sz w:val="20"/>
                <w:lang w:val="es-ES"/>
              </w:rPr>
            </w:pPr>
          </w:p>
        </w:tc>
        <w:tc>
          <w:tcPr>
            <w:tcW w:w="1489" w:type="dxa"/>
          </w:tcPr>
          <w:p w14:paraId="68C27505"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20</w:t>
            </w:r>
          </w:p>
        </w:tc>
        <w:tc>
          <w:tcPr>
            <w:tcW w:w="1685" w:type="dxa"/>
          </w:tcPr>
          <w:p w14:paraId="07102C31"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w:t>
            </w:r>
          </w:p>
        </w:tc>
        <w:tc>
          <w:tcPr>
            <w:tcW w:w="1717" w:type="dxa"/>
          </w:tcPr>
          <w:p w14:paraId="127C1272"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34.0</w:t>
            </w:r>
          </w:p>
        </w:tc>
        <w:tc>
          <w:tcPr>
            <w:tcW w:w="2219" w:type="dxa"/>
          </w:tcPr>
          <w:p w14:paraId="3CDC4D32"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40.8</w:t>
            </w:r>
          </w:p>
        </w:tc>
      </w:tr>
      <w:tr w:rsidR="00D34C21" w:rsidRPr="008C0A3D" w14:paraId="02EFFFF5" w14:textId="77777777" w:rsidTr="00DB613A">
        <w:tc>
          <w:tcPr>
            <w:tcW w:w="2088" w:type="dxa"/>
            <w:vMerge/>
          </w:tcPr>
          <w:p w14:paraId="57388633" w14:textId="77777777" w:rsidR="00D34C21" w:rsidRPr="008C0A3D" w:rsidRDefault="00D34C21" w:rsidP="00D34C21">
            <w:pPr>
              <w:ind w:right="46"/>
              <w:jc w:val="center"/>
              <w:rPr>
                <w:rFonts w:ascii="AcadNusx" w:hAnsi="AcadNusx"/>
                <w:sz w:val="20"/>
                <w:lang w:val="es-ES"/>
              </w:rPr>
            </w:pPr>
          </w:p>
        </w:tc>
        <w:tc>
          <w:tcPr>
            <w:tcW w:w="1489" w:type="dxa"/>
          </w:tcPr>
          <w:p w14:paraId="2E812AA5"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w:t>
            </w:r>
          </w:p>
        </w:tc>
        <w:tc>
          <w:tcPr>
            <w:tcW w:w="1685" w:type="dxa"/>
          </w:tcPr>
          <w:p w14:paraId="2C4DC6CC"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w:t>
            </w:r>
          </w:p>
        </w:tc>
        <w:tc>
          <w:tcPr>
            <w:tcW w:w="1717" w:type="dxa"/>
          </w:tcPr>
          <w:p w14:paraId="3ED04532"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26.1</w:t>
            </w:r>
          </w:p>
        </w:tc>
        <w:tc>
          <w:tcPr>
            <w:tcW w:w="2219" w:type="dxa"/>
          </w:tcPr>
          <w:p w14:paraId="56FB54C5"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31.3</w:t>
            </w:r>
          </w:p>
        </w:tc>
      </w:tr>
      <w:tr w:rsidR="00D34C21" w:rsidRPr="008C0A3D" w14:paraId="6AD4C614" w14:textId="77777777" w:rsidTr="00DB613A">
        <w:tc>
          <w:tcPr>
            <w:tcW w:w="2088" w:type="dxa"/>
            <w:vMerge w:val="restart"/>
          </w:tcPr>
          <w:p w14:paraId="4C3B0D2E" w14:textId="77777777" w:rsidR="00D34C21" w:rsidRPr="008C0A3D" w:rsidRDefault="00D34C21" w:rsidP="00D34C21">
            <w:pPr>
              <w:ind w:right="46"/>
              <w:jc w:val="center"/>
              <w:rPr>
                <w:rFonts w:ascii="AcadNusx" w:hAnsi="AcadNusx"/>
                <w:sz w:val="20"/>
                <w:lang w:val="es-ES"/>
              </w:rPr>
            </w:pPr>
          </w:p>
          <w:p w14:paraId="107579E1" w14:textId="77777777" w:rsidR="00D34C21" w:rsidRPr="008C0A3D" w:rsidRDefault="00D34C21" w:rsidP="00D34C21">
            <w:pPr>
              <w:ind w:right="46"/>
              <w:jc w:val="center"/>
              <w:rPr>
                <w:rFonts w:ascii="AcadNusx" w:hAnsi="AcadNusx"/>
                <w:sz w:val="20"/>
                <w:lang w:val="es-ES"/>
              </w:rPr>
            </w:pPr>
            <w:r w:rsidRPr="008C0A3D">
              <w:rPr>
                <w:rFonts w:ascii="Sylfaen" w:hAnsi="Sylfaen"/>
                <w:sz w:val="20"/>
                <w:szCs w:val="22"/>
                <w:lang w:val="ka-GE"/>
              </w:rPr>
              <w:t>ხრუკიასხევი</w:t>
            </w:r>
          </w:p>
          <w:p w14:paraId="05D160E4"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#47</w:t>
            </w:r>
          </w:p>
        </w:tc>
        <w:tc>
          <w:tcPr>
            <w:tcW w:w="1489" w:type="dxa"/>
          </w:tcPr>
          <w:p w14:paraId="4C7ECE7D"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200</w:t>
            </w:r>
          </w:p>
        </w:tc>
        <w:tc>
          <w:tcPr>
            <w:tcW w:w="1685" w:type="dxa"/>
          </w:tcPr>
          <w:p w14:paraId="37C46C13"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0.5</w:t>
            </w:r>
          </w:p>
        </w:tc>
        <w:tc>
          <w:tcPr>
            <w:tcW w:w="1717" w:type="dxa"/>
          </w:tcPr>
          <w:p w14:paraId="0572E681"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55.8</w:t>
            </w:r>
          </w:p>
        </w:tc>
        <w:tc>
          <w:tcPr>
            <w:tcW w:w="2219" w:type="dxa"/>
          </w:tcPr>
          <w:p w14:paraId="24018EEC"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67.0</w:t>
            </w:r>
          </w:p>
        </w:tc>
      </w:tr>
      <w:tr w:rsidR="00D34C21" w:rsidRPr="008C0A3D" w14:paraId="5DBAE4FD" w14:textId="77777777" w:rsidTr="00DB613A">
        <w:tc>
          <w:tcPr>
            <w:tcW w:w="2088" w:type="dxa"/>
            <w:vMerge/>
          </w:tcPr>
          <w:p w14:paraId="7FBFDF01" w14:textId="77777777" w:rsidR="00D34C21" w:rsidRPr="008C0A3D" w:rsidRDefault="00D34C21" w:rsidP="00D34C21">
            <w:pPr>
              <w:ind w:right="46"/>
              <w:jc w:val="center"/>
              <w:rPr>
                <w:rFonts w:ascii="AcadNusx" w:hAnsi="AcadNusx"/>
                <w:sz w:val="20"/>
                <w:lang w:val="es-ES"/>
              </w:rPr>
            </w:pPr>
          </w:p>
        </w:tc>
        <w:tc>
          <w:tcPr>
            <w:tcW w:w="1489" w:type="dxa"/>
          </w:tcPr>
          <w:p w14:paraId="7EDB1F5F"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100</w:t>
            </w:r>
          </w:p>
        </w:tc>
        <w:tc>
          <w:tcPr>
            <w:tcW w:w="1685" w:type="dxa"/>
          </w:tcPr>
          <w:p w14:paraId="374F8303"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w:t>
            </w:r>
          </w:p>
        </w:tc>
        <w:tc>
          <w:tcPr>
            <w:tcW w:w="1717" w:type="dxa"/>
          </w:tcPr>
          <w:p w14:paraId="0061DB8B"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46.5</w:t>
            </w:r>
          </w:p>
        </w:tc>
        <w:tc>
          <w:tcPr>
            <w:tcW w:w="2219" w:type="dxa"/>
          </w:tcPr>
          <w:p w14:paraId="4530019E"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55.8</w:t>
            </w:r>
          </w:p>
        </w:tc>
      </w:tr>
      <w:tr w:rsidR="00D34C21" w:rsidRPr="008C0A3D" w14:paraId="77BA71BA" w14:textId="77777777" w:rsidTr="00DB613A">
        <w:tc>
          <w:tcPr>
            <w:tcW w:w="2088" w:type="dxa"/>
            <w:vMerge/>
          </w:tcPr>
          <w:p w14:paraId="65EF96EC" w14:textId="77777777" w:rsidR="00D34C21" w:rsidRPr="008C0A3D" w:rsidRDefault="00D34C21" w:rsidP="00D34C21">
            <w:pPr>
              <w:ind w:right="46"/>
              <w:jc w:val="center"/>
              <w:rPr>
                <w:rFonts w:ascii="AcadNusx" w:hAnsi="AcadNusx"/>
                <w:sz w:val="20"/>
                <w:lang w:val="es-ES"/>
              </w:rPr>
            </w:pPr>
          </w:p>
        </w:tc>
        <w:tc>
          <w:tcPr>
            <w:tcW w:w="1489" w:type="dxa"/>
          </w:tcPr>
          <w:p w14:paraId="337DD3D8"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50</w:t>
            </w:r>
          </w:p>
        </w:tc>
        <w:tc>
          <w:tcPr>
            <w:tcW w:w="1685" w:type="dxa"/>
          </w:tcPr>
          <w:p w14:paraId="7D34E5D3"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w:t>
            </w:r>
          </w:p>
        </w:tc>
        <w:tc>
          <w:tcPr>
            <w:tcW w:w="1717" w:type="dxa"/>
          </w:tcPr>
          <w:p w14:paraId="7161C01E"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35.7</w:t>
            </w:r>
          </w:p>
        </w:tc>
        <w:tc>
          <w:tcPr>
            <w:tcW w:w="2219" w:type="dxa"/>
          </w:tcPr>
          <w:p w14:paraId="4E143177"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42.8</w:t>
            </w:r>
          </w:p>
        </w:tc>
      </w:tr>
      <w:tr w:rsidR="00D34C21" w:rsidRPr="008C0A3D" w14:paraId="328F0479" w14:textId="77777777" w:rsidTr="00DB613A">
        <w:tc>
          <w:tcPr>
            <w:tcW w:w="2088" w:type="dxa"/>
            <w:vMerge/>
          </w:tcPr>
          <w:p w14:paraId="46A9E20F" w14:textId="77777777" w:rsidR="00D34C21" w:rsidRPr="008C0A3D" w:rsidRDefault="00D34C21" w:rsidP="00D34C21">
            <w:pPr>
              <w:ind w:right="46"/>
              <w:jc w:val="center"/>
              <w:rPr>
                <w:rFonts w:ascii="AcadNusx" w:hAnsi="AcadNusx"/>
                <w:sz w:val="20"/>
                <w:lang w:val="es-ES"/>
              </w:rPr>
            </w:pPr>
          </w:p>
        </w:tc>
        <w:tc>
          <w:tcPr>
            <w:tcW w:w="1489" w:type="dxa"/>
          </w:tcPr>
          <w:p w14:paraId="7E522C17"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20</w:t>
            </w:r>
          </w:p>
        </w:tc>
        <w:tc>
          <w:tcPr>
            <w:tcW w:w="1685" w:type="dxa"/>
          </w:tcPr>
          <w:p w14:paraId="31727BF9"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w:t>
            </w:r>
          </w:p>
        </w:tc>
        <w:tc>
          <w:tcPr>
            <w:tcW w:w="1717" w:type="dxa"/>
          </w:tcPr>
          <w:p w14:paraId="100ABEA0"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25.2</w:t>
            </w:r>
          </w:p>
        </w:tc>
        <w:tc>
          <w:tcPr>
            <w:tcW w:w="2219" w:type="dxa"/>
          </w:tcPr>
          <w:p w14:paraId="073FB853"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30.2</w:t>
            </w:r>
          </w:p>
        </w:tc>
      </w:tr>
      <w:tr w:rsidR="00D34C21" w:rsidRPr="008C0A3D" w14:paraId="0A74DD12" w14:textId="77777777" w:rsidTr="00DB613A">
        <w:tc>
          <w:tcPr>
            <w:tcW w:w="2088" w:type="dxa"/>
            <w:vMerge/>
          </w:tcPr>
          <w:p w14:paraId="33AB51E7" w14:textId="77777777" w:rsidR="00D34C21" w:rsidRPr="008C0A3D" w:rsidRDefault="00D34C21" w:rsidP="00D34C21">
            <w:pPr>
              <w:ind w:right="46"/>
              <w:jc w:val="center"/>
              <w:rPr>
                <w:rFonts w:ascii="AcadNusx" w:hAnsi="AcadNusx"/>
                <w:sz w:val="20"/>
                <w:lang w:val="es-ES"/>
              </w:rPr>
            </w:pPr>
          </w:p>
        </w:tc>
        <w:tc>
          <w:tcPr>
            <w:tcW w:w="1489" w:type="dxa"/>
          </w:tcPr>
          <w:p w14:paraId="4E71CA62"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w:t>
            </w:r>
          </w:p>
        </w:tc>
        <w:tc>
          <w:tcPr>
            <w:tcW w:w="1685" w:type="dxa"/>
          </w:tcPr>
          <w:p w14:paraId="7E6DE5AB"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w:t>
            </w:r>
          </w:p>
        </w:tc>
        <w:tc>
          <w:tcPr>
            <w:tcW w:w="1717" w:type="dxa"/>
          </w:tcPr>
          <w:p w14:paraId="5910C9AE"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19.4</w:t>
            </w:r>
          </w:p>
        </w:tc>
        <w:tc>
          <w:tcPr>
            <w:tcW w:w="2219" w:type="dxa"/>
          </w:tcPr>
          <w:p w14:paraId="7415FC16"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23.3</w:t>
            </w:r>
          </w:p>
        </w:tc>
      </w:tr>
      <w:tr w:rsidR="00D34C21" w:rsidRPr="008C0A3D" w14:paraId="7EE944BA" w14:textId="77777777" w:rsidTr="00DB613A">
        <w:tc>
          <w:tcPr>
            <w:tcW w:w="2088" w:type="dxa"/>
            <w:vMerge w:val="restart"/>
          </w:tcPr>
          <w:p w14:paraId="40519F6E" w14:textId="77777777" w:rsidR="00D34C21" w:rsidRPr="008C0A3D" w:rsidRDefault="00D34C21" w:rsidP="00D34C21">
            <w:pPr>
              <w:ind w:right="46"/>
              <w:jc w:val="center"/>
              <w:rPr>
                <w:rFonts w:ascii="AcadNusx" w:hAnsi="AcadNusx"/>
                <w:sz w:val="20"/>
                <w:lang w:val="es-ES"/>
              </w:rPr>
            </w:pPr>
          </w:p>
          <w:p w14:paraId="165E1907" w14:textId="77777777" w:rsidR="00D34C21" w:rsidRPr="008C0A3D" w:rsidRDefault="00D34C21" w:rsidP="00D34C21">
            <w:pPr>
              <w:ind w:right="46"/>
              <w:jc w:val="center"/>
              <w:rPr>
                <w:rFonts w:ascii="AcadNusx" w:hAnsi="AcadNusx"/>
                <w:sz w:val="20"/>
                <w:lang w:val="es-ES"/>
              </w:rPr>
            </w:pPr>
            <w:r w:rsidRPr="008C0A3D">
              <w:rPr>
                <w:rFonts w:ascii="Sylfaen" w:hAnsi="Sylfaen"/>
                <w:sz w:val="20"/>
                <w:szCs w:val="22"/>
                <w:lang w:val="ka-GE"/>
              </w:rPr>
              <w:t>თელავისრიყე</w:t>
            </w:r>
          </w:p>
          <w:p w14:paraId="32F2E1C2"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#53</w:t>
            </w:r>
          </w:p>
        </w:tc>
        <w:tc>
          <w:tcPr>
            <w:tcW w:w="1489" w:type="dxa"/>
          </w:tcPr>
          <w:p w14:paraId="2ACB9C81"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200</w:t>
            </w:r>
          </w:p>
        </w:tc>
        <w:tc>
          <w:tcPr>
            <w:tcW w:w="1685" w:type="dxa"/>
          </w:tcPr>
          <w:p w14:paraId="603FD036"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0.5</w:t>
            </w:r>
          </w:p>
        </w:tc>
        <w:tc>
          <w:tcPr>
            <w:tcW w:w="1717" w:type="dxa"/>
          </w:tcPr>
          <w:p w14:paraId="0B238F2C"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130</w:t>
            </w:r>
          </w:p>
        </w:tc>
        <w:tc>
          <w:tcPr>
            <w:tcW w:w="2219" w:type="dxa"/>
          </w:tcPr>
          <w:p w14:paraId="6E383F82"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156</w:t>
            </w:r>
          </w:p>
        </w:tc>
      </w:tr>
      <w:tr w:rsidR="00D34C21" w:rsidRPr="008C0A3D" w14:paraId="02500362" w14:textId="77777777" w:rsidTr="00DB613A">
        <w:tc>
          <w:tcPr>
            <w:tcW w:w="2088" w:type="dxa"/>
            <w:vMerge/>
          </w:tcPr>
          <w:p w14:paraId="55FE7FFE" w14:textId="77777777" w:rsidR="00D34C21" w:rsidRPr="008C0A3D" w:rsidRDefault="00D34C21" w:rsidP="00D34C21">
            <w:pPr>
              <w:ind w:right="46"/>
              <w:jc w:val="center"/>
              <w:rPr>
                <w:rFonts w:ascii="AcadNusx" w:hAnsi="AcadNusx"/>
                <w:sz w:val="20"/>
                <w:lang w:val="es-ES"/>
              </w:rPr>
            </w:pPr>
          </w:p>
        </w:tc>
        <w:tc>
          <w:tcPr>
            <w:tcW w:w="1489" w:type="dxa"/>
          </w:tcPr>
          <w:p w14:paraId="1F8106D2"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100</w:t>
            </w:r>
          </w:p>
        </w:tc>
        <w:tc>
          <w:tcPr>
            <w:tcW w:w="1685" w:type="dxa"/>
          </w:tcPr>
          <w:p w14:paraId="33EF6E12"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w:t>
            </w:r>
          </w:p>
        </w:tc>
        <w:tc>
          <w:tcPr>
            <w:tcW w:w="1717" w:type="dxa"/>
          </w:tcPr>
          <w:p w14:paraId="035E82D5"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108</w:t>
            </w:r>
          </w:p>
        </w:tc>
        <w:tc>
          <w:tcPr>
            <w:tcW w:w="2219" w:type="dxa"/>
          </w:tcPr>
          <w:p w14:paraId="5BCDD422"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130</w:t>
            </w:r>
          </w:p>
        </w:tc>
      </w:tr>
      <w:tr w:rsidR="00D34C21" w:rsidRPr="008C0A3D" w14:paraId="63E72C76" w14:textId="77777777" w:rsidTr="00DB613A">
        <w:tc>
          <w:tcPr>
            <w:tcW w:w="2088" w:type="dxa"/>
            <w:vMerge/>
          </w:tcPr>
          <w:p w14:paraId="529E70B6" w14:textId="77777777" w:rsidR="00D34C21" w:rsidRPr="008C0A3D" w:rsidRDefault="00D34C21" w:rsidP="00D34C21">
            <w:pPr>
              <w:ind w:right="46"/>
              <w:jc w:val="center"/>
              <w:rPr>
                <w:rFonts w:ascii="AcadNusx" w:hAnsi="AcadNusx"/>
                <w:sz w:val="20"/>
                <w:lang w:val="es-ES"/>
              </w:rPr>
            </w:pPr>
          </w:p>
        </w:tc>
        <w:tc>
          <w:tcPr>
            <w:tcW w:w="1489" w:type="dxa"/>
          </w:tcPr>
          <w:p w14:paraId="2356D31C"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50</w:t>
            </w:r>
          </w:p>
        </w:tc>
        <w:tc>
          <w:tcPr>
            <w:tcW w:w="1685" w:type="dxa"/>
          </w:tcPr>
          <w:p w14:paraId="54ED8D3F"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w:t>
            </w:r>
          </w:p>
        </w:tc>
        <w:tc>
          <w:tcPr>
            <w:tcW w:w="1717" w:type="dxa"/>
          </w:tcPr>
          <w:p w14:paraId="38508CF1"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83.0</w:t>
            </w:r>
          </w:p>
        </w:tc>
        <w:tc>
          <w:tcPr>
            <w:tcW w:w="2219" w:type="dxa"/>
          </w:tcPr>
          <w:p w14:paraId="053BD857"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99.6</w:t>
            </w:r>
          </w:p>
        </w:tc>
      </w:tr>
      <w:tr w:rsidR="00D34C21" w:rsidRPr="008C0A3D" w14:paraId="3C655F6D" w14:textId="77777777" w:rsidTr="00DB613A">
        <w:tc>
          <w:tcPr>
            <w:tcW w:w="2088" w:type="dxa"/>
            <w:vMerge/>
          </w:tcPr>
          <w:p w14:paraId="36A1A72D" w14:textId="77777777" w:rsidR="00D34C21" w:rsidRPr="008C0A3D" w:rsidRDefault="00D34C21" w:rsidP="00D34C21">
            <w:pPr>
              <w:ind w:right="46"/>
              <w:jc w:val="center"/>
              <w:rPr>
                <w:rFonts w:ascii="AcadNusx" w:hAnsi="AcadNusx"/>
                <w:sz w:val="20"/>
                <w:lang w:val="es-ES"/>
              </w:rPr>
            </w:pPr>
          </w:p>
        </w:tc>
        <w:tc>
          <w:tcPr>
            <w:tcW w:w="1489" w:type="dxa"/>
          </w:tcPr>
          <w:p w14:paraId="729729EF"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20</w:t>
            </w:r>
          </w:p>
        </w:tc>
        <w:tc>
          <w:tcPr>
            <w:tcW w:w="1685" w:type="dxa"/>
          </w:tcPr>
          <w:p w14:paraId="2C30A5B2"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w:t>
            </w:r>
          </w:p>
        </w:tc>
        <w:tc>
          <w:tcPr>
            <w:tcW w:w="1717" w:type="dxa"/>
          </w:tcPr>
          <w:p w14:paraId="6151587B"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58.6</w:t>
            </w:r>
          </w:p>
        </w:tc>
        <w:tc>
          <w:tcPr>
            <w:tcW w:w="2219" w:type="dxa"/>
          </w:tcPr>
          <w:p w14:paraId="08BC5714"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70.3</w:t>
            </w:r>
          </w:p>
        </w:tc>
      </w:tr>
      <w:tr w:rsidR="00D34C21" w:rsidRPr="008C0A3D" w14:paraId="23B92441" w14:textId="77777777" w:rsidTr="00DB613A">
        <w:tc>
          <w:tcPr>
            <w:tcW w:w="2088" w:type="dxa"/>
            <w:vMerge/>
          </w:tcPr>
          <w:p w14:paraId="180AA52D" w14:textId="77777777" w:rsidR="00D34C21" w:rsidRPr="008C0A3D" w:rsidRDefault="00D34C21" w:rsidP="00D34C21">
            <w:pPr>
              <w:ind w:right="46"/>
              <w:jc w:val="center"/>
              <w:rPr>
                <w:rFonts w:ascii="AcadNusx" w:hAnsi="AcadNusx"/>
                <w:sz w:val="20"/>
                <w:lang w:val="es-ES"/>
              </w:rPr>
            </w:pPr>
          </w:p>
        </w:tc>
        <w:tc>
          <w:tcPr>
            <w:tcW w:w="1489" w:type="dxa"/>
          </w:tcPr>
          <w:p w14:paraId="6B6F7B3F"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w:t>
            </w:r>
          </w:p>
        </w:tc>
        <w:tc>
          <w:tcPr>
            <w:tcW w:w="1685" w:type="dxa"/>
          </w:tcPr>
          <w:p w14:paraId="2ED8202A"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10</w:t>
            </w:r>
          </w:p>
        </w:tc>
        <w:tc>
          <w:tcPr>
            <w:tcW w:w="1717" w:type="dxa"/>
          </w:tcPr>
          <w:p w14:paraId="3456C3E6" w14:textId="77777777" w:rsidR="00D34C21" w:rsidRPr="008C0A3D" w:rsidRDefault="00D34C21" w:rsidP="00D34C21">
            <w:pPr>
              <w:ind w:right="46"/>
              <w:jc w:val="center"/>
              <w:rPr>
                <w:rFonts w:ascii="AcadNusx" w:hAnsi="AcadNusx"/>
                <w:sz w:val="20"/>
                <w:lang w:val="fr-FR"/>
              </w:rPr>
            </w:pPr>
            <w:r w:rsidRPr="008C0A3D">
              <w:rPr>
                <w:rFonts w:ascii="AcadNusx" w:hAnsi="AcadNusx"/>
                <w:sz w:val="20"/>
                <w:szCs w:val="22"/>
                <w:lang w:val="fr-FR"/>
              </w:rPr>
              <w:t>45.1</w:t>
            </w:r>
          </w:p>
        </w:tc>
        <w:tc>
          <w:tcPr>
            <w:tcW w:w="2219" w:type="dxa"/>
          </w:tcPr>
          <w:p w14:paraId="7FA623D2" w14:textId="77777777" w:rsidR="00D34C21" w:rsidRPr="008C0A3D" w:rsidRDefault="00D34C21" w:rsidP="00D34C21">
            <w:pPr>
              <w:ind w:right="46"/>
              <w:jc w:val="center"/>
              <w:rPr>
                <w:rFonts w:ascii="AcadNusx" w:hAnsi="AcadNusx"/>
                <w:sz w:val="20"/>
                <w:lang w:val="es-ES"/>
              </w:rPr>
            </w:pPr>
            <w:r w:rsidRPr="008C0A3D">
              <w:rPr>
                <w:rFonts w:ascii="AcadNusx" w:hAnsi="AcadNusx"/>
                <w:sz w:val="20"/>
                <w:szCs w:val="22"/>
                <w:lang w:val="es-ES"/>
              </w:rPr>
              <w:t>54.1</w:t>
            </w:r>
          </w:p>
        </w:tc>
      </w:tr>
    </w:tbl>
    <w:p w14:paraId="10B099EC" w14:textId="27BCCF0F" w:rsidR="00D34C21" w:rsidRPr="00E65234" w:rsidRDefault="00D34C21" w:rsidP="00E12C77">
      <w:pPr>
        <w:spacing w:before="120" w:after="120"/>
        <w:ind w:right="46"/>
        <w:rPr>
          <w:rFonts w:ascii="AcadNusx" w:hAnsi="AcadNusx"/>
          <w:szCs w:val="22"/>
          <w:lang w:val="fr-FR"/>
        </w:rPr>
      </w:pPr>
      <w:r w:rsidRPr="00E65234">
        <w:rPr>
          <w:rFonts w:ascii="Sylfaen" w:hAnsi="Sylfaen" w:cs="Sylfaen"/>
          <w:szCs w:val="22"/>
          <w:lang w:val="fr-FR"/>
        </w:rPr>
        <w:t>ღვარცოფული</w:t>
      </w:r>
      <w:r w:rsidRPr="00E65234">
        <w:rPr>
          <w:rFonts w:ascii="AcadNusx" w:hAnsi="AcadNusx"/>
          <w:szCs w:val="22"/>
          <w:lang w:val="fr-FR"/>
        </w:rPr>
        <w:t xml:space="preserve"> </w:t>
      </w:r>
      <w:r w:rsidRPr="00E65234">
        <w:rPr>
          <w:rFonts w:ascii="Sylfaen" w:hAnsi="Sylfaen" w:cs="Sylfaen"/>
          <w:szCs w:val="22"/>
          <w:lang w:val="fr-FR"/>
        </w:rPr>
        <w:t>ნაკადების</w:t>
      </w:r>
      <w:r w:rsidRPr="00E65234">
        <w:rPr>
          <w:rFonts w:ascii="AcadNusx" w:hAnsi="AcadNusx"/>
          <w:szCs w:val="22"/>
          <w:lang w:val="fr-FR"/>
        </w:rPr>
        <w:t xml:space="preserve"> </w:t>
      </w:r>
      <w:r w:rsidRPr="00E65234">
        <w:rPr>
          <w:rFonts w:ascii="Sylfaen" w:hAnsi="Sylfaen" w:cs="Sylfaen"/>
          <w:szCs w:val="22"/>
          <w:lang w:val="fr-FR"/>
        </w:rPr>
        <w:t>მაქსიმალური</w:t>
      </w:r>
      <w:r w:rsidRPr="00E65234">
        <w:rPr>
          <w:rFonts w:ascii="AcadNusx" w:hAnsi="AcadNusx"/>
          <w:szCs w:val="22"/>
          <w:lang w:val="fr-FR"/>
        </w:rPr>
        <w:t xml:space="preserve"> </w:t>
      </w:r>
      <w:r w:rsidRPr="00E65234">
        <w:rPr>
          <w:rFonts w:ascii="Sylfaen" w:hAnsi="Sylfaen" w:cs="Sylfaen"/>
          <w:szCs w:val="22"/>
          <w:lang w:val="fr-FR"/>
        </w:rPr>
        <w:t>ხარჯები</w:t>
      </w:r>
      <w:r w:rsidRPr="00E65234">
        <w:rPr>
          <w:rFonts w:ascii="AcadNusx" w:hAnsi="AcadNusx"/>
          <w:szCs w:val="22"/>
          <w:lang w:val="fr-FR"/>
        </w:rPr>
        <w:t xml:space="preserve">, </w:t>
      </w:r>
      <w:r w:rsidRPr="00E65234">
        <w:rPr>
          <w:rFonts w:ascii="Sylfaen" w:hAnsi="Sylfaen" w:cs="Sylfaen"/>
          <w:szCs w:val="22"/>
          <w:lang w:val="fr-FR"/>
        </w:rPr>
        <w:t>მოცემული</w:t>
      </w:r>
      <w:r w:rsidRPr="00E65234">
        <w:rPr>
          <w:rFonts w:ascii="AcadNusx" w:hAnsi="AcadNusx"/>
          <w:szCs w:val="22"/>
          <w:lang w:val="fr-FR"/>
        </w:rPr>
        <w:t xml:space="preserve"> #</w:t>
      </w:r>
      <w:r w:rsidR="00735AFE">
        <w:rPr>
          <w:rFonts w:ascii="Sylfaen" w:hAnsi="Sylfaen"/>
          <w:szCs w:val="22"/>
          <w:lang w:val="ka-GE"/>
        </w:rPr>
        <w:t>6.3</w:t>
      </w:r>
      <w:r w:rsidR="00595A35">
        <w:rPr>
          <w:rFonts w:ascii="Sylfaen" w:hAnsi="Sylfaen"/>
          <w:szCs w:val="22"/>
          <w:lang w:val="ka-GE"/>
        </w:rPr>
        <w:t>-</w:t>
      </w:r>
      <w:r w:rsidR="00735AFE">
        <w:rPr>
          <w:rFonts w:ascii="Sylfaen" w:hAnsi="Sylfaen"/>
          <w:szCs w:val="22"/>
          <w:lang w:val="ka-GE"/>
        </w:rPr>
        <w:t>2</w:t>
      </w:r>
      <w:r w:rsidRPr="00E65234">
        <w:rPr>
          <w:rFonts w:ascii="AcadNusx" w:hAnsi="AcadNusx"/>
          <w:szCs w:val="22"/>
          <w:lang w:val="fr-FR"/>
        </w:rPr>
        <w:t xml:space="preserve"> </w:t>
      </w:r>
      <w:r w:rsidRPr="00E65234">
        <w:rPr>
          <w:rFonts w:ascii="Sylfaen" w:hAnsi="Sylfaen" w:cs="Sylfaen"/>
          <w:szCs w:val="22"/>
          <w:lang w:val="fr-FR"/>
        </w:rPr>
        <w:t>ცხრილში</w:t>
      </w:r>
      <w:r w:rsidRPr="00E65234">
        <w:rPr>
          <w:rFonts w:ascii="AcadNusx" w:hAnsi="AcadNusx"/>
          <w:szCs w:val="22"/>
          <w:lang w:val="fr-FR"/>
        </w:rPr>
        <w:t xml:space="preserve">, </w:t>
      </w:r>
      <w:r w:rsidRPr="00E65234">
        <w:rPr>
          <w:rFonts w:ascii="Sylfaen" w:hAnsi="Sylfaen" w:cs="Sylfaen"/>
          <w:szCs w:val="22"/>
          <w:lang w:val="fr-FR"/>
        </w:rPr>
        <w:t>მიღებულია</w:t>
      </w:r>
      <w:r w:rsidRPr="00E65234">
        <w:rPr>
          <w:rFonts w:ascii="AcadNusx" w:hAnsi="AcadNusx"/>
          <w:szCs w:val="22"/>
          <w:lang w:val="fr-FR"/>
        </w:rPr>
        <w:t xml:space="preserve"> </w:t>
      </w:r>
      <w:r w:rsidRPr="00E65234">
        <w:rPr>
          <w:rFonts w:ascii="Sylfaen" w:hAnsi="Sylfaen" w:cs="Sylfaen"/>
          <w:szCs w:val="22"/>
          <w:lang w:val="fr-FR"/>
        </w:rPr>
        <w:t>საანგარიშო</w:t>
      </w:r>
      <w:r w:rsidRPr="00E65234">
        <w:rPr>
          <w:rFonts w:ascii="AcadNusx" w:hAnsi="AcadNusx"/>
          <w:szCs w:val="22"/>
          <w:lang w:val="fr-FR"/>
        </w:rPr>
        <w:t xml:space="preserve"> </w:t>
      </w:r>
      <w:r w:rsidRPr="00E65234">
        <w:rPr>
          <w:rFonts w:ascii="Sylfaen" w:hAnsi="Sylfaen" w:cs="Sylfaen"/>
          <w:szCs w:val="22"/>
          <w:lang w:val="fr-FR"/>
        </w:rPr>
        <w:t>სიდიდეებად</w:t>
      </w:r>
      <w:r w:rsidRPr="00E65234">
        <w:rPr>
          <w:rFonts w:ascii="AcadNusx" w:hAnsi="AcadNusx"/>
          <w:szCs w:val="22"/>
          <w:lang w:val="fr-FR"/>
        </w:rPr>
        <w:t xml:space="preserve"> </w:t>
      </w:r>
      <w:r w:rsidRPr="00E65234">
        <w:rPr>
          <w:rFonts w:ascii="Sylfaen" w:hAnsi="Sylfaen" w:cs="Sylfaen"/>
          <w:szCs w:val="22"/>
          <w:lang w:val="fr-FR"/>
        </w:rPr>
        <w:t>ჩუმლაყი</w:t>
      </w:r>
      <w:r w:rsidRPr="00E65234">
        <w:rPr>
          <w:rFonts w:ascii="AcadNusx" w:hAnsi="AcadNusx"/>
          <w:szCs w:val="22"/>
          <w:lang w:val="fr-FR"/>
        </w:rPr>
        <w:t>-</w:t>
      </w:r>
      <w:r w:rsidRPr="00E65234">
        <w:rPr>
          <w:rFonts w:ascii="Sylfaen" w:hAnsi="Sylfaen" w:cs="Sylfaen"/>
          <w:szCs w:val="22"/>
          <w:lang w:val="fr-FR"/>
        </w:rPr>
        <w:t>თელავის</w:t>
      </w:r>
      <w:r w:rsidRPr="00E65234">
        <w:rPr>
          <w:rFonts w:ascii="AcadNusx" w:hAnsi="AcadNusx"/>
          <w:szCs w:val="22"/>
          <w:lang w:val="fr-FR"/>
        </w:rPr>
        <w:t xml:space="preserve"> </w:t>
      </w:r>
      <w:r w:rsidRPr="00E65234">
        <w:rPr>
          <w:rFonts w:ascii="Sylfaen" w:hAnsi="Sylfaen" w:cs="Sylfaen"/>
          <w:szCs w:val="22"/>
          <w:lang w:val="fr-FR"/>
        </w:rPr>
        <w:t>სამოდერნიზაციო</w:t>
      </w:r>
      <w:r w:rsidRPr="00E65234">
        <w:rPr>
          <w:rFonts w:ascii="AcadNusx" w:hAnsi="AcadNusx"/>
          <w:szCs w:val="22"/>
          <w:lang w:val="fr-FR"/>
        </w:rPr>
        <w:t xml:space="preserve"> </w:t>
      </w:r>
      <w:r w:rsidRPr="00E65234">
        <w:rPr>
          <w:rFonts w:ascii="Sylfaen" w:hAnsi="Sylfaen" w:cs="Sylfaen"/>
          <w:szCs w:val="22"/>
          <w:lang w:val="fr-FR"/>
        </w:rPr>
        <w:t>გზის</w:t>
      </w:r>
      <w:r w:rsidRPr="00E65234">
        <w:rPr>
          <w:rFonts w:ascii="AcadNusx" w:hAnsi="AcadNusx"/>
          <w:szCs w:val="22"/>
          <w:lang w:val="fr-FR"/>
        </w:rPr>
        <w:t xml:space="preserve"> </w:t>
      </w:r>
      <w:r w:rsidRPr="00E65234">
        <w:rPr>
          <w:rFonts w:ascii="Sylfaen" w:hAnsi="Sylfaen" w:cs="Sylfaen"/>
          <w:szCs w:val="22"/>
          <w:lang w:val="fr-FR"/>
        </w:rPr>
        <w:t>გადაკვეთაზე</w:t>
      </w:r>
      <w:r w:rsidRPr="00E65234">
        <w:rPr>
          <w:rFonts w:ascii="AcadNusx" w:hAnsi="AcadNusx"/>
          <w:szCs w:val="22"/>
          <w:lang w:val="fr-FR"/>
        </w:rPr>
        <w:t>.</w:t>
      </w:r>
    </w:p>
    <w:p w14:paraId="620DB113" w14:textId="66617BCE" w:rsidR="00D34C21" w:rsidRPr="00E65234" w:rsidRDefault="00D34C21" w:rsidP="00E12C77">
      <w:pPr>
        <w:spacing w:before="120" w:after="120"/>
        <w:ind w:right="46"/>
        <w:rPr>
          <w:rFonts w:ascii="AcadNusx" w:hAnsi="AcadNusx"/>
          <w:szCs w:val="22"/>
          <w:lang w:val="fr-FR"/>
        </w:rPr>
      </w:pPr>
      <w:r w:rsidRPr="00E65234">
        <w:rPr>
          <w:rFonts w:ascii="Sylfaen" w:hAnsi="Sylfaen" w:cs="Sylfaen"/>
          <w:szCs w:val="22"/>
          <w:lang w:val="fr-FR"/>
        </w:rPr>
        <w:t>ზემოთ</w:t>
      </w:r>
      <w:r w:rsidRPr="00E65234">
        <w:rPr>
          <w:rFonts w:ascii="AcadNusx" w:hAnsi="AcadNusx"/>
          <w:szCs w:val="22"/>
          <w:lang w:val="fr-FR"/>
        </w:rPr>
        <w:t xml:space="preserve"> </w:t>
      </w:r>
      <w:r w:rsidRPr="00E65234">
        <w:rPr>
          <w:rFonts w:ascii="Sylfaen" w:hAnsi="Sylfaen" w:cs="Sylfaen"/>
          <w:szCs w:val="22"/>
          <w:lang w:val="fr-FR"/>
        </w:rPr>
        <w:t>მოყვანილ</w:t>
      </w:r>
      <w:r w:rsidRPr="00E65234">
        <w:rPr>
          <w:rFonts w:ascii="AcadNusx" w:hAnsi="AcadNusx"/>
          <w:szCs w:val="22"/>
          <w:lang w:val="fr-FR"/>
        </w:rPr>
        <w:t xml:space="preserve"> #</w:t>
      </w:r>
      <w:r w:rsidR="00735AFE">
        <w:rPr>
          <w:rFonts w:ascii="Sylfaen" w:hAnsi="Sylfaen"/>
          <w:szCs w:val="22"/>
          <w:lang w:val="ka-GE"/>
        </w:rPr>
        <w:t>6.3</w:t>
      </w:r>
      <w:r w:rsidR="00595A35">
        <w:rPr>
          <w:rFonts w:ascii="Sylfaen" w:hAnsi="Sylfaen"/>
          <w:szCs w:val="22"/>
          <w:lang w:val="ka-GE"/>
        </w:rPr>
        <w:t>-</w:t>
      </w:r>
      <w:r w:rsidRPr="00E65234">
        <w:rPr>
          <w:rFonts w:ascii="AcadNusx" w:hAnsi="AcadNusx"/>
          <w:szCs w:val="22"/>
          <w:lang w:val="fr-FR"/>
        </w:rPr>
        <w:t xml:space="preserve">1 </w:t>
      </w:r>
      <w:r w:rsidRPr="00E65234">
        <w:rPr>
          <w:rFonts w:ascii="Sylfaen" w:hAnsi="Sylfaen" w:cs="Sylfaen"/>
          <w:szCs w:val="22"/>
          <w:lang w:val="fr-FR"/>
        </w:rPr>
        <w:t>ცხრილში</w:t>
      </w:r>
      <w:r w:rsidRPr="00E65234">
        <w:rPr>
          <w:rFonts w:ascii="AcadNusx" w:hAnsi="AcadNusx"/>
          <w:szCs w:val="22"/>
          <w:lang w:val="fr-FR"/>
        </w:rPr>
        <w:t xml:space="preserve"> </w:t>
      </w:r>
      <w:r w:rsidRPr="00E65234">
        <w:rPr>
          <w:rFonts w:ascii="Sylfaen" w:hAnsi="Sylfaen" w:cs="Sylfaen"/>
          <w:szCs w:val="22"/>
          <w:lang w:val="fr-FR"/>
        </w:rPr>
        <w:t>მოცემული</w:t>
      </w:r>
      <w:r w:rsidRPr="00E65234">
        <w:rPr>
          <w:rFonts w:ascii="AcadNusx" w:hAnsi="AcadNusx"/>
          <w:szCs w:val="22"/>
          <w:lang w:val="fr-FR"/>
        </w:rPr>
        <w:t xml:space="preserve"> </w:t>
      </w:r>
      <w:r w:rsidRPr="00E65234">
        <w:rPr>
          <w:rFonts w:ascii="Sylfaen" w:hAnsi="Sylfaen" w:cs="Sylfaen"/>
          <w:szCs w:val="22"/>
          <w:lang w:val="fr-FR"/>
        </w:rPr>
        <w:t>მდინარეების</w:t>
      </w:r>
      <w:r w:rsidRPr="00E65234">
        <w:rPr>
          <w:rFonts w:ascii="AcadNusx" w:hAnsi="AcadNusx"/>
          <w:szCs w:val="22"/>
          <w:lang w:val="fr-FR"/>
        </w:rPr>
        <w:t xml:space="preserve">, </w:t>
      </w:r>
      <w:r w:rsidRPr="00E65234">
        <w:rPr>
          <w:rFonts w:ascii="Sylfaen" w:hAnsi="Sylfaen" w:cs="Sylfaen"/>
          <w:szCs w:val="22"/>
          <w:lang w:val="fr-FR"/>
        </w:rPr>
        <w:t>ხევებისა</w:t>
      </w:r>
      <w:r w:rsidRPr="00E65234">
        <w:rPr>
          <w:rFonts w:ascii="AcadNusx" w:hAnsi="AcadNusx"/>
          <w:szCs w:val="22"/>
          <w:lang w:val="fr-FR"/>
        </w:rPr>
        <w:t xml:space="preserve"> </w:t>
      </w:r>
      <w:r w:rsidRPr="00E65234">
        <w:rPr>
          <w:rFonts w:ascii="Sylfaen" w:hAnsi="Sylfaen" w:cs="Sylfaen"/>
          <w:szCs w:val="22"/>
          <w:lang w:val="fr-FR"/>
        </w:rPr>
        <w:t>და</w:t>
      </w:r>
      <w:r w:rsidRPr="00E65234">
        <w:rPr>
          <w:rFonts w:ascii="AcadNusx" w:hAnsi="AcadNusx"/>
          <w:szCs w:val="22"/>
          <w:lang w:val="fr-FR"/>
        </w:rPr>
        <w:t xml:space="preserve"> </w:t>
      </w:r>
      <w:r w:rsidRPr="00E65234">
        <w:rPr>
          <w:rFonts w:ascii="Sylfaen" w:hAnsi="Sylfaen" w:cs="Sylfaen"/>
          <w:szCs w:val="22"/>
          <w:lang w:val="fr-FR"/>
        </w:rPr>
        <w:t>ფართობების</w:t>
      </w:r>
      <w:r w:rsidRPr="00E65234">
        <w:rPr>
          <w:rFonts w:ascii="AcadNusx" w:hAnsi="AcadNusx"/>
          <w:szCs w:val="22"/>
          <w:lang w:val="fr-FR"/>
        </w:rPr>
        <w:t xml:space="preserve"> </w:t>
      </w:r>
      <w:r w:rsidRPr="00E65234">
        <w:rPr>
          <w:rFonts w:ascii="Sylfaen" w:hAnsi="Sylfaen" w:cs="Sylfaen"/>
          <w:szCs w:val="22"/>
          <w:lang w:val="fr-FR"/>
        </w:rPr>
        <w:t>ნუმერაცია</w:t>
      </w:r>
      <w:r w:rsidRPr="00E65234">
        <w:rPr>
          <w:rFonts w:ascii="AcadNusx" w:hAnsi="AcadNusx"/>
          <w:szCs w:val="22"/>
          <w:lang w:val="fr-FR"/>
        </w:rPr>
        <w:t xml:space="preserve"> </w:t>
      </w:r>
      <w:r w:rsidRPr="00E65234">
        <w:rPr>
          <w:rFonts w:ascii="Sylfaen" w:hAnsi="Sylfaen" w:cs="Sylfaen"/>
          <w:szCs w:val="22"/>
          <w:lang w:val="fr-FR"/>
        </w:rPr>
        <w:t>დატანილია</w:t>
      </w:r>
      <w:r w:rsidRPr="00E65234">
        <w:rPr>
          <w:rFonts w:ascii="AcadNusx" w:hAnsi="AcadNusx"/>
          <w:szCs w:val="22"/>
          <w:lang w:val="fr-FR"/>
        </w:rPr>
        <w:t xml:space="preserve"> 1:25000 </w:t>
      </w:r>
      <w:r w:rsidRPr="00E65234">
        <w:rPr>
          <w:rFonts w:ascii="Sylfaen" w:hAnsi="Sylfaen" w:cs="Sylfaen"/>
          <w:szCs w:val="22"/>
          <w:lang w:val="fr-FR"/>
        </w:rPr>
        <w:t>მასშტაბის</w:t>
      </w:r>
      <w:r w:rsidRPr="00E65234">
        <w:rPr>
          <w:rFonts w:ascii="AcadNusx" w:hAnsi="AcadNusx"/>
          <w:szCs w:val="22"/>
          <w:lang w:val="fr-FR"/>
        </w:rPr>
        <w:t xml:space="preserve"> </w:t>
      </w:r>
      <w:r w:rsidRPr="00E65234">
        <w:rPr>
          <w:rFonts w:ascii="Sylfaen" w:hAnsi="Sylfaen" w:cs="Sylfaen"/>
          <w:szCs w:val="22"/>
          <w:lang w:val="fr-FR"/>
        </w:rPr>
        <w:t>ტოპოგრაფიულ</w:t>
      </w:r>
      <w:r w:rsidRPr="00E65234">
        <w:rPr>
          <w:rFonts w:ascii="AcadNusx" w:hAnsi="AcadNusx"/>
          <w:szCs w:val="22"/>
          <w:lang w:val="fr-FR"/>
        </w:rPr>
        <w:t xml:space="preserve"> </w:t>
      </w:r>
      <w:r w:rsidRPr="00E65234">
        <w:rPr>
          <w:rFonts w:ascii="Sylfaen" w:hAnsi="Sylfaen" w:cs="Sylfaen"/>
          <w:szCs w:val="22"/>
          <w:lang w:val="fr-FR"/>
        </w:rPr>
        <w:t>რუკაზე</w:t>
      </w:r>
      <w:r w:rsidRPr="00E65234">
        <w:rPr>
          <w:rFonts w:ascii="AcadNusx" w:hAnsi="AcadNusx"/>
          <w:szCs w:val="22"/>
          <w:lang w:val="fr-FR"/>
        </w:rPr>
        <w:t xml:space="preserve">. </w:t>
      </w:r>
    </w:p>
    <w:p w14:paraId="424F0489" w14:textId="77777777" w:rsidR="001E494E" w:rsidRPr="002B616A" w:rsidRDefault="00DB613A" w:rsidP="00D34C21">
      <w:pPr>
        <w:spacing w:before="200" w:after="200"/>
        <w:ind w:right="46"/>
        <w:rPr>
          <w:rFonts w:ascii="Sylfaen" w:hAnsi="Sylfaen"/>
          <w:lang w:val="ka-GE" w:eastAsia="en-GB"/>
        </w:rPr>
      </w:pPr>
      <w:r>
        <w:rPr>
          <w:rFonts w:ascii="Sylfaen" w:hAnsi="Sylfaen"/>
          <w:noProof/>
          <w:lang w:val="en-US" w:eastAsia="en-US"/>
        </w:rPr>
        <w:drawing>
          <wp:inline distT="0" distB="0" distL="0" distR="0" wp14:anchorId="603E84E4" wp14:editId="56903AB8">
            <wp:extent cx="6645910" cy="234638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5"/>
                    <pic:cNvPicPr>
                      <a:picLocks noChangeAspect="1" noChangeArrowheads="1"/>
                    </pic:cNvPicPr>
                  </pic:nvPicPr>
                  <pic:blipFill>
                    <a:blip r:embed="rId186" cstate="email">
                      <a:extLst>
                        <a:ext uri="{28A0092B-C50C-407E-A947-70E740481C1C}">
                          <a14:useLocalDpi xmlns:a14="http://schemas.microsoft.com/office/drawing/2010/main"/>
                        </a:ext>
                      </a:extLst>
                    </a:blip>
                    <a:srcRect/>
                    <a:stretch>
                      <a:fillRect/>
                    </a:stretch>
                  </pic:blipFill>
                  <pic:spPr bwMode="auto">
                    <a:xfrm>
                      <a:off x="0" y="0"/>
                      <a:ext cx="6659543" cy="2351198"/>
                    </a:xfrm>
                    <a:prstGeom prst="rect">
                      <a:avLst/>
                    </a:prstGeom>
                    <a:noFill/>
                    <a:ln>
                      <a:noFill/>
                    </a:ln>
                  </pic:spPr>
                </pic:pic>
              </a:graphicData>
            </a:graphic>
          </wp:inline>
        </w:drawing>
      </w:r>
    </w:p>
    <w:p w14:paraId="6C6DE56B" w14:textId="775E6F3A" w:rsidR="000465B2" w:rsidRPr="00845892" w:rsidRDefault="000465B2" w:rsidP="00E12C77">
      <w:pPr>
        <w:pStyle w:val="Heading2"/>
        <w:spacing w:before="120" w:after="120"/>
        <w:rPr>
          <w:lang w:val="ka-GE"/>
        </w:rPr>
      </w:pPr>
      <w:bookmarkStart w:id="200" w:name="_Toc496611082"/>
      <w:bookmarkStart w:id="201" w:name="_Toc1581550"/>
      <w:bookmarkEnd w:id="199"/>
      <w:r w:rsidRPr="00845892">
        <w:rPr>
          <w:lang w:val="ka-GE"/>
        </w:rPr>
        <w:t>6.</w:t>
      </w:r>
      <w:r w:rsidR="002B29EF">
        <w:rPr>
          <w:rFonts w:ascii="Sylfaen" w:hAnsi="Sylfaen"/>
          <w:lang w:val="ka-GE"/>
        </w:rPr>
        <w:t>4</w:t>
      </w:r>
      <w:r w:rsidRPr="00845892">
        <w:rPr>
          <w:lang w:val="ka-GE"/>
        </w:rPr>
        <w:t xml:space="preserve"> </w:t>
      </w:r>
      <w:bookmarkEnd w:id="200"/>
      <w:r w:rsidR="00623817" w:rsidRPr="00845892">
        <w:rPr>
          <w:rFonts w:ascii="Sylfaen" w:hAnsi="Sylfaen" w:cs="Sylfaen"/>
          <w:lang w:val="ka-GE"/>
        </w:rPr>
        <w:t>ბიოლოგიური</w:t>
      </w:r>
      <w:r w:rsidR="00623817" w:rsidRPr="00845892">
        <w:rPr>
          <w:lang w:val="ka-GE"/>
        </w:rPr>
        <w:t xml:space="preserve"> </w:t>
      </w:r>
      <w:r w:rsidR="00623817" w:rsidRPr="00845892">
        <w:rPr>
          <w:rFonts w:ascii="Sylfaen" w:hAnsi="Sylfaen" w:cs="Sylfaen"/>
          <w:lang w:val="ka-GE"/>
        </w:rPr>
        <w:t>გარემო</w:t>
      </w:r>
      <w:bookmarkEnd w:id="201"/>
    </w:p>
    <w:p w14:paraId="4F07180E" w14:textId="77777777" w:rsidR="000465B2" w:rsidRPr="002E0662" w:rsidRDefault="00C67F3B" w:rsidP="00E12C77">
      <w:pPr>
        <w:pStyle w:val="ListNumber3"/>
        <w:numPr>
          <w:ilvl w:val="0"/>
          <w:numId w:val="0"/>
        </w:numPr>
        <w:spacing w:before="120" w:after="120" w:line="240" w:lineRule="auto"/>
        <w:jc w:val="both"/>
        <w:rPr>
          <w:rFonts w:ascii="Sylfaen" w:hAnsi="Sylfaen"/>
          <w:bCs/>
          <w:iCs/>
          <w:sz w:val="22"/>
          <w:u w:val="single"/>
          <w:lang w:val="ka-GE"/>
        </w:rPr>
      </w:pPr>
      <w:r w:rsidRPr="002E0662">
        <w:rPr>
          <w:rFonts w:ascii="Sylfaen" w:hAnsi="Sylfaen"/>
          <w:bCs/>
          <w:iCs/>
          <w:sz w:val="22"/>
          <w:u w:val="single"/>
          <w:lang w:val="ka-GE"/>
        </w:rPr>
        <w:t>ფლორა</w:t>
      </w:r>
    </w:p>
    <w:p w14:paraId="5E32B75D" w14:textId="77777777" w:rsidR="00AA1B66" w:rsidRPr="000F54A3" w:rsidRDefault="00AA1B66" w:rsidP="002E0662">
      <w:pPr>
        <w:spacing w:before="120" w:after="120"/>
        <w:contextualSpacing/>
        <w:rPr>
          <w:rFonts w:ascii="Sylfaen" w:hAnsi="Sylfaen" w:cs="Arial"/>
          <w:szCs w:val="22"/>
          <w:lang w:val="ka-GE"/>
        </w:rPr>
      </w:pPr>
      <w:r w:rsidRPr="000F54A3">
        <w:rPr>
          <w:rFonts w:ascii="Sylfaen" w:hAnsi="Sylfaen" w:cs="Arial"/>
          <w:szCs w:val="22"/>
          <w:lang w:val="ka-GE"/>
        </w:rPr>
        <w:t>საკვლევი ტერიტორიის ზოგადი გეოგრაფიული დასახიათება ასეთია, ის მოიცავს კ</w:t>
      </w:r>
      <w:r w:rsidRPr="000F54A3">
        <w:rPr>
          <w:rFonts w:ascii="Sylfaen" w:hAnsi="Sylfaen"/>
          <w:szCs w:val="22"/>
          <w:lang w:val="ka-GE" w:eastAsia="en-US"/>
        </w:rPr>
        <w:t>ახეთის</w:t>
      </w:r>
      <w:r w:rsidRPr="000F54A3">
        <w:rPr>
          <w:rFonts w:ascii="Sylfaen" w:hAnsi="Sylfaen" w:cs="Arial"/>
          <w:szCs w:val="22"/>
          <w:lang w:val="ka-GE"/>
        </w:rPr>
        <w:t xml:space="preserve"> რეგიონის, თელ</w:t>
      </w:r>
      <w:r w:rsidRPr="000F54A3">
        <w:rPr>
          <w:rFonts w:ascii="Sylfaen" w:hAnsi="Sylfaen"/>
          <w:szCs w:val="22"/>
          <w:lang w:val="ka-GE" w:eastAsia="en-US"/>
        </w:rPr>
        <w:t>ავისა და გურჯაანის</w:t>
      </w:r>
      <w:r w:rsidRPr="000F54A3">
        <w:rPr>
          <w:rFonts w:ascii="Sylfaen" w:hAnsi="Sylfaen" w:cs="Arial"/>
          <w:szCs w:val="22"/>
          <w:lang w:val="ka-GE"/>
        </w:rPr>
        <w:t xml:space="preserve"> მუნიციპალიტეტის ტერიტორიას. დერეფნის სიგრძე 30 კმ–ია და მას აქვს ჩრდილო დასავლეთიდან სამხრეთ აღმოსავლეთიდან მიმართულება. გეოგრაფიულად ის მდებარეობს მდინ</w:t>
      </w:r>
      <w:r w:rsidRPr="000F54A3">
        <w:rPr>
          <w:rFonts w:ascii="Sylfaen" w:hAnsi="Sylfaen"/>
          <w:szCs w:val="22"/>
          <w:lang w:val="ka-GE" w:eastAsia="en-US"/>
        </w:rPr>
        <w:t>არე ალაზნის</w:t>
      </w:r>
      <w:r w:rsidRPr="000F54A3">
        <w:rPr>
          <w:rFonts w:ascii="Sylfaen" w:hAnsi="Sylfaen" w:cs="Arial"/>
          <w:szCs w:val="22"/>
          <w:lang w:val="ka-GE"/>
        </w:rPr>
        <w:t xml:space="preserve"> დაბლობზე და მისი რელიეფი ვაკეს წარმოადგენს.</w:t>
      </w:r>
    </w:p>
    <w:p w14:paraId="5AB1424D" w14:textId="77777777" w:rsidR="00AA1B66" w:rsidRPr="000F54A3" w:rsidRDefault="00AA1B66" w:rsidP="002E0662">
      <w:pPr>
        <w:spacing w:before="120" w:after="120"/>
        <w:contextualSpacing/>
        <w:rPr>
          <w:rFonts w:ascii="Sylfaen" w:hAnsi="Sylfaen" w:cs="Arial"/>
          <w:szCs w:val="22"/>
          <w:lang w:val="ka-GE"/>
        </w:rPr>
      </w:pPr>
      <w:r w:rsidRPr="000F54A3">
        <w:rPr>
          <w:rFonts w:ascii="Sylfaen" w:hAnsi="Sylfaen" w:cs="Arial"/>
          <w:szCs w:val="22"/>
          <w:lang w:val="ka-GE"/>
        </w:rPr>
        <w:t xml:space="preserve">საკვლევი არეალის ჰიფსომეტრიული აპლიტუდა არ არის მაღალი რაც გამოწვეულია მისი ვაკე რელიეფით და მერყეობს ზღვის დონიდან 694 მ დან 356 მდე. სიმაღლებრივი ამპლიტუდის სიმცირე განაპირობებს მცენარეული ტიპების შედარებით ერთგვაროვნებას. გეობოტანიკური თვალსაზრისით </w:t>
      </w:r>
      <w:r w:rsidRPr="000F54A3">
        <w:rPr>
          <w:rFonts w:ascii="Sylfaen" w:hAnsi="Sylfaen" w:cs="Arial"/>
          <w:szCs w:val="22"/>
          <w:lang w:val="ka-GE"/>
        </w:rPr>
        <w:lastRenderedPageBreak/>
        <w:t>საკვლევი არეალი მიეკუთნება აღმოსავლეთ საქართველოს გეობოტანიკური არის, ივერიის ბარის ოლქის, კ</w:t>
      </w:r>
      <w:r w:rsidRPr="000F54A3">
        <w:rPr>
          <w:rFonts w:ascii="Sylfaen" w:hAnsi="Sylfaen"/>
          <w:szCs w:val="22"/>
          <w:lang w:val="ka-GE" w:eastAsia="en-US"/>
        </w:rPr>
        <w:t>ახეთის</w:t>
      </w:r>
      <w:r w:rsidRPr="000F54A3">
        <w:rPr>
          <w:rFonts w:ascii="Sylfaen" w:hAnsi="Sylfaen" w:cs="Arial"/>
          <w:szCs w:val="22"/>
          <w:lang w:val="ka-GE"/>
        </w:rPr>
        <w:t xml:space="preserve"> ბარის გეობოტანიკურ რაიონს. </w:t>
      </w:r>
    </w:p>
    <w:p w14:paraId="6386BBE3" w14:textId="77777777" w:rsidR="00AA1B66" w:rsidRPr="000F54A3" w:rsidRDefault="00AA1B66" w:rsidP="002E0662">
      <w:pPr>
        <w:spacing w:before="120" w:after="120"/>
        <w:contextualSpacing/>
        <w:rPr>
          <w:rFonts w:ascii="Sylfaen" w:hAnsi="Sylfaen" w:cs="Arial"/>
          <w:szCs w:val="22"/>
          <w:lang w:val="ka-GE"/>
        </w:rPr>
      </w:pPr>
      <w:r w:rsidRPr="000F54A3">
        <w:rPr>
          <w:rFonts w:ascii="Sylfaen" w:hAnsi="Sylfaen" w:cs="Arial"/>
          <w:szCs w:val="22"/>
          <w:lang w:val="ka-GE"/>
        </w:rPr>
        <w:t>გარდა ამისა უნდა აღინიშნოს რომ საკვლევი ფართობი მთლიანად ანთროპოგენული წნეხის ქვეშაა და ხასიათდება განვითარებული ინფრასტრუქტურის არსებობით. პირველ</w:t>
      </w:r>
      <w:r w:rsidRPr="000F54A3">
        <w:rPr>
          <w:rFonts w:ascii="Sylfaen" w:hAnsi="Sylfaen"/>
          <w:szCs w:val="22"/>
          <w:lang w:val="ka-GE" w:eastAsia="en-US"/>
        </w:rPr>
        <w:t>ადი ბუნებრივი მცენარეულობა საკვლევ არეალზე არ არსებობს.</w:t>
      </w:r>
      <w:r w:rsidRPr="000F54A3">
        <w:rPr>
          <w:rFonts w:ascii="Sylfaen" w:hAnsi="Sylfaen" w:cs="Arial"/>
          <w:szCs w:val="22"/>
          <w:lang w:val="ka-GE"/>
        </w:rPr>
        <w:t xml:space="preserve"> საკვლევი არეალის დიდი ნ</w:t>
      </w:r>
      <w:r w:rsidRPr="000F54A3">
        <w:rPr>
          <w:rFonts w:ascii="Sylfaen" w:hAnsi="Sylfaen"/>
          <w:szCs w:val="22"/>
          <w:lang w:val="ka-GE" w:eastAsia="en-US"/>
        </w:rPr>
        <w:t xml:space="preserve">აწილი გადის რკინიგზის სიგრძივ, ხოლო ნაწილი </w:t>
      </w:r>
      <w:r w:rsidRPr="000F54A3">
        <w:rPr>
          <w:rFonts w:ascii="Sylfaen" w:hAnsi="Sylfaen" w:cs="Arial"/>
          <w:szCs w:val="22"/>
          <w:lang w:val="ka-GE"/>
        </w:rPr>
        <w:t>გადის ს</w:t>
      </w:r>
      <w:r w:rsidRPr="000F54A3">
        <w:rPr>
          <w:rFonts w:ascii="Sylfaen" w:hAnsi="Sylfaen"/>
          <w:szCs w:val="22"/>
          <w:lang w:val="ka-GE" w:eastAsia="en-US"/>
        </w:rPr>
        <w:t xml:space="preserve">ასოფლო სამეურნეო სავარგულებზე, არეალის მცირე ნაწილი კვეთს დასახლებულ პუნქტებს, ესენია თელავის მუნიციპალიტეტი-სოფელი ვარდისუბანი, ქ. თელავი, სოფელი ნასამხრალი, კონდოლი, წინანდალი, გურჯაანის მუნიციპალიტეტი-სოფლები კალაური, ვაზისუბანი, მუკუზანი, ახალსოფელი და </w:t>
      </w:r>
      <w:r w:rsidRPr="000F54A3">
        <w:rPr>
          <w:rFonts w:ascii="Sylfaen" w:hAnsi="Sylfaen" w:cs="Arial"/>
          <w:szCs w:val="22"/>
          <w:lang w:val="ka-GE"/>
        </w:rPr>
        <w:t>როგორც აღინიშნა საკვლვლევი არეალი მეტად ერთფეროვანია ბოტანიკური თვალსაზრისით, ბუნებრივი მცენარეულობა წარმოდგენილია მეორადი რუდერალური და სტეპის მცენარეულობთ, ასევე გზის პირებზე დ</w:t>
      </w:r>
      <w:r w:rsidRPr="000F54A3">
        <w:rPr>
          <w:rFonts w:ascii="Sylfaen" w:hAnsi="Sylfaen"/>
          <w:szCs w:val="22"/>
          <w:lang w:val="ka-GE" w:eastAsia="en-US"/>
        </w:rPr>
        <w:t xml:space="preserve">ა რკინიგზის გასწვრივ </w:t>
      </w:r>
      <w:r w:rsidRPr="000F54A3">
        <w:rPr>
          <w:rFonts w:ascii="Sylfaen" w:hAnsi="Sylfaen" w:cs="Arial"/>
          <w:szCs w:val="22"/>
          <w:lang w:val="ka-GE"/>
        </w:rPr>
        <w:t>წარმოდგენილია კ</w:t>
      </w:r>
      <w:r w:rsidRPr="000F54A3">
        <w:rPr>
          <w:rFonts w:ascii="Sylfaen" w:hAnsi="Sylfaen"/>
          <w:szCs w:val="22"/>
          <w:lang w:val="ka-GE" w:eastAsia="en-US"/>
        </w:rPr>
        <w:t xml:space="preserve">აკლის </w:t>
      </w:r>
      <w:r w:rsidRPr="000F54A3">
        <w:rPr>
          <w:rFonts w:ascii="Sylfaen" w:hAnsi="Sylfaen" w:cs="Arial"/>
          <w:szCs w:val="22"/>
          <w:lang w:val="ka-GE"/>
        </w:rPr>
        <w:t>ხეები რომლებს</w:t>
      </w:r>
      <w:r w:rsidRPr="000F54A3">
        <w:rPr>
          <w:rFonts w:ascii="Sylfaen" w:hAnsi="Sylfaen"/>
          <w:szCs w:val="22"/>
          <w:lang w:val="ka-GE" w:eastAsia="en-US"/>
        </w:rPr>
        <w:t>აც მოსახლეობა იყენებს ეკონომიკური მიზნების გამო</w:t>
      </w:r>
      <w:r w:rsidRPr="000F54A3">
        <w:rPr>
          <w:rFonts w:ascii="Sylfaen" w:hAnsi="Sylfaen" w:cs="Arial"/>
          <w:szCs w:val="22"/>
          <w:lang w:val="ka-GE"/>
        </w:rPr>
        <w:t xml:space="preserve"> </w:t>
      </w:r>
      <w:r w:rsidRPr="000F54A3">
        <w:rPr>
          <w:rFonts w:ascii="Sylfaen" w:hAnsi="Sylfaen"/>
          <w:szCs w:val="22"/>
          <w:lang w:val="ka-GE" w:eastAsia="en-US"/>
        </w:rPr>
        <w:t xml:space="preserve">ამასთან, ეს სახეობა საქართველოს წითელ ნუსხაშია შეტანილი როგორც მოწყვლადი სახეობა. </w:t>
      </w:r>
      <w:r w:rsidRPr="000F54A3">
        <w:rPr>
          <w:rFonts w:ascii="Sylfaen" w:hAnsi="Sylfaen" w:cs="Arial"/>
          <w:szCs w:val="22"/>
          <w:lang w:val="ka-GE"/>
        </w:rPr>
        <w:t xml:space="preserve"> </w:t>
      </w:r>
    </w:p>
    <w:p w14:paraId="42E2DC71" w14:textId="77777777" w:rsidR="002C10A5" w:rsidRPr="009852B4" w:rsidRDefault="001254E0" w:rsidP="002E0662">
      <w:pPr>
        <w:pStyle w:val="NoSpacing"/>
        <w:spacing w:before="120" w:after="120"/>
        <w:jc w:val="both"/>
        <w:rPr>
          <w:rFonts w:ascii="Sylfaen" w:hAnsi="Sylfaen" w:cs="Arial"/>
          <w:szCs w:val="24"/>
          <w:lang w:val="ka-GE"/>
        </w:rPr>
      </w:pPr>
      <w:r w:rsidRPr="009852B4">
        <w:rPr>
          <w:rFonts w:ascii="Sylfaen" w:hAnsi="Sylfaen" w:cs="Sylfaen"/>
          <w:szCs w:val="24"/>
          <w:lang w:val="ka-GE"/>
        </w:rPr>
        <w:t>როგორც</w:t>
      </w:r>
      <w:r w:rsidRPr="009852B4">
        <w:rPr>
          <w:rFonts w:ascii="Sylfaen" w:hAnsi="Sylfaen" w:cs="Arial"/>
          <w:szCs w:val="24"/>
          <w:lang w:val="ka-GE"/>
        </w:rPr>
        <w:t xml:space="preserve"> კვლევის მიმოხილვაში </w:t>
      </w:r>
      <w:r w:rsidRPr="009852B4">
        <w:rPr>
          <w:rFonts w:ascii="Sylfaen" w:hAnsi="Sylfaen" w:cs="Sylfaen"/>
          <w:szCs w:val="24"/>
          <w:lang w:val="ka-GE"/>
        </w:rPr>
        <w:t>აღინიშნა,</w:t>
      </w:r>
      <w:r w:rsidRPr="009852B4">
        <w:rPr>
          <w:rFonts w:ascii="Sylfaen" w:hAnsi="Sylfaen" w:cs="Arial"/>
          <w:szCs w:val="24"/>
          <w:lang w:val="ka-GE"/>
        </w:rPr>
        <w:t xml:space="preserve"> </w:t>
      </w:r>
      <w:r w:rsidRPr="009852B4">
        <w:rPr>
          <w:rFonts w:ascii="Sylfaen" w:hAnsi="Sylfaen" w:cs="Sylfaen"/>
          <w:szCs w:val="24"/>
          <w:lang w:val="ka-GE"/>
        </w:rPr>
        <w:t>ტერიტორია</w:t>
      </w:r>
      <w:r w:rsidRPr="009852B4">
        <w:rPr>
          <w:rFonts w:ascii="Sylfaen" w:hAnsi="Sylfaen" w:cs="Arial"/>
          <w:szCs w:val="24"/>
          <w:lang w:val="ka-GE"/>
        </w:rPr>
        <w:t xml:space="preserve"> </w:t>
      </w:r>
      <w:r w:rsidRPr="009852B4">
        <w:rPr>
          <w:rFonts w:ascii="Sylfaen" w:hAnsi="Sylfaen" w:cs="Sylfaen"/>
          <w:szCs w:val="24"/>
          <w:lang w:val="ka-GE"/>
        </w:rPr>
        <w:t>საკმაოდ მონოტონურია</w:t>
      </w:r>
      <w:r w:rsidRPr="009852B4">
        <w:rPr>
          <w:rFonts w:ascii="Sylfaen" w:hAnsi="Sylfaen" w:cs="Arial"/>
          <w:szCs w:val="24"/>
          <w:lang w:val="ka-GE"/>
        </w:rPr>
        <w:t xml:space="preserve"> </w:t>
      </w:r>
      <w:r w:rsidRPr="009852B4">
        <w:rPr>
          <w:rFonts w:ascii="Sylfaen" w:hAnsi="Sylfaen" w:cs="Sylfaen"/>
          <w:szCs w:val="24"/>
          <w:lang w:val="ka-GE"/>
        </w:rPr>
        <w:t>ბოტანიკური</w:t>
      </w:r>
      <w:r w:rsidRPr="009852B4">
        <w:rPr>
          <w:rFonts w:ascii="Sylfaen" w:hAnsi="Sylfaen" w:cs="Arial"/>
          <w:szCs w:val="24"/>
          <w:lang w:val="ka-GE"/>
        </w:rPr>
        <w:t xml:space="preserve"> </w:t>
      </w:r>
      <w:r w:rsidRPr="009852B4">
        <w:rPr>
          <w:rFonts w:ascii="Sylfaen" w:hAnsi="Sylfaen" w:cs="Sylfaen"/>
          <w:szCs w:val="24"/>
          <w:lang w:val="ka-GE"/>
        </w:rPr>
        <w:t>თვალსაზრისით</w:t>
      </w:r>
      <w:r w:rsidRPr="009852B4">
        <w:rPr>
          <w:rFonts w:ascii="Sylfaen" w:hAnsi="Sylfaen"/>
          <w:szCs w:val="24"/>
          <w:lang w:val="ka-GE"/>
        </w:rPr>
        <w:t xml:space="preserve">, </w:t>
      </w:r>
      <w:r w:rsidRPr="009852B4">
        <w:rPr>
          <w:rFonts w:ascii="Sylfaen" w:hAnsi="Sylfaen" w:cs="Sylfaen"/>
          <w:szCs w:val="24"/>
          <w:lang w:val="ka-GE"/>
        </w:rPr>
        <w:t>ბუნებრივი</w:t>
      </w:r>
      <w:r w:rsidRPr="009852B4">
        <w:rPr>
          <w:rFonts w:ascii="Sylfaen" w:hAnsi="Sylfaen" w:cs="Arial"/>
          <w:szCs w:val="24"/>
          <w:lang w:val="ka-GE"/>
        </w:rPr>
        <w:t xml:space="preserve"> </w:t>
      </w:r>
      <w:r w:rsidRPr="009852B4">
        <w:rPr>
          <w:rFonts w:ascii="Sylfaen" w:hAnsi="Sylfaen" w:cs="Sylfaen"/>
          <w:szCs w:val="24"/>
          <w:lang w:val="ka-GE"/>
        </w:rPr>
        <w:t>მცენარეულობა</w:t>
      </w:r>
      <w:r w:rsidRPr="009852B4">
        <w:rPr>
          <w:rFonts w:ascii="Sylfaen" w:hAnsi="Sylfaen" w:cs="Arial"/>
          <w:szCs w:val="24"/>
          <w:lang w:val="ka-GE"/>
        </w:rPr>
        <w:t xml:space="preserve"> </w:t>
      </w:r>
      <w:r w:rsidRPr="009852B4">
        <w:rPr>
          <w:rFonts w:ascii="Sylfaen" w:hAnsi="Sylfaen" w:cs="Sylfaen"/>
          <w:szCs w:val="24"/>
          <w:lang w:val="ka-GE"/>
        </w:rPr>
        <w:t>წარმოდგენილია</w:t>
      </w:r>
      <w:r w:rsidRPr="009852B4">
        <w:rPr>
          <w:rFonts w:ascii="Sylfaen" w:hAnsi="Sylfaen" w:cs="Arial"/>
          <w:szCs w:val="24"/>
          <w:lang w:val="ka-GE"/>
        </w:rPr>
        <w:t xml:space="preserve"> </w:t>
      </w:r>
      <w:r w:rsidRPr="009852B4">
        <w:rPr>
          <w:rFonts w:ascii="Sylfaen" w:hAnsi="Sylfaen" w:cs="Sylfaen"/>
          <w:szCs w:val="24"/>
          <w:lang w:val="ka-GE"/>
        </w:rPr>
        <w:t>მეორადი</w:t>
      </w:r>
      <w:r w:rsidRPr="009852B4">
        <w:rPr>
          <w:rFonts w:ascii="Sylfaen" w:hAnsi="Sylfaen" w:cs="Arial"/>
          <w:szCs w:val="24"/>
          <w:lang w:val="ka-GE"/>
        </w:rPr>
        <w:t xml:space="preserve"> </w:t>
      </w:r>
      <w:r w:rsidRPr="009852B4">
        <w:rPr>
          <w:rFonts w:ascii="Sylfaen" w:hAnsi="Sylfaen" w:cs="Sylfaen"/>
          <w:szCs w:val="24"/>
          <w:lang w:val="ka-GE"/>
        </w:rPr>
        <w:t>რუდერალური</w:t>
      </w:r>
      <w:r w:rsidRPr="009852B4">
        <w:rPr>
          <w:rFonts w:ascii="Sylfaen" w:hAnsi="Sylfaen" w:cs="Arial"/>
          <w:szCs w:val="24"/>
          <w:lang w:val="ka-GE"/>
        </w:rPr>
        <w:t xml:space="preserve"> </w:t>
      </w:r>
      <w:r w:rsidRPr="009852B4">
        <w:rPr>
          <w:rFonts w:ascii="Sylfaen" w:hAnsi="Sylfaen" w:cs="Sylfaen"/>
          <w:szCs w:val="24"/>
          <w:lang w:val="ka-GE"/>
        </w:rPr>
        <w:t>და</w:t>
      </w:r>
      <w:r w:rsidRPr="009852B4">
        <w:rPr>
          <w:rFonts w:ascii="Sylfaen" w:hAnsi="Sylfaen" w:cs="Arial"/>
          <w:szCs w:val="24"/>
          <w:lang w:val="ka-GE"/>
        </w:rPr>
        <w:t xml:space="preserve"> </w:t>
      </w:r>
      <w:r w:rsidRPr="009852B4">
        <w:rPr>
          <w:rFonts w:ascii="Sylfaen" w:hAnsi="Sylfaen" w:cs="Sylfaen"/>
          <w:szCs w:val="24"/>
          <w:lang w:val="ka-GE"/>
        </w:rPr>
        <w:t>სტეპების</w:t>
      </w:r>
      <w:r w:rsidRPr="009852B4">
        <w:rPr>
          <w:rFonts w:ascii="Sylfaen" w:hAnsi="Sylfaen" w:cs="Arial"/>
          <w:szCs w:val="24"/>
          <w:lang w:val="ka-GE"/>
        </w:rPr>
        <w:t xml:space="preserve"> </w:t>
      </w:r>
      <w:r w:rsidRPr="009852B4">
        <w:rPr>
          <w:rFonts w:ascii="Sylfaen" w:hAnsi="Sylfaen" w:cs="Sylfaen"/>
          <w:szCs w:val="24"/>
          <w:lang w:val="ka-GE"/>
        </w:rPr>
        <w:t>მცენარეებით</w:t>
      </w:r>
      <w:r w:rsidR="002C10A5" w:rsidRPr="009852B4">
        <w:rPr>
          <w:rFonts w:ascii="Sylfaen" w:hAnsi="Sylfaen"/>
          <w:szCs w:val="24"/>
          <w:lang w:val="ka-GE"/>
        </w:rPr>
        <w:t xml:space="preserve">, </w:t>
      </w:r>
      <w:r w:rsidRPr="009852B4">
        <w:rPr>
          <w:rFonts w:ascii="Sylfaen" w:hAnsi="Sylfaen" w:cs="Sylfaen"/>
          <w:szCs w:val="24"/>
          <w:lang w:val="ka-GE"/>
        </w:rPr>
        <w:t>ასევე</w:t>
      </w:r>
      <w:r w:rsidRPr="009852B4">
        <w:rPr>
          <w:rFonts w:ascii="Sylfaen" w:hAnsi="Sylfaen" w:cs="Arial"/>
          <w:szCs w:val="24"/>
          <w:lang w:val="ka-GE"/>
        </w:rPr>
        <w:t xml:space="preserve"> </w:t>
      </w:r>
      <w:r w:rsidRPr="009852B4">
        <w:rPr>
          <w:rFonts w:ascii="Sylfaen" w:hAnsi="Sylfaen" w:cs="Sylfaen"/>
          <w:szCs w:val="24"/>
          <w:lang w:val="ka-GE"/>
        </w:rPr>
        <w:t>გზებისა</w:t>
      </w:r>
      <w:r w:rsidRPr="009852B4">
        <w:rPr>
          <w:rFonts w:ascii="Sylfaen" w:hAnsi="Sylfaen" w:cs="Arial"/>
          <w:szCs w:val="24"/>
          <w:lang w:val="ka-GE"/>
        </w:rPr>
        <w:t xml:space="preserve"> </w:t>
      </w:r>
      <w:r w:rsidRPr="009852B4">
        <w:rPr>
          <w:rFonts w:ascii="Sylfaen" w:hAnsi="Sylfaen" w:cs="Sylfaen"/>
          <w:szCs w:val="24"/>
          <w:lang w:val="ka-GE"/>
        </w:rPr>
        <w:t>და</w:t>
      </w:r>
      <w:r w:rsidRPr="009852B4">
        <w:rPr>
          <w:rFonts w:ascii="Sylfaen" w:hAnsi="Sylfaen" w:cs="Arial"/>
          <w:szCs w:val="24"/>
          <w:lang w:val="ka-GE"/>
        </w:rPr>
        <w:t xml:space="preserve"> </w:t>
      </w:r>
      <w:r w:rsidRPr="009852B4">
        <w:rPr>
          <w:rFonts w:ascii="Sylfaen" w:hAnsi="Sylfaen" w:cs="Sylfaen"/>
          <w:szCs w:val="24"/>
          <w:lang w:val="ka-GE"/>
        </w:rPr>
        <w:t>სასოფლო</w:t>
      </w:r>
      <w:r w:rsidRPr="009852B4">
        <w:rPr>
          <w:rFonts w:ascii="Sylfaen" w:hAnsi="Sylfaen" w:cs="Arial"/>
          <w:szCs w:val="24"/>
          <w:lang w:val="ka-GE"/>
        </w:rPr>
        <w:t>-</w:t>
      </w:r>
      <w:r w:rsidRPr="009852B4">
        <w:rPr>
          <w:rFonts w:ascii="Sylfaen" w:hAnsi="Sylfaen" w:cs="Sylfaen"/>
          <w:szCs w:val="24"/>
          <w:lang w:val="ka-GE"/>
        </w:rPr>
        <w:t>სამეურნეო</w:t>
      </w:r>
      <w:r w:rsidRPr="009852B4">
        <w:rPr>
          <w:rFonts w:ascii="Sylfaen" w:hAnsi="Sylfaen" w:cs="Arial"/>
          <w:szCs w:val="24"/>
          <w:lang w:val="ka-GE"/>
        </w:rPr>
        <w:t xml:space="preserve"> </w:t>
      </w:r>
      <w:r w:rsidRPr="009852B4">
        <w:rPr>
          <w:rFonts w:ascii="Sylfaen" w:hAnsi="Sylfaen" w:cs="Sylfaen"/>
          <w:szCs w:val="24"/>
          <w:lang w:val="ka-GE"/>
        </w:rPr>
        <w:t>მიწების</w:t>
      </w:r>
      <w:r w:rsidRPr="009852B4">
        <w:rPr>
          <w:rFonts w:ascii="Sylfaen" w:hAnsi="Sylfaen" w:cs="Arial"/>
          <w:szCs w:val="24"/>
          <w:lang w:val="ka-GE"/>
        </w:rPr>
        <w:t xml:space="preserve"> </w:t>
      </w:r>
      <w:r w:rsidRPr="009852B4">
        <w:rPr>
          <w:rFonts w:ascii="Sylfaen" w:hAnsi="Sylfaen" w:cs="Sylfaen"/>
          <w:szCs w:val="24"/>
          <w:lang w:val="ka-GE"/>
        </w:rPr>
        <w:t>კიდეებზე</w:t>
      </w:r>
      <w:r w:rsidRPr="009852B4">
        <w:rPr>
          <w:rFonts w:ascii="Sylfaen" w:hAnsi="Sylfaen" w:cs="Arial"/>
          <w:szCs w:val="24"/>
          <w:lang w:val="ka-GE"/>
        </w:rPr>
        <w:t xml:space="preserve"> წარმოდგენილია </w:t>
      </w:r>
      <w:r w:rsidRPr="009852B4">
        <w:rPr>
          <w:rFonts w:ascii="Sylfaen" w:hAnsi="Sylfaen" w:cs="Sylfaen"/>
          <w:szCs w:val="24"/>
          <w:lang w:val="ka-GE"/>
        </w:rPr>
        <w:t>კაკლის</w:t>
      </w:r>
      <w:r w:rsidRPr="009852B4">
        <w:rPr>
          <w:rFonts w:ascii="Sylfaen" w:hAnsi="Sylfaen" w:cs="Arial"/>
          <w:szCs w:val="24"/>
          <w:lang w:val="ka-GE"/>
        </w:rPr>
        <w:t xml:space="preserve"> </w:t>
      </w:r>
      <w:r w:rsidRPr="009852B4">
        <w:rPr>
          <w:rFonts w:ascii="Sylfaen" w:hAnsi="Sylfaen" w:cs="Sylfaen"/>
          <w:szCs w:val="24"/>
          <w:lang w:val="ka-GE"/>
        </w:rPr>
        <w:t>ხეები</w:t>
      </w:r>
      <w:r w:rsidRPr="009852B4">
        <w:rPr>
          <w:rFonts w:ascii="Sylfaen" w:hAnsi="Sylfaen" w:cs="Arial"/>
          <w:szCs w:val="24"/>
          <w:lang w:val="ka-GE"/>
        </w:rPr>
        <w:t xml:space="preserve">, </w:t>
      </w:r>
      <w:r w:rsidRPr="009852B4">
        <w:rPr>
          <w:rFonts w:ascii="Sylfaen" w:hAnsi="Sylfaen" w:cs="Sylfaen"/>
          <w:szCs w:val="24"/>
          <w:lang w:val="ka-GE"/>
        </w:rPr>
        <w:t>რომლებიც</w:t>
      </w:r>
      <w:r w:rsidRPr="009852B4">
        <w:rPr>
          <w:rFonts w:ascii="Sylfaen" w:hAnsi="Sylfaen" w:cs="Arial"/>
          <w:szCs w:val="24"/>
          <w:lang w:val="ka-GE"/>
        </w:rPr>
        <w:t xml:space="preserve"> იყენებს </w:t>
      </w:r>
      <w:r w:rsidRPr="009852B4">
        <w:rPr>
          <w:rFonts w:ascii="Sylfaen" w:hAnsi="Sylfaen" w:cs="Sylfaen"/>
          <w:szCs w:val="24"/>
          <w:lang w:val="ka-GE"/>
        </w:rPr>
        <w:t>მოსახლეობა</w:t>
      </w:r>
      <w:r w:rsidRPr="009852B4">
        <w:rPr>
          <w:rFonts w:ascii="Sylfaen" w:hAnsi="Sylfaen" w:cs="Arial"/>
          <w:szCs w:val="24"/>
          <w:lang w:val="ka-GE"/>
        </w:rPr>
        <w:t xml:space="preserve"> </w:t>
      </w:r>
      <w:r w:rsidRPr="009852B4">
        <w:rPr>
          <w:rFonts w:ascii="Sylfaen" w:hAnsi="Sylfaen" w:cs="Sylfaen"/>
          <w:szCs w:val="24"/>
          <w:lang w:val="ka-GE"/>
        </w:rPr>
        <w:t>ეკონომიკურ</w:t>
      </w:r>
      <w:r w:rsidRPr="009852B4">
        <w:rPr>
          <w:rFonts w:ascii="Sylfaen" w:hAnsi="Sylfaen" w:cs="Arial"/>
          <w:szCs w:val="24"/>
          <w:lang w:val="ka-GE"/>
        </w:rPr>
        <w:t xml:space="preserve"> </w:t>
      </w:r>
      <w:r w:rsidRPr="009852B4">
        <w:rPr>
          <w:rFonts w:ascii="Sylfaen" w:hAnsi="Sylfaen" w:cs="Sylfaen"/>
          <w:szCs w:val="24"/>
          <w:lang w:val="ka-GE"/>
        </w:rPr>
        <w:t>მიზნებით</w:t>
      </w:r>
      <w:r w:rsidRPr="009852B4">
        <w:rPr>
          <w:rFonts w:ascii="Sylfaen" w:hAnsi="Sylfaen"/>
          <w:szCs w:val="24"/>
          <w:lang w:val="ka-GE"/>
        </w:rPr>
        <w:t xml:space="preserve">. </w:t>
      </w:r>
      <w:r w:rsidRPr="009852B4">
        <w:rPr>
          <w:rFonts w:ascii="Sylfaen" w:hAnsi="Sylfaen" w:cs="Sylfaen"/>
          <w:szCs w:val="24"/>
          <w:lang w:val="ka-GE"/>
        </w:rPr>
        <w:t>გარდა</w:t>
      </w:r>
      <w:r w:rsidRPr="009852B4">
        <w:rPr>
          <w:rFonts w:ascii="Sylfaen" w:hAnsi="Sylfaen" w:cs="Arial"/>
          <w:szCs w:val="24"/>
          <w:lang w:val="ka-GE"/>
        </w:rPr>
        <w:t xml:space="preserve"> </w:t>
      </w:r>
      <w:r w:rsidRPr="009852B4">
        <w:rPr>
          <w:rFonts w:ascii="Sylfaen" w:hAnsi="Sylfaen" w:cs="Sylfaen"/>
          <w:szCs w:val="24"/>
          <w:lang w:val="ka-GE"/>
        </w:rPr>
        <w:t>ამისა</w:t>
      </w:r>
      <w:r w:rsidRPr="009852B4">
        <w:rPr>
          <w:rFonts w:ascii="Sylfaen" w:hAnsi="Sylfaen" w:cs="Arial"/>
          <w:szCs w:val="24"/>
          <w:lang w:val="ka-GE"/>
        </w:rPr>
        <w:t xml:space="preserve">, </w:t>
      </w:r>
      <w:r w:rsidRPr="009852B4">
        <w:rPr>
          <w:rFonts w:ascii="Sylfaen" w:hAnsi="Sylfaen" w:cs="Sylfaen"/>
          <w:szCs w:val="24"/>
          <w:lang w:val="ka-GE"/>
        </w:rPr>
        <w:t>ეს</w:t>
      </w:r>
      <w:r w:rsidRPr="009852B4">
        <w:rPr>
          <w:rFonts w:ascii="Sylfaen" w:hAnsi="Sylfaen" w:cs="Arial"/>
          <w:szCs w:val="24"/>
          <w:lang w:val="ka-GE"/>
        </w:rPr>
        <w:t xml:space="preserve"> </w:t>
      </w:r>
      <w:r w:rsidRPr="009852B4">
        <w:rPr>
          <w:rFonts w:ascii="Sylfaen" w:hAnsi="Sylfaen" w:cs="Sylfaen"/>
          <w:szCs w:val="24"/>
          <w:lang w:val="ka-GE"/>
        </w:rPr>
        <w:t>სახეობა</w:t>
      </w:r>
      <w:r w:rsidRPr="009852B4">
        <w:rPr>
          <w:rFonts w:ascii="Sylfaen" w:hAnsi="Sylfaen" w:cs="Arial"/>
          <w:szCs w:val="24"/>
          <w:lang w:val="ka-GE"/>
        </w:rPr>
        <w:t xml:space="preserve"> </w:t>
      </w:r>
      <w:r w:rsidRPr="009852B4">
        <w:rPr>
          <w:rFonts w:ascii="Sylfaen" w:hAnsi="Sylfaen" w:cs="Sylfaen"/>
          <w:szCs w:val="24"/>
          <w:lang w:val="ka-GE"/>
        </w:rPr>
        <w:t>შეტანილია</w:t>
      </w:r>
      <w:r w:rsidRPr="009852B4">
        <w:rPr>
          <w:rFonts w:ascii="Sylfaen" w:hAnsi="Sylfaen" w:cs="Arial"/>
          <w:szCs w:val="24"/>
          <w:lang w:val="ka-GE"/>
        </w:rPr>
        <w:t xml:space="preserve"> </w:t>
      </w:r>
      <w:r w:rsidRPr="009852B4">
        <w:rPr>
          <w:rFonts w:ascii="Sylfaen" w:hAnsi="Sylfaen" w:cs="Sylfaen"/>
          <w:szCs w:val="24"/>
          <w:lang w:val="ka-GE"/>
        </w:rPr>
        <w:t>საქართველოს</w:t>
      </w:r>
      <w:r w:rsidRPr="009852B4">
        <w:rPr>
          <w:rFonts w:ascii="Sylfaen" w:hAnsi="Sylfaen" w:cs="Arial"/>
          <w:szCs w:val="24"/>
          <w:lang w:val="ka-GE"/>
        </w:rPr>
        <w:t xml:space="preserve"> </w:t>
      </w:r>
      <w:r w:rsidRPr="009852B4">
        <w:rPr>
          <w:rFonts w:ascii="Sylfaen" w:hAnsi="Sylfaen" w:cs="Sylfaen"/>
          <w:szCs w:val="24"/>
          <w:lang w:val="ka-GE"/>
        </w:rPr>
        <w:t>წითელ</w:t>
      </w:r>
      <w:r w:rsidRPr="009852B4">
        <w:rPr>
          <w:rFonts w:ascii="Sylfaen" w:hAnsi="Sylfaen" w:cs="Arial"/>
          <w:szCs w:val="24"/>
          <w:lang w:val="ka-GE"/>
        </w:rPr>
        <w:t xml:space="preserve"> </w:t>
      </w:r>
      <w:r w:rsidRPr="009852B4">
        <w:rPr>
          <w:rFonts w:ascii="Sylfaen" w:hAnsi="Sylfaen" w:cs="Sylfaen"/>
          <w:szCs w:val="24"/>
          <w:lang w:val="ka-GE"/>
        </w:rPr>
        <w:t>ნუსხაში</w:t>
      </w:r>
      <w:r w:rsidRPr="009852B4">
        <w:rPr>
          <w:rFonts w:ascii="Sylfaen" w:hAnsi="Sylfaen" w:cs="Arial"/>
          <w:szCs w:val="24"/>
          <w:lang w:val="ka-GE"/>
        </w:rPr>
        <w:t xml:space="preserve">, </w:t>
      </w:r>
      <w:r w:rsidRPr="009852B4">
        <w:rPr>
          <w:rFonts w:ascii="Sylfaen" w:hAnsi="Sylfaen" w:cs="Sylfaen"/>
          <w:szCs w:val="24"/>
          <w:lang w:val="ka-GE"/>
        </w:rPr>
        <w:t>როგორც</w:t>
      </w:r>
      <w:r w:rsidRPr="009852B4">
        <w:rPr>
          <w:rFonts w:ascii="Sylfaen" w:hAnsi="Sylfaen" w:cs="Arial"/>
          <w:szCs w:val="24"/>
          <w:lang w:val="ka-GE"/>
        </w:rPr>
        <w:t xml:space="preserve"> </w:t>
      </w:r>
      <w:r w:rsidRPr="009852B4">
        <w:rPr>
          <w:rFonts w:ascii="Sylfaen" w:hAnsi="Sylfaen" w:cs="Sylfaen"/>
          <w:szCs w:val="24"/>
          <w:lang w:val="ka-GE"/>
        </w:rPr>
        <w:t>მოწყვლადი</w:t>
      </w:r>
      <w:r w:rsidRPr="009852B4">
        <w:rPr>
          <w:rFonts w:ascii="Sylfaen" w:hAnsi="Sylfaen" w:cs="Arial"/>
          <w:szCs w:val="24"/>
          <w:lang w:val="ka-GE"/>
        </w:rPr>
        <w:t xml:space="preserve"> </w:t>
      </w:r>
      <w:r w:rsidRPr="009852B4">
        <w:rPr>
          <w:rFonts w:ascii="Sylfaen" w:hAnsi="Sylfaen" w:cs="Sylfaen"/>
          <w:szCs w:val="24"/>
          <w:lang w:val="ka-GE"/>
        </w:rPr>
        <w:t>სახეობა</w:t>
      </w:r>
      <w:r w:rsidRPr="009852B4">
        <w:rPr>
          <w:rFonts w:ascii="Sylfaen" w:hAnsi="Sylfaen"/>
          <w:szCs w:val="24"/>
          <w:lang w:val="ka-GE"/>
        </w:rPr>
        <w:t>.</w:t>
      </w:r>
    </w:p>
    <w:p w14:paraId="142FA0E3" w14:textId="77777777" w:rsidR="001254E0" w:rsidRDefault="001254E0" w:rsidP="008C0A3D">
      <w:pPr>
        <w:spacing w:before="120" w:after="120"/>
        <w:contextualSpacing/>
        <w:rPr>
          <w:rStyle w:val="shorttext"/>
          <w:rFonts w:ascii="Sylfaen" w:hAnsi="Sylfaen"/>
          <w:lang w:val="ka-GE"/>
        </w:rPr>
      </w:pPr>
      <w:r w:rsidRPr="009852B4">
        <w:rPr>
          <w:rStyle w:val="shorttext"/>
          <w:rFonts w:ascii="Sylfaen" w:hAnsi="Sylfaen" w:cs="Sylfaen"/>
          <w:lang w:val="ka-GE"/>
        </w:rPr>
        <w:t>ადგილზე</w:t>
      </w:r>
      <w:r w:rsidRPr="009852B4">
        <w:rPr>
          <w:rStyle w:val="shorttext"/>
          <w:rFonts w:ascii="Sylfaen" w:hAnsi="Sylfaen" w:cs="Arial"/>
          <w:lang w:val="ka-GE"/>
        </w:rPr>
        <w:t xml:space="preserve"> ხის რამდენიმე </w:t>
      </w:r>
      <w:r w:rsidRPr="009852B4">
        <w:rPr>
          <w:rStyle w:val="shorttext"/>
          <w:rFonts w:ascii="Sylfaen" w:hAnsi="Sylfaen" w:cs="Sylfaen"/>
          <w:lang w:val="ka-GE"/>
        </w:rPr>
        <w:t>ენდემური</w:t>
      </w:r>
      <w:r w:rsidRPr="009852B4">
        <w:rPr>
          <w:rStyle w:val="shorttext"/>
          <w:rFonts w:ascii="Sylfaen" w:hAnsi="Sylfaen" w:cs="Arial"/>
          <w:lang w:val="ka-GE"/>
        </w:rPr>
        <w:t xml:space="preserve"> </w:t>
      </w:r>
      <w:r w:rsidRPr="009852B4">
        <w:rPr>
          <w:rStyle w:val="shorttext"/>
          <w:rFonts w:ascii="Sylfaen" w:hAnsi="Sylfaen" w:cs="Sylfaen"/>
          <w:lang w:val="ka-GE"/>
        </w:rPr>
        <w:t>სახეობა</w:t>
      </w:r>
      <w:r w:rsidRPr="009852B4">
        <w:rPr>
          <w:rStyle w:val="shorttext"/>
          <w:rFonts w:ascii="Sylfaen" w:hAnsi="Sylfaen" w:cs="Arial"/>
          <w:lang w:val="ka-GE"/>
        </w:rPr>
        <w:t xml:space="preserve"> </w:t>
      </w:r>
      <w:r w:rsidRPr="009852B4">
        <w:rPr>
          <w:rStyle w:val="shorttext"/>
          <w:rFonts w:ascii="Sylfaen" w:hAnsi="Sylfaen" w:cs="Sylfaen"/>
          <w:lang w:val="ka-GE"/>
        </w:rPr>
        <w:t>არსებობს</w:t>
      </w:r>
      <w:r w:rsidRPr="009852B4">
        <w:rPr>
          <w:rStyle w:val="shorttext"/>
          <w:rFonts w:ascii="Sylfaen" w:hAnsi="Sylfaen"/>
          <w:lang w:val="ka-GE"/>
        </w:rPr>
        <w:t>.</w:t>
      </w:r>
    </w:p>
    <w:p w14:paraId="023BE309" w14:textId="77777777" w:rsidR="008C0A3D" w:rsidRPr="008C0A3D" w:rsidRDefault="008C0A3D" w:rsidP="008C0A3D">
      <w:pPr>
        <w:spacing w:before="120" w:after="120"/>
        <w:contextualSpacing/>
        <w:rPr>
          <w:rStyle w:val="shorttext"/>
          <w:rFonts w:ascii="Sylfaen" w:hAnsi="Sylfaen"/>
          <w:sz w:val="8"/>
          <w:lang w:val="ka-GE"/>
        </w:rPr>
      </w:pPr>
    </w:p>
    <w:p w14:paraId="4E817715" w14:textId="77777777" w:rsidR="000901CF" w:rsidRPr="000F54A3" w:rsidRDefault="000901CF" w:rsidP="008C0A3D">
      <w:pPr>
        <w:spacing w:before="120" w:after="120"/>
        <w:contextualSpacing/>
        <w:rPr>
          <w:rFonts w:ascii="Sylfaen" w:hAnsi="Sylfaen" w:cs="Arial"/>
          <w:szCs w:val="22"/>
          <w:lang w:val="ka-GE"/>
        </w:rPr>
      </w:pPr>
      <w:r w:rsidRPr="000F54A3">
        <w:rPr>
          <w:rFonts w:ascii="Sylfaen" w:hAnsi="Sylfaen" w:cs="Arial"/>
          <w:szCs w:val="22"/>
          <w:lang w:val="ka-GE"/>
        </w:rPr>
        <w:t>როგორც ზემოთ აღინიშნა, არეალი მოიცავს ქვემო კ</w:t>
      </w:r>
      <w:r w:rsidRPr="000F54A3">
        <w:rPr>
          <w:rFonts w:ascii="Sylfaen" w:hAnsi="Sylfaen"/>
          <w:szCs w:val="22"/>
          <w:lang w:val="ka-GE" w:eastAsia="en-US"/>
        </w:rPr>
        <w:t>ახეთის რეგიონს</w:t>
      </w:r>
      <w:r w:rsidRPr="000F54A3">
        <w:rPr>
          <w:rFonts w:ascii="Sylfaen" w:hAnsi="Sylfaen" w:cs="Arial"/>
          <w:szCs w:val="22"/>
          <w:lang w:val="ka-GE"/>
        </w:rPr>
        <w:t xml:space="preserve">, </w:t>
      </w:r>
      <w:r w:rsidRPr="000F54A3">
        <w:rPr>
          <w:rFonts w:ascii="Sylfaen" w:hAnsi="Sylfaen"/>
          <w:szCs w:val="22"/>
          <w:lang w:val="ka-GE" w:eastAsia="en-US"/>
        </w:rPr>
        <w:t xml:space="preserve">ალაზნის დაბლობის მარჯვენა ნაწილს. </w:t>
      </w:r>
      <w:r w:rsidRPr="000F54A3">
        <w:rPr>
          <w:rFonts w:ascii="Sylfaen" w:hAnsi="Sylfaen" w:cs="Arial"/>
          <w:szCs w:val="22"/>
          <w:lang w:val="ka-GE"/>
        </w:rPr>
        <w:t xml:space="preserve"> დერეფანი მთლიანად ვაკე რელიეფით არის წარმოდგენილი.</w:t>
      </w:r>
    </w:p>
    <w:p w14:paraId="57C23DEA" w14:textId="77777777" w:rsidR="000901CF" w:rsidRDefault="000901CF" w:rsidP="008C0A3D">
      <w:pPr>
        <w:spacing w:before="120" w:after="120"/>
        <w:contextualSpacing/>
        <w:rPr>
          <w:rFonts w:ascii="Sylfaen" w:hAnsi="Sylfaen" w:cs="Arial"/>
          <w:szCs w:val="22"/>
          <w:lang w:val="ka-GE"/>
        </w:rPr>
      </w:pPr>
      <w:r w:rsidRPr="000F54A3">
        <w:rPr>
          <w:rFonts w:ascii="Sylfaen" w:hAnsi="Sylfaen" w:cs="Arial"/>
          <w:szCs w:val="22"/>
          <w:lang w:val="ka-GE"/>
        </w:rPr>
        <w:t>საკვლევი არეალის კლიმატი ერთგვაროვანია და მიეკუთვნება ზომიერ</w:t>
      </w:r>
      <w:r w:rsidRPr="000F54A3">
        <w:rPr>
          <w:rFonts w:ascii="Sylfaen" w:hAnsi="Sylfaen"/>
          <w:szCs w:val="22"/>
          <w:lang w:val="ka-GE" w:eastAsia="en-US"/>
        </w:rPr>
        <w:t>ად ნოტიო ზომიერ კლიმატს</w:t>
      </w:r>
      <w:r w:rsidRPr="000F54A3">
        <w:rPr>
          <w:rFonts w:ascii="Sylfaen" w:hAnsi="Sylfaen" w:cs="Arial"/>
          <w:szCs w:val="22"/>
          <w:lang w:val="ka-GE"/>
        </w:rPr>
        <w:t>, ნალექების საშუალო რაოდენობა 650-800მმ ია.</w:t>
      </w:r>
    </w:p>
    <w:p w14:paraId="51CE3052" w14:textId="77777777" w:rsidR="008C0A3D" w:rsidRPr="008C0A3D" w:rsidRDefault="008C0A3D" w:rsidP="008C0A3D">
      <w:pPr>
        <w:spacing w:before="120" w:after="120"/>
        <w:contextualSpacing/>
        <w:rPr>
          <w:rFonts w:ascii="Sylfaen" w:hAnsi="Sylfaen" w:cs="Arial"/>
          <w:sz w:val="8"/>
          <w:szCs w:val="22"/>
          <w:lang w:val="ka-GE"/>
        </w:rPr>
      </w:pPr>
    </w:p>
    <w:p w14:paraId="6E208C5C" w14:textId="14A8E6A0" w:rsidR="000901CF" w:rsidRPr="008C0A3D" w:rsidRDefault="000901CF" w:rsidP="008C0A3D">
      <w:pPr>
        <w:autoSpaceDE w:val="0"/>
        <w:autoSpaceDN w:val="0"/>
        <w:adjustRightInd w:val="0"/>
        <w:spacing w:before="120" w:after="120"/>
        <w:rPr>
          <w:rFonts w:ascii="Sylfaen" w:hAnsi="Sylfaen" w:cs="Sylfaen"/>
          <w:i/>
          <w:szCs w:val="22"/>
          <w:lang w:val="ka-GE"/>
        </w:rPr>
      </w:pPr>
      <w:r w:rsidRPr="000F54A3">
        <w:rPr>
          <w:rFonts w:ascii="Sylfaen" w:hAnsi="Sylfaen" w:cs="Arial"/>
          <w:szCs w:val="22"/>
          <w:lang w:val="ka-GE"/>
        </w:rPr>
        <w:t xml:space="preserve">საკვლევი არეალის საწყისი/ნულოვანი წერტილის კოორდინატია X 537712 </w:t>
      </w:r>
      <w:r w:rsidR="0005189A">
        <w:rPr>
          <w:rFonts w:ascii="Sylfaen" w:hAnsi="Sylfaen" w:cs="Arial"/>
          <w:szCs w:val="22"/>
          <w:lang w:val="ka-GE"/>
        </w:rPr>
        <w:t>-</w:t>
      </w:r>
      <w:r w:rsidRPr="000F54A3">
        <w:rPr>
          <w:rFonts w:ascii="Sylfaen" w:hAnsi="Sylfaen" w:cs="Arial"/>
          <w:szCs w:val="22"/>
          <w:lang w:val="ka-GE"/>
        </w:rPr>
        <w:t>Y 4641716 სიმაღლე ზღვის დონიდან 692 მ, ეს ადგილი</w:t>
      </w:r>
      <w:r w:rsidRPr="000F54A3">
        <w:rPr>
          <w:rFonts w:ascii="Sylfaen" w:hAnsi="Sylfaen" w:cs="Arial"/>
          <w:szCs w:val="22"/>
          <w:lang w:val="pt-BR"/>
        </w:rPr>
        <w:t xml:space="preserve"> </w:t>
      </w:r>
      <w:r w:rsidRPr="000F54A3">
        <w:rPr>
          <w:rFonts w:ascii="Sylfaen" w:hAnsi="Sylfaen" w:cs="Arial"/>
          <w:szCs w:val="22"/>
          <w:lang w:val="ka-GE"/>
        </w:rPr>
        <w:t>წარმოადგენს ე.წ. ვარდისუბნის წრის იმ მონაკვეთს საიდანაც ქ. თელავისა და სოფელ გულგულის დამაკავშირებელი გზა იწყება</w:t>
      </w:r>
      <w:r w:rsidRPr="000F54A3">
        <w:rPr>
          <w:rFonts w:ascii="Sylfaen" w:hAnsi="Sylfaen" w:cs="Arial"/>
          <w:szCs w:val="22"/>
          <w:lang w:val="pt-BR"/>
        </w:rPr>
        <w:t>.</w:t>
      </w:r>
      <w:r w:rsidRPr="000F54A3">
        <w:rPr>
          <w:rFonts w:ascii="Sylfaen" w:hAnsi="Sylfaen" w:cs="Arial"/>
          <w:szCs w:val="22"/>
          <w:lang w:val="ka-GE"/>
        </w:rPr>
        <w:t xml:space="preserve"> დერეფნის ბოლოს წერტილი</w:t>
      </w:r>
      <w:r w:rsidRPr="000F54A3">
        <w:rPr>
          <w:rFonts w:ascii="Sylfaen" w:hAnsi="Sylfaen" w:cs="Sylfaen"/>
          <w:szCs w:val="22"/>
          <w:lang w:val="ka-GE"/>
        </w:rPr>
        <w:t>ა  სოფელ ჩუმლაყთან მდინარე ფაფრისევის კალაპოტის კიდეზე, რკინისზის ხიდზე, რომლის კოორდინ</w:t>
      </w:r>
      <w:r w:rsidRPr="000F54A3">
        <w:rPr>
          <w:rFonts w:ascii="Sylfaen" w:hAnsi="Sylfaen" w:cs="Arial"/>
          <w:szCs w:val="22"/>
          <w:lang w:val="ka-GE"/>
        </w:rPr>
        <w:t xml:space="preserve">ატებია: </w:t>
      </w:r>
      <w:r w:rsidRPr="000901CF">
        <w:rPr>
          <w:rFonts w:ascii="Sylfaen" w:hAnsi="Sylfaen" w:cs="Arial"/>
          <w:szCs w:val="22"/>
          <w:lang w:val="ka-GE"/>
        </w:rPr>
        <w:t>X 564625 Y 4624652</w:t>
      </w:r>
      <w:r w:rsidRPr="000F54A3">
        <w:rPr>
          <w:rFonts w:ascii="Sylfaen" w:hAnsi="Sylfaen" w:cs="Arial"/>
          <w:szCs w:val="22"/>
          <w:lang w:val="ka-GE"/>
        </w:rPr>
        <w:t xml:space="preserve"> 4641716 სიმაღლე ზღვის დონიდან 380 მ.</w:t>
      </w:r>
      <w:r w:rsidRPr="000901CF">
        <w:rPr>
          <w:rFonts w:ascii="Sylfaen" w:hAnsi="Sylfaen" w:cs="Arial"/>
          <w:szCs w:val="22"/>
          <w:lang w:val="ka-GE"/>
        </w:rPr>
        <w:t xml:space="preserve"> </w:t>
      </w:r>
      <w:r w:rsidRPr="000F54A3">
        <w:rPr>
          <w:rFonts w:ascii="Sylfaen" w:hAnsi="Sylfaen" w:cs="Arial"/>
          <w:szCs w:val="22"/>
          <w:lang w:val="ka-GE"/>
        </w:rPr>
        <w:t xml:space="preserve"> </w:t>
      </w:r>
      <w:r w:rsidRPr="000F54A3">
        <w:rPr>
          <w:rFonts w:ascii="Sylfaen" w:hAnsi="Sylfaen" w:cs="Sylfaen"/>
          <w:szCs w:val="22"/>
          <w:lang w:val="ka-GE"/>
        </w:rPr>
        <w:t>ამ ორ წერტილს შორის ფლორისტიკული შემადგენლობა ასეთია: წივანა</w:t>
      </w:r>
      <w:r w:rsidRPr="000F54A3">
        <w:rPr>
          <w:rFonts w:ascii="Sylfaen" w:hAnsi="Sylfaen" w:cs="LitNusx"/>
          <w:szCs w:val="22"/>
          <w:lang w:val="ka-GE"/>
        </w:rPr>
        <w:t xml:space="preserve"> </w:t>
      </w:r>
      <w:r w:rsidRPr="000F54A3">
        <w:rPr>
          <w:rFonts w:ascii="Sylfaen" w:hAnsi="Sylfaen" w:cs="LitNusx"/>
          <w:i/>
          <w:szCs w:val="22"/>
          <w:lang w:val="ka-GE"/>
        </w:rPr>
        <w:t>(Festuca valensiaca)</w:t>
      </w:r>
      <w:r w:rsidRPr="000F54A3">
        <w:rPr>
          <w:rFonts w:ascii="Sylfaen" w:hAnsi="Sylfaen" w:cs="LitNusx"/>
          <w:szCs w:val="22"/>
          <w:lang w:val="ka-GE"/>
        </w:rPr>
        <w:t xml:space="preserve">. </w:t>
      </w:r>
      <w:r w:rsidRPr="000F54A3">
        <w:rPr>
          <w:rFonts w:ascii="Sylfaen" w:hAnsi="Sylfaen" w:cs="Sylfaen"/>
          <w:szCs w:val="22"/>
          <w:lang w:val="ka-GE"/>
        </w:rPr>
        <w:t xml:space="preserve"> ურო</w:t>
      </w:r>
      <w:r w:rsidRPr="000F54A3">
        <w:rPr>
          <w:rFonts w:ascii="Sylfaen" w:hAnsi="Sylfaen" w:cs="LitNusx"/>
          <w:szCs w:val="22"/>
          <w:lang w:val="ka-GE"/>
        </w:rPr>
        <w:t xml:space="preserve"> </w:t>
      </w:r>
      <w:r w:rsidRPr="000F54A3">
        <w:rPr>
          <w:rFonts w:ascii="Sylfaen" w:hAnsi="Sylfaen" w:cs="LitNusx"/>
          <w:i/>
          <w:szCs w:val="22"/>
          <w:lang w:val="ka-GE"/>
        </w:rPr>
        <w:t xml:space="preserve">(Botriochloa icsheamum); </w:t>
      </w:r>
      <w:r w:rsidRPr="000F54A3">
        <w:rPr>
          <w:rFonts w:ascii="Sylfaen" w:hAnsi="Sylfaen" w:cs="Sylfaen"/>
          <w:szCs w:val="22"/>
          <w:lang w:val="ka-GE"/>
        </w:rPr>
        <w:t>ფარსმანდუკი</w:t>
      </w:r>
      <w:r w:rsidRPr="000F54A3">
        <w:rPr>
          <w:rFonts w:ascii="Sylfaen" w:hAnsi="Sylfaen" w:cs="LitNusx"/>
          <w:szCs w:val="22"/>
          <w:lang w:val="ka-GE"/>
        </w:rPr>
        <w:t xml:space="preserve"> </w:t>
      </w:r>
      <w:r w:rsidRPr="000F54A3">
        <w:rPr>
          <w:rFonts w:ascii="Sylfaen" w:hAnsi="Sylfaen" w:cs="LitNusx"/>
          <w:i/>
          <w:szCs w:val="22"/>
          <w:lang w:val="ka-GE"/>
        </w:rPr>
        <w:t>(Achilea millenofolium)</w:t>
      </w:r>
      <w:r w:rsidRPr="000F54A3">
        <w:rPr>
          <w:rFonts w:ascii="Sylfaen" w:hAnsi="Sylfaen" w:cs="LitNusx"/>
          <w:szCs w:val="22"/>
          <w:lang w:val="ka-GE"/>
        </w:rPr>
        <w:t>;</w:t>
      </w:r>
      <w:r w:rsidRPr="000F54A3">
        <w:rPr>
          <w:rFonts w:ascii="Sylfaen" w:hAnsi="Sylfaen" w:cs="LitNusx"/>
          <w:i/>
          <w:szCs w:val="22"/>
          <w:lang w:val="ka-GE"/>
        </w:rPr>
        <w:t xml:space="preserve"> </w:t>
      </w:r>
      <w:r w:rsidRPr="000F54A3">
        <w:rPr>
          <w:rFonts w:ascii="Sylfaen" w:hAnsi="Sylfaen" w:cs="Sylfaen"/>
          <w:szCs w:val="22"/>
          <w:lang w:val="ka-GE"/>
        </w:rPr>
        <w:t>ცახცახა</w:t>
      </w:r>
      <w:r w:rsidRPr="000F54A3">
        <w:rPr>
          <w:rFonts w:ascii="Sylfaen" w:hAnsi="Sylfaen" w:cs="LitNusx"/>
          <w:szCs w:val="22"/>
          <w:lang w:val="ka-GE"/>
        </w:rPr>
        <w:t xml:space="preserve"> </w:t>
      </w:r>
      <w:r w:rsidRPr="000F54A3">
        <w:rPr>
          <w:rFonts w:ascii="Sylfaen" w:hAnsi="Sylfaen" w:cs="LitNusx"/>
          <w:i/>
          <w:szCs w:val="22"/>
          <w:lang w:val="ka-GE"/>
        </w:rPr>
        <w:t>(B</w:t>
      </w:r>
      <w:r w:rsidRPr="000F54A3">
        <w:rPr>
          <w:rFonts w:ascii="Sylfaen" w:hAnsi="Sylfaen" w:cs="Sylfaen"/>
          <w:i/>
          <w:szCs w:val="22"/>
          <w:lang w:val="ka-GE"/>
        </w:rPr>
        <w:t>riza elatior</w:t>
      </w:r>
      <w:r w:rsidRPr="000F54A3">
        <w:rPr>
          <w:rFonts w:ascii="Sylfaen" w:hAnsi="Sylfaen" w:cs="LitNusx"/>
          <w:i/>
          <w:szCs w:val="22"/>
          <w:lang w:val="ka-GE"/>
        </w:rPr>
        <w:t>)</w:t>
      </w:r>
      <w:r w:rsidRPr="000F54A3">
        <w:rPr>
          <w:rFonts w:ascii="Sylfaen" w:hAnsi="Sylfaen" w:cs="LitNusx"/>
          <w:szCs w:val="22"/>
          <w:lang w:val="ka-GE"/>
        </w:rPr>
        <w:t xml:space="preserve">; </w:t>
      </w:r>
      <w:r w:rsidRPr="000F54A3">
        <w:rPr>
          <w:rFonts w:ascii="Sylfaen" w:hAnsi="Sylfaen" w:cs="Sylfaen"/>
          <w:szCs w:val="22"/>
          <w:lang w:val="ka-GE"/>
        </w:rPr>
        <w:t>ისლი</w:t>
      </w:r>
      <w:r w:rsidRPr="000F54A3">
        <w:rPr>
          <w:rFonts w:ascii="Sylfaen" w:hAnsi="Sylfaen" w:cs="LitNusx"/>
          <w:szCs w:val="22"/>
          <w:lang w:val="ka-GE"/>
        </w:rPr>
        <w:t xml:space="preserve"> </w:t>
      </w:r>
      <w:r w:rsidRPr="000F54A3">
        <w:rPr>
          <w:rFonts w:ascii="Sylfaen" w:hAnsi="Sylfaen" w:cs="LitNusx"/>
          <w:i/>
          <w:szCs w:val="22"/>
          <w:lang w:val="ka-GE"/>
        </w:rPr>
        <w:t>(Carex schkuhi)</w:t>
      </w:r>
      <w:r w:rsidRPr="000F54A3">
        <w:rPr>
          <w:rFonts w:ascii="Sylfaen" w:hAnsi="Sylfaen" w:cs="LitNusx"/>
          <w:szCs w:val="22"/>
          <w:lang w:val="ka-GE"/>
        </w:rPr>
        <w:t xml:space="preserve">; </w:t>
      </w:r>
      <w:r w:rsidRPr="000F54A3">
        <w:rPr>
          <w:rFonts w:ascii="Sylfaen" w:hAnsi="Sylfaen" w:cs="Sylfaen"/>
          <w:szCs w:val="22"/>
          <w:lang w:val="ka-GE"/>
        </w:rPr>
        <w:t>ჭახრაკაული</w:t>
      </w:r>
      <w:r w:rsidRPr="000F54A3">
        <w:rPr>
          <w:rFonts w:ascii="Sylfaen" w:hAnsi="Sylfaen" w:cs="LitNusx"/>
          <w:szCs w:val="22"/>
          <w:lang w:val="ka-GE"/>
        </w:rPr>
        <w:t xml:space="preserve"> </w:t>
      </w:r>
      <w:r w:rsidRPr="000F54A3">
        <w:rPr>
          <w:rFonts w:ascii="Sylfaen" w:hAnsi="Sylfaen" w:cs="LitNusx"/>
          <w:i/>
          <w:szCs w:val="22"/>
          <w:lang w:val="ka-GE"/>
        </w:rPr>
        <w:t>(Cerinthe minor)</w:t>
      </w:r>
      <w:r w:rsidRPr="000F54A3">
        <w:rPr>
          <w:rFonts w:ascii="Sylfaen" w:hAnsi="Sylfaen" w:cs="LitNusx"/>
          <w:szCs w:val="22"/>
          <w:lang w:val="ka-GE"/>
        </w:rPr>
        <w:t xml:space="preserve">; </w:t>
      </w:r>
      <w:r w:rsidRPr="000F54A3">
        <w:rPr>
          <w:rFonts w:ascii="Sylfaen" w:hAnsi="Sylfaen" w:cs="Sylfaen"/>
          <w:szCs w:val="22"/>
          <w:lang w:val="ka-GE"/>
        </w:rPr>
        <w:t>სათითურა</w:t>
      </w:r>
      <w:r w:rsidRPr="000F54A3">
        <w:rPr>
          <w:rFonts w:ascii="Sylfaen" w:hAnsi="Sylfaen" w:cs="LitNusx"/>
          <w:szCs w:val="22"/>
          <w:lang w:val="ka-GE"/>
        </w:rPr>
        <w:t xml:space="preserve"> </w:t>
      </w:r>
      <w:r w:rsidRPr="000F54A3">
        <w:rPr>
          <w:rFonts w:ascii="Sylfaen" w:hAnsi="Sylfaen" w:cs="LitNusx"/>
          <w:i/>
          <w:szCs w:val="22"/>
          <w:lang w:val="ka-GE"/>
        </w:rPr>
        <w:t>(Dachylis glomerata)</w:t>
      </w:r>
      <w:r w:rsidRPr="000F54A3">
        <w:rPr>
          <w:rFonts w:ascii="Sylfaen" w:hAnsi="Sylfaen" w:cs="LitNusx"/>
          <w:szCs w:val="22"/>
          <w:lang w:val="ka-GE"/>
        </w:rPr>
        <w:t xml:space="preserve">; </w:t>
      </w:r>
      <w:r w:rsidRPr="000F54A3">
        <w:rPr>
          <w:rFonts w:ascii="Sylfaen" w:hAnsi="Sylfaen" w:cs="Sylfaen"/>
          <w:szCs w:val="22"/>
          <w:lang w:val="ka-GE"/>
        </w:rPr>
        <w:t>გვირილა</w:t>
      </w:r>
      <w:r w:rsidRPr="000F54A3">
        <w:rPr>
          <w:rFonts w:ascii="Sylfaen" w:hAnsi="Sylfaen" w:cs="LitNusx"/>
          <w:szCs w:val="22"/>
          <w:lang w:val="ka-GE"/>
        </w:rPr>
        <w:t xml:space="preserve"> </w:t>
      </w:r>
      <w:r w:rsidRPr="000F54A3">
        <w:rPr>
          <w:rFonts w:ascii="Sylfaen" w:hAnsi="Sylfaen" w:cs="LitNusx"/>
          <w:i/>
          <w:szCs w:val="22"/>
          <w:lang w:val="ka-GE"/>
        </w:rPr>
        <w:t>(Dorincium herbaceum)</w:t>
      </w:r>
      <w:r w:rsidRPr="000F54A3">
        <w:rPr>
          <w:rFonts w:ascii="Sylfaen" w:hAnsi="Sylfaen" w:cs="LitNusx"/>
          <w:szCs w:val="22"/>
          <w:lang w:val="ka-GE"/>
        </w:rPr>
        <w:t xml:space="preserve">, </w:t>
      </w:r>
      <w:r w:rsidRPr="000F54A3">
        <w:rPr>
          <w:rFonts w:ascii="Sylfaen" w:hAnsi="Sylfaen" w:cs="Sylfaen"/>
          <w:szCs w:val="22"/>
          <w:lang w:val="ka-GE"/>
        </w:rPr>
        <w:t>ძირწითელა</w:t>
      </w:r>
      <w:r w:rsidRPr="000F54A3">
        <w:rPr>
          <w:rFonts w:ascii="Sylfaen" w:hAnsi="Sylfaen" w:cs="LitNusx"/>
          <w:szCs w:val="22"/>
          <w:lang w:val="ka-GE"/>
        </w:rPr>
        <w:t xml:space="preserve"> </w:t>
      </w:r>
      <w:r w:rsidRPr="000F54A3">
        <w:rPr>
          <w:rFonts w:ascii="Sylfaen" w:hAnsi="Sylfaen" w:cs="LitNusx"/>
          <w:i/>
          <w:szCs w:val="22"/>
          <w:lang w:val="ka-GE"/>
        </w:rPr>
        <w:t>(Echium rubrum)</w:t>
      </w:r>
      <w:r w:rsidRPr="000F54A3">
        <w:rPr>
          <w:rFonts w:ascii="Sylfaen" w:hAnsi="Sylfaen" w:cs="LitNusx"/>
          <w:szCs w:val="22"/>
          <w:lang w:val="ka-GE"/>
        </w:rPr>
        <w:t xml:space="preserve">, </w:t>
      </w:r>
      <w:r w:rsidRPr="000F54A3">
        <w:rPr>
          <w:rFonts w:ascii="Sylfaen" w:hAnsi="Sylfaen" w:cs="Sylfaen"/>
          <w:szCs w:val="22"/>
          <w:lang w:val="ka-GE"/>
        </w:rPr>
        <w:t>ნარი</w:t>
      </w:r>
      <w:r w:rsidRPr="000F54A3">
        <w:rPr>
          <w:rFonts w:ascii="Sylfaen" w:hAnsi="Sylfaen" w:cs="LitNusx"/>
          <w:szCs w:val="22"/>
          <w:lang w:val="ka-GE"/>
        </w:rPr>
        <w:t xml:space="preserve"> </w:t>
      </w:r>
      <w:r w:rsidRPr="000F54A3">
        <w:rPr>
          <w:rFonts w:ascii="Sylfaen" w:hAnsi="Sylfaen" w:cs="LitNusx"/>
          <w:i/>
          <w:szCs w:val="22"/>
          <w:lang w:val="ka-GE"/>
        </w:rPr>
        <w:t>(Erungium biberschteinanum)</w:t>
      </w:r>
      <w:r w:rsidRPr="000F54A3">
        <w:rPr>
          <w:rFonts w:ascii="Sylfaen" w:hAnsi="Sylfaen" w:cs="LitNusx"/>
          <w:szCs w:val="22"/>
          <w:lang w:val="ka-GE"/>
        </w:rPr>
        <w:t xml:space="preserve">, </w:t>
      </w:r>
      <w:r w:rsidRPr="000F54A3">
        <w:rPr>
          <w:rFonts w:ascii="Sylfaen" w:hAnsi="Sylfaen" w:cs="Sylfaen"/>
          <w:szCs w:val="22"/>
          <w:lang w:val="ka-GE"/>
        </w:rPr>
        <w:t>წივანა</w:t>
      </w:r>
      <w:r w:rsidRPr="000F54A3">
        <w:rPr>
          <w:rFonts w:ascii="Sylfaen" w:hAnsi="Sylfaen" w:cs="LitNusx"/>
          <w:szCs w:val="22"/>
          <w:lang w:val="ka-GE"/>
        </w:rPr>
        <w:t xml:space="preserve"> </w:t>
      </w:r>
      <w:r w:rsidRPr="000F54A3">
        <w:rPr>
          <w:rFonts w:ascii="Sylfaen" w:hAnsi="Sylfaen" w:cs="LitNusx"/>
          <w:i/>
          <w:szCs w:val="22"/>
          <w:lang w:val="ka-GE"/>
        </w:rPr>
        <w:t>(</w:t>
      </w:r>
      <w:r w:rsidRPr="000F54A3">
        <w:rPr>
          <w:rFonts w:ascii="Sylfaen" w:hAnsi="Sylfaen" w:cs="Sylfaen"/>
          <w:i/>
          <w:szCs w:val="22"/>
          <w:lang w:val="ka-GE"/>
        </w:rPr>
        <w:t>Festuca valensiaca</w:t>
      </w:r>
      <w:r w:rsidRPr="000F54A3">
        <w:rPr>
          <w:rFonts w:ascii="Sylfaen" w:hAnsi="Sylfaen" w:cs="LitNusx"/>
          <w:i/>
          <w:szCs w:val="22"/>
          <w:lang w:val="ka-GE"/>
        </w:rPr>
        <w:t>)</w:t>
      </w:r>
      <w:r w:rsidRPr="000F54A3">
        <w:rPr>
          <w:rFonts w:ascii="Sylfaen" w:hAnsi="Sylfaen" w:cs="LitNusx"/>
          <w:szCs w:val="22"/>
          <w:lang w:val="ka-GE"/>
        </w:rPr>
        <w:t xml:space="preserve">, </w:t>
      </w:r>
      <w:r w:rsidRPr="000F54A3">
        <w:rPr>
          <w:rFonts w:ascii="Sylfaen" w:hAnsi="Sylfaen" w:cs="Sylfaen"/>
          <w:szCs w:val="22"/>
          <w:lang w:val="ka-GE"/>
        </w:rPr>
        <w:t>ქაფუნა</w:t>
      </w:r>
      <w:r w:rsidRPr="000F54A3">
        <w:rPr>
          <w:rFonts w:ascii="Sylfaen" w:hAnsi="Sylfaen" w:cs="LitNusx"/>
          <w:szCs w:val="22"/>
          <w:lang w:val="ka-GE"/>
        </w:rPr>
        <w:t xml:space="preserve"> </w:t>
      </w:r>
      <w:r w:rsidRPr="000F54A3">
        <w:rPr>
          <w:rFonts w:ascii="Sylfaen" w:hAnsi="Sylfaen" w:cs="LitNusx"/>
          <w:i/>
          <w:szCs w:val="22"/>
          <w:lang w:val="ka-GE"/>
        </w:rPr>
        <w:t>(Filipendula vulgaris)</w:t>
      </w:r>
      <w:r w:rsidRPr="000F54A3">
        <w:rPr>
          <w:rFonts w:ascii="Sylfaen" w:hAnsi="Sylfaen" w:cs="LitNusx"/>
          <w:szCs w:val="22"/>
          <w:lang w:val="ka-GE"/>
        </w:rPr>
        <w:t xml:space="preserve">, მიწავაშლა </w:t>
      </w:r>
      <w:r w:rsidRPr="000F54A3">
        <w:rPr>
          <w:rFonts w:ascii="Sylfaen" w:hAnsi="Sylfaen" w:cs="LitNusx"/>
          <w:i/>
          <w:szCs w:val="22"/>
          <w:lang w:val="ka-GE"/>
        </w:rPr>
        <w:t>(</w:t>
      </w:r>
      <w:r w:rsidRPr="000F54A3">
        <w:rPr>
          <w:rFonts w:ascii="Sylfaen" w:hAnsi="Sylfaen" w:cs="Sylfaen"/>
          <w:i/>
          <w:szCs w:val="22"/>
          <w:lang w:val="ka-GE"/>
        </w:rPr>
        <w:t>Helianthemun nummelarium)</w:t>
      </w:r>
      <w:r w:rsidRPr="000F54A3">
        <w:rPr>
          <w:rFonts w:ascii="Sylfaen" w:hAnsi="Sylfaen" w:cs="LitNusx"/>
          <w:i/>
          <w:szCs w:val="22"/>
          <w:lang w:val="ka-GE"/>
        </w:rPr>
        <w:t xml:space="preserve">, </w:t>
      </w:r>
      <w:r w:rsidRPr="000F54A3">
        <w:rPr>
          <w:rFonts w:ascii="Sylfaen" w:hAnsi="Sylfaen" w:cs="Sylfaen"/>
          <w:szCs w:val="22"/>
          <w:lang w:val="ka-GE"/>
        </w:rPr>
        <w:t>კრაზანა</w:t>
      </w:r>
      <w:r w:rsidRPr="000F54A3">
        <w:rPr>
          <w:rFonts w:ascii="Sylfaen" w:hAnsi="Sylfaen" w:cs="LitNusx"/>
          <w:szCs w:val="22"/>
          <w:lang w:val="ka-GE"/>
        </w:rPr>
        <w:t xml:space="preserve"> </w:t>
      </w:r>
      <w:r w:rsidRPr="000F54A3">
        <w:rPr>
          <w:rFonts w:ascii="Sylfaen" w:hAnsi="Sylfaen" w:cs="LitNusx"/>
          <w:i/>
          <w:szCs w:val="22"/>
          <w:lang w:val="ka-GE"/>
        </w:rPr>
        <w:t>(Hupericum perfolatum)</w:t>
      </w:r>
      <w:r w:rsidRPr="000F54A3">
        <w:rPr>
          <w:rFonts w:ascii="Sylfaen" w:hAnsi="Sylfaen" w:cs="LitNusx"/>
          <w:szCs w:val="22"/>
          <w:lang w:val="ka-GE"/>
        </w:rPr>
        <w:t xml:space="preserve">, </w:t>
      </w:r>
      <w:r w:rsidRPr="000F54A3">
        <w:rPr>
          <w:rFonts w:ascii="Sylfaen" w:hAnsi="Sylfaen" w:cs="Sylfaen"/>
          <w:szCs w:val="22"/>
          <w:lang w:val="ka-GE"/>
        </w:rPr>
        <w:t>მზიურა</w:t>
      </w:r>
      <w:r w:rsidRPr="000F54A3">
        <w:rPr>
          <w:rFonts w:ascii="Sylfaen" w:hAnsi="Sylfaen" w:cs="LitNusx"/>
          <w:szCs w:val="22"/>
          <w:lang w:val="ka-GE"/>
        </w:rPr>
        <w:t xml:space="preserve"> </w:t>
      </w:r>
      <w:r w:rsidRPr="000F54A3">
        <w:rPr>
          <w:rFonts w:ascii="Sylfaen" w:hAnsi="Sylfaen" w:cs="LitNusx"/>
          <w:i/>
          <w:szCs w:val="22"/>
          <w:lang w:val="ka-GE"/>
        </w:rPr>
        <w:t>(Inula aspera),</w:t>
      </w:r>
      <w:r w:rsidRPr="000F54A3">
        <w:rPr>
          <w:rFonts w:ascii="Sylfaen" w:hAnsi="Sylfaen" w:cs="LitNusx"/>
          <w:szCs w:val="22"/>
          <w:lang w:val="ka-GE"/>
        </w:rPr>
        <w:t xml:space="preserve"> </w:t>
      </w:r>
      <w:r w:rsidRPr="000F54A3">
        <w:rPr>
          <w:rFonts w:ascii="Sylfaen" w:hAnsi="Sylfaen" w:cs="Sylfaen"/>
          <w:szCs w:val="22"/>
          <w:lang w:val="ka-GE"/>
        </w:rPr>
        <w:t>სელი</w:t>
      </w:r>
      <w:r w:rsidRPr="000F54A3">
        <w:rPr>
          <w:rFonts w:ascii="Sylfaen" w:hAnsi="Sylfaen" w:cs="LitNusx"/>
          <w:szCs w:val="22"/>
          <w:lang w:val="ka-GE"/>
        </w:rPr>
        <w:t xml:space="preserve"> </w:t>
      </w:r>
      <w:r w:rsidRPr="000F54A3">
        <w:rPr>
          <w:rFonts w:ascii="Sylfaen" w:hAnsi="Sylfaen" w:cs="LitNusx"/>
          <w:i/>
          <w:szCs w:val="22"/>
          <w:lang w:val="ka-GE"/>
        </w:rPr>
        <w:t>(Linum tenuifolium),</w:t>
      </w:r>
      <w:r w:rsidRPr="000F54A3">
        <w:rPr>
          <w:rFonts w:ascii="Sylfaen" w:hAnsi="Sylfaen" w:cs="LitNusx"/>
          <w:szCs w:val="22"/>
          <w:lang w:val="ka-GE"/>
        </w:rPr>
        <w:t xml:space="preserve"> </w:t>
      </w:r>
      <w:r w:rsidRPr="000F54A3">
        <w:rPr>
          <w:rFonts w:ascii="Sylfaen" w:hAnsi="Sylfaen" w:cs="Sylfaen"/>
          <w:szCs w:val="22"/>
          <w:lang w:val="ka-GE"/>
        </w:rPr>
        <w:t>ესპარცეტი</w:t>
      </w:r>
      <w:r w:rsidRPr="000F54A3">
        <w:rPr>
          <w:rFonts w:ascii="Sylfaen" w:hAnsi="Sylfaen" w:cs="LitNusx"/>
          <w:szCs w:val="22"/>
          <w:lang w:val="ka-GE"/>
        </w:rPr>
        <w:t xml:space="preserve"> </w:t>
      </w:r>
      <w:r w:rsidRPr="000F54A3">
        <w:rPr>
          <w:rFonts w:ascii="Sylfaen" w:hAnsi="Sylfaen" w:cs="LitNusx"/>
          <w:i/>
          <w:szCs w:val="22"/>
          <w:lang w:val="ka-GE"/>
        </w:rPr>
        <w:t>(Onobrynchis cyrii),</w:t>
      </w:r>
      <w:r w:rsidRPr="000F54A3">
        <w:rPr>
          <w:rFonts w:ascii="Sylfaen" w:hAnsi="Sylfaen" w:cs="LitNusx"/>
          <w:szCs w:val="22"/>
          <w:lang w:val="ka-GE"/>
        </w:rPr>
        <w:t xml:space="preserve"> </w:t>
      </w:r>
      <w:r w:rsidRPr="000F54A3">
        <w:rPr>
          <w:rFonts w:ascii="Sylfaen" w:hAnsi="Sylfaen" w:cs="Sylfaen"/>
          <w:szCs w:val="22"/>
          <w:lang w:val="ka-GE"/>
        </w:rPr>
        <w:t>ლოტუსი</w:t>
      </w:r>
      <w:r w:rsidRPr="000F54A3">
        <w:rPr>
          <w:rFonts w:ascii="Sylfaen" w:hAnsi="Sylfaen" w:cs="LitNusx"/>
          <w:szCs w:val="22"/>
          <w:lang w:val="ka-GE"/>
        </w:rPr>
        <w:t xml:space="preserve"> </w:t>
      </w:r>
      <w:r w:rsidRPr="000F54A3">
        <w:rPr>
          <w:rFonts w:ascii="Sylfaen" w:hAnsi="Sylfaen" w:cs="LitNusx"/>
          <w:i/>
          <w:szCs w:val="22"/>
          <w:lang w:val="ka-GE"/>
        </w:rPr>
        <w:t>(Lotus caucasicus),</w:t>
      </w:r>
      <w:r w:rsidRPr="000F54A3">
        <w:rPr>
          <w:rFonts w:ascii="Sylfaen" w:hAnsi="Sylfaen" w:cs="LitNusx"/>
          <w:szCs w:val="22"/>
          <w:lang w:val="ka-GE"/>
        </w:rPr>
        <w:t xml:space="preserve"> Jurinea blanda, </w:t>
      </w:r>
      <w:r w:rsidRPr="000F54A3">
        <w:rPr>
          <w:rFonts w:ascii="Sylfaen" w:hAnsi="Sylfaen" w:cs="Sylfaen"/>
          <w:szCs w:val="22"/>
          <w:lang w:val="ka-GE"/>
        </w:rPr>
        <w:t>მრავალძარღვა</w:t>
      </w:r>
      <w:r w:rsidRPr="000F54A3">
        <w:rPr>
          <w:rFonts w:ascii="Sylfaen" w:hAnsi="Sylfaen" w:cs="LitNusx"/>
          <w:szCs w:val="22"/>
          <w:lang w:val="ka-GE"/>
        </w:rPr>
        <w:t xml:space="preserve"> </w:t>
      </w:r>
      <w:r w:rsidRPr="000F54A3">
        <w:rPr>
          <w:rFonts w:ascii="Sylfaen" w:hAnsi="Sylfaen" w:cs="LitNusx"/>
          <w:i/>
          <w:szCs w:val="22"/>
          <w:lang w:val="ka-GE"/>
        </w:rPr>
        <w:t>(Plantago lanceolata),</w:t>
      </w:r>
      <w:r w:rsidRPr="000F54A3">
        <w:rPr>
          <w:rFonts w:ascii="Sylfaen" w:hAnsi="Sylfaen" w:cs="LitNusx"/>
          <w:szCs w:val="22"/>
          <w:lang w:val="ka-GE"/>
        </w:rPr>
        <w:t xml:space="preserve"> </w:t>
      </w:r>
      <w:r w:rsidRPr="000F54A3">
        <w:rPr>
          <w:rFonts w:ascii="Sylfaen" w:hAnsi="Sylfaen" w:cs="Sylfaen"/>
          <w:szCs w:val="22"/>
          <w:lang w:val="ka-GE"/>
        </w:rPr>
        <w:t>წიწინაური</w:t>
      </w:r>
      <w:r w:rsidRPr="000F54A3">
        <w:rPr>
          <w:rFonts w:ascii="Sylfaen" w:hAnsi="Sylfaen" w:cs="LitNusx"/>
          <w:szCs w:val="22"/>
          <w:lang w:val="ka-GE"/>
        </w:rPr>
        <w:t xml:space="preserve"> </w:t>
      </w:r>
      <w:r w:rsidRPr="000F54A3">
        <w:rPr>
          <w:rFonts w:ascii="Sylfaen" w:hAnsi="Sylfaen" w:cs="LitNusx"/>
          <w:i/>
          <w:szCs w:val="22"/>
          <w:lang w:val="ka-GE"/>
        </w:rPr>
        <w:t>(P</w:t>
      </w:r>
      <w:r w:rsidRPr="000F54A3">
        <w:rPr>
          <w:rFonts w:ascii="Sylfaen" w:hAnsi="Sylfaen" w:cs="Sylfaen"/>
          <w:i/>
          <w:szCs w:val="22"/>
          <w:lang w:val="ka-GE"/>
        </w:rPr>
        <w:t>ytogala</w:t>
      </w:r>
      <w:r w:rsidRPr="000F54A3">
        <w:rPr>
          <w:rFonts w:ascii="Sylfaen" w:hAnsi="Sylfaen" w:cs="LitNusx"/>
          <w:i/>
          <w:szCs w:val="22"/>
          <w:lang w:val="ka-GE"/>
        </w:rPr>
        <w:t xml:space="preserve"> </w:t>
      </w:r>
      <w:r w:rsidRPr="000F54A3">
        <w:rPr>
          <w:rFonts w:ascii="Sylfaen" w:hAnsi="Sylfaen" w:cs="Sylfaen"/>
          <w:i/>
          <w:szCs w:val="22"/>
          <w:lang w:val="ka-GE"/>
        </w:rPr>
        <w:t>trancaucasica</w:t>
      </w:r>
      <w:r w:rsidRPr="000F54A3">
        <w:rPr>
          <w:rFonts w:ascii="Sylfaen" w:hAnsi="Sylfaen" w:cs="LitNusx"/>
          <w:i/>
          <w:szCs w:val="22"/>
          <w:lang w:val="ka-GE"/>
        </w:rPr>
        <w:t>),</w:t>
      </w:r>
      <w:r w:rsidRPr="000F54A3">
        <w:rPr>
          <w:rFonts w:ascii="Sylfaen" w:hAnsi="Sylfaen" w:cs="LitNusx"/>
          <w:szCs w:val="22"/>
          <w:lang w:val="ka-GE"/>
        </w:rPr>
        <w:t xml:space="preserve"> </w:t>
      </w:r>
      <w:r w:rsidRPr="000F54A3">
        <w:rPr>
          <w:rFonts w:ascii="Sylfaen" w:hAnsi="Sylfaen" w:cs="Sylfaen"/>
          <w:szCs w:val="22"/>
          <w:lang w:val="ka-GE"/>
        </w:rPr>
        <w:t>მარწყვა</w:t>
      </w:r>
      <w:r w:rsidRPr="000F54A3">
        <w:rPr>
          <w:rFonts w:ascii="Sylfaen" w:hAnsi="Sylfaen" w:cs="LitNusx"/>
          <w:szCs w:val="22"/>
          <w:lang w:val="ka-GE"/>
        </w:rPr>
        <w:t xml:space="preserve"> </w:t>
      </w:r>
      <w:r w:rsidRPr="000F54A3">
        <w:rPr>
          <w:rFonts w:ascii="Sylfaen" w:hAnsi="Sylfaen" w:cs="Sylfaen"/>
          <w:szCs w:val="22"/>
          <w:lang w:val="ka-GE"/>
        </w:rPr>
        <w:t>ბალახი</w:t>
      </w:r>
      <w:r w:rsidRPr="000F54A3">
        <w:rPr>
          <w:rFonts w:ascii="Sylfaen" w:hAnsi="Sylfaen" w:cs="LitNusx"/>
          <w:szCs w:val="22"/>
          <w:lang w:val="ka-GE"/>
        </w:rPr>
        <w:t xml:space="preserve"> </w:t>
      </w:r>
      <w:r w:rsidRPr="000F54A3">
        <w:rPr>
          <w:rFonts w:ascii="Sylfaen" w:hAnsi="Sylfaen" w:cs="LitNusx"/>
          <w:i/>
          <w:szCs w:val="22"/>
          <w:lang w:val="ka-GE"/>
        </w:rPr>
        <w:t>(Potentilla recta)</w:t>
      </w:r>
      <w:r w:rsidRPr="000F54A3">
        <w:rPr>
          <w:rFonts w:ascii="Sylfaen" w:hAnsi="Sylfaen" w:cs="LitNusx"/>
          <w:szCs w:val="22"/>
          <w:lang w:val="ka-GE"/>
        </w:rPr>
        <w:t xml:space="preserve">, </w:t>
      </w:r>
      <w:r w:rsidRPr="000F54A3">
        <w:rPr>
          <w:rFonts w:ascii="Sylfaen" w:hAnsi="Sylfaen" w:cs="Sylfaen"/>
          <w:szCs w:val="22"/>
          <w:lang w:val="ka-GE"/>
        </w:rPr>
        <w:t>ურაშა</w:t>
      </w:r>
      <w:r w:rsidRPr="000F54A3">
        <w:rPr>
          <w:rFonts w:ascii="Sylfaen" w:hAnsi="Sylfaen" w:cs="LitNusx"/>
          <w:szCs w:val="22"/>
          <w:lang w:val="ka-GE"/>
        </w:rPr>
        <w:t xml:space="preserve"> </w:t>
      </w:r>
      <w:r w:rsidRPr="000F54A3">
        <w:rPr>
          <w:rFonts w:ascii="Sylfaen" w:hAnsi="Sylfaen" w:cs="LitNusx"/>
          <w:i/>
          <w:szCs w:val="22"/>
          <w:lang w:val="ka-GE"/>
        </w:rPr>
        <w:t>(Poterium polygonatum)</w:t>
      </w:r>
      <w:r w:rsidRPr="000F54A3">
        <w:rPr>
          <w:rFonts w:ascii="Sylfaen" w:hAnsi="Sylfaen" w:cs="LitNusx"/>
          <w:szCs w:val="22"/>
          <w:lang w:val="ka-GE"/>
        </w:rPr>
        <w:t xml:space="preserve">, </w:t>
      </w:r>
      <w:r w:rsidRPr="000F54A3">
        <w:rPr>
          <w:rFonts w:ascii="Sylfaen" w:hAnsi="Sylfaen" w:cs="Sylfaen"/>
          <w:szCs w:val="22"/>
          <w:lang w:val="ka-GE"/>
        </w:rPr>
        <w:t>ფამფარულა</w:t>
      </w:r>
      <w:r w:rsidRPr="000F54A3">
        <w:rPr>
          <w:rFonts w:ascii="Sylfaen" w:hAnsi="Sylfaen" w:cs="LitNusx"/>
          <w:szCs w:val="22"/>
          <w:lang w:val="ka-GE"/>
        </w:rPr>
        <w:t xml:space="preserve"> </w:t>
      </w:r>
      <w:r w:rsidRPr="000F54A3">
        <w:rPr>
          <w:rFonts w:ascii="Sylfaen" w:hAnsi="Sylfaen" w:cs="LitNusx"/>
          <w:i/>
          <w:szCs w:val="22"/>
          <w:lang w:val="ka-GE"/>
        </w:rPr>
        <w:t>(Schorzonera biebersteinii),</w:t>
      </w:r>
      <w:r w:rsidRPr="000F54A3">
        <w:rPr>
          <w:rFonts w:ascii="Sylfaen" w:hAnsi="Sylfaen" w:cs="LitNusx"/>
          <w:szCs w:val="22"/>
          <w:lang w:val="ka-GE"/>
        </w:rPr>
        <w:t xml:space="preserve"> </w:t>
      </w:r>
      <w:r w:rsidRPr="000F54A3">
        <w:rPr>
          <w:rFonts w:ascii="Sylfaen" w:hAnsi="Sylfaen" w:cs="Sylfaen"/>
          <w:szCs w:val="22"/>
          <w:lang w:val="ka-GE"/>
        </w:rPr>
        <w:t>სალბი</w:t>
      </w:r>
      <w:r w:rsidRPr="000F54A3">
        <w:rPr>
          <w:rFonts w:ascii="Sylfaen" w:hAnsi="Sylfaen" w:cs="LitNusx"/>
          <w:szCs w:val="22"/>
          <w:lang w:val="ka-GE"/>
        </w:rPr>
        <w:t xml:space="preserve"> </w:t>
      </w:r>
      <w:r w:rsidRPr="000F54A3">
        <w:rPr>
          <w:rFonts w:ascii="Sylfaen" w:hAnsi="Sylfaen" w:cs="LitNusx"/>
          <w:i/>
          <w:szCs w:val="22"/>
          <w:lang w:val="ka-GE"/>
        </w:rPr>
        <w:t>(Salvia nemorosa),</w:t>
      </w:r>
      <w:r w:rsidRPr="000F54A3">
        <w:rPr>
          <w:rFonts w:ascii="Sylfaen" w:hAnsi="Sylfaen" w:cs="LitNusx"/>
          <w:szCs w:val="22"/>
          <w:lang w:val="ka-GE"/>
        </w:rPr>
        <w:t xml:space="preserve"> </w:t>
      </w:r>
      <w:r w:rsidRPr="000F54A3">
        <w:rPr>
          <w:rFonts w:ascii="Sylfaen" w:hAnsi="Sylfaen" w:cs="Sylfaen"/>
          <w:szCs w:val="22"/>
          <w:lang w:val="ka-GE"/>
        </w:rPr>
        <w:t>ფოლოო</w:t>
      </w:r>
      <w:r w:rsidRPr="000F54A3">
        <w:rPr>
          <w:rFonts w:ascii="Sylfaen" w:hAnsi="Sylfaen" w:cs="LitNusx"/>
          <w:szCs w:val="22"/>
          <w:lang w:val="ka-GE"/>
        </w:rPr>
        <w:t xml:space="preserve"> </w:t>
      </w:r>
      <w:r w:rsidRPr="000F54A3">
        <w:rPr>
          <w:rFonts w:ascii="Sylfaen" w:hAnsi="Sylfaen" w:cs="LitNusx"/>
          <w:i/>
          <w:szCs w:val="22"/>
          <w:lang w:val="ka-GE"/>
        </w:rPr>
        <w:t>(Scabiosa georgica)</w:t>
      </w:r>
      <w:r w:rsidRPr="000F54A3">
        <w:rPr>
          <w:rFonts w:ascii="Sylfaen" w:hAnsi="Sylfaen" w:cs="LitNusx"/>
          <w:szCs w:val="22"/>
          <w:lang w:val="ka-GE"/>
        </w:rPr>
        <w:t xml:space="preserve">, </w:t>
      </w:r>
      <w:r w:rsidRPr="000F54A3">
        <w:rPr>
          <w:rFonts w:ascii="Sylfaen" w:hAnsi="Sylfaen" w:cs="Sylfaen"/>
          <w:szCs w:val="22"/>
          <w:lang w:val="ka-GE"/>
        </w:rPr>
        <w:t>დედაფუტკარა</w:t>
      </w:r>
      <w:r w:rsidRPr="000F54A3">
        <w:rPr>
          <w:rFonts w:ascii="Sylfaen" w:hAnsi="Sylfaen" w:cs="LitNusx"/>
          <w:szCs w:val="22"/>
          <w:lang w:val="ka-GE"/>
        </w:rPr>
        <w:t xml:space="preserve"> </w:t>
      </w:r>
      <w:r w:rsidRPr="000F54A3">
        <w:rPr>
          <w:rFonts w:ascii="Sylfaen" w:hAnsi="Sylfaen" w:cs="LitNusx"/>
          <w:i/>
          <w:szCs w:val="22"/>
          <w:lang w:val="ka-GE"/>
        </w:rPr>
        <w:t>(Stachys atherocachyx),</w:t>
      </w:r>
      <w:r w:rsidRPr="000F54A3">
        <w:rPr>
          <w:rFonts w:ascii="Sylfaen" w:hAnsi="Sylfaen" w:cs="LitNusx"/>
          <w:szCs w:val="22"/>
          <w:lang w:val="ka-GE"/>
        </w:rPr>
        <w:t xml:space="preserve"> </w:t>
      </w:r>
      <w:r w:rsidRPr="000F54A3">
        <w:rPr>
          <w:rFonts w:ascii="Sylfaen" w:hAnsi="Sylfaen" w:cs="Sylfaen"/>
          <w:szCs w:val="22"/>
          <w:lang w:val="ka-GE"/>
        </w:rPr>
        <w:t>კუტი</w:t>
      </w:r>
      <w:r w:rsidRPr="000F54A3">
        <w:rPr>
          <w:rFonts w:ascii="Sylfaen" w:hAnsi="Sylfaen" w:cs="LitNusx"/>
          <w:szCs w:val="22"/>
          <w:lang w:val="ka-GE"/>
        </w:rPr>
        <w:t xml:space="preserve"> </w:t>
      </w:r>
      <w:r w:rsidRPr="000F54A3">
        <w:rPr>
          <w:rFonts w:ascii="Sylfaen" w:hAnsi="Sylfaen" w:cs="Sylfaen"/>
          <w:szCs w:val="22"/>
          <w:lang w:val="ka-GE"/>
        </w:rPr>
        <w:t>ბალახი</w:t>
      </w:r>
      <w:r w:rsidRPr="000F54A3">
        <w:rPr>
          <w:rFonts w:ascii="Sylfaen" w:hAnsi="Sylfaen" w:cs="LitNusx"/>
          <w:szCs w:val="22"/>
          <w:lang w:val="ka-GE"/>
        </w:rPr>
        <w:t xml:space="preserve"> </w:t>
      </w:r>
      <w:r w:rsidRPr="000F54A3">
        <w:rPr>
          <w:rFonts w:ascii="Sylfaen" w:hAnsi="Sylfaen" w:cs="LitNusx"/>
          <w:i/>
          <w:szCs w:val="22"/>
          <w:lang w:val="ka-GE"/>
        </w:rPr>
        <w:t>(Teucrium nuthense, T. Polium),</w:t>
      </w:r>
      <w:r w:rsidRPr="000F54A3">
        <w:rPr>
          <w:rFonts w:ascii="Sylfaen" w:hAnsi="Sylfaen" w:cs="LitNusx"/>
          <w:szCs w:val="22"/>
          <w:lang w:val="ka-GE"/>
        </w:rPr>
        <w:t xml:space="preserve"> </w:t>
      </w:r>
      <w:r w:rsidRPr="000F54A3">
        <w:rPr>
          <w:rFonts w:ascii="Sylfaen" w:hAnsi="Sylfaen" w:cs="Sylfaen"/>
          <w:szCs w:val="22"/>
          <w:lang w:val="ka-GE"/>
        </w:rPr>
        <w:t>ბექთქონდარა</w:t>
      </w:r>
      <w:r w:rsidRPr="000F54A3">
        <w:rPr>
          <w:rFonts w:ascii="Sylfaen" w:hAnsi="Sylfaen" w:cs="LitNusx"/>
          <w:szCs w:val="22"/>
          <w:lang w:val="ka-GE"/>
        </w:rPr>
        <w:t xml:space="preserve"> </w:t>
      </w:r>
      <w:r w:rsidRPr="000F54A3">
        <w:rPr>
          <w:rFonts w:ascii="Sylfaen" w:hAnsi="Sylfaen" w:cs="LitNusx"/>
          <w:i/>
          <w:szCs w:val="22"/>
          <w:lang w:val="ka-GE"/>
        </w:rPr>
        <w:t>(Thymus tiflisciens)</w:t>
      </w:r>
      <w:r w:rsidRPr="000F54A3">
        <w:rPr>
          <w:rFonts w:ascii="Sylfaen" w:hAnsi="Sylfaen" w:cs="LitNusx"/>
          <w:szCs w:val="22"/>
          <w:lang w:val="ka-GE"/>
        </w:rPr>
        <w:t xml:space="preserve"> </w:t>
      </w:r>
      <w:r w:rsidRPr="000F54A3">
        <w:rPr>
          <w:rFonts w:ascii="Sylfaen" w:hAnsi="Sylfaen" w:cs="Sylfaen"/>
          <w:szCs w:val="22"/>
          <w:lang w:val="ka-GE"/>
        </w:rPr>
        <w:t>გარდა</w:t>
      </w:r>
      <w:r w:rsidRPr="000F54A3">
        <w:rPr>
          <w:rFonts w:ascii="Sylfaen" w:hAnsi="Sylfaen" w:cs="LitNusx"/>
          <w:szCs w:val="22"/>
          <w:lang w:val="ka-GE"/>
        </w:rPr>
        <w:t xml:space="preserve"> </w:t>
      </w:r>
      <w:r w:rsidRPr="000F54A3">
        <w:rPr>
          <w:rFonts w:ascii="Sylfaen" w:hAnsi="Sylfaen" w:cs="Sylfaen"/>
          <w:szCs w:val="22"/>
          <w:lang w:val="ka-GE"/>
        </w:rPr>
        <w:t>ამ</w:t>
      </w:r>
      <w:r w:rsidRPr="000F54A3">
        <w:rPr>
          <w:rFonts w:ascii="Sylfaen" w:hAnsi="Sylfaen" w:cs="LitNusx"/>
          <w:szCs w:val="22"/>
          <w:lang w:val="ka-GE"/>
        </w:rPr>
        <w:t xml:space="preserve"> </w:t>
      </w:r>
      <w:r w:rsidRPr="000F54A3">
        <w:rPr>
          <w:rFonts w:ascii="Sylfaen" w:hAnsi="Sylfaen" w:cs="Sylfaen"/>
          <w:szCs w:val="22"/>
          <w:lang w:val="ka-GE"/>
        </w:rPr>
        <w:t>მცენარეებისა</w:t>
      </w:r>
      <w:r w:rsidRPr="000F54A3">
        <w:rPr>
          <w:rFonts w:ascii="Sylfaen" w:hAnsi="Sylfaen" w:cs="LitNusx"/>
          <w:szCs w:val="22"/>
          <w:lang w:val="ka-GE"/>
        </w:rPr>
        <w:t xml:space="preserve"> </w:t>
      </w:r>
      <w:r w:rsidRPr="000F54A3">
        <w:rPr>
          <w:rFonts w:ascii="Sylfaen" w:hAnsi="Sylfaen" w:cs="Sylfaen"/>
          <w:szCs w:val="22"/>
          <w:lang w:val="ka-GE"/>
        </w:rPr>
        <w:t>აღინიშნა</w:t>
      </w:r>
      <w:r w:rsidRPr="000F54A3">
        <w:rPr>
          <w:rFonts w:ascii="Sylfaen" w:hAnsi="Sylfaen" w:cs="LitNusx"/>
          <w:szCs w:val="22"/>
          <w:lang w:val="ka-GE"/>
        </w:rPr>
        <w:t xml:space="preserve"> </w:t>
      </w:r>
      <w:r w:rsidRPr="000F54A3">
        <w:rPr>
          <w:rFonts w:ascii="Sylfaen" w:hAnsi="Sylfaen" w:cs="Sylfaen"/>
          <w:szCs w:val="22"/>
          <w:lang w:val="ka-GE"/>
        </w:rPr>
        <w:t>აგრეთვე</w:t>
      </w:r>
      <w:r w:rsidRPr="000F54A3">
        <w:rPr>
          <w:rFonts w:ascii="Sylfaen" w:hAnsi="Sylfaen" w:cs="LitNusx"/>
          <w:szCs w:val="22"/>
          <w:lang w:val="ka-GE"/>
        </w:rPr>
        <w:t xml:space="preserve"> </w:t>
      </w:r>
      <w:r w:rsidRPr="000F54A3">
        <w:rPr>
          <w:rFonts w:ascii="Sylfaen" w:hAnsi="Sylfaen" w:cs="Sylfaen"/>
          <w:szCs w:val="22"/>
          <w:lang w:val="ka-GE"/>
        </w:rPr>
        <w:t>მდელოს</w:t>
      </w:r>
      <w:r w:rsidRPr="000F54A3">
        <w:rPr>
          <w:rFonts w:ascii="Sylfaen" w:hAnsi="Sylfaen" w:cs="LitNusx"/>
          <w:szCs w:val="22"/>
          <w:lang w:val="ka-GE"/>
        </w:rPr>
        <w:t xml:space="preserve"> </w:t>
      </w:r>
      <w:r w:rsidRPr="000F54A3">
        <w:rPr>
          <w:rFonts w:ascii="Sylfaen" w:hAnsi="Sylfaen" w:cs="Sylfaen"/>
          <w:szCs w:val="22"/>
          <w:lang w:val="ka-GE"/>
        </w:rPr>
        <w:t>და</w:t>
      </w:r>
      <w:r w:rsidRPr="000F54A3">
        <w:rPr>
          <w:rFonts w:ascii="Sylfaen" w:hAnsi="Sylfaen" w:cs="LitNusx"/>
          <w:szCs w:val="22"/>
          <w:lang w:val="ka-GE"/>
        </w:rPr>
        <w:t xml:space="preserve"> </w:t>
      </w:r>
      <w:r w:rsidRPr="000F54A3">
        <w:rPr>
          <w:rFonts w:ascii="Sylfaen" w:hAnsi="Sylfaen" w:cs="Sylfaen"/>
          <w:szCs w:val="22"/>
          <w:lang w:val="ka-GE"/>
        </w:rPr>
        <w:t>რუდერალური</w:t>
      </w:r>
      <w:r w:rsidRPr="000F54A3">
        <w:rPr>
          <w:rFonts w:ascii="Sylfaen" w:hAnsi="Sylfaen" w:cs="LitNusx"/>
          <w:szCs w:val="22"/>
          <w:lang w:val="ka-GE"/>
        </w:rPr>
        <w:t xml:space="preserve"> </w:t>
      </w:r>
      <w:r w:rsidRPr="000F54A3">
        <w:rPr>
          <w:rFonts w:ascii="Sylfaen" w:hAnsi="Sylfaen" w:cs="Sylfaen"/>
          <w:szCs w:val="22"/>
          <w:lang w:val="ka-GE"/>
        </w:rPr>
        <w:t>ფლორის</w:t>
      </w:r>
      <w:r w:rsidRPr="000F54A3">
        <w:rPr>
          <w:rFonts w:ascii="Sylfaen" w:hAnsi="Sylfaen" w:cs="LitNusx"/>
          <w:szCs w:val="22"/>
          <w:lang w:val="ka-GE"/>
        </w:rPr>
        <w:t xml:space="preserve"> </w:t>
      </w:r>
      <w:r w:rsidRPr="000F54A3">
        <w:rPr>
          <w:rFonts w:ascii="Sylfaen" w:hAnsi="Sylfaen" w:cs="Sylfaen"/>
          <w:szCs w:val="22"/>
          <w:lang w:val="ka-GE"/>
        </w:rPr>
        <w:t>ელემენტები</w:t>
      </w:r>
      <w:r w:rsidRPr="000F54A3">
        <w:rPr>
          <w:rFonts w:ascii="Sylfaen" w:hAnsi="Sylfaen" w:cs="LitNusx"/>
          <w:szCs w:val="22"/>
          <w:lang w:val="ka-GE"/>
        </w:rPr>
        <w:t xml:space="preserve"> </w:t>
      </w:r>
      <w:r w:rsidRPr="000F54A3">
        <w:rPr>
          <w:rFonts w:ascii="Sylfaen" w:hAnsi="Sylfaen" w:cs="Sylfaen"/>
          <w:szCs w:val="22"/>
          <w:lang w:val="ka-GE"/>
        </w:rPr>
        <w:t>ცხვირის</w:t>
      </w:r>
      <w:r w:rsidRPr="000F54A3">
        <w:rPr>
          <w:rFonts w:ascii="Sylfaen" w:hAnsi="Sylfaen" w:cs="LitNusx"/>
          <w:szCs w:val="22"/>
          <w:lang w:val="ka-GE"/>
        </w:rPr>
        <w:t xml:space="preserve"> </w:t>
      </w:r>
      <w:r w:rsidRPr="000F54A3">
        <w:rPr>
          <w:rFonts w:ascii="Sylfaen" w:hAnsi="Sylfaen" w:cs="Sylfaen"/>
          <w:szCs w:val="22"/>
          <w:lang w:val="ka-GE"/>
        </w:rPr>
        <w:t>სატეხელა</w:t>
      </w:r>
      <w:r w:rsidRPr="000F54A3">
        <w:rPr>
          <w:rFonts w:ascii="Sylfaen" w:hAnsi="Sylfaen" w:cs="LitNusx"/>
          <w:szCs w:val="22"/>
          <w:lang w:val="ka-GE"/>
        </w:rPr>
        <w:t xml:space="preserve"> </w:t>
      </w:r>
      <w:r w:rsidRPr="000F54A3">
        <w:rPr>
          <w:rFonts w:ascii="Sylfaen" w:hAnsi="Sylfaen" w:cs="LitNusx"/>
          <w:i/>
          <w:szCs w:val="22"/>
          <w:lang w:val="ka-GE"/>
        </w:rPr>
        <w:t>(Adonis aestivalis)</w:t>
      </w:r>
      <w:r w:rsidRPr="000F54A3">
        <w:rPr>
          <w:rFonts w:ascii="Sylfaen" w:hAnsi="Sylfaen" w:cs="LitNusx"/>
          <w:szCs w:val="22"/>
          <w:lang w:val="ka-GE"/>
        </w:rPr>
        <w:t xml:space="preserve">; </w:t>
      </w:r>
      <w:r w:rsidRPr="000F54A3">
        <w:rPr>
          <w:rFonts w:ascii="Sylfaen" w:hAnsi="Sylfaen" w:cs="Sylfaen"/>
          <w:szCs w:val="22"/>
          <w:lang w:val="ka-GE"/>
        </w:rPr>
        <w:t>რძიანა</w:t>
      </w:r>
      <w:r w:rsidRPr="000F54A3">
        <w:rPr>
          <w:rFonts w:ascii="Sylfaen" w:hAnsi="Sylfaen" w:cs="LitNusx"/>
          <w:szCs w:val="22"/>
          <w:lang w:val="ka-GE"/>
        </w:rPr>
        <w:t xml:space="preserve"> </w:t>
      </w:r>
      <w:r w:rsidRPr="000F54A3">
        <w:rPr>
          <w:rFonts w:ascii="Sylfaen" w:hAnsi="Sylfaen" w:cs="LitNusx"/>
          <w:i/>
          <w:szCs w:val="22"/>
          <w:lang w:val="ka-GE"/>
        </w:rPr>
        <w:t>(Euphorbia stricta)</w:t>
      </w:r>
      <w:r w:rsidRPr="000F54A3">
        <w:rPr>
          <w:rFonts w:ascii="Sylfaen" w:hAnsi="Sylfaen" w:cs="LitNusx"/>
          <w:szCs w:val="22"/>
          <w:lang w:val="ka-GE"/>
        </w:rPr>
        <w:t xml:space="preserve">; </w:t>
      </w:r>
      <w:r w:rsidRPr="000F54A3">
        <w:rPr>
          <w:rFonts w:ascii="Sylfaen" w:hAnsi="Sylfaen" w:cs="Sylfaen"/>
          <w:szCs w:val="22"/>
          <w:lang w:val="ka-GE"/>
        </w:rPr>
        <w:t>ყანის</w:t>
      </w:r>
      <w:r w:rsidRPr="000F54A3">
        <w:rPr>
          <w:rFonts w:ascii="Sylfaen" w:hAnsi="Sylfaen" w:cs="LitNusx"/>
          <w:szCs w:val="22"/>
          <w:lang w:val="ka-GE"/>
        </w:rPr>
        <w:t xml:space="preserve"> </w:t>
      </w:r>
      <w:r w:rsidRPr="000F54A3">
        <w:rPr>
          <w:rFonts w:ascii="Sylfaen" w:hAnsi="Sylfaen" w:cs="Sylfaen"/>
          <w:szCs w:val="22"/>
          <w:lang w:val="ka-GE"/>
        </w:rPr>
        <w:t>რეზედა</w:t>
      </w:r>
      <w:r w:rsidRPr="000F54A3">
        <w:rPr>
          <w:rFonts w:ascii="Sylfaen" w:hAnsi="Sylfaen" w:cs="LitNusx"/>
          <w:szCs w:val="22"/>
          <w:lang w:val="ka-GE"/>
        </w:rPr>
        <w:t xml:space="preserve"> </w:t>
      </w:r>
      <w:r w:rsidRPr="000F54A3">
        <w:rPr>
          <w:rFonts w:ascii="Sylfaen" w:hAnsi="Sylfaen" w:cs="LitNusx"/>
          <w:i/>
          <w:szCs w:val="22"/>
          <w:lang w:val="ka-GE"/>
        </w:rPr>
        <w:t>(Reseda lutea)</w:t>
      </w:r>
      <w:r w:rsidRPr="000F54A3">
        <w:rPr>
          <w:rFonts w:ascii="Sylfaen" w:hAnsi="Sylfaen" w:cs="LitNusx"/>
          <w:szCs w:val="22"/>
          <w:lang w:val="ka-GE"/>
        </w:rPr>
        <w:t xml:space="preserve">; </w:t>
      </w:r>
      <w:r w:rsidRPr="000F54A3">
        <w:rPr>
          <w:rFonts w:ascii="Sylfaen" w:hAnsi="Sylfaen" w:cs="Sylfaen"/>
          <w:szCs w:val="22"/>
          <w:lang w:val="ka-GE"/>
        </w:rPr>
        <w:t>იონჯა</w:t>
      </w:r>
      <w:r w:rsidRPr="000F54A3">
        <w:rPr>
          <w:rFonts w:ascii="Sylfaen" w:hAnsi="Sylfaen" w:cs="LitNusx"/>
          <w:szCs w:val="22"/>
          <w:lang w:val="ka-GE"/>
        </w:rPr>
        <w:t xml:space="preserve"> </w:t>
      </w:r>
      <w:r w:rsidRPr="000F54A3">
        <w:rPr>
          <w:rFonts w:ascii="Sylfaen" w:hAnsi="Sylfaen" w:cs="LitNusx"/>
          <w:i/>
          <w:szCs w:val="22"/>
          <w:lang w:val="ka-GE"/>
        </w:rPr>
        <w:t>(Medicago sativa);</w:t>
      </w:r>
      <w:r w:rsidRPr="000F54A3">
        <w:rPr>
          <w:rFonts w:ascii="Sylfaen" w:hAnsi="Sylfaen" w:cs="LitNusx"/>
          <w:szCs w:val="22"/>
          <w:lang w:val="ka-GE"/>
        </w:rPr>
        <w:t xml:space="preserve"> </w:t>
      </w:r>
      <w:r w:rsidRPr="000F54A3">
        <w:rPr>
          <w:rFonts w:ascii="Sylfaen" w:hAnsi="Sylfaen" w:cs="Sylfaen"/>
          <w:szCs w:val="22"/>
          <w:lang w:val="ka-GE"/>
        </w:rPr>
        <w:t>ყვითელი</w:t>
      </w:r>
      <w:r w:rsidRPr="000F54A3">
        <w:rPr>
          <w:rFonts w:ascii="Sylfaen" w:hAnsi="Sylfaen" w:cs="LitNusx"/>
          <w:szCs w:val="22"/>
          <w:lang w:val="ka-GE"/>
        </w:rPr>
        <w:t xml:space="preserve"> </w:t>
      </w:r>
      <w:r w:rsidRPr="000F54A3">
        <w:rPr>
          <w:rFonts w:ascii="Sylfaen" w:hAnsi="Sylfaen" w:cs="Sylfaen"/>
          <w:szCs w:val="22"/>
          <w:lang w:val="ka-GE"/>
        </w:rPr>
        <w:t>ძიძო</w:t>
      </w:r>
      <w:r w:rsidRPr="000F54A3">
        <w:rPr>
          <w:rFonts w:ascii="Sylfaen" w:hAnsi="Sylfaen" w:cs="LitNusx"/>
          <w:szCs w:val="22"/>
          <w:lang w:val="ka-GE"/>
        </w:rPr>
        <w:t xml:space="preserve"> </w:t>
      </w:r>
      <w:r w:rsidRPr="000F54A3">
        <w:rPr>
          <w:rFonts w:ascii="Sylfaen" w:hAnsi="Sylfaen" w:cs="LitNusx"/>
          <w:i/>
          <w:szCs w:val="22"/>
          <w:lang w:val="ka-GE"/>
        </w:rPr>
        <w:t xml:space="preserve">(Melulotus officinalis) </w:t>
      </w:r>
      <w:r w:rsidRPr="000F54A3">
        <w:rPr>
          <w:rFonts w:ascii="Sylfaen" w:hAnsi="Sylfaen" w:cs="Sylfaen"/>
          <w:szCs w:val="22"/>
          <w:lang w:val="ka-GE"/>
        </w:rPr>
        <w:t>არჯაკელი</w:t>
      </w:r>
      <w:r w:rsidRPr="000F54A3">
        <w:rPr>
          <w:rFonts w:ascii="Sylfaen" w:hAnsi="Sylfaen" w:cs="LitNusx"/>
          <w:szCs w:val="22"/>
          <w:lang w:val="ka-GE"/>
        </w:rPr>
        <w:t xml:space="preserve"> </w:t>
      </w:r>
      <w:r w:rsidRPr="000F54A3">
        <w:rPr>
          <w:rFonts w:ascii="Sylfaen" w:hAnsi="Sylfaen" w:cs="LitNusx"/>
          <w:i/>
          <w:szCs w:val="22"/>
          <w:lang w:val="ka-GE"/>
        </w:rPr>
        <w:t>(Lathyrus sphaerius)</w:t>
      </w:r>
      <w:r w:rsidRPr="000F54A3">
        <w:rPr>
          <w:rFonts w:ascii="Sylfaen" w:hAnsi="Sylfaen" w:cs="LitNusx"/>
          <w:szCs w:val="22"/>
          <w:lang w:val="ka-GE"/>
        </w:rPr>
        <w:t xml:space="preserve"> </w:t>
      </w:r>
      <w:r w:rsidRPr="000F54A3">
        <w:rPr>
          <w:rFonts w:ascii="Sylfaen" w:hAnsi="Sylfaen" w:cs="Sylfaen"/>
          <w:szCs w:val="22"/>
          <w:lang w:val="ka-GE"/>
        </w:rPr>
        <w:t xml:space="preserve">ბუჩქისძირა </w:t>
      </w:r>
      <w:r w:rsidRPr="000F54A3">
        <w:rPr>
          <w:rFonts w:ascii="Sylfaen" w:hAnsi="Sylfaen" w:cs="LitNusx"/>
          <w:i/>
          <w:szCs w:val="22"/>
          <w:lang w:val="ka-GE"/>
        </w:rPr>
        <w:t>(Anagallis arvensis)</w:t>
      </w:r>
      <w:r w:rsidRPr="000F54A3">
        <w:rPr>
          <w:rFonts w:ascii="Sylfaen" w:hAnsi="Sylfaen" w:cs="LitNusx"/>
          <w:szCs w:val="22"/>
          <w:lang w:val="ka-GE"/>
        </w:rPr>
        <w:t xml:space="preserve">; </w:t>
      </w:r>
      <w:r w:rsidRPr="000F54A3">
        <w:rPr>
          <w:rFonts w:ascii="Sylfaen" w:hAnsi="Sylfaen" w:cs="Sylfaen"/>
          <w:szCs w:val="22"/>
          <w:lang w:val="ka-GE"/>
        </w:rPr>
        <w:t>ქვათესლა</w:t>
      </w:r>
      <w:r w:rsidRPr="000F54A3">
        <w:rPr>
          <w:rFonts w:ascii="Sylfaen" w:hAnsi="Sylfaen" w:cs="LitNusx"/>
          <w:szCs w:val="22"/>
          <w:lang w:val="ka-GE"/>
        </w:rPr>
        <w:t xml:space="preserve"> </w:t>
      </w:r>
      <w:r w:rsidRPr="000F54A3">
        <w:rPr>
          <w:rFonts w:ascii="Sylfaen" w:hAnsi="Sylfaen" w:cs="LitNusx"/>
          <w:i/>
          <w:szCs w:val="22"/>
          <w:lang w:val="ka-GE"/>
        </w:rPr>
        <w:t>(Lithospermum arvense)</w:t>
      </w:r>
      <w:r w:rsidRPr="000F54A3">
        <w:rPr>
          <w:rFonts w:ascii="Sylfaen" w:hAnsi="Sylfaen" w:cs="LitNusx"/>
          <w:szCs w:val="22"/>
          <w:lang w:val="ka-GE"/>
        </w:rPr>
        <w:t xml:space="preserve">; </w:t>
      </w:r>
      <w:r w:rsidRPr="000F54A3">
        <w:rPr>
          <w:rFonts w:ascii="Sylfaen" w:hAnsi="Sylfaen" w:cs="Sylfaen"/>
          <w:szCs w:val="22"/>
          <w:lang w:val="ka-GE"/>
        </w:rPr>
        <w:t>ხვართქლა</w:t>
      </w:r>
      <w:r w:rsidRPr="000F54A3">
        <w:rPr>
          <w:rFonts w:ascii="Sylfaen" w:hAnsi="Sylfaen" w:cs="LitNusx"/>
          <w:szCs w:val="22"/>
          <w:lang w:val="ka-GE"/>
        </w:rPr>
        <w:t xml:space="preserve"> </w:t>
      </w:r>
      <w:r w:rsidRPr="000F54A3">
        <w:rPr>
          <w:rFonts w:ascii="Sylfaen" w:hAnsi="Sylfaen" w:cs="LitNusx"/>
          <w:i/>
          <w:szCs w:val="22"/>
          <w:lang w:val="ka-GE"/>
        </w:rPr>
        <w:t>(Convolus cantabrica)</w:t>
      </w:r>
      <w:r w:rsidRPr="000F54A3">
        <w:rPr>
          <w:rFonts w:ascii="Sylfaen" w:hAnsi="Sylfaen" w:cs="LitNusx"/>
          <w:szCs w:val="22"/>
          <w:lang w:val="ka-GE"/>
        </w:rPr>
        <w:t xml:space="preserve">; </w:t>
      </w:r>
      <w:r w:rsidRPr="000F54A3">
        <w:rPr>
          <w:rFonts w:ascii="Sylfaen" w:hAnsi="Sylfaen" w:cs="Sylfaen"/>
          <w:szCs w:val="22"/>
          <w:lang w:val="ka-GE"/>
        </w:rPr>
        <w:t>ქერიფქლა</w:t>
      </w:r>
      <w:r w:rsidRPr="000F54A3">
        <w:rPr>
          <w:rFonts w:ascii="Sylfaen" w:hAnsi="Sylfaen" w:cs="LitNusx"/>
          <w:szCs w:val="22"/>
          <w:lang w:val="ka-GE"/>
        </w:rPr>
        <w:t xml:space="preserve"> </w:t>
      </w:r>
      <w:r w:rsidRPr="000F54A3">
        <w:rPr>
          <w:rFonts w:ascii="Sylfaen" w:hAnsi="Sylfaen" w:cs="LitNusx"/>
          <w:i/>
          <w:szCs w:val="22"/>
          <w:lang w:val="ka-GE"/>
        </w:rPr>
        <w:t>(Verbascum phleoides)</w:t>
      </w:r>
      <w:r w:rsidRPr="000F54A3">
        <w:rPr>
          <w:rFonts w:ascii="Sylfaen" w:hAnsi="Sylfaen" w:cs="LitNusx"/>
          <w:szCs w:val="22"/>
          <w:lang w:val="ka-GE"/>
        </w:rPr>
        <w:t xml:space="preserve">; </w:t>
      </w:r>
      <w:r w:rsidRPr="000F54A3">
        <w:rPr>
          <w:rFonts w:ascii="Sylfaen" w:hAnsi="Sylfaen" w:cs="Sylfaen"/>
          <w:szCs w:val="22"/>
          <w:lang w:val="ka-GE"/>
        </w:rPr>
        <w:t>ოროვანდი</w:t>
      </w:r>
      <w:r w:rsidRPr="000F54A3">
        <w:rPr>
          <w:rFonts w:ascii="Sylfaen" w:hAnsi="Sylfaen" w:cs="LitNusx"/>
          <w:szCs w:val="22"/>
          <w:lang w:val="ka-GE"/>
        </w:rPr>
        <w:t xml:space="preserve"> (Archtium ssp.); </w:t>
      </w:r>
      <w:r w:rsidRPr="000F54A3">
        <w:rPr>
          <w:rFonts w:ascii="Sylfaen" w:hAnsi="Sylfaen" w:cs="Sylfaen"/>
          <w:szCs w:val="22"/>
          <w:lang w:val="ka-GE"/>
        </w:rPr>
        <w:t>მინდვრის</w:t>
      </w:r>
      <w:r w:rsidRPr="000F54A3">
        <w:rPr>
          <w:rFonts w:ascii="Sylfaen" w:hAnsi="Sylfaen" w:cs="LitNusx"/>
          <w:szCs w:val="22"/>
          <w:lang w:val="ka-GE"/>
        </w:rPr>
        <w:t xml:space="preserve"> </w:t>
      </w:r>
      <w:r w:rsidRPr="000F54A3">
        <w:rPr>
          <w:rFonts w:ascii="Sylfaen" w:hAnsi="Sylfaen" w:cs="Sylfaen"/>
          <w:szCs w:val="22"/>
          <w:lang w:val="ka-GE"/>
        </w:rPr>
        <w:t>ია</w:t>
      </w:r>
      <w:r w:rsidRPr="000F54A3">
        <w:rPr>
          <w:rFonts w:ascii="Sylfaen" w:hAnsi="Sylfaen" w:cs="LitNusx"/>
          <w:szCs w:val="22"/>
          <w:lang w:val="ka-GE"/>
        </w:rPr>
        <w:t xml:space="preserve"> </w:t>
      </w:r>
      <w:r w:rsidRPr="000F54A3">
        <w:rPr>
          <w:rFonts w:ascii="Sylfaen" w:hAnsi="Sylfaen" w:cs="LitNusx"/>
          <w:i/>
          <w:szCs w:val="22"/>
          <w:lang w:val="ka-GE"/>
        </w:rPr>
        <w:t>(Viola arvensis)</w:t>
      </w:r>
      <w:r w:rsidRPr="000F54A3">
        <w:rPr>
          <w:rFonts w:ascii="Sylfaen" w:hAnsi="Sylfaen" w:cs="LitNusx"/>
          <w:szCs w:val="22"/>
          <w:lang w:val="ka-GE"/>
        </w:rPr>
        <w:t xml:space="preserve">; </w:t>
      </w:r>
      <w:r w:rsidRPr="000F54A3">
        <w:rPr>
          <w:rFonts w:ascii="Sylfaen" w:hAnsi="Sylfaen" w:cs="Sylfaen"/>
          <w:szCs w:val="22"/>
          <w:lang w:val="ka-GE"/>
        </w:rPr>
        <w:t>ჯადვარი</w:t>
      </w:r>
      <w:r w:rsidRPr="000F54A3">
        <w:rPr>
          <w:rFonts w:ascii="Sylfaen" w:hAnsi="Sylfaen" w:cs="LitNusx"/>
          <w:szCs w:val="22"/>
          <w:lang w:val="ka-GE"/>
        </w:rPr>
        <w:t xml:space="preserve"> </w:t>
      </w:r>
      <w:r w:rsidRPr="000F54A3">
        <w:rPr>
          <w:rFonts w:ascii="Sylfaen" w:hAnsi="Sylfaen" w:cs="LitNusx"/>
          <w:i/>
          <w:szCs w:val="22"/>
          <w:lang w:val="ka-GE"/>
        </w:rPr>
        <w:t>(O</w:t>
      </w:r>
      <w:r w:rsidRPr="000F54A3">
        <w:rPr>
          <w:rFonts w:ascii="Sylfaen" w:hAnsi="Sylfaen" w:cs="Sylfaen"/>
          <w:i/>
          <w:szCs w:val="22"/>
          <w:lang w:val="ka-GE"/>
        </w:rPr>
        <w:t>rchis morio</w:t>
      </w:r>
      <w:r w:rsidRPr="000F54A3">
        <w:rPr>
          <w:rFonts w:ascii="Sylfaen" w:hAnsi="Sylfaen" w:cs="LitNusx"/>
          <w:i/>
          <w:szCs w:val="22"/>
          <w:lang w:val="ka-GE"/>
        </w:rPr>
        <w:t>)</w:t>
      </w:r>
      <w:r w:rsidRPr="000F54A3">
        <w:rPr>
          <w:rFonts w:ascii="Sylfaen" w:hAnsi="Sylfaen" w:cs="LitNusx"/>
          <w:szCs w:val="22"/>
          <w:lang w:val="ka-GE"/>
        </w:rPr>
        <w:t xml:space="preserve">; </w:t>
      </w:r>
      <w:r w:rsidRPr="000F54A3">
        <w:rPr>
          <w:rFonts w:ascii="Sylfaen" w:hAnsi="Sylfaen" w:cs="Sylfaen"/>
          <w:szCs w:val="22"/>
          <w:lang w:val="ka-GE"/>
        </w:rPr>
        <w:t>ბაია</w:t>
      </w:r>
      <w:r w:rsidRPr="000F54A3">
        <w:rPr>
          <w:rFonts w:ascii="Sylfaen" w:hAnsi="Sylfaen" w:cs="LitNusx"/>
          <w:szCs w:val="22"/>
          <w:lang w:val="ka-GE"/>
        </w:rPr>
        <w:t xml:space="preserve"> </w:t>
      </w:r>
      <w:r w:rsidRPr="000F54A3">
        <w:rPr>
          <w:rFonts w:ascii="Sylfaen" w:hAnsi="Sylfaen" w:cs="LitNusx"/>
          <w:i/>
          <w:szCs w:val="22"/>
          <w:lang w:val="ka-GE"/>
        </w:rPr>
        <w:t>(Ranunculus reperns)</w:t>
      </w:r>
      <w:r w:rsidRPr="000F54A3">
        <w:rPr>
          <w:rFonts w:ascii="Sylfaen" w:hAnsi="Sylfaen" w:cs="LitNusx"/>
          <w:szCs w:val="22"/>
          <w:lang w:val="ka-GE"/>
        </w:rPr>
        <w:t xml:space="preserve"> </w:t>
      </w:r>
      <w:r w:rsidRPr="000F54A3">
        <w:rPr>
          <w:rFonts w:ascii="Sylfaen" w:hAnsi="Sylfaen" w:cs="Sylfaen"/>
          <w:szCs w:val="22"/>
          <w:lang w:val="ka-GE"/>
        </w:rPr>
        <w:t>ყანის</w:t>
      </w:r>
      <w:r w:rsidRPr="000F54A3">
        <w:rPr>
          <w:rFonts w:ascii="Sylfaen" w:hAnsi="Sylfaen" w:cs="LitNusx"/>
          <w:szCs w:val="22"/>
          <w:lang w:val="ka-GE"/>
        </w:rPr>
        <w:t xml:space="preserve"> </w:t>
      </w:r>
      <w:r w:rsidRPr="000F54A3">
        <w:rPr>
          <w:rFonts w:ascii="Sylfaen" w:hAnsi="Sylfaen" w:cs="Sylfaen"/>
          <w:szCs w:val="22"/>
          <w:lang w:val="ka-GE"/>
        </w:rPr>
        <w:t>სანთელა</w:t>
      </w:r>
      <w:r w:rsidRPr="000F54A3">
        <w:rPr>
          <w:rFonts w:ascii="Sylfaen" w:hAnsi="Sylfaen" w:cs="LitNusx"/>
          <w:szCs w:val="22"/>
          <w:lang w:val="ka-GE"/>
        </w:rPr>
        <w:t xml:space="preserve"> (</w:t>
      </w:r>
      <w:r w:rsidRPr="000F54A3">
        <w:rPr>
          <w:rFonts w:ascii="Sylfaen" w:hAnsi="Sylfaen" w:cs="LitNusx"/>
          <w:i/>
          <w:szCs w:val="22"/>
          <w:lang w:val="ka-GE"/>
        </w:rPr>
        <w:t>Melampyrum arvense</w:t>
      </w:r>
      <w:r w:rsidRPr="000F54A3">
        <w:rPr>
          <w:rFonts w:ascii="Sylfaen" w:hAnsi="Sylfaen" w:cs="LitNusx"/>
          <w:szCs w:val="22"/>
          <w:lang w:val="ka-GE"/>
        </w:rPr>
        <w:t xml:space="preserve">); </w:t>
      </w:r>
      <w:r w:rsidRPr="000F54A3">
        <w:rPr>
          <w:rFonts w:ascii="Sylfaen" w:hAnsi="Sylfaen" w:cs="Sylfaen"/>
          <w:szCs w:val="22"/>
          <w:lang w:val="ka-GE"/>
        </w:rPr>
        <w:t>პირწმინდა</w:t>
      </w:r>
      <w:r w:rsidRPr="000F54A3">
        <w:rPr>
          <w:rFonts w:ascii="Sylfaen" w:hAnsi="Sylfaen" w:cs="LitNusx"/>
          <w:szCs w:val="22"/>
          <w:lang w:val="ka-GE"/>
        </w:rPr>
        <w:t xml:space="preserve"> </w:t>
      </w:r>
      <w:r w:rsidRPr="000F54A3">
        <w:rPr>
          <w:rFonts w:ascii="Sylfaen" w:hAnsi="Sylfaen" w:cs="LitNusx"/>
          <w:i/>
          <w:szCs w:val="22"/>
          <w:lang w:val="ka-GE"/>
        </w:rPr>
        <w:t xml:space="preserve">(Ajuga chia), </w:t>
      </w:r>
      <w:r w:rsidRPr="000F54A3">
        <w:rPr>
          <w:rFonts w:ascii="Sylfaen" w:hAnsi="Sylfaen" w:cs="LitNusx"/>
          <w:szCs w:val="22"/>
          <w:lang w:val="ka-GE"/>
        </w:rPr>
        <w:t xml:space="preserve"> </w:t>
      </w:r>
      <w:r w:rsidRPr="000F54A3">
        <w:rPr>
          <w:rFonts w:ascii="Sylfaen" w:hAnsi="Sylfaen" w:cs="Sylfaen"/>
          <w:szCs w:val="22"/>
          <w:lang w:val="ka-GE"/>
        </w:rPr>
        <w:t>საძოვრები დეგრადირებულია</w:t>
      </w:r>
      <w:r w:rsidRPr="000F54A3">
        <w:rPr>
          <w:rFonts w:ascii="Sylfaen" w:hAnsi="Sylfaen" w:cs="LitNusx"/>
          <w:szCs w:val="22"/>
          <w:lang w:val="ka-GE"/>
        </w:rPr>
        <w:t xml:space="preserve"> </w:t>
      </w:r>
      <w:r w:rsidRPr="000F54A3">
        <w:rPr>
          <w:rFonts w:ascii="Sylfaen" w:hAnsi="Sylfaen" w:cs="Sylfaen"/>
          <w:szCs w:val="22"/>
          <w:lang w:val="ka-GE"/>
        </w:rPr>
        <w:t>და</w:t>
      </w:r>
      <w:r w:rsidRPr="000F54A3">
        <w:rPr>
          <w:rFonts w:ascii="Sylfaen" w:hAnsi="Sylfaen" w:cs="LitNusx"/>
          <w:szCs w:val="22"/>
          <w:lang w:val="ka-GE"/>
        </w:rPr>
        <w:t xml:space="preserve"> </w:t>
      </w:r>
      <w:r w:rsidRPr="000F54A3">
        <w:rPr>
          <w:rFonts w:ascii="Sylfaen" w:hAnsi="Sylfaen" w:cs="Sylfaen"/>
          <w:szCs w:val="22"/>
          <w:lang w:val="ka-GE"/>
        </w:rPr>
        <w:t>დასარევლიანებულია.</w:t>
      </w:r>
      <w:r w:rsidRPr="000F54A3">
        <w:rPr>
          <w:rFonts w:ascii="Sylfaen" w:hAnsi="Sylfaen" w:cs="LitNusx"/>
          <w:szCs w:val="22"/>
          <w:lang w:val="ka-GE"/>
        </w:rPr>
        <w:t xml:space="preserve"> </w:t>
      </w:r>
      <w:r w:rsidRPr="000F54A3">
        <w:rPr>
          <w:rFonts w:ascii="Sylfaen" w:hAnsi="Sylfaen" w:cs="Sylfaen"/>
          <w:szCs w:val="22"/>
          <w:lang w:val="ka-GE"/>
        </w:rPr>
        <w:t>საძოვრების</w:t>
      </w:r>
      <w:r w:rsidRPr="000F54A3">
        <w:rPr>
          <w:rFonts w:ascii="Sylfaen" w:hAnsi="Sylfaen" w:cs="LitNusx"/>
          <w:szCs w:val="22"/>
          <w:lang w:val="ka-GE"/>
        </w:rPr>
        <w:t xml:space="preserve"> </w:t>
      </w:r>
      <w:r w:rsidRPr="000F54A3">
        <w:rPr>
          <w:rFonts w:ascii="Sylfaen" w:hAnsi="Sylfaen" w:cs="Sylfaen"/>
          <w:szCs w:val="22"/>
          <w:lang w:val="ka-GE"/>
        </w:rPr>
        <w:t>დიდ</w:t>
      </w:r>
      <w:r w:rsidRPr="000F54A3">
        <w:rPr>
          <w:rFonts w:ascii="Sylfaen" w:hAnsi="Sylfaen" w:cs="LitNusx"/>
          <w:szCs w:val="22"/>
          <w:lang w:val="ka-GE"/>
        </w:rPr>
        <w:t xml:space="preserve"> </w:t>
      </w:r>
      <w:r w:rsidRPr="000F54A3">
        <w:rPr>
          <w:rFonts w:ascii="Sylfaen" w:hAnsi="Sylfaen" w:cs="Sylfaen"/>
          <w:szCs w:val="22"/>
          <w:lang w:val="ka-GE"/>
        </w:rPr>
        <w:t>ნაწილზე</w:t>
      </w:r>
      <w:r w:rsidRPr="000F54A3">
        <w:rPr>
          <w:rFonts w:ascii="Sylfaen" w:hAnsi="Sylfaen" w:cs="LitNusx"/>
          <w:szCs w:val="22"/>
          <w:lang w:val="ka-GE"/>
        </w:rPr>
        <w:t xml:space="preserve"> </w:t>
      </w:r>
      <w:r w:rsidRPr="000F54A3">
        <w:rPr>
          <w:rFonts w:ascii="Sylfaen" w:hAnsi="Sylfaen" w:cs="Sylfaen"/>
          <w:szCs w:val="22"/>
          <w:lang w:val="ka-GE"/>
        </w:rPr>
        <w:t>განვითარებულია</w:t>
      </w:r>
      <w:r w:rsidRPr="000F54A3">
        <w:rPr>
          <w:rFonts w:ascii="Sylfaen" w:hAnsi="Sylfaen" w:cs="LitNusx"/>
          <w:szCs w:val="22"/>
          <w:lang w:val="ka-GE"/>
        </w:rPr>
        <w:t xml:space="preserve"> </w:t>
      </w:r>
      <w:r w:rsidRPr="000F54A3">
        <w:rPr>
          <w:rFonts w:ascii="Sylfaen" w:hAnsi="Sylfaen" w:cs="Sylfaen"/>
          <w:szCs w:val="22"/>
          <w:lang w:val="ka-GE"/>
        </w:rPr>
        <w:t>ქვათესლა</w:t>
      </w:r>
      <w:r w:rsidRPr="000F54A3">
        <w:rPr>
          <w:rFonts w:ascii="Sylfaen" w:hAnsi="Sylfaen" w:cs="LitNusx"/>
          <w:szCs w:val="22"/>
          <w:lang w:val="ka-GE"/>
        </w:rPr>
        <w:t xml:space="preserve"> </w:t>
      </w:r>
      <w:r w:rsidRPr="000F54A3">
        <w:rPr>
          <w:rFonts w:ascii="Sylfaen" w:hAnsi="Sylfaen" w:cs="LitNusx"/>
          <w:i/>
          <w:szCs w:val="22"/>
          <w:lang w:val="ka-GE"/>
        </w:rPr>
        <w:t>(Lithospermium arvense)</w:t>
      </w:r>
      <w:r w:rsidRPr="000F54A3">
        <w:rPr>
          <w:rFonts w:ascii="Sylfaen" w:hAnsi="Sylfaen" w:cs="LitNusx"/>
          <w:szCs w:val="22"/>
          <w:lang w:val="ka-GE"/>
        </w:rPr>
        <w:t xml:space="preserve"> </w:t>
      </w:r>
      <w:r w:rsidRPr="000F54A3">
        <w:rPr>
          <w:rFonts w:ascii="Sylfaen" w:hAnsi="Sylfaen" w:cs="Sylfaen"/>
          <w:szCs w:val="22"/>
          <w:lang w:val="ka-GE"/>
        </w:rPr>
        <w:t>ალაგ</w:t>
      </w:r>
      <w:r w:rsidRPr="000F54A3">
        <w:rPr>
          <w:rFonts w:ascii="Sylfaen" w:hAnsi="Sylfaen" w:cs="LitNusx"/>
          <w:szCs w:val="22"/>
          <w:lang w:val="ka-GE"/>
        </w:rPr>
        <w:t xml:space="preserve"> </w:t>
      </w:r>
      <w:r w:rsidRPr="000F54A3">
        <w:rPr>
          <w:rFonts w:ascii="Sylfaen" w:hAnsi="Sylfaen" w:cs="Sylfaen"/>
          <w:szCs w:val="22"/>
          <w:lang w:val="ka-GE"/>
        </w:rPr>
        <w:t>ალაგ</w:t>
      </w:r>
      <w:r w:rsidRPr="000F54A3">
        <w:rPr>
          <w:rFonts w:ascii="Sylfaen" w:hAnsi="Sylfaen" w:cs="LitNusx"/>
          <w:szCs w:val="22"/>
          <w:lang w:val="ka-GE"/>
        </w:rPr>
        <w:t xml:space="preserve"> </w:t>
      </w:r>
      <w:r w:rsidRPr="000F54A3">
        <w:rPr>
          <w:rFonts w:ascii="Sylfaen" w:hAnsi="Sylfaen" w:cs="Sylfaen"/>
          <w:szCs w:val="22"/>
          <w:lang w:val="ka-GE"/>
        </w:rPr>
        <w:t>ავშანი</w:t>
      </w:r>
      <w:r w:rsidRPr="000F54A3">
        <w:rPr>
          <w:rFonts w:ascii="Sylfaen" w:hAnsi="Sylfaen" w:cs="LitNusx"/>
          <w:szCs w:val="22"/>
          <w:lang w:val="ka-GE"/>
        </w:rPr>
        <w:t xml:space="preserve"> </w:t>
      </w:r>
      <w:r w:rsidRPr="000F54A3">
        <w:rPr>
          <w:rFonts w:ascii="Sylfaen" w:hAnsi="Sylfaen" w:cs="LitNusx"/>
          <w:i/>
          <w:szCs w:val="22"/>
          <w:lang w:val="ka-GE"/>
        </w:rPr>
        <w:t>(Artemisia ssp.)</w:t>
      </w:r>
      <w:r w:rsidRPr="000F54A3">
        <w:rPr>
          <w:rFonts w:ascii="Sylfaen" w:hAnsi="Sylfaen" w:cs="LitNusx"/>
          <w:szCs w:val="22"/>
          <w:lang w:val="ka-GE"/>
        </w:rPr>
        <w:t xml:space="preserve"> </w:t>
      </w:r>
      <w:r w:rsidRPr="000F54A3">
        <w:rPr>
          <w:rFonts w:ascii="Sylfaen" w:hAnsi="Sylfaen" w:cs="Sylfaen"/>
          <w:szCs w:val="22"/>
          <w:lang w:val="ka-GE"/>
        </w:rPr>
        <w:t>გარდა</w:t>
      </w:r>
      <w:r w:rsidRPr="000F54A3">
        <w:rPr>
          <w:rFonts w:ascii="Sylfaen" w:hAnsi="Sylfaen" w:cs="LitNusx"/>
          <w:szCs w:val="22"/>
          <w:lang w:val="ka-GE"/>
        </w:rPr>
        <w:t xml:space="preserve"> </w:t>
      </w:r>
      <w:r w:rsidRPr="000F54A3">
        <w:rPr>
          <w:rFonts w:ascii="Sylfaen" w:hAnsi="Sylfaen" w:cs="Sylfaen"/>
          <w:szCs w:val="22"/>
          <w:lang w:val="ka-GE"/>
        </w:rPr>
        <w:t>ამ</w:t>
      </w:r>
      <w:r w:rsidRPr="000F54A3">
        <w:rPr>
          <w:rFonts w:ascii="Sylfaen" w:hAnsi="Sylfaen" w:cs="LitNusx"/>
          <w:szCs w:val="22"/>
          <w:lang w:val="ka-GE"/>
        </w:rPr>
        <w:t xml:space="preserve"> </w:t>
      </w:r>
      <w:r w:rsidRPr="000F54A3">
        <w:rPr>
          <w:rFonts w:ascii="Sylfaen" w:hAnsi="Sylfaen" w:cs="Sylfaen"/>
          <w:szCs w:val="22"/>
          <w:lang w:val="ka-GE"/>
        </w:rPr>
        <w:t>სახეობებისა</w:t>
      </w:r>
      <w:r w:rsidRPr="000F54A3">
        <w:rPr>
          <w:rFonts w:ascii="Sylfaen" w:hAnsi="Sylfaen" w:cs="LitNusx"/>
          <w:szCs w:val="22"/>
          <w:lang w:val="ka-GE"/>
        </w:rPr>
        <w:t xml:space="preserve"> </w:t>
      </w:r>
      <w:r w:rsidRPr="000F54A3">
        <w:rPr>
          <w:rFonts w:ascii="Sylfaen" w:hAnsi="Sylfaen" w:cs="Sylfaen"/>
          <w:szCs w:val="22"/>
          <w:lang w:val="ka-GE"/>
        </w:rPr>
        <w:t>საძოვრებზე</w:t>
      </w:r>
      <w:r w:rsidRPr="000F54A3">
        <w:rPr>
          <w:rFonts w:ascii="Sylfaen" w:hAnsi="Sylfaen" w:cs="LitNusx"/>
          <w:szCs w:val="22"/>
          <w:lang w:val="ka-GE"/>
        </w:rPr>
        <w:t xml:space="preserve"> </w:t>
      </w:r>
      <w:r w:rsidRPr="000F54A3">
        <w:rPr>
          <w:rFonts w:ascii="Sylfaen" w:hAnsi="Sylfaen" w:cs="Sylfaen"/>
          <w:szCs w:val="22"/>
          <w:lang w:val="ka-GE"/>
        </w:rPr>
        <w:t>აღინიშნა</w:t>
      </w:r>
      <w:r w:rsidRPr="000F54A3">
        <w:rPr>
          <w:rFonts w:ascii="Sylfaen" w:hAnsi="Sylfaen" w:cs="LitNusx"/>
          <w:szCs w:val="22"/>
          <w:lang w:val="ka-GE"/>
        </w:rPr>
        <w:t xml:space="preserve"> </w:t>
      </w:r>
      <w:r w:rsidRPr="000F54A3">
        <w:rPr>
          <w:rFonts w:ascii="Sylfaen" w:hAnsi="Sylfaen" w:cs="Sylfaen"/>
          <w:szCs w:val="22"/>
          <w:lang w:val="ka-GE"/>
        </w:rPr>
        <w:lastRenderedPageBreak/>
        <w:t>ქერიფქლა</w:t>
      </w:r>
      <w:r w:rsidRPr="000F54A3">
        <w:rPr>
          <w:rFonts w:ascii="Sylfaen" w:hAnsi="Sylfaen" w:cs="LitNusx"/>
          <w:szCs w:val="22"/>
          <w:lang w:val="ka-GE"/>
        </w:rPr>
        <w:t xml:space="preserve"> </w:t>
      </w:r>
      <w:r w:rsidRPr="000F54A3">
        <w:rPr>
          <w:rFonts w:ascii="Sylfaen" w:hAnsi="Sylfaen" w:cs="LitNusx"/>
          <w:i/>
          <w:szCs w:val="22"/>
          <w:lang w:val="ka-GE"/>
        </w:rPr>
        <w:t>(Verbascum phleoides)</w:t>
      </w:r>
      <w:r w:rsidRPr="000F54A3">
        <w:rPr>
          <w:rFonts w:ascii="Sylfaen" w:hAnsi="Sylfaen" w:cs="LitNusx"/>
          <w:szCs w:val="22"/>
          <w:lang w:val="ka-GE"/>
        </w:rPr>
        <w:t xml:space="preserve">; </w:t>
      </w:r>
      <w:r w:rsidRPr="000F54A3">
        <w:rPr>
          <w:rFonts w:ascii="Sylfaen" w:hAnsi="Sylfaen" w:cs="Sylfaen"/>
          <w:szCs w:val="22"/>
          <w:lang w:val="ka-GE"/>
        </w:rPr>
        <w:t>კურდღლისფრჩხილა</w:t>
      </w:r>
      <w:r w:rsidRPr="000F54A3">
        <w:rPr>
          <w:rFonts w:ascii="Sylfaen" w:hAnsi="Sylfaen" w:cs="LitNusx"/>
          <w:szCs w:val="22"/>
          <w:lang w:val="ka-GE"/>
        </w:rPr>
        <w:t xml:space="preserve"> </w:t>
      </w:r>
      <w:r w:rsidRPr="000F54A3">
        <w:rPr>
          <w:rFonts w:ascii="Sylfaen" w:hAnsi="Sylfaen" w:cs="LitNusx"/>
          <w:i/>
          <w:szCs w:val="22"/>
          <w:lang w:val="ka-GE"/>
        </w:rPr>
        <w:t>(Lotus caucasicus)</w:t>
      </w:r>
      <w:r w:rsidRPr="000F54A3">
        <w:rPr>
          <w:rFonts w:ascii="Sylfaen" w:hAnsi="Sylfaen" w:cs="LitNusx"/>
          <w:szCs w:val="22"/>
          <w:lang w:val="ka-GE"/>
        </w:rPr>
        <w:t xml:space="preserve"> </w:t>
      </w:r>
      <w:r w:rsidRPr="000F54A3">
        <w:rPr>
          <w:rFonts w:ascii="Sylfaen" w:hAnsi="Sylfaen" w:cs="Sylfaen"/>
          <w:szCs w:val="22"/>
          <w:lang w:val="ka-GE"/>
        </w:rPr>
        <w:t>და</w:t>
      </w:r>
      <w:r w:rsidRPr="000F54A3">
        <w:rPr>
          <w:rFonts w:ascii="Sylfaen" w:hAnsi="Sylfaen" w:cs="LitNusx"/>
          <w:szCs w:val="22"/>
          <w:lang w:val="ka-GE"/>
        </w:rPr>
        <w:t xml:space="preserve"> </w:t>
      </w:r>
      <w:r w:rsidRPr="000F54A3">
        <w:rPr>
          <w:rFonts w:ascii="Sylfaen" w:hAnsi="Sylfaen" w:cs="Sylfaen"/>
          <w:szCs w:val="22"/>
          <w:lang w:val="ka-GE"/>
        </w:rPr>
        <w:t>წივანა</w:t>
      </w:r>
      <w:r w:rsidRPr="000F54A3">
        <w:rPr>
          <w:rFonts w:ascii="Sylfaen" w:hAnsi="Sylfaen" w:cs="LitNusx"/>
          <w:szCs w:val="22"/>
          <w:lang w:val="ka-GE"/>
        </w:rPr>
        <w:t xml:space="preserve"> </w:t>
      </w:r>
      <w:r w:rsidRPr="000F54A3">
        <w:rPr>
          <w:rFonts w:ascii="Sylfaen" w:hAnsi="Sylfaen" w:cs="LitNusx"/>
          <w:i/>
          <w:szCs w:val="22"/>
          <w:lang w:val="ka-GE"/>
        </w:rPr>
        <w:t xml:space="preserve">(Festuca valensiaca), </w:t>
      </w:r>
      <w:r w:rsidRPr="000F54A3">
        <w:rPr>
          <w:rFonts w:ascii="Sylfaen" w:hAnsi="Sylfaen" w:cs="LitNusx"/>
          <w:szCs w:val="22"/>
          <w:lang w:val="ka-GE"/>
        </w:rPr>
        <w:t>დასარევლიანებულ მონაკვეთებზე ალაგ ალაგ ფონს ქმნის</w:t>
      </w:r>
      <w:r w:rsidRPr="000F54A3">
        <w:rPr>
          <w:rFonts w:ascii="Sylfaen" w:hAnsi="Sylfaen" w:cs="LitNusx"/>
          <w:i/>
          <w:szCs w:val="22"/>
          <w:lang w:val="ka-GE"/>
        </w:rPr>
        <w:t xml:space="preserve"> (Erigeron anuus).</w:t>
      </w:r>
    </w:p>
    <w:p w14:paraId="71B585B4" w14:textId="77777777" w:rsidR="000901CF" w:rsidRPr="000F54A3" w:rsidRDefault="000901CF" w:rsidP="000901CF">
      <w:pPr>
        <w:autoSpaceDE w:val="0"/>
        <w:autoSpaceDN w:val="0"/>
        <w:adjustRightInd w:val="0"/>
        <w:rPr>
          <w:rFonts w:ascii="Sylfaen" w:hAnsi="Sylfaen" w:cs="LitNusx"/>
          <w:i/>
          <w:szCs w:val="22"/>
          <w:lang w:val="ka-GE"/>
        </w:rPr>
      </w:pPr>
      <w:r w:rsidRPr="000F54A3">
        <w:rPr>
          <w:rFonts w:ascii="Sylfaen" w:hAnsi="Sylfaen" w:cs="LitNusx"/>
          <w:i/>
          <w:noProof/>
          <w:szCs w:val="22"/>
          <w:lang w:val="en-US" w:eastAsia="en-US"/>
        </w:rPr>
        <w:drawing>
          <wp:inline distT="0" distB="0" distL="0" distR="0" wp14:anchorId="2EDA5610" wp14:editId="55E4C729">
            <wp:extent cx="5686425" cy="2691441"/>
            <wp:effectExtent l="0" t="0" r="0" b="0"/>
            <wp:docPr id="26" name="Picture 26" descr="IMG_20171126_162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8" descr="IMG_20171126_162357"/>
                    <pic:cNvPicPr>
                      <a:picLocks noChangeAspect="1" noChangeArrowheads="1"/>
                    </pic:cNvPicPr>
                  </pic:nvPicPr>
                  <pic:blipFill>
                    <a:blip r:embed="rId187" cstate="print">
                      <a:extLst>
                        <a:ext uri="{28A0092B-C50C-407E-A947-70E740481C1C}">
                          <a14:useLocalDpi xmlns:a14="http://schemas.microsoft.com/office/drawing/2010/main"/>
                        </a:ext>
                      </a:extLst>
                    </a:blip>
                    <a:srcRect/>
                    <a:stretch>
                      <a:fillRect/>
                    </a:stretch>
                  </pic:blipFill>
                  <pic:spPr bwMode="auto">
                    <a:xfrm>
                      <a:off x="0" y="0"/>
                      <a:ext cx="5701301" cy="2698482"/>
                    </a:xfrm>
                    <a:prstGeom prst="rect">
                      <a:avLst/>
                    </a:prstGeom>
                    <a:noFill/>
                    <a:ln>
                      <a:noFill/>
                    </a:ln>
                  </pic:spPr>
                </pic:pic>
              </a:graphicData>
            </a:graphic>
          </wp:inline>
        </w:drawing>
      </w:r>
    </w:p>
    <w:p w14:paraId="5BD733F7" w14:textId="3BB4BFBB" w:rsidR="000901CF" w:rsidRPr="00E12C77" w:rsidRDefault="00E12C77" w:rsidP="000901CF">
      <w:pPr>
        <w:autoSpaceDE w:val="0"/>
        <w:autoSpaceDN w:val="0"/>
        <w:adjustRightInd w:val="0"/>
        <w:rPr>
          <w:rFonts w:ascii="Sylfaen" w:hAnsi="Sylfaen" w:cs="LitNusx"/>
          <w:szCs w:val="22"/>
          <w:lang w:val="ka-GE"/>
        </w:rPr>
      </w:pPr>
      <w:r>
        <w:rPr>
          <w:rFonts w:ascii="Sylfaen" w:hAnsi="Sylfaen" w:cs="LitNusx"/>
          <w:szCs w:val="22"/>
          <w:lang w:val="ka-GE"/>
        </w:rPr>
        <w:t>სურათი: 6.</w:t>
      </w:r>
      <w:r w:rsidR="002B29EF">
        <w:rPr>
          <w:rFonts w:ascii="Sylfaen" w:hAnsi="Sylfaen" w:cs="LitNusx"/>
          <w:szCs w:val="22"/>
          <w:lang w:val="ka-GE"/>
        </w:rPr>
        <w:t>4</w:t>
      </w:r>
      <w:r>
        <w:rPr>
          <w:rFonts w:ascii="Sylfaen" w:hAnsi="Sylfaen" w:cs="LitNusx"/>
          <w:szCs w:val="22"/>
          <w:lang w:val="ka-GE"/>
        </w:rPr>
        <w:t>-1</w:t>
      </w:r>
    </w:p>
    <w:p w14:paraId="3371E767" w14:textId="77777777" w:rsidR="00E12C77" w:rsidRPr="000F54A3" w:rsidRDefault="00E12C77" w:rsidP="000901CF">
      <w:pPr>
        <w:autoSpaceDE w:val="0"/>
        <w:autoSpaceDN w:val="0"/>
        <w:adjustRightInd w:val="0"/>
        <w:rPr>
          <w:rFonts w:ascii="Sylfaen" w:hAnsi="Sylfaen" w:cs="LitNusx"/>
          <w:i/>
          <w:szCs w:val="22"/>
          <w:lang w:val="ka-GE"/>
        </w:rPr>
      </w:pPr>
    </w:p>
    <w:p w14:paraId="69F16205" w14:textId="77777777" w:rsidR="000901CF" w:rsidRPr="000F54A3" w:rsidRDefault="000901CF" w:rsidP="000901CF">
      <w:pPr>
        <w:rPr>
          <w:rFonts w:ascii="Sylfaen" w:hAnsi="Sylfaen" w:cs="Sylfaen"/>
          <w:lang w:val="ka-GE"/>
        </w:rPr>
      </w:pPr>
      <w:r w:rsidRPr="000F54A3">
        <w:rPr>
          <w:rFonts w:ascii="Sylfaen" w:hAnsi="Sylfaen" w:cs="Sylfaen"/>
          <w:lang w:val="ka-GE"/>
        </w:rPr>
        <w:t>მერქნიანი</w:t>
      </w:r>
      <w:r w:rsidRPr="000F54A3">
        <w:rPr>
          <w:rFonts w:ascii="Sylfaen" w:hAnsi="Sylfaen"/>
          <w:lang w:val="ka-GE"/>
        </w:rPr>
        <w:t xml:space="preserve"> </w:t>
      </w:r>
      <w:r w:rsidRPr="000F54A3">
        <w:rPr>
          <w:rFonts w:ascii="Sylfaen" w:hAnsi="Sylfaen" w:cs="Sylfaen"/>
          <w:lang w:val="ka-GE"/>
        </w:rPr>
        <w:t>მცენარეებიდან</w:t>
      </w:r>
      <w:r w:rsidRPr="000F54A3">
        <w:rPr>
          <w:rFonts w:ascii="Sylfaen" w:hAnsi="Sylfaen"/>
          <w:lang w:val="ka-GE"/>
        </w:rPr>
        <w:t xml:space="preserve"> </w:t>
      </w:r>
      <w:r w:rsidRPr="000F54A3">
        <w:rPr>
          <w:rFonts w:ascii="Sylfaen" w:hAnsi="Sylfaen" w:cs="Sylfaen"/>
          <w:lang w:val="ka-GE"/>
        </w:rPr>
        <w:t>აღსანიშნავის</w:t>
      </w:r>
      <w:r w:rsidRPr="000F54A3">
        <w:rPr>
          <w:rFonts w:ascii="Sylfaen" w:hAnsi="Sylfaen"/>
          <w:lang w:val="ka-GE"/>
        </w:rPr>
        <w:t xml:space="preserve"> </w:t>
      </w:r>
      <w:r w:rsidRPr="000F54A3">
        <w:rPr>
          <w:rFonts w:ascii="Sylfaen" w:hAnsi="Sylfaen" w:cs="Sylfaen"/>
          <w:lang w:val="ka-GE"/>
        </w:rPr>
        <w:t>თეთრი</w:t>
      </w:r>
      <w:r w:rsidRPr="000F54A3">
        <w:rPr>
          <w:rFonts w:ascii="Sylfaen" w:hAnsi="Sylfaen"/>
          <w:lang w:val="ka-GE"/>
        </w:rPr>
        <w:t xml:space="preserve"> </w:t>
      </w:r>
      <w:r w:rsidRPr="000F54A3">
        <w:rPr>
          <w:rFonts w:ascii="Sylfaen" w:hAnsi="Sylfaen" w:cs="Sylfaen"/>
          <w:lang w:val="ka-GE"/>
        </w:rPr>
        <w:t>აკაცია</w:t>
      </w:r>
      <w:r w:rsidRPr="000F54A3">
        <w:rPr>
          <w:rFonts w:ascii="Sylfaen" w:hAnsi="Sylfaen"/>
          <w:i/>
          <w:lang w:val="ka-GE"/>
        </w:rPr>
        <w:t>(</w:t>
      </w:r>
      <w:r w:rsidRPr="00A242F0">
        <w:rPr>
          <w:rFonts w:ascii="Sylfaen" w:hAnsi="Sylfaen"/>
          <w:i/>
          <w:lang w:val="ka-GE"/>
        </w:rPr>
        <w:t>Robini</w:t>
      </w:r>
      <w:r w:rsidRPr="000F54A3">
        <w:rPr>
          <w:rFonts w:ascii="Sylfaen" w:hAnsi="Sylfaen" w:cs="LitNusx"/>
          <w:i/>
          <w:lang w:val="ka-GE"/>
        </w:rPr>
        <w:t>a</w:t>
      </w:r>
      <w:r w:rsidRPr="000F54A3">
        <w:rPr>
          <w:rFonts w:ascii="Sylfaen" w:hAnsi="Sylfaen"/>
          <w:i/>
          <w:lang w:val="ka-GE"/>
        </w:rPr>
        <w:t xml:space="preserve"> </w:t>
      </w:r>
      <w:r w:rsidRPr="00A242F0">
        <w:rPr>
          <w:rFonts w:ascii="Sylfaen" w:hAnsi="Sylfaen"/>
          <w:i/>
          <w:lang w:val="ka-GE"/>
        </w:rPr>
        <w:t>pseudo</w:t>
      </w:r>
      <w:r w:rsidRPr="000F54A3">
        <w:rPr>
          <w:rFonts w:ascii="Sylfaen" w:hAnsi="Sylfaen" w:cs="LitNusx"/>
          <w:i/>
          <w:lang w:val="ka-GE"/>
        </w:rPr>
        <w:t>a</w:t>
      </w:r>
      <w:r w:rsidRPr="00A242F0">
        <w:rPr>
          <w:rFonts w:ascii="Sylfaen" w:hAnsi="Sylfaen" w:cs="LitNusx"/>
          <w:i/>
          <w:lang w:val="ka-GE"/>
        </w:rPr>
        <w:t>c</w:t>
      </w:r>
      <w:r w:rsidRPr="000F54A3">
        <w:rPr>
          <w:rFonts w:ascii="Sylfaen" w:hAnsi="Sylfaen" w:cs="LitNusx"/>
          <w:i/>
          <w:lang w:val="ka-GE"/>
        </w:rPr>
        <w:t>a</w:t>
      </w:r>
      <w:r w:rsidRPr="00A242F0">
        <w:rPr>
          <w:rFonts w:ascii="Sylfaen" w:hAnsi="Sylfaen" w:cs="LitNusx"/>
          <w:i/>
          <w:lang w:val="ka-GE"/>
        </w:rPr>
        <w:t>ci</w:t>
      </w:r>
      <w:r w:rsidRPr="000F54A3">
        <w:rPr>
          <w:rFonts w:ascii="Sylfaen" w:hAnsi="Sylfaen" w:cs="LitNusx"/>
          <w:i/>
          <w:lang w:val="ka-GE"/>
        </w:rPr>
        <w:t>a</w:t>
      </w:r>
      <w:r w:rsidRPr="00A242F0">
        <w:rPr>
          <w:rFonts w:ascii="Sylfaen" w:hAnsi="Sylfaen" w:cs="LitNusx"/>
          <w:i/>
          <w:lang w:val="ka-GE"/>
        </w:rPr>
        <w:t>)</w:t>
      </w:r>
      <w:r w:rsidRPr="00A242F0">
        <w:rPr>
          <w:rFonts w:ascii="Sylfaen" w:hAnsi="Sylfaen" w:cs="LitNusx"/>
          <w:lang w:val="ka-GE"/>
        </w:rPr>
        <w:t xml:space="preserve">; </w:t>
      </w:r>
      <w:r w:rsidRPr="000F54A3">
        <w:rPr>
          <w:rFonts w:ascii="Sylfaen" w:hAnsi="Sylfaen" w:cs="Sylfaen"/>
          <w:lang w:val="ka-GE"/>
        </w:rPr>
        <w:t>გლედიჩია</w:t>
      </w:r>
      <w:r w:rsidRPr="000F54A3">
        <w:rPr>
          <w:rFonts w:ascii="Sylfaen" w:hAnsi="Sylfaen" w:cs="LitNusx"/>
          <w:lang w:val="ka-GE"/>
        </w:rPr>
        <w:t xml:space="preserve"> </w:t>
      </w:r>
      <w:r w:rsidRPr="000F54A3">
        <w:rPr>
          <w:rFonts w:ascii="Sylfaen" w:hAnsi="Sylfaen" w:cs="LitNusx"/>
          <w:i/>
          <w:lang w:val="ka-GE"/>
        </w:rPr>
        <w:t>(</w:t>
      </w:r>
      <w:r w:rsidRPr="00A242F0">
        <w:rPr>
          <w:rFonts w:ascii="Sylfaen" w:hAnsi="Sylfaen" w:cs="LitNusx"/>
          <w:i/>
          <w:lang w:val="ka-GE"/>
        </w:rPr>
        <w:t>Gleditsi</w:t>
      </w:r>
      <w:r w:rsidRPr="000F54A3">
        <w:rPr>
          <w:rFonts w:ascii="Sylfaen" w:hAnsi="Sylfaen" w:cs="LitNusx"/>
          <w:i/>
          <w:lang w:val="ka-GE"/>
        </w:rPr>
        <w:t>a</w:t>
      </w:r>
      <w:r w:rsidRPr="00A242F0">
        <w:rPr>
          <w:rFonts w:ascii="Sylfaen" w:hAnsi="Sylfaen" w:cs="LitNusx"/>
          <w:i/>
          <w:lang w:val="ka-GE"/>
        </w:rPr>
        <w:t xml:space="preserve"> tri</w:t>
      </w:r>
      <w:r w:rsidRPr="000F54A3">
        <w:rPr>
          <w:rFonts w:ascii="Sylfaen" w:hAnsi="Sylfaen" w:cs="LitNusx"/>
          <w:i/>
          <w:lang w:val="ka-GE"/>
        </w:rPr>
        <w:t>a</w:t>
      </w:r>
      <w:r w:rsidRPr="00A242F0">
        <w:rPr>
          <w:rFonts w:ascii="Sylfaen" w:hAnsi="Sylfaen" w:cs="LitNusx"/>
          <w:i/>
          <w:lang w:val="ka-GE"/>
        </w:rPr>
        <w:t>c</w:t>
      </w:r>
      <w:r w:rsidRPr="000F54A3">
        <w:rPr>
          <w:rFonts w:ascii="Sylfaen" w:hAnsi="Sylfaen" w:cs="LitNusx"/>
          <w:i/>
          <w:lang w:val="ka-GE"/>
        </w:rPr>
        <w:t>a</w:t>
      </w:r>
      <w:r w:rsidRPr="00A242F0">
        <w:rPr>
          <w:rFonts w:ascii="Sylfaen" w:hAnsi="Sylfaen" w:cs="LitNusx"/>
          <w:i/>
          <w:lang w:val="ka-GE"/>
        </w:rPr>
        <w:t>nthos)</w:t>
      </w:r>
      <w:r w:rsidRPr="00A242F0">
        <w:rPr>
          <w:rFonts w:ascii="Sylfaen" w:hAnsi="Sylfaen" w:cs="LitNusx"/>
          <w:lang w:val="ka-GE"/>
        </w:rPr>
        <w:t xml:space="preserve">; </w:t>
      </w:r>
      <w:r w:rsidRPr="000F54A3">
        <w:rPr>
          <w:rFonts w:ascii="Sylfaen" w:hAnsi="Sylfaen" w:cs="Sylfaen"/>
          <w:lang w:val="ka-GE"/>
        </w:rPr>
        <w:t>თუთა</w:t>
      </w:r>
      <w:r w:rsidRPr="000F54A3">
        <w:rPr>
          <w:rFonts w:ascii="Sylfaen" w:hAnsi="Sylfaen"/>
          <w:lang w:val="ka-GE"/>
        </w:rPr>
        <w:t xml:space="preserve"> </w:t>
      </w:r>
      <w:r w:rsidRPr="000F54A3">
        <w:rPr>
          <w:rFonts w:ascii="Sylfaen" w:hAnsi="Sylfaen"/>
          <w:i/>
          <w:lang w:val="ka-GE"/>
        </w:rPr>
        <w:t>(</w:t>
      </w:r>
      <w:r w:rsidRPr="00A242F0">
        <w:rPr>
          <w:rFonts w:ascii="Sylfaen" w:hAnsi="Sylfaen"/>
          <w:i/>
          <w:lang w:val="ka-GE"/>
        </w:rPr>
        <w:t xml:space="preserve">Morus </w:t>
      </w:r>
      <w:r w:rsidRPr="000F54A3">
        <w:rPr>
          <w:rFonts w:ascii="Sylfaen" w:hAnsi="Sylfaen" w:cs="LitNusx"/>
          <w:i/>
          <w:lang w:val="ka-GE"/>
        </w:rPr>
        <w:t>a</w:t>
      </w:r>
      <w:r w:rsidRPr="00A242F0">
        <w:rPr>
          <w:rFonts w:ascii="Sylfaen" w:hAnsi="Sylfaen" w:cs="LitNusx"/>
          <w:i/>
          <w:lang w:val="ka-GE"/>
        </w:rPr>
        <w:t>lb</w:t>
      </w:r>
      <w:r w:rsidRPr="000F54A3">
        <w:rPr>
          <w:rFonts w:ascii="Sylfaen" w:hAnsi="Sylfaen" w:cs="LitNusx"/>
          <w:i/>
          <w:lang w:val="ka-GE"/>
        </w:rPr>
        <w:t>a</w:t>
      </w:r>
      <w:r w:rsidRPr="00A242F0">
        <w:rPr>
          <w:rFonts w:ascii="Sylfaen" w:hAnsi="Sylfaen" w:cs="LitNusx"/>
          <w:i/>
          <w:lang w:val="ka-GE"/>
        </w:rPr>
        <w:t>)</w:t>
      </w:r>
      <w:r w:rsidRPr="00A242F0">
        <w:rPr>
          <w:rFonts w:ascii="Sylfaen" w:hAnsi="Sylfaen" w:cs="LitNusx"/>
          <w:lang w:val="ka-GE"/>
        </w:rPr>
        <w:t xml:space="preserve">; </w:t>
      </w:r>
      <w:r w:rsidRPr="000F54A3">
        <w:rPr>
          <w:rFonts w:ascii="Sylfaen" w:hAnsi="Sylfaen" w:cs="Sylfaen"/>
          <w:lang w:val="ka-GE"/>
        </w:rPr>
        <w:t>ჭერამი</w:t>
      </w:r>
      <w:r w:rsidRPr="000F54A3">
        <w:rPr>
          <w:rFonts w:ascii="Sylfaen" w:hAnsi="Sylfaen"/>
          <w:lang w:val="ka-GE"/>
        </w:rPr>
        <w:t xml:space="preserve"> </w:t>
      </w:r>
      <w:r w:rsidRPr="000F54A3">
        <w:rPr>
          <w:rFonts w:ascii="Sylfaen" w:hAnsi="Sylfaen"/>
          <w:i/>
          <w:lang w:val="ka-GE"/>
        </w:rPr>
        <w:t>(</w:t>
      </w:r>
      <w:r w:rsidRPr="00A242F0">
        <w:rPr>
          <w:rFonts w:ascii="Sylfaen" w:hAnsi="Sylfaen"/>
          <w:bCs/>
          <w:i/>
          <w:iCs/>
          <w:color w:val="000000"/>
          <w:lang w:val="ka-GE"/>
        </w:rPr>
        <w:t>Prunus armeniaca</w:t>
      </w:r>
      <w:r w:rsidRPr="000F54A3">
        <w:rPr>
          <w:rFonts w:ascii="Sylfaen" w:hAnsi="Sylfaen"/>
          <w:bCs/>
          <w:i/>
          <w:iCs/>
          <w:color w:val="000000"/>
          <w:lang w:val="ka-GE"/>
        </w:rPr>
        <w:t xml:space="preserve">); </w:t>
      </w:r>
      <w:r w:rsidRPr="000F54A3">
        <w:rPr>
          <w:rFonts w:ascii="Sylfaen" w:hAnsi="Sylfaen"/>
          <w:bCs/>
          <w:iCs/>
          <w:color w:val="000000"/>
          <w:lang w:val="ka-GE"/>
        </w:rPr>
        <w:t>ტყემ</w:t>
      </w:r>
      <w:r w:rsidRPr="000F54A3">
        <w:rPr>
          <w:rFonts w:ascii="Sylfaen" w:hAnsi="Sylfaen" w:cs="Sylfaen"/>
          <w:lang w:val="ka-GE"/>
        </w:rPr>
        <w:t xml:space="preserve">ალი </w:t>
      </w:r>
      <w:r w:rsidRPr="000F54A3">
        <w:rPr>
          <w:rFonts w:ascii="Sylfaen" w:hAnsi="Sylfaen" w:cs="Sylfaen"/>
          <w:i/>
          <w:lang w:val="ka-GE"/>
        </w:rPr>
        <w:t xml:space="preserve">(Prunus cerasifera); </w:t>
      </w:r>
      <w:r w:rsidRPr="000F54A3">
        <w:rPr>
          <w:rFonts w:ascii="Sylfaen" w:hAnsi="Sylfaen" w:cs="Sylfaen"/>
          <w:lang w:val="ka-GE"/>
        </w:rPr>
        <w:t>კვრინჩხი (</w:t>
      </w:r>
      <w:r w:rsidRPr="00A242F0">
        <w:rPr>
          <w:rFonts w:ascii="Sylfaen" w:hAnsi="Sylfaen"/>
          <w:lang w:val="ka-GE"/>
        </w:rPr>
        <w:t>Prunus spinosa</w:t>
      </w:r>
      <w:r w:rsidRPr="000F54A3">
        <w:rPr>
          <w:rFonts w:ascii="Sylfaen" w:hAnsi="Sylfaen" w:cs="Sylfaen"/>
          <w:lang w:val="ka-GE"/>
        </w:rPr>
        <w:t>)</w:t>
      </w:r>
      <w:r w:rsidRPr="000F54A3">
        <w:rPr>
          <w:rFonts w:ascii="Sylfaen" w:hAnsi="Sylfaen" w:cs="Sylfaen"/>
          <w:i/>
          <w:lang w:val="ka-GE"/>
        </w:rPr>
        <w:t>; ა</w:t>
      </w:r>
      <w:r>
        <w:rPr>
          <w:rFonts w:ascii="Sylfaen" w:hAnsi="Sylfaen" w:cs="Sylfaen"/>
          <w:i/>
          <w:lang w:val="ka-GE"/>
        </w:rPr>
        <w:t xml:space="preserve">სკილი </w:t>
      </w:r>
      <w:r w:rsidRPr="000F54A3">
        <w:rPr>
          <w:rFonts w:ascii="Sylfaen" w:hAnsi="Sylfaen" w:cs="Sylfaen"/>
          <w:i/>
          <w:lang w:val="ka-GE"/>
        </w:rPr>
        <w:t>(</w:t>
      </w:r>
      <w:r w:rsidRPr="00A242F0">
        <w:rPr>
          <w:rFonts w:ascii="Sylfaen" w:hAnsi="Sylfaen" w:cs="Sylfaen"/>
          <w:i/>
          <w:lang w:val="ka-GE"/>
        </w:rPr>
        <w:t>Ros</w:t>
      </w:r>
      <w:r w:rsidRPr="00A242F0">
        <w:rPr>
          <w:rFonts w:ascii="Sylfaen" w:hAnsi="Sylfaen"/>
          <w:i/>
          <w:lang w:val="ka-GE"/>
        </w:rPr>
        <w:t>a canina)</w:t>
      </w:r>
      <w:r w:rsidRPr="00A242F0">
        <w:rPr>
          <w:rFonts w:ascii="Sylfaen" w:hAnsi="Sylfaen"/>
          <w:lang w:val="ka-GE"/>
        </w:rPr>
        <w:t xml:space="preserve">; </w:t>
      </w:r>
      <w:r w:rsidRPr="000F54A3">
        <w:rPr>
          <w:rFonts w:ascii="Sylfaen" w:hAnsi="Sylfaen"/>
          <w:lang w:val="ka-GE"/>
        </w:rPr>
        <w:t>მ</w:t>
      </w:r>
      <w:r w:rsidRPr="000F54A3">
        <w:rPr>
          <w:rFonts w:ascii="Sylfaen" w:hAnsi="Sylfaen" w:cs="Sylfaen"/>
          <w:lang w:val="ka-GE"/>
        </w:rPr>
        <w:t xml:space="preserve">აყვალი </w:t>
      </w:r>
      <w:r w:rsidRPr="000F54A3">
        <w:rPr>
          <w:rFonts w:ascii="Sylfaen" w:hAnsi="Sylfaen" w:cs="Sylfaen"/>
          <w:i/>
          <w:lang w:val="ka-GE"/>
        </w:rPr>
        <w:t>(</w:t>
      </w:r>
      <w:r w:rsidRPr="00A242F0">
        <w:rPr>
          <w:rFonts w:ascii="Sylfaen" w:hAnsi="Sylfaen" w:cs="Sylfaen"/>
          <w:i/>
          <w:lang w:val="ka-GE"/>
        </w:rPr>
        <w:t>Rubus sp.)</w:t>
      </w:r>
      <w:r w:rsidRPr="000F54A3">
        <w:rPr>
          <w:rFonts w:ascii="Sylfaen" w:hAnsi="Sylfaen" w:cs="Sylfaen"/>
          <w:lang w:val="ka-GE"/>
        </w:rPr>
        <w:t xml:space="preserve">,  </w:t>
      </w:r>
      <w:r w:rsidRPr="000F54A3">
        <w:rPr>
          <w:rFonts w:ascii="Sylfaen" w:hAnsi="Sylfaen" w:cs="Arial"/>
          <w:szCs w:val="22"/>
          <w:lang w:val="ka-GE"/>
        </w:rPr>
        <w:t xml:space="preserve">ძეძვი </w:t>
      </w:r>
      <w:r w:rsidRPr="000F54A3">
        <w:rPr>
          <w:rFonts w:ascii="Sylfaen" w:hAnsi="Sylfaen" w:cs="Arial"/>
          <w:i/>
          <w:szCs w:val="22"/>
          <w:lang w:val="ka-GE"/>
        </w:rPr>
        <w:t>(Paliurus spina cristii)</w:t>
      </w:r>
      <w:r w:rsidRPr="000F54A3">
        <w:rPr>
          <w:rFonts w:ascii="Sylfaen" w:hAnsi="Sylfaen" w:cs="Arial"/>
          <w:szCs w:val="22"/>
          <w:lang w:val="ka-GE"/>
        </w:rPr>
        <w:t xml:space="preserve">. </w:t>
      </w:r>
      <w:r w:rsidRPr="000F54A3">
        <w:rPr>
          <w:rFonts w:ascii="Sylfaen" w:hAnsi="Sylfaen" w:cs="Sylfaen"/>
          <w:lang w:val="ka-GE"/>
        </w:rPr>
        <w:t xml:space="preserve">და სხვა. </w:t>
      </w:r>
    </w:p>
    <w:p w14:paraId="6C4A4B1B" w14:textId="77777777" w:rsidR="000901CF" w:rsidRPr="000F54A3" w:rsidRDefault="000901CF" w:rsidP="000901CF">
      <w:pPr>
        <w:rPr>
          <w:rFonts w:ascii="Sylfaen" w:hAnsi="Sylfaen" w:cs="Sylfaen"/>
          <w:lang w:val="ka-GE"/>
        </w:rPr>
      </w:pPr>
      <w:r w:rsidRPr="000F54A3">
        <w:rPr>
          <w:rFonts w:ascii="Sylfaen" w:hAnsi="Sylfaen" w:cs="Sylfaen"/>
          <w:lang w:val="ka-GE"/>
        </w:rPr>
        <w:t xml:space="preserve">სასოფლო სამეურნეო სავარგულების და რკინიგზის იმ მონაკვეთების სიგრძივ რომელიც დასახლებულ პუნქტებთან ახლოს მდებარეობს მოსახლეობას დარგული აქვს კაკლის ხეები. ვიზუალური შეფასებით მისი რაოდენობა მერყეობს 200 დან 250 ეგზემპლარამდე. </w:t>
      </w:r>
    </w:p>
    <w:p w14:paraId="79303D39" w14:textId="77777777" w:rsidR="000901CF" w:rsidRPr="00A242F0" w:rsidRDefault="000901CF" w:rsidP="000901CF">
      <w:pPr>
        <w:rPr>
          <w:rFonts w:ascii="Sylfaen" w:hAnsi="Sylfaen"/>
          <w:color w:val="000000"/>
          <w:lang w:val="ka-GE"/>
        </w:rPr>
      </w:pPr>
      <w:r w:rsidRPr="000F54A3">
        <w:rPr>
          <w:rFonts w:ascii="Sylfaen" w:hAnsi="Sylfaen"/>
          <w:color w:val="000000"/>
          <w:lang w:val="ka-GE"/>
        </w:rPr>
        <w:t xml:space="preserve">სოფელ </w:t>
      </w:r>
      <w:r w:rsidRPr="000F54A3">
        <w:rPr>
          <w:rFonts w:ascii="Sylfaen" w:hAnsi="Sylfaen" w:cs="Sylfaen"/>
          <w:lang w:val="ka-GE"/>
        </w:rPr>
        <w:t>ახალსოფლის მიდამოებში დერეფნის სიახლოვეს აღინიშნა</w:t>
      </w:r>
      <w:r w:rsidRPr="00A242F0">
        <w:rPr>
          <w:rFonts w:ascii="Sylfaen" w:hAnsi="Sylfaen" w:cs="Sylfaen"/>
          <w:lang w:val="ka-GE"/>
        </w:rPr>
        <w:t xml:space="preserve"> </w:t>
      </w:r>
      <w:r w:rsidRPr="000F54A3">
        <w:rPr>
          <w:rFonts w:ascii="Sylfaen" w:hAnsi="Sylfaen" w:cs="Sylfaen"/>
          <w:lang w:val="ka-GE"/>
        </w:rPr>
        <w:t xml:space="preserve">ფიჭვის </w:t>
      </w:r>
      <w:r w:rsidRPr="006803BD">
        <w:rPr>
          <w:rFonts w:ascii="Sylfaen" w:hAnsi="Sylfaen" w:cs="Sylfaen"/>
          <w:i/>
          <w:lang w:val="ka-GE"/>
        </w:rPr>
        <w:t>(</w:t>
      </w:r>
      <w:r w:rsidRPr="00A242F0">
        <w:rPr>
          <w:rFonts w:ascii="Sylfaen" w:hAnsi="Sylfaen" w:cs="Sylfaen"/>
          <w:i/>
          <w:lang w:val="ka-GE"/>
        </w:rPr>
        <w:t>Pinus sp.)</w:t>
      </w:r>
      <w:r w:rsidRPr="000F54A3">
        <w:rPr>
          <w:rFonts w:ascii="Sylfaen" w:hAnsi="Sylfaen" w:cs="Sylfaen"/>
          <w:lang w:val="ka-GE"/>
        </w:rPr>
        <w:t xml:space="preserve"> 30-40ეგზემპლიარი</w:t>
      </w:r>
      <w:r w:rsidRPr="00A242F0">
        <w:rPr>
          <w:rFonts w:ascii="Sylfaen" w:hAnsi="Sylfaen" w:cs="Sylfaen"/>
          <w:lang w:val="ka-GE"/>
        </w:rPr>
        <w:t xml:space="preserve">. </w:t>
      </w:r>
      <w:r w:rsidRPr="000F54A3">
        <w:rPr>
          <w:rFonts w:ascii="Sylfaen" w:hAnsi="Sylfaen" w:cs="Sylfaen"/>
          <w:lang w:val="ka-GE"/>
        </w:rPr>
        <w:t xml:space="preserve">მისი კოორდინატებია </w:t>
      </w:r>
      <w:r w:rsidRPr="00A242F0">
        <w:rPr>
          <w:rFonts w:ascii="Sylfaen" w:hAnsi="Sylfaen" w:cs="Sylfaen"/>
          <w:lang w:val="ka-GE"/>
        </w:rPr>
        <w:t xml:space="preserve">X 561364 Y 4628445. </w:t>
      </w:r>
    </w:p>
    <w:p w14:paraId="67C46D4A" w14:textId="77777777" w:rsidR="00BC0D12" w:rsidRPr="002B616A" w:rsidRDefault="00C67F3B" w:rsidP="002B56CC">
      <w:pPr>
        <w:pStyle w:val="BodyText"/>
        <w:spacing w:before="200" w:after="200" w:line="240" w:lineRule="auto"/>
        <w:rPr>
          <w:rFonts w:ascii="Sylfaen" w:hAnsi="Sylfaen"/>
          <w:u w:val="single"/>
          <w:lang w:val="ka-GE"/>
        </w:rPr>
      </w:pPr>
      <w:r w:rsidRPr="002B616A">
        <w:rPr>
          <w:rFonts w:ascii="Sylfaen" w:hAnsi="Sylfaen"/>
          <w:u w:val="single"/>
          <w:lang w:val="ka-GE"/>
        </w:rPr>
        <w:t>ფაუნა</w:t>
      </w:r>
    </w:p>
    <w:p w14:paraId="75A1AF1C" w14:textId="77777777" w:rsidR="00865E9A" w:rsidRPr="009852B4" w:rsidRDefault="00865E9A" w:rsidP="002E0662">
      <w:pPr>
        <w:pStyle w:val="BodyText"/>
        <w:spacing w:before="120" w:after="120" w:line="240" w:lineRule="auto"/>
        <w:jc w:val="both"/>
        <w:rPr>
          <w:rFonts w:ascii="Sylfaen" w:hAnsi="Sylfaen"/>
          <w:sz w:val="22"/>
          <w:lang w:val="ka-GE"/>
        </w:rPr>
      </w:pPr>
      <w:r w:rsidRPr="009852B4">
        <w:rPr>
          <w:rFonts w:ascii="Sylfaen" w:hAnsi="Sylfaen" w:cs="Sylfaen"/>
          <w:sz w:val="22"/>
          <w:lang w:val="ka-GE"/>
        </w:rPr>
        <w:t>რეგიონის</w:t>
      </w:r>
      <w:r w:rsidRPr="009852B4">
        <w:rPr>
          <w:rFonts w:ascii="Sylfaen" w:hAnsi="Sylfaen"/>
          <w:sz w:val="22"/>
          <w:lang w:val="ka-GE"/>
        </w:rPr>
        <w:t xml:space="preserve"> </w:t>
      </w:r>
      <w:r w:rsidRPr="009852B4">
        <w:rPr>
          <w:rFonts w:ascii="Sylfaen" w:hAnsi="Sylfaen" w:cs="Sylfaen"/>
          <w:sz w:val="22"/>
          <w:lang w:val="ka-GE"/>
        </w:rPr>
        <w:t>ბუნება</w:t>
      </w:r>
      <w:r w:rsidRPr="009852B4">
        <w:rPr>
          <w:rFonts w:ascii="Sylfaen" w:hAnsi="Sylfaen" w:cs="Arial"/>
          <w:sz w:val="22"/>
          <w:lang w:val="ka-GE"/>
        </w:rPr>
        <w:t xml:space="preserve"> </w:t>
      </w:r>
      <w:r w:rsidRPr="009852B4">
        <w:rPr>
          <w:rFonts w:ascii="Sylfaen" w:hAnsi="Sylfaen" w:cs="Sylfaen"/>
          <w:sz w:val="22"/>
          <w:lang w:val="ka-GE"/>
        </w:rPr>
        <w:t>ლიტერატურული</w:t>
      </w:r>
      <w:r w:rsidRPr="009852B4">
        <w:rPr>
          <w:rFonts w:ascii="Sylfaen" w:hAnsi="Sylfaen" w:cs="Arial"/>
          <w:sz w:val="22"/>
          <w:lang w:val="ka-GE"/>
        </w:rPr>
        <w:t xml:space="preserve"> </w:t>
      </w:r>
      <w:r w:rsidRPr="009852B4">
        <w:rPr>
          <w:rFonts w:ascii="Sylfaen" w:hAnsi="Sylfaen" w:cs="Sylfaen"/>
          <w:sz w:val="22"/>
          <w:lang w:val="ka-GE"/>
        </w:rPr>
        <w:t>წყაროების</w:t>
      </w:r>
      <w:r w:rsidRPr="009852B4">
        <w:rPr>
          <w:rFonts w:ascii="Sylfaen" w:hAnsi="Sylfaen" w:cs="Arial"/>
          <w:sz w:val="22"/>
          <w:lang w:val="ka-GE"/>
        </w:rPr>
        <w:t xml:space="preserve"> </w:t>
      </w:r>
      <w:r w:rsidRPr="009852B4">
        <w:rPr>
          <w:rFonts w:ascii="Sylfaen" w:hAnsi="Sylfaen" w:cs="Sylfaen"/>
          <w:sz w:val="22"/>
          <w:lang w:val="ka-GE"/>
        </w:rPr>
        <w:t>მიხედვით</w:t>
      </w:r>
      <w:r w:rsidRPr="009852B4">
        <w:rPr>
          <w:rFonts w:ascii="Sylfaen" w:hAnsi="Sylfaen" w:cs="Arial"/>
          <w:sz w:val="22"/>
          <w:lang w:val="ka-GE"/>
        </w:rPr>
        <w:t xml:space="preserve">, </w:t>
      </w:r>
      <w:r w:rsidRPr="009852B4">
        <w:rPr>
          <w:rFonts w:ascii="Sylfaen" w:hAnsi="Sylfaen" w:cs="Sylfaen"/>
          <w:sz w:val="22"/>
          <w:lang w:val="ka-GE"/>
        </w:rPr>
        <w:t>მუნიციპალიტეტის</w:t>
      </w:r>
      <w:r w:rsidRPr="009852B4">
        <w:rPr>
          <w:rFonts w:ascii="Sylfaen" w:hAnsi="Sylfaen" w:cs="Arial"/>
          <w:sz w:val="22"/>
          <w:lang w:val="ka-GE"/>
        </w:rPr>
        <w:t xml:space="preserve"> </w:t>
      </w:r>
      <w:r w:rsidRPr="009852B4">
        <w:rPr>
          <w:rFonts w:ascii="Sylfaen" w:hAnsi="Sylfaen" w:cs="Sylfaen"/>
          <w:sz w:val="22"/>
          <w:lang w:val="ka-GE"/>
        </w:rPr>
        <w:t>ტერიტორიაზე</w:t>
      </w:r>
      <w:r w:rsidRPr="009852B4">
        <w:rPr>
          <w:rFonts w:ascii="Sylfaen" w:hAnsi="Sylfaen"/>
          <w:sz w:val="22"/>
          <w:lang w:val="ka-GE"/>
        </w:rPr>
        <w:t xml:space="preserve"> </w:t>
      </w:r>
      <w:r w:rsidRPr="009852B4">
        <w:rPr>
          <w:rFonts w:ascii="Sylfaen" w:hAnsi="Sylfaen" w:cs="Sylfaen"/>
          <w:sz w:val="22"/>
          <w:lang w:val="ka-GE"/>
        </w:rPr>
        <w:t>შეიძლება</w:t>
      </w:r>
      <w:r w:rsidRPr="009852B4">
        <w:rPr>
          <w:rFonts w:ascii="Sylfaen" w:hAnsi="Sylfaen" w:cs="Arial"/>
          <w:sz w:val="22"/>
          <w:lang w:val="ka-GE"/>
        </w:rPr>
        <w:t xml:space="preserve"> </w:t>
      </w:r>
      <w:r w:rsidRPr="009852B4">
        <w:rPr>
          <w:rFonts w:ascii="Sylfaen" w:hAnsi="Sylfaen" w:cs="Sylfaen"/>
          <w:sz w:val="22"/>
          <w:lang w:val="ka-GE"/>
        </w:rPr>
        <w:t>მოიძებნოს</w:t>
      </w:r>
      <w:r w:rsidRPr="009852B4">
        <w:rPr>
          <w:rFonts w:ascii="Sylfaen" w:hAnsi="Sylfaen" w:cs="Arial"/>
          <w:sz w:val="22"/>
          <w:lang w:val="ka-GE"/>
        </w:rPr>
        <w:t xml:space="preserve"> </w:t>
      </w:r>
      <w:r w:rsidRPr="009852B4">
        <w:rPr>
          <w:rFonts w:ascii="Sylfaen" w:hAnsi="Sylfaen" w:cs="Sylfaen"/>
          <w:sz w:val="22"/>
          <w:lang w:val="ka-GE"/>
        </w:rPr>
        <w:t>ცხოველთა</w:t>
      </w:r>
      <w:r w:rsidRPr="009852B4">
        <w:rPr>
          <w:rFonts w:ascii="Sylfaen" w:hAnsi="Sylfaen" w:cs="Arial"/>
          <w:sz w:val="22"/>
          <w:lang w:val="ka-GE"/>
        </w:rPr>
        <w:t xml:space="preserve"> </w:t>
      </w:r>
      <w:r w:rsidRPr="009852B4">
        <w:rPr>
          <w:rFonts w:ascii="Sylfaen" w:hAnsi="Sylfaen" w:cs="Sylfaen"/>
          <w:sz w:val="22"/>
          <w:lang w:val="ka-GE"/>
        </w:rPr>
        <w:t>სახეობები</w:t>
      </w:r>
      <w:r w:rsidRPr="009852B4">
        <w:rPr>
          <w:rFonts w:ascii="Sylfaen" w:hAnsi="Sylfaen" w:cs="Arial"/>
          <w:sz w:val="22"/>
          <w:lang w:val="ka-GE"/>
        </w:rPr>
        <w:t xml:space="preserve">: </w:t>
      </w:r>
      <w:r w:rsidRPr="009852B4">
        <w:rPr>
          <w:rFonts w:ascii="Sylfaen" w:hAnsi="Sylfaen" w:cs="Sylfaen"/>
          <w:sz w:val="22"/>
          <w:lang w:val="ka-GE"/>
        </w:rPr>
        <w:t>არჩვი</w:t>
      </w:r>
      <w:r w:rsidRPr="009852B4">
        <w:rPr>
          <w:rFonts w:ascii="Sylfaen" w:hAnsi="Sylfaen" w:cs="Arial"/>
          <w:sz w:val="22"/>
          <w:lang w:val="ka-GE"/>
        </w:rPr>
        <w:t xml:space="preserve">, </w:t>
      </w:r>
      <w:r w:rsidRPr="009852B4">
        <w:rPr>
          <w:rFonts w:ascii="Sylfaen" w:hAnsi="Sylfaen" w:cs="Sylfaen"/>
          <w:sz w:val="22"/>
          <w:lang w:val="ka-GE"/>
        </w:rPr>
        <w:t>მგელი</w:t>
      </w:r>
      <w:r w:rsidRPr="009852B4">
        <w:rPr>
          <w:rFonts w:ascii="Sylfaen" w:hAnsi="Sylfaen" w:cs="Arial"/>
          <w:sz w:val="22"/>
          <w:lang w:val="ka-GE"/>
        </w:rPr>
        <w:t xml:space="preserve">, </w:t>
      </w:r>
      <w:r w:rsidR="00C20692" w:rsidRPr="009852B4">
        <w:rPr>
          <w:rFonts w:ascii="Sylfaen" w:hAnsi="Sylfaen" w:cs="Sylfaen"/>
          <w:sz w:val="22"/>
          <w:lang w:val="ka-GE"/>
        </w:rPr>
        <w:t>მელ</w:t>
      </w:r>
      <w:r w:rsidRPr="009852B4">
        <w:rPr>
          <w:rFonts w:ascii="Sylfaen" w:hAnsi="Sylfaen" w:cs="Sylfaen"/>
          <w:sz w:val="22"/>
          <w:lang w:val="ka-GE"/>
        </w:rPr>
        <w:t>ა</w:t>
      </w:r>
      <w:r w:rsidRPr="009852B4">
        <w:rPr>
          <w:rFonts w:ascii="Sylfaen" w:hAnsi="Sylfaen" w:cs="Arial"/>
          <w:sz w:val="22"/>
          <w:lang w:val="ka-GE"/>
        </w:rPr>
        <w:t xml:space="preserve">, </w:t>
      </w:r>
      <w:r w:rsidRPr="009852B4">
        <w:rPr>
          <w:rFonts w:ascii="Sylfaen" w:hAnsi="Sylfaen" w:cs="Sylfaen"/>
          <w:sz w:val="22"/>
          <w:lang w:val="ka-GE"/>
        </w:rPr>
        <w:t>ტურა</w:t>
      </w:r>
      <w:r w:rsidRPr="009852B4">
        <w:rPr>
          <w:rFonts w:ascii="Sylfaen" w:hAnsi="Sylfaen" w:cs="Arial"/>
          <w:sz w:val="22"/>
          <w:lang w:val="ka-GE"/>
        </w:rPr>
        <w:t xml:space="preserve">, </w:t>
      </w:r>
      <w:r w:rsidRPr="009852B4">
        <w:rPr>
          <w:rFonts w:ascii="Sylfaen" w:hAnsi="Sylfaen" w:cs="Sylfaen"/>
          <w:sz w:val="22"/>
          <w:lang w:val="ka-GE"/>
        </w:rPr>
        <w:t>ტახი,</w:t>
      </w:r>
      <w:r w:rsidRPr="009852B4">
        <w:rPr>
          <w:rFonts w:ascii="Sylfaen" w:hAnsi="Sylfaen" w:cs="Arial"/>
          <w:sz w:val="22"/>
          <w:lang w:val="ka-GE"/>
        </w:rPr>
        <w:t xml:space="preserve"> </w:t>
      </w:r>
      <w:r w:rsidRPr="009852B4">
        <w:rPr>
          <w:rFonts w:ascii="Sylfaen" w:hAnsi="Sylfaen" w:cs="Sylfaen"/>
          <w:sz w:val="22"/>
          <w:lang w:val="ka-GE"/>
        </w:rPr>
        <w:t>კურდღელი</w:t>
      </w:r>
      <w:r w:rsidRPr="009852B4">
        <w:rPr>
          <w:rFonts w:ascii="Sylfaen" w:hAnsi="Sylfaen" w:cs="Arial"/>
          <w:sz w:val="22"/>
          <w:lang w:val="ka-GE"/>
        </w:rPr>
        <w:t xml:space="preserve">, </w:t>
      </w:r>
      <w:r w:rsidRPr="009852B4">
        <w:rPr>
          <w:rFonts w:ascii="Sylfaen" w:hAnsi="Sylfaen" w:cs="Sylfaen"/>
          <w:sz w:val="22"/>
          <w:lang w:val="ka-GE"/>
        </w:rPr>
        <w:t>სინდიოფალა</w:t>
      </w:r>
      <w:r w:rsidRPr="009852B4">
        <w:rPr>
          <w:rFonts w:ascii="Sylfaen" w:hAnsi="Sylfaen" w:cs="Arial"/>
          <w:sz w:val="22"/>
          <w:lang w:val="ka-GE"/>
        </w:rPr>
        <w:t xml:space="preserve">, </w:t>
      </w:r>
      <w:r w:rsidRPr="009852B4">
        <w:rPr>
          <w:rFonts w:ascii="Sylfaen" w:hAnsi="Sylfaen" w:cs="Sylfaen"/>
          <w:sz w:val="22"/>
          <w:lang w:val="ka-GE"/>
        </w:rPr>
        <w:t>მემინდვრია</w:t>
      </w:r>
      <w:r w:rsidRPr="009852B4">
        <w:rPr>
          <w:rFonts w:ascii="Sylfaen" w:hAnsi="Sylfaen" w:cs="Arial"/>
          <w:sz w:val="22"/>
          <w:lang w:val="ka-GE"/>
        </w:rPr>
        <w:t xml:space="preserve">, </w:t>
      </w:r>
      <w:r w:rsidRPr="009852B4">
        <w:rPr>
          <w:rFonts w:ascii="Sylfaen" w:hAnsi="Sylfaen" w:cs="Sylfaen"/>
          <w:sz w:val="22"/>
          <w:lang w:val="ka-GE"/>
        </w:rPr>
        <w:t>ჩვეულებრივი თაგვი, ვირთხა</w:t>
      </w:r>
      <w:r w:rsidRPr="009852B4">
        <w:rPr>
          <w:rFonts w:ascii="Sylfaen" w:hAnsi="Sylfaen" w:cs="Arial"/>
          <w:sz w:val="22"/>
          <w:lang w:val="ka-GE"/>
        </w:rPr>
        <w:t xml:space="preserve"> </w:t>
      </w:r>
      <w:r w:rsidRPr="009852B4">
        <w:rPr>
          <w:rFonts w:ascii="Sylfaen" w:hAnsi="Sylfaen" w:cs="Sylfaen"/>
          <w:sz w:val="22"/>
          <w:lang w:val="ka-GE"/>
        </w:rPr>
        <w:t>და</w:t>
      </w:r>
      <w:r w:rsidRPr="009852B4">
        <w:rPr>
          <w:rFonts w:ascii="Sylfaen" w:hAnsi="Sylfaen" w:cs="Arial"/>
          <w:sz w:val="22"/>
          <w:lang w:val="ka-GE"/>
        </w:rPr>
        <w:t xml:space="preserve"> </w:t>
      </w:r>
      <w:r w:rsidRPr="009852B4">
        <w:rPr>
          <w:rFonts w:ascii="Sylfaen" w:hAnsi="Sylfaen" w:cs="Sylfaen"/>
          <w:sz w:val="22"/>
          <w:lang w:val="ka-GE"/>
        </w:rPr>
        <w:t>ა</w:t>
      </w:r>
      <w:r w:rsidRPr="009852B4">
        <w:rPr>
          <w:rFonts w:ascii="Sylfaen" w:hAnsi="Sylfaen" w:cs="Arial"/>
          <w:sz w:val="22"/>
          <w:lang w:val="ka-GE"/>
        </w:rPr>
        <w:t>.</w:t>
      </w:r>
      <w:r w:rsidRPr="009852B4">
        <w:rPr>
          <w:rFonts w:ascii="Sylfaen" w:hAnsi="Sylfaen" w:cs="Sylfaen"/>
          <w:sz w:val="22"/>
          <w:lang w:val="ka-GE"/>
        </w:rPr>
        <w:t>შ</w:t>
      </w:r>
      <w:r w:rsidRPr="009852B4">
        <w:rPr>
          <w:rFonts w:ascii="Sylfaen" w:hAnsi="Sylfaen"/>
          <w:sz w:val="22"/>
          <w:lang w:val="ka-GE"/>
        </w:rPr>
        <w:t xml:space="preserve">. </w:t>
      </w:r>
      <w:r w:rsidRPr="009852B4">
        <w:rPr>
          <w:rStyle w:val="shorttext"/>
          <w:rFonts w:ascii="Sylfaen" w:hAnsi="Sylfaen" w:cs="Sylfaen"/>
          <w:sz w:val="22"/>
          <w:lang w:val="ka-GE"/>
        </w:rPr>
        <w:t>არსებობს</w:t>
      </w:r>
      <w:r w:rsidRPr="009852B4">
        <w:rPr>
          <w:rStyle w:val="shorttext"/>
          <w:rFonts w:ascii="Sylfaen" w:hAnsi="Sylfaen" w:cs="Arial"/>
          <w:sz w:val="22"/>
          <w:lang w:val="ka-GE"/>
        </w:rPr>
        <w:t xml:space="preserve"> </w:t>
      </w:r>
      <w:r w:rsidRPr="009852B4">
        <w:rPr>
          <w:rStyle w:val="shorttext"/>
          <w:rFonts w:ascii="Sylfaen" w:hAnsi="Sylfaen" w:cs="Sylfaen"/>
          <w:sz w:val="22"/>
          <w:lang w:val="ka-GE"/>
        </w:rPr>
        <w:t>ფრინველის</w:t>
      </w:r>
      <w:r w:rsidRPr="009852B4">
        <w:rPr>
          <w:rStyle w:val="shorttext"/>
          <w:rFonts w:ascii="Sylfaen" w:hAnsi="Sylfaen" w:cs="Arial"/>
          <w:sz w:val="22"/>
          <w:lang w:val="ka-GE"/>
        </w:rPr>
        <w:t xml:space="preserve"> </w:t>
      </w:r>
      <w:r w:rsidRPr="009852B4">
        <w:rPr>
          <w:rStyle w:val="shorttext"/>
          <w:rFonts w:ascii="Sylfaen" w:hAnsi="Sylfaen" w:cs="Sylfaen"/>
          <w:sz w:val="22"/>
          <w:lang w:val="ka-GE"/>
        </w:rPr>
        <w:t>უამრავი სახეობა</w:t>
      </w:r>
      <w:r w:rsidRPr="009852B4">
        <w:rPr>
          <w:rStyle w:val="shorttext"/>
          <w:rFonts w:ascii="Sylfaen" w:hAnsi="Sylfaen"/>
          <w:sz w:val="22"/>
          <w:lang w:val="ka-GE"/>
        </w:rPr>
        <w:t xml:space="preserve">. </w:t>
      </w:r>
      <w:r w:rsidRPr="009852B4">
        <w:rPr>
          <w:rFonts w:ascii="Sylfaen" w:hAnsi="Sylfaen" w:cs="Sylfaen"/>
          <w:sz w:val="22"/>
          <w:lang w:val="ka-GE"/>
        </w:rPr>
        <w:t>თევზების</w:t>
      </w:r>
      <w:r w:rsidRPr="009852B4">
        <w:rPr>
          <w:rFonts w:ascii="Sylfaen" w:hAnsi="Sylfaen" w:cs="Arial"/>
          <w:sz w:val="22"/>
          <w:lang w:val="ka-GE"/>
        </w:rPr>
        <w:t xml:space="preserve"> </w:t>
      </w:r>
      <w:r w:rsidRPr="009852B4">
        <w:rPr>
          <w:rFonts w:ascii="Sylfaen" w:hAnsi="Sylfaen" w:cs="Sylfaen"/>
          <w:sz w:val="22"/>
          <w:lang w:val="ka-GE"/>
        </w:rPr>
        <w:t>შემდეგ</w:t>
      </w:r>
      <w:r w:rsidR="00793010" w:rsidRPr="009852B4">
        <w:rPr>
          <w:rFonts w:ascii="Sylfaen" w:hAnsi="Sylfaen" w:cs="Arial"/>
          <w:sz w:val="22"/>
          <w:lang w:val="ka-GE"/>
        </w:rPr>
        <w:t xml:space="preserve">ი </w:t>
      </w:r>
      <w:r w:rsidRPr="009852B4">
        <w:rPr>
          <w:rFonts w:ascii="Sylfaen" w:hAnsi="Sylfaen" w:cs="Sylfaen"/>
          <w:sz w:val="22"/>
          <w:lang w:val="ka-GE"/>
        </w:rPr>
        <w:t>სახეობები</w:t>
      </w:r>
      <w:r w:rsidR="00793010" w:rsidRPr="009852B4">
        <w:rPr>
          <w:rFonts w:ascii="Sylfaen" w:hAnsi="Sylfaen" w:cs="Sylfaen"/>
          <w:sz w:val="22"/>
          <w:lang w:val="ka-GE"/>
        </w:rPr>
        <w:t xml:space="preserve"> გვხვდება მდინარეებში</w:t>
      </w:r>
      <w:r w:rsidRPr="009852B4">
        <w:rPr>
          <w:rFonts w:ascii="Sylfaen" w:hAnsi="Sylfaen" w:cs="Arial"/>
          <w:sz w:val="22"/>
          <w:lang w:val="ka-GE"/>
        </w:rPr>
        <w:t xml:space="preserve">: </w:t>
      </w:r>
      <w:r w:rsidR="00793010" w:rsidRPr="009852B4">
        <w:rPr>
          <w:rFonts w:ascii="Sylfaen" w:hAnsi="Sylfaen" w:cs="Sylfaen"/>
          <w:sz w:val="22"/>
          <w:lang w:val="ka-GE"/>
        </w:rPr>
        <w:t>კობრი</w:t>
      </w:r>
      <w:r w:rsidRPr="009852B4">
        <w:rPr>
          <w:rFonts w:ascii="Sylfaen" w:hAnsi="Sylfaen" w:cs="Arial"/>
          <w:sz w:val="22"/>
          <w:lang w:val="ka-GE"/>
        </w:rPr>
        <w:t xml:space="preserve">, </w:t>
      </w:r>
      <w:r w:rsidR="00793010" w:rsidRPr="00845892">
        <w:rPr>
          <w:rStyle w:val="list-group-item-text"/>
          <w:rFonts w:ascii="Sylfaen" w:hAnsi="Sylfaen" w:cs="Sylfaen"/>
          <w:sz w:val="22"/>
          <w:lang w:val="ka-GE"/>
        </w:rPr>
        <w:t>მბრწყინავქაცვიანი</w:t>
      </w:r>
      <w:r w:rsidR="00793010" w:rsidRPr="00845892">
        <w:rPr>
          <w:rStyle w:val="list-group-item-text"/>
          <w:rFonts w:ascii="Sylfaen" w:hAnsi="Sylfaen" w:cs="Arial"/>
          <w:sz w:val="22"/>
          <w:lang w:val="ka-GE"/>
        </w:rPr>
        <w:t xml:space="preserve"> </w:t>
      </w:r>
      <w:r w:rsidRPr="009852B4">
        <w:rPr>
          <w:rFonts w:ascii="Sylfaen" w:hAnsi="Sylfaen" w:cs="Sylfaen"/>
          <w:sz w:val="22"/>
          <w:lang w:val="ka-GE"/>
        </w:rPr>
        <w:t>თევზი</w:t>
      </w:r>
      <w:r w:rsidRPr="009852B4">
        <w:rPr>
          <w:rFonts w:ascii="Sylfaen" w:hAnsi="Sylfaen" w:cs="Arial"/>
          <w:sz w:val="22"/>
          <w:lang w:val="ka-GE"/>
        </w:rPr>
        <w:t xml:space="preserve">, </w:t>
      </w:r>
      <w:r w:rsidR="00793010" w:rsidRPr="009852B4">
        <w:rPr>
          <w:rFonts w:ascii="Sylfaen" w:hAnsi="Sylfaen" w:cs="Sylfaen"/>
          <w:sz w:val="22"/>
          <w:lang w:val="ka-GE"/>
        </w:rPr>
        <w:t>კარჩხალი</w:t>
      </w:r>
      <w:r w:rsidRPr="009852B4">
        <w:rPr>
          <w:rFonts w:ascii="Sylfaen" w:hAnsi="Sylfaen" w:cs="Arial"/>
          <w:sz w:val="22"/>
          <w:lang w:val="ka-GE"/>
        </w:rPr>
        <w:t xml:space="preserve">, </w:t>
      </w:r>
      <w:r w:rsidR="006E646A" w:rsidRPr="009852B4">
        <w:rPr>
          <w:rFonts w:ascii="Sylfaen" w:hAnsi="Sylfaen" w:cs="Sylfaen"/>
          <w:sz w:val="22"/>
          <w:lang w:val="ka-GE"/>
        </w:rPr>
        <w:t>ჭანარი</w:t>
      </w:r>
      <w:r w:rsidRPr="009852B4">
        <w:rPr>
          <w:rFonts w:ascii="Sylfaen" w:hAnsi="Sylfaen" w:cs="Arial"/>
          <w:sz w:val="22"/>
          <w:lang w:val="ka-GE"/>
        </w:rPr>
        <w:t xml:space="preserve">, </w:t>
      </w:r>
      <w:r w:rsidR="00793010" w:rsidRPr="009852B4">
        <w:rPr>
          <w:rFonts w:ascii="Sylfaen" w:hAnsi="Sylfaen" w:cs="Sylfaen"/>
          <w:sz w:val="22"/>
          <w:lang w:val="ka-GE"/>
        </w:rPr>
        <w:t>ლოქო,</w:t>
      </w:r>
      <w:r w:rsidRPr="009852B4">
        <w:rPr>
          <w:rFonts w:ascii="Sylfaen" w:hAnsi="Sylfaen" w:cs="Arial"/>
          <w:sz w:val="22"/>
          <w:lang w:val="ka-GE"/>
        </w:rPr>
        <w:t xml:space="preserve"> </w:t>
      </w:r>
      <w:r w:rsidR="00793010" w:rsidRPr="009852B4">
        <w:rPr>
          <w:rFonts w:ascii="Sylfaen" w:hAnsi="Sylfaen" w:cs="Sylfaen"/>
          <w:sz w:val="22"/>
          <w:lang w:val="ka-GE"/>
        </w:rPr>
        <w:t>ჭანარი</w:t>
      </w:r>
      <w:r w:rsidRPr="009852B4">
        <w:rPr>
          <w:rFonts w:ascii="Sylfaen" w:hAnsi="Sylfaen" w:cs="Arial"/>
          <w:sz w:val="22"/>
          <w:lang w:val="ka-GE"/>
        </w:rPr>
        <w:t xml:space="preserve">, </w:t>
      </w:r>
      <w:r w:rsidR="00793010" w:rsidRPr="009852B4">
        <w:rPr>
          <w:rFonts w:ascii="Sylfaen" w:hAnsi="Sylfaen" w:cs="Sylfaen"/>
          <w:sz w:val="22"/>
          <w:lang w:val="ka-GE"/>
        </w:rPr>
        <w:t>მურწა</w:t>
      </w:r>
      <w:r w:rsidRPr="009852B4">
        <w:rPr>
          <w:rFonts w:ascii="Sylfaen" w:hAnsi="Sylfaen" w:cs="Arial"/>
          <w:sz w:val="22"/>
          <w:lang w:val="ka-GE"/>
        </w:rPr>
        <w:t xml:space="preserve">, </w:t>
      </w:r>
      <w:r w:rsidR="00793010" w:rsidRPr="009852B4">
        <w:rPr>
          <w:rFonts w:ascii="Sylfaen" w:hAnsi="Sylfaen" w:cs="Sylfaen"/>
          <w:sz w:val="22"/>
          <w:lang w:val="ka-GE"/>
        </w:rPr>
        <w:t>გველგესლა</w:t>
      </w:r>
      <w:r w:rsidRPr="009852B4">
        <w:rPr>
          <w:rFonts w:ascii="Sylfaen" w:hAnsi="Sylfaen" w:cs="Arial"/>
          <w:sz w:val="22"/>
          <w:lang w:val="ka-GE"/>
        </w:rPr>
        <w:t xml:space="preserve"> </w:t>
      </w:r>
      <w:r w:rsidRPr="009852B4">
        <w:rPr>
          <w:rFonts w:ascii="Sylfaen" w:hAnsi="Sylfaen" w:cs="Sylfaen"/>
          <w:sz w:val="22"/>
          <w:lang w:val="ka-GE"/>
        </w:rPr>
        <w:t>და</w:t>
      </w:r>
      <w:r w:rsidRPr="009852B4">
        <w:rPr>
          <w:rFonts w:ascii="Sylfaen" w:hAnsi="Sylfaen" w:cs="Arial"/>
          <w:sz w:val="22"/>
          <w:lang w:val="ka-GE"/>
        </w:rPr>
        <w:t xml:space="preserve"> </w:t>
      </w:r>
      <w:r w:rsidRPr="009852B4">
        <w:rPr>
          <w:rFonts w:ascii="Sylfaen" w:hAnsi="Sylfaen" w:cs="Sylfaen"/>
          <w:sz w:val="22"/>
          <w:lang w:val="ka-GE"/>
        </w:rPr>
        <w:t>ა</w:t>
      </w:r>
      <w:r w:rsidRPr="009852B4">
        <w:rPr>
          <w:rFonts w:ascii="Sylfaen" w:hAnsi="Sylfaen" w:cs="Arial"/>
          <w:sz w:val="22"/>
          <w:lang w:val="ka-GE"/>
        </w:rPr>
        <w:t>.</w:t>
      </w:r>
      <w:r w:rsidRPr="009852B4">
        <w:rPr>
          <w:rFonts w:ascii="Sylfaen" w:hAnsi="Sylfaen" w:cs="Sylfaen"/>
          <w:sz w:val="22"/>
          <w:lang w:val="ka-GE"/>
        </w:rPr>
        <w:t>შ</w:t>
      </w:r>
      <w:r w:rsidRPr="009852B4">
        <w:rPr>
          <w:rFonts w:ascii="Sylfaen" w:hAnsi="Sylfaen"/>
          <w:sz w:val="22"/>
          <w:lang w:val="ka-GE"/>
        </w:rPr>
        <w:t>.</w:t>
      </w:r>
    </w:p>
    <w:p w14:paraId="56C7AF58" w14:textId="77777777" w:rsidR="000275E3" w:rsidRPr="00EF039F" w:rsidRDefault="000275E3" w:rsidP="000275E3">
      <w:pPr>
        <w:spacing w:line="237" w:lineRule="auto"/>
        <w:ind w:left="7" w:right="20"/>
        <w:rPr>
          <w:rFonts w:ascii="Sylfaen" w:eastAsia="Sylfaen" w:hAnsi="Sylfaen"/>
          <w:szCs w:val="20"/>
          <w:lang w:val="ka-GE" w:eastAsia="en-US"/>
        </w:rPr>
      </w:pPr>
      <w:r w:rsidRPr="00EF039F">
        <w:rPr>
          <w:rFonts w:ascii="Sylfaen" w:eastAsia="Sylfaen" w:hAnsi="Sylfaen"/>
          <w:lang w:val="ka-GE"/>
        </w:rPr>
        <w:t>ტყის დიდი ნაწილი გაჩეხილია შეშის მოპოვების მიზნით. მიუხედავად იმისა, რომ ადამიანის გავლენა უარყოფითად აისახება ტერიტორიაზე, იგი მაინც ხელსაყრელი თავშესაფარია ცხოველებისათვის. მდინარის სიახლოვე, ვაკე რელიეფი, ქვეტყეში - ღია და დაბურული ადგილები შესაფერისად არის მორგებული აქ მობინადრე სხვადასხვა სახეობის ცხოველებისათვის.</w:t>
      </w:r>
      <w:r w:rsidR="00EF039F">
        <w:rPr>
          <w:rFonts w:ascii="Sylfaen" w:eastAsia="Sylfaen" w:hAnsi="Sylfaen"/>
          <w:lang w:val="ka-GE"/>
        </w:rPr>
        <w:t xml:space="preserve"> </w:t>
      </w:r>
    </w:p>
    <w:p w14:paraId="459EABA5" w14:textId="77777777" w:rsidR="000465B2" w:rsidRPr="009852B4" w:rsidRDefault="00793010" w:rsidP="002B56CC">
      <w:pPr>
        <w:pStyle w:val="BodyText"/>
        <w:spacing w:before="200" w:after="200" w:line="240" w:lineRule="auto"/>
        <w:jc w:val="both"/>
        <w:rPr>
          <w:rFonts w:ascii="Sylfaen" w:eastAsia="Arial" w:hAnsi="Sylfaen"/>
          <w:sz w:val="22"/>
          <w:lang w:val="ka-GE"/>
        </w:rPr>
      </w:pPr>
      <w:r w:rsidRPr="009852B4">
        <w:rPr>
          <w:rFonts w:ascii="Sylfaen" w:hAnsi="Sylfaen"/>
          <w:sz w:val="22"/>
          <w:lang w:val="ka-GE"/>
        </w:rPr>
        <w:t xml:space="preserve">საკვლევ ტერიტორიაზე გავრცელებული </w:t>
      </w:r>
      <w:r w:rsidR="00EF039F">
        <w:rPr>
          <w:rFonts w:ascii="Sylfaen" w:hAnsi="Sylfaen"/>
          <w:sz w:val="22"/>
          <w:lang w:val="ka-GE"/>
        </w:rPr>
        <w:t xml:space="preserve">ძუძუმწოვრების გამოვლენა ვერ მოხერხდა, არ იქნა აღმოჩენილი ვერც ცხოველის კვალი, ექსკრემენტების ან სხვა ნიშნების პოვნა. </w:t>
      </w:r>
      <w:r w:rsidR="00C20692" w:rsidRPr="009852B4">
        <w:rPr>
          <w:rFonts w:ascii="Sylfaen" w:hAnsi="Sylfaen" w:cs="Sylfaen"/>
          <w:sz w:val="22"/>
          <w:lang w:val="ka-GE"/>
        </w:rPr>
        <w:t>ადგილობრივების</w:t>
      </w:r>
      <w:r w:rsidR="00C20692" w:rsidRPr="009852B4">
        <w:rPr>
          <w:rFonts w:ascii="Sylfaen" w:hAnsi="Sylfaen"/>
          <w:sz w:val="22"/>
          <w:lang w:val="ka-GE"/>
        </w:rPr>
        <w:t xml:space="preserve"> </w:t>
      </w:r>
      <w:r w:rsidR="00C20692" w:rsidRPr="009852B4">
        <w:rPr>
          <w:rFonts w:ascii="Sylfaen" w:hAnsi="Sylfaen" w:cs="Sylfaen"/>
          <w:sz w:val="22"/>
          <w:lang w:val="ka-GE"/>
        </w:rPr>
        <w:t>თქმით</w:t>
      </w:r>
      <w:r w:rsidR="00C20692" w:rsidRPr="009852B4">
        <w:rPr>
          <w:rFonts w:ascii="Sylfaen" w:hAnsi="Sylfaen" w:cs="Arial"/>
          <w:sz w:val="22"/>
          <w:lang w:val="ka-GE"/>
        </w:rPr>
        <w:t xml:space="preserve">, იქ </w:t>
      </w:r>
      <w:r w:rsidR="00C20692" w:rsidRPr="009852B4">
        <w:rPr>
          <w:rFonts w:ascii="Sylfaen" w:hAnsi="Sylfaen" w:cs="Sylfaen"/>
          <w:sz w:val="22"/>
          <w:lang w:val="ka-GE"/>
        </w:rPr>
        <w:t>არსებობს</w:t>
      </w:r>
      <w:r w:rsidR="00C20692" w:rsidRPr="009852B4">
        <w:rPr>
          <w:rFonts w:ascii="Sylfaen" w:hAnsi="Sylfaen" w:cs="Arial"/>
          <w:sz w:val="22"/>
          <w:lang w:val="ka-GE"/>
        </w:rPr>
        <w:t xml:space="preserve"> </w:t>
      </w:r>
      <w:r w:rsidR="00C20692" w:rsidRPr="009852B4">
        <w:rPr>
          <w:rFonts w:ascii="Sylfaen" w:hAnsi="Sylfaen" w:cs="Sylfaen"/>
          <w:sz w:val="22"/>
          <w:lang w:val="ka-GE"/>
        </w:rPr>
        <w:t>უამრავი</w:t>
      </w:r>
      <w:r w:rsidR="00C20692" w:rsidRPr="009852B4">
        <w:rPr>
          <w:rFonts w:ascii="Sylfaen" w:hAnsi="Sylfaen" w:cs="Arial"/>
          <w:sz w:val="22"/>
          <w:lang w:val="ka-GE"/>
        </w:rPr>
        <w:t xml:space="preserve"> </w:t>
      </w:r>
      <w:r w:rsidR="00C20692" w:rsidRPr="009852B4">
        <w:rPr>
          <w:rFonts w:ascii="Sylfaen" w:hAnsi="Sylfaen" w:cs="Sylfaen"/>
          <w:sz w:val="22"/>
          <w:lang w:val="ka-GE"/>
        </w:rPr>
        <w:t>მგელი</w:t>
      </w:r>
      <w:r w:rsidR="00C20692" w:rsidRPr="009852B4">
        <w:rPr>
          <w:rFonts w:ascii="Sylfaen" w:hAnsi="Sylfaen" w:cs="Arial"/>
          <w:sz w:val="22"/>
          <w:lang w:val="ka-GE"/>
        </w:rPr>
        <w:t xml:space="preserve"> - </w:t>
      </w:r>
      <w:r w:rsidR="00C20692" w:rsidRPr="009852B4">
        <w:rPr>
          <w:rFonts w:ascii="Sylfaen" w:hAnsi="Sylfaen" w:cs="Sylfaen"/>
          <w:sz w:val="22"/>
          <w:lang w:val="ka-GE"/>
        </w:rPr>
        <w:t>Canis lupus, ტურა</w:t>
      </w:r>
      <w:r w:rsidR="00C20692" w:rsidRPr="009852B4">
        <w:rPr>
          <w:rFonts w:ascii="Sylfaen" w:hAnsi="Sylfaen" w:cs="Arial"/>
          <w:sz w:val="22"/>
          <w:lang w:val="ka-GE"/>
        </w:rPr>
        <w:t xml:space="preserve"> - </w:t>
      </w:r>
      <w:r w:rsidR="00C20692" w:rsidRPr="009852B4">
        <w:rPr>
          <w:rFonts w:ascii="Sylfaen" w:hAnsi="Sylfaen" w:cs="Sylfaen"/>
          <w:sz w:val="22"/>
          <w:lang w:val="ka-GE"/>
        </w:rPr>
        <w:t>Canis aureus</w:t>
      </w:r>
      <w:r w:rsidR="00C20692" w:rsidRPr="009852B4">
        <w:rPr>
          <w:rFonts w:ascii="Sylfaen" w:hAnsi="Sylfaen" w:cs="Arial"/>
          <w:sz w:val="22"/>
          <w:lang w:val="ka-GE"/>
        </w:rPr>
        <w:t>,</w:t>
      </w:r>
      <w:r w:rsidR="00C20692" w:rsidRPr="009852B4">
        <w:rPr>
          <w:rFonts w:ascii="Sylfaen" w:hAnsi="Sylfaen"/>
          <w:sz w:val="22"/>
          <w:lang w:val="ka-GE"/>
        </w:rPr>
        <w:t xml:space="preserve"> </w:t>
      </w:r>
      <w:r w:rsidR="00C20692" w:rsidRPr="009852B4">
        <w:rPr>
          <w:rFonts w:ascii="Sylfaen" w:hAnsi="Sylfaen" w:cs="Sylfaen"/>
          <w:sz w:val="22"/>
          <w:lang w:val="ka-GE"/>
        </w:rPr>
        <w:t>ფიჭვის</w:t>
      </w:r>
      <w:r w:rsidR="00C20692" w:rsidRPr="009852B4">
        <w:rPr>
          <w:rFonts w:ascii="Sylfaen" w:hAnsi="Sylfaen" w:cs="Arial"/>
          <w:sz w:val="22"/>
          <w:lang w:val="ka-GE"/>
        </w:rPr>
        <w:t xml:space="preserve"> </w:t>
      </w:r>
      <w:r w:rsidR="00C20692" w:rsidRPr="009852B4">
        <w:rPr>
          <w:rFonts w:ascii="Sylfaen" w:hAnsi="Sylfaen" w:cs="Sylfaen"/>
          <w:sz w:val="22"/>
          <w:lang w:val="ka-GE"/>
        </w:rPr>
        <w:t>კვერნა</w:t>
      </w:r>
      <w:r w:rsidR="00C20692" w:rsidRPr="009852B4">
        <w:rPr>
          <w:rFonts w:ascii="Sylfaen" w:hAnsi="Sylfaen" w:cs="Arial"/>
          <w:sz w:val="22"/>
          <w:lang w:val="ka-GE"/>
        </w:rPr>
        <w:t xml:space="preserve"> - </w:t>
      </w:r>
      <w:r w:rsidR="00C20692" w:rsidRPr="009852B4">
        <w:rPr>
          <w:rFonts w:ascii="Sylfaen" w:hAnsi="Sylfaen" w:cs="Sylfaen"/>
          <w:sz w:val="22"/>
          <w:lang w:val="ka-GE"/>
        </w:rPr>
        <w:t>Martes martes, პატარა რაოდენობით სინდიოფალა</w:t>
      </w:r>
      <w:r w:rsidR="00C20692" w:rsidRPr="009852B4">
        <w:rPr>
          <w:rFonts w:ascii="Sylfaen" w:hAnsi="Sylfaen" w:cs="Arial"/>
          <w:sz w:val="22"/>
          <w:lang w:val="ka-GE"/>
        </w:rPr>
        <w:t xml:space="preserve"> - </w:t>
      </w:r>
      <w:r w:rsidR="00C20692" w:rsidRPr="009852B4">
        <w:rPr>
          <w:rFonts w:ascii="Sylfaen" w:hAnsi="Sylfaen" w:cs="Sylfaen"/>
          <w:sz w:val="22"/>
          <w:lang w:val="ka-GE"/>
        </w:rPr>
        <w:t>Mustela nivalis, მელა</w:t>
      </w:r>
      <w:r w:rsidR="00C20692" w:rsidRPr="009852B4">
        <w:rPr>
          <w:rFonts w:ascii="Sylfaen" w:hAnsi="Sylfaen" w:cs="Arial"/>
          <w:sz w:val="22"/>
          <w:lang w:val="ka-GE"/>
        </w:rPr>
        <w:t xml:space="preserve"> - </w:t>
      </w:r>
      <w:r w:rsidR="00C20692" w:rsidRPr="009852B4">
        <w:rPr>
          <w:rFonts w:ascii="Sylfaen" w:hAnsi="Sylfaen" w:cs="Sylfaen"/>
          <w:sz w:val="22"/>
          <w:lang w:val="ka-GE"/>
        </w:rPr>
        <w:t>Vulpes vuples, მაჩვი</w:t>
      </w:r>
      <w:r w:rsidR="00C20692" w:rsidRPr="009852B4">
        <w:rPr>
          <w:rFonts w:ascii="Sylfaen" w:hAnsi="Sylfaen" w:cs="Arial"/>
          <w:sz w:val="22"/>
          <w:lang w:val="ka-GE"/>
        </w:rPr>
        <w:t xml:space="preserve"> - </w:t>
      </w:r>
      <w:r w:rsidR="00C20692" w:rsidRPr="009852B4">
        <w:rPr>
          <w:rFonts w:ascii="Sylfaen" w:hAnsi="Sylfaen" w:cs="Sylfaen"/>
          <w:sz w:val="22"/>
          <w:lang w:val="ka-GE"/>
        </w:rPr>
        <w:t>Meles meles, ევროპული</w:t>
      </w:r>
      <w:r w:rsidR="00C20692" w:rsidRPr="009852B4">
        <w:rPr>
          <w:rFonts w:ascii="Sylfaen" w:hAnsi="Sylfaen" w:cs="Arial"/>
          <w:sz w:val="22"/>
          <w:lang w:val="ka-GE"/>
        </w:rPr>
        <w:t xml:space="preserve"> </w:t>
      </w:r>
      <w:r w:rsidR="00C20692" w:rsidRPr="009852B4">
        <w:rPr>
          <w:rFonts w:ascii="Sylfaen" w:hAnsi="Sylfaen" w:cs="Sylfaen"/>
          <w:sz w:val="22"/>
          <w:lang w:val="ka-GE"/>
        </w:rPr>
        <w:t>ზღარბი</w:t>
      </w:r>
      <w:r w:rsidR="00C20692" w:rsidRPr="009852B4">
        <w:rPr>
          <w:rFonts w:ascii="Sylfaen" w:hAnsi="Sylfaen" w:cs="Arial"/>
          <w:sz w:val="22"/>
          <w:lang w:val="ka-GE"/>
        </w:rPr>
        <w:t xml:space="preserve"> -</w:t>
      </w:r>
      <w:r w:rsidR="00C20692" w:rsidRPr="009852B4">
        <w:rPr>
          <w:rFonts w:ascii="Sylfaen" w:hAnsi="Sylfaen"/>
          <w:sz w:val="22"/>
          <w:lang w:val="ka-GE"/>
        </w:rPr>
        <w:t xml:space="preserve"> </w:t>
      </w:r>
      <w:r w:rsidR="00C20692" w:rsidRPr="009852B4">
        <w:rPr>
          <w:rFonts w:ascii="Sylfaen" w:hAnsi="Sylfaen" w:cs="Sylfaen"/>
          <w:sz w:val="22"/>
          <w:lang w:val="ka-GE"/>
        </w:rPr>
        <w:t>Erinaceus concolor, კავკასიური</w:t>
      </w:r>
      <w:r w:rsidR="00C20692" w:rsidRPr="009852B4">
        <w:rPr>
          <w:rFonts w:ascii="Sylfaen" w:hAnsi="Sylfaen" w:cs="Arial"/>
          <w:sz w:val="22"/>
          <w:lang w:val="ka-GE"/>
        </w:rPr>
        <w:t xml:space="preserve"> </w:t>
      </w:r>
      <w:r w:rsidR="00C20692" w:rsidRPr="009852B4">
        <w:rPr>
          <w:rFonts w:ascii="Sylfaen" w:hAnsi="Sylfaen" w:cs="Sylfaen"/>
          <w:sz w:val="22"/>
          <w:lang w:val="ka-GE"/>
        </w:rPr>
        <w:t>თხუნელა</w:t>
      </w:r>
      <w:r w:rsidR="00C20692" w:rsidRPr="009852B4">
        <w:rPr>
          <w:rFonts w:ascii="Sylfaen" w:hAnsi="Sylfaen" w:cs="Arial"/>
          <w:sz w:val="22"/>
          <w:lang w:val="ka-GE"/>
        </w:rPr>
        <w:t xml:space="preserve"> - </w:t>
      </w:r>
      <w:r w:rsidR="00C20692" w:rsidRPr="009852B4">
        <w:rPr>
          <w:rFonts w:ascii="Sylfaen" w:hAnsi="Sylfaen"/>
          <w:sz w:val="22"/>
          <w:lang w:val="ka-GE"/>
        </w:rPr>
        <w:t>Talpa caucasica</w:t>
      </w:r>
      <w:r w:rsidR="00B61612" w:rsidRPr="009852B4">
        <w:rPr>
          <w:rFonts w:ascii="Sylfaen" w:hAnsi="Sylfaen"/>
          <w:sz w:val="22"/>
          <w:lang w:val="ka-GE"/>
        </w:rPr>
        <w:t xml:space="preserve">, ტყის </w:t>
      </w:r>
      <w:r w:rsidR="00C20692" w:rsidRPr="009852B4">
        <w:rPr>
          <w:rFonts w:ascii="Sylfaen" w:hAnsi="Sylfaen" w:cs="Sylfaen"/>
          <w:sz w:val="22"/>
          <w:lang w:val="ka-GE"/>
        </w:rPr>
        <w:t>პატარა</w:t>
      </w:r>
      <w:r w:rsidR="00C20692" w:rsidRPr="009852B4">
        <w:rPr>
          <w:rFonts w:ascii="Sylfaen" w:hAnsi="Sylfaen" w:cs="Arial"/>
          <w:sz w:val="22"/>
          <w:lang w:val="ka-GE"/>
        </w:rPr>
        <w:t xml:space="preserve"> </w:t>
      </w:r>
      <w:r w:rsidR="00B61612" w:rsidRPr="009852B4">
        <w:rPr>
          <w:rFonts w:ascii="Sylfaen" w:hAnsi="Sylfaen" w:cs="Sylfaen"/>
          <w:sz w:val="22"/>
          <w:lang w:val="ka-GE"/>
        </w:rPr>
        <w:t>თაგვი</w:t>
      </w:r>
      <w:r w:rsidR="00C20692" w:rsidRPr="009852B4">
        <w:rPr>
          <w:rFonts w:ascii="Sylfaen" w:hAnsi="Sylfaen" w:cs="Arial"/>
          <w:sz w:val="22"/>
          <w:lang w:val="ka-GE"/>
        </w:rPr>
        <w:t xml:space="preserve"> - Sylvaemus uralensis</w:t>
      </w:r>
      <w:r w:rsidR="00C20692" w:rsidRPr="009852B4">
        <w:rPr>
          <w:rFonts w:ascii="Sylfaen" w:hAnsi="Sylfaen"/>
          <w:sz w:val="22"/>
          <w:lang w:val="ka-GE"/>
        </w:rPr>
        <w:t>;</w:t>
      </w:r>
      <w:r w:rsidR="00BC0D12" w:rsidRPr="009852B4">
        <w:rPr>
          <w:rFonts w:ascii="Sylfaen" w:hAnsi="Sylfaen"/>
          <w:sz w:val="22"/>
          <w:lang w:val="ka-GE"/>
        </w:rPr>
        <w:t xml:space="preserve"> </w:t>
      </w:r>
      <w:r w:rsidR="00A67432" w:rsidRPr="009852B4">
        <w:rPr>
          <w:rFonts w:ascii="Sylfaen" w:hAnsi="Sylfaen" w:cs="Sylfaen"/>
          <w:sz w:val="22"/>
          <w:lang w:val="ka-GE"/>
        </w:rPr>
        <w:t>თოვლის</w:t>
      </w:r>
      <w:r w:rsidR="00A67432" w:rsidRPr="009852B4">
        <w:rPr>
          <w:rFonts w:ascii="Sylfaen" w:hAnsi="Sylfaen" w:cs="Arial"/>
          <w:sz w:val="22"/>
          <w:lang w:val="ka-GE"/>
        </w:rPr>
        <w:t xml:space="preserve"> </w:t>
      </w:r>
      <w:r w:rsidR="00A67432" w:rsidRPr="009852B4">
        <w:rPr>
          <w:rFonts w:ascii="Sylfaen" w:hAnsi="Sylfaen" w:cs="Sylfaen"/>
          <w:sz w:val="22"/>
          <w:lang w:val="ka-GE"/>
        </w:rPr>
        <w:t>დროს</w:t>
      </w:r>
      <w:r w:rsidR="00A67432" w:rsidRPr="009852B4">
        <w:rPr>
          <w:rFonts w:ascii="Sylfaen" w:hAnsi="Sylfaen" w:cs="Arial"/>
          <w:sz w:val="22"/>
          <w:lang w:val="ka-GE"/>
        </w:rPr>
        <w:t xml:space="preserve"> </w:t>
      </w:r>
      <w:r w:rsidR="00A67432" w:rsidRPr="009852B4">
        <w:rPr>
          <w:rFonts w:ascii="Sylfaen" w:hAnsi="Sylfaen" w:cs="Sylfaen"/>
          <w:sz w:val="22"/>
          <w:lang w:val="ka-GE"/>
        </w:rPr>
        <w:t>ადგილობრივ</w:t>
      </w:r>
      <w:r w:rsidR="00A67432" w:rsidRPr="009852B4">
        <w:rPr>
          <w:rFonts w:ascii="Sylfaen" w:hAnsi="Sylfaen" w:cs="Arial"/>
          <w:sz w:val="22"/>
          <w:lang w:val="ka-GE"/>
        </w:rPr>
        <w:t xml:space="preserve"> </w:t>
      </w:r>
      <w:r w:rsidR="00A67432" w:rsidRPr="009852B4">
        <w:rPr>
          <w:rFonts w:ascii="Sylfaen" w:hAnsi="Sylfaen" w:cs="Sylfaen"/>
          <w:sz w:val="22"/>
          <w:lang w:val="ka-GE"/>
        </w:rPr>
        <w:t>მოსახლეობას უნახავს</w:t>
      </w:r>
      <w:r w:rsidR="00A67432" w:rsidRPr="009852B4">
        <w:rPr>
          <w:rFonts w:ascii="Sylfaen" w:hAnsi="Sylfaen" w:cs="Arial"/>
          <w:sz w:val="22"/>
          <w:lang w:val="ka-GE"/>
        </w:rPr>
        <w:t xml:space="preserve"> შველი - Capreolus capreolus </w:t>
      </w:r>
      <w:r w:rsidR="00A67432" w:rsidRPr="009852B4">
        <w:rPr>
          <w:rFonts w:ascii="Sylfaen" w:hAnsi="Sylfaen" w:cs="Sylfaen"/>
          <w:sz w:val="22"/>
          <w:lang w:val="ka-GE"/>
        </w:rPr>
        <w:t>და</w:t>
      </w:r>
      <w:r w:rsidR="00A67432" w:rsidRPr="009852B4">
        <w:rPr>
          <w:rFonts w:ascii="Sylfaen" w:hAnsi="Sylfaen" w:cs="Arial"/>
          <w:sz w:val="22"/>
          <w:lang w:val="ka-GE"/>
        </w:rPr>
        <w:t xml:space="preserve"> </w:t>
      </w:r>
      <w:r w:rsidR="00A67432" w:rsidRPr="009852B4">
        <w:rPr>
          <w:rFonts w:ascii="Sylfaen" w:hAnsi="Sylfaen" w:cs="Sylfaen"/>
          <w:sz w:val="22"/>
          <w:lang w:val="ka-GE"/>
        </w:rPr>
        <w:t>ტახი</w:t>
      </w:r>
      <w:r w:rsidR="00A67432" w:rsidRPr="009852B4">
        <w:rPr>
          <w:rFonts w:ascii="Sylfaen" w:hAnsi="Sylfaen" w:cs="Arial"/>
          <w:sz w:val="22"/>
          <w:lang w:val="ka-GE"/>
        </w:rPr>
        <w:t xml:space="preserve"> - Sus scrofa</w:t>
      </w:r>
      <w:r w:rsidR="00A67432" w:rsidRPr="009852B4">
        <w:rPr>
          <w:rFonts w:ascii="Sylfaen" w:hAnsi="Sylfaen"/>
          <w:sz w:val="22"/>
          <w:lang w:val="ka-GE"/>
        </w:rPr>
        <w:t xml:space="preserve">. </w:t>
      </w:r>
      <w:r w:rsidR="002D4CF8" w:rsidRPr="009852B4">
        <w:rPr>
          <w:rFonts w:ascii="Sylfaen" w:hAnsi="Sylfaen" w:cs="Sylfaen"/>
          <w:sz w:val="22"/>
          <w:lang w:val="ka-GE"/>
        </w:rPr>
        <w:t>მაღალი</w:t>
      </w:r>
      <w:r w:rsidR="002D4CF8" w:rsidRPr="009852B4">
        <w:rPr>
          <w:rFonts w:ascii="Sylfaen" w:hAnsi="Sylfaen" w:cs="Arial"/>
          <w:sz w:val="22"/>
          <w:lang w:val="ka-GE"/>
        </w:rPr>
        <w:t xml:space="preserve"> </w:t>
      </w:r>
      <w:r w:rsidR="002D4CF8" w:rsidRPr="009852B4">
        <w:rPr>
          <w:rFonts w:ascii="Sylfaen" w:hAnsi="Sylfaen" w:cs="Sylfaen"/>
          <w:sz w:val="22"/>
          <w:lang w:val="ka-GE"/>
        </w:rPr>
        <w:t>ანთროპოგენური</w:t>
      </w:r>
      <w:r w:rsidR="002D4CF8" w:rsidRPr="009852B4">
        <w:rPr>
          <w:rFonts w:ascii="Sylfaen" w:hAnsi="Sylfaen" w:cs="Arial"/>
          <w:sz w:val="22"/>
          <w:lang w:val="ka-GE"/>
        </w:rPr>
        <w:t xml:space="preserve"> </w:t>
      </w:r>
      <w:r w:rsidR="002D4CF8" w:rsidRPr="009852B4">
        <w:rPr>
          <w:rFonts w:ascii="Sylfaen" w:hAnsi="Sylfaen" w:cs="Sylfaen"/>
          <w:sz w:val="22"/>
          <w:lang w:val="ka-GE"/>
        </w:rPr>
        <w:t>დატვირთვისა და</w:t>
      </w:r>
      <w:r w:rsidR="002D4CF8" w:rsidRPr="009852B4">
        <w:rPr>
          <w:rFonts w:ascii="Sylfaen" w:hAnsi="Sylfaen" w:cs="Arial"/>
          <w:sz w:val="22"/>
          <w:lang w:val="ka-GE"/>
        </w:rPr>
        <w:t xml:space="preserve"> </w:t>
      </w:r>
      <w:r w:rsidR="002D4CF8" w:rsidRPr="009852B4">
        <w:rPr>
          <w:rFonts w:ascii="Sylfaen" w:hAnsi="Sylfaen" w:cs="Sylfaen"/>
          <w:sz w:val="22"/>
          <w:lang w:val="ka-GE"/>
        </w:rPr>
        <w:t>იმ ფაქტის გათვალისწინებით</w:t>
      </w:r>
      <w:r w:rsidR="002D4CF8" w:rsidRPr="009852B4">
        <w:rPr>
          <w:rFonts w:ascii="Sylfaen" w:hAnsi="Sylfaen" w:cs="Arial"/>
          <w:sz w:val="22"/>
          <w:lang w:val="ka-GE"/>
        </w:rPr>
        <w:t xml:space="preserve">, </w:t>
      </w:r>
      <w:r w:rsidR="002D4CF8" w:rsidRPr="009852B4">
        <w:rPr>
          <w:rFonts w:ascii="Sylfaen" w:hAnsi="Sylfaen" w:cs="Sylfaen"/>
          <w:sz w:val="22"/>
          <w:lang w:val="ka-GE"/>
        </w:rPr>
        <w:t>რომ</w:t>
      </w:r>
      <w:r w:rsidR="002D4CF8" w:rsidRPr="009852B4">
        <w:rPr>
          <w:rFonts w:ascii="Sylfaen" w:hAnsi="Sylfaen" w:cs="Arial"/>
          <w:sz w:val="22"/>
          <w:lang w:val="ka-GE"/>
        </w:rPr>
        <w:t xml:space="preserve"> ინტენსიურად ხდება </w:t>
      </w:r>
      <w:r w:rsidR="002D4CF8" w:rsidRPr="009852B4">
        <w:rPr>
          <w:rFonts w:ascii="Sylfaen" w:hAnsi="Sylfaen" w:cs="Sylfaen"/>
          <w:sz w:val="22"/>
          <w:lang w:val="ka-GE"/>
        </w:rPr>
        <w:lastRenderedPageBreak/>
        <w:t>მიმდებარე</w:t>
      </w:r>
      <w:r w:rsidR="002D4CF8" w:rsidRPr="009852B4">
        <w:rPr>
          <w:rFonts w:ascii="Sylfaen" w:hAnsi="Sylfaen" w:cs="Arial"/>
          <w:sz w:val="22"/>
          <w:lang w:val="ka-GE"/>
        </w:rPr>
        <w:t xml:space="preserve"> </w:t>
      </w:r>
      <w:r w:rsidR="002D4CF8" w:rsidRPr="009852B4">
        <w:rPr>
          <w:rFonts w:ascii="Sylfaen" w:hAnsi="Sylfaen" w:cs="Sylfaen"/>
          <w:sz w:val="22"/>
          <w:lang w:val="ka-GE"/>
        </w:rPr>
        <w:t>სახნავი</w:t>
      </w:r>
      <w:r w:rsidR="002D4CF8" w:rsidRPr="009852B4">
        <w:rPr>
          <w:rFonts w:ascii="Sylfaen" w:hAnsi="Sylfaen"/>
          <w:sz w:val="22"/>
          <w:lang w:val="ka-GE"/>
        </w:rPr>
        <w:t xml:space="preserve"> </w:t>
      </w:r>
      <w:r w:rsidR="002D4CF8" w:rsidRPr="009852B4">
        <w:rPr>
          <w:rFonts w:ascii="Sylfaen" w:hAnsi="Sylfaen" w:cs="Sylfaen"/>
          <w:sz w:val="22"/>
          <w:lang w:val="ka-GE"/>
        </w:rPr>
        <w:t>მიწები</w:t>
      </w:r>
      <w:r w:rsidR="002D4CF8" w:rsidRPr="009852B4">
        <w:rPr>
          <w:rFonts w:ascii="Sylfaen" w:hAnsi="Sylfaen" w:cs="Arial"/>
          <w:sz w:val="22"/>
          <w:lang w:val="ka-GE"/>
        </w:rPr>
        <w:t xml:space="preserve">ს კულტივირება </w:t>
      </w:r>
      <w:r w:rsidR="002D4CF8" w:rsidRPr="009852B4">
        <w:rPr>
          <w:rFonts w:ascii="Sylfaen" w:hAnsi="Sylfaen" w:cs="Sylfaen"/>
          <w:sz w:val="22"/>
          <w:lang w:val="ka-GE"/>
        </w:rPr>
        <w:t>და</w:t>
      </w:r>
      <w:r w:rsidR="002D4CF8" w:rsidRPr="009852B4">
        <w:rPr>
          <w:rFonts w:ascii="Sylfaen" w:hAnsi="Sylfaen" w:cs="Arial"/>
          <w:sz w:val="22"/>
          <w:lang w:val="ka-GE"/>
        </w:rPr>
        <w:t xml:space="preserve"> მყუდროების </w:t>
      </w:r>
      <w:r w:rsidR="002D4CF8" w:rsidRPr="009852B4">
        <w:rPr>
          <w:rFonts w:ascii="Sylfaen" w:hAnsi="Sylfaen" w:cs="Sylfaen"/>
          <w:sz w:val="22"/>
          <w:lang w:val="ka-GE"/>
        </w:rPr>
        <w:t>დარღვევის</w:t>
      </w:r>
      <w:r w:rsidR="002D4CF8" w:rsidRPr="009852B4">
        <w:rPr>
          <w:rFonts w:ascii="Sylfaen" w:hAnsi="Sylfaen" w:cs="Arial"/>
          <w:sz w:val="22"/>
          <w:lang w:val="ka-GE"/>
        </w:rPr>
        <w:t xml:space="preserve"> </w:t>
      </w:r>
      <w:r w:rsidR="002D4CF8" w:rsidRPr="009852B4">
        <w:rPr>
          <w:rFonts w:ascii="Sylfaen" w:hAnsi="Sylfaen" w:cs="Sylfaen"/>
          <w:sz w:val="22"/>
          <w:lang w:val="ka-GE"/>
        </w:rPr>
        <w:t>ფაქტორი</w:t>
      </w:r>
      <w:r w:rsidR="002D4CF8" w:rsidRPr="009852B4">
        <w:rPr>
          <w:rFonts w:ascii="Sylfaen" w:hAnsi="Sylfaen" w:cs="Arial"/>
          <w:sz w:val="22"/>
          <w:lang w:val="ka-GE"/>
        </w:rPr>
        <w:t xml:space="preserve"> </w:t>
      </w:r>
      <w:r w:rsidR="002D4CF8" w:rsidRPr="009852B4">
        <w:rPr>
          <w:rFonts w:ascii="Sylfaen" w:hAnsi="Sylfaen" w:cs="Sylfaen"/>
          <w:sz w:val="22"/>
          <w:lang w:val="ka-GE"/>
        </w:rPr>
        <w:t>მაღალია</w:t>
      </w:r>
      <w:r w:rsidR="002D4CF8" w:rsidRPr="009852B4">
        <w:rPr>
          <w:rFonts w:ascii="Sylfaen" w:hAnsi="Sylfaen"/>
          <w:sz w:val="22"/>
          <w:lang w:val="ka-GE"/>
        </w:rPr>
        <w:t xml:space="preserve">, </w:t>
      </w:r>
      <w:r w:rsidR="002D4CF8" w:rsidRPr="009852B4">
        <w:rPr>
          <w:rFonts w:ascii="Sylfaen" w:hAnsi="Sylfaen" w:cs="Sylfaen"/>
          <w:sz w:val="22"/>
          <w:lang w:val="ka-GE"/>
        </w:rPr>
        <w:t>პროექტის</w:t>
      </w:r>
      <w:r w:rsidR="002D4CF8" w:rsidRPr="009852B4">
        <w:rPr>
          <w:rFonts w:ascii="Sylfaen" w:hAnsi="Sylfaen"/>
          <w:sz w:val="22"/>
          <w:lang w:val="ka-GE"/>
        </w:rPr>
        <w:t xml:space="preserve"> </w:t>
      </w:r>
      <w:r w:rsidR="002D4CF8" w:rsidRPr="009852B4">
        <w:rPr>
          <w:rFonts w:ascii="Sylfaen" w:hAnsi="Sylfaen" w:cs="Sylfaen"/>
          <w:sz w:val="22"/>
          <w:lang w:val="ka-GE"/>
        </w:rPr>
        <w:t>არეალი</w:t>
      </w:r>
      <w:r w:rsidR="002D4CF8" w:rsidRPr="009852B4">
        <w:rPr>
          <w:rFonts w:ascii="Sylfaen" w:hAnsi="Sylfaen" w:cs="Arial"/>
          <w:sz w:val="22"/>
          <w:lang w:val="ka-GE"/>
        </w:rPr>
        <w:t xml:space="preserve"> </w:t>
      </w:r>
      <w:r w:rsidR="002D4CF8" w:rsidRPr="009852B4">
        <w:rPr>
          <w:rFonts w:ascii="Sylfaen" w:hAnsi="Sylfaen" w:cs="Sylfaen"/>
          <w:sz w:val="22"/>
          <w:lang w:val="ka-GE"/>
        </w:rPr>
        <w:t>მიმზიდველი არ</w:t>
      </w:r>
      <w:r w:rsidR="002D4CF8" w:rsidRPr="009852B4">
        <w:rPr>
          <w:rFonts w:ascii="Sylfaen" w:hAnsi="Sylfaen" w:cs="Arial"/>
          <w:sz w:val="22"/>
          <w:lang w:val="ka-GE"/>
        </w:rPr>
        <w:t xml:space="preserve"> </w:t>
      </w:r>
      <w:r w:rsidR="002D4CF8" w:rsidRPr="009852B4">
        <w:rPr>
          <w:rFonts w:ascii="Sylfaen" w:hAnsi="Sylfaen" w:cs="Sylfaen"/>
          <w:sz w:val="22"/>
          <w:lang w:val="ka-GE"/>
        </w:rPr>
        <w:t>არის</w:t>
      </w:r>
      <w:r w:rsidR="002D4CF8" w:rsidRPr="009852B4">
        <w:rPr>
          <w:rFonts w:ascii="Sylfaen" w:hAnsi="Sylfaen" w:cs="Arial"/>
          <w:sz w:val="22"/>
          <w:lang w:val="ka-GE"/>
        </w:rPr>
        <w:t xml:space="preserve">  </w:t>
      </w:r>
      <w:r w:rsidR="002D4CF8" w:rsidRPr="009852B4">
        <w:rPr>
          <w:rFonts w:ascii="Sylfaen" w:hAnsi="Sylfaen" w:cs="Sylfaen"/>
          <w:sz w:val="22"/>
          <w:lang w:val="ka-GE"/>
        </w:rPr>
        <w:t>ზემოთ დასახელებული მგრძნობიარე</w:t>
      </w:r>
      <w:r w:rsidR="002D4CF8" w:rsidRPr="009852B4">
        <w:rPr>
          <w:rFonts w:ascii="Sylfaen" w:hAnsi="Sylfaen" w:cs="Arial"/>
          <w:sz w:val="22"/>
          <w:lang w:val="ka-GE"/>
        </w:rPr>
        <w:t xml:space="preserve"> </w:t>
      </w:r>
      <w:r w:rsidR="002D4CF8" w:rsidRPr="009852B4">
        <w:rPr>
          <w:rFonts w:ascii="Sylfaen" w:hAnsi="Sylfaen" w:cs="Sylfaen"/>
          <w:sz w:val="22"/>
          <w:lang w:val="ka-GE"/>
        </w:rPr>
        <w:t>სახეობების</w:t>
      </w:r>
      <w:r w:rsidR="002D4CF8" w:rsidRPr="009852B4">
        <w:rPr>
          <w:rFonts w:ascii="Sylfaen" w:hAnsi="Sylfaen" w:cs="Arial"/>
          <w:sz w:val="22"/>
          <w:lang w:val="ka-GE"/>
        </w:rPr>
        <w:t>თვის</w:t>
      </w:r>
      <w:r w:rsidR="002D4CF8" w:rsidRPr="009852B4">
        <w:rPr>
          <w:rFonts w:ascii="Sylfaen" w:hAnsi="Sylfaen"/>
          <w:sz w:val="22"/>
          <w:lang w:val="ka-GE"/>
        </w:rPr>
        <w:t xml:space="preserve">. </w:t>
      </w:r>
      <w:r w:rsidR="002D4CF8" w:rsidRPr="009852B4">
        <w:rPr>
          <w:rFonts w:ascii="Sylfaen" w:hAnsi="Sylfaen" w:cs="Sylfaen"/>
          <w:sz w:val="22"/>
          <w:lang w:val="ka-GE"/>
        </w:rPr>
        <w:t>ტერიტორია</w:t>
      </w:r>
      <w:r w:rsidR="002D4CF8" w:rsidRPr="009852B4">
        <w:rPr>
          <w:rFonts w:ascii="Sylfaen" w:hAnsi="Sylfaen" w:cs="Arial"/>
          <w:sz w:val="22"/>
          <w:lang w:val="ka-GE"/>
        </w:rPr>
        <w:t xml:space="preserve"> </w:t>
      </w:r>
      <w:r w:rsidR="002D4CF8" w:rsidRPr="009852B4">
        <w:rPr>
          <w:rFonts w:ascii="Sylfaen" w:hAnsi="Sylfaen" w:cs="Sylfaen"/>
          <w:sz w:val="22"/>
          <w:lang w:val="ka-GE"/>
        </w:rPr>
        <w:t>თავისთავად</w:t>
      </w:r>
      <w:r w:rsidR="002D4CF8" w:rsidRPr="009852B4">
        <w:rPr>
          <w:rFonts w:ascii="Sylfaen" w:hAnsi="Sylfaen" w:cs="Arial"/>
          <w:sz w:val="22"/>
          <w:lang w:val="ka-GE"/>
        </w:rPr>
        <w:t xml:space="preserve"> </w:t>
      </w:r>
      <w:r w:rsidR="002D4CF8" w:rsidRPr="009852B4">
        <w:rPr>
          <w:rFonts w:ascii="Sylfaen" w:hAnsi="Sylfaen" w:cs="Sylfaen"/>
          <w:sz w:val="22"/>
          <w:lang w:val="ka-GE"/>
        </w:rPr>
        <w:t>ხელსაყრელია</w:t>
      </w:r>
      <w:r w:rsidR="002D4CF8" w:rsidRPr="009852B4">
        <w:rPr>
          <w:rFonts w:ascii="Sylfaen" w:hAnsi="Sylfaen" w:cs="Arial"/>
          <w:sz w:val="22"/>
          <w:lang w:val="ka-GE"/>
        </w:rPr>
        <w:t xml:space="preserve"> </w:t>
      </w:r>
      <w:r w:rsidR="002D4CF8" w:rsidRPr="009852B4">
        <w:rPr>
          <w:rFonts w:ascii="Sylfaen" w:hAnsi="Sylfaen" w:cs="Sylfaen"/>
          <w:sz w:val="22"/>
          <w:lang w:val="ka-GE"/>
        </w:rPr>
        <w:t>მხოლოდ</w:t>
      </w:r>
      <w:r w:rsidR="002D4CF8" w:rsidRPr="009852B4">
        <w:rPr>
          <w:rFonts w:ascii="Sylfaen" w:hAnsi="Sylfaen" w:cs="Arial"/>
          <w:sz w:val="22"/>
          <w:lang w:val="ka-GE"/>
        </w:rPr>
        <w:t xml:space="preserve"> </w:t>
      </w:r>
      <w:r w:rsidR="002D4CF8" w:rsidRPr="009852B4">
        <w:rPr>
          <w:rFonts w:ascii="Sylfaen" w:hAnsi="Sylfaen" w:cs="Sylfaen"/>
          <w:sz w:val="22"/>
          <w:lang w:val="ka-GE"/>
        </w:rPr>
        <w:t>მცირე</w:t>
      </w:r>
      <w:r w:rsidR="002D4CF8" w:rsidRPr="009852B4">
        <w:rPr>
          <w:rFonts w:ascii="Sylfaen" w:hAnsi="Sylfaen" w:cs="Arial"/>
          <w:sz w:val="22"/>
          <w:lang w:val="ka-GE"/>
        </w:rPr>
        <w:t xml:space="preserve"> </w:t>
      </w:r>
      <w:r w:rsidR="002D4CF8" w:rsidRPr="009852B4">
        <w:rPr>
          <w:rFonts w:ascii="Sylfaen" w:hAnsi="Sylfaen" w:cs="Sylfaen"/>
          <w:sz w:val="22"/>
          <w:lang w:val="ka-GE"/>
        </w:rPr>
        <w:t>ძუძუმწოვრებისთვის</w:t>
      </w:r>
      <w:r w:rsidR="00BC0D12" w:rsidRPr="009852B4">
        <w:rPr>
          <w:rFonts w:ascii="Sylfaen" w:hAnsi="Sylfaen"/>
          <w:sz w:val="22"/>
          <w:lang w:val="ka-GE"/>
        </w:rPr>
        <w:t xml:space="preserve">: </w:t>
      </w:r>
      <w:r w:rsidR="002D4CF8" w:rsidRPr="009852B4">
        <w:rPr>
          <w:rFonts w:ascii="Sylfaen" w:hAnsi="Sylfaen"/>
          <w:sz w:val="22"/>
          <w:lang w:val="ka-GE"/>
        </w:rPr>
        <w:t>ზღარბისთვის</w:t>
      </w:r>
      <w:r w:rsidR="00BC0D12" w:rsidRPr="009852B4">
        <w:rPr>
          <w:rFonts w:ascii="Sylfaen" w:hAnsi="Sylfaen"/>
          <w:sz w:val="22"/>
          <w:lang w:val="ka-GE"/>
        </w:rPr>
        <w:t xml:space="preserve"> –</w:t>
      </w:r>
      <w:r w:rsidR="001D395B" w:rsidRPr="009852B4">
        <w:rPr>
          <w:rFonts w:ascii="Sylfaen" w:hAnsi="Sylfaen"/>
          <w:sz w:val="22"/>
          <w:lang w:val="ka-GE"/>
        </w:rPr>
        <w:t xml:space="preserve"> </w:t>
      </w:r>
      <w:r w:rsidR="00BC0D12" w:rsidRPr="009852B4">
        <w:rPr>
          <w:rFonts w:ascii="Sylfaen" w:hAnsi="Sylfaen"/>
          <w:sz w:val="22"/>
          <w:lang w:val="ka-GE"/>
        </w:rPr>
        <w:t xml:space="preserve">(Erinaceus concolor), </w:t>
      </w:r>
      <w:r w:rsidR="002D4CF8" w:rsidRPr="009852B4">
        <w:rPr>
          <w:rFonts w:ascii="Sylfaen" w:hAnsi="Sylfaen"/>
          <w:sz w:val="22"/>
          <w:lang w:val="ka-GE"/>
        </w:rPr>
        <w:t>კავკასიური თხუნელასთვის</w:t>
      </w:r>
      <w:r w:rsidR="00BC0D12" w:rsidRPr="009852B4">
        <w:rPr>
          <w:rFonts w:ascii="Sylfaen" w:hAnsi="Sylfaen"/>
          <w:sz w:val="22"/>
          <w:lang w:val="ka-GE"/>
        </w:rPr>
        <w:t xml:space="preserve"> –</w:t>
      </w:r>
      <w:r w:rsidR="001D395B" w:rsidRPr="009852B4">
        <w:rPr>
          <w:rFonts w:ascii="Sylfaen" w:hAnsi="Sylfaen"/>
          <w:sz w:val="22"/>
          <w:lang w:val="ka-GE"/>
        </w:rPr>
        <w:t xml:space="preserve"> </w:t>
      </w:r>
      <w:r w:rsidR="00BC0D12" w:rsidRPr="009852B4">
        <w:rPr>
          <w:rFonts w:ascii="Sylfaen" w:hAnsi="Sylfaen"/>
          <w:sz w:val="22"/>
          <w:lang w:val="ka-GE"/>
        </w:rPr>
        <w:t xml:space="preserve">(Talpa caucasica), </w:t>
      </w:r>
      <w:r w:rsidR="002D4CF8" w:rsidRPr="009852B4">
        <w:rPr>
          <w:rFonts w:ascii="Sylfaen" w:hAnsi="Sylfaen"/>
          <w:sz w:val="22"/>
          <w:lang w:val="ka-GE"/>
        </w:rPr>
        <w:t>ტყის პატარა თაგვისთვის</w:t>
      </w:r>
      <w:r w:rsidR="00BC0D12" w:rsidRPr="009852B4">
        <w:rPr>
          <w:rFonts w:ascii="Sylfaen" w:hAnsi="Sylfaen"/>
          <w:sz w:val="22"/>
          <w:lang w:val="ka-GE"/>
        </w:rPr>
        <w:t xml:space="preserve"> –</w:t>
      </w:r>
      <w:r w:rsidR="001D395B" w:rsidRPr="009852B4">
        <w:rPr>
          <w:rFonts w:ascii="Sylfaen" w:hAnsi="Sylfaen"/>
          <w:sz w:val="22"/>
          <w:lang w:val="ka-GE"/>
        </w:rPr>
        <w:t xml:space="preserve"> </w:t>
      </w:r>
      <w:r w:rsidR="00BC0D12" w:rsidRPr="009852B4">
        <w:rPr>
          <w:rFonts w:ascii="Sylfaen" w:hAnsi="Sylfaen"/>
          <w:sz w:val="22"/>
          <w:lang w:val="ka-GE"/>
        </w:rPr>
        <w:t>(Sylvaemus uralensis);</w:t>
      </w:r>
    </w:p>
    <w:p w14:paraId="732BA943" w14:textId="63BDA516" w:rsidR="005C3CB3" w:rsidRPr="009852B4" w:rsidRDefault="002D4CF8" w:rsidP="002B56CC">
      <w:pPr>
        <w:spacing w:before="200" w:after="200"/>
        <w:rPr>
          <w:rFonts w:ascii="Sylfaen" w:hAnsi="Sylfaen"/>
          <w:lang w:val="ka-GE"/>
        </w:rPr>
      </w:pPr>
      <w:r w:rsidRPr="009852B4">
        <w:rPr>
          <w:rFonts w:ascii="Sylfaen" w:hAnsi="Sylfaen"/>
          <w:b/>
          <w:lang w:val="ka-GE"/>
        </w:rPr>
        <w:t>ფრინველები</w:t>
      </w:r>
      <w:r w:rsidR="00BA2330" w:rsidRPr="009852B4">
        <w:rPr>
          <w:rFonts w:ascii="Sylfaen" w:hAnsi="Sylfaen"/>
          <w:b/>
          <w:lang w:val="ka-GE"/>
        </w:rPr>
        <w:t>:</w:t>
      </w:r>
      <w:r w:rsidR="00BA2330" w:rsidRPr="009852B4">
        <w:rPr>
          <w:rFonts w:ascii="Sylfaen" w:hAnsi="Sylfaen"/>
          <w:lang w:val="ka-GE"/>
        </w:rPr>
        <w:t xml:space="preserve"> </w:t>
      </w:r>
      <w:r w:rsidRPr="009852B4">
        <w:rPr>
          <w:rFonts w:ascii="Sylfaen" w:hAnsi="Sylfaen" w:cs="Sylfaen"/>
          <w:lang w:val="ka-GE"/>
        </w:rPr>
        <w:t>კვლევის შედეგად</w:t>
      </w:r>
      <w:r w:rsidRPr="009852B4">
        <w:rPr>
          <w:rFonts w:ascii="Sylfaen" w:hAnsi="Sylfaen" w:cs="Arial"/>
          <w:lang w:val="ka-GE"/>
        </w:rPr>
        <w:t xml:space="preserve"> </w:t>
      </w:r>
      <w:r w:rsidRPr="009852B4">
        <w:rPr>
          <w:rFonts w:ascii="Sylfaen" w:hAnsi="Sylfaen" w:cs="Sylfaen"/>
          <w:lang w:val="ka-GE"/>
        </w:rPr>
        <w:t>დაფიქსირდა</w:t>
      </w:r>
      <w:r w:rsidRPr="009852B4">
        <w:rPr>
          <w:rFonts w:ascii="Sylfaen" w:hAnsi="Sylfaen" w:cs="Arial"/>
          <w:lang w:val="ka-GE"/>
        </w:rPr>
        <w:t xml:space="preserve"> </w:t>
      </w:r>
      <w:r w:rsidRPr="009852B4">
        <w:rPr>
          <w:rFonts w:ascii="Sylfaen" w:hAnsi="Sylfaen" w:cs="Sylfaen"/>
          <w:lang w:val="ka-GE"/>
        </w:rPr>
        <w:t>შემდეგი</w:t>
      </w:r>
      <w:r w:rsidRPr="009852B4">
        <w:rPr>
          <w:rFonts w:ascii="Sylfaen" w:hAnsi="Sylfaen" w:cs="Arial"/>
          <w:lang w:val="ka-GE"/>
        </w:rPr>
        <w:t xml:space="preserve"> </w:t>
      </w:r>
      <w:r w:rsidRPr="009852B4">
        <w:rPr>
          <w:rFonts w:ascii="Sylfaen" w:hAnsi="Sylfaen" w:cs="Sylfaen"/>
          <w:lang w:val="ka-GE"/>
        </w:rPr>
        <w:t>სახეობების</w:t>
      </w:r>
      <w:r w:rsidRPr="009852B4">
        <w:rPr>
          <w:rFonts w:ascii="Sylfaen" w:hAnsi="Sylfaen" w:cs="Arial"/>
          <w:lang w:val="ka-GE"/>
        </w:rPr>
        <w:t xml:space="preserve"> </w:t>
      </w:r>
      <w:r w:rsidRPr="009852B4">
        <w:rPr>
          <w:rFonts w:ascii="Sylfaen" w:hAnsi="Sylfaen" w:cs="Sylfaen"/>
          <w:lang w:val="ka-GE"/>
        </w:rPr>
        <w:t>ფრინველების გავრცელება</w:t>
      </w:r>
      <w:r w:rsidRPr="009852B4">
        <w:rPr>
          <w:rFonts w:ascii="Sylfaen" w:hAnsi="Sylfaen" w:cs="Arial"/>
          <w:lang w:val="ka-GE"/>
        </w:rPr>
        <w:t xml:space="preserve"> </w:t>
      </w:r>
      <w:r w:rsidRPr="009852B4">
        <w:rPr>
          <w:rFonts w:ascii="Sylfaen" w:hAnsi="Sylfaen" w:cs="Sylfaen"/>
          <w:lang w:val="ka-GE"/>
        </w:rPr>
        <w:t>რეგიონში</w:t>
      </w:r>
      <w:r w:rsidR="00BA2330" w:rsidRPr="009852B4">
        <w:rPr>
          <w:rFonts w:ascii="Sylfaen" w:hAnsi="Sylfaen"/>
          <w:lang w:val="ka-GE"/>
        </w:rPr>
        <w:t xml:space="preserve">: </w:t>
      </w:r>
      <w:r w:rsidRPr="009852B4">
        <w:rPr>
          <w:rFonts w:ascii="Sylfaen" w:hAnsi="Sylfaen"/>
          <w:lang w:val="ka-GE"/>
        </w:rPr>
        <w:t>პატარა მყივანა</w:t>
      </w:r>
      <w:r w:rsidR="00BA2330" w:rsidRPr="009852B4">
        <w:rPr>
          <w:rFonts w:ascii="Sylfaen" w:hAnsi="Sylfaen"/>
          <w:lang w:val="ka-GE"/>
        </w:rPr>
        <w:t xml:space="preserve"> –(Aguila pomarina), </w:t>
      </w:r>
      <w:r w:rsidR="00433525" w:rsidRPr="009852B4">
        <w:rPr>
          <w:rFonts w:ascii="Sylfaen" w:hAnsi="Sylfaen"/>
          <w:lang w:val="ka-GE"/>
        </w:rPr>
        <w:t>შევარდენი</w:t>
      </w:r>
      <w:r w:rsidR="00BA2330" w:rsidRPr="009852B4">
        <w:rPr>
          <w:rFonts w:ascii="Sylfaen" w:hAnsi="Sylfaen"/>
          <w:lang w:val="ka-GE"/>
        </w:rPr>
        <w:t xml:space="preserve"> –(Falco biarmicus VU), </w:t>
      </w:r>
      <w:r w:rsidR="00433525" w:rsidRPr="009852B4">
        <w:rPr>
          <w:rFonts w:ascii="Sylfaen" w:hAnsi="Sylfaen"/>
          <w:lang w:val="ka-GE"/>
        </w:rPr>
        <w:t>ჩვეულებრივი კირკიტა</w:t>
      </w:r>
      <w:r w:rsidR="00BA2330" w:rsidRPr="009852B4">
        <w:rPr>
          <w:rFonts w:ascii="Sylfaen" w:hAnsi="Sylfaen"/>
          <w:lang w:val="ka-GE"/>
        </w:rPr>
        <w:t xml:space="preserve"> –(Falco tinnunculus), </w:t>
      </w:r>
      <w:r w:rsidR="00433525" w:rsidRPr="009852B4">
        <w:rPr>
          <w:rFonts w:ascii="Sylfaen" w:hAnsi="Sylfaen"/>
          <w:lang w:val="ka-GE"/>
        </w:rPr>
        <w:t>ძერა</w:t>
      </w:r>
      <w:r w:rsidR="00BA2330" w:rsidRPr="009852B4">
        <w:rPr>
          <w:rFonts w:ascii="Sylfaen" w:hAnsi="Sylfaen"/>
          <w:lang w:val="ka-GE"/>
        </w:rPr>
        <w:t xml:space="preserve">– (Milvus migrans), </w:t>
      </w:r>
      <w:r w:rsidR="00433525" w:rsidRPr="009852B4">
        <w:rPr>
          <w:rFonts w:ascii="Sylfaen" w:hAnsi="Sylfaen"/>
          <w:lang w:val="ka-GE"/>
        </w:rPr>
        <w:t>ტყის ბუ</w:t>
      </w:r>
      <w:r w:rsidR="00BA2330" w:rsidRPr="009852B4">
        <w:rPr>
          <w:rFonts w:ascii="Sylfaen" w:hAnsi="Sylfaen"/>
          <w:lang w:val="ka-GE"/>
        </w:rPr>
        <w:t xml:space="preserve"> –(Strix aluco), </w:t>
      </w:r>
      <w:r w:rsidR="00433525" w:rsidRPr="009852B4">
        <w:rPr>
          <w:rFonts w:ascii="Sylfaen" w:hAnsi="Sylfaen"/>
          <w:lang w:val="ka-GE"/>
        </w:rPr>
        <w:t xml:space="preserve">დიდი ჭრელი კოდალა </w:t>
      </w:r>
      <w:r w:rsidR="00BA2330" w:rsidRPr="009852B4">
        <w:rPr>
          <w:rFonts w:ascii="Sylfaen" w:hAnsi="Sylfaen"/>
          <w:lang w:val="ka-GE"/>
        </w:rPr>
        <w:t xml:space="preserve">–(Dendrocopos major), </w:t>
      </w:r>
      <w:r w:rsidR="00433525" w:rsidRPr="009852B4">
        <w:rPr>
          <w:rFonts w:ascii="Sylfaen" w:hAnsi="Sylfaen"/>
          <w:lang w:val="ka-GE"/>
        </w:rPr>
        <w:t>პატარა ჭრელი კოდალა</w:t>
      </w:r>
      <w:r w:rsidR="00BA2330" w:rsidRPr="009852B4">
        <w:rPr>
          <w:rFonts w:ascii="Sylfaen" w:hAnsi="Sylfaen"/>
          <w:lang w:val="ka-GE"/>
        </w:rPr>
        <w:t xml:space="preserve"> –(Dendrocopos minor), </w:t>
      </w:r>
      <w:r w:rsidR="00433525" w:rsidRPr="009852B4">
        <w:rPr>
          <w:rFonts w:ascii="Sylfaen" w:hAnsi="Sylfaen"/>
          <w:lang w:val="ka-GE"/>
        </w:rPr>
        <w:t>ჩხიკვი</w:t>
      </w:r>
      <w:r w:rsidR="00BA2330" w:rsidRPr="009852B4">
        <w:rPr>
          <w:rFonts w:ascii="Sylfaen" w:hAnsi="Sylfaen"/>
          <w:lang w:val="ka-GE"/>
        </w:rPr>
        <w:t xml:space="preserve"> –</w:t>
      </w:r>
      <w:r w:rsidR="00433525" w:rsidRPr="009852B4">
        <w:rPr>
          <w:rFonts w:ascii="Sylfaen" w:hAnsi="Sylfaen"/>
          <w:lang w:val="ka-GE"/>
        </w:rPr>
        <w:t xml:space="preserve"> </w:t>
      </w:r>
      <w:r w:rsidR="00BA2330" w:rsidRPr="009852B4">
        <w:rPr>
          <w:rFonts w:ascii="Sylfaen" w:hAnsi="Sylfaen"/>
          <w:lang w:val="ka-GE"/>
        </w:rPr>
        <w:t xml:space="preserve">(Garrulus grandarius), </w:t>
      </w:r>
      <w:r w:rsidR="00433525" w:rsidRPr="009852B4">
        <w:rPr>
          <w:rFonts w:ascii="Sylfaen" w:hAnsi="Sylfaen"/>
          <w:lang w:val="ka-GE"/>
        </w:rPr>
        <w:t>ჩვეულებრივი გუგული</w:t>
      </w:r>
      <w:r w:rsidR="00BA2330" w:rsidRPr="009852B4">
        <w:rPr>
          <w:rFonts w:ascii="Sylfaen" w:hAnsi="Sylfaen"/>
          <w:lang w:val="ka-GE"/>
        </w:rPr>
        <w:t xml:space="preserve"> –</w:t>
      </w:r>
      <w:r w:rsidR="00433525" w:rsidRPr="009852B4">
        <w:rPr>
          <w:rFonts w:ascii="Sylfaen" w:hAnsi="Sylfaen"/>
          <w:lang w:val="ka-GE"/>
        </w:rPr>
        <w:t xml:space="preserve"> </w:t>
      </w:r>
      <w:r w:rsidR="00BA2330" w:rsidRPr="009852B4">
        <w:rPr>
          <w:rFonts w:ascii="Sylfaen" w:hAnsi="Sylfaen"/>
          <w:lang w:val="ka-GE"/>
        </w:rPr>
        <w:t xml:space="preserve">(Cuculus canorus), </w:t>
      </w:r>
      <w:r w:rsidR="00433525" w:rsidRPr="009852B4">
        <w:rPr>
          <w:rFonts w:ascii="Sylfaen" w:hAnsi="Sylfaen"/>
          <w:lang w:val="ka-GE"/>
        </w:rPr>
        <w:t>ჩვეულებრივი შაშვი</w:t>
      </w:r>
      <w:r w:rsidR="00BA2330" w:rsidRPr="009852B4">
        <w:rPr>
          <w:rFonts w:ascii="Sylfaen" w:hAnsi="Sylfaen"/>
          <w:lang w:val="ka-GE"/>
        </w:rPr>
        <w:t xml:space="preserve"> –</w:t>
      </w:r>
      <w:r w:rsidR="00433525" w:rsidRPr="009852B4">
        <w:rPr>
          <w:rFonts w:ascii="Sylfaen" w:hAnsi="Sylfaen"/>
          <w:lang w:val="ka-GE"/>
        </w:rPr>
        <w:t xml:space="preserve"> </w:t>
      </w:r>
      <w:r w:rsidR="00BA2330" w:rsidRPr="009852B4">
        <w:rPr>
          <w:rFonts w:ascii="Sylfaen" w:hAnsi="Sylfaen"/>
          <w:lang w:val="ka-GE"/>
        </w:rPr>
        <w:t xml:space="preserve">(Turdus merula), </w:t>
      </w:r>
      <w:r w:rsidR="00433525" w:rsidRPr="009852B4">
        <w:rPr>
          <w:rFonts w:ascii="Sylfaen" w:hAnsi="Sylfaen"/>
          <w:lang w:val="ka-GE"/>
        </w:rPr>
        <w:t>ქედანი</w:t>
      </w:r>
      <w:r w:rsidR="00BA2330" w:rsidRPr="009852B4">
        <w:rPr>
          <w:rFonts w:ascii="Sylfaen" w:hAnsi="Sylfaen"/>
          <w:lang w:val="ka-GE"/>
        </w:rPr>
        <w:t xml:space="preserve"> –(Columba palumbus), </w:t>
      </w:r>
      <w:r w:rsidR="00433525" w:rsidRPr="009852B4">
        <w:rPr>
          <w:rFonts w:ascii="Sylfaen" w:hAnsi="Sylfaen"/>
          <w:lang w:val="ka-GE"/>
        </w:rPr>
        <w:t>დიდი წივწივა</w:t>
      </w:r>
      <w:r w:rsidR="00BA2330" w:rsidRPr="009852B4">
        <w:rPr>
          <w:rFonts w:ascii="Sylfaen" w:hAnsi="Sylfaen"/>
          <w:lang w:val="ka-GE"/>
        </w:rPr>
        <w:t xml:space="preserve"> –(Parus major), </w:t>
      </w:r>
      <w:r w:rsidR="00433525" w:rsidRPr="009852B4">
        <w:rPr>
          <w:rFonts w:ascii="Sylfaen" w:hAnsi="Sylfaen"/>
          <w:lang w:val="ka-GE"/>
        </w:rPr>
        <w:t>ევრაზიული ნიბლია</w:t>
      </w:r>
      <w:r w:rsidR="00BA2330" w:rsidRPr="009852B4">
        <w:rPr>
          <w:rFonts w:ascii="Sylfaen" w:hAnsi="Sylfaen"/>
          <w:lang w:val="ka-GE"/>
        </w:rPr>
        <w:t xml:space="preserve"> –(Troglodytes troglodytes), </w:t>
      </w:r>
      <w:r w:rsidR="00433525" w:rsidRPr="009852B4">
        <w:rPr>
          <w:rFonts w:ascii="Sylfaen" w:hAnsi="Sylfaen"/>
          <w:lang w:val="ka-GE"/>
        </w:rPr>
        <w:t xml:space="preserve">ჩვეულებრივი სკვინჩა </w:t>
      </w:r>
      <w:r w:rsidR="00BA2330" w:rsidRPr="009852B4">
        <w:rPr>
          <w:rFonts w:ascii="Sylfaen" w:hAnsi="Sylfaen"/>
          <w:lang w:val="ka-GE"/>
        </w:rPr>
        <w:t>–</w:t>
      </w:r>
      <w:r w:rsidR="00433525" w:rsidRPr="009852B4">
        <w:rPr>
          <w:rFonts w:ascii="Sylfaen" w:hAnsi="Sylfaen"/>
          <w:lang w:val="ka-GE"/>
        </w:rPr>
        <w:t xml:space="preserve"> </w:t>
      </w:r>
      <w:r w:rsidR="00BA2330" w:rsidRPr="009852B4">
        <w:rPr>
          <w:rFonts w:ascii="Sylfaen" w:hAnsi="Sylfaen"/>
          <w:lang w:val="ka-GE"/>
        </w:rPr>
        <w:t xml:space="preserve">(Fringilla coelebs), </w:t>
      </w:r>
      <w:r w:rsidR="00433525" w:rsidRPr="009852B4">
        <w:rPr>
          <w:rFonts w:ascii="Sylfaen" w:hAnsi="Sylfaen"/>
          <w:lang w:val="ka-GE"/>
        </w:rPr>
        <w:t>კაჭკაჭი</w:t>
      </w:r>
      <w:r w:rsidR="00BA2330" w:rsidRPr="009852B4">
        <w:rPr>
          <w:rFonts w:ascii="Sylfaen" w:hAnsi="Sylfaen"/>
          <w:lang w:val="ka-GE"/>
        </w:rPr>
        <w:t xml:space="preserve"> – (Pica pica), </w:t>
      </w:r>
      <w:r w:rsidR="00433525" w:rsidRPr="009852B4">
        <w:rPr>
          <w:rFonts w:ascii="Sylfaen" w:hAnsi="Sylfaen"/>
          <w:lang w:val="ka-GE"/>
        </w:rPr>
        <w:t>ჭილყვავი</w:t>
      </w:r>
      <w:r w:rsidR="00BA2330" w:rsidRPr="009852B4">
        <w:rPr>
          <w:rFonts w:ascii="Sylfaen" w:hAnsi="Sylfaen"/>
          <w:lang w:val="ka-GE"/>
        </w:rPr>
        <w:t xml:space="preserve"> –(Corvus frugilegus), </w:t>
      </w:r>
      <w:r w:rsidR="00433525" w:rsidRPr="009852B4">
        <w:rPr>
          <w:rFonts w:ascii="Sylfaen" w:hAnsi="Sylfaen"/>
          <w:lang w:val="ka-GE"/>
        </w:rPr>
        <w:t>ყვავები</w:t>
      </w:r>
      <w:r w:rsidR="00BA2330" w:rsidRPr="009852B4">
        <w:rPr>
          <w:rFonts w:ascii="Sylfaen" w:hAnsi="Sylfaen"/>
          <w:lang w:val="ka-GE"/>
        </w:rPr>
        <w:t xml:space="preserve"> –(Corvus cornix), </w:t>
      </w:r>
      <w:r w:rsidR="00433525" w:rsidRPr="009852B4">
        <w:rPr>
          <w:rFonts w:ascii="Sylfaen" w:hAnsi="Sylfaen"/>
          <w:lang w:val="ka-GE"/>
        </w:rPr>
        <w:t>თოლია</w:t>
      </w:r>
      <w:r w:rsidR="00BA2330" w:rsidRPr="009852B4">
        <w:rPr>
          <w:rFonts w:ascii="Sylfaen" w:hAnsi="Sylfaen"/>
          <w:lang w:val="ka-GE"/>
        </w:rPr>
        <w:t xml:space="preserve"> –(Larus sp.), </w:t>
      </w:r>
      <w:r w:rsidR="00433525" w:rsidRPr="009852B4">
        <w:rPr>
          <w:rFonts w:ascii="Sylfaen" w:hAnsi="Sylfaen"/>
          <w:lang w:val="ka-GE"/>
        </w:rPr>
        <w:t>ოფოფი</w:t>
      </w:r>
      <w:r w:rsidR="00BA2330" w:rsidRPr="009852B4">
        <w:rPr>
          <w:rFonts w:ascii="Sylfaen" w:hAnsi="Sylfaen"/>
          <w:lang w:val="ka-GE"/>
        </w:rPr>
        <w:t xml:space="preserve"> – (Upupa epops), </w:t>
      </w:r>
      <w:r w:rsidR="00433525" w:rsidRPr="009852B4">
        <w:rPr>
          <w:rFonts w:ascii="Sylfaen" w:hAnsi="Sylfaen"/>
          <w:lang w:val="ka-GE"/>
        </w:rPr>
        <w:t>ევროპული კვირიონი</w:t>
      </w:r>
      <w:r w:rsidR="00BA2330" w:rsidRPr="009852B4">
        <w:rPr>
          <w:rFonts w:ascii="Sylfaen" w:hAnsi="Sylfaen"/>
          <w:lang w:val="ka-GE"/>
        </w:rPr>
        <w:t xml:space="preserve"> –</w:t>
      </w:r>
      <w:r w:rsidR="00433525" w:rsidRPr="009852B4">
        <w:rPr>
          <w:rFonts w:ascii="Sylfaen" w:hAnsi="Sylfaen"/>
          <w:lang w:val="ka-GE"/>
        </w:rPr>
        <w:t xml:space="preserve"> </w:t>
      </w:r>
      <w:r w:rsidR="00BA2330" w:rsidRPr="009852B4">
        <w:rPr>
          <w:rFonts w:ascii="Sylfaen" w:hAnsi="Sylfaen"/>
          <w:lang w:val="ka-GE"/>
        </w:rPr>
        <w:t xml:space="preserve">(Merops apiaster), </w:t>
      </w:r>
      <w:r w:rsidR="00433525" w:rsidRPr="009852B4">
        <w:rPr>
          <w:rFonts w:ascii="Sylfaen" w:hAnsi="Sylfaen"/>
          <w:lang w:val="ka-GE"/>
        </w:rPr>
        <w:t>მწყერი</w:t>
      </w:r>
      <w:r w:rsidR="00BA2330" w:rsidRPr="009852B4">
        <w:rPr>
          <w:rFonts w:ascii="Sylfaen" w:hAnsi="Sylfaen"/>
          <w:lang w:val="ka-GE"/>
        </w:rPr>
        <w:t xml:space="preserve"> –</w:t>
      </w:r>
      <w:r w:rsidR="00433525" w:rsidRPr="009852B4">
        <w:rPr>
          <w:rFonts w:ascii="Sylfaen" w:hAnsi="Sylfaen"/>
          <w:lang w:val="ka-GE"/>
        </w:rPr>
        <w:t xml:space="preserve"> (Coturnix coturnix), და ა.შ.</w:t>
      </w:r>
      <w:r w:rsidR="00BA2330" w:rsidRPr="009852B4">
        <w:rPr>
          <w:rFonts w:ascii="Sylfaen" w:hAnsi="Sylfaen"/>
          <w:lang w:val="ka-GE"/>
        </w:rPr>
        <w:t xml:space="preserve"> </w:t>
      </w:r>
      <w:r w:rsidR="001549F2">
        <w:rPr>
          <w:rFonts w:ascii="Sylfaen" w:hAnsi="Sylfaen" w:cs="Sylfaen"/>
          <w:lang w:val="ka-GE"/>
        </w:rPr>
        <w:t>გურჯაანი (ჩუმლაყი) - თელავის</w:t>
      </w:r>
      <w:r w:rsidR="001549F2" w:rsidRPr="00E625D3">
        <w:rPr>
          <w:rFonts w:ascii="Sylfaen" w:hAnsi="Sylfaen"/>
          <w:lang w:val="ka-GE"/>
        </w:rPr>
        <w:t xml:space="preserve"> </w:t>
      </w:r>
      <w:r w:rsidR="005C750C" w:rsidRPr="009852B4">
        <w:rPr>
          <w:rFonts w:ascii="Sylfaen" w:hAnsi="Sylfaen" w:cs="Sylfaen"/>
          <w:lang w:val="ka-GE"/>
        </w:rPr>
        <w:t>საავტომობილო</w:t>
      </w:r>
      <w:r w:rsidR="005C750C" w:rsidRPr="009852B4">
        <w:rPr>
          <w:rFonts w:ascii="Sylfaen" w:hAnsi="Sylfaen" w:cs="Arial"/>
          <w:lang w:val="ka-GE"/>
        </w:rPr>
        <w:t xml:space="preserve"> </w:t>
      </w:r>
      <w:r w:rsidR="005C750C" w:rsidRPr="009852B4">
        <w:rPr>
          <w:rFonts w:ascii="Sylfaen" w:hAnsi="Sylfaen" w:cs="Sylfaen"/>
          <w:lang w:val="ka-GE"/>
        </w:rPr>
        <w:t>გზის</w:t>
      </w:r>
      <w:r w:rsidR="005C750C" w:rsidRPr="009852B4">
        <w:rPr>
          <w:rFonts w:ascii="Sylfaen" w:hAnsi="Sylfaen" w:cs="Arial"/>
          <w:lang w:val="ka-GE"/>
        </w:rPr>
        <w:t xml:space="preserve"> </w:t>
      </w:r>
      <w:r w:rsidR="005C750C" w:rsidRPr="009852B4">
        <w:rPr>
          <w:rFonts w:ascii="Sylfaen" w:hAnsi="Sylfaen" w:cs="Sylfaen"/>
          <w:lang w:val="ka-GE"/>
        </w:rPr>
        <w:t>მონაკვეთზე</w:t>
      </w:r>
      <w:r w:rsidR="005C750C" w:rsidRPr="009852B4">
        <w:rPr>
          <w:rFonts w:ascii="Sylfaen" w:hAnsi="Sylfaen" w:cs="Arial"/>
          <w:lang w:val="ka-GE"/>
        </w:rPr>
        <w:t xml:space="preserve"> </w:t>
      </w:r>
      <w:r w:rsidR="005C750C" w:rsidRPr="009852B4">
        <w:rPr>
          <w:rFonts w:ascii="Sylfaen" w:hAnsi="Sylfaen" w:cs="Sylfaen"/>
          <w:lang w:val="ka-GE"/>
        </w:rPr>
        <w:t>საველე</w:t>
      </w:r>
      <w:r w:rsidR="005C750C" w:rsidRPr="009852B4">
        <w:rPr>
          <w:rFonts w:ascii="Sylfaen" w:hAnsi="Sylfaen" w:cs="Arial"/>
          <w:lang w:val="ka-GE"/>
        </w:rPr>
        <w:t xml:space="preserve"> </w:t>
      </w:r>
      <w:r w:rsidR="005C750C" w:rsidRPr="009852B4">
        <w:rPr>
          <w:rFonts w:ascii="Sylfaen" w:hAnsi="Sylfaen" w:cs="Sylfaen"/>
          <w:lang w:val="ka-GE"/>
        </w:rPr>
        <w:t>სამუშაოების</w:t>
      </w:r>
      <w:r w:rsidR="005C750C" w:rsidRPr="009852B4">
        <w:rPr>
          <w:rFonts w:ascii="Sylfaen" w:hAnsi="Sylfaen" w:cs="Arial"/>
          <w:lang w:val="ka-GE"/>
        </w:rPr>
        <w:t xml:space="preserve"> </w:t>
      </w:r>
      <w:r w:rsidR="005C750C" w:rsidRPr="009852B4">
        <w:rPr>
          <w:rFonts w:ascii="Sylfaen" w:hAnsi="Sylfaen" w:cs="Sylfaen"/>
          <w:lang w:val="ka-GE"/>
        </w:rPr>
        <w:t>დროს</w:t>
      </w:r>
      <w:r w:rsidR="005C750C" w:rsidRPr="009852B4">
        <w:rPr>
          <w:rFonts w:ascii="Sylfaen" w:hAnsi="Sylfaen" w:cs="Arial"/>
          <w:lang w:val="ka-GE"/>
        </w:rPr>
        <w:t xml:space="preserve"> </w:t>
      </w:r>
      <w:r w:rsidR="005C750C" w:rsidRPr="009852B4">
        <w:rPr>
          <w:rFonts w:ascii="Sylfaen" w:hAnsi="Sylfaen" w:cs="Sylfaen"/>
          <w:lang w:val="ka-GE"/>
        </w:rPr>
        <w:t>გამოიკვეთა</w:t>
      </w:r>
      <w:r w:rsidR="005C750C" w:rsidRPr="009852B4">
        <w:rPr>
          <w:rFonts w:ascii="Sylfaen" w:hAnsi="Sylfaen" w:cs="Arial"/>
          <w:lang w:val="ka-GE"/>
        </w:rPr>
        <w:t xml:space="preserve"> </w:t>
      </w:r>
      <w:r w:rsidR="005C750C" w:rsidRPr="009852B4">
        <w:rPr>
          <w:rFonts w:ascii="Sylfaen" w:hAnsi="Sylfaen" w:cs="Sylfaen"/>
          <w:lang w:val="ka-GE"/>
        </w:rPr>
        <w:t>ფრინველთა</w:t>
      </w:r>
      <w:r w:rsidR="005C750C" w:rsidRPr="009852B4">
        <w:rPr>
          <w:rFonts w:ascii="Sylfaen" w:hAnsi="Sylfaen" w:cs="Arial"/>
          <w:lang w:val="ka-GE"/>
        </w:rPr>
        <w:t xml:space="preserve"> </w:t>
      </w:r>
      <w:r w:rsidR="005C750C" w:rsidRPr="009852B4">
        <w:rPr>
          <w:rFonts w:ascii="Sylfaen" w:hAnsi="Sylfaen" w:cs="Sylfaen"/>
          <w:lang w:val="ka-GE"/>
        </w:rPr>
        <w:t>შემდეგი სახეობები</w:t>
      </w:r>
      <w:r w:rsidR="005C750C" w:rsidRPr="009852B4">
        <w:rPr>
          <w:rFonts w:ascii="Sylfaen" w:hAnsi="Sylfaen"/>
          <w:lang w:val="ka-GE"/>
        </w:rPr>
        <w:t>: ჩხიკვი</w:t>
      </w:r>
      <w:r w:rsidR="00BA2330" w:rsidRPr="009852B4">
        <w:rPr>
          <w:rFonts w:ascii="Sylfaen" w:hAnsi="Sylfaen"/>
          <w:lang w:val="ka-GE"/>
        </w:rPr>
        <w:t xml:space="preserve">, </w:t>
      </w:r>
      <w:r w:rsidR="005C750C" w:rsidRPr="009852B4">
        <w:rPr>
          <w:rFonts w:ascii="Sylfaen" w:hAnsi="Sylfaen"/>
          <w:lang w:val="ka-GE"/>
        </w:rPr>
        <w:t>შაშვი</w:t>
      </w:r>
      <w:r w:rsidR="00BA2330" w:rsidRPr="009852B4">
        <w:rPr>
          <w:rFonts w:ascii="Sylfaen" w:hAnsi="Sylfaen"/>
          <w:lang w:val="ka-GE"/>
        </w:rPr>
        <w:t xml:space="preserve">, </w:t>
      </w:r>
      <w:r w:rsidR="005C750C" w:rsidRPr="009852B4">
        <w:rPr>
          <w:rFonts w:ascii="Sylfaen" w:hAnsi="Sylfaen"/>
          <w:lang w:val="ka-GE"/>
        </w:rPr>
        <w:t>ულვაშიანი წივწივა</w:t>
      </w:r>
      <w:r w:rsidR="00BA2330" w:rsidRPr="009852B4">
        <w:rPr>
          <w:rFonts w:ascii="Sylfaen" w:hAnsi="Sylfaen"/>
          <w:lang w:val="ka-GE"/>
        </w:rPr>
        <w:t xml:space="preserve">, </w:t>
      </w:r>
      <w:r w:rsidR="005C750C" w:rsidRPr="009852B4">
        <w:rPr>
          <w:rFonts w:ascii="Sylfaen" w:hAnsi="Sylfaen"/>
          <w:lang w:val="ka-GE"/>
        </w:rPr>
        <w:t>კაჭკაჭი</w:t>
      </w:r>
      <w:r w:rsidR="00BA2330" w:rsidRPr="009852B4">
        <w:rPr>
          <w:rFonts w:ascii="Sylfaen" w:hAnsi="Sylfaen"/>
          <w:lang w:val="ka-GE"/>
        </w:rPr>
        <w:t xml:space="preserve">; </w:t>
      </w:r>
      <w:r w:rsidR="005C750C" w:rsidRPr="009852B4">
        <w:rPr>
          <w:rStyle w:val="shorttext"/>
          <w:rFonts w:ascii="Sylfaen" w:hAnsi="Sylfaen" w:cs="Sylfaen"/>
          <w:lang w:val="ka-GE"/>
        </w:rPr>
        <w:t>მიმდებარე</w:t>
      </w:r>
      <w:r w:rsidR="005C750C" w:rsidRPr="009852B4">
        <w:rPr>
          <w:rStyle w:val="shorttext"/>
          <w:rFonts w:ascii="Sylfaen" w:hAnsi="Sylfaen" w:cs="Arial"/>
          <w:lang w:val="ka-GE"/>
        </w:rPr>
        <w:t xml:space="preserve"> </w:t>
      </w:r>
      <w:r w:rsidR="005C750C" w:rsidRPr="009852B4">
        <w:rPr>
          <w:rStyle w:val="shorttext"/>
          <w:rFonts w:ascii="Sylfaen" w:hAnsi="Sylfaen" w:cs="Sylfaen"/>
          <w:lang w:val="ka-GE"/>
        </w:rPr>
        <w:t>სასოფლო</w:t>
      </w:r>
      <w:r w:rsidR="005C750C" w:rsidRPr="009852B4">
        <w:rPr>
          <w:rStyle w:val="shorttext"/>
          <w:rFonts w:ascii="Sylfaen" w:hAnsi="Sylfaen" w:cs="Arial"/>
          <w:lang w:val="ka-GE"/>
        </w:rPr>
        <w:t>-</w:t>
      </w:r>
      <w:r w:rsidR="005C750C" w:rsidRPr="009852B4">
        <w:rPr>
          <w:rStyle w:val="shorttext"/>
          <w:rFonts w:ascii="Sylfaen" w:hAnsi="Sylfaen" w:cs="Sylfaen"/>
          <w:lang w:val="ka-GE"/>
        </w:rPr>
        <w:t>სამეურნეო</w:t>
      </w:r>
      <w:r w:rsidR="005C750C" w:rsidRPr="009852B4">
        <w:rPr>
          <w:rStyle w:val="shorttext"/>
          <w:rFonts w:ascii="Sylfaen" w:hAnsi="Sylfaen" w:cs="Arial"/>
          <w:lang w:val="ka-GE"/>
        </w:rPr>
        <w:t xml:space="preserve"> </w:t>
      </w:r>
      <w:r w:rsidR="005C750C" w:rsidRPr="009852B4">
        <w:rPr>
          <w:rStyle w:val="shorttext"/>
          <w:rFonts w:ascii="Sylfaen" w:hAnsi="Sylfaen" w:cs="Sylfaen"/>
          <w:lang w:val="ka-GE"/>
        </w:rPr>
        <w:t>მიწების</w:t>
      </w:r>
      <w:r w:rsidR="005C750C" w:rsidRPr="009852B4">
        <w:rPr>
          <w:rStyle w:val="shorttext"/>
          <w:rFonts w:ascii="Sylfaen" w:hAnsi="Sylfaen" w:cs="Arial"/>
          <w:lang w:val="ka-GE"/>
        </w:rPr>
        <w:t xml:space="preserve"> </w:t>
      </w:r>
      <w:r w:rsidR="005C750C" w:rsidRPr="009852B4">
        <w:rPr>
          <w:rStyle w:val="shorttext"/>
          <w:rFonts w:ascii="Sylfaen" w:hAnsi="Sylfaen" w:cs="Sylfaen"/>
          <w:lang w:val="ka-GE"/>
        </w:rPr>
        <w:t>ტერიტორიაზე</w:t>
      </w:r>
      <w:r w:rsidR="005C750C" w:rsidRPr="009852B4">
        <w:rPr>
          <w:rFonts w:ascii="Sylfaen" w:hAnsi="Sylfaen"/>
          <w:lang w:val="ka-GE"/>
        </w:rPr>
        <w:t xml:space="preserve"> </w:t>
      </w:r>
      <w:r w:rsidR="00BA2330" w:rsidRPr="009852B4">
        <w:rPr>
          <w:rFonts w:ascii="Sylfaen" w:hAnsi="Sylfaen"/>
          <w:lang w:val="ka-GE"/>
        </w:rPr>
        <w:t xml:space="preserve">- </w:t>
      </w:r>
      <w:r w:rsidR="005C750C" w:rsidRPr="009852B4">
        <w:rPr>
          <w:rFonts w:ascii="Sylfaen" w:hAnsi="Sylfaen"/>
          <w:lang w:val="ka-GE"/>
        </w:rPr>
        <w:t>მტრედი</w:t>
      </w:r>
      <w:r w:rsidR="00BA2330" w:rsidRPr="009852B4">
        <w:rPr>
          <w:rFonts w:ascii="Sylfaen" w:hAnsi="Sylfaen"/>
          <w:lang w:val="ka-GE"/>
        </w:rPr>
        <w:t xml:space="preserve">, </w:t>
      </w:r>
      <w:r w:rsidR="005C750C" w:rsidRPr="009852B4">
        <w:rPr>
          <w:rFonts w:ascii="Sylfaen" w:hAnsi="Sylfaen"/>
          <w:lang w:val="ka-GE"/>
        </w:rPr>
        <w:t>ჭილყვავი</w:t>
      </w:r>
      <w:r w:rsidR="00BA2330" w:rsidRPr="009852B4">
        <w:rPr>
          <w:rFonts w:ascii="Sylfaen" w:hAnsi="Sylfaen"/>
          <w:lang w:val="ka-GE"/>
        </w:rPr>
        <w:t xml:space="preserve">, </w:t>
      </w:r>
      <w:r w:rsidR="005C750C" w:rsidRPr="009852B4">
        <w:rPr>
          <w:rFonts w:ascii="Sylfaen" w:hAnsi="Sylfaen"/>
          <w:lang w:val="ka-GE"/>
        </w:rPr>
        <w:t>ყვავი</w:t>
      </w:r>
      <w:r w:rsidR="00BA2330" w:rsidRPr="009852B4">
        <w:rPr>
          <w:rFonts w:ascii="Sylfaen" w:hAnsi="Sylfaen"/>
          <w:lang w:val="ka-GE"/>
        </w:rPr>
        <w:t xml:space="preserve">. </w:t>
      </w:r>
      <w:r w:rsidR="005C750C" w:rsidRPr="009852B4">
        <w:rPr>
          <w:rFonts w:ascii="Sylfaen" w:hAnsi="Sylfaen" w:cs="Sylfaen"/>
          <w:lang w:val="ka-GE"/>
        </w:rPr>
        <w:t>დიდი</w:t>
      </w:r>
      <w:r w:rsidR="005C750C" w:rsidRPr="009852B4">
        <w:rPr>
          <w:rFonts w:ascii="Sylfaen" w:hAnsi="Sylfaen" w:cs="Arial"/>
          <w:lang w:val="ka-GE"/>
        </w:rPr>
        <w:t xml:space="preserve"> </w:t>
      </w:r>
      <w:r w:rsidR="005C750C" w:rsidRPr="009852B4">
        <w:rPr>
          <w:rFonts w:ascii="Sylfaen" w:hAnsi="Sylfaen" w:cs="Sylfaen"/>
          <w:lang w:val="ka-GE"/>
        </w:rPr>
        <w:t>ზომის</w:t>
      </w:r>
      <w:r w:rsidR="005C750C" w:rsidRPr="009852B4">
        <w:rPr>
          <w:rFonts w:ascii="Sylfaen" w:hAnsi="Sylfaen" w:cs="Arial"/>
          <w:lang w:val="ka-GE"/>
        </w:rPr>
        <w:t xml:space="preserve"> </w:t>
      </w:r>
      <w:r w:rsidR="005C750C" w:rsidRPr="009852B4">
        <w:rPr>
          <w:rFonts w:ascii="Sylfaen" w:hAnsi="Sylfaen" w:cs="Sylfaen"/>
          <w:lang w:val="ka-GE"/>
        </w:rPr>
        <w:t>მტაცებელი</w:t>
      </w:r>
      <w:r w:rsidR="005C750C" w:rsidRPr="009852B4">
        <w:rPr>
          <w:rFonts w:ascii="Sylfaen" w:hAnsi="Sylfaen" w:cs="Arial"/>
          <w:lang w:val="ka-GE"/>
        </w:rPr>
        <w:t xml:space="preserve"> </w:t>
      </w:r>
      <w:r w:rsidR="005C750C" w:rsidRPr="009852B4">
        <w:rPr>
          <w:rFonts w:ascii="Sylfaen" w:hAnsi="Sylfaen" w:cs="Sylfaen"/>
          <w:lang w:val="ka-GE"/>
        </w:rPr>
        <w:t>ფრინველების</w:t>
      </w:r>
      <w:r w:rsidR="005C750C" w:rsidRPr="009852B4">
        <w:rPr>
          <w:rFonts w:ascii="Sylfaen" w:hAnsi="Sylfaen" w:cs="Arial"/>
          <w:lang w:val="ka-GE"/>
        </w:rPr>
        <w:t xml:space="preserve"> (</w:t>
      </w:r>
      <w:r w:rsidR="005C750C" w:rsidRPr="009852B4">
        <w:rPr>
          <w:rFonts w:ascii="Sylfaen" w:hAnsi="Sylfaen" w:cs="Sylfaen"/>
          <w:lang w:val="ka-GE"/>
        </w:rPr>
        <w:t>განსაკუთრებით</w:t>
      </w:r>
      <w:r w:rsidR="005C750C" w:rsidRPr="009852B4">
        <w:rPr>
          <w:rFonts w:ascii="Sylfaen" w:hAnsi="Sylfaen" w:cs="Arial"/>
          <w:lang w:val="ka-GE"/>
        </w:rPr>
        <w:t xml:space="preserve"> </w:t>
      </w:r>
      <w:r w:rsidR="005C750C" w:rsidRPr="009852B4">
        <w:rPr>
          <w:rFonts w:ascii="Sylfaen" w:hAnsi="Sylfaen" w:cs="Sylfaen"/>
          <w:lang w:val="ka-GE"/>
        </w:rPr>
        <w:t>წითელი</w:t>
      </w:r>
      <w:r w:rsidR="005C750C" w:rsidRPr="009852B4">
        <w:rPr>
          <w:rFonts w:ascii="Sylfaen" w:hAnsi="Sylfaen" w:cs="Arial"/>
          <w:lang w:val="ka-GE"/>
        </w:rPr>
        <w:t xml:space="preserve"> </w:t>
      </w:r>
      <w:r w:rsidR="005C750C" w:rsidRPr="009852B4">
        <w:rPr>
          <w:rFonts w:ascii="Sylfaen" w:hAnsi="Sylfaen" w:cs="Sylfaen"/>
          <w:lang w:val="ka-GE"/>
        </w:rPr>
        <w:t>ნუსხის</w:t>
      </w:r>
      <w:r w:rsidR="005C750C" w:rsidRPr="009852B4">
        <w:rPr>
          <w:rFonts w:ascii="Sylfaen" w:hAnsi="Sylfaen" w:cs="Arial"/>
          <w:lang w:val="ka-GE"/>
        </w:rPr>
        <w:t xml:space="preserve"> </w:t>
      </w:r>
      <w:r w:rsidR="005C750C" w:rsidRPr="009852B4">
        <w:rPr>
          <w:rFonts w:ascii="Sylfaen" w:hAnsi="Sylfaen" w:cs="Sylfaen"/>
          <w:lang w:val="ka-GE"/>
        </w:rPr>
        <w:t>სახეობების</w:t>
      </w:r>
      <w:r w:rsidR="005C750C" w:rsidRPr="009852B4">
        <w:rPr>
          <w:rFonts w:ascii="Sylfaen" w:hAnsi="Sylfaen" w:cs="Arial"/>
          <w:lang w:val="ka-GE"/>
        </w:rPr>
        <w:t xml:space="preserve">) </w:t>
      </w:r>
      <w:r w:rsidR="005C750C" w:rsidRPr="009852B4">
        <w:rPr>
          <w:rFonts w:ascii="Sylfaen" w:hAnsi="Sylfaen" w:cs="Sylfaen"/>
          <w:lang w:val="ka-GE"/>
        </w:rPr>
        <w:t>ჰაბიტატი</w:t>
      </w:r>
      <w:r w:rsidR="005C750C" w:rsidRPr="009852B4">
        <w:rPr>
          <w:rFonts w:ascii="Sylfaen" w:hAnsi="Sylfaen" w:cs="Arial"/>
          <w:lang w:val="ka-GE"/>
        </w:rPr>
        <w:t xml:space="preserve"> </w:t>
      </w:r>
      <w:r w:rsidR="005C750C" w:rsidRPr="009852B4">
        <w:rPr>
          <w:rFonts w:ascii="Sylfaen" w:hAnsi="Sylfaen" w:cs="Sylfaen"/>
          <w:lang w:val="ka-GE"/>
        </w:rPr>
        <w:t>მნიშვნელოვნად</w:t>
      </w:r>
      <w:r w:rsidR="005C750C" w:rsidRPr="009852B4">
        <w:rPr>
          <w:rFonts w:ascii="Sylfaen" w:hAnsi="Sylfaen" w:cs="Arial"/>
          <w:lang w:val="ka-GE"/>
        </w:rPr>
        <w:t xml:space="preserve"> </w:t>
      </w:r>
      <w:r w:rsidR="005C750C" w:rsidRPr="009852B4">
        <w:rPr>
          <w:rFonts w:ascii="Sylfaen" w:hAnsi="Sylfaen" w:cs="Sylfaen"/>
          <w:lang w:val="ka-GE"/>
        </w:rPr>
        <w:t>არის</w:t>
      </w:r>
      <w:r w:rsidR="005C750C" w:rsidRPr="009852B4">
        <w:rPr>
          <w:rFonts w:ascii="Sylfaen" w:hAnsi="Sylfaen" w:cs="Arial"/>
          <w:lang w:val="ka-GE"/>
        </w:rPr>
        <w:t xml:space="preserve"> </w:t>
      </w:r>
      <w:r w:rsidR="005C750C" w:rsidRPr="009852B4">
        <w:rPr>
          <w:rFonts w:ascii="Sylfaen" w:hAnsi="Sylfaen" w:cs="Sylfaen"/>
          <w:lang w:val="ka-GE"/>
        </w:rPr>
        <w:t>შეზღუდული მოცემულ ტერიტორიაზე</w:t>
      </w:r>
      <w:r w:rsidR="005C750C" w:rsidRPr="009852B4">
        <w:rPr>
          <w:rFonts w:ascii="Sylfaen" w:hAnsi="Sylfaen"/>
          <w:lang w:val="ka-GE"/>
        </w:rPr>
        <w:t xml:space="preserve"> </w:t>
      </w:r>
      <w:r w:rsidR="005C750C" w:rsidRPr="009852B4">
        <w:rPr>
          <w:rStyle w:val="shorttext"/>
          <w:rFonts w:ascii="Sylfaen" w:hAnsi="Sylfaen" w:cs="Sylfaen"/>
          <w:lang w:val="ka-GE"/>
        </w:rPr>
        <w:t>და</w:t>
      </w:r>
      <w:r w:rsidR="005C750C" w:rsidRPr="009852B4">
        <w:rPr>
          <w:rStyle w:val="shorttext"/>
          <w:rFonts w:ascii="Sylfaen" w:hAnsi="Sylfaen" w:cs="Arial"/>
          <w:lang w:val="ka-GE"/>
        </w:rPr>
        <w:t xml:space="preserve"> </w:t>
      </w:r>
      <w:r w:rsidR="005C750C" w:rsidRPr="009852B4">
        <w:rPr>
          <w:rStyle w:val="shorttext"/>
          <w:rFonts w:ascii="Sylfaen" w:hAnsi="Sylfaen" w:cs="Sylfaen"/>
          <w:lang w:val="ka-GE"/>
        </w:rPr>
        <w:t>ისინი</w:t>
      </w:r>
      <w:r w:rsidR="005C750C" w:rsidRPr="009852B4">
        <w:rPr>
          <w:rStyle w:val="shorttext"/>
          <w:rFonts w:ascii="Sylfaen" w:hAnsi="Sylfaen" w:cs="Arial"/>
          <w:lang w:val="ka-GE"/>
        </w:rPr>
        <w:t xml:space="preserve"> </w:t>
      </w:r>
      <w:r w:rsidR="005C750C" w:rsidRPr="009852B4">
        <w:rPr>
          <w:rStyle w:val="shorttext"/>
          <w:rFonts w:ascii="Sylfaen" w:hAnsi="Sylfaen" w:cs="Sylfaen"/>
          <w:lang w:val="ka-GE"/>
        </w:rPr>
        <w:t>არ</w:t>
      </w:r>
      <w:r w:rsidR="005C750C" w:rsidRPr="009852B4">
        <w:rPr>
          <w:rStyle w:val="shorttext"/>
          <w:rFonts w:ascii="Sylfaen" w:hAnsi="Sylfaen" w:cs="Arial"/>
          <w:lang w:val="ka-GE"/>
        </w:rPr>
        <w:t xml:space="preserve"> </w:t>
      </w:r>
      <w:r w:rsidR="005C750C" w:rsidRPr="009852B4">
        <w:rPr>
          <w:rStyle w:val="shorttext"/>
          <w:rFonts w:ascii="Sylfaen" w:hAnsi="Sylfaen" w:cs="Sylfaen"/>
          <w:lang w:val="ka-GE"/>
        </w:rPr>
        <w:t>სახლობენ აქ</w:t>
      </w:r>
      <w:r w:rsidR="005C750C" w:rsidRPr="009852B4">
        <w:rPr>
          <w:rStyle w:val="shorttext"/>
          <w:rFonts w:ascii="Sylfaen" w:hAnsi="Sylfaen"/>
          <w:lang w:val="ka-GE"/>
        </w:rPr>
        <w:t xml:space="preserve">. </w:t>
      </w:r>
      <w:r w:rsidR="006D3BB5">
        <w:rPr>
          <w:rFonts w:ascii="Sylfaen" w:hAnsi="Sylfaen"/>
          <w:lang w:val="ka-GE"/>
        </w:rPr>
        <w:t>გურჯაანის (ჩუმლაყი)</w:t>
      </w:r>
      <w:r w:rsidR="006D3BB5" w:rsidRPr="006D3BB5">
        <w:rPr>
          <w:rFonts w:ascii="Sylfaen" w:hAnsi="Sylfaen"/>
          <w:lang w:val="ka-GE"/>
        </w:rPr>
        <w:t>-</w:t>
      </w:r>
      <w:r w:rsidR="006D3BB5">
        <w:rPr>
          <w:rFonts w:ascii="Sylfaen" w:hAnsi="Sylfaen"/>
          <w:lang w:val="ka-GE"/>
        </w:rPr>
        <w:t xml:space="preserve">თელავის </w:t>
      </w:r>
      <w:r w:rsidR="000275E3">
        <w:rPr>
          <w:rFonts w:ascii="Sylfaen" w:hAnsi="Sylfaen"/>
          <w:lang w:val="ka-GE"/>
        </w:rPr>
        <w:t>გზის მონაკვეთი</w:t>
      </w:r>
      <w:r w:rsidR="005C750C" w:rsidRPr="009852B4">
        <w:rPr>
          <w:rFonts w:ascii="Sylfaen" w:hAnsi="Sylfaen"/>
          <w:lang w:val="ka-GE"/>
        </w:rPr>
        <w:t xml:space="preserve"> </w:t>
      </w:r>
      <w:r w:rsidR="005C750C" w:rsidRPr="009852B4">
        <w:rPr>
          <w:rFonts w:ascii="Sylfaen" w:hAnsi="Sylfaen" w:cs="Sylfaen"/>
          <w:lang w:val="ka-GE"/>
        </w:rPr>
        <w:t>არ</w:t>
      </w:r>
      <w:r w:rsidR="005C750C" w:rsidRPr="009852B4">
        <w:rPr>
          <w:rFonts w:ascii="Sylfaen" w:hAnsi="Sylfaen" w:cs="Arial"/>
          <w:lang w:val="ka-GE"/>
        </w:rPr>
        <w:t xml:space="preserve"> </w:t>
      </w:r>
      <w:r w:rsidR="005C750C" w:rsidRPr="009852B4">
        <w:rPr>
          <w:rFonts w:ascii="Sylfaen" w:hAnsi="Sylfaen" w:cs="Sylfaen"/>
          <w:lang w:val="ka-GE"/>
        </w:rPr>
        <w:t>წარმოადგენს</w:t>
      </w:r>
      <w:r w:rsidR="005C750C" w:rsidRPr="009852B4">
        <w:rPr>
          <w:rFonts w:ascii="Sylfaen" w:hAnsi="Sylfaen" w:cs="Arial"/>
          <w:lang w:val="ka-GE"/>
        </w:rPr>
        <w:t xml:space="preserve"> </w:t>
      </w:r>
      <w:r w:rsidR="005C750C" w:rsidRPr="009852B4">
        <w:rPr>
          <w:rFonts w:ascii="Sylfaen" w:hAnsi="Sylfaen" w:cs="Sylfaen"/>
          <w:lang w:val="ka-GE"/>
        </w:rPr>
        <w:t>მნიშვნელოვან</w:t>
      </w:r>
      <w:r w:rsidR="005C750C" w:rsidRPr="009852B4">
        <w:rPr>
          <w:rFonts w:ascii="Sylfaen" w:hAnsi="Sylfaen" w:cs="Arial"/>
          <w:lang w:val="ka-GE"/>
        </w:rPr>
        <w:t xml:space="preserve"> </w:t>
      </w:r>
      <w:r w:rsidR="005C750C" w:rsidRPr="009852B4">
        <w:rPr>
          <w:rFonts w:ascii="Sylfaen" w:hAnsi="Sylfaen" w:cs="Sylfaen"/>
          <w:lang w:val="ka-GE"/>
        </w:rPr>
        <w:t>სამიგრაციო</w:t>
      </w:r>
      <w:r w:rsidR="005C750C" w:rsidRPr="009852B4">
        <w:rPr>
          <w:rFonts w:ascii="Sylfaen" w:hAnsi="Sylfaen" w:cs="Arial"/>
          <w:lang w:val="ka-GE"/>
        </w:rPr>
        <w:t xml:space="preserve"> </w:t>
      </w:r>
      <w:r w:rsidR="005C750C" w:rsidRPr="009852B4">
        <w:rPr>
          <w:rFonts w:ascii="Sylfaen" w:hAnsi="Sylfaen" w:cs="Sylfaen"/>
          <w:lang w:val="ka-GE"/>
        </w:rPr>
        <w:t>კორიდორს</w:t>
      </w:r>
      <w:r w:rsidR="005C750C" w:rsidRPr="009852B4">
        <w:rPr>
          <w:rFonts w:ascii="Sylfaen" w:hAnsi="Sylfaen" w:cs="Arial"/>
          <w:lang w:val="ka-GE"/>
        </w:rPr>
        <w:t xml:space="preserve"> </w:t>
      </w:r>
      <w:r w:rsidR="005C750C" w:rsidRPr="009852B4">
        <w:rPr>
          <w:rFonts w:ascii="Sylfaen" w:hAnsi="Sylfaen" w:cs="Sylfaen"/>
          <w:lang w:val="ka-GE"/>
        </w:rPr>
        <w:t>ფრინველებისთვის</w:t>
      </w:r>
      <w:r w:rsidR="005C750C" w:rsidRPr="009852B4">
        <w:rPr>
          <w:rFonts w:ascii="Sylfaen" w:hAnsi="Sylfaen" w:cs="Arial"/>
          <w:lang w:val="ka-GE"/>
        </w:rPr>
        <w:t xml:space="preserve"> </w:t>
      </w:r>
      <w:r w:rsidR="005C750C" w:rsidRPr="009852B4">
        <w:rPr>
          <w:rFonts w:ascii="Sylfaen" w:hAnsi="Sylfaen" w:cs="Sylfaen"/>
          <w:lang w:val="ka-GE"/>
        </w:rPr>
        <w:t>და</w:t>
      </w:r>
      <w:r w:rsidR="005C750C" w:rsidRPr="009852B4">
        <w:rPr>
          <w:rFonts w:ascii="Sylfaen" w:hAnsi="Sylfaen"/>
          <w:lang w:val="ka-GE"/>
        </w:rPr>
        <w:t xml:space="preserve"> </w:t>
      </w:r>
      <w:r w:rsidR="005C750C" w:rsidRPr="009852B4">
        <w:rPr>
          <w:rFonts w:ascii="Sylfaen" w:hAnsi="Sylfaen" w:cs="Sylfaen"/>
          <w:lang w:val="ka-GE"/>
        </w:rPr>
        <w:t>ნაკლებად</w:t>
      </w:r>
      <w:r w:rsidR="005C750C" w:rsidRPr="009852B4">
        <w:rPr>
          <w:rFonts w:ascii="Sylfaen" w:hAnsi="Sylfaen" w:cs="Arial"/>
          <w:lang w:val="ka-GE"/>
        </w:rPr>
        <w:t xml:space="preserve"> </w:t>
      </w:r>
      <w:r w:rsidR="005C750C" w:rsidRPr="009852B4">
        <w:rPr>
          <w:rFonts w:ascii="Sylfaen" w:hAnsi="Sylfaen" w:cs="Sylfaen"/>
          <w:lang w:val="ka-GE"/>
        </w:rPr>
        <w:t>სავარაუდოა</w:t>
      </w:r>
      <w:r w:rsidR="005C750C" w:rsidRPr="009852B4">
        <w:rPr>
          <w:rFonts w:ascii="Sylfaen" w:hAnsi="Sylfaen" w:cs="Arial"/>
          <w:lang w:val="ka-GE"/>
        </w:rPr>
        <w:t xml:space="preserve">, </w:t>
      </w:r>
      <w:r w:rsidR="005C750C" w:rsidRPr="009852B4">
        <w:rPr>
          <w:rFonts w:ascii="Sylfaen" w:hAnsi="Sylfaen" w:cs="Sylfaen"/>
          <w:lang w:val="ka-GE"/>
        </w:rPr>
        <w:t>რომ</w:t>
      </w:r>
      <w:r w:rsidR="005C750C" w:rsidRPr="009852B4">
        <w:rPr>
          <w:rFonts w:ascii="Sylfaen" w:hAnsi="Sylfaen" w:cs="Arial"/>
          <w:lang w:val="ka-GE"/>
        </w:rPr>
        <w:t xml:space="preserve"> </w:t>
      </w:r>
      <w:r w:rsidR="005C750C" w:rsidRPr="009852B4">
        <w:rPr>
          <w:rFonts w:ascii="Sylfaen" w:hAnsi="Sylfaen" w:cs="Sylfaen"/>
          <w:lang w:val="ka-GE"/>
        </w:rPr>
        <w:t>ასეთი</w:t>
      </w:r>
      <w:r w:rsidR="005C750C" w:rsidRPr="009852B4">
        <w:rPr>
          <w:rFonts w:ascii="Sylfaen" w:hAnsi="Sylfaen" w:cs="Arial"/>
          <w:lang w:val="ka-GE"/>
        </w:rPr>
        <w:t xml:space="preserve"> </w:t>
      </w:r>
      <w:r w:rsidR="005C750C" w:rsidRPr="009852B4">
        <w:rPr>
          <w:rFonts w:ascii="Sylfaen" w:hAnsi="Sylfaen" w:cs="Sylfaen"/>
          <w:lang w:val="ka-GE"/>
        </w:rPr>
        <w:t>ფრინველი</w:t>
      </w:r>
      <w:r w:rsidR="005C750C" w:rsidRPr="009852B4">
        <w:rPr>
          <w:rFonts w:ascii="Sylfaen" w:hAnsi="Sylfaen" w:cs="Arial"/>
          <w:lang w:val="ka-GE"/>
        </w:rPr>
        <w:t xml:space="preserve"> </w:t>
      </w:r>
      <w:r w:rsidR="005C750C" w:rsidRPr="009852B4">
        <w:rPr>
          <w:rFonts w:ascii="Sylfaen" w:hAnsi="Sylfaen" w:cs="Sylfaen"/>
          <w:lang w:val="ka-GE"/>
        </w:rPr>
        <w:t>მოხვდება ამ ტერიტორიაზე.</w:t>
      </w:r>
    </w:p>
    <w:p w14:paraId="6D0964C0" w14:textId="77777777" w:rsidR="00BA27EB" w:rsidRPr="009852B4" w:rsidRDefault="009C3FD0" w:rsidP="002B56CC">
      <w:pPr>
        <w:spacing w:before="200" w:after="200"/>
        <w:rPr>
          <w:rStyle w:val="shorttext"/>
          <w:rFonts w:ascii="Sylfaen" w:hAnsi="Sylfaen"/>
          <w:lang w:val="ka-GE"/>
        </w:rPr>
      </w:pPr>
      <w:r w:rsidRPr="009852B4">
        <w:rPr>
          <w:rStyle w:val="shorttext"/>
          <w:rFonts w:ascii="Sylfaen" w:hAnsi="Sylfaen" w:cs="Sylfaen"/>
          <w:lang w:val="ka-GE"/>
        </w:rPr>
        <w:t>შემდეგ</w:t>
      </w:r>
      <w:r w:rsidR="00BA27EB" w:rsidRPr="009852B4">
        <w:rPr>
          <w:rStyle w:val="shorttext"/>
          <w:rFonts w:ascii="Sylfaen" w:hAnsi="Sylfaen" w:cs="Sylfaen"/>
          <w:lang w:val="ka-GE"/>
        </w:rPr>
        <w:t>ი სახეობები უნდა აღინიშნოს</w:t>
      </w:r>
      <w:r w:rsidRPr="009852B4">
        <w:rPr>
          <w:rStyle w:val="shorttext"/>
          <w:rFonts w:ascii="Sylfaen" w:hAnsi="Sylfaen" w:cs="Arial"/>
          <w:lang w:val="ka-GE"/>
        </w:rPr>
        <w:t xml:space="preserve"> </w:t>
      </w:r>
      <w:r w:rsidR="00BA27EB" w:rsidRPr="009852B4">
        <w:rPr>
          <w:rStyle w:val="shorttext"/>
          <w:rFonts w:ascii="Sylfaen" w:hAnsi="Sylfaen" w:cs="Sylfaen"/>
          <w:lang w:val="ka-GE"/>
        </w:rPr>
        <w:t>ამ</w:t>
      </w:r>
      <w:r w:rsidRPr="009852B4">
        <w:rPr>
          <w:rStyle w:val="shorttext"/>
          <w:rFonts w:ascii="Sylfaen" w:hAnsi="Sylfaen" w:cs="Arial"/>
          <w:lang w:val="ka-GE"/>
        </w:rPr>
        <w:t xml:space="preserve"> </w:t>
      </w:r>
      <w:r w:rsidRPr="009852B4">
        <w:rPr>
          <w:rStyle w:val="shorttext"/>
          <w:rFonts w:ascii="Sylfaen" w:hAnsi="Sylfaen" w:cs="Sylfaen"/>
          <w:lang w:val="ka-GE"/>
        </w:rPr>
        <w:t>რეგიონ</w:t>
      </w:r>
      <w:r w:rsidR="00BA27EB" w:rsidRPr="009852B4">
        <w:rPr>
          <w:rStyle w:val="shorttext"/>
          <w:rFonts w:ascii="Sylfaen" w:hAnsi="Sylfaen" w:cs="Sylfaen"/>
          <w:lang w:val="ka-GE"/>
        </w:rPr>
        <w:t>ში გავრცელებული</w:t>
      </w:r>
      <w:r w:rsidRPr="009852B4">
        <w:rPr>
          <w:rStyle w:val="shorttext"/>
          <w:rFonts w:ascii="Sylfaen" w:hAnsi="Sylfaen" w:cs="Arial"/>
          <w:lang w:val="ka-GE"/>
        </w:rPr>
        <w:t xml:space="preserve"> </w:t>
      </w:r>
      <w:r w:rsidRPr="009852B4">
        <w:rPr>
          <w:rStyle w:val="shorttext"/>
          <w:rFonts w:ascii="Sylfaen" w:hAnsi="Sylfaen" w:cs="Sylfaen"/>
          <w:b/>
          <w:lang w:val="ka-GE"/>
        </w:rPr>
        <w:t>ამფიბიებისგან</w:t>
      </w:r>
      <w:r w:rsidR="00BA2330" w:rsidRPr="009852B4">
        <w:rPr>
          <w:rFonts w:ascii="Sylfaen" w:hAnsi="Sylfaen"/>
          <w:b/>
          <w:lang w:val="ka-GE"/>
        </w:rPr>
        <w:t>:</w:t>
      </w:r>
      <w:r w:rsidR="00BA2330" w:rsidRPr="009852B4">
        <w:rPr>
          <w:rFonts w:ascii="Sylfaen" w:hAnsi="Sylfaen"/>
          <w:lang w:val="ka-GE"/>
        </w:rPr>
        <w:t xml:space="preserve"> </w:t>
      </w:r>
      <w:r w:rsidR="00BA27EB" w:rsidRPr="009852B4">
        <w:rPr>
          <w:rFonts w:ascii="Sylfaen" w:hAnsi="Sylfaen"/>
          <w:lang w:val="ka-GE"/>
        </w:rPr>
        <w:t>მწვანე გომბეშო</w:t>
      </w:r>
      <w:r w:rsidR="00BA2330" w:rsidRPr="009852B4">
        <w:rPr>
          <w:rFonts w:ascii="Sylfaen" w:hAnsi="Sylfaen"/>
          <w:lang w:val="ka-GE"/>
        </w:rPr>
        <w:t xml:space="preserve"> –</w:t>
      </w:r>
      <w:r w:rsidR="00BA27EB" w:rsidRPr="009852B4">
        <w:rPr>
          <w:rFonts w:ascii="Sylfaen" w:hAnsi="Sylfaen"/>
          <w:lang w:val="ka-GE"/>
        </w:rPr>
        <w:t xml:space="preserve"> </w:t>
      </w:r>
      <w:r w:rsidR="00BA2330" w:rsidRPr="009852B4">
        <w:rPr>
          <w:rFonts w:ascii="Sylfaen" w:hAnsi="Sylfaen"/>
          <w:lang w:val="ka-GE"/>
        </w:rPr>
        <w:t xml:space="preserve">(Bufo viridis), </w:t>
      </w:r>
      <w:r w:rsidR="00BA27EB" w:rsidRPr="009852B4">
        <w:rPr>
          <w:rFonts w:ascii="Sylfaen" w:hAnsi="Sylfaen"/>
          <w:lang w:val="ka-GE"/>
        </w:rPr>
        <w:t>ჩვეულებრივი გომბეშო</w:t>
      </w:r>
      <w:r w:rsidR="00BA2330" w:rsidRPr="009852B4">
        <w:rPr>
          <w:rFonts w:ascii="Sylfaen" w:hAnsi="Sylfaen"/>
          <w:lang w:val="ka-GE"/>
        </w:rPr>
        <w:t xml:space="preserve"> –(Bufo bufo), </w:t>
      </w:r>
      <w:r w:rsidR="00BA27EB" w:rsidRPr="009852B4">
        <w:rPr>
          <w:rFonts w:ascii="Sylfaen" w:hAnsi="Sylfaen"/>
          <w:lang w:val="ka-GE"/>
        </w:rPr>
        <w:t>კავკასიური ჯვაროსანა</w:t>
      </w:r>
      <w:r w:rsidR="00BA2330" w:rsidRPr="009852B4">
        <w:rPr>
          <w:rFonts w:ascii="Sylfaen" w:hAnsi="Sylfaen"/>
          <w:lang w:val="ka-GE"/>
        </w:rPr>
        <w:t xml:space="preserve"> –</w:t>
      </w:r>
      <w:r w:rsidR="00BA27EB" w:rsidRPr="009852B4">
        <w:rPr>
          <w:rFonts w:ascii="Sylfaen" w:hAnsi="Sylfaen"/>
          <w:lang w:val="ka-GE"/>
        </w:rPr>
        <w:t xml:space="preserve"> </w:t>
      </w:r>
      <w:r w:rsidR="00BA2330" w:rsidRPr="009852B4">
        <w:rPr>
          <w:rFonts w:ascii="Sylfaen" w:hAnsi="Sylfaen"/>
          <w:lang w:val="ka-GE"/>
        </w:rPr>
        <w:t xml:space="preserve">(Pelobates caucasicus), </w:t>
      </w:r>
      <w:r w:rsidR="00BA27EB" w:rsidRPr="009852B4">
        <w:rPr>
          <w:rFonts w:ascii="Sylfaen" w:hAnsi="Sylfaen"/>
          <w:lang w:val="ka-GE"/>
        </w:rPr>
        <w:t>და ასევე ტყის ბაყაყი</w:t>
      </w:r>
      <w:r w:rsidR="00BA2330" w:rsidRPr="009852B4">
        <w:rPr>
          <w:rFonts w:ascii="Sylfaen" w:hAnsi="Sylfaen"/>
          <w:lang w:val="ka-GE"/>
        </w:rPr>
        <w:t xml:space="preserve"> – (Rana rididunda), </w:t>
      </w:r>
      <w:r w:rsidR="00BA27EB" w:rsidRPr="009852B4">
        <w:rPr>
          <w:rFonts w:ascii="Sylfaen" w:hAnsi="Sylfaen" w:cs="Sylfaen"/>
          <w:lang w:val="ka-GE"/>
        </w:rPr>
        <w:t>რომელთათვისაც</w:t>
      </w:r>
      <w:r w:rsidR="00BA27EB" w:rsidRPr="009852B4">
        <w:rPr>
          <w:rFonts w:ascii="Sylfaen" w:hAnsi="Sylfaen" w:cs="Arial"/>
          <w:lang w:val="ka-GE"/>
        </w:rPr>
        <w:t xml:space="preserve"> ხელსაყრელი </w:t>
      </w:r>
      <w:r w:rsidR="00BA27EB" w:rsidRPr="009852B4">
        <w:rPr>
          <w:rFonts w:ascii="Sylfaen" w:hAnsi="Sylfaen" w:cs="Sylfaen"/>
          <w:lang w:val="ka-GE"/>
        </w:rPr>
        <w:t>საარსებო</w:t>
      </w:r>
      <w:r w:rsidR="00BA27EB" w:rsidRPr="009852B4">
        <w:rPr>
          <w:rFonts w:ascii="Sylfaen" w:hAnsi="Sylfaen" w:cs="Arial"/>
          <w:lang w:val="ka-GE"/>
        </w:rPr>
        <w:t xml:space="preserve"> </w:t>
      </w:r>
      <w:r w:rsidR="00BA27EB" w:rsidRPr="009852B4">
        <w:rPr>
          <w:rFonts w:ascii="Sylfaen" w:hAnsi="Sylfaen" w:cs="Sylfaen"/>
          <w:lang w:val="ka-GE"/>
        </w:rPr>
        <w:t>პირობებია</w:t>
      </w:r>
      <w:r w:rsidR="00BA27EB" w:rsidRPr="009852B4">
        <w:rPr>
          <w:rFonts w:ascii="Sylfaen" w:hAnsi="Sylfaen" w:cs="Arial"/>
          <w:lang w:val="ka-GE"/>
        </w:rPr>
        <w:t xml:space="preserve"> </w:t>
      </w:r>
      <w:r w:rsidR="00BA27EB" w:rsidRPr="009852B4">
        <w:rPr>
          <w:rFonts w:ascii="Sylfaen" w:hAnsi="Sylfaen" w:cs="Sylfaen"/>
          <w:lang w:val="ka-GE"/>
        </w:rPr>
        <w:t>შექმნილი პროექტის</w:t>
      </w:r>
      <w:r w:rsidR="00BA27EB" w:rsidRPr="009852B4">
        <w:rPr>
          <w:rFonts w:ascii="Sylfaen" w:hAnsi="Sylfaen" w:cs="Arial"/>
          <w:lang w:val="ka-GE"/>
        </w:rPr>
        <w:t xml:space="preserve"> </w:t>
      </w:r>
      <w:r w:rsidR="00BA27EB" w:rsidRPr="009852B4">
        <w:rPr>
          <w:rFonts w:ascii="Sylfaen" w:hAnsi="Sylfaen" w:cs="Sylfaen"/>
          <w:lang w:val="ka-GE"/>
        </w:rPr>
        <w:t>ტერიტორიაზე</w:t>
      </w:r>
      <w:r w:rsidR="00BA27EB" w:rsidRPr="009852B4">
        <w:rPr>
          <w:rFonts w:ascii="Sylfaen" w:hAnsi="Sylfaen"/>
          <w:lang w:val="ka-GE"/>
        </w:rPr>
        <w:t xml:space="preserve">. </w:t>
      </w:r>
      <w:r w:rsidR="00BA27EB" w:rsidRPr="009852B4">
        <w:rPr>
          <w:rFonts w:ascii="Sylfaen" w:hAnsi="Sylfaen" w:cs="Sylfaen"/>
          <w:lang w:val="ka-GE"/>
        </w:rPr>
        <w:t>მდ</w:t>
      </w:r>
      <w:r w:rsidR="00BA27EB" w:rsidRPr="009852B4">
        <w:rPr>
          <w:rFonts w:ascii="Sylfaen" w:hAnsi="Sylfaen" w:cs="Arial"/>
          <w:lang w:val="ka-GE"/>
        </w:rPr>
        <w:t>.</w:t>
      </w:r>
      <w:r w:rsidR="00BA27EB" w:rsidRPr="009852B4">
        <w:rPr>
          <w:rFonts w:ascii="Sylfaen" w:hAnsi="Sylfaen"/>
          <w:lang w:val="ka-GE"/>
        </w:rPr>
        <w:t xml:space="preserve"> </w:t>
      </w:r>
      <w:r w:rsidR="00BA27EB" w:rsidRPr="009852B4">
        <w:rPr>
          <w:rFonts w:ascii="Sylfaen" w:hAnsi="Sylfaen" w:cs="Sylfaen"/>
          <w:lang w:val="ka-GE"/>
        </w:rPr>
        <w:t>ალაზნისა</w:t>
      </w:r>
      <w:r w:rsidR="00BA27EB" w:rsidRPr="009852B4">
        <w:rPr>
          <w:rFonts w:ascii="Sylfaen" w:hAnsi="Sylfaen" w:cs="Arial"/>
          <w:lang w:val="ka-GE"/>
        </w:rPr>
        <w:t xml:space="preserve"> </w:t>
      </w:r>
      <w:r w:rsidR="00BA27EB" w:rsidRPr="009852B4">
        <w:rPr>
          <w:rFonts w:ascii="Sylfaen" w:hAnsi="Sylfaen" w:cs="Sylfaen"/>
          <w:lang w:val="ka-GE"/>
        </w:rPr>
        <w:t>და</w:t>
      </w:r>
      <w:r w:rsidR="00BA27EB" w:rsidRPr="009852B4">
        <w:rPr>
          <w:rFonts w:ascii="Sylfaen" w:hAnsi="Sylfaen" w:cs="Arial"/>
          <w:lang w:val="ka-GE"/>
        </w:rPr>
        <w:t xml:space="preserve"> </w:t>
      </w:r>
      <w:r w:rsidR="00BA27EB" w:rsidRPr="009852B4">
        <w:rPr>
          <w:rFonts w:ascii="Sylfaen" w:hAnsi="Sylfaen" w:cs="Sylfaen"/>
          <w:lang w:val="ka-GE"/>
        </w:rPr>
        <w:t>სხვა</w:t>
      </w:r>
      <w:r w:rsidR="00BA27EB" w:rsidRPr="009852B4">
        <w:rPr>
          <w:rFonts w:ascii="Sylfaen" w:hAnsi="Sylfaen" w:cs="Arial"/>
          <w:lang w:val="ka-GE"/>
        </w:rPr>
        <w:t xml:space="preserve"> </w:t>
      </w:r>
      <w:r w:rsidR="00BA27EB" w:rsidRPr="009852B4">
        <w:rPr>
          <w:rFonts w:ascii="Sylfaen" w:hAnsi="Sylfaen" w:cs="Sylfaen"/>
          <w:lang w:val="ka-GE"/>
        </w:rPr>
        <w:t>მნიშვნელოვანი</w:t>
      </w:r>
      <w:r w:rsidR="00BA27EB" w:rsidRPr="009852B4">
        <w:rPr>
          <w:rFonts w:ascii="Sylfaen" w:hAnsi="Sylfaen" w:cs="Arial"/>
          <w:lang w:val="ka-GE"/>
        </w:rPr>
        <w:t xml:space="preserve"> </w:t>
      </w:r>
      <w:r w:rsidR="00BA27EB" w:rsidRPr="009852B4">
        <w:rPr>
          <w:rFonts w:ascii="Sylfaen" w:hAnsi="Sylfaen" w:cs="Sylfaen"/>
          <w:lang w:val="ka-GE"/>
        </w:rPr>
        <w:t>წყლის</w:t>
      </w:r>
      <w:r w:rsidR="00BA27EB" w:rsidRPr="009852B4">
        <w:rPr>
          <w:rFonts w:ascii="Sylfaen" w:hAnsi="Sylfaen" w:cs="Arial"/>
          <w:lang w:val="ka-GE"/>
        </w:rPr>
        <w:t xml:space="preserve"> </w:t>
      </w:r>
      <w:r w:rsidR="00BA27EB" w:rsidRPr="009852B4">
        <w:rPr>
          <w:rFonts w:ascii="Sylfaen" w:hAnsi="Sylfaen" w:cs="Sylfaen"/>
          <w:lang w:val="ka-GE"/>
        </w:rPr>
        <w:t>ობიექტებიდან</w:t>
      </w:r>
      <w:r w:rsidR="00BA27EB" w:rsidRPr="009852B4">
        <w:rPr>
          <w:rFonts w:ascii="Sylfaen" w:hAnsi="Sylfaen" w:cs="Arial"/>
          <w:lang w:val="ka-GE"/>
        </w:rPr>
        <w:t xml:space="preserve"> </w:t>
      </w:r>
      <w:r w:rsidR="00BA27EB" w:rsidRPr="009852B4">
        <w:rPr>
          <w:rFonts w:ascii="Sylfaen" w:hAnsi="Sylfaen" w:cs="Sylfaen"/>
          <w:lang w:val="ka-GE"/>
        </w:rPr>
        <w:t>მნიშვნელოვანი</w:t>
      </w:r>
      <w:r w:rsidR="00BA27EB" w:rsidRPr="009852B4">
        <w:rPr>
          <w:rFonts w:ascii="Sylfaen" w:hAnsi="Sylfaen"/>
          <w:lang w:val="ka-GE"/>
        </w:rPr>
        <w:t xml:space="preserve"> </w:t>
      </w:r>
      <w:r w:rsidR="00BA27EB" w:rsidRPr="009852B4">
        <w:rPr>
          <w:rFonts w:ascii="Sylfaen" w:hAnsi="Sylfaen" w:cs="Sylfaen"/>
          <w:lang w:val="ka-GE"/>
        </w:rPr>
        <w:t>დაშორებიდან</w:t>
      </w:r>
      <w:r w:rsidR="00BA27EB" w:rsidRPr="009852B4">
        <w:rPr>
          <w:rFonts w:ascii="Sylfaen" w:hAnsi="Sylfaen" w:cs="Arial"/>
          <w:lang w:val="ka-GE"/>
        </w:rPr>
        <w:t xml:space="preserve"> </w:t>
      </w:r>
      <w:r w:rsidR="00BA27EB" w:rsidRPr="009852B4">
        <w:rPr>
          <w:rFonts w:ascii="Sylfaen" w:hAnsi="Sylfaen" w:cs="Sylfaen"/>
          <w:lang w:val="ka-GE"/>
        </w:rPr>
        <w:t>გამომდინარე</w:t>
      </w:r>
      <w:r w:rsidR="00BA27EB" w:rsidRPr="009852B4">
        <w:rPr>
          <w:rFonts w:ascii="Sylfaen" w:hAnsi="Sylfaen" w:cs="Arial"/>
          <w:lang w:val="ka-GE"/>
        </w:rPr>
        <w:t xml:space="preserve">, </w:t>
      </w:r>
      <w:r w:rsidR="00BA27EB" w:rsidRPr="009852B4">
        <w:rPr>
          <w:rFonts w:ascii="Sylfaen" w:hAnsi="Sylfaen" w:cs="Sylfaen"/>
          <w:lang w:val="ka-GE"/>
        </w:rPr>
        <w:t>სხვადასხვა</w:t>
      </w:r>
      <w:r w:rsidR="00BA27EB" w:rsidRPr="009852B4">
        <w:rPr>
          <w:rFonts w:ascii="Sylfaen" w:hAnsi="Sylfaen" w:cs="Arial"/>
          <w:lang w:val="ka-GE"/>
        </w:rPr>
        <w:t xml:space="preserve"> </w:t>
      </w:r>
      <w:r w:rsidR="00BA27EB" w:rsidRPr="009852B4">
        <w:rPr>
          <w:rFonts w:ascii="Sylfaen" w:hAnsi="Sylfaen" w:cs="Sylfaen"/>
          <w:lang w:val="ka-GE"/>
        </w:rPr>
        <w:t>ამფიბიების</w:t>
      </w:r>
      <w:r w:rsidR="00BA27EB" w:rsidRPr="009852B4">
        <w:rPr>
          <w:rFonts w:ascii="Sylfaen" w:hAnsi="Sylfaen" w:cs="Arial"/>
          <w:lang w:val="ka-GE"/>
        </w:rPr>
        <w:t xml:space="preserve"> </w:t>
      </w:r>
      <w:r w:rsidR="00BA27EB" w:rsidRPr="009852B4">
        <w:rPr>
          <w:rFonts w:ascii="Sylfaen" w:hAnsi="Sylfaen" w:cs="Sylfaen"/>
          <w:lang w:val="ka-GE"/>
        </w:rPr>
        <w:t>პოპულაციები</w:t>
      </w:r>
      <w:r w:rsidR="00BA27EB" w:rsidRPr="009852B4">
        <w:rPr>
          <w:rFonts w:ascii="Sylfaen" w:hAnsi="Sylfaen" w:cs="Arial"/>
          <w:lang w:val="ka-GE"/>
        </w:rPr>
        <w:t xml:space="preserve"> </w:t>
      </w:r>
      <w:r w:rsidR="00BA27EB" w:rsidRPr="009852B4">
        <w:rPr>
          <w:rFonts w:ascii="Sylfaen" w:hAnsi="Sylfaen" w:cs="Sylfaen"/>
          <w:lang w:val="ka-GE"/>
        </w:rPr>
        <w:t>დიდი</w:t>
      </w:r>
      <w:r w:rsidR="00BA27EB" w:rsidRPr="009852B4">
        <w:rPr>
          <w:rFonts w:ascii="Sylfaen" w:hAnsi="Sylfaen" w:cs="Arial"/>
          <w:lang w:val="ka-GE"/>
        </w:rPr>
        <w:t xml:space="preserve"> </w:t>
      </w:r>
      <w:r w:rsidR="00BA27EB" w:rsidRPr="009852B4">
        <w:rPr>
          <w:rFonts w:ascii="Sylfaen" w:hAnsi="Sylfaen" w:cs="Sylfaen"/>
          <w:lang w:val="ka-GE"/>
        </w:rPr>
        <w:t>არ</w:t>
      </w:r>
      <w:r w:rsidR="00BA27EB" w:rsidRPr="009852B4">
        <w:rPr>
          <w:rFonts w:ascii="Sylfaen" w:hAnsi="Sylfaen" w:cs="Arial"/>
          <w:lang w:val="ka-GE"/>
        </w:rPr>
        <w:t xml:space="preserve"> </w:t>
      </w:r>
      <w:r w:rsidR="00BA27EB" w:rsidRPr="009852B4">
        <w:rPr>
          <w:rFonts w:ascii="Sylfaen" w:hAnsi="Sylfaen" w:cs="Sylfaen"/>
          <w:lang w:val="ka-GE"/>
        </w:rPr>
        <w:t>უნდა</w:t>
      </w:r>
      <w:r w:rsidR="00BA27EB" w:rsidRPr="009852B4">
        <w:rPr>
          <w:rFonts w:ascii="Sylfaen" w:hAnsi="Sylfaen" w:cs="Arial"/>
          <w:lang w:val="ka-GE"/>
        </w:rPr>
        <w:t xml:space="preserve"> </w:t>
      </w:r>
      <w:r w:rsidR="00BA27EB" w:rsidRPr="009852B4">
        <w:rPr>
          <w:rFonts w:ascii="Sylfaen" w:hAnsi="Sylfaen" w:cs="Sylfaen"/>
          <w:lang w:val="ka-GE"/>
        </w:rPr>
        <w:t>იყოს</w:t>
      </w:r>
      <w:r w:rsidR="00BA27EB" w:rsidRPr="009852B4">
        <w:rPr>
          <w:rFonts w:ascii="Sylfaen" w:hAnsi="Sylfaen"/>
          <w:lang w:val="ka-GE"/>
        </w:rPr>
        <w:t xml:space="preserve"> პროექტის </w:t>
      </w:r>
      <w:r w:rsidR="00BA27EB" w:rsidRPr="009852B4">
        <w:rPr>
          <w:rFonts w:ascii="Sylfaen" w:hAnsi="Sylfaen" w:cs="Sylfaen"/>
          <w:lang w:val="ka-GE"/>
        </w:rPr>
        <w:t>ტერიტორიაზე</w:t>
      </w:r>
      <w:r w:rsidR="00BA27EB" w:rsidRPr="009852B4">
        <w:rPr>
          <w:rFonts w:ascii="Sylfaen" w:hAnsi="Sylfaen"/>
          <w:lang w:val="ka-GE"/>
        </w:rPr>
        <w:t xml:space="preserve">. </w:t>
      </w:r>
      <w:r w:rsidR="00BA27EB" w:rsidRPr="009852B4">
        <w:rPr>
          <w:rStyle w:val="shorttext"/>
          <w:rFonts w:ascii="Sylfaen" w:hAnsi="Sylfaen" w:cs="Sylfaen"/>
          <w:lang w:val="ka-GE"/>
        </w:rPr>
        <w:t>ამიტომაა</w:t>
      </w:r>
      <w:r w:rsidR="00BA27EB" w:rsidRPr="009852B4">
        <w:rPr>
          <w:rStyle w:val="shorttext"/>
          <w:rFonts w:ascii="Sylfaen" w:hAnsi="Sylfaen" w:cs="Arial"/>
          <w:lang w:val="ka-GE"/>
        </w:rPr>
        <w:t xml:space="preserve">, </w:t>
      </w:r>
      <w:r w:rsidR="00BA27EB" w:rsidRPr="009852B4">
        <w:rPr>
          <w:rStyle w:val="shorttext"/>
          <w:rFonts w:ascii="Sylfaen" w:hAnsi="Sylfaen" w:cs="Sylfaen"/>
          <w:lang w:val="ka-GE"/>
        </w:rPr>
        <w:t>რომ</w:t>
      </w:r>
      <w:r w:rsidR="00BA27EB" w:rsidRPr="009852B4">
        <w:rPr>
          <w:rStyle w:val="shorttext"/>
          <w:rFonts w:ascii="Sylfaen" w:hAnsi="Sylfaen" w:cs="Arial"/>
          <w:lang w:val="ka-GE"/>
        </w:rPr>
        <w:t xml:space="preserve"> მათი მომპოვებელი </w:t>
      </w:r>
      <w:r w:rsidR="00BA27EB" w:rsidRPr="009852B4">
        <w:rPr>
          <w:rStyle w:val="shorttext"/>
          <w:rFonts w:ascii="Sylfaen" w:hAnsi="Sylfaen" w:cs="Sylfaen"/>
          <w:lang w:val="ka-GE"/>
        </w:rPr>
        <w:t>ცხოველების</w:t>
      </w:r>
      <w:r w:rsidR="00BA27EB" w:rsidRPr="009852B4">
        <w:rPr>
          <w:rStyle w:val="shorttext"/>
          <w:rFonts w:ascii="Sylfaen" w:hAnsi="Sylfaen" w:cs="Arial"/>
          <w:lang w:val="ka-GE"/>
        </w:rPr>
        <w:t xml:space="preserve"> </w:t>
      </w:r>
      <w:r w:rsidR="00BA27EB" w:rsidRPr="009852B4">
        <w:rPr>
          <w:rStyle w:val="shorttext"/>
          <w:rFonts w:ascii="Sylfaen" w:hAnsi="Sylfaen" w:cs="Sylfaen"/>
          <w:lang w:val="ka-GE"/>
        </w:rPr>
        <w:t>რაოდენობა</w:t>
      </w:r>
      <w:r w:rsidR="00BA27EB" w:rsidRPr="009852B4">
        <w:rPr>
          <w:rStyle w:val="shorttext"/>
          <w:rFonts w:ascii="Sylfaen" w:hAnsi="Sylfaen" w:cs="Arial"/>
          <w:lang w:val="ka-GE"/>
        </w:rPr>
        <w:t xml:space="preserve"> </w:t>
      </w:r>
      <w:r w:rsidR="00BA27EB" w:rsidRPr="009852B4">
        <w:rPr>
          <w:rStyle w:val="shorttext"/>
          <w:rFonts w:ascii="Sylfaen" w:hAnsi="Sylfaen" w:cs="Sylfaen"/>
          <w:lang w:val="ka-GE"/>
        </w:rPr>
        <w:t>მცირეა</w:t>
      </w:r>
      <w:r w:rsidR="00BA27EB" w:rsidRPr="009852B4">
        <w:rPr>
          <w:rStyle w:val="shorttext"/>
          <w:rFonts w:ascii="Sylfaen" w:hAnsi="Sylfaen"/>
          <w:lang w:val="ka-GE"/>
        </w:rPr>
        <w:t>.</w:t>
      </w:r>
    </w:p>
    <w:p w14:paraId="1C6B0BDE" w14:textId="77777777" w:rsidR="00754282" w:rsidRPr="009852B4" w:rsidRDefault="00BA27EB" w:rsidP="002B56CC">
      <w:pPr>
        <w:spacing w:before="200" w:after="200"/>
        <w:rPr>
          <w:rFonts w:ascii="Sylfaen" w:hAnsi="Sylfaen"/>
          <w:lang w:val="ka-GE"/>
        </w:rPr>
      </w:pPr>
      <w:r w:rsidRPr="009852B4">
        <w:rPr>
          <w:rFonts w:ascii="Sylfaen" w:hAnsi="Sylfaen"/>
          <w:b/>
          <w:lang w:val="ka-GE"/>
        </w:rPr>
        <w:t>თევზი</w:t>
      </w:r>
      <w:r w:rsidR="005D4EE6" w:rsidRPr="009852B4">
        <w:rPr>
          <w:rFonts w:ascii="Sylfaen" w:hAnsi="Sylfaen"/>
          <w:b/>
          <w:lang w:val="ka-GE"/>
        </w:rPr>
        <w:t>.</w:t>
      </w:r>
      <w:r w:rsidR="005D4EE6" w:rsidRPr="009852B4">
        <w:rPr>
          <w:rFonts w:ascii="Sylfaen" w:hAnsi="Sylfaen"/>
          <w:lang w:val="ka-GE"/>
        </w:rPr>
        <w:t xml:space="preserve"> </w:t>
      </w:r>
      <w:r w:rsidR="00AC3043" w:rsidRPr="009852B4">
        <w:rPr>
          <w:rFonts w:ascii="Sylfaen" w:hAnsi="Sylfaen" w:cs="Sylfaen"/>
          <w:lang w:val="ka-GE"/>
        </w:rPr>
        <w:t>მდინარე</w:t>
      </w:r>
      <w:r w:rsidR="00AC3043" w:rsidRPr="009852B4">
        <w:rPr>
          <w:rFonts w:ascii="Sylfaen" w:hAnsi="Sylfaen"/>
          <w:lang w:val="ka-GE"/>
        </w:rPr>
        <w:t xml:space="preserve"> </w:t>
      </w:r>
      <w:r w:rsidR="00AC3043" w:rsidRPr="009852B4">
        <w:rPr>
          <w:rFonts w:ascii="Sylfaen" w:hAnsi="Sylfaen" w:cs="Sylfaen"/>
          <w:lang w:val="ka-GE"/>
        </w:rPr>
        <w:t>ალაზანში</w:t>
      </w:r>
      <w:r w:rsidR="00AC3043" w:rsidRPr="009852B4">
        <w:rPr>
          <w:rFonts w:ascii="Sylfaen" w:hAnsi="Sylfaen" w:cs="Arial"/>
          <w:lang w:val="ka-GE"/>
        </w:rPr>
        <w:t xml:space="preserve"> </w:t>
      </w:r>
      <w:r w:rsidR="00AC3043" w:rsidRPr="009852B4">
        <w:rPr>
          <w:rFonts w:ascii="Sylfaen" w:hAnsi="Sylfaen" w:cs="Sylfaen"/>
          <w:lang w:val="ka-GE"/>
        </w:rPr>
        <w:t>თევზის</w:t>
      </w:r>
      <w:r w:rsidR="00AC3043" w:rsidRPr="009852B4">
        <w:rPr>
          <w:rFonts w:ascii="Sylfaen" w:hAnsi="Sylfaen" w:cs="Arial"/>
          <w:lang w:val="ka-GE"/>
        </w:rPr>
        <w:t xml:space="preserve"> </w:t>
      </w:r>
      <w:r w:rsidR="00AC3043" w:rsidRPr="009852B4">
        <w:rPr>
          <w:rFonts w:ascii="Sylfaen" w:hAnsi="Sylfaen" w:cs="Sylfaen"/>
          <w:lang w:val="ka-GE"/>
        </w:rPr>
        <w:t>სახეობების</w:t>
      </w:r>
      <w:r w:rsidR="00AC3043" w:rsidRPr="009852B4">
        <w:rPr>
          <w:rFonts w:ascii="Sylfaen" w:hAnsi="Sylfaen" w:cs="Arial"/>
          <w:lang w:val="ka-GE"/>
        </w:rPr>
        <w:t xml:space="preserve"> </w:t>
      </w:r>
      <w:r w:rsidR="00AC3043" w:rsidRPr="009852B4">
        <w:rPr>
          <w:rFonts w:ascii="Sylfaen" w:hAnsi="Sylfaen" w:cs="Sylfaen"/>
          <w:lang w:val="ka-GE"/>
        </w:rPr>
        <w:t>შესახებ</w:t>
      </w:r>
      <w:r w:rsidR="00AC3043" w:rsidRPr="009852B4">
        <w:rPr>
          <w:rFonts w:ascii="Sylfaen" w:hAnsi="Sylfaen" w:cs="Arial"/>
          <w:lang w:val="ka-GE"/>
        </w:rPr>
        <w:t xml:space="preserve"> </w:t>
      </w:r>
      <w:r w:rsidR="00AC3043" w:rsidRPr="009852B4">
        <w:rPr>
          <w:rFonts w:ascii="Sylfaen" w:hAnsi="Sylfaen" w:cs="Sylfaen"/>
          <w:lang w:val="ka-GE"/>
        </w:rPr>
        <w:t>ინფორმაცია</w:t>
      </w:r>
      <w:r w:rsidR="00AC3043" w:rsidRPr="009852B4">
        <w:rPr>
          <w:rFonts w:ascii="Sylfaen" w:hAnsi="Sylfaen" w:cs="Arial"/>
          <w:lang w:val="ka-GE"/>
        </w:rPr>
        <w:t xml:space="preserve"> </w:t>
      </w:r>
      <w:r w:rsidR="00AC3043" w:rsidRPr="009852B4">
        <w:rPr>
          <w:rFonts w:ascii="Sylfaen" w:hAnsi="Sylfaen" w:cs="Sylfaen"/>
          <w:lang w:val="ka-GE"/>
        </w:rPr>
        <w:t>ეფუძნება</w:t>
      </w:r>
      <w:r w:rsidR="00AC3043" w:rsidRPr="009852B4">
        <w:rPr>
          <w:rFonts w:ascii="Sylfaen" w:hAnsi="Sylfaen" w:cs="Arial"/>
          <w:lang w:val="ka-GE"/>
        </w:rPr>
        <w:t xml:space="preserve"> </w:t>
      </w:r>
      <w:r w:rsidR="00AC3043" w:rsidRPr="009852B4">
        <w:rPr>
          <w:rFonts w:ascii="Sylfaen" w:hAnsi="Sylfaen" w:cs="Sylfaen"/>
          <w:lang w:val="ka-GE"/>
        </w:rPr>
        <w:t>ლიტერატურულ</w:t>
      </w:r>
      <w:r w:rsidR="00AC3043" w:rsidRPr="009852B4">
        <w:rPr>
          <w:rFonts w:ascii="Sylfaen" w:hAnsi="Sylfaen"/>
          <w:lang w:val="ka-GE"/>
        </w:rPr>
        <w:t xml:space="preserve"> </w:t>
      </w:r>
      <w:r w:rsidR="00AC3043" w:rsidRPr="009852B4">
        <w:rPr>
          <w:rFonts w:ascii="Sylfaen" w:hAnsi="Sylfaen" w:cs="Sylfaen"/>
          <w:lang w:val="ka-GE"/>
        </w:rPr>
        <w:t>მონაცემებსა</w:t>
      </w:r>
      <w:r w:rsidR="00AC3043" w:rsidRPr="009852B4">
        <w:rPr>
          <w:rFonts w:ascii="Sylfaen" w:hAnsi="Sylfaen" w:cs="Arial"/>
          <w:lang w:val="ka-GE"/>
        </w:rPr>
        <w:t xml:space="preserve"> </w:t>
      </w:r>
      <w:r w:rsidR="00AC3043" w:rsidRPr="009852B4">
        <w:rPr>
          <w:rFonts w:ascii="Sylfaen" w:hAnsi="Sylfaen" w:cs="Sylfaen"/>
          <w:lang w:val="ka-GE"/>
        </w:rPr>
        <w:t>და</w:t>
      </w:r>
      <w:r w:rsidR="00AC3043" w:rsidRPr="009852B4">
        <w:rPr>
          <w:rFonts w:ascii="Sylfaen" w:hAnsi="Sylfaen" w:cs="Arial"/>
          <w:lang w:val="ka-GE"/>
        </w:rPr>
        <w:t xml:space="preserve"> </w:t>
      </w:r>
      <w:r w:rsidR="00AC3043" w:rsidRPr="009852B4">
        <w:rPr>
          <w:rFonts w:ascii="Sylfaen" w:hAnsi="Sylfaen" w:cs="Sylfaen"/>
          <w:lang w:val="ka-GE"/>
        </w:rPr>
        <w:t>ინტერვიუებს</w:t>
      </w:r>
      <w:r w:rsidR="00AC3043" w:rsidRPr="009852B4">
        <w:rPr>
          <w:rFonts w:ascii="Sylfaen" w:hAnsi="Sylfaen" w:cs="Arial"/>
          <w:lang w:val="ka-GE"/>
        </w:rPr>
        <w:t xml:space="preserve"> </w:t>
      </w:r>
      <w:r w:rsidR="00AC3043" w:rsidRPr="009852B4">
        <w:rPr>
          <w:rFonts w:ascii="Sylfaen" w:hAnsi="Sylfaen" w:cs="Sylfaen"/>
          <w:lang w:val="ka-GE"/>
        </w:rPr>
        <w:t>ადგილობრივ</w:t>
      </w:r>
      <w:r w:rsidR="00AC3043" w:rsidRPr="009852B4">
        <w:rPr>
          <w:rFonts w:ascii="Sylfaen" w:hAnsi="Sylfaen" w:cs="Arial"/>
          <w:lang w:val="ka-GE"/>
        </w:rPr>
        <w:t xml:space="preserve"> </w:t>
      </w:r>
      <w:r w:rsidR="00AC3043" w:rsidRPr="009852B4">
        <w:rPr>
          <w:rFonts w:ascii="Sylfaen" w:hAnsi="Sylfaen" w:cs="Sylfaen"/>
          <w:lang w:val="ka-GE"/>
        </w:rPr>
        <w:t>თემებთან</w:t>
      </w:r>
      <w:r w:rsidR="00AC3043" w:rsidRPr="009852B4">
        <w:rPr>
          <w:rFonts w:ascii="Sylfaen" w:hAnsi="Sylfaen" w:cs="Arial"/>
          <w:lang w:val="ka-GE"/>
        </w:rPr>
        <w:t xml:space="preserve"> </w:t>
      </w:r>
      <w:r w:rsidR="00AC3043" w:rsidRPr="009852B4">
        <w:rPr>
          <w:rFonts w:ascii="Sylfaen" w:hAnsi="Sylfaen" w:cs="Sylfaen"/>
          <w:lang w:val="ka-GE"/>
        </w:rPr>
        <w:t>და</w:t>
      </w:r>
      <w:r w:rsidR="00AC3043" w:rsidRPr="009852B4">
        <w:rPr>
          <w:rFonts w:ascii="Sylfaen" w:hAnsi="Sylfaen" w:cs="Arial"/>
          <w:lang w:val="ka-GE"/>
        </w:rPr>
        <w:t xml:space="preserve"> </w:t>
      </w:r>
      <w:r w:rsidR="00AC3043" w:rsidRPr="009852B4">
        <w:rPr>
          <w:rFonts w:ascii="Sylfaen" w:hAnsi="Sylfaen" w:cs="Sylfaen"/>
          <w:lang w:val="ka-GE"/>
        </w:rPr>
        <w:t>მეთევზეებთან</w:t>
      </w:r>
      <w:r w:rsidR="00AC3043" w:rsidRPr="009852B4">
        <w:rPr>
          <w:rFonts w:ascii="Sylfaen" w:hAnsi="Sylfaen"/>
          <w:lang w:val="ka-GE"/>
        </w:rPr>
        <w:t xml:space="preserve">. </w:t>
      </w:r>
      <w:r w:rsidR="00AC3043" w:rsidRPr="009852B4">
        <w:rPr>
          <w:rFonts w:ascii="Sylfaen" w:hAnsi="Sylfaen" w:cs="Sylfaen"/>
          <w:lang w:val="ka-GE"/>
        </w:rPr>
        <w:t>მტკნარი</w:t>
      </w:r>
      <w:r w:rsidR="00AC3043" w:rsidRPr="009852B4">
        <w:rPr>
          <w:rFonts w:ascii="Sylfaen" w:hAnsi="Sylfaen" w:cs="Arial"/>
          <w:lang w:val="ka-GE"/>
        </w:rPr>
        <w:t xml:space="preserve"> </w:t>
      </w:r>
      <w:r w:rsidR="00AC3043" w:rsidRPr="009852B4">
        <w:rPr>
          <w:rFonts w:ascii="Sylfaen" w:hAnsi="Sylfaen" w:cs="Sylfaen"/>
          <w:lang w:val="ka-GE"/>
        </w:rPr>
        <w:t>წყლების თევზები</w:t>
      </w:r>
      <w:r w:rsidR="00AC3043" w:rsidRPr="009852B4">
        <w:rPr>
          <w:rFonts w:ascii="Sylfaen" w:hAnsi="Sylfaen" w:cs="Arial"/>
          <w:lang w:val="ka-GE"/>
        </w:rPr>
        <w:t xml:space="preserve"> </w:t>
      </w:r>
      <w:r w:rsidR="00AC3043" w:rsidRPr="009852B4">
        <w:rPr>
          <w:rFonts w:ascii="Sylfaen" w:hAnsi="Sylfaen" w:cs="Sylfaen"/>
          <w:lang w:val="ka-GE"/>
        </w:rPr>
        <w:t>ფართოდ</w:t>
      </w:r>
      <w:r w:rsidR="00AC3043" w:rsidRPr="009852B4">
        <w:rPr>
          <w:rFonts w:ascii="Sylfaen" w:hAnsi="Sylfaen" w:cs="Arial"/>
          <w:lang w:val="ka-GE"/>
        </w:rPr>
        <w:t xml:space="preserve"> </w:t>
      </w:r>
      <w:r w:rsidR="00AC3043" w:rsidRPr="009852B4">
        <w:rPr>
          <w:rFonts w:ascii="Sylfaen" w:hAnsi="Sylfaen" w:cs="Sylfaen"/>
          <w:lang w:val="ka-GE"/>
        </w:rPr>
        <w:t>გავრცელებულია</w:t>
      </w:r>
      <w:r w:rsidR="00AC3043" w:rsidRPr="009852B4">
        <w:rPr>
          <w:rFonts w:ascii="Sylfaen" w:hAnsi="Sylfaen" w:cs="Arial"/>
          <w:lang w:val="ka-GE"/>
        </w:rPr>
        <w:t xml:space="preserve"> </w:t>
      </w:r>
      <w:r w:rsidR="00AC3043" w:rsidRPr="009852B4">
        <w:rPr>
          <w:rFonts w:ascii="Sylfaen" w:hAnsi="Sylfaen" w:cs="Sylfaen"/>
          <w:lang w:val="ka-GE"/>
        </w:rPr>
        <w:t>მდინარე</w:t>
      </w:r>
      <w:r w:rsidR="00AC3043" w:rsidRPr="009852B4">
        <w:rPr>
          <w:rFonts w:ascii="Sylfaen" w:hAnsi="Sylfaen" w:cs="Arial"/>
          <w:lang w:val="ka-GE"/>
        </w:rPr>
        <w:t xml:space="preserve"> </w:t>
      </w:r>
      <w:r w:rsidR="00AC3043" w:rsidRPr="009852B4">
        <w:rPr>
          <w:rFonts w:ascii="Sylfaen" w:hAnsi="Sylfaen" w:cs="Sylfaen"/>
          <w:lang w:val="ka-GE"/>
        </w:rPr>
        <w:t>ალაზნის</w:t>
      </w:r>
      <w:r w:rsidR="00AC3043" w:rsidRPr="009852B4">
        <w:rPr>
          <w:rFonts w:ascii="Sylfaen" w:hAnsi="Sylfaen" w:cs="Arial"/>
          <w:lang w:val="ka-GE"/>
        </w:rPr>
        <w:t xml:space="preserve"> </w:t>
      </w:r>
      <w:r w:rsidR="00AC3043" w:rsidRPr="009852B4">
        <w:rPr>
          <w:rFonts w:ascii="Sylfaen" w:hAnsi="Sylfaen" w:cs="Sylfaen"/>
          <w:lang w:val="ka-GE"/>
        </w:rPr>
        <w:t>მონაკვეთში</w:t>
      </w:r>
      <w:r w:rsidR="00AC3043" w:rsidRPr="009852B4">
        <w:rPr>
          <w:rFonts w:ascii="Sylfaen" w:hAnsi="Sylfaen" w:cs="Arial"/>
          <w:lang w:val="ka-GE"/>
        </w:rPr>
        <w:t xml:space="preserve">, </w:t>
      </w:r>
      <w:r w:rsidR="00AC3043" w:rsidRPr="009852B4">
        <w:rPr>
          <w:rFonts w:ascii="Sylfaen" w:hAnsi="Sylfaen" w:cs="Sylfaen"/>
          <w:lang w:val="ka-GE"/>
        </w:rPr>
        <w:t>რომელიც</w:t>
      </w:r>
      <w:r w:rsidR="00AC3043" w:rsidRPr="009852B4">
        <w:rPr>
          <w:rFonts w:ascii="Sylfaen" w:hAnsi="Sylfaen" w:cs="Arial"/>
          <w:lang w:val="ka-GE"/>
        </w:rPr>
        <w:t xml:space="preserve"> </w:t>
      </w:r>
      <w:r w:rsidR="00AC3043" w:rsidRPr="009852B4">
        <w:rPr>
          <w:rFonts w:ascii="Sylfaen" w:hAnsi="Sylfaen" w:cs="Sylfaen"/>
          <w:lang w:val="ka-GE"/>
        </w:rPr>
        <w:t>ესაზღვრება</w:t>
      </w:r>
      <w:r w:rsidR="00AC3043" w:rsidRPr="009852B4">
        <w:rPr>
          <w:rFonts w:ascii="Sylfaen" w:hAnsi="Sylfaen" w:cs="Arial"/>
          <w:lang w:val="ka-GE"/>
        </w:rPr>
        <w:t xml:space="preserve"> </w:t>
      </w:r>
      <w:r w:rsidR="00AC3043" w:rsidRPr="009852B4">
        <w:rPr>
          <w:rFonts w:ascii="Sylfaen" w:hAnsi="Sylfaen" w:cs="Sylfaen"/>
          <w:lang w:val="ka-GE"/>
        </w:rPr>
        <w:t>პროექტის ტერიტორიას</w:t>
      </w:r>
      <w:r w:rsidR="00AC3043" w:rsidRPr="009852B4">
        <w:rPr>
          <w:rFonts w:ascii="Sylfaen" w:hAnsi="Sylfaen"/>
          <w:lang w:val="ka-GE"/>
        </w:rPr>
        <w:t>.</w:t>
      </w:r>
      <w:r w:rsidR="005D4EE6" w:rsidRPr="009852B4">
        <w:rPr>
          <w:rFonts w:ascii="Sylfaen" w:hAnsi="Sylfaen"/>
          <w:lang w:val="ka-GE"/>
        </w:rPr>
        <w:t xml:space="preserve"> </w:t>
      </w:r>
      <w:r w:rsidR="00AC3043" w:rsidRPr="009852B4">
        <w:rPr>
          <w:rFonts w:ascii="Sylfaen" w:hAnsi="Sylfaen" w:cs="Sylfaen"/>
          <w:lang w:val="ka-GE"/>
        </w:rPr>
        <w:t>მდინარე</w:t>
      </w:r>
      <w:r w:rsidR="00AC3043" w:rsidRPr="009852B4">
        <w:rPr>
          <w:rFonts w:ascii="Sylfaen" w:hAnsi="Sylfaen"/>
          <w:lang w:val="ka-GE"/>
        </w:rPr>
        <w:t xml:space="preserve"> </w:t>
      </w:r>
      <w:r w:rsidR="00AC3043" w:rsidRPr="009852B4">
        <w:rPr>
          <w:rFonts w:ascii="Sylfaen" w:hAnsi="Sylfaen" w:cs="Sylfaen"/>
          <w:lang w:val="ka-GE"/>
        </w:rPr>
        <w:t>ალაზანი</w:t>
      </w:r>
      <w:r w:rsidR="00AC3043" w:rsidRPr="009852B4">
        <w:rPr>
          <w:rFonts w:ascii="Sylfaen" w:hAnsi="Sylfaen" w:cs="Arial"/>
          <w:lang w:val="ka-GE"/>
        </w:rPr>
        <w:t xml:space="preserve"> </w:t>
      </w:r>
      <w:r w:rsidR="00AC3043" w:rsidRPr="009852B4">
        <w:rPr>
          <w:rFonts w:ascii="Sylfaen" w:hAnsi="Sylfaen" w:cs="Sylfaen"/>
          <w:lang w:val="ka-GE"/>
        </w:rPr>
        <w:t>ზეაღმავალი დინების</w:t>
      </w:r>
      <w:r w:rsidR="00AC3043" w:rsidRPr="009852B4">
        <w:rPr>
          <w:rFonts w:ascii="Sylfaen" w:hAnsi="Sylfaen" w:cs="Arial"/>
          <w:lang w:val="ka-GE"/>
        </w:rPr>
        <w:t xml:space="preserve"> მთის </w:t>
      </w:r>
      <w:r w:rsidR="00AC3043" w:rsidRPr="009852B4">
        <w:rPr>
          <w:rFonts w:ascii="Sylfaen" w:hAnsi="Sylfaen" w:cs="Sylfaen"/>
          <w:lang w:val="ka-GE"/>
        </w:rPr>
        <w:t>მდინარეა</w:t>
      </w:r>
      <w:r w:rsidR="00AC3043" w:rsidRPr="009852B4">
        <w:rPr>
          <w:rFonts w:ascii="Sylfaen" w:hAnsi="Sylfaen" w:cs="Arial"/>
          <w:lang w:val="ka-GE"/>
        </w:rPr>
        <w:t xml:space="preserve">, </w:t>
      </w:r>
      <w:r w:rsidR="00AC3043" w:rsidRPr="009852B4">
        <w:rPr>
          <w:rFonts w:ascii="Sylfaen" w:hAnsi="Sylfaen" w:cs="Sylfaen"/>
          <w:lang w:val="ka-GE"/>
        </w:rPr>
        <w:t>რომელიც</w:t>
      </w:r>
      <w:r w:rsidR="00AC3043" w:rsidRPr="009852B4">
        <w:rPr>
          <w:rFonts w:ascii="Sylfaen" w:hAnsi="Sylfaen" w:cs="Arial"/>
          <w:lang w:val="ka-GE"/>
        </w:rPr>
        <w:t xml:space="preserve"> </w:t>
      </w:r>
      <w:r w:rsidR="00AC3043" w:rsidRPr="009852B4">
        <w:rPr>
          <w:rFonts w:ascii="Sylfaen" w:hAnsi="Sylfaen" w:cs="Sylfaen"/>
          <w:lang w:val="ka-GE"/>
        </w:rPr>
        <w:t>დახრილობის</w:t>
      </w:r>
      <w:r w:rsidR="00AC3043" w:rsidRPr="009852B4">
        <w:rPr>
          <w:rFonts w:ascii="Sylfaen" w:hAnsi="Sylfaen" w:cs="Arial"/>
          <w:lang w:val="ka-GE"/>
        </w:rPr>
        <w:t xml:space="preserve"> </w:t>
      </w:r>
      <w:r w:rsidR="00AC3043" w:rsidRPr="009852B4">
        <w:rPr>
          <w:rFonts w:ascii="Sylfaen" w:hAnsi="Sylfaen" w:cs="Sylfaen"/>
          <w:lang w:val="ka-GE"/>
        </w:rPr>
        <w:t>მიხედვით</w:t>
      </w:r>
      <w:r w:rsidR="00AC3043" w:rsidRPr="009852B4">
        <w:rPr>
          <w:rFonts w:ascii="Sylfaen" w:hAnsi="Sylfaen" w:cs="Arial"/>
          <w:lang w:val="ka-GE"/>
        </w:rPr>
        <w:t xml:space="preserve"> </w:t>
      </w:r>
      <w:r w:rsidR="00AC3043" w:rsidRPr="009852B4">
        <w:rPr>
          <w:rFonts w:ascii="Sylfaen" w:hAnsi="Sylfaen" w:cs="Sylfaen"/>
          <w:lang w:val="ka-GE"/>
        </w:rPr>
        <w:t>წარმოადგენს</w:t>
      </w:r>
      <w:r w:rsidR="00AC3043" w:rsidRPr="009852B4">
        <w:rPr>
          <w:rFonts w:ascii="Sylfaen" w:hAnsi="Sylfaen" w:cs="Arial"/>
          <w:lang w:val="ka-GE"/>
        </w:rPr>
        <w:t xml:space="preserve"> </w:t>
      </w:r>
      <w:r w:rsidR="00AC3043" w:rsidRPr="009852B4">
        <w:rPr>
          <w:rFonts w:ascii="Sylfaen" w:hAnsi="Sylfaen" w:cs="Sylfaen"/>
          <w:lang w:val="ka-GE"/>
        </w:rPr>
        <w:t>კალმახის</w:t>
      </w:r>
      <w:r w:rsidR="00AC3043" w:rsidRPr="009852B4">
        <w:rPr>
          <w:rFonts w:ascii="Sylfaen" w:hAnsi="Sylfaen"/>
          <w:lang w:val="ka-GE"/>
        </w:rPr>
        <w:t xml:space="preserve"> </w:t>
      </w:r>
      <w:r w:rsidR="00AC3043" w:rsidRPr="009852B4">
        <w:rPr>
          <w:rFonts w:ascii="Sylfaen" w:hAnsi="Sylfaen" w:cs="Sylfaen"/>
          <w:lang w:val="ka-GE"/>
        </w:rPr>
        <w:t>ეკოსისტემურ</w:t>
      </w:r>
      <w:r w:rsidR="00AC3043" w:rsidRPr="009852B4">
        <w:rPr>
          <w:rFonts w:ascii="Sylfaen" w:hAnsi="Sylfaen" w:cs="Arial"/>
          <w:lang w:val="ka-GE"/>
        </w:rPr>
        <w:t xml:space="preserve"> </w:t>
      </w:r>
      <w:r w:rsidR="00AC3043" w:rsidRPr="009852B4">
        <w:rPr>
          <w:rFonts w:ascii="Sylfaen" w:hAnsi="Sylfaen" w:cs="Sylfaen"/>
          <w:lang w:val="ka-GE"/>
        </w:rPr>
        <w:t>ზონას</w:t>
      </w:r>
      <w:r w:rsidR="00AC3043" w:rsidRPr="009852B4">
        <w:rPr>
          <w:rFonts w:ascii="Sylfaen" w:hAnsi="Sylfaen" w:cs="Arial"/>
          <w:lang w:val="ka-GE"/>
        </w:rPr>
        <w:t xml:space="preserve">, </w:t>
      </w:r>
      <w:r w:rsidR="00AC3043" w:rsidRPr="009852B4">
        <w:rPr>
          <w:rFonts w:ascii="Sylfaen" w:hAnsi="Sylfaen" w:cs="Sylfaen"/>
          <w:lang w:val="ka-GE"/>
        </w:rPr>
        <w:t>სადაც</w:t>
      </w:r>
      <w:r w:rsidR="00AC3043" w:rsidRPr="009852B4">
        <w:rPr>
          <w:rFonts w:ascii="Sylfaen" w:hAnsi="Sylfaen" w:cs="Arial"/>
          <w:lang w:val="ka-GE"/>
        </w:rPr>
        <w:t xml:space="preserve"> ფართო კალაპოტიანი და ნელი დინების </w:t>
      </w:r>
      <w:r w:rsidR="00AC3043" w:rsidRPr="009852B4">
        <w:rPr>
          <w:rFonts w:ascii="Sylfaen" w:hAnsi="Sylfaen" w:cs="Sylfaen"/>
          <w:lang w:val="ka-GE"/>
        </w:rPr>
        <w:t>მდინარეებისთვის</w:t>
      </w:r>
      <w:r w:rsidR="00AC3043" w:rsidRPr="009852B4">
        <w:rPr>
          <w:rFonts w:ascii="Sylfaen" w:hAnsi="Sylfaen" w:cs="Arial"/>
          <w:lang w:val="ka-GE"/>
        </w:rPr>
        <w:t xml:space="preserve"> </w:t>
      </w:r>
      <w:r w:rsidR="00AC3043" w:rsidRPr="009852B4">
        <w:rPr>
          <w:rFonts w:ascii="Sylfaen" w:hAnsi="Sylfaen" w:cs="Sylfaen"/>
          <w:lang w:val="ka-GE"/>
        </w:rPr>
        <w:t>დამახასიათებელი</w:t>
      </w:r>
      <w:r w:rsidR="00AC3043" w:rsidRPr="009852B4">
        <w:rPr>
          <w:rFonts w:ascii="Sylfaen" w:hAnsi="Sylfaen" w:cs="Arial"/>
          <w:lang w:val="ka-GE"/>
        </w:rPr>
        <w:t xml:space="preserve"> </w:t>
      </w:r>
      <w:r w:rsidR="00AC3043" w:rsidRPr="009852B4">
        <w:rPr>
          <w:rFonts w:ascii="Sylfaen" w:hAnsi="Sylfaen" w:cs="Sylfaen"/>
          <w:lang w:val="ka-GE"/>
        </w:rPr>
        <w:t>თევზი</w:t>
      </w:r>
      <w:r w:rsidR="00AC3043" w:rsidRPr="009852B4">
        <w:rPr>
          <w:rFonts w:ascii="Sylfaen" w:hAnsi="Sylfaen" w:cs="Arial"/>
          <w:lang w:val="ka-GE"/>
        </w:rPr>
        <w:t xml:space="preserve"> </w:t>
      </w:r>
      <w:r w:rsidR="00AC3043" w:rsidRPr="009852B4">
        <w:rPr>
          <w:rFonts w:ascii="Sylfaen" w:hAnsi="Sylfaen" w:cs="Sylfaen"/>
          <w:lang w:val="ka-GE"/>
        </w:rPr>
        <w:t>არის</w:t>
      </w:r>
      <w:r w:rsidR="00AC3043" w:rsidRPr="009852B4">
        <w:rPr>
          <w:rFonts w:ascii="Sylfaen" w:hAnsi="Sylfaen" w:cs="Arial"/>
          <w:lang w:val="ka-GE"/>
        </w:rPr>
        <w:t xml:space="preserve"> </w:t>
      </w:r>
      <w:r w:rsidR="00AC3043" w:rsidRPr="009852B4">
        <w:rPr>
          <w:rFonts w:ascii="Sylfaen" w:hAnsi="Sylfaen" w:cs="Sylfaen"/>
          <w:lang w:val="ka-GE"/>
        </w:rPr>
        <w:t>გავრცელებული</w:t>
      </w:r>
      <w:r w:rsidR="00AC3043" w:rsidRPr="009852B4">
        <w:rPr>
          <w:rFonts w:ascii="Sylfaen" w:hAnsi="Sylfaen"/>
          <w:lang w:val="ka-GE"/>
        </w:rPr>
        <w:t xml:space="preserve">. </w:t>
      </w:r>
      <w:r w:rsidR="006E646A" w:rsidRPr="009852B4">
        <w:rPr>
          <w:rFonts w:ascii="Sylfaen" w:hAnsi="Sylfaen" w:cs="Sylfaen"/>
          <w:lang w:val="ka-GE"/>
        </w:rPr>
        <w:t>მდინარე</w:t>
      </w:r>
      <w:r w:rsidR="006E646A" w:rsidRPr="009852B4">
        <w:rPr>
          <w:rFonts w:ascii="Sylfaen" w:hAnsi="Sylfaen" w:cs="Arial"/>
          <w:lang w:val="ka-GE"/>
        </w:rPr>
        <w:t xml:space="preserve"> </w:t>
      </w:r>
      <w:r w:rsidR="006E646A" w:rsidRPr="009852B4">
        <w:rPr>
          <w:rFonts w:ascii="Sylfaen" w:hAnsi="Sylfaen" w:cs="Sylfaen"/>
          <w:lang w:val="ka-GE"/>
        </w:rPr>
        <w:t>ალაზანში</w:t>
      </w:r>
      <w:r w:rsidR="006E646A" w:rsidRPr="009852B4">
        <w:rPr>
          <w:rFonts w:ascii="Sylfaen" w:hAnsi="Sylfaen" w:cs="Arial"/>
          <w:lang w:val="ka-GE"/>
        </w:rPr>
        <w:t xml:space="preserve"> </w:t>
      </w:r>
      <w:r w:rsidR="006E646A" w:rsidRPr="009852B4">
        <w:rPr>
          <w:rFonts w:ascii="Sylfaen" w:hAnsi="Sylfaen" w:cs="Sylfaen"/>
          <w:lang w:val="ka-GE"/>
        </w:rPr>
        <w:t>დაფიქსირდა</w:t>
      </w:r>
      <w:r w:rsidR="006E646A" w:rsidRPr="009852B4">
        <w:rPr>
          <w:rFonts w:ascii="Sylfaen" w:hAnsi="Sylfaen" w:cs="Arial"/>
          <w:lang w:val="ka-GE"/>
        </w:rPr>
        <w:t xml:space="preserve"> </w:t>
      </w:r>
      <w:r w:rsidR="006E646A" w:rsidRPr="009852B4">
        <w:rPr>
          <w:rFonts w:ascii="Sylfaen" w:hAnsi="Sylfaen" w:cs="Sylfaen"/>
          <w:lang w:val="ka-GE"/>
        </w:rPr>
        <w:t>თევზის</w:t>
      </w:r>
      <w:r w:rsidR="006E646A" w:rsidRPr="009852B4">
        <w:rPr>
          <w:rFonts w:ascii="Sylfaen" w:hAnsi="Sylfaen" w:cs="Arial"/>
          <w:lang w:val="ka-GE"/>
        </w:rPr>
        <w:t xml:space="preserve"> </w:t>
      </w:r>
      <w:r w:rsidR="006E646A" w:rsidRPr="009852B4">
        <w:rPr>
          <w:rFonts w:ascii="Sylfaen" w:hAnsi="Sylfaen" w:cs="Sylfaen"/>
          <w:lang w:val="ka-GE"/>
        </w:rPr>
        <w:t>შემდეგი</w:t>
      </w:r>
      <w:r w:rsidR="006E646A" w:rsidRPr="009852B4">
        <w:rPr>
          <w:rFonts w:ascii="Sylfaen" w:hAnsi="Sylfaen" w:cs="Arial"/>
          <w:lang w:val="ka-GE"/>
        </w:rPr>
        <w:t xml:space="preserve"> </w:t>
      </w:r>
      <w:r w:rsidR="006E646A" w:rsidRPr="009852B4">
        <w:rPr>
          <w:rFonts w:ascii="Sylfaen" w:hAnsi="Sylfaen" w:cs="Sylfaen"/>
          <w:lang w:val="ka-GE"/>
        </w:rPr>
        <w:t>სახეობები</w:t>
      </w:r>
      <w:r w:rsidR="005D4EE6" w:rsidRPr="009852B4">
        <w:rPr>
          <w:rFonts w:ascii="Sylfaen" w:hAnsi="Sylfaen"/>
          <w:lang w:val="ka-GE"/>
        </w:rPr>
        <w:t xml:space="preserve">: </w:t>
      </w:r>
      <w:r w:rsidR="006E646A" w:rsidRPr="009852B4">
        <w:rPr>
          <w:rFonts w:ascii="Sylfaen" w:hAnsi="Sylfaen"/>
          <w:lang w:val="ka-GE"/>
        </w:rPr>
        <w:t>ალაზნის ტობი</w:t>
      </w:r>
      <w:r w:rsidR="005D4EE6" w:rsidRPr="009852B4">
        <w:rPr>
          <w:rFonts w:ascii="Sylfaen" w:hAnsi="Sylfaen"/>
          <w:lang w:val="ka-GE"/>
        </w:rPr>
        <w:t xml:space="preserve"> –</w:t>
      </w:r>
      <w:r w:rsidR="006E646A" w:rsidRPr="009852B4">
        <w:rPr>
          <w:rFonts w:ascii="Sylfaen" w:hAnsi="Sylfaen"/>
          <w:lang w:val="ka-GE"/>
        </w:rPr>
        <w:t xml:space="preserve"> </w:t>
      </w:r>
      <w:r w:rsidR="005D4EE6" w:rsidRPr="009852B4">
        <w:rPr>
          <w:rFonts w:ascii="Sylfaen" w:hAnsi="Sylfaen"/>
          <w:lang w:val="ka-GE"/>
        </w:rPr>
        <w:t xml:space="preserve">(Ghondrostoma nasus), </w:t>
      </w:r>
      <w:r w:rsidR="006E646A" w:rsidRPr="009852B4">
        <w:rPr>
          <w:rStyle w:val="list-group-item-text"/>
          <w:rFonts w:ascii="Sylfaen" w:hAnsi="Sylfaen" w:cs="Sylfaen"/>
          <w:lang w:val="ka-GE"/>
        </w:rPr>
        <w:t>მბრწყინავქაცვიანი</w:t>
      </w:r>
      <w:r w:rsidR="006E646A" w:rsidRPr="009852B4">
        <w:rPr>
          <w:rStyle w:val="list-group-item-text"/>
          <w:rFonts w:ascii="Sylfaen" w:hAnsi="Sylfaen" w:cs="Arial"/>
          <w:lang w:val="ka-GE"/>
        </w:rPr>
        <w:t xml:space="preserve"> </w:t>
      </w:r>
      <w:r w:rsidR="006E646A" w:rsidRPr="009852B4">
        <w:rPr>
          <w:rStyle w:val="list-group-item-text"/>
          <w:rFonts w:ascii="Sylfaen" w:hAnsi="Sylfaen" w:cs="Sylfaen"/>
          <w:lang w:val="ka-GE"/>
        </w:rPr>
        <w:t>თევზი</w:t>
      </w:r>
      <w:r w:rsidR="006E646A" w:rsidRPr="009852B4">
        <w:rPr>
          <w:rFonts w:ascii="Sylfaen" w:hAnsi="Sylfaen"/>
          <w:lang w:val="ka-GE"/>
        </w:rPr>
        <w:t xml:space="preserve"> </w:t>
      </w:r>
      <w:r w:rsidR="005D4EE6" w:rsidRPr="009852B4">
        <w:rPr>
          <w:rFonts w:ascii="Sylfaen" w:hAnsi="Sylfaen"/>
          <w:lang w:val="ka-GE"/>
        </w:rPr>
        <w:t xml:space="preserve">–(Barbus mursa), </w:t>
      </w:r>
      <w:r w:rsidR="006E646A" w:rsidRPr="009852B4">
        <w:rPr>
          <w:rFonts w:ascii="Sylfaen" w:hAnsi="Sylfaen"/>
          <w:lang w:val="ka-GE"/>
        </w:rPr>
        <w:t>ჩვეულებრივი კობრი</w:t>
      </w:r>
      <w:r w:rsidR="005D4EE6" w:rsidRPr="009852B4">
        <w:rPr>
          <w:rFonts w:ascii="Sylfaen" w:hAnsi="Sylfaen"/>
          <w:lang w:val="ka-GE"/>
        </w:rPr>
        <w:t xml:space="preserve"> - (Cyprinus carpio), </w:t>
      </w:r>
      <w:r w:rsidR="006E646A" w:rsidRPr="009852B4">
        <w:rPr>
          <w:rFonts w:ascii="Sylfaen" w:hAnsi="Sylfaen"/>
          <w:lang w:val="ka-GE"/>
        </w:rPr>
        <w:t>ჭანარი</w:t>
      </w:r>
      <w:r w:rsidR="005D4EE6" w:rsidRPr="009852B4">
        <w:rPr>
          <w:rFonts w:ascii="Sylfaen" w:hAnsi="Sylfaen"/>
          <w:lang w:val="ka-GE"/>
        </w:rPr>
        <w:t xml:space="preserve"> - (Barbus capito), </w:t>
      </w:r>
      <w:r w:rsidR="006E646A" w:rsidRPr="009852B4">
        <w:rPr>
          <w:rFonts w:ascii="Sylfaen" w:hAnsi="Sylfaen"/>
          <w:lang w:val="ka-GE"/>
        </w:rPr>
        <w:t>სევანის ხრამული</w:t>
      </w:r>
      <w:r w:rsidR="005D4EE6" w:rsidRPr="009852B4">
        <w:rPr>
          <w:rFonts w:ascii="Sylfaen" w:hAnsi="Sylfaen"/>
          <w:lang w:val="ka-GE"/>
        </w:rPr>
        <w:t xml:space="preserve"> - (Varicorhinus capoeta), </w:t>
      </w:r>
      <w:r w:rsidR="006E646A" w:rsidRPr="009852B4">
        <w:rPr>
          <w:rFonts w:ascii="Sylfaen" w:hAnsi="Sylfaen"/>
          <w:lang w:val="ka-GE"/>
        </w:rPr>
        <w:t>მურწა</w:t>
      </w:r>
      <w:r w:rsidR="005D4EE6" w:rsidRPr="009852B4">
        <w:rPr>
          <w:rFonts w:ascii="Sylfaen" w:hAnsi="Sylfaen"/>
          <w:lang w:val="ka-GE"/>
        </w:rPr>
        <w:t xml:space="preserve"> - (Barbus barbus), </w:t>
      </w:r>
      <w:r w:rsidR="006E646A" w:rsidRPr="009852B4">
        <w:rPr>
          <w:rFonts w:ascii="Sylfaen" w:hAnsi="Sylfaen"/>
          <w:lang w:val="ka-GE"/>
        </w:rPr>
        <w:t>დუნაის თაღლითა</w:t>
      </w:r>
      <w:r w:rsidR="005D4EE6" w:rsidRPr="009852B4">
        <w:rPr>
          <w:rFonts w:ascii="Sylfaen" w:hAnsi="Sylfaen"/>
          <w:lang w:val="ka-GE"/>
        </w:rPr>
        <w:t xml:space="preserve"> - (Chalcalburnus chalcoides), </w:t>
      </w:r>
      <w:r w:rsidR="006E646A" w:rsidRPr="009852B4">
        <w:rPr>
          <w:rFonts w:ascii="Sylfaen" w:hAnsi="Sylfaen"/>
          <w:lang w:val="ka-GE"/>
        </w:rPr>
        <w:t>კარჩხალი</w:t>
      </w:r>
      <w:r w:rsidR="005D4EE6" w:rsidRPr="009852B4">
        <w:rPr>
          <w:rFonts w:ascii="Sylfaen" w:hAnsi="Sylfaen"/>
          <w:lang w:val="ka-GE"/>
        </w:rPr>
        <w:t xml:space="preserve"> - (Leuciscus cephalus), </w:t>
      </w:r>
      <w:r w:rsidR="006E646A" w:rsidRPr="009852B4">
        <w:rPr>
          <w:rFonts w:ascii="Sylfaen" w:hAnsi="Sylfaen"/>
          <w:lang w:val="ka-GE"/>
        </w:rPr>
        <w:t>თაღლითა</w:t>
      </w:r>
      <w:r w:rsidR="005D4EE6" w:rsidRPr="009852B4">
        <w:rPr>
          <w:rFonts w:ascii="Sylfaen" w:hAnsi="Sylfaen"/>
          <w:lang w:val="ka-GE"/>
        </w:rPr>
        <w:t xml:space="preserve"> - (Alburnus filippi), </w:t>
      </w:r>
      <w:r w:rsidR="006E646A" w:rsidRPr="009852B4">
        <w:rPr>
          <w:rFonts w:ascii="Sylfaen" w:hAnsi="Sylfaen"/>
          <w:lang w:val="ka-GE"/>
        </w:rPr>
        <w:t>ნაფოტა</w:t>
      </w:r>
      <w:r w:rsidR="005D4EE6" w:rsidRPr="009852B4">
        <w:rPr>
          <w:rFonts w:ascii="Sylfaen" w:hAnsi="Sylfaen"/>
          <w:lang w:val="ka-GE"/>
        </w:rPr>
        <w:t xml:space="preserve"> - (Rutilus rutilus), </w:t>
      </w:r>
      <w:r w:rsidR="006E646A" w:rsidRPr="009852B4">
        <w:rPr>
          <w:rFonts w:ascii="Sylfaen" w:hAnsi="Sylfaen"/>
          <w:lang w:val="ka-GE"/>
        </w:rPr>
        <w:t>მდინარის ღოჯა</w:t>
      </w:r>
      <w:r w:rsidR="005D4EE6" w:rsidRPr="009852B4">
        <w:rPr>
          <w:rFonts w:ascii="Sylfaen" w:hAnsi="Sylfaen"/>
          <w:lang w:val="ka-GE"/>
        </w:rPr>
        <w:t xml:space="preserve"> - (Gobius cephalarges), </w:t>
      </w:r>
      <w:r w:rsidR="006E646A" w:rsidRPr="009852B4">
        <w:rPr>
          <w:rFonts w:ascii="Sylfaen" w:hAnsi="Sylfaen"/>
          <w:lang w:val="ka-GE"/>
        </w:rPr>
        <w:t>ჩვეულებრივი კობრი</w:t>
      </w:r>
      <w:r w:rsidR="005D4EE6" w:rsidRPr="009852B4">
        <w:rPr>
          <w:rFonts w:ascii="Sylfaen" w:hAnsi="Sylfaen"/>
          <w:lang w:val="ka-GE"/>
        </w:rPr>
        <w:t xml:space="preserve"> - (Cyprinus carpio), </w:t>
      </w:r>
      <w:r w:rsidR="006E646A" w:rsidRPr="009852B4">
        <w:rPr>
          <w:rFonts w:ascii="Sylfaen" w:hAnsi="Sylfaen"/>
          <w:lang w:val="ka-GE"/>
        </w:rPr>
        <w:t>ჭანარი</w:t>
      </w:r>
      <w:r w:rsidR="005D4EE6" w:rsidRPr="009852B4">
        <w:rPr>
          <w:rFonts w:ascii="Sylfaen" w:hAnsi="Sylfaen"/>
          <w:lang w:val="ka-GE"/>
        </w:rPr>
        <w:t xml:space="preserve"> - (Barbus capito), </w:t>
      </w:r>
      <w:r w:rsidR="006E646A" w:rsidRPr="009852B4">
        <w:rPr>
          <w:rFonts w:ascii="Sylfaen" w:hAnsi="Sylfaen"/>
          <w:lang w:val="ka-GE"/>
        </w:rPr>
        <w:t>ლოქო</w:t>
      </w:r>
      <w:r w:rsidR="005D4EE6" w:rsidRPr="009852B4">
        <w:rPr>
          <w:rFonts w:ascii="Sylfaen" w:hAnsi="Sylfaen"/>
          <w:lang w:val="ka-GE"/>
        </w:rPr>
        <w:t xml:space="preserve"> - (Silurus glanis), </w:t>
      </w:r>
      <w:r w:rsidR="006E646A" w:rsidRPr="009852B4">
        <w:rPr>
          <w:rStyle w:val="translation"/>
          <w:rFonts w:ascii="Sylfaen" w:hAnsi="Sylfaen" w:cs="Sylfaen"/>
          <w:lang w:val="ka-GE"/>
        </w:rPr>
        <w:t>კალმახი</w:t>
      </w:r>
      <w:r w:rsidR="005D4EE6" w:rsidRPr="009852B4">
        <w:rPr>
          <w:rFonts w:ascii="Sylfaen" w:hAnsi="Sylfaen"/>
          <w:lang w:val="ka-GE"/>
        </w:rPr>
        <w:t xml:space="preserve"> (Salmo fario), (</w:t>
      </w:r>
      <w:r w:rsidR="006E646A" w:rsidRPr="009852B4">
        <w:rPr>
          <w:rStyle w:val="shorttext"/>
          <w:rFonts w:ascii="Sylfaen" w:hAnsi="Sylfaen" w:cs="Sylfaen"/>
          <w:lang w:val="ka-GE"/>
        </w:rPr>
        <w:t>ბინადრობს</w:t>
      </w:r>
      <w:r w:rsidR="006E646A" w:rsidRPr="009852B4">
        <w:rPr>
          <w:rStyle w:val="shorttext"/>
          <w:rFonts w:ascii="Sylfaen" w:hAnsi="Sylfaen" w:cs="Arial"/>
          <w:lang w:val="ka-GE"/>
        </w:rPr>
        <w:t xml:space="preserve"> </w:t>
      </w:r>
      <w:r w:rsidR="006E646A" w:rsidRPr="009852B4">
        <w:rPr>
          <w:rStyle w:val="shorttext"/>
          <w:rFonts w:ascii="Sylfaen" w:hAnsi="Sylfaen" w:cs="Sylfaen"/>
          <w:lang w:val="ka-GE"/>
        </w:rPr>
        <w:t>მდინარის</w:t>
      </w:r>
      <w:r w:rsidR="006E646A" w:rsidRPr="009852B4">
        <w:rPr>
          <w:rStyle w:val="shorttext"/>
          <w:rFonts w:ascii="Sylfaen" w:hAnsi="Sylfaen" w:cs="Arial"/>
          <w:lang w:val="ka-GE"/>
        </w:rPr>
        <w:t xml:space="preserve"> </w:t>
      </w:r>
      <w:r w:rsidR="006E646A" w:rsidRPr="009852B4">
        <w:rPr>
          <w:rStyle w:val="shorttext"/>
          <w:rFonts w:ascii="Sylfaen" w:hAnsi="Sylfaen" w:cs="Sylfaen"/>
          <w:lang w:val="ka-GE"/>
        </w:rPr>
        <w:t>ზედა</w:t>
      </w:r>
      <w:r w:rsidR="006E646A" w:rsidRPr="009852B4">
        <w:rPr>
          <w:rStyle w:val="shorttext"/>
          <w:rFonts w:ascii="Sylfaen" w:hAnsi="Sylfaen" w:cs="Arial"/>
          <w:lang w:val="ka-GE"/>
        </w:rPr>
        <w:t xml:space="preserve"> </w:t>
      </w:r>
      <w:r w:rsidR="006E646A" w:rsidRPr="009852B4">
        <w:rPr>
          <w:rStyle w:val="shorttext"/>
          <w:rFonts w:ascii="Sylfaen" w:hAnsi="Sylfaen" w:cs="Sylfaen"/>
          <w:lang w:val="ka-GE"/>
        </w:rPr>
        <w:t>ნაწილში</w:t>
      </w:r>
      <w:r w:rsidR="008F1712" w:rsidRPr="009852B4">
        <w:rPr>
          <w:rFonts w:ascii="Sylfaen" w:hAnsi="Sylfaen"/>
          <w:lang w:val="ka-GE"/>
        </w:rPr>
        <w:t>) და ა. შ</w:t>
      </w:r>
      <w:r w:rsidR="005D4EE6" w:rsidRPr="009852B4">
        <w:rPr>
          <w:rFonts w:ascii="Sylfaen" w:hAnsi="Sylfaen"/>
          <w:lang w:val="ka-GE"/>
        </w:rPr>
        <w:t xml:space="preserve">. </w:t>
      </w:r>
      <w:r w:rsidR="008F1712" w:rsidRPr="009852B4">
        <w:rPr>
          <w:rFonts w:ascii="Sylfaen" w:hAnsi="Sylfaen" w:cs="Sylfaen"/>
          <w:lang w:val="ka-GE"/>
        </w:rPr>
        <w:t>ლიტერატურულ</w:t>
      </w:r>
      <w:r w:rsidR="008F1712" w:rsidRPr="009852B4">
        <w:rPr>
          <w:rFonts w:ascii="Sylfaen" w:hAnsi="Sylfaen"/>
          <w:lang w:val="ka-GE"/>
        </w:rPr>
        <w:t xml:space="preserve"> </w:t>
      </w:r>
      <w:r w:rsidR="008F1712" w:rsidRPr="009852B4">
        <w:rPr>
          <w:rFonts w:ascii="Sylfaen" w:hAnsi="Sylfaen" w:cs="Sylfaen"/>
          <w:lang w:val="ka-GE"/>
        </w:rPr>
        <w:t>წყაროებსა</w:t>
      </w:r>
      <w:r w:rsidR="008F1712" w:rsidRPr="009852B4">
        <w:rPr>
          <w:rFonts w:ascii="Sylfaen" w:hAnsi="Sylfaen" w:cs="Arial"/>
          <w:lang w:val="ka-GE"/>
        </w:rPr>
        <w:t xml:space="preserve"> </w:t>
      </w:r>
      <w:r w:rsidR="008F1712" w:rsidRPr="009852B4">
        <w:rPr>
          <w:rFonts w:ascii="Sylfaen" w:hAnsi="Sylfaen" w:cs="Sylfaen"/>
          <w:lang w:val="ka-GE"/>
        </w:rPr>
        <w:t>და</w:t>
      </w:r>
      <w:r w:rsidR="008F1712" w:rsidRPr="009852B4">
        <w:rPr>
          <w:rFonts w:ascii="Sylfaen" w:hAnsi="Sylfaen" w:cs="Arial"/>
          <w:lang w:val="ka-GE"/>
        </w:rPr>
        <w:t xml:space="preserve"> </w:t>
      </w:r>
      <w:r w:rsidR="008F1712" w:rsidRPr="009852B4">
        <w:rPr>
          <w:rFonts w:ascii="Sylfaen" w:hAnsi="Sylfaen" w:cs="Sylfaen"/>
          <w:lang w:val="ka-GE"/>
        </w:rPr>
        <w:t>ადგილობრივი</w:t>
      </w:r>
      <w:r w:rsidR="008F1712" w:rsidRPr="009852B4">
        <w:rPr>
          <w:rFonts w:ascii="Sylfaen" w:hAnsi="Sylfaen" w:cs="Arial"/>
          <w:lang w:val="ka-GE"/>
        </w:rPr>
        <w:t xml:space="preserve"> </w:t>
      </w:r>
      <w:r w:rsidR="008F1712" w:rsidRPr="009852B4">
        <w:rPr>
          <w:rFonts w:ascii="Sylfaen" w:hAnsi="Sylfaen" w:cs="Sylfaen"/>
          <w:lang w:val="ka-GE"/>
        </w:rPr>
        <w:t>მეთევზეების</w:t>
      </w:r>
      <w:r w:rsidR="008F1712" w:rsidRPr="009852B4">
        <w:rPr>
          <w:rFonts w:ascii="Sylfaen" w:hAnsi="Sylfaen" w:cs="Arial"/>
          <w:lang w:val="ka-GE"/>
        </w:rPr>
        <w:t xml:space="preserve"> </w:t>
      </w:r>
      <w:r w:rsidR="008F1712" w:rsidRPr="009852B4">
        <w:rPr>
          <w:rFonts w:ascii="Sylfaen" w:hAnsi="Sylfaen" w:cs="Sylfaen"/>
          <w:lang w:val="ka-GE"/>
        </w:rPr>
        <w:t>ინტერვიუებზე დაყრდნობით ზემოქმედების</w:t>
      </w:r>
      <w:r w:rsidR="008F1712" w:rsidRPr="009852B4">
        <w:rPr>
          <w:rFonts w:ascii="Sylfaen" w:hAnsi="Sylfaen" w:cs="Arial"/>
          <w:lang w:val="ka-GE"/>
        </w:rPr>
        <w:t xml:space="preserve"> </w:t>
      </w:r>
      <w:r w:rsidR="008F1712" w:rsidRPr="009852B4">
        <w:rPr>
          <w:rFonts w:ascii="Sylfaen" w:hAnsi="Sylfaen" w:cs="Sylfaen"/>
          <w:lang w:val="ka-GE"/>
        </w:rPr>
        <w:t>ზონაში</w:t>
      </w:r>
      <w:r w:rsidR="008F1712" w:rsidRPr="009852B4">
        <w:rPr>
          <w:rFonts w:ascii="Sylfaen" w:hAnsi="Sylfaen"/>
          <w:lang w:val="ka-GE"/>
        </w:rPr>
        <w:t xml:space="preserve"> </w:t>
      </w:r>
      <w:r w:rsidR="008F1712" w:rsidRPr="009852B4">
        <w:rPr>
          <w:rFonts w:ascii="Sylfaen" w:hAnsi="Sylfaen" w:cs="Sylfaen"/>
          <w:lang w:val="ka-GE"/>
        </w:rPr>
        <w:t>არ</w:t>
      </w:r>
      <w:r w:rsidR="008F1712" w:rsidRPr="009852B4">
        <w:rPr>
          <w:rFonts w:ascii="Sylfaen" w:hAnsi="Sylfaen"/>
          <w:lang w:val="ka-GE"/>
        </w:rPr>
        <w:t xml:space="preserve"> </w:t>
      </w:r>
      <w:r w:rsidR="008F1712" w:rsidRPr="009852B4">
        <w:rPr>
          <w:rFonts w:ascii="Sylfaen" w:hAnsi="Sylfaen" w:cs="Sylfaen"/>
          <w:lang w:val="ka-GE"/>
        </w:rPr>
        <w:t>არსებობს</w:t>
      </w:r>
      <w:r w:rsidR="008F1712" w:rsidRPr="009852B4">
        <w:rPr>
          <w:rFonts w:ascii="Sylfaen" w:hAnsi="Sylfaen" w:cs="Arial"/>
          <w:lang w:val="ka-GE"/>
        </w:rPr>
        <w:t xml:space="preserve"> </w:t>
      </w:r>
      <w:r w:rsidR="008F1712" w:rsidRPr="009852B4">
        <w:rPr>
          <w:rFonts w:ascii="Sylfaen" w:hAnsi="Sylfaen" w:cs="Sylfaen"/>
          <w:lang w:val="ka-GE"/>
        </w:rPr>
        <w:t>მდინარის</w:t>
      </w:r>
      <w:r w:rsidR="008F1712" w:rsidRPr="009852B4">
        <w:rPr>
          <w:rFonts w:ascii="Sylfaen" w:hAnsi="Sylfaen" w:cs="Arial"/>
          <w:lang w:val="ka-GE"/>
        </w:rPr>
        <w:t xml:space="preserve"> </w:t>
      </w:r>
      <w:r w:rsidR="008F1712" w:rsidRPr="009852B4">
        <w:rPr>
          <w:rFonts w:ascii="Sylfaen" w:hAnsi="Sylfaen" w:cs="Sylfaen"/>
          <w:lang w:val="ka-GE"/>
        </w:rPr>
        <w:t>კალმახის ჰაბიტატები</w:t>
      </w:r>
      <w:r w:rsidR="008F1712" w:rsidRPr="009852B4">
        <w:rPr>
          <w:rFonts w:ascii="Sylfaen" w:hAnsi="Sylfaen" w:cs="Arial"/>
          <w:lang w:val="ka-GE"/>
        </w:rPr>
        <w:t xml:space="preserve"> </w:t>
      </w:r>
      <w:r w:rsidR="005D4EE6" w:rsidRPr="009852B4">
        <w:rPr>
          <w:rFonts w:ascii="Sylfaen" w:hAnsi="Sylfaen"/>
          <w:lang w:val="ka-GE"/>
        </w:rPr>
        <w:t>(</w:t>
      </w:r>
      <w:r w:rsidR="00B93B57" w:rsidRPr="009852B4">
        <w:rPr>
          <w:rStyle w:val="shorttext"/>
          <w:rFonts w:ascii="Sylfaen" w:hAnsi="Sylfaen" w:cs="Sylfaen"/>
          <w:lang w:val="ka-GE"/>
        </w:rPr>
        <w:t>ჩადინების ნაკადის პუნქტის ქვემოთ).</w:t>
      </w:r>
    </w:p>
    <w:p w14:paraId="51B30FB3" w14:textId="77777777" w:rsidR="005C3CB3" w:rsidRPr="002B616A" w:rsidRDefault="00B93B57" w:rsidP="002B56CC">
      <w:pPr>
        <w:spacing w:before="200" w:after="200"/>
        <w:rPr>
          <w:rFonts w:ascii="Sylfaen" w:hAnsi="Sylfaen"/>
          <w:sz w:val="24"/>
          <w:lang w:val="ka-GE"/>
        </w:rPr>
      </w:pPr>
      <w:r w:rsidRPr="009852B4">
        <w:rPr>
          <w:rStyle w:val="shorttext"/>
          <w:rFonts w:ascii="Sylfaen" w:hAnsi="Sylfaen" w:cs="Sylfaen"/>
          <w:b/>
          <w:lang w:val="ka-GE"/>
        </w:rPr>
        <w:t>უხერხემლო</w:t>
      </w:r>
      <w:r w:rsidRPr="009852B4">
        <w:rPr>
          <w:rStyle w:val="shorttext"/>
          <w:rFonts w:ascii="Sylfaen" w:hAnsi="Sylfaen" w:cs="Arial"/>
          <w:b/>
          <w:lang w:val="ka-GE"/>
        </w:rPr>
        <w:t xml:space="preserve"> </w:t>
      </w:r>
      <w:r w:rsidRPr="009852B4">
        <w:rPr>
          <w:rStyle w:val="shorttext"/>
          <w:rFonts w:ascii="Sylfaen" w:hAnsi="Sylfaen" w:cs="Sylfaen"/>
          <w:b/>
          <w:lang w:val="ka-GE"/>
        </w:rPr>
        <w:t>ცხოველები</w:t>
      </w:r>
      <w:r w:rsidR="005D4EE6" w:rsidRPr="009852B4">
        <w:rPr>
          <w:rFonts w:ascii="Sylfaen" w:hAnsi="Sylfaen"/>
          <w:b/>
          <w:lang w:val="ka-GE"/>
        </w:rPr>
        <w:t>:</w:t>
      </w:r>
      <w:r w:rsidR="005D4EE6" w:rsidRPr="009852B4">
        <w:rPr>
          <w:rFonts w:ascii="Sylfaen" w:hAnsi="Sylfaen"/>
          <w:lang w:val="ka-GE"/>
        </w:rPr>
        <w:t xml:space="preserve"> </w:t>
      </w:r>
      <w:r w:rsidR="006C4E3C" w:rsidRPr="009852B4">
        <w:rPr>
          <w:rFonts w:ascii="Sylfaen" w:hAnsi="Sylfaen" w:cs="Sylfaen"/>
          <w:lang w:val="ka-GE"/>
        </w:rPr>
        <w:t>უხერხემლო</w:t>
      </w:r>
      <w:r w:rsidR="006C4E3C" w:rsidRPr="009852B4">
        <w:rPr>
          <w:rFonts w:ascii="Sylfaen" w:hAnsi="Sylfaen" w:cs="Arial"/>
          <w:lang w:val="ka-GE"/>
        </w:rPr>
        <w:t xml:space="preserve"> </w:t>
      </w:r>
      <w:r w:rsidR="006C4E3C" w:rsidRPr="009852B4">
        <w:rPr>
          <w:rFonts w:ascii="Sylfaen" w:hAnsi="Sylfaen" w:cs="Sylfaen"/>
          <w:lang w:val="ka-GE"/>
        </w:rPr>
        <w:t>ცხოველების</w:t>
      </w:r>
      <w:r w:rsidR="006C4E3C" w:rsidRPr="009852B4">
        <w:rPr>
          <w:rFonts w:ascii="Sylfaen" w:hAnsi="Sylfaen" w:cs="Arial"/>
          <w:lang w:val="ka-GE"/>
        </w:rPr>
        <w:t xml:space="preserve"> </w:t>
      </w:r>
      <w:r w:rsidR="006C4E3C" w:rsidRPr="009852B4">
        <w:rPr>
          <w:rFonts w:ascii="Sylfaen" w:hAnsi="Sylfaen" w:cs="Sylfaen"/>
          <w:lang w:val="ka-GE"/>
        </w:rPr>
        <w:t>შემდეგი</w:t>
      </w:r>
      <w:r w:rsidR="006C4E3C" w:rsidRPr="009852B4">
        <w:rPr>
          <w:rFonts w:ascii="Sylfaen" w:hAnsi="Sylfaen" w:cs="Arial"/>
          <w:lang w:val="ka-GE"/>
        </w:rPr>
        <w:t xml:space="preserve"> </w:t>
      </w:r>
      <w:r w:rsidR="006C4E3C" w:rsidRPr="009852B4">
        <w:rPr>
          <w:rFonts w:ascii="Sylfaen" w:hAnsi="Sylfaen" w:cs="Sylfaen"/>
          <w:lang w:val="ka-GE"/>
        </w:rPr>
        <w:t>ჯგუფები</w:t>
      </w:r>
      <w:r w:rsidR="006C4E3C" w:rsidRPr="009852B4">
        <w:rPr>
          <w:rFonts w:ascii="Sylfaen" w:hAnsi="Sylfaen" w:cs="Arial"/>
          <w:lang w:val="ka-GE"/>
        </w:rPr>
        <w:t xml:space="preserve"> </w:t>
      </w:r>
      <w:r w:rsidR="006C4E3C" w:rsidRPr="009852B4">
        <w:rPr>
          <w:rFonts w:ascii="Sylfaen" w:hAnsi="Sylfaen" w:cs="Sylfaen"/>
          <w:lang w:val="ka-GE"/>
        </w:rPr>
        <w:t>წარმოდგენილია</w:t>
      </w:r>
      <w:r w:rsidR="006C4E3C" w:rsidRPr="009852B4">
        <w:rPr>
          <w:rFonts w:ascii="Sylfaen" w:hAnsi="Sylfaen" w:cs="Arial"/>
          <w:lang w:val="ka-GE"/>
        </w:rPr>
        <w:t xml:space="preserve"> </w:t>
      </w:r>
      <w:r w:rsidR="006C4E3C" w:rsidRPr="009852B4">
        <w:rPr>
          <w:rFonts w:ascii="Sylfaen" w:hAnsi="Sylfaen" w:cs="Sylfaen"/>
          <w:lang w:val="ka-GE"/>
        </w:rPr>
        <w:t>საკვლევი</w:t>
      </w:r>
      <w:r w:rsidR="006C4E3C" w:rsidRPr="009852B4">
        <w:rPr>
          <w:rFonts w:ascii="Sylfaen" w:hAnsi="Sylfaen" w:cs="Arial"/>
          <w:lang w:val="ka-GE"/>
        </w:rPr>
        <w:t xml:space="preserve"> </w:t>
      </w:r>
      <w:r w:rsidR="006C4E3C" w:rsidRPr="009852B4">
        <w:rPr>
          <w:rFonts w:ascii="Sylfaen" w:hAnsi="Sylfaen" w:cs="Sylfaen"/>
          <w:lang w:val="ka-GE"/>
        </w:rPr>
        <w:t>უბნის</w:t>
      </w:r>
      <w:r w:rsidR="006C4E3C" w:rsidRPr="009852B4">
        <w:rPr>
          <w:rFonts w:ascii="Sylfaen" w:hAnsi="Sylfaen" w:cs="Arial"/>
          <w:lang w:val="ka-GE"/>
        </w:rPr>
        <w:t xml:space="preserve"> </w:t>
      </w:r>
      <w:r w:rsidR="006C4E3C" w:rsidRPr="009852B4">
        <w:rPr>
          <w:rFonts w:ascii="Sylfaen" w:hAnsi="Sylfaen" w:cs="Sylfaen"/>
          <w:lang w:val="ka-GE"/>
        </w:rPr>
        <w:t>ფარგლებში</w:t>
      </w:r>
      <w:r w:rsidR="005D4EE6" w:rsidRPr="009852B4">
        <w:rPr>
          <w:rFonts w:ascii="Sylfaen" w:hAnsi="Sylfaen"/>
          <w:lang w:val="ka-GE"/>
        </w:rPr>
        <w:t xml:space="preserve">: </w:t>
      </w:r>
      <w:r w:rsidR="006C4E3C" w:rsidRPr="009852B4">
        <w:rPr>
          <w:rFonts w:ascii="Sylfaen" w:hAnsi="Sylfaen"/>
          <w:lang w:val="ka-GE"/>
        </w:rPr>
        <w:t>ნემატოდები</w:t>
      </w:r>
      <w:r w:rsidR="005D4EE6" w:rsidRPr="009852B4">
        <w:rPr>
          <w:rFonts w:ascii="Sylfaen" w:hAnsi="Sylfaen"/>
          <w:lang w:val="ka-GE"/>
        </w:rPr>
        <w:t xml:space="preserve"> –(Nematoda, Oligocheta), </w:t>
      </w:r>
      <w:r w:rsidR="006C4E3C" w:rsidRPr="009852B4">
        <w:rPr>
          <w:rFonts w:ascii="Sylfaen" w:hAnsi="Sylfaen"/>
          <w:lang w:val="ka-GE"/>
        </w:rPr>
        <w:t>წურბელები</w:t>
      </w:r>
      <w:r w:rsidR="005D4EE6" w:rsidRPr="009852B4">
        <w:rPr>
          <w:rFonts w:ascii="Sylfaen" w:hAnsi="Sylfaen"/>
          <w:lang w:val="ka-GE"/>
        </w:rPr>
        <w:t xml:space="preserve"> –</w:t>
      </w:r>
      <w:r w:rsidR="006C4E3C" w:rsidRPr="009852B4">
        <w:rPr>
          <w:rFonts w:ascii="Sylfaen" w:hAnsi="Sylfaen"/>
          <w:lang w:val="ka-GE"/>
        </w:rPr>
        <w:t xml:space="preserve"> </w:t>
      </w:r>
      <w:r w:rsidR="005D4EE6" w:rsidRPr="009852B4">
        <w:rPr>
          <w:rFonts w:ascii="Sylfaen" w:hAnsi="Sylfaen"/>
          <w:lang w:val="ka-GE"/>
        </w:rPr>
        <w:t xml:space="preserve">(Hirudinea), </w:t>
      </w:r>
      <w:r w:rsidR="006C4E3C" w:rsidRPr="009852B4">
        <w:rPr>
          <w:rFonts w:ascii="Sylfaen" w:hAnsi="Sylfaen"/>
          <w:lang w:val="ka-GE"/>
        </w:rPr>
        <w:t xml:space="preserve">მოლუსკები </w:t>
      </w:r>
      <w:r w:rsidR="005D4EE6" w:rsidRPr="009852B4">
        <w:rPr>
          <w:rFonts w:ascii="Sylfaen" w:hAnsi="Sylfaen"/>
          <w:lang w:val="ka-GE"/>
        </w:rPr>
        <w:t>–</w:t>
      </w:r>
      <w:r w:rsidR="006C4E3C" w:rsidRPr="009852B4">
        <w:rPr>
          <w:rFonts w:ascii="Sylfaen" w:hAnsi="Sylfaen"/>
          <w:lang w:val="ka-GE"/>
        </w:rPr>
        <w:t xml:space="preserve"> </w:t>
      </w:r>
      <w:r w:rsidR="005D4EE6" w:rsidRPr="009852B4">
        <w:rPr>
          <w:rFonts w:ascii="Sylfaen" w:hAnsi="Sylfaen"/>
          <w:lang w:val="ka-GE"/>
        </w:rPr>
        <w:t xml:space="preserve">(Mollusca), </w:t>
      </w:r>
      <w:r w:rsidR="006C4E3C" w:rsidRPr="009852B4">
        <w:rPr>
          <w:rFonts w:ascii="Sylfaen" w:hAnsi="Sylfaen"/>
          <w:lang w:val="ka-GE"/>
        </w:rPr>
        <w:t>კიბოსებრნი</w:t>
      </w:r>
      <w:r w:rsidR="005D4EE6" w:rsidRPr="009852B4">
        <w:rPr>
          <w:rFonts w:ascii="Sylfaen" w:hAnsi="Sylfaen"/>
          <w:lang w:val="ka-GE"/>
        </w:rPr>
        <w:t xml:space="preserve">, </w:t>
      </w:r>
      <w:r w:rsidR="006C4E3C" w:rsidRPr="009852B4">
        <w:rPr>
          <w:rFonts w:ascii="Sylfaen" w:hAnsi="Sylfaen"/>
          <w:lang w:val="ka-GE"/>
        </w:rPr>
        <w:t>არახნიდები და</w:t>
      </w:r>
      <w:r w:rsidR="005D4EE6" w:rsidRPr="009852B4">
        <w:rPr>
          <w:rFonts w:ascii="Sylfaen" w:hAnsi="Sylfaen"/>
          <w:lang w:val="ka-GE"/>
        </w:rPr>
        <w:t xml:space="preserve"> </w:t>
      </w:r>
      <w:r w:rsidR="006C4E3C" w:rsidRPr="009852B4">
        <w:rPr>
          <w:rFonts w:ascii="Sylfaen" w:hAnsi="Sylfaen"/>
          <w:lang w:val="ka-GE"/>
        </w:rPr>
        <w:t>მწერები</w:t>
      </w:r>
      <w:r w:rsidR="005D4EE6" w:rsidRPr="009852B4">
        <w:rPr>
          <w:rFonts w:ascii="Sylfaen" w:hAnsi="Sylfaen"/>
          <w:lang w:val="ka-GE"/>
        </w:rPr>
        <w:t xml:space="preserve"> –</w:t>
      </w:r>
      <w:r w:rsidR="006C4E3C" w:rsidRPr="009852B4">
        <w:rPr>
          <w:rFonts w:ascii="Sylfaen" w:hAnsi="Sylfaen"/>
          <w:lang w:val="ka-GE"/>
        </w:rPr>
        <w:t xml:space="preserve"> (მწერი</w:t>
      </w:r>
      <w:r w:rsidR="005D4EE6" w:rsidRPr="009852B4">
        <w:rPr>
          <w:rFonts w:ascii="Sylfaen" w:hAnsi="Sylfaen"/>
          <w:lang w:val="ka-GE"/>
        </w:rPr>
        <w:t>)</w:t>
      </w:r>
    </w:p>
    <w:p w14:paraId="66E2E122" w14:textId="68EA5A34" w:rsidR="000465B2" w:rsidRPr="005E2832" w:rsidRDefault="000465B2" w:rsidP="009852B4">
      <w:pPr>
        <w:pStyle w:val="Heading2"/>
        <w:rPr>
          <w:lang w:val="ka-GE"/>
        </w:rPr>
      </w:pPr>
      <w:bookmarkStart w:id="202" w:name="_Toc496611083"/>
      <w:bookmarkStart w:id="203" w:name="_Toc1581551"/>
      <w:r w:rsidRPr="005E2832">
        <w:rPr>
          <w:lang w:val="ka-GE"/>
        </w:rPr>
        <w:lastRenderedPageBreak/>
        <w:t>6.</w:t>
      </w:r>
      <w:bookmarkEnd w:id="202"/>
      <w:r w:rsidR="002B29EF">
        <w:rPr>
          <w:rFonts w:ascii="Sylfaen" w:hAnsi="Sylfaen"/>
          <w:lang w:val="ka-GE"/>
        </w:rPr>
        <w:t>5</w:t>
      </w:r>
      <w:r w:rsidR="00C67F3B" w:rsidRPr="005E2832">
        <w:rPr>
          <w:lang w:val="ka-GE"/>
        </w:rPr>
        <w:t xml:space="preserve"> </w:t>
      </w:r>
      <w:r w:rsidR="00C67F3B" w:rsidRPr="005E2832">
        <w:rPr>
          <w:rFonts w:ascii="Sylfaen" w:hAnsi="Sylfaen" w:cs="Sylfaen"/>
          <w:lang w:val="ka-GE"/>
        </w:rPr>
        <w:t>დაცული</w:t>
      </w:r>
      <w:r w:rsidR="00C67F3B" w:rsidRPr="005E2832">
        <w:rPr>
          <w:lang w:val="ka-GE"/>
        </w:rPr>
        <w:t xml:space="preserve"> </w:t>
      </w:r>
      <w:r w:rsidR="00C67F3B" w:rsidRPr="005E2832">
        <w:rPr>
          <w:rFonts w:ascii="Sylfaen" w:hAnsi="Sylfaen" w:cs="Sylfaen"/>
          <w:lang w:val="ka-GE"/>
        </w:rPr>
        <w:t>ტერიტორიები</w:t>
      </w:r>
      <w:bookmarkEnd w:id="203"/>
    </w:p>
    <w:p w14:paraId="28E3D1BC" w14:textId="3774B892" w:rsidR="00B74EB4" w:rsidRDefault="00722EAC" w:rsidP="002B56CC">
      <w:pPr>
        <w:pStyle w:val="BodyText"/>
        <w:spacing w:before="200" w:after="200" w:line="240" w:lineRule="auto"/>
        <w:rPr>
          <w:rFonts w:ascii="Sylfaen" w:hAnsi="Sylfaen"/>
          <w:sz w:val="22"/>
          <w:lang w:val="ka-GE"/>
        </w:rPr>
      </w:pPr>
      <w:r w:rsidRPr="009852B4">
        <w:rPr>
          <w:rFonts w:ascii="Sylfaen" w:hAnsi="Sylfaen" w:cs="Sylfaen"/>
          <w:sz w:val="22"/>
          <w:lang w:val="ka-GE"/>
        </w:rPr>
        <w:t>საკვლევი</w:t>
      </w:r>
      <w:r w:rsidRPr="009852B4">
        <w:rPr>
          <w:rFonts w:ascii="Sylfaen" w:hAnsi="Sylfaen" w:cs="Arial"/>
          <w:sz w:val="22"/>
          <w:lang w:val="ka-GE"/>
        </w:rPr>
        <w:t xml:space="preserve"> </w:t>
      </w:r>
      <w:r w:rsidRPr="009852B4">
        <w:rPr>
          <w:rFonts w:ascii="Sylfaen" w:hAnsi="Sylfaen" w:cs="Sylfaen"/>
          <w:sz w:val="22"/>
          <w:lang w:val="ka-GE"/>
        </w:rPr>
        <w:t>დერეფნის</w:t>
      </w:r>
      <w:r w:rsidRPr="009852B4">
        <w:rPr>
          <w:rFonts w:ascii="Sylfaen" w:hAnsi="Sylfaen" w:cs="Arial"/>
          <w:sz w:val="22"/>
          <w:lang w:val="ka-GE"/>
        </w:rPr>
        <w:t xml:space="preserve"> </w:t>
      </w:r>
      <w:r w:rsidRPr="009852B4">
        <w:rPr>
          <w:rFonts w:ascii="Sylfaen" w:hAnsi="Sylfaen" w:cs="Sylfaen"/>
          <w:sz w:val="22"/>
          <w:lang w:val="ka-GE"/>
        </w:rPr>
        <w:t>მიმდებარე</w:t>
      </w:r>
      <w:r w:rsidRPr="009852B4">
        <w:rPr>
          <w:rFonts w:ascii="Sylfaen" w:hAnsi="Sylfaen" w:cs="Arial"/>
          <w:sz w:val="22"/>
          <w:lang w:val="ka-GE"/>
        </w:rPr>
        <w:t xml:space="preserve"> </w:t>
      </w:r>
      <w:r w:rsidRPr="009852B4">
        <w:rPr>
          <w:rFonts w:ascii="Sylfaen" w:hAnsi="Sylfaen" w:cs="Sylfaen"/>
          <w:sz w:val="22"/>
          <w:lang w:val="ka-GE"/>
        </w:rPr>
        <w:t>ტერიტორიაზე</w:t>
      </w:r>
      <w:r w:rsidRPr="009852B4">
        <w:rPr>
          <w:rFonts w:ascii="Sylfaen" w:hAnsi="Sylfaen" w:cs="Arial"/>
          <w:sz w:val="22"/>
          <w:lang w:val="ka-GE"/>
        </w:rPr>
        <w:t xml:space="preserve"> </w:t>
      </w:r>
      <w:r w:rsidRPr="009852B4">
        <w:rPr>
          <w:rFonts w:ascii="Sylfaen" w:hAnsi="Sylfaen" w:cs="Sylfaen"/>
          <w:sz w:val="22"/>
          <w:lang w:val="ka-GE"/>
        </w:rPr>
        <w:t>არანაირი</w:t>
      </w:r>
      <w:r w:rsidRPr="009852B4">
        <w:rPr>
          <w:rFonts w:ascii="Sylfaen" w:hAnsi="Sylfaen" w:cs="Arial"/>
          <w:sz w:val="22"/>
          <w:lang w:val="ka-GE"/>
        </w:rPr>
        <w:t xml:space="preserve"> </w:t>
      </w:r>
      <w:r w:rsidRPr="009852B4">
        <w:rPr>
          <w:rFonts w:ascii="Sylfaen" w:hAnsi="Sylfaen" w:cs="Sylfaen"/>
          <w:sz w:val="22"/>
          <w:lang w:val="ka-GE"/>
        </w:rPr>
        <w:t>დაცული</w:t>
      </w:r>
      <w:r w:rsidRPr="009852B4">
        <w:rPr>
          <w:rFonts w:ascii="Sylfaen" w:hAnsi="Sylfaen" w:cs="Arial"/>
          <w:sz w:val="22"/>
          <w:lang w:val="ka-GE"/>
        </w:rPr>
        <w:t xml:space="preserve"> </w:t>
      </w:r>
      <w:r w:rsidRPr="009852B4">
        <w:rPr>
          <w:rFonts w:ascii="Sylfaen" w:hAnsi="Sylfaen" w:cs="Sylfaen"/>
          <w:sz w:val="22"/>
          <w:lang w:val="ka-GE"/>
        </w:rPr>
        <w:t>ტერიტორია</w:t>
      </w:r>
      <w:r w:rsidRPr="009852B4">
        <w:rPr>
          <w:rFonts w:ascii="Sylfaen" w:hAnsi="Sylfaen" w:cs="Arial"/>
          <w:sz w:val="22"/>
          <w:lang w:val="ka-GE"/>
        </w:rPr>
        <w:t xml:space="preserve"> </w:t>
      </w:r>
      <w:r w:rsidRPr="009852B4">
        <w:rPr>
          <w:rFonts w:ascii="Sylfaen" w:hAnsi="Sylfaen" w:cs="Sylfaen"/>
          <w:sz w:val="22"/>
          <w:lang w:val="ka-GE"/>
        </w:rPr>
        <w:t>არ</w:t>
      </w:r>
      <w:r w:rsidRPr="009852B4">
        <w:rPr>
          <w:rFonts w:ascii="Sylfaen" w:hAnsi="Sylfaen" w:cs="Arial"/>
          <w:sz w:val="22"/>
          <w:lang w:val="ka-GE"/>
        </w:rPr>
        <w:t xml:space="preserve"> </w:t>
      </w:r>
      <w:r w:rsidRPr="009852B4">
        <w:rPr>
          <w:rFonts w:ascii="Sylfaen" w:hAnsi="Sylfaen" w:cs="Sylfaen"/>
          <w:sz w:val="22"/>
          <w:lang w:val="ka-GE"/>
        </w:rPr>
        <w:t>არსებობს</w:t>
      </w:r>
      <w:r w:rsidRPr="009852B4">
        <w:rPr>
          <w:rFonts w:ascii="Sylfaen" w:hAnsi="Sylfaen"/>
          <w:sz w:val="22"/>
          <w:lang w:val="ka-GE"/>
        </w:rPr>
        <w:t>.</w:t>
      </w:r>
    </w:p>
    <w:p w14:paraId="26B3C7D8" w14:textId="2AAE0E88" w:rsidR="00D31A19" w:rsidRPr="00D31A19" w:rsidRDefault="00D31A19" w:rsidP="00D31A19">
      <w:pPr>
        <w:shd w:val="clear" w:color="auto" w:fill="FFFFFF"/>
        <w:spacing w:before="120" w:after="120"/>
        <w:rPr>
          <w:rFonts w:ascii="pg-1ff9" w:hAnsi="pg-1ff9"/>
          <w:color w:val="222222"/>
          <w:szCs w:val="22"/>
          <w:lang w:val="ka-GE" w:eastAsia="en-US"/>
        </w:rPr>
      </w:pPr>
      <w:r>
        <w:rPr>
          <w:rFonts w:ascii="Sylfaen" w:hAnsi="Sylfaen"/>
          <w:lang w:val="ka-GE"/>
        </w:rPr>
        <w:t>საპროექტო გზის ტერიტორია დასაწყისში ქალაქ თელავთან</w:t>
      </w:r>
      <w:r w:rsidRPr="00D31A19">
        <w:rPr>
          <w:rFonts w:ascii="Sylfaen" w:hAnsi="Sylfaen" w:cs="Sylfaen"/>
          <w:color w:val="222222"/>
          <w:szCs w:val="22"/>
          <w:lang w:val="ka-GE"/>
        </w:rPr>
        <w:t xml:space="preserve"> </w:t>
      </w:r>
      <w:r w:rsidRPr="00D31A19">
        <w:rPr>
          <w:rFonts w:ascii="Sylfaen" w:hAnsi="Sylfaen" w:cs="Sylfaen"/>
          <w:color w:val="222222"/>
          <w:szCs w:val="22"/>
          <w:lang w:val="ka-GE" w:eastAsia="en-US"/>
        </w:rPr>
        <w:t>ცივ</w:t>
      </w:r>
      <w:r w:rsidRPr="00D31A19">
        <w:rPr>
          <w:rFonts w:ascii="pg-1ffe" w:hAnsi="pg-1ffe"/>
          <w:color w:val="222222"/>
          <w:szCs w:val="22"/>
          <w:lang w:val="ka-GE" w:eastAsia="en-US"/>
        </w:rPr>
        <w:t>-</w:t>
      </w:r>
      <w:r w:rsidRPr="00D31A19">
        <w:rPr>
          <w:rFonts w:ascii="Sylfaen" w:hAnsi="Sylfaen" w:cs="Sylfaen"/>
          <w:color w:val="222222"/>
          <w:szCs w:val="22"/>
          <w:lang w:val="ka-GE" w:eastAsia="en-US"/>
        </w:rPr>
        <w:t>გომბორის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ქედის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მცენარეული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მრავალფეროვნება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როგორც</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სახეობრივი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შემადგენლობით</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ასევე</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არსებული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თანასაზოგადოებების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სტრუქტურით</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მჭირდოთ</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არის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დაკავშირებული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როგორც</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კახეთის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კავკასიონის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ასევე</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ცენრტალური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კავკასიონის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საშუალო</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მთიანი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ზონასთან</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გარკვეულ</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წილად</w:t>
      </w:r>
      <w:r w:rsidRPr="00D31A19">
        <w:rPr>
          <w:rFonts w:ascii="pg-1ffe" w:hAnsi="pg-1ffe"/>
          <w:color w:val="222222"/>
          <w:szCs w:val="22"/>
          <w:lang w:val="ka-GE" w:eastAsia="en-US"/>
        </w:rPr>
        <w:t xml:space="preserve"> </w:t>
      </w:r>
      <w:r>
        <w:rPr>
          <w:rFonts w:ascii="Sylfaen" w:hAnsi="Sylfaen"/>
          <w:color w:val="222222"/>
          <w:szCs w:val="22"/>
          <w:lang w:val="ka-GE" w:eastAsia="en-US"/>
        </w:rPr>
        <w:t xml:space="preserve"> </w:t>
      </w:r>
      <w:r w:rsidRPr="00D31A19">
        <w:rPr>
          <w:rFonts w:ascii="Sylfaen" w:hAnsi="Sylfaen" w:cs="Sylfaen"/>
          <w:color w:val="222222"/>
          <w:szCs w:val="22"/>
          <w:lang w:val="ka-GE" w:eastAsia="en-US"/>
        </w:rPr>
        <w:t>ზემოდ</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დასახელებულ</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ორ</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ზონას</w:t>
      </w:r>
      <w:r w:rsidRPr="00D31A19">
        <w:rPr>
          <w:rFonts w:ascii="pg-1ff9" w:hAnsi="pg-1ff9"/>
          <w:color w:val="222222"/>
          <w:szCs w:val="22"/>
          <w:lang w:val="ka-GE" w:eastAsia="en-US"/>
        </w:rPr>
        <w:t xml:space="preserve"> </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შორის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გარდამავალი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პოზიცია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უკავია</w:t>
      </w:r>
      <w:r w:rsidRPr="00D31A19">
        <w:rPr>
          <w:rFonts w:ascii="pg-1ffe" w:hAnsi="pg-1ffe"/>
          <w:color w:val="222222"/>
          <w:szCs w:val="22"/>
          <w:lang w:val="ka-GE" w:eastAsia="en-US"/>
        </w:rPr>
        <w:t>.</w:t>
      </w:r>
    </w:p>
    <w:p w14:paraId="446FDBD3" w14:textId="308F7F93" w:rsidR="00D31A19" w:rsidRPr="00D31A19" w:rsidRDefault="00D31A19" w:rsidP="00D31A19">
      <w:pPr>
        <w:shd w:val="clear" w:color="auto" w:fill="FFFFFF"/>
        <w:spacing w:before="120" w:after="120"/>
        <w:rPr>
          <w:rFonts w:ascii="pg-1ff9" w:hAnsi="pg-1ff9"/>
          <w:color w:val="222222"/>
          <w:szCs w:val="22"/>
          <w:lang w:val="ka-GE" w:eastAsia="en-US"/>
        </w:rPr>
      </w:pPr>
      <w:r w:rsidRPr="00D31A19">
        <w:rPr>
          <w:rFonts w:ascii="Sylfaen" w:hAnsi="Sylfaen" w:cs="Sylfaen"/>
          <w:color w:val="222222"/>
          <w:szCs w:val="22"/>
          <w:lang w:val="ka-GE" w:eastAsia="en-US"/>
        </w:rPr>
        <w:t>ცივ</w:t>
      </w:r>
      <w:r w:rsidRPr="00D31A19">
        <w:rPr>
          <w:rFonts w:ascii="pg-1ffe" w:hAnsi="pg-1ffe"/>
          <w:color w:val="222222"/>
          <w:szCs w:val="22"/>
          <w:lang w:val="ka-GE" w:eastAsia="en-US"/>
        </w:rPr>
        <w:t>-</w:t>
      </w:r>
      <w:r w:rsidRPr="00D31A19">
        <w:rPr>
          <w:rFonts w:ascii="Sylfaen" w:hAnsi="Sylfaen" w:cs="Sylfaen"/>
          <w:color w:val="222222"/>
          <w:szCs w:val="22"/>
          <w:lang w:val="ka-GE" w:eastAsia="en-US"/>
        </w:rPr>
        <w:t>გომბორის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ქედი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ჩრდილო</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დასავლეთიდან</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სამხრეთ</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აღმოსავლეთის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მიმართულებით</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არის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გადაჭიმული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მისი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სიგრძე</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დაახლოებით</w:t>
      </w:r>
      <w:r w:rsidRPr="00D31A19">
        <w:rPr>
          <w:rFonts w:ascii="pg-1ffe" w:hAnsi="pg-1ffe"/>
          <w:color w:val="222222"/>
          <w:szCs w:val="22"/>
          <w:lang w:val="ka-GE" w:eastAsia="en-US"/>
        </w:rPr>
        <w:t xml:space="preserve"> 100 </w:t>
      </w:r>
      <w:r w:rsidRPr="00D31A19">
        <w:rPr>
          <w:rFonts w:ascii="Sylfaen" w:hAnsi="Sylfaen" w:cs="Sylfaen"/>
          <w:color w:val="222222"/>
          <w:szCs w:val="22"/>
          <w:lang w:val="ka-GE" w:eastAsia="en-US"/>
        </w:rPr>
        <w:t>კმ</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ია</w:t>
      </w:r>
      <w:r w:rsidRPr="00D31A19">
        <w:rPr>
          <w:rFonts w:ascii="pg-1ffe" w:hAnsi="pg-1ffe"/>
          <w:color w:val="222222"/>
          <w:szCs w:val="22"/>
          <w:lang w:val="ka-GE" w:eastAsia="en-US"/>
        </w:rPr>
        <w:t xml:space="preserve">. </w:t>
      </w:r>
    </w:p>
    <w:p w14:paraId="25D6DF26" w14:textId="6C3D03F2" w:rsidR="00D31A19" w:rsidRPr="00581176" w:rsidRDefault="00D31A19" w:rsidP="00D31A19">
      <w:pPr>
        <w:shd w:val="clear" w:color="auto" w:fill="FFFFFF"/>
        <w:spacing w:before="120" w:after="120"/>
        <w:rPr>
          <w:rFonts w:ascii="pg-1ff9" w:hAnsi="pg-1ff9"/>
          <w:color w:val="222222"/>
          <w:szCs w:val="22"/>
          <w:lang w:val="ka-GE" w:eastAsia="en-US"/>
        </w:rPr>
      </w:pPr>
      <w:r w:rsidRPr="00D31A19">
        <w:rPr>
          <w:rFonts w:ascii="Sylfaen" w:hAnsi="Sylfaen" w:cs="Sylfaen"/>
          <w:color w:val="222222"/>
          <w:szCs w:val="22"/>
          <w:lang w:val="ka-GE" w:eastAsia="en-US"/>
        </w:rPr>
        <w:t>გეობოტანიკური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თვალსაზრისით</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მოქცეულია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აღმოსავლეთ</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საქართველოს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გეობოტანიკური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არის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კახეთის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გეობოტანიკურ</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რაიონში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ქედი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ხასიათდება</w:t>
      </w:r>
      <w:r w:rsidRPr="00D31A19">
        <w:rPr>
          <w:rFonts w:ascii="pg-1ffe" w:hAnsi="pg-1ffe"/>
          <w:color w:val="222222"/>
          <w:szCs w:val="22"/>
          <w:lang w:val="ka-GE" w:eastAsia="en-US"/>
        </w:rPr>
        <w:t xml:space="preserve"> </w:t>
      </w:r>
      <w:r>
        <w:rPr>
          <w:rFonts w:ascii="Sylfaen" w:hAnsi="Sylfaen"/>
          <w:color w:val="222222"/>
          <w:szCs w:val="22"/>
          <w:lang w:val="ka-GE" w:eastAsia="en-US"/>
        </w:rPr>
        <w:t xml:space="preserve"> </w:t>
      </w:r>
      <w:r w:rsidRPr="00D31A19">
        <w:rPr>
          <w:rFonts w:ascii="Sylfaen" w:hAnsi="Sylfaen" w:cs="Sylfaen"/>
          <w:color w:val="222222"/>
          <w:szCs w:val="22"/>
          <w:lang w:val="ka-GE" w:eastAsia="en-US"/>
        </w:rPr>
        <w:t>საშუალო</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მთიანი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რელიეფით</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ტერიტორიის</w:t>
      </w:r>
      <w:r w:rsidRPr="00D31A19">
        <w:rPr>
          <w:rFonts w:ascii="pg-1ffe" w:hAnsi="pg-1ffe"/>
          <w:color w:val="222222"/>
          <w:szCs w:val="22"/>
          <w:lang w:val="ka-GE" w:eastAsia="en-US"/>
        </w:rPr>
        <w:t xml:space="preserve"> 95% </w:t>
      </w:r>
      <w:r w:rsidRPr="00D31A19">
        <w:rPr>
          <w:rFonts w:ascii="Sylfaen" w:hAnsi="Sylfaen" w:cs="Sylfaen"/>
          <w:color w:val="222222"/>
          <w:szCs w:val="22"/>
          <w:lang w:val="ka-GE" w:eastAsia="en-US"/>
        </w:rPr>
        <w:t>დაფარულია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ტყეებით</w:t>
      </w:r>
      <w:r w:rsidRPr="00D31A19">
        <w:rPr>
          <w:rFonts w:ascii="pg-1ffe" w:hAnsi="pg-1ffe"/>
          <w:color w:val="222222"/>
          <w:szCs w:val="22"/>
          <w:lang w:val="ka-GE" w:eastAsia="en-US"/>
        </w:rPr>
        <w:t xml:space="preserve">, </w:t>
      </w:r>
      <w:r>
        <w:rPr>
          <w:rFonts w:ascii="Sylfaen" w:hAnsi="Sylfaen"/>
          <w:color w:val="222222"/>
          <w:szCs w:val="22"/>
          <w:lang w:val="ka-GE" w:eastAsia="en-US"/>
        </w:rPr>
        <w:t xml:space="preserve"> </w:t>
      </w:r>
      <w:r w:rsidRPr="00D31A19">
        <w:rPr>
          <w:rFonts w:ascii="Sylfaen" w:hAnsi="Sylfaen" w:cs="Sylfaen"/>
          <w:color w:val="222222"/>
          <w:szCs w:val="22"/>
          <w:lang w:val="ka-GE" w:eastAsia="en-US"/>
        </w:rPr>
        <w:t>მხოლოდ</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თხემურ</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კიდევ</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რამდენიმე</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მონაკვეთზე</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წარმოდგენილია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მეორეული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სუბალპური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მდელოებით</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მცენარეულობის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გავრცელების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დაკავშირებულია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ფერდობების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ექსპოზიციასთან</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მაგ</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ჩრდილო</w:t>
      </w:r>
      <w:r w:rsidRPr="00D31A19">
        <w:rPr>
          <w:rFonts w:ascii="pg-1ffe" w:hAnsi="pg-1ffe"/>
          <w:color w:val="222222"/>
          <w:szCs w:val="22"/>
          <w:lang w:val="ka-GE" w:eastAsia="en-US"/>
        </w:rPr>
        <w:t>/</w:t>
      </w:r>
      <w:r w:rsidRPr="00D31A19">
        <w:rPr>
          <w:rFonts w:ascii="Sylfaen" w:hAnsi="Sylfaen" w:cs="Sylfaen"/>
          <w:color w:val="222222"/>
          <w:szCs w:val="22"/>
          <w:lang w:val="ka-GE" w:eastAsia="en-US"/>
        </w:rPr>
        <w:t>შიდა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კახეთისკენ</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მიქცეული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ფერდობები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უფრო</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ტენიანია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შესაბამისად</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დიდი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გავრცელება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აქვს</w:t>
      </w:r>
      <w:r w:rsidRPr="00D31A19">
        <w:rPr>
          <w:rFonts w:ascii="pg-1ffe" w:hAnsi="pg-1ffe"/>
          <w:color w:val="222222"/>
          <w:szCs w:val="22"/>
          <w:lang w:val="ka-GE" w:eastAsia="en-US"/>
        </w:rPr>
        <w:t xml:space="preserve"> </w:t>
      </w:r>
      <w:r>
        <w:rPr>
          <w:rFonts w:ascii="Sylfaen" w:hAnsi="Sylfaen"/>
          <w:color w:val="222222"/>
          <w:szCs w:val="22"/>
          <w:lang w:val="ka-GE" w:eastAsia="en-US"/>
        </w:rPr>
        <w:t xml:space="preserve"> </w:t>
      </w:r>
      <w:r w:rsidRPr="00D31A19">
        <w:rPr>
          <w:rFonts w:ascii="Sylfaen" w:hAnsi="Sylfaen" w:cs="Sylfaen"/>
          <w:color w:val="222222"/>
          <w:szCs w:val="22"/>
          <w:lang w:val="ka-GE" w:eastAsia="en-US"/>
        </w:rPr>
        <w:t>წიფელს</w:t>
      </w:r>
      <w:r w:rsidRPr="00D31A19">
        <w:rPr>
          <w:rFonts w:ascii="pg-1ffe" w:hAnsi="pg-1ffe"/>
          <w:color w:val="222222"/>
          <w:szCs w:val="22"/>
          <w:lang w:val="ka-GE" w:eastAsia="en-US"/>
        </w:rPr>
        <w:t xml:space="preserve">/Fagus orientalis/, </w:t>
      </w:r>
      <w:r w:rsidRPr="00D31A19">
        <w:rPr>
          <w:rFonts w:ascii="Sylfaen" w:hAnsi="Sylfaen" w:cs="Sylfaen"/>
          <w:color w:val="222222"/>
          <w:szCs w:val="22"/>
          <w:lang w:val="ka-GE" w:eastAsia="en-US"/>
        </w:rPr>
        <w:t>მნიშვნელოვანია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ასევე</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ცრხილის</w:t>
      </w:r>
      <w:r w:rsidRPr="00D31A19">
        <w:rPr>
          <w:rFonts w:ascii="pg-1ffe" w:hAnsi="pg-1ffe"/>
          <w:color w:val="222222"/>
          <w:szCs w:val="22"/>
          <w:lang w:val="ka-GE" w:eastAsia="en-US"/>
        </w:rPr>
        <w:t>/C arpinus caucasica/</w:t>
      </w:r>
      <w:r w:rsidRPr="00D31A19">
        <w:rPr>
          <w:rFonts w:ascii="Sylfaen" w:hAnsi="Sylfaen" w:cs="Sylfaen"/>
          <w:color w:val="222222"/>
          <w:szCs w:val="22"/>
          <w:lang w:val="ka-GE" w:eastAsia="en-US"/>
        </w:rPr>
        <w:t>წილი</w:t>
      </w:r>
      <w:r w:rsidRPr="00D31A19">
        <w:rPr>
          <w:rFonts w:ascii="pg-1ffe" w:hAnsi="pg-1ffe"/>
          <w:color w:val="222222"/>
          <w:szCs w:val="22"/>
          <w:lang w:val="ka-GE" w:eastAsia="en-US"/>
        </w:rPr>
        <w:t xml:space="preserve">. </w:t>
      </w:r>
      <w:r>
        <w:rPr>
          <w:rFonts w:ascii="Sylfaen" w:hAnsi="Sylfaen"/>
          <w:color w:val="222222"/>
          <w:szCs w:val="22"/>
          <w:lang w:val="ka-GE" w:eastAsia="en-US"/>
        </w:rPr>
        <w:t xml:space="preserve"> </w:t>
      </w:r>
      <w:r w:rsidRPr="00581176">
        <w:rPr>
          <w:rFonts w:ascii="Sylfaen" w:hAnsi="Sylfaen" w:cs="Sylfaen"/>
          <w:color w:val="222222"/>
          <w:szCs w:val="22"/>
          <w:lang w:val="ka-GE" w:eastAsia="en-US"/>
        </w:rPr>
        <w:t>სხვა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ტყის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შემქნელი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სახეობებიდან</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აღსანიშნავია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მინდვრის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ნეკერჩხალი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იფანი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ქორაფი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ქართული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მუხა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მაღალმთის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მუხა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სხვა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უნდა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აღინიშნოს</w:t>
      </w:r>
      <w:r w:rsidRPr="00581176">
        <w:rPr>
          <w:rFonts w:ascii="pg-1ff9" w:hAnsi="pg-1ff9"/>
          <w:color w:val="222222"/>
          <w:szCs w:val="22"/>
          <w:lang w:val="ka-GE" w:eastAsia="en-US"/>
        </w:rPr>
        <w:t xml:space="preserve"> </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რ</w:t>
      </w:r>
      <w:r w:rsidRPr="00581176">
        <w:rPr>
          <w:rFonts w:ascii="pg-1ff9" w:hAnsi="pg-1ff9"/>
          <w:color w:val="222222"/>
          <w:szCs w:val="22"/>
          <w:lang w:val="ka-GE" w:eastAsia="en-US"/>
        </w:rPr>
        <w:t xml:space="preserve"> </w:t>
      </w:r>
      <w:r w:rsidRPr="00581176">
        <w:rPr>
          <w:rFonts w:ascii="Sylfaen" w:hAnsi="Sylfaen" w:cs="Sylfaen"/>
          <w:color w:val="222222"/>
          <w:szCs w:val="22"/>
          <w:lang w:val="ka-GE" w:eastAsia="en-US"/>
        </w:rPr>
        <w:t>ომ</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ცივ</w:t>
      </w:r>
      <w:r w:rsidRPr="00581176">
        <w:rPr>
          <w:rFonts w:ascii="pg-1ffe" w:hAnsi="pg-1ffe"/>
          <w:color w:val="222222"/>
          <w:szCs w:val="22"/>
          <w:lang w:val="ka-GE" w:eastAsia="en-US"/>
        </w:rPr>
        <w:t>-</w:t>
      </w:r>
      <w:r w:rsidRPr="00581176">
        <w:rPr>
          <w:rFonts w:ascii="Sylfaen" w:hAnsi="Sylfaen" w:cs="Sylfaen"/>
          <w:color w:val="222222"/>
          <w:szCs w:val="22"/>
          <w:lang w:val="ka-GE" w:eastAsia="en-US"/>
        </w:rPr>
        <w:t>გომბორის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ქედის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ჩრდილო</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ფერდობზე</w:t>
      </w:r>
      <w:r w:rsidRPr="00581176">
        <w:rPr>
          <w:rFonts w:ascii="pg-1ffe" w:hAnsi="pg-1ffe"/>
          <w:color w:val="222222"/>
          <w:szCs w:val="22"/>
          <w:lang w:val="ka-GE" w:eastAsia="en-US"/>
        </w:rPr>
        <w:t xml:space="preserve">, </w:t>
      </w:r>
      <w:r>
        <w:rPr>
          <w:rFonts w:ascii="Sylfaen" w:hAnsi="Sylfaen"/>
          <w:color w:val="222222"/>
          <w:szCs w:val="22"/>
          <w:lang w:val="ka-GE" w:eastAsia="en-US"/>
        </w:rPr>
        <w:t xml:space="preserve"> </w:t>
      </w:r>
      <w:r w:rsidRPr="00581176">
        <w:rPr>
          <w:rFonts w:ascii="Sylfaen" w:hAnsi="Sylfaen" w:cs="Sylfaen"/>
          <w:color w:val="222222"/>
          <w:szCs w:val="22"/>
          <w:lang w:val="ka-GE" w:eastAsia="en-US"/>
        </w:rPr>
        <w:t>რამოდენიმე</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ტენიან</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ადგილსამყოფელში</w:t>
      </w:r>
      <w:r w:rsidRPr="00581176">
        <w:rPr>
          <w:rFonts w:ascii="pg-1ffe" w:hAnsi="pg-1ffe"/>
          <w:color w:val="222222"/>
          <w:szCs w:val="22"/>
          <w:lang w:val="ka-GE" w:eastAsia="en-US"/>
        </w:rPr>
        <w:t>/</w:t>
      </w:r>
      <w:r w:rsidRPr="00581176">
        <w:rPr>
          <w:rFonts w:ascii="Sylfaen" w:hAnsi="Sylfaen" w:cs="Sylfaen"/>
          <w:color w:val="222222"/>
          <w:szCs w:val="22"/>
          <w:lang w:val="ka-GE" w:eastAsia="en-US"/>
        </w:rPr>
        <w:t>ღრმა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ხეობებში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აღნიშნულია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კოლხურის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ფლორის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ელემენტები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კოლხური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ტიპის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ტყის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თანასაზოგადოებები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მაგ</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კისისხევის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ხეობაში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სათლიანის</w:t>
      </w:r>
      <w:r w:rsidRPr="00581176">
        <w:rPr>
          <w:rFonts w:ascii="pg-1ffe" w:hAnsi="pg-1ffe"/>
          <w:color w:val="222222"/>
          <w:szCs w:val="22"/>
          <w:lang w:val="ka-GE" w:eastAsia="en-US"/>
        </w:rPr>
        <w:t xml:space="preserve"> </w:t>
      </w:r>
      <w:r>
        <w:rPr>
          <w:rFonts w:ascii="Sylfaen" w:hAnsi="Sylfaen"/>
          <w:color w:val="222222"/>
          <w:szCs w:val="22"/>
          <w:lang w:val="ka-GE" w:eastAsia="en-US"/>
        </w:rPr>
        <w:t xml:space="preserve"> </w:t>
      </w:r>
      <w:r w:rsidRPr="00581176">
        <w:rPr>
          <w:rFonts w:ascii="Sylfaen" w:hAnsi="Sylfaen" w:cs="Sylfaen"/>
          <w:color w:val="222222"/>
          <w:szCs w:val="22"/>
          <w:lang w:val="ka-GE" w:eastAsia="en-US"/>
        </w:rPr>
        <w:t>ხეობაში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სხვა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სამწუხაროდ</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დღეს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ცივ</w:t>
      </w:r>
      <w:r w:rsidRPr="00581176">
        <w:rPr>
          <w:rFonts w:ascii="pg-1ffe" w:hAnsi="pg-1ffe"/>
          <w:color w:val="222222"/>
          <w:szCs w:val="22"/>
          <w:lang w:val="ka-GE" w:eastAsia="en-US"/>
        </w:rPr>
        <w:t>-</w:t>
      </w:r>
      <w:r w:rsidRPr="00581176">
        <w:rPr>
          <w:rFonts w:ascii="Sylfaen" w:hAnsi="Sylfaen" w:cs="Sylfaen"/>
          <w:color w:val="222222"/>
          <w:szCs w:val="22"/>
          <w:lang w:val="ka-GE" w:eastAsia="en-US"/>
        </w:rPr>
        <w:t>გომბორის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ქედი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განიცდის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ადამიანის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მხრიდან</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ქედის</w:t>
      </w:r>
      <w:r w:rsidRPr="00581176">
        <w:rPr>
          <w:rFonts w:ascii="pg-1ffe" w:hAnsi="pg-1ffe"/>
          <w:color w:val="222222"/>
          <w:szCs w:val="22"/>
          <w:lang w:val="ka-GE" w:eastAsia="en-US"/>
        </w:rPr>
        <w:t xml:space="preserve"> </w:t>
      </w:r>
      <w:r>
        <w:rPr>
          <w:rFonts w:ascii="Sylfaen" w:hAnsi="Sylfaen"/>
          <w:color w:val="222222"/>
          <w:szCs w:val="22"/>
          <w:lang w:val="ka-GE" w:eastAsia="en-US"/>
        </w:rPr>
        <w:t xml:space="preserve"> </w:t>
      </w:r>
      <w:r w:rsidRPr="00581176">
        <w:rPr>
          <w:rFonts w:ascii="Sylfaen" w:hAnsi="Sylfaen" w:cs="Sylfaen"/>
          <w:color w:val="222222"/>
          <w:szCs w:val="22"/>
          <w:lang w:val="ka-GE" w:eastAsia="en-US"/>
        </w:rPr>
        <w:t>კალთების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ძირი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მჭიდროდ</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არის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დასახლებული</w:t>
      </w:r>
      <w:r w:rsidRPr="00581176">
        <w:rPr>
          <w:rFonts w:ascii="pg-1ff9" w:hAnsi="pg-1ff9"/>
          <w:color w:val="222222"/>
          <w:szCs w:val="22"/>
          <w:lang w:val="ka-GE" w:eastAsia="en-US"/>
        </w:rPr>
        <w:t xml:space="preserve"> </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ასევე</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სრულიად</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ათვისებულია</w:t>
      </w:r>
      <w:r w:rsidRPr="00581176">
        <w:rPr>
          <w:rFonts w:ascii="pg-1ff9" w:hAnsi="pg-1ff9"/>
          <w:color w:val="222222"/>
          <w:szCs w:val="22"/>
          <w:lang w:val="ka-GE" w:eastAsia="en-US"/>
        </w:rPr>
        <w:t xml:space="preserve"> </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სასოფლო</w:t>
      </w:r>
      <w:r w:rsidRPr="00581176">
        <w:rPr>
          <w:rFonts w:ascii="pg-1ffe" w:hAnsi="pg-1ffe"/>
          <w:color w:val="222222"/>
          <w:szCs w:val="22"/>
          <w:lang w:val="ka-GE" w:eastAsia="en-US"/>
        </w:rPr>
        <w:t xml:space="preserve"> </w:t>
      </w:r>
      <w:r>
        <w:rPr>
          <w:rFonts w:ascii="Sylfaen" w:hAnsi="Sylfaen"/>
          <w:color w:val="222222"/>
          <w:szCs w:val="22"/>
          <w:lang w:val="ka-GE" w:eastAsia="en-US"/>
        </w:rPr>
        <w:t xml:space="preserve"> </w:t>
      </w:r>
      <w:r w:rsidRPr="00581176">
        <w:rPr>
          <w:rFonts w:ascii="Sylfaen" w:hAnsi="Sylfaen" w:cs="Sylfaen"/>
          <w:color w:val="222222"/>
          <w:szCs w:val="22"/>
          <w:lang w:val="ka-GE" w:eastAsia="en-US"/>
        </w:rPr>
        <w:t>სამეურნეო</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სავარგულებით</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ფერმებით</w:t>
      </w:r>
      <w:r w:rsidRPr="00581176">
        <w:rPr>
          <w:rFonts w:ascii="pg-1ffe" w:hAnsi="pg-1ffe"/>
          <w:color w:val="222222"/>
          <w:szCs w:val="22"/>
          <w:lang w:val="ka-GE" w:eastAsia="en-US"/>
        </w:rPr>
        <w:t xml:space="preserve">. </w:t>
      </w:r>
    </w:p>
    <w:p w14:paraId="1CC12ED1" w14:textId="77777777" w:rsidR="00D31A19" w:rsidRDefault="00D31A19" w:rsidP="00D31A19">
      <w:pPr>
        <w:shd w:val="clear" w:color="auto" w:fill="FFFFFF"/>
        <w:spacing w:before="120" w:after="120"/>
        <w:rPr>
          <w:rFonts w:ascii="Sylfaen" w:hAnsi="Sylfaen" w:cs="Sylfaen"/>
          <w:color w:val="222222"/>
          <w:szCs w:val="22"/>
          <w:lang w:val="ka-GE" w:eastAsia="en-US"/>
        </w:rPr>
      </w:pPr>
      <w:r w:rsidRPr="00581176">
        <w:rPr>
          <w:rFonts w:ascii="Sylfaen" w:hAnsi="Sylfaen" w:cs="Sylfaen"/>
          <w:color w:val="222222"/>
          <w:szCs w:val="22"/>
          <w:lang w:val="ka-GE" w:eastAsia="en-US"/>
        </w:rPr>
        <w:t>საკვლევი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არეალის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მიმდებარედ</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ცივ</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გომბორის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ქედის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შესაბამისი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მონაკვეთი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წარმოადგენს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ყველაზე</w:t>
      </w:r>
      <w:r w:rsidRPr="00581176">
        <w:rPr>
          <w:rFonts w:ascii="pg-1ffe" w:hAnsi="pg-1ffe"/>
          <w:color w:val="222222"/>
          <w:szCs w:val="22"/>
          <w:lang w:val="ka-GE" w:eastAsia="en-US"/>
        </w:rPr>
        <w:t xml:space="preserve"> </w:t>
      </w:r>
      <w:r>
        <w:rPr>
          <w:rFonts w:ascii="Sylfaen" w:hAnsi="Sylfaen"/>
          <w:color w:val="222222"/>
          <w:szCs w:val="22"/>
          <w:lang w:val="ka-GE" w:eastAsia="en-US"/>
        </w:rPr>
        <w:t xml:space="preserve"> </w:t>
      </w:r>
      <w:r w:rsidRPr="00581176">
        <w:rPr>
          <w:rFonts w:ascii="Sylfaen" w:hAnsi="Sylfaen" w:cs="Sylfaen"/>
          <w:color w:val="222222"/>
          <w:szCs w:val="22"/>
          <w:lang w:val="ka-GE" w:eastAsia="en-US"/>
        </w:rPr>
        <w:t>მეტად</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ათვისებულ</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უკვე</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დეგრადირებულ</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ტყის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მეორეული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ტყე</w:t>
      </w:r>
      <w:r w:rsidRPr="00581176">
        <w:rPr>
          <w:rFonts w:ascii="pg-1ffe" w:hAnsi="pg-1ffe"/>
          <w:color w:val="222222"/>
          <w:szCs w:val="22"/>
          <w:lang w:val="ka-GE" w:eastAsia="en-US"/>
        </w:rPr>
        <w:t>-</w:t>
      </w:r>
      <w:r w:rsidRPr="00581176">
        <w:rPr>
          <w:rFonts w:ascii="Sylfaen" w:hAnsi="Sylfaen" w:cs="Sylfaen"/>
          <w:color w:val="222222"/>
          <w:szCs w:val="22"/>
          <w:lang w:val="ka-GE" w:eastAsia="en-US"/>
        </w:rPr>
        <w:t>ველის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გავრცელების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არეალს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შეიძლება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ითქვას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რომ</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კონსერვაციული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ღირებულების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მცენარეთა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სახეობები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Pr>
          <w:rFonts w:ascii="Sylfaen" w:hAnsi="Sylfaen"/>
          <w:color w:val="222222"/>
          <w:szCs w:val="22"/>
          <w:lang w:val="ka-GE" w:eastAsia="en-US"/>
        </w:rPr>
        <w:t xml:space="preserve"> </w:t>
      </w:r>
      <w:r w:rsidRPr="00581176">
        <w:rPr>
          <w:rFonts w:ascii="Sylfaen" w:hAnsi="Sylfaen" w:cs="Sylfaen"/>
          <w:color w:val="222222"/>
          <w:szCs w:val="22"/>
          <w:lang w:val="ka-GE" w:eastAsia="en-US"/>
        </w:rPr>
        <w:t>თანასაზოგადოებები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არ</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არსებობს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ზონა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წარმოდგენილია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დასარევლიანებული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დეგრადირებული</w:t>
      </w:r>
      <w:r w:rsidRPr="00581176">
        <w:rPr>
          <w:rFonts w:ascii="pg-1ffe" w:hAnsi="pg-1ffe"/>
          <w:color w:val="222222"/>
          <w:szCs w:val="22"/>
          <w:lang w:val="ka-GE" w:eastAsia="en-US"/>
        </w:rPr>
        <w:t xml:space="preserve"> </w:t>
      </w:r>
      <w:r>
        <w:rPr>
          <w:rFonts w:ascii="Sylfaen" w:hAnsi="Sylfaen"/>
          <w:color w:val="222222"/>
          <w:szCs w:val="22"/>
          <w:lang w:val="ka-GE" w:eastAsia="en-US"/>
        </w:rPr>
        <w:t xml:space="preserve"> </w:t>
      </w:r>
      <w:r w:rsidRPr="00581176">
        <w:rPr>
          <w:rFonts w:ascii="Sylfaen" w:hAnsi="Sylfaen" w:cs="Sylfaen"/>
          <w:color w:val="222222"/>
          <w:szCs w:val="22"/>
          <w:lang w:val="ka-GE" w:eastAsia="en-US"/>
        </w:rPr>
        <w:t>საძოვრებით</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მეორადი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დაბალი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წარმად</w:t>
      </w:r>
      <w:r w:rsidRPr="00581176">
        <w:rPr>
          <w:rFonts w:ascii="pg-1ff9" w:hAnsi="pg-1ff9"/>
          <w:color w:val="222222"/>
          <w:szCs w:val="22"/>
          <w:lang w:val="ka-GE" w:eastAsia="en-US"/>
        </w:rPr>
        <w:t xml:space="preserve"> </w:t>
      </w:r>
      <w:r w:rsidRPr="00581176">
        <w:rPr>
          <w:rFonts w:ascii="Sylfaen" w:hAnsi="Sylfaen" w:cs="Sylfaen"/>
          <w:color w:val="222222"/>
          <w:szCs w:val="22"/>
          <w:lang w:val="ka-GE" w:eastAsia="en-US"/>
        </w:rPr>
        <w:t>ობის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ტყის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მონაკვეთებით</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მეორეული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ველებითა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რუდერალური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მცენარეულობით</w:t>
      </w:r>
      <w:r>
        <w:rPr>
          <w:rFonts w:ascii="Sylfaen" w:hAnsi="Sylfaen" w:cs="Sylfaen"/>
          <w:color w:val="222222"/>
          <w:szCs w:val="22"/>
          <w:lang w:val="ka-GE" w:eastAsia="en-US"/>
        </w:rPr>
        <w:t>.</w:t>
      </w:r>
    </w:p>
    <w:p w14:paraId="4B60ADC3" w14:textId="52A6A726" w:rsidR="00C92929" w:rsidRPr="00C92929" w:rsidRDefault="00C92929" w:rsidP="00E12C77">
      <w:pPr>
        <w:autoSpaceDE w:val="0"/>
        <w:autoSpaceDN w:val="0"/>
        <w:adjustRightInd w:val="0"/>
        <w:spacing w:before="120" w:after="120"/>
        <w:rPr>
          <w:rFonts w:ascii="Sylfaen" w:hAnsi="Sylfaen"/>
          <w:lang w:val="ka-GE"/>
        </w:rPr>
      </w:pPr>
      <w:r w:rsidRPr="00C92929">
        <w:rPr>
          <w:rFonts w:ascii="Sylfaen" w:hAnsi="Sylfaen"/>
          <w:lang w:val="ka-GE"/>
        </w:rPr>
        <w:t>როგორც ბერნის კონვენციის საკონტრაქტო მხარემ, საქართველომ განსაზღვრა რიგი საკანდიდატო არეალებისა, რომლებიც გვერდზე უნდა გადაიდოს ეროვნული "</w:t>
      </w:r>
      <w:r>
        <w:rPr>
          <w:rFonts w:ascii="Sylfaen" w:hAnsi="Sylfaen"/>
          <w:lang w:val="ka-GE"/>
        </w:rPr>
        <w:t>ზურმუხტის ქსელი</w:t>
      </w:r>
      <w:r w:rsidRPr="00C92929">
        <w:rPr>
          <w:rFonts w:ascii="Sylfaen" w:hAnsi="Sylfaen"/>
          <w:lang w:val="ka-GE"/>
        </w:rPr>
        <w:t>ს" ფარგლებში, - ეკოლოგიური ქსელისა, რომელიც შედგება განსაკუთრებული კონსერვაციის ინეტერესის  არეალებისაგან (</w:t>
      </w:r>
      <w:r>
        <w:rPr>
          <w:rFonts w:ascii="Sylfaen" w:hAnsi="Sylfaen"/>
          <w:lang w:val="en-US"/>
        </w:rPr>
        <w:t>ASCIs</w:t>
      </w:r>
      <w:r w:rsidRPr="00C92929">
        <w:rPr>
          <w:rFonts w:ascii="Sylfaen" w:hAnsi="Sylfaen"/>
          <w:lang w:val="ka-GE"/>
        </w:rPr>
        <w:t>). ეს სპეციალური კონსერვაციის ინეტერესის  არეალები (</w:t>
      </w:r>
      <w:r w:rsidR="00D31A19">
        <w:rPr>
          <w:rFonts w:ascii="Sylfaen" w:hAnsi="Sylfaen"/>
          <w:lang w:val="en-US"/>
        </w:rPr>
        <w:t>ASCIs</w:t>
      </w:r>
      <w:r w:rsidRPr="00C92929">
        <w:rPr>
          <w:rFonts w:ascii="Sylfaen" w:hAnsi="Sylfaen"/>
          <w:lang w:val="ka-GE"/>
        </w:rPr>
        <w:t>) წარმოადგენენ არეალებს, რომელთაც გააჩნიათ ნიშანდობლივი ღირებულება, რომელსაც გააჩნია პოტენციალი ხელი შეუწყოს ან აღადგინოს სახეობები და ჰაბიტატები  კონსერვაციის ხელსაყრელ სტატუსამდე, განსაკუთრებით ქვემოთ ჩამოთვლილისთვის:</w:t>
      </w:r>
    </w:p>
    <w:p w14:paraId="56F6DF8A" w14:textId="16EAD1F2" w:rsidR="00C92929" w:rsidRPr="00C92929" w:rsidRDefault="00C92929" w:rsidP="00821E4D">
      <w:pPr>
        <w:pStyle w:val="BodyText"/>
        <w:numPr>
          <w:ilvl w:val="0"/>
          <w:numId w:val="49"/>
        </w:numPr>
        <w:spacing w:before="120" w:after="120"/>
        <w:ind w:left="180" w:hanging="180"/>
        <w:jc w:val="both"/>
        <w:rPr>
          <w:rFonts w:ascii="Sylfaen" w:hAnsi="Sylfaen"/>
          <w:sz w:val="22"/>
          <w:lang w:val="ka-GE"/>
        </w:rPr>
      </w:pPr>
      <w:r w:rsidRPr="00C92929">
        <w:rPr>
          <w:rFonts w:ascii="Sylfaen" w:hAnsi="Sylfaen"/>
          <w:sz w:val="22"/>
          <w:lang w:val="ka-GE"/>
        </w:rPr>
        <w:t>საფრთხის ქვეშ მყოფი, ენდემური და მიგრაციული სახეობები, მკაცრად დაცული ბერნის კონვენციით;</w:t>
      </w:r>
    </w:p>
    <w:p w14:paraId="57EA98D5" w14:textId="4984E13E" w:rsidR="00C92929" w:rsidRPr="00C92929" w:rsidRDefault="00C92929" w:rsidP="00821E4D">
      <w:pPr>
        <w:pStyle w:val="BodyText"/>
        <w:numPr>
          <w:ilvl w:val="0"/>
          <w:numId w:val="49"/>
        </w:numPr>
        <w:spacing w:before="120" w:after="120"/>
        <w:ind w:left="180" w:hanging="180"/>
        <w:jc w:val="both"/>
        <w:rPr>
          <w:rFonts w:ascii="Sylfaen" w:hAnsi="Sylfaen"/>
          <w:sz w:val="22"/>
          <w:lang w:val="ka-GE"/>
        </w:rPr>
      </w:pPr>
      <w:r w:rsidRPr="00C92929">
        <w:rPr>
          <w:rFonts w:ascii="Sylfaen" w:hAnsi="Sylfaen"/>
          <w:sz w:val="22"/>
          <w:lang w:val="ka-GE"/>
        </w:rPr>
        <w:t>საფრთხის ქვეშ მყოფი და სამაგალითო ჰაბიტატების სახეობები, აგრეთვე სხვადასხვა ჰაბიტატის სახეობების მოზაიკა;</w:t>
      </w:r>
    </w:p>
    <w:p w14:paraId="5DF60C34" w14:textId="6ED853FB" w:rsidR="00C92929" w:rsidRPr="00C92929" w:rsidRDefault="00C92929" w:rsidP="00821E4D">
      <w:pPr>
        <w:pStyle w:val="BodyText"/>
        <w:numPr>
          <w:ilvl w:val="0"/>
          <w:numId w:val="49"/>
        </w:numPr>
        <w:spacing w:before="120" w:after="120"/>
        <w:ind w:left="180" w:hanging="180"/>
        <w:jc w:val="both"/>
        <w:rPr>
          <w:rFonts w:ascii="Sylfaen" w:hAnsi="Sylfaen"/>
          <w:sz w:val="22"/>
          <w:lang w:val="ka-GE"/>
        </w:rPr>
      </w:pPr>
      <w:r w:rsidRPr="00C92929">
        <w:rPr>
          <w:rFonts w:ascii="Sylfaen" w:hAnsi="Sylfaen"/>
          <w:sz w:val="22"/>
          <w:lang w:val="ka-GE"/>
        </w:rPr>
        <w:t>მიგრირებადი სახეობები, რომლებიც ევროპის ქვეყნების საერთო მემკვიდრეობაა.</w:t>
      </w:r>
    </w:p>
    <w:p w14:paraId="63B56FF9" w14:textId="21EAE034" w:rsidR="00C92929" w:rsidRPr="00C92929" w:rsidRDefault="00C92929" w:rsidP="00E12C77">
      <w:pPr>
        <w:pStyle w:val="BodyText"/>
        <w:spacing w:before="120" w:after="120"/>
        <w:jc w:val="both"/>
        <w:rPr>
          <w:rFonts w:ascii="Sylfaen" w:hAnsi="Sylfaen"/>
          <w:sz w:val="22"/>
          <w:lang w:val="ka-GE"/>
        </w:rPr>
      </w:pPr>
      <w:r w:rsidRPr="00C92929">
        <w:rPr>
          <w:rFonts w:ascii="Sylfaen" w:hAnsi="Sylfaen"/>
          <w:sz w:val="22"/>
          <w:lang w:val="ka-GE"/>
        </w:rPr>
        <w:t>ბერნის კონვენციის მონაწილე ქვეყნების მონაწილეობით განსაზღვრული განსაკუთრებული კონსერვაციის ინეტერესის  არეალები (</w:t>
      </w:r>
      <w:r w:rsidR="00D31A19">
        <w:rPr>
          <w:rFonts w:ascii="Sylfaen" w:hAnsi="Sylfaen"/>
          <w:sz w:val="22"/>
          <w:lang w:val="en-US"/>
        </w:rPr>
        <w:t>ASCIs</w:t>
      </w:r>
      <w:r w:rsidRPr="00C92929">
        <w:rPr>
          <w:rFonts w:ascii="Sylfaen" w:hAnsi="Sylfaen"/>
          <w:sz w:val="22"/>
          <w:lang w:val="ka-GE"/>
        </w:rPr>
        <w:t>) წარმოადგენს ისეთ არეალებს, რომლებიც მეცნიერული შეფასებით აკმაყოფილებს სახეობებისა და ჰაბიტატების კონსერვაციის კრიტერიუმებს. ეს ის შემთხვევებია, როდესაც:</w:t>
      </w:r>
    </w:p>
    <w:p w14:paraId="7FB1D336" w14:textId="1820F9EA" w:rsidR="00C92929" w:rsidRPr="00C92929" w:rsidRDefault="00C92929" w:rsidP="00821E4D">
      <w:pPr>
        <w:pStyle w:val="BodyText"/>
        <w:numPr>
          <w:ilvl w:val="0"/>
          <w:numId w:val="49"/>
        </w:numPr>
        <w:spacing w:before="120" w:after="120"/>
        <w:ind w:left="270" w:hanging="270"/>
        <w:jc w:val="both"/>
        <w:rPr>
          <w:rFonts w:ascii="Sylfaen" w:hAnsi="Sylfaen"/>
          <w:sz w:val="22"/>
          <w:lang w:val="ka-GE"/>
        </w:rPr>
      </w:pPr>
      <w:r w:rsidRPr="00C92929">
        <w:rPr>
          <w:rFonts w:ascii="Sylfaen" w:hAnsi="Sylfaen"/>
          <w:sz w:val="22"/>
          <w:lang w:val="ka-GE"/>
        </w:rPr>
        <w:lastRenderedPageBreak/>
        <w:t xml:space="preserve">სახეობები და ჰაბიტატები საკმაოდ კარგადაა წარმოდგენილი გავრცელების მასშტაბის, მრავალფეროვნების და კონსერვაციის განსაკუთრებული საჭიროებების მიხედვით ამ ტერიტორიებზე; </w:t>
      </w:r>
    </w:p>
    <w:p w14:paraId="5AD2CB9F" w14:textId="77777777" w:rsidR="00465E25" w:rsidRDefault="00C92929" w:rsidP="00821E4D">
      <w:pPr>
        <w:pStyle w:val="BodyText"/>
        <w:numPr>
          <w:ilvl w:val="0"/>
          <w:numId w:val="49"/>
        </w:numPr>
        <w:spacing w:before="120" w:after="120" w:line="240" w:lineRule="auto"/>
        <w:ind w:left="270" w:hanging="270"/>
        <w:jc w:val="both"/>
        <w:rPr>
          <w:rFonts w:ascii="Sylfaen" w:hAnsi="Sylfaen"/>
          <w:sz w:val="22"/>
          <w:lang w:val="ka-GE"/>
        </w:rPr>
      </w:pPr>
      <w:r w:rsidRPr="00C92929">
        <w:rPr>
          <w:rFonts w:ascii="Sylfaen" w:hAnsi="Sylfaen"/>
          <w:sz w:val="22"/>
          <w:lang w:val="ka-GE"/>
        </w:rPr>
        <w:t>ეს ტერიტორიები მოიცავს ჰაბიტატის ტერიტორიისა და სახეობების პოპულაციის მნიშვნელოვან პროპორციებს საერთო ეროვნულ რესურსებთან შედარებით.</w:t>
      </w:r>
    </w:p>
    <w:p w14:paraId="13D97A4E" w14:textId="6F80FA8D" w:rsidR="00C92929" w:rsidRPr="009852B4" w:rsidRDefault="00465E25" w:rsidP="00E12C77">
      <w:pPr>
        <w:pStyle w:val="BodyText"/>
        <w:spacing w:before="120" w:after="120" w:line="240" w:lineRule="auto"/>
        <w:jc w:val="both"/>
        <w:rPr>
          <w:rFonts w:ascii="Sylfaen" w:hAnsi="Sylfaen"/>
          <w:sz w:val="22"/>
          <w:lang w:val="ka-GE"/>
        </w:rPr>
      </w:pPr>
      <w:r w:rsidRPr="00465E25">
        <w:rPr>
          <w:rFonts w:ascii="Sylfaen" w:hAnsi="Sylfaen"/>
          <w:sz w:val="22"/>
          <w:lang w:val="ka-GE" w:eastAsia="de-DE"/>
        </w:rPr>
        <w:t>საპროექტო ტერიტორია სიახლოვედ გადის და არ კვეთავს  "ევროპის ველური ბუნების და ბუნებრივი ჰაბიტატების დაცვის შესახებ" (ბერნის) კონვენციის შესაბამისად შექმნილ "ზურმუხტის ქსელის" შეთავაზებულ საიტს (გომბორი -  GE0000027).</w:t>
      </w:r>
      <w:r>
        <w:rPr>
          <w:rFonts w:ascii="Sylfaen" w:hAnsi="Sylfaen"/>
          <w:sz w:val="22"/>
          <w:lang w:val="ka-GE" w:eastAsia="de-DE"/>
        </w:rPr>
        <w:t xml:space="preserve"> საავტომობილო გზების დეპარტამენტის მონაცემებით </w:t>
      </w:r>
      <w:r w:rsidR="006D3BB5">
        <w:rPr>
          <w:rFonts w:ascii="Sylfaen" w:hAnsi="Sylfaen"/>
          <w:lang w:val="ka-GE"/>
        </w:rPr>
        <w:t>გურჯაანის (ჩუმლაყი)</w:t>
      </w:r>
      <w:r w:rsidR="006D3BB5">
        <w:rPr>
          <w:rFonts w:ascii="Sylfaen" w:hAnsi="Sylfaen"/>
          <w:lang w:val="en-US"/>
        </w:rPr>
        <w:t>-</w:t>
      </w:r>
      <w:r w:rsidR="006D3BB5">
        <w:rPr>
          <w:rFonts w:ascii="Sylfaen" w:hAnsi="Sylfaen"/>
          <w:lang w:val="ka-GE"/>
        </w:rPr>
        <w:t xml:space="preserve">თელავის </w:t>
      </w:r>
      <w:r>
        <w:rPr>
          <w:rFonts w:ascii="Sylfaen" w:hAnsi="Sylfaen"/>
          <w:sz w:val="22"/>
          <w:lang w:val="ka-GE" w:eastAsia="de-DE"/>
        </w:rPr>
        <w:t>საპროექტოს გზა ქალაქ თელავთან არის სიახლოვეს დაახლოები</w:t>
      </w:r>
      <w:r w:rsidR="007F2C2A">
        <w:rPr>
          <w:rFonts w:ascii="Sylfaen" w:hAnsi="Sylfaen"/>
          <w:sz w:val="22"/>
          <w:lang w:val="ka-GE" w:eastAsia="de-DE"/>
        </w:rPr>
        <w:t>თ</w:t>
      </w:r>
      <w:r>
        <w:rPr>
          <w:rFonts w:ascii="Sylfaen" w:hAnsi="Sylfaen"/>
          <w:sz w:val="22"/>
          <w:lang w:val="ka-GE" w:eastAsia="de-DE"/>
        </w:rPr>
        <w:t xml:space="preserve"> 10-15მ დაშორებით აღნიშნულ საკანდიდატო ტერიტორიასთან და </w:t>
      </w:r>
      <w:r w:rsidR="001119FE">
        <w:rPr>
          <w:rFonts w:ascii="Sylfaen" w:hAnsi="Sylfaen"/>
          <w:sz w:val="22"/>
          <w:lang w:val="ka-GE" w:eastAsia="de-DE"/>
        </w:rPr>
        <w:t xml:space="preserve">შემდგომ მანძილი </w:t>
      </w:r>
      <w:r>
        <w:rPr>
          <w:rFonts w:ascii="Sylfaen" w:hAnsi="Sylfaen"/>
          <w:sz w:val="22"/>
          <w:lang w:val="ka-GE" w:eastAsia="de-DE"/>
        </w:rPr>
        <w:t>შორდება</w:t>
      </w:r>
      <w:r w:rsidR="007F2C2A">
        <w:rPr>
          <w:rFonts w:ascii="Sylfaen" w:hAnsi="Sylfaen"/>
          <w:sz w:val="22"/>
          <w:lang w:val="ka-GE" w:eastAsia="de-DE"/>
        </w:rPr>
        <w:t xml:space="preserve"> (იხ. დანართი 7 პროექტის ზემოქმედების შეფასება „ზურმუხტის ქსელი“-ს კანდიდატ უბანზე: „გომბორი“ (კოდი:</w:t>
      </w:r>
      <w:r w:rsidR="0038413A">
        <w:rPr>
          <w:rFonts w:ascii="Sylfaen" w:hAnsi="Sylfaen"/>
          <w:sz w:val="22"/>
          <w:lang w:val="en-US" w:eastAsia="de-DE"/>
        </w:rPr>
        <w:t xml:space="preserve"> </w:t>
      </w:r>
      <w:r w:rsidR="007F2C2A" w:rsidRPr="00465E25">
        <w:rPr>
          <w:rFonts w:ascii="Sylfaen" w:hAnsi="Sylfaen"/>
          <w:sz w:val="22"/>
          <w:lang w:val="ka-GE" w:eastAsia="de-DE"/>
        </w:rPr>
        <w:t>GE0000027</w:t>
      </w:r>
      <w:r w:rsidR="007F2C2A">
        <w:rPr>
          <w:rFonts w:ascii="Sylfaen" w:hAnsi="Sylfaen"/>
          <w:sz w:val="22"/>
          <w:lang w:val="ka-GE" w:eastAsia="de-DE"/>
        </w:rPr>
        <w:t>)</w:t>
      </w:r>
      <w:r>
        <w:rPr>
          <w:rFonts w:ascii="Sylfaen" w:hAnsi="Sylfaen"/>
          <w:sz w:val="22"/>
          <w:lang w:val="ka-GE" w:eastAsia="de-DE"/>
        </w:rPr>
        <w:t xml:space="preserve">. </w:t>
      </w:r>
      <w:r>
        <w:rPr>
          <w:rFonts w:ascii="TimesNewRomanPSMT" w:eastAsiaTheme="minorHAnsi" w:hAnsi="TimesNewRomanPSMT" w:cs="TimesNewRomanPSMT"/>
          <w:lang w:val="en-US" w:eastAsia="en-US"/>
        </w:rPr>
        <w:t xml:space="preserve"> </w:t>
      </w:r>
      <w:r>
        <w:rPr>
          <w:rFonts w:ascii="Sylfaen" w:eastAsiaTheme="minorHAnsi" w:hAnsi="Sylfaen" w:cs="TimesNewRomanPSMT"/>
          <w:lang w:val="ka-GE" w:eastAsia="en-US"/>
        </w:rPr>
        <w:t xml:space="preserve"> </w:t>
      </w:r>
    </w:p>
    <w:p w14:paraId="484BF6F1" w14:textId="75FA1CC2" w:rsidR="00890493" w:rsidRPr="009852B4" w:rsidRDefault="00890493" w:rsidP="008C0A3D">
      <w:pPr>
        <w:pStyle w:val="Heading2"/>
        <w:spacing w:before="120" w:after="120"/>
      </w:pPr>
      <w:bookmarkStart w:id="204" w:name="_Toc471745450"/>
      <w:bookmarkStart w:id="205" w:name="_Toc471745795"/>
      <w:bookmarkStart w:id="206" w:name="_Toc473478789"/>
      <w:bookmarkStart w:id="207" w:name="_Toc496611085"/>
      <w:bookmarkStart w:id="208" w:name="_Toc464212174"/>
      <w:bookmarkStart w:id="209" w:name="_Toc1581552"/>
      <w:r w:rsidRPr="009852B4">
        <w:t>6.</w:t>
      </w:r>
      <w:r w:rsidR="002B29EF">
        <w:rPr>
          <w:rFonts w:ascii="Sylfaen" w:hAnsi="Sylfaen"/>
          <w:lang w:val="ka-GE"/>
        </w:rPr>
        <w:t>6</w:t>
      </w:r>
      <w:r w:rsidRPr="009852B4">
        <w:t xml:space="preserve"> </w:t>
      </w:r>
      <w:bookmarkEnd w:id="204"/>
      <w:bookmarkEnd w:id="205"/>
      <w:bookmarkEnd w:id="206"/>
      <w:bookmarkEnd w:id="207"/>
      <w:r w:rsidR="00C67F3B" w:rsidRPr="009852B4">
        <w:rPr>
          <w:rFonts w:ascii="Sylfaen" w:hAnsi="Sylfaen" w:cs="Sylfaen"/>
        </w:rPr>
        <w:t>სოციო</w:t>
      </w:r>
      <w:r w:rsidR="00C67F3B" w:rsidRPr="009852B4">
        <w:t>-</w:t>
      </w:r>
      <w:r w:rsidR="00C67F3B" w:rsidRPr="009852B4">
        <w:rPr>
          <w:rFonts w:ascii="Sylfaen" w:hAnsi="Sylfaen" w:cs="Sylfaen"/>
        </w:rPr>
        <w:t>ეკონომიკური</w:t>
      </w:r>
      <w:r w:rsidR="00C67F3B" w:rsidRPr="009852B4">
        <w:t xml:space="preserve"> </w:t>
      </w:r>
      <w:r w:rsidR="00C67F3B" w:rsidRPr="009852B4">
        <w:rPr>
          <w:rFonts w:ascii="Sylfaen" w:hAnsi="Sylfaen" w:cs="Sylfaen"/>
        </w:rPr>
        <w:t>სიტუაცია</w:t>
      </w:r>
      <w:bookmarkEnd w:id="209"/>
    </w:p>
    <w:p w14:paraId="254D5D09" w14:textId="6222C9BB" w:rsidR="00890493" w:rsidRPr="009852B4" w:rsidRDefault="001A3FF7" w:rsidP="008C0A3D">
      <w:pPr>
        <w:pStyle w:val="EIAH3"/>
        <w:spacing w:before="120" w:after="120"/>
      </w:pPr>
      <w:bookmarkStart w:id="210" w:name="_Toc1581553"/>
      <w:bookmarkEnd w:id="208"/>
      <w:r w:rsidRPr="009852B4">
        <w:t>6.</w:t>
      </w:r>
      <w:r w:rsidR="002B29EF">
        <w:rPr>
          <w:rFonts w:ascii="Sylfaen" w:hAnsi="Sylfaen"/>
          <w:lang w:val="ka-GE"/>
        </w:rPr>
        <w:t>6</w:t>
      </w:r>
      <w:r w:rsidRPr="009852B4">
        <w:t xml:space="preserve">.1 </w:t>
      </w:r>
      <w:r w:rsidR="00722EAC" w:rsidRPr="009852B4">
        <w:rPr>
          <w:rFonts w:ascii="Sylfaen" w:hAnsi="Sylfaen" w:cs="Sylfaen"/>
        </w:rPr>
        <w:t>ზოგადი</w:t>
      </w:r>
      <w:bookmarkEnd w:id="210"/>
    </w:p>
    <w:p w14:paraId="23F6E1D0" w14:textId="77777777" w:rsidR="000901CF" w:rsidRPr="00F80CCF" w:rsidRDefault="000901CF" w:rsidP="008C0A3D">
      <w:pPr>
        <w:spacing w:before="120" w:after="120"/>
        <w:rPr>
          <w:rFonts w:ascii="Sylfaen" w:hAnsi="Sylfaen"/>
          <w:szCs w:val="22"/>
          <w:lang w:val="ka-GE"/>
        </w:rPr>
      </w:pPr>
      <w:r w:rsidRPr="00F80CCF">
        <w:rPr>
          <w:rFonts w:ascii="Sylfaen" w:hAnsi="Sylfaen"/>
          <w:szCs w:val="22"/>
          <w:lang w:val="ka-GE"/>
        </w:rPr>
        <w:t xml:space="preserve">თელავის მუნიციპალიტეტი ადმინისტრაციულ-ტერიტორიული ერთეულია აღმოსავლეთ საქართველოში, კახეთის მხარეში. მისი ფართობია 1095 კვ. კმ. მას ჩრდილოეთით და დასავლეთით ესაზღვრება ახმეტის მუნიციპალიტეტი (ფართობი 2208 კვ.კმ.), ჩრდილო-აღმოსავლეთით დაღესტნის რესპუბლიკა, აღმოსავლეთით ყვარლის მუნიციპალიტეტი (ფართობი 1000 კვ.კმ.), სამხრეთ-აღმოსავლეთით გურჯაანის მუნიციპალიტეტი (ფართობი 846 კვ.კმ.) და სამხრეთ-დასავლეთით საგარეჯოს მუნიციპალიტეტი (ფართობი 1491 კვ.კმ.). </w:t>
      </w:r>
    </w:p>
    <w:p w14:paraId="51419D3D" w14:textId="77777777" w:rsidR="000901CF" w:rsidRPr="00F80CCF" w:rsidRDefault="000901CF" w:rsidP="000901CF">
      <w:pPr>
        <w:spacing w:before="200" w:after="200"/>
        <w:rPr>
          <w:rFonts w:ascii="Sylfaen" w:hAnsi="Sylfaen"/>
          <w:szCs w:val="22"/>
          <w:lang w:val="ka-GE"/>
        </w:rPr>
      </w:pPr>
      <w:r w:rsidRPr="00F80CCF">
        <w:rPr>
          <w:rFonts w:ascii="Sylfaen" w:hAnsi="Sylfaen"/>
          <w:szCs w:val="22"/>
          <w:lang w:val="ka-GE"/>
        </w:rPr>
        <w:t xml:space="preserve">1917 წლამდე თელავის მუნიციპალიტეტის ტერიტორია შედიოდა თბილისის გუბერნიის თელავის მაზრაში, 1930 წლიდან კი ჩამოყალიბდა ცალკე რაიონად. მას 2006 წლიდან ეწოდა „მუნიციპალიტეტი“, ხოლო 2014 წლიდან მუნიციპალიტეტს გამოეყო ქალაქი „თელავი“. იგი კახეთის მხარის ადმინისტრაციულ ცენტრს წარმოადგენს. მდებარეობს გომბორის ქედის ჩრდილოეთ-აღმოსავლეთი კალთის ძირას და ალაზნის ვაკეზე - ზღვის დონიდან 550-800 მ, თბილისიდან 158 კმ. მანძილზე. ქალაქად გამოცხადდა 1801 წელს. </w:t>
      </w:r>
    </w:p>
    <w:p w14:paraId="5D39FB3C" w14:textId="77777777" w:rsidR="000901CF" w:rsidRPr="00F80CCF" w:rsidRDefault="000901CF" w:rsidP="000901CF">
      <w:pPr>
        <w:spacing w:before="200" w:after="200"/>
        <w:rPr>
          <w:rFonts w:ascii="Sylfaen" w:hAnsi="Sylfaen"/>
          <w:szCs w:val="22"/>
          <w:lang w:val="ka-GE"/>
        </w:rPr>
      </w:pPr>
      <w:r w:rsidRPr="00F80CCF">
        <w:rPr>
          <w:rFonts w:ascii="Sylfaen" w:hAnsi="Sylfaen"/>
          <w:szCs w:val="22"/>
          <w:lang w:val="ka-GE"/>
        </w:rPr>
        <w:t>თელავის მუნიციპალიტეტში 30 დასახლებული პუნქტია, მათ შორის სოფლები: ლაფანყური, ნაფარეული, სანიორე, ფშაველი, ართანა, ლეჩური, ლალისყური, თეთრი წყლები, პანტიანი, იყალთო, ვარდისუბანი, რუისპირი, ყარაჯალა, გულგულა, კურდღელაური, შალაური, ნასამხრალი, კისისხევი, კონდოლი, წინანდალი, ქვემო ხოდაშენი, ბუშეტი, ვანთა, აკურა.</w:t>
      </w:r>
    </w:p>
    <w:p w14:paraId="146810FB" w14:textId="77777777" w:rsidR="000901CF" w:rsidRPr="00F80CCF" w:rsidRDefault="000901CF" w:rsidP="000901CF">
      <w:pPr>
        <w:spacing w:before="200" w:after="200"/>
        <w:rPr>
          <w:rFonts w:ascii="Sylfaen" w:hAnsi="Sylfaen"/>
          <w:szCs w:val="22"/>
          <w:lang w:val="ka-GE"/>
        </w:rPr>
      </w:pPr>
      <w:r w:rsidRPr="00F80CCF">
        <w:rPr>
          <w:rFonts w:ascii="Sylfaen" w:hAnsi="Sylfaen"/>
          <w:szCs w:val="22"/>
          <w:lang w:val="ka-GE"/>
        </w:rPr>
        <w:t>საპროექტო საავტომობილო მაგისტრალის სიახლოვეს განლაგებულია თელავის მუნიციპალიტეტში შემავალი სოფლები: კონდოლი, აკურა.</w:t>
      </w:r>
    </w:p>
    <w:p w14:paraId="77601B09" w14:textId="77777777" w:rsidR="000901CF" w:rsidRPr="00F80CCF" w:rsidRDefault="000901CF" w:rsidP="000901CF">
      <w:pPr>
        <w:spacing w:before="200" w:after="200"/>
        <w:rPr>
          <w:rFonts w:ascii="Sylfaen" w:hAnsi="Sylfaen"/>
          <w:szCs w:val="22"/>
          <w:lang w:val="ka-GE"/>
        </w:rPr>
      </w:pPr>
      <w:r w:rsidRPr="00F80CCF">
        <w:rPr>
          <w:rFonts w:ascii="Sylfaen" w:hAnsi="Sylfaen"/>
          <w:szCs w:val="22"/>
          <w:lang w:val="ka-GE"/>
        </w:rPr>
        <w:t xml:space="preserve">სოფელი კონდოლი მდებარეობს ალაზნის ვაკეზე მდინარე „კისისხევის“ მარცხენა ნაპირზე, ზღვის დონიდან 460 მეტრზე, თელავიდან 6 კილომეტრში.  </w:t>
      </w:r>
    </w:p>
    <w:p w14:paraId="3CFA2EC4" w14:textId="77777777" w:rsidR="000901CF" w:rsidRPr="00F80CCF" w:rsidRDefault="000901CF" w:rsidP="000901CF">
      <w:pPr>
        <w:spacing w:before="200" w:after="200"/>
        <w:rPr>
          <w:rFonts w:ascii="Sylfaen" w:hAnsi="Sylfaen"/>
          <w:szCs w:val="22"/>
          <w:lang w:val="ka-GE"/>
        </w:rPr>
      </w:pPr>
      <w:r w:rsidRPr="00F80CCF">
        <w:rPr>
          <w:rFonts w:ascii="Sylfaen" w:hAnsi="Sylfaen"/>
          <w:szCs w:val="22"/>
          <w:lang w:val="ka-GE"/>
        </w:rPr>
        <w:t>სოფელი აკურა მდებარეობს გომბორის ქედის აღმოსავლეთ ფერდობის ძირში, მდინარე ვანთისხევის ნაპირზე 12 კმ. თელავიდან, და 60 კმ-ში თბილისიდან.</w:t>
      </w:r>
    </w:p>
    <w:p w14:paraId="64E0F0D7" w14:textId="77777777" w:rsidR="000901CF" w:rsidRPr="00F80CCF" w:rsidRDefault="000901CF" w:rsidP="000901CF">
      <w:pPr>
        <w:spacing w:before="200" w:after="200"/>
        <w:rPr>
          <w:rFonts w:ascii="Sylfaen" w:hAnsi="Sylfaen"/>
          <w:szCs w:val="22"/>
          <w:lang w:val="ka-GE"/>
        </w:rPr>
      </w:pPr>
      <w:r w:rsidRPr="00F80CCF">
        <w:rPr>
          <w:rFonts w:ascii="Sylfaen" w:hAnsi="Sylfaen"/>
          <w:szCs w:val="22"/>
          <w:lang w:val="ka-GE"/>
        </w:rPr>
        <w:t xml:space="preserve">გურჯაანი არის ადმინისტრაციულ-ტერიტორიული ერთეული  კახეთის მხარეში. გურჯაანის მუნიციპალიტეტის ტერიტორია 1917 წლამდე შედიოდა თბილისის გუბერნიის თელავის მაზრაში, 1921 წლიდან საქართველოს ადმინისტრაციულ-ტერიტორიული დაყოფით იგი შედიოდა თელავის მაზრაში, </w:t>
      </w:r>
      <w:r w:rsidRPr="00F80CCF">
        <w:rPr>
          <w:rFonts w:ascii="Sylfaen" w:hAnsi="Sylfaen"/>
          <w:szCs w:val="22"/>
          <w:lang w:val="ka-GE"/>
        </w:rPr>
        <w:lastRenderedPageBreak/>
        <w:t>1930 წლიდან კახეთის ოლქში წარმოდგენდა დამოუკიდებელ რაიონს, შემდეგ ცალკე რაიონად ჩამოყალიბდა და ამჟამად მუნიციპალიტეტს წარმოადგენს.</w:t>
      </w:r>
    </w:p>
    <w:p w14:paraId="24844791" w14:textId="77777777" w:rsidR="000901CF" w:rsidRPr="00F80CCF" w:rsidRDefault="000901CF" w:rsidP="000901CF">
      <w:pPr>
        <w:spacing w:before="200" w:after="200"/>
        <w:rPr>
          <w:rFonts w:ascii="Sylfaen" w:hAnsi="Sylfaen"/>
          <w:szCs w:val="22"/>
          <w:lang w:val="ka-GE"/>
        </w:rPr>
      </w:pPr>
      <w:r w:rsidRPr="00F80CCF">
        <w:rPr>
          <w:rFonts w:ascii="Sylfaen" w:hAnsi="Sylfaen"/>
          <w:szCs w:val="22"/>
          <w:lang w:val="ka-GE"/>
        </w:rPr>
        <w:t>გურჯაანის მუნიციპალიტეტს საზღვრავს ხუთი ადმინისტრაციული მუნიციპალიტეტი: დასავლეთით - საგარეჯოს მუნიციპალიტეტი, სამხრეთ-აღმოსავლეთით - სიღნაღის მუნიციპალიტეტი, ჩრდილო-დასავლეთით - თელავის მუნიციპალიტეტი, ჩრდილოეთით - ყვარლის მუნიციპალიტეტი, ხოლო აღმოსავლეთით - ლაგოდეხის მუნიციპალიტეტი. კახეთის მხარის ფარგლებში გურჯაანის მუნიციპალიტეტი ყველაზე პატარა ადმინისტრაციულ-ტერიტორიული ერთეულია. მისი ფართობია 846,0 კმ². სასოფლო-სამეურნეო სავარგულებს 39 430 ჰა უკავია, ხოლო ტყით დაფარული საერთო ფართი შეადგენს 27 730 ჰა-ს. ადმინისტრაციული ცენტრია ქალაქი გურჯაანი.</w:t>
      </w:r>
    </w:p>
    <w:p w14:paraId="01BA48E4" w14:textId="77777777" w:rsidR="000901CF" w:rsidRPr="00F80CCF" w:rsidRDefault="000901CF" w:rsidP="000901CF">
      <w:pPr>
        <w:spacing w:before="200" w:after="200"/>
        <w:rPr>
          <w:rFonts w:ascii="Sylfaen" w:hAnsi="Sylfaen"/>
          <w:szCs w:val="22"/>
          <w:lang w:val="ka-GE"/>
        </w:rPr>
      </w:pPr>
      <w:r w:rsidRPr="00F80CCF">
        <w:rPr>
          <w:rFonts w:ascii="Sylfaen" w:hAnsi="Sylfaen"/>
          <w:szCs w:val="22"/>
          <w:lang w:val="ka-GE"/>
        </w:rPr>
        <w:t>საპროექტო საავომობილო მაგისტრალის სიახლოვეს განლაგებულია გურჯაანის მუნიციპალიტეტში შემავალი სოფლები: ჩუმლაყი (მდებარეობს გომბორის ქედის ჩრდილოეთ-აღმოსავლეთ მთისწინეთზე. ზღვის დონიდან 420 მეტრი, გურჯაანიდან 4 კილომეტრი) და ველისციხე (მდებარეობს ალაზნის ვაკეზე, მდინარე ჭერმისხევის ნაპირას, ზღვის დონიდან 380 მეტრზე, გურჯაანიდან 11 კილომეტრში).</w:t>
      </w:r>
    </w:p>
    <w:p w14:paraId="628B03AE" w14:textId="299D5F45" w:rsidR="00890493" w:rsidRPr="009852B4" w:rsidRDefault="001A3FF7" w:rsidP="00E12C77">
      <w:pPr>
        <w:pStyle w:val="EIAH3"/>
        <w:spacing w:before="120" w:after="120"/>
      </w:pPr>
      <w:bookmarkStart w:id="211" w:name="_Toc1581554"/>
      <w:r w:rsidRPr="009852B4">
        <w:t>6.</w:t>
      </w:r>
      <w:r w:rsidR="002B29EF">
        <w:rPr>
          <w:rFonts w:ascii="Sylfaen" w:hAnsi="Sylfaen"/>
          <w:lang w:val="ka-GE"/>
        </w:rPr>
        <w:t>6</w:t>
      </w:r>
      <w:r w:rsidRPr="009852B4">
        <w:t xml:space="preserve">.2 </w:t>
      </w:r>
      <w:r w:rsidR="00C67F3B" w:rsidRPr="009852B4">
        <w:rPr>
          <w:rFonts w:ascii="Sylfaen" w:hAnsi="Sylfaen" w:cs="Sylfaen"/>
        </w:rPr>
        <w:t>მოსახლეობა</w:t>
      </w:r>
      <w:bookmarkEnd w:id="211"/>
    </w:p>
    <w:p w14:paraId="0A19148A" w14:textId="77777777" w:rsidR="000901CF" w:rsidRPr="00F80CCF" w:rsidRDefault="000901CF" w:rsidP="000901CF">
      <w:pPr>
        <w:rPr>
          <w:rFonts w:ascii="Sylfaen" w:hAnsi="Sylfaen"/>
          <w:szCs w:val="22"/>
          <w:lang w:val="ka-GE"/>
        </w:rPr>
      </w:pPr>
      <w:r w:rsidRPr="00F80CCF">
        <w:rPr>
          <w:rFonts w:ascii="Sylfaen" w:hAnsi="Sylfaen"/>
          <w:szCs w:val="22"/>
          <w:lang w:val="ka-GE"/>
        </w:rPr>
        <w:t>201</w:t>
      </w:r>
      <w:r w:rsidRPr="00F80CCF">
        <w:rPr>
          <w:rFonts w:ascii="Sylfaen" w:hAnsi="Sylfaen"/>
          <w:szCs w:val="22"/>
        </w:rPr>
        <w:t>7</w:t>
      </w:r>
      <w:r w:rsidRPr="00F80CCF">
        <w:rPr>
          <w:rFonts w:ascii="Sylfaen" w:hAnsi="Sylfaen"/>
          <w:szCs w:val="22"/>
          <w:lang w:val="ka-GE"/>
        </w:rPr>
        <w:t xml:space="preserve"> წლის მონაცემებით (საქართველოს ადგილობრივ თვითმმართველობათა ოფიციალური ვებ გვერდის მონაცემებით) თელავის მუნიციპალიტეტის მოსახლეობა შეადგენს 71000 ადამიანს (რაც საქართველოს მოსახლეობის დაახლოებით 1.9% შეადგენს), მაშინ, როდესაც 2014 წლის საყოველთაო აღწერის შედეგად, ოფიციალური მონაცემებით, თელავის მუნიციპალიტეტის მოსახლეობა შეადგენდა 38 721 ადამიანს.</w:t>
      </w:r>
    </w:p>
    <w:tbl>
      <w:tblPr>
        <w:tblW w:w="10350" w:type="dxa"/>
        <w:tblInd w:w="-8" w:type="dxa"/>
        <w:tblBorders>
          <w:top w:val="outset" w:sz="6" w:space="0" w:color="485870"/>
          <w:left w:val="outset" w:sz="6" w:space="0" w:color="485870"/>
          <w:bottom w:val="outset" w:sz="6" w:space="0" w:color="485870"/>
          <w:right w:val="outset" w:sz="6" w:space="0" w:color="485870"/>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1350"/>
        <w:gridCol w:w="810"/>
        <w:gridCol w:w="810"/>
        <w:gridCol w:w="810"/>
        <w:gridCol w:w="900"/>
        <w:gridCol w:w="810"/>
        <w:gridCol w:w="810"/>
        <w:gridCol w:w="810"/>
        <w:gridCol w:w="755"/>
        <w:gridCol w:w="775"/>
        <w:gridCol w:w="810"/>
        <w:gridCol w:w="900"/>
      </w:tblGrid>
      <w:tr w:rsidR="000901CF" w:rsidRPr="000901CF" w14:paraId="4A1ECC53" w14:textId="77777777" w:rsidTr="00092D1D">
        <w:tc>
          <w:tcPr>
            <w:tcW w:w="10350" w:type="dxa"/>
            <w:gridSpan w:val="12"/>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7F35B2F1" w14:textId="77777777" w:rsidR="000901CF" w:rsidRPr="000901CF" w:rsidRDefault="000901CF" w:rsidP="00845892">
            <w:pPr>
              <w:jc w:val="center"/>
              <w:rPr>
                <w:rFonts w:ascii="Sylfaen" w:hAnsi="Sylfaen"/>
                <w:b/>
                <w:color w:val="666868"/>
                <w:sz w:val="18"/>
              </w:rPr>
            </w:pPr>
            <w:r w:rsidRPr="000901CF">
              <w:rPr>
                <w:rFonts w:ascii="Sylfaen" w:hAnsi="Sylfaen"/>
                <w:b/>
                <w:color w:val="666868"/>
                <w:sz w:val="18"/>
                <w:szCs w:val="22"/>
                <w:lang w:val="ka-GE"/>
              </w:rPr>
              <w:t xml:space="preserve">საქართველოს მოსახლეობის </w:t>
            </w:r>
            <w:r w:rsidRPr="000901CF">
              <w:rPr>
                <w:rFonts w:ascii="Sylfaen" w:hAnsi="Sylfaen"/>
                <w:b/>
                <w:color w:val="666868"/>
                <w:sz w:val="18"/>
                <w:szCs w:val="22"/>
              </w:rPr>
              <w:t>ძირითადი დემოგრაფიული მაჩვენებლები</w:t>
            </w:r>
          </w:p>
        </w:tc>
      </w:tr>
      <w:tr w:rsidR="000901CF" w:rsidRPr="000901CF" w14:paraId="744A1941" w14:textId="77777777" w:rsidTr="00092D1D">
        <w:trPr>
          <w:trHeight w:val="420"/>
        </w:trPr>
        <w:tc>
          <w:tcPr>
            <w:tcW w:w="135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1A9160E6" w14:textId="77777777" w:rsidR="000901CF" w:rsidRPr="000901CF" w:rsidRDefault="000901CF" w:rsidP="00845892">
            <w:pPr>
              <w:rPr>
                <w:rFonts w:ascii="Sylfaen" w:hAnsi="Sylfaen"/>
                <w:b/>
                <w:color w:val="666868"/>
                <w:sz w:val="18"/>
              </w:rPr>
            </w:pP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563F1BBD" w14:textId="77777777" w:rsidR="000901CF" w:rsidRPr="000901CF" w:rsidRDefault="000901CF" w:rsidP="00845892">
            <w:pPr>
              <w:jc w:val="center"/>
              <w:rPr>
                <w:rFonts w:ascii="Sylfaen" w:hAnsi="Sylfaen"/>
                <w:b/>
                <w:color w:val="666868"/>
                <w:sz w:val="18"/>
              </w:rPr>
            </w:pPr>
            <w:r w:rsidRPr="000901CF">
              <w:rPr>
                <w:rFonts w:ascii="Sylfaen" w:hAnsi="Sylfaen"/>
                <w:b/>
                <w:color w:val="666868"/>
                <w:sz w:val="18"/>
                <w:szCs w:val="22"/>
              </w:rPr>
              <w:t>2007</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4E1806BD" w14:textId="77777777" w:rsidR="000901CF" w:rsidRPr="000901CF" w:rsidRDefault="000901CF" w:rsidP="00845892">
            <w:pPr>
              <w:jc w:val="center"/>
              <w:rPr>
                <w:rFonts w:ascii="Sylfaen" w:hAnsi="Sylfaen"/>
                <w:b/>
                <w:color w:val="666868"/>
                <w:sz w:val="18"/>
              </w:rPr>
            </w:pPr>
            <w:r w:rsidRPr="000901CF">
              <w:rPr>
                <w:rFonts w:ascii="Sylfaen" w:hAnsi="Sylfaen"/>
                <w:b/>
                <w:color w:val="666868"/>
                <w:sz w:val="18"/>
                <w:szCs w:val="22"/>
              </w:rPr>
              <w:t>2008</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0AC75BC7" w14:textId="77777777" w:rsidR="000901CF" w:rsidRPr="000901CF" w:rsidRDefault="000901CF" w:rsidP="00845892">
            <w:pPr>
              <w:jc w:val="center"/>
              <w:rPr>
                <w:rFonts w:ascii="Sylfaen" w:hAnsi="Sylfaen"/>
                <w:b/>
                <w:color w:val="666868"/>
                <w:sz w:val="18"/>
              </w:rPr>
            </w:pPr>
            <w:r w:rsidRPr="000901CF">
              <w:rPr>
                <w:rFonts w:ascii="Sylfaen" w:hAnsi="Sylfaen"/>
                <w:b/>
                <w:color w:val="666868"/>
                <w:sz w:val="18"/>
                <w:szCs w:val="22"/>
              </w:rPr>
              <w:t>2009</w:t>
            </w:r>
          </w:p>
        </w:tc>
        <w:tc>
          <w:tcPr>
            <w:tcW w:w="90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1D188FFA" w14:textId="77777777" w:rsidR="000901CF" w:rsidRPr="000901CF" w:rsidRDefault="000901CF" w:rsidP="00845892">
            <w:pPr>
              <w:jc w:val="center"/>
              <w:rPr>
                <w:rFonts w:ascii="Sylfaen" w:hAnsi="Sylfaen"/>
                <w:b/>
                <w:color w:val="666868"/>
                <w:sz w:val="18"/>
              </w:rPr>
            </w:pPr>
            <w:r w:rsidRPr="000901CF">
              <w:rPr>
                <w:rFonts w:ascii="Sylfaen" w:hAnsi="Sylfaen"/>
                <w:b/>
                <w:color w:val="666868"/>
                <w:sz w:val="18"/>
                <w:szCs w:val="22"/>
              </w:rPr>
              <w:t>2010</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52582384" w14:textId="77777777" w:rsidR="000901CF" w:rsidRPr="000901CF" w:rsidRDefault="000901CF" w:rsidP="00845892">
            <w:pPr>
              <w:jc w:val="center"/>
              <w:rPr>
                <w:rFonts w:ascii="Sylfaen" w:hAnsi="Sylfaen"/>
                <w:b/>
                <w:color w:val="666868"/>
                <w:sz w:val="18"/>
              </w:rPr>
            </w:pPr>
            <w:r w:rsidRPr="000901CF">
              <w:rPr>
                <w:rFonts w:ascii="Sylfaen" w:hAnsi="Sylfaen"/>
                <w:b/>
                <w:color w:val="666868"/>
                <w:sz w:val="18"/>
                <w:szCs w:val="22"/>
              </w:rPr>
              <w:t>2011</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1A57538D" w14:textId="77777777" w:rsidR="000901CF" w:rsidRPr="000901CF" w:rsidRDefault="000901CF" w:rsidP="00845892">
            <w:pPr>
              <w:jc w:val="center"/>
              <w:rPr>
                <w:rFonts w:ascii="Sylfaen" w:hAnsi="Sylfaen"/>
                <w:b/>
                <w:color w:val="666868"/>
                <w:sz w:val="18"/>
              </w:rPr>
            </w:pPr>
            <w:r w:rsidRPr="000901CF">
              <w:rPr>
                <w:rFonts w:ascii="Sylfaen" w:hAnsi="Sylfaen"/>
                <w:b/>
                <w:color w:val="666868"/>
                <w:sz w:val="18"/>
                <w:szCs w:val="22"/>
              </w:rPr>
              <w:t>2012</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232CFE79" w14:textId="77777777" w:rsidR="000901CF" w:rsidRPr="000901CF" w:rsidRDefault="000901CF" w:rsidP="00845892">
            <w:pPr>
              <w:jc w:val="center"/>
              <w:rPr>
                <w:rFonts w:ascii="Sylfaen" w:hAnsi="Sylfaen"/>
                <w:b/>
                <w:color w:val="666868"/>
                <w:sz w:val="18"/>
              </w:rPr>
            </w:pPr>
            <w:r w:rsidRPr="000901CF">
              <w:rPr>
                <w:rFonts w:ascii="Sylfaen" w:hAnsi="Sylfaen"/>
                <w:b/>
                <w:color w:val="666868"/>
                <w:sz w:val="18"/>
                <w:szCs w:val="22"/>
              </w:rPr>
              <w:t>2013</w:t>
            </w:r>
          </w:p>
        </w:tc>
        <w:tc>
          <w:tcPr>
            <w:tcW w:w="755"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102B2EEB" w14:textId="77777777" w:rsidR="000901CF" w:rsidRPr="000901CF" w:rsidRDefault="000901CF" w:rsidP="00845892">
            <w:pPr>
              <w:jc w:val="center"/>
              <w:rPr>
                <w:rFonts w:ascii="Sylfaen" w:hAnsi="Sylfaen"/>
                <w:b/>
                <w:color w:val="666868"/>
                <w:sz w:val="18"/>
              </w:rPr>
            </w:pPr>
            <w:r w:rsidRPr="000901CF">
              <w:rPr>
                <w:rFonts w:ascii="Sylfaen" w:hAnsi="Sylfaen"/>
                <w:b/>
                <w:color w:val="666868"/>
                <w:sz w:val="18"/>
                <w:szCs w:val="22"/>
              </w:rPr>
              <w:t>2014</w:t>
            </w:r>
          </w:p>
        </w:tc>
        <w:tc>
          <w:tcPr>
            <w:tcW w:w="775"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63B3A15F" w14:textId="77777777" w:rsidR="000901CF" w:rsidRPr="000901CF" w:rsidRDefault="000901CF" w:rsidP="00845892">
            <w:pPr>
              <w:jc w:val="center"/>
              <w:rPr>
                <w:rFonts w:ascii="Sylfaen" w:hAnsi="Sylfaen"/>
                <w:b/>
                <w:color w:val="666868"/>
                <w:sz w:val="18"/>
              </w:rPr>
            </w:pPr>
            <w:r w:rsidRPr="000901CF">
              <w:rPr>
                <w:rFonts w:ascii="Sylfaen" w:hAnsi="Sylfaen"/>
                <w:b/>
                <w:color w:val="666868"/>
                <w:sz w:val="18"/>
                <w:szCs w:val="22"/>
              </w:rPr>
              <w:t>2015</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7D429598" w14:textId="77777777" w:rsidR="000901CF" w:rsidRPr="000901CF" w:rsidRDefault="000901CF" w:rsidP="00845892">
            <w:pPr>
              <w:jc w:val="center"/>
              <w:rPr>
                <w:rFonts w:ascii="Sylfaen" w:hAnsi="Sylfaen"/>
                <w:b/>
                <w:color w:val="666868"/>
                <w:sz w:val="18"/>
              </w:rPr>
            </w:pPr>
            <w:r w:rsidRPr="000901CF">
              <w:rPr>
                <w:rFonts w:ascii="Sylfaen" w:hAnsi="Sylfaen"/>
                <w:b/>
                <w:color w:val="666868"/>
                <w:sz w:val="18"/>
                <w:szCs w:val="22"/>
              </w:rPr>
              <w:t>2016</w:t>
            </w:r>
          </w:p>
        </w:tc>
        <w:tc>
          <w:tcPr>
            <w:tcW w:w="90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7E71F17C" w14:textId="77777777" w:rsidR="000901CF" w:rsidRPr="000901CF" w:rsidRDefault="000901CF" w:rsidP="00845892">
            <w:pPr>
              <w:jc w:val="center"/>
              <w:rPr>
                <w:rFonts w:ascii="Sylfaen" w:hAnsi="Sylfaen"/>
                <w:b/>
                <w:color w:val="666868"/>
                <w:sz w:val="18"/>
              </w:rPr>
            </w:pPr>
            <w:r w:rsidRPr="000901CF">
              <w:rPr>
                <w:rFonts w:ascii="Sylfaen" w:hAnsi="Sylfaen"/>
                <w:b/>
                <w:color w:val="666868"/>
                <w:sz w:val="18"/>
                <w:szCs w:val="22"/>
              </w:rPr>
              <w:t>2017</w:t>
            </w:r>
          </w:p>
        </w:tc>
      </w:tr>
      <w:tr w:rsidR="000901CF" w:rsidRPr="000901CF" w14:paraId="62AF0BCB" w14:textId="77777777" w:rsidTr="00092D1D">
        <w:trPr>
          <w:trHeight w:val="375"/>
        </w:trPr>
        <w:tc>
          <w:tcPr>
            <w:tcW w:w="135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59B7D284" w14:textId="77777777" w:rsidR="000901CF" w:rsidRPr="000901CF" w:rsidRDefault="000901CF" w:rsidP="00845892">
            <w:pPr>
              <w:rPr>
                <w:rFonts w:ascii="Sylfaen" w:hAnsi="Sylfaen"/>
                <w:b/>
                <w:color w:val="666868"/>
                <w:sz w:val="18"/>
              </w:rPr>
            </w:pPr>
            <w:r w:rsidRPr="000901CF">
              <w:rPr>
                <w:rFonts w:ascii="Sylfaen" w:hAnsi="Sylfaen"/>
                <w:b/>
                <w:color w:val="666868"/>
                <w:sz w:val="18"/>
                <w:szCs w:val="22"/>
              </w:rPr>
              <w:t>მოსახლეობის რიცხოვნობა 1 იანვრისათვის </w:t>
            </w:r>
            <w:r w:rsidRPr="000901CF">
              <w:rPr>
                <w:rFonts w:ascii="Sylfaen" w:hAnsi="Sylfaen"/>
                <w:b/>
                <w:color w:val="666868"/>
                <w:sz w:val="18"/>
                <w:szCs w:val="22"/>
              </w:rPr>
              <w:br/>
              <w:t>(ათასი კაცი)</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7C13EE30" w14:textId="77777777" w:rsidR="000901CF" w:rsidRPr="000901CF" w:rsidRDefault="000901CF" w:rsidP="00845892">
            <w:pPr>
              <w:spacing w:before="100" w:beforeAutospacing="1" w:after="100" w:afterAutospacing="1"/>
              <w:jc w:val="right"/>
              <w:rPr>
                <w:rFonts w:ascii="Sylfaen" w:hAnsi="Sylfaen"/>
                <w:b/>
                <w:color w:val="666868"/>
                <w:sz w:val="18"/>
              </w:rPr>
            </w:pPr>
            <w:r w:rsidRPr="000901CF">
              <w:rPr>
                <w:rFonts w:ascii="Sylfaen" w:hAnsi="Sylfaen"/>
                <w:b/>
                <w:color w:val="666868"/>
                <w:sz w:val="18"/>
                <w:szCs w:val="22"/>
              </w:rPr>
              <w:t>4 394.7</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23A59848" w14:textId="77777777" w:rsidR="000901CF" w:rsidRPr="000901CF" w:rsidRDefault="000901CF" w:rsidP="00845892">
            <w:pPr>
              <w:spacing w:before="100" w:beforeAutospacing="1" w:after="100" w:afterAutospacing="1"/>
              <w:jc w:val="right"/>
              <w:rPr>
                <w:rFonts w:ascii="Sylfaen" w:hAnsi="Sylfaen"/>
                <w:b/>
                <w:color w:val="666868"/>
                <w:sz w:val="18"/>
              </w:rPr>
            </w:pPr>
            <w:r w:rsidRPr="000901CF">
              <w:rPr>
                <w:rFonts w:ascii="Sylfaen" w:hAnsi="Sylfaen"/>
                <w:b/>
                <w:color w:val="666868"/>
                <w:sz w:val="18"/>
                <w:szCs w:val="22"/>
              </w:rPr>
              <w:t>4 382.1</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22CFCAEA" w14:textId="77777777" w:rsidR="000901CF" w:rsidRPr="000901CF" w:rsidRDefault="000901CF" w:rsidP="00845892">
            <w:pPr>
              <w:spacing w:before="100" w:beforeAutospacing="1" w:after="100" w:afterAutospacing="1"/>
              <w:jc w:val="right"/>
              <w:rPr>
                <w:rFonts w:ascii="Sylfaen" w:hAnsi="Sylfaen"/>
                <w:b/>
                <w:color w:val="666868"/>
                <w:sz w:val="18"/>
              </w:rPr>
            </w:pPr>
            <w:r w:rsidRPr="000901CF">
              <w:rPr>
                <w:rFonts w:ascii="Sylfaen" w:hAnsi="Sylfaen"/>
                <w:b/>
                <w:color w:val="666868"/>
                <w:sz w:val="18"/>
                <w:szCs w:val="22"/>
              </w:rPr>
              <w:t>4 385.4</w:t>
            </w:r>
          </w:p>
        </w:tc>
        <w:tc>
          <w:tcPr>
            <w:tcW w:w="90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18A834CC" w14:textId="77777777" w:rsidR="000901CF" w:rsidRPr="000901CF" w:rsidRDefault="000901CF" w:rsidP="00845892">
            <w:pPr>
              <w:spacing w:before="100" w:beforeAutospacing="1" w:after="100" w:afterAutospacing="1"/>
              <w:jc w:val="right"/>
              <w:rPr>
                <w:rFonts w:ascii="Sylfaen" w:hAnsi="Sylfaen"/>
                <w:b/>
                <w:color w:val="666868"/>
                <w:sz w:val="18"/>
              </w:rPr>
            </w:pPr>
            <w:r w:rsidRPr="000901CF">
              <w:rPr>
                <w:rFonts w:ascii="Sylfaen" w:hAnsi="Sylfaen"/>
                <w:b/>
                <w:color w:val="666868"/>
                <w:sz w:val="18"/>
                <w:szCs w:val="22"/>
              </w:rPr>
              <w:t>4 436.4</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07FE3C05" w14:textId="77777777" w:rsidR="000901CF" w:rsidRPr="000901CF" w:rsidRDefault="000901CF" w:rsidP="00845892">
            <w:pPr>
              <w:spacing w:before="100" w:beforeAutospacing="1" w:after="100" w:afterAutospacing="1"/>
              <w:jc w:val="right"/>
              <w:rPr>
                <w:rFonts w:ascii="Sylfaen" w:hAnsi="Sylfaen"/>
                <w:b/>
                <w:color w:val="666868"/>
                <w:sz w:val="18"/>
              </w:rPr>
            </w:pPr>
            <w:r w:rsidRPr="000901CF">
              <w:rPr>
                <w:rFonts w:ascii="Sylfaen" w:hAnsi="Sylfaen"/>
                <w:b/>
                <w:color w:val="666868"/>
                <w:sz w:val="18"/>
                <w:szCs w:val="22"/>
              </w:rPr>
              <w:t>4 469.2</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3F51515A" w14:textId="77777777" w:rsidR="000901CF" w:rsidRPr="000901CF" w:rsidRDefault="000901CF" w:rsidP="00845892">
            <w:pPr>
              <w:spacing w:before="100" w:beforeAutospacing="1" w:after="100" w:afterAutospacing="1"/>
              <w:jc w:val="right"/>
              <w:rPr>
                <w:rFonts w:ascii="Sylfaen" w:hAnsi="Sylfaen"/>
                <w:b/>
                <w:color w:val="666868"/>
                <w:sz w:val="18"/>
              </w:rPr>
            </w:pPr>
            <w:r w:rsidRPr="000901CF">
              <w:rPr>
                <w:rFonts w:ascii="Sylfaen" w:hAnsi="Sylfaen"/>
                <w:b/>
                <w:color w:val="666868"/>
                <w:sz w:val="18"/>
                <w:szCs w:val="22"/>
              </w:rPr>
              <w:t>4 497.6</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2DAAB2C0" w14:textId="77777777" w:rsidR="000901CF" w:rsidRPr="000901CF" w:rsidRDefault="000901CF" w:rsidP="00845892">
            <w:pPr>
              <w:spacing w:before="100" w:beforeAutospacing="1" w:after="100" w:afterAutospacing="1"/>
              <w:jc w:val="right"/>
              <w:rPr>
                <w:rFonts w:ascii="Sylfaen" w:hAnsi="Sylfaen"/>
                <w:b/>
                <w:color w:val="666868"/>
                <w:sz w:val="18"/>
              </w:rPr>
            </w:pPr>
            <w:r w:rsidRPr="000901CF">
              <w:rPr>
                <w:rFonts w:ascii="Sylfaen" w:hAnsi="Sylfaen"/>
                <w:b/>
                <w:color w:val="666868"/>
                <w:sz w:val="18"/>
                <w:szCs w:val="22"/>
              </w:rPr>
              <w:t>4 483.8</w:t>
            </w:r>
          </w:p>
        </w:tc>
        <w:tc>
          <w:tcPr>
            <w:tcW w:w="755"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08984D6A" w14:textId="77777777" w:rsidR="000901CF" w:rsidRPr="000901CF" w:rsidRDefault="000901CF" w:rsidP="00845892">
            <w:pPr>
              <w:jc w:val="right"/>
              <w:rPr>
                <w:rFonts w:ascii="Sylfaen" w:hAnsi="Sylfaen"/>
                <w:b/>
                <w:color w:val="666868"/>
                <w:sz w:val="18"/>
              </w:rPr>
            </w:pPr>
            <w:r w:rsidRPr="000901CF">
              <w:rPr>
                <w:rFonts w:ascii="Sylfaen" w:hAnsi="Sylfaen"/>
                <w:b/>
                <w:color w:val="666868"/>
                <w:sz w:val="18"/>
                <w:szCs w:val="22"/>
              </w:rPr>
              <w:t>4 490.5</w:t>
            </w:r>
          </w:p>
        </w:tc>
        <w:tc>
          <w:tcPr>
            <w:tcW w:w="775"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55DE90EE" w14:textId="77777777" w:rsidR="000901CF" w:rsidRPr="000901CF" w:rsidRDefault="000901CF" w:rsidP="00845892">
            <w:pPr>
              <w:jc w:val="right"/>
              <w:rPr>
                <w:rFonts w:ascii="Sylfaen" w:hAnsi="Sylfaen"/>
                <w:b/>
                <w:color w:val="666868"/>
                <w:sz w:val="18"/>
              </w:rPr>
            </w:pPr>
            <w:r w:rsidRPr="000901CF">
              <w:rPr>
                <w:rFonts w:ascii="Sylfaen" w:hAnsi="Sylfaen"/>
                <w:b/>
                <w:color w:val="666868"/>
                <w:sz w:val="18"/>
                <w:szCs w:val="22"/>
              </w:rPr>
              <w:t>3 713.7</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566AE7DB" w14:textId="77777777" w:rsidR="000901CF" w:rsidRPr="000901CF" w:rsidRDefault="000901CF" w:rsidP="00845892">
            <w:pPr>
              <w:jc w:val="right"/>
              <w:rPr>
                <w:rFonts w:ascii="Sylfaen" w:hAnsi="Sylfaen"/>
                <w:b/>
                <w:color w:val="666868"/>
                <w:sz w:val="18"/>
              </w:rPr>
            </w:pPr>
            <w:r w:rsidRPr="000901CF">
              <w:rPr>
                <w:rFonts w:ascii="Sylfaen" w:hAnsi="Sylfaen"/>
                <w:b/>
                <w:color w:val="666868"/>
                <w:sz w:val="18"/>
                <w:szCs w:val="22"/>
              </w:rPr>
              <w:t>3 720.4</w:t>
            </w:r>
          </w:p>
        </w:tc>
        <w:tc>
          <w:tcPr>
            <w:tcW w:w="90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5E4D9DE4" w14:textId="77777777" w:rsidR="000901CF" w:rsidRPr="000901CF" w:rsidRDefault="000901CF" w:rsidP="00845892">
            <w:pPr>
              <w:jc w:val="right"/>
              <w:rPr>
                <w:rFonts w:ascii="Sylfaen" w:hAnsi="Sylfaen"/>
                <w:b/>
                <w:color w:val="666868"/>
                <w:sz w:val="18"/>
              </w:rPr>
            </w:pPr>
            <w:r w:rsidRPr="000901CF">
              <w:rPr>
                <w:rFonts w:ascii="Sylfaen" w:hAnsi="Sylfaen"/>
                <w:b/>
                <w:color w:val="666868"/>
                <w:sz w:val="18"/>
                <w:szCs w:val="22"/>
              </w:rPr>
              <w:t>3 718.2</w:t>
            </w:r>
          </w:p>
        </w:tc>
      </w:tr>
      <w:tr w:rsidR="000901CF" w:rsidRPr="000901CF" w14:paraId="53122FDE" w14:textId="77777777" w:rsidTr="00092D1D">
        <w:tc>
          <w:tcPr>
            <w:tcW w:w="10350" w:type="dxa"/>
            <w:gridSpan w:val="12"/>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70644E06" w14:textId="77777777" w:rsidR="000901CF" w:rsidRPr="000901CF" w:rsidRDefault="000901CF" w:rsidP="00845892">
            <w:pPr>
              <w:rPr>
                <w:rFonts w:ascii="Sylfaen" w:hAnsi="Sylfaen"/>
                <w:b/>
                <w:color w:val="666868"/>
                <w:sz w:val="18"/>
                <w:lang w:val="ka-GE"/>
              </w:rPr>
            </w:pPr>
            <w:r w:rsidRPr="000901CF">
              <w:rPr>
                <w:rFonts w:ascii="Sylfaen" w:hAnsi="Sylfaen"/>
                <w:b/>
                <w:sz w:val="18"/>
                <w:szCs w:val="22"/>
              </w:rPr>
              <w:t xml:space="preserve">მათ შორის </w:t>
            </w:r>
            <w:r w:rsidRPr="000901CF">
              <w:rPr>
                <w:rFonts w:ascii="Sylfaen" w:hAnsi="Sylfaen"/>
                <w:b/>
                <w:color w:val="FF0000"/>
                <w:sz w:val="18"/>
                <w:szCs w:val="22"/>
                <w:lang w:val="ka-GE"/>
              </w:rPr>
              <w:t>თელავის</w:t>
            </w:r>
            <w:r w:rsidRPr="000901CF">
              <w:rPr>
                <w:rFonts w:ascii="Sylfaen" w:hAnsi="Sylfaen"/>
                <w:b/>
                <w:sz w:val="18"/>
                <w:szCs w:val="22"/>
                <w:lang w:val="ka-GE"/>
              </w:rPr>
              <w:t xml:space="preserve"> მუნიცპალიტეტში: (რაც საქართველოს მოსახლეობის დაახლოებით 1.9% შეადგენს)</w:t>
            </w:r>
          </w:p>
        </w:tc>
      </w:tr>
      <w:tr w:rsidR="000901CF" w:rsidRPr="000901CF" w14:paraId="6AB2A7CD"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7BC342DE" w14:textId="77777777" w:rsidR="000901CF" w:rsidRPr="000901CF" w:rsidRDefault="000901CF" w:rsidP="00845892">
            <w:pPr>
              <w:jc w:val="center"/>
              <w:rPr>
                <w:rFonts w:ascii="Sylfaen" w:hAnsi="Sylfaen"/>
                <w:color w:val="000000" w:themeColor="text1"/>
                <w:sz w:val="18"/>
              </w:rPr>
            </w:pPr>
            <w:r w:rsidRPr="000901CF">
              <w:rPr>
                <w:rFonts w:ascii="Sylfaen" w:hAnsi="Sylfaen"/>
                <w:bCs/>
                <w:color w:val="000000" w:themeColor="text1"/>
                <w:sz w:val="18"/>
                <w:szCs w:val="22"/>
              </w:rPr>
              <w:t>წელი</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0CE93C15" w14:textId="77777777" w:rsidR="000901CF" w:rsidRPr="000901CF" w:rsidRDefault="000901CF" w:rsidP="008C0A3D">
            <w:pPr>
              <w:jc w:val="center"/>
              <w:rPr>
                <w:rFonts w:ascii="Sylfaen" w:hAnsi="Sylfaen"/>
                <w:color w:val="000000" w:themeColor="text1"/>
                <w:sz w:val="18"/>
              </w:rPr>
            </w:pPr>
            <w:r w:rsidRPr="000901CF">
              <w:rPr>
                <w:rFonts w:ascii="Sylfaen" w:hAnsi="Sylfaen"/>
                <w:bCs/>
                <w:color w:val="000000" w:themeColor="text1"/>
                <w:sz w:val="18"/>
                <w:szCs w:val="22"/>
              </w:rPr>
              <w:t>მოსახლეობის რიცხოვნობა 1 იანვრისათვის </w:t>
            </w:r>
            <w:r w:rsidRPr="000901CF">
              <w:rPr>
                <w:rFonts w:ascii="Sylfaen" w:hAnsi="Sylfaen"/>
                <w:bCs/>
                <w:color w:val="000000" w:themeColor="text1"/>
                <w:sz w:val="18"/>
                <w:szCs w:val="22"/>
              </w:rPr>
              <w:br/>
              <w:t>(ათასი კაცი)</w:t>
            </w:r>
          </w:p>
        </w:tc>
      </w:tr>
      <w:tr w:rsidR="000901CF" w:rsidRPr="000901CF" w14:paraId="4CA3D46D"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62DC49D3" w14:textId="77777777" w:rsidR="000901CF" w:rsidRPr="000901CF" w:rsidRDefault="000901CF" w:rsidP="00845892">
            <w:pPr>
              <w:jc w:val="center"/>
              <w:rPr>
                <w:rFonts w:ascii="Sylfaen" w:hAnsi="Sylfaen"/>
                <w:color w:val="000000" w:themeColor="text1"/>
                <w:sz w:val="18"/>
              </w:rPr>
            </w:pPr>
            <w:r w:rsidRPr="000901CF">
              <w:rPr>
                <w:rFonts w:ascii="Sylfaen" w:hAnsi="Sylfaen"/>
                <w:bCs/>
                <w:color w:val="000000" w:themeColor="text1"/>
                <w:sz w:val="18"/>
                <w:szCs w:val="22"/>
              </w:rPr>
              <w:t>2007</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38090223" w14:textId="77777777" w:rsidR="000901CF" w:rsidRPr="000901CF" w:rsidRDefault="000901CF" w:rsidP="00845892">
            <w:pPr>
              <w:jc w:val="center"/>
              <w:rPr>
                <w:rFonts w:ascii="Sylfaen" w:hAnsi="Sylfaen"/>
                <w:color w:val="000000" w:themeColor="text1"/>
                <w:sz w:val="18"/>
                <w:lang w:val="ka-GE"/>
              </w:rPr>
            </w:pPr>
            <w:r w:rsidRPr="000901CF">
              <w:rPr>
                <w:rFonts w:ascii="Sylfaen" w:hAnsi="Sylfaen"/>
                <w:color w:val="000000" w:themeColor="text1"/>
                <w:sz w:val="18"/>
                <w:szCs w:val="22"/>
                <w:lang w:val="ka-GE"/>
              </w:rPr>
              <w:t>70.4</w:t>
            </w:r>
          </w:p>
        </w:tc>
      </w:tr>
      <w:tr w:rsidR="000901CF" w:rsidRPr="000901CF" w14:paraId="575D1D71"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44194006" w14:textId="77777777" w:rsidR="000901CF" w:rsidRPr="000901CF" w:rsidRDefault="000901CF" w:rsidP="00845892">
            <w:pPr>
              <w:jc w:val="center"/>
              <w:rPr>
                <w:rFonts w:ascii="Sylfaen" w:hAnsi="Sylfaen"/>
                <w:color w:val="000000" w:themeColor="text1"/>
                <w:sz w:val="18"/>
              </w:rPr>
            </w:pPr>
            <w:r w:rsidRPr="000901CF">
              <w:rPr>
                <w:rFonts w:ascii="Sylfaen" w:hAnsi="Sylfaen"/>
                <w:bCs/>
                <w:color w:val="000000" w:themeColor="text1"/>
                <w:sz w:val="18"/>
                <w:szCs w:val="22"/>
              </w:rPr>
              <w:t>2008</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17BA0BA3" w14:textId="77777777" w:rsidR="000901CF" w:rsidRPr="000901CF" w:rsidRDefault="000901CF" w:rsidP="00845892">
            <w:pPr>
              <w:jc w:val="center"/>
              <w:rPr>
                <w:rFonts w:ascii="Sylfaen" w:hAnsi="Sylfaen"/>
                <w:color w:val="000000" w:themeColor="text1"/>
                <w:sz w:val="18"/>
                <w:lang w:val="ka-GE"/>
              </w:rPr>
            </w:pPr>
            <w:r w:rsidRPr="000901CF">
              <w:rPr>
                <w:rFonts w:ascii="Sylfaen" w:hAnsi="Sylfaen"/>
                <w:color w:val="000000" w:themeColor="text1"/>
                <w:sz w:val="18"/>
                <w:szCs w:val="22"/>
                <w:lang w:val="ka-GE"/>
              </w:rPr>
              <w:t>70.0</w:t>
            </w:r>
          </w:p>
        </w:tc>
      </w:tr>
      <w:tr w:rsidR="000901CF" w:rsidRPr="000901CF" w14:paraId="53B2BBF9"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2A3F5EDB" w14:textId="77777777" w:rsidR="000901CF" w:rsidRPr="000901CF" w:rsidRDefault="000901CF" w:rsidP="00845892">
            <w:pPr>
              <w:jc w:val="center"/>
              <w:rPr>
                <w:rFonts w:ascii="Sylfaen" w:hAnsi="Sylfaen"/>
                <w:color w:val="000000" w:themeColor="text1"/>
                <w:sz w:val="18"/>
              </w:rPr>
            </w:pPr>
            <w:r w:rsidRPr="000901CF">
              <w:rPr>
                <w:rFonts w:ascii="Sylfaen" w:hAnsi="Sylfaen"/>
                <w:bCs/>
                <w:color w:val="000000" w:themeColor="text1"/>
                <w:sz w:val="18"/>
                <w:szCs w:val="22"/>
              </w:rPr>
              <w:t>2009</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5C26B320" w14:textId="77777777" w:rsidR="000901CF" w:rsidRPr="000901CF" w:rsidRDefault="000901CF" w:rsidP="00845892">
            <w:pPr>
              <w:jc w:val="center"/>
              <w:rPr>
                <w:rFonts w:ascii="Sylfaen" w:hAnsi="Sylfaen"/>
                <w:color w:val="000000" w:themeColor="text1"/>
                <w:sz w:val="18"/>
                <w:lang w:val="ka-GE"/>
              </w:rPr>
            </w:pPr>
            <w:r w:rsidRPr="000901CF">
              <w:rPr>
                <w:rFonts w:ascii="Sylfaen" w:hAnsi="Sylfaen"/>
                <w:color w:val="000000" w:themeColor="text1"/>
                <w:sz w:val="18"/>
                <w:szCs w:val="22"/>
                <w:lang w:val="ka-GE"/>
              </w:rPr>
              <w:t>69.8</w:t>
            </w:r>
          </w:p>
        </w:tc>
      </w:tr>
      <w:tr w:rsidR="000901CF" w:rsidRPr="000901CF" w14:paraId="74316BE5"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0AE22823" w14:textId="77777777" w:rsidR="000901CF" w:rsidRPr="000901CF" w:rsidRDefault="000901CF" w:rsidP="00845892">
            <w:pPr>
              <w:jc w:val="center"/>
              <w:rPr>
                <w:rFonts w:ascii="Sylfaen" w:hAnsi="Sylfaen"/>
                <w:color w:val="000000" w:themeColor="text1"/>
                <w:sz w:val="18"/>
              </w:rPr>
            </w:pPr>
            <w:r w:rsidRPr="000901CF">
              <w:rPr>
                <w:rFonts w:ascii="Sylfaen" w:hAnsi="Sylfaen"/>
                <w:bCs/>
                <w:color w:val="000000" w:themeColor="text1"/>
                <w:sz w:val="18"/>
                <w:szCs w:val="22"/>
              </w:rPr>
              <w:t>2010</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212A70AD" w14:textId="77777777" w:rsidR="000901CF" w:rsidRPr="000901CF" w:rsidRDefault="000901CF" w:rsidP="00845892">
            <w:pPr>
              <w:jc w:val="center"/>
              <w:rPr>
                <w:rFonts w:ascii="Sylfaen" w:hAnsi="Sylfaen"/>
                <w:color w:val="000000" w:themeColor="text1"/>
                <w:sz w:val="18"/>
                <w:lang w:val="ka-GE"/>
              </w:rPr>
            </w:pPr>
            <w:r w:rsidRPr="000901CF">
              <w:rPr>
                <w:rFonts w:ascii="Sylfaen" w:hAnsi="Sylfaen"/>
                <w:color w:val="000000" w:themeColor="text1"/>
                <w:sz w:val="18"/>
                <w:szCs w:val="22"/>
                <w:lang w:val="ka-GE"/>
              </w:rPr>
              <w:t>70.5</w:t>
            </w:r>
          </w:p>
        </w:tc>
      </w:tr>
      <w:tr w:rsidR="000901CF" w:rsidRPr="000901CF" w14:paraId="7806AF94"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2705223C" w14:textId="77777777" w:rsidR="000901CF" w:rsidRPr="000901CF" w:rsidRDefault="000901CF" w:rsidP="00845892">
            <w:pPr>
              <w:jc w:val="center"/>
              <w:rPr>
                <w:rFonts w:ascii="Sylfaen" w:hAnsi="Sylfaen"/>
                <w:color w:val="000000" w:themeColor="text1"/>
                <w:sz w:val="18"/>
              </w:rPr>
            </w:pPr>
            <w:r w:rsidRPr="000901CF">
              <w:rPr>
                <w:rFonts w:ascii="Sylfaen" w:hAnsi="Sylfaen"/>
                <w:bCs/>
                <w:color w:val="000000" w:themeColor="text1"/>
                <w:sz w:val="18"/>
                <w:szCs w:val="22"/>
              </w:rPr>
              <w:t>2011</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0AFF1CF6" w14:textId="77777777" w:rsidR="000901CF" w:rsidRPr="000901CF" w:rsidRDefault="000901CF" w:rsidP="00845892">
            <w:pPr>
              <w:jc w:val="center"/>
              <w:rPr>
                <w:rFonts w:ascii="Sylfaen" w:hAnsi="Sylfaen"/>
                <w:color w:val="000000" w:themeColor="text1"/>
                <w:sz w:val="18"/>
                <w:lang w:val="ka-GE"/>
              </w:rPr>
            </w:pPr>
            <w:r w:rsidRPr="000901CF">
              <w:rPr>
                <w:rFonts w:ascii="Sylfaen" w:hAnsi="Sylfaen"/>
                <w:color w:val="000000" w:themeColor="text1"/>
                <w:sz w:val="18"/>
                <w:szCs w:val="22"/>
                <w:lang w:val="ka-GE"/>
              </w:rPr>
              <w:t>71.0</w:t>
            </w:r>
          </w:p>
        </w:tc>
      </w:tr>
      <w:tr w:rsidR="000901CF" w:rsidRPr="000901CF" w14:paraId="701F17CC"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14:paraId="338AB308" w14:textId="77777777" w:rsidR="000901CF" w:rsidRPr="000901CF" w:rsidRDefault="000901CF" w:rsidP="00845892">
            <w:pPr>
              <w:jc w:val="center"/>
              <w:rPr>
                <w:rFonts w:ascii="Sylfaen" w:hAnsi="Sylfaen"/>
                <w:color w:val="000000" w:themeColor="text1"/>
                <w:sz w:val="18"/>
              </w:rPr>
            </w:pPr>
            <w:r w:rsidRPr="000901CF">
              <w:rPr>
                <w:rFonts w:ascii="Sylfaen" w:hAnsi="Sylfaen"/>
                <w:bCs/>
                <w:color w:val="000000" w:themeColor="text1"/>
                <w:sz w:val="18"/>
                <w:szCs w:val="22"/>
              </w:rPr>
              <w:t>2012</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14:paraId="6B0313E5" w14:textId="77777777" w:rsidR="000901CF" w:rsidRPr="000901CF" w:rsidRDefault="000901CF" w:rsidP="00845892">
            <w:pPr>
              <w:jc w:val="center"/>
              <w:rPr>
                <w:rFonts w:ascii="Sylfaen" w:hAnsi="Sylfaen"/>
                <w:color w:val="000000" w:themeColor="text1"/>
                <w:sz w:val="18"/>
                <w:lang w:val="ka-GE"/>
              </w:rPr>
            </w:pPr>
            <w:r w:rsidRPr="000901CF">
              <w:rPr>
                <w:rFonts w:ascii="Sylfaen" w:hAnsi="Sylfaen"/>
                <w:color w:val="000000" w:themeColor="text1"/>
                <w:sz w:val="18"/>
                <w:szCs w:val="22"/>
                <w:lang w:val="ka-GE"/>
              </w:rPr>
              <w:t>71.2</w:t>
            </w:r>
          </w:p>
        </w:tc>
      </w:tr>
      <w:tr w:rsidR="000901CF" w:rsidRPr="000901CF" w14:paraId="076DD552"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14:paraId="73E0E49E" w14:textId="77777777" w:rsidR="000901CF" w:rsidRPr="000901CF" w:rsidRDefault="000901CF" w:rsidP="00845892">
            <w:pPr>
              <w:jc w:val="center"/>
              <w:rPr>
                <w:rFonts w:ascii="Sylfaen" w:hAnsi="Sylfaen"/>
                <w:color w:val="000000" w:themeColor="text1"/>
                <w:sz w:val="18"/>
              </w:rPr>
            </w:pPr>
            <w:r w:rsidRPr="000901CF">
              <w:rPr>
                <w:rFonts w:ascii="Sylfaen" w:hAnsi="Sylfaen"/>
                <w:bCs/>
                <w:color w:val="000000" w:themeColor="text1"/>
                <w:sz w:val="18"/>
                <w:szCs w:val="22"/>
              </w:rPr>
              <w:t>2013</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14:paraId="15AF76D0" w14:textId="77777777" w:rsidR="000901CF" w:rsidRPr="000901CF" w:rsidRDefault="000901CF" w:rsidP="00845892">
            <w:pPr>
              <w:jc w:val="center"/>
              <w:rPr>
                <w:rFonts w:ascii="Sylfaen" w:hAnsi="Sylfaen"/>
                <w:color w:val="000000" w:themeColor="text1"/>
                <w:sz w:val="18"/>
                <w:lang w:val="ka-GE"/>
              </w:rPr>
            </w:pPr>
            <w:r w:rsidRPr="000901CF">
              <w:rPr>
                <w:rFonts w:ascii="Sylfaen" w:hAnsi="Sylfaen"/>
                <w:color w:val="000000" w:themeColor="text1"/>
                <w:sz w:val="18"/>
                <w:szCs w:val="22"/>
                <w:lang w:val="ka-GE"/>
              </w:rPr>
              <w:t>70.9</w:t>
            </w:r>
          </w:p>
        </w:tc>
      </w:tr>
      <w:tr w:rsidR="000901CF" w:rsidRPr="000901CF" w14:paraId="2AD53E7E"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14:paraId="1B9D5068" w14:textId="77777777" w:rsidR="000901CF" w:rsidRPr="000901CF" w:rsidRDefault="000901CF" w:rsidP="00845892">
            <w:pPr>
              <w:jc w:val="center"/>
              <w:rPr>
                <w:rFonts w:ascii="Sylfaen" w:hAnsi="Sylfaen"/>
                <w:color w:val="000000" w:themeColor="text1"/>
                <w:sz w:val="18"/>
              </w:rPr>
            </w:pPr>
            <w:r w:rsidRPr="000901CF">
              <w:rPr>
                <w:rFonts w:ascii="Sylfaen" w:hAnsi="Sylfaen"/>
                <w:bCs/>
                <w:color w:val="000000" w:themeColor="text1"/>
                <w:sz w:val="18"/>
                <w:szCs w:val="22"/>
              </w:rPr>
              <w:t>2014</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14:paraId="7D22604C" w14:textId="77777777" w:rsidR="000901CF" w:rsidRPr="000901CF" w:rsidRDefault="000901CF" w:rsidP="00845892">
            <w:pPr>
              <w:jc w:val="center"/>
              <w:rPr>
                <w:rFonts w:ascii="Sylfaen" w:hAnsi="Sylfaen"/>
                <w:color w:val="000000" w:themeColor="text1"/>
                <w:sz w:val="18"/>
                <w:lang w:val="ka-GE"/>
              </w:rPr>
            </w:pPr>
            <w:r w:rsidRPr="000901CF">
              <w:rPr>
                <w:rFonts w:ascii="Sylfaen" w:hAnsi="Sylfaen"/>
                <w:color w:val="000000" w:themeColor="text1"/>
                <w:sz w:val="18"/>
                <w:szCs w:val="22"/>
                <w:lang w:val="ka-GE"/>
              </w:rPr>
              <w:t>70.9</w:t>
            </w:r>
          </w:p>
        </w:tc>
      </w:tr>
      <w:tr w:rsidR="000901CF" w:rsidRPr="000901CF" w14:paraId="0397D045"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14:paraId="51CB3D6A" w14:textId="77777777" w:rsidR="000901CF" w:rsidRPr="000901CF" w:rsidRDefault="000901CF" w:rsidP="00845892">
            <w:pPr>
              <w:jc w:val="center"/>
              <w:rPr>
                <w:rFonts w:ascii="Sylfaen" w:hAnsi="Sylfaen"/>
                <w:color w:val="000000" w:themeColor="text1"/>
                <w:sz w:val="18"/>
              </w:rPr>
            </w:pPr>
            <w:r w:rsidRPr="000901CF">
              <w:rPr>
                <w:rFonts w:ascii="Sylfaen" w:hAnsi="Sylfaen"/>
                <w:bCs/>
                <w:color w:val="000000" w:themeColor="text1"/>
                <w:sz w:val="18"/>
                <w:szCs w:val="22"/>
              </w:rPr>
              <w:t>2015</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14:paraId="7CFFFCF2" w14:textId="77777777" w:rsidR="000901CF" w:rsidRPr="000901CF" w:rsidRDefault="000901CF" w:rsidP="00845892">
            <w:pPr>
              <w:jc w:val="center"/>
              <w:rPr>
                <w:rFonts w:ascii="Sylfaen" w:hAnsi="Sylfaen"/>
                <w:color w:val="000000" w:themeColor="text1"/>
                <w:sz w:val="18"/>
                <w:lang w:val="ka-GE"/>
              </w:rPr>
            </w:pPr>
            <w:r w:rsidRPr="000901CF">
              <w:rPr>
                <w:rFonts w:ascii="Sylfaen" w:hAnsi="Sylfaen"/>
                <w:color w:val="000000" w:themeColor="text1"/>
                <w:sz w:val="18"/>
                <w:szCs w:val="22"/>
                <w:lang w:val="ka-GE"/>
              </w:rPr>
              <w:t>58.3</w:t>
            </w:r>
          </w:p>
        </w:tc>
      </w:tr>
      <w:tr w:rsidR="000901CF" w:rsidRPr="000901CF" w14:paraId="6854C67B"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14:paraId="721DA062" w14:textId="77777777" w:rsidR="000901CF" w:rsidRPr="000901CF" w:rsidRDefault="000901CF" w:rsidP="00845892">
            <w:pPr>
              <w:jc w:val="center"/>
              <w:rPr>
                <w:rFonts w:ascii="Sylfaen" w:hAnsi="Sylfaen"/>
                <w:color w:val="000000" w:themeColor="text1"/>
                <w:sz w:val="18"/>
              </w:rPr>
            </w:pPr>
            <w:r w:rsidRPr="000901CF">
              <w:rPr>
                <w:rFonts w:ascii="Sylfaen" w:hAnsi="Sylfaen"/>
                <w:bCs/>
                <w:color w:val="000000" w:themeColor="text1"/>
                <w:sz w:val="18"/>
                <w:szCs w:val="22"/>
              </w:rPr>
              <w:t>2016</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14:paraId="759ECE14" w14:textId="77777777" w:rsidR="000901CF" w:rsidRPr="000901CF" w:rsidRDefault="000901CF" w:rsidP="00845892">
            <w:pPr>
              <w:jc w:val="center"/>
              <w:rPr>
                <w:rFonts w:ascii="Sylfaen" w:hAnsi="Sylfaen"/>
                <w:color w:val="000000" w:themeColor="text1"/>
                <w:sz w:val="18"/>
                <w:lang w:val="ka-GE"/>
              </w:rPr>
            </w:pPr>
            <w:r w:rsidRPr="000901CF">
              <w:rPr>
                <w:rFonts w:ascii="Sylfaen" w:hAnsi="Sylfaen"/>
                <w:color w:val="000000" w:themeColor="text1"/>
                <w:sz w:val="18"/>
                <w:szCs w:val="22"/>
                <w:lang w:val="ka-GE"/>
              </w:rPr>
              <w:t>38.7</w:t>
            </w:r>
          </w:p>
        </w:tc>
      </w:tr>
      <w:tr w:rsidR="000901CF" w:rsidRPr="000901CF" w14:paraId="132AE849"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14:paraId="174F4835" w14:textId="77777777" w:rsidR="000901CF" w:rsidRPr="000901CF" w:rsidRDefault="000901CF" w:rsidP="00845892">
            <w:pPr>
              <w:jc w:val="center"/>
              <w:rPr>
                <w:rFonts w:ascii="Sylfaen" w:hAnsi="Sylfaen"/>
                <w:color w:val="000000" w:themeColor="text1"/>
                <w:sz w:val="18"/>
              </w:rPr>
            </w:pPr>
            <w:r w:rsidRPr="000901CF">
              <w:rPr>
                <w:rFonts w:ascii="Sylfaen" w:hAnsi="Sylfaen"/>
                <w:bCs/>
                <w:color w:val="000000" w:themeColor="text1"/>
                <w:sz w:val="18"/>
                <w:szCs w:val="22"/>
              </w:rPr>
              <w:t>2017</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14:paraId="5791E5D4" w14:textId="77777777" w:rsidR="000901CF" w:rsidRPr="000901CF" w:rsidRDefault="000901CF" w:rsidP="00845892">
            <w:pPr>
              <w:jc w:val="center"/>
              <w:rPr>
                <w:rFonts w:ascii="Sylfaen" w:hAnsi="Sylfaen"/>
                <w:color w:val="000000" w:themeColor="text1"/>
                <w:sz w:val="18"/>
                <w:lang w:val="ka-GE"/>
              </w:rPr>
            </w:pPr>
            <w:r w:rsidRPr="000901CF">
              <w:rPr>
                <w:rFonts w:ascii="Sylfaen" w:hAnsi="Sylfaen"/>
                <w:color w:val="000000" w:themeColor="text1"/>
                <w:sz w:val="18"/>
                <w:szCs w:val="22"/>
                <w:lang w:val="ka-GE"/>
              </w:rPr>
              <w:t>38.6</w:t>
            </w:r>
          </w:p>
        </w:tc>
      </w:tr>
    </w:tbl>
    <w:p w14:paraId="46F6472E" w14:textId="77777777" w:rsidR="000901CF" w:rsidRPr="00F80CCF" w:rsidRDefault="000901CF" w:rsidP="00E12C77">
      <w:pPr>
        <w:spacing w:before="120" w:after="120"/>
        <w:rPr>
          <w:rFonts w:ascii="Sylfaen" w:hAnsi="Sylfaen"/>
          <w:szCs w:val="22"/>
          <w:lang w:val="ka-GE"/>
        </w:rPr>
      </w:pPr>
      <w:r w:rsidRPr="00F80CCF">
        <w:rPr>
          <w:rFonts w:ascii="Sylfaen" w:hAnsi="Sylfaen"/>
          <w:szCs w:val="22"/>
          <w:lang w:val="ka-GE"/>
        </w:rPr>
        <w:lastRenderedPageBreak/>
        <w:t>2017 წლის მონაცემებით (საქართველოს ადგილობრივ თვითმმართველობათა ოფიციალური ვებ გვერდის მონაცემებით) თელავის მუნიციპალიტეტის მოსახლეობა შეადგენს 70000 ადამიანს (რაც საქართველოს მოსახლეობის დაახლოებით 1.8% შეადგენს), მაშინ, როდესაც 2014 წლის საყოველთაო აღწერის შედეგად, ოფიციალური მონაცემებით, თელავის მუნიციპალიტეტის მოსახლეობა შეადგენდა 54 337 ადამიანს.</w:t>
      </w:r>
    </w:p>
    <w:tbl>
      <w:tblPr>
        <w:tblW w:w="10440" w:type="dxa"/>
        <w:tblInd w:w="-8" w:type="dxa"/>
        <w:tblBorders>
          <w:top w:val="outset" w:sz="6" w:space="0" w:color="485870"/>
          <w:left w:val="outset" w:sz="6" w:space="0" w:color="485870"/>
          <w:bottom w:val="outset" w:sz="6" w:space="0" w:color="485870"/>
          <w:right w:val="outset" w:sz="6" w:space="0" w:color="485870"/>
        </w:tblBorders>
        <w:shd w:val="clear" w:color="auto" w:fill="FFFFFF"/>
        <w:tblCellMar>
          <w:top w:w="45" w:type="dxa"/>
          <w:left w:w="45" w:type="dxa"/>
          <w:bottom w:w="45" w:type="dxa"/>
          <w:right w:w="45" w:type="dxa"/>
        </w:tblCellMar>
        <w:tblLook w:val="04A0" w:firstRow="1" w:lastRow="0" w:firstColumn="1" w:lastColumn="0" w:noHBand="0" w:noVBand="1"/>
      </w:tblPr>
      <w:tblGrid>
        <w:gridCol w:w="1350"/>
        <w:gridCol w:w="810"/>
        <w:gridCol w:w="810"/>
        <w:gridCol w:w="810"/>
        <w:gridCol w:w="900"/>
        <w:gridCol w:w="810"/>
        <w:gridCol w:w="873"/>
        <w:gridCol w:w="751"/>
        <w:gridCol w:w="751"/>
        <w:gridCol w:w="775"/>
        <w:gridCol w:w="810"/>
        <w:gridCol w:w="990"/>
      </w:tblGrid>
      <w:tr w:rsidR="000901CF" w:rsidRPr="00092D1D" w14:paraId="0EFCD44B" w14:textId="77777777" w:rsidTr="00092D1D">
        <w:tc>
          <w:tcPr>
            <w:tcW w:w="10440" w:type="dxa"/>
            <w:gridSpan w:val="12"/>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619E3FA7" w14:textId="77777777" w:rsidR="000901CF" w:rsidRPr="00092D1D" w:rsidRDefault="000901CF" w:rsidP="00845892">
            <w:pPr>
              <w:jc w:val="center"/>
              <w:rPr>
                <w:rFonts w:ascii="Sylfaen" w:hAnsi="Sylfaen"/>
                <w:b/>
                <w:color w:val="666868"/>
                <w:sz w:val="18"/>
              </w:rPr>
            </w:pPr>
            <w:r w:rsidRPr="00092D1D">
              <w:rPr>
                <w:rFonts w:ascii="Sylfaen" w:hAnsi="Sylfaen"/>
                <w:b/>
                <w:color w:val="666868"/>
                <w:sz w:val="18"/>
                <w:szCs w:val="22"/>
                <w:lang w:val="ka-GE"/>
              </w:rPr>
              <w:t xml:space="preserve">საქართველოს მოსახლეობის </w:t>
            </w:r>
            <w:r w:rsidRPr="00092D1D">
              <w:rPr>
                <w:rFonts w:ascii="Sylfaen" w:hAnsi="Sylfaen"/>
                <w:b/>
                <w:color w:val="666868"/>
                <w:sz w:val="18"/>
                <w:szCs w:val="22"/>
              </w:rPr>
              <w:t>ძირითადი დემოგრაფიული მაჩვენებლები</w:t>
            </w:r>
          </w:p>
        </w:tc>
      </w:tr>
      <w:tr w:rsidR="000901CF" w:rsidRPr="00092D1D" w14:paraId="141F5751" w14:textId="77777777" w:rsidTr="00092D1D">
        <w:trPr>
          <w:trHeight w:val="420"/>
        </w:trPr>
        <w:tc>
          <w:tcPr>
            <w:tcW w:w="135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146906EF" w14:textId="77777777" w:rsidR="000901CF" w:rsidRPr="00092D1D" w:rsidRDefault="000901CF" w:rsidP="00845892">
            <w:pPr>
              <w:rPr>
                <w:rFonts w:ascii="Sylfaen" w:hAnsi="Sylfaen"/>
                <w:b/>
                <w:color w:val="666868"/>
                <w:sz w:val="18"/>
              </w:rPr>
            </w:pP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1C3BAF75" w14:textId="77777777" w:rsidR="000901CF" w:rsidRPr="00092D1D" w:rsidRDefault="000901CF" w:rsidP="00845892">
            <w:pPr>
              <w:jc w:val="center"/>
              <w:rPr>
                <w:rFonts w:ascii="Sylfaen" w:hAnsi="Sylfaen"/>
                <w:b/>
                <w:color w:val="666868"/>
                <w:sz w:val="18"/>
              </w:rPr>
            </w:pPr>
            <w:r w:rsidRPr="00092D1D">
              <w:rPr>
                <w:rFonts w:ascii="Sylfaen" w:hAnsi="Sylfaen"/>
                <w:b/>
                <w:color w:val="666868"/>
                <w:sz w:val="18"/>
                <w:szCs w:val="22"/>
              </w:rPr>
              <w:t>2007</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38C6CA8F" w14:textId="77777777" w:rsidR="000901CF" w:rsidRPr="00092D1D" w:rsidRDefault="000901CF" w:rsidP="00845892">
            <w:pPr>
              <w:jc w:val="center"/>
              <w:rPr>
                <w:rFonts w:ascii="Sylfaen" w:hAnsi="Sylfaen"/>
                <w:b/>
                <w:color w:val="666868"/>
                <w:sz w:val="18"/>
              </w:rPr>
            </w:pPr>
            <w:r w:rsidRPr="00092D1D">
              <w:rPr>
                <w:rFonts w:ascii="Sylfaen" w:hAnsi="Sylfaen"/>
                <w:b/>
                <w:color w:val="666868"/>
                <w:sz w:val="18"/>
                <w:szCs w:val="22"/>
              </w:rPr>
              <w:t>2008</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3D55AC7C" w14:textId="77777777" w:rsidR="000901CF" w:rsidRPr="00092D1D" w:rsidRDefault="000901CF" w:rsidP="00845892">
            <w:pPr>
              <w:jc w:val="center"/>
              <w:rPr>
                <w:rFonts w:ascii="Sylfaen" w:hAnsi="Sylfaen"/>
                <w:b/>
                <w:color w:val="666868"/>
                <w:sz w:val="18"/>
              </w:rPr>
            </w:pPr>
            <w:r w:rsidRPr="00092D1D">
              <w:rPr>
                <w:rFonts w:ascii="Sylfaen" w:hAnsi="Sylfaen"/>
                <w:b/>
                <w:color w:val="666868"/>
                <w:sz w:val="18"/>
                <w:szCs w:val="22"/>
              </w:rPr>
              <w:t>2009</w:t>
            </w:r>
          </w:p>
        </w:tc>
        <w:tc>
          <w:tcPr>
            <w:tcW w:w="90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1AC6F767" w14:textId="77777777" w:rsidR="000901CF" w:rsidRPr="00092D1D" w:rsidRDefault="000901CF" w:rsidP="00845892">
            <w:pPr>
              <w:jc w:val="center"/>
              <w:rPr>
                <w:rFonts w:ascii="Sylfaen" w:hAnsi="Sylfaen"/>
                <w:b/>
                <w:color w:val="666868"/>
                <w:sz w:val="18"/>
              </w:rPr>
            </w:pPr>
            <w:r w:rsidRPr="00092D1D">
              <w:rPr>
                <w:rFonts w:ascii="Sylfaen" w:hAnsi="Sylfaen"/>
                <w:b/>
                <w:color w:val="666868"/>
                <w:sz w:val="18"/>
                <w:szCs w:val="22"/>
              </w:rPr>
              <w:t>2010</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5E0DE28A" w14:textId="77777777" w:rsidR="000901CF" w:rsidRPr="00092D1D" w:rsidRDefault="000901CF" w:rsidP="00845892">
            <w:pPr>
              <w:jc w:val="center"/>
              <w:rPr>
                <w:rFonts w:ascii="Sylfaen" w:hAnsi="Sylfaen"/>
                <w:b/>
                <w:color w:val="666868"/>
                <w:sz w:val="18"/>
              </w:rPr>
            </w:pPr>
            <w:r w:rsidRPr="00092D1D">
              <w:rPr>
                <w:rFonts w:ascii="Sylfaen" w:hAnsi="Sylfaen"/>
                <w:b/>
                <w:color w:val="666868"/>
                <w:sz w:val="18"/>
                <w:szCs w:val="22"/>
              </w:rPr>
              <w:t>2011</w:t>
            </w:r>
          </w:p>
        </w:tc>
        <w:tc>
          <w:tcPr>
            <w:tcW w:w="873"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55B8A3D8" w14:textId="77777777" w:rsidR="000901CF" w:rsidRPr="00092D1D" w:rsidRDefault="000901CF" w:rsidP="00845892">
            <w:pPr>
              <w:jc w:val="center"/>
              <w:rPr>
                <w:rFonts w:ascii="Sylfaen" w:hAnsi="Sylfaen"/>
                <w:b/>
                <w:color w:val="666868"/>
                <w:sz w:val="18"/>
              </w:rPr>
            </w:pPr>
            <w:r w:rsidRPr="00092D1D">
              <w:rPr>
                <w:rFonts w:ascii="Sylfaen" w:hAnsi="Sylfaen"/>
                <w:b/>
                <w:color w:val="666868"/>
                <w:sz w:val="18"/>
                <w:szCs w:val="22"/>
              </w:rPr>
              <w:t>2012</w:t>
            </w:r>
          </w:p>
        </w:tc>
        <w:tc>
          <w:tcPr>
            <w:tcW w:w="0" w:type="auto"/>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27727BE6" w14:textId="77777777" w:rsidR="000901CF" w:rsidRPr="00092D1D" w:rsidRDefault="000901CF" w:rsidP="00845892">
            <w:pPr>
              <w:jc w:val="center"/>
              <w:rPr>
                <w:rFonts w:ascii="Sylfaen" w:hAnsi="Sylfaen"/>
                <w:b/>
                <w:color w:val="666868"/>
                <w:sz w:val="18"/>
              </w:rPr>
            </w:pPr>
            <w:r w:rsidRPr="00092D1D">
              <w:rPr>
                <w:rFonts w:ascii="Sylfaen" w:hAnsi="Sylfaen"/>
                <w:b/>
                <w:color w:val="666868"/>
                <w:sz w:val="18"/>
                <w:szCs w:val="22"/>
              </w:rPr>
              <w:t>2013</w:t>
            </w:r>
          </w:p>
        </w:tc>
        <w:tc>
          <w:tcPr>
            <w:tcW w:w="751"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6E07E5A4" w14:textId="77777777" w:rsidR="000901CF" w:rsidRPr="00092D1D" w:rsidRDefault="000901CF" w:rsidP="00845892">
            <w:pPr>
              <w:jc w:val="center"/>
              <w:rPr>
                <w:rFonts w:ascii="Sylfaen" w:hAnsi="Sylfaen"/>
                <w:b/>
                <w:color w:val="666868"/>
                <w:sz w:val="18"/>
              </w:rPr>
            </w:pPr>
            <w:r w:rsidRPr="00092D1D">
              <w:rPr>
                <w:rFonts w:ascii="Sylfaen" w:hAnsi="Sylfaen"/>
                <w:b/>
                <w:color w:val="666868"/>
                <w:sz w:val="18"/>
                <w:szCs w:val="22"/>
              </w:rPr>
              <w:t>2014</w:t>
            </w:r>
          </w:p>
        </w:tc>
        <w:tc>
          <w:tcPr>
            <w:tcW w:w="775"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4001C288" w14:textId="77777777" w:rsidR="000901CF" w:rsidRPr="00092D1D" w:rsidRDefault="000901CF" w:rsidP="00845892">
            <w:pPr>
              <w:jc w:val="center"/>
              <w:rPr>
                <w:rFonts w:ascii="Sylfaen" w:hAnsi="Sylfaen"/>
                <w:b/>
                <w:color w:val="666868"/>
                <w:sz w:val="18"/>
              </w:rPr>
            </w:pPr>
            <w:r w:rsidRPr="00092D1D">
              <w:rPr>
                <w:rFonts w:ascii="Sylfaen" w:hAnsi="Sylfaen"/>
                <w:b/>
                <w:color w:val="666868"/>
                <w:sz w:val="18"/>
                <w:szCs w:val="22"/>
              </w:rPr>
              <w:t>2015</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1E90C249" w14:textId="77777777" w:rsidR="000901CF" w:rsidRPr="00092D1D" w:rsidRDefault="000901CF" w:rsidP="00845892">
            <w:pPr>
              <w:jc w:val="center"/>
              <w:rPr>
                <w:rFonts w:ascii="Sylfaen" w:hAnsi="Sylfaen"/>
                <w:b/>
                <w:color w:val="666868"/>
                <w:sz w:val="18"/>
              </w:rPr>
            </w:pPr>
            <w:r w:rsidRPr="00092D1D">
              <w:rPr>
                <w:rFonts w:ascii="Sylfaen" w:hAnsi="Sylfaen"/>
                <w:b/>
                <w:color w:val="666868"/>
                <w:sz w:val="18"/>
                <w:szCs w:val="22"/>
              </w:rPr>
              <w:t>2016</w:t>
            </w:r>
          </w:p>
        </w:tc>
        <w:tc>
          <w:tcPr>
            <w:tcW w:w="99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327A2D0F" w14:textId="77777777" w:rsidR="000901CF" w:rsidRPr="00092D1D" w:rsidRDefault="000901CF" w:rsidP="00845892">
            <w:pPr>
              <w:jc w:val="center"/>
              <w:rPr>
                <w:rFonts w:ascii="Sylfaen" w:hAnsi="Sylfaen"/>
                <w:b/>
                <w:color w:val="666868"/>
                <w:sz w:val="18"/>
              </w:rPr>
            </w:pPr>
            <w:r w:rsidRPr="00092D1D">
              <w:rPr>
                <w:rFonts w:ascii="Sylfaen" w:hAnsi="Sylfaen"/>
                <w:b/>
                <w:color w:val="666868"/>
                <w:sz w:val="18"/>
                <w:szCs w:val="22"/>
              </w:rPr>
              <w:t>2017</w:t>
            </w:r>
          </w:p>
        </w:tc>
      </w:tr>
      <w:tr w:rsidR="000901CF" w:rsidRPr="00092D1D" w14:paraId="50256705" w14:textId="77777777" w:rsidTr="00092D1D">
        <w:trPr>
          <w:trHeight w:val="375"/>
        </w:trPr>
        <w:tc>
          <w:tcPr>
            <w:tcW w:w="135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1165811D" w14:textId="77777777" w:rsidR="000901CF" w:rsidRPr="00092D1D" w:rsidRDefault="000901CF" w:rsidP="00845892">
            <w:pPr>
              <w:rPr>
                <w:rFonts w:ascii="Sylfaen" w:hAnsi="Sylfaen"/>
                <w:b/>
                <w:color w:val="666868"/>
                <w:sz w:val="18"/>
              </w:rPr>
            </w:pPr>
            <w:r w:rsidRPr="00092D1D">
              <w:rPr>
                <w:rFonts w:ascii="Sylfaen" w:hAnsi="Sylfaen"/>
                <w:b/>
                <w:color w:val="666868"/>
                <w:sz w:val="18"/>
                <w:szCs w:val="22"/>
              </w:rPr>
              <w:t>მოსახლეობის რიცხოვნობა 1 იანვრისათვის </w:t>
            </w:r>
            <w:r w:rsidRPr="00092D1D">
              <w:rPr>
                <w:rFonts w:ascii="Sylfaen" w:hAnsi="Sylfaen"/>
                <w:b/>
                <w:color w:val="666868"/>
                <w:sz w:val="18"/>
                <w:szCs w:val="22"/>
              </w:rPr>
              <w:br/>
              <w:t>(ათასი კაცი)</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7E170255" w14:textId="77777777" w:rsidR="000901CF" w:rsidRPr="00092D1D" w:rsidRDefault="000901CF" w:rsidP="00845892">
            <w:pPr>
              <w:spacing w:before="100" w:beforeAutospacing="1"/>
              <w:rPr>
                <w:rFonts w:ascii="Sylfaen" w:hAnsi="Sylfaen"/>
                <w:b/>
                <w:color w:val="666868"/>
                <w:sz w:val="18"/>
              </w:rPr>
            </w:pPr>
            <w:r w:rsidRPr="00092D1D">
              <w:rPr>
                <w:rFonts w:ascii="Sylfaen" w:hAnsi="Sylfaen"/>
                <w:b/>
                <w:color w:val="666868"/>
                <w:sz w:val="18"/>
                <w:szCs w:val="22"/>
              </w:rPr>
              <w:t>4 394.7</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53C17E0C" w14:textId="77777777" w:rsidR="000901CF" w:rsidRPr="00092D1D" w:rsidRDefault="000901CF" w:rsidP="00845892">
            <w:pPr>
              <w:spacing w:before="100" w:beforeAutospacing="1" w:after="100" w:afterAutospacing="1"/>
              <w:rPr>
                <w:rFonts w:ascii="Sylfaen" w:hAnsi="Sylfaen"/>
                <w:b/>
                <w:color w:val="666868"/>
                <w:sz w:val="18"/>
              </w:rPr>
            </w:pPr>
            <w:r w:rsidRPr="00092D1D">
              <w:rPr>
                <w:rFonts w:ascii="Sylfaen" w:hAnsi="Sylfaen"/>
                <w:b/>
                <w:color w:val="666868"/>
                <w:sz w:val="18"/>
                <w:szCs w:val="22"/>
              </w:rPr>
              <w:t>4382.1</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410D8646" w14:textId="77777777" w:rsidR="000901CF" w:rsidRPr="00092D1D" w:rsidRDefault="000901CF" w:rsidP="00845892">
            <w:pPr>
              <w:spacing w:before="100" w:beforeAutospacing="1" w:after="100" w:afterAutospacing="1"/>
              <w:rPr>
                <w:rFonts w:ascii="Sylfaen" w:hAnsi="Sylfaen"/>
                <w:b/>
                <w:color w:val="666868"/>
                <w:sz w:val="18"/>
              </w:rPr>
            </w:pPr>
            <w:r w:rsidRPr="00092D1D">
              <w:rPr>
                <w:rFonts w:ascii="Sylfaen" w:hAnsi="Sylfaen"/>
                <w:b/>
                <w:color w:val="666868"/>
                <w:sz w:val="18"/>
                <w:szCs w:val="22"/>
              </w:rPr>
              <w:t>4 385.4</w:t>
            </w:r>
          </w:p>
        </w:tc>
        <w:tc>
          <w:tcPr>
            <w:tcW w:w="90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3EE50532" w14:textId="77777777" w:rsidR="000901CF" w:rsidRPr="00092D1D" w:rsidRDefault="000901CF" w:rsidP="00845892">
            <w:pPr>
              <w:spacing w:before="100" w:beforeAutospacing="1" w:after="100" w:afterAutospacing="1"/>
              <w:rPr>
                <w:rFonts w:ascii="Sylfaen" w:hAnsi="Sylfaen"/>
                <w:b/>
                <w:color w:val="666868"/>
                <w:sz w:val="18"/>
              </w:rPr>
            </w:pPr>
            <w:r w:rsidRPr="00092D1D">
              <w:rPr>
                <w:rFonts w:ascii="Sylfaen" w:hAnsi="Sylfaen"/>
                <w:b/>
                <w:color w:val="666868"/>
                <w:sz w:val="18"/>
                <w:szCs w:val="22"/>
              </w:rPr>
              <w:t>4 436.4</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730519DD" w14:textId="77777777" w:rsidR="000901CF" w:rsidRPr="00092D1D" w:rsidRDefault="000901CF" w:rsidP="00845892">
            <w:pPr>
              <w:spacing w:before="100" w:beforeAutospacing="1" w:after="100" w:afterAutospacing="1"/>
              <w:rPr>
                <w:rFonts w:ascii="Sylfaen" w:hAnsi="Sylfaen"/>
                <w:b/>
                <w:color w:val="666868"/>
                <w:sz w:val="18"/>
              </w:rPr>
            </w:pPr>
            <w:r w:rsidRPr="00092D1D">
              <w:rPr>
                <w:rFonts w:ascii="Sylfaen" w:hAnsi="Sylfaen"/>
                <w:b/>
                <w:color w:val="666868"/>
                <w:sz w:val="18"/>
                <w:szCs w:val="22"/>
              </w:rPr>
              <w:t>4 469.2</w:t>
            </w:r>
          </w:p>
        </w:tc>
        <w:tc>
          <w:tcPr>
            <w:tcW w:w="873"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25BE3729" w14:textId="77777777" w:rsidR="000901CF" w:rsidRPr="00092D1D" w:rsidRDefault="000901CF" w:rsidP="00845892">
            <w:pPr>
              <w:spacing w:before="100" w:beforeAutospacing="1" w:after="100" w:afterAutospacing="1"/>
              <w:rPr>
                <w:rFonts w:ascii="Sylfaen" w:hAnsi="Sylfaen"/>
                <w:b/>
                <w:color w:val="666868"/>
                <w:sz w:val="18"/>
              </w:rPr>
            </w:pPr>
            <w:r w:rsidRPr="00092D1D">
              <w:rPr>
                <w:rFonts w:ascii="Sylfaen" w:hAnsi="Sylfaen"/>
                <w:b/>
                <w:color w:val="666868"/>
                <w:sz w:val="18"/>
                <w:szCs w:val="22"/>
              </w:rPr>
              <w:t>4 497.6</w:t>
            </w:r>
          </w:p>
        </w:tc>
        <w:tc>
          <w:tcPr>
            <w:tcW w:w="751"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0D56EDC0" w14:textId="77777777" w:rsidR="000901CF" w:rsidRPr="00092D1D" w:rsidRDefault="000901CF" w:rsidP="00845892">
            <w:pPr>
              <w:spacing w:before="100" w:beforeAutospacing="1" w:after="100" w:afterAutospacing="1"/>
              <w:rPr>
                <w:rFonts w:ascii="Sylfaen" w:hAnsi="Sylfaen"/>
                <w:b/>
                <w:color w:val="666868"/>
                <w:sz w:val="18"/>
              </w:rPr>
            </w:pPr>
            <w:r w:rsidRPr="00092D1D">
              <w:rPr>
                <w:rFonts w:ascii="Sylfaen" w:hAnsi="Sylfaen"/>
                <w:b/>
                <w:color w:val="666868"/>
                <w:sz w:val="18"/>
                <w:szCs w:val="22"/>
              </w:rPr>
              <w:t>4483.8</w:t>
            </w:r>
          </w:p>
        </w:tc>
        <w:tc>
          <w:tcPr>
            <w:tcW w:w="751"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5AEB87A9" w14:textId="77777777" w:rsidR="000901CF" w:rsidRPr="00092D1D" w:rsidRDefault="000901CF" w:rsidP="00845892">
            <w:pPr>
              <w:rPr>
                <w:rFonts w:ascii="Sylfaen" w:hAnsi="Sylfaen"/>
                <w:b/>
                <w:color w:val="666868"/>
                <w:sz w:val="18"/>
              </w:rPr>
            </w:pPr>
            <w:r w:rsidRPr="00092D1D">
              <w:rPr>
                <w:rFonts w:ascii="Sylfaen" w:hAnsi="Sylfaen"/>
                <w:b/>
                <w:color w:val="666868"/>
                <w:sz w:val="18"/>
                <w:szCs w:val="22"/>
              </w:rPr>
              <w:t>4490.5</w:t>
            </w:r>
          </w:p>
        </w:tc>
        <w:tc>
          <w:tcPr>
            <w:tcW w:w="775"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18C03EFB" w14:textId="77777777" w:rsidR="000901CF" w:rsidRPr="00092D1D" w:rsidRDefault="000901CF" w:rsidP="00845892">
            <w:pPr>
              <w:rPr>
                <w:rFonts w:ascii="Sylfaen" w:hAnsi="Sylfaen"/>
                <w:b/>
                <w:color w:val="666868"/>
                <w:sz w:val="18"/>
              </w:rPr>
            </w:pPr>
            <w:r w:rsidRPr="00092D1D">
              <w:rPr>
                <w:rFonts w:ascii="Sylfaen" w:hAnsi="Sylfaen"/>
                <w:b/>
                <w:color w:val="666868"/>
                <w:sz w:val="18"/>
                <w:szCs w:val="22"/>
              </w:rPr>
              <w:t>3713.7</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223CDBD5" w14:textId="77777777" w:rsidR="000901CF" w:rsidRPr="00092D1D" w:rsidRDefault="000901CF" w:rsidP="00845892">
            <w:pPr>
              <w:rPr>
                <w:rFonts w:ascii="Sylfaen" w:hAnsi="Sylfaen"/>
                <w:b/>
                <w:color w:val="666868"/>
                <w:sz w:val="18"/>
              </w:rPr>
            </w:pPr>
            <w:r w:rsidRPr="00092D1D">
              <w:rPr>
                <w:rFonts w:ascii="Sylfaen" w:hAnsi="Sylfaen"/>
                <w:b/>
                <w:color w:val="666868"/>
                <w:sz w:val="18"/>
                <w:szCs w:val="22"/>
              </w:rPr>
              <w:t>3 720.4</w:t>
            </w:r>
          </w:p>
        </w:tc>
        <w:tc>
          <w:tcPr>
            <w:tcW w:w="99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13CA3A25" w14:textId="77777777" w:rsidR="000901CF" w:rsidRPr="00092D1D" w:rsidRDefault="000901CF" w:rsidP="00845892">
            <w:pPr>
              <w:rPr>
                <w:rFonts w:ascii="Sylfaen" w:hAnsi="Sylfaen"/>
                <w:b/>
                <w:color w:val="666868"/>
                <w:sz w:val="18"/>
              </w:rPr>
            </w:pPr>
            <w:r w:rsidRPr="00092D1D">
              <w:rPr>
                <w:rFonts w:ascii="Sylfaen" w:hAnsi="Sylfaen"/>
                <w:b/>
                <w:color w:val="666868"/>
                <w:sz w:val="18"/>
                <w:szCs w:val="22"/>
              </w:rPr>
              <w:t>3 718.2</w:t>
            </w:r>
          </w:p>
        </w:tc>
      </w:tr>
      <w:tr w:rsidR="000901CF" w:rsidRPr="00092D1D" w14:paraId="59579A21" w14:textId="77777777" w:rsidTr="00092D1D">
        <w:tc>
          <w:tcPr>
            <w:tcW w:w="10440" w:type="dxa"/>
            <w:gridSpan w:val="12"/>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45EE12E4" w14:textId="77777777" w:rsidR="000901CF" w:rsidRPr="00092D1D" w:rsidRDefault="000901CF" w:rsidP="00845892">
            <w:pPr>
              <w:rPr>
                <w:rFonts w:ascii="Sylfaen" w:hAnsi="Sylfaen"/>
                <w:b/>
                <w:color w:val="666868"/>
                <w:sz w:val="18"/>
                <w:lang w:val="ka-GE"/>
              </w:rPr>
            </w:pPr>
            <w:r w:rsidRPr="00092D1D">
              <w:rPr>
                <w:rFonts w:ascii="Sylfaen" w:hAnsi="Sylfaen"/>
                <w:b/>
                <w:sz w:val="18"/>
                <w:szCs w:val="22"/>
              </w:rPr>
              <w:t xml:space="preserve">მათ შორის </w:t>
            </w:r>
            <w:r w:rsidRPr="00092D1D">
              <w:rPr>
                <w:rFonts w:ascii="Sylfaen" w:hAnsi="Sylfaen"/>
                <w:b/>
                <w:color w:val="FF0000"/>
                <w:sz w:val="18"/>
                <w:szCs w:val="22"/>
                <w:lang w:val="ka-GE"/>
              </w:rPr>
              <w:t>გურჯაანის</w:t>
            </w:r>
            <w:r w:rsidRPr="00092D1D">
              <w:rPr>
                <w:rFonts w:ascii="Sylfaen" w:hAnsi="Sylfaen"/>
                <w:b/>
                <w:sz w:val="18"/>
                <w:szCs w:val="22"/>
                <w:lang w:val="ka-GE"/>
              </w:rPr>
              <w:t xml:space="preserve"> მუნიცპალიტეტში:</w:t>
            </w:r>
          </w:p>
        </w:tc>
      </w:tr>
      <w:tr w:rsidR="000901CF" w:rsidRPr="00092D1D" w14:paraId="0FE58BF7"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10C0D402" w14:textId="77777777" w:rsidR="000901CF" w:rsidRPr="00092D1D" w:rsidRDefault="000901CF" w:rsidP="00845892">
            <w:pPr>
              <w:jc w:val="center"/>
              <w:rPr>
                <w:rFonts w:ascii="Sylfaen" w:hAnsi="Sylfaen"/>
                <w:color w:val="000000" w:themeColor="text1"/>
                <w:sz w:val="18"/>
              </w:rPr>
            </w:pPr>
            <w:r w:rsidRPr="00092D1D">
              <w:rPr>
                <w:rFonts w:ascii="Sylfaen" w:hAnsi="Sylfaen"/>
                <w:bCs/>
                <w:color w:val="000000" w:themeColor="text1"/>
                <w:sz w:val="18"/>
                <w:szCs w:val="22"/>
              </w:rPr>
              <w:t>წელი</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50921968" w14:textId="77777777" w:rsidR="000901CF" w:rsidRPr="00092D1D" w:rsidRDefault="000901CF" w:rsidP="008C0A3D">
            <w:pPr>
              <w:jc w:val="center"/>
              <w:rPr>
                <w:rFonts w:ascii="Sylfaen" w:hAnsi="Sylfaen"/>
                <w:color w:val="000000" w:themeColor="text1"/>
                <w:sz w:val="18"/>
              </w:rPr>
            </w:pPr>
            <w:r w:rsidRPr="00092D1D">
              <w:rPr>
                <w:rFonts w:ascii="Sylfaen" w:hAnsi="Sylfaen"/>
                <w:bCs/>
                <w:color w:val="000000" w:themeColor="text1"/>
                <w:sz w:val="18"/>
                <w:szCs w:val="22"/>
              </w:rPr>
              <w:t>მოსახლეობის რიცხოვნობა 1 იანვრისათვის </w:t>
            </w:r>
            <w:r w:rsidRPr="00092D1D">
              <w:rPr>
                <w:rFonts w:ascii="Sylfaen" w:hAnsi="Sylfaen"/>
                <w:bCs/>
                <w:color w:val="000000" w:themeColor="text1"/>
                <w:sz w:val="18"/>
                <w:szCs w:val="22"/>
              </w:rPr>
              <w:br/>
              <w:t>(ათასი კაცი)</w:t>
            </w:r>
          </w:p>
        </w:tc>
      </w:tr>
      <w:tr w:rsidR="000901CF" w:rsidRPr="00092D1D" w14:paraId="7B88BEA6"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74374CC2" w14:textId="77777777" w:rsidR="000901CF" w:rsidRPr="00092D1D" w:rsidRDefault="000901CF" w:rsidP="00845892">
            <w:pPr>
              <w:jc w:val="center"/>
              <w:rPr>
                <w:rFonts w:ascii="Sylfaen" w:hAnsi="Sylfaen"/>
                <w:color w:val="000000" w:themeColor="text1"/>
                <w:sz w:val="18"/>
              </w:rPr>
            </w:pPr>
            <w:r w:rsidRPr="00092D1D">
              <w:rPr>
                <w:rFonts w:ascii="Sylfaen" w:hAnsi="Sylfaen"/>
                <w:bCs/>
                <w:color w:val="000000" w:themeColor="text1"/>
                <w:sz w:val="18"/>
                <w:szCs w:val="22"/>
              </w:rPr>
              <w:t>2007</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08889A01" w14:textId="77777777" w:rsidR="000901CF" w:rsidRPr="00092D1D" w:rsidRDefault="000901CF" w:rsidP="00845892">
            <w:pPr>
              <w:jc w:val="center"/>
              <w:rPr>
                <w:rFonts w:ascii="Sylfaen" w:hAnsi="Sylfaen"/>
                <w:color w:val="000000" w:themeColor="text1"/>
                <w:sz w:val="18"/>
                <w:lang w:val="ka-GE"/>
              </w:rPr>
            </w:pPr>
            <w:r w:rsidRPr="00092D1D">
              <w:rPr>
                <w:rFonts w:ascii="Sylfaen" w:hAnsi="Sylfaen"/>
                <w:color w:val="000000" w:themeColor="text1"/>
                <w:sz w:val="18"/>
                <w:szCs w:val="22"/>
                <w:lang w:val="ka-GE"/>
              </w:rPr>
              <w:t>70.5</w:t>
            </w:r>
          </w:p>
        </w:tc>
      </w:tr>
      <w:tr w:rsidR="000901CF" w:rsidRPr="00092D1D" w14:paraId="70DCCADA"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4806DF8A" w14:textId="77777777" w:rsidR="000901CF" w:rsidRPr="00092D1D" w:rsidRDefault="000901CF" w:rsidP="00845892">
            <w:pPr>
              <w:jc w:val="center"/>
              <w:rPr>
                <w:rFonts w:ascii="Sylfaen" w:hAnsi="Sylfaen"/>
                <w:color w:val="000000" w:themeColor="text1"/>
                <w:sz w:val="18"/>
              </w:rPr>
            </w:pPr>
            <w:r w:rsidRPr="00092D1D">
              <w:rPr>
                <w:rFonts w:ascii="Sylfaen" w:hAnsi="Sylfaen"/>
                <w:bCs/>
                <w:color w:val="000000" w:themeColor="text1"/>
                <w:sz w:val="18"/>
                <w:szCs w:val="22"/>
              </w:rPr>
              <w:t>2008</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4ABA8713" w14:textId="77777777" w:rsidR="000901CF" w:rsidRPr="00092D1D" w:rsidRDefault="000901CF" w:rsidP="00845892">
            <w:pPr>
              <w:jc w:val="center"/>
              <w:rPr>
                <w:rFonts w:ascii="Sylfaen" w:hAnsi="Sylfaen"/>
                <w:color w:val="000000" w:themeColor="text1"/>
                <w:sz w:val="18"/>
                <w:lang w:val="ka-GE"/>
              </w:rPr>
            </w:pPr>
            <w:r w:rsidRPr="00092D1D">
              <w:rPr>
                <w:rFonts w:ascii="Sylfaen" w:hAnsi="Sylfaen"/>
                <w:color w:val="000000" w:themeColor="text1"/>
                <w:sz w:val="18"/>
                <w:szCs w:val="22"/>
                <w:lang w:val="ka-GE"/>
              </w:rPr>
              <w:t>70.2</w:t>
            </w:r>
          </w:p>
        </w:tc>
      </w:tr>
      <w:tr w:rsidR="000901CF" w:rsidRPr="00092D1D" w14:paraId="0B8113AB"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615EFD10" w14:textId="77777777" w:rsidR="000901CF" w:rsidRPr="00092D1D" w:rsidRDefault="000901CF" w:rsidP="00845892">
            <w:pPr>
              <w:jc w:val="center"/>
              <w:rPr>
                <w:rFonts w:ascii="Sylfaen" w:hAnsi="Sylfaen"/>
                <w:color w:val="000000" w:themeColor="text1"/>
                <w:sz w:val="18"/>
              </w:rPr>
            </w:pPr>
            <w:r w:rsidRPr="00092D1D">
              <w:rPr>
                <w:rFonts w:ascii="Sylfaen" w:hAnsi="Sylfaen"/>
                <w:bCs/>
                <w:color w:val="000000" w:themeColor="text1"/>
                <w:sz w:val="18"/>
                <w:szCs w:val="22"/>
              </w:rPr>
              <w:t>2009</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141F2FFF" w14:textId="77777777" w:rsidR="000901CF" w:rsidRPr="00092D1D" w:rsidRDefault="000901CF" w:rsidP="00845892">
            <w:pPr>
              <w:jc w:val="center"/>
              <w:rPr>
                <w:rFonts w:ascii="Sylfaen" w:hAnsi="Sylfaen"/>
                <w:color w:val="000000" w:themeColor="text1"/>
                <w:sz w:val="18"/>
                <w:lang w:val="ka-GE"/>
              </w:rPr>
            </w:pPr>
            <w:r w:rsidRPr="00092D1D">
              <w:rPr>
                <w:rFonts w:ascii="Sylfaen" w:hAnsi="Sylfaen"/>
                <w:color w:val="000000" w:themeColor="text1"/>
                <w:sz w:val="18"/>
                <w:szCs w:val="22"/>
                <w:lang w:val="ka-GE"/>
              </w:rPr>
              <w:t>69.9</w:t>
            </w:r>
          </w:p>
        </w:tc>
      </w:tr>
      <w:tr w:rsidR="000901CF" w:rsidRPr="00092D1D" w14:paraId="3112225A"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71DC4C47" w14:textId="77777777" w:rsidR="000901CF" w:rsidRPr="00092D1D" w:rsidRDefault="000901CF" w:rsidP="00845892">
            <w:pPr>
              <w:jc w:val="center"/>
              <w:rPr>
                <w:rFonts w:ascii="Sylfaen" w:hAnsi="Sylfaen"/>
                <w:color w:val="000000" w:themeColor="text1"/>
                <w:sz w:val="18"/>
              </w:rPr>
            </w:pPr>
            <w:r w:rsidRPr="00092D1D">
              <w:rPr>
                <w:rFonts w:ascii="Sylfaen" w:hAnsi="Sylfaen"/>
                <w:bCs/>
                <w:color w:val="000000" w:themeColor="text1"/>
                <w:sz w:val="18"/>
                <w:szCs w:val="22"/>
              </w:rPr>
              <w:t>2010</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2B6732BC" w14:textId="77777777" w:rsidR="000901CF" w:rsidRPr="00092D1D" w:rsidRDefault="000901CF" w:rsidP="00845892">
            <w:pPr>
              <w:jc w:val="center"/>
              <w:rPr>
                <w:rFonts w:ascii="Sylfaen" w:hAnsi="Sylfaen"/>
                <w:color w:val="000000" w:themeColor="text1"/>
                <w:sz w:val="18"/>
                <w:lang w:val="ka-GE"/>
              </w:rPr>
            </w:pPr>
            <w:r w:rsidRPr="00092D1D">
              <w:rPr>
                <w:rFonts w:ascii="Sylfaen" w:hAnsi="Sylfaen"/>
                <w:color w:val="000000" w:themeColor="text1"/>
                <w:sz w:val="18"/>
                <w:szCs w:val="22"/>
                <w:lang w:val="ka-GE"/>
              </w:rPr>
              <w:t>69.9</w:t>
            </w:r>
          </w:p>
        </w:tc>
      </w:tr>
      <w:tr w:rsidR="000901CF" w:rsidRPr="00092D1D" w14:paraId="7322DEF9"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1FBC982F" w14:textId="77777777" w:rsidR="000901CF" w:rsidRPr="00092D1D" w:rsidRDefault="000901CF" w:rsidP="00845892">
            <w:pPr>
              <w:jc w:val="center"/>
              <w:rPr>
                <w:rFonts w:ascii="Sylfaen" w:hAnsi="Sylfaen"/>
                <w:color w:val="000000" w:themeColor="text1"/>
                <w:sz w:val="18"/>
              </w:rPr>
            </w:pPr>
            <w:r w:rsidRPr="00092D1D">
              <w:rPr>
                <w:rFonts w:ascii="Sylfaen" w:hAnsi="Sylfaen"/>
                <w:bCs/>
                <w:color w:val="000000" w:themeColor="text1"/>
                <w:sz w:val="18"/>
                <w:szCs w:val="22"/>
              </w:rPr>
              <w:t>2011</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14:paraId="21271379" w14:textId="77777777" w:rsidR="000901CF" w:rsidRPr="00092D1D" w:rsidRDefault="000901CF" w:rsidP="00845892">
            <w:pPr>
              <w:jc w:val="center"/>
              <w:rPr>
                <w:rFonts w:ascii="Sylfaen" w:hAnsi="Sylfaen"/>
                <w:color w:val="000000" w:themeColor="text1"/>
                <w:sz w:val="18"/>
                <w:lang w:val="ka-GE"/>
              </w:rPr>
            </w:pPr>
            <w:r w:rsidRPr="00092D1D">
              <w:rPr>
                <w:rFonts w:ascii="Sylfaen" w:hAnsi="Sylfaen"/>
                <w:color w:val="000000" w:themeColor="text1"/>
                <w:sz w:val="18"/>
                <w:szCs w:val="22"/>
                <w:lang w:val="ka-GE"/>
              </w:rPr>
              <w:t>69.9</w:t>
            </w:r>
          </w:p>
        </w:tc>
      </w:tr>
      <w:tr w:rsidR="000901CF" w:rsidRPr="00092D1D" w14:paraId="2CFDEF1E"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14:paraId="1BD0E461" w14:textId="77777777" w:rsidR="000901CF" w:rsidRPr="00092D1D" w:rsidRDefault="000901CF" w:rsidP="00845892">
            <w:pPr>
              <w:jc w:val="center"/>
              <w:rPr>
                <w:rFonts w:ascii="Sylfaen" w:hAnsi="Sylfaen"/>
                <w:color w:val="000000" w:themeColor="text1"/>
                <w:sz w:val="18"/>
              </w:rPr>
            </w:pPr>
            <w:r w:rsidRPr="00092D1D">
              <w:rPr>
                <w:rFonts w:ascii="Sylfaen" w:hAnsi="Sylfaen"/>
                <w:bCs/>
                <w:color w:val="000000" w:themeColor="text1"/>
                <w:sz w:val="18"/>
                <w:szCs w:val="22"/>
              </w:rPr>
              <w:t>2012</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14:paraId="37D622B3" w14:textId="77777777" w:rsidR="000901CF" w:rsidRPr="00092D1D" w:rsidRDefault="000901CF" w:rsidP="00845892">
            <w:pPr>
              <w:jc w:val="center"/>
              <w:rPr>
                <w:rFonts w:ascii="Sylfaen" w:hAnsi="Sylfaen"/>
                <w:color w:val="000000" w:themeColor="text1"/>
                <w:sz w:val="18"/>
                <w:lang w:val="ka-GE"/>
              </w:rPr>
            </w:pPr>
            <w:r w:rsidRPr="00092D1D">
              <w:rPr>
                <w:rFonts w:ascii="Sylfaen" w:hAnsi="Sylfaen"/>
                <w:color w:val="000000" w:themeColor="text1"/>
                <w:sz w:val="18"/>
                <w:szCs w:val="22"/>
                <w:lang w:val="ka-GE"/>
              </w:rPr>
              <w:t>69.7</w:t>
            </w:r>
          </w:p>
        </w:tc>
      </w:tr>
      <w:tr w:rsidR="000901CF" w:rsidRPr="00092D1D" w14:paraId="27FB7DA9"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14:paraId="24CB0D52" w14:textId="77777777" w:rsidR="000901CF" w:rsidRPr="00092D1D" w:rsidRDefault="000901CF" w:rsidP="00845892">
            <w:pPr>
              <w:jc w:val="center"/>
              <w:rPr>
                <w:rFonts w:ascii="Sylfaen" w:hAnsi="Sylfaen"/>
                <w:color w:val="000000" w:themeColor="text1"/>
                <w:sz w:val="18"/>
              </w:rPr>
            </w:pPr>
            <w:r w:rsidRPr="00092D1D">
              <w:rPr>
                <w:rFonts w:ascii="Sylfaen" w:hAnsi="Sylfaen"/>
                <w:bCs/>
                <w:color w:val="000000" w:themeColor="text1"/>
                <w:sz w:val="18"/>
                <w:szCs w:val="22"/>
              </w:rPr>
              <w:t>2013</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14:paraId="1CCAB7D7" w14:textId="77777777" w:rsidR="000901CF" w:rsidRPr="00092D1D" w:rsidRDefault="000901CF" w:rsidP="00845892">
            <w:pPr>
              <w:jc w:val="center"/>
              <w:rPr>
                <w:rFonts w:ascii="Sylfaen" w:hAnsi="Sylfaen"/>
                <w:color w:val="000000" w:themeColor="text1"/>
                <w:sz w:val="18"/>
                <w:lang w:val="ka-GE"/>
              </w:rPr>
            </w:pPr>
            <w:r w:rsidRPr="00092D1D">
              <w:rPr>
                <w:rFonts w:ascii="Sylfaen" w:hAnsi="Sylfaen"/>
                <w:color w:val="000000" w:themeColor="text1"/>
                <w:sz w:val="18"/>
                <w:szCs w:val="22"/>
                <w:lang w:val="ka-GE"/>
              </w:rPr>
              <w:t>69.2</w:t>
            </w:r>
          </w:p>
        </w:tc>
      </w:tr>
      <w:tr w:rsidR="000901CF" w:rsidRPr="00092D1D" w14:paraId="06DA230B"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14:paraId="76108BF7" w14:textId="77777777" w:rsidR="000901CF" w:rsidRPr="00092D1D" w:rsidRDefault="000901CF" w:rsidP="00845892">
            <w:pPr>
              <w:jc w:val="center"/>
              <w:rPr>
                <w:rFonts w:ascii="Sylfaen" w:hAnsi="Sylfaen"/>
                <w:color w:val="000000" w:themeColor="text1"/>
                <w:sz w:val="18"/>
              </w:rPr>
            </w:pPr>
            <w:r w:rsidRPr="00092D1D">
              <w:rPr>
                <w:rFonts w:ascii="Sylfaen" w:hAnsi="Sylfaen"/>
                <w:bCs/>
                <w:color w:val="000000" w:themeColor="text1"/>
                <w:sz w:val="18"/>
                <w:szCs w:val="22"/>
              </w:rPr>
              <w:t>2014</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14:paraId="73D67F2F" w14:textId="77777777" w:rsidR="000901CF" w:rsidRPr="00092D1D" w:rsidRDefault="000901CF" w:rsidP="00845892">
            <w:pPr>
              <w:jc w:val="center"/>
              <w:rPr>
                <w:rFonts w:ascii="Sylfaen" w:hAnsi="Sylfaen"/>
                <w:color w:val="000000" w:themeColor="text1"/>
                <w:sz w:val="18"/>
                <w:lang w:val="ka-GE"/>
              </w:rPr>
            </w:pPr>
            <w:r w:rsidRPr="00092D1D">
              <w:rPr>
                <w:rFonts w:ascii="Sylfaen" w:hAnsi="Sylfaen"/>
                <w:color w:val="000000" w:themeColor="text1"/>
                <w:sz w:val="18"/>
                <w:szCs w:val="22"/>
                <w:lang w:val="ka-GE"/>
              </w:rPr>
              <w:t>69.0</w:t>
            </w:r>
          </w:p>
        </w:tc>
      </w:tr>
      <w:tr w:rsidR="000901CF" w:rsidRPr="00092D1D" w14:paraId="64AC0676"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14:paraId="797EFEEF" w14:textId="77777777" w:rsidR="000901CF" w:rsidRPr="00092D1D" w:rsidRDefault="000901CF" w:rsidP="00845892">
            <w:pPr>
              <w:jc w:val="center"/>
              <w:rPr>
                <w:rFonts w:ascii="Sylfaen" w:hAnsi="Sylfaen"/>
                <w:color w:val="000000" w:themeColor="text1"/>
                <w:sz w:val="18"/>
              </w:rPr>
            </w:pPr>
            <w:r w:rsidRPr="00092D1D">
              <w:rPr>
                <w:rFonts w:ascii="Sylfaen" w:hAnsi="Sylfaen"/>
                <w:bCs/>
                <w:color w:val="000000" w:themeColor="text1"/>
                <w:sz w:val="18"/>
                <w:szCs w:val="22"/>
              </w:rPr>
              <w:t>2015</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14:paraId="180721E5" w14:textId="77777777" w:rsidR="000901CF" w:rsidRPr="00092D1D" w:rsidRDefault="000901CF" w:rsidP="00845892">
            <w:pPr>
              <w:jc w:val="center"/>
              <w:rPr>
                <w:rFonts w:ascii="Sylfaen" w:hAnsi="Sylfaen"/>
                <w:color w:val="000000" w:themeColor="text1"/>
                <w:sz w:val="18"/>
                <w:lang w:val="ka-GE"/>
              </w:rPr>
            </w:pPr>
            <w:r w:rsidRPr="00092D1D">
              <w:rPr>
                <w:rFonts w:ascii="Sylfaen" w:hAnsi="Sylfaen"/>
                <w:color w:val="000000" w:themeColor="text1"/>
                <w:sz w:val="18"/>
                <w:szCs w:val="22"/>
                <w:lang w:val="ka-GE"/>
              </w:rPr>
              <w:t>54.3</w:t>
            </w:r>
          </w:p>
        </w:tc>
      </w:tr>
      <w:tr w:rsidR="000901CF" w:rsidRPr="00092D1D" w14:paraId="65DBE8EA"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14:paraId="3680C684" w14:textId="77777777" w:rsidR="000901CF" w:rsidRPr="00092D1D" w:rsidRDefault="000901CF" w:rsidP="00845892">
            <w:pPr>
              <w:jc w:val="center"/>
              <w:rPr>
                <w:rFonts w:ascii="Sylfaen" w:hAnsi="Sylfaen"/>
                <w:color w:val="000000" w:themeColor="text1"/>
                <w:sz w:val="18"/>
              </w:rPr>
            </w:pPr>
            <w:r w:rsidRPr="00092D1D">
              <w:rPr>
                <w:rFonts w:ascii="Sylfaen" w:hAnsi="Sylfaen"/>
                <w:bCs/>
                <w:color w:val="000000" w:themeColor="text1"/>
                <w:sz w:val="18"/>
                <w:szCs w:val="22"/>
              </w:rPr>
              <w:t>2016</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14:paraId="054C9424" w14:textId="77777777" w:rsidR="000901CF" w:rsidRPr="00092D1D" w:rsidRDefault="000901CF" w:rsidP="00845892">
            <w:pPr>
              <w:jc w:val="center"/>
              <w:rPr>
                <w:rFonts w:ascii="Sylfaen" w:hAnsi="Sylfaen"/>
                <w:color w:val="000000" w:themeColor="text1"/>
                <w:sz w:val="18"/>
                <w:lang w:val="ka-GE"/>
              </w:rPr>
            </w:pPr>
            <w:r w:rsidRPr="00092D1D">
              <w:rPr>
                <w:rFonts w:ascii="Sylfaen" w:hAnsi="Sylfaen"/>
                <w:color w:val="000000" w:themeColor="text1"/>
                <w:sz w:val="18"/>
                <w:szCs w:val="22"/>
                <w:lang w:val="ka-GE"/>
              </w:rPr>
              <w:t>53.9</w:t>
            </w:r>
          </w:p>
        </w:tc>
      </w:tr>
      <w:tr w:rsidR="000901CF" w:rsidRPr="00092D1D" w14:paraId="29012BD5" w14:textId="77777777" w:rsidTr="00092D1D">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14:paraId="40834FEB" w14:textId="77777777" w:rsidR="000901CF" w:rsidRPr="00092D1D" w:rsidRDefault="000901CF" w:rsidP="00845892">
            <w:pPr>
              <w:jc w:val="center"/>
              <w:rPr>
                <w:rFonts w:ascii="Sylfaen" w:hAnsi="Sylfaen"/>
                <w:color w:val="000000" w:themeColor="text1"/>
                <w:sz w:val="18"/>
              </w:rPr>
            </w:pPr>
            <w:r w:rsidRPr="00092D1D">
              <w:rPr>
                <w:rFonts w:ascii="Sylfaen" w:hAnsi="Sylfaen"/>
                <w:bCs/>
                <w:color w:val="000000" w:themeColor="text1"/>
                <w:sz w:val="18"/>
                <w:szCs w:val="22"/>
              </w:rPr>
              <w:t>2017</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14:paraId="089DCE54" w14:textId="77777777" w:rsidR="000901CF" w:rsidRPr="00092D1D" w:rsidRDefault="000901CF" w:rsidP="00845892">
            <w:pPr>
              <w:jc w:val="center"/>
              <w:rPr>
                <w:rFonts w:ascii="Sylfaen" w:hAnsi="Sylfaen"/>
                <w:color w:val="000000" w:themeColor="text1"/>
                <w:sz w:val="18"/>
                <w:lang w:val="ka-GE"/>
              </w:rPr>
            </w:pPr>
            <w:r w:rsidRPr="00092D1D">
              <w:rPr>
                <w:rFonts w:ascii="Sylfaen" w:hAnsi="Sylfaen"/>
                <w:color w:val="000000" w:themeColor="text1"/>
                <w:sz w:val="18"/>
                <w:szCs w:val="22"/>
                <w:lang w:val="ka-GE"/>
              </w:rPr>
              <w:t>53.6</w:t>
            </w:r>
          </w:p>
        </w:tc>
      </w:tr>
    </w:tbl>
    <w:p w14:paraId="2CFB5083" w14:textId="77777777" w:rsidR="000901CF" w:rsidRPr="00092D1D" w:rsidRDefault="000901CF" w:rsidP="000901CF">
      <w:pPr>
        <w:rPr>
          <w:rFonts w:ascii="Sylfaen" w:hAnsi="Sylfaen"/>
          <w:sz w:val="20"/>
          <w:szCs w:val="22"/>
          <w:lang w:val="ka-GE"/>
        </w:rPr>
      </w:pPr>
      <w:r w:rsidRPr="00092D1D">
        <w:rPr>
          <w:rFonts w:ascii="Sylfaen" w:hAnsi="Sylfaen"/>
          <w:sz w:val="20"/>
          <w:szCs w:val="22"/>
          <w:lang w:val="ka-GE"/>
        </w:rPr>
        <w:t>შენიშვნა: აღნიშნული მონაცემები ეფუძნება 2014 წლის 5 ნოემბრის საყოველთაო აღწერის შედეგებს, საქართველოს სტატისტიკის ეროვნული სამსახურის მიერ გამოქვეყნებულ ყოველწლიურ მონაცემებს და საქართველოს ადგილობრივ თვითმმართველობათა ოფიციალური ვებ გვერდის მონაცემებს.</w:t>
      </w:r>
    </w:p>
    <w:p w14:paraId="404C8C07" w14:textId="77777777" w:rsidR="00890493" w:rsidRPr="000901CF" w:rsidRDefault="00C67F3B" w:rsidP="00E12C77">
      <w:pPr>
        <w:pStyle w:val="ListNumber3"/>
        <w:numPr>
          <w:ilvl w:val="0"/>
          <w:numId w:val="0"/>
        </w:numPr>
        <w:spacing w:before="120" w:after="0" w:line="240" w:lineRule="auto"/>
        <w:rPr>
          <w:rFonts w:ascii="Sylfaen" w:hAnsi="Sylfaen"/>
          <w:b/>
          <w:u w:val="single"/>
          <w:lang w:val="ka-GE"/>
        </w:rPr>
      </w:pPr>
      <w:r w:rsidRPr="000901CF">
        <w:rPr>
          <w:rFonts w:ascii="Sylfaen" w:hAnsi="Sylfaen"/>
          <w:b/>
          <w:u w:val="single"/>
          <w:lang w:val="ka-GE"/>
        </w:rPr>
        <w:t>დასაქმება</w:t>
      </w:r>
    </w:p>
    <w:p w14:paraId="74238B5D" w14:textId="6FAB8442" w:rsidR="00092D1D" w:rsidRPr="00F80CCF" w:rsidRDefault="00092D1D" w:rsidP="00E12C77">
      <w:pPr>
        <w:spacing w:before="120"/>
        <w:rPr>
          <w:rFonts w:ascii="Sylfaen" w:hAnsi="Sylfaen"/>
          <w:lang w:val="ka-GE"/>
        </w:rPr>
      </w:pPr>
      <w:r w:rsidRPr="00F80CCF">
        <w:rPr>
          <w:rFonts w:ascii="Sylfaen" w:hAnsi="Sylfaen"/>
          <w:lang w:val="ka-GE"/>
        </w:rPr>
        <w:t>ოფიციალური მონაცემებით, 2017 წლის 1 იანვრისთვის კახეთის რეგიონში არის რეგისტრირებული 651 392 ეკონომიკური სუბიექტი, ხოლო უმუშევრობის დონე 2016 წლის უკანასკნელი მონაცემებით 11.8 %-ია, რაც საკმაოდ მაღალი მაჩვენებელია. ამ რეგიონში მოსახლეობის უმეტესობა თვითდასაქმებულია. ასეთია ძირითადად სოფლის მოსახლეობა, ვისაც საკუთრებაში ან სარგებლობაში აქვს საკმარისი რაოდენობის მიწის ნაკვეთი (დაახლოებით 1 ჰა). ოფიციალური სტატისტიკის მიხედვით 15 წლის და უფროსი ასაკის მოსახლეობის განაწილება ეკონომიკური აქტივობების მიხედვით კახეთის რეგიონში 2006-20</w:t>
      </w:r>
      <w:r w:rsidR="00E12C77">
        <w:rPr>
          <w:rFonts w:ascii="Sylfaen" w:hAnsi="Sylfaen"/>
          <w:lang w:val="ka-GE"/>
        </w:rPr>
        <w:t>16 წლების მონაცემებით შემდეგია:</w:t>
      </w:r>
    </w:p>
    <w:tbl>
      <w:tblPr>
        <w:tblW w:w="10619" w:type="dxa"/>
        <w:tblInd w:w="-5" w:type="dxa"/>
        <w:tblLook w:val="04A0" w:firstRow="1" w:lastRow="0" w:firstColumn="1" w:lastColumn="0" w:noHBand="0" w:noVBand="1"/>
      </w:tblPr>
      <w:tblGrid>
        <w:gridCol w:w="2610"/>
        <w:gridCol w:w="718"/>
        <w:gridCol w:w="718"/>
        <w:gridCol w:w="718"/>
        <w:gridCol w:w="718"/>
        <w:gridCol w:w="718"/>
        <w:gridCol w:w="718"/>
        <w:gridCol w:w="718"/>
        <w:gridCol w:w="718"/>
        <w:gridCol w:w="810"/>
        <w:gridCol w:w="718"/>
        <w:gridCol w:w="737"/>
      </w:tblGrid>
      <w:tr w:rsidR="00092D1D" w:rsidRPr="00E12C77" w14:paraId="4730A44C" w14:textId="77777777" w:rsidTr="00092D1D">
        <w:trPr>
          <w:trHeight w:val="315"/>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66660" w14:textId="77777777" w:rsidR="00092D1D" w:rsidRPr="00E12C77" w:rsidRDefault="00092D1D" w:rsidP="00845892">
            <w:pPr>
              <w:rPr>
                <w:rFonts w:ascii="Sylfaen" w:hAnsi="Sylfaen" w:cs="Calibri"/>
                <w:sz w:val="18"/>
              </w:rPr>
            </w:pPr>
            <w:r w:rsidRPr="00E12C77">
              <w:rPr>
                <w:rFonts w:ascii="Sylfaen" w:hAnsi="Sylfaen" w:cs="Calibri"/>
                <w:sz w:val="18"/>
              </w:rPr>
              <w:t> </w:t>
            </w:r>
          </w:p>
        </w:tc>
        <w:tc>
          <w:tcPr>
            <w:tcW w:w="718" w:type="dxa"/>
            <w:tcBorders>
              <w:top w:val="single" w:sz="4" w:space="0" w:color="auto"/>
              <w:left w:val="nil"/>
              <w:bottom w:val="single" w:sz="4" w:space="0" w:color="auto"/>
              <w:right w:val="single" w:sz="4" w:space="0" w:color="auto"/>
            </w:tcBorders>
            <w:shd w:val="clear" w:color="000000" w:fill="FFFFFF"/>
            <w:vAlign w:val="center"/>
            <w:hideMark/>
          </w:tcPr>
          <w:p w14:paraId="14B22075" w14:textId="77777777" w:rsidR="00092D1D" w:rsidRPr="00E12C77" w:rsidRDefault="00092D1D" w:rsidP="00845892">
            <w:pPr>
              <w:jc w:val="center"/>
              <w:rPr>
                <w:rFonts w:ascii="Sylfaen" w:hAnsi="Sylfaen" w:cs="Calibri"/>
                <w:b/>
                <w:bCs/>
                <w:sz w:val="18"/>
              </w:rPr>
            </w:pPr>
            <w:r w:rsidRPr="00E12C77">
              <w:rPr>
                <w:rFonts w:ascii="Sylfaen" w:hAnsi="Sylfaen" w:cs="Calibri"/>
                <w:b/>
                <w:bCs/>
                <w:sz w:val="18"/>
              </w:rPr>
              <w:t>2006</w:t>
            </w:r>
          </w:p>
        </w:tc>
        <w:tc>
          <w:tcPr>
            <w:tcW w:w="718" w:type="dxa"/>
            <w:tcBorders>
              <w:top w:val="single" w:sz="4" w:space="0" w:color="auto"/>
              <w:left w:val="nil"/>
              <w:bottom w:val="single" w:sz="4" w:space="0" w:color="auto"/>
              <w:right w:val="single" w:sz="4" w:space="0" w:color="auto"/>
            </w:tcBorders>
            <w:shd w:val="clear" w:color="000000" w:fill="FFFFFF"/>
            <w:vAlign w:val="center"/>
            <w:hideMark/>
          </w:tcPr>
          <w:p w14:paraId="1093E918" w14:textId="77777777" w:rsidR="00092D1D" w:rsidRPr="00E12C77" w:rsidRDefault="00092D1D" w:rsidP="00845892">
            <w:pPr>
              <w:jc w:val="center"/>
              <w:rPr>
                <w:rFonts w:ascii="Sylfaen" w:hAnsi="Sylfaen" w:cs="Calibri"/>
                <w:b/>
                <w:bCs/>
                <w:sz w:val="18"/>
              </w:rPr>
            </w:pPr>
            <w:r w:rsidRPr="00E12C77">
              <w:rPr>
                <w:rFonts w:ascii="Sylfaen" w:hAnsi="Sylfaen" w:cs="Calibri"/>
                <w:b/>
                <w:bCs/>
                <w:sz w:val="18"/>
              </w:rPr>
              <w:t>2007</w:t>
            </w:r>
          </w:p>
        </w:tc>
        <w:tc>
          <w:tcPr>
            <w:tcW w:w="718" w:type="dxa"/>
            <w:tcBorders>
              <w:top w:val="single" w:sz="4" w:space="0" w:color="auto"/>
              <w:left w:val="nil"/>
              <w:bottom w:val="single" w:sz="4" w:space="0" w:color="auto"/>
              <w:right w:val="single" w:sz="4" w:space="0" w:color="auto"/>
            </w:tcBorders>
            <w:shd w:val="clear" w:color="000000" w:fill="FFFFFF"/>
            <w:vAlign w:val="center"/>
            <w:hideMark/>
          </w:tcPr>
          <w:p w14:paraId="1562073A" w14:textId="77777777" w:rsidR="00092D1D" w:rsidRPr="00E12C77" w:rsidRDefault="00092D1D" w:rsidP="00845892">
            <w:pPr>
              <w:jc w:val="center"/>
              <w:rPr>
                <w:rFonts w:ascii="Sylfaen" w:hAnsi="Sylfaen" w:cs="Calibri"/>
                <w:b/>
                <w:bCs/>
                <w:sz w:val="18"/>
              </w:rPr>
            </w:pPr>
            <w:r w:rsidRPr="00E12C77">
              <w:rPr>
                <w:rFonts w:ascii="Sylfaen" w:hAnsi="Sylfaen" w:cs="Calibri"/>
                <w:b/>
                <w:bCs/>
                <w:sz w:val="18"/>
              </w:rPr>
              <w:t>2008</w:t>
            </w:r>
          </w:p>
        </w:tc>
        <w:tc>
          <w:tcPr>
            <w:tcW w:w="718" w:type="dxa"/>
            <w:tcBorders>
              <w:top w:val="single" w:sz="4" w:space="0" w:color="auto"/>
              <w:left w:val="nil"/>
              <w:bottom w:val="single" w:sz="4" w:space="0" w:color="auto"/>
              <w:right w:val="single" w:sz="4" w:space="0" w:color="auto"/>
            </w:tcBorders>
            <w:shd w:val="clear" w:color="000000" w:fill="FFFFFF"/>
            <w:vAlign w:val="center"/>
            <w:hideMark/>
          </w:tcPr>
          <w:p w14:paraId="6CBBF6D0" w14:textId="77777777" w:rsidR="00092D1D" w:rsidRPr="00E12C77" w:rsidRDefault="00092D1D" w:rsidP="00845892">
            <w:pPr>
              <w:jc w:val="center"/>
              <w:rPr>
                <w:rFonts w:ascii="Sylfaen" w:hAnsi="Sylfaen" w:cs="Calibri"/>
                <w:b/>
                <w:bCs/>
                <w:sz w:val="18"/>
              </w:rPr>
            </w:pPr>
            <w:r w:rsidRPr="00E12C77">
              <w:rPr>
                <w:rFonts w:ascii="Sylfaen" w:hAnsi="Sylfaen" w:cs="Calibri"/>
                <w:b/>
                <w:bCs/>
                <w:sz w:val="18"/>
              </w:rPr>
              <w:t>2009</w:t>
            </w:r>
          </w:p>
        </w:tc>
        <w:tc>
          <w:tcPr>
            <w:tcW w:w="718" w:type="dxa"/>
            <w:tcBorders>
              <w:top w:val="single" w:sz="4" w:space="0" w:color="auto"/>
              <w:left w:val="nil"/>
              <w:bottom w:val="single" w:sz="4" w:space="0" w:color="auto"/>
              <w:right w:val="single" w:sz="4" w:space="0" w:color="auto"/>
            </w:tcBorders>
            <w:shd w:val="clear" w:color="000000" w:fill="FFFFFF"/>
            <w:vAlign w:val="center"/>
            <w:hideMark/>
          </w:tcPr>
          <w:p w14:paraId="01F872FE" w14:textId="77777777" w:rsidR="00092D1D" w:rsidRPr="00E12C77" w:rsidRDefault="00092D1D" w:rsidP="00845892">
            <w:pPr>
              <w:jc w:val="center"/>
              <w:rPr>
                <w:rFonts w:ascii="Sylfaen" w:hAnsi="Sylfaen" w:cs="Calibri"/>
                <w:b/>
                <w:bCs/>
                <w:sz w:val="18"/>
              </w:rPr>
            </w:pPr>
            <w:r w:rsidRPr="00E12C77">
              <w:rPr>
                <w:rFonts w:ascii="Sylfaen" w:hAnsi="Sylfaen" w:cs="Calibri"/>
                <w:b/>
                <w:bCs/>
                <w:sz w:val="18"/>
              </w:rPr>
              <w:t>2010</w:t>
            </w:r>
          </w:p>
        </w:tc>
        <w:tc>
          <w:tcPr>
            <w:tcW w:w="718" w:type="dxa"/>
            <w:tcBorders>
              <w:top w:val="single" w:sz="4" w:space="0" w:color="auto"/>
              <w:left w:val="nil"/>
              <w:bottom w:val="single" w:sz="4" w:space="0" w:color="auto"/>
              <w:right w:val="single" w:sz="4" w:space="0" w:color="auto"/>
            </w:tcBorders>
            <w:shd w:val="clear" w:color="auto" w:fill="auto"/>
            <w:vAlign w:val="center"/>
            <w:hideMark/>
          </w:tcPr>
          <w:p w14:paraId="33601D44" w14:textId="77777777" w:rsidR="00092D1D" w:rsidRPr="00E12C77" w:rsidRDefault="00092D1D" w:rsidP="00845892">
            <w:pPr>
              <w:jc w:val="center"/>
              <w:rPr>
                <w:rFonts w:ascii="Sylfaen" w:hAnsi="Sylfaen" w:cs="Calibri"/>
                <w:b/>
                <w:bCs/>
                <w:sz w:val="18"/>
              </w:rPr>
            </w:pPr>
            <w:r w:rsidRPr="00E12C77">
              <w:rPr>
                <w:rFonts w:ascii="Sylfaen" w:hAnsi="Sylfaen" w:cs="Calibri"/>
                <w:b/>
                <w:bCs/>
                <w:sz w:val="18"/>
              </w:rPr>
              <w:t>2011</w:t>
            </w:r>
          </w:p>
        </w:tc>
        <w:tc>
          <w:tcPr>
            <w:tcW w:w="718" w:type="dxa"/>
            <w:tcBorders>
              <w:top w:val="single" w:sz="4" w:space="0" w:color="auto"/>
              <w:left w:val="nil"/>
              <w:bottom w:val="single" w:sz="4" w:space="0" w:color="auto"/>
              <w:right w:val="single" w:sz="4" w:space="0" w:color="auto"/>
            </w:tcBorders>
            <w:shd w:val="clear" w:color="auto" w:fill="auto"/>
            <w:vAlign w:val="center"/>
            <w:hideMark/>
          </w:tcPr>
          <w:p w14:paraId="094F8CE1" w14:textId="77777777" w:rsidR="00092D1D" w:rsidRPr="00E12C77" w:rsidRDefault="00092D1D" w:rsidP="00845892">
            <w:pPr>
              <w:jc w:val="center"/>
              <w:rPr>
                <w:rFonts w:ascii="Sylfaen" w:hAnsi="Sylfaen" w:cs="Calibri"/>
                <w:b/>
                <w:bCs/>
                <w:sz w:val="18"/>
              </w:rPr>
            </w:pPr>
            <w:r w:rsidRPr="00E12C77">
              <w:rPr>
                <w:rFonts w:ascii="Sylfaen" w:hAnsi="Sylfaen" w:cs="Calibri"/>
                <w:b/>
                <w:bCs/>
                <w:sz w:val="18"/>
              </w:rPr>
              <w:t>2012</w:t>
            </w:r>
          </w:p>
        </w:tc>
        <w:tc>
          <w:tcPr>
            <w:tcW w:w="718" w:type="dxa"/>
            <w:tcBorders>
              <w:top w:val="single" w:sz="4" w:space="0" w:color="auto"/>
              <w:left w:val="nil"/>
              <w:bottom w:val="single" w:sz="4" w:space="0" w:color="auto"/>
              <w:right w:val="single" w:sz="4" w:space="0" w:color="auto"/>
            </w:tcBorders>
            <w:shd w:val="clear" w:color="auto" w:fill="auto"/>
            <w:vAlign w:val="center"/>
            <w:hideMark/>
          </w:tcPr>
          <w:p w14:paraId="4BDC4FAE" w14:textId="77777777" w:rsidR="00092D1D" w:rsidRPr="00E12C77" w:rsidRDefault="00092D1D" w:rsidP="00845892">
            <w:pPr>
              <w:jc w:val="center"/>
              <w:rPr>
                <w:rFonts w:ascii="Sylfaen" w:hAnsi="Sylfaen" w:cs="Calibri"/>
                <w:b/>
                <w:bCs/>
                <w:sz w:val="18"/>
              </w:rPr>
            </w:pPr>
            <w:r w:rsidRPr="00E12C77">
              <w:rPr>
                <w:rFonts w:ascii="Sylfaen" w:hAnsi="Sylfaen" w:cs="Calibri"/>
                <w:b/>
                <w:bCs/>
                <w:sz w:val="18"/>
              </w:rPr>
              <w:t>2013</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5DE9AC09" w14:textId="77777777" w:rsidR="00092D1D" w:rsidRPr="00E12C77" w:rsidRDefault="00092D1D" w:rsidP="00845892">
            <w:pPr>
              <w:jc w:val="center"/>
              <w:rPr>
                <w:rFonts w:ascii="Sylfaen" w:hAnsi="Sylfaen" w:cs="Calibri"/>
                <w:b/>
                <w:bCs/>
                <w:sz w:val="18"/>
              </w:rPr>
            </w:pPr>
            <w:r w:rsidRPr="00E12C77">
              <w:rPr>
                <w:rFonts w:ascii="Sylfaen" w:hAnsi="Sylfaen" w:cs="Calibri"/>
                <w:b/>
                <w:bCs/>
                <w:sz w:val="18"/>
              </w:rPr>
              <w:t>2014</w:t>
            </w:r>
          </w:p>
        </w:tc>
        <w:tc>
          <w:tcPr>
            <w:tcW w:w="718" w:type="dxa"/>
            <w:tcBorders>
              <w:top w:val="single" w:sz="4" w:space="0" w:color="auto"/>
              <w:left w:val="nil"/>
              <w:bottom w:val="single" w:sz="4" w:space="0" w:color="auto"/>
              <w:right w:val="single" w:sz="4" w:space="0" w:color="auto"/>
            </w:tcBorders>
            <w:shd w:val="clear" w:color="auto" w:fill="auto"/>
            <w:vAlign w:val="center"/>
            <w:hideMark/>
          </w:tcPr>
          <w:p w14:paraId="6879CFB3" w14:textId="77777777" w:rsidR="00092D1D" w:rsidRPr="00E12C77" w:rsidRDefault="00092D1D" w:rsidP="00845892">
            <w:pPr>
              <w:jc w:val="center"/>
              <w:rPr>
                <w:rFonts w:ascii="Sylfaen" w:hAnsi="Sylfaen" w:cs="Calibri"/>
                <w:b/>
                <w:bCs/>
                <w:sz w:val="18"/>
              </w:rPr>
            </w:pPr>
            <w:r w:rsidRPr="00E12C77">
              <w:rPr>
                <w:rFonts w:ascii="Sylfaen" w:hAnsi="Sylfaen" w:cs="Calibri"/>
                <w:b/>
                <w:bCs/>
                <w:sz w:val="18"/>
              </w:rPr>
              <w:t>2015</w:t>
            </w:r>
          </w:p>
        </w:tc>
        <w:tc>
          <w:tcPr>
            <w:tcW w:w="737" w:type="dxa"/>
            <w:tcBorders>
              <w:top w:val="single" w:sz="4" w:space="0" w:color="auto"/>
              <w:left w:val="nil"/>
              <w:bottom w:val="single" w:sz="4" w:space="0" w:color="auto"/>
              <w:right w:val="single" w:sz="4" w:space="0" w:color="auto"/>
            </w:tcBorders>
            <w:shd w:val="clear" w:color="auto" w:fill="auto"/>
            <w:vAlign w:val="center"/>
            <w:hideMark/>
          </w:tcPr>
          <w:p w14:paraId="2421FE97" w14:textId="77777777" w:rsidR="00092D1D" w:rsidRPr="00E12C77" w:rsidRDefault="00092D1D" w:rsidP="00845892">
            <w:pPr>
              <w:jc w:val="center"/>
              <w:rPr>
                <w:rFonts w:ascii="Sylfaen" w:hAnsi="Sylfaen" w:cs="Calibri"/>
                <w:b/>
                <w:bCs/>
                <w:sz w:val="18"/>
              </w:rPr>
            </w:pPr>
            <w:r w:rsidRPr="00E12C77">
              <w:rPr>
                <w:rFonts w:ascii="Sylfaen" w:hAnsi="Sylfaen" w:cs="Calibri"/>
                <w:b/>
                <w:bCs/>
                <w:sz w:val="18"/>
              </w:rPr>
              <w:t>2016</w:t>
            </w:r>
          </w:p>
        </w:tc>
      </w:tr>
      <w:tr w:rsidR="00092D1D" w:rsidRPr="00E12C77" w14:paraId="1C6E8FE3" w14:textId="77777777" w:rsidTr="00092D1D">
        <w:trPr>
          <w:trHeight w:val="31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301BCF5A" w14:textId="77777777" w:rsidR="00092D1D" w:rsidRPr="00E12C77" w:rsidRDefault="00092D1D" w:rsidP="00845892">
            <w:pPr>
              <w:rPr>
                <w:rFonts w:ascii="Sylfaen" w:hAnsi="Sylfaen" w:cs="Calibri"/>
                <w:color w:val="000000"/>
                <w:sz w:val="18"/>
              </w:rPr>
            </w:pPr>
            <w:r w:rsidRPr="00E12C77">
              <w:rPr>
                <w:rFonts w:ascii="Sylfaen" w:hAnsi="Sylfaen" w:cs="Sylfaen"/>
                <w:color w:val="000000"/>
                <w:sz w:val="18"/>
              </w:rPr>
              <w:t>სულ</w:t>
            </w:r>
            <w:r w:rsidRPr="00E12C77">
              <w:rPr>
                <w:rFonts w:ascii="Sylfaen" w:hAnsi="Sylfaen" w:cs="Calibri"/>
                <w:color w:val="000000"/>
                <w:sz w:val="18"/>
              </w:rPr>
              <w:t xml:space="preserve"> </w:t>
            </w:r>
            <w:r w:rsidRPr="00E12C77">
              <w:rPr>
                <w:rFonts w:ascii="Sylfaen" w:hAnsi="Sylfaen" w:cs="Sylfaen"/>
                <w:color w:val="000000"/>
                <w:sz w:val="18"/>
              </w:rPr>
              <w:t>აქტიური</w:t>
            </w:r>
            <w:r w:rsidRPr="00E12C77">
              <w:rPr>
                <w:rFonts w:ascii="Sylfaen" w:hAnsi="Sylfaen" w:cs="Calibri"/>
                <w:color w:val="000000"/>
                <w:sz w:val="18"/>
              </w:rPr>
              <w:t xml:space="preserve"> </w:t>
            </w:r>
            <w:r w:rsidRPr="00E12C77">
              <w:rPr>
                <w:rFonts w:ascii="Sylfaen" w:hAnsi="Sylfaen" w:cs="Sylfaen"/>
                <w:color w:val="000000"/>
                <w:sz w:val="18"/>
              </w:rPr>
              <w:t>მოსახლეობა</w:t>
            </w:r>
            <w:r w:rsidRPr="00E12C77">
              <w:rPr>
                <w:rFonts w:ascii="Sylfaen" w:hAnsi="Sylfaen" w:cs="Calibri"/>
                <w:color w:val="000000"/>
                <w:sz w:val="18"/>
              </w:rPr>
              <w:t xml:space="preserve"> (</w:t>
            </w:r>
            <w:r w:rsidRPr="00E12C77">
              <w:rPr>
                <w:rFonts w:ascii="Sylfaen" w:hAnsi="Sylfaen" w:cs="Sylfaen"/>
                <w:color w:val="000000"/>
                <w:sz w:val="18"/>
              </w:rPr>
              <w:t>სამუშაო</w:t>
            </w:r>
            <w:r w:rsidRPr="00E12C77">
              <w:rPr>
                <w:rFonts w:ascii="Sylfaen" w:hAnsi="Sylfaen" w:cs="Calibri"/>
                <w:color w:val="000000"/>
                <w:sz w:val="18"/>
              </w:rPr>
              <w:t xml:space="preserve"> </w:t>
            </w:r>
            <w:r w:rsidRPr="00E12C77">
              <w:rPr>
                <w:rFonts w:ascii="Sylfaen" w:hAnsi="Sylfaen" w:cs="Sylfaen"/>
                <w:color w:val="000000"/>
                <w:sz w:val="18"/>
              </w:rPr>
              <w:t>ძალა</w:t>
            </w:r>
            <w:r w:rsidRPr="00E12C77">
              <w:rPr>
                <w:rFonts w:ascii="Sylfaen" w:hAnsi="Sylfaen" w:cs="Calibri"/>
                <w:color w:val="000000"/>
                <w:sz w:val="18"/>
              </w:rPr>
              <w:t>)</w:t>
            </w:r>
          </w:p>
        </w:tc>
        <w:tc>
          <w:tcPr>
            <w:tcW w:w="718" w:type="dxa"/>
            <w:tcBorders>
              <w:top w:val="nil"/>
              <w:left w:val="nil"/>
              <w:bottom w:val="single" w:sz="4" w:space="0" w:color="auto"/>
              <w:right w:val="single" w:sz="4" w:space="0" w:color="auto"/>
            </w:tcBorders>
            <w:shd w:val="clear" w:color="000000" w:fill="FFFFFF"/>
            <w:vAlign w:val="bottom"/>
            <w:hideMark/>
          </w:tcPr>
          <w:p w14:paraId="35EE7E12"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214.9</w:t>
            </w:r>
          </w:p>
        </w:tc>
        <w:tc>
          <w:tcPr>
            <w:tcW w:w="718" w:type="dxa"/>
            <w:tcBorders>
              <w:top w:val="nil"/>
              <w:left w:val="nil"/>
              <w:bottom w:val="single" w:sz="4" w:space="0" w:color="auto"/>
              <w:right w:val="single" w:sz="4" w:space="0" w:color="auto"/>
            </w:tcBorders>
            <w:shd w:val="clear" w:color="000000" w:fill="FFFFFF"/>
            <w:vAlign w:val="bottom"/>
            <w:hideMark/>
          </w:tcPr>
          <w:p w14:paraId="1967523B"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208.0</w:t>
            </w:r>
          </w:p>
        </w:tc>
        <w:tc>
          <w:tcPr>
            <w:tcW w:w="718" w:type="dxa"/>
            <w:tcBorders>
              <w:top w:val="nil"/>
              <w:left w:val="nil"/>
              <w:bottom w:val="single" w:sz="4" w:space="0" w:color="auto"/>
              <w:right w:val="single" w:sz="4" w:space="0" w:color="auto"/>
            </w:tcBorders>
            <w:shd w:val="clear" w:color="000000" w:fill="FFFFFF"/>
            <w:vAlign w:val="bottom"/>
            <w:hideMark/>
          </w:tcPr>
          <w:p w14:paraId="2BCA652C"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205.3</w:t>
            </w:r>
          </w:p>
        </w:tc>
        <w:tc>
          <w:tcPr>
            <w:tcW w:w="718" w:type="dxa"/>
            <w:tcBorders>
              <w:top w:val="nil"/>
              <w:left w:val="nil"/>
              <w:bottom w:val="single" w:sz="4" w:space="0" w:color="auto"/>
              <w:right w:val="single" w:sz="4" w:space="0" w:color="auto"/>
            </w:tcBorders>
            <w:shd w:val="clear" w:color="000000" w:fill="FFFFFF"/>
            <w:vAlign w:val="bottom"/>
            <w:hideMark/>
          </w:tcPr>
          <w:p w14:paraId="0E980442"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206.9</w:t>
            </w:r>
          </w:p>
        </w:tc>
        <w:tc>
          <w:tcPr>
            <w:tcW w:w="718" w:type="dxa"/>
            <w:tcBorders>
              <w:top w:val="nil"/>
              <w:left w:val="nil"/>
              <w:bottom w:val="single" w:sz="4" w:space="0" w:color="auto"/>
              <w:right w:val="single" w:sz="4" w:space="0" w:color="auto"/>
            </w:tcBorders>
            <w:shd w:val="clear" w:color="000000" w:fill="FFFFFF"/>
            <w:vAlign w:val="bottom"/>
            <w:hideMark/>
          </w:tcPr>
          <w:p w14:paraId="78E7FF16"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196.0</w:t>
            </w:r>
          </w:p>
        </w:tc>
        <w:tc>
          <w:tcPr>
            <w:tcW w:w="718" w:type="dxa"/>
            <w:tcBorders>
              <w:top w:val="nil"/>
              <w:left w:val="nil"/>
              <w:bottom w:val="single" w:sz="4" w:space="0" w:color="auto"/>
              <w:right w:val="single" w:sz="4" w:space="0" w:color="auto"/>
            </w:tcBorders>
            <w:shd w:val="clear" w:color="auto" w:fill="auto"/>
            <w:vAlign w:val="bottom"/>
            <w:hideMark/>
          </w:tcPr>
          <w:p w14:paraId="7731E826"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195.0</w:t>
            </w:r>
          </w:p>
        </w:tc>
        <w:tc>
          <w:tcPr>
            <w:tcW w:w="718" w:type="dxa"/>
            <w:tcBorders>
              <w:top w:val="nil"/>
              <w:left w:val="nil"/>
              <w:bottom w:val="single" w:sz="4" w:space="0" w:color="auto"/>
              <w:right w:val="single" w:sz="4" w:space="0" w:color="auto"/>
            </w:tcBorders>
            <w:shd w:val="clear" w:color="auto" w:fill="auto"/>
            <w:vAlign w:val="bottom"/>
            <w:hideMark/>
          </w:tcPr>
          <w:p w14:paraId="50A3EF11"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199.7</w:t>
            </w:r>
          </w:p>
        </w:tc>
        <w:tc>
          <w:tcPr>
            <w:tcW w:w="718" w:type="dxa"/>
            <w:tcBorders>
              <w:top w:val="nil"/>
              <w:left w:val="nil"/>
              <w:bottom w:val="single" w:sz="4" w:space="0" w:color="auto"/>
              <w:right w:val="single" w:sz="4" w:space="0" w:color="auto"/>
            </w:tcBorders>
            <w:shd w:val="clear" w:color="auto" w:fill="auto"/>
            <w:vAlign w:val="bottom"/>
            <w:hideMark/>
          </w:tcPr>
          <w:p w14:paraId="3C17435B"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196.4</w:t>
            </w:r>
          </w:p>
        </w:tc>
        <w:tc>
          <w:tcPr>
            <w:tcW w:w="810" w:type="dxa"/>
            <w:tcBorders>
              <w:top w:val="nil"/>
              <w:left w:val="nil"/>
              <w:bottom w:val="single" w:sz="4" w:space="0" w:color="auto"/>
              <w:right w:val="single" w:sz="4" w:space="0" w:color="auto"/>
            </w:tcBorders>
            <w:shd w:val="clear" w:color="auto" w:fill="auto"/>
            <w:vAlign w:val="bottom"/>
            <w:hideMark/>
          </w:tcPr>
          <w:p w14:paraId="637FCE47"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196.3</w:t>
            </w:r>
          </w:p>
        </w:tc>
        <w:tc>
          <w:tcPr>
            <w:tcW w:w="718" w:type="dxa"/>
            <w:tcBorders>
              <w:top w:val="nil"/>
              <w:left w:val="nil"/>
              <w:bottom w:val="single" w:sz="4" w:space="0" w:color="auto"/>
              <w:right w:val="single" w:sz="4" w:space="0" w:color="auto"/>
            </w:tcBorders>
            <w:shd w:val="clear" w:color="auto" w:fill="auto"/>
            <w:vAlign w:val="bottom"/>
            <w:hideMark/>
          </w:tcPr>
          <w:p w14:paraId="391959ED"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192.0</w:t>
            </w:r>
          </w:p>
        </w:tc>
        <w:tc>
          <w:tcPr>
            <w:tcW w:w="737" w:type="dxa"/>
            <w:tcBorders>
              <w:top w:val="nil"/>
              <w:left w:val="nil"/>
              <w:bottom w:val="single" w:sz="4" w:space="0" w:color="auto"/>
              <w:right w:val="single" w:sz="4" w:space="0" w:color="auto"/>
            </w:tcBorders>
            <w:shd w:val="clear" w:color="auto" w:fill="auto"/>
            <w:vAlign w:val="bottom"/>
            <w:hideMark/>
          </w:tcPr>
          <w:p w14:paraId="1C9BB4AA"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192.7</w:t>
            </w:r>
          </w:p>
        </w:tc>
      </w:tr>
      <w:tr w:rsidR="00092D1D" w:rsidRPr="00E12C77" w14:paraId="7E5E6FC7" w14:textId="77777777" w:rsidTr="00092D1D">
        <w:trPr>
          <w:trHeight w:val="31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5892BECC" w14:textId="77777777" w:rsidR="00092D1D" w:rsidRPr="00E12C77" w:rsidRDefault="00092D1D" w:rsidP="00845892">
            <w:pPr>
              <w:rPr>
                <w:rFonts w:ascii="Sylfaen" w:hAnsi="Sylfaen" w:cs="Calibri"/>
                <w:sz w:val="18"/>
              </w:rPr>
            </w:pPr>
            <w:r w:rsidRPr="00E12C77">
              <w:rPr>
                <w:rFonts w:ascii="Sylfaen" w:hAnsi="Sylfaen" w:cs="Sylfaen"/>
                <w:sz w:val="18"/>
              </w:rPr>
              <w:t>დასაქმებული</w:t>
            </w:r>
          </w:p>
        </w:tc>
        <w:tc>
          <w:tcPr>
            <w:tcW w:w="718" w:type="dxa"/>
            <w:tcBorders>
              <w:top w:val="nil"/>
              <w:left w:val="nil"/>
              <w:bottom w:val="single" w:sz="4" w:space="0" w:color="auto"/>
              <w:right w:val="single" w:sz="4" w:space="0" w:color="auto"/>
            </w:tcBorders>
            <w:shd w:val="clear" w:color="000000" w:fill="FFFFFF"/>
            <w:vAlign w:val="bottom"/>
            <w:hideMark/>
          </w:tcPr>
          <w:p w14:paraId="10AE6EF4"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201.0</w:t>
            </w:r>
          </w:p>
        </w:tc>
        <w:tc>
          <w:tcPr>
            <w:tcW w:w="718" w:type="dxa"/>
            <w:tcBorders>
              <w:top w:val="nil"/>
              <w:left w:val="nil"/>
              <w:bottom w:val="single" w:sz="4" w:space="0" w:color="auto"/>
              <w:right w:val="single" w:sz="4" w:space="0" w:color="auto"/>
            </w:tcBorders>
            <w:shd w:val="clear" w:color="000000" w:fill="FFFFFF"/>
            <w:vAlign w:val="bottom"/>
            <w:hideMark/>
          </w:tcPr>
          <w:p w14:paraId="0EE34E20"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197.1</w:t>
            </w:r>
          </w:p>
        </w:tc>
        <w:tc>
          <w:tcPr>
            <w:tcW w:w="718" w:type="dxa"/>
            <w:tcBorders>
              <w:top w:val="nil"/>
              <w:left w:val="nil"/>
              <w:bottom w:val="single" w:sz="4" w:space="0" w:color="auto"/>
              <w:right w:val="single" w:sz="4" w:space="0" w:color="auto"/>
            </w:tcBorders>
            <w:shd w:val="clear" w:color="000000" w:fill="FFFFFF"/>
            <w:vAlign w:val="bottom"/>
            <w:hideMark/>
          </w:tcPr>
          <w:p w14:paraId="4138E00A"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186.2</w:t>
            </w:r>
          </w:p>
        </w:tc>
        <w:tc>
          <w:tcPr>
            <w:tcW w:w="718" w:type="dxa"/>
            <w:tcBorders>
              <w:top w:val="nil"/>
              <w:left w:val="nil"/>
              <w:bottom w:val="single" w:sz="4" w:space="0" w:color="auto"/>
              <w:right w:val="single" w:sz="4" w:space="0" w:color="auto"/>
            </w:tcBorders>
            <w:shd w:val="clear" w:color="000000" w:fill="FFFFFF"/>
            <w:vAlign w:val="bottom"/>
            <w:hideMark/>
          </w:tcPr>
          <w:p w14:paraId="3DF7C53C"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184.1</w:t>
            </w:r>
          </w:p>
        </w:tc>
        <w:tc>
          <w:tcPr>
            <w:tcW w:w="718" w:type="dxa"/>
            <w:tcBorders>
              <w:top w:val="nil"/>
              <w:left w:val="nil"/>
              <w:bottom w:val="single" w:sz="4" w:space="0" w:color="auto"/>
              <w:right w:val="single" w:sz="4" w:space="0" w:color="auto"/>
            </w:tcBorders>
            <w:shd w:val="clear" w:color="000000" w:fill="FFFFFF"/>
            <w:vAlign w:val="bottom"/>
            <w:hideMark/>
          </w:tcPr>
          <w:p w14:paraId="65567453"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174.2</w:t>
            </w:r>
          </w:p>
        </w:tc>
        <w:tc>
          <w:tcPr>
            <w:tcW w:w="718" w:type="dxa"/>
            <w:tcBorders>
              <w:top w:val="nil"/>
              <w:left w:val="nil"/>
              <w:bottom w:val="single" w:sz="4" w:space="0" w:color="auto"/>
              <w:right w:val="single" w:sz="4" w:space="0" w:color="auto"/>
            </w:tcBorders>
            <w:shd w:val="clear" w:color="auto" w:fill="auto"/>
            <w:vAlign w:val="bottom"/>
            <w:hideMark/>
          </w:tcPr>
          <w:p w14:paraId="40B972B6"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177.6</w:t>
            </w:r>
          </w:p>
        </w:tc>
        <w:tc>
          <w:tcPr>
            <w:tcW w:w="718" w:type="dxa"/>
            <w:tcBorders>
              <w:top w:val="nil"/>
              <w:left w:val="nil"/>
              <w:bottom w:val="single" w:sz="4" w:space="0" w:color="auto"/>
              <w:right w:val="single" w:sz="4" w:space="0" w:color="auto"/>
            </w:tcBorders>
            <w:shd w:val="clear" w:color="auto" w:fill="auto"/>
            <w:vAlign w:val="bottom"/>
            <w:hideMark/>
          </w:tcPr>
          <w:p w14:paraId="257292CD"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186.6</w:t>
            </w:r>
          </w:p>
        </w:tc>
        <w:tc>
          <w:tcPr>
            <w:tcW w:w="718" w:type="dxa"/>
            <w:tcBorders>
              <w:top w:val="nil"/>
              <w:left w:val="nil"/>
              <w:bottom w:val="single" w:sz="4" w:space="0" w:color="auto"/>
              <w:right w:val="single" w:sz="4" w:space="0" w:color="auto"/>
            </w:tcBorders>
            <w:shd w:val="clear" w:color="auto" w:fill="auto"/>
            <w:vAlign w:val="bottom"/>
            <w:hideMark/>
          </w:tcPr>
          <w:p w14:paraId="37767E6B"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183.9</w:t>
            </w:r>
          </w:p>
        </w:tc>
        <w:tc>
          <w:tcPr>
            <w:tcW w:w="810" w:type="dxa"/>
            <w:tcBorders>
              <w:top w:val="nil"/>
              <w:left w:val="nil"/>
              <w:bottom w:val="single" w:sz="4" w:space="0" w:color="auto"/>
              <w:right w:val="single" w:sz="4" w:space="0" w:color="auto"/>
            </w:tcBorders>
            <w:shd w:val="clear" w:color="auto" w:fill="auto"/>
            <w:vAlign w:val="bottom"/>
            <w:hideMark/>
          </w:tcPr>
          <w:p w14:paraId="57DC8E56"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186.2</w:t>
            </w:r>
          </w:p>
        </w:tc>
        <w:tc>
          <w:tcPr>
            <w:tcW w:w="718" w:type="dxa"/>
            <w:tcBorders>
              <w:top w:val="nil"/>
              <w:left w:val="nil"/>
              <w:bottom w:val="single" w:sz="4" w:space="0" w:color="auto"/>
              <w:right w:val="single" w:sz="4" w:space="0" w:color="auto"/>
            </w:tcBorders>
            <w:shd w:val="clear" w:color="auto" w:fill="auto"/>
            <w:vAlign w:val="bottom"/>
            <w:hideMark/>
          </w:tcPr>
          <w:p w14:paraId="434D4D50"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180.7</w:t>
            </w:r>
          </w:p>
        </w:tc>
        <w:tc>
          <w:tcPr>
            <w:tcW w:w="737" w:type="dxa"/>
            <w:tcBorders>
              <w:top w:val="nil"/>
              <w:left w:val="nil"/>
              <w:bottom w:val="single" w:sz="4" w:space="0" w:color="auto"/>
              <w:right w:val="single" w:sz="4" w:space="0" w:color="auto"/>
            </w:tcBorders>
            <w:shd w:val="clear" w:color="auto" w:fill="auto"/>
            <w:vAlign w:val="bottom"/>
            <w:hideMark/>
          </w:tcPr>
          <w:p w14:paraId="079BC843"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182.3</w:t>
            </w:r>
          </w:p>
        </w:tc>
      </w:tr>
      <w:tr w:rsidR="00092D1D" w:rsidRPr="00E12C77" w14:paraId="46B74CC2" w14:textId="77777777" w:rsidTr="00092D1D">
        <w:trPr>
          <w:trHeight w:val="31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07F32367" w14:textId="77777777" w:rsidR="00092D1D" w:rsidRPr="00E12C77" w:rsidRDefault="00092D1D" w:rsidP="00845892">
            <w:pPr>
              <w:rPr>
                <w:rFonts w:ascii="Sylfaen" w:hAnsi="Sylfaen" w:cs="Calibri"/>
                <w:sz w:val="18"/>
              </w:rPr>
            </w:pPr>
            <w:r w:rsidRPr="00E12C77">
              <w:rPr>
                <w:rFonts w:ascii="Sylfaen" w:hAnsi="Sylfaen" w:cs="Sylfaen"/>
                <w:sz w:val="18"/>
              </w:rPr>
              <w:t>დაქირავებული</w:t>
            </w:r>
          </w:p>
        </w:tc>
        <w:tc>
          <w:tcPr>
            <w:tcW w:w="718" w:type="dxa"/>
            <w:tcBorders>
              <w:top w:val="nil"/>
              <w:left w:val="nil"/>
              <w:bottom w:val="single" w:sz="4" w:space="0" w:color="auto"/>
              <w:right w:val="single" w:sz="4" w:space="0" w:color="auto"/>
            </w:tcBorders>
            <w:shd w:val="clear" w:color="000000" w:fill="FFFFFF"/>
            <w:vAlign w:val="bottom"/>
            <w:hideMark/>
          </w:tcPr>
          <w:p w14:paraId="15A1CE82"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46.3</w:t>
            </w:r>
          </w:p>
        </w:tc>
        <w:tc>
          <w:tcPr>
            <w:tcW w:w="718" w:type="dxa"/>
            <w:tcBorders>
              <w:top w:val="nil"/>
              <w:left w:val="nil"/>
              <w:bottom w:val="single" w:sz="4" w:space="0" w:color="auto"/>
              <w:right w:val="single" w:sz="4" w:space="0" w:color="auto"/>
            </w:tcBorders>
            <w:shd w:val="clear" w:color="000000" w:fill="FFFFFF"/>
            <w:vAlign w:val="bottom"/>
            <w:hideMark/>
          </w:tcPr>
          <w:p w14:paraId="7B7C0B84"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42.0</w:t>
            </w:r>
          </w:p>
        </w:tc>
        <w:tc>
          <w:tcPr>
            <w:tcW w:w="718" w:type="dxa"/>
            <w:tcBorders>
              <w:top w:val="nil"/>
              <w:left w:val="nil"/>
              <w:bottom w:val="single" w:sz="4" w:space="0" w:color="auto"/>
              <w:right w:val="single" w:sz="4" w:space="0" w:color="auto"/>
            </w:tcBorders>
            <w:shd w:val="clear" w:color="000000" w:fill="FFFFFF"/>
            <w:vAlign w:val="bottom"/>
            <w:hideMark/>
          </w:tcPr>
          <w:p w14:paraId="60D2D34B"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44.3</w:t>
            </w:r>
          </w:p>
        </w:tc>
        <w:tc>
          <w:tcPr>
            <w:tcW w:w="718" w:type="dxa"/>
            <w:tcBorders>
              <w:top w:val="nil"/>
              <w:left w:val="nil"/>
              <w:bottom w:val="single" w:sz="4" w:space="0" w:color="auto"/>
              <w:right w:val="single" w:sz="4" w:space="0" w:color="auto"/>
            </w:tcBorders>
            <w:shd w:val="clear" w:color="000000" w:fill="FFFFFF"/>
            <w:vAlign w:val="bottom"/>
            <w:hideMark/>
          </w:tcPr>
          <w:p w14:paraId="1300C655"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48.0</w:t>
            </w:r>
          </w:p>
        </w:tc>
        <w:tc>
          <w:tcPr>
            <w:tcW w:w="718" w:type="dxa"/>
            <w:tcBorders>
              <w:top w:val="nil"/>
              <w:left w:val="nil"/>
              <w:bottom w:val="single" w:sz="4" w:space="0" w:color="auto"/>
              <w:right w:val="single" w:sz="4" w:space="0" w:color="auto"/>
            </w:tcBorders>
            <w:shd w:val="clear" w:color="000000" w:fill="FFFFFF"/>
            <w:vAlign w:val="bottom"/>
            <w:hideMark/>
          </w:tcPr>
          <w:p w14:paraId="1FC55571"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44.8</w:t>
            </w:r>
          </w:p>
        </w:tc>
        <w:tc>
          <w:tcPr>
            <w:tcW w:w="718" w:type="dxa"/>
            <w:tcBorders>
              <w:top w:val="nil"/>
              <w:left w:val="nil"/>
              <w:bottom w:val="single" w:sz="4" w:space="0" w:color="auto"/>
              <w:right w:val="single" w:sz="4" w:space="0" w:color="auto"/>
            </w:tcBorders>
            <w:shd w:val="clear" w:color="auto" w:fill="auto"/>
            <w:vAlign w:val="bottom"/>
            <w:hideMark/>
          </w:tcPr>
          <w:p w14:paraId="706B8A1E"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41.8</w:t>
            </w:r>
          </w:p>
        </w:tc>
        <w:tc>
          <w:tcPr>
            <w:tcW w:w="718" w:type="dxa"/>
            <w:tcBorders>
              <w:top w:val="nil"/>
              <w:left w:val="nil"/>
              <w:bottom w:val="single" w:sz="4" w:space="0" w:color="auto"/>
              <w:right w:val="single" w:sz="4" w:space="0" w:color="auto"/>
            </w:tcBorders>
            <w:shd w:val="clear" w:color="auto" w:fill="auto"/>
            <w:vAlign w:val="bottom"/>
            <w:hideMark/>
          </w:tcPr>
          <w:p w14:paraId="689E9855"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44.2</w:t>
            </w:r>
          </w:p>
        </w:tc>
        <w:tc>
          <w:tcPr>
            <w:tcW w:w="718" w:type="dxa"/>
            <w:tcBorders>
              <w:top w:val="nil"/>
              <w:left w:val="nil"/>
              <w:bottom w:val="single" w:sz="4" w:space="0" w:color="auto"/>
              <w:right w:val="single" w:sz="4" w:space="0" w:color="auto"/>
            </w:tcBorders>
            <w:shd w:val="clear" w:color="auto" w:fill="auto"/>
            <w:vAlign w:val="bottom"/>
            <w:hideMark/>
          </w:tcPr>
          <w:p w14:paraId="2746E366"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47.2</w:t>
            </w:r>
          </w:p>
        </w:tc>
        <w:tc>
          <w:tcPr>
            <w:tcW w:w="810" w:type="dxa"/>
            <w:tcBorders>
              <w:top w:val="nil"/>
              <w:left w:val="nil"/>
              <w:bottom w:val="single" w:sz="4" w:space="0" w:color="auto"/>
              <w:right w:val="single" w:sz="4" w:space="0" w:color="auto"/>
            </w:tcBorders>
            <w:shd w:val="clear" w:color="auto" w:fill="auto"/>
            <w:vAlign w:val="bottom"/>
            <w:hideMark/>
          </w:tcPr>
          <w:p w14:paraId="658E96D2"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45.6</w:t>
            </w:r>
          </w:p>
        </w:tc>
        <w:tc>
          <w:tcPr>
            <w:tcW w:w="718" w:type="dxa"/>
            <w:tcBorders>
              <w:top w:val="nil"/>
              <w:left w:val="nil"/>
              <w:bottom w:val="single" w:sz="4" w:space="0" w:color="auto"/>
              <w:right w:val="single" w:sz="4" w:space="0" w:color="auto"/>
            </w:tcBorders>
            <w:shd w:val="clear" w:color="auto" w:fill="auto"/>
            <w:vAlign w:val="bottom"/>
            <w:hideMark/>
          </w:tcPr>
          <w:p w14:paraId="2A3CDD2B"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53.2</w:t>
            </w:r>
          </w:p>
        </w:tc>
        <w:tc>
          <w:tcPr>
            <w:tcW w:w="737" w:type="dxa"/>
            <w:tcBorders>
              <w:top w:val="nil"/>
              <w:left w:val="nil"/>
              <w:bottom w:val="single" w:sz="4" w:space="0" w:color="auto"/>
              <w:right w:val="single" w:sz="4" w:space="0" w:color="auto"/>
            </w:tcBorders>
            <w:shd w:val="clear" w:color="auto" w:fill="auto"/>
            <w:vAlign w:val="bottom"/>
            <w:hideMark/>
          </w:tcPr>
          <w:p w14:paraId="7BFD7D27"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49.7</w:t>
            </w:r>
          </w:p>
        </w:tc>
      </w:tr>
      <w:tr w:rsidR="00092D1D" w:rsidRPr="00E12C77" w14:paraId="40337DCC" w14:textId="77777777" w:rsidTr="00092D1D">
        <w:trPr>
          <w:trHeight w:val="31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0108979B" w14:textId="77777777" w:rsidR="00092D1D" w:rsidRPr="00E12C77" w:rsidRDefault="00092D1D" w:rsidP="00845892">
            <w:pPr>
              <w:rPr>
                <w:rFonts w:ascii="Sylfaen" w:hAnsi="Sylfaen" w:cs="Calibri"/>
                <w:sz w:val="18"/>
              </w:rPr>
            </w:pPr>
            <w:r w:rsidRPr="00E12C77">
              <w:rPr>
                <w:rFonts w:ascii="Sylfaen" w:hAnsi="Sylfaen" w:cs="Sylfaen"/>
                <w:sz w:val="18"/>
              </w:rPr>
              <w:t>თვითდასაქმებული</w:t>
            </w:r>
          </w:p>
        </w:tc>
        <w:tc>
          <w:tcPr>
            <w:tcW w:w="718" w:type="dxa"/>
            <w:tcBorders>
              <w:top w:val="nil"/>
              <w:left w:val="nil"/>
              <w:bottom w:val="single" w:sz="4" w:space="0" w:color="auto"/>
              <w:right w:val="single" w:sz="4" w:space="0" w:color="auto"/>
            </w:tcBorders>
            <w:shd w:val="clear" w:color="000000" w:fill="FFFFFF"/>
            <w:vAlign w:val="bottom"/>
            <w:hideMark/>
          </w:tcPr>
          <w:p w14:paraId="41ACC2B7"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154.6</w:t>
            </w:r>
          </w:p>
        </w:tc>
        <w:tc>
          <w:tcPr>
            <w:tcW w:w="718" w:type="dxa"/>
            <w:tcBorders>
              <w:top w:val="nil"/>
              <w:left w:val="nil"/>
              <w:bottom w:val="single" w:sz="4" w:space="0" w:color="auto"/>
              <w:right w:val="single" w:sz="4" w:space="0" w:color="auto"/>
            </w:tcBorders>
            <w:shd w:val="clear" w:color="000000" w:fill="FFFFFF"/>
            <w:vAlign w:val="bottom"/>
            <w:hideMark/>
          </w:tcPr>
          <w:p w14:paraId="1BB6C32C"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155.0</w:t>
            </w:r>
          </w:p>
        </w:tc>
        <w:tc>
          <w:tcPr>
            <w:tcW w:w="718" w:type="dxa"/>
            <w:tcBorders>
              <w:top w:val="nil"/>
              <w:left w:val="nil"/>
              <w:bottom w:val="single" w:sz="4" w:space="0" w:color="auto"/>
              <w:right w:val="single" w:sz="4" w:space="0" w:color="auto"/>
            </w:tcBorders>
            <w:shd w:val="clear" w:color="000000" w:fill="FFFFFF"/>
            <w:vAlign w:val="bottom"/>
            <w:hideMark/>
          </w:tcPr>
          <w:p w14:paraId="4D6A2203"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141.5</w:t>
            </w:r>
          </w:p>
        </w:tc>
        <w:tc>
          <w:tcPr>
            <w:tcW w:w="718" w:type="dxa"/>
            <w:tcBorders>
              <w:top w:val="nil"/>
              <w:left w:val="nil"/>
              <w:bottom w:val="single" w:sz="4" w:space="0" w:color="auto"/>
              <w:right w:val="single" w:sz="4" w:space="0" w:color="auto"/>
            </w:tcBorders>
            <w:shd w:val="clear" w:color="000000" w:fill="FFFFFF"/>
            <w:vAlign w:val="bottom"/>
            <w:hideMark/>
          </w:tcPr>
          <w:p w14:paraId="7BA79B50"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136.0</w:t>
            </w:r>
          </w:p>
        </w:tc>
        <w:tc>
          <w:tcPr>
            <w:tcW w:w="718" w:type="dxa"/>
            <w:tcBorders>
              <w:top w:val="nil"/>
              <w:left w:val="nil"/>
              <w:bottom w:val="single" w:sz="4" w:space="0" w:color="auto"/>
              <w:right w:val="single" w:sz="4" w:space="0" w:color="auto"/>
            </w:tcBorders>
            <w:shd w:val="clear" w:color="000000" w:fill="FFFFFF"/>
            <w:vAlign w:val="bottom"/>
            <w:hideMark/>
          </w:tcPr>
          <w:p w14:paraId="67FE3E2D"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129.3</w:t>
            </w:r>
          </w:p>
        </w:tc>
        <w:tc>
          <w:tcPr>
            <w:tcW w:w="718" w:type="dxa"/>
            <w:tcBorders>
              <w:top w:val="nil"/>
              <w:left w:val="nil"/>
              <w:bottom w:val="single" w:sz="4" w:space="0" w:color="auto"/>
              <w:right w:val="single" w:sz="4" w:space="0" w:color="auto"/>
            </w:tcBorders>
            <w:shd w:val="clear" w:color="auto" w:fill="auto"/>
            <w:vAlign w:val="bottom"/>
            <w:hideMark/>
          </w:tcPr>
          <w:p w14:paraId="1FA436C4"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135.8</w:t>
            </w:r>
          </w:p>
        </w:tc>
        <w:tc>
          <w:tcPr>
            <w:tcW w:w="718" w:type="dxa"/>
            <w:tcBorders>
              <w:top w:val="nil"/>
              <w:left w:val="nil"/>
              <w:bottom w:val="single" w:sz="4" w:space="0" w:color="auto"/>
              <w:right w:val="single" w:sz="4" w:space="0" w:color="auto"/>
            </w:tcBorders>
            <w:shd w:val="clear" w:color="auto" w:fill="auto"/>
            <w:vAlign w:val="bottom"/>
            <w:hideMark/>
          </w:tcPr>
          <w:p w14:paraId="79D5BEB0"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142.4</w:t>
            </w:r>
          </w:p>
        </w:tc>
        <w:tc>
          <w:tcPr>
            <w:tcW w:w="718" w:type="dxa"/>
            <w:tcBorders>
              <w:top w:val="nil"/>
              <w:left w:val="nil"/>
              <w:bottom w:val="single" w:sz="4" w:space="0" w:color="auto"/>
              <w:right w:val="single" w:sz="4" w:space="0" w:color="auto"/>
            </w:tcBorders>
            <w:shd w:val="clear" w:color="auto" w:fill="auto"/>
            <w:vAlign w:val="bottom"/>
            <w:hideMark/>
          </w:tcPr>
          <w:p w14:paraId="18015CB4"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136.6</w:t>
            </w:r>
          </w:p>
        </w:tc>
        <w:tc>
          <w:tcPr>
            <w:tcW w:w="810" w:type="dxa"/>
            <w:tcBorders>
              <w:top w:val="nil"/>
              <w:left w:val="nil"/>
              <w:bottom w:val="single" w:sz="4" w:space="0" w:color="auto"/>
              <w:right w:val="single" w:sz="4" w:space="0" w:color="auto"/>
            </w:tcBorders>
            <w:shd w:val="clear" w:color="auto" w:fill="auto"/>
            <w:vAlign w:val="bottom"/>
            <w:hideMark/>
          </w:tcPr>
          <w:p w14:paraId="074E1520"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140.6</w:t>
            </w:r>
          </w:p>
        </w:tc>
        <w:tc>
          <w:tcPr>
            <w:tcW w:w="718" w:type="dxa"/>
            <w:tcBorders>
              <w:top w:val="nil"/>
              <w:left w:val="nil"/>
              <w:bottom w:val="single" w:sz="4" w:space="0" w:color="auto"/>
              <w:right w:val="single" w:sz="4" w:space="0" w:color="auto"/>
            </w:tcBorders>
            <w:shd w:val="clear" w:color="auto" w:fill="auto"/>
            <w:vAlign w:val="bottom"/>
            <w:hideMark/>
          </w:tcPr>
          <w:p w14:paraId="598D14C9"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127.4</w:t>
            </w:r>
          </w:p>
        </w:tc>
        <w:tc>
          <w:tcPr>
            <w:tcW w:w="737" w:type="dxa"/>
            <w:tcBorders>
              <w:top w:val="nil"/>
              <w:left w:val="nil"/>
              <w:bottom w:val="single" w:sz="4" w:space="0" w:color="auto"/>
              <w:right w:val="single" w:sz="4" w:space="0" w:color="auto"/>
            </w:tcBorders>
            <w:shd w:val="clear" w:color="auto" w:fill="auto"/>
            <w:vAlign w:val="bottom"/>
            <w:hideMark/>
          </w:tcPr>
          <w:p w14:paraId="14634AA6"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132.5</w:t>
            </w:r>
          </w:p>
        </w:tc>
      </w:tr>
      <w:tr w:rsidR="00092D1D" w:rsidRPr="00E12C77" w14:paraId="599C4FDE" w14:textId="77777777" w:rsidTr="00092D1D">
        <w:trPr>
          <w:trHeight w:val="31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126DDD7E" w14:textId="77777777" w:rsidR="00092D1D" w:rsidRPr="00E12C77" w:rsidRDefault="00092D1D" w:rsidP="00845892">
            <w:pPr>
              <w:rPr>
                <w:rFonts w:ascii="Sylfaen" w:hAnsi="Sylfaen" w:cs="Calibri"/>
                <w:sz w:val="18"/>
              </w:rPr>
            </w:pPr>
            <w:r w:rsidRPr="00E12C77">
              <w:rPr>
                <w:rFonts w:ascii="Sylfaen" w:hAnsi="Sylfaen" w:cs="Sylfaen"/>
                <w:sz w:val="18"/>
              </w:rPr>
              <w:lastRenderedPageBreak/>
              <w:t>გაურკვეველი</w:t>
            </w:r>
          </w:p>
        </w:tc>
        <w:tc>
          <w:tcPr>
            <w:tcW w:w="718" w:type="dxa"/>
            <w:tcBorders>
              <w:top w:val="nil"/>
              <w:left w:val="nil"/>
              <w:bottom w:val="single" w:sz="4" w:space="0" w:color="auto"/>
              <w:right w:val="single" w:sz="4" w:space="0" w:color="auto"/>
            </w:tcBorders>
            <w:shd w:val="clear" w:color="000000" w:fill="FFFFFF"/>
            <w:vAlign w:val="bottom"/>
            <w:hideMark/>
          </w:tcPr>
          <w:p w14:paraId="1BD6F135"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0.1</w:t>
            </w:r>
          </w:p>
        </w:tc>
        <w:tc>
          <w:tcPr>
            <w:tcW w:w="718" w:type="dxa"/>
            <w:tcBorders>
              <w:top w:val="nil"/>
              <w:left w:val="nil"/>
              <w:bottom w:val="single" w:sz="4" w:space="0" w:color="auto"/>
              <w:right w:val="single" w:sz="4" w:space="0" w:color="auto"/>
            </w:tcBorders>
            <w:shd w:val="clear" w:color="000000" w:fill="FFFFFF"/>
            <w:vAlign w:val="bottom"/>
            <w:hideMark/>
          </w:tcPr>
          <w:p w14:paraId="1FF04E34"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0.0</w:t>
            </w:r>
          </w:p>
        </w:tc>
        <w:tc>
          <w:tcPr>
            <w:tcW w:w="718" w:type="dxa"/>
            <w:tcBorders>
              <w:top w:val="nil"/>
              <w:left w:val="nil"/>
              <w:bottom w:val="single" w:sz="4" w:space="0" w:color="auto"/>
              <w:right w:val="single" w:sz="4" w:space="0" w:color="auto"/>
            </w:tcBorders>
            <w:shd w:val="clear" w:color="000000" w:fill="FFFFFF"/>
            <w:vAlign w:val="bottom"/>
            <w:hideMark/>
          </w:tcPr>
          <w:p w14:paraId="60F4F376"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0.4</w:t>
            </w:r>
          </w:p>
        </w:tc>
        <w:tc>
          <w:tcPr>
            <w:tcW w:w="718" w:type="dxa"/>
            <w:tcBorders>
              <w:top w:val="nil"/>
              <w:left w:val="nil"/>
              <w:bottom w:val="single" w:sz="4" w:space="0" w:color="auto"/>
              <w:right w:val="single" w:sz="4" w:space="0" w:color="auto"/>
            </w:tcBorders>
            <w:shd w:val="clear" w:color="000000" w:fill="FFFFFF"/>
            <w:vAlign w:val="bottom"/>
            <w:hideMark/>
          </w:tcPr>
          <w:p w14:paraId="302CD627"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0.1</w:t>
            </w:r>
          </w:p>
        </w:tc>
        <w:tc>
          <w:tcPr>
            <w:tcW w:w="718" w:type="dxa"/>
            <w:tcBorders>
              <w:top w:val="nil"/>
              <w:left w:val="nil"/>
              <w:bottom w:val="single" w:sz="4" w:space="0" w:color="auto"/>
              <w:right w:val="single" w:sz="4" w:space="0" w:color="auto"/>
            </w:tcBorders>
            <w:shd w:val="clear" w:color="000000" w:fill="FFFFFF"/>
            <w:vAlign w:val="bottom"/>
            <w:hideMark/>
          </w:tcPr>
          <w:p w14:paraId="4320594E"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0.1</w:t>
            </w:r>
          </w:p>
        </w:tc>
        <w:tc>
          <w:tcPr>
            <w:tcW w:w="718" w:type="dxa"/>
            <w:tcBorders>
              <w:top w:val="nil"/>
              <w:left w:val="nil"/>
              <w:bottom w:val="single" w:sz="4" w:space="0" w:color="auto"/>
              <w:right w:val="single" w:sz="4" w:space="0" w:color="auto"/>
            </w:tcBorders>
            <w:shd w:val="clear" w:color="auto" w:fill="auto"/>
            <w:vAlign w:val="bottom"/>
            <w:hideMark/>
          </w:tcPr>
          <w:p w14:paraId="4B0ED595"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0.0</w:t>
            </w:r>
          </w:p>
        </w:tc>
        <w:tc>
          <w:tcPr>
            <w:tcW w:w="718" w:type="dxa"/>
            <w:tcBorders>
              <w:top w:val="nil"/>
              <w:left w:val="nil"/>
              <w:bottom w:val="single" w:sz="4" w:space="0" w:color="auto"/>
              <w:right w:val="single" w:sz="4" w:space="0" w:color="auto"/>
            </w:tcBorders>
            <w:shd w:val="clear" w:color="auto" w:fill="auto"/>
            <w:vAlign w:val="bottom"/>
            <w:hideMark/>
          </w:tcPr>
          <w:p w14:paraId="1324A394"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0.0</w:t>
            </w:r>
          </w:p>
        </w:tc>
        <w:tc>
          <w:tcPr>
            <w:tcW w:w="718" w:type="dxa"/>
            <w:tcBorders>
              <w:top w:val="nil"/>
              <w:left w:val="nil"/>
              <w:bottom w:val="single" w:sz="4" w:space="0" w:color="auto"/>
              <w:right w:val="single" w:sz="4" w:space="0" w:color="auto"/>
            </w:tcBorders>
            <w:shd w:val="clear" w:color="auto" w:fill="auto"/>
            <w:vAlign w:val="bottom"/>
            <w:hideMark/>
          </w:tcPr>
          <w:p w14:paraId="7FA40E33"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0.1</w:t>
            </w:r>
          </w:p>
        </w:tc>
        <w:tc>
          <w:tcPr>
            <w:tcW w:w="810" w:type="dxa"/>
            <w:tcBorders>
              <w:top w:val="nil"/>
              <w:left w:val="nil"/>
              <w:bottom w:val="single" w:sz="4" w:space="0" w:color="auto"/>
              <w:right w:val="single" w:sz="4" w:space="0" w:color="auto"/>
            </w:tcBorders>
            <w:shd w:val="clear" w:color="auto" w:fill="auto"/>
            <w:vAlign w:val="bottom"/>
            <w:hideMark/>
          </w:tcPr>
          <w:p w14:paraId="53C1A586"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0.0</w:t>
            </w:r>
          </w:p>
        </w:tc>
        <w:tc>
          <w:tcPr>
            <w:tcW w:w="718" w:type="dxa"/>
            <w:tcBorders>
              <w:top w:val="nil"/>
              <w:left w:val="nil"/>
              <w:bottom w:val="single" w:sz="4" w:space="0" w:color="auto"/>
              <w:right w:val="single" w:sz="4" w:space="0" w:color="auto"/>
            </w:tcBorders>
            <w:shd w:val="clear" w:color="auto" w:fill="auto"/>
            <w:vAlign w:val="bottom"/>
            <w:hideMark/>
          </w:tcPr>
          <w:p w14:paraId="46F7EE34"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0.1</w:t>
            </w:r>
          </w:p>
        </w:tc>
        <w:tc>
          <w:tcPr>
            <w:tcW w:w="737" w:type="dxa"/>
            <w:tcBorders>
              <w:top w:val="nil"/>
              <w:left w:val="nil"/>
              <w:bottom w:val="single" w:sz="4" w:space="0" w:color="auto"/>
              <w:right w:val="single" w:sz="4" w:space="0" w:color="auto"/>
            </w:tcBorders>
            <w:shd w:val="clear" w:color="auto" w:fill="auto"/>
            <w:vAlign w:val="bottom"/>
            <w:hideMark/>
          </w:tcPr>
          <w:p w14:paraId="307A29A4"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0.1</w:t>
            </w:r>
          </w:p>
        </w:tc>
      </w:tr>
      <w:tr w:rsidR="00092D1D" w:rsidRPr="00E12C77" w14:paraId="49A2B66D" w14:textId="77777777" w:rsidTr="00092D1D">
        <w:trPr>
          <w:trHeight w:val="31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5CB0E8F0" w14:textId="77777777" w:rsidR="00092D1D" w:rsidRPr="00E12C77" w:rsidRDefault="00092D1D" w:rsidP="00845892">
            <w:pPr>
              <w:rPr>
                <w:rFonts w:ascii="Sylfaen" w:hAnsi="Sylfaen" w:cs="Calibri"/>
                <w:sz w:val="18"/>
              </w:rPr>
            </w:pPr>
            <w:r w:rsidRPr="00E12C77">
              <w:rPr>
                <w:rFonts w:ascii="Sylfaen" w:hAnsi="Sylfaen" w:cs="Sylfaen"/>
                <w:sz w:val="18"/>
              </w:rPr>
              <w:t>უმუშევარი</w:t>
            </w:r>
          </w:p>
        </w:tc>
        <w:tc>
          <w:tcPr>
            <w:tcW w:w="718" w:type="dxa"/>
            <w:tcBorders>
              <w:top w:val="nil"/>
              <w:left w:val="nil"/>
              <w:bottom w:val="single" w:sz="4" w:space="0" w:color="auto"/>
              <w:right w:val="single" w:sz="4" w:space="0" w:color="auto"/>
            </w:tcBorders>
            <w:shd w:val="clear" w:color="000000" w:fill="FFFFFF"/>
            <w:vAlign w:val="bottom"/>
            <w:hideMark/>
          </w:tcPr>
          <w:p w14:paraId="09E5319B"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13.9</w:t>
            </w:r>
          </w:p>
        </w:tc>
        <w:tc>
          <w:tcPr>
            <w:tcW w:w="718" w:type="dxa"/>
            <w:tcBorders>
              <w:top w:val="nil"/>
              <w:left w:val="nil"/>
              <w:bottom w:val="single" w:sz="4" w:space="0" w:color="auto"/>
              <w:right w:val="single" w:sz="4" w:space="0" w:color="auto"/>
            </w:tcBorders>
            <w:shd w:val="clear" w:color="000000" w:fill="FFFFFF"/>
            <w:vAlign w:val="bottom"/>
            <w:hideMark/>
          </w:tcPr>
          <w:p w14:paraId="38ACC8CC"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10.9</w:t>
            </w:r>
          </w:p>
        </w:tc>
        <w:tc>
          <w:tcPr>
            <w:tcW w:w="718" w:type="dxa"/>
            <w:tcBorders>
              <w:top w:val="nil"/>
              <w:left w:val="nil"/>
              <w:bottom w:val="single" w:sz="4" w:space="0" w:color="auto"/>
              <w:right w:val="single" w:sz="4" w:space="0" w:color="auto"/>
            </w:tcBorders>
            <w:shd w:val="clear" w:color="000000" w:fill="FFFFFF"/>
            <w:vAlign w:val="bottom"/>
            <w:hideMark/>
          </w:tcPr>
          <w:p w14:paraId="57A00A82"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19.1</w:t>
            </w:r>
          </w:p>
        </w:tc>
        <w:tc>
          <w:tcPr>
            <w:tcW w:w="718" w:type="dxa"/>
            <w:tcBorders>
              <w:top w:val="nil"/>
              <w:left w:val="nil"/>
              <w:bottom w:val="single" w:sz="4" w:space="0" w:color="auto"/>
              <w:right w:val="single" w:sz="4" w:space="0" w:color="auto"/>
            </w:tcBorders>
            <w:shd w:val="clear" w:color="000000" w:fill="FFFFFF"/>
            <w:vAlign w:val="bottom"/>
            <w:hideMark/>
          </w:tcPr>
          <w:p w14:paraId="31BFF33F"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22.8</w:t>
            </w:r>
          </w:p>
        </w:tc>
        <w:tc>
          <w:tcPr>
            <w:tcW w:w="718" w:type="dxa"/>
            <w:tcBorders>
              <w:top w:val="nil"/>
              <w:left w:val="nil"/>
              <w:bottom w:val="single" w:sz="4" w:space="0" w:color="auto"/>
              <w:right w:val="single" w:sz="4" w:space="0" w:color="auto"/>
            </w:tcBorders>
            <w:shd w:val="clear" w:color="000000" w:fill="FFFFFF"/>
            <w:vAlign w:val="bottom"/>
            <w:hideMark/>
          </w:tcPr>
          <w:p w14:paraId="2BE37F72"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21.8</w:t>
            </w:r>
          </w:p>
        </w:tc>
        <w:tc>
          <w:tcPr>
            <w:tcW w:w="718" w:type="dxa"/>
            <w:tcBorders>
              <w:top w:val="nil"/>
              <w:left w:val="nil"/>
              <w:bottom w:val="single" w:sz="4" w:space="0" w:color="auto"/>
              <w:right w:val="single" w:sz="4" w:space="0" w:color="auto"/>
            </w:tcBorders>
            <w:shd w:val="clear" w:color="auto" w:fill="auto"/>
            <w:vAlign w:val="bottom"/>
            <w:hideMark/>
          </w:tcPr>
          <w:p w14:paraId="519CFDCC"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17.4</w:t>
            </w:r>
          </w:p>
        </w:tc>
        <w:tc>
          <w:tcPr>
            <w:tcW w:w="718" w:type="dxa"/>
            <w:tcBorders>
              <w:top w:val="nil"/>
              <w:left w:val="nil"/>
              <w:bottom w:val="single" w:sz="4" w:space="0" w:color="auto"/>
              <w:right w:val="single" w:sz="4" w:space="0" w:color="auto"/>
            </w:tcBorders>
            <w:shd w:val="clear" w:color="auto" w:fill="auto"/>
            <w:vAlign w:val="bottom"/>
            <w:hideMark/>
          </w:tcPr>
          <w:p w14:paraId="0EC15C98"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13.1</w:t>
            </w:r>
          </w:p>
        </w:tc>
        <w:tc>
          <w:tcPr>
            <w:tcW w:w="718" w:type="dxa"/>
            <w:tcBorders>
              <w:top w:val="nil"/>
              <w:left w:val="nil"/>
              <w:bottom w:val="single" w:sz="4" w:space="0" w:color="auto"/>
              <w:right w:val="single" w:sz="4" w:space="0" w:color="auto"/>
            </w:tcBorders>
            <w:shd w:val="clear" w:color="auto" w:fill="auto"/>
            <w:vAlign w:val="bottom"/>
            <w:hideMark/>
          </w:tcPr>
          <w:p w14:paraId="2B09F2C2"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12.5</w:t>
            </w:r>
          </w:p>
        </w:tc>
        <w:tc>
          <w:tcPr>
            <w:tcW w:w="810" w:type="dxa"/>
            <w:tcBorders>
              <w:top w:val="nil"/>
              <w:left w:val="nil"/>
              <w:bottom w:val="single" w:sz="4" w:space="0" w:color="auto"/>
              <w:right w:val="single" w:sz="4" w:space="0" w:color="auto"/>
            </w:tcBorders>
            <w:shd w:val="clear" w:color="auto" w:fill="auto"/>
            <w:vAlign w:val="bottom"/>
            <w:hideMark/>
          </w:tcPr>
          <w:p w14:paraId="37B2D784"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10.1</w:t>
            </w:r>
          </w:p>
        </w:tc>
        <w:tc>
          <w:tcPr>
            <w:tcW w:w="718" w:type="dxa"/>
            <w:tcBorders>
              <w:top w:val="nil"/>
              <w:left w:val="nil"/>
              <w:bottom w:val="single" w:sz="4" w:space="0" w:color="auto"/>
              <w:right w:val="single" w:sz="4" w:space="0" w:color="auto"/>
            </w:tcBorders>
            <w:shd w:val="clear" w:color="auto" w:fill="auto"/>
            <w:vAlign w:val="bottom"/>
            <w:hideMark/>
          </w:tcPr>
          <w:p w14:paraId="6302B107"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11.3</w:t>
            </w:r>
          </w:p>
        </w:tc>
        <w:tc>
          <w:tcPr>
            <w:tcW w:w="737" w:type="dxa"/>
            <w:tcBorders>
              <w:top w:val="nil"/>
              <w:left w:val="nil"/>
              <w:bottom w:val="single" w:sz="4" w:space="0" w:color="auto"/>
              <w:right w:val="single" w:sz="4" w:space="0" w:color="auto"/>
            </w:tcBorders>
            <w:shd w:val="clear" w:color="auto" w:fill="auto"/>
            <w:vAlign w:val="bottom"/>
            <w:hideMark/>
          </w:tcPr>
          <w:p w14:paraId="794E3DB8"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10.4</w:t>
            </w:r>
          </w:p>
        </w:tc>
      </w:tr>
      <w:tr w:rsidR="00092D1D" w:rsidRPr="00E12C77" w14:paraId="2A000463" w14:textId="77777777" w:rsidTr="00092D1D">
        <w:trPr>
          <w:trHeight w:val="31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023D53BC" w14:textId="77777777" w:rsidR="00092D1D" w:rsidRPr="00E12C77" w:rsidRDefault="00092D1D" w:rsidP="00845892">
            <w:pPr>
              <w:rPr>
                <w:rFonts w:ascii="Sylfaen" w:hAnsi="Sylfaen" w:cs="Calibri"/>
                <w:sz w:val="18"/>
              </w:rPr>
            </w:pPr>
            <w:r w:rsidRPr="00E12C77">
              <w:rPr>
                <w:rFonts w:ascii="Sylfaen" w:hAnsi="Sylfaen" w:cs="Sylfaen"/>
                <w:sz w:val="18"/>
              </w:rPr>
              <w:t>მოსახლეობა</w:t>
            </w:r>
            <w:r w:rsidRPr="00E12C77">
              <w:rPr>
                <w:rFonts w:ascii="Sylfaen" w:hAnsi="Sylfaen" w:cs="Calibri"/>
                <w:sz w:val="18"/>
              </w:rPr>
              <w:t xml:space="preserve"> </w:t>
            </w:r>
            <w:r w:rsidRPr="00E12C77">
              <w:rPr>
                <w:rFonts w:ascii="Sylfaen" w:hAnsi="Sylfaen" w:cs="Sylfaen"/>
                <w:sz w:val="18"/>
              </w:rPr>
              <w:t>სამუშაო</w:t>
            </w:r>
            <w:r w:rsidRPr="00E12C77">
              <w:rPr>
                <w:rFonts w:ascii="Sylfaen" w:hAnsi="Sylfaen" w:cs="Calibri"/>
                <w:sz w:val="18"/>
              </w:rPr>
              <w:t xml:space="preserve"> </w:t>
            </w:r>
            <w:r w:rsidRPr="00E12C77">
              <w:rPr>
                <w:rFonts w:ascii="Sylfaen" w:hAnsi="Sylfaen" w:cs="Sylfaen"/>
                <w:sz w:val="18"/>
              </w:rPr>
              <w:t>ძალის</w:t>
            </w:r>
            <w:r w:rsidRPr="00E12C77">
              <w:rPr>
                <w:rFonts w:ascii="Sylfaen" w:hAnsi="Sylfaen" w:cs="Calibri"/>
                <w:sz w:val="18"/>
              </w:rPr>
              <w:t xml:space="preserve"> </w:t>
            </w:r>
            <w:r w:rsidRPr="00E12C77">
              <w:rPr>
                <w:rFonts w:ascii="Sylfaen" w:hAnsi="Sylfaen" w:cs="Sylfaen"/>
                <w:sz w:val="18"/>
              </w:rPr>
              <w:t>გარეთ</w:t>
            </w:r>
          </w:p>
        </w:tc>
        <w:tc>
          <w:tcPr>
            <w:tcW w:w="718" w:type="dxa"/>
            <w:tcBorders>
              <w:top w:val="nil"/>
              <w:left w:val="nil"/>
              <w:bottom w:val="single" w:sz="4" w:space="0" w:color="auto"/>
              <w:right w:val="single" w:sz="4" w:space="0" w:color="auto"/>
            </w:tcBorders>
            <w:shd w:val="clear" w:color="000000" w:fill="FFFFFF"/>
            <w:vAlign w:val="bottom"/>
            <w:hideMark/>
          </w:tcPr>
          <w:p w14:paraId="05C20880"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90.7</w:t>
            </w:r>
          </w:p>
        </w:tc>
        <w:tc>
          <w:tcPr>
            <w:tcW w:w="718" w:type="dxa"/>
            <w:tcBorders>
              <w:top w:val="nil"/>
              <w:left w:val="nil"/>
              <w:bottom w:val="single" w:sz="4" w:space="0" w:color="auto"/>
              <w:right w:val="single" w:sz="4" w:space="0" w:color="auto"/>
            </w:tcBorders>
            <w:shd w:val="clear" w:color="000000" w:fill="FFFFFF"/>
            <w:vAlign w:val="bottom"/>
            <w:hideMark/>
          </w:tcPr>
          <w:p w14:paraId="7FCCC8A0"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78.7</w:t>
            </w:r>
          </w:p>
        </w:tc>
        <w:tc>
          <w:tcPr>
            <w:tcW w:w="718" w:type="dxa"/>
            <w:tcBorders>
              <w:top w:val="nil"/>
              <w:left w:val="nil"/>
              <w:bottom w:val="single" w:sz="4" w:space="0" w:color="auto"/>
              <w:right w:val="single" w:sz="4" w:space="0" w:color="auto"/>
            </w:tcBorders>
            <w:shd w:val="clear" w:color="000000" w:fill="FFFFFF"/>
            <w:vAlign w:val="bottom"/>
            <w:hideMark/>
          </w:tcPr>
          <w:p w14:paraId="6E39A6D0"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86.7</w:t>
            </w:r>
          </w:p>
        </w:tc>
        <w:tc>
          <w:tcPr>
            <w:tcW w:w="718" w:type="dxa"/>
            <w:tcBorders>
              <w:top w:val="nil"/>
              <w:left w:val="nil"/>
              <w:bottom w:val="single" w:sz="4" w:space="0" w:color="auto"/>
              <w:right w:val="single" w:sz="4" w:space="0" w:color="auto"/>
            </w:tcBorders>
            <w:shd w:val="clear" w:color="000000" w:fill="FFFFFF"/>
            <w:vAlign w:val="bottom"/>
            <w:hideMark/>
          </w:tcPr>
          <w:p w14:paraId="34C15E7E"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86.7</w:t>
            </w:r>
          </w:p>
        </w:tc>
        <w:tc>
          <w:tcPr>
            <w:tcW w:w="718" w:type="dxa"/>
            <w:tcBorders>
              <w:top w:val="nil"/>
              <w:left w:val="nil"/>
              <w:bottom w:val="single" w:sz="4" w:space="0" w:color="auto"/>
              <w:right w:val="single" w:sz="4" w:space="0" w:color="auto"/>
            </w:tcBorders>
            <w:shd w:val="clear" w:color="000000" w:fill="FFFFFF"/>
            <w:vAlign w:val="bottom"/>
            <w:hideMark/>
          </w:tcPr>
          <w:p w14:paraId="7952D505"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81.0</w:t>
            </w:r>
          </w:p>
        </w:tc>
        <w:tc>
          <w:tcPr>
            <w:tcW w:w="718" w:type="dxa"/>
            <w:tcBorders>
              <w:top w:val="nil"/>
              <w:left w:val="nil"/>
              <w:bottom w:val="single" w:sz="4" w:space="0" w:color="auto"/>
              <w:right w:val="single" w:sz="4" w:space="0" w:color="auto"/>
            </w:tcBorders>
            <w:shd w:val="clear" w:color="auto" w:fill="auto"/>
            <w:vAlign w:val="bottom"/>
            <w:hideMark/>
          </w:tcPr>
          <w:p w14:paraId="79C32B6E"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82.7</w:t>
            </w:r>
          </w:p>
        </w:tc>
        <w:tc>
          <w:tcPr>
            <w:tcW w:w="718" w:type="dxa"/>
            <w:tcBorders>
              <w:top w:val="nil"/>
              <w:left w:val="nil"/>
              <w:bottom w:val="single" w:sz="4" w:space="0" w:color="auto"/>
              <w:right w:val="single" w:sz="4" w:space="0" w:color="auto"/>
            </w:tcBorders>
            <w:shd w:val="clear" w:color="auto" w:fill="auto"/>
            <w:vAlign w:val="bottom"/>
            <w:hideMark/>
          </w:tcPr>
          <w:p w14:paraId="4F661CA9"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78.4</w:t>
            </w:r>
          </w:p>
        </w:tc>
        <w:tc>
          <w:tcPr>
            <w:tcW w:w="718" w:type="dxa"/>
            <w:tcBorders>
              <w:top w:val="nil"/>
              <w:left w:val="nil"/>
              <w:bottom w:val="single" w:sz="4" w:space="0" w:color="auto"/>
              <w:right w:val="single" w:sz="4" w:space="0" w:color="auto"/>
            </w:tcBorders>
            <w:shd w:val="clear" w:color="auto" w:fill="auto"/>
            <w:vAlign w:val="bottom"/>
            <w:hideMark/>
          </w:tcPr>
          <w:p w14:paraId="1B66696C"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73.4</w:t>
            </w:r>
          </w:p>
        </w:tc>
        <w:tc>
          <w:tcPr>
            <w:tcW w:w="810" w:type="dxa"/>
            <w:tcBorders>
              <w:top w:val="nil"/>
              <w:left w:val="nil"/>
              <w:bottom w:val="single" w:sz="4" w:space="0" w:color="auto"/>
              <w:right w:val="single" w:sz="4" w:space="0" w:color="auto"/>
            </w:tcBorders>
            <w:shd w:val="clear" w:color="auto" w:fill="auto"/>
            <w:vAlign w:val="bottom"/>
            <w:hideMark/>
          </w:tcPr>
          <w:p w14:paraId="42E70889"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76.4</w:t>
            </w:r>
          </w:p>
        </w:tc>
        <w:tc>
          <w:tcPr>
            <w:tcW w:w="718" w:type="dxa"/>
            <w:tcBorders>
              <w:top w:val="nil"/>
              <w:left w:val="nil"/>
              <w:bottom w:val="single" w:sz="4" w:space="0" w:color="auto"/>
              <w:right w:val="single" w:sz="4" w:space="0" w:color="auto"/>
            </w:tcBorders>
            <w:shd w:val="clear" w:color="auto" w:fill="auto"/>
            <w:vAlign w:val="bottom"/>
            <w:hideMark/>
          </w:tcPr>
          <w:p w14:paraId="343F415E"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77.1</w:t>
            </w:r>
          </w:p>
        </w:tc>
        <w:tc>
          <w:tcPr>
            <w:tcW w:w="737" w:type="dxa"/>
            <w:tcBorders>
              <w:top w:val="nil"/>
              <w:left w:val="nil"/>
              <w:bottom w:val="single" w:sz="4" w:space="0" w:color="auto"/>
              <w:right w:val="single" w:sz="4" w:space="0" w:color="auto"/>
            </w:tcBorders>
            <w:shd w:val="clear" w:color="auto" w:fill="auto"/>
            <w:vAlign w:val="bottom"/>
            <w:hideMark/>
          </w:tcPr>
          <w:p w14:paraId="79BB8591" w14:textId="77777777" w:rsidR="00092D1D" w:rsidRPr="00E12C77" w:rsidRDefault="00092D1D" w:rsidP="00845892">
            <w:pPr>
              <w:jc w:val="right"/>
              <w:rPr>
                <w:rFonts w:ascii="Sylfaen" w:hAnsi="Sylfaen" w:cs="Calibri"/>
                <w:color w:val="000000"/>
                <w:sz w:val="18"/>
              </w:rPr>
            </w:pPr>
            <w:r w:rsidRPr="00E12C77">
              <w:rPr>
                <w:rFonts w:ascii="Sylfaen" w:hAnsi="Sylfaen" w:cs="Calibri"/>
                <w:color w:val="000000"/>
                <w:sz w:val="18"/>
              </w:rPr>
              <w:t>71.6</w:t>
            </w:r>
          </w:p>
        </w:tc>
      </w:tr>
      <w:tr w:rsidR="00092D1D" w:rsidRPr="00E12C77" w14:paraId="22288DA8" w14:textId="77777777" w:rsidTr="00092D1D">
        <w:trPr>
          <w:trHeight w:val="315"/>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5DB5156B" w14:textId="77777777" w:rsidR="00092D1D" w:rsidRPr="00E12C77" w:rsidRDefault="00092D1D" w:rsidP="00845892">
            <w:pPr>
              <w:rPr>
                <w:rFonts w:ascii="Sylfaen" w:hAnsi="Sylfaen" w:cs="Calibri"/>
                <w:b/>
                <w:bCs/>
                <w:sz w:val="18"/>
              </w:rPr>
            </w:pPr>
            <w:r w:rsidRPr="00E12C77">
              <w:rPr>
                <w:rFonts w:ascii="Sylfaen" w:hAnsi="Sylfaen" w:cs="Sylfaen"/>
                <w:b/>
                <w:bCs/>
                <w:sz w:val="18"/>
              </w:rPr>
              <w:t>უმუშევრობის</w:t>
            </w:r>
            <w:r w:rsidRPr="00E12C77">
              <w:rPr>
                <w:rFonts w:ascii="Sylfaen" w:hAnsi="Sylfaen" w:cs="Calibri"/>
                <w:b/>
                <w:bCs/>
                <w:sz w:val="18"/>
              </w:rPr>
              <w:t xml:space="preserve"> </w:t>
            </w:r>
            <w:r w:rsidRPr="00E12C77">
              <w:rPr>
                <w:rFonts w:ascii="Sylfaen" w:hAnsi="Sylfaen" w:cs="Sylfaen"/>
                <w:b/>
                <w:bCs/>
                <w:sz w:val="18"/>
              </w:rPr>
              <w:t>დონე</w:t>
            </w:r>
            <w:r w:rsidRPr="00E12C77">
              <w:rPr>
                <w:rFonts w:ascii="Sylfaen" w:hAnsi="Sylfaen" w:cs="Calibri"/>
                <w:b/>
                <w:bCs/>
                <w:sz w:val="18"/>
              </w:rPr>
              <w:t xml:space="preserve"> (</w:t>
            </w:r>
            <w:r w:rsidRPr="00E12C77">
              <w:rPr>
                <w:rFonts w:ascii="Sylfaen" w:hAnsi="Sylfaen" w:cs="Sylfaen"/>
                <w:b/>
                <w:bCs/>
                <w:sz w:val="18"/>
              </w:rPr>
              <w:t>პროცენტებში</w:t>
            </w:r>
            <w:r w:rsidRPr="00E12C77">
              <w:rPr>
                <w:rFonts w:ascii="Sylfaen" w:hAnsi="Sylfaen" w:cs="Calibri"/>
                <w:b/>
                <w:bCs/>
                <w:sz w:val="18"/>
              </w:rPr>
              <w:t>)</w:t>
            </w:r>
          </w:p>
        </w:tc>
        <w:tc>
          <w:tcPr>
            <w:tcW w:w="718" w:type="dxa"/>
            <w:tcBorders>
              <w:top w:val="nil"/>
              <w:left w:val="nil"/>
              <w:bottom w:val="single" w:sz="4" w:space="0" w:color="auto"/>
              <w:right w:val="single" w:sz="4" w:space="0" w:color="auto"/>
            </w:tcBorders>
            <w:shd w:val="clear" w:color="000000" w:fill="FFFFFF"/>
            <w:vAlign w:val="bottom"/>
            <w:hideMark/>
          </w:tcPr>
          <w:p w14:paraId="07038058" w14:textId="77777777" w:rsidR="00092D1D" w:rsidRPr="00E12C77" w:rsidRDefault="00092D1D" w:rsidP="00845892">
            <w:pPr>
              <w:jc w:val="right"/>
              <w:rPr>
                <w:rFonts w:ascii="Sylfaen" w:hAnsi="Sylfaen" w:cs="Calibri"/>
                <w:b/>
                <w:bCs/>
                <w:color w:val="000000"/>
                <w:sz w:val="18"/>
              </w:rPr>
            </w:pPr>
            <w:r w:rsidRPr="00E12C77">
              <w:rPr>
                <w:rFonts w:ascii="Sylfaen" w:hAnsi="Sylfaen" w:cs="Calibri"/>
                <w:b/>
                <w:bCs/>
                <w:color w:val="000000"/>
                <w:sz w:val="18"/>
              </w:rPr>
              <w:t>6.5</w:t>
            </w:r>
          </w:p>
        </w:tc>
        <w:tc>
          <w:tcPr>
            <w:tcW w:w="718" w:type="dxa"/>
            <w:tcBorders>
              <w:top w:val="nil"/>
              <w:left w:val="nil"/>
              <w:bottom w:val="single" w:sz="4" w:space="0" w:color="auto"/>
              <w:right w:val="single" w:sz="4" w:space="0" w:color="auto"/>
            </w:tcBorders>
            <w:shd w:val="clear" w:color="000000" w:fill="FFFFFF"/>
            <w:vAlign w:val="bottom"/>
            <w:hideMark/>
          </w:tcPr>
          <w:p w14:paraId="2C5F549C" w14:textId="77777777" w:rsidR="00092D1D" w:rsidRPr="00E12C77" w:rsidRDefault="00092D1D" w:rsidP="00845892">
            <w:pPr>
              <w:jc w:val="right"/>
              <w:rPr>
                <w:rFonts w:ascii="Sylfaen" w:hAnsi="Sylfaen" w:cs="Calibri"/>
                <w:b/>
                <w:bCs/>
                <w:color w:val="000000"/>
                <w:sz w:val="18"/>
              </w:rPr>
            </w:pPr>
            <w:r w:rsidRPr="00E12C77">
              <w:rPr>
                <w:rFonts w:ascii="Sylfaen" w:hAnsi="Sylfaen" w:cs="Calibri"/>
                <w:b/>
                <w:bCs/>
                <w:color w:val="000000"/>
                <w:sz w:val="18"/>
              </w:rPr>
              <w:t>5.3</w:t>
            </w:r>
          </w:p>
        </w:tc>
        <w:tc>
          <w:tcPr>
            <w:tcW w:w="718" w:type="dxa"/>
            <w:tcBorders>
              <w:top w:val="nil"/>
              <w:left w:val="nil"/>
              <w:bottom w:val="single" w:sz="4" w:space="0" w:color="auto"/>
              <w:right w:val="single" w:sz="4" w:space="0" w:color="auto"/>
            </w:tcBorders>
            <w:shd w:val="clear" w:color="000000" w:fill="FFFFFF"/>
            <w:vAlign w:val="bottom"/>
            <w:hideMark/>
          </w:tcPr>
          <w:p w14:paraId="603DB7B1" w14:textId="77777777" w:rsidR="00092D1D" w:rsidRPr="00E12C77" w:rsidRDefault="00092D1D" w:rsidP="00845892">
            <w:pPr>
              <w:jc w:val="right"/>
              <w:rPr>
                <w:rFonts w:ascii="Sylfaen" w:hAnsi="Sylfaen" w:cs="Calibri"/>
                <w:b/>
                <w:bCs/>
                <w:color w:val="000000"/>
                <w:sz w:val="18"/>
              </w:rPr>
            </w:pPr>
            <w:r w:rsidRPr="00E12C77">
              <w:rPr>
                <w:rFonts w:ascii="Sylfaen" w:hAnsi="Sylfaen" w:cs="Calibri"/>
                <w:b/>
                <w:bCs/>
                <w:color w:val="000000"/>
                <w:sz w:val="18"/>
              </w:rPr>
              <w:t>9.3</w:t>
            </w:r>
          </w:p>
        </w:tc>
        <w:tc>
          <w:tcPr>
            <w:tcW w:w="718" w:type="dxa"/>
            <w:tcBorders>
              <w:top w:val="nil"/>
              <w:left w:val="nil"/>
              <w:bottom w:val="single" w:sz="4" w:space="0" w:color="auto"/>
              <w:right w:val="single" w:sz="4" w:space="0" w:color="auto"/>
            </w:tcBorders>
            <w:shd w:val="clear" w:color="000000" w:fill="FFFFFF"/>
            <w:vAlign w:val="bottom"/>
            <w:hideMark/>
          </w:tcPr>
          <w:p w14:paraId="3ABCE508" w14:textId="77777777" w:rsidR="00092D1D" w:rsidRPr="00E12C77" w:rsidRDefault="00092D1D" w:rsidP="00845892">
            <w:pPr>
              <w:jc w:val="right"/>
              <w:rPr>
                <w:rFonts w:ascii="Sylfaen" w:hAnsi="Sylfaen" w:cs="Calibri"/>
                <w:b/>
                <w:bCs/>
                <w:color w:val="000000"/>
                <w:sz w:val="18"/>
              </w:rPr>
            </w:pPr>
            <w:r w:rsidRPr="00E12C77">
              <w:rPr>
                <w:rFonts w:ascii="Sylfaen" w:hAnsi="Sylfaen" w:cs="Calibri"/>
                <w:b/>
                <w:bCs/>
                <w:color w:val="000000"/>
                <w:sz w:val="18"/>
              </w:rPr>
              <w:t>11.0</w:t>
            </w:r>
          </w:p>
        </w:tc>
        <w:tc>
          <w:tcPr>
            <w:tcW w:w="718" w:type="dxa"/>
            <w:tcBorders>
              <w:top w:val="nil"/>
              <w:left w:val="nil"/>
              <w:bottom w:val="single" w:sz="4" w:space="0" w:color="auto"/>
              <w:right w:val="single" w:sz="4" w:space="0" w:color="auto"/>
            </w:tcBorders>
            <w:shd w:val="clear" w:color="000000" w:fill="FFFFFF"/>
            <w:noWrap/>
            <w:vAlign w:val="bottom"/>
            <w:hideMark/>
          </w:tcPr>
          <w:p w14:paraId="7BAB34AD" w14:textId="77777777" w:rsidR="00092D1D" w:rsidRPr="00E12C77" w:rsidRDefault="00092D1D" w:rsidP="00845892">
            <w:pPr>
              <w:jc w:val="right"/>
              <w:rPr>
                <w:rFonts w:ascii="Sylfaen" w:hAnsi="Sylfaen" w:cs="Calibri"/>
                <w:b/>
                <w:bCs/>
                <w:sz w:val="18"/>
              </w:rPr>
            </w:pPr>
            <w:r w:rsidRPr="00E12C77">
              <w:rPr>
                <w:rFonts w:ascii="Sylfaen" w:hAnsi="Sylfaen" w:cs="Calibri"/>
                <w:b/>
                <w:bCs/>
                <w:sz w:val="18"/>
              </w:rPr>
              <w:t>11.1</w:t>
            </w:r>
          </w:p>
        </w:tc>
        <w:tc>
          <w:tcPr>
            <w:tcW w:w="718" w:type="dxa"/>
            <w:tcBorders>
              <w:top w:val="nil"/>
              <w:left w:val="nil"/>
              <w:bottom w:val="single" w:sz="4" w:space="0" w:color="auto"/>
              <w:right w:val="single" w:sz="4" w:space="0" w:color="auto"/>
            </w:tcBorders>
            <w:shd w:val="clear" w:color="auto" w:fill="auto"/>
            <w:noWrap/>
            <w:vAlign w:val="bottom"/>
            <w:hideMark/>
          </w:tcPr>
          <w:p w14:paraId="7210C9B4" w14:textId="77777777" w:rsidR="00092D1D" w:rsidRPr="00E12C77" w:rsidRDefault="00092D1D" w:rsidP="00845892">
            <w:pPr>
              <w:jc w:val="right"/>
              <w:rPr>
                <w:rFonts w:ascii="Sylfaen" w:hAnsi="Sylfaen" w:cs="Calibri"/>
                <w:b/>
                <w:bCs/>
                <w:sz w:val="18"/>
              </w:rPr>
            </w:pPr>
            <w:r w:rsidRPr="00E12C77">
              <w:rPr>
                <w:rFonts w:ascii="Sylfaen" w:hAnsi="Sylfaen" w:cs="Calibri"/>
                <w:b/>
                <w:bCs/>
                <w:sz w:val="18"/>
              </w:rPr>
              <w:t>8.9</w:t>
            </w:r>
          </w:p>
        </w:tc>
        <w:tc>
          <w:tcPr>
            <w:tcW w:w="718" w:type="dxa"/>
            <w:tcBorders>
              <w:top w:val="nil"/>
              <w:left w:val="nil"/>
              <w:bottom w:val="single" w:sz="4" w:space="0" w:color="auto"/>
              <w:right w:val="single" w:sz="4" w:space="0" w:color="auto"/>
            </w:tcBorders>
            <w:shd w:val="clear" w:color="auto" w:fill="auto"/>
            <w:vAlign w:val="bottom"/>
            <w:hideMark/>
          </w:tcPr>
          <w:p w14:paraId="0916FE26" w14:textId="77777777" w:rsidR="00092D1D" w:rsidRPr="00E12C77" w:rsidRDefault="00092D1D" w:rsidP="00845892">
            <w:pPr>
              <w:jc w:val="right"/>
              <w:rPr>
                <w:rFonts w:ascii="Sylfaen" w:hAnsi="Sylfaen" w:cs="Calibri"/>
                <w:b/>
                <w:bCs/>
                <w:color w:val="000000"/>
                <w:sz w:val="18"/>
              </w:rPr>
            </w:pPr>
            <w:r w:rsidRPr="00E12C77">
              <w:rPr>
                <w:rFonts w:ascii="Sylfaen" w:hAnsi="Sylfaen" w:cs="Calibri"/>
                <w:b/>
                <w:bCs/>
                <w:color w:val="000000"/>
                <w:sz w:val="18"/>
              </w:rPr>
              <w:t>6.5</w:t>
            </w:r>
          </w:p>
        </w:tc>
        <w:tc>
          <w:tcPr>
            <w:tcW w:w="718" w:type="dxa"/>
            <w:tcBorders>
              <w:top w:val="nil"/>
              <w:left w:val="nil"/>
              <w:bottom w:val="single" w:sz="4" w:space="0" w:color="auto"/>
              <w:right w:val="single" w:sz="4" w:space="0" w:color="auto"/>
            </w:tcBorders>
            <w:shd w:val="clear" w:color="auto" w:fill="auto"/>
            <w:vAlign w:val="bottom"/>
            <w:hideMark/>
          </w:tcPr>
          <w:p w14:paraId="52209FBE" w14:textId="77777777" w:rsidR="00092D1D" w:rsidRPr="00E12C77" w:rsidRDefault="00092D1D" w:rsidP="00845892">
            <w:pPr>
              <w:jc w:val="right"/>
              <w:rPr>
                <w:rFonts w:ascii="Sylfaen" w:hAnsi="Sylfaen" w:cs="Calibri"/>
                <w:b/>
                <w:bCs/>
                <w:color w:val="000000"/>
                <w:sz w:val="18"/>
              </w:rPr>
            </w:pPr>
            <w:r w:rsidRPr="00E12C77">
              <w:rPr>
                <w:rFonts w:ascii="Sylfaen" w:hAnsi="Sylfaen" w:cs="Calibri"/>
                <w:b/>
                <w:bCs/>
                <w:color w:val="000000"/>
                <w:sz w:val="18"/>
              </w:rPr>
              <w:t>6.4</w:t>
            </w:r>
          </w:p>
        </w:tc>
        <w:tc>
          <w:tcPr>
            <w:tcW w:w="810" w:type="dxa"/>
            <w:tcBorders>
              <w:top w:val="nil"/>
              <w:left w:val="nil"/>
              <w:bottom w:val="single" w:sz="4" w:space="0" w:color="auto"/>
              <w:right w:val="single" w:sz="4" w:space="0" w:color="auto"/>
            </w:tcBorders>
            <w:shd w:val="clear" w:color="auto" w:fill="auto"/>
            <w:noWrap/>
            <w:vAlign w:val="bottom"/>
            <w:hideMark/>
          </w:tcPr>
          <w:p w14:paraId="489D0EBE" w14:textId="77777777" w:rsidR="00092D1D" w:rsidRPr="00E12C77" w:rsidRDefault="00092D1D" w:rsidP="00845892">
            <w:pPr>
              <w:jc w:val="right"/>
              <w:rPr>
                <w:rFonts w:ascii="Sylfaen" w:hAnsi="Sylfaen" w:cs="Calibri"/>
                <w:b/>
                <w:bCs/>
                <w:sz w:val="18"/>
              </w:rPr>
            </w:pPr>
            <w:r w:rsidRPr="00E12C77">
              <w:rPr>
                <w:rFonts w:ascii="Sylfaen" w:hAnsi="Sylfaen" w:cs="Calibri"/>
                <w:b/>
                <w:bCs/>
                <w:sz w:val="18"/>
              </w:rPr>
              <w:t>5.2</w:t>
            </w:r>
          </w:p>
        </w:tc>
        <w:tc>
          <w:tcPr>
            <w:tcW w:w="718" w:type="dxa"/>
            <w:tcBorders>
              <w:top w:val="nil"/>
              <w:left w:val="nil"/>
              <w:bottom w:val="single" w:sz="4" w:space="0" w:color="auto"/>
              <w:right w:val="single" w:sz="4" w:space="0" w:color="auto"/>
            </w:tcBorders>
            <w:shd w:val="clear" w:color="auto" w:fill="auto"/>
            <w:noWrap/>
            <w:vAlign w:val="bottom"/>
            <w:hideMark/>
          </w:tcPr>
          <w:p w14:paraId="4C4B7D3E" w14:textId="77777777" w:rsidR="00092D1D" w:rsidRPr="00E12C77" w:rsidRDefault="00092D1D" w:rsidP="00845892">
            <w:pPr>
              <w:jc w:val="right"/>
              <w:rPr>
                <w:rFonts w:ascii="Sylfaen" w:hAnsi="Sylfaen" w:cs="Calibri"/>
                <w:b/>
                <w:bCs/>
                <w:sz w:val="18"/>
              </w:rPr>
            </w:pPr>
            <w:r w:rsidRPr="00E12C77">
              <w:rPr>
                <w:rFonts w:ascii="Sylfaen" w:hAnsi="Sylfaen" w:cs="Calibri"/>
                <w:b/>
                <w:bCs/>
                <w:sz w:val="18"/>
              </w:rPr>
              <w:t>5.9</w:t>
            </w:r>
          </w:p>
        </w:tc>
        <w:tc>
          <w:tcPr>
            <w:tcW w:w="737" w:type="dxa"/>
            <w:tcBorders>
              <w:top w:val="nil"/>
              <w:left w:val="nil"/>
              <w:bottom w:val="single" w:sz="4" w:space="0" w:color="auto"/>
              <w:right w:val="single" w:sz="4" w:space="0" w:color="auto"/>
            </w:tcBorders>
            <w:shd w:val="clear" w:color="auto" w:fill="auto"/>
            <w:noWrap/>
            <w:vAlign w:val="bottom"/>
            <w:hideMark/>
          </w:tcPr>
          <w:p w14:paraId="071094C9" w14:textId="77777777" w:rsidR="00092D1D" w:rsidRPr="00E12C77" w:rsidRDefault="00092D1D" w:rsidP="00845892">
            <w:pPr>
              <w:jc w:val="right"/>
              <w:rPr>
                <w:rFonts w:ascii="Sylfaen" w:hAnsi="Sylfaen" w:cs="Calibri"/>
                <w:b/>
                <w:bCs/>
                <w:sz w:val="18"/>
              </w:rPr>
            </w:pPr>
            <w:r w:rsidRPr="00E12C77">
              <w:rPr>
                <w:rFonts w:ascii="Sylfaen" w:hAnsi="Sylfaen" w:cs="Calibri"/>
                <w:b/>
                <w:bCs/>
                <w:sz w:val="18"/>
              </w:rPr>
              <w:t>5.4</w:t>
            </w:r>
          </w:p>
        </w:tc>
      </w:tr>
      <w:tr w:rsidR="00092D1D" w:rsidRPr="00E12C77" w14:paraId="172974D4" w14:textId="77777777" w:rsidTr="00092D1D">
        <w:trPr>
          <w:trHeight w:val="31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08CF2713" w14:textId="77777777" w:rsidR="00092D1D" w:rsidRPr="00E12C77" w:rsidRDefault="00092D1D" w:rsidP="00845892">
            <w:pPr>
              <w:rPr>
                <w:rFonts w:ascii="Sylfaen" w:hAnsi="Sylfaen" w:cs="Calibri"/>
                <w:b/>
                <w:bCs/>
                <w:sz w:val="18"/>
              </w:rPr>
            </w:pPr>
            <w:r w:rsidRPr="00E12C77">
              <w:rPr>
                <w:rFonts w:ascii="Sylfaen" w:hAnsi="Sylfaen" w:cs="Sylfaen"/>
                <w:b/>
                <w:bCs/>
                <w:sz w:val="18"/>
              </w:rPr>
              <w:t>აქტიურობის</w:t>
            </w:r>
            <w:r w:rsidRPr="00E12C77">
              <w:rPr>
                <w:rFonts w:ascii="Sylfaen" w:hAnsi="Sylfaen" w:cs="Calibri"/>
                <w:b/>
                <w:bCs/>
                <w:sz w:val="18"/>
              </w:rPr>
              <w:t xml:space="preserve"> </w:t>
            </w:r>
            <w:r w:rsidRPr="00E12C77">
              <w:rPr>
                <w:rFonts w:ascii="Sylfaen" w:hAnsi="Sylfaen" w:cs="Sylfaen"/>
                <w:b/>
                <w:bCs/>
                <w:sz w:val="18"/>
              </w:rPr>
              <w:t>დონე</w:t>
            </w:r>
            <w:r w:rsidRPr="00E12C77">
              <w:rPr>
                <w:rFonts w:ascii="Sylfaen" w:hAnsi="Sylfaen" w:cs="Calibri"/>
                <w:b/>
                <w:bCs/>
                <w:sz w:val="18"/>
              </w:rPr>
              <w:t xml:space="preserve"> (</w:t>
            </w:r>
            <w:r w:rsidRPr="00E12C77">
              <w:rPr>
                <w:rFonts w:ascii="Sylfaen" w:hAnsi="Sylfaen" w:cs="Sylfaen"/>
                <w:b/>
                <w:bCs/>
                <w:sz w:val="18"/>
              </w:rPr>
              <w:t>პროცენტებში</w:t>
            </w:r>
            <w:r w:rsidRPr="00E12C77">
              <w:rPr>
                <w:rFonts w:ascii="Sylfaen" w:hAnsi="Sylfaen" w:cs="Calibri"/>
                <w:b/>
                <w:bCs/>
                <w:sz w:val="18"/>
              </w:rPr>
              <w:t>)</w:t>
            </w:r>
          </w:p>
        </w:tc>
        <w:tc>
          <w:tcPr>
            <w:tcW w:w="718" w:type="dxa"/>
            <w:tcBorders>
              <w:top w:val="nil"/>
              <w:left w:val="nil"/>
              <w:bottom w:val="single" w:sz="4" w:space="0" w:color="auto"/>
              <w:right w:val="single" w:sz="4" w:space="0" w:color="auto"/>
            </w:tcBorders>
            <w:shd w:val="clear" w:color="000000" w:fill="FFFFFF"/>
            <w:vAlign w:val="bottom"/>
            <w:hideMark/>
          </w:tcPr>
          <w:p w14:paraId="0E1AAA7E" w14:textId="77777777" w:rsidR="00092D1D" w:rsidRPr="00E12C77" w:rsidRDefault="00092D1D" w:rsidP="00845892">
            <w:pPr>
              <w:jc w:val="right"/>
              <w:rPr>
                <w:rFonts w:ascii="Sylfaen" w:hAnsi="Sylfaen" w:cs="Calibri"/>
                <w:b/>
                <w:bCs/>
                <w:color w:val="000000"/>
                <w:sz w:val="18"/>
              </w:rPr>
            </w:pPr>
            <w:r w:rsidRPr="00E12C77">
              <w:rPr>
                <w:rFonts w:ascii="Sylfaen" w:hAnsi="Sylfaen" w:cs="Calibri"/>
                <w:b/>
                <w:bCs/>
                <w:color w:val="000000"/>
                <w:sz w:val="18"/>
              </w:rPr>
              <w:t>70.3</w:t>
            </w:r>
          </w:p>
        </w:tc>
        <w:tc>
          <w:tcPr>
            <w:tcW w:w="718" w:type="dxa"/>
            <w:tcBorders>
              <w:top w:val="nil"/>
              <w:left w:val="nil"/>
              <w:bottom w:val="single" w:sz="4" w:space="0" w:color="auto"/>
              <w:right w:val="single" w:sz="4" w:space="0" w:color="auto"/>
            </w:tcBorders>
            <w:shd w:val="clear" w:color="000000" w:fill="FFFFFF"/>
            <w:vAlign w:val="bottom"/>
            <w:hideMark/>
          </w:tcPr>
          <w:p w14:paraId="300B6C28" w14:textId="77777777" w:rsidR="00092D1D" w:rsidRPr="00E12C77" w:rsidRDefault="00092D1D" w:rsidP="00845892">
            <w:pPr>
              <w:jc w:val="right"/>
              <w:rPr>
                <w:rFonts w:ascii="Sylfaen" w:hAnsi="Sylfaen" w:cs="Calibri"/>
                <w:b/>
                <w:bCs/>
                <w:color w:val="000000"/>
                <w:sz w:val="18"/>
              </w:rPr>
            </w:pPr>
            <w:r w:rsidRPr="00E12C77">
              <w:rPr>
                <w:rFonts w:ascii="Sylfaen" w:hAnsi="Sylfaen" w:cs="Calibri"/>
                <w:b/>
                <w:bCs/>
                <w:color w:val="000000"/>
                <w:sz w:val="18"/>
              </w:rPr>
              <w:t>72.5</w:t>
            </w:r>
          </w:p>
        </w:tc>
        <w:tc>
          <w:tcPr>
            <w:tcW w:w="718" w:type="dxa"/>
            <w:tcBorders>
              <w:top w:val="nil"/>
              <w:left w:val="nil"/>
              <w:bottom w:val="single" w:sz="4" w:space="0" w:color="auto"/>
              <w:right w:val="single" w:sz="4" w:space="0" w:color="auto"/>
            </w:tcBorders>
            <w:shd w:val="clear" w:color="000000" w:fill="FFFFFF"/>
            <w:vAlign w:val="bottom"/>
            <w:hideMark/>
          </w:tcPr>
          <w:p w14:paraId="4140FFD7" w14:textId="77777777" w:rsidR="00092D1D" w:rsidRPr="00E12C77" w:rsidRDefault="00092D1D" w:rsidP="00845892">
            <w:pPr>
              <w:jc w:val="right"/>
              <w:rPr>
                <w:rFonts w:ascii="Sylfaen" w:hAnsi="Sylfaen" w:cs="Calibri"/>
                <w:b/>
                <w:bCs/>
                <w:color w:val="000000"/>
                <w:sz w:val="18"/>
              </w:rPr>
            </w:pPr>
            <w:r w:rsidRPr="00E12C77">
              <w:rPr>
                <w:rFonts w:ascii="Sylfaen" w:hAnsi="Sylfaen" w:cs="Calibri"/>
                <w:b/>
                <w:bCs/>
                <w:color w:val="000000"/>
                <w:sz w:val="18"/>
              </w:rPr>
              <w:t>70.3</w:t>
            </w:r>
          </w:p>
        </w:tc>
        <w:tc>
          <w:tcPr>
            <w:tcW w:w="718" w:type="dxa"/>
            <w:tcBorders>
              <w:top w:val="nil"/>
              <w:left w:val="nil"/>
              <w:bottom w:val="single" w:sz="4" w:space="0" w:color="auto"/>
              <w:right w:val="single" w:sz="4" w:space="0" w:color="auto"/>
            </w:tcBorders>
            <w:shd w:val="clear" w:color="000000" w:fill="FFFFFF"/>
            <w:vAlign w:val="bottom"/>
            <w:hideMark/>
          </w:tcPr>
          <w:p w14:paraId="75A3B59E" w14:textId="77777777" w:rsidR="00092D1D" w:rsidRPr="00E12C77" w:rsidRDefault="00092D1D" w:rsidP="00845892">
            <w:pPr>
              <w:jc w:val="right"/>
              <w:rPr>
                <w:rFonts w:ascii="Sylfaen" w:hAnsi="Sylfaen" w:cs="Calibri"/>
                <w:b/>
                <w:bCs/>
                <w:color w:val="000000"/>
                <w:sz w:val="18"/>
              </w:rPr>
            </w:pPr>
            <w:r w:rsidRPr="00E12C77">
              <w:rPr>
                <w:rFonts w:ascii="Sylfaen" w:hAnsi="Sylfaen" w:cs="Calibri"/>
                <w:b/>
                <w:bCs/>
                <w:color w:val="000000"/>
                <w:sz w:val="18"/>
              </w:rPr>
              <w:t>70.5</w:t>
            </w:r>
          </w:p>
        </w:tc>
        <w:tc>
          <w:tcPr>
            <w:tcW w:w="718" w:type="dxa"/>
            <w:tcBorders>
              <w:top w:val="nil"/>
              <w:left w:val="nil"/>
              <w:bottom w:val="single" w:sz="4" w:space="0" w:color="auto"/>
              <w:right w:val="single" w:sz="4" w:space="0" w:color="auto"/>
            </w:tcBorders>
            <w:shd w:val="clear" w:color="000000" w:fill="FFFFFF"/>
            <w:noWrap/>
            <w:vAlign w:val="bottom"/>
            <w:hideMark/>
          </w:tcPr>
          <w:p w14:paraId="247B586D" w14:textId="77777777" w:rsidR="00092D1D" w:rsidRPr="00E12C77" w:rsidRDefault="00092D1D" w:rsidP="00845892">
            <w:pPr>
              <w:jc w:val="right"/>
              <w:rPr>
                <w:rFonts w:ascii="Sylfaen" w:hAnsi="Sylfaen" w:cs="Calibri"/>
                <w:b/>
                <w:bCs/>
                <w:sz w:val="18"/>
              </w:rPr>
            </w:pPr>
            <w:r w:rsidRPr="00E12C77">
              <w:rPr>
                <w:rFonts w:ascii="Sylfaen" w:hAnsi="Sylfaen" w:cs="Calibri"/>
                <w:b/>
                <w:bCs/>
                <w:sz w:val="18"/>
              </w:rPr>
              <w:t>70.8</w:t>
            </w:r>
          </w:p>
        </w:tc>
        <w:tc>
          <w:tcPr>
            <w:tcW w:w="718" w:type="dxa"/>
            <w:tcBorders>
              <w:top w:val="nil"/>
              <w:left w:val="nil"/>
              <w:bottom w:val="single" w:sz="4" w:space="0" w:color="auto"/>
              <w:right w:val="single" w:sz="4" w:space="0" w:color="auto"/>
            </w:tcBorders>
            <w:shd w:val="clear" w:color="auto" w:fill="auto"/>
            <w:noWrap/>
            <w:vAlign w:val="bottom"/>
            <w:hideMark/>
          </w:tcPr>
          <w:p w14:paraId="2AFC01F9" w14:textId="77777777" w:rsidR="00092D1D" w:rsidRPr="00E12C77" w:rsidRDefault="00092D1D" w:rsidP="00845892">
            <w:pPr>
              <w:jc w:val="right"/>
              <w:rPr>
                <w:rFonts w:ascii="Sylfaen" w:hAnsi="Sylfaen" w:cs="Calibri"/>
                <w:b/>
                <w:bCs/>
                <w:sz w:val="18"/>
              </w:rPr>
            </w:pPr>
            <w:r w:rsidRPr="00E12C77">
              <w:rPr>
                <w:rFonts w:ascii="Sylfaen" w:hAnsi="Sylfaen" w:cs="Calibri"/>
                <w:b/>
                <w:bCs/>
                <w:sz w:val="18"/>
              </w:rPr>
              <w:t>70.2</w:t>
            </w:r>
          </w:p>
        </w:tc>
        <w:tc>
          <w:tcPr>
            <w:tcW w:w="718" w:type="dxa"/>
            <w:tcBorders>
              <w:top w:val="nil"/>
              <w:left w:val="nil"/>
              <w:bottom w:val="single" w:sz="4" w:space="0" w:color="auto"/>
              <w:right w:val="single" w:sz="4" w:space="0" w:color="auto"/>
            </w:tcBorders>
            <w:shd w:val="clear" w:color="auto" w:fill="auto"/>
            <w:vAlign w:val="bottom"/>
            <w:hideMark/>
          </w:tcPr>
          <w:p w14:paraId="20E48606" w14:textId="77777777" w:rsidR="00092D1D" w:rsidRPr="00E12C77" w:rsidRDefault="00092D1D" w:rsidP="00845892">
            <w:pPr>
              <w:jc w:val="right"/>
              <w:rPr>
                <w:rFonts w:ascii="Sylfaen" w:hAnsi="Sylfaen" w:cs="Calibri"/>
                <w:b/>
                <w:bCs/>
                <w:color w:val="000000"/>
                <w:sz w:val="18"/>
              </w:rPr>
            </w:pPr>
            <w:r w:rsidRPr="00E12C77">
              <w:rPr>
                <w:rFonts w:ascii="Sylfaen" w:hAnsi="Sylfaen" w:cs="Calibri"/>
                <w:b/>
                <w:bCs/>
                <w:color w:val="000000"/>
                <w:sz w:val="18"/>
              </w:rPr>
              <w:t>71.8</w:t>
            </w:r>
          </w:p>
        </w:tc>
        <w:tc>
          <w:tcPr>
            <w:tcW w:w="718" w:type="dxa"/>
            <w:tcBorders>
              <w:top w:val="nil"/>
              <w:left w:val="nil"/>
              <w:bottom w:val="single" w:sz="4" w:space="0" w:color="auto"/>
              <w:right w:val="single" w:sz="4" w:space="0" w:color="auto"/>
            </w:tcBorders>
            <w:shd w:val="clear" w:color="auto" w:fill="auto"/>
            <w:vAlign w:val="bottom"/>
            <w:hideMark/>
          </w:tcPr>
          <w:p w14:paraId="79F6627A" w14:textId="77777777" w:rsidR="00092D1D" w:rsidRPr="00E12C77" w:rsidRDefault="00092D1D" w:rsidP="00845892">
            <w:pPr>
              <w:jc w:val="right"/>
              <w:rPr>
                <w:rFonts w:ascii="Sylfaen" w:hAnsi="Sylfaen" w:cs="Calibri"/>
                <w:b/>
                <w:bCs/>
                <w:color w:val="000000"/>
                <w:sz w:val="18"/>
              </w:rPr>
            </w:pPr>
            <w:r w:rsidRPr="00E12C77">
              <w:rPr>
                <w:rFonts w:ascii="Sylfaen" w:hAnsi="Sylfaen" w:cs="Calibri"/>
                <w:b/>
                <w:bCs/>
                <w:color w:val="000000"/>
                <w:sz w:val="18"/>
              </w:rPr>
              <w:t>72.8</w:t>
            </w:r>
          </w:p>
        </w:tc>
        <w:tc>
          <w:tcPr>
            <w:tcW w:w="810" w:type="dxa"/>
            <w:tcBorders>
              <w:top w:val="nil"/>
              <w:left w:val="nil"/>
              <w:bottom w:val="single" w:sz="4" w:space="0" w:color="auto"/>
              <w:right w:val="single" w:sz="4" w:space="0" w:color="auto"/>
            </w:tcBorders>
            <w:shd w:val="clear" w:color="auto" w:fill="auto"/>
            <w:noWrap/>
            <w:vAlign w:val="bottom"/>
            <w:hideMark/>
          </w:tcPr>
          <w:p w14:paraId="7C2CDB67" w14:textId="77777777" w:rsidR="00092D1D" w:rsidRPr="00E12C77" w:rsidRDefault="00092D1D" w:rsidP="00845892">
            <w:pPr>
              <w:jc w:val="right"/>
              <w:rPr>
                <w:rFonts w:ascii="Sylfaen" w:hAnsi="Sylfaen" w:cs="Calibri"/>
                <w:b/>
                <w:bCs/>
                <w:sz w:val="18"/>
              </w:rPr>
            </w:pPr>
            <w:r w:rsidRPr="00E12C77">
              <w:rPr>
                <w:rFonts w:ascii="Sylfaen" w:hAnsi="Sylfaen" w:cs="Calibri"/>
                <w:b/>
                <w:bCs/>
                <w:sz w:val="18"/>
              </w:rPr>
              <w:t>72.0</w:t>
            </w:r>
          </w:p>
        </w:tc>
        <w:tc>
          <w:tcPr>
            <w:tcW w:w="718" w:type="dxa"/>
            <w:tcBorders>
              <w:top w:val="nil"/>
              <w:left w:val="nil"/>
              <w:bottom w:val="single" w:sz="4" w:space="0" w:color="auto"/>
              <w:right w:val="single" w:sz="4" w:space="0" w:color="auto"/>
            </w:tcBorders>
            <w:shd w:val="clear" w:color="auto" w:fill="auto"/>
            <w:noWrap/>
            <w:vAlign w:val="bottom"/>
            <w:hideMark/>
          </w:tcPr>
          <w:p w14:paraId="5FE9ECA3" w14:textId="77777777" w:rsidR="00092D1D" w:rsidRPr="00E12C77" w:rsidRDefault="00092D1D" w:rsidP="00845892">
            <w:pPr>
              <w:jc w:val="right"/>
              <w:rPr>
                <w:rFonts w:ascii="Sylfaen" w:hAnsi="Sylfaen" w:cs="Calibri"/>
                <w:b/>
                <w:bCs/>
                <w:sz w:val="18"/>
              </w:rPr>
            </w:pPr>
            <w:r w:rsidRPr="00E12C77">
              <w:rPr>
                <w:rFonts w:ascii="Sylfaen" w:hAnsi="Sylfaen" w:cs="Calibri"/>
                <w:b/>
                <w:bCs/>
                <w:sz w:val="18"/>
              </w:rPr>
              <w:t>71.4</w:t>
            </w:r>
          </w:p>
        </w:tc>
        <w:tc>
          <w:tcPr>
            <w:tcW w:w="737" w:type="dxa"/>
            <w:tcBorders>
              <w:top w:val="nil"/>
              <w:left w:val="nil"/>
              <w:bottom w:val="single" w:sz="4" w:space="0" w:color="auto"/>
              <w:right w:val="single" w:sz="4" w:space="0" w:color="auto"/>
            </w:tcBorders>
            <w:shd w:val="clear" w:color="auto" w:fill="auto"/>
            <w:noWrap/>
            <w:vAlign w:val="bottom"/>
            <w:hideMark/>
          </w:tcPr>
          <w:p w14:paraId="2C280A8C" w14:textId="77777777" w:rsidR="00092D1D" w:rsidRPr="00E12C77" w:rsidRDefault="00092D1D" w:rsidP="00845892">
            <w:pPr>
              <w:jc w:val="right"/>
              <w:rPr>
                <w:rFonts w:ascii="Sylfaen" w:hAnsi="Sylfaen" w:cs="Calibri"/>
                <w:b/>
                <w:bCs/>
                <w:sz w:val="18"/>
              </w:rPr>
            </w:pPr>
            <w:r w:rsidRPr="00E12C77">
              <w:rPr>
                <w:rFonts w:ascii="Sylfaen" w:hAnsi="Sylfaen" w:cs="Calibri"/>
                <w:b/>
                <w:bCs/>
                <w:sz w:val="18"/>
              </w:rPr>
              <w:t>72.9</w:t>
            </w:r>
          </w:p>
        </w:tc>
      </w:tr>
      <w:tr w:rsidR="00092D1D" w:rsidRPr="00E12C77" w14:paraId="2C7F516A" w14:textId="77777777" w:rsidTr="00092D1D">
        <w:trPr>
          <w:trHeight w:val="31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2C73A5EF" w14:textId="77777777" w:rsidR="00092D1D" w:rsidRPr="00E12C77" w:rsidRDefault="00092D1D" w:rsidP="00845892">
            <w:pPr>
              <w:rPr>
                <w:rFonts w:ascii="Sylfaen" w:hAnsi="Sylfaen" w:cs="Calibri"/>
                <w:b/>
                <w:bCs/>
                <w:sz w:val="18"/>
              </w:rPr>
            </w:pPr>
            <w:r w:rsidRPr="00E12C77">
              <w:rPr>
                <w:rFonts w:ascii="Sylfaen" w:hAnsi="Sylfaen" w:cs="Sylfaen"/>
                <w:b/>
                <w:bCs/>
                <w:sz w:val="18"/>
              </w:rPr>
              <w:t>დასაქმების</w:t>
            </w:r>
            <w:r w:rsidRPr="00E12C77">
              <w:rPr>
                <w:rFonts w:ascii="Sylfaen" w:hAnsi="Sylfaen" w:cs="Calibri"/>
                <w:b/>
                <w:bCs/>
                <w:sz w:val="18"/>
              </w:rPr>
              <w:t xml:space="preserve"> </w:t>
            </w:r>
            <w:r w:rsidRPr="00E12C77">
              <w:rPr>
                <w:rFonts w:ascii="Sylfaen" w:hAnsi="Sylfaen" w:cs="Sylfaen"/>
                <w:b/>
                <w:bCs/>
                <w:sz w:val="18"/>
              </w:rPr>
              <w:t>დონე</w:t>
            </w:r>
            <w:r w:rsidRPr="00E12C77">
              <w:rPr>
                <w:rFonts w:ascii="Sylfaen" w:hAnsi="Sylfaen" w:cs="Calibri"/>
                <w:b/>
                <w:bCs/>
                <w:sz w:val="18"/>
              </w:rPr>
              <w:t xml:space="preserve"> (</w:t>
            </w:r>
            <w:r w:rsidRPr="00E12C77">
              <w:rPr>
                <w:rFonts w:ascii="Sylfaen" w:hAnsi="Sylfaen" w:cs="Sylfaen"/>
                <w:b/>
                <w:bCs/>
                <w:sz w:val="18"/>
              </w:rPr>
              <w:t>პროცენტებში</w:t>
            </w:r>
            <w:r w:rsidRPr="00E12C77">
              <w:rPr>
                <w:rFonts w:ascii="Sylfaen" w:hAnsi="Sylfaen" w:cs="Calibri"/>
                <w:b/>
                <w:bCs/>
                <w:sz w:val="18"/>
              </w:rPr>
              <w:t>)</w:t>
            </w:r>
          </w:p>
        </w:tc>
        <w:tc>
          <w:tcPr>
            <w:tcW w:w="718" w:type="dxa"/>
            <w:tcBorders>
              <w:top w:val="nil"/>
              <w:left w:val="nil"/>
              <w:bottom w:val="single" w:sz="4" w:space="0" w:color="auto"/>
              <w:right w:val="single" w:sz="4" w:space="0" w:color="auto"/>
            </w:tcBorders>
            <w:shd w:val="clear" w:color="000000" w:fill="FFFFFF"/>
            <w:vAlign w:val="bottom"/>
            <w:hideMark/>
          </w:tcPr>
          <w:p w14:paraId="6BB18F26" w14:textId="77777777" w:rsidR="00092D1D" w:rsidRPr="00E12C77" w:rsidRDefault="00092D1D" w:rsidP="00845892">
            <w:pPr>
              <w:jc w:val="right"/>
              <w:rPr>
                <w:rFonts w:ascii="Sylfaen" w:hAnsi="Sylfaen" w:cs="Calibri"/>
                <w:b/>
                <w:bCs/>
                <w:color w:val="000000"/>
                <w:sz w:val="18"/>
              </w:rPr>
            </w:pPr>
            <w:r w:rsidRPr="00E12C77">
              <w:rPr>
                <w:rFonts w:ascii="Sylfaen" w:hAnsi="Sylfaen" w:cs="Calibri"/>
                <w:b/>
                <w:bCs/>
                <w:color w:val="000000"/>
                <w:sz w:val="18"/>
              </w:rPr>
              <w:t>65.8</w:t>
            </w:r>
          </w:p>
        </w:tc>
        <w:tc>
          <w:tcPr>
            <w:tcW w:w="718" w:type="dxa"/>
            <w:tcBorders>
              <w:top w:val="nil"/>
              <w:left w:val="nil"/>
              <w:bottom w:val="single" w:sz="4" w:space="0" w:color="auto"/>
              <w:right w:val="single" w:sz="4" w:space="0" w:color="auto"/>
            </w:tcBorders>
            <w:shd w:val="clear" w:color="000000" w:fill="FFFFFF"/>
            <w:vAlign w:val="bottom"/>
            <w:hideMark/>
          </w:tcPr>
          <w:p w14:paraId="15CD9008" w14:textId="77777777" w:rsidR="00092D1D" w:rsidRPr="00E12C77" w:rsidRDefault="00092D1D" w:rsidP="00845892">
            <w:pPr>
              <w:jc w:val="right"/>
              <w:rPr>
                <w:rFonts w:ascii="Sylfaen" w:hAnsi="Sylfaen" w:cs="Calibri"/>
                <w:b/>
                <w:bCs/>
                <w:color w:val="000000"/>
                <w:sz w:val="18"/>
              </w:rPr>
            </w:pPr>
            <w:r w:rsidRPr="00E12C77">
              <w:rPr>
                <w:rFonts w:ascii="Sylfaen" w:hAnsi="Sylfaen" w:cs="Calibri"/>
                <w:b/>
                <w:bCs/>
                <w:color w:val="000000"/>
                <w:sz w:val="18"/>
              </w:rPr>
              <w:t>68.7</w:t>
            </w:r>
          </w:p>
        </w:tc>
        <w:tc>
          <w:tcPr>
            <w:tcW w:w="718" w:type="dxa"/>
            <w:tcBorders>
              <w:top w:val="nil"/>
              <w:left w:val="nil"/>
              <w:bottom w:val="single" w:sz="4" w:space="0" w:color="auto"/>
              <w:right w:val="single" w:sz="4" w:space="0" w:color="auto"/>
            </w:tcBorders>
            <w:shd w:val="clear" w:color="000000" w:fill="FFFFFF"/>
            <w:vAlign w:val="bottom"/>
            <w:hideMark/>
          </w:tcPr>
          <w:p w14:paraId="0A1B33B0" w14:textId="77777777" w:rsidR="00092D1D" w:rsidRPr="00E12C77" w:rsidRDefault="00092D1D" w:rsidP="00845892">
            <w:pPr>
              <w:jc w:val="right"/>
              <w:rPr>
                <w:rFonts w:ascii="Sylfaen" w:hAnsi="Sylfaen" w:cs="Calibri"/>
                <w:b/>
                <w:bCs/>
                <w:color w:val="000000"/>
                <w:sz w:val="18"/>
              </w:rPr>
            </w:pPr>
            <w:r w:rsidRPr="00E12C77">
              <w:rPr>
                <w:rFonts w:ascii="Sylfaen" w:hAnsi="Sylfaen" w:cs="Calibri"/>
                <w:b/>
                <w:bCs/>
                <w:color w:val="000000"/>
                <w:sz w:val="18"/>
              </w:rPr>
              <w:t>63.8</w:t>
            </w:r>
          </w:p>
        </w:tc>
        <w:tc>
          <w:tcPr>
            <w:tcW w:w="718" w:type="dxa"/>
            <w:tcBorders>
              <w:top w:val="nil"/>
              <w:left w:val="nil"/>
              <w:bottom w:val="single" w:sz="4" w:space="0" w:color="auto"/>
              <w:right w:val="single" w:sz="4" w:space="0" w:color="auto"/>
            </w:tcBorders>
            <w:shd w:val="clear" w:color="000000" w:fill="FFFFFF"/>
            <w:vAlign w:val="bottom"/>
            <w:hideMark/>
          </w:tcPr>
          <w:p w14:paraId="509AA3EE" w14:textId="77777777" w:rsidR="00092D1D" w:rsidRPr="00E12C77" w:rsidRDefault="00092D1D" w:rsidP="00845892">
            <w:pPr>
              <w:jc w:val="right"/>
              <w:rPr>
                <w:rFonts w:ascii="Sylfaen" w:hAnsi="Sylfaen" w:cs="Calibri"/>
                <w:b/>
                <w:bCs/>
                <w:color w:val="000000"/>
                <w:sz w:val="18"/>
              </w:rPr>
            </w:pPr>
            <w:r w:rsidRPr="00E12C77">
              <w:rPr>
                <w:rFonts w:ascii="Sylfaen" w:hAnsi="Sylfaen" w:cs="Calibri"/>
                <w:b/>
                <w:bCs/>
                <w:color w:val="000000"/>
                <w:sz w:val="18"/>
              </w:rPr>
              <w:t>62.7</w:t>
            </w:r>
          </w:p>
        </w:tc>
        <w:tc>
          <w:tcPr>
            <w:tcW w:w="718" w:type="dxa"/>
            <w:tcBorders>
              <w:top w:val="nil"/>
              <w:left w:val="nil"/>
              <w:bottom w:val="single" w:sz="4" w:space="0" w:color="auto"/>
              <w:right w:val="single" w:sz="4" w:space="0" w:color="auto"/>
            </w:tcBorders>
            <w:shd w:val="clear" w:color="000000" w:fill="FFFFFF"/>
            <w:noWrap/>
            <w:vAlign w:val="bottom"/>
            <w:hideMark/>
          </w:tcPr>
          <w:p w14:paraId="578FB5C1" w14:textId="77777777" w:rsidR="00092D1D" w:rsidRPr="00E12C77" w:rsidRDefault="00092D1D" w:rsidP="00845892">
            <w:pPr>
              <w:jc w:val="right"/>
              <w:rPr>
                <w:rFonts w:ascii="Sylfaen" w:hAnsi="Sylfaen" w:cs="Calibri"/>
                <w:b/>
                <w:bCs/>
                <w:sz w:val="18"/>
              </w:rPr>
            </w:pPr>
            <w:r w:rsidRPr="00E12C77">
              <w:rPr>
                <w:rFonts w:ascii="Sylfaen" w:hAnsi="Sylfaen" w:cs="Calibri"/>
                <w:b/>
                <w:bCs/>
                <w:sz w:val="18"/>
              </w:rPr>
              <w:t>62.9</w:t>
            </w:r>
          </w:p>
        </w:tc>
        <w:tc>
          <w:tcPr>
            <w:tcW w:w="718" w:type="dxa"/>
            <w:tcBorders>
              <w:top w:val="nil"/>
              <w:left w:val="nil"/>
              <w:bottom w:val="single" w:sz="4" w:space="0" w:color="auto"/>
              <w:right w:val="single" w:sz="4" w:space="0" w:color="auto"/>
            </w:tcBorders>
            <w:shd w:val="clear" w:color="auto" w:fill="auto"/>
            <w:noWrap/>
            <w:vAlign w:val="bottom"/>
            <w:hideMark/>
          </w:tcPr>
          <w:p w14:paraId="3F3C9437" w14:textId="77777777" w:rsidR="00092D1D" w:rsidRPr="00E12C77" w:rsidRDefault="00092D1D" w:rsidP="00845892">
            <w:pPr>
              <w:jc w:val="right"/>
              <w:rPr>
                <w:rFonts w:ascii="Sylfaen" w:hAnsi="Sylfaen" w:cs="Calibri"/>
                <w:b/>
                <w:bCs/>
                <w:sz w:val="18"/>
              </w:rPr>
            </w:pPr>
            <w:r w:rsidRPr="00E12C77">
              <w:rPr>
                <w:rFonts w:ascii="Sylfaen" w:hAnsi="Sylfaen" w:cs="Calibri"/>
                <w:b/>
                <w:bCs/>
                <w:sz w:val="18"/>
              </w:rPr>
              <w:t>64.0</w:t>
            </w:r>
          </w:p>
        </w:tc>
        <w:tc>
          <w:tcPr>
            <w:tcW w:w="718" w:type="dxa"/>
            <w:tcBorders>
              <w:top w:val="nil"/>
              <w:left w:val="nil"/>
              <w:bottom w:val="single" w:sz="4" w:space="0" w:color="auto"/>
              <w:right w:val="single" w:sz="4" w:space="0" w:color="auto"/>
            </w:tcBorders>
            <w:shd w:val="clear" w:color="auto" w:fill="auto"/>
            <w:vAlign w:val="bottom"/>
            <w:hideMark/>
          </w:tcPr>
          <w:p w14:paraId="120ED96D" w14:textId="77777777" w:rsidR="00092D1D" w:rsidRPr="00E12C77" w:rsidRDefault="00092D1D" w:rsidP="00845892">
            <w:pPr>
              <w:jc w:val="right"/>
              <w:rPr>
                <w:rFonts w:ascii="Sylfaen" w:hAnsi="Sylfaen" w:cs="Calibri"/>
                <w:b/>
                <w:bCs/>
                <w:color w:val="000000"/>
                <w:sz w:val="18"/>
              </w:rPr>
            </w:pPr>
            <w:r w:rsidRPr="00E12C77">
              <w:rPr>
                <w:rFonts w:ascii="Sylfaen" w:hAnsi="Sylfaen" w:cs="Calibri"/>
                <w:b/>
                <w:bCs/>
                <w:color w:val="000000"/>
                <w:sz w:val="18"/>
              </w:rPr>
              <w:t>67.1</w:t>
            </w:r>
          </w:p>
        </w:tc>
        <w:tc>
          <w:tcPr>
            <w:tcW w:w="718" w:type="dxa"/>
            <w:tcBorders>
              <w:top w:val="nil"/>
              <w:left w:val="nil"/>
              <w:bottom w:val="single" w:sz="4" w:space="0" w:color="auto"/>
              <w:right w:val="single" w:sz="4" w:space="0" w:color="auto"/>
            </w:tcBorders>
            <w:shd w:val="clear" w:color="auto" w:fill="auto"/>
            <w:vAlign w:val="bottom"/>
            <w:hideMark/>
          </w:tcPr>
          <w:p w14:paraId="5EB7DD19" w14:textId="77777777" w:rsidR="00092D1D" w:rsidRPr="00E12C77" w:rsidRDefault="00092D1D" w:rsidP="00845892">
            <w:pPr>
              <w:jc w:val="right"/>
              <w:rPr>
                <w:rFonts w:ascii="Sylfaen" w:hAnsi="Sylfaen" w:cs="Calibri"/>
                <w:b/>
                <w:bCs/>
                <w:color w:val="000000"/>
                <w:sz w:val="18"/>
              </w:rPr>
            </w:pPr>
            <w:r w:rsidRPr="00E12C77">
              <w:rPr>
                <w:rFonts w:ascii="Sylfaen" w:hAnsi="Sylfaen" w:cs="Calibri"/>
                <w:b/>
                <w:bCs/>
                <w:color w:val="000000"/>
                <w:sz w:val="18"/>
              </w:rPr>
              <w:t>68.2</w:t>
            </w:r>
          </w:p>
        </w:tc>
        <w:tc>
          <w:tcPr>
            <w:tcW w:w="810" w:type="dxa"/>
            <w:tcBorders>
              <w:top w:val="nil"/>
              <w:left w:val="nil"/>
              <w:bottom w:val="single" w:sz="4" w:space="0" w:color="auto"/>
              <w:right w:val="single" w:sz="4" w:space="0" w:color="auto"/>
            </w:tcBorders>
            <w:shd w:val="clear" w:color="auto" w:fill="auto"/>
            <w:noWrap/>
            <w:vAlign w:val="bottom"/>
            <w:hideMark/>
          </w:tcPr>
          <w:p w14:paraId="4EA9F241" w14:textId="77777777" w:rsidR="00092D1D" w:rsidRPr="00E12C77" w:rsidRDefault="00092D1D" w:rsidP="00845892">
            <w:pPr>
              <w:jc w:val="right"/>
              <w:rPr>
                <w:rFonts w:ascii="Sylfaen" w:hAnsi="Sylfaen" w:cs="Calibri"/>
                <w:b/>
                <w:bCs/>
                <w:sz w:val="18"/>
              </w:rPr>
            </w:pPr>
            <w:r w:rsidRPr="00E12C77">
              <w:rPr>
                <w:rFonts w:ascii="Sylfaen" w:hAnsi="Sylfaen" w:cs="Calibri"/>
                <w:b/>
                <w:bCs/>
                <w:sz w:val="18"/>
              </w:rPr>
              <w:t>68.3</w:t>
            </w:r>
          </w:p>
        </w:tc>
        <w:tc>
          <w:tcPr>
            <w:tcW w:w="718" w:type="dxa"/>
            <w:tcBorders>
              <w:top w:val="nil"/>
              <w:left w:val="nil"/>
              <w:bottom w:val="single" w:sz="4" w:space="0" w:color="auto"/>
              <w:right w:val="single" w:sz="4" w:space="0" w:color="auto"/>
            </w:tcBorders>
            <w:shd w:val="clear" w:color="auto" w:fill="auto"/>
            <w:noWrap/>
            <w:vAlign w:val="bottom"/>
            <w:hideMark/>
          </w:tcPr>
          <w:p w14:paraId="68BF9036" w14:textId="77777777" w:rsidR="00092D1D" w:rsidRPr="00E12C77" w:rsidRDefault="00092D1D" w:rsidP="00845892">
            <w:pPr>
              <w:jc w:val="right"/>
              <w:rPr>
                <w:rFonts w:ascii="Sylfaen" w:hAnsi="Sylfaen" w:cs="Calibri"/>
                <w:b/>
                <w:bCs/>
                <w:sz w:val="18"/>
              </w:rPr>
            </w:pPr>
            <w:r w:rsidRPr="00E12C77">
              <w:rPr>
                <w:rFonts w:ascii="Sylfaen" w:hAnsi="Sylfaen" w:cs="Calibri"/>
                <w:b/>
                <w:bCs/>
                <w:sz w:val="18"/>
              </w:rPr>
              <w:t>67.1</w:t>
            </w:r>
          </w:p>
        </w:tc>
        <w:tc>
          <w:tcPr>
            <w:tcW w:w="737" w:type="dxa"/>
            <w:tcBorders>
              <w:top w:val="nil"/>
              <w:left w:val="nil"/>
              <w:bottom w:val="single" w:sz="4" w:space="0" w:color="auto"/>
              <w:right w:val="single" w:sz="4" w:space="0" w:color="auto"/>
            </w:tcBorders>
            <w:shd w:val="clear" w:color="auto" w:fill="auto"/>
            <w:noWrap/>
            <w:vAlign w:val="bottom"/>
            <w:hideMark/>
          </w:tcPr>
          <w:p w14:paraId="180C5757" w14:textId="77777777" w:rsidR="00092D1D" w:rsidRPr="00E12C77" w:rsidRDefault="00092D1D" w:rsidP="00845892">
            <w:pPr>
              <w:jc w:val="right"/>
              <w:rPr>
                <w:rFonts w:ascii="Sylfaen" w:hAnsi="Sylfaen" w:cs="Calibri"/>
                <w:b/>
                <w:bCs/>
                <w:sz w:val="18"/>
              </w:rPr>
            </w:pPr>
            <w:r w:rsidRPr="00E12C77">
              <w:rPr>
                <w:rFonts w:ascii="Sylfaen" w:hAnsi="Sylfaen" w:cs="Calibri"/>
                <w:b/>
                <w:bCs/>
                <w:sz w:val="18"/>
              </w:rPr>
              <w:t>69.0</w:t>
            </w:r>
          </w:p>
        </w:tc>
      </w:tr>
    </w:tbl>
    <w:p w14:paraId="2B631AD0" w14:textId="77777777" w:rsidR="00092D1D" w:rsidRPr="00F80CCF" w:rsidRDefault="00092D1D" w:rsidP="00092D1D">
      <w:pPr>
        <w:ind w:firstLine="720"/>
        <w:rPr>
          <w:rFonts w:ascii="Sylfaen" w:hAnsi="Sylfaen"/>
          <w:lang w:val="ka-GE"/>
        </w:rPr>
      </w:pPr>
    </w:p>
    <w:p w14:paraId="14086619" w14:textId="77777777" w:rsidR="00092D1D" w:rsidRPr="00F80CCF" w:rsidRDefault="00092D1D" w:rsidP="00092D1D">
      <w:pPr>
        <w:ind w:right="-90"/>
        <w:rPr>
          <w:rFonts w:ascii="Sylfaen" w:hAnsi="Sylfaen"/>
          <w:lang w:val="ka-GE"/>
        </w:rPr>
      </w:pPr>
      <w:r w:rsidRPr="00F80CCF">
        <w:rPr>
          <w:rFonts w:ascii="Sylfaen" w:hAnsi="Sylfaen"/>
          <w:lang w:val="ka-GE"/>
        </w:rPr>
        <w:t>საპროექტო საავტომობილო გზის სიახლოვეს მდებარე სოფლების მოსახლეობა ძირითადად თვითდასაქმებულია. უმუშევრობის დონე საკმაოდ მაღალია. სოფლებში არსებული სავენახე მეურნეობები, როგორც წესი, ეკუთვნით ღვინისმწარმოებელ კომპანიებს. მართალია აღნიშნული კომპანიაები ასაქმებენ ადგილობრივ მოსახლეობას, მაგრამ არა იმ რაოდენობით, რომ სოფლის მაცხოვრებლებს არ დასჭირდეთ დამატებითი შემოსავლის მოძიება. როგორ წესი, ეს შემოსავალი გამოიხატება საავტომობილო გზის პირას ვაჭრობაში. ადგილობრივ მოსახლეობას ძირითადად გასაყიდად გამოაქვს საკუთარ მიწის ნაკვეთებზე მოყვანილი პროდუქცია. ამასთან, გზის პირზე განთავსებულია რამდენიმე საზოგადოებრივი კვების ობიექტი.</w:t>
      </w:r>
    </w:p>
    <w:p w14:paraId="214179F7" w14:textId="77777777" w:rsidR="00890493" w:rsidRPr="0000351B" w:rsidRDefault="00923B3F" w:rsidP="00E12C77">
      <w:pPr>
        <w:pStyle w:val="ListNumber3"/>
        <w:numPr>
          <w:ilvl w:val="0"/>
          <w:numId w:val="0"/>
        </w:numPr>
        <w:spacing w:before="120" w:after="120" w:line="240" w:lineRule="auto"/>
        <w:rPr>
          <w:rFonts w:ascii="Sylfaen" w:hAnsi="Sylfaen"/>
          <w:b/>
          <w:sz w:val="22"/>
          <w:u w:val="single"/>
          <w:lang w:val="ka-GE"/>
        </w:rPr>
      </w:pPr>
      <w:r w:rsidRPr="0000351B">
        <w:rPr>
          <w:rFonts w:ascii="Sylfaen" w:hAnsi="Sylfaen"/>
          <w:b/>
          <w:sz w:val="22"/>
          <w:u w:val="single"/>
          <w:lang w:val="ka-GE"/>
        </w:rPr>
        <w:t>მრეწველობა</w:t>
      </w:r>
    </w:p>
    <w:p w14:paraId="67F0CB00" w14:textId="77777777" w:rsidR="00092D1D" w:rsidRPr="00F80CCF" w:rsidRDefault="00092D1D" w:rsidP="00E12C77">
      <w:pPr>
        <w:spacing w:before="120" w:after="120"/>
        <w:ind w:right="-90"/>
        <w:rPr>
          <w:rFonts w:ascii="Sylfaen" w:hAnsi="Sylfaen"/>
          <w:lang w:val="ka-GE"/>
        </w:rPr>
      </w:pPr>
      <w:r w:rsidRPr="00F80CCF">
        <w:rPr>
          <w:rFonts w:ascii="Sylfaen" w:hAnsi="Sylfaen"/>
          <w:lang w:val="ka-GE"/>
        </w:rPr>
        <w:t xml:space="preserve">კახეთის რეგიონში წამყვანი დარგია მევენახეობა, ამ კუთხით გამონაკლისი არც თელავის და გურჯაანის მუნიციპალიტეტებია. განვითარებულია აგრეთვე მებაღეობა, მარცვლეულის წარმოება, მებოსტნეობა, ეთერზეთოვანი კულტურების, ხორცისა და რძის წარმოება. მნიშვნელოვანი საწარმოებია ღვინის ქარხნები, კვების და მსუბუქი მრეწველობის ობიექტები. მოსახლეობის ძირითადი შემოსავლის წყარო არის მევენახეობა, თუმცა სასოფლო-სამეურნეო ნაკვეთების უმრავლესობა წარმოადგენს კერძო კომპანიების საკუთრებას ან აღნიშნულ კომპანიებს გრძელვადიან მფლობელობაში აქვთ მიწის დიდი ფართობები და ეწევიან ღვინის წარმოებას. ადგილობრივი მოსახლეობის ნაწილი დასაქმებულია საწარმოებში, მაგრამ მაინც ესაჭიროებათ დამატებითი შემოსავალი. </w:t>
      </w:r>
    </w:p>
    <w:p w14:paraId="1BA8A9C6" w14:textId="77777777" w:rsidR="00092D1D" w:rsidRPr="00F80CCF" w:rsidRDefault="00092D1D" w:rsidP="00E12C77">
      <w:pPr>
        <w:spacing w:before="120" w:after="120"/>
        <w:ind w:right="-90"/>
        <w:rPr>
          <w:rFonts w:ascii="Sylfaen" w:hAnsi="Sylfaen"/>
          <w:lang w:val="ka-GE"/>
        </w:rPr>
      </w:pPr>
      <w:r w:rsidRPr="00F80CCF">
        <w:rPr>
          <w:rFonts w:ascii="Sylfaen" w:hAnsi="Sylfaen"/>
          <w:lang w:val="ka-GE"/>
        </w:rPr>
        <w:t>მუნიციპალიტეტის სამრეწველო საწარმოებიდან აღსანიშნავია „შუმი“-ს ღვინის ქარხანა, რომელიც მდებარეობს თელავსა და სოფელ კონდოლს შორის, ასევე დიდ ტერიტორიაზე ამ კომპანიის მიერ გაშენებული ვენახებიც.</w:t>
      </w:r>
    </w:p>
    <w:p w14:paraId="3085E48D" w14:textId="77777777" w:rsidR="00092D1D" w:rsidRPr="00F80CCF" w:rsidRDefault="00092D1D" w:rsidP="00E12C77">
      <w:pPr>
        <w:spacing w:before="120" w:after="120"/>
        <w:ind w:right="-90"/>
        <w:rPr>
          <w:rFonts w:ascii="Sylfaen" w:hAnsi="Sylfaen"/>
          <w:lang w:val="ka-GE"/>
        </w:rPr>
      </w:pPr>
      <w:r w:rsidRPr="00F80CCF">
        <w:rPr>
          <w:rFonts w:ascii="Sylfaen" w:hAnsi="Sylfaen"/>
          <w:lang w:val="ka-GE"/>
        </w:rPr>
        <w:t>არ შეიძლება არ აღინიშნოს გურჯაანის მუნიციპალიტეტის სოფელ მუკუზანში მდებარე ვენახები (ზღვის დონიდან 450 მ-ზე) გურჯაანიდან 12 კმ-ში  ამ ადგილისა და სოფლის სახელწოდების წარმომავლობის შესახებ სხვადასხვა ვერსიები არსებობს: გადმოცემის თანახმად, ირანის შაჰს - შაჰ-აბას I-ს მუკუზანი ისე გაუნადგურებია და გადაუწვავს, რომ სოფელში შემოსულ მეფე გიორგის უთქვამს: “სპარსელებს მუგუზალიც არ დაუტოვებიათო”. შესაძლოა სწორედ აქედან მოდის ამ ადგილის სახელწოდებაც. ღვინო "მუკუზანი" 1888 წლიდან იწარმოება. კარგ "მუკუზანს"  უნდა ქონდეს 10.5-12.5% ალკოჰოლი და მჟავიანობის 6.0-7.0% ტიტრაცია. ამ ლეგენდარულ ქართულ ღვინოს სხვადასხვა წლებში მოპოვებული  აქვს მრავალი საერთაშორისო მედალი. იგი გამოირჩევა მუქი წითელი ფერით, სურნელში იგრძნობა მუხისა და კენკროვანის ტონები. მუკუზანს უხდება ტრადიციული ქართული ტკბილეული და შემწვარი ხორცისგან მომზადებული კერძები.</w:t>
      </w:r>
    </w:p>
    <w:p w14:paraId="1B9DC3FA" w14:textId="77777777" w:rsidR="00092D1D" w:rsidRPr="00F80CCF" w:rsidRDefault="00092D1D" w:rsidP="00E12C77">
      <w:pPr>
        <w:spacing w:before="120" w:after="120"/>
        <w:ind w:right="-90"/>
        <w:rPr>
          <w:rFonts w:ascii="Sylfaen" w:hAnsi="Sylfaen"/>
          <w:lang w:val="ka-GE"/>
        </w:rPr>
      </w:pPr>
      <w:r w:rsidRPr="00F80CCF">
        <w:rPr>
          <w:rFonts w:ascii="Sylfaen" w:hAnsi="Sylfaen"/>
          <w:lang w:val="ka-GE"/>
        </w:rPr>
        <w:t xml:space="preserve">თელავისა და გურჯაანის მუნიციპალიტეტებში არის მოქმედი ხე-ტყის დამამუშავებელი რამდენიმე მცირე საწარმო, რომელიც განლაგებულია ასევე მცირე ტერიტორიებზე, თუმცა დიდი დატვირთვით ეს საწარმოები ამჟამად არ მუშაობენ. </w:t>
      </w:r>
    </w:p>
    <w:p w14:paraId="0E73FDA1" w14:textId="77777777" w:rsidR="00092D1D" w:rsidRPr="00F80CCF" w:rsidRDefault="00092D1D" w:rsidP="00E12C77">
      <w:pPr>
        <w:spacing w:before="120" w:after="120"/>
        <w:ind w:right="-90"/>
        <w:rPr>
          <w:rFonts w:ascii="Sylfaen" w:hAnsi="Sylfaen"/>
          <w:lang w:val="ka-GE"/>
        </w:rPr>
      </w:pPr>
      <w:r w:rsidRPr="00F80CCF">
        <w:rPr>
          <w:rFonts w:ascii="Sylfaen" w:hAnsi="Sylfaen"/>
          <w:lang w:val="ka-GE"/>
        </w:rPr>
        <w:lastRenderedPageBreak/>
        <w:t>მოსახლეობის ძირითადი შემოსავლის წყარო მაინც თვითდასაქმებაა. არიან ოჯახები, რომლებსაც ძალზე დიდი ტერიტორიები აქვთ საკუთრებაში და მოყავთ საზამთრო დიდი რაოდენობით. ადგილობრივი მოსახლეობა ვაჭრობს ძირითადად ხილით (ზაფხულში) და ნიორით, გოგორით და სხვ. (ზამთარში). ისინი ამარაგებენ როგორც ადგილობრივ სავაჭრო ობიექტებს სეზონური ნაწარმით, ასევე პროდუქცია გააქვთ შედარებით დიდი ქალაქებში, თუმცა აღნიშნული საქმიანობა სეზონურია და მთელი წელი სტაბილურ შემოსავალს არ იძლევა. ამასთან, კახეთის რეგიონში ხშირი გვალვების გამო მოსახლეობას უჭირს მომდევნო წლისთვის რაიმე პროგნოზის გაკეთება შემოსავლის კუთხით, აქედან გამომდინარე, მოსახლეობა ცდილობს დასაქმდეს კერძო სექტორში სტაბულური შემოსავლის მიღების მიზნით, რაც არც თუ ისე ადვილია რეგიონში.</w:t>
      </w:r>
    </w:p>
    <w:p w14:paraId="12D5B89F" w14:textId="77777777" w:rsidR="00092D1D" w:rsidRPr="00F80CCF" w:rsidRDefault="00092D1D" w:rsidP="00E12C77">
      <w:pPr>
        <w:spacing w:before="120" w:after="120"/>
        <w:ind w:right="-90"/>
        <w:rPr>
          <w:rFonts w:ascii="Sylfaen" w:hAnsi="Sylfaen"/>
          <w:lang w:val="ka-GE"/>
        </w:rPr>
      </w:pPr>
      <w:r w:rsidRPr="00F80CCF">
        <w:rPr>
          <w:rFonts w:ascii="Sylfaen" w:hAnsi="Sylfaen"/>
          <w:lang w:val="ka-GE"/>
        </w:rPr>
        <w:t xml:space="preserve">კახეთის რეგიონში მრავლად არის მცენარეთა მოვლის საშუალებების მაღაზიები (ძირითადად თელავის მუნიციპალიტეტში). ასეთები არის თითქმის ყველა სოფელში, ზოგან რამდენიმეც, თუმცა კლიენტთა სიმცირის გამო ხშირად მეპატრონეები არ არიან ადგილზე, რომ გამვლელებს საჭიროების შემთხვევაში გაუჭიონ მომსახურება. როგორც ჩანს აღნიშნული ობიექტები გათვლილია ადგილობრივ მოსახლეობაზე და მუშაობს მოთხოვნის შესაბამისად. </w:t>
      </w:r>
    </w:p>
    <w:p w14:paraId="2C1868E8" w14:textId="77777777" w:rsidR="00092D1D" w:rsidRPr="00F80CCF" w:rsidRDefault="00092D1D" w:rsidP="00E12C77">
      <w:pPr>
        <w:spacing w:before="120" w:after="120"/>
        <w:ind w:right="-90"/>
        <w:rPr>
          <w:rFonts w:ascii="Sylfaen" w:hAnsi="Sylfaen"/>
          <w:lang w:val="ka-GE"/>
        </w:rPr>
      </w:pPr>
      <w:r w:rsidRPr="00F80CCF">
        <w:rPr>
          <w:rFonts w:ascii="Sylfaen" w:hAnsi="Sylfaen"/>
          <w:lang w:val="ka-GE"/>
        </w:rPr>
        <w:t>ძირითად შემოსავალს, როგორც უკვე აღინიშნა, მაინც წარმოადგენს თვითდასაქმება, რაც ძირითადად გამოიხატება გარე ვაჭრობაში, საავტომობილო გზის პირას. თელავის მუნიციპალიტეტის გარე მოვაჭრეთა უმრავლესობა ზამთრის პერიოდის დადგომისთანავე იწყებს ჩურჩხელების გაყიდვას, რაც ძირითადად გათვლილია გამვლელებზე. თუმცა მცირე ბიზნესის ან რაიმე საწარმოს სახით აღნიშნული „ბიზნესი“ ჩამოყალიბებული არ არის მითითებულ ტერიტორიაზე.</w:t>
      </w:r>
    </w:p>
    <w:p w14:paraId="3F7D4826" w14:textId="77777777" w:rsidR="00092D1D" w:rsidRPr="00F80CCF" w:rsidRDefault="00092D1D" w:rsidP="00E12C77">
      <w:pPr>
        <w:spacing w:before="120" w:after="120"/>
        <w:ind w:right="-90"/>
        <w:rPr>
          <w:rFonts w:ascii="Sylfaen" w:hAnsi="Sylfaen"/>
          <w:lang w:val="ka-GE"/>
        </w:rPr>
      </w:pPr>
      <w:r w:rsidRPr="00F80CCF">
        <w:rPr>
          <w:rFonts w:ascii="Sylfaen" w:hAnsi="Sylfaen"/>
          <w:lang w:val="ka-GE"/>
        </w:rPr>
        <w:t>საპროექტო დერეფნის სიახლოვეს რაიმე საწარმოო ობიექტები განთავსებული არ არის. ზოგ ადგილებში შესაძლებელია საავტომობილო გზამ გაიაროს სასოფლო-სამეურნეო მიწის ნაკვეთებზე, რომლებზეც გაშენებულია ახალგაზრდა ვენახები.</w:t>
      </w:r>
    </w:p>
    <w:p w14:paraId="41CA29F3" w14:textId="77777777" w:rsidR="00890493" w:rsidRPr="0000351B" w:rsidRDefault="004E54E3" w:rsidP="002B56CC">
      <w:pPr>
        <w:pStyle w:val="ListNumber3"/>
        <w:numPr>
          <w:ilvl w:val="0"/>
          <w:numId w:val="0"/>
        </w:numPr>
        <w:spacing w:before="200" w:after="200" w:line="240" w:lineRule="auto"/>
        <w:rPr>
          <w:rFonts w:ascii="Sylfaen" w:hAnsi="Sylfaen"/>
          <w:sz w:val="22"/>
          <w:u w:val="single"/>
          <w:lang w:val="ka-GE"/>
        </w:rPr>
      </w:pPr>
      <w:r w:rsidRPr="0000351B">
        <w:rPr>
          <w:rFonts w:ascii="Sylfaen" w:hAnsi="Sylfaen"/>
          <w:sz w:val="22"/>
          <w:u w:val="single"/>
          <w:lang w:val="ka-GE"/>
        </w:rPr>
        <w:t>სოფლის მეურნეობა</w:t>
      </w:r>
    </w:p>
    <w:tbl>
      <w:tblPr>
        <w:tblW w:w="10300" w:type="dxa"/>
        <w:tblLook w:val="04A0" w:firstRow="1" w:lastRow="0" w:firstColumn="1" w:lastColumn="0" w:noHBand="0" w:noVBand="1"/>
      </w:tblPr>
      <w:tblGrid>
        <w:gridCol w:w="2064"/>
        <w:gridCol w:w="575"/>
        <w:gridCol w:w="619"/>
        <w:gridCol w:w="754"/>
        <w:gridCol w:w="881"/>
        <w:gridCol w:w="754"/>
        <w:gridCol w:w="754"/>
        <w:gridCol w:w="728"/>
        <w:gridCol w:w="754"/>
        <w:gridCol w:w="754"/>
        <w:gridCol w:w="881"/>
        <w:gridCol w:w="881"/>
      </w:tblGrid>
      <w:tr w:rsidR="00092D1D" w:rsidRPr="008C0A3D" w14:paraId="49DAA368" w14:textId="77777777" w:rsidTr="008C0A3D">
        <w:trPr>
          <w:trHeight w:val="300"/>
        </w:trPr>
        <w:tc>
          <w:tcPr>
            <w:tcW w:w="10300" w:type="dxa"/>
            <w:gridSpan w:val="12"/>
            <w:tcBorders>
              <w:top w:val="nil"/>
              <w:left w:val="nil"/>
              <w:bottom w:val="single" w:sz="4" w:space="0" w:color="auto"/>
              <w:right w:val="nil"/>
            </w:tcBorders>
            <w:shd w:val="clear" w:color="auto" w:fill="auto"/>
            <w:noWrap/>
            <w:vAlign w:val="center"/>
            <w:hideMark/>
          </w:tcPr>
          <w:p w14:paraId="03B8211A" w14:textId="77777777" w:rsidR="00092D1D" w:rsidRPr="008C0A3D" w:rsidRDefault="00092D1D" w:rsidP="00845892">
            <w:pPr>
              <w:rPr>
                <w:rFonts w:ascii="Sylfaen" w:hAnsi="Sylfaen" w:cs="Calibri"/>
                <w:b/>
                <w:bCs/>
                <w:color w:val="000000"/>
                <w:sz w:val="16"/>
              </w:rPr>
            </w:pPr>
            <w:r w:rsidRPr="008C0A3D">
              <w:rPr>
                <w:rFonts w:ascii="Sylfaen" w:hAnsi="Sylfaen" w:cs="Calibri"/>
                <w:b/>
                <w:bCs/>
                <w:color w:val="000000"/>
                <w:sz w:val="16"/>
              </w:rPr>
              <w:t xml:space="preserve">პირუტყვისა და ფრინველის სულადობა კახეთის რეგიონში, წლის ბოლოსათვის </w:t>
            </w:r>
            <w:r w:rsidRPr="008C0A3D">
              <w:rPr>
                <w:rFonts w:ascii="Sylfaen" w:hAnsi="Sylfaen" w:cs="Calibri"/>
                <w:color w:val="000000"/>
                <w:sz w:val="16"/>
              </w:rPr>
              <w:t>(ათასი სული)</w:t>
            </w:r>
          </w:p>
        </w:tc>
      </w:tr>
      <w:tr w:rsidR="00092D1D" w:rsidRPr="008C0A3D" w14:paraId="77A50C87" w14:textId="77777777" w:rsidTr="008C0A3D">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63BBB920" w14:textId="77777777" w:rsidR="00092D1D" w:rsidRPr="008C0A3D" w:rsidRDefault="00092D1D" w:rsidP="00845892">
            <w:pPr>
              <w:rPr>
                <w:rFonts w:ascii="Sylfaen" w:hAnsi="Sylfaen" w:cs="Calibri"/>
                <w:color w:val="000000"/>
                <w:sz w:val="16"/>
              </w:rPr>
            </w:pPr>
            <w:r w:rsidRPr="008C0A3D">
              <w:rPr>
                <w:rFonts w:ascii="Sylfaen" w:hAnsi="Sylfaen" w:cs="Calibri"/>
                <w:color w:val="000000"/>
                <w:sz w:val="16"/>
              </w:rPr>
              <w:t> </w:t>
            </w:r>
          </w:p>
        </w:tc>
        <w:tc>
          <w:tcPr>
            <w:tcW w:w="447" w:type="dxa"/>
            <w:tcBorders>
              <w:top w:val="nil"/>
              <w:left w:val="nil"/>
              <w:bottom w:val="single" w:sz="4" w:space="0" w:color="auto"/>
              <w:right w:val="single" w:sz="4" w:space="0" w:color="auto"/>
            </w:tcBorders>
            <w:shd w:val="clear" w:color="auto" w:fill="auto"/>
            <w:noWrap/>
            <w:vAlign w:val="bottom"/>
            <w:hideMark/>
          </w:tcPr>
          <w:p w14:paraId="33B9F37E" w14:textId="77777777" w:rsidR="00092D1D" w:rsidRPr="008C0A3D" w:rsidRDefault="00092D1D" w:rsidP="00845892">
            <w:pPr>
              <w:jc w:val="center"/>
              <w:rPr>
                <w:rFonts w:ascii="Sylfaen" w:hAnsi="Sylfaen" w:cs="Arial"/>
                <w:b/>
                <w:bCs/>
                <w:color w:val="000000"/>
                <w:sz w:val="16"/>
              </w:rPr>
            </w:pPr>
            <w:r w:rsidRPr="008C0A3D">
              <w:rPr>
                <w:rFonts w:ascii="Sylfaen" w:hAnsi="Sylfaen" w:cs="Arial"/>
                <w:b/>
                <w:bCs/>
                <w:color w:val="000000"/>
                <w:sz w:val="16"/>
              </w:rPr>
              <w:t>2006</w:t>
            </w:r>
          </w:p>
        </w:tc>
        <w:tc>
          <w:tcPr>
            <w:tcW w:w="621" w:type="dxa"/>
            <w:tcBorders>
              <w:top w:val="nil"/>
              <w:left w:val="nil"/>
              <w:bottom w:val="single" w:sz="4" w:space="0" w:color="auto"/>
              <w:right w:val="single" w:sz="4" w:space="0" w:color="auto"/>
            </w:tcBorders>
            <w:shd w:val="clear" w:color="auto" w:fill="auto"/>
            <w:noWrap/>
            <w:vAlign w:val="bottom"/>
            <w:hideMark/>
          </w:tcPr>
          <w:p w14:paraId="7FBEEDB4" w14:textId="77777777" w:rsidR="00092D1D" w:rsidRPr="008C0A3D" w:rsidRDefault="00092D1D" w:rsidP="00845892">
            <w:pPr>
              <w:jc w:val="center"/>
              <w:rPr>
                <w:rFonts w:ascii="Sylfaen" w:hAnsi="Sylfaen" w:cs="Arial"/>
                <w:b/>
                <w:bCs/>
                <w:color w:val="000000"/>
                <w:sz w:val="16"/>
              </w:rPr>
            </w:pPr>
            <w:r w:rsidRPr="008C0A3D">
              <w:rPr>
                <w:rFonts w:ascii="Sylfaen" w:hAnsi="Sylfaen" w:cs="Arial"/>
                <w:b/>
                <w:bCs/>
                <w:color w:val="000000"/>
                <w:sz w:val="16"/>
              </w:rPr>
              <w:t>2007</w:t>
            </w:r>
          </w:p>
        </w:tc>
        <w:tc>
          <w:tcPr>
            <w:tcW w:w="756" w:type="dxa"/>
            <w:tcBorders>
              <w:top w:val="nil"/>
              <w:left w:val="nil"/>
              <w:bottom w:val="single" w:sz="4" w:space="0" w:color="auto"/>
              <w:right w:val="single" w:sz="4" w:space="0" w:color="auto"/>
            </w:tcBorders>
            <w:shd w:val="clear" w:color="auto" w:fill="auto"/>
            <w:noWrap/>
            <w:vAlign w:val="bottom"/>
            <w:hideMark/>
          </w:tcPr>
          <w:p w14:paraId="5AB216CA" w14:textId="77777777" w:rsidR="00092D1D" w:rsidRPr="008C0A3D" w:rsidRDefault="00092D1D" w:rsidP="00845892">
            <w:pPr>
              <w:jc w:val="center"/>
              <w:rPr>
                <w:rFonts w:ascii="Sylfaen" w:hAnsi="Sylfaen" w:cs="Arial"/>
                <w:b/>
                <w:bCs/>
                <w:color w:val="000000"/>
                <w:sz w:val="16"/>
              </w:rPr>
            </w:pPr>
            <w:r w:rsidRPr="008C0A3D">
              <w:rPr>
                <w:rFonts w:ascii="Sylfaen" w:hAnsi="Sylfaen" w:cs="Arial"/>
                <w:b/>
                <w:bCs/>
                <w:color w:val="000000"/>
                <w:sz w:val="16"/>
              </w:rPr>
              <w:t>2008</w:t>
            </w:r>
          </w:p>
        </w:tc>
        <w:tc>
          <w:tcPr>
            <w:tcW w:w="884" w:type="dxa"/>
            <w:tcBorders>
              <w:top w:val="nil"/>
              <w:left w:val="nil"/>
              <w:bottom w:val="single" w:sz="4" w:space="0" w:color="auto"/>
              <w:right w:val="single" w:sz="4" w:space="0" w:color="auto"/>
            </w:tcBorders>
            <w:shd w:val="clear" w:color="auto" w:fill="auto"/>
            <w:noWrap/>
            <w:vAlign w:val="bottom"/>
            <w:hideMark/>
          </w:tcPr>
          <w:p w14:paraId="7D211BB8" w14:textId="77777777" w:rsidR="00092D1D" w:rsidRPr="008C0A3D" w:rsidRDefault="00092D1D" w:rsidP="00845892">
            <w:pPr>
              <w:jc w:val="center"/>
              <w:rPr>
                <w:rFonts w:ascii="Sylfaen" w:hAnsi="Sylfaen" w:cs="Arial"/>
                <w:b/>
                <w:bCs/>
                <w:color w:val="000000"/>
                <w:sz w:val="16"/>
              </w:rPr>
            </w:pPr>
            <w:r w:rsidRPr="008C0A3D">
              <w:rPr>
                <w:rFonts w:ascii="Sylfaen" w:hAnsi="Sylfaen" w:cs="Arial"/>
                <w:b/>
                <w:bCs/>
                <w:color w:val="000000"/>
                <w:sz w:val="16"/>
              </w:rPr>
              <w:t>2009</w:t>
            </w:r>
          </w:p>
        </w:tc>
        <w:tc>
          <w:tcPr>
            <w:tcW w:w="756" w:type="dxa"/>
            <w:tcBorders>
              <w:top w:val="nil"/>
              <w:left w:val="nil"/>
              <w:bottom w:val="single" w:sz="4" w:space="0" w:color="auto"/>
              <w:right w:val="single" w:sz="4" w:space="0" w:color="auto"/>
            </w:tcBorders>
            <w:shd w:val="clear" w:color="auto" w:fill="auto"/>
            <w:noWrap/>
            <w:vAlign w:val="bottom"/>
            <w:hideMark/>
          </w:tcPr>
          <w:p w14:paraId="7A3167F6" w14:textId="77777777" w:rsidR="00092D1D" w:rsidRPr="008C0A3D" w:rsidRDefault="00092D1D" w:rsidP="00845892">
            <w:pPr>
              <w:jc w:val="center"/>
              <w:rPr>
                <w:rFonts w:ascii="Sylfaen" w:hAnsi="Sylfaen" w:cs="Arial"/>
                <w:b/>
                <w:bCs/>
                <w:color w:val="000000"/>
                <w:sz w:val="16"/>
              </w:rPr>
            </w:pPr>
            <w:r w:rsidRPr="008C0A3D">
              <w:rPr>
                <w:rFonts w:ascii="Sylfaen" w:hAnsi="Sylfaen" w:cs="Arial"/>
                <w:b/>
                <w:bCs/>
                <w:color w:val="000000"/>
                <w:sz w:val="16"/>
              </w:rPr>
              <w:t>2010</w:t>
            </w:r>
          </w:p>
        </w:tc>
        <w:tc>
          <w:tcPr>
            <w:tcW w:w="756" w:type="dxa"/>
            <w:tcBorders>
              <w:top w:val="nil"/>
              <w:left w:val="nil"/>
              <w:bottom w:val="single" w:sz="4" w:space="0" w:color="auto"/>
              <w:right w:val="single" w:sz="4" w:space="0" w:color="auto"/>
            </w:tcBorders>
            <w:shd w:val="clear" w:color="auto" w:fill="auto"/>
            <w:noWrap/>
            <w:vAlign w:val="bottom"/>
            <w:hideMark/>
          </w:tcPr>
          <w:p w14:paraId="546E4DF7" w14:textId="77777777" w:rsidR="00092D1D" w:rsidRPr="008C0A3D" w:rsidRDefault="00092D1D" w:rsidP="00845892">
            <w:pPr>
              <w:jc w:val="center"/>
              <w:rPr>
                <w:rFonts w:ascii="Sylfaen" w:hAnsi="Sylfaen" w:cs="Arial"/>
                <w:b/>
                <w:bCs/>
                <w:color w:val="000000"/>
                <w:sz w:val="16"/>
              </w:rPr>
            </w:pPr>
            <w:r w:rsidRPr="008C0A3D">
              <w:rPr>
                <w:rFonts w:ascii="Sylfaen" w:hAnsi="Sylfaen" w:cs="Arial"/>
                <w:b/>
                <w:bCs/>
                <w:color w:val="000000"/>
                <w:sz w:val="16"/>
              </w:rPr>
              <w:t>2011</w:t>
            </w:r>
          </w:p>
        </w:tc>
        <w:tc>
          <w:tcPr>
            <w:tcW w:w="730" w:type="dxa"/>
            <w:tcBorders>
              <w:top w:val="nil"/>
              <w:left w:val="nil"/>
              <w:bottom w:val="single" w:sz="4" w:space="0" w:color="auto"/>
              <w:right w:val="single" w:sz="4" w:space="0" w:color="auto"/>
            </w:tcBorders>
            <w:shd w:val="clear" w:color="auto" w:fill="auto"/>
            <w:noWrap/>
            <w:vAlign w:val="bottom"/>
            <w:hideMark/>
          </w:tcPr>
          <w:p w14:paraId="26B1D17A" w14:textId="77777777" w:rsidR="00092D1D" w:rsidRPr="008C0A3D" w:rsidRDefault="00092D1D" w:rsidP="00845892">
            <w:pPr>
              <w:jc w:val="center"/>
              <w:rPr>
                <w:rFonts w:ascii="Sylfaen" w:hAnsi="Sylfaen" w:cs="Arial"/>
                <w:b/>
                <w:bCs/>
                <w:color w:val="000000"/>
                <w:sz w:val="16"/>
              </w:rPr>
            </w:pPr>
            <w:r w:rsidRPr="008C0A3D">
              <w:rPr>
                <w:rFonts w:ascii="Sylfaen" w:hAnsi="Sylfaen" w:cs="Arial"/>
                <w:b/>
                <w:bCs/>
                <w:color w:val="000000"/>
                <w:sz w:val="16"/>
              </w:rPr>
              <w:t>2012</w:t>
            </w:r>
          </w:p>
        </w:tc>
        <w:tc>
          <w:tcPr>
            <w:tcW w:w="756" w:type="dxa"/>
            <w:tcBorders>
              <w:top w:val="nil"/>
              <w:left w:val="nil"/>
              <w:bottom w:val="single" w:sz="4" w:space="0" w:color="auto"/>
              <w:right w:val="single" w:sz="4" w:space="0" w:color="auto"/>
            </w:tcBorders>
            <w:shd w:val="clear" w:color="auto" w:fill="auto"/>
            <w:noWrap/>
            <w:vAlign w:val="bottom"/>
            <w:hideMark/>
          </w:tcPr>
          <w:p w14:paraId="0EBDF982" w14:textId="77777777" w:rsidR="00092D1D" w:rsidRPr="008C0A3D" w:rsidRDefault="00092D1D" w:rsidP="00845892">
            <w:pPr>
              <w:jc w:val="center"/>
              <w:rPr>
                <w:rFonts w:ascii="Sylfaen" w:hAnsi="Sylfaen" w:cs="Arial"/>
                <w:b/>
                <w:bCs/>
                <w:color w:val="000000"/>
                <w:sz w:val="16"/>
              </w:rPr>
            </w:pPr>
            <w:r w:rsidRPr="008C0A3D">
              <w:rPr>
                <w:rFonts w:ascii="Sylfaen" w:hAnsi="Sylfaen" w:cs="Arial"/>
                <w:b/>
                <w:bCs/>
                <w:color w:val="000000"/>
                <w:sz w:val="16"/>
              </w:rPr>
              <w:t>2013</w:t>
            </w:r>
          </w:p>
        </w:tc>
        <w:tc>
          <w:tcPr>
            <w:tcW w:w="756" w:type="dxa"/>
            <w:tcBorders>
              <w:top w:val="nil"/>
              <w:left w:val="nil"/>
              <w:bottom w:val="single" w:sz="4" w:space="0" w:color="auto"/>
              <w:right w:val="single" w:sz="4" w:space="0" w:color="auto"/>
            </w:tcBorders>
            <w:shd w:val="clear" w:color="auto" w:fill="auto"/>
            <w:noWrap/>
            <w:vAlign w:val="bottom"/>
            <w:hideMark/>
          </w:tcPr>
          <w:p w14:paraId="2919AEF1" w14:textId="77777777" w:rsidR="00092D1D" w:rsidRPr="008C0A3D" w:rsidRDefault="00092D1D" w:rsidP="00845892">
            <w:pPr>
              <w:jc w:val="center"/>
              <w:rPr>
                <w:rFonts w:ascii="Sylfaen" w:hAnsi="Sylfaen" w:cs="Arial"/>
                <w:b/>
                <w:bCs/>
                <w:color w:val="000000"/>
                <w:sz w:val="16"/>
              </w:rPr>
            </w:pPr>
            <w:r w:rsidRPr="008C0A3D">
              <w:rPr>
                <w:rFonts w:ascii="Sylfaen" w:hAnsi="Sylfaen" w:cs="Arial"/>
                <w:b/>
                <w:bCs/>
                <w:color w:val="000000"/>
                <w:sz w:val="16"/>
              </w:rPr>
              <w:t>2014</w:t>
            </w:r>
          </w:p>
        </w:tc>
        <w:tc>
          <w:tcPr>
            <w:tcW w:w="884" w:type="dxa"/>
            <w:tcBorders>
              <w:top w:val="nil"/>
              <w:left w:val="nil"/>
              <w:bottom w:val="single" w:sz="4" w:space="0" w:color="auto"/>
              <w:right w:val="single" w:sz="4" w:space="0" w:color="auto"/>
            </w:tcBorders>
            <w:shd w:val="clear" w:color="auto" w:fill="auto"/>
            <w:noWrap/>
            <w:vAlign w:val="bottom"/>
            <w:hideMark/>
          </w:tcPr>
          <w:p w14:paraId="59592EAA" w14:textId="77777777" w:rsidR="00092D1D" w:rsidRPr="008C0A3D" w:rsidRDefault="00092D1D" w:rsidP="00845892">
            <w:pPr>
              <w:jc w:val="center"/>
              <w:rPr>
                <w:rFonts w:ascii="Sylfaen" w:hAnsi="Sylfaen" w:cs="Arial"/>
                <w:b/>
                <w:bCs/>
                <w:color w:val="000000"/>
                <w:sz w:val="16"/>
              </w:rPr>
            </w:pPr>
            <w:r w:rsidRPr="008C0A3D">
              <w:rPr>
                <w:rFonts w:ascii="Sylfaen" w:hAnsi="Sylfaen" w:cs="Arial"/>
                <w:b/>
                <w:bCs/>
                <w:color w:val="000000"/>
                <w:sz w:val="16"/>
              </w:rPr>
              <w:t>2015</w:t>
            </w:r>
          </w:p>
        </w:tc>
        <w:tc>
          <w:tcPr>
            <w:tcW w:w="884" w:type="dxa"/>
            <w:tcBorders>
              <w:top w:val="nil"/>
              <w:left w:val="nil"/>
              <w:bottom w:val="single" w:sz="4" w:space="0" w:color="auto"/>
              <w:right w:val="single" w:sz="4" w:space="0" w:color="auto"/>
            </w:tcBorders>
            <w:shd w:val="clear" w:color="auto" w:fill="auto"/>
            <w:noWrap/>
            <w:vAlign w:val="bottom"/>
            <w:hideMark/>
          </w:tcPr>
          <w:p w14:paraId="4D6004CD" w14:textId="77777777" w:rsidR="00092D1D" w:rsidRPr="008C0A3D" w:rsidRDefault="00092D1D" w:rsidP="00845892">
            <w:pPr>
              <w:jc w:val="center"/>
              <w:rPr>
                <w:rFonts w:ascii="Sylfaen" w:hAnsi="Sylfaen" w:cs="Arial"/>
                <w:b/>
                <w:bCs/>
                <w:color w:val="000000"/>
                <w:sz w:val="16"/>
              </w:rPr>
            </w:pPr>
            <w:r w:rsidRPr="008C0A3D">
              <w:rPr>
                <w:rFonts w:ascii="Sylfaen" w:hAnsi="Sylfaen" w:cs="Arial"/>
                <w:b/>
                <w:bCs/>
                <w:color w:val="000000"/>
                <w:sz w:val="16"/>
              </w:rPr>
              <w:t>2016</w:t>
            </w:r>
          </w:p>
        </w:tc>
      </w:tr>
      <w:tr w:rsidR="00092D1D" w:rsidRPr="008C0A3D" w14:paraId="18E7D87C" w14:textId="77777777" w:rsidTr="008C0A3D">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1DE9201" w14:textId="77777777" w:rsidR="00092D1D" w:rsidRPr="008C0A3D" w:rsidRDefault="00092D1D" w:rsidP="008C0A3D">
            <w:pPr>
              <w:rPr>
                <w:rFonts w:ascii="Sylfaen" w:hAnsi="Sylfaen" w:cs="Calibri"/>
                <w:color w:val="000000"/>
                <w:sz w:val="16"/>
              </w:rPr>
            </w:pPr>
            <w:r w:rsidRPr="008C0A3D">
              <w:rPr>
                <w:rFonts w:ascii="Sylfaen" w:hAnsi="Sylfaen" w:cs="Calibri"/>
                <w:color w:val="000000"/>
                <w:sz w:val="16"/>
              </w:rPr>
              <w:t xml:space="preserve">მსხვილფეხა რქოსანი პირუტყვის </w:t>
            </w:r>
            <w:r w:rsidR="008C0A3D">
              <w:rPr>
                <w:rFonts w:ascii="Sylfaen" w:hAnsi="Sylfaen" w:cs="Calibri"/>
                <w:color w:val="000000"/>
                <w:sz w:val="16"/>
                <w:lang w:val="ka-GE"/>
              </w:rPr>
              <w:t>ს</w:t>
            </w:r>
            <w:r w:rsidRPr="008C0A3D">
              <w:rPr>
                <w:rFonts w:ascii="Sylfaen" w:hAnsi="Sylfaen" w:cs="Calibri"/>
                <w:color w:val="000000"/>
                <w:sz w:val="16"/>
              </w:rPr>
              <w:t>ულადობა (კამეჩის ჩათვლით)</w:t>
            </w:r>
          </w:p>
        </w:tc>
        <w:tc>
          <w:tcPr>
            <w:tcW w:w="447" w:type="dxa"/>
            <w:tcBorders>
              <w:top w:val="nil"/>
              <w:left w:val="nil"/>
              <w:bottom w:val="single" w:sz="4" w:space="0" w:color="auto"/>
              <w:right w:val="single" w:sz="4" w:space="0" w:color="auto"/>
            </w:tcBorders>
            <w:shd w:val="clear" w:color="000000" w:fill="FFFFFF"/>
            <w:noWrap/>
            <w:vAlign w:val="bottom"/>
            <w:hideMark/>
          </w:tcPr>
          <w:p w14:paraId="2293E6B0" w14:textId="77777777" w:rsidR="00092D1D" w:rsidRPr="008C0A3D" w:rsidRDefault="00092D1D" w:rsidP="00845892">
            <w:pPr>
              <w:jc w:val="right"/>
              <w:rPr>
                <w:rFonts w:ascii="Sylfaen" w:hAnsi="Sylfaen" w:cs="Arial"/>
                <w:sz w:val="16"/>
              </w:rPr>
            </w:pPr>
            <w:r w:rsidRPr="008C0A3D">
              <w:rPr>
                <w:rFonts w:ascii="Sylfaen" w:hAnsi="Sylfaen" w:cs="Arial"/>
                <w:sz w:val="16"/>
              </w:rPr>
              <w:t>97.0</w:t>
            </w:r>
          </w:p>
        </w:tc>
        <w:tc>
          <w:tcPr>
            <w:tcW w:w="621" w:type="dxa"/>
            <w:tcBorders>
              <w:top w:val="nil"/>
              <w:left w:val="nil"/>
              <w:bottom w:val="single" w:sz="4" w:space="0" w:color="auto"/>
              <w:right w:val="single" w:sz="4" w:space="0" w:color="auto"/>
            </w:tcBorders>
            <w:shd w:val="clear" w:color="000000" w:fill="FFFFFF"/>
            <w:noWrap/>
            <w:vAlign w:val="bottom"/>
            <w:hideMark/>
          </w:tcPr>
          <w:p w14:paraId="1F05BBDE" w14:textId="77777777" w:rsidR="00092D1D" w:rsidRPr="008C0A3D" w:rsidRDefault="00092D1D" w:rsidP="00845892">
            <w:pPr>
              <w:jc w:val="right"/>
              <w:rPr>
                <w:rFonts w:ascii="Sylfaen" w:hAnsi="Sylfaen" w:cs="Arial"/>
                <w:sz w:val="16"/>
              </w:rPr>
            </w:pPr>
            <w:r w:rsidRPr="008C0A3D">
              <w:rPr>
                <w:rFonts w:ascii="Sylfaen" w:hAnsi="Sylfaen" w:cs="Arial"/>
                <w:sz w:val="16"/>
              </w:rPr>
              <w:t>87.5</w:t>
            </w:r>
          </w:p>
        </w:tc>
        <w:tc>
          <w:tcPr>
            <w:tcW w:w="756" w:type="dxa"/>
            <w:tcBorders>
              <w:top w:val="nil"/>
              <w:left w:val="nil"/>
              <w:bottom w:val="single" w:sz="4" w:space="0" w:color="auto"/>
              <w:right w:val="single" w:sz="4" w:space="0" w:color="auto"/>
            </w:tcBorders>
            <w:shd w:val="clear" w:color="000000" w:fill="FFFFFF"/>
            <w:noWrap/>
            <w:vAlign w:val="bottom"/>
            <w:hideMark/>
          </w:tcPr>
          <w:p w14:paraId="3A04E387" w14:textId="77777777" w:rsidR="00092D1D" w:rsidRPr="008C0A3D" w:rsidRDefault="00092D1D" w:rsidP="00845892">
            <w:pPr>
              <w:jc w:val="right"/>
              <w:rPr>
                <w:rFonts w:ascii="Sylfaen" w:hAnsi="Sylfaen" w:cs="Arial"/>
                <w:sz w:val="16"/>
              </w:rPr>
            </w:pPr>
            <w:r w:rsidRPr="008C0A3D">
              <w:rPr>
                <w:rFonts w:ascii="Sylfaen" w:hAnsi="Sylfaen" w:cs="Arial"/>
                <w:sz w:val="16"/>
              </w:rPr>
              <w:t>89.2</w:t>
            </w:r>
          </w:p>
        </w:tc>
        <w:tc>
          <w:tcPr>
            <w:tcW w:w="884" w:type="dxa"/>
            <w:tcBorders>
              <w:top w:val="nil"/>
              <w:left w:val="nil"/>
              <w:bottom w:val="single" w:sz="4" w:space="0" w:color="auto"/>
              <w:right w:val="single" w:sz="4" w:space="0" w:color="auto"/>
            </w:tcBorders>
            <w:shd w:val="clear" w:color="000000" w:fill="FFFFFF"/>
            <w:noWrap/>
            <w:vAlign w:val="bottom"/>
            <w:hideMark/>
          </w:tcPr>
          <w:p w14:paraId="68998E81" w14:textId="77777777" w:rsidR="00092D1D" w:rsidRPr="008C0A3D" w:rsidRDefault="00092D1D" w:rsidP="00845892">
            <w:pPr>
              <w:jc w:val="right"/>
              <w:rPr>
                <w:rFonts w:ascii="Sylfaen" w:hAnsi="Sylfaen" w:cs="Arial"/>
                <w:sz w:val="16"/>
              </w:rPr>
            </w:pPr>
            <w:r w:rsidRPr="008C0A3D">
              <w:rPr>
                <w:rFonts w:ascii="Sylfaen" w:hAnsi="Sylfaen" w:cs="Arial"/>
                <w:sz w:val="16"/>
              </w:rPr>
              <w:t>82.8</w:t>
            </w:r>
          </w:p>
        </w:tc>
        <w:tc>
          <w:tcPr>
            <w:tcW w:w="756" w:type="dxa"/>
            <w:tcBorders>
              <w:top w:val="nil"/>
              <w:left w:val="nil"/>
              <w:bottom w:val="single" w:sz="4" w:space="0" w:color="auto"/>
              <w:right w:val="single" w:sz="4" w:space="0" w:color="auto"/>
            </w:tcBorders>
            <w:shd w:val="clear" w:color="000000" w:fill="FFFFFF"/>
            <w:noWrap/>
            <w:vAlign w:val="bottom"/>
            <w:hideMark/>
          </w:tcPr>
          <w:p w14:paraId="65FCCA3F" w14:textId="77777777" w:rsidR="00092D1D" w:rsidRPr="008C0A3D" w:rsidRDefault="00092D1D" w:rsidP="00845892">
            <w:pPr>
              <w:jc w:val="right"/>
              <w:rPr>
                <w:rFonts w:ascii="Sylfaen" w:hAnsi="Sylfaen" w:cs="Arial"/>
                <w:sz w:val="16"/>
              </w:rPr>
            </w:pPr>
            <w:r w:rsidRPr="008C0A3D">
              <w:rPr>
                <w:rFonts w:ascii="Sylfaen" w:hAnsi="Sylfaen" w:cs="Arial"/>
                <w:sz w:val="16"/>
              </w:rPr>
              <w:t>87.2</w:t>
            </w:r>
          </w:p>
        </w:tc>
        <w:tc>
          <w:tcPr>
            <w:tcW w:w="756" w:type="dxa"/>
            <w:tcBorders>
              <w:top w:val="nil"/>
              <w:left w:val="nil"/>
              <w:bottom w:val="single" w:sz="4" w:space="0" w:color="auto"/>
              <w:right w:val="single" w:sz="4" w:space="0" w:color="auto"/>
            </w:tcBorders>
            <w:shd w:val="clear" w:color="000000" w:fill="FFFFFF"/>
            <w:noWrap/>
            <w:vAlign w:val="bottom"/>
            <w:hideMark/>
          </w:tcPr>
          <w:p w14:paraId="2DE7B57E" w14:textId="77777777" w:rsidR="00092D1D" w:rsidRPr="008C0A3D" w:rsidRDefault="00092D1D" w:rsidP="00845892">
            <w:pPr>
              <w:jc w:val="right"/>
              <w:rPr>
                <w:rFonts w:ascii="Sylfaen" w:hAnsi="Sylfaen" w:cs="Arial"/>
                <w:sz w:val="16"/>
              </w:rPr>
            </w:pPr>
            <w:r w:rsidRPr="008C0A3D">
              <w:rPr>
                <w:rFonts w:ascii="Sylfaen" w:hAnsi="Sylfaen" w:cs="Arial"/>
                <w:sz w:val="16"/>
              </w:rPr>
              <w:t>94.1</w:t>
            </w:r>
          </w:p>
        </w:tc>
        <w:tc>
          <w:tcPr>
            <w:tcW w:w="730" w:type="dxa"/>
            <w:tcBorders>
              <w:top w:val="nil"/>
              <w:left w:val="nil"/>
              <w:bottom w:val="single" w:sz="4" w:space="0" w:color="auto"/>
              <w:right w:val="single" w:sz="4" w:space="0" w:color="auto"/>
            </w:tcBorders>
            <w:shd w:val="clear" w:color="000000" w:fill="FFFFFF"/>
            <w:noWrap/>
            <w:vAlign w:val="bottom"/>
            <w:hideMark/>
          </w:tcPr>
          <w:p w14:paraId="2D2A7E1D" w14:textId="77777777" w:rsidR="00092D1D" w:rsidRPr="008C0A3D" w:rsidRDefault="00092D1D" w:rsidP="00845892">
            <w:pPr>
              <w:jc w:val="right"/>
              <w:rPr>
                <w:rFonts w:ascii="Sylfaen" w:hAnsi="Sylfaen" w:cs="Arial"/>
                <w:sz w:val="16"/>
              </w:rPr>
            </w:pPr>
            <w:r w:rsidRPr="008C0A3D">
              <w:rPr>
                <w:rFonts w:ascii="Sylfaen" w:hAnsi="Sylfaen" w:cs="Arial"/>
                <w:sz w:val="16"/>
              </w:rPr>
              <w:t>105.7</w:t>
            </w:r>
          </w:p>
        </w:tc>
        <w:tc>
          <w:tcPr>
            <w:tcW w:w="756" w:type="dxa"/>
            <w:tcBorders>
              <w:top w:val="nil"/>
              <w:left w:val="nil"/>
              <w:bottom w:val="single" w:sz="4" w:space="0" w:color="auto"/>
              <w:right w:val="single" w:sz="4" w:space="0" w:color="auto"/>
            </w:tcBorders>
            <w:shd w:val="clear" w:color="000000" w:fill="FFFFFF"/>
            <w:noWrap/>
            <w:vAlign w:val="bottom"/>
            <w:hideMark/>
          </w:tcPr>
          <w:p w14:paraId="5234E21F" w14:textId="77777777" w:rsidR="00092D1D" w:rsidRPr="008C0A3D" w:rsidRDefault="00092D1D" w:rsidP="00845892">
            <w:pPr>
              <w:jc w:val="right"/>
              <w:rPr>
                <w:rFonts w:ascii="Sylfaen" w:hAnsi="Sylfaen" w:cs="Arial"/>
                <w:sz w:val="16"/>
              </w:rPr>
            </w:pPr>
            <w:r w:rsidRPr="008C0A3D">
              <w:rPr>
                <w:rFonts w:ascii="Sylfaen" w:hAnsi="Sylfaen" w:cs="Arial"/>
                <w:sz w:val="16"/>
              </w:rPr>
              <w:t>123.2</w:t>
            </w:r>
          </w:p>
        </w:tc>
        <w:tc>
          <w:tcPr>
            <w:tcW w:w="756" w:type="dxa"/>
            <w:tcBorders>
              <w:top w:val="nil"/>
              <w:left w:val="nil"/>
              <w:bottom w:val="single" w:sz="4" w:space="0" w:color="auto"/>
              <w:right w:val="single" w:sz="4" w:space="0" w:color="auto"/>
            </w:tcBorders>
            <w:shd w:val="clear" w:color="000000" w:fill="FFFFFF"/>
            <w:noWrap/>
            <w:vAlign w:val="bottom"/>
            <w:hideMark/>
          </w:tcPr>
          <w:p w14:paraId="51D392F5" w14:textId="77777777" w:rsidR="00092D1D" w:rsidRPr="008C0A3D" w:rsidRDefault="00092D1D" w:rsidP="00845892">
            <w:pPr>
              <w:jc w:val="right"/>
              <w:rPr>
                <w:rFonts w:ascii="Sylfaen" w:hAnsi="Sylfaen" w:cs="Arial"/>
                <w:sz w:val="16"/>
              </w:rPr>
            </w:pPr>
            <w:r w:rsidRPr="008C0A3D">
              <w:rPr>
                <w:rFonts w:ascii="Sylfaen" w:hAnsi="Sylfaen" w:cs="Arial"/>
                <w:sz w:val="16"/>
              </w:rPr>
              <w:t>110.0</w:t>
            </w:r>
          </w:p>
        </w:tc>
        <w:tc>
          <w:tcPr>
            <w:tcW w:w="884" w:type="dxa"/>
            <w:tcBorders>
              <w:top w:val="nil"/>
              <w:left w:val="nil"/>
              <w:bottom w:val="single" w:sz="4" w:space="0" w:color="auto"/>
              <w:right w:val="single" w:sz="4" w:space="0" w:color="auto"/>
            </w:tcBorders>
            <w:shd w:val="clear" w:color="000000" w:fill="FFFFFF"/>
            <w:noWrap/>
            <w:vAlign w:val="bottom"/>
            <w:hideMark/>
          </w:tcPr>
          <w:p w14:paraId="3CB996B9" w14:textId="77777777" w:rsidR="00092D1D" w:rsidRPr="008C0A3D" w:rsidRDefault="00092D1D" w:rsidP="00845892">
            <w:pPr>
              <w:jc w:val="right"/>
              <w:rPr>
                <w:rFonts w:ascii="Sylfaen" w:hAnsi="Sylfaen" w:cs="Arial"/>
                <w:sz w:val="16"/>
              </w:rPr>
            </w:pPr>
            <w:r w:rsidRPr="008C0A3D">
              <w:rPr>
                <w:rFonts w:ascii="Sylfaen" w:hAnsi="Sylfaen" w:cs="Arial"/>
                <w:sz w:val="16"/>
              </w:rPr>
              <w:t>110.6</w:t>
            </w:r>
          </w:p>
        </w:tc>
        <w:tc>
          <w:tcPr>
            <w:tcW w:w="884" w:type="dxa"/>
            <w:tcBorders>
              <w:top w:val="nil"/>
              <w:left w:val="nil"/>
              <w:bottom w:val="single" w:sz="4" w:space="0" w:color="auto"/>
              <w:right w:val="single" w:sz="4" w:space="0" w:color="auto"/>
            </w:tcBorders>
            <w:shd w:val="clear" w:color="000000" w:fill="FFFFFF"/>
            <w:noWrap/>
            <w:vAlign w:val="bottom"/>
            <w:hideMark/>
          </w:tcPr>
          <w:p w14:paraId="36D80941" w14:textId="77777777" w:rsidR="00092D1D" w:rsidRPr="008C0A3D" w:rsidRDefault="00092D1D" w:rsidP="00845892">
            <w:pPr>
              <w:jc w:val="right"/>
              <w:rPr>
                <w:rFonts w:ascii="Sylfaen" w:hAnsi="Sylfaen" w:cs="Arial"/>
                <w:sz w:val="16"/>
              </w:rPr>
            </w:pPr>
            <w:r w:rsidRPr="008C0A3D">
              <w:rPr>
                <w:rFonts w:ascii="Sylfaen" w:hAnsi="Sylfaen" w:cs="Arial"/>
                <w:sz w:val="16"/>
              </w:rPr>
              <w:t>97.2</w:t>
            </w:r>
          </w:p>
        </w:tc>
      </w:tr>
      <w:tr w:rsidR="00092D1D" w:rsidRPr="008C0A3D" w14:paraId="0A5E67C7" w14:textId="77777777" w:rsidTr="008C0A3D">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168C6AB" w14:textId="77777777" w:rsidR="00092D1D" w:rsidRPr="008C0A3D" w:rsidRDefault="00092D1D" w:rsidP="00845892">
            <w:pPr>
              <w:rPr>
                <w:rFonts w:ascii="Sylfaen" w:hAnsi="Sylfaen" w:cs="Calibri"/>
                <w:color w:val="000000"/>
                <w:sz w:val="16"/>
              </w:rPr>
            </w:pPr>
            <w:r w:rsidRPr="008C0A3D">
              <w:rPr>
                <w:rFonts w:ascii="Sylfaen" w:hAnsi="Sylfaen" w:cs="Calibri"/>
                <w:color w:val="000000"/>
                <w:sz w:val="16"/>
              </w:rPr>
              <w:t xml:space="preserve">ფურისა და ფურკამეჩის სულადობა  </w:t>
            </w:r>
          </w:p>
        </w:tc>
        <w:tc>
          <w:tcPr>
            <w:tcW w:w="447" w:type="dxa"/>
            <w:tcBorders>
              <w:top w:val="nil"/>
              <w:left w:val="nil"/>
              <w:bottom w:val="single" w:sz="4" w:space="0" w:color="auto"/>
              <w:right w:val="single" w:sz="4" w:space="0" w:color="auto"/>
            </w:tcBorders>
            <w:shd w:val="clear" w:color="000000" w:fill="FFFFFF"/>
            <w:noWrap/>
            <w:vAlign w:val="bottom"/>
            <w:hideMark/>
          </w:tcPr>
          <w:p w14:paraId="7B9A5BBE" w14:textId="77777777" w:rsidR="00092D1D" w:rsidRPr="008C0A3D" w:rsidRDefault="00092D1D" w:rsidP="00845892">
            <w:pPr>
              <w:jc w:val="right"/>
              <w:rPr>
                <w:rFonts w:ascii="Sylfaen" w:hAnsi="Sylfaen" w:cs="Arial"/>
                <w:sz w:val="16"/>
              </w:rPr>
            </w:pPr>
            <w:r w:rsidRPr="008C0A3D">
              <w:rPr>
                <w:rFonts w:ascii="Sylfaen" w:hAnsi="Sylfaen" w:cs="Arial"/>
                <w:sz w:val="16"/>
              </w:rPr>
              <w:t>52.3</w:t>
            </w:r>
          </w:p>
        </w:tc>
        <w:tc>
          <w:tcPr>
            <w:tcW w:w="621" w:type="dxa"/>
            <w:tcBorders>
              <w:top w:val="nil"/>
              <w:left w:val="nil"/>
              <w:bottom w:val="single" w:sz="4" w:space="0" w:color="auto"/>
              <w:right w:val="single" w:sz="4" w:space="0" w:color="auto"/>
            </w:tcBorders>
            <w:shd w:val="clear" w:color="000000" w:fill="FFFFFF"/>
            <w:noWrap/>
            <w:vAlign w:val="bottom"/>
            <w:hideMark/>
          </w:tcPr>
          <w:p w14:paraId="6BBE8F1E" w14:textId="77777777" w:rsidR="00092D1D" w:rsidRPr="008C0A3D" w:rsidRDefault="00092D1D" w:rsidP="00845892">
            <w:pPr>
              <w:jc w:val="right"/>
              <w:rPr>
                <w:rFonts w:ascii="Sylfaen" w:hAnsi="Sylfaen" w:cs="Arial"/>
                <w:sz w:val="16"/>
              </w:rPr>
            </w:pPr>
            <w:r w:rsidRPr="008C0A3D">
              <w:rPr>
                <w:rFonts w:ascii="Sylfaen" w:hAnsi="Sylfaen" w:cs="Arial"/>
                <w:sz w:val="16"/>
              </w:rPr>
              <w:t>43.9</w:t>
            </w:r>
          </w:p>
        </w:tc>
        <w:tc>
          <w:tcPr>
            <w:tcW w:w="756" w:type="dxa"/>
            <w:tcBorders>
              <w:top w:val="nil"/>
              <w:left w:val="nil"/>
              <w:bottom w:val="single" w:sz="4" w:space="0" w:color="auto"/>
              <w:right w:val="single" w:sz="4" w:space="0" w:color="auto"/>
            </w:tcBorders>
            <w:shd w:val="clear" w:color="000000" w:fill="FFFFFF"/>
            <w:noWrap/>
            <w:vAlign w:val="bottom"/>
            <w:hideMark/>
          </w:tcPr>
          <w:p w14:paraId="08855EEC" w14:textId="77777777" w:rsidR="00092D1D" w:rsidRPr="008C0A3D" w:rsidRDefault="00092D1D" w:rsidP="00845892">
            <w:pPr>
              <w:jc w:val="right"/>
              <w:rPr>
                <w:rFonts w:ascii="Sylfaen" w:hAnsi="Sylfaen" w:cs="Arial"/>
                <w:sz w:val="16"/>
              </w:rPr>
            </w:pPr>
            <w:r w:rsidRPr="008C0A3D">
              <w:rPr>
                <w:rFonts w:ascii="Sylfaen" w:hAnsi="Sylfaen" w:cs="Arial"/>
                <w:sz w:val="16"/>
              </w:rPr>
              <w:t>49.3</w:t>
            </w:r>
          </w:p>
        </w:tc>
        <w:tc>
          <w:tcPr>
            <w:tcW w:w="884" w:type="dxa"/>
            <w:tcBorders>
              <w:top w:val="nil"/>
              <w:left w:val="nil"/>
              <w:bottom w:val="single" w:sz="4" w:space="0" w:color="auto"/>
              <w:right w:val="single" w:sz="4" w:space="0" w:color="auto"/>
            </w:tcBorders>
            <w:shd w:val="clear" w:color="000000" w:fill="FFFFFF"/>
            <w:noWrap/>
            <w:vAlign w:val="bottom"/>
            <w:hideMark/>
          </w:tcPr>
          <w:p w14:paraId="7F97424C" w14:textId="77777777" w:rsidR="00092D1D" w:rsidRPr="008C0A3D" w:rsidRDefault="00092D1D" w:rsidP="00845892">
            <w:pPr>
              <w:jc w:val="right"/>
              <w:rPr>
                <w:rFonts w:ascii="Sylfaen" w:hAnsi="Sylfaen" w:cs="Arial"/>
                <w:sz w:val="16"/>
              </w:rPr>
            </w:pPr>
            <w:r w:rsidRPr="008C0A3D">
              <w:rPr>
                <w:rFonts w:ascii="Sylfaen" w:hAnsi="Sylfaen" w:cs="Arial"/>
                <w:sz w:val="16"/>
              </w:rPr>
              <w:t>48.2</w:t>
            </w:r>
          </w:p>
        </w:tc>
        <w:tc>
          <w:tcPr>
            <w:tcW w:w="756" w:type="dxa"/>
            <w:tcBorders>
              <w:top w:val="nil"/>
              <w:left w:val="nil"/>
              <w:bottom w:val="single" w:sz="4" w:space="0" w:color="auto"/>
              <w:right w:val="single" w:sz="4" w:space="0" w:color="auto"/>
            </w:tcBorders>
            <w:shd w:val="clear" w:color="000000" w:fill="FFFFFF"/>
            <w:noWrap/>
            <w:vAlign w:val="bottom"/>
            <w:hideMark/>
          </w:tcPr>
          <w:p w14:paraId="68D75126" w14:textId="77777777" w:rsidR="00092D1D" w:rsidRPr="008C0A3D" w:rsidRDefault="00092D1D" w:rsidP="00845892">
            <w:pPr>
              <w:jc w:val="right"/>
              <w:rPr>
                <w:rFonts w:ascii="Sylfaen" w:hAnsi="Sylfaen" w:cs="Arial"/>
                <w:sz w:val="16"/>
              </w:rPr>
            </w:pPr>
            <w:r w:rsidRPr="008C0A3D">
              <w:rPr>
                <w:rFonts w:ascii="Sylfaen" w:hAnsi="Sylfaen" w:cs="Arial"/>
                <w:sz w:val="16"/>
              </w:rPr>
              <w:t>47.3</w:t>
            </w:r>
          </w:p>
        </w:tc>
        <w:tc>
          <w:tcPr>
            <w:tcW w:w="756" w:type="dxa"/>
            <w:tcBorders>
              <w:top w:val="nil"/>
              <w:left w:val="nil"/>
              <w:bottom w:val="single" w:sz="4" w:space="0" w:color="auto"/>
              <w:right w:val="single" w:sz="4" w:space="0" w:color="auto"/>
            </w:tcBorders>
            <w:shd w:val="clear" w:color="000000" w:fill="FFFFFF"/>
            <w:noWrap/>
            <w:vAlign w:val="bottom"/>
            <w:hideMark/>
          </w:tcPr>
          <w:p w14:paraId="2750FC3E" w14:textId="77777777" w:rsidR="00092D1D" w:rsidRPr="008C0A3D" w:rsidRDefault="00092D1D" w:rsidP="00845892">
            <w:pPr>
              <w:jc w:val="right"/>
              <w:rPr>
                <w:rFonts w:ascii="Sylfaen" w:hAnsi="Sylfaen" w:cs="Arial"/>
                <w:sz w:val="16"/>
              </w:rPr>
            </w:pPr>
            <w:r w:rsidRPr="008C0A3D">
              <w:rPr>
                <w:rFonts w:ascii="Sylfaen" w:hAnsi="Sylfaen" w:cs="Arial"/>
                <w:sz w:val="16"/>
              </w:rPr>
              <w:t>49.4</w:t>
            </w:r>
          </w:p>
        </w:tc>
        <w:tc>
          <w:tcPr>
            <w:tcW w:w="730" w:type="dxa"/>
            <w:tcBorders>
              <w:top w:val="nil"/>
              <w:left w:val="nil"/>
              <w:bottom w:val="single" w:sz="4" w:space="0" w:color="auto"/>
              <w:right w:val="single" w:sz="4" w:space="0" w:color="auto"/>
            </w:tcBorders>
            <w:shd w:val="clear" w:color="000000" w:fill="FFFFFF"/>
            <w:noWrap/>
            <w:vAlign w:val="bottom"/>
            <w:hideMark/>
          </w:tcPr>
          <w:p w14:paraId="68E99D67" w14:textId="77777777" w:rsidR="00092D1D" w:rsidRPr="008C0A3D" w:rsidRDefault="00092D1D" w:rsidP="00845892">
            <w:pPr>
              <w:jc w:val="right"/>
              <w:rPr>
                <w:rFonts w:ascii="Sylfaen" w:hAnsi="Sylfaen" w:cs="Arial"/>
                <w:sz w:val="16"/>
              </w:rPr>
            </w:pPr>
            <w:r w:rsidRPr="008C0A3D">
              <w:rPr>
                <w:rFonts w:ascii="Sylfaen" w:hAnsi="Sylfaen" w:cs="Arial"/>
                <w:sz w:val="16"/>
              </w:rPr>
              <w:t>53.9</w:t>
            </w:r>
          </w:p>
        </w:tc>
        <w:tc>
          <w:tcPr>
            <w:tcW w:w="756" w:type="dxa"/>
            <w:tcBorders>
              <w:top w:val="nil"/>
              <w:left w:val="nil"/>
              <w:bottom w:val="single" w:sz="4" w:space="0" w:color="auto"/>
              <w:right w:val="single" w:sz="4" w:space="0" w:color="auto"/>
            </w:tcBorders>
            <w:shd w:val="clear" w:color="000000" w:fill="FFFFFF"/>
            <w:noWrap/>
            <w:vAlign w:val="bottom"/>
            <w:hideMark/>
          </w:tcPr>
          <w:p w14:paraId="6548722D" w14:textId="77777777" w:rsidR="00092D1D" w:rsidRPr="008C0A3D" w:rsidRDefault="00092D1D" w:rsidP="00845892">
            <w:pPr>
              <w:jc w:val="right"/>
              <w:rPr>
                <w:rFonts w:ascii="Sylfaen" w:hAnsi="Sylfaen" w:cs="Arial"/>
                <w:sz w:val="16"/>
              </w:rPr>
            </w:pPr>
            <w:r w:rsidRPr="008C0A3D">
              <w:rPr>
                <w:rFonts w:ascii="Sylfaen" w:hAnsi="Sylfaen" w:cs="Arial"/>
                <w:sz w:val="16"/>
              </w:rPr>
              <w:t>63.0</w:t>
            </w:r>
          </w:p>
        </w:tc>
        <w:tc>
          <w:tcPr>
            <w:tcW w:w="756" w:type="dxa"/>
            <w:tcBorders>
              <w:top w:val="nil"/>
              <w:left w:val="nil"/>
              <w:bottom w:val="single" w:sz="4" w:space="0" w:color="auto"/>
              <w:right w:val="single" w:sz="4" w:space="0" w:color="auto"/>
            </w:tcBorders>
            <w:shd w:val="clear" w:color="000000" w:fill="FFFFFF"/>
            <w:noWrap/>
            <w:vAlign w:val="bottom"/>
            <w:hideMark/>
          </w:tcPr>
          <w:p w14:paraId="2751088F" w14:textId="77777777" w:rsidR="00092D1D" w:rsidRPr="008C0A3D" w:rsidRDefault="00092D1D" w:rsidP="00845892">
            <w:pPr>
              <w:jc w:val="right"/>
              <w:rPr>
                <w:rFonts w:ascii="Sylfaen" w:hAnsi="Sylfaen" w:cs="Arial"/>
                <w:sz w:val="16"/>
              </w:rPr>
            </w:pPr>
            <w:r w:rsidRPr="008C0A3D">
              <w:rPr>
                <w:rFonts w:ascii="Sylfaen" w:hAnsi="Sylfaen" w:cs="Arial"/>
                <w:sz w:val="16"/>
              </w:rPr>
              <w:t>58.0</w:t>
            </w:r>
          </w:p>
        </w:tc>
        <w:tc>
          <w:tcPr>
            <w:tcW w:w="884" w:type="dxa"/>
            <w:tcBorders>
              <w:top w:val="nil"/>
              <w:left w:val="nil"/>
              <w:bottom w:val="single" w:sz="4" w:space="0" w:color="auto"/>
              <w:right w:val="single" w:sz="4" w:space="0" w:color="auto"/>
            </w:tcBorders>
            <w:shd w:val="clear" w:color="000000" w:fill="FFFFFF"/>
            <w:noWrap/>
            <w:vAlign w:val="bottom"/>
            <w:hideMark/>
          </w:tcPr>
          <w:p w14:paraId="6AC2121D" w14:textId="77777777" w:rsidR="00092D1D" w:rsidRPr="008C0A3D" w:rsidRDefault="00092D1D" w:rsidP="00845892">
            <w:pPr>
              <w:jc w:val="right"/>
              <w:rPr>
                <w:rFonts w:ascii="Sylfaen" w:hAnsi="Sylfaen" w:cs="Arial"/>
                <w:sz w:val="16"/>
              </w:rPr>
            </w:pPr>
            <w:r w:rsidRPr="008C0A3D">
              <w:rPr>
                <w:rFonts w:ascii="Sylfaen" w:hAnsi="Sylfaen" w:cs="Arial"/>
                <w:sz w:val="16"/>
              </w:rPr>
              <w:t>60.7</w:t>
            </w:r>
          </w:p>
        </w:tc>
        <w:tc>
          <w:tcPr>
            <w:tcW w:w="884" w:type="dxa"/>
            <w:tcBorders>
              <w:top w:val="nil"/>
              <w:left w:val="nil"/>
              <w:bottom w:val="single" w:sz="4" w:space="0" w:color="auto"/>
              <w:right w:val="single" w:sz="4" w:space="0" w:color="auto"/>
            </w:tcBorders>
            <w:shd w:val="clear" w:color="000000" w:fill="FFFFFF"/>
            <w:noWrap/>
            <w:vAlign w:val="bottom"/>
            <w:hideMark/>
          </w:tcPr>
          <w:p w14:paraId="323DDD45" w14:textId="77777777" w:rsidR="00092D1D" w:rsidRPr="008C0A3D" w:rsidRDefault="00092D1D" w:rsidP="00845892">
            <w:pPr>
              <w:jc w:val="right"/>
              <w:rPr>
                <w:rFonts w:ascii="Sylfaen" w:hAnsi="Sylfaen" w:cs="Arial"/>
                <w:sz w:val="16"/>
              </w:rPr>
            </w:pPr>
            <w:r w:rsidRPr="008C0A3D">
              <w:rPr>
                <w:rFonts w:ascii="Sylfaen" w:hAnsi="Sylfaen" w:cs="Arial"/>
                <w:sz w:val="16"/>
              </w:rPr>
              <w:t>49.3</w:t>
            </w:r>
          </w:p>
        </w:tc>
      </w:tr>
      <w:tr w:rsidR="00092D1D" w:rsidRPr="008C0A3D" w14:paraId="769FC916" w14:textId="77777777" w:rsidTr="008C0A3D">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62BFEA40" w14:textId="77777777" w:rsidR="00092D1D" w:rsidRPr="008C0A3D" w:rsidRDefault="00092D1D" w:rsidP="00845892">
            <w:pPr>
              <w:rPr>
                <w:rFonts w:ascii="Sylfaen" w:hAnsi="Sylfaen" w:cs="Calibri"/>
                <w:color w:val="000000"/>
                <w:sz w:val="16"/>
              </w:rPr>
            </w:pPr>
            <w:r w:rsidRPr="008C0A3D">
              <w:rPr>
                <w:rFonts w:ascii="Sylfaen" w:hAnsi="Sylfaen" w:cs="Calibri"/>
                <w:color w:val="000000"/>
                <w:sz w:val="16"/>
              </w:rPr>
              <w:t xml:space="preserve">ღორის სულადობა  </w:t>
            </w:r>
          </w:p>
        </w:tc>
        <w:tc>
          <w:tcPr>
            <w:tcW w:w="447" w:type="dxa"/>
            <w:tcBorders>
              <w:top w:val="nil"/>
              <w:left w:val="nil"/>
              <w:bottom w:val="single" w:sz="4" w:space="0" w:color="auto"/>
              <w:right w:val="single" w:sz="4" w:space="0" w:color="auto"/>
            </w:tcBorders>
            <w:shd w:val="clear" w:color="000000" w:fill="FFFFFF"/>
            <w:noWrap/>
            <w:vAlign w:val="bottom"/>
            <w:hideMark/>
          </w:tcPr>
          <w:p w14:paraId="778A727D" w14:textId="77777777" w:rsidR="00092D1D" w:rsidRPr="008C0A3D" w:rsidRDefault="00092D1D" w:rsidP="00845892">
            <w:pPr>
              <w:jc w:val="right"/>
              <w:rPr>
                <w:rFonts w:ascii="Sylfaen" w:hAnsi="Sylfaen" w:cs="Arial"/>
                <w:sz w:val="16"/>
              </w:rPr>
            </w:pPr>
            <w:r w:rsidRPr="008C0A3D">
              <w:rPr>
                <w:rFonts w:ascii="Sylfaen" w:hAnsi="Sylfaen" w:cs="Arial"/>
                <w:sz w:val="16"/>
              </w:rPr>
              <w:t>46.8</w:t>
            </w:r>
          </w:p>
        </w:tc>
        <w:tc>
          <w:tcPr>
            <w:tcW w:w="621" w:type="dxa"/>
            <w:tcBorders>
              <w:top w:val="nil"/>
              <w:left w:val="nil"/>
              <w:bottom w:val="single" w:sz="4" w:space="0" w:color="auto"/>
              <w:right w:val="single" w:sz="4" w:space="0" w:color="auto"/>
            </w:tcBorders>
            <w:shd w:val="clear" w:color="000000" w:fill="FFFFFF"/>
            <w:noWrap/>
            <w:vAlign w:val="bottom"/>
            <w:hideMark/>
          </w:tcPr>
          <w:p w14:paraId="15570C11" w14:textId="77777777" w:rsidR="00092D1D" w:rsidRPr="008C0A3D" w:rsidRDefault="00092D1D" w:rsidP="00845892">
            <w:pPr>
              <w:jc w:val="right"/>
              <w:rPr>
                <w:rFonts w:ascii="Sylfaen" w:hAnsi="Sylfaen" w:cs="Arial"/>
                <w:sz w:val="16"/>
              </w:rPr>
            </w:pPr>
            <w:r w:rsidRPr="008C0A3D">
              <w:rPr>
                <w:rFonts w:ascii="Sylfaen" w:hAnsi="Sylfaen" w:cs="Arial"/>
                <w:sz w:val="16"/>
              </w:rPr>
              <w:t>7.4</w:t>
            </w:r>
          </w:p>
        </w:tc>
        <w:tc>
          <w:tcPr>
            <w:tcW w:w="756" w:type="dxa"/>
            <w:tcBorders>
              <w:top w:val="nil"/>
              <w:left w:val="nil"/>
              <w:bottom w:val="single" w:sz="4" w:space="0" w:color="auto"/>
              <w:right w:val="single" w:sz="4" w:space="0" w:color="auto"/>
            </w:tcBorders>
            <w:shd w:val="clear" w:color="000000" w:fill="FFFFFF"/>
            <w:noWrap/>
            <w:vAlign w:val="bottom"/>
            <w:hideMark/>
          </w:tcPr>
          <w:p w14:paraId="477695F5" w14:textId="77777777" w:rsidR="00092D1D" w:rsidRPr="008C0A3D" w:rsidRDefault="00092D1D" w:rsidP="00845892">
            <w:pPr>
              <w:jc w:val="right"/>
              <w:rPr>
                <w:rFonts w:ascii="Sylfaen" w:hAnsi="Sylfaen" w:cs="Arial"/>
                <w:sz w:val="16"/>
              </w:rPr>
            </w:pPr>
            <w:r w:rsidRPr="008C0A3D">
              <w:rPr>
                <w:rFonts w:ascii="Sylfaen" w:hAnsi="Sylfaen" w:cs="Arial"/>
                <w:sz w:val="16"/>
              </w:rPr>
              <w:t>10.4</w:t>
            </w:r>
          </w:p>
        </w:tc>
        <w:tc>
          <w:tcPr>
            <w:tcW w:w="884" w:type="dxa"/>
            <w:tcBorders>
              <w:top w:val="nil"/>
              <w:left w:val="nil"/>
              <w:bottom w:val="single" w:sz="4" w:space="0" w:color="auto"/>
              <w:right w:val="single" w:sz="4" w:space="0" w:color="auto"/>
            </w:tcBorders>
            <w:shd w:val="clear" w:color="000000" w:fill="FFFFFF"/>
            <w:noWrap/>
            <w:vAlign w:val="bottom"/>
            <w:hideMark/>
          </w:tcPr>
          <w:p w14:paraId="2B63B12C" w14:textId="77777777" w:rsidR="00092D1D" w:rsidRPr="008C0A3D" w:rsidRDefault="00092D1D" w:rsidP="00845892">
            <w:pPr>
              <w:jc w:val="right"/>
              <w:rPr>
                <w:rFonts w:ascii="Sylfaen" w:hAnsi="Sylfaen" w:cs="Arial"/>
                <w:sz w:val="16"/>
              </w:rPr>
            </w:pPr>
            <w:r w:rsidRPr="008C0A3D">
              <w:rPr>
                <w:rFonts w:ascii="Sylfaen" w:hAnsi="Sylfaen" w:cs="Arial"/>
                <w:sz w:val="16"/>
              </w:rPr>
              <w:t>22.8</w:t>
            </w:r>
          </w:p>
        </w:tc>
        <w:tc>
          <w:tcPr>
            <w:tcW w:w="756" w:type="dxa"/>
            <w:tcBorders>
              <w:top w:val="nil"/>
              <w:left w:val="nil"/>
              <w:bottom w:val="single" w:sz="4" w:space="0" w:color="auto"/>
              <w:right w:val="single" w:sz="4" w:space="0" w:color="auto"/>
            </w:tcBorders>
            <w:shd w:val="clear" w:color="000000" w:fill="FFFFFF"/>
            <w:noWrap/>
            <w:vAlign w:val="bottom"/>
            <w:hideMark/>
          </w:tcPr>
          <w:p w14:paraId="2A909E4E" w14:textId="77777777" w:rsidR="00092D1D" w:rsidRPr="008C0A3D" w:rsidRDefault="00092D1D" w:rsidP="00845892">
            <w:pPr>
              <w:jc w:val="right"/>
              <w:rPr>
                <w:rFonts w:ascii="Sylfaen" w:hAnsi="Sylfaen" w:cs="Arial"/>
                <w:sz w:val="16"/>
              </w:rPr>
            </w:pPr>
            <w:r w:rsidRPr="008C0A3D">
              <w:rPr>
                <w:rFonts w:ascii="Sylfaen" w:hAnsi="Sylfaen" w:cs="Arial"/>
                <w:sz w:val="16"/>
              </w:rPr>
              <w:t>14.6</w:t>
            </w:r>
          </w:p>
        </w:tc>
        <w:tc>
          <w:tcPr>
            <w:tcW w:w="756" w:type="dxa"/>
            <w:tcBorders>
              <w:top w:val="nil"/>
              <w:left w:val="nil"/>
              <w:bottom w:val="single" w:sz="4" w:space="0" w:color="auto"/>
              <w:right w:val="single" w:sz="4" w:space="0" w:color="auto"/>
            </w:tcBorders>
            <w:shd w:val="clear" w:color="000000" w:fill="FFFFFF"/>
            <w:noWrap/>
            <w:vAlign w:val="bottom"/>
            <w:hideMark/>
          </w:tcPr>
          <w:p w14:paraId="0915EE75" w14:textId="77777777" w:rsidR="00092D1D" w:rsidRPr="008C0A3D" w:rsidRDefault="00092D1D" w:rsidP="00845892">
            <w:pPr>
              <w:jc w:val="right"/>
              <w:rPr>
                <w:rFonts w:ascii="Sylfaen" w:hAnsi="Sylfaen" w:cs="Arial"/>
                <w:sz w:val="16"/>
              </w:rPr>
            </w:pPr>
            <w:r w:rsidRPr="008C0A3D">
              <w:rPr>
                <w:rFonts w:ascii="Sylfaen" w:hAnsi="Sylfaen" w:cs="Arial"/>
                <w:sz w:val="16"/>
              </w:rPr>
              <w:t>15.3</w:t>
            </w:r>
          </w:p>
        </w:tc>
        <w:tc>
          <w:tcPr>
            <w:tcW w:w="730" w:type="dxa"/>
            <w:tcBorders>
              <w:top w:val="nil"/>
              <w:left w:val="nil"/>
              <w:bottom w:val="single" w:sz="4" w:space="0" w:color="auto"/>
              <w:right w:val="single" w:sz="4" w:space="0" w:color="auto"/>
            </w:tcBorders>
            <w:shd w:val="clear" w:color="000000" w:fill="FFFFFF"/>
            <w:noWrap/>
            <w:vAlign w:val="bottom"/>
            <w:hideMark/>
          </w:tcPr>
          <w:p w14:paraId="2969A2FF" w14:textId="77777777" w:rsidR="00092D1D" w:rsidRPr="008C0A3D" w:rsidRDefault="00092D1D" w:rsidP="00845892">
            <w:pPr>
              <w:jc w:val="right"/>
              <w:rPr>
                <w:rFonts w:ascii="Sylfaen" w:hAnsi="Sylfaen" w:cs="Arial"/>
                <w:sz w:val="16"/>
              </w:rPr>
            </w:pPr>
            <w:r w:rsidRPr="008C0A3D">
              <w:rPr>
                <w:rFonts w:ascii="Sylfaen" w:hAnsi="Sylfaen" w:cs="Arial"/>
                <w:sz w:val="16"/>
              </w:rPr>
              <w:t>25.5</w:t>
            </w:r>
          </w:p>
        </w:tc>
        <w:tc>
          <w:tcPr>
            <w:tcW w:w="756" w:type="dxa"/>
            <w:tcBorders>
              <w:top w:val="nil"/>
              <w:left w:val="nil"/>
              <w:bottom w:val="single" w:sz="4" w:space="0" w:color="auto"/>
              <w:right w:val="single" w:sz="4" w:space="0" w:color="auto"/>
            </w:tcBorders>
            <w:shd w:val="clear" w:color="000000" w:fill="FFFFFF"/>
            <w:noWrap/>
            <w:vAlign w:val="bottom"/>
            <w:hideMark/>
          </w:tcPr>
          <w:p w14:paraId="549ED5B8" w14:textId="77777777" w:rsidR="00092D1D" w:rsidRPr="008C0A3D" w:rsidRDefault="00092D1D" w:rsidP="00845892">
            <w:pPr>
              <w:jc w:val="right"/>
              <w:rPr>
                <w:rFonts w:ascii="Sylfaen" w:hAnsi="Sylfaen" w:cs="Arial"/>
                <w:sz w:val="16"/>
              </w:rPr>
            </w:pPr>
            <w:r w:rsidRPr="008C0A3D">
              <w:rPr>
                <w:rFonts w:ascii="Sylfaen" w:hAnsi="Sylfaen" w:cs="Arial"/>
                <w:sz w:val="16"/>
              </w:rPr>
              <w:t>35.3</w:t>
            </w:r>
          </w:p>
        </w:tc>
        <w:tc>
          <w:tcPr>
            <w:tcW w:w="756" w:type="dxa"/>
            <w:tcBorders>
              <w:top w:val="nil"/>
              <w:left w:val="nil"/>
              <w:bottom w:val="single" w:sz="4" w:space="0" w:color="auto"/>
              <w:right w:val="single" w:sz="4" w:space="0" w:color="auto"/>
            </w:tcBorders>
            <w:shd w:val="clear" w:color="000000" w:fill="FFFFFF"/>
            <w:noWrap/>
            <w:vAlign w:val="bottom"/>
            <w:hideMark/>
          </w:tcPr>
          <w:p w14:paraId="6C79DFD0" w14:textId="77777777" w:rsidR="00092D1D" w:rsidRPr="008C0A3D" w:rsidRDefault="00092D1D" w:rsidP="00845892">
            <w:pPr>
              <w:jc w:val="right"/>
              <w:rPr>
                <w:rFonts w:ascii="Sylfaen" w:hAnsi="Sylfaen" w:cs="Arial"/>
                <w:sz w:val="16"/>
              </w:rPr>
            </w:pPr>
            <w:r w:rsidRPr="008C0A3D">
              <w:rPr>
                <w:rFonts w:ascii="Sylfaen" w:hAnsi="Sylfaen" w:cs="Arial"/>
                <w:sz w:val="16"/>
              </w:rPr>
              <w:t>30.1</w:t>
            </w:r>
          </w:p>
        </w:tc>
        <w:tc>
          <w:tcPr>
            <w:tcW w:w="884" w:type="dxa"/>
            <w:tcBorders>
              <w:top w:val="nil"/>
              <w:left w:val="nil"/>
              <w:bottom w:val="single" w:sz="4" w:space="0" w:color="auto"/>
              <w:right w:val="single" w:sz="4" w:space="0" w:color="auto"/>
            </w:tcBorders>
            <w:shd w:val="clear" w:color="000000" w:fill="FFFFFF"/>
            <w:noWrap/>
            <w:vAlign w:val="bottom"/>
            <w:hideMark/>
          </w:tcPr>
          <w:p w14:paraId="1A8C24F4" w14:textId="77777777" w:rsidR="00092D1D" w:rsidRPr="008C0A3D" w:rsidRDefault="00092D1D" w:rsidP="00845892">
            <w:pPr>
              <w:jc w:val="right"/>
              <w:rPr>
                <w:rFonts w:ascii="Sylfaen" w:hAnsi="Sylfaen" w:cs="Arial"/>
                <w:sz w:val="16"/>
              </w:rPr>
            </w:pPr>
            <w:r w:rsidRPr="008C0A3D">
              <w:rPr>
                <w:rFonts w:ascii="Sylfaen" w:hAnsi="Sylfaen" w:cs="Arial"/>
                <w:sz w:val="16"/>
              </w:rPr>
              <w:t>27.3</w:t>
            </w:r>
          </w:p>
        </w:tc>
        <w:tc>
          <w:tcPr>
            <w:tcW w:w="884" w:type="dxa"/>
            <w:tcBorders>
              <w:top w:val="nil"/>
              <w:left w:val="nil"/>
              <w:bottom w:val="single" w:sz="4" w:space="0" w:color="auto"/>
              <w:right w:val="single" w:sz="4" w:space="0" w:color="auto"/>
            </w:tcBorders>
            <w:shd w:val="clear" w:color="000000" w:fill="FFFFFF"/>
            <w:noWrap/>
            <w:vAlign w:val="bottom"/>
            <w:hideMark/>
          </w:tcPr>
          <w:p w14:paraId="0D7257D2" w14:textId="77777777" w:rsidR="00092D1D" w:rsidRPr="008C0A3D" w:rsidRDefault="00092D1D" w:rsidP="00845892">
            <w:pPr>
              <w:jc w:val="right"/>
              <w:rPr>
                <w:rFonts w:ascii="Sylfaen" w:hAnsi="Sylfaen" w:cs="Arial"/>
                <w:sz w:val="16"/>
              </w:rPr>
            </w:pPr>
            <w:r w:rsidRPr="008C0A3D">
              <w:rPr>
                <w:rFonts w:ascii="Sylfaen" w:hAnsi="Sylfaen" w:cs="Arial"/>
                <w:sz w:val="16"/>
              </w:rPr>
              <w:t>25.5</w:t>
            </w:r>
          </w:p>
        </w:tc>
      </w:tr>
      <w:tr w:rsidR="00092D1D" w:rsidRPr="008C0A3D" w14:paraId="7B0B231F" w14:textId="77777777" w:rsidTr="008C0A3D">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6AF23ADD" w14:textId="77777777" w:rsidR="00092D1D" w:rsidRPr="008C0A3D" w:rsidRDefault="00092D1D" w:rsidP="00845892">
            <w:pPr>
              <w:rPr>
                <w:rFonts w:ascii="Sylfaen" w:hAnsi="Sylfaen" w:cs="Calibri"/>
                <w:color w:val="000000"/>
                <w:sz w:val="16"/>
              </w:rPr>
            </w:pPr>
            <w:r w:rsidRPr="008C0A3D">
              <w:rPr>
                <w:rFonts w:ascii="Sylfaen" w:hAnsi="Sylfaen" w:cs="Calibri"/>
                <w:color w:val="000000"/>
                <w:sz w:val="16"/>
              </w:rPr>
              <w:t xml:space="preserve">დედა ღორის სულადობა  </w:t>
            </w:r>
          </w:p>
        </w:tc>
        <w:tc>
          <w:tcPr>
            <w:tcW w:w="447" w:type="dxa"/>
            <w:tcBorders>
              <w:top w:val="nil"/>
              <w:left w:val="nil"/>
              <w:bottom w:val="single" w:sz="4" w:space="0" w:color="auto"/>
              <w:right w:val="single" w:sz="4" w:space="0" w:color="auto"/>
            </w:tcBorders>
            <w:shd w:val="clear" w:color="000000" w:fill="FFFFFF"/>
            <w:noWrap/>
            <w:vAlign w:val="bottom"/>
            <w:hideMark/>
          </w:tcPr>
          <w:p w14:paraId="69C92373" w14:textId="77777777" w:rsidR="00092D1D" w:rsidRPr="008C0A3D" w:rsidRDefault="00092D1D" w:rsidP="00845892">
            <w:pPr>
              <w:jc w:val="right"/>
              <w:rPr>
                <w:rFonts w:ascii="Sylfaen" w:hAnsi="Sylfaen" w:cs="Arial"/>
                <w:sz w:val="16"/>
              </w:rPr>
            </w:pPr>
            <w:r w:rsidRPr="008C0A3D">
              <w:rPr>
                <w:rFonts w:ascii="Sylfaen" w:hAnsi="Sylfaen" w:cs="Arial"/>
                <w:sz w:val="16"/>
              </w:rPr>
              <w:t>10.2</w:t>
            </w:r>
          </w:p>
        </w:tc>
        <w:tc>
          <w:tcPr>
            <w:tcW w:w="621" w:type="dxa"/>
            <w:tcBorders>
              <w:top w:val="nil"/>
              <w:left w:val="nil"/>
              <w:bottom w:val="single" w:sz="4" w:space="0" w:color="auto"/>
              <w:right w:val="single" w:sz="4" w:space="0" w:color="auto"/>
            </w:tcBorders>
            <w:shd w:val="clear" w:color="000000" w:fill="FFFFFF"/>
            <w:noWrap/>
            <w:vAlign w:val="bottom"/>
            <w:hideMark/>
          </w:tcPr>
          <w:p w14:paraId="6461D3A8" w14:textId="77777777" w:rsidR="00092D1D" w:rsidRPr="008C0A3D" w:rsidRDefault="00092D1D" w:rsidP="00845892">
            <w:pPr>
              <w:jc w:val="right"/>
              <w:rPr>
                <w:rFonts w:ascii="Sylfaen" w:hAnsi="Sylfaen" w:cs="Arial"/>
                <w:sz w:val="16"/>
              </w:rPr>
            </w:pPr>
            <w:r w:rsidRPr="008C0A3D">
              <w:rPr>
                <w:rFonts w:ascii="Sylfaen" w:hAnsi="Sylfaen" w:cs="Arial"/>
                <w:sz w:val="16"/>
              </w:rPr>
              <w:t>1.2</w:t>
            </w:r>
          </w:p>
        </w:tc>
        <w:tc>
          <w:tcPr>
            <w:tcW w:w="756" w:type="dxa"/>
            <w:tcBorders>
              <w:top w:val="nil"/>
              <w:left w:val="nil"/>
              <w:bottom w:val="single" w:sz="4" w:space="0" w:color="auto"/>
              <w:right w:val="single" w:sz="4" w:space="0" w:color="auto"/>
            </w:tcBorders>
            <w:shd w:val="clear" w:color="000000" w:fill="FFFFFF"/>
            <w:noWrap/>
            <w:vAlign w:val="bottom"/>
            <w:hideMark/>
          </w:tcPr>
          <w:p w14:paraId="1801CEEB" w14:textId="77777777" w:rsidR="00092D1D" w:rsidRPr="008C0A3D" w:rsidRDefault="00092D1D" w:rsidP="00845892">
            <w:pPr>
              <w:jc w:val="right"/>
              <w:rPr>
                <w:rFonts w:ascii="Sylfaen" w:hAnsi="Sylfaen" w:cs="Arial"/>
                <w:sz w:val="16"/>
              </w:rPr>
            </w:pPr>
            <w:r w:rsidRPr="008C0A3D">
              <w:rPr>
                <w:rFonts w:ascii="Sylfaen" w:hAnsi="Sylfaen" w:cs="Arial"/>
                <w:sz w:val="16"/>
              </w:rPr>
              <w:t>2.5</w:t>
            </w:r>
          </w:p>
        </w:tc>
        <w:tc>
          <w:tcPr>
            <w:tcW w:w="884" w:type="dxa"/>
            <w:tcBorders>
              <w:top w:val="nil"/>
              <w:left w:val="nil"/>
              <w:bottom w:val="single" w:sz="4" w:space="0" w:color="auto"/>
              <w:right w:val="single" w:sz="4" w:space="0" w:color="auto"/>
            </w:tcBorders>
            <w:shd w:val="clear" w:color="000000" w:fill="FFFFFF"/>
            <w:noWrap/>
            <w:vAlign w:val="bottom"/>
            <w:hideMark/>
          </w:tcPr>
          <w:p w14:paraId="186BBCA7" w14:textId="77777777" w:rsidR="00092D1D" w:rsidRPr="008C0A3D" w:rsidRDefault="00092D1D" w:rsidP="00845892">
            <w:pPr>
              <w:jc w:val="right"/>
              <w:rPr>
                <w:rFonts w:ascii="Sylfaen" w:hAnsi="Sylfaen" w:cs="Arial"/>
                <w:sz w:val="16"/>
              </w:rPr>
            </w:pPr>
            <w:r w:rsidRPr="008C0A3D">
              <w:rPr>
                <w:rFonts w:ascii="Sylfaen" w:hAnsi="Sylfaen" w:cs="Arial"/>
                <w:sz w:val="16"/>
              </w:rPr>
              <w:t>4.6</w:t>
            </w:r>
          </w:p>
        </w:tc>
        <w:tc>
          <w:tcPr>
            <w:tcW w:w="756" w:type="dxa"/>
            <w:tcBorders>
              <w:top w:val="nil"/>
              <w:left w:val="nil"/>
              <w:bottom w:val="single" w:sz="4" w:space="0" w:color="auto"/>
              <w:right w:val="single" w:sz="4" w:space="0" w:color="auto"/>
            </w:tcBorders>
            <w:shd w:val="clear" w:color="000000" w:fill="FFFFFF"/>
            <w:noWrap/>
            <w:vAlign w:val="bottom"/>
            <w:hideMark/>
          </w:tcPr>
          <w:p w14:paraId="78311DBE" w14:textId="77777777" w:rsidR="00092D1D" w:rsidRPr="008C0A3D" w:rsidRDefault="00092D1D" w:rsidP="00845892">
            <w:pPr>
              <w:jc w:val="right"/>
              <w:rPr>
                <w:rFonts w:ascii="Sylfaen" w:hAnsi="Sylfaen" w:cs="Arial"/>
                <w:sz w:val="16"/>
              </w:rPr>
            </w:pPr>
            <w:r w:rsidRPr="008C0A3D">
              <w:rPr>
                <w:rFonts w:ascii="Sylfaen" w:hAnsi="Sylfaen" w:cs="Arial"/>
                <w:sz w:val="16"/>
              </w:rPr>
              <w:t>2.5</w:t>
            </w:r>
          </w:p>
        </w:tc>
        <w:tc>
          <w:tcPr>
            <w:tcW w:w="756" w:type="dxa"/>
            <w:tcBorders>
              <w:top w:val="nil"/>
              <w:left w:val="nil"/>
              <w:bottom w:val="single" w:sz="4" w:space="0" w:color="auto"/>
              <w:right w:val="single" w:sz="4" w:space="0" w:color="auto"/>
            </w:tcBorders>
            <w:shd w:val="clear" w:color="000000" w:fill="FFFFFF"/>
            <w:noWrap/>
            <w:vAlign w:val="bottom"/>
            <w:hideMark/>
          </w:tcPr>
          <w:p w14:paraId="0F4F0261" w14:textId="77777777" w:rsidR="00092D1D" w:rsidRPr="008C0A3D" w:rsidRDefault="00092D1D" w:rsidP="00845892">
            <w:pPr>
              <w:jc w:val="right"/>
              <w:rPr>
                <w:rFonts w:ascii="Sylfaen" w:hAnsi="Sylfaen" w:cs="Arial"/>
                <w:sz w:val="16"/>
              </w:rPr>
            </w:pPr>
            <w:r w:rsidRPr="008C0A3D">
              <w:rPr>
                <w:rFonts w:ascii="Sylfaen" w:hAnsi="Sylfaen" w:cs="Arial"/>
                <w:sz w:val="16"/>
              </w:rPr>
              <w:t>5.3</w:t>
            </w:r>
          </w:p>
        </w:tc>
        <w:tc>
          <w:tcPr>
            <w:tcW w:w="730" w:type="dxa"/>
            <w:tcBorders>
              <w:top w:val="nil"/>
              <w:left w:val="nil"/>
              <w:bottom w:val="single" w:sz="4" w:space="0" w:color="auto"/>
              <w:right w:val="single" w:sz="4" w:space="0" w:color="auto"/>
            </w:tcBorders>
            <w:shd w:val="clear" w:color="000000" w:fill="FFFFFF"/>
            <w:noWrap/>
            <w:vAlign w:val="bottom"/>
            <w:hideMark/>
          </w:tcPr>
          <w:p w14:paraId="651AFC8E" w14:textId="77777777" w:rsidR="00092D1D" w:rsidRPr="008C0A3D" w:rsidRDefault="00092D1D" w:rsidP="00845892">
            <w:pPr>
              <w:jc w:val="right"/>
              <w:rPr>
                <w:rFonts w:ascii="Sylfaen" w:hAnsi="Sylfaen" w:cs="Arial"/>
                <w:sz w:val="16"/>
              </w:rPr>
            </w:pPr>
            <w:r w:rsidRPr="008C0A3D">
              <w:rPr>
                <w:rFonts w:ascii="Sylfaen" w:hAnsi="Sylfaen" w:cs="Arial"/>
                <w:sz w:val="16"/>
              </w:rPr>
              <w:t>7.2</w:t>
            </w:r>
          </w:p>
        </w:tc>
        <w:tc>
          <w:tcPr>
            <w:tcW w:w="756" w:type="dxa"/>
            <w:tcBorders>
              <w:top w:val="nil"/>
              <w:left w:val="nil"/>
              <w:bottom w:val="single" w:sz="4" w:space="0" w:color="auto"/>
              <w:right w:val="single" w:sz="4" w:space="0" w:color="auto"/>
            </w:tcBorders>
            <w:shd w:val="clear" w:color="000000" w:fill="FFFFFF"/>
            <w:noWrap/>
            <w:vAlign w:val="bottom"/>
            <w:hideMark/>
          </w:tcPr>
          <w:p w14:paraId="5757D210" w14:textId="77777777" w:rsidR="00092D1D" w:rsidRPr="008C0A3D" w:rsidRDefault="00092D1D" w:rsidP="00845892">
            <w:pPr>
              <w:jc w:val="right"/>
              <w:rPr>
                <w:rFonts w:ascii="Sylfaen" w:hAnsi="Sylfaen" w:cs="Arial"/>
                <w:sz w:val="16"/>
              </w:rPr>
            </w:pPr>
            <w:r w:rsidRPr="008C0A3D">
              <w:rPr>
                <w:rFonts w:ascii="Sylfaen" w:hAnsi="Sylfaen" w:cs="Arial"/>
                <w:sz w:val="16"/>
              </w:rPr>
              <w:t>8.2</w:t>
            </w:r>
          </w:p>
        </w:tc>
        <w:tc>
          <w:tcPr>
            <w:tcW w:w="756" w:type="dxa"/>
            <w:tcBorders>
              <w:top w:val="nil"/>
              <w:left w:val="nil"/>
              <w:bottom w:val="single" w:sz="4" w:space="0" w:color="auto"/>
              <w:right w:val="single" w:sz="4" w:space="0" w:color="auto"/>
            </w:tcBorders>
            <w:shd w:val="clear" w:color="000000" w:fill="FFFFFF"/>
            <w:noWrap/>
            <w:vAlign w:val="bottom"/>
            <w:hideMark/>
          </w:tcPr>
          <w:p w14:paraId="5F22A107" w14:textId="77777777" w:rsidR="00092D1D" w:rsidRPr="008C0A3D" w:rsidRDefault="00092D1D" w:rsidP="00845892">
            <w:pPr>
              <w:jc w:val="right"/>
              <w:rPr>
                <w:rFonts w:ascii="Sylfaen" w:hAnsi="Sylfaen" w:cs="Arial"/>
                <w:sz w:val="16"/>
              </w:rPr>
            </w:pPr>
            <w:r w:rsidRPr="008C0A3D">
              <w:rPr>
                <w:rFonts w:ascii="Sylfaen" w:hAnsi="Sylfaen" w:cs="Arial"/>
                <w:sz w:val="16"/>
              </w:rPr>
              <w:t>5.8</w:t>
            </w:r>
          </w:p>
        </w:tc>
        <w:tc>
          <w:tcPr>
            <w:tcW w:w="884" w:type="dxa"/>
            <w:tcBorders>
              <w:top w:val="nil"/>
              <w:left w:val="nil"/>
              <w:bottom w:val="single" w:sz="4" w:space="0" w:color="auto"/>
              <w:right w:val="single" w:sz="4" w:space="0" w:color="auto"/>
            </w:tcBorders>
            <w:shd w:val="clear" w:color="000000" w:fill="FFFFFF"/>
            <w:noWrap/>
            <w:vAlign w:val="bottom"/>
            <w:hideMark/>
          </w:tcPr>
          <w:p w14:paraId="4E8874FD" w14:textId="77777777" w:rsidR="00092D1D" w:rsidRPr="008C0A3D" w:rsidRDefault="00092D1D" w:rsidP="00845892">
            <w:pPr>
              <w:jc w:val="right"/>
              <w:rPr>
                <w:rFonts w:ascii="Sylfaen" w:hAnsi="Sylfaen" w:cs="Arial"/>
                <w:sz w:val="16"/>
              </w:rPr>
            </w:pPr>
            <w:r w:rsidRPr="008C0A3D">
              <w:rPr>
                <w:rFonts w:ascii="Sylfaen" w:hAnsi="Sylfaen" w:cs="Arial"/>
                <w:sz w:val="16"/>
              </w:rPr>
              <w:t>5.9</w:t>
            </w:r>
          </w:p>
        </w:tc>
        <w:tc>
          <w:tcPr>
            <w:tcW w:w="884" w:type="dxa"/>
            <w:tcBorders>
              <w:top w:val="nil"/>
              <w:left w:val="nil"/>
              <w:bottom w:val="single" w:sz="4" w:space="0" w:color="auto"/>
              <w:right w:val="single" w:sz="4" w:space="0" w:color="auto"/>
            </w:tcBorders>
            <w:shd w:val="clear" w:color="000000" w:fill="FFFFFF"/>
            <w:noWrap/>
            <w:vAlign w:val="bottom"/>
            <w:hideMark/>
          </w:tcPr>
          <w:p w14:paraId="63FCF9E1" w14:textId="77777777" w:rsidR="00092D1D" w:rsidRPr="008C0A3D" w:rsidRDefault="00092D1D" w:rsidP="00845892">
            <w:pPr>
              <w:jc w:val="right"/>
              <w:rPr>
                <w:rFonts w:ascii="Sylfaen" w:hAnsi="Sylfaen" w:cs="Arial"/>
                <w:sz w:val="16"/>
              </w:rPr>
            </w:pPr>
            <w:r w:rsidRPr="008C0A3D">
              <w:rPr>
                <w:rFonts w:ascii="Sylfaen" w:hAnsi="Sylfaen" w:cs="Arial"/>
                <w:sz w:val="16"/>
              </w:rPr>
              <w:t>5.1</w:t>
            </w:r>
          </w:p>
        </w:tc>
      </w:tr>
      <w:tr w:rsidR="00092D1D" w:rsidRPr="008C0A3D" w14:paraId="6DB2E949" w14:textId="77777777" w:rsidTr="008C0A3D">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754F5C29" w14:textId="77777777" w:rsidR="00092D1D" w:rsidRPr="008C0A3D" w:rsidRDefault="00092D1D" w:rsidP="00845892">
            <w:pPr>
              <w:rPr>
                <w:rFonts w:ascii="Sylfaen" w:hAnsi="Sylfaen" w:cs="Calibri"/>
                <w:color w:val="000000"/>
                <w:sz w:val="16"/>
              </w:rPr>
            </w:pPr>
            <w:r w:rsidRPr="008C0A3D">
              <w:rPr>
                <w:rFonts w:ascii="Sylfaen" w:hAnsi="Sylfaen" w:cs="Calibri"/>
                <w:color w:val="000000"/>
                <w:sz w:val="16"/>
              </w:rPr>
              <w:t xml:space="preserve">ცხვრის სულადობა  </w:t>
            </w:r>
          </w:p>
        </w:tc>
        <w:tc>
          <w:tcPr>
            <w:tcW w:w="447" w:type="dxa"/>
            <w:tcBorders>
              <w:top w:val="nil"/>
              <w:left w:val="nil"/>
              <w:bottom w:val="single" w:sz="4" w:space="0" w:color="auto"/>
              <w:right w:val="single" w:sz="4" w:space="0" w:color="auto"/>
            </w:tcBorders>
            <w:shd w:val="clear" w:color="000000" w:fill="FFFFFF"/>
            <w:noWrap/>
            <w:vAlign w:val="bottom"/>
            <w:hideMark/>
          </w:tcPr>
          <w:p w14:paraId="008F9380" w14:textId="77777777" w:rsidR="00092D1D" w:rsidRPr="008C0A3D" w:rsidRDefault="00092D1D" w:rsidP="00845892">
            <w:pPr>
              <w:jc w:val="right"/>
              <w:rPr>
                <w:rFonts w:ascii="Sylfaen" w:hAnsi="Sylfaen" w:cs="Arial"/>
                <w:sz w:val="16"/>
              </w:rPr>
            </w:pPr>
            <w:r w:rsidRPr="008C0A3D">
              <w:rPr>
                <w:rFonts w:ascii="Sylfaen" w:hAnsi="Sylfaen" w:cs="Arial"/>
                <w:sz w:val="16"/>
              </w:rPr>
              <w:t>266.1</w:t>
            </w:r>
          </w:p>
        </w:tc>
        <w:tc>
          <w:tcPr>
            <w:tcW w:w="621" w:type="dxa"/>
            <w:tcBorders>
              <w:top w:val="nil"/>
              <w:left w:val="nil"/>
              <w:bottom w:val="single" w:sz="4" w:space="0" w:color="auto"/>
              <w:right w:val="single" w:sz="4" w:space="0" w:color="auto"/>
            </w:tcBorders>
            <w:shd w:val="clear" w:color="000000" w:fill="FFFFFF"/>
            <w:noWrap/>
            <w:vAlign w:val="bottom"/>
            <w:hideMark/>
          </w:tcPr>
          <w:p w14:paraId="1F1A39B1" w14:textId="77777777" w:rsidR="00092D1D" w:rsidRPr="008C0A3D" w:rsidRDefault="00092D1D" w:rsidP="00845892">
            <w:pPr>
              <w:jc w:val="right"/>
              <w:rPr>
                <w:rFonts w:ascii="Sylfaen" w:hAnsi="Sylfaen" w:cs="Arial"/>
                <w:sz w:val="16"/>
              </w:rPr>
            </w:pPr>
            <w:r w:rsidRPr="008C0A3D">
              <w:rPr>
                <w:rFonts w:ascii="Sylfaen" w:hAnsi="Sylfaen" w:cs="Arial"/>
                <w:sz w:val="16"/>
              </w:rPr>
              <w:t>313.9</w:t>
            </w:r>
          </w:p>
        </w:tc>
        <w:tc>
          <w:tcPr>
            <w:tcW w:w="756" w:type="dxa"/>
            <w:tcBorders>
              <w:top w:val="nil"/>
              <w:left w:val="nil"/>
              <w:bottom w:val="single" w:sz="4" w:space="0" w:color="auto"/>
              <w:right w:val="single" w:sz="4" w:space="0" w:color="auto"/>
            </w:tcBorders>
            <w:shd w:val="clear" w:color="000000" w:fill="FFFFFF"/>
            <w:noWrap/>
            <w:vAlign w:val="bottom"/>
            <w:hideMark/>
          </w:tcPr>
          <w:p w14:paraId="4C240AE0" w14:textId="77777777" w:rsidR="00092D1D" w:rsidRPr="008C0A3D" w:rsidRDefault="00092D1D" w:rsidP="00845892">
            <w:pPr>
              <w:jc w:val="right"/>
              <w:rPr>
                <w:rFonts w:ascii="Sylfaen" w:hAnsi="Sylfaen" w:cs="Arial"/>
                <w:sz w:val="16"/>
              </w:rPr>
            </w:pPr>
            <w:r w:rsidRPr="008C0A3D">
              <w:rPr>
                <w:rFonts w:ascii="Sylfaen" w:hAnsi="Sylfaen" w:cs="Arial"/>
                <w:sz w:val="16"/>
              </w:rPr>
              <w:t>300.2</w:t>
            </w:r>
          </w:p>
        </w:tc>
        <w:tc>
          <w:tcPr>
            <w:tcW w:w="884" w:type="dxa"/>
            <w:tcBorders>
              <w:top w:val="nil"/>
              <w:left w:val="nil"/>
              <w:bottom w:val="single" w:sz="4" w:space="0" w:color="auto"/>
              <w:right w:val="single" w:sz="4" w:space="0" w:color="auto"/>
            </w:tcBorders>
            <w:shd w:val="clear" w:color="000000" w:fill="FFFFFF"/>
            <w:noWrap/>
            <w:vAlign w:val="bottom"/>
            <w:hideMark/>
          </w:tcPr>
          <w:p w14:paraId="1DC214F9" w14:textId="77777777" w:rsidR="00092D1D" w:rsidRPr="008C0A3D" w:rsidRDefault="00092D1D" w:rsidP="00845892">
            <w:pPr>
              <w:jc w:val="right"/>
              <w:rPr>
                <w:rFonts w:ascii="Sylfaen" w:hAnsi="Sylfaen" w:cs="Arial"/>
                <w:sz w:val="16"/>
              </w:rPr>
            </w:pPr>
            <w:r w:rsidRPr="008C0A3D">
              <w:rPr>
                <w:rFonts w:ascii="Sylfaen" w:hAnsi="Sylfaen" w:cs="Arial"/>
                <w:sz w:val="16"/>
              </w:rPr>
              <w:t>269.4</w:t>
            </w:r>
          </w:p>
        </w:tc>
        <w:tc>
          <w:tcPr>
            <w:tcW w:w="756" w:type="dxa"/>
            <w:tcBorders>
              <w:top w:val="nil"/>
              <w:left w:val="nil"/>
              <w:bottom w:val="single" w:sz="4" w:space="0" w:color="auto"/>
              <w:right w:val="single" w:sz="4" w:space="0" w:color="auto"/>
            </w:tcBorders>
            <w:shd w:val="clear" w:color="000000" w:fill="FFFFFF"/>
            <w:noWrap/>
            <w:vAlign w:val="bottom"/>
            <w:hideMark/>
          </w:tcPr>
          <w:p w14:paraId="39AB4B4E" w14:textId="77777777" w:rsidR="00092D1D" w:rsidRPr="008C0A3D" w:rsidRDefault="00092D1D" w:rsidP="00845892">
            <w:pPr>
              <w:jc w:val="right"/>
              <w:rPr>
                <w:rFonts w:ascii="Sylfaen" w:hAnsi="Sylfaen" w:cs="Arial"/>
                <w:sz w:val="16"/>
              </w:rPr>
            </w:pPr>
            <w:r w:rsidRPr="008C0A3D">
              <w:rPr>
                <w:rFonts w:ascii="Sylfaen" w:hAnsi="Sylfaen" w:cs="Arial"/>
                <w:sz w:val="16"/>
              </w:rPr>
              <w:t>276.0</w:t>
            </w:r>
          </w:p>
        </w:tc>
        <w:tc>
          <w:tcPr>
            <w:tcW w:w="756" w:type="dxa"/>
            <w:tcBorders>
              <w:top w:val="nil"/>
              <w:left w:val="nil"/>
              <w:bottom w:val="single" w:sz="4" w:space="0" w:color="auto"/>
              <w:right w:val="single" w:sz="4" w:space="0" w:color="auto"/>
            </w:tcBorders>
            <w:shd w:val="clear" w:color="000000" w:fill="FFFFFF"/>
            <w:noWrap/>
            <w:vAlign w:val="bottom"/>
            <w:hideMark/>
          </w:tcPr>
          <w:p w14:paraId="7B74C7AC" w14:textId="77777777" w:rsidR="00092D1D" w:rsidRPr="008C0A3D" w:rsidRDefault="00092D1D" w:rsidP="00845892">
            <w:pPr>
              <w:jc w:val="right"/>
              <w:rPr>
                <w:rFonts w:ascii="Sylfaen" w:hAnsi="Sylfaen" w:cs="Arial"/>
                <w:sz w:val="16"/>
              </w:rPr>
            </w:pPr>
            <w:r w:rsidRPr="008C0A3D">
              <w:rPr>
                <w:rFonts w:ascii="Sylfaen" w:hAnsi="Sylfaen" w:cs="Arial"/>
                <w:sz w:val="16"/>
              </w:rPr>
              <w:t>294.3</w:t>
            </w:r>
          </w:p>
        </w:tc>
        <w:tc>
          <w:tcPr>
            <w:tcW w:w="730" w:type="dxa"/>
            <w:tcBorders>
              <w:top w:val="nil"/>
              <w:left w:val="nil"/>
              <w:bottom w:val="single" w:sz="4" w:space="0" w:color="auto"/>
              <w:right w:val="single" w:sz="4" w:space="0" w:color="auto"/>
            </w:tcBorders>
            <w:shd w:val="clear" w:color="000000" w:fill="FFFFFF"/>
            <w:noWrap/>
            <w:vAlign w:val="bottom"/>
            <w:hideMark/>
          </w:tcPr>
          <w:p w14:paraId="4A1D179B" w14:textId="77777777" w:rsidR="00092D1D" w:rsidRPr="008C0A3D" w:rsidRDefault="00092D1D" w:rsidP="00845892">
            <w:pPr>
              <w:jc w:val="right"/>
              <w:rPr>
                <w:rFonts w:ascii="Sylfaen" w:hAnsi="Sylfaen" w:cs="Arial"/>
                <w:sz w:val="16"/>
              </w:rPr>
            </w:pPr>
            <w:r w:rsidRPr="008C0A3D">
              <w:rPr>
                <w:rFonts w:ascii="Sylfaen" w:hAnsi="Sylfaen" w:cs="Arial"/>
                <w:sz w:val="16"/>
              </w:rPr>
              <w:t>368.5</w:t>
            </w:r>
          </w:p>
        </w:tc>
        <w:tc>
          <w:tcPr>
            <w:tcW w:w="756" w:type="dxa"/>
            <w:tcBorders>
              <w:top w:val="nil"/>
              <w:left w:val="nil"/>
              <w:bottom w:val="single" w:sz="4" w:space="0" w:color="auto"/>
              <w:right w:val="single" w:sz="4" w:space="0" w:color="auto"/>
            </w:tcBorders>
            <w:shd w:val="clear" w:color="000000" w:fill="FFFFFF"/>
            <w:noWrap/>
            <w:vAlign w:val="bottom"/>
            <w:hideMark/>
          </w:tcPr>
          <w:p w14:paraId="591F748B" w14:textId="77777777" w:rsidR="00092D1D" w:rsidRPr="008C0A3D" w:rsidRDefault="00092D1D" w:rsidP="00845892">
            <w:pPr>
              <w:jc w:val="right"/>
              <w:rPr>
                <w:rFonts w:ascii="Sylfaen" w:hAnsi="Sylfaen" w:cs="Arial"/>
                <w:sz w:val="16"/>
              </w:rPr>
            </w:pPr>
            <w:r w:rsidRPr="008C0A3D">
              <w:rPr>
                <w:rFonts w:ascii="Sylfaen" w:hAnsi="Sylfaen" w:cs="Arial"/>
                <w:sz w:val="16"/>
              </w:rPr>
              <w:t>468.6</w:t>
            </w:r>
          </w:p>
        </w:tc>
        <w:tc>
          <w:tcPr>
            <w:tcW w:w="756" w:type="dxa"/>
            <w:tcBorders>
              <w:top w:val="nil"/>
              <w:left w:val="nil"/>
              <w:bottom w:val="single" w:sz="4" w:space="0" w:color="auto"/>
              <w:right w:val="single" w:sz="4" w:space="0" w:color="auto"/>
            </w:tcBorders>
            <w:shd w:val="clear" w:color="000000" w:fill="FFFFFF"/>
            <w:noWrap/>
            <w:vAlign w:val="bottom"/>
            <w:hideMark/>
          </w:tcPr>
          <w:p w14:paraId="26C6CD2B" w14:textId="77777777" w:rsidR="00092D1D" w:rsidRPr="008C0A3D" w:rsidRDefault="00092D1D" w:rsidP="00845892">
            <w:pPr>
              <w:jc w:val="right"/>
              <w:rPr>
                <w:rFonts w:ascii="Sylfaen" w:hAnsi="Sylfaen" w:cs="Arial"/>
                <w:sz w:val="16"/>
              </w:rPr>
            </w:pPr>
            <w:r w:rsidRPr="008C0A3D">
              <w:rPr>
                <w:rFonts w:ascii="Sylfaen" w:hAnsi="Sylfaen" w:cs="Arial"/>
                <w:sz w:val="16"/>
              </w:rPr>
              <w:t>494.1</w:t>
            </w:r>
          </w:p>
        </w:tc>
        <w:tc>
          <w:tcPr>
            <w:tcW w:w="884" w:type="dxa"/>
            <w:tcBorders>
              <w:top w:val="nil"/>
              <w:left w:val="nil"/>
              <w:bottom w:val="single" w:sz="4" w:space="0" w:color="auto"/>
              <w:right w:val="single" w:sz="4" w:space="0" w:color="auto"/>
            </w:tcBorders>
            <w:shd w:val="clear" w:color="000000" w:fill="FFFFFF"/>
            <w:noWrap/>
            <w:vAlign w:val="bottom"/>
            <w:hideMark/>
          </w:tcPr>
          <w:p w14:paraId="33B9A7D7" w14:textId="77777777" w:rsidR="00092D1D" w:rsidRPr="008C0A3D" w:rsidRDefault="00092D1D" w:rsidP="00845892">
            <w:pPr>
              <w:jc w:val="right"/>
              <w:rPr>
                <w:rFonts w:ascii="Sylfaen" w:hAnsi="Sylfaen" w:cs="Arial"/>
                <w:sz w:val="16"/>
              </w:rPr>
            </w:pPr>
            <w:r w:rsidRPr="008C0A3D">
              <w:rPr>
                <w:rFonts w:ascii="Sylfaen" w:hAnsi="Sylfaen" w:cs="Arial"/>
                <w:sz w:val="16"/>
              </w:rPr>
              <w:t>474.4</w:t>
            </w:r>
          </w:p>
        </w:tc>
        <w:tc>
          <w:tcPr>
            <w:tcW w:w="884" w:type="dxa"/>
            <w:tcBorders>
              <w:top w:val="nil"/>
              <w:left w:val="nil"/>
              <w:bottom w:val="single" w:sz="4" w:space="0" w:color="auto"/>
              <w:right w:val="single" w:sz="4" w:space="0" w:color="auto"/>
            </w:tcBorders>
            <w:shd w:val="clear" w:color="000000" w:fill="FFFFFF"/>
            <w:noWrap/>
            <w:vAlign w:val="bottom"/>
            <w:hideMark/>
          </w:tcPr>
          <w:p w14:paraId="7468A5F0" w14:textId="77777777" w:rsidR="00092D1D" w:rsidRPr="008C0A3D" w:rsidRDefault="00092D1D" w:rsidP="00845892">
            <w:pPr>
              <w:jc w:val="right"/>
              <w:rPr>
                <w:rFonts w:ascii="Sylfaen" w:hAnsi="Sylfaen" w:cs="Arial"/>
                <w:sz w:val="16"/>
              </w:rPr>
            </w:pPr>
            <w:r w:rsidRPr="008C0A3D">
              <w:rPr>
                <w:rFonts w:ascii="Sylfaen" w:hAnsi="Sylfaen" w:cs="Arial"/>
                <w:sz w:val="16"/>
              </w:rPr>
              <w:t>482.0</w:t>
            </w:r>
          </w:p>
        </w:tc>
      </w:tr>
      <w:tr w:rsidR="00092D1D" w:rsidRPr="008C0A3D" w14:paraId="5D6A2089" w14:textId="77777777" w:rsidTr="008C0A3D">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03AC9487" w14:textId="77777777" w:rsidR="00092D1D" w:rsidRPr="008C0A3D" w:rsidRDefault="00092D1D" w:rsidP="00845892">
            <w:pPr>
              <w:rPr>
                <w:rFonts w:ascii="Sylfaen" w:hAnsi="Sylfaen" w:cs="Calibri"/>
                <w:color w:val="000000"/>
                <w:sz w:val="16"/>
              </w:rPr>
            </w:pPr>
            <w:r w:rsidRPr="008C0A3D">
              <w:rPr>
                <w:rFonts w:ascii="Sylfaen" w:hAnsi="Sylfaen" w:cs="Calibri"/>
                <w:color w:val="000000"/>
                <w:sz w:val="16"/>
              </w:rPr>
              <w:t xml:space="preserve">დედა ცხვრის სულადობა  </w:t>
            </w:r>
          </w:p>
        </w:tc>
        <w:tc>
          <w:tcPr>
            <w:tcW w:w="447" w:type="dxa"/>
            <w:tcBorders>
              <w:top w:val="nil"/>
              <w:left w:val="nil"/>
              <w:bottom w:val="single" w:sz="4" w:space="0" w:color="auto"/>
              <w:right w:val="single" w:sz="4" w:space="0" w:color="auto"/>
            </w:tcBorders>
            <w:shd w:val="clear" w:color="000000" w:fill="FFFFFF"/>
            <w:noWrap/>
            <w:vAlign w:val="bottom"/>
            <w:hideMark/>
          </w:tcPr>
          <w:p w14:paraId="0ECAAE07" w14:textId="77777777" w:rsidR="00092D1D" w:rsidRPr="008C0A3D" w:rsidRDefault="00092D1D" w:rsidP="00845892">
            <w:pPr>
              <w:jc w:val="right"/>
              <w:rPr>
                <w:rFonts w:ascii="Sylfaen" w:hAnsi="Sylfaen" w:cs="Arial"/>
                <w:sz w:val="16"/>
              </w:rPr>
            </w:pPr>
            <w:r w:rsidRPr="008C0A3D">
              <w:rPr>
                <w:rFonts w:ascii="Sylfaen" w:hAnsi="Sylfaen" w:cs="Arial"/>
                <w:sz w:val="16"/>
              </w:rPr>
              <w:t>176.8</w:t>
            </w:r>
          </w:p>
        </w:tc>
        <w:tc>
          <w:tcPr>
            <w:tcW w:w="621" w:type="dxa"/>
            <w:tcBorders>
              <w:top w:val="nil"/>
              <w:left w:val="nil"/>
              <w:bottom w:val="single" w:sz="4" w:space="0" w:color="auto"/>
              <w:right w:val="single" w:sz="4" w:space="0" w:color="auto"/>
            </w:tcBorders>
            <w:shd w:val="clear" w:color="000000" w:fill="FFFFFF"/>
            <w:noWrap/>
            <w:vAlign w:val="bottom"/>
            <w:hideMark/>
          </w:tcPr>
          <w:p w14:paraId="1082F1C0" w14:textId="77777777" w:rsidR="00092D1D" w:rsidRPr="008C0A3D" w:rsidRDefault="00092D1D" w:rsidP="00845892">
            <w:pPr>
              <w:jc w:val="right"/>
              <w:rPr>
                <w:rFonts w:ascii="Sylfaen" w:hAnsi="Sylfaen" w:cs="Arial"/>
                <w:sz w:val="16"/>
              </w:rPr>
            </w:pPr>
            <w:r w:rsidRPr="008C0A3D">
              <w:rPr>
                <w:rFonts w:ascii="Sylfaen" w:hAnsi="Sylfaen" w:cs="Arial"/>
                <w:sz w:val="16"/>
              </w:rPr>
              <w:t>196.2</w:t>
            </w:r>
          </w:p>
        </w:tc>
        <w:tc>
          <w:tcPr>
            <w:tcW w:w="756" w:type="dxa"/>
            <w:tcBorders>
              <w:top w:val="nil"/>
              <w:left w:val="nil"/>
              <w:bottom w:val="single" w:sz="4" w:space="0" w:color="auto"/>
              <w:right w:val="single" w:sz="4" w:space="0" w:color="auto"/>
            </w:tcBorders>
            <w:shd w:val="clear" w:color="000000" w:fill="FFFFFF"/>
            <w:noWrap/>
            <w:vAlign w:val="bottom"/>
            <w:hideMark/>
          </w:tcPr>
          <w:p w14:paraId="0A8116DD" w14:textId="77777777" w:rsidR="00092D1D" w:rsidRPr="008C0A3D" w:rsidRDefault="00092D1D" w:rsidP="00845892">
            <w:pPr>
              <w:jc w:val="right"/>
              <w:rPr>
                <w:rFonts w:ascii="Sylfaen" w:hAnsi="Sylfaen" w:cs="Arial"/>
                <w:sz w:val="16"/>
              </w:rPr>
            </w:pPr>
            <w:r w:rsidRPr="008C0A3D">
              <w:rPr>
                <w:rFonts w:ascii="Sylfaen" w:hAnsi="Sylfaen" w:cs="Arial"/>
                <w:sz w:val="16"/>
              </w:rPr>
              <w:t>174.6</w:t>
            </w:r>
          </w:p>
        </w:tc>
        <w:tc>
          <w:tcPr>
            <w:tcW w:w="884" w:type="dxa"/>
            <w:tcBorders>
              <w:top w:val="nil"/>
              <w:left w:val="nil"/>
              <w:bottom w:val="single" w:sz="4" w:space="0" w:color="auto"/>
              <w:right w:val="single" w:sz="4" w:space="0" w:color="auto"/>
            </w:tcBorders>
            <w:shd w:val="clear" w:color="000000" w:fill="FFFFFF"/>
            <w:noWrap/>
            <w:vAlign w:val="bottom"/>
            <w:hideMark/>
          </w:tcPr>
          <w:p w14:paraId="1556D409" w14:textId="77777777" w:rsidR="00092D1D" w:rsidRPr="008C0A3D" w:rsidRDefault="00092D1D" w:rsidP="00845892">
            <w:pPr>
              <w:jc w:val="right"/>
              <w:rPr>
                <w:rFonts w:ascii="Sylfaen" w:hAnsi="Sylfaen" w:cs="Arial"/>
                <w:sz w:val="16"/>
              </w:rPr>
            </w:pPr>
            <w:r w:rsidRPr="008C0A3D">
              <w:rPr>
                <w:rFonts w:ascii="Sylfaen" w:hAnsi="Sylfaen" w:cs="Arial"/>
                <w:sz w:val="16"/>
              </w:rPr>
              <w:t>181.4</w:t>
            </w:r>
          </w:p>
        </w:tc>
        <w:tc>
          <w:tcPr>
            <w:tcW w:w="756" w:type="dxa"/>
            <w:tcBorders>
              <w:top w:val="nil"/>
              <w:left w:val="nil"/>
              <w:bottom w:val="single" w:sz="4" w:space="0" w:color="auto"/>
              <w:right w:val="single" w:sz="4" w:space="0" w:color="auto"/>
            </w:tcBorders>
            <w:shd w:val="clear" w:color="000000" w:fill="FFFFFF"/>
            <w:noWrap/>
            <w:vAlign w:val="bottom"/>
            <w:hideMark/>
          </w:tcPr>
          <w:p w14:paraId="3F111624" w14:textId="77777777" w:rsidR="00092D1D" w:rsidRPr="008C0A3D" w:rsidRDefault="00092D1D" w:rsidP="00845892">
            <w:pPr>
              <w:jc w:val="right"/>
              <w:rPr>
                <w:rFonts w:ascii="Sylfaen" w:hAnsi="Sylfaen" w:cs="Arial"/>
                <w:sz w:val="16"/>
              </w:rPr>
            </w:pPr>
            <w:r w:rsidRPr="008C0A3D">
              <w:rPr>
                <w:rFonts w:ascii="Sylfaen" w:hAnsi="Sylfaen" w:cs="Arial"/>
                <w:sz w:val="16"/>
              </w:rPr>
              <w:t>188.2</w:t>
            </w:r>
          </w:p>
        </w:tc>
        <w:tc>
          <w:tcPr>
            <w:tcW w:w="756" w:type="dxa"/>
            <w:tcBorders>
              <w:top w:val="nil"/>
              <w:left w:val="nil"/>
              <w:bottom w:val="single" w:sz="4" w:space="0" w:color="auto"/>
              <w:right w:val="single" w:sz="4" w:space="0" w:color="auto"/>
            </w:tcBorders>
            <w:shd w:val="clear" w:color="000000" w:fill="FFFFFF"/>
            <w:noWrap/>
            <w:vAlign w:val="bottom"/>
            <w:hideMark/>
          </w:tcPr>
          <w:p w14:paraId="0D8B37C0" w14:textId="77777777" w:rsidR="00092D1D" w:rsidRPr="008C0A3D" w:rsidRDefault="00092D1D" w:rsidP="00845892">
            <w:pPr>
              <w:jc w:val="right"/>
              <w:rPr>
                <w:rFonts w:ascii="Sylfaen" w:hAnsi="Sylfaen" w:cs="Arial"/>
                <w:sz w:val="16"/>
              </w:rPr>
            </w:pPr>
            <w:r w:rsidRPr="008C0A3D">
              <w:rPr>
                <w:rFonts w:ascii="Sylfaen" w:hAnsi="Sylfaen" w:cs="Arial"/>
                <w:sz w:val="16"/>
              </w:rPr>
              <w:t>199.2</w:t>
            </w:r>
          </w:p>
        </w:tc>
        <w:tc>
          <w:tcPr>
            <w:tcW w:w="730" w:type="dxa"/>
            <w:tcBorders>
              <w:top w:val="nil"/>
              <w:left w:val="nil"/>
              <w:bottom w:val="single" w:sz="4" w:space="0" w:color="auto"/>
              <w:right w:val="single" w:sz="4" w:space="0" w:color="auto"/>
            </w:tcBorders>
            <w:shd w:val="clear" w:color="000000" w:fill="FFFFFF"/>
            <w:noWrap/>
            <w:vAlign w:val="bottom"/>
            <w:hideMark/>
          </w:tcPr>
          <w:p w14:paraId="30E67DF8" w14:textId="77777777" w:rsidR="00092D1D" w:rsidRPr="008C0A3D" w:rsidRDefault="00092D1D" w:rsidP="00845892">
            <w:pPr>
              <w:jc w:val="right"/>
              <w:rPr>
                <w:rFonts w:ascii="Sylfaen" w:hAnsi="Sylfaen" w:cs="Arial"/>
                <w:sz w:val="16"/>
              </w:rPr>
            </w:pPr>
            <w:r w:rsidRPr="008C0A3D">
              <w:rPr>
                <w:rFonts w:ascii="Sylfaen" w:hAnsi="Sylfaen" w:cs="Arial"/>
                <w:sz w:val="16"/>
              </w:rPr>
              <w:t>262.6</w:t>
            </w:r>
          </w:p>
        </w:tc>
        <w:tc>
          <w:tcPr>
            <w:tcW w:w="756" w:type="dxa"/>
            <w:tcBorders>
              <w:top w:val="nil"/>
              <w:left w:val="nil"/>
              <w:bottom w:val="single" w:sz="4" w:space="0" w:color="auto"/>
              <w:right w:val="single" w:sz="4" w:space="0" w:color="auto"/>
            </w:tcBorders>
            <w:shd w:val="clear" w:color="000000" w:fill="FFFFFF"/>
            <w:noWrap/>
            <w:vAlign w:val="bottom"/>
            <w:hideMark/>
          </w:tcPr>
          <w:p w14:paraId="157B55EF" w14:textId="77777777" w:rsidR="00092D1D" w:rsidRPr="008C0A3D" w:rsidRDefault="00092D1D" w:rsidP="00845892">
            <w:pPr>
              <w:jc w:val="right"/>
              <w:rPr>
                <w:rFonts w:ascii="Sylfaen" w:hAnsi="Sylfaen" w:cs="Arial"/>
                <w:sz w:val="16"/>
              </w:rPr>
            </w:pPr>
            <w:r w:rsidRPr="008C0A3D">
              <w:rPr>
                <w:rFonts w:ascii="Sylfaen" w:hAnsi="Sylfaen" w:cs="Arial"/>
                <w:sz w:val="16"/>
              </w:rPr>
              <w:t>335.8</w:t>
            </w:r>
          </w:p>
        </w:tc>
        <w:tc>
          <w:tcPr>
            <w:tcW w:w="756" w:type="dxa"/>
            <w:tcBorders>
              <w:top w:val="nil"/>
              <w:left w:val="nil"/>
              <w:bottom w:val="single" w:sz="4" w:space="0" w:color="auto"/>
              <w:right w:val="single" w:sz="4" w:space="0" w:color="auto"/>
            </w:tcBorders>
            <w:shd w:val="clear" w:color="000000" w:fill="FFFFFF"/>
            <w:noWrap/>
            <w:vAlign w:val="bottom"/>
            <w:hideMark/>
          </w:tcPr>
          <w:p w14:paraId="379C6633" w14:textId="77777777" w:rsidR="00092D1D" w:rsidRPr="008C0A3D" w:rsidRDefault="00092D1D" w:rsidP="00845892">
            <w:pPr>
              <w:jc w:val="right"/>
              <w:rPr>
                <w:rFonts w:ascii="Sylfaen" w:hAnsi="Sylfaen" w:cs="Arial"/>
                <w:sz w:val="16"/>
              </w:rPr>
            </w:pPr>
            <w:r w:rsidRPr="008C0A3D">
              <w:rPr>
                <w:rFonts w:ascii="Sylfaen" w:hAnsi="Sylfaen" w:cs="Arial"/>
                <w:sz w:val="16"/>
              </w:rPr>
              <w:t>388.2</w:t>
            </w:r>
          </w:p>
        </w:tc>
        <w:tc>
          <w:tcPr>
            <w:tcW w:w="884" w:type="dxa"/>
            <w:tcBorders>
              <w:top w:val="nil"/>
              <w:left w:val="nil"/>
              <w:bottom w:val="single" w:sz="4" w:space="0" w:color="auto"/>
              <w:right w:val="single" w:sz="4" w:space="0" w:color="auto"/>
            </w:tcBorders>
            <w:shd w:val="clear" w:color="000000" w:fill="FFFFFF"/>
            <w:noWrap/>
            <w:vAlign w:val="bottom"/>
            <w:hideMark/>
          </w:tcPr>
          <w:p w14:paraId="06098B19" w14:textId="77777777" w:rsidR="00092D1D" w:rsidRPr="008C0A3D" w:rsidRDefault="00092D1D" w:rsidP="00845892">
            <w:pPr>
              <w:jc w:val="right"/>
              <w:rPr>
                <w:rFonts w:ascii="Sylfaen" w:hAnsi="Sylfaen" w:cs="Arial"/>
                <w:sz w:val="16"/>
              </w:rPr>
            </w:pPr>
            <w:r w:rsidRPr="008C0A3D">
              <w:rPr>
                <w:rFonts w:ascii="Sylfaen" w:hAnsi="Sylfaen" w:cs="Arial"/>
                <w:sz w:val="16"/>
              </w:rPr>
              <w:t>327.4</w:t>
            </w:r>
          </w:p>
        </w:tc>
        <w:tc>
          <w:tcPr>
            <w:tcW w:w="884" w:type="dxa"/>
            <w:tcBorders>
              <w:top w:val="nil"/>
              <w:left w:val="nil"/>
              <w:bottom w:val="single" w:sz="4" w:space="0" w:color="auto"/>
              <w:right w:val="single" w:sz="4" w:space="0" w:color="auto"/>
            </w:tcBorders>
            <w:shd w:val="clear" w:color="000000" w:fill="FFFFFF"/>
            <w:noWrap/>
            <w:vAlign w:val="bottom"/>
            <w:hideMark/>
          </w:tcPr>
          <w:p w14:paraId="3729E605" w14:textId="77777777" w:rsidR="00092D1D" w:rsidRPr="008C0A3D" w:rsidRDefault="00092D1D" w:rsidP="00845892">
            <w:pPr>
              <w:jc w:val="right"/>
              <w:rPr>
                <w:rFonts w:ascii="Sylfaen" w:hAnsi="Sylfaen" w:cs="Arial"/>
                <w:sz w:val="16"/>
              </w:rPr>
            </w:pPr>
            <w:r w:rsidRPr="008C0A3D">
              <w:rPr>
                <w:rFonts w:ascii="Sylfaen" w:hAnsi="Sylfaen" w:cs="Arial"/>
                <w:sz w:val="16"/>
              </w:rPr>
              <w:t>369.3</w:t>
            </w:r>
          </w:p>
        </w:tc>
      </w:tr>
      <w:tr w:rsidR="00092D1D" w:rsidRPr="008C0A3D" w14:paraId="28D687C9" w14:textId="77777777" w:rsidTr="008C0A3D">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4B6F15FD" w14:textId="77777777" w:rsidR="00092D1D" w:rsidRPr="008C0A3D" w:rsidRDefault="00092D1D" w:rsidP="00845892">
            <w:pPr>
              <w:rPr>
                <w:rFonts w:ascii="Sylfaen" w:hAnsi="Sylfaen" w:cs="Calibri"/>
                <w:color w:val="000000"/>
                <w:sz w:val="16"/>
              </w:rPr>
            </w:pPr>
            <w:r w:rsidRPr="008C0A3D">
              <w:rPr>
                <w:rFonts w:ascii="Sylfaen" w:hAnsi="Sylfaen" w:cs="Calibri"/>
                <w:color w:val="000000"/>
                <w:sz w:val="16"/>
              </w:rPr>
              <w:t xml:space="preserve">თხის სულადობა  </w:t>
            </w:r>
          </w:p>
        </w:tc>
        <w:tc>
          <w:tcPr>
            <w:tcW w:w="447" w:type="dxa"/>
            <w:tcBorders>
              <w:top w:val="nil"/>
              <w:left w:val="nil"/>
              <w:bottom w:val="single" w:sz="4" w:space="0" w:color="auto"/>
              <w:right w:val="single" w:sz="4" w:space="0" w:color="auto"/>
            </w:tcBorders>
            <w:shd w:val="clear" w:color="000000" w:fill="FFFFFF"/>
            <w:noWrap/>
            <w:vAlign w:val="bottom"/>
            <w:hideMark/>
          </w:tcPr>
          <w:p w14:paraId="7FAB6C2A" w14:textId="77777777" w:rsidR="00092D1D" w:rsidRPr="008C0A3D" w:rsidRDefault="00092D1D" w:rsidP="00845892">
            <w:pPr>
              <w:jc w:val="right"/>
              <w:rPr>
                <w:rFonts w:ascii="Sylfaen" w:hAnsi="Sylfaen" w:cs="Arial"/>
                <w:sz w:val="16"/>
              </w:rPr>
            </w:pPr>
            <w:r w:rsidRPr="008C0A3D">
              <w:rPr>
                <w:rFonts w:ascii="Sylfaen" w:hAnsi="Sylfaen" w:cs="Arial"/>
                <w:sz w:val="16"/>
              </w:rPr>
              <w:t>11.8</w:t>
            </w:r>
          </w:p>
        </w:tc>
        <w:tc>
          <w:tcPr>
            <w:tcW w:w="621" w:type="dxa"/>
            <w:tcBorders>
              <w:top w:val="nil"/>
              <w:left w:val="nil"/>
              <w:bottom w:val="single" w:sz="4" w:space="0" w:color="auto"/>
              <w:right w:val="single" w:sz="4" w:space="0" w:color="auto"/>
            </w:tcBorders>
            <w:shd w:val="clear" w:color="000000" w:fill="FFFFFF"/>
            <w:noWrap/>
            <w:vAlign w:val="bottom"/>
            <w:hideMark/>
          </w:tcPr>
          <w:p w14:paraId="6E617E9E" w14:textId="77777777" w:rsidR="00092D1D" w:rsidRPr="008C0A3D" w:rsidRDefault="00092D1D" w:rsidP="00845892">
            <w:pPr>
              <w:jc w:val="right"/>
              <w:rPr>
                <w:rFonts w:ascii="Sylfaen" w:hAnsi="Sylfaen" w:cs="Arial"/>
                <w:sz w:val="16"/>
              </w:rPr>
            </w:pPr>
            <w:r w:rsidRPr="008C0A3D">
              <w:rPr>
                <w:rFonts w:ascii="Sylfaen" w:hAnsi="Sylfaen" w:cs="Arial"/>
                <w:sz w:val="16"/>
              </w:rPr>
              <w:t>14.4</w:t>
            </w:r>
          </w:p>
        </w:tc>
        <w:tc>
          <w:tcPr>
            <w:tcW w:w="756" w:type="dxa"/>
            <w:tcBorders>
              <w:top w:val="nil"/>
              <w:left w:val="nil"/>
              <w:bottom w:val="single" w:sz="4" w:space="0" w:color="auto"/>
              <w:right w:val="single" w:sz="4" w:space="0" w:color="auto"/>
            </w:tcBorders>
            <w:shd w:val="clear" w:color="000000" w:fill="FFFFFF"/>
            <w:noWrap/>
            <w:vAlign w:val="bottom"/>
            <w:hideMark/>
          </w:tcPr>
          <w:p w14:paraId="2D435AE0" w14:textId="77777777" w:rsidR="00092D1D" w:rsidRPr="008C0A3D" w:rsidRDefault="00092D1D" w:rsidP="00845892">
            <w:pPr>
              <w:jc w:val="right"/>
              <w:rPr>
                <w:rFonts w:ascii="Sylfaen" w:hAnsi="Sylfaen" w:cs="Arial"/>
                <w:sz w:val="16"/>
              </w:rPr>
            </w:pPr>
            <w:r w:rsidRPr="008C0A3D">
              <w:rPr>
                <w:rFonts w:ascii="Sylfaen" w:hAnsi="Sylfaen" w:cs="Arial"/>
                <w:sz w:val="16"/>
              </w:rPr>
              <w:t>14.3</w:t>
            </w:r>
          </w:p>
        </w:tc>
        <w:tc>
          <w:tcPr>
            <w:tcW w:w="884" w:type="dxa"/>
            <w:tcBorders>
              <w:top w:val="nil"/>
              <w:left w:val="nil"/>
              <w:bottom w:val="single" w:sz="4" w:space="0" w:color="auto"/>
              <w:right w:val="single" w:sz="4" w:space="0" w:color="auto"/>
            </w:tcBorders>
            <w:shd w:val="clear" w:color="000000" w:fill="FFFFFF"/>
            <w:noWrap/>
            <w:vAlign w:val="bottom"/>
            <w:hideMark/>
          </w:tcPr>
          <w:p w14:paraId="0C021760" w14:textId="77777777" w:rsidR="00092D1D" w:rsidRPr="008C0A3D" w:rsidRDefault="00092D1D" w:rsidP="00845892">
            <w:pPr>
              <w:jc w:val="right"/>
              <w:rPr>
                <w:rFonts w:ascii="Sylfaen" w:hAnsi="Sylfaen" w:cs="Arial"/>
                <w:sz w:val="16"/>
              </w:rPr>
            </w:pPr>
            <w:r w:rsidRPr="008C0A3D">
              <w:rPr>
                <w:rFonts w:ascii="Sylfaen" w:hAnsi="Sylfaen" w:cs="Arial"/>
                <w:sz w:val="16"/>
              </w:rPr>
              <w:t>15.7</w:t>
            </w:r>
          </w:p>
        </w:tc>
        <w:tc>
          <w:tcPr>
            <w:tcW w:w="756" w:type="dxa"/>
            <w:tcBorders>
              <w:top w:val="nil"/>
              <w:left w:val="nil"/>
              <w:bottom w:val="single" w:sz="4" w:space="0" w:color="auto"/>
              <w:right w:val="single" w:sz="4" w:space="0" w:color="auto"/>
            </w:tcBorders>
            <w:shd w:val="clear" w:color="000000" w:fill="FFFFFF"/>
            <w:noWrap/>
            <w:vAlign w:val="bottom"/>
            <w:hideMark/>
          </w:tcPr>
          <w:p w14:paraId="474762BD" w14:textId="77777777" w:rsidR="00092D1D" w:rsidRPr="008C0A3D" w:rsidRDefault="00092D1D" w:rsidP="00845892">
            <w:pPr>
              <w:jc w:val="right"/>
              <w:rPr>
                <w:rFonts w:ascii="Sylfaen" w:hAnsi="Sylfaen" w:cs="Arial"/>
                <w:sz w:val="16"/>
              </w:rPr>
            </w:pPr>
            <w:r w:rsidRPr="008C0A3D">
              <w:rPr>
                <w:rFonts w:ascii="Sylfaen" w:hAnsi="Sylfaen" w:cs="Arial"/>
                <w:sz w:val="16"/>
              </w:rPr>
              <w:t>14.3</w:t>
            </w:r>
          </w:p>
        </w:tc>
        <w:tc>
          <w:tcPr>
            <w:tcW w:w="756" w:type="dxa"/>
            <w:tcBorders>
              <w:top w:val="nil"/>
              <w:left w:val="nil"/>
              <w:bottom w:val="single" w:sz="4" w:space="0" w:color="auto"/>
              <w:right w:val="single" w:sz="4" w:space="0" w:color="auto"/>
            </w:tcBorders>
            <w:shd w:val="clear" w:color="000000" w:fill="FFFFFF"/>
            <w:noWrap/>
            <w:vAlign w:val="bottom"/>
            <w:hideMark/>
          </w:tcPr>
          <w:p w14:paraId="18A3D497" w14:textId="77777777" w:rsidR="00092D1D" w:rsidRPr="008C0A3D" w:rsidRDefault="00092D1D" w:rsidP="00845892">
            <w:pPr>
              <w:jc w:val="right"/>
              <w:rPr>
                <w:rFonts w:ascii="Sylfaen" w:hAnsi="Sylfaen" w:cs="Arial"/>
                <w:sz w:val="16"/>
              </w:rPr>
            </w:pPr>
            <w:r w:rsidRPr="008C0A3D">
              <w:rPr>
                <w:rFonts w:ascii="Sylfaen" w:hAnsi="Sylfaen" w:cs="Arial"/>
                <w:sz w:val="16"/>
              </w:rPr>
              <w:t>16.1</w:t>
            </w:r>
          </w:p>
        </w:tc>
        <w:tc>
          <w:tcPr>
            <w:tcW w:w="730" w:type="dxa"/>
            <w:tcBorders>
              <w:top w:val="nil"/>
              <w:left w:val="nil"/>
              <w:bottom w:val="single" w:sz="4" w:space="0" w:color="auto"/>
              <w:right w:val="single" w:sz="4" w:space="0" w:color="auto"/>
            </w:tcBorders>
            <w:shd w:val="clear" w:color="000000" w:fill="FFFFFF"/>
            <w:noWrap/>
            <w:vAlign w:val="bottom"/>
            <w:hideMark/>
          </w:tcPr>
          <w:p w14:paraId="601F55DB" w14:textId="77777777" w:rsidR="00092D1D" w:rsidRPr="008C0A3D" w:rsidRDefault="00092D1D" w:rsidP="00845892">
            <w:pPr>
              <w:jc w:val="right"/>
              <w:rPr>
                <w:rFonts w:ascii="Sylfaen" w:hAnsi="Sylfaen" w:cs="Arial"/>
                <w:sz w:val="16"/>
              </w:rPr>
            </w:pPr>
            <w:r w:rsidRPr="008C0A3D">
              <w:rPr>
                <w:rFonts w:ascii="Sylfaen" w:hAnsi="Sylfaen" w:cs="Arial"/>
                <w:sz w:val="16"/>
              </w:rPr>
              <w:t>16.2</w:t>
            </w:r>
          </w:p>
        </w:tc>
        <w:tc>
          <w:tcPr>
            <w:tcW w:w="756" w:type="dxa"/>
            <w:tcBorders>
              <w:top w:val="nil"/>
              <w:left w:val="nil"/>
              <w:bottom w:val="single" w:sz="4" w:space="0" w:color="auto"/>
              <w:right w:val="single" w:sz="4" w:space="0" w:color="auto"/>
            </w:tcBorders>
            <w:shd w:val="clear" w:color="000000" w:fill="FFFFFF"/>
            <w:noWrap/>
            <w:vAlign w:val="bottom"/>
            <w:hideMark/>
          </w:tcPr>
          <w:p w14:paraId="2D2DAAD2" w14:textId="77777777" w:rsidR="00092D1D" w:rsidRPr="008C0A3D" w:rsidRDefault="00092D1D" w:rsidP="00845892">
            <w:pPr>
              <w:jc w:val="right"/>
              <w:rPr>
                <w:rFonts w:ascii="Sylfaen" w:hAnsi="Sylfaen" w:cs="Arial"/>
                <w:sz w:val="16"/>
              </w:rPr>
            </w:pPr>
            <w:r w:rsidRPr="008C0A3D">
              <w:rPr>
                <w:rFonts w:ascii="Sylfaen" w:hAnsi="Sylfaen" w:cs="Arial"/>
                <w:sz w:val="16"/>
              </w:rPr>
              <w:t>20.8</w:t>
            </w:r>
          </w:p>
        </w:tc>
        <w:tc>
          <w:tcPr>
            <w:tcW w:w="756" w:type="dxa"/>
            <w:tcBorders>
              <w:top w:val="nil"/>
              <w:left w:val="nil"/>
              <w:bottom w:val="single" w:sz="4" w:space="0" w:color="auto"/>
              <w:right w:val="single" w:sz="4" w:space="0" w:color="auto"/>
            </w:tcBorders>
            <w:shd w:val="clear" w:color="000000" w:fill="FFFFFF"/>
            <w:noWrap/>
            <w:vAlign w:val="bottom"/>
            <w:hideMark/>
          </w:tcPr>
          <w:p w14:paraId="4BFF0238" w14:textId="77777777" w:rsidR="00092D1D" w:rsidRPr="008C0A3D" w:rsidRDefault="00092D1D" w:rsidP="00845892">
            <w:pPr>
              <w:jc w:val="right"/>
              <w:rPr>
                <w:rFonts w:ascii="Sylfaen" w:hAnsi="Sylfaen" w:cs="Arial"/>
                <w:sz w:val="16"/>
              </w:rPr>
            </w:pPr>
            <w:r w:rsidRPr="008C0A3D">
              <w:rPr>
                <w:rFonts w:ascii="Sylfaen" w:hAnsi="Sylfaen" w:cs="Arial"/>
                <w:sz w:val="16"/>
              </w:rPr>
              <w:t>16.9</w:t>
            </w:r>
          </w:p>
        </w:tc>
        <w:tc>
          <w:tcPr>
            <w:tcW w:w="884" w:type="dxa"/>
            <w:tcBorders>
              <w:top w:val="nil"/>
              <w:left w:val="nil"/>
              <w:bottom w:val="single" w:sz="4" w:space="0" w:color="auto"/>
              <w:right w:val="single" w:sz="4" w:space="0" w:color="auto"/>
            </w:tcBorders>
            <w:shd w:val="clear" w:color="000000" w:fill="FFFFFF"/>
            <w:noWrap/>
            <w:vAlign w:val="bottom"/>
            <w:hideMark/>
          </w:tcPr>
          <w:p w14:paraId="11050692" w14:textId="77777777" w:rsidR="00092D1D" w:rsidRPr="008C0A3D" w:rsidRDefault="00092D1D" w:rsidP="00845892">
            <w:pPr>
              <w:jc w:val="right"/>
              <w:rPr>
                <w:rFonts w:ascii="Sylfaen" w:hAnsi="Sylfaen" w:cs="Arial"/>
                <w:sz w:val="16"/>
              </w:rPr>
            </w:pPr>
            <w:r w:rsidRPr="008C0A3D">
              <w:rPr>
                <w:rFonts w:ascii="Sylfaen" w:hAnsi="Sylfaen" w:cs="Arial"/>
                <w:sz w:val="16"/>
              </w:rPr>
              <w:t>13.8</w:t>
            </w:r>
          </w:p>
        </w:tc>
        <w:tc>
          <w:tcPr>
            <w:tcW w:w="884" w:type="dxa"/>
            <w:tcBorders>
              <w:top w:val="nil"/>
              <w:left w:val="nil"/>
              <w:bottom w:val="single" w:sz="4" w:space="0" w:color="auto"/>
              <w:right w:val="single" w:sz="4" w:space="0" w:color="auto"/>
            </w:tcBorders>
            <w:shd w:val="clear" w:color="000000" w:fill="FFFFFF"/>
            <w:noWrap/>
            <w:vAlign w:val="bottom"/>
            <w:hideMark/>
          </w:tcPr>
          <w:p w14:paraId="08D9DBEB" w14:textId="77777777" w:rsidR="00092D1D" w:rsidRPr="008C0A3D" w:rsidRDefault="00092D1D" w:rsidP="00845892">
            <w:pPr>
              <w:jc w:val="right"/>
              <w:rPr>
                <w:rFonts w:ascii="Sylfaen" w:hAnsi="Sylfaen" w:cs="Arial"/>
                <w:sz w:val="16"/>
              </w:rPr>
            </w:pPr>
            <w:r w:rsidRPr="008C0A3D">
              <w:rPr>
                <w:rFonts w:ascii="Sylfaen" w:hAnsi="Sylfaen" w:cs="Arial"/>
                <w:sz w:val="16"/>
              </w:rPr>
              <w:t>23.3</w:t>
            </w:r>
          </w:p>
        </w:tc>
      </w:tr>
      <w:tr w:rsidR="00092D1D" w:rsidRPr="008C0A3D" w14:paraId="3A75C943" w14:textId="77777777" w:rsidTr="008C0A3D">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4923F373" w14:textId="77777777" w:rsidR="00092D1D" w:rsidRPr="008C0A3D" w:rsidRDefault="00092D1D" w:rsidP="00845892">
            <w:pPr>
              <w:rPr>
                <w:rFonts w:ascii="Sylfaen" w:hAnsi="Sylfaen" w:cs="Calibri"/>
                <w:color w:val="000000"/>
                <w:sz w:val="16"/>
              </w:rPr>
            </w:pPr>
            <w:r w:rsidRPr="008C0A3D">
              <w:rPr>
                <w:rFonts w:ascii="Sylfaen" w:hAnsi="Sylfaen" w:cs="Calibri"/>
                <w:color w:val="000000"/>
                <w:sz w:val="16"/>
              </w:rPr>
              <w:t xml:space="preserve">დედა თხის სულადობა  </w:t>
            </w:r>
          </w:p>
        </w:tc>
        <w:tc>
          <w:tcPr>
            <w:tcW w:w="447" w:type="dxa"/>
            <w:tcBorders>
              <w:top w:val="nil"/>
              <w:left w:val="nil"/>
              <w:bottom w:val="single" w:sz="4" w:space="0" w:color="auto"/>
              <w:right w:val="single" w:sz="4" w:space="0" w:color="auto"/>
            </w:tcBorders>
            <w:shd w:val="clear" w:color="000000" w:fill="FFFFFF"/>
            <w:noWrap/>
            <w:vAlign w:val="bottom"/>
            <w:hideMark/>
          </w:tcPr>
          <w:p w14:paraId="033F5CEC" w14:textId="77777777" w:rsidR="00092D1D" w:rsidRPr="008C0A3D" w:rsidRDefault="00092D1D" w:rsidP="00845892">
            <w:pPr>
              <w:jc w:val="right"/>
              <w:rPr>
                <w:rFonts w:ascii="Sylfaen" w:hAnsi="Sylfaen" w:cs="Arial"/>
                <w:sz w:val="16"/>
              </w:rPr>
            </w:pPr>
            <w:r w:rsidRPr="008C0A3D">
              <w:rPr>
                <w:rFonts w:ascii="Sylfaen" w:hAnsi="Sylfaen" w:cs="Arial"/>
                <w:sz w:val="16"/>
              </w:rPr>
              <w:t>7.4</w:t>
            </w:r>
          </w:p>
        </w:tc>
        <w:tc>
          <w:tcPr>
            <w:tcW w:w="621" w:type="dxa"/>
            <w:tcBorders>
              <w:top w:val="nil"/>
              <w:left w:val="nil"/>
              <w:bottom w:val="single" w:sz="4" w:space="0" w:color="auto"/>
              <w:right w:val="single" w:sz="4" w:space="0" w:color="auto"/>
            </w:tcBorders>
            <w:shd w:val="clear" w:color="000000" w:fill="FFFFFF"/>
            <w:noWrap/>
            <w:vAlign w:val="bottom"/>
            <w:hideMark/>
          </w:tcPr>
          <w:p w14:paraId="30DC6A8E" w14:textId="77777777" w:rsidR="00092D1D" w:rsidRPr="008C0A3D" w:rsidRDefault="00092D1D" w:rsidP="00845892">
            <w:pPr>
              <w:jc w:val="right"/>
              <w:rPr>
                <w:rFonts w:ascii="Sylfaen" w:hAnsi="Sylfaen" w:cs="Arial"/>
                <w:sz w:val="16"/>
              </w:rPr>
            </w:pPr>
            <w:r w:rsidRPr="008C0A3D">
              <w:rPr>
                <w:rFonts w:ascii="Sylfaen" w:hAnsi="Sylfaen" w:cs="Arial"/>
                <w:sz w:val="16"/>
              </w:rPr>
              <w:t>9.8</w:t>
            </w:r>
          </w:p>
        </w:tc>
        <w:tc>
          <w:tcPr>
            <w:tcW w:w="756" w:type="dxa"/>
            <w:tcBorders>
              <w:top w:val="nil"/>
              <w:left w:val="nil"/>
              <w:bottom w:val="single" w:sz="4" w:space="0" w:color="auto"/>
              <w:right w:val="single" w:sz="4" w:space="0" w:color="auto"/>
            </w:tcBorders>
            <w:shd w:val="clear" w:color="000000" w:fill="FFFFFF"/>
            <w:noWrap/>
            <w:vAlign w:val="bottom"/>
            <w:hideMark/>
          </w:tcPr>
          <w:p w14:paraId="12F0927F" w14:textId="77777777" w:rsidR="00092D1D" w:rsidRPr="008C0A3D" w:rsidRDefault="00092D1D" w:rsidP="00845892">
            <w:pPr>
              <w:jc w:val="right"/>
              <w:rPr>
                <w:rFonts w:ascii="Sylfaen" w:hAnsi="Sylfaen" w:cs="Arial"/>
                <w:sz w:val="16"/>
              </w:rPr>
            </w:pPr>
            <w:r w:rsidRPr="008C0A3D">
              <w:rPr>
                <w:rFonts w:ascii="Sylfaen" w:hAnsi="Sylfaen" w:cs="Arial"/>
                <w:sz w:val="16"/>
              </w:rPr>
              <w:t>9.7</w:t>
            </w:r>
          </w:p>
        </w:tc>
        <w:tc>
          <w:tcPr>
            <w:tcW w:w="884" w:type="dxa"/>
            <w:tcBorders>
              <w:top w:val="nil"/>
              <w:left w:val="nil"/>
              <w:bottom w:val="single" w:sz="4" w:space="0" w:color="auto"/>
              <w:right w:val="single" w:sz="4" w:space="0" w:color="auto"/>
            </w:tcBorders>
            <w:shd w:val="clear" w:color="000000" w:fill="FFFFFF"/>
            <w:noWrap/>
            <w:vAlign w:val="bottom"/>
            <w:hideMark/>
          </w:tcPr>
          <w:p w14:paraId="3230D280" w14:textId="77777777" w:rsidR="00092D1D" w:rsidRPr="008C0A3D" w:rsidRDefault="00092D1D" w:rsidP="00845892">
            <w:pPr>
              <w:jc w:val="right"/>
              <w:rPr>
                <w:rFonts w:ascii="Sylfaen" w:hAnsi="Sylfaen" w:cs="Arial"/>
                <w:sz w:val="16"/>
              </w:rPr>
            </w:pPr>
            <w:r w:rsidRPr="008C0A3D">
              <w:rPr>
                <w:rFonts w:ascii="Sylfaen" w:hAnsi="Sylfaen" w:cs="Arial"/>
                <w:sz w:val="16"/>
              </w:rPr>
              <w:t>10.7</w:t>
            </w:r>
          </w:p>
        </w:tc>
        <w:tc>
          <w:tcPr>
            <w:tcW w:w="756" w:type="dxa"/>
            <w:tcBorders>
              <w:top w:val="nil"/>
              <w:left w:val="nil"/>
              <w:bottom w:val="single" w:sz="4" w:space="0" w:color="auto"/>
              <w:right w:val="single" w:sz="4" w:space="0" w:color="auto"/>
            </w:tcBorders>
            <w:shd w:val="clear" w:color="000000" w:fill="FFFFFF"/>
            <w:noWrap/>
            <w:vAlign w:val="bottom"/>
            <w:hideMark/>
          </w:tcPr>
          <w:p w14:paraId="16085377" w14:textId="77777777" w:rsidR="00092D1D" w:rsidRPr="008C0A3D" w:rsidRDefault="00092D1D" w:rsidP="00845892">
            <w:pPr>
              <w:jc w:val="right"/>
              <w:rPr>
                <w:rFonts w:ascii="Sylfaen" w:hAnsi="Sylfaen" w:cs="Arial"/>
                <w:sz w:val="16"/>
              </w:rPr>
            </w:pPr>
            <w:r w:rsidRPr="008C0A3D">
              <w:rPr>
                <w:rFonts w:ascii="Sylfaen" w:hAnsi="Sylfaen" w:cs="Arial"/>
                <w:sz w:val="16"/>
              </w:rPr>
              <w:t>9.0</w:t>
            </w:r>
          </w:p>
        </w:tc>
        <w:tc>
          <w:tcPr>
            <w:tcW w:w="756" w:type="dxa"/>
            <w:tcBorders>
              <w:top w:val="nil"/>
              <w:left w:val="nil"/>
              <w:bottom w:val="single" w:sz="4" w:space="0" w:color="auto"/>
              <w:right w:val="single" w:sz="4" w:space="0" w:color="auto"/>
            </w:tcBorders>
            <w:shd w:val="clear" w:color="000000" w:fill="FFFFFF"/>
            <w:noWrap/>
            <w:vAlign w:val="bottom"/>
            <w:hideMark/>
          </w:tcPr>
          <w:p w14:paraId="5876C356" w14:textId="77777777" w:rsidR="00092D1D" w:rsidRPr="008C0A3D" w:rsidRDefault="00092D1D" w:rsidP="00845892">
            <w:pPr>
              <w:jc w:val="right"/>
              <w:rPr>
                <w:rFonts w:ascii="Sylfaen" w:hAnsi="Sylfaen" w:cs="Arial"/>
                <w:sz w:val="16"/>
              </w:rPr>
            </w:pPr>
            <w:r w:rsidRPr="008C0A3D">
              <w:rPr>
                <w:rFonts w:ascii="Sylfaen" w:hAnsi="Sylfaen" w:cs="Arial"/>
                <w:sz w:val="16"/>
              </w:rPr>
              <w:t>11.1</w:t>
            </w:r>
          </w:p>
        </w:tc>
        <w:tc>
          <w:tcPr>
            <w:tcW w:w="730" w:type="dxa"/>
            <w:tcBorders>
              <w:top w:val="nil"/>
              <w:left w:val="nil"/>
              <w:bottom w:val="single" w:sz="4" w:space="0" w:color="auto"/>
              <w:right w:val="single" w:sz="4" w:space="0" w:color="auto"/>
            </w:tcBorders>
            <w:shd w:val="clear" w:color="000000" w:fill="FFFFFF"/>
            <w:noWrap/>
            <w:vAlign w:val="bottom"/>
            <w:hideMark/>
          </w:tcPr>
          <w:p w14:paraId="5F30A28A" w14:textId="77777777" w:rsidR="00092D1D" w:rsidRPr="008C0A3D" w:rsidRDefault="00092D1D" w:rsidP="00845892">
            <w:pPr>
              <w:jc w:val="right"/>
              <w:rPr>
                <w:rFonts w:ascii="Sylfaen" w:hAnsi="Sylfaen" w:cs="Arial"/>
                <w:sz w:val="16"/>
              </w:rPr>
            </w:pPr>
            <w:r w:rsidRPr="008C0A3D">
              <w:rPr>
                <w:rFonts w:ascii="Sylfaen" w:hAnsi="Sylfaen" w:cs="Arial"/>
                <w:sz w:val="16"/>
              </w:rPr>
              <w:t>10.9</w:t>
            </w:r>
          </w:p>
        </w:tc>
        <w:tc>
          <w:tcPr>
            <w:tcW w:w="756" w:type="dxa"/>
            <w:tcBorders>
              <w:top w:val="nil"/>
              <w:left w:val="nil"/>
              <w:bottom w:val="single" w:sz="4" w:space="0" w:color="auto"/>
              <w:right w:val="single" w:sz="4" w:space="0" w:color="auto"/>
            </w:tcBorders>
            <w:shd w:val="clear" w:color="000000" w:fill="FFFFFF"/>
            <w:noWrap/>
            <w:vAlign w:val="bottom"/>
            <w:hideMark/>
          </w:tcPr>
          <w:p w14:paraId="67D88257" w14:textId="77777777" w:rsidR="00092D1D" w:rsidRPr="008C0A3D" w:rsidRDefault="00092D1D" w:rsidP="00845892">
            <w:pPr>
              <w:jc w:val="right"/>
              <w:rPr>
                <w:rFonts w:ascii="Sylfaen" w:hAnsi="Sylfaen" w:cs="Arial"/>
                <w:sz w:val="16"/>
              </w:rPr>
            </w:pPr>
            <w:r w:rsidRPr="008C0A3D">
              <w:rPr>
                <w:rFonts w:ascii="Sylfaen" w:hAnsi="Sylfaen" w:cs="Arial"/>
                <w:sz w:val="16"/>
              </w:rPr>
              <w:t>13.6</w:t>
            </w:r>
          </w:p>
        </w:tc>
        <w:tc>
          <w:tcPr>
            <w:tcW w:w="756" w:type="dxa"/>
            <w:tcBorders>
              <w:top w:val="nil"/>
              <w:left w:val="nil"/>
              <w:bottom w:val="single" w:sz="4" w:space="0" w:color="auto"/>
              <w:right w:val="single" w:sz="4" w:space="0" w:color="auto"/>
            </w:tcBorders>
            <w:shd w:val="clear" w:color="000000" w:fill="FFFFFF"/>
            <w:noWrap/>
            <w:vAlign w:val="bottom"/>
            <w:hideMark/>
          </w:tcPr>
          <w:p w14:paraId="780D2742" w14:textId="77777777" w:rsidR="00092D1D" w:rsidRPr="008C0A3D" w:rsidRDefault="00092D1D" w:rsidP="00845892">
            <w:pPr>
              <w:jc w:val="right"/>
              <w:rPr>
                <w:rFonts w:ascii="Sylfaen" w:hAnsi="Sylfaen" w:cs="Arial"/>
                <w:sz w:val="16"/>
              </w:rPr>
            </w:pPr>
            <w:r w:rsidRPr="008C0A3D">
              <w:rPr>
                <w:rFonts w:ascii="Sylfaen" w:hAnsi="Sylfaen" w:cs="Arial"/>
                <w:sz w:val="16"/>
              </w:rPr>
              <w:t>11.5</w:t>
            </w:r>
          </w:p>
        </w:tc>
        <w:tc>
          <w:tcPr>
            <w:tcW w:w="884" w:type="dxa"/>
            <w:tcBorders>
              <w:top w:val="nil"/>
              <w:left w:val="nil"/>
              <w:bottom w:val="single" w:sz="4" w:space="0" w:color="auto"/>
              <w:right w:val="single" w:sz="4" w:space="0" w:color="auto"/>
            </w:tcBorders>
            <w:shd w:val="clear" w:color="000000" w:fill="FFFFFF"/>
            <w:noWrap/>
            <w:vAlign w:val="bottom"/>
            <w:hideMark/>
          </w:tcPr>
          <w:p w14:paraId="2BA7FF25" w14:textId="77777777" w:rsidR="00092D1D" w:rsidRPr="008C0A3D" w:rsidRDefault="00092D1D" w:rsidP="00845892">
            <w:pPr>
              <w:jc w:val="right"/>
              <w:rPr>
                <w:rFonts w:ascii="Sylfaen" w:hAnsi="Sylfaen" w:cs="Arial"/>
                <w:sz w:val="16"/>
              </w:rPr>
            </w:pPr>
            <w:r w:rsidRPr="008C0A3D">
              <w:rPr>
                <w:rFonts w:ascii="Sylfaen" w:hAnsi="Sylfaen" w:cs="Arial"/>
                <w:sz w:val="16"/>
              </w:rPr>
              <w:t>8.6</w:t>
            </w:r>
          </w:p>
        </w:tc>
        <w:tc>
          <w:tcPr>
            <w:tcW w:w="884" w:type="dxa"/>
            <w:tcBorders>
              <w:top w:val="nil"/>
              <w:left w:val="nil"/>
              <w:bottom w:val="single" w:sz="4" w:space="0" w:color="auto"/>
              <w:right w:val="single" w:sz="4" w:space="0" w:color="auto"/>
            </w:tcBorders>
            <w:shd w:val="clear" w:color="000000" w:fill="FFFFFF"/>
            <w:noWrap/>
            <w:vAlign w:val="bottom"/>
            <w:hideMark/>
          </w:tcPr>
          <w:p w14:paraId="66F40522" w14:textId="77777777" w:rsidR="00092D1D" w:rsidRPr="008C0A3D" w:rsidRDefault="00092D1D" w:rsidP="00845892">
            <w:pPr>
              <w:jc w:val="right"/>
              <w:rPr>
                <w:rFonts w:ascii="Sylfaen" w:hAnsi="Sylfaen" w:cs="Arial"/>
                <w:sz w:val="16"/>
              </w:rPr>
            </w:pPr>
            <w:r w:rsidRPr="008C0A3D">
              <w:rPr>
                <w:rFonts w:ascii="Sylfaen" w:hAnsi="Sylfaen" w:cs="Arial"/>
                <w:sz w:val="16"/>
              </w:rPr>
              <w:t>17.3</w:t>
            </w:r>
          </w:p>
        </w:tc>
      </w:tr>
      <w:tr w:rsidR="00092D1D" w:rsidRPr="008C0A3D" w14:paraId="70BD6A02" w14:textId="77777777" w:rsidTr="008C0A3D">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53B6D5FF" w14:textId="77777777" w:rsidR="00092D1D" w:rsidRPr="008C0A3D" w:rsidRDefault="00092D1D" w:rsidP="00845892">
            <w:pPr>
              <w:rPr>
                <w:rFonts w:ascii="Sylfaen" w:hAnsi="Sylfaen" w:cs="Calibri"/>
                <w:color w:val="000000"/>
                <w:sz w:val="16"/>
              </w:rPr>
            </w:pPr>
            <w:r w:rsidRPr="008C0A3D">
              <w:rPr>
                <w:rFonts w:ascii="Sylfaen" w:hAnsi="Sylfaen" w:cs="Calibri"/>
                <w:color w:val="000000"/>
                <w:sz w:val="16"/>
              </w:rPr>
              <w:t>ყველა სახის ფრინველის რაოდენობა (ათასი ფრთა)</w:t>
            </w:r>
          </w:p>
        </w:tc>
        <w:tc>
          <w:tcPr>
            <w:tcW w:w="447" w:type="dxa"/>
            <w:tcBorders>
              <w:top w:val="nil"/>
              <w:left w:val="nil"/>
              <w:bottom w:val="single" w:sz="4" w:space="0" w:color="auto"/>
              <w:right w:val="single" w:sz="4" w:space="0" w:color="auto"/>
            </w:tcBorders>
            <w:shd w:val="clear" w:color="000000" w:fill="FFFFFF"/>
            <w:noWrap/>
            <w:vAlign w:val="bottom"/>
            <w:hideMark/>
          </w:tcPr>
          <w:p w14:paraId="283C7C7E" w14:textId="77777777" w:rsidR="00092D1D" w:rsidRPr="008C0A3D" w:rsidRDefault="00092D1D" w:rsidP="00845892">
            <w:pPr>
              <w:jc w:val="right"/>
              <w:rPr>
                <w:rFonts w:ascii="Sylfaen" w:hAnsi="Sylfaen" w:cs="Arial"/>
                <w:sz w:val="16"/>
              </w:rPr>
            </w:pPr>
            <w:r w:rsidRPr="008C0A3D">
              <w:rPr>
                <w:rFonts w:ascii="Sylfaen" w:hAnsi="Sylfaen" w:cs="Arial"/>
                <w:sz w:val="16"/>
              </w:rPr>
              <w:t>878.7</w:t>
            </w:r>
          </w:p>
        </w:tc>
        <w:tc>
          <w:tcPr>
            <w:tcW w:w="621" w:type="dxa"/>
            <w:tcBorders>
              <w:top w:val="nil"/>
              <w:left w:val="nil"/>
              <w:bottom w:val="single" w:sz="4" w:space="0" w:color="auto"/>
              <w:right w:val="single" w:sz="4" w:space="0" w:color="auto"/>
            </w:tcBorders>
            <w:shd w:val="clear" w:color="000000" w:fill="FFFFFF"/>
            <w:noWrap/>
            <w:vAlign w:val="bottom"/>
            <w:hideMark/>
          </w:tcPr>
          <w:p w14:paraId="3380B3FB" w14:textId="77777777" w:rsidR="00092D1D" w:rsidRPr="008C0A3D" w:rsidRDefault="00092D1D" w:rsidP="00845892">
            <w:pPr>
              <w:jc w:val="right"/>
              <w:rPr>
                <w:rFonts w:ascii="Sylfaen" w:hAnsi="Sylfaen" w:cs="Arial"/>
                <w:sz w:val="16"/>
              </w:rPr>
            </w:pPr>
            <w:r w:rsidRPr="008C0A3D">
              <w:rPr>
                <w:rFonts w:ascii="Sylfaen" w:hAnsi="Sylfaen" w:cs="Arial"/>
                <w:sz w:val="16"/>
              </w:rPr>
              <w:t>804.8</w:t>
            </w:r>
          </w:p>
        </w:tc>
        <w:tc>
          <w:tcPr>
            <w:tcW w:w="756" w:type="dxa"/>
            <w:tcBorders>
              <w:top w:val="nil"/>
              <w:left w:val="nil"/>
              <w:bottom w:val="single" w:sz="4" w:space="0" w:color="auto"/>
              <w:right w:val="single" w:sz="4" w:space="0" w:color="auto"/>
            </w:tcBorders>
            <w:shd w:val="clear" w:color="000000" w:fill="FFFFFF"/>
            <w:noWrap/>
            <w:vAlign w:val="bottom"/>
            <w:hideMark/>
          </w:tcPr>
          <w:p w14:paraId="6B858597" w14:textId="77777777" w:rsidR="00092D1D" w:rsidRPr="008C0A3D" w:rsidRDefault="00092D1D" w:rsidP="00845892">
            <w:pPr>
              <w:jc w:val="right"/>
              <w:rPr>
                <w:rFonts w:ascii="Sylfaen" w:hAnsi="Sylfaen" w:cs="Arial"/>
                <w:sz w:val="16"/>
              </w:rPr>
            </w:pPr>
            <w:r w:rsidRPr="008C0A3D">
              <w:rPr>
                <w:rFonts w:ascii="Sylfaen" w:hAnsi="Sylfaen" w:cs="Arial"/>
                <w:sz w:val="16"/>
              </w:rPr>
              <w:t>1,004.4</w:t>
            </w:r>
          </w:p>
        </w:tc>
        <w:tc>
          <w:tcPr>
            <w:tcW w:w="884" w:type="dxa"/>
            <w:tcBorders>
              <w:top w:val="nil"/>
              <w:left w:val="nil"/>
              <w:bottom w:val="single" w:sz="4" w:space="0" w:color="auto"/>
              <w:right w:val="single" w:sz="4" w:space="0" w:color="auto"/>
            </w:tcBorders>
            <w:shd w:val="clear" w:color="000000" w:fill="FFFFFF"/>
            <w:noWrap/>
            <w:vAlign w:val="bottom"/>
            <w:hideMark/>
          </w:tcPr>
          <w:p w14:paraId="7C62D0C9" w14:textId="77777777" w:rsidR="00092D1D" w:rsidRPr="008C0A3D" w:rsidRDefault="00092D1D" w:rsidP="00845892">
            <w:pPr>
              <w:jc w:val="right"/>
              <w:rPr>
                <w:rFonts w:ascii="Sylfaen" w:hAnsi="Sylfaen" w:cs="Arial"/>
                <w:sz w:val="16"/>
              </w:rPr>
            </w:pPr>
            <w:r w:rsidRPr="008C0A3D">
              <w:rPr>
                <w:rFonts w:ascii="Sylfaen" w:hAnsi="Sylfaen" w:cs="Arial"/>
                <w:sz w:val="16"/>
              </w:rPr>
              <w:t>1,088.5</w:t>
            </w:r>
          </w:p>
        </w:tc>
        <w:tc>
          <w:tcPr>
            <w:tcW w:w="756" w:type="dxa"/>
            <w:tcBorders>
              <w:top w:val="nil"/>
              <w:left w:val="nil"/>
              <w:bottom w:val="single" w:sz="4" w:space="0" w:color="auto"/>
              <w:right w:val="single" w:sz="4" w:space="0" w:color="auto"/>
            </w:tcBorders>
            <w:shd w:val="clear" w:color="000000" w:fill="FFFFFF"/>
            <w:noWrap/>
            <w:vAlign w:val="bottom"/>
            <w:hideMark/>
          </w:tcPr>
          <w:p w14:paraId="75F0B49D" w14:textId="77777777" w:rsidR="00092D1D" w:rsidRPr="008C0A3D" w:rsidRDefault="00092D1D" w:rsidP="00845892">
            <w:pPr>
              <w:jc w:val="right"/>
              <w:rPr>
                <w:rFonts w:ascii="Sylfaen" w:hAnsi="Sylfaen" w:cs="Arial"/>
                <w:sz w:val="16"/>
              </w:rPr>
            </w:pPr>
            <w:r w:rsidRPr="008C0A3D">
              <w:rPr>
                <w:rFonts w:ascii="Sylfaen" w:hAnsi="Sylfaen" w:cs="Arial"/>
                <w:sz w:val="16"/>
              </w:rPr>
              <w:t>1,088.0</w:t>
            </w:r>
          </w:p>
        </w:tc>
        <w:tc>
          <w:tcPr>
            <w:tcW w:w="756" w:type="dxa"/>
            <w:tcBorders>
              <w:top w:val="nil"/>
              <w:left w:val="nil"/>
              <w:bottom w:val="single" w:sz="4" w:space="0" w:color="auto"/>
              <w:right w:val="single" w:sz="4" w:space="0" w:color="auto"/>
            </w:tcBorders>
            <w:shd w:val="clear" w:color="000000" w:fill="FFFFFF"/>
            <w:noWrap/>
            <w:vAlign w:val="bottom"/>
            <w:hideMark/>
          </w:tcPr>
          <w:p w14:paraId="2E4DE625" w14:textId="77777777" w:rsidR="00092D1D" w:rsidRPr="008C0A3D" w:rsidRDefault="00092D1D" w:rsidP="00845892">
            <w:pPr>
              <w:jc w:val="right"/>
              <w:rPr>
                <w:rFonts w:ascii="Sylfaen" w:hAnsi="Sylfaen" w:cs="Arial"/>
                <w:sz w:val="16"/>
              </w:rPr>
            </w:pPr>
            <w:r w:rsidRPr="008C0A3D">
              <w:rPr>
                <w:rFonts w:ascii="Sylfaen" w:hAnsi="Sylfaen" w:cs="Arial"/>
                <w:sz w:val="16"/>
              </w:rPr>
              <w:t>1,025.4</w:t>
            </w:r>
          </w:p>
        </w:tc>
        <w:tc>
          <w:tcPr>
            <w:tcW w:w="730" w:type="dxa"/>
            <w:tcBorders>
              <w:top w:val="nil"/>
              <w:left w:val="nil"/>
              <w:bottom w:val="single" w:sz="4" w:space="0" w:color="auto"/>
              <w:right w:val="single" w:sz="4" w:space="0" w:color="auto"/>
            </w:tcBorders>
            <w:shd w:val="clear" w:color="000000" w:fill="FFFFFF"/>
            <w:noWrap/>
            <w:vAlign w:val="bottom"/>
            <w:hideMark/>
          </w:tcPr>
          <w:p w14:paraId="7D82DDB3" w14:textId="77777777" w:rsidR="00092D1D" w:rsidRPr="008C0A3D" w:rsidRDefault="00092D1D" w:rsidP="00845892">
            <w:pPr>
              <w:jc w:val="right"/>
              <w:rPr>
                <w:rFonts w:ascii="Sylfaen" w:hAnsi="Sylfaen" w:cs="Arial"/>
                <w:sz w:val="16"/>
              </w:rPr>
            </w:pPr>
            <w:r w:rsidRPr="008C0A3D">
              <w:rPr>
                <w:rFonts w:ascii="Sylfaen" w:hAnsi="Sylfaen" w:cs="Arial"/>
                <w:sz w:val="16"/>
              </w:rPr>
              <w:t>945.4</w:t>
            </w:r>
          </w:p>
        </w:tc>
        <w:tc>
          <w:tcPr>
            <w:tcW w:w="756" w:type="dxa"/>
            <w:tcBorders>
              <w:top w:val="nil"/>
              <w:left w:val="nil"/>
              <w:bottom w:val="single" w:sz="4" w:space="0" w:color="auto"/>
              <w:right w:val="single" w:sz="4" w:space="0" w:color="auto"/>
            </w:tcBorders>
            <w:shd w:val="clear" w:color="000000" w:fill="FFFFFF"/>
            <w:noWrap/>
            <w:vAlign w:val="bottom"/>
            <w:hideMark/>
          </w:tcPr>
          <w:p w14:paraId="20800814" w14:textId="77777777" w:rsidR="00092D1D" w:rsidRPr="008C0A3D" w:rsidRDefault="00092D1D" w:rsidP="00845892">
            <w:pPr>
              <w:jc w:val="right"/>
              <w:rPr>
                <w:rFonts w:ascii="Sylfaen" w:hAnsi="Sylfaen" w:cs="Arial"/>
                <w:sz w:val="16"/>
              </w:rPr>
            </w:pPr>
            <w:r w:rsidRPr="008C0A3D">
              <w:rPr>
                <w:rFonts w:ascii="Sylfaen" w:hAnsi="Sylfaen" w:cs="Arial"/>
                <w:sz w:val="16"/>
              </w:rPr>
              <w:t>1,117.2</w:t>
            </w:r>
          </w:p>
        </w:tc>
        <w:tc>
          <w:tcPr>
            <w:tcW w:w="756" w:type="dxa"/>
            <w:tcBorders>
              <w:top w:val="nil"/>
              <w:left w:val="nil"/>
              <w:bottom w:val="single" w:sz="4" w:space="0" w:color="auto"/>
              <w:right w:val="single" w:sz="4" w:space="0" w:color="auto"/>
            </w:tcBorders>
            <w:shd w:val="clear" w:color="000000" w:fill="FFFFFF"/>
            <w:noWrap/>
            <w:vAlign w:val="bottom"/>
            <w:hideMark/>
          </w:tcPr>
          <w:p w14:paraId="6AC2980B" w14:textId="77777777" w:rsidR="00092D1D" w:rsidRPr="008C0A3D" w:rsidRDefault="00092D1D" w:rsidP="00845892">
            <w:pPr>
              <w:jc w:val="right"/>
              <w:rPr>
                <w:rFonts w:ascii="Sylfaen" w:hAnsi="Sylfaen" w:cs="Arial"/>
                <w:sz w:val="16"/>
              </w:rPr>
            </w:pPr>
            <w:r w:rsidRPr="008C0A3D">
              <w:rPr>
                <w:rFonts w:ascii="Sylfaen" w:hAnsi="Sylfaen" w:cs="Arial"/>
                <w:sz w:val="16"/>
              </w:rPr>
              <w:t>1,177.5</w:t>
            </w:r>
          </w:p>
        </w:tc>
        <w:tc>
          <w:tcPr>
            <w:tcW w:w="884" w:type="dxa"/>
            <w:tcBorders>
              <w:top w:val="nil"/>
              <w:left w:val="nil"/>
              <w:bottom w:val="single" w:sz="4" w:space="0" w:color="auto"/>
              <w:right w:val="single" w:sz="4" w:space="0" w:color="auto"/>
            </w:tcBorders>
            <w:shd w:val="clear" w:color="000000" w:fill="FFFFFF"/>
            <w:noWrap/>
            <w:vAlign w:val="bottom"/>
            <w:hideMark/>
          </w:tcPr>
          <w:p w14:paraId="464FC15A" w14:textId="77777777" w:rsidR="00092D1D" w:rsidRPr="008C0A3D" w:rsidRDefault="00092D1D" w:rsidP="00845892">
            <w:pPr>
              <w:jc w:val="right"/>
              <w:rPr>
                <w:rFonts w:ascii="Sylfaen" w:hAnsi="Sylfaen" w:cs="Arial"/>
                <w:sz w:val="16"/>
              </w:rPr>
            </w:pPr>
            <w:r w:rsidRPr="008C0A3D">
              <w:rPr>
                <w:rFonts w:ascii="Sylfaen" w:hAnsi="Sylfaen" w:cs="Arial"/>
                <w:sz w:val="16"/>
              </w:rPr>
              <w:t>1,201.7</w:t>
            </w:r>
          </w:p>
        </w:tc>
        <w:tc>
          <w:tcPr>
            <w:tcW w:w="884" w:type="dxa"/>
            <w:tcBorders>
              <w:top w:val="nil"/>
              <w:left w:val="nil"/>
              <w:bottom w:val="single" w:sz="4" w:space="0" w:color="auto"/>
              <w:right w:val="single" w:sz="4" w:space="0" w:color="auto"/>
            </w:tcBorders>
            <w:shd w:val="clear" w:color="000000" w:fill="FFFFFF"/>
            <w:noWrap/>
            <w:vAlign w:val="bottom"/>
            <w:hideMark/>
          </w:tcPr>
          <w:p w14:paraId="7CB96DFC" w14:textId="77777777" w:rsidR="00092D1D" w:rsidRPr="008C0A3D" w:rsidRDefault="00092D1D" w:rsidP="00845892">
            <w:pPr>
              <w:jc w:val="right"/>
              <w:rPr>
                <w:rFonts w:ascii="Sylfaen" w:hAnsi="Sylfaen" w:cs="Arial"/>
                <w:sz w:val="16"/>
              </w:rPr>
            </w:pPr>
            <w:r w:rsidRPr="008C0A3D">
              <w:rPr>
                <w:rFonts w:ascii="Sylfaen" w:hAnsi="Sylfaen" w:cs="Arial"/>
                <w:sz w:val="16"/>
              </w:rPr>
              <w:t>1,186.8</w:t>
            </w:r>
          </w:p>
        </w:tc>
      </w:tr>
      <w:tr w:rsidR="00092D1D" w:rsidRPr="008C0A3D" w14:paraId="29EF5CA7" w14:textId="77777777" w:rsidTr="008C0A3D">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2D98CC88" w14:textId="77777777" w:rsidR="00092D1D" w:rsidRPr="008C0A3D" w:rsidRDefault="00092D1D" w:rsidP="00845892">
            <w:pPr>
              <w:rPr>
                <w:rFonts w:ascii="Sylfaen" w:hAnsi="Sylfaen" w:cs="Calibri"/>
                <w:color w:val="000000"/>
                <w:sz w:val="16"/>
              </w:rPr>
            </w:pPr>
            <w:r w:rsidRPr="008C0A3D">
              <w:rPr>
                <w:rFonts w:ascii="Sylfaen" w:hAnsi="Sylfaen" w:cs="Calibri"/>
                <w:color w:val="000000"/>
                <w:sz w:val="16"/>
              </w:rPr>
              <w:t>ფუტკრის ოჯახების რაოდენობა (ათასი სკა)</w:t>
            </w:r>
          </w:p>
        </w:tc>
        <w:tc>
          <w:tcPr>
            <w:tcW w:w="447" w:type="dxa"/>
            <w:tcBorders>
              <w:top w:val="nil"/>
              <w:left w:val="nil"/>
              <w:bottom w:val="single" w:sz="4" w:space="0" w:color="auto"/>
              <w:right w:val="single" w:sz="4" w:space="0" w:color="auto"/>
            </w:tcBorders>
            <w:shd w:val="clear" w:color="000000" w:fill="FFFFFF"/>
            <w:noWrap/>
            <w:vAlign w:val="bottom"/>
            <w:hideMark/>
          </w:tcPr>
          <w:p w14:paraId="59EB5658" w14:textId="77777777" w:rsidR="00092D1D" w:rsidRPr="008C0A3D" w:rsidRDefault="00092D1D" w:rsidP="00845892">
            <w:pPr>
              <w:jc w:val="right"/>
              <w:rPr>
                <w:rFonts w:ascii="Sylfaen" w:hAnsi="Sylfaen" w:cs="Arial"/>
                <w:sz w:val="16"/>
              </w:rPr>
            </w:pPr>
            <w:r w:rsidRPr="008C0A3D">
              <w:rPr>
                <w:rFonts w:ascii="Sylfaen" w:hAnsi="Sylfaen" w:cs="Arial"/>
                <w:sz w:val="16"/>
              </w:rPr>
              <w:t>28.6</w:t>
            </w:r>
          </w:p>
        </w:tc>
        <w:tc>
          <w:tcPr>
            <w:tcW w:w="621" w:type="dxa"/>
            <w:tcBorders>
              <w:top w:val="nil"/>
              <w:left w:val="nil"/>
              <w:bottom w:val="single" w:sz="4" w:space="0" w:color="auto"/>
              <w:right w:val="single" w:sz="4" w:space="0" w:color="auto"/>
            </w:tcBorders>
            <w:shd w:val="clear" w:color="000000" w:fill="FFFFFF"/>
            <w:noWrap/>
            <w:vAlign w:val="bottom"/>
            <w:hideMark/>
          </w:tcPr>
          <w:p w14:paraId="345C5F1D" w14:textId="77777777" w:rsidR="00092D1D" w:rsidRPr="008C0A3D" w:rsidRDefault="00092D1D" w:rsidP="00845892">
            <w:pPr>
              <w:jc w:val="right"/>
              <w:rPr>
                <w:rFonts w:ascii="Sylfaen" w:hAnsi="Sylfaen" w:cs="Arial"/>
                <w:sz w:val="16"/>
              </w:rPr>
            </w:pPr>
            <w:r w:rsidRPr="008C0A3D">
              <w:rPr>
                <w:rFonts w:ascii="Sylfaen" w:hAnsi="Sylfaen" w:cs="Arial"/>
                <w:sz w:val="16"/>
              </w:rPr>
              <w:t>41.7</w:t>
            </w:r>
          </w:p>
        </w:tc>
        <w:tc>
          <w:tcPr>
            <w:tcW w:w="756" w:type="dxa"/>
            <w:tcBorders>
              <w:top w:val="nil"/>
              <w:left w:val="nil"/>
              <w:bottom w:val="single" w:sz="4" w:space="0" w:color="auto"/>
              <w:right w:val="single" w:sz="4" w:space="0" w:color="auto"/>
            </w:tcBorders>
            <w:shd w:val="clear" w:color="000000" w:fill="FFFFFF"/>
            <w:noWrap/>
            <w:vAlign w:val="bottom"/>
            <w:hideMark/>
          </w:tcPr>
          <w:p w14:paraId="56B999A6" w14:textId="77777777" w:rsidR="00092D1D" w:rsidRPr="008C0A3D" w:rsidRDefault="00092D1D" w:rsidP="00845892">
            <w:pPr>
              <w:jc w:val="right"/>
              <w:rPr>
                <w:rFonts w:ascii="Sylfaen" w:hAnsi="Sylfaen" w:cs="Arial"/>
                <w:sz w:val="16"/>
              </w:rPr>
            </w:pPr>
            <w:r w:rsidRPr="008C0A3D">
              <w:rPr>
                <w:rFonts w:ascii="Sylfaen" w:hAnsi="Sylfaen" w:cs="Arial"/>
                <w:sz w:val="16"/>
              </w:rPr>
              <w:t>57.4</w:t>
            </w:r>
          </w:p>
        </w:tc>
        <w:tc>
          <w:tcPr>
            <w:tcW w:w="884" w:type="dxa"/>
            <w:tcBorders>
              <w:top w:val="nil"/>
              <w:left w:val="nil"/>
              <w:bottom w:val="single" w:sz="4" w:space="0" w:color="auto"/>
              <w:right w:val="single" w:sz="4" w:space="0" w:color="auto"/>
            </w:tcBorders>
            <w:shd w:val="clear" w:color="000000" w:fill="FFFFFF"/>
            <w:noWrap/>
            <w:vAlign w:val="bottom"/>
            <w:hideMark/>
          </w:tcPr>
          <w:p w14:paraId="29486566" w14:textId="77777777" w:rsidR="00092D1D" w:rsidRPr="008C0A3D" w:rsidRDefault="00092D1D" w:rsidP="00845892">
            <w:pPr>
              <w:jc w:val="right"/>
              <w:rPr>
                <w:rFonts w:ascii="Sylfaen" w:hAnsi="Sylfaen" w:cs="Arial"/>
                <w:sz w:val="16"/>
              </w:rPr>
            </w:pPr>
            <w:r w:rsidRPr="008C0A3D">
              <w:rPr>
                <w:rFonts w:ascii="Sylfaen" w:hAnsi="Sylfaen" w:cs="Arial"/>
                <w:sz w:val="16"/>
              </w:rPr>
              <w:t>52.9</w:t>
            </w:r>
          </w:p>
        </w:tc>
        <w:tc>
          <w:tcPr>
            <w:tcW w:w="756" w:type="dxa"/>
            <w:tcBorders>
              <w:top w:val="nil"/>
              <w:left w:val="nil"/>
              <w:bottom w:val="single" w:sz="4" w:space="0" w:color="auto"/>
              <w:right w:val="single" w:sz="4" w:space="0" w:color="auto"/>
            </w:tcBorders>
            <w:shd w:val="clear" w:color="000000" w:fill="FFFFFF"/>
            <w:noWrap/>
            <w:vAlign w:val="bottom"/>
            <w:hideMark/>
          </w:tcPr>
          <w:p w14:paraId="5966C9B4" w14:textId="77777777" w:rsidR="00092D1D" w:rsidRPr="008C0A3D" w:rsidRDefault="00092D1D" w:rsidP="00845892">
            <w:pPr>
              <w:jc w:val="right"/>
              <w:rPr>
                <w:rFonts w:ascii="Sylfaen" w:hAnsi="Sylfaen" w:cs="Arial"/>
                <w:sz w:val="16"/>
              </w:rPr>
            </w:pPr>
            <w:r w:rsidRPr="008C0A3D">
              <w:rPr>
                <w:rFonts w:ascii="Sylfaen" w:hAnsi="Sylfaen" w:cs="Arial"/>
                <w:sz w:val="16"/>
              </w:rPr>
              <w:t>39.0</w:t>
            </w:r>
          </w:p>
        </w:tc>
        <w:tc>
          <w:tcPr>
            <w:tcW w:w="756" w:type="dxa"/>
            <w:tcBorders>
              <w:top w:val="nil"/>
              <w:left w:val="nil"/>
              <w:bottom w:val="single" w:sz="4" w:space="0" w:color="auto"/>
              <w:right w:val="single" w:sz="4" w:space="0" w:color="auto"/>
            </w:tcBorders>
            <w:shd w:val="clear" w:color="000000" w:fill="FFFFFF"/>
            <w:noWrap/>
            <w:vAlign w:val="bottom"/>
            <w:hideMark/>
          </w:tcPr>
          <w:p w14:paraId="5754DB73" w14:textId="77777777" w:rsidR="00092D1D" w:rsidRPr="008C0A3D" w:rsidRDefault="00092D1D" w:rsidP="00845892">
            <w:pPr>
              <w:jc w:val="right"/>
              <w:rPr>
                <w:rFonts w:ascii="Sylfaen" w:hAnsi="Sylfaen" w:cs="Arial"/>
                <w:sz w:val="16"/>
              </w:rPr>
            </w:pPr>
            <w:r w:rsidRPr="008C0A3D">
              <w:rPr>
                <w:rFonts w:ascii="Sylfaen" w:hAnsi="Sylfaen" w:cs="Arial"/>
                <w:sz w:val="16"/>
              </w:rPr>
              <w:t>37.3</w:t>
            </w:r>
          </w:p>
        </w:tc>
        <w:tc>
          <w:tcPr>
            <w:tcW w:w="730" w:type="dxa"/>
            <w:tcBorders>
              <w:top w:val="nil"/>
              <w:left w:val="nil"/>
              <w:bottom w:val="single" w:sz="4" w:space="0" w:color="auto"/>
              <w:right w:val="single" w:sz="4" w:space="0" w:color="auto"/>
            </w:tcBorders>
            <w:shd w:val="clear" w:color="000000" w:fill="FFFFFF"/>
            <w:noWrap/>
            <w:vAlign w:val="bottom"/>
            <w:hideMark/>
          </w:tcPr>
          <w:p w14:paraId="6D73BB8B" w14:textId="77777777" w:rsidR="00092D1D" w:rsidRPr="008C0A3D" w:rsidRDefault="00092D1D" w:rsidP="00845892">
            <w:pPr>
              <w:jc w:val="right"/>
              <w:rPr>
                <w:rFonts w:ascii="Sylfaen" w:hAnsi="Sylfaen" w:cs="Arial"/>
                <w:sz w:val="16"/>
              </w:rPr>
            </w:pPr>
            <w:r w:rsidRPr="008C0A3D">
              <w:rPr>
                <w:rFonts w:ascii="Sylfaen" w:hAnsi="Sylfaen" w:cs="Arial"/>
                <w:sz w:val="16"/>
              </w:rPr>
              <w:t>34.4</w:t>
            </w:r>
          </w:p>
        </w:tc>
        <w:tc>
          <w:tcPr>
            <w:tcW w:w="756" w:type="dxa"/>
            <w:tcBorders>
              <w:top w:val="nil"/>
              <w:left w:val="nil"/>
              <w:bottom w:val="single" w:sz="4" w:space="0" w:color="auto"/>
              <w:right w:val="single" w:sz="4" w:space="0" w:color="auto"/>
            </w:tcBorders>
            <w:shd w:val="clear" w:color="000000" w:fill="FFFFFF"/>
            <w:noWrap/>
            <w:vAlign w:val="bottom"/>
            <w:hideMark/>
          </w:tcPr>
          <w:p w14:paraId="0BEEAB80" w14:textId="77777777" w:rsidR="00092D1D" w:rsidRPr="008C0A3D" w:rsidRDefault="00092D1D" w:rsidP="00845892">
            <w:pPr>
              <w:jc w:val="right"/>
              <w:rPr>
                <w:rFonts w:ascii="Sylfaen" w:hAnsi="Sylfaen" w:cs="Arial"/>
                <w:sz w:val="16"/>
              </w:rPr>
            </w:pPr>
            <w:r w:rsidRPr="008C0A3D">
              <w:rPr>
                <w:rFonts w:ascii="Sylfaen" w:hAnsi="Sylfaen" w:cs="Arial"/>
                <w:sz w:val="16"/>
              </w:rPr>
              <w:t>46.9</w:t>
            </w:r>
          </w:p>
        </w:tc>
        <w:tc>
          <w:tcPr>
            <w:tcW w:w="756" w:type="dxa"/>
            <w:tcBorders>
              <w:top w:val="nil"/>
              <w:left w:val="nil"/>
              <w:bottom w:val="single" w:sz="4" w:space="0" w:color="auto"/>
              <w:right w:val="single" w:sz="4" w:space="0" w:color="auto"/>
            </w:tcBorders>
            <w:shd w:val="clear" w:color="000000" w:fill="FFFFFF"/>
            <w:noWrap/>
            <w:vAlign w:val="bottom"/>
            <w:hideMark/>
          </w:tcPr>
          <w:p w14:paraId="5E360578" w14:textId="77777777" w:rsidR="00092D1D" w:rsidRPr="008C0A3D" w:rsidRDefault="00092D1D" w:rsidP="00845892">
            <w:pPr>
              <w:jc w:val="right"/>
              <w:rPr>
                <w:rFonts w:ascii="Sylfaen" w:hAnsi="Sylfaen" w:cs="Arial"/>
                <w:sz w:val="16"/>
              </w:rPr>
            </w:pPr>
            <w:r w:rsidRPr="008C0A3D">
              <w:rPr>
                <w:rFonts w:ascii="Sylfaen" w:hAnsi="Sylfaen" w:cs="Arial"/>
                <w:sz w:val="16"/>
              </w:rPr>
              <w:t>35.7</w:t>
            </w:r>
          </w:p>
        </w:tc>
        <w:tc>
          <w:tcPr>
            <w:tcW w:w="884" w:type="dxa"/>
            <w:tcBorders>
              <w:top w:val="nil"/>
              <w:left w:val="nil"/>
              <w:bottom w:val="single" w:sz="4" w:space="0" w:color="auto"/>
              <w:right w:val="single" w:sz="4" w:space="0" w:color="auto"/>
            </w:tcBorders>
            <w:shd w:val="clear" w:color="000000" w:fill="FFFFFF"/>
            <w:noWrap/>
            <w:vAlign w:val="bottom"/>
            <w:hideMark/>
          </w:tcPr>
          <w:p w14:paraId="597CC0BB" w14:textId="77777777" w:rsidR="00092D1D" w:rsidRPr="008C0A3D" w:rsidRDefault="00092D1D" w:rsidP="00845892">
            <w:pPr>
              <w:jc w:val="right"/>
              <w:rPr>
                <w:rFonts w:ascii="Sylfaen" w:hAnsi="Sylfaen" w:cs="Arial"/>
                <w:sz w:val="16"/>
              </w:rPr>
            </w:pPr>
            <w:r w:rsidRPr="008C0A3D">
              <w:rPr>
                <w:rFonts w:ascii="Sylfaen" w:hAnsi="Sylfaen" w:cs="Arial"/>
                <w:sz w:val="16"/>
              </w:rPr>
              <w:t>45.4</w:t>
            </w:r>
          </w:p>
        </w:tc>
        <w:tc>
          <w:tcPr>
            <w:tcW w:w="884" w:type="dxa"/>
            <w:tcBorders>
              <w:top w:val="nil"/>
              <w:left w:val="nil"/>
              <w:bottom w:val="single" w:sz="4" w:space="0" w:color="auto"/>
              <w:right w:val="single" w:sz="4" w:space="0" w:color="auto"/>
            </w:tcBorders>
            <w:shd w:val="clear" w:color="000000" w:fill="FFFFFF"/>
            <w:noWrap/>
            <w:vAlign w:val="bottom"/>
            <w:hideMark/>
          </w:tcPr>
          <w:p w14:paraId="21FAB49B" w14:textId="77777777" w:rsidR="00092D1D" w:rsidRPr="008C0A3D" w:rsidRDefault="00092D1D" w:rsidP="00845892">
            <w:pPr>
              <w:jc w:val="right"/>
              <w:rPr>
                <w:rFonts w:ascii="Sylfaen" w:hAnsi="Sylfaen" w:cs="Arial"/>
                <w:sz w:val="16"/>
              </w:rPr>
            </w:pPr>
            <w:r w:rsidRPr="008C0A3D">
              <w:rPr>
                <w:rFonts w:ascii="Sylfaen" w:hAnsi="Sylfaen" w:cs="Arial"/>
                <w:sz w:val="16"/>
              </w:rPr>
              <w:t>45.4</w:t>
            </w:r>
          </w:p>
        </w:tc>
      </w:tr>
    </w:tbl>
    <w:p w14:paraId="59F622D6" w14:textId="4CCE33D5" w:rsidR="00092D1D" w:rsidRPr="00F80CCF" w:rsidRDefault="00092D1D" w:rsidP="00E12C77">
      <w:pPr>
        <w:ind w:right="-90"/>
        <w:rPr>
          <w:rFonts w:ascii="Sylfaen" w:hAnsi="Sylfaen"/>
          <w:lang w:val="ka-GE"/>
        </w:rPr>
      </w:pPr>
      <w:r w:rsidRPr="008C0A3D">
        <w:rPr>
          <w:rFonts w:ascii="Sylfaen" w:hAnsi="Sylfaen"/>
          <w:sz w:val="18"/>
          <w:lang w:val="ka-GE"/>
        </w:rPr>
        <w:t>შენიშვნა: 2006-2015 წლების გამოკვლევების შერჩევის ბაზის ძირითად წყაროს წარმოადგენდა 2004 წლის სასოფლო-სამეურნეო აღწერა, ხოლო 2016-2017 წლების გამოკვლევის შერჩევის ბაზა განახლდა და დაეფუძნა 2014 წლის სასოფლო-სამეურნეო აღწერას. აღნიშნულიდან გამომდინარე, 2014-2017 წლების მაჩვენებლების შესადარისობის უზრუნველყოფის მიზნით,  განხორციელდა 2014 და 2015 წლების მონაცემების გადაანგარიშება. შესაბამისად, 2014-2017 წლების მონაცემები შესადარისი არ არის 2006-2013 წლების მონაცემებთან.</w:t>
      </w:r>
    </w:p>
    <w:tbl>
      <w:tblPr>
        <w:tblW w:w="10643" w:type="dxa"/>
        <w:tblInd w:w="-90" w:type="dxa"/>
        <w:tblLook w:val="04A0" w:firstRow="1" w:lastRow="0" w:firstColumn="1" w:lastColumn="0" w:noHBand="0" w:noVBand="1"/>
      </w:tblPr>
      <w:tblGrid>
        <w:gridCol w:w="2610"/>
        <w:gridCol w:w="715"/>
        <w:gridCol w:w="715"/>
        <w:gridCol w:w="715"/>
        <w:gridCol w:w="715"/>
        <w:gridCol w:w="715"/>
        <w:gridCol w:w="715"/>
        <w:gridCol w:w="715"/>
        <w:gridCol w:w="715"/>
        <w:gridCol w:w="715"/>
        <w:gridCol w:w="799"/>
        <w:gridCol w:w="799"/>
      </w:tblGrid>
      <w:tr w:rsidR="00092D1D" w:rsidRPr="00092D1D" w14:paraId="5D57EF4C" w14:textId="77777777" w:rsidTr="00092D1D">
        <w:trPr>
          <w:trHeight w:val="300"/>
        </w:trPr>
        <w:tc>
          <w:tcPr>
            <w:tcW w:w="10643" w:type="dxa"/>
            <w:gridSpan w:val="12"/>
            <w:tcBorders>
              <w:top w:val="nil"/>
              <w:left w:val="nil"/>
              <w:bottom w:val="single" w:sz="4" w:space="0" w:color="auto"/>
              <w:right w:val="nil"/>
            </w:tcBorders>
            <w:shd w:val="clear" w:color="auto" w:fill="auto"/>
            <w:noWrap/>
            <w:vAlign w:val="center"/>
            <w:hideMark/>
          </w:tcPr>
          <w:p w14:paraId="52A349ED" w14:textId="77777777" w:rsidR="00092D1D" w:rsidRPr="00092D1D" w:rsidRDefault="00092D1D" w:rsidP="00845892">
            <w:pPr>
              <w:rPr>
                <w:rFonts w:ascii="Sylfaen" w:hAnsi="Sylfaen" w:cs="Calibri"/>
                <w:b/>
                <w:bCs/>
                <w:color w:val="000000"/>
                <w:sz w:val="18"/>
              </w:rPr>
            </w:pPr>
            <w:r w:rsidRPr="00092D1D">
              <w:rPr>
                <w:rFonts w:ascii="Sylfaen" w:hAnsi="Sylfaen" w:cs="Calibri"/>
                <w:b/>
                <w:bCs/>
                <w:color w:val="000000"/>
                <w:sz w:val="18"/>
              </w:rPr>
              <w:lastRenderedPageBreak/>
              <w:t xml:space="preserve">მეცხოველეობის პროდუქციის წარმოება კახეთის რეგიონში  </w:t>
            </w:r>
            <w:r w:rsidRPr="00092D1D">
              <w:rPr>
                <w:rFonts w:ascii="Sylfaen" w:hAnsi="Sylfaen" w:cs="Calibri"/>
                <w:color w:val="000000"/>
                <w:sz w:val="18"/>
              </w:rPr>
              <w:t>(ათასი ტონა)</w:t>
            </w:r>
            <w:r w:rsidRPr="00092D1D">
              <w:rPr>
                <w:rFonts w:ascii="Sylfaen" w:hAnsi="Sylfaen" w:cs="Calibri"/>
                <w:b/>
                <w:bCs/>
                <w:color w:val="000000"/>
                <w:sz w:val="18"/>
              </w:rPr>
              <w:t xml:space="preserve"> </w:t>
            </w:r>
          </w:p>
        </w:tc>
      </w:tr>
      <w:tr w:rsidR="00092D1D" w:rsidRPr="00092D1D" w14:paraId="2D9C720F" w14:textId="77777777" w:rsidTr="00092D1D">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14:paraId="11842D86" w14:textId="77777777" w:rsidR="00092D1D" w:rsidRPr="00092D1D" w:rsidRDefault="00092D1D" w:rsidP="00845892">
            <w:pPr>
              <w:rPr>
                <w:rFonts w:ascii="Sylfaen" w:hAnsi="Sylfaen" w:cs="Calibri"/>
                <w:color w:val="000000"/>
                <w:sz w:val="18"/>
              </w:rPr>
            </w:pPr>
            <w:r w:rsidRPr="00092D1D">
              <w:rPr>
                <w:rFonts w:ascii="Sylfaen" w:hAnsi="Sylfaen" w:cs="Calibri"/>
                <w:color w:val="000000"/>
                <w:sz w:val="18"/>
              </w:rPr>
              <w:t> </w:t>
            </w:r>
          </w:p>
        </w:tc>
        <w:tc>
          <w:tcPr>
            <w:tcW w:w="715" w:type="dxa"/>
            <w:tcBorders>
              <w:top w:val="nil"/>
              <w:left w:val="nil"/>
              <w:bottom w:val="single" w:sz="4" w:space="0" w:color="auto"/>
              <w:right w:val="single" w:sz="4" w:space="0" w:color="auto"/>
            </w:tcBorders>
            <w:shd w:val="clear" w:color="auto" w:fill="auto"/>
            <w:noWrap/>
            <w:vAlign w:val="bottom"/>
            <w:hideMark/>
          </w:tcPr>
          <w:p w14:paraId="16D32B46" w14:textId="77777777" w:rsidR="00092D1D" w:rsidRPr="00092D1D" w:rsidRDefault="00092D1D" w:rsidP="00845892">
            <w:pPr>
              <w:jc w:val="center"/>
              <w:rPr>
                <w:rFonts w:ascii="Sylfaen" w:hAnsi="Sylfaen" w:cs="Arial"/>
                <w:b/>
                <w:bCs/>
                <w:color w:val="000000"/>
                <w:sz w:val="18"/>
              </w:rPr>
            </w:pPr>
            <w:r w:rsidRPr="00092D1D">
              <w:rPr>
                <w:rFonts w:ascii="Sylfaen" w:hAnsi="Sylfaen" w:cs="Arial"/>
                <w:b/>
                <w:bCs/>
                <w:color w:val="000000"/>
                <w:sz w:val="18"/>
              </w:rPr>
              <w:t>2006</w:t>
            </w:r>
          </w:p>
        </w:tc>
        <w:tc>
          <w:tcPr>
            <w:tcW w:w="715" w:type="dxa"/>
            <w:tcBorders>
              <w:top w:val="nil"/>
              <w:left w:val="nil"/>
              <w:bottom w:val="single" w:sz="4" w:space="0" w:color="auto"/>
              <w:right w:val="single" w:sz="4" w:space="0" w:color="auto"/>
            </w:tcBorders>
            <w:shd w:val="clear" w:color="auto" w:fill="auto"/>
            <w:noWrap/>
            <w:vAlign w:val="bottom"/>
            <w:hideMark/>
          </w:tcPr>
          <w:p w14:paraId="3E2FDBBF" w14:textId="77777777" w:rsidR="00092D1D" w:rsidRPr="00092D1D" w:rsidRDefault="00092D1D" w:rsidP="00845892">
            <w:pPr>
              <w:jc w:val="center"/>
              <w:rPr>
                <w:rFonts w:ascii="Sylfaen" w:hAnsi="Sylfaen" w:cs="Arial"/>
                <w:b/>
                <w:bCs/>
                <w:color w:val="000000"/>
                <w:sz w:val="18"/>
              </w:rPr>
            </w:pPr>
            <w:r w:rsidRPr="00092D1D">
              <w:rPr>
                <w:rFonts w:ascii="Sylfaen" w:hAnsi="Sylfaen" w:cs="Arial"/>
                <w:b/>
                <w:bCs/>
                <w:color w:val="000000"/>
                <w:sz w:val="18"/>
              </w:rPr>
              <w:t>2007</w:t>
            </w:r>
          </w:p>
        </w:tc>
        <w:tc>
          <w:tcPr>
            <w:tcW w:w="715" w:type="dxa"/>
            <w:tcBorders>
              <w:top w:val="nil"/>
              <w:left w:val="nil"/>
              <w:bottom w:val="single" w:sz="4" w:space="0" w:color="auto"/>
              <w:right w:val="single" w:sz="4" w:space="0" w:color="auto"/>
            </w:tcBorders>
            <w:shd w:val="clear" w:color="auto" w:fill="auto"/>
            <w:noWrap/>
            <w:vAlign w:val="bottom"/>
            <w:hideMark/>
          </w:tcPr>
          <w:p w14:paraId="4D0DF485" w14:textId="77777777" w:rsidR="00092D1D" w:rsidRPr="00092D1D" w:rsidRDefault="00092D1D" w:rsidP="00845892">
            <w:pPr>
              <w:jc w:val="center"/>
              <w:rPr>
                <w:rFonts w:ascii="Sylfaen" w:hAnsi="Sylfaen" w:cs="Arial"/>
                <w:b/>
                <w:bCs/>
                <w:color w:val="000000"/>
                <w:sz w:val="18"/>
              </w:rPr>
            </w:pPr>
            <w:r w:rsidRPr="00092D1D">
              <w:rPr>
                <w:rFonts w:ascii="Sylfaen" w:hAnsi="Sylfaen" w:cs="Arial"/>
                <w:b/>
                <w:bCs/>
                <w:color w:val="000000"/>
                <w:sz w:val="18"/>
              </w:rPr>
              <w:t>2008</w:t>
            </w:r>
          </w:p>
        </w:tc>
        <w:tc>
          <w:tcPr>
            <w:tcW w:w="715" w:type="dxa"/>
            <w:tcBorders>
              <w:top w:val="nil"/>
              <w:left w:val="nil"/>
              <w:bottom w:val="single" w:sz="4" w:space="0" w:color="auto"/>
              <w:right w:val="single" w:sz="4" w:space="0" w:color="auto"/>
            </w:tcBorders>
            <w:shd w:val="clear" w:color="auto" w:fill="auto"/>
            <w:noWrap/>
            <w:vAlign w:val="bottom"/>
            <w:hideMark/>
          </w:tcPr>
          <w:p w14:paraId="2B6A6CC2" w14:textId="77777777" w:rsidR="00092D1D" w:rsidRPr="00092D1D" w:rsidRDefault="00092D1D" w:rsidP="00845892">
            <w:pPr>
              <w:jc w:val="center"/>
              <w:rPr>
                <w:rFonts w:ascii="Sylfaen" w:hAnsi="Sylfaen" w:cs="Arial"/>
                <w:b/>
                <w:bCs/>
                <w:color w:val="000000"/>
                <w:sz w:val="18"/>
              </w:rPr>
            </w:pPr>
            <w:r w:rsidRPr="00092D1D">
              <w:rPr>
                <w:rFonts w:ascii="Sylfaen" w:hAnsi="Sylfaen" w:cs="Arial"/>
                <w:b/>
                <w:bCs/>
                <w:color w:val="000000"/>
                <w:sz w:val="18"/>
              </w:rPr>
              <w:t>2009</w:t>
            </w:r>
          </w:p>
        </w:tc>
        <w:tc>
          <w:tcPr>
            <w:tcW w:w="715" w:type="dxa"/>
            <w:tcBorders>
              <w:top w:val="nil"/>
              <w:left w:val="nil"/>
              <w:bottom w:val="single" w:sz="4" w:space="0" w:color="auto"/>
              <w:right w:val="single" w:sz="4" w:space="0" w:color="auto"/>
            </w:tcBorders>
            <w:shd w:val="clear" w:color="auto" w:fill="auto"/>
            <w:noWrap/>
            <w:vAlign w:val="bottom"/>
            <w:hideMark/>
          </w:tcPr>
          <w:p w14:paraId="2CDB0B2C" w14:textId="77777777" w:rsidR="00092D1D" w:rsidRPr="00092D1D" w:rsidRDefault="00092D1D" w:rsidP="00845892">
            <w:pPr>
              <w:jc w:val="center"/>
              <w:rPr>
                <w:rFonts w:ascii="Sylfaen" w:hAnsi="Sylfaen" w:cs="Arial"/>
                <w:b/>
                <w:bCs/>
                <w:color w:val="000000"/>
                <w:sz w:val="18"/>
              </w:rPr>
            </w:pPr>
            <w:r w:rsidRPr="00092D1D">
              <w:rPr>
                <w:rFonts w:ascii="Sylfaen" w:hAnsi="Sylfaen" w:cs="Arial"/>
                <w:b/>
                <w:bCs/>
                <w:color w:val="000000"/>
                <w:sz w:val="18"/>
              </w:rPr>
              <w:t>2010</w:t>
            </w:r>
          </w:p>
        </w:tc>
        <w:tc>
          <w:tcPr>
            <w:tcW w:w="715" w:type="dxa"/>
            <w:tcBorders>
              <w:top w:val="nil"/>
              <w:left w:val="nil"/>
              <w:bottom w:val="single" w:sz="4" w:space="0" w:color="auto"/>
              <w:right w:val="single" w:sz="4" w:space="0" w:color="auto"/>
            </w:tcBorders>
            <w:shd w:val="clear" w:color="auto" w:fill="auto"/>
            <w:noWrap/>
            <w:vAlign w:val="bottom"/>
            <w:hideMark/>
          </w:tcPr>
          <w:p w14:paraId="6A484F67" w14:textId="77777777" w:rsidR="00092D1D" w:rsidRPr="00092D1D" w:rsidRDefault="00092D1D" w:rsidP="00845892">
            <w:pPr>
              <w:jc w:val="center"/>
              <w:rPr>
                <w:rFonts w:ascii="Sylfaen" w:hAnsi="Sylfaen" w:cs="Arial"/>
                <w:b/>
                <w:bCs/>
                <w:color w:val="000000"/>
                <w:sz w:val="18"/>
              </w:rPr>
            </w:pPr>
            <w:r w:rsidRPr="00092D1D">
              <w:rPr>
                <w:rFonts w:ascii="Sylfaen" w:hAnsi="Sylfaen" w:cs="Arial"/>
                <w:b/>
                <w:bCs/>
                <w:color w:val="000000"/>
                <w:sz w:val="18"/>
              </w:rPr>
              <w:t>2011</w:t>
            </w:r>
          </w:p>
        </w:tc>
        <w:tc>
          <w:tcPr>
            <w:tcW w:w="715" w:type="dxa"/>
            <w:tcBorders>
              <w:top w:val="nil"/>
              <w:left w:val="nil"/>
              <w:bottom w:val="single" w:sz="4" w:space="0" w:color="auto"/>
              <w:right w:val="single" w:sz="4" w:space="0" w:color="auto"/>
            </w:tcBorders>
            <w:shd w:val="clear" w:color="auto" w:fill="auto"/>
            <w:noWrap/>
            <w:vAlign w:val="bottom"/>
            <w:hideMark/>
          </w:tcPr>
          <w:p w14:paraId="731B1A00" w14:textId="77777777" w:rsidR="00092D1D" w:rsidRPr="00092D1D" w:rsidRDefault="00092D1D" w:rsidP="00845892">
            <w:pPr>
              <w:jc w:val="center"/>
              <w:rPr>
                <w:rFonts w:ascii="Sylfaen" w:hAnsi="Sylfaen" w:cs="Arial"/>
                <w:b/>
                <w:bCs/>
                <w:color w:val="000000"/>
                <w:sz w:val="18"/>
              </w:rPr>
            </w:pPr>
            <w:r w:rsidRPr="00092D1D">
              <w:rPr>
                <w:rFonts w:ascii="Sylfaen" w:hAnsi="Sylfaen" w:cs="Arial"/>
                <w:b/>
                <w:bCs/>
                <w:color w:val="000000"/>
                <w:sz w:val="18"/>
              </w:rPr>
              <w:t>2012</w:t>
            </w:r>
          </w:p>
        </w:tc>
        <w:tc>
          <w:tcPr>
            <w:tcW w:w="715" w:type="dxa"/>
            <w:tcBorders>
              <w:top w:val="nil"/>
              <w:left w:val="nil"/>
              <w:bottom w:val="single" w:sz="4" w:space="0" w:color="auto"/>
              <w:right w:val="single" w:sz="4" w:space="0" w:color="auto"/>
            </w:tcBorders>
            <w:shd w:val="clear" w:color="auto" w:fill="auto"/>
            <w:noWrap/>
            <w:vAlign w:val="bottom"/>
            <w:hideMark/>
          </w:tcPr>
          <w:p w14:paraId="71C16E4E" w14:textId="77777777" w:rsidR="00092D1D" w:rsidRPr="00092D1D" w:rsidRDefault="00092D1D" w:rsidP="00845892">
            <w:pPr>
              <w:jc w:val="center"/>
              <w:rPr>
                <w:rFonts w:ascii="Sylfaen" w:hAnsi="Sylfaen" w:cs="Arial"/>
                <w:b/>
                <w:bCs/>
                <w:color w:val="000000"/>
                <w:sz w:val="18"/>
              </w:rPr>
            </w:pPr>
            <w:r w:rsidRPr="00092D1D">
              <w:rPr>
                <w:rFonts w:ascii="Sylfaen" w:hAnsi="Sylfaen" w:cs="Arial"/>
                <w:b/>
                <w:bCs/>
                <w:color w:val="000000"/>
                <w:sz w:val="18"/>
              </w:rPr>
              <w:t>2013</w:t>
            </w:r>
          </w:p>
        </w:tc>
        <w:tc>
          <w:tcPr>
            <w:tcW w:w="715" w:type="dxa"/>
            <w:tcBorders>
              <w:top w:val="nil"/>
              <w:left w:val="nil"/>
              <w:bottom w:val="single" w:sz="4" w:space="0" w:color="auto"/>
              <w:right w:val="single" w:sz="4" w:space="0" w:color="auto"/>
            </w:tcBorders>
            <w:shd w:val="clear" w:color="auto" w:fill="auto"/>
            <w:noWrap/>
            <w:vAlign w:val="bottom"/>
            <w:hideMark/>
          </w:tcPr>
          <w:p w14:paraId="24B18D5D" w14:textId="77777777" w:rsidR="00092D1D" w:rsidRPr="00092D1D" w:rsidRDefault="00092D1D" w:rsidP="00845892">
            <w:pPr>
              <w:jc w:val="center"/>
              <w:rPr>
                <w:rFonts w:ascii="Sylfaen" w:hAnsi="Sylfaen" w:cs="Arial"/>
                <w:b/>
                <w:bCs/>
                <w:color w:val="000000"/>
                <w:sz w:val="18"/>
              </w:rPr>
            </w:pPr>
            <w:r w:rsidRPr="00092D1D">
              <w:rPr>
                <w:rFonts w:ascii="Sylfaen" w:hAnsi="Sylfaen" w:cs="Arial"/>
                <w:b/>
                <w:bCs/>
                <w:color w:val="000000"/>
                <w:sz w:val="18"/>
              </w:rPr>
              <w:t>2014</w:t>
            </w:r>
          </w:p>
        </w:tc>
        <w:tc>
          <w:tcPr>
            <w:tcW w:w="799" w:type="dxa"/>
            <w:tcBorders>
              <w:top w:val="nil"/>
              <w:left w:val="nil"/>
              <w:bottom w:val="single" w:sz="4" w:space="0" w:color="auto"/>
              <w:right w:val="single" w:sz="4" w:space="0" w:color="auto"/>
            </w:tcBorders>
            <w:shd w:val="clear" w:color="auto" w:fill="auto"/>
            <w:noWrap/>
            <w:vAlign w:val="bottom"/>
            <w:hideMark/>
          </w:tcPr>
          <w:p w14:paraId="4A88F955" w14:textId="77777777" w:rsidR="00092D1D" w:rsidRPr="00092D1D" w:rsidRDefault="00092D1D" w:rsidP="00845892">
            <w:pPr>
              <w:jc w:val="center"/>
              <w:rPr>
                <w:rFonts w:ascii="Sylfaen" w:hAnsi="Sylfaen" w:cs="Arial"/>
                <w:b/>
                <w:bCs/>
                <w:color w:val="000000"/>
                <w:sz w:val="18"/>
              </w:rPr>
            </w:pPr>
            <w:r w:rsidRPr="00092D1D">
              <w:rPr>
                <w:rFonts w:ascii="Sylfaen" w:hAnsi="Sylfaen" w:cs="Arial"/>
                <w:b/>
                <w:bCs/>
                <w:color w:val="000000"/>
                <w:sz w:val="18"/>
              </w:rPr>
              <w:t>2015</w:t>
            </w:r>
          </w:p>
        </w:tc>
        <w:tc>
          <w:tcPr>
            <w:tcW w:w="799" w:type="dxa"/>
            <w:tcBorders>
              <w:top w:val="nil"/>
              <w:left w:val="nil"/>
              <w:bottom w:val="single" w:sz="4" w:space="0" w:color="auto"/>
              <w:right w:val="single" w:sz="4" w:space="0" w:color="auto"/>
            </w:tcBorders>
            <w:shd w:val="clear" w:color="auto" w:fill="auto"/>
            <w:noWrap/>
            <w:vAlign w:val="bottom"/>
            <w:hideMark/>
          </w:tcPr>
          <w:p w14:paraId="03D215D6" w14:textId="77777777" w:rsidR="00092D1D" w:rsidRPr="00092D1D" w:rsidRDefault="00092D1D" w:rsidP="00845892">
            <w:pPr>
              <w:jc w:val="center"/>
              <w:rPr>
                <w:rFonts w:ascii="Sylfaen" w:hAnsi="Sylfaen" w:cs="Arial"/>
                <w:b/>
                <w:bCs/>
                <w:color w:val="000000"/>
                <w:sz w:val="18"/>
              </w:rPr>
            </w:pPr>
            <w:r w:rsidRPr="00092D1D">
              <w:rPr>
                <w:rFonts w:ascii="Sylfaen" w:hAnsi="Sylfaen" w:cs="Arial"/>
                <w:b/>
                <w:bCs/>
                <w:color w:val="000000"/>
                <w:sz w:val="18"/>
              </w:rPr>
              <w:t>2016</w:t>
            </w:r>
          </w:p>
        </w:tc>
      </w:tr>
      <w:tr w:rsidR="00092D1D" w:rsidRPr="00092D1D" w14:paraId="05FF337F" w14:textId="77777777" w:rsidTr="00092D1D">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14:paraId="65D06F95" w14:textId="77777777" w:rsidR="00092D1D" w:rsidRPr="00092D1D" w:rsidRDefault="00092D1D" w:rsidP="00845892">
            <w:pPr>
              <w:rPr>
                <w:rFonts w:ascii="Sylfaen" w:hAnsi="Sylfaen" w:cs="Calibri"/>
                <w:color w:val="000000"/>
                <w:sz w:val="18"/>
              </w:rPr>
            </w:pPr>
            <w:r w:rsidRPr="00092D1D">
              <w:rPr>
                <w:rFonts w:ascii="Sylfaen" w:hAnsi="Sylfaen" w:cs="Calibri"/>
                <w:color w:val="000000"/>
                <w:sz w:val="18"/>
              </w:rPr>
              <w:t>ხორცის წარმოება, სულ</w:t>
            </w:r>
          </w:p>
        </w:tc>
        <w:tc>
          <w:tcPr>
            <w:tcW w:w="715" w:type="dxa"/>
            <w:tcBorders>
              <w:top w:val="nil"/>
              <w:left w:val="nil"/>
              <w:bottom w:val="single" w:sz="4" w:space="0" w:color="auto"/>
              <w:right w:val="single" w:sz="4" w:space="0" w:color="auto"/>
            </w:tcBorders>
            <w:shd w:val="clear" w:color="000000" w:fill="FFFFFF"/>
            <w:noWrap/>
            <w:vAlign w:val="bottom"/>
            <w:hideMark/>
          </w:tcPr>
          <w:p w14:paraId="08558192" w14:textId="77777777" w:rsidR="00092D1D" w:rsidRPr="00092D1D" w:rsidRDefault="00092D1D" w:rsidP="00845892">
            <w:pPr>
              <w:jc w:val="right"/>
              <w:rPr>
                <w:rFonts w:ascii="Sylfaen" w:hAnsi="Sylfaen" w:cs="Arial"/>
                <w:sz w:val="18"/>
              </w:rPr>
            </w:pPr>
            <w:r w:rsidRPr="00092D1D">
              <w:rPr>
                <w:rFonts w:ascii="Sylfaen" w:hAnsi="Sylfaen" w:cs="Arial"/>
                <w:sz w:val="18"/>
              </w:rPr>
              <w:t>12.2</w:t>
            </w:r>
          </w:p>
        </w:tc>
        <w:tc>
          <w:tcPr>
            <w:tcW w:w="715" w:type="dxa"/>
            <w:tcBorders>
              <w:top w:val="nil"/>
              <w:left w:val="nil"/>
              <w:bottom w:val="single" w:sz="4" w:space="0" w:color="auto"/>
              <w:right w:val="single" w:sz="4" w:space="0" w:color="auto"/>
            </w:tcBorders>
            <w:shd w:val="clear" w:color="000000" w:fill="FFFFFF"/>
            <w:noWrap/>
            <w:vAlign w:val="bottom"/>
            <w:hideMark/>
          </w:tcPr>
          <w:p w14:paraId="53587ABB" w14:textId="77777777" w:rsidR="00092D1D" w:rsidRPr="00092D1D" w:rsidRDefault="00092D1D" w:rsidP="00845892">
            <w:pPr>
              <w:jc w:val="right"/>
              <w:rPr>
                <w:rFonts w:ascii="Sylfaen" w:hAnsi="Sylfaen" w:cs="Arial"/>
                <w:sz w:val="18"/>
              </w:rPr>
            </w:pPr>
            <w:r w:rsidRPr="00092D1D">
              <w:rPr>
                <w:rFonts w:ascii="Sylfaen" w:hAnsi="Sylfaen" w:cs="Arial"/>
                <w:sz w:val="18"/>
              </w:rPr>
              <w:t>10.5</w:t>
            </w:r>
          </w:p>
        </w:tc>
        <w:tc>
          <w:tcPr>
            <w:tcW w:w="715" w:type="dxa"/>
            <w:tcBorders>
              <w:top w:val="nil"/>
              <w:left w:val="nil"/>
              <w:bottom w:val="single" w:sz="4" w:space="0" w:color="auto"/>
              <w:right w:val="single" w:sz="4" w:space="0" w:color="auto"/>
            </w:tcBorders>
            <w:shd w:val="clear" w:color="000000" w:fill="FFFFFF"/>
            <w:noWrap/>
            <w:vAlign w:val="bottom"/>
            <w:hideMark/>
          </w:tcPr>
          <w:p w14:paraId="046936B9" w14:textId="77777777" w:rsidR="00092D1D" w:rsidRPr="00092D1D" w:rsidRDefault="00092D1D" w:rsidP="00845892">
            <w:pPr>
              <w:jc w:val="right"/>
              <w:rPr>
                <w:rFonts w:ascii="Sylfaen" w:hAnsi="Sylfaen" w:cs="Arial"/>
                <w:sz w:val="18"/>
              </w:rPr>
            </w:pPr>
            <w:r w:rsidRPr="00092D1D">
              <w:rPr>
                <w:rFonts w:ascii="Sylfaen" w:hAnsi="Sylfaen" w:cs="Arial"/>
                <w:sz w:val="18"/>
              </w:rPr>
              <w:t>8.8</w:t>
            </w:r>
          </w:p>
        </w:tc>
        <w:tc>
          <w:tcPr>
            <w:tcW w:w="715" w:type="dxa"/>
            <w:tcBorders>
              <w:top w:val="nil"/>
              <w:left w:val="nil"/>
              <w:bottom w:val="single" w:sz="4" w:space="0" w:color="auto"/>
              <w:right w:val="single" w:sz="4" w:space="0" w:color="auto"/>
            </w:tcBorders>
            <w:shd w:val="clear" w:color="000000" w:fill="FFFFFF"/>
            <w:noWrap/>
            <w:vAlign w:val="bottom"/>
            <w:hideMark/>
          </w:tcPr>
          <w:p w14:paraId="53650211" w14:textId="77777777" w:rsidR="00092D1D" w:rsidRPr="00092D1D" w:rsidRDefault="00092D1D" w:rsidP="00845892">
            <w:pPr>
              <w:jc w:val="right"/>
              <w:rPr>
                <w:rFonts w:ascii="Sylfaen" w:hAnsi="Sylfaen" w:cs="Arial"/>
                <w:sz w:val="18"/>
              </w:rPr>
            </w:pPr>
            <w:r w:rsidRPr="00092D1D">
              <w:rPr>
                <w:rFonts w:ascii="Sylfaen" w:hAnsi="Sylfaen" w:cs="Arial"/>
                <w:sz w:val="18"/>
              </w:rPr>
              <w:t>8.3</w:t>
            </w:r>
          </w:p>
        </w:tc>
        <w:tc>
          <w:tcPr>
            <w:tcW w:w="715" w:type="dxa"/>
            <w:tcBorders>
              <w:top w:val="nil"/>
              <w:left w:val="nil"/>
              <w:bottom w:val="single" w:sz="4" w:space="0" w:color="auto"/>
              <w:right w:val="single" w:sz="4" w:space="0" w:color="auto"/>
            </w:tcBorders>
            <w:shd w:val="clear" w:color="000000" w:fill="FFFFFF"/>
            <w:noWrap/>
            <w:vAlign w:val="bottom"/>
            <w:hideMark/>
          </w:tcPr>
          <w:p w14:paraId="650D1C1E" w14:textId="77777777" w:rsidR="00092D1D" w:rsidRPr="00092D1D" w:rsidRDefault="00092D1D" w:rsidP="00845892">
            <w:pPr>
              <w:jc w:val="right"/>
              <w:rPr>
                <w:rFonts w:ascii="Sylfaen" w:hAnsi="Sylfaen" w:cs="Arial"/>
                <w:sz w:val="18"/>
              </w:rPr>
            </w:pPr>
            <w:r w:rsidRPr="00092D1D">
              <w:rPr>
                <w:rFonts w:ascii="Sylfaen" w:hAnsi="Sylfaen" w:cs="Arial"/>
                <w:sz w:val="18"/>
              </w:rPr>
              <w:t>7.8</w:t>
            </w:r>
          </w:p>
        </w:tc>
        <w:tc>
          <w:tcPr>
            <w:tcW w:w="715" w:type="dxa"/>
            <w:tcBorders>
              <w:top w:val="nil"/>
              <w:left w:val="nil"/>
              <w:bottom w:val="single" w:sz="4" w:space="0" w:color="auto"/>
              <w:right w:val="single" w:sz="4" w:space="0" w:color="auto"/>
            </w:tcBorders>
            <w:shd w:val="clear" w:color="000000" w:fill="FFFFFF"/>
            <w:noWrap/>
            <w:vAlign w:val="bottom"/>
            <w:hideMark/>
          </w:tcPr>
          <w:p w14:paraId="42FC91DA" w14:textId="77777777" w:rsidR="00092D1D" w:rsidRPr="00092D1D" w:rsidRDefault="00092D1D" w:rsidP="00845892">
            <w:pPr>
              <w:jc w:val="right"/>
              <w:rPr>
                <w:rFonts w:ascii="Sylfaen" w:hAnsi="Sylfaen" w:cs="Arial"/>
                <w:sz w:val="18"/>
              </w:rPr>
            </w:pPr>
            <w:r w:rsidRPr="00092D1D">
              <w:rPr>
                <w:rFonts w:ascii="Sylfaen" w:hAnsi="Sylfaen" w:cs="Arial"/>
                <w:sz w:val="18"/>
              </w:rPr>
              <w:t>7.3</w:t>
            </w:r>
          </w:p>
        </w:tc>
        <w:tc>
          <w:tcPr>
            <w:tcW w:w="715" w:type="dxa"/>
            <w:tcBorders>
              <w:top w:val="nil"/>
              <w:left w:val="nil"/>
              <w:bottom w:val="single" w:sz="4" w:space="0" w:color="auto"/>
              <w:right w:val="single" w:sz="4" w:space="0" w:color="auto"/>
            </w:tcBorders>
            <w:shd w:val="clear" w:color="000000" w:fill="FFFFFF"/>
            <w:noWrap/>
            <w:vAlign w:val="bottom"/>
            <w:hideMark/>
          </w:tcPr>
          <w:p w14:paraId="6E7421B3" w14:textId="77777777" w:rsidR="00092D1D" w:rsidRPr="00092D1D" w:rsidRDefault="00092D1D" w:rsidP="00845892">
            <w:pPr>
              <w:jc w:val="right"/>
              <w:rPr>
                <w:rFonts w:ascii="Sylfaen" w:hAnsi="Sylfaen" w:cs="Arial"/>
                <w:sz w:val="18"/>
              </w:rPr>
            </w:pPr>
            <w:r w:rsidRPr="00092D1D">
              <w:rPr>
                <w:rFonts w:ascii="Sylfaen" w:hAnsi="Sylfaen" w:cs="Arial"/>
                <w:sz w:val="18"/>
              </w:rPr>
              <w:t>7.9</w:t>
            </w:r>
          </w:p>
        </w:tc>
        <w:tc>
          <w:tcPr>
            <w:tcW w:w="715" w:type="dxa"/>
            <w:tcBorders>
              <w:top w:val="nil"/>
              <w:left w:val="nil"/>
              <w:bottom w:val="single" w:sz="4" w:space="0" w:color="auto"/>
              <w:right w:val="single" w:sz="4" w:space="0" w:color="auto"/>
            </w:tcBorders>
            <w:shd w:val="clear" w:color="000000" w:fill="FFFFFF"/>
            <w:noWrap/>
            <w:vAlign w:val="bottom"/>
            <w:hideMark/>
          </w:tcPr>
          <w:p w14:paraId="783DB122" w14:textId="77777777" w:rsidR="00092D1D" w:rsidRPr="00092D1D" w:rsidRDefault="00092D1D" w:rsidP="00845892">
            <w:pPr>
              <w:jc w:val="right"/>
              <w:rPr>
                <w:rFonts w:ascii="Sylfaen" w:hAnsi="Sylfaen" w:cs="Arial"/>
                <w:sz w:val="18"/>
              </w:rPr>
            </w:pPr>
            <w:r w:rsidRPr="00092D1D">
              <w:rPr>
                <w:rFonts w:ascii="Sylfaen" w:hAnsi="Sylfaen" w:cs="Arial"/>
                <w:sz w:val="18"/>
              </w:rPr>
              <w:t>9.1</w:t>
            </w:r>
          </w:p>
        </w:tc>
        <w:tc>
          <w:tcPr>
            <w:tcW w:w="715" w:type="dxa"/>
            <w:tcBorders>
              <w:top w:val="nil"/>
              <w:left w:val="nil"/>
              <w:bottom w:val="single" w:sz="4" w:space="0" w:color="auto"/>
              <w:right w:val="single" w:sz="4" w:space="0" w:color="auto"/>
            </w:tcBorders>
            <w:shd w:val="clear" w:color="000000" w:fill="FFFFFF"/>
            <w:noWrap/>
            <w:vAlign w:val="bottom"/>
            <w:hideMark/>
          </w:tcPr>
          <w:p w14:paraId="71C14EC6" w14:textId="77777777" w:rsidR="00092D1D" w:rsidRPr="00092D1D" w:rsidRDefault="00092D1D" w:rsidP="00845892">
            <w:pPr>
              <w:jc w:val="right"/>
              <w:rPr>
                <w:rFonts w:ascii="Sylfaen" w:hAnsi="Sylfaen" w:cs="Arial"/>
                <w:sz w:val="18"/>
              </w:rPr>
            </w:pPr>
            <w:r w:rsidRPr="00092D1D">
              <w:rPr>
                <w:rFonts w:ascii="Sylfaen" w:hAnsi="Sylfaen" w:cs="Arial"/>
                <w:sz w:val="18"/>
              </w:rPr>
              <w:t>9.8</w:t>
            </w:r>
          </w:p>
        </w:tc>
        <w:tc>
          <w:tcPr>
            <w:tcW w:w="799" w:type="dxa"/>
            <w:tcBorders>
              <w:top w:val="nil"/>
              <w:left w:val="nil"/>
              <w:bottom w:val="single" w:sz="4" w:space="0" w:color="auto"/>
              <w:right w:val="single" w:sz="4" w:space="0" w:color="auto"/>
            </w:tcBorders>
            <w:shd w:val="clear" w:color="000000" w:fill="FFFFFF"/>
            <w:noWrap/>
            <w:vAlign w:val="bottom"/>
            <w:hideMark/>
          </w:tcPr>
          <w:p w14:paraId="1FF7F1A6" w14:textId="77777777" w:rsidR="00092D1D" w:rsidRPr="00092D1D" w:rsidRDefault="00092D1D" w:rsidP="00845892">
            <w:pPr>
              <w:jc w:val="right"/>
              <w:rPr>
                <w:rFonts w:ascii="Sylfaen" w:hAnsi="Sylfaen" w:cs="Arial"/>
                <w:sz w:val="18"/>
              </w:rPr>
            </w:pPr>
            <w:r w:rsidRPr="00092D1D">
              <w:rPr>
                <w:rFonts w:ascii="Sylfaen" w:hAnsi="Sylfaen" w:cs="Arial"/>
                <w:sz w:val="18"/>
              </w:rPr>
              <w:t>10.6</w:t>
            </w:r>
          </w:p>
        </w:tc>
        <w:tc>
          <w:tcPr>
            <w:tcW w:w="799" w:type="dxa"/>
            <w:tcBorders>
              <w:top w:val="nil"/>
              <w:left w:val="nil"/>
              <w:bottom w:val="single" w:sz="4" w:space="0" w:color="auto"/>
              <w:right w:val="single" w:sz="4" w:space="0" w:color="auto"/>
            </w:tcBorders>
            <w:shd w:val="clear" w:color="000000" w:fill="FFFFFF"/>
            <w:noWrap/>
            <w:vAlign w:val="bottom"/>
            <w:hideMark/>
          </w:tcPr>
          <w:p w14:paraId="05FE408E" w14:textId="77777777" w:rsidR="00092D1D" w:rsidRPr="00092D1D" w:rsidRDefault="00092D1D" w:rsidP="00845892">
            <w:pPr>
              <w:jc w:val="right"/>
              <w:rPr>
                <w:rFonts w:ascii="Sylfaen" w:hAnsi="Sylfaen" w:cs="Arial"/>
                <w:sz w:val="18"/>
              </w:rPr>
            </w:pPr>
            <w:r w:rsidRPr="00092D1D">
              <w:rPr>
                <w:rFonts w:ascii="Sylfaen" w:hAnsi="Sylfaen" w:cs="Arial"/>
                <w:sz w:val="18"/>
              </w:rPr>
              <w:t>9.6</w:t>
            </w:r>
          </w:p>
        </w:tc>
      </w:tr>
      <w:tr w:rsidR="00092D1D" w:rsidRPr="00092D1D" w14:paraId="4E1E98E9" w14:textId="77777777" w:rsidTr="00092D1D">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14:paraId="2A67538C" w14:textId="77777777" w:rsidR="00092D1D" w:rsidRPr="00092D1D" w:rsidRDefault="00092D1D" w:rsidP="00845892">
            <w:pPr>
              <w:rPr>
                <w:rFonts w:ascii="Sylfaen" w:hAnsi="Sylfaen" w:cs="Calibri"/>
                <w:color w:val="000000"/>
                <w:sz w:val="18"/>
              </w:rPr>
            </w:pPr>
            <w:r w:rsidRPr="00092D1D">
              <w:rPr>
                <w:rFonts w:ascii="Sylfaen" w:hAnsi="Sylfaen" w:cs="Calibri"/>
                <w:color w:val="000000"/>
                <w:sz w:val="18"/>
              </w:rPr>
              <w:t>მსხვილფეხა რქოსანი პირუტყვის ხორცის წარმოება</w:t>
            </w:r>
          </w:p>
        </w:tc>
        <w:tc>
          <w:tcPr>
            <w:tcW w:w="715" w:type="dxa"/>
            <w:tcBorders>
              <w:top w:val="nil"/>
              <w:left w:val="nil"/>
              <w:bottom w:val="single" w:sz="4" w:space="0" w:color="auto"/>
              <w:right w:val="single" w:sz="4" w:space="0" w:color="auto"/>
            </w:tcBorders>
            <w:shd w:val="clear" w:color="000000" w:fill="FFFFFF"/>
            <w:noWrap/>
            <w:vAlign w:val="bottom"/>
            <w:hideMark/>
          </w:tcPr>
          <w:p w14:paraId="58FCF57A" w14:textId="77777777" w:rsidR="00092D1D" w:rsidRPr="00092D1D" w:rsidRDefault="00092D1D" w:rsidP="00845892">
            <w:pPr>
              <w:jc w:val="right"/>
              <w:rPr>
                <w:rFonts w:ascii="Sylfaen" w:hAnsi="Sylfaen" w:cs="Arial"/>
                <w:sz w:val="18"/>
              </w:rPr>
            </w:pPr>
            <w:r w:rsidRPr="00092D1D">
              <w:rPr>
                <w:rFonts w:ascii="Sylfaen" w:hAnsi="Sylfaen" w:cs="Arial"/>
                <w:sz w:val="18"/>
              </w:rPr>
              <w:t>4.7</w:t>
            </w:r>
          </w:p>
        </w:tc>
        <w:tc>
          <w:tcPr>
            <w:tcW w:w="715" w:type="dxa"/>
            <w:tcBorders>
              <w:top w:val="nil"/>
              <w:left w:val="nil"/>
              <w:bottom w:val="single" w:sz="4" w:space="0" w:color="auto"/>
              <w:right w:val="single" w:sz="4" w:space="0" w:color="auto"/>
            </w:tcBorders>
            <w:shd w:val="clear" w:color="000000" w:fill="FFFFFF"/>
            <w:noWrap/>
            <w:vAlign w:val="bottom"/>
            <w:hideMark/>
          </w:tcPr>
          <w:p w14:paraId="7B623E6E" w14:textId="77777777" w:rsidR="00092D1D" w:rsidRPr="00092D1D" w:rsidRDefault="00092D1D" w:rsidP="00845892">
            <w:pPr>
              <w:jc w:val="right"/>
              <w:rPr>
                <w:rFonts w:ascii="Sylfaen" w:hAnsi="Sylfaen" w:cs="Arial"/>
                <w:sz w:val="18"/>
              </w:rPr>
            </w:pPr>
            <w:r w:rsidRPr="00092D1D">
              <w:rPr>
                <w:rFonts w:ascii="Sylfaen" w:hAnsi="Sylfaen" w:cs="Arial"/>
                <w:sz w:val="18"/>
              </w:rPr>
              <w:t>3.3</w:t>
            </w:r>
          </w:p>
        </w:tc>
        <w:tc>
          <w:tcPr>
            <w:tcW w:w="715" w:type="dxa"/>
            <w:tcBorders>
              <w:top w:val="nil"/>
              <w:left w:val="nil"/>
              <w:bottom w:val="single" w:sz="4" w:space="0" w:color="auto"/>
              <w:right w:val="single" w:sz="4" w:space="0" w:color="auto"/>
            </w:tcBorders>
            <w:shd w:val="clear" w:color="000000" w:fill="FFFFFF"/>
            <w:noWrap/>
            <w:vAlign w:val="bottom"/>
            <w:hideMark/>
          </w:tcPr>
          <w:p w14:paraId="0301FE7F" w14:textId="77777777" w:rsidR="00092D1D" w:rsidRPr="00092D1D" w:rsidRDefault="00092D1D" w:rsidP="00845892">
            <w:pPr>
              <w:jc w:val="right"/>
              <w:rPr>
                <w:rFonts w:ascii="Sylfaen" w:hAnsi="Sylfaen" w:cs="Arial"/>
                <w:sz w:val="18"/>
              </w:rPr>
            </w:pPr>
            <w:r w:rsidRPr="00092D1D">
              <w:rPr>
                <w:rFonts w:ascii="Sylfaen" w:hAnsi="Sylfaen" w:cs="Arial"/>
                <w:sz w:val="18"/>
              </w:rPr>
              <w:t>3.0</w:t>
            </w:r>
          </w:p>
        </w:tc>
        <w:tc>
          <w:tcPr>
            <w:tcW w:w="715" w:type="dxa"/>
            <w:tcBorders>
              <w:top w:val="nil"/>
              <w:left w:val="nil"/>
              <w:bottom w:val="single" w:sz="4" w:space="0" w:color="auto"/>
              <w:right w:val="single" w:sz="4" w:space="0" w:color="auto"/>
            </w:tcBorders>
            <w:shd w:val="clear" w:color="000000" w:fill="FFFFFF"/>
            <w:noWrap/>
            <w:vAlign w:val="bottom"/>
            <w:hideMark/>
          </w:tcPr>
          <w:p w14:paraId="7E8CFD6A" w14:textId="77777777" w:rsidR="00092D1D" w:rsidRPr="00092D1D" w:rsidRDefault="00092D1D" w:rsidP="00845892">
            <w:pPr>
              <w:jc w:val="right"/>
              <w:rPr>
                <w:rFonts w:ascii="Sylfaen" w:hAnsi="Sylfaen" w:cs="Arial"/>
                <w:sz w:val="18"/>
              </w:rPr>
            </w:pPr>
            <w:r w:rsidRPr="00092D1D">
              <w:rPr>
                <w:rFonts w:ascii="Sylfaen" w:hAnsi="Sylfaen" w:cs="Arial"/>
                <w:sz w:val="18"/>
              </w:rPr>
              <w:t>4.1</w:t>
            </w:r>
          </w:p>
        </w:tc>
        <w:tc>
          <w:tcPr>
            <w:tcW w:w="715" w:type="dxa"/>
            <w:tcBorders>
              <w:top w:val="nil"/>
              <w:left w:val="nil"/>
              <w:bottom w:val="single" w:sz="4" w:space="0" w:color="auto"/>
              <w:right w:val="single" w:sz="4" w:space="0" w:color="auto"/>
            </w:tcBorders>
            <w:shd w:val="clear" w:color="000000" w:fill="FFFFFF"/>
            <w:noWrap/>
            <w:vAlign w:val="bottom"/>
            <w:hideMark/>
          </w:tcPr>
          <w:p w14:paraId="01E2BCF5" w14:textId="77777777" w:rsidR="00092D1D" w:rsidRPr="00092D1D" w:rsidRDefault="00092D1D" w:rsidP="00845892">
            <w:pPr>
              <w:jc w:val="right"/>
              <w:rPr>
                <w:rFonts w:ascii="Sylfaen" w:hAnsi="Sylfaen" w:cs="Arial"/>
                <w:sz w:val="18"/>
              </w:rPr>
            </w:pPr>
            <w:r w:rsidRPr="00092D1D">
              <w:rPr>
                <w:rFonts w:ascii="Sylfaen" w:hAnsi="Sylfaen" w:cs="Arial"/>
                <w:sz w:val="18"/>
              </w:rPr>
              <w:t>2.5</w:t>
            </w:r>
          </w:p>
        </w:tc>
        <w:tc>
          <w:tcPr>
            <w:tcW w:w="715" w:type="dxa"/>
            <w:tcBorders>
              <w:top w:val="nil"/>
              <w:left w:val="nil"/>
              <w:bottom w:val="single" w:sz="4" w:space="0" w:color="auto"/>
              <w:right w:val="single" w:sz="4" w:space="0" w:color="auto"/>
            </w:tcBorders>
            <w:shd w:val="clear" w:color="000000" w:fill="FFFFFF"/>
            <w:noWrap/>
            <w:vAlign w:val="bottom"/>
            <w:hideMark/>
          </w:tcPr>
          <w:p w14:paraId="7277A757" w14:textId="77777777" w:rsidR="00092D1D" w:rsidRPr="00092D1D" w:rsidRDefault="00092D1D" w:rsidP="00845892">
            <w:pPr>
              <w:jc w:val="right"/>
              <w:rPr>
                <w:rFonts w:ascii="Sylfaen" w:hAnsi="Sylfaen" w:cs="Arial"/>
                <w:sz w:val="18"/>
              </w:rPr>
            </w:pPr>
            <w:r w:rsidRPr="00092D1D">
              <w:rPr>
                <w:rFonts w:ascii="Sylfaen" w:hAnsi="Sylfaen" w:cs="Arial"/>
                <w:sz w:val="18"/>
              </w:rPr>
              <w:t>2.5</w:t>
            </w:r>
          </w:p>
        </w:tc>
        <w:tc>
          <w:tcPr>
            <w:tcW w:w="715" w:type="dxa"/>
            <w:tcBorders>
              <w:top w:val="nil"/>
              <w:left w:val="nil"/>
              <w:bottom w:val="single" w:sz="4" w:space="0" w:color="auto"/>
              <w:right w:val="single" w:sz="4" w:space="0" w:color="auto"/>
            </w:tcBorders>
            <w:shd w:val="clear" w:color="000000" w:fill="FFFFFF"/>
            <w:noWrap/>
            <w:vAlign w:val="bottom"/>
            <w:hideMark/>
          </w:tcPr>
          <w:p w14:paraId="735BB87B" w14:textId="77777777" w:rsidR="00092D1D" w:rsidRPr="00092D1D" w:rsidRDefault="00092D1D" w:rsidP="00845892">
            <w:pPr>
              <w:jc w:val="right"/>
              <w:rPr>
                <w:rFonts w:ascii="Sylfaen" w:hAnsi="Sylfaen" w:cs="Arial"/>
                <w:sz w:val="18"/>
              </w:rPr>
            </w:pPr>
            <w:r w:rsidRPr="00092D1D">
              <w:rPr>
                <w:rFonts w:ascii="Sylfaen" w:hAnsi="Sylfaen" w:cs="Arial"/>
                <w:sz w:val="18"/>
              </w:rPr>
              <w:t>2.5</w:t>
            </w:r>
          </w:p>
        </w:tc>
        <w:tc>
          <w:tcPr>
            <w:tcW w:w="715" w:type="dxa"/>
            <w:tcBorders>
              <w:top w:val="nil"/>
              <w:left w:val="nil"/>
              <w:bottom w:val="single" w:sz="4" w:space="0" w:color="auto"/>
              <w:right w:val="single" w:sz="4" w:space="0" w:color="auto"/>
            </w:tcBorders>
            <w:shd w:val="clear" w:color="000000" w:fill="FFFFFF"/>
            <w:noWrap/>
            <w:vAlign w:val="bottom"/>
            <w:hideMark/>
          </w:tcPr>
          <w:p w14:paraId="20C12B9D" w14:textId="77777777" w:rsidR="00092D1D" w:rsidRPr="00092D1D" w:rsidRDefault="00092D1D" w:rsidP="00845892">
            <w:pPr>
              <w:jc w:val="right"/>
              <w:rPr>
                <w:rFonts w:ascii="Sylfaen" w:hAnsi="Sylfaen" w:cs="Arial"/>
                <w:sz w:val="18"/>
              </w:rPr>
            </w:pPr>
            <w:r w:rsidRPr="00092D1D">
              <w:rPr>
                <w:rFonts w:ascii="Sylfaen" w:hAnsi="Sylfaen" w:cs="Arial"/>
                <w:sz w:val="18"/>
              </w:rPr>
              <w:t>3.0</w:t>
            </w:r>
          </w:p>
        </w:tc>
        <w:tc>
          <w:tcPr>
            <w:tcW w:w="715" w:type="dxa"/>
            <w:tcBorders>
              <w:top w:val="nil"/>
              <w:left w:val="nil"/>
              <w:bottom w:val="single" w:sz="4" w:space="0" w:color="auto"/>
              <w:right w:val="single" w:sz="4" w:space="0" w:color="auto"/>
            </w:tcBorders>
            <w:shd w:val="clear" w:color="000000" w:fill="FFFFFF"/>
            <w:noWrap/>
            <w:vAlign w:val="bottom"/>
            <w:hideMark/>
          </w:tcPr>
          <w:p w14:paraId="2DB2F34A" w14:textId="77777777" w:rsidR="00092D1D" w:rsidRPr="00092D1D" w:rsidRDefault="00092D1D" w:rsidP="00845892">
            <w:pPr>
              <w:jc w:val="right"/>
              <w:rPr>
                <w:rFonts w:ascii="Sylfaen" w:hAnsi="Sylfaen" w:cs="Arial"/>
                <w:sz w:val="18"/>
              </w:rPr>
            </w:pPr>
            <w:r w:rsidRPr="00092D1D">
              <w:rPr>
                <w:rFonts w:ascii="Sylfaen" w:hAnsi="Sylfaen" w:cs="Arial"/>
                <w:sz w:val="18"/>
              </w:rPr>
              <w:t>2.5</w:t>
            </w:r>
          </w:p>
        </w:tc>
        <w:tc>
          <w:tcPr>
            <w:tcW w:w="799" w:type="dxa"/>
            <w:tcBorders>
              <w:top w:val="nil"/>
              <w:left w:val="nil"/>
              <w:bottom w:val="single" w:sz="4" w:space="0" w:color="auto"/>
              <w:right w:val="single" w:sz="4" w:space="0" w:color="auto"/>
            </w:tcBorders>
            <w:shd w:val="clear" w:color="000000" w:fill="FFFFFF"/>
            <w:noWrap/>
            <w:vAlign w:val="bottom"/>
            <w:hideMark/>
          </w:tcPr>
          <w:p w14:paraId="452C1BC6" w14:textId="77777777" w:rsidR="00092D1D" w:rsidRPr="00092D1D" w:rsidRDefault="00092D1D" w:rsidP="00845892">
            <w:pPr>
              <w:jc w:val="right"/>
              <w:rPr>
                <w:rFonts w:ascii="Sylfaen" w:hAnsi="Sylfaen" w:cs="Arial"/>
                <w:sz w:val="18"/>
              </w:rPr>
            </w:pPr>
            <w:r w:rsidRPr="00092D1D">
              <w:rPr>
                <w:rFonts w:ascii="Sylfaen" w:hAnsi="Sylfaen" w:cs="Arial"/>
                <w:sz w:val="18"/>
              </w:rPr>
              <w:t>2.5</w:t>
            </w:r>
          </w:p>
        </w:tc>
        <w:tc>
          <w:tcPr>
            <w:tcW w:w="799" w:type="dxa"/>
            <w:tcBorders>
              <w:top w:val="nil"/>
              <w:left w:val="nil"/>
              <w:bottom w:val="single" w:sz="4" w:space="0" w:color="auto"/>
              <w:right w:val="single" w:sz="4" w:space="0" w:color="auto"/>
            </w:tcBorders>
            <w:shd w:val="clear" w:color="000000" w:fill="FFFFFF"/>
            <w:noWrap/>
            <w:vAlign w:val="bottom"/>
            <w:hideMark/>
          </w:tcPr>
          <w:p w14:paraId="4832561E" w14:textId="77777777" w:rsidR="00092D1D" w:rsidRPr="00092D1D" w:rsidRDefault="00092D1D" w:rsidP="00845892">
            <w:pPr>
              <w:jc w:val="right"/>
              <w:rPr>
                <w:rFonts w:ascii="Sylfaen" w:hAnsi="Sylfaen" w:cs="Arial"/>
                <w:sz w:val="18"/>
              </w:rPr>
            </w:pPr>
            <w:r w:rsidRPr="00092D1D">
              <w:rPr>
                <w:rFonts w:ascii="Sylfaen" w:hAnsi="Sylfaen" w:cs="Arial"/>
                <w:sz w:val="18"/>
              </w:rPr>
              <w:t>3.1</w:t>
            </w:r>
          </w:p>
        </w:tc>
      </w:tr>
      <w:tr w:rsidR="00092D1D" w:rsidRPr="00092D1D" w14:paraId="26E2A885" w14:textId="77777777" w:rsidTr="00092D1D">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14:paraId="06DCFE96" w14:textId="77777777" w:rsidR="00092D1D" w:rsidRPr="00092D1D" w:rsidRDefault="00092D1D" w:rsidP="00845892">
            <w:pPr>
              <w:rPr>
                <w:rFonts w:ascii="Sylfaen" w:hAnsi="Sylfaen" w:cs="Calibri"/>
                <w:color w:val="000000"/>
                <w:sz w:val="18"/>
              </w:rPr>
            </w:pPr>
            <w:r w:rsidRPr="00092D1D">
              <w:rPr>
                <w:rFonts w:ascii="Sylfaen" w:hAnsi="Sylfaen" w:cs="Calibri"/>
                <w:color w:val="000000"/>
                <w:sz w:val="18"/>
              </w:rPr>
              <w:t>ღორის ხორცის წარმოება</w:t>
            </w:r>
          </w:p>
        </w:tc>
        <w:tc>
          <w:tcPr>
            <w:tcW w:w="715" w:type="dxa"/>
            <w:tcBorders>
              <w:top w:val="nil"/>
              <w:left w:val="nil"/>
              <w:bottom w:val="single" w:sz="4" w:space="0" w:color="auto"/>
              <w:right w:val="single" w:sz="4" w:space="0" w:color="auto"/>
            </w:tcBorders>
            <w:shd w:val="clear" w:color="000000" w:fill="FFFFFF"/>
            <w:noWrap/>
            <w:vAlign w:val="bottom"/>
            <w:hideMark/>
          </w:tcPr>
          <w:p w14:paraId="671F6F18" w14:textId="77777777" w:rsidR="00092D1D" w:rsidRPr="00092D1D" w:rsidRDefault="00092D1D" w:rsidP="00845892">
            <w:pPr>
              <w:jc w:val="right"/>
              <w:rPr>
                <w:rFonts w:ascii="Sylfaen" w:hAnsi="Sylfaen" w:cs="Arial"/>
                <w:sz w:val="18"/>
              </w:rPr>
            </w:pPr>
            <w:r w:rsidRPr="00092D1D">
              <w:rPr>
                <w:rFonts w:ascii="Sylfaen" w:hAnsi="Sylfaen" w:cs="Arial"/>
                <w:sz w:val="18"/>
              </w:rPr>
              <w:t>3.3</w:t>
            </w:r>
          </w:p>
        </w:tc>
        <w:tc>
          <w:tcPr>
            <w:tcW w:w="715" w:type="dxa"/>
            <w:tcBorders>
              <w:top w:val="nil"/>
              <w:left w:val="nil"/>
              <w:bottom w:val="single" w:sz="4" w:space="0" w:color="auto"/>
              <w:right w:val="single" w:sz="4" w:space="0" w:color="auto"/>
            </w:tcBorders>
            <w:shd w:val="clear" w:color="000000" w:fill="FFFFFF"/>
            <w:noWrap/>
            <w:vAlign w:val="bottom"/>
            <w:hideMark/>
          </w:tcPr>
          <w:p w14:paraId="3BF5EB2C" w14:textId="77777777" w:rsidR="00092D1D" w:rsidRPr="00092D1D" w:rsidRDefault="00092D1D" w:rsidP="00845892">
            <w:pPr>
              <w:jc w:val="right"/>
              <w:rPr>
                <w:rFonts w:ascii="Sylfaen" w:hAnsi="Sylfaen" w:cs="Arial"/>
                <w:sz w:val="18"/>
              </w:rPr>
            </w:pPr>
            <w:r w:rsidRPr="00092D1D">
              <w:rPr>
                <w:rFonts w:ascii="Sylfaen" w:hAnsi="Sylfaen" w:cs="Arial"/>
                <w:sz w:val="18"/>
              </w:rPr>
              <w:t>2.7</w:t>
            </w:r>
          </w:p>
        </w:tc>
        <w:tc>
          <w:tcPr>
            <w:tcW w:w="715" w:type="dxa"/>
            <w:tcBorders>
              <w:top w:val="nil"/>
              <w:left w:val="nil"/>
              <w:bottom w:val="single" w:sz="4" w:space="0" w:color="auto"/>
              <w:right w:val="single" w:sz="4" w:space="0" w:color="auto"/>
            </w:tcBorders>
            <w:shd w:val="clear" w:color="000000" w:fill="FFFFFF"/>
            <w:noWrap/>
            <w:vAlign w:val="bottom"/>
            <w:hideMark/>
          </w:tcPr>
          <w:p w14:paraId="644BCFB3" w14:textId="77777777" w:rsidR="00092D1D" w:rsidRPr="00092D1D" w:rsidRDefault="00092D1D" w:rsidP="00845892">
            <w:pPr>
              <w:jc w:val="right"/>
              <w:rPr>
                <w:rFonts w:ascii="Sylfaen" w:hAnsi="Sylfaen" w:cs="Arial"/>
                <w:sz w:val="18"/>
              </w:rPr>
            </w:pPr>
            <w:r w:rsidRPr="00092D1D">
              <w:rPr>
                <w:rFonts w:ascii="Sylfaen" w:hAnsi="Sylfaen" w:cs="Arial"/>
                <w:sz w:val="18"/>
              </w:rPr>
              <w:t>1.2</w:t>
            </w:r>
          </w:p>
        </w:tc>
        <w:tc>
          <w:tcPr>
            <w:tcW w:w="715" w:type="dxa"/>
            <w:tcBorders>
              <w:top w:val="nil"/>
              <w:left w:val="nil"/>
              <w:bottom w:val="single" w:sz="4" w:space="0" w:color="auto"/>
              <w:right w:val="single" w:sz="4" w:space="0" w:color="auto"/>
            </w:tcBorders>
            <w:shd w:val="clear" w:color="000000" w:fill="FFFFFF"/>
            <w:noWrap/>
            <w:vAlign w:val="bottom"/>
            <w:hideMark/>
          </w:tcPr>
          <w:p w14:paraId="4B6BE244" w14:textId="77777777" w:rsidR="00092D1D" w:rsidRPr="00092D1D" w:rsidRDefault="00092D1D" w:rsidP="00845892">
            <w:pPr>
              <w:jc w:val="right"/>
              <w:rPr>
                <w:rFonts w:ascii="Sylfaen" w:hAnsi="Sylfaen" w:cs="Arial"/>
                <w:sz w:val="18"/>
              </w:rPr>
            </w:pPr>
            <w:r w:rsidRPr="00092D1D">
              <w:rPr>
                <w:rFonts w:ascii="Sylfaen" w:hAnsi="Sylfaen" w:cs="Arial"/>
                <w:sz w:val="18"/>
              </w:rPr>
              <w:t>0.9</w:t>
            </w:r>
          </w:p>
        </w:tc>
        <w:tc>
          <w:tcPr>
            <w:tcW w:w="715" w:type="dxa"/>
            <w:tcBorders>
              <w:top w:val="nil"/>
              <w:left w:val="nil"/>
              <w:bottom w:val="single" w:sz="4" w:space="0" w:color="auto"/>
              <w:right w:val="single" w:sz="4" w:space="0" w:color="auto"/>
            </w:tcBorders>
            <w:shd w:val="clear" w:color="000000" w:fill="FFFFFF"/>
            <w:noWrap/>
            <w:vAlign w:val="bottom"/>
            <w:hideMark/>
          </w:tcPr>
          <w:p w14:paraId="04D41530" w14:textId="77777777" w:rsidR="00092D1D" w:rsidRPr="00092D1D" w:rsidRDefault="00092D1D" w:rsidP="00845892">
            <w:pPr>
              <w:jc w:val="right"/>
              <w:rPr>
                <w:rFonts w:ascii="Sylfaen" w:hAnsi="Sylfaen" w:cs="Arial"/>
                <w:sz w:val="18"/>
              </w:rPr>
            </w:pPr>
            <w:r w:rsidRPr="00092D1D">
              <w:rPr>
                <w:rFonts w:ascii="Sylfaen" w:hAnsi="Sylfaen" w:cs="Arial"/>
                <w:sz w:val="18"/>
              </w:rPr>
              <w:t>1.8</w:t>
            </w:r>
          </w:p>
        </w:tc>
        <w:tc>
          <w:tcPr>
            <w:tcW w:w="715" w:type="dxa"/>
            <w:tcBorders>
              <w:top w:val="nil"/>
              <w:left w:val="nil"/>
              <w:bottom w:val="single" w:sz="4" w:space="0" w:color="auto"/>
              <w:right w:val="single" w:sz="4" w:space="0" w:color="auto"/>
            </w:tcBorders>
            <w:shd w:val="clear" w:color="000000" w:fill="FFFFFF"/>
            <w:noWrap/>
            <w:vAlign w:val="bottom"/>
            <w:hideMark/>
          </w:tcPr>
          <w:p w14:paraId="573D74AE" w14:textId="77777777" w:rsidR="00092D1D" w:rsidRPr="00092D1D" w:rsidRDefault="00092D1D" w:rsidP="00845892">
            <w:pPr>
              <w:jc w:val="right"/>
              <w:rPr>
                <w:rFonts w:ascii="Sylfaen" w:hAnsi="Sylfaen" w:cs="Arial"/>
                <w:sz w:val="18"/>
              </w:rPr>
            </w:pPr>
            <w:r w:rsidRPr="00092D1D">
              <w:rPr>
                <w:rFonts w:ascii="Sylfaen" w:hAnsi="Sylfaen" w:cs="Arial"/>
                <w:sz w:val="18"/>
              </w:rPr>
              <w:t>1.5</w:t>
            </w:r>
          </w:p>
        </w:tc>
        <w:tc>
          <w:tcPr>
            <w:tcW w:w="715" w:type="dxa"/>
            <w:tcBorders>
              <w:top w:val="nil"/>
              <w:left w:val="nil"/>
              <w:bottom w:val="single" w:sz="4" w:space="0" w:color="auto"/>
              <w:right w:val="single" w:sz="4" w:space="0" w:color="auto"/>
            </w:tcBorders>
            <w:shd w:val="clear" w:color="000000" w:fill="FFFFFF"/>
            <w:noWrap/>
            <w:vAlign w:val="bottom"/>
            <w:hideMark/>
          </w:tcPr>
          <w:p w14:paraId="6BB2116C" w14:textId="77777777" w:rsidR="00092D1D" w:rsidRPr="00092D1D" w:rsidRDefault="00092D1D" w:rsidP="00845892">
            <w:pPr>
              <w:jc w:val="right"/>
              <w:rPr>
                <w:rFonts w:ascii="Sylfaen" w:hAnsi="Sylfaen" w:cs="Arial"/>
                <w:sz w:val="18"/>
              </w:rPr>
            </w:pPr>
            <w:r w:rsidRPr="00092D1D">
              <w:rPr>
                <w:rFonts w:ascii="Sylfaen" w:hAnsi="Sylfaen" w:cs="Arial"/>
                <w:sz w:val="18"/>
              </w:rPr>
              <w:t>2.2</w:t>
            </w:r>
          </w:p>
        </w:tc>
        <w:tc>
          <w:tcPr>
            <w:tcW w:w="715" w:type="dxa"/>
            <w:tcBorders>
              <w:top w:val="nil"/>
              <w:left w:val="nil"/>
              <w:bottom w:val="single" w:sz="4" w:space="0" w:color="auto"/>
              <w:right w:val="single" w:sz="4" w:space="0" w:color="auto"/>
            </w:tcBorders>
            <w:shd w:val="clear" w:color="000000" w:fill="FFFFFF"/>
            <w:noWrap/>
            <w:vAlign w:val="bottom"/>
            <w:hideMark/>
          </w:tcPr>
          <w:p w14:paraId="295350C0" w14:textId="77777777" w:rsidR="00092D1D" w:rsidRPr="00092D1D" w:rsidRDefault="00092D1D" w:rsidP="00845892">
            <w:pPr>
              <w:jc w:val="right"/>
              <w:rPr>
                <w:rFonts w:ascii="Sylfaen" w:hAnsi="Sylfaen" w:cs="Arial"/>
                <w:sz w:val="18"/>
              </w:rPr>
            </w:pPr>
            <w:r w:rsidRPr="00092D1D">
              <w:rPr>
                <w:rFonts w:ascii="Sylfaen" w:hAnsi="Sylfaen" w:cs="Arial"/>
                <w:sz w:val="18"/>
              </w:rPr>
              <w:t>3.2</w:t>
            </w:r>
          </w:p>
        </w:tc>
        <w:tc>
          <w:tcPr>
            <w:tcW w:w="715" w:type="dxa"/>
            <w:tcBorders>
              <w:top w:val="nil"/>
              <w:left w:val="nil"/>
              <w:bottom w:val="single" w:sz="4" w:space="0" w:color="auto"/>
              <w:right w:val="single" w:sz="4" w:space="0" w:color="auto"/>
            </w:tcBorders>
            <w:shd w:val="clear" w:color="000000" w:fill="FFFFFF"/>
            <w:noWrap/>
            <w:vAlign w:val="bottom"/>
            <w:hideMark/>
          </w:tcPr>
          <w:p w14:paraId="7C4D9A9B" w14:textId="77777777" w:rsidR="00092D1D" w:rsidRPr="00092D1D" w:rsidRDefault="00092D1D" w:rsidP="00845892">
            <w:pPr>
              <w:jc w:val="right"/>
              <w:rPr>
                <w:rFonts w:ascii="Sylfaen" w:hAnsi="Sylfaen" w:cs="Arial"/>
                <w:sz w:val="18"/>
              </w:rPr>
            </w:pPr>
            <w:r w:rsidRPr="00092D1D">
              <w:rPr>
                <w:rFonts w:ascii="Sylfaen" w:hAnsi="Sylfaen" w:cs="Arial"/>
                <w:sz w:val="18"/>
              </w:rPr>
              <w:t>3.7</w:t>
            </w:r>
          </w:p>
        </w:tc>
        <w:tc>
          <w:tcPr>
            <w:tcW w:w="799" w:type="dxa"/>
            <w:tcBorders>
              <w:top w:val="nil"/>
              <w:left w:val="nil"/>
              <w:bottom w:val="single" w:sz="4" w:space="0" w:color="auto"/>
              <w:right w:val="single" w:sz="4" w:space="0" w:color="auto"/>
            </w:tcBorders>
            <w:shd w:val="clear" w:color="000000" w:fill="FFFFFF"/>
            <w:noWrap/>
            <w:vAlign w:val="bottom"/>
            <w:hideMark/>
          </w:tcPr>
          <w:p w14:paraId="483129BD" w14:textId="77777777" w:rsidR="00092D1D" w:rsidRPr="00092D1D" w:rsidRDefault="00092D1D" w:rsidP="00845892">
            <w:pPr>
              <w:jc w:val="right"/>
              <w:rPr>
                <w:rFonts w:ascii="Sylfaen" w:hAnsi="Sylfaen" w:cs="Arial"/>
                <w:sz w:val="18"/>
              </w:rPr>
            </w:pPr>
            <w:r w:rsidRPr="00092D1D">
              <w:rPr>
                <w:rFonts w:ascii="Sylfaen" w:hAnsi="Sylfaen" w:cs="Arial"/>
                <w:sz w:val="18"/>
              </w:rPr>
              <w:t>3.8</w:t>
            </w:r>
          </w:p>
        </w:tc>
        <w:tc>
          <w:tcPr>
            <w:tcW w:w="799" w:type="dxa"/>
            <w:tcBorders>
              <w:top w:val="nil"/>
              <w:left w:val="nil"/>
              <w:bottom w:val="single" w:sz="4" w:space="0" w:color="auto"/>
              <w:right w:val="single" w:sz="4" w:space="0" w:color="auto"/>
            </w:tcBorders>
            <w:shd w:val="clear" w:color="000000" w:fill="FFFFFF"/>
            <w:noWrap/>
            <w:vAlign w:val="bottom"/>
            <w:hideMark/>
          </w:tcPr>
          <w:p w14:paraId="211B1433" w14:textId="77777777" w:rsidR="00092D1D" w:rsidRPr="00092D1D" w:rsidRDefault="00092D1D" w:rsidP="00845892">
            <w:pPr>
              <w:jc w:val="right"/>
              <w:rPr>
                <w:rFonts w:ascii="Sylfaen" w:hAnsi="Sylfaen" w:cs="Arial"/>
                <w:sz w:val="18"/>
              </w:rPr>
            </w:pPr>
            <w:r w:rsidRPr="00092D1D">
              <w:rPr>
                <w:rFonts w:ascii="Sylfaen" w:hAnsi="Sylfaen" w:cs="Arial"/>
                <w:sz w:val="18"/>
              </w:rPr>
              <w:t>2.5</w:t>
            </w:r>
          </w:p>
        </w:tc>
      </w:tr>
      <w:tr w:rsidR="00092D1D" w:rsidRPr="00092D1D" w14:paraId="321B91B9" w14:textId="77777777" w:rsidTr="00092D1D">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14:paraId="6067AE70" w14:textId="77777777" w:rsidR="00092D1D" w:rsidRPr="00092D1D" w:rsidRDefault="00092D1D" w:rsidP="00845892">
            <w:pPr>
              <w:rPr>
                <w:rFonts w:ascii="Sylfaen" w:hAnsi="Sylfaen" w:cs="Calibri"/>
                <w:color w:val="000000"/>
                <w:sz w:val="18"/>
              </w:rPr>
            </w:pPr>
            <w:r w:rsidRPr="00092D1D">
              <w:rPr>
                <w:rFonts w:ascii="Sylfaen" w:hAnsi="Sylfaen" w:cs="Calibri"/>
                <w:color w:val="000000"/>
                <w:sz w:val="18"/>
              </w:rPr>
              <w:t>ცხვრისა და თხის ხორცის წარმოება</w:t>
            </w:r>
          </w:p>
        </w:tc>
        <w:tc>
          <w:tcPr>
            <w:tcW w:w="715" w:type="dxa"/>
            <w:tcBorders>
              <w:top w:val="nil"/>
              <w:left w:val="nil"/>
              <w:bottom w:val="single" w:sz="4" w:space="0" w:color="auto"/>
              <w:right w:val="single" w:sz="4" w:space="0" w:color="auto"/>
            </w:tcBorders>
            <w:shd w:val="clear" w:color="auto" w:fill="auto"/>
            <w:noWrap/>
            <w:vAlign w:val="bottom"/>
            <w:hideMark/>
          </w:tcPr>
          <w:p w14:paraId="049BDA67"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2.9</w:t>
            </w:r>
          </w:p>
        </w:tc>
        <w:tc>
          <w:tcPr>
            <w:tcW w:w="715" w:type="dxa"/>
            <w:tcBorders>
              <w:top w:val="nil"/>
              <w:left w:val="nil"/>
              <w:bottom w:val="single" w:sz="4" w:space="0" w:color="auto"/>
              <w:right w:val="single" w:sz="4" w:space="0" w:color="auto"/>
            </w:tcBorders>
            <w:shd w:val="clear" w:color="auto" w:fill="auto"/>
            <w:noWrap/>
            <w:vAlign w:val="bottom"/>
            <w:hideMark/>
          </w:tcPr>
          <w:p w14:paraId="6A16617B"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3.1</w:t>
            </w:r>
          </w:p>
        </w:tc>
        <w:tc>
          <w:tcPr>
            <w:tcW w:w="715" w:type="dxa"/>
            <w:tcBorders>
              <w:top w:val="nil"/>
              <w:left w:val="nil"/>
              <w:bottom w:val="single" w:sz="4" w:space="0" w:color="auto"/>
              <w:right w:val="single" w:sz="4" w:space="0" w:color="auto"/>
            </w:tcBorders>
            <w:shd w:val="clear" w:color="auto" w:fill="auto"/>
            <w:noWrap/>
            <w:vAlign w:val="bottom"/>
            <w:hideMark/>
          </w:tcPr>
          <w:p w14:paraId="77A69122"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3.3</w:t>
            </w:r>
          </w:p>
        </w:tc>
        <w:tc>
          <w:tcPr>
            <w:tcW w:w="715" w:type="dxa"/>
            <w:tcBorders>
              <w:top w:val="nil"/>
              <w:left w:val="nil"/>
              <w:bottom w:val="single" w:sz="4" w:space="0" w:color="auto"/>
              <w:right w:val="single" w:sz="4" w:space="0" w:color="auto"/>
            </w:tcBorders>
            <w:shd w:val="clear" w:color="auto" w:fill="auto"/>
            <w:noWrap/>
            <w:vAlign w:val="bottom"/>
            <w:hideMark/>
          </w:tcPr>
          <w:p w14:paraId="4C1AC34E"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1.8</w:t>
            </w:r>
          </w:p>
        </w:tc>
        <w:tc>
          <w:tcPr>
            <w:tcW w:w="715" w:type="dxa"/>
            <w:tcBorders>
              <w:top w:val="nil"/>
              <w:left w:val="nil"/>
              <w:bottom w:val="single" w:sz="4" w:space="0" w:color="auto"/>
              <w:right w:val="single" w:sz="4" w:space="0" w:color="auto"/>
            </w:tcBorders>
            <w:shd w:val="clear" w:color="auto" w:fill="auto"/>
            <w:noWrap/>
            <w:vAlign w:val="bottom"/>
            <w:hideMark/>
          </w:tcPr>
          <w:p w14:paraId="39C36E37"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2.1</w:t>
            </w:r>
          </w:p>
        </w:tc>
        <w:tc>
          <w:tcPr>
            <w:tcW w:w="715" w:type="dxa"/>
            <w:tcBorders>
              <w:top w:val="nil"/>
              <w:left w:val="nil"/>
              <w:bottom w:val="single" w:sz="4" w:space="0" w:color="auto"/>
              <w:right w:val="single" w:sz="4" w:space="0" w:color="auto"/>
            </w:tcBorders>
            <w:shd w:val="clear" w:color="auto" w:fill="auto"/>
            <w:noWrap/>
            <w:vAlign w:val="bottom"/>
            <w:hideMark/>
          </w:tcPr>
          <w:p w14:paraId="1967F685"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1.9</w:t>
            </w:r>
          </w:p>
        </w:tc>
        <w:tc>
          <w:tcPr>
            <w:tcW w:w="715" w:type="dxa"/>
            <w:tcBorders>
              <w:top w:val="nil"/>
              <w:left w:val="nil"/>
              <w:bottom w:val="single" w:sz="4" w:space="0" w:color="auto"/>
              <w:right w:val="single" w:sz="4" w:space="0" w:color="auto"/>
            </w:tcBorders>
            <w:shd w:val="clear" w:color="auto" w:fill="auto"/>
            <w:noWrap/>
            <w:vAlign w:val="bottom"/>
            <w:hideMark/>
          </w:tcPr>
          <w:p w14:paraId="44690B2E"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1.3</w:t>
            </w:r>
          </w:p>
        </w:tc>
        <w:tc>
          <w:tcPr>
            <w:tcW w:w="715" w:type="dxa"/>
            <w:tcBorders>
              <w:top w:val="nil"/>
              <w:left w:val="nil"/>
              <w:bottom w:val="single" w:sz="4" w:space="0" w:color="auto"/>
              <w:right w:val="single" w:sz="4" w:space="0" w:color="auto"/>
            </w:tcBorders>
            <w:shd w:val="clear" w:color="auto" w:fill="auto"/>
            <w:noWrap/>
            <w:vAlign w:val="bottom"/>
            <w:hideMark/>
          </w:tcPr>
          <w:p w14:paraId="0CDECCC4"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1.4</w:t>
            </w:r>
          </w:p>
        </w:tc>
        <w:tc>
          <w:tcPr>
            <w:tcW w:w="715" w:type="dxa"/>
            <w:tcBorders>
              <w:top w:val="nil"/>
              <w:left w:val="nil"/>
              <w:bottom w:val="single" w:sz="4" w:space="0" w:color="auto"/>
              <w:right w:val="single" w:sz="4" w:space="0" w:color="auto"/>
            </w:tcBorders>
            <w:shd w:val="clear" w:color="auto" w:fill="auto"/>
            <w:noWrap/>
            <w:vAlign w:val="bottom"/>
            <w:hideMark/>
          </w:tcPr>
          <w:p w14:paraId="5A6221A4"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2.3</w:t>
            </w:r>
          </w:p>
        </w:tc>
        <w:tc>
          <w:tcPr>
            <w:tcW w:w="799" w:type="dxa"/>
            <w:tcBorders>
              <w:top w:val="nil"/>
              <w:left w:val="nil"/>
              <w:bottom w:val="single" w:sz="4" w:space="0" w:color="auto"/>
              <w:right w:val="single" w:sz="4" w:space="0" w:color="auto"/>
            </w:tcBorders>
            <w:shd w:val="clear" w:color="auto" w:fill="auto"/>
            <w:noWrap/>
            <w:vAlign w:val="bottom"/>
            <w:hideMark/>
          </w:tcPr>
          <w:p w14:paraId="01B17164"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2.6</w:t>
            </w:r>
          </w:p>
        </w:tc>
        <w:tc>
          <w:tcPr>
            <w:tcW w:w="799" w:type="dxa"/>
            <w:tcBorders>
              <w:top w:val="nil"/>
              <w:left w:val="nil"/>
              <w:bottom w:val="single" w:sz="4" w:space="0" w:color="auto"/>
              <w:right w:val="single" w:sz="4" w:space="0" w:color="auto"/>
            </w:tcBorders>
            <w:shd w:val="clear" w:color="auto" w:fill="auto"/>
            <w:noWrap/>
            <w:vAlign w:val="bottom"/>
            <w:hideMark/>
          </w:tcPr>
          <w:p w14:paraId="0F57B085"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2.6</w:t>
            </w:r>
          </w:p>
        </w:tc>
      </w:tr>
      <w:tr w:rsidR="00092D1D" w:rsidRPr="00092D1D" w14:paraId="13A6FEE6" w14:textId="77777777" w:rsidTr="00092D1D">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14:paraId="66B2218C" w14:textId="77777777" w:rsidR="00092D1D" w:rsidRPr="00092D1D" w:rsidRDefault="00092D1D" w:rsidP="00845892">
            <w:pPr>
              <w:rPr>
                <w:rFonts w:ascii="Sylfaen" w:hAnsi="Sylfaen" w:cs="Calibri"/>
                <w:color w:val="000000"/>
                <w:sz w:val="18"/>
              </w:rPr>
            </w:pPr>
            <w:r w:rsidRPr="00092D1D">
              <w:rPr>
                <w:rFonts w:ascii="Sylfaen" w:hAnsi="Sylfaen" w:cs="Calibri"/>
                <w:color w:val="000000"/>
                <w:sz w:val="18"/>
              </w:rPr>
              <w:t>ფრინველის ხორცის წარმოება</w:t>
            </w:r>
          </w:p>
        </w:tc>
        <w:tc>
          <w:tcPr>
            <w:tcW w:w="715" w:type="dxa"/>
            <w:tcBorders>
              <w:top w:val="nil"/>
              <w:left w:val="nil"/>
              <w:bottom w:val="single" w:sz="4" w:space="0" w:color="auto"/>
              <w:right w:val="single" w:sz="4" w:space="0" w:color="auto"/>
            </w:tcBorders>
            <w:shd w:val="clear" w:color="000000" w:fill="FFFFFF"/>
            <w:noWrap/>
            <w:vAlign w:val="bottom"/>
            <w:hideMark/>
          </w:tcPr>
          <w:p w14:paraId="5ABDF2AA" w14:textId="77777777" w:rsidR="00092D1D" w:rsidRPr="00092D1D" w:rsidRDefault="00092D1D" w:rsidP="00845892">
            <w:pPr>
              <w:jc w:val="right"/>
              <w:rPr>
                <w:rFonts w:ascii="Sylfaen" w:hAnsi="Sylfaen" w:cs="Arial"/>
                <w:sz w:val="18"/>
              </w:rPr>
            </w:pPr>
            <w:r w:rsidRPr="00092D1D">
              <w:rPr>
                <w:rFonts w:ascii="Sylfaen" w:hAnsi="Sylfaen" w:cs="Arial"/>
                <w:sz w:val="18"/>
              </w:rPr>
              <w:t>1.3</w:t>
            </w:r>
          </w:p>
        </w:tc>
        <w:tc>
          <w:tcPr>
            <w:tcW w:w="715" w:type="dxa"/>
            <w:tcBorders>
              <w:top w:val="nil"/>
              <w:left w:val="nil"/>
              <w:bottom w:val="single" w:sz="4" w:space="0" w:color="auto"/>
              <w:right w:val="single" w:sz="4" w:space="0" w:color="auto"/>
            </w:tcBorders>
            <w:shd w:val="clear" w:color="000000" w:fill="FFFFFF"/>
            <w:noWrap/>
            <w:vAlign w:val="bottom"/>
            <w:hideMark/>
          </w:tcPr>
          <w:p w14:paraId="441358CC" w14:textId="77777777" w:rsidR="00092D1D" w:rsidRPr="00092D1D" w:rsidRDefault="00092D1D" w:rsidP="00845892">
            <w:pPr>
              <w:jc w:val="right"/>
              <w:rPr>
                <w:rFonts w:ascii="Sylfaen" w:hAnsi="Sylfaen" w:cs="Arial"/>
                <w:sz w:val="18"/>
              </w:rPr>
            </w:pPr>
            <w:r w:rsidRPr="00092D1D">
              <w:rPr>
                <w:rFonts w:ascii="Sylfaen" w:hAnsi="Sylfaen" w:cs="Arial"/>
                <w:sz w:val="18"/>
              </w:rPr>
              <w:t>1.4</w:t>
            </w:r>
          </w:p>
        </w:tc>
        <w:tc>
          <w:tcPr>
            <w:tcW w:w="715" w:type="dxa"/>
            <w:tcBorders>
              <w:top w:val="nil"/>
              <w:left w:val="nil"/>
              <w:bottom w:val="single" w:sz="4" w:space="0" w:color="auto"/>
              <w:right w:val="single" w:sz="4" w:space="0" w:color="auto"/>
            </w:tcBorders>
            <w:shd w:val="clear" w:color="000000" w:fill="FFFFFF"/>
            <w:noWrap/>
            <w:vAlign w:val="bottom"/>
            <w:hideMark/>
          </w:tcPr>
          <w:p w14:paraId="3542594F" w14:textId="77777777" w:rsidR="00092D1D" w:rsidRPr="00092D1D" w:rsidRDefault="00092D1D" w:rsidP="00845892">
            <w:pPr>
              <w:jc w:val="right"/>
              <w:rPr>
                <w:rFonts w:ascii="Sylfaen" w:hAnsi="Sylfaen" w:cs="Arial"/>
                <w:sz w:val="18"/>
              </w:rPr>
            </w:pPr>
            <w:r w:rsidRPr="00092D1D">
              <w:rPr>
                <w:rFonts w:ascii="Sylfaen" w:hAnsi="Sylfaen" w:cs="Arial"/>
                <w:sz w:val="18"/>
              </w:rPr>
              <w:t>1.3</w:t>
            </w:r>
          </w:p>
        </w:tc>
        <w:tc>
          <w:tcPr>
            <w:tcW w:w="715" w:type="dxa"/>
            <w:tcBorders>
              <w:top w:val="nil"/>
              <w:left w:val="nil"/>
              <w:bottom w:val="single" w:sz="4" w:space="0" w:color="auto"/>
              <w:right w:val="single" w:sz="4" w:space="0" w:color="auto"/>
            </w:tcBorders>
            <w:shd w:val="clear" w:color="000000" w:fill="FFFFFF"/>
            <w:noWrap/>
            <w:vAlign w:val="bottom"/>
            <w:hideMark/>
          </w:tcPr>
          <w:p w14:paraId="4D690550" w14:textId="77777777" w:rsidR="00092D1D" w:rsidRPr="00092D1D" w:rsidRDefault="00092D1D" w:rsidP="00845892">
            <w:pPr>
              <w:jc w:val="right"/>
              <w:rPr>
                <w:rFonts w:ascii="Sylfaen" w:hAnsi="Sylfaen" w:cs="Arial"/>
                <w:sz w:val="18"/>
              </w:rPr>
            </w:pPr>
            <w:r w:rsidRPr="00092D1D">
              <w:rPr>
                <w:rFonts w:ascii="Sylfaen" w:hAnsi="Sylfaen" w:cs="Arial"/>
                <w:sz w:val="18"/>
              </w:rPr>
              <w:t>1.5</w:t>
            </w:r>
          </w:p>
        </w:tc>
        <w:tc>
          <w:tcPr>
            <w:tcW w:w="715" w:type="dxa"/>
            <w:tcBorders>
              <w:top w:val="nil"/>
              <w:left w:val="nil"/>
              <w:bottom w:val="single" w:sz="4" w:space="0" w:color="auto"/>
              <w:right w:val="single" w:sz="4" w:space="0" w:color="auto"/>
            </w:tcBorders>
            <w:shd w:val="clear" w:color="000000" w:fill="FFFFFF"/>
            <w:noWrap/>
            <w:vAlign w:val="bottom"/>
            <w:hideMark/>
          </w:tcPr>
          <w:p w14:paraId="50FDB131" w14:textId="77777777" w:rsidR="00092D1D" w:rsidRPr="00092D1D" w:rsidRDefault="00092D1D" w:rsidP="00845892">
            <w:pPr>
              <w:jc w:val="right"/>
              <w:rPr>
                <w:rFonts w:ascii="Sylfaen" w:hAnsi="Sylfaen" w:cs="Arial"/>
                <w:sz w:val="18"/>
              </w:rPr>
            </w:pPr>
            <w:r w:rsidRPr="00092D1D">
              <w:rPr>
                <w:rFonts w:ascii="Sylfaen" w:hAnsi="Sylfaen" w:cs="Arial"/>
                <w:sz w:val="18"/>
              </w:rPr>
              <w:t>1.4</w:t>
            </w:r>
          </w:p>
        </w:tc>
        <w:tc>
          <w:tcPr>
            <w:tcW w:w="715" w:type="dxa"/>
            <w:tcBorders>
              <w:top w:val="nil"/>
              <w:left w:val="nil"/>
              <w:bottom w:val="single" w:sz="4" w:space="0" w:color="auto"/>
              <w:right w:val="single" w:sz="4" w:space="0" w:color="auto"/>
            </w:tcBorders>
            <w:shd w:val="clear" w:color="000000" w:fill="FFFFFF"/>
            <w:noWrap/>
            <w:vAlign w:val="bottom"/>
            <w:hideMark/>
          </w:tcPr>
          <w:p w14:paraId="2F838A8E" w14:textId="77777777" w:rsidR="00092D1D" w:rsidRPr="00092D1D" w:rsidRDefault="00092D1D" w:rsidP="00845892">
            <w:pPr>
              <w:jc w:val="right"/>
              <w:rPr>
                <w:rFonts w:ascii="Sylfaen" w:hAnsi="Sylfaen" w:cs="Arial"/>
                <w:sz w:val="18"/>
              </w:rPr>
            </w:pPr>
            <w:r w:rsidRPr="00092D1D">
              <w:rPr>
                <w:rFonts w:ascii="Sylfaen" w:hAnsi="Sylfaen" w:cs="Arial"/>
                <w:sz w:val="18"/>
              </w:rPr>
              <w:t>1.4</w:t>
            </w:r>
          </w:p>
        </w:tc>
        <w:tc>
          <w:tcPr>
            <w:tcW w:w="715" w:type="dxa"/>
            <w:tcBorders>
              <w:top w:val="nil"/>
              <w:left w:val="nil"/>
              <w:bottom w:val="single" w:sz="4" w:space="0" w:color="auto"/>
              <w:right w:val="single" w:sz="4" w:space="0" w:color="auto"/>
            </w:tcBorders>
            <w:shd w:val="clear" w:color="000000" w:fill="FFFFFF"/>
            <w:noWrap/>
            <w:vAlign w:val="bottom"/>
            <w:hideMark/>
          </w:tcPr>
          <w:p w14:paraId="646736AF" w14:textId="77777777" w:rsidR="00092D1D" w:rsidRPr="00092D1D" w:rsidRDefault="00092D1D" w:rsidP="00845892">
            <w:pPr>
              <w:jc w:val="right"/>
              <w:rPr>
                <w:rFonts w:ascii="Sylfaen" w:hAnsi="Sylfaen" w:cs="Arial"/>
                <w:sz w:val="18"/>
              </w:rPr>
            </w:pPr>
            <w:r w:rsidRPr="00092D1D">
              <w:rPr>
                <w:rFonts w:ascii="Sylfaen" w:hAnsi="Sylfaen" w:cs="Arial"/>
                <w:sz w:val="18"/>
              </w:rPr>
              <w:t>1.8</w:t>
            </w:r>
          </w:p>
        </w:tc>
        <w:tc>
          <w:tcPr>
            <w:tcW w:w="715" w:type="dxa"/>
            <w:tcBorders>
              <w:top w:val="nil"/>
              <w:left w:val="nil"/>
              <w:bottom w:val="single" w:sz="4" w:space="0" w:color="auto"/>
              <w:right w:val="single" w:sz="4" w:space="0" w:color="auto"/>
            </w:tcBorders>
            <w:shd w:val="clear" w:color="000000" w:fill="FFFFFF"/>
            <w:noWrap/>
            <w:vAlign w:val="bottom"/>
            <w:hideMark/>
          </w:tcPr>
          <w:p w14:paraId="66A9D441" w14:textId="77777777" w:rsidR="00092D1D" w:rsidRPr="00092D1D" w:rsidRDefault="00092D1D" w:rsidP="00845892">
            <w:pPr>
              <w:jc w:val="right"/>
              <w:rPr>
                <w:rFonts w:ascii="Sylfaen" w:hAnsi="Sylfaen" w:cs="Arial"/>
                <w:sz w:val="18"/>
              </w:rPr>
            </w:pPr>
            <w:r w:rsidRPr="00092D1D">
              <w:rPr>
                <w:rFonts w:ascii="Sylfaen" w:hAnsi="Sylfaen" w:cs="Arial"/>
                <w:sz w:val="18"/>
              </w:rPr>
              <w:t>1.3</w:t>
            </w:r>
          </w:p>
        </w:tc>
        <w:tc>
          <w:tcPr>
            <w:tcW w:w="715" w:type="dxa"/>
            <w:tcBorders>
              <w:top w:val="nil"/>
              <w:left w:val="nil"/>
              <w:bottom w:val="single" w:sz="4" w:space="0" w:color="auto"/>
              <w:right w:val="single" w:sz="4" w:space="0" w:color="auto"/>
            </w:tcBorders>
            <w:shd w:val="clear" w:color="000000" w:fill="FFFFFF"/>
            <w:noWrap/>
            <w:vAlign w:val="bottom"/>
            <w:hideMark/>
          </w:tcPr>
          <w:p w14:paraId="1C40A50C" w14:textId="77777777" w:rsidR="00092D1D" w:rsidRPr="00092D1D" w:rsidRDefault="00092D1D" w:rsidP="00845892">
            <w:pPr>
              <w:jc w:val="right"/>
              <w:rPr>
                <w:rFonts w:ascii="Sylfaen" w:hAnsi="Sylfaen" w:cs="Arial"/>
                <w:sz w:val="18"/>
              </w:rPr>
            </w:pPr>
            <w:r w:rsidRPr="00092D1D">
              <w:rPr>
                <w:rFonts w:ascii="Sylfaen" w:hAnsi="Sylfaen" w:cs="Arial"/>
                <w:sz w:val="18"/>
              </w:rPr>
              <w:t>1.2</w:t>
            </w:r>
          </w:p>
        </w:tc>
        <w:tc>
          <w:tcPr>
            <w:tcW w:w="799" w:type="dxa"/>
            <w:tcBorders>
              <w:top w:val="nil"/>
              <w:left w:val="nil"/>
              <w:bottom w:val="single" w:sz="4" w:space="0" w:color="auto"/>
              <w:right w:val="single" w:sz="4" w:space="0" w:color="auto"/>
            </w:tcBorders>
            <w:shd w:val="clear" w:color="000000" w:fill="FFFFFF"/>
            <w:noWrap/>
            <w:vAlign w:val="bottom"/>
            <w:hideMark/>
          </w:tcPr>
          <w:p w14:paraId="77087241" w14:textId="77777777" w:rsidR="00092D1D" w:rsidRPr="00092D1D" w:rsidRDefault="00092D1D" w:rsidP="00845892">
            <w:pPr>
              <w:jc w:val="right"/>
              <w:rPr>
                <w:rFonts w:ascii="Sylfaen" w:hAnsi="Sylfaen" w:cs="Arial"/>
                <w:sz w:val="18"/>
              </w:rPr>
            </w:pPr>
            <w:r w:rsidRPr="00092D1D">
              <w:rPr>
                <w:rFonts w:ascii="Sylfaen" w:hAnsi="Sylfaen" w:cs="Arial"/>
                <w:sz w:val="18"/>
              </w:rPr>
              <w:t>1.5</w:t>
            </w:r>
          </w:p>
        </w:tc>
        <w:tc>
          <w:tcPr>
            <w:tcW w:w="799" w:type="dxa"/>
            <w:tcBorders>
              <w:top w:val="nil"/>
              <w:left w:val="nil"/>
              <w:bottom w:val="single" w:sz="4" w:space="0" w:color="auto"/>
              <w:right w:val="single" w:sz="4" w:space="0" w:color="auto"/>
            </w:tcBorders>
            <w:shd w:val="clear" w:color="000000" w:fill="FFFFFF"/>
            <w:noWrap/>
            <w:vAlign w:val="bottom"/>
            <w:hideMark/>
          </w:tcPr>
          <w:p w14:paraId="1A1430F6" w14:textId="77777777" w:rsidR="00092D1D" w:rsidRPr="00092D1D" w:rsidRDefault="00092D1D" w:rsidP="00845892">
            <w:pPr>
              <w:jc w:val="right"/>
              <w:rPr>
                <w:rFonts w:ascii="Sylfaen" w:hAnsi="Sylfaen" w:cs="Arial"/>
                <w:sz w:val="18"/>
              </w:rPr>
            </w:pPr>
            <w:r w:rsidRPr="00092D1D">
              <w:rPr>
                <w:rFonts w:ascii="Sylfaen" w:hAnsi="Sylfaen" w:cs="Arial"/>
                <w:sz w:val="18"/>
              </w:rPr>
              <w:t>1.3</w:t>
            </w:r>
          </w:p>
        </w:tc>
      </w:tr>
      <w:tr w:rsidR="00092D1D" w:rsidRPr="00092D1D" w14:paraId="6B1BDED5" w14:textId="77777777" w:rsidTr="00092D1D">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14:paraId="088D7382" w14:textId="77777777" w:rsidR="00092D1D" w:rsidRPr="00092D1D" w:rsidRDefault="00092D1D" w:rsidP="00845892">
            <w:pPr>
              <w:rPr>
                <w:rFonts w:ascii="Sylfaen" w:hAnsi="Sylfaen" w:cs="Calibri"/>
                <w:color w:val="000000"/>
                <w:sz w:val="18"/>
              </w:rPr>
            </w:pPr>
            <w:r w:rsidRPr="00092D1D">
              <w:rPr>
                <w:rFonts w:ascii="Sylfaen" w:hAnsi="Sylfaen" w:cs="Calibri"/>
                <w:color w:val="000000"/>
                <w:sz w:val="18"/>
              </w:rPr>
              <w:t>რძის წარმოება (მლნ. ლიტრი)</w:t>
            </w:r>
          </w:p>
        </w:tc>
        <w:tc>
          <w:tcPr>
            <w:tcW w:w="715" w:type="dxa"/>
            <w:tcBorders>
              <w:top w:val="nil"/>
              <w:left w:val="nil"/>
              <w:bottom w:val="single" w:sz="4" w:space="0" w:color="auto"/>
              <w:right w:val="single" w:sz="4" w:space="0" w:color="auto"/>
            </w:tcBorders>
            <w:shd w:val="clear" w:color="000000" w:fill="FFFFFF"/>
            <w:noWrap/>
            <w:vAlign w:val="bottom"/>
            <w:hideMark/>
          </w:tcPr>
          <w:p w14:paraId="3594ED50" w14:textId="77777777" w:rsidR="00092D1D" w:rsidRPr="00092D1D" w:rsidRDefault="00092D1D" w:rsidP="00845892">
            <w:pPr>
              <w:jc w:val="right"/>
              <w:rPr>
                <w:rFonts w:ascii="Sylfaen" w:hAnsi="Sylfaen" w:cs="Arial"/>
                <w:sz w:val="18"/>
              </w:rPr>
            </w:pPr>
            <w:r w:rsidRPr="00092D1D">
              <w:rPr>
                <w:rFonts w:ascii="Sylfaen" w:hAnsi="Sylfaen" w:cs="Arial"/>
                <w:sz w:val="18"/>
              </w:rPr>
              <w:t>40.0</w:t>
            </w:r>
          </w:p>
        </w:tc>
        <w:tc>
          <w:tcPr>
            <w:tcW w:w="715" w:type="dxa"/>
            <w:tcBorders>
              <w:top w:val="nil"/>
              <w:left w:val="nil"/>
              <w:bottom w:val="single" w:sz="4" w:space="0" w:color="auto"/>
              <w:right w:val="single" w:sz="4" w:space="0" w:color="auto"/>
            </w:tcBorders>
            <w:shd w:val="clear" w:color="000000" w:fill="FFFFFF"/>
            <w:noWrap/>
            <w:vAlign w:val="bottom"/>
            <w:hideMark/>
          </w:tcPr>
          <w:p w14:paraId="2D60DA8C" w14:textId="77777777" w:rsidR="00092D1D" w:rsidRPr="00092D1D" w:rsidRDefault="00092D1D" w:rsidP="00845892">
            <w:pPr>
              <w:jc w:val="right"/>
              <w:rPr>
                <w:rFonts w:ascii="Sylfaen" w:hAnsi="Sylfaen" w:cs="Arial"/>
                <w:sz w:val="18"/>
              </w:rPr>
            </w:pPr>
            <w:r w:rsidRPr="00092D1D">
              <w:rPr>
                <w:rFonts w:ascii="Sylfaen" w:hAnsi="Sylfaen" w:cs="Arial"/>
                <w:sz w:val="18"/>
              </w:rPr>
              <w:t>40.9</w:t>
            </w:r>
          </w:p>
        </w:tc>
        <w:tc>
          <w:tcPr>
            <w:tcW w:w="715" w:type="dxa"/>
            <w:tcBorders>
              <w:top w:val="nil"/>
              <w:left w:val="nil"/>
              <w:bottom w:val="single" w:sz="4" w:space="0" w:color="auto"/>
              <w:right w:val="single" w:sz="4" w:space="0" w:color="auto"/>
            </w:tcBorders>
            <w:shd w:val="clear" w:color="000000" w:fill="FFFFFF"/>
            <w:noWrap/>
            <w:vAlign w:val="bottom"/>
            <w:hideMark/>
          </w:tcPr>
          <w:p w14:paraId="77AD0772" w14:textId="77777777" w:rsidR="00092D1D" w:rsidRPr="00092D1D" w:rsidRDefault="00092D1D" w:rsidP="00845892">
            <w:pPr>
              <w:jc w:val="right"/>
              <w:rPr>
                <w:rFonts w:ascii="Sylfaen" w:hAnsi="Sylfaen" w:cs="Arial"/>
                <w:sz w:val="18"/>
              </w:rPr>
            </w:pPr>
            <w:r w:rsidRPr="00092D1D">
              <w:rPr>
                <w:rFonts w:ascii="Sylfaen" w:hAnsi="Sylfaen" w:cs="Arial"/>
                <w:sz w:val="18"/>
              </w:rPr>
              <w:t>42.6</w:t>
            </w:r>
          </w:p>
        </w:tc>
        <w:tc>
          <w:tcPr>
            <w:tcW w:w="715" w:type="dxa"/>
            <w:tcBorders>
              <w:top w:val="nil"/>
              <w:left w:val="nil"/>
              <w:bottom w:val="single" w:sz="4" w:space="0" w:color="auto"/>
              <w:right w:val="single" w:sz="4" w:space="0" w:color="auto"/>
            </w:tcBorders>
            <w:shd w:val="clear" w:color="000000" w:fill="FFFFFF"/>
            <w:noWrap/>
            <w:vAlign w:val="bottom"/>
            <w:hideMark/>
          </w:tcPr>
          <w:p w14:paraId="44039168" w14:textId="77777777" w:rsidR="00092D1D" w:rsidRPr="00092D1D" w:rsidRDefault="00092D1D" w:rsidP="00845892">
            <w:pPr>
              <w:jc w:val="right"/>
              <w:rPr>
                <w:rFonts w:ascii="Sylfaen" w:hAnsi="Sylfaen" w:cs="Arial"/>
                <w:sz w:val="18"/>
              </w:rPr>
            </w:pPr>
            <w:r w:rsidRPr="00092D1D">
              <w:rPr>
                <w:rFonts w:ascii="Sylfaen" w:hAnsi="Sylfaen" w:cs="Arial"/>
                <w:sz w:val="18"/>
              </w:rPr>
              <w:t>39.5</w:t>
            </w:r>
          </w:p>
        </w:tc>
        <w:tc>
          <w:tcPr>
            <w:tcW w:w="715" w:type="dxa"/>
            <w:tcBorders>
              <w:top w:val="nil"/>
              <w:left w:val="nil"/>
              <w:bottom w:val="single" w:sz="4" w:space="0" w:color="auto"/>
              <w:right w:val="single" w:sz="4" w:space="0" w:color="auto"/>
            </w:tcBorders>
            <w:shd w:val="clear" w:color="000000" w:fill="FFFFFF"/>
            <w:noWrap/>
            <w:vAlign w:val="bottom"/>
            <w:hideMark/>
          </w:tcPr>
          <w:p w14:paraId="57EE1953" w14:textId="77777777" w:rsidR="00092D1D" w:rsidRPr="00092D1D" w:rsidRDefault="00092D1D" w:rsidP="00845892">
            <w:pPr>
              <w:jc w:val="right"/>
              <w:rPr>
                <w:rFonts w:ascii="Sylfaen" w:hAnsi="Sylfaen" w:cs="Arial"/>
                <w:sz w:val="18"/>
              </w:rPr>
            </w:pPr>
            <w:r w:rsidRPr="00092D1D">
              <w:rPr>
                <w:rFonts w:ascii="Sylfaen" w:hAnsi="Sylfaen" w:cs="Arial"/>
                <w:sz w:val="18"/>
              </w:rPr>
              <w:t>42.2</w:t>
            </w:r>
          </w:p>
        </w:tc>
        <w:tc>
          <w:tcPr>
            <w:tcW w:w="715" w:type="dxa"/>
            <w:tcBorders>
              <w:top w:val="nil"/>
              <w:left w:val="nil"/>
              <w:bottom w:val="single" w:sz="4" w:space="0" w:color="auto"/>
              <w:right w:val="single" w:sz="4" w:space="0" w:color="auto"/>
            </w:tcBorders>
            <w:shd w:val="clear" w:color="000000" w:fill="FFFFFF"/>
            <w:noWrap/>
            <w:vAlign w:val="bottom"/>
            <w:hideMark/>
          </w:tcPr>
          <w:p w14:paraId="644E571F" w14:textId="77777777" w:rsidR="00092D1D" w:rsidRPr="00092D1D" w:rsidRDefault="00092D1D" w:rsidP="00845892">
            <w:pPr>
              <w:jc w:val="right"/>
              <w:rPr>
                <w:rFonts w:ascii="Sylfaen" w:hAnsi="Sylfaen" w:cs="Arial"/>
                <w:sz w:val="18"/>
              </w:rPr>
            </w:pPr>
            <w:r w:rsidRPr="00092D1D">
              <w:rPr>
                <w:rFonts w:ascii="Sylfaen" w:hAnsi="Sylfaen" w:cs="Arial"/>
                <w:sz w:val="18"/>
              </w:rPr>
              <w:t>45.2</w:t>
            </w:r>
          </w:p>
        </w:tc>
        <w:tc>
          <w:tcPr>
            <w:tcW w:w="715" w:type="dxa"/>
            <w:tcBorders>
              <w:top w:val="nil"/>
              <w:left w:val="nil"/>
              <w:bottom w:val="single" w:sz="4" w:space="0" w:color="auto"/>
              <w:right w:val="single" w:sz="4" w:space="0" w:color="auto"/>
            </w:tcBorders>
            <w:shd w:val="clear" w:color="000000" w:fill="FFFFFF"/>
            <w:noWrap/>
            <w:vAlign w:val="bottom"/>
            <w:hideMark/>
          </w:tcPr>
          <w:p w14:paraId="2C713587" w14:textId="77777777" w:rsidR="00092D1D" w:rsidRPr="00092D1D" w:rsidRDefault="00092D1D" w:rsidP="00845892">
            <w:pPr>
              <w:jc w:val="right"/>
              <w:rPr>
                <w:rFonts w:ascii="Sylfaen" w:hAnsi="Sylfaen" w:cs="Arial"/>
                <w:sz w:val="18"/>
              </w:rPr>
            </w:pPr>
            <w:r w:rsidRPr="00092D1D">
              <w:rPr>
                <w:rFonts w:ascii="Sylfaen" w:hAnsi="Sylfaen" w:cs="Arial"/>
                <w:sz w:val="18"/>
              </w:rPr>
              <w:t>46.6</w:t>
            </w:r>
          </w:p>
        </w:tc>
        <w:tc>
          <w:tcPr>
            <w:tcW w:w="715" w:type="dxa"/>
            <w:tcBorders>
              <w:top w:val="nil"/>
              <w:left w:val="nil"/>
              <w:bottom w:val="single" w:sz="4" w:space="0" w:color="auto"/>
              <w:right w:val="single" w:sz="4" w:space="0" w:color="auto"/>
            </w:tcBorders>
            <w:shd w:val="clear" w:color="000000" w:fill="FFFFFF"/>
            <w:noWrap/>
            <w:vAlign w:val="bottom"/>
            <w:hideMark/>
          </w:tcPr>
          <w:p w14:paraId="0E1F39CA" w14:textId="77777777" w:rsidR="00092D1D" w:rsidRPr="00092D1D" w:rsidRDefault="00092D1D" w:rsidP="00845892">
            <w:pPr>
              <w:jc w:val="right"/>
              <w:rPr>
                <w:rFonts w:ascii="Sylfaen" w:hAnsi="Sylfaen" w:cs="Arial"/>
                <w:sz w:val="18"/>
              </w:rPr>
            </w:pPr>
            <w:r w:rsidRPr="00092D1D">
              <w:rPr>
                <w:rFonts w:ascii="Sylfaen" w:hAnsi="Sylfaen" w:cs="Arial"/>
                <w:sz w:val="18"/>
              </w:rPr>
              <w:t>54.3</w:t>
            </w:r>
          </w:p>
        </w:tc>
        <w:tc>
          <w:tcPr>
            <w:tcW w:w="715" w:type="dxa"/>
            <w:tcBorders>
              <w:top w:val="nil"/>
              <w:left w:val="nil"/>
              <w:bottom w:val="single" w:sz="4" w:space="0" w:color="auto"/>
              <w:right w:val="single" w:sz="4" w:space="0" w:color="auto"/>
            </w:tcBorders>
            <w:shd w:val="clear" w:color="000000" w:fill="FFFFFF"/>
            <w:noWrap/>
            <w:vAlign w:val="bottom"/>
            <w:hideMark/>
          </w:tcPr>
          <w:p w14:paraId="5EF8A145" w14:textId="77777777" w:rsidR="00092D1D" w:rsidRPr="00092D1D" w:rsidRDefault="00092D1D" w:rsidP="00845892">
            <w:pPr>
              <w:jc w:val="right"/>
              <w:rPr>
                <w:rFonts w:ascii="Sylfaen" w:hAnsi="Sylfaen" w:cs="Arial"/>
                <w:sz w:val="18"/>
              </w:rPr>
            </w:pPr>
            <w:r w:rsidRPr="00092D1D">
              <w:rPr>
                <w:rFonts w:ascii="Sylfaen" w:hAnsi="Sylfaen" w:cs="Arial"/>
                <w:sz w:val="18"/>
              </w:rPr>
              <w:t>56.0</w:t>
            </w:r>
          </w:p>
        </w:tc>
        <w:tc>
          <w:tcPr>
            <w:tcW w:w="799" w:type="dxa"/>
            <w:tcBorders>
              <w:top w:val="nil"/>
              <w:left w:val="nil"/>
              <w:bottom w:val="single" w:sz="4" w:space="0" w:color="auto"/>
              <w:right w:val="single" w:sz="4" w:space="0" w:color="auto"/>
            </w:tcBorders>
            <w:shd w:val="clear" w:color="000000" w:fill="FFFFFF"/>
            <w:noWrap/>
            <w:vAlign w:val="bottom"/>
            <w:hideMark/>
          </w:tcPr>
          <w:p w14:paraId="034FB853" w14:textId="77777777" w:rsidR="00092D1D" w:rsidRPr="00092D1D" w:rsidRDefault="00092D1D" w:rsidP="00845892">
            <w:pPr>
              <w:jc w:val="right"/>
              <w:rPr>
                <w:rFonts w:ascii="Sylfaen" w:hAnsi="Sylfaen" w:cs="Arial"/>
                <w:sz w:val="18"/>
              </w:rPr>
            </w:pPr>
            <w:r w:rsidRPr="00092D1D">
              <w:rPr>
                <w:rFonts w:ascii="Sylfaen" w:hAnsi="Sylfaen" w:cs="Arial"/>
                <w:sz w:val="18"/>
              </w:rPr>
              <w:t>60.1</w:t>
            </w:r>
          </w:p>
        </w:tc>
        <w:tc>
          <w:tcPr>
            <w:tcW w:w="799" w:type="dxa"/>
            <w:tcBorders>
              <w:top w:val="nil"/>
              <w:left w:val="nil"/>
              <w:bottom w:val="single" w:sz="4" w:space="0" w:color="auto"/>
              <w:right w:val="single" w:sz="4" w:space="0" w:color="auto"/>
            </w:tcBorders>
            <w:shd w:val="clear" w:color="000000" w:fill="FFFFFF"/>
            <w:noWrap/>
            <w:vAlign w:val="bottom"/>
            <w:hideMark/>
          </w:tcPr>
          <w:p w14:paraId="245EFCFB" w14:textId="77777777" w:rsidR="00092D1D" w:rsidRPr="00092D1D" w:rsidRDefault="00092D1D" w:rsidP="00845892">
            <w:pPr>
              <w:jc w:val="right"/>
              <w:rPr>
                <w:rFonts w:ascii="Sylfaen" w:hAnsi="Sylfaen" w:cs="Arial"/>
                <w:sz w:val="18"/>
              </w:rPr>
            </w:pPr>
            <w:r w:rsidRPr="00092D1D">
              <w:rPr>
                <w:rFonts w:ascii="Sylfaen" w:hAnsi="Sylfaen" w:cs="Arial"/>
                <w:sz w:val="18"/>
              </w:rPr>
              <w:t>53.7</w:t>
            </w:r>
          </w:p>
        </w:tc>
      </w:tr>
      <w:tr w:rsidR="00092D1D" w:rsidRPr="00092D1D" w14:paraId="58F34744" w14:textId="77777777" w:rsidTr="00092D1D">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14:paraId="27408452" w14:textId="77777777" w:rsidR="00092D1D" w:rsidRPr="00092D1D" w:rsidRDefault="00092D1D" w:rsidP="00845892">
            <w:pPr>
              <w:rPr>
                <w:rFonts w:ascii="Sylfaen" w:hAnsi="Sylfaen" w:cs="Calibri"/>
                <w:color w:val="000000"/>
                <w:sz w:val="18"/>
              </w:rPr>
            </w:pPr>
            <w:r w:rsidRPr="00092D1D">
              <w:rPr>
                <w:rFonts w:ascii="Sylfaen" w:hAnsi="Sylfaen" w:cs="Calibri"/>
                <w:color w:val="000000"/>
                <w:sz w:val="18"/>
              </w:rPr>
              <w:t>ფურისა და ფურკამეჩის რძის წარმოება (მლნ. ლიტრი)</w:t>
            </w:r>
          </w:p>
        </w:tc>
        <w:tc>
          <w:tcPr>
            <w:tcW w:w="715" w:type="dxa"/>
            <w:tcBorders>
              <w:top w:val="nil"/>
              <w:left w:val="nil"/>
              <w:bottom w:val="single" w:sz="4" w:space="0" w:color="auto"/>
              <w:right w:val="single" w:sz="4" w:space="0" w:color="auto"/>
            </w:tcBorders>
            <w:shd w:val="clear" w:color="000000" w:fill="FFFFFF"/>
            <w:noWrap/>
            <w:vAlign w:val="bottom"/>
            <w:hideMark/>
          </w:tcPr>
          <w:p w14:paraId="712109D7" w14:textId="77777777" w:rsidR="00092D1D" w:rsidRPr="00092D1D" w:rsidRDefault="00092D1D" w:rsidP="00845892">
            <w:pPr>
              <w:jc w:val="right"/>
              <w:rPr>
                <w:rFonts w:ascii="Sylfaen" w:hAnsi="Sylfaen" w:cs="Arial"/>
                <w:sz w:val="18"/>
              </w:rPr>
            </w:pPr>
            <w:r w:rsidRPr="00092D1D">
              <w:rPr>
                <w:rFonts w:ascii="Sylfaen" w:hAnsi="Sylfaen" w:cs="Arial"/>
                <w:sz w:val="18"/>
              </w:rPr>
              <w:t>37.4</w:t>
            </w:r>
          </w:p>
        </w:tc>
        <w:tc>
          <w:tcPr>
            <w:tcW w:w="715" w:type="dxa"/>
            <w:tcBorders>
              <w:top w:val="nil"/>
              <w:left w:val="nil"/>
              <w:bottom w:val="single" w:sz="4" w:space="0" w:color="auto"/>
              <w:right w:val="single" w:sz="4" w:space="0" w:color="auto"/>
            </w:tcBorders>
            <w:shd w:val="clear" w:color="000000" w:fill="FFFFFF"/>
            <w:noWrap/>
            <w:vAlign w:val="bottom"/>
            <w:hideMark/>
          </w:tcPr>
          <w:p w14:paraId="1B8364F5" w14:textId="77777777" w:rsidR="00092D1D" w:rsidRPr="00092D1D" w:rsidRDefault="00092D1D" w:rsidP="00845892">
            <w:pPr>
              <w:jc w:val="right"/>
              <w:rPr>
                <w:rFonts w:ascii="Sylfaen" w:hAnsi="Sylfaen" w:cs="Arial"/>
                <w:sz w:val="18"/>
              </w:rPr>
            </w:pPr>
            <w:r w:rsidRPr="00092D1D">
              <w:rPr>
                <w:rFonts w:ascii="Sylfaen" w:hAnsi="Sylfaen" w:cs="Arial"/>
                <w:sz w:val="18"/>
              </w:rPr>
              <w:t>37.9</w:t>
            </w:r>
          </w:p>
        </w:tc>
        <w:tc>
          <w:tcPr>
            <w:tcW w:w="715" w:type="dxa"/>
            <w:tcBorders>
              <w:top w:val="nil"/>
              <w:left w:val="nil"/>
              <w:bottom w:val="single" w:sz="4" w:space="0" w:color="auto"/>
              <w:right w:val="single" w:sz="4" w:space="0" w:color="auto"/>
            </w:tcBorders>
            <w:shd w:val="clear" w:color="000000" w:fill="FFFFFF"/>
            <w:noWrap/>
            <w:vAlign w:val="bottom"/>
            <w:hideMark/>
          </w:tcPr>
          <w:p w14:paraId="1AC4DB8E" w14:textId="77777777" w:rsidR="00092D1D" w:rsidRPr="00092D1D" w:rsidRDefault="00092D1D" w:rsidP="00845892">
            <w:pPr>
              <w:jc w:val="right"/>
              <w:rPr>
                <w:rFonts w:ascii="Sylfaen" w:hAnsi="Sylfaen" w:cs="Arial"/>
                <w:sz w:val="18"/>
              </w:rPr>
            </w:pPr>
            <w:r w:rsidRPr="00092D1D">
              <w:rPr>
                <w:rFonts w:ascii="Sylfaen" w:hAnsi="Sylfaen" w:cs="Arial"/>
                <w:sz w:val="18"/>
              </w:rPr>
              <w:t>40.0</w:t>
            </w:r>
          </w:p>
        </w:tc>
        <w:tc>
          <w:tcPr>
            <w:tcW w:w="715" w:type="dxa"/>
            <w:tcBorders>
              <w:top w:val="nil"/>
              <w:left w:val="nil"/>
              <w:bottom w:val="single" w:sz="4" w:space="0" w:color="auto"/>
              <w:right w:val="single" w:sz="4" w:space="0" w:color="auto"/>
            </w:tcBorders>
            <w:shd w:val="clear" w:color="000000" w:fill="FFFFFF"/>
            <w:noWrap/>
            <w:vAlign w:val="bottom"/>
            <w:hideMark/>
          </w:tcPr>
          <w:p w14:paraId="0D27942E" w14:textId="77777777" w:rsidR="00092D1D" w:rsidRPr="00092D1D" w:rsidRDefault="00092D1D" w:rsidP="00845892">
            <w:pPr>
              <w:jc w:val="right"/>
              <w:rPr>
                <w:rFonts w:ascii="Sylfaen" w:hAnsi="Sylfaen" w:cs="Arial"/>
                <w:sz w:val="18"/>
              </w:rPr>
            </w:pPr>
            <w:r w:rsidRPr="00092D1D">
              <w:rPr>
                <w:rFonts w:ascii="Sylfaen" w:hAnsi="Sylfaen" w:cs="Arial"/>
                <w:sz w:val="18"/>
              </w:rPr>
              <w:t>36.9</w:t>
            </w:r>
          </w:p>
        </w:tc>
        <w:tc>
          <w:tcPr>
            <w:tcW w:w="715" w:type="dxa"/>
            <w:tcBorders>
              <w:top w:val="nil"/>
              <w:left w:val="nil"/>
              <w:bottom w:val="single" w:sz="4" w:space="0" w:color="auto"/>
              <w:right w:val="single" w:sz="4" w:space="0" w:color="auto"/>
            </w:tcBorders>
            <w:shd w:val="clear" w:color="000000" w:fill="FFFFFF"/>
            <w:noWrap/>
            <w:vAlign w:val="bottom"/>
            <w:hideMark/>
          </w:tcPr>
          <w:p w14:paraId="426C6807" w14:textId="77777777" w:rsidR="00092D1D" w:rsidRPr="00092D1D" w:rsidRDefault="00092D1D" w:rsidP="00845892">
            <w:pPr>
              <w:jc w:val="right"/>
              <w:rPr>
                <w:rFonts w:ascii="Sylfaen" w:hAnsi="Sylfaen" w:cs="Arial"/>
                <w:sz w:val="18"/>
              </w:rPr>
            </w:pPr>
            <w:r w:rsidRPr="00092D1D">
              <w:rPr>
                <w:rFonts w:ascii="Sylfaen" w:hAnsi="Sylfaen" w:cs="Arial"/>
                <w:sz w:val="18"/>
              </w:rPr>
              <w:t>39.5</w:t>
            </w:r>
          </w:p>
        </w:tc>
        <w:tc>
          <w:tcPr>
            <w:tcW w:w="715" w:type="dxa"/>
            <w:tcBorders>
              <w:top w:val="nil"/>
              <w:left w:val="nil"/>
              <w:bottom w:val="single" w:sz="4" w:space="0" w:color="auto"/>
              <w:right w:val="single" w:sz="4" w:space="0" w:color="auto"/>
            </w:tcBorders>
            <w:shd w:val="clear" w:color="000000" w:fill="FFFFFF"/>
            <w:noWrap/>
            <w:vAlign w:val="bottom"/>
            <w:hideMark/>
          </w:tcPr>
          <w:p w14:paraId="53DF9AAD" w14:textId="77777777" w:rsidR="00092D1D" w:rsidRPr="00092D1D" w:rsidRDefault="00092D1D" w:rsidP="00845892">
            <w:pPr>
              <w:jc w:val="right"/>
              <w:rPr>
                <w:rFonts w:ascii="Sylfaen" w:hAnsi="Sylfaen" w:cs="Arial"/>
                <w:sz w:val="18"/>
              </w:rPr>
            </w:pPr>
            <w:r w:rsidRPr="00092D1D">
              <w:rPr>
                <w:rFonts w:ascii="Sylfaen" w:hAnsi="Sylfaen" w:cs="Arial"/>
                <w:sz w:val="18"/>
              </w:rPr>
              <w:t>42.3</w:t>
            </w:r>
          </w:p>
        </w:tc>
        <w:tc>
          <w:tcPr>
            <w:tcW w:w="715" w:type="dxa"/>
            <w:tcBorders>
              <w:top w:val="nil"/>
              <w:left w:val="nil"/>
              <w:bottom w:val="single" w:sz="4" w:space="0" w:color="auto"/>
              <w:right w:val="single" w:sz="4" w:space="0" w:color="auto"/>
            </w:tcBorders>
            <w:shd w:val="clear" w:color="000000" w:fill="FFFFFF"/>
            <w:noWrap/>
            <w:vAlign w:val="bottom"/>
            <w:hideMark/>
          </w:tcPr>
          <w:p w14:paraId="443DB949" w14:textId="77777777" w:rsidR="00092D1D" w:rsidRPr="00092D1D" w:rsidRDefault="00092D1D" w:rsidP="00845892">
            <w:pPr>
              <w:jc w:val="right"/>
              <w:rPr>
                <w:rFonts w:ascii="Sylfaen" w:hAnsi="Sylfaen" w:cs="Arial"/>
                <w:sz w:val="18"/>
              </w:rPr>
            </w:pPr>
            <w:r w:rsidRPr="00092D1D">
              <w:rPr>
                <w:rFonts w:ascii="Sylfaen" w:hAnsi="Sylfaen" w:cs="Arial"/>
                <w:sz w:val="18"/>
              </w:rPr>
              <w:t>43.2</w:t>
            </w:r>
          </w:p>
        </w:tc>
        <w:tc>
          <w:tcPr>
            <w:tcW w:w="715" w:type="dxa"/>
            <w:tcBorders>
              <w:top w:val="nil"/>
              <w:left w:val="nil"/>
              <w:bottom w:val="single" w:sz="4" w:space="0" w:color="auto"/>
              <w:right w:val="single" w:sz="4" w:space="0" w:color="auto"/>
            </w:tcBorders>
            <w:shd w:val="clear" w:color="000000" w:fill="FFFFFF"/>
            <w:noWrap/>
            <w:vAlign w:val="bottom"/>
            <w:hideMark/>
          </w:tcPr>
          <w:p w14:paraId="0EFA0894" w14:textId="77777777" w:rsidR="00092D1D" w:rsidRPr="00092D1D" w:rsidRDefault="00092D1D" w:rsidP="00845892">
            <w:pPr>
              <w:jc w:val="right"/>
              <w:rPr>
                <w:rFonts w:ascii="Sylfaen" w:hAnsi="Sylfaen" w:cs="Arial"/>
                <w:sz w:val="18"/>
              </w:rPr>
            </w:pPr>
            <w:r w:rsidRPr="00092D1D">
              <w:rPr>
                <w:rFonts w:ascii="Sylfaen" w:hAnsi="Sylfaen" w:cs="Arial"/>
                <w:sz w:val="18"/>
              </w:rPr>
              <w:t>49.5</w:t>
            </w:r>
          </w:p>
        </w:tc>
        <w:tc>
          <w:tcPr>
            <w:tcW w:w="715" w:type="dxa"/>
            <w:tcBorders>
              <w:top w:val="nil"/>
              <w:left w:val="nil"/>
              <w:bottom w:val="single" w:sz="4" w:space="0" w:color="auto"/>
              <w:right w:val="single" w:sz="4" w:space="0" w:color="auto"/>
            </w:tcBorders>
            <w:shd w:val="clear" w:color="000000" w:fill="FFFFFF"/>
            <w:noWrap/>
            <w:vAlign w:val="bottom"/>
            <w:hideMark/>
          </w:tcPr>
          <w:p w14:paraId="2927CE30" w14:textId="77777777" w:rsidR="00092D1D" w:rsidRPr="00092D1D" w:rsidRDefault="00092D1D" w:rsidP="00845892">
            <w:pPr>
              <w:jc w:val="right"/>
              <w:rPr>
                <w:rFonts w:ascii="Sylfaen" w:hAnsi="Sylfaen" w:cs="Arial"/>
                <w:sz w:val="18"/>
              </w:rPr>
            </w:pPr>
            <w:r w:rsidRPr="00092D1D">
              <w:rPr>
                <w:rFonts w:ascii="Sylfaen" w:hAnsi="Sylfaen" w:cs="Arial"/>
                <w:sz w:val="18"/>
              </w:rPr>
              <w:t>50.6</w:t>
            </w:r>
          </w:p>
        </w:tc>
        <w:tc>
          <w:tcPr>
            <w:tcW w:w="799" w:type="dxa"/>
            <w:tcBorders>
              <w:top w:val="nil"/>
              <w:left w:val="nil"/>
              <w:bottom w:val="single" w:sz="4" w:space="0" w:color="auto"/>
              <w:right w:val="single" w:sz="4" w:space="0" w:color="auto"/>
            </w:tcBorders>
            <w:shd w:val="clear" w:color="000000" w:fill="FFFFFF"/>
            <w:noWrap/>
            <w:vAlign w:val="bottom"/>
            <w:hideMark/>
          </w:tcPr>
          <w:p w14:paraId="771DD8A8" w14:textId="77777777" w:rsidR="00092D1D" w:rsidRPr="00092D1D" w:rsidRDefault="00092D1D" w:rsidP="00845892">
            <w:pPr>
              <w:jc w:val="right"/>
              <w:rPr>
                <w:rFonts w:ascii="Sylfaen" w:hAnsi="Sylfaen" w:cs="Arial"/>
                <w:sz w:val="18"/>
              </w:rPr>
            </w:pPr>
            <w:r w:rsidRPr="00092D1D">
              <w:rPr>
                <w:rFonts w:ascii="Sylfaen" w:hAnsi="Sylfaen" w:cs="Arial"/>
                <w:sz w:val="18"/>
              </w:rPr>
              <w:t>54.8</w:t>
            </w:r>
          </w:p>
        </w:tc>
        <w:tc>
          <w:tcPr>
            <w:tcW w:w="799" w:type="dxa"/>
            <w:tcBorders>
              <w:top w:val="nil"/>
              <w:left w:val="nil"/>
              <w:bottom w:val="single" w:sz="4" w:space="0" w:color="auto"/>
              <w:right w:val="single" w:sz="4" w:space="0" w:color="auto"/>
            </w:tcBorders>
            <w:shd w:val="clear" w:color="000000" w:fill="FFFFFF"/>
            <w:noWrap/>
            <w:vAlign w:val="bottom"/>
            <w:hideMark/>
          </w:tcPr>
          <w:p w14:paraId="4F0DA156" w14:textId="77777777" w:rsidR="00092D1D" w:rsidRPr="00092D1D" w:rsidRDefault="00092D1D" w:rsidP="00845892">
            <w:pPr>
              <w:jc w:val="right"/>
              <w:rPr>
                <w:rFonts w:ascii="Sylfaen" w:hAnsi="Sylfaen" w:cs="Arial"/>
                <w:sz w:val="18"/>
              </w:rPr>
            </w:pPr>
            <w:r w:rsidRPr="00092D1D">
              <w:rPr>
                <w:rFonts w:ascii="Sylfaen" w:hAnsi="Sylfaen" w:cs="Arial"/>
                <w:sz w:val="18"/>
              </w:rPr>
              <w:t>48.5</w:t>
            </w:r>
          </w:p>
        </w:tc>
      </w:tr>
      <w:tr w:rsidR="00092D1D" w:rsidRPr="00092D1D" w14:paraId="397D6EF3" w14:textId="77777777" w:rsidTr="00092D1D">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14:paraId="0801F28B" w14:textId="77777777" w:rsidR="00092D1D" w:rsidRPr="00092D1D" w:rsidRDefault="00092D1D" w:rsidP="00845892">
            <w:pPr>
              <w:rPr>
                <w:rFonts w:ascii="Sylfaen" w:hAnsi="Sylfaen" w:cs="Calibri"/>
                <w:color w:val="000000"/>
                <w:sz w:val="18"/>
              </w:rPr>
            </w:pPr>
            <w:r w:rsidRPr="00092D1D">
              <w:rPr>
                <w:rFonts w:ascii="Sylfaen" w:hAnsi="Sylfaen" w:cs="Calibri"/>
                <w:color w:val="000000"/>
                <w:sz w:val="18"/>
              </w:rPr>
              <w:t>ცხვრისა და თხის რძის წარმოება (მლნ. ლიტრი)</w:t>
            </w:r>
          </w:p>
        </w:tc>
        <w:tc>
          <w:tcPr>
            <w:tcW w:w="715" w:type="dxa"/>
            <w:tcBorders>
              <w:top w:val="nil"/>
              <w:left w:val="nil"/>
              <w:bottom w:val="single" w:sz="4" w:space="0" w:color="auto"/>
              <w:right w:val="single" w:sz="4" w:space="0" w:color="auto"/>
            </w:tcBorders>
            <w:shd w:val="clear" w:color="auto" w:fill="auto"/>
            <w:noWrap/>
            <w:vAlign w:val="bottom"/>
            <w:hideMark/>
          </w:tcPr>
          <w:p w14:paraId="4DC2751E"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2.6</w:t>
            </w:r>
          </w:p>
        </w:tc>
        <w:tc>
          <w:tcPr>
            <w:tcW w:w="715" w:type="dxa"/>
            <w:tcBorders>
              <w:top w:val="nil"/>
              <w:left w:val="nil"/>
              <w:bottom w:val="single" w:sz="4" w:space="0" w:color="auto"/>
              <w:right w:val="single" w:sz="4" w:space="0" w:color="auto"/>
            </w:tcBorders>
            <w:shd w:val="clear" w:color="auto" w:fill="auto"/>
            <w:noWrap/>
            <w:vAlign w:val="bottom"/>
            <w:hideMark/>
          </w:tcPr>
          <w:p w14:paraId="3813E9B3"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3.0</w:t>
            </w:r>
          </w:p>
        </w:tc>
        <w:tc>
          <w:tcPr>
            <w:tcW w:w="715" w:type="dxa"/>
            <w:tcBorders>
              <w:top w:val="nil"/>
              <w:left w:val="nil"/>
              <w:bottom w:val="single" w:sz="4" w:space="0" w:color="auto"/>
              <w:right w:val="single" w:sz="4" w:space="0" w:color="auto"/>
            </w:tcBorders>
            <w:shd w:val="clear" w:color="auto" w:fill="auto"/>
            <w:noWrap/>
            <w:vAlign w:val="bottom"/>
            <w:hideMark/>
          </w:tcPr>
          <w:p w14:paraId="6EF93DC8"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2.6</w:t>
            </w:r>
          </w:p>
        </w:tc>
        <w:tc>
          <w:tcPr>
            <w:tcW w:w="715" w:type="dxa"/>
            <w:tcBorders>
              <w:top w:val="nil"/>
              <w:left w:val="nil"/>
              <w:bottom w:val="single" w:sz="4" w:space="0" w:color="auto"/>
              <w:right w:val="single" w:sz="4" w:space="0" w:color="auto"/>
            </w:tcBorders>
            <w:shd w:val="clear" w:color="auto" w:fill="auto"/>
            <w:noWrap/>
            <w:vAlign w:val="bottom"/>
            <w:hideMark/>
          </w:tcPr>
          <w:p w14:paraId="6AC425FA"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2.6</w:t>
            </w:r>
          </w:p>
        </w:tc>
        <w:tc>
          <w:tcPr>
            <w:tcW w:w="715" w:type="dxa"/>
            <w:tcBorders>
              <w:top w:val="nil"/>
              <w:left w:val="nil"/>
              <w:bottom w:val="single" w:sz="4" w:space="0" w:color="auto"/>
              <w:right w:val="single" w:sz="4" w:space="0" w:color="auto"/>
            </w:tcBorders>
            <w:shd w:val="clear" w:color="auto" w:fill="auto"/>
            <w:noWrap/>
            <w:vAlign w:val="bottom"/>
            <w:hideMark/>
          </w:tcPr>
          <w:p w14:paraId="01F1DFA3"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2.7</w:t>
            </w:r>
          </w:p>
        </w:tc>
        <w:tc>
          <w:tcPr>
            <w:tcW w:w="715" w:type="dxa"/>
            <w:tcBorders>
              <w:top w:val="nil"/>
              <w:left w:val="nil"/>
              <w:bottom w:val="single" w:sz="4" w:space="0" w:color="auto"/>
              <w:right w:val="single" w:sz="4" w:space="0" w:color="auto"/>
            </w:tcBorders>
            <w:shd w:val="clear" w:color="auto" w:fill="auto"/>
            <w:noWrap/>
            <w:vAlign w:val="bottom"/>
            <w:hideMark/>
          </w:tcPr>
          <w:p w14:paraId="371D0E69"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2.9</w:t>
            </w:r>
          </w:p>
        </w:tc>
        <w:tc>
          <w:tcPr>
            <w:tcW w:w="715" w:type="dxa"/>
            <w:tcBorders>
              <w:top w:val="nil"/>
              <w:left w:val="nil"/>
              <w:bottom w:val="single" w:sz="4" w:space="0" w:color="auto"/>
              <w:right w:val="single" w:sz="4" w:space="0" w:color="auto"/>
            </w:tcBorders>
            <w:shd w:val="clear" w:color="auto" w:fill="auto"/>
            <w:noWrap/>
            <w:vAlign w:val="bottom"/>
            <w:hideMark/>
          </w:tcPr>
          <w:p w14:paraId="70BEB3B3"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3.4</w:t>
            </w:r>
          </w:p>
        </w:tc>
        <w:tc>
          <w:tcPr>
            <w:tcW w:w="715" w:type="dxa"/>
            <w:tcBorders>
              <w:top w:val="nil"/>
              <w:left w:val="nil"/>
              <w:bottom w:val="single" w:sz="4" w:space="0" w:color="auto"/>
              <w:right w:val="single" w:sz="4" w:space="0" w:color="auto"/>
            </w:tcBorders>
            <w:shd w:val="clear" w:color="auto" w:fill="auto"/>
            <w:noWrap/>
            <w:vAlign w:val="bottom"/>
            <w:hideMark/>
          </w:tcPr>
          <w:p w14:paraId="5F00DDE6"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4.8</w:t>
            </w:r>
          </w:p>
        </w:tc>
        <w:tc>
          <w:tcPr>
            <w:tcW w:w="715" w:type="dxa"/>
            <w:tcBorders>
              <w:top w:val="nil"/>
              <w:left w:val="nil"/>
              <w:bottom w:val="single" w:sz="4" w:space="0" w:color="auto"/>
              <w:right w:val="single" w:sz="4" w:space="0" w:color="auto"/>
            </w:tcBorders>
            <w:shd w:val="clear" w:color="auto" w:fill="auto"/>
            <w:noWrap/>
            <w:vAlign w:val="bottom"/>
            <w:hideMark/>
          </w:tcPr>
          <w:p w14:paraId="3F4DB4C5"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5.4</w:t>
            </w:r>
          </w:p>
        </w:tc>
        <w:tc>
          <w:tcPr>
            <w:tcW w:w="799" w:type="dxa"/>
            <w:tcBorders>
              <w:top w:val="nil"/>
              <w:left w:val="nil"/>
              <w:bottom w:val="single" w:sz="4" w:space="0" w:color="auto"/>
              <w:right w:val="single" w:sz="4" w:space="0" w:color="auto"/>
            </w:tcBorders>
            <w:shd w:val="clear" w:color="auto" w:fill="auto"/>
            <w:noWrap/>
            <w:vAlign w:val="bottom"/>
            <w:hideMark/>
          </w:tcPr>
          <w:p w14:paraId="231CB8D8"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5.3</w:t>
            </w:r>
          </w:p>
        </w:tc>
        <w:tc>
          <w:tcPr>
            <w:tcW w:w="799" w:type="dxa"/>
            <w:tcBorders>
              <w:top w:val="nil"/>
              <w:left w:val="nil"/>
              <w:bottom w:val="single" w:sz="4" w:space="0" w:color="auto"/>
              <w:right w:val="single" w:sz="4" w:space="0" w:color="auto"/>
            </w:tcBorders>
            <w:shd w:val="clear" w:color="auto" w:fill="auto"/>
            <w:noWrap/>
            <w:vAlign w:val="bottom"/>
            <w:hideMark/>
          </w:tcPr>
          <w:p w14:paraId="1FEBF0B1"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5.2</w:t>
            </w:r>
          </w:p>
        </w:tc>
      </w:tr>
      <w:tr w:rsidR="00092D1D" w:rsidRPr="00092D1D" w14:paraId="2912C16F" w14:textId="77777777" w:rsidTr="00092D1D">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14:paraId="1C16200B" w14:textId="77777777" w:rsidR="00092D1D" w:rsidRPr="00092D1D" w:rsidRDefault="00092D1D" w:rsidP="00845892">
            <w:pPr>
              <w:rPr>
                <w:rFonts w:ascii="Sylfaen" w:hAnsi="Sylfaen" w:cs="Calibri"/>
                <w:color w:val="000000"/>
                <w:sz w:val="18"/>
              </w:rPr>
            </w:pPr>
            <w:r w:rsidRPr="00092D1D">
              <w:rPr>
                <w:rFonts w:ascii="Sylfaen" w:hAnsi="Sylfaen" w:cs="Calibri"/>
                <w:color w:val="000000"/>
                <w:sz w:val="18"/>
              </w:rPr>
              <w:t>კვერცხის წარმოება (მლნ. ცალი)</w:t>
            </w:r>
          </w:p>
        </w:tc>
        <w:tc>
          <w:tcPr>
            <w:tcW w:w="715" w:type="dxa"/>
            <w:tcBorders>
              <w:top w:val="nil"/>
              <w:left w:val="nil"/>
              <w:bottom w:val="single" w:sz="4" w:space="0" w:color="auto"/>
              <w:right w:val="single" w:sz="4" w:space="0" w:color="auto"/>
            </w:tcBorders>
            <w:shd w:val="clear" w:color="000000" w:fill="FFFFFF"/>
            <w:noWrap/>
            <w:vAlign w:val="bottom"/>
            <w:hideMark/>
          </w:tcPr>
          <w:p w14:paraId="17D80F94" w14:textId="77777777" w:rsidR="00092D1D" w:rsidRPr="00092D1D" w:rsidRDefault="00092D1D" w:rsidP="00845892">
            <w:pPr>
              <w:jc w:val="right"/>
              <w:rPr>
                <w:rFonts w:ascii="Sylfaen" w:hAnsi="Sylfaen" w:cs="Arial"/>
                <w:sz w:val="18"/>
              </w:rPr>
            </w:pPr>
            <w:r w:rsidRPr="00092D1D">
              <w:rPr>
                <w:rFonts w:ascii="Sylfaen" w:hAnsi="Sylfaen" w:cs="Arial"/>
                <w:sz w:val="18"/>
              </w:rPr>
              <w:t>45.0</w:t>
            </w:r>
          </w:p>
        </w:tc>
        <w:tc>
          <w:tcPr>
            <w:tcW w:w="715" w:type="dxa"/>
            <w:tcBorders>
              <w:top w:val="nil"/>
              <w:left w:val="nil"/>
              <w:bottom w:val="single" w:sz="4" w:space="0" w:color="auto"/>
              <w:right w:val="single" w:sz="4" w:space="0" w:color="auto"/>
            </w:tcBorders>
            <w:shd w:val="clear" w:color="000000" w:fill="FFFFFF"/>
            <w:noWrap/>
            <w:vAlign w:val="bottom"/>
            <w:hideMark/>
          </w:tcPr>
          <w:p w14:paraId="56DA627A" w14:textId="77777777" w:rsidR="00092D1D" w:rsidRPr="00092D1D" w:rsidRDefault="00092D1D" w:rsidP="00845892">
            <w:pPr>
              <w:jc w:val="right"/>
              <w:rPr>
                <w:rFonts w:ascii="Sylfaen" w:hAnsi="Sylfaen" w:cs="Arial"/>
                <w:sz w:val="18"/>
              </w:rPr>
            </w:pPr>
            <w:r w:rsidRPr="00092D1D">
              <w:rPr>
                <w:rFonts w:ascii="Sylfaen" w:hAnsi="Sylfaen" w:cs="Arial"/>
                <w:sz w:val="18"/>
              </w:rPr>
              <w:t>60.5</w:t>
            </w:r>
          </w:p>
        </w:tc>
        <w:tc>
          <w:tcPr>
            <w:tcW w:w="715" w:type="dxa"/>
            <w:tcBorders>
              <w:top w:val="nil"/>
              <w:left w:val="nil"/>
              <w:bottom w:val="single" w:sz="4" w:space="0" w:color="auto"/>
              <w:right w:val="single" w:sz="4" w:space="0" w:color="auto"/>
            </w:tcBorders>
            <w:shd w:val="clear" w:color="000000" w:fill="FFFFFF"/>
            <w:noWrap/>
            <w:vAlign w:val="bottom"/>
            <w:hideMark/>
          </w:tcPr>
          <w:p w14:paraId="1300C7A0" w14:textId="77777777" w:rsidR="00092D1D" w:rsidRPr="00092D1D" w:rsidRDefault="00092D1D" w:rsidP="00845892">
            <w:pPr>
              <w:jc w:val="right"/>
              <w:rPr>
                <w:rFonts w:ascii="Sylfaen" w:hAnsi="Sylfaen" w:cs="Arial"/>
                <w:sz w:val="18"/>
              </w:rPr>
            </w:pPr>
            <w:r w:rsidRPr="00092D1D">
              <w:rPr>
                <w:rFonts w:ascii="Sylfaen" w:hAnsi="Sylfaen" w:cs="Arial"/>
                <w:sz w:val="18"/>
              </w:rPr>
              <w:t>67.9</w:t>
            </w:r>
          </w:p>
        </w:tc>
        <w:tc>
          <w:tcPr>
            <w:tcW w:w="715" w:type="dxa"/>
            <w:tcBorders>
              <w:top w:val="nil"/>
              <w:left w:val="nil"/>
              <w:bottom w:val="single" w:sz="4" w:space="0" w:color="auto"/>
              <w:right w:val="single" w:sz="4" w:space="0" w:color="auto"/>
            </w:tcBorders>
            <w:shd w:val="clear" w:color="000000" w:fill="FFFFFF"/>
            <w:noWrap/>
            <w:vAlign w:val="bottom"/>
            <w:hideMark/>
          </w:tcPr>
          <w:p w14:paraId="1FF70EC8" w14:textId="77777777" w:rsidR="00092D1D" w:rsidRPr="00092D1D" w:rsidRDefault="00092D1D" w:rsidP="00845892">
            <w:pPr>
              <w:jc w:val="right"/>
              <w:rPr>
                <w:rFonts w:ascii="Sylfaen" w:hAnsi="Sylfaen" w:cs="Arial"/>
                <w:sz w:val="18"/>
              </w:rPr>
            </w:pPr>
            <w:r w:rsidRPr="00092D1D">
              <w:rPr>
                <w:rFonts w:ascii="Sylfaen" w:hAnsi="Sylfaen" w:cs="Arial"/>
                <w:sz w:val="18"/>
              </w:rPr>
              <w:t>65.0</w:t>
            </w:r>
          </w:p>
        </w:tc>
        <w:tc>
          <w:tcPr>
            <w:tcW w:w="715" w:type="dxa"/>
            <w:tcBorders>
              <w:top w:val="nil"/>
              <w:left w:val="nil"/>
              <w:bottom w:val="single" w:sz="4" w:space="0" w:color="auto"/>
              <w:right w:val="single" w:sz="4" w:space="0" w:color="auto"/>
            </w:tcBorders>
            <w:shd w:val="clear" w:color="000000" w:fill="FFFFFF"/>
            <w:noWrap/>
            <w:vAlign w:val="bottom"/>
            <w:hideMark/>
          </w:tcPr>
          <w:p w14:paraId="63FED756" w14:textId="77777777" w:rsidR="00092D1D" w:rsidRPr="00092D1D" w:rsidRDefault="00092D1D" w:rsidP="00845892">
            <w:pPr>
              <w:jc w:val="right"/>
              <w:rPr>
                <w:rFonts w:ascii="Sylfaen" w:hAnsi="Sylfaen" w:cs="Arial"/>
                <w:sz w:val="18"/>
              </w:rPr>
            </w:pPr>
            <w:r w:rsidRPr="00092D1D">
              <w:rPr>
                <w:rFonts w:ascii="Sylfaen" w:hAnsi="Sylfaen" w:cs="Arial"/>
                <w:sz w:val="18"/>
              </w:rPr>
              <w:t>60.4</w:t>
            </w:r>
          </w:p>
        </w:tc>
        <w:tc>
          <w:tcPr>
            <w:tcW w:w="715" w:type="dxa"/>
            <w:tcBorders>
              <w:top w:val="nil"/>
              <w:left w:val="nil"/>
              <w:bottom w:val="single" w:sz="4" w:space="0" w:color="auto"/>
              <w:right w:val="single" w:sz="4" w:space="0" w:color="auto"/>
            </w:tcBorders>
            <w:shd w:val="clear" w:color="000000" w:fill="FFFFFF"/>
            <w:noWrap/>
            <w:vAlign w:val="bottom"/>
            <w:hideMark/>
          </w:tcPr>
          <w:p w14:paraId="4297DF6D" w14:textId="77777777" w:rsidR="00092D1D" w:rsidRPr="00092D1D" w:rsidRDefault="00092D1D" w:rsidP="00845892">
            <w:pPr>
              <w:jc w:val="right"/>
              <w:rPr>
                <w:rFonts w:ascii="Sylfaen" w:hAnsi="Sylfaen" w:cs="Arial"/>
                <w:sz w:val="18"/>
              </w:rPr>
            </w:pPr>
            <w:r w:rsidRPr="00092D1D">
              <w:rPr>
                <w:rFonts w:ascii="Sylfaen" w:hAnsi="Sylfaen" w:cs="Arial"/>
                <w:sz w:val="18"/>
              </w:rPr>
              <w:t>83.0</w:t>
            </w:r>
          </w:p>
        </w:tc>
        <w:tc>
          <w:tcPr>
            <w:tcW w:w="715" w:type="dxa"/>
            <w:tcBorders>
              <w:top w:val="nil"/>
              <w:left w:val="nil"/>
              <w:bottom w:val="single" w:sz="4" w:space="0" w:color="auto"/>
              <w:right w:val="single" w:sz="4" w:space="0" w:color="auto"/>
            </w:tcBorders>
            <w:shd w:val="clear" w:color="000000" w:fill="FFFFFF"/>
            <w:noWrap/>
            <w:vAlign w:val="bottom"/>
            <w:hideMark/>
          </w:tcPr>
          <w:p w14:paraId="576322A0" w14:textId="77777777" w:rsidR="00092D1D" w:rsidRPr="00092D1D" w:rsidRDefault="00092D1D" w:rsidP="00845892">
            <w:pPr>
              <w:jc w:val="right"/>
              <w:rPr>
                <w:rFonts w:ascii="Sylfaen" w:hAnsi="Sylfaen" w:cs="Arial"/>
                <w:sz w:val="18"/>
              </w:rPr>
            </w:pPr>
            <w:r w:rsidRPr="00092D1D">
              <w:rPr>
                <w:rFonts w:ascii="Sylfaen" w:hAnsi="Sylfaen" w:cs="Arial"/>
                <w:sz w:val="18"/>
              </w:rPr>
              <w:t>85.0</w:t>
            </w:r>
          </w:p>
        </w:tc>
        <w:tc>
          <w:tcPr>
            <w:tcW w:w="715" w:type="dxa"/>
            <w:tcBorders>
              <w:top w:val="nil"/>
              <w:left w:val="nil"/>
              <w:bottom w:val="single" w:sz="4" w:space="0" w:color="auto"/>
              <w:right w:val="single" w:sz="4" w:space="0" w:color="auto"/>
            </w:tcBorders>
            <w:shd w:val="clear" w:color="000000" w:fill="FFFFFF"/>
            <w:noWrap/>
            <w:vAlign w:val="bottom"/>
            <w:hideMark/>
          </w:tcPr>
          <w:p w14:paraId="11343FA6" w14:textId="77777777" w:rsidR="00092D1D" w:rsidRPr="00092D1D" w:rsidRDefault="00092D1D" w:rsidP="00845892">
            <w:pPr>
              <w:jc w:val="right"/>
              <w:rPr>
                <w:rFonts w:ascii="Sylfaen" w:hAnsi="Sylfaen" w:cs="Arial"/>
                <w:sz w:val="18"/>
              </w:rPr>
            </w:pPr>
            <w:r w:rsidRPr="00092D1D">
              <w:rPr>
                <w:rFonts w:ascii="Sylfaen" w:hAnsi="Sylfaen" w:cs="Arial"/>
                <w:sz w:val="18"/>
              </w:rPr>
              <w:t>87.6</w:t>
            </w:r>
          </w:p>
        </w:tc>
        <w:tc>
          <w:tcPr>
            <w:tcW w:w="715" w:type="dxa"/>
            <w:tcBorders>
              <w:top w:val="nil"/>
              <w:left w:val="nil"/>
              <w:bottom w:val="single" w:sz="4" w:space="0" w:color="auto"/>
              <w:right w:val="single" w:sz="4" w:space="0" w:color="auto"/>
            </w:tcBorders>
            <w:shd w:val="clear" w:color="000000" w:fill="FFFFFF"/>
            <w:noWrap/>
            <w:hideMark/>
          </w:tcPr>
          <w:p w14:paraId="1C7A8FE2" w14:textId="77777777" w:rsidR="00092D1D" w:rsidRPr="00092D1D" w:rsidRDefault="00092D1D" w:rsidP="00845892">
            <w:pPr>
              <w:jc w:val="right"/>
              <w:rPr>
                <w:rFonts w:ascii="Sylfaen" w:hAnsi="Sylfaen" w:cs="Arial"/>
                <w:sz w:val="18"/>
              </w:rPr>
            </w:pPr>
            <w:r w:rsidRPr="00092D1D">
              <w:rPr>
                <w:rFonts w:ascii="Sylfaen" w:hAnsi="Sylfaen" w:cs="Arial"/>
                <w:sz w:val="18"/>
              </w:rPr>
              <w:t>92.2</w:t>
            </w:r>
          </w:p>
        </w:tc>
        <w:tc>
          <w:tcPr>
            <w:tcW w:w="799" w:type="dxa"/>
            <w:tcBorders>
              <w:top w:val="nil"/>
              <w:left w:val="nil"/>
              <w:bottom w:val="single" w:sz="4" w:space="0" w:color="auto"/>
              <w:right w:val="single" w:sz="4" w:space="0" w:color="auto"/>
            </w:tcBorders>
            <w:shd w:val="clear" w:color="000000" w:fill="FFFFFF"/>
            <w:noWrap/>
            <w:hideMark/>
          </w:tcPr>
          <w:p w14:paraId="24EE9D02" w14:textId="77777777" w:rsidR="00092D1D" w:rsidRPr="00092D1D" w:rsidRDefault="00092D1D" w:rsidP="00845892">
            <w:pPr>
              <w:jc w:val="right"/>
              <w:rPr>
                <w:rFonts w:ascii="Sylfaen" w:hAnsi="Sylfaen" w:cs="Arial"/>
                <w:sz w:val="18"/>
              </w:rPr>
            </w:pPr>
            <w:r w:rsidRPr="00092D1D">
              <w:rPr>
                <w:rFonts w:ascii="Sylfaen" w:hAnsi="Sylfaen" w:cs="Arial"/>
                <w:sz w:val="18"/>
              </w:rPr>
              <w:t>101.4</w:t>
            </w:r>
          </w:p>
        </w:tc>
        <w:tc>
          <w:tcPr>
            <w:tcW w:w="799" w:type="dxa"/>
            <w:tcBorders>
              <w:top w:val="nil"/>
              <w:left w:val="nil"/>
              <w:bottom w:val="single" w:sz="4" w:space="0" w:color="auto"/>
              <w:right w:val="single" w:sz="4" w:space="0" w:color="auto"/>
            </w:tcBorders>
            <w:shd w:val="clear" w:color="000000" w:fill="FFFFFF"/>
            <w:noWrap/>
            <w:hideMark/>
          </w:tcPr>
          <w:p w14:paraId="710A0946" w14:textId="77777777" w:rsidR="00092D1D" w:rsidRPr="00092D1D" w:rsidRDefault="00092D1D" w:rsidP="00845892">
            <w:pPr>
              <w:jc w:val="right"/>
              <w:rPr>
                <w:rFonts w:ascii="Sylfaen" w:hAnsi="Sylfaen" w:cs="Arial"/>
                <w:sz w:val="18"/>
              </w:rPr>
            </w:pPr>
            <w:r w:rsidRPr="00092D1D">
              <w:rPr>
                <w:rFonts w:ascii="Sylfaen" w:hAnsi="Sylfaen" w:cs="Arial"/>
                <w:sz w:val="18"/>
              </w:rPr>
              <w:t>115.9</w:t>
            </w:r>
          </w:p>
        </w:tc>
      </w:tr>
      <w:tr w:rsidR="00092D1D" w:rsidRPr="00092D1D" w14:paraId="411D8530" w14:textId="77777777" w:rsidTr="00092D1D">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14:paraId="4F9394AB" w14:textId="77777777" w:rsidR="00092D1D" w:rsidRPr="00092D1D" w:rsidRDefault="00092D1D" w:rsidP="00845892">
            <w:pPr>
              <w:rPr>
                <w:rFonts w:ascii="Sylfaen" w:hAnsi="Sylfaen" w:cs="Calibri"/>
                <w:color w:val="000000"/>
                <w:sz w:val="18"/>
              </w:rPr>
            </w:pPr>
            <w:r w:rsidRPr="00092D1D">
              <w:rPr>
                <w:rFonts w:ascii="Sylfaen" w:hAnsi="Sylfaen" w:cs="Calibri"/>
                <w:color w:val="000000"/>
                <w:sz w:val="18"/>
              </w:rPr>
              <w:t>მატყლის წარმოება (ათასი ტონა)</w:t>
            </w:r>
          </w:p>
        </w:tc>
        <w:tc>
          <w:tcPr>
            <w:tcW w:w="715" w:type="dxa"/>
            <w:tcBorders>
              <w:top w:val="nil"/>
              <w:left w:val="nil"/>
              <w:bottom w:val="single" w:sz="4" w:space="0" w:color="auto"/>
              <w:right w:val="single" w:sz="4" w:space="0" w:color="auto"/>
            </w:tcBorders>
            <w:shd w:val="clear" w:color="auto" w:fill="auto"/>
            <w:noWrap/>
            <w:vAlign w:val="bottom"/>
            <w:hideMark/>
          </w:tcPr>
          <w:p w14:paraId="6BBB39B0"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0.7</w:t>
            </w:r>
          </w:p>
        </w:tc>
        <w:tc>
          <w:tcPr>
            <w:tcW w:w="715" w:type="dxa"/>
            <w:tcBorders>
              <w:top w:val="nil"/>
              <w:left w:val="nil"/>
              <w:bottom w:val="single" w:sz="4" w:space="0" w:color="auto"/>
              <w:right w:val="single" w:sz="4" w:space="0" w:color="auto"/>
            </w:tcBorders>
            <w:shd w:val="clear" w:color="auto" w:fill="auto"/>
            <w:noWrap/>
            <w:vAlign w:val="bottom"/>
            <w:hideMark/>
          </w:tcPr>
          <w:p w14:paraId="08A0FF6A"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0.8</w:t>
            </w:r>
          </w:p>
        </w:tc>
        <w:tc>
          <w:tcPr>
            <w:tcW w:w="715" w:type="dxa"/>
            <w:tcBorders>
              <w:top w:val="nil"/>
              <w:left w:val="nil"/>
              <w:bottom w:val="single" w:sz="4" w:space="0" w:color="auto"/>
              <w:right w:val="single" w:sz="4" w:space="0" w:color="auto"/>
            </w:tcBorders>
            <w:shd w:val="clear" w:color="auto" w:fill="auto"/>
            <w:noWrap/>
            <w:vAlign w:val="bottom"/>
            <w:hideMark/>
          </w:tcPr>
          <w:p w14:paraId="23733D55"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0.8</w:t>
            </w:r>
          </w:p>
        </w:tc>
        <w:tc>
          <w:tcPr>
            <w:tcW w:w="715" w:type="dxa"/>
            <w:tcBorders>
              <w:top w:val="nil"/>
              <w:left w:val="nil"/>
              <w:bottom w:val="single" w:sz="4" w:space="0" w:color="auto"/>
              <w:right w:val="single" w:sz="4" w:space="0" w:color="auto"/>
            </w:tcBorders>
            <w:shd w:val="clear" w:color="auto" w:fill="auto"/>
            <w:noWrap/>
            <w:vAlign w:val="bottom"/>
            <w:hideMark/>
          </w:tcPr>
          <w:p w14:paraId="1704A5B8"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0.8</w:t>
            </w:r>
          </w:p>
        </w:tc>
        <w:tc>
          <w:tcPr>
            <w:tcW w:w="715" w:type="dxa"/>
            <w:tcBorders>
              <w:top w:val="nil"/>
              <w:left w:val="nil"/>
              <w:bottom w:val="single" w:sz="4" w:space="0" w:color="auto"/>
              <w:right w:val="single" w:sz="4" w:space="0" w:color="auto"/>
            </w:tcBorders>
            <w:shd w:val="clear" w:color="auto" w:fill="auto"/>
            <w:noWrap/>
            <w:vAlign w:val="bottom"/>
            <w:hideMark/>
          </w:tcPr>
          <w:p w14:paraId="28565465"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0.6</w:t>
            </w:r>
          </w:p>
        </w:tc>
        <w:tc>
          <w:tcPr>
            <w:tcW w:w="715" w:type="dxa"/>
            <w:tcBorders>
              <w:top w:val="nil"/>
              <w:left w:val="nil"/>
              <w:bottom w:val="single" w:sz="4" w:space="0" w:color="auto"/>
              <w:right w:val="single" w:sz="4" w:space="0" w:color="auto"/>
            </w:tcBorders>
            <w:shd w:val="clear" w:color="auto" w:fill="auto"/>
            <w:noWrap/>
            <w:vAlign w:val="bottom"/>
            <w:hideMark/>
          </w:tcPr>
          <w:p w14:paraId="12F06449"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0.8</w:t>
            </w:r>
          </w:p>
        </w:tc>
        <w:tc>
          <w:tcPr>
            <w:tcW w:w="715" w:type="dxa"/>
            <w:tcBorders>
              <w:top w:val="nil"/>
              <w:left w:val="nil"/>
              <w:bottom w:val="single" w:sz="4" w:space="0" w:color="auto"/>
              <w:right w:val="single" w:sz="4" w:space="0" w:color="auto"/>
            </w:tcBorders>
            <w:shd w:val="clear" w:color="auto" w:fill="auto"/>
            <w:noWrap/>
            <w:vAlign w:val="bottom"/>
            <w:hideMark/>
          </w:tcPr>
          <w:p w14:paraId="2B4403D6"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0.8</w:t>
            </w:r>
          </w:p>
        </w:tc>
        <w:tc>
          <w:tcPr>
            <w:tcW w:w="715" w:type="dxa"/>
            <w:tcBorders>
              <w:top w:val="nil"/>
              <w:left w:val="nil"/>
              <w:bottom w:val="single" w:sz="4" w:space="0" w:color="auto"/>
              <w:right w:val="single" w:sz="4" w:space="0" w:color="auto"/>
            </w:tcBorders>
            <w:shd w:val="clear" w:color="auto" w:fill="auto"/>
            <w:noWrap/>
            <w:vAlign w:val="bottom"/>
            <w:hideMark/>
          </w:tcPr>
          <w:p w14:paraId="6B53EEDF"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0.9</w:t>
            </w:r>
          </w:p>
        </w:tc>
        <w:tc>
          <w:tcPr>
            <w:tcW w:w="715" w:type="dxa"/>
            <w:tcBorders>
              <w:top w:val="nil"/>
              <w:left w:val="nil"/>
              <w:bottom w:val="single" w:sz="4" w:space="0" w:color="auto"/>
              <w:right w:val="single" w:sz="4" w:space="0" w:color="auto"/>
            </w:tcBorders>
            <w:shd w:val="clear" w:color="auto" w:fill="auto"/>
            <w:noWrap/>
            <w:vAlign w:val="bottom"/>
            <w:hideMark/>
          </w:tcPr>
          <w:p w14:paraId="0DFFE1D1"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1.2</w:t>
            </w:r>
          </w:p>
        </w:tc>
        <w:tc>
          <w:tcPr>
            <w:tcW w:w="799" w:type="dxa"/>
            <w:tcBorders>
              <w:top w:val="nil"/>
              <w:left w:val="nil"/>
              <w:bottom w:val="single" w:sz="4" w:space="0" w:color="auto"/>
              <w:right w:val="single" w:sz="4" w:space="0" w:color="auto"/>
            </w:tcBorders>
            <w:shd w:val="clear" w:color="auto" w:fill="auto"/>
            <w:noWrap/>
            <w:vAlign w:val="bottom"/>
            <w:hideMark/>
          </w:tcPr>
          <w:p w14:paraId="2C86CBB2"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1.4</w:t>
            </w:r>
          </w:p>
        </w:tc>
        <w:tc>
          <w:tcPr>
            <w:tcW w:w="799" w:type="dxa"/>
            <w:tcBorders>
              <w:top w:val="nil"/>
              <w:left w:val="nil"/>
              <w:bottom w:val="single" w:sz="4" w:space="0" w:color="auto"/>
              <w:right w:val="single" w:sz="4" w:space="0" w:color="auto"/>
            </w:tcBorders>
            <w:shd w:val="clear" w:color="auto" w:fill="auto"/>
            <w:noWrap/>
            <w:vAlign w:val="bottom"/>
            <w:hideMark/>
          </w:tcPr>
          <w:p w14:paraId="4A412B0E"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1.1</w:t>
            </w:r>
          </w:p>
        </w:tc>
      </w:tr>
      <w:tr w:rsidR="00092D1D" w:rsidRPr="00092D1D" w14:paraId="4445520B" w14:textId="77777777" w:rsidTr="00092D1D">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14:paraId="248B58C2" w14:textId="77777777" w:rsidR="00092D1D" w:rsidRPr="00092D1D" w:rsidRDefault="00092D1D" w:rsidP="00845892">
            <w:pPr>
              <w:rPr>
                <w:rFonts w:ascii="Sylfaen" w:hAnsi="Sylfaen" w:cs="Calibri"/>
                <w:color w:val="000000"/>
                <w:sz w:val="18"/>
              </w:rPr>
            </w:pPr>
            <w:r w:rsidRPr="00092D1D">
              <w:rPr>
                <w:rFonts w:ascii="Sylfaen" w:hAnsi="Sylfaen" w:cs="Calibri"/>
                <w:color w:val="000000"/>
                <w:sz w:val="18"/>
              </w:rPr>
              <w:t>თაფლის წარმოება (ათასი ტონა)</w:t>
            </w:r>
          </w:p>
        </w:tc>
        <w:tc>
          <w:tcPr>
            <w:tcW w:w="715" w:type="dxa"/>
            <w:tcBorders>
              <w:top w:val="nil"/>
              <w:left w:val="nil"/>
              <w:bottom w:val="single" w:sz="4" w:space="0" w:color="auto"/>
              <w:right w:val="single" w:sz="4" w:space="0" w:color="auto"/>
            </w:tcBorders>
            <w:shd w:val="clear" w:color="auto" w:fill="auto"/>
            <w:noWrap/>
            <w:vAlign w:val="bottom"/>
            <w:hideMark/>
          </w:tcPr>
          <w:p w14:paraId="10D8C78C"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0.3</w:t>
            </w:r>
          </w:p>
        </w:tc>
        <w:tc>
          <w:tcPr>
            <w:tcW w:w="715" w:type="dxa"/>
            <w:tcBorders>
              <w:top w:val="nil"/>
              <w:left w:val="nil"/>
              <w:bottom w:val="single" w:sz="4" w:space="0" w:color="auto"/>
              <w:right w:val="single" w:sz="4" w:space="0" w:color="auto"/>
            </w:tcBorders>
            <w:shd w:val="clear" w:color="auto" w:fill="auto"/>
            <w:noWrap/>
            <w:vAlign w:val="bottom"/>
            <w:hideMark/>
          </w:tcPr>
          <w:p w14:paraId="676BFAC2"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0.3</w:t>
            </w:r>
          </w:p>
        </w:tc>
        <w:tc>
          <w:tcPr>
            <w:tcW w:w="715" w:type="dxa"/>
            <w:tcBorders>
              <w:top w:val="nil"/>
              <w:left w:val="nil"/>
              <w:bottom w:val="single" w:sz="4" w:space="0" w:color="auto"/>
              <w:right w:val="single" w:sz="4" w:space="0" w:color="auto"/>
            </w:tcBorders>
            <w:shd w:val="clear" w:color="auto" w:fill="auto"/>
            <w:noWrap/>
            <w:vAlign w:val="bottom"/>
            <w:hideMark/>
          </w:tcPr>
          <w:p w14:paraId="347FC775"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0.4</w:t>
            </w:r>
          </w:p>
        </w:tc>
        <w:tc>
          <w:tcPr>
            <w:tcW w:w="715" w:type="dxa"/>
            <w:tcBorders>
              <w:top w:val="nil"/>
              <w:left w:val="nil"/>
              <w:bottom w:val="single" w:sz="4" w:space="0" w:color="auto"/>
              <w:right w:val="single" w:sz="4" w:space="0" w:color="auto"/>
            </w:tcBorders>
            <w:shd w:val="clear" w:color="auto" w:fill="auto"/>
            <w:noWrap/>
            <w:vAlign w:val="bottom"/>
            <w:hideMark/>
          </w:tcPr>
          <w:p w14:paraId="2513AB52"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0.1</w:t>
            </w:r>
          </w:p>
        </w:tc>
        <w:tc>
          <w:tcPr>
            <w:tcW w:w="715" w:type="dxa"/>
            <w:tcBorders>
              <w:top w:val="nil"/>
              <w:left w:val="nil"/>
              <w:bottom w:val="single" w:sz="4" w:space="0" w:color="auto"/>
              <w:right w:val="single" w:sz="4" w:space="0" w:color="auto"/>
            </w:tcBorders>
            <w:shd w:val="clear" w:color="auto" w:fill="auto"/>
            <w:noWrap/>
            <w:vAlign w:val="bottom"/>
            <w:hideMark/>
          </w:tcPr>
          <w:p w14:paraId="7EA03E21"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0.5</w:t>
            </w:r>
          </w:p>
        </w:tc>
        <w:tc>
          <w:tcPr>
            <w:tcW w:w="715" w:type="dxa"/>
            <w:tcBorders>
              <w:top w:val="nil"/>
              <w:left w:val="nil"/>
              <w:bottom w:val="single" w:sz="4" w:space="0" w:color="auto"/>
              <w:right w:val="single" w:sz="4" w:space="0" w:color="auto"/>
            </w:tcBorders>
            <w:shd w:val="clear" w:color="auto" w:fill="auto"/>
            <w:noWrap/>
            <w:vAlign w:val="bottom"/>
            <w:hideMark/>
          </w:tcPr>
          <w:p w14:paraId="647C73EB"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0.4</w:t>
            </w:r>
          </w:p>
        </w:tc>
        <w:tc>
          <w:tcPr>
            <w:tcW w:w="715" w:type="dxa"/>
            <w:tcBorders>
              <w:top w:val="nil"/>
              <w:left w:val="nil"/>
              <w:bottom w:val="single" w:sz="4" w:space="0" w:color="auto"/>
              <w:right w:val="single" w:sz="4" w:space="0" w:color="auto"/>
            </w:tcBorders>
            <w:shd w:val="clear" w:color="auto" w:fill="auto"/>
            <w:noWrap/>
            <w:vAlign w:val="bottom"/>
            <w:hideMark/>
          </w:tcPr>
          <w:p w14:paraId="1577E8FF"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0.5</w:t>
            </w:r>
          </w:p>
        </w:tc>
        <w:tc>
          <w:tcPr>
            <w:tcW w:w="715" w:type="dxa"/>
            <w:tcBorders>
              <w:top w:val="nil"/>
              <w:left w:val="nil"/>
              <w:bottom w:val="single" w:sz="4" w:space="0" w:color="auto"/>
              <w:right w:val="single" w:sz="4" w:space="0" w:color="auto"/>
            </w:tcBorders>
            <w:shd w:val="clear" w:color="auto" w:fill="auto"/>
            <w:noWrap/>
            <w:vAlign w:val="bottom"/>
            <w:hideMark/>
          </w:tcPr>
          <w:p w14:paraId="34324452"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0.6</w:t>
            </w:r>
          </w:p>
        </w:tc>
        <w:tc>
          <w:tcPr>
            <w:tcW w:w="715" w:type="dxa"/>
            <w:tcBorders>
              <w:top w:val="nil"/>
              <w:left w:val="nil"/>
              <w:bottom w:val="single" w:sz="4" w:space="0" w:color="auto"/>
              <w:right w:val="single" w:sz="4" w:space="0" w:color="auto"/>
            </w:tcBorders>
            <w:shd w:val="clear" w:color="auto" w:fill="auto"/>
            <w:noWrap/>
            <w:vAlign w:val="bottom"/>
            <w:hideMark/>
          </w:tcPr>
          <w:p w14:paraId="0773D4C9"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0.6</w:t>
            </w:r>
          </w:p>
        </w:tc>
        <w:tc>
          <w:tcPr>
            <w:tcW w:w="799" w:type="dxa"/>
            <w:tcBorders>
              <w:top w:val="nil"/>
              <w:left w:val="nil"/>
              <w:bottom w:val="single" w:sz="4" w:space="0" w:color="auto"/>
              <w:right w:val="single" w:sz="4" w:space="0" w:color="auto"/>
            </w:tcBorders>
            <w:shd w:val="clear" w:color="auto" w:fill="auto"/>
            <w:noWrap/>
            <w:vAlign w:val="bottom"/>
            <w:hideMark/>
          </w:tcPr>
          <w:p w14:paraId="01B6D214"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0.7</w:t>
            </w:r>
          </w:p>
        </w:tc>
        <w:tc>
          <w:tcPr>
            <w:tcW w:w="799" w:type="dxa"/>
            <w:tcBorders>
              <w:top w:val="nil"/>
              <w:left w:val="nil"/>
              <w:bottom w:val="single" w:sz="4" w:space="0" w:color="auto"/>
              <w:right w:val="single" w:sz="4" w:space="0" w:color="auto"/>
            </w:tcBorders>
            <w:shd w:val="clear" w:color="auto" w:fill="auto"/>
            <w:noWrap/>
            <w:vAlign w:val="bottom"/>
            <w:hideMark/>
          </w:tcPr>
          <w:p w14:paraId="5DA5FF70" w14:textId="77777777" w:rsidR="00092D1D" w:rsidRPr="00092D1D" w:rsidRDefault="00092D1D" w:rsidP="00845892">
            <w:pPr>
              <w:jc w:val="right"/>
              <w:rPr>
                <w:rFonts w:ascii="Sylfaen" w:hAnsi="Sylfaen" w:cs="Arial"/>
                <w:color w:val="000000"/>
                <w:sz w:val="18"/>
              </w:rPr>
            </w:pPr>
            <w:r w:rsidRPr="00092D1D">
              <w:rPr>
                <w:rFonts w:ascii="Sylfaen" w:hAnsi="Sylfaen" w:cs="Arial"/>
                <w:color w:val="000000"/>
                <w:sz w:val="18"/>
              </w:rPr>
              <w:t>0.8</w:t>
            </w:r>
          </w:p>
        </w:tc>
      </w:tr>
    </w:tbl>
    <w:p w14:paraId="32693F1F" w14:textId="77777777" w:rsidR="00092D1D" w:rsidRPr="00092D1D" w:rsidRDefault="00092D1D" w:rsidP="00092D1D">
      <w:pPr>
        <w:ind w:right="-90" w:firstLine="720"/>
        <w:rPr>
          <w:rFonts w:ascii="Sylfaen" w:hAnsi="Sylfaen"/>
          <w:sz w:val="20"/>
          <w:lang w:val="ka-GE"/>
        </w:rPr>
      </w:pPr>
      <w:r w:rsidRPr="00E12C77">
        <w:rPr>
          <w:rFonts w:ascii="Sylfaen" w:hAnsi="Sylfaen"/>
          <w:b/>
          <w:sz w:val="20"/>
          <w:lang w:val="ka-GE"/>
        </w:rPr>
        <w:t>შენიშვნ</w:t>
      </w:r>
      <w:r w:rsidRPr="00092D1D">
        <w:rPr>
          <w:rFonts w:ascii="Sylfaen" w:hAnsi="Sylfaen"/>
          <w:sz w:val="20"/>
          <w:lang w:val="ka-GE"/>
        </w:rPr>
        <w:t>ა: აღნიშნულ ცხრილზე ვრცელდება პირველი ცხრილის შენიშვნა.</w:t>
      </w:r>
    </w:p>
    <w:p w14:paraId="51575D88" w14:textId="77777777" w:rsidR="00092D1D" w:rsidRPr="00F80CCF" w:rsidRDefault="00092D1D" w:rsidP="00092D1D">
      <w:pPr>
        <w:ind w:right="-90"/>
        <w:rPr>
          <w:rFonts w:ascii="Sylfaen" w:hAnsi="Sylfaen"/>
          <w:lang w:val="ka-GE"/>
        </w:rPr>
      </w:pPr>
      <w:r w:rsidRPr="00F80CCF">
        <w:rPr>
          <w:rFonts w:ascii="Sylfaen" w:hAnsi="Sylfaen"/>
          <w:lang w:val="ka-GE"/>
        </w:rPr>
        <w:t>როგორც ცხრილებიდან ჩანს კახეთის რეგიონში საკმაოდ განვითარებულია მეცხოველეობა, თუმცა თელავისა და გუტჯაანის მუნიციპალიტეტებში, საავტომობილო დერეფნის სიახლოვეს არ არის რაიმე ფერმერული მეურნეობები. როგორც აღინიშნა ამ მიდამოებში მოსახლეობის შემოსავლის დიდი ნაწილი სწორედ სოფლის მეურნეობის პროდუქციის რეალიზაციით ირჩენს თავს. ახალი საავტომობილო გზის სიახლოვეს (აკურა, კონდოლი, ველისციხე, ჩუმლაყი), ძირითადად მოსახლეობას მოწყობილი აქვს გარე ვაჭრობის დახლები, რომლებზეც ყიდიან საქონლისა და ღორის ხორცს. აქ ფაქტიურად არ არსებობს გადამამუშავებელი მრეწველობა და საშუალო ან/და მსხვილი ტიპის მეურნეობები. გარე მოვაჭრეები ძირითადად ამარაგებენ ადგილობრივ მოსახლეობას, იშვიათად არის შემთხვევები, როცა გზაზე გამვლელი საქართველოს მოქალაქე ან ტურისტი ყიდულობს გზის პირას არსებულ სავაჭრო დახლზე ხორცსა თუ სხვა სამურნეო ნაწარმს.</w:t>
      </w:r>
    </w:p>
    <w:p w14:paraId="26E662A5" w14:textId="77777777" w:rsidR="008C0A3D" w:rsidRPr="0000351B" w:rsidRDefault="00C67F3B" w:rsidP="00E12C77">
      <w:pPr>
        <w:pStyle w:val="BodyText"/>
        <w:spacing w:before="120" w:after="120" w:line="240" w:lineRule="auto"/>
        <w:rPr>
          <w:rFonts w:ascii="Sylfaen" w:hAnsi="Sylfaen"/>
          <w:sz w:val="22"/>
          <w:u w:val="single"/>
          <w:lang w:val="ka-GE"/>
        </w:rPr>
      </w:pPr>
      <w:r w:rsidRPr="0000351B">
        <w:rPr>
          <w:rFonts w:ascii="Sylfaen" w:hAnsi="Sylfaen"/>
          <w:sz w:val="22"/>
          <w:u w:val="single"/>
          <w:lang w:val="ka-GE"/>
        </w:rPr>
        <w:t>ტურიზმი</w:t>
      </w:r>
    </w:p>
    <w:p w14:paraId="6F631880" w14:textId="77777777" w:rsidR="00092D1D" w:rsidRPr="00E12C77" w:rsidRDefault="00092D1D" w:rsidP="008C0A3D">
      <w:pPr>
        <w:pStyle w:val="BodyText"/>
        <w:spacing w:before="200" w:after="200" w:line="240" w:lineRule="auto"/>
        <w:jc w:val="both"/>
        <w:rPr>
          <w:rFonts w:ascii="Sylfaen" w:hAnsi="Sylfaen"/>
          <w:sz w:val="22"/>
          <w:lang w:val="ka-GE"/>
        </w:rPr>
      </w:pPr>
      <w:r w:rsidRPr="00E12C77">
        <w:rPr>
          <w:rFonts w:ascii="Sylfaen" w:hAnsi="Sylfaen"/>
          <w:sz w:val="22"/>
          <w:lang w:val="ka-GE"/>
        </w:rPr>
        <w:t>მუნიციპალიტეტების ეკონომიკაში მნიშვნელობანი ადგილი უჭირავს ტურიზმს. ამას ხელს უწყობს მის ტერიტორიაზე არსებული სოფელი წინანდალი, რომელიც მდებარეობს გომბორის ქედის ჩრდილო-აღმოსავლეთ კალთის ძირას, ზღვის დონიდან 560 მ. თელავიდან 10 კილომეტრში. სოფელი ცნობილია იმით, რომ აქ მდებარეობს ალექსანდრე ჭავჭავაძის სახლ–მუზეუმი და XIX საუკუნის უნიკალური ღვინის მარანი. ასევე თელავთან ახლოს  მდებარეობს სასტუმრო „შატო მერე“, რომელიც მრავლად მასპინძლობს უცხოელ ტურისტებს თუ ქართველ დამსვენებლებს. ასევე კახეთის რეგიონში და კონკრეტულად თელავისა და გურჯაანის მუნიციპალიტეტებში მრავლად არის ძველი ისტორიული თაძრები და სამონასტრო კომპლექსები, რომლებიც იწვევს ტურისტების ინტერესს სიძველისა და არქიტექტურული ღირებულების გამო. თუმცა საპროექტო არეალი ტურისტული თვალსაზრისით ნაკლებად საინტერესოა და ღირებული. აქ არ გადის ტურისტული მარშრუტები და წარმოდგენილი არ არის საერთასორისო მნიშვნელობის ისტორიულ-კულტურული ძეგლები და ტურისტული ობიექტები (ტაძრები, სახლმუზეუმები, სასტუმრო, რესტორნები, და სხვ.).</w:t>
      </w:r>
    </w:p>
    <w:p w14:paraId="3D9AAE1B" w14:textId="00A196C1" w:rsidR="00890493" w:rsidRPr="004D56CC" w:rsidRDefault="00890493" w:rsidP="00092D1D">
      <w:pPr>
        <w:pStyle w:val="Heading2"/>
        <w:spacing w:before="200" w:after="200"/>
        <w:rPr>
          <w:lang w:val="ka-GE"/>
        </w:rPr>
      </w:pPr>
      <w:bookmarkStart w:id="212" w:name="_Toc471745451"/>
      <w:bookmarkStart w:id="213" w:name="_Toc471745796"/>
      <w:bookmarkStart w:id="214" w:name="_Toc473478790"/>
      <w:bookmarkStart w:id="215" w:name="_Toc496611086"/>
      <w:bookmarkStart w:id="216" w:name="_Toc1581555"/>
      <w:r w:rsidRPr="004D56CC">
        <w:rPr>
          <w:lang w:val="ka-GE"/>
        </w:rPr>
        <w:lastRenderedPageBreak/>
        <w:t>6.</w:t>
      </w:r>
      <w:r w:rsidR="002B29EF">
        <w:rPr>
          <w:rFonts w:ascii="Sylfaen" w:hAnsi="Sylfaen"/>
          <w:lang w:val="ka-GE"/>
        </w:rPr>
        <w:t>7</w:t>
      </w:r>
      <w:r w:rsidRPr="004D56CC">
        <w:rPr>
          <w:lang w:val="ka-GE"/>
        </w:rPr>
        <w:t xml:space="preserve"> </w:t>
      </w:r>
      <w:bookmarkEnd w:id="212"/>
      <w:bookmarkEnd w:id="213"/>
      <w:bookmarkEnd w:id="214"/>
      <w:bookmarkEnd w:id="215"/>
      <w:r w:rsidR="0095085F" w:rsidRPr="004D56CC">
        <w:rPr>
          <w:rFonts w:ascii="Sylfaen" w:hAnsi="Sylfaen" w:cs="Sylfaen"/>
          <w:lang w:val="ka-GE"/>
        </w:rPr>
        <w:t>ისტორიულ</w:t>
      </w:r>
      <w:r w:rsidR="0095085F" w:rsidRPr="004D56CC">
        <w:rPr>
          <w:lang w:val="ka-GE"/>
        </w:rPr>
        <w:t>-</w:t>
      </w:r>
      <w:r w:rsidR="00C67F3B" w:rsidRPr="004D56CC">
        <w:rPr>
          <w:rFonts w:ascii="Sylfaen" w:hAnsi="Sylfaen" w:cs="Sylfaen"/>
          <w:lang w:val="ka-GE"/>
        </w:rPr>
        <w:t>კულტურული</w:t>
      </w:r>
      <w:r w:rsidR="00C67F3B" w:rsidRPr="004D56CC">
        <w:rPr>
          <w:lang w:val="ka-GE"/>
        </w:rPr>
        <w:t xml:space="preserve"> </w:t>
      </w:r>
      <w:r w:rsidR="00C67F3B" w:rsidRPr="004D56CC">
        <w:rPr>
          <w:rFonts w:ascii="Sylfaen" w:hAnsi="Sylfaen" w:cs="Sylfaen"/>
          <w:lang w:val="ka-GE"/>
        </w:rPr>
        <w:t>მემკვიდრეობა</w:t>
      </w:r>
      <w:bookmarkEnd w:id="216"/>
    </w:p>
    <w:p w14:paraId="721626A9" w14:textId="77777777" w:rsidR="00092D1D" w:rsidRPr="00F80CCF" w:rsidRDefault="00092D1D" w:rsidP="00E12C77">
      <w:pPr>
        <w:spacing w:before="120" w:after="120"/>
        <w:ind w:right="-90"/>
        <w:rPr>
          <w:rFonts w:ascii="Sylfaen" w:hAnsi="Sylfaen"/>
          <w:lang w:val="ka-GE"/>
        </w:rPr>
      </w:pPr>
      <w:r w:rsidRPr="00F80CCF">
        <w:rPr>
          <w:rFonts w:ascii="Sylfaen" w:hAnsi="Sylfaen"/>
          <w:lang w:val="ka-GE"/>
        </w:rPr>
        <w:t xml:space="preserve">თელავის მუნიციპალიტეტის ტერიტორიაზე 34 სახელმწიფო ზოგადსაგანმანათლებლო სკოლაა, 7 საშუალო პროფესიული, 33 ბიბლიოთეკა, 2 თეატრი (ვაჟა-ფშაველას სახ. სახელმწიფო აკადემიური თეატრი) და 2 მუზეუმი (ალ. ჭავჭავაძის სახლ-მუზეუმი), 5 სამუსიკო სკოლა. ასევე აქ მდებარეობს ბევრი ხუროთმოძღვრების ძეგლი, რომლებიდანაც აღსანიშნავია იყალთოს სამონასტრო კომპლექსი, რომელიც დაარსებულია ერთ-ერთი ასურელი მამის ზენონ იყალთოელის მიერ VI საუკუნეში. ასევე ძველი შუამთის მონასტერი, რომლის კომპლექსში შედის V საუკუნის ბაზილიკა, გუმბათოვანი და მცირე გუმბათოვანი ეკლესია. XVI საუკუნეში ძველი შუამთის მონასტერი დაცარიელდა. მის მახლობლად კახთა მეფის ლევან II -ის მეუღლემ თინათინ გურიელის ასულმა დააარსა შუამთის ახალი მონასტერი. სოფელ კისისხევში დგას უძველესი (VI-VII სს) ღვთისმშობლის ეკლესია. სოფელ აკურას მიდამოებშია მამადავითის მონასტერი. სოფელ რუისპირში ასევე შემონახულია ისტორიული მნიშვნელობის ძეგლები. </w:t>
      </w:r>
    </w:p>
    <w:p w14:paraId="56D60DF7" w14:textId="77777777" w:rsidR="00092D1D" w:rsidRPr="00F80CCF" w:rsidRDefault="00092D1D" w:rsidP="00092D1D">
      <w:pPr>
        <w:spacing w:before="200" w:after="200"/>
        <w:ind w:right="-90"/>
        <w:rPr>
          <w:rFonts w:ascii="Sylfaen" w:hAnsi="Sylfaen"/>
          <w:lang w:val="ka-GE"/>
        </w:rPr>
      </w:pPr>
      <w:r w:rsidRPr="00F80CCF">
        <w:rPr>
          <w:rFonts w:ascii="Sylfaen" w:hAnsi="Sylfaen"/>
          <w:lang w:val="ka-GE"/>
        </w:rPr>
        <w:t>გურჯაანის მუნიციპალიტეტში 32 სახელმწიფო და 1 არასახელმწიფო ზოგადსაგანმანათლებლო სკოლაა, 1 საშუალო პროფესიული და 1 უმაღლესი სასწავლებელი (თბილისის ბიზნესის სახელმწიფო ინსტიტუტის კახეთის ფილიალი სოფ. ბაკურციხეში), 34 ბიბლიოთეკა, 5 თეატრი და 5 მუზეუმი. გურჯაანის მუნიციპალიტეტის ტერიტორიაზე შემორჩენილია საკმაოდ ბევრი ისტორიულ არქიტექტურული ძეგლი. მათგან ერთ-ერთი უმნიშვნელოვანესია VIII-IX სს გურჯაანის ყველაწმინდა. მნიშვნელოვანია ასევე ქართული ხუროთმოძღვრული ძეგლი ყველაწმინდის მონასტერი, რომელიც მდებარეობს სოფელ ვაჩნაძიანიდან რამდენიმე კმ-ის მოშორებით. სოფელ ვეჯინთან ახლოს დგას ციხესიმაგრე, რომელიც რიყის ქვითაა აგებული. ციხის შიგნით რამდენიმე ეკლესიაა, რომელთაგან აღსანიშნავია აღდგომის ამაღლებისა და წმინდა მარიამის ეკლესიები. სოფელ კარდანახში შემონახულია XIII ს. საბაწმინდის ეკლესია. ჭერემთან ახლოს დგას ქართული ხუროთმოძღვრული ძეგლი „წვერდაბალი“, აქვეა ნაქალაქარი. ასევე გურჯაანის მუნიციპალიტეტშია ვაზისუბნის სამნავიანი ბაზილიკა, მონასტერი „სანაგირე“ და სხვა.</w:t>
      </w:r>
    </w:p>
    <w:p w14:paraId="6CE29E36" w14:textId="77777777" w:rsidR="00092D1D" w:rsidRPr="00F80CCF" w:rsidRDefault="00092D1D" w:rsidP="00092D1D">
      <w:pPr>
        <w:spacing w:before="200" w:after="200"/>
        <w:ind w:right="-90"/>
        <w:rPr>
          <w:rFonts w:ascii="Sylfaen" w:hAnsi="Sylfaen"/>
          <w:lang w:val="ka-GE"/>
        </w:rPr>
      </w:pPr>
      <w:r w:rsidRPr="00F80CCF">
        <w:rPr>
          <w:rFonts w:ascii="Sylfaen" w:hAnsi="Sylfaen"/>
          <w:lang w:val="ka-GE"/>
        </w:rPr>
        <w:t xml:space="preserve">მიუხედავად თელავისა და გურჯაანიის მუნიციპალიტეტებში მდებარე უამრავი ისტორიულ-კულტურული ძეგლისა, საპროექტო დერეფნის მიმდებარე ტერიტორიაზე არ არის წარმოდგენილი არცერთი ისტორიული ან კულტურული მემკვიდრეობის ობიექტი. უახლოესი ისტორიული ძეგლი განთავსებულია სოფელ აკურაში, რომელიც საპროექტო ზონიდან საკმაოდ მოშორებით არის და პროექტს მათზე ზეგავლენა არ ექნება. </w:t>
      </w:r>
    </w:p>
    <w:p w14:paraId="4CDC6385" w14:textId="77777777" w:rsidR="00191B27" w:rsidRDefault="00191B27" w:rsidP="002B56CC">
      <w:pPr>
        <w:pStyle w:val="BodyText"/>
        <w:spacing w:before="200" w:after="200" w:line="240" w:lineRule="auto"/>
        <w:jc w:val="both"/>
        <w:rPr>
          <w:rFonts w:ascii="Sylfaen" w:hAnsi="Sylfaen"/>
          <w:sz w:val="20"/>
          <w:lang w:val="ka-GE"/>
        </w:rPr>
      </w:pPr>
    </w:p>
    <w:p w14:paraId="3DE2C05B" w14:textId="1769F9DA" w:rsidR="00092D1D" w:rsidRDefault="00092D1D" w:rsidP="002B56CC">
      <w:pPr>
        <w:pStyle w:val="BodyText"/>
        <w:spacing w:before="200" w:after="200" w:line="240" w:lineRule="auto"/>
        <w:jc w:val="both"/>
        <w:rPr>
          <w:rFonts w:ascii="Sylfaen" w:hAnsi="Sylfaen"/>
          <w:sz w:val="20"/>
          <w:lang w:val="ka-GE"/>
        </w:rPr>
      </w:pPr>
    </w:p>
    <w:p w14:paraId="57A2D8D7" w14:textId="210443C9" w:rsidR="002B29EF" w:rsidRDefault="002B29EF" w:rsidP="002B56CC">
      <w:pPr>
        <w:pStyle w:val="BodyText"/>
        <w:spacing w:before="200" w:after="200" w:line="240" w:lineRule="auto"/>
        <w:jc w:val="both"/>
        <w:rPr>
          <w:rFonts w:ascii="Sylfaen" w:hAnsi="Sylfaen"/>
          <w:sz w:val="20"/>
          <w:lang w:val="ka-GE"/>
        </w:rPr>
      </w:pPr>
    </w:p>
    <w:p w14:paraId="3BA93EB3" w14:textId="35FB760F" w:rsidR="002B29EF" w:rsidRDefault="002B29EF" w:rsidP="002B56CC">
      <w:pPr>
        <w:pStyle w:val="BodyText"/>
        <w:spacing w:before="200" w:after="200" w:line="240" w:lineRule="auto"/>
        <w:jc w:val="both"/>
        <w:rPr>
          <w:rFonts w:ascii="Sylfaen" w:hAnsi="Sylfaen"/>
          <w:sz w:val="20"/>
          <w:lang w:val="ka-GE"/>
        </w:rPr>
      </w:pPr>
    </w:p>
    <w:p w14:paraId="0AECE77B" w14:textId="636EA8BC" w:rsidR="002B29EF" w:rsidRDefault="002B29EF" w:rsidP="002B56CC">
      <w:pPr>
        <w:pStyle w:val="BodyText"/>
        <w:spacing w:before="200" w:after="200" w:line="240" w:lineRule="auto"/>
        <w:jc w:val="both"/>
        <w:rPr>
          <w:rFonts w:ascii="Sylfaen" w:hAnsi="Sylfaen"/>
          <w:sz w:val="20"/>
          <w:lang w:val="ka-GE"/>
        </w:rPr>
      </w:pPr>
    </w:p>
    <w:p w14:paraId="274C3267" w14:textId="4BBFD270" w:rsidR="002B29EF" w:rsidRDefault="002B29EF" w:rsidP="002B56CC">
      <w:pPr>
        <w:pStyle w:val="BodyText"/>
        <w:spacing w:before="200" w:after="200" w:line="240" w:lineRule="auto"/>
        <w:jc w:val="both"/>
        <w:rPr>
          <w:rFonts w:ascii="Sylfaen" w:hAnsi="Sylfaen"/>
          <w:sz w:val="20"/>
          <w:lang w:val="ka-GE"/>
        </w:rPr>
      </w:pPr>
    </w:p>
    <w:p w14:paraId="18F90196" w14:textId="4C8382B2" w:rsidR="002B29EF" w:rsidRDefault="002B29EF" w:rsidP="002B56CC">
      <w:pPr>
        <w:pStyle w:val="BodyText"/>
        <w:spacing w:before="200" w:after="200" w:line="240" w:lineRule="auto"/>
        <w:jc w:val="both"/>
        <w:rPr>
          <w:rFonts w:ascii="Sylfaen" w:hAnsi="Sylfaen"/>
          <w:sz w:val="20"/>
          <w:lang w:val="ka-GE"/>
        </w:rPr>
      </w:pPr>
    </w:p>
    <w:p w14:paraId="6C39BCE7" w14:textId="5CF7AA33" w:rsidR="002B29EF" w:rsidRDefault="002B29EF" w:rsidP="002B56CC">
      <w:pPr>
        <w:pStyle w:val="BodyText"/>
        <w:spacing w:before="200" w:after="200" w:line="240" w:lineRule="auto"/>
        <w:jc w:val="both"/>
        <w:rPr>
          <w:rFonts w:ascii="Sylfaen" w:hAnsi="Sylfaen"/>
          <w:sz w:val="20"/>
          <w:lang w:val="ka-GE"/>
        </w:rPr>
      </w:pPr>
    </w:p>
    <w:p w14:paraId="24495679" w14:textId="4F5F4C6F" w:rsidR="002B29EF" w:rsidRDefault="002B29EF" w:rsidP="002B56CC">
      <w:pPr>
        <w:pStyle w:val="BodyText"/>
        <w:spacing w:before="200" w:after="200" w:line="240" w:lineRule="auto"/>
        <w:jc w:val="both"/>
        <w:rPr>
          <w:rFonts w:ascii="Sylfaen" w:hAnsi="Sylfaen"/>
          <w:sz w:val="20"/>
          <w:lang w:val="ka-GE"/>
        </w:rPr>
      </w:pPr>
    </w:p>
    <w:p w14:paraId="16042B59" w14:textId="43AE125D" w:rsidR="002B29EF" w:rsidRDefault="002B29EF" w:rsidP="002B56CC">
      <w:pPr>
        <w:pStyle w:val="BodyText"/>
        <w:spacing w:before="200" w:after="200" w:line="240" w:lineRule="auto"/>
        <w:jc w:val="both"/>
        <w:rPr>
          <w:rFonts w:ascii="Sylfaen" w:hAnsi="Sylfaen"/>
          <w:sz w:val="20"/>
          <w:lang w:val="ka-GE"/>
        </w:rPr>
      </w:pPr>
    </w:p>
    <w:p w14:paraId="08035B45" w14:textId="49414E4A" w:rsidR="002B29EF" w:rsidRDefault="002B29EF" w:rsidP="002B56CC">
      <w:pPr>
        <w:pStyle w:val="BodyText"/>
        <w:spacing w:before="200" w:after="200" w:line="240" w:lineRule="auto"/>
        <w:jc w:val="both"/>
        <w:rPr>
          <w:rFonts w:ascii="Sylfaen" w:hAnsi="Sylfaen"/>
          <w:sz w:val="20"/>
          <w:lang w:val="ka-GE"/>
        </w:rPr>
      </w:pPr>
    </w:p>
    <w:p w14:paraId="69655661" w14:textId="494DD55D" w:rsidR="002B29EF" w:rsidRDefault="002B29EF" w:rsidP="002B56CC">
      <w:pPr>
        <w:pStyle w:val="BodyText"/>
        <w:spacing w:before="200" w:after="200" w:line="240" w:lineRule="auto"/>
        <w:jc w:val="both"/>
        <w:rPr>
          <w:rFonts w:ascii="Sylfaen" w:hAnsi="Sylfaen"/>
          <w:sz w:val="20"/>
          <w:lang w:val="ka-GE"/>
        </w:rPr>
      </w:pPr>
    </w:p>
    <w:p w14:paraId="3EFA3122" w14:textId="77777777" w:rsidR="002C05B7" w:rsidRPr="009B319A" w:rsidRDefault="00145A00" w:rsidP="004B2357">
      <w:pPr>
        <w:pStyle w:val="Heading1"/>
      </w:pPr>
      <w:bookmarkStart w:id="217" w:name="_Toc471745452"/>
      <w:bookmarkStart w:id="218" w:name="_Toc471745797"/>
      <w:bookmarkStart w:id="219" w:name="_Toc473478791"/>
      <w:bookmarkStart w:id="220" w:name="_Toc496611087"/>
      <w:bookmarkStart w:id="221" w:name="_Toc1581556"/>
      <w:r w:rsidRPr="002B616A">
        <w:t xml:space="preserve">7. </w:t>
      </w:r>
      <w:bookmarkStart w:id="222" w:name="_Toc479164780"/>
      <w:bookmarkStart w:id="223" w:name="_Toc479166510"/>
      <w:bookmarkStart w:id="224" w:name="_Toc495314378"/>
      <w:bookmarkEnd w:id="217"/>
      <w:bookmarkEnd w:id="218"/>
      <w:bookmarkEnd w:id="219"/>
      <w:bookmarkEnd w:id="220"/>
      <w:r w:rsidR="002C05B7" w:rsidRPr="009B319A">
        <w:t>გარემოზე ზემოქმედება და შემარბილებელი ღონისძიებები</w:t>
      </w:r>
      <w:bookmarkEnd w:id="221"/>
      <w:bookmarkEnd w:id="222"/>
      <w:bookmarkEnd w:id="223"/>
      <w:bookmarkEnd w:id="224"/>
    </w:p>
    <w:p w14:paraId="70D0DC4A" w14:textId="77777777" w:rsidR="00CD64B5" w:rsidRPr="005C296B" w:rsidRDefault="00890493" w:rsidP="00CD64B5">
      <w:pPr>
        <w:spacing w:before="120" w:after="120"/>
        <w:rPr>
          <w:lang w:val="ka-GE"/>
        </w:rPr>
      </w:pPr>
      <w:r w:rsidRPr="005C296B">
        <w:rPr>
          <w:lang w:val="ka-GE"/>
        </w:rPr>
        <w:br/>
      </w:r>
      <w:bookmarkStart w:id="225" w:name="_Toc471745461"/>
      <w:bookmarkStart w:id="226" w:name="_Toc471745806"/>
      <w:bookmarkStart w:id="227" w:name="_Toc473470822"/>
      <w:bookmarkStart w:id="228" w:name="_Toc473553956"/>
      <w:r w:rsidR="00CD64B5" w:rsidRPr="005C296B">
        <w:rPr>
          <w:rFonts w:ascii="Sylfaen" w:hAnsi="Sylfaen" w:cs="Sylfaen"/>
          <w:lang w:val="ka-GE"/>
        </w:rPr>
        <w:t>წინამდებარე</w:t>
      </w:r>
      <w:r w:rsidR="00CD64B5" w:rsidRPr="005C296B">
        <w:rPr>
          <w:lang w:val="ka-GE"/>
        </w:rPr>
        <w:t xml:space="preserve"> </w:t>
      </w:r>
      <w:r w:rsidR="00CD64B5" w:rsidRPr="005C296B">
        <w:rPr>
          <w:rFonts w:ascii="Sylfaen" w:hAnsi="Sylfaen" w:cs="Sylfaen"/>
          <w:lang w:val="ka-GE"/>
        </w:rPr>
        <w:t>გზშ</w:t>
      </w:r>
      <w:r w:rsidR="00CD64B5" w:rsidRPr="005C296B">
        <w:rPr>
          <w:lang w:val="ka-GE"/>
        </w:rPr>
        <w:t xml:space="preserve"> </w:t>
      </w:r>
      <w:r w:rsidR="00CD64B5" w:rsidRPr="005C296B">
        <w:rPr>
          <w:rFonts w:ascii="Sylfaen" w:hAnsi="Sylfaen" w:cs="Sylfaen"/>
          <w:lang w:val="ka-GE"/>
        </w:rPr>
        <w:t>მოიცავს</w:t>
      </w:r>
      <w:r w:rsidR="00CD64B5" w:rsidRPr="005C296B">
        <w:rPr>
          <w:lang w:val="ka-GE"/>
        </w:rPr>
        <w:t xml:space="preserve"> </w:t>
      </w:r>
      <w:r w:rsidR="00CD64B5" w:rsidRPr="005C296B">
        <w:rPr>
          <w:rFonts w:ascii="Sylfaen" w:hAnsi="Sylfaen" w:cs="Sylfaen"/>
          <w:lang w:val="ka-GE"/>
        </w:rPr>
        <w:t>მშენებლობისა</w:t>
      </w:r>
      <w:r w:rsidR="00CD64B5" w:rsidRPr="005C296B">
        <w:rPr>
          <w:lang w:val="ka-GE"/>
        </w:rPr>
        <w:t xml:space="preserve"> </w:t>
      </w:r>
      <w:r w:rsidR="00CD64B5" w:rsidRPr="005C296B">
        <w:rPr>
          <w:rFonts w:ascii="Sylfaen" w:hAnsi="Sylfaen" w:cs="Sylfaen"/>
          <w:lang w:val="ka-GE"/>
        </w:rPr>
        <w:t>და</w:t>
      </w:r>
      <w:r w:rsidR="00CD64B5" w:rsidRPr="005C296B">
        <w:rPr>
          <w:lang w:val="ka-GE"/>
        </w:rPr>
        <w:t xml:space="preserve"> </w:t>
      </w:r>
      <w:r w:rsidR="00CD64B5" w:rsidRPr="005C296B">
        <w:rPr>
          <w:rFonts w:ascii="Sylfaen" w:hAnsi="Sylfaen" w:cs="Sylfaen"/>
          <w:lang w:val="ka-GE"/>
        </w:rPr>
        <w:t>ექსპლუატაციის</w:t>
      </w:r>
      <w:r w:rsidR="00CD64B5" w:rsidRPr="005C296B">
        <w:rPr>
          <w:lang w:val="ka-GE"/>
        </w:rPr>
        <w:t xml:space="preserve"> </w:t>
      </w:r>
      <w:r w:rsidR="00CD64B5" w:rsidRPr="005C296B">
        <w:rPr>
          <w:rFonts w:ascii="Sylfaen" w:hAnsi="Sylfaen" w:cs="Sylfaen"/>
          <w:lang w:val="ka-GE"/>
        </w:rPr>
        <w:t>ფაზების</w:t>
      </w:r>
      <w:r w:rsidR="00CD64B5" w:rsidRPr="005C296B">
        <w:rPr>
          <w:lang w:val="ka-GE"/>
        </w:rPr>
        <w:t xml:space="preserve"> </w:t>
      </w:r>
      <w:r w:rsidR="00CD64B5" w:rsidRPr="005C296B">
        <w:rPr>
          <w:rFonts w:ascii="Sylfaen" w:hAnsi="Sylfaen" w:cs="Sylfaen"/>
          <w:lang w:val="ka-GE"/>
        </w:rPr>
        <w:t>დროს</w:t>
      </w:r>
      <w:r w:rsidR="00CD64B5" w:rsidRPr="005C296B">
        <w:rPr>
          <w:lang w:val="ka-GE"/>
        </w:rPr>
        <w:t xml:space="preserve"> </w:t>
      </w:r>
      <w:r w:rsidR="00CD64B5" w:rsidRPr="005C296B">
        <w:rPr>
          <w:rFonts w:ascii="Sylfaen" w:hAnsi="Sylfaen" w:cs="Sylfaen"/>
          <w:lang w:val="ka-GE"/>
        </w:rPr>
        <w:t>დადებითი</w:t>
      </w:r>
      <w:r w:rsidR="00CD64B5" w:rsidRPr="005C296B">
        <w:rPr>
          <w:lang w:val="ka-GE"/>
        </w:rPr>
        <w:t xml:space="preserve"> </w:t>
      </w:r>
      <w:r w:rsidR="00CD64B5" w:rsidRPr="005C296B">
        <w:rPr>
          <w:rFonts w:ascii="Sylfaen" w:hAnsi="Sylfaen" w:cs="Sylfaen"/>
          <w:lang w:val="ka-GE"/>
        </w:rPr>
        <w:t>და</w:t>
      </w:r>
      <w:r w:rsidR="00CD64B5" w:rsidRPr="005C296B">
        <w:rPr>
          <w:lang w:val="ka-GE"/>
        </w:rPr>
        <w:t xml:space="preserve"> </w:t>
      </w:r>
      <w:r w:rsidR="00CD64B5" w:rsidRPr="005C296B">
        <w:rPr>
          <w:rFonts w:ascii="Sylfaen" w:hAnsi="Sylfaen" w:cs="Sylfaen"/>
          <w:lang w:val="ka-GE"/>
        </w:rPr>
        <w:t>უარყოფითი</w:t>
      </w:r>
      <w:r w:rsidR="00CD64B5" w:rsidRPr="005C296B">
        <w:rPr>
          <w:lang w:val="ka-GE"/>
        </w:rPr>
        <w:t xml:space="preserve"> </w:t>
      </w:r>
      <w:r w:rsidR="00CD64B5" w:rsidRPr="005C296B">
        <w:rPr>
          <w:rFonts w:ascii="Sylfaen" w:hAnsi="Sylfaen" w:cs="Sylfaen"/>
          <w:lang w:val="ka-GE"/>
        </w:rPr>
        <w:t>გარემოსდაცვითი</w:t>
      </w:r>
      <w:r w:rsidR="00CD64B5" w:rsidRPr="005C296B">
        <w:rPr>
          <w:lang w:val="ka-GE"/>
        </w:rPr>
        <w:t xml:space="preserve">, </w:t>
      </w:r>
      <w:r w:rsidR="00CD64B5" w:rsidRPr="005C296B">
        <w:rPr>
          <w:rFonts w:ascii="Sylfaen" w:hAnsi="Sylfaen" w:cs="Sylfaen"/>
          <w:lang w:val="ka-GE"/>
        </w:rPr>
        <w:t>სოციალური</w:t>
      </w:r>
      <w:r w:rsidR="00CD64B5" w:rsidRPr="005C296B">
        <w:rPr>
          <w:lang w:val="ka-GE"/>
        </w:rPr>
        <w:t xml:space="preserve"> </w:t>
      </w:r>
      <w:r w:rsidR="00CD64B5" w:rsidRPr="005C296B">
        <w:rPr>
          <w:rFonts w:ascii="Sylfaen" w:hAnsi="Sylfaen" w:cs="Sylfaen"/>
          <w:lang w:val="ka-GE"/>
        </w:rPr>
        <w:t>და</w:t>
      </w:r>
      <w:r w:rsidR="00CD64B5" w:rsidRPr="005C296B">
        <w:rPr>
          <w:lang w:val="ka-GE"/>
        </w:rPr>
        <w:t xml:space="preserve"> </w:t>
      </w:r>
      <w:r w:rsidR="00CD64B5" w:rsidRPr="005C296B">
        <w:rPr>
          <w:rFonts w:ascii="Sylfaen" w:hAnsi="Sylfaen" w:cs="Sylfaen"/>
          <w:lang w:val="ka-GE"/>
        </w:rPr>
        <w:t>კულტურული</w:t>
      </w:r>
      <w:r w:rsidR="00CD64B5" w:rsidRPr="005C296B">
        <w:rPr>
          <w:lang w:val="ka-GE"/>
        </w:rPr>
        <w:t xml:space="preserve"> </w:t>
      </w:r>
      <w:r w:rsidR="00CD64B5" w:rsidRPr="005C296B">
        <w:rPr>
          <w:rFonts w:ascii="Sylfaen" w:hAnsi="Sylfaen" w:cs="Sylfaen"/>
          <w:lang w:val="ka-GE"/>
        </w:rPr>
        <w:t>ზემოქმედების</w:t>
      </w:r>
      <w:r w:rsidR="00CD64B5" w:rsidRPr="005C296B">
        <w:rPr>
          <w:lang w:val="ka-GE"/>
        </w:rPr>
        <w:t xml:space="preserve"> </w:t>
      </w:r>
      <w:r w:rsidR="00CD64B5" w:rsidRPr="005C296B">
        <w:rPr>
          <w:rFonts w:ascii="Sylfaen" w:hAnsi="Sylfaen" w:cs="Sylfaen"/>
          <w:lang w:val="ka-GE"/>
        </w:rPr>
        <w:t>იდენტიფიკაციასა</w:t>
      </w:r>
      <w:r w:rsidR="00CD64B5" w:rsidRPr="005C296B">
        <w:rPr>
          <w:lang w:val="ka-GE"/>
        </w:rPr>
        <w:t xml:space="preserve"> </w:t>
      </w:r>
      <w:r w:rsidR="00CD64B5" w:rsidRPr="005C296B">
        <w:rPr>
          <w:rFonts w:ascii="Sylfaen" w:hAnsi="Sylfaen" w:cs="Sylfaen"/>
          <w:lang w:val="ka-GE"/>
        </w:rPr>
        <w:t>და</w:t>
      </w:r>
      <w:r w:rsidR="00CD64B5" w:rsidRPr="005C296B">
        <w:rPr>
          <w:lang w:val="ka-GE"/>
        </w:rPr>
        <w:t xml:space="preserve"> </w:t>
      </w:r>
      <w:r w:rsidR="00CD64B5" w:rsidRPr="005C296B">
        <w:rPr>
          <w:rFonts w:ascii="Sylfaen" w:hAnsi="Sylfaen" w:cs="Sylfaen"/>
          <w:lang w:val="ka-GE"/>
        </w:rPr>
        <w:t>გაზომვას</w:t>
      </w:r>
      <w:r w:rsidR="00CD64B5" w:rsidRPr="005C296B">
        <w:rPr>
          <w:lang w:val="ka-GE"/>
        </w:rPr>
        <w:t xml:space="preserve">. </w:t>
      </w:r>
      <w:r w:rsidR="00CD64B5" w:rsidRPr="005C296B">
        <w:rPr>
          <w:rFonts w:ascii="Sylfaen" w:hAnsi="Sylfaen" w:cs="Sylfaen"/>
          <w:lang w:val="ka-GE"/>
        </w:rPr>
        <w:t>იგი</w:t>
      </w:r>
      <w:r w:rsidR="00CD64B5" w:rsidRPr="005C296B">
        <w:rPr>
          <w:lang w:val="ka-GE"/>
        </w:rPr>
        <w:t xml:space="preserve"> </w:t>
      </w:r>
      <w:r w:rsidR="00CD64B5" w:rsidRPr="005C296B">
        <w:rPr>
          <w:rFonts w:ascii="Sylfaen" w:hAnsi="Sylfaen" w:cs="Sylfaen"/>
          <w:lang w:val="ka-GE"/>
        </w:rPr>
        <w:t>დაფუძნებულია</w:t>
      </w:r>
      <w:r w:rsidR="00CD64B5" w:rsidRPr="005C296B">
        <w:rPr>
          <w:lang w:val="ka-GE"/>
        </w:rPr>
        <w:t xml:space="preserve"> </w:t>
      </w:r>
      <w:r w:rsidR="00CD64B5" w:rsidRPr="005C296B">
        <w:rPr>
          <w:rFonts w:ascii="Sylfaen" w:hAnsi="Sylfaen" w:cs="Sylfaen"/>
          <w:lang w:val="ka-GE"/>
        </w:rPr>
        <w:t>საწყის</w:t>
      </w:r>
      <w:r w:rsidR="00CD64B5" w:rsidRPr="005C296B">
        <w:rPr>
          <w:lang w:val="ka-GE"/>
        </w:rPr>
        <w:t xml:space="preserve"> </w:t>
      </w:r>
      <w:r w:rsidR="00CD64B5" w:rsidRPr="005C296B">
        <w:rPr>
          <w:rFonts w:ascii="Sylfaen" w:hAnsi="Sylfaen" w:cs="Sylfaen"/>
          <w:lang w:val="ka-GE"/>
        </w:rPr>
        <w:t>ინფორმაციაზე</w:t>
      </w:r>
      <w:r w:rsidR="00CD64B5" w:rsidRPr="005C296B">
        <w:rPr>
          <w:lang w:val="ka-GE"/>
        </w:rPr>
        <w:t xml:space="preserve">, </w:t>
      </w:r>
      <w:r w:rsidR="00CD64B5" w:rsidRPr="005C296B">
        <w:rPr>
          <w:rFonts w:ascii="Sylfaen" w:hAnsi="Sylfaen" w:cs="Sylfaen"/>
          <w:lang w:val="ka-GE"/>
        </w:rPr>
        <w:t>საპროექტო</w:t>
      </w:r>
      <w:r w:rsidR="00CD64B5" w:rsidRPr="005C296B">
        <w:rPr>
          <w:lang w:val="ka-GE"/>
        </w:rPr>
        <w:t xml:space="preserve"> </w:t>
      </w:r>
      <w:r w:rsidR="00CD64B5" w:rsidRPr="005C296B">
        <w:rPr>
          <w:rFonts w:ascii="Sylfaen" w:hAnsi="Sylfaen" w:cs="Sylfaen"/>
          <w:lang w:val="ka-GE"/>
        </w:rPr>
        <w:t>დოკუმენტებზე</w:t>
      </w:r>
      <w:r w:rsidR="00CD64B5" w:rsidRPr="005C296B">
        <w:rPr>
          <w:lang w:val="ka-GE"/>
        </w:rPr>
        <w:t xml:space="preserve"> </w:t>
      </w:r>
      <w:r w:rsidR="00CD64B5" w:rsidRPr="005C296B">
        <w:rPr>
          <w:rFonts w:ascii="Sylfaen" w:hAnsi="Sylfaen" w:cs="Sylfaen"/>
          <w:lang w:val="ka-GE"/>
        </w:rPr>
        <w:t>და</w:t>
      </w:r>
      <w:r w:rsidR="00CD64B5" w:rsidRPr="005C296B">
        <w:rPr>
          <w:lang w:val="ka-GE"/>
        </w:rPr>
        <w:t xml:space="preserve"> </w:t>
      </w:r>
      <w:r w:rsidR="00CD64B5" w:rsidRPr="005C296B">
        <w:rPr>
          <w:rFonts w:ascii="Sylfaen" w:hAnsi="Sylfaen" w:cs="Sylfaen"/>
          <w:lang w:val="ka-GE"/>
        </w:rPr>
        <w:t>წინასწარ</w:t>
      </w:r>
      <w:r w:rsidR="00CD64B5" w:rsidRPr="005C296B">
        <w:rPr>
          <w:lang w:val="ka-GE"/>
        </w:rPr>
        <w:t xml:space="preserve"> </w:t>
      </w:r>
      <w:r w:rsidR="00CD64B5" w:rsidRPr="005C296B">
        <w:rPr>
          <w:rFonts w:ascii="Sylfaen" w:hAnsi="Sylfaen" w:cs="Sylfaen"/>
          <w:lang w:val="ka-GE"/>
        </w:rPr>
        <w:t>განსაზღვრულ</w:t>
      </w:r>
      <w:r w:rsidR="00CD64B5" w:rsidRPr="005C296B">
        <w:rPr>
          <w:lang w:val="ka-GE"/>
        </w:rPr>
        <w:t xml:space="preserve"> </w:t>
      </w:r>
      <w:r w:rsidR="00CD64B5" w:rsidRPr="005C296B">
        <w:rPr>
          <w:rFonts w:ascii="Sylfaen" w:hAnsi="Sylfaen" w:cs="Sylfaen"/>
          <w:lang w:val="ka-GE"/>
        </w:rPr>
        <w:t>შეფასების</w:t>
      </w:r>
      <w:r w:rsidR="00CD64B5" w:rsidRPr="005C296B">
        <w:rPr>
          <w:lang w:val="ka-GE"/>
        </w:rPr>
        <w:t xml:space="preserve"> </w:t>
      </w:r>
      <w:r w:rsidR="00CD64B5" w:rsidRPr="005C296B">
        <w:rPr>
          <w:rFonts w:ascii="Sylfaen" w:hAnsi="Sylfaen" w:cs="Sylfaen"/>
          <w:lang w:val="ka-GE"/>
        </w:rPr>
        <w:t>რაოდენობრივ</w:t>
      </w:r>
      <w:r w:rsidR="00CD64B5" w:rsidRPr="005C296B">
        <w:rPr>
          <w:lang w:val="ka-GE"/>
        </w:rPr>
        <w:t xml:space="preserve"> </w:t>
      </w:r>
      <w:r w:rsidR="00CD64B5" w:rsidRPr="005C296B">
        <w:rPr>
          <w:rFonts w:ascii="Sylfaen" w:hAnsi="Sylfaen" w:cs="Sylfaen"/>
          <w:lang w:val="ka-GE"/>
        </w:rPr>
        <w:t>და</w:t>
      </w:r>
      <w:r w:rsidR="00CD64B5" w:rsidRPr="005C296B">
        <w:rPr>
          <w:lang w:val="ka-GE"/>
        </w:rPr>
        <w:t xml:space="preserve"> </w:t>
      </w:r>
      <w:r w:rsidR="00CD64B5" w:rsidRPr="005C296B">
        <w:rPr>
          <w:rFonts w:ascii="Sylfaen" w:hAnsi="Sylfaen" w:cs="Sylfaen"/>
          <w:lang w:val="ka-GE"/>
        </w:rPr>
        <w:t>ხარისხობრივ</w:t>
      </w:r>
      <w:r w:rsidR="00CD64B5" w:rsidRPr="005C296B">
        <w:rPr>
          <w:lang w:val="ka-GE"/>
        </w:rPr>
        <w:t xml:space="preserve"> </w:t>
      </w:r>
      <w:r w:rsidR="00CD64B5" w:rsidRPr="005C296B">
        <w:rPr>
          <w:rFonts w:ascii="Sylfaen" w:hAnsi="Sylfaen" w:cs="Sylfaen"/>
          <w:lang w:val="ka-GE"/>
        </w:rPr>
        <w:t>კრიტერიუმებზე</w:t>
      </w:r>
      <w:r w:rsidR="00CD64B5" w:rsidRPr="005C296B">
        <w:rPr>
          <w:lang w:val="ka-GE"/>
        </w:rPr>
        <w:t>.</w:t>
      </w:r>
    </w:p>
    <w:p w14:paraId="17A00017" w14:textId="77777777" w:rsidR="00CD64B5" w:rsidRPr="005C296B" w:rsidRDefault="00CD64B5" w:rsidP="00CD64B5">
      <w:pPr>
        <w:pStyle w:val="EIAheading2"/>
        <w:spacing w:before="120" w:after="120"/>
        <w:rPr>
          <w:lang w:val="ka-GE"/>
        </w:rPr>
      </w:pPr>
      <w:bookmarkStart w:id="229" w:name="_Toc464212194"/>
      <w:bookmarkStart w:id="230" w:name="_Toc529977394"/>
      <w:bookmarkStart w:id="231" w:name="_Toc495314379"/>
      <w:bookmarkStart w:id="232" w:name="_Toc479166511"/>
      <w:bookmarkStart w:id="233" w:name="_Toc479164781"/>
      <w:bookmarkStart w:id="234" w:name="_Toc466046858"/>
      <w:bookmarkStart w:id="235" w:name="_Toc1581557"/>
      <w:r w:rsidRPr="005C296B">
        <w:rPr>
          <w:lang w:val="ka-GE"/>
        </w:rPr>
        <w:t xml:space="preserve">7.1 </w:t>
      </w:r>
      <w:r w:rsidRPr="005C296B">
        <w:rPr>
          <w:rFonts w:ascii="Sylfaen" w:hAnsi="Sylfaen" w:cs="Sylfaen"/>
          <w:lang w:val="ka-GE"/>
        </w:rPr>
        <w:t>ზემოქმედება</w:t>
      </w:r>
      <w:r w:rsidRPr="005C296B">
        <w:rPr>
          <w:lang w:val="ka-GE"/>
        </w:rPr>
        <w:t xml:space="preserve"> </w:t>
      </w:r>
      <w:r w:rsidRPr="005C296B">
        <w:rPr>
          <w:rFonts w:ascii="Sylfaen" w:hAnsi="Sylfaen" w:cs="Sylfaen"/>
          <w:lang w:val="ka-GE"/>
        </w:rPr>
        <w:t>ატმოსფერული</w:t>
      </w:r>
      <w:r w:rsidRPr="005C296B">
        <w:rPr>
          <w:lang w:val="ka-GE"/>
        </w:rPr>
        <w:t xml:space="preserve"> </w:t>
      </w:r>
      <w:r w:rsidRPr="005C296B">
        <w:rPr>
          <w:rFonts w:ascii="Sylfaen" w:hAnsi="Sylfaen" w:cs="Sylfaen"/>
          <w:lang w:val="ka-GE"/>
        </w:rPr>
        <w:t>ჰაერის</w:t>
      </w:r>
      <w:r w:rsidRPr="005C296B">
        <w:rPr>
          <w:lang w:val="ka-GE"/>
        </w:rPr>
        <w:t xml:space="preserve"> </w:t>
      </w:r>
      <w:r w:rsidRPr="005C296B">
        <w:rPr>
          <w:rFonts w:ascii="Sylfaen" w:hAnsi="Sylfaen" w:cs="Sylfaen"/>
          <w:lang w:val="ka-GE"/>
        </w:rPr>
        <w:t>ხარისხ</w:t>
      </w:r>
      <w:bookmarkEnd w:id="229"/>
      <w:r w:rsidRPr="005C296B">
        <w:rPr>
          <w:rFonts w:ascii="Sylfaen" w:hAnsi="Sylfaen" w:cs="Sylfaen"/>
          <w:lang w:val="ka-GE"/>
        </w:rPr>
        <w:t>ზე</w:t>
      </w:r>
      <w:bookmarkEnd w:id="230"/>
      <w:bookmarkEnd w:id="231"/>
      <w:bookmarkEnd w:id="232"/>
      <w:bookmarkEnd w:id="233"/>
      <w:bookmarkEnd w:id="235"/>
    </w:p>
    <w:p w14:paraId="703039E9" w14:textId="77777777" w:rsidR="00CD64B5" w:rsidRPr="005C296B" w:rsidRDefault="00CD64B5" w:rsidP="00CD64B5">
      <w:pPr>
        <w:pStyle w:val="Heading3"/>
        <w:spacing w:before="120" w:after="120"/>
        <w:rPr>
          <w:lang w:val="ka-GE"/>
        </w:rPr>
      </w:pPr>
      <w:bookmarkStart w:id="236" w:name="_Toc466046859"/>
      <w:bookmarkStart w:id="237" w:name="_Toc529977395"/>
      <w:bookmarkStart w:id="238" w:name="_Toc495314380"/>
      <w:bookmarkStart w:id="239" w:name="_Toc479166512"/>
      <w:bookmarkStart w:id="240" w:name="_Toc479164782"/>
      <w:bookmarkStart w:id="241" w:name="_Toc1581558"/>
      <w:bookmarkEnd w:id="234"/>
      <w:r w:rsidRPr="005C296B">
        <w:rPr>
          <w:lang w:val="ka-GE"/>
        </w:rPr>
        <w:t xml:space="preserve">7.1.1 </w:t>
      </w:r>
      <w:r w:rsidRPr="005C296B">
        <w:rPr>
          <w:rFonts w:ascii="Sylfaen" w:hAnsi="Sylfaen" w:cs="Sylfaen"/>
          <w:lang w:val="ka-GE"/>
        </w:rPr>
        <w:t>ატმოსფერული</w:t>
      </w:r>
      <w:r w:rsidRPr="005C296B">
        <w:rPr>
          <w:lang w:val="ka-GE"/>
        </w:rPr>
        <w:t xml:space="preserve"> </w:t>
      </w:r>
      <w:r w:rsidRPr="005C296B">
        <w:rPr>
          <w:rFonts w:ascii="Sylfaen" w:hAnsi="Sylfaen" w:cs="Sylfaen"/>
          <w:lang w:val="ka-GE"/>
        </w:rPr>
        <w:t>ჰაერის</w:t>
      </w:r>
      <w:r w:rsidRPr="005C296B">
        <w:rPr>
          <w:lang w:val="ka-GE"/>
        </w:rPr>
        <w:t xml:space="preserve"> </w:t>
      </w:r>
      <w:r w:rsidRPr="005C296B">
        <w:rPr>
          <w:rFonts w:ascii="Sylfaen" w:hAnsi="Sylfaen" w:cs="Sylfaen"/>
          <w:lang w:val="ka-GE"/>
        </w:rPr>
        <w:t>ხარისხზე</w:t>
      </w:r>
      <w:r w:rsidRPr="005C296B">
        <w:rPr>
          <w:lang w:val="ka-GE"/>
        </w:rPr>
        <w:t xml:space="preserve"> </w:t>
      </w:r>
      <w:r w:rsidRPr="005C296B">
        <w:rPr>
          <w:rFonts w:ascii="Sylfaen" w:hAnsi="Sylfaen" w:cs="Sylfaen"/>
          <w:lang w:val="ka-GE"/>
        </w:rPr>
        <w:t>ზემოქმედება</w:t>
      </w:r>
      <w:r w:rsidRPr="005C296B">
        <w:rPr>
          <w:lang w:val="ka-GE"/>
        </w:rPr>
        <w:t xml:space="preserve"> </w:t>
      </w:r>
      <w:r w:rsidRPr="005C296B">
        <w:rPr>
          <w:rFonts w:ascii="Sylfaen" w:hAnsi="Sylfaen" w:cs="Sylfaen"/>
          <w:lang w:val="ka-GE"/>
        </w:rPr>
        <w:t>მშენებლობის</w:t>
      </w:r>
      <w:r w:rsidRPr="005C296B">
        <w:rPr>
          <w:lang w:val="ka-GE"/>
        </w:rPr>
        <w:t xml:space="preserve"> </w:t>
      </w:r>
      <w:bookmarkEnd w:id="236"/>
      <w:r w:rsidRPr="005C296B">
        <w:rPr>
          <w:rFonts w:ascii="Sylfaen" w:hAnsi="Sylfaen" w:cs="Sylfaen"/>
          <w:lang w:val="ka-GE"/>
        </w:rPr>
        <w:t>ეტაპზე</w:t>
      </w:r>
      <w:bookmarkEnd w:id="237"/>
      <w:bookmarkEnd w:id="238"/>
      <w:bookmarkEnd w:id="239"/>
      <w:bookmarkEnd w:id="240"/>
      <w:bookmarkEnd w:id="241"/>
    </w:p>
    <w:p w14:paraId="052A8B65" w14:textId="77777777" w:rsidR="00CD64B5" w:rsidRPr="001352AB" w:rsidRDefault="00CD64B5" w:rsidP="00CD64B5">
      <w:pPr>
        <w:spacing w:before="120" w:after="120"/>
        <w:rPr>
          <w:lang w:val="ka-GE"/>
        </w:rPr>
      </w:pPr>
      <w:r w:rsidRPr="005C296B">
        <w:rPr>
          <w:rFonts w:ascii="Sylfaen" w:hAnsi="Sylfaen" w:cs="Sylfaen"/>
          <w:lang w:val="ka-GE"/>
        </w:rPr>
        <w:t>მშენებლობის</w:t>
      </w:r>
      <w:r w:rsidRPr="005C296B">
        <w:rPr>
          <w:lang w:val="ka-GE"/>
        </w:rPr>
        <w:t xml:space="preserve"> </w:t>
      </w:r>
      <w:r w:rsidRPr="005C296B">
        <w:rPr>
          <w:rFonts w:ascii="Sylfaen" w:hAnsi="Sylfaen" w:cs="Sylfaen"/>
          <w:lang w:val="ka-GE"/>
        </w:rPr>
        <w:t>ფაზაზე</w:t>
      </w:r>
      <w:r w:rsidRPr="005C296B">
        <w:rPr>
          <w:lang w:val="ka-GE"/>
        </w:rPr>
        <w:t xml:space="preserve"> </w:t>
      </w:r>
      <w:r w:rsidRPr="005C296B">
        <w:rPr>
          <w:rFonts w:ascii="Sylfaen" w:hAnsi="Sylfaen" w:cs="Sylfaen"/>
          <w:lang w:val="ka-GE"/>
        </w:rPr>
        <w:t>საპროექტო</w:t>
      </w:r>
      <w:r w:rsidRPr="005C296B">
        <w:rPr>
          <w:lang w:val="ka-GE"/>
        </w:rPr>
        <w:t xml:space="preserve"> </w:t>
      </w:r>
      <w:r w:rsidRPr="005C296B">
        <w:rPr>
          <w:rFonts w:ascii="Sylfaen" w:hAnsi="Sylfaen" w:cs="Sylfaen"/>
          <w:lang w:val="ka-GE"/>
        </w:rPr>
        <w:t>არეალში</w:t>
      </w:r>
      <w:r w:rsidRPr="005C296B">
        <w:rPr>
          <w:lang w:val="ka-GE"/>
        </w:rPr>
        <w:t xml:space="preserve"> </w:t>
      </w:r>
      <w:r w:rsidRPr="005C296B">
        <w:rPr>
          <w:rFonts w:ascii="Sylfaen" w:hAnsi="Sylfaen" w:cs="Sylfaen"/>
          <w:lang w:val="ka-GE"/>
        </w:rPr>
        <w:t>წარმოდგენილი</w:t>
      </w:r>
      <w:r w:rsidRPr="005C296B">
        <w:rPr>
          <w:lang w:val="ka-GE"/>
        </w:rPr>
        <w:t xml:space="preserve"> </w:t>
      </w:r>
      <w:r w:rsidRPr="005C296B">
        <w:rPr>
          <w:rFonts w:ascii="Sylfaen" w:hAnsi="Sylfaen" w:cs="Sylfaen"/>
          <w:lang w:val="ka-GE"/>
        </w:rPr>
        <w:t>იქნება</w:t>
      </w:r>
      <w:r w:rsidRPr="005C296B">
        <w:rPr>
          <w:lang w:val="ka-GE"/>
        </w:rPr>
        <w:t xml:space="preserve"> </w:t>
      </w:r>
      <w:r w:rsidRPr="005C296B">
        <w:rPr>
          <w:rFonts w:ascii="Sylfaen" w:hAnsi="Sylfaen" w:cs="Sylfaen"/>
          <w:lang w:val="ka-GE"/>
        </w:rPr>
        <w:t>ატმოსფერულ</w:t>
      </w:r>
      <w:r w:rsidRPr="005C296B">
        <w:rPr>
          <w:lang w:val="ka-GE"/>
        </w:rPr>
        <w:t xml:space="preserve"> </w:t>
      </w:r>
      <w:r w:rsidRPr="005C296B">
        <w:rPr>
          <w:rFonts w:ascii="Sylfaen" w:hAnsi="Sylfaen" w:cs="Sylfaen"/>
          <w:lang w:val="ka-GE"/>
        </w:rPr>
        <w:t>ჰაერში</w:t>
      </w:r>
      <w:r w:rsidRPr="005C296B">
        <w:rPr>
          <w:lang w:val="ka-GE"/>
        </w:rPr>
        <w:t xml:space="preserve"> </w:t>
      </w:r>
      <w:r w:rsidRPr="005C296B">
        <w:rPr>
          <w:rFonts w:ascii="Sylfaen" w:hAnsi="Sylfaen" w:cs="Sylfaen"/>
          <w:lang w:val="ka-GE"/>
        </w:rPr>
        <w:t>მავნე</w:t>
      </w:r>
      <w:r w:rsidRPr="005C296B">
        <w:rPr>
          <w:lang w:val="ka-GE"/>
        </w:rPr>
        <w:t xml:space="preserve"> </w:t>
      </w:r>
      <w:r w:rsidRPr="005C296B">
        <w:rPr>
          <w:rFonts w:ascii="Sylfaen" w:hAnsi="Sylfaen" w:cs="Sylfaen"/>
          <w:lang w:val="ka-GE"/>
        </w:rPr>
        <w:t>ნივთიერებათა</w:t>
      </w:r>
      <w:r w:rsidRPr="005C296B">
        <w:rPr>
          <w:lang w:val="ka-GE"/>
        </w:rPr>
        <w:t xml:space="preserve"> </w:t>
      </w:r>
      <w:r w:rsidRPr="005C296B">
        <w:rPr>
          <w:rFonts w:ascii="Sylfaen" w:hAnsi="Sylfaen" w:cs="Sylfaen"/>
          <w:lang w:val="ka-GE"/>
        </w:rPr>
        <w:t>ემისიების</w:t>
      </w:r>
      <w:r w:rsidRPr="005C296B">
        <w:rPr>
          <w:lang w:val="ka-GE"/>
        </w:rPr>
        <w:t xml:space="preserve"> </w:t>
      </w:r>
      <w:r w:rsidRPr="005C296B">
        <w:rPr>
          <w:rFonts w:ascii="Sylfaen" w:hAnsi="Sylfaen" w:cs="Sylfaen"/>
          <w:lang w:val="ka-GE"/>
        </w:rPr>
        <w:t>სხვადასხვა</w:t>
      </w:r>
      <w:r w:rsidRPr="005C296B">
        <w:rPr>
          <w:lang w:val="ka-GE"/>
        </w:rPr>
        <w:t xml:space="preserve"> </w:t>
      </w:r>
      <w:r w:rsidRPr="005C296B">
        <w:rPr>
          <w:rFonts w:ascii="Sylfaen" w:hAnsi="Sylfaen" w:cs="Sylfaen"/>
          <w:lang w:val="ka-GE"/>
        </w:rPr>
        <w:t>ტიპის</w:t>
      </w:r>
      <w:r w:rsidRPr="005C296B">
        <w:rPr>
          <w:lang w:val="ka-GE"/>
        </w:rPr>
        <w:t xml:space="preserve"> </w:t>
      </w:r>
      <w:r w:rsidRPr="005C296B">
        <w:rPr>
          <w:rFonts w:ascii="Sylfaen" w:hAnsi="Sylfaen" w:cs="Sylfaen"/>
          <w:lang w:val="ka-GE"/>
        </w:rPr>
        <w:t>წყაროები</w:t>
      </w:r>
      <w:r w:rsidRPr="005C296B">
        <w:rPr>
          <w:lang w:val="ka-GE"/>
        </w:rPr>
        <w:t xml:space="preserve">. </w:t>
      </w:r>
    </w:p>
    <w:p w14:paraId="4C325CF6" w14:textId="77777777" w:rsidR="00CD64B5" w:rsidRPr="005C296B" w:rsidRDefault="00CD64B5" w:rsidP="00CD64B5">
      <w:pPr>
        <w:spacing w:before="120" w:after="120"/>
        <w:rPr>
          <w:lang w:val="ka-GE"/>
        </w:rPr>
      </w:pPr>
      <w:r w:rsidRPr="005C296B">
        <w:rPr>
          <w:rFonts w:ascii="Sylfaen" w:hAnsi="Sylfaen" w:cs="Sylfaen"/>
          <w:lang w:val="ka-GE"/>
        </w:rPr>
        <w:t>გაფრქვევის</w:t>
      </w:r>
      <w:r w:rsidRPr="005C296B">
        <w:rPr>
          <w:lang w:val="ka-GE"/>
        </w:rPr>
        <w:t xml:space="preserve"> </w:t>
      </w:r>
      <w:r w:rsidRPr="005C296B">
        <w:rPr>
          <w:rFonts w:ascii="Sylfaen" w:hAnsi="Sylfaen" w:cs="Sylfaen"/>
          <w:lang w:val="ka-GE"/>
        </w:rPr>
        <w:t>სტაციონალური</w:t>
      </w:r>
      <w:r w:rsidRPr="005C296B">
        <w:rPr>
          <w:lang w:val="ka-GE"/>
        </w:rPr>
        <w:t xml:space="preserve"> </w:t>
      </w:r>
      <w:r w:rsidRPr="005C296B">
        <w:rPr>
          <w:rFonts w:ascii="Sylfaen" w:hAnsi="Sylfaen" w:cs="Sylfaen"/>
          <w:lang w:val="ka-GE"/>
        </w:rPr>
        <w:t>წყაროები</w:t>
      </w:r>
      <w:r w:rsidRPr="005C296B">
        <w:rPr>
          <w:lang w:val="ka-GE"/>
        </w:rPr>
        <w:t xml:space="preserve"> </w:t>
      </w:r>
      <w:r w:rsidRPr="005C296B">
        <w:rPr>
          <w:rFonts w:ascii="Sylfaen" w:hAnsi="Sylfaen" w:cs="Sylfaen"/>
          <w:lang w:val="ka-GE"/>
        </w:rPr>
        <w:t>შეიძლება</w:t>
      </w:r>
      <w:r w:rsidRPr="005C296B">
        <w:rPr>
          <w:lang w:val="ka-GE"/>
        </w:rPr>
        <w:t xml:space="preserve"> </w:t>
      </w:r>
      <w:r w:rsidRPr="005C296B">
        <w:rPr>
          <w:rFonts w:ascii="Sylfaen" w:hAnsi="Sylfaen" w:cs="Sylfaen"/>
          <w:lang w:val="ka-GE"/>
        </w:rPr>
        <w:t>იყოს</w:t>
      </w:r>
      <w:r w:rsidRPr="005C296B">
        <w:rPr>
          <w:lang w:val="ka-GE"/>
        </w:rPr>
        <w:t xml:space="preserve"> </w:t>
      </w:r>
      <w:r w:rsidRPr="005C296B">
        <w:rPr>
          <w:rFonts w:ascii="Sylfaen" w:hAnsi="Sylfaen" w:cs="Sylfaen"/>
          <w:lang w:val="ka-GE"/>
        </w:rPr>
        <w:t>სამსხვრევ</w:t>
      </w:r>
      <w:r w:rsidRPr="005C296B">
        <w:rPr>
          <w:lang w:val="ka-GE"/>
        </w:rPr>
        <w:t>-</w:t>
      </w:r>
      <w:r w:rsidRPr="005C296B">
        <w:rPr>
          <w:rFonts w:ascii="Sylfaen" w:hAnsi="Sylfaen" w:cs="Sylfaen"/>
          <w:lang w:val="ka-GE"/>
        </w:rPr>
        <w:t>დამხარისხებელი</w:t>
      </w:r>
      <w:r w:rsidRPr="005C296B">
        <w:rPr>
          <w:lang w:val="ka-GE"/>
        </w:rPr>
        <w:t xml:space="preserve"> </w:t>
      </w:r>
      <w:r w:rsidRPr="005C296B">
        <w:rPr>
          <w:rFonts w:ascii="Sylfaen" w:hAnsi="Sylfaen" w:cs="Sylfaen"/>
          <w:lang w:val="ka-GE"/>
        </w:rPr>
        <w:t>საამქრო</w:t>
      </w:r>
      <w:r w:rsidRPr="005C296B">
        <w:rPr>
          <w:lang w:val="ka-GE"/>
        </w:rPr>
        <w:t xml:space="preserve">, </w:t>
      </w:r>
      <w:r w:rsidRPr="005C296B">
        <w:rPr>
          <w:rFonts w:ascii="Sylfaen" w:hAnsi="Sylfaen" w:cs="Sylfaen"/>
          <w:lang w:val="ka-GE"/>
        </w:rPr>
        <w:t>ბეტონის</w:t>
      </w:r>
      <w:r w:rsidRPr="005C296B">
        <w:rPr>
          <w:lang w:val="ka-GE"/>
        </w:rPr>
        <w:t xml:space="preserve"> </w:t>
      </w:r>
      <w:r w:rsidRPr="005C296B">
        <w:rPr>
          <w:rFonts w:ascii="Sylfaen" w:hAnsi="Sylfaen" w:cs="Sylfaen"/>
          <w:lang w:val="ka-GE"/>
        </w:rPr>
        <w:t>კვანძი</w:t>
      </w:r>
      <w:r w:rsidRPr="005C296B">
        <w:rPr>
          <w:lang w:val="ka-GE"/>
        </w:rPr>
        <w:t xml:space="preserve">. </w:t>
      </w:r>
      <w:r w:rsidRPr="005C296B">
        <w:rPr>
          <w:rFonts w:ascii="Sylfaen" w:hAnsi="Sylfaen" w:cs="Sylfaen"/>
          <w:lang w:val="ka-GE"/>
        </w:rPr>
        <w:t>მათი</w:t>
      </w:r>
      <w:r w:rsidRPr="005C296B">
        <w:rPr>
          <w:lang w:val="ka-GE"/>
        </w:rPr>
        <w:t xml:space="preserve"> </w:t>
      </w:r>
      <w:r w:rsidRPr="005C296B">
        <w:rPr>
          <w:rFonts w:ascii="Sylfaen" w:hAnsi="Sylfaen" w:cs="Sylfaen"/>
          <w:lang w:val="ka-GE"/>
        </w:rPr>
        <w:t>ფუნქციონირების</w:t>
      </w:r>
      <w:r w:rsidRPr="005C296B">
        <w:rPr>
          <w:lang w:val="ka-GE"/>
        </w:rPr>
        <w:t xml:space="preserve"> </w:t>
      </w:r>
      <w:r w:rsidRPr="005C296B">
        <w:rPr>
          <w:rFonts w:ascii="Sylfaen" w:hAnsi="Sylfaen" w:cs="Sylfaen"/>
          <w:lang w:val="ka-GE"/>
        </w:rPr>
        <w:t>შემთხვევაში</w:t>
      </w:r>
      <w:r w:rsidRPr="005C296B">
        <w:rPr>
          <w:lang w:val="ka-GE"/>
        </w:rPr>
        <w:t xml:space="preserve"> </w:t>
      </w:r>
      <w:r w:rsidRPr="005C296B">
        <w:rPr>
          <w:rFonts w:ascii="Sylfaen" w:hAnsi="Sylfaen" w:cs="Sylfaen"/>
          <w:lang w:val="ka-GE"/>
        </w:rPr>
        <w:t>ატმოსფერული</w:t>
      </w:r>
      <w:r w:rsidRPr="005C296B">
        <w:rPr>
          <w:lang w:val="ka-GE"/>
        </w:rPr>
        <w:t xml:space="preserve"> </w:t>
      </w:r>
      <w:r w:rsidRPr="005C296B">
        <w:rPr>
          <w:rFonts w:ascii="Sylfaen" w:hAnsi="Sylfaen" w:cs="Sylfaen"/>
          <w:lang w:val="ka-GE"/>
        </w:rPr>
        <w:t>ჰაერის</w:t>
      </w:r>
      <w:r w:rsidRPr="005C296B">
        <w:rPr>
          <w:lang w:val="ka-GE"/>
        </w:rPr>
        <w:t xml:space="preserve"> </w:t>
      </w:r>
      <w:r w:rsidRPr="005C296B">
        <w:rPr>
          <w:rFonts w:ascii="Sylfaen" w:hAnsi="Sylfaen" w:cs="Sylfaen"/>
          <w:lang w:val="ka-GE"/>
        </w:rPr>
        <w:t>მთავარი</w:t>
      </w:r>
      <w:r w:rsidRPr="005C296B">
        <w:rPr>
          <w:lang w:val="ka-GE"/>
        </w:rPr>
        <w:t xml:space="preserve"> </w:t>
      </w:r>
      <w:r w:rsidRPr="005C296B">
        <w:rPr>
          <w:rFonts w:ascii="Sylfaen" w:hAnsi="Sylfaen" w:cs="Sylfaen"/>
          <w:lang w:val="ka-GE"/>
        </w:rPr>
        <w:t>დამაბინძურებელი</w:t>
      </w:r>
      <w:r w:rsidRPr="005C296B">
        <w:rPr>
          <w:lang w:val="ka-GE"/>
        </w:rPr>
        <w:t xml:space="preserve"> </w:t>
      </w:r>
      <w:r w:rsidRPr="005C296B">
        <w:rPr>
          <w:rFonts w:ascii="Sylfaen" w:hAnsi="Sylfaen" w:cs="Sylfaen"/>
          <w:lang w:val="ka-GE"/>
        </w:rPr>
        <w:t>იქნება</w:t>
      </w:r>
      <w:r w:rsidRPr="005C296B">
        <w:rPr>
          <w:lang w:val="ka-GE"/>
        </w:rPr>
        <w:t xml:space="preserve"> </w:t>
      </w:r>
      <w:r w:rsidRPr="005C296B">
        <w:rPr>
          <w:rFonts w:ascii="Sylfaen" w:hAnsi="Sylfaen" w:cs="Sylfaen"/>
          <w:lang w:val="ka-GE"/>
        </w:rPr>
        <w:t>არაორგანული</w:t>
      </w:r>
      <w:r w:rsidRPr="005C296B">
        <w:rPr>
          <w:lang w:val="ka-GE"/>
        </w:rPr>
        <w:t xml:space="preserve"> </w:t>
      </w:r>
      <w:r w:rsidRPr="005C296B">
        <w:rPr>
          <w:rFonts w:ascii="Sylfaen" w:hAnsi="Sylfaen" w:cs="Sylfaen"/>
          <w:lang w:val="ka-GE"/>
        </w:rPr>
        <w:t>მტვერი</w:t>
      </w:r>
      <w:r w:rsidRPr="005C296B">
        <w:rPr>
          <w:lang w:val="ka-GE"/>
        </w:rPr>
        <w:t xml:space="preserve">. </w:t>
      </w:r>
      <w:r w:rsidRPr="005C296B">
        <w:rPr>
          <w:rFonts w:ascii="Sylfaen" w:hAnsi="Sylfaen" w:cs="Sylfaen"/>
          <w:lang w:val="ka-GE"/>
        </w:rPr>
        <w:t>ატმოსფერულ</w:t>
      </w:r>
      <w:r w:rsidRPr="005C296B">
        <w:rPr>
          <w:lang w:val="ka-GE"/>
        </w:rPr>
        <w:t xml:space="preserve"> </w:t>
      </w:r>
      <w:r w:rsidRPr="005C296B">
        <w:rPr>
          <w:rFonts w:ascii="Sylfaen" w:hAnsi="Sylfaen" w:cs="Sylfaen"/>
          <w:lang w:val="ka-GE"/>
        </w:rPr>
        <w:t>ჰაერში</w:t>
      </w:r>
      <w:r w:rsidRPr="005C296B">
        <w:rPr>
          <w:lang w:val="ka-GE"/>
        </w:rPr>
        <w:t xml:space="preserve"> </w:t>
      </w:r>
      <w:r w:rsidRPr="005C296B">
        <w:rPr>
          <w:rFonts w:ascii="Sylfaen" w:hAnsi="Sylfaen" w:cs="Sylfaen"/>
          <w:lang w:val="ka-GE"/>
        </w:rPr>
        <w:t>მავნე</w:t>
      </w:r>
      <w:r w:rsidRPr="005C296B">
        <w:rPr>
          <w:lang w:val="ka-GE"/>
        </w:rPr>
        <w:t xml:space="preserve"> </w:t>
      </w:r>
      <w:r w:rsidRPr="005C296B">
        <w:rPr>
          <w:rFonts w:ascii="Sylfaen" w:hAnsi="Sylfaen" w:cs="Sylfaen"/>
          <w:lang w:val="ka-GE"/>
        </w:rPr>
        <w:t>ნივთიერებათა</w:t>
      </w:r>
      <w:r w:rsidRPr="005C296B">
        <w:rPr>
          <w:lang w:val="ka-GE"/>
        </w:rPr>
        <w:t xml:space="preserve"> </w:t>
      </w:r>
      <w:r w:rsidRPr="005C296B">
        <w:rPr>
          <w:rFonts w:ascii="Sylfaen" w:hAnsi="Sylfaen" w:cs="Sylfaen"/>
          <w:lang w:val="ka-GE"/>
        </w:rPr>
        <w:t>ემისიების</w:t>
      </w:r>
      <w:r w:rsidRPr="005C296B">
        <w:rPr>
          <w:lang w:val="ka-GE"/>
        </w:rPr>
        <w:t xml:space="preserve"> </w:t>
      </w:r>
      <w:r w:rsidRPr="005C296B">
        <w:rPr>
          <w:rFonts w:ascii="Sylfaen" w:hAnsi="Sylfaen" w:cs="Sylfaen"/>
          <w:lang w:val="ka-GE"/>
        </w:rPr>
        <w:t>მოძრავი</w:t>
      </w:r>
      <w:r w:rsidRPr="005C296B">
        <w:rPr>
          <w:lang w:val="ka-GE"/>
        </w:rPr>
        <w:t xml:space="preserve"> </w:t>
      </w:r>
      <w:r w:rsidRPr="005C296B">
        <w:rPr>
          <w:rFonts w:ascii="Sylfaen" w:hAnsi="Sylfaen" w:cs="Sylfaen"/>
          <w:lang w:val="ka-GE"/>
        </w:rPr>
        <w:t>წყაროები</w:t>
      </w:r>
      <w:r w:rsidRPr="005C296B">
        <w:rPr>
          <w:lang w:val="ka-GE"/>
        </w:rPr>
        <w:t xml:space="preserve"> </w:t>
      </w:r>
      <w:r w:rsidRPr="005C296B">
        <w:rPr>
          <w:rFonts w:ascii="Sylfaen" w:hAnsi="Sylfaen" w:cs="Sylfaen"/>
          <w:lang w:val="ka-GE"/>
        </w:rPr>
        <w:t>იქნება</w:t>
      </w:r>
      <w:r w:rsidRPr="005C296B">
        <w:rPr>
          <w:lang w:val="ka-GE"/>
        </w:rPr>
        <w:t xml:space="preserve"> </w:t>
      </w:r>
      <w:r w:rsidRPr="005C296B">
        <w:rPr>
          <w:rFonts w:ascii="Sylfaen" w:hAnsi="Sylfaen" w:cs="Sylfaen"/>
          <w:lang w:val="ka-GE"/>
        </w:rPr>
        <w:t>სამშენებლო</w:t>
      </w:r>
      <w:r w:rsidRPr="005C296B">
        <w:rPr>
          <w:lang w:val="ka-GE"/>
        </w:rPr>
        <w:t xml:space="preserve"> </w:t>
      </w:r>
      <w:r w:rsidRPr="005C296B">
        <w:rPr>
          <w:rFonts w:ascii="Sylfaen" w:hAnsi="Sylfaen" w:cs="Sylfaen"/>
          <w:lang w:val="ka-GE"/>
        </w:rPr>
        <w:t>ტექნიკა</w:t>
      </w:r>
      <w:r w:rsidRPr="005C296B">
        <w:rPr>
          <w:lang w:val="ka-GE"/>
        </w:rPr>
        <w:t xml:space="preserve"> </w:t>
      </w:r>
      <w:r w:rsidRPr="005C296B">
        <w:rPr>
          <w:rFonts w:ascii="Sylfaen" w:hAnsi="Sylfaen" w:cs="Sylfaen"/>
          <w:lang w:val="ka-GE"/>
        </w:rPr>
        <w:t>და</w:t>
      </w:r>
      <w:r w:rsidRPr="005C296B">
        <w:rPr>
          <w:lang w:val="ka-GE"/>
        </w:rPr>
        <w:t xml:space="preserve"> </w:t>
      </w:r>
      <w:r w:rsidRPr="005C296B">
        <w:rPr>
          <w:rFonts w:ascii="Sylfaen" w:hAnsi="Sylfaen" w:cs="Sylfaen"/>
          <w:lang w:val="ka-GE"/>
        </w:rPr>
        <w:t>სატრანსპორტო</w:t>
      </w:r>
      <w:r w:rsidRPr="005C296B">
        <w:rPr>
          <w:lang w:val="ka-GE"/>
        </w:rPr>
        <w:t xml:space="preserve"> </w:t>
      </w:r>
      <w:r w:rsidRPr="005C296B">
        <w:rPr>
          <w:rFonts w:ascii="Sylfaen" w:hAnsi="Sylfaen" w:cs="Sylfaen"/>
          <w:lang w:val="ka-GE"/>
        </w:rPr>
        <w:t>საშუალებები</w:t>
      </w:r>
      <w:r w:rsidRPr="005C296B">
        <w:rPr>
          <w:lang w:val="ka-GE"/>
        </w:rPr>
        <w:t xml:space="preserve"> (</w:t>
      </w:r>
      <w:r w:rsidRPr="005C296B">
        <w:rPr>
          <w:rFonts w:ascii="Sylfaen" w:hAnsi="Sylfaen" w:cs="Sylfaen"/>
          <w:lang w:val="ka-GE"/>
        </w:rPr>
        <w:t>ბულდოზერები</w:t>
      </w:r>
      <w:r w:rsidRPr="005C296B">
        <w:rPr>
          <w:lang w:val="ka-GE"/>
        </w:rPr>
        <w:t xml:space="preserve">, </w:t>
      </w:r>
      <w:r w:rsidRPr="005C296B">
        <w:rPr>
          <w:rFonts w:ascii="Sylfaen" w:hAnsi="Sylfaen" w:cs="Sylfaen"/>
          <w:lang w:val="ka-GE"/>
        </w:rPr>
        <w:t>ექსკავატორები</w:t>
      </w:r>
      <w:r w:rsidRPr="005C296B">
        <w:rPr>
          <w:lang w:val="ka-GE"/>
        </w:rPr>
        <w:t xml:space="preserve">, </w:t>
      </w:r>
      <w:r w:rsidRPr="005C296B">
        <w:rPr>
          <w:rFonts w:ascii="Sylfaen" w:hAnsi="Sylfaen" w:cs="Sylfaen"/>
          <w:lang w:val="ka-GE"/>
        </w:rPr>
        <w:t>სატვირთო</w:t>
      </w:r>
      <w:r w:rsidRPr="005C296B">
        <w:rPr>
          <w:lang w:val="ka-GE"/>
        </w:rPr>
        <w:t xml:space="preserve"> </w:t>
      </w:r>
      <w:r w:rsidRPr="005C296B">
        <w:rPr>
          <w:rFonts w:ascii="Sylfaen" w:hAnsi="Sylfaen" w:cs="Sylfaen"/>
          <w:lang w:val="ka-GE"/>
        </w:rPr>
        <w:t>მანქანები</w:t>
      </w:r>
      <w:r w:rsidRPr="005C296B">
        <w:rPr>
          <w:lang w:val="ka-GE"/>
        </w:rPr>
        <w:t xml:space="preserve"> </w:t>
      </w:r>
      <w:r w:rsidRPr="005C296B">
        <w:rPr>
          <w:rFonts w:ascii="Sylfaen" w:hAnsi="Sylfaen" w:cs="Sylfaen"/>
          <w:lang w:val="ka-GE"/>
        </w:rPr>
        <w:t>და</w:t>
      </w:r>
      <w:r w:rsidRPr="005C296B">
        <w:rPr>
          <w:lang w:val="ka-GE"/>
        </w:rPr>
        <w:t xml:space="preserve"> </w:t>
      </w:r>
      <w:r w:rsidRPr="005C296B">
        <w:rPr>
          <w:rFonts w:ascii="Sylfaen" w:hAnsi="Sylfaen" w:cs="Sylfaen"/>
          <w:lang w:val="ka-GE"/>
        </w:rPr>
        <w:t>სხვ</w:t>
      </w:r>
      <w:r w:rsidRPr="005C296B">
        <w:rPr>
          <w:lang w:val="ka-GE"/>
        </w:rPr>
        <w:t xml:space="preserve">.). </w:t>
      </w:r>
      <w:r w:rsidRPr="005C296B">
        <w:rPr>
          <w:rFonts w:ascii="Sylfaen" w:hAnsi="Sylfaen" w:cs="Sylfaen"/>
          <w:lang w:val="ka-GE"/>
        </w:rPr>
        <w:t>არაორგანული</w:t>
      </w:r>
      <w:r w:rsidRPr="005C296B">
        <w:rPr>
          <w:lang w:val="ka-GE"/>
        </w:rPr>
        <w:t xml:space="preserve"> </w:t>
      </w:r>
      <w:r w:rsidRPr="005C296B">
        <w:rPr>
          <w:rFonts w:ascii="Sylfaen" w:hAnsi="Sylfaen" w:cs="Sylfaen"/>
          <w:lang w:val="ka-GE"/>
        </w:rPr>
        <w:t>მტვერის</w:t>
      </w:r>
      <w:r w:rsidRPr="005C296B">
        <w:rPr>
          <w:lang w:val="ka-GE"/>
        </w:rPr>
        <w:t xml:space="preserve"> </w:t>
      </w:r>
      <w:r w:rsidRPr="005C296B">
        <w:rPr>
          <w:rFonts w:ascii="Sylfaen" w:hAnsi="Sylfaen" w:cs="Sylfaen"/>
          <w:lang w:val="ka-GE"/>
        </w:rPr>
        <w:t>გაფრქვევას</w:t>
      </w:r>
      <w:r w:rsidRPr="005C296B">
        <w:rPr>
          <w:lang w:val="ka-GE"/>
        </w:rPr>
        <w:t xml:space="preserve"> </w:t>
      </w:r>
      <w:r w:rsidRPr="005C296B">
        <w:rPr>
          <w:rFonts w:ascii="Sylfaen" w:hAnsi="Sylfaen" w:cs="Sylfaen"/>
          <w:lang w:val="ka-GE"/>
        </w:rPr>
        <w:t>ასევე</w:t>
      </w:r>
      <w:r w:rsidRPr="005C296B">
        <w:rPr>
          <w:lang w:val="ka-GE"/>
        </w:rPr>
        <w:t xml:space="preserve"> </w:t>
      </w:r>
      <w:r w:rsidRPr="005C296B">
        <w:rPr>
          <w:rFonts w:ascii="Sylfaen" w:hAnsi="Sylfaen" w:cs="Sylfaen"/>
          <w:lang w:val="ka-GE"/>
        </w:rPr>
        <w:t>ადგილი</w:t>
      </w:r>
      <w:r w:rsidRPr="005C296B">
        <w:rPr>
          <w:lang w:val="ka-GE"/>
        </w:rPr>
        <w:t xml:space="preserve"> </w:t>
      </w:r>
      <w:r w:rsidRPr="005C296B">
        <w:rPr>
          <w:rFonts w:ascii="Sylfaen" w:hAnsi="Sylfaen" w:cs="Sylfaen"/>
          <w:lang w:val="ka-GE"/>
        </w:rPr>
        <w:t>ექნება</w:t>
      </w:r>
      <w:r w:rsidRPr="005C296B">
        <w:rPr>
          <w:lang w:val="ka-GE"/>
        </w:rPr>
        <w:t xml:space="preserve"> </w:t>
      </w:r>
      <w:r w:rsidRPr="005C296B">
        <w:rPr>
          <w:rFonts w:ascii="Sylfaen" w:hAnsi="Sylfaen" w:cs="Sylfaen"/>
          <w:lang w:val="ka-GE"/>
        </w:rPr>
        <w:t>ინტენსიური</w:t>
      </w:r>
      <w:r w:rsidRPr="005C296B">
        <w:rPr>
          <w:lang w:val="ka-GE"/>
        </w:rPr>
        <w:t xml:space="preserve"> </w:t>
      </w:r>
      <w:r w:rsidRPr="005C296B">
        <w:rPr>
          <w:rFonts w:ascii="Sylfaen" w:hAnsi="Sylfaen" w:cs="Sylfaen"/>
          <w:lang w:val="ka-GE"/>
        </w:rPr>
        <w:t>მიწის</w:t>
      </w:r>
      <w:r w:rsidRPr="005C296B">
        <w:rPr>
          <w:lang w:val="ka-GE"/>
        </w:rPr>
        <w:t xml:space="preserve"> </w:t>
      </w:r>
      <w:r w:rsidRPr="005C296B">
        <w:rPr>
          <w:rFonts w:ascii="Sylfaen" w:hAnsi="Sylfaen" w:cs="Sylfaen"/>
          <w:lang w:val="ka-GE"/>
        </w:rPr>
        <w:t>სამუშაოების</w:t>
      </w:r>
      <w:r w:rsidRPr="005C296B">
        <w:rPr>
          <w:lang w:val="ka-GE"/>
        </w:rPr>
        <w:t xml:space="preserve"> </w:t>
      </w:r>
      <w:r w:rsidRPr="005C296B">
        <w:rPr>
          <w:rFonts w:ascii="Sylfaen" w:hAnsi="Sylfaen" w:cs="Sylfaen"/>
          <w:lang w:val="ka-GE"/>
        </w:rPr>
        <w:t>და</w:t>
      </w:r>
      <w:r w:rsidRPr="005C296B">
        <w:rPr>
          <w:lang w:val="ka-GE"/>
        </w:rPr>
        <w:t xml:space="preserve"> </w:t>
      </w:r>
      <w:r w:rsidRPr="005C296B">
        <w:rPr>
          <w:rFonts w:ascii="Sylfaen" w:hAnsi="Sylfaen" w:cs="Sylfaen"/>
          <w:lang w:val="ka-GE"/>
        </w:rPr>
        <w:t>ინერტული</w:t>
      </w:r>
      <w:r w:rsidRPr="005C296B">
        <w:rPr>
          <w:lang w:val="ka-GE"/>
        </w:rPr>
        <w:t xml:space="preserve"> </w:t>
      </w:r>
      <w:r w:rsidRPr="005C296B">
        <w:rPr>
          <w:rFonts w:ascii="Sylfaen" w:hAnsi="Sylfaen" w:cs="Sylfaen"/>
          <w:lang w:val="ka-GE"/>
        </w:rPr>
        <w:t>მასალების</w:t>
      </w:r>
      <w:r w:rsidRPr="005C296B">
        <w:rPr>
          <w:lang w:val="ka-GE"/>
        </w:rPr>
        <w:t>/</w:t>
      </w:r>
      <w:r w:rsidRPr="005C296B">
        <w:rPr>
          <w:rFonts w:ascii="Sylfaen" w:hAnsi="Sylfaen" w:cs="Sylfaen"/>
          <w:lang w:val="ka-GE"/>
        </w:rPr>
        <w:t>ფუჭი</w:t>
      </w:r>
      <w:r w:rsidRPr="005C296B">
        <w:rPr>
          <w:lang w:val="ka-GE"/>
        </w:rPr>
        <w:t xml:space="preserve"> </w:t>
      </w:r>
      <w:r w:rsidRPr="005C296B">
        <w:rPr>
          <w:rFonts w:ascii="Sylfaen" w:hAnsi="Sylfaen" w:cs="Sylfaen"/>
          <w:lang w:val="ka-GE"/>
        </w:rPr>
        <w:t>ქანების</w:t>
      </w:r>
      <w:r w:rsidRPr="005C296B">
        <w:rPr>
          <w:lang w:val="ka-GE"/>
        </w:rPr>
        <w:t xml:space="preserve"> </w:t>
      </w:r>
      <w:r w:rsidRPr="005C296B">
        <w:rPr>
          <w:rFonts w:ascii="Sylfaen" w:hAnsi="Sylfaen" w:cs="Sylfaen"/>
          <w:lang w:val="ka-GE"/>
        </w:rPr>
        <w:t>მართვის</w:t>
      </w:r>
      <w:r w:rsidRPr="005C296B">
        <w:rPr>
          <w:lang w:val="ka-GE"/>
        </w:rPr>
        <w:t xml:space="preserve"> </w:t>
      </w:r>
      <w:r w:rsidRPr="005C296B">
        <w:rPr>
          <w:rFonts w:ascii="Sylfaen" w:hAnsi="Sylfaen" w:cs="Sylfaen"/>
          <w:lang w:val="ka-GE"/>
        </w:rPr>
        <w:t>პროცესში</w:t>
      </w:r>
      <w:r w:rsidRPr="005C296B">
        <w:rPr>
          <w:lang w:val="ka-GE"/>
        </w:rPr>
        <w:t xml:space="preserve">. </w:t>
      </w:r>
    </w:p>
    <w:p w14:paraId="432516D8" w14:textId="77777777" w:rsidR="00CD64B5" w:rsidRPr="005C296B" w:rsidRDefault="00CD64B5" w:rsidP="00CD64B5">
      <w:pPr>
        <w:spacing w:before="120" w:after="120"/>
        <w:rPr>
          <w:lang w:val="ka-GE"/>
        </w:rPr>
      </w:pPr>
      <w:r w:rsidRPr="005C296B">
        <w:rPr>
          <w:rFonts w:ascii="Sylfaen" w:eastAsiaTheme="minorEastAsia" w:hAnsi="Sylfaen" w:cs="Sylfaen"/>
          <w:lang w:val="ka-GE"/>
        </w:rPr>
        <w:t>სამშენებლო</w:t>
      </w:r>
      <w:r w:rsidRPr="005C296B">
        <w:rPr>
          <w:rFonts w:eastAsiaTheme="minorEastAsia"/>
          <w:lang w:val="ka-GE"/>
        </w:rPr>
        <w:t xml:space="preserve"> </w:t>
      </w:r>
      <w:r w:rsidRPr="005C296B">
        <w:rPr>
          <w:rFonts w:ascii="Sylfaen" w:eastAsiaTheme="minorEastAsia" w:hAnsi="Sylfaen" w:cs="Sylfaen"/>
          <w:lang w:val="ka-GE"/>
        </w:rPr>
        <w:t>სამუშაოების</w:t>
      </w:r>
      <w:r w:rsidRPr="005C296B">
        <w:rPr>
          <w:rFonts w:eastAsiaTheme="minorEastAsia"/>
          <w:lang w:val="ka-GE"/>
        </w:rPr>
        <w:t xml:space="preserve"> </w:t>
      </w:r>
      <w:r w:rsidRPr="005C296B">
        <w:rPr>
          <w:rFonts w:ascii="Sylfaen" w:eastAsiaTheme="minorEastAsia" w:hAnsi="Sylfaen" w:cs="Sylfaen"/>
          <w:lang w:val="ka-GE"/>
        </w:rPr>
        <w:t>მოსახურებისათვის</w:t>
      </w:r>
      <w:r w:rsidRPr="005C296B">
        <w:rPr>
          <w:rFonts w:eastAsiaTheme="minorEastAsia"/>
          <w:lang w:val="ka-GE"/>
        </w:rPr>
        <w:t xml:space="preserve"> </w:t>
      </w:r>
      <w:r w:rsidRPr="005C296B">
        <w:rPr>
          <w:rFonts w:ascii="Sylfaen" w:eastAsiaTheme="minorEastAsia" w:hAnsi="Sylfaen" w:cs="Sylfaen"/>
          <w:lang w:val="ka-GE"/>
        </w:rPr>
        <w:t>გამოყენებული</w:t>
      </w:r>
      <w:r w:rsidRPr="005C296B">
        <w:rPr>
          <w:rFonts w:eastAsiaTheme="minorEastAsia"/>
          <w:lang w:val="ka-GE"/>
        </w:rPr>
        <w:t xml:space="preserve"> </w:t>
      </w:r>
      <w:r w:rsidRPr="005C296B">
        <w:rPr>
          <w:rFonts w:ascii="Sylfaen" w:eastAsiaTheme="minorEastAsia" w:hAnsi="Sylfaen" w:cs="Sylfaen"/>
          <w:lang w:val="ka-GE"/>
        </w:rPr>
        <w:t>იქნება</w:t>
      </w:r>
      <w:r w:rsidRPr="005C296B">
        <w:rPr>
          <w:rFonts w:eastAsiaTheme="minorEastAsia"/>
          <w:lang w:val="ka-GE"/>
        </w:rPr>
        <w:t xml:space="preserve"> </w:t>
      </w:r>
      <w:r w:rsidRPr="005C296B">
        <w:rPr>
          <w:rFonts w:ascii="Sylfaen" w:eastAsiaTheme="minorEastAsia" w:hAnsi="Sylfaen" w:cs="Sylfaen"/>
          <w:lang w:val="ka-GE"/>
        </w:rPr>
        <w:t>შესაბამისი</w:t>
      </w:r>
      <w:r w:rsidRPr="005C296B">
        <w:rPr>
          <w:rFonts w:eastAsiaTheme="minorEastAsia"/>
          <w:lang w:val="ka-GE"/>
        </w:rPr>
        <w:t xml:space="preserve"> </w:t>
      </w:r>
      <w:r w:rsidRPr="005C296B">
        <w:rPr>
          <w:rFonts w:ascii="Sylfaen" w:eastAsiaTheme="minorEastAsia" w:hAnsi="Sylfaen" w:cs="Sylfaen"/>
          <w:lang w:val="ka-GE"/>
        </w:rPr>
        <w:t>სამშენებლო</w:t>
      </w:r>
      <w:r w:rsidRPr="005C296B">
        <w:rPr>
          <w:rFonts w:eastAsiaTheme="minorEastAsia"/>
          <w:lang w:val="ka-GE"/>
        </w:rPr>
        <w:t xml:space="preserve"> </w:t>
      </w:r>
      <w:r w:rsidRPr="005C296B">
        <w:rPr>
          <w:rFonts w:ascii="Sylfaen" w:eastAsiaTheme="minorEastAsia" w:hAnsi="Sylfaen" w:cs="Sylfaen"/>
          <w:lang w:val="ka-GE"/>
        </w:rPr>
        <w:t>ინფრასტრუქტურა</w:t>
      </w:r>
      <w:r w:rsidRPr="005C296B">
        <w:rPr>
          <w:rFonts w:eastAsiaTheme="minorEastAsia"/>
          <w:lang w:val="ka-GE"/>
        </w:rPr>
        <w:t xml:space="preserve">, </w:t>
      </w:r>
      <w:r w:rsidRPr="005C296B">
        <w:rPr>
          <w:rFonts w:ascii="Sylfaen" w:eastAsiaTheme="minorEastAsia" w:hAnsi="Sylfaen" w:cs="Sylfaen"/>
          <w:lang w:val="ka-GE"/>
        </w:rPr>
        <w:t>რომელთა</w:t>
      </w:r>
      <w:r w:rsidRPr="005C296B">
        <w:rPr>
          <w:rFonts w:eastAsiaTheme="minorEastAsia"/>
          <w:lang w:val="ka-GE"/>
        </w:rPr>
        <w:t xml:space="preserve"> </w:t>
      </w:r>
      <w:r w:rsidRPr="005C296B">
        <w:rPr>
          <w:rFonts w:ascii="Sylfaen" w:eastAsiaTheme="minorEastAsia" w:hAnsi="Sylfaen" w:cs="Sylfaen"/>
          <w:lang w:val="ka-GE"/>
        </w:rPr>
        <w:t>მოწყობა</w:t>
      </w:r>
      <w:r w:rsidRPr="005C296B">
        <w:rPr>
          <w:rFonts w:eastAsiaTheme="minorEastAsia"/>
          <w:lang w:val="ka-GE"/>
        </w:rPr>
        <w:t xml:space="preserve"> </w:t>
      </w:r>
      <w:r w:rsidRPr="005C296B">
        <w:rPr>
          <w:rFonts w:ascii="Sylfaen" w:eastAsiaTheme="minorEastAsia" w:hAnsi="Sylfaen" w:cs="Sylfaen"/>
          <w:lang w:val="ka-GE"/>
        </w:rPr>
        <w:t>დაგეგმილია</w:t>
      </w:r>
      <w:r w:rsidRPr="005C296B">
        <w:rPr>
          <w:rFonts w:eastAsiaTheme="minorEastAsia"/>
          <w:lang w:val="ka-GE"/>
        </w:rPr>
        <w:t xml:space="preserve"> </w:t>
      </w:r>
      <w:r w:rsidRPr="005C296B">
        <w:rPr>
          <w:rFonts w:ascii="Sylfaen" w:eastAsiaTheme="minorEastAsia" w:hAnsi="Sylfaen" w:cs="Sylfaen"/>
          <w:lang w:val="ka-GE"/>
        </w:rPr>
        <w:t>მშენებლობის</w:t>
      </w:r>
      <w:r w:rsidRPr="005C296B">
        <w:rPr>
          <w:rFonts w:eastAsiaTheme="minorEastAsia"/>
          <w:lang w:val="ka-GE"/>
        </w:rPr>
        <w:t xml:space="preserve"> </w:t>
      </w:r>
      <w:r w:rsidRPr="005C296B">
        <w:rPr>
          <w:rFonts w:ascii="Sylfaen" w:eastAsiaTheme="minorEastAsia" w:hAnsi="Sylfaen" w:cs="Sylfaen"/>
          <w:lang w:val="ka-GE"/>
        </w:rPr>
        <w:t>ფაზაზე</w:t>
      </w:r>
      <w:r w:rsidRPr="005C296B">
        <w:rPr>
          <w:rFonts w:eastAsiaTheme="minorEastAsia"/>
          <w:lang w:val="ka-GE"/>
        </w:rPr>
        <w:t xml:space="preserve">. </w:t>
      </w:r>
      <w:r w:rsidRPr="005C296B">
        <w:rPr>
          <w:rFonts w:ascii="Sylfaen" w:eastAsiaTheme="minorEastAsia" w:hAnsi="Sylfaen" w:cs="Sylfaen"/>
          <w:lang w:val="ka-GE"/>
        </w:rPr>
        <w:t>სამშენებლო</w:t>
      </w:r>
      <w:r w:rsidRPr="005C296B">
        <w:rPr>
          <w:rFonts w:eastAsiaTheme="minorEastAsia"/>
          <w:lang w:val="ka-GE"/>
        </w:rPr>
        <w:t xml:space="preserve"> </w:t>
      </w:r>
      <w:r w:rsidRPr="005C296B">
        <w:rPr>
          <w:rFonts w:ascii="Sylfaen" w:eastAsiaTheme="minorEastAsia" w:hAnsi="Sylfaen" w:cs="Sylfaen"/>
          <w:lang w:val="ka-GE"/>
        </w:rPr>
        <w:t>ინფრასტრუქტურა</w:t>
      </w:r>
      <w:r w:rsidRPr="005C296B">
        <w:rPr>
          <w:rFonts w:eastAsiaTheme="minorEastAsia"/>
          <w:lang w:val="ka-GE"/>
        </w:rPr>
        <w:t xml:space="preserve"> </w:t>
      </w:r>
      <w:r w:rsidRPr="005C296B">
        <w:rPr>
          <w:rFonts w:ascii="Sylfaen" w:eastAsiaTheme="minorEastAsia" w:hAnsi="Sylfaen" w:cs="Sylfaen"/>
          <w:lang w:val="ka-GE"/>
        </w:rPr>
        <w:t>მოიცავს</w:t>
      </w:r>
      <w:r w:rsidRPr="005C296B">
        <w:rPr>
          <w:rFonts w:eastAsiaTheme="minorEastAsia"/>
          <w:lang w:val="ka-GE"/>
        </w:rPr>
        <w:t xml:space="preserve">: </w:t>
      </w:r>
      <w:r w:rsidRPr="005C296B">
        <w:rPr>
          <w:rFonts w:ascii="Sylfaen" w:eastAsiaTheme="minorEastAsia" w:hAnsi="Sylfaen" w:cs="Sylfaen"/>
          <w:lang w:val="ka-GE"/>
        </w:rPr>
        <w:t>ბეტონის</w:t>
      </w:r>
      <w:r w:rsidRPr="005C296B">
        <w:rPr>
          <w:rFonts w:eastAsiaTheme="minorEastAsia"/>
          <w:lang w:val="ka-GE"/>
        </w:rPr>
        <w:t xml:space="preserve"> </w:t>
      </w:r>
      <w:r w:rsidRPr="005C296B">
        <w:rPr>
          <w:rFonts w:ascii="Sylfaen" w:eastAsiaTheme="minorEastAsia" w:hAnsi="Sylfaen" w:cs="Sylfaen"/>
          <w:lang w:val="ka-GE"/>
        </w:rPr>
        <w:t>კვანძს</w:t>
      </w:r>
      <w:r w:rsidRPr="005C296B">
        <w:rPr>
          <w:rFonts w:eastAsiaTheme="minorEastAsia"/>
          <w:lang w:val="ka-GE"/>
        </w:rPr>
        <w:t xml:space="preserve">, </w:t>
      </w:r>
      <w:r w:rsidRPr="005C296B">
        <w:rPr>
          <w:rFonts w:ascii="Sylfaen" w:eastAsiaTheme="minorEastAsia" w:hAnsi="Sylfaen" w:cs="Sylfaen"/>
          <w:lang w:val="ka-GE"/>
        </w:rPr>
        <w:t>საწვავით</w:t>
      </w:r>
      <w:r w:rsidRPr="005C296B">
        <w:rPr>
          <w:rFonts w:eastAsiaTheme="minorEastAsia"/>
          <w:lang w:val="ka-GE"/>
        </w:rPr>
        <w:t xml:space="preserve"> </w:t>
      </w:r>
      <w:r w:rsidRPr="005C296B">
        <w:rPr>
          <w:rFonts w:ascii="Sylfaen" w:eastAsiaTheme="minorEastAsia" w:hAnsi="Sylfaen" w:cs="Sylfaen"/>
          <w:lang w:val="ka-GE"/>
        </w:rPr>
        <w:t>გასამართ</w:t>
      </w:r>
      <w:r w:rsidRPr="005C296B">
        <w:rPr>
          <w:rFonts w:eastAsiaTheme="minorEastAsia"/>
          <w:lang w:val="ka-GE"/>
        </w:rPr>
        <w:t xml:space="preserve"> </w:t>
      </w:r>
      <w:r w:rsidRPr="005C296B">
        <w:rPr>
          <w:rFonts w:ascii="Sylfaen" w:eastAsiaTheme="minorEastAsia" w:hAnsi="Sylfaen" w:cs="Sylfaen"/>
          <w:lang w:val="ka-GE"/>
        </w:rPr>
        <w:t>პოსტს</w:t>
      </w:r>
      <w:r w:rsidRPr="005C296B">
        <w:rPr>
          <w:rFonts w:eastAsiaTheme="minorEastAsia"/>
          <w:lang w:val="ka-GE"/>
        </w:rPr>
        <w:t xml:space="preserve"> </w:t>
      </w:r>
      <w:r w:rsidRPr="005C296B">
        <w:rPr>
          <w:rFonts w:ascii="Sylfaen" w:eastAsiaTheme="minorEastAsia" w:hAnsi="Sylfaen" w:cs="Sylfaen"/>
          <w:lang w:val="ka-GE"/>
        </w:rPr>
        <w:t>შესაბამისი</w:t>
      </w:r>
      <w:r w:rsidRPr="005C296B">
        <w:rPr>
          <w:rFonts w:eastAsiaTheme="minorEastAsia"/>
          <w:lang w:val="ka-GE"/>
        </w:rPr>
        <w:t xml:space="preserve"> </w:t>
      </w:r>
      <w:r w:rsidRPr="005C296B">
        <w:rPr>
          <w:rFonts w:ascii="Sylfaen" w:eastAsiaTheme="minorEastAsia" w:hAnsi="Sylfaen" w:cs="Sylfaen"/>
          <w:lang w:val="ka-GE"/>
        </w:rPr>
        <w:t>რეზერვუარებით</w:t>
      </w:r>
      <w:r w:rsidRPr="005C296B">
        <w:rPr>
          <w:rFonts w:eastAsiaTheme="minorEastAsia"/>
          <w:lang w:val="ka-GE"/>
        </w:rPr>
        <w:t xml:space="preserve">, </w:t>
      </w:r>
      <w:r w:rsidRPr="005C296B">
        <w:rPr>
          <w:rFonts w:ascii="Sylfaen" w:eastAsiaTheme="minorEastAsia" w:hAnsi="Sylfaen" w:cs="Sylfaen"/>
          <w:lang w:val="ka-GE"/>
        </w:rPr>
        <w:t>საშემდუღებლო</w:t>
      </w:r>
      <w:r w:rsidRPr="005C296B">
        <w:rPr>
          <w:rFonts w:eastAsiaTheme="minorEastAsia"/>
          <w:lang w:val="ka-GE"/>
        </w:rPr>
        <w:t xml:space="preserve"> </w:t>
      </w:r>
      <w:r w:rsidRPr="005C296B">
        <w:rPr>
          <w:rFonts w:ascii="Sylfaen" w:eastAsiaTheme="minorEastAsia" w:hAnsi="Sylfaen" w:cs="Sylfaen"/>
          <w:lang w:val="ka-GE"/>
        </w:rPr>
        <w:t>დანადგარებს</w:t>
      </w:r>
      <w:r w:rsidRPr="005C296B">
        <w:rPr>
          <w:rFonts w:eastAsiaTheme="minorEastAsia"/>
          <w:lang w:val="ka-GE"/>
        </w:rPr>
        <w:t xml:space="preserve">, </w:t>
      </w:r>
      <w:r w:rsidRPr="005C296B">
        <w:rPr>
          <w:rFonts w:ascii="Sylfaen" w:eastAsiaTheme="minorEastAsia" w:hAnsi="Sylfaen" w:cs="Sylfaen"/>
          <w:lang w:val="ka-GE"/>
        </w:rPr>
        <w:t>სამსხვრევ</w:t>
      </w:r>
      <w:r w:rsidRPr="005C296B">
        <w:rPr>
          <w:rFonts w:eastAsiaTheme="minorEastAsia"/>
          <w:lang w:val="ka-GE"/>
        </w:rPr>
        <w:t>–</w:t>
      </w:r>
      <w:r w:rsidRPr="005C296B">
        <w:rPr>
          <w:rFonts w:ascii="Sylfaen" w:eastAsiaTheme="minorEastAsia" w:hAnsi="Sylfaen" w:cs="Sylfaen"/>
          <w:lang w:val="ka-GE"/>
        </w:rPr>
        <w:t>დამხარისხებელ</w:t>
      </w:r>
      <w:r w:rsidRPr="005C296B">
        <w:rPr>
          <w:rFonts w:eastAsiaTheme="minorEastAsia"/>
          <w:lang w:val="ka-GE"/>
        </w:rPr>
        <w:t xml:space="preserve"> </w:t>
      </w:r>
      <w:r w:rsidRPr="005C296B">
        <w:rPr>
          <w:rFonts w:ascii="Sylfaen" w:eastAsiaTheme="minorEastAsia" w:hAnsi="Sylfaen" w:cs="Sylfaen"/>
          <w:lang w:val="ka-GE"/>
        </w:rPr>
        <w:t>საამქროს</w:t>
      </w:r>
      <w:r w:rsidRPr="005C296B">
        <w:rPr>
          <w:rFonts w:eastAsiaTheme="minorEastAsia"/>
          <w:lang w:val="ka-GE"/>
        </w:rPr>
        <w:t xml:space="preserve">, </w:t>
      </w:r>
      <w:r w:rsidRPr="005C296B">
        <w:rPr>
          <w:rFonts w:ascii="Sylfaen" w:eastAsiaTheme="minorEastAsia" w:hAnsi="Sylfaen" w:cs="Sylfaen"/>
          <w:lang w:val="ka-GE"/>
        </w:rPr>
        <w:t>სატვირთო</w:t>
      </w:r>
      <w:r w:rsidRPr="005C296B">
        <w:rPr>
          <w:rFonts w:eastAsiaTheme="minorEastAsia"/>
          <w:lang w:val="ka-GE"/>
        </w:rPr>
        <w:t xml:space="preserve"> </w:t>
      </w:r>
      <w:r w:rsidRPr="005C296B">
        <w:rPr>
          <w:rFonts w:ascii="Sylfaen" w:eastAsiaTheme="minorEastAsia" w:hAnsi="Sylfaen" w:cs="Sylfaen"/>
          <w:lang w:val="ka-GE"/>
        </w:rPr>
        <w:t>მანქანების</w:t>
      </w:r>
      <w:r w:rsidRPr="005C296B">
        <w:rPr>
          <w:rFonts w:eastAsiaTheme="minorEastAsia"/>
          <w:lang w:val="ka-GE"/>
        </w:rPr>
        <w:t xml:space="preserve"> </w:t>
      </w:r>
      <w:r w:rsidRPr="005C296B">
        <w:rPr>
          <w:rFonts w:ascii="Sylfaen" w:eastAsiaTheme="minorEastAsia" w:hAnsi="Sylfaen" w:cs="Sylfaen"/>
          <w:lang w:val="ka-GE"/>
        </w:rPr>
        <w:t>სადგომს</w:t>
      </w:r>
      <w:r w:rsidRPr="005C296B">
        <w:rPr>
          <w:rFonts w:eastAsiaTheme="minorEastAsia"/>
          <w:lang w:val="ka-GE"/>
        </w:rPr>
        <w:t xml:space="preserve">, </w:t>
      </w:r>
      <w:r w:rsidRPr="005C296B">
        <w:rPr>
          <w:rFonts w:ascii="Sylfaen" w:eastAsiaTheme="minorEastAsia" w:hAnsi="Sylfaen" w:cs="Sylfaen"/>
          <w:lang w:val="ka-GE"/>
        </w:rPr>
        <w:t>დიზელის</w:t>
      </w:r>
      <w:r w:rsidRPr="005C296B">
        <w:rPr>
          <w:rFonts w:eastAsiaTheme="minorEastAsia"/>
          <w:lang w:val="ka-GE"/>
        </w:rPr>
        <w:t xml:space="preserve"> </w:t>
      </w:r>
      <w:r w:rsidRPr="005C296B">
        <w:rPr>
          <w:rFonts w:ascii="Sylfaen" w:eastAsiaTheme="minorEastAsia" w:hAnsi="Sylfaen" w:cs="Sylfaen"/>
          <w:lang w:val="ka-GE"/>
        </w:rPr>
        <w:t>რეზერვუარებს</w:t>
      </w:r>
      <w:r w:rsidRPr="005C296B">
        <w:rPr>
          <w:rFonts w:eastAsiaTheme="minorEastAsia"/>
          <w:lang w:val="ka-GE"/>
        </w:rPr>
        <w:t xml:space="preserve"> </w:t>
      </w:r>
      <w:r w:rsidRPr="005C296B">
        <w:rPr>
          <w:rFonts w:ascii="Sylfaen" w:eastAsiaTheme="minorEastAsia" w:hAnsi="Sylfaen" w:cs="Sylfaen"/>
          <w:lang w:val="ka-GE"/>
        </w:rPr>
        <w:t>და</w:t>
      </w:r>
      <w:r w:rsidRPr="005C296B">
        <w:rPr>
          <w:rFonts w:eastAsiaTheme="minorEastAsia"/>
          <w:lang w:val="ka-GE"/>
        </w:rPr>
        <w:t xml:space="preserve"> </w:t>
      </w:r>
      <w:r w:rsidRPr="005C296B">
        <w:rPr>
          <w:rFonts w:ascii="Sylfaen" w:eastAsiaTheme="minorEastAsia" w:hAnsi="Sylfaen" w:cs="Sylfaen"/>
          <w:lang w:val="ka-GE"/>
        </w:rPr>
        <w:t>ლენტურ</w:t>
      </w:r>
      <w:r w:rsidRPr="005C296B">
        <w:rPr>
          <w:rFonts w:eastAsiaTheme="minorEastAsia"/>
          <w:lang w:val="ka-GE"/>
        </w:rPr>
        <w:t xml:space="preserve"> </w:t>
      </w:r>
      <w:r w:rsidRPr="005C296B">
        <w:rPr>
          <w:rFonts w:ascii="Sylfaen" w:eastAsiaTheme="minorEastAsia" w:hAnsi="Sylfaen" w:cs="Sylfaen"/>
          <w:lang w:val="ka-GE"/>
        </w:rPr>
        <w:t>ტრანსპორტიორს</w:t>
      </w:r>
      <w:r w:rsidRPr="005C296B">
        <w:rPr>
          <w:rFonts w:eastAsiaTheme="minorEastAsia"/>
          <w:lang w:val="ka-GE"/>
        </w:rPr>
        <w:t xml:space="preserve"> </w:t>
      </w:r>
      <w:r w:rsidRPr="005C296B">
        <w:rPr>
          <w:rFonts w:ascii="Sylfaen" w:eastAsiaTheme="minorEastAsia" w:hAnsi="Sylfaen" w:cs="Sylfaen"/>
          <w:lang w:val="ka-GE"/>
        </w:rPr>
        <w:t>და</w:t>
      </w:r>
      <w:r w:rsidRPr="005C296B">
        <w:rPr>
          <w:rFonts w:eastAsiaTheme="minorEastAsia"/>
          <w:lang w:val="ka-GE"/>
        </w:rPr>
        <w:t xml:space="preserve"> </w:t>
      </w:r>
      <w:r w:rsidRPr="005C296B">
        <w:rPr>
          <w:rFonts w:ascii="Sylfaen" w:eastAsiaTheme="minorEastAsia" w:hAnsi="Sylfaen" w:cs="Sylfaen"/>
          <w:lang w:val="ka-GE"/>
        </w:rPr>
        <w:t>სხვა</w:t>
      </w:r>
      <w:r w:rsidRPr="005C296B">
        <w:rPr>
          <w:rFonts w:eastAsiaTheme="minorEastAsia"/>
          <w:lang w:val="ka-GE"/>
        </w:rPr>
        <w:t xml:space="preserve">. </w:t>
      </w:r>
    </w:p>
    <w:p w14:paraId="00EA2F45" w14:textId="77777777" w:rsidR="00CD64B5" w:rsidRPr="005C296B" w:rsidRDefault="00CD64B5" w:rsidP="00CD64B5">
      <w:pPr>
        <w:spacing w:before="120" w:after="120"/>
        <w:rPr>
          <w:lang w:val="ka-GE"/>
        </w:rPr>
      </w:pPr>
      <w:r w:rsidRPr="005C296B">
        <w:rPr>
          <w:rFonts w:ascii="Sylfaen" w:eastAsiaTheme="minorEastAsia" w:hAnsi="Sylfaen" w:cs="Sylfaen"/>
          <w:lang w:val="ka-GE"/>
        </w:rPr>
        <w:t>აღნიშნულის</w:t>
      </w:r>
      <w:r w:rsidRPr="005C296B">
        <w:rPr>
          <w:rFonts w:eastAsiaTheme="minorEastAsia"/>
          <w:lang w:val="ka-GE"/>
        </w:rPr>
        <w:t xml:space="preserve"> </w:t>
      </w:r>
      <w:r w:rsidRPr="005C296B">
        <w:rPr>
          <w:rFonts w:ascii="Sylfaen" w:eastAsiaTheme="minorEastAsia" w:hAnsi="Sylfaen" w:cs="Sylfaen"/>
          <w:lang w:val="ka-GE"/>
        </w:rPr>
        <w:t>შესაბამისად</w:t>
      </w:r>
      <w:r w:rsidRPr="005C296B">
        <w:rPr>
          <w:rFonts w:eastAsiaTheme="minorEastAsia"/>
          <w:lang w:val="ka-GE"/>
        </w:rPr>
        <w:t xml:space="preserve"> </w:t>
      </w:r>
      <w:r w:rsidRPr="005C296B">
        <w:rPr>
          <w:rFonts w:ascii="Sylfaen" w:eastAsiaTheme="minorEastAsia" w:hAnsi="Sylfaen" w:cs="Sylfaen"/>
          <w:lang w:val="ka-GE"/>
        </w:rPr>
        <w:t>ატმოსფერული</w:t>
      </w:r>
      <w:r w:rsidRPr="005C296B">
        <w:rPr>
          <w:rFonts w:eastAsiaTheme="minorEastAsia"/>
          <w:lang w:val="ka-GE"/>
        </w:rPr>
        <w:t xml:space="preserve"> </w:t>
      </w:r>
      <w:r w:rsidRPr="005C296B">
        <w:rPr>
          <w:rFonts w:ascii="Sylfaen" w:eastAsiaTheme="minorEastAsia" w:hAnsi="Sylfaen" w:cs="Sylfaen"/>
          <w:lang w:val="ka-GE"/>
        </w:rPr>
        <w:t>ჰაერის</w:t>
      </w:r>
      <w:r w:rsidRPr="005C296B">
        <w:rPr>
          <w:rFonts w:eastAsiaTheme="minorEastAsia"/>
          <w:lang w:val="ka-GE"/>
        </w:rPr>
        <w:t xml:space="preserve"> </w:t>
      </w:r>
      <w:r w:rsidRPr="005C296B">
        <w:rPr>
          <w:rFonts w:ascii="Sylfaen" w:eastAsiaTheme="minorEastAsia" w:hAnsi="Sylfaen" w:cs="Sylfaen"/>
          <w:lang w:val="ka-GE"/>
        </w:rPr>
        <w:t>დაბინძურების</w:t>
      </w:r>
      <w:r w:rsidRPr="005C296B">
        <w:rPr>
          <w:rFonts w:eastAsiaTheme="minorEastAsia"/>
          <w:lang w:val="ka-GE"/>
        </w:rPr>
        <w:t xml:space="preserve"> </w:t>
      </w:r>
      <w:r w:rsidRPr="005C296B">
        <w:rPr>
          <w:rFonts w:ascii="Sylfaen" w:eastAsiaTheme="minorEastAsia" w:hAnsi="Sylfaen" w:cs="Sylfaen"/>
          <w:lang w:val="ka-GE"/>
        </w:rPr>
        <w:t>წყაროები</w:t>
      </w:r>
      <w:r w:rsidRPr="005C296B">
        <w:rPr>
          <w:rFonts w:eastAsiaTheme="minorEastAsia"/>
          <w:lang w:val="ka-GE"/>
        </w:rPr>
        <w:t xml:space="preserve"> </w:t>
      </w:r>
      <w:r w:rsidRPr="005C296B">
        <w:rPr>
          <w:rFonts w:ascii="Sylfaen" w:eastAsiaTheme="minorEastAsia" w:hAnsi="Sylfaen" w:cs="Sylfaen"/>
          <w:lang w:val="ka-GE"/>
        </w:rPr>
        <w:t>წარმოდგენილი</w:t>
      </w:r>
      <w:r w:rsidRPr="005C296B">
        <w:rPr>
          <w:rFonts w:eastAsiaTheme="minorEastAsia"/>
          <w:lang w:val="ka-GE"/>
        </w:rPr>
        <w:t xml:space="preserve"> </w:t>
      </w:r>
      <w:r w:rsidRPr="005C296B">
        <w:rPr>
          <w:rFonts w:ascii="Sylfaen" w:eastAsiaTheme="minorEastAsia" w:hAnsi="Sylfaen" w:cs="Sylfaen"/>
          <w:lang w:val="ka-GE"/>
        </w:rPr>
        <w:t>იქნება</w:t>
      </w:r>
      <w:r w:rsidRPr="005C296B">
        <w:rPr>
          <w:rFonts w:eastAsiaTheme="minorEastAsia"/>
          <w:lang w:val="ka-GE"/>
        </w:rPr>
        <w:t xml:space="preserve"> </w:t>
      </w:r>
      <w:r w:rsidRPr="005C296B">
        <w:rPr>
          <w:rFonts w:ascii="Sylfaen" w:eastAsiaTheme="minorEastAsia" w:hAnsi="Sylfaen" w:cs="Sylfaen"/>
          <w:lang w:val="ka-GE"/>
        </w:rPr>
        <w:t>ორგანიზებული</w:t>
      </w:r>
      <w:r w:rsidRPr="005C296B">
        <w:rPr>
          <w:rFonts w:eastAsiaTheme="minorEastAsia"/>
          <w:lang w:val="ka-GE"/>
        </w:rPr>
        <w:t xml:space="preserve"> </w:t>
      </w:r>
      <w:r w:rsidRPr="005C296B">
        <w:rPr>
          <w:rFonts w:ascii="Sylfaen" w:eastAsiaTheme="minorEastAsia" w:hAnsi="Sylfaen" w:cs="Sylfaen"/>
          <w:lang w:val="ka-GE"/>
        </w:rPr>
        <w:t>და</w:t>
      </w:r>
      <w:r w:rsidRPr="005C296B">
        <w:rPr>
          <w:rFonts w:eastAsiaTheme="minorEastAsia"/>
          <w:lang w:val="ka-GE"/>
        </w:rPr>
        <w:t xml:space="preserve"> </w:t>
      </w:r>
      <w:r w:rsidRPr="005C296B">
        <w:rPr>
          <w:rFonts w:ascii="Sylfaen" w:eastAsiaTheme="minorEastAsia" w:hAnsi="Sylfaen" w:cs="Sylfaen"/>
          <w:lang w:val="ka-GE"/>
        </w:rPr>
        <w:t>არაორგანიზებული</w:t>
      </w:r>
      <w:r w:rsidRPr="005C296B">
        <w:rPr>
          <w:rFonts w:eastAsiaTheme="minorEastAsia"/>
          <w:lang w:val="ka-GE"/>
        </w:rPr>
        <w:t xml:space="preserve"> </w:t>
      </w:r>
      <w:r w:rsidRPr="005C296B">
        <w:rPr>
          <w:rFonts w:ascii="Sylfaen" w:eastAsiaTheme="minorEastAsia" w:hAnsi="Sylfaen" w:cs="Sylfaen"/>
          <w:lang w:val="ka-GE"/>
        </w:rPr>
        <w:t>გაფრქვევის</w:t>
      </w:r>
      <w:r w:rsidRPr="005C296B">
        <w:rPr>
          <w:rFonts w:eastAsiaTheme="minorEastAsia"/>
          <w:lang w:val="ka-GE"/>
        </w:rPr>
        <w:t xml:space="preserve"> </w:t>
      </w:r>
      <w:r w:rsidRPr="005C296B">
        <w:rPr>
          <w:rFonts w:ascii="Sylfaen" w:eastAsiaTheme="minorEastAsia" w:hAnsi="Sylfaen" w:cs="Sylfaen"/>
          <w:lang w:val="ka-GE"/>
        </w:rPr>
        <w:t>წყაროების</w:t>
      </w:r>
      <w:r w:rsidRPr="005C296B">
        <w:rPr>
          <w:rFonts w:eastAsiaTheme="minorEastAsia"/>
          <w:lang w:val="ka-GE"/>
        </w:rPr>
        <w:t xml:space="preserve"> </w:t>
      </w:r>
      <w:r w:rsidRPr="005C296B">
        <w:rPr>
          <w:rFonts w:ascii="Sylfaen" w:eastAsiaTheme="minorEastAsia" w:hAnsi="Sylfaen" w:cs="Sylfaen"/>
          <w:lang w:val="ka-GE"/>
        </w:rPr>
        <w:t>სახით</w:t>
      </w:r>
      <w:r w:rsidRPr="005C296B">
        <w:rPr>
          <w:rFonts w:eastAsiaTheme="minorEastAsia"/>
          <w:lang w:val="ka-GE"/>
        </w:rPr>
        <w:t xml:space="preserve">. </w:t>
      </w:r>
      <w:r w:rsidRPr="005C296B">
        <w:rPr>
          <w:rFonts w:ascii="Sylfaen" w:eastAsiaTheme="minorEastAsia" w:hAnsi="Sylfaen" w:cs="Sylfaen"/>
          <w:lang w:val="ka-GE"/>
        </w:rPr>
        <w:t>სახელდობრ</w:t>
      </w:r>
      <w:r w:rsidRPr="005C296B">
        <w:rPr>
          <w:rFonts w:eastAsiaTheme="minorEastAsia"/>
          <w:lang w:val="ka-GE"/>
        </w:rPr>
        <w:t xml:space="preserve">: </w:t>
      </w:r>
      <w:r w:rsidRPr="005C296B">
        <w:rPr>
          <w:rFonts w:ascii="Sylfaen" w:eastAsiaTheme="minorEastAsia" w:hAnsi="Sylfaen" w:cs="Sylfaen"/>
          <w:lang w:val="ka-GE"/>
        </w:rPr>
        <w:t>ორგანიზებული</w:t>
      </w:r>
      <w:r w:rsidRPr="005C296B">
        <w:rPr>
          <w:rFonts w:eastAsiaTheme="minorEastAsia"/>
          <w:lang w:val="ka-GE"/>
        </w:rPr>
        <w:t xml:space="preserve"> </w:t>
      </w:r>
      <w:r w:rsidRPr="005C296B">
        <w:rPr>
          <w:rFonts w:ascii="Sylfaen" w:eastAsiaTheme="minorEastAsia" w:hAnsi="Sylfaen" w:cs="Sylfaen"/>
          <w:lang w:val="ka-GE"/>
        </w:rPr>
        <w:t>წყარო</w:t>
      </w:r>
      <w:r w:rsidRPr="005C296B">
        <w:rPr>
          <w:rFonts w:eastAsiaTheme="minorEastAsia"/>
          <w:lang w:val="ka-GE"/>
        </w:rPr>
        <w:t>-</w:t>
      </w:r>
      <w:r w:rsidRPr="005C296B">
        <w:rPr>
          <w:rFonts w:ascii="Sylfaen" w:eastAsiaTheme="minorEastAsia" w:hAnsi="Sylfaen" w:cs="Sylfaen"/>
          <w:lang w:val="ka-GE"/>
        </w:rPr>
        <w:t>ცემენტის</w:t>
      </w:r>
      <w:r w:rsidRPr="005C296B">
        <w:rPr>
          <w:rFonts w:eastAsiaTheme="minorEastAsia"/>
          <w:lang w:val="ka-GE"/>
        </w:rPr>
        <w:t xml:space="preserve"> </w:t>
      </w:r>
      <w:r w:rsidRPr="005C296B">
        <w:rPr>
          <w:rFonts w:ascii="Sylfaen" w:eastAsiaTheme="minorEastAsia" w:hAnsi="Sylfaen" w:cs="Sylfaen"/>
          <w:lang w:val="ka-GE"/>
        </w:rPr>
        <w:t>სილოსები</w:t>
      </w:r>
      <w:r w:rsidRPr="005C296B">
        <w:rPr>
          <w:rFonts w:eastAsiaTheme="minorEastAsia"/>
          <w:lang w:val="ka-GE"/>
        </w:rPr>
        <w:t xml:space="preserve"> </w:t>
      </w:r>
      <w:r w:rsidRPr="005C296B">
        <w:rPr>
          <w:rFonts w:ascii="Sylfaen" w:eastAsiaTheme="minorEastAsia" w:hAnsi="Sylfaen" w:cs="Sylfaen"/>
          <w:lang w:val="ka-GE"/>
        </w:rPr>
        <w:t>და</w:t>
      </w:r>
      <w:r w:rsidRPr="005C296B">
        <w:rPr>
          <w:rFonts w:eastAsiaTheme="minorEastAsia"/>
          <w:lang w:val="ka-GE"/>
        </w:rPr>
        <w:t xml:space="preserve"> </w:t>
      </w:r>
      <w:r w:rsidRPr="005C296B">
        <w:rPr>
          <w:rFonts w:ascii="Sylfaen" w:eastAsiaTheme="minorEastAsia" w:hAnsi="Sylfaen" w:cs="Sylfaen"/>
          <w:lang w:val="ka-GE"/>
        </w:rPr>
        <w:t>საწვავის</w:t>
      </w:r>
      <w:r w:rsidRPr="005C296B">
        <w:rPr>
          <w:rFonts w:eastAsiaTheme="minorEastAsia"/>
          <w:lang w:val="ka-GE"/>
        </w:rPr>
        <w:t xml:space="preserve"> </w:t>
      </w:r>
      <w:r w:rsidRPr="005C296B">
        <w:rPr>
          <w:rFonts w:ascii="Sylfaen" w:eastAsiaTheme="minorEastAsia" w:hAnsi="Sylfaen" w:cs="Sylfaen"/>
          <w:lang w:val="ka-GE"/>
        </w:rPr>
        <w:t>რეზერვუარები</w:t>
      </w:r>
      <w:r w:rsidRPr="005C296B">
        <w:rPr>
          <w:rFonts w:eastAsiaTheme="minorEastAsia"/>
          <w:lang w:val="ka-GE"/>
        </w:rPr>
        <w:t xml:space="preserve">. </w:t>
      </w:r>
      <w:r w:rsidRPr="005C296B">
        <w:rPr>
          <w:rFonts w:ascii="Sylfaen" w:eastAsiaTheme="minorEastAsia" w:hAnsi="Sylfaen" w:cs="Sylfaen"/>
          <w:lang w:val="ka-GE"/>
        </w:rPr>
        <w:t>არაორგანიზებული</w:t>
      </w:r>
      <w:r w:rsidRPr="005C296B">
        <w:rPr>
          <w:rFonts w:eastAsiaTheme="minorEastAsia"/>
          <w:lang w:val="ka-GE"/>
        </w:rPr>
        <w:t xml:space="preserve"> </w:t>
      </w:r>
      <w:r w:rsidRPr="005C296B">
        <w:rPr>
          <w:rFonts w:ascii="Sylfaen" w:eastAsiaTheme="minorEastAsia" w:hAnsi="Sylfaen" w:cs="Sylfaen"/>
          <w:lang w:val="ka-GE"/>
        </w:rPr>
        <w:t>სატვირთო</w:t>
      </w:r>
      <w:r w:rsidRPr="005C296B">
        <w:rPr>
          <w:rFonts w:eastAsiaTheme="minorEastAsia"/>
          <w:lang w:val="ka-GE"/>
        </w:rPr>
        <w:t xml:space="preserve"> </w:t>
      </w:r>
      <w:r w:rsidRPr="005C296B">
        <w:rPr>
          <w:rFonts w:ascii="Sylfaen" w:eastAsiaTheme="minorEastAsia" w:hAnsi="Sylfaen" w:cs="Sylfaen"/>
          <w:lang w:val="ka-GE"/>
        </w:rPr>
        <w:t>მანქანების</w:t>
      </w:r>
      <w:r w:rsidRPr="005C296B">
        <w:rPr>
          <w:rFonts w:eastAsiaTheme="minorEastAsia"/>
          <w:lang w:val="ka-GE"/>
        </w:rPr>
        <w:t xml:space="preserve"> </w:t>
      </w:r>
      <w:r w:rsidRPr="005C296B">
        <w:rPr>
          <w:rFonts w:ascii="Sylfaen" w:eastAsiaTheme="minorEastAsia" w:hAnsi="Sylfaen" w:cs="Sylfaen"/>
          <w:lang w:val="ka-GE"/>
        </w:rPr>
        <w:t>სადგომი</w:t>
      </w:r>
      <w:r w:rsidRPr="005C296B">
        <w:rPr>
          <w:rFonts w:eastAsiaTheme="minorEastAsia"/>
          <w:lang w:val="ka-GE"/>
        </w:rPr>
        <w:t xml:space="preserve">, </w:t>
      </w:r>
      <w:r w:rsidRPr="005C296B">
        <w:rPr>
          <w:rFonts w:ascii="Sylfaen" w:eastAsiaTheme="minorEastAsia" w:hAnsi="Sylfaen" w:cs="Sylfaen"/>
          <w:lang w:val="ka-GE"/>
        </w:rPr>
        <w:t>სამსხვრევ</w:t>
      </w:r>
      <w:r w:rsidRPr="005C296B">
        <w:rPr>
          <w:rFonts w:eastAsiaTheme="minorEastAsia"/>
          <w:lang w:val="ka-GE"/>
        </w:rPr>
        <w:t>–</w:t>
      </w:r>
      <w:r w:rsidRPr="005C296B">
        <w:rPr>
          <w:rFonts w:ascii="Sylfaen" w:eastAsiaTheme="minorEastAsia" w:hAnsi="Sylfaen" w:cs="Sylfaen"/>
          <w:lang w:val="ka-GE"/>
        </w:rPr>
        <w:t>დამხარისხებელ</w:t>
      </w:r>
      <w:r w:rsidRPr="005C296B">
        <w:rPr>
          <w:rFonts w:eastAsiaTheme="minorEastAsia"/>
          <w:lang w:val="ka-GE"/>
        </w:rPr>
        <w:t xml:space="preserve"> </w:t>
      </w:r>
      <w:r w:rsidRPr="005C296B">
        <w:rPr>
          <w:rFonts w:ascii="Sylfaen" w:eastAsiaTheme="minorEastAsia" w:hAnsi="Sylfaen" w:cs="Sylfaen"/>
          <w:lang w:val="ka-GE"/>
        </w:rPr>
        <w:t>საამქრო</w:t>
      </w:r>
      <w:r w:rsidRPr="005C296B">
        <w:rPr>
          <w:rFonts w:eastAsiaTheme="minorEastAsia"/>
          <w:lang w:val="ka-GE"/>
        </w:rPr>
        <w:t xml:space="preserve"> </w:t>
      </w:r>
      <w:r w:rsidRPr="005C296B">
        <w:rPr>
          <w:rFonts w:ascii="Sylfaen" w:eastAsiaTheme="minorEastAsia" w:hAnsi="Sylfaen" w:cs="Sylfaen"/>
          <w:lang w:val="ka-GE"/>
        </w:rPr>
        <w:t>და</w:t>
      </w:r>
      <w:r w:rsidRPr="005C296B">
        <w:rPr>
          <w:rFonts w:eastAsiaTheme="minorEastAsia"/>
          <w:lang w:val="ka-GE"/>
        </w:rPr>
        <w:t xml:space="preserve"> </w:t>
      </w:r>
      <w:r w:rsidRPr="005C296B">
        <w:rPr>
          <w:rFonts w:ascii="Sylfaen" w:eastAsiaTheme="minorEastAsia" w:hAnsi="Sylfaen" w:cs="Sylfaen"/>
          <w:lang w:val="ka-GE"/>
        </w:rPr>
        <w:t>ლენტური</w:t>
      </w:r>
      <w:r w:rsidRPr="005C296B">
        <w:rPr>
          <w:rFonts w:eastAsiaTheme="minorEastAsia"/>
          <w:lang w:val="ka-GE"/>
        </w:rPr>
        <w:t xml:space="preserve"> </w:t>
      </w:r>
      <w:r w:rsidRPr="005C296B">
        <w:rPr>
          <w:rFonts w:ascii="Sylfaen" w:eastAsiaTheme="minorEastAsia" w:hAnsi="Sylfaen" w:cs="Sylfaen"/>
          <w:lang w:val="ka-GE"/>
        </w:rPr>
        <w:t>ტრანსპორტირი</w:t>
      </w:r>
      <w:r w:rsidRPr="005C296B">
        <w:rPr>
          <w:rFonts w:eastAsiaTheme="minorEastAsia"/>
          <w:lang w:val="ka-GE"/>
        </w:rPr>
        <w:t xml:space="preserve">. </w:t>
      </w:r>
      <w:r w:rsidRPr="005C296B">
        <w:rPr>
          <w:rFonts w:ascii="Sylfaen" w:eastAsiaTheme="minorEastAsia" w:hAnsi="Sylfaen" w:cs="Sylfaen"/>
          <w:lang w:val="ka-GE"/>
        </w:rPr>
        <w:t>წინამდებარე</w:t>
      </w:r>
      <w:r w:rsidRPr="005C296B">
        <w:rPr>
          <w:rFonts w:eastAsiaTheme="minorEastAsia"/>
          <w:lang w:val="ka-GE"/>
        </w:rPr>
        <w:t xml:space="preserve"> </w:t>
      </w:r>
      <w:r w:rsidRPr="005C296B">
        <w:rPr>
          <w:rFonts w:ascii="Sylfaen" w:eastAsiaTheme="minorEastAsia" w:hAnsi="Sylfaen" w:cs="Sylfaen"/>
          <w:lang w:val="ka-GE"/>
        </w:rPr>
        <w:t>თავში</w:t>
      </w:r>
      <w:r w:rsidRPr="005C296B">
        <w:rPr>
          <w:rFonts w:eastAsiaTheme="minorEastAsia"/>
          <w:lang w:val="ka-GE"/>
        </w:rPr>
        <w:t xml:space="preserve"> </w:t>
      </w:r>
      <w:r w:rsidRPr="005C296B">
        <w:rPr>
          <w:rFonts w:ascii="Sylfaen" w:eastAsiaTheme="minorEastAsia" w:hAnsi="Sylfaen" w:cs="Sylfaen"/>
          <w:lang w:val="ka-GE"/>
        </w:rPr>
        <w:t>აღწერილია</w:t>
      </w:r>
      <w:r w:rsidRPr="005C296B">
        <w:rPr>
          <w:rFonts w:eastAsiaTheme="minorEastAsia"/>
          <w:lang w:val="ka-GE"/>
        </w:rPr>
        <w:t xml:space="preserve"> </w:t>
      </w:r>
      <w:r w:rsidRPr="005C296B">
        <w:rPr>
          <w:rFonts w:ascii="Sylfaen" w:eastAsiaTheme="minorEastAsia" w:hAnsi="Sylfaen" w:cs="Sylfaen"/>
          <w:lang w:val="ka-GE"/>
        </w:rPr>
        <w:t>ემისიები</w:t>
      </w:r>
      <w:r w:rsidRPr="005C296B">
        <w:rPr>
          <w:rFonts w:eastAsiaTheme="minorEastAsia"/>
          <w:lang w:val="ka-GE"/>
        </w:rPr>
        <w:t xml:space="preserve"> </w:t>
      </w:r>
      <w:r w:rsidRPr="005C296B">
        <w:rPr>
          <w:rFonts w:ascii="Sylfaen" w:eastAsiaTheme="minorEastAsia" w:hAnsi="Sylfaen" w:cs="Sylfaen"/>
          <w:lang w:val="ka-GE"/>
        </w:rPr>
        <w:t>დასახლებული</w:t>
      </w:r>
      <w:r w:rsidRPr="005C296B">
        <w:rPr>
          <w:rFonts w:eastAsiaTheme="minorEastAsia"/>
          <w:lang w:val="ka-GE"/>
        </w:rPr>
        <w:t xml:space="preserve"> </w:t>
      </w:r>
      <w:r w:rsidRPr="005C296B">
        <w:rPr>
          <w:rFonts w:ascii="Sylfaen" w:eastAsiaTheme="minorEastAsia" w:hAnsi="Sylfaen" w:cs="Sylfaen"/>
          <w:lang w:val="ka-GE"/>
        </w:rPr>
        <w:t>პუნქტის</w:t>
      </w:r>
      <w:r w:rsidRPr="005C296B">
        <w:rPr>
          <w:rFonts w:eastAsiaTheme="minorEastAsia"/>
          <w:lang w:val="ka-GE"/>
        </w:rPr>
        <w:t xml:space="preserve"> </w:t>
      </w:r>
      <w:r w:rsidRPr="005C296B">
        <w:rPr>
          <w:rFonts w:ascii="Sylfaen" w:eastAsiaTheme="minorEastAsia" w:hAnsi="Sylfaen" w:cs="Sylfaen"/>
          <w:lang w:val="ka-GE"/>
        </w:rPr>
        <w:t>მახლობლად</w:t>
      </w:r>
      <w:r w:rsidRPr="005C296B">
        <w:rPr>
          <w:rFonts w:eastAsiaTheme="minorEastAsia"/>
          <w:lang w:val="ka-GE"/>
        </w:rPr>
        <w:t xml:space="preserve"> </w:t>
      </w:r>
      <w:r w:rsidRPr="005C296B">
        <w:rPr>
          <w:rFonts w:ascii="Sylfaen" w:eastAsiaTheme="minorEastAsia" w:hAnsi="Sylfaen" w:cs="Sylfaen"/>
          <w:lang w:val="ka-GE"/>
        </w:rPr>
        <w:t>ბანაკის</w:t>
      </w:r>
      <w:r w:rsidRPr="005C296B">
        <w:rPr>
          <w:rFonts w:eastAsiaTheme="minorEastAsia"/>
          <w:lang w:val="ka-GE"/>
        </w:rPr>
        <w:t xml:space="preserve"> </w:t>
      </w:r>
      <w:r w:rsidRPr="005C296B">
        <w:rPr>
          <w:rFonts w:ascii="Sylfaen" w:eastAsiaTheme="minorEastAsia" w:hAnsi="Sylfaen" w:cs="Sylfaen"/>
          <w:lang w:val="ka-GE"/>
        </w:rPr>
        <w:t>განთავსების</w:t>
      </w:r>
      <w:r w:rsidRPr="005C296B">
        <w:rPr>
          <w:rFonts w:eastAsiaTheme="minorEastAsia"/>
          <w:lang w:val="ka-GE"/>
        </w:rPr>
        <w:t xml:space="preserve"> </w:t>
      </w:r>
      <w:r w:rsidRPr="005C296B">
        <w:rPr>
          <w:rFonts w:ascii="Sylfaen" w:eastAsiaTheme="minorEastAsia" w:hAnsi="Sylfaen" w:cs="Sylfaen"/>
          <w:lang w:val="ka-GE"/>
        </w:rPr>
        <w:t>შემთხვევაში</w:t>
      </w:r>
      <w:r w:rsidRPr="005C296B">
        <w:rPr>
          <w:rFonts w:eastAsiaTheme="minorEastAsia"/>
          <w:lang w:val="ka-GE"/>
        </w:rPr>
        <w:t xml:space="preserve"> (</w:t>
      </w:r>
      <w:r w:rsidRPr="005C296B">
        <w:rPr>
          <w:rFonts w:ascii="Sylfaen" w:eastAsiaTheme="minorEastAsia" w:hAnsi="Sylfaen" w:cs="Sylfaen"/>
          <w:lang w:val="ka-GE"/>
        </w:rPr>
        <w:t>უარესი</w:t>
      </w:r>
      <w:r w:rsidRPr="005C296B">
        <w:rPr>
          <w:rFonts w:eastAsiaTheme="minorEastAsia"/>
          <w:lang w:val="ka-GE"/>
        </w:rPr>
        <w:t xml:space="preserve"> </w:t>
      </w:r>
      <w:r w:rsidRPr="005C296B">
        <w:rPr>
          <w:rFonts w:ascii="Sylfaen" w:eastAsiaTheme="minorEastAsia" w:hAnsi="Sylfaen" w:cs="Sylfaen"/>
          <w:lang w:val="ka-GE"/>
        </w:rPr>
        <w:t>სცენარი</w:t>
      </w:r>
      <w:r w:rsidRPr="005C296B">
        <w:rPr>
          <w:rFonts w:eastAsiaTheme="minorEastAsia"/>
          <w:lang w:val="ka-GE"/>
        </w:rPr>
        <w:t xml:space="preserve">). </w:t>
      </w:r>
    </w:p>
    <w:p w14:paraId="09E7A22F" w14:textId="77777777" w:rsidR="00CD64B5" w:rsidRPr="005C296B" w:rsidRDefault="00CD64B5" w:rsidP="00CD64B5">
      <w:pPr>
        <w:spacing w:before="120" w:after="120"/>
        <w:rPr>
          <w:rFonts w:eastAsiaTheme="minorEastAsia"/>
          <w:b/>
          <w:lang w:val="ka-GE"/>
        </w:rPr>
      </w:pPr>
      <w:bookmarkStart w:id="242" w:name="_Toc392867787"/>
      <w:bookmarkStart w:id="243" w:name="_Toc419823068"/>
      <w:r w:rsidRPr="005C296B">
        <w:rPr>
          <w:rFonts w:ascii="Sylfaen" w:eastAsiaTheme="majorEastAsia" w:hAnsi="Sylfaen" w:cs="Sylfaen"/>
          <w:b/>
          <w:lang w:val="ka-GE"/>
        </w:rPr>
        <w:t>ბეტონის</w:t>
      </w:r>
      <w:r w:rsidRPr="005C296B">
        <w:rPr>
          <w:rFonts w:eastAsiaTheme="majorEastAsia"/>
          <w:b/>
          <w:lang w:val="ka-GE"/>
        </w:rPr>
        <w:t xml:space="preserve"> </w:t>
      </w:r>
      <w:r w:rsidRPr="005C296B">
        <w:rPr>
          <w:rFonts w:ascii="Sylfaen" w:eastAsiaTheme="majorEastAsia" w:hAnsi="Sylfaen" w:cs="Sylfaen"/>
          <w:b/>
          <w:lang w:val="ka-GE"/>
        </w:rPr>
        <w:t>საწარმოო</w:t>
      </w:r>
      <w:r w:rsidRPr="005C296B">
        <w:rPr>
          <w:rFonts w:eastAsiaTheme="majorEastAsia"/>
          <w:b/>
          <w:lang w:val="ka-GE"/>
        </w:rPr>
        <w:t xml:space="preserve"> </w:t>
      </w:r>
      <w:r w:rsidRPr="005C296B">
        <w:rPr>
          <w:rFonts w:ascii="Sylfaen" w:eastAsiaTheme="majorEastAsia" w:hAnsi="Sylfaen" w:cs="Sylfaen"/>
          <w:b/>
          <w:lang w:val="ka-GE"/>
        </w:rPr>
        <w:t>საამქრო</w:t>
      </w:r>
      <w:bookmarkEnd w:id="242"/>
      <w:bookmarkEnd w:id="243"/>
    </w:p>
    <w:p w14:paraId="16459B96" w14:textId="77777777" w:rsidR="00CD64B5" w:rsidRPr="005C296B" w:rsidRDefault="00CD64B5" w:rsidP="00CD64B5">
      <w:pPr>
        <w:spacing w:before="120" w:after="120"/>
        <w:rPr>
          <w:rFonts w:eastAsiaTheme="minorEastAsia"/>
          <w:lang w:val="ka-GE"/>
        </w:rPr>
      </w:pPr>
      <w:r w:rsidRPr="005C296B">
        <w:rPr>
          <w:rFonts w:ascii="Sylfaen" w:eastAsiaTheme="minorEastAsia" w:hAnsi="Sylfaen" w:cs="Sylfaen"/>
          <w:lang w:val="ka-GE"/>
        </w:rPr>
        <w:t>ბეტონის</w:t>
      </w:r>
      <w:r w:rsidRPr="005C296B">
        <w:rPr>
          <w:rFonts w:eastAsiaTheme="minorEastAsia"/>
          <w:lang w:val="ka-GE"/>
        </w:rPr>
        <w:t xml:space="preserve"> </w:t>
      </w:r>
      <w:r w:rsidRPr="005C296B">
        <w:rPr>
          <w:rFonts w:ascii="Sylfaen" w:eastAsiaTheme="minorEastAsia" w:hAnsi="Sylfaen" w:cs="Sylfaen"/>
          <w:lang w:val="ka-GE"/>
        </w:rPr>
        <w:t>საწარმოო</w:t>
      </w:r>
      <w:r w:rsidRPr="005C296B">
        <w:rPr>
          <w:rFonts w:eastAsiaTheme="minorEastAsia"/>
          <w:lang w:val="ka-GE"/>
        </w:rPr>
        <w:t xml:space="preserve"> </w:t>
      </w:r>
      <w:r w:rsidRPr="005C296B">
        <w:rPr>
          <w:rFonts w:ascii="Sylfaen" w:eastAsiaTheme="minorEastAsia" w:hAnsi="Sylfaen" w:cs="Sylfaen"/>
          <w:lang w:val="ka-GE"/>
        </w:rPr>
        <w:t>საამქრო</w:t>
      </w:r>
      <w:r w:rsidRPr="005C296B">
        <w:rPr>
          <w:rFonts w:eastAsiaTheme="minorEastAsia"/>
          <w:lang w:val="ka-GE"/>
        </w:rPr>
        <w:t xml:space="preserve"> </w:t>
      </w:r>
      <w:r w:rsidRPr="005C296B">
        <w:rPr>
          <w:rFonts w:ascii="Sylfaen" w:eastAsiaTheme="minorEastAsia" w:hAnsi="Sylfaen" w:cs="Sylfaen"/>
          <w:lang w:val="ka-GE"/>
        </w:rPr>
        <w:t>გათვალისწინებულია</w:t>
      </w:r>
      <w:r w:rsidRPr="005C296B">
        <w:rPr>
          <w:rFonts w:eastAsiaTheme="minorEastAsia"/>
          <w:lang w:val="ka-GE"/>
        </w:rPr>
        <w:t xml:space="preserve"> </w:t>
      </w:r>
      <w:r w:rsidRPr="005C296B">
        <w:rPr>
          <w:rFonts w:ascii="Sylfaen" w:eastAsiaTheme="minorEastAsia" w:hAnsi="Sylfaen" w:cs="Sylfaen"/>
          <w:lang w:val="ka-GE"/>
        </w:rPr>
        <w:t>მყარი</w:t>
      </w:r>
      <w:r w:rsidRPr="005C296B">
        <w:rPr>
          <w:rFonts w:eastAsiaTheme="minorEastAsia"/>
          <w:lang w:val="ka-GE"/>
        </w:rPr>
        <w:t xml:space="preserve"> </w:t>
      </w:r>
      <w:r w:rsidRPr="005C296B">
        <w:rPr>
          <w:rFonts w:ascii="Sylfaen" w:eastAsiaTheme="minorEastAsia" w:hAnsi="Sylfaen" w:cs="Sylfaen"/>
          <w:lang w:val="ka-GE"/>
        </w:rPr>
        <w:t>და</w:t>
      </w:r>
      <w:r w:rsidRPr="005C296B">
        <w:rPr>
          <w:rFonts w:eastAsiaTheme="minorEastAsia"/>
          <w:lang w:val="ka-GE"/>
        </w:rPr>
        <w:t xml:space="preserve"> </w:t>
      </w:r>
      <w:r w:rsidRPr="005C296B">
        <w:rPr>
          <w:rFonts w:ascii="Sylfaen" w:eastAsiaTheme="minorEastAsia" w:hAnsi="Sylfaen" w:cs="Sylfaen"/>
          <w:lang w:val="ka-GE"/>
        </w:rPr>
        <w:t>გადასატანი</w:t>
      </w:r>
      <w:r w:rsidRPr="005C296B">
        <w:rPr>
          <w:rFonts w:eastAsiaTheme="minorEastAsia"/>
          <w:lang w:val="ka-GE"/>
        </w:rPr>
        <w:t xml:space="preserve"> </w:t>
      </w:r>
      <w:r w:rsidRPr="005C296B">
        <w:rPr>
          <w:rFonts w:ascii="Sylfaen" w:eastAsiaTheme="minorEastAsia" w:hAnsi="Sylfaen" w:cs="Sylfaen"/>
          <w:lang w:val="ka-GE"/>
        </w:rPr>
        <w:t>ბეტონის</w:t>
      </w:r>
      <w:r w:rsidRPr="005C296B">
        <w:rPr>
          <w:rFonts w:eastAsiaTheme="minorEastAsia"/>
          <w:lang w:val="ka-GE"/>
        </w:rPr>
        <w:t xml:space="preserve"> </w:t>
      </w:r>
      <w:r w:rsidRPr="005C296B">
        <w:rPr>
          <w:rFonts w:ascii="Sylfaen" w:eastAsiaTheme="minorEastAsia" w:hAnsi="Sylfaen" w:cs="Sylfaen"/>
          <w:lang w:val="ka-GE"/>
        </w:rPr>
        <w:t>მასის</w:t>
      </w:r>
      <w:r w:rsidRPr="005C296B">
        <w:rPr>
          <w:rFonts w:eastAsiaTheme="minorEastAsia"/>
          <w:lang w:val="ka-GE"/>
        </w:rPr>
        <w:t xml:space="preserve"> </w:t>
      </w:r>
      <w:r w:rsidRPr="005C296B">
        <w:rPr>
          <w:rFonts w:ascii="Sylfaen" w:eastAsiaTheme="minorEastAsia" w:hAnsi="Sylfaen" w:cs="Sylfaen"/>
          <w:lang w:val="ka-GE"/>
        </w:rPr>
        <w:t>დასამზადებლად</w:t>
      </w:r>
      <w:r w:rsidRPr="005C296B">
        <w:rPr>
          <w:rFonts w:eastAsiaTheme="minorEastAsia"/>
          <w:lang w:val="ka-GE"/>
        </w:rPr>
        <w:t xml:space="preserve">. </w:t>
      </w:r>
      <w:r w:rsidRPr="005C296B">
        <w:rPr>
          <w:rFonts w:ascii="Sylfaen" w:eastAsiaTheme="minorEastAsia" w:hAnsi="Sylfaen" w:cs="Sylfaen"/>
          <w:lang w:val="ka-GE"/>
        </w:rPr>
        <w:t>იგი</w:t>
      </w:r>
      <w:r w:rsidRPr="005C296B">
        <w:rPr>
          <w:rFonts w:eastAsiaTheme="minorEastAsia"/>
          <w:lang w:val="ka-GE"/>
        </w:rPr>
        <w:t xml:space="preserve"> </w:t>
      </w:r>
      <w:r w:rsidRPr="005C296B">
        <w:rPr>
          <w:rFonts w:ascii="Sylfaen" w:eastAsiaTheme="minorEastAsia" w:hAnsi="Sylfaen" w:cs="Sylfaen"/>
          <w:lang w:val="ka-GE"/>
        </w:rPr>
        <w:t>წარმოადგენს</w:t>
      </w:r>
      <w:r w:rsidRPr="005C296B">
        <w:rPr>
          <w:rFonts w:eastAsiaTheme="minorEastAsia"/>
          <w:lang w:val="ka-GE"/>
        </w:rPr>
        <w:t xml:space="preserve"> </w:t>
      </w:r>
      <w:r w:rsidRPr="005C296B">
        <w:rPr>
          <w:rFonts w:ascii="Sylfaen" w:eastAsiaTheme="minorEastAsia" w:hAnsi="Sylfaen" w:cs="Sylfaen"/>
          <w:lang w:val="ka-GE"/>
        </w:rPr>
        <w:t>ასაწყობ</w:t>
      </w:r>
      <w:r w:rsidRPr="005C296B">
        <w:rPr>
          <w:rFonts w:eastAsiaTheme="minorEastAsia"/>
          <w:lang w:val="ka-GE"/>
        </w:rPr>
        <w:t xml:space="preserve"> </w:t>
      </w:r>
      <w:r w:rsidRPr="005C296B">
        <w:rPr>
          <w:rFonts w:ascii="Sylfaen" w:eastAsiaTheme="minorEastAsia" w:hAnsi="Sylfaen" w:cs="Sylfaen"/>
          <w:lang w:val="ka-GE"/>
        </w:rPr>
        <w:t>სტაციონარულ</w:t>
      </w:r>
      <w:r w:rsidRPr="005C296B">
        <w:rPr>
          <w:rFonts w:eastAsiaTheme="minorEastAsia"/>
          <w:lang w:val="ka-GE"/>
        </w:rPr>
        <w:t xml:space="preserve"> </w:t>
      </w:r>
      <w:r w:rsidRPr="005C296B">
        <w:rPr>
          <w:rFonts w:ascii="Sylfaen" w:eastAsiaTheme="minorEastAsia" w:hAnsi="Sylfaen" w:cs="Sylfaen"/>
          <w:lang w:val="ka-GE"/>
        </w:rPr>
        <w:t>ნაგებობას</w:t>
      </w:r>
      <w:r w:rsidRPr="005C296B">
        <w:rPr>
          <w:rFonts w:eastAsiaTheme="minorEastAsia"/>
          <w:lang w:val="ka-GE"/>
        </w:rPr>
        <w:t xml:space="preserve">. </w:t>
      </w:r>
      <w:r w:rsidRPr="005C296B">
        <w:rPr>
          <w:rFonts w:ascii="Sylfaen" w:eastAsiaTheme="minorEastAsia" w:hAnsi="Sylfaen" w:cs="Sylfaen"/>
          <w:lang w:val="ka-GE"/>
        </w:rPr>
        <w:t>ნაგებობის</w:t>
      </w:r>
      <w:r w:rsidRPr="005C296B">
        <w:rPr>
          <w:rFonts w:eastAsiaTheme="minorEastAsia"/>
          <w:lang w:val="ka-GE"/>
        </w:rPr>
        <w:t xml:space="preserve"> </w:t>
      </w:r>
      <w:r w:rsidRPr="005C296B">
        <w:rPr>
          <w:rFonts w:ascii="Sylfaen" w:eastAsiaTheme="minorEastAsia" w:hAnsi="Sylfaen" w:cs="Sylfaen"/>
          <w:lang w:val="ka-GE"/>
        </w:rPr>
        <w:t>კომპლექსში</w:t>
      </w:r>
      <w:r w:rsidRPr="005C296B">
        <w:rPr>
          <w:rFonts w:eastAsiaTheme="minorEastAsia"/>
          <w:lang w:val="ka-GE"/>
        </w:rPr>
        <w:t xml:space="preserve"> </w:t>
      </w:r>
      <w:r w:rsidRPr="005C296B">
        <w:rPr>
          <w:rFonts w:ascii="Sylfaen" w:eastAsiaTheme="minorEastAsia" w:hAnsi="Sylfaen" w:cs="Sylfaen"/>
          <w:lang w:val="ka-GE"/>
        </w:rPr>
        <w:t>შედის</w:t>
      </w:r>
      <w:r w:rsidRPr="005C296B">
        <w:rPr>
          <w:rFonts w:eastAsiaTheme="minorEastAsia"/>
          <w:lang w:val="ka-GE"/>
        </w:rPr>
        <w:t xml:space="preserve">: </w:t>
      </w:r>
      <w:r w:rsidRPr="005C296B">
        <w:rPr>
          <w:rFonts w:ascii="Sylfaen" w:eastAsiaTheme="minorEastAsia" w:hAnsi="Sylfaen" w:cs="Sylfaen"/>
          <w:lang w:val="ka-GE"/>
        </w:rPr>
        <w:t>ბეტონშემრევი</w:t>
      </w:r>
      <w:r w:rsidRPr="005C296B">
        <w:rPr>
          <w:rFonts w:eastAsiaTheme="minorEastAsia"/>
          <w:lang w:val="ka-GE"/>
        </w:rPr>
        <w:t xml:space="preserve">, </w:t>
      </w:r>
      <w:r w:rsidRPr="005C296B">
        <w:rPr>
          <w:rFonts w:ascii="Sylfaen" w:eastAsiaTheme="minorEastAsia" w:hAnsi="Sylfaen" w:cs="Sylfaen"/>
          <w:lang w:val="ka-GE"/>
        </w:rPr>
        <w:t>ინერტული</w:t>
      </w:r>
      <w:r w:rsidRPr="005C296B">
        <w:rPr>
          <w:rFonts w:eastAsiaTheme="minorEastAsia"/>
          <w:lang w:val="ka-GE"/>
        </w:rPr>
        <w:t xml:space="preserve"> </w:t>
      </w:r>
      <w:r w:rsidRPr="005C296B">
        <w:rPr>
          <w:rFonts w:ascii="Sylfaen" w:eastAsiaTheme="minorEastAsia" w:hAnsi="Sylfaen" w:cs="Sylfaen"/>
          <w:lang w:val="ka-GE"/>
        </w:rPr>
        <w:t>მასალების</w:t>
      </w:r>
      <w:r w:rsidRPr="005C296B">
        <w:rPr>
          <w:rFonts w:eastAsiaTheme="minorEastAsia"/>
          <w:lang w:val="ka-GE"/>
        </w:rPr>
        <w:t xml:space="preserve"> </w:t>
      </w:r>
      <w:r w:rsidRPr="005C296B">
        <w:rPr>
          <w:rFonts w:ascii="Sylfaen" w:eastAsiaTheme="minorEastAsia" w:hAnsi="Sylfaen" w:cs="Sylfaen"/>
          <w:lang w:val="ka-GE"/>
        </w:rPr>
        <w:t>მიწოდების</w:t>
      </w:r>
      <w:r w:rsidRPr="005C296B">
        <w:rPr>
          <w:rFonts w:eastAsiaTheme="minorEastAsia"/>
          <w:lang w:val="ka-GE"/>
        </w:rPr>
        <w:t xml:space="preserve"> </w:t>
      </w:r>
      <w:r w:rsidRPr="005C296B">
        <w:rPr>
          <w:rFonts w:ascii="Sylfaen" w:eastAsiaTheme="minorEastAsia" w:hAnsi="Sylfaen" w:cs="Sylfaen"/>
          <w:lang w:val="ka-GE"/>
        </w:rPr>
        <w:t>სისტემა</w:t>
      </w:r>
      <w:r w:rsidRPr="005C296B">
        <w:rPr>
          <w:rFonts w:eastAsiaTheme="minorEastAsia"/>
          <w:lang w:val="ka-GE"/>
        </w:rPr>
        <w:t xml:space="preserve">, </w:t>
      </w:r>
      <w:r w:rsidRPr="005C296B">
        <w:rPr>
          <w:rFonts w:ascii="Sylfaen" w:eastAsiaTheme="minorEastAsia" w:hAnsi="Sylfaen" w:cs="Sylfaen"/>
          <w:lang w:val="ka-GE"/>
        </w:rPr>
        <w:t>პნევმოსისტემა</w:t>
      </w:r>
      <w:r w:rsidRPr="005C296B">
        <w:rPr>
          <w:rFonts w:eastAsiaTheme="minorEastAsia"/>
          <w:lang w:val="ka-GE"/>
        </w:rPr>
        <w:t xml:space="preserve">, </w:t>
      </w:r>
      <w:r w:rsidRPr="005C296B">
        <w:rPr>
          <w:rFonts w:ascii="Sylfaen" w:eastAsiaTheme="minorEastAsia" w:hAnsi="Sylfaen" w:cs="Sylfaen"/>
          <w:lang w:val="ka-GE"/>
        </w:rPr>
        <w:t>ავტომატური</w:t>
      </w:r>
      <w:r w:rsidRPr="005C296B">
        <w:rPr>
          <w:rFonts w:eastAsiaTheme="minorEastAsia"/>
          <w:lang w:val="ka-GE"/>
        </w:rPr>
        <w:t xml:space="preserve"> </w:t>
      </w:r>
      <w:r w:rsidRPr="005C296B">
        <w:rPr>
          <w:rFonts w:ascii="Sylfaen" w:eastAsiaTheme="minorEastAsia" w:hAnsi="Sylfaen" w:cs="Sylfaen"/>
          <w:lang w:val="ka-GE"/>
        </w:rPr>
        <w:t>მართვის</w:t>
      </w:r>
      <w:r w:rsidRPr="005C296B">
        <w:rPr>
          <w:rFonts w:eastAsiaTheme="minorEastAsia"/>
          <w:lang w:val="ka-GE"/>
        </w:rPr>
        <w:t xml:space="preserve"> </w:t>
      </w:r>
      <w:r w:rsidRPr="005C296B">
        <w:rPr>
          <w:rFonts w:ascii="Sylfaen" w:eastAsiaTheme="minorEastAsia" w:hAnsi="Sylfaen" w:cs="Sylfaen"/>
          <w:lang w:val="ka-GE"/>
        </w:rPr>
        <w:t>სიტემა</w:t>
      </w:r>
      <w:r w:rsidRPr="005C296B">
        <w:rPr>
          <w:rFonts w:eastAsiaTheme="minorEastAsia"/>
          <w:lang w:val="ka-GE"/>
        </w:rPr>
        <w:t xml:space="preserve"> </w:t>
      </w:r>
      <w:r w:rsidRPr="005C296B">
        <w:rPr>
          <w:rFonts w:ascii="Sylfaen" w:eastAsiaTheme="minorEastAsia" w:hAnsi="Sylfaen" w:cs="Sylfaen"/>
          <w:lang w:val="ka-GE"/>
        </w:rPr>
        <w:t>და</w:t>
      </w:r>
      <w:r w:rsidRPr="005C296B">
        <w:rPr>
          <w:rFonts w:eastAsiaTheme="minorEastAsia"/>
          <w:lang w:val="ka-GE"/>
        </w:rPr>
        <w:t xml:space="preserve"> </w:t>
      </w:r>
      <w:r w:rsidRPr="005C296B">
        <w:rPr>
          <w:rFonts w:ascii="Sylfaen" w:eastAsiaTheme="minorEastAsia" w:hAnsi="Sylfaen" w:cs="Sylfaen"/>
          <w:lang w:val="ka-GE"/>
        </w:rPr>
        <w:t>ოპერატორის</w:t>
      </w:r>
      <w:r w:rsidRPr="005C296B">
        <w:rPr>
          <w:rFonts w:eastAsiaTheme="minorEastAsia"/>
          <w:lang w:val="ka-GE"/>
        </w:rPr>
        <w:t xml:space="preserve"> </w:t>
      </w:r>
      <w:r w:rsidRPr="005C296B">
        <w:rPr>
          <w:rFonts w:ascii="Sylfaen" w:eastAsiaTheme="minorEastAsia" w:hAnsi="Sylfaen" w:cs="Sylfaen"/>
          <w:lang w:val="ka-GE"/>
        </w:rPr>
        <w:t>კაბინა</w:t>
      </w:r>
      <w:r w:rsidRPr="005C296B">
        <w:rPr>
          <w:rFonts w:eastAsiaTheme="minorEastAsia"/>
          <w:lang w:val="ka-GE"/>
        </w:rPr>
        <w:t>.</w:t>
      </w:r>
    </w:p>
    <w:p w14:paraId="076E95A9" w14:textId="77777777" w:rsidR="00CD64B5" w:rsidRPr="005C296B" w:rsidRDefault="00CD64B5" w:rsidP="00CD64B5">
      <w:pPr>
        <w:spacing w:before="120" w:after="120"/>
        <w:rPr>
          <w:rFonts w:eastAsiaTheme="majorEastAsia"/>
          <w:lang w:val="ka-GE"/>
        </w:rPr>
      </w:pPr>
      <w:r w:rsidRPr="005C296B">
        <w:rPr>
          <w:rFonts w:ascii="Sylfaen" w:eastAsiaTheme="minorEastAsia" w:hAnsi="Sylfaen" w:cs="Sylfaen"/>
          <w:lang w:val="ka-GE"/>
        </w:rPr>
        <w:t>ბეტონშემრევი</w:t>
      </w:r>
      <w:r w:rsidRPr="005C296B">
        <w:rPr>
          <w:rFonts w:eastAsiaTheme="minorEastAsia"/>
          <w:lang w:val="ka-GE"/>
        </w:rPr>
        <w:t xml:space="preserve"> </w:t>
      </w:r>
      <w:r w:rsidRPr="005C296B">
        <w:rPr>
          <w:rFonts w:ascii="Sylfaen" w:eastAsiaTheme="minorEastAsia" w:hAnsi="Sylfaen" w:cs="Sylfaen"/>
          <w:lang w:val="ka-GE"/>
        </w:rPr>
        <w:t>შედგება</w:t>
      </w:r>
      <w:r w:rsidRPr="005C296B">
        <w:rPr>
          <w:rFonts w:eastAsiaTheme="minorEastAsia"/>
          <w:lang w:val="ka-GE"/>
        </w:rPr>
        <w:t xml:space="preserve"> </w:t>
      </w:r>
      <w:r w:rsidRPr="005C296B">
        <w:rPr>
          <w:rFonts w:ascii="Sylfaen" w:eastAsiaTheme="minorEastAsia" w:hAnsi="Sylfaen" w:cs="Sylfaen"/>
          <w:lang w:val="ka-GE"/>
        </w:rPr>
        <w:t>შიდა</w:t>
      </w:r>
      <w:r w:rsidRPr="005C296B">
        <w:rPr>
          <w:rFonts w:eastAsiaTheme="minorEastAsia"/>
          <w:lang w:val="ka-GE"/>
        </w:rPr>
        <w:t xml:space="preserve"> </w:t>
      </w:r>
      <w:r w:rsidRPr="005C296B">
        <w:rPr>
          <w:rFonts w:ascii="Sylfaen" w:eastAsiaTheme="minorEastAsia" w:hAnsi="Sylfaen" w:cs="Sylfaen"/>
          <w:lang w:val="ka-GE"/>
        </w:rPr>
        <w:t>ამწე</w:t>
      </w:r>
      <w:r w:rsidRPr="005C296B">
        <w:rPr>
          <w:rFonts w:eastAsiaTheme="minorEastAsia"/>
          <w:lang w:val="ka-GE"/>
        </w:rPr>
        <w:t xml:space="preserve"> </w:t>
      </w:r>
      <w:r w:rsidRPr="005C296B">
        <w:rPr>
          <w:rFonts w:ascii="Sylfaen" w:eastAsiaTheme="minorEastAsia" w:hAnsi="Sylfaen" w:cs="Sylfaen"/>
          <w:lang w:val="ka-GE"/>
        </w:rPr>
        <w:t>მოწყობილობების</w:t>
      </w:r>
      <w:r w:rsidRPr="005C296B">
        <w:rPr>
          <w:rFonts w:eastAsiaTheme="minorEastAsia"/>
          <w:lang w:val="ka-GE"/>
        </w:rPr>
        <w:t xml:space="preserve">, </w:t>
      </w:r>
      <w:r w:rsidRPr="005C296B">
        <w:rPr>
          <w:rFonts w:ascii="Sylfaen" w:eastAsiaTheme="minorEastAsia" w:hAnsi="Sylfaen" w:cs="Sylfaen"/>
          <w:lang w:val="ka-GE"/>
        </w:rPr>
        <w:t>ასევე</w:t>
      </w:r>
      <w:r w:rsidRPr="005C296B">
        <w:rPr>
          <w:rFonts w:eastAsiaTheme="minorEastAsia"/>
          <w:lang w:val="ka-GE"/>
        </w:rPr>
        <w:t xml:space="preserve"> </w:t>
      </w:r>
      <w:r w:rsidRPr="005C296B">
        <w:rPr>
          <w:rFonts w:ascii="Sylfaen" w:eastAsiaTheme="minorEastAsia" w:hAnsi="Sylfaen" w:cs="Sylfaen"/>
          <w:lang w:val="ka-GE"/>
        </w:rPr>
        <w:t>ტრანსპორტიორებისა</w:t>
      </w:r>
      <w:r w:rsidRPr="005C296B">
        <w:rPr>
          <w:rFonts w:eastAsiaTheme="minorEastAsia"/>
          <w:lang w:val="ka-GE"/>
        </w:rPr>
        <w:t xml:space="preserve"> </w:t>
      </w:r>
      <w:r w:rsidRPr="005C296B">
        <w:rPr>
          <w:rFonts w:ascii="Sylfaen" w:eastAsiaTheme="minorEastAsia" w:hAnsi="Sylfaen" w:cs="Sylfaen"/>
          <w:lang w:val="ka-GE"/>
        </w:rPr>
        <w:t>და</w:t>
      </w:r>
      <w:r w:rsidRPr="005C296B">
        <w:rPr>
          <w:rFonts w:eastAsiaTheme="minorEastAsia"/>
          <w:lang w:val="ka-GE"/>
        </w:rPr>
        <w:t xml:space="preserve"> </w:t>
      </w:r>
      <w:r w:rsidRPr="005C296B">
        <w:rPr>
          <w:rFonts w:ascii="Sylfaen" w:eastAsiaTheme="minorEastAsia" w:hAnsi="Sylfaen" w:cs="Sylfaen"/>
          <w:lang w:val="ka-GE"/>
        </w:rPr>
        <w:t>ლენტური</w:t>
      </w:r>
      <w:r w:rsidRPr="005C296B">
        <w:rPr>
          <w:rFonts w:eastAsiaTheme="minorEastAsia"/>
          <w:lang w:val="ka-GE"/>
        </w:rPr>
        <w:t xml:space="preserve"> </w:t>
      </w:r>
      <w:r w:rsidRPr="005C296B">
        <w:rPr>
          <w:rFonts w:ascii="Sylfaen" w:eastAsiaTheme="minorEastAsia" w:hAnsi="Sylfaen" w:cs="Sylfaen"/>
          <w:lang w:val="ka-GE"/>
        </w:rPr>
        <w:t>კონვეირებისაგან</w:t>
      </w:r>
      <w:r w:rsidRPr="005C296B">
        <w:rPr>
          <w:rFonts w:eastAsiaTheme="minorEastAsia"/>
          <w:lang w:val="ka-GE"/>
        </w:rPr>
        <w:t xml:space="preserve">, </w:t>
      </w:r>
      <w:r w:rsidRPr="005C296B">
        <w:rPr>
          <w:rFonts w:ascii="Sylfaen" w:eastAsiaTheme="minorEastAsia" w:hAnsi="Sylfaen" w:cs="Sylfaen"/>
          <w:lang w:val="ka-GE"/>
        </w:rPr>
        <w:t>რაც</w:t>
      </w:r>
      <w:r w:rsidRPr="005C296B">
        <w:rPr>
          <w:rFonts w:eastAsiaTheme="minorEastAsia"/>
          <w:lang w:val="ka-GE"/>
        </w:rPr>
        <w:t xml:space="preserve"> </w:t>
      </w:r>
      <w:r w:rsidRPr="005C296B">
        <w:rPr>
          <w:rFonts w:ascii="Sylfaen" w:eastAsiaTheme="minorEastAsia" w:hAnsi="Sylfaen" w:cs="Sylfaen"/>
          <w:lang w:val="ka-GE"/>
        </w:rPr>
        <w:t>უზრუნველყოფს</w:t>
      </w:r>
      <w:r w:rsidRPr="005C296B">
        <w:rPr>
          <w:rFonts w:eastAsiaTheme="minorEastAsia"/>
          <w:lang w:val="ka-GE"/>
        </w:rPr>
        <w:t xml:space="preserve"> </w:t>
      </w:r>
      <w:r w:rsidRPr="005C296B">
        <w:rPr>
          <w:rFonts w:ascii="Sylfaen" w:eastAsiaTheme="minorEastAsia" w:hAnsi="Sylfaen" w:cs="Sylfaen"/>
          <w:lang w:val="ka-GE"/>
        </w:rPr>
        <w:t>ინერტული</w:t>
      </w:r>
      <w:r w:rsidRPr="005C296B">
        <w:rPr>
          <w:rFonts w:eastAsiaTheme="minorEastAsia"/>
          <w:lang w:val="ka-GE"/>
        </w:rPr>
        <w:t xml:space="preserve"> </w:t>
      </w:r>
      <w:r w:rsidRPr="005C296B">
        <w:rPr>
          <w:rFonts w:ascii="Sylfaen" w:eastAsiaTheme="minorEastAsia" w:hAnsi="Sylfaen" w:cs="Sylfaen"/>
          <w:lang w:val="ka-GE"/>
        </w:rPr>
        <w:t>მასალების</w:t>
      </w:r>
      <w:r w:rsidRPr="005C296B">
        <w:rPr>
          <w:rFonts w:eastAsiaTheme="minorEastAsia"/>
          <w:lang w:val="ka-GE"/>
        </w:rPr>
        <w:t xml:space="preserve"> </w:t>
      </w:r>
      <w:r w:rsidRPr="005C296B">
        <w:rPr>
          <w:rFonts w:ascii="Sylfaen" w:eastAsiaTheme="minorEastAsia" w:hAnsi="Sylfaen" w:cs="Sylfaen"/>
          <w:lang w:val="ka-GE"/>
        </w:rPr>
        <w:t>ავტომატურ</w:t>
      </w:r>
      <w:r w:rsidRPr="005C296B">
        <w:rPr>
          <w:rFonts w:eastAsiaTheme="minorEastAsia"/>
          <w:lang w:val="ka-GE"/>
        </w:rPr>
        <w:t xml:space="preserve"> </w:t>
      </w:r>
      <w:r w:rsidRPr="005C296B">
        <w:rPr>
          <w:rFonts w:ascii="Sylfaen" w:eastAsiaTheme="minorEastAsia" w:hAnsi="Sylfaen" w:cs="Sylfaen"/>
          <w:lang w:val="ka-GE"/>
        </w:rPr>
        <w:t>მიწოდებას</w:t>
      </w:r>
      <w:r w:rsidRPr="005C296B">
        <w:rPr>
          <w:rFonts w:eastAsiaTheme="minorEastAsia"/>
          <w:lang w:val="ka-GE"/>
        </w:rPr>
        <w:t>.</w:t>
      </w:r>
    </w:p>
    <w:p w14:paraId="38702D27" w14:textId="77777777" w:rsidR="00CD64B5" w:rsidRPr="005C296B" w:rsidRDefault="00CD64B5" w:rsidP="00CD64B5">
      <w:pPr>
        <w:spacing w:before="120" w:after="120"/>
        <w:rPr>
          <w:rFonts w:eastAsiaTheme="minorEastAsia"/>
          <w:lang w:val="ka-GE"/>
        </w:rPr>
      </w:pPr>
      <w:r w:rsidRPr="005C296B">
        <w:rPr>
          <w:rFonts w:ascii="Sylfaen" w:eastAsiaTheme="minorEastAsia" w:hAnsi="Sylfaen" w:cs="Sylfaen"/>
          <w:lang w:val="ka-GE"/>
        </w:rPr>
        <w:t>ინერტული</w:t>
      </w:r>
      <w:r w:rsidRPr="005C296B">
        <w:rPr>
          <w:rFonts w:eastAsiaTheme="minorEastAsia"/>
          <w:lang w:val="ka-GE"/>
        </w:rPr>
        <w:t xml:space="preserve"> </w:t>
      </w:r>
      <w:r w:rsidRPr="005C296B">
        <w:rPr>
          <w:rFonts w:ascii="Sylfaen" w:eastAsiaTheme="minorEastAsia" w:hAnsi="Sylfaen" w:cs="Sylfaen"/>
          <w:lang w:val="ka-GE"/>
        </w:rPr>
        <w:t>მასალების</w:t>
      </w:r>
      <w:r w:rsidRPr="005C296B">
        <w:rPr>
          <w:rFonts w:eastAsiaTheme="minorEastAsia"/>
          <w:lang w:val="ka-GE"/>
        </w:rPr>
        <w:t xml:space="preserve"> </w:t>
      </w:r>
      <w:r w:rsidRPr="005C296B">
        <w:rPr>
          <w:rFonts w:ascii="Sylfaen" w:eastAsiaTheme="minorEastAsia" w:hAnsi="Sylfaen" w:cs="Sylfaen"/>
          <w:lang w:val="ka-GE"/>
        </w:rPr>
        <w:t>დოზირების</w:t>
      </w:r>
      <w:r w:rsidRPr="005C296B">
        <w:rPr>
          <w:rFonts w:eastAsiaTheme="minorEastAsia"/>
          <w:lang w:val="ka-GE"/>
        </w:rPr>
        <w:t xml:space="preserve"> </w:t>
      </w:r>
      <w:r w:rsidRPr="005C296B">
        <w:rPr>
          <w:rFonts w:ascii="Sylfaen" w:eastAsiaTheme="minorEastAsia" w:hAnsi="Sylfaen" w:cs="Sylfaen"/>
          <w:lang w:val="ka-GE"/>
        </w:rPr>
        <w:t>სისტემა</w:t>
      </w:r>
      <w:r w:rsidRPr="005C296B">
        <w:rPr>
          <w:rFonts w:eastAsiaTheme="minorEastAsia"/>
          <w:lang w:val="ka-GE"/>
        </w:rPr>
        <w:t xml:space="preserve"> </w:t>
      </w:r>
      <w:r w:rsidRPr="005C296B">
        <w:rPr>
          <w:rFonts w:ascii="Sylfaen" w:eastAsiaTheme="minorEastAsia" w:hAnsi="Sylfaen" w:cs="Sylfaen"/>
          <w:lang w:val="ka-GE"/>
        </w:rPr>
        <w:t>შედგება</w:t>
      </w:r>
      <w:r w:rsidRPr="005C296B">
        <w:rPr>
          <w:rFonts w:eastAsiaTheme="minorEastAsia"/>
          <w:lang w:val="ka-GE"/>
        </w:rPr>
        <w:t xml:space="preserve"> </w:t>
      </w:r>
      <w:r w:rsidRPr="005C296B">
        <w:rPr>
          <w:rFonts w:ascii="Sylfaen" w:eastAsiaTheme="minorEastAsia" w:hAnsi="Sylfaen" w:cs="Sylfaen"/>
          <w:lang w:val="ka-GE"/>
        </w:rPr>
        <w:t>შემგროვებელი</w:t>
      </w:r>
      <w:r w:rsidRPr="005C296B">
        <w:rPr>
          <w:rFonts w:eastAsiaTheme="minorEastAsia"/>
          <w:lang w:val="ka-GE"/>
        </w:rPr>
        <w:t xml:space="preserve"> </w:t>
      </w:r>
      <w:r w:rsidRPr="005C296B">
        <w:rPr>
          <w:rFonts w:ascii="Sylfaen" w:eastAsiaTheme="minorEastAsia" w:hAnsi="Sylfaen" w:cs="Sylfaen"/>
          <w:lang w:val="ka-GE"/>
        </w:rPr>
        <w:t>ბუნკერისა</w:t>
      </w:r>
      <w:r w:rsidRPr="005C296B">
        <w:rPr>
          <w:rFonts w:eastAsiaTheme="minorEastAsia"/>
          <w:lang w:val="ka-GE"/>
        </w:rPr>
        <w:t xml:space="preserve"> </w:t>
      </w:r>
      <w:r w:rsidRPr="005C296B">
        <w:rPr>
          <w:rFonts w:ascii="Sylfaen" w:eastAsiaTheme="minorEastAsia" w:hAnsi="Sylfaen" w:cs="Sylfaen"/>
          <w:lang w:val="ka-GE"/>
        </w:rPr>
        <w:t>და</w:t>
      </w:r>
      <w:r w:rsidRPr="005C296B">
        <w:rPr>
          <w:rFonts w:eastAsiaTheme="minorEastAsia"/>
          <w:lang w:val="ka-GE"/>
        </w:rPr>
        <w:t xml:space="preserve"> </w:t>
      </w:r>
      <w:r w:rsidRPr="005C296B">
        <w:rPr>
          <w:rFonts w:ascii="Sylfaen" w:eastAsiaTheme="minorEastAsia" w:hAnsi="Sylfaen" w:cs="Sylfaen"/>
          <w:lang w:val="ka-GE"/>
        </w:rPr>
        <w:t>ავტომატური</w:t>
      </w:r>
      <w:r w:rsidRPr="005C296B">
        <w:rPr>
          <w:rFonts w:eastAsiaTheme="minorEastAsia"/>
          <w:lang w:val="ka-GE"/>
        </w:rPr>
        <w:t xml:space="preserve"> </w:t>
      </w:r>
      <w:r w:rsidRPr="005C296B">
        <w:rPr>
          <w:rFonts w:ascii="Sylfaen" w:eastAsiaTheme="minorEastAsia" w:hAnsi="Sylfaen" w:cs="Sylfaen"/>
          <w:lang w:val="ka-GE"/>
        </w:rPr>
        <w:t>დოზატორისაგან</w:t>
      </w:r>
      <w:r w:rsidRPr="005C296B">
        <w:rPr>
          <w:rFonts w:eastAsiaTheme="minorEastAsia"/>
          <w:lang w:val="ka-GE"/>
        </w:rPr>
        <w:t xml:space="preserve">. </w:t>
      </w:r>
      <w:r w:rsidRPr="005C296B">
        <w:rPr>
          <w:rFonts w:ascii="Sylfaen" w:eastAsiaTheme="minorEastAsia" w:hAnsi="Sylfaen" w:cs="Sylfaen"/>
          <w:lang w:val="ka-GE"/>
        </w:rPr>
        <w:t>დოზატორი</w:t>
      </w:r>
      <w:r w:rsidRPr="005C296B">
        <w:rPr>
          <w:rFonts w:eastAsiaTheme="minorEastAsia"/>
          <w:lang w:val="ka-GE"/>
        </w:rPr>
        <w:t xml:space="preserve"> </w:t>
      </w:r>
      <w:r w:rsidRPr="005C296B">
        <w:rPr>
          <w:rFonts w:ascii="Sylfaen" w:eastAsiaTheme="minorEastAsia" w:hAnsi="Sylfaen" w:cs="Sylfaen"/>
          <w:lang w:val="ka-GE"/>
        </w:rPr>
        <w:t>აღჭურვილია</w:t>
      </w:r>
      <w:r w:rsidRPr="005C296B">
        <w:rPr>
          <w:rFonts w:eastAsiaTheme="minorEastAsia"/>
          <w:lang w:val="ka-GE"/>
        </w:rPr>
        <w:t xml:space="preserve"> </w:t>
      </w:r>
      <w:r w:rsidRPr="005C296B">
        <w:rPr>
          <w:rFonts w:ascii="Sylfaen" w:eastAsiaTheme="minorEastAsia" w:hAnsi="Sylfaen" w:cs="Sylfaen"/>
          <w:lang w:val="ka-GE"/>
        </w:rPr>
        <w:t>ზუსტი</w:t>
      </w:r>
      <w:r w:rsidRPr="005C296B">
        <w:rPr>
          <w:rFonts w:eastAsiaTheme="minorEastAsia"/>
          <w:lang w:val="ka-GE"/>
        </w:rPr>
        <w:t xml:space="preserve"> </w:t>
      </w:r>
      <w:r w:rsidRPr="005C296B">
        <w:rPr>
          <w:rFonts w:ascii="Sylfaen" w:eastAsiaTheme="minorEastAsia" w:hAnsi="Sylfaen" w:cs="Sylfaen"/>
          <w:lang w:val="ka-GE"/>
        </w:rPr>
        <w:t>დოზირებისა</w:t>
      </w:r>
      <w:r w:rsidRPr="005C296B">
        <w:rPr>
          <w:rFonts w:eastAsiaTheme="minorEastAsia"/>
          <w:lang w:val="ka-GE"/>
        </w:rPr>
        <w:t xml:space="preserve"> </w:t>
      </w:r>
      <w:r w:rsidRPr="005C296B">
        <w:rPr>
          <w:rFonts w:ascii="Sylfaen" w:eastAsiaTheme="minorEastAsia" w:hAnsi="Sylfaen" w:cs="Sylfaen"/>
          <w:lang w:val="ka-GE"/>
        </w:rPr>
        <w:t>და</w:t>
      </w:r>
      <w:r w:rsidRPr="005C296B">
        <w:rPr>
          <w:rFonts w:eastAsiaTheme="minorEastAsia"/>
          <w:lang w:val="ka-GE"/>
        </w:rPr>
        <w:t xml:space="preserve"> </w:t>
      </w:r>
      <w:r w:rsidRPr="005C296B">
        <w:rPr>
          <w:rFonts w:ascii="Sylfaen" w:eastAsiaTheme="minorEastAsia" w:hAnsi="Sylfaen" w:cs="Sylfaen"/>
          <w:lang w:val="ka-GE"/>
        </w:rPr>
        <w:t>მიწოდების</w:t>
      </w:r>
      <w:r w:rsidRPr="005C296B">
        <w:rPr>
          <w:rFonts w:eastAsiaTheme="minorEastAsia"/>
          <w:lang w:val="ka-GE"/>
        </w:rPr>
        <w:t xml:space="preserve"> </w:t>
      </w:r>
      <w:r w:rsidRPr="005C296B">
        <w:rPr>
          <w:rFonts w:ascii="Sylfaen" w:eastAsiaTheme="minorEastAsia" w:hAnsi="Sylfaen" w:cs="Sylfaen"/>
          <w:lang w:val="ka-GE"/>
        </w:rPr>
        <w:t>სისტემით</w:t>
      </w:r>
      <w:r w:rsidRPr="005C296B">
        <w:rPr>
          <w:rFonts w:eastAsiaTheme="minorEastAsia"/>
          <w:lang w:val="ka-GE"/>
        </w:rPr>
        <w:t xml:space="preserve">, </w:t>
      </w:r>
      <w:r w:rsidRPr="005C296B">
        <w:rPr>
          <w:rFonts w:ascii="Sylfaen" w:eastAsiaTheme="minorEastAsia" w:hAnsi="Sylfaen" w:cs="Sylfaen"/>
          <w:lang w:val="ka-GE"/>
        </w:rPr>
        <w:t>რაც</w:t>
      </w:r>
      <w:r w:rsidRPr="005C296B">
        <w:rPr>
          <w:rFonts w:eastAsiaTheme="minorEastAsia"/>
          <w:lang w:val="ka-GE"/>
        </w:rPr>
        <w:t xml:space="preserve"> </w:t>
      </w:r>
      <w:r w:rsidRPr="005C296B">
        <w:rPr>
          <w:rFonts w:ascii="Sylfaen" w:eastAsiaTheme="minorEastAsia" w:hAnsi="Sylfaen" w:cs="Sylfaen"/>
          <w:lang w:val="ka-GE"/>
        </w:rPr>
        <w:t>უზრუნველყოფს</w:t>
      </w:r>
      <w:r w:rsidRPr="005C296B">
        <w:rPr>
          <w:rFonts w:eastAsiaTheme="minorEastAsia"/>
          <w:lang w:val="ka-GE"/>
        </w:rPr>
        <w:t xml:space="preserve"> </w:t>
      </w:r>
      <w:r w:rsidRPr="005C296B">
        <w:rPr>
          <w:rFonts w:ascii="Sylfaen" w:eastAsiaTheme="minorEastAsia" w:hAnsi="Sylfaen" w:cs="Sylfaen"/>
          <w:lang w:val="ka-GE"/>
        </w:rPr>
        <w:t>ბეტონის</w:t>
      </w:r>
      <w:r w:rsidRPr="005C296B">
        <w:rPr>
          <w:rFonts w:eastAsiaTheme="minorEastAsia"/>
          <w:lang w:val="ka-GE"/>
        </w:rPr>
        <w:t xml:space="preserve"> </w:t>
      </w:r>
      <w:r w:rsidRPr="005C296B">
        <w:rPr>
          <w:rFonts w:ascii="Sylfaen" w:eastAsiaTheme="minorEastAsia" w:hAnsi="Sylfaen" w:cs="Sylfaen"/>
          <w:lang w:val="ka-GE"/>
        </w:rPr>
        <w:t>მასის</w:t>
      </w:r>
      <w:r w:rsidRPr="005C296B">
        <w:rPr>
          <w:rFonts w:eastAsiaTheme="minorEastAsia"/>
          <w:lang w:val="ka-GE"/>
        </w:rPr>
        <w:t xml:space="preserve"> </w:t>
      </w:r>
      <w:r w:rsidRPr="005C296B">
        <w:rPr>
          <w:rFonts w:ascii="Sylfaen" w:eastAsiaTheme="minorEastAsia" w:hAnsi="Sylfaen" w:cs="Sylfaen"/>
          <w:lang w:val="ka-GE"/>
        </w:rPr>
        <w:t>ავტომატურ</w:t>
      </w:r>
      <w:r w:rsidRPr="005C296B">
        <w:rPr>
          <w:rFonts w:eastAsiaTheme="minorEastAsia"/>
          <w:lang w:val="ka-GE"/>
        </w:rPr>
        <w:t xml:space="preserve"> </w:t>
      </w:r>
      <w:r w:rsidRPr="005C296B">
        <w:rPr>
          <w:rFonts w:ascii="Sylfaen" w:eastAsiaTheme="minorEastAsia" w:hAnsi="Sylfaen" w:cs="Sylfaen"/>
          <w:lang w:val="ka-GE"/>
        </w:rPr>
        <w:t>კორექტირებას</w:t>
      </w:r>
      <w:r w:rsidRPr="005C296B">
        <w:rPr>
          <w:rFonts w:eastAsiaTheme="minorEastAsia"/>
          <w:lang w:val="ka-GE"/>
        </w:rPr>
        <w:t>.</w:t>
      </w:r>
    </w:p>
    <w:p w14:paraId="42810E91" w14:textId="77777777" w:rsidR="00CD64B5" w:rsidRPr="005C296B" w:rsidRDefault="00CD64B5" w:rsidP="00CD64B5">
      <w:pPr>
        <w:spacing w:before="120" w:after="120"/>
        <w:rPr>
          <w:rFonts w:eastAsiaTheme="minorEastAsia"/>
          <w:lang w:val="ka-GE"/>
        </w:rPr>
      </w:pPr>
      <w:r w:rsidRPr="005C296B">
        <w:rPr>
          <w:rFonts w:ascii="Sylfaen" w:eastAsiaTheme="minorEastAsia" w:hAnsi="Sylfaen" w:cs="Sylfaen"/>
          <w:lang w:val="ka-GE"/>
        </w:rPr>
        <w:lastRenderedPageBreak/>
        <w:t>წყლისა</w:t>
      </w:r>
      <w:r w:rsidRPr="005C296B">
        <w:rPr>
          <w:rFonts w:eastAsiaTheme="minorEastAsia"/>
          <w:lang w:val="ka-GE"/>
        </w:rPr>
        <w:t xml:space="preserve"> </w:t>
      </w:r>
      <w:r w:rsidRPr="005C296B">
        <w:rPr>
          <w:rFonts w:ascii="Sylfaen" w:eastAsiaTheme="minorEastAsia" w:hAnsi="Sylfaen" w:cs="Sylfaen"/>
          <w:lang w:val="ka-GE"/>
        </w:rPr>
        <w:t>და</w:t>
      </w:r>
      <w:r w:rsidRPr="005C296B">
        <w:rPr>
          <w:rFonts w:eastAsiaTheme="minorEastAsia"/>
          <w:lang w:val="ka-GE"/>
        </w:rPr>
        <w:t xml:space="preserve"> </w:t>
      </w:r>
      <w:r w:rsidRPr="005C296B">
        <w:rPr>
          <w:rFonts w:ascii="Sylfaen" w:eastAsiaTheme="minorEastAsia" w:hAnsi="Sylfaen" w:cs="Sylfaen"/>
          <w:lang w:val="ka-GE"/>
        </w:rPr>
        <w:t>დანამატის</w:t>
      </w:r>
      <w:r w:rsidRPr="005C296B">
        <w:rPr>
          <w:rFonts w:eastAsiaTheme="minorEastAsia"/>
          <w:lang w:val="ka-GE"/>
        </w:rPr>
        <w:t xml:space="preserve"> (</w:t>
      </w:r>
      <w:r w:rsidRPr="005C296B">
        <w:rPr>
          <w:rFonts w:ascii="Sylfaen" w:eastAsiaTheme="minorEastAsia" w:hAnsi="Sylfaen" w:cs="Sylfaen"/>
          <w:lang w:val="ka-GE"/>
        </w:rPr>
        <w:t>იმყოფება</w:t>
      </w:r>
      <w:r w:rsidRPr="005C296B">
        <w:rPr>
          <w:rFonts w:eastAsiaTheme="minorEastAsia"/>
          <w:lang w:val="ka-GE"/>
        </w:rPr>
        <w:t xml:space="preserve"> </w:t>
      </w:r>
      <w:r w:rsidRPr="005C296B">
        <w:rPr>
          <w:rFonts w:ascii="Sylfaen" w:eastAsiaTheme="minorEastAsia" w:hAnsi="Sylfaen" w:cs="Sylfaen"/>
          <w:lang w:val="ka-GE"/>
        </w:rPr>
        <w:t>თხევად</w:t>
      </w:r>
      <w:r w:rsidRPr="005C296B">
        <w:rPr>
          <w:rFonts w:eastAsiaTheme="minorEastAsia"/>
          <w:lang w:val="ka-GE"/>
        </w:rPr>
        <w:t xml:space="preserve"> </w:t>
      </w:r>
      <w:r w:rsidRPr="005C296B">
        <w:rPr>
          <w:rFonts w:ascii="Sylfaen" w:eastAsiaTheme="minorEastAsia" w:hAnsi="Sylfaen" w:cs="Sylfaen"/>
          <w:lang w:val="ka-GE"/>
        </w:rPr>
        <w:t>ფაზაში</w:t>
      </w:r>
      <w:r w:rsidRPr="005C296B">
        <w:rPr>
          <w:rFonts w:eastAsiaTheme="minorEastAsia"/>
          <w:lang w:val="ka-GE"/>
        </w:rPr>
        <w:t xml:space="preserve">) </w:t>
      </w:r>
      <w:r w:rsidRPr="005C296B">
        <w:rPr>
          <w:rFonts w:ascii="Sylfaen" w:eastAsiaTheme="minorEastAsia" w:hAnsi="Sylfaen" w:cs="Sylfaen"/>
          <w:lang w:val="ka-GE"/>
        </w:rPr>
        <w:t>მიწოდების</w:t>
      </w:r>
      <w:r w:rsidRPr="005C296B">
        <w:rPr>
          <w:rFonts w:eastAsiaTheme="minorEastAsia"/>
          <w:lang w:val="ka-GE"/>
        </w:rPr>
        <w:t xml:space="preserve"> </w:t>
      </w:r>
      <w:r w:rsidRPr="005C296B">
        <w:rPr>
          <w:rFonts w:ascii="Sylfaen" w:eastAsiaTheme="minorEastAsia" w:hAnsi="Sylfaen" w:cs="Sylfaen"/>
          <w:lang w:val="ka-GE"/>
        </w:rPr>
        <w:t>სისტემა</w:t>
      </w:r>
      <w:r w:rsidRPr="005C296B">
        <w:rPr>
          <w:rFonts w:eastAsiaTheme="minorEastAsia"/>
          <w:lang w:val="ka-GE"/>
        </w:rPr>
        <w:t xml:space="preserve"> </w:t>
      </w:r>
      <w:r w:rsidRPr="005C296B">
        <w:rPr>
          <w:rFonts w:ascii="Sylfaen" w:eastAsiaTheme="minorEastAsia" w:hAnsi="Sylfaen" w:cs="Sylfaen"/>
          <w:lang w:val="ka-GE"/>
        </w:rPr>
        <w:t>მოიცავს</w:t>
      </w:r>
      <w:r w:rsidRPr="005C296B">
        <w:rPr>
          <w:rFonts w:eastAsiaTheme="minorEastAsia"/>
          <w:lang w:val="ka-GE"/>
        </w:rPr>
        <w:t xml:space="preserve"> </w:t>
      </w:r>
      <w:r w:rsidRPr="005C296B">
        <w:rPr>
          <w:rFonts w:ascii="Sylfaen" w:eastAsiaTheme="minorEastAsia" w:hAnsi="Sylfaen" w:cs="Sylfaen"/>
          <w:lang w:val="ka-GE"/>
        </w:rPr>
        <w:t>დამაბალანსებელ</w:t>
      </w:r>
      <w:r w:rsidRPr="005C296B">
        <w:rPr>
          <w:rFonts w:eastAsiaTheme="minorEastAsia"/>
          <w:lang w:val="ka-GE"/>
        </w:rPr>
        <w:t xml:space="preserve"> </w:t>
      </w:r>
      <w:r w:rsidRPr="005C296B">
        <w:rPr>
          <w:rFonts w:ascii="Sylfaen" w:eastAsiaTheme="minorEastAsia" w:hAnsi="Sylfaen" w:cs="Sylfaen"/>
          <w:lang w:val="ka-GE"/>
        </w:rPr>
        <w:t>კამერას</w:t>
      </w:r>
      <w:r w:rsidRPr="005C296B">
        <w:rPr>
          <w:rFonts w:eastAsiaTheme="minorEastAsia"/>
          <w:lang w:val="ka-GE"/>
        </w:rPr>
        <w:t xml:space="preserve">, </w:t>
      </w:r>
      <w:r w:rsidRPr="005C296B">
        <w:rPr>
          <w:rFonts w:ascii="Sylfaen" w:eastAsiaTheme="minorEastAsia" w:hAnsi="Sylfaen" w:cs="Sylfaen"/>
          <w:lang w:val="ka-GE"/>
        </w:rPr>
        <w:t>რაც</w:t>
      </w:r>
      <w:r w:rsidRPr="005C296B">
        <w:rPr>
          <w:rFonts w:eastAsiaTheme="minorEastAsia"/>
          <w:lang w:val="ka-GE"/>
        </w:rPr>
        <w:t xml:space="preserve"> </w:t>
      </w:r>
      <w:r w:rsidRPr="005C296B">
        <w:rPr>
          <w:rFonts w:ascii="Sylfaen" w:eastAsiaTheme="minorEastAsia" w:hAnsi="Sylfaen" w:cs="Sylfaen"/>
          <w:lang w:val="ka-GE"/>
        </w:rPr>
        <w:t>უზრუნველყოფს</w:t>
      </w:r>
      <w:r w:rsidRPr="005C296B">
        <w:rPr>
          <w:rFonts w:eastAsiaTheme="minorEastAsia"/>
          <w:lang w:val="ka-GE"/>
        </w:rPr>
        <w:t xml:space="preserve"> </w:t>
      </w:r>
      <w:r w:rsidRPr="005C296B">
        <w:rPr>
          <w:rFonts w:ascii="Sylfaen" w:eastAsiaTheme="minorEastAsia" w:hAnsi="Sylfaen" w:cs="Sylfaen"/>
          <w:lang w:val="ka-GE"/>
        </w:rPr>
        <w:t>ზუსტ</w:t>
      </w:r>
      <w:r w:rsidRPr="005C296B">
        <w:rPr>
          <w:rFonts w:eastAsiaTheme="minorEastAsia"/>
          <w:lang w:val="ka-GE"/>
        </w:rPr>
        <w:t xml:space="preserve"> </w:t>
      </w:r>
      <w:r w:rsidRPr="005C296B">
        <w:rPr>
          <w:rFonts w:ascii="Sylfaen" w:eastAsiaTheme="minorEastAsia" w:hAnsi="Sylfaen" w:cs="Sylfaen"/>
          <w:lang w:val="ka-GE"/>
        </w:rPr>
        <w:t>განზავებას</w:t>
      </w:r>
      <w:r w:rsidRPr="005C296B">
        <w:rPr>
          <w:rFonts w:eastAsiaTheme="minorEastAsia"/>
          <w:lang w:val="ka-GE"/>
        </w:rPr>
        <w:t xml:space="preserve">. </w:t>
      </w:r>
      <w:r w:rsidRPr="005C296B">
        <w:rPr>
          <w:rFonts w:ascii="Sylfaen" w:eastAsiaTheme="minorEastAsia" w:hAnsi="Sylfaen" w:cs="Sylfaen"/>
          <w:lang w:val="ka-GE"/>
        </w:rPr>
        <w:t>სისტემა</w:t>
      </w:r>
      <w:r w:rsidRPr="005C296B">
        <w:rPr>
          <w:rFonts w:eastAsiaTheme="minorEastAsia"/>
          <w:lang w:val="ka-GE"/>
        </w:rPr>
        <w:t xml:space="preserve"> </w:t>
      </w:r>
      <w:r w:rsidRPr="005C296B">
        <w:rPr>
          <w:rFonts w:ascii="Sylfaen" w:eastAsiaTheme="minorEastAsia" w:hAnsi="Sylfaen" w:cs="Sylfaen"/>
          <w:lang w:val="ka-GE"/>
        </w:rPr>
        <w:t>აღჭურვილია</w:t>
      </w:r>
      <w:r w:rsidRPr="005C296B">
        <w:rPr>
          <w:rFonts w:eastAsiaTheme="minorEastAsia"/>
          <w:lang w:val="ka-GE"/>
        </w:rPr>
        <w:t xml:space="preserve"> </w:t>
      </w:r>
      <w:r w:rsidRPr="005C296B">
        <w:rPr>
          <w:rFonts w:ascii="Sylfaen" w:eastAsiaTheme="minorEastAsia" w:hAnsi="Sylfaen" w:cs="Sylfaen"/>
          <w:lang w:val="ka-GE"/>
        </w:rPr>
        <w:t>ანტიკოროზიული</w:t>
      </w:r>
      <w:r w:rsidRPr="005C296B">
        <w:rPr>
          <w:rFonts w:eastAsiaTheme="minorEastAsia"/>
          <w:lang w:val="ka-GE"/>
        </w:rPr>
        <w:t xml:space="preserve"> </w:t>
      </w:r>
      <w:r w:rsidRPr="005C296B">
        <w:rPr>
          <w:rFonts w:ascii="Sylfaen" w:eastAsiaTheme="minorEastAsia" w:hAnsi="Sylfaen" w:cs="Sylfaen"/>
          <w:lang w:val="ka-GE"/>
        </w:rPr>
        <w:t>სატუმბი</w:t>
      </w:r>
      <w:r w:rsidRPr="005C296B">
        <w:rPr>
          <w:rFonts w:eastAsiaTheme="minorEastAsia"/>
          <w:lang w:val="ka-GE"/>
        </w:rPr>
        <w:t xml:space="preserve"> </w:t>
      </w:r>
      <w:r w:rsidRPr="005C296B">
        <w:rPr>
          <w:rFonts w:ascii="Sylfaen" w:eastAsiaTheme="minorEastAsia" w:hAnsi="Sylfaen" w:cs="Sylfaen"/>
          <w:lang w:val="ka-GE"/>
        </w:rPr>
        <w:t>მოწყობილობით</w:t>
      </w:r>
      <w:r w:rsidRPr="005C296B">
        <w:rPr>
          <w:rFonts w:eastAsiaTheme="minorEastAsia"/>
          <w:lang w:val="ka-GE"/>
        </w:rPr>
        <w:t>.</w:t>
      </w:r>
    </w:p>
    <w:p w14:paraId="6C18A74A" w14:textId="77777777" w:rsidR="00CD64B5" w:rsidRPr="005C296B" w:rsidRDefault="00CD64B5" w:rsidP="00CD64B5">
      <w:pPr>
        <w:spacing w:before="120" w:after="120"/>
        <w:rPr>
          <w:rFonts w:eastAsiaTheme="minorEastAsia"/>
          <w:lang w:val="ka-GE"/>
        </w:rPr>
      </w:pPr>
      <w:r w:rsidRPr="005C296B">
        <w:rPr>
          <w:rFonts w:ascii="Sylfaen" w:eastAsiaTheme="minorEastAsia" w:hAnsi="Sylfaen" w:cs="Sylfaen"/>
          <w:lang w:val="ka-GE"/>
        </w:rPr>
        <w:t>მართვის</w:t>
      </w:r>
      <w:r w:rsidRPr="005C296B">
        <w:rPr>
          <w:rFonts w:eastAsiaTheme="minorEastAsia"/>
          <w:lang w:val="ka-GE"/>
        </w:rPr>
        <w:t xml:space="preserve"> </w:t>
      </w:r>
      <w:r w:rsidRPr="005C296B">
        <w:rPr>
          <w:rFonts w:ascii="Sylfaen" w:eastAsiaTheme="minorEastAsia" w:hAnsi="Sylfaen" w:cs="Sylfaen"/>
          <w:lang w:val="ka-GE"/>
        </w:rPr>
        <w:t>სისტემა</w:t>
      </w:r>
      <w:r w:rsidRPr="005C296B">
        <w:rPr>
          <w:rFonts w:eastAsiaTheme="minorEastAsia"/>
          <w:lang w:val="ka-GE"/>
        </w:rPr>
        <w:t xml:space="preserve"> </w:t>
      </w:r>
      <w:r w:rsidRPr="005C296B">
        <w:rPr>
          <w:rFonts w:ascii="Sylfaen" w:eastAsiaTheme="minorEastAsia" w:hAnsi="Sylfaen" w:cs="Sylfaen"/>
          <w:lang w:val="ka-GE"/>
        </w:rPr>
        <w:t>ავტომატურია</w:t>
      </w:r>
      <w:r w:rsidRPr="005C296B">
        <w:rPr>
          <w:rFonts w:eastAsiaTheme="minorEastAsia"/>
          <w:lang w:val="ka-GE"/>
        </w:rPr>
        <w:t xml:space="preserve">. </w:t>
      </w:r>
      <w:r w:rsidRPr="005C296B">
        <w:rPr>
          <w:rFonts w:ascii="Sylfaen" w:eastAsiaTheme="minorEastAsia" w:hAnsi="Sylfaen" w:cs="Sylfaen"/>
          <w:lang w:val="ka-GE"/>
        </w:rPr>
        <w:t>გააჩნია</w:t>
      </w:r>
      <w:r w:rsidRPr="005C296B">
        <w:rPr>
          <w:rFonts w:eastAsiaTheme="minorEastAsia"/>
          <w:lang w:val="ka-GE"/>
        </w:rPr>
        <w:t xml:space="preserve"> </w:t>
      </w:r>
      <w:r w:rsidRPr="005C296B">
        <w:rPr>
          <w:rFonts w:ascii="Sylfaen" w:eastAsiaTheme="minorEastAsia" w:hAnsi="Sylfaen" w:cs="Sylfaen"/>
          <w:lang w:val="ka-GE"/>
        </w:rPr>
        <w:t>თანამედროვე</w:t>
      </w:r>
      <w:r w:rsidRPr="005C296B">
        <w:rPr>
          <w:rFonts w:eastAsiaTheme="minorEastAsia"/>
          <w:lang w:val="ka-GE"/>
        </w:rPr>
        <w:t xml:space="preserve"> </w:t>
      </w:r>
      <w:r w:rsidRPr="005C296B">
        <w:rPr>
          <w:rFonts w:ascii="Sylfaen" w:eastAsiaTheme="minorEastAsia" w:hAnsi="Sylfaen" w:cs="Sylfaen"/>
          <w:lang w:val="ka-GE"/>
        </w:rPr>
        <w:t>კომპიუტერული</w:t>
      </w:r>
      <w:r w:rsidRPr="005C296B">
        <w:rPr>
          <w:rFonts w:eastAsiaTheme="minorEastAsia"/>
          <w:lang w:val="ka-GE"/>
        </w:rPr>
        <w:t xml:space="preserve"> </w:t>
      </w:r>
      <w:r w:rsidRPr="005C296B">
        <w:rPr>
          <w:rFonts w:ascii="Sylfaen" w:eastAsiaTheme="minorEastAsia" w:hAnsi="Sylfaen" w:cs="Sylfaen"/>
          <w:lang w:val="ka-GE"/>
        </w:rPr>
        <w:t>კონტროლერი</w:t>
      </w:r>
      <w:r w:rsidRPr="005C296B">
        <w:rPr>
          <w:rFonts w:eastAsiaTheme="minorEastAsia"/>
          <w:lang w:val="ka-GE"/>
        </w:rPr>
        <w:t xml:space="preserve">, </w:t>
      </w:r>
      <w:r w:rsidRPr="005C296B">
        <w:rPr>
          <w:rFonts w:ascii="Sylfaen" w:eastAsiaTheme="minorEastAsia" w:hAnsi="Sylfaen" w:cs="Sylfaen"/>
          <w:lang w:val="ka-GE"/>
        </w:rPr>
        <w:t>რაც</w:t>
      </w:r>
      <w:r w:rsidRPr="005C296B">
        <w:rPr>
          <w:rFonts w:eastAsiaTheme="minorEastAsia"/>
          <w:lang w:val="ka-GE"/>
        </w:rPr>
        <w:t xml:space="preserve"> </w:t>
      </w:r>
      <w:r w:rsidRPr="005C296B">
        <w:rPr>
          <w:rFonts w:ascii="Sylfaen" w:eastAsiaTheme="minorEastAsia" w:hAnsi="Sylfaen" w:cs="Sylfaen"/>
          <w:lang w:val="ka-GE"/>
        </w:rPr>
        <w:t>უზრუნველყოფს</w:t>
      </w:r>
      <w:r w:rsidRPr="005C296B">
        <w:rPr>
          <w:rFonts w:eastAsiaTheme="minorEastAsia"/>
          <w:lang w:val="ka-GE"/>
        </w:rPr>
        <w:t xml:space="preserve"> </w:t>
      </w:r>
      <w:r w:rsidRPr="005C296B">
        <w:rPr>
          <w:rFonts w:ascii="Sylfaen" w:eastAsiaTheme="minorEastAsia" w:hAnsi="Sylfaen" w:cs="Sylfaen"/>
          <w:lang w:val="ka-GE"/>
        </w:rPr>
        <w:t>ავტომატურ</w:t>
      </w:r>
      <w:r w:rsidRPr="005C296B">
        <w:rPr>
          <w:rFonts w:eastAsiaTheme="minorEastAsia"/>
          <w:lang w:val="ka-GE"/>
        </w:rPr>
        <w:t xml:space="preserve"> </w:t>
      </w:r>
      <w:r w:rsidRPr="005C296B">
        <w:rPr>
          <w:rFonts w:ascii="Sylfaen" w:eastAsiaTheme="minorEastAsia" w:hAnsi="Sylfaen" w:cs="Sylfaen"/>
          <w:lang w:val="ka-GE"/>
        </w:rPr>
        <w:t>მართვას</w:t>
      </w:r>
      <w:r w:rsidRPr="005C296B">
        <w:rPr>
          <w:rFonts w:eastAsiaTheme="minorEastAsia"/>
          <w:lang w:val="ka-GE"/>
        </w:rPr>
        <w:t xml:space="preserve"> </w:t>
      </w:r>
      <w:r w:rsidRPr="005C296B">
        <w:rPr>
          <w:rFonts w:ascii="Sylfaen" w:eastAsiaTheme="minorEastAsia" w:hAnsi="Sylfaen" w:cs="Sylfaen"/>
          <w:lang w:val="ka-GE"/>
        </w:rPr>
        <w:t>ბეტონის</w:t>
      </w:r>
      <w:r w:rsidRPr="005C296B">
        <w:rPr>
          <w:rFonts w:eastAsiaTheme="minorEastAsia"/>
          <w:lang w:val="ka-GE"/>
        </w:rPr>
        <w:t xml:space="preserve"> </w:t>
      </w:r>
      <w:r w:rsidRPr="005C296B">
        <w:rPr>
          <w:rFonts w:ascii="Sylfaen" w:eastAsiaTheme="minorEastAsia" w:hAnsi="Sylfaen" w:cs="Sylfaen"/>
          <w:lang w:val="ka-GE"/>
        </w:rPr>
        <w:t>მომზადების</w:t>
      </w:r>
      <w:r w:rsidRPr="005C296B">
        <w:rPr>
          <w:rFonts w:eastAsiaTheme="minorEastAsia"/>
          <w:lang w:val="ka-GE"/>
        </w:rPr>
        <w:t xml:space="preserve"> </w:t>
      </w:r>
      <w:r w:rsidRPr="005C296B">
        <w:rPr>
          <w:rFonts w:ascii="Sylfaen" w:eastAsiaTheme="minorEastAsia" w:hAnsi="Sylfaen" w:cs="Sylfaen"/>
          <w:lang w:val="ka-GE"/>
        </w:rPr>
        <w:t>პროცესში</w:t>
      </w:r>
      <w:r w:rsidRPr="005C296B">
        <w:rPr>
          <w:rFonts w:eastAsiaTheme="minorEastAsia"/>
          <w:lang w:val="ka-GE"/>
        </w:rPr>
        <w:t xml:space="preserve">, </w:t>
      </w:r>
      <w:r w:rsidRPr="005C296B">
        <w:rPr>
          <w:rFonts w:ascii="Sylfaen" w:eastAsiaTheme="minorEastAsia" w:hAnsi="Sylfaen" w:cs="Sylfaen"/>
          <w:lang w:val="ka-GE"/>
        </w:rPr>
        <w:t>ასევე</w:t>
      </w:r>
      <w:r w:rsidRPr="005C296B">
        <w:rPr>
          <w:rFonts w:eastAsiaTheme="minorEastAsia"/>
          <w:lang w:val="ka-GE"/>
        </w:rPr>
        <w:t xml:space="preserve"> </w:t>
      </w:r>
      <w:r w:rsidRPr="005C296B">
        <w:rPr>
          <w:rFonts w:ascii="Sylfaen" w:eastAsiaTheme="minorEastAsia" w:hAnsi="Sylfaen" w:cs="Sylfaen"/>
          <w:lang w:val="ka-GE"/>
        </w:rPr>
        <w:t>წყლის</w:t>
      </w:r>
      <w:r w:rsidRPr="005C296B">
        <w:rPr>
          <w:rFonts w:eastAsiaTheme="minorEastAsia"/>
          <w:lang w:val="ka-GE"/>
        </w:rPr>
        <w:t xml:space="preserve"> </w:t>
      </w:r>
      <w:r w:rsidRPr="005C296B">
        <w:rPr>
          <w:rFonts w:ascii="Sylfaen" w:eastAsiaTheme="minorEastAsia" w:hAnsi="Sylfaen" w:cs="Sylfaen"/>
          <w:lang w:val="ka-GE"/>
        </w:rPr>
        <w:t>რაოდენობის</w:t>
      </w:r>
      <w:r w:rsidRPr="005C296B">
        <w:rPr>
          <w:rFonts w:eastAsiaTheme="minorEastAsia"/>
          <w:lang w:val="ka-GE"/>
        </w:rPr>
        <w:t xml:space="preserve"> </w:t>
      </w:r>
      <w:r w:rsidRPr="005C296B">
        <w:rPr>
          <w:rFonts w:ascii="Sylfaen" w:eastAsiaTheme="minorEastAsia" w:hAnsi="Sylfaen" w:cs="Sylfaen"/>
          <w:lang w:val="ka-GE"/>
        </w:rPr>
        <w:t>ავტომატურ</w:t>
      </w:r>
      <w:r w:rsidRPr="005C296B">
        <w:rPr>
          <w:rFonts w:eastAsiaTheme="minorEastAsia"/>
          <w:lang w:val="ka-GE"/>
        </w:rPr>
        <w:t xml:space="preserve"> </w:t>
      </w:r>
      <w:r w:rsidRPr="005C296B">
        <w:rPr>
          <w:rFonts w:ascii="Sylfaen" w:eastAsiaTheme="minorEastAsia" w:hAnsi="Sylfaen" w:cs="Sylfaen"/>
          <w:lang w:val="ka-GE"/>
        </w:rPr>
        <w:t>კორექტირებას</w:t>
      </w:r>
      <w:r w:rsidRPr="005C296B">
        <w:rPr>
          <w:rFonts w:eastAsiaTheme="minorEastAsia"/>
          <w:lang w:val="ka-GE"/>
        </w:rPr>
        <w:t xml:space="preserve">. </w:t>
      </w:r>
    </w:p>
    <w:p w14:paraId="08D6C131" w14:textId="77777777" w:rsidR="00CD64B5" w:rsidRPr="005C296B" w:rsidRDefault="00CD64B5" w:rsidP="00CD64B5">
      <w:pPr>
        <w:spacing w:before="120" w:after="120"/>
        <w:rPr>
          <w:rFonts w:eastAsiaTheme="minorEastAsia"/>
          <w:lang w:val="ka-GE"/>
        </w:rPr>
      </w:pPr>
      <w:r w:rsidRPr="005C296B">
        <w:rPr>
          <w:rFonts w:ascii="Sylfaen" w:eastAsiaTheme="minorEastAsia" w:hAnsi="Sylfaen" w:cs="Sylfaen"/>
          <w:lang w:val="ka-GE"/>
        </w:rPr>
        <w:t>სილოსებში</w:t>
      </w:r>
      <w:r w:rsidRPr="005C296B">
        <w:rPr>
          <w:rFonts w:eastAsiaTheme="minorEastAsia"/>
          <w:lang w:val="ka-GE"/>
        </w:rPr>
        <w:t xml:space="preserve"> </w:t>
      </w:r>
      <w:r w:rsidRPr="005C296B">
        <w:rPr>
          <w:rFonts w:ascii="Sylfaen" w:eastAsiaTheme="minorEastAsia" w:hAnsi="Sylfaen" w:cs="Sylfaen"/>
          <w:lang w:val="ka-GE"/>
        </w:rPr>
        <w:t>ცემენტის</w:t>
      </w:r>
      <w:r w:rsidRPr="005C296B">
        <w:rPr>
          <w:rFonts w:eastAsiaTheme="minorEastAsia"/>
          <w:lang w:val="ka-GE"/>
        </w:rPr>
        <w:t xml:space="preserve"> </w:t>
      </w:r>
      <w:r w:rsidRPr="005C296B">
        <w:rPr>
          <w:rFonts w:ascii="Sylfaen" w:eastAsiaTheme="minorEastAsia" w:hAnsi="Sylfaen" w:cs="Sylfaen"/>
          <w:lang w:val="ka-GE"/>
        </w:rPr>
        <w:t>ჩატვირთვა</w:t>
      </w:r>
      <w:r w:rsidRPr="005C296B">
        <w:rPr>
          <w:rFonts w:eastAsiaTheme="minorEastAsia"/>
          <w:lang w:val="ka-GE"/>
        </w:rPr>
        <w:t xml:space="preserve"> (</w:t>
      </w:r>
      <w:r w:rsidRPr="005C296B">
        <w:rPr>
          <w:rFonts w:ascii="Sylfaen" w:eastAsiaTheme="minorEastAsia" w:hAnsi="Sylfaen" w:cs="Sylfaen"/>
          <w:lang w:val="ka-GE"/>
        </w:rPr>
        <w:t>აღჭურვილია</w:t>
      </w:r>
      <w:r w:rsidRPr="005C296B">
        <w:rPr>
          <w:rFonts w:eastAsiaTheme="minorEastAsia"/>
          <w:lang w:val="ka-GE"/>
        </w:rPr>
        <w:t xml:space="preserve"> </w:t>
      </w:r>
      <w:r w:rsidRPr="005C296B">
        <w:rPr>
          <w:rFonts w:ascii="Sylfaen" w:eastAsiaTheme="minorEastAsia" w:hAnsi="Sylfaen" w:cs="Sylfaen"/>
          <w:lang w:val="ka-GE"/>
        </w:rPr>
        <w:t>ქსოვილის</w:t>
      </w:r>
      <w:r w:rsidRPr="005C296B">
        <w:rPr>
          <w:rFonts w:eastAsiaTheme="minorEastAsia"/>
          <w:lang w:val="ka-GE"/>
        </w:rPr>
        <w:t xml:space="preserve"> </w:t>
      </w:r>
      <w:r w:rsidRPr="005C296B">
        <w:rPr>
          <w:rFonts w:ascii="Sylfaen" w:eastAsiaTheme="minorEastAsia" w:hAnsi="Sylfaen" w:cs="Sylfaen"/>
          <w:lang w:val="ka-GE"/>
        </w:rPr>
        <w:t>ფილტრით</w:t>
      </w:r>
      <w:r w:rsidRPr="005C296B">
        <w:rPr>
          <w:rFonts w:eastAsiaTheme="minorEastAsia"/>
          <w:lang w:val="ka-GE"/>
        </w:rPr>
        <w:t xml:space="preserve">), </w:t>
      </w:r>
      <w:r w:rsidRPr="005C296B">
        <w:rPr>
          <w:rFonts w:ascii="Sylfaen" w:eastAsiaTheme="minorEastAsia" w:hAnsi="Sylfaen" w:cs="Sylfaen"/>
          <w:lang w:val="ka-GE"/>
        </w:rPr>
        <w:t>ტრანსპორტირება</w:t>
      </w:r>
      <w:r w:rsidRPr="005C296B">
        <w:rPr>
          <w:rFonts w:eastAsiaTheme="minorEastAsia"/>
          <w:lang w:val="ka-GE"/>
        </w:rPr>
        <w:t xml:space="preserve"> </w:t>
      </w:r>
      <w:r w:rsidRPr="005C296B">
        <w:rPr>
          <w:rFonts w:ascii="Sylfaen" w:eastAsiaTheme="minorEastAsia" w:hAnsi="Sylfaen" w:cs="Sylfaen"/>
          <w:lang w:val="ka-GE"/>
        </w:rPr>
        <w:t>და</w:t>
      </w:r>
      <w:r w:rsidRPr="005C296B">
        <w:rPr>
          <w:rFonts w:eastAsiaTheme="minorEastAsia"/>
          <w:lang w:val="ka-GE"/>
        </w:rPr>
        <w:t xml:space="preserve"> </w:t>
      </w:r>
      <w:r w:rsidRPr="005C296B">
        <w:rPr>
          <w:rFonts w:ascii="Sylfaen" w:eastAsiaTheme="minorEastAsia" w:hAnsi="Sylfaen" w:cs="Sylfaen"/>
          <w:lang w:val="ka-GE"/>
        </w:rPr>
        <w:t>ცემენტის</w:t>
      </w:r>
      <w:r w:rsidRPr="005C296B">
        <w:rPr>
          <w:rFonts w:eastAsiaTheme="minorEastAsia"/>
          <w:lang w:val="ka-GE"/>
        </w:rPr>
        <w:t xml:space="preserve"> </w:t>
      </w:r>
      <w:r w:rsidRPr="005C296B">
        <w:rPr>
          <w:rFonts w:ascii="Sylfaen" w:eastAsiaTheme="minorEastAsia" w:hAnsi="Sylfaen" w:cs="Sylfaen"/>
          <w:lang w:val="ka-GE"/>
        </w:rPr>
        <w:t>მასის</w:t>
      </w:r>
      <w:r w:rsidRPr="005C296B">
        <w:rPr>
          <w:rFonts w:eastAsiaTheme="minorEastAsia"/>
          <w:lang w:val="ka-GE"/>
        </w:rPr>
        <w:t xml:space="preserve"> </w:t>
      </w:r>
      <w:r w:rsidRPr="005C296B">
        <w:rPr>
          <w:rFonts w:ascii="Sylfaen" w:eastAsiaTheme="minorEastAsia" w:hAnsi="Sylfaen" w:cs="Sylfaen"/>
          <w:lang w:val="ka-GE"/>
        </w:rPr>
        <w:t>მომზადება</w:t>
      </w:r>
      <w:r w:rsidRPr="005C296B">
        <w:rPr>
          <w:rFonts w:eastAsiaTheme="minorEastAsia"/>
          <w:lang w:val="ka-GE"/>
        </w:rPr>
        <w:t xml:space="preserve"> </w:t>
      </w:r>
      <w:r w:rsidRPr="005C296B">
        <w:rPr>
          <w:rFonts w:ascii="Sylfaen" w:eastAsiaTheme="minorEastAsia" w:hAnsi="Sylfaen" w:cs="Sylfaen"/>
          <w:lang w:val="ka-GE"/>
        </w:rPr>
        <w:t>განხორციელდება</w:t>
      </w:r>
      <w:r w:rsidRPr="005C296B">
        <w:rPr>
          <w:rFonts w:eastAsiaTheme="minorEastAsia"/>
          <w:lang w:val="ka-GE"/>
        </w:rPr>
        <w:t xml:space="preserve"> </w:t>
      </w:r>
      <w:r w:rsidRPr="005C296B">
        <w:rPr>
          <w:rFonts w:ascii="Sylfaen" w:eastAsiaTheme="minorEastAsia" w:hAnsi="Sylfaen" w:cs="Sylfaen"/>
          <w:lang w:val="ka-GE"/>
        </w:rPr>
        <w:t>ჰერმეტულად</w:t>
      </w:r>
      <w:r w:rsidRPr="005C296B">
        <w:rPr>
          <w:rFonts w:eastAsiaTheme="minorEastAsia"/>
          <w:lang w:val="ka-GE"/>
        </w:rPr>
        <w:t xml:space="preserve"> </w:t>
      </w:r>
      <w:r w:rsidRPr="005C296B">
        <w:rPr>
          <w:rFonts w:ascii="Sylfaen" w:eastAsiaTheme="minorEastAsia" w:hAnsi="Sylfaen" w:cs="Sylfaen"/>
          <w:lang w:val="ka-GE"/>
        </w:rPr>
        <w:t>დაცულ</w:t>
      </w:r>
      <w:r w:rsidRPr="005C296B">
        <w:rPr>
          <w:rFonts w:eastAsiaTheme="minorEastAsia"/>
          <w:lang w:val="ka-GE"/>
        </w:rPr>
        <w:t xml:space="preserve"> </w:t>
      </w:r>
      <w:r w:rsidRPr="005C296B">
        <w:rPr>
          <w:rFonts w:ascii="Sylfaen" w:eastAsiaTheme="minorEastAsia" w:hAnsi="Sylfaen" w:cs="Sylfaen"/>
          <w:lang w:val="ka-GE"/>
        </w:rPr>
        <w:t>პირობებში</w:t>
      </w:r>
      <w:r w:rsidRPr="005C296B">
        <w:rPr>
          <w:rFonts w:eastAsiaTheme="minorEastAsia"/>
          <w:lang w:val="ka-GE"/>
        </w:rPr>
        <w:t xml:space="preserve">, </w:t>
      </w:r>
      <w:r w:rsidRPr="005C296B">
        <w:rPr>
          <w:rFonts w:ascii="Sylfaen" w:eastAsiaTheme="minorEastAsia" w:hAnsi="Sylfaen" w:cs="Sylfaen"/>
          <w:lang w:val="ka-GE"/>
        </w:rPr>
        <w:t>რაც</w:t>
      </w:r>
      <w:r w:rsidRPr="005C296B">
        <w:rPr>
          <w:rFonts w:eastAsiaTheme="minorEastAsia"/>
          <w:lang w:val="ka-GE"/>
        </w:rPr>
        <w:t xml:space="preserve"> </w:t>
      </w:r>
      <w:r w:rsidRPr="005C296B">
        <w:rPr>
          <w:rFonts w:ascii="Sylfaen" w:eastAsiaTheme="minorEastAsia" w:hAnsi="Sylfaen" w:cs="Sylfaen"/>
          <w:lang w:val="ka-GE"/>
        </w:rPr>
        <w:t>შეამცირებს</w:t>
      </w:r>
      <w:r w:rsidRPr="005C296B">
        <w:rPr>
          <w:rFonts w:eastAsiaTheme="minorEastAsia"/>
          <w:lang w:val="ka-GE"/>
        </w:rPr>
        <w:t xml:space="preserve"> </w:t>
      </w:r>
      <w:r w:rsidRPr="005C296B">
        <w:rPr>
          <w:rFonts w:ascii="Sylfaen" w:eastAsiaTheme="minorEastAsia" w:hAnsi="Sylfaen" w:cs="Sylfaen"/>
          <w:lang w:val="ka-GE"/>
        </w:rPr>
        <w:t>ატმოსფეროს</w:t>
      </w:r>
      <w:r w:rsidRPr="005C296B">
        <w:rPr>
          <w:rFonts w:eastAsiaTheme="minorEastAsia"/>
          <w:lang w:val="ka-GE"/>
        </w:rPr>
        <w:t xml:space="preserve"> </w:t>
      </w:r>
      <w:r w:rsidRPr="005C296B">
        <w:rPr>
          <w:rFonts w:ascii="Sylfaen" w:eastAsiaTheme="minorEastAsia" w:hAnsi="Sylfaen" w:cs="Sylfaen"/>
          <w:lang w:val="ka-GE"/>
        </w:rPr>
        <w:t>დაბინძურებას</w:t>
      </w:r>
      <w:r w:rsidRPr="005C296B">
        <w:rPr>
          <w:rFonts w:eastAsiaTheme="minorEastAsia"/>
          <w:lang w:val="ka-GE"/>
        </w:rPr>
        <w:t>.</w:t>
      </w:r>
    </w:p>
    <w:p w14:paraId="31BE194B" w14:textId="77777777" w:rsidR="00CD64B5" w:rsidRPr="005C296B" w:rsidRDefault="00CD64B5" w:rsidP="00CD64B5">
      <w:pPr>
        <w:spacing w:before="120" w:after="120"/>
        <w:rPr>
          <w:rFonts w:eastAsiaTheme="minorEastAsia"/>
          <w:lang w:val="ka-GE"/>
        </w:rPr>
      </w:pPr>
      <w:r w:rsidRPr="005C296B">
        <w:rPr>
          <w:rFonts w:ascii="Sylfaen" w:eastAsiaTheme="minorEastAsia" w:hAnsi="Sylfaen" w:cs="Sylfaen"/>
          <w:lang w:val="ka-GE"/>
        </w:rPr>
        <w:t>ბეტონის</w:t>
      </w:r>
      <w:r w:rsidRPr="005C296B">
        <w:rPr>
          <w:rFonts w:eastAsiaTheme="minorEastAsia"/>
          <w:lang w:val="ka-GE"/>
        </w:rPr>
        <w:t xml:space="preserve"> </w:t>
      </w:r>
      <w:r w:rsidRPr="005C296B">
        <w:rPr>
          <w:rFonts w:ascii="Sylfaen" w:eastAsiaTheme="minorEastAsia" w:hAnsi="Sylfaen" w:cs="Sylfaen"/>
          <w:lang w:val="ka-GE"/>
        </w:rPr>
        <w:t>დამამზადებელი</w:t>
      </w:r>
      <w:r w:rsidRPr="005C296B">
        <w:rPr>
          <w:rFonts w:eastAsiaTheme="minorEastAsia"/>
          <w:lang w:val="ka-GE"/>
        </w:rPr>
        <w:t xml:space="preserve"> </w:t>
      </w:r>
      <w:r w:rsidRPr="005C296B">
        <w:rPr>
          <w:rFonts w:ascii="Sylfaen" w:eastAsiaTheme="minorEastAsia" w:hAnsi="Sylfaen" w:cs="Sylfaen"/>
          <w:lang w:val="ka-GE"/>
        </w:rPr>
        <w:t>საწარმოები</w:t>
      </w:r>
      <w:r w:rsidRPr="005C296B">
        <w:rPr>
          <w:rFonts w:eastAsiaTheme="minorEastAsia"/>
          <w:lang w:val="ka-GE"/>
        </w:rPr>
        <w:t xml:space="preserve"> (</w:t>
      </w:r>
      <w:r w:rsidRPr="005C296B">
        <w:rPr>
          <w:rFonts w:ascii="Sylfaen" w:eastAsiaTheme="minorEastAsia" w:hAnsi="Sylfaen" w:cs="Sylfaen"/>
          <w:lang w:val="ka-GE"/>
        </w:rPr>
        <w:t>ბეტონის</w:t>
      </w:r>
      <w:r w:rsidRPr="005C296B">
        <w:rPr>
          <w:rFonts w:eastAsiaTheme="minorEastAsia"/>
          <w:lang w:val="ka-GE"/>
        </w:rPr>
        <w:t xml:space="preserve"> </w:t>
      </w:r>
      <w:r w:rsidRPr="005C296B">
        <w:rPr>
          <w:rFonts w:ascii="Sylfaen" w:eastAsiaTheme="minorEastAsia" w:hAnsi="Sylfaen" w:cs="Sylfaen"/>
          <w:lang w:val="ka-GE"/>
        </w:rPr>
        <w:t>კვანძი</w:t>
      </w:r>
      <w:r w:rsidRPr="005C296B">
        <w:rPr>
          <w:rFonts w:eastAsiaTheme="minorEastAsia"/>
          <w:lang w:val="ka-GE"/>
        </w:rPr>
        <w:t xml:space="preserve">) </w:t>
      </w:r>
      <w:r w:rsidRPr="005C296B">
        <w:rPr>
          <w:rFonts w:ascii="Sylfaen" w:eastAsiaTheme="minorEastAsia" w:hAnsi="Sylfaen" w:cs="Sylfaen"/>
          <w:lang w:val="ka-GE"/>
        </w:rPr>
        <w:t>გამოირჩევიან</w:t>
      </w:r>
      <w:r w:rsidRPr="005C296B">
        <w:rPr>
          <w:rFonts w:eastAsiaTheme="minorEastAsia"/>
          <w:lang w:val="ka-GE"/>
        </w:rPr>
        <w:t xml:space="preserve"> </w:t>
      </w:r>
      <w:r w:rsidRPr="005C296B">
        <w:rPr>
          <w:rFonts w:ascii="Sylfaen" w:eastAsiaTheme="minorEastAsia" w:hAnsi="Sylfaen" w:cs="Sylfaen"/>
          <w:lang w:val="ka-GE"/>
        </w:rPr>
        <w:t>ატმოსფერული</w:t>
      </w:r>
      <w:r w:rsidRPr="005C296B">
        <w:rPr>
          <w:rFonts w:eastAsiaTheme="minorEastAsia"/>
          <w:lang w:val="ka-GE"/>
        </w:rPr>
        <w:t xml:space="preserve"> </w:t>
      </w:r>
      <w:r w:rsidRPr="005C296B">
        <w:rPr>
          <w:rFonts w:ascii="Sylfaen" w:eastAsiaTheme="minorEastAsia" w:hAnsi="Sylfaen" w:cs="Sylfaen"/>
          <w:lang w:val="ka-GE"/>
        </w:rPr>
        <w:t>ჰაერის</w:t>
      </w:r>
      <w:r w:rsidRPr="005C296B">
        <w:rPr>
          <w:rFonts w:eastAsiaTheme="minorEastAsia"/>
          <w:lang w:val="ka-GE"/>
        </w:rPr>
        <w:t xml:space="preserve"> </w:t>
      </w:r>
      <w:r w:rsidRPr="005C296B">
        <w:rPr>
          <w:rFonts w:ascii="Sylfaen" w:eastAsiaTheme="minorEastAsia" w:hAnsi="Sylfaen" w:cs="Sylfaen"/>
          <w:lang w:val="ka-GE"/>
        </w:rPr>
        <w:t>დაბინძურების</w:t>
      </w:r>
      <w:r w:rsidRPr="005C296B">
        <w:rPr>
          <w:rFonts w:eastAsiaTheme="minorEastAsia"/>
          <w:lang w:val="ka-GE"/>
        </w:rPr>
        <w:t xml:space="preserve"> </w:t>
      </w:r>
      <w:r w:rsidRPr="005C296B">
        <w:rPr>
          <w:rFonts w:ascii="Sylfaen" w:eastAsiaTheme="minorEastAsia" w:hAnsi="Sylfaen" w:cs="Sylfaen"/>
          <w:lang w:val="ka-GE"/>
        </w:rPr>
        <w:t>მცირე</w:t>
      </w:r>
      <w:r w:rsidRPr="005C296B">
        <w:rPr>
          <w:rFonts w:eastAsiaTheme="minorEastAsia"/>
          <w:lang w:val="ka-GE"/>
        </w:rPr>
        <w:t xml:space="preserve"> </w:t>
      </w:r>
      <w:r w:rsidRPr="005C296B">
        <w:rPr>
          <w:rFonts w:ascii="Sylfaen" w:eastAsiaTheme="minorEastAsia" w:hAnsi="Sylfaen" w:cs="Sylfaen"/>
          <w:lang w:val="ka-GE"/>
        </w:rPr>
        <w:t>მოცულობით</w:t>
      </w:r>
      <w:r w:rsidRPr="005C296B">
        <w:rPr>
          <w:rFonts w:eastAsiaTheme="minorEastAsia"/>
          <w:lang w:val="ka-GE"/>
        </w:rPr>
        <w:t xml:space="preserve">, </w:t>
      </w:r>
      <w:r w:rsidRPr="005C296B">
        <w:rPr>
          <w:rFonts w:ascii="Sylfaen" w:eastAsiaTheme="minorEastAsia" w:hAnsi="Sylfaen" w:cs="Sylfaen"/>
          <w:lang w:val="ka-GE"/>
        </w:rPr>
        <w:t>რადგან</w:t>
      </w:r>
      <w:r w:rsidRPr="005C296B">
        <w:rPr>
          <w:rFonts w:eastAsiaTheme="minorEastAsia"/>
          <w:lang w:val="ka-GE"/>
        </w:rPr>
        <w:t xml:space="preserve"> </w:t>
      </w:r>
      <w:r w:rsidRPr="005C296B">
        <w:rPr>
          <w:rFonts w:ascii="Sylfaen" w:eastAsiaTheme="minorEastAsia" w:hAnsi="Sylfaen" w:cs="Sylfaen"/>
          <w:lang w:val="ka-GE"/>
        </w:rPr>
        <w:t>ბეტონის</w:t>
      </w:r>
      <w:r w:rsidRPr="005C296B">
        <w:rPr>
          <w:rFonts w:eastAsiaTheme="minorEastAsia"/>
          <w:lang w:val="ka-GE"/>
        </w:rPr>
        <w:t xml:space="preserve"> </w:t>
      </w:r>
      <w:r w:rsidRPr="005C296B">
        <w:rPr>
          <w:rFonts w:ascii="Sylfaen" w:eastAsiaTheme="minorEastAsia" w:hAnsi="Sylfaen" w:cs="Sylfaen"/>
          <w:lang w:val="ka-GE"/>
        </w:rPr>
        <w:t>დამზადების</w:t>
      </w:r>
      <w:r w:rsidRPr="005C296B">
        <w:rPr>
          <w:rFonts w:eastAsiaTheme="minorEastAsia"/>
          <w:lang w:val="ka-GE"/>
        </w:rPr>
        <w:t xml:space="preserve"> </w:t>
      </w:r>
      <w:r w:rsidRPr="005C296B">
        <w:rPr>
          <w:rFonts w:ascii="Sylfaen" w:eastAsiaTheme="minorEastAsia" w:hAnsi="Sylfaen" w:cs="Sylfaen"/>
          <w:lang w:val="ka-GE"/>
        </w:rPr>
        <w:t>პროცესი</w:t>
      </w:r>
      <w:r w:rsidRPr="005C296B">
        <w:rPr>
          <w:rFonts w:eastAsiaTheme="minorEastAsia"/>
          <w:lang w:val="ka-GE"/>
        </w:rPr>
        <w:t xml:space="preserve"> </w:t>
      </w:r>
      <w:r w:rsidRPr="005C296B">
        <w:rPr>
          <w:rFonts w:ascii="Sylfaen" w:eastAsiaTheme="minorEastAsia" w:hAnsi="Sylfaen" w:cs="Sylfaen"/>
          <w:lang w:val="ka-GE"/>
        </w:rPr>
        <w:t>ბუნებრივად</w:t>
      </w:r>
      <w:r w:rsidRPr="005C296B">
        <w:rPr>
          <w:rFonts w:eastAsiaTheme="minorEastAsia"/>
          <w:lang w:val="ka-GE"/>
        </w:rPr>
        <w:t xml:space="preserve"> </w:t>
      </w:r>
      <w:r w:rsidRPr="005C296B">
        <w:rPr>
          <w:rFonts w:ascii="Sylfaen" w:eastAsiaTheme="minorEastAsia" w:hAnsi="Sylfaen" w:cs="Sylfaen"/>
          <w:lang w:val="ka-GE"/>
        </w:rPr>
        <w:t>ტენიანი</w:t>
      </w:r>
      <w:r w:rsidRPr="005C296B">
        <w:rPr>
          <w:rFonts w:eastAsiaTheme="minorEastAsia"/>
          <w:lang w:val="ka-GE"/>
        </w:rPr>
        <w:t xml:space="preserve"> </w:t>
      </w:r>
      <w:r w:rsidRPr="005C296B">
        <w:rPr>
          <w:rFonts w:ascii="Sylfaen" w:eastAsiaTheme="minorEastAsia" w:hAnsi="Sylfaen" w:cs="Sylfaen"/>
          <w:lang w:val="ka-GE"/>
        </w:rPr>
        <w:t>ინერტული</w:t>
      </w:r>
      <w:r w:rsidRPr="005C296B">
        <w:rPr>
          <w:rFonts w:eastAsiaTheme="minorEastAsia"/>
          <w:lang w:val="ka-GE"/>
        </w:rPr>
        <w:t xml:space="preserve"> </w:t>
      </w:r>
      <w:r w:rsidRPr="005C296B">
        <w:rPr>
          <w:rFonts w:ascii="Sylfaen" w:eastAsiaTheme="minorEastAsia" w:hAnsi="Sylfaen" w:cs="Sylfaen"/>
          <w:lang w:val="ka-GE"/>
        </w:rPr>
        <w:t>მასალებისა</w:t>
      </w:r>
      <w:r w:rsidRPr="005C296B">
        <w:rPr>
          <w:rFonts w:eastAsiaTheme="minorEastAsia"/>
          <w:lang w:val="ka-GE"/>
        </w:rPr>
        <w:t xml:space="preserve"> </w:t>
      </w:r>
      <w:r w:rsidRPr="005C296B">
        <w:rPr>
          <w:rFonts w:ascii="Sylfaen" w:eastAsiaTheme="minorEastAsia" w:hAnsi="Sylfaen" w:cs="Sylfaen"/>
          <w:lang w:val="ka-GE"/>
        </w:rPr>
        <w:t>და</w:t>
      </w:r>
      <w:r w:rsidRPr="005C296B">
        <w:rPr>
          <w:rFonts w:eastAsiaTheme="minorEastAsia"/>
          <w:lang w:val="ka-GE"/>
        </w:rPr>
        <w:t xml:space="preserve"> </w:t>
      </w:r>
      <w:r w:rsidRPr="005C296B">
        <w:rPr>
          <w:rFonts w:ascii="Sylfaen" w:eastAsiaTheme="minorEastAsia" w:hAnsi="Sylfaen" w:cs="Sylfaen"/>
          <w:lang w:val="ka-GE"/>
        </w:rPr>
        <w:t>ცემენტის</w:t>
      </w:r>
      <w:r w:rsidRPr="005C296B">
        <w:rPr>
          <w:rFonts w:eastAsiaTheme="minorEastAsia"/>
          <w:lang w:val="ka-GE"/>
        </w:rPr>
        <w:t xml:space="preserve"> </w:t>
      </w:r>
      <w:r w:rsidRPr="005C296B">
        <w:rPr>
          <w:rFonts w:ascii="Sylfaen" w:eastAsiaTheme="minorEastAsia" w:hAnsi="Sylfaen" w:cs="Sylfaen"/>
          <w:lang w:val="ka-GE"/>
        </w:rPr>
        <w:t>შერევის</w:t>
      </w:r>
      <w:r w:rsidRPr="005C296B">
        <w:rPr>
          <w:rFonts w:eastAsiaTheme="minorEastAsia"/>
          <w:lang w:val="ka-GE"/>
        </w:rPr>
        <w:t xml:space="preserve"> </w:t>
      </w:r>
      <w:r w:rsidRPr="005C296B">
        <w:rPr>
          <w:rFonts w:ascii="Sylfaen" w:eastAsiaTheme="minorEastAsia" w:hAnsi="Sylfaen" w:cs="Sylfaen"/>
          <w:lang w:val="ka-GE"/>
        </w:rPr>
        <w:t>შემდეგ</w:t>
      </w:r>
      <w:r w:rsidRPr="005C296B">
        <w:rPr>
          <w:rFonts w:eastAsiaTheme="minorEastAsia"/>
          <w:lang w:val="ka-GE"/>
        </w:rPr>
        <w:t xml:space="preserve"> </w:t>
      </w:r>
      <w:r w:rsidRPr="005C296B">
        <w:rPr>
          <w:rFonts w:ascii="Sylfaen" w:eastAsiaTheme="minorEastAsia" w:hAnsi="Sylfaen" w:cs="Sylfaen"/>
          <w:lang w:val="ka-GE"/>
        </w:rPr>
        <w:t>ტექნოლოგიური</w:t>
      </w:r>
      <w:r w:rsidRPr="005C296B">
        <w:rPr>
          <w:rFonts w:eastAsiaTheme="minorEastAsia"/>
          <w:lang w:val="ka-GE"/>
        </w:rPr>
        <w:t xml:space="preserve"> </w:t>
      </w:r>
      <w:r w:rsidRPr="005C296B">
        <w:rPr>
          <w:rFonts w:ascii="Sylfaen" w:eastAsiaTheme="minorEastAsia" w:hAnsi="Sylfaen" w:cs="Sylfaen"/>
          <w:lang w:val="ka-GE"/>
        </w:rPr>
        <w:t>პროცესი</w:t>
      </w:r>
      <w:r w:rsidRPr="005C296B">
        <w:rPr>
          <w:rFonts w:eastAsiaTheme="minorEastAsia"/>
          <w:lang w:val="ka-GE"/>
        </w:rPr>
        <w:t xml:space="preserve"> </w:t>
      </w:r>
      <w:r w:rsidRPr="005C296B">
        <w:rPr>
          <w:rFonts w:ascii="Sylfaen" w:eastAsiaTheme="minorEastAsia" w:hAnsi="Sylfaen" w:cs="Sylfaen"/>
          <w:lang w:val="ka-GE"/>
        </w:rPr>
        <w:t>მიმდინარეობს</w:t>
      </w:r>
      <w:r w:rsidRPr="005C296B">
        <w:rPr>
          <w:rFonts w:eastAsiaTheme="minorEastAsia"/>
          <w:lang w:val="ka-GE"/>
        </w:rPr>
        <w:t xml:space="preserve"> </w:t>
      </w:r>
      <w:r w:rsidRPr="005C296B">
        <w:rPr>
          <w:rFonts w:ascii="Sylfaen" w:eastAsiaTheme="minorEastAsia" w:hAnsi="Sylfaen" w:cs="Sylfaen"/>
          <w:lang w:val="ka-GE"/>
        </w:rPr>
        <w:t>სველი</w:t>
      </w:r>
      <w:r w:rsidRPr="005C296B">
        <w:rPr>
          <w:rFonts w:eastAsiaTheme="minorEastAsia"/>
          <w:lang w:val="ka-GE"/>
        </w:rPr>
        <w:t xml:space="preserve"> </w:t>
      </w:r>
      <w:r w:rsidRPr="005C296B">
        <w:rPr>
          <w:rFonts w:ascii="Sylfaen" w:eastAsiaTheme="minorEastAsia" w:hAnsi="Sylfaen" w:cs="Sylfaen"/>
          <w:lang w:val="ka-GE"/>
        </w:rPr>
        <w:t>მეთოდით</w:t>
      </w:r>
      <w:r w:rsidRPr="005C296B">
        <w:rPr>
          <w:rFonts w:eastAsiaTheme="minorEastAsia"/>
          <w:lang w:val="ka-GE"/>
        </w:rPr>
        <w:t xml:space="preserve">. </w:t>
      </w:r>
    </w:p>
    <w:p w14:paraId="64DD1754" w14:textId="77777777" w:rsidR="00CD64B5" w:rsidRPr="005C296B" w:rsidRDefault="00CD64B5" w:rsidP="00CD64B5">
      <w:pPr>
        <w:spacing w:before="120" w:after="120"/>
        <w:rPr>
          <w:rFonts w:eastAsiaTheme="minorEastAsia"/>
          <w:lang w:val="ka-GE"/>
        </w:rPr>
      </w:pPr>
      <w:r w:rsidRPr="005C296B">
        <w:rPr>
          <w:rFonts w:ascii="Sylfaen" w:eastAsiaTheme="minorEastAsia" w:hAnsi="Sylfaen" w:cs="Sylfaen"/>
          <w:lang w:val="ka-GE"/>
        </w:rPr>
        <w:t>ატმოსფერული</w:t>
      </w:r>
      <w:r w:rsidRPr="005C296B">
        <w:rPr>
          <w:rFonts w:eastAsiaTheme="minorEastAsia"/>
          <w:lang w:val="ka-GE"/>
        </w:rPr>
        <w:t xml:space="preserve"> </w:t>
      </w:r>
      <w:r w:rsidRPr="005C296B">
        <w:rPr>
          <w:rFonts w:ascii="Sylfaen" w:eastAsiaTheme="minorEastAsia" w:hAnsi="Sylfaen" w:cs="Sylfaen"/>
          <w:lang w:val="ka-GE"/>
        </w:rPr>
        <w:t>ჰაერის</w:t>
      </w:r>
      <w:r w:rsidRPr="005C296B">
        <w:rPr>
          <w:rFonts w:eastAsiaTheme="minorEastAsia"/>
          <w:lang w:val="ka-GE"/>
        </w:rPr>
        <w:t xml:space="preserve"> </w:t>
      </w:r>
      <w:r w:rsidRPr="005C296B">
        <w:rPr>
          <w:rFonts w:ascii="Sylfaen" w:eastAsiaTheme="minorEastAsia" w:hAnsi="Sylfaen" w:cs="Sylfaen"/>
          <w:lang w:val="ka-GE"/>
        </w:rPr>
        <w:t>დაბინძურების</w:t>
      </w:r>
      <w:r w:rsidRPr="005C296B">
        <w:rPr>
          <w:rFonts w:eastAsiaTheme="minorEastAsia"/>
          <w:lang w:val="ka-GE"/>
        </w:rPr>
        <w:t xml:space="preserve"> </w:t>
      </w:r>
      <w:r w:rsidRPr="005C296B">
        <w:rPr>
          <w:rFonts w:ascii="Sylfaen" w:eastAsiaTheme="minorEastAsia" w:hAnsi="Sylfaen" w:cs="Sylfaen"/>
          <w:lang w:val="ka-GE"/>
        </w:rPr>
        <w:t>წყაროებს</w:t>
      </w:r>
      <w:r w:rsidRPr="005C296B">
        <w:rPr>
          <w:rFonts w:eastAsiaTheme="minorEastAsia"/>
          <w:lang w:val="ka-GE"/>
        </w:rPr>
        <w:t xml:space="preserve"> </w:t>
      </w:r>
      <w:r w:rsidRPr="005C296B">
        <w:rPr>
          <w:rFonts w:ascii="Sylfaen" w:eastAsiaTheme="minorEastAsia" w:hAnsi="Sylfaen" w:cs="Sylfaen"/>
          <w:lang w:val="ka-GE"/>
        </w:rPr>
        <w:t>წარმოადგენენ</w:t>
      </w:r>
      <w:r w:rsidRPr="005C296B">
        <w:rPr>
          <w:rFonts w:eastAsiaTheme="minorEastAsia"/>
          <w:lang w:val="ka-GE"/>
        </w:rPr>
        <w:t xml:space="preserve"> </w:t>
      </w:r>
      <w:r w:rsidRPr="005C296B">
        <w:rPr>
          <w:rFonts w:ascii="Sylfaen" w:eastAsiaTheme="minorEastAsia" w:hAnsi="Sylfaen" w:cs="Sylfaen"/>
          <w:lang w:val="ka-GE"/>
        </w:rPr>
        <w:t>შემდეგი</w:t>
      </w:r>
      <w:r w:rsidRPr="005C296B">
        <w:rPr>
          <w:rFonts w:eastAsiaTheme="minorEastAsia"/>
          <w:lang w:val="ka-GE"/>
        </w:rPr>
        <w:t xml:space="preserve"> </w:t>
      </w:r>
      <w:r w:rsidRPr="005C296B">
        <w:rPr>
          <w:rFonts w:ascii="Sylfaen" w:eastAsiaTheme="minorEastAsia" w:hAnsi="Sylfaen" w:cs="Sylfaen"/>
          <w:lang w:val="ka-GE"/>
        </w:rPr>
        <w:t>ტექნოლოგიური</w:t>
      </w:r>
      <w:r w:rsidRPr="005C296B">
        <w:rPr>
          <w:rFonts w:eastAsiaTheme="minorEastAsia"/>
          <w:lang w:val="ka-GE"/>
        </w:rPr>
        <w:t xml:space="preserve"> </w:t>
      </w:r>
      <w:r w:rsidRPr="005C296B">
        <w:rPr>
          <w:rFonts w:ascii="Sylfaen" w:eastAsiaTheme="minorEastAsia" w:hAnsi="Sylfaen" w:cs="Sylfaen"/>
          <w:lang w:val="ka-GE"/>
        </w:rPr>
        <w:t>პროცესები</w:t>
      </w:r>
      <w:r w:rsidRPr="005C296B">
        <w:rPr>
          <w:rFonts w:eastAsiaTheme="minorEastAsia"/>
          <w:lang w:val="ka-GE"/>
        </w:rPr>
        <w:t xml:space="preserve"> </w:t>
      </w:r>
      <w:r w:rsidRPr="005C296B">
        <w:rPr>
          <w:rFonts w:ascii="Sylfaen" w:eastAsiaTheme="minorEastAsia" w:hAnsi="Sylfaen" w:cs="Sylfaen"/>
          <w:lang w:val="ka-GE"/>
        </w:rPr>
        <w:t>და</w:t>
      </w:r>
      <w:r w:rsidRPr="005C296B">
        <w:rPr>
          <w:rFonts w:eastAsiaTheme="minorEastAsia"/>
          <w:lang w:val="ka-GE"/>
        </w:rPr>
        <w:t xml:space="preserve"> </w:t>
      </w:r>
      <w:r w:rsidRPr="005C296B">
        <w:rPr>
          <w:rFonts w:ascii="Sylfaen" w:eastAsiaTheme="minorEastAsia" w:hAnsi="Sylfaen" w:cs="Sylfaen"/>
          <w:lang w:val="ka-GE"/>
        </w:rPr>
        <w:t>დანადგარები</w:t>
      </w:r>
      <w:r w:rsidRPr="005C296B">
        <w:rPr>
          <w:rFonts w:eastAsiaTheme="minorEastAsia"/>
          <w:lang w:val="ka-GE"/>
        </w:rPr>
        <w:t xml:space="preserve">: </w:t>
      </w:r>
    </w:p>
    <w:p w14:paraId="10D4DD7E" w14:textId="77777777" w:rsidR="00CD64B5" w:rsidRPr="005C296B" w:rsidRDefault="00CD64B5" w:rsidP="00CD64B5">
      <w:pPr>
        <w:spacing w:before="120" w:after="120"/>
        <w:rPr>
          <w:rFonts w:eastAsiaTheme="minorEastAsia"/>
          <w:lang w:val="ka-GE"/>
        </w:rPr>
      </w:pPr>
      <w:r w:rsidRPr="005C296B">
        <w:rPr>
          <w:rFonts w:ascii="Sylfaen" w:eastAsiaTheme="minorEastAsia" w:hAnsi="Sylfaen" w:cs="Sylfaen"/>
          <w:lang w:val="ka-GE"/>
        </w:rPr>
        <w:t>ინერტული</w:t>
      </w:r>
      <w:r w:rsidRPr="005C296B">
        <w:rPr>
          <w:rFonts w:eastAsiaTheme="minorEastAsia"/>
          <w:lang w:val="ka-GE"/>
        </w:rPr>
        <w:t xml:space="preserve"> </w:t>
      </w:r>
      <w:r w:rsidRPr="005C296B">
        <w:rPr>
          <w:rFonts w:ascii="Sylfaen" w:eastAsiaTheme="minorEastAsia" w:hAnsi="Sylfaen" w:cs="Sylfaen"/>
          <w:lang w:val="ka-GE"/>
        </w:rPr>
        <w:t>მასალების</w:t>
      </w:r>
      <w:r w:rsidRPr="005C296B">
        <w:rPr>
          <w:rFonts w:eastAsiaTheme="minorEastAsia"/>
          <w:lang w:val="ka-GE"/>
        </w:rPr>
        <w:t xml:space="preserve"> </w:t>
      </w:r>
      <w:r w:rsidRPr="005C296B">
        <w:rPr>
          <w:rFonts w:ascii="Sylfaen" w:eastAsiaTheme="minorEastAsia" w:hAnsi="Sylfaen" w:cs="Sylfaen"/>
          <w:lang w:val="ka-GE"/>
        </w:rPr>
        <w:t>დამუშავება</w:t>
      </w:r>
      <w:r w:rsidRPr="005C296B">
        <w:rPr>
          <w:rFonts w:eastAsiaTheme="minorEastAsia"/>
          <w:lang w:val="ka-GE"/>
        </w:rPr>
        <w:t xml:space="preserve">, </w:t>
      </w:r>
      <w:r w:rsidRPr="005C296B">
        <w:rPr>
          <w:rFonts w:ascii="Sylfaen" w:eastAsiaTheme="minorEastAsia" w:hAnsi="Sylfaen" w:cs="Sylfaen"/>
          <w:lang w:val="ka-GE"/>
        </w:rPr>
        <w:t>სატვირთო</w:t>
      </w:r>
      <w:r w:rsidRPr="005C296B">
        <w:rPr>
          <w:rFonts w:eastAsiaTheme="minorEastAsia"/>
          <w:lang w:val="ka-GE"/>
        </w:rPr>
        <w:t xml:space="preserve"> </w:t>
      </w:r>
      <w:r w:rsidRPr="005C296B">
        <w:rPr>
          <w:rFonts w:ascii="Sylfaen" w:eastAsiaTheme="minorEastAsia" w:hAnsi="Sylfaen" w:cs="Sylfaen"/>
          <w:lang w:val="ka-GE"/>
        </w:rPr>
        <w:t>ავტომობილების</w:t>
      </w:r>
      <w:r w:rsidRPr="005C296B">
        <w:rPr>
          <w:rFonts w:eastAsiaTheme="minorEastAsia"/>
          <w:lang w:val="ka-GE"/>
        </w:rPr>
        <w:t xml:space="preserve"> </w:t>
      </w:r>
      <w:r w:rsidRPr="005C296B">
        <w:rPr>
          <w:rFonts w:ascii="Sylfaen" w:eastAsiaTheme="minorEastAsia" w:hAnsi="Sylfaen" w:cs="Sylfaen"/>
          <w:lang w:val="ka-GE"/>
        </w:rPr>
        <w:t>სადგური</w:t>
      </w:r>
      <w:r w:rsidRPr="005C296B">
        <w:rPr>
          <w:rFonts w:eastAsiaTheme="minorEastAsia"/>
          <w:lang w:val="ka-GE"/>
        </w:rPr>
        <w:t xml:space="preserve">, </w:t>
      </w:r>
      <w:r w:rsidRPr="005C296B">
        <w:rPr>
          <w:rFonts w:ascii="Sylfaen" w:eastAsiaTheme="minorEastAsia" w:hAnsi="Sylfaen" w:cs="Sylfaen"/>
          <w:lang w:val="ka-GE"/>
        </w:rPr>
        <w:t>დიზელის</w:t>
      </w:r>
      <w:r w:rsidRPr="005C296B">
        <w:rPr>
          <w:rFonts w:eastAsiaTheme="minorEastAsia"/>
          <w:lang w:val="ka-GE"/>
        </w:rPr>
        <w:t xml:space="preserve"> </w:t>
      </w:r>
      <w:r w:rsidRPr="005C296B">
        <w:rPr>
          <w:rFonts w:ascii="Sylfaen" w:eastAsiaTheme="minorEastAsia" w:hAnsi="Sylfaen" w:cs="Sylfaen"/>
          <w:lang w:val="ka-GE"/>
        </w:rPr>
        <w:t>რეზერვუარი</w:t>
      </w:r>
      <w:r w:rsidRPr="005C296B">
        <w:rPr>
          <w:rFonts w:eastAsiaTheme="minorEastAsia"/>
          <w:lang w:val="ka-GE"/>
        </w:rPr>
        <w:t xml:space="preserve">, </w:t>
      </w:r>
      <w:r w:rsidRPr="005C296B">
        <w:rPr>
          <w:rFonts w:ascii="Sylfaen" w:eastAsiaTheme="minorEastAsia" w:hAnsi="Sylfaen" w:cs="Sylfaen"/>
          <w:lang w:val="ka-GE"/>
        </w:rPr>
        <w:t>ლენტური</w:t>
      </w:r>
      <w:r w:rsidRPr="005C296B">
        <w:rPr>
          <w:rFonts w:eastAsiaTheme="minorEastAsia"/>
          <w:lang w:val="ka-GE"/>
        </w:rPr>
        <w:t xml:space="preserve"> </w:t>
      </w:r>
      <w:r w:rsidRPr="005C296B">
        <w:rPr>
          <w:rFonts w:ascii="Sylfaen" w:eastAsiaTheme="minorEastAsia" w:hAnsi="Sylfaen" w:cs="Sylfaen"/>
          <w:lang w:val="ka-GE"/>
        </w:rPr>
        <w:t>ტრანსპორტიორები</w:t>
      </w:r>
      <w:r w:rsidRPr="005C296B">
        <w:rPr>
          <w:rFonts w:eastAsiaTheme="minorEastAsia"/>
          <w:lang w:val="ka-GE"/>
        </w:rPr>
        <w:t xml:space="preserve"> </w:t>
      </w:r>
      <w:r w:rsidRPr="005C296B">
        <w:rPr>
          <w:rFonts w:ascii="Sylfaen" w:eastAsiaTheme="minorEastAsia" w:hAnsi="Sylfaen" w:cs="Sylfaen"/>
          <w:lang w:val="ka-GE"/>
        </w:rPr>
        <w:t>და</w:t>
      </w:r>
      <w:r w:rsidRPr="005C296B">
        <w:rPr>
          <w:rFonts w:eastAsiaTheme="minorEastAsia"/>
          <w:lang w:val="ka-GE"/>
        </w:rPr>
        <w:t xml:space="preserve"> </w:t>
      </w:r>
      <w:r w:rsidRPr="005C296B">
        <w:rPr>
          <w:rFonts w:ascii="Sylfaen" w:eastAsiaTheme="minorEastAsia" w:hAnsi="Sylfaen" w:cs="Sylfaen"/>
          <w:lang w:val="ka-GE"/>
        </w:rPr>
        <w:t>ცემენტის</w:t>
      </w:r>
      <w:r w:rsidRPr="005C296B">
        <w:rPr>
          <w:rFonts w:eastAsiaTheme="minorEastAsia"/>
          <w:lang w:val="ka-GE"/>
        </w:rPr>
        <w:t xml:space="preserve"> </w:t>
      </w:r>
      <w:r w:rsidRPr="005C296B">
        <w:rPr>
          <w:rFonts w:ascii="Sylfaen" w:eastAsiaTheme="minorEastAsia" w:hAnsi="Sylfaen" w:cs="Sylfaen"/>
          <w:lang w:val="ka-GE"/>
        </w:rPr>
        <w:t>სილოსები</w:t>
      </w:r>
      <w:r w:rsidRPr="005C296B">
        <w:rPr>
          <w:rFonts w:eastAsiaTheme="minorEastAsia"/>
          <w:lang w:val="ka-GE"/>
        </w:rPr>
        <w:t xml:space="preserve">. </w:t>
      </w:r>
    </w:p>
    <w:p w14:paraId="5141D46F" w14:textId="77777777" w:rsidR="00CD64B5" w:rsidRPr="005C296B" w:rsidRDefault="00CD64B5" w:rsidP="00CD64B5">
      <w:pPr>
        <w:spacing w:before="120" w:after="120"/>
        <w:rPr>
          <w:rFonts w:eastAsiaTheme="minorEastAsia"/>
          <w:lang w:val="ka-GE"/>
        </w:rPr>
      </w:pPr>
      <w:r w:rsidRPr="005C296B">
        <w:rPr>
          <w:rFonts w:ascii="Sylfaen" w:eastAsiaTheme="minorEastAsia" w:hAnsi="Sylfaen" w:cs="Sylfaen"/>
          <w:lang w:val="ka-GE"/>
        </w:rPr>
        <w:t>ფაქტიური</w:t>
      </w:r>
      <w:r w:rsidRPr="005C296B">
        <w:rPr>
          <w:rFonts w:eastAsiaTheme="minorEastAsia"/>
          <w:lang w:val="ka-GE"/>
        </w:rPr>
        <w:t xml:space="preserve"> </w:t>
      </w:r>
      <w:r w:rsidRPr="005C296B">
        <w:rPr>
          <w:rFonts w:ascii="Sylfaen" w:eastAsiaTheme="minorEastAsia" w:hAnsi="Sylfaen" w:cs="Sylfaen"/>
          <w:lang w:val="ka-GE"/>
        </w:rPr>
        <w:t>ტენიანობა</w:t>
      </w:r>
      <w:r w:rsidRPr="005C296B">
        <w:rPr>
          <w:rFonts w:eastAsiaTheme="minorEastAsia"/>
          <w:lang w:val="ka-GE"/>
        </w:rPr>
        <w:t xml:space="preserve"> </w:t>
      </w:r>
      <w:r w:rsidRPr="005C296B">
        <w:rPr>
          <w:rFonts w:ascii="Sylfaen" w:eastAsiaTheme="minorEastAsia" w:hAnsi="Sylfaen" w:cs="Sylfaen"/>
          <w:lang w:val="ka-GE"/>
        </w:rPr>
        <w:t>ხრეშისა</w:t>
      </w:r>
      <w:r w:rsidRPr="005C296B">
        <w:rPr>
          <w:rFonts w:eastAsiaTheme="minorEastAsia"/>
          <w:lang w:val="ka-GE"/>
        </w:rPr>
        <w:t xml:space="preserve"> </w:t>
      </w:r>
      <w:r w:rsidRPr="005C296B">
        <w:rPr>
          <w:rFonts w:ascii="Sylfaen" w:eastAsiaTheme="minorEastAsia" w:hAnsi="Sylfaen" w:cs="Sylfaen"/>
          <w:lang w:val="ka-GE"/>
        </w:rPr>
        <w:t>მერყეობს</w:t>
      </w:r>
      <w:r w:rsidRPr="005C296B">
        <w:rPr>
          <w:rFonts w:eastAsiaTheme="minorEastAsia"/>
          <w:lang w:val="ka-GE"/>
        </w:rPr>
        <w:t xml:space="preserve"> 9-10%-</w:t>
      </w:r>
      <w:r w:rsidRPr="005C296B">
        <w:rPr>
          <w:rFonts w:ascii="Sylfaen" w:eastAsiaTheme="minorEastAsia" w:hAnsi="Sylfaen" w:cs="Sylfaen"/>
          <w:lang w:val="ka-GE"/>
        </w:rPr>
        <w:t>ის</w:t>
      </w:r>
      <w:r w:rsidRPr="005C296B">
        <w:rPr>
          <w:rFonts w:eastAsiaTheme="minorEastAsia"/>
          <w:lang w:val="ka-GE"/>
        </w:rPr>
        <w:t xml:space="preserve"> </w:t>
      </w:r>
      <w:r w:rsidRPr="005C296B">
        <w:rPr>
          <w:rFonts w:ascii="Sylfaen" w:eastAsiaTheme="minorEastAsia" w:hAnsi="Sylfaen" w:cs="Sylfaen"/>
          <w:lang w:val="ka-GE"/>
        </w:rPr>
        <w:t>ფარგლებში</w:t>
      </w:r>
      <w:r w:rsidRPr="005C296B">
        <w:rPr>
          <w:rFonts w:eastAsiaTheme="minorEastAsia"/>
          <w:lang w:val="ka-GE"/>
        </w:rPr>
        <w:t xml:space="preserve">, </w:t>
      </w:r>
      <w:r w:rsidRPr="005C296B">
        <w:rPr>
          <w:rFonts w:ascii="Sylfaen" w:eastAsiaTheme="minorEastAsia" w:hAnsi="Sylfaen" w:cs="Sylfaen"/>
          <w:lang w:val="ka-GE"/>
        </w:rPr>
        <w:t>ხოლო</w:t>
      </w:r>
      <w:r w:rsidRPr="005C296B">
        <w:rPr>
          <w:rFonts w:eastAsiaTheme="minorEastAsia"/>
          <w:lang w:val="ka-GE"/>
        </w:rPr>
        <w:t xml:space="preserve"> </w:t>
      </w:r>
      <w:r w:rsidRPr="005C296B">
        <w:rPr>
          <w:rFonts w:ascii="Sylfaen" w:eastAsiaTheme="minorEastAsia" w:hAnsi="Sylfaen" w:cs="Sylfaen"/>
          <w:lang w:val="ka-GE"/>
        </w:rPr>
        <w:t>ქვიშის</w:t>
      </w:r>
      <w:r w:rsidRPr="005C296B">
        <w:rPr>
          <w:rFonts w:eastAsiaTheme="minorEastAsia"/>
          <w:lang w:val="ka-GE"/>
        </w:rPr>
        <w:t xml:space="preserve"> &gt; 10% .</w:t>
      </w:r>
    </w:p>
    <w:p w14:paraId="657F7FDD" w14:textId="77777777" w:rsidR="00CD64B5" w:rsidRPr="005C296B" w:rsidRDefault="00CD64B5" w:rsidP="00CD64B5">
      <w:pPr>
        <w:spacing w:before="120" w:after="120"/>
        <w:rPr>
          <w:rFonts w:eastAsiaTheme="minorEastAsia"/>
          <w:lang w:val="ka-GE"/>
        </w:rPr>
      </w:pPr>
      <w:r w:rsidRPr="005C296B">
        <w:rPr>
          <w:rFonts w:ascii="Sylfaen" w:eastAsiaTheme="minorEastAsia" w:hAnsi="Sylfaen" w:cs="Sylfaen"/>
          <w:lang w:val="ka-GE"/>
        </w:rPr>
        <w:t>საწარმოში</w:t>
      </w:r>
      <w:r w:rsidRPr="005C296B">
        <w:rPr>
          <w:rFonts w:eastAsiaTheme="minorEastAsia"/>
          <w:lang w:val="ka-GE"/>
        </w:rPr>
        <w:t xml:space="preserve"> </w:t>
      </w:r>
      <w:r w:rsidRPr="005C296B">
        <w:rPr>
          <w:rFonts w:ascii="Sylfaen" w:eastAsiaTheme="minorEastAsia" w:hAnsi="Sylfaen" w:cs="Sylfaen"/>
          <w:lang w:val="ka-GE"/>
        </w:rPr>
        <w:t>დამონტაჟდება</w:t>
      </w:r>
      <w:r w:rsidRPr="005C296B">
        <w:rPr>
          <w:rFonts w:eastAsiaTheme="minorEastAsia"/>
          <w:lang w:val="ka-GE"/>
        </w:rPr>
        <w:t xml:space="preserve"> 2 </w:t>
      </w:r>
      <w:r w:rsidRPr="005C296B">
        <w:rPr>
          <w:rFonts w:ascii="Sylfaen" w:eastAsiaTheme="minorEastAsia" w:hAnsi="Sylfaen" w:cs="Sylfaen"/>
          <w:lang w:val="ka-GE"/>
        </w:rPr>
        <w:t>ცემენტის</w:t>
      </w:r>
      <w:r w:rsidRPr="005C296B">
        <w:rPr>
          <w:rFonts w:eastAsiaTheme="minorEastAsia"/>
          <w:lang w:val="ka-GE"/>
        </w:rPr>
        <w:t xml:space="preserve"> </w:t>
      </w:r>
      <w:r w:rsidRPr="005C296B">
        <w:rPr>
          <w:rFonts w:ascii="Sylfaen" w:eastAsiaTheme="minorEastAsia" w:hAnsi="Sylfaen" w:cs="Sylfaen"/>
          <w:lang w:val="ka-GE"/>
        </w:rPr>
        <w:t>სილოსი</w:t>
      </w:r>
      <w:r w:rsidRPr="005C296B">
        <w:rPr>
          <w:rFonts w:eastAsiaTheme="minorEastAsia"/>
          <w:lang w:val="ka-GE"/>
        </w:rPr>
        <w:t>-</w:t>
      </w:r>
      <w:r w:rsidRPr="005C296B">
        <w:rPr>
          <w:rFonts w:ascii="Sylfaen" w:eastAsiaTheme="minorEastAsia" w:hAnsi="Sylfaen" w:cs="Sylfaen"/>
          <w:lang w:val="ka-GE"/>
        </w:rPr>
        <w:t>საერთო</w:t>
      </w:r>
      <w:r w:rsidRPr="005C296B">
        <w:rPr>
          <w:rFonts w:eastAsiaTheme="minorEastAsia"/>
          <w:lang w:val="ka-GE"/>
        </w:rPr>
        <w:t xml:space="preserve"> </w:t>
      </w:r>
      <w:r w:rsidRPr="005C296B">
        <w:rPr>
          <w:rFonts w:ascii="Sylfaen" w:eastAsiaTheme="minorEastAsia" w:hAnsi="Sylfaen" w:cs="Sylfaen"/>
          <w:lang w:val="ka-GE"/>
        </w:rPr>
        <w:t>მოცულობით</w:t>
      </w:r>
      <w:r w:rsidRPr="005C296B">
        <w:rPr>
          <w:rFonts w:eastAsiaTheme="minorEastAsia"/>
          <w:lang w:val="ka-GE"/>
        </w:rPr>
        <w:t xml:space="preserve"> 100 </w:t>
      </w:r>
      <w:r w:rsidRPr="005C296B">
        <w:rPr>
          <w:rFonts w:ascii="Sylfaen" w:eastAsiaTheme="minorEastAsia" w:hAnsi="Sylfaen" w:cs="Sylfaen"/>
          <w:lang w:val="ka-GE"/>
        </w:rPr>
        <w:t>ტ</w:t>
      </w:r>
      <w:r w:rsidRPr="005C296B">
        <w:rPr>
          <w:rFonts w:eastAsiaTheme="minorEastAsia"/>
          <w:lang w:val="ka-GE"/>
        </w:rPr>
        <w:t>.(</w:t>
      </w:r>
      <w:r w:rsidRPr="005C296B">
        <w:rPr>
          <w:rFonts w:ascii="Sylfaen" w:eastAsiaTheme="minorEastAsia" w:hAnsi="Sylfaen" w:cs="Sylfaen"/>
          <w:lang w:val="ka-GE"/>
        </w:rPr>
        <w:t>აღიჭურვება</w:t>
      </w:r>
      <w:r w:rsidRPr="005C296B">
        <w:rPr>
          <w:rFonts w:eastAsiaTheme="minorEastAsia"/>
          <w:lang w:val="ka-GE"/>
        </w:rPr>
        <w:t xml:space="preserve"> </w:t>
      </w:r>
      <w:r w:rsidRPr="005C296B">
        <w:rPr>
          <w:rFonts w:ascii="Sylfaen" w:eastAsiaTheme="minorEastAsia" w:hAnsi="Sylfaen" w:cs="Sylfaen"/>
          <w:lang w:val="ka-GE"/>
        </w:rPr>
        <w:t>სათანადო</w:t>
      </w:r>
      <w:r w:rsidRPr="005C296B">
        <w:rPr>
          <w:rFonts w:eastAsiaTheme="minorEastAsia"/>
          <w:lang w:val="ka-GE"/>
        </w:rPr>
        <w:t xml:space="preserve"> </w:t>
      </w:r>
      <w:r w:rsidRPr="005C296B">
        <w:rPr>
          <w:rFonts w:ascii="Sylfaen" w:eastAsiaTheme="minorEastAsia" w:hAnsi="Sylfaen" w:cs="Sylfaen"/>
          <w:lang w:val="ka-GE"/>
        </w:rPr>
        <w:t>ფილტრით</w:t>
      </w:r>
      <w:r w:rsidRPr="005C296B">
        <w:rPr>
          <w:rFonts w:eastAsiaTheme="minorEastAsia"/>
          <w:lang w:val="ka-GE"/>
        </w:rPr>
        <w:t xml:space="preserve">). </w:t>
      </w:r>
      <w:r w:rsidRPr="005C296B">
        <w:rPr>
          <w:rFonts w:ascii="Sylfaen" w:eastAsiaTheme="minorEastAsia" w:hAnsi="Sylfaen" w:cs="Sylfaen"/>
          <w:lang w:val="ka-GE"/>
        </w:rPr>
        <w:t>ღია</w:t>
      </w:r>
      <w:r w:rsidRPr="005C296B">
        <w:rPr>
          <w:rFonts w:eastAsiaTheme="minorEastAsia"/>
          <w:lang w:val="ka-GE"/>
        </w:rPr>
        <w:t xml:space="preserve"> </w:t>
      </w:r>
      <w:r w:rsidRPr="005C296B">
        <w:rPr>
          <w:rFonts w:ascii="Sylfaen" w:eastAsiaTheme="minorEastAsia" w:hAnsi="Sylfaen" w:cs="Sylfaen"/>
          <w:lang w:val="ka-GE"/>
        </w:rPr>
        <w:t>საწყობები</w:t>
      </w:r>
      <w:r w:rsidRPr="005C296B">
        <w:rPr>
          <w:rFonts w:eastAsiaTheme="minorEastAsia"/>
          <w:lang w:val="ka-GE"/>
        </w:rPr>
        <w:t xml:space="preserve"> </w:t>
      </w:r>
      <w:r w:rsidRPr="005C296B">
        <w:rPr>
          <w:rFonts w:ascii="Sylfaen" w:eastAsiaTheme="minorEastAsia" w:hAnsi="Sylfaen" w:cs="Sylfaen"/>
          <w:lang w:val="ka-GE"/>
        </w:rPr>
        <w:t>ქვიშისა</w:t>
      </w:r>
      <w:r w:rsidRPr="005C296B">
        <w:rPr>
          <w:rFonts w:eastAsiaTheme="minorEastAsia"/>
          <w:lang w:val="ka-GE"/>
        </w:rPr>
        <w:t xml:space="preserve"> </w:t>
      </w:r>
      <w:r w:rsidRPr="005C296B">
        <w:rPr>
          <w:rFonts w:ascii="Sylfaen" w:eastAsiaTheme="minorEastAsia" w:hAnsi="Sylfaen" w:cs="Sylfaen"/>
          <w:lang w:val="ka-GE"/>
        </w:rPr>
        <w:t>და</w:t>
      </w:r>
      <w:r w:rsidRPr="005C296B">
        <w:rPr>
          <w:rFonts w:eastAsiaTheme="minorEastAsia"/>
          <w:lang w:val="ka-GE"/>
        </w:rPr>
        <w:t xml:space="preserve"> </w:t>
      </w:r>
      <w:r w:rsidRPr="005C296B">
        <w:rPr>
          <w:rFonts w:ascii="Sylfaen" w:eastAsiaTheme="minorEastAsia" w:hAnsi="Sylfaen" w:cs="Sylfaen"/>
          <w:lang w:val="ka-GE"/>
        </w:rPr>
        <w:t>ხრეშისათვის</w:t>
      </w:r>
      <w:r w:rsidRPr="005C296B">
        <w:rPr>
          <w:rFonts w:eastAsiaTheme="minorEastAsia"/>
          <w:lang w:val="ka-GE"/>
        </w:rPr>
        <w:t xml:space="preserve"> (</w:t>
      </w:r>
      <w:r w:rsidRPr="005C296B">
        <w:rPr>
          <w:rFonts w:ascii="Sylfaen" w:eastAsiaTheme="minorEastAsia" w:hAnsi="Sylfaen" w:cs="Sylfaen"/>
          <w:lang w:val="ka-GE"/>
        </w:rPr>
        <w:t>თვითეულის</w:t>
      </w:r>
      <w:r w:rsidRPr="005C296B">
        <w:rPr>
          <w:rFonts w:eastAsiaTheme="minorEastAsia"/>
          <w:lang w:val="ka-GE"/>
        </w:rPr>
        <w:t xml:space="preserve"> </w:t>
      </w:r>
      <w:r w:rsidRPr="005C296B">
        <w:rPr>
          <w:rFonts w:ascii="Sylfaen" w:eastAsiaTheme="minorEastAsia" w:hAnsi="Sylfaen" w:cs="Sylfaen"/>
          <w:lang w:val="ka-GE"/>
        </w:rPr>
        <w:t>ფართი</w:t>
      </w:r>
      <w:r w:rsidRPr="005C296B">
        <w:rPr>
          <w:rFonts w:eastAsiaTheme="minorEastAsia"/>
          <w:lang w:val="ka-GE"/>
        </w:rPr>
        <w:t xml:space="preserve">- 300 </w:t>
      </w:r>
      <w:r w:rsidRPr="005C296B">
        <w:rPr>
          <w:rFonts w:ascii="Sylfaen" w:eastAsiaTheme="minorEastAsia" w:hAnsi="Sylfaen" w:cs="Sylfaen"/>
          <w:lang w:val="ka-GE"/>
        </w:rPr>
        <w:t>მ</w:t>
      </w:r>
      <w:r w:rsidRPr="005C296B">
        <w:rPr>
          <w:rFonts w:eastAsiaTheme="minorEastAsia"/>
          <w:lang w:val="ka-GE"/>
        </w:rPr>
        <w:t>2);</w:t>
      </w:r>
    </w:p>
    <w:p w14:paraId="67591D72" w14:textId="77777777" w:rsidR="00CD64B5" w:rsidRPr="005C296B" w:rsidRDefault="00CD64B5" w:rsidP="00CD64B5">
      <w:pPr>
        <w:spacing w:before="120" w:after="120"/>
        <w:rPr>
          <w:rFonts w:eastAsiaTheme="minorEastAsia"/>
          <w:lang w:val="ka-GE"/>
        </w:rPr>
      </w:pPr>
      <w:r w:rsidRPr="005C296B">
        <w:rPr>
          <w:rFonts w:ascii="Sylfaen" w:eastAsiaTheme="minorEastAsia" w:hAnsi="Sylfaen" w:cs="Sylfaen"/>
          <w:lang w:val="ka-GE"/>
        </w:rPr>
        <w:t>ლენტური</w:t>
      </w:r>
      <w:r w:rsidRPr="005C296B">
        <w:rPr>
          <w:rFonts w:eastAsiaTheme="minorEastAsia"/>
          <w:lang w:val="ka-GE"/>
        </w:rPr>
        <w:t xml:space="preserve"> </w:t>
      </w:r>
      <w:r w:rsidRPr="005C296B">
        <w:rPr>
          <w:rFonts w:ascii="Sylfaen" w:eastAsiaTheme="minorEastAsia" w:hAnsi="Sylfaen" w:cs="Sylfaen"/>
          <w:lang w:val="ka-GE"/>
        </w:rPr>
        <w:t>ტრანსპორტიორების</w:t>
      </w:r>
      <w:r w:rsidRPr="005C296B">
        <w:rPr>
          <w:rFonts w:eastAsiaTheme="minorEastAsia"/>
          <w:lang w:val="ka-GE"/>
        </w:rPr>
        <w:t xml:space="preserve"> </w:t>
      </w:r>
      <w:r w:rsidRPr="005C296B">
        <w:rPr>
          <w:rFonts w:ascii="Sylfaen" w:eastAsiaTheme="minorEastAsia" w:hAnsi="Sylfaen" w:cs="Sylfaen"/>
          <w:lang w:val="ka-GE"/>
        </w:rPr>
        <w:t>საერთო</w:t>
      </w:r>
      <w:r w:rsidRPr="005C296B">
        <w:rPr>
          <w:rFonts w:eastAsiaTheme="minorEastAsia"/>
          <w:lang w:val="ka-GE"/>
        </w:rPr>
        <w:t xml:space="preserve"> </w:t>
      </w:r>
      <w:r w:rsidRPr="005C296B">
        <w:rPr>
          <w:rFonts w:ascii="Sylfaen" w:eastAsiaTheme="minorEastAsia" w:hAnsi="Sylfaen" w:cs="Sylfaen"/>
          <w:lang w:val="ka-GE"/>
        </w:rPr>
        <w:t>სიგრძე</w:t>
      </w:r>
      <w:r w:rsidRPr="005C296B">
        <w:rPr>
          <w:rFonts w:eastAsiaTheme="minorEastAsia"/>
          <w:lang w:val="ka-GE"/>
        </w:rPr>
        <w:t>-20</w:t>
      </w:r>
      <w:r w:rsidRPr="005C296B">
        <w:rPr>
          <w:rFonts w:ascii="Sylfaen" w:eastAsiaTheme="minorEastAsia" w:hAnsi="Sylfaen" w:cs="Sylfaen"/>
          <w:lang w:val="ka-GE"/>
        </w:rPr>
        <w:t>მ</w:t>
      </w:r>
      <w:r w:rsidRPr="005C296B">
        <w:rPr>
          <w:rFonts w:eastAsiaTheme="minorEastAsia"/>
          <w:lang w:val="ka-GE"/>
        </w:rPr>
        <w:t xml:space="preserve">; </w:t>
      </w:r>
      <w:r w:rsidRPr="005C296B">
        <w:rPr>
          <w:rFonts w:ascii="Sylfaen" w:eastAsiaTheme="minorEastAsia" w:hAnsi="Sylfaen" w:cs="Sylfaen"/>
          <w:lang w:val="ka-GE"/>
        </w:rPr>
        <w:t>სიგანე</w:t>
      </w:r>
      <w:r w:rsidRPr="005C296B">
        <w:rPr>
          <w:rFonts w:eastAsiaTheme="minorEastAsia"/>
          <w:lang w:val="ka-GE"/>
        </w:rPr>
        <w:t>-1,0</w:t>
      </w:r>
      <w:r w:rsidRPr="005C296B">
        <w:rPr>
          <w:rFonts w:ascii="Sylfaen" w:eastAsiaTheme="minorEastAsia" w:hAnsi="Sylfaen" w:cs="Sylfaen"/>
          <w:lang w:val="ka-GE"/>
        </w:rPr>
        <w:t>მ</w:t>
      </w:r>
      <w:r w:rsidRPr="005C296B">
        <w:rPr>
          <w:rFonts w:eastAsiaTheme="minorEastAsia"/>
          <w:lang w:val="ka-GE"/>
        </w:rPr>
        <w:t>.</w:t>
      </w:r>
    </w:p>
    <w:p w14:paraId="60CB8849" w14:textId="77777777" w:rsidR="00CD64B5" w:rsidRPr="005C296B" w:rsidRDefault="00CD64B5" w:rsidP="00CD64B5">
      <w:pPr>
        <w:spacing w:before="120" w:after="120"/>
        <w:rPr>
          <w:rFonts w:eastAsiaTheme="minorEastAsia"/>
          <w:lang w:val="ka-GE"/>
        </w:rPr>
      </w:pPr>
      <w:r w:rsidRPr="005C296B">
        <w:rPr>
          <w:rFonts w:ascii="Sylfaen" w:eastAsiaTheme="minorEastAsia" w:hAnsi="Sylfaen" w:cs="Sylfaen"/>
          <w:lang w:val="ka-GE"/>
        </w:rPr>
        <w:t>ემისიის</w:t>
      </w:r>
      <w:r w:rsidRPr="005C296B">
        <w:rPr>
          <w:rFonts w:eastAsiaTheme="minorEastAsia"/>
          <w:lang w:val="ka-GE"/>
        </w:rPr>
        <w:t xml:space="preserve"> </w:t>
      </w:r>
      <w:r w:rsidRPr="005C296B">
        <w:rPr>
          <w:rFonts w:ascii="Sylfaen" w:eastAsiaTheme="minorEastAsia" w:hAnsi="Sylfaen" w:cs="Sylfaen"/>
          <w:lang w:val="ka-GE"/>
        </w:rPr>
        <w:t>გაანგარიშება</w:t>
      </w:r>
      <w:r w:rsidRPr="005C296B">
        <w:rPr>
          <w:rFonts w:eastAsiaTheme="minorEastAsia"/>
          <w:lang w:val="ka-GE"/>
        </w:rPr>
        <w:t xml:space="preserve"> </w:t>
      </w:r>
      <w:r w:rsidRPr="005C296B">
        <w:rPr>
          <w:rFonts w:ascii="Sylfaen" w:eastAsiaTheme="minorEastAsia" w:hAnsi="Sylfaen" w:cs="Sylfaen"/>
          <w:lang w:val="ka-GE"/>
        </w:rPr>
        <w:t>შესრულებულია</w:t>
      </w:r>
      <w:r w:rsidRPr="005C296B">
        <w:rPr>
          <w:rFonts w:eastAsiaTheme="minorEastAsia"/>
          <w:lang w:val="ka-GE"/>
        </w:rPr>
        <w:t xml:space="preserve"> </w:t>
      </w:r>
      <w:r w:rsidRPr="005C296B">
        <w:rPr>
          <w:rFonts w:ascii="Sylfaen" w:eastAsiaTheme="minorEastAsia" w:hAnsi="Sylfaen" w:cs="Sylfaen"/>
          <w:lang w:val="ka-GE"/>
        </w:rPr>
        <w:t>სახარჯი</w:t>
      </w:r>
      <w:r w:rsidRPr="005C296B">
        <w:rPr>
          <w:rFonts w:eastAsiaTheme="minorEastAsia"/>
          <w:lang w:val="ka-GE"/>
        </w:rPr>
        <w:t xml:space="preserve"> </w:t>
      </w:r>
      <w:r w:rsidRPr="005C296B">
        <w:rPr>
          <w:rFonts w:ascii="Sylfaen" w:eastAsiaTheme="minorEastAsia" w:hAnsi="Sylfaen" w:cs="Sylfaen"/>
          <w:lang w:val="ka-GE"/>
        </w:rPr>
        <w:t>მასალების</w:t>
      </w:r>
      <w:r w:rsidRPr="005C296B">
        <w:rPr>
          <w:rFonts w:eastAsiaTheme="minorEastAsia"/>
          <w:lang w:val="ka-GE"/>
        </w:rPr>
        <w:t xml:space="preserve"> </w:t>
      </w:r>
      <w:r w:rsidRPr="005C296B">
        <w:rPr>
          <w:rFonts w:ascii="Sylfaen" w:eastAsiaTheme="minorEastAsia" w:hAnsi="Sylfaen" w:cs="Sylfaen"/>
          <w:lang w:val="ka-GE"/>
        </w:rPr>
        <w:t>მაქსიმალური</w:t>
      </w:r>
      <w:r w:rsidRPr="005C296B">
        <w:rPr>
          <w:rFonts w:eastAsiaTheme="minorEastAsia"/>
          <w:lang w:val="ka-GE"/>
        </w:rPr>
        <w:t xml:space="preserve"> </w:t>
      </w:r>
      <w:r w:rsidRPr="005C296B">
        <w:rPr>
          <w:rFonts w:ascii="Sylfaen" w:eastAsiaTheme="minorEastAsia" w:hAnsi="Sylfaen" w:cs="Sylfaen"/>
          <w:lang w:val="ka-GE"/>
        </w:rPr>
        <w:t>მნიშვნელობებისათვის</w:t>
      </w:r>
      <w:r w:rsidRPr="005C296B">
        <w:rPr>
          <w:rFonts w:eastAsiaTheme="minorEastAsia"/>
          <w:lang w:val="ka-GE"/>
        </w:rPr>
        <w:t xml:space="preserve">. </w:t>
      </w:r>
      <w:r w:rsidRPr="005C296B">
        <w:rPr>
          <w:rFonts w:ascii="Sylfaen" w:eastAsiaTheme="minorEastAsia" w:hAnsi="Sylfaen" w:cs="Sylfaen"/>
          <w:lang w:val="ka-GE"/>
        </w:rPr>
        <w:t>ბეტონის</w:t>
      </w:r>
      <w:r w:rsidRPr="005C296B">
        <w:rPr>
          <w:rFonts w:eastAsiaTheme="minorEastAsia"/>
          <w:lang w:val="ka-GE"/>
        </w:rPr>
        <w:t xml:space="preserve"> </w:t>
      </w:r>
      <w:r w:rsidRPr="005C296B">
        <w:rPr>
          <w:rFonts w:ascii="Sylfaen" w:eastAsiaTheme="minorEastAsia" w:hAnsi="Sylfaen" w:cs="Sylfaen"/>
          <w:lang w:val="ka-GE"/>
        </w:rPr>
        <w:t>მიღების</w:t>
      </w:r>
      <w:r w:rsidRPr="005C296B">
        <w:rPr>
          <w:rFonts w:eastAsiaTheme="minorEastAsia"/>
          <w:lang w:val="ka-GE"/>
        </w:rPr>
        <w:t xml:space="preserve"> </w:t>
      </w:r>
      <w:r w:rsidRPr="005C296B">
        <w:rPr>
          <w:rFonts w:ascii="Sylfaen" w:eastAsiaTheme="minorEastAsia" w:hAnsi="Sylfaen" w:cs="Sylfaen"/>
          <w:lang w:val="ka-GE"/>
        </w:rPr>
        <w:t>რეცეპტურა</w:t>
      </w:r>
      <w:r w:rsidRPr="005C296B">
        <w:rPr>
          <w:rFonts w:eastAsiaTheme="minorEastAsia"/>
          <w:lang w:val="ka-GE"/>
        </w:rPr>
        <w:t xml:space="preserve"> (1</w:t>
      </w:r>
      <w:r w:rsidRPr="005C296B">
        <w:rPr>
          <w:rFonts w:ascii="Sylfaen" w:eastAsiaTheme="minorEastAsia" w:hAnsi="Sylfaen" w:cs="Sylfaen"/>
          <w:lang w:val="ka-GE"/>
        </w:rPr>
        <w:t>მ</w:t>
      </w:r>
      <w:r w:rsidRPr="005C296B">
        <w:rPr>
          <w:rFonts w:eastAsiaTheme="minorEastAsia"/>
          <w:lang w:val="ka-GE"/>
        </w:rPr>
        <w:t>3-</w:t>
      </w:r>
      <w:r w:rsidRPr="005C296B">
        <w:rPr>
          <w:rFonts w:ascii="Sylfaen" w:eastAsiaTheme="minorEastAsia" w:hAnsi="Sylfaen" w:cs="Sylfaen"/>
          <w:lang w:val="ka-GE"/>
        </w:rPr>
        <w:t>ისათვის</w:t>
      </w:r>
      <w:r w:rsidRPr="005C296B">
        <w:rPr>
          <w:rFonts w:eastAsiaTheme="minorEastAsia"/>
          <w:lang w:val="ka-GE"/>
        </w:rPr>
        <w:t xml:space="preserve">) </w:t>
      </w:r>
      <w:r w:rsidRPr="005C296B">
        <w:rPr>
          <w:rFonts w:ascii="Sylfaen" w:eastAsiaTheme="minorEastAsia" w:hAnsi="Sylfaen" w:cs="Sylfaen"/>
          <w:lang w:val="ka-GE"/>
        </w:rPr>
        <w:t>შემდეგია</w:t>
      </w:r>
      <w:r w:rsidRPr="005C296B">
        <w:rPr>
          <w:rFonts w:eastAsiaTheme="minorEastAsia"/>
          <w:lang w:val="ka-GE"/>
        </w:rPr>
        <w:t xml:space="preserve">: </w:t>
      </w:r>
      <w:r w:rsidRPr="005C296B">
        <w:rPr>
          <w:rFonts w:ascii="Sylfaen" w:eastAsiaTheme="minorEastAsia" w:hAnsi="Sylfaen" w:cs="Sylfaen"/>
          <w:lang w:val="ka-GE"/>
        </w:rPr>
        <w:t>ქვიშა</w:t>
      </w:r>
      <w:r w:rsidRPr="005C296B">
        <w:rPr>
          <w:rFonts w:eastAsiaTheme="minorEastAsia"/>
          <w:lang w:val="ka-GE"/>
        </w:rPr>
        <w:t>- 650</w:t>
      </w:r>
      <w:r w:rsidRPr="005C296B">
        <w:rPr>
          <w:rFonts w:ascii="Sylfaen" w:eastAsiaTheme="minorEastAsia" w:hAnsi="Sylfaen" w:cs="Sylfaen"/>
          <w:lang w:val="ka-GE"/>
        </w:rPr>
        <w:t>კგ</w:t>
      </w:r>
      <w:r w:rsidRPr="005C296B">
        <w:rPr>
          <w:rFonts w:eastAsiaTheme="minorEastAsia"/>
          <w:lang w:val="ka-GE"/>
        </w:rPr>
        <w:t xml:space="preserve">; </w:t>
      </w:r>
      <w:r w:rsidRPr="005C296B">
        <w:rPr>
          <w:rFonts w:ascii="Sylfaen" w:eastAsiaTheme="minorEastAsia" w:hAnsi="Sylfaen" w:cs="Sylfaen"/>
          <w:lang w:val="ka-GE"/>
        </w:rPr>
        <w:t>ხრეში</w:t>
      </w:r>
      <w:r w:rsidRPr="005C296B">
        <w:rPr>
          <w:rFonts w:eastAsiaTheme="minorEastAsia"/>
          <w:lang w:val="ka-GE"/>
        </w:rPr>
        <w:t xml:space="preserve">-1100 </w:t>
      </w:r>
      <w:r w:rsidRPr="005C296B">
        <w:rPr>
          <w:rFonts w:ascii="Sylfaen" w:eastAsiaTheme="minorEastAsia" w:hAnsi="Sylfaen" w:cs="Sylfaen"/>
          <w:lang w:val="ka-GE"/>
        </w:rPr>
        <w:t>კგ</w:t>
      </w:r>
      <w:r w:rsidRPr="005C296B">
        <w:rPr>
          <w:rFonts w:eastAsiaTheme="minorEastAsia"/>
          <w:lang w:val="ka-GE"/>
        </w:rPr>
        <w:t xml:space="preserve">; </w:t>
      </w:r>
      <w:r w:rsidRPr="005C296B">
        <w:rPr>
          <w:rFonts w:ascii="Sylfaen" w:eastAsiaTheme="minorEastAsia" w:hAnsi="Sylfaen" w:cs="Sylfaen"/>
          <w:lang w:val="ka-GE"/>
        </w:rPr>
        <w:t>ცემენტი</w:t>
      </w:r>
      <w:r w:rsidRPr="005C296B">
        <w:rPr>
          <w:rFonts w:eastAsiaTheme="minorEastAsia"/>
          <w:lang w:val="ka-GE"/>
        </w:rPr>
        <w:t xml:space="preserve">-420 </w:t>
      </w:r>
      <w:r w:rsidRPr="005C296B">
        <w:rPr>
          <w:rFonts w:ascii="Sylfaen" w:eastAsiaTheme="minorEastAsia" w:hAnsi="Sylfaen" w:cs="Sylfaen"/>
          <w:lang w:val="ka-GE"/>
        </w:rPr>
        <w:t>კგ</w:t>
      </w:r>
      <w:r w:rsidRPr="005C296B">
        <w:rPr>
          <w:rFonts w:eastAsiaTheme="minorEastAsia"/>
          <w:lang w:val="ka-GE"/>
        </w:rPr>
        <w:t xml:space="preserve">; </w:t>
      </w:r>
    </w:p>
    <w:p w14:paraId="7B384B9B" w14:textId="77777777" w:rsidR="00CD64B5" w:rsidRPr="005C296B" w:rsidRDefault="00CD64B5" w:rsidP="00CD64B5">
      <w:pPr>
        <w:spacing w:before="120" w:after="120"/>
        <w:rPr>
          <w:rFonts w:eastAsiaTheme="minorEastAsia"/>
          <w:lang w:val="ka-GE"/>
        </w:rPr>
      </w:pPr>
      <w:r w:rsidRPr="005C296B">
        <w:rPr>
          <w:rFonts w:ascii="Sylfaen" w:eastAsiaTheme="minorEastAsia" w:hAnsi="Sylfaen" w:cs="Sylfaen"/>
          <w:lang w:val="ka-GE"/>
        </w:rPr>
        <w:t>ბეტონშემრევის</w:t>
      </w:r>
      <w:r w:rsidRPr="005C296B">
        <w:rPr>
          <w:rFonts w:eastAsiaTheme="minorEastAsia"/>
          <w:lang w:val="ka-GE"/>
        </w:rPr>
        <w:t xml:space="preserve"> </w:t>
      </w:r>
      <w:r w:rsidRPr="005C296B">
        <w:rPr>
          <w:rFonts w:ascii="Sylfaen" w:eastAsiaTheme="minorEastAsia" w:hAnsi="Sylfaen" w:cs="Sylfaen"/>
          <w:lang w:val="ka-GE"/>
        </w:rPr>
        <w:t>მაქსიმალური</w:t>
      </w:r>
      <w:r w:rsidRPr="005C296B">
        <w:rPr>
          <w:rFonts w:eastAsiaTheme="minorEastAsia"/>
          <w:lang w:val="ka-GE"/>
        </w:rPr>
        <w:t xml:space="preserve"> </w:t>
      </w:r>
      <w:r w:rsidRPr="005C296B">
        <w:rPr>
          <w:rFonts w:ascii="Sylfaen" w:eastAsiaTheme="minorEastAsia" w:hAnsi="Sylfaen" w:cs="Sylfaen"/>
          <w:lang w:val="ka-GE"/>
        </w:rPr>
        <w:t>საპასპორტო</w:t>
      </w:r>
      <w:r w:rsidRPr="005C296B">
        <w:rPr>
          <w:rFonts w:eastAsiaTheme="minorEastAsia"/>
          <w:lang w:val="ka-GE"/>
        </w:rPr>
        <w:t xml:space="preserve"> </w:t>
      </w:r>
      <w:r w:rsidRPr="005C296B">
        <w:rPr>
          <w:rFonts w:ascii="Sylfaen" w:eastAsiaTheme="minorEastAsia" w:hAnsi="Sylfaen" w:cs="Sylfaen"/>
          <w:lang w:val="ka-GE"/>
        </w:rPr>
        <w:t>წარმადობა</w:t>
      </w:r>
      <w:r w:rsidRPr="005C296B">
        <w:rPr>
          <w:rFonts w:eastAsiaTheme="minorEastAsia"/>
          <w:lang w:val="ka-GE"/>
        </w:rPr>
        <w:t xml:space="preserve"> </w:t>
      </w:r>
      <w:r w:rsidRPr="005C296B">
        <w:rPr>
          <w:rFonts w:ascii="Sylfaen" w:eastAsiaTheme="minorEastAsia" w:hAnsi="Sylfaen" w:cs="Sylfaen"/>
          <w:lang w:val="ka-GE"/>
        </w:rPr>
        <w:t>შეადგენს</w:t>
      </w:r>
      <w:r w:rsidRPr="005C296B">
        <w:rPr>
          <w:rFonts w:eastAsiaTheme="minorEastAsia"/>
          <w:lang w:val="ka-GE"/>
        </w:rPr>
        <w:t xml:space="preserve"> 50 </w:t>
      </w:r>
      <w:r w:rsidRPr="005C296B">
        <w:rPr>
          <w:rFonts w:ascii="Sylfaen" w:eastAsiaTheme="minorEastAsia" w:hAnsi="Sylfaen" w:cs="Sylfaen"/>
          <w:lang w:val="ka-GE"/>
        </w:rPr>
        <w:t>მ</w:t>
      </w:r>
      <w:r w:rsidRPr="005C296B">
        <w:rPr>
          <w:rFonts w:eastAsiaTheme="minorEastAsia"/>
          <w:lang w:val="ka-GE"/>
        </w:rPr>
        <w:t>3/</w:t>
      </w:r>
      <w:r w:rsidRPr="005C296B">
        <w:rPr>
          <w:rFonts w:ascii="Sylfaen" w:eastAsiaTheme="minorEastAsia" w:hAnsi="Sylfaen" w:cs="Sylfaen"/>
          <w:lang w:val="ka-GE"/>
        </w:rPr>
        <w:t>სთ</w:t>
      </w:r>
      <w:r w:rsidRPr="005C296B">
        <w:rPr>
          <w:rFonts w:eastAsiaTheme="minorEastAsia"/>
          <w:lang w:val="ka-GE"/>
        </w:rPr>
        <w:t>-</w:t>
      </w:r>
      <w:r w:rsidRPr="005C296B">
        <w:rPr>
          <w:rFonts w:ascii="Sylfaen" w:eastAsiaTheme="minorEastAsia" w:hAnsi="Sylfaen" w:cs="Sylfaen"/>
          <w:lang w:val="ka-GE"/>
        </w:rPr>
        <w:t>ს</w:t>
      </w:r>
      <w:r w:rsidRPr="005C296B">
        <w:rPr>
          <w:rFonts w:eastAsiaTheme="minorEastAsia"/>
          <w:lang w:val="ka-GE"/>
        </w:rPr>
        <w:t xml:space="preserve">. </w:t>
      </w:r>
      <w:r w:rsidRPr="005C296B">
        <w:rPr>
          <w:rFonts w:ascii="Sylfaen" w:eastAsiaTheme="minorEastAsia" w:hAnsi="Sylfaen" w:cs="Sylfaen"/>
          <w:lang w:val="ka-GE"/>
        </w:rPr>
        <w:t>მაქსიმალური</w:t>
      </w:r>
      <w:r w:rsidRPr="005C296B">
        <w:rPr>
          <w:rFonts w:eastAsiaTheme="minorEastAsia"/>
          <w:lang w:val="ka-GE"/>
        </w:rPr>
        <w:t xml:space="preserve"> </w:t>
      </w:r>
      <w:r w:rsidRPr="005C296B">
        <w:rPr>
          <w:rFonts w:ascii="Sylfaen" w:eastAsiaTheme="minorEastAsia" w:hAnsi="Sylfaen" w:cs="Sylfaen"/>
          <w:lang w:val="ka-GE"/>
        </w:rPr>
        <w:t>წლიური</w:t>
      </w:r>
      <w:r w:rsidRPr="005C296B">
        <w:rPr>
          <w:rFonts w:eastAsiaTheme="minorEastAsia"/>
          <w:lang w:val="ka-GE"/>
        </w:rPr>
        <w:t xml:space="preserve"> </w:t>
      </w:r>
      <w:r w:rsidRPr="005C296B">
        <w:rPr>
          <w:rFonts w:ascii="Sylfaen" w:eastAsiaTheme="minorEastAsia" w:hAnsi="Sylfaen" w:cs="Sylfaen"/>
          <w:lang w:val="ka-GE"/>
        </w:rPr>
        <w:t>სავარაუდო</w:t>
      </w:r>
      <w:r w:rsidRPr="005C296B">
        <w:rPr>
          <w:rFonts w:eastAsiaTheme="minorEastAsia"/>
          <w:lang w:val="ka-GE"/>
        </w:rPr>
        <w:t xml:space="preserve"> </w:t>
      </w:r>
      <w:r w:rsidRPr="005C296B">
        <w:rPr>
          <w:rFonts w:ascii="Sylfaen" w:eastAsiaTheme="minorEastAsia" w:hAnsi="Sylfaen" w:cs="Sylfaen"/>
          <w:lang w:val="ka-GE"/>
        </w:rPr>
        <w:t>წარმადობა</w:t>
      </w:r>
      <w:r w:rsidRPr="005C296B">
        <w:rPr>
          <w:rFonts w:eastAsiaTheme="minorEastAsia"/>
          <w:lang w:val="ka-GE"/>
        </w:rPr>
        <w:t xml:space="preserve"> </w:t>
      </w:r>
      <w:r w:rsidRPr="005C296B">
        <w:rPr>
          <w:rFonts w:ascii="Sylfaen" w:eastAsiaTheme="minorEastAsia" w:hAnsi="Sylfaen" w:cs="Sylfaen"/>
          <w:lang w:val="ka-GE"/>
        </w:rPr>
        <w:t>ორცვლიანი</w:t>
      </w:r>
      <w:r w:rsidRPr="005C296B">
        <w:rPr>
          <w:rFonts w:eastAsiaTheme="minorEastAsia"/>
          <w:lang w:val="ka-GE"/>
        </w:rPr>
        <w:t xml:space="preserve"> </w:t>
      </w:r>
      <w:r w:rsidRPr="005C296B">
        <w:rPr>
          <w:rFonts w:ascii="Sylfaen" w:eastAsiaTheme="minorEastAsia" w:hAnsi="Sylfaen" w:cs="Sylfaen"/>
          <w:lang w:val="ka-GE"/>
        </w:rPr>
        <w:t>მუშაობისას</w:t>
      </w:r>
      <w:r w:rsidRPr="005C296B">
        <w:rPr>
          <w:rFonts w:eastAsiaTheme="minorEastAsia"/>
          <w:lang w:val="ka-GE"/>
        </w:rPr>
        <w:t xml:space="preserve"> (16 </w:t>
      </w:r>
      <w:r w:rsidRPr="005C296B">
        <w:rPr>
          <w:rFonts w:ascii="Sylfaen" w:eastAsiaTheme="minorEastAsia" w:hAnsi="Sylfaen" w:cs="Sylfaen"/>
          <w:lang w:val="ka-GE"/>
        </w:rPr>
        <w:t>სთ</w:t>
      </w:r>
      <w:r w:rsidRPr="005C296B">
        <w:rPr>
          <w:rFonts w:eastAsiaTheme="minorEastAsia"/>
          <w:lang w:val="ka-GE"/>
        </w:rPr>
        <w:t xml:space="preserve">) </w:t>
      </w:r>
      <w:r w:rsidRPr="005C296B">
        <w:rPr>
          <w:rFonts w:ascii="Sylfaen" w:eastAsiaTheme="minorEastAsia" w:hAnsi="Sylfaen" w:cs="Sylfaen"/>
          <w:lang w:val="ka-GE"/>
        </w:rPr>
        <w:t>შეფასებულია</w:t>
      </w:r>
      <w:r w:rsidRPr="005C296B">
        <w:rPr>
          <w:rFonts w:eastAsiaTheme="minorEastAsia"/>
          <w:lang w:val="ka-GE"/>
        </w:rPr>
        <w:t xml:space="preserve"> 4000 </w:t>
      </w:r>
      <w:r w:rsidRPr="005C296B">
        <w:rPr>
          <w:rFonts w:ascii="Sylfaen" w:eastAsiaTheme="minorEastAsia" w:hAnsi="Sylfaen" w:cs="Sylfaen"/>
          <w:lang w:val="ka-GE"/>
        </w:rPr>
        <w:t>სთ</w:t>
      </w:r>
      <w:r w:rsidRPr="005C296B">
        <w:rPr>
          <w:rFonts w:eastAsiaTheme="minorEastAsia"/>
          <w:lang w:val="ka-GE"/>
        </w:rPr>
        <w:t>/</w:t>
      </w:r>
      <w:r w:rsidRPr="005C296B">
        <w:rPr>
          <w:rFonts w:ascii="Sylfaen" w:eastAsiaTheme="minorEastAsia" w:hAnsi="Sylfaen" w:cs="Sylfaen"/>
          <w:lang w:val="ka-GE"/>
        </w:rPr>
        <w:t>წელ</w:t>
      </w:r>
      <w:r w:rsidRPr="005C296B">
        <w:rPr>
          <w:rFonts w:eastAsiaTheme="minorEastAsia"/>
          <w:lang w:val="ka-GE"/>
        </w:rPr>
        <w:t xml:space="preserve">. </w:t>
      </w:r>
      <w:r w:rsidRPr="005C296B">
        <w:rPr>
          <w:rFonts w:ascii="Sylfaen" w:eastAsiaTheme="minorEastAsia" w:hAnsi="Sylfaen" w:cs="Sylfaen"/>
          <w:lang w:val="ka-GE"/>
        </w:rPr>
        <w:t>მუშაობის</w:t>
      </w:r>
      <w:r w:rsidRPr="005C296B">
        <w:rPr>
          <w:rFonts w:eastAsiaTheme="minorEastAsia"/>
          <w:lang w:val="ka-GE"/>
        </w:rPr>
        <w:t xml:space="preserve"> </w:t>
      </w:r>
      <w:r w:rsidRPr="005C296B">
        <w:rPr>
          <w:rFonts w:ascii="Sylfaen" w:eastAsiaTheme="minorEastAsia" w:hAnsi="Sylfaen" w:cs="Sylfaen"/>
          <w:lang w:val="ka-GE"/>
        </w:rPr>
        <w:t>პირობებისათვის</w:t>
      </w:r>
      <w:r w:rsidRPr="005C296B">
        <w:rPr>
          <w:rFonts w:eastAsiaTheme="minorEastAsia"/>
          <w:lang w:val="ka-GE"/>
        </w:rPr>
        <w:t xml:space="preserve">. </w:t>
      </w:r>
      <w:r w:rsidRPr="005C296B">
        <w:rPr>
          <w:rFonts w:ascii="Sylfaen" w:eastAsiaTheme="minorEastAsia" w:hAnsi="Sylfaen" w:cs="Sylfaen"/>
          <w:lang w:val="ka-GE"/>
        </w:rPr>
        <w:t>წლიური</w:t>
      </w:r>
      <w:r w:rsidRPr="005C296B">
        <w:rPr>
          <w:rFonts w:eastAsiaTheme="minorEastAsia"/>
          <w:lang w:val="ka-GE"/>
        </w:rPr>
        <w:t xml:space="preserve"> </w:t>
      </w:r>
      <w:r w:rsidRPr="005C296B">
        <w:rPr>
          <w:rFonts w:ascii="Sylfaen" w:eastAsiaTheme="minorEastAsia" w:hAnsi="Sylfaen" w:cs="Sylfaen"/>
          <w:lang w:val="ka-GE"/>
        </w:rPr>
        <w:t>გამომუშავება</w:t>
      </w:r>
      <w:r w:rsidRPr="005C296B">
        <w:rPr>
          <w:rFonts w:eastAsiaTheme="minorEastAsia"/>
          <w:lang w:val="ka-GE"/>
        </w:rPr>
        <w:t xml:space="preserve"> </w:t>
      </w:r>
      <w:r w:rsidRPr="005C296B">
        <w:rPr>
          <w:rFonts w:ascii="Sylfaen" w:eastAsiaTheme="minorEastAsia" w:hAnsi="Sylfaen" w:cs="Sylfaen"/>
          <w:lang w:val="ka-GE"/>
        </w:rPr>
        <w:t>შესაბამისად</w:t>
      </w:r>
      <w:r w:rsidRPr="005C296B">
        <w:rPr>
          <w:rFonts w:eastAsiaTheme="minorEastAsia"/>
          <w:lang w:val="ka-GE"/>
        </w:rPr>
        <w:t xml:space="preserve"> </w:t>
      </w:r>
      <w:r w:rsidRPr="005C296B">
        <w:rPr>
          <w:rFonts w:ascii="Sylfaen" w:eastAsiaTheme="minorEastAsia" w:hAnsi="Sylfaen" w:cs="Sylfaen"/>
          <w:lang w:val="ka-GE"/>
        </w:rPr>
        <w:t>იქნება</w:t>
      </w:r>
      <w:r w:rsidRPr="005C296B">
        <w:rPr>
          <w:rFonts w:eastAsiaTheme="minorEastAsia"/>
          <w:lang w:val="ka-GE"/>
        </w:rPr>
        <w:t xml:space="preserve">: 50 </w:t>
      </w:r>
      <w:r w:rsidRPr="005C296B">
        <w:rPr>
          <w:rFonts w:ascii="Sylfaen" w:eastAsiaTheme="minorEastAsia" w:hAnsi="Sylfaen" w:cs="Sylfaen"/>
          <w:lang w:val="ka-GE"/>
        </w:rPr>
        <w:t>მ</w:t>
      </w:r>
      <w:r w:rsidRPr="005C296B">
        <w:rPr>
          <w:rFonts w:eastAsiaTheme="minorEastAsia"/>
          <w:lang w:val="ka-GE"/>
        </w:rPr>
        <w:t>3/</w:t>
      </w:r>
      <w:r w:rsidRPr="005C296B">
        <w:rPr>
          <w:rFonts w:ascii="Sylfaen" w:eastAsiaTheme="minorEastAsia" w:hAnsi="Sylfaen" w:cs="Sylfaen"/>
          <w:lang w:val="ka-GE"/>
        </w:rPr>
        <w:t>სთ</w:t>
      </w:r>
      <w:r w:rsidRPr="005C296B">
        <w:rPr>
          <w:rFonts w:eastAsiaTheme="minorEastAsia"/>
          <w:lang w:val="ka-GE"/>
        </w:rPr>
        <w:t xml:space="preserve"> * 4000</w:t>
      </w:r>
      <w:r w:rsidRPr="005C296B">
        <w:rPr>
          <w:rFonts w:ascii="Sylfaen" w:eastAsiaTheme="minorEastAsia" w:hAnsi="Sylfaen" w:cs="Sylfaen"/>
          <w:lang w:val="ka-GE"/>
        </w:rPr>
        <w:t>სთ</w:t>
      </w:r>
      <w:r w:rsidRPr="005C296B">
        <w:rPr>
          <w:rFonts w:eastAsiaTheme="minorEastAsia"/>
          <w:lang w:val="ka-GE"/>
        </w:rPr>
        <w:t>/</w:t>
      </w:r>
      <w:r w:rsidRPr="005C296B">
        <w:rPr>
          <w:rFonts w:ascii="Sylfaen" w:eastAsiaTheme="minorEastAsia" w:hAnsi="Sylfaen" w:cs="Sylfaen"/>
          <w:lang w:val="ka-GE"/>
        </w:rPr>
        <w:t>წელ</w:t>
      </w:r>
      <w:r w:rsidRPr="005C296B">
        <w:rPr>
          <w:rFonts w:eastAsiaTheme="minorEastAsia"/>
          <w:lang w:val="ka-GE"/>
        </w:rPr>
        <w:t xml:space="preserve"> = 200,0</w:t>
      </w:r>
      <w:r w:rsidRPr="005C296B">
        <w:rPr>
          <w:rFonts w:ascii="Sylfaen" w:eastAsiaTheme="minorEastAsia" w:hAnsi="Sylfaen" w:cs="Sylfaen"/>
          <w:lang w:val="ka-GE"/>
        </w:rPr>
        <w:t>ათ</w:t>
      </w:r>
      <w:r w:rsidRPr="005C296B">
        <w:rPr>
          <w:rFonts w:eastAsiaTheme="minorEastAsia"/>
          <w:lang w:val="ka-GE"/>
        </w:rPr>
        <w:t>.</w:t>
      </w:r>
      <w:r w:rsidRPr="005C296B">
        <w:rPr>
          <w:rFonts w:ascii="Sylfaen" w:eastAsiaTheme="minorEastAsia" w:hAnsi="Sylfaen" w:cs="Sylfaen"/>
          <w:lang w:val="ka-GE"/>
        </w:rPr>
        <w:t>მ</w:t>
      </w:r>
      <w:r w:rsidRPr="005C296B">
        <w:rPr>
          <w:rFonts w:eastAsiaTheme="minorEastAsia"/>
          <w:lang w:val="ka-GE"/>
        </w:rPr>
        <w:t>3/</w:t>
      </w:r>
      <w:r w:rsidRPr="005C296B">
        <w:rPr>
          <w:rFonts w:ascii="Sylfaen" w:eastAsiaTheme="minorEastAsia" w:hAnsi="Sylfaen" w:cs="Sylfaen"/>
          <w:lang w:val="ka-GE"/>
        </w:rPr>
        <w:t>წელ</w:t>
      </w:r>
      <w:r w:rsidRPr="005C296B">
        <w:rPr>
          <w:rFonts w:eastAsiaTheme="minorEastAsia"/>
          <w:lang w:val="ka-GE"/>
        </w:rPr>
        <w:t xml:space="preserve">. </w:t>
      </w:r>
    </w:p>
    <w:p w14:paraId="39B97983" w14:textId="77777777" w:rsidR="00CD64B5" w:rsidRPr="005C296B" w:rsidRDefault="00CD64B5" w:rsidP="00CD64B5">
      <w:pPr>
        <w:spacing w:before="120" w:after="120"/>
        <w:rPr>
          <w:rFonts w:eastAsiaTheme="minorEastAsia"/>
          <w:lang w:val="ka-GE"/>
        </w:rPr>
      </w:pPr>
      <w:r w:rsidRPr="005C296B">
        <w:rPr>
          <w:rFonts w:ascii="Sylfaen" w:eastAsiaTheme="minorEastAsia" w:hAnsi="Sylfaen" w:cs="Sylfaen"/>
          <w:lang w:val="ka-GE"/>
        </w:rPr>
        <w:t>ცემენტის</w:t>
      </w:r>
      <w:r w:rsidRPr="005C296B">
        <w:rPr>
          <w:rFonts w:eastAsiaTheme="minorEastAsia"/>
          <w:lang w:val="ka-GE"/>
        </w:rPr>
        <w:t xml:space="preserve"> </w:t>
      </w:r>
      <w:r w:rsidRPr="005C296B">
        <w:rPr>
          <w:rFonts w:ascii="Sylfaen" w:eastAsiaTheme="minorEastAsia" w:hAnsi="Sylfaen" w:cs="Sylfaen"/>
          <w:lang w:val="ka-GE"/>
        </w:rPr>
        <w:t>მიღება</w:t>
      </w:r>
      <w:r w:rsidRPr="005C296B">
        <w:rPr>
          <w:rFonts w:eastAsiaTheme="minorEastAsia"/>
          <w:lang w:val="ka-GE"/>
        </w:rPr>
        <w:t xml:space="preserve"> </w:t>
      </w:r>
      <w:r w:rsidRPr="005C296B">
        <w:rPr>
          <w:rFonts w:ascii="Sylfaen" w:eastAsiaTheme="minorEastAsia" w:hAnsi="Sylfaen" w:cs="Sylfaen"/>
          <w:lang w:val="ka-GE"/>
        </w:rPr>
        <w:t>მოხდება</w:t>
      </w:r>
      <w:r w:rsidRPr="005C296B">
        <w:rPr>
          <w:rFonts w:eastAsiaTheme="minorEastAsia"/>
          <w:lang w:val="ka-GE"/>
        </w:rPr>
        <w:t xml:space="preserve"> </w:t>
      </w:r>
      <w:r w:rsidRPr="005C296B">
        <w:rPr>
          <w:rFonts w:ascii="Sylfaen" w:eastAsiaTheme="minorEastAsia" w:hAnsi="Sylfaen" w:cs="Sylfaen"/>
          <w:lang w:val="ka-GE"/>
        </w:rPr>
        <w:t>უშუალოდ</w:t>
      </w:r>
      <w:r w:rsidRPr="005C296B">
        <w:rPr>
          <w:rFonts w:eastAsiaTheme="minorEastAsia"/>
          <w:lang w:val="ka-GE"/>
        </w:rPr>
        <w:t xml:space="preserve"> </w:t>
      </w:r>
      <w:r w:rsidRPr="005C296B">
        <w:rPr>
          <w:rFonts w:ascii="Sylfaen" w:eastAsiaTheme="minorEastAsia" w:hAnsi="Sylfaen" w:cs="Sylfaen"/>
          <w:lang w:val="ka-GE"/>
        </w:rPr>
        <w:t>მომწოდებლებისაგან</w:t>
      </w:r>
      <w:r w:rsidRPr="005C296B">
        <w:rPr>
          <w:rFonts w:eastAsiaTheme="minorEastAsia"/>
          <w:lang w:val="ka-GE"/>
        </w:rPr>
        <w:t xml:space="preserve">. </w:t>
      </w:r>
      <w:r w:rsidRPr="005C296B">
        <w:rPr>
          <w:rFonts w:ascii="Sylfaen" w:eastAsiaTheme="minorEastAsia" w:hAnsi="Sylfaen" w:cs="Sylfaen"/>
          <w:lang w:val="ka-GE"/>
        </w:rPr>
        <w:t>ინერტული</w:t>
      </w:r>
      <w:r w:rsidRPr="005C296B">
        <w:rPr>
          <w:rFonts w:eastAsiaTheme="minorEastAsia"/>
          <w:lang w:val="ka-GE"/>
        </w:rPr>
        <w:t xml:space="preserve"> </w:t>
      </w:r>
      <w:r w:rsidRPr="005C296B">
        <w:rPr>
          <w:rFonts w:ascii="Sylfaen" w:eastAsiaTheme="minorEastAsia" w:hAnsi="Sylfaen" w:cs="Sylfaen"/>
          <w:lang w:val="ka-GE"/>
        </w:rPr>
        <w:t>მასალების</w:t>
      </w:r>
      <w:r w:rsidRPr="005C296B">
        <w:rPr>
          <w:rFonts w:eastAsiaTheme="minorEastAsia"/>
          <w:lang w:val="ka-GE"/>
        </w:rPr>
        <w:t xml:space="preserve"> </w:t>
      </w:r>
      <w:r w:rsidRPr="005C296B">
        <w:rPr>
          <w:rFonts w:ascii="Sylfaen" w:eastAsiaTheme="minorEastAsia" w:hAnsi="Sylfaen" w:cs="Sylfaen"/>
          <w:lang w:val="ka-GE"/>
        </w:rPr>
        <w:t>მიღება</w:t>
      </w:r>
      <w:r w:rsidRPr="005C296B">
        <w:rPr>
          <w:rFonts w:eastAsiaTheme="minorEastAsia"/>
          <w:lang w:val="ka-GE"/>
        </w:rPr>
        <w:t xml:space="preserve"> </w:t>
      </w:r>
      <w:r w:rsidRPr="005C296B">
        <w:rPr>
          <w:rFonts w:ascii="Sylfaen" w:eastAsiaTheme="minorEastAsia" w:hAnsi="Sylfaen" w:cs="Sylfaen"/>
          <w:lang w:val="ka-GE"/>
        </w:rPr>
        <w:t>მოხდება</w:t>
      </w:r>
      <w:r w:rsidRPr="005C296B">
        <w:rPr>
          <w:rFonts w:eastAsiaTheme="minorEastAsia"/>
          <w:lang w:val="ka-GE"/>
        </w:rPr>
        <w:t xml:space="preserve"> </w:t>
      </w:r>
      <w:r w:rsidRPr="005C296B">
        <w:rPr>
          <w:rFonts w:ascii="Sylfaen" w:eastAsiaTheme="minorEastAsia" w:hAnsi="Sylfaen" w:cs="Sylfaen"/>
          <w:lang w:val="ka-GE"/>
        </w:rPr>
        <w:t>ლიცენზირებული</w:t>
      </w:r>
      <w:r w:rsidRPr="005C296B">
        <w:rPr>
          <w:rFonts w:eastAsiaTheme="minorEastAsia"/>
          <w:lang w:val="ka-GE"/>
        </w:rPr>
        <w:t xml:space="preserve"> </w:t>
      </w:r>
      <w:r w:rsidRPr="005C296B">
        <w:rPr>
          <w:rFonts w:ascii="Sylfaen" w:eastAsiaTheme="minorEastAsia" w:hAnsi="Sylfaen" w:cs="Sylfaen"/>
          <w:lang w:val="ka-GE"/>
        </w:rPr>
        <w:t>კარიერებიდან</w:t>
      </w:r>
      <w:r w:rsidRPr="005C296B">
        <w:rPr>
          <w:rFonts w:eastAsiaTheme="minorEastAsia"/>
          <w:lang w:val="ka-GE"/>
        </w:rPr>
        <w:t xml:space="preserve">, </w:t>
      </w:r>
      <w:r w:rsidRPr="005C296B">
        <w:rPr>
          <w:rFonts w:ascii="Sylfaen" w:eastAsiaTheme="minorEastAsia" w:hAnsi="Sylfaen" w:cs="Sylfaen"/>
          <w:lang w:val="ka-GE"/>
        </w:rPr>
        <w:t>გამომდინარე</w:t>
      </w:r>
      <w:r w:rsidRPr="005C296B">
        <w:rPr>
          <w:rFonts w:eastAsiaTheme="minorEastAsia"/>
          <w:lang w:val="ka-GE"/>
        </w:rPr>
        <w:t xml:space="preserve"> </w:t>
      </w:r>
      <w:r w:rsidRPr="005C296B">
        <w:rPr>
          <w:rFonts w:ascii="Sylfaen" w:eastAsiaTheme="minorEastAsia" w:hAnsi="Sylfaen" w:cs="Sylfaen"/>
          <w:lang w:val="ka-GE"/>
        </w:rPr>
        <w:t>წლიური</w:t>
      </w:r>
      <w:r w:rsidRPr="005C296B">
        <w:rPr>
          <w:rFonts w:eastAsiaTheme="minorEastAsia"/>
          <w:lang w:val="ka-GE"/>
        </w:rPr>
        <w:t xml:space="preserve"> </w:t>
      </w:r>
      <w:r w:rsidRPr="005C296B">
        <w:rPr>
          <w:rFonts w:ascii="Sylfaen" w:eastAsiaTheme="minorEastAsia" w:hAnsi="Sylfaen" w:cs="Sylfaen"/>
          <w:lang w:val="ka-GE"/>
        </w:rPr>
        <w:t>წარმადობიდან</w:t>
      </w:r>
      <w:r w:rsidRPr="005C296B">
        <w:rPr>
          <w:rFonts w:eastAsiaTheme="minorEastAsia"/>
          <w:lang w:val="ka-GE"/>
        </w:rPr>
        <w:t xml:space="preserve"> </w:t>
      </w:r>
      <w:r w:rsidRPr="005C296B">
        <w:rPr>
          <w:rFonts w:ascii="Sylfaen" w:eastAsiaTheme="minorEastAsia" w:hAnsi="Sylfaen" w:cs="Sylfaen"/>
          <w:lang w:val="ka-GE"/>
        </w:rPr>
        <w:t>განსაზღვრულია</w:t>
      </w:r>
      <w:r w:rsidRPr="005C296B">
        <w:rPr>
          <w:rFonts w:eastAsiaTheme="minorEastAsia"/>
          <w:lang w:val="ka-GE"/>
        </w:rPr>
        <w:t xml:space="preserve"> </w:t>
      </w:r>
      <w:r w:rsidRPr="005C296B">
        <w:rPr>
          <w:rFonts w:ascii="Sylfaen" w:eastAsiaTheme="minorEastAsia" w:hAnsi="Sylfaen" w:cs="Sylfaen"/>
          <w:lang w:val="ka-GE"/>
        </w:rPr>
        <w:t>მასალების</w:t>
      </w:r>
      <w:r w:rsidRPr="005C296B">
        <w:rPr>
          <w:rFonts w:eastAsiaTheme="minorEastAsia"/>
          <w:lang w:val="ka-GE"/>
        </w:rPr>
        <w:t xml:space="preserve"> </w:t>
      </w:r>
      <w:r w:rsidRPr="005C296B">
        <w:rPr>
          <w:rFonts w:ascii="Sylfaen" w:eastAsiaTheme="minorEastAsia" w:hAnsi="Sylfaen" w:cs="Sylfaen"/>
          <w:lang w:val="ka-GE"/>
        </w:rPr>
        <w:t>მაქსიმალური</w:t>
      </w:r>
      <w:r w:rsidRPr="005C296B">
        <w:rPr>
          <w:rFonts w:eastAsiaTheme="minorEastAsia"/>
          <w:lang w:val="ka-GE"/>
        </w:rPr>
        <w:t xml:space="preserve"> </w:t>
      </w:r>
      <w:r w:rsidRPr="005C296B">
        <w:rPr>
          <w:rFonts w:ascii="Sylfaen" w:eastAsiaTheme="minorEastAsia" w:hAnsi="Sylfaen" w:cs="Sylfaen"/>
          <w:lang w:val="ka-GE"/>
        </w:rPr>
        <w:t>ხარჯი</w:t>
      </w:r>
      <w:r w:rsidRPr="005C296B">
        <w:rPr>
          <w:rFonts w:eastAsiaTheme="minorEastAsia"/>
          <w:lang w:val="ka-GE"/>
        </w:rPr>
        <w:t xml:space="preserve">: </w:t>
      </w:r>
    </w:p>
    <w:p w14:paraId="1B776857" w14:textId="77777777" w:rsidR="00CD64B5" w:rsidRPr="005C296B" w:rsidRDefault="00CD64B5" w:rsidP="00CD64B5">
      <w:pPr>
        <w:spacing w:before="120" w:after="120"/>
        <w:rPr>
          <w:rFonts w:eastAsiaTheme="minorEastAsia"/>
          <w:lang w:val="ka-GE"/>
        </w:rPr>
      </w:pPr>
      <w:r w:rsidRPr="005C296B">
        <w:rPr>
          <w:rFonts w:ascii="Sylfaen" w:eastAsiaTheme="minorEastAsia" w:hAnsi="Sylfaen" w:cs="Sylfaen"/>
          <w:lang w:val="ka-GE"/>
        </w:rPr>
        <w:t>ქვიშა</w:t>
      </w:r>
      <w:r w:rsidRPr="005C296B">
        <w:rPr>
          <w:rFonts w:eastAsiaTheme="minorEastAsia"/>
          <w:lang w:val="ka-GE"/>
        </w:rPr>
        <w:t>- 0,65</w:t>
      </w:r>
      <w:r w:rsidRPr="005C296B">
        <w:rPr>
          <w:rFonts w:ascii="Sylfaen" w:eastAsiaTheme="minorEastAsia" w:hAnsi="Sylfaen" w:cs="Sylfaen"/>
          <w:lang w:val="ka-GE"/>
        </w:rPr>
        <w:t>ტ</w:t>
      </w:r>
      <w:r w:rsidRPr="005C296B">
        <w:rPr>
          <w:rFonts w:eastAsiaTheme="minorEastAsia"/>
          <w:lang w:val="ka-GE"/>
        </w:rPr>
        <w:t xml:space="preserve"> x 50 </w:t>
      </w:r>
      <w:r w:rsidRPr="005C296B">
        <w:rPr>
          <w:rFonts w:ascii="Sylfaen" w:eastAsiaTheme="minorEastAsia" w:hAnsi="Sylfaen" w:cs="Sylfaen"/>
          <w:lang w:val="ka-GE"/>
        </w:rPr>
        <w:t>მ</w:t>
      </w:r>
      <w:r w:rsidRPr="005C296B">
        <w:rPr>
          <w:rFonts w:eastAsiaTheme="minorEastAsia"/>
          <w:lang w:val="ka-GE"/>
        </w:rPr>
        <w:t>3/</w:t>
      </w:r>
      <w:r w:rsidRPr="005C296B">
        <w:rPr>
          <w:rFonts w:ascii="Sylfaen" w:eastAsiaTheme="minorEastAsia" w:hAnsi="Sylfaen" w:cs="Sylfaen"/>
          <w:lang w:val="ka-GE"/>
        </w:rPr>
        <w:t>სთ</w:t>
      </w:r>
      <w:r w:rsidRPr="005C296B">
        <w:rPr>
          <w:rFonts w:eastAsiaTheme="minorEastAsia"/>
          <w:lang w:val="ka-GE"/>
        </w:rPr>
        <w:t xml:space="preserve"> x 4000</w:t>
      </w:r>
      <w:r w:rsidRPr="005C296B">
        <w:rPr>
          <w:rFonts w:ascii="Sylfaen" w:eastAsiaTheme="minorEastAsia" w:hAnsi="Sylfaen" w:cs="Sylfaen"/>
          <w:lang w:val="ka-GE"/>
        </w:rPr>
        <w:t>სთ</w:t>
      </w:r>
      <w:r w:rsidRPr="005C296B">
        <w:rPr>
          <w:rFonts w:eastAsiaTheme="minorEastAsia"/>
          <w:lang w:val="ka-GE"/>
        </w:rPr>
        <w:t>/</w:t>
      </w:r>
      <w:r w:rsidRPr="005C296B">
        <w:rPr>
          <w:rFonts w:ascii="Sylfaen" w:eastAsiaTheme="minorEastAsia" w:hAnsi="Sylfaen" w:cs="Sylfaen"/>
          <w:lang w:val="ka-GE"/>
        </w:rPr>
        <w:t>წელ</w:t>
      </w:r>
      <w:r w:rsidRPr="005C296B">
        <w:rPr>
          <w:rFonts w:eastAsiaTheme="minorEastAsia"/>
          <w:lang w:val="ka-GE"/>
        </w:rPr>
        <w:t xml:space="preserve"> = 130 </w:t>
      </w:r>
      <w:r w:rsidRPr="005C296B">
        <w:rPr>
          <w:rFonts w:ascii="Sylfaen" w:eastAsiaTheme="minorEastAsia" w:hAnsi="Sylfaen" w:cs="Sylfaen"/>
          <w:lang w:val="ka-GE"/>
        </w:rPr>
        <w:t>ათ</w:t>
      </w:r>
      <w:r w:rsidRPr="005C296B">
        <w:rPr>
          <w:rFonts w:eastAsiaTheme="minorEastAsia"/>
          <w:lang w:val="ka-GE"/>
        </w:rPr>
        <w:t>.</w:t>
      </w:r>
      <w:r w:rsidRPr="005C296B">
        <w:rPr>
          <w:rFonts w:ascii="Sylfaen" w:eastAsiaTheme="minorEastAsia" w:hAnsi="Sylfaen" w:cs="Sylfaen"/>
          <w:lang w:val="ka-GE"/>
        </w:rPr>
        <w:t>ტ</w:t>
      </w:r>
      <w:r w:rsidRPr="005C296B">
        <w:rPr>
          <w:rFonts w:eastAsiaTheme="minorEastAsia"/>
          <w:lang w:val="ka-GE"/>
        </w:rPr>
        <w:t xml:space="preserve">/ </w:t>
      </w:r>
      <w:r w:rsidRPr="005C296B">
        <w:rPr>
          <w:rFonts w:ascii="Sylfaen" w:eastAsiaTheme="minorEastAsia" w:hAnsi="Sylfaen" w:cs="Sylfaen"/>
          <w:lang w:val="ka-GE"/>
        </w:rPr>
        <w:t>წელ</w:t>
      </w:r>
      <w:r w:rsidRPr="005C296B">
        <w:rPr>
          <w:rFonts w:eastAsiaTheme="minorEastAsia"/>
          <w:lang w:val="ka-GE"/>
        </w:rPr>
        <w:t>.</w:t>
      </w:r>
    </w:p>
    <w:p w14:paraId="4EEA8B99" w14:textId="77777777" w:rsidR="00CD64B5" w:rsidRPr="001352AB" w:rsidRDefault="00CD64B5" w:rsidP="00CD64B5">
      <w:pPr>
        <w:spacing w:before="120" w:after="120"/>
        <w:rPr>
          <w:rFonts w:eastAsiaTheme="minorEastAsia"/>
        </w:rPr>
      </w:pPr>
      <w:r w:rsidRPr="001352AB">
        <w:rPr>
          <w:rFonts w:eastAsiaTheme="minorEastAsia"/>
        </w:rPr>
        <w:t>(</w:t>
      </w:r>
      <w:r w:rsidRPr="001352AB">
        <w:rPr>
          <w:rFonts w:ascii="Sylfaen" w:eastAsiaTheme="minorEastAsia" w:hAnsi="Sylfaen" w:cs="Sylfaen"/>
        </w:rPr>
        <w:t>ქვიშის</w:t>
      </w:r>
      <w:r w:rsidRPr="001352AB">
        <w:rPr>
          <w:rFonts w:eastAsiaTheme="minorEastAsia"/>
        </w:rPr>
        <w:t xml:space="preserve"> </w:t>
      </w:r>
      <w:r w:rsidRPr="001352AB">
        <w:rPr>
          <w:rFonts w:ascii="Sylfaen" w:eastAsiaTheme="minorEastAsia" w:hAnsi="Sylfaen" w:cs="Sylfaen"/>
        </w:rPr>
        <w:t>ტენიანობა</w:t>
      </w:r>
      <w:r w:rsidRPr="001352AB">
        <w:rPr>
          <w:rFonts w:eastAsiaTheme="minorEastAsia"/>
        </w:rPr>
        <w:t xml:space="preserve"> </w:t>
      </w:r>
      <w:r w:rsidRPr="001352AB">
        <w:rPr>
          <w:rFonts w:ascii="Sylfaen" w:eastAsiaTheme="minorEastAsia" w:hAnsi="Sylfaen" w:cs="Sylfaen"/>
        </w:rPr>
        <w:t>აღემატება</w:t>
      </w:r>
      <w:r w:rsidRPr="001352AB">
        <w:rPr>
          <w:rFonts w:eastAsiaTheme="minorEastAsia"/>
        </w:rPr>
        <w:t xml:space="preserve"> 3%-</w:t>
      </w:r>
      <w:r w:rsidRPr="001352AB">
        <w:rPr>
          <w:rFonts w:ascii="Sylfaen" w:eastAsiaTheme="minorEastAsia" w:hAnsi="Sylfaen" w:cs="Sylfaen"/>
        </w:rPr>
        <w:t>ს</w:t>
      </w:r>
      <w:r w:rsidRPr="001352AB">
        <w:rPr>
          <w:rFonts w:eastAsiaTheme="minorEastAsia"/>
        </w:rPr>
        <w:t xml:space="preserve">, </w:t>
      </w:r>
      <w:r w:rsidRPr="001352AB">
        <w:rPr>
          <w:rFonts w:ascii="Sylfaen" w:eastAsiaTheme="minorEastAsia" w:hAnsi="Sylfaen" w:cs="Sylfaen"/>
        </w:rPr>
        <w:t>შესაბამისად</w:t>
      </w:r>
      <w:r w:rsidRPr="001352AB">
        <w:rPr>
          <w:rFonts w:eastAsiaTheme="minorEastAsia"/>
        </w:rPr>
        <w:t xml:space="preserve"> </w:t>
      </w:r>
      <w:r w:rsidRPr="001352AB">
        <w:rPr>
          <w:rFonts w:ascii="Sylfaen" w:eastAsiaTheme="minorEastAsia" w:hAnsi="Sylfaen" w:cs="Sylfaen"/>
        </w:rPr>
        <w:t>ემისია</w:t>
      </w:r>
      <w:r w:rsidRPr="001352AB">
        <w:rPr>
          <w:rFonts w:eastAsiaTheme="minorEastAsia"/>
        </w:rPr>
        <w:t xml:space="preserve"> </w:t>
      </w:r>
      <w:r w:rsidRPr="001352AB">
        <w:rPr>
          <w:rFonts w:ascii="Sylfaen" w:eastAsiaTheme="minorEastAsia" w:hAnsi="Sylfaen" w:cs="Sylfaen"/>
        </w:rPr>
        <w:t>არ</w:t>
      </w:r>
      <w:r w:rsidRPr="001352AB">
        <w:rPr>
          <w:rFonts w:eastAsiaTheme="minorEastAsia"/>
        </w:rPr>
        <w:t xml:space="preserve"> </w:t>
      </w:r>
      <w:r w:rsidRPr="001352AB">
        <w:rPr>
          <w:rFonts w:ascii="Sylfaen" w:eastAsiaTheme="minorEastAsia" w:hAnsi="Sylfaen" w:cs="Sylfaen"/>
        </w:rPr>
        <w:t>გაიანგარიშება</w:t>
      </w:r>
      <w:r w:rsidRPr="001352AB">
        <w:rPr>
          <w:rFonts w:eastAsiaTheme="minorEastAsia"/>
        </w:rPr>
        <w:t>).</w:t>
      </w:r>
    </w:p>
    <w:p w14:paraId="16FA5D0D"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ხრეში</w:t>
      </w:r>
      <w:r w:rsidRPr="001352AB">
        <w:rPr>
          <w:rFonts w:eastAsiaTheme="minorEastAsia"/>
        </w:rPr>
        <w:t xml:space="preserve">-1,10 </w:t>
      </w:r>
      <w:r w:rsidRPr="001352AB">
        <w:rPr>
          <w:rFonts w:ascii="Sylfaen" w:eastAsiaTheme="minorEastAsia" w:hAnsi="Sylfaen" w:cs="Sylfaen"/>
        </w:rPr>
        <w:t>ტ</w:t>
      </w:r>
      <w:r w:rsidRPr="001352AB">
        <w:rPr>
          <w:rFonts w:eastAsiaTheme="minorEastAsia"/>
        </w:rPr>
        <w:t xml:space="preserve"> x 50 </w:t>
      </w:r>
      <w:r w:rsidRPr="001352AB">
        <w:rPr>
          <w:rFonts w:ascii="Sylfaen" w:eastAsiaTheme="minorEastAsia" w:hAnsi="Sylfaen" w:cs="Sylfaen"/>
        </w:rPr>
        <w:t>მ</w:t>
      </w:r>
      <w:r w:rsidRPr="001352AB">
        <w:rPr>
          <w:rFonts w:eastAsiaTheme="minorEastAsia"/>
        </w:rPr>
        <w:t>3/</w:t>
      </w:r>
      <w:r w:rsidRPr="001352AB">
        <w:rPr>
          <w:rFonts w:ascii="Sylfaen" w:eastAsiaTheme="minorEastAsia" w:hAnsi="Sylfaen" w:cs="Sylfaen"/>
        </w:rPr>
        <w:t>სთ</w:t>
      </w:r>
      <w:r w:rsidRPr="001352AB">
        <w:rPr>
          <w:rFonts w:eastAsiaTheme="minorEastAsia"/>
        </w:rPr>
        <w:t xml:space="preserve"> x 4000</w:t>
      </w:r>
      <w:r w:rsidRPr="001352AB">
        <w:rPr>
          <w:rFonts w:ascii="Sylfaen" w:eastAsiaTheme="minorEastAsia" w:hAnsi="Sylfaen" w:cs="Sylfaen"/>
        </w:rPr>
        <w:t>სთ</w:t>
      </w:r>
      <w:r w:rsidRPr="001352AB">
        <w:rPr>
          <w:rFonts w:eastAsiaTheme="minorEastAsia"/>
        </w:rPr>
        <w:t>/</w:t>
      </w:r>
      <w:r w:rsidRPr="001352AB">
        <w:rPr>
          <w:rFonts w:ascii="Sylfaen" w:eastAsiaTheme="minorEastAsia" w:hAnsi="Sylfaen" w:cs="Sylfaen"/>
        </w:rPr>
        <w:t>წელ</w:t>
      </w:r>
      <w:r w:rsidRPr="001352AB">
        <w:rPr>
          <w:rFonts w:eastAsiaTheme="minorEastAsia"/>
        </w:rPr>
        <w:t xml:space="preserve"> = 220 </w:t>
      </w:r>
      <w:r w:rsidRPr="001352AB">
        <w:rPr>
          <w:rFonts w:ascii="Sylfaen" w:eastAsiaTheme="minorEastAsia" w:hAnsi="Sylfaen" w:cs="Sylfaen"/>
        </w:rPr>
        <w:t>ათ</w:t>
      </w:r>
      <w:r w:rsidRPr="001352AB">
        <w:rPr>
          <w:rFonts w:eastAsiaTheme="minorEastAsia"/>
        </w:rPr>
        <w:t>.</w:t>
      </w:r>
      <w:r w:rsidRPr="001352AB">
        <w:rPr>
          <w:rFonts w:ascii="Sylfaen" w:eastAsiaTheme="minorEastAsia" w:hAnsi="Sylfaen" w:cs="Sylfaen"/>
        </w:rPr>
        <w:t>ტ</w:t>
      </w:r>
      <w:r w:rsidRPr="001352AB">
        <w:rPr>
          <w:rFonts w:eastAsiaTheme="minorEastAsia"/>
        </w:rPr>
        <w:t xml:space="preserve">/ </w:t>
      </w:r>
      <w:r w:rsidRPr="001352AB">
        <w:rPr>
          <w:rFonts w:ascii="Sylfaen" w:eastAsiaTheme="minorEastAsia" w:hAnsi="Sylfaen" w:cs="Sylfaen"/>
        </w:rPr>
        <w:t>წელ</w:t>
      </w:r>
      <w:r w:rsidRPr="001352AB">
        <w:rPr>
          <w:rFonts w:eastAsiaTheme="minorEastAsia"/>
        </w:rPr>
        <w:t xml:space="preserve">. [55 </w:t>
      </w:r>
      <w:r w:rsidRPr="001352AB">
        <w:rPr>
          <w:rFonts w:ascii="Sylfaen" w:eastAsiaTheme="minorEastAsia" w:hAnsi="Sylfaen" w:cs="Sylfaen"/>
        </w:rPr>
        <w:t>ტ</w:t>
      </w:r>
      <w:r w:rsidRPr="001352AB">
        <w:rPr>
          <w:rFonts w:eastAsiaTheme="minorEastAsia"/>
        </w:rPr>
        <w:t>/</w:t>
      </w:r>
      <w:r w:rsidRPr="001352AB">
        <w:rPr>
          <w:rFonts w:ascii="Sylfaen" w:eastAsiaTheme="minorEastAsia" w:hAnsi="Sylfaen" w:cs="Sylfaen"/>
        </w:rPr>
        <w:t>სთ</w:t>
      </w:r>
      <w:r w:rsidRPr="001352AB">
        <w:rPr>
          <w:rFonts w:eastAsiaTheme="minorEastAsia"/>
        </w:rPr>
        <w:t>]</w:t>
      </w:r>
    </w:p>
    <w:p w14:paraId="1DD087DA"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ცემენტი</w:t>
      </w:r>
      <w:r w:rsidRPr="001352AB">
        <w:rPr>
          <w:rFonts w:eastAsiaTheme="minorEastAsia"/>
        </w:rPr>
        <w:t>-0,420</w:t>
      </w:r>
      <w:r w:rsidRPr="001352AB">
        <w:rPr>
          <w:rFonts w:ascii="Sylfaen" w:eastAsiaTheme="minorEastAsia" w:hAnsi="Sylfaen" w:cs="Sylfaen"/>
        </w:rPr>
        <w:t>ტ</w:t>
      </w:r>
      <w:r w:rsidRPr="001352AB">
        <w:rPr>
          <w:rFonts w:eastAsiaTheme="minorEastAsia"/>
        </w:rPr>
        <w:t xml:space="preserve"> x 50 </w:t>
      </w:r>
      <w:r w:rsidRPr="001352AB">
        <w:rPr>
          <w:rFonts w:ascii="Sylfaen" w:eastAsiaTheme="minorEastAsia" w:hAnsi="Sylfaen" w:cs="Sylfaen"/>
        </w:rPr>
        <w:t>მ</w:t>
      </w:r>
      <w:r w:rsidRPr="001352AB">
        <w:rPr>
          <w:rFonts w:eastAsiaTheme="minorEastAsia"/>
        </w:rPr>
        <w:t>3/</w:t>
      </w:r>
      <w:r w:rsidRPr="001352AB">
        <w:rPr>
          <w:rFonts w:ascii="Sylfaen" w:eastAsiaTheme="minorEastAsia" w:hAnsi="Sylfaen" w:cs="Sylfaen"/>
        </w:rPr>
        <w:t>სთ</w:t>
      </w:r>
      <w:r w:rsidRPr="001352AB">
        <w:rPr>
          <w:rFonts w:eastAsiaTheme="minorEastAsia"/>
        </w:rPr>
        <w:t xml:space="preserve"> x 4000</w:t>
      </w:r>
      <w:r w:rsidRPr="001352AB">
        <w:rPr>
          <w:rFonts w:ascii="Sylfaen" w:eastAsiaTheme="minorEastAsia" w:hAnsi="Sylfaen" w:cs="Sylfaen"/>
        </w:rPr>
        <w:t>სთ</w:t>
      </w:r>
      <w:r w:rsidRPr="001352AB">
        <w:rPr>
          <w:rFonts w:eastAsiaTheme="minorEastAsia"/>
        </w:rPr>
        <w:t>/</w:t>
      </w:r>
      <w:r w:rsidRPr="001352AB">
        <w:rPr>
          <w:rFonts w:ascii="Sylfaen" w:eastAsiaTheme="minorEastAsia" w:hAnsi="Sylfaen" w:cs="Sylfaen"/>
        </w:rPr>
        <w:t>წელ</w:t>
      </w:r>
      <w:r w:rsidRPr="001352AB">
        <w:rPr>
          <w:rFonts w:eastAsiaTheme="minorEastAsia"/>
        </w:rPr>
        <w:t xml:space="preserve"> = 84 </w:t>
      </w:r>
      <w:r w:rsidRPr="001352AB">
        <w:rPr>
          <w:rFonts w:ascii="Sylfaen" w:eastAsiaTheme="minorEastAsia" w:hAnsi="Sylfaen" w:cs="Sylfaen"/>
        </w:rPr>
        <w:t>ათ</w:t>
      </w:r>
      <w:r w:rsidRPr="001352AB">
        <w:rPr>
          <w:rFonts w:eastAsiaTheme="minorEastAsia"/>
        </w:rPr>
        <w:t>.</w:t>
      </w:r>
      <w:r w:rsidRPr="001352AB">
        <w:rPr>
          <w:rFonts w:ascii="Sylfaen" w:eastAsiaTheme="minorEastAsia" w:hAnsi="Sylfaen" w:cs="Sylfaen"/>
        </w:rPr>
        <w:t>ტ</w:t>
      </w:r>
      <w:r w:rsidRPr="001352AB">
        <w:rPr>
          <w:rFonts w:eastAsiaTheme="minorEastAsia"/>
        </w:rPr>
        <w:t xml:space="preserve">/ </w:t>
      </w:r>
      <w:r w:rsidRPr="001352AB">
        <w:rPr>
          <w:rFonts w:ascii="Sylfaen" w:eastAsiaTheme="minorEastAsia" w:hAnsi="Sylfaen" w:cs="Sylfaen"/>
        </w:rPr>
        <w:t>წელ</w:t>
      </w:r>
      <w:r w:rsidRPr="001352AB">
        <w:rPr>
          <w:rFonts w:eastAsiaTheme="minorEastAsia"/>
        </w:rPr>
        <w:t xml:space="preserve">. [21 </w:t>
      </w:r>
      <w:r w:rsidRPr="001352AB">
        <w:rPr>
          <w:rFonts w:ascii="Sylfaen" w:eastAsiaTheme="minorEastAsia" w:hAnsi="Sylfaen" w:cs="Sylfaen"/>
        </w:rPr>
        <w:t>ტ</w:t>
      </w:r>
      <w:r w:rsidRPr="001352AB">
        <w:rPr>
          <w:rFonts w:eastAsiaTheme="minorEastAsia"/>
        </w:rPr>
        <w:t>/</w:t>
      </w:r>
      <w:r w:rsidRPr="001352AB">
        <w:rPr>
          <w:rFonts w:ascii="Sylfaen" w:eastAsiaTheme="minorEastAsia" w:hAnsi="Sylfaen" w:cs="Sylfaen"/>
        </w:rPr>
        <w:t>სთ</w:t>
      </w:r>
      <w:r w:rsidRPr="001352AB">
        <w:rPr>
          <w:rFonts w:eastAsiaTheme="minorEastAsia"/>
        </w:rPr>
        <w:t xml:space="preserve">] </w:t>
      </w:r>
    </w:p>
    <w:p w14:paraId="63F87EA6"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აღნიშნული</w:t>
      </w:r>
      <w:r w:rsidRPr="001352AB">
        <w:rPr>
          <w:rFonts w:eastAsiaTheme="minorEastAsia"/>
        </w:rPr>
        <w:t xml:space="preserve"> </w:t>
      </w:r>
      <w:r w:rsidRPr="001352AB">
        <w:rPr>
          <w:rFonts w:ascii="Sylfaen" w:eastAsiaTheme="minorEastAsia" w:hAnsi="Sylfaen" w:cs="Sylfaen"/>
        </w:rPr>
        <w:t>პროდუქციის</w:t>
      </w:r>
      <w:r w:rsidRPr="001352AB">
        <w:rPr>
          <w:rFonts w:eastAsiaTheme="minorEastAsia"/>
        </w:rPr>
        <w:t xml:space="preserve"> </w:t>
      </w:r>
      <w:r w:rsidRPr="001352AB">
        <w:rPr>
          <w:rFonts w:ascii="Sylfaen" w:eastAsiaTheme="minorEastAsia" w:hAnsi="Sylfaen" w:cs="Sylfaen"/>
        </w:rPr>
        <w:t>მისაღებად</w:t>
      </w:r>
      <w:r w:rsidRPr="001352AB">
        <w:rPr>
          <w:rFonts w:eastAsiaTheme="minorEastAsia"/>
        </w:rPr>
        <w:t xml:space="preserve"> </w:t>
      </w:r>
      <w:r w:rsidRPr="001352AB">
        <w:rPr>
          <w:rFonts w:ascii="Sylfaen" w:eastAsiaTheme="minorEastAsia" w:hAnsi="Sylfaen" w:cs="Sylfaen"/>
        </w:rPr>
        <w:t>საწარმოში</w:t>
      </w:r>
      <w:r w:rsidRPr="001352AB">
        <w:rPr>
          <w:rFonts w:eastAsiaTheme="minorEastAsia"/>
        </w:rPr>
        <w:t xml:space="preserve"> </w:t>
      </w:r>
      <w:r w:rsidRPr="001352AB">
        <w:rPr>
          <w:rFonts w:ascii="Sylfaen" w:eastAsiaTheme="minorEastAsia" w:hAnsi="Sylfaen" w:cs="Sylfaen"/>
        </w:rPr>
        <w:t>დამონტაჟდება</w:t>
      </w:r>
      <w:r w:rsidRPr="001352AB">
        <w:rPr>
          <w:rFonts w:eastAsiaTheme="minorEastAsia"/>
        </w:rPr>
        <w:t xml:space="preserve"> </w:t>
      </w:r>
      <w:r w:rsidRPr="001352AB">
        <w:rPr>
          <w:rFonts w:ascii="Sylfaen" w:eastAsiaTheme="minorEastAsia" w:hAnsi="Sylfaen" w:cs="Sylfaen"/>
        </w:rPr>
        <w:t>შესაბამისი</w:t>
      </w:r>
      <w:r w:rsidRPr="001352AB">
        <w:rPr>
          <w:rFonts w:eastAsiaTheme="minorEastAsia"/>
        </w:rPr>
        <w:t xml:space="preserve"> </w:t>
      </w:r>
      <w:r w:rsidRPr="001352AB">
        <w:rPr>
          <w:rFonts w:ascii="Sylfaen" w:eastAsiaTheme="minorEastAsia" w:hAnsi="Sylfaen" w:cs="Sylfaen"/>
        </w:rPr>
        <w:t>მოწყობილობები</w:t>
      </w:r>
      <w:r w:rsidRPr="001352AB">
        <w:rPr>
          <w:rFonts w:eastAsiaTheme="minorEastAsia"/>
        </w:rPr>
        <w:t xml:space="preserve"> </w:t>
      </w:r>
      <w:r w:rsidRPr="001352AB">
        <w:rPr>
          <w:rFonts w:ascii="Sylfaen" w:eastAsiaTheme="minorEastAsia" w:hAnsi="Sylfaen" w:cs="Sylfaen"/>
        </w:rPr>
        <w:t>და</w:t>
      </w:r>
      <w:r w:rsidRPr="001352AB">
        <w:rPr>
          <w:rFonts w:eastAsiaTheme="minorEastAsia"/>
        </w:rPr>
        <w:t xml:space="preserve"> </w:t>
      </w:r>
      <w:r w:rsidRPr="001352AB">
        <w:rPr>
          <w:rFonts w:ascii="Sylfaen" w:eastAsiaTheme="minorEastAsia" w:hAnsi="Sylfaen" w:cs="Sylfaen"/>
        </w:rPr>
        <w:t>მოეწყობა</w:t>
      </w:r>
      <w:r w:rsidRPr="001352AB">
        <w:rPr>
          <w:rFonts w:eastAsiaTheme="minorEastAsia"/>
        </w:rPr>
        <w:t xml:space="preserve"> </w:t>
      </w:r>
      <w:r w:rsidRPr="001352AB">
        <w:rPr>
          <w:rFonts w:ascii="Sylfaen" w:eastAsiaTheme="minorEastAsia" w:hAnsi="Sylfaen" w:cs="Sylfaen"/>
        </w:rPr>
        <w:t>შესაბამისი</w:t>
      </w:r>
      <w:r w:rsidRPr="001352AB">
        <w:rPr>
          <w:rFonts w:eastAsiaTheme="minorEastAsia"/>
        </w:rPr>
        <w:t xml:space="preserve"> </w:t>
      </w:r>
      <w:r w:rsidRPr="001352AB">
        <w:rPr>
          <w:rFonts w:ascii="Sylfaen" w:eastAsiaTheme="minorEastAsia" w:hAnsi="Sylfaen" w:cs="Sylfaen"/>
        </w:rPr>
        <w:t>საინჟინრო</w:t>
      </w:r>
      <w:r w:rsidRPr="001352AB">
        <w:rPr>
          <w:rFonts w:eastAsiaTheme="minorEastAsia"/>
        </w:rPr>
        <w:t xml:space="preserve"> </w:t>
      </w:r>
      <w:r w:rsidRPr="001352AB">
        <w:rPr>
          <w:rFonts w:ascii="Sylfaen" w:eastAsiaTheme="minorEastAsia" w:hAnsi="Sylfaen" w:cs="Sylfaen"/>
        </w:rPr>
        <w:t>ინფრასტრუქტურა</w:t>
      </w:r>
      <w:r w:rsidRPr="001352AB">
        <w:rPr>
          <w:rFonts w:eastAsiaTheme="minorEastAsia"/>
        </w:rPr>
        <w:t>.</w:t>
      </w:r>
    </w:p>
    <w:p w14:paraId="4F1F98F2"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საბაზო</w:t>
      </w:r>
      <w:r w:rsidRPr="001352AB">
        <w:rPr>
          <w:rFonts w:eastAsiaTheme="minorEastAsia"/>
        </w:rPr>
        <w:t xml:space="preserve"> </w:t>
      </w:r>
      <w:r w:rsidRPr="001352AB">
        <w:rPr>
          <w:rFonts w:ascii="Sylfaen" w:eastAsiaTheme="minorEastAsia" w:hAnsi="Sylfaen" w:cs="Sylfaen"/>
        </w:rPr>
        <w:t>ტიპიური</w:t>
      </w:r>
      <w:r w:rsidRPr="001352AB">
        <w:rPr>
          <w:rFonts w:eastAsiaTheme="minorEastAsia"/>
        </w:rPr>
        <w:t xml:space="preserve"> </w:t>
      </w:r>
      <w:r w:rsidRPr="001352AB">
        <w:rPr>
          <w:rFonts w:ascii="Sylfaen" w:eastAsiaTheme="minorEastAsia" w:hAnsi="Sylfaen" w:cs="Sylfaen"/>
        </w:rPr>
        <w:t>ტექნოლოგიური</w:t>
      </w:r>
      <w:r w:rsidRPr="001352AB">
        <w:rPr>
          <w:rFonts w:eastAsiaTheme="minorEastAsia"/>
        </w:rPr>
        <w:t xml:space="preserve"> </w:t>
      </w:r>
      <w:r w:rsidRPr="001352AB">
        <w:rPr>
          <w:rFonts w:ascii="Sylfaen" w:eastAsiaTheme="minorEastAsia" w:hAnsi="Sylfaen" w:cs="Sylfaen"/>
        </w:rPr>
        <w:t>სქემის</w:t>
      </w:r>
      <w:r w:rsidRPr="001352AB">
        <w:rPr>
          <w:rFonts w:eastAsiaTheme="minorEastAsia"/>
        </w:rPr>
        <w:t xml:space="preserve"> </w:t>
      </w:r>
      <w:r w:rsidRPr="001352AB">
        <w:rPr>
          <w:rFonts w:ascii="Sylfaen" w:eastAsiaTheme="minorEastAsia" w:hAnsi="Sylfaen" w:cs="Sylfaen"/>
        </w:rPr>
        <w:t>შესაბამისად</w:t>
      </w:r>
      <w:r w:rsidRPr="001352AB">
        <w:rPr>
          <w:rFonts w:eastAsiaTheme="minorEastAsia"/>
        </w:rPr>
        <w:t xml:space="preserve">, </w:t>
      </w:r>
      <w:r w:rsidRPr="001352AB">
        <w:rPr>
          <w:rFonts w:ascii="Sylfaen" w:eastAsiaTheme="minorEastAsia" w:hAnsi="Sylfaen" w:cs="Sylfaen"/>
        </w:rPr>
        <w:t>ავტოდამტვირთველი</w:t>
      </w:r>
      <w:r w:rsidRPr="001352AB">
        <w:rPr>
          <w:rFonts w:eastAsiaTheme="minorEastAsia"/>
        </w:rPr>
        <w:t xml:space="preserve"> </w:t>
      </w:r>
      <w:r w:rsidRPr="001352AB">
        <w:rPr>
          <w:rFonts w:ascii="Sylfaen" w:eastAsiaTheme="minorEastAsia" w:hAnsi="Sylfaen" w:cs="Sylfaen"/>
        </w:rPr>
        <w:t>პანდუსის</w:t>
      </w:r>
      <w:r w:rsidRPr="001352AB">
        <w:rPr>
          <w:rFonts w:eastAsiaTheme="minorEastAsia"/>
        </w:rPr>
        <w:t xml:space="preserve"> </w:t>
      </w:r>
      <w:r w:rsidRPr="001352AB">
        <w:rPr>
          <w:rFonts w:ascii="Sylfaen" w:eastAsiaTheme="minorEastAsia" w:hAnsi="Sylfaen" w:cs="Sylfaen"/>
        </w:rPr>
        <w:t>მეშვეობით</w:t>
      </w:r>
      <w:r w:rsidRPr="001352AB">
        <w:rPr>
          <w:rFonts w:eastAsiaTheme="minorEastAsia"/>
        </w:rPr>
        <w:t xml:space="preserve"> </w:t>
      </w:r>
      <w:r w:rsidRPr="001352AB">
        <w:rPr>
          <w:rFonts w:ascii="Sylfaen" w:eastAsiaTheme="minorEastAsia" w:hAnsi="Sylfaen" w:cs="Sylfaen"/>
        </w:rPr>
        <w:t>გადაიტანს</w:t>
      </w:r>
      <w:r w:rsidRPr="001352AB">
        <w:rPr>
          <w:rFonts w:eastAsiaTheme="minorEastAsia"/>
        </w:rPr>
        <w:t xml:space="preserve"> </w:t>
      </w:r>
      <w:r w:rsidRPr="001352AB">
        <w:rPr>
          <w:rFonts w:ascii="Sylfaen" w:eastAsiaTheme="minorEastAsia" w:hAnsi="Sylfaen" w:cs="Sylfaen"/>
        </w:rPr>
        <w:t>ქვიშასა</w:t>
      </w:r>
      <w:r w:rsidRPr="001352AB">
        <w:rPr>
          <w:rFonts w:eastAsiaTheme="minorEastAsia"/>
        </w:rPr>
        <w:t xml:space="preserve"> </w:t>
      </w:r>
      <w:r w:rsidRPr="001352AB">
        <w:rPr>
          <w:rFonts w:ascii="Sylfaen" w:eastAsiaTheme="minorEastAsia" w:hAnsi="Sylfaen" w:cs="Sylfaen"/>
        </w:rPr>
        <w:t>და</w:t>
      </w:r>
      <w:r w:rsidRPr="001352AB">
        <w:rPr>
          <w:rFonts w:eastAsiaTheme="minorEastAsia"/>
        </w:rPr>
        <w:t xml:space="preserve"> </w:t>
      </w:r>
      <w:r w:rsidRPr="001352AB">
        <w:rPr>
          <w:rFonts w:ascii="Sylfaen" w:eastAsiaTheme="minorEastAsia" w:hAnsi="Sylfaen" w:cs="Sylfaen"/>
        </w:rPr>
        <w:t>ხრეშს</w:t>
      </w:r>
      <w:r w:rsidRPr="001352AB">
        <w:rPr>
          <w:rFonts w:eastAsiaTheme="minorEastAsia"/>
        </w:rPr>
        <w:t xml:space="preserve"> </w:t>
      </w:r>
      <w:r w:rsidRPr="001352AB">
        <w:rPr>
          <w:rFonts w:ascii="Sylfaen" w:eastAsiaTheme="minorEastAsia" w:hAnsi="Sylfaen" w:cs="Sylfaen"/>
        </w:rPr>
        <w:t>სახარჯ</w:t>
      </w:r>
      <w:r w:rsidRPr="001352AB">
        <w:rPr>
          <w:rFonts w:eastAsiaTheme="minorEastAsia"/>
        </w:rPr>
        <w:t xml:space="preserve"> </w:t>
      </w:r>
      <w:r w:rsidRPr="001352AB">
        <w:rPr>
          <w:rFonts w:ascii="Sylfaen" w:eastAsiaTheme="minorEastAsia" w:hAnsi="Sylfaen" w:cs="Sylfaen"/>
        </w:rPr>
        <w:t>ბუნკერებში</w:t>
      </w:r>
      <w:r w:rsidRPr="001352AB">
        <w:rPr>
          <w:rFonts w:eastAsiaTheme="minorEastAsia"/>
        </w:rPr>
        <w:t xml:space="preserve"> (4 </w:t>
      </w:r>
      <w:r w:rsidRPr="001352AB">
        <w:rPr>
          <w:rFonts w:ascii="Sylfaen" w:eastAsiaTheme="minorEastAsia" w:hAnsi="Sylfaen" w:cs="Sylfaen"/>
        </w:rPr>
        <w:t>ბუნკერი</w:t>
      </w:r>
      <w:r w:rsidRPr="001352AB">
        <w:rPr>
          <w:rFonts w:eastAsiaTheme="minorEastAsia"/>
        </w:rPr>
        <w:t xml:space="preserve"> </w:t>
      </w:r>
      <w:r w:rsidRPr="001352AB">
        <w:rPr>
          <w:rFonts w:ascii="Sylfaen" w:eastAsiaTheme="minorEastAsia" w:hAnsi="Sylfaen" w:cs="Sylfaen"/>
        </w:rPr>
        <w:t>ზომებით</w:t>
      </w:r>
      <w:r w:rsidRPr="001352AB">
        <w:rPr>
          <w:rFonts w:eastAsiaTheme="minorEastAsia"/>
        </w:rPr>
        <w:t xml:space="preserve"> 3 x 3 </w:t>
      </w:r>
      <w:r w:rsidRPr="001352AB">
        <w:rPr>
          <w:rFonts w:ascii="Sylfaen" w:eastAsiaTheme="minorEastAsia" w:hAnsi="Sylfaen" w:cs="Sylfaen"/>
        </w:rPr>
        <w:t>მ</w:t>
      </w:r>
      <w:r w:rsidRPr="001352AB">
        <w:rPr>
          <w:rFonts w:eastAsiaTheme="minorEastAsia"/>
        </w:rPr>
        <w:t xml:space="preserve">), </w:t>
      </w:r>
      <w:r w:rsidRPr="001352AB">
        <w:rPr>
          <w:rFonts w:ascii="Sylfaen" w:eastAsiaTheme="minorEastAsia" w:hAnsi="Sylfaen" w:cs="Sylfaen"/>
        </w:rPr>
        <w:t>რის</w:t>
      </w:r>
      <w:r w:rsidRPr="001352AB">
        <w:rPr>
          <w:rFonts w:eastAsiaTheme="minorEastAsia"/>
        </w:rPr>
        <w:t xml:space="preserve"> </w:t>
      </w:r>
      <w:r w:rsidRPr="001352AB">
        <w:rPr>
          <w:rFonts w:ascii="Sylfaen" w:eastAsiaTheme="minorEastAsia" w:hAnsi="Sylfaen" w:cs="Sylfaen"/>
        </w:rPr>
        <w:t>შემდეგაც</w:t>
      </w:r>
      <w:r w:rsidRPr="001352AB">
        <w:rPr>
          <w:rFonts w:eastAsiaTheme="minorEastAsia"/>
        </w:rPr>
        <w:t xml:space="preserve"> </w:t>
      </w:r>
      <w:r w:rsidRPr="001352AB">
        <w:rPr>
          <w:rFonts w:ascii="Sylfaen" w:eastAsiaTheme="minorEastAsia" w:hAnsi="Sylfaen" w:cs="Sylfaen"/>
        </w:rPr>
        <w:t>დოზირების</w:t>
      </w:r>
      <w:r w:rsidRPr="001352AB">
        <w:rPr>
          <w:rFonts w:eastAsiaTheme="minorEastAsia"/>
        </w:rPr>
        <w:t xml:space="preserve"> </w:t>
      </w:r>
      <w:r w:rsidRPr="001352AB">
        <w:rPr>
          <w:rFonts w:ascii="Sylfaen" w:eastAsiaTheme="minorEastAsia" w:hAnsi="Sylfaen" w:cs="Sylfaen"/>
        </w:rPr>
        <w:t>სისტემის</w:t>
      </w:r>
      <w:r w:rsidRPr="001352AB">
        <w:rPr>
          <w:rFonts w:eastAsiaTheme="minorEastAsia"/>
        </w:rPr>
        <w:t xml:space="preserve"> </w:t>
      </w:r>
      <w:r w:rsidRPr="001352AB">
        <w:rPr>
          <w:rFonts w:ascii="Sylfaen" w:eastAsiaTheme="minorEastAsia" w:hAnsi="Sylfaen" w:cs="Sylfaen"/>
        </w:rPr>
        <w:t>საშუალებით</w:t>
      </w:r>
      <w:r w:rsidRPr="001352AB">
        <w:rPr>
          <w:rFonts w:eastAsiaTheme="minorEastAsia"/>
        </w:rPr>
        <w:t xml:space="preserve"> </w:t>
      </w:r>
      <w:r w:rsidRPr="001352AB">
        <w:rPr>
          <w:rFonts w:ascii="Sylfaen" w:eastAsiaTheme="minorEastAsia" w:hAnsi="Sylfaen" w:cs="Sylfaen"/>
        </w:rPr>
        <w:t>და</w:t>
      </w:r>
      <w:r w:rsidRPr="001352AB">
        <w:rPr>
          <w:rFonts w:eastAsiaTheme="minorEastAsia"/>
        </w:rPr>
        <w:t xml:space="preserve"> </w:t>
      </w:r>
      <w:r w:rsidRPr="001352AB">
        <w:rPr>
          <w:rFonts w:ascii="Sylfaen" w:eastAsiaTheme="minorEastAsia" w:hAnsi="Sylfaen" w:cs="Sylfaen"/>
        </w:rPr>
        <w:t>ლენტური</w:t>
      </w:r>
      <w:r w:rsidRPr="001352AB">
        <w:rPr>
          <w:rFonts w:eastAsiaTheme="minorEastAsia"/>
        </w:rPr>
        <w:t xml:space="preserve"> </w:t>
      </w:r>
      <w:r w:rsidRPr="001352AB">
        <w:rPr>
          <w:rFonts w:ascii="Sylfaen" w:eastAsiaTheme="minorEastAsia" w:hAnsi="Sylfaen" w:cs="Sylfaen"/>
        </w:rPr>
        <w:t>კონვეირების</w:t>
      </w:r>
      <w:r w:rsidRPr="001352AB">
        <w:rPr>
          <w:rFonts w:eastAsiaTheme="minorEastAsia"/>
        </w:rPr>
        <w:t xml:space="preserve"> </w:t>
      </w:r>
      <w:r w:rsidRPr="001352AB">
        <w:rPr>
          <w:rFonts w:ascii="Sylfaen" w:eastAsiaTheme="minorEastAsia" w:hAnsi="Sylfaen" w:cs="Sylfaen"/>
        </w:rPr>
        <w:t>გავლით</w:t>
      </w:r>
      <w:r w:rsidRPr="001352AB">
        <w:rPr>
          <w:rFonts w:eastAsiaTheme="minorEastAsia"/>
        </w:rPr>
        <w:t xml:space="preserve"> </w:t>
      </w:r>
      <w:r w:rsidRPr="001352AB">
        <w:rPr>
          <w:rFonts w:ascii="Sylfaen" w:eastAsiaTheme="minorEastAsia" w:hAnsi="Sylfaen" w:cs="Sylfaen"/>
        </w:rPr>
        <w:t>იგი</w:t>
      </w:r>
      <w:r w:rsidRPr="001352AB">
        <w:rPr>
          <w:rFonts w:eastAsiaTheme="minorEastAsia"/>
        </w:rPr>
        <w:t xml:space="preserve"> </w:t>
      </w:r>
      <w:r w:rsidRPr="001352AB">
        <w:rPr>
          <w:rFonts w:ascii="Sylfaen" w:eastAsiaTheme="minorEastAsia" w:hAnsi="Sylfaen" w:cs="Sylfaen"/>
        </w:rPr>
        <w:t>მიეწოდება</w:t>
      </w:r>
      <w:r w:rsidRPr="001352AB">
        <w:rPr>
          <w:rFonts w:eastAsiaTheme="minorEastAsia"/>
        </w:rPr>
        <w:t xml:space="preserve"> </w:t>
      </w:r>
      <w:r w:rsidRPr="001352AB">
        <w:rPr>
          <w:rFonts w:ascii="Sylfaen" w:eastAsiaTheme="minorEastAsia" w:hAnsi="Sylfaen" w:cs="Sylfaen"/>
        </w:rPr>
        <w:t>ბეტონის</w:t>
      </w:r>
      <w:r w:rsidRPr="001352AB">
        <w:rPr>
          <w:rFonts w:eastAsiaTheme="minorEastAsia"/>
        </w:rPr>
        <w:t xml:space="preserve"> </w:t>
      </w:r>
      <w:r w:rsidRPr="001352AB">
        <w:rPr>
          <w:rFonts w:ascii="Sylfaen" w:eastAsiaTheme="minorEastAsia" w:hAnsi="Sylfaen" w:cs="Sylfaen"/>
        </w:rPr>
        <w:lastRenderedPageBreak/>
        <w:t>კვანძს</w:t>
      </w:r>
      <w:r w:rsidRPr="001352AB">
        <w:rPr>
          <w:rFonts w:eastAsiaTheme="minorEastAsia"/>
        </w:rPr>
        <w:t xml:space="preserve">. </w:t>
      </w:r>
      <w:r w:rsidRPr="001352AB">
        <w:rPr>
          <w:rFonts w:ascii="Sylfaen" w:eastAsiaTheme="minorEastAsia" w:hAnsi="Sylfaen" w:cs="Sylfaen"/>
        </w:rPr>
        <w:t>პარალელურად</w:t>
      </w:r>
      <w:r w:rsidRPr="001352AB">
        <w:rPr>
          <w:rFonts w:eastAsiaTheme="minorEastAsia"/>
        </w:rPr>
        <w:t xml:space="preserve"> </w:t>
      </w:r>
      <w:r w:rsidRPr="001352AB">
        <w:rPr>
          <w:rFonts w:ascii="Sylfaen" w:eastAsiaTheme="minorEastAsia" w:hAnsi="Sylfaen" w:cs="Sylfaen"/>
        </w:rPr>
        <w:t>მისაღები</w:t>
      </w:r>
      <w:r w:rsidRPr="001352AB">
        <w:rPr>
          <w:rFonts w:eastAsiaTheme="minorEastAsia"/>
        </w:rPr>
        <w:t xml:space="preserve"> </w:t>
      </w:r>
      <w:r w:rsidRPr="001352AB">
        <w:rPr>
          <w:rFonts w:ascii="Sylfaen" w:eastAsiaTheme="minorEastAsia" w:hAnsi="Sylfaen" w:cs="Sylfaen"/>
        </w:rPr>
        <w:t>ბეტონის</w:t>
      </w:r>
      <w:r w:rsidRPr="001352AB">
        <w:rPr>
          <w:rFonts w:eastAsiaTheme="minorEastAsia"/>
        </w:rPr>
        <w:t xml:space="preserve"> </w:t>
      </w:r>
      <w:r w:rsidRPr="001352AB">
        <w:rPr>
          <w:rFonts w:ascii="Sylfaen" w:eastAsiaTheme="minorEastAsia" w:hAnsi="Sylfaen" w:cs="Sylfaen"/>
        </w:rPr>
        <w:t>მარკის</w:t>
      </w:r>
      <w:r w:rsidRPr="001352AB">
        <w:rPr>
          <w:rFonts w:eastAsiaTheme="minorEastAsia"/>
        </w:rPr>
        <w:t xml:space="preserve"> </w:t>
      </w:r>
      <w:r w:rsidRPr="001352AB">
        <w:rPr>
          <w:rFonts w:ascii="Sylfaen" w:eastAsiaTheme="minorEastAsia" w:hAnsi="Sylfaen" w:cs="Sylfaen"/>
        </w:rPr>
        <w:t>შესაბამისად</w:t>
      </w:r>
      <w:r w:rsidRPr="001352AB">
        <w:rPr>
          <w:rFonts w:eastAsiaTheme="minorEastAsia"/>
        </w:rPr>
        <w:t xml:space="preserve"> </w:t>
      </w:r>
      <w:r w:rsidRPr="001352AB">
        <w:rPr>
          <w:rFonts w:ascii="Sylfaen" w:eastAsiaTheme="minorEastAsia" w:hAnsi="Sylfaen" w:cs="Sylfaen"/>
        </w:rPr>
        <w:t>კომპიუტერული</w:t>
      </w:r>
      <w:r w:rsidRPr="001352AB">
        <w:rPr>
          <w:rFonts w:eastAsiaTheme="minorEastAsia"/>
        </w:rPr>
        <w:t xml:space="preserve"> </w:t>
      </w:r>
      <w:r w:rsidRPr="001352AB">
        <w:rPr>
          <w:rFonts w:ascii="Sylfaen" w:eastAsiaTheme="minorEastAsia" w:hAnsi="Sylfaen" w:cs="Sylfaen"/>
        </w:rPr>
        <w:t>სისტემა</w:t>
      </w:r>
      <w:r w:rsidRPr="001352AB">
        <w:rPr>
          <w:rFonts w:eastAsiaTheme="minorEastAsia"/>
        </w:rPr>
        <w:t xml:space="preserve"> </w:t>
      </w:r>
      <w:r w:rsidRPr="001352AB">
        <w:rPr>
          <w:rFonts w:ascii="Sylfaen" w:eastAsiaTheme="minorEastAsia" w:hAnsi="Sylfaen" w:cs="Sylfaen"/>
        </w:rPr>
        <w:t>არეგულირებს</w:t>
      </w:r>
      <w:r w:rsidRPr="001352AB">
        <w:rPr>
          <w:rFonts w:eastAsiaTheme="minorEastAsia"/>
        </w:rPr>
        <w:t xml:space="preserve"> </w:t>
      </w:r>
      <w:r w:rsidRPr="001352AB">
        <w:rPr>
          <w:rFonts w:ascii="Sylfaen" w:eastAsiaTheme="minorEastAsia" w:hAnsi="Sylfaen" w:cs="Sylfaen"/>
        </w:rPr>
        <w:t>ინგრედიენტების</w:t>
      </w:r>
      <w:r w:rsidRPr="001352AB">
        <w:rPr>
          <w:rFonts w:eastAsiaTheme="minorEastAsia"/>
        </w:rPr>
        <w:t xml:space="preserve"> </w:t>
      </w:r>
      <w:r w:rsidRPr="001352AB">
        <w:rPr>
          <w:rFonts w:ascii="Sylfaen" w:eastAsiaTheme="minorEastAsia" w:hAnsi="Sylfaen" w:cs="Sylfaen"/>
        </w:rPr>
        <w:t>შესაბამის</w:t>
      </w:r>
      <w:r w:rsidRPr="001352AB">
        <w:rPr>
          <w:rFonts w:eastAsiaTheme="minorEastAsia"/>
        </w:rPr>
        <w:t xml:space="preserve"> </w:t>
      </w:r>
      <w:r w:rsidRPr="001352AB">
        <w:rPr>
          <w:rFonts w:ascii="Sylfaen" w:eastAsiaTheme="minorEastAsia" w:hAnsi="Sylfaen" w:cs="Sylfaen"/>
        </w:rPr>
        <w:t>პროპორციას</w:t>
      </w:r>
      <w:r w:rsidRPr="001352AB">
        <w:rPr>
          <w:rFonts w:eastAsiaTheme="minorEastAsia"/>
        </w:rPr>
        <w:t xml:space="preserve"> (</w:t>
      </w:r>
      <w:r w:rsidRPr="001352AB">
        <w:rPr>
          <w:rFonts w:ascii="Sylfaen" w:eastAsiaTheme="minorEastAsia" w:hAnsi="Sylfaen" w:cs="Sylfaen"/>
        </w:rPr>
        <w:t>ქვიშა</w:t>
      </w:r>
      <w:r w:rsidRPr="001352AB">
        <w:rPr>
          <w:rFonts w:eastAsiaTheme="minorEastAsia"/>
        </w:rPr>
        <w:t xml:space="preserve">, </w:t>
      </w:r>
      <w:r w:rsidRPr="001352AB">
        <w:rPr>
          <w:rFonts w:ascii="Sylfaen" w:eastAsiaTheme="minorEastAsia" w:hAnsi="Sylfaen" w:cs="Sylfaen"/>
        </w:rPr>
        <w:t>ხრეში</w:t>
      </w:r>
      <w:r w:rsidRPr="001352AB">
        <w:rPr>
          <w:rFonts w:eastAsiaTheme="minorEastAsia"/>
        </w:rPr>
        <w:t xml:space="preserve">, </w:t>
      </w:r>
      <w:r w:rsidRPr="001352AB">
        <w:rPr>
          <w:rFonts w:ascii="Sylfaen" w:eastAsiaTheme="minorEastAsia" w:hAnsi="Sylfaen" w:cs="Sylfaen"/>
        </w:rPr>
        <w:t>ცემენტი</w:t>
      </w:r>
      <w:r w:rsidRPr="001352AB">
        <w:rPr>
          <w:rFonts w:eastAsiaTheme="minorEastAsia"/>
        </w:rPr>
        <w:t xml:space="preserve">,) </w:t>
      </w:r>
      <w:r w:rsidRPr="001352AB">
        <w:rPr>
          <w:rFonts w:ascii="Sylfaen" w:eastAsiaTheme="minorEastAsia" w:hAnsi="Sylfaen" w:cs="Sylfaen"/>
        </w:rPr>
        <w:t>და</w:t>
      </w:r>
      <w:r w:rsidRPr="001352AB">
        <w:rPr>
          <w:rFonts w:eastAsiaTheme="minorEastAsia"/>
        </w:rPr>
        <w:t xml:space="preserve"> </w:t>
      </w:r>
      <w:r w:rsidRPr="001352AB">
        <w:rPr>
          <w:rFonts w:ascii="Sylfaen" w:eastAsiaTheme="minorEastAsia" w:hAnsi="Sylfaen" w:cs="Sylfaen"/>
        </w:rPr>
        <w:t>აგზავნის</w:t>
      </w:r>
      <w:r w:rsidRPr="001352AB">
        <w:rPr>
          <w:rFonts w:eastAsiaTheme="minorEastAsia"/>
        </w:rPr>
        <w:t xml:space="preserve"> </w:t>
      </w:r>
      <w:r w:rsidRPr="001352AB">
        <w:rPr>
          <w:rFonts w:ascii="Sylfaen" w:eastAsiaTheme="minorEastAsia" w:hAnsi="Sylfaen" w:cs="Sylfaen"/>
        </w:rPr>
        <w:t>შემრევ</w:t>
      </w:r>
      <w:r w:rsidRPr="001352AB">
        <w:rPr>
          <w:rFonts w:eastAsiaTheme="minorEastAsia"/>
        </w:rPr>
        <w:t xml:space="preserve"> </w:t>
      </w:r>
      <w:r w:rsidRPr="001352AB">
        <w:rPr>
          <w:rFonts w:ascii="Sylfaen" w:eastAsiaTheme="minorEastAsia" w:hAnsi="Sylfaen" w:cs="Sylfaen"/>
        </w:rPr>
        <w:t>აგრეგატში</w:t>
      </w:r>
      <w:r w:rsidRPr="001352AB">
        <w:rPr>
          <w:rFonts w:eastAsiaTheme="minorEastAsia"/>
        </w:rPr>
        <w:t xml:space="preserve">. </w:t>
      </w:r>
      <w:r w:rsidRPr="001352AB">
        <w:rPr>
          <w:rFonts w:ascii="Sylfaen" w:eastAsiaTheme="minorEastAsia" w:hAnsi="Sylfaen" w:cs="Sylfaen"/>
        </w:rPr>
        <w:t>საათური</w:t>
      </w:r>
      <w:r w:rsidRPr="001352AB">
        <w:rPr>
          <w:rFonts w:eastAsiaTheme="minorEastAsia"/>
        </w:rPr>
        <w:t xml:space="preserve"> </w:t>
      </w:r>
      <w:r w:rsidRPr="001352AB">
        <w:rPr>
          <w:rFonts w:ascii="Sylfaen" w:eastAsiaTheme="minorEastAsia" w:hAnsi="Sylfaen" w:cs="Sylfaen"/>
        </w:rPr>
        <w:t>საპროექტო</w:t>
      </w:r>
      <w:r w:rsidRPr="001352AB">
        <w:rPr>
          <w:rFonts w:eastAsiaTheme="minorEastAsia"/>
        </w:rPr>
        <w:t xml:space="preserve"> </w:t>
      </w:r>
      <w:r w:rsidRPr="001352AB">
        <w:rPr>
          <w:rFonts w:ascii="Sylfaen" w:eastAsiaTheme="minorEastAsia" w:hAnsi="Sylfaen" w:cs="Sylfaen"/>
        </w:rPr>
        <w:t>წარმადობა</w:t>
      </w:r>
      <w:r w:rsidRPr="001352AB">
        <w:rPr>
          <w:rFonts w:eastAsiaTheme="minorEastAsia"/>
        </w:rPr>
        <w:t xml:space="preserve"> 80 </w:t>
      </w:r>
      <w:r w:rsidRPr="001352AB">
        <w:rPr>
          <w:rFonts w:ascii="Sylfaen" w:eastAsiaTheme="minorEastAsia" w:hAnsi="Sylfaen" w:cs="Sylfaen"/>
        </w:rPr>
        <w:t>მ</w:t>
      </w:r>
      <w:r w:rsidRPr="001352AB">
        <w:rPr>
          <w:rFonts w:eastAsiaTheme="minorEastAsia"/>
        </w:rPr>
        <w:t>3/</w:t>
      </w:r>
      <w:r w:rsidRPr="001352AB">
        <w:rPr>
          <w:rFonts w:ascii="Sylfaen" w:eastAsiaTheme="minorEastAsia" w:hAnsi="Sylfaen" w:cs="Sylfaen"/>
        </w:rPr>
        <w:t>სთ</w:t>
      </w:r>
      <w:r w:rsidRPr="001352AB">
        <w:rPr>
          <w:rFonts w:eastAsiaTheme="minorEastAsia"/>
        </w:rPr>
        <w:t xml:space="preserve">. </w:t>
      </w:r>
      <w:r w:rsidRPr="001352AB">
        <w:rPr>
          <w:rFonts w:ascii="Sylfaen" w:eastAsiaTheme="minorEastAsia" w:hAnsi="Sylfaen" w:cs="Sylfaen"/>
        </w:rPr>
        <w:t>მომზადებული</w:t>
      </w:r>
      <w:r w:rsidRPr="001352AB">
        <w:rPr>
          <w:rFonts w:eastAsiaTheme="minorEastAsia"/>
        </w:rPr>
        <w:t xml:space="preserve"> </w:t>
      </w:r>
      <w:r w:rsidRPr="001352AB">
        <w:rPr>
          <w:rFonts w:ascii="Sylfaen" w:eastAsiaTheme="minorEastAsia" w:hAnsi="Sylfaen" w:cs="Sylfaen"/>
        </w:rPr>
        <w:t>ბეტონი</w:t>
      </w:r>
      <w:r w:rsidRPr="001352AB">
        <w:rPr>
          <w:rFonts w:eastAsiaTheme="minorEastAsia"/>
        </w:rPr>
        <w:t xml:space="preserve"> </w:t>
      </w:r>
      <w:r w:rsidRPr="001352AB">
        <w:rPr>
          <w:rFonts w:ascii="Sylfaen" w:eastAsiaTheme="minorEastAsia" w:hAnsi="Sylfaen" w:cs="Sylfaen"/>
        </w:rPr>
        <w:t>მიემართება</w:t>
      </w:r>
      <w:r w:rsidRPr="001352AB">
        <w:rPr>
          <w:rFonts w:eastAsiaTheme="minorEastAsia"/>
        </w:rPr>
        <w:t xml:space="preserve"> </w:t>
      </w:r>
      <w:r w:rsidRPr="001352AB">
        <w:rPr>
          <w:rFonts w:ascii="Sylfaen" w:eastAsiaTheme="minorEastAsia" w:hAnsi="Sylfaen" w:cs="Sylfaen"/>
        </w:rPr>
        <w:t>ბეტონმზიდებით</w:t>
      </w:r>
      <w:r w:rsidRPr="001352AB">
        <w:rPr>
          <w:rFonts w:eastAsiaTheme="minorEastAsia"/>
        </w:rPr>
        <w:t xml:space="preserve"> </w:t>
      </w:r>
      <w:r w:rsidRPr="001352AB">
        <w:rPr>
          <w:rFonts w:ascii="Sylfaen" w:eastAsiaTheme="minorEastAsia" w:hAnsi="Sylfaen" w:cs="Sylfaen"/>
        </w:rPr>
        <w:t>საბოლოო</w:t>
      </w:r>
      <w:r w:rsidRPr="001352AB">
        <w:rPr>
          <w:rFonts w:eastAsiaTheme="minorEastAsia"/>
        </w:rPr>
        <w:t xml:space="preserve"> </w:t>
      </w:r>
      <w:r w:rsidRPr="001352AB">
        <w:rPr>
          <w:rFonts w:ascii="Sylfaen" w:eastAsiaTheme="minorEastAsia" w:hAnsi="Sylfaen" w:cs="Sylfaen"/>
        </w:rPr>
        <w:t>მომხმარებლებთან</w:t>
      </w:r>
      <w:r w:rsidRPr="001352AB">
        <w:rPr>
          <w:rFonts w:eastAsiaTheme="minorEastAsia"/>
        </w:rPr>
        <w:t>.</w:t>
      </w:r>
      <w:bookmarkStart w:id="244" w:name="_Toc314491175"/>
      <w:bookmarkStart w:id="245" w:name="_Toc352249357"/>
    </w:p>
    <w:p w14:paraId="20D164BD" w14:textId="77777777" w:rsidR="00CD64B5" w:rsidRPr="00CD64B5" w:rsidRDefault="00CD64B5" w:rsidP="00CD64B5">
      <w:pPr>
        <w:spacing w:before="120" w:after="120"/>
        <w:rPr>
          <w:rFonts w:eastAsiaTheme="minorEastAsia"/>
          <w:b/>
        </w:rPr>
      </w:pPr>
      <w:bookmarkStart w:id="246" w:name="_Toc419823069"/>
      <w:bookmarkStart w:id="247" w:name="_Toc392867788"/>
      <w:r w:rsidRPr="00CD64B5">
        <w:rPr>
          <w:rFonts w:ascii="Sylfaen" w:eastAsiaTheme="majorEastAsia" w:hAnsi="Sylfaen" w:cs="Sylfaen"/>
          <w:b/>
        </w:rPr>
        <w:t>ემისიის</w:t>
      </w:r>
      <w:r w:rsidRPr="00CD64B5">
        <w:rPr>
          <w:rFonts w:eastAsiaTheme="majorEastAsia"/>
          <w:b/>
        </w:rPr>
        <w:t xml:space="preserve"> </w:t>
      </w:r>
      <w:r w:rsidRPr="00CD64B5">
        <w:rPr>
          <w:rFonts w:ascii="Sylfaen" w:eastAsiaTheme="majorEastAsia" w:hAnsi="Sylfaen" w:cs="Sylfaen"/>
          <w:b/>
        </w:rPr>
        <w:t>გაანგარიშება</w:t>
      </w:r>
      <w:r w:rsidRPr="00CD64B5">
        <w:rPr>
          <w:rFonts w:eastAsiaTheme="majorEastAsia"/>
          <w:b/>
        </w:rPr>
        <w:t xml:space="preserve"> </w:t>
      </w:r>
      <w:r w:rsidRPr="00CD64B5">
        <w:rPr>
          <w:rFonts w:ascii="Sylfaen" w:eastAsiaTheme="majorEastAsia" w:hAnsi="Sylfaen" w:cs="Sylfaen"/>
          <w:b/>
        </w:rPr>
        <w:t>დიზელის</w:t>
      </w:r>
      <w:r w:rsidRPr="00CD64B5">
        <w:rPr>
          <w:rFonts w:eastAsiaTheme="majorEastAsia"/>
          <w:b/>
        </w:rPr>
        <w:t xml:space="preserve"> </w:t>
      </w:r>
      <w:r w:rsidRPr="00CD64B5">
        <w:rPr>
          <w:rFonts w:ascii="Sylfaen" w:eastAsiaTheme="majorEastAsia" w:hAnsi="Sylfaen" w:cs="Sylfaen"/>
          <w:b/>
        </w:rPr>
        <w:t>რეზერვუარიდან</w:t>
      </w:r>
      <w:r w:rsidRPr="00CD64B5">
        <w:rPr>
          <w:rFonts w:eastAsiaTheme="majorEastAsia"/>
          <w:b/>
        </w:rPr>
        <w:t xml:space="preserve"> (</w:t>
      </w:r>
      <w:r w:rsidRPr="00CD64B5">
        <w:rPr>
          <w:rFonts w:ascii="Sylfaen" w:eastAsiaTheme="majorEastAsia" w:hAnsi="Sylfaen" w:cs="Sylfaen"/>
          <w:b/>
        </w:rPr>
        <w:t>გ</w:t>
      </w:r>
      <w:r w:rsidRPr="00CD64B5">
        <w:rPr>
          <w:rFonts w:eastAsiaTheme="majorEastAsia"/>
          <w:b/>
        </w:rPr>
        <w:t>-1)</w:t>
      </w:r>
      <w:bookmarkEnd w:id="246"/>
    </w:p>
    <w:p w14:paraId="1C125771"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ატმოსფერული</w:t>
      </w:r>
      <w:r w:rsidRPr="001352AB">
        <w:rPr>
          <w:rFonts w:eastAsiaTheme="minorEastAsia"/>
        </w:rPr>
        <w:t xml:space="preserve"> </w:t>
      </w:r>
      <w:r w:rsidRPr="001352AB">
        <w:rPr>
          <w:rFonts w:ascii="Sylfaen" w:eastAsiaTheme="minorEastAsia" w:hAnsi="Sylfaen" w:cs="Sylfaen"/>
        </w:rPr>
        <w:t>ჰაერის</w:t>
      </w:r>
      <w:r w:rsidRPr="001352AB">
        <w:rPr>
          <w:rFonts w:eastAsiaTheme="minorEastAsia"/>
        </w:rPr>
        <w:t xml:space="preserve"> </w:t>
      </w:r>
      <w:r w:rsidRPr="001352AB">
        <w:rPr>
          <w:rFonts w:ascii="Sylfaen" w:eastAsiaTheme="minorEastAsia" w:hAnsi="Sylfaen" w:cs="Sylfaen"/>
        </w:rPr>
        <w:t>დაბინძურების</w:t>
      </w:r>
      <w:r w:rsidRPr="001352AB">
        <w:rPr>
          <w:rFonts w:eastAsiaTheme="minorEastAsia"/>
        </w:rPr>
        <w:t xml:space="preserve"> </w:t>
      </w:r>
      <w:r w:rsidRPr="001352AB">
        <w:rPr>
          <w:rFonts w:ascii="Sylfaen" w:eastAsiaTheme="minorEastAsia" w:hAnsi="Sylfaen" w:cs="Sylfaen"/>
        </w:rPr>
        <w:t>წყაროს</w:t>
      </w:r>
      <w:r w:rsidRPr="001352AB">
        <w:rPr>
          <w:rFonts w:eastAsiaTheme="minorEastAsia"/>
        </w:rPr>
        <w:t xml:space="preserve"> </w:t>
      </w:r>
      <w:r w:rsidRPr="001352AB">
        <w:rPr>
          <w:rFonts w:ascii="Sylfaen" w:eastAsiaTheme="minorEastAsia" w:hAnsi="Sylfaen" w:cs="Sylfaen"/>
        </w:rPr>
        <w:t>წარმოადგენენ</w:t>
      </w:r>
      <w:r w:rsidRPr="001352AB">
        <w:rPr>
          <w:rFonts w:eastAsiaTheme="minorEastAsia"/>
        </w:rPr>
        <w:t xml:space="preserve"> </w:t>
      </w:r>
      <w:r w:rsidRPr="001352AB">
        <w:rPr>
          <w:rFonts w:ascii="Sylfaen" w:eastAsiaTheme="minorEastAsia" w:hAnsi="Sylfaen" w:cs="Sylfaen"/>
        </w:rPr>
        <w:t>რეზერვუარის</w:t>
      </w:r>
      <w:r w:rsidRPr="001352AB">
        <w:rPr>
          <w:rFonts w:eastAsiaTheme="minorEastAsia"/>
        </w:rPr>
        <w:t xml:space="preserve"> </w:t>
      </w:r>
      <w:r w:rsidRPr="001352AB">
        <w:rPr>
          <w:rFonts w:ascii="Sylfaen" w:eastAsiaTheme="minorEastAsia" w:hAnsi="Sylfaen" w:cs="Sylfaen"/>
        </w:rPr>
        <w:t>სასუნთქი</w:t>
      </w:r>
      <w:r w:rsidRPr="001352AB">
        <w:rPr>
          <w:rFonts w:eastAsiaTheme="minorEastAsia"/>
        </w:rPr>
        <w:t xml:space="preserve"> </w:t>
      </w:r>
      <w:r w:rsidRPr="001352AB">
        <w:rPr>
          <w:rFonts w:ascii="Sylfaen" w:eastAsiaTheme="minorEastAsia" w:hAnsi="Sylfaen" w:cs="Sylfaen"/>
        </w:rPr>
        <w:t>სარქველი</w:t>
      </w:r>
      <w:r w:rsidRPr="001352AB">
        <w:rPr>
          <w:rFonts w:eastAsiaTheme="minorEastAsia"/>
        </w:rPr>
        <w:t xml:space="preserve"> </w:t>
      </w:r>
      <w:r w:rsidRPr="001352AB">
        <w:rPr>
          <w:rFonts w:ascii="Sylfaen" w:eastAsiaTheme="minorEastAsia" w:hAnsi="Sylfaen" w:cs="Sylfaen"/>
        </w:rPr>
        <w:t>ნავთობპროდუქტის</w:t>
      </w:r>
      <w:r w:rsidRPr="001352AB">
        <w:rPr>
          <w:rFonts w:eastAsiaTheme="minorEastAsia"/>
        </w:rPr>
        <w:t xml:space="preserve"> </w:t>
      </w:r>
      <w:r w:rsidRPr="001352AB">
        <w:rPr>
          <w:rFonts w:ascii="Sylfaen" w:eastAsiaTheme="minorEastAsia" w:hAnsi="Sylfaen" w:cs="Sylfaen"/>
        </w:rPr>
        <w:t>შენახვისას</w:t>
      </w:r>
      <w:r w:rsidRPr="001352AB">
        <w:rPr>
          <w:rFonts w:eastAsiaTheme="minorEastAsia"/>
        </w:rPr>
        <w:t xml:space="preserve"> (</w:t>
      </w:r>
      <w:r w:rsidRPr="001352AB">
        <w:rPr>
          <w:rFonts w:ascii="Sylfaen" w:eastAsiaTheme="minorEastAsia" w:hAnsi="Sylfaen" w:cs="Sylfaen"/>
        </w:rPr>
        <w:t>მცირე</w:t>
      </w:r>
      <w:r w:rsidRPr="001352AB">
        <w:rPr>
          <w:rFonts w:eastAsiaTheme="minorEastAsia"/>
        </w:rPr>
        <w:t xml:space="preserve"> </w:t>
      </w:r>
      <w:r w:rsidRPr="001352AB">
        <w:rPr>
          <w:rFonts w:ascii="Sylfaen" w:eastAsiaTheme="minorEastAsia" w:hAnsi="Sylfaen" w:cs="Sylfaen"/>
        </w:rPr>
        <w:t>სუნთქვა</w:t>
      </w:r>
      <w:r w:rsidRPr="001352AB">
        <w:rPr>
          <w:rFonts w:eastAsiaTheme="minorEastAsia"/>
        </w:rPr>
        <w:t xml:space="preserve">) </w:t>
      </w:r>
      <w:r w:rsidRPr="001352AB">
        <w:rPr>
          <w:rFonts w:ascii="Sylfaen" w:eastAsiaTheme="minorEastAsia" w:hAnsi="Sylfaen" w:cs="Sylfaen"/>
        </w:rPr>
        <w:t>და</w:t>
      </w:r>
      <w:r w:rsidRPr="001352AB">
        <w:rPr>
          <w:rFonts w:eastAsiaTheme="minorEastAsia"/>
        </w:rPr>
        <w:t xml:space="preserve"> </w:t>
      </w:r>
      <w:r w:rsidRPr="001352AB">
        <w:rPr>
          <w:rFonts w:ascii="Sylfaen" w:eastAsiaTheme="minorEastAsia" w:hAnsi="Sylfaen" w:cs="Sylfaen"/>
        </w:rPr>
        <w:t>ჩატვირთვისას</w:t>
      </w:r>
      <w:r w:rsidRPr="001352AB">
        <w:rPr>
          <w:rFonts w:eastAsiaTheme="minorEastAsia"/>
        </w:rPr>
        <w:t xml:space="preserve"> (</w:t>
      </w:r>
      <w:r w:rsidRPr="001352AB">
        <w:rPr>
          <w:rFonts w:ascii="Sylfaen" w:eastAsiaTheme="minorEastAsia" w:hAnsi="Sylfaen" w:cs="Sylfaen"/>
        </w:rPr>
        <w:t>დიდი</w:t>
      </w:r>
      <w:r w:rsidRPr="001352AB">
        <w:rPr>
          <w:rFonts w:eastAsiaTheme="minorEastAsia"/>
        </w:rPr>
        <w:t xml:space="preserve"> </w:t>
      </w:r>
      <w:r w:rsidRPr="001352AB">
        <w:rPr>
          <w:rFonts w:ascii="Sylfaen" w:eastAsiaTheme="minorEastAsia" w:hAnsi="Sylfaen" w:cs="Sylfaen"/>
        </w:rPr>
        <w:t>სუნთქვა</w:t>
      </w:r>
      <w:r w:rsidRPr="001352AB">
        <w:rPr>
          <w:rFonts w:eastAsiaTheme="minorEastAsia"/>
        </w:rPr>
        <w:t xml:space="preserve">). </w:t>
      </w:r>
      <w:r w:rsidRPr="001352AB">
        <w:rPr>
          <w:rFonts w:ascii="Sylfaen" w:eastAsiaTheme="minorEastAsia" w:hAnsi="Sylfaen" w:cs="Sylfaen"/>
        </w:rPr>
        <w:t>კლიმატური</w:t>
      </w:r>
      <w:r w:rsidRPr="001352AB">
        <w:rPr>
          <w:rFonts w:eastAsiaTheme="minorEastAsia"/>
        </w:rPr>
        <w:t xml:space="preserve"> </w:t>
      </w:r>
      <w:r w:rsidRPr="001352AB">
        <w:rPr>
          <w:rFonts w:ascii="Sylfaen" w:eastAsiaTheme="minorEastAsia" w:hAnsi="Sylfaen" w:cs="Sylfaen"/>
        </w:rPr>
        <w:t>ზონა</w:t>
      </w:r>
      <w:r w:rsidRPr="001352AB">
        <w:rPr>
          <w:rFonts w:eastAsiaTheme="minorEastAsia"/>
        </w:rPr>
        <w:t>-3.</w:t>
      </w:r>
    </w:p>
    <w:p w14:paraId="06B1470C" w14:textId="77777777" w:rsidR="00CD64B5" w:rsidRPr="001352AB" w:rsidRDefault="00CD64B5" w:rsidP="00CD64B5">
      <w:pPr>
        <w:spacing w:before="120" w:after="120"/>
        <w:rPr>
          <w:rFonts w:eastAsiaTheme="majorEastAsia"/>
          <w:lang w:val="ka-GE"/>
        </w:rPr>
      </w:pPr>
      <w:r w:rsidRPr="001352AB">
        <w:rPr>
          <w:rFonts w:ascii="Sylfaen" w:eastAsiaTheme="minorEastAsia" w:hAnsi="Sylfaen" w:cs="Sylfaen"/>
        </w:rPr>
        <w:t>დამაბინძურებელ</w:t>
      </w:r>
      <w:r w:rsidRPr="001352AB">
        <w:rPr>
          <w:rFonts w:eastAsiaTheme="minorEastAsia"/>
        </w:rPr>
        <w:t xml:space="preserve"> </w:t>
      </w:r>
      <w:r w:rsidRPr="001352AB">
        <w:rPr>
          <w:rFonts w:ascii="Sylfaen" w:eastAsiaTheme="minorEastAsia" w:hAnsi="Sylfaen" w:cs="Sylfaen"/>
        </w:rPr>
        <w:t>ნივთიერებათა</w:t>
      </w:r>
      <w:r w:rsidRPr="001352AB">
        <w:rPr>
          <w:rFonts w:eastAsiaTheme="minorEastAsia"/>
        </w:rPr>
        <w:t xml:space="preserve"> </w:t>
      </w:r>
      <w:r w:rsidRPr="001352AB">
        <w:rPr>
          <w:rFonts w:ascii="Sylfaen" w:eastAsiaTheme="minorEastAsia" w:hAnsi="Sylfaen" w:cs="Sylfaen"/>
        </w:rPr>
        <w:t>გამოყოფის</w:t>
      </w:r>
      <w:r w:rsidRPr="001352AB">
        <w:rPr>
          <w:rFonts w:eastAsiaTheme="minorEastAsia"/>
        </w:rPr>
        <w:t xml:space="preserve"> </w:t>
      </w:r>
      <w:r w:rsidRPr="001352AB">
        <w:rPr>
          <w:rFonts w:ascii="Sylfaen" w:eastAsiaTheme="minorEastAsia" w:hAnsi="Sylfaen" w:cs="Sylfaen"/>
        </w:rPr>
        <w:t>გაანგარიშება</w:t>
      </w:r>
      <w:r w:rsidRPr="001352AB">
        <w:rPr>
          <w:rFonts w:eastAsiaTheme="minorEastAsia"/>
        </w:rPr>
        <w:t xml:space="preserve"> </w:t>
      </w:r>
      <w:r w:rsidRPr="001352AB">
        <w:rPr>
          <w:rFonts w:ascii="Sylfaen" w:eastAsiaTheme="minorEastAsia" w:hAnsi="Sylfaen" w:cs="Sylfaen"/>
        </w:rPr>
        <w:t>შესრულებულია</w:t>
      </w:r>
      <w:r w:rsidRPr="001352AB">
        <w:rPr>
          <w:rFonts w:eastAsiaTheme="minorEastAsia"/>
        </w:rPr>
        <w:t xml:space="preserve"> [10]-</w:t>
      </w:r>
      <w:r w:rsidRPr="001352AB">
        <w:rPr>
          <w:rFonts w:ascii="Sylfaen" w:eastAsiaTheme="minorEastAsia" w:hAnsi="Sylfaen" w:cs="Sylfaen"/>
        </w:rPr>
        <w:t>ს</w:t>
      </w:r>
      <w:r w:rsidRPr="001352AB">
        <w:rPr>
          <w:rFonts w:eastAsiaTheme="minorEastAsia"/>
        </w:rPr>
        <w:t xml:space="preserve"> </w:t>
      </w:r>
      <w:r w:rsidRPr="001352AB">
        <w:rPr>
          <w:rFonts w:ascii="Sylfaen" w:eastAsiaTheme="minorEastAsia" w:hAnsi="Sylfaen" w:cs="Sylfaen"/>
        </w:rPr>
        <w:t>შესაბამისად</w:t>
      </w:r>
      <w:r w:rsidRPr="001352AB">
        <w:rPr>
          <w:rFonts w:eastAsiaTheme="minorEastAsia"/>
        </w:rPr>
        <w:t xml:space="preserve">. </w:t>
      </w:r>
      <w:r w:rsidRPr="001352AB">
        <w:rPr>
          <w:rFonts w:ascii="Sylfaen" w:eastAsiaTheme="minorEastAsia" w:hAnsi="Sylfaen" w:cs="Sylfaen"/>
        </w:rPr>
        <w:t>დამაბინძურებელ</w:t>
      </w:r>
      <w:r w:rsidRPr="001352AB">
        <w:rPr>
          <w:rFonts w:eastAsiaTheme="minorEastAsia"/>
        </w:rPr>
        <w:t xml:space="preserve"> </w:t>
      </w:r>
      <w:r w:rsidRPr="001352AB">
        <w:rPr>
          <w:rFonts w:ascii="Sylfaen" w:eastAsiaTheme="minorEastAsia" w:hAnsi="Sylfaen" w:cs="Sylfaen"/>
        </w:rPr>
        <w:t>ნივთიერებათა</w:t>
      </w:r>
      <w:r w:rsidRPr="001352AB">
        <w:rPr>
          <w:rFonts w:eastAsiaTheme="minorEastAsia"/>
        </w:rPr>
        <w:t xml:space="preserve"> </w:t>
      </w:r>
      <w:r w:rsidRPr="001352AB">
        <w:rPr>
          <w:rFonts w:ascii="Sylfaen" w:eastAsiaTheme="minorEastAsia" w:hAnsi="Sylfaen" w:cs="Sylfaen"/>
        </w:rPr>
        <w:t>გამოყოფის</w:t>
      </w:r>
      <w:r w:rsidRPr="001352AB">
        <w:rPr>
          <w:rFonts w:eastAsiaTheme="minorEastAsia"/>
        </w:rPr>
        <w:t xml:space="preserve"> </w:t>
      </w:r>
      <w:r w:rsidRPr="001352AB">
        <w:rPr>
          <w:rFonts w:ascii="Sylfaen" w:eastAsiaTheme="minorEastAsia" w:hAnsi="Sylfaen" w:cs="Sylfaen"/>
        </w:rPr>
        <w:t>რაოდენობრივი</w:t>
      </w:r>
      <w:r w:rsidRPr="001352AB">
        <w:rPr>
          <w:rFonts w:eastAsiaTheme="minorEastAsia"/>
        </w:rPr>
        <w:t xml:space="preserve"> </w:t>
      </w:r>
      <w:r w:rsidRPr="001352AB">
        <w:rPr>
          <w:rFonts w:ascii="Sylfaen" w:eastAsiaTheme="minorEastAsia" w:hAnsi="Sylfaen" w:cs="Sylfaen"/>
        </w:rPr>
        <w:t>და</w:t>
      </w:r>
      <w:r w:rsidRPr="001352AB">
        <w:rPr>
          <w:rFonts w:eastAsiaTheme="minorEastAsia"/>
        </w:rPr>
        <w:t xml:space="preserve"> </w:t>
      </w:r>
      <w:r w:rsidRPr="001352AB">
        <w:rPr>
          <w:rFonts w:ascii="Sylfaen" w:eastAsiaTheme="minorEastAsia" w:hAnsi="Sylfaen" w:cs="Sylfaen"/>
        </w:rPr>
        <w:t>თვისობრივი</w:t>
      </w:r>
      <w:r w:rsidRPr="001352AB">
        <w:rPr>
          <w:rFonts w:eastAsiaTheme="minorEastAsia"/>
        </w:rPr>
        <w:t xml:space="preserve"> </w:t>
      </w:r>
      <w:r w:rsidRPr="001352AB">
        <w:rPr>
          <w:rFonts w:ascii="Sylfaen" w:eastAsiaTheme="minorEastAsia" w:hAnsi="Sylfaen" w:cs="Sylfaen"/>
        </w:rPr>
        <w:t>მახასიათებლები</w:t>
      </w:r>
      <w:r w:rsidRPr="001352AB">
        <w:rPr>
          <w:rFonts w:eastAsiaTheme="minorEastAsia"/>
        </w:rPr>
        <w:t xml:space="preserve"> </w:t>
      </w:r>
      <w:r w:rsidRPr="001352AB">
        <w:rPr>
          <w:rFonts w:ascii="Sylfaen" w:eastAsiaTheme="minorEastAsia" w:hAnsi="Sylfaen" w:cs="Sylfaen"/>
        </w:rPr>
        <w:t>მოცემულია</w:t>
      </w:r>
      <w:r w:rsidRPr="001352AB">
        <w:rPr>
          <w:rFonts w:eastAsiaTheme="minorEastAsia"/>
        </w:rPr>
        <w:t xml:space="preserve"> </w:t>
      </w:r>
      <w:r w:rsidRPr="001352AB">
        <w:rPr>
          <w:rFonts w:ascii="Sylfaen" w:eastAsiaTheme="minorEastAsia" w:hAnsi="Sylfaen" w:cs="Sylfaen"/>
        </w:rPr>
        <w:t>ცხრილში</w:t>
      </w:r>
      <w:r w:rsidRPr="001352AB">
        <w:rPr>
          <w:rFonts w:eastAsiaTheme="minorEastAsia"/>
        </w:rPr>
        <w:t xml:space="preserve"> 7.1.-1</w:t>
      </w:r>
    </w:p>
    <w:p w14:paraId="59FF454A" w14:textId="77777777" w:rsidR="00CD64B5" w:rsidRPr="001352AB" w:rsidRDefault="00CD64B5" w:rsidP="00CD64B5">
      <w:pPr>
        <w:spacing w:before="120" w:after="120"/>
        <w:rPr>
          <w:rFonts w:eastAsiaTheme="minorEastAsia"/>
        </w:rPr>
      </w:pPr>
      <w:bookmarkStart w:id="248" w:name="_Toc436594162"/>
      <w:r w:rsidRPr="001352AB">
        <w:rPr>
          <w:rFonts w:ascii="Sylfaen" w:hAnsi="Sylfaen" w:cs="Sylfaen"/>
        </w:rPr>
        <w:t>ცხრილი</w:t>
      </w:r>
      <w:r w:rsidRPr="001352AB">
        <w:t xml:space="preserve"> 7.1-1 </w:t>
      </w: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გამოყოფის</w:t>
      </w:r>
      <w:r w:rsidRPr="001352AB">
        <w:t xml:space="preserve"> </w:t>
      </w:r>
      <w:r w:rsidRPr="001352AB">
        <w:rPr>
          <w:rFonts w:ascii="Sylfaen" w:hAnsi="Sylfaen" w:cs="Sylfaen"/>
        </w:rPr>
        <w:t>რაოდენობრივი</w:t>
      </w:r>
      <w:r w:rsidRPr="001352AB">
        <w:t xml:space="preserve"> </w:t>
      </w:r>
      <w:r w:rsidRPr="001352AB">
        <w:rPr>
          <w:rFonts w:ascii="Sylfaen" w:hAnsi="Sylfaen" w:cs="Sylfaen"/>
        </w:rPr>
        <w:t>და</w:t>
      </w:r>
      <w:r w:rsidRPr="001352AB">
        <w:t xml:space="preserve"> </w:t>
      </w:r>
      <w:r w:rsidRPr="001352AB">
        <w:rPr>
          <w:rFonts w:ascii="Sylfaen" w:hAnsi="Sylfaen" w:cs="Sylfaen"/>
        </w:rPr>
        <w:t>თვისობრივი</w:t>
      </w:r>
      <w:r w:rsidRPr="001352AB">
        <w:t xml:space="preserve"> </w:t>
      </w:r>
      <w:r w:rsidRPr="001352AB">
        <w:rPr>
          <w:rFonts w:ascii="Sylfaen" w:hAnsi="Sylfaen" w:cs="Sylfaen"/>
        </w:rPr>
        <w:t>მახასიათებლები</w:t>
      </w:r>
      <w:bookmarkEnd w:id="248"/>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91"/>
        <w:gridCol w:w="4747"/>
        <w:gridCol w:w="2374"/>
        <w:gridCol w:w="2371"/>
      </w:tblGrid>
      <w:tr w:rsidR="00CD64B5" w:rsidRPr="001352AB" w14:paraId="3C1E401B" w14:textId="77777777" w:rsidTr="00CD64B5">
        <w:trPr>
          <w:cantSplit/>
          <w:trHeight w:val="268"/>
          <w:tblHeader/>
          <w:jc w:val="center"/>
        </w:trPr>
        <w:tc>
          <w:tcPr>
            <w:tcW w:w="2714" w:type="pct"/>
            <w:gridSpan w:val="2"/>
            <w:tcBorders>
              <w:top w:val="single" w:sz="8" w:space="0" w:color="auto"/>
              <w:left w:val="single" w:sz="6" w:space="0" w:color="auto"/>
              <w:bottom w:val="single" w:sz="8" w:space="0" w:color="auto"/>
              <w:right w:val="single" w:sz="4" w:space="0" w:color="000000"/>
            </w:tcBorders>
            <w:shd w:val="clear" w:color="auto" w:fill="D9D9D9"/>
            <w:vAlign w:val="center"/>
            <w:hideMark/>
          </w:tcPr>
          <w:p w14:paraId="31120EFC" w14:textId="77777777" w:rsidR="00CD64B5" w:rsidRPr="001352AB" w:rsidRDefault="00CD64B5" w:rsidP="00CD64B5">
            <w:pPr>
              <w:rPr>
                <w:rFonts w:eastAsiaTheme="minorEastAsia"/>
                <w:lang w:eastAsia="en-US"/>
              </w:rPr>
            </w:pPr>
            <w:r w:rsidRPr="001352AB">
              <w:rPr>
                <w:rFonts w:ascii="Sylfaen" w:eastAsiaTheme="minorEastAsia" w:hAnsi="Sylfaen" w:cs="Sylfaen"/>
              </w:rPr>
              <w:t>დამაბინძურებელი</w:t>
            </w:r>
            <w:r w:rsidRPr="001352AB">
              <w:rPr>
                <w:rFonts w:eastAsiaTheme="minorEastAsia"/>
              </w:rPr>
              <w:t xml:space="preserve"> </w:t>
            </w:r>
            <w:r w:rsidRPr="001352AB">
              <w:rPr>
                <w:rFonts w:ascii="Sylfaen" w:eastAsiaTheme="minorEastAsia" w:hAnsi="Sylfaen" w:cs="Sylfaen"/>
              </w:rPr>
              <w:t>ნივთიერება</w:t>
            </w:r>
          </w:p>
        </w:tc>
        <w:tc>
          <w:tcPr>
            <w:tcW w:w="1143" w:type="pct"/>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14:paraId="1CD5B0FE" w14:textId="77777777" w:rsidR="00CD64B5" w:rsidRPr="001352AB" w:rsidRDefault="00CD64B5" w:rsidP="00CD64B5">
            <w:r w:rsidRPr="001352AB">
              <w:rPr>
                <w:rFonts w:ascii="Sylfaen" w:eastAsiaTheme="minorEastAsia" w:hAnsi="Sylfaen" w:cs="Sylfaen"/>
              </w:rPr>
              <w:t>მაქსიმალური</w:t>
            </w:r>
            <w:r w:rsidRPr="001352AB">
              <w:rPr>
                <w:rFonts w:eastAsiaTheme="minorEastAsia"/>
              </w:rPr>
              <w:t xml:space="preserve"> </w:t>
            </w:r>
            <w:r w:rsidRPr="001352AB">
              <w:rPr>
                <w:rFonts w:ascii="Sylfaen" w:eastAsiaTheme="minorEastAsia" w:hAnsi="Sylfaen" w:cs="Sylfaen"/>
              </w:rPr>
              <w:t>ერთჯერადი</w:t>
            </w:r>
            <w:r w:rsidRPr="001352AB">
              <w:rPr>
                <w:rFonts w:eastAsiaTheme="minorEastAsia"/>
              </w:rPr>
              <w:t xml:space="preserve"> </w:t>
            </w:r>
            <w:r w:rsidRPr="001352AB">
              <w:rPr>
                <w:rFonts w:ascii="Sylfaen" w:eastAsiaTheme="minorEastAsia" w:hAnsi="Sylfaen" w:cs="Sylfaen"/>
              </w:rPr>
              <w:t>ემისია</w:t>
            </w:r>
            <w:r w:rsidRPr="001352AB">
              <w:rPr>
                <w:rFonts w:eastAsiaTheme="minorEastAsia"/>
              </w:rPr>
              <w:t xml:space="preserve">, </w:t>
            </w:r>
            <w:r w:rsidRPr="001352AB">
              <w:rPr>
                <w:rFonts w:ascii="Sylfaen" w:eastAsiaTheme="minorEastAsia" w:hAnsi="Sylfaen" w:cs="Sylfaen"/>
              </w:rPr>
              <w:t>გ</w:t>
            </w:r>
            <w:r w:rsidRPr="001352AB">
              <w:rPr>
                <w:rFonts w:eastAsiaTheme="minorEastAsia"/>
              </w:rPr>
              <w:t>/</w:t>
            </w:r>
            <w:r w:rsidRPr="001352AB">
              <w:rPr>
                <w:rFonts w:ascii="Sylfaen" w:eastAsiaTheme="minorEastAsia" w:hAnsi="Sylfaen" w:cs="Sylfaen"/>
              </w:rPr>
              <w:t>წმ</w:t>
            </w:r>
          </w:p>
        </w:tc>
        <w:tc>
          <w:tcPr>
            <w:tcW w:w="1143" w:type="pct"/>
            <w:vMerge w:val="restart"/>
            <w:tcBorders>
              <w:top w:val="single" w:sz="8" w:space="0" w:color="auto"/>
              <w:left w:val="single" w:sz="4" w:space="0" w:color="000000"/>
              <w:bottom w:val="single" w:sz="8" w:space="0" w:color="auto"/>
              <w:right w:val="single" w:sz="6" w:space="0" w:color="auto"/>
            </w:tcBorders>
            <w:shd w:val="clear" w:color="auto" w:fill="D9D9D9"/>
            <w:vAlign w:val="center"/>
            <w:hideMark/>
          </w:tcPr>
          <w:p w14:paraId="4CF3B2C6" w14:textId="77777777" w:rsidR="00CD64B5" w:rsidRPr="001352AB" w:rsidRDefault="00CD64B5" w:rsidP="00CD64B5">
            <w:pPr>
              <w:rPr>
                <w:rFonts w:eastAsiaTheme="minorEastAsia"/>
              </w:rPr>
            </w:pPr>
            <w:r w:rsidRPr="001352AB">
              <w:rPr>
                <w:rFonts w:ascii="Sylfaen" w:eastAsiaTheme="minorEastAsia" w:hAnsi="Sylfaen" w:cs="Sylfaen"/>
              </w:rPr>
              <w:t>წლიური</w:t>
            </w:r>
            <w:r w:rsidRPr="001352AB">
              <w:rPr>
                <w:rFonts w:eastAsiaTheme="minorEastAsia"/>
              </w:rPr>
              <w:t xml:space="preserve"> </w:t>
            </w:r>
            <w:r w:rsidRPr="001352AB">
              <w:rPr>
                <w:rFonts w:ascii="Sylfaen" w:eastAsiaTheme="minorEastAsia" w:hAnsi="Sylfaen" w:cs="Sylfaen"/>
              </w:rPr>
              <w:t>ემისია</w:t>
            </w:r>
            <w:r w:rsidRPr="001352AB">
              <w:rPr>
                <w:rFonts w:eastAsiaTheme="minorEastAsia"/>
              </w:rPr>
              <w:t xml:space="preserve">, </w:t>
            </w:r>
            <w:r w:rsidRPr="001352AB">
              <w:rPr>
                <w:rFonts w:ascii="Sylfaen" w:eastAsiaTheme="minorEastAsia" w:hAnsi="Sylfaen" w:cs="Sylfaen"/>
              </w:rPr>
              <w:t>ტ</w:t>
            </w:r>
            <w:r w:rsidRPr="001352AB">
              <w:rPr>
                <w:rFonts w:eastAsiaTheme="minorEastAsia"/>
              </w:rPr>
              <w:t>/</w:t>
            </w:r>
            <w:r w:rsidRPr="001352AB">
              <w:rPr>
                <w:rFonts w:ascii="Sylfaen" w:eastAsiaTheme="minorEastAsia" w:hAnsi="Sylfaen" w:cs="Sylfaen"/>
              </w:rPr>
              <w:t>წელ</w:t>
            </w:r>
          </w:p>
        </w:tc>
      </w:tr>
      <w:tr w:rsidR="00CD64B5" w:rsidRPr="001352AB" w14:paraId="42A43DE1" w14:textId="77777777" w:rsidTr="00CD64B5">
        <w:trPr>
          <w:cantSplit/>
          <w:trHeight w:val="268"/>
          <w:tblHeader/>
          <w:jc w:val="center"/>
        </w:trPr>
        <w:tc>
          <w:tcPr>
            <w:tcW w:w="429" w:type="pct"/>
            <w:tcBorders>
              <w:top w:val="single" w:sz="8" w:space="0" w:color="auto"/>
              <w:left w:val="single" w:sz="6" w:space="0" w:color="auto"/>
              <w:bottom w:val="single" w:sz="4" w:space="0" w:color="000000"/>
              <w:right w:val="single" w:sz="4" w:space="0" w:color="000000"/>
            </w:tcBorders>
            <w:shd w:val="clear" w:color="auto" w:fill="D9D9D9"/>
            <w:vAlign w:val="center"/>
            <w:hideMark/>
          </w:tcPr>
          <w:p w14:paraId="6F8E0E0B" w14:textId="77777777" w:rsidR="00CD64B5" w:rsidRPr="001352AB" w:rsidRDefault="00CD64B5" w:rsidP="00CD64B5">
            <w:pPr>
              <w:rPr>
                <w:rFonts w:eastAsiaTheme="minorEastAsia"/>
              </w:rPr>
            </w:pPr>
            <w:r w:rsidRPr="001352AB">
              <w:rPr>
                <w:rFonts w:ascii="Sylfaen" w:eastAsiaTheme="minorEastAsia" w:hAnsi="Sylfaen" w:cs="Sylfaen"/>
              </w:rPr>
              <w:t>კოდი</w:t>
            </w:r>
          </w:p>
        </w:tc>
        <w:tc>
          <w:tcPr>
            <w:tcW w:w="2286" w:type="pct"/>
            <w:tcBorders>
              <w:top w:val="single" w:sz="8" w:space="0" w:color="auto"/>
              <w:left w:val="single" w:sz="4" w:space="0" w:color="000000"/>
              <w:bottom w:val="single" w:sz="4" w:space="0" w:color="000000"/>
              <w:right w:val="single" w:sz="6" w:space="0" w:color="auto"/>
            </w:tcBorders>
            <w:shd w:val="clear" w:color="auto" w:fill="D9D9D9"/>
            <w:vAlign w:val="center"/>
            <w:hideMark/>
          </w:tcPr>
          <w:p w14:paraId="37BDABB7" w14:textId="77777777" w:rsidR="00CD64B5" w:rsidRPr="001352AB" w:rsidRDefault="00CD64B5" w:rsidP="00CD64B5">
            <w:pPr>
              <w:rPr>
                <w:rFonts w:eastAsiaTheme="minorEastAsia"/>
              </w:rPr>
            </w:pPr>
            <w:r w:rsidRPr="001352AB">
              <w:rPr>
                <w:rFonts w:ascii="Sylfaen" w:eastAsiaTheme="minorEastAsia" w:hAnsi="Sylfaen" w:cs="Sylfaen"/>
              </w:rPr>
              <w:t>დასახელება</w:t>
            </w:r>
          </w:p>
        </w:tc>
        <w:tc>
          <w:tcPr>
            <w:tcW w:w="0" w:type="auto"/>
            <w:vMerge/>
            <w:tcBorders>
              <w:top w:val="single" w:sz="8" w:space="0" w:color="auto"/>
              <w:left w:val="single" w:sz="4" w:space="0" w:color="000000"/>
              <w:bottom w:val="single" w:sz="8" w:space="0" w:color="auto"/>
              <w:right w:val="single" w:sz="4" w:space="0" w:color="000000"/>
            </w:tcBorders>
            <w:vAlign w:val="center"/>
            <w:hideMark/>
          </w:tcPr>
          <w:p w14:paraId="02715EBB" w14:textId="77777777" w:rsidR="00CD64B5" w:rsidRPr="001352AB" w:rsidRDefault="00CD64B5" w:rsidP="00CD64B5">
            <w:pPr>
              <w:rPr>
                <w:rFonts w:eastAsiaTheme="minorHAnsi"/>
              </w:rPr>
            </w:pPr>
          </w:p>
        </w:tc>
        <w:tc>
          <w:tcPr>
            <w:tcW w:w="0" w:type="auto"/>
            <w:vMerge/>
            <w:tcBorders>
              <w:top w:val="single" w:sz="8" w:space="0" w:color="auto"/>
              <w:left w:val="single" w:sz="4" w:space="0" w:color="000000"/>
              <w:bottom w:val="single" w:sz="8" w:space="0" w:color="auto"/>
              <w:right w:val="single" w:sz="6" w:space="0" w:color="auto"/>
            </w:tcBorders>
            <w:vAlign w:val="center"/>
            <w:hideMark/>
          </w:tcPr>
          <w:p w14:paraId="524BD7D7" w14:textId="77777777" w:rsidR="00CD64B5" w:rsidRPr="001352AB" w:rsidRDefault="00CD64B5" w:rsidP="00CD64B5">
            <w:pPr>
              <w:rPr>
                <w:rFonts w:eastAsiaTheme="minorHAnsi"/>
              </w:rPr>
            </w:pPr>
          </w:p>
        </w:tc>
      </w:tr>
      <w:tr w:rsidR="00CD64B5" w:rsidRPr="001352AB" w14:paraId="7C038020" w14:textId="77777777" w:rsidTr="00CD64B5">
        <w:trPr>
          <w:trHeight w:val="268"/>
          <w:jc w:val="center"/>
        </w:trPr>
        <w:tc>
          <w:tcPr>
            <w:tcW w:w="429" w:type="pct"/>
            <w:tcBorders>
              <w:top w:val="single" w:sz="4" w:space="0" w:color="000000"/>
              <w:left w:val="single" w:sz="6" w:space="0" w:color="auto"/>
              <w:bottom w:val="single" w:sz="4" w:space="0" w:color="000000"/>
              <w:right w:val="single" w:sz="4" w:space="0" w:color="000000"/>
            </w:tcBorders>
            <w:hideMark/>
          </w:tcPr>
          <w:p w14:paraId="31E6CB5D" w14:textId="77777777" w:rsidR="00CD64B5" w:rsidRPr="001352AB" w:rsidRDefault="00CD64B5" w:rsidP="00CD64B5">
            <w:pPr>
              <w:rPr>
                <w:rFonts w:eastAsiaTheme="minorEastAsia"/>
              </w:rPr>
            </w:pPr>
            <w:r w:rsidRPr="001352AB">
              <w:rPr>
                <w:rFonts w:eastAsiaTheme="minorEastAsia"/>
              </w:rPr>
              <w:t>333</w:t>
            </w:r>
          </w:p>
        </w:tc>
        <w:tc>
          <w:tcPr>
            <w:tcW w:w="2286" w:type="pct"/>
            <w:tcBorders>
              <w:top w:val="single" w:sz="4" w:space="0" w:color="000000"/>
              <w:left w:val="single" w:sz="4" w:space="0" w:color="000000"/>
              <w:bottom w:val="single" w:sz="4" w:space="0" w:color="000000"/>
              <w:right w:val="single" w:sz="4" w:space="0" w:color="000000"/>
            </w:tcBorders>
            <w:hideMark/>
          </w:tcPr>
          <w:p w14:paraId="7E147477" w14:textId="77777777" w:rsidR="00CD64B5" w:rsidRPr="001352AB" w:rsidRDefault="00CD64B5" w:rsidP="00CD64B5">
            <w:pPr>
              <w:rPr>
                <w:rFonts w:eastAsiaTheme="minorEastAsia"/>
              </w:rPr>
            </w:pPr>
            <w:r w:rsidRPr="001352AB">
              <w:rPr>
                <w:rFonts w:ascii="Sylfaen" w:eastAsiaTheme="minorEastAsia" w:hAnsi="Sylfaen" w:cs="Sylfaen"/>
              </w:rPr>
              <w:t>დიჰიდროსულფიდი</w:t>
            </w:r>
            <w:r w:rsidRPr="001352AB">
              <w:rPr>
                <w:rFonts w:eastAsiaTheme="minorEastAsia"/>
              </w:rPr>
              <w:t xml:space="preserve"> (</w:t>
            </w:r>
            <w:r w:rsidRPr="001352AB">
              <w:rPr>
                <w:rFonts w:ascii="Sylfaen" w:eastAsiaTheme="minorEastAsia" w:hAnsi="Sylfaen" w:cs="Sylfaen"/>
              </w:rPr>
              <w:t>გოგირდწყალბადი</w:t>
            </w:r>
            <w:r w:rsidRPr="001352AB">
              <w:rPr>
                <w:rFonts w:eastAsiaTheme="minorEastAsia"/>
              </w:rPr>
              <w:t>)</w:t>
            </w:r>
          </w:p>
        </w:tc>
        <w:tc>
          <w:tcPr>
            <w:tcW w:w="1143" w:type="pct"/>
            <w:tcBorders>
              <w:top w:val="single" w:sz="4" w:space="0" w:color="000000"/>
              <w:left w:val="single" w:sz="4" w:space="0" w:color="000000"/>
              <w:bottom w:val="single" w:sz="4" w:space="0" w:color="000000"/>
              <w:right w:val="single" w:sz="4" w:space="0" w:color="000000"/>
            </w:tcBorders>
            <w:vAlign w:val="center"/>
            <w:hideMark/>
          </w:tcPr>
          <w:p w14:paraId="71C4F695" w14:textId="77777777" w:rsidR="00CD64B5" w:rsidRPr="001352AB" w:rsidRDefault="00CD64B5" w:rsidP="00CD64B5">
            <w:pPr>
              <w:rPr>
                <w:rFonts w:eastAsiaTheme="minorEastAsia"/>
              </w:rPr>
            </w:pPr>
            <w:r w:rsidRPr="001352AB">
              <w:rPr>
                <w:rFonts w:eastAsiaTheme="minorEastAsia"/>
              </w:rPr>
              <w:t>0,0000091</w:t>
            </w:r>
          </w:p>
        </w:tc>
        <w:tc>
          <w:tcPr>
            <w:tcW w:w="1143" w:type="pct"/>
            <w:tcBorders>
              <w:top w:val="single" w:sz="4" w:space="0" w:color="000000"/>
              <w:left w:val="single" w:sz="4" w:space="0" w:color="000000"/>
              <w:bottom w:val="single" w:sz="4" w:space="0" w:color="000000"/>
              <w:right w:val="single" w:sz="6" w:space="0" w:color="auto"/>
            </w:tcBorders>
            <w:vAlign w:val="center"/>
            <w:hideMark/>
          </w:tcPr>
          <w:p w14:paraId="2C34ADFD" w14:textId="77777777" w:rsidR="00CD64B5" w:rsidRPr="001352AB" w:rsidRDefault="00CD64B5" w:rsidP="00CD64B5">
            <w:pPr>
              <w:rPr>
                <w:rFonts w:eastAsiaTheme="minorEastAsia"/>
              </w:rPr>
            </w:pPr>
            <w:r w:rsidRPr="001352AB">
              <w:rPr>
                <w:rFonts w:eastAsiaTheme="minorEastAsia"/>
              </w:rPr>
              <w:t>0,0000005</w:t>
            </w:r>
          </w:p>
        </w:tc>
      </w:tr>
      <w:tr w:rsidR="00CD64B5" w:rsidRPr="001352AB" w14:paraId="7E529BFD" w14:textId="77777777" w:rsidTr="00CD64B5">
        <w:trPr>
          <w:trHeight w:val="536"/>
          <w:jc w:val="center"/>
        </w:trPr>
        <w:tc>
          <w:tcPr>
            <w:tcW w:w="429" w:type="pct"/>
            <w:tcBorders>
              <w:top w:val="single" w:sz="4" w:space="0" w:color="000000"/>
              <w:left w:val="single" w:sz="6" w:space="0" w:color="auto"/>
              <w:bottom w:val="single" w:sz="8" w:space="0" w:color="auto"/>
              <w:right w:val="single" w:sz="4" w:space="0" w:color="000000"/>
            </w:tcBorders>
            <w:hideMark/>
          </w:tcPr>
          <w:p w14:paraId="2D5734D3" w14:textId="77777777" w:rsidR="00CD64B5" w:rsidRPr="001352AB" w:rsidRDefault="00CD64B5" w:rsidP="00CD64B5">
            <w:pPr>
              <w:rPr>
                <w:rFonts w:eastAsiaTheme="minorEastAsia"/>
              </w:rPr>
            </w:pPr>
            <w:r w:rsidRPr="001352AB">
              <w:rPr>
                <w:rFonts w:eastAsiaTheme="minorEastAsia"/>
              </w:rPr>
              <w:t>2754</w:t>
            </w:r>
          </w:p>
        </w:tc>
        <w:tc>
          <w:tcPr>
            <w:tcW w:w="2286" w:type="pct"/>
            <w:tcBorders>
              <w:top w:val="single" w:sz="4" w:space="0" w:color="000000"/>
              <w:left w:val="single" w:sz="4" w:space="0" w:color="000000"/>
              <w:bottom w:val="single" w:sz="8" w:space="0" w:color="auto"/>
              <w:right w:val="single" w:sz="4" w:space="0" w:color="000000"/>
            </w:tcBorders>
            <w:hideMark/>
          </w:tcPr>
          <w:p w14:paraId="05925D65" w14:textId="77777777" w:rsidR="00CD64B5" w:rsidRPr="001352AB" w:rsidRDefault="00CD64B5" w:rsidP="00CD64B5">
            <w:pPr>
              <w:rPr>
                <w:rFonts w:eastAsiaTheme="minorEastAsia"/>
              </w:rPr>
            </w:pPr>
            <w:r w:rsidRPr="001352AB">
              <w:rPr>
                <w:rFonts w:ascii="Sylfaen" w:eastAsiaTheme="minorEastAsia" w:hAnsi="Sylfaen" w:cs="Sylfaen"/>
              </w:rPr>
              <w:t>ალკანები</w:t>
            </w:r>
            <w:r w:rsidRPr="001352AB">
              <w:rPr>
                <w:rFonts w:eastAsiaTheme="minorEastAsia"/>
              </w:rPr>
              <w:t xml:space="preserve"> C12-C19</w:t>
            </w:r>
          </w:p>
          <w:p w14:paraId="5B159DE4" w14:textId="77777777" w:rsidR="00CD64B5" w:rsidRPr="001352AB" w:rsidRDefault="00CD64B5" w:rsidP="00CD64B5">
            <w:pPr>
              <w:rPr>
                <w:rFonts w:eastAsiaTheme="minorEastAsia"/>
              </w:rPr>
            </w:pPr>
            <w:r w:rsidRPr="001352AB">
              <w:rPr>
                <w:rFonts w:eastAsiaTheme="minorEastAsia"/>
              </w:rPr>
              <w:t xml:space="preserve"> (</w:t>
            </w:r>
            <w:r w:rsidRPr="001352AB">
              <w:rPr>
                <w:rFonts w:ascii="Sylfaen" w:eastAsiaTheme="minorEastAsia" w:hAnsi="Sylfaen" w:cs="Sylfaen"/>
              </w:rPr>
              <w:t>ნაჯერი</w:t>
            </w:r>
            <w:r w:rsidRPr="001352AB">
              <w:rPr>
                <w:rFonts w:eastAsiaTheme="minorEastAsia"/>
              </w:rPr>
              <w:t xml:space="preserve"> </w:t>
            </w:r>
            <w:r w:rsidRPr="001352AB">
              <w:rPr>
                <w:rFonts w:ascii="Sylfaen" w:eastAsiaTheme="minorEastAsia" w:hAnsi="Sylfaen" w:cs="Sylfaen"/>
              </w:rPr>
              <w:t>ნახშირწყალბადები</w:t>
            </w:r>
            <w:r w:rsidRPr="001352AB">
              <w:rPr>
                <w:rFonts w:eastAsiaTheme="minorEastAsia"/>
              </w:rPr>
              <w:t xml:space="preserve"> C12-C19)</w:t>
            </w:r>
          </w:p>
        </w:tc>
        <w:tc>
          <w:tcPr>
            <w:tcW w:w="1143" w:type="pct"/>
            <w:tcBorders>
              <w:top w:val="single" w:sz="4" w:space="0" w:color="000000"/>
              <w:left w:val="single" w:sz="4" w:space="0" w:color="000000"/>
              <w:bottom w:val="single" w:sz="8" w:space="0" w:color="auto"/>
              <w:right w:val="single" w:sz="4" w:space="0" w:color="000000"/>
            </w:tcBorders>
            <w:vAlign w:val="center"/>
            <w:hideMark/>
          </w:tcPr>
          <w:p w14:paraId="6757287D" w14:textId="77777777" w:rsidR="00CD64B5" w:rsidRPr="001352AB" w:rsidRDefault="00CD64B5" w:rsidP="00CD64B5">
            <w:pPr>
              <w:rPr>
                <w:rFonts w:eastAsiaTheme="minorEastAsia"/>
              </w:rPr>
            </w:pPr>
            <w:r w:rsidRPr="001352AB">
              <w:rPr>
                <w:rFonts w:eastAsiaTheme="minorEastAsia"/>
              </w:rPr>
              <w:t>0,0032575</w:t>
            </w:r>
          </w:p>
        </w:tc>
        <w:tc>
          <w:tcPr>
            <w:tcW w:w="1143" w:type="pct"/>
            <w:tcBorders>
              <w:top w:val="single" w:sz="4" w:space="0" w:color="000000"/>
              <w:left w:val="single" w:sz="4" w:space="0" w:color="000000"/>
              <w:bottom w:val="single" w:sz="8" w:space="0" w:color="auto"/>
              <w:right w:val="single" w:sz="6" w:space="0" w:color="auto"/>
            </w:tcBorders>
            <w:vAlign w:val="center"/>
            <w:hideMark/>
          </w:tcPr>
          <w:p w14:paraId="15B93C7F" w14:textId="77777777" w:rsidR="00CD64B5" w:rsidRPr="001352AB" w:rsidRDefault="00CD64B5" w:rsidP="00CD64B5">
            <w:pPr>
              <w:rPr>
                <w:rFonts w:eastAsiaTheme="minorEastAsia"/>
              </w:rPr>
            </w:pPr>
            <w:r w:rsidRPr="001352AB">
              <w:rPr>
                <w:rFonts w:eastAsiaTheme="minorEastAsia"/>
              </w:rPr>
              <w:t>0,0001714</w:t>
            </w:r>
          </w:p>
        </w:tc>
      </w:tr>
    </w:tbl>
    <w:p w14:paraId="42374088" w14:textId="77777777" w:rsidR="00CD64B5" w:rsidRPr="001352AB" w:rsidRDefault="00CD64B5" w:rsidP="00CD64B5">
      <w:pPr>
        <w:rPr>
          <w:rFonts w:eastAsiaTheme="minorEastAsia"/>
          <w:lang w:val="ka-GE"/>
        </w:rPr>
      </w:pPr>
    </w:p>
    <w:p w14:paraId="5CB3728D" w14:textId="77777777" w:rsidR="00CD64B5" w:rsidRPr="001352AB" w:rsidRDefault="00CD64B5" w:rsidP="00CD64B5">
      <w:pPr>
        <w:rPr>
          <w:rFonts w:eastAsiaTheme="minorEastAsia"/>
        </w:rPr>
      </w:pPr>
      <w:r w:rsidRPr="001352AB">
        <w:rPr>
          <w:rFonts w:ascii="Sylfaen" w:eastAsiaTheme="minorEastAsia" w:hAnsi="Sylfaen" w:cs="Sylfaen"/>
        </w:rPr>
        <w:t>საწყისი</w:t>
      </w:r>
      <w:r w:rsidRPr="001352AB">
        <w:rPr>
          <w:rFonts w:eastAsiaTheme="minorEastAsia"/>
        </w:rPr>
        <w:t xml:space="preserve"> </w:t>
      </w:r>
      <w:r w:rsidRPr="001352AB">
        <w:rPr>
          <w:rFonts w:ascii="Sylfaen" w:eastAsiaTheme="minorEastAsia" w:hAnsi="Sylfaen" w:cs="Sylfaen"/>
        </w:rPr>
        <w:t>მონაცემები</w:t>
      </w:r>
      <w:r w:rsidRPr="001352AB">
        <w:rPr>
          <w:rFonts w:eastAsiaTheme="minorEastAsia"/>
        </w:rPr>
        <w:t xml:space="preserve"> </w:t>
      </w:r>
      <w:r w:rsidRPr="001352AB">
        <w:rPr>
          <w:rFonts w:ascii="Sylfaen" w:eastAsiaTheme="minorEastAsia" w:hAnsi="Sylfaen" w:cs="Sylfaen"/>
        </w:rPr>
        <w:t>გამოყოფის</w:t>
      </w:r>
      <w:r w:rsidRPr="001352AB">
        <w:rPr>
          <w:rFonts w:eastAsiaTheme="minorEastAsia"/>
        </w:rPr>
        <w:t xml:space="preserve"> </w:t>
      </w:r>
      <w:r w:rsidRPr="001352AB">
        <w:rPr>
          <w:rFonts w:ascii="Sylfaen" w:eastAsiaTheme="minorEastAsia" w:hAnsi="Sylfaen" w:cs="Sylfaen"/>
        </w:rPr>
        <w:t>გაანგარიშებისათვის</w:t>
      </w:r>
      <w:r w:rsidRPr="001352AB">
        <w:rPr>
          <w:rFonts w:eastAsiaTheme="minorEastAsia"/>
        </w:rPr>
        <w:t xml:space="preserve"> </w:t>
      </w:r>
      <w:r w:rsidRPr="001352AB">
        <w:rPr>
          <w:rFonts w:ascii="Sylfaen" w:eastAsiaTheme="minorEastAsia" w:hAnsi="Sylfaen" w:cs="Sylfaen"/>
        </w:rPr>
        <w:t>მოცემულია</w:t>
      </w:r>
      <w:r w:rsidRPr="001352AB">
        <w:rPr>
          <w:rFonts w:eastAsiaTheme="minorEastAsia"/>
        </w:rPr>
        <w:t xml:space="preserve"> </w:t>
      </w:r>
      <w:r w:rsidRPr="001352AB">
        <w:rPr>
          <w:rFonts w:ascii="Sylfaen" w:eastAsiaTheme="minorEastAsia" w:hAnsi="Sylfaen" w:cs="Sylfaen"/>
        </w:rPr>
        <w:t>ცხრილში</w:t>
      </w:r>
      <w:r w:rsidRPr="001352AB">
        <w:rPr>
          <w:rFonts w:eastAsiaTheme="minorEastAsia"/>
        </w:rPr>
        <w:t xml:space="preserve"> 7.2.</w:t>
      </w:r>
    </w:p>
    <w:p w14:paraId="6B3E808F" w14:textId="77777777" w:rsidR="00CD64B5" w:rsidRPr="001352AB" w:rsidRDefault="00CD64B5" w:rsidP="00CD64B5">
      <w:pPr>
        <w:rPr>
          <w:rFonts w:eastAsiaTheme="minorEastAsia"/>
        </w:rPr>
      </w:pPr>
    </w:p>
    <w:p w14:paraId="57D6D905" w14:textId="77777777" w:rsidR="00CD64B5" w:rsidRPr="001352AB" w:rsidRDefault="00CD64B5" w:rsidP="00CD64B5">
      <w:pPr>
        <w:rPr>
          <w:rFonts w:eastAsiaTheme="minorEastAsia"/>
        </w:rPr>
      </w:pPr>
      <w:bookmarkStart w:id="249" w:name="_Toc436594163"/>
      <w:r w:rsidRPr="001352AB">
        <w:rPr>
          <w:rFonts w:ascii="Sylfaen" w:hAnsi="Sylfaen" w:cs="Sylfaen"/>
        </w:rPr>
        <w:t>ცხრილი</w:t>
      </w:r>
      <w:r w:rsidRPr="001352AB">
        <w:t xml:space="preserve"> 7.1.-2 </w:t>
      </w:r>
      <w:r w:rsidRPr="001352AB">
        <w:rPr>
          <w:rFonts w:ascii="Sylfaen" w:hAnsi="Sylfaen" w:cs="Sylfaen"/>
        </w:rPr>
        <w:t>საწყისი</w:t>
      </w:r>
      <w:r w:rsidRPr="001352AB">
        <w:t xml:space="preserve"> </w:t>
      </w:r>
      <w:r w:rsidRPr="001352AB">
        <w:rPr>
          <w:rFonts w:ascii="Sylfaen" w:hAnsi="Sylfaen" w:cs="Sylfaen"/>
        </w:rPr>
        <w:t>მონაცემები</w:t>
      </w:r>
      <w:r w:rsidRPr="001352AB">
        <w:t xml:space="preserve"> </w:t>
      </w:r>
      <w:r w:rsidRPr="001352AB">
        <w:rPr>
          <w:rFonts w:ascii="Sylfaen" w:hAnsi="Sylfaen" w:cs="Sylfaen"/>
        </w:rPr>
        <w:t>გამოყოფის</w:t>
      </w:r>
      <w:r w:rsidRPr="001352AB">
        <w:t xml:space="preserve"> </w:t>
      </w:r>
      <w:r w:rsidRPr="001352AB">
        <w:rPr>
          <w:rFonts w:ascii="Sylfaen" w:hAnsi="Sylfaen" w:cs="Sylfaen"/>
        </w:rPr>
        <w:t>გაანგარიშებისათვის</w:t>
      </w:r>
      <w:bookmarkEnd w:id="249"/>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783"/>
        <w:gridCol w:w="589"/>
        <w:gridCol w:w="590"/>
        <w:gridCol w:w="1826"/>
        <w:gridCol w:w="1119"/>
        <w:gridCol w:w="1353"/>
        <w:gridCol w:w="1550"/>
        <w:gridCol w:w="1573"/>
      </w:tblGrid>
      <w:tr w:rsidR="00CD64B5" w:rsidRPr="00CD64B5" w14:paraId="0511D443" w14:textId="77777777" w:rsidTr="00CD64B5">
        <w:trPr>
          <w:trHeight w:val="559"/>
          <w:tblHeader/>
          <w:jc w:val="center"/>
        </w:trPr>
        <w:tc>
          <w:tcPr>
            <w:tcW w:w="1000" w:type="pct"/>
            <w:vMerge w:val="restart"/>
            <w:tcBorders>
              <w:top w:val="single" w:sz="8" w:space="0" w:color="auto"/>
              <w:left w:val="single" w:sz="6" w:space="0" w:color="auto"/>
              <w:bottom w:val="single" w:sz="8" w:space="0" w:color="auto"/>
              <w:right w:val="single" w:sz="4" w:space="0" w:color="000000"/>
            </w:tcBorders>
            <w:shd w:val="clear" w:color="auto" w:fill="D9D9D9"/>
            <w:vAlign w:val="center"/>
            <w:hideMark/>
          </w:tcPr>
          <w:p w14:paraId="68508462" w14:textId="77777777" w:rsidR="00CD64B5" w:rsidRPr="00CD64B5" w:rsidRDefault="00CD64B5" w:rsidP="00CD64B5">
            <w:pPr>
              <w:rPr>
                <w:rFonts w:eastAsiaTheme="minorEastAsia"/>
                <w:sz w:val="20"/>
                <w:lang w:eastAsia="en-US"/>
              </w:rPr>
            </w:pPr>
            <w:r w:rsidRPr="00CD64B5">
              <w:rPr>
                <w:rFonts w:ascii="Sylfaen" w:eastAsiaTheme="minorEastAsia" w:hAnsi="Sylfaen" w:cs="Sylfaen"/>
                <w:sz w:val="20"/>
              </w:rPr>
              <w:t>პროდუქტი</w:t>
            </w:r>
          </w:p>
        </w:tc>
        <w:tc>
          <w:tcPr>
            <w:tcW w:w="857" w:type="pct"/>
            <w:gridSpan w:val="2"/>
            <w:tcBorders>
              <w:top w:val="single" w:sz="8" w:space="0" w:color="auto"/>
              <w:left w:val="single" w:sz="4" w:space="0" w:color="000000"/>
              <w:bottom w:val="single" w:sz="8" w:space="0" w:color="auto"/>
              <w:right w:val="single" w:sz="4" w:space="0" w:color="000000"/>
            </w:tcBorders>
            <w:shd w:val="clear" w:color="auto" w:fill="D9D9D9"/>
            <w:vAlign w:val="center"/>
            <w:hideMark/>
          </w:tcPr>
          <w:p w14:paraId="73F38F32" w14:textId="77777777" w:rsidR="00CD64B5" w:rsidRPr="00CD64B5" w:rsidRDefault="00CD64B5" w:rsidP="00CD64B5">
            <w:pPr>
              <w:rPr>
                <w:sz w:val="20"/>
              </w:rPr>
            </w:pPr>
            <w:r w:rsidRPr="00CD64B5">
              <w:rPr>
                <w:rFonts w:ascii="Sylfaen" w:eastAsiaTheme="minorEastAsia" w:hAnsi="Sylfaen" w:cs="Sylfaen"/>
                <w:sz w:val="20"/>
              </w:rPr>
              <w:t>რ</w:t>
            </w:r>
            <w:r w:rsidRPr="00CD64B5">
              <w:rPr>
                <w:rFonts w:eastAsiaTheme="minorEastAsia"/>
                <w:sz w:val="20"/>
              </w:rPr>
              <w:t>-</w:t>
            </w:r>
            <w:r w:rsidRPr="00CD64B5">
              <w:rPr>
                <w:rFonts w:ascii="Sylfaen" w:eastAsiaTheme="minorEastAsia" w:hAnsi="Sylfaen" w:cs="Sylfaen"/>
                <w:sz w:val="20"/>
              </w:rPr>
              <w:t>ბა</w:t>
            </w:r>
            <w:r w:rsidRPr="00CD64B5">
              <w:rPr>
                <w:rFonts w:eastAsiaTheme="minorEastAsia"/>
                <w:sz w:val="20"/>
              </w:rPr>
              <w:t xml:space="preserve"> </w:t>
            </w:r>
            <w:r w:rsidRPr="00CD64B5">
              <w:rPr>
                <w:rFonts w:ascii="Sylfaen" w:eastAsiaTheme="minorEastAsia" w:hAnsi="Sylfaen" w:cs="Sylfaen"/>
                <w:sz w:val="20"/>
              </w:rPr>
              <w:t>წელიწადში</w:t>
            </w:r>
            <w:r w:rsidRPr="00CD64B5">
              <w:rPr>
                <w:rFonts w:eastAsiaTheme="minorEastAsia"/>
                <w:sz w:val="20"/>
              </w:rPr>
              <w:t xml:space="preserve">, </w:t>
            </w:r>
            <w:r w:rsidRPr="00CD64B5">
              <w:rPr>
                <w:rFonts w:ascii="Sylfaen" w:eastAsiaTheme="minorEastAsia" w:hAnsi="Sylfaen" w:cs="Sylfaen"/>
                <w:sz w:val="20"/>
              </w:rPr>
              <w:t>ტ</w:t>
            </w:r>
            <w:r w:rsidRPr="00CD64B5">
              <w:rPr>
                <w:rFonts w:eastAsiaTheme="minorEastAsia"/>
                <w:sz w:val="20"/>
              </w:rPr>
              <w:t>/</w:t>
            </w:r>
            <w:r w:rsidRPr="00CD64B5">
              <w:rPr>
                <w:rFonts w:ascii="Sylfaen" w:eastAsiaTheme="minorEastAsia" w:hAnsi="Sylfaen" w:cs="Sylfaen"/>
                <w:sz w:val="20"/>
              </w:rPr>
              <w:t>წელ</w:t>
            </w:r>
          </w:p>
        </w:tc>
        <w:tc>
          <w:tcPr>
            <w:tcW w:w="1371" w:type="pct"/>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14:paraId="61C96B12" w14:textId="77777777" w:rsidR="00CD64B5" w:rsidRPr="00CD64B5" w:rsidRDefault="00CD64B5" w:rsidP="00CD64B5">
            <w:pPr>
              <w:rPr>
                <w:rFonts w:eastAsiaTheme="minorEastAsia"/>
                <w:sz w:val="20"/>
              </w:rPr>
            </w:pPr>
            <w:r w:rsidRPr="00CD64B5">
              <w:rPr>
                <w:rFonts w:ascii="Sylfaen" w:eastAsiaTheme="minorEastAsia" w:hAnsi="Sylfaen" w:cs="Sylfaen"/>
                <w:sz w:val="20"/>
              </w:rPr>
              <w:t>რეზერვუარის</w:t>
            </w:r>
            <w:r w:rsidRPr="00CD64B5">
              <w:rPr>
                <w:rFonts w:eastAsiaTheme="minorEastAsia"/>
                <w:sz w:val="20"/>
              </w:rPr>
              <w:t xml:space="preserve"> </w:t>
            </w:r>
            <w:r w:rsidRPr="00CD64B5">
              <w:rPr>
                <w:rFonts w:ascii="Sylfaen" w:eastAsiaTheme="minorEastAsia" w:hAnsi="Sylfaen" w:cs="Sylfaen"/>
                <w:sz w:val="20"/>
              </w:rPr>
              <w:t>კონსტრუქცია</w:t>
            </w:r>
          </w:p>
        </w:tc>
        <w:tc>
          <w:tcPr>
            <w:tcW w:w="542" w:type="pct"/>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14:paraId="071D7FC3" w14:textId="77777777" w:rsidR="00CD64B5" w:rsidRPr="00CD64B5" w:rsidRDefault="00CD64B5" w:rsidP="00CD64B5">
            <w:pPr>
              <w:rPr>
                <w:rFonts w:eastAsiaTheme="minorEastAsia"/>
                <w:sz w:val="20"/>
              </w:rPr>
            </w:pPr>
            <w:r w:rsidRPr="00CD64B5">
              <w:rPr>
                <w:rFonts w:ascii="Sylfaen" w:eastAsiaTheme="minorEastAsia" w:hAnsi="Sylfaen" w:cs="Sylfaen"/>
                <w:sz w:val="20"/>
              </w:rPr>
              <w:t>ტუმბოს</w:t>
            </w:r>
            <w:r w:rsidRPr="00CD64B5">
              <w:rPr>
                <w:rFonts w:eastAsiaTheme="minorEastAsia"/>
                <w:sz w:val="20"/>
              </w:rPr>
              <w:t xml:space="preserve"> </w:t>
            </w:r>
            <w:r w:rsidRPr="00CD64B5">
              <w:rPr>
                <w:rFonts w:ascii="Sylfaen" w:eastAsiaTheme="minorEastAsia" w:hAnsi="Sylfaen" w:cs="Sylfaen"/>
                <w:sz w:val="20"/>
              </w:rPr>
              <w:t>წარმადობა</w:t>
            </w:r>
            <w:r w:rsidRPr="00CD64B5">
              <w:rPr>
                <w:rFonts w:eastAsiaTheme="minorEastAsia"/>
                <w:sz w:val="20"/>
              </w:rPr>
              <w:t xml:space="preserve">, </w:t>
            </w:r>
            <w:r w:rsidRPr="00CD64B5">
              <w:rPr>
                <w:rFonts w:ascii="Sylfaen" w:eastAsiaTheme="minorEastAsia" w:hAnsi="Sylfaen" w:cs="Sylfaen"/>
                <w:sz w:val="20"/>
              </w:rPr>
              <w:t>მ</w:t>
            </w:r>
            <w:r w:rsidRPr="00CD64B5">
              <w:rPr>
                <w:rFonts w:eastAsiaTheme="minorEastAsia"/>
                <w:sz w:val="20"/>
              </w:rPr>
              <w:t>3/</w:t>
            </w:r>
            <w:r w:rsidRPr="00CD64B5">
              <w:rPr>
                <w:rFonts w:ascii="Sylfaen" w:eastAsiaTheme="minorEastAsia" w:hAnsi="Sylfaen" w:cs="Sylfaen"/>
                <w:sz w:val="20"/>
              </w:rPr>
              <w:t>სთ</w:t>
            </w:r>
          </w:p>
        </w:tc>
        <w:tc>
          <w:tcPr>
            <w:tcW w:w="457" w:type="pct"/>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14:paraId="11BB16BD" w14:textId="77777777" w:rsidR="00CD64B5" w:rsidRPr="00CD64B5" w:rsidRDefault="00CD64B5" w:rsidP="00CD64B5">
            <w:pPr>
              <w:rPr>
                <w:rFonts w:eastAsiaTheme="minorEastAsia"/>
                <w:sz w:val="20"/>
              </w:rPr>
            </w:pPr>
            <w:r w:rsidRPr="00CD64B5">
              <w:rPr>
                <w:rFonts w:ascii="Sylfaen" w:eastAsiaTheme="minorEastAsia" w:hAnsi="Sylfaen" w:cs="Sylfaen"/>
                <w:sz w:val="20"/>
              </w:rPr>
              <w:t>რეზერვუარის</w:t>
            </w:r>
            <w:r w:rsidRPr="00CD64B5">
              <w:rPr>
                <w:rFonts w:eastAsiaTheme="minorEastAsia"/>
                <w:sz w:val="20"/>
              </w:rPr>
              <w:t xml:space="preserve"> </w:t>
            </w:r>
            <w:r w:rsidRPr="00CD64B5">
              <w:rPr>
                <w:rFonts w:ascii="Sylfaen" w:eastAsiaTheme="minorEastAsia" w:hAnsi="Sylfaen" w:cs="Sylfaen"/>
                <w:sz w:val="20"/>
              </w:rPr>
              <w:t>მოცულობა</w:t>
            </w:r>
            <w:r w:rsidRPr="00CD64B5">
              <w:rPr>
                <w:rFonts w:eastAsiaTheme="minorEastAsia"/>
                <w:sz w:val="20"/>
              </w:rPr>
              <w:t xml:space="preserve">, </w:t>
            </w:r>
            <w:r w:rsidRPr="00CD64B5">
              <w:rPr>
                <w:rFonts w:ascii="Sylfaen" w:eastAsiaTheme="minorEastAsia" w:hAnsi="Sylfaen" w:cs="Sylfaen"/>
                <w:sz w:val="20"/>
              </w:rPr>
              <w:t>მ</w:t>
            </w:r>
            <w:r w:rsidRPr="00CD64B5">
              <w:rPr>
                <w:rFonts w:eastAsiaTheme="minorEastAsia"/>
                <w:sz w:val="20"/>
              </w:rPr>
              <w:t xml:space="preserve">3 </w:t>
            </w:r>
          </w:p>
        </w:tc>
        <w:tc>
          <w:tcPr>
            <w:tcW w:w="457" w:type="pct"/>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14:paraId="5163FB4B" w14:textId="77777777" w:rsidR="00CD64B5" w:rsidRPr="00CD64B5" w:rsidRDefault="00CD64B5" w:rsidP="00CD64B5">
            <w:pPr>
              <w:rPr>
                <w:rFonts w:eastAsiaTheme="minorEastAsia"/>
                <w:sz w:val="20"/>
              </w:rPr>
            </w:pPr>
            <w:r w:rsidRPr="00CD64B5">
              <w:rPr>
                <w:rFonts w:ascii="Sylfaen" w:eastAsiaTheme="minorEastAsia" w:hAnsi="Sylfaen" w:cs="Sylfaen"/>
                <w:sz w:val="20"/>
              </w:rPr>
              <w:t>რეზერვუარების</w:t>
            </w:r>
            <w:r w:rsidRPr="00CD64B5">
              <w:rPr>
                <w:rFonts w:eastAsiaTheme="minorEastAsia"/>
                <w:sz w:val="20"/>
              </w:rPr>
              <w:t xml:space="preserve"> </w:t>
            </w:r>
            <w:r w:rsidRPr="00CD64B5">
              <w:rPr>
                <w:rFonts w:ascii="Sylfaen" w:eastAsiaTheme="minorEastAsia" w:hAnsi="Sylfaen" w:cs="Sylfaen"/>
                <w:sz w:val="20"/>
              </w:rPr>
              <w:t>რ</w:t>
            </w:r>
            <w:r w:rsidRPr="00CD64B5">
              <w:rPr>
                <w:rFonts w:eastAsiaTheme="minorEastAsia"/>
                <w:sz w:val="20"/>
              </w:rPr>
              <w:t>-</w:t>
            </w:r>
            <w:r w:rsidRPr="00CD64B5">
              <w:rPr>
                <w:rFonts w:ascii="Sylfaen" w:eastAsiaTheme="minorEastAsia" w:hAnsi="Sylfaen" w:cs="Sylfaen"/>
                <w:sz w:val="20"/>
              </w:rPr>
              <w:t>ბა</w:t>
            </w:r>
            <w:r w:rsidRPr="00CD64B5">
              <w:rPr>
                <w:rFonts w:eastAsiaTheme="minorEastAsia"/>
                <w:sz w:val="20"/>
              </w:rPr>
              <w:t xml:space="preserve"> </w:t>
            </w:r>
          </w:p>
        </w:tc>
        <w:tc>
          <w:tcPr>
            <w:tcW w:w="315" w:type="pct"/>
            <w:vMerge w:val="restart"/>
            <w:tcBorders>
              <w:top w:val="single" w:sz="8" w:space="0" w:color="auto"/>
              <w:left w:val="single" w:sz="4" w:space="0" w:color="000000"/>
              <w:bottom w:val="single" w:sz="8" w:space="0" w:color="auto"/>
              <w:right w:val="single" w:sz="6" w:space="0" w:color="auto"/>
            </w:tcBorders>
            <w:shd w:val="clear" w:color="auto" w:fill="D9D9D9"/>
            <w:vAlign w:val="center"/>
            <w:hideMark/>
          </w:tcPr>
          <w:p w14:paraId="03AC53A7" w14:textId="77777777" w:rsidR="00CD64B5" w:rsidRPr="00CD64B5" w:rsidRDefault="00CD64B5" w:rsidP="00CD64B5">
            <w:pPr>
              <w:rPr>
                <w:rFonts w:eastAsiaTheme="minorEastAsia"/>
                <w:sz w:val="20"/>
              </w:rPr>
            </w:pPr>
            <w:r w:rsidRPr="00CD64B5">
              <w:rPr>
                <w:rFonts w:ascii="Sylfaen" w:eastAsiaTheme="minorEastAsia" w:hAnsi="Sylfaen" w:cs="Sylfaen"/>
                <w:sz w:val="20"/>
              </w:rPr>
              <w:t>ერთდროულობა</w:t>
            </w:r>
          </w:p>
        </w:tc>
      </w:tr>
      <w:tr w:rsidR="00CD64B5" w:rsidRPr="00CD64B5" w14:paraId="566164FE" w14:textId="77777777" w:rsidTr="00CD64B5">
        <w:trPr>
          <w:trHeight w:val="150"/>
          <w:tblHeader/>
          <w:jc w:val="center"/>
        </w:trPr>
        <w:tc>
          <w:tcPr>
            <w:tcW w:w="0" w:type="auto"/>
            <w:vMerge/>
            <w:tcBorders>
              <w:top w:val="single" w:sz="8" w:space="0" w:color="auto"/>
              <w:left w:val="single" w:sz="6" w:space="0" w:color="auto"/>
              <w:bottom w:val="single" w:sz="8" w:space="0" w:color="auto"/>
              <w:right w:val="single" w:sz="4" w:space="0" w:color="000000"/>
            </w:tcBorders>
            <w:vAlign w:val="center"/>
            <w:hideMark/>
          </w:tcPr>
          <w:p w14:paraId="1808B05C" w14:textId="77777777" w:rsidR="00CD64B5" w:rsidRPr="00CD64B5" w:rsidRDefault="00CD64B5" w:rsidP="00CD64B5">
            <w:pPr>
              <w:rPr>
                <w:rFonts w:eastAsiaTheme="minorHAnsi"/>
                <w:sz w:val="20"/>
              </w:rPr>
            </w:pPr>
          </w:p>
        </w:tc>
        <w:tc>
          <w:tcPr>
            <w:tcW w:w="428" w:type="pct"/>
            <w:tcBorders>
              <w:top w:val="single" w:sz="8" w:space="0" w:color="auto"/>
              <w:left w:val="single" w:sz="6" w:space="0" w:color="auto"/>
              <w:bottom w:val="single" w:sz="4" w:space="0" w:color="000000"/>
              <w:right w:val="single" w:sz="4" w:space="0" w:color="000000"/>
            </w:tcBorders>
            <w:shd w:val="clear" w:color="auto" w:fill="D9D9D9"/>
            <w:vAlign w:val="center"/>
            <w:hideMark/>
          </w:tcPr>
          <w:p w14:paraId="20627EBC" w14:textId="77777777" w:rsidR="00CD64B5" w:rsidRPr="00CD64B5" w:rsidRDefault="00CD64B5" w:rsidP="00CD64B5">
            <w:pPr>
              <w:rPr>
                <w:rFonts w:eastAsiaTheme="minorEastAsia"/>
                <w:sz w:val="20"/>
              </w:rPr>
            </w:pPr>
            <w:r w:rsidRPr="00CD64B5">
              <w:rPr>
                <w:rFonts w:eastAsiaTheme="minorEastAsia"/>
                <w:sz w:val="20"/>
              </w:rPr>
              <w:t>B</w:t>
            </w:r>
            <w:r w:rsidRPr="00CD64B5">
              <w:rPr>
                <w:rFonts w:ascii="Sylfaen" w:eastAsiaTheme="minorEastAsia" w:hAnsi="Sylfaen" w:cs="Sylfaen"/>
                <w:sz w:val="20"/>
              </w:rPr>
              <w:t>შზ</w:t>
            </w:r>
          </w:p>
        </w:tc>
        <w:tc>
          <w:tcPr>
            <w:tcW w:w="429" w:type="pct"/>
            <w:tcBorders>
              <w:top w:val="single" w:sz="8" w:space="0" w:color="auto"/>
              <w:left w:val="single" w:sz="4" w:space="0" w:color="000000"/>
              <w:bottom w:val="single" w:sz="4" w:space="0" w:color="000000"/>
              <w:right w:val="single" w:sz="6" w:space="0" w:color="auto"/>
            </w:tcBorders>
            <w:shd w:val="clear" w:color="auto" w:fill="D9D9D9"/>
            <w:vAlign w:val="center"/>
            <w:hideMark/>
          </w:tcPr>
          <w:p w14:paraId="7DA4A672" w14:textId="77777777" w:rsidR="00CD64B5" w:rsidRPr="00CD64B5" w:rsidRDefault="00CD64B5" w:rsidP="00CD64B5">
            <w:pPr>
              <w:rPr>
                <w:rFonts w:eastAsiaTheme="minorEastAsia"/>
                <w:sz w:val="20"/>
              </w:rPr>
            </w:pPr>
            <w:r w:rsidRPr="00CD64B5">
              <w:rPr>
                <w:rFonts w:eastAsiaTheme="minorEastAsia"/>
                <w:sz w:val="20"/>
              </w:rPr>
              <w:t>B</w:t>
            </w:r>
            <w:r w:rsidRPr="00CD64B5">
              <w:rPr>
                <w:rFonts w:ascii="Sylfaen" w:eastAsiaTheme="minorEastAsia" w:hAnsi="Sylfaen" w:cs="Sylfaen"/>
                <w:sz w:val="20"/>
              </w:rPr>
              <w:t>გზ</w:t>
            </w:r>
          </w:p>
        </w:tc>
        <w:tc>
          <w:tcPr>
            <w:tcW w:w="0" w:type="auto"/>
            <w:vMerge/>
            <w:tcBorders>
              <w:top w:val="single" w:sz="8" w:space="0" w:color="auto"/>
              <w:left w:val="single" w:sz="4" w:space="0" w:color="000000"/>
              <w:bottom w:val="single" w:sz="8" w:space="0" w:color="auto"/>
              <w:right w:val="single" w:sz="4" w:space="0" w:color="000000"/>
            </w:tcBorders>
            <w:vAlign w:val="center"/>
            <w:hideMark/>
          </w:tcPr>
          <w:p w14:paraId="30924D70" w14:textId="77777777" w:rsidR="00CD64B5" w:rsidRPr="00CD64B5" w:rsidRDefault="00CD64B5" w:rsidP="00CD64B5">
            <w:pPr>
              <w:rPr>
                <w:rFonts w:eastAsiaTheme="minorHAnsi"/>
                <w:sz w:val="20"/>
              </w:rPr>
            </w:pPr>
          </w:p>
        </w:tc>
        <w:tc>
          <w:tcPr>
            <w:tcW w:w="0" w:type="auto"/>
            <w:vMerge/>
            <w:tcBorders>
              <w:top w:val="single" w:sz="8" w:space="0" w:color="auto"/>
              <w:left w:val="single" w:sz="4" w:space="0" w:color="000000"/>
              <w:bottom w:val="single" w:sz="8" w:space="0" w:color="auto"/>
              <w:right w:val="single" w:sz="4" w:space="0" w:color="000000"/>
            </w:tcBorders>
            <w:vAlign w:val="center"/>
            <w:hideMark/>
          </w:tcPr>
          <w:p w14:paraId="77B19C6C" w14:textId="77777777" w:rsidR="00CD64B5" w:rsidRPr="00CD64B5" w:rsidRDefault="00CD64B5" w:rsidP="00CD64B5">
            <w:pPr>
              <w:rPr>
                <w:rFonts w:eastAsiaTheme="minorHAnsi"/>
                <w:sz w:val="20"/>
              </w:rPr>
            </w:pPr>
          </w:p>
        </w:tc>
        <w:tc>
          <w:tcPr>
            <w:tcW w:w="0" w:type="auto"/>
            <w:vMerge/>
            <w:tcBorders>
              <w:top w:val="single" w:sz="8" w:space="0" w:color="auto"/>
              <w:left w:val="single" w:sz="4" w:space="0" w:color="000000"/>
              <w:bottom w:val="single" w:sz="8" w:space="0" w:color="auto"/>
              <w:right w:val="single" w:sz="4" w:space="0" w:color="000000"/>
            </w:tcBorders>
            <w:vAlign w:val="center"/>
            <w:hideMark/>
          </w:tcPr>
          <w:p w14:paraId="73CADA29" w14:textId="77777777" w:rsidR="00CD64B5" w:rsidRPr="00CD64B5" w:rsidRDefault="00CD64B5" w:rsidP="00CD64B5">
            <w:pPr>
              <w:rPr>
                <w:rFonts w:eastAsiaTheme="minorHAnsi"/>
                <w:sz w:val="20"/>
              </w:rPr>
            </w:pPr>
          </w:p>
        </w:tc>
        <w:tc>
          <w:tcPr>
            <w:tcW w:w="0" w:type="auto"/>
            <w:vMerge/>
            <w:tcBorders>
              <w:top w:val="single" w:sz="8" w:space="0" w:color="auto"/>
              <w:left w:val="single" w:sz="4" w:space="0" w:color="000000"/>
              <w:bottom w:val="single" w:sz="8" w:space="0" w:color="auto"/>
              <w:right w:val="single" w:sz="4" w:space="0" w:color="000000"/>
            </w:tcBorders>
            <w:vAlign w:val="center"/>
            <w:hideMark/>
          </w:tcPr>
          <w:p w14:paraId="48204BB5" w14:textId="77777777" w:rsidR="00CD64B5" w:rsidRPr="00CD64B5" w:rsidRDefault="00CD64B5" w:rsidP="00CD64B5">
            <w:pPr>
              <w:rPr>
                <w:rFonts w:eastAsiaTheme="minorHAnsi"/>
                <w:sz w:val="20"/>
              </w:rPr>
            </w:pPr>
          </w:p>
        </w:tc>
        <w:tc>
          <w:tcPr>
            <w:tcW w:w="0" w:type="auto"/>
            <w:vMerge/>
            <w:tcBorders>
              <w:top w:val="single" w:sz="8" w:space="0" w:color="auto"/>
              <w:left w:val="single" w:sz="4" w:space="0" w:color="000000"/>
              <w:bottom w:val="single" w:sz="8" w:space="0" w:color="auto"/>
              <w:right w:val="single" w:sz="6" w:space="0" w:color="auto"/>
            </w:tcBorders>
            <w:vAlign w:val="center"/>
            <w:hideMark/>
          </w:tcPr>
          <w:p w14:paraId="1A053F7D" w14:textId="77777777" w:rsidR="00CD64B5" w:rsidRPr="00CD64B5" w:rsidRDefault="00CD64B5" w:rsidP="00CD64B5">
            <w:pPr>
              <w:rPr>
                <w:rFonts w:eastAsiaTheme="minorHAnsi"/>
                <w:sz w:val="20"/>
              </w:rPr>
            </w:pPr>
          </w:p>
        </w:tc>
      </w:tr>
      <w:tr w:rsidR="00CD64B5" w:rsidRPr="00CD64B5" w14:paraId="6375747B" w14:textId="77777777" w:rsidTr="00CD64B5">
        <w:trPr>
          <w:trHeight w:val="1379"/>
          <w:jc w:val="center"/>
        </w:trPr>
        <w:tc>
          <w:tcPr>
            <w:tcW w:w="1000" w:type="pct"/>
            <w:tcBorders>
              <w:top w:val="single" w:sz="4" w:space="0" w:color="000000"/>
              <w:left w:val="single" w:sz="6" w:space="0" w:color="auto"/>
              <w:bottom w:val="single" w:sz="8" w:space="0" w:color="auto"/>
              <w:right w:val="single" w:sz="4" w:space="0" w:color="000000"/>
            </w:tcBorders>
            <w:hideMark/>
          </w:tcPr>
          <w:p w14:paraId="716C4228" w14:textId="77777777" w:rsidR="00CD64B5" w:rsidRPr="00CD64B5" w:rsidRDefault="00CD64B5" w:rsidP="00CD64B5">
            <w:pPr>
              <w:rPr>
                <w:rFonts w:eastAsiaTheme="minorEastAsia"/>
                <w:sz w:val="20"/>
              </w:rPr>
            </w:pPr>
            <w:r w:rsidRPr="00CD64B5">
              <w:rPr>
                <w:rFonts w:ascii="Sylfaen" w:eastAsiaTheme="minorEastAsia" w:hAnsi="Sylfaen" w:cs="Sylfaen"/>
                <w:sz w:val="20"/>
              </w:rPr>
              <w:t>დიზელის</w:t>
            </w:r>
            <w:r w:rsidRPr="00CD64B5">
              <w:rPr>
                <w:rFonts w:eastAsiaTheme="minorEastAsia"/>
                <w:sz w:val="20"/>
              </w:rPr>
              <w:t xml:space="preserve"> </w:t>
            </w:r>
            <w:r w:rsidRPr="00CD64B5">
              <w:rPr>
                <w:rFonts w:ascii="Sylfaen" w:eastAsiaTheme="minorEastAsia" w:hAnsi="Sylfaen" w:cs="Sylfaen"/>
                <w:sz w:val="20"/>
              </w:rPr>
              <w:t>საწვავი</w:t>
            </w:r>
            <w:r w:rsidRPr="00CD64B5">
              <w:rPr>
                <w:rFonts w:eastAsiaTheme="minorEastAsia"/>
                <w:sz w:val="20"/>
              </w:rPr>
              <w:t xml:space="preserve">. </w:t>
            </w:r>
            <w:r w:rsidRPr="00CD64B5">
              <w:rPr>
                <w:rFonts w:ascii="Sylfaen" w:eastAsiaTheme="minorEastAsia" w:hAnsi="Sylfaen" w:cs="Sylfaen"/>
                <w:sz w:val="20"/>
              </w:rPr>
              <w:t>ჯგ</w:t>
            </w:r>
            <w:r w:rsidRPr="00CD64B5">
              <w:rPr>
                <w:rFonts w:eastAsiaTheme="minorEastAsia"/>
                <w:sz w:val="20"/>
              </w:rPr>
              <w:t xml:space="preserve">. А. </w:t>
            </w:r>
            <w:r w:rsidRPr="00CD64B5">
              <w:rPr>
                <w:rFonts w:ascii="Sylfaen" w:eastAsiaTheme="minorEastAsia" w:hAnsi="Sylfaen" w:cs="Sylfaen"/>
                <w:sz w:val="20"/>
              </w:rPr>
              <w:t>სითხის</w:t>
            </w:r>
            <w:r w:rsidRPr="00CD64B5">
              <w:rPr>
                <w:rFonts w:eastAsiaTheme="minorEastAsia"/>
                <w:sz w:val="20"/>
              </w:rPr>
              <w:t xml:space="preserve"> </w:t>
            </w:r>
            <w:r w:rsidRPr="00CD64B5">
              <w:rPr>
                <w:rFonts w:ascii="Sylfaen" w:eastAsiaTheme="minorEastAsia" w:hAnsi="Sylfaen" w:cs="Sylfaen"/>
                <w:sz w:val="20"/>
              </w:rPr>
              <w:t>ტემპერატურა</w:t>
            </w:r>
            <w:r w:rsidRPr="00CD64B5">
              <w:rPr>
                <w:rFonts w:eastAsiaTheme="minorEastAsia"/>
                <w:sz w:val="20"/>
              </w:rPr>
              <w:t xml:space="preserve"> </w:t>
            </w:r>
            <w:r w:rsidRPr="00CD64B5">
              <w:rPr>
                <w:rFonts w:ascii="Sylfaen" w:eastAsiaTheme="minorEastAsia" w:hAnsi="Sylfaen" w:cs="Sylfaen"/>
                <w:sz w:val="20"/>
              </w:rPr>
              <w:t>ახლოსაა</w:t>
            </w:r>
            <w:r w:rsidRPr="00CD64B5">
              <w:rPr>
                <w:rFonts w:eastAsiaTheme="minorEastAsia"/>
                <w:sz w:val="20"/>
              </w:rPr>
              <w:t xml:space="preserve"> </w:t>
            </w:r>
            <w:r w:rsidRPr="00CD64B5">
              <w:rPr>
                <w:rFonts w:ascii="Sylfaen" w:eastAsiaTheme="minorEastAsia" w:hAnsi="Sylfaen" w:cs="Sylfaen"/>
                <w:sz w:val="20"/>
              </w:rPr>
              <w:t>ჰაერის</w:t>
            </w:r>
            <w:r w:rsidRPr="00CD64B5">
              <w:rPr>
                <w:rFonts w:eastAsiaTheme="minorEastAsia"/>
                <w:sz w:val="20"/>
              </w:rPr>
              <w:t xml:space="preserve"> </w:t>
            </w:r>
            <w:r w:rsidRPr="00CD64B5">
              <w:rPr>
                <w:rFonts w:ascii="Sylfaen" w:eastAsiaTheme="minorEastAsia" w:hAnsi="Sylfaen" w:cs="Sylfaen"/>
                <w:sz w:val="20"/>
              </w:rPr>
              <w:t>ტემპერატურასთან</w:t>
            </w:r>
          </w:p>
        </w:tc>
        <w:tc>
          <w:tcPr>
            <w:tcW w:w="428" w:type="pct"/>
            <w:tcBorders>
              <w:top w:val="single" w:sz="4" w:space="0" w:color="000000"/>
              <w:left w:val="single" w:sz="4" w:space="0" w:color="000000"/>
              <w:bottom w:val="single" w:sz="8" w:space="0" w:color="auto"/>
              <w:right w:val="single" w:sz="4" w:space="0" w:color="000000"/>
            </w:tcBorders>
            <w:hideMark/>
          </w:tcPr>
          <w:p w14:paraId="6132E939" w14:textId="77777777" w:rsidR="00CD64B5" w:rsidRPr="00CD64B5" w:rsidRDefault="00CD64B5" w:rsidP="00CD64B5">
            <w:pPr>
              <w:rPr>
                <w:rFonts w:eastAsiaTheme="minorEastAsia"/>
                <w:sz w:val="20"/>
              </w:rPr>
            </w:pPr>
            <w:r w:rsidRPr="00CD64B5">
              <w:rPr>
                <w:rFonts w:eastAsiaTheme="minorEastAsia"/>
                <w:sz w:val="20"/>
              </w:rPr>
              <w:t>312</w:t>
            </w:r>
          </w:p>
        </w:tc>
        <w:tc>
          <w:tcPr>
            <w:tcW w:w="429" w:type="pct"/>
            <w:tcBorders>
              <w:top w:val="single" w:sz="4" w:space="0" w:color="000000"/>
              <w:left w:val="single" w:sz="4" w:space="0" w:color="000000"/>
              <w:bottom w:val="single" w:sz="8" w:space="0" w:color="auto"/>
              <w:right w:val="single" w:sz="4" w:space="0" w:color="000000"/>
            </w:tcBorders>
            <w:hideMark/>
          </w:tcPr>
          <w:p w14:paraId="792A10BC" w14:textId="77777777" w:rsidR="00CD64B5" w:rsidRPr="00CD64B5" w:rsidRDefault="00CD64B5" w:rsidP="00CD64B5">
            <w:pPr>
              <w:rPr>
                <w:rFonts w:eastAsiaTheme="minorEastAsia"/>
                <w:sz w:val="20"/>
              </w:rPr>
            </w:pPr>
            <w:r w:rsidRPr="00CD64B5">
              <w:rPr>
                <w:rFonts w:eastAsiaTheme="minorEastAsia"/>
                <w:sz w:val="20"/>
              </w:rPr>
              <w:t>312</w:t>
            </w:r>
          </w:p>
        </w:tc>
        <w:tc>
          <w:tcPr>
            <w:tcW w:w="1371" w:type="pct"/>
            <w:tcBorders>
              <w:top w:val="single" w:sz="4" w:space="0" w:color="000000"/>
              <w:left w:val="single" w:sz="4" w:space="0" w:color="000000"/>
              <w:bottom w:val="single" w:sz="8" w:space="0" w:color="auto"/>
              <w:right w:val="single" w:sz="4" w:space="0" w:color="000000"/>
            </w:tcBorders>
            <w:hideMark/>
          </w:tcPr>
          <w:p w14:paraId="5DD1051D" w14:textId="77777777" w:rsidR="00CD64B5" w:rsidRPr="00CD64B5" w:rsidRDefault="00CD64B5" w:rsidP="00CD64B5">
            <w:pPr>
              <w:rPr>
                <w:rFonts w:eastAsiaTheme="minorEastAsia"/>
                <w:sz w:val="20"/>
              </w:rPr>
            </w:pPr>
            <w:r w:rsidRPr="00CD64B5">
              <w:rPr>
                <w:rFonts w:ascii="Sylfaen" w:eastAsiaTheme="minorEastAsia" w:hAnsi="Sylfaen" w:cs="Sylfaen"/>
                <w:sz w:val="20"/>
              </w:rPr>
              <w:t>მიწისზედა</w:t>
            </w:r>
            <w:r w:rsidRPr="00CD64B5">
              <w:rPr>
                <w:rFonts w:eastAsiaTheme="minorEastAsia"/>
                <w:sz w:val="20"/>
              </w:rPr>
              <w:t xml:space="preserve"> </w:t>
            </w:r>
            <w:r w:rsidRPr="00CD64B5">
              <w:rPr>
                <w:rFonts w:ascii="Sylfaen" w:eastAsiaTheme="minorEastAsia" w:hAnsi="Sylfaen" w:cs="Sylfaen"/>
                <w:sz w:val="20"/>
              </w:rPr>
              <w:t>ვერტიკალური</w:t>
            </w:r>
            <w:r w:rsidRPr="00CD64B5">
              <w:rPr>
                <w:rFonts w:eastAsiaTheme="minorEastAsia"/>
                <w:sz w:val="20"/>
              </w:rPr>
              <w:t xml:space="preserve">. </w:t>
            </w:r>
            <w:r w:rsidRPr="00CD64B5">
              <w:rPr>
                <w:rFonts w:ascii="Sylfaen" w:eastAsiaTheme="minorEastAsia" w:hAnsi="Sylfaen" w:cs="Sylfaen"/>
                <w:sz w:val="20"/>
              </w:rPr>
              <w:t>ექსპლოატაციის</w:t>
            </w:r>
            <w:r w:rsidRPr="00CD64B5">
              <w:rPr>
                <w:rFonts w:eastAsiaTheme="minorEastAsia"/>
                <w:sz w:val="20"/>
              </w:rPr>
              <w:t xml:space="preserve"> </w:t>
            </w:r>
            <w:r w:rsidRPr="00CD64B5">
              <w:rPr>
                <w:rFonts w:ascii="Sylfaen" w:eastAsiaTheme="minorEastAsia" w:hAnsi="Sylfaen" w:cs="Sylfaen"/>
                <w:sz w:val="20"/>
              </w:rPr>
              <w:t>რეჟიმი</w:t>
            </w:r>
            <w:r w:rsidRPr="00CD64B5">
              <w:rPr>
                <w:rFonts w:eastAsiaTheme="minorEastAsia"/>
                <w:sz w:val="20"/>
              </w:rPr>
              <w:t xml:space="preserve"> - "</w:t>
            </w:r>
            <w:r w:rsidRPr="00CD64B5">
              <w:rPr>
                <w:rFonts w:ascii="Sylfaen" w:eastAsiaTheme="minorEastAsia" w:hAnsi="Sylfaen" w:cs="Sylfaen"/>
                <w:sz w:val="20"/>
              </w:rPr>
              <w:t>საწყავი</w:t>
            </w:r>
            <w:r w:rsidRPr="00CD64B5">
              <w:rPr>
                <w:rFonts w:eastAsiaTheme="minorEastAsia"/>
                <w:sz w:val="20"/>
              </w:rPr>
              <w:t xml:space="preserve">". </w:t>
            </w:r>
            <w:r w:rsidRPr="00CD64B5">
              <w:rPr>
                <w:rFonts w:ascii="Sylfaen" w:eastAsiaTheme="minorEastAsia" w:hAnsi="Sylfaen" w:cs="Sylfaen"/>
                <w:sz w:val="20"/>
              </w:rPr>
              <w:t>ემისიის</w:t>
            </w:r>
            <w:r w:rsidRPr="00CD64B5">
              <w:rPr>
                <w:rFonts w:eastAsiaTheme="minorEastAsia"/>
                <w:sz w:val="20"/>
              </w:rPr>
              <w:t xml:space="preserve"> </w:t>
            </w:r>
            <w:r w:rsidRPr="00CD64B5">
              <w:rPr>
                <w:rFonts w:ascii="Sylfaen" w:eastAsiaTheme="minorEastAsia" w:hAnsi="Sylfaen" w:cs="Sylfaen"/>
                <w:sz w:val="20"/>
              </w:rPr>
              <w:t>შემზღუდავი</w:t>
            </w:r>
            <w:r w:rsidRPr="00CD64B5">
              <w:rPr>
                <w:rFonts w:eastAsiaTheme="minorEastAsia"/>
                <w:sz w:val="20"/>
              </w:rPr>
              <w:t xml:space="preserve"> </w:t>
            </w:r>
            <w:r w:rsidRPr="00CD64B5">
              <w:rPr>
                <w:rFonts w:ascii="Sylfaen" w:eastAsiaTheme="minorEastAsia" w:hAnsi="Sylfaen" w:cs="Sylfaen"/>
                <w:sz w:val="20"/>
              </w:rPr>
              <w:t>სისტემა</w:t>
            </w:r>
            <w:r w:rsidRPr="00CD64B5">
              <w:rPr>
                <w:rFonts w:eastAsiaTheme="minorEastAsia"/>
                <w:sz w:val="20"/>
              </w:rPr>
              <w:t>-</w:t>
            </w:r>
            <w:r w:rsidRPr="00CD64B5">
              <w:rPr>
                <w:rFonts w:ascii="Sylfaen" w:eastAsiaTheme="minorEastAsia" w:hAnsi="Sylfaen" w:cs="Sylfaen"/>
                <w:sz w:val="20"/>
              </w:rPr>
              <w:t>არ</w:t>
            </w:r>
            <w:r w:rsidRPr="00CD64B5">
              <w:rPr>
                <w:rFonts w:eastAsiaTheme="minorEastAsia"/>
                <w:sz w:val="20"/>
              </w:rPr>
              <w:t xml:space="preserve"> </w:t>
            </w:r>
            <w:r w:rsidRPr="00CD64B5">
              <w:rPr>
                <w:rFonts w:ascii="Sylfaen" w:eastAsiaTheme="minorEastAsia" w:hAnsi="Sylfaen" w:cs="Sylfaen"/>
                <w:sz w:val="20"/>
              </w:rPr>
              <w:t>არის</w:t>
            </w:r>
            <w:r w:rsidRPr="00CD64B5">
              <w:rPr>
                <w:rFonts w:eastAsiaTheme="minorEastAsia"/>
                <w:sz w:val="20"/>
              </w:rPr>
              <w:t>.</w:t>
            </w:r>
          </w:p>
        </w:tc>
        <w:tc>
          <w:tcPr>
            <w:tcW w:w="542" w:type="pct"/>
            <w:tcBorders>
              <w:top w:val="single" w:sz="4" w:space="0" w:color="000000"/>
              <w:left w:val="single" w:sz="4" w:space="0" w:color="000000"/>
              <w:bottom w:val="single" w:sz="8" w:space="0" w:color="auto"/>
              <w:right w:val="single" w:sz="4" w:space="0" w:color="000000"/>
            </w:tcBorders>
            <w:hideMark/>
          </w:tcPr>
          <w:p w14:paraId="36BE1D73" w14:textId="77777777" w:rsidR="00CD64B5" w:rsidRPr="00CD64B5" w:rsidRDefault="00CD64B5" w:rsidP="00CD64B5">
            <w:pPr>
              <w:rPr>
                <w:rFonts w:eastAsiaTheme="minorEastAsia"/>
                <w:sz w:val="20"/>
              </w:rPr>
            </w:pPr>
            <w:r w:rsidRPr="00CD64B5">
              <w:rPr>
                <w:rFonts w:eastAsiaTheme="minorEastAsia"/>
                <w:sz w:val="20"/>
              </w:rPr>
              <w:t>30</w:t>
            </w:r>
          </w:p>
        </w:tc>
        <w:tc>
          <w:tcPr>
            <w:tcW w:w="457" w:type="pct"/>
            <w:tcBorders>
              <w:top w:val="single" w:sz="4" w:space="0" w:color="000000"/>
              <w:left w:val="single" w:sz="4" w:space="0" w:color="000000"/>
              <w:bottom w:val="single" w:sz="8" w:space="0" w:color="auto"/>
              <w:right w:val="single" w:sz="4" w:space="0" w:color="000000"/>
            </w:tcBorders>
            <w:hideMark/>
          </w:tcPr>
          <w:p w14:paraId="367C9E8B" w14:textId="77777777" w:rsidR="00CD64B5" w:rsidRPr="00CD64B5" w:rsidRDefault="00CD64B5" w:rsidP="00CD64B5">
            <w:pPr>
              <w:rPr>
                <w:rFonts w:eastAsiaTheme="minorEastAsia"/>
                <w:sz w:val="20"/>
              </w:rPr>
            </w:pPr>
            <w:r w:rsidRPr="00CD64B5">
              <w:rPr>
                <w:rFonts w:eastAsiaTheme="minorEastAsia"/>
                <w:sz w:val="20"/>
              </w:rPr>
              <w:t>25</w:t>
            </w:r>
          </w:p>
        </w:tc>
        <w:tc>
          <w:tcPr>
            <w:tcW w:w="457" w:type="pct"/>
            <w:tcBorders>
              <w:top w:val="single" w:sz="4" w:space="0" w:color="000000"/>
              <w:left w:val="single" w:sz="4" w:space="0" w:color="000000"/>
              <w:bottom w:val="single" w:sz="8" w:space="0" w:color="auto"/>
              <w:right w:val="single" w:sz="4" w:space="0" w:color="000000"/>
            </w:tcBorders>
            <w:hideMark/>
          </w:tcPr>
          <w:p w14:paraId="65DB0533" w14:textId="77777777" w:rsidR="00CD64B5" w:rsidRPr="00CD64B5" w:rsidRDefault="00CD64B5" w:rsidP="00CD64B5">
            <w:pPr>
              <w:rPr>
                <w:rFonts w:eastAsiaTheme="minorEastAsia"/>
                <w:sz w:val="20"/>
              </w:rPr>
            </w:pPr>
            <w:r w:rsidRPr="00CD64B5">
              <w:rPr>
                <w:rFonts w:eastAsiaTheme="minorEastAsia"/>
                <w:sz w:val="20"/>
              </w:rPr>
              <w:t>2</w:t>
            </w:r>
          </w:p>
        </w:tc>
        <w:tc>
          <w:tcPr>
            <w:tcW w:w="315" w:type="pct"/>
            <w:tcBorders>
              <w:top w:val="single" w:sz="4" w:space="0" w:color="000000"/>
              <w:left w:val="single" w:sz="4" w:space="0" w:color="000000"/>
              <w:bottom w:val="single" w:sz="8" w:space="0" w:color="auto"/>
              <w:right w:val="single" w:sz="6" w:space="0" w:color="auto"/>
            </w:tcBorders>
            <w:hideMark/>
          </w:tcPr>
          <w:p w14:paraId="1E63530A" w14:textId="77777777" w:rsidR="00CD64B5" w:rsidRPr="00CD64B5" w:rsidRDefault="00CD64B5" w:rsidP="00CD64B5">
            <w:pPr>
              <w:rPr>
                <w:rFonts w:eastAsiaTheme="minorEastAsia"/>
                <w:sz w:val="20"/>
              </w:rPr>
            </w:pPr>
            <w:r w:rsidRPr="00CD64B5">
              <w:rPr>
                <w:rFonts w:eastAsiaTheme="minorEastAsia"/>
                <w:sz w:val="20"/>
              </w:rPr>
              <w:t>+</w:t>
            </w:r>
          </w:p>
        </w:tc>
      </w:tr>
    </w:tbl>
    <w:p w14:paraId="2C028853" w14:textId="77777777" w:rsidR="00CD64B5" w:rsidRPr="001352AB" w:rsidRDefault="00CD64B5" w:rsidP="00CD64B5">
      <w:pPr>
        <w:rPr>
          <w:rFonts w:eastAsiaTheme="minorEastAsia"/>
          <w:lang w:val="ka-GE"/>
        </w:rPr>
      </w:pPr>
    </w:p>
    <w:p w14:paraId="7834925E"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მიღებული</w:t>
      </w:r>
      <w:r w:rsidRPr="001352AB">
        <w:rPr>
          <w:rFonts w:eastAsiaTheme="minorEastAsia"/>
        </w:rPr>
        <w:t xml:space="preserve"> </w:t>
      </w:r>
      <w:r w:rsidRPr="001352AB">
        <w:rPr>
          <w:rFonts w:ascii="Sylfaen" w:eastAsiaTheme="minorEastAsia" w:hAnsi="Sylfaen" w:cs="Sylfaen"/>
        </w:rPr>
        <w:t>პირობითი</w:t>
      </w:r>
      <w:r w:rsidRPr="001352AB">
        <w:rPr>
          <w:rFonts w:eastAsiaTheme="minorEastAsia"/>
        </w:rPr>
        <w:t xml:space="preserve"> </w:t>
      </w:r>
      <w:r w:rsidRPr="001352AB">
        <w:rPr>
          <w:rFonts w:ascii="Sylfaen" w:eastAsiaTheme="minorEastAsia" w:hAnsi="Sylfaen" w:cs="Sylfaen"/>
        </w:rPr>
        <w:t>აღნიშვნები</w:t>
      </w:r>
      <w:r w:rsidRPr="001352AB">
        <w:rPr>
          <w:rFonts w:eastAsiaTheme="minorEastAsia"/>
        </w:rPr>
        <w:t xml:space="preserve">, </w:t>
      </w:r>
      <w:r w:rsidRPr="001352AB">
        <w:rPr>
          <w:rFonts w:ascii="Sylfaen" w:eastAsiaTheme="minorEastAsia" w:hAnsi="Sylfaen" w:cs="Sylfaen"/>
        </w:rPr>
        <w:t>საანგარიშო</w:t>
      </w:r>
      <w:r w:rsidRPr="001352AB">
        <w:rPr>
          <w:rFonts w:eastAsiaTheme="minorEastAsia"/>
        </w:rPr>
        <w:t xml:space="preserve"> </w:t>
      </w:r>
      <w:r w:rsidRPr="001352AB">
        <w:rPr>
          <w:rFonts w:ascii="Sylfaen" w:eastAsiaTheme="minorEastAsia" w:hAnsi="Sylfaen" w:cs="Sylfaen"/>
        </w:rPr>
        <w:t>ფორმულები</w:t>
      </w:r>
      <w:r w:rsidRPr="001352AB">
        <w:rPr>
          <w:rFonts w:eastAsiaTheme="minorEastAsia"/>
        </w:rPr>
        <w:t xml:space="preserve">, </w:t>
      </w:r>
      <w:r w:rsidRPr="001352AB">
        <w:rPr>
          <w:rFonts w:ascii="Sylfaen" w:eastAsiaTheme="minorEastAsia" w:hAnsi="Sylfaen" w:cs="Sylfaen"/>
        </w:rPr>
        <w:t>აგრეთვე</w:t>
      </w:r>
      <w:r w:rsidRPr="001352AB">
        <w:rPr>
          <w:rFonts w:eastAsiaTheme="minorEastAsia"/>
        </w:rPr>
        <w:t xml:space="preserve"> </w:t>
      </w:r>
      <w:r w:rsidRPr="001352AB">
        <w:rPr>
          <w:rFonts w:ascii="Sylfaen" w:eastAsiaTheme="minorEastAsia" w:hAnsi="Sylfaen" w:cs="Sylfaen"/>
        </w:rPr>
        <w:t>საანგარიშო</w:t>
      </w:r>
      <w:r w:rsidRPr="001352AB">
        <w:rPr>
          <w:rFonts w:eastAsiaTheme="minorEastAsia"/>
        </w:rPr>
        <w:t xml:space="preserve"> </w:t>
      </w:r>
      <w:r w:rsidRPr="001352AB">
        <w:rPr>
          <w:rFonts w:ascii="Sylfaen" w:eastAsiaTheme="minorEastAsia" w:hAnsi="Sylfaen" w:cs="Sylfaen"/>
        </w:rPr>
        <w:t>პარამეტრები</w:t>
      </w:r>
      <w:r w:rsidRPr="001352AB">
        <w:rPr>
          <w:rFonts w:eastAsiaTheme="minorEastAsia"/>
        </w:rPr>
        <w:t xml:space="preserve"> </w:t>
      </w:r>
      <w:r w:rsidRPr="001352AB">
        <w:rPr>
          <w:rFonts w:ascii="Sylfaen" w:eastAsiaTheme="minorEastAsia" w:hAnsi="Sylfaen" w:cs="Sylfaen"/>
        </w:rPr>
        <w:t>და</w:t>
      </w:r>
      <w:r w:rsidRPr="001352AB">
        <w:rPr>
          <w:rFonts w:eastAsiaTheme="minorEastAsia"/>
        </w:rPr>
        <w:t xml:space="preserve"> </w:t>
      </w:r>
      <w:r w:rsidRPr="001352AB">
        <w:rPr>
          <w:rFonts w:ascii="Sylfaen" w:eastAsiaTheme="minorEastAsia" w:hAnsi="Sylfaen" w:cs="Sylfaen"/>
        </w:rPr>
        <w:t>მათი</w:t>
      </w:r>
      <w:r w:rsidRPr="001352AB">
        <w:rPr>
          <w:rFonts w:eastAsiaTheme="minorEastAsia"/>
        </w:rPr>
        <w:t xml:space="preserve"> </w:t>
      </w:r>
      <w:r w:rsidRPr="001352AB">
        <w:rPr>
          <w:rFonts w:ascii="Sylfaen" w:eastAsiaTheme="minorEastAsia" w:hAnsi="Sylfaen" w:cs="Sylfaen"/>
        </w:rPr>
        <w:t>დასაბუთება</w:t>
      </w:r>
      <w:r w:rsidRPr="001352AB">
        <w:rPr>
          <w:rFonts w:eastAsiaTheme="minorEastAsia"/>
        </w:rPr>
        <w:t xml:space="preserve"> </w:t>
      </w:r>
      <w:r w:rsidRPr="001352AB">
        <w:rPr>
          <w:rFonts w:ascii="Sylfaen" w:eastAsiaTheme="minorEastAsia" w:hAnsi="Sylfaen" w:cs="Sylfaen"/>
        </w:rPr>
        <w:t>მოცემულია</w:t>
      </w:r>
      <w:r w:rsidRPr="001352AB">
        <w:rPr>
          <w:rFonts w:eastAsiaTheme="minorEastAsia"/>
        </w:rPr>
        <w:t xml:space="preserve"> </w:t>
      </w:r>
      <w:r w:rsidRPr="001352AB">
        <w:rPr>
          <w:rFonts w:ascii="Sylfaen" w:eastAsiaTheme="minorEastAsia" w:hAnsi="Sylfaen" w:cs="Sylfaen"/>
        </w:rPr>
        <w:t>ქვემოთ</w:t>
      </w:r>
      <w:r w:rsidRPr="001352AB">
        <w:rPr>
          <w:rFonts w:eastAsiaTheme="minorEastAsia"/>
        </w:rPr>
        <w:t>.</w:t>
      </w:r>
    </w:p>
    <w:p w14:paraId="13E02586"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ნავთობპროდუქტების</w:t>
      </w:r>
      <w:r w:rsidRPr="001352AB">
        <w:rPr>
          <w:rFonts w:eastAsiaTheme="minorEastAsia"/>
        </w:rPr>
        <w:t xml:space="preserve"> </w:t>
      </w:r>
      <w:r w:rsidRPr="001352AB">
        <w:rPr>
          <w:rFonts w:ascii="Sylfaen" w:eastAsiaTheme="minorEastAsia" w:hAnsi="Sylfaen" w:cs="Sylfaen"/>
        </w:rPr>
        <w:t>ორთქლის</w:t>
      </w:r>
      <w:r w:rsidRPr="001352AB">
        <w:rPr>
          <w:rFonts w:eastAsiaTheme="minorEastAsia"/>
        </w:rPr>
        <w:t xml:space="preserve"> </w:t>
      </w:r>
      <w:r w:rsidRPr="001352AB">
        <w:rPr>
          <w:rFonts w:ascii="Sylfaen" w:eastAsiaTheme="minorEastAsia" w:hAnsi="Sylfaen" w:cs="Sylfaen"/>
        </w:rPr>
        <w:t>მაქსიმალური</w:t>
      </w:r>
      <w:r w:rsidRPr="001352AB">
        <w:rPr>
          <w:rFonts w:eastAsiaTheme="minorEastAsia"/>
        </w:rPr>
        <w:t xml:space="preserve"> </w:t>
      </w:r>
      <w:r w:rsidRPr="001352AB">
        <w:rPr>
          <w:rFonts w:ascii="Sylfaen" w:eastAsiaTheme="minorEastAsia" w:hAnsi="Sylfaen" w:cs="Sylfaen"/>
        </w:rPr>
        <w:t>ემისია</w:t>
      </w:r>
      <w:r w:rsidRPr="001352AB">
        <w:rPr>
          <w:rFonts w:eastAsiaTheme="minorEastAsia"/>
        </w:rPr>
        <w:t xml:space="preserve"> </w:t>
      </w:r>
      <w:r w:rsidRPr="001352AB">
        <w:rPr>
          <w:rFonts w:ascii="Sylfaen" w:eastAsiaTheme="minorEastAsia" w:hAnsi="Sylfaen" w:cs="Sylfaen"/>
        </w:rPr>
        <w:t>გაიანგარიშება</w:t>
      </w:r>
      <w:r w:rsidRPr="001352AB">
        <w:rPr>
          <w:rFonts w:eastAsiaTheme="minorEastAsia"/>
        </w:rPr>
        <w:t xml:space="preserve"> </w:t>
      </w:r>
      <w:r w:rsidRPr="001352AB">
        <w:rPr>
          <w:rFonts w:ascii="Sylfaen" w:eastAsiaTheme="minorEastAsia" w:hAnsi="Sylfaen" w:cs="Sylfaen"/>
        </w:rPr>
        <w:t>ფორმულით</w:t>
      </w:r>
      <w:r w:rsidRPr="001352AB">
        <w:rPr>
          <w:rFonts w:eastAsiaTheme="minorEastAsia"/>
        </w:rPr>
        <w:t>:</w:t>
      </w:r>
    </w:p>
    <w:p w14:paraId="190C4572" w14:textId="77777777" w:rsidR="00CD64B5" w:rsidRPr="001352AB" w:rsidRDefault="00CD64B5" w:rsidP="00CD64B5">
      <w:pPr>
        <w:spacing w:before="120" w:after="120"/>
        <w:rPr>
          <w:rFonts w:eastAsiaTheme="minorEastAsia"/>
        </w:rPr>
      </w:pPr>
      <w:r w:rsidRPr="001352AB">
        <w:rPr>
          <w:rFonts w:eastAsiaTheme="minorEastAsia"/>
        </w:rPr>
        <w:t xml:space="preserve">M = (C1 · Kmaxp · Vmaxч) / 3600, </w:t>
      </w:r>
      <w:r w:rsidRPr="001352AB">
        <w:rPr>
          <w:rFonts w:ascii="Sylfaen" w:eastAsiaTheme="minorEastAsia" w:hAnsi="Sylfaen" w:cs="Sylfaen"/>
        </w:rPr>
        <w:t>გ</w:t>
      </w:r>
      <w:r w:rsidRPr="001352AB">
        <w:rPr>
          <w:rFonts w:eastAsiaTheme="minorEastAsia"/>
        </w:rPr>
        <w:t>/</w:t>
      </w:r>
      <w:r w:rsidRPr="001352AB">
        <w:rPr>
          <w:rFonts w:ascii="Sylfaen" w:eastAsiaTheme="minorEastAsia" w:hAnsi="Sylfaen" w:cs="Sylfaen"/>
        </w:rPr>
        <w:t>წმ</w:t>
      </w:r>
      <w:r w:rsidRPr="001352AB">
        <w:rPr>
          <w:rFonts w:eastAsiaTheme="minorEastAsia"/>
        </w:rPr>
        <w:t>;</w:t>
      </w:r>
    </w:p>
    <w:p w14:paraId="06D0EFFF"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ნავთობპროდუქტების</w:t>
      </w:r>
      <w:r w:rsidRPr="001352AB">
        <w:rPr>
          <w:rFonts w:eastAsiaTheme="minorEastAsia"/>
        </w:rPr>
        <w:t xml:space="preserve"> </w:t>
      </w:r>
      <w:r w:rsidRPr="001352AB">
        <w:rPr>
          <w:rFonts w:ascii="Sylfaen" w:eastAsiaTheme="minorEastAsia" w:hAnsi="Sylfaen" w:cs="Sylfaen"/>
        </w:rPr>
        <w:t>ორთქლის</w:t>
      </w:r>
      <w:r w:rsidRPr="001352AB">
        <w:rPr>
          <w:rFonts w:eastAsiaTheme="minorEastAsia"/>
        </w:rPr>
        <w:t xml:space="preserve"> </w:t>
      </w:r>
      <w:r w:rsidRPr="001352AB">
        <w:rPr>
          <w:rFonts w:ascii="Sylfaen" w:eastAsiaTheme="minorEastAsia" w:hAnsi="Sylfaen" w:cs="Sylfaen"/>
        </w:rPr>
        <w:t>წლიური</w:t>
      </w:r>
      <w:r w:rsidRPr="001352AB">
        <w:rPr>
          <w:rFonts w:eastAsiaTheme="minorEastAsia"/>
        </w:rPr>
        <w:t xml:space="preserve"> </w:t>
      </w:r>
      <w:r w:rsidRPr="001352AB">
        <w:rPr>
          <w:rFonts w:ascii="Sylfaen" w:eastAsiaTheme="minorEastAsia" w:hAnsi="Sylfaen" w:cs="Sylfaen"/>
        </w:rPr>
        <w:t>ემისია</w:t>
      </w:r>
      <w:r w:rsidRPr="001352AB">
        <w:rPr>
          <w:rFonts w:eastAsiaTheme="minorEastAsia"/>
        </w:rPr>
        <w:t xml:space="preserve"> </w:t>
      </w:r>
      <w:r w:rsidRPr="001352AB">
        <w:rPr>
          <w:rFonts w:ascii="Sylfaen" w:eastAsiaTheme="minorEastAsia" w:hAnsi="Sylfaen" w:cs="Sylfaen"/>
        </w:rPr>
        <w:t>გაიანგარიშება</w:t>
      </w:r>
      <w:r w:rsidRPr="001352AB">
        <w:rPr>
          <w:rFonts w:eastAsiaTheme="minorEastAsia"/>
        </w:rPr>
        <w:t xml:space="preserve"> </w:t>
      </w:r>
      <w:r w:rsidRPr="001352AB">
        <w:rPr>
          <w:rFonts w:ascii="Sylfaen" w:eastAsiaTheme="minorEastAsia" w:hAnsi="Sylfaen" w:cs="Sylfaen"/>
        </w:rPr>
        <w:t>ფორმულით</w:t>
      </w:r>
      <w:r w:rsidRPr="001352AB">
        <w:rPr>
          <w:rFonts w:eastAsiaTheme="minorEastAsia"/>
        </w:rPr>
        <w:t>:</w:t>
      </w:r>
    </w:p>
    <w:p w14:paraId="1893CB5A" w14:textId="77777777" w:rsidR="00CD64B5" w:rsidRPr="001352AB" w:rsidRDefault="00CD64B5" w:rsidP="00CD64B5">
      <w:pPr>
        <w:spacing w:before="120" w:after="120"/>
        <w:rPr>
          <w:rFonts w:eastAsiaTheme="minorEastAsia"/>
        </w:rPr>
      </w:pPr>
      <w:r w:rsidRPr="001352AB">
        <w:rPr>
          <w:rFonts w:eastAsiaTheme="minorEastAsia"/>
        </w:rPr>
        <w:t xml:space="preserve">G = (У2 · Воз + У3 · Ввл) · Kmaxp · 10-6 + Gхр · Kнп · N, </w:t>
      </w:r>
      <w:r w:rsidRPr="001352AB">
        <w:rPr>
          <w:rFonts w:ascii="Sylfaen" w:eastAsiaTheme="minorEastAsia" w:hAnsi="Sylfaen" w:cs="Sylfaen"/>
        </w:rPr>
        <w:t>ტ</w:t>
      </w:r>
      <w:r w:rsidRPr="001352AB">
        <w:rPr>
          <w:rFonts w:eastAsiaTheme="minorEastAsia"/>
        </w:rPr>
        <w:t>/</w:t>
      </w:r>
      <w:r w:rsidRPr="001352AB">
        <w:rPr>
          <w:rFonts w:ascii="Sylfaen" w:eastAsiaTheme="minorEastAsia" w:hAnsi="Sylfaen" w:cs="Sylfaen"/>
        </w:rPr>
        <w:t>წელ</w:t>
      </w:r>
      <w:r w:rsidRPr="001352AB">
        <w:rPr>
          <w:rFonts w:eastAsiaTheme="minorEastAsia"/>
        </w:rPr>
        <w:t>.</w:t>
      </w:r>
    </w:p>
    <w:p w14:paraId="78ECFAA2"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სადაც</w:t>
      </w:r>
      <w:r w:rsidRPr="001352AB">
        <w:rPr>
          <w:rFonts w:eastAsiaTheme="minorEastAsia"/>
        </w:rPr>
        <w:t>: У2,У3 –</w:t>
      </w:r>
      <w:r w:rsidRPr="001352AB">
        <w:rPr>
          <w:rFonts w:ascii="Sylfaen" w:eastAsiaTheme="minorEastAsia" w:hAnsi="Sylfaen" w:cs="Sylfaen"/>
        </w:rPr>
        <w:t>საშუალო</w:t>
      </w:r>
      <w:r w:rsidRPr="001352AB">
        <w:rPr>
          <w:rFonts w:eastAsiaTheme="minorEastAsia"/>
        </w:rPr>
        <w:t xml:space="preserve"> </w:t>
      </w:r>
      <w:r w:rsidRPr="001352AB">
        <w:rPr>
          <w:rFonts w:ascii="Sylfaen" w:eastAsiaTheme="minorEastAsia" w:hAnsi="Sylfaen" w:cs="Sylfaen"/>
        </w:rPr>
        <w:t>კუთრი</w:t>
      </w:r>
      <w:r w:rsidRPr="001352AB">
        <w:rPr>
          <w:rFonts w:eastAsiaTheme="minorEastAsia"/>
        </w:rPr>
        <w:t xml:space="preserve"> </w:t>
      </w:r>
      <w:r w:rsidRPr="001352AB">
        <w:rPr>
          <w:rFonts w:ascii="Sylfaen" w:eastAsiaTheme="minorEastAsia" w:hAnsi="Sylfaen" w:cs="Sylfaen"/>
        </w:rPr>
        <w:t>ემისია</w:t>
      </w:r>
      <w:r w:rsidRPr="001352AB">
        <w:rPr>
          <w:rFonts w:eastAsiaTheme="minorEastAsia"/>
        </w:rPr>
        <w:t xml:space="preserve"> </w:t>
      </w:r>
      <w:r w:rsidRPr="001352AB">
        <w:rPr>
          <w:rFonts w:ascii="Sylfaen" w:eastAsiaTheme="minorEastAsia" w:hAnsi="Sylfaen" w:cs="Sylfaen"/>
        </w:rPr>
        <w:t>რეზერვუარიდან</w:t>
      </w:r>
      <w:r w:rsidRPr="001352AB">
        <w:rPr>
          <w:rFonts w:eastAsiaTheme="minorEastAsia"/>
        </w:rPr>
        <w:t xml:space="preserve"> </w:t>
      </w:r>
      <w:r w:rsidRPr="001352AB">
        <w:rPr>
          <w:rFonts w:ascii="Sylfaen" w:eastAsiaTheme="minorEastAsia" w:hAnsi="Sylfaen" w:cs="Sylfaen"/>
        </w:rPr>
        <w:t>შესაბამისად</w:t>
      </w:r>
      <w:r w:rsidRPr="001352AB">
        <w:rPr>
          <w:rFonts w:eastAsiaTheme="minorEastAsia"/>
        </w:rPr>
        <w:t xml:space="preserve"> </w:t>
      </w:r>
      <w:r w:rsidRPr="001352AB">
        <w:rPr>
          <w:rFonts w:ascii="Sylfaen" w:eastAsiaTheme="minorEastAsia" w:hAnsi="Sylfaen" w:cs="Sylfaen"/>
        </w:rPr>
        <w:t>წლის</w:t>
      </w:r>
      <w:r w:rsidRPr="001352AB">
        <w:rPr>
          <w:rFonts w:eastAsiaTheme="minorEastAsia"/>
        </w:rPr>
        <w:t xml:space="preserve"> </w:t>
      </w:r>
      <w:r w:rsidRPr="001352AB">
        <w:rPr>
          <w:rFonts w:ascii="Sylfaen" w:eastAsiaTheme="minorEastAsia" w:hAnsi="Sylfaen" w:cs="Sylfaen"/>
        </w:rPr>
        <w:t>განმავლობაში</w:t>
      </w:r>
      <w:r w:rsidRPr="001352AB">
        <w:rPr>
          <w:rFonts w:eastAsiaTheme="minorEastAsia"/>
        </w:rPr>
        <w:t xml:space="preserve"> </w:t>
      </w:r>
      <w:r w:rsidRPr="001352AB">
        <w:rPr>
          <w:rFonts w:ascii="Sylfaen" w:eastAsiaTheme="minorEastAsia" w:hAnsi="Sylfaen" w:cs="Sylfaen"/>
        </w:rPr>
        <w:t>შემოდგომა</w:t>
      </w:r>
      <w:r w:rsidRPr="001352AB">
        <w:rPr>
          <w:rFonts w:eastAsiaTheme="minorEastAsia"/>
        </w:rPr>
        <w:t>-</w:t>
      </w:r>
      <w:r w:rsidRPr="001352AB">
        <w:rPr>
          <w:rFonts w:ascii="Sylfaen" w:eastAsiaTheme="minorEastAsia" w:hAnsi="Sylfaen" w:cs="Sylfaen"/>
        </w:rPr>
        <w:t>ზამთრის</w:t>
      </w:r>
      <w:r w:rsidRPr="001352AB">
        <w:rPr>
          <w:rFonts w:eastAsiaTheme="minorEastAsia"/>
        </w:rPr>
        <w:t xml:space="preserve"> </w:t>
      </w:r>
      <w:r w:rsidRPr="001352AB">
        <w:rPr>
          <w:rFonts w:ascii="Sylfaen" w:eastAsiaTheme="minorEastAsia" w:hAnsi="Sylfaen" w:cs="Sylfaen"/>
        </w:rPr>
        <w:t>და</w:t>
      </w:r>
      <w:r w:rsidRPr="001352AB">
        <w:rPr>
          <w:rFonts w:eastAsiaTheme="minorEastAsia"/>
        </w:rPr>
        <w:t xml:space="preserve"> </w:t>
      </w:r>
      <w:r w:rsidRPr="001352AB">
        <w:rPr>
          <w:rFonts w:ascii="Sylfaen" w:eastAsiaTheme="minorEastAsia" w:hAnsi="Sylfaen" w:cs="Sylfaen"/>
        </w:rPr>
        <w:t>გაზაფხულ</w:t>
      </w:r>
      <w:r w:rsidRPr="001352AB">
        <w:rPr>
          <w:rFonts w:eastAsiaTheme="minorEastAsia"/>
        </w:rPr>
        <w:t>-</w:t>
      </w:r>
      <w:r w:rsidRPr="001352AB">
        <w:rPr>
          <w:rFonts w:ascii="Sylfaen" w:eastAsiaTheme="minorEastAsia" w:hAnsi="Sylfaen" w:cs="Sylfaen"/>
        </w:rPr>
        <w:t>ზაფხულის</w:t>
      </w:r>
      <w:r w:rsidRPr="001352AB">
        <w:rPr>
          <w:rFonts w:eastAsiaTheme="minorEastAsia"/>
        </w:rPr>
        <w:t xml:space="preserve"> </w:t>
      </w:r>
      <w:r w:rsidRPr="001352AB">
        <w:rPr>
          <w:rFonts w:ascii="Sylfaen" w:eastAsiaTheme="minorEastAsia" w:hAnsi="Sylfaen" w:cs="Sylfaen"/>
        </w:rPr>
        <w:t>პერიოდებისათვის</w:t>
      </w:r>
      <w:r w:rsidRPr="001352AB">
        <w:rPr>
          <w:rFonts w:eastAsiaTheme="minorEastAsia"/>
        </w:rPr>
        <w:t xml:space="preserve">, </w:t>
      </w:r>
      <w:r w:rsidRPr="001352AB">
        <w:rPr>
          <w:rFonts w:ascii="Sylfaen" w:eastAsiaTheme="minorEastAsia" w:hAnsi="Sylfaen" w:cs="Sylfaen"/>
        </w:rPr>
        <w:t>გ</w:t>
      </w:r>
      <w:r w:rsidRPr="001352AB">
        <w:rPr>
          <w:rFonts w:eastAsiaTheme="minorEastAsia"/>
        </w:rPr>
        <w:t>/</w:t>
      </w:r>
      <w:r w:rsidRPr="001352AB">
        <w:rPr>
          <w:rFonts w:ascii="Sylfaen" w:eastAsiaTheme="minorEastAsia" w:hAnsi="Sylfaen" w:cs="Sylfaen"/>
        </w:rPr>
        <w:t>ტ</w:t>
      </w:r>
      <w:r w:rsidRPr="001352AB">
        <w:rPr>
          <w:rFonts w:eastAsiaTheme="minorEastAsia"/>
        </w:rPr>
        <w:t xml:space="preserve">. </w:t>
      </w:r>
      <w:r w:rsidRPr="001352AB">
        <w:rPr>
          <w:rFonts w:ascii="Sylfaen" w:eastAsiaTheme="minorEastAsia" w:hAnsi="Sylfaen" w:cs="Sylfaen"/>
        </w:rPr>
        <w:t>მიიღება</w:t>
      </w:r>
      <w:r w:rsidRPr="001352AB">
        <w:rPr>
          <w:rFonts w:eastAsiaTheme="minorEastAsia"/>
        </w:rPr>
        <w:t xml:space="preserve"> </w:t>
      </w:r>
      <w:r w:rsidRPr="001352AB">
        <w:rPr>
          <w:rFonts w:ascii="Sylfaen" w:eastAsiaTheme="minorEastAsia" w:hAnsi="Sylfaen" w:cs="Sylfaen"/>
        </w:rPr>
        <w:t>დანართი</w:t>
      </w:r>
      <w:r w:rsidRPr="001352AB">
        <w:rPr>
          <w:rFonts w:eastAsiaTheme="minorEastAsia"/>
        </w:rPr>
        <w:t xml:space="preserve"> 12-</w:t>
      </w:r>
      <w:r w:rsidRPr="001352AB">
        <w:rPr>
          <w:rFonts w:ascii="Sylfaen" w:eastAsiaTheme="minorEastAsia" w:hAnsi="Sylfaen" w:cs="Sylfaen"/>
        </w:rPr>
        <w:t>ის</w:t>
      </w:r>
      <w:r w:rsidRPr="001352AB">
        <w:rPr>
          <w:rFonts w:eastAsiaTheme="minorEastAsia"/>
        </w:rPr>
        <w:t xml:space="preserve"> </w:t>
      </w:r>
      <w:r w:rsidRPr="001352AB">
        <w:rPr>
          <w:rFonts w:ascii="Sylfaen" w:eastAsiaTheme="minorEastAsia" w:hAnsi="Sylfaen" w:cs="Sylfaen"/>
        </w:rPr>
        <w:t>მიხედვით</w:t>
      </w:r>
      <w:r w:rsidRPr="001352AB">
        <w:rPr>
          <w:rFonts w:eastAsiaTheme="minorEastAsia"/>
        </w:rPr>
        <w:t>.</w:t>
      </w:r>
    </w:p>
    <w:p w14:paraId="365808DF" w14:textId="77777777" w:rsidR="00CD64B5" w:rsidRPr="001352AB" w:rsidRDefault="00CD64B5" w:rsidP="00CD64B5">
      <w:pPr>
        <w:spacing w:before="120" w:after="120"/>
        <w:rPr>
          <w:rFonts w:eastAsiaTheme="minorEastAsia"/>
        </w:rPr>
      </w:pPr>
      <w:r w:rsidRPr="001352AB">
        <w:rPr>
          <w:rFonts w:eastAsiaTheme="minorEastAsia"/>
        </w:rPr>
        <w:lastRenderedPageBreak/>
        <w:t xml:space="preserve">Bоз,Bвл – </w:t>
      </w:r>
      <w:r w:rsidRPr="001352AB">
        <w:rPr>
          <w:rFonts w:ascii="Sylfaen" w:eastAsiaTheme="minorEastAsia" w:hAnsi="Sylfaen" w:cs="Sylfaen"/>
        </w:rPr>
        <w:t>სითხის</w:t>
      </w:r>
      <w:r w:rsidRPr="001352AB">
        <w:rPr>
          <w:rFonts w:eastAsiaTheme="minorEastAsia"/>
        </w:rPr>
        <w:t xml:space="preserve"> </w:t>
      </w:r>
      <w:r w:rsidRPr="001352AB">
        <w:rPr>
          <w:rFonts w:ascii="Sylfaen" w:eastAsiaTheme="minorEastAsia" w:hAnsi="Sylfaen" w:cs="Sylfaen"/>
        </w:rPr>
        <w:t>რ</w:t>
      </w:r>
      <w:r w:rsidRPr="001352AB">
        <w:rPr>
          <w:rFonts w:eastAsiaTheme="minorEastAsia"/>
        </w:rPr>
        <w:t>-</w:t>
      </w:r>
      <w:r w:rsidRPr="001352AB">
        <w:rPr>
          <w:rFonts w:ascii="Sylfaen" w:eastAsiaTheme="minorEastAsia" w:hAnsi="Sylfaen" w:cs="Sylfaen"/>
        </w:rPr>
        <w:t>ბა</w:t>
      </w:r>
      <w:r w:rsidRPr="001352AB">
        <w:rPr>
          <w:rFonts w:eastAsiaTheme="minorEastAsia"/>
        </w:rPr>
        <w:t xml:space="preserve">, </w:t>
      </w:r>
      <w:r w:rsidRPr="001352AB">
        <w:rPr>
          <w:rFonts w:ascii="Sylfaen" w:eastAsiaTheme="minorEastAsia" w:hAnsi="Sylfaen" w:cs="Sylfaen"/>
        </w:rPr>
        <w:t>რომელიც</w:t>
      </w:r>
      <w:r w:rsidRPr="001352AB">
        <w:rPr>
          <w:rFonts w:eastAsiaTheme="minorEastAsia"/>
        </w:rPr>
        <w:t xml:space="preserve"> </w:t>
      </w:r>
      <w:r w:rsidRPr="001352AB">
        <w:rPr>
          <w:rFonts w:ascii="Sylfaen" w:eastAsiaTheme="minorEastAsia" w:hAnsi="Sylfaen" w:cs="Sylfaen"/>
        </w:rPr>
        <w:t>ჩაიტვირთება</w:t>
      </w:r>
      <w:r w:rsidRPr="001352AB">
        <w:rPr>
          <w:rFonts w:eastAsiaTheme="minorEastAsia"/>
        </w:rPr>
        <w:t xml:space="preserve"> </w:t>
      </w:r>
      <w:r w:rsidRPr="001352AB">
        <w:rPr>
          <w:rFonts w:ascii="Sylfaen" w:eastAsiaTheme="minorEastAsia" w:hAnsi="Sylfaen" w:cs="Sylfaen"/>
        </w:rPr>
        <w:t>რეზერვუარში</w:t>
      </w:r>
      <w:r w:rsidRPr="001352AB">
        <w:rPr>
          <w:rFonts w:eastAsiaTheme="minorEastAsia"/>
        </w:rPr>
        <w:t xml:space="preserve"> </w:t>
      </w:r>
      <w:r w:rsidRPr="001352AB">
        <w:rPr>
          <w:rFonts w:ascii="Sylfaen" w:eastAsiaTheme="minorEastAsia" w:hAnsi="Sylfaen" w:cs="Sylfaen"/>
        </w:rPr>
        <w:t>შემოდგომა</w:t>
      </w:r>
      <w:r w:rsidRPr="001352AB">
        <w:rPr>
          <w:rFonts w:eastAsiaTheme="minorEastAsia"/>
        </w:rPr>
        <w:t>-</w:t>
      </w:r>
      <w:r w:rsidRPr="001352AB">
        <w:rPr>
          <w:rFonts w:ascii="Sylfaen" w:eastAsiaTheme="minorEastAsia" w:hAnsi="Sylfaen" w:cs="Sylfaen"/>
        </w:rPr>
        <w:t>ზამთრის</w:t>
      </w:r>
      <w:r w:rsidRPr="001352AB">
        <w:rPr>
          <w:rFonts w:eastAsiaTheme="minorEastAsia"/>
        </w:rPr>
        <w:t xml:space="preserve"> </w:t>
      </w:r>
      <w:r w:rsidRPr="001352AB">
        <w:rPr>
          <w:rFonts w:ascii="Sylfaen" w:eastAsiaTheme="minorEastAsia" w:hAnsi="Sylfaen" w:cs="Sylfaen"/>
        </w:rPr>
        <w:t>და</w:t>
      </w:r>
      <w:r w:rsidRPr="001352AB">
        <w:rPr>
          <w:rFonts w:eastAsiaTheme="minorEastAsia"/>
        </w:rPr>
        <w:t xml:space="preserve"> </w:t>
      </w:r>
      <w:r w:rsidRPr="001352AB">
        <w:rPr>
          <w:rFonts w:ascii="Sylfaen" w:eastAsiaTheme="minorEastAsia" w:hAnsi="Sylfaen" w:cs="Sylfaen"/>
        </w:rPr>
        <w:t>გაზაფხულ</w:t>
      </w:r>
      <w:r w:rsidRPr="001352AB">
        <w:rPr>
          <w:rFonts w:eastAsiaTheme="minorEastAsia"/>
        </w:rPr>
        <w:t>-</w:t>
      </w:r>
      <w:r w:rsidRPr="001352AB">
        <w:rPr>
          <w:rFonts w:ascii="Sylfaen" w:eastAsiaTheme="minorEastAsia" w:hAnsi="Sylfaen" w:cs="Sylfaen"/>
        </w:rPr>
        <w:t>ზაფხულის</w:t>
      </w:r>
      <w:r w:rsidRPr="001352AB">
        <w:rPr>
          <w:rFonts w:eastAsiaTheme="minorEastAsia"/>
        </w:rPr>
        <w:t xml:space="preserve"> </w:t>
      </w:r>
      <w:r w:rsidRPr="001352AB">
        <w:rPr>
          <w:rFonts w:ascii="Sylfaen" w:eastAsiaTheme="minorEastAsia" w:hAnsi="Sylfaen" w:cs="Sylfaen"/>
        </w:rPr>
        <w:t>პერიოდებისათვის</w:t>
      </w:r>
      <w:r w:rsidRPr="001352AB">
        <w:rPr>
          <w:rFonts w:eastAsiaTheme="minorEastAsia"/>
        </w:rPr>
        <w:t xml:space="preserve">, </w:t>
      </w:r>
      <w:r w:rsidRPr="001352AB">
        <w:rPr>
          <w:rFonts w:ascii="Sylfaen" w:eastAsiaTheme="minorEastAsia" w:hAnsi="Sylfaen" w:cs="Sylfaen"/>
        </w:rPr>
        <w:t>ტ</w:t>
      </w:r>
      <w:r w:rsidRPr="001352AB">
        <w:rPr>
          <w:rFonts w:eastAsiaTheme="minorEastAsia"/>
        </w:rPr>
        <w:t xml:space="preserve">. </w:t>
      </w:r>
    </w:p>
    <w:p w14:paraId="6A591BC4" w14:textId="77777777" w:rsidR="00CD64B5" w:rsidRPr="001352AB" w:rsidRDefault="00CD64B5" w:rsidP="00CD64B5">
      <w:pPr>
        <w:spacing w:before="120" w:after="120"/>
        <w:rPr>
          <w:rFonts w:eastAsiaTheme="minorEastAsia"/>
        </w:rPr>
      </w:pPr>
      <w:r w:rsidRPr="001352AB">
        <w:rPr>
          <w:rFonts w:eastAsiaTheme="minorEastAsia"/>
        </w:rPr>
        <w:t xml:space="preserve">Kmaxp - </w:t>
      </w:r>
      <w:r w:rsidRPr="001352AB">
        <w:rPr>
          <w:rFonts w:ascii="Sylfaen" w:eastAsiaTheme="minorEastAsia" w:hAnsi="Sylfaen" w:cs="Sylfaen"/>
        </w:rPr>
        <w:t>ცდით</w:t>
      </w:r>
      <w:r w:rsidRPr="001352AB">
        <w:rPr>
          <w:rFonts w:eastAsiaTheme="minorEastAsia"/>
        </w:rPr>
        <w:t xml:space="preserve"> </w:t>
      </w:r>
      <w:r w:rsidRPr="001352AB">
        <w:rPr>
          <w:rFonts w:ascii="Sylfaen" w:eastAsiaTheme="minorEastAsia" w:hAnsi="Sylfaen" w:cs="Sylfaen"/>
        </w:rPr>
        <w:t>მიღებული</w:t>
      </w:r>
      <w:r w:rsidRPr="001352AB">
        <w:rPr>
          <w:rFonts w:eastAsiaTheme="minorEastAsia"/>
        </w:rPr>
        <w:t xml:space="preserve"> </w:t>
      </w:r>
      <w:r w:rsidRPr="001352AB">
        <w:rPr>
          <w:rFonts w:ascii="Sylfaen" w:eastAsiaTheme="minorEastAsia" w:hAnsi="Sylfaen" w:cs="Sylfaen"/>
        </w:rPr>
        <w:t>კოეფიციენტი</w:t>
      </w:r>
      <w:r w:rsidRPr="001352AB">
        <w:rPr>
          <w:rFonts w:eastAsiaTheme="minorEastAsia"/>
        </w:rPr>
        <w:t xml:space="preserve">, </w:t>
      </w:r>
      <w:r w:rsidRPr="001352AB">
        <w:rPr>
          <w:rFonts w:ascii="Sylfaen" w:eastAsiaTheme="minorEastAsia" w:hAnsi="Sylfaen" w:cs="Sylfaen"/>
        </w:rPr>
        <w:t>მიიღება</w:t>
      </w:r>
      <w:r w:rsidRPr="001352AB">
        <w:rPr>
          <w:rFonts w:eastAsiaTheme="minorEastAsia"/>
        </w:rPr>
        <w:t xml:space="preserve"> </w:t>
      </w:r>
      <w:r w:rsidRPr="001352AB">
        <w:rPr>
          <w:rFonts w:ascii="Sylfaen" w:eastAsiaTheme="minorEastAsia" w:hAnsi="Sylfaen" w:cs="Sylfaen"/>
        </w:rPr>
        <w:t>დანართ</w:t>
      </w:r>
      <w:r w:rsidRPr="001352AB">
        <w:rPr>
          <w:rFonts w:eastAsiaTheme="minorEastAsia"/>
        </w:rPr>
        <w:t xml:space="preserve"> 8-</w:t>
      </w:r>
      <w:r w:rsidRPr="001352AB">
        <w:rPr>
          <w:rFonts w:ascii="Sylfaen" w:eastAsiaTheme="minorEastAsia" w:hAnsi="Sylfaen" w:cs="Sylfaen"/>
        </w:rPr>
        <w:t>ს</w:t>
      </w:r>
      <w:r w:rsidRPr="001352AB">
        <w:rPr>
          <w:rFonts w:eastAsiaTheme="minorEastAsia"/>
        </w:rPr>
        <w:t xml:space="preserve"> </w:t>
      </w:r>
      <w:r w:rsidRPr="001352AB">
        <w:rPr>
          <w:rFonts w:ascii="Sylfaen" w:eastAsiaTheme="minorEastAsia" w:hAnsi="Sylfaen" w:cs="Sylfaen"/>
        </w:rPr>
        <w:t>მიხედვით</w:t>
      </w:r>
      <w:r w:rsidRPr="001352AB">
        <w:rPr>
          <w:rFonts w:eastAsiaTheme="minorEastAsia"/>
        </w:rPr>
        <w:t xml:space="preserve">. </w:t>
      </w:r>
    </w:p>
    <w:p w14:paraId="778B165A" w14:textId="77777777" w:rsidR="00CD64B5" w:rsidRPr="001352AB" w:rsidRDefault="00CD64B5" w:rsidP="00CD64B5">
      <w:pPr>
        <w:spacing w:before="120" w:after="120"/>
        <w:rPr>
          <w:rFonts w:eastAsiaTheme="minorEastAsia"/>
        </w:rPr>
      </w:pPr>
      <w:r w:rsidRPr="001352AB">
        <w:rPr>
          <w:rFonts w:eastAsiaTheme="minorEastAsia"/>
        </w:rPr>
        <w:t xml:space="preserve">Gxp - </w:t>
      </w:r>
      <w:r w:rsidRPr="001352AB">
        <w:rPr>
          <w:rFonts w:ascii="Sylfaen" w:eastAsiaTheme="minorEastAsia" w:hAnsi="Sylfaen" w:cs="Sylfaen"/>
        </w:rPr>
        <w:t>ნავთობპროდუქტების</w:t>
      </w:r>
      <w:r w:rsidRPr="001352AB">
        <w:rPr>
          <w:rFonts w:eastAsiaTheme="minorEastAsia"/>
        </w:rPr>
        <w:t xml:space="preserve"> </w:t>
      </w:r>
      <w:r w:rsidRPr="001352AB">
        <w:rPr>
          <w:rFonts w:ascii="Sylfaen" w:eastAsiaTheme="minorEastAsia" w:hAnsi="Sylfaen" w:cs="Sylfaen"/>
        </w:rPr>
        <w:t>ორთქლის</w:t>
      </w:r>
      <w:r w:rsidRPr="001352AB">
        <w:rPr>
          <w:rFonts w:eastAsiaTheme="minorEastAsia"/>
        </w:rPr>
        <w:t xml:space="preserve">  </w:t>
      </w:r>
      <w:r w:rsidRPr="001352AB">
        <w:rPr>
          <w:rFonts w:ascii="Sylfaen" w:eastAsiaTheme="minorEastAsia" w:hAnsi="Sylfaen" w:cs="Sylfaen"/>
        </w:rPr>
        <w:t>ემისია</w:t>
      </w:r>
      <w:r w:rsidRPr="001352AB">
        <w:rPr>
          <w:rFonts w:eastAsiaTheme="minorEastAsia"/>
        </w:rPr>
        <w:t xml:space="preserve"> </w:t>
      </w:r>
      <w:r w:rsidRPr="001352AB">
        <w:rPr>
          <w:rFonts w:ascii="Sylfaen" w:eastAsiaTheme="minorEastAsia" w:hAnsi="Sylfaen" w:cs="Sylfaen"/>
        </w:rPr>
        <w:t>ერთ</w:t>
      </w:r>
      <w:r w:rsidRPr="001352AB">
        <w:rPr>
          <w:rFonts w:eastAsiaTheme="minorEastAsia"/>
        </w:rPr>
        <w:t xml:space="preserve"> </w:t>
      </w:r>
      <w:r w:rsidRPr="001352AB">
        <w:rPr>
          <w:rFonts w:ascii="Sylfaen" w:eastAsiaTheme="minorEastAsia" w:hAnsi="Sylfaen" w:cs="Sylfaen"/>
        </w:rPr>
        <w:t>რეზერვუარში</w:t>
      </w:r>
      <w:r w:rsidRPr="001352AB">
        <w:rPr>
          <w:rFonts w:eastAsiaTheme="minorEastAsia"/>
        </w:rPr>
        <w:t xml:space="preserve"> </w:t>
      </w:r>
      <w:r w:rsidRPr="001352AB">
        <w:rPr>
          <w:rFonts w:ascii="Sylfaen" w:eastAsiaTheme="minorEastAsia" w:hAnsi="Sylfaen" w:cs="Sylfaen"/>
        </w:rPr>
        <w:t>შენახვისას</w:t>
      </w:r>
      <w:r w:rsidRPr="001352AB">
        <w:rPr>
          <w:rFonts w:eastAsiaTheme="minorEastAsia"/>
        </w:rPr>
        <w:t xml:space="preserve">, </w:t>
      </w:r>
      <w:r w:rsidRPr="001352AB">
        <w:rPr>
          <w:rFonts w:ascii="Sylfaen" w:eastAsiaTheme="minorEastAsia" w:hAnsi="Sylfaen" w:cs="Sylfaen"/>
        </w:rPr>
        <w:t>ტ</w:t>
      </w:r>
      <w:r w:rsidRPr="001352AB">
        <w:rPr>
          <w:rFonts w:eastAsiaTheme="minorEastAsia"/>
        </w:rPr>
        <w:t>/</w:t>
      </w:r>
      <w:r w:rsidRPr="001352AB">
        <w:rPr>
          <w:rFonts w:ascii="Sylfaen" w:eastAsiaTheme="minorEastAsia" w:hAnsi="Sylfaen" w:cs="Sylfaen"/>
        </w:rPr>
        <w:t>წელ</w:t>
      </w:r>
      <w:r w:rsidRPr="001352AB">
        <w:rPr>
          <w:rFonts w:eastAsiaTheme="minorEastAsia"/>
        </w:rPr>
        <w:t xml:space="preserve">; </w:t>
      </w:r>
      <w:r w:rsidRPr="001352AB">
        <w:rPr>
          <w:rFonts w:ascii="Sylfaen" w:eastAsiaTheme="minorEastAsia" w:hAnsi="Sylfaen" w:cs="Sylfaen"/>
        </w:rPr>
        <w:t>მიიღება</w:t>
      </w:r>
      <w:r w:rsidRPr="001352AB">
        <w:rPr>
          <w:rFonts w:eastAsiaTheme="minorEastAsia"/>
        </w:rPr>
        <w:t xml:space="preserve"> </w:t>
      </w:r>
      <w:r w:rsidRPr="001352AB">
        <w:rPr>
          <w:rFonts w:ascii="Sylfaen" w:eastAsiaTheme="minorEastAsia" w:hAnsi="Sylfaen" w:cs="Sylfaen"/>
        </w:rPr>
        <w:t>დანართ</w:t>
      </w:r>
      <w:r w:rsidRPr="001352AB">
        <w:rPr>
          <w:rFonts w:eastAsiaTheme="minorEastAsia"/>
        </w:rPr>
        <w:t xml:space="preserve"> 13-</w:t>
      </w:r>
      <w:r w:rsidRPr="001352AB">
        <w:rPr>
          <w:rFonts w:ascii="Sylfaen" w:eastAsiaTheme="minorEastAsia" w:hAnsi="Sylfaen" w:cs="Sylfaen"/>
        </w:rPr>
        <w:t>ის</w:t>
      </w:r>
      <w:r w:rsidRPr="001352AB">
        <w:rPr>
          <w:rFonts w:eastAsiaTheme="minorEastAsia"/>
        </w:rPr>
        <w:t xml:space="preserve"> </w:t>
      </w:r>
      <w:r w:rsidRPr="001352AB">
        <w:rPr>
          <w:rFonts w:ascii="Sylfaen" w:eastAsiaTheme="minorEastAsia" w:hAnsi="Sylfaen" w:cs="Sylfaen"/>
        </w:rPr>
        <w:t>მიხედვით</w:t>
      </w:r>
      <w:r w:rsidRPr="001352AB">
        <w:rPr>
          <w:rFonts w:eastAsiaTheme="minorEastAsia"/>
        </w:rPr>
        <w:t xml:space="preserve">. </w:t>
      </w:r>
    </w:p>
    <w:p w14:paraId="2DE566F8" w14:textId="77777777" w:rsidR="00CD64B5" w:rsidRPr="001352AB" w:rsidRDefault="00CD64B5" w:rsidP="00CD64B5">
      <w:pPr>
        <w:spacing w:before="120" w:after="120"/>
        <w:rPr>
          <w:rFonts w:eastAsiaTheme="minorEastAsia"/>
        </w:rPr>
      </w:pPr>
      <w:r w:rsidRPr="001352AB">
        <w:rPr>
          <w:rFonts w:eastAsiaTheme="minorEastAsia"/>
        </w:rPr>
        <w:t>Kнп -</w:t>
      </w:r>
      <w:r w:rsidRPr="001352AB">
        <w:rPr>
          <w:rFonts w:ascii="Sylfaen" w:eastAsiaTheme="minorEastAsia" w:hAnsi="Sylfaen" w:cs="Sylfaen"/>
        </w:rPr>
        <w:t>ცდით</w:t>
      </w:r>
      <w:r w:rsidRPr="001352AB">
        <w:rPr>
          <w:rFonts w:eastAsiaTheme="minorEastAsia"/>
        </w:rPr>
        <w:t xml:space="preserve"> </w:t>
      </w:r>
      <w:r w:rsidRPr="001352AB">
        <w:rPr>
          <w:rFonts w:ascii="Sylfaen" w:eastAsiaTheme="minorEastAsia" w:hAnsi="Sylfaen" w:cs="Sylfaen"/>
        </w:rPr>
        <w:t>მიღებული</w:t>
      </w:r>
      <w:r w:rsidRPr="001352AB">
        <w:rPr>
          <w:rFonts w:eastAsiaTheme="minorEastAsia"/>
        </w:rPr>
        <w:t xml:space="preserve"> </w:t>
      </w:r>
      <w:r w:rsidRPr="001352AB">
        <w:rPr>
          <w:rFonts w:ascii="Sylfaen" w:eastAsiaTheme="minorEastAsia" w:hAnsi="Sylfaen" w:cs="Sylfaen"/>
        </w:rPr>
        <w:t>კოეფიციენტი</w:t>
      </w:r>
      <w:r w:rsidRPr="001352AB">
        <w:rPr>
          <w:rFonts w:eastAsiaTheme="minorEastAsia"/>
        </w:rPr>
        <w:t xml:space="preserve">, </w:t>
      </w:r>
      <w:r w:rsidRPr="001352AB">
        <w:rPr>
          <w:rFonts w:ascii="Sylfaen" w:eastAsiaTheme="minorEastAsia" w:hAnsi="Sylfaen" w:cs="Sylfaen"/>
        </w:rPr>
        <w:t>მიიღება</w:t>
      </w:r>
      <w:r w:rsidRPr="001352AB">
        <w:rPr>
          <w:rFonts w:eastAsiaTheme="minorEastAsia"/>
        </w:rPr>
        <w:t xml:space="preserve"> </w:t>
      </w:r>
      <w:r w:rsidRPr="001352AB">
        <w:rPr>
          <w:rFonts w:ascii="Sylfaen" w:eastAsiaTheme="minorEastAsia" w:hAnsi="Sylfaen" w:cs="Sylfaen"/>
        </w:rPr>
        <w:t>დანართ</w:t>
      </w:r>
      <w:r w:rsidRPr="001352AB">
        <w:rPr>
          <w:rFonts w:eastAsiaTheme="minorEastAsia"/>
        </w:rPr>
        <w:t xml:space="preserve"> 12-</w:t>
      </w:r>
      <w:r w:rsidRPr="001352AB">
        <w:rPr>
          <w:rFonts w:ascii="Sylfaen" w:eastAsiaTheme="minorEastAsia" w:hAnsi="Sylfaen" w:cs="Sylfaen"/>
        </w:rPr>
        <w:t>ს</w:t>
      </w:r>
      <w:r w:rsidRPr="001352AB">
        <w:rPr>
          <w:rFonts w:eastAsiaTheme="minorEastAsia"/>
        </w:rPr>
        <w:t xml:space="preserve"> </w:t>
      </w:r>
      <w:r w:rsidRPr="001352AB">
        <w:rPr>
          <w:rFonts w:ascii="Sylfaen" w:eastAsiaTheme="minorEastAsia" w:hAnsi="Sylfaen" w:cs="Sylfaen"/>
        </w:rPr>
        <w:t>მიხედვით</w:t>
      </w:r>
      <w:r w:rsidRPr="001352AB">
        <w:rPr>
          <w:rFonts w:eastAsiaTheme="minorEastAsia"/>
        </w:rPr>
        <w:t xml:space="preserve">. </w:t>
      </w:r>
    </w:p>
    <w:p w14:paraId="54ABFDB4" w14:textId="77777777" w:rsidR="00CD64B5" w:rsidRPr="001352AB" w:rsidRDefault="00CD64B5" w:rsidP="00CD64B5">
      <w:pPr>
        <w:spacing w:before="120" w:after="120"/>
        <w:rPr>
          <w:rFonts w:eastAsiaTheme="minorEastAsia"/>
        </w:rPr>
      </w:pPr>
      <w:r w:rsidRPr="001352AB">
        <w:rPr>
          <w:rFonts w:eastAsiaTheme="minorEastAsia"/>
        </w:rPr>
        <w:t xml:space="preserve">N - </w:t>
      </w:r>
      <w:r w:rsidRPr="001352AB">
        <w:rPr>
          <w:rFonts w:ascii="Sylfaen" w:eastAsiaTheme="minorEastAsia" w:hAnsi="Sylfaen" w:cs="Sylfaen"/>
        </w:rPr>
        <w:t>რეზერვუარების</w:t>
      </w:r>
      <w:r w:rsidRPr="001352AB">
        <w:rPr>
          <w:rFonts w:eastAsiaTheme="minorEastAsia"/>
        </w:rPr>
        <w:t xml:space="preserve"> </w:t>
      </w:r>
      <w:r w:rsidRPr="001352AB">
        <w:rPr>
          <w:rFonts w:ascii="Sylfaen" w:eastAsiaTheme="minorEastAsia" w:hAnsi="Sylfaen" w:cs="Sylfaen"/>
        </w:rPr>
        <w:t>რ</w:t>
      </w:r>
      <w:r w:rsidRPr="001352AB">
        <w:rPr>
          <w:rFonts w:eastAsiaTheme="minorEastAsia"/>
        </w:rPr>
        <w:t>-</w:t>
      </w:r>
      <w:r w:rsidRPr="001352AB">
        <w:rPr>
          <w:rFonts w:ascii="Sylfaen" w:eastAsiaTheme="minorEastAsia" w:hAnsi="Sylfaen" w:cs="Sylfaen"/>
        </w:rPr>
        <w:t>ბა</w:t>
      </w:r>
      <w:r w:rsidRPr="001352AB">
        <w:rPr>
          <w:rFonts w:eastAsiaTheme="minorEastAsia"/>
        </w:rPr>
        <w:t xml:space="preserve">. </w:t>
      </w:r>
    </w:p>
    <w:p w14:paraId="6530B269"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ატმოსფერულ</w:t>
      </w:r>
      <w:r w:rsidRPr="001352AB">
        <w:rPr>
          <w:rFonts w:eastAsiaTheme="minorEastAsia"/>
        </w:rPr>
        <w:t xml:space="preserve"> </w:t>
      </w:r>
      <w:r w:rsidRPr="001352AB">
        <w:rPr>
          <w:rFonts w:ascii="Sylfaen" w:eastAsiaTheme="minorEastAsia" w:hAnsi="Sylfaen" w:cs="Sylfaen"/>
        </w:rPr>
        <w:t>ჰაერში</w:t>
      </w:r>
      <w:r w:rsidRPr="001352AB">
        <w:rPr>
          <w:rFonts w:eastAsiaTheme="minorEastAsia"/>
        </w:rPr>
        <w:t xml:space="preserve"> </w:t>
      </w:r>
      <w:r w:rsidRPr="001352AB">
        <w:rPr>
          <w:rFonts w:ascii="Sylfaen" w:eastAsiaTheme="minorEastAsia" w:hAnsi="Sylfaen" w:cs="Sylfaen"/>
        </w:rPr>
        <w:t>დამაბინძურებელ</w:t>
      </w:r>
      <w:r w:rsidRPr="001352AB">
        <w:rPr>
          <w:rFonts w:eastAsiaTheme="minorEastAsia"/>
        </w:rPr>
        <w:t xml:space="preserve"> </w:t>
      </w:r>
      <w:r w:rsidRPr="001352AB">
        <w:rPr>
          <w:rFonts w:ascii="Sylfaen" w:eastAsiaTheme="minorEastAsia" w:hAnsi="Sylfaen" w:cs="Sylfaen"/>
        </w:rPr>
        <w:t>ნივთიერებათა</w:t>
      </w:r>
      <w:r w:rsidRPr="001352AB">
        <w:rPr>
          <w:rFonts w:eastAsiaTheme="minorEastAsia"/>
        </w:rPr>
        <w:t xml:space="preserve"> </w:t>
      </w:r>
      <w:r w:rsidRPr="001352AB">
        <w:rPr>
          <w:rFonts w:ascii="Sylfaen" w:eastAsiaTheme="minorEastAsia" w:hAnsi="Sylfaen" w:cs="Sylfaen"/>
        </w:rPr>
        <w:t>მაქსიმალური</w:t>
      </w:r>
      <w:r w:rsidRPr="001352AB">
        <w:rPr>
          <w:rFonts w:eastAsiaTheme="minorEastAsia"/>
        </w:rPr>
        <w:t xml:space="preserve"> </w:t>
      </w:r>
      <w:r w:rsidRPr="001352AB">
        <w:rPr>
          <w:rFonts w:ascii="Sylfaen" w:eastAsiaTheme="minorEastAsia" w:hAnsi="Sylfaen" w:cs="Sylfaen"/>
        </w:rPr>
        <w:t>ერთჯერადი</w:t>
      </w:r>
      <w:r w:rsidRPr="001352AB">
        <w:rPr>
          <w:rFonts w:eastAsiaTheme="minorEastAsia"/>
        </w:rPr>
        <w:t xml:space="preserve"> </w:t>
      </w:r>
      <w:r w:rsidRPr="001352AB">
        <w:rPr>
          <w:rFonts w:ascii="Sylfaen" w:eastAsiaTheme="minorEastAsia" w:hAnsi="Sylfaen" w:cs="Sylfaen"/>
        </w:rPr>
        <w:t>და</w:t>
      </w:r>
      <w:r w:rsidRPr="001352AB">
        <w:rPr>
          <w:rFonts w:eastAsiaTheme="minorEastAsia"/>
        </w:rPr>
        <w:t xml:space="preserve"> </w:t>
      </w:r>
      <w:r w:rsidRPr="001352AB">
        <w:rPr>
          <w:rFonts w:ascii="Sylfaen" w:eastAsiaTheme="minorEastAsia" w:hAnsi="Sylfaen" w:cs="Sylfaen"/>
        </w:rPr>
        <w:t>წლიური</w:t>
      </w:r>
      <w:r w:rsidRPr="001352AB">
        <w:rPr>
          <w:rFonts w:eastAsiaTheme="minorEastAsia"/>
        </w:rPr>
        <w:t xml:space="preserve"> </w:t>
      </w:r>
      <w:r w:rsidRPr="001352AB">
        <w:rPr>
          <w:rFonts w:ascii="Sylfaen" w:eastAsiaTheme="minorEastAsia" w:hAnsi="Sylfaen" w:cs="Sylfaen"/>
        </w:rPr>
        <w:t>გამოყოფის</w:t>
      </w:r>
      <w:r w:rsidRPr="001352AB">
        <w:rPr>
          <w:rFonts w:eastAsiaTheme="minorEastAsia"/>
        </w:rPr>
        <w:t xml:space="preserve"> </w:t>
      </w:r>
      <w:r w:rsidRPr="001352AB">
        <w:rPr>
          <w:rFonts w:ascii="Sylfaen" w:eastAsiaTheme="minorEastAsia" w:hAnsi="Sylfaen" w:cs="Sylfaen"/>
        </w:rPr>
        <w:t>გაანგარიშება</w:t>
      </w:r>
      <w:r w:rsidRPr="001352AB">
        <w:rPr>
          <w:rFonts w:eastAsiaTheme="minorEastAsia"/>
        </w:rPr>
        <w:t xml:space="preserve"> </w:t>
      </w:r>
      <w:r w:rsidRPr="001352AB">
        <w:rPr>
          <w:rFonts w:ascii="Sylfaen" w:eastAsiaTheme="minorEastAsia" w:hAnsi="Sylfaen" w:cs="Sylfaen"/>
        </w:rPr>
        <w:t>მოცემულია</w:t>
      </w:r>
      <w:r w:rsidRPr="001352AB">
        <w:rPr>
          <w:rFonts w:eastAsiaTheme="minorEastAsia"/>
        </w:rPr>
        <w:t xml:space="preserve"> </w:t>
      </w:r>
      <w:r w:rsidRPr="001352AB">
        <w:rPr>
          <w:rFonts w:ascii="Sylfaen" w:eastAsiaTheme="minorEastAsia" w:hAnsi="Sylfaen" w:cs="Sylfaen"/>
        </w:rPr>
        <w:t>ქვემოთ</w:t>
      </w:r>
      <w:r w:rsidRPr="001352AB">
        <w:rPr>
          <w:rFonts w:eastAsiaTheme="minorEastAsia"/>
        </w:rPr>
        <w:t xml:space="preserve">. </w:t>
      </w:r>
    </w:p>
    <w:p w14:paraId="1839660D"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დიზელის</w:t>
      </w:r>
      <w:r w:rsidRPr="001352AB">
        <w:rPr>
          <w:rFonts w:eastAsiaTheme="minorEastAsia"/>
        </w:rPr>
        <w:t xml:space="preserve"> </w:t>
      </w:r>
      <w:r w:rsidRPr="001352AB">
        <w:rPr>
          <w:rFonts w:ascii="Sylfaen" w:eastAsiaTheme="minorEastAsia" w:hAnsi="Sylfaen" w:cs="Sylfaen"/>
        </w:rPr>
        <w:t>საწვავი</w:t>
      </w:r>
      <w:r w:rsidRPr="001352AB">
        <w:rPr>
          <w:rFonts w:eastAsiaTheme="minorEastAsia"/>
        </w:rPr>
        <w:t xml:space="preserve"> </w:t>
      </w:r>
    </w:p>
    <w:p w14:paraId="6D0CB685" w14:textId="77777777" w:rsidR="00CD64B5" w:rsidRPr="001352AB" w:rsidRDefault="00CD64B5" w:rsidP="00CD64B5">
      <w:pPr>
        <w:spacing w:before="120" w:after="120"/>
        <w:rPr>
          <w:rFonts w:eastAsiaTheme="minorEastAsia"/>
        </w:rPr>
      </w:pPr>
      <w:r w:rsidRPr="001352AB">
        <w:rPr>
          <w:rFonts w:eastAsiaTheme="minorEastAsia"/>
        </w:rPr>
        <w:t xml:space="preserve">M = 3,92 · 0,1 · 30 / 3600 = 0,0032667 </w:t>
      </w:r>
      <w:r w:rsidRPr="001352AB">
        <w:rPr>
          <w:rFonts w:ascii="Sylfaen" w:eastAsiaTheme="minorEastAsia" w:hAnsi="Sylfaen" w:cs="Sylfaen"/>
        </w:rPr>
        <w:t>გ</w:t>
      </w:r>
      <w:r w:rsidRPr="001352AB">
        <w:rPr>
          <w:rFonts w:eastAsiaTheme="minorEastAsia"/>
        </w:rPr>
        <w:t>/</w:t>
      </w:r>
      <w:r w:rsidRPr="001352AB">
        <w:rPr>
          <w:rFonts w:ascii="Sylfaen" w:eastAsiaTheme="minorEastAsia" w:hAnsi="Sylfaen" w:cs="Sylfaen"/>
        </w:rPr>
        <w:t>წმ</w:t>
      </w:r>
      <w:r w:rsidRPr="001352AB">
        <w:rPr>
          <w:rFonts w:eastAsiaTheme="minorEastAsia"/>
        </w:rPr>
        <w:t>;</w:t>
      </w:r>
    </w:p>
    <w:p w14:paraId="1BC2F631" w14:textId="77777777" w:rsidR="00CD64B5" w:rsidRPr="001352AB" w:rsidRDefault="00CD64B5" w:rsidP="00CD64B5">
      <w:pPr>
        <w:spacing w:before="120" w:after="120"/>
        <w:rPr>
          <w:rFonts w:eastAsiaTheme="minorEastAsia"/>
        </w:rPr>
      </w:pPr>
      <w:r w:rsidRPr="001352AB">
        <w:rPr>
          <w:rFonts w:eastAsiaTheme="minorEastAsia"/>
        </w:rPr>
        <w:t xml:space="preserve">G = (2,36 · 312 + 3,15 · 312) · 0,1 · 10-6 + 0 · 0,0029 · 2 = 0,0001719 </w:t>
      </w:r>
      <w:r w:rsidRPr="001352AB">
        <w:rPr>
          <w:rFonts w:ascii="Sylfaen" w:eastAsiaTheme="minorEastAsia" w:hAnsi="Sylfaen" w:cs="Sylfaen"/>
        </w:rPr>
        <w:t>ტ</w:t>
      </w:r>
      <w:r w:rsidRPr="001352AB">
        <w:rPr>
          <w:rFonts w:eastAsiaTheme="minorEastAsia"/>
        </w:rPr>
        <w:t>/</w:t>
      </w:r>
      <w:r w:rsidRPr="001352AB">
        <w:rPr>
          <w:rFonts w:ascii="Sylfaen" w:eastAsiaTheme="minorEastAsia" w:hAnsi="Sylfaen" w:cs="Sylfaen"/>
        </w:rPr>
        <w:t>წელ</w:t>
      </w:r>
      <w:r w:rsidRPr="001352AB">
        <w:rPr>
          <w:rFonts w:eastAsiaTheme="minorEastAsia"/>
        </w:rPr>
        <w:t>;</w:t>
      </w:r>
    </w:p>
    <w:p w14:paraId="216B829B" w14:textId="77777777" w:rsidR="00CD64B5" w:rsidRPr="001352AB" w:rsidRDefault="00CD64B5" w:rsidP="00CD64B5">
      <w:pPr>
        <w:spacing w:before="120" w:after="120"/>
        <w:rPr>
          <w:rFonts w:eastAsiaTheme="minorEastAsia"/>
        </w:rPr>
      </w:pPr>
      <w:r w:rsidRPr="001352AB">
        <w:rPr>
          <w:rFonts w:eastAsiaTheme="minorEastAsia"/>
        </w:rPr>
        <w:t xml:space="preserve">333 </w:t>
      </w:r>
      <w:r w:rsidRPr="001352AB">
        <w:rPr>
          <w:rFonts w:ascii="Sylfaen" w:eastAsiaTheme="minorEastAsia" w:hAnsi="Sylfaen" w:cs="Sylfaen"/>
        </w:rPr>
        <w:t>დიჰიდროსულფიდი</w:t>
      </w:r>
      <w:r w:rsidRPr="001352AB">
        <w:rPr>
          <w:rFonts w:eastAsiaTheme="minorEastAsia"/>
        </w:rPr>
        <w:t xml:space="preserve"> (</w:t>
      </w:r>
      <w:r w:rsidRPr="001352AB">
        <w:rPr>
          <w:rFonts w:ascii="Sylfaen" w:eastAsiaTheme="minorEastAsia" w:hAnsi="Sylfaen" w:cs="Sylfaen"/>
        </w:rPr>
        <w:t>გოგირდწყალბადი</w:t>
      </w:r>
      <w:r w:rsidRPr="001352AB">
        <w:rPr>
          <w:rFonts w:eastAsiaTheme="minorEastAsia"/>
        </w:rPr>
        <w:t xml:space="preserve">) </w:t>
      </w:r>
    </w:p>
    <w:p w14:paraId="347E2EC1" w14:textId="77777777" w:rsidR="00CD64B5" w:rsidRPr="001352AB" w:rsidRDefault="00CD64B5" w:rsidP="00CD64B5">
      <w:pPr>
        <w:spacing w:before="120" w:after="120"/>
        <w:rPr>
          <w:rFonts w:eastAsiaTheme="minorEastAsia"/>
        </w:rPr>
      </w:pPr>
      <w:r w:rsidRPr="001352AB">
        <w:rPr>
          <w:rFonts w:eastAsiaTheme="minorEastAsia"/>
        </w:rPr>
        <w:t xml:space="preserve">M = 0,0032667 · 0,0028 = 0,0000091 </w:t>
      </w:r>
      <w:r w:rsidRPr="001352AB">
        <w:rPr>
          <w:rFonts w:ascii="Sylfaen" w:eastAsiaTheme="minorEastAsia" w:hAnsi="Sylfaen" w:cs="Sylfaen"/>
        </w:rPr>
        <w:t>გ</w:t>
      </w:r>
      <w:r w:rsidRPr="001352AB">
        <w:rPr>
          <w:rFonts w:eastAsiaTheme="minorEastAsia"/>
        </w:rPr>
        <w:t>/</w:t>
      </w:r>
      <w:r w:rsidRPr="001352AB">
        <w:rPr>
          <w:rFonts w:ascii="Sylfaen" w:eastAsiaTheme="minorEastAsia" w:hAnsi="Sylfaen" w:cs="Sylfaen"/>
        </w:rPr>
        <w:t>წმ</w:t>
      </w:r>
      <w:r w:rsidRPr="001352AB">
        <w:rPr>
          <w:rFonts w:eastAsiaTheme="minorEastAsia"/>
        </w:rPr>
        <w:t xml:space="preserve">; </w:t>
      </w:r>
    </w:p>
    <w:p w14:paraId="67D46FA9" w14:textId="77777777" w:rsidR="00CD64B5" w:rsidRPr="001352AB" w:rsidRDefault="00CD64B5" w:rsidP="00CD64B5">
      <w:pPr>
        <w:spacing w:before="120" w:after="120"/>
        <w:rPr>
          <w:rFonts w:eastAsiaTheme="minorEastAsia"/>
        </w:rPr>
      </w:pPr>
      <w:r w:rsidRPr="001352AB">
        <w:rPr>
          <w:rFonts w:eastAsiaTheme="minorEastAsia"/>
        </w:rPr>
        <w:t xml:space="preserve">G = 0,0001719 · 0,0028 = 0,0000005 </w:t>
      </w:r>
      <w:r w:rsidRPr="001352AB">
        <w:rPr>
          <w:rFonts w:ascii="Sylfaen" w:eastAsiaTheme="minorEastAsia" w:hAnsi="Sylfaen" w:cs="Sylfaen"/>
        </w:rPr>
        <w:t>ტ</w:t>
      </w:r>
      <w:r w:rsidRPr="001352AB">
        <w:rPr>
          <w:rFonts w:eastAsiaTheme="minorEastAsia"/>
        </w:rPr>
        <w:t>/</w:t>
      </w:r>
      <w:r w:rsidRPr="001352AB">
        <w:rPr>
          <w:rFonts w:ascii="Sylfaen" w:eastAsiaTheme="minorEastAsia" w:hAnsi="Sylfaen" w:cs="Sylfaen"/>
        </w:rPr>
        <w:t>წელ</w:t>
      </w:r>
      <w:r w:rsidRPr="001352AB">
        <w:rPr>
          <w:rFonts w:eastAsiaTheme="minorEastAsia"/>
        </w:rPr>
        <w:t xml:space="preserve">; </w:t>
      </w:r>
      <w:r w:rsidRPr="001352AB">
        <w:rPr>
          <w:rFonts w:eastAsiaTheme="minorEastAsia"/>
        </w:rPr>
        <w:tab/>
      </w:r>
    </w:p>
    <w:p w14:paraId="5BCCA685" w14:textId="77777777" w:rsidR="00CD64B5" w:rsidRPr="001352AB" w:rsidRDefault="00CD64B5" w:rsidP="00CD64B5">
      <w:pPr>
        <w:spacing w:before="120" w:after="120"/>
        <w:rPr>
          <w:rFonts w:eastAsiaTheme="minorEastAsia"/>
        </w:rPr>
      </w:pPr>
      <w:r w:rsidRPr="001352AB">
        <w:rPr>
          <w:rFonts w:eastAsiaTheme="minorEastAsia"/>
        </w:rPr>
        <w:t xml:space="preserve">2754 </w:t>
      </w:r>
      <w:r w:rsidRPr="001352AB">
        <w:rPr>
          <w:rFonts w:ascii="Sylfaen" w:eastAsiaTheme="minorEastAsia" w:hAnsi="Sylfaen" w:cs="Sylfaen"/>
        </w:rPr>
        <w:t>ალკანები</w:t>
      </w:r>
      <w:r w:rsidRPr="001352AB">
        <w:rPr>
          <w:rFonts w:eastAsiaTheme="minorEastAsia"/>
        </w:rPr>
        <w:t xml:space="preserve"> C12-C19 (</w:t>
      </w:r>
      <w:r w:rsidRPr="001352AB">
        <w:rPr>
          <w:rFonts w:ascii="Sylfaen" w:eastAsiaTheme="minorEastAsia" w:hAnsi="Sylfaen" w:cs="Sylfaen"/>
        </w:rPr>
        <w:t>ნაჯერი</w:t>
      </w:r>
      <w:r w:rsidRPr="001352AB">
        <w:rPr>
          <w:rFonts w:eastAsiaTheme="minorEastAsia"/>
        </w:rPr>
        <w:t xml:space="preserve"> </w:t>
      </w:r>
      <w:r w:rsidRPr="001352AB">
        <w:rPr>
          <w:rFonts w:ascii="Sylfaen" w:eastAsiaTheme="minorEastAsia" w:hAnsi="Sylfaen" w:cs="Sylfaen"/>
        </w:rPr>
        <w:t>ნახშირწყალბადები</w:t>
      </w:r>
      <w:r w:rsidRPr="001352AB">
        <w:rPr>
          <w:rFonts w:eastAsiaTheme="minorEastAsia"/>
        </w:rPr>
        <w:t xml:space="preserve"> C12-C19)</w:t>
      </w:r>
    </w:p>
    <w:p w14:paraId="551D2D62" w14:textId="77777777" w:rsidR="00CD64B5" w:rsidRPr="001352AB" w:rsidRDefault="00CD64B5" w:rsidP="00CD64B5">
      <w:pPr>
        <w:spacing w:before="120" w:after="120"/>
        <w:rPr>
          <w:rFonts w:eastAsiaTheme="minorEastAsia"/>
        </w:rPr>
      </w:pPr>
      <w:r w:rsidRPr="001352AB">
        <w:rPr>
          <w:rFonts w:eastAsiaTheme="minorEastAsia"/>
        </w:rPr>
        <w:t xml:space="preserve">M = 0,0032667 · 0,9972 = 0,0032575 </w:t>
      </w:r>
      <w:r w:rsidRPr="001352AB">
        <w:rPr>
          <w:rFonts w:ascii="Sylfaen" w:eastAsiaTheme="minorEastAsia" w:hAnsi="Sylfaen" w:cs="Sylfaen"/>
        </w:rPr>
        <w:t>გ</w:t>
      </w:r>
      <w:r w:rsidRPr="001352AB">
        <w:rPr>
          <w:rFonts w:eastAsiaTheme="minorEastAsia"/>
        </w:rPr>
        <w:t>/</w:t>
      </w:r>
      <w:r w:rsidRPr="001352AB">
        <w:rPr>
          <w:rFonts w:ascii="Sylfaen" w:eastAsiaTheme="minorEastAsia" w:hAnsi="Sylfaen" w:cs="Sylfaen"/>
        </w:rPr>
        <w:t>წმ</w:t>
      </w:r>
      <w:r w:rsidRPr="001352AB">
        <w:rPr>
          <w:rFonts w:eastAsiaTheme="minorEastAsia"/>
        </w:rPr>
        <w:t xml:space="preserve">; </w:t>
      </w:r>
    </w:p>
    <w:p w14:paraId="5B62E61C" w14:textId="77777777" w:rsidR="00CD64B5" w:rsidRPr="001352AB" w:rsidRDefault="00CD64B5" w:rsidP="00CD64B5">
      <w:pPr>
        <w:spacing w:before="120" w:after="120"/>
        <w:rPr>
          <w:rFonts w:eastAsiaTheme="minorEastAsia"/>
        </w:rPr>
      </w:pPr>
      <w:r w:rsidRPr="001352AB">
        <w:rPr>
          <w:rFonts w:eastAsiaTheme="minorEastAsia"/>
        </w:rPr>
        <w:t xml:space="preserve">G = 0,0001719 · 0,9972 = 0,0001714 </w:t>
      </w:r>
      <w:r w:rsidRPr="001352AB">
        <w:rPr>
          <w:rFonts w:ascii="Sylfaen" w:eastAsiaTheme="minorEastAsia" w:hAnsi="Sylfaen" w:cs="Sylfaen"/>
        </w:rPr>
        <w:t>ტ</w:t>
      </w:r>
      <w:r w:rsidRPr="001352AB">
        <w:rPr>
          <w:rFonts w:eastAsiaTheme="minorEastAsia"/>
        </w:rPr>
        <w:t>/</w:t>
      </w:r>
      <w:r w:rsidRPr="001352AB">
        <w:rPr>
          <w:rFonts w:ascii="Sylfaen" w:eastAsiaTheme="minorEastAsia" w:hAnsi="Sylfaen" w:cs="Sylfaen"/>
        </w:rPr>
        <w:t>წელ</w:t>
      </w:r>
      <w:r w:rsidRPr="001352AB">
        <w:rPr>
          <w:rFonts w:eastAsiaTheme="minorEastAsia"/>
        </w:rPr>
        <w:t xml:space="preserve">; </w:t>
      </w:r>
    </w:p>
    <w:p w14:paraId="7C22B462" w14:textId="77777777" w:rsidR="00CD64B5" w:rsidRPr="001352AB" w:rsidRDefault="00CD64B5" w:rsidP="00CD64B5">
      <w:pPr>
        <w:spacing w:before="120" w:after="120"/>
        <w:rPr>
          <w:rFonts w:eastAsiaTheme="minorEastAsia"/>
        </w:rPr>
      </w:pPr>
      <w:bookmarkStart w:id="250" w:name="_Toc419823070"/>
      <w:r w:rsidRPr="001352AB">
        <w:rPr>
          <w:rFonts w:ascii="Sylfaen" w:eastAsiaTheme="majorEastAsia" w:hAnsi="Sylfaen" w:cs="Sylfaen"/>
        </w:rPr>
        <w:t>ემისიის</w:t>
      </w:r>
      <w:r w:rsidRPr="001352AB">
        <w:rPr>
          <w:rFonts w:eastAsiaTheme="majorEastAsia"/>
        </w:rPr>
        <w:t xml:space="preserve"> </w:t>
      </w:r>
      <w:r w:rsidRPr="001352AB">
        <w:rPr>
          <w:rFonts w:ascii="Sylfaen" w:eastAsiaTheme="majorEastAsia" w:hAnsi="Sylfaen" w:cs="Sylfaen"/>
        </w:rPr>
        <w:t>გაანგარიშება</w:t>
      </w:r>
      <w:r w:rsidRPr="001352AB">
        <w:rPr>
          <w:rFonts w:eastAsiaTheme="majorEastAsia"/>
        </w:rPr>
        <w:t xml:space="preserve"> </w:t>
      </w:r>
      <w:r w:rsidRPr="001352AB">
        <w:rPr>
          <w:rFonts w:ascii="Sylfaen" w:eastAsiaTheme="majorEastAsia" w:hAnsi="Sylfaen" w:cs="Sylfaen"/>
        </w:rPr>
        <w:t>ცემენტის</w:t>
      </w:r>
      <w:r w:rsidRPr="001352AB">
        <w:rPr>
          <w:rFonts w:eastAsiaTheme="majorEastAsia"/>
        </w:rPr>
        <w:t xml:space="preserve"> </w:t>
      </w:r>
      <w:r w:rsidRPr="001352AB">
        <w:rPr>
          <w:rFonts w:ascii="Sylfaen" w:eastAsiaTheme="majorEastAsia" w:hAnsi="Sylfaen" w:cs="Sylfaen"/>
        </w:rPr>
        <w:t>მიმღები</w:t>
      </w:r>
      <w:r w:rsidRPr="001352AB">
        <w:rPr>
          <w:rFonts w:eastAsiaTheme="majorEastAsia"/>
        </w:rPr>
        <w:t xml:space="preserve"> </w:t>
      </w:r>
      <w:r w:rsidRPr="001352AB">
        <w:rPr>
          <w:rFonts w:ascii="Sylfaen" w:eastAsiaTheme="majorEastAsia" w:hAnsi="Sylfaen" w:cs="Sylfaen"/>
        </w:rPr>
        <w:t>სილოსიდან</w:t>
      </w:r>
      <w:r w:rsidRPr="001352AB">
        <w:rPr>
          <w:rFonts w:eastAsiaTheme="majorEastAsia"/>
        </w:rPr>
        <w:t xml:space="preserve"> (</w:t>
      </w:r>
      <w:r w:rsidRPr="001352AB">
        <w:rPr>
          <w:rFonts w:ascii="Sylfaen" w:eastAsiaTheme="majorEastAsia" w:hAnsi="Sylfaen" w:cs="Sylfaen"/>
        </w:rPr>
        <w:t>გ</w:t>
      </w:r>
      <w:r w:rsidRPr="001352AB">
        <w:rPr>
          <w:rFonts w:eastAsiaTheme="majorEastAsia"/>
        </w:rPr>
        <w:t>-</w:t>
      </w:r>
      <w:bookmarkEnd w:id="244"/>
      <w:bookmarkEnd w:id="245"/>
      <w:bookmarkEnd w:id="247"/>
      <w:r w:rsidRPr="001352AB">
        <w:rPr>
          <w:rFonts w:eastAsiaTheme="majorEastAsia"/>
        </w:rPr>
        <w:t>2)</w:t>
      </w:r>
      <w:bookmarkEnd w:id="250"/>
    </w:p>
    <w:p w14:paraId="5A6F093D" w14:textId="77777777" w:rsidR="00CD64B5" w:rsidRPr="001352AB" w:rsidRDefault="00CD64B5" w:rsidP="00CD64B5">
      <w:pPr>
        <w:spacing w:before="120" w:after="120"/>
        <w:rPr>
          <w:rFonts w:eastAsiaTheme="majorEastAsia"/>
        </w:rPr>
      </w:pPr>
      <w:r w:rsidRPr="001352AB">
        <w:rPr>
          <w:rFonts w:ascii="Sylfaen" w:eastAsiaTheme="minorEastAsia" w:hAnsi="Sylfaen" w:cs="Sylfaen"/>
        </w:rPr>
        <w:t>ბეტონის</w:t>
      </w:r>
      <w:r w:rsidRPr="001352AB">
        <w:rPr>
          <w:rFonts w:eastAsiaTheme="minorEastAsia"/>
        </w:rPr>
        <w:t xml:space="preserve"> </w:t>
      </w:r>
      <w:r w:rsidRPr="001352AB">
        <w:rPr>
          <w:rFonts w:ascii="Sylfaen" w:eastAsiaTheme="minorEastAsia" w:hAnsi="Sylfaen" w:cs="Sylfaen"/>
        </w:rPr>
        <w:t>წარმოების</w:t>
      </w:r>
      <w:r w:rsidRPr="001352AB">
        <w:rPr>
          <w:rFonts w:eastAsiaTheme="minorEastAsia"/>
        </w:rPr>
        <w:t xml:space="preserve"> </w:t>
      </w:r>
      <w:r w:rsidRPr="001352AB">
        <w:rPr>
          <w:rFonts w:ascii="Sylfaen" w:eastAsiaTheme="minorEastAsia" w:hAnsi="Sylfaen" w:cs="Sylfaen"/>
        </w:rPr>
        <w:t>ტექნოლოგიური</w:t>
      </w:r>
      <w:r w:rsidRPr="001352AB">
        <w:rPr>
          <w:rFonts w:eastAsiaTheme="minorEastAsia"/>
        </w:rPr>
        <w:t xml:space="preserve"> </w:t>
      </w:r>
      <w:r w:rsidRPr="001352AB">
        <w:rPr>
          <w:rFonts w:ascii="Sylfaen" w:eastAsiaTheme="minorEastAsia" w:hAnsi="Sylfaen" w:cs="Sylfaen"/>
        </w:rPr>
        <w:t>პროცესი</w:t>
      </w:r>
      <w:r w:rsidRPr="001352AB">
        <w:rPr>
          <w:rFonts w:eastAsiaTheme="minorEastAsia"/>
        </w:rPr>
        <w:t xml:space="preserve"> </w:t>
      </w:r>
      <w:r w:rsidRPr="001352AB">
        <w:rPr>
          <w:rFonts w:ascii="Sylfaen" w:eastAsiaTheme="minorEastAsia" w:hAnsi="Sylfaen" w:cs="Sylfaen"/>
        </w:rPr>
        <w:t>მდგომარეობს</w:t>
      </w:r>
      <w:r w:rsidRPr="001352AB">
        <w:rPr>
          <w:rFonts w:eastAsiaTheme="minorEastAsia"/>
        </w:rPr>
        <w:t xml:space="preserve"> </w:t>
      </w:r>
      <w:r w:rsidRPr="001352AB">
        <w:rPr>
          <w:rFonts w:ascii="Sylfaen" w:eastAsiaTheme="minorEastAsia" w:hAnsi="Sylfaen" w:cs="Sylfaen"/>
        </w:rPr>
        <w:t>ცემენტის</w:t>
      </w:r>
      <w:r w:rsidRPr="001352AB">
        <w:rPr>
          <w:rFonts w:eastAsiaTheme="minorEastAsia"/>
        </w:rPr>
        <w:t xml:space="preserve"> </w:t>
      </w:r>
      <w:r w:rsidRPr="001352AB">
        <w:rPr>
          <w:rFonts w:ascii="Sylfaen" w:eastAsiaTheme="minorEastAsia" w:hAnsi="Sylfaen" w:cs="Sylfaen"/>
        </w:rPr>
        <w:t>ცემენტმზიდიდან</w:t>
      </w:r>
      <w:r w:rsidRPr="001352AB">
        <w:rPr>
          <w:rFonts w:eastAsiaTheme="minorEastAsia"/>
        </w:rPr>
        <w:t xml:space="preserve"> </w:t>
      </w:r>
      <w:r w:rsidRPr="001352AB">
        <w:rPr>
          <w:rFonts w:ascii="Sylfaen" w:eastAsiaTheme="minorEastAsia" w:hAnsi="Sylfaen" w:cs="Sylfaen"/>
        </w:rPr>
        <w:t>პნევმატური</w:t>
      </w:r>
      <w:r w:rsidRPr="001352AB">
        <w:rPr>
          <w:rFonts w:eastAsiaTheme="minorEastAsia"/>
        </w:rPr>
        <w:t xml:space="preserve"> </w:t>
      </w:r>
      <w:r w:rsidRPr="001352AB">
        <w:rPr>
          <w:rFonts w:ascii="Sylfaen" w:eastAsiaTheme="minorEastAsia" w:hAnsi="Sylfaen" w:cs="Sylfaen"/>
        </w:rPr>
        <w:t>მეთოდით</w:t>
      </w:r>
      <w:r w:rsidRPr="001352AB">
        <w:rPr>
          <w:rFonts w:eastAsiaTheme="minorEastAsia"/>
        </w:rPr>
        <w:t xml:space="preserve"> </w:t>
      </w:r>
      <w:r w:rsidRPr="001352AB">
        <w:rPr>
          <w:rFonts w:ascii="Sylfaen" w:eastAsiaTheme="minorEastAsia" w:hAnsi="Sylfaen" w:cs="Sylfaen"/>
        </w:rPr>
        <w:t>სილოსში</w:t>
      </w:r>
      <w:r w:rsidRPr="001352AB">
        <w:rPr>
          <w:rFonts w:eastAsiaTheme="minorEastAsia"/>
        </w:rPr>
        <w:t xml:space="preserve"> </w:t>
      </w:r>
      <w:r w:rsidRPr="001352AB">
        <w:rPr>
          <w:rFonts w:ascii="Sylfaen" w:eastAsiaTheme="minorEastAsia" w:hAnsi="Sylfaen" w:cs="Sylfaen"/>
        </w:rPr>
        <w:t>ჩატვირთვაში</w:t>
      </w:r>
      <w:r w:rsidRPr="001352AB">
        <w:rPr>
          <w:rFonts w:eastAsiaTheme="minorEastAsia"/>
        </w:rPr>
        <w:t xml:space="preserve"> </w:t>
      </w:r>
      <w:r w:rsidRPr="001352AB">
        <w:rPr>
          <w:rFonts w:ascii="Sylfaen" w:eastAsiaTheme="minorEastAsia" w:hAnsi="Sylfaen" w:cs="Sylfaen"/>
        </w:rPr>
        <w:t>და</w:t>
      </w:r>
      <w:r w:rsidRPr="001352AB">
        <w:rPr>
          <w:rFonts w:eastAsiaTheme="minorEastAsia"/>
        </w:rPr>
        <w:t xml:space="preserve"> </w:t>
      </w:r>
      <w:r w:rsidRPr="001352AB">
        <w:rPr>
          <w:rFonts w:ascii="Sylfaen" w:eastAsiaTheme="minorEastAsia" w:hAnsi="Sylfaen" w:cs="Sylfaen"/>
        </w:rPr>
        <w:t>შემდგომ</w:t>
      </w:r>
      <w:r w:rsidRPr="001352AB">
        <w:rPr>
          <w:rFonts w:eastAsiaTheme="minorEastAsia"/>
        </w:rPr>
        <w:t xml:space="preserve"> </w:t>
      </w:r>
      <w:r w:rsidRPr="001352AB">
        <w:rPr>
          <w:rFonts w:ascii="Sylfaen" w:eastAsiaTheme="minorEastAsia" w:hAnsi="Sylfaen" w:cs="Sylfaen"/>
        </w:rPr>
        <w:t>იქიდან</w:t>
      </w:r>
      <w:r w:rsidRPr="001352AB">
        <w:rPr>
          <w:rFonts w:eastAsiaTheme="minorEastAsia"/>
        </w:rPr>
        <w:t xml:space="preserve"> </w:t>
      </w:r>
      <w:r w:rsidRPr="001352AB">
        <w:rPr>
          <w:rFonts w:ascii="Sylfaen" w:eastAsiaTheme="minorEastAsia" w:hAnsi="Sylfaen" w:cs="Sylfaen"/>
        </w:rPr>
        <w:t>მის</w:t>
      </w:r>
      <w:r w:rsidRPr="001352AB">
        <w:rPr>
          <w:rFonts w:eastAsiaTheme="minorEastAsia"/>
        </w:rPr>
        <w:t xml:space="preserve"> </w:t>
      </w:r>
      <w:r w:rsidRPr="001352AB">
        <w:rPr>
          <w:rFonts w:ascii="Sylfaen" w:eastAsiaTheme="minorEastAsia" w:hAnsi="Sylfaen" w:cs="Sylfaen"/>
        </w:rPr>
        <w:t>დოზირებულ</w:t>
      </w:r>
      <w:r w:rsidRPr="001352AB">
        <w:rPr>
          <w:rFonts w:eastAsiaTheme="minorEastAsia"/>
        </w:rPr>
        <w:t xml:space="preserve"> </w:t>
      </w:r>
      <w:r w:rsidRPr="001352AB">
        <w:rPr>
          <w:rFonts w:ascii="Sylfaen" w:eastAsiaTheme="minorEastAsia" w:hAnsi="Sylfaen" w:cs="Sylfaen"/>
        </w:rPr>
        <w:t>მიწოდებაში</w:t>
      </w:r>
      <w:r w:rsidRPr="001352AB">
        <w:rPr>
          <w:rFonts w:eastAsiaTheme="minorEastAsia"/>
        </w:rPr>
        <w:t xml:space="preserve"> </w:t>
      </w:r>
      <w:r w:rsidRPr="001352AB">
        <w:rPr>
          <w:rFonts w:ascii="Sylfaen" w:eastAsiaTheme="minorEastAsia" w:hAnsi="Sylfaen" w:cs="Sylfaen"/>
        </w:rPr>
        <w:t>ჭიახრახნული</w:t>
      </w:r>
      <w:r w:rsidRPr="001352AB">
        <w:rPr>
          <w:rFonts w:eastAsiaTheme="minorEastAsia"/>
        </w:rPr>
        <w:t xml:space="preserve"> </w:t>
      </w:r>
      <w:r w:rsidRPr="001352AB">
        <w:rPr>
          <w:rFonts w:ascii="Sylfaen" w:eastAsiaTheme="minorEastAsia" w:hAnsi="Sylfaen" w:cs="Sylfaen"/>
        </w:rPr>
        <w:t>მეთოდით</w:t>
      </w:r>
      <w:r w:rsidRPr="001352AB">
        <w:rPr>
          <w:rFonts w:eastAsiaTheme="minorEastAsia"/>
        </w:rPr>
        <w:t xml:space="preserve"> </w:t>
      </w:r>
      <w:r w:rsidRPr="001352AB">
        <w:rPr>
          <w:rFonts w:ascii="Sylfaen" w:eastAsiaTheme="minorEastAsia" w:hAnsi="Sylfaen" w:cs="Sylfaen"/>
        </w:rPr>
        <w:t>სასწორის</w:t>
      </w:r>
      <w:r w:rsidRPr="001352AB">
        <w:rPr>
          <w:rFonts w:eastAsiaTheme="minorEastAsia"/>
        </w:rPr>
        <w:t xml:space="preserve"> </w:t>
      </w:r>
      <w:r w:rsidRPr="001352AB">
        <w:rPr>
          <w:rFonts w:ascii="Sylfaen" w:eastAsiaTheme="minorEastAsia" w:hAnsi="Sylfaen" w:cs="Sylfaen"/>
        </w:rPr>
        <w:t>გავლით</w:t>
      </w:r>
      <w:r w:rsidRPr="001352AB">
        <w:rPr>
          <w:rFonts w:eastAsiaTheme="minorEastAsia"/>
        </w:rPr>
        <w:t xml:space="preserve"> </w:t>
      </w:r>
      <w:r w:rsidRPr="001352AB">
        <w:rPr>
          <w:rFonts w:ascii="Sylfaen" w:eastAsiaTheme="minorEastAsia" w:hAnsi="Sylfaen" w:cs="Sylfaen"/>
        </w:rPr>
        <w:t>უშუალოდ</w:t>
      </w:r>
      <w:r w:rsidRPr="001352AB">
        <w:rPr>
          <w:rFonts w:eastAsiaTheme="minorEastAsia"/>
        </w:rPr>
        <w:t xml:space="preserve"> </w:t>
      </w:r>
      <w:r w:rsidRPr="001352AB">
        <w:rPr>
          <w:rFonts w:ascii="Sylfaen" w:eastAsiaTheme="minorEastAsia" w:hAnsi="Sylfaen" w:cs="Sylfaen"/>
        </w:rPr>
        <w:t>მიქსერში</w:t>
      </w:r>
      <w:r w:rsidRPr="001352AB">
        <w:rPr>
          <w:rFonts w:eastAsiaTheme="minorEastAsia"/>
        </w:rPr>
        <w:t xml:space="preserve">, </w:t>
      </w:r>
      <w:r w:rsidRPr="001352AB">
        <w:rPr>
          <w:rFonts w:ascii="Sylfaen" w:eastAsiaTheme="minorEastAsia" w:hAnsi="Sylfaen" w:cs="Sylfaen"/>
        </w:rPr>
        <w:t>სადაც</w:t>
      </w:r>
      <w:r w:rsidRPr="001352AB">
        <w:rPr>
          <w:rFonts w:eastAsiaTheme="minorEastAsia"/>
        </w:rPr>
        <w:t xml:space="preserve"> </w:t>
      </w:r>
      <w:r w:rsidRPr="001352AB">
        <w:rPr>
          <w:rFonts w:ascii="Sylfaen" w:eastAsiaTheme="minorEastAsia" w:hAnsi="Sylfaen" w:cs="Sylfaen"/>
        </w:rPr>
        <w:t>წინასწარ</w:t>
      </w:r>
      <w:r w:rsidRPr="001352AB">
        <w:rPr>
          <w:rFonts w:eastAsiaTheme="minorEastAsia"/>
        </w:rPr>
        <w:t xml:space="preserve"> </w:t>
      </w:r>
      <w:r w:rsidRPr="001352AB">
        <w:rPr>
          <w:rFonts w:ascii="Sylfaen" w:eastAsiaTheme="minorEastAsia" w:hAnsi="Sylfaen" w:cs="Sylfaen"/>
        </w:rPr>
        <w:t>ხდება</w:t>
      </w:r>
      <w:r w:rsidRPr="001352AB">
        <w:rPr>
          <w:rFonts w:eastAsiaTheme="minorEastAsia"/>
        </w:rPr>
        <w:t xml:space="preserve"> </w:t>
      </w:r>
      <w:r w:rsidRPr="001352AB">
        <w:rPr>
          <w:rFonts w:ascii="Sylfaen" w:eastAsiaTheme="minorEastAsia" w:hAnsi="Sylfaen" w:cs="Sylfaen"/>
        </w:rPr>
        <w:t>ქვიშის</w:t>
      </w:r>
      <w:r w:rsidRPr="001352AB">
        <w:rPr>
          <w:rFonts w:eastAsiaTheme="minorEastAsia"/>
        </w:rPr>
        <w:t xml:space="preserve">, </w:t>
      </w:r>
      <w:r w:rsidRPr="001352AB">
        <w:rPr>
          <w:rFonts w:ascii="Sylfaen" w:eastAsiaTheme="minorEastAsia" w:hAnsi="Sylfaen" w:cs="Sylfaen"/>
        </w:rPr>
        <w:t>და</w:t>
      </w:r>
      <w:r w:rsidRPr="001352AB">
        <w:rPr>
          <w:rFonts w:eastAsiaTheme="minorEastAsia"/>
        </w:rPr>
        <w:t xml:space="preserve"> </w:t>
      </w:r>
      <w:r w:rsidRPr="001352AB">
        <w:rPr>
          <w:rFonts w:ascii="Sylfaen" w:eastAsiaTheme="minorEastAsia" w:hAnsi="Sylfaen" w:cs="Sylfaen"/>
        </w:rPr>
        <w:t>ღორღის</w:t>
      </w:r>
      <w:r w:rsidRPr="001352AB">
        <w:rPr>
          <w:rFonts w:eastAsiaTheme="minorEastAsia"/>
        </w:rPr>
        <w:t xml:space="preserve">, </w:t>
      </w:r>
      <w:r w:rsidRPr="001352AB">
        <w:rPr>
          <w:rFonts w:ascii="Sylfaen" w:eastAsiaTheme="minorEastAsia" w:hAnsi="Sylfaen" w:cs="Sylfaen"/>
        </w:rPr>
        <w:t>წყლისა</w:t>
      </w:r>
      <w:r w:rsidRPr="001352AB">
        <w:rPr>
          <w:rFonts w:eastAsiaTheme="minorEastAsia"/>
        </w:rPr>
        <w:t xml:space="preserve"> </w:t>
      </w:r>
      <w:r w:rsidRPr="001352AB">
        <w:rPr>
          <w:rFonts w:ascii="Sylfaen" w:eastAsiaTheme="minorEastAsia" w:hAnsi="Sylfaen" w:cs="Sylfaen"/>
        </w:rPr>
        <w:t>და</w:t>
      </w:r>
      <w:r w:rsidRPr="001352AB">
        <w:rPr>
          <w:rFonts w:eastAsiaTheme="minorEastAsia"/>
        </w:rPr>
        <w:t xml:space="preserve"> </w:t>
      </w:r>
      <w:r w:rsidRPr="001352AB">
        <w:rPr>
          <w:rFonts w:ascii="Sylfaen" w:eastAsiaTheme="minorEastAsia" w:hAnsi="Sylfaen" w:cs="Sylfaen"/>
        </w:rPr>
        <w:t>ქიმ</w:t>
      </w:r>
      <w:r w:rsidRPr="001352AB">
        <w:rPr>
          <w:rFonts w:eastAsiaTheme="minorEastAsia"/>
        </w:rPr>
        <w:t xml:space="preserve">. </w:t>
      </w:r>
      <w:r w:rsidRPr="001352AB">
        <w:rPr>
          <w:rFonts w:ascii="Sylfaen" w:eastAsiaTheme="minorEastAsia" w:hAnsi="Sylfaen" w:cs="Sylfaen"/>
        </w:rPr>
        <w:t>დანამატის</w:t>
      </w:r>
      <w:r w:rsidRPr="001352AB">
        <w:rPr>
          <w:rFonts w:eastAsiaTheme="minorEastAsia"/>
        </w:rPr>
        <w:t xml:space="preserve"> (</w:t>
      </w:r>
      <w:r w:rsidRPr="001352AB">
        <w:rPr>
          <w:rFonts w:ascii="Sylfaen" w:eastAsiaTheme="minorEastAsia" w:hAnsi="Sylfaen" w:cs="Sylfaen"/>
        </w:rPr>
        <w:t>პლასტიფიკატორის</w:t>
      </w:r>
      <w:r w:rsidRPr="001352AB">
        <w:rPr>
          <w:rFonts w:eastAsiaTheme="minorEastAsia"/>
        </w:rPr>
        <w:t xml:space="preserve">) </w:t>
      </w:r>
      <w:r w:rsidRPr="001352AB">
        <w:rPr>
          <w:rFonts w:ascii="Sylfaen" w:eastAsiaTheme="minorEastAsia" w:hAnsi="Sylfaen" w:cs="Sylfaen"/>
        </w:rPr>
        <w:t>კომპონენტებით</w:t>
      </w:r>
      <w:r w:rsidRPr="001352AB">
        <w:rPr>
          <w:rFonts w:eastAsiaTheme="minorEastAsia"/>
        </w:rPr>
        <w:t xml:space="preserve"> </w:t>
      </w:r>
      <w:r w:rsidRPr="001352AB">
        <w:rPr>
          <w:rFonts w:ascii="Sylfaen" w:eastAsiaTheme="minorEastAsia" w:hAnsi="Sylfaen" w:cs="Sylfaen"/>
        </w:rPr>
        <w:t>შევსება</w:t>
      </w:r>
      <w:r w:rsidRPr="001352AB">
        <w:rPr>
          <w:rFonts w:eastAsiaTheme="minorEastAsia"/>
        </w:rPr>
        <w:t xml:space="preserve"> </w:t>
      </w:r>
      <w:r w:rsidRPr="001352AB">
        <w:rPr>
          <w:rFonts w:ascii="Sylfaen" w:eastAsiaTheme="minorEastAsia" w:hAnsi="Sylfaen" w:cs="Sylfaen"/>
        </w:rPr>
        <w:t>დადგენილი</w:t>
      </w:r>
      <w:r w:rsidRPr="001352AB">
        <w:rPr>
          <w:rFonts w:eastAsiaTheme="minorEastAsia"/>
        </w:rPr>
        <w:t xml:space="preserve"> </w:t>
      </w:r>
      <w:r w:rsidRPr="001352AB">
        <w:rPr>
          <w:rFonts w:ascii="Sylfaen" w:eastAsiaTheme="minorEastAsia" w:hAnsi="Sylfaen" w:cs="Sylfaen"/>
        </w:rPr>
        <w:t>რეცეპტურის</w:t>
      </w:r>
      <w:r w:rsidRPr="001352AB">
        <w:rPr>
          <w:rFonts w:eastAsiaTheme="minorEastAsia"/>
        </w:rPr>
        <w:t xml:space="preserve"> </w:t>
      </w:r>
      <w:r w:rsidRPr="001352AB">
        <w:rPr>
          <w:rFonts w:ascii="Sylfaen" w:eastAsiaTheme="minorEastAsia" w:hAnsi="Sylfaen" w:cs="Sylfaen"/>
        </w:rPr>
        <w:t>შესაბამისად</w:t>
      </w:r>
      <w:r w:rsidRPr="001352AB">
        <w:rPr>
          <w:rFonts w:eastAsiaTheme="minorEastAsia"/>
        </w:rPr>
        <w:t>.</w:t>
      </w:r>
    </w:p>
    <w:p w14:paraId="70C249E4" w14:textId="77777777" w:rsidR="00CD64B5" w:rsidRPr="001352AB" w:rsidRDefault="00CD64B5" w:rsidP="00CD64B5">
      <w:pPr>
        <w:spacing w:before="120" w:after="120"/>
        <w:rPr>
          <w:rFonts w:eastAsiaTheme="majorEastAsia"/>
        </w:rPr>
      </w:pPr>
      <w:r w:rsidRPr="001352AB">
        <w:rPr>
          <w:rFonts w:ascii="Sylfaen" w:eastAsiaTheme="minorEastAsia" w:hAnsi="Sylfaen" w:cs="Sylfaen"/>
        </w:rPr>
        <w:t>საწარმოს</w:t>
      </w:r>
      <w:r w:rsidRPr="001352AB">
        <w:rPr>
          <w:rFonts w:eastAsiaTheme="minorEastAsia"/>
        </w:rPr>
        <w:t xml:space="preserve"> </w:t>
      </w:r>
      <w:r w:rsidRPr="001352AB">
        <w:rPr>
          <w:rFonts w:ascii="Sylfaen" w:eastAsiaTheme="minorEastAsia" w:hAnsi="Sylfaen" w:cs="Sylfaen"/>
        </w:rPr>
        <w:t>მონაცემებით</w:t>
      </w:r>
      <w:r w:rsidRPr="001352AB">
        <w:rPr>
          <w:rFonts w:eastAsiaTheme="minorEastAsia"/>
        </w:rPr>
        <w:t xml:space="preserve"> </w:t>
      </w:r>
      <w:r w:rsidRPr="001352AB">
        <w:rPr>
          <w:rFonts w:ascii="Sylfaen" w:eastAsiaTheme="minorEastAsia" w:hAnsi="Sylfaen" w:cs="Sylfaen"/>
        </w:rPr>
        <w:t>წლის</w:t>
      </w:r>
      <w:r w:rsidRPr="001352AB">
        <w:rPr>
          <w:rFonts w:eastAsiaTheme="minorEastAsia"/>
        </w:rPr>
        <w:t xml:space="preserve"> </w:t>
      </w:r>
      <w:r w:rsidRPr="001352AB">
        <w:rPr>
          <w:rFonts w:ascii="Sylfaen" w:eastAsiaTheme="minorEastAsia" w:hAnsi="Sylfaen" w:cs="Sylfaen"/>
        </w:rPr>
        <w:t>განმავლობაში</w:t>
      </w:r>
      <w:r w:rsidRPr="001352AB">
        <w:rPr>
          <w:rFonts w:eastAsiaTheme="minorEastAsia"/>
        </w:rPr>
        <w:t xml:space="preserve"> </w:t>
      </w:r>
      <w:r w:rsidRPr="001352AB">
        <w:rPr>
          <w:rFonts w:ascii="Sylfaen" w:eastAsiaTheme="minorEastAsia" w:hAnsi="Sylfaen" w:cs="Sylfaen"/>
        </w:rPr>
        <w:t>სილოსში</w:t>
      </w:r>
      <w:r w:rsidRPr="001352AB">
        <w:rPr>
          <w:rFonts w:eastAsiaTheme="minorEastAsia"/>
        </w:rPr>
        <w:t xml:space="preserve"> </w:t>
      </w:r>
      <w:r w:rsidRPr="001352AB">
        <w:rPr>
          <w:rFonts w:ascii="Sylfaen" w:eastAsiaTheme="minorEastAsia" w:hAnsi="Sylfaen" w:cs="Sylfaen"/>
        </w:rPr>
        <w:t>უნდა</w:t>
      </w:r>
      <w:r w:rsidRPr="001352AB">
        <w:rPr>
          <w:rFonts w:eastAsiaTheme="minorEastAsia"/>
        </w:rPr>
        <w:t xml:space="preserve"> </w:t>
      </w:r>
      <w:r w:rsidRPr="001352AB">
        <w:rPr>
          <w:rFonts w:ascii="Sylfaen" w:eastAsiaTheme="minorEastAsia" w:hAnsi="Sylfaen" w:cs="Sylfaen"/>
        </w:rPr>
        <w:t>მიეწოდოს</w:t>
      </w:r>
      <w:r w:rsidRPr="001352AB">
        <w:rPr>
          <w:rFonts w:eastAsiaTheme="minorEastAsia"/>
        </w:rPr>
        <w:t xml:space="preserve">  84,0 </w:t>
      </w:r>
      <w:r w:rsidRPr="001352AB">
        <w:rPr>
          <w:rFonts w:ascii="Sylfaen" w:eastAsiaTheme="minorEastAsia" w:hAnsi="Sylfaen" w:cs="Sylfaen"/>
        </w:rPr>
        <w:t>ათ</w:t>
      </w:r>
      <w:r w:rsidRPr="001352AB">
        <w:rPr>
          <w:rFonts w:eastAsiaTheme="minorEastAsia"/>
        </w:rPr>
        <w:t>.</w:t>
      </w:r>
      <w:r w:rsidRPr="001352AB">
        <w:rPr>
          <w:rFonts w:ascii="Sylfaen" w:eastAsiaTheme="minorEastAsia" w:hAnsi="Sylfaen" w:cs="Sylfaen"/>
        </w:rPr>
        <w:t>ტ</w:t>
      </w:r>
      <w:r w:rsidRPr="001352AB">
        <w:rPr>
          <w:rFonts w:eastAsiaTheme="minorEastAsia"/>
        </w:rPr>
        <w:t xml:space="preserve"> </w:t>
      </w:r>
      <w:r w:rsidRPr="001352AB">
        <w:rPr>
          <w:rFonts w:ascii="Sylfaen" w:eastAsiaTheme="minorEastAsia" w:hAnsi="Sylfaen" w:cs="Sylfaen"/>
        </w:rPr>
        <w:t>ცემენტი</w:t>
      </w:r>
      <w:r w:rsidRPr="001352AB">
        <w:rPr>
          <w:rFonts w:eastAsiaTheme="minorEastAsia"/>
        </w:rPr>
        <w:t xml:space="preserve">. </w:t>
      </w:r>
    </w:p>
    <w:p w14:paraId="68999CC6"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სილოსი</w:t>
      </w:r>
      <w:r w:rsidRPr="001352AB">
        <w:rPr>
          <w:rFonts w:eastAsiaTheme="minorEastAsia"/>
        </w:rPr>
        <w:t xml:space="preserve"> </w:t>
      </w:r>
      <w:r w:rsidRPr="001352AB">
        <w:rPr>
          <w:rFonts w:ascii="Sylfaen" w:eastAsiaTheme="minorEastAsia" w:hAnsi="Sylfaen" w:cs="Sylfaen"/>
        </w:rPr>
        <w:t>აღჭურვილია</w:t>
      </w:r>
      <w:r w:rsidRPr="001352AB">
        <w:rPr>
          <w:rFonts w:eastAsiaTheme="minorEastAsia"/>
        </w:rPr>
        <w:t xml:space="preserve"> </w:t>
      </w:r>
      <w:r w:rsidRPr="001352AB">
        <w:rPr>
          <w:rFonts w:ascii="Sylfaen" w:eastAsiaTheme="minorEastAsia" w:hAnsi="Sylfaen" w:cs="Sylfaen"/>
        </w:rPr>
        <w:t>სტანდარტული</w:t>
      </w:r>
      <w:r w:rsidRPr="001352AB">
        <w:rPr>
          <w:rFonts w:eastAsiaTheme="minorEastAsia"/>
        </w:rPr>
        <w:t xml:space="preserve"> </w:t>
      </w:r>
      <w:r w:rsidRPr="001352AB">
        <w:rPr>
          <w:rFonts w:ascii="Sylfaen" w:eastAsiaTheme="minorEastAsia" w:hAnsi="Sylfaen" w:cs="Sylfaen"/>
        </w:rPr>
        <w:t>ქსოვილიანი</w:t>
      </w:r>
      <w:r w:rsidRPr="001352AB">
        <w:rPr>
          <w:rFonts w:eastAsiaTheme="minorEastAsia"/>
        </w:rPr>
        <w:t xml:space="preserve"> </w:t>
      </w:r>
      <w:r w:rsidRPr="001352AB">
        <w:rPr>
          <w:rFonts w:ascii="Sylfaen" w:eastAsiaTheme="minorEastAsia" w:hAnsi="Sylfaen" w:cs="Sylfaen"/>
        </w:rPr>
        <w:t>ფილტრით</w:t>
      </w:r>
      <w:r w:rsidRPr="001352AB">
        <w:rPr>
          <w:rFonts w:eastAsiaTheme="minorEastAsia"/>
        </w:rPr>
        <w:t xml:space="preserve">, </w:t>
      </w:r>
      <w:r w:rsidRPr="001352AB">
        <w:rPr>
          <w:rFonts w:ascii="Sylfaen" w:eastAsiaTheme="minorEastAsia" w:hAnsi="Sylfaen" w:cs="Sylfaen"/>
        </w:rPr>
        <w:t>საპასპორტო</w:t>
      </w:r>
      <w:r w:rsidRPr="001352AB">
        <w:rPr>
          <w:rFonts w:eastAsiaTheme="minorEastAsia"/>
        </w:rPr>
        <w:t xml:space="preserve"> </w:t>
      </w:r>
      <w:r w:rsidRPr="001352AB">
        <w:rPr>
          <w:rFonts w:ascii="Sylfaen" w:eastAsiaTheme="minorEastAsia" w:hAnsi="Sylfaen" w:cs="Sylfaen"/>
        </w:rPr>
        <w:t>ეფექტურობით</w:t>
      </w:r>
      <w:r w:rsidRPr="001352AB">
        <w:rPr>
          <w:rFonts w:eastAsiaTheme="minorEastAsia"/>
        </w:rPr>
        <w:t>-99,8%. (</w:t>
      </w:r>
      <w:r w:rsidRPr="001352AB">
        <w:rPr>
          <w:rFonts w:ascii="Sylfaen" w:eastAsiaTheme="minorEastAsia" w:hAnsi="Sylfaen" w:cs="Sylfaen"/>
        </w:rPr>
        <w:t>მცირე</w:t>
      </w:r>
      <w:r w:rsidRPr="001352AB">
        <w:rPr>
          <w:rFonts w:eastAsiaTheme="minorEastAsia"/>
        </w:rPr>
        <w:t xml:space="preserve"> </w:t>
      </w:r>
      <w:r w:rsidRPr="001352AB">
        <w:rPr>
          <w:rFonts w:ascii="Sylfaen" w:eastAsiaTheme="minorEastAsia" w:hAnsi="Sylfaen" w:cs="Sylfaen"/>
        </w:rPr>
        <w:t>ზომის</w:t>
      </w:r>
      <w:r w:rsidRPr="001352AB">
        <w:rPr>
          <w:rFonts w:eastAsiaTheme="minorEastAsia"/>
        </w:rPr>
        <w:t xml:space="preserve"> </w:t>
      </w:r>
      <w:r w:rsidRPr="001352AB">
        <w:rPr>
          <w:rFonts w:ascii="Sylfaen" w:eastAsiaTheme="minorEastAsia" w:hAnsi="Sylfaen" w:cs="Sylfaen"/>
        </w:rPr>
        <w:t>სახელოებიანი</w:t>
      </w:r>
      <w:r w:rsidRPr="001352AB">
        <w:rPr>
          <w:rFonts w:eastAsiaTheme="minorEastAsia"/>
        </w:rPr>
        <w:t xml:space="preserve"> </w:t>
      </w:r>
      <w:r w:rsidRPr="001352AB">
        <w:rPr>
          <w:rFonts w:ascii="Sylfaen" w:eastAsiaTheme="minorEastAsia" w:hAnsi="Sylfaen" w:cs="Sylfaen"/>
        </w:rPr>
        <w:t>ქსოვილის</w:t>
      </w:r>
      <w:r w:rsidRPr="001352AB">
        <w:rPr>
          <w:rFonts w:eastAsiaTheme="minorEastAsia"/>
        </w:rPr>
        <w:t xml:space="preserve"> </w:t>
      </w:r>
      <w:r w:rsidRPr="001352AB">
        <w:rPr>
          <w:rFonts w:ascii="Sylfaen" w:eastAsiaTheme="minorEastAsia" w:hAnsi="Sylfaen" w:cs="Sylfaen"/>
        </w:rPr>
        <w:t>ფილტრი</w:t>
      </w:r>
      <w:r w:rsidRPr="001352AB">
        <w:rPr>
          <w:rFonts w:eastAsiaTheme="minorEastAsia"/>
        </w:rPr>
        <w:t xml:space="preserve">, </w:t>
      </w:r>
      <w:r w:rsidRPr="001352AB">
        <w:rPr>
          <w:rFonts w:ascii="Sylfaen" w:eastAsiaTheme="minorEastAsia" w:hAnsi="Sylfaen" w:cs="Sylfaen"/>
        </w:rPr>
        <w:t>მარკა</w:t>
      </w:r>
      <w:r w:rsidRPr="001352AB">
        <w:rPr>
          <w:rFonts w:eastAsiaTheme="minorEastAsia"/>
        </w:rPr>
        <w:t xml:space="preserve"> КФЕ-С, </w:t>
      </w:r>
      <w:r w:rsidRPr="001352AB">
        <w:rPr>
          <w:rFonts w:ascii="Sylfaen" w:eastAsiaTheme="minorEastAsia" w:hAnsi="Sylfaen" w:cs="Sylfaen"/>
        </w:rPr>
        <w:t>ე</w:t>
      </w:r>
      <w:r w:rsidRPr="001352AB">
        <w:rPr>
          <w:rFonts w:eastAsiaTheme="minorEastAsia"/>
        </w:rPr>
        <w:t>.</w:t>
      </w:r>
      <w:r w:rsidRPr="001352AB">
        <w:rPr>
          <w:rFonts w:ascii="Sylfaen" w:eastAsiaTheme="minorEastAsia" w:hAnsi="Sylfaen" w:cs="Sylfaen"/>
        </w:rPr>
        <w:t>წ</w:t>
      </w:r>
      <w:r w:rsidRPr="001352AB">
        <w:rPr>
          <w:rFonts w:eastAsiaTheme="minorEastAsia"/>
        </w:rPr>
        <w:t>. „</w:t>
      </w:r>
      <w:r w:rsidRPr="001352AB">
        <w:rPr>
          <w:rFonts w:ascii="Sylfaen" w:eastAsiaTheme="minorEastAsia" w:hAnsi="Sylfaen" w:cs="Sylfaen"/>
        </w:rPr>
        <w:t>სასილოსე</w:t>
      </w:r>
      <w:r w:rsidRPr="001352AB">
        <w:rPr>
          <w:rFonts w:eastAsiaTheme="minorEastAsia"/>
        </w:rPr>
        <w:t xml:space="preserve"> </w:t>
      </w:r>
      <w:r w:rsidRPr="001352AB">
        <w:rPr>
          <w:rFonts w:ascii="Sylfaen" w:eastAsiaTheme="minorEastAsia" w:hAnsi="Sylfaen" w:cs="Sylfaen"/>
        </w:rPr>
        <w:t>ფილტრები</w:t>
      </w:r>
      <w:r w:rsidRPr="001352AB">
        <w:rPr>
          <w:rFonts w:eastAsiaTheme="minorEastAsia"/>
        </w:rPr>
        <w:t xml:space="preserve">“, </w:t>
      </w:r>
      <w:r w:rsidRPr="001352AB">
        <w:rPr>
          <w:rFonts w:ascii="Sylfaen" w:eastAsiaTheme="minorEastAsia" w:hAnsi="Sylfaen" w:cs="Sylfaen"/>
        </w:rPr>
        <w:t>განკუთვნილია</w:t>
      </w:r>
      <w:r w:rsidRPr="001352AB">
        <w:rPr>
          <w:rFonts w:eastAsiaTheme="minorEastAsia"/>
        </w:rPr>
        <w:t xml:space="preserve"> </w:t>
      </w:r>
      <w:r w:rsidRPr="001352AB">
        <w:rPr>
          <w:rFonts w:ascii="Sylfaen" w:eastAsiaTheme="minorEastAsia" w:hAnsi="Sylfaen" w:cs="Sylfaen"/>
        </w:rPr>
        <w:t>სილოსების</w:t>
      </w:r>
      <w:r w:rsidRPr="001352AB">
        <w:rPr>
          <w:rFonts w:eastAsiaTheme="minorEastAsia"/>
        </w:rPr>
        <w:t xml:space="preserve"> </w:t>
      </w:r>
      <w:r w:rsidRPr="001352AB">
        <w:rPr>
          <w:rFonts w:ascii="Sylfaen" w:eastAsiaTheme="minorEastAsia" w:hAnsi="Sylfaen" w:cs="Sylfaen"/>
        </w:rPr>
        <w:t>ჭარბი</w:t>
      </w:r>
      <w:r w:rsidRPr="001352AB">
        <w:rPr>
          <w:rFonts w:eastAsiaTheme="minorEastAsia"/>
        </w:rPr>
        <w:t xml:space="preserve"> </w:t>
      </w:r>
      <w:r w:rsidRPr="001352AB">
        <w:rPr>
          <w:rFonts w:ascii="Sylfaen" w:eastAsiaTheme="minorEastAsia" w:hAnsi="Sylfaen" w:cs="Sylfaen"/>
        </w:rPr>
        <w:t>წნევის</w:t>
      </w:r>
      <w:r w:rsidRPr="001352AB">
        <w:rPr>
          <w:rFonts w:eastAsiaTheme="minorEastAsia"/>
        </w:rPr>
        <w:t xml:space="preserve"> </w:t>
      </w:r>
      <w:r w:rsidRPr="001352AB">
        <w:rPr>
          <w:rFonts w:ascii="Sylfaen" w:eastAsiaTheme="minorEastAsia" w:hAnsi="Sylfaen" w:cs="Sylfaen"/>
        </w:rPr>
        <w:t>ასპირაციისათვის</w:t>
      </w:r>
      <w:r w:rsidRPr="001352AB">
        <w:rPr>
          <w:rFonts w:eastAsiaTheme="minorEastAsia"/>
        </w:rPr>
        <w:t xml:space="preserve">. </w:t>
      </w:r>
      <w:r w:rsidRPr="001352AB">
        <w:rPr>
          <w:rFonts w:ascii="Sylfaen" w:eastAsiaTheme="minorEastAsia" w:hAnsi="Sylfaen" w:cs="Sylfaen"/>
        </w:rPr>
        <w:t>რეგენერაცია</w:t>
      </w:r>
      <w:r w:rsidRPr="001352AB">
        <w:rPr>
          <w:rFonts w:eastAsiaTheme="minorEastAsia"/>
        </w:rPr>
        <w:t xml:space="preserve"> </w:t>
      </w:r>
      <w:r w:rsidRPr="001352AB">
        <w:rPr>
          <w:rFonts w:ascii="Sylfaen" w:eastAsiaTheme="minorEastAsia" w:hAnsi="Sylfaen" w:cs="Sylfaen"/>
        </w:rPr>
        <w:t>შეკუმშული</w:t>
      </w:r>
      <w:r w:rsidRPr="001352AB">
        <w:rPr>
          <w:rFonts w:eastAsiaTheme="minorEastAsia"/>
        </w:rPr>
        <w:t xml:space="preserve"> </w:t>
      </w:r>
      <w:r w:rsidRPr="001352AB">
        <w:rPr>
          <w:rFonts w:ascii="Sylfaen" w:eastAsiaTheme="minorEastAsia" w:hAnsi="Sylfaen" w:cs="Sylfaen"/>
        </w:rPr>
        <w:t>აირით</w:t>
      </w:r>
      <w:r w:rsidRPr="001352AB">
        <w:rPr>
          <w:rFonts w:eastAsiaTheme="minorEastAsia"/>
        </w:rPr>
        <w:t xml:space="preserve">. </w:t>
      </w:r>
      <w:r w:rsidRPr="001352AB">
        <w:rPr>
          <w:rFonts w:ascii="Sylfaen" w:eastAsiaTheme="minorEastAsia" w:hAnsi="Sylfaen" w:cs="Sylfaen"/>
        </w:rPr>
        <w:t>გაფილტრული</w:t>
      </w:r>
      <w:r w:rsidRPr="001352AB">
        <w:rPr>
          <w:rFonts w:eastAsiaTheme="minorEastAsia"/>
        </w:rPr>
        <w:t xml:space="preserve"> </w:t>
      </w:r>
      <w:r w:rsidRPr="001352AB">
        <w:rPr>
          <w:rFonts w:ascii="Sylfaen" w:eastAsiaTheme="minorEastAsia" w:hAnsi="Sylfaen" w:cs="Sylfaen"/>
        </w:rPr>
        <w:t>მტვერი</w:t>
      </w:r>
      <w:r w:rsidRPr="001352AB">
        <w:rPr>
          <w:rFonts w:eastAsiaTheme="minorEastAsia"/>
        </w:rPr>
        <w:t xml:space="preserve"> </w:t>
      </w:r>
      <w:r w:rsidRPr="001352AB">
        <w:rPr>
          <w:rFonts w:ascii="Sylfaen" w:eastAsiaTheme="minorEastAsia" w:hAnsi="Sylfaen" w:cs="Sylfaen"/>
        </w:rPr>
        <w:t>ბრუნდება</w:t>
      </w:r>
      <w:r w:rsidRPr="001352AB">
        <w:rPr>
          <w:rFonts w:eastAsiaTheme="minorEastAsia"/>
        </w:rPr>
        <w:t xml:space="preserve"> </w:t>
      </w:r>
      <w:r w:rsidRPr="001352AB">
        <w:rPr>
          <w:rFonts w:ascii="Sylfaen" w:eastAsiaTheme="minorEastAsia" w:hAnsi="Sylfaen" w:cs="Sylfaen"/>
        </w:rPr>
        <w:t>უკან</w:t>
      </w:r>
      <w:r w:rsidRPr="001352AB">
        <w:rPr>
          <w:rFonts w:eastAsiaTheme="minorEastAsia"/>
        </w:rPr>
        <w:t xml:space="preserve"> </w:t>
      </w:r>
      <w:r w:rsidRPr="001352AB">
        <w:rPr>
          <w:rFonts w:ascii="Sylfaen" w:eastAsiaTheme="minorEastAsia" w:hAnsi="Sylfaen" w:cs="Sylfaen"/>
        </w:rPr>
        <w:t>სილოსში</w:t>
      </w:r>
      <w:r w:rsidRPr="001352AB">
        <w:rPr>
          <w:rFonts w:eastAsiaTheme="minorEastAsia"/>
        </w:rPr>
        <w:t xml:space="preserve">. </w:t>
      </w:r>
      <w:r w:rsidRPr="001352AB">
        <w:rPr>
          <w:rFonts w:ascii="Sylfaen" w:eastAsiaTheme="minorEastAsia" w:hAnsi="Sylfaen" w:cs="Sylfaen"/>
        </w:rPr>
        <w:t>ფილტრის</w:t>
      </w:r>
      <w:r w:rsidRPr="001352AB">
        <w:rPr>
          <w:rFonts w:eastAsiaTheme="minorEastAsia"/>
        </w:rPr>
        <w:t xml:space="preserve"> </w:t>
      </w:r>
      <w:r w:rsidRPr="001352AB">
        <w:rPr>
          <w:rFonts w:ascii="Sylfaen" w:eastAsiaTheme="minorEastAsia" w:hAnsi="Sylfaen" w:cs="Sylfaen"/>
        </w:rPr>
        <w:t>სიგრძე</w:t>
      </w:r>
      <w:r w:rsidRPr="001352AB">
        <w:rPr>
          <w:rFonts w:eastAsiaTheme="minorEastAsia"/>
        </w:rPr>
        <w:t xml:space="preserve"> 1 </w:t>
      </w:r>
      <w:r w:rsidRPr="001352AB">
        <w:rPr>
          <w:rFonts w:ascii="Sylfaen" w:eastAsiaTheme="minorEastAsia" w:hAnsi="Sylfaen" w:cs="Sylfaen"/>
        </w:rPr>
        <w:t>მეტრი</w:t>
      </w:r>
      <w:r w:rsidRPr="001352AB">
        <w:rPr>
          <w:rFonts w:eastAsiaTheme="minorEastAsia"/>
        </w:rPr>
        <w:t xml:space="preserve">.  </w:t>
      </w:r>
      <w:r w:rsidRPr="001352AB">
        <w:rPr>
          <w:rFonts w:ascii="Sylfaen" w:eastAsiaTheme="minorEastAsia" w:hAnsi="Sylfaen" w:cs="Sylfaen"/>
        </w:rPr>
        <w:t>ჰაერის</w:t>
      </w:r>
      <w:r w:rsidRPr="001352AB">
        <w:rPr>
          <w:rFonts w:eastAsiaTheme="minorEastAsia"/>
        </w:rPr>
        <w:t xml:space="preserve"> </w:t>
      </w:r>
      <w:r w:rsidRPr="001352AB">
        <w:rPr>
          <w:rFonts w:ascii="Sylfaen" w:eastAsiaTheme="minorEastAsia" w:hAnsi="Sylfaen" w:cs="Sylfaen"/>
        </w:rPr>
        <w:t>ხარჯის</w:t>
      </w:r>
      <w:r w:rsidRPr="001352AB">
        <w:rPr>
          <w:rFonts w:eastAsiaTheme="minorEastAsia"/>
        </w:rPr>
        <w:t xml:space="preserve"> </w:t>
      </w:r>
      <w:r w:rsidRPr="001352AB">
        <w:rPr>
          <w:rFonts w:ascii="Sylfaen" w:eastAsiaTheme="minorEastAsia" w:hAnsi="Sylfaen" w:cs="Sylfaen"/>
        </w:rPr>
        <w:t>დიაპაზონი</w:t>
      </w:r>
      <w:r w:rsidRPr="001352AB">
        <w:rPr>
          <w:rFonts w:eastAsiaTheme="minorEastAsia"/>
        </w:rPr>
        <w:t xml:space="preserve"> 300-1000</w:t>
      </w:r>
      <w:r w:rsidRPr="001352AB">
        <w:rPr>
          <w:rFonts w:ascii="Sylfaen" w:eastAsiaTheme="minorEastAsia" w:hAnsi="Sylfaen" w:cs="Sylfaen"/>
        </w:rPr>
        <w:t>მ</w:t>
      </w:r>
      <w:r w:rsidRPr="001352AB">
        <w:rPr>
          <w:rFonts w:eastAsiaTheme="minorEastAsia"/>
        </w:rPr>
        <w:t>3/</w:t>
      </w:r>
      <w:r w:rsidRPr="001352AB">
        <w:rPr>
          <w:rFonts w:ascii="Sylfaen" w:eastAsiaTheme="minorEastAsia" w:hAnsi="Sylfaen" w:cs="Sylfaen"/>
        </w:rPr>
        <w:t>სთ</w:t>
      </w:r>
      <w:r w:rsidRPr="001352AB">
        <w:rPr>
          <w:rFonts w:eastAsiaTheme="minorEastAsia"/>
        </w:rPr>
        <w:t xml:space="preserve">. </w:t>
      </w:r>
      <w:r w:rsidRPr="001352AB">
        <w:rPr>
          <w:rFonts w:ascii="Sylfaen" w:eastAsiaTheme="minorEastAsia" w:hAnsi="Sylfaen" w:cs="Sylfaen"/>
        </w:rPr>
        <w:t>ფილტრაციის</w:t>
      </w:r>
      <w:r w:rsidRPr="001352AB">
        <w:rPr>
          <w:rFonts w:eastAsiaTheme="minorEastAsia"/>
        </w:rPr>
        <w:t xml:space="preserve"> </w:t>
      </w:r>
      <w:r w:rsidRPr="001352AB">
        <w:rPr>
          <w:rFonts w:ascii="Sylfaen" w:eastAsiaTheme="minorEastAsia" w:hAnsi="Sylfaen" w:cs="Sylfaen"/>
        </w:rPr>
        <w:t>ფართი</w:t>
      </w:r>
      <w:r w:rsidRPr="001352AB">
        <w:rPr>
          <w:rFonts w:eastAsiaTheme="minorEastAsia"/>
        </w:rPr>
        <w:t xml:space="preserve">-5-200 </w:t>
      </w:r>
      <w:r w:rsidRPr="001352AB">
        <w:rPr>
          <w:rFonts w:ascii="Sylfaen" w:eastAsiaTheme="minorEastAsia" w:hAnsi="Sylfaen" w:cs="Sylfaen"/>
        </w:rPr>
        <w:t>მ</w:t>
      </w:r>
      <w:r w:rsidRPr="001352AB">
        <w:rPr>
          <w:rFonts w:eastAsiaTheme="minorEastAsia"/>
        </w:rPr>
        <w:t xml:space="preserve">2. </w:t>
      </w:r>
    </w:p>
    <w:p w14:paraId="682035F6" w14:textId="77777777" w:rsidR="00CD64B5" w:rsidRPr="001352AB" w:rsidRDefault="00CD64B5" w:rsidP="00CD64B5">
      <w:pPr>
        <w:spacing w:before="120" w:after="120"/>
        <w:rPr>
          <w:rFonts w:eastAsiaTheme="minorEastAsia"/>
        </w:rPr>
      </w:pPr>
      <w:r w:rsidRPr="001352AB">
        <w:rPr>
          <w:rFonts w:eastAsiaTheme="minorEastAsia"/>
        </w:rPr>
        <w:t>[7]-</w:t>
      </w:r>
      <w:r w:rsidRPr="001352AB">
        <w:rPr>
          <w:rFonts w:ascii="Sylfaen" w:eastAsiaTheme="minorEastAsia" w:hAnsi="Sylfaen" w:cs="Sylfaen"/>
        </w:rPr>
        <w:t>ს</w:t>
      </w:r>
      <w:r w:rsidRPr="001352AB">
        <w:rPr>
          <w:rFonts w:eastAsiaTheme="minorEastAsia"/>
        </w:rPr>
        <w:t xml:space="preserve"> </w:t>
      </w:r>
      <w:r w:rsidRPr="001352AB">
        <w:rPr>
          <w:rFonts w:ascii="Sylfaen" w:eastAsiaTheme="minorEastAsia" w:hAnsi="Sylfaen" w:cs="Sylfaen"/>
        </w:rPr>
        <w:t>მიხედვით</w:t>
      </w:r>
      <w:r w:rsidRPr="001352AB">
        <w:rPr>
          <w:rFonts w:eastAsiaTheme="minorEastAsia"/>
        </w:rPr>
        <w:t xml:space="preserve"> </w:t>
      </w:r>
      <w:r w:rsidRPr="001352AB">
        <w:rPr>
          <w:rFonts w:ascii="Sylfaen" w:eastAsiaTheme="minorEastAsia" w:hAnsi="Sylfaen" w:cs="Sylfaen"/>
        </w:rPr>
        <w:t>ცემენტის</w:t>
      </w:r>
      <w:r w:rsidRPr="001352AB">
        <w:rPr>
          <w:rFonts w:eastAsiaTheme="minorEastAsia"/>
        </w:rPr>
        <w:t xml:space="preserve"> </w:t>
      </w:r>
      <w:r w:rsidRPr="001352AB">
        <w:rPr>
          <w:rFonts w:ascii="Sylfaen" w:eastAsiaTheme="minorEastAsia" w:hAnsi="Sylfaen" w:cs="Sylfaen"/>
        </w:rPr>
        <w:t>მტვრის</w:t>
      </w:r>
      <w:r w:rsidRPr="001352AB">
        <w:rPr>
          <w:rFonts w:eastAsiaTheme="minorEastAsia"/>
        </w:rPr>
        <w:t xml:space="preserve"> </w:t>
      </w:r>
      <w:r w:rsidRPr="001352AB">
        <w:rPr>
          <w:rFonts w:ascii="Sylfaen" w:eastAsiaTheme="minorEastAsia" w:hAnsi="Sylfaen" w:cs="Sylfaen"/>
        </w:rPr>
        <w:t>წლიური</w:t>
      </w:r>
      <w:r w:rsidRPr="001352AB">
        <w:rPr>
          <w:rFonts w:eastAsiaTheme="minorEastAsia"/>
        </w:rPr>
        <w:t xml:space="preserve"> </w:t>
      </w:r>
      <w:r w:rsidRPr="001352AB">
        <w:rPr>
          <w:rFonts w:ascii="Sylfaen" w:eastAsiaTheme="minorEastAsia" w:hAnsi="Sylfaen" w:cs="Sylfaen"/>
        </w:rPr>
        <w:t>გამოყოფა</w:t>
      </w:r>
      <w:r w:rsidRPr="001352AB">
        <w:rPr>
          <w:rFonts w:eastAsiaTheme="minorEastAsia"/>
        </w:rPr>
        <w:t xml:space="preserve"> </w:t>
      </w:r>
      <w:r w:rsidRPr="001352AB">
        <w:rPr>
          <w:rFonts w:ascii="Sylfaen" w:eastAsiaTheme="minorEastAsia" w:hAnsi="Sylfaen" w:cs="Sylfaen"/>
        </w:rPr>
        <w:t>იქნება</w:t>
      </w:r>
      <w:r w:rsidRPr="001352AB">
        <w:rPr>
          <w:rFonts w:eastAsiaTheme="minorEastAsia"/>
        </w:rPr>
        <w:t xml:space="preserve"> 84000 </w:t>
      </w:r>
      <w:r w:rsidRPr="001352AB">
        <w:rPr>
          <w:rFonts w:ascii="Sylfaen" w:eastAsiaTheme="minorEastAsia" w:hAnsi="Sylfaen" w:cs="Sylfaen"/>
        </w:rPr>
        <w:t>ტ</w:t>
      </w:r>
      <w:r w:rsidRPr="001352AB">
        <w:rPr>
          <w:rFonts w:eastAsiaTheme="minorEastAsia"/>
        </w:rPr>
        <w:t xml:space="preserve"> x 0,8</w:t>
      </w:r>
      <w:r w:rsidRPr="001352AB">
        <w:rPr>
          <w:rFonts w:ascii="Sylfaen" w:eastAsiaTheme="minorEastAsia" w:hAnsi="Sylfaen" w:cs="Sylfaen"/>
        </w:rPr>
        <w:t>კგ</w:t>
      </w:r>
      <w:r w:rsidRPr="001352AB">
        <w:rPr>
          <w:rFonts w:eastAsiaTheme="minorEastAsia"/>
        </w:rPr>
        <w:t>/</w:t>
      </w:r>
      <w:r w:rsidRPr="001352AB">
        <w:rPr>
          <w:rFonts w:ascii="Sylfaen" w:eastAsiaTheme="minorEastAsia" w:hAnsi="Sylfaen" w:cs="Sylfaen"/>
        </w:rPr>
        <w:t>ტ</w:t>
      </w:r>
      <w:r w:rsidRPr="001352AB">
        <w:rPr>
          <w:rFonts w:eastAsiaTheme="minorEastAsia"/>
        </w:rPr>
        <w:t xml:space="preserve"> x 10-3 = 67,2 </w:t>
      </w:r>
      <w:r w:rsidRPr="001352AB">
        <w:rPr>
          <w:rFonts w:ascii="Sylfaen" w:eastAsiaTheme="minorEastAsia" w:hAnsi="Sylfaen" w:cs="Sylfaen"/>
        </w:rPr>
        <w:t>ტ</w:t>
      </w:r>
      <w:r w:rsidRPr="001352AB">
        <w:rPr>
          <w:rFonts w:eastAsiaTheme="minorEastAsia"/>
        </w:rPr>
        <w:t>/</w:t>
      </w:r>
      <w:r w:rsidRPr="001352AB">
        <w:rPr>
          <w:rFonts w:ascii="Sylfaen" w:eastAsiaTheme="minorEastAsia" w:hAnsi="Sylfaen" w:cs="Sylfaen"/>
        </w:rPr>
        <w:t>წელ</w:t>
      </w:r>
      <w:r w:rsidRPr="001352AB">
        <w:rPr>
          <w:rFonts w:eastAsiaTheme="minorEastAsia"/>
        </w:rPr>
        <w:t xml:space="preserve">; </w:t>
      </w:r>
      <w:r w:rsidRPr="001352AB">
        <w:rPr>
          <w:rFonts w:ascii="Sylfaen" w:eastAsiaTheme="minorEastAsia" w:hAnsi="Sylfaen" w:cs="Sylfaen"/>
        </w:rPr>
        <w:t>ქსოვილიანი</w:t>
      </w:r>
      <w:r w:rsidRPr="001352AB">
        <w:rPr>
          <w:rFonts w:eastAsiaTheme="minorEastAsia"/>
        </w:rPr>
        <w:t xml:space="preserve"> </w:t>
      </w:r>
      <w:r w:rsidRPr="001352AB">
        <w:rPr>
          <w:rFonts w:ascii="Sylfaen" w:eastAsiaTheme="minorEastAsia" w:hAnsi="Sylfaen" w:cs="Sylfaen"/>
        </w:rPr>
        <w:t>ფილტრის</w:t>
      </w:r>
      <w:r w:rsidRPr="001352AB">
        <w:rPr>
          <w:rFonts w:eastAsiaTheme="minorEastAsia"/>
        </w:rPr>
        <w:t xml:space="preserve"> </w:t>
      </w:r>
      <w:r w:rsidRPr="001352AB">
        <w:rPr>
          <w:rFonts w:ascii="Sylfaen" w:eastAsiaTheme="minorEastAsia" w:hAnsi="Sylfaen" w:cs="Sylfaen"/>
        </w:rPr>
        <w:t>საპასპორტო</w:t>
      </w:r>
      <w:r w:rsidRPr="001352AB">
        <w:rPr>
          <w:rFonts w:eastAsiaTheme="minorEastAsia"/>
        </w:rPr>
        <w:t xml:space="preserve"> </w:t>
      </w:r>
      <w:r w:rsidRPr="001352AB">
        <w:rPr>
          <w:rFonts w:ascii="Sylfaen" w:eastAsiaTheme="minorEastAsia" w:hAnsi="Sylfaen" w:cs="Sylfaen"/>
        </w:rPr>
        <w:t>ეფექტურობის</w:t>
      </w:r>
      <w:r w:rsidRPr="001352AB">
        <w:rPr>
          <w:rFonts w:eastAsiaTheme="minorEastAsia"/>
        </w:rPr>
        <w:t xml:space="preserve"> </w:t>
      </w:r>
      <w:r w:rsidRPr="001352AB">
        <w:rPr>
          <w:rFonts w:ascii="Sylfaen" w:eastAsiaTheme="minorEastAsia" w:hAnsi="Sylfaen" w:cs="Sylfaen"/>
        </w:rPr>
        <w:t>გათვალისწინებით</w:t>
      </w:r>
      <w:r w:rsidRPr="001352AB">
        <w:rPr>
          <w:rFonts w:eastAsiaTheme="minorEastAsia"/>
        </w:rPr>
        <w:t xml:space="preserve"> </w:t>
      </w:r>
      <w:r w:rsidRPr="001352AB">
        <w:rPr>
          <w:rFonts w:ascii="Sylfaen" w:eastAsiaTheme="minorEastAsia" w:hAnsi="Sylfaen" w:cs="Sylfaen"/>
        </w:rPr>
        <w:t>ემისია</w:t>
      </w:r>
      <w:r w:rsidRPr="001352AB">
        <w:rPr>
          <w:rFonts w:eastAsiaTheme="minorEastAsia"/>
        </w:rPr>
        <w:t xml:space="preserve"> </w:t>
      </w:r>
      <w:r w:rsidRPr="001352AB">
        <w:rPr>
          <w:rFonts w:ascii="Sylfaen" w:eastAsiaTheme="minorEastAsia" w:hAnsi="Sylfaen" w:cs="Sylfaen"/>
        </w:rPr>
        <w:t>იქნება</w:t>
      </w:r>
      <w:r w:rsidRPr="001352AB">
        <w:rPr>
          <w:rFonts w:eastAsiaTheme="minorEastAsia"/>
        </w:rPr>
        <w:t>:</w:t>
      </w:r>
    </w:p>
    <w:p w14:paraId="36C31CFF" w14:textId="77777777" w:rsidR="00CD64B5" w:rsidRPr="001352AB" w:rsidRDefault="00CD64B5" w:rsidP="00CD64B5">
      <w:pPr>
        <w:spacing w:before="120" w:after="120"/>
        <w:rPr>
          <w:rFonts w:eastAsiaTheme="minorEastAsia"/>
        </w:rPr>
      </w:pPr>
      <w:r w:rsidRPr="001352AB">
        <w:rPr>
          <w:rFonts w:eastAsiaTheme="minorEastAsia"/>
        </w:rPr>
        <w:t xml:space="preserve">67,2 </w:t>
      </w:r>
      <w:r w:rsidRPr="001352AB">
        <w:rPr>
          <w:rFonts w:ascii="Sylfaen" w:eastAsiaTheme="minorEastAsia" w:hAnsi="Sylfaen" w:cs="Sylfaen"/>
        </w:rPr>
        <w:t>ტ</w:t>
      </w:r>
      <w:r w:rsidRPr="001352AB">
        <w:rPr>
          <w:rFonts w:eastAsiaTheme="minorEastAsia"/>
        </w:rPr>
        <w:t>/</w:t>
      </w:r>
      <w:r w:rsidRPr="001352AB">
        <w:rPr>
          <w:rFonts w:ascii="Sylfaen" w:eastAsiaTheme="minorEastAsia" w:hAnsi="Sylfaen" w:cs="Sylfaen"/>
        </w:rPr>
        <w:t>წელ</w:t>
      </w:r>
      <w:r w:rsidRPr="001352AB">
        <w:rPr>
          <w:rFonts w:eastAsiaTheme="minorEastAsia"/>
        </w:rPr>
        <w:t xml:space="preserve"> x (1-0,998)= 0,1344 </w:t>
      </w:r>
      <w:r w:rsidRPr="001352AB">
        <w:rPr>
          <w:rFonts w:ascii="Sylfaen" w:eastAsiaTheme="minorEastAsia" w:hAnsi="Sylfaen" w:cs="Sylfaen"/>
        </w:rPr>
        <w:t>ტ</w:t>
      </w:r>
      <w:r w:rsidRPr="001352AB">
        <w:rPr>
          <w:rFonts w:eastAsiaTheme="minorEastAsia"/>
        </w:rPr>
        <w:t>/</w:t>
      </w:r>
      <w:r w:rsidRPr="001352AB">
        <w:rPr>
          <w:rFonts w:ascii="Sylfaen" w:eastAsiaTheme="minorEastAsia" w:hAnsi="Sylfaen" w:cs="Sylfaen"/>
        </w:rPr>
        <w:t>წელ</w:t>
      </w:r>
      <w:r w:rsidRPr="001352AB">
        <w:rPr>
          <w:rFonts w:eastAsiaTheme="minorEastAsia"/>
        </w:rPr>
        <w:t>.</w:t>
      </w:r>
    </w:p>
    <w:p w14:paraId="763C3B6C"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მაქსიმალური</w:t>
      </w:r>
      <w:r w:rsidRPr="001352AB">
        <w:rPr>
          <w:rFonts w:eastAsiaTheme="minorEastAsia"/>
        </w:rPr>
        <w:t xml:space="preserve"> </w:t>
      </w:r>
      <w:r w:rsidRPr="001352AB">
        <w:rPr>
          <w:rFonts w:ascii="Sylfaen" w:eastAsiaTheme="minorEastAsia" w:hAnsi="Sylfaen" w:cs="Sylfaen"/>
        </w:rPr>
        <w:t>წამური</w:t>
      </w:r>
      <w:r w:rsidRPr="001352AB">
        <w:rPr>
          <w:rFonts w:eastAsiaTheme="minorEastAsia"/>
        </w:rPr>
        <w:t xml:space="preserve"> </w:t>
      </w:r>
      <w:r w:rsidRPr="001352AB">
        <w:rPr>
          <w:rFonts w:ascii="Sylfaen" w:eastAsiaTheme="minorEastAsia" w:hAnsi="Sylfaen" w:cs="Sylfaen"/>
        </w:rPr>
        <w:t>ემისიის</w:t>
      </w:r>
      <w:r w:rsidRPr="001352AB">
        <w:rPr>
          <w:rFonts w:eastAsiaTheme="minorEastAsia"/>
        </w:rPr>
        <w:t xml:space="preserve"> </w:t>
      </w:r>
      <w:r w:rsidRPr="001352AB">
        <w:rPr>
          <w:rFonts w:ascii="Sylfaen" w:eastAsiaTheme="minorEastAsia" w:hAnsi="Sylfaen" w:cs="Sylfaen"/>
        </w:rPr>
        <w:t>გაანგარიშება</w:t>
      </w:r>
      <w:r w:rsidRPr="001352AB">
        <w:rPr>
          <w:rFonts w:eastAsiaTheme="minorEastAsia"/>
        </w:rPr>
        <w:t>:</w:t>
      </w:r>
    </w:p>
    <w:p w14:paraId="7FC0A7CD"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ერთი</w:t>
      </w:r>
      <w:r w:rsidRPr="001352AB">
        <w:rPr>
          <w:rFonts w:eastAsiaTheme="minorEastAsia"/>
        </w:rPr>
        <w:t xml:space="preserve"> </w:t>
      </w:r>
      <w:r w:rsidRPr="001352AB">
        <w:rPr>
          <w:rFonts w:ascii="Sylfaen" w:eastAsiaTheme="minorEastAsia" w:hAnsi="Sylfaen" w:cs="Sylfaen"/>
        </w:rPr>
        <w:t>ცემენტმზიდის</w:t>
      </w:r>
      <w:r w:rsidRPr="001352AB">
        <w:rPr>
          <w:rFonts w:eastAsiaTheme="minorEastAsia"/>
        </w:rPr>
        <w:t xml:space="preserve"> </w:t>
      </w:r>
      <w:r w:rsidRPr="001352AB">
        <w:rPr>
          <w:rFonts w:ascii="Sylfaen" w:eastAsiaTheme="minorEastAsia" w:hAnsi="Sylfaen" w:cs="Sylfaen"/>
        </w:rPr>
        <w:t>საშუალო</w:t>
      </w:r>
      <w:r w:rsidRPr="001352AB">
        <w:rPr>
          <w:rFonts w:eastAsiaTheme="minorEastAsia"/>
        </w:rPr>
        <w:t xml:space="preserve"> </w:t>
      </w:r>
      <w:r w:rsidRPr="001352AB">
        <w:rPr>
          <w:rFonts w:ascii="Sylfaen" w:eastAsiaTheme="minorEastAsia" w:hAnsi="Sylfaen" w:cs="Sylfaen"/>
        </w:rPr>
        <w:t>ტვირთამწეობაა</w:t>
      </w:r>
      <w:r w:rsidRPr="001352AB">
        <w:rPr>
          <w:rFonts w:eastAsiaTheme="minorEastAsia"/>
        </w:rPr>
        <w:t xml:space="preserve"> 30 </w:t>
      </w:r>
      <w:r w:rsidRPr="001352AB">
        <w:rPr>
          <w:rFonts w:ascii="Sylfaen" w:eastAsiaTheme="minorEastAsia" w:hAnsi="Sylfaen" w:cs="Sylfaen"/>
        </w:rPr>
        <w:t>ტნ</w:t>
      </w:r>
      <w:r w:rsidRPr="001352AB">
        <w:rPr>
          <w:rFonts w:eastAsiaTheme="minorEastAsia"/>
        </w:rPr>
        <w:t xml:space="preserve">, </w:t>
      </w:r>
      <w:r w:rsidRPr="001352AB">
        <w:rPr>
          <w:rFonts w:ascii="Sylfaen" w:eastAsiaTheme="minorEastAsia" w:hAnsi="Sylfaen" w:cs="Sylfaen"/>
        </w:rPr>
        <w:t>დაცლის</w:t>
      </w:r>
      <w:r w:rsidRPr="001352AB">
        <w:rPr>
          <w:rFonts w:eastAsiaTheme="minorEastAsia"/>
        </w:rPr>
        <w:t xml:space="preserve"> </w:t>
      </w:r>
      <w:r w:rsidRPr="001352AB">
        <w:rPr>
          <w:rFonts w:ascii="Sylfaen" w:eastAsiaTheme="minorEastAsia" w:hAnsi="Sylfaen" w:cs="Sylfaen"/>
        </w:rPr>
        <w:t>დრო</w:t>
      </w:r>
      <w:r w:rsidRPr="001352AB">
        <w:rPr>
          <w:rFonts w:eastAsiaTheme="minorEastAsia"/>
        </w:rPr>
        <w:t xml:space="preserve"> 1</w:t>
      </w:r>
      <w:r w:rsidRPr="001352AB">
        <w:rPr>
          <w:rFonts w:ascii="Sylfaen" w:eastAsiaTheme="minorEastAsia" w:hAnsi="Sylfaen" w:cs="Sylfaen"/>
        </w:rPr>
        <w:t>სთ</w:t>
      </w:r>
      <w:r w:rsidRPr="001352AB">
        <w:rPr>
          <w:rFonts w:eastAsiaTheme="minorEastAsia"/>
        </w:rPr>
        <w:t xml:space="preserve">. (3600 </w:t>
      </w:r>
      <w:r w:rsidRPr="001352AB">
        <w:rPr>
          <w:rFonts w:ascii="Sylfaen" w:eastAsiaTheme="minorEastAsia" w:hAnsi="Sylfaen" w:cs="Sylfaen"/>
        </w:rPr>
        <w:t>წმ</w:t>
      </w:r>
      <w:r w:rsidRPr="001352AB">
        <w:rPr>
          <w:rFonts w:eastAsiaTheme="minorEastAsia"/>
        </w:rPr>
        <w:t xml:space="preserve">); </w:t>
      </w:r>
      <w:r w:rsidRPr="001352AB">
        <w:rPr>
          <w:rFonts w:ascii="Sylfaen" w:eastAsiaTheme="minorEastAsia" w:hAnsi="Sylfaen" w:cs="Sylfaen"/>
        </w:rPr>
        <w:t>ცემენტის</w:t>
      </w:r>
      <w:r w:rsidRPr="001352AB">
        <w:rPr>
          <w:rFonts w:eastAsiaTheme="minorEastAsia"/>
        </w:rPr>
        <w:t xml:space="preserve"> </w:t>
      </w:r>
      <w:r w:rsidRPr="001352AB">
        <w:rPr>
          <w:rFonts w:ascii="Sylfaen" w:eastAsiaTheme="minorEastAsia" w:hAnsi="Sylfaen" w:cs="Sylfaen"/>
        </w:rPr>
        <w:t>მტვრის</w:t>
      </w:r>
      <w:r w:rsidRPr="001352AB">
        <w:rPr>
          <w:rFonts w:eastAsiaTheme="minorEastAsia"/>
        </w:rPr>
        <w:t xml:space="preserve"> </w:t>
      </w:r>
      <w:r w:rsidRPr="001352AB">
        <w:rPr>
          <w:rFonts w:ascii="Sylfaen" w:eastAsiaTheme="minorEastAsia" w:hAnsi="Sylfaen" w:cs="Sylfaen"/>
        </w:rPr>
        <w:t>წამური</w:t>
      </w:r>
      <w:r w:rsidRPr="001352AB">
        <w:rPr>
          <w:rFonts w:eastAsiaTheme="minorEastAsia"/>
        </w:rPr>
        <w:t xml:space="preserve"> </w:t>
      </w:r>
      <w:r w:rsidRPr="001352AB">
        <w:rPr>
          <w:rFonts w:ascii="Sylfaen" w:eastAsiaTheme="minorEastAsia" w:hAnsi="Sylfaen" w:cs="Sylfaen"/>
        </w:rPr>
        <w:t>გამოყოფა</w:t>
      </w:r>
      <w:r w:rsidRPr="001352AB">
        <w:rPr>
          <w:rFonts w:eastAsiaTheme="minorEastAsia"/>
        </w:rPr>
        <w:t xml:space="preserve"> </w:t>
      </w:r>
      <w:r w:rsidRPr="001352AB">
        <w:rPr>
          <w:rFonts w:ascii="Sylfaen" w:eastAsiaTheme="minorEastAsia" w:hAnsi="Sylfaen" w:cs="Sylfaen"/>
        </w:rPr>
        <w:t>იქნება</w:t>
      </w:r>
      <w:r w:rsidRPr="001352AB">
        <w:rPr>
          <w:rFonts w:eastAsiaTheme="minorEastAsia"/>
        </w:rPr>
        <w:t xml:space="preserve"> 30</w:t>
      </w:r>
      <w:r w:rsidRPr="001352AB">
        <w:rPr>
          <w:rFonts w:ascii="Sylfaen" w:eastAsiaTheme="minorEastAsia" w:hAnsi="Sylfaen" w:cs="Sylfaen"/>
        </w:rPr>
        <w:t>ტ</w:t>
      </w:r>
      <w:r w:rsidRPr="001352AB">
        <w:rPr>
          <w:rFonts w:eastAsiaTheme="minorEastAsia"/>
        </w:rPr>
        <w:t xml:space="preserve"> x 0,8</w:t>
      </w:r>
      <w:r w:rsidRPr="001352AB">
        <w:rPr>
          <w:rFonts w:ascii="Sylfaen" w:eastAsiaTheme="minorEastAsia" w:hAnsi="Sylfaen" w:cs="Sylfaen"/>
        </w:rPr>
        <w:t>კგ</w:t>
      </w:r>
      <w:r w:rsidRPr="001352AB">
        <w:rPr>
          <w:rFonts w:eastAsiaTheme="minorEastAsia"/>
        </w:rPr>
        <w:t>/</w:t>
      </w:r>
      <w:r w:rsidRPr="001352AB">
        <w:rPr>
          <w:rFonts w:ascii="Sylfaen" w:eastAsiaTheme="minorEastAsia" w:hAnsi="Sylfaen" w:cs="Sylfaen"/>
        </w:rPr>
        <w:t>ტ</w:t>
      </w:r>
      <w:r w:rsidRPr="001352AB">
        <w:rPr>
          <w:rFonts w:eastAsiaTheme="minorEastAsia"/>
        </w:rPr>
        <w:t xml:space="preserve"> x 103 / 3600</w:t>
      </w:r>
      <w:r w:rsidRPr="001352AB">
        <w:rPr>
          <w:rFonts w:ascii="Sylfaen" w:eastAsiaTheme="minorEastAsia" w:hAnsi="Sylfaen" w:cs="Sylfaen"/>
        </w:rPr>
        <w:t>წმ</w:t>
      </w:r>
      <w:r w:rsidRPr="001352AB">
        <w:rPr>
          <w:rFonts w:eastAsiaTheme="minorEastAsia"/>
        </w:rPr>
        <w:t xml:space="preserve"> = 6,667 </w:t>
      </w:r>
      <w:r w:rsidRPr="001352AB">
        <w:rPr>
          <w:rFonts w:ascii="Sylfaen" w:eastAsiaTheme="minorEastAsia" w:hAnsi="Sylfaen" w:cs="Sylfaen"/>
        </w:rPr>
        <w:t>გ</w:t>
      </w:r>
      <w:r w:rsidRPr="001352AB">
        <w:rPr>
          <w:rFonts w:eastAsiaTheme="minorEastAsia"/>
        </w:rPr>
        <w:t>/</w:t>
      </w:r>
      <w:r w:rsidRPr="001352AB">
        <w:rPr>
          <w:rFonts w:ascii="Sylfaen" w:eastAsiaTheme="minorEastAsia" w:hAnsi="Sylfaen" w:cs="Sylfaen"/>
        </w:rPr>
        <w:t>წმ</w:t>
      </w:r>
      <w:r w:rsidRPr="001352AB">
        <w:rPr>
          <w:rFonts w:eastAsiaTheme="minorEastAsia"/>
        </w:rPr>
        <w:t xml:space="preserve">; </w:t>
      </w:r>
    </w:p>
    <w:p w14:paraId="1CF25032"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ქსოვილიანი</w:t>
      </w:r>
      <w:r w:rsidRPr="001352AB">
        <w:rPr>
          <w:rFonts w:eastAsiaTheme="minorEastAsia"/>
        </w:rPr>
        <w:t xml:space="preserve"> </w:t>
      </w:r>
      <w:r w:rsidRPr="001352AB">
        <w:rPr>
          <w:rFonts w:ascii="Sylfaen" w:eastAsiaTheme="minorEastAsia" w:hAnsi="Sylfaen" w:cs="Sylfaen"/>
        </w:rPr>
        <w:t>ფილტრის</w:t>
      </w:r>
      <w:r w:rsidRPr="001352AB">
        <w:rPr>
          <w:rFonts w:eastAsiaTheme="minorEastAsia"/>
        </w:rPr>
        <w:t xml:space="preserve"> </w:t>
      </w:r>
      <w:r w:rsidRPr="001352AB">
        <w:rPr>
          <w:rFonts w:ascii="Sylfaen" w:eastAsiaTheme="minorEastAsia" w:hAnsi="Sylfaen" w:cs="Sylfaen"/>
        </w:rPr>
        <w:t>ეფექტურობის</w:t>
      </w:r>
      <w:r w:rsidRPr="001352AB">
        <w:rPr>
          <w:rFonts w:eastAsiaTheme="minorEastAsia"/>
        </w:rPr>
        <w:t xml:space="preserve"> </w:t>
      </w:r>
      <w:r w:rsidRPr="001352AB">
        <w:rPr>
          <w:rFonts w:ascii="Sylfaen" w:eastAsiaTheme="minorEastAsia" w:hAnsi="Sylfaen" w:cs="Sylfaen"/>
        </w:rPr>
        <w:t>გათვალისწინებით</w:t>
      </w:r>
      <w:r w:rsidRPr="001352AB">
        <w:rPr>
          <w:rFonts w:eastAsiaTheme="minorEastAsia"/>
        </w:rPr>
        <w:t xml:space="preserve"> </w:t>
      </w:r>
      <w:r w:rsidRPr="001352AB">
        <w:rPr>
          <w:rFonts w:ascii="Sylfaen" w:eastAsiaTheme="minorEastAsia" w:hAnsi="Sylfaen" w:cs="Sylfaen"/>
        </w:rPr>
        <w:t>გვექნება</w:t>
      </w:r>
      <w:r w:rsidRPr="001352AB">
        <w:rPr>
          <w:rFonts w:eastAsiaTheme="minorEastAsia"/>
        </w:rPr>
        <w:t xml:space="preserve">: 6,667 </w:t>
      </w:r>
      <w:r w:rsidRPr="001352AB">
        <w:rPr>
          <w:rFonts w:ascii="Sylfaen" w:eastAsiaTheme="minorEastAsia" w:hAnsi="Sylfaen" w:cs="Sylfaen"/>
        </w:rPr>
        <w:t>გ</w:t>
      </w:r>
      <w:r w:rsidRPr="001352AB">
        <w:rPr>
          <w:rFonts w:eastAsiaTheme="minorEastAsia"/>
        </w:rPr>
        <w:t>/</w:t>
      </w:r>
      <w:r w:rsidRPr="001352AB">
        <w:rPr>
          <w:rFonts w:ascii="Sylfaen" w:eastAsiaTheme="minorEastAsia" w:hAnsi="Sylfaen" w:cs="Sylfaen"/>
        </w:rPr>
        <w:t>წმ</w:t>
      </w:r>
      <w:r w:rsidRPr="001352AB">
        <w:rPr>
          <w:rFonts w:eastAsiaTheme="minorEastAsia"/>
        </w:rPr>
        <w:t xml:space="preserve"> x(1-0,998)= 0,014 </w:t>
      </w:r>
      <w:r w:rsidRPr="001352AB">
        <w:rPr>
          <w:rFonts w:ascii="Sylfaen" w:eastAsiaTheme="minorEastAsia" w:hAnsi="Sylfaen" w:cs="Sylfaen"/>
        </w:rPr>
        <w:t>გ</w:t>
      </w:r>
      <w:r w:rsidRPr="001352AB">
        <w:rPr>
          <w:rFonts w:eastAsiaTheme="minorEastAsia"/>
        </w:rPr>
        <w:t>/</w:t>
      </w:r>
      <w:r w:rsidRPr="001352AB">
        <w:rPr>
          <w:rFonts w:ascii="Sylfaen" w:eastAsiaTheme="minorEastAsia" w:hAnsi="Sylfaen" w:cs="Sylfaen"/>
        </w:rPr>
        <w:t>წმ</w:t>
      </w:r>
      <w:r w:rsidRPr="001352AB">
        <w:rPr>
          <w:rFonts w:eastAsiaTheme="minorEastAsia"/>
        </w:rPr>
        <w:t>.</w:t>
      </w:r>
    </w:p>
    <w:p w14:paraId="16FB5739"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lastRenderedPageBreak/>
        <w:t>უშუალოდ</w:t>
      </w:r>
      <w:r w:rsidRPr="001352AB">
        <w:rPr>
          <w:rFonts w:eastAsiaTheme="minorEastAsia"/>
        </w:rPr>
        <w:t xml:space="preserve"> </w:t>
      </w:r>
      <w:r w:rsidRPr="001352AB">
        <w:rPr>
          <w:rFonts w:ascii="Sylfaen" w:eastAsiaTheme="minorEastAsia" w:hAnsi="Sylfaen" w:cs="Sylfaen"/>
        </w:rPr>
        <w:t>ბეტონშემრევი</w:t>
      </w:r>
      <w:r w:rsidRPr="001352AB">
        <w:rPr>
          <w:rFonts w:eastAsiaTheme="minorEastAsia"/>
        </w:rPr>
        <w:t xml:space="preserve"> </w:t>
      </w:r>
      <w:r w:rsidRPr="001352AB">
        <w:rPr>
          <w:rFonts w:ascii="Sylfaen" w:eastAsiaTheme="minorEastAsia" w:hAnsi="Sylfaen" w:cs="Sylfaen"/>
        </w:rPr>
        <w:t>წარმოადგენს</w:t>
      </w:r>
      <w:r w:rsidRPr="001352AB">
        <w:rPr>
          <w:rFonts w:eastAsiaTheme="minorEastAsia"/>
        </w:rPr>
        <w:t xml:space="preserve"> </w:t>
      </w:r>
      <w:r w:rsidRPr="001352AB">
        <w:rPr>
          <w:rFonts w:ascii="Sylfaen" w:eastAsiaTheme="minorEastAsia" w:hAnsi="Sylfaen" w:cs="Sylfaen"/>
        </w:rPr>
        <w:t>ყველა</w:t>
      </w:r>
      <w:r w:rsidRPr="001352AB">
        <w:rPr>
          <w:rFonts w:eastAsiaTheme="minorEastAsia"/>
        </w:rPr>
        <w:t xml:space="preserve"> </w:t>
      </w:r>
      <w:r w:rsidRPr="001352AB">
        <w:rPr>
          <w:rFonts w:ascii="Sylfaen" w:eastAsiaTheme="minorEastAsia" w:hAnsi="Sylfaen" w:cs="Sylfaen"/>
        </w:rPr>
        <w:t>მხრიდან</w:t>
      </w:r>
      <w:r w:rsidRPr="001352AB">
        <w:rPr>
          <w:rFonts w:eastAsiaTheme="minorEastAsia"/>
        </w:rPr>
        <w:t xml:space="preserve"> </w:t>
      </w:r>
      <w:r w:rsidRPr="001352AB">
        <w:rPr>
          <w:rFonts w:ascii="Sylfaen" w:eastAsiaTheme="minorEastAsia" w:hAnsi="Sylfaen" w:cs="Sylfaen"/>
        </w:rPr>
        <w:t>დახურულ</w:t>
      </w:r>
      <w:r w:rsidRPr="001352AB">
        <w:rPr>
          <w:rFonts w:eastAsiaTheme="minorEastAsia"/>
        </w:rPr>
        <w:t xml:space="preserve"> </w:t>
      </w:r>
      <w:r w:rsidRPr="001352AB">
        <w:rPr>
          <w:rFonts w:ascii="Sylfaen" w:eastAsiaTheme="minorEastAsia" w:hAnsi="Sylfaen" w:cs="Sylfaen"/>
        </w:rPr>
        <w:t>სისტემას</w:t>
      </w:r>
      <w:r w:rsidRPr="001352AB">
        <w:rPr>
          <w:rFonts w:eastAsiaTheme="minorEastAsia"/>
        </w:rPr>
        <w:t xml:space="preserve"> </w:t>
      </w:r>
      <w:r w:rsidRPr="001352AB">
        <w:rPr>
          <w:rFonts w:ascii="Sylfaen" w:eastAsiaTheme="minorEastAsia" w:hAnsi="Sylfaen" w:cs="Sylfaen"/>
        </w:rPr>
        <w:t>და</w:t>
      </w:r>
      <w:r w:rsidRPr="001352AB">
        <w:rPr>
          <w:rFonts w:eastAsiaTheme="minorEastAsia"/>
        </w:rPr>
        <w:t xml:space="preserve"> </w:t>
      </w:r>
      <w:r w:rsidRPr="001352AB">
        <w:rPr>
          <w:rFonts w:ascii="Sylfaen" w:eastAsiaTheme="minorEastAsia" w:hAnsi="Sylfaen" w:cs="Sylfaen"/>
        </w:rPr>
        <w:t>მას</w:t>
      </w:r>
      <w:r w:rsidRPr="001352AB">
        <w:rPr>
          <w:rFonts w:eastAsiaTheme="minorEastAsia"/>
        </w:rPr>
        <w:t xml:space="preserve"> </w:t>
      </w:r>
      <w:r w:rsidRPr="001352AB">
        <w:rPr>
          <w:rFonts w:ascii="Sylfaen" w:eastAsiaTheme="minorEastAsia" w:hAnsi="Sylfaen" w:cs="Sylfaen"/>
        </w:rPr>
        <w:t>არ</w:t>
      </w:r>
      <w:r w:rsidRPr="001352AB">
        <w:rPr>
          <w:rFonts w:eastAsiaTheme="minorEastAsia"/>
        </w:rPr>
        <w:t xml:space="preserve"> </w:t>
      </w:r>
      <w:r w:rsidRPr="001352AB">
        <w:rPr>
          <w:rFonts w:ascii="Sylfaen" w:eastAsiaTheme="minorEastAsia" w:hAnsi="Sylfaen" w:cs="Sylfaen"/>
        </w:rPr>
        <w:t>გააჩნია</w:t>
      </w:r>
      <w:r w:rsidRPr="001352AB">
        <w:rPr>
          <w:rFonts w:eastAsiaTheme="minorEastAsia"/>
        </w:rPr>
        <w:t xml:space="preserve"> </w:t>
      </w:r>
      <w:r w:rsidRPr="001352AB">
        <w:rPr>
          <w:rFonts w:ascii="Sylfaen" w:eastAsiaTheme="minorEastAsia" w:hAnsi="Sylfaen" w:cs="Sylfaen"/>
        </w:rPr>
        <w:t>კავშირი</w:t>
      </w:r>
      <w:r w:rsidRPr="001352AB">
        <w:rPr>
          <w:rFonts w:eastAsiaTheme="minorEastAsia"/>
        </w:rPr>
        <w:t xml:space="preserve"> </w:t>
      </w:r>
      <w:r w:rsidRPr="001352AB">
        <w:rPr>
          <w:rFonts w:ascii="Sylfaen" w:eastAsiaTheme="minorEastAsia" w:hAnsi="Sylfaen" w:cs="Sylfaen"/>
        </w:rPr>
        <w:t>ატმოსფერულ</w:t>
      </w:r>
      <w:r w:rsidRPr="001352AB">
        <w:rPr>
          <w:rFonts w:eastAsiaTheme="minorEastAsia"/>
        </w:rPr>
        <w:t xml:space="preserve"> </w:t>
      </w:r>
      <w:r w:rsidRPr="001352AB">
        <w:rPr>
          <w:rFonts w:ascii="Sylfaen" w:eastAsiaTheme="minorEastAsia" w:hAnsi="Sylfaen" w:cs="Sylfaen"/>
        </w:rPr>
        <w:t>ჰაერთან</w:t>
      </w:r>
      <w:r w:rsidRPr="001352AB">
        <w:rPr>
          <w:rFonts w:eastAsiaTheme="minorEastAsia"/>
        </w:rPr>
        <w:t xml:space="preserve">, </w:t>
      </w:r>
      <w:r w:rsidRPr="001352AB">
        <w:rPr>
          <w:rFonts w:ascii="Sylfaen" w:eastAsiaTheme="minorEastAsia" w:hAnsi="Sylfaen" w:cs="Sylfaen"/>
        </w:rPr>
        <w:t>შესაბამისად</w:t>
      </w:r>
      <w:r w:rsidRPr="001352AB">
        <w:rPr>
          <w:rFonts w:eastAsiaTheme="minorEastAsia"/>
        </w:rPr>
        <w:t xml:space="preserve"> </w:t>
      </w:r>
      <w:r w:rsidRPr="001352AB">
        <w:rPr>
          <w:rFonts w:ascii="Sylfaen" w:eastAsiaTheme="minorEastAsia" w:hAnsi="Sylfaen" w:cs="Sylfaen"/>
        </w:rPr>
        <w:t>ატმოსფეროში</w:t>
      </w:r>
      <w:r w:rsidRPr="001352AB">
        <w:rPr>
          <w:rFonts w:eastAsiaTheme="minorEastAsia"/>
        </w:rPr>
        <w:t xml:space="preserve"> </w:t>
      </w:r>
      <w:r w:rsidRPr="001352AB">
        <w:rPr>
          <w:rFonts w:ascii="Sylfaen" w:eastAsiaTheme="minorEastAsia" w:hAnsi="Sylfaen" w:cs="Sylfaen"/>
        </w:rPr>
        <w:t>მტვრის</w:t>
      </w:r>
      <w:r w:rsidRPr="001352AB">
        <w:rPr>
          <w:rFonts w:eastAsiaTheme="minorEastAsia"/>
        </w:rPr>
        <w:t xml:space="preserve"> </w:t>
      </w:r>
      <w:r w:rsidRPr="001352AB">
        <w:rPr>
          <w:rFonts w:ascii="Sylfaen" w:eastAsiaTheme="minorEastAsia" w:hAnsi="Sylfaen" w:cs="Sylfaen"/>
        </w:rPr>
        <w:t>გამოყოფას</w:t>
      </w:r>
      <w:r w:rsidRPr="001352AB">
        <w:rPr>
          <w:rFonts w:eastAsiaTheme="minorEastAsia"/>
        </w:rPr>
        <w:t xml:space="preserve"> </w:t>
      </w:r>
      <w:r w:rsidRPr="001352AB">
        <w:rPr>
          <w:rFonts w:ascii="Sylfaen" w:eastAsiaTheme="minorEastAsia" w:hAnsi="Sylfaen" w:cs="Sylfaen"/>
        </w:rPr>
        <w:t>ადგილი</w:t>
      </w:r>
      <w:r w:rsidRPr="001352AB">
        <w:rPr>
          <w:rFonts w:eastAsiaTheme="minorEastAsia"/>
        </w:rPr>
        <w:t xml:space="preserve"> </w:t>
      </w:r>
      <w:r w:rsidRPr="001352AB">
        <w:rPr>
          <w:rFonts w:ascii="Sylfaen" w:eastAsiaTheme="minorEastAsia" w:hAnsi="Sylfaen" w:cs="Sylfaen"/>
        </w:rPr>
        <w:t>არა</w:t>
      </w:r>
      <w:r w:rsidRPr="001352AB">
        <w:rPr>
          <w:rFonts w:eastAsiaTheme="minorEastAsia"/>
        </w:rPr>
        <w:t xml:space="preserve"> </w:t>
      </w:r>
      <w:r w:rsidRPr="001352AB">
        <w:rPr>
          <w:rFonts w:ascii="Sylfaen" w:eastAsiaTheme="minorEastAsia" w:hAnsi="Sylfaen" w:cs="Sylfaen"/>
        </w:rPr>
        <w:t>აქვს</w:t>
      </w:r>
      <w:r w:rsidRPr="001352AB">
        <w:rPr>
          <w:rFonts w:eastAsiaTheme="minorEastAsia"/>
        </w:rPr>
        <w:t xml:space="preserve">. </w:t>
      </w:r>
    </w:p>
    <w:p w14:paraId="434DDD01" w14:textId="77777777" w:rsidR="00CD64B5" w:rsidRPr="001352AB" w:rsidRDefault="00CD64B5" w:rsidP="00CD64B5">
      <w:pPr>
        <w:spacing w:before="120" w:after="120"/>
        <w:rPr>
          <w:rFonts w:eastAsiaTheme="minorEastAsia"/>
        </w:rPr>
      </w:pPr>
      <w:r w:rsidRPr="001352AB">
        <w:rPr>
          <w:rFonts w:eastAsiaTheme="minorEastAsia"/>
        </w:rPr>
        <w:t>(</w:t>
      </w:r>
      <w:r w:rsidRPr="001352AB">
        <w:rPr>
          <w:rFonts w:ascii="Sylfaen" w:eastAsiaTheme="minorEastAsia" w:hAnsi="Sylfaen" w:cs="Sylfaen"/>
        </w:rPr>
        <w:t>ბეტონშემრევზე</w:t>
      </w:r>
      <w:r w:rsidRPr="001352AB">
        <w:rPr>
          <w:rFonts w:eastAsiaTheme="minorEastAsia"/>
        </w:rPr>
        <w:t xml:space="preserve"> </w:t>
      </w:r>
      <w:r w:rsidRPr="001352AB">
        <w:rPr>
          <w:rFonts w:ascii="Sylfaen" w:eastAsiaTheme="minorEastAsia" w:hAnsi="Sylfaen" w:cs="Sylfaen"/>
        </w:rPr>
        <w:t>დამონტაჟებული</w:t>
      </w:r>
      <w:r w:rsidRPr="001352AB">
        <w:rPr>
          <w:rFonts w:eastAsiaTheme="minorEastAsia"/>
        </w:rPr>
        <w:t xml:space="preserve"> </w:t>
      </w:r>
      <w:r w:rsidRPr="001352AB">
        <w:rPr>
          <w:rFonts w:ascii="Sylfaen" w:eastAsiaTheme="minorEastAsia" w:hAnsi="Sylfaen" w:cs="Sylfaen"/>
        </w:rPr>
        <w:t>დრეკადი</w:t>
      </w:r>
      <w:r w:rsidRPr="001352AB">
        <w:rPr>
          <w:rFonts w:eastAsiaTheme="minorEastAsia"/>
        </w:rPr>
        <w:t xml:space="preserve"> </w:t>
      </w:r>
      <w:r w:rsidRPr="001352AB">
        <w:rPr>
          <w:rFonts w:ascii="Sylfaen" w:eastAsiaTheme="minorEastAsia" w:hAnsi="Sylfaen" w:cs="Sylfaen"/>
        </w:rPr>
        <w:t>მილი</w:t>
      </w:r>
      <w:r w:rsidRPr="001352AB">
        <w:rPr>
          <w:rFonts w:eastAsiaTheme="minorEastAsia"/>
        </w:rPr>
        <w:t xml:space="preserve"> </w:t>
      </w:r>
      <w:r w:rsidRPr="001352AB">
        <w:rPr>
          <w:rFonts w:ascii="Sylfaen" w:eastAsiaTheme="minorEastAsia" w:hAnsi="Sylfaen" w:cs="Sylfaen"/>
        </w:rPr>
        <w:t>მიერთებულია</w:t>
      </w:r>
      <w:r w:rsidRPr="001352AB">
        <w:rPr>
          <w:rFonts w:eastAsiaTheme="minorEastAsia"/>
        </w:rPr>
        <w:t xml:space="preserve"> </w:t>
      </w:r>
      <w:r w:rsidRPr="001352AB">
        <w:rPr>
          <w:rFonts w:ascii="Sylfaen" w:eastAsiaTheme="minorEastAsia" w:hAnsi="Sylfaen" w:cs="Sylfaen"/>
        </w:rPr>
        <w:t>ზედა</w:t>
      </w:r>
      <w:r w:rsidRPr="001352AB">
        <w:rPr>
          <w:rFonts w:eastAsiaTheme="minorEastAsia"/>
        </w:rPr>
        <w:t xml:space="preserve"> </w:t>
      </w:r>
      <w:r w:rsidRPr="001352AB">
        <w:rPr>
          <w:rFonts w:ascii="Sylfaen" w:eastAsiaTheme="minorEastAsia" w:hAnsi="Sylfaen" w:cs="Sylfaen"/>
        </w:rPr>
        <w:t>ბუნკერთან</w:t>
      </w:r>
      <w:r w:rsidRPr="001352AB">
        <w:rPr>
          <w:rFonts w:eastAsiaTheme="minorEastAsia"/>
        </w:rPr>
        <w:t xml:space="preserve"> </w:t>
      </w:r>
      <w:r w:rsidRPr="001352AB">
        <w:rPr>
          <w:rFonts w:ascii="Sylfaen" w:eastAsiaTheme="minorEastAsia" w:hAnsi="Sylfaen" w:cs="Sylfaen"/>
        </w:rPr>
        <w:t>და</w:t>
      </w:r>
      <w:r w:rsidRPr="001352AB">
        <w:rPr>
          <w:rFonts w:eastAsiaTheme="minorEastAsia"/>
        </w:rPr>
        <w:t xml:space="preserve"> </w:t>
      </w:r>
      <w:r w:rsidRPr="001352AB">
        <w:rPr>
          <w:rFonts w:ascii="Sylfaen" w:eastAsiaTheme="minorEastAsia" w:hAnsi="Sylfaen" w:cs="Sylfaen"/>
        </w:rPr>
        <w:t>მასალების</w:t>
      </w:r>
      <w:r w:rsidRPr="001352AB">
        <w:rPr>
          <w:rFonts w:eastAsiaTheme="minorEastAsia"/>
        </w:rPr>
        <w:t xml:space="preserve"> </w:t>
      </w:r>
      <w:r w:rsidRPr="001352AB">
        <w:rPr>
          <w:rFonts w:ascii="Sylfaen" w:eastAsiaTheme="minorEastAsia" w:hAnsi="Sylfaen" w:cs="Sylfaen"/>
        </w:rPr>
        <w:t>ჩატვირთვის</w:t>
      </w:r>
      <w:r w:rsidRPr="001352AB">
        <w:rPr>
          <w:rFonts w:eastAsiaTheme="minorEastAsia"/>
        </w:rPr>
        <w:t xml:space="preserve"> </w:t>
      </w:r>
      <w:r w:rsidRPr="001352AB">
        <w:rPr>
          <w:rFonts w:ascii="Sylfaen" w:eastAsiaTheme="minorEastAsia" w:hAnsi="Sylfaen" w:cs="Sylfaen"/>
        </w:rPr>
        <w:t>მომენტში</w:t>
      </w:r>
      <w:r w:rsidRPr="001352AB">
        <w:rPr>
          <w:rFonts w:eastAsiaTheme="minorEastAsia"/>
        </w:rPr>
        <w:t xml:space="preserve"> </w:t>
      </w:r>
      <w:r w:rsidRPr="001352AB">
        <w:rPr>
          <w:rFonts w:ascii="Sylfaen" w:eastAsiaTheme="minorEastAsia" w:hAnsi="Sylfaen" w:cs="Sylfaen"/>
        </w:rPr>
        <w:t>წარმოქმნილი</w:t>
      </w:r>
      <w:r w:rsidRPr="001352AB">
        <w:rPr>
          <w:rFonts w:eastAsiaTheme="minorEastAsia"/>
        </w:rPr>
        <w:t xml:space="preserve"> </w:t>
      </w:r>
      <w:r w:rsidRPr="001352AB">
        <w:rPr>
          <w:rFonts w:ascii="Sylfaen" w:eastAsiaTheme="minorEastAsia" w:hAnsi="Sylfaen" w:cs="Sylfaen"/>
        </w:rPr>
        <w:t>მტვერი</w:t>
      </w:r>
      <w:r w:rsidRPr="001352AB">
        <w:rPr>
          <w:rFonts w:eastAsiaTheme="minorEastAsia"/>
        </w:rPr>
        <w:t xml:space="preserve"> </w:t>
      </w:r>
      <w:r w:rsidRPr="001352AB">
        <w:rPr>
          <w:rFonts w:ascii="Sylfaen" w:eastAsiaTheme="minorEastAsia" w:hAnsi="Sylfaen" w:cs="Sylfaen"/>
        </w:rPr>
        <w:t>მიემართება</w:t>
      </w:r>
      <w:r w:rsidRPr="001352AB">
        <w:rPr>
          <w:rFonts w:eastAsiaTheme="minorEastAsia"/>
        </w:rPr>
        <w:t xml:space="preserve"> </w:t>
      </w:r>
      <w:r w:rsidRPr="001352AB">
        <w:rPr>
          <w:rFonts w:ascii="Sylfaen" w:eastAsiaTheme="minorEastAsia" w:hAnsi="Sylfaen" w:cs="Sylfaen"/>
        </w:rPr>
        <w:t>უკან</w:t>
      </w:r>
      <w:r w:rsidRPr="001352AB">
        <w:rPr>
          <w:rFonts w:eastAsiaTheme="minorEastAsia"/>
        </w:rPr>
        <w:t xml:space="preserve">.) </w:t>
      </w:r>
    </w:p>
    <w:p w14:paraId="1D244B27"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გაანგარიშებული</w:t>
      </w:r>
      <w:r w:rsidRPr="001352AB">
        <w:rPr>
          <w:rFonts w:eastAsiaTheme="minorEastAsia"/>
        </w:rPr>
        <w:t xml:space="preserve"> </w:t>
      </w:r>
      <w:r w:rsidRPr="001352AB">
        <w:rPr>
          <w:rFonts w:ascii="Sylfaen" w:eastAsiaTheme="minorEastAsia" w:hAnsi="Sylfaen" w:cs="Sylfaen"/>
        </w:rPr>
        <w:t>ემისია</w:t>
      </w:r>
    </w:p>
    <w:tbl>
      <w:tblPr>
        <w:tblW w:w="4869" w:type="pct"/>
        <w:tblInd w:w="265" w:type="dxa"/>
        <w:tblCellMar>
          <w:left w:w="0" w:type="dxa"/>
          <w:right w:w="0" w:type="dxa"/>
        </w:tblCellMar>
        <w:tblLook w:val="04A0" w:firstRow="1" w:lastRow="0" w:firstColumn="1" w:lastColumn="0" w:noHBand="0" w:noVBand="1"/>
      </w:tblPr>
      <w:tblGrid>
        <w:gridCol w:w="767"/>
        <w:gridCol w:w="4158"/>
        <w:gridCol w:w="1038"/>
        <w:gridCol w:w="2078"/>
        <w:gridCol w:w="2076"/>
      </w:tblGrid>
      <w:tr w:rsidR="00CD64B5" w:rsidRPr="001352AB" w14:paraId="77F7F256" w14:textId="77777777" w:rsidTr="00CD64B5">
        <w:trPr>
          <w:trHeight w:val="291"/>
        </w:trPr>
        <w:tc>
          <w:tcPr>
            <w:tcW w:w="3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63DE34" w14:textId="77777777" w:rsidR="00CD64B5" w:rsidRPr="001352AB" w:rsidRDefault="00CD64B5" w:rsidP="00CD64B5">
            <w:pPr>
              <w:rPr>
                <w:rFonts w:eastAsiaTheme="minorEastAsia"/>
                <w:lang w:eastAsia="ru-RU"/>
              </w:rPr>
            </w:pPr>
            <w:r w:rsidRPr="001352AB">
              <w:rPr>
                <w:rFonts w:ascii="Sylfaen" w:hAnsi="Sylfaen" w:cs="Sylfaen"/>
              </w:rPr>
              <w:t>კოდი</w:t>
            </w:r>
          </w:p>
        </w:tc>
        <w:tc>
          <w:tcPr>
            <w:tcW w:w="20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502BDC" w14:textId="77777777" w:rsidR="00CD64B5" w:rsidRPr="001352AB" w:rsidRDefault="00CD64B5" w:rsidP="00CD64B5">
            <w:pPr>
              <w:rPr>
                <w:rFonts w:eastAsiaTheme="minorEastAsia"/>
              </w:rPr>
            </w:pPr>
            <w:r w:rsidRPr="001352AB">
              <w:rPr>
                <w:rFonts w:ascii="Sylfaen" w:hAnsi="Sylfaen" w:cs="Sylfaen"/>
              </w:rPr>
              <w:t>ნივთიერების</w:t>
            </w:r>
            <w:r w:rsidRPr="001352AB">
              <w:t xml:space="preserve"> </w:t>
            </w:r>
            <w:r w:rsidRPr="001352AB">
              <w:rPr>
                <w:rFonts w:ascii="Sylfaen" w:hAnsi="Sylfaen" w:cs="Sylfaen"/>
              </w:rPr>
              <w:t>დასახელება</w:t>
            </w:r>
          </w:p>
        </w:tc>
        <w:tc>
          <w:tcPr>
            <w:tcW w:w="5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AF6EE3" w14:textId="77777777" w:rsidR="00CD64B5" w:rsidRPr="001352AB" w:rsidRDefault="00CD64B5" w:rsidP="00CD64B5">
            <w:r w:rsidRPr="001352AB">
              <w:t>%</w:t>
            </w:r>
          </w:p>
        </w:tc>
        <w:tc>
          <w:tcPr>
            <w:tcW w:w="10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3DDDBE" w14:textId="77777777" w:rsidR="00CD64B5" w:rsidRPr="001352AB" w:rsidRDefault="00CD64B5" w:rsidP="00CD64B5">
            <w:r w:rsidRPr="001352AB">
              <w:rPr>
                <w:rFonts w:ascii="Sylfaen" w:hAnsi="Sylfaen" w:cs="Sylfaen"/>
              </w:rPr>
              <w:t>მასა</w:t>
            </w:r>
            <w:r w:rsidRPr="001352AB">
              <w:t xml:space="preserve"> (</w:t>
            </w:r>
            <w:r w:rsidRPr="001352AB">
              <w:rPr>
                <w:rFonts w:ascii="Sylfaen" w:hAnsi="Sylfaen" w:cs="Sylfaen"/>
              </w:rPr>
              <w:t>გ</w:t>
            </w:r>
            <w:r w:rsidRPr="001352AB">
              <w:t>/</w:t>
            </w:r>
            <w:r w:rsidRPr="001352AB">
              <w:rPr>
                <w:rFonts w:ascii="Sylfaen" w:hAnsi="Sylfaen" w:cs="Sylfaen"/>
              </w:rPr>
              <w:t>წმ</w:t>
            </w:r>
            <w:r w:rsidRPr="001352AB">
              <w:t>)</w:t>
            </w:r>
          </w:p>
        </w:tc>
        <w:tc>
          <w:tcPr>
            <w:tcW w:w="10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70B5B6" w14:textId="77777777" w:rsidR="00CD64B5" w:rsidRPr="001352AB" w:rsidRDefault="00CD64B5" w:rsidP="00CD64B5">
            <w:r w:rsidRPr="001352AB">
              <w:rPr>
                <w:rFonts w:ascii="Sylfaen" w:hAnsi="Sylfaen" w:cs="Sylfaen"/>
              </w:rPr>
              <w:t>მასა</w:t>
            </w:r>
            <w:r w:rsidRPr="001352AB">
              <w:t xml:space="preserve"> (</w:t>
            </w:r>
            <w:r w:rsidRPr="001352AB">
              <w:rPr>
                <w:rFonts w:ascii="Sylfaen" w:hAnsi="Sylfaen" w:cs="Sylfaen"/>
              </w:rPr>
              <w:t>ტ</w:t>
            </w:r>
            <w:r w:rsidRPr="001352AB">
              <w:t>/</w:t>
            </w:r>
            <w:r w:rsidRPr="001352AB">
              <w:rPr>
                <w:rFonts w:ascii="Sylfaen" w:hAnsi="Sylfaen" w:cs="Sylfaen"/>
              </w:rPr>
              <w:t>წელ</w:t>
            </w:r>
            <w:r w:rsidRPr="001352AB">
              <w:t>)</w:t>
            </w:r>
          </w:p>
        </w:tc>
      </w:tr>
      <w:tr w:rsidR="00CD64B5" w:rsidRPr="001352AB" w14:paraId="007432F3" w14:textId="77777777" w:rsidTr="00CD64B5">
        <w:trPr>
          <w:trHeight w:val="307"/>
        </w:trPr>
        <w:tc>
          <w:tcPr>
            <w:tcW w:w="379" w:type="pct"/>
            <w:tcBorders>
              <w:top w:val="single" w:sz="4" w:space="0" w:color="auto"/>
              <w:left w:val="single" w:sz="4" w:space="0" w:color="auto"/>
              <w:bottom w:val="single" w:sz="4" w:space="0" w:color="auto"/>
              <w:right w:val="single" w:sz="4" w:space="0" w:color="auto"/>
            </w:tcBorders>
            <w:vAlign w:val="center"/>
            <w:hideMark/>
          </w:tcPr>
          <w:p w14:paraId="7E18CAAB" w14:textId="77777777" w:rsidR="00CD64B5" w:rsidRPr="001352AB" w:rsidRDefault="00CD64B5" w:rsidP="00CD64B5">
            <w:r w:rsidRPr="001352AB">
              <w:t>2908</w:t>
            </w:r>
          </w:p>
        </w:tc>
        <w:tc>
          <w:tcPr>
            <w:tcW w:w="2055" w:type="pct"/>
            <w:tcBorders>
              <w:top w:val="single" w:sz="4" w:space="0" w:color="auto"/>
              <w:left w:val="single" w:sz="4" w:space="0" w:color="auto"/>
              <w:bottom w:val="single" w:sz="4" w:space="0" w:color="auto"/>
              <w:right w:val="single" w:sz="4" w:space="0" w:color="auto"/>
            </w:tcBorders>
            <w:vAlign w:val="center"/>
            <w:hideMark/>
          </w:tcPr>
          <w:p w14:paraId="18240506" w14:textId="77777777" w:rsidR="00CD64B5" w:rsidRPr="001352AB" w:rsidRDefault="00CD64B5" w:rsidP="00CD64B5">
            <w:r w:rsidRPr="001352AB">
              <w:rPr>
                <w:rFonts w:ascii="Sylfaen" w:hAnsi="Sylfaen" w:cs="Sylfaen"/>
              </w:rPr>
              <w:t>არაორგანული</w:t>
            </w:r>
            <w:r w:rsidRPr="001352AB">
              <w:t xml:space="preserve"> (</w:t>
            </w:r>
            <w:r w:rsidRPr="001352AB">
              <w:rPr>
                <w:rFonts w:ascii="Sylfaen" w:hAnsi="Sylfaen" w:cs="Sylfaen"/>
              </w:rPr>
              <w:t>ცემენტის</w:t>
            </w:r>
            <w:r w:rsidRPr="001352AB">
              <w:t xml:space="preserve">) </w:t>
            </w:r>
            <w:r w:rsidRPr="001352AB">
              <w:rPr>
                <w:rFonts w:ascii="Sylfaen" w:hAnsi="Sylfaen" w:cs="Sylfaen"/>
              </w:rPr>
              <w:t>მტვერი</w:t>
            </w:r>
          </w:p>
        </w:tc>
        <w:tc>
          <w:tcPr>
            <w:tcW w:w="513" w:type="pct"/>
            <w:tcBorders>
              <w:top w:val="single" w:sz="4" w:space="0" w:color="auto"/>
              <w:left w:val="single" w:sz="4" w:space="0" w:color="auto"/>
              <w:bottom w:val="single" w:sz="4" w:space="0" w:color="auto"/>
              <w:right w:val="single" w:sz="4" w:space="0" w:color="auto"/>
            </w:tcBorders>
            <w:vAlign w:val="center"/>
            <w:hideMark/>
          </w:tcPr>
          <w:p w14:paraId="38E1773E" w14:textId="77777777" w:rsidR="00CD64B5" w:rsidRPr="001352AB" w:rsidRDefault="00CD64B5" w:rsidP="00CD64B5">
            <w:r w:rsidRPr="001352AB">
              <w:t>100</w:t>
            </w:r>
          </w:p>
        </w:tc>
        <w:tc>
          <w:tcPr>
            <w:tcW w:w="1027" w:type="pct"/>
            <w:tcBorders>
              <w:top w:val="single" w:sz="4" w:space="0" w:color="auto"/>
              <w:left w:val="single" w:sz="4" w:space="0" w:color="auto"/>
              <w:bottom w:val="single" w:sz="4" w:space="0" w:color="auto"/>
              <w:right w:val="single" w:sz="4" w:space="0" w:color="auto"/>
            </w:tcBorders>
            <w:vAlign w:val="center"/>
            <w:hideMark/>
          </w:tcPr>
          <w:p w14:paraId="3CA86AFA" w14:textId="77777777" w:rsidR="00CD64B5" w:rsidRPr="001352AB" w:rsidRDefault="00CD64B5" w:rsidP="00CD64B5">
            <w:r w:rsidRPr="001352AB">
              <w:t>0,014</w:t>
            </w:r>
          </w:p>
        </w:tc>
        <w:tc>
          <w:tcPr>
            <w:tcW w:w="1026" w:type="pct"/>
            <w:tcBorders>
              <w:top w:val="single" w:sz="4" w:space="0" w:color="auto"/>
              <w:left w:val="single" w:sz="4" w:space="0" w:color="auto"/>
              <w:bottom w:val="single" w:sz="4" w:space="0" w:color="auto"/>
              <w:right w:val="single" w:sz="4" w:space="0" w:color="auto"/>
            </w:tcBorders>
            <w:vAlign w:val="center"/>
            <w:hideMark/>
          </w:tcPr>
          <w:p w14:paraId="241CD06A" w14:textId="77777777" w:rsidR="00CD64B5" w:rsidRPr="001352AB" w:rsidRDefault="00CD64B5" w:rsidP="00CD64B5">
            <w:r w:rsidRPr="001352AB">
              <w:t>0,1344</w:t>
            </w:r>
          </w:p>
        </w:tc>
      </w:tr>
    </w:tbl>
    <w:p w14:paraId="04D34FD9" w14:textId="77777777" w:rsidR="00CD64B5" w:rsidRPr="001352AB" w:rsidRDefault="00CD64B5" w:rsidP="00CD64B5">
      <w:pPr>
        <w:rPr>
          <w:lang w:val="ka-GE" w:eastAsia="en-US"/>
        </w:rPr>
      </w:pPr>
    </w:p>
    <w:p w14:paraId="39AAFAD2" w14:textId="77777777" w:rsidR="00CD64B5" w:rsidRPr="001352AB" w:rsidRDefault="00CD64B5" w:rsidP="00CD64B5">
      <w:pPr>
        <w:spacing w:before="120" w:after="120"/>
      </w:pPr>
      <w:bookmarkStart w:id="251" w:name="_Toc419823071"/>
      <w:r w:rsidRPr="001352AB">
        <w:rPr>
          <w:rFonts w:ascii="Sylfaen" w:eastAsiaTheme="majorEastAsia" w:hAnsi="Sylfaen" w:cs="Sylfaen"/>
        </w:rPr>
        <w:t>ემისიის</w:t>
      </w:r>
      <w:r w:rsidRPr="001352AB">
        <w:rPr>
          <w:rFonts w:eastAsiaTheme="majorEastAsia"/>
        </w:rPr>
        <w:t xml:space="preserve"> </w:t>
      </w:r>
      <w:r w:rsidRPr="001352AB">
        <w:rPr>
          <w:rFonts w:ascii="Sylfaen" w:eastAsiaTheme="majorEastAsia" w:hAnsi="Sylfaen" w:cs="Sylfaen"/>
        </w:rPr>
        <w:t>გაანგარიშება</w:t>
      </w:r>
      <w:r w:rsidRPr="001352AB">
        <w:rPr>
          <w:rFonts w:eastAsiaTheme="majorEastAsia"/>
        </w:rPr>
        <w:t xml:space="preserve"> </w:t>
      </w:r>
      <w:r w:rsidRPr="001352AB">
        <w:rPr>
          <w:rFonts w:ascii="Sylfaen" w:eastAsiaTheme="majorEastAsia" w:hAnsi="Sylfaen" w:cs="Sylfaen"/>
        </w:rPr>
        <w:t>ლენტური</w:t>
      </w:r>
      <w:r w:rsidRPr="001352AB">
        <w:rPr>
          <w:rFonts w:eastAsiaTheme="majorEastAsia"/>
        </w:rPr>
        <w:t xml:space="preserve"> </w:t>
      </w:r>
      <w:r w:rsidRPr="001352AB">
        <w:rPr>
          <w:rFonts w:ascii="Sylfaen" w:eastAsiaTheme="majorEastAsia" w:hAnsi="Sylfaen" w:cs="Sylfaen"/>
        </w:rPr>
        <w:t>ტრანსპორტიორიდან</w:t>
      </w:r>
      <w:r w:rsidRPr="001352AB">
        <w:rPr>
          <w:rFonts w:eastAsiaTheme="majorEastAsia"/>
        </w:rPr>
        <w:t xml:space="preserve"> (</w:t>
      </w:r>
      <w:r w:rsidRPr="001352AB">
        <w:rPr>
          <w:rFonts w:ascii="Sylfaen" w:eastAsiaTheme="majorEastAsia" w:hAnsi="Sylfaen" w:cs="Sylfaen"/>
        </w:rPr>
        <w:t>გ</w:t>
      </w:r>
      <w:r w:rsidRPr="001352AB">
        <w:rPr>
          <w:rFonts w:eastAsiaTheme="majorEastAsia"/>
        </w:rPr>
        <w:t>-3)</w:t>
      </w:r>
      <w:bookmarkEnd w:id="251"/>
    </w:p>
    <w:p w14:paraId="6F651818"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გაანგარიშება</w:t>
      </w:r>
      <w:r w:rsidRPr="001352AB">
        <w:rPr>
          <w:rFonts w:eastAsiaTheme="minorEastAsia"/>
        </w:rPr>
        <w:t xml:space="preserve"> </w:t>
      </w:r>
      <w:r w:rsidRPr="001352AB">
        <w:rPr>
          <w:rFonts w:ascii="Sylfaen" w:eastAsiaTheme="minorEastAsia" w:hAnsi="Sylfaen" w:cs="Sylfaen"/>
        </w:rPr>
        <w:t>შესრულებულია</w:t>
      </w:r>
      <w:r w:rsidRPr="001352AB">
        <w:rPr>
          <w:rFonts w:eastAsiaTheme="minorEastAsia"/>
        </w:rPr>
        <w:t xml:space="preserve"> </w:t>
      </w:r>
      <w:r w:rsidRPr="001352AB">
        <w:rPr>
          <w:rFonts w:ascii="Sylfaen" w:eastAsiaTheme="minorEastAsia" w:hAnsi="Sylfaen" w:cs="Sylfaen"/>
        </w:rPr>
        <w:t>შემდეგი</w:t>
      </w:r>
      <w:r w:rsidRPr="001352AB">
        <w:rPr>
          <w:rFonts w:eastAsiaTheme="minorEastAsia"/>
        </w:rPr>
        <w:t xml:space="preserve"> </w:t>
      </w:r>
      <w:r w:rsidRPr="001352AB">
        <w:rPr>
          <w:rFonts w:ascii="Sylfaen" w:eastAsiaTheme="minorEastAsia" w:hAnsi="Sylfaen" w:cs="Sylfaen"/>
        </w:rPr>
        <w:t>მეთოდური</w:t>
      </w:r>
      <w:r w:rsidRPr="001352AB">
        <w:rPr>
          <w:rFonts w:eastAsiaTheme="minorEastAsia"/>
        </w:rPr>
        <w:t xml:space="preserve"> </w:t>
      </w:r>
      <w:r w:rsidRPr="001352AB">
        <w:rPr>
          <w:rFonts w:ascii="Sylfaen" w:eastAsiaTheme="minorEastAsia" w:hAnsi="Sylfaen" w:cs="Sylfaen"/>
        </w:rPr>
        <w:t>მითითებების</w:t>
      </w:r>
      <w:r w:rsidRPr="001352AB">
        <w:rPr>
          <w:rFonts w:eastAsiaTheme="minorEastAsia"/>
        </w:rPr>
        <w:t xml:space="preserve"> </w:t>
      </w:r>
      <w:r w:rsidRPr="001352AB">
        <w:rPr>
          <w:rFonts w:ascii="Sylfaen" w:eastAsiaTheme="minorEastAsia" w:hAnsi="Sylfaen" w:cs="Sylfaen"/>
        </w:rPr>
        <w:t>თანახმად</w:t>
      </w:r>
      <w:r w:rsidRPr="001352AB">
        <w:rPr>
          <w:rFonts w:eastAsiaTheme="minorEastAsia"/>
        </w:rPr>
        <w:t xml:space="preserve"> [11]</w:t>
      </w:r>
    </w:p>
    <w:p w14:paraId="145A4E74" w14:textId="77777777" w:rsidR="00CD64B5" w:rsidRPr="001352AB" w:rsidRDefault="00CD64B5" w:rsidP="00CD64B5">
      <w:pPr>
        <w:spacing w:before="120" w:after="120"/>
        <w:rPr>
          <w:rFonts w:eastAsiaTheme="majorEastAsia"/>
        </w:rPr>
      </w:pPr>
      <w:r w:rsidRPr="001352AB">
        <w:rPr>
          <w:rFonts w:ascii="Sylfaen" w:eastAsiaTheme="minorEastAsia" w:hAnsi="Sylfaen" w:cs="Sylfaen"/>
        </w:rPr>
        <w:t>ტრანსპორტირება</w:t>
      </w:r>
      <w:r w:rsidRPr="001352AB">
        <w:rPr>
          <w:rFonts w:eastAsiaTheme="minorEastAsia"/>
        </w:rPr>
        <w:t xml:space="preserve"> </w:t>
      </w:r>
      <w:r w:rsidRPr="001352AB">
        <w:rPr>
          <w:rFonts w:ascii="Sylfaen" w:eastAsiaTheme="minorEastAsia" w:hAnsi="Sylfaen" w:cs="Sylfaen"/>
        </w:rPr>
        <w:t>ხორციელდება</w:t>
      </w:r>
      <w:r w:rsidRPr="001352AB">
        <w:rPr>
          <w:rFonts w:eastAsiaTheme="minorEastAsia"/>
        </w:rPr>
        <w:t xml:space="preserve"> </w:t>
      </w:r>
      <w:r w:rsidRPr="001352AB">
        <w:rPr>
          <w:rFonts w:ascii="Sylfaen" w:eastAsiaTheme="minorEastAsia" w:hAnsi="Sylfaen" w:cs="Sylfaen"/>
        </w:rPr>
        <w:t>ღია</w:t>
      </w:r>
      <w:r w:rsidRPr="001352AB">
        <w:rPr>
          <w:rFonts w:eastAsiaTheme="minorEastAsia"/>
        </w:rPr>
        <w:t xml:space="preserve"> </w:t>
      </w:r>
      <w:r w:rsidRPr="001352AB">
        <w:rPr>
          <w:rFonts w:ascii="Sylfaen" w:eastAsiaTheme="minorEastAsia" w:hAnsi="Sylfaen" w:cs="Sylfaen"/>
        </w:rPr>
        <w:t>კონვეირული</w:t>
      </w:r>
      <w:r w:rsidRPr="001352AB">
        <w:rPr>
          <w:rFonts w:eastAsiaTheme="minorEastAsia"/>
        </w:rPr>
        <w:t xml:space="preserve"> </w:t>
      </w:r>
      <w:r w:rsidRPr="001352AB">
        <w:rPr>
          <w:rFonts w:ascii="Sylfaen" w:eastAsiaTheme="minorEastAsia" w:hAnsi="Sylfaen" w:cs="Sylfaen"/>
        </w:rPr>
        <w:t>ლენტების</w:t>
      </w:r>
      <w:r w:rsidRPr="001352AB">
        <w:rPr>
          <w:rFonts w:eastAsiaTheme="minorEastAsia"/>
        </w:rPr>
        <w:t xml:space="preserve"> </w:t>
      </w:r>
      <w:r w:rsidRPr="001352AB">
        <w:rPr>
          <w:rFonts w:ascii="Sylfaen" w:eastAsiaTheme="minorEastAsia" w:hAnsi="Sylfaen" w:cs="Sylfaen"/>
        </w:rPr>
        <w:t>საშუალებით</w:t>
      </w:r>
      <w:r w:rsidRPr="001352AB">
        <w:rPr>
          <w:rFonts w:eastAsiaTheme="minorEastAsia"/>
        </w:rPr>
        <w:t xml:space="preserve">, </w:t>
      </w:r>
      <w:r w:rsidRPr="001352AB">
        <w:rPr>
          <w:rFonts w:ascii="Sylfaen" w:eastAsiaTheme="minorEastAsia" w:hAnsi="Sylfaen" w:cs="Sylfaen"/>
        </w:rPr>
        <w:t>სიგანით</w:t>
      </w:r>
      <w:r w:rsidRPr="001352AB">
        <w:rPr>
          <w:rFonts w:eastAsiaTheme="minorEastAsia"/>
        </w:rPr>
        <w:t xml:space="preserve">-1 </w:t>
      </w:r>
      <w:r w:rsidRPr="001352AB">
        <w:rPr>
          <w:rFonts w:ascii="Sylfaen" w:eastAsiaTheme="minorEastAsia" w:hAnsi="Sylfaen" w:cs="Sylfaen"/>
        </w:rPr>
        <w:t>მ</w:t>
      </w:r>
      <w:r w:rsidRPr="001352AB">
        <w:rPr>
          <w:rFonts w:eastAsiaTheme="minorEastAsia"/>
        </w:rPr>
        <w:t xml:space="preserve">. </w:t>
      </w:r>
      <w:r w:rsidRPr="001352AB">
        <w:rPr>
          <w:rFonts w:ascii="Sylfaen" w:eastAsiaTheme="minorEastAsia" w:hAnsi="Sylfaen" w:cs="Sylfaen"/>
        </w:rPr>
        <w:t>საერთო</w:t>
      </w:r>
      <w:r w:rsidRPr="001352AB">
        <w:rPr>
          <w:rFonts w:eastAsiaTheme="minorEastAsia"/>
        </w:rPr>
        <w:t xml:space="preserve"> </w:t>
      </w:r>
      <w:r w:rsidRPr="001352AB">
        <w:rPr>
          <w:rFonts w:ascii="Sylfaen" w:eastAsiaTheme="minorEastAsia" w:hAnsi="Sylfaen" w:cs="Sylfaen"/>
        </w:rPr>
        <w:t>სიგრძე</w:t>
      </w:r>
      <w:r w:rsidRPr="001352AB">
        <w:rPr>
          <w:rFonts w:eastAsiaTheme="minorEastAsia"/>
        </w:rPr>
        <w:t xml:space="preserve"> </w:t>
      </w:r>
      <w:r w:rsidRPr="001352AB">
        <w:rPr>
          <w:rFonts w:ascii="Sylfaen" w:eastAsiaTheme="minorEastAsia" w:hAnsi="Sylfaen" w:cs="Sylfaen"/>
        </w:rPr>
        <w:t>შეადგენს</w:t>
      </w:r>
      <w:r w:rsidRPr="001352AB">
        <w:rPr>
          <w:rFonts w:eastAsiaTheme="minorEastAsia"/>
        </w:rPr>
        <w:t xml:space="preserve"> 20 </w:t>
      </w:r>
      <w:r w:rsidRPr="001352AB">
        <w:rPr>
          <w:rFonts w:ascii="Sylfaen" w:eastAsiaTheme="minorEastAsia" w:hAnsi="Sylfaen" w:cs="Sylfaen"/>
        </w:rPr>
        <w:t>მეტრს</w:t>
      </w:r>
      <w:r w:rsidRPr="001352AB">
        <w:rPr>
          <w:rFonts w:eastAsiaTheme="minorEastAsia"/>
        </w:rPr>
        <w:t xml:space="preserve">. </w:t>
      </w:r>
      <w:r w:rsidRPr="001352AB">
        <w:rPr>
          <w:rFonts w:ascii="Sylfaen" w:eastAsiaTheme="minorEastAsia" w:hAnsi="Sylfaen" w:cs="Sylfaen"/>
        </w:rPr>
        <w:t>ქარის</w:t>
      </w:r>
      <w:r w:rsidRPr="001352AB">
        <w:rPr>
          <w:rFonts w:eastAsiaTheme="minorEastAsia"/>
        </w:rPr>
        <w:t xml:space="preserve"> </w:t>
      </w:r>
      <w:r w:rsidRPr="001352AB">
        <w:rPr>
          <w:rFonts w:ascii="Sylfaen" w:eastAsiaTheme="minorEastAsia" w:hAnsi="Sylfaen" w:cs="Sylfaen"/>
        </w:rPr>
        <w:t>საანგარიშო</w:t>
      </w:r>
      <w:r w:rsidRPr="001352AB">
        <w:rPr>
          <w:rFonts w:eastAsiaTheme="minorEastAsia"/>
        </w:rPr>
        <w:t xml:space="preserve"> </w:t>
      </w:r>
      <w:r w:rsidRPr="001352AB">
        <w:rPr>
          <w:rFonts w:ascii="Sylfaen" w:eastAsiaTheme="minorEastAsia" w:hAnsi="Sylfaen" w:cs="Sylfaen"/>
        </w:rPr>
        <w:t>სიჩქარეები</w:t>
      </w:r>
      <w:r w:rsidRPr="001352AB">
        <w:rPr>
          <w:rFonts w:eastAsiaTheme="minorEastAsia"/>
        </w:rPr>
        <w:t xml:space="preserve"> </w:t>
      </w:r>
      <w:r w:rsidRPr="001352AB">
        <w:rPr>
          <w:rFonts w:ascii="Sylfaen" w:eastAsiaTheme="minorEastAsia" w:hAnsi="Sylfaen" w:cs="Sylfaen"/>
        </w:rPr>
        <w:t>შეადგენს</w:t>
      </w:r>
      <w:r w:rsidRPr="001352AB">
        <w:rPr>
          <w:rFonts w:eastAsiaTheme="minorEastAsia"/>
        </w:rPr>
        <w:t xml:space="preserve">, </w:t>
      </w:r>
      <w:r w:rsidRPr="001352AB">
        <w:rPr>
          <w:rFonts w:ascii="Sylfaen" w:eastAsiaTheme="minorEastAsia" w:hAnsi="Sylfaen" w:cs="Sylfaen"/>
        </w:rPr>
        <w:t>მ</w:t>
      </w:r>
      <w:r w:rsidRPr="001352AB">
        <w:rPr>
          <w:rFonts w:eastAsiaTheme="minorEastAsia"/>
        </w:rPr>
        <w:t>/</w:t>
      </w:r>
      <w:r w:rsidRPr="001352AB">
        <w:rPr>
          <w:rFonts w:ascii="Sylfaen" w:eastAsiaTheme="minorEastAsia" w:hAnsi="Sylfaen" w:cs="Sylfaen"/>
        </w:rPr>
        <w:t>წმ</w:t>
      </w:r>
      <w:r w:rsidRPr="001352AB">
        <w:rPr>
          <w:rFonts w:eastAsiaTheme="minorEastAsia"/>
        </w:rPr>
        <w:t xml:space="preserve">: 0,5(K3 = 1); 4,5 (K3 = 1,2). </w:t>
      </w:r>
      <w:r w:rsidRPr="001352AB">
        <w:rPr>
          <w:rFonts w:ascii="Sylfaen" w:eastAsiaTheme="minorEastAsia" w:hAnsi="Sylfaen" w:cs="Sylfaen"/>
        </w:rPr>
        <w:t>საშუალო</w:t>
      </w:r>
      <w:r w:rsidRPr="001352AB">
        <w:rPr>
          <w:rFonts w:eastAsiaTheme="minorEastAsia"/>
        </w:rPr>
        <w:t xml:space="preserve"> </w:t>
      </w:r>
      <w:r w:rsidRPr="001352AB">
        <w:rPr>
          <w:rFonts w:ascii="Sylfaen" w:eastAsiaTheme="minorEastAsia" w:hAnsi="Sylfaen" w:cs="Sylfaen"/>
        </w:rPr>
        <w:t>წლიური</w:t>
      </w:r>
      <w:r w:rsidRPr="001352AB">
        <w:rPr>
          <w:rFonts w:eastAsiaTheme="minorEastAsia"/>
        </w:rPr>
        <w:t xml:space="preserve"> </w:t>
      </w:r>
      <w:r w:rsidRPr="001352AB">
        <w:rPr>
          <w:rFonts w:ascii="Sylfaen" w:eastAsiaTheme="minorEastAsia" w:hAnsi="Sylfaen" w:cs="Sylfaen"/>
        </w:rPr>
        <w:t>ქარის</w:t>
      </w:r>
      <w:r w:rsidRPr="001352AB">
        <w:rPr>
          <w:rFonts w:eastAsiaTheme="minorEastAsia"/>
        </w:rPr>
        <w:t xml:space="preserve"> </w:t>
      </w:r>
      <w:r w:rsidRPr="001352AB">
        <w:rPr>
          <w:rFonts w:ascii="Sylfaen" w:eastAsiaTheme="minorEastAsia" w:hAnsi="Sylfaen" w:cs="Sylfaen"/>
        </w:rPr>
        <w:t>სიჩქარე</w:t>
      </w:r>
      <w:r w:rsidRPr="001352AB">
        <w:rPr>
          <w:rFonts w:eastAsiaTheme="minorEastAsia"/>
        </w:rPr>
        <w:t xml:space="preserve"> 4,5 (K3 = 1,2)</w:t>
      </w:r>
    </w:p>
    <w:p w14:paraId="678063D2"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დამაბინძურებელ</w:t>
      </w:r>
      <w:r w:rsidRPr="001352AB">
        <w:rPr>
          <w:rFonts w:eastAsiaTheme="minorEastAsia"/>
        </w:rPr>
        <w:t xml:space="preserve"> </w:t>
      </w:r>
      <w:r w:rsidRPr="001352AB">
        <w:rPr>
          <w:rFonts w:ascii="Sylfaen" w:eastAsiaTheme="minorEastAsia" w:hAnsi="Sylfaen" w:cs="Sylfaen"/>
        </w:rPr>
        <w:t>ნივთიერებათა</w:t>
      </w:r>
      <w:r w:rsidRPr="001352AB">
        <w:rPr>
          <w:rFonts w:eastAsiaTheme="minorEastAsia"/>
        </w:rPr>
        <w:t xml:space="preserve"> </w:t>
      </w:r>
      <w:r w:rsidRPr="001352AB">
        <w:rPr>
          <w:rFonts w:ascii="Sylfaen" w:eastAsiaTheme="minorEastAsia" w:hAnsi="Sylfaen" w:cs="Sylfaen"/>
        </w:rPr>
        <w:t>ემისიის</w:t>
      </w:r>
      <w:r w:rsidRPr="001352AB">
        <w:rPr>
          <w:rFonts w:eastAsiaTheme="minorEastAsia"/>
        </w:rPr>
        <w:t xml:space="preserve"> </w:t>
      </w:r>
      <w:r w:rsidRPr="001352AB">
        <w:rPr>
          <w:rFonts w:ascii="Sylfaen" w:eastAsiaTheme="minorEastAsia" w:hAnsi="Sylfaen" w:cs="Sylfaen"/>
        </w:rPr>
        <w:t>რაოდენობრივი</w:t>
      </w:r>
      <w:r w:rsidRPr="001352AB">
        <w:rPr>
          <w:rFonts w:eastAsiaTheme="minorEastAsia"/>
        </w:rPr>
        <w:t xml:space="preserve"> </w:t>
      </w:r>
      <w:r w:rsidRPr="001352AB">
        <w:rPr>
          <w:rFonts w:ascii="Sylfaen" w:eastAsiaTheme="minorEastAsia" w:hAnsi="Sylfaen" w:cs="Sylfaen"/>
        </w:rPr>
        <w:t>და</w:t>
      </w:r>
      <w:r w:rsidRPr="001352AB">
        <w:rPr>
          <w:rFonts w:eastAsiaTheme="minorEastAsia"/>
        </w:rPr>
        <w:t xml:space="preserve"> </w:t>
      </w:r>
      <w:r w:rsidRPr="001352AB">
        <w:rPr>
          <w:rFonts w:ascii="Sylfaen" w:eastAsiaTheme="minorEastAsia" w:hAnsi="Sylfaen" w:cs="Sylfaen"/>
        </w:rPr>
        <w:t>თვისობრივი</w:t>
      </w:r>
      <w:r w:rsidRPr="001352AB">
        <w:rPr>
          <w:rFonts w:eastAsiaTheme="minorEastAsia"/>
        </w:rPr>
        <w:t xml:space="preserve"> </w:t>
      </w:r>
      <w:r w:rsidRPr="001352AB">
        <w:rPr>
          <w:rFonts w:ascii="Sylfaen" w:eastAsiaTheme="minorEastAsia" w:hAnsi="Sylfaen" w:cs="Sylfaen"/>
        </w:rPr>
        <w:t>მახასიათებლები</w:t>
      </w:r>
      <w:r w:rsidRPr="001352AB">
        <w:rPr>
          <w:rFonts w:eastAsiaTheme="minorEastAsia"/>
        </w:rPr>
        <w:t xml:space="preserve"> </w:t>
      </w:r>
      <w:r w:rsidRPr="001352AB">
        <w:rPr>
          <w:rFonts w:ascii="Sylfaen" w:eastAsiaTheme="minorEastAsia" w:hAnsi="Sylfaen" w:cs="Sylfaen"/>
        </w:rPr>
        <w:t>მოცემულია</w:t>
      </w:r>
      <w:r w:rsidRPr="001352AB">
        <w:rPr>
          <w:rFonts w:eastAsiaTheme="minorEastAsia"/>
        </w:rPr>
        <w:t xml:space="preserve"> </w:t>
      </w:r>
      <w:r w:rsidRPr="001352AB">
        <w:rPr>
          <w:rFonts w:ascii="Sylfaen" w:eastAsiaTheme="minorEastAsia" w:hAnsi="Sylfaen" w:cs="Sylfaen"/>
        </w:rPr>
        <w:t>ცხრილში</w:t>
      </w:r>
      <w:r w:rsidRPr="001352AB">
        <w:rPr>
          <w:rFonts w:eastAsiaTheme="minorEastAsia"/>
        </w:rPr>
        <w:t xml:space="preserve"> 7.1-3.</w:t>
      </w:r>
    </w:p>
    <w:p w14:paraId="43826B85" w14:textId="77777777" w:rsidR="00CD64B5" w:rsidRPr="001352AB" w:rsidRDefault="00CD64B5" w:rsidP="00CD64B5">
      <w:pPr>
        <w:spacing w:before="120" w:after="120"/>
        <w:rPr>
          <w:rFonts w:eastAsiaTheme="minorEastAsia"/>
        </w:rPr>
      </w:pPr>
      <w:bookmarkStart w:id="252" w:name="_Toc436594164"/>
      <w:r w:rsidRPr="001352AB">
        <w:rPr>
          <w:rFonts w:ascii="Sylfaen" w:hAnsi="Sylfaen" w:cs="Sylfaen"/>
        </w:rPr>
        <w:t>ცხრილი</w:t>
      </w:r>
      <w:r w:rsidRPr="001352AB">
        <w:t xml:space="preserve"> 7.1-3.</w:t>
      </w:r>
      <w:r w:rsidRPr="001352AB">
        <w:tab/>
      </w: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რაოდენობრივი</w:t>
      </w:r>
      <w:r w:rsidRPr="001352AB">
        <w:t xml:space="preserve"> </w:t>
      </w:r>
      <w:r w:rsidRPr="001352AB">
        <w:rPr>
          <w:rFonts w:ascii="Sylfaen" w:hAnsi="Sylfaen" w:cs="Sylfaen"/>
        </w:rPr>
        <w:t>და</w:t>
      </w:r>
      <w:r w:rsidRPr="001352AB">
        <w:t xml:space="preserve"> </w:t>
      </w:r>
      <w:r w:rsidRPr="001352AB">
        <w:rPr>
          <w:rFonts w:ascii="Sylfaen" w:hAnsi="Sylfaen" w:cs="Sylfaen"/>
        </w:rPr>
        <w:t>თვისობრივი</w:t>
      </w:r>
      <w:r w:rsidRPr="001352AB">
        <w:t xml:space="preserve"> </w:t>
      </w:r>
      <w:r w:rsidRPr="001352AB">
        <w:rPr>
          <w:rFonts w:ascii="Sylfaen" w:hAnsi="Sylfaen" w:cs="Sylfaen"/>
        </w:rPr>
        <w:t>მახასიათებლები</w:t>
      </w:r>
      <w:r w:rsidRPr="001352AB">
        <w:t xml:space="preserve"> </w:t>
      </w:r>
      <w:r w:rsidRPr="001352AB">
        <w:rPr>
          <w:rFonts w:ascii="Sylfaen" w:hAnsi="Sylfaen" w:cs="Sylfaen"/>
        </w:rPr>
        <w:t>მეთოდიკის</w:t>
      </w:r>
      <w:r w:rsidRPr="001352AB">
        <w:t xml:space="preserve"> </w:t>
      </w:r>
      <w:r w:rsidRPr="001352AB">
        <w:rPr>
          <w:rFonts w:ascii="Sylfaen" w:hAnsi="Sylfaen" w:cs="Sylfaen"/>
        </w:rPr>
        <w:t>მიხედვით</w:t>
      </w:r>
      <w:bookmarkEnd w:id="252"/>
    </w:p>
    <w:tbl>
      <w:tblPr>
        <w:tblW w:w="4692" w:type="pct"/>
        <w:jc w:val="center"/>
        <w:tblLook w:val="04A0" w:firstRow="1" w:lastRow="0" w:firstColumn="1" w:lastColumn="0" w:noHBand="0" w:noVBand="1"/>
      </w:tblPr>
      <w:tblGrid>
        <w:gridCol w:w="782"/>
        <w:gridCol w:w="3988"/>
        <w:gridCol w:w="2463"/>
        <w:gridCol w:w="2510"/>
      </w:tblGrid>
      <w:tr w:rsidR="00CD64B5" w:rsidRPr="001352AB" w14:paraId="58207015" w14:textId="77777777" w:rsidTr="00CD64B5">
        <w:trPr>
          <w:cantSplit/>
          <w:trHeight w:val="263"/>
          <w:tblHeader/>
          <w:jc w:val="center"/>
        </w:trPr>
        <w:tc>
          <w:tcPr>
            <w:tcW w:w="2414" w:type="pct"/>
            <w:gridSpan w:val="2"/>
            <w:tcBorders>
              <w:top w:val="single" w:sz="8" w:space="0" w:color="auto"/>
              <w:left w:val="single" w:sz="6" w:space="0" w:color="auto"/>
              <w:bottom w:val="single" w:sz="8" w:space="0" w:color="auto"/>
              <w:right w:val="single" w:sz="4" w:space="0" w:color="000000"/>
            </w:tcBorders>
            <w:shd w:val="clear" w:color="auto" w:fill="D9D9D9" w:themeFill="background1" w:themeFillShade="D9"/>
            <w:vAlign w:val="center"/>
            <w:hideMark/>
          </w:tcPr>
          <w:p w14:paraId="7D63AD4C" w14:textId="77777777" w:rsidR="00CD64B5" w:rsidRPr="001352AB" w:rsidRDefault="00CD64B5" w:rsidP="00CD64B5">
            <w:pPr>
              <w:rPr>
                <w:lang w:eastAsia="en-US"/>
              </w:rPr>
            </w:pPr>
            <w:r w:rsidRPr="001352AB">
              <w:rPr>
                <w:rFonts w:ascii="Sylfaen" w:hAnsi="Sylfaen" w:cs="Sylfaen"/>
              </w:rPr>
              <w:t>დამაბინძურებელი</w:t>
            </w:r>
            <w:r w:rsidRPr="001352AB">
              <w:t xml:space="preserve"> </w:t>
            </w:r>
            <w:r w:rsidRPr="001352AB">
              <w:rPr>
                <w:rFonts w:ascii="Sylfaen" w:hAnsi="Sylfaen" w:cs="Sylfaen"/>
              </w:rPr>
              <w:t>ნივთიერება</w:t>
            </w:r>
          </w:p>
        </w:tc>
        <w:tc>
          <w:tcPr>
            <w:tcW w:w="1281" w:type="pct"/>
            <w:vMerge w:val="restart"/>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14:paraId="73FC3098" w14:textId="77777777" w:rsidR="00CD64B5" w:rsidRPr="001352AB" w:rsidRDefault="00CD64B5" w:rsidP="00CD64B5">
            <w:r w:rsidRPr="001352AB">
              <w:rPr>
                <w:rFonts w:ascii="Sylfaen" w:hAnsi="Sylfaen" w:cs="Sylfaen"/>
              </w:rPr>
              <w:t>მაქსიმალური</w:t>
            </w:r>
            <w:r w:rsidRPr="001352AB">
              <w:t xml:space="preserve"> </w:t>
            </w:r>
            <w:r w:rsidRPr="001352AB">
              <w:rPr>
                <w:rFonts w:ascii="Sylfaen" w:hAnsi="Sylfaen" w:cs="Sylfaen"/>
              </w:rPr>
              <w:t>ემისია</w:t>
            </w:r>
            <w:r w:rsidRPr="001352AB">
              <w:t xml:space="preserve">, </w:t>
            </w:r>
            <w:r w:rsidRPr="001352AB">
              <w:rPr>
                <w:rFonts w:ascii="Sylfaen" w:hAnsi="Sylfaen" w:cs="Sylfaen"/>
              </w:rPr>
              <w:t>გ</w:t>
            </w:r>
            <w:r w:rsidRPr="001352AB">
              <w:t>/</w:t>
            </w:r>
            <w:r w:rsidRPr="001352AB">
              <w:rPr>
                <w:rFonts w:ascii="Sylfaen" w:hAnsi="Sylfaen" w:cs="Sylfaen"/>
              </w:rPr>
              <w:t>წმ</w:t>
            </w:r>
          </w:p>
        </w:tc>
        <w:tc>
          <w:tcPr>
            <w:tcW w:w="1306" w:type="pct"/>
            <w:vMerge w:val="restart"/>
            <w:tcBorders>
              <w:top w:val="single" w:sz="8" w:space="0" w:color="auto"/>
              <w:left w:val="single" w:sz="4" w:space="0" w:color="000000"/>
              <w:bottom w:val="single" w:sz="8" w:space="0" w:color="auto"/>
              <w:right w:val="single" w:sz="6" w:space="0" w:color="auto"/>
            </w:tcBorders>
            <w:shd w:val="clear" w:color="auto" w:fill="D9D9D9" w:themeFill="background1" w:themeFillShade="D9"/>
            <w:vAlign w:val="center"/>
            <w:hideMark/>
          </w:tcPr>
          <w:p w14:paraId="2CE13E51" w14:textId="77777777" w:rsidR="00CD64B5" w:rsidRPr="001352AB" w:rsidRDefault="00CD64B5" w:rsidP="00CD64B5">
            <w:r w:rsidRPr="001352AB">
              <w:rPr>
                <w:rFonts w:ascii="Sylfaen" w:hAnsi="Sylfaen" w:cs="Sylfaen"/>
              </w:rPr>
              <w:t>წლიური</w:t>
            </w:r>
            <w:r w:rsidRPr="001352AB">
              <w:t xml:space="preserve"> </w:t>
            </w:r>
            <w:r w:rsidRPr="001352AB">
              <w:rPr>
                <w:rFonts w:ascii="Sylfaen" w:hAnsi="Sylfaen" w:cs="Sylfaen"/>
              </w:rPr>
              <w:t>ემისია</w:t>
            </w:r>
            <w:r w:rsidRPr="001352AB">
              <w:t xml:space="preserve">, </w:t>
            </w:r>
            <w:r w:rsidRPr="001352AB">
              <w:rPr>
                <w:rFonts w:ascii="Sylfaen" w:hAnsi="Sylfaen" w:cs="Sylfaen"/>
              </w:rPr>
              <w:t>ტ</w:t>
            </w:r>
            <w:r w:rsidRPr="001352AB">
              <w:t>/</w:t>
            </w:r>
            <w:r w:rsidRPr="001352AB">
              <w:rPr>
                <w:rFonts w:ascii="Sylfaen" w:hAnsi="Sylfaen" w:cs="Sylfaen"/>
              </w:rPr>
              <w:t>წელ</w:t>
            </w:r>
          </w:p>
        </w:tc>
      </w:tr>
      <w:tr w:rsidR="00CD64B5" w:rsidRPr="001352AB" w14:paraId="5816ECCC" w14:textId="77777777" w:rsidTr="00CD64B5">
        <w:trPr>
          <w:cantSplit/>
          <w:trHeight w:val="248"/>
          <w:tblHeader/>
          <w:jc w:val="center"/>
        </w:trPr>
        <w:tc>
          <w:tcPr>
            <w:tcW w:w="350" w:type="pct"/>
            <w:tcBorders>
              <w:top w:val="single" w:sz="8" w:space="0" w:color="auto"/>
              <w:left w:val="single" w:sz="6" w:space="0" w:color="auto"/>
              <w:bottom w:val="single" w:sz="4" w:space="0" w:color="000000"/>
              <w:right w:val="single" w:sz="4" w:space="0" w:color="000000"/>
            </w:tcBorders>
            <w:shd w:val="clear" w:color="auto" w:fill="D9D9D9" w:themeFill="background1" w:themeFillShade="D9"/>
            <w:vAlign w:val="center"/>
            <w:hideMark/>
          </w:tcPr>
          <w:p w14:paraId="6F78BA7B" w14:textId="77777777" w:rsidR="00CD64B5" w:rsidRPr="001352AB" w:rsidRDefault="00CD64B5" w:rsidP="00CD64B5">
            <w:r w:rsidRPr="001352AB">
              <w:rPr>
                <w:rFonts w:ascii="Sylfaen" w:hAnsi="Sylfaen" w:cs="Sylfaen"/>
              </w:rPr>
              <w:t>კოდი</w:t>
            </w:r>
          </w:p>
        </w:tc>
        <w:tc>
          <w:tcPr>
            <w:tcW w:w="2064" w:type="pct"/>
            <w:tcBorders>
              <w:top w:val="single" w:sz="8" w:space="0" w:color="auto"/>
              <w:left w:val="single" w:sz="4" w:space="0" w:color="000000"/>
              <w:bottom w:val="single" w:sz="4" w:space="0" w:color="000000"/>
              <w:right w:val="single" w:sz="6" w:space="0" w:color="auto"/>
            </w:tcBorders>
            <w:shd w:val="clear" w:color="auto" w:fill="D9D9D9" w:themeFill="background1" w:themeFillShade="D9"/>
            <w:vAlign w:val="center"/>
            <w:hideMark/>
          </w:tcPr>
          <w:p w14:paraId="0596ED42" w14:textId="77777777" w:rsidR="00CD64B5" w:rsidRPr="001352AB" w:rsidRDefault="00CD64B5" w:rsidP="00CD64B5">
            <w:r w:rsidRPr="001352AB">
              <w:rPr>
                <w:rFonts w:ascii="Sylfaen" w:hAnsi="Sylfaen" w:cs="Sylfaen"/>
              </w:rPr>
              <w:t>დასახელება</w:t>
            </w:r>
          </w:p>
        </w:tc>
        <w:tc>
          <w:tcPr>
            <w:tcW w:w="0" w:type="auto"/>
            <w:vMerge/>
            <w:tcBorders>
              <w:top w:val="single" w:sz="8" w:space="0" w:color="auto"/>
              <w:left w:val="single" w:sz="4" w:space="0" w:color="000000"/>
              <w:bottom w:val="single" w:sz="8" w:space="0" w:color="auto"/>
              <w:right w:val="single" w:sz="4" w:space="0" w:color="000000"/>
            </w:tcBorders>
            <w:vAlign w:val="center"/>
            <w:hideMark/>
          </w:tcPr>
          <w:p w14:paraId="0A18B819" w14:textId="77777777" w:rsidR="00CD64B5" w:rsidRPr="001352AB" w:rsidRDefault="00CD64B5" w:rsidP="00CD64B5">
            <w:pPr>
              <w:rPr>
                <w:rFonts w:eastAsiaTheme="minorHAnsi"/>
              </w:rPr>
            </w:pPr>
          </w:p>
        </w:tc>
        <w:tc>
          <w:tcPr>
            <w:tcW w:w="0" w:type="auto"/>
            <w:vMerge/>
            <w:tcBorders>
              <w:top w:val="single" w:sz="8" w:space="0" w:color="auto"/>
              <w:left w:val="single" w:sz="4" w:space="0" w:color="000000"/>
              <w:bottom w:val="single" w:sz="8" w:space="0" w:color="auto"/>
              <w:right w:val="single" w:sz="6" w:space="0" w:color="auto"/>
            </w:tcBorders>
            <w:vAlign w:val="center"/>
            <w:hideMark/>
          </w:tcPr>
          <w:p w14:paraId="715B569E" w14:textId="77777777" w:rsidR="00CD64B5" w:rsidRPr="001352AB" w:rsidRDefault="00CD64B5" w:rsidP="00CD64B5">
            <w:pPr>
              <w:rPr>
                <w:rFonts w:eastAsiaTheme="minorHAnsi"/>
              </w:rPr>
            </w:pPr>
          </w:p>
        </w:tc>
      </w:tr>
      <w:tr w:rsidR="00CD64B5" w:rsidRPr="001352AB" w14:paraId="0CBCA8C0" w14:textId="77777777" w:rsidTr="00CD64B5">
        <w:trPr>
          <w:trHeight w:val="295"/>
          <w:jc w:val="center"/>
        </w:trPr>
        <w:tc>
          <w:tcPr>
            <w:tcW w:w="350" w:type="pct"/>
            <w:tcBorders>
              <w:top w:val="single" w:sz="4" w:space="0" w:color="000000"/>
              <w:left w:val="single" w:sz="6" w:space="0" w:color="auto"/>
              <w:bottom w:val="single" w:sz="8" w:space="0" w:color="auto"/>
              <w:right w:val="single" w:sz="4" w:space="0" w:color="000000"/>
            </w:tcBorders>
            <w:hideMark/>
          </w:tcPr>
          <w:p w14:paraId="028742A0" w14:textId="77777777" w:rsidR="00CD64B5" w:rsidRPr="001352AB" w:rsidRDefault="00CD64B5" w:rsidP="00CD64B5">
            <w:r w:rsidRPr="001352AB">
              <w:t>2908</w:t>
            </w:r>
          </w:p>
        </w:tc>
        <w:tc>
          <w:tcPr>
            <w:tcW w:w="2064" w:type="pct"/>
            <w:tcBorders>
              <w:top w:val="single" w:sz="4" w:space="0" w:color="000000"/>
              <w:left w:val="single" w:sz="4" w:space="0" w:color="000000"/>
              <w:bottom w:val="single" w:sz="8" w:space="0" w:color="auto"/>
              <w:right w:val="single" w:sz="4" w:space="0" w:color="000000"/>
            </w:tcBorders>
            <w:hideMark/>
          </w:tcPr>
          <w:p w14:paraId="1A13B8E9" w14:textId="77777777" w:rsidR="00CD64B5" w:rsidRPr="001352AB" w:rsidRDefault="00CD64B5" w:rsidP="00CD64B5">
            <w:r w:rsidRPr="001352AB">
              <w:rPr>
                <w:rFonts w:ascii="Sylfaen" w:hAnsi="Sylfaen" w:cs="Sylfaen"/>
              </w:rPr>
              <w:t>ღორღი</w:t>
            </w:r>
            <w:r w:rsidRPr="001352AB">
              <w:t xml:space="preserve"> </w:t>
            </w:r>
          </w:p>
        </w:tc>
        <w:tc>
          <w:tcPr>
            <w:tcW w:w="1281" w:type="pct"/>
            <w:tcBorders>
              <w:top w:val="single" w:sz="4" w:space="0" w:color="000000"/>
              <w:left w:val="single" w:sz="4" w:space="0" w:color="000000"/>
              <w:bottom w:val="single" w:sz="8" w:space="0" w:color="auto"/>
              <w:right w:val="single" w:sz="4" w:space="0" w:color="000000"/>
            </w:tcBorders>
            <w:vAlign w:val="center"/>
            <w:hideMark/>
          </w:tcPr>
          <w:p w14:paraId="01A992C0" w14:textId="77777777" w:rsidR="00CD64B5" w:rsidRPr="001352AB" w:rsidRDefault="00CD64B5" w:rsidP="00CD64B5">
            <w:r w:rsidRPr="001352AB">
              <w:t>0,0054178</w:t>
            </w:r>
          </w:p>
        </w:tc>
        <w:tc>
          <w:tcPr>
            <w:tcW w:w="1306" w:type="pct"/>
            <w:tcBorders>
              <w:top w:val="single" w:sz="4" w:space="0" w:color="000000"/>
              <w:left w:val="single" w:sz="4" w:space="0" w:color="000000"/>
              <w:bottom w:val="single" w:sz="8" w:space="0" w:color="auto"/>
              <w:right w:val="single" w:sz="6" w:space="0" w:color="auto"/>
            </w:tcBorders>
            <w:vAlign w:val="center"/>
            <w:hideMark/>
          </w:tcPr>
          <w:p w14:paraId="616F7A88" w14:textId="77777777" w:rsidR="00CD64B5" w:rsidRPr="001352AB" w:rsidRDefault="00CD64B5" w:rsidP="00CD64B5">
            <w:r w:rsidRPr="001352AB">
              <w:t>0,0780163</w:t>
            </w:r>
          </w:p>
        </w:tc>
      </w:tr>
    </w:tbl>
    <w:p w14:paraId="3FD1906D" w14:textId="77777777" w:rsidR="00CD64B5" w:rsidRPr="001352AB" w:rsidRDefault="00CD64B5" w:rsidP="0000351B">
      <w:pPr>
        <w:spacing w:before="120" w:after="120"/>
      </w:pPr>
      <w:r w:rsidRPr="001352AB">
        <w:rPr>
          <w:rFonts w:ascii="Sylfaen" w:eastAsiaTheme="minorEastAsia" w:hAnsi="Sylfaen" w:cs="Sylfaen"/>
        </w:rPr>
        <w:t>საწყისი</w:t>
      </w:r>
      <w:r w:rsidRPr="001352AB">
        <w:rPr>
          <w:rFonts w:eastAsiaTheme="minorEastAsia"/>
        </w:rPr>
        <w:t xml:space="preserve"> </w:t>
      </w:r>
      <w:r w:rsidRPr="001352AB">
        <w:rPr>
          <w:rFonts w:ascii="Sylfaen" w:eastAsiaTheme="minorEastAsia" w:hAnsi="Sylfaen" w:cs="Sylfaen"/>
        </w:rPr>
        <w:t>მონაცემები</w:t>
      </w:r>
      <w:r w:rsidRPr="001352AB">
        <w:rPr>
          <w:rFonts w:eastAsiaTheme="minorEastAsia"/>
        </w:rPr>
        <w:t xml:space="preserve"> </w:t>
      </w:r>
      <w:r w:rsidRPr="001352AB">
        <w:rPr>
          <w:rFonts w:ascii="Sylfaen" w:eastAsiaTheme="minorEastAsia" w:hAnsi="Sylfaen" w:cs="Sylfaen"/>
        </w:rPr>
        <w:t>დამაბინძურებელ</w:t>
      </w:r>
      <w:r w:rsidRPr="001352AB">
        <w:rPr>
          <w:rFonts w:eastAsiaTheme="minorEastAsia"/>
        </w:rPr>
        <w:t xml:space="preserve"> </w:t>
      </w:r>
      <w:r w:rsidRPr="001352AB">
        <w:rPr>
          <w:rFonts w:ascii="Sylfaen" w:eastAsiaTheme="minorEastAsia" w:hAnsi="Sylfaen" w:cs="Sylfaen"/>
        </w:rPr>
        <w:t>ნივთიერებათა</w:t>
      </w:r>
      <w:r w:rsidRPr="001352AB">
        <w:rPr>
          <w:rFonts w:eastAsiaTheme="minorEastAsia"/>
        </w:rPr>
        <w:t xml:space="preserve"> </w:t>
      </w:r>
      <w:r w:rsidRPr="001352AB">
        <w:rPr>
          <w:rFonts w:ascii="Sylfaen" w:eastAsiaTheme="minorEastAsia" w:hAnsi="Sylfaen" w:cs="Sylfaen"/>
        </w:rPr>
        <w:t>გამოყოფის</w:t>
      </w:r>
      <w:r w:rsidRPr="001352AB">
        <w:rPr>
          <w:rFonts w:eastAsiaTheme="minorEastAsia"/>
        </w:rPr>
        <w:t xml:space="preserve"> </w:t>
      </w:r>
      <w:r w:rsidRPr="001352AB">
        <w:rPr>
          <w:rFonts w:ascii="Sylfaen" w:eastAsiaTheme="minorEastAsia" w:hAnsi="Sylfaen" w:cs="Sylfaen"/>
        </w:rPr>
        <w:t>გაანგარიშებისათვის</w:t>
      </w:r>
      <w:r w:rsidRPr="001352AB">
        <w:rPr>
          <w:rFonts w:eastAsiaTheme="minorEastAsia"/>
        </w:rPr>
        <w:t xml:space="preserve"> </w:t>
      </w:r>
      <w:r w:rsidRPr="001352AB">
        <w:rPr>
          <w:rFonts w:ascii="Sylfaen" w:eastAsiaTheme="minorEastAsia" w:hAnsi="Sylfaen" w:cs="Sylfaen"/>
        </w:rPr>
        <w:t>მოცემულია</w:t>
      </w:r>
      <w:r w:rsidRPr="001352AB">
        <w:rPr>
          <w:rFonts w:eastAsiaTheme="minorEastAsia"/>
        </w:rPr>
        <w:t xml:space="preserve"> </w:t>
      </w:r>
      <w:r w:rsidRPr="001352AB">
        <w:rPr>
          <w:rFonts w:ascii="Sylfaen" w:eastAsiaTheme="minorEastAsia" w:hAnsi="Sylfaen" w:cs="Sylfaen"/>
        </w:rPr>
        <w:t>ცხრილში</w:t>
      </w:r>
      <w:r w:rsidRPr="001352AB">
        <w:rPr>
          <w:rFonts w:eastAsiaTheme="minorEastAsia"/>
        </w:rPr>
        <w:t xml:space="preserve"> 7.1-4.</w:t>
      </w:r>
    </w:p>
    <w:p w14:paraId="0BA8A794" w14:textId="77777777" w:rsidR="00CD64B5" w:rsidRPr="001352AB" w:rsidRDefault="00CD64B5" w:rsidP="0000351B">
      <w:pPr>
        <w:spacing w:before="120" w:after="120"/>
        <w:rPr>
          <w:rFonts w:eastAsiaTheme="minorEastAsia"/>
        </w:rPr>
      </w:pPr>
      <w:bookmarkStart w:id="253" w:name="_Toc436594165"/>
      <w:r w:rsidRPr="001352AB">
        <w:rPr>
          <w:rFonts w:ascii="Sylfaen" w:hAnsi="Sylfaen" w:cs="Sylfaen"/>
        </w:rPr>
        <w:t>ცხრილი</w:t>
      </w:r>
      <w:r w:rsidRPr="001352AB">
        <w:t xml:space="preserve"> 7.1-4.</w:t>
      </w:r>
      <w:r w:rsidRPr="001352AB">
        <w:tab/>
      </w:r>
      <w:r w:rsidRPr="001352AB">
        <w:rPr>
          <w:rFonts w:ascii="Sylfaen" w:hAnsi="Sylfaen" w:cs="Sylfaen"/>
        </w:rPr>
        <w:t>საწყისი</w:t>
      </w:r>
      <w:r w:rsidRPr="001352AB">
        <w:t xml:space="preserve"> </w:t>
      </w:r>
      <w:r w:rsidRPr="001352AB">
        <w:rPr>
          <w:rFonts w:ascii="Sylfaen" w:hAnsi="Sylfaen" w:cs="Sylfaen"/>
        </w:rPr>
        <w:t>მონაცემები</w:t>
      </w:r>
      <w:bookmarkEnd w:id="253"/>
    </w:p>
    <w:tbl>
      <w:tblPr>
        <w:tblW w:w="5000" w:type="pct"/>
        <w:jc w:val="center"/>
        <w:tblLook w:val="04A0" w:firstRow="1" w:lastRow="0" w:firstColumn="1" w:lastColumn="0" w:noHBand="0" w:noVBand="1"/>
      </w:tblPr>
      <w:tblGrid>
        <w:gridCol w:w="1394"/>
        <w:gridCol w:w="6273"/>
        <w:gridCol w:w="2716"/>
      </w:tblGrid>
      <w:tr w:rsidR="00CD64B5" w:rsidRPr="001352AB" w14:paraId="0D3F8A16" w14:textId="77777777" w:rsidTr="00CD64B5">
        <w:trPr>
          <w:cantSplit/>
          <w:trHeight w:val="558"/>
          <w:tblHeader/>
          <w:jc w:val="center"/>
        </w:trPr>
        <w:tc>
          <w:tcPr>
            <w:tcW w:w="671" w:type="pct"/>
            <w:tcBorders>
              <w:top w:val="single" w:sz="8" w:space="0" w:color="auto"/>
              <w:left w:val="single" w:sz="6" w:space="0" w:color="auto"/>
              <w:bottom w:val="single" w:sz="8" w:space="0" w:color="auto"/>
              <w:right w:val="single" w:sz="4" w:space="0" w:color="000000"/>
            </w:tcBorders>
            <w:shd w:val="clear" w:color="auto" w:fill="D9D9D9" w:themeFill="background1" w:themeFillShade="D9"/>
            <w:vAlign w:val="center"/>
            <w:hideMark/>
          </w:tcPr>
          <w:p w14:paraId="60319E73" w14:textId="77777777" w:rsidR="00CD64B5" w:rsidRPr="001352AB" w:rsidRDefault="00CD64B5" w:rsidP="00CD64B5">
            <w:pPr>
              <w:rPr>
                <w:rFonts w:eastAsiaTheme="minorEastAsia"/>
                <w:lang w:eastAsia="en-US"/>
              </w:rPr>
            </w:pPr>
            <w:r w:rsidRPr="001352AB">
              <w:rPr>
                <w:rFonts w:ascii="Sylfaen" w:hAnsi="Sylfaen" w:cs="Sylfaen"/>
              </w:rPr>
              <w:t>მასალა</w:t>
            </w:r>
          </w:p>
        </w:tc>
        <w:tc>
          <w:tcPr>
            <w:tcW w:w="3021" w:type="pct"/>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14:paraId="6A9878C4" w14:textId="77777777" w:rsidR="00CD64B5" w:rsidRPr="001352AB" w:rsidRDefault="00CD64B5" w:rsidP="00CD64B5">
            <w:r w:rsidRPr="001352AB">
              <w:rPr>
                <w:rFonts w:ascii="Sylfaen" w:hAnsi="Sylfaen" w:cs="Sylfaen"/>
              </w:rPr>
              <w:t>პარამეტრები</w:t>
            </w:r>
          </w:p>
        </w:tc>
        <w:tc>
          <w:tcPr>
            <w:tcW w:w="1309" w:type="pct"/>
            <w:tcBorders>
              <w:top w:val="single" w:sz="8" w:space="0" w:color="auto"/>
              <w:left w:val="single" w:sz="4" w:space="0" w:color="000000"/>
              <w:bottom w:val="single" w:sz="8" w:space="0" w:color="auto"/>
              <w:right w:val="single" w:sz="6" w:space="0" w:color="auto"/>
            </w:tcBorders>
            <w:shd w:val="clear" w:color="auto" w:fill="D9D9D9" w:themeFill="background1" w:themeFillShade="D9"/>
            <w:vAlign w:val="center"/>
            <w:hideMark/>
          </w:tcPr>
          <w:p w14:paraId="765DF2FB" w14:textId="77777777" w:rsidR="00CD64B5" w:rsidRPr="001352AB" w:rsidRDefault="00CD64B5" w:rsidP="00CD64B5">
            <w:r w:rsidRPr="001352AB">
              <w:rPr>
                <w:rFonts w:ascii="Sylfaen" w:hAnsi="Sylfaen" w:cs="Sylfaen"/>
              </w:rPr>
              <w:t>ერთდროულობა</w:t>
            </w:r>
          </w:p>
        </w:tc>
      </w:tr>
      <w:tr w:rsidR="00CD64B5" w:rsidRPr="001352AB" w14:paraId="58754502" w14:textId="77777777" w:rsidTr="00CD64B5">
        <w:trPr>
          <w:trHeight w:val="556"/>
          <w:jc w:val="center"/>
        </w:trPr>
        <w:tc>
          <w:tcPr>
            <w:tcW w:w="671" w:type="pct"/>
            <w:tcBorders>
              <w:top w:val="single" w:sz="4" w:space="0" w:color="000000"/>
              <w:left w:val="single" w:sz="6" w:space="0" w:color="auto"/>
              <w:bottom w:val="single" w:sz="8" w:space="0" w:color="auto"/>
              <w:right w:val="single" w:sz="4" w:space="0" w:color="000000"/>
            </w:tcBorders>
            <w:vAlign w:val="center"/>
            <w:hideMark/>
          </w:tcPr>
          <w:p w14:paraId="59A12E0E" w14:textId="77777777" w:rsidR="00CD64B5" w:rsidRPr="001352AB" w:rsidRDefault="00CD64B5" w:rsidP="00CD64B5">
            <w:r w:rsidRPr="001352AB">
              <w:rPr>
                <w:rFonts w:ascii="Sylfaen" w:hAnsi="Sylfaen" w:cs="Sylfaen"/>
              </w:rPr>
              <w:t>ღორღი</w:t>
            </w:r>
          </w:p>
        </w:tc>
        <w:tc>
          <w:tcPr>
            <w:tcW w:w="3021" w:type="pct"/>
            <w:tcBorders>
              <w:top w:val="single" w:sz="4" w:space="0" w:color="000000"/>
              <w:left w:val="single" w:sz="4" w:space="0" w:color="000000"/>
              <w:bottom w:val="single" w:sz="8" w:space="0" w:color="auto"/>
              <w:right w:val="single" w:sz="4" w:space="0" w:color="000000"/>
            </w:tcBorders>
            <w:hideMark/>
          </w:tcPr>
          <w:p w14:paraId="1770B48B" w14:textId="77777777" w:rsidR="00CD64B5" w:rsidRPr="001352AB" w:rsidRDefault="00CD64B5" w:rsidP="00CD64B5">
            <w:r w:rsidRPr="001352AB">
              <w:rPr>
                <w:rFonts w:ascii="Sylfaen" w:hAnsi="Sylfaen" w:cs="Sylfaen"/>
              </w:rPr>
              <w:t>მუშაობის</w:t>
            </w:r>
            <w:r w:rsidRPr="001352AB">
              <w:t xml:space="preserve"> </w:t>
            </w:r>
            <w:r w:rsidRPr="001352AB">
              <w:rPr>
                <w:rFonts w:ascii="Sylfaen" w:hAnsi="Sylfaen" w:cs="Sylfaen"/>
              </w:rPr>
              <w:t>დრო</w:t>
            </w:r>
            <w:r w:rsidRPr="001352AB">
              <w:t>-4000</w:t>
            </w:r>
            <w:r w:rsidRPr="001352AB">
              <w:rPr>
                <w:rFonts w:ascii="Sylfaen" w:hAnsi="Sylfaen" w:cs="Sylfaen"/>
              </w:rPr>
              <w:t>სთ</w:t>
            </w:r>
            <w:r w:rsidRPr="001352AB">
              <w:t>/</w:t>
            </w:r>
            <w:r w:rsidRPr="001352AB">
              <w:rPr>
                <w:rFonts w:ascii="Sylfaen" w:hAnsi="Sylfaen" w:cs="Sylfaen"/>
              </w:rPr>
              <w:t>წელ</w:t>
            </w:r>
            <w:r w:rsidRPr="001352AB">
              <w:t xml:space="preserve">; </w:t>
            </w:r>
            <w:r w:rsidRPr="001352AB">
              <w:rPr>
                <w:rFonts w:ascii="Sylfaen" w:hAnsi="Sylfaen" w:cs="Sylfaen"/>
              </w:rPr>
              <w:t>ტენიანობა</w:t>
            </w:r>
            <w:r w:rsidRPr="001352AB">
              <w:t xml:space="preserve"> 10%-</w:t>
            </w:r>
            <w:r w:rsidRPr="001352AB">
              <w:rPr>
                <w:rFonts w:ascii="Sylfaen" w:hAnsi="Sylfaen" w:cs="Sylfaen"/>
              </w:rPr>
              <w:t>მდე</w:t>
            </w:r>
            <w:r w:rsidRPr="001352AB">
              <w:t xml:space="preserve">. (K5 = 0,1). </w:t>
            </w:r>
            <w:r w:rsidRPr="001352AB">
              <w:rPr>
                <w:rFonts w:ascii="Sylfaen" w:hAnsi="Sylfaen" w:cs="Sylfaen"/>
              </w:rPr>
              <w:t>ნაწილაკების</w:t>
            </w:r>
            <w:r w:rsidRPr="001352AB">
              <w:t xml:space="preserve"> </w:t>
            </w:r>
            <w:r w:rsidRPr="001352AB">
              <w:rPr>
                <w:rFonts w:ascii="Sylfaen" w:hAnsi="Sylfaen" w:cs="Sylfaen"/>
              </w:rPr>
              <w:t>ზომა</w:t>
            </w:r>
            <w:r w:rsidRPr="001352AB">
              <w:t>-50-10</w:t>
            </w:r>
            <w:r w:rsidRPr="001352AB">
              <w:rPr>
                <w:rFonts w:ascii="Sylfaen" w:hAnsi="Sylfaen" w:cs="Sylfaen"/>
              </w:rPr>
              <w:t>მმ</w:t>
            </w:r>
            <w:r w:rsidRPr="001352AB">
              <w:t xml:space="preserve">. (K7 = 0,5). </w:t>
            </w:r>
            <w:r w:rsidRPr="001352AB">
              <w:rPr>
                <w:rFonts w:ascii="Sylfaen" w:hAnsi="Sylfaen" w:cs="Sylfaen"/>
              </w:rPr>
              <w:t>კუთრი</w:t>
            </w:r>
            <w:r w:rsidRPr="001352AB">
              <w:t xml:space="preserve"> </w:t>
            </w:r>
            <w:r w:rsidRPr="001352AB">
              <w:rPr>
                <w:rFonts w:ascii="Sylfaen" w:hAnsi="Sylfaen" w:cs="Sylfaen"/>
              </w:rPr>
              <w:t>ამტვერება</w:t>
            </w:r>
            <w:r w:rsidRPr="001352AB">
              <w:t xml:space="preserve">- 0,0000045 </w:t>
            </w:r>
            <w:r w:rsidRPr="001352AB">
              <w:rPr>
                <w:rFonts w:ascii="Sylfaen" w:hAnsi="Sylfaen" w:cs="Sylfaen"/>
              </w:rPr>
              <w:t>კგ</w:t>
            </w:r>
            <w:r w:rsidRPr="001352AB">
              <w:t>/</w:t>
            </w:r>
            <w:r w:rsidRPr="001352AB">
              <w:rPr>
                <w:rFonts w:ascii="Sylfaen" w:hAnsi="Sylfaen" w:cs="Sylfaen"/>
              </w:rPr>
              <w:t>მ</w:t>
            </w:r>
            <w:r w:rsidRPr="001352AB">
              <w:t>2*</w:t>
            </w:r>
            <w:r w:rsidRPr="001352AB">
              <w:rPr>
                <w:rFonts w:ascii="Sylfaen" w:hAnsi="Sylfaen" w:cs="Sylfaen"/>
              </w:rPr>
              <w:t>წმ</w:t>
            </w:r>
            <w:r w:rsidRPr="001352AB">
              <w:t xml:space="preserve">. </w:t>
            </w:r>
          </w:p>
        </w:tc>
        <w:tc>
          <w:tcPr>
            <w:tcW w:w="1309" w:type="pct"/>
            <w:tcBorders>
              <w:top w:val="single" w:sz="4" w:space="0" w:color="000000"/>
              <w:left w:val="single" w:sz="4" w:space="0" w:color="000000"/>
              <w:bottom w:val="single" w:sz="8" w:space="0" w:color="auto"/>
              <w:right w:val="single" w:sz="6" w:space="0" w:color="auto"/>
            </w:tcBorders>
            <w:vAlign w:val="center"/>
            <w:hideMark/>
          </w:tcPr>
          <w:p w14:paraId="59CAE9B9" w14:textId="77777777" w:rsidR="00CD64B5" w:rsidRPr="001352AB" w:rsidRDefault="00CD64B5" w:rsidP="00CD64B5">
            <w:r w:rsidRPr="001352AB">
              <w:t>+</w:t>
            </w:r>
          </w:p>
        </w:tc>
      </w:tr>
    </w:tbl>
    <w:p w14:paraId="66C7F961" w14:textId="77777777" w:rsidR="00CD64B5" w:rsidRPr="001352AB" w:rsidRDefault="00CD64B5" w:rsidP="00CD64B5">
      <w:pPr>
        <w:spacing w:before="120" w:after="120"/>
      </w:pPr>
      <w:r w:rsidRPr="001352AB">
        <w:rPr>
          <w:rFonts w:ascii="Sylfaen" w:eastAsiaTheme="minorEastAsia" w:hAnsi="Sylfaen" w:cs="Sylfaen"/>
        </w:rPr>
        <w:t>მიღებული</w:t>
      </w:r>
      <w:r w:rsidRPr="001352AB">
        <w:rPr>
          <w:rFonts w:eastAsiaTheme="minorEastAsia"/>
        </w:rPr>
        <w:t xml:space="preserve"> </w:t>
      </w:r>
      <w:r w:rsidRPr="001352AB">
        <w:rPr>
          <w:rFonts w:ascii="Sylfaen" w:eastAsiaTheme="minorEastAsia" w:hAnsi="Sylfaen" w:cs="Sylfaen"/>
        </w:rPr>
        <w:t>პირობითი</w:t>
      </w:r>
      <w:r w:rsidRPr="001352AB">
        <w:rPr>
          <w:rFonts w:eastAsiaTheme="minorEastAsia"/>
        </w:rPr>
        <w:t xml:space="preserve"> </w:t>
      </w:r>
      <w:r w:rsidRPr="001352AB">
        <w:rPr>
          <w:rFonts w:ascii="Sylfaen" w:eastAsiaTheme="minorEastAsia" w:hAnsi="Sylfaen" w:cs="Sylfaen"/>
        </w:rPr>
        <w:t>აღნიშვნები</w:t>
      </w:r>
      <w:r w:rsidRPr="001352AB">
        <w:rPr>
          <w:rFonts w:eastAsiaTheme="minorEastAsia"/>
        </w:rPr>
        <w:t xml:space="preserve">, </w:t>
      </w:r>
      <w:r w:rsidRPr="001352AB">
        <w:rPr>
          <w:rFonts w:ascii="Sylfaen" w:eastAsiaTheme="minorEastAsia" w:hAnsi="Sylfaen" w:cs="Sylfaen"/>
        </w:rPr>
        <w:t>საანგარიშო</w:t>
      </w:r>
      <w:r w:rsidRPr="001352AB">
        <w:rPr>
          <w:rFonts w:eastAsiaTheme="minorEastAsia"/>
        </w:rPr>
        <w:t xml:space="preserve"> </w:t>
      </w:r>
      <w:r w:rsidRPr="001352AB">
        <w:rPr>
          <w:rFonts w:ascii="Sylfaen" w:eastAsiaTheme="minorEastAsia" w:hAnsi="Sylfaen" w:cs="Sylfaen"/>
        </w:rPr>
        <w:t>ფორმულები</w:t>
      </w:r>
      <w:r w:rsidRPr="001352AB">
        <w:rPr>
          <w:rFonts w:eastAsiaTheme="minorEastAsia"/>
        </w:rPr>
        <w:t xml:space="preserve">, </w:t>
      </w:r>
      <w:r w:rsidRPr="001352AB">
        <w:rPr>
          <w:rFonts w:ascii="Sylfaen" w:eastAsiaTheme="minorEastAsia" w:hAnsi="Sylfaen" w:cs="Sylfaen"/>
        </w:rPr>
        <w:t>აგრეთვე</w:t>
      </w:r>
      <w:r w:rsidRPr="001352AB">
        <w:rPr>
          <w:rFonts w:eastAsiaTheme="minorEastAsia"/>
        </w:rPr>
        <w:t xml:space="preserve"> </w:t>
      </w:r>
      <w:r w:rsidRPr="001352AB">
        <w:rPr>
          <w:rFonts w:ascii="Sylfaen" w:eastAsiaTheme="minorEastAsia" w:hAnsi="Sylfaen" w:cs="Sylfaen"/>
        </w:rPr>
        <w:t>საანგარიშო</w:t>
      </w:r>
      <w:r w:rsidRPr="001352AB">
        <w:rPr>
          <w:rFonts w:eastAsiaTheme="minorEastAsia"/>
        </w:rPr>
        <w:t xml:space="preserve"> </w:t>
      </w:r>
      <w:r w:rsidRPr="001352AB">
        <w:rPr>
          <w:rFonts w:ascii="Sylfaen" w:eastAsiaTheme="minorEastAsia" w:hAnsi="Sylfaen" w:cs="Sylfaen"/>
        </w:rPr>
        <w:t>პარამეტრები</w:t>
      </w:r>
      <w:r w:rsidRPr="001352AB">
        <w:rPr>
          <w:rFonts w:eastAsiaTheme="minorEastAsia"/>
        </w:rPr>
        <w:t xml:space="preserve"> </w:t>
      </w:r>
      <w:r w:rsidRPr="001352AB">
        <w:rPr>
          <w:rFonts w:ascii="Sylfaen" w:eastAsiaTheme="minorEastAsia" w:hAnsi="Sylfaen" w:cs="Sylfaen"/>
        </w:rPr>
        <w:t>და</w:t>
      </w:r>
      <w:r w:rsidRPr="001352AB">
        <w:rPr>
          <w:rFonts w:eastAsiaTheme="minorEastAsia"/>
        </w:rPr>
        <w:t xml:space="preserve"> </w:t>
      </w:r>
      <w:r w:rsidRPr="001352AB">
        <w:rPr>
          <w:rFonts w:ascii="Sylfaen" w:eastAsiaTheme="minorEastAsia" w:hAnsi="Sylfaen" w:cs="Sylfaen"/>
        </w:rPr>
        <w:t>მათი</w:t>
      </w:r>
      <w:r w:rsidRPr="001352AB">
        <w:rPr>
          <w:rFonts w:eastAsiaTheme="minorEastAsia"/>
        </w:rPr>
        <w:t xml:space="preserve"> </w:t>
      </w:r>
      <w:r w:rsidRPr="001352AB">
        <w:rPr>
          <w:rFonts w:ascii="Sylfaen" w:eastAsiaTheme="minorEastAsia" w:hAnsi="Sylfaen" w:cs="Sylfaen"/>
        </w:rPr>
        <w:t>დასაბუთება</w:t>
      </w:r>
      <w:r w:rsidRPr="001352AB">
        <w:rPr>
          <w:rFonts w:eastAsiaTheme="minorEastAsia"/>
        </w:rPr>
        <w:t xml:space="preserve"> </w:t>
      </w:r>
      <w:r w:rsidRPr="001352AB">
        <w:rPr>
          <w:rFonts w:ascii="Sylfaen" w:eastAsiaTheme="minorEastAsia" w:hAnsi="Sylfaen" w:cs="Sylfaen"/>
        </w:rPr>
        <w:t>მოცემულია</w:t>
      </w:r>
      <w:r w:rsidRPr="001352AB">
        <w:rPr>
          <w:rFonts w:eastAsiaTheme="minorEastAsia"/>
        </w:rPr>
        <w:t xml:space="preserve"> </w:t>
      </w:r>
      <w:r w:rsidRPr="001352AB">
        <w:rPr>
          <w:rFonts w:ascii="Sylfaen" w:eastAsiaTheme="minorEastAsia" w:hAnsi="Sylfaen" w:cs="Sylfaen"/>
        </w:rPr>
        <w:t>ქვემოთ</w:t>
      </w:r>
      <w:r w:rsidRPr="001352AB">
        <w:rPr>
          <w:rFonts w:eastAsiaTheme="minorEastAsia"/>
        </w:rPr>
        <w:t>.</w:t>
      </w:r>
    </w:p>
    <w:p w14:paraId="20B6E6EA"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შეწონილი</w:t>
      </w:r>
      <w:r w:rsidRPr="001352AB">
        <w:rPr>
          <w:rFonts w:eastAsiaTheme="minorEastAsia"/>
        </w:rPr>
        <w:t xml:space="preserve"> </w:t>
      </w:r>
      <w:r w:rsidRPr="001352AB">
        <w:rPr>
          <w:rFonts w:ascii="Sylfaen" w:eastAsiaTheme="minorEastAsia" w:hAnsi="Sylfaen" w:cs="Sylfaen"/>
        </w:rPr>
        <w:t>ნაწილაკების</w:t>
      </w:r>
      <w:r w:rsidRPr="001352AB">
        <w:rPr>
          <w:rFonts w:eastAsiaTheme="minorEastAsia"/>
        </w:rPr>
        <w:t xml:space="preserve"> </w:t>
      </w:r>
      <w:r w:rsidRPr="001352AB">
        <w:rPr>
          <w:rFonts w:ascii="Sylfaen" w:eastAsiaTheme="minorEastAsia" w:hAnsi="Sylfaen" w:cs="Sylfaen"/>
        </w:rPr>
        <w:t>ჯამური</w:t>
      </w:r>
      <w:r w:rsidRPr="001352AB">
        <w:rPr>
          <w:rFonts w:eastAsiaTheme="minorEastAsia"/>
        </w:rPr>
        <w:t xml:space="preserve"> </w:t>
      </w:r>
      <w:r w:rsidRPr="001352AB">
        <w:rPr>
          <w:rFonts w:ascii="Sylfaen" w:eastAsiaTheme="minorEastAsia" w:hAnsi="Sylfaen" w:cs="Sylfaen"/>
        </w:rPr>
        <w:t>მასის</w:t>
      </w:r>
      <w:r w:rsidRPr="001352AB">
        <w:rPr>
          <w:rFonts w:eastAsiaTheme="minorEastAsia"/>
        </w:rPr>
        <w:t xml:space="preserve"> </w:t>
      </w:r>
      <w:r w:rsidRPr="001352AB">
        <w:rPr>
          <w:rFonts w:ascii="Sylfaen" w:eastAsiaTheme="minorEastAsia" w:hAnsi="Sylfaen" w:cs="Sylfaen"/>
        </w:rPr>
        <w:t>ემისია</w:t>
      </w:r>
      <w:r w:rsidRPr="001352AB">
        <w:rPr>
          <w:rFonts w:eastAsiaTheme="minorEastAsia"/>
        </w:rPr>
        <w:t xml:space="preserve">, </w:t>
      </w:r>
      <w:r w:rsidRPr="001352AB">
        <w:rPr>
          <w:rFonts w:ascii="Sylfaen" w:eastAsiaTheme="minorEastAsia" w:hAnsi="Sylfaen" w:cs="Sylfaen"/>
        </w:rPr>
        <w:t>რომელიც</w:t>
      </w:r>
      <w:r w:rsidRPr="001352AB">
        <w:rPr>
          <w:rFonts w:eastAsiaTheme="minorEastAsia"/>
        </w:rPr>
        <w:t xml:space="preserve"> </w:t>
      </w:r>
      <w:r w:rsidRPr="001352AB">
        <w:rPr>
          <w:rFonts w:ascii="Sylfaen" w:eastAsiaTheme="minorEastAsia" w:hAnsi="Sylfaen" w:cs="Sylfaen"/>
        </w:rPr>
        <w:t>წარმოიქმნება</w:t>
      </w:r>
      <w:r w:rsidRPr="001352AB">
        <w:rPr>
          <w:rFonts w:eastAsiaTheme="minorEastAsia"/>
        </w:rPr>
        <w:t xml:space="preserve"> </w:t>
      </w:r>
      <w:r w:rsidRPr="001352AB">
        <w:rPr>
          <w:rFonts w:ascii="Sylfaen" w:eastAsiaTheme="minorEastAsia" w:hAnsi="Sylfaen" w:cs="Sylfaen"/>
        </w:rPr>
        <w:t>მასალის</w:t>
      </w:r>
      <w:r w:rsidRPr="001352AB">
        <w:rPr>
          <w:rFonts w:eastAsiaTheme="minorEastAsia"/>
        </w:rPr>
        <w:t xml:space="preserve"> </w:t>
      </w:r>
      <w:r w:rsidRPr="001352AB">
        <w:rPr>
          <w:rFonts w:ascii="Sylfaen" w:eastAsiaTheme="minorEastAsia" w:hAnsi="Sylfaen" w:cs="Sylfaen"/>
        </w:rPr>
        <w:t>ტრანსპორტირებისას</w:t>
      </w:r>
      <w:r w:rsidRPr="001352AB">
        <w:rPr>
          <w:rFonts w:eastAsiaTheme="minorEastAsia"/>
        </w:rPr>
        <w:t xml:space="preserve"> </w:t>
      </w:r>
      <w:r w:rsidRPr="001352AB">
        <w:rPr>
          <w:rFonts w:ascii="Sylfaen" w:eastAsiaTheme="minorEastAsia" w:hAnsi="Sylfaen" w:cs="Sylfaen"/>
        </w:rPr>
        <w:t>ღია</w:t>
      </w:r>
      <w:r w:rsidRPr="001352AB">
        <w:rPr>
          <w:rFonts w:eastAsiaTheme="minorEastAsia"/>
        </w:rPr>
        <w:t xml:space="preserve"> </w:t>
      </w:r>
      <w:r w:rsidRPr="001352AB">
        <w:rPr>
          <w:rFonts w:ascii="Sylfaen" w:eastAsiaTheme="minorEastAsia" w:hAnsi="Sylfaen" w:cs="Sylfaen"/>
        </w:rPr>
        <w:t>ლენტური</w:t>
      </w:r>
      <w:r w:rsidRPr="001352AB">
        <w:rPr>
          <w:rFonts w:eastAsiaTheme="minorEastAsia"/>
        </w:rPr>
        <w:t xml:space="preserve"> </w:t>
      </w:r>
      <w:r w:rsidRPr="001352AB">
        <w:rPr>
          <w:rFonts w:ascii="Sylfaen" w:eastAsiaTheme="minorEastAsia" w:hAnsi="Sylfaen" w:cs="Sylfaen"/>
        </w:rPr>
        <w:t>კონვეირიდან</w:t>
      </w:r>
      <w:r w:rsidRPr="001352AB">
        <w:rPr>
          <w:rFonts w:eastAsiaTheme="minorEastAsia"/>
        </w:rPr>
        <w:t xml:space="preserve">, </w:t>
      </w:r>
      <w:r w:rsidRPr="001352AB">
        <w:rPr>
          <w:rFonts w:ascii="Sylfaen" w:eastAsiaTheme="minorEastAsia" w:hAnsi="Sylfaen" w:cs="Sylfaen"/>
        </w:rPr>
        <w:t>განისაზღვრება</w:t>
      </w:r>
      <w:r w:rsidRPr="001352AB">
        <w:rPr>
          <w:rFonts w:eastAsiaTheme="minorEastAsia"/>
        </w:rPr>
        <w:t xml:space="preserve"> </w:t>
      </w:r>
      <w:r w:rsidRPr="001352AB">
        <w:rPr>
          <w:rFonts w:ascii="Sylfaen" w:eastAsiaTheme="minorEastAsia" w:hAnsi="Sylfaen" w:cs="Sylfaen"/>
        </w:rPr>
        <w:t>ფორმულით</w:t>
      </w:r>
      <w:r w:rsidRPr="001352AB">
        <w:rPr>
          <w:rFonts w:eastAsiaTheme="minorEastAsia"/>
        </w:rPr>
        <w:t>:</w:t>
      </w:r>
    </w:p>
    <w:p w14:paraId="23C56F55" w14:textId="77777777" w:rsidR="00CD64B5" w:rsidRPr="001352AB" w:rsidRDefault="00CD64B5" w:rsidP="00CD64B5">
      <w:pPr>
        <w:spacing w:before="120" w:after="120"/>
        <w:rPr>
          <w:rFonts w:eastAsiaTheme="minorEastAsia"/>
        </w:rPr>
      </w:pPr>
      <w:r w:rsidRPr="001352AB">
        <w:rPr>
          <w:rFonts w:eastAsiaTheme="minorEastAsia"/>
        </w:rPr>
        <w:t xml:space="preserve">МК = 3,6 • K3 • K5 • WК • L • l • γ • T, </w:t>
      </w:r>
      <w:r w:rsidRPr="001352AB">
        <w:rPr>
          <w:rFonts w:ascii="Sylfaen" w:eastAsiaTheme="minorEastAsia" w:hAnsi="Sylfaen" w:cs="Sylfaen"/>
        </w:rPr>
        <w:t>ტ</w:t>
      </w:r>
      <w:r w:rsidRPr="001352AB">
        <w:rPr>
          <w:rFonts w:eastAsiaTheme="minorEastAsia"/>
        </w:rPr>
        <w:t>/</w:t>
      </w:r>
      <w:r w:rsidRPr="001352AB">
        <w:rPr>
          <w:rFonts w:ascii="Sylfaen" w:eastAsiaTheme="minorEastAsia" w:hAnsi="Sylfaen" w:cs="Sylfaen"/>
        </w:rPr>
        <w:t>წელ</w:t>
      </w:r>
      <w:r w:rsidRPr="001352AB">
        <w:rPr>
          <w:rFonts w:eastAsiaTheme="minorEastAsia"/>
        </w:rPr>
        <w:t>;</w:t>
      </w:r>
    </w:p>
    <w:p w14:paraId="684CDEED"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სადაც</w:t>
      </w:r>
      <w:r w:rsidRPr="001352AB">
        <w:rPr>
          <w:rFonts w:eastAsiaTheme="minorEastAsia"/>
        </w:rPr>
        <w:t>:</w:t>
      </w:r>
    </w:p>
    <w:p w14:paraId="68111C23" w14:textId="77777777" w:rsidR="00CD64B5" w:rsidRPr="001352AB" w:rsidRDefault="00CD64B5" w:rsidP="00CD64B5">
      <w:pPr>
        <w:spacing w:before="120" w:after="120"/>
        <w:rPr>
          <w:rFonts w:eastAsiaTheme="minorEastAsia"/>
        </w:rPr>
      </w:pPr>
      <w:r w:rsidRPr="001352AB">
        <w:rPr>
          <w:rFonts w:eastAsiaTheme="minorEastAsia"/>
        </w:rPr>
        <w:t xml:space="preserve">K3 - </w:t>
      </w:r>
      <w:r w:rsidRPr="001352AB">
        <w:rPr>
          <w:rFonts w:ascii="Sylfaen" w:eastAsiaTheme="minorEastAsia" w:hAnsi="Sylfaen" w:cs="Sylfaen"/>
        </w:rPr>
        <w:t>კოეფიციენტი</w:t>
      </w:r>
      <w:r w:rsidRPr="001352AB">
        <w:rPr>
          <w:rFonts w:eastAsiaTheme="minorEastAsia"/>
        </w:rPr>
        <w:t xml:space="preserve">, </w:t>
      </w:r>
      <w:r w:rsidRPr="001352AB">
        <w:rPr>
          <w:rFonts w:ascii="Sylfaen" w:eastAsiaTheme="minorEastAsia" w:hAnsi="Sylfaen" w:cs="Sylfaen"/>
        </w:rPr>
        <w:t>რომელიც</w:t>
      </w:r>
      <w:r w:rsidRPr="001352AB">
        <w:rPr>
          <w:rFonts w:eastAsiaTheme="minorEastAsia"/>
        </w:rPr>
        <w:t xml:space="preserve"> </w:t>
      </w:r>
      <w:r w:rsidRPr="001352AB">
        <w:rPr>
          <w:rFonts w:ascii="Sylfaen" w:eastAsiaTheme="minorEastAsia" w:hAnsi="Sylfaen" w:cs="Sylfaen"/>
        </w:rPr>
        <w:t>ითვალისწინებს</w:t>
      </w:r>
      <w:r w:rsidRPr="001352AB">
        <w:rPr>
          <w:rFonts w:eastAsiaTheme="minorEastAsia"/>
        </w:rPr>
        <w:t xml:space="preserve"> </w:t>
      </w:r>
      <w:r w:rsidRPr="001352AB">
        <w:rPr>
          <w:rFonts w:ascii="Sylfaen" w:eastAsiaTheme="minorEastAsia" w:hAnsi="Sylfaen" w:cs="Sylfaen"/>
        </w:rPr>
        <w:t>ადგილობრივ</w:t>
      </w:r>
      <w:r w:rsidRPr="001352AB">
        <w:rPr>
          <w:rFonts w:eastAsiaTheme="minorEastAsia"/>
        </w:rPr>
        <w:t xml:space="preserve"> </w:t>
      </w:r>
      <w:r w:rsidRPr="001352AB">
        <w:rPr>
          <w:rFonts w:ascii="Sylfaen" w:eastAsiaTheme="minorEastAsia" w:hAnsi="Sylfaen" w:cs="Sylfaen"/>
        </w:rPr>
        <w:t>მეტეო</w:t>
      </w:r>
      <w:r w:rsidRPr="001352AB">
        <w:rPr>
          <w:rFonts w:eastAsiaTheme="minorEastAsia"/>
        </w:rPr>
        <w:t xml:space="preserve"> </w:t>
      </w:r>
      <w:r w:rsidRPr="001352AB">
        <w:rPr>
          <w:rFonts w:ascii="Sylfaen" w:eastAsiaTheme="minorEastAsia" w:hAnsi="Sylfaen" w:cs="Sylfaen"/>
        </w:rPr>
        <w:t>პირობებს</w:t>
      </w:r>
      <w:r w:rsidRPr="001352AB">
        <w:rPr>
          <w:rFonts w:eastAsiaTheme="minorEastAsia"/>
        </w:rPr>
        <w:t xml:space="preserve"> ;</w:t>
      </w:r>
    </w:p>
    <w:p w14:paraId="73715616" w14:textId="77777777" w:rsidR="00CD64B5" w:rsidRPr="001352AB" w:rsidRDefault="00CD64B5" w:rsidP="00CD64B5">
      <w:pPr>
        <w:spacing w:before="120" w:after="120"/>
        <w:rPr>
          <w:rFonts w:eastAsiaTheme="minorEastAsia"/>
        </w:rPr>
      </w:pPr>
      <w:r w:rsidRPr="001352AB">
        <w:rPr>
          <w:rFonts w:eastAsiaTheme="minorEastAsia"/>
        </w:rPr>
        <w:t xml:space="preserve">K5 - </w:t>
      </w:r>
      <w:r w:rsidRPr="001352AB">
        <w:rPr>
          <w:rFonts w:ascii="Sylfaen" w:eastAsiaTheme="minorEastAsia" w:hAnsi="Sylfaen" w:cs="Sylfaen"/>
        </w:rPr>
        <w:t>კოეფიციენტი</w:t>
      </w:r>
      <w:r w:rsidRPr="001352AB">
        <w:rPr>
          <w:rFonts w:eastAsiaTheme="minorEastAsia"/>
        </w:rPr>
        <w:t xml:space="preserve">, </w:t>
      </w:r>
      <w:r w:rsidRPr="001352AB">
        <w:rPr>
          <w:rFonts w:ascii="Sylfaen" w:eastAsiaTheme="minorEastAsia" w:hAnsi="Sylfaen" w:cs="Sylfaen"/>
        </w:rPr>
        <w:t>რომელიც</w:t>
      </w:r>
      <w:r w:rsidRPr="001352AB">
        <w:rPr>
          <w:rFonts w:eastAsiaTheme="minorEastAsia"/>
        </w:rPr>
        <w:t xml:space="preserve"> </w:t>
      </w:r>
      <w:r w:rsidRPr="001352AB">
        <w:rPr>
          <w:rFonts w:ascii="Sylfaen" w:eastAsiaTheme="minorEastAsia" w:hAnsi="Sylfaen" w:cs="Sylfaen"/>
        </w:rPr>
        <w:t>ითვალისწინებს</w:t>
      </w:r>
      <w:r w:rsidRPr="001352AB">
        <w:rPr>
          <w:rFonts w:eastAsiaTheme="minorEastAsia"/>
        </w:rPr>
        <w:t xml:space="preserve"> </w:t>
      </w:r>
      <w:r w:rsidRPr="001352AB">
        <w:rPr>
          <w:rFonts w:ascii="Sylfaen" w:eastAsiaTheme="minorEastAsia" w:hAnsi="Sylfaen" w:cs="Sylfaen"/>
        </w:rPr>
        <w:t>მასალის</w:t>
      </w:r>
      <w:r w:rsidRPr="001352AB">
        <w:rPr>
          <w:rFonts w:eastAsiaTheme="minorEastAsia"/>
        </w:rPr>
        <w:t xml:space="preserve"> </w:t>
      </w:r>
      <w:r w:rsidRPr="001352AB">
        <w:rPr>
          <w:rFonts w:ascii="Sylfaen" w:eastAsiaTheme="minorEastAsia" w:hAnsi="Sylfaen" w:cs="Sylfaen"/>
        </w:rPr>
        <w:t>ტენიანობას</w:t>
      </w:r>
      <w:r w:rsidRPr="001352AB">
        <w:rPr>
          <w:rFonts w:eastAsiaTheme="minorEastAsia"/>
        </w:rPr>
        <w:t xml:space="preserve">; </w:t>
      </w:r>
    </w:p>
    <w:p w14:paraId="5E006EFE" w14:textId="77777777" w:rsidR="00CD64B5" w:rsidRPr="001352AB" w:rsidRDefault="00CD64B5" w:rsidP="00CD64B5">
      <w:pPr>
        <w:spacing w:before="120" w:after="120"/>
        <w:rPr>
          <w:rFonts w:eastAsiaTheme="minorEastAsia"/>
        </w:rPr>
      </w:pPr>
      <w:r w:rsidRPr="001352AB">
        <w:rPr>
          <w:rFonts w:eastAsiaTheme="minorEastAsia"/>
        </w:rPr>
        <w:t xml:space="preserve">WК - </w:t>
      </w:r>
      <w:r w:rsidRPr="001352AB">
        <w:rPr>
          <w:rFonts w:ascii="Sylfaen" w:eastAsiaTheme="minorEastAsia" w:hAnsi="Sylfaen" w:cs="Sylfaen"/>
        </w:rPr>
        <w:t>ლენტური</w:t>
      </w:r>
      <w:r w:rsidRPr="001352AB">
        <w:rPr>
          <w:rFonts w:eastAsiaTheme="minorEastAsia"/>
        </w:rPr>
        <w:t xml:space="preserve"> </w:t>
      </w:r>
      <w:r w:rsidRPr="001352AB">
        <w:rPr>
          <w:rFonts w:ascii="Sylfaen" w:eastAsiaTheme="minorEastAsia" w:hAnsi="Sylfaen" w:cs="Sylfaen"/>
        </w:rPr>
        <w:t>ტრანსპორტიორიდან</w:t>
      </w:r>
      <w:r w:rsidRPr="001352AB">
        <w:rPr>
          <w:rFonts w:eastAsiaTheme="minorEastAsia"/>
        </w:rPr>
        <w:t xml:space="preserve"> </w:t>
      </w:r>
      <w:r w:rsidRPr="001352AB">
        <w:rPr>
          <w:rFonts w:ascii="Sylfaen" w:eastAsiaTheme="minorEastAsia" w:hAnsi="Sylfaen" w:cs="Sylfaen"/>
        </w:rPr>
        <w:t>კუთრი</w:t>
      </w:r>
      <w:r w:rsidRPr="001352AB">
        <w:rPr>
          <w:rFonts w:eastAsiaTheme="minorEastAsia"/>
        </w:rPr>
        <w:t xml:space="preserve"> </w:t>
      </w:r>
      <w:r w:rsidRPr="001352AB">
        <w:rPr>
          <w:rFonts w:ascii="Sylfaen" w:eastAsiaTheme="minorEastAsia" w:hAnsi="Sylfaen" w:cs="Sylfaen"/>
        </w:rPr>
        <w:t>ამტვერება</w:t>
      </w:r>
      <w:r w:rsidRPr="001352AB">
        <w:rPr>
          <w:rFonts w:eastAsiaTheme="minorEastAsia"/>
        </w:rPr>
        <w:t xml:space="preserve">, </w:t>
      </w:r>
      <w:r w:rsidRPr="001352AB">
        <w:rPr>
          <w:rFonts w:ascii="Sylfaen" w:eastAsiaTheme="minorEastAsia" w:hAnsi="Sylfaen" w:cs="Sylfaen"/>
        </w:rPr>
        <w:t>კგ</w:t>
      </w:r>
      <w:r w:rsidRPr="001352AB">
        <w:rPr>
          <w:rFonts w:eastAsiaTheme="minorEastAsia"/>
        </w:rPr>
        <w:t>/</w:t>
      </w:r>
      <w:r w:rsidRPr="001352AB">
        <w:rPr>
          <w:rFonts w:ascii="Sylfaen" w:eastAsiaTheme="minorEastAsia" w:hAnsi="Sylfaen" w:cs="Sylfaen"/>
        </w:rPr>
        <w:t>მ</w:t>
      </w:r>
      <w:r w:rsidRPr="001352AB">
        <w:rPr>
          <w:rFonts w:eastAsiaTheme="minorEastAsia"/>
        </w:rPr>
        <w:t>2*</w:t>
      </w:r>
      <w:r w:rsidRPr="001352AB">
        <w:rPr>
          <w:rFonts w:ascii="Sylfaen" w:eastAsiaTheme="minorEastAsia" w:hAnsi="Sylfaen" w:cs="Sylfaen"/>
        </w:rPr>
        <w:t>წმ</w:t>
      </w:r>
      <w:r w:rsidRPr="001352AB">
        <w:rPr>
          <w:rFonts w:eastAsiaTheme="minorEastAsia"/>
        </w:rPr>
        <w:t xml:space="preserve">; </w:t>
      </w:r>
    </w:p>
    <w:p w14:paraId="51AF00C8" w14:textId="77777777" w:rsidR="00CD64B5" w:rsidRPr="001352AB" w:rsidRDefault="00CD64B5" w:rsidP="00CD64B5">
      <w:pPr>
        <w:spacing w:before="120" w:after="120"/>
        <w:rPr>
          <w:rFonts w:eastAsiaTheme="minorEastAsia"/>
        </w:rPr>
      </w:pPr>
      <w:r w:rsidRPr="001352AB">
        <w:rPr>
          <w:rFonts w:eastAsiaTheme="minorEastAsia"/>
        </w:rPr>
        <w:t xml:space="preserve">L - </w:t>
      </w:r>
      <w:r w:rsidRPr="001352AB">
        <w:rPr>
          <w:rFonts w:ascii="Sylfaen" w:eastAsiaTheme="minorEastAsia" w:hAnsi="Sylfaen" w:cs="Sylfaen"/>
        </w:rPr>
        <w:t>ლენტური</w:t>
      </w:r>
      <w:r w:rsidRPr="001352AB">
        <w:rPr>
          <w:rFonts w:eastAsiaTheme="minorEastAsia"/>
        </w:rPr>
        <w:t xml:space="preserve"> </w:t>
      </w:r>
      <w:r w:rsidRPr="001352AB">
        <w:rPr>
          <w:rFonts w:ascii="Sylfaen" w:eastAsiaTheme="minorEastAsia" w:hAnsi="Sylfaen" w:cs="Sylfaen"/>
        </w:rPr>
        <w:t>ტრანსპორტიორის</w:t>
      </w:r>
      <w:r w:rsidRPr="001352AB">
        <w:rPr>
          <w:rFonts w:eastAsiaTheme="minorEastAsia"/>
        </w:rPr>
        <w:t xml:space="preserve"> </w:t>
      </w:r>
      <w:r w:rsidRPr="001352AB">
        <w:rPr>
          <w:rFonts w:ascii="Sylfaen" w:eastAsiaTheme="minorEastAsia" w:hAnsi="Sylfaen" w:cs="Sylfaen"/>
        </w:rPr>
        <w:t>სიგანე</w:t>
      </w:r>
      <w:r w:rsidRPr="001352AB">
        <w:rPr>
          <w:rFonts w:eastAsiaTheme="minorEastAsia"/>
        </w:rPr>
        <w:t xml:space="preserve">, </w:t>
      </w:r>
      <w:r w:rsidRPr="001352AB">
        <w:rPr>
          <w:rFonts w:ascii="Sylfaen" w:eastAsiaTheme="minorEastAsia" w:hAnsi="Sylfaen" w:cs="Sylfaen"/>
        </w:rPr>
        <w:t>მ</w:t>
      </w:r>
      <w:r w:rsidRPr="001352AB">
        <w:rPr>
          <w:rFonts w:eastAsiaTheme="minorEastAsia"/>
        </w:rPr>
        <w:t xml:space="preserve">. </w:t>
      </w:r>
    </w:p>
    <w:p w14:paraId="41BDD1D2" w14:textId="77777777" w:rsidR="00CD64B5" w:rsidRPr="001352AB" w:rsidRDefault="00CD64B5" w:rsidP="00CD64B5">
      <w:pPr>
        <w:spacing w:before="120" w:after="120"/>
        <w:rPr>
          <w:rFonts w:eastAsiaTheme="minorEastAsia"/>
        </w:rPr>
      </w:pPr>
      <w:r w:rsidRPr="001352AB">
        <w:rPr>
          <w:rFonts w:eastAsiaTheme="minorEastAsia"/>
        </w:rPr>
        <w:lastRenderedPageBreak/>
        <w:t xml:space="preserve">l - </w:t>
      </w:r>
      <w:r w:rsidRPr="001352AB">
        <w:rPr>
          <w:rFonts w:ascii="Sylfaen" w:eastAsiaTheme="minorEastAsia" w:hAnsi="Sylfaen" w:cs="Sylfaen"/>
        </w:rPr>
        <w:t>ლენტური</w:t>
      </w:r>
      <w:r w:rsidRPr="001352AB">
        <w:rPr>
          <w:rFonts w:eastAsiaTheme="minorEastAsia"/>
        </w:rPr>
        <w:t xml:space="preserve"> </w:t>
      </w:r>
      <w:r w:rsidRPr="001352AB">
        <w:rPr>
          <w:rFonts w:ascii="Sylfaen" w:eastAsiaTheme="minorEastAsia" w:hAnsi="Sylfaen" w:cs="Sylfaen"/>
        </w:rPr>
        <w:t>ტრანსპორტიორის</w:t>
      </w:r>
      <w:r w:rsidRPr="001352AB">
        <w:rPr>
          <w:rFonts w:eastAsiaTheme="minorEastAsia"/>
        </w:rPr>
        <w:t xml:space="preserve"> </w:t>
      </w:r>
      <w:r w:rsidRPr="001352AB">
        <w:rPr>
          <w:rFonts w:ascii="Sylfaen" w:eastAsiaTheme="minorEastAsia" w:hAnsi="Sylfaen" w:cs="Sylfaen"/>
        </w:rPr>
        <w:t>სიგრძე</w:t>
      </w:r>
      <w:r w:rsidRPr="001352AB">
        <w:rPr>
          <w:rFonts w:eastAsiaTheme="minorEastAsia"/>
        </w:rPr>
        <w:t xml:space="preserve">, </w:t>
      </w:r>
      <w:r w:rsidRPr="001352AB">
        <w:rPr>
          <w:rFonts w:ascii="Sylfaen" w:eastAsiaTheme="minorEastAsia" w:hAnsi="Sylfaen" w:cs="Sylfaen"/>
        </w:rPr>
        <w:t>მ</w:t>
      </w:r>
      <w:r w:rsidRPr="001352AB">
        <w:rPr>
          <w:rFonts w:eastAsiaTheme="minorEastAsia"/>
        </w:rPr>
        <w:t xml:space="preserve">. </w:t>
      </w:r>
    </w:p>
    <w:p w14:paraId="2A2744F9" w14:textId="77777777" w:rsidR="00CD64B5" w:rsidRPr="001352AB" w:rsidRDefault="00CD64B5" w:rsidP="00CD64B5">
      <w:pPr>
        <w:spacing w:before="120" w:after="120"/>
        <w:rPr>
          <w:rFonts w:eastAsiaTheme="minorEastAsia"/>
        </w:rPr>
      </w:pPr>
      <w:r w:rsidRPr="001352AB">
        <w:rPr>
          <w:rFonts w:eastAsiaTheme="minorEastAsia"/>
        </w:rPr>
        <w:t xml:space="preserve">γ - </w:t>
      </w:r>
      <w:r w:rsidRPr="001352AB">
        <w:rPr>
          <w:rFonts w:ascii="Sylfaen" w:eastAsiaTheme="minorEastAsia" w:hAnsi="Sylfaen" w:cs="Sylfaen"/>
        </w:rPr>
        <w:t>კოეფიციენტი</w:t>
      </w:r>
      <w:r w:rsidRPr="001352AB">
        <w:rPr>
          <w:rFonts w:eastAsiaTheme="minorEastAsia"/>
        </w:rPr>
        <w:t xml:space="preserve">, </w:t>
      </w:r>
      <w:r w:rsidRPr="001352AB">
        <w:rPr>
          <w:rFonts w:ascii="Sylfaen" w:eastAsiaTheme="minorEastAsia" w:hAnsi="Sylfaen" w:cs="Sylfaen"/>
        </w:rPr>
        <w:t>რომელიც</w:t>
      </w:r>
      <w:r w:rsidRPr="001352AB">
        <w:rPr>
          <w:rFonts w:eastAsiaTheme="minorEastAsia"/>
        </w:rPr>
        <w:t xml:space="preserve"> </w:t>
      </w:r>
      <w:r w:rsidRPr="001352AB">
        <w:rPr>
          <w:rFonts w:ascii="Sylfaen" w:eastAsiaTheme="minorEastAsia" w:hAnsi="Sylfaen" w:cs="Sylfaen"/>
        </w:rPr>
        <w:t>ითვალისწინებს</w:t>
      </w:r>
      <w:r w:rsidRPr="001352AB">
        <w:rPr>
          <w:rFonts w:eastAsiaTheme="minorEastAsia"/>
        </w:rPr>
        <w:t xml:space="preserve"> </w:t>
      </w:r>
      <w:r w:rsidRPr="001352AB">
        <w:rPr>
          <w:rFonts w:ascii="Sylfaen" w:eastAsiaTheme="minorEastAsia" w:hAnsi="Sylfaen" w:cs="Sylfaen"/>
        </w:rPr>
        <w:t>მასალის</w:t>
      </w:r>
      <w:r w:rsidRPr="001352AB">
        <w:rPr>
          <w:rFonts w:eastAsiaTheme="minorEastAsia"/>
        </w:rPr>
        <w:t xml:space="preserve"> </w:t>
      </w:r>
      <w:r w:rsidRPr="001352AB">
        <w:rPr>
          <w:rFonts w:ascii="Sylfaen" w:eastAsiaTheme="minorEastAsia" w:hAnsi="Sylfaen" w:cs="Sylfaen"/>
        </w:rPr>
        <w:t>დაწვრილმარცვლოვანებას</w:t>
      </w:r>
      <w:r w:rsidRPr="001352AB">
        <w:rPr>
          <w:rFonts w:eastAsiaTheme="minorEastAsia"/>
        </w:rPr>
        <w:t>;</w:t>
      </w:r>
    </w:p>
    <w:p w14:paraId="3F8DDC93" w14:textId="77777777" w:rsidR="00CD64B5" w:rsidRPr="001352AB" w:rsidRDefault="00CD64B5" w:rsidP="00CD64B5">
      <w:pPr>
        <w:spacing w:before="120" w:after="120"/>
        <w:rPr>
          <w:rFonts w:eastAsiaTheme="minorEastAsia"/>
        </w:rPr>
      </w:pPr>
      <w:r w:rsidRPr="001352AB">
        <w:rPr>
          <w:rFonts w:eastAsiaTheme="minorEastAsia"/>
        </w:rPr>
        <w:t xml:space="preserve">T - </w:t>
      </w:r>
      <w:r w:rsidRPr="001352AB">
        <w:rPr>
          <w:rFonts w:ascii="Sylfaen" w:eastAsiaTheme="minorEastAsia" w:hAnsi="Sylfaen" w:cs="Sylfaen"/>
        </w:rPr>
        <w:t>მუშაობის</w:t>
      </w:r>
      <w:r w:rsidRPr="001352AB">
        <w:rPr>
          <w:rFonts w:eastAsiaTheme="minorEastAsia"/>
        </w:rPr>
        <w:t xml:space="preserve"> </w:t>
      </w:r>
      <w:r w:rsidRPr="001352AB">
        <w:rPr>
          <w:rFonts w:ascii="Sylfaen" w:eastAsiaTheme="minorEastAsia" w:hAnsi="Sylfaen" w:cs="Sylfaen"/>
        </w:rPr>
        <w:t>წლიური</w:t>
      </w:r>
      <w:r w:rsidRPr="001352AB">
        <w:rPr>
          <w:rFonts w:eastAsiaTheme="minorEastAsia"/>
        </w:rPr>
        <w:t xml:space="preserve"> </w:t>
      </w:r>
      <w:r w:rsidRPr="001352AB">
        <w:rPr>
          <w:rFonts w:ascii="Sylfaen" w:eastAsiaTheme="minorEastAsia" w:hAnsi="Sylfaen" w:cs="Sylfaen"/>
        </w:rPr>
        <w:t>დრო</w:t>
      </w:r>
      <w:r w:rsidRPr="001352AB">
        <w:rPr>
          <w:rFonts w:eastAsiaTheme="minorEastAsia"/>
        </w:rPr>
        <w:t xml:space="preserve">, </w:t>
      </w:r>
      <w:r w:rsidRPr="001352AB">
        <w:rPr>
          <w:rFonts w:ascii="Sylfaen" w:eastAsiaTheme="minorEastAsia" w:hAnsi="Sylfaen" w:cs="Sylfaen"/>
        </w:rPr>
        <w:t>სთ</w:t>
      </w:r>
      <w:r w:rsidRPr="001352AB">
        <w:rPr>
          <w:rFonts w:eastAsiaTheme="minorEastAsia"/>
        </w:rPr>
        <w:t>/</w:t>
      </w:r>
      <w:r w:rsidRPr="001352AB">
        <w:rPr>
          <w:rFonts w:ascii="Sylfaen" w:eastAsiaTheme="minorEastAsia" w:hAnsi="Sylfaen" w:cs="Sylfaen"/>
        </w:rPr>
        <w:t>წელ</w:t>
      </w:r>
      <w:r w:rsidRPr="001352AB">
        <w:rPr>
          <w:rFonts w:eastAsiaTheme="minorEastAsia"/>
        </w:rPr>
        <w:t xml:space="preserve">; </w:t>
      </w:r>
    </w:p>
    <w:p w14:paraId="4053BE42"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მაქსიმალური</w:t>
      </w:r>
      <w:r w:rsidRPr="001352AB">
        <w:rPr>
          <w:rFonts w:eastAsiaTheme="minorEastAsia"/>
        </w:rPr>
        <w:t xml:space="preserve"> </w:t>
      </w:r>
      <w:r w:rsidRPr="001352AB">
        <w:rPr>
          <w:rFonts w:ascii="Sylfaen" w:eastAsiaTheme="minorEastAsia" w:hAnsi="Sylfaen" w:cs="Sylfaen"/>
        </w:rPr>
        <w:t>ერთჯერადი</w:t>
      </w:r>
      <w:r w:rsidRPr="001352AB">
        <w:rPr>
          <w:rFonts w:eastAsiaTheme="minorEastAsia"/>
        </w:rPr>
        <w:t xml:space="preserve"> </w:t>
      </w:r>
      <w:r w:rsidRPr="001352AB">
        <w:rPr>
          <w:rFonts w:ascii="Sylfaen" w:eastAsiaTheme="minorEastAsia" w:hAnsi="Sylfaen" w:cs="Sylfaen"/>
        </w:rPr>
        <w:t>ემისიარომელიც</w:t>
      </w:r>
      <w:r w:rsidRPr="001352AB">
        <w:rPr>
          <w:rFonts w:eastAsiaTheme="minorEastAsia"/>
        </w:rPr>
        <w:t xml:space="preserve"> </w:t>
      </w:r>
      <w:r w:rsidRPr="001352AB">
        <w:rPr>
          <w:rFonts w:ascii="Sylfaen" w:eastAsiaTheme="minorEastAsia" w:hAnsi="Sylfaen" w:cs="Sylfaen"/>
        </w:rPr>
        <w:t>წარმოიქმნება</w:t>
      </w:r>
      <w:r w:rsidRPr="001352AB">
        <w:rPr>
          <w:rFonts w:eastAsiaTheme="minorEastAsia"/>
        </w:rPr>
        <w:t xml:space="preserve"> </w:t>
      </w:r>
      <w:r w:rsidRPr="001352AB">
        <w:rPr>
          <w:rFonts w:ascii="Sylfaen" w:eastAsiaTheme="minorEastAsia" w:hAnsi="Sylfaen" w:cs="Sylfaen"/>
        </w:rPr>
        <w:t>მასალის</w:t>
      </w:r>
      <w:r w:rsidRPr="001352AB">
        <w:rPr>
          <w:rFonts w:eastAsiaTheme="minorEastAsia"/>
        </w:rPr>
        <w:t xml:space="preserve"> </w:t>
      </w:r>
      <w:r w:rsidRPr="001352AB">
        <w:rPr>
          <w:rFonts w:ascii="Sylfaen" w:eastAsiaTheme="minorEastAsia" w:hAnsi="Sylfaen" w:cs="Sylfaen"/>
        </w:rPr>
        <w:t>ტრანსპორტირებისას</w:t>
      </w:r>
      <w:r w:rsidRPr="001352AB">
        <w:rPr>
          <w:rFonts w:eastAsiaTheme="minorEastAsia"/>
        </w:rPr>
        <w:t xml:space="preserve"> </w:t>
      </w:r>
      <w:r w:rsidRPr="001352AB">
        <w:rPr>
          <w:rFonts w:ascii="Sylfaen" w:eastAsiaTheme="minorEastAsia" w:hAnsi="Sylfaen" w:cs="Sylfaen"/>
        </w:rPr>
        <w:t>ღია</w:t>
      </w:r>
      <w:r w:rsidRPr="001352AB">
        <w:rPr>
          <w:rFonts w:eastAsiaTheme="minorEastAsia"/>
        </w:rPr>
        <w:t xml:space="preserve"> </w:t>
      </w:r>
      <w:r w:rsidRPr="001352AB">
        <w:rPr>
          <w:rFonts w:ascii="Sylfaen" w:eastAsiaTheme="minorEastAsia" w:hAnsi="Sylfaen" w:cs="Sylfaen"/>
        </w:rPr>
        <w:t>ლენტური</w:t>
      </w:r>
      <w:r w:rsidRPr="001352AB">
        <w:rPr>
          <w:rFonts w:eastAsiaTheme="minorEastAsia"/>
        </w:rPr>
        <w:t xml:space="preserve"> </w:t>
      </w:r>
      <w:r w:rsidRPr="001352AB">
        <w:rPr>
          <w:rFonts w:ascii="Sylfaen" w:eastAsiaTheme="minorEastAsia" w:hAnsi="Sylfaen" w:cs="Sylfaen"/>
        </w:rPr>
        <w:t>კონვეირიდან</w:t>
      </w:r>
      <w:r w:rsidRPr="001352AB">
        <w:rPr>
          <w:rFonts w:eastAsiaTheme="minorEastAsia"/>
        </w:rPr>
        <w:t xml:space="preserve">, </w:t>
      </w:r>
      <w:r w:rsidRPr="001352AB">
        <w:rPr>
          <w:rFonts w:ascii="Sylfaen" w:eastAsiaTheme="minorEastAsia" w:hAnsi="Sylfaen" w:cs="Sylfaen"/>
        </w:rPr>
        <w:t>განისაზღვრება</w:t>
      </w:r>
      <w:r w:rsidRPr="001352AB">
        <w:rPr>
          <w:rFonts w:eastAsiaTheme="minorEastAsia"/>
        </w:rPr>
        <w:t xml:space="preserve"> </w:t>
      </w:r>
      <w:r w:rsidRPr="001352AB">
        <w:rPr>
          <w:rFonts w:ascii="Sylfaen" w:eastAsiaTheme="minorEastAsia" w:hAnsi="Sylfaen" w:cs="Sylfaen"/>
        </w:rPr>
        <w:t>ფორმულით</w:t>
      </w:r>
      <w:r w:rsidRPr="001352AB">
        <w:rPr>
          <w:rFonts w:eastAsiaTheme="minorEastAsia"/>
        </w:rPr>
        <w:t>:</w:t>
      </w:r>
    </w:p>
    <w:p w14:paraId="67B6AF0F" w14:textId="77777777" w:rsidR="00CD64B5" w:rsidRPr="001352AB" w:rsidRDefault="00CD64B5" w:rsidP="00CD64B5">
      <w:pPr>
        <w:spacing w:before="120" w:after="120"/>
        <w:rPr>
          <w:rFonts w:eastAsiaTheme="minorEastAsia"/>
        </w:rPr>
      </w:pPr>
      <w:r w:rsidRPr="001352AB">
        <w:rPr>
          <w:rFonts w:eastAsiaTheme="minorEastAsia"/>
        </w:rPr>
        <w:t xml:space="preserve">М'К = K3 • K5 • WК • L • l • γ • 103, </w:t>
      </w:r>
      <w:r w:rsidRPr="001352AB">
        <w:rPr>
          <w:rFonts w:ascii="Sylfaen" w:eastAsiaTheme="minorEastAsia" w:hAnsi="Sylfaen" w:cs="Sylfaen"/>
        </w:rPr>
        <w:t>გ</w:t>
      </w:r>
      <w:r w:rsidRPr="001352AB">
        <w:rPr>
          <w:rFonts w:eastAsiaTheme="minorEastAsia"/>
        </w:rPr>
        <w:t>/</w:t>
      </w:r>
      <w:r w:rsidRPr="001352AB">
        <w:rPr>
          <w:rFonts w:ascii="Sylfaen" w:eastAsiaTheme="minorEastAsia" w:hAnsi="Sylfaen" w:cs="Sylfaen"/>
        </w:rPr>
        <w:t>წმ</w:t>
      </w:r>
      <w:r w:rsidRPr="001352AB">
        <w:rPr>
          <w:rFonts w:eastAsiaTheme="minorEastAsia"/>
        </w:rPr>
        <w:t>;</w:t>
      </w:r>
    </w:p>
    <w:p w14:paraId="6666BE6B"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ატმოსფერულ</w:t>
      </w:r>
      <w:r w:rsidRPr="001352AB">
        <w:rPr>
          <w:rFonts w:eastAsiaTheme="minorEastAsia"/>
        </w:rPr>
        <w:t xml:space="preserve"> </w:t>
      </w:r>
      <w:r w:rsidRPr="001352AB">
        <w:rPr>
          <w:rFonts w:ascii="Sylfaen" w:eastAsiaTheme="minorEastAsia" w:hAnsi="Sylfaen" w:cs="Sylfaen"/>
        </w:rPr>
        <w:t>ჰაერში</w:t>
      </w:r>
      <w:r w:rsidRPr="001352AB">
        <w:rPr>
          <w:rFonts w:eastAsiaTheme="minorEastAsia"/>
        </w:rPr>
        <w:t xml:space="preserve"> </w:t>
      </w:r>
      <w:r w:rsidRPr="001352AB">
        <w:rPr>
          <w:rFonts w:ascii="Sylfaen" w:eastAsiaTheme="minorEastAsia" w:hAnsi="Sylfaen" w:cs="Sylfaen"/>
        </w:rPr>
        <w:t>დამაბინძურებელ</w:t>
      </w:r>
      <w:r w:rsidRPr="001352AB">
        <w:rPr>
          <w:rFonts w:eastAsiaTheme="minorEastAsia"/>
        </w:rPr>
        <w:t xml:space="preserve"> </w:t>
      </w:r>
      <w:r w:rsidRPr="001352AB">
        <w:rPr>
          <w:rFonts w:ascii="Sylfaen" w:eastAsiaTheme="minorEastAsia" w:hAnsi="Sylfaen" w:cs="Sylfaen"/>
        </w:rPr>
        <w:t>ნივთიერებათა</w:t>
      </w:r>
      <w:r w:rsidRPr="001352AB">
        <w:rPr>
          <w:rFonts w:eastAsiaTheme="minorEastAsia"/>
        </w:rPr>
        <w:t xml:space="preserve"> </w:t>
      </w:r>
      <w:r w:rsidRPr="001352AB">
        <w:rPr>
          <w:rFonts w:ascii="Sylfaen" w:eastAsiaTheme="minorEastAsia" w:hAnsi="Sylfaen" w:cs="Sylfaen"/>
        </w:rPr>
        <w:t>მაქსიმალური</w:t>
      </w:r>
      <w:r w:rsidRPr="001352AB">
        <w:rPr>
          <w:rFonts w:eastAsiaTheme="minorEastAsia"/>
        </w:rPr>
        <w:t xml:space="preserve"> </w:t>
      </w:r>
      <w:r w:rsidRPr="001352AB">
        <w:rPr>
          <w:rFonts w:ascii="Sylfaen" w:eastAsiaTheme="minorEastAsia" w:hAnsi="Sylfaen" w:cs="Sylfaen"/>
        </w:rPr>
        <w:t>ერთჯერადი</w:t>
      </w:r>
      <w:r w:rsidRPr="001352AB">
        <w:rPr>
          <w:rFonts w:eastAsiaTheme="minorEastAsia"/>
        </w:rPr>
        <w:t xml:space="preserve"> </w:t>
      </w:r>
      <w:r w:rsidRPr="001352AB">
        <w:rPr>
          <w:rFonts w:ascii="Sylfaen" w:eastAsiaTheme="minorEastAsia" w:hAnsi="Sylfaen" w:cs="Sylfaen"/>
        </w:rPr>
        <w:t>და</w:t>
      </w:r>
      <w:r w:rsidRPr="001352AB">
        <w:rPr>
          <w:rFonts w:eastAsiaTheme="minorEastAsia"/>
        </w:rPr>
        <w:t xml:space="preserve"> </w:t>
      </w:r>
      <w:r w:rsidRPr="001352AB">
        <w:rPr>
          <w:rFonts w:ascii="Sylfaen" w:eastAsiaTheme="minorEastAsia" w:hAnsi="Sylfaen" w:cs="Sylfaen"/>
        </w:rPr>
        <w:t>წლიური</w:t>
      </w:r>
      <w:r w:rsidRPr="001352AB">
        <w:rPr>
          <w:rFonts w:eastAsiaTheme="minorEastAsia"/>
        </w:rPr>
        <w:t xml:space="preserve"> </w:t>
      </w:r>
      <w:r w:rsidRPr="001352AB">
        <w:rPr>
          <w:rFonts w:ascii="Sylfaen" w:eastAsiaTheme="minorEastAsia" w:hAnsi="Sylfaen" w:cs="Sylfaen"/>
        </w:rPr>
        <w:t>გამოყოფის</w:t>
      </w:r>
      <w:r w:rsidRPr="001352AB">
        <w:rPr>
          <w:rFonts w:eastAsiaTheme="minorEastAsia"/>
        </w:rPr>
        <w:t xml:space="preserve"> </w:t>
      </w:r>
      <w:r w:rsidRPr="001352AB">
        <w:rPr>
          <w:rFonts w:ascii="Sylfaen" w:eastAsiaTheme="minorEastAsia" w:hAnsi="Sylfaen" w:cs="Sylfaen"/>
        </w:rPr>
        <w:t>გაანგარიშება</w:t>
      </w:r>
      <w:r w:rsidRPr="001352AB">
        <w:rPr>
          <w:rFonts w:eastAsiaTheme="minorEastAsia"/>
        </w:rPr>
        <w:t xml:space="preserve"> </w:t>
      </w:r>
      <w:r w:rsidRPr="001352AB">
        <w:rPr>
          <w:rFonts w:ascii="Sylfaen" w:eastAsiaTheme="minorEastAsia" w:hAnsi="Sylfaen" w:cs="Sylfaen"/>
        </w:rPr>
        <w:t>მოცემულია</w:t>
      </w:r>
      <w:r w:rsidRPr="001352AB">
        <w:rPr>
          <w:rFonts w:eastAsiaTheme="minorEastAsia"/>
        </w:rPr>
        <w:t xml:space="preserve"> </w:t>
      </w:r>
      <w:r w:rsidRPr="001352AB">
        <w:rPr>
          <w:rFonts w:ascii="Sylfaen" w:eastAsiaTheme="minorEastAsia" w:hAnsi="Sylfaen" w:cs="Sylfaen"/>
        </w:rPr>
        <w:t>ქვემოთ</w:t>
      </w:r>
      <w:r w:rsidRPr="001352AB">
        <w:rPr>
          <w:rFonts w:eastAsiaTheme="minorEastAsia"/>
        </w:rPr>
        <w:t xml:space="preserve">. </w:t>
      </w:r>
    </w:p>
    <w:p w14:paraId="0EA40543" w14:textId="77777777" w:rsidR="00CD64B5" w:rsidRPr="001352AB" w:rsidRDefault="00CD64B5" w:rsidP="00CD64B5">
      <w:pPr>
        <w:spacing w:before="120" w:after="120"/>
        <w:rPr>
          <w:rFonts w:eastAsiaTheme="minorEastAsia"/>
        </w:rPr>
      </w:pPr>
      <w:r w:rsidRPr="001352AB">
        <w:rPr>
          <w:rFonts w:eastAsiaTheme="minorEastAsia"/>
        </w:rPr>
        <w:t xml:space="preserve">M'29080.5 м/с = 1 · 0,1 · 0,0000045 · 20 · 1 · 0,5 · 103 = 0,0045148 </w:t>
      </w:r>
      <w:r w:rsidRPr="001352AB">
        <w:rPr>
          <w:rFonts w:ascii="Sylfaen" w:eastAsiaTheme="minorEastAsia" w:hAnsi="Sylfaen" w:cs="Sylfaen"/>
        </w:rPr>
        <w:t>გ</w:t>
      </w:r>
      <w:r w:rsidRPr="001352AB">
        <w:rPr>
          <w:rFonts w:eastAsiaTheme="minorEastAsia"/>
        </w:rPr>
        <w:t>/</w:t>
      </w:r>
      <w:r w:rsidRPr="001352AB">
        <w:rPr>
          <w:rFonts w:ascii="Sylfaen" w:eastAsiaTheme="minorEastAsia" w:hAnsi="Sylfaen" w:cs="Sylfaen"/>
        </w:rPr>
        <w:t>წმ</w:t>
      </w:r>
      <w:r w:rsidRPr="001352AB">
        <w:rPr>
          <w:rFonts w:eastAsiaTheme="minorEastAsia"/>
        </w:rPr>
        <w:t>;</w:t>
      </w:r>
    </w:p>
    <w:p w14:paraId="456A8E84" w14:textId="77777777" w:rsidR="00CD64B5" w:rsidRPr="001352AB" w:rsidRDefault="00CD64B5" w:rsidP="00CD64B5">
      <w:pPr>
        <w:spacing w:before="120" w:after="120"/>
        <w:rPr>
          <w:rFonts w:eastAsiaTheme="minorEastAsia"/>
        </w:rPr>
      </w:pPr>
      <w:r w:rsidRPr="001352AB">
        <w:rPr>
          <w:rFonts w:eastAsiaTheme="minorEastAsia"/>
        </w:rPr>
        <w:t xml:space="preserve">M'29084.5 м/с = 1,2 · 0,1 · 0,0000045 · 20 · 1 · 0,5 · 103 = 0,0054178 </w:t>
      </w:r>
      <w:r w:rsidRPr="001352AB">
        <w:rPr>
          <w:rFonts w:ascii="Sylfaen" w:eastAsiaTheme="minorEastAsia" w:hAnsi="Sylfaen" w:cs="Sylfaen"/>
        </w:rPr>
        <w:t>გ</w:t>
      </w:r>
      <w:r w:rsidRPr="001352AB">
        <w:rPr>
          <w:rFonts w:eastAsiaTheme="minorEastAsia"/>
        </w:rPr>
        <w:t>/</w:t>
      </w:r>
      <w:r w:rsidRPr="001352AB">
        <w:rPr>
          <w:rFonts w:ascii="Sylfaen" w:eastAsiaTheme="minorEastAsia" w:hAnsi="Sylfaen" w:cs="Sylfaen"/>
        </w:rPr>
        <w:t>წმ</w:t>
      </w:r>
    </w:p>
    <w:p w14:paraId="23EA3A1E" w14:textId="77777777" w:rsidR="00CD64B5" w:rsidRPr="001352AB" w:rsidRDefault="00CD64B5" w:rsidP="00CD64B5">
      <w:pPr>
        <w:spacing w:before="120" w:after="120"/>
        <w:rPr>
          <w:rFonts w:eastAsiaTheme="minorEastAsia"/>
        </w:rPr>
      </w:pPr>
      <w:r w:rsidRPr="001352AB">
        <w:rPr>
          <w:rFonts w:eastAsiaTheme="minorEastAsia"/>
        </w:rPr>
        <w:t xml:space="preserve">M2908 = 3,6 · 1,2 · 0,1 · 0,0000045 · 20 · 1 · 0,5 · 4000 = 0,0780163 </w:t>
      </w:r>
      <w:r w:rsidRPr="001352AB">
        <w:rPr>
          <w:rFonts w:ascii="Sylfaen" w:eastAsiaTheme="minorEastAsia" w:hAnsi="Sylfaen" w:cs="Sylfaen"/>
        </w:rPr>
        <w:t>ტ</w:t>
      </w:r>
      <w:r w:rsidRPr="001352AB">
        <w:rPr>
          <w:rFonts w:eastAsiaTheme="minorEastAsia"/>
        </w:rPr>
        <w:t>/</w:t>
      </w:r>
      <w:r w:rsidRPr="001352AB">
        <w:rPr>
          <w:rFonts w:ascii="Sylfaen" w:eastAsiaTheme="minorEastAsia" w:hAnsi="Sylfaen" w:cs="Sylfaen"/>
        </w:rPr>
        <w:t>წელ</w:t>
      </w:r>
      <w:r w:rsidRPr="001352AB">
        <w:rPr>
          <w:rFonts w:eastAsiaTheme="minorEastAsia"/>
        </w:rPr>
        <w:t>.</w:t>
      </w:r>
    </w:p>
    <w:p w14:paraId="6BC45468"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ტექნოლოგიური</w:t>
      </w:r>
      <w:r w:rsidRPr="001352AB">
        <w:rPr>
          <w:rFonts w:eastAsiaTheme="minorEastAsia"/>
        </w:rPr>
        <w:t xml:space="preserve"> </w:t>
      </w:r>
      <w:r w:rsidRPr="001352AB">
        <w:rPr>
          <w:rFonts w:ascii="Sylfaen" w:eastAsiaTheme="minorEastAsia" w:hAnsi="Sylfaen" w:cs="Sylfaen"/>
        </w:rPr>
        <w:t>პროცესის</w:t>
      </w:r>
      <w:r w:rsidRPr="001352AB">
        <w:rPr>
          <w:rFonts w:eastAsiaTheme="minorEastAsia"/>
        </w:rPr>
        <w:t xml:space="preserve"> </w:t>
      </w:r>
      <w:r w:rsidRPr="001352AB">
        <w:rPr>
          <w:rFonts w:ascii="Sylfaen" w:eastAsiaTheme="minorEastAsia" w:hAnsi="Sylfaen" w:cs="Sylfaen"/>
        </w:rPr>
        <w:t>მიმდინარეობისას</w:t>
      </w:r>
      <w:r w:rsidRPr="001352AB">
        <w:rPr>
          <w:rFonts w:eastAsiaTheme="minorEastAsia"/>
        </w:rPr>
        <w:t xml:space="preserve">, </w:t>
      </w:r>
      <w:r w:rsidRPr="001352AB">
        <w:rPr>
          <w:rFonts w:ascii="Sylfaen" w:eastAsiaTheme="minorEastAsia" w:hAnsi="Sylfaen" w:cs="Sylfaen"/>
        </w:rPr>
        <w:t>რომელიც</w:t>
      </w:r>
      <w:r w:rsidRPr="001352AB">
        <w:rPr>
          <w:rFonts w:eastAsiaTheme="minorEastAsia"/>
        </w:rPr>
        <w:t xml:space="preserve"> </w:t>
      </w:r>
      <w:r w:rsidRPr="001352AB">
        <w:rPr>
          <w:rFonts w:ascii="Sylfaen" w:eastAsiaTheme="minorEastAsia" w:hAnsi="Sylfaen" w:cs="Sylfaen"/>
        </w:rPr>
        <w:t>ხორციელდება</w:t>
      </w:r>
      <w:r w:rsidRPr="001352AB">
        <w:rPr>
          <w:rFonts w:eastAsiaTheme="minorEastAsia"/>
        </w:rPr>
        <w:t xml:space="preserve"> </w:t>
      </w:r>
      <w:r w:rsidRPr="001352AB">
        <w:rPr>
          <w:rFonts w:ascii="Sylfaen" w:eastAsiaTheme="minorEastAsia" w:hAnsi="Sylfaen" w:cs="Sylfaen"/>
        </w:rPr>
        <w:t>შეწონილი</w:t>
      </w:r>
      <w:r w:rsidRPr="001352AB">
        <w:rPr>
          <w:rFonts w:eastAsiaTheme="minorEastAsia"/>
        </w:rPr>
        <w:t xml:space="preserve"> </w:t>
      </w:r>
      <w:r w:rsidRPr="001352AB">
        <w:rPr>
          <w:rFonts w:ascii="Sylfaen" w:eastAsiaTheme="minorEastAsia" w:hAnsi="Sylfaen" w:cs="Sylfaen"/>
        </w:rPr>
        <w:t>ნივთიერებების</w:t>
      </w:r>
      <w:r w:rsidRPr="001352AB">
        <w:rPr>
          <w:rFonts w:eastAsiaTheme="minorEastAsia"/>
        </w:rPr>
        <w:t xml:space="preserve"> </w:t>
      </w:r>
      <w:r w:rsidRPr="001352AB">
        <w:rPr>
          <w:rFonts w:ascii="Sylfaen" w:eastAsiaTheme="minorEastAsia" w:hAnsi="Sylfaen" w:cs="Sylfaen"/>
        </w:rPr>
        <w:t>გამოყოფით</w:t>
      </w:r>
      <w:r w:rsidRPr="001352AB">
        <w:rPr>
          <w:rFonts w:eastAsiaTheme="minorEastAsia"/>
        </w:rPr>
        <w:t xml:space="preserve"> </w:t>
      </w:r>
      <w:r w:rsidRPr="001352AB">
        <w:rPr>
          <w:rFonts w:ascii="Sylfaen" w:eastAsiaTheme="minorEastAsia" w:hAnsi="Sylfaen" w:cs="Sylfaen"/>
        </w:rPr>
        <w:t>ისეთ</w:t>
      </w:r>
      <w:r w:rsidRPr="001352AB">
        <w:rPr>
          <w:rFonts w:eastAsiaTheme="minorEastAsia"/>
        </w:rPr>
        <w:t xml:space="preserve"> </w:t>
      </w:r>
      <w:r w:rsidRPr="001352AB">
        <w:rPr>
          <w:rFonts w:ascii="Sylfaen" w:eastAsiaTheme="minorEastAsia" w:hAnsi="Sylfaen" w:cs="Sylfaen"/>
        </w:rPr>
        <w:t>შენობებში</w:t>
      </w:r>
      <w:r w:rsidRPr="001352AB">
        <w:rPr>
          <w:rFonts w:eastAsiaTheme="minorEastAsia"/>
        </w:rPr>
        <w:t xml:space="preserve">, </w:t>
      </w:r>
      <w:r w:rsidRPr="001352AB">
        <w:rPr>
          <w:rFonts w:ascii="Sylfaen" w:eastAsiaTheme="minorEastAsia" w:hAnsi="Sylfaen" w:cs="Sylfaen"/>
        </w:rPr>
        <w:t>რომლებიც</w:t>
      </w:r>
      <w:r w:rsidRPr="001352AB">
        <w:rPr>
          <w:rFonts w:eastAsiaTheme="minorEastAsia"/>
        </w:rPr>
        <w:t xml:space="preserve"> </w:t>
      </w:r>
      <w:r w:rsidRPr="001352AB">
        <w:rPr>
          <w:rFonts w:ascii="Sylfaen" w:eastAsiaTheme="minorEastAsia" w:hAnsi="Sylfaen" w:cs="Sylfaen"/>
        </w:rPr>
        <w:t>არ</w:t>
      </w:r>
      <w:r w:rsidRPr="001352AB">
        <w:rPr>
          <w:rFonts w:eastAsiaTheme="minorEastAsia"/>
        </w:rPr>
        <w:t xml:space="preserve"> </w:t>
      </w:r>
      <w:r w:rsidRPr="001352AB">
        <w:rPr>
          <w:rFonts w:ascii="Sylfaen" w:eastAsiaTheme="minorEastAsia" w:hAnsi="Sylfaen" w:cs="Sylfaen"/>
        </w:rPr>
        <w:t>არის</w:t>
      </w:r>
      <w:r w:rsidRPr="001352AB">
        <w:rPr>
          <w:rFonts w:eastAsiaTheme="minorEastAsia"/>
        </w:rPr>
        <w:t xml:space="preserve"> </w:t>
      </w:r>
      <w:r w:rsidRPr="001352AB">
        <w:rPr>
          <w:rFonts w:ascii="Sylfaen" w:eastAsiaTheme="minorEastAsia" w:hAnsi="Sylfaen" w:cs="Sylfaen"/>
        </w:rPr>
        <w:t>აღჭურვილი</w:t>
      </w:r>
      <w:r w:rsidRPr="001352AB">
        <w:rPr>
          <w:rFonts w:eastAsiaTheme="minorEastAsia"/>
        </w:rPr>
        <w:t xml:space="preserve"> </w:t>
      </w:r>
      <w:r w:rsidRPr="001352AB">
        <w:rPr>
          <w:rFonts w:ascii="Sylfaen" w:eastAsiaTheme="minorEastAsia" w:hAnsi="Sylfaen" w:cs="Sylfaen"/>
        </w:rPr>
        <w:t>საერთო</w:t>
      </w:r>
      <w:r w:rsidRPr="001352AB">
        <w:rPr>
          <w:rFonts w:eastAsiaTheme="minorEastAsia"/>
        </w:rPr>
        <w:t xml:space="preserve"> </w:t>
      </w:r>
      <w:r w:rsidRPr="001352AB">
        <w:rPr>
          <w:rFonts w:ascii="Sylfaen" w:eastAsiaTheme="minorEastAsia" w:hAnsi="Sylfaen" w:cs="Sylfaen"/>
        </w:rPr>
        <w:t>მიმოცვლითი</w:t>
      </w:r>
      <w:r w:rsidRPr="001352AB">
        <w:rPr>
          <w:rFonts w:eastAsiaTheme="minorEastAsia"/>
        </w:rPr>
        <w:t xml:space="preserve"> </w:t>
      </w:r>
      <w:r w:rsidRPr="001352AB">
        <w:rPr>
          <w:rFonts w:ascii="Sylfaen" w:eastAsiaTheme="minorEastAsia" w:hAnsi="Sylfaen" w:cs="Sylfaen"/>
        </w:rPr>
        <w:t>ვენტილაციით</w:t>
      </w:r>
      <w:r w:rsidRPr="001352AB">
        <w:rPr>
          <w:rFonts w:eastAsiaTheme="minorEastAsia"/>
        </w:rPr>
        <w:t>(</w:t>
      </w:r>
      <w:r w:rsidRPr="001352AB">
        <w:rPr>
          <w:rFonts w:ascii="Sylfaen" w:eastAsiaTheme="minorEastAsia" w:hAnsi="Sylfaen" w:cs="Sylfaen"/>
        </w:rPr>
        <w:t>გაფრქვევა</w:t>
      </w:r>
      <w:r w:rsidRPr="001352AB">
        <w:rPr>
          <w:rFonts w:eastAsiaTheme="minorEastAsia"/>
        </w:rPr>
        <w:t xml:space="preserve"> </w:t>
      </w:r>
      <w:r w:rsidRPr="001352AB">
        <w:rPr>
          <w:rFonts w:ascii="Sylfaen" w:eastAsiaTheme="minorEastAsia" w:hAnsi="Sylfaen" w:cs="Sylfaen"/>
        </w:rPr>
        <w:t>ფანჯრის</w:t>
      </w:r>
      <w:r w:rsidRPr="001352AB">
        <w:rPr>
          <w:rFonts w:eastAsiaTheme="minorEastAsia"/>
        </w:rPr>
        <w:t xml:space="preserve"> </w:t>
      </w:r>
      <w:r w:rsidRPr="001352AB">
        <w:rPr>
          <w:rFonts w:ascii="Sylfaen" w:eastAsiaTheme="minorEastAsia" w:hAnsi="Sylfaen" w:cs="Sylfaen"/>
        </w:rPr>
        <w:t>ან</w:t>
      </w:r>
      <w:r w:rsidRPr="001352AB">
        <w:rPr>
          <w:rFonts w:eastAsiaTheme="minorEastAsia"/>
        </w:rPr>
        <w:t xml:space="preserve"> </w:t>
      </w:r>
      <w:r w:rsidRPr="001352AB">
        <w:rPr>
          <w:rFonts w:ascii="Sylfaen" w:eastAsiaTheme="minorEastAsia" w:hAnsi="Sylfaen" w:cs="Sylfaen"/>
        </w:rPr>
        <w:t>კარების</w:t>
      </w:r>
      <w:r w:rsidRPr="001352AB">
        <w:rPr>
          <w:rFonts w:eastAsiaTheme="minorEastAsia"/>
        </w:rPr>
        <w:t xml:space="preserve"> </w:t>
      </w:r>
      <w:r w:rsidRPr="001352AB">
        <w:rPr>
          <w:rFonts w:ascii="Sylfaen" w:eastAsiaTheme="minorEastAsia" w:hAnsi="Sylfaen" w:cs="Sylfaen"/>
        </w:rPr>
        <w:t>გასასვლელიდან</w:t>
      </w:r>
      <w:r w:rsidRPr="001352AB">
        <w:rPr>
          <w:rFonts w:eastAsiaTheme="minorEastAsia"/>
        </w:rPr>
        <w:t xml:space="preserve">), </w:t>
      </w:r>
      <w:r w:rsidRPr="001352AB">
        <w:rPr>
          <w:rFonts w:ascii="Sylfaen" w:eastAsiaTheme="minorEastAsia" w:hAnsi="Sylfaen" w:cs="Sylfaen"/>
        </w:rPr>
        <w:t>ან</w:t>
      </w:r>
      <w:r w:rsidRPr="001352AB">
        <w:rPr>
          <w:rFonts w:eastAsiaTheme="minorEastAsia"/>
        </w:rPr>
        <w:t xml:space="preserve"> </w:t>
      </w:r>
      <w:r w:rsidRPr="001352AB">
        <w:rPr>
          <w:rFonts w:ascii="Sylfaen" w:eastAsiaTheme="minorEastAsia" w:hAnsi="Sylfaen" w:cs="Sylfaen"/>
        </w:rPr>
        <w:t>გამწოვი</w:t>
      </w:r>
      <w:r w:rsidRPr="001352AB">
        <w:rPr>
          <w:rFonts w:eastAsiaTheme="minorEastAsia"/>
        </w:rPr>
        <w:t xml:space="preserve"> </w:t>
      </w:r>
      <w:r w:rsidRPr="001352AB">
        <w:rPr>
          <w:rFonts w:ascii="Sylfaen" w:eastAsiaTheme="minorEastAsia" w:hAnsi="Sylfaen" w:cs="Sylfaen"/>
        </w:rPr>
        <w:t>სისტემის</w:t>
      </w:r>
      <w:r w:rsidRPr="001352AB">
        <w:rPr>
          <w:rFonts w:eastAsiaTheme="minorEastAsia"/>
        </w:rPr>
        <w:t xml:space="preserve"> </w:t>
      </w:r>
      <w:r w:rsidRPr="001352AB">
        <w:rPr>
          <w:rFonts w:ascii="Sylfaen" w:eastAsiaTheme="minorEastAsia" w:hAnsi="Sylfaen" w:cs="Sylfaen"/>
        </w:rPr>
        <w:t>არ</w:t>
      </w:r>
      <w:r w:rsidRPr="001352AB">
        <w:rPr>
          <w:rFonts w:eastAsiaTheme="minorEastAsia"/>
        </w:rPr>
        <w:t xml:space="preserve"> </w:t>
      </w:r>
      <w:r w:rsidRPr="001352AB">
        <w:rPr>
          <w:rFonts w:ascii="Sylfaen" w:eastAsiaTheme="minorEastAsia" w:hAnsi="Sylfaen" w:cs="Sylfaen"/>
        </w:rPr>
        <w:t>არსებობისას</w:t>
      </w:r>
      <w:r w:rsidRPr="001352AB">
        <w:rPr>
          <w:rFonts w:eastAsiaTheme="minorEastAsia"/>
        </w:rPr>
        <w:t xml:space="preserve">, </w:t>
      </w:r>
      <w:r w:rsidRPr="001352AB">
        <w:rPr>
          <w:rFonts w:ascii="Sylfaen" w:eastAsiaTheme="minorEastAsia" w:hAnsi="Sylfaen" w:cs="Sylfaen"/>
        </w:rPr>
        <w:t>მყარი</w:t>
      </w:r>
      <w:r w:rsidRPr="001352AB">
        <w:rPr>
          <w:rFonts w:eastAsiaTheme="minorEastAsia"/>
        </w:rPr>
        <w:t xml:space="preserve"> </w:t>
      </w:r>
      <w:r w:rsidRPr="001352AB">
        <w:rPr>
          <w:rFonts w:ascii="Sylfaen" w:eastAsiaTheme="minorEastAsia" w:hAnsi="Sylfaen" w:cs="Sylfaen"/>
        </w:rPr>
        <w:t>კომპონენტების</w:t>
      </w:r>
      <w:r w:rsidRPr="001352AB">
        <w:rPr>
          <w:rFonts w:eastAsiaTheme="minorEastAsia"/>
        </w:rPr>
        <w:t xml:space="preserve"> </w:t>
      </w:r>
      <w:r w:rsidRPr="001352AB">
        <w:rPr>
          <w:rFonts w:ascii="Sylfaen" w:eastAsiaTheme="minorEastAsia" w:hAnsi="Sylfaen" w:cs="Sylfaen"/>
        </w:rPr>
        <w:t>გაფრქვევის</w:t>
      </w:r>
      <w:r w:rsidRPr="001352AB">
        <w:rPr>
          <w:rFonts w:eastAsiaTheme="minorEastAsia"/>
        </w:rPr>
        <w:t xml:space="preserve"> </w:t>
      </w:r>
      <w:r w:rsidRPr="001352AB">
        <w:rPr>
          <w:rFonts w:ascii="Sylfaen" w:eastAsiaTheme="minorEastAsia" w:hAnsi="Sylfaen" w:cs="Sylfaen"/>
        </w:rPr>
        <w:t>გაანგარიშებისას</w:t>
      </w:r>
      <w:r w:rsidRPr="001352AB">
        <w:rPr>
          <w:rFonts w:eastAsiaTheme="minorEastAsia"/>
        </w:rPr>
        <w:t xml:space="preserve"> </w:t>
      </w:r>
      <w:r w:rsidRPr="001352AB">
        <w:rPr>
          <w:rFonts w:ascii="Sylfaen" w:eastAsiaTheme="minorEastAsia" w:hAnsi="Sylfaen" w:cs="Sylfaen"/>
        </w:rPr>
        <w:t>ატმოსფერულ</w:t>
      </w:r>
      <w:r w:rsidRPr="001352AB">
        <w:rPr>
          <w:rFonts w:eastAsiaTheme="minorEastAsia"/>
        </w:rPr>
        <w:t xml:space="preserve"> </w:t>
      </w:r>
      <w:r w:rsidRPr="001352AB">
        <w:rPr>
          <w:rFonts w:ascii="Sylfaen" w:eastAsiaTheme="minorEastAsia" w:hAnsi="Sylfaen" w:cs="Sylfaen"/>
        </w:rPr>
        <w:t>ჰაერში</w:t>
      </w:r>
      <w:r w:rsidRPr="001352AB">
        <w:rPr>
          <w:rFonts w:eastAsiaTheme="minorEastAsia"/>
        </w:rPr>
        <w:t xml:space="preserve">, </w:t>
      </w:r>
      <w:r w:rsidRPr="001352AB">
        <w:rPr>
          <w:rFonts w:ascii="Sylfaen" w:eastAsiaTheme="minorEastAsia" w:hAnsi="Sylfaen" w:cs="Sylfaen"/>
        </w:rPr>
        <w:t>მიზანშეწონილია</w:t>
      </w:r>
      <w:r w:rsidRPr="001352AB">
        <w:rPr>
          <w:rFonts w:eastAsiaTheme="minorEastAsia"/>
        </w:rPr>
        <w:t xml:space="preserve"> </w:t>
      </w:r>
      <w:r w:rsidRPr="001352AB">
        <w:rPr>
          <w:rFonts w:ascii="Sylfaen" w:eastAsiaTheme="minorEastAsia" w:hAnsi="Sylfaen" w:cs="Sylfaen"/>
        </w:rPr>
        <w:t>მავნე</w:t>
      </w:r>
      <w:r w:rsidRPr="001352AB">
        <w:rPr>
          <w:rFonts w:eastAsiaTheme="minorEastAsia"/>
        </w:rPr>
        <w:t xml:space="preserve"> </w:t>
      </w:r>
      <w:r w:rsidRPr="001352AB">
        <w:rPr>
          <w:rFonts w:ascii="Sylfaen" w:eastAsiaTheme="minorEastAsia" w:hAnsi="Sylfaen" w:cs="Sylfaen"/>
        </w:rPr>
        <w:t>ნივთიერებების</w:t>
      </w:r>
      <w:r w:rsidRPr="001352AB">
        <w:rPr>
          <w:rFonts w:eastAsiaTheme="minorEastAsia"/>
        </w:rPr>
        <w:t xml:space="preserve"> </w:t>
      </w:r>
      <w:r w:rsidRPr="001352AB">
        <w:rPr>
          <w:rFonts w:ascii="Sylfaen" w:eastAsiaTheme="minorEastAsia" w:hAnsi="Sylfaen" w:cs="Sylfaen"/>
        </w:rPr>
        <w:t>გამოყოფის</w:t>
      </w:r>
      <w:r w:rsidRPr="001352AB">
        <w:rPr>
          <w:rFonts w:eastAsiaTheme="minorEastAsia"/>
        </w:rPr>
        <w:t xml:space="preserve"> </w:t>
      </w:r>
      <w:r w:rsidRPr="001352AB">
        <w:rPr>
          <w:rFonts w:ascii="Sylfaen" w:eastAsiaTheme="minorEastAsia" w:hAnsi="Sylfaen" w:cs="Sylfaen"/>
        </w:rPr>
        <w:t>გაანგარიშების</w:t>
      </w:r>
      <w:r w:rsidRPr="001352AB">
        <w:rPr>
          <w:rFonts w:eastAsiaTheme="minorEastAsia"/>
        </w:rPr>
        <w:t xml:space="preserve"> </w:t>
      </w:r>
      <w:r w:rsidRPr="001352AB">
        <w:rPr>
          <w:rFonts w:ascii="Sylfaen" w:eastAsiaTheme="minorEastAsia" w:hAnsi="Sylfaen" w:cs="Sylfaen"/>
        </w:rPr>
        <w:t>მაჩვენებლის</w:t>
      </w:r>
      <w:r w:rsidRPr="001352AB">
        <w:rPr>
          <w:rFonts w:eastAsiaTheme="minorEastAsia"/>
        </w:rPr>
        <w:t xml:space="preserve"> </w:t>
      </w:r>
      <w:r w:rsidRPr="001352AB">
        <w:rPr>
          <w:rFonts w:ascii="Sylfaen" w:eastAsiaTheme="minorEastAsia" w:hAnsi="Sylfaen" w:cs="Sylfaen"/>
        </w:rPr>
        <w:t>კორექტირება</w:t>
      </w:r>
      <w:r w:rsidRPr="001352AB">
        <w:rPr>
          <w:rFonts w:eastAsiaTheme="minorEastAsia"/>
        </w:rPr>
        <w:t xml:space="preserve"> </w:t>
      </w:r>
      <w:r w:rsidRPr="001352AB">
        <w:rPr>
          <w:rFonts w:ascii="Sylfaen" w:eastAsiaTheme="minorEastAsia" w:hAnsi="Sylfaen" w:cs="Sylfaen"/>
        </w:rPr>
        <w:t>კოეფიციენტით</w:t>
      </w:r>
      <w:r w:rsidRPr="001352AB">
        <w:rPr>
          <w:rFonts w:eastAsiaTheme="minorEastAsia"/>
        </w:rPr>
        <w:t>- 0,4.</w:t>
      </w:r>
    </w:p>
    <w:p w14:paraId="65E70CDE"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ემისიის</w:t>
      </w:r>
      <w:r w:rsidRPr="001352AB">
        <w:rPr>
          <w:rFonts w:eastAsiaTheme="minorEastAsia"/>
        </w:rPr>
        <w:t xml:space="preserve"> </w:t>
      </w:r>
      <w:r w:rsidRPr="001352AB">
        <w:rPr>
          <w:rFonts w:ascii="Sylfaen" w:eastAsiaTheme="minorEastAsia" w:hAnsi="Sylfaen" w:cs="Sylfaen"/>
        </w:rPr>
        <w:t>კორექტირებისას</w:t>
      </w:r>
      <w:r w:rsidRPr="001352AB">
        <w:rPr>
          <w:rFonts w:eastAsiaTheme="minorEastAsia"/>
        </w:rPr>
        <w:t xml:space="preserve"> </w:t>
      </w:r>
      <w:r w:rsidRPr="001352AB">
        <w:rPr>
          <w:rFonts w:ascii="Sylfaen" w:eastAsiaTheme="minorEastAsia" w:hAnsi="Sylfaen" w:cs="Sylfaen"/>
        </w:rPr>
        <w:t>გაანგარიშებული</w:t>
      </w:r>
      <w:r w:rsidRPr="001352AB">
        <w:rPr>
          <w:rFonts w:eastAsiaTheme="minorEastAsia"/>
        </w:rPr>
        <w:t xml:space="preserve"> </w:t>
      </w:r>
      <w:r w:rsidRPr="001352AB">
        <w:rPr>
          <w:rFonts w:ascii="Sylfaen" w:eastAsiaTheme="minorEastAsia" w:hAnsi="Sylfaen" w:cs="Sylfaen"/>
        </w:rPr>
        <w:t>მრავლდება</w:t>
      </w:r>
      <w:r w:rsidRPr="001352AB">
        <w:rPr>
          <w:rFonts w:eastAsiaTheme="minorEastAsia"/>
        </w:rPr>
        <w:t xml:space="preserve"> 0,4 </w:t>
      </w:r>
      <w:r w:rsidRPr="001352AB">
        <w:rPr>
          <w:rFonts w:ascii="Sylfaen" w:eastAsiaTheme="minorEastAsia" w:hAnsi="Sylfaen" w:cs="Sylfaen"/>
        </w:rPr>
        <w:t>კოეფიციენტზე</w:t>
      </w:r>
      <w:r w:rsidRPr="001352AB">
        <w:rPr>
          <w:rFonts w:eastAsiaTheme="minorEastAsia"/>
        </w:rPr>
        <w:t>:</w:t>
      </w:r>
    </w:p>
    <w:p w14:paraId="6BE5A0D9"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არაორგანული</w:t>
      </w:r>
      <w:r w:rsidRPr="001352AB">
        <w:rPr>
          <w:rFonts w:eastAsiaTheme="minorEastAsia"/>
        </w:rPr>
        <w:t xml:space="preserve"> </w:t>
      </w:r>
      <w:r w:rsidRPr="001352AB">
        <w:rPr>
          <w:rFonts w:ascii="Sylfaen" w:eastAsiaTheme="minorEastAsia" w:hAnsi="Sylfaen" w:cs="Sylfaen"/>
        </w:rPr>
        <w:t>მტვერი</w:t>
      </w:r>
      <w:r w:rsidRPr="001352AB">
        <w:rPr>
          <w:rFonts w:eastAsiaTheme="minorEastAsia"/>
        </w:rPr>
        <w:t>:</w:t>
      </w:r>
    </w:p>
    <w:p w14:paraId="63589CDE" w14:textId="77777777" w:rsidR="00CD64B5" w:rsidRPr="001352AB" w:rsidRDefault="00CD64B5" w:rsidP="00CD64B5">
      <w:pPr>
        <w:spacing w:before="120" w:after="120"/>
        <w:rPr>
          <w:rFonts w:eastAsiaTheme="minorEastAsia"/>
        </w:rPr>
      </w:pPr>
      <w:r w:rsidRPr="001352AB">
        <w:rPr>
          <w:rFonts w:eastAsiaTheme="minorEastAsia"/>
        </w:rPr>
        <w:t xml:space="preserve">0,0054178 × 0,4 = 0,002167 </w:t>
      </w:r>
      <w:r w:rsidRPr="001352AB">
        <w:rPr>
          <w:rFonts w:ascii="Sylfaen" w:eastAsiaTheme="minorEastAsia" w:hAnsi="Sylfaen" w:cs="Sylfaen"/>
        </w:rPr>
        <w:t>გ</w:t>
      </w:r>
      <w:r w:rsidRPr="001352AB">
        <w:rPr>
          <w:rFonts w:eastAsiaTheme="minorEastAsia"/>
        </w:rPr>
        <w:t>/</w:t>
      </w:r>
      <w:r w:rsidRPr="001352AB">
        <w:rPr>
          <w:rFonts w:ascii="Sylfaen" w:eastAsiaTheme="minorEastAsia" w:hAnsi="Sylfaen" w:cs="Sylfaen"/>
        </w:rPr>
        <w:t>წმ</w:t>
      </w:r>
      <w:r w:rsidRPr="001352AB">
        <w:rPr>
          <w:rFonts w:eastAsiaTheme="minorEastAsia"/>
        </w:rPr>
        <w:t xml:space="preserve">; </w:t>
      </w:r>
    </w:p>
    <w:p w14:paraId="5986CA30" w14:textId="77777777" w:rsidR="00CD64B5" w:rsidRPr="001352AB" w:rsidRDefault="00CD64B5" w:rsidP="00CD64B5">
      <w:pPr>
        <w:spacing w:before="120" w:after="120"/>
        <w:rPr>
          <w:rFonts w:eastAsiaTheme="minorEastAsia"/>
        </w:rPr>
      </w:pPr>
      <w:r w:rsidRPr="001352AB">
        <w:rPr>
          <w:rFonts w:eastAsiaTheme="minorEastAsia"/>
        </w:rPr>
        <w:t xml:space="preserve">0,0780163 × 0,4 = 0,0312 </w:t>
      </w:r>
      <w:r w:rsidRPr="001352AB">
        <w:rPr>
          <w:rFonts w:ascii="Sylfaen" w:eastAsiaTheme="minorEastAsia" w:hAnsi="Sylfaen" w:cs="Sylfaen"/>
        </w:rPr>
        <w:t>ტ</w:t>
      </w:r>
      <w:r w:rsidRPr="001352AB">
        <w:rPr>
          <w:rFonts w:eastAsiaTheme="minorEastAsia"/>
        </w:rPr>
        <w:t>/</w:t>
      </w:r>
      <w:r w:rsidRPr="001352AB">
        <w:rPr>
          <w:rFonts w:ascii="Sylfaen" w:eastAsiaTheme="minorEastAsia" w:hAnsi="Sylfaen" w:cs="Sylfaen"/>
        </w:rPr>
        <w:t>წელ</w:t>
      </w:r>
      <w:r w:rsidRPr="001352AB">
        <w:rPr>
          <w:rFonts w:eastAsiaTheme="minorEastAsia"/>
        </w:rPr>
        <w:t xml:space="preserve">. </w:t>
      </w:r>
    </w:p>
    <w:p w14:paraId="23076F9A" w14:textId="77777777" w:rsidR="00CD64B5" w:rsidRPr="001352AB" w:rsidRDefault="00CD64B5" w:rsidP="00CD64B5">
      <w:pPr>
        <w:spacing w:before="120" w:after="120"/>
        <w:rPr>
          <w:rFonts w:eastAsiaTheme="minorEastAsia"/>
        </w:rPr>
      </w:pPr>
      <w:bookmarkStart w:id="254" w:name="_Toc419823072"/>
      <w:r w:rsidRPr="001352AB">
        <w:rPr>
          <w:rFonts w:ascii="Sylfaen" w:eastAsiaTheme="majorEastAsia" w:hAnsi="Sylfaen" w:cs="Sylfaen"/>
        </w:rPr>
        <w:t>ემისიის</w:t>
      </w:r>
      <w:r w:rsidRPr="001352AB">
        <w:rPr>
          <w:rFonts w:eastAsiaTheme="majorEastAsia"/>
        </w:rPr>
        <w:t xml:space="preserve"> </w:t>
      </w:r>
      <w:r w:rsidRPr="001352AB">
        <w:rPr>
          <w:rFonts w:ascii="Sylfaen" w:eastAsiaTheme="majorEastAsia" w:hAnsi="Sylfaen" w:cs="Sylfaen"/>
        </w:rPr>
        <w:t>გაანგარიშება</w:t>
      </w:r>
      <w:r w:rsidRPr="001352AB">
        <w:rPr>
          <w:rFonts w:eastAsiaTheme="majorEastAsia"/>
        </w:rPr>
        <w:t xml:space="preserve"> </w:t>
      </w:r>
      <w:r w:rsidRPr="001352AB">
        <w:rPr>
          <w:rFonts w:ascii="Sylfaen" w:eastAsiaTheme="majorEastAsia" w:hAnsi="Sylfaen" w:cs="Sylfaen"/>
        </w:rPr>
        <w:t>ინერტული</w:t>
      </w:r>
      <w:r w:rsidRPr="001352AB">
        <w:rPr>
          <w:rFonts w:eastAsiaTheme="majorEastAsia"/>
        </w:rPr>
        <w:t xml:space="preserve"> </w:t>
      </w:r>
      <w:r w:rsidRPr="001352AB">
        <w:rPr>
          <w:rFonts w:ascii="Sylfaen" w:eastAsiaTheme="majorEastAsia" w:hAnsi="Sylfaen" w:cs="Sylfaen"/>
        </w:rPr>
        <w:t>მასალების</w:t>
      </w:r>
      <w:r w:rsidRPr="001352AB">
        <w:rPr>
          <w:rFonts w:eastAsiaTheme="majorEastAsia"/>
        </w:rPr>
        <w:t xml:space="preserve"> </w:t>
      </w:r>
      <w:r w:rsidRPr="001352AB">
        <w:rPr>
          <w:rFonts w:ascii="Sylfaen" w:eastAsiaTheme="majorEastAsia" w:hAnsi="Sylfaen" w:cs="Sylfaen"/>
        </w:rPr>
        <w:t>სამსხვრევიდან</w:t>
      </w:r>
      <w:r w:rsidRPr="001352AB">
        <w:rPr>
          <w:rFonts w:eastAsiaTheme="majorEastAsia"/>
        </w:rPr>
        <w:t xml:space="preserve"> (</w:t>
      </w:r>
      <w:r w:rsidRPr="001352AB">
        <w:rPr>
          <w:rFonts w:ascii="Sylfaen" w:eastAsiaTheme="majorEastAsia" w:hAnsi="Sylfaen" w:cs="Sylfaen"/>
        </w:rPr>
        <w:t>გ</w:t>
      </w:r>
      <w:r w:rsidRPr="001352AB">
        <w:rPr>
          <w:rFonts w:eastAsiaTheme="majorEastAsia"/>
        </w:rPr>
        <w:t>-4)</w:t>
      </w:r>
      <w:bookmarkEnd w:id="254"/>
      <w:r w:rsidRPr="001352AB">
        <w:rPr>
          <w:rFonts w:eastAsiaTheme="majorEastAsia"/>
        </w:rPr>
        <w:t xml:space="preserve"> </w:t>
      </w:r>
    </w:p>
    <w:p w14:paraId="6F512A74" w14:textId="77777777" w:rsidR="00CD64B5" w:rsidRPr="001352AB" w:rsidRDefault="00CD64B5" w:rsidP="00CD64B5">
      <w:pPr>
        <w:spacing w:before="120" w:after="120"/>
        <w:rPr>
          <w:rFonts w:eastAsiaTheme="minorEastAsia"/>
          <w:lang w:eastAsia="ru-RU"/>
        </w:rPr>
      </w:pPr>
      <w:r w:rsidRPr="001352AB">
        <w:rPr>
          <w:rFonts w:ascii="Sylfaen" w:eastAsiaTheme="minorEastAsia" w:hAnsi="Sylfaen" w:cs="Sylfaen"/>
        </w:rPr>
        <w:t>გაანგარიშება</w:t>
      </w:r>
      <w:r w:rsidRPr="001352AB">
        <w:rPr>
          <w:rFonts w:eastAsiaTheme="minorEastAsia"/>
        </w:rPr>
        <w:t xml:space="preserve"> </w:t>
      </w:r>
      <w:r w:rsidRPr="001352AB">
        <w:rPr>
          <w:rFonts w:ascii="Sylfaen" w:eastAsiaTheme="minorEastAsia" w:hAnsi="Sylfaen" w:cs="Sylfaen"/>
        </w:rPr>
        <w:t>შესრულებულია</w:t>
      </w:r>
      <w:r w:rsidRPr="001352AB">
        <w:rPr>
          <w:rFonts w:eastAsiaTheme="minorEastAsia"/>
        </w:rPr>
        <w:t xml:space="preserve"> </w:t>
      </w:r>
      <w:r w:rsidRPr="001352AB">
        <w:rPr>
          <w:rFonts w:ascii="Sylfaen" w:eastAsiaTheme="minorEastAsia" w:hAnsi="Sylfaen" w:cs="Sylfaen"/>
        </w:rPr>
        <w:t>შემდეგი</w:t>
      </w:r>
      <w:r w:rsidRPr="001352AB">
        <w:rPr>
          <w:rFonts w:eastAsiaTheme="minorEastAsia"/>
        </w:rPr>
        <w:t xml:space="preserve"> </w:t>
      </w:r>
      <w:r w:rsidRPr="001352AB">
        <w:rPr>
          <w:rFonts w:ascii="Sylfaen" w:eastAsiaTheme="minorEastAsia" w:hAnsi="Sylfaen" w:cs="Sylfaen"/>
        </w:rPr>
        <w:t>მეთოდური</w:t>
      </w:r>
      <w:r w:rsidRPr="001352AB">
        <w:rPr>
          <w:rFonts w:eastAsiaTheme="minorEastAsia"/>
        </w:rPr>
        <w:t xml:space="preserve"> </w:t>
      </w:r>
      <w:r w:rsidRPr="001352AB">
        <w:rPr>
          <w:rFonts w:ascii="Sylfaen" w:eastAsiaTheme="minorEastAsia" w:hAnsi="Sylfaen" w:cs="Sylfaen"/>
        </w:rPr>
        <w:t>მითითებების</w:t>
      </w:r>
      <w:r w:rsidRPr="001352AB">
        <w:rPr>
          <w:rFonts w:eastAsiaTheme="minorEastAsia"/>
        </w:rPr>
        <w:t xml:space="preserve"> </w:t>
      </w:r>
      <w:r w:rsidRPr="001352AB">
        <w:rPr>
          <w:rFonts w:ascii="Sylfaen" w:eastAsiaTheme="minorEastAsia" w:hAnsi="Sylfaen" w:cs="Sylfaen"/>
        </w:rPr>
        <w:t>თანახმად</w:t>
      </w:r>
      <w:r w:rsidRPr="001352AB">
        <w:rPr>
          <w:rFonts w:eastAsiaTheme="minorEastAsia"/>
        </w:rPr>
        <w:t xml:space="preserve"> [7]. </w:t>
      </w:r>
      <w:r w:rsidRPr="001352AB">
        <w:rPr>
          <w:rFonts w:ascii="Sylfaen" w:eastAsia="Sylfaen" w:hAnsi="Sylfaen" w:cs="Sylfaen"/>
        </w:rPr>
        <w:t>ნედლეულის</w:t>
      </w:r>
      <w:r w:rsidRPr="001352AB">
        <w:rPr>
          <w:rFonts w:eastAsia="Sylfaen"/>
        </w:rPr>
        <w:t xml:space="preserve"> </w:t>
      </w:r>
      <w:r w:rsidRPr="001352AB">
        <w:rPr>
          <w:rFonts w:ascii="Sylfaen" w:eastAsia="Sylfaen" w:hAnsi="Sylfaen" w:cs="Sylfaen"/>
        </w:rPr>
        <w:t>წარმოებისას</w:t>
      </w:r>
      <w:r w:rsidRPr="001352AB">
        <w:rPr>
          <w:rFonts w:eastAsia="Sylfaen"/>
        </w:rPr>
        <w:t xml:space="preserve"> </w:t>
      </w:r>
      <w:r w:rsidRPr="001352AB">
        <w:rPr>
          <w:rFonts w:ascii="Sylfaen" w:eastAsia="Sylfaen" w:hAnsi="Sylfaen" w:cs="Sylfaen"/>
        </w:rPr>
        <w:t>მტვრის</w:t>
      </w:r>
      <w:r w:rsidRPr="001352AB">
        <w:rPr>
          <w:rFonts w:eastAsia="Sylfaen"/>
        </w:rPr>
        <w:t xml:space="preserve"> </w:t>
      </w:r>
      <w:r w:rsidRPr="001352AB">
        <w:rPr>
          <w:rFonts w:ascii="Sylfaen" w:eastAsia="Sylfaen" w:hAnsi="Sylfaen" w:cs="Sylfaen"/>
        </w:rPr>
        <w:t>ხვედრითი</w:t>
      </w:r>
      <w:r w:rsidRPr="001352AB">
        <w:rPr>
          <w:rFonts w:eastAsia="Sylfaen"/>
        </w:rPr>
        <w:t xml:space="preserve"> </w:t>
      </w:r>
      <w:r w:rsidRPr="001352AB">
        <w:rPr>
          <w:rFonts w:ascii="Sylfaen" w:eastAsia="Sylfaen" w:hAnsi="Sylfaen" w:cs="Sylfaen"/>
        </w:rPr>
        <w:t>გამოყოფის</w:t>
      </w:r>
      <w:r w:rsidRPr="001352AB">
        <w:rPr>
          <w:rFonts w:eastAsia="Sylfaen"/>
        </w:rPr>
        <w:t xml:space="preserve"> </w:t>
      </w:r>
      <w:r w:rsidRPr="001352AB">
        <w:rPr>
          <w:rFonts w:ascii="Sylfaen" w:eastAsia="Sylfaen" w:hAnsi="Sylfaen" w:cs="Sylfaen"/>
        </w:rPr>
        <w:t>კოეფიციენტები</w:t>
      </w:r>
      <w:r w:rsidRPr="001352AB">
        <w:rPr>
          <w:rFonts w:eastAsia="Sylfaen"/>
        </w:rPr>
        <w:t xml:space="preserve"> </w:t>
      </w:r>
      <w:r w:rsidRPr="001352AB">
        <w:rPr>
          <w:rFonts w:ascii="Sylfaen" w:eastAsia="Sylfaen" w:hAnsi="Sylfaen" w:cs="Sylfaen"/>
        </w:rPr>
        <w:t>შეადგენს</w:t>
      </w:r>
      <w:r w:rsidRPr="001352AB">
        <w:rPr>
          <w:rFonts w:eastAsia="Sylfaen"/>
        </w:rPr>
        <w:t xml:space="preserve"> </w:t>
      </w:r>
      <w:r w:rsidRPr="001352AB">
        <w:rPr>
          <w:rFonts w:ascii="Sylfaen" w:eastAsia="Sylfaen" w:hAnsi="Sylfaen" w:cs="Sylfaen"/>
        </w:rPr>
        <w:t>სათანადოდ</w:t>
      </w:r>
      <w:r w:rsidRPr="001352AB">
        <w:rPr>
          <w:rFonts w:eastAsia="Sylfaen"/>
        </w:rPr>
        <w:t>:</w:t>
      </w:r>
    </w:p>
    <w:p w14:paraId="17D6973C" w14:textId="77777777" w:rsidR="00CD64B5" w:rsidRPr="001352AB" w:rsidRDefault="00CD64B5" w:rsidP="00CD64B5">
      <w:pPr>
        <w:spacing w:before="120" w:after="120"/>
        <w:rPr>
          <w:rFonts w:eastAsiaTheme="majorEastAsia"/>
        </w:rPr>
      </w:pPr>
      <w:r w:rsidRPr="001352AB">
        <w:rPr>
          <w:rFonts w:ascii="Sylfaen" w:eastAsia="Sylfaen" w:hAnsi="Sylfaen" w:cs="Sylfaen"/>
        </w:rPr>
        <w:t>პირველადი</w:t>
      </w:r>
      <w:r w:rsidRPr="001352AB">
        <w:rPr>
          <w:rFonts w:eastAsia="Sylfaen"/>
        </w:rPr>
        <w:t xml:space="preserve"> </w:t>
      </w:r>
      <w:r w:rsidRPr="001352AB">
        <w:rPr>
          <w:rFonts w:ascii="Sylfaen" w:eastAsia="Sylfaen" w:hAnsi="Sylfaen" w:cs="Sylfaen"/>
        </w:rPr>
        <w:t>და</w:t>
      </w:r>
      <w:r w:rsidRPr="001352AB">
        <w:rPr>
          <w:rFonts w:eastAsia="Sylfaen"/>
        </w:rPr>
        <w:t xml:space="preserve"> </w:t>
      </w:r>
      <w:r w:rsidRPr="001352AB">
        <w:rPr>
          <w:rFonts w:ascii="Sylfaen" w:eastAsia="Sylfaen" w:hAnsi="Sylfaen" w:cs="Sylfaen"/>
        </w:rPr>
        <w:t>მეორადი</w:t>
      </w:r>
      <w:r w:rsidRPr="001352AB">
        <w:rPr>
          <w:rFonts w:eastAsia="Sylfaen"/>
        </w:rPr>
        <w:t xml:space="preserve"> </w:t>
      </w:r>
      <w:r w:rsidRPr="001352AB">
        <w:rPr>
          <w:rFonts w:ascii="Sylfaen" w:eastAsia="Sylfaen" w:hAnsi="Sylfaen" w:cs="Sylfaen"/>
        </w:rPr>
        <w:t>მსხვრევისას</w:t>
      </w:r>
      <w:r w:rsidRPr="001352AB">
        <w:rPr>
          <w:rFonts w:eastAsia="Sylfaen"/>
        </w:rPr>
        <w:t xml:space="preserve">: </w:t>
      </w:r>
      <w:r w:rsidRPr="001352AB">
        <w:rPr>
          <w:rFonts w:ascii="Sylfaen" w:eastAsia="Sylfaen" w:hAnsi="Sylfaen" w:cs="Sylfaen"/>
        </w:rPr>
        <w:t>ა</w:t>
      </w:r>
      <w:r w:rsidRPr="001352AB">
        <w:rPr>
          <w:rFonts w:eastAsia="Sylfaen"/>
        </w:rPr>
        <w:t xml:space="preserve">) </w:t>
      </w:r>
      <w:r w:rsidRPr="001352AB">
        <w:rPr>
          <w:rFonts w:ascii="Sylfaen" w:eastAsia="Sylfaen" w:hAnsi="Sylfaen" w:cs="Sylfaen"/>
        </w:rPr>
        <w:t>მშრალი</w:t>
      </w:r>
      <w:r w:rsidRPr="001352AB">
        <w:rPr>
          <w:rFonts w:eastAsia="Sylfaen"/>
        </w:rPr>
        <w:t xml:space="preserve"> </w:t>
      </w:r>
      <w:r w:rsidRPr="001352AB">
        <w:rPr>
          <w:rFonts w:ascii="Sylfaen" w:eastAsia="Sylfaen" w:hAnsi="Sylfaen" w:cs="Sylfaen"/>
        </w:rPr>
        <w:t>მასალის</w:t>
      </w:r>
      <w:r w:rsidRPr="001352AB">
        <w:rPr>
          <w:rFonts w:eastAsia="Sylfaen"/>
        </w:rPr>
        <w:t xml:space="preserve"> - 0,14 </w:t>
      </w:r>
      <w:r w:rsidRPr="001352AB">
        <w:rPr>
          <w:rFonts w:ascii="Sylfaen" w:eastAsia="Sylfaen" w:hAnsi="Sylfaen" w:cs="Sylfaen"/>
        </w:rPr>
        <w:t>კგ</w:t>
      </w:r>
      <w:r w:rsidRPr="001352AB">
        <w:rPr>
          <w:rFonts w:eastAsia="Sylfaen"/>
        </w:rPr>
        <w:t>/</w:t>
      </w:r>
      <w:r w:rsidRPr="001352AB">
        <w:rPr>
          <w:rFonts w:ascii="Sylfaen" w:eastAsia="Sylfaen" w:hAnsi="Sylfaen" w:cs="Sylfaen"/>
        </w:rPr>
        <w:t>ტ</w:t>
      </w:r>
      <w:r w:rsidRPr="001352AB">
        <w:rPr>
          <w:rFonts w:eastAsia="Sylfaen"/>
        </w:rPr>
        <w:t xml:space="preserve">, </w:t>
      </w:r>
      <w:r w:rsidRPr="001352AB">
        <w:rPr>
          <w:rFonts w:ascii="Sylfaen" w:eastAsia="Sylfaen" w:hAnsi="Sylfaen" w:cs="Sylfaen"/>
        </w:rPr>
        <w:t>ბ</w:t>
      </w:r>
      <w:r w:rsidRPr="001352AB">
        <w:rPr>
          <w:rFonts w:eastAsia="Sylfaen"/>
        </w:rPr>
        <w:t xml:space="preserve">) </w:t>
      </w:r>
      <w:r w:rsidRPr="001352AB">
        <w:rPr>
          <w:rFonts w:ascii="Sylfaen" w:eastAsia="Sylfaen" w:hAnsi="Sylfaen" w:cs="Sylfaen"/>
        </w:rPr>
        <w:t>სველი</w:t>
      </w:r>
      <w:r w:rsidRPr="001352AB">
        <w:rPr>
          <w:rFonts w:eastAsia="Sylfaen"/>
        </w:rPr>
        <w:t xml:space="preserve"> </w:t>
      </w:r>
      <w:r w:rsidRPr="001352AB">
        <w:rPr>
          <w:rFonts w:ascii="Sylfaen" w:eastAsia="Sylfaen" w:hAnsi="Sylfaen" w:cs="Sylfaen"/>
        </w:rPr>
        <w:t>მასალის</w:t>
      </w:r>
      <w:r w:rsidRPr="001352AB">
        <w:rPr>
          <w:rFonts w:eastAsia="Sylfaen"/>
        </w:rPr>
        <w:t xml:space="preserve"> - 0,009 </w:t>
      </w:r>
      <w:r w:rsidRPr="001352AB">
        <w:rPr>
          <w:rFonts w:ascii="Sylfaen" w:eastAsia="Sylfaen" w:hAnsi="Sylfaen" w:cs="Sylfaen"/>
        </w:rPr>
        <w:t>კგ</w:t>
      </w:r>
      <w:r w:rsidRPr="001352AB">
        <w:rPr>
          <w:rFonts w:eastAsia="Sylfaen"/>
        </w:rPr>
        <w:t>/</w:t>
      </w:r>
      <w:r w:rsidRPr="001352AB">
        <w:rPr>
          <w:rFonts w:ascii="Sylfaen" w:eastAsia="Sylfaen" w:hAnsi="Sylfaen" w:cs="Sylfaen"/>
        </w:rPr>
        <w:t>ტ</w:t>
      </w:r>
      <w:r w:rsidRPr="001352AB">
        <w:rPr>
          <w:rFonts w:eastAsia="Sylfaen"/>
        </w:rPr>
        <w:t>;</w:t>
      </w:r>
    </w:p>
    <w:p w14:paraId="1E748C46" w14:textId="77777777" w:rsidR="00CD64B5" w:rsidRPr="001352AB" w:rsidRDefault="00CD64B5" w:rsidP="00CD64B5">
      <w:pPr>
        <w:spacing w:before="120" w:after="120"/>
        <w:rPr>
          <w:rFonts w:eastAsia="Sylfaen"/>
          <w:lang w:eastAsia="en-US"/>
        </w:rPr>
      </w:pPr>
      <w:r w:rsidRPr="001352AB">
        <w:rPr>
          <w:rFonts w:ascii="Sylfaen" w:eastAsiaTheme="minorEastAsia" w:hAnsi="Sylfaen" w:cs="Sylfaen"/>
        </w:rPr>
        <w:t>ტექნიკური</w:t>
      </w:r>
      <w:r w:rsidRPr="001352AB">
        <w:rPr>
          <w:rFonts w:eastAsiaTheme="minorEastAsia"/>
        </w:rPr>
        <w:t xml:space="preserve"> </w:t>
      </w:r>
      <w:r w:rsidRPr="001352AB">
        <w:rPr>
          <w:rFonts w:ascii="Sylfaen" w:eastAsiaTheme="minorEastAsia" w:hAnsi="Sylfaen" w:cs="Sylfaen"/>
        </w:rPr>
        <w:t>პროცესიდან</w:t>
      </w:r>
      <w:r w:rsidRPr="001352AB">
        <w:rPr>
          <w:rFonts w:eastAsiaTheme="minorEastAsia"/>
        </w:rPr>
        <w:t xml:space="preserve"> </w:t>
      </w:r>
      <w:r w:rsidRPr="001352AB">
        <w:rPr>
          <w:rFonts w:ascii="Sylfaen" w:eastAsiaTheme="minorEastAsia" w:hAnsi="Sylfaen" w:cs="Sylfaen"/>
        </w:rPr>
        <w:t>გამომდინარე</w:t>
      </w:r>
      <w:r w:rsidRPr="001352AB">
        <w:rPr>
          <w:rFonts w:eastAsiaTheme="minorEastAsia"/>
        </w:rPr>
        <w:t xml:space="preserve"> </w:t>
      </w:r>
      <w:r w:rsidRPr="001352AB">
        <w:rPr>
          <w:rFonts w:ascii="Sylfaen" w:eastAsiaTheme="minorEastAsia" w:hAnsi="Sylfaen" w:cs="Sylfaen"/>
        </w:rPr>
        <w:t>მადნის</w:t>
      </w:r>
      <w:r w:rsidRPr="001352AB">
        <w:rPr>
          <w:rFonts w:eastAsiaTheme="minorEastAsia"/>
        </w:rPr>
        <w:t xml:space="preserve"> </w:t>
      </w:r>
      <w:r w:rsidRPr="001352AB">
        <w:rPr>
          <w:rFonts w:ascii="Sylfaen" w:eastAsiaTheme="minorEastAsia" w:hAnsi="Sylfaen" w:cs="Sylfaen"/>
        </w:rPr>
        <w:t>დამუშავება</w:t>
      </w:r>
      <w:r w:rsidRPr="001352AB">
        <w:rPr>
          <w:rFonts w:eastAsiaTheme="minorEastAsia"/>
        </w:rPr>
        <w:t xml:space="preserve"> </w:t>
      </w:r>
      <w:r w:rsidRPr="001352AB">
        <w:rPr>
          <w:rFonts w:ascii="Sylfaen" w:eastAsiaTheme="minorEastAsia" w:hAnsi="Sylfaen" w:cs="Sylfaen"/>
        </w:rPr>
        <w:t>მიმდინარეობს</w:t>
      </w:r>
      <w:r w:rsidRPr="001352AB">
        <w:rPr>
          <w:rFonts w:eastAsiaTheme="minorEastAsia"/>
        </w:rPr>
        <w:t xml:space="preserve"> </w:t>
      </w:r>
      <w:r w:rsidRPr="001352AB">
        <w:rPr>
          <w:rFonts w:ascii="Sylfaen" w:eastAsiaTheme="minorEastAsia" w:hAnsi="Sylfaen" w:cs="Sylfaen"/>
        </w:rPr>
        <w:t>სველი</w:t>
      </w:r>
      <w:r w:rsidRPr="001352AB">
        <w:rPr>
          <w:rFonts w:eastAsiaTheme="minorEastAsia"/>
        </w:rPr>
        <w:t xml:space="preserve"> </w:t>
      </w:r>
      <w:r w:rsidRPr="001352AB">
        <w:rPr>
          <w:rFonts w:ascii="Sylfaen" w:eastAsiaTheme="minorEastAsia" w:hAnsi="Sylfaen" w:cs="Sylfaen"/>
        </w:rPr>
        <w:t>მეთოდით</w:t>
      </w:r>
      <w:r w:rsidRPr="001352AB">
        <w:rPr>
          <w:rFonts w:eastAsiaTheme="minorEastAsia"/>
        </w:rPr>
        <w:t xml:space="preserve">. </w:t>
      </w:r>
      <w:r w:rsidRPr="001352AB">
        <w:rPr>
          <w:rFonts w:ascii="Sylfaen" w:eastAsiaTheme="minorEastAsia" w:hAnsi="Sylfaen" w:cs="Sylfaen"/>
        </w:rPr>
        <w:t>ამრიგად</w:t>
      </w:r>
      <w:r w:rsidRPr="001352AB">
        <w:rPr>
          <w:rFonts w:eastAsiaTheme="minorEastAsia"/>
        </w:rPr>
        <w:t xml:space="preserve"> </w:t>
      </w:r>
      <w:r w:rsidRPr="001352AB">
        <w:rPr>
          <w:rFonts w:ascii="Sylfaen" w:eastAsiaTheme="minorEastAsia" w:hAnsi="Sylfaen" w:cs="Sylfaen"/>
        </w:rPr>
        <w:t>გაანგარიშებაში</w:t>
      </w:r>
      <w:r w:rsidRPr="001352AB">
        <w:rPr>
          <w:rFonts w:eastAsiaTheme="minorEastAsia"/>
        </w:rPr>
        <w:t xml:space="preserve"> </w:t>
      </w:r>
      <w:r w:rsidRPr="001352AB">
        <w:rPr>
          <w:rFonts w:ascii="Sylfaen" w:eastAsiaTheme="minorEastAsia" w:hAnsi="Sylfaen" w:cs="Sylfaen"/>
        </w:rPr>
        <w:t>გამოყენებულია</w:t>
      </w:r>
      <w:r w:rsidRPr="001352AB">
        <w:rPr>
          <w:rFonts w:eastAsiaTheme="minorEastAsia"/>
        </w:rPr>
        <w:t xml:space="preserve"> </w:t>
      </w:r>
      <w:r w:rsidRPr="001352AB">
        <w:rPr>
          <w:rFonts w:ascii="Sylfaen" w:eastAsiaTheme="minorEastAsia" w:hAnsi="Sylfaen" w:cs="Sylfaen"/>
        </w:rPr>
        <w:t>კოეფიციენტი</w:t>
      </w:r>
      <w:r w:rsidRPr="001352AB">
        <w:rPr>
          <w:rFonts w:eastAsiaTheme="minorEastAsia"/>
        </w:rPr>
        <w:t xml:space="preserve"> 0,009 </w:t>
      </w:r>
      <w:r w:rsidRPr="001352AB">
        <w:rPr>
          <w:rFonts w:ascii="Sylfaen" w:eastAsia="Sylfaen" w:hAnsi="Sylfaen" w:cs="Sylfaen"/>
        </w:rPr>
        <w:t>კგ</w:t>
      </w:r>
      <w:r w:rsidRPr="001352AB">
        <w:rPr>
          <w:rFonts w:eastAsia="Sylfaen"/>
        </w:rPr>
        <w:t>/</w:t>
      </w:r>
      <w:r w:rsidRPr="001352AB">
        <w:rPr>
          <w:rFonts w:ascii="Sylfaen" w:eastAsia="Sylfaen" w:hAnsi="Sylfaen" w:cs="Sylfaen"/>
        </w:rPr>
        <w:t>ტ</w:t>
      </w:r>
      <w:r w:rsidRPr="001352AB">
        <w:rPr>
          <w:rFonts w:eastAsia="Sylfaen"/>
        </w:rPr>
        <w:t xml:space="preserve"> </w:t>
      </w:r>
    </w:p>
    <w:p w14:paraId="78362B19" w14:textId="77777777" w:rsidR="00CD64B5" w:rsidRPr="001352AB" w:rsidRDefault="00CD64B5" w:rsidP="00CD64B5">
      <w:pPr>
        <w:spacing w:before="120" w:after="120"/>
        <w:rPr>
          <w:rFonts w:eastAsia="Sylfaen"/>
        </w:rPr>
      </w:pPr>
      <w:r w:rsidRPr="001352AB">
        <w:rPr>
          <w:rFonts w:eastAsiaTheme="minorEastAsia"/>
        </w:rPr>
        <w:t xml:space="preserve">350 000 </w:t>
      </w:r>
      <w:r w:rsidRPr="001352AB">
        <w:rPr>
          <w:rFonts w:ascii="Sylfaen" w:eastAsiaTheme="minorEastAsia" w:hAnsi="Sylfaen" w:cs="Sylfaen"/>
        </w:rPr>
        <w:t>ტ</w:t>
      </w:r>
      <w:r w:rsidRPr="001352AB">
        <w:rPr>
          <w:rFonts w:eastAsiaTheme="minorEastAsia"/>
        </w:rPr>
        <w:t>/</w:t>
      </w:r>
      <w:r w:rsidRPr="001352AB">
        <w:rPr>
          <w:rFonts w:ascii="Sylfaen" w:eastAsiaTheme="minorEastAsia" w:hAnsi="Sylfaen" w:cs="Sylfaen"/>
        </w:rPr>
        <w:t>წ</w:t>
      </w:r>
      <w:r w:rsidRPr="001352AB">
        <w:rPr>
          <w:rFonts w:eastAsiaTheme="minorEastAsia"/>
        </w:rPr>
        <w:t xml:space="preserve"> × 0,009 </w:t>
      </w:r>
      <w:r w:rsidRPr="001352AB">
        <w:rPr>
          <w:rFonts w:ascii="Sylfaen" w:eastAsiaTheme="minorEastAsia" w:hAnsi="Sylfaen" w:cs="Sylfaen"/>
        </w:rPr>
        <w:t>კგ</w:t>
      </w:r>
      <w:r w:rsidRPr="001352AB">
        <w:rPr>
          <w:rFonts w:eastAsiaTheme="minorEastAsia"/>
        </w:rPr>
        <w:t>/</w:t>
      </w:r>
      <w:r w:rsidRPr="001352AB">
        <w:rPr>
          <w:rFonts w:ascii="Sylfaen" w:eastAsiaTheme="minorEastAsia" w:hAnsi="Sylfaen" w:cs="Sylfaen"/>
        </w:rPr>
        <w:t>ტ</w:t>
      </w:r>
      <w:r w:rsidRPr="001352AB">
        <w:rPr>
          <w:rFonts w:eastAsiaTheme="minorEastAsia"/>
        </w:rPr>
        <w:t xml:space="preserve">  ÷ 1000 = 3,15 </w:t>
      </w:r>
      <w:r w:rsidRPr="001352AB">
        <w:rPr>
          <w:rFonts w:ascii="Sylfaen" w:eastAsiaTheme="minorEastAsia" w:hAnsi="Sylfaen" w:cs="Sylfaen"/>
        </w:rPr>
        <w:t>ტ</w:t>
      </w:r>
      <w:r w:rsidRPr="001352AB">
        <w:rPr>
          <w:rFonts w:eastAsiaTheme="minorEastAsia"/>
        </w:rPr>
        <w:t>/</w:t>
      </w:r>
      <w:r w:rsidRPr="001352AB">
        <w:rPr>
          <w:rFonts w:ascii="Sylfaen" w:eastAsiaTheme="minorEastAsia" w:hAnsi="Sylfaen" w:cs="Sylfaen"/>
        </w:rPr>
        <w:t>წელ</w:t>
      </w:r>
    </w:p>
    <w:p w14:paraId="51205DD6" w14:textId="77777777" w:rsidR="00CD64B5" w:rsidRPr="001352AB" w:rsidRDefault="00CD64B5" w:rsidP="00CD64B5">
      <w:pPr>
        <w:spacing w:before="120" w:after="120"/>
        <w:rPr>
          <w:rFonts w:eastAsiaTheme="minorEastAsia"/>
        </w:rPr>
      </w:pPr>
      <w:r w:rsidRPr="001352AB">
        <w:rPr>
          <w:rFonts w:eastAsiaTheme="minorEastAsia"/>
        </w:rPr>
        <w:t>3,15</w:t>
      </w:r>
      <w:r w:rsidRPr="001352AB">
        <w:rPr>
          <w:rFonts w:ascii="Sylfaen" w:eastAsiaTheme="minorEastAsia" w:hAnsi="Sylfaen" w:cs="Sylfaen"/>
        </w:rPr>
        <w:t>ტ</w:t>
      </w:r>
      <w:r w:rsidRPr="001352AB">
        <w:rPr>
          <w:rFonts w:eastAsiaTheme="minorEastAsia"/>
        </w:rPr>
        <w:t>/</w:t>
      </w:r>
      <w:r w:rsidRPr="001352AB">
        <w:rPr>
          <w:rFonts w:ascii="Sylfaen" w:eastAsiaTheme="minorEastAsia" w:hAnsi="Sylfaen" w:cs="Sylfaen"/>
        </w:rPr>
        <w:t>წელ</w:t>
      </w:r>
      <w:r w:rsidRPr="001352AB">
        <w:rPr>
          <w:rFonts w:eastAsiaTheme="minorEastAsia"/>
        </w:rPr>
        <w:t xml:space="preserve"> ÷ 16</w:t>
      </w:r>
      <w:r w:rsidRPr="001352AB">
        <w:rPr>
          <w:rFonts w:ascii="Sylfaen" w:eastAsiaTheme="minorEastAsia" w:hAnsi="Sylfaen" w:cs="Sylfaen"/>
        </w:rPr>
        <w:t>სთ</w:t>
      </w:r>
      <w:r w:rsidRPr="001352AB">
        <w:rPr>
          <w:rFonts w:eastAsiaTheme="minorEastAsia"/>
        </w:rPr>
        <w:t>/</w:t>
      </w:r>
      <w:r w:rsidRPr="001352AB">
        <w:rPr>
          <w:rFonts w:ascii="Sylfaen" w:eastAsiaTheme="minorEastAsia" w:hAnsi="Sylfaen" w:cs="Sylfaen"/>
        </w:rPr>
        <w:t>დღ</w:t>
      </w:r>
      <w:r w:rsidRPr="001352AB">
        <w:rPr>
          <w:rFonts w:eastAsiaTheme="minorEastAsia"/>
        </w:rPr>
        <w:t xml:space="preserve"> ÷ 250</w:t>
      </w:r>
      <w:r w:rsidRPr="001352AB">
        <w:rPr>
          <w:rFonts w:ascii="Sylfaen" w:eastAsiaTheme="minorEastAsia" w:hAnsi="Sylfaen" w:cs="Sylfaen"/>
        </w:rPr>
        <w:t>დღ</w:t>
      </w:r>
      <w:r w:rsidRPr="001352AB">
        <w:rPr>
          <w:rFonts w:eastAsiaTheme="minorEastAsia"/>
        </w:rPr>
        <w:t>/</w:t>
      </w:r>
      <w:r w:rsidRPr="001352AB">
        <w:rPr>
          <w:rFonts w:ascii="Sylfaen" w:eastAsiaTheme="minorEastAsia" w:hAnsi="Sylfaen" w:cs="Sylfaen"/>
        </w:rPr>
        <w:t>წ</w:t>
      </w:r>
      <w:r w:rsidRPr="001352AB">
        <w:rPr>
          <w:rFonts w:eastAsiaTheme="minorEastAsia"/>
        </w:rPr>
        <w:t xml:space="preserve"> ÷ 3600 × 1000000 = 0,21875 </w:t>
      </w:r>
      <w:r w:rsidRPr="001352AB">
        <w:rPr>
          <w:rFonts w:ascii="Sylfaen" w:eastAsiaTheme="minorEastAsia" w:hAnsi="Sylfaen" w:cs="Sylfaen"/>
        </w:rPr>
        <w:t>გ</w:t>
      </w:r>
      <w:r w:rsidRPr="001352AB">
        <w:rPr>
          <w:rFonts w:eastAsiaTheme="minorEastAsia"/>
        </w:rPr>
        <w:t>/</w:t>
      </w:r>
      <w:r w:rsidRPr="001352AB">
        <w:rPr>
          <w:rFonts w:ascii="Sylfaen" w:eastAsiaTheme="minorEastAsia" w:hAnsi="Sylfaen" w:cs="Sylfaen"/>
        </w:rPr>
        <w:t>წმ</w:t>
      </w:r>
      <w:r w:rsidRPr="001352AB">
        <w:rPr>
          <w:rFonts w:eastAsiaTheme="minorEastAsia"/>
        </w:rPr>
        <w:t xml:space="preserve"> </w:t>
      </w:r>
    </w:p>
    <w:p w14:paraId="61BCA90A"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ტექნოლოგიური</w:t>
      </w:r>
      <w:r w:rsidRPr="001352AB">
        <w:rPr>
          <w:rFonts w:eastAsiaTheme="minorEastAsia"/>
        </w:rPr>
        <w:t xml:space="preserve"> </w:t>
      </w:r>
      <w:r w:rsidRPr="001352AB">
        <w:rPr>
          <w:rFonts w:ascii="Sylfaen" w:eastAsiaTheme="minorEastAsia" w:hAnsi="Sylfaen" w:cs="Sylfaen"/>
        </w:rPr>
        <w:t>პროცესის</w:t>
      </w:r>
      <w:r w:rsidRPr="001352AB">
        <w:rPr>
          <w:rFonts w:eastAsiaTheme="minorEastAsia"/>
        </w:rPr>
        <w:t xml:space="preserve"> </w:t>
      </w:r>
      <w:r w:rsidRPr="001352AB">
        <w:rPr>
          <w:rFonts w:ascii="Sylfaen" w:eastAsiaTheme="minorEastAsia" w:hAnsi="Sylfaen" w:cs="Sylfaen"/>
        </w:rPr>
        <w:t>მიმდინარეობისას</w:t>
      </w:r>
      <w:r w:rsidRPr="001352AB">
        <w:rPr>
          <w:rFonts w:eastAsiaTheme="minorEastAsia"/>
        </w:rPr>
        <w:t xml:space="preserve">, </w:t>
      </w:r>
      <w:r w:rsidRPr="001352AB">
        <w:rPr>
          <w:rFonts w:ascii="Sylfaen" w:eastAsiaTheme="minorEastAsia" w:hAnsi="Sylfaen" w:cs="Sylfaen"/>
        </w:rPr>
        <w:t>რომელიც</w:t>
      </w:r>
      <w:r w:rsidRPr="001352AB">
        <w:rPr>
          <w:rFonts w:eastAsiaTheme="minorEastAsia"/>
        </w:rPr>
        <w:t xml:space="preserve"> </w:t>
      </w:r>
      <w:r w:rsidRPr="001352AB">
        <w:rPr>
          <w:rFonts w:ascii="Sylfaen" w:eastAsiaTheme="minorEastAsia" w:hAnsi="Sylfaen" w:cs="Sylfaen"/>
        </w:rPr>
        <w:t>ხორციელდება</w:t>
      </w:r>
      <w:r w:rsidRPr="001352AB">
        <w:rPr>
          <w:rFonts w:eastAsiaTheme="minorEastAsia"/>
        </w:rPr>
        <w:t xml:space="preserve"> </w:t>
      </w:r>
      <w:r w:rsidRPr="001352AB">
        <w:rPr>
          <w:rFonts w:ascii="Sylfaen" w:eastAsiaTheme="minorEastAsia" w:hAnsi="Sylfaen" w:cs="Sylfaen"/>
        </w:rPr>
        <w:t>შეწონილი</w:t>
      </w:r>
      <w:r w:rsidRPr="001352AB">
        <w:rPr>
          <w:rFonts w:eastAsiaTheme="minorEastAsia"/>
        </w:rPr>
        <w:t xml:space="preserve"> </w:t>
      </w:r>
      <w:r w:rsidRPr="001352AB">
        <w:rPr>
          <w:rFonts w:ascii="Sylfaen" w:eastAsiaTheme="minorEastAsia" w:hAnsi="Sylfaen" w:cs="Sylfaen"/>
        </w:rPr>
        <w:t>ნივთიერებების</w:t>
      </w:r>
      <w:r w:rsidRPr="001352AB">
        <w:rPr>
          <w:rFonts w:eastAsiaTheme="minorEastAsia"/>
        </w:rPr>
        <w:t xml:space="preserve"> </w:t>
      </w:r>
      <w:r w:rsidRPr="001352AB">
        <w:rPr>
          <w:rFonts w:ascii="Sylfaen" w:eastAsiaTheme="minorEastAsia" w:hAnsi="Sylfaen" w:cs="Sylfaen"/>
        </w:rPr>
        <w:t>გამოყოფით</w:t>
      </w:r>
      <w:r w:rsidRPr="001352AB">
        <w:rPr>
          <w:rFonts w:eastAsiaTheme="minorEastAsia"/>
        </w:rPr>
        <w:t xml:space="preserve"> </w:t>
      </w:r>
      <w:r w:rsidRPr="001352AB">
        <w:rPr>
          <w:rFonts w:ascii="Sylfaen" w:eastAsiaTheme="minorEastAsia" w:hAnsi="Sylfaen" w:cs="Sylfaen"/>
        </w:rPr>
        <w:t>ისეთ</w:t>
      </w:r>
      <w:r w:rsidRPr="001352AB">
        <w:rPr>
          <w:rFonts w:eastAsiaTheme="minorEastAsia"/>
        </w:rPr>
        <w:t xml:space="preserve"> </w:t>
      </w:r>
      <w:r w:rsidRPr="001352AB">
        <w:rPr>
          <w:rFonts w:ascii="Sylfaen" w:eastAsiaTheme="minorEastAsia" w:hAnsi="Sylfaen" w:cs="Sylfaen"/>
        </w:rPr>
        <w:t>შენობებში</w:t>
      </w:r>
      <w:r w:rsidRPr="001352AB">
        <w:rPr>
          <w:rFonts w:eastAsiaTheme="minorEastAsia"/>
        </w:rPr>
        <w:t xml:space="preserve">, </w:t>
      </w:r>
      <w:r w:rsidRPr="001352AB">
        <w:rPr>
          <w:rFonts w:ascii="Sylfaen" w:eastAsiaTheme="minorEastAsia" w:hAnsi="Sylfaen" w:cs="Sylfaen"/>
        </w:rPr>
        <w:t>რომლებიც</w:t>
      </w:r>
      <w:r w:rsidRPr="001352AB">
        <w:rPr>
          <w:rFonts w:eastAsiaTheme="minorEastAsia"/>
        </w:rPr>
        <w:t xml:space="preserve"> </w:t>
      </w:r>
      <w:r w:rsidRPr="001352AB">
        <w:rPr>
          <w:rFonts w:ascii="Sylfaen" w:eastAsiaTheme="minorEastAsia" w:hAnsi="Sylfaen" w:cs="Sylfaen"/>
        </w:rPr>
        <w:t>არ</w:t>
      </w:r>
      <w:r w:rsidRPr="001352AB">
        <w:rPr>
          <w:rFonts w:eastAsiaTheme="minorEastAsia"/>
        </w:rPr>
        <w:t xml:space="preserve"> </w:t>
      </w:r>
      <w:r w:rsidRPr="001352AB">
        <w:rPr>
          <w:rFonts w:ascii="Sylfaen" w:eastAsiaTheme="minorEastAsia" w:hAnsi="Sylfaen" w:cs="Sylfaen"/>
        </w:rPr>
        <w:t>არის</w:t>
      </w:r>
      <w:r w:rsidRPr="001352AB">
        <w:rPr>
          <w:rFonts w:eastAsiaTheme="minorEastAsia"/>
        </w:rPr>
        <w:t xml:space="preserve"> </w:t>
      </w:r>
      <w:r w:rsidRPr="001352AB">
        <w:rPr>
          <w:rFonts w:ascii="Sylfaen" w:eastAsiaTheme="minorEastAsia" w:hAnsi="Sylfaen" w:cs="Sylfaen"/>
        </w:rPr>
        <w:t>აღჭურვილი</w:t>
      </w:r>
      <w:r w:rsidRPr="001352AB">
        <w:rPr>
          <w:rFonts w:eastAsiaTheme="minorEastAsia"/>
        </w:rPr>
        <w:t xml:space="preserve"> </w:t>
      </w:r>
      <w:r w:rsidRPr="001352AB">
        <w:rPr>
          <w:rFonts w:ascii="Sylfaen" w:eastAsiaTheme="minorEastAsia" w:hAnsi="Sylfaen" w:cs="Sylfaen"/>
        </w:rPr>
        <w:t>საერთო</w:t>
      </w:r>
      <w:r w:rsidRPr="001352AB">
        <w:rPr>
          <w:rFonts w:eastAsiaTheme="minorEastAsia"/>
        </w:rPr>
        <w:t xml:space="preserve"> </w:t>
      </w:r>
      <w:r w:rsidRPr="001352AB">
        <w:rPr>
          <w:rFonts w:ascii="Sylfaen" w:eastAsiaTheme="minorEastAsia" w:hAnsi="Sylfaen" w:cs="Sylfaen"/>
        </w:rPr>
        <w:t>მიმოცვლითი</w:t>
      </w:r>
      <w:r w:rsidRPr="001352AB">
        <w:rPr>
          <w:rFonts w:eastAsiaTheme="minorEastAsia"/>
        </w:rPr>
        <w:t xml:space="preserve"> </w:t>
      </w:r>
      <w:r w:rsidRPr="001352AB">
        <w:rPr>
          <w:rFonts w:ascii="Sylfaen" w:eastAsiaTheme="minorEastAsia" w:hAnsi="Sylfaen" w:cs="Sylfaen"/>
        </w:rPr>
        <w:t>ვენტილაციით</w:t>
      </w:r>
      <w:r w:rsidRPr="001352AB">
        <w:rPr>
          <w:rFonts w:eastAsiaTheme="minorEastAsia"/>
        </w:rPr>
        <w:t>(</w:t>
      </w:r>
      <w:r w:rsidRPr="001352AB">
        <w:rPr>
          <w:rFonts w:ascii="Sylfaen" w:eastAsiaTheme="minorEastAsia" w:hAnsi="Sylfaen" w:cs="Sylfaen"/>
        </w:rPr>
        <w:t>გაფრქვევა</w:t>
      </w:r>
      <w:r w:rsidRPr="001352AB">
        <w:rPr>
          <w:rFonts w:eastAsiaTheme="minorEastAsia"/>
        </w:rPr>
        <w:t xml:space="preserve"> </w:t>
      </w:r>
      <w:r w:rsidRPr="001352AB">
        <w:rPr>
          <w:rFonts w:ascii="Sylfaen" w:eastAsiaTheme="minorEastAsia" w:hAnsi="Sylfaen" w:cs="Sylfaen"/>
        </w:rPr>
        <w:t>ფანჯრის</w:t>
      </w:r>
      <w:r w:rsidRPr="001352AB">
        <w:rPr>
          <w:rFonts w:eastAsiaTheme="minorEastAsia"/>
        </w:rPr>
        <w:t xml:space="preserve"> </w:t>
      </w:r>
      <w:r w:rsidRPr="001352AB">
        <w:rPr>
          <w:rFonts w:ascii="Sylfaen" w:eastAsiaTheme="minorEastAsia" w:hAnsi="Sylfaen" w:cs="Sylfaen"/>
        </w:rPr>
        <w:t>ან</w:t>
      </w:r>
      <w:r w:rsidRPr="001352AB">
        <w:rPr>
          <w:rFonts w:eastAsiaTheme="minorEastAsia"/>
        </w:rPr>
        <w:t xml:space="preserve"> </w:t>
      </w:r>
      <w:r w:rsidRPr="001352AB">
        <w:rPr>
          <w:rFonts w:ascii="Sylfaen" w:eastAsiaTheme="minorEastAsia" w:hAnsi="Sylfaen" w:cs="Sylfaen"/>
        </w:rPr>
        <w:t>კარების</w:t>
      </w:r>
      <w:r w:rsidRPr="001352AB">
        <w:rPr>
          <w:rFonts w:eastAsiaTheme="minorEastAsia"/>
        </w:rPr>
        <w:t xml:space="preserve"> </w:t>
      </w:r>
      <w:r w:rsidRPr="001352AB">
        <w:rPr>
          <w:rFonts w:ascii="Sylfaen" w:eastAsiaTheme="minorEastAsia" w:hAnsi="Sylfaen" w:cs="Sylfaen"/>
        </w:rPr>
        <w:t>გასასვლელიდან</w:t>
      </w:r>
      <w:r w:rsidRPr="001352AB">
        <w:rPr>
          <w:rFonts w:eastAsiaTheme="minorEastAsia"/>
        </w:rPr>
        <w:t xml:space="preserve">), </w:t>
      </w:r>
      <w:r w:rsidRPr="001352AB">
        <w:rPr>
          <w:rFonts w:ascii="Sylfaen" w:eastAsiaTheme="minorEastAsia" w:hAnsi="Sylfaen" w:cs="Sylfaen"/>
        </w:rPr>
        <w:t>ან</w:t>
      </w:r>
      <w:r w:rsidRPr="001352AB">
        <w:rPr>
          <w:rFonts w:eastAsiaTheme="minorEastAsia"/>
        </w:rPr>
        <w:t xml:space="preserve"> </w:t>
      </w:r>
      <w:r w:rsidRPr="001352AB">
        <w:rPr>
          <w:rFonts w:ascii="Sylfaen" w:eastAsiaTheme="minorEastAsia" w:hAnsi="Sylfaen" w:cs="Sylfaen"/>
        </w:rPr>
        <w:t>გამწოვი</w:t>
      </w:r>
      <w:r w:rsidRPr="001352AB">
        <w:rPr>
          <w:rFonts w:eastAsiaTheme="minorEastAsia"/>
        </w:rPr>
        <w:t xml:space="preserve"> </w:t>
      </w:r>
      <w:r w:rsidRPr="001352AB">
        <w:rPr>
          <w:rFonts w:ascii="Sylfaen" w:eastAsiaTheme="minorEastAsia" w:hAnsi="Sylfaen" w:cs="Sylfaen"/>
        </w:rPr>
        <w:t>სისტემის</w:t>
      </w:r>
      <w:r w:rsidRPr="001352AB">
        <w:rPr>
          <w:rFonts w:eastAsiaTheme="minorEastAsia"/>
        </w:rPr>
        <w:t xml:space="preserve"> </w:t>
      </w:r>
      <w:r w:rsidRPr="001352AB">
        <w:rPr>
          <w:rFonts w:ascii="Sylfaen" w:eastAsiaTheme="minorEastAsia" w:hAnsi="Sylfaen" w:cs="Sylfaen"/>
        </w:rPr>
        <w:t>არ</w:t>
      </w:r>
      <w:r w:rsidRPr="001352AB">
        <w:rPr>
          <w:rFonts w:eastAsiaTheme="minorEastAsia"/>
        </w:rPr>
        <w:t xml:space="preserve"> </w:t>
      </w:r>
      <w:r w:rsidRPr="001352AB">
        <w:rPr>
          <w:rFonts w:ascii="Sylfaen" w:eastAsiaTheme="minorEastAsia" w:hAnsi="Sylfaen" w:cs="Sylfaen"/>
        </w:rPr>
        <w:t>არსებობისას</w:t>
      </w:r>
      <w:r w:rsidRPr="001352AB">
        <w:rPr>
          <w:rFonts w:eastAsiaTheme="minorEastAsia"/>
        </w:rPr>
        <w:t xml:space="preserve">, </w:t>
      </w:r>
      <w:r w:rsidRPr="001352AB">
        <w:rPr>
          <w:rFonts w:ascii="Sylfaen" w:eastAsiaTheme="minorEastAsia" w:hAnsi="Sylfaen" w:cs="Sylfaen"/>
        </w:rPr>
        <w:t>მყარი</w:t>
      </w:r>
      <w:r w:rsidRPr="001352AB">
        <w:rPr>
          <w:rFonts w:eastAsiaTheme="minorEastAsia"/>
        </w:rPr>
        <w:t xml:space="preserve"> </w:t>
      </w:r>
      <w:r w:rsidRPr="001352AB">
        <w:rPr>
          <w:rFonts w:ascii="Sylfaen" w:eastAsiaTheme="minorEastAsia" w:hAnsi="Sylfaen" w:cs="Sylfaen"/>
        </w:rPr>
        <w:t>კომპონენტების</w:t>
      </w:r>
      <w:r w:rsidRPr="001352AB">
        <w:rPr>
          <w:rFonts w:eastAsiaTheme="minorEastAsia"/>
        </w:rPr>
        <w:t xml:space="preserve"> </w:t>
      </w:r>
      <w:r w:rsidRPr="001352AB">
        <w:rPr>
          <w:rFonts w:ascii="Sylfaen" w:eastAsiaTheme="minorEastAsia" w:hAnsi="Sylfaen" w:cs="Sylfaen"/>
        </w:rPr>
        <w:t>გაფრქვევის</w:t>
      </w:r>
      <w:r w:rsidRPr="001352AB">
        <w:rPr>
          <w:rFonts w:eastAsiaTheme="minorEastAsia"/>
        </w:rPr>
        <w:t xml:space="preserve"> </w:t>
      </w:r>
      <w:r w:rsidRPr="001352AB">
        <w:rPr>
          <w:rFonts w:ascii="Sylfaen" w:eastAsiaTheme="minorEastAsia" w:hAnsi="Sylfaen" w:cs="Sylfaen"/>
        </w:rPr>
        <w:t>გაანგარიშებისას</w:t>
      </w:r>
      <w:r w:rsidRPr="001352AB">
        <w:rPr>
          <w:rFonts w:eastAsiaTheme="minorEastAsia"/>
        </w:rPr>
        <w:t xml:space="preserve"> </w:t>
      </w:r>
      <w:r w:rsidRPr="001352AB">
        <w:rPr>
          <w:rFonts w:ascii="Sylfaen" w:eastAsiaTheme="minorEastAsia" w:hAnsi="Sylfaen" w:cs="Sylfaen"/>
        </w:rPr>
        <w:t>ატმოსფერულ</w:t>
      </w:r>
      <w:r w:rsidRPr="001352AB">
        <w:rPr>
          <w:rFonts w:eastAsiaTheme="minorEastAsia"/>
        </w:rPr>
        <w:t xml:space="preserve"> </w:t>
      </w:r>
      <w:r w:rsidRPr="001352AB">
        <w:rPr>
          <w:rFonts w:ascii="Sylfaen" w:eastAsiaTheme="minorEastAsia" w:hAnsi="Sylfaen" w:cs="Sylfaen"/>
        </w:rPr>
        <w:t>ჰაერში</w:t>
      </w:r>
      <w:r w:rsidRPr="001352AB">
        <w:rPr>
          <w:rFonts w:eastAsiaTheme="minorEastAsia"/>
        </w:rPr>
        <w:t xml:space="preserve">, </w:t>
      </w:r>
      <w:r w:rsidRPr="001352AB">
        <w:rPr>
          <w:rFonts w:ascii="Sylfaen" w:eastAsiaTheme="minorEastAsia" w:hAnsi="Sylfaen" w:cs="Sylfaen"/>
        </w:rPr>
        <w:t>მიზანშეწონილია</w:t>
      </w:r>
      <w:r w:rsidRPr="001352AB">
        <w:rPr>
          <w:rFonts w:eastAsiaTheme="minorEastAsia"/>
        </w:rPr>
        <w:t xml:space="preserve"> </w:t>
      </w:r>
      <w:r w:rsidRPr="001352AB">
        <w:rPr>
          <w:rFonts w:ascii="Sylfaen" w:eastAsiaTheme="minorEastAsia" w:hAnsi="Sylfaen" w:cs="Sylfaen"/>
        </w:rPr>
        <w:t>მავნე</w:t>
      </w:r>
      <w:r w:rsidRPr="001352AB">
        <w:rPr>
          <w:rFonts w:eastAsiaTheme="minorEastAsia"/>
        </w:rPr>
        <w:t xml:space="preserve"> </w:t>
      </w:r>
      <w:r w:rsidRPr="001352AB">
        <w:rPr>
          <w:rFonts w:ascii="Sylfaen" w:eastAsiaTheme="minorEastAsia" w:hAnsi="Sylfaen" w:cs="Sylfaen"/>
        </w:rPr>
        <w:t>ნივთიერებების</w:t>
      </w:r>
      <w:r w:rsidRPr="001352AB">
        <w:rPr>
          <w:rFonts w:eastAsiaTheme="minorEastAsia"/>
        </w:rPr>
        <w:t xml:space="preserve"> </w:t>
      </w:r>
      <w:r w:rsidRPr="001352AB">
        <w:rPr>
          <w:rFonts w:ascii="Sylfaen" w:eastAsiaTheme="minorEastAsia" w:hAnsi="Sylfaen" w:cs="Sylfaen"/>
        </w:rPr>
        <w:t>გამოყოფის</w:t>
      </w:r>
      <w:r w:rsidRPr="001352AB">
        <w:rPr>
          <w:rFonts w:eastAsiaTheme="minorEastAsia"/>
        </w:rPr>
        <w:t xml:space="preserve"> </w:t>
      </w:r>
      <w:r w:rsidRPr="001352AB">
        <w:rPr>
          <w:rFonts w:ascii="Sylfaen" w:eastAsiaTheme="minorEastAsia" w:hAnsi="Sylfaen" w:cs="Sylfaen"/>
        </w:rPr>
        <w:t>გაანგარიშების</w:t>
      </w:r>
      <w:r w:rsidRPr="001352AB">
        <w:rPr>
          <w:rFonts w:eastAsiaTheme="minorEastAsia"/>
        </w:rPr>
        <w:t xml:space="preserve"> </w:t>
      </w:r>
      <w:r w:rsidRPr="001352AB">
        <w:rPr>
          <w:rFonts w:ascii="Sylfaen" w:eastAsiaTheme="minorEastAsia" w:hAnsi="Sylfaen" w:cs="Sylfaen"/>
        </w:rPr>
        <w:t>მაჩვენებლის</w:t>
      </w:r>
      <w:r w:rsidRPr="001352AB">
        <w:rPr>
          <w:rFonts w:eastAsiaTheme="minorEastAsia"/>
        </w:rPr>
        <w:t xml:space="preserve"> </w:t>
      </w:r>
      <w:r w:rsidRPr="001352AB">
        <w:rPr>
          <w:rFonts w:ascii="Sylfaen" w:eastAsiaTheme="minorEastAsia" w:hAnsi="Sylfaen" w:cs="Sylfaen"/>
        </w:rPr>
        <w:t>კორექტირება</w:t>
      </w:r>
      <w:r w:rsidRPr="001352AB">
        <w:rPr>
          <w:rFonts w:eastAsiaTheme="minorEastAsia"/>
        </w:rPr>
        <w:t xml:space="preserve"> </w:t>
      </w:r>
      <w:r w:rsidRPr="001352AB">
        <w:rPr>
          <w:rFonts w:ascii="Sylfaen" w:eastAsiaTheme="minorEastAsia" w:hAnsi="Sylfaen" w:cs="Sylfaen"/>
        </w:rPr>
        <w:t>კოეფიციენტით</w:t>
      </w:r>
      <w:r w:rsidRPr="001352AB">
        <w:rPr>
          <w:rFonts w:eastAsiaTheme="minorEastAsia"/>
        </w:rPr>
        <w:t>- 0,4.</w:t>
      </w:r>
    </w:p>
    <w:p w14:paraId="1DADDDB8"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ემისიის</w:t>
      </w:r>
      <w:r w:rsidRPr="001352AB">
        <w:rPr>
          <w:rFonts w:eastAsiaTheme="minorEastAsia"/>
        </w:rPr>
        <w:t xml:space="preserve"> </w:t>
      </w:r>
      <w:r w:rsidRPr="001352AB">
        <w:rPr>
          <w:rFonts w:ascii="Sylfaen" w:eastAsiaTheme="minorEastAsia" w:hAnsi="Sylfaen" w:cs="Sylfaen"/>
        </w:rPr>
        <w:t>კორექტირებისას</w:t>
      </w:r>
      <w:r w:rsidRPr="001352AB">
        <w:rPr>
          <w:rFonts w:eastAsiaTheme="minorEastAsia"/>
        </w:rPr>
        <w:t xml:space="preserve"> </w:t>
      </w:r>
      <w:r w:rsidRPr="001352AB">
        <w:rPr>
          <w:rFonts w:ascii="Sylfaen" w:eastAsiaTheme="minorEastAsia" w:hAnsi="Sylfaen" w:cs="Sylfaen"/>
        </w:rPr>
        <w:t>გაანგარიშებული</w:t>
      </w:r>
      <w:r w:rsidRPr="001352AB">
        <w:rPr>
          <w:rFonts w:eastAsiaTheme="minorEastAsia"/>
        </w:rPr>
        <w:t xml:space="preserve"> </w:t>
      </w:r>
      <w:r w:rsidRPr="001352AB">
        <w:rPr>
          <w:rFonts w:ascii="Sylfaen" w:eastAsiaTheme="minorEastAsia" w:hAnsi="Sylfaen" w:cs="Sylfaen"/>
        </w:rPr>
        <w:t>მრავლდება</w:t>
      </w:r>
      <w:r w:rsidRPr="001352AB">
        <w:rPr>
          <w:rFonts w:eastAsiaTheme="minorEastAsia"/>
        </w:rPr>
        <w:t xml:space="preserve"> 0,4 </w:t>
      </w:r>
      <w:r w:rsidRPr="001352AB">
        <w:rPr>
          <w:rFonts w:ascii="Sylfaen" w:eastAsiaTheme="minorEastAsia" w:hAnsi="Sylfaen" w:cs="Sylfaen"/>
        </w:rPr>
        <w:t>კოეფიციენტზე</w:t>
      </w:r>
      <w:r w:rsidRPr="001352AB">
        <w:rPr>
          <w:rFonts w:eastAsiaTheme="minorEastAsia"/>
        </w:rPr>
        <w:t>:</w:t>
      </w:r>
    </w:p>
    <w:p w14:paraId="321FA3B3"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არაორგანული</w:t>
      </w:r>
      <w:r w:rsidRPr="001352AB">
        <w:rPr>
          <w:rFonts w:eastAsiaTheme="minorEastAsia"/>
        </w:rPr>
        <w:t xml:space="preserve"> </w:t>
      </w:r>
      <w:r w:rsidRPr="001352AB">
        <w:rPr>
          <w:rFonts w:ascii="Sylfaen" w:eastAsiaTheme="minorEastAsia" w:hAnsi="Sylfaen" w:cs="Sylfaen"/>
        </w:rPr>
        <w:t>მტვერი</w:t>
      </w:r>
      <w:r w:rsidRPr="001352AB">
        <w:rPr>
          <w:rFonts w:eastAsiaTheme="minorEastAsia"/>
        </w:rPr>
        <w:t>:</w:t>
      </w:r>
    </w:p>
    <w:p w14:paraId="02D7EB4A" w14:textId="77777777" w:rsidR="00CD64B5" w:rsidRPr="001352AB" w:rsidRDefault="00CD64B5" w:rsidP="00CD64B5">
      <w:pPr>
        <w:spacing w:before="120" w:after="120"/>
        <w:rPr>
          <w:rFonts w:eastAsiaTheme="minorEastAsia"/>
        </w:rPr>
      </w:pPr>
      <w:r w:rsidRPr="001352AB">
        <w:rPr>
          <w:rFonts w:eastAsiaTheme="minorEastAsia"/>
        </w:rPr>
        <w:t xml:space="preserve">0.21875  × 0,4 = 0,0875 </w:t>
      </w:r>
      <w:r w:rsidRPr="001352AB">
        <w:rPr>
          <w:rFonts w:ascii="Sylfaen" w:eastAsiaTheme="minorEastAsia" w:hAnsi="Sylfaen" w:cs="Sylfaen"/>
        </w:rPr>
        <w:t>გ</w:t>
      </w:r>
      <w:r w:rsidRPr="001352AB">
        <w:rPr>
          <w:rFonts w:eastAsiaTheme="minorEastAsia"/>
        </w:rPr>
        <w:t>/</w:t>
      </w:r>
      <w:r w:rsidRPr="001352AB">
        <w:rPr>
          <w:rFonts w:ascii="Sylfaen" w:eastAsiaTheme="minorEastAsia" w:hAnsi="Sylfaen" w:cs="Sylfaen"/>
        </w:rPr>
        <w:t>წმ</w:t>
      </w:r>
      <w:r w:rsidRPr="001352AB">
        <w:rPr>
          <w:rFonts w:eastAsiaTheme="minorEastAsia"/>
        </w:rPr>
        <w:t xml:space="preserve">; </w:t>
      </w:r>
    </w:p>
    <w:p w14:paraId="306A2085" w14:textId="77777777" w:rsidR="00CD64B5" w:rsidRPr="001352AB" w:rsidRDefault="00CD64B5" w:rsidP="00CD64B5">
      <w:pPr>
        <w:spacing w:before="120" w:after="120"/>
        <w:rPr>
          <w:rFonts w:eastAsiaTheme="minorEastAsia"/>
        </w:rPr>
      </w:pPr>
      <w:r w:rsidRPr="001352AB">
        <w:rPr>
          <w:rFonts w:eastAsiaTheme="minorEastAsia"/>
        </w:rPr>
        <w:t xml:space="preserve">2,52  × 0,4 = 1,26 </w:t>
      </w:r>
      <w:r w:rsidRPr="001352AB">
        <w:rPr>
          <w:rFonts w:ascii="Sylfaen" w:eastAsiaTheme="minorEastAsia" w:hAnsi="Sylfaen" w:cs="Sylfaen"/>
        </w:rPr>
        <w:t>ტ</w:t>
      </w:r>
      <w:r w:rsidRPr="001352AB">
        <w:rPr>
          <w:rFonts w:eastAsiaTheme="minorEastAsia"/>
        </w:rPr>
        <w:t>/</w:t>
      </w:r>
      <w:r w:rsidRPr="001352AB">
        <w:rPr>
          <w:rFonts w:ascii="Sylfaen" w:eastAsiaTheme="minorEastAsia" w:hAnsi="Sylfaen" w:cs="Sylfaen"/>
        </w:rPr>
        <w:t>წელ</w:t>
      </w:r>
      <w:r w:rsidRPr="001352AB">
        <w:rPr>
          <w:rFonts w:eastAsiaTheme="minorEastAsia"/>
        </w:rPr>
        <w:t xml:space="preserve">. </w:t>
      </w:r>
    </w:p>
    <w:p w14:paraId="726E4F5B" w14:textId="77777777" w:rsidR="00CD64B5" w:rsidRPr="001352AB" w:rsidRDefault="00CD64B5" w:rsidP="00CD64B5">
      <w:pPr>
        <w:spacing w:before="120" w:after="120"/>
        <w:rPr>
          <w:rFonts w:eastAsiaTheme="minorEastAsia"/>
        </w:rPr>
      </w:pPr>
      <w:bookmarkStart w:id="255" w:name="_Toc419823073"/>
      <w:r w:rsidRPr="001352AB">
        <w:rPr>
          <w:rFonts w:ascii="Sylfaen" w:eastAsiaTheme="majorEastAsia" w:hAnsi="Sylfaen" w:cs="Sylfaen"/>
        </w:rPr>
        <w:lastRenderedPageBreak/>
        <w:t>ემისიის</w:t>
      </w:r>
      <w:r w:rsidRPr="001352AB">
        <w:rPr>
          <w:rFonts w:eastAsiaTheme="majorEastAsia"/>
        </w:rPr>
        <w:t xml:space="preserve"> </w:t>
      </w:r>
      <w:r w:rsidRPr="001352AB">
        <w:rPr>
          <w:rFonts w:ascii="Sylfaen" w:eastAsiaTheme="majorEastAsia" w:hAnsi="Sylfaen" w:cs="Sylfaen"/>
        </w:rPr>
        <w:t>გაანგარიშება</w:t>
      </w:r>
      <w:r w:rsidRPr="001352AB">
        <w:rPr>
          <w:rFonts w:eastAsiaTheme="majorEastAsia"/>
        </w:rPr>
        <w:t xml:space="preserve"> </w:t>
      </w:r>
      <w:r w:rsidRPr="001352AB">
        <w:rPr>
          <w:rFonts w:ascii="Sylfaen" w:eastAsiaTheme="majorEastAsia" w:hAnsi="Sylfaen" w:cs="Sylfaen"/>
        </w:rPr>
        <w:t>სამშენებლო</w:t>
      </w:r>
      <w:r w:rsidRPr="001352AB">
        <w:rPr>
          <w:rFonts w:eastAsiaTheme="majorEastAsia"/>
        </w:rPr>
        <w:t>-</w:t>
      </w:r>
      <w:r w:rsidRPr="001352AB">
        <w:rPr>
          <w:rFonts w:ascii="Sylfaen" w:eastAsiaTheme="majorEastAsia" w:hAnsi="Sylfaen" w:cs="Sylfaen"/>
        </w:rPr>
        <w:t>მანქანიდან</w:t>
      </w:r>
      <w:r w:rsidRPr="001352AB">
        <w:rPr>
          <w:rFonts w:eastAsiaTheme="majorEastAsia"/>
        </w:rPr>
        <w:t>(</w:t>
      </w:r>
      <w:r w:rsidRPr="001352AB">
        <w:rPr>
          <w:rFonts w:ascii="Sylfaen" w:eastAsiaTheme="majorEastAsia" w:hAnsi="Sylfaen" w:cs="Sylfaen"/>
        </w:rPr>
        <w:t>ექსკავატორი</w:t>
      </w:r>
      <w:r w:rsidRPr="001352AB">
        <w:rPr>
          <w:rFonts w:eastAsiaTheme="majorEastAsia"/>
        </w:rPr>
        <w:t>) (</w:t>
      </w:r>
      <w:r w:rsidRPr="001352AB">
        <w:rPr>
          <w:rFonts w:ascii="Sylfaen" w:eastAsiaTheme="majorEastAsia" w:hAnsi="Sylfaen" w:cs="Sylfaen"/>
        </w:rPr>
        <w:t>გ</w:t>
      </w:r>
      <w:r w:rsidRPr="001352AB">
        <w:rPr>
          <w:rFonts w:eastAsiaTheme="majorEastAsia"/>
        </w:rPr>
        <w:t>-5)</w:t>
      </w:r>
      <w:bookmarkEnd w:id="255"/>
    </w:p>
    <w:p w14:paraId="0CE73A04" w14:textId="77777777" w:rsidR="00CD64B5" w:rsidRPr="001352AB" w:rsidRDefault="00CD64B5" w:rsidP="00CD64B5">
      <w:pPr>
        <w:spacing w:before="120" w:after="120"/>
        <w:rPr>
          <w:rFonts w:eastAsiaTheme="minorEastAsia"/>
        </w:rPr>
      </w:pP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გამოყოფის</w:t>
      </w:r>
      <w:r w:rsidRPr="001352AB">
        <w:t xml:space="preserve"> </w:t>
      </w:r>
      <w:r w:rsidRPr="001352AB">
        <w:rPr>
          <w:rFonts w:ascii="Sylfaen" w:hAnsi="Sylfaen" w:cs="Sylfaen"/>
        </w:rPr>
        <w:t>წყაროს</w:t>
      </w:r>
      <w:r w:rsidRPr="001352AB">
        <w:t xml:space="preserve"> </w:t>
      </w:r>
      <w:r w:rsidRPr="001352AB">
        <w:rPr>
          <w:rFonts w:ascii="Sylfaen" w:hAnsi="Sylfaen" w:cs="Sylfaen"/>
        </w:rPr>
        <w:t>წარმოადგენს</w:t>
      </w:r>
      <w:r w:rsidRPr="001352AB">
        <w:t xml:space="preserve"> </w:t>
      </w:r>
      <w:r w:rsidRPr="001352AB">
        <w:rPr>
          <w:rFonts w:ascii="Sylfaen" w:hAnsi="Sylfaen" w:cs="Sylfaen"/>
        </w:rPr>
        <w:t>საგზაო</w:t>
      </w:r>
      <w:r w:rsidRPr="001352AB">
        <w:t>-</w:t>
      </w:r>
      <w:r w:rsidRPr="001352AB">
        <w:rPr>
          <w:rFonts w:ascii="Sylfaen" w:hAnsi="Sylfaen" w:cs="Sylfaen"/>
        </w:rPr>
        <w:t>სამშენებლო</w:t>
      </w:r>
      <w:r w:rsidRPr="001352AB">
        <w:t xml:space="preserve"> </w:t>
      </w:r>
      <w:r w:rsidRPr="001352AB">
        <w:rPr>
          <w:rFonts w:ascii="Sylfaen" w:hAnsi="Sylfaen" w:cs="Sylfaen"/>
        </w:rPr>
        <w:t>მანქანების</w:t>
      </w:r>
      <w:r w:rsidRPr="001352AB">
        <w:t xml:space="preserve"> </w:t>
      </w:r>
      <w:r w:rsidRPr="001352AB">
        <w:rPr>
          <w:rFonts w:ascii="Sylfaen" w:hAnsi="Sylfaen" w:cs="Sylfaen"/>
        </w:rPr>
        <w:t>ძრავები</w:t>
      </w:r>
      <w:r w:rsidRPr="001352AB">
        <w:t xml:space="preserve"> </w:t>
      </w:r>
      <w:r w:rsidRPr="001352AB">
        <w:rPr>
          <w:rFonts w:ascii="Sylfaen" w:hAnsi="Sylfaen" w:cs="Sylfaen"/>
        </w:rPr>
        <w:t>მუშაობისას</w:t>
      </w:r>
      <w:r w:rsidRPr="001352AB">
        <w:t xml:space="preserve"> </w:t>
      </w:r>
      <w:r w:rsidRPr="001352AB">
        <w:rPr>
          <w:rFonts w:ascii="Sylfaen" w:hAnsi="Sylfaen" w:cs="Sylfaen"/>
        </w:rPr>
        <w:t>დატვირთვისა</w:t>
      </w:r>
      <w:r w:rsidRPr="001352AB">
        <w:t xml:space="preserve"> </w:t>
      </w:r>
      <w:r w:rsidRPr="001352AB">
        <w:rPr>
          <w:rFonts w:ascii="Sylfaen" w:hAnsi="Sylfaen" w:cs="Sylfaen"/>
        </w:rPr>
        <w:t>და</w:t>
      </w:r>
      <w:r w:rsidRPr="001352AB">
        <w:t xml:space="preserve"> </w:t>
      </w:r>
      <w:r w:rsidRPr="001352AB">
        <w:rPr>
          <w:rFonts w:ascii="Sylfaen" w:hAnsi="Sylfaen" w:cs="Sylfaen"/>
        </w:rPr>
        <w:t>უქმი</w:t>
      </w:r>
      <w:r w:rsidRPr="001352AB">
        <w:t xml:space="preserve"> </w:t>
      </w:r>
      <w:r w:rsidRPr="001352AB">
        <w:rPr>
          <w:rFonts w:ascii="Sylfaen" w:hAnsi="Sylfaen" w:cs="Sylfaen"/>
        </w:rPr>
        <w:t>სვლის</w:t>
      </w:r>
      <w:r w:rsidRPr="001352AB">
        <w:t xml:space="preserve"> </w:t>
      </w:r>
      <w:r w:rsidRPr="001352AB">
        <w:rPr>
          <w:rFonts w:ascii="Sylfaen" w:hAnsi="Sylfaen" w:cs="Sylfaen"/>
        </w:rPr>
        <w:t>რეჟიმში</w:t>
      </w:r>
      <w:r w:rsidRPr="001352AB">
        <w:t xml:space="preserve">. </w:t>
      </w:r>
      <w:r w:rsidRPr="001352AB">
        <w:rPr>
          <w:rFonts w:ascii="Sylfaen" w:hAnsi="Sylfaen" w:cs="Sylfaen"/>
        </w:rPr>
        <w:t>გაანგარიშება</w:t>
      </w:r>
      <w:r w:rsidRPr="001352AB">
        <w:t xml:space="preserve"> </w:t>
      </w:r>
      <w:r w:rsidRPr="001352AB">
        <w:rPr>
          <w:rFonts w:ascii="Sylfaen" w:hAnsi="Sylfaen" w:cs="Sylfaen"/>
        </w:rPr>
        <w:t>შესრულებულია</w:t>
      </w:r>
      <w:r w:rsidRPr="001352AB">
        <w:t xml:space="preserve"> </w:t>
      </w:r>
      <w:r w:rsidRPr="001352AB">
        <w:rPr>
          <w:rFonts w:ascii="Sylfaen" w:hAnsi="Sylfaen" w:cs="Sylfaen"/>
        </w:rPr>
        <w:t>შემდეგი</w:t>
      </w:r>
      <w:r w:rsidRPr="001352AB">
        <w:t xml:space="preserve"> </w:t>
      </w:r>
      <w:r w:rsidRPr="001352AB">
        <w:rPr>
          <w:rFonts w:ascii="Sylfaen" w:hAnsi="Sylfaen" w:cs="Sylfaen"/>
        </w:rPr>
        <w:t>მეთოდური</w:t>
      </w:r>
      <w:r w:rsidRPr="001352AB">
        <w:t xml:space="preserve"> </w:t>
      </w:r>
      <w:r w:rsidRPr="001352AB">
        <w:rPr>
          <w:rFonts w:ascii="Sylfaen" w:hAnsi="Sylfaen" w:cs="Sylfaen"/>
        </w:rPr>
        <w:t>მითითებების</w:t>
      </w:r>
      <w:r w:rsidRPr="001352AB">
        <w:t xml:space="preserve"> </w:t>
      </w:r>
      <w:r w:rsidRPr="001352AB">
        <w:rPr>
          <w:rFonts w:ascii="Sylfaen" w:hAnsi="Sylfaen" w:cs="Sylfaen"/>
        </w:rPr>
        <w:t>თანახმად</w:t>
      </w:r>
      <w:r w:rsidRPr="001352AB">
        <w:t xml:space="preserve"> [4,5]. </w:t>
      </w: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რაოდენობრივი</w:t>
      </w:r>
      <w:r w:rsidRPr="001352AB">
        <w:t xml:space="preserve"> </w:t>
      </w:r>
      <w:r w:rsidRPr="001352AB">
        <w:rPr>
          <w:rFonts w:ascii="Sylfaen" w:hAnsi="Sylfaen" w:cs="Sylfaen"/>
        </w:rPr>
        <w:t>და</w:t>
      </w:r>
      <w:r w:rsidRPr="001352AB">
        <w:t xml:space="preserve"> </w:t>
      </w:r>
      <w:r w:rsidRPr="001352AB">
        <w:rPr>
          <w:rFonts w:ascii="Sylfaen" w:hAnsi="Sylfaen" w:cs="Sylfaen"/>
        </w:rPr>
        <w:t>თვისობრივი</w:t>
      </w:r>
      <w:r w:rsidRPr="001352AB">
        <w:t xml:space="preserve"> </w:t>
      </w:r>
      <w:r w:rsidRPr="001352AB">
        <w:rPr>
          <w:rFonts w:ascii="Sylfaen" w:hAnsi="Sylfaen" w:cs="Sylfaen"/>
        </w:rPr>
        <w:t>მახასიათებლები</w:t>
      </w:r>
      <w:r w:rsidRPr="001352AB">
        <w:t xml:space="preserve"> </w:t>
      </w:r>
      <w:r w:rsidRPr="001352AB">
        <w:rPr>
          <w:rFonts w:ascii="Sylfaen" w:hAnsi="Sylfaen" w:cs="Sylfaen"/>
        </w:rPr>
        <w:t>საგზაო</w:t>
      </w:r>
      <w:r w:rsidRPr="001352AB">
        <w:t>-</w:t>
      </w:r>
      <w:r w:rsidRPr="001352AB">
        <w:rPr>
          <w:rFonts w:ascii="Sylfaen" w:hAnsi="Sylfaen" w:cs="Sylfaen"/>
        </w:rPr>
        <w:t>სამშენებლო</w:t>
      </w:r>
      <w:r w:rsidRPr="001352AB">
        <w:t xml:space="preserve"> </w:t>
      </w:r>
      <w:r w:rsidRPr="001352AB">
        <w:rPr>
          <w:rFonts w:ascii="Sylfaen" w:hAnsi="Sylfaen" w:cs="Sylfaen"/>
        </w:rPr>
        <w:t>მანქანებიდან</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ცხრილში</w:t>
      </w:r>
      <w:r w:rsidRPr="001352AB">
        <w:t xml:space="preserve"> 7.1-5. </w:t>
      </w:r>
    </w:p>
    <w:p w14:paraId="1DA96AEB" w14:textId="77777777" w:rsidR="00CD64B5" w:rsidRPr="001352AB" w:rsidRDefault="00CD64B5" w:rsidP="00CD64B5">
      <w:pPr>
        <w:spacing w:before="120" w:after="120"/>
      </w:pPr>
      <w:bookmarkStart w:id="256" w:name="_Toc436594166"/>
      <w:r w:rsidRPr="001352AB">
        <w:rPr>
          <w:rFonts w:ascii="Sylfaen" w:hAnsi="Sylfaen" w:cs="Sylfaen"/>
        </w:rPr>
        <w:t>ცხრილი</w:t>
      </w:r>
      <w:r w:rsidRPr="001352AB">
        <w:t xml:space="preserve"> 7.1-5.</w:t>
      </w:r>
      <w:r w:rsidRPr="001352AB">
        <w:tab/>
      </w: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რაოდენობრივი</w:t>
      </w:r>
      <w:r w:rsidRPr="001352AB">
        <w:t xml:space="preserve"> </w:t>
      </w:r>
      <w:r w:rsidRPr="001352AB">
        <w:rPr>
          <w:rFonts w:ascii="Sylfaen" w:hAnsi="Sylfaen" w:cs="Sylfaen"/>
        </w:rPr>
        <w:t>და</w:t>
      </w:r>
      <w:r w:rsidRPr="001352AB">
        <w:t xml:space="preserve"> </w:t>
      </w:r>
      <w:r w:rsidRPr="001352AB">
        <w:rPr>
          <w:rFonts w:ascii="Sylfaen" w:hAnsi="Sylfaen" w:cs="Sylfaen"/>
        </w:rPr>
        <w:t>თვისობრივი</w:t>
      </w:r>
      <w:r w:rsidRPr="001352AB">
        <w:t xml:space="preserve"> </w:t>
      </w:r>
      <w:r w:rsidRPr="001352AB">
        <w:rPr>
          <w:rFonts w:ascii="Sylfaen" w:hAnsi="Sylfaen" w:cs="Sylfaen"/>
        </w:rPr>
        <w:t>მახასიათებლები</w:t>
      </w:r>
      <w:r w:rsidRPr="001352AB">
        <w:t xml:space="preserve"> </w:t>
      </w:r>
      <w:r w:rsidRPr="001352AB">
        <w:rPr>
          <w:rFonts w:ascii="Sylfaen" w:hAnsi="Sylfaen" w:cs="Sylfaen"/>
        </w:rPr>
        <w:t>საგზაო</w:t>
      </w:r>
      <w:r w:rsidRPr="001352AB">
        <w:t>-</w:t>
      </w:r>
      <w:r w:rsidRPr="001352AB">
        <w:rPr>
          <w:rFonts w:ascii="Sylfaen" w:hAnsi="Sylfaen" w:cs="Sylfaen"/>
        </w:rPr>
        <w:t>სამშენებლო</w:t>
      </w:r>
      <w:r w:rsidRPr="001352AB">
        <w:t xml:space="preserve"> </w:t>
      </w:r>
      <w:r w:rsidRPr="001352AB">
        <w:rPr>
          <w:rFonts w:ascii="Sylfaen" w:hAnsi="Sylfaen" w:cs="Sylfaen"/>
        </w:rPr>
        <w:t>მანქანებიდან</w:t>
      </w:r>
      <w:bookmarkEnd w:id="256"/>
    </w:p>
    <w:tbl>
      <w:tblPr>
        <w:tblW w:w="5000" w:type="pct"/>
        <w:jc w:val="center"/>
        <w:tblLook w:val="04A0" w:firstRow="1" w:lastRow="0" w:firstColumn="1" w:lastColumn="0" w:noHBand="0" w:noVBand="1"/>
      </w:tblPr>
      <w:tblGrid>
        <w:gridCol w:w="891"/>
        <w:gridCol w:w="4747"/>
        <w:gridCol w:w="2374"/>
        <w:gridCol w:w="2371"/>
      </w:tblGrid>
      <w:tr w:rsidR="00CD64B5" w:rsidRPr="001352AB" w14:paraId="46132C0B" w14:textId="77777777" w:rsidTr="00CD64B5">
        <w:trPr>
          <w:cantSplit/>
          <w:trHeight w:val="266"/>
          <w:tblHeader/>
          <w:jc w:val="center"/>
        </w:trPr>
        <w:tc>
          <w:tcPr>
            <w:tcW w:w="2715" w:type="pct"/>
            <w:gridSpan w:val="2"/>
            <w:tcBorders>
              <w:top w:val="single" w:sz="8" w:space="0" w:color="auto"/>
              <w:left w:val="single" w:sz="6" w:space="0" w:color="auto"/>
              <w:bottom w:val="single" w:sz="4" w:space="0" w:color="000000"/>
              <w:right w:val="single" w:sz="4" w:space="0" w:color="000000"/>
            </w:tcBorders>
            <w:shd w:val="clear" w:color="auto" w:fill="D9D9D9" w:themeFill="background1" w:themeFillShade="D9"/>
            <w:vAlign w:val="center"/>
            <w:hideMark/>
          </w:tcPr>
          <w:p w14:paraId="07778D72" w14:textId="77777777" w:rsidR="00CD64B5" w:rsidRPr="001352AB" w:rsidRDefault="00CD64B5" w:rsidP="00CD64B5">
            <w:pPr>
              <w:rPr>
                <w:lang w:eastAsia="en-US"/>
              </w:rPr>
            </w:pPr>
            <w:r w:rsidRPr="001352AB">
              <w:rPr>
                <w:rFonts w:ascii="Sylfaen" w:hAnsi="Sylfaen" w:cs="Sylfaen"/>
              </w:rPr>
              <w:t>დამაბინძურებელი</w:t>
            </w:r>
            <w:r w:rsidRPr="001352AB">
              <w:t xml:space="preserve"> </w:t>
            </w:r>
            <w:r w:rsidRPr="001352AB">
              <w:rPr>
                <w:rFonts w:ascii="Sylfaen" w:hAnsi="Sylfaen" w:cs="Sylfaen"/>
              </w:rPr>
              <w:t>ნივთიერება</w:t>
            </w:r>
          </w:p>
        </w:tc>
        <w:tc>
          <w:tcPr>
            <w:tcW w:w="1143" w:type="pct"/>
            <w:vMerge w:val="restart"/>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14:paraId="1079FA40" w14:textId="77777777" w:rsidR="00CD64B5" w:rsidRPr="001352AB" w:rsidRDefault="00CD64B5" w:rsidP="00CD64B5">
            <w:r w:rsidRPr="001352AB">
              <w:rPr>
                <w:rFonts w:ascii="Sylfaen" w:hAnsi="Sylfaen" w:cs="Sylfaen"/>
              </w:rPr>
              <w:t>მაქსიმალური</w:t>
            </w:r>
            <w:r w:rsidRPr="001352AB">
              <w:t xml:space="preserve"> </w:t>
            </w:r>
            <w:r w:rsidRPr="001352AB">
              <w:rPr>
                <w:rFonts w:ascii="Sylfaen" w:hAnsi="Sylfaen" w:cs="Sylfaen"/>
              </w:rPr>
              <w:t>ემისია</w:t>
            </w:r>
            <w:r w:rsidRPr="001352AB">
              <w:t xml:space="preserve">, </w:t>
            </w:r>
            <w:r w:rsidRPr="001352AB">
              <w:rPr>
                <w:rFonts w:ascii="Sylfaen" w:hAnsi="Sylfaen" w:cs="Sylfaen"/>
              </w:rPr>
              <w:t>გ</w:t>
            </w:r>
            <w:r w:rsidRPr="001352AB">
              <w:t>/</w:t>
            </w:r>
            <w:r w:rsidRPr="001352AB">
              <w:rPr>
                <w:rFonts w:ascii="Sylfaen" w:hAnsi="Sylfaen" w:cs="Sylfaen"/>
              </w:rPr>
              <w:t>წმ</w:t>
            </w:r>
          </w:p>
        </w:tc>
        <w:tc>
          <w:tcPr>
            <w:tcW w:w="1143" w:type="pct"/>
            <w:vMerge w:val="restart"/>
            <w:tcBorders>
              <w:top w:val="single" w:sz="8" w:space="0" w:color="auto"/>
              <w:left w:val="single" w:sz="4" w:space="0" w:color="000000"/>
              <w:bottom w:val="single" w:sz="8" w:space="0" w:color="auto"/>
              <w:right w:val="single" w:sz="6" w:space="0" w:color="auto"/>
            </w:tcBorders>
            <w:shd w:val="clear" w:color="auto" w:fill="D9D9D9" w:themeFill="background1" w:themeFillShade="D9"/>
            <w:vAlign w:val="center"/>
            <w:hideMark/>
          </w:tcPr>
          <w:p w14:paraId="328226B1" w14:textId="77777777" w:rsidR="00CD64B5" w:rsidRPr="001352AB" w:rsidRDefault="00CD64B5" w:rsidP="00CD64B5">
            <w:r w:rsidRPr="001352AB">
              <w:rPr>
                <w:rFonts w:ascii="Sylfaen" w:hAnsi="Sylfaen" w:cs="Sylfaen"/>
              </w:rPr>
              <w:t>წლიური</w:t>
            </w:r>
            <w:r w:rsidRPr="001352AB">
              <w:t xml:space="preserve"> </w:t>
            </w:r>
            <w:r w:rsidRPr="001352AB">
              <w:rPr>
                <w:rFonts w:ascii="Sylfaen" w:hAnsi="Sylfaen" w:cs="Sylfaen"/>
              </w:rPr>
              <w:t>ემისია</w:t>
            </w:r>
            <w:r w:rsidRPr="001352AB">
              <w:t xml:space="preserve">, </w:t>
            </w:r>
            <w:r w:rsidRPr="001352AB">
              <w:rPr>
                <w:rFonts w:ascii="Sylfaen" w:hAnsi="Sylfaen" w:cs="Sylfaen"/>
              </w:rPr>
              <w:t>ტ</w:t>
            </w:r>
            <w:r w:rsidRPr="001352AB">
              <w:t>/</w:t>
            </w:r>
            <w:r w:rsidRPr="001352AB">
              <w:rPr>
                <w:rFonts w:ascii="Sylfaen" w:hAnsi="Sylfaen" w:cs="Sylfaen"/>
              </w:rPr>
              <w:t>წელ</w:t>
            </w:r>
          </w:p>
        </w:tc>
      </w:tr>
      <w:tr w:rsidR="00CD64B5" w:rsidRPr="001352AB" w14:paraId="6848CAF3" w14:textId="77777777" w:rsidTr="00CD64B5">
        <w:trPr>
          <w:cantSplit/>
          <w:trHeight w:val="252"/>
          <w:tblHeader/>
          <w:jc w:val="center"/>
        </w:trPr>
        <w:tc>
          <w:tcPr>
            <w:tcW w:w="429" w:type="pct"/>
            <w:tcBorders>
              <w:top w:val="single" w:sz="4" w:space="0" w:color="000000"/>
              <w:left w:val="single" w:sz="6" w:space="0" w:color="auto"/>
              <w:bottom w:val="single" w:sz="8" w:space="0" w:color="auto"/>
              <w:right w:val="single" w:sz="4" w:space="0" w:color="000000"/>
            </w:tcBorders>
            <w:shd w:val="clear" w:color="auto" w:fill="D9D9D9" w:themeFill="background1" w:themeFillShade="D9"/>
            <w:vAlign w:val="center"/>
            <w:hideMark/>
          </w:tcPr>
          <w:p w14:paraId="688D705E" w14:textId="77777777" w:rsidR="00CD64B5" w:rsidRPr="001352AB" w:rsidRDefault="00CD64B5" w:rsidP="00CD64B5">
            <w:r w:rsidRPr="001352AB">
              <w:rPr>
                <w:rFonts w:ascii="Sylfaen" w:hAnsi="Sylfaen" w:cs="Sylfaen"/>
              </w:rPr>
              <w:t>კოდი</w:t>
            </w:r>
          </w:p>
        </w:tc>
        <w:tc>
          <w:tcPr>
            <w:tcW w:w="2286" w:type="pc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14:paraId="151CC634" w14:textId="77777777" w:rsidR="00CD64B5" w:rsidRPr="001352AB" w:rsidRDefault="00CD64B5" w:rsidP="00CD64B5">
            <w:r w:rsidRPr="001352AB">
              <w:rPr>
                <w:rFonts w:ascii="Sylfaen" w:hAnsi="Sylfaen" w:cs="Sylfaen"/>
              </w:rPr>
              <w:t>დასახელება</w:t>
            </w:r>
          </w:p>
        </w:tc>
        <w:tc>
          <w:tcPr>
            <w:tcW w:w="0" w:type="auto"/>
            <w:vMerge/>
            <w:tcBorders>
              <w:top w:val="single" w:sz="8" w:space="0" w:color="auto"/>
              <w:left w:val="single" w:sz="4" w:space="0" w:color="000000"/>
              <w:bottom w:val="single" w:sz="8" w:space="0" w:color="auto"/>
              <w:right w:val="single" w:sz="4" w:space="0" w:color="000000"/>
            </w:tcBorders>
            <w:vAlign w:val="center"/>
            <w:hideMark/>
          </w:tcPr>
          <w:p w14:paraId="0BEC7CA1" w14:textId="77777777" w:rsidR="00CD64B5" w:rsidRPr="001352AB" w:rsidRDefault="00CD64B5" w:rsidP="00CD64B5">
            <w:pPr>
              <w:rPr>
                <w:rFonts w:eastAsiaTheme="minorHAnsi"/>
              </w:rPr>
            </w:pPr>
          </w:p>
        </w:tc>
        <w:tc>
          <w:tcPr>
            <w:tcW w:w="0" w:type="auto"/>
            <w:vMerge/>
            <w:tcBorders>
              <w:top w:val="single" w:sz="8" w:space="0" w:color="auto"/>
              <w:left w:val="single" w:sz="4" w:space="0" w:color="000000"/>
              <w:bottom w:val="single" w:sz="8" w:space="0" w:color="auto"/>
              <w:right w:val="single" w:sz="6" w:space="0" w:color="auto"/>
            </w:tcBorders>
            <w:vAlign w:val="center"/>
            <w:hideMark/>
          </w:tcPr>
          <w:p w14:paraId="0A75E7C3" w14:textId="77777777" w:rsidR="00CD64B5" w:rsidRPr="001352AB" w:rsidRDefault="00CD64B5" w:rsidP="00CD64B5">
            <w:pPr>
              <w:rPr>
                <w:rFonts w:eastAsiaTheme="minorHAnsi"/>
              </w:rPr>
            </w:pPr>
          </w:p>
        </w:tc>
      </w:tr>
      <w:tr w:rsidR="00CD64B5" w:rsidRPr="001352AB" w14:paraId="270FA795" w14:textId="77777777" w:rsidTr="00CD64B5">
        <w:trPr>
          <w:trHeight w:val="266"/>
          <w:jc w:val="center"/>
        </w:trPr>
        <w:tc>
          <w:tcPr>
            <w:tcW w:w="429" w:type="pct"/>
            <w:tcBorders>
              <w:top w:val="single" w:sz="4" w:space="0" w:color="000000"/>
              <w:left w:val="single" w:sz="6" w:space="0" w:color="auto"/>
              <w:bottom w:val="single" w:sz="4" w:space="0" w:color="000000"/>
              <w:right w:val="single" w:sz="4" w:space="0" w:color="000000"/>
            </w:tcBorders>
            <w:hideMark/>
          </w:tcPr>
          <w:p w14:paraId="4B9EC570" w14:textId="77777777" w:rsidR="00CD64B5" w:rsidRPr="001352AB" w:rsidRDefault="00CD64B5" w:rsidP="00CD64B5">
            <w:r w:rsidRPr="001352AB">
              <w:t>301</w:t>
            </w:r>
          </w:p>
        </w:tc>
        <w:tc>
          <w:tcPr>
            <w:tcW w:w="2286" w:type="pct"/>
            <w:tcBorders>
              <w:top w:val="single" w:sz="4" w:space="0" w:color="000000"/>
              <w:left w:val="single" w:sz="4" w:space="0" w:color="000000"/>
              <w:bottom w:val="single" w:sz="4" w:space="0" w:color="000000"/>
              <w:right w:val="single" w:sz="4" w:space="0" w:color="000000"/>
            </w:tcBorders>
            <w:hideMark/>
          </w:tcPr>
          <w:p w14:paraId="25092884" w14:textId="77777777" w:rsidR="00CD64B5" w:rsidRPr="001352AB" w:rsidRDefault="00CD64B5" w:rsidP="00CD64B5">
            <w:r w:rsidRPr="001352AB">
              <w:rPr>
                <w:rFonts w:ascii="Sylfaen" w:hAnsi="Sylfaen" w:cs="Sylfaen"/>
              </w:rPr>
              <w:t>აზოტის</w:t>
            </w:r>
            <w:r w:rsidRPr="001352AB">
              <w:t xml:space="preserve"> </w:t>
            </w:r>
            <w:r w:rsidRPr="001352AB">
              <w:rPr>
                <w:rFonts w:ascii="Sylfaen" w:hAnsi="Sylfaen" w:cs="Sylfaen"/>
              </w:rPr>
              <w:t>დიოქსიდი</w:t>
            </w:r>
            <w:r w:rsidRPr="001352AB">
              <w:t xml:space="preserve"> (</w:t>
            </w:r>
            <w:r w:rsidRPr="001352AB">
              <w:rPr>
                <w:rFonts w:ascii="Sylfaen" w:hAnsi="Sylfaen" w:cs="Sylfaen"/>
              </w:rPr>
              <w:t>აზოტის</w:t>
            </w:r>
            <w:r w:rsidRPr="001352AB">
              <w:t xml:space="preserve"> (IV) </w:t>
            </w:r>
            <w:r w:rsidRPr="001352AB">
              <w:rPr>
                <w:rFonts w:ascii="Sylfaen" w:hAnsi="Sylfaen" w:cs="Sylfaen"/>
              </w:rPr>
              <w:t>ოქსიდი</w:t>
            </w:r>
            <w:r w:rsidRPr="001352AB">
              <w:t>)</w:t>
            </w:r>
          </w:p>
        </w:tc>
        <w:tc>
          <w:tcPr>
            <w:tcW w:w="1143" w:type="pct"/>
            <w:tcBorders>
              <w:top w:val="single" w:sz="4" w:space="0" w:color="000000"/>
              <w:left w:val="single" w:sz="4" w:space="0" w:color="000000"/>
              <w:bottom w:val="single" w:sz="4" w:space="0" w:color="000000"/>
              <w:right w:val="single" w:sz="4" w:space="0" w:color="000000"/>
            </w:tcBorders>
            <w:vAlign w:val="center"/>
            <w:hideMark/>
          </w:tcPr>
          <w:p w14:paraId="6B6406B9" w14:textId="77777777" w:rsidR="00CD64B5" w:rsidRPr="001352AB" w:rsidRDefault="00CD64B5" w:rsidP="00CD64B5">
            <w:r w:rsidRPr="001352AB">
              <w:t>0,0327924</w:t>
            </w:r>
          </w:p>
        </w:tc>
        <w:tc>
          <w:tcPr>
            <w:tcW w:w="1143" w:type="pct"/>
            <w:tcBorders>
              <w:top w:val="single" w:sz="4" w:space="0" w:color="000000"/>
              <w:left w:val="single" w:sz="4" w:space="0" w:color="000000"/>
              <w:bottom w:val="single" w:sz="4" w:space="0" w:color="000000"/>
              <w:right w:val="single" w:sz="6" w:space="0" w:color="auto"/>
            </w:tcBorders>
            <w:vAlign w:val="center"/>
            <w:hideMark/>
          </w:tcPr>
          <w:p w14:paraId="7762DEF0" w14:textId="77777777" w:rsidR="00CD64B5" w:rsidRPr="001352AB" w:rsidRDefault="00CD64B5" w:rsidP="00CD64B5">
            <w:r w:rsidRPr="001352AB">
              <w:t>0,0018888</w:t>
            </w:r>
          </w:p>
        </w:tc>
      </w:tr>
      <w:tr w:rsidR="00CD64B5" w:rsidRPr="001352AB" w14:paraId="59555D19" w14:textId="77777777" w:rsidTr="00CD64B5">
        <w:trPr>
          <w:trHeight w:val="252"/>
          <w:jc w:val="center"/>
        </w:trPr>
        <w:tc>
          <w:tcPr>
            <w:tcW w:w="429" w:type="pct"/>
            <w:tcBorders>
              <w:top w:val="single" w:sz="4" w:space="0" w:color="000000"/>
              <w:left w:val="single" w:sz="6" w:space="0" w:color="auto"/>
              <w:bottom w:val="single" w:sz="4" w:space="0" w:color="000000"/>
              <w:right w:val="single" w:sz="4" w:space="0" w:color="000000"/>
            </w:tcBorders>
            <w:hideMark/>
          </w:tcPr>
          <w:p w14:paraId="1E9CC57D" w14:textId="77777777" w:rsidR="00CD64B5" w:rsidRPr="001352AB" w:rsidRDefault="00CD64B5" w:rsidP="00CD64B5">
            <w:r w:rsidRPr="001352AB">
              <w:t>304</w:t>
            </w:r>
          </w:p>
        </w:tc>
        <w:tc>
          <w:tcPr>
            <w:tcW w:w="2286" w:type="pct"/>
            <w:tcBorders>
              <w:top w:val="single" w:sz="4" w:space="0" w:color="000000"/>
              <w:left w:val="single" w:sz="4" w:space="0" w:color="000000"/>
              <w:bottom w:val="single" w:sz="4" w:space="0" w:color="000000"/>
              <w:right w:val="single" w:sz="4" w:space="0" w:color="000000"/>
            </w:tcBorders>
            <w:hideMark/>
          </w:tcPr>
          <w:p w14:paraId="7F511563" w14:textId="77777777" w:rsidR="00CD64B5" w:rsidRPr="001352AB" w:rsidRDefault="00CD64B5" w:rsidP="00CD64B5">
            <w:r w:rsidRPr="001352AB">
              <w:rPr>
                <w:rFonts w:ascii="Sylfaen" w:hAnsi="Sylfaen" w:cs="Sylfaen"/>
              </w:rPr>
              <w:t>აზოტის</w:t>
            </w:r>
            <w:r w:rsidRPr="001352AB">
              <w:t xml:space="preserve"> (II) </w:t>
            </w:r>
            <w:r w:rsidRPr="001352AB">
              <w:rPr>
                <w:rFonts w:ascii="Sylfaen" w:hAnsi="Sylfaen" w:cs="Sylfaen"/>
              </w:rPr>
              <w:t>ოქსიდი</w:t>
            </w:r>
          </w:p>
        </w:tc>
        <w:tc>
          <w:tcPr>
            <w:tcW w:w="1143" w:type="pct"/>
            <w:tcBorders>
              <w:top w:val="single" w:sz="4" w:space="0" w:color="000000"/>
              <w:left w:val="single" w:sz="4" w:space="0" w:color="000000"/>
              <w:bottom w:val="single" w:sz="4" w:space="0" w:color="000000"/>
              <w:right w:val="single" w:sz="4" w:space="0" w:color="000000"/>
            </w:tcBorders>
            <w:vAlign w:val="center"/>
            <w:hideMark/>
          </w:tcPr>
          <w:p w14:paraId="64AE7405" w14:textId="77777777" w:rsidR="00CD64B5" w:rsidRPr="001352AB" w:rsidRDefault="00CD64B5" w:rsidP="00CD64B5">
            <w:r w:rsidRPr="001352AB">
              <w:t>0,0053272</w:t>
            </w:r>
          </w:p>
        </w:tc>
        <w:tc>
          <w:tcPr>
            <w:tcW w:w="1143" w:type="pct"/>
            <w:tcBorders>
              <w:top w:val="single" w:sz="4" w:space="0" w:color="000000"/>
              <w:left w:val="single" w:sz="4" w:space="0" w:color="000000"/>
              <w:bottom w:val="single" w:sz="4" w:space="0" w:color="000000"/>
              <w:right w:val="single" w:sz="6" w:space="0" w:color="auto"/>
            </w:tcBorders>
            <w:vAlign w:val="center"/>
            <w:hideMark/>
          </w:tcPr>
          <w:p w14:paraId="13A5C3CD" w14:textId="77777777" w:rsidR="00CD64B5" w:rsidRPr="001352AB" w:rsidRDefault="00CD64B5" w:rsidP="00CD64B5">
            <w:r w:rsidRPr="001352AB">
              <w:t>0,0003068</w:t>
            </w:r>
          </w:p>
        </w:tc>
      </w:tr>
      <w:tr w:rsidR="00CD64B5" w:rsidRPr="001352AB" w14:paraId="160B7A31" w14:textId="77777777" w:rsidTr="00CD64B5">
        <w:trPr>
          <w:trHeight w:val="266"/>
          <w:jc w:val="center"/>
        </w:trPr>
        <w:tc>
          <w:tcPr>
            <w:tcW w:w="429" w:type="pct"/>
            <w:tcBorders>
              <w:top w:val="single" w:sz="4" w:space="0" w:color="000000"/>
              <w:left w:val="single" w:sz="6" w:space="0" w:color="auto"/>
              <w:bottom w:val="single" w:sz="4" w:space="0" w:color="000000"/>
              <w:right w:val="single" w:sz="4" w:space="0" w:color="000000"/>
            </w:tcBorders>
            <w:hideMark/>
          </w:tcPr>
          <w:p w14:paraId="3AE168D1" w14:textId="77777777" w:rsidR="00CD64B5" w:rsidRPr="001352AB" w:rsidRDefault="00CD64B5" w:rsidP="00CD64B5">
            <w:r w:rsidRPr="001352AB">
              <w:t>328</w:t>
            </w:r>
          </w:p>
        </w:tc>
        <w:tc>
          <w:tcPr>
            <w:tcW w:w="2286" w:type="pct"/>
            <w:tcBorders>
              <w:top w:val="single" w:sz="4" w:space="0" w:color="000000"/>
              <w:left w:val="single" w:sz="4" w:space="0" w:color="000000"/>
              <w:bottom w:val="single" w:sz="4" w:space="0" w:color="000000"/>
              <w:right w:val="single" w:sz="4" w:space="0" w:color="000000"/>
            </w:tcBorders>
            <w:hideMark/>
          </w:tcPr>
          <w:p w14:paraId="747EE081" w14:textId="77777777" w:rsidR="00CD64B5" w:rsidRPr="001352AB" w:rsidRDefault="00CD64B5" w:rsidP="00CD64B5">
            <w:r w:rsidRPr="001352AB">
              <w:rPr>
                <w:rFonts w:ascii="Sylfaen" w:hAnsi="Sylfaen" w:cs="Sylfaen"/>
              </w:rPr>
              <w:t>ჭვარტლი</w:t>
            </w:r>
          </w:p>
        </w:tc>
        <w:tc>
          <w:tcPr>
            <w:tcW w:w="1143" w:type="pct"/>
            <w:tcBorders>
              <w:top w:val="single" w:sz="4" w:space="0" w:color="000000"/>
              <w:left w:val="single" w:sz="4" w:space="0" w:color="000000"/>
              <w:bottom w:val="single" w:sz="4" w:space="0" w:color="000000"/>
              <w:right w:val="single" w:sz="4" w:space="0" w:color="000000"/>
            </w:tcBorders>
            <w:vAlign w:val="center"/>
            <w:hideMark/>
          </w:tcPr>
          <w:p w14:paraId="4277B91D" w14:textId="77777777" w:rsidR="00CD64B5" w:rsidRPr="001352AB" w:rsidRDefault="00CD64B5" w:rsidP="00CD64B5">
            <w:r w:rsidRPr="001352AB">
              <w:t>0,0045017</w:t>
            </w:r>
          </w:p>
        </w:tc>
        <w:tc>
          <w:tcPr>
            <w:tcW w:w="1143" w:type="pct"/>
            <w:tcBorders>
              <w:top w:val="single" w:sz="4" w:space="0" w:color="000000"/>
              <w:left w:val="single" w:sz="4" w:space="0" w:color="000000"/>
              <w:bottom w:val="single" w:sz="4" w:space="0" w:color="000000"/>
              <w:right w:val="single" w:sz="6" w:space="0" w:color="auto"/>
            </w:tcBorders>
            <w:vAlign w:val="center"/>
            <w:hideMark/>
          </w:tcPr>
          <w:p w14:paraId="060557F1" w14:textId="77777777" w:rsidR="00CD64B5" w:rsidRPr="001352AB" w:rsidRDefault="00CD64B5" w:rsidP="00CD64B5">
            <w:r w:rsidRPr="001352AB">
              <w:t>0,0002593</w:t>
            </w:r>
          </w:p>
        </w:tc>
      </w:tr>
      <w:tr w:rsidR="00CD64B5" w:rsidRPr="001352AB" w14:paraId="508580CD" w14:textId="77777777" w:rsidTr="00CD64B5">
        <w:trPr>
          <w:trHeight w:val="252"/>
          <w:jc w:val="center"/>
        </w:trPr>
        <w:tc>
          <w:tcPr>
            <w:tcW w:w="429" w:type="pct"/>
            <w:tcBorders>
              <w:top w:val="single" w:sz="4" w:space="0" w:color="000000"/>
              <w:left w:val="single" w:sz="6" w:space="0" w:color="auto"/>
              <w:bottom w:val="single" w:sz="4" w:space="0" w:color="000000"/>
              <w:right w:val="single" w:sz="4" w:space="0" w:color="000000"/>
            </w:tcBorders>
            <w:hideMark/>
          </w:tcPr>
          <w:p w14:paraId="515B61C6" w14:textId="77777777" w:rsidR="00CD64B5" w:rsidRPr="001352AB" w:rsidRDefault="00CD64B5" w:rsidP="00CD64B5">
            <w:r w:rsidRPr="001352AB">
              <w:t>330</w:t>
            </w:r>
          </w:p>
        </w:tc>
        <w:tc>
          <w:tcPr>
            <w:tcW w:w="2286" w:type="pct"/>
            <w:tcBorders>
              <w:top w:val="single" w:sz="4" w:space="0" w:color="000000"/>
              <w:left w:val="single" w:sz="4" w:space="0" w:color="000000"/>
              <w:bottom w:val="single" w:sz="4" w:space="0" w:color="000000"/>
              <w:right w:val="single" w:sz="4" w:space="0" w:color="000000"/>
            </w:tcBorders>
            <w:hideMark/>
          </w:tcPr>
          <w:p w14:paraId="39C2B6B5" w14:textId="77777777" w:rsidR="00CD64B5" w:rsidRPr="001352AB" w:rsidRDefault="00CD64B5" w:rsidP="00CD64B5">
            <w:r w:rsidRPr="001352AB">
              <w:rPr>
                <w:rFonts w:ascii="Sylfaen" w:hAnsi="Sylfaen" w:cs="Sylfaen"/>
              </w:rPr>
              <w:t>გოგირდის</w:t>
            </w:r>
            <w:r w:rsidRPr="001352AB">
              <w:t xml:space="preserve"> </w:t>
            </w:r>
            <w:r w:rsidRPr="001352AB">
              <w:rPr>
                <w:rFonts w:ascii="Sylfaen" w:hAnsi="Sylfaen" w:cs="Sylfaen"/>
              </w:rPr>
              <w:t>დიოქსიდი</w:t>
            </w:r>
          </w:p>
        </w:tc>
        <w:tc>
          <w:tcPr>
            <w:tcW w:w="1143" w:type="pct"/>
            <w:tcBorders>
              <w:top w:val="single" w:sz="4" w:space="0" w:color="000000"/>
              <w:left w:val="single" w:sz="4" w:space="0" w:color="000000"/>
              <w:bottom w:val="single" w:sz="4" w:space="0" w:color="000000"/>
              <w:right w:val="single" w:sz="4" w:space="0" w:color="000000"/>
            </w:tcBorders>
            <w:vAlign w:val="center"/>
            <w:hideMark/>
          </w:tcPr>
          <w:p w14:paraId="7DE8060E" w14:textId="77777777" w:rsidR="00CD64B5" w:rsidRPr="001352AB" w:rsidRDefault="00CD64B5" w:rsidP="00CD64B5">
            <w:r w:rsidRPr="001352AB">
              <w:t>0,00332</w:t>
            </w:r>
          </w:p>
        </w:tc>
        <w:tc>
          <w:tcPr>
            <w:tcW w:w="1143" w:type="pct"/>
            <w:tcBorders>
              <w:top w:val="single" w:sz="4" w:space="0" w:color="000000"/>
              <w:left w:val="single" w:sz="4" w:space="0" w:color="000000"/>
              <w:bottom w:val="single" w:sz="4" w:space="0" w:color="000000"/>
              <w:right w:val="single" w:sz="6" w:space="0" w:color="auto"/>
            </w:tcBorders>
            <w:vAlign w:val="center"/>
            <w:hideMark/>
          </w:tcPr>
          <w:p w14:paraId="493D5227" w14:textId="77777777" w:rsidR="00CD64B5" w:rsidRPr="001352AB" w:rsidRDefault="00CD64B5" w:rsidP="00CD64B5">
            <w:r w:rsidRPr="001352AB">
              <w:t>0,0001912</w:t>
            </w:r>
          </w:p>
        </w:tc>
      </w:tr>
      <w:tr w:rsidR="00CD64B5" w:rsidRPr="001352AB" w14:paraId="54EDF4DE" w14:textId="77777777" w:rsidTr="00CD64B5">
        <w:trPr>
          <w:trHeight w:val="252"/>
          <w:jc w:val="center"/>
        </w:trPr>
        <w:tc>
          <w:tcPr>
            <w:tcW w:w="429" w:type="pct"/>
            <w:tcBorders>
              <w:top w:val="single" w:sz="4" w:space="0" w:color="000000"/>
              <w:left w:val="single" w:sz="6" w:space="0" w:color="auto"/>
              <w:bottom w:val="single" w:sz="4" w:space="0" w:color="000000"/>
              <w:right w:val="single" w:sz="4" w:space="0" w:color="000000"/>
            </w:tcBorders>
            <w:hideMark/>
          </w:tcPr>
          <w:p w14:paraId="2CAB2220" w14:textId="77777777" w:rsidR="00CD64B5" w:rsidRPr="001352AB" w:rsidRDefault="00CD64B5" w:rsidP="00CD64B5">
            <w:r w:rsidRPr="001352AB">
              <w:t>337</w:t>
            </w:r>
          </w:p>
        </w:tc>
        <w:tc>
          <w:tcPr>
            <w:tcW w:w="2286" w:type="pct"/>
            <w:tcBorders>
              <w:top w:val="single" w:sz="4" w:space="0" w:color="000000"/>
              <w:left w:val="single" w:sz="4" w:space="0" w:color="000000"/>
              <w:bottom w:val="single" w:sz="4" w:space="0" w:color="000000"/>
              <w:right w:val="single" w:sz="4" w:space="0" w:color="000000"/>
            </w:tcBorders>
            <w:hideMark/>
          </w:tcPr>
          <w:p w14:paraId="3C48DD72" w14:textId="77777777" w:rsidR="00CD64B5" w:rsidRPr="001352AB" w:rsidRDefault="00CD64B5" w:rsidP="00CD64B5">
            <w:r w:rsidRPr="001352AB">
              <w:rPr>
                <w:rFonts w:ascii="Sylfaen" w:hAnsi="Sylfaen" w:cs="Sylfaen"/>
              </w:rPr>
              <w:t>ნახშირბადის</w:t>
            </w:r>
            <w:r w:rsidRPr="001352AB">
              <w:t xml:space="preserve"> </w:t>
            </w:r>
            <w:r w:rsidRPr="001352AB">
              <w:rPr>
                <w:rFonts w:ascii="Sylfaen" w:hAnsi="Sylfaen" w:cs="Sylfaen"/>
              </w:rPr>
              <w:t>ოქსიდი</w:t>
            </w:r>
          </w:p>
        </w:tc>
        <w:tc>
          <w:tcPr>
            <w:tcW w:w="1143" w:type="pct"/>
            <w:tcBorders>
              <w:top w:val="single" w:sz="4" w:space="0" w:color="000000"/>
              <w:left w:val="single" w:sz="4" w:space="0" w:color="000000"/>
              <w:bottom w:val="single" w:sz="4" w:space="0" w:color="000000"/>
              <w:right w:val="single" w:sz="4" w:space="0" w:color="000000"/>
            </w:tcBorders>
            <w:vAlign w:val="center"/>
            <w:hideMark/>
          </w:tcPr>
          <w:p w14:paraId="5264449E" w14:textId="77777777" w:rsidR="00CD64B5" w:rsidRPr="001352AB" w:rsidRDefault="00CD64B5" w:rsidP="00CD64B5">
            <w:r w:rsidRPr="001352AB">
              <w:t>0,0273783</w:t>
            </w:r>
          </w:p>
        </w:tc>
        <w:tc>
          <w:tcPr>
            <w:tcW w:w="1143" w:type="pct"/>
            <w:tcBorders>
              <w:top w:val="single" w:sz="4" w:space="0" w:color="000000"/>
              <w:left w:val="single" w:sz="4" w:space="0" w:color="000000"/>
              <w:bottom w:val="single" w:sz="4" w:space="0" w:color="000000"/>
              <w:right w:val="single" w:sz="6" w:space="0" w:color="auto"/>
            </w:tcBorders>
            <w:vAlign w:val="center"/>
            <w:hideMark/>
          </w:tcPr>
          <w:p w14:paraId="6BA931F2" w14:textId="77777777" w:rsidR="00CD64B5" w:rsidRPr="001352AB" w:rsidRDefault="00CD64B5" w:rsidP="00CD64B5">
            <w:r w:rsidRPr="001352AB">
              <w:t>0,001577</w:t>
            </w:r>
          </w:p>
        </w:tc>
      </w:tr>
      <w:tr w:rsidR="00CD64B5" w:rsidRPr="001352AB" w14:paraId="0160FCCB" w14:textId="77777777" w:rsidTr="00CD64B5">
        <w:trPr>
          <w:trHeight w:val="266"/>
          <w:jc w:val="center"/>
        </w:trPr>
        <w:tc>
          <w:tcPr>
            <w:tcW w:w="429" w:type="pct"/>
            <w:tcBorders>
              <w:top w:val="single" w:sz="4" w:space="0" w:color="000000"/>
              <w:left w:val="single" w:sz="6" w:space="0" w:color="auto"/>
              <w:bottom w:val="single" w:sz="8" w:space="0" w:color="auto"/>
              <w:right w:val="single" w:sz="4" w:space="0" w:color="000000"/>
            </w:tcBorders>
            <w:hideMark/>
          </w:tcPr>
          <w:p w14:paraId="47D7CE7A" w14:textId="77777777" w:rsidR="00CD64B5" w:rsidRPr="001352AB" w:rsidRDefault="00CD64B5" w:rsidP="00CD64B5">
            <w:r w:rsidRPr="001352AB">
              <w:t>2732</w:t>
            </w:r>
          </w:p>
        </w:tc>
        <w:tc>
          <w:tcPr>
            <w:tcW w:w="2286" w:type="pct"/>
            <w:tcBorders>
              <w:top w:val="single" w:sz="4" w:space="0" w:color="000000"/>
              <w:left w:val="single" w:sz="4" w:space="0" w:color="000000"/>
              <w:bottom w:val="single" w:sz="8" w:space="0" w:color="auto"/>
              <w:right w:val="single" w:sz="4" w:space="0" w:color="000000"/>
            </w:tcBorders>
            <w:hideMark/>
          </w:tcPr>
          <w:p w14:paraId="3D18F264" w14:textId="77777777" w:rsidR="00CD64B5" w:rsidRPr="001352AB" w:rsidRDefault="00CD64B5" w:rsidP="00CD64B5">
            <w:r w:rsidRPr="001352AB">
              <w:rPr>
                <w:rFonts w:ascii="Sylfaen" w:hAnsi="Sylfaen" w:cs="Sylfaen"/>
              </w:rPr>
              <w:t>ნახშირწყალბადების</w:t>
            </w:r>
            <w:r w:rsidRPr="001352AB">
              <w:t xml:space="preserve"> </w:t>
            </w:r>
            <w:r w:rsidRPr="001352AB">
              <w:rPr>
                <w:rFonts w:ascii="Sylfaen" w:hAnsi="Sylfaen" w:cs="Sylfaen"/>
              </w:rPr>
              <w:t>ნავთის</w:t>
            </w:r>
            <w:r w:rsidRPr="001352AB">
              <w:t xml:space="preserve"> </w:t>
            </w:r>
            <w:r w:rsidRPr="001352AB">
              <w:rPr>
                <w:rFonts w:ascii="Sylfaen" w:hAnsi="Sylfaen" w:cs="Sylfaen"/>
              </w:rPr>
              <w:t>ფრაქცია</w:t>
            </w:r>
          </w:p>
        </w:tc>
        <w:tc>
          <w:tcPr>
            <w:tcW w:w="1143" w:type="pct"/>
            <w:tcBorders>
              <w:top w:val="single" w:sz="4" w:space="0" w:color="000000"/>
              <w:left w:val="single" w:sz="4" w:space="0" w:color="000000"/>
              <w:bottom w:val="single" w:sz="8" w:space="0" w:color="auto"/>
              <w:right w:val="single" w:sz="4" w:space="0" w:color="000000"/>
            </w:tcBorders>
            <w:vAlign w:val="center"/>
            <w:hideMark/>
          </w:tcPr>
          <w:p w14:paraId="0117B887" w14:textId="77777777" w:rsidR="00CD64B5" w:rsidRPr="001352AB" w:rsidRDefault="00CD64B5" w:rsidP="00CD64B5">
            <w:r w:rsidRPr="001352AB">
              <w:t>0,0077372</w:t>
            </w:r>
          </w:p>
        </w:tc>
        <w:tc>
          <w:tcPr>
            <w:tcW w:w="1143" w:type="pct"/>
            <w:tcBorders>
              <w:top w:val="single" w:sz="4" w:space="0" w:color="000000"/>
              <w:left w:val="single" w:sz="4" w:space="0" w:color="000000"/>
              <w:bottom w:val="single" w:sz="8" w:space="0" w:color="auto"/>
              <w:right w:val="single" w:sz="6" w:space="0" w:color="auto"/>
            </w:tcBorders>
            <w:vAlign w:val="center"/>
            <w:hideMark/>
          </w:tcPr>
          <w:p w14:paraId="060ED07D" w14:textId="77777777" w:rsidR="00CD64B5" w:rsidRPr="001352AB" w:rsidRDefault="00CD64B5" w:rsidP="00CD64B5">
            <w:r w:rsidRPr="001352AB">
              <w:t>0,0004457</w:t>
            </w:r>
          </w:p>
        </w:tc>
      </w:tr>
    </w:tbl>
    <w:p w14:paraId="00CEAB42" w14:textId="77777777" w:rsidR="00CD64B5" w:rsidRPr="001352AB" w:rsidRDefault="00CD64B5" w:rsidP="00CD64B5">
      <w:pPr>
        <w:rPr>
          <w:lang w:val="ka-GE"/>
        </w:rPr>
      </w:pPr>
    </w:p>
    <w:p w14:paraId="138CBD54" w14:textId="77777777" w:rsidR="00CD64B5" w:rsidRPr="001352AB" w:rsidRDefault="00CD64B5" w:rsidP="00CD64B5">
      <w:r w:rsidRPr="001352AB">
        <w:rPr>
          <w:rFonts w:ascii="Sylfaen" w:hAnsi="Sylfaen" w:cs="Sylfaen"/>
        </w:rPr>
        <w:t>გაანგარიშება</w:t>
      </w:r>
      <w:r w:rsidRPr="001352AB">
        <w:t xml:space="preserve"> </w:t>
      </w:r>
      <w:r w:rsidRPr="001352AB">
        <w:rPr>
          <w:rFonts w:ascii="Sylfaen" w:hAnsi="Sylfaen" w:cs="Sylfaen"/>
        </w:rPr>
        <w:t>შესრულებულია</w:t>
      </w:r>
      <w:r w:rsidRPr="001352AB">
        <w:t xml:space="preserve"> </w:t>
      </w:r>
      <w:r w:rsidRPr="001352AB">
        <w:rPr>
          <w:rFonts w:ascii="Sylfaen" w:hAnsi="Sylfaen" w:cs="Sylfaen"/>
        </w:rPr>
        <w:t>საგზაო</w:t>
      </w:r>
      <w:r w:rsidRPr="001352AB">
        <w:t>-</w:t>
      </w:r>
      <w:r w:rsidRPr="001352AB">
        <w:rPr>
          <w:rFonts w:ascii="Sylfaen" w:hAnsi="Sylfaen" w:cs="Sylfaen"/>
        </w:rPr>
        <w:t>სამშენებლო</w:t>
      </w:r>
      <w:r w:rsidRPr="001352AB">
        <w:t xml:space="preserve"> </w:t>
      </w:r>
      <w:r w:rsidRPr="001352AB">
        <w:rPr>
          <w:rFonts w:ascii="Sylfaen" w:hAnsi="Sylfaen" w:cs="Sylfaen"/>
        </w:rPr>
        <w:t>მანქანების</w:t>
      </w:r>
      <w:r w:rsidRPr="001352AB">
        <w:t xml:space="preserve"> (</w:t>
      </w:r>
      <w:r w:rsidRPr="001352AB">
        <w:rPr>
          <w:rFonts w:ascii="Sylfaen" w:hAnsi="Sylfaen" w:cs="Sylfaen"/>
        </w:rPr>
        <w:t>სსმ</w:t>
      </w:r>
      <w:r w:rsidRPr="001352AB">
        <w:t xml:space="preserve">) </w:t>
      </w:r>
      <w:r w:rsidRPr="001352AB">
        <w:rPr>
          <w:rFonts w:ascii="Sylfaen" w:hAnsi="Sylfaen" w:cs="Sylfaen"/>
        </w:rPr>
        <w:t>სამუშაო</w:t>
      </w:r>
      <w:r w:rsidRPr="001352AB">
        <w:t xml:space="preserve"> </w:t>
      </w:r>
      <w:r w:rsidRPr="001352AB">
        <w:rPr>
          <w:rFonts w:ascii="Sylfaen" w:hAnsi="Sylfaen" w:cs="Sylfaen"/>
        </w:rPr>
        <w:t>მოედნის</w:t>
      </w:r>
      <w:r w:rsidRPr="001352AB">
        <w:t xml:space="preserve"> </w:t>
      </w:r>
      <w:r w:rsidRPr="001352AB">
        <w:rPr>
          <w:rFonts w:ascii="Sylfaen" w:hAnsi="Sylfaen" w:cs="Sylfaen"/>
        </w:rPr>
        <w:t>გარემო</w:t>
      </w:r>
      <w:r w:rsidRPr="001352AB">
        <w:t xml:space="preserve"> </w:t>
      </w:r>
      <w:r w:rsidRPr="001352AB">
        <w:rPr>
          <w:rFonts w:ascii="Sylfaen" w:hAnsi="Sylfaen" w:cs="Sylfaen"/>
        </w:rPr>
        <w:t>ტემპერატურის</w:t>
      </w:r>
      <w:r w:rsidRPr="001352AB">
        <w:t xml:space="preserve"> </w:t>
      </w:r>
      <w:r w:rsidRPr="001352AB">
        <w:rPr>
          <w:rFonts w:ascii="Sylfaen" w:hAnsi="Sylfaen" w:cs="Sylfaen"/>
        </w:rPr>
        <w:t>პირობებში</w:t>
      </w:r>
      <w:r w:rsidRPr="001352AB">
        <w:t xml:space="preserve">. </w:t>
      </w:r>
      <w:r w:rsidRPr="001352AB">
        <w:rPr>
          <w:rFonts w:ascii="Sylfaen" w:hAnsi="Sylfaen" w:cs="Sylfaen"/>
        </w:rPr>
        <w:t>სამუშაო</w:t>
      </w:r>
      <w:r w:rsidRPr="001352AB">
        <w:t xml:space="preserve"> </w:t>
      </w:r>
      <w:r w:rsidRPr="001352AB">
        <w:rPr>
          <w:rFonts w:ascii="Sylfaen" w:hAnsi="Sylfaen" w:cs="Sylfaen"/>
        </w:rPr>
        <w:t>დღეების</w:t>
      </w:r>
      <w:r w:rsidRPr="001352AB">
        <w:t xml:space="preserve"> </w:t>
      </w:r>
      <w:r w:rsidRPr="001352AB">
        <w:rPr>
          <w:rFonts w:ascii="Sylfaen" w:hAnsi="Sylfaen" w:cs="Sylfaen"/>
        </w:rPr>
        <w:t>რ</w:t>
      </w:r>
      <w:r w:rsidRPr="001352AB">
        <w:t>-</w:t>
      </w:r>
      <w:r w:rsidRPr="001352AB">
        <w:rPr>
          <w:rFonts w:ascii="Sylfaen" w:hAnsi="Sylfaen" w:cs="Sylfaen"/>
        </w:rPr>
        <w:t>ბა</w:t>
      </w:r>
      <w:r w:rsidRPr="001352AB">
        <w:t>-300.</w:t>
      </w:r>
    </w:p>
    <w:p w14:paraId="1947EB75" w14:textId="77777777" w:rsidR="00CD64B5" w:rsidRPr="001352AB" w:rsidRDefault="00CD64B5" w:rsidP="00CD64B5"/>
    <w:p w14:paraId="7720A3F3" w14:textId="77777777" w:rsidR="00CD64B5" w:rsidRPr="001352AB" w:rsidRDefault="00CD64B5" w:rsidP="00CD64B5">
      <w:r w:rsidRPr="001352AB">
        <w:rPr>
          <w:rFonts w:ascii="Sylfaen" w:hAnsi="Sylfaen" w:cs="Sylfaen"/>
        </w:rPr>
        <w:t>საწყისი</w:t>
      </w:r>
      <w:r w:rsidRPr="001352AB">
        <w:t xml:space="preserve"> </w:t>
      </w:r>
      <w:r w:rsidRPr="001352AB">
        <w:rPr>
          <w:rFonts w:ascii="Sylfaen" w:hAnsi="Sylfaen" w:cs="Sylfaen"/>
        </w:rPr>
        <w:t>მონაცემები</w:t>
      </w:r>
      <w:r w:rsidRPr="001352AB">
        <w:t xml:space="preserve"> </w:t>
      </w: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გამოყოფის</w:t>
      </w:r>
      <w:r w:rsidRPr="001352AB">
        <w:t xml:space="preserve"> </w:t>
      </w:r>
      <w:r w:rsidRPr="001352AB">
        <w:rPr>
          <w:rFonts w:ascii="Sylfaen" w:hAnsi="Sylfaen" w:cs="Sylfaen"/>
        </w:rPr>
        <w:t>გაანგარიშებისათვის</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ცხრილში</w:t>
      </w:r>
      <w:r w:rsidRPr="001352AB">
        <w:t xml:space="preserve"> 7.1-6.</w:t>
      </w:r>
    </w:p>
    <w:p w14:paraId="3A3E995F" w14:textId="77777777" w:rsidR="00CD64B5" w:rsidRPr="001352AB" w:rsidRDefault="00CD64B5" w:rsidP="00CD64B5"/>
    <w:p w14:paraId="0E8E9361" w14:textId="77777777" w:rsidR="00CD64B5" w:rsidRPr="001352AB" w:rsidRDefault="00CD64B5" w:rsidP="00CD64B5">
      <w:bookmarkStart w:id="257" w:name="_Toc436594167"/>
      <w:r w:rsidRPr="001352AB">
        <w:rPr>
          <w:rFonts w:ascii="Sylfaen" w:hAnsi="Sylfaen" w:cs="Sylfaen"/>
        </w:rPr>
        <w:t>ცხრილი</w:t>
      </w:r>
      <w:r w:rsidRPr="001352AB">
        <w:t xml:space="preserve"> 7.1-6.</w:t>
      </w:r>
      <w:r w:rsidRPr="001352AB">
        <w:tab/>
      </w:r>
      <w:r w:rsidRPr="001352AB">
        <w:rPr>
          <w:rFonts w:ascii="Sylfaen" w:hAnsi="Sylfaen" w:cs="Sylfaen"/>
        </w:rPr>
        <w:t>გაანგარიშების</w:t>
      </w:r>
      <w:r w:rsidRPr="001352AB">
        <w:t xml:space="preserve"> </w:t>
      </w:r>
      <w:r w:rsidRPr="001352AB">
        <w:rPr>
          <w:rFonts w:ascii="Sylfaen" w:hAnsi="Sylfaen" w:cs="Sylfaen"/>
        </w:rPr>
        <w:t>საწყისი</w:t>
      </w:r>
      <w:r w:rsidRPr="001352AB">
        <w:t xml:space="preserve"> </w:t>
      </w:r>
      <w:r w:rsidRPr="001352AB">
        <w:rPr>
          <w:rFonts w:ascii="Sylfaen" w:hAnsi="Sylfaen" w:cs="Sylfaen"/>
        </w:rPr>
        <w:t>მონაცემები</w:t>
      </w:r>
      <w:bookmarkEnd w:id="257"/>
    </w:p>
    <w:tbl>
      <w:tblPr>
        <w:tblW w:w="5034" w:type="pct"/>
        <w:jc w:val="center"/>
        <w:tblLayout w:type="fixed"/>
        <w:tblLook w:val="04A0" w:firstRow="1" w:lastRow="0" w:firstColumn="1" w:lastColumn="0" w:noHBand="0" w:noVBand="1"/>
      </w:tblPr>
      <w:tblGrid>
        <w:gridCol w:w="1795"/>
        <w:gridCol w:w="630"/>
        <w:gridCol w:w="811"/>
        <w:gridCol w:w="1079"/>
        <w:gridCol w:w="1081"/>
        <w:gridCol w:w="814"/>
        <w:gridCol w:w="1443"/>
        <w:gridCol w:w="899"/>
        <w:gridCol w:w="893"/>
        <w:gridCol w:w="1012"/>
      </w:tblGrid>
      <w:tr w:rsidR="00CD64B5" w:rsidRPr="00CD64B5" w14:paraId="66CCB29B" w14:textId="77777777" w:rsidTr="00B74656">
        <w:trPr>
          <w:trHeight w:val="271"/>
          <w:tblHeader/>
          <w:jc w:val="center"/>
        </w:trPr>
        <w:tc>
          <w:tcPr>
            <w:tcW w:w="858" w:type="pct"/>
            <w:vMerge w:val="restart"/>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tcPr>
          <w:p w14:paraId="0EB896C1" w14:textId="77777777" w:rsidR="00CD64B5" w:rsidRPr="00CD64B5" w:rsidRDefault="00CD64B5" w:rsidP="00CD64B5">
            <w:pPr>
              <w:rPr>
                <w:sz w:val="20"/>
                <w:lang w:eastAsia="en-US"/>
              </w:rPr>
            </w:pPr>
            <w:r w:rsidRPr="00CD64B5">
              <w:rPr>
                <w:rFonts w:ascii="Sylfaen" w:hAnsi="Sylfaen" w:cs="Sylfaen"/>
                <w:sz w:val="20"/>
              </w:rPr>
              <w:t>უქმი</w:t>
            </w:r>
            <w:r w:rsidRPr="00CD64B5">
              <w:rPr>
                <w:sz w:val="20"/>
              </w:rPr>
              <w:t xml:space="preserve"> </w:t>
            </w:r>
            <w:r w:rsidRPr="00CD64B5">
              <w:rPr>
                <w:rFonts w:ascii="Sylfaen" w:hAnsi="Sylfaen" w:cs="Sylfaen"/>
                <w:sz w:val="20"/>
              </w:rPr>
              <w:t>სვლის</w:t>
            </w:r>
            <w:r w:rsidRPr="00CD64B5">
              <w:rPr>
                <w:sz w:val="20"/>
              </w:rPr>
              <w:t xml:space="preserve"> </w:t>
            </w:r>
            <w:r w:rsidRPr="00CD64B5">
              <w:rPr>
                <w:rFonts w:ascii="Sylfaen" w:hAnsi="Sylfaen" w:cs="Sylfaen"/>
                <w:sz w:val="20"/>
              </w:rPr>
              <w:t>რეჟიმზე</w:t>
            </w:r>
            <w:r w:rsidRPr="00CD64B5">
              <w:rPr>
                <w:sz w:val="20"/>
              </w:rPr>
              <w:t xml:space="preserve">, </w:t>
            </w:r>
            <w:r w:rsidRPr="00CD64B5">
              <w:rPr>
                <w:rFonts w:ascii="Sylfaen" w:hAnsi="Sylfaen" w:cs="Sylfaen"/>
                <w:sz w:val="20"/>
              </w:rPr>
              <w:t>წთ</w:t>
            </w:r>
            <w:r w:rsidRPr="00CD64B5">
              <w:rPr>
                <w:sz w:val="20"/>
              </w:rPr>
              <w:t xml:space="preserve">; </w:t>
            </w:r>
          </w:p>
          <w:p w14:paraId="5A7C2B86" w14:textId="77777777" w:rsidR="00CD64B5" w:rsidRPr="00CD64B5" w:rsidRDefault="00CD64B5" w:rsidP="00CD64B5">
            <w:pPr>
              <w:rPr>
                <w:sz w:val="20"/>
              </w:rPr>
            </w:pPr>
          </w:p>
        </w:tc>
        <w:tc>
          <w:tcPr>
            <w:tcW w:w="301" w:type="pct"/>
            <w:vMerge w:val="restart"/>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14:paraId="689EA378" w14:textId="77777777" w:rsidR="00CD64B5" w:rsidRPr="00CD64B5" w:rsidRDefault="00CD64B5" w:rsidP="00CD64B5">
            <w:pPr>
              <w:rPr>
                <w:sz w:val="20"/>
              </w:rPr>
            </w:pPr>
            <w:r w:rsidRPr="00CD64B5">
              <w:rPr>
                <w:rFonts w:ascii="Sylfaen" w:hAnsi="Sylfaen" w:cs="Sylfaen"/>
                <w:sz w:val="20"/>
              </w:rPr>
              <w:t>რ</w:t>
            </w:r>
            <w:r w:rsidRPr="00CD64B5">
              <w:rPr>
                <w:sz w:val="20"/>
              </w:rPr>
              <w:t>-</w:t>
            </w:r>
            <w:r w:rsidRPr="00CD64B5">
              <w:rPr>
                <w:rFonts w:ascii="Sylfaen" w:hAnsi="Sylfaen" w:cs="Sylfaen"/>
                <w:sz w:val="20"/>
              </w:rPr>
              <w:t>ბა</w:t>
            </w:r>
          </w:p>
        </w:tc>
        <w:tc>
          <w:tcPr>
            <w:tcW w:w="3357" w:type="pct"/>
            <w:gridSpan w:val="7"/>
            <w:tcBorders>
              <w:top w:val="single" w:sz="8" w:space="0" w:color="auto"/>
              <w:left w:val="single" w:sz="4" w:space="0" w:color="000000"/>
              <w:bottom w:val="single" w:sz="4" w:space="0" w:color="000000"/>
              <w:right w:val="single" w:sz="4" w:space="0" w:color="000000"/>
            </w:tcBorders>
            <w:shd w:val="clear" w:color="auto" w:fill="D9D9D9" w:themeFill="background1" w:themeFillShade="D9"/>
            <w:vAlign w:val="center"/>
            <w:hideMark/>
          </w:tcPr>
          <w:p w14:paraId="28F23319" w14:textId="77777777" w:rsidR="00CD64B5" w:rsidRPr="00CD64B5" w:rsidRDefault="00CD64B5" w:rsidP="00CD64B5">
            <w:pPr>
              <w:rPr>
                <w:sz w:val="20"/>
              </w:rPr>
            </w:pPr>
            <w:r w:rsidRPr="00CD64B5">
              <w:rPr>
                <w:rFonts w:ascii="Sylfaen" w:hAnsi="Sylfaen" w:cs="Sylfaen"/>
                <w:sz w:val="20"/>
              </w:rPr>
              <w:t>ერთი</w:t>
            </w:r>
            <w:r w:rsidRPr="00CD64B5">
              <w:rPr>
                <w:sz w:val="20"/>
              </w:rPr>
              <w:t xml:space="preserve"> </w:t>
            </w:r>
            <w:r w:rsidRPr="00CD64B5">
              <w:rPr>
                <w:rFonts w:ascii="Sylfaen" w:hAnsi="Sylfaen" w:cs="Sylfaen"/>
                <w:sz w:val="20"/>
              </w:rPr>
              <w:t>მანქანის</w:t>
            </w:r>
            <w:r w:rsidRPr="00CD64B5">
              <w:rPr>
                <w:sz w:val="20"/>
              </w:rPr>
              <w:t xml:space="preserve"> </w:t>
            </w:r>
            <w:r w:rsidRPr="00CD64B5">
              <w:rPr>
                <w:rFonts w:ascii="Sylfaen" w:hAnsi="Sylfaen" w:cs="Sylfaen"/>
                <w:sz w:val="20"/>
              </w:rPr>
              <w:t>მუშაობის</w:t>
            </w:r>
            <w:r w:rsidRPr="00CD64B5">
              <w:rPr>
                <w:sz w:val="20"/>
              </w:rPr>
              <w:t xml:space="preserve"> </w:t>
            </w:r>
            <w:r w:rsidRPr="00CD64B5">
              <w:rPr>
                <w:rFonts w:ascii="Sylfaen" w:hAnsi="Sylfaen" w:cs="Sylfaen"/>
                <w:sz w:val="20"/>
              </w:rPr>
              <w:t>დრო</w:t>
            </w:r>
          </w:p>
        </w:tc>
        <w:tc>
          <w:tcPr>
            <w:tcW w:w="484" w:type="pct"/>
            <w:vMerge w:val="restart"/>
            <w:tcBorders>
              <w:top w:val="single" w:sz="8" w:space="0" w:color="auto"/>
              <w:left w:val="single" w:sz="4" w:space="0" w:color="000000"/>
              <w:bottom w:val="single" w:sz="8" w:space="0" w:color="auto"/>
              <w:right w:val="single" w:sz="6" w:space="0" w:color="auto"/>
            </w:tcBorders>
            <w:shd w:val="clear" w:color="auto" w:fill="D9D9D9" w:themeFill="background1" w:themeFillShade="D9"/>
            <w:vAlign w:val="center"/>
            <w:hideMark/>
          </w:tcPr>
          <w:p w14:paraId="6E9F0D43" w14:textId="77777777" w:rsidR="00CD64B5" w:rsidRPr="00CD64B5" w:rsidRDefault="00CD64B5" w:rsidP="00CD64B5">
            <w:pPr>
              <w:rPr>
                <w:sz w:val="20"/>
              </w:rPr>
            </w:pPr>
            <w:r w:rsidRPr="00CD64B5">
              <w:rPr>
                <w:rFonts w:ascii="Sylfaen" w:hAnsi="Sylfaen" w:cs="Sylfaen"/>
                <w:sz w:val="20"/>
              </w:rPr>
              <w:t>მუშა</w:t>
            </w:r>
            <w:r w:rsidRPr="00CD64B5">
              <w:rPr>
                <w:sz w:val="20"/>
              </w:rPr>
              <w:t xml:space="preserve"> </w:t>
            </w:r>
            <w:r w:rsidRPr="00CD64B5">
              <w:rPr>
                <w:rFonts w:ascii="Sylfaen" w:hAnsi="Sylfaen" w:cs="Sylfaen"/>
                <w:sz w:val="20"/>
              </w:rPr>
              <w:t>დღეების</w:t>
            </w:r>
            <w:r w:rsidRPr="00CD64B5">
              <w:rPr>
                <w:sz w:val="20"/>
              </w:rPr>
              <w:t xml:space="preserve"> </w:t>
            </w:r>
            <w:r w:rsidRPr="00CD64B5">
              <w:rPr>
                <w:rFonts w:ascii="Sylfaen" w:hAnsi="Sylfaen" w:cs="Sylfaen"/>
                <w:sz w:val="20"/>
              </w:rPr>
              <w:t>რ</w:t>
            </w:r>
            <w:r w:rsidRPr="00CD64B5">
              <w:rPr>
                <w:sz w:val="20"/>
              </w:rPr>
              <w:t>-</w:t>
            </w:r>
            <w:r w:rsidRPr="00CD64B5">
              <w:rPr>
                <w:rFonts w:ascii="Sylfaen" w:hAnsi="Sylfaen" w:cs="Sylfaen"/>
                <w:sz w:val="20"/>
              </w:rPr>
              <w:t>ბა</w:t>
            </w:r>
          </w:p>
        </w:tc>
      </w:tr>
      <w:tr w:rsidR="00CD64B5" w:rsidRPr="00CD64B5" w14:paraId="7E451AB5" w14:textId="77777777" w:rsidTr="00B74656">
        <w:trPr>
          <w:trHeight w:val="145"/>
          <w:tblHeader/>
          <w:jc w:val="center"/>
        </w:trPr>
        <w:tc>
          <w:tcPr>
            <w:tcW w:w="858" w:type="pct"/>
            <w:vMerge/>
            <w:tcBorders>
              <w:top w:val="single" w:sz="8" w:space="0" w:color="auto"/>
              <w:left w:val="single" w:sz="4" w:space="0" w:color="000000"/>
              <w:bottom w:val="single" w:sz="8" w:space="0" w:color="auto"/>
              <w:right w:val="single" w:sz="4" w:space="0" w:color="000000"/>
            </w:tcBorders>
            <w:vAlign w:val="center"/>
            <w:hideMark/>
          </w:tcPr>
          <w:p w14:paraId="55ECDA78" w14:textId="77777777" w:rsidR="00CD64B5" w:rsidRPr="00CD64B5" w:rsidRDefault="00CD64B5" w:rsidP="00CD64B5">
            <w:pPr>
              <w:rPr>
                <w:rFonts w:eastAsiaTheme="minorHAnsi"/>
                <w:sz w:val="20"/>
              </w:rPr>
            </w:pPr>
          </w:p>
        </w:tc>
        <w:tc>
          <w:tcPr>
            <w:tcW w:w="301" w:type="pct"/>
            <w:vMerge/>
            <w:tcBorders>
              <w:top w:val="single" w:sz="8" w:space="0" w:color="auto"/>
              <w:left w:val="single" w:sz="4" w:space="0" w:color="000000"/>
              <w:bottom w:val="single" w:sz="8" w:space="0" w:color="auto"/>
              <w:right w:val="single" w:sz="4" w:space="0" w:color="000000"/>
            </w:tcBorders>
            <w:vAlign w:val="center"/>
            <w:hideMark/>
          </w:tcPr>
          <w:p w14:paraId="7A861897" w14:textId="77777777" w:rsidR="00CD64B5" w:rsidRPr="00CD64B5" w:rsidRDefault="00CD64B5" w:rsidP="00CD64B5">
            <w:pPr>
              <w:rPr>
                <w:rFonts w:eastAsiaTheme="minorHAnsi"/>
                <w:sz w:val="20"/>
              </w:rPr>
            </w:pPr>
          </w:p>
        </w:tc>
        <w:tc>
          <w:tcPr>
            <w:tcW w:w="181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56A4162" w14:textId="77777777" w:rsidR="00CD64B5" w:rsidRPr="00CD64B5" w:rsidRDefault="00CD64B5" w:rsidP="00CD64B5">
            <w:pPr>
              <w:rPr>
                <w:sz w:val="20"/>
              </w:rPr>
            </w:pPr>
            <w:r w:rsidRPr="00CD64B5">
              <w:rPr>
                <w:rFonts w:ascii="Sylfaen" w:hAnsi="Sylfaen" w:cs="Sylfaen"/>
                <w:sz w:val="20"/>
              </w:rPr>
              <w:t>დღეში</w:t>
            </w:r>
            <w:r w:rsidRPr="00CD64B5">
              <w:rPr>
                <w:sz w:val="20"/>
              </w:rPr>
              <w:t xml:space="preserve">, </w:t>
            </w:r>
            <w:r w:rsidRPr="00CD64B5">
              <w:rPr>
                <w:rFonts w:ascii="Sylfaen" w:hAnsi="Sylfaen" w:cs="Sylfaen"/>
                <w:sz w:val="20"/>
              </w:rPr>
              <w:t>სთ</w:t>
            </w:r>
          </w:p>
        </w:tc>
        <w:tc>
          <w:tcPr>
            <w:tcW w:w="1547"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85B0F10" w14:textId="77777777" w:rsidR="00CD64B5" w:rsidRPr="00CD64B5" w:rsidRDefault="00CD64B5" w:rsidP="00CD64B5">
            <w:pPr>
              <w:rPr>
                <w:sz w:val="20"/>
              </w:rPr>
            </w:pPr>
            <w:r w:rsidRPr="00CD64B5">
              <w:rPr>
                <w:sz w:val="20"/>
              </w:rPr>
              <w:t xml:space="preserve">30 </w:t>
            </w:r>
            <w:r w:rsidRPr="00CD64B5">
              <w:rPr>
                <w:rFonts w:ascii="Sylfaen" w:hAnsi="Sylfaen" w:cs="Sylfaen"/>
                <w:sz w:val="20"/>
              </w:rPr>
              <w:t>წთ</w:t>
            </w:r>
            <w:r w:rsidRPr="00CD64B5">
              <w:rPr>
                <w:sz w:val="20"/>
              </w:rPr>
              <w:t>-</w:t>
            </w:r>
            <w:r w:rsidRPr="00CD64B5">
              <w:rPr>
                <w:rFonts w:ascii="Sylfaen" w:hAnsi="Sylfaen" w:cs="Sylfaen"/>
                <w:sz w:val="20"/>
              </w:rPr>
              <w:t>ში</w:t>
            </w:r>
            <w:r w:rsidRPr="00CD64B5">
              <w:rPr>
                <w:sz w:val="20"/>
              </w:rPr>
              <w:t xml:space="preserve">, </w:t>
            </w:r>
            <w:r w:rsidRPr="00CD64B5">
              <w:rPr>
                <w:rFonts w:ascii="Sylfaen" w:hAnsi="Sylfaen" w:cs="Sylfaen"/>
                <w:sz w:val="20"/>
              </w:rPr>
              <w:t>წთ</w:t>
            </w:r>
            <w:r w:rsidRPr="00CD64B5">
              <w:rPr>
                <w:sz w:val="20"/>
              </w:rPr>
              <w:t xml:space="preserve"> </w:t>
            </w:r>
          </w:p>
        </w:tc>
        <w:tc>
          <w:tcPr>
            <w:tcW w:w="484" w:type="pct"/>
            <w:vMerge/>
            <w:tcBorders>
              <w:top w:val="single" w:sz="8" w:space="0" w:color="auto"/>
              <w:left w:val="single" w:sz="4" w:space="0" w:color="000000"/>
              <w:bottom w:val="single" w:sz="8" w:space="0" w:color="auto"/>
              <w:right w:val="single" w:sz="6" w:space="0" w:color="auto"/>
            </w:tcBorders>
            <w:vAlign w:val="center"/>
            <w:hideMark/>
          </w:tcPr>
          <w:p w14:paraId="385DB713" w14:textId="77777777" w:rsidR="00CD64B5" w:rsidRPr="00CD64B5" w:rsidRDefault="00CD64B5" w:rsidP="00CD64B5">
            <w:pPr>
              <w:rPr>
                <w:rFonts w:eastAsiaTheme="minorHAnsi"/>
                <w:sz w:val="20"/>
              </w:rPr>
            </w:pPr>
          </w:p>
        </w:tc>
      </w:tr>
      <w:tr w:rsidR="00B74656" w:rsidRPr="00CD64B5" w14:paraId="0368E389" w14:textId="77777777" w:rsidTr="0000351B">
        <w:trPr>
          <w:cantSplit/>
          <w:trHeight w:val="880"/>
          <w:tblHeader/>
          <w:jc w:val="center"/>
        </w:trPr>
        <w:tc>
          <w:tcPr>
            <w:tcW w:w="858" w:type="pct"/>
            <w:vMerge/>
            <w:tcBorders>
              <w:top w:val="single" w:sz="8" w:space="0" w:color="auto"/>
              <w:left w:val="single" w:sz="4" w:space="0" w:color="000000"/>
              <w:bottom w:val="single" w:sz="8" w:space="0" w:color="auto"/>
              <w:right w:val="single" w:sz="4" w:space="0" w:color="000000"/>
            </w:tcBorders>
            <w:vAlign w:val="center"/>
            <w:hideMark/>
          </w:tcPr>
          <w:p w14:paraId="3C1E848B" w14:textId="77777777" w:rsidR="00CD64B5" w:rsidRPr="00CD64B5" w:rsidRDefault="00CD64B5" w:rsidP="00CD64B5">
            <w:pPr>
              <w:rPr>
                <w:rFonts w:eastAsiaTheme="minorHAnsi"/>
                <w:sz w:val="20"/>
              </w:rPr>
            </w:pPr>
          </w:p>
        </w:tc>
        <w:tc>
          <w:tcPr>
            <w:tcW w:w="301" w:type="pct"/>
            <w:vMerge/>
            <w:tcBorders>
              <w:top w:val="single" w:sz="8" w:space="0" w:color="auto"/>
              <w:left w:val="single" w:sz="4" w:space="0" w:color="000000"/>
              <w:bottom w:val="single" w:sz="8" w:space="0" w:color="auto"/>
              <w:right w:val="single" w:sz="4" w:space="0" w:color="000000"/>
            </w:tcBorders>
            <w:vAlign w:val="center"/>
            <w:hideMark/>
          </w:tcPr>
          <w:p w14:paraId="79CFACD2" w14:textId="77777777" w:rsidR="00CD64B5" w:rsidRPr="00CD64B5" w:rsidRDefault="00CD64B5" w:rsidP="00CD64B5">
            <w:pPr>
              <w:rPr>
                <w:rFonts w:eastAsiaTheme="minorHAnsi"/>
                <w:sz w:val="20"/>
              </w:rPr>
            </w:pPr>
          </w:p>
        </w:tc>
        <w:tc>
          <w:tcPr>
            <w:tcW w:w="388" w:type="pc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14:paraId="2F25FCCF" w14:textId="77777777" w:rsidR="00CD64B5" w:rsidRPr="00CD64B5" w:rsidRDefault="00CD64B5" w:rsidP="00CD64B5">
            <w:pPr>
              <w:rPr>
                <w:sz w:val="20"/>
              </w:rPr>
            </w:pPr>
            <w:r w:rsidRPr="00CD64B5">
              <w:rPr>
                <w:rFonts w:ascii="Sylfaen" w:hAnsi="Sylfaen" w:cs="Sylfaen"/>
                <w:sz w:val="20"/>
              </w:rPr>
              <w:t>სულ</w:t>
            </w:r>
          </w:p>
        </w:tc>
        <w:tc>
          <w:tcPr>
            <w:tcW w:w="516" w:type="pc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14:paraId="5F60693D" w14:textId="77777777" w:rsidR="00CD64B5" w:rsidRPr="00CD64B5" w:rsidRDefault="00CD64B5" w:rsidP="00CD64B5">
            <w:pPr>
              <w:rPr>
                <w:sz w:val="20"/>
              </w:rPr>
            </w:pPr>
            <w:r w:rsidRPr="00CD64B5">
              <w:rPr>
                <w:rFonts w:ascii="Sylfaen" w:hAnsi="Sylfaen" w:cs="Sylfaen"/>
                <w:sz w:val="20"/>
              </w:rPr>
              <w:t>დატვირთვის</w:t>
            </w:r>
            <w:r w:rsidRPr="00CD64B5">
              <w:rPr>
                <w:sz w:val="20"/>
              </w:rPr>
              <w:t xml:space="preserve"> </w:t>
            </w:r>
            <w:r w:rsidRPr="00CD64B5">
              <w:rPr>
                <w:rFonts w:ascii="Sylfaen" w:hAnsi="Sylfaen" w:cs="Sylfaen"/>
                <w:sz w:val="20"/>
              </w:rPr>
              <w:t>გარეშე</w:t>
            </w:r>
          </w:p>
        </w:tc>
        <w:tc>
          <w:tcPr>
            <w:tcW w:w="517" w:type="pc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14:paraId="10B23369" w14:textId="77777777" w:rsidR="00CD64B5" w:rsidRPr="00CD64B5" w:rsidRDefault="00CD64B5" w:rsidP="00CD64B5">
            <w:pPr>
              <w:rPr>
                <w:sz w:val="20"/>
              </w:rPr>
            </w:pPr>
            <w:r w:rsidRPr="00CD64B5">
              <w:rPr>
                <w:rFonts w:ascii="Sylfaen" w:hAnsi="Sylfaen" w:cs="Sylfaen"/>
                <w:sz w:val="20"/>
              </w:rPr>
              <w:t>დატვირთვით</w:t>
            </w:r>
          </w:p>
        </w:tc>
        <w:tc>
          <w:tcPr>
            <w:tcW w:w="389" w:type="pc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14:paraId="1F6B0C5A" w14:textId="77777777" w:rsidR="00CD64B5" w:rsidRPr="00CD64B5" w:rsidRDefault="00CD64B5" w:rsidP="00CD64B5">
            <w:pPr>
              <w:rPr>
                <w:sz w:val="20"/>
              </w:rPr>
            </w:pPr>
            <w:r w:rsidRPr="00CD64B5">
              <w:rPr>
                <w:rFonts w:ascii="Sylfaen" w:hAnsi="Sylfaen" w:cs="Sylfaen"/>
                <w:sz w:val="20"/>
              </w:rPr>
              <w:t>უქმი</w:t>
            </w:r>
            <w:r w:rsidRPr="00CD64B5">
              <w:rPr>
                <w:sz w:val="20"/>
              </w:rPr>
              <w:t xml:space="preserve"> </w:t>
            </w:r>
            <w:r w:rsidRPr="00CD64B5">
              <w:rPr>
                <w:rFonts w:ascii="Sylfaen" w:hAnsi="Sylfaen" w:cs="Sylfaen"/>
                <w:sz w:val="20"/>
              </w:rPr>
              <w:t>სვლა</w:t>
            </w:r>
          </w:p>
        </w:tc>
        <w:tc>
          <w:tcPr>
            <w:tcW w:w="690" w:type="pc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14:paraId="68C59DED" w14:textId="77777777" w:rsidR="00CD64B5" w:rsidRPr="00CD64B5" w:rsidRDefault="00CD64B5" w:rsidP="00CD64B5">
            <w:pPr>
              <w:rPr>
                <w:sz w:val="20"/>
              </w:rPr>
            </w:pPr>
            <w:r w:rsidRPr="00CD64B5">
              <w:rPr>
                <w:rFonts w:ascii="Sylfaen" w:hAnsi="Sylfaen" w:cs="Sylfaen"/>
                <w:sz w:val="20"/>
              </w:rPr>
              <w:t>დატვირთვის</w:t>
            </w:r>
            <w:r w:rsidRPr="00CD64B5">
              <w:rPr>
                <w:sz w:val="20"/>
              </w:rPr>
              <w:t xml:space="preserve"> </w:t>
            </w:r>
            <w:r w:rsidRPr="00CD64B5">
              <w:rPr>
                <w:rFonts w:ascii="Sylfaen" w:hAnsi="Sylfaen" w:cs="Sylfaen"/>
                <w:sz w:val="20"/>
              </w:rPr>
              <w:t>გარეშე</w:t>
            </w:r>
          </w:p>
        </w:tc>
        <w:tc>
          <w:tcPr>
            <w:tcW w:w="430" w:type="pc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14:paraId="00488703" w14:textId="77777777" w:rsidR="00CD64B5" w:rsidRPr="00CD64B5" w:rsidRDefault="00CD64B5" w:rsidP="00CD64B5">
            <w:pPr>
              <w:rPr>
                <w:sz w:val="20"/>
              </w:rPr>
            </w:pPr>
            <w:r w:rsidRPr="00CD64B5">
              <w:rPr>
                <w:rFonts w:ascii="Sylfaen" w:hAnsi="Sylfaen" w:cs="Sylfaen"/>
                <w:sz w:val="20"/>
              </w:rPr>
              <w:t>დატვირთვით</w:t>
            </w:r>
          </w:p>
        </w:tc>
        <w:tc>
          <w:tcPr>
            <w:tcW w:w="427" w:type="pc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14:paraId="79701F81" w14:textId="77777777" w:rsidR="00CD64B5" w:rsidRPr="00CD64B5" w:rsidRDefault="00CD64B5" w:rsidP="00CD64B5">
            <w:pPr>
              <w:rPr>
                <w:sz w:val="20"/>
              </w:rPr>
            </w:pPr>
            <w:r w:rsidRPr="00CD64B5">
              <w:rPr>
                <w:rFonts w:ascii="Sylfaen" w:hAnsi="Sylfaen" w:cs="Sylfaen"/>
                <w:sz w:val="20"/>
              </w:rPr>
              <w:t>უქმი</w:t>
            </w:r>
            <w:r w:rsidRPr="00CD64B5">
              <w:rPr>
                <w:sz w:val="20"/>
              </w:rPr>
              <w:t xml:space="preserve"> </w:t>
            </w:r>
            <w:r w:rsidRPr="00CD64B5">
              <w:rPr>
                <w:rFonts w:ascii="Sylfaen" w:hAnsi="Sylfaen" w:cs="Sylfaen"/>
                <w:sz w:val="20"/>
              </w:rPr>
              <w:t>სვლა</w:t>
            </w:r>
          </w:p>
        </w:tc>
        <w:tc>
          <w:tcPr>
            <w:tcW w:w="484" w:type="pct"/>
            <w:vMerge/>
            <w:tcBorders>
              <w:top w:val="single" w:sz="8" w:space="0" w:color="auto"/>
              <w:left w:val="single" w:sz="4" w:space="0" w:color="000000"/>
              <w:bottom w:val="single" w:sz="8" w:space="0" w:color="auto"/>
              <w:right w:val="single" w:sz="6" w:space="0" w:color="auto"/>
            </w:tcBorders>
            <w:vAlign w:val="center"/>
            <w:hideMark/>
          </w:tcPr>
          <w:p w14:paraId="5D759884" w14:textId="77777777" w:rsidR="00CD64B5" w:rsidRPr="00CD64B5" w:rsidRDefault="00CD64B5" w:rsidP="00CD64B5">
            <w:pPr>
              <w:rPr>
                <w:rFonts w:eastAsiaTheme="minorHAnsi"/>
                <w:sz w:val="20"/>
              </w:rPr>
            </w:pPr>
          </w:p>
        </w:tc>
      </w:tr>
      <w:tr w:rsidR="00B74656" w:rsidRPr="00CD64B5" w14:paraId="354BF23C" w14:textId="77777777" w:rsidTr="00B74656">
        <w:trPr>
          <w:trHeight w:val="799"/>
          <w:jc w:val="center"/>
        </w:trPr>
        <w:tc>
          <w:tcPr>
            <w:tcW w:w="858" w:type="pct"/>
            <w:tcBorders>
              <w:top w:val="single" w:sz="4" w:space="0" w:color="000000"/>
              <w:left w:val="single" w:sz="4" w:space="0" w:color="000000"/>
              <w:bottom w:val="single" w:sz="8" w:space="0" w:color="auto"/>
              <w:right w:val="single" w:sz="4" w:space="0" w:color="000000"/>
            </w:tcBorders>
            <w:vAlign w:val="center"/>
            <w:hideMark/>
          </w:tcPr>
          <w:p w14:paraId="69EDC19A" w14:textId="41C8FB2C" w:rsidR="00CD64B5" w:rsidRPr="00CD64B5" w:rsidRDefault="00CD64B5" w:rsidP="00CD64B5">
            <w:pPr>
              <w:rPr>
                <w:sz w:val="20"/>
              </w:rPr>
            </w:pPr>
            <w:r w:rsidRPr="00CD64B5">
              <w:rPr>
                <w:rFonts w:ascii="Sylfaen" w:hAnsi="Sylfaen" w:cs="Sylfaen"/>
                <w:sz w:val="20"/>
              </w:rPr>
              <w:t>მუხლუხა</w:t>
            </w:r>
            <w:r w:rsidRPr="00CD64B5">
              <w:rPr>
                <w:sz w:val="20"/>
              </w:rPr>
              <w:t xml:space="preserve"> </w:t>
            </w:r>
            <w:r w:rsidRPr="00CD64B5">
              <w:rPr>
                <w:rFonts w:ascii="Sylfaen" w:hAnsi="Sylfaen" w:cs="Sylfaen"/>
                <w:sz w:val="20"/>
              </w:rPr>
              <w:t>სსმ</w:t>
            </w:r>
            <w:r w:rsidRPr="00CD64B5">
              <w:rPr>
                <w:sz w:val="20"/>
              </w:rPr>
              <w:t xml:space="preserve">, </w:t>
            </w:r>
            <w:r w:rsidRPr="00CD64B5">
              <w:rPr>
                <w:rFonts w:ascii="Sylfaen" w:hAnsi="Sylfaen" w:cs="Sylfaen"/>
                <w:sz w:val="20"/>
              </w:rPr>
              <w:t>სიმძლავრით</w:t>
            </w:r>
            <w:r w:rsidRPr="00CD64B5">
              <w:rPr>
                <w:sz w:val="20"/>
              </w:rPr>
              <w:t xml:space="preserve"> 61-100 </w:t>
            </w:r>
            <w:r w:rsidRPr="00CD64B5">
              <w:rPr>
                <w:rFonts w:ascii="Sylfaen" w:hAnsi="Sylfaen" w:cs="Sylfaen"/>
                <w:sz w:val="20"/>
              </w:rPr>
              <w:t>კვტ</w:t>
            </w:r>
            <w:r w:rsidR="00B74656">
              <w:rPr>
                <w:rFonts w:ascii="Sylfaen" w:hAnsi="Sylfaen" w:cs="Sylfaen"/>
                <w:sz w:val="20"/>
                <w:lang w:val="ka-GE"/>
              </w:rPr>
              <w:t xml:space="preserve"> </w:t>
            </w:r>
            <w:r w:rsidRPr="00CD64B5">
              <w:rPr>
                <w:sz w:val="20"/>
              </w:rPr>
              <w:t xml:space="preserve">(83-136 </w:t>
            </w:r>
            <w:r w:rsidRPr="00CD64B5">
              <w:rPr>
                <w:rFonts w:ascii="Sylfaen" w:hAnsi="Sylfaen" w:cs="Sylfaen"/>
                <w:sz w:val="20"/>
              </w:rPr>
              <w:t>ცხ</w:t>
            </w:r>
            <w:r w:rsidRPr="00CD64B5">
              <w:rPr>
                <w:sz w:val="20"/>
              </w:rPr>
              <w:t>.</w:t>
            </w:r>
            <w:r w:rsidRPr="00CD64B5">
              <w:rPr>
                <w:rFonts w:ascii="Sylfaen" w:hAnsi="Sylfaen" w:cs="Sylfaen"/>
                <w:sz w:val="20"/>
              </w:rPr>
              <w:t>ძ</w:t>
            </w:r>
            <w:r w:rsidRPr="00CD64B5">
              <w:rPr>
                <w:sz w:val="20"/>
              </w:rPr>
              <w:t>)</w:t>
            </w:r>
          </w:p>
        </w:tc>
        <w:tc>
          <w:tcPr>
            <w:tcW w:w="301" w:type="pct"/>
            <w:tcBorders>
              <w:top w:val="single" w:sz="4" w:space="0" w:color="000000"/>
              <w:left w:val="single" w:sz="4" w:space="0" w:color="000000"/>
              <w:bottom w:val="single" w:sz="8" w:space="0" w:color="auto"/>
              <w:right w:val="single" w:sz="4" w:space="0" w:color="000000"/>
            </w:tcBorders>
            <w:vAlign w:val="center"/>
            <w:hideMark/>
          </w:tcPr>
          <w:p w14:paraId="6129320C" w14:textId="77777777" w:rsidR="00CD64B5" w:rsidRPr="00CD64B5" w:rsidRDefault="00CD64B5" w:rsidP="00CD64B5">
            <w:pPr>
              <w:rPr>
                <w:sz w:val="20"/>
              </w:rPr>
            </w:pPr>
            <w:r w:rsidRPr="00CD64B5">
              <w:rPr>
                <w:sz w:val="20"/>
              </w:rPr>
              <w:t>1 (1)</w:t>
            </w:r>
          </w:p>
        </w:tc>
        <w:tc>
          <w:tcPr>
            <w:tcW w:w="388" w:type="pct"/>
            <w:tcBorders>
              <w:top w:val="single" w:sz="4" w:space="0" w:color="000000"/>
              <w:left w:val="single" w:sz="4" w:space="0" w:color="000000"/>
              <w:bottom w:val="single" w:sz="8" w:space="0" w:color="auto"/>
              <w:right w:val="single" w:sz="4" w:space="0" w:color="000000"/>
            </w:tcBorders>
            <w:vAlign w:val="center"/>
            <w:hideMark/>
          </w:tcPr>
          <w:p w14:paraId="0471CEEE" w14:textId="77777777" w:rsidR="00CD64B5" w:rsidRPr="00CD64B5" w:rsidRDefault="00CD64B5" w:rsidP="00CD64B5">
            <w:pPr>
              <w:rPr>
                <w:sz w:val="20"/>
              </w:rPr>
            </w:pPr>
            <w:r w:rsidRPr="00CD64B5">
              <w:rPr>
                <w:sz w:val="20"/>
              </w:rPr>
              <w:t>16</w:t>
            </w:r>
          </w:p>
        </w:tc>
        <w:tc>
          <w:tcPr>
            <w:tcW w:w="516" w:type="pct"/>
            <w:tcBorders>
              <w:top w:val="single" w:sz="4" w:space="0" w:color="000000"/>
              <w:left w:val="single" w:sz="4" w:space="0" w:color="000000"/>
              <w:bottom w:val="single" w:sz="8" w:space="0" w:color="auto"/>
              <w:right w:val="single" w:sz="4" w:space="0" w:color="000000"/>
            </w:tcBorders>
            <w:vAlign w:val="center"/>
            <w:hideMark/>
          </w:tcPr>
          <w:p w14:paraId="1D1C2866" w14:textId="77777777" w:rsidR="00CD64B5" w:rsidRPr="00CD64B5" w:rsidRDefault="00CD64B5" w:rsidP="00CD64B5">
            <w:pPr>
              <w:rPr>
                <w:sz w:val="20"/>
              </w:rPr>
            </w:pPr>
            <w:r w:rsidRPr="00CD64B5">
              <w:rPr>
                <w:sz w:val="20"/>
              </w:rPr>
              <w:t>6,4</w:t>
            </w:r>
          </w:p>
        </w:tc>
        <w:tc>
          <w:tcPr>
            <w:tcW w:w="517" w:type="pct"/>
            <w:tcBorders>
              <w:top w:val="single" w:sz="4" w:space="0" w:color="000000"/>
              <w:left w:val="single" w:sz="4" w:space="0" w:color="000000"/>
              <w:bottom w:val="single" w:sz="8" w:space="0" w:color="auto"/>
              <w:right w:val="single" w:sz="4" w:space="0" w:color="000000"/>
            </w:tcBorders>
            <w:vAlign w:val="center"/>
            <w:hideMark/>
          </w:tcPr>
          <w:p w14:paraId="5C46A3C6" w14:textId="77777777" w:rsidR="00CD64B5" w:rsidRPr="00CD64B5" w:rsidRDefault="00CD64B5" w:rsidP="00CD64B5">
            <w:pPr>
              <w:rPr>
                <w:sz w:val="20"/>
              </w:rPr>
            </w:pPr>
            <w:r w:rsidRPr="00CD64B5">
              <w:rPr>
                <w:sz w:val="20"/>
              </w:rPr>
              <w:t>6,933</w:t>
            </w:r>
          </w:p>
        </w:tc>
        <w:tc>
          <w:tcPr>
            <w:tcW w:w="389" w:type="pct"/>
            <w:tcBorders>
              <w:top w:val="single" w:sz="4" w:space="0" w:color="000000"/>
              <w:left w:val="single" w:sz="4" w:space="0" w:color="000000"/>
              <w:bottom w:val="single" w:sz="8" w:space="0" w:color="auto"/>
              <w:right w:val="single" w:sz="4" w:space="0" w:color="000000"/>
            </w:tcBorders>
            <w:vAlign w:val="center"/>
            <w:hideMark/>
          </w:tcPr>
          <w:p w14:paraId="1D05D127" w14:textId="77777777" w:rsidR="00CD64B5" w:rsidRPr="00CD64B5" w:rsidRDefault="00CD64B5" w:rsidP="00CD64B5">
            <w:pPr>
              <w:rPr>
                <w:sz w:val="20"/>
              </w:rPr>
            </w:pPr>
            <w:r w:rsidRPr="00CD64B5">
              <w:rPr>
                <w:sz w:val="20"/>
              </w:rPr>
              <w:t>2,667</w:t>
            </w:r>
          </w:p>
        </w:tc>
        <w:tc>
          <w:tcPr>
            <w:tcW w:w="690" w:type="pct"/>
            <w:tcBorders>
              <w:top w:val="single" w:sz="4" w:space="0" w:color="000000"/>
              <w:left w:val="single" w:sz="4" w:space="0" w:color="000000"/>
              <w:bottom w:val="single" w:sz="8" w:space="0" w:color="auto"/>
              <w:right w:val="single" w:sz="4" w:space="0" w:color="000000"/>
            </w:tcBorders>
            <w:vAlign w:val="center"/>
            <w:hideMark/>
          </w:tcPr>
          <w:p w14:paraId="03358011" w14:textId="77777777" w:rsidR="00CD64B5" w:rsidRPr="00CD64B5" w:rsidRDefault="00CD64B5" w:rsidP="00CD64B5">
            <w:pPr>
              <w:rPr>
                <w:sz w:val="20"/>
              </w:rPr>
            </w:pPr>
            <w:r w:rsidRPr="00CD64B5">
              <w:rPr>
                <w:sz w:val="20"/>
              </w:rPr>
              <w:t>12</w:t>
            </w:r>
          </w:p>
        </w:tc>
        <w:tc>
          <w:tcPr>
            <w:tcW w:w="430" w:type="pct"/>
            <w:tcBorders>
              <w:top w:val="single" w:sz="4" w:space="0" w:color="000000"/>
              <w:left w:val="single" w:sz="4" w:space="0" w:color="000000"/>
              <w:bottom w:val="single" w:sz="8" w:space="0" w:color="auto"/>
              <w:right w:val="single" w:sz="4" w:space="0" w:color="000000"/>
            </w:tcBorders>
            <w:vAlign w:val="center"/>
            <w:hideMark/>
          </w:tcPr>
          <w:p w14:paraId="367EB6D0" w14:textId="77777777" w:rsidR="00CD64B5" w:rsidRPr="00CD64B5" w:rsidRDefault="00CD64B5" w:rsidP="00CD64B5">
            <w:pPr>
              <w:rPr>
                <w:sz w:val="20"/>
              </w:rPr>
            </w:pPr>
            <w:r w:rsidRPr="00CD64B5">
              <w:rPr>
                <w:sz w:val="20"/>
              </w:rPr>
              <w:t>13</w:t>
            </w:r>
          </w:p>
        </w:tc>
        <w:tc>
          <w:tcPr>
            <w:tcW w:w="427" w:type="pct"/>
            <w:tcBorders>
              <w:top w:val="single" w:sz="4" w:space="0" w:color="000000"/>
              <w:left w:val="single" w:sz="4" w:space="0" w:color="000000"/>
              <w:bottom w:val="single" w:sz="8" w:space="0" w:color="auto"/>
              <w:right w:val="single" w:sz="4" w:space="0" w:color="000000"/>
            </w:tcBorders>
            <w:vAlign w:val="center"/>
            <w:hideMark/>
          </w:tcPr>
          <w:p w14:paraId="36380A9B" w14:textId="77777777" w:rsidR="00CD64B5" w:rsidRPr="00CD64B5" w:rsidRDefault="00CD64B5" w:rsidP="00CD64B5">
            <w:pPr>
              <w:rPr>
                <w:sz w:val="20"/>
              </w:rPr>
            </w:pPr>
            <w:r w:rsidRPr="00CD64B5">
              <w:rPr>
                <w:sz w:val="20"/>
              </w:rPr>
              <w:t>1</w:t>
            </w:r>
          </w:p>
        </w:tc>
        <w:tc>
          <w:tcPr>
            <w:tcW w:w="484" w:type="pct"/>
            <w:tcBorders>
              <w:top w:val="single" w:sz="4" w:space="0" w:color="000000"/>
              <w:left w:val="single" w:sz="4" w:space="0" w:color="000000"/>
              <w:bottom w:val="single" w:sz="8" w:space="0" w:color="auto"/>
              <w:right w:val="single" w:sz="6" w:space="0" w:color="auto"/>
            </w:tcBorders>
            <w:vAlign w:val="center"/>
            <w:hideMark/>
          </w:tcPr>
          <w:p w14:paraId="1EFB99E7" w14:textId="77777777" w:rsidR="00CD64B5" w:rsidRPr="00CD64B5" w:rsidRDefault="00CD64B5" w:rsidP="00CD64B5">
            <w:pPr>
              <w:rPr>
                <w:sz w:val="20"/>
              </w:rPr>
            </w:pPr>
            <w:r w:rsidRPr="00CD64B5">
              <w:rPr>
                <w:sz w:val="20"/>
              </w:rPr>
              <w:t>250</w:t>
            </w:r>
          </w:p>
        </w:tc>
      </w:tr>
    </w:tbl>
    <w:p w14:paraId="3D98ADEE" w14:textId="77777777" w:rsidR="00CD64B5" w:rsidRPr="001352AB" w:rsidRDefault="00CD64B5" w:rsidP="00CD64B5">
      <w:pPr>
        <w:rPr>
          <w:lang w:val="ka-GE"/>
        </w:rPr>
      </w:pPr>
    </w:p>
    <w:p w14:paraId="25555DE7" w14:textId="77777777" w:rsidR="00CD64B5" w:rsidRPr="00B74656" w:rsidRDefault="00CD64B5" w:rsidP="00CD64B5">
      <w:pPr>
        <w:spacing w:before="120" w:after="120"/>
        <w:rPr>
          <w:rFonts w:ascii="Sylfaen" w:hAnsi="Sylfaen"/>
        </w:rPr>
      </w:pPr>
      <w:r w:rsidRPr="00B74656">
        <w:rPr>
          <w:rFonts w:ascii="Sylfaen" w:hAnsi="Sylfaen" w:cs="Sylfaen"/>
        </w:rPr>
        <w:t>მიღებული</w:t>
      </w:r>
      <w:r w:rsidRPr="00B74656">
        <w:rPr>
          <w:rFonts w:ascii="Sylfaen" w:hAnsi="Sylfaen"/>
        </w:rPr>
        <w:t xml:space="preserve"> </w:t>
      </w:r>
      <w:r w:rsidRPr="00B74656">
        <w:rPr>
          <w:rFonts w:ascii="Sylfaen" w:hAnsi="Sylfaen" w:cs="Sylfaen"/>
        </w:rPr>
        <w:t>პირობითი</w:t>
      </w:r>
      <w:r w:rsidRPr="00B74656">
        <w:rPr>
          <w:rFonts w:ascii="Sylfaen" w:hAnsi="Sylfaen"/>
        </w:rPr>
        <w:t xml:space="preserve"> </w:t>
      </w:r>
      <w:r w:rsidRPr="00B74656">
        <w:rPr>
          <w:rFonts w:ascii="Sylfaen" w:hAnsi="Sylfaen" w:cs="Sylfaen"/>
        </w:rPr>
        <w:t>აღნიშვნები</w:t>
      </w:r>
      <w:r w:rsidRPr="00B74656">
        <w:rPr>
          <w:rFonts w:ascii="Sylfaen" w:hAnsi="Sylfaen"/>
        </w:rPr>
        <w:t xml:space="preserve">, </w:t>
      </w:r>
      <w:r w:rsidRPr="00B74656">
        <w:rPr>
          <w:rFonts w:ascii="Sylfaen" w:hAnsi="Sylfaen" w:cs="Sylfaen"/>
        </w:rPr>
        <w:t>საანგარიშო</w:t>
      </w:r>
      <w:r w:rsidRPr="00B74656">
        <w:rPr>
          <w:rFonts w:ascii="Sylfaen" w:hAnsi="Sylfaen"/>
        </w:rPr>
        <w:t xml:space="preserve"> </w:t>
      </w:r>
      <w:r w:rsidRPr="00B74656">
        <w:rPr>
          <w:rFonts w:ascii="Sylfaen" w:hAnsi="Sylfaen" w:cs="Sylfaen"/>
        </w:rPr>
        <w:t>ფორმულები</w:t>
      </w:r>
      <w:r w:rsidRPr="00B74656">
        <w:rPr>
          <w:rFonts w:ascii="Sylfaen" w:hAnsi="Sylfaen"/>
        </w:rPr>
        <w:t xml:space="preserve">, </w:t>
      </w:r>
      <w:r w:rsidRPr="00B74656">
        <w:rPr>
          <w:rFonts w:ascii="Sylfaen" w:hAnsi="Sylfaen" w:cs="Sylfaen"/>
        </w:rPr>
        <w:t>აგრეთვე</w:t>
      </w:r>
      <w:r w:rsidRPr="00B74656">
        <w:rPr>
          <w:rFonts w:ascii="Sylfaen" w:hAnsi="Sylfaen"/>
        </w:rPr>
        <w:t xml:space="preserve"> </w:t>
      </w:r>
      <w:r w:rsidRPr="00B74656">
        <w:rPr>
          <w:rFonts w:ascii="Sylfaen" w:hAnsi="Sylfaen" w:cs="Sylfaen"/>
        </w:rPr>
        <w:t>საანგარიშო</w:t>
      </w:r>
      <w:r w:rsidRPr="00B74656">
        <w:rPr>
          <w:rFonts w:ascii="Sylfaen" w:hAnsi="Sylfaen"/>
        </w:rPr>
        <w:t xml:space="preserve"> </w:t>
      </w:r>
      <w:r w:rsidRPr="00B74656">
        <w:rPr>
          <w:rFonts w:ascii="Sylfaen" w:hAnsi="Sylfaen" w:cs="Sylfaen"/>
        </w:rPr>
        <w:t>პარამეტრები</w:t>
      </w:r>
      <w:r w:rsidRPr="00B74656">
        <w:rPr>
          <w:rFonts w:ascii="Sylfaen" w:hAnsi="Sylfaen"/>
        </w:rPr>
        <w:t xml:space="preserve"> </w:t>
      </w:r>
      <w:r w:rsidRPr="00B74656">
        <w:rPr>
          <w:rFonts w:ascii="Sylfaen" w:hAnsi="Sylfaen" w:cs="Sylfaen"/>
        </w:rPr>
        <w:t>და</w:t>
      </w:r>
      <w:r w:rsidRPr="00B74656">
        <w:rPr>
          <w:rFonts w:ascii="Sylfaen" w:hAnsi="Sylfaen"/>
        </w:rPr>
        <w:t xml:space="preserve"> </w:t>
      </w:r>
      <w:r w:rsidRPr="00B74656">
        <w:rPr>
          <w:rFonts w:ascii="Sylfaen" w:hAnsi="Sylfaen" w:cs="Sylfaen"/>
        </w:rPr>
        <w:t>მათი</w:t>
      </w:r>
      <w:r w:rsidRPr="00B74656">
        <w:rPr>
          <w:rFonts w:ascii="Sylfaen" w:hAnsi="Sylfaen"/>
        </w:rPr>
        <w:t xml:space="preserve"> </w:t>
      </w:r>
      <w:r w:rsidRPr="00B74656">
        <w:rPr>
          <w:rFonts w:ascii="Sylfaen" w:hAnsi="Sylfaen" w:cs="Sylfaen"/>
        </w:rPr>
        <w:t>დასაბუთება</w:t>
      </w:r>
      <w:r w:rsidRPr="00B74656">
        <w:rPr>
          <w:rFonts w:ascii="Sylfaen" w:hAnsi="Sylfaen"/>
        </w:rPr>
        <w:t xml:space="preserve"> </w:t>
      </w:r>
      <w:r w:rsidRPr="00B74656">
        <w:rPr>
          <w:rFonts w:ascii="Sylfaen" w:hAnsi="Sylfaen" w:cs="Sylfaen"/>
        </w:rPr>
        <w:t>მოცემულია</w:t>
      </w:r>
      <w:r w:rsidRPr="00B74656">
        <w:rPr>
          <w:rFonts w:ascii="Sylfaen" w:hAnsi="Sylfaen"/>
        </w:rPr>
        <w:t xml:space="preserve"> </w:t>
      </w:r>
      <w:r w:rsidRPr="00B74656">
        <w:rPr>
          <w:rFonts w:ascii="Sylfaen" w:hAnsi="Sylfaen" w:cs="Sylfaen"/>
        </w:rPr>
        <w:t>ქვემოთ</w:t>
      </w:r>
      <w:r w:rsidRPr="00B74656">
        <w:rPr>
          <w:rFonts w:ascii="Sylfaen" w:hAnsi="Sylfaen"/>
        </w:rPr>
        <w:t>:</w:t>
      </w:r>
    </w:p>
    <w:p w14:paraId="5700239C" w14:textId="77777777" w:rsidR="00CD64B5" w:rsidRPr="00B74656" w:rsidRDefault="00CD64B5" w:rsidP="00CD64B5">
      <w:pPr>
        <w:spacing w:before="120" w:after="120"/>
        <w:rPr>
          <w:rFonts w:ascii="Sylfaen" w:hAnsi="Sylfaen"/>
        </w:rPr>
      </w:pPr>
      <w:r w:rsidRPr="00B74656">
        <w:rPr>
          <w:rFonts w:ascii="Sylfaen" w:hAnsi="Sylfaen"/>
        </w:rPr>
        <w:t>i-</w:t>
      </w:r>
      <w:r w:rsidRPr="00B74656">
        <w:rPr>
          <w:rFonts w:ascii="Sylfaen" w:hAnsi="Sylfaen" w:cs="Sylfaen"/>
        </w:rPr>
        <w:t>ური</w:t>
      </w:r>
      <w:r w:rsidRPr="00B74656">
        <w:rPr>
          <w:rFonts w:ascii="Sylfaen" w:hAnsi="Sylfaen"/>
        </w:rPr>
        <w:t xml:space="preserve"> </w:t>
      </w:r>
      <w:r w:rsidRPr="00B74656">
        <w:rPr>
          <w:rFonts w:ascii="Sylfaen" w:hAnsi="Sylfaen" w:cs="Sylfaen"/>
        </w:rPr>
        <w:t>ნივთიერების</w:t>
      </w:r>
      <w:r w:rsidRPr="00B74656">
        <w:rPr>
          <w:rFonts w:ascii="Sylfaen" w:hAnsi="Sylfaen"/>
        </w:rPr>
        <w:t xml:space="preserve"> </w:t>
      </w:r>
      <w:r w:rsidRPr="00B74656">
        <w:rPr>
          <w:rFonts w:ascii="Sylfaen" w:hAnsi="Sylfaen" w:cs="Sylfaen"/>
        </w:rPr>
        <w:t>მაქსიმალური</w:t>
      </w:r>
      <w:r w:rsidRPr="00B74656">
        <w:rPr>
          <w:rFonts w:ascii="Sylfaen" w:hAnsi="Sylfaen"/>
        </w:rPr>
        <w:t xml:space="preserve"> -</w:t>
      </w:r>
      <w:r w:rsidRPr="00B74656">
        <w:rPr>
          <w:rFonts w:ascii="Sylfaen" w:hAnsi="Sylfaen" w:cs="Sylfaen"/>
        </w:rPr>
        <w:t>ერთჯერადი</w:t>
      </w:r>
      <w:r w:rsidRPr="00B74656">
        <w:rPr>
          <w:rFonts w:ascii="Sylfaen" w:hAnsi="Sylfaen"/>
        </w:rPr>
        <w:t xml:space="preserve"> </w:t>
      </w:r>
      <w:r w:rsidRPr="00B74656">
        <w:rPr>
          <w:rFonts w:ascii="Sylfaen" w:hAnsi="Sylfaen" w:cs="Sylfaen"/>
        </w:rPr>
        <w:t>ემისია</w:t>
      </w:r>
      <w:r w:rsidRPr="00B74656">
        <w:rPr>
          <w:rFonts w:ascii="Sylfaen" w:hAnsi="Sylfaen"/>
        </w:rPr>
        <w:t xml:space="preserve"> </w:t>
      </w:r>
      <w:r w:rsidRPr="00B74656">
        <w:rPr>
          <w:rFonts w:ascii="Sylfaen" w:hAnsi="Sylfaen" w:cs="Sylfaen"/>
        </w:rPr>
        <w:t>ხორციელდება</w:t>
      </w:r>
      <w:r w:rsidRPr="00B74656">
        <w:rPr>
          <w:rFonts w:ascii="Sylfaen" w:hAnsi="Sylfaen"/>
        </w:rPr>
        <w:t xml:space="preserve"> </w:t>
      </w:r>
      <w:r w:rsidRPr="00B74656">
        <w:rPr>
          <w:rFonts w:ascii="Sylfaen" w:hAnsi="Sylfaen" w:cs="Sylfaen"/>
        </w:rPr>
        <w:t>ფორმულით</w:t>
      </w:r>
      <w:r w:rsidRPr="00B74656">
        <w:rPr>
          <w:rFonts w:ascii="Sylfaen" w:hAnsi="Sylfaen"/>
        </w:rPr>
        <w:t xml:space="preserve">: </w:t>
      </w:r>
    </w:p>
    <w:p w14:paraId="3B62F675" w14:textId="77777777" w:rsidR="00CD64B5" w:rsidRPr="00B74656" w:rsidRDefault="00CD64B5" w:rsidP="00CD64B5">
      <w:pPr>
        <w:spacing w:before="120" w:after="120"/>
        <w:rPr>
          <w:rFonts w:ascii="Sylfaen" w:hAnsi="Sylfaen"/>
        </w:rPr>
      </w:pPr>
      <w:r w:rsidRPr="00B74656">
        <w:rPr>
          <w:rFonts w:ascii="Sylfaen" w:hAnsi="Sylfaen"/>
        </w:rPr>
        <w:t xml:space="preserve">Gi = ∑kk=1(mДВ ik · tДВ + 1,3 · mДВ ik · tНАГР. + mХХ ik · tХХ) · Nk / 1800, </w:t>
      </w:r>
      <w:r w:rsidRPr="00B74656">
        <w:rPr>
          <w:rFonts w:ascii="Sylfaen" w:hAnsi="Sylfaen" w:cs="Sylfaen"/>
        </w:rPr>
        <w:t>გ</w:t>
      </w:r>
      <w:r w:rsidRPr="00B74656">
        <w:rPr>
          <w:rFonts w:ascii="Sylfaen" w:hAnsi="Sylfaen"/>
        </w:rPr>
        <w:t>/</w:t>
      </w:r>
      <w:r w:rsidRPr="00B74656">
        <w:rPr>
          <w:rFonts w:ascii="Sylfaen" w:hAnsi="Sylfaen" w:cs="Sylfaen"/>
        </w:rPr>
        <w:t>წმ</w:t>
      </w:r>
      <w:r w:rsidRPr="00B74656">
        <w:rPr>
          <w:rFonts w:ascii="Sylfaen" w:hAnsi="Sylfaen"/>
        </w:rPr>
        <w:t>;</w:t>
      </w:r>
      <w:r w:rsidRPr="00B74656">
        <w:rPr>
          <w:rFonts w:ascii="Sylfaen" w:hAnsi="Sylfaen"/>
        </w:rPr>
        <w:tab/>
      </w:r>
    </w:p>
    <w:p w14:paraId="5E95B7BA" w14:textId="77777777" w:rsidR="00CD64B5" w:rsidRPr="00B74656" w:rsidRDefault="00CD64B5" w:rsidP="00CD64B5">
      <w:pPr>
        <w:spacing w:before="120" w:after="120"/>
        <w:rPr>
          <w:rFonts w:ascii="Sylfaen" w:hAnsi="Sylfaen"/>
        </w:rPr>
      </w:pPr>
      <w:r w:rsidRPr="00B74656">
        <w:rPr>
          <w:rFonts w:ascii="Sylfaen" w:hAnsi="Sylfaen" w:cs="Sylfaen"/>
        </w:rPr>
        <w:t>სადაც</w:t>
      </w:r>
      <w:r w:rsidRPr="00B74656">
        <w:rPr>
          <w:rFonts w:ascii="Sylfaen" w:hAnsi="Sylfaen"/>
        </w:rPr>
        <w:t>,</w:t>
      </w:r>
    </w:p>
    <w:p w14:paraId="30B63084" w14:textId="77777777" w:rsidR="00CD64B5" w:rsidRPr="00B74656" w:rsidRDefault="00CD64B5" w:rsidP="00CD64B5">
      <w:pPr>
        <w:spacing w:before="120" w:after="120"/>
        <w:rPr>
          <w:rFonts w:ascii="Sylfaen" w:hAnsi="Sylfaen"/>
        </w:rPr>
      </w:pPr>
      <w:r w:rsidRPr="00B74656">
        <w:rPr>
          <w:rFonts w:ascii="Sylfaen" w:hAnsi="Sylfaen"/>
        </w:rPr>
        <w:t>mДВ ik – k-</w:t>
      </w:r>
      <w:r w:rsidRPr="00B74656">
        <w:rPr>
          <w:rFonts w:ascii="Sylfaen" w:hAnsi="Sylfaen" w:cs="Sylfaen"/>
        </w:rPr>
        <w:t>ური</w:t>
      </w:r>
      <w:r w:rsidRPr="00B74656">
        <w:rPr>
          <w:rFonts w:ascii="Sylfaen" w:hAnsi="Sylfaen"/>
        </w:rPr>
        <w:t xml:space="preserve"> </w:t>
      </w:r>
      <w:r w:rsidRPr="00B74656">
        <w:rPr>
          <w:rFonts w:ascii="Sylfaen" w:hAnsi="Sylfaen" w:cs="Sylfaen"/>
        </w:rPr>
        <w:t>ჯგუფისათვის</w:t>
      </w:r>
      <w:r w:rsidRPr="00B74656">
        <w:rPr>
          <w:rFonts w:ascii="Sylfaen" w:hAnsi="Sylfaen"/>
        </w:rPr>
        <w:t xml:space="preserve"> i-</w:t>
      </w:r>
      <w:r w:rsidRPr="00B74656">
        <w:rPr>
          <w:rFonts w:ascii="Sylfaen" w:hAnsi="Sylfaen" w:cs="Sylfaen"/>
        </w:rPr>
        <w:t>ური</w:t>
      </w:r>
      <w:r w:rsidRPr="00B74656">
        <w:rPr>
          <w:rFonts w:ascii="Sylfaen" w:hAnsi="Sylfaen"/>
        </w:rPr>
        <w:t xml:space="preserve"> </w:t>
      </w:r>
      <w:r w:rsidRPr="00B74656">
        <w:rPr>
          <w:rFonts w:ascii="Sylfaen" w:hAnsi="Sylfaen" w:cs="Sylfaen"/>
        </w:rPr>
        <w:t>ნივთიერების</w:t>
      </w:r>
      <w:r w:rsidRPr="00B74656">
        <w:rPr>
          <w:rFonts w:ascii="Sylfaen" w:hAnsi="Sylfaen"/>
        </w:rPr>
        <w:t xml:space="preserve"> </w:t>
      </w:r>
      <w:r w:rsidRPr="00B74656">
        <w:rPr>
          <w:rFonts w:ascii="Sylfaen" w:hAnsi="Sylfaen" w:cs="Sylfaen"/>
        </w:rPr>
        <w:t>კუთრი</w:t>
      </w:r>
      <w:r w:rsidRPr="00B74656">
        <w:rPr>
          <w:rFonts w:ascii="Sylfaen" w:hAnsi="Sylfaen"/>
        </w:rPr>
        <w:t xml:space="preserve"> </w:t>
      </w:r>
      <w:r w:rsidRPr="00B74656">
        <w:rPr>
          <w:rFonts w:ascii="Sylfaen" w:hAnsi="Sylfaen" w:cs="Sylfaen"/>
        </w:rPr>
        <w:t>ემისია</w:t>
      </w:r>
      <w:r w:rsidRPr="00B74656">
        <w:rPr>
          <w:rFonts w:ascii="Sylfaen" w:hAnsi="Sylfaen"/>
        </w:rPr>
        <w:t xml:space="preserve"> </w:t>
      </w:r>
      <w:r w:rsidRPr="00B74656">
        <w:rPr>
          <w:rFonts w:ascii="Sylfaen" w:hAnsi="Sylfaen" w:cs="Sylfaen"/>
        </w:rPr>
        <w:t>მანქანის</w:t>
      </w:r>
      <w:r w:rsidRPr="00B74656">
        <w:rPr>
          <w:rFonts w:ascii="Sylfaen" w:hAnsi="Sylfaen"/>
        </w:rPr>
        <w:t xml:space="preserve"> </w:t>
      </w:r>
      <w:r w:rsidRPr="00B74656">
        <w:rPr>
          <w:rFonts w:ascii="Sylfaen" w:hAnsi="Sylfaen" w:cs="Sylfaen"/>
        </w:rPr>
        <w:t>მოძრაობისას</w:t>
      </w:r>
      <w:r w:rsidRPr="00B74656">
        <w:rPr>
          <w:rFonts w:ascii="Sylfaen" w:hAnsi="Sylfaen"/>
        </w:rPr>
        <w:t xml:space="preserve"> </w:t>
      </w:r>
      <w:r w:rsidRPr="00B74656">
        <w:rPr>
          <w:rFonts w:ascii="Sylfaen" w:hAnsi="Sylfaen" w:cs="Sylfaen"/>
        </w:rPr>
        <w:t>დატვირთვის</w:t>
      </w:r>
      <w:r w:rsidRPr="00B74656">
        <w:rPr>
          <w:rFonts w:ascii="Sylfaen" w:hAnsi="Sylfaen"/>
        </w:rPr>
        <w:t xml:space="preserve"> </w:t>
      </w:r>
      <w:r w:rsidRPr="00B74656">
        <w:rPr>
          <w:rFonts w:ascii="Sylfaen" w:hAnsi="Sylfaen" w:cs="Sylfaen"/>
        </w:rPr>
        <w:t>გარეშე</w:t>
      </w:r>
      <w:r w:rsidRPr="00B74656">
        <w:rPr>
          <w:rFonts w:ascii="Sylfaen" w:hAnsi="Sylfaen"/>
        </w:rPr>
        <w:t xml:space="preserve">, </w:t>
      </w:r>
      <w:r w:rsidRPr="00B74656">
        <w:rPr>
          <w:rFonts w:ascii="Sylfaen" w:hAnsi="Sylfaen" w:cs="Sylfaen"/>
        </w:rPr>
        <w:t>გ</w:t>
      </w:r>
      <w:r w:rsidRPr="00B74656">
        <w:rPr>
          <w:rFonts w:ascii="Sylfaen" w:hAnsi="Sylfaen"/>
        </w:rPr>
        <w:t>/</w:t>
      </w:r>
      <w:r w:rsidRPr="00B74656">
        <w:rPr>
          <w:rFonts w:ascii="Sylfaen" w:hAnsi="Sylfaen" w:cs="Sylfaen"/>
        </w:rPr>
        <w:t>წთ</w:t>
      </w:r>
      <w:r w:rsidRPr="00B74656">
        <w:rPr>
          <w:rFonts w:ascii="Sylfaen" w:hAnsi="Sylfaen"/>
        </w:rPr>
        <w:t xml:space="preserve">; </w:t>
      </w:r>
    </w:p>
    <w:p w14:paraId="586FF88A" w14:textId="77777777" w:rsidR="00CD64B5" w:rsidRPr="00B74656" w:rsidRDefault="00CD64B5" w:rsidP="00CD64B5">
      <w:pPr>
        <w:spacing w:before="120" w:after="120"/>
        <w:rPr>
          <w:rFonts w:ascii="Sylfaen" w:hAnsi="Sylfaen"/>
        </w:rPr>
      </w:pPr>
      <w:r w:rsidRPr="00B74656">
        <w:rPr>
          <w:rFonts w:ascii="Sylfaen" w:hAnsi="Sylfaen"/>
        </w:rPr>
        <w:t>1,3 · mДВ ik – k-</w:t>
      </w:r>
      <w:r w:rsidRPr="00B74656">
        <w:rPr>
          <w:rFonts w:ascii="Sylfaen" w:hAnsi="Sylfaen" w:cs="Sylfaen"/>
        </w:rPr>
        <w:t>ური</w:t>
      </w:r>
      <w:r w:rsidRPr="00B74656">
        <w:rPr>
          <w:rFonts w:ascii="Sylfaen" w:hAnsi="Sylfaen"/>
        </w:rPr>
        <w:t xml:space="preserve"> </w:t>
      </w:r>
      <w:r w:rsidRPr="00B74656">
        <w:rPr>
          <w:rFonts w:ascii="Sylfaen" w:hAnsi="Sylfaen" w:cs="Sylfaen"/>
        </w:rPr>
        <w:t>ჯგუფისათვის</w:t>
      </w:r>
      <w:r w:rsidRPr="00B74656">
        <w:rPr>
          <w:rFonts w:ascii="Sylfaen" w:hAnsi="Sylfaen"/>
        </w:rPr>
        <w:t xml:space="preserve"> i-</w:t>
      </w:r>
      <w:r w:rsidRPr="00B74656">
        <w:rPr>
          <w:rFonts w:ascii="Sylfaen" w:hAnsi="Sylfaen" w:cs="Sylfaen"/>
        </w:rPr>
        <w:t>ური</w:t>
      </w:r>
      <w:r w:rsidRPr="00B74656">
        <w:rPr>
          <w:rFonts w:ascii="Sylfaen" w:hAnsi="Sylfaen"/>
        </w:rPr>
        <w:t xml:space="preserve"> </w:t>
      </w:r>
      <w:r w:rsidRPr="00B74656">
        <w:rPr>
          <w:rFonts w:ascii="Sylfaen" w:hAnsi="Sylfaen" w:cs="Sylfaen"/>
        </w:rPr>
        <w:t>ნივთიერების</w:t>
      </w:r>
      <w:r w:rsidRPr="00B74656">
        <w:rPr>
          <w:rFonts w:ascii="Sylfaen" w:hAnsi="Sylfaen"/>
        </w:rPr>
        <w:t xml:space="preserve"> </w:t>
      </w:r>
      <w:r w:rsidRPr="00B74656">
        <w:rPr>
          <w:rFonts w:ascii="Sylfaen" w:hAnsi="Sylfaen" w:cs="Sylfaen"/>
        </w:rPr>
        <w:t>კუთრი</w:t>
      </w:r>
      <w:r w:rsidRPr="00B74656">
        <w:rPr>
          <w:rFonts w:ascii="Sylfaen" w:hAnsi="Sylfaen"/>
        </w:rPr>
        <w:t xml:space="preserve"> </w:t>
      </w:r>
      <w:r w:rsidRPr="00B74656">
        <w:rPr>
          <w:rFonts w:ascii="Sylfaen" w:hAnsi="Sylfaen" w:cs="Sylfaen"/>
        </w:rPr>
        <w:t>ემისია</w:t>
      </w:r>
      <w:r w:rsidRPr="00B74656">
        <w:rPr>
          <w:rFonts w:ascii="Sylfaen" w:hAnsi="Sylfaen"/>
        </w:rPr>
        <w:t xml:space="preserve"> </w:t>
      </w:r>
      <w:r w:rsidRPr="00B74656">
        <w:rPr>
          <w:rFonts w:ascii="Sylfaen" w:hAnsi="Sylfaen" w:cs="Sylfaen"/>
        </w:rPr>
        <w:t>მანქანის</w:t>
      </w:r>
      <w:r w:rsidRPr="00B74656">
        <w:rPr>
          <w:rFonts w:ascii="Sylfaen" w:hAnsi="Sylfaen"/>
        </w:rPr>
        <w:t xml:space="preserve"> </w:t>
      </w:r>
      <w:r w:rsidRPr="00B74656">
        <w:rPr>
          <w:rFonts w:ascii="Sylfaen" w:hAnsi="Sylfaen" w:cs="Sylfaen"/>
        </w:rPr>
        <w:t>მოძრაობისას</w:t>
      </w:r>
      <w:r w:rsidRPr="00B74656">
        <w:rPr>
          <w:rFonts w:ascii="Sylfaen" w:hAnsi="Sylfaen"/>
        </w:rPr>
        <w:t xml:space="preserve"> </w:t>
      </w:r>
      <w:r w:rsidRPr="00B74656">
        <w:rPr>
          <w:rFonts w:ascii="Sylfaen" w:hAnsi="Sylfaen" w:cs="Sylfaen"/>
        </w:rPr>
        <w:t>დატვირთვით</w:t>
      </w:r>
      <w:r w:rsidRPr="00B74656">
        <w:rPr>
          <w:rFonts w:ascii="Sylfaen" w:hAnsi="Sylfaen"/>
        </w:rPr>
        <w:t xml:space="preserve">, </w:t>
      </w:r>
      <w:r w:rsidRPr="00B74656">
        <w:rPr>
          <w:rFonts w:ascii="Sylfaen" w:hAnsi="Sylfaen" w:cs="Sylfaen"/>
        </w:rPr>
        <w:t>გ</w:t>
      </w:r>
      <w:r w:rsidRPr="00B74656">
        <w:rPr>
          <w:rFonts w:ascii="Sylfaen" w:hAnsi="Sylfaen"/>
        </w:rPr>
        <w:t>/</w:t>
      </w:r>
      <w:r w:rsidRPr="00B74656">
        <w:rPr>
          <w:rFonts w:ascii="Sylfaen" w:hAnsi="Sylfaen" w:cs="Sylfaen"/>
        </w:rPr>
        <w:t>წთ</w:t>
      </w:r>
      <w:r w:rsidRPr="00B74656">
        <w:rPr>
          <w:rFonts w:ascii="Sylfaen" w:hAnsi="Sylfaen"/>
        </w:rPr>
        <w:t xml:space="preserve">; </w:t>
      </w:r>
    </w:p>
    <w:p w14:paraId="5A9EB600" w14:textId="77777777" w:rsidR="00CD64B5" w:rsidRPr="00B74656" w:rsidRDefault="00CD64B5" w:rsidP="00CD64B5">
      <w:pPr>
        <w:spacing w:before="120" w:after="120"/>
        <w:rPr>
          <w:rFonts w:ascii="Sylfaen" w:hAnsi="Sylfaen"/>
        </w:rPr>
      </w:pPr>
      <w:r w:rsidRPr="00B74656">
        <w:rPr>
          <w:rFonts w:ascii="Sylfaen" w:hAnsi="Sylfaen"/>
        </w:rPr>
        <w:lastRenderedPageBreak/>
        <w:t>mДВ ik – k-</w:t>
      </w:r>
      <w:r w:rsidRPr="00B74656">
        <w:rPr>
          <w:rFonts w:ascii="Sylfaen" w:hAnsi="Sylfaen" w:cs="Sylfaen"/>
        </w:rPr>
        <w:t>ური</w:t>
      </w:r>
      <w:r w:rsidRPr="00B74656">
        <w:rPr>
          <w:rFonts w:ascii="Sylfaen" w:hAnsi="Sylfaen"/>
        </w:rPr>
        <w:t xml:space="preserve"> </w:t>
      </w:r>
      <w:r w:rsidRPr="00B74656">
        <w:rPr>
          <w:rFonts w:ascii="Sylfaen" w:hAnsi="Sylfaen" w:cs="Sylfaen"/>
        </w:rPr>
        <w:t>ჯგუფისათვის</w:t>
      </w:r>
      <w:r w:rsidRPr="00B74656">
        <w:rPr>
          <w:rFonts w:ascii="Sylfaen" w:hAnsi="Sylfaen"/>
        </w:rPr>
        <w:t xml:space="preserve"> i-</w:t>
      </w:r>
      <w:r w:rsidRPr="00B74656">
        <w:rPr>
          <w:rFonts w:ascii="Sylfaen" w:hAnsi="Sylfaen" w:cs="Sylfaen"/>
        </w:rPr>
        <w:t>ური</w:t>
      </w:r>
      <w:r w:rsidRPr="00B74656">
        <w:rPr>
          <w:rFonts w:ascii="Sylfaen" w:hAnsi="Sylfaen"/>
        </w:rPr>
        <w:t xml:space="preserve"> </w:t>
      </w:r>
      <w:r w:rsidRPr="00B74656">
        <w:rPr>
          <w:rFonts w:ascii="Sylfaen" w:hAnsi="Sylfaen" w:cs="Sylfaen"/>
        </w:rPr>
        <w:t>ნივთიერების</w:t>
      </w:r>
      <w:r w:rsidRPr="00B74656">
        <w:rPr>
          <w:rFonts w:ascii="Sylfaen" w:hAnsi="Sylfaen"/>
        </w:rPr>
        <w:t xml:space="preserve"> </w:t>
      </w:r>
      <w:r w:rsidRPr="00B74656">
        <w:rPr>
          <w:rFonts w:ascii="Sylfaen" w:hAnsi="Sylfaen" w:cs="Sylfaen"/>
        </w:rPr>
        <w:t>კუთრი</w:t>
      </w:r>
      <w:r w:rsidRPr="00B74656">
        <w:rPr>
          <w:rFonts w:ascii="Sylfaen" w:hAnsi="Sylfaen"/>
        </w:rPr>
        <w:t xml:space="preserve"> </w:t>
      </w:r>
      <w:r w:rsidRPr="00B74656">
        <w:rPr>
          <w:rFonts w:ascii="Sylfaen" w:hAnsi="Sylfaen" w:cs="Sylfaen"/>
        </w:rPr>
        <w:t>ემისია</w:t>
      </w:r>
      <w:r w:rsidRPr="00B74656">
        <w:rPr>
          <w:rFonts w:ascii="Sylfaen" w:hAnsi="Sylfaen"/>
        </w:rPr>
        <w:t xml:space="preserve"> </w:t>
      </w:r>
      <w:r w:rsidRPr="00B74656">
        <w:rPr>
          <w:rFonts w:ascii="Sylfaen" w:hAnsi="Sylfaen" w:cs="Sylfaen"/>
        </w:rPr>
        <w:t>მანქანის</w:t>
      </w:r>
      <w:r w:rsidRPr="00B74656">
        <w:rPr>
          <w:rFonts w:ascii="Sylfaen" w:hAnsi="Sylfaen"/>
        </w:rPr>
        <w:t xml:space="preserve"> </w:t>
      </w:r>
      <w:r w:rsidRPr="00B74656">
        <w:rPr>
          <w:rFonts w:ascii="Sylfaen" w:hAnsi="Sylfaen" w:cs="Sylfaen"/>
        </w:rPr>
        <w:t>მოძრაობისას</w:t>
      </w:r>
      <w:r w:rsidRPr="00B74656">
        <w:rPr>
          <w:rFonts w:ascii="Sylfaen" w:hAnsi="Sylfaen"/>
        </w:rPr>
        <w:t xml:space="preserve"> </w:t>
      </w:r>
      <w:r w:rsidRPr="00B74656">
        <w:rPr>
          <w:rFonts w:ascii="Sylfaen" w:hAnsi="Sylfaen" w:cs="Sylfaen"/>
        </w:rPr>
        <w:t>უქმი</w:t>
      </w:r>
      <w:r w:rsidRPr="00B74656">
        <w:rPr>
          <w:rFonts w:ascii="Sylfaen" w:hAnsi="Sylfaen"/>
        </w:rPr>
        <w:t xml:space="preserve"> </w:t>
      </w:r>
      <w:r w:rsidRPr="00B74656">
        <w:rPr>
          <w:rFonts w:ascii="Sylfaen" w:hAnsi="Sylfaen" w:cs="Sylfaen"/>
        </w:rPr>
        <w:t>სვლის</w:t>
      </w:r>
      <w:r w:rsidRPr="00B74656">
        <w:rPr>
          <w:rFonts w:ascii="Sylfaen" w:hAnsi="Sylfaen"/>
        </w:rPr>
        <w:t xml:space="preserve"> </w:t>
      </w:r>
      <w:r w:rsidRPr="00B74656">
        <w:rPr>
          <w:rFonts w:ascii="Sylfaen" w:hAnsi="Sylfaen" w:cs="Sylfaen"/>
        </w:rPr>
        <w:t>რეჟიმზე</w:t>
      </w:r>
      <w:r w:rsidRPr="00B74656">
        <w:rPr>
          <w:rFonts w:ascii="Sylfaen" w:hAnsi="Sylfaen"/>
        </w:rPr>
        <w:t xml:space="preserve">, </w:t>
      </w:r>
      <w:r w:rsidRPr="00B74656">
        <w:rPr>
          <w:rFonts w:ascii="Sylfaen" w:hAnsi="Sylfaen" w:cs="Sylfaen"/>
        </w:rPr>
        <w:t>გ</w:t>
      </w:r>
      <w:r w:rsidRPr="00B74656">
        <w:rPr>
          <w:rFonts w:ascii="Sylfaen" w:hAnsi="Sylfaen"/>
        </w:rPr>
        <w:t>/</w:t>
      </w:r>
      <w:r w:rsidRPr="00B74656">
        <w:rPr>
          <w:rFonts w:ascii="Sylfaen" w:hAnsi="Sylfaen" w:cs="Sylfaen"/>
        </w:rPr>
        <w:t>წთ</w:t>
      </w:r>
      <w:r w:rsidRPr="00B74656">
        <w:rPr>
          <w:rFonts w:ascii="Sylfaen" w:hAnsi="Sylfaen"/>
        </w:rPr>
        <w:t xml:space="preserve">; </w:t>
      </w:r>
    </w:p>
    <w:p w14:paraId="15B8FF1C" w14:textId="77777777" w:rsidR="00CD64B5" w:rsidRPr="00B74656" w:rsidRDefault="00CD64B5" w:rsidP="00CD64B5">
      <w:pPr>
        <w:spacing w:before="120" w:after="120"/>
        <w:rPr>
          <w:rFonts w:ascii="Sylfaen" w:hAnsi="Sylfaen"/>
        </w:rPr>
      </w:pPr>
      <w:r w:rsidRPr="00B74656">
        <w:rPr>
          <w:rFonts w:ascii="Sylfaen" w:hAnsi="Sylfaen"/>
        </w:rPr>
        <w:t>tДВ -</w:t>
      </w:r>
      <w:r w:rsidRPr="00B74656">
        <w:rPr>
          <w:rFonts w:ascii="Sylfaen" w:hAnsi="Sylfaen" w:cs="Sylfaen"/>
        </w:rPr>
        <w:t>მანქანის</w:t>
      </w:r>
      <w:r w:rsidRPr="00B74656">
        <w:rPr>
          <w:rFonts w:ascii="Sylfaen" w:hAnsi="Sylfaen"/>
        </w:rPr>
        <w:t xml:space="preserve"> </w:t>
      </w:r>
      <w:r w:rsidRPr="00B74656">
        <w:rPr>
          <w:rFonts w:ascii="Sylfaen" w:hAnsi="Sylfaen" w:cs="Sylfaen"/>
        </w:rPr>
        <w:t>მოძრაობის</w:t>
      </w:r>
      <w:r w:rsidRPr="00B74656">
        <w:rPr>
          <w:rFonts w:ascii="Sylfaen" w:hAnsi="Sylfaen"/>
        </w:rPr>
        <w:t xml:space="preserve"> </w:t>
      </w:r>
      <w:r w:rsidRPr="00B74656">
        <w:rPr>
          <w:rFonts w:ascii="Sylfaen" w:hAnsi="Sylfaen" w:cs="Sylfaen"/>
        </w:rPr>
        <w:t>დრო</w:t>
      </w:r>
      <w:r w:rsidRPr="00B74656">
        <w:rPr>
          <w:rFonts w:ascii="Sylfaen" w:hAnsi="Sylfaen"/>
        </w:rPr>
        <w:t xml:space="preserve"> 30 </w:t>
      </w:r>
      <w:r w:rsidRPr="00B74656">
        <w:rPr>
          <w:rFonts w:ascii="Sylfaen" w:hAnsi="Sylfaen" w:cs="Sylfaen"/>
        </w:rPr>
        <w:t>წთ</w:t>
      </w:r>
      <w:r w:rsidRPr="00B74656">
        <w:rPr>
          <w:rFonts w:ascii="Sylfaen" w:hAnsi="Sylfaen"/>
        </w:rPr>
        <w:t>-</w:t>
      </w:r>
      <w:r w:rsidRPr="00B74656">
        <w:rPr>
          <w:rFonts w:ascii="Sylfaen" w:hAnsi="Sylfaen" w:cs="Sylfaen"/>
        </w:rPr>
        <w:t>იან</w:t>
      </w:r>
      <w:r w:rsidRPr="00B74656">
        <w:rPr>
          <w:rFonts w:ascii="Sylfaen" w:hAnsi="Sylfaen"/>
        </w:rPr>
        <w:t xml:space="preserve"> </w:t>
      </w:r>
      <w:r w:rsidRPr="00B74656">
        <w:rPr>
          <w:rFonts w:ascii="Sylfaen" w:hAnsi="Sylfaen" w:cs="Sylfaen"/>
        </w:rPr>
        <w:t>ინტერვალში</w:t>
      </w:r>
      <w:r w:rsidRPr="00B74656">
        <w:rPr>
          <w:rFonts w:ascii="Sylfaen" w:hAnsi="Sylfaen"/>
        </w:rPr>
        <w:t xml:space="preserve"> </w:t>
      </w:r>
      <w:r w:rsidRPr="00B74656">
        <w:rPr>
          <w:rFonts w:ascii="Sylfaen" w:hAnsi="Sylfaen" w:cs="Sylfaen"/>
        </w:rPr>
        <w:t>დატვირთვის</w:t>
      </w:r>
      <w:r w:rsidRPr="00B74656">
        <w:rPr>
          <w:rFonts w:ascii="Sylfaen" w:hAnsi="Sylfaen"/>
        </w:rPr>
        <w:t xml:space="preserve"> </w:t>
      </w:r>
      <w:r w:rsidRPr="00B74656">
        <w:rPr>
          <w:rFonts w:ascii="Sylfaen" w:hAnsi="Sylfaen" w:cs="Sylfaen"/>
        </w:rPr>
        <w:t>გარეშე</w:t>
      </w:r>
      <w:r w:rsidRPr="00B74656">
        <w:rPr>
          <w:rFonts w:ascii="Sylfaen" w:hAnsi="Sylfaen"/>
        </w:rPr>
        <w:t xml:space="preserve">, </w:t>
      </w:r>
      <w:r w:rsidRPr="00B74656">
        <w:rPr>
          <w:rFonts w:ascii="Sylfaen" w:hAnsi="Sylfaen" w:cs="Sylfaen"/>
        </w:rPr>
        <w:t>წთ</w:t>
      </w:r>
      <w:r w:rsidRPr="00B74656">
        <w:rPr>
          <w:rFonts w:ascii="Sylfaen" w:hAnsi="Sylfaen"/>
        </w:rPr>
        <w:t xml:space="preserve">; </w:t>
      </w:r>
    </w:p>
    <w:p w14:paraId="751F983B" w14:textId="77777777" w:rsidR="00CD64B5" w:rsidRPr="00B74656" w:rsidRDefault="00CD64B5" w:rsidP="00CD64B5">
      <w:pPr>
        <w:spacing w:before="120" w:after="120"/>
        <w:rPr>
          <w:rFonts w:ascii="Sylfaen" w:hAnsi="Sylfaen"/>
        </w:rPr>
      </w:pPr>
      <w:r w:rsidRPr="00B74656">
        <w:rPr>
          <w:rFonts w:ascii="Sylfaen" w:hAnsi="Sylfaen"/>
        </w:rPr>
        <w:t>tНАГР. -</w:t>
      </w:r>
      <w:r w:rsidRPr="00B74656">
        <w:rPr>
          <w:rFonts w:ascii="Sylfaen" w:hAnsi="Sylfaen" w:cs="Sylfaen"/>
        </w:rPr>
        <w:t>მანქანის</w:t>
      </w:r>
      <w:r w:rsidRPr="00B74656">
        <w:rPr>
          <w:rFonts w:ascii="Sylfaen" w:hAnsi="Sylfaen"/>
        </w:rPr>
        <w:t xml:space="preserve"> </w:t>
      </w:r>
      <w:r w:rsidRPr="00B74656">
        <w:rPr>
          <w:rFonts w:ascii="Sylfaen" w:hAnsi="Sylfaen" w:cs="Sylfaen"/>
        </w:rPr>
        <w:t>მოძრაობის</w:t>
      </w:r>
      <w:r w:rsidRPr="00B74656">
        <w:rPr>
          <w:rFonts w:ascii="Sylfaen" w:hAnsi="Sylfaen"/>
        </w:rPr>
        <w:t xml:space="preserve"> </w:t>
      </w:r>
      <w:r w:rsidRPr="00B74656">
        <w:rPr>
          <w:rFonts w:ascii="Sylfaen" w:hAnsi="Sylfaen" w:cs="Sylfaen"/>
        </w:rPr>
        <w:t>დრო</w:t>
      </w:r>
      <w:r w:rsidRPr="00B74656">
        <w:rPr>
          <w:rFonts w:ascii="Sylfaen" w:hAnsi="Sylfaen"/>
        </w:rPr>
        <w:t xml:space="preserve"> 30 </w:t>
      </w:r>
      <w:r w:rsidRPr="00B74656">
        <w:rPr>
          <w:rFonts w:ascii="Sylfaen" w:hAnsi="Sylfaen" w:cs="Sylfaen"/>
        </w:rPr>
        <w:t>წთ</w:t>
      </w:r>
      <w:r w:rsidRPr="00B74656">
        <w:rPr>
          <w:rFonts w:ascii="Sylfaen" w:hAnsi="Sylfaen"/>
        </w:rPr>
        <w:t>-</w:t>
      </w:r>
      <w:r w:rsidRPr="00B74656">
        <w:rPr>
          <w:rFonts w:ascii="Sylfaen" w:hAnsi="Sylfaen" w:cs="Sylfaen"/>
        </w:rPr>
        <w:t>იან</w:t>
      </w:r>
      <w:r w:rsidRPr="00B74656">
        <w:rPr>
          <w:rFonts w:ascii="Sylfaen" w:hAnsi="Sylfaen"/>
        </w:rPr>
        <w:t xml:space="preserve"> </w:t>
      </w:r>
      <w:r w:rsidRPr="00B74656">
        <w:rPr>
          <w:rFonts w:ascii="Sylfaen" w:hAnsi="Sylfaen" w:cs="Sylfaen"/>
        </w:rPr>
        <w:t>ინტერვალში</w:t>
      </w:r>
      <w:r w:rsidRPr="00B74656">
        <w:rPr>
          <w:rFonts w:ascii="Sylfaen" w:hAnsi="Sylfaen"/>
        </w:rPr>
        <w:t xml:space="preserve"> </w:t>
      </w:r>
      <w:r w:rsidRPr="00B74656">
        <w:rPr>
          <w:rFonts w:ascii="Sylfaen" w:hAnsi="Sylfaen" w:cs="Sylfaen"/>
        </w:rPr>
        <w:t>დატვირთვით</w:t>
      </w:r>
      <w:r w:rsidRPr="00B74656">
        <w:rPr>
          <w:rFonts w:ascii="Sylfaen" w:hAnsi="Sylfaen"/>
        </w:rPr>
        <w:t xml:space="preserve">, </w:t>
      </w:r>
      <w:r w:rsidRPr="00B74656">
        <w:rPr>
          <w:rFonts w:ascii="Sylfaen" w:hAnsi="Sylfaen" w:cs="Sylfaen"/>
        </w:rPr>
        <w:t>წთ</w:t>
      </w:r>
      <w:r w:rsidRPr="00B74656">
        <w:rPr>
          <w:rFonts w:ascii="Sylfaen" w:hAnsi="Sylfaen"/>
        </w:rPr>
        <w:t>;</w:t>
      </w:r>
    </w:p>
    <w:p w14:paraId="581FFF13" w14:textId="77777777" w:rsidR="00CD64B5" w:rsidRPr="00B74656" w:rsidRDefault="00CD64B5" w:rsidP="00CD64B5">
      <w:pPr>
        <w:spacing w:before="120" w:after="120"/>
        <w:rPr>
          <w:rFonts w:ascii="Sylfaen" w:hAnsi="Sylfaen"/>
        </w:rPr>
      </w:pPr>
      <w:r w:rsidRPr="00B74656">
        <w:rPr>
          <w:rFonts w:ascii="Sylfaen" w:hAnsi="Sylfaen"/>
        </w:rPr>
        <w:t>tХХ -</w:t>
      </w:r>
      <w:r w:rsidRPr="00B74656">
        <w:rPr>
          <w:rFonts w:ascii="Sylfaen" w:hAnsi="Sylfaen" w:cs="Sylfaen"/>
        </w:rPr>
        <w:t>მანქანის</w:t>
      </w:r>
      <w:r w:rsidRPr="00B74656">
        <w:rPr>
          <w:rFonts w:ascii="Sylfaen" w:hAnsi="Sylfaen"/>
        </w:rPr>
        <w:t xml:space="preserve"> </w:t>
      </w:r>
      <w:r w:rsidRPr="00B74656">
        <w:rPr>
          <w:rFonts w:ascii="Sylfaen" w:hAnsi="Sylfaen" w:cs="Sylfaen"/>
        </w:rPr>
        <w:t>მოძრაობის</w:t>
      </w:r>
      <w:r w:rsidRPr="00B74656">
        <w:rPr>
          <w:rFonts w:ascii="Sylfaen" w:hAnsi="Sylfaen"/>
        </w:rPr>
        <w:t xml:space="preserve"> </w:t>
      </w:r>
      <w:r w:rsidRPr="00B74656">
        <w:rPr>
          <w:rFonts w:ascii="Sylfaen" w:hAnsi="Sylfaen" w:cs="Sylfaen"/>
        </w:rPr>
        <w:t>დრო</w:t>
      </w:r>
      <w:r w:rsidRPr="00B74656">
        <w:rPr>
          <w:rFonts w:ascii="Sylfaen" w:hAnsi="Sylfaen"/>
        </w:rPr>
        <w:t xml:space="preserve"> 30 </w:t>
      </w:r>
      <w:r w:rsidRPr="00B74656">
        <w:rPr>
          <w:rFonts w:ascii="Sylfaen" w:hAnsi="Sylfaen" w:cs="Sylfaen"/>
        </w:rPr>
        <w:t>წთ</w:t>
      </w:r>
      <w:r w:rsidRPr="00B74656">
        <w:rPr>
          <w:rFonts w:ascii="Sylfaen" w:hAnsi="Sylfaen"/>
        </w:rPr>
        <w:t>-</w:t>
      </w:r>
      <w:r w:rsidRPr="00B74656">
        <w:rPr>
          <w:rFonts w:ascii="Sylfaen" w:hAnsi="Sylfaen" w:cs="Sylfaen"/>
        </w:rPr>
        <w:t>იან</w:t>
      </w:r>
      <w:r w:rsidRPr="00B74656">
        <w:rPr>
          <w:rFonts w:ascii="Sylfaen" w:hAnsi="Sylfaen"/>
        </w:rPr>
        <w:t xml:space="preserve"> </w:t>
      </w:r>
      <w:r w:rsidRPr="00B74656">
        <w:rPr>
          <w:rFonts w:ascii="Sylfaen" w:hAnsi="Sylfaen" w:cs="Sylfaen"/>
        </w:rPr>
        <w:t>ინტერვალში</w:t>
      </w:r>
      <w:r w:rsidRPr="00B74656">
        <w:rPr>
          <w:rFonts w:ascii="Sylfaen" w:hAnsi="Sylfaen"/>
        </w:rPr>
        <w:t xml:space="preserve"> </w:t>
      </w:r>
      <w:r w:rsidRPr="00B74656">
        <w:rPr>
          <w:rFonts w:ascii="Sylfaen" w:hAnsi="Sylfaen" w:cs="Sylfaen"/>
        </w:rPr>
        <w:t>უქმი</w:t>
      </w:r>
      <w:r w:rsidRPr="00B74656">
        <w:rPr>
          <w:rFonts w:ascii="Sylfaen" w:hAnsi="Sylfaen"/>
        </w:rPr>
        <w:t xml:space="preserve"> </w:t>
      </w:r>
      <w:r w:rsidRPr="00B74656">
        <w:rPr>
          <w:rFonts w:ascii="Sylfaen" w:hAnsi="Sylfaen" w:cs="Sylfaen"/>
        </w:rPr>
        <w:t>სვლის</w:t>
      </w:r>
      <w:r w:rsidRPr="00B74656">
        <w:rPr>
          <w:rFonts w:ascii="Sylfaen" w:hAnsi="Sylfaen"/>
        </w:rPr>
        <w:t xml:space="preserve"> </w:t>
      </w:r>
      <w:r w:rsidRPr="00B74656">
        <w:rPr>
          <w:rFonts w:ascii="Sylfaen" w:hAnsi="Sylfaen" w:cs="Sylfaen"/>
        </w:rPr>
        <w:t>რეჟიმზე</w:t>
      </w:r>
      <w:r w:rsidRPr="00B74656">
        <w:rPr>
          <w:rFonts w:ascii="Sylfaen" w:hAnsi="Sylfaen"/>
        </w:rPr>
        <w:t xml:space="preserve">, </w:t>
      </w:r>
      <w:r w:rsidRPr="00B74656">
        <w:rPr>
          <w:rFonts w:ascii="Sylfaen" w:hAnsi="Sylfaen" w:cs="Sylfaen"/>
        </w:rPr>
        <w:t>წთ</w:t>
      </w:r>
      <w:r w:rsidRPr="00B74656">
        <w:rPr>
          <w:rFonts w:ascii="Sylfaen" w:hAnsi="Sylfaen"/>
        </w:rPr>
        <w:t xml:space="preserve">; </w:t>
      </w:r>
    </w:p>
    <w:p w14:paraId="5E896E9E" w14:textId="77777777" w:rsidR="00CD64B5" w:rsidRPr="00B74656" w:rsidRDefault="00CD64B5" w:rsidP="00CD64B5">
      <w:pPr>
        <w:spacing w:before="120" w:after="120"/>
        <w:rPr>
          <w:rFonts w:ascii="Sylfaen" w:hAnsi="Sylfaen"/>
        </w:rPr>
      </w:pPr>
      <w:r w:rsidRPr="00B74656">
        <w:rPr>
          <w:rFonts w:ascii="Sylfaen" w:hAnsi="Sylfaen"/>
        </w:rPr>
        <w:t xml:space="preserve"> Nk – k-</w:t>
      </w:r>
      <w:r w:rsidRPr="00B74656">
        <w:rPr>
          <w:rFonts w:ascii="Sylfaen" w:hAnsi="Sylfaen" w:cs="Sylfaen"/>
        </w:rPr>
        <w:t>ური</w:t>
      </w:r>
      <w:r w:rsidRPr="00B74656">
        <w:rPr>
          <w:rFonts w:ascii="Sylfaen" w:hAnsi="Sylfaen"/>
        </w:rPr>
        <w:t xml:space="preserve"> </w:t>
      </w:r>
      <w:r w:rsidRPr="00B74656">
        <w:rPr>
          <w:rFonts w:ascii="Sylfaen" w:hAnsi="Sylfaen" w:cs="Sylfaen"/>
        </w:rPr>
        <w:t>ჯგუფის</w:t>
      </w:r>
      <w:r w:rsidRPr="00B74656">
        <w:rPr>
          <w:rFonts w:ascii="Sylfaen" w:hAnsi="Sylfaen"/>
        </w:rPr>
        <w:t xml:space="preserve"> </w:t>
      </w:r>
      <w:r w:rsidRPr="00B74656">
        <w:rPr>
          <w:rFonts w:ascii="Sylfaen" w:hAnsi="Sylfaen" w:cs="Sylfaen"/>
        </w:rPr>
        <w:t>მანქანების</w:t>
      </w:r>
      <w:r w:rsidRPr="00B74656">
        <w:rPr>
          <w:rFonts w:ascii="Sylfaen" w:hAnsi="Sylfaen"/>
        </w:rPr>
        <w:t xml:space="preserve"> </w:t>
      </w:r>
      <w:r w:rsidRPr="00B74656">
        <w:rPr>
          <w:rFonts w:ascii="Sylfaen" w:hAnsi="Sylfaen" w:cs="Sylfaen"/>
        </w:rPr>
        <w:t>რ</w:t>
      </w:r>
      <w:r w:rsidRPr="00B74656">
        <w:rPr>
          <w:rFonts w:ascii="Sylfaen" w:hAnsi="Sylfaen"/>
        </w:rPr>
        <w:t>-</w:t>
      </w:r>
      <w:r w:rsidRPr="00B74656">
        <w:rPr>
          <w:rFonts w:ascii="Sylfaen" w:hAnsi="Sylfaen" w:cs="Sylfaen"/>
        </w:rPr>
        <w:t>ბა</w:t>
      </w:r>
      <w:r w:rsidRPr="00B74656">
        <w:rPr>
          <w:rFonts w:ascii="Sylfaen" w:hAnsi="Sylfaen"/>
        </w:rPr>
        <w:t xml:space="preserve">, </w:t>
      </w:r>
      <w:r w:rsidRPr="00B74656">
        <w:rPr>
          <w:rFonts w:ascii="Sylfaen" w:hAnsi="Sylfaen" w:cs="Sylfaen"/>
        </w:rPr>
        <w:t>რომლებიც</w:t>
      </w:r>
      <w:r w:rsidRPr="00B74656">
        <w:rPr>
          <w:rFonts w:ascii="Sylfaen" w:hAnsi="Sylfaen"/>
        </w:rPr>
        <w:t xml:space="preserve"> </w:t>
      </w:r>
      <w:r w:rsidRPr="00B74656">
        <w:rPr>
          <w:rFonts w:ascii="Sylfaen" w:hAnsi="Sylfaen" w:cs="Sylfaen"/>
        </w:rPr>
        <w:t>მუშაობენ</w:t>
      </w:r>
      <w:r w:rsidRPr="00B74656">
        <w:rPr>
          <w:rFonts w:ascii="Sylfaen" w:hAnsi="Sylfaen"/>
        </w:rPr>
        <w:t xml:space="preserve"> </w:t>
      </w:r>
      <w:r w:rsidRPr="00B74656">
        <w:rPr>
          <w:rFonts w:ascii="Sylfaen" w:hAnsi="Sylfaen" w:cs="Sylfaen"/>
        </w:rPr>
        <w:t>ერთდროულად</w:t>
      </w:r>
      <w:r w:rsidRPr="00B74656">
        <w:rPr>
          <w:rFonts w:ascii="Sylfaen" w:hAnsi="Sylfaen"/>
        </w:rPr>
        <w:t xml:space="preserve"> 30 </w:t>
      </w:r>
      <w:r w:rsidRPr="00B74656">
        <w:rPr>
          <w:rFonts w:ascii="Sylfaen" w:hAnsi="Sylfaen" w:cs="Sylfaen"/>
        </w:rPr>
        <w:t>წთ</w:t>
      </w:r>
      <w:r w:rsidRPr="00B74656">
        <w:rPr>
          <w:rFonts w:ascii="Sylfaen" w:hAnsi="Sylfaen"/>
        </w:rPr>
        <w:t>-</w:t>
      </w:r>
      <w:r w:rsidRPr="00B74656">
        <w:rPr>
          <w:rFonts w:ascii="Sylfaen" w:hAnsi="Sylfaen" w:cs="Sylfaen"/>
        </w:rPr>
        <w:t>იან</w:t>
      </w:r>
      <w:r w:rsidRPr="00B74656">
        <w:rPr>
          <w:rFonts w:ascii="Sylfaen" w:hAnsi="Sylfaen"/>
        </w:rPr>
        <w:t xml:space="preserve"> </w:t>
      </w:r>
      <w:r w:rsidRPr="00B74656">
        <w:rPr>
          <w:rFonts w:ascii="Sylfaen" w:hAnsi="Sylfaen" w:cs="Sylfaen"/>
        </w:rPr>
        <w:t>ინტერვალში</w:t>
      </w:r>
      <w:r w:rsidRPr="00B74656">
        <w:rPr>
          <w:rFonts w:ascii="Sylfaen" w:hAnsi="Sylfaen"/>
        </w:rPr>
        <w:t xml:space="preserve">. </w:t>
      </w:r>
    </w:p>
    <w:p w14:paraId="596580C2" w14:textId="77777777" w:rsidR="00CD64B5" w:rsidRPr="00B74656" w:rsidRDefault="00CD64B5" w:rsidP="00CD64B5">
      <w:pPr>
        <w:spacing w:before="120" w:after="120"/>
        <w:rPr>
          <w:rFonts w:ascii="Sylfaen" w:hAnsi="Sylfaen"/>
        </w:rPr>
      </w:pPr>
      <w:r w:rsidRPr="00B74656">
        <w:rPr>
          <w:rFonts w:ascii="Sylfaen" w:hAnsi="Sylfaen"/>
        </w:rPr>
        <w:t>i-</w:t>
      </w:r>
      <w:r w:rsidRPr="00B74656">
        <w:rPr>
          <w:rFonts w:ascii="Sylfaen" w:hAnsi="Sylfaen" w:cs="Sylfaen"/>
        </w:rPr>
        <w:t>ური</w:t>
      </w:r>
      <w:r w:rsidRPr="00B74656">
        <w:rPr>
          <w:rFonts w:ascii="Sylfaen" w:hAnsi="Sylfaen"/>
        </w:rPr>
        <w:t xml:space="preserve"> </w:t>
      </w:r>
      <w:r w:rsidRPr="00B74656">
        <w:rPr>
          <w:rFonts w:ascii="Sylfaen" w:hAnsi="Sylfaen" w:cs="Sylfaen"/>
        </w:rPr>
        <w:t>ნივთიერების</w:t>
      </w:r>
      <w:r w:rsidRPr="00B74656">
        <w:rPr>
          <w:rFonts w:ascii="Sylfaen" w:hAnsi="Sylfaen"/>
        </w:rPr>
        <w:t xml:space="preserve"> </w:t>
      </w:r>
      <w:r w:rsidRPr="00B74656">
        <w:rPr>
          <w:rFonts w:ascii="Sylfaen" w:hAnsi="Sylfaen" w:cs="Sylfaen"/>
        </w:rPr>
        <w:t>ჯამური</w:t>
      </w:r>
      <w:r w:rsidRPr="00B74656">
        <w:rPr>
          <w:rFonts w:ascii="Sylfaen" w:hAnsi="Sylfaen"/>
        </w:rPr>
        <w:t xml:space="preserve"> </w:t>
      </w:r>
      <w:r w:rsidRPr="00B74656">
        <w:rPr>
          <w:rFonts w:ascii="Sylfaen" w:hAnsi="Sylfaen" w:cs="Sylfaen"/>
        </w:rPr>
        <w:t>ემისია</w:t>
      </w:r>
      <w:r w:rsidRPr="00B74656">
        <w:rPr>
          <w:rFonts w:ascii="Sylfaen" w:hAnsi="Sylfaen"/>
        </w:rPr>
        <w:t xml:space="preserve"> </w:t>
      </w:r>
      <w:r w:rsidRPr="00B74656">
        <w:rPr>
          <w:rFonts w:ascii="Sylfaen" w:hAnsi="Sylfaen" w:cs="Sylfaen"/>
        </w:rPr>
        <w:t>საგზაო</w:t>
      </w:r>
      <w:r w:rsidRPr="00B74656">
        <w:rPr>
          <w:rFonts w:ascii="Sylfaen" w:hAnsi="Sylfaen"/>
        </w:rPr>
        <w:t xml:space="preserve"> </w:t>
      </w:r>
      <w:r w:rsidRPr="00B74656">
        <w:rPr>
          <w:rFonts w:ascii="Sylfaen" w:hAnsi="Sylfaen" w:cs="Sylfaen"/>
        </w:rPr>
        <w:t>მანქანებიდან</w:t>
      </w:r>
      <w:r w:rsidRPr="00B74656">
        <w:rPr>
          <w:rFonts w:ascii="Sylfaen" w:hAnsi="Sylfaen"/>
        </w:rPr>
        <w:t xml:space="preserve"> </w:t>
      </w:r>
      <w:r w:rsidRPr="00B74656">
        <w:rPr>
          <w:rFonts w:ascii="Sylfaen" w:hAnsi="Sylfaen" w:cs="Sylfaen"/>
        </w:rPr>
        <w:t>გაიანგარიშება</w:t>
      </w:r>
      <w:r w:rsidRPr="00B74656">
        <w:rPr>
          <w:rFonts w:ascii="Sylfaen" w:hAnsi="Sylfaen"/>
        </w:rPr>
        <w:t xml:space="preserve"> </w:t>
      </w:r>
      <w:r w:rsidRPr="00B74656">
        <w:rPr>
          <w:rFonts w:ascii="Sylfaen" w:hAnsi="Sylfaen" w:cs="Sylfaen"/>
        </w:rPr>
        <w:t>ფორმულით</w:t>
      </w:r>
      <w:r w:rsidRPr="00B74656">
        <w:rPr>
          <w:rFonts w:ascii="Sylfaen" w:hAnsi="Sylfaen"/>
        </w:rPr>
        <w:t xml:space="preserve">: </w:t>
      </w:r>
    </w:p>
    <w:p w14:paraId="260978C1" w14:textId="77777777" w:rsidR="00CD64B5" w:rsidRPr="00B74656" w:rsidRDefault="00CD64B5" w:rsidP="00CD64B5">
      <w:pPr>
        <w:spacing w:before="120" w:after="120"/>
        <w:rPr>
          <w:rFonts w:ascii="Sylfaen" w:hAnsi="Sylfaen"/>
        </w:rPr>
      </w:pPr>
      <w:r w:rsidRPr="00B74656">
        <w:rPr>
          <w:rFonts w:ascii="Sylfaen" w:hAnsi="Sylfaen"/>
        </w:rPr>
        <w:t xml:space="preserve">Mi = ∑kk=1(mДВ ik · t'ДВ + 1,3 · mДВ ik · t'НАГР. + mХХ ik · t'ХХ) · 10-6, </w:t>
      </w:r>
      <w:r w:rsidRPr="00B74656">
        <w:rPr>
          <w:rFonts w:ascii="Sylfaen" w:hAnsi="Sylfaen" w:cs="Sylfaen"/>
        </w:rPr>
        <w:t>ტ</w:t>
      </w:r>
      <w:r w:rsidRPr="00B74656">
        <w:rPr>
          <w:rFonts w:ascii="Sylfaen" w:hAnsi="Sylfaen"/>
        </w:rPr>
        <w:t>/</w:t>
      </w:r>
      <w:r w:rsidRPr="00B74656">
        <w:rPr>
          <w:rFonts w:ascii="Sylfaen" w:hAnsi="Sylfaen" w:cs="Sylfaen"/>
        </w:rPr>
        <w:t>წელ</w:t>
      </w:r>
      <w:r w:rsidRPr="00B74656">
        <w:rPr>
          <w:rFonts w:ascii="Sylfaen" w:hAnsi="Sylfaen"/>
        </w:rPr>
        <w:t>;</w:t>
      </w:r>
    </w:p>
    <w:p w14:paraId="546A5BA1" w14:textId="77777777" w:rsidR="00CD64B5" w:rsidRPr="00B74656" w:rsidRDefault="00CD64B5" w:rsidP="00CD64B5">
      <w:pPr>
        <w:spacing w:before="120" w:after="120"/>
        <w:rPr>
          <w:rFonts w:ascii="Sylfaen" w:hAnsi="Sylfaen"/>
        </w:rPr>
      </w:pPr>
      <w:r w:rsidRPr="00B74656">
        <w:rPr>
          <w:rFonts w:ascii="Sylfaen" w:hAnsi="Sylfaen" w:cs="Sylfaen"/>
        </w:rPr>
        <w:t>სადაც</w:t>
      </w:r>
      <w:r w:rsidRPr="00B74656">
        <w:rPr>
          <w:rFonts w:ascii="Sylfaen" w:hAnsi="Sylfaen"/>
        </w:rPr>
        <w:t>,</w:t>
      </w:r>
    </w:p>
    <w:p w14:paraId="0F4A0F53" w14:textId="77777777" w:rsidR="00CD64B5" w:rsidRPr="00B74656" w:rsidRDefault="00CD64B5" w:rsidP="00CD64B5">
      <w:pPr>
        <w:spacing w:before="120" w:after="120"/>
        <w:rPr>
          <w:rFonts w:ascii="Sylfaen" w:hAnsi="Sylfaen"/>
        </w:rPr>
      </w:pPr>
      <w:r w:rsidRPr="00B74656">
        <w:rPr>
          <w:rFonts w:ascii="Sylfaen" w:hAnsi="Sylfaen"/>
        </w:rPr>
        <w:t>t'ДВ – k-</w:t>
      </w:r>
      <w:r w:rsidRPr="00B74656">
        <w:rPr>
          <w:rFonts w:ascii="Sylfaen" w:hAnsi="Sylfaen" w:cs="Sylfaen"/>
        </w:rPr>
        <w:t>ური</w:t>
      </w:r>
      <w:r w:rsidRPr="00B74656">
        <w:rPr>
          <w:rFonts w:ascii="Sylfaen" w:hAnsi="Sylfaen"/>
        </w:rPr>
        <w:t xml:space="preserve"> </w:t>
      </w:r>
      <w:r w:rsidRPr="00B74656">
        <w:rPr>
          <w:rFonts w:ascii="Sylfaen" w:hAnsi="Sylfaen" w:cs="Sylfaen"/>
        </w:rPr>
        <w:t>ჯგუფის</w:t>
      </w:r>
      <w:r w:rsidRPr="00B74656">
        <w:rPr>
          <w:rFonts w:ascii="Sylfaen" w:hAnsi="Sylfaen"/>
        </w:rPr>
        <w:t xml:space="preserve"> </w:t>
      </w:r>
      <w:r w:rsidRPr="00B74656">
        <w:rPr>
          <w:rFonts w:ascii="Sylfaen" w:hAnsi="Sylfaen" w:cs="Sylfaen"/>
        </w:rPr>
        <w:t>მანქანების</w:t>
      </w:r>
      <w:r w:rsidRPr="00B74656">
        <w:rPr>
          <w:rFonts w:ascii="Sylfaen" w:hAnsi="Sylfaen"/>
        </w:rPr>
        <w:t xml:space="preserve"> </w:t>
      </w:r>
      <w:r w:rsidRPr="00B74656">
        <w:rPr>
          <w:rFonts w:ascii="Sylfaen" w:hAnsi="Sylfaen" w:cs="Sylfaen"/>
        </w:rPr>
        <w:t>მოძრაობის</w:t>
      </w:r>
      <w:r w:rsidRPr="00B74656">
        <w:rPr>
          <w:rFonts w:ascii="Sylfaen" w:hAnsi="Sylfaen"/>
        </w:rPr>
        <w:t xml:space="preserve"> </w:t>
      </w:r>
      <w:r w:rsidRPr="00B74656">
        <w:rPr>
          <w:rFonts w:ascii="Sylfaen" w:hAnsi="Sylfaen" w:cs="Sylfaen"/>
        </w:rPr>
        <w:t>ჯამური</w:t>
      </w:r>
      <w:r w:rsidRPr="00B74656">
        <w:rPr>
          <w:rFonts w:ascii="Sylfaen" w:hAnsi="Sylfaen"/>
        </w:rPr>
        <w:t xml:space="preserve"> </w:t>
      </w:r>
      <w:r w:rsidRPr="00B74656">
        <w:rPr>
          <w:rFonts w:ascii="Sylfaen" w:hAnsi="Sylfaen" w:cs="Sylfaen"/>
        </w:rPr>
        <w:t>დრო</w:t>
      </w:r>
      <w:r w:rsidRPr="00B74656">
        <w:rPr>
          <w:rFonts w:ascii="Sylfaen" w:hAnsi="Sylfaen"/>
        </w:rPr>
        <w:t xml:space="preserve"> </w:t>
      </w:r>
      <w:r w:rsidRPr="00B74656">
        <w:rPr>
          <w:rFonts w:ascii="Sylfaen" w:hAnsi="Sylfaen" w:cs="Sylfaen"/>
        </w:rPr>
        <w:t>დატვირთვის</w:t>
      </w:r>
      <w:r w:rsidRPr="00B74656">
        <w:rPr>
          <w:rFonts w:ascii="Sylfaen" w:hAnsi="Sylfaen"/>
        </w:rPr>
        <w:t xml:space="preserve"> </w:t>
      </w:r>
      <w:r w:rsidRPr="00B74656">
        <w:rPr>
          <w:rFonts w:ascii="Sylfaen" w:hAnsi="Sylfaen" w:cs="Sylfaen"/>
        </w:rPr>
        <w:t>გარეშე</w:t>
      </w:r>
      <w:r w:rsidRPr="00B74656">
        <w:rPr>
          <w:rFonts w:ascii="Sylfaen" w:hAnsi="Sylfaen"/>
        </w:rPr>
        <w:t xml:space="preserve">, </w:t>
      </w:r>
      <w:r w:rsidRPr="00B74656">
        <w:rPr>
          <w:rFonts w:ascii="Sylfaen" w:hAnsi="Sylfaen" w:cs="Sylfaen"/>
        </w:rPr>
        <w:t>წთ</w:t>
      </w:r>
      <w:r w:rsidRPr="00B74656">
        <w:rPr>
          <w:rFonts w:ascii="Sylfaen" w:hAnsi="Sylfaen"/>
        </w:rPr>
        <w:t xml:space="preserve">; </w:t>
      </w:r>
    </w:p>
    <w:p w14:paraId="273AA2D8" w14:textId="77777777" w:rsidR="00CD64B5" w:rsidRPr="00B74656" w:rsidRDefault="00CD64B5" w:rsidP="00CD64B5">
      <w:pPr>
        <w:spacing w:before="120" w:after="120"/>
        <w:rPr>
          <w:rFonts w:ascii="Sylfaen" w:hAnsi="Sylfaen"/>
        </w:rPr>
      </w:pPr>
      <w:r w:rsidRPr="00B74656">
        <w:rPr>
          <w:rFonts w:ascii="Sylfaen" w:hAnsi="Sylfaen"/>
        </w:rPr>
        <w:t>t'НАГР. – k-</w:t>
      </w:r>
      <w:r w:rsidRPr="00B74656">
        <w:rPr>
          <w:rFonts w:ascii="Sylfaen" w:hAnsi="Sylfaen" w:cs="Sylfaen"/>
        </w:rPr>
        <w:t>ური</w:t>
      </w:r>
      <w:r w:rsidRPr="00B74656">
        <w:rPr>
          <w:rFonts w:ascii="Sylfaen" w:hAnsi="Sylfaen"/>
        </w:rPr>
        <w:t xml:space="preserve"> </w:t>
      </w:r>
      <w:r w:rsidRPr="00B74656">
        <w:rPr>
          <w:rFonts w:ascii="Sylfaen" w:hAnsi="Sylfaen" w:cs="Sylfaen"/>
        </w:rPr>
        <w:t>ჯგუფის</w:t>
      </w:r>
      <w:r w:rsidRPr="00B74656">
        <w:rPr>
          <w:rFonts w:ascii="Sylfaen" w:hAnsi="Sylfaen"/>
        </w:rPr>
        <w:t xml:space="preserve"> </w:t>
      </w:r>
      <w:r w:rsidRPr="00B74656">
        <w:rPr>
          <w:rFonts w:ascii="Sylfaen" w:hAnsi="Sylfaen" w:cs="Sylfaen"/>
        </w:rPr>
        <w:t>მანქანების</w:t>
      </w:r>
      <w:r w:rsidRPr="00B74656">
        <w:rPr>
          <w:rFonts w:ascii="Sylfaen" w:hAnsi="Sylfaen"/>
        </w:rPr>
        <w:t xml:space="preserve"> </w:t>
      </w:r>
      <w:r w:rsidRPr="00B74656">
        <w:rPr>
          <w:rFonts w:ascii="Sylfaen" w:hAnsi="Sylfaen" w:cs="Sylfaen"/>
        </w:rPr>
        <w:t>მოძრაობის</w:t>
      </w:r>
      <w:r w:rsidRPr="00B74656">
        <w:rPr>
          <w:rFonts w:ascii="Sylfaen" w:hAnsi="Sylfaen"/>
        </w:rPr>
        <w:t xml:space="preserve"> </w:t>
      </w:r>
      <w:r w:rsidRPr="00B74656">
        <w:rPr>
          <w:rFonts w:ascii="Sylfaen" w:hAnsi="Sylfaen" w:cs="Sylfaen"/>
        </w:rPr>
        <w:t>ჯამური</w:t>
      </w:r>
      <w:r w:rsidRPr="00B74656">
        <w:rPr>
          <w:rFonts w:ascii="Sylfaen" w:hAnsi="Sylfaen"/>
        </w:rPr>
        <w:t xml:space="preserve"> </w:t>
      </w:r>
      <w:r w:rsidRPr="00B74656">
        <w:rPr>
          <w:rFonts w:ascii="Sylfaen" w:hAnsi="Sylfaen" w:cs="Sylfaen"/>
        </w:rPr>
        <w:t>დრო</w:t>
      </w:r>
      <w:r w:rsidRPr="00B74656">
        <w:rPr>
          <w:rFonts w:ascii="Sylfaen" w:hAnsi="Sylfaen"/>
        </w:rPr>
        <w:t xml:space="preserve"> </w:t>
      </w:r>
      <w:r w:rsidRPr="00B74656">
        <w:rPr>
          <w:rFonts w:ascii="Sylfaen" w:hAnsi="Sylfaen" w:cs="Sylfaen"/>
        </w:rPr>
        <w:t>დატვირთვით</w:t>
      </w:r>
      <w:r w:rsidRPr="00B74656">
        <w:rPr>
          <w:rFonts w:ascii="Sylfaen" w:hAnsi="Sylfaen"/>
        </w:rPr>
        <w:t xml:space="preserve">, </w:t>
      </w:r>
      <w:r w:rsidRPr="00B74656">
        <w:rPr>
          <w:rFonts w:ascii="Sylfaen" w:hAnsi="Sylfaen" w:cs="Sylfaen"/>
        </w:rPr>
        <w:t>წთ</w:t>
      </w:r>
      <w:r w:rsidRPr="00B74656">
        <w:rPr>
          <w:rFonts w:ascii="Sylfaen" w:hAnsi="Sylfaen"/>
        </w:rPr>
        <w:t xml:space="preserve">; </w:t>
      </w:r>
    </w:p>
    <w:p w14:paraId="0F85FB15" w14:textId="77777777" w:rsidR="00CD64B5" w:rsidRPr="00B74656" w:rsidRDefault="00CD64B5" w:rsidP="00CD64B5">
      <w:pPr>
        <w:spacing w:before="120" w:after="120"/>
        <w:rPr>
          <w:rFonts w:ascii="Sylfaen" w:hAnsi="Sylfaen"/>
        </w:rPr>
      </w:pPr>
      <w:r w:rsidRPr="00B74656">
        <w:rPr>
          <w:rFonts w:ascii="Sylfaen" w:hAnsi="Sylfaen"/>
        </w:rPr>
        <w:t>t'ХХ – – k-</w:t>
      </w:r>
      <w:r w:rsidRPr="00B74656">
        <w:rPr>
          <w:rFonts w:ascii="Sylfaen" w:hAnsi="Sylfaen" w:cs="Sylfaen"/>
        </w:rPr>
        <w:t>ური</w:t>
      </w:r>
      <w:r w:rsidRPr="00B74656">
        <w:rPr>
          <w:rFonts w:ascii="Sylfaen" w:hAnsi="Sylfaen"/>
        </w:rPr>
        <w:t xml:space="preserve"> </w:t>
      </w:r>
      <w:r w:rsidRPr="00B74656">
        <w:rPr>
          <w:rFonts w:ascii="Sylfaen" w:hAnsi="Sylfaen" w:cs="Sylfaen"/>
        </w:rPr>
        <w:t>ჯგუფის</w:t>
      </w:r>
      <w:r w:rsidRPr="00B74656">
        <w:rPr>
          <w:rFonts w:ascii="Sylfaen" w:hAnsi="Sylfaen"/>
        </w:rPr>
        <w:t xml:space="preserve"> </w:t>
      </w:r>
      <w:r w:rsidRPr="00B74656">
        <w:rPr>
          <w:rFonts w:ascii="Sylfaen" w:hAnsi="Sylfaen" w:cs="Sylfaen"/>
        </w:rPr>
        <w:t>მანქანების</w:t>
      </w:r>
      <w:r w:rsidRPr="00B74656">
        <w:rPr>
          <w:rFonts w:ascii="Sylfaen" w:hAnsi="Sylfaen"/>
        </w:rPr>
        <w:t xml:space="preserve"> </w:t>
      </w:r>
      <w:r w:rsidRPr="00B74656">
        <w:rPr>
          <w:rFonts w:ascii="Sylfaen" w:hAnsi="Sylfaen" w:cs="Sylfaen"/>
        </w:rPr>
        <w:t>მოძრაობის</w:t>
      </w:r>
      <w:r w:rsidRPr="00B74656">
        <w:rPr>
          <w:rFonts w:ascii="Sylfaen" w:hAnsi="Sylfaen"/>
        </w:rPr>
        <w:t xml:space="preserve"> </w:t>
      </w:r>
      <w:r w:rsidRPr="00B74656">
        <w:rPr>
          <w:rFonts w:ascii="Sylfaen" w:hAnsi="Sylfaen" w:cs="Sylfaen"/>
        </w:rPr>
        <w:t>ჯამური</w:t>
      </w:r>
      <w:r w:rsidRPr="00B74656">
        <w:rPr>
          <w:rFonts w:ascii="Sylfaen" w:hAnsi="Sylfaen"/>
        </w:rPr>
        <w:t xml:space="preserve"> </w:t>
      </w:r>
      <w:r w:rsidRPr="00B74656">
        <w:rPr>
          <w:rFonts w:ascii="Sylfaen" w:hAnsi="Sylfaen" w:cs="Sylfaen"/>
        </w:rPr>
        <w:t>დრო</w:t>
      </w:r>
      <w:r w:rsidRPr="00B74656">
        <w:rPr>
          <w:rFonts w:ascii="Sylfaen" w:hAnsi="Sylfaen"/>
        </w:rPr>
        <w:t xml:space="preserve"> </w:t>
      </w:r>
      <w:r w:rsidRPr="00B74656">
        <w:rPr>
          <w:rFonts w:ascii="Sylfaen" w:hAnsi="Sylfaen" w:cs="Sylfaen"/>
        </w:rPr>
        <w:t>უქმი</w:t>
      </w:r>
      <w:r w:rsidRPr="00B74656">
        <w:rPr>
          <w:rFonts w:ascii="Sylfaen" w:hAnsi="Sylfaen"/>
        </w:rPr>
        <w:t xml:space="preserve"> </w:t>
      </w:r>
      <w:r w:rsidRPr="00B74656">
        <w:rPr>
          <w:rFonts w:ascii="Sylfaen" w:hAnsi="Sylfaen" w:cs="Sylfaen"/>
        </w:rPr>
        <w:t>სვლის</w:t>
      </w:r>
      <w:r w:rsidRPr="00B74656">
        <w:rPr>
          <w:rFonts w:ascii="Sylfaen" w:hAnsi="Sylfaen"/>
        </w:rPr>
        <w:t xml:space="preserve"> </w:t>
      </w:r>
      <w:r w:rsidRPr="00B74656">
        <w:rPr>
          <w:rFonts w:ascii="Sylfaen" w:hAnsi="Sylfaen" w:cs="Sylfaen"/>
        </w:rPr>
        <w:t>რეჟიმზე</w:t>
      </w:r>
      <w:r w:rsidRPr="00B74656">
        <w:rPr>
          <w:rFonts w:ascii="Sylfaen" w:hAnsi="Sylfaen"/>
        </w:rPr>
        <w:t xml:space="preserve">, </w:t>
      </w:r>
      <w:r w:rsidRPr="00B74656">
        <w:rPr>
          <w:rFonts w:ascii="Sylfaen" w:hAnsi="Sylfaen" w:cs="Sylfaen"/>
        </w:rPr>
        <w:t>წთ</w:t>
      </w:r>
      <w:r w:rsidRPr="00B74656">
        <w:rPr>
          <w:rFonts w:ascii="Sylfaen" w:hAnsi="Sylfaen"/>
        </w:rPr>
        <w:t xml:space="preserve">; </w:t>
      </w:r>
    </w:p>
    <w:p w14:paraId="21FE1A77" w14:textId="77777777" w:rsidR="00CD64B5" w:rsidRPr="00B74656" w:rsidRDefault="00CD64B5" w:rsidP="00CD64B5">
      <w:pPr>
        <w:spacing w:before="120" w:after="120"/>
        <w:rPr>
          <w:rFonts w:ascii="Sylfaen" w:hAnsi="Sylfaen"/>
        </w:rPr>
      </w:pPr>
      <w:r w:rsidRPr="00B74656">
        <w:rPr>
          <w:rFonts w:ascii="Sylfaen" w:hAnsi="Sylfaen" w:cs="Sylfaen"/>
        </w:rPr>
        <w:t>დამაბინძურებელ</w:t>
      </w:r>
      <w:r w:rsidRPr="00B74656">
        <w:rPr>
          <w:rFonts w:ascii="Sylfaen" w:hAnsi="Sylfaen"/>
        </w:rPr>
        <w:t xml:space="preserve"> </w:t>
      </w:r>
      <w:r w:rsidRPr="00B74656">
        <w:rPr>
          <w:rFonts w:ascii="Sylfaen" w:hAnsi="Sylfaen" w:cs="Sylfaen"/>
        </w:rPr>
        <w:t>ნივთიერებათა</w:t>
      </w:r>
      <w:r w:rsidRPr="00B74656">
        <w:rPr>
          <w:rFonts w:ascii="Sylfaen" w:hAnsi="Sylfaen"/>
        </w:rPr>
        <w:t xml:space="preserve"> </w:t>
      </w:r>
      <w:r w:rsidRPr="00B74656">
        <w:rPr>
          <w:rFonts w:ascii="Sylfaen" w:hAnsi="Sylfaen" w:cs="Sylfaen"/>
        </w:rPr>
        <w:t>კუთრი</w:t>
      </w:r>
      <w:r w:rsidRPr="00B74656">
        <w:rPr>
          <w:rFonts w:ascii="Sylfaen" w:hAnsi="Sylfaen"/>
        </w:rPr>
        <w:t xml:space="preserve"> </w:t>
      </w:r>
      <w:r w:rsidRPr="00B74656">
        <w:rPr>
          <w:rFonts w:ascii="Sylfaen" w:hAnsi="Sylfaen" w:cs="Sylfaen"/>
        </w:rPr>
        <w:t>ემისია</w:t>
      </w:r>
      <w:r w:rsidRPr="00B74656">
        <w:rPr>
          <w:rFonts w:ascii="Sylfaen" w:hAnsi="Sylfaen"/>
        </w:rPr>
        <w:t xml:space="preserve"> </w:t>
      </w:r>
      <w:r w:rsidRPr="00B74656">
        <w:rPr>
          <w:rFonts w:ascii="Sylfaen" w:hAnsi="Sylfaen" w:cs="Sylfaen"/>
        </w:rPr>
        <w:t>საგზაო</w:t>
      </w:r>
      <w:r w:rsidRPr="00B74656">
        <w:rPr>
          <w:rFonts w:ascii="Sylfaen" w:hAnsi="Sylfaen"/>
        </w:rPr>
        <w:t>-</w:t>
      </w:r>
      <w:r w:rsidRPr="00B74656">
        <w:rPr>
          <w:rFonts w:ascii="Sylfaen" w:hAnsi="Sylfaen" w:cs="Sylfaen"/>
        </w:rPr>
        <w:t>სამშენებლო</w:t>
      </w:r>
      <w:r w:rsidRPr="00B74656">
        <w:rPr>
          <w:rFonts w:ascii="Sylfaen" w:hAnsi="Sylfaen"/>
        </w:rPr>
        <w:t xml:space="preserve"> </w:t>
      </w:r>
      <w:r w:rsidRPr="00B74656">
        <w:rPr>
          <w:rFonts w:ascii="Sylfaen" w:hAnsi="Sylfaen" w:cs="Sylfaen"/>
        </w:rPr>
        <w:t>მანქანების</w:t>
      </w:r>
      <w:r w:rsidRPr="00B74656">
        <w:rPr>
          <w:rFonts w:ascii="Sylfaen" w:hAnsi="Sylfaen"/>
        </w:rPr>
        <w:t xml:space="preserve"> </w:t>
      </w:r>
      <w:r w:rsidRPr="00B74656">
        <w:rPr>
          <w:rFonts w:ascii="Sylfaen" w:hAnsi="Sylfaen" w:cs="Sylfaen"/>
        </w:rPr>
        <w:t>მუშაობისას</w:t>
      </w:r>
      <w:r w:rsidRPr="00B74656">
        <w:rPr>
          <w:rFonts w:ascii="Sylfaen" w:hAnsi="Sylfaen"/>
        </w:rPr>
        <w:t xml:space="preserve">, </w:t>
      </w:r>
      <w:r w:rsidRPr="00B74656">
        <w:rPr>
          <w:rFonts w:ascii="Sylfaen" w:hAnsi="Sylfaen" w:cs="Sylfaen"/>
        </w:rPr>
        <w:t>მოცემულია</w:t>
      </w:r>
      <w:r w:rsidRPr="00B74656">
        <w:rPr>
          <w:rFonts w:ascii="Sylfaen" w:hAnsi="Sylfaen"/>
        </w:rPr>
        <w:t xml:space="preserve"> </w:t>
      </w:r>
      <w:r w:rsidRPr="00B74656">
        <w:rPr>
          <w:rFonts w:ascii="Sylfaen" w:hAnsi="Sylfaen" w:cs="Sylfaen"/>
        </w:rPr>
        <w:t>ცხრილში</w:t>
      </w:r>
      <w:r w:rsidRPr="00B74656">
        <w:rPr>
          <w:rFonts w:ascii="Sylfaen" w:hAnsi="Sylfaen"/>
        </w:rPr>
        <w:t xml:space="preserve"> 7.1-7. </w:t>
      </w:r>
    </w:p>
    <w:p w14:paraId="2C4A05CC" w14:textId="77777777" w:rsidR="00CD64B5" w:rsidRPr="001352AB" w:rsidRDefault="00CD64B5" w:rsidP="00CD64B5">
      <w:pPr>
        <w:spacing w:before="120" w:after="120"/>
      </w:pPr>
      <w:bookmarkStart w:id="258" w:name="_Toc436594168"/>
      <w:r w:rsidRPr="001352AB">
        <w:rPr>
          <w:rFonts w:ascii="Sylfaen" w:hAnsi="Sylfaen" w:cs="Sylfaen"/>
        </w:rPr>
        <w:t>ცხრილი</w:t>
      </w:r>
      <w:r w:rsidRPr="001352AB">
        <w:t xml:space="preserve"> 7.1-7.</w:t>
      </w:r>
      <w:r w:rsidRPr="001352AB">
        <w:tab/>
      </w: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კუთრი</w:t>
      </w:r>
      <w:r w:rsidRPr="001352AB">
        <w:t xml:space="preserve"> </w:t>
      </w:r>
      <w:r w:rsidRPr="001352AB">
        <w:rPr>
          <w:rFonts w:ascii="Sylfaen" w:hAnsi="Sylfaen" w:cs="Sylfaen"/>
        </w:rPr>
        <w:t>ემისია</w:t>
      </w:r>
      <w:r w:rsidRPr="001352AB">
        <w:t xml:space="preserve"> </w:t>
      </w:r>
      <w:r w:rsidRPr="001352AB">
        <w:rPr>
          <w:rFonts w:ascii="Sylfaen" w:hAnsi="Sylfaen" w:cs="Sylfaen"/>
        </w:rPr>
        <w:t>საგზაო</w:t>
      </w:r>
      <w:r w:rsidRPr="001352AB">
        <w:t>-</w:t>
      </w:r>
      <w:r w:rsidRPr="001352AB">
        <w:rPr>
          <w:rFonts w:ascii="Sylfaen" w:hAnsi="Sylfaen" w:cs="Sylfaen"/>
        </w:rPr>
        <w:t>სამშენებლო</w:t>
      </w:r>
      <w:r w:rsidRPr="001352AB">
        <w:t xml:space="preserve"> </w:t>
      </w:r>
      <w:r w:rsidRPr="001352AB">
        <w:rPr>
          <w:rFonts w:ascii="Sylfaen" w:hAnsi="Sylfaen" w:cs="Sylfaen"/>
        </w:rPr>
        <w:t>მანქანების</w:t>
      </w:r>
      <w:r w:rsidRPr="001352AB">
        <w:t xml:space="preserve"> </w:t>
      </w:r>
      <w:r w:rsidRPr="001352AB">
        <w:rPr>
          <w:rFonts w:ascii="Sylfaen" w:hAnsi="Sylfaen" w:cs="Sylfaen"/>
        </w:rPr>
        <w:t>მუშაობისას</w:t>
      </w:r>
      <w:r w:rsidRPr="001352AB">
        <w:t xml:space="preserve">, </w:t>
      </w:r>
      <w:r w:rsidRPr="001352AB">
        <w:rPr>
          <w:rFonts w:ascii="Sylfaen" w:hAnsi="Sylfaen" w:cs="Sylfaen"/>
        </w:rPr>
        <w:t>გ</w:t>
      </w:r>
      <w:r w:rsidRPr="001352AB">
        <w:t>/</w:t>
      </w:r>
      <w:r w:rsidRPr="001352AB">
        <w:rPr>
          <w:rFonts w:ascii="Sylfaen" w:hAnsi="Sylfaen" w:cs="Sylfaen"/>
        </w:rPr>
        <w:t>წთ</w:t>
      </w:r>
      <w:bookmarkEnd w:id="258"/>
    </w:p>
    <w:tbl>
      <w:tblPr>
        <w:tblW w:w="4744" w:type="pct"/>
        <w:tblInd w:w="541" w:type="dxa"/>
        <w:tblLook w:val="04A0" w:firstRow="1" w:lastRow="0" w:firstColumn="1" w:lastColumn="0" w:noHBand="0" w:noVBand="1"/>
      </w:tblPr>
      <w:tblGrid>
        <w:gridCol w:w="3178"/>
        <w:gridCol w:w="3371"/>
        <w:gridCol w:w="1296"/>
        <w:gridCol w:w="2006"/>
      </w:tblGrid>
      <w:tr w:rsidR="00CD64B5" w:rsidRPr="00CD64B5" w14:paraId="0CEF91E0" w14:textId="77777777" w:rsidTr="00B74656">
        <w:tc>
          <w:tcPr>
            <w:tcW w:w="1613" w:type="pct"/>
            <w:tcBorders>
              <w:top w:val="single" w:sz="8" w:space="0" w:color="auto"/>
              <w:left w:val="single" w:sz="6" w:space="0" w:color="auto"/>
              <w:bottom w:val="single" w:sz="8" w:space="0" w:color="auto"/>
              <w:right w:val="single" w:sz="4" w:space="0" w:color="000000"/>
            </w:tcBorders>
            <w:shd w:val="clear" w:color="auto" w:fill="D9D9D9" w:themeFill="background1" w:themeFillShade="D9"/>
            <w:vAlign w:val="center"/>
            <w:hideMark/>
          </w:tcPr>
          <w:p w14:paraId="2ECD3049" w14:textId="77777777" w:rsidR="00CD64B5" w:rsidRPr="00CD64B5" w:rsidRDefault="00CD64B5" w:rsidP="00CD64B5">
            <w:pPr>
              <w:rPr>
                <w:sz w:val="20"/>
                <w:lang w:eastAsia="en-US"/>
              </w:rPr>
            </w:pPr>
            <w:r w:rsidRPr="00CD64B5">
              <w:rPr>
                <w:rFonts w:ascii="Sylfaen" w:hAnsi="Sylfaen" w:cs="Sylfaen"/>
                <w:sz w:val="20"/>
              </w:rPr>
              <w:t>საგზაო</w:t>
            </w:r>
            <w:r w:rsidRPr="00CD64B5">
              <w:rPr>
                <w:sz w:val="20"/>
              </w:rPr>
              <w:t>-</w:t>
            </w:r>
            <w:r w:rsidRPr="00CD64B5">
              <w:rPr>
                <w:rFonts w:ascii="Sylfaen" w:hAnsi="Sylfaen" w:cs="Sylfaen"/>
                <w:sz w:val="20"/>
              </w:rPr>
              <w:t>სამშენებლო</w:t>
            </w:r>
            <w:r w:rsidRPr="00CD64B5">
              <w:rPr>
                <w:sz w:val="20"/>
              </w:rPr>
              <w:t xml:space="preserve"> </w:t>
            </w:r>
            <w:r w:rsidRPr="00CD64B5">
              <w:rPr>
                <w:rFonts w:ascii="Sylfaen" w:hAnsi="Sylfaen" w:cs="Sylfaen"/>
                <w:sz w:val="20"/>
              </w:rPr>
              <w:t>მანქანების</w:t>
            </w:r>
            <w:r w:rsidRPr="00CD64B5">
              <w:rPr>
                <w:sz w:val="20"/>
              </w:rPr>
              <w:t xml:space="preserve"> </w:t>
            </w:r>
          </w:p>
          <w:p w14:paraId="10C23DCF" w14:textId="77777777" w:rsidR="00CD64B5" w:rsidRPr="00CD64B5" w:rsidRDefault="00CD64B5" w:rsidP="00CD64B5">
            <w:pPr>
              <w:rPr>
                <w:sz w:val="20"/>
              </w:rPr>
            </w:pPr>
            <w:r w:rsidRPr="00CD64B5">
              <w:rPr>
                <w:sz w:val="20"/>
              </w:rPr>
              <w:t>(</w:t>
            </w:r>
            <w:r w:rsidRPr="00CD64B5">
              <w:rPr>
                <w:rFonts w:ascii="Sylfaen" w:hAnsi="Sylfaen" w:cs="Sylfaen"/>
                <w:sz w:val="20"/>
              </w:rPr>
              <w:t>სსმ</w:t>
            </w:r>
            <w:r w:rsidRPr="00CD64B5">
              <w:rPr>
                <w:sz w:val="20"/>
              </w:rPr>
              <w:t xml:space="preserve">) </w:t>
            </w:r>
            <w:r w:rsidRPr="00CD64B5">
              <w:rPr>
                <w:rFonts w:ascii="Sylfaen" w:hAnsi="Sylfaen" w:cs="Sylfaen"/>
                <w:sz w:val="20"/>
              </w:rPr>
              <w:t>ტიპი</w:t>
            </w:r>
          </w:p>
        </w:tc>
        <w:tc>
          <w:tcPr>
            <w:tcW w:w="1711" w:type="pct"/>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14:paraId="06C9E726" w14:textId="77777777" w:rsidR="00CD64B5" w:rsidRPr="00CD64B5" w:rsidRDefault="00CD64B5" w:rsidP="00CD64B5">
            <w:pPr>
              <w:rPr>
                <w:sz w:val="20"/>
              </w:rPr>
            </w:pPr>
            <w:r w:rsidRPr="00CD64B5">
              <w:rPr>
                <w:rFonts w:ascii="Sylfaen" w:hAnsi="Sylfaen" w:cs="Sylfaen"/>
                <w:sz w:val="20"/>
              </w:rPr>
              <w:t>დამაბინძურებელი</w:t>
            </w:r>
          </w:p>
          <w:p w14:paraId="0AB55215" w14:textId="77777777" w:rsidR="00CD64B5" w:rsidRPr="00CD64B5" w:rsidRDefault="00CD64B5" w:rsidP="00CD64B5">
            <w:pPr>
              <w:rPr>
                <w:sz w:val="20"/>
              </w:rPr>
            </w:pPr>
            <w:r w:rsidRPr="00CD64B5">
              <w:rPr>
                <w:sz w:val="20"/>
              </w:rPr>
              <w:t xml:space="preserve"> </w:t>
            </w:r>
            <w:r w:rsidRPr="00CD64B5">
              <w:rPr>
                <w:rFonts w:ascii="Sylfaen" w:hAnsi="Sylfaen" w:cs="Sylfaen"/>
                <w:sz w:val="20"/>
              </w:rPr>
              <w:t>ნივთიერება</w:t>
            </w:r>
            <w:r w:rsidRPr="00CD64B5">
              <w:rPr>
                <w:sz w:val="20"/>
              </w:rPr>
              <w:t xml:space="preserve"> </w:t>
            </w:r>
          </w:p>
        </w:tc>
        <w:tc>
          <w:tcPr>
            <w:tcW w:w="658" w:type="pct"/>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14:paraId="691AA8B9" w14:textId="77777777" w:rsidR="00CD64B5" w:rsidRPr="00CD64B5" w:rsidRDefault="00CD64B5" w:rsidP="00CD64B5">
            <w:pPr>
              <w:rPr>
                <w:sz w:val="20"/>
              </w:rPr>
            </w:pPr>
            <w:r w:rsidRPr="00CD64B5">
              <w:rPr>
                <w:rFonts w:ascii="Sylfaen" w:hAnsi="Sylfaen" w:cs="Sylfaen"/>
                <w:sz w:val="20"/>
              </w:rPr>
              <w:t>მოძრაობა</w:t>
            </w:r>
          </w:p>
        </w:tc>
        <w:tc>
          <w:tcPr>
            <w:tcW w:w="1018" w:type="pct"/>
            <w:tcBorders>
              <w:top w:val="single" w:sz="8" w:space="0" w:color="auto"/>
              <w:left w:val="single" w:sz="4" w:space="0" w:color="000000"/>
              <w:bottom w:val="single" w:sz="8" w:space="0" w:color="auto"/>
              <w:right w:val="single" w:sz="6" w:space="0" w:color="auto"/>
            </w:tcBorders>
            <w:shd w:val="clear" w:color="auto" w:fill="D9D9D9" w:themeFill="background1" w:themeFillShade="D9"/>
            <w:vAlign w:val="center"/>
            <w:hideMark/>
          </w:tcPr>
          <w:p w14:paraId="3EC7AAC8" w14:textId="77777777" w:rsidR="00CD64B5" w:rsidRPr="00CD64B5" w:rsidRDefault="00CD64B5" w:rsidP="00CD64B5">
            <w:pPr>
              <w:rPr>
                <w:sz w:val="20"/>
              </w:rPr>
            </w:pPr>
            <w:r w:rsidRPr="00CD64B5">
              <w:rPr>
                <w:rFonts w:ascii="Sylfaen" w:hAnsi="Sylfaen" w:cs="Sylfaen"/>
                <w:sz w:val="20"/>
              </w:rPr>
              <w:t>უქმი</w:t>
            </w:r>
            <w:r w:rsidRPr="00CD64B5">
              <w:rPr>
                <w:sz w:val="20"/>
              </w:rPr>
              <w:t xml:space="preserve"> </w:t>
            </w:r>
            <w:r w:rsidRPr="00CD64B5">
              <w:rPr>
                <w:rFonts w:ascii="Sylfaen" w:hAnsi="Sylfaen" w:cs="Sylfaen"/>
                <w:sz w:val="20"/>
              </w:rPr>
              <w:t>სვლა</w:t>
            </w:r>
          </w:p>
        </w:tc>
      </w:tr>
      <w:tr w:rsidR="00CD64B5" w:rsidRPr="00CD64B5" w14:paraId="3E1D67A7" w14:textId="77777777" w:rsidTr="00B74656">
        <w:tc>
          <w:tcPr>
            <w:tcW w:w="1613" w:type="pct"/>
            <w:tcBorders>
              <w:top w:val="single" w:sz="4" w:space="0" w:color="000000"/>
              <w:left w:val="single" w:sz="6" w:space="0" w:color="auto"/>
              <w:bottom w:val="single" w:sz="8" w:space="0" w:color="auto"/>
              <w:right w:val="single" w:sz="4" w:space="0" w:color="000000"/>
            </w:tcBorders>
            <w:hideMark/>
          </w:tcPr>
          <w:p w14:paraId="5DBC0255" w14:textId="77777777" w:rsidR="00CD64B5" w:rsidRPr="00CD64B5" w:rsidRDefault="00CD64B5" w:rsidP="00CD64B5">
            <w:pPr>
              <w:rPr>
                <w:sz w:val="20"/>
              </w:rPr>
            </w:pPr>
            <w:r w:rsidRPr="00CD64B5">
              <w:rPr>
                <w:rFonts w:ascii="Sylfaen" w:hAnsi="Sylfaen" w:cs="Sylfaen"/>
                <w:sz w:val="20"/>
              </w:rPr>
              <w:t>მუხლუხა</w:t>
            </w:r>
            <w:r w:rsidRPr="00CD64B5">
              <w:rPr>
                <w:sz w:val="20"/>
              </w:rPr>
              <w:t xml:space="preserve"> </w:t>
            </w:r>
            <w:r w:rsidRPr="00CD64B5">
              <w:rPr>
                <w:rFonts w:ascii="Sylfaen" w:hAnsi="Sylfaen" w:cs="Sylfaen"/>
                <w:sz w:val="20"/>
              </w:rPr>
              <w:t>სსმ</w:t>
            </w:r>
            <w:r w:rsidRPr="00CD64B5">
              <w:rPr>
                <w:sz w:val="20"/>
              </w:rPr>
              <w:t xml:space="preserve">, </w:t>
            </w:r>
            <w:r w:rsidRPr="00CD64B5">
              <w:rPr>
                <w:rFonts w:ascii="Sylfaen" w:hAnsi="Sylfaen" w:cs="Sylfaen"/>
                <w:sz w:val="20"/>
              </w:rPr>
              <w:t>სიმძლავრით</w:t>
            </w:r>
            <w:r w:rsidRPr="00CD64B5">
              <w:rPr>
                <w:sz w:val="20"/>
              </w:rPr>
              <w:t xml:space="preserve">  61-100 </w:t>
            </w:r>
            <w:r w:rsidRPr="00CD64B5">
              <w:rPr>
                <w:rFonts w:ascii="Sylfaen" w:hAnsi="Sylfaen" w:cs="Sylfaen"/>
                <w:sz w:val="20"/>
              </w:rPr>
              <w:t>კვტ</w:t>
            </w:r>
            <w:r w:rsidRPr="00CD64B5">
              <w:rPr>
                <w:sz w:val="20"/>
              </w:rPr>
              <w:t xml:space="preserve">(83-136 </w:t>
            </w:r>
            <w:r w:rsidRPr="00CD64B5">
              <w:rPr>
                <w:rFonts w:ascii="Sylfaen" w:hAnsi="Sylfaen" w:cs="Sylfaen"/>
                <w:sz w:val="20"/>
              </w:rPr>
              <w:t>ცხ</w:t>
            </w:r>
            <w:r w:rsidRPr="00CD64B5">
              <w:rPr>
                <w:sz w:val="20"/>
              </w:rPr>
              <w:t>.</w:t>
            </w:r>
            <w:r w:rsidRPr="00CD64B5">
              <w:rPr>
                <w:rFonts w:ascii="Sylfaen" w:hAnsi="Sylfaen" w:cs="Sylfaen"/>
                <w:sz w:val="20"/>
              </w:rPr>
              <w:t>ძ</w:t>
            </w:r>
            <w:r w:rsidRPr="00CD64B5">
              <w:rPr>
                <w:sz w:val="20"/>
              </w:rPr>
              <w:t>)</w:t>
            </w:r>
          </w:p>
        </w:tc>
        <w:tc>
          <w:tcPr>
            <w:tcW w:w="3387" w:type="pct"/>
            <w:gridSpan w:val="3"/>
            <w:tcBorders>
              <w:top w:val="single" w:sz="4" w:space="0" w:color="000000"/>
              <w:left w:val="single" w:sz="4" w:space="0" w:color="000000"/>
              <w:bottom w:val="single" w:sz="8" w:space="0" w:color="auto"/>
              <w:right w:val="single" w:sz="6" w:space="0" w:color="auto"/>
            </w:tcBorders>
            <w:tcMar>
              <w:top w:w="0" w:type="dxa"/>
              <w:left w:w="0" w:type="dxa"/>
              <w:bottom w:w="0" w:type="dxa"/>
              <w:right w:w="0" w:type="dxa"/>
            </w:tcMar>
            <w:hideMark/>
          </w:tcPr>
          <w:tbl>
            <w:tblPr>
              <w:tblW w:w="6484" w:type="dxa"/>
              <w:tblLook w:val="04A0" w:firstRow="1" w:lastRow="0" w:firstColumn="1" w:lastColumn="0" w:noHBand="0" w:noVBand="1"/>
            </w:tblPr>
            <w:tblGrid>
              <w:gridCol w:w="3240"/>
              <w:gridCol w:w="1259"/>
              <w:gridCol w:w="1985"/>
            </w:tblGrid>
            <w:tr w:rsidR="00CD64B5" w:rsidRPr="00CD64B5" w14:paraId="0F8C8CDB" w14:textId="77777777">
              <w:trPr>
                <w:trHeight w:val="540"/>
              </w:trPr>
              <w:tc>
                <w:tcPr>
                  <w:tcW w:w="3240" w:type="dxa"/>
                  <w:tcBorders>
                    <w:top w:val="nil"/>
                    <w:left w:val="nil"/>
                    <w:bottom w:val="single" w:sz="4" w:space="0" w:color="000000"/>
                    <w:right w:val="single" w:sz="4" w:space="0" w:color="000000"/>
                  </w:tcBorders>
                  <w:vAlign w:val="center"/>
                  <w:hideMark/>
                </w:tcPr>
                <w:p w14:paraId="10B26D6B" w14:textId="77777777" w:rsidR="00CD64B5" w:rsidRPr="00CD64B5" w:rsidRDefault="00CD64B5" w:rsidP="00CD64B5">
                  <w:pPr>
                    <w:rPr>
                      <w:sz w:val="20"/>
                    </w:rPr>
                  </w:pPr>
                  <w:r w:rsidRPr="00CD64B5">
                    <w:rPr>
                      <w:rFonts w:ascii="Sylfaen" w:hAnsi="Sylfaen" w:cs="Sylfaen"/>
                      <w:sz w:val="20"/>
                    </w:rPr>
                    <w:t>აზოტის</w:t>
                  </w:r>
                  <w:r w:rsidRPr="00CD64B5">
                    <w:rPr>
                      <w:sz w:val="20"/>
                    </w:rPr>
                    <w:t xml:space="preserve"> </w:t>
                  </w:r>
                  <w:r w:rsidRPr="00CD64B5">
                    <w:rPr>
                      <w:rFonts w:ascii="Sylfaen" w:hAnsi="Sylfaen" w:cs="Sylfaen"/>
                      <w:sz w:val="20"/>
                    </w:rPr>
                    <w:t>დიოქსიდი</w:t>
                  </w:r>
                  <w:r w:rsidRPr="00CD64B5">
                    <w:rPr>
                      <w:sz w:val="20"/>
                    </w:rPr>
                    <w:t xml:space="preserve"> (</w:t>
                  </w:r>
                  <w:r w:rsidRPr="00CD64B5">
                    <w:rPr>
                      <w:rFonts w:ascii="Sylfaen" w:hAnsi="Sylfaen" w:cs="Sylfaen"/>
                      <w:sz w:val="20"/>
                    </w:rPr>
                    <w:t>აზოტის</w:t>
                  </w:r>
                  <w:r w:rsidRPr="00CD64B5">
                    <w:rPr>
                      <w:sz w:val="20"/>
                    </w:rPr>
                    <w:t xml:space="preserve"> (IV) </w:t>
                  </w:r>
                  <w:r w:rsidRPr="00CD64B5">
                    <w:rPr>
                      <w:rFonts w:ascii="Sylfaen" w:hAnsi="Sylfaen" w:cs="Sylfaen"/>
                      <w:sz w:val="20"/>
                    </w:rPr>
                    <w:t>ოქსიდი</w:t>
                  </w:r>
                  <w:r w:rsidRPr="00CD64B5">
                    <w:rPr>
                      <w:sz w:val="20"/>
                    </w:rPr>
                    <w:t>)</w:t>
                  </w:r>
                </w:p>
              </w:tc>
              <w:tc>
                <w:tcPr>
                  <w:tcW w:w="1259" w:type="dxa"/>
                  <w:tcBorders>
                    <w:top w:val="nil"/>
                    <w:left w:val="single" w:sz="4" w:space="0" w:color="000000"/>
                    <w:bottom w:val="single" w:sz="4" w:space="0" w:color="000000"/>
                    <w:right w:val="single" w:sz="4" w:space="0" w:color="000000"/>
                  </w:tcBorders>
                  <w:vAlign w:val="center"/>
                  <w:hideMark/>
                </w:tcPr>
                <w:p w14:paraId="281C62FC" w14:textId="77777777" w:rsidR="00CD64B5" w:rsidRPr="00CD64B5" w:rsidRDefault="00CD64B5" w:rsidP="00CD64B5">
                  <w:pPr>
                    <w:rPr>
                      <w:sz w:val="20"/>
                    </w:rPr>
                  </w:pPr>
                  <w:r w:rsidRPr="00CD64B5">
                    <w:rPr>
                      <w:sz w:val="20"/>
                    </w:rPr>
                    <w:t>1,976</w:t>
                  </w:r>
                </w:p>
              </w:tc>
              <w:tc>
                <w:tcPr>
                  <w:tcW w:w="1985" w:type="dxa"/>
                  <w:tcBorders>
                    <w:top w:val="nil"/>
                    <w:left w:val="single" w:sz="4" w:space="0" w:color="000000"/>
                    <w:bottom w:val="single" w:sz="4" w:space="0" w:color="000000"/>
                    <w:right w:val="nil"/>
                  </w:tcBorders>
                  <w:vAlign w:val="center"/>
                  <w:hideMark/>
                </w:tcPr>
                <w:p w14:paraId="640E3177" w14:textId="77777777" w:rsidR="00CD64B5" w:rsidRPr="00CD64B5" w:rsidRDefault="00CD64B5" w:rsidP="00CD64B5">
                  <w:pPr>
                    <w:rPr>
                      <w:sz w:val="20"/>
                    </w:rPr>
                  </w:pPr>
                  <w:r w:rsidRPr="00CD64B5">
                    <w:rPr>
                      <w:sz w:val="20"/>
                    </w:rPr>
                    <w:t>0,384</w:t>
                  </w:r>
                </w:p>
              </w:tc>
            </w:tr>
            <w:tr w:rsidR="00CD64B5" w:rsidRPr="00CD64B5" w14:paraId="5FED4A0C" w14:textId="77777777">
              <w:trPr>
                <w:trHeight w:val="262"/>
              </w:trPr>
              <w:tc>
                <w:tcPr>
                  <w:tcW w:w="3240" w:type="dxa"/>
                  <w:tcBorders>
                    <w:top w:val="single" w:sz="4" w:space="0" w:color="000000"/>
                    <w:left w:val="nil"/>
                    <w:bottom w:val="single" w:sz="4" w:space="0" w:color="000000"/>
                    <w:right w:val="single" w:sz="4" w:space="0" w:color="000000"/>
                  </w:tcBorders>
                  <w:vAlign w:val="center"/>
                  <w:hideMark/>
                </w:tcPr>
                <w:p w14:paraId="1E04733F" w14:textId="77777777" w:rsidR="00CD64B5" w:rsidRPr="00CD64B5" w:rsidRDefault="00CD64B5" w:rsidP="00CD64B5">
                  <w:pPr>
                    <w:rPr>
                      <w:sz w:val="20"/>
                    </w:rPr>
                  </w:pPr>
                  <w:r w:rsidRPr="00CD64B5">
                    <w:rPr>
                      <w:rFonts w:ascii="Sylfaen" w:hAnsi="Sylfaen" w:cs="Sylfaen"/>
                      <w:sz w:val="20"/>
                    </w:rPr>
                    <w:t>აზოტის</w:t>
                  </w:r>
                  <w:r w:rsidRPr="00CD64B5">
                    <w:rPr>
                      <w:sz w:val="20"/>
                    </w:rPr>
                    <w:t xml:space="preserve"> (II) </w:t>
                  </w:r>
                  <w:r w:rsidRPr="00CD64B5">
                    <w:rPr>
                      <w:rFonts w:ascii="Sylfaen" w:hAnsi="Sylfaen" w:cs="Sylfaen"/>
                      <w:sz w:val="20"/>
                    </w:rPr>
                    <w:t>ოქსიდი</w:t>
                  </w:r>
                </w:p>
              </w:tc>
              <w:tc>
                <w:tcPr>
                  <w:tcW w:w="1259" w:type="dxa"/>
                  <w:tcBorders>
                    <w:top w:val="single" w:sz="4" w:space="0" w:color="000000"/>
                    <w:left w:val="single" w:sz="4" w:space="0" w:color="000000"/>
                    <w:bottom w:val="single" w:sz="4" w:space="0" w:color="000000"/>
                    <w:right w:val="single" w:sz="4" w:space="0" w:color="000000"/>
                  </w:tcBorders>
                  <w:vAlign w:val="center"/>
                  <w:hideMark/>
                </w:tcPr>
                <w:p w14:paraId="2BC5E884" w14:textId="77777777" w:rsidR="00CD64B5" w:rsidRPr="00CD64B5" w:rsidRDefault="00CD64B5" w:rsidP="00CD64B5">
                  <w:pPr>
                    <w:rPr>
                      <w:sz w:val="20"/>
                    </w:rPr>
                  </w:pPr>
                  <w:r w:rsidRPr="00CD64B5">
                    <w:rPr>
                      <w:sz w:val="20"/>
                    </w:rPr>
                    <w:t>0,321</w:t>
                  </w:r>
                </w:p>
              </w:tc>
              <w:tc>
                <w:tcPr>
                  <w:tcW w:w="1985" w:type="dxa"/>
                  <w:tcBorders>
                    <w:top w:val="single" w:sz="4" w:space="0" w:color="000000"/>
                    <w:left w:val="single" w:sz="4" w:space="0" w:color="000000"/>
                    <w:bottom w:val="single" w:sz="4" w:space="0" w:color="000000"/>
                    <w:right w:val="nil"/>
                  </w:tcBorders>
                  <w:vAlign w:val="center"/>
                  <w:hideMark/>
                </w:tcPr>
                <w:p w14:paraId="6275E55F" w14:textId="77777777" w:rsidR="00CD64B5" w:rsidRPr="00CD64B5" w:rsidRDefault="00CD64B5" w:rsidP="00CD64B5">
                  <w:pPr>
                    <w:rPr>
                      <w:sz w:val="20"/>
                    </w:rPr>
                  </w:pPr>
                  <w:r w:rsidRPr="00CD64B5">
                    <w:rPr>
                      <w:sz w:val="20"/>
                    </w:rPr>
                    <w:t>0,0624</w:t>
                  </w:r>
                </w:p>
              </w:tc>
            </w:tr>
            <w:tr w:rsidR="00CD64B5" w:rsidRPr="00CD64B5" w14:paraId="5F9F0E75" w14:textId="77777777">
              <w:trPr>
                <w:trHeight w:val="262"/>
              </w:trPr>
              <w:tc>
                <w:tcPr>
                  <w:tcW w:w="3240" w:type="dxa"/>
                  <w:tcBorders>
                    <w:top w:val="single" w:sz="4" w:space="0" w:color="000000"/>
                    <w:left w:val="nil"/>
                    <w:bottom w:val="single" w:sz="4" w:space="0" w:color="000000"/>
                    <w:right w:val="single" w:sz="4" w:space="0" w:color="000000"/>
                  </w:tcBorders>
                  <w:vAlign w:val="center"/>
                  <w:hideMark/>
                </w:tcPr>
                <w:p w14:paraId="2D3E94B7" w14:textId="77777777" w:rsidR="00CD64B5" w:rsidRPr="00CD64B5" w:rsidRDefault="00CD64B5" w:rsidP="00CD64B5">
                  <w:pPr>
                    <w:rPr>
                      <w:sz w:val="20"/>
                    </w:rPr>
                  </w:pPr>
                  <w:r w:rsidRPr="00CD64B5">
                    <w:rPr>
                      <w:rFonts w:ascii="Sylfaen" w:hAnsi="Sylfaen" w:cs="Sylfaen"/>
                      <w:sz w:val="20"/>
                    </w:rPr>
                    <w:t>ჭვარტლი</w:t>
                  </w:r>
                </w:p>
              </w:tc>
              <w:tc>
                <w:tcPr>
                  <w:tcW w:w="1259" w:type="dxa"/>
                  <w:tcBorders>
                    <w:top w:val="single" w:sz="4" w:space="0" w:color="000000"/>
                    <w:left w:val="single" w:sz="4" w:space="0" w:color="000000"/>
                    <w:bottom w:val="single" w:sz="4" w:space="0" w:color="000000"/>
                    <w:right w:val="single" w:sz="4" w:space="0" w:color="000000"/>
                  </w:tcBorders>
                  <w:vAlign w:val="center"/>
                  <w:hideMark/>
                </w:tcPr>
                <w:p w14:paraId="54DBE89A" w14:textId="77777777" w:rsidR="00CD64B5" w:rsidRPr="00CD64B5" w:rsidRDefault="00CD64B5" w:rsidP="00CD64B5">
                  <w:pPr>
                    <w:rPr>
                      <w:sz w:val="20"/>
                    </w:rPr>
                  </w:pPr>
                  <w:r w:rsidRPr="00CD64B5">
                    <w:rPr>
                      <w:sz w:val="20"/>
                    </w:rPr>
                    <w:t>0,27</w:t>
                  </w:r>
                </w:p>
              </w:tc>
              <w:tc>
                <w:tcPr>
                  <w:tcW w:w="1985" w:type="dxa"/>
                  <w:tcBorders>
                    <w:top w:val="single" w:sz="4" w:space="0" w:color="000000"/>
                    <w:left w:val="single" w:sz="4" w:space="0" w:color="000000"/>
                    <w:bottom w:val="single" w:sz="4" w:space="0" w:color="000000"/>
                    <w:right w:val="nil"/>
                  </w:tcBorders>
                  <w:vAlign w:val="center"/>
                  <w:hideMark/>
                </w:tcPr>
                <w:p w14:paraId="137737A9" w14:textId="77777777" w:rsidR="00CD64B5" w:rsidRPr="00CD64B5" w:rsidRDefault="00CD64B5" w:rsidP="00CD64B5">
                  <w:pPr>
                    <w:rPr>
                      <w:sz w:val="20"/>
                    </w:rPr>
                  </w:pPr>
                  <w:r w:rsidRPr="00CD64B5">
                    <w:rPr>
                      <w:sz w:val="20"/>
                    </w:rPr>
                    <w:t>0,06</w:t>
                  </w:r>
                </w:p>
              </w:tc>
            </w:tr>
            <w:tr w:rsidR="00CD64B5" w:rsidRPr="00CD64B5" w14:paraId="17D5C4B2" w14:textId="77777777">
              <w:trPr>
                <w:trHeight w:val="278"/>
              </w:trPr>
              <w:tc>
                <w:tcPr>
                  <w:tcW w:w="3240" w:type="dxa"/>
                  <w:tcBorders>
                    <w:top w:val="single" w:sz="4" w:space="0" w:color="000000"/>
                    <w:left w:val="nil"/>
                    <w:bottom w:val="single" w:sz="4" w:space="0" w:color="000000"/>
                    <w:right w:val="single" w:sz="4" w:space="0" w:color="000000"/>
                  </w:tcBorders>
                  <w:vAlign w:val="center"/>
                  <w:hideMark/>
                </w:tcPr>
                <w:p w14:paraId="73FA83F4" w14:textId="77777777" w:rsidR="00CD64B5" w:rsidRPr="00CD64B5" w:rsidRDefault="00CD64B5" w:rsidP="00CD64B5">
                  <w:pPr>
                    <w:rPr>
                      <w:sz w:val="20"/>
                    </w:rPr>
                  </w:pPr>
                  <w:r w:rsidRPr="00CD64B5">
                    <w:rPr>
                      <w:rFonts w:ascii="Sylfaen" w:hAnsi="Sylfaen" w:cs="Sylfaen"/>
                      <w:sz w:val="20"/>
                    </w:rPr>
                    <w:t>გოგირდის</w:t>
                  </w:r>
                  <w:r w:rsidRPr="00CD64B5">
                    <w:rPr>
                      <w:sz w:val="20"/>
                    </w:rPr>
                    <w:t xml:space="preserve"> </w:t>
                  </w:r>
                  <w:r w:rsidRPr="00CD64B5">
                    <w:rPr>
                      <w:rFonts w:ascii="Sylfaen" w:hAnsi="Sylfaen" w:cs="Sylfaen"/>
                      <w:sz w:val="20"/>
                    </w:rPr>
                    <w:t>დიოქსიდი</w:t>
                  </w:r>
                </w:p>
              </w:tc>
              <w:tc>
                <w:tcPr>
                  <w:tcW w:w="1259" w:type="dxa"/>
                  <w:tcBorders>
                    <w:top w:val="single" w:sz="4" w:space="0" w:color="000000"/>
                    <w:left w:val="single" w:sz="4" w:space="0" w:color="000000"/>
                    <w:bottom w:val="single" w:sz="4" w:space="0" w:color="000000"/>
                    <w:right w:val="single" w:sz="4" w:space="0" w:color="000000"/>
                  </w:tcBorders>
                  <w:vAlign w:val="center"/>
                  <w:hideMark/>
                </w:tcPr>
                <w:p w14:paraId="6CA52598" w14:textId="77777777" w:rsidR="00CD64B5" w:rsidRPr="00CD64B5" w:rsidRDefault="00CD64B5" w:rsidP="00CD64B5">
                  <w:pPr>
                    <w:rPr>
                      <w:sz w:val="20"/>
                    </w:rPr>
                  </w:pPr>
                  <w:r w:rsidRPr="00CD64B5">
                    <w:rPr>
                      <w:sz w:val="20"/>
                    </w:rPr>
                    <w:t>0,19</w:t>
                  </w:r>
                </w:p>
              </w:tc>
              <w:tc>
                <w:tcPr>
                  <w:tcW w:w="1985" w:type="dxa"/>
                  <w:tcBorders>
                    <w:top w:val="single" w:sz="4" w:space="0" w:color="000000"/>
                    <w:left w:val="single" w:sz="4" w:space="0" w:color="000000"/>
                    <w:bottom w:val="single" w:sz="4" w:space="0" w:color="000000"/>
                    <w:right w:val="nil"/>
                  </w:tcBorders>
                  <w:vAlign w:val="center"/>
                  <w:hideMark/>
                </w:tcPr>
                <w:p w14:paraId="16A01F19" w14:textId="77777777" w:rsidR="00CD64B5" w:rsidRPr="00CD64B5" w:rsidRDefault="00CD64B5" w:rsidP="00CD64B5">
                  <w:pPr>
                    <w:rPr>
                      <w:sz w:val="20"/>
                    </w:rPr>
                  </w:pPr>
                  <w:r w:rsidRPr="00CD64B5">
                    <w:rPr>
                      <w:sz w:val="20"/>
                    </w:rPr>
                    <w:t>0,097</w:t>
                  </w:r>
                </w:p>
              </w:tc>
            </w:tr>
            <w:tr w:rsidR="00CD64B5" w:rsidRPr="00CD64B5" w14:paraId="2E26E1DA" w14:textId="77777777">
              <w:trPr>
                <w:trHeight w:val="278"/>
              </w:trPr>
              <w:tc>
                <w:tcPr>
                  <w:tcW w:w="3240" w:type="dxa"/>
                  <w:tcBorders>
                    <w:top w:val="single" w:sz="4" w:space="0" w:color="000000"/>
                    <w:left w:val="nil"/>
                    <w:bottom w:val="single" w:sz="4" w:space="0" w:color="000000"/>
                    <w:right w:val="single" w:sz="4" w:space="0" w:color="000000"/>
                  </w:tcBorders>
                  <w:vAlign w:val="center"/>
                  <w:hideMark/>
                </w:tcPr>
                <w:p w14:paraId="7EE7A67E" w14:textId="77777777" w:rsidR="00CD64B5" w:rsidRPr="00CD64B5" w:rsidRDefault="00CD64B5" w:rsidP="00CD64B5">
                  <w:pPr>
                    <w:rPr>
                      <w:sz w:val="20"/>
                    </w:rPr>
                  </w:pPr>
                  <w:r w:rsidRPr="00CD64B5">
                    <w:rPr>
                      <w:rFonts w:ascii="Sylfaen" w:hAnsi="Sylfaen" w:cs="Sylfaen"/>
                      <w:sz w:val="20"/>
                    </w:rPr>
                    <w:t>ნახშირბადის</w:t>
                  </w:r>
                  <w:r w:rsidRPr="00CD64B5">
                    <w:rPr>
                      <w:sz w:val="20"/>
                    </w:rPr>
                    <w:t xml:space="preserve"> </w:t>
                  </w:r>
                  <w:r w:rsidRPr="00CD64B5">
                    <w:rPr>
                      <w:rFonts w:ascii="Sylfaen" w:hAnsi="Sylfaen" w:cs="Sylfaen"/>
                      <w:sz w:val="20"/>
                    </w:rPr>
                    <w:t>ოქსიდი</w:t>
                  </w:r>
                </w:p>
              </w:tc>
              <w:tc>
                <w:tcPr>
                  <w:tcW w:w="1259" w:type="dxa"/>
                  <w:tcBorders>
                    <w:top w:val="single" w:sz="4" w:space="0" w:color="000000"/>
                    <w:left w:val="single" w:sz="4" w:space="0" w:color="000000"/>
                    <w:bottom w:val="single" w:sz="4" w:space="0" w:color="000000"/>
                    <w:right w:val="single" w:sz="4" w:space="0" w:color="000000"/>
                  </w:tcBorders>
                  <w:vAlign w:val="center"/>
                  <w:hideMark/>
                </w:tcPr>
                <w:p w14:paraId="17EB3B11" w14:textId="77777777" w:rsidR="00CD64B5" w:rsidRPr="00CD64B5" w:rsidRDefault="00CD64B5" w:rsidP="00CD64B5">
                  <w:pPr>
                    <w:rPr>
                      <w:sz w:val="20"/>
                    </w:rPr>
                  </w:pPr>
                  <w:r w:rsidRPr="00CD64B5">
                    <w:rPr>
                      <w:sz w:val="20"/>
                    </w:rPr>
                    <w:t>1,29</w:t>
                  </w:r>
                </w:p>
              </w:tc>
              <w:tc>
                <w:tcPr>
                  <w:tcW w:w="1985" w:type="dxa"/>
                  <w:tcBorders>
                    <w:top w:val="single" w:sz="4" w:space="0" w:color="000000"/>
                    <w:left w:val="single" w:sz="4" w:space="0" w:color="000000"/>
                    <w:bottom w:val="single" w:sz="4" w:space="0" w:color="000000"/>
                    <w:right w:val="nil"/>
                  </w:tcBorders>
                  <w:vAlign w:val="center"/>
                  <w:hideMark/>
                </w:tcPr>
                <w:p w14:paraId="3645C86E" w14:textId="77777777" w:rsidR="00CD64B5" w:rsidRPr="00CD64B5" w:rsidRDefault="00CD64B5" w:rsidP="00CD64B5">
                  <w:pPr>
                    <w:rPr>
                      <w:sz w:val="20"/>
                    </w:rPr>
                  </w:pPr>
                  <w:r w:rsidRPr="00CD64B5">
                    <w:rPr>
                      <w:sz w:val="20"/>
                    </w:rPr>
                    <w:t>2,4</w:t>
                  </w:r>
                </w:p>
              </w:tc>
            </w:tr>
            <w:tr w:rsidR="00CD64B5" w:rsidRPr="00CD64B5" w14:paraId="2E0D316D" w14:textId="77777777">
              <w:trPr>
                <w:trHeight w:val="524"/>
              </w:trPr>
              <w:tc>
                <w:tcPr>
                  <w:tcW w:w="3240" w:type="dxa"/>
                  <w:tcBorders>
                    <w:top w:val="single" w:sz="4" w:space="0" w:color="000000"/>
                    <w:left w:val="nil"/>
                    <w:bottom w:val="nil"/>
                    <w:right w:val="single" w:sz="4" w:space="0" w:color="000000"/>
                  </w:tcBorders>
                  <w:vAlign w:val="center"/>
                  <w:hideMark/>
                </w:tcPr>
                <w:p w14:paraId="24B34363" w14:textId="77777777" w:rsidR="00CD64B5" w:rsidRPr="00CD64B5" w:rsidRDefault="00CD64B5" w:rsidP="00CD64B5">
                  <w:pPr>
                    <w:rPr>
                      <w:sz w:val="20"/>
                    </w:rPr>
                  </w:pPr>
                  <w:r w:rsidRPr="00CD64B5">
                    <w:rPr>
                      <w:rFonts w:ascii="Sylfaen" w:hAnsi="Sylfaen" w:cs="Sylfaen"/>
                      <w:sz w:val="20"/>
                    </w:rPr>
                    <w:t>ნახშირწყალბადების</w:t>
                  </w:r>
                  <w:r w:rsidRPr="00CD64B5">
                    <w:rPr>
                      <w:sz w:val="20"/>
                    </w:rPr>
                    <w:t xml:space="preserve"> </w:t>
                  </w:r>
                  <w:r w:rsidRPr="00CD64B5">
                    <w:rPr>
                      <w:rFonts w:ascii="Sylfaen" w:hAnsi="Sylfaen" w:cs="Sylfaen"/>
                      <w:sz w:val="20"/>
                    </w:rPr>
                    <w:t>ნავთის</w:t>
                  </w:r>
                  <w:r w:rsidRPr="00CD64B5">
                    <w:rPr>
                      <w:sz w:val="20"/>
                    </w:rPr>
                    <w:t xml:space="preserve"> </w:t>
                  </w:r>
                  <w:r w:rsidRPr="00CD64B5">
                    <w:rPr>
                      <w:rFonts w:ascii="Sylfaen" w:hAnsi="Sylfaen" w:cs="Sylfaen"/>
                      <w:sz w:val="20"/>
                    </w:rPr>
                    <w:t>ფრაქცია</w:t>
                  </w:r>
                </w:p>
              </w:tc>
              <w:tc>
                <w:tcPr>
                  <w:tcW w:w="1259" w:type="dxa"/>
                  <w:tcBorders>
                    <w:top w:val="single" w:sz="4" w:space="0" w:color="000000"/>
                    <w:left w:val="single" w:sz="4" w:space="0" w:color="000000"/>
                    <w:bottom w:val="nil"/>
                    <w:right w:val="single" w:sz="4" w:space="0" w:color="000000"/>
                  </w:tcBorders>
                  <w:vAlign w:val="center"/>
                  <w:hideMark/>
                </w:tcPr>
                <w:p w14:paraId="0C2CE29E" w14:textId="77777777" w:rsidR="00CD64B5" w:rsidRPr="00CD64B5" w:rsidRDefault="00CD64B5" w:rsidP="00CD64B5">
                  <w:pPr>
                    <w:rPr>
                      <w:sz w:val="20"/>
                    </w:rPr>
                  </w:pPr>
                  <w:r w:rsidRPr="00CD64B5">
                    <w:rPr>
                      <w:sz w:val="20"/>
                    </w:rPr>
                    <w:t>0,43</w:t>
                  </w:r>
                </w:p>
              </w:tc>
              <w:tc>
                <w:tcPr>
                  <w:tcW w:w="1985" w:type="dxa"/>
                  <w:tcBorders>
                    <w:top w:val="single" w:sz="4" w:space="0" w:color="000000"/>
                    <w:left w:val="single" w:sz="4" w:space="0" w:color="000000"/>
                    <w:bottom w:val="nil"/>
                    <w:right w:val="nil"/>
                  </w:tcBorders>
                  <w:vAlign w:val="center"/>
                  <w:hideMark/>
                </w:tcPr>
                <w:p w14:paraId="30FE7CF9" w14:textId="77777777" w:rsidR="00CD64B5" w:rsidRPr="00CD64B5" w:rsidRDefault="00CD64B5" w:rsidP="00CD64B5">
                  <w:pPr>
                    <w:rPr>
                      <w:sz w:val="20"/>
                    </w:rPr>
                  </w:pPr>
                  <w:r w:rsidRPr="00CD64B5">
                    <w:rPr>
                      <w:sz w:val="20"/>
                    </w:rPr>
                    <w:t>0,3</w:t>
                  </w:r>
                </w:p>
              </w:tc>
            </w:tr>
          </w:tbl>
          <w:p w14:paraId="4B2DFBB0" w14:textId="77777777" w:rsidR="00CD64B5" w:rsidRPr="00CD64B5" w:rsidRDefault="00CD64B5" w:rsidP="00CD64B5">
            <w:pPr>
              <w:rPr>
                <w:sz w:val="20"/>
                <w:lang w:val="en-US" w:eastAsia="en-US"/>
              </w:rPr>
            </w:pPr>
          </w:p>
        </w:tc>
      </w:tr>
    </w:tbl>
    <w:p w14:paraId="091E4DE9" w14:textId="77777777" w:rsidR="00CD64B5" w:rsidRPr="001352AB" w:rsidRDefault="00CD64B5" w:rsidP="00CD64B5">
      <w:pPr>
        <w:rPr>
          <w:rFonts w:eastAsiaTheme="minorHAnsi"/>
          <w:lang w:val="ka-GE"/>
        </w:rPr>
      </w:pPr>
    </w:p>
    <w:p w14:paraId="6A9F87C2" w14:textId="77777777" w:rsidR="00CD64B5" w:rsidRPr="001352AB" w:rsidRDefault="00CD64B5" w:rsidP="00CD64B5">
      <w:pPr>
        <w:spacing w:before="120" w:after="120"/>
      </w:pP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წლიური</w:t>
      </w:r>
      <w:r w:rsidRPr="001352AB">
        <w:t xml:space="preserve"> </w:t>
      </w:r>
      <w:r w:rsidRPr="001352AB">
        <w:rPr>
          <w:rFonts w:ascii="Sylfaen" w:hAnsi="Sylfaen" w:cs="Sylfaen"/>
        </w:rPr>
        <w:t>და</w:t>
      </w:r>
      <w:r w:rsidRPr="001352AB">
        <w:t xml:space="preserve"> </w:t>
      </w:r>
      <w:r w:rsidRPr="001352AB">
        <w:rPr>
          <w:rFonts w:ascii="Sylfaen" w:hAnsi="Sylfaen" w:cs="Sylfaen"/>
        </w:rPr>
        <w:t>მაქსიმალური</w:t>
      </w:r>
      <w:r w:rsidRPr="001352AB">
        <w:t xml:space="preserve"> </w:t>
      </w:r>
      <w:r w:rsidRPr="001352AB">
        <w:rPr>
          <w:rFonts w:ascii="Sylfaen" w:hAnsi="Sylfaen" w:cs="Sylfaen"/>
        </w:rPr>
        <w:t>ერთჯერადი</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გაანგარიშება</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ქვემოთ</w:t>
      </w:r>
      <w:r w:rsidRPr="001352AB">
        <w:t xml:space="preserve">. </w:t>
      </w:r>
    </w:p>
    <w:p w14:paraId="05280C73" w14:textId="77777777" w:rsidR="00CD64B5" w:rsidRPr="001352AB" w:rsidRDefault="00CD64B5" w:rsidP="00CD64B5">
      <w:pPr>
        <w:spacing w:before="120" w:after="120"/>
      </w:pPr>
      <w:r w:rsidRPr="001352AB">
        <w:t xml:space="preserve">G301 = </w:t>
      </w:r>
      <w:r w:rsidRPr="001352AB">
        <w:rPr>
          <w:rFonts w:eastAsiaTheme="minorEastAsia"/>
        </w:rPr>
        <w:t xml:space="preserve">(1,976·12+1,3·1,976·13+0,384·5)·1/1800 = 0,0327924 </w:t>
      </w:r>
      <w:r w:rsidRPr="001352AB">
        <w:rPr>
          <w:rFonts w:ascii="Sylfaen" w:hAnsi="Sylfaen" w:cs="Sylfaen"/>
        </w:rPr>
        <w:t>გ</w:t>
      </w:r>
      <w:r w:rsidRPr="001352AB">
        <w:t>/</w:t>
      </w:r>
      <w:r w:rsidRPr="001352AB">
        <w:rPr>
          <w:rFonts w:ascii="Sylfaen" w:hAnsi="Sylfaen" w:cs="Sylfaen"/>
        </w:rPr>
        <w:t>წმ</w:t>
      </w:r>
      <w:r w:rsidRPr="001352AB">
        <w:t>;</w:t>
      </w:r>
    </w:p>
    <w:p w14:paraId="6C724BA0" w14:textId="77777777" w:rsidR="00CD64B5" w:rsidRPr="001352AB" w:rsidRDefault="00CD64B5" w:rsidP="00CD64B5">
      <w:pPr>
        <w:spacing w:before="120" w:after="120"/>
      </w:pPr>
      <w:r w:rsidRPr="001352AB">
        <w:t xml:space="preserve">M301 = </w:t>
      </w:r>
      <w:r w:rsidRPr="001352AB">
        <w:rPr>
          <w:rFonts w:eastAsiaTheme="minorEastAsia"/>
        </w:rPr>
        <w:t xml:space="preserve">(1,976·1·1·6,4·60+1,3·1,976·1·1·6,93333·60+0,384·1·1·2,666667·60)·10-6 = 0,0018888 </w:t>
      </w:r>
      <w:r w:rsidRPr="001352AB">
        <w:rPr>
          <w:rFonts w:ascii="Sylfaen" w:hAnsi="Sylfaen" w:cs="Sylfaen"/>
        </w:rPr>
        <w:t>ტ</w:t>
      </w:r>
      <w:r w:rsidRPr="001352AB">
        <w:t>/</w:t>
      </w:r>
      <w:r w:rsidRPr="001352AB">
        <w:rPr>
          <w:rFonts w:ascii="Sylfaen" w:hAnsi="Sylfaen" w:cs="Sylfaen"/>
        </w:rPr>
        <w:t>წელ</w:t>
      </w:r>
      <w:r w:rsidRPr="001352AB">
        <w:t>;</w:t>
      </w:r>
    </w:p>
    <w:p w14:paraId="77CC2DA3" w14:textId="77777777" w:rsidR="00CD64B5" w:rsidRPr="001352AB" w:rsidRDefault="00CD64B5" w:rsidP="00CD64B5">
      <w:pPr>
        <w:spacing w:before="120" w:after="120"/>
      </w:pPr>
      <w:r w:rsidRPr="001352AB">
        <w:t xml:space="preserve">G304 = </w:t>
      </w:r>
      <w:r w:rsidRPr="001352AB">
        <w:rPr>
          <w:rFonts w:eastAsiaTheme="minorEastAsia"/>
        </w:rPr>
        <w:t xml:space="preserve">(0,321·12+1,3·0,321·13+0,0624·5)·1/1800 = 0,0053272 </w:t>
      </w:r>
      <w:r w:rsidRPr="001352AB">
        <w:rPr>
          <w:rFonts w:ascii="Sylfaen" w:hAnsi="Sylfaen" w:cs="Sylfaen"/>
        </w:rPr>
        <w:t>გ</w:t>
      </w:r>
      <w:r w:rsidRPr="001352AB">
        <w:t>/</w:t>
      </w:r>
      <w:r w:rsidRPr="001352AB">
        <w:rPr>
          <w:rFonts w:ascii="Sylfaen" w:hAnsi="Sylfaen" w:cs="Sylfaen"/>
        </w:rPr>
        <w:t>წმ</w:t>
      </w:r>
      <w:r w:rsidRPr="001352AB">
        <w:t>;</w:t>
      </w:r>
    </w:p>
    <w:p w14:paraId="6EFFB16F" w14:textId="77777777" w:rsidR="00CD64B5" w:rsidRPr="001352AB" w:rsidRDefault="00CD64B5" w:rsidP="00CD64B5">
      <w:pPr>
        <w:spacing w:before="120" w:after="120"/>
      </w:pPr>
      <w:r w:rsidRPr="001352AB">
        <w:t xml:space="preserve">M304 = </w:t>
      </w:r>
      <w:r w:rsidRPr="001352AB">
        <w:rPr>
          <w:rFonts w:eastAsiaTheme="minorEastAsia"/>
        </w:rPr>
        <w:t xml:space="preserve">(0,321·1·1·6,4·60+1,3·0,321·1·1·6,93333·60+0,0624·1·1·2,666667·60)·10-6 = 0,0003068 </w:t>
      </w:r>
      <w:r w:rsidRPr="001352AB">
        <w:rPr>
          <w:rFonts w:ascii="Sylfaen" w:hAnsi="Sylfaen" w:cs="Sylfaen"/>
        </w:rPr>
        <w:t>ტ</w:t>
      </w:r>
      <w:r w:rsidRPr="001352AB">
        <w:t>/</w:t>
      </w:r>
      <w:r w:rsidRPr="001352AB">
        <w:rPr>
          <w:rFonts w:ascii="Sylfaen" w:hAnsi="Sylfaen" w:cs="Sylfaen"/>
        </w:rPr>
        <w:t>წელ</w:t>
      </w:r>
      <w:r w:rsidRPr="001352AB">
        <w:t>;</w:t>
      </w:r>
    </w:p>
    <w:p w14:paraId="6246ECD4" w14:textId="77777777" w:rsidR="00CD64B5" w:rsidRPr="001352AB" w:rsidRDefault="00CD64B5" w:rsidP="00CD64B5">
      <w:pPr>
        <w:spacing w:before="120" w:after="120"/>
      </w:pPr>
      <w:r w:rsidRPr="001352AB">
        <w:t xml:space="preserve">G328 = </w:t>
      </w:r>
      <w:r w:rsidRPr="001352AB">
        <w:rPr>
          <w:rFonts w:eastAsiaTheme="minorEastAsia"/>
        </w:rPr>
        <w:t xml:space="preserve">(0,27·12+1,3·0,27·13+0,06·5)·1/1800 = 0,0045017 </w:t>
      </w:r>
      <w:r w:rsidRPr="001352AB">
        <w:rPr>
          <w:rFonts w:ascii="Sylfaen" w:hAnsi="Sylfaen" w:cs="Sylfaen"/>
        </w:rPr>
        <w:t>გ</w:t>
      </w:r>
      <w:r w:rsidRPr="001352AB">
        <w:t>/</w:t>
      </w:r>
      <w:r w:rsidRPr="001352AB">
        <w:rPr>
          <w:rFonts w:ascii="Sylfaen" w:hAnsi="Sylfaen" w:cs="Sylfaen"/>
        </w:rPr>
        <w:t>წმ</w:t>
      </w:r>
      <w:r w:rsidRPr="001352AB">
        <w:t>;</w:t>
      </w:r>
    </w:p>
    <w:p w14:paraId="55F86472" w14:textId="77777777" w:rsidR="00CD64B5" w:rsidRPr="001352AB" w:rsidRDefault="00CD64B5" w:rsidP="00CD64B5">
      <w:pPr>
        <w:spacing w:before="120" w:after="120"/>
      </w:pPr>
      <w:r w:rsidRPr="001352AB">
        <w:t xml:space="preserve">M328 = </w:t>
      </w:r>
      <w:r w:rsidRPr="001352AB">
        <w:rPr>
          <w:rFonts w:eastAsiaTheme="minorEastAsia"/>
        </w:rPr>
        <w:t xml:space="preserve">(0,27·1·1·6,4·60+1,3·0,27·1·1·6,93333·60+0,06·1·1·2,666667·60)·10-6 = 0,0002593 </w:t>
      </w:r>
      <w:r w:rsidRPr="001352AB">
        <w:rPr>
          <w:rFonts w:ascii="Sylfaen" w:hAnsi="Sylfaen" w:cs="Sylfaen"/>
        </w:rPr>
        <w:t>ტ</w:t>
      </w:r>
      <w:r w:rsidRPr="001352AB">
        <w:t>/</w:t>
      </w:r>
      <w:r w:rsidRPr="001352AB">
        <w:rPr>
          <w:rFonts w:ascii="Sylfaen" w:hAnsi="Sylfaen" w:cs="Sylfaen"/>
        </w:rPr>
        <w:t>წელ</w:t>
      </w:r>
      <w:r w:rsidRPr="001352AB">
        <w:t>;</w:t>
      </w:r>
    </w:p>
    <w:p w14:paraId="353244AD" w14:textId="77777777" w:rsidR="00CD64B5" w:rsidRPr="001352AB" w:rsidRDefault="00CD64B5" w:rsidP="00CD64B5">
      <w:pPr>
        <w:spacing w:before="120" w:after="120"/>
      </w:pPr>
      <w:r w:rsidRPr="001352AB">
        <w:t xml:space="preserve">G330 = </w:t>
      </w:r>
      <w:r w:rsidRPr="001352AB">
        <w:rPr>
          <w:rFonts w:eastAsiaTheme="minorEastAsia"/>
        </w:rPr>
        <w:t xml:space="preserve">(0,19·12+1,3·0,19·13+0,097·5)·1/1800 = 0,00332 </w:t>
      </w:r>
      <w:r w:rsidRPr="001352AB">
        <w:rPr>
          <w:rFonts w:ascii="Sylfaen" w:hAnsi="Sylfaen" w:cs="Sylfaen"/>
        </w:rPr>
        <w:t>გ</w:t>
      </w:r>
      <w:r w:rsidRPr="001352AB">
        <w:t>/</w:t>
      </w:r>
      <w:r w:rsidRPr="001352AB">
        <w:rPr>
          <w:rFonts w:ascii="Sylfaen" w:hAnsi="Sylfaen" w:cs="Sylfaen"/>
        </w:rPr>
        <w:t>წმ</w:t>
      </w:r>
      <w:r w:rsidRPr="001352AB">
        <w:t>;</w:t>
      </w:r>
    </w:p>
    <w:p w14:paraId="648183D3" w14:textId="77777777" w:rsidR="00CD64B5" w:rsidRPr="001352AB" w:rsidRDefault="00CD64B5" w:rsidP="00CD64B5">
      <w:pPr>
        <w:spacing w:before="120" w:after="120"/>
      </w:pPr>
      <w:r w:rsidRPr="001352AB">
        <w:t xml:space="preserve">M330 = </w:t>
      </w:r>
      <w:r w:rsidRPr="001352AB">
        <w:rPr>
          <w:rFonts w:eastAsiaTheme="minorEastAsia"/>
        </w:rPr>
        <w:t xml:space="preserve">(0,19·1·1·6,4·60+1,3·0,19·1·1·6,93333·60+0,097·1·1·2,666667·60)·10-6 = 0,0001912 </w:t>
      </w:r>
      <w:r w:rsidRPr="001352AB">
        <w:rPr>
          <w:rFonts w:ascii="Sylfaen" w:hAnsi="Sylfaen" w:cs="Sylfaen"/>
        </w:rPr>
        <w:t>ტ</w:t>
      </w:r>
      <w:r w:rsidRPr="001352AB">
        <w:t>/</w:t>
      </w:r>
      <w:r w:rsidRPr="001352AB">
        <w:rPr>
          <w:rFonts w:ascii="Sylfaen" w:hAnsi="Sylfaen" w:cs="Sylfaen"/>
        </w:rPr>
        <w:t>წელ</w:t>
      </w:r>
      <w:r w:rsidRPr="001352AB">
        <w:t>;</w:t>
      </w:r>
    </w:p>
    <w:p w14:paraId="57AB33D5" w14:textId="77777777" w:rsidR="00CD64B5" w:rsidRPr="001352AB" w:rsidRDefault="00CD64B5" w:rsidP="00CD64B5">
      <w:pPr>
        <w:spacing w:before="120" w:after="120"/>
      </w:pPr>
      <w:r w:rsidRPr="001352AB">
        <w:t xml:space="preserve">G337 = </w:t>
      </w:r>
      <w:r w:rsidRPr="001352AB">
        <w:rPr>
          <w:rFonts w:eastAsiaTheme="minorEastAsia"/>
        </w:rPr>
        <w:t xml:space="preserve">(1,29·12+1,3·1,29·13+2,4·5)·1/1800 = 0,0273783 </w:t>
      </w:r>
      <w:r w:rsidRPr="001352AB">
        <w:rPr>
          <w:rFonts w:ascii="Sylfaen" w:hAnsi="Sylfaen" w:cs="Sylfaen"/>
        </w:rPr>
        <w:t>გ</w:t>
      </w:r>
      <w:r w:rsidRPr="001352AB">
        <w:t>/</w:t>
      </w:r>
      <w:r w:rsidRPr="001352AB">
        <w:rPr>
          <w:rFonts w:ascii="Sylfaen" w:hAnsi="Sylfaen" w:cs="Sylfaen"/>
        </w:rPr>
        <w:t>წმ</w:t>
      </w:r>
      <w:r w:rsidRPr="001352AB">
        <w:t>;</w:t>
      </w:r>
    </w:p>
    <w:p w14:paraId="5DF047B9" w14:textId="77777777" w:rsidR="00CD64B5" w:rsidRPr="001352AB" w:rsidRDefault="00CD64B5" w:rsidP="00CD64B5">
      <w:pPr>
        <w:spacing w:before="120" w:after="120"/>
      </w:pPr>
      <w:r w:rsidRPr="001352AB">
        <w:lastRenderedPageBreak/>
        <w:t xml:space="preserve">M337 = </w:t>
      </w:r>
      <w:r w:rsidRPr="001352AB">
        <w:rPr>
          <w:rFonts w:eastAsiaTheme="minorEastAsia"/>
        </w:rPr>
        <w:t xml:space="preserve">(1,29·1·1·6,4·60+1,3·1,29·1·1·6,93333·60+2,4·1·1·2,666667·60)·10-6 = 0,001577 </w:t>
      </w:r>
      <w:r w:rsidRPr="001352AB">
        <w:rPr>
          <w:rFonts w:ascii="Sylfaen" w:hAnsi="Sylfaen" w:cs="Sylfaen"/>
        </w:rPr>
        <w:t>ტ</w:t>
      </w:r>
      <w:r w:rsidRPr="001352AB">
        <w:t>/</w:t>
      </w:r>
      <w:r w:rsidRPr="001352AB">
        <w:rPr>
          <w:rFonts w:ascii="Sylfaen" w:hAnsi="Sylfaen" w:cs="Sylfaen"/>
        </w:rPr>
        <w:t>წელ</w:t>
      </w:r>
      <w:r w:rsidRPr="001352AB">
        <w:t>;</w:t>
      </w:r>
    </w:p>
    <w:p w14:paraId="65FC59C6" w14:textId="77777777" w:rsidR="00CD64B5" w:rsidRPr="001352AB" w:rsidRDefault="00CD64B5" w:rsidP="00CD64B5">
      <w:pPr>
        <w:spacing w:before="120" w:after="120"/>
      </w:pPr>
      <w:r w:rsidRPr="001352AB">
        <w:t xml:space="preserve">G2732 = </w:t>
      </w:r>
      <w:r w:rsidRPr="001352AB">
        <w:rPr>
          <w:rFonts w:eastAsiaTheme="minorEastAsia"/>
        </w:rPr>
        <w:t xml:space="preserve">(0,43·12+1,3·0,43·13+0,3·5)·1/1800 = 0,0077372 </w:t>
      </w:r>
      <w:r w:rsidRPr="001352AB">
        <w:rPr>
          <w:rFonts w:ascii="Sylfaen" w:hAnsi="Sylfaen" w:cs="Sylfaen"/>
        </w:rPr>
        <w:t>გ</w:t>
      </w:r>
      <w:r w:rsidRPr="001352AB">
        <w:t>/</w:t>
      </w:r>
      <w:r w:rsidRPr="001352AB">
        <w:rPr>
          <w:rFonts w:ascii="Sylfaen" w:hAnsi="Sylfaen" w:cs="Sylfaen"/>
        </w:rPr>
        <w:t>წმ</w:t>
      </w:r>
      <w:r w:rsidRPr="001352AB">
        <w:t>;</w:t>
      </w:r>
    </w:p>
    <w:p w14:paraId="1D0CEB68" w14:textId="77777777" w:rsidR="00CD64B5" w:rsidRPr="001352AB" w:rsidRDefault="00CD64B5" w:rsidP="00CD64B5">
      <w:pPr>
        <w:spacing w:before="120" w:after="120"/>
      </w:pPr>
      <w:r w:rsidRPr="001352AB">
        <w:t xml:space="preserve">M2732 = </w:t>
      </w:r>
      <w:r w:rsidRPr="001352AB">
        <w:rPr>
          <w:rFonts w:eastAsiaTheme="minorEastAsia"/>
        </w:rPr>
        <w:t xml:space="preserve">(0,43·1·1·6,4·60+1,3·0,43·1·1·6,93333·60+0,3·1·1·2,666667·60)·10-6 = 0,0004457 </w:t>
      </w:r>
      <w:r w:rsidRPr="001352AB">
        <w:rPr>
          <w:rFonts w:ascii="Sylfaen" w:hAnsi="Sylfaen" w:cs="Sylfaen"/>
        </w:rPr>
        <w:t>ტ</w:t>
      </w:r>
      <w:r w:rsidRPr="001352AB">
        <w:t>/</w:t>
      </w:r>
      <w:r w:rsidRPr="001352AB">
        <w:rPr>
          <w:rFonts w:ascii="Sylfaen" w:hAnsi="Sylfaen" w:cs="Sylfaen"/>
        </w:rPr>
        <w:t>წელ</w:t>
      </w:r>
      <w:r w:rsidRPr="001352AB">
        <w:t>.</w:t>
      </w:r>
    </w:p>
    <w:p w14:paraId="557A9647" w14:textId="77777777" w:rsidR="00CD64B5" w:rsidRPr="001352AB" w:rsidRDefault="00CD64B5" w:rsidP="00CD64B5">
      <w:pPr>
        <w:spacing w:before="120" w:after="120"/>
      </w:pPr>
      <w:r w:rsidRPr="001352AB">
        <w:rPr>
          <w:rFonts w:ascii="Sylfaen" w:hAnsi="Sylfaen" w:cs="Sylfaen"/>
        </w:rPr>
        <w:t>ერთციცხვიანი</w:t>
      </w:r>
      <w:r w:rsidRPr="001352AB">
        <w:t xml:space="preserve"> </w:t>
      </w:r>
      <w:r w:rsidRPr="001352AB">
        <w:rPr>
          <w:rFonts w:ascii="Sylfaen" w:hAnsi="Sylfaen" w:cs="Sylfaen"/>
        </w:rPr>
        <w:t>ექსკავატორის</w:t>
      </w:r>
      <w:r w:rsidRPr="001352AB">
        <w:t xml:space="preserve"> </w:t>
      </w:r>
      <w:r w:rsidRPr="001352AB">
        <w:rPr>
          <w:rFonts w:ascii="Sylfaen" w:hAnsi="Sylfaen" w:cs="Sylfaen"/>
        </w:rPr>
        <w:t>მუშაობისას</w:t>
      </w:r>
      <w:r w:rsidRPr="001352AB">
        <w:t xml:space="preserve"> </w:t>
      </w:r>
      <w:r w:rsidRPr="001352AB">
        <w:rPr>
          <w:rFonts w:ascii="Sylfaen" w:hAnsi="Sylfaen" w:cs="Sylfaen"/>
        </w:rPr>
        <w:t>მტვრის</w:t>
      </w:r>
      <w:r w:rsidRPr="001352AB">
        <w:t xml:space="preserve"> </w:t>
      </w:r>
      <w:r w:rsidRPr="001352AB">
        <w:rPr>
          <w:rFonts w:ascii="Sylfaen" w:hAnsi="Sylfaen" w:cs="Sylfaen"/>
        </w:rPr>
        <w:t>მაქსიმალური</w:t>
      </w:r>
      <w:r w:rsidRPr="001352AB">
        <w:t xml:space="preserve"> </w:t>
      </w:r>
      <w:r w:rsidRPr="001352AB">
        <w:rPr>
          <w:rFonts w:ascii="Sylfaen" w:hAnsi="Sylfaen" w:cs="Sylfaen"/>
        </w:rPr>
        <w:t>ერთჯერადი</w:t>
      </w:r>
      <w:r w:rsidRPr="001352AB">
        <w:t xml:space="preserve"> </w:t>
      </w:r>
      <w:r w:rsidRPr="001352AB">
        <w:rPr>
          <w:rFonts w:ascii="Sylfaen" w:hAnsi="Sylfaen" w:cs="Sylfaen"/>
        </w:rPr>
        <w:t>გაფრქვევა</w:t>
      </w:r>
      <w:r w:rsidRPr="001352AB">
        <w:t xml:space="preserve"> </w:t>
      </w:r>
      <w:r w:rsidRPr="001352AB">
        <w:rPr>
          <w:rFonts w:ascii="Sylfaen" w:hAnsi="Sylfaen" w:cs="Sylfaen"/>
        </w:rPr>
        <w:t>განისაზღვრება</w:t>
      </w:r>
      <w:r w:rsidRPr="001352AB">
        <w:t xml:space="preserve"> </w:t>
      </w:r>
      <w:r w:rsidRPr="001352AB">
        <w:rPr>
          <w:rFonts w:ascii="Sylfaen" w:hAnsi="Sylfaen" w:cs="Sylfaen"/>
        </w:rPr>
        <w:t>ფორმულით</w:t>
      </w:r>
      <w:r w:rsidRPr="001352AB">
        <w:t>:</w:t>
      </w:r>
    </w:p>
    <w:p w14:paraId="5AE3F676" w14:textId="77777777" w:rsidR="00CD64B5" w:rsidRPr="001352AB" w:rsidRDefault="00CD64B5" w:rsidP="00CD64B5">
      <w:pPr>
        <w:spacing w:before="120" w:after="120"/>
      </w:pPr>
      <w:r w:rsidRPr="001352AB">
        <w:t>M = Q</w:t>
      </w:r>
      <w:r w:rsidRPr="001352AB">
        <w:rPr>
          <w:rFonts w:ascii="Sylfaen" w:hAnsi="Sylfaen" w:cs="Sylfaen"/>
        </w:rPr>
        <w:t>ექს</w:t>
      </w:r>
      <w:r w:rsidRPr="001352AB">
        <w:t xml:space="preserve"> x E x K</w:t>
      </w:r>
      <w:r w:rsidRPr="001352AB">
        <w:rPr>
          <w:rFonts w:ascii="Sylfaen" w:hAnsi="Sylfaen" w:cs="Sylfaen"/>
        </w:rPr>
        <w:t>ექს</w:t>
      </w:r>
      <w:r w:rsidRPr="001352AB">
        <w:t xml:space="preserve"> x K1 x K2 x N/T</w:t>
      </w:r>
      <w:r w:rsidRPr="001352AB">
        <w:rPr>
          <w:rFonts w:ascii="Sylfaen" w:hAnsi="Sylfaen" w:cs="Sylfaen"/>
        </w:rPr>
        <w:t>ეც</w:t>
      </w:r>
      <w:r w:rsidRPr="001352AB">
        <w:t xml:space="preserve">, </w:t>
      </w:r>
      <w:r w:rsidRPr="001352AB">
        <w:rPr>
          <w:rFonts w:ascii="Sylfaen" w:hAnsi="Sylfaen" w:cs="Sylfaen"/>
        </w:rPr>
        <w:t>გ</w:t>
      </w:r>
      <w:r w:rsidRPr="001352AB">
        <w:t>/</w:t>
      </w:r>
      <w:r w:rsidRPr="001352AB">
        <w:rPr>
          <w:rFonts w:ascii="Sylfaen" w:hAnsi="Sylfaen" w:cs="Sylfaen"/>
        </w:rPr>
        <w:t>წმ</w:t>
      </w:r>
      <w:r w:rsidRPr="001352AB">
        <w:t xml:space="preserve">, </w:t>
      </w:r>
      <w:r w:rsidRPr="001352AB">
        <w:rPr>
          <w:rFonts w:ascii="Sylfaen" w:hAnsi="Sylfaen" w:cs="Sylfaen"/>
        </w:rPr>
        <w:t>სადაც</w:t>
      </w:r>
      <w:r w:rsidRPr="001352AB">
        <w:t xml:space="preserve">: </w:t>
      </w:r>
    </w:p>
    <w:p w14:paraId="7672F072" w14:textId="77777777" w:rsidR="00CD64B5" w:rsidRPr="001352AB" w:rsidRDefault="00CD64B5" w:rsidP="00CD64B5">
      <w:pPr>
        <w:spacing w:before="120" w:after="120"/>
      </w:pPr>
      <w:r w:rsidRPr="001352AB">
        <w:t>Q</w:t>
      </w:r>
      <w:r w:rsidRPr="001352AB">
        <w:rPr>
          <w:rFonts w:ascii="Sylfaen" w:hAnsi="Sylfaen" w:cs="Sylfaen"/>
        </w:rPr>
        <w:t>ექს</w:t>
      </w:r>
      <w:r w:rsidRPr="001352AB">
        <w:t xml:space="preserve"> = </w:t>
      </w:r>
      <w:r w:rsidRPr="001352AB">
        <w:rPr>
          <w:rFonts w:ascii="Sylfaen" w:hAnsi="Sylfaen" w:cs="Sylfaen"/>
        </w:rPr>
        <w:t>მტვრის</w:t>
      </w:r>
      <w:r w:rsidRPr="001352AB">
        <w:t xml:space="preserve"> </w:t>
      </w:r>
      <w:r w:rsidRPr="001352AB">
        <w:rPr>
          <w:rFonts w:ascii="Sylfaen" w:hAnsi="Sylfaen" w:cs="Sylfaen"/>
        </w:rPr>
        <w:t>კუთრი</w:t>
      </w:r>
      <w:r w:rsidRPr="001352AB">
        <w:t xml:space="preserve"> </w:t>
      </w:r>
      <w:r w:rsidRPr="001352AB">
        <w:rPr>
          <w:rFonts w:ascii="Sylfaen" w:hAnsi="Sylfaen" w:cs="Sylfaen"/>
        </w:rPr>
        <w:t>გამოყოფა</w:t>
      </w:r>
      <w:r w:rsidRPr="001352AB">
        <w:t xml:space="preserve"> 1</w:t>
      </w:r>
      <w:r w:rsidRPr="001352AB">
        <w:rPr>
          <w:rFonts w:ascii="Sylfaen" w:hAnsi="Sylfaen" w:cs="Sylfaen"/>
        </w:rPr>
        <w:t>მ</w:t>
      </w:r>
      <w:r w:rsidRPr="001352AB">
        <w:t xml:space="preserve">3 </w:t>
      </w:r>
      <w:r w:rsidRPr="001352AB">
        <w:rPr>
          <w:rFonts w:ascii="Sylfaen" w:hAnsi="Sylfaen" w:cs="Sylfaen"/>
        </w:rPr>
        <w:t>გადატვირთული</w:t>
      </w:r>
      <w:r w:rsidRPr="001352AB">
        <w:t xml:space="preserve"> </w:t>
      </w:r>
      <w:r w:rsidRPr="001352AB">
        <w:rPr>
          <w:rFonts w:ascii="Sylfaen" w:hAnsi="Sylfaen" w:cs="Sylfaen"/>
        </w:rPr>
        <w:t>მასალისგან</w:t>
      </w:r>
      <w:r w:rsidRPr="001352AB">
        <w:t xml:space="preserve">, </w:t>
      </w:r>
      <w:r w:rsidRPr="001352AB">
        <w:rPr>
          <w:rFonts w:ascii="Sylfaen" w:hAnsi="Sylfaen" w:cs="Sylfaen"/>
        </w:rPr>
        <w:t>გ</w:t>
      </w:r>
      <w:r w:rsidRPr="001352AB">
        <w:t>/</w:t>
      </w:r>
      <w:r w:rsidRPr="001352AB">
        <w:rPr>
          <w:rFonts w:ascii="Sylfaen" w:hAnsi="Sylfaen" w:cs="Sylfaen"/>
        </w:rPr>
        <w:t>მ</w:t>
      </w:r>
      <w:r w:rsidRPr="001352AB">
        <w:t>3 [4,8]</w:t>
      </w:r>
    </w:p>
    <w:p w14:paraId="327F2E9D" w14:textId="77777777" w:rsidR="00CD64B5" w:rsidRPr="001352AB" w:rsidRDefault="00CD64B5" w:rsidP="00CD64B5">
      <w:pPr>
        <w:spacing w:before="120" w:after="120"/>
      </w:pPr>
      <w:r w:rsidRPr="001352AB">
        <w:t xml:space="preserve">E - </w:t>
      </w:r>
      <w:r w:rsidRPr="001352AB">
        <w:rPr>
          <w:rFonts w:ascii="Sylfaen" w:hAnsi="Sylfaen" w:cs="Sylfaen"/>
        </w:rPr>
        <w:t>ციცხვის</w:t>
      </w:r>
      <w:r w:rsidRPr="001352AB">
        <w:t xml:space="preserve"> </w:t>
      </w:r>
      <w:r w:rsidRPr="001352AB">
        <w:rPr>
          <w:rFonts w:ascii="Sylfaen" w:hAnsi="Sylfaen" w:cs="Sylfaen"/>
        </w:rPr>
        <w:t>ტევადობა</w:t>
      </w:r>
      <w:r w:rsidRPr="001352AB">
        <w:t xml:space="preserve">, </w:t>
      </w:r>
      <w:r w:rsidRPr="001352AB">
        <w:rPr>
          <w:rFonts w:ascii="Sylfaen" w:hAnsi="Sylfaen" w:cs="Sylfaen"/>
        </w:rPr>
        <w:t>მ</w:t>
      </w:r>
      <w:r w:rsidRPr="001352AB">
        <w:t>3 [0,7-1]</w:t>
      </w:r>
    </w:p>
    <w:p w14:paraId="542C17C6" w14:textId="77777777" w:rsidR="00CD64B5" w:rsidRPr="001352AB" w:rsidRDefault="00CD64B5" w:rsidP="00CD64B5">
      <w:pPr>
        <w:spacing w:before="120" w:after="120"/>
      </w:pPr>
      <w:r w:rsidRPr="001352AB">
        <w:t>K</w:t>
      </w:r>
      <w:r w:rsidRPr="001352AB">
        <w:rPr>
          <w:rFonts w:ascii="Sylfaen" w:hAnsi="Sylfaen" w:cs="Sylfaen"/>
        </w:rPr>
        <w:t>ექს</w:t>
      </w:r>
      <w:r w:rsidRPr="001352AB">
        <w:t>-</w:t>
      </w:r>
      <w:r w:rsidRPr="001352AB">
        <w:rPr>
          <w:rFonts w:ascii="Sylfaen" w:hAnsi="Sylfaen" w:cs="Sylfaen"/>
        </w:rPr>
        <w:t>ექსკავაციის</w:t>
      </w:r>
      <w:r w:rsidRPr="001352AB">
        <w:t xml:space="preserve"> </w:t>
      </w:r>
      <w:r w:rsidRPr="001352AB">
        <w:rPr>
          <w:rFonts w:ascii="Sylfaen" w:hAnsi="Sylfaen" w:cs="Sylfaen"/>
        </w:rPr>
        <w:t>კოეფიციენტი</w:t>
      </w:r>
      <w:r w:rsidRPr="001352AB">
        <w:t>. [0,91]</w:t>
      </w:r>
    </w:p>
    <w:p w14:paraId="3A98DF7F" w14:textId="77777777" w:rsidR="00CD64B5" w:rsidRPr="001352AB" w:rsidRDefault="00CD64B5" w:rsidP="00CD64B5">
      <w:pPr>
        <w:spacing w:before="120" w:after="120"/>
      </w:pPr>
      <w:r w:rsidRPr="001352AB">
        <w:t xml:space="preserve">K1 - </w:t>
      </w:r>
      <w:r w:rsidRPr="001352AB">
        <w:rPr>
          <w:rFonts w:ascii="Sylfaen" w:hAnsi="Sylfaen" w:cs="Sylfaen"/>
        </w:rPr>
        <w:t>ქარის</w:t>
      </w:r>
      <w:r w:rsidRPr="001352AB">
        <w:t xml:space="preserve"> </w:t>
      </w:r>
      <w:r w:rsidRPr="001352AB">
        <w:rPr>
          <w:rFonts w:ascii="Sylfaen" w:hAnsi="Sylfaen" w:cs="Sylfaen"/>
        </w:rPr>
        <w:t>სიჩქარის</w:t>
      </w:r>
      <w:r w:rsidRPr="001352AB">
        <w:t xml:space="preserve"> </w:t>
      </w:r>
      <w:r w:rsidRPr="001352AB">
        <w:rPr>
          <w:rFonts w:ascii="Sylfaen" w:hAnsi="Sylfaen" w:cs="Sylfaen"/>
        </w:rPr>
        <w:t>კოეფ</w:t>
      </w:r>
      <w:r w:rsidRPr="001352AB">
        <w:t>. (K1=1,2);</w:t>
      </w:r>
    </w:p>
    <w:p w14:paraId="15C2D971" w14:textId="77777777" w:rsidR="00CD64B5" w:rsidRPr="001352AB" w:rsidRDefault="00CD64B5" w:rsidP="00CD64B5">
      <w:pPr>
        <w:spacing w:before="120" w:after="120"/>
      </w:pPr>
      <w:r w:rsidRPr="001352AB">
        <w:t xml:space="preserve">K2 - </w:t>
      </w:r>
      <w:r w:rsidRPr="001352AB">
        <w:rPr>
          <w:rFonts w:ascii="Sylfaen" w:hAnsi="Sylfaen" w:cs="Sylfaen"/>
        </w:rPr>
        <w:t>ტენიანობის</w:t>
      </w:r>
      <w:r w:rsidRPr="001352AB">
        <w:t xml:space="preserve"> </w:t>
      </w:r>
      <w:r w:rsidRPr="001352AB">
        <w:rPr>
          <w:rFonts w:ascii="Sylfaen" w:hAnsi="Sylfaen" w:cs="Sylfaen"/>
        </w:rPr>
        <w:t>კოეფ</w:t>
      </w:r>
      <w:r w:rsidRPr="001352AB">
        <w:t>. (K2=0,2);</w:t>
      </w:r>
    </w:p>
    <w:p w14:paraId="6F1C7068" w14:textId="77777777" w:rsidR="00CD64B5" w:rsidRPr="001352AB" w:rsidRDefault="00CD64B5" w:rsidP="00CD64B5">
      <w:pPr>
        <w:spacing w:before="120" w:after="120"/>
      </w:pPr>
      <w:r w:rsidRPr="001352AB">
        <w:t>N-</w:t>
      </w:r>
      <w:r w:rsidRPr="001352AB">
        <w:rPr>
          <w:rFonts w:ascii="Sylfaen" w:hAnsi="Sylfaen" w:cs="Sylfaen"/>
        </w:rPr>
        <w:t>ერთდროულად</w:t>
      </w:r>
      <w:r w:rsidRPr="001352AB">
        <w:t xml:space="preserve"> </w:t>
      </w:r>
      <w:r w:rsidRPr="001352AB">
        <w:rPr>
          <w:rFonts w:ascii="Sylfaen" w:hAnsi="Sylfaen" w:cs="Sylfaen"/>
        </w:rPr>
        <w:t>მომუშვე</w:t>
      </w:r>
      <w:r w:rsidRPr="001352AB">
        <w:t xml:space="preserve"> </w:t>
      </w:r>
      <w:r w:rsidRPr="001352AB">
        <w:rPr>
          <w:rFonts w:ascii="Sylfaen" w:hAnsi="Sylfaen" w:cs="Sylfaen"/>
        </w:rPr>
        <w:t>ტექნიკის</w:t>
      </w:r>
      <w:r w:rsidRPr="001352AB">
        <w:t xml:space="preserve"> </w:t>
      </w:r>
      <w:r w:rsidRPr="001352AB">
        <w:rPr>
          <w:rFonts w:ascii="Sylfaen" w:hAnsi="Sylfaen" w:cs="Sylfaen"/>
        </w:rPr>
        <w:t>რ</w:t>
      </w:r>
      <w:r w:rsidRPr="001352AB">
        <w:t>-</w:t>
      </w:r>
      <w:r w:rsidRPr="001352AB">
        <w:rPr>
          <w:rFonts w:ascii="Sylfaen" w:hAnsi="Sylfaen" w:cs="Sylfaen"/>
        </w:rPr>
        <w:t>ბა</w:t>
      </w:r>
      <w:r w:rsidRPr="001352AB">
        <w:t xml:space="preserve"> (</w:t>
      </w:r>
      <w:r w:rsidRPr="001352AB">
        <w:rPr>
          <w:rFonts w:ascii="Sylfaen" w:hAnsi="Sylfaen" w:cs="Sylfaen"/>
        </w:rPr>
        <w:t>ერთეული</w:t>
      </w:r>
      <w:r w:rsidRPr="001352AB">
        <w:t>);</w:t>
      </w:r>
    </w:p>
    <w:p w14:paraId="31113401" w14:textId="77777777" w:rsidR="00CD64B5" w:rsidRPr="001352AB" w:rsidRDefault="00CD64B5" w:rsidP="00CD64B5">
      <w:pPr>
        <w:spacing w:before="120" w:after="120"/>
      </w:pPr>
      <w:r w:rsidRPr="001352AB">
        <w:t>T</w:t>
      </w:r>
      <w:r w:rsidRPr="001352AB">
        <w:rPr>
          <w:rFonts w:ascii="Sylfaen" w:hAnsi="Sylfaen" w:cs="Sylfaen"/>
        </w:rPr>
        <w:t>ეც</w:t>
      </w:r>
      <w:r w:rsidRPr="001352AB">
        <w:t xml:space="preserve"> -</w:t>
      </w:r>
      <w:r w:rsidRPr="001352AB">
        <w:rPr>
          <w:rFonts w:ascii="Sylfaen" w:hAnsi="Sylfaen" w:cs="Sylfaen"/>
        </w:rPr>
        <w:t>ექსკავატორის</w:t>
      </w:r>
      <w:r w:rsidRPr="001352AB">
        <w:t xml:space="preserve"> </w:t>
      </w:r>
      <w:r w:rsidRPr="001352AB">
        <w:rPr>
          <w:rFonts w:ascii="Sylfaen" w:hAnsi="Sylfaen" w:cs="Sylfaen"/>
        </w:rPr>
        <w:t>ციკლის</w:t>
      </w:r>
      <w:r w:rsidRPr="001352AB">
        <w:t xml:space="preserve"> </w:t>
      </w:r>
      <w:r w:rsidRPr="001352AB">
        <w:rPr>
          <w:rFonts w:ascii="Sylfaen" w:hAnsi="Sylfaen" w:cs="Sylfaen"/>
        </w:rPr>
        <w:t>დრო</w:t>
      </w:r>
      <w:r w:rsidRPr="001352AB">
        <w:t xml:space="preserve">, </w:t>
      </w:r>
      <w:r w:rsidRPr="001352AB">
        <w:rPr>
          <w:rFonts w:ascii="Sylfaen" w:hAnsi="Sylfaen" w:cs="Sylfaen"/>
        </w:rPr>
        <w:t>წმ</w:t>
      </w:r>
      <w:r w:rsidRPr="001352AB">
        <w:t>. [30]</w:t>
      </w:r>
    </w:p>
    <w:p w14:paraId="7C04C554" w14:textId="77777777" w:rsidR="00CD64B5" w:rsidRPr="001352AB" w:rsidRDefault="00CD64B5" w:rsidP="00CD64B5">
      <w:pPr>
        <w:spacing w:before="120" w:after="120"/>
      </w:pPr>
      <w:r w:rsidRPr="001352AB">
        <w:t>M = Q</w:t>
      </w:r>
      <w:r w:rsidRPr="001352AB">
        <w:rPr>
          <w:rFonts w:ascii="Sylfaen" w:hAnsi="Sylfaen" w:cs="Sylfaen"/>
        </w:rPr>
        <w:t>ექს</w:t>
      </w:r>
      <w:r w:rsidRPr="001352AB">
        <w:t xml:space="preserve"> x E x K</w:t>
      </w:r>
      <w:r w:rsidRPr="001352AB">
        <w:rPr>
          <w:rFonts w:ascii="Sylfaen" w:hAnsi="Sylfaen" w:cs="Sylfaen"/>
        </w:rPr>
        <w:t>ე</w:t>
      </w:r>
      <w:r w:rsidRPr="001352AB">
        <w:t xml:space="preserve"> x K1 x K2 x N/T</w:t>
      </w:r>
      <w:r w:rsidRPr="001352AB">
        <w:rPr>
          <w:rFonts w:ascii="Sylfaen" w:hAnsi="Sylfaen" w:cs="Sylfaen"/>
        </w:rPr>
        <w:t>ეც</w:t>
      </w:r>
      <w:r w:rsidRPr="001352AB">
        <w:t xml:space="preserve"> = 4,8*1*0,91*1,2*0,2*1/30=0,035</w:t>
      </w:r>
      <w:r w:rsidRPr="001352AB">
        <w:rPr>
          <w:rFonts w:ascii="Sylfaen" w:hAnsi="Sylfaen" w:cs="Sylfaen"/>
        </w:rPr>
        <w:t>გ</w:t>
      </w:r>
      <w:r w:rsidRPr="001352AB">
        <w:t>/</w:t>
      </w:r>
      <w:r w:rsidRPr="001352AB">
        <w:rPr>
          <w:rFonts w:ascii="Sylfaen" w:hAnsi="Sylfaen" w:cs="Sylfaen"/>
        </w:rPr>
        <w:t>წმ</w:t>
      </w:r>
      <w:r w:rsidRPr="001352AB">
        <w:t>.</w:t>
      </w:r>
    </w:p>
    <w:p w14:paraId="5E1325D8" w14:textId="77777777" w:rsidR="00CD64B5" w:rsidRPr="001352AB" w:rsidRDefault="00CD64B5" w:rsidP="00CD64B5">
      <w:pPr>
        <w:spacing w:before="120" w:after="120"/>
      </w:pPr>
      <w:r w:rsidRPr="001352AB">
        <w:rPr>
          <w:rFonts w:ascii="Sylfaen" w:hAnsi="Sylfaen" w:cs="Sylfaen"/>
        </w:rPr>
        <w:t>ერთციცხვიანი</w:t>
      </w:r>
      <w:r w:rsidRPr="001352AB">
        <w:t xml:space="preserve"> </w:t>
      </w:r>
      <w:r w:rsidRPr="001352AB">
        <w:rPr>
          <w:rFonts w:ascii="Sylfaen" w:hAnsi="Sylfaen" w:cs="Sylfaen"/>
        </w:rPr>
        <w:t>ექსკავატორის</w:t>
      </w:r>
      <w:r w:rsidRPr="001352AB">
        <w:t xml:space="preserve"> </w:t>
      </w:r>
      <w:r w:rsidRPr="001352AB">
        <w:rPr>
          <w:rFonts w:ascii="Sylfaen" w:hAnsi="Sylfaen" w:cs="Sylfaen"/>
        </w:rPr>
        <w:t>მუშაობისას</w:t>
      </w:r>
      <w:r w:rsidRPr="001352AB">
        <w:t xml:space="preserve"> </w:t>
      </w:r>
      <w:r w:rsidRPr="001352AB">
        <w:rPr>
          <w:rFonts w:ascii="Sylfaen" w:hAnsi="Sylfaen" w:cs="Sylfaen"/>
        </w:rPr>
        <w:t>მტვრის</w:t>
      </w:r>
      <w:r w:rsidRPr="001352AB">
        <w:t xml:space="preserve"> </w:t>
      </w:r>
      <w:r w:rsidRPr="001352AB">
        <w:rPr>
          <w:rFonts w:ascii="Sylfaen" w:hAnsi="Sylfaen" w:cs="Sylfaen"/>
        </w:rPr>
        <w:t>ჯამური</w:t>
      </w:r>
      <w:r w:rsidRPr="001352AB">
        <w:t xml:space="preserve"> </w:t>
      </w:r>
      <w:r w:rsidRPr="001352AB">
        <w:rPr>
          <w:rFonts w:ascii="Sylfaen" w:hAnsi="Sylfaen" w:cs="Sylfaen"/>
        </w:rPr>
        <w:t>გაფრქვევა</w:t>
      </w:r>
      <w:r w:rsidRPr="001352AB">
        <w:t xml:space="preserve"> </w:t>
      </w:r>
      <w:r w:rsidRPr="001352AB">
        <w:rPr>
          <w:rFonts w:ascii="Sylfaen" w:hAnsi="Sylfaen" w:cs="Sylfaen"/>
        </w:rPr>
        <w:t>განისაზღვრება</w:t>
      </w:r>
      <w:r w:rsidRPr="001352AB">
        <w:t xml:space="preserve"> </w:t>
      </w:r>
      <w:r w:rsidRPr="001352AB">
        <w:rPr>
          <w:rFonts w:ascii="Sylfaen" w:hAnsi="Sylfaen" w:cs="Sylfaen"/>
        </w:rPr>
        <w:t>ფორმულით</w:t>
      </w:r>
      <w:r w:rsidRPr="001352AB">
        <w:t xml:space="preserve">: </w:t>
      </w:r>
    </w:p>
    <w:p w14:paraId="1F9FB2E7" w14:textId="77777777" w:rsidR="00CD64B5" w:rsidRPr="001352AB" w:rsidRDefault="00CD64B5" w:rsidP="00CD64B5">
      <w:pPr>
        <w:spacing w:before="120" w:after="120"/>
      </w:pPr>
      <w:r w:rsidRPr="001352AB">
        <w:t>G = M x 3600 x T x 10-6 = 0,035 x 3600</w:t>
      </w:r>
      <w:r w:rsidRPr="001352AB">
        <w:rPr>
          <w:rFonts w:ascii="Sylfaen" w:hAnsi="Sylfaen" w:cs="Sylfaen"/>
        </w:rPr>
        <w:t>წმ</w:t>
      </w:r>
      <w:r w:rsidRPr="001352AB">
        <w:t xml:space="preserve"> x 16</w:t>
      </w:r>
      <w:r w:rsidRPr="001352AB">
        <w:rPr>
          <w:rFonts w:ascii="Sylfaen" w:hAnsi="Sylfaen" w:cs="Sylfaen"/>
        </w:rPr>
        <w:t>სთ</w:t>
      </w:r>
      <w:r w:rsidRPr="001352AB">
        <w:t xml:space="preserve"> x 250</w:t>
      </w:r>
      <w:r w:rsidRPr="001352AB">
        <w:rPr>
          <w:rFonts w:ascii="Sylfaen" w:hAnsi="Sylfaen" w:cs="Sylfaen"/>
        </w:rPr>
        <w:t>დღ</w:t>
      </w:r>
      <w:r w:rsidRPr="001352AB">
        <w:t xml:space="preserve"> x 10-6 = 0,504</w:t>
      </w:r>
      <w:r w:rsidRPr="001352AB">
        <w:rPr>
          <w:rFonts w:ascii="Sylfaen" w:hAnsi="Sylfaen" w:cs="Sylfaen"/>
        </w:rPr>
        <w:t>ტ</w:t>
      </w:r>
      <w:r w:rsidRPr="001352AB">
        <w:t>/</w:t>
      </w:r>
      <w:r w:rsidRPr="001352AB">
        <w:rPr>
          <w:rFonts w:ascii="Sylfaen" w:hAnsi="Sylfaen" w:cs="Sylfaen"/>
        </w:rPr>
        <w:t>წელ</w:t>
      </w:r>
      <w:r w:rsidRPr="001352AB">
        <w:t>.</w:t>
      </w:r>
    </w:p>
    <w:p w14:paraId="4C9EFCD1" w14:textId="77777777" w:rsidR="00CD64B5" w:rsidRPr="001352AB" w:rsidRDefault="00CD64B5" w:rsidP="00CD64B5">
      <w:pPr>
        <w:spacing w:before="120" w:after="120"/>
      </w:pPr>
      <w:bookmarkStart w:id="259" w:name="_Toc419823074"/>
      <w:r w:rsidRPr="001352AB">
        <w:rPr>
          <w:rFonts w:ascii="Sylfaen" w:eastAsiaTheme="majorEastAsia" w:hAnsi="Sylfaen" w:cs="Sylfaen"/>
        </w:rPr>
        <w:t>ემისიის</w:t>
      </w:r>
      <w:r w:rsidRPr="001352AB">
        <w:rPr>
          <w:rFonts w:eastAsiaTheme="majorEastAsia"/>
        </w:rPr>
        <w:t xml:space="preserve"> </w:t>
      </w:r>
      <w:r w:rsidRPr="001352AB">
        <w:rPr>
          <w:rFonts w:ascii="Sylfaen" w:eastAsiaTheme="majorEastAsia" w:hAnsi="Sylfaen" w:cs="Sylfaen"/>
        </w:rPr>
        <w:t>გაანგარიშება</w:t>
      </w:r>
      <w:r w:rsidRPr="001352AB">
        <w:rPr>
          <w:rFonts w:eastAsiaTheme="majorEastAsia"/>
        </w:rPr>
        <w:t xml:space="preserve"> </w:t>
      </w:r>
      <w:r w:rsidRPr="001352AB">
        <w:rPr>
          <w:rFonts w:ascii="Sylfaen" w:eastAsiaTheme="majorEastAsia" w:hAnsi="Sylfaen" w:cs="Sylfaen"/>
        </w:rPr>
        <w:t>სამშენებლო</w:t>
      </w:r>
      <w:r w:rsidRPr="001352AB">
        <w:rPr>
          <w:rFonts w:eastAsiaTheme="majorEastAsia"/>
        </w:rPr>
        <w:t>-</w:t>
      </w:r>
      <w:r w:rsidRPr="001352AB">
        <w:rPr>
          <w:rFonts w:ascii="Sylfaen" w:eastAsiaTheme="majorEastAsia" w:hAnsi="Sylfaen" w:cs="Sylfaen"/>
        </w:rPr>
        <w:t>მანქანიდან</w:t>
      </w:r>
      <w:r w:rsidRPr="001352AB">
        <w:rPr>
          <w:rFonts w:eastAsiaTheme="majorEastAsia"/>
        </w:rPr>
        <w:t>(</w:t>
      </w:r>
      <w:r w:rsidRPr="001352AB">
        <w:rPr>
          <w:rFonts w:ascii="Sylfaen" w:eastAsiaTheme="majorEastAsia" w:hAnsi="Sylfaen" w:cs="Sylfaen"/>
        </w:rPr>
        <w:t>ბულდოზერი</w:t>
      </w:r>
      <w:r w:rsidRPr="001352AB">
        <w:rPr>
          <w:rFonts w:eastAsiaTheme="majorEastAsia"/>
        </w:rPr>
        <w:t>) (</w:t>
      </w:r>
      <w:r w:rsidRPr="001352AB">
        <w:rPr>
          <w:rFonts w:ascii="Sylfaen" w:eastAsiaTheme="majorEastAsia" w:hAnsi="Sylfaen" w:cs="Sylfaen"/>
        </w:rPr>
        <w:t>გ</w:t>
      </w:r>
      <w:r w:rsidRPr="001352AB">
        <w:rPr>
          <w:rFonts w:eastAsiaTheme="majorEastAsia"/>
        </w:rPr>
        <w:t>-6)</w:t>
      </w:r>
      <w:bookmarkEnd w:id="259"/>
    </w:p>
    <w:p w14:paraId="0A55C0E9" w14:textId="77777777" w:rsidR="00CD64B5" w:rsidRPr="001352AB" w:rsidRDefault="00CD64B5" w:rsidP="00CD64B5">
      <w:pPr>
        <w:spacing w:before="120" w:after="120"/>
        <w:rPr>
          <w:rFonts w:eastAsiaTheme="minorEastAsia"/>
        </w:rPr>
      </w:pPr>
      <w:r w:rsidRPr="001352AB">
        <w:rPr>
          <w:rFonts w:ascii="Sylfaen" w:hAnsi="Sylfaen" w:cs="Sylfaen"/>
        </w:rPr>
        <w:t>აირადი</w:t>
      </w:r>
      <w:r w:rsidRPr="001352AB">
        <w:t xml:space="preserve"> </w:t>
      </w:r>
      <w:r w:rsidRPr="001352AB">
        <w:rPr>
          <w:rFonts w:ascii="Sylfaen" w:hAnsi="Sylfaen" w:cs="Sylfaen"/>
        </w:rPr>
        <w:t>ნივთიერებების</w:t>
      </w:r>
      <w:r w:rsidRPr="001352AB">
        <w:t xml:space="preserve"> </w:t>
      </w:r>
      <w:r w:rsidRPr="001352AB">
        <w:rPr>
          <w:rFonts w:ascii="Sylfaen" w:hAnsi="Sylfaen" w:cs="Sylfaen"/>
        </w:rPr>
        <w:t>გაფრქვევა</w:t>
      </w:r>
      <w:r w:rsidRPr="001352AB">
        <w:t xml:space="preserve"> </w:t>
      </w:r>
      <w:r w:rsidRPr="001352AB">
        <w:rPr>
          <w:rFonts w:ascii="Sylfaen" w:hAnsi="Sylfaen" w:cs="Sylfaen"/>
        </w:rPr>
        <w:t>იდენტურია</w:t>
      </w:r>
      <w:r w:rsidRPr="001352AB">
        <w:t xml:space="preserve"> </w:t>
      </w:r>
      <w:r w:rsidRPr="001352AB">
        <w:rPr>
          <w:rFonts w:ascii="Sylfaen" w:hAnsi="Sylfaen" w:cs="Sylfaen"/>
        </w:rPr>
        <w:t>რაც</w:t>
      </w:r>
      <w:r w:rsidRPr="001352AB">
        <w:t xml:space="preserve"> </w:t>
      </w:r>
      <w:r w:rsidRPr="001352AB">
        <w:rPr>
          <w:rFonts w:ascii="Sylfaen" w:hAnsi="Sylfaen" w:cs="Sylfaen"/>
        </w:rPr>
        <w:t>ექსკავატორის</w:t>
      </w:r>
      <w:r w:rsidRPr="001352AB">
        <w:t xml:space="preserve">, </w:t>
      </w:r>
      <w:r w:rsidRPr="001352AB">
        <w:rPr>
          <w:rFonts w:ascii="Sylfaen" w:hAnsi="Sylfaen" w:cs="Sylfaen"/>
        </w:rPr>
        <w:t>ხოლო</w:t>
      </w:r>
      <w:r w:rsidRPr="001352AB">
        <w:t xml:space="preserve"> </w:t>
      </w:r>
      <w:r w:rsidRPr="001352AB">
        <w:rPr>
          <w:rFonts w:ascii="Sylfaen" w:hAnsi="Sylfaen" w:cs="Sylfaen"/>
        </w:rPr>
        <w:t>შეწონილი</w:t>
      </w:r>
      <w:r w:rsidRPr="001352AB">
        <w:t xml:space="preserve"> </w:t>
      </w:r>
      <w:r w:rsidRPr="001352AB">
        <w:rPr>
          <w:rFonts w:ascii="Sylfaen" w:hAnsi="Sylfaen" w:cs="Sylfaen"/>
        </w:rPr>
        <w:t>ნაწილაკების</w:t>
      </w:r>
      <w:r w:rsidRPr="001352AB">
        <w:t xml:space="preserve"> </w:t>
      </w:r>
      <w:r w:rsidRPr="001352AB">
        <w:rPr>
          <w:rFonts w:ascii="Sylfaen" w:hAnsi="Sylfaen" w:cs="Sylfaen"/>
        </w:rPr>
        <w:t>მაქსიმალური</w:t>
      </w:r>
      <w:r w:rsidRPr="001352AB">
        <w:t xml:space="preserve"> </w:t>
      </w:r>
      <w:r w:rsidRPr="001352AB">
        <w:rPr>
          <w:rFonts w:ascii="Sylfaen" w:hAnsi="Sylfaen" w:cs="Sylfaen"/>
        </w:rPr>
        <w:t>ემისია</w:t>
      </w:r>
      <w:r w:rsidRPr="001352AB">
        <w:t xml:space="preserve"> </w:t>
      </w:r>
      <w:r w:rsidRPr="001352AB">
        <w:rPr>
          <w:rFonts w:ascii="Sylfaen" w:hAnsi="Sylfaen" w:cs="Sylfaen"/>
        </w:rPr>
        <w:t>გაიანგარიშება</w:t>
      </w:r>
      <w:r w:rsidRPr="001352AB">
        <w:t xml:space="preserve"> </w:t>
      </w:r>
      <w:r w:rsidRPr="001352AB">
        <w:rPr>
          <w:rFonts w:ascii="Sylfaen" w:hAnsi="Sylfaen" w:cs="Sylfaen"/>
        </w:rPr>
        <w:t>შემდეგნაირად</w:t>
      </w:r>
      <w:r w:rsidRPr="001352AB">
        <w:t xml:space="preserve">: </w:t>
      </w:r>
    </w:p>
    <w:p w14:paraId="16D65C1A" w14:textId="77777777" w:rsidR="00CD64B5" w:rsidRPr="001352AB" w:rsidRDefault="00CD64B5" w:rsidP="00CD64B5">
      <w:pPr>
        <w:spacing w:before="120" w:after="120"/>
        <w:rPr>
          <w:rFonts w:eastAsiaTheme="majorEastAsia"/>
        </w:rPr>
      </w:pPr>
      <w:r w:rsidRPr="001352AB">
        <w:t>G = (Q</w:t>
      </w:r>
      <w:r w:rsidRPr="001352AB">
        <w:rPr>
          <w:rFonts w:ascii="Sylfaen" w:hAnsi="Sylfaen" w:cs="Sylfaen"/>
        </w:rPr>
        <w:t>ბულ</w:t>
      </w:r>
      <w:r w:rsidRPr="001352AB">
        <w:t xml:space="preserve"> x Q</w:t>
      </w:r>
      <w:r w:rsidRPr="001352AB">
        <w:rPr>
          <w:rFonts w:ascii="Sylfaen" w:hAnsi="Sylfaen" w:cs="Sylfaen"/>
        </w:rPr>
        <w:t>სიმ</w:t>
      </w:r>
      <w:r w:rsidRPr="001352AB">
        <w:t xml:space="preserve"> x V x  K1 x K2 x N)/(T</w:t>
      </w:r>
      <w:r w:rsidRPr="001352AB">
        <w:rPr>
          <w:rFonts w:ascii="Sylfaen" w:hAnsi="Sylfaen" w:cs="Sylfaen"/>
        </w:rPr>
        <w:t>ბც</w:t>
      </w:r>
      <w:r w:rsidRPr="001352AB">
        <w:t xml:space="preserve"> x K</w:t>
      </w:r>
      <w:r w:rsidRPr="001352AB">
        <w:rPr>
          <w:rFonts w:ascii="Sylfaen" w:hAnsi="Sylfaen" w:cs="Sylfaen"/>
        </w:rPr>
        <w:t>გკ</w:t>
      </w:r>
      <w:r w:rsidRPr="001352AB">
        <w:t xml:space="preserve">), </w:t>
      </w:r>
      <w:r w:rsidRPr="001352AB">
        <w:rPr>
          <w:rFonts w:ascii="Sylfaen" w:hAnsi="Sylfaen" w:cs="Sylfaen"/>
        </w:rPr>
        <w:t>გ</w:t>
      </w:r>
      <w:r w:rsidRPr="001352AB">
        <w:t>/</w:t>
      </w:r>
      <w:r w:rsidRPr="001352AB">
        <w:rPr>
          <w:rFonts w:ascii="Sylfaen" w:hAnsi="Sylfaen" w:cs="Sylfaen"/>
        </w:rPr>
        <w:t>წმ</w:t>
      </w:r>
      <w:r w:rsidRPr="001352AB">
        <w:t>;</w:t>
      </w:r>
    </w:p>
    <w:p w14:paraId="3898006D" w14:textId="77777777" w:rsidR="00CD64B5" w:rsidRPr="001352AB" w:rsidRDefault="00CD64B5" w:rsidP="00CD64B5">
      <w:pPr>
        <w:spacing w:before="120" w:after="120"/>
      </w:pPr>
      <w:r w:rsidRPr="001352AB">
        <w:rPr>
          <w:rFonts w:ascii="Sylfaen" w:hAnsi="Sylfaen" w:cs="Sylfaen"/>
        </w:rPr>
        <w:t>სადაც</w:t>
      </w:r>
      <w:r w:rsidRPr="001352AB">
        <w:t>:</w:t>
      </w:r>
    </w:p>
    <w:p w14:paraId="3A552B2B" w14:textId="77777777" w:rsidR="00CD64B5" w:rsidRPr="001352AB" w:rsidRDefault="00CD64B5" w:rsidP="00CD64B5">
      <w:pPr>
        <w:spacing w:before="120" w:after="120"/>
      </w:pPr>
      <w:r w:rsidRPr="001352AB">
        <w:t>Q</w:t>
      </w:r>
      <w:r w:rsidRPr="001352AB">
        <w:rPr>
          <w:rFonts w:ascii="Sylfaen" w:hAnsi="Sylfaen" w:cs="Sylfaen"/>
        </w:rPr>
        <w:t>ბულ</w:t>
      </w:r>
      <w:r w:rsidRPr="001352AB">
        <w:t xml:space="preserve"> _ </w:t>
      </w:r>
      <w:r w:rsidRPr="001352AB">
        <w:rPr>
          <w:rFonts w:ascii="Sylfaen" w:hAnsi="Sylfaen" w:cs="Sylfaen"/>
        </w:rPr>
        <w:t>მტვრის</w:t>
      </w:r>
      <w:r w:rsidRPr="001352AB">
        <w:t xml:space="preserve"> </w:t>
      </w:r>
      <w:r w:rsidRPr="001352AB">
        <w:rPr>
          <w:rFonts w:ascii="Sylfaen" w:hAnsi="Sylfaen" w:cs="Sylfaen"/>
        </w:rPr>
        <w:t>კუთრი</w:t>
      </w:r>
      <w:r w:rsidRPr="001352AB">
        <w:t xml:space="preserve"> </w:t>
      </w:r>
      <w:r w:rsidRPr="001352AB">
        <w:rPr>
          <w:rFonts w:ascii="Sylfaen" w:hAnsi="Sylfaen" w:cs="Sylfaen"/>
        </w:rPr>
        <w:t>გამოყოფა</w:t>
      </w:r>
      <w:r w:rsidRPr="001352AB">
        <w:t xml:space="preserve"> 1</w:t>
      </w:r>
      <w:r w:rsidRPr="001352AB">
        <w:rPr>
          <w:rFonts w:ascii="Sylfaen" w:hAnsi="Sylfaen" w:cs="Sylfaen"/>
        </w:rPr>
        <w:t>ტ</w:t>
      </w:r>
      <w:r w:rsidRPr="001352AB">
        <w:t xml:space="preserve">. </w:t>
      </w:r>
      <w:r w:rsidRPr="001352AB">
        <w:rPr>
          <w:rFonts w:ascii="Sylfaen" w:hAnsi="Sylfaen" w:cs="Sylfaen"/>
        </w:rPr>
        <w:t>გადასატანი</w:t>
      </w:r>
      <w:r w:rsidRPr="001352AB">
        <w:t xml:space="preserve"> </w:t>
      </w:r>
      <w:r w:rsidRPr="001352AB">
        <w:rPr>
          <w:rFonts w:ascii="Sylfaen" w:hAnsi="Sylfaen" w:cs="Sylfaen"/>
        </w:rPr>
        <w:t>მასალისაგან</w:t>
      </w:r>
      <w:r w:rsidRPr="001352AB">
        <w:t xml:space="preserve">, </w:t>
      </w:r>
      <w:r w:rsidRPr="001352AB">
        <w:rPr>
          <w:rFonts w:ascii="Sylfaen" w:hAnsi="Sylfaen" w:cs="Sylfaen"/>
        </w:rPr>
        <w:t>გ</w:t>
      </w:r>
      <w:r w:rsidRPr="001352AB">
        <w:t>/</w:t>
      </w:r>
      <w:r w:rsidRPr="001352AB">
        <w:rPr>
          <w:rFonts w:ascii="Sylfaen" w:hAnsi="Sylfaen" w:cs="Sylfaen"/>
        </w:rPr>
        <w:t>ტ</w:t>
      </w:r>
      <w:r w:rsidRPr="001352AB">
        <w:t xml:space="preserve"> -0,74</w:t>
      </w:r>
    </w:p>
    <w:p w14:paraId="7065D4BA" w14:textId="77777777" w:rsidR="00CD64B5" w:rsidRPr="001352AB" w:rsidRDefault="00CD64B5" w:rsidP="00CD64B5">
      <w:pPr>
        <w:spacing w:before="120" w:after="120"/>
      </w:pPr>
      <w:r w:rsidRPr="001352AB">
        <w:t>Q</w:t>
      </w:r>
      <w:r w:rsidRPr="001352AB">
        <w:rPr>
          <w:rFonts w:ascii="Sylfaen" w:hAnsi="Sylfaen" w:cs="Sylfaen"/>
        </w:rPr>
        <w:t>სიმ</w:t>
      </w:r>
      <w:r w:rsidRPr="001352AB">
        <w:t xml:space="preserve"> - </w:t>
      </w:r>
      <w:r w:rsidRPr="001352AB">
        <w:rPr>
          <w:rFonts w:ascii="Sylfaen" w:hAnsi="Sylfaen" w:cs="Sylfaen"/>
        </w:rPr>
        <w:t>ქანის</w:t>
      </w:r>
      <w:r w:rsidRPr="001352AB">
        <w:t xml:space="preserve"> </w:t>
      </w:r>
      <w:r w:rsidRPr="001352AB">
        <w:rPr>
          <w:rFonts w:ascii="Sylfaen" w:hAnsi="Sylfaen" w:cs="Sylfaen"/>
        </w:rPr>
        <w:t>სიმკვრივე</w:t>
      </w:r>
      <w:r w:rsidRPr="001352AB">
        <w:t xml:space="preserve"> (</w:t>
      </w:r>
      <w:r w:rsidRPr="001352AB">
        <w:rPr>
          <w:rFonts w:ascii="Sylfaen" w:hAnsi="Sylfaen" w:cs="Sylfaen"/>
        </w:rPr>
        <w:t>ტ</w:t>
      </w:r>
      <w:r w:rsidRPr="001352AB">
        <w:t>/</w:t>
      </w:r>
      <w:r w:rsidRPr="001352AB">
        <w:rPr>
          <w:rFonts w:ascii="Sylfaen" w:hAnsi="Sylfaen" w:cs="Sylfaen"/>
        </w:rPr>
        <w:t>მ</w:t>
      </w:r>
      <w:r w:rsidRPr="001352AB">
        <w:t xml:space="preserve">3-1,6). </w:t>
      </w:r>
    </w:p>
    <w:p w14:paraId="0D9EE80C" w14:textId="77777777" w:rsidR="00CD64B5" w:rsidRPr="001352AB" w:rsidRDefault="00CD64B5" w:rsidP="00CD64B5">
      <w:pPr>
        <w:spacing w:before="120" w:after="120"/>
      </w:pPr>
      <w:r w:rsidRPr="001352AB">
        <w:t xml:space="preserve">K1 - </w:t>
      </w:r>
      <w:r w:rsidRPr="001352AB">
        <w:rPr>
          <w:rFonts w:ascii="Sylfaen" w:hAnsi="Sylfaen" w:cs="Sylfaen"/>
        </w:rPr>
        <w:t>ქარის</w:t>
      </w:r>
      <w:r w:rsidRPr="001352AB">
        <w:t xml:space="preserve"> </w:t>
      </w:r>
      <w:r w:rsidRPr="001352AB">
        <w:rPr>
          <w:rFonts w:ascii="Sylfaen" w:hAnsi="Sylfaen" w:cs="Sylfaen"/>
        </w:rPr>
        <w:t>სიჩქარის</w:t>
      </w:r>
      <w:r w:rsidRPr="001352AB">
        <w:t xml:space="preserve"> </w:t>
      </w:r>
      <w:r w:rsidRPr="001352AB">
        <w:rPr>
          <w:rFonts w:ascii="Sylfaen" w:hAnsi="Sylfaen" w:cs="Sylfaen"/>
        </w:rPr>
        <w:t>კოეფ</w:t>
      </w:r>
      <w:r w:rsidRPr="001352AB">
        <w:t>. (K1=1,2);</w:t>
      </w:r>
    </w:p>
    <w:p w14:paraId="2438CD3B" w14:textId="77777777" w:rsidR="00CD64B5" w:rsidRPr="001352AB" w:rsidRDefault="00CD64B5" w:rsidP="00CD64B5">
      <w:pPr>
        <w:spacing w:before="120" w:after="120"/>
      </w:pPr>
      <w:r w:rsidRPr="001352AB">
        <w:t xml:space="preserve">K2 - </w:t>
      </w:r>
      <w:r w:rsidRPr="001352AB">
        <w:rPr>
          <w:rFonts w:ascii="Sylfaen" w:hAnsi="Sylfaen" w:cs="Sylfaen"/>
        </w:rPr>
        <w:t>ტენიანობის</w:t>
      </w:r>
      <w:r w:rsidRPr="001352AB">
        <w:t xml:space="preserve"> </w:t>
      </w:r>
      <w:r w:rsidRPr="001352AB">
        <w:rPr>
          <w:rFonts w:ascii="Sylfaen" w:hAnsi="Sylfaen" w:cs="Sylfaen"/>
        </w:rPr>
        <w:t>კოეფ</w:t>
      </w:r>
      <w:r w:rsidRPr="001352AB">
        <w:t>. (K2=0,2);</w:t>
      </w:r>
    </w:p>
    <w:p w14:paraId="3226251B" w14:textId="77777777" w:rsidR="00CD64B5" w:rsidRPr="001352AB" w:rsidRDefault="00CD64B5" w:rsidP="00CD64B5">
      <w:pPr>
        <w:spacing w:before="120" w:after="120"/>
      </w:pPr>
      <w:r w:rsidRPr="001352AB">
        <w:t>N-</w:t>
      </w:r>
      <w:r w:rsidRPr="001352AB">
        <w:rPr>
          <w:rFonts w:ascii="Sylfaen" w:hAnsi="Sylfaen" w:cs="Sylfaen"/>
        </w:rPr>
        <w:t>ერთდროულად</w:t>
      </w:r>
      <w:r w:rsidRPr="001352AB">
        <w:t xml:space="preserve"> </w:t>
      </w:r>
      <w:r w:rsidRPr="001352AB">
        <w:rPr>
          <w:rFonts w:ascii="Sylfaen" w:hAnsi="Sylfaen" w:cs="Sylfaen"/>
        </w:rPr>
        <w:t>მომუშვე</w:t>
      </w:r>
      <w:r w:rsidRPr="001352AB">
        <w:t xml:space="preserve"> </w:t>
      </w:r>
      <w:r w:rsidRPr="001352AB">
        <w:rPr>
          <w:rFonts w:ascii="Sylfaen" w:hAnsi="Sylfaen" w:cs="Sylfaen"/>
        </w:rPr>
        <w:t>ტექნიკის</w:t>
      </w:r>
      <w:r w:rsidRPr="001352AB">
        <w:t xml:space="preserve"> </w:t>
      </w:r>
      <w:r w:rsidRPr="001352AB">
        <w:rPr>
          <w:rFonts w:ascii="Sylfaen" w:hAnsi="Sylfaen" w:cs="Sylfaen"/>
        </w:rPr>
        <w:t>რ</w:t>
      </w:r>
      <w:r w:rsidRPr="001352AB">
        <w:t>-</w:t>
      </w:r>
      <w:r w:rsidRPr="001352AB">
        <w:rPr>
          <w:rFonts w:ascii="Sylfaen" w:hAnsi="Sylfaen" w:cs="Sylfaen"/>
        </w:rPr>
        <w:t>ბა</w:t>
      </w:r>
      <w:r w:rsidRPr="001352AB">
        <w:t xml:space="preserve"> (</w:t>
      </w:r>
      <w:r w:rsidRPr="001352AB">
        <w:rPr>
          <w:rFonts w:ascii="Sylfaen" w:hAnsi="Sylfaen" w:cs="Sylfaen"/>
        </w:rPr>
        <w:t>ერთეული</w:t>
      </w:r>
      <w:r w:rsidRPr="001352AB">
        <w:t>);</w:t>
      </w:r>
    </w:p>
    <w:p w14:paraId="7C6A3A06" w14:textId="77777777" w:rsidR="00CD64B5" w:rsidRPr="001352AB" w:rsidRDefault="00CD64B5" w:rsidP="00CD64B5">
      <w:pPr>
        <w:spacing w:before="120" w:after="120"/>
      </w:pPr>
      <w:r w:rsidRPr="001352AB">
        <w:t xml:space="preserve">V _ </w:t>
      </w:r>
      <w:r w:rsidRPr="001352AB">
        <w:rPr>
          <w:rFonts w:ascii="Sylfaen" w:hAnsi="Sylfaen" w:cs="Sylfaen"/>
        </w:rPr>
        <w:t>პრიზმის</w:t>
      </w:r>
      <w:r w:rsidRPr="001352AB">
        <w:t xml:space="preserve"> </w:t>
      </w:r>
      <w:r w:rsidRPr="001352AB">
        <w:rPr>
          <w:rFonts w:ascii="Sylfaen" w:hAnsi="Sylfaen" w:cs="Sylfaen"/>
        </w:rPr>
        <w:t>გადაადგილების</w:t>
      </w:r>
      <w:r w:rsidRPr="001352AB">
        <w:t xml:space="preserve"> </w:t>
      </w:r>
      <w:r w:rsidRPr="001352AB">
        <w:rPr>
          <w:rFonts w:ascii="Sylfaen" w:hAnsi="Sylfaen" w:cs="Sylfaen"/>
        </w:rPr>
        <w:t>მოცულობა</w:t>
      </w:r>
      <w:r w:rsidRPr="001352AB">
        <w:t xml:space="preserve"> (</w:t>
      </w:r>
      <w:r w:rsidRPr="001352AB">
        <w:rPr>
          <w:rFonts w:ascii="Sylfaen" w:hAnsi="Sylfaen" w:cs="Sylfaen"/>
        </w:rPr>
        <w:t>მ</w:t>
      </w:r>
      <w:r w:rsidRPr="001352AB">
        <w:t>3) 3,5</w:t>
      </w:r>
    </w:p>
    <w:p w14:paraId="1240E162" w14:textId="77777777" w:rsidR="00CD64B5" w:rsidRPr="001352AB" w:rsidRDefault="00CD64B5" w:rsidP="00CD64B5">
      <w:pPr>
        <w:spacing w:before="120" w:after="120"/>
      </w:pPr>
      <w:r w:rsidRPr="001352AB">
        <w:t>T</w:t>
      </w:r>
      <w:r w:rsidRPr="001352AB">
        <w:rPr>
          <w:rFonts w:ascii="Sylfaen" w:hAnsi="Sylfaen" w:cs="Sylfaen"/>
        </w:rPr>
        <w:t>ბც</w:t>
      </w:r>
      <w:r w:rsidRPr="001352AB">
        <w:t xml:space="preserve">  _ </w:t>
      </w:r>
      <w:r w:rsidRPr="001352AB">
        <w:rPr>
          <w:rFonts w:ascii="Sylfaen" w:hAnsi="Sylfaen" w:cs="Sylfaen"/>
        </w:rPr>
        <w:t>ბულდოზერის</w:t>
      </w:r>
      <w:r w:rsidRPr="001352AB">
        <w:t xml:space="preserve"> </w:t>
      </w:r>
      <w:r w:rsidRPr="001352AB">
        <w:rPr>
          <w:rFonts w:ascii="Sylfaen" w:hAnsi="Sylfaen" w:cs="Sylfaen"/>
        </w:rPr>
        <w:t>ციკლის</w:t>
      </w:r>
      <w:r w:rsidRPr="001352AB">
        <w:t xml:space="preserve"> </w:t>
      </w:r>
      <w:r w:rsidRPr="001352AB">
        <w:rPr>
          <w:rFonts w:ascii="Sylfaen" w:hAnsi="Sylfaen" w:cs="Sylfaen"/>
        </w:rPr>
        <w:t>დრო</w:t>
      </w:r>
      <w:r w:rsidRPr="001352AB">
        <w:t xml:space="preserve">, </w:t>
      </w:r>
      <w:r w:rsidRPr="001352AB">
        <w:rPr>
          <w:rFonts w:ascii="Sylfaen" w:hAnsi="Sylfaen" w:cs="Sylfaen"/>
        </w:rPr>
        <w:t>წმ</w:t>
      </w:r>
      <w:r w:rsidRPr="001352AB">
        <w:t>, 80.</w:t>
      </w:r>
    </w:p>
    <w:p w14:paraId="5E1320FA" w14:textId="77777777" w:rsidR="00CD64B5" w:rsidRPr="001352AB" w:rsidRDefault="00CD64B5" w:rsidP="00CD64B5">
      <w:pPr>
        <w:spacing w:before="120" w:after="120"/>
      </w:pPr>
      <w:r w:rsidRPr="001352AB">
        <w:t xml:space="preserve"> K</w:t>
      </w:r>
      <w:r w:rsidRPr="001352AB">
        <w:rPr>
          <w:rFonts w:ascii="Sylfaen" w:hAnsi="Sylfaen" w:cs="Sylfaen"/>
        </w:rPr>
        <w:t>გკ</w:t>
      </w:r>
      <w:r w:rsidRPr="001352AB">
        <w:t xml:space="preserve"> - </w:t>
      </w:r>
      <w:r w:rsidRPr="001352AB">
        <w:rPr>
          <w:rFonts w:ascii="Sylfaen" w:hAnsi="Sylfaen" w:cs="Sylfaen"/>
        </w:rPr>
        <w:t>ქანის</w:t>
      </w:r>
      <w:r w:rsidRPr="001352AB">
        <w:t xml:space="preserve"> </w:t>
      </w:r>
      <w:r w:rsidRPr="001352AB">
        <w:rPr>
          <w:rFonts w:ascii="Sylfaen" w:hAnsi="Sylfaen" w:cs="Sylfaen"/>
        </w:rPr>
        <w:t>გაფხვიერების</w:t>
      </w:r>
      <w:r w:rsidRPr="001352AB">
        <w:t xml:space="preserve"> </w:t>
      </w:r>
      <w:r w:rsidRPr="001352AB">
        <w:rPr>
          <w:rFonts w:ascii="Sylfaen" w:hAnsi="Sylfaen" w:cs="Sylfaen"/>
        </w:rPr>
        <w:t>კოეფ</w:t>
      </w:r>
      <w:r w:rsidRPr="001352AB">
        <w:t>. (K</w:t>
      </w:r>
      <w:r w:rsidRPr="001352AB">
        <w:rPr>
          <w:rFonts w:ascii="Sylfaen" w:hAnsi="Sylfaen" w:cs="Sylfaen"/>
        </w:rPr>
        <w:t>გკ</w:t>
      </w:r>
      <w:r w:rsidRPr="001352AB">
        <w:t xml:space="preserve"> -1,15)</w:t>
      </w:r>
    </w:p>
    <w:p w14:paraId="1EE4EF63" w14:textId="77777777" w:rsidR="00CD64B5" w:rsidRPr="001352AB" w:rsidRDefault="00CD64B5" w:rsidP="00CD64B5">
      <w:pPr>
        <w:spacing w:before="120" w:after="120"/>
      </w:pPr>
      <w:r w:rsidRPr="001352AB">
        <w:t>G = (Q</w:t>
      </w:r>
      <w:r w:rsidRPr="001352AB">
        <w:rPr>
          <w:rFonts w:ascii="Sylfaen" w:hAnsi="Sylfaen" w:cs="Sylfaen"/>
        </w:rPr>
        <w:t>ბულ</w:t>
      </w:r>
      <w:r w:rsidRPr="001352AB">
        <w:t xml:space="preserve"> x Q</w:t>
      </w:r>
      <w:r w:rsidRPr="001352AB">
        <w:rPr>
          <w:rFonts w:ascii="Sylfaen" w:hAnsi="Sylfaen" w:cs="Sylfaen"/>
        </w:rPr>
        <w:t>სიმ</w:t>
      </w:r>
      <w:r w:rsidRPr="001352AB">
        <w:t xml:space="preserve"> x V x  K1 x K2 x N)/(T</w:t>
      </w:r>
      <w:r w:rsidRPr="001352AB">
        <w:rPr>
          <w:rFonts w:ascii="Sylfaen" w:hAnsi="Sylfaen" w:cs="Sylfaen"/>
        </w:rPr>
        <w:t>ბც</w:t>
      </w:r>
      <w:r w:rsidRPr="001352AB">
        <w:t xml:space="preserve"> x K</w:t>
      </w:r>
      <w:r w:rsidRPr="001352AB">
        <w:rPr>
          <w:rFonts w:ascii="Sylfaen" w:hAnsi="Sylfaen" w:cs="Sylfaen"/>
        </w:rPr>
        <w:t>გკ</w:t>
      </w:r>
      <w:r w:rsidRPr="001352AB">
        <w:t xml:space="preserve">) = 0,74*1,6*3,5*1,2*0,2*1/(80*1,15)=0,011 </w:t>
      </w:r>
      <w:r w:rsidRPr="001352AB">
        <w:rPr>
          <w:rFonts w:ascii="Sylfaen" w:hAnsi="Sylfaen" w:cs="Sylfaen"/>
        </w:rPr>
        <w:t>გ</w:t>
      </w:r>
      <w:r w:rsidRPr="001352AB">
        <w:t>/</w:t>
      </w:r>
      <w:r w:rsidRPr="001352AB">
        <w:rPr>
          <w:rFonts w:ascii="Sylfaen" w:hAnsi="Sylfaen" w:cs="Sylfaen"/>
        </w:rPr>
        <w:t>წმ</w:t>
      </w:r>
    </w:p>
    <w:p w14:paraId="4FC07744" w14:textId="77777777" w:rsidR="00CD64B5" w:rsidRPr="001352AB" w:rsidRDefault="00CD64B5" w:rsidP="00CD64B5">
      <w:pPr>
        <w:spacing w:before="120" w:after="120"/>
      </w:pPr>
      <w:r w:rsidRPr="001352AB">
        <w:rPr>
          <w:rFonts w:ascii="Sylfaen" w:hAnsi="Sylfaen" w:cs="Sylfaen"/>
        </w:rPr>
        <w:t>ბულდოზერის</w:t>
      </w:r>
      <w:r w:rsidRPr="001352AB">
        <w:t xml:space="preserve"> </w:t>
      </w:r>
      <w:r w:rsidRPr="001352AB">
        <w:rPr>
          <w:rFonts w:ascii="Sylfaen" w:hAnsi="Sylfaen" w:cs="Sylfaen"/>
        </w:rPr>
        <w:t>მუშაობისას</w:t>
      </w:r>
      <w:r w:rsidRPr="001352AB">
        <w:t xml:space="preserve"> </w:t>
      </w:r>
      <w:r w:rsidRPr="001352AB">
        <w:rPr>
          <w:rFonts w:ascii="Sylfaen" w:hAnsi="Sylfaen" w:cs="Sylfaen"/>
        </w:rPr>
        <w:t>მტვრის</w:t>
      </w:r>
      <w:r w:rsidRPr="001352AB">
        <w:t xml:space="preserve"> </w:t>
      </w:r>
      <w:r w:rsidRPr="001352AB">
        <w:rPr>
          <w:rFonts w:ascii="Sylfaen" w:hAnsi="Sylfaen" w:cs="Sylfaen"/>
        </w:rPr>
        <w:t>ჯამური</w:t>
      </w:r>
      <w:r w:rsidRPr="001352AB">
        <w:t xml:space="preserve"> </w:t>
      </w:r>
      <w:r w:rsidRPr="001352AB">
        <w:rPr>
          <w:rFonts w:ascii="Sylfaen" w:hAnsi="Sylfaen" w:cs="Sylfaen"/>
        </w:rPr>
        <w:t>გაფრქვევა</w:t>
      </w:r>
      <w:r w:rsidRPr="001352AB">
        <w:t xml:space="preserve"> </w:t>
      </w:r>
      <w:r w:rsidRPr="001352AB">
        <w:rPr>
          <w:rFonts w:ascii="Sylfaen" w:hAnsi="Sylfaen" w:cs="Sylfaen"/>
        </w:rPr>
        <w:t>განისაზღვრება</w:t>
      </w:r>
      <w:r w:rsidRPr="001352AB">
        <w:t xml:space="preserve"> </w:t>
      </w:r>
      <w:r w:rsidRPr="001352AB">
        <w:rPr>
          <w:rFonts w:ascii="Sylfaen" w:hAnsi="Sylfaen" w:cs="Sylfaen"/>
        </w:rPr>
        <w:t>ფორმულით</w:t>
      </w:r>
      <w:r w:rsidRPr="001352AB">
        <w:t xml:space="preserve">: </w:t>
      </w:r>
    </w:p>
    <w:p w14:paraId="25AC3E6D" w14:textId="77777777" w:rsidR="00CD64B5" w:rsidRPr="001352AB" w:rsidRDefault="00CD64B5" w:rsidP="00CD64B5">
      <w:pPr>
        <w:spacing w:before="120" w:after="120"/>
      </w:pPr>
      <w:r w:rsidRPr="001352AB">
        <w:t>G = M x 3600 x T x 10-6 = 0,011 x 3600</w:t>
      </w:r>
      <w:r w:rsidRPr="001352AB">
        <w:rPr>
          <w:rFonts w:ascii="Sylfaen" w:hAnsi="Sylfaen" w:cs="Sylfaen"/>
        </w:rPr>
        <w:t>წმ</w:t>
      </w:r>
      <w:r w:rsidRPr="001352AB">
        <w:t xml:space="preserve"> x 16</w:t>
      </w:r>
      <w:r w:rsidRPr="001352AB">
        <w:rPr>
          <w:rFonts w:ascii="Sylfaen" w:hAnsi="Sylfaen" w:cs="Sylfaen"/>
        </w:rPr>
        <w:t>სთ</w:t>
      </w:r>
      <w:r w:rsidRPr="001352AB">
        <w:t xml:space="preserve"> x 250</w:t>
      </w:r>
      <w:r w:rsidRPr="001352AB">
        <w:rPr>
          <w:rFonts w:ascii="Sylfaen" w:hAnsi="Sylfaen" w:cs="Sylfaen"/>
        </w:rPr>
        <w:t>დღ</w:t>
      </w:r>
      <w:r w:rsidRPr="001352AB">
        <w:t xml:space="preserve"> x 10-6 = 0,1584</w:t>
      </w:r>
      <w:r w:rsidRPr="001352AB">
        <w:rPr>
          <w:rFonts w:ascii="Sylfaen" w:hAnsi="Sylfaen" w:cs="Sylfaen"/>
        </w:rPr>
        <w:t>ტ</w:t>
      </w:r>
      <w:r w:rsidRPr="001352AB">
        <w:t>/</w:t>
      </w:r>
      <w:r w:rsidRPr="001352AB">
        <w:rPr>
          <w:rFonts w:ascii="Sylfaen" w:hAnsi="Sylfaen" w:cs="Sylfaen"/>
        </w:rPr>
        <w:t>წელ</w:t>
      </w:r>
      <w:r w:rsidRPr="001352AB">
        <w:t>.</w:t>
      </w:r>
    </w:p>
    <w:p w14:paraId="5BE3A374" w14:textId="77777777" w:rsidR="00CD64B5" w:rsidRPr="001352AB" w:rsidRDefault="00CD64B5" w:rsidP="00CD64B5">
      <w:pPr>
        <w:spacing w:before="120" w:after="120"/>
      </w:pPr>
      <w:bookmarkStart w:id="260" w:name="_Toc419823075"/>
      <w:r w:rsidRPr="001352AB">
        <w:rPr>
          <w:rFonts w:ascii="Sylfaen" w:eastAsiaTheme="majorEastAsia" w:hAnsi="Sylfaen" w:cs="Sylfaen"/>
        </w:rPr>
        <w:t>ემისიის</w:t>
      </w:r>
      <w:r w:rsidRPr="001352AB">
        <w:rPr>
          <w:rFonts w:eastAsiaTheme="majorEastAsia"/>
        </w:rPr>
        <w:t xml:space="preserve"> </w:t>
      </w:r>
      <w:r w:rsidRPr="001352AB">
        <w:rPr>
          <w:rFonts w:ascii="Sylfaen" w:eastAsiaTheme="majorEastAsia" w:hAnsi="Sylfaen" w:cs="Sylfaen"/>
        </w:rPr>
        <w:t>გაანგარიშება</w:t>
      </w:r>
      <w:r w:rsidRPr="001352AB">
        <w:rPr>
          <w:rFonts w:eastAsiaTheme="majorEastAsia"/>
        </w:rPr>
        <w:t xml:space="preserve"> </w:t>
      </w:r>
      <w:r w:rsidRPr="001352AB">
        <w:rPr>
          <w:rFonts w:ascii="Sylfaen" w:eastAsiaTheme="majorEastAsia" w:hAnsi="Sylfaen" w:cs="Sylfaen"/>
        </w:rPr>
        <w:t>ინერტული</w:t>
      </w:r>
      <w:r w:rsidRPr="001352AB">
        <w:rPr>
          <w:rFonts w:eastAsiaTheme="majorEastAsia"/>
        </w:rPr>
        <w:t xml:space="preserve"> </w:t>
      </w:r>
      <w:r w:rsidRPr="001352AB">
        <w:rPr>
          <w:rFonts w:ascii="Sylfaen" w:eastAsiaTheme="majorEastAsia" w:hAnsi="Sylfaen" w:cs="Sylfaen"/>
        </w:rPr>
        <w:t>მასალების</w:t>
      </w:r>
      <w:r w:rsidRPr="001352AB">
        <w:rPr>
          <w:rFonts w:eastAsiaTheme="majorEastAsia"/>
        </w:rPr>
        <w:t xml:space="preserve"> </w:t>
      </w:r>
      <w:r w:rsidRPr="001352AB">
        <w:rPr>
          <w:rFonts w:ascii="Sylfaen" w:eastAsiaTheme="majorEastAsia" w:hAnsi="Sylfaen" w:cs="Sylfaen"/>
        </w:rPr>
        <w:t>შენახვა</w:t>
      </w:r>
      <w:r w:rsidRPr="001352AB">
        <w:rPr>
          <w:rFonts w:eastAsiaTheme="majorEastAsia"/>
        </w:rPr>
        <w:t>-</w:t>
      </w:r>
      <w:r w:rsidRPr="001352AB">
        <w:rPr>
          <w:rFonts w:ascii="Sylfaen" w:eastAsiaTheme="majorEastAsia" w:hAnsi="Sylfaen" w:cs="Sylfaen"/>
        </w:rPr>
        <w:t>დასაწყობებიდან</w:t>
      </w:r>
      <w:r w:rsidRPr="001352AB">
        <w:rPr>
          <w:rFonts w:eastAsiaTheme="majorEastAsia"/>
        </w:rPr>
        <w:t xml:space="preserve"> (</w:t>
      </w:r>
      <w:r w:rsidRPr="001352AB">
        <w:rPr>
          <w:rFonts w:ascii="Sylfaen" w:eastAsiaTheme="majorEastAsia" w:hAnsi="Sylfaen" w:cs="Sylfaen"/>
        </w:rPr>
        <w:t>გ</w:t>
      </w:r>
      <w:r w:rsidRPr="001352AB">
        <w:rPr>
          <w:rFonts w:eastAsiaTheme="majorEastAsia"/>
        </w:rPr>
        <w:t>-7)</w:t>
      </w:r>
      <w:bookmarkEnd w:id="260"/>
    </w:p>
    <w:p w14:paraId="47027A66" w14:textId="77777777" w:rsidR="00CD64B5" w:rsidRPr="001352AB" w:rsidRDefault="00CD64B5" w:rsidP="00CD64B5">
      <w:pPr>
        <w:spacing w:before="120" w:after="120"/>
        <w:rPr>
          <w:rFonts w:eastAsiaTheme="majorEastAsia"/>
          <w:lang w:eastAsia="ru-RU"/>
        </w:rPr>
      </w:pPr>
      <w:r w:rsidRPr="001352AB">
        <w:rPr>
          <w:rFonts w:ascii="Sylfaen" w:hAnsi="Sylfaen" w:cs="Sylfaen"/>
        </w:rPr>
        <w:t>გაანგარიშება</w:t>
      </w:r>
      <w:r w:rsidRPr="001352AB">
        <w:t xml:space="preserve"> </w:t>
      </w:r>
      <w:r w:rsidRPr="001352AB">
        <w:rPr>
          <w:rFonts w:ascii="Sylfaen" w:hAnsi="Sylfaen" w:cs="Sylfaen"/>
        </w:rPr>
        <w:t>შესრულებულია</w:t>
      </w:r>
      <w:r w:rsidRPr="001352AB">
        <w:t xml:space="preserve"> </w:t>
      </w:r>
      <w:r w:rsidRPr="001352AB">
        <w:rPr>
          <w:rFonts w:ascii="Sylfaen" w:hAnsi="Sylfaen" w:cs="Sylfaen"/>
        </w:rPr>
        <w:t>შემდეგი</w:t>
      </w:r>
      <w:r w:rsidRPr="001352AB">
        <w:t xml:space="preserve"> </w:t>
      </w:r>
      <w:r w:rsidRPr="001352AB">
        <w:rPr>
          <w:rFonts w:ascii="Sylfaen" w:hAnsi="Sylfaen" w:cs="Sylfaen"/>
        </w:rPr>
        <w:t>მეთოდური</w:t>
      </w:r>
      <w:r w:rsidRPr="001352AB">
        <w:t xml:space="preserve"> </w:t>
      </w:r>
      <w:r w:rsidRPr="001352AB">
        <w:rPr>
          <w:rFonts w:ascii="Sylfaen" w:hAnsi="Sylfaen" w:cs="Sylfaen"/>
        </w:rPr>
        <w:t>მითითებების</w:t>
      </w:r>
      <w:r w:rsidRPr="001352AB">
        <w:t xml:space="preserve"> </w:t>
      </w:r>
      <w:r w:rsidRPr="001352AB">
        <w:rPr>
          <w:rFonts w:ascii="Sylfaen" w:hAnsi="Sylfaen" w:cs="Sylfaen"/>
        </w:rPr>
        <w:t>თანახმად</w:t>
      </w:r>
      <w:r w:rsidRPr="001352AB">
        <w:t xml:space="preserve"> [8,9]</w:t>
      </w:r>
    </w:p>
    <w:p w14:paraId="3B241620" w14:textId="77777777" w:rsidR="00CD64B5" w:rsidRPr="00CD64B5" w:rsidRDefault="00CD64B5" w:rsidP="00CD64B5">
      <w:pPr>
        <w:spacing w:before="120" w:after="120"/>
        <w:rPr>
          <w:b/>
        </w:rPr>
      </w:pPr>
      <w:r w:rsidRPr="00CD64B5">
        <w:rPr>
          <w:rFonts w:ascii="Sylfaen" w:hAnsi="Sylfaen" w:cs="Sylfaen"/>
          <w:b/>
        </w:rPr>
        <w:lastRenderedPageBreak/>
        <w:t>დასაწყობება</w:t>
      </w:r>
    </w:p>
    <w:p w14:paraId="72719693" w14:textId="77777777" w:rsidR="00CD64B5" w:rsidRPr="001352AB" w:rsidRDefault="00CD64B5" w:rsidP="00CD64B5">
      <w:pPr>
        <w:spacing w:before="120" w:after="120"/>
      </w:pPr>
      <w:r w:rsidRPr="001352AB">
        <w:rPr>
          <w:rFonts w:ascii="Sylfaen" w:hAnsi="Sylfaen" w:cs="Sylfaen"/>
        </w:rPr>
        <w:t>ფხვიერი</w:t>
      </w:r>
      <w:r w:rsidRPr="001352AB">
        <w:t xml:space="preserve"> </w:t>
      </w:r>
      <w:r w:rsidRPr="001352AB">
        <w:rPr>
          <w:rFonts w:ascii="Sylfaen" w:hAnsi="Sylfaen" w:cs="Sylfaen"/>
        </w:rPr>
        <w:t>მასალების</w:t>
      </w:r>
      <w:r w:rsidRPr="001352AB">
        <w:t xml:space="preserve"> </w:t>
      </w:r>
      <w:r w:rsidRPr="001352AB">
        <w:rPr>
          <w:rFonts w:ascii="Sylfaen" w:hAnsi="Sylfaen" w:cs="Sylfaen"/>
        </w:rPr>
        <w:t>გადატვირთვა</w:t>
      </w:r>
      <w:r w:rsidRPr="001352AB">
        <w:t xml:space="preserve"> </w:t>
      </w:r>
      <w:r w:rsidRPr="001352AB">
        <w:rPr>
          <w:rFonts w:ascii="Sylfaen" w:hAnsi="Sylfaen" w:cs="Sylfaen"/>
        </w:rPr>
        <w:t>ხორციელდება</w:t>
      </w:r>
      <w:r w:rsidRPr="001352AB">
        <w:t xml:space="preserve"> </w:t>
      </w:r>
      <w:r w:rsidRPr="001352AB">
        <w:rPr>
          <w:rFonts w:ascii="Sylfaen" w:hAnsi="Sylfaen" w:cs="Sylfaen"/>
        </w:rPr>
        <w:t>ჩამტვირთავი</w:t>
      </w:r>
      <w:r w:rsidRPr="001352AB">
        <w:t xml:space="preserve"> </w:t>
      </w:r>
      <w:r w:rsidRPr="001352AB">
        <w:rPr>
          <w:rFonts w:ascii="Sylfaen" w:hAnsi="Sylfaen" w:cs="Sylfaen"/>
        </w:rPr>
        <w:t>სახელოს</w:t>
      </w:r>
      <w:r w:rsidRPr="001352AB">
        <w:t xml:space="preserve"> </w:t>
      </w:r>
      <w:r w:rsidRPr="001352AB">
        <w:rPr>
          <w:rFonts w:ascii="Sylfaen" w:hAnsi="Sylfaen" w:cs="Sylfaen"/>
        </w:rPr>
        <w:t>გარეშე</w:t>
      </w:r>
      <w:r w:rsidRPr="001352AB">
        <w:t xml:space="preserve">. </w:t>
      </w:r>
      <w:r w:rsidRPr="001352AB">
        <w:rPr>
          <w:rFonts w:ascii="Sylfaen" w:hAnsi="Sylfaen" w:cs="Sylfaen"/>
        </w:rPr>
        <w:t>ადგილობრივი</w:t>
      </w:r>
      <w:r w:rsidRPr="001352AB">
        <w:t xml:space="preserve"> </w:t>
      </w:r>
      <w:r w:rsidRPr="001352AB">
        <w:rPr>
          <w:rFonts w:ascii="Sylfaen" w:hAnsi="Sylfaen" w:cs="Sylfaen"/>
        </w:rPr>
        <w:t>პირობები</w:t>
      </w:r>
      <w:r w:rsidRPr="001352AB">
        <w:t>-</w:t>
      </w:r>
      <w:r w:rsidRPr="001352AB">
        <w:rPr>
          <w:rFonts w:ascii="Sylfaen" w:hAnsi="Sylfaen" w:cs="Sylfaen"/>
        </w:rPr>
        <w:t>საწყობი</w:t>
      </w:r>
      <w:r w:rsidRPr="001352AB">
        <w:t xml:space="preserve"> </w:t>
      </w:r>
      <w:r w:rsidRPr="001352AB">
        <w:rPr>
          <w:rFonts w:ascii="Sylfaen" w:hAnsi="Sylfaen" w:cs="Sylfaen"/>
        </w:rPr>
        <w:t>ღია</w:t>
      </w:r>
      <w:r w:rsidRPr="001352AB">
        <w:t xml:space="preserve"> </w:t>
      </w:r>
      <w:r w:rsidRPr="001352AB">
        <w:rPr>
          <w:rFonts w:ascii="Sylfaen" w:hAnsi="Sylfaen" w:cs="Sylfaen"/>
        </w:rPr>
        <w:t>ოთხივე</w:t>
      </w:r>
      <w:r w:rsidRPr="001352AB">
        <w:t xml:space="preserve"> </w:t>
      </w:r>
      <w:r w:rsidRPr="001352AB">
        <w:rPr>
          <w:rFonts w:ascii="Sylfaen" w:hAnsi="Sylfaen" w:cs="Sylfaen"/>
        </w:rPr>
        <w:t>მხრიდან</w:t>
      </w:r>
      <w:r w:rsidRPr="001352AB">
        <w:t xml:space="preserve">.(K4 = 1). </w:t>
      </w:r>
      <w:r w:rsidRPr="001352AB">
        <w:rPr>
          <w:rFonts w:ascii="Sylfaen" w:hAnsi="Sylfaen" w:cs="Sylfaen"/>
        </w:rPr>
        <w:t>მასალის</w:t>
      </w:r>
      <w:r w:rsidRPr="001352AB">
        <w:t xml:space="preserve"> </w:t>
      </w:r>
      <w:r w:rsidRPr="001352AB">
        <w:rPr>
          <w:rFonts w:ascii="Sylfaen" w:hAnsi="Sylfaen" w:cs="Sylfaen"/>
        </w:rPr>
        <w:t>გადმოყრის</w:t>
      </w:r>
      <w:r w:rsidRPr="001352AB">
        <w:t xml:space="preserve"> </w:t>
      </w:r>
      <w:r w:rsidRPr="001352AB">
        <w:rPr>
          <w:rFonts w:ascii="Sylfaen" w:hAnsi="Sylfaen" w:cs="Sylfaen"/>
        </w:rPr>
        <w:t>სიმაღლე</w:t>
      </w:r>
      <w:r w:rsidRPr="001352AB">
        <w:t xml:space="preserve">-1,0 </w:t>
      </w:r>
      <w:r w:rsidRPr="001352AB">
        <w:rPr>
          <w:rFonts w:ascii="Sylfaen" w:hAnsi="Sylfaen" w:cs="Sylfaen"/>
        </w:rPr>
        <w:t>მ</w:t>
      </w:r>
      <w:r w:rsidRPr="001352AB">
        <w:t xml:space="preserve">. (B = 0,5) </w:t>
      </w:r>
      <w:r w:rsidRPr="001352AB">
        <w:rPr>
          <w:rFonts w:ascii="Sylfaen" w:hAnsi="Sylfaen" w:cs="Sylfaen"/>
        </w:rPr>
        <w:t>ზალპური</w:t>
      </w:r>
      <w:r w:rsidRPr="001352AB">
        <w:t xml:space="preserve"> </w:t>
      </w:r>
      <w:r w:rsidRPr="001352AB">
        <w:rPr>
          <w:rFonts w:ascii="Sylfaen" w:hAnsi="Sylfaen" w:cs="Sylfaen"/>
        </w:rPr>
        <w:t>ჩამოცლა</w:t>
      </w:r>
      <w:r w:rsidRPr="001352AB">
        <w:t xml:space="preserve"> </w:t>
      </w:r>
      <w:r w:rsidRPr="001352AB">
        <w:rPr>
          <w:rFonts w:ascii="Sylfaen" w:hAnsi="Sylfaen" w:cs="Sylfaen"/>
        </w:rPr>
        <w:t>ავტოთვითმცლელიდან</w:t>
      </w:r>
      <w:r w:rsidRPr="001352AB">
        <w:t xml:space="preserve"> </w:t>
      </w:r>
      <w:r w:rsidRPr="001352AB">
        <w:rPr>
          <w:rFonts w:ascii="Sylfaen" w:hAnsi="Sylfaen" w:cs="Sylfaen"/>
        </w:rPr>
        <w:t>ხორციელდება</w:t>
      </w:r>
      <w:r w:rsidRPr="001352AB">
        <w:t xml:space="preserve"> 10 </w:t>
      </w:r>
      <w:r w:rsidRPr="001352AB">
        <w:rPr>
          <w:rFonts w:ascii="Sylfaen" w:hAnsi="Sylfaen" w:cs="Sylfaen"/>
        </w:rPr>
        <w:t>ტ</w:t>
      </w:r>
      <w:r w:rsidRPr="001352AB">
        <w:t>-</w:t>
      </w:r>
      <w:r w:rsidRPr="001352AB">
        <w:rPr>
          <w:rFonts w:ascii="Sylfaen" w:hAnsi="Sylfaen" w:cs="Sylfaen"/>
        </w:rPr>
        <w:t>ზე</w:t>
      </w:r>
      <w:r w:rsidRPr="001352AB">
        <w:t xml:space="preserve"> </w:t>
      </w:r>
      <w:r w:rsidRPr="001352AB">
        <w:rPr>
          <w:rFonts w:ascii="Sylfaen" w:hAnsi="Sylfaen" w:cs="Sylfaen"/>
        </w:rPr>
        <w:t>მეტი</w:t>
      </w:r>
      <w:r w:rsidRPr="001352AB">
        <w:t xml:space="preserve"> </w:t>
      </w:r>
      <w:r w:rsidRPr="001352AB">
        <w:rPr>
          <w:rFonts w:ascii="Sylfaen" w:hAnsi="Sylfaen" w:cs="Sylfaen"/>
        </w:rPr>
        <w:t>ოდენობით</w:t>
      </w:r>
      <w:r w:rsidRPr="001352AB">
        <w:t xml:space="preserve">.(K9 =0,1). </w:t>
      </w:r>
      <w:r w:rsidRPr="001352AB">
        <w:rPr>
          <w:rFonts w:ascii="Sylfaen" w:hAnsi="Sylfaen" w:cs="Sylfaen"/>
        </w:rPr>
        <w:t>ქარის</w:t>
      </w:r>
      <w:r w:rsidRPr="001352AB">
        <w:t xml:space="preserve"> </w:t>
      </w:r>
      <w:r w:rsidRPr="001352AB">
        <w:rPr>
          <w:rFonts w:ascii="Sylfaen" w:hAnsi="Sylfaen" w:cs="Sylfaen"/>
        </w:rPr>
        <w:t>საანგარიშო</w:t>
      </w:r>
      <w:r w:rsidRPr="001352AB">
        <w:t xml:space="preserve"> </w:t>
      </w:r>
      <w:r w:rsidRPr="001352AB">
        <w:rPr>
          <w:rFonts w:ascii="Sylfaen" w:hAnsi="Sylfaen" w:cs="Sylfaen"/>
        </w:rPr>
        <w:t>სიჩქარეები</w:t>
      </w:r>
      <w:r w:rsidRPr="001352AB">
        <w:t xml:space="preserve">, </w:t>
      </w:r>
      <w:r w:rsidRPr="001352AB">
        <w:rPr>
          <w:rFonts w:ascii="Sylfaen" w:hAnsi="Sylfaen" w:cs="Sylfaen"/>
        </w:rPr>
        <w:t>მ</w:t>
      </w:r>
      <w:r w:rsidRPr="001352AB">
        <w:t>/</w:t>
      </w:r>
      <w:r w:rsidRPr="001352AB">
        <w:rPr>
          <w:rFonts w:ascii="Sylfaen" w:hAnsi="Sylfaen" w:cs="Sylfaen"/>
        </w:rPr>
        <w:t>წმ</w:t>
      </w:r>
      <w:r w:rsidRPr="001352AB">
        <w:t xml:space="preserve">: 0,5 (K3 = 1); 4,5 (K3 = 1,2). </w:t>
      </w:r>
      <w:r w:rsidRPr="001352AB">
        <w:rPr>
          <w:rFonts w:ascii="Sylfaen" w:hAnsi="Sylfaen" w:cs="Sylfaen"/>
        </w:rPr>
        <w:t>ქარის</w:t>
      </w:r>
      <w:r w:rsidRPr="001352AB">
        <w:t xml:space="preserve"> </w:t>
      </w:r>
      <w:r w:rsidRPr="001352AB">
        <w:rPr>
          <w:rFonts w:ascii="Sylfaen" w:hAnsi="Sylfaen" w:cs="Sylfaen"/>
        </w:rPr>
        <w:t>საშუალო</w:t>
      </w:r>
      <w:r w:rsidRPr="001352AB">
        <w:t xml:space="preserve"> </w:t>
      </w:r>
      <w:r w:rsidRPr="001352AB">
        <w:rPr>
          <w:rFonts w:ascii="Sylfaen" w:hAnsi="Sylfaen" w:cs="Sylfaen"/>
        </w:rPr>
        <w:t>წლიური</w:t>
      </w:r>
      <w:r w:rsidRPr="001352AB">
        <w:t xml:space="preserve"> </w:t>
      </w:r>
      <w:r w:rsidRPr="001352AB">
        <w:rPr>
          <w:rFonts w:ascii="Sylfaen" w:hAnsi="Sylfaen" w:cs="Sylfaen"/>
        </w:rPr>
        <w:t>სიჩქარე</w:t>
      </w:r>
      <w:r w:rsidRPr="001352AB">
        <w:t xml:space="preserve">, 4,5 </w:t>
      </w:r>
      <w:r w:rsidRPr="001352AB">
        <w:rPr>
          <w:rFonts w:ascii="Sylfaen" w:hAnsi="Sylfaen" w:cs="Sylfaen"/>
        </w:rPr>
        <w:t>მ</w:t>
      </w:r>
      <w:r w:rsidRPr="001352AB">
        <w:t>/</w:t>
      </w:r>
      <w:r w:rsidRPr="001352AB">
        <w:rPr>
          <w:rFonts w:ascii="Sylfaen" w:hAnsi="Sylfaen" w:cs="Sylfaen"/>
        </w:rPr>
        <w:t>წმ</w:t>
      </w:r>
      <w:r w:rsidRPr="001352AB">
        <w:t xml:space="preserve">: (K3 = 1). </w:t>
      </w:r>
    </w:p>
    <w:p w14:paraId="0AAA7426" w14:textId="77777777" w:rsidR="00CD64B5" w:rsidRPr="001352AB" w:rsidRDefault="00CD64B5" w:rsidP="00CD64B5">
      <w:pPr>
        <w:spacing w:before="120" w:after="120"/>
      </w:pP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რაოდენობრივი</w:t>
      </w:r>
      <w:r w:rsidRPr="001352AB">
        <w:t xml:space="preserve"> </w:t>
      </w:r>
      <w:r w:rsidRPr="001352AB">
        <w:rPr>
          <w:rFonts w:ascii="Sylfaen" w:hAnsi="Sylfaen" w:cs="Sylfaen"/>
        </w:rPr>
        <w:t>და</w:t>
      </w:r>
      <w:r w:rsidRPr="001352AB">
        <w:t xml:space="preserve"> </w:t>
      </w:r>
      <w:r w:rsidRPr="001352AB">
        <w:rPr>
          <w:rFonts w:ascii="Sylfaen" w:hAnsi="Sylfaen" w:cs="Sylfaen"/>
        </w:rPr>
        <w:t>თვისობრივი</w:t>
      </w:r>
      <w:r w:rsidRPr="001352AB">
        <w:t xml:space="preserve"> </w:t>
      </w:r>
      <w:r w:rsidRPr="001352AB">
        <w:rPr>
          <w:rFonts w:ascii="Sylfaen" w:hAnsi="Sylfaen" w:cs="Sylfaen"/>
        </w:rPr>
        <w:t>მახასიათებლები</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ცხრილში</w:t>
      </w:r>
      <w:r w:rsidRPr="001352AB">
        <w:t xml:space="preserve"> 7.1-8.</w:t>
      </w:r>
    </w:p>
    <w:p w14:paraId="48369B43" w14:textId="77777777" w:rsidR="00CD64B5" w:rsidRPr="001352AB" w:rsidRDefault="00CD64B5" w:rsidP="00CD64B5">
      <w:pPr>
        <w:spacing w:before="120" w:after="120"/>
        <w:rPr>
          <w:lang w:eastAsia="en-US"/>
        </w:rPr>
      </w:pPr>
      <w:bookmarkStart w:id="261" w:name="_Toc436594169"/>
      <w:r w:rsidRPr="001352AB">
        <w:rPr>
          <w:rFonts w:ascii="Sylfaen" w:hAnsi="Sylfaen" w:cs="Sylfaen"/>
        </w:rPr>
        <w:t>ცხრილი</w:t>
      </w:r>
      <w:r w:rsidRPr="001352AB">
        <w:t xml:space="preserve"> 7.1-8.</w:t>
      </w:r>
      <w:r w:rsidRPr="001352AB">
        <w:tab/>
      </w: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რაოდენობრივი</w:t>
      </w:r>
      <w:r w:rsidRPr="001352AB">
        <w:t xml:space="preserve"> </w:t>
      </w:r>
      <w:r w:rsidRPr="001352AB">
        <w:rPr>
          <w:rFonts w:ascii="Sylfaen" w:hAnsi="Sylfaen" w:cs="Sylfaen"/>
        </w:rPr>
        <w:t>და</w:t>
      </w:r>
      <w:r w:rsidRPr="001352AB">
        <w:t xml:space="preserve"> </w:t>
      </w:r>
      <w:r w:rsidRPr="001352AB">
        <w:rPr>
          <w:rFonts w:ascii="Sylfaen" w:hAnsi="Sylfaen" w:cs="Sylfaen"/>
        </w:rPr>
        <w:t>თვისობრივი</w:t>
      </w:r>
      <w:r w:rsidRPr="001352AB">
        <w:t xml:space="preserve"> </w:t>
      </w:r>
      <w:r w:rsidRPr="001352AB">
        <w:rPr>
          <w:rFonts w:ascii="Sylfaen" w:hAnsi="Sylfaen" w:cs="Sylfaen"/>
        </w:rPr>
        <w:t>მახასიათებლები</w:t>
      </w:r>
      <w:r w:rsidRPr="001352AB">
        <w:t xml:space="preserve"> </w:t>
      </w:r>
      <w:r w:rsidRPr="001352AB">
        <w:rPr>
          <w:rFonts w:ascii="Sylfaen" w:hAnsi="Sylfaen" w:cs="Sylfaen"/>
        </w:rPr>
        <w:t>მეთოდიკის</w:t>
      </w:r>
      <w:r w:rsidRPr="001352AB">
        <w:t xml:space="preserve"> </w:t>
      </w:r>
      <w:r w:rsidRPr="001352AB">
        <w:rPr>
          <w:rFonts w:ascii="Sylfaen" w:hAnsi="Sylfaen" w:cs="Sylfaen"/>
        </w:rPr>
        <w:t>მიხედვით</w:t>
      </w:r>
      <w:bookmarkEnd w:id="261"/>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91"/>
        <w:gridCol w:w="4747"/>
        <w:gridCol w:w="2374"/>
        <w:gridCol w:w="2371"/>
      </w:tblGrid>
      <w:tr w:rsidR="00CD64B5" w:rsidRPr="0000351B" w14:paraId="49E322E9" w14:textId="77777777" w:rsidTr="00CD64B5">
        <w:trPr>
          <w:cantSplit/>
          <w:trHeight w:val="285"/>
          <w:tblHeader/>
          <w:jc w:val="center"/>
        </w:trPr>
        <w:tc>
          <w:tcPr>
            <w:tcW w:w="2715"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1EF41CA" w14:textId="77777777" w:rsidR="00CD64B5" w:rsidRPr="0000351B" w:rsidRDefault="00CD64B5" w:rsidP="00CD64B5">
            <w:pPr>
              <w:rPr>
                <w:sz w:val="20"/>
                <w:lang w:eastAsia="ru-RU"/>
              </w:rPr>
            </w:pPr>
            <w:r w:rsidRPr="0000351B">
              <w:rPr>
                <w:rFonts w:ascii="Sylfaen" w:hAnsi="Sylfaen" w:cs="Sylfaen"/>
                <w:sz w:val="20"/>
              </w:rPr>
              <w:t>დამაბინძურებელი</w:t>
            </w:r>
            <w:r w:rsidRPr="0000351B">
              <w:rPr>
                <w:sz w:val="20"/>
              </w:rPr>
              <w:t xml:space="preserve"> </w:t>
            </w:r>
            <w:r w:rsidRPr="0000351B">
              <w:rPr>
                <w:rFonts w:ascii="Sylfaen" w:hAnsi="Sylfaen" w:cs="Sylfaen"/>
                <w:sz w:val="20"/>
              </w:rPr>
              <w:t>ნივთიერება</w:t>
            </w:r>
          </w:p>
        </w:tc>
        <w:tc>
          <w:tcPr>
            <w:tcW w:w="1143" w:type="pct"/>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2BBC42B" w14:textId="77777777" w:rsidR="00CD64B5" w:rsidRPr="0000351B" w:rsidRDefault="00CD64B5" w:rsidP="00CD64B5">
            <w:pPr>
              <w:rPr>
                <w:sz w:val="20"/>
              </w:rPr>
            </w:pPr>
            <w:r w:rsidRPr="0000351B">
              <w:rPr>
                <w:rFonts w:ascii="Sylfaen" w:hAnsi="Sylfaen" w:cs="Sylfaen"/>
                <w:sz w:val="20"/>
              </w:rPr>
              <w:t>მაქსიმალური</w:t>
            </w:r>
            <w:r w:rsidRPr="0000351B">
              <w:rPr>
                <w:sz w:val="20"/>
              </w:rPr>
              <w:t xml:space="preserve"> </w:t>
            </w:r>
            <w:r w:rsidRPr="0000351B">
              <w:rPr>
                <w:rFonts w:ascii="Sylfaen" w:hAnsi="Sylfaen" w:cs="Sylfaen"/>
                <w:sz w:val="20"/>
              </w:rPr>
              <w:t>ემისია</w:t>
            </w:r>
            <w:r w:rsidRPr="0000351B">
              <w:rPr>
                <w:sz w:val="20"/>
              </w:rPr>
              <w:t xml:space="preserve">, </w:t>
            </w:r>
            <w:r w:rsidRPr="0000351B">
              <w:rPr>
                <w:rFonts w:ascii="Sylfaen" w:hAnsi="Sylfaen" w:cs="Sylfaen"/>
                <w:sz w:val="20"/>
              </w:rPr>
              <w:t>გ</w:t>
            </w:r>
            <w:r w:rsidRPr="0000351B">
              <w:rPr>
                <w:sz w:val="20"/>
              </w:rPr>
              <w:t>/</w:t>
            </w:r>
            <w:r w:rsidRPr="0000351B">
              <w:rPr>
                <w:rFonts w:ascii="Sylfaen" w:hAnsi="Sylfaen" w:cs="Sylfaen"/>
                <w:sz w:val="20"/>
              </w:rPr>
              <w:t>წმ</w:t>
            </w:r>
          </w:p>
        </w:tc>
        <w:tc>
          <w:tcPr>
            <w:tcW w:w="1143" w:type="pct"/>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8615ABE" w14:textId="77777777" w:rsidR="00CD64B5" w:rsidRPr="0000351B" w:rsidRDefault="00CD64B5" w:rsidP="00CD64B5">
            <w:pPr>
              <w:rPr>
                <w:sz w:val="20"/>
              </w:rPr>
            </w:pPr>
            <w:r w:rsidRPr="0000351B">
              <w:rPr>
                <w:rFonts w:ascii="Sylfaen" w:hAnsi="Sylfaen" w:cs="Sylfaen"/>
                <w:sz w:val="20"/>
              </w:rPr>
              <w:t>წლიური</w:t>
            </w:r>
            <w:r w:rsidRPr="0000351B">
              <w:rPr>
                <w:sz w:val="20"/>
              </w:rPr>
              <w:t xml:space="preserve"> </w:t>
            </w:r>
            <w:r w:rsidRPr="0000351B">
              <w:rPr>
                <w:rFonts w:ascii="Sylfaen" w:hAnsi="Sylfaen" w:cs="Sylfaen"/>
                <w:sz w:val="20"/>
              </w:rPr>
              <w:t>ემისია</w:t>
            </w:r>
            <w:r w:rsidRPr="0000351B">
              <w:rPr>
                <w:sz w:val="20"/>
              </w:rPr>
              <w:t xml:space="preserve">, </w:t>
            </w:r>
            <w:r w:rsidRPr="0000351B">
              <w:rPr>
                <w:rFonts w:ascii="Sylfaen" w:hAnsi="Sylfaen" w:cs="Sylfaen"/>
                <w:sz w:val="20"/>
              </w:rPr>
              <w:t>ტ</w:t>
            </w:r>
            <w:r w:rsidRPr="0000351B">
              <w:rPr>
                <w:sz w:val="20"/>
              </w:rPr>
              <w:t>/</w:t>
            </w:r>
            <w:r w:rsidRPr="0000351B">
              <w:rPr>
                <w:rFonts w:ascii="Sylfaen" w:hAnsi="Sylfaen" w:cs="Sylfaen"/>
                <w:sz w:val="20"/>
              </w:rPr>
              <w:t>წელ</w:t>
            </w:r>
          </w:p>
        </w:tc>
      </w:tr>
      <w:tr w:rsidR="00CD64B5" w:rsidRPr="0000351B" w14:paraId="4901ACBC" w14:textId="77777777" w:rsidTr="00CD64B5">
        <w:trPr>
          <w:cantSplit/>
          <w:trHeight w:val="269"/>
          <w:tblHeader/>
          <w:jc w:val="center"/>
        </w:trPr>
        <w:tc>
          <w:tcPr>
            <w:tcW w:w="42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9BF272D" w14:textId="77777777" w:rsidR="00CD64B5" w:rsidRPr="0000351B" w:rsidRDefault="00CD64B5" w:rsidP="00CD64B5">
            <w:pPr>
              <w:rPr>
                <w:sz w:val="20"/>
              </w:rPr>
            </w:pPr>
            <w:r w:rsidRPr="0000351B">
              <w:rPr>
                <w:rFonts w:ascii="Sylfaen" w:hAnsi="Sylfaen" w:cs="Sylfaen"/>
                <w:sz w:val="20"/>
              </w:rPr>
              <w:t>კოდი</w:t>
            </w:r>
          </w:p>
        </w:tc>
        <w:tc>
          <w:tcPr>
            <w:tcW w:w="2286"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54EBDB8" w14:textId="77777777" w:rsidR="00CD64B5" w:rsidRPr="0000351B" w:rsidRDefault="00CD64B5" w:rsidP="00CD64B5">
            <w:pPr>
              <w:rPr>
                <w:sz w:val="20"/>
              </w:rPr>
            </w:pPr>
            <w:r w:rsidRPr="0000351B">
              <w:rPr>
                <w:rFonts w:ascii="Sylfaen" w:hAnsi="Sylfaen" w:cs="Sylfaen"/>
                <w:sz w:val="20"/>
              </w:rPr>
              <w:t>დასახელება</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D1038D" w14:textId="77777777" w:rsidR="00CD64B5" w:rsidRPr="0000351B" w:rsidRDefault="00CD64B5" w:rsidP="00CD64B5">
            <w:pPr>
              <w:rPr>
                <w:rFonts w:eastAsiaTheme="minorHAnsi"/>
                <w:sz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820B8A" w14:textId="77777777" w:rsidR="00CD64B5" w:rsidRPr="0000351B" w:rsidRDefault="00CD64B5" w:rsidP="00CD64B5">
            <w:pPr>
              <w:rPr>
                <w:rFonts w:eastAsiaTheme="minorHAnsi"/>
                <w:sz w:val="20"/>
              </w:rPr>
            </w:pPr>
          </w:p>
        </w:tc>
      </w:tr>
      <w:tr w:rsidR="00CD64B5" w:rsidRPr="0000351B" w14:paraId="12767E60" w14:textId="77777777" w:rsidTr="00CD64B5">
        <w:trPr>
          <w:trHeight w:val="569"/>
          <w:jc w:val="center"/>
        </w:trPr>
        <w:tc>
          <w:tcPr>
            <w:tcW w:w="429" w:type="pct"/>
            <w:tcBorders>
              <w:top w:val="single" w:sz="6" w:space="0" w:color="auto"/>
              <w:left w:val="single" w:sz="6" w:space="0" w:color="auto"/>
              <w:bottom w:val="single" w:sz="6" w:space="0" w:color="auto"/>
              <w:right w:val="single" w:sz="6" w:space="0" w:color="auto"/>
            </w:tcBorders>
            <w:hideMark/>
          </w:tcPr>
          <w:p w14:paraId="604C8EF2" w14:textId="77777777" w:rsidR="00CD64B5" w:rsidRPr="0000351B" w:rsidRDefault="00CD64B5" w:rsidP="00CD64B5">
            <w:pPr>
              <w:rPr>
                <w:sz w:val="20"/>
              </w:rPr>
            </w:pPr>
            <w:r w:rsidRPr="0000351B">
              <w:rPr>
                <w:sz w:val="20"/>
              </w:rPr>
              <w:t>2908</w:t>
            </w:r>
          </w:p>
        </w:tc>
        <w:tc>
          <w:tcPr>
            <w:tcW w:w="2286" w:type="pct"/>
            <w:tcBorders>
              <w:top w:val="single" w:sz="6" w:space="0" w:color="auto"/>
              <w:left w:val="single" w:sz="6" w:space="0" w:color="auto"/>
              <w:bottom w:val="single" w:sz="6" w:space="0" w:color="auto"/>
              <w:right w:val="single" w:sz="6" w:space="0" w:color="auto"/>
            </w:tcBorders>
            <w:hideMark/>
          </w:tcPr>
          <w:p w14:paraId="7414D445" w14:textId="77777777" w:rsidR="00CD64B5" w:rsidRPr="0000351B" w:rsidRDefault="00CD64B5" w:rsidP="00CD64B5">
            <w:pPr>
              <w:rPr>
                <w:sz w:val="20"/>
              </w:rPr>
            </w:pPr>
            <w:r w:rsidRPr="0000351B">
              <w:rPr>
                <w:rFonts w:ascii="Sylfaen" w:hAnsi="Sylfaen" w:cs="Sylfaen"/>
                <w:sz w:val="20"/>
              </w:rPr>
              <w:t>არაორგანული</w:t>
            </w:r>
            <w:r w:rsidRPr="0000351B">
              <w:rPr>
                <w:sz w:val="20"/>
              </w:rPr>
              <w:t xml:space="preserve"> </w:t>
            </w:r>
            <w:r w:rsidRPr="0000351B">
              <w:rPr>
                <w:rFonts w:ascii="Sylfaen" w:hAnsi="Sylfaen" w:cs="Sylfaen"/>
                <w:sz w:val="20"/>
              </w:rPr>
              <w:t>მტვერი</w:t>
            </w:r>
            <w:r w:rsidRPr="0000351B">
              <w:rPr>
                <w:sz w:val="20"/>
              </w:rPr>
              <w:t xml:space="preserve"> </w:t>
            </w:r>
            <w:r w:rsidRPr="0000351B">
              <w:rPr>
                <w:rFonts w:ascii="Sylfaen" w:hAnsi="Sylfaen" w:cs="Sylfaen"/>
                <w:sz w:val="20"/>
              </w:rPr>
              <w:t>სილიციუმის</w:t>
            </w:r>
            <w:r w:rsidRPr="0000351B">
              <w:rPr>
                <w:sz w:val="20"/>
              </w:rPr>
              <w:t xml:space="preserve"> </w:t>
            </w:r>
            <w:r w:rsidRPr="0000351B">
              <w:rPr>
                <w:rFonts w:ascii="Sylfaen" w:hAnsi="Sylfaen" w:cs="Sylfaen"/>
                <w:sz w:val="20"/>
              </w:rPr>
              <w:t>ორჟანგის</w:t>
            </w:r>
            <w:r w:rsidRPr="0000351B">
              <w:rPr>
                <w:sz w:val="20"/>
              </w:rPr>
              <w:t xml:space="preserve"> </w:t>
            </w:r>
            <w:r w:rsidRPr="0000351B">
              <w:rPr>
                <w:rFonts w:ascii="Sylfaen" w:hAnsi="Sylfaen" w:cs="Sylfaen"/>
                <w:sz w:val="20"/>
              </w:rPr>
              <w:t>შემცველობით</w:t>
            </w:r>
            <w:r w:rsidRPr="0000351B">
              <w:rPr>
                <w:sz w:val="20"/>
              </w:rPr>
              <w:t xml:space="preserve"> 70-20% </w:t>
            </w:r>
          </w:p>
        </w:tc>
        <w:tc>
          <w:tcPr>
            <w:tcW w:w="1143" w:type="pct"/>
            <w:tcBorders>
              <w:top w:val="single" w:sz="6" w:space="0" w:color="auto"/>
              <w:left w:val="single" w:sz="6" w:space="0" w:color="auto"/>
              <w:bottom w:val="single" w:sz="6" w:space="0" w:color="auto"/>
              <w:right w:val="single" w:sz="6" w:space="0" w:color="auto"/>
            </w:tcBorders>
            <w:vAlign w:val="center"/>
            <w:hideMark/>
          </w:tcPr>
          <w:p w14:paraId="5E204CA8" w14:textId="77777777" w:rsidR="00CD64B5" w:rsidRPr="0000351B" w:rsidRDefault="00CD64B5" w:rsidP="00CD64B5">
            <w:pPr>
              <w:rPr>
                <w:sz w:val="20"/>
                <w:lang w:eastAsia="en-US"/>
              </w:rPr>
            </w:pPr>
            <w:r w:rsidRPr="0000351B">
              <w:rPr>
                <w:rFonts w:eastAsiaTheme="minorEastAsia"/>
                <w:sz w:val="20"/>
              </w:rPr>
              <w:t>0,0586667</w:t>
            </w:r>
          </w:p>
        </w:tc>
        <w:tc>
          <w:tcPr>
            <w:tcW w:w="1143" w:type="pct"/>
            <w:tcBorders>
              <w:top w:val="single" w:sz="6" w:space="0" w:color="auto"/>
              <w:left w:val="single" w:sz="6" w:space="0" w:color="auto"/>
              <w:bottom w:val="single" w:sz="6" w:space="0" w:color="auto"/>
              <w:right w:val="single" w:sz="6" w:space="0" w:color="auto"/>
            </w:tcBorders>
            <w:vAlign w:val="center"/>
            <w:hideMark/>
          </w:tcPr>
          <w:p w14:paraId="1829B0F6" w14:textId="77777777" w:rsidR="00CD64B5" w:rsidRPr="0000351B" w:rsidRDefault="00CD64B5" w:rsidP="00CD64B5">
            <w:pPr>
              <w:rPr>
                <w:sz w:val="20"/>
              </w:rPr>
            </w:pPr>
            <w:r w:rsidRPr="0000351B">
              <w:rPr>
                <w:rFonts w:eastAsiaTheme="minorEastAsia"/>
                <w:sz w:val="20"/>
              </w:rPr>
              <w:t>0,00084</w:t>
            </w:r>
          </w:p>
        </w:tc>
      </w:tr>
    </w:tbl>
    <w:p w14:paraId="66DAD468" w14:textId="4C1CE45E" w:rsidR="00CD64B5" w:rsidRPr="001352AB" w:rsidRDefault="00CD64B5" w:rsidP="00CD64B5">
      <w:pPr>
        <w:rPr>
          <w:rFonts w:eastAsiaTheme="minorEastAsia"/>
          <w:lang w:val="ka-GE" w:eastAsia="ru-RU"/>
        </w:rPr>
      </w:pPr>
      <w:r w:rsidRPr="001352AB">
        <w:rPr>
          <w:rFonts w:ascii="Sylfaen" w:hAnsi="Sylfaen" w:cs="Sylfaen"/>
        </w:rPr>
        <w:t>საწყისი</w:t>
      </w:r>
      <w:r w:rsidRPr="001352AB">
        <w:t xml:space="preserve"> </w:t>
      </w:r>
      <w:r w:rsidRPr="001352AB">
        <w:rPr>
          <w:rFonts w:ascii="Sylfaen" w:hAnsi="Sylfaen" w:cs="Sylfaen"/>
        </w:rPr>
        <w:t>მონაცემები</w:t>
      </w:r>
      <w:r w:rsidRPr="001352AB">
        <w:t xml:space="preserve"> </w:t>
      </w: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გამოყოფის</w:t>
      </w:r>
      <w:r w:rsidRPr="001352AB">
        <w:t xml:space="preserve"> </w:t>
      </w:r>
      <w:r w:rsidRPr="001352AB">
        <w:rPr>
          <w:rFonts w:ascii="Sylfaen" w:hAnsi="Sylfaen" w:cs="Sylfaen"/>
        </w:rPr>
        <w:t>გაანგარიშებისათვის</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ცხრილში</w:t>
      </w:r>
      <w:r w:rsidRPr="001352AB">
        <w:t xml:space="preserve"> </w:t>
      </w:r>
      <w:r w:rsidRPr="001352AB">
        <w:rPr>
          <w:rFonts w:ascii="Sylfaen" w:hAnsi="Sylfaen" w:cs="Sylfaen"/>
        </w:rPr>
        <w:t>ცხრილი</w:t>
      </w:r>
      <w:r w:rsidRPr="001352AB">
        <w:t xml:space="preserve"> 7</w:t>
      </w:r>
      <w:r w:rsidR="0000351B">
        <w:rPr>
          <w:rFonts w:ascii="Sylfaen" w:hAnsi="Sylfaen"/>
          <w:lang w:val="ka-GE"/>
        </w:rPr>
        <w:t>.1</w:t>
      </w:r>
      <w:r w:rsidR="0000351B">
        <w:t>-</w:t>
      </w:r>
      <w:r w:rsidRPr="001352AB">
        <w:t>9.</w:t>
      </w:r>
    </w:p>
    <w:p w14:paraId="2C582921" w14:textId="77777777" w:rsidR="00CD64B5" w:rsidRPr="001352AB" w:rsidRDefault="00CD64B5" w:rsidP="00CD64B5">
      <w:bookmarkStart w:id="262" w:name="_Toc436594170"/>
      <w:r w:rsidRPr="001352AB">
        <w:rPr>
          <w:rFonts w:ascii="Sylfaen" w:hAnsi="Sylfaen" w:cs="Sylfaen"/>
        </w:rPr>
        <w:t>ცხრილი</w:t>
      </w:r>
      <w:r w:rsidRPr="001352AB">
        <w:t xml:space="preserve"> 7.1-9.</w:t>
      </w:r>
      <w:r w:rsidRPr="001352AB">
        <w:tab/>
      </w:r>
      <w:r w:rsidRPr="001352AB">
        <w:rPr>
          <w:rFonts w:ascii="Sylfaen" w:hAnsi="Sylfaen" w:cs="Sylfaen"/>
        </w:rPr>
        <w:t>გაანგარიშების</w:t>
      </w:r>
      <w:r w:rsidRPr="001352AB">
        <w:t xml:space="preserve"> </w:t>
      </w:r>
      <w:r w:rsidRPr="001352AB">
        <w:rPr>
          <w:rFonts w:ascii="Sylfaen" w:hAnsi="Sylfaen" w:cs="Sylfaen"/>
        </w:rPr>
        <w:t>საწყისი</w:t>
      </w:r>
      <w:r w:rsidRPr="001352AB">
        <w:t xml:space="preserve"> </w:t>
      </w:r>
      <w:r w:rsidRPr="001352AB">
        <w:rPr>
          <w:rFonts w:ascii="Sylfaen" w:hAnsi="Sylfaen" w:cs="Sylfaen"/>
        </w:rPr>
        <w:t>მონაცემები</w:t>
      </w:r>
      <w:bookmarkEnd w:id="262"/>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80"/>
        <w:gridCol w:w="8199"/>
      </w:tblGrid>
      <w:tr w:rsidR="00CD64B5" w:rsidRPr="0000351B" w14:paraId="62E6C222" w14:textId="77777777" w:rsidTr="00CD64B5">
        <w:trPr>
          <w:cantSplit/>
          <w:trHeight w:val="304"/>
          <w:tblHeader/>
          <w:jc w:val="center"/>
        </w:trPr>
        <w:tc>
          <w:tcPr>
            <w:tcW w:w="1050"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D2EA3F0" w14:textId="77777777" w:rsidR="00CD64B5" w:rsidRPr="0000351B" w:rsidRDefault="00CD64B5" w:rsidP="00CD64B5">
            <w:pPr>
              <w:rPr>
                <w:sz w:val="20"/>
                <w:lang w:eastAsia="ru-RU"/>
              </w:rPr>
            </w:pPr>
            <w:r w:rsidRPr="0000351B">
              <w:rPr>
                <w:rFonts w:ascii="Sylfaen" w:hAnsi="Sylfaen" w:cs="Sylfaen"/>
                <w:sz w:val="20"/>
              </w:rPr>
              <w:t>მასალა</w:t>
            </w:r>
          </w:p>
        </w:tc>
        <w:tc>
          <w:tcPr>
            <w:tcW w:w="3950"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1541CEF" w14:textId="77777777" w:rsidR="00CD64B5" w:rsidRPr="0000351B" w:rsidRDefault="00CD64B5" w:rsidP="00CD64B5">
            <w:pPr>
              <w:rPr>
                <w:sz w:val="20"/>
              </w:rPr>
            </w:pPr>
            <w:r w:rsidRPr="0000351B">
              <w:rPr>
                <w:rFonts w:ascii="Sylfaen" w:hAnsi="Sylfaen" w:cs="Sylfaen"/>
                <w:sz w:val="20"/>
              </w:rPr>
              <w:t>პარამეტრი</w:t>
            </w:r>
          </w:p>
        </w:tc>
      </w:tr>
      <w:tr w:rsidR="00CD64B5" w:rsidRPr="0000351B" w14:paraId="7AD4655C" w14:textId="77777777" w:rsidTr="00CD64B5">
        <w:trPr>
          <w:trHeight w:val="592"/>
          <w:jc w:val="center"/>
        </w:trPr>
        <w:tc>
          <w:tcPr>
            <w:tcW w:w="1050" w:type="pct"/>
            <w:tcBorders>
              <w:top w:val="single" w:sz="8" w:space="0" w:color="auto"/>
              <w:left w:val="single" w:sz="8" w:space="0" w:color="auto"/>
              <w:bottom w:val="single" w:sz="8" w:space="0" w:color="auto"/>
              <w:right w:val="single" w:sz="8" w:space="0" w:color="auto"/>
            </w:tcBorders>
            <w:vAlign w:val="center"/>
            <w:hideMark/>
          </w:tcPr>
          <w:p w14:paraId="49B26CDD" w14:textId="77777777" w:rsidR="00CD64B5" w:rsidRPr="0000351B" w:rsidRDefault="00CD64B5" w:rsidP="00CD64B5">
            <w:pPr>
              <w:rPr>
                <w:sz w:val="20"/>
              </w:rPr>
            </w:pPr>
            <w:r w:rsidRPr="0000351B">
              <w:rPr>
                <w:rFonts w:ascii="Sylfaen" w:hAnsi="Sylfaen" w:cs="Sylfaen"/>
                <w:sz w:val="20"/>
              </w:rPr>
              <w:t>ინეტრული</w:t>
            </w:r>
            <w:r w:rsidRPr="0000351B">
              <w:rPr>
                <w:sz w:val="20"/>
              </w:rPr>
              <w:t xml:space="preserve"> </w:t>
            </w:r>
            <w:r w:rsidRPr="0000351B">
              <w:rPr>
                <w:rFonts w:ascii="Sylfaen" w:hAnsi="Sylfaen" w:cs="Sylfaen"/>
                <w:sz w:val="20"/>
              </w:rPr>
              <w:t>მასალა</w:t>
            </w:r>
          </w:p>
        </w:tc>
        <w:tc>
          <w:tcPr>
            <w:tcW w:w="3950" w:type="pct"/>
            <w:tcBorders>
              <w:top w:val="single" w:sz="8" w:space="0" w:color="auto"/>
              <w:left w:val="single" w:sz="8" w:space="0" w:color="auto"/>
              <w:bottom w:val="single" w:sz="8" w:space="0" w:color="auto"/>
              <w:right w:val="single" w:sz="8" w:space="0" w:color="auto"/>
            </w:tcBorders>
            <w:hideMark/>
          </w:tcPr>
          <w:p w14:paraId="5D07444F" w14:textId="77777777" w:rsidR="00CD64B5" w:rsidRPr="0000351B" w:rsidRDefault="00CD64B5" w:rsidP="00CD64B5">
            <w:pPr>
              <w:rPr>
                <w:sz w:val="20"/>
              </w:rPr>
            </w:pPr>
            <w:r w:rsidRPr="0000351B">
              <w:rPr>
                <w:rFonts w:ascii="Sylfaen" w:hAnsi="Sylfaen" w:cs="Sylfaen"/>
                <w:sz w:val="20"/>
              </w:rPr>
              <w:t>გადატვირთული</w:t>
            </w:r>
            <w:r w:rsidRPr="0000351B">
              <w:rPr>
                <w:sz w:val="20"/>
              </w:rPr>
              <w:t xml:space="preserve"> </w:t>
            </w:r>
            <w:r w:rsidRPr="0000351B">
              <w:rPr>
                <w:rFonts w:ascii="Sylfaen" w:hAnsi="Sylfaen" w:cs="Sylfaen"/>
                <w:sz w:val="20"/>
              </w:rPr>
              <w:t>მასალის</w:t>
            </w:r>
            <w:r w:rsidRPr="0000351B">
              <w:rPr>
                <w:sz w:val="20"/>
              </w:rPr>
              <w:t xml:space="preserve"> </w:t>
            </w:r>
            <w:r w:rsidRPr="0000351B">
              <w:rPr>
                <w:rFonts w:ascii="Sylfaen" w:hAnsi="Sylfaen" w:cs="Sylfaen"/>
                <w:sz w:val="20"/>
              </w:rPr>
              <w:t>რ</w:t>
            </w:r>
            <w:r w:rsidRPr="0000351B">
              <w:rPr>
                <w:sz w:val="20"/>
              </w:rPr>
              <w:t>-</w:t>
            </w:r>
            <w:r w:rsidRPr="0000351B">
              <w:rPr>
                <w:rFonts w:ascii="Sylfaen" w:hAnsi="Sylfaen" w:cs="Sylfaen"/>
                <w:sz w:val="20"/>
              </w:rPr>
              <w:t>ბა</w:t>
            </w:r>
            <w:r w:rsidRPr="0000351B">
              <w:rPr>
                <w:sz w:val="20"/>
              </w:rPr>
              <w:t xml:space="preserve">: Gч = 88 </w:t>
            </w:r>
            <w:r w:rsidRPr="0000351B">
              <w:rPr>
                <w:rFonts w:ascii="Sylfaen" w:hAnsi="Sylfaen" w:cs="Sylfaen"/>
                <w:sz w:val="20"/>
              </w:rPr>
              <w:t>ტ</w:t>
            </w:r>
            <w:r w:rsidRPr="0000351B">
              <w:rPr>
                <w:sz w:val="20"/>
              </w:rPr>
              <w:t>/</w:t>
            </w:r>
            <w:r w:rsidRPr="0000351B">
              <w:rPr>
                <w:rFonts w:ascii="Sylfaen" w:hAnsi="Sylfaen" w:cs="Sylfaen"/>
                <w:sz w:val="20"/>
              </w:rPr>
              <w:t>სთ</w:t>
            </w:r>
            <w:r w:rsidRPr="0000351B">
              <w:rPr>
                <w:sz w:val="20"/>
              </w:rPr>
              <w:t>; G</w:t>
            </w:r>
            <w:r w:rsidRPr="0000351B">
              <w:rPr>
                <w:rFonts w:ascii="Sylfaen" w:hAnsi="Sylfaen" w:cs="Sylfaen"/>
                <w:sz w:val="20"/>
              </w:rPr>
              <w:t>წლ</w:t>
            </w:r>
            <w:r w:rsidRPr="0000351B">
              <w:rPr>
                <w:sz w:val="20"/>
              </w:rPr>
              <w:t xml:space="preserve"> = 350000</w:t>
            </w:r>
            <w:r w:rsidRPr="0000351B">
              <w:rPr>
                <w:rFonts w:ascii="Sylfaen" w:hAnsi="Sylfaen" w:cs="Sylfaen"/>
                <w:sz w:val="20"/>
              </w:rPr>
              <w:t>ტ</w:t>
            </w:r>
            <w:r w:rsidRPr="0000351B">
              <w:rPr>
                <w:sz w:val="20"/>
              </w:rPr>
              <w:t>/</w:t>
            </w:r>
            <w:r w:rsidRPr="0000351B">
              <w:rPr>
                <w:rFonts w:ascii="Sylfaen" w:hAnsi="Sylfaen" w:cs="Sylfaen"/>
                <w:sz w:val="20"/>
              </w:rPr>
              <w:t>წელ</w:t>
            </w:r>
            <w:r w:rsidRPr="0000351B">
              <w:rPr>
                <w:sz w:val="20"/>
              </w:rPr>
              <w:t xml:space="preserve">. </w:t>
            </w:r>
            <w:r w:rsidRPr="0000351B">
              <w:rPr>
                <w:rFonts w:ascii="Sylfaen" w:hAnsi="Sylfaen" w:cs="Sylfaen"/>
                <w:sz w:val="20"/>
              </w:rPr>
              <w:t>მტვრის</w:t>
            </w:r>
            <w:r w:rsidRPr="0000351B">
              <w:rPr>
                <w:sz w:val="20"/>
              </w:rPr>
              <w:t xml:space="preserve"> </w:t>
            </w:r>
            <w:r w:rsidRPr="0000351B">
              <w:rPr>
                <w:rFonts w:ascii="Sylfaen" w:hAnsi="Sylfaen" w:cs="Sylfaen"/>
                <w:sz w:val="20"/>
              </w:rPr>
              <w:t>ფრაქციის</w:t>
            </w:r>
            <w:r w:rsidRPr="0000351B">
              <w:rPr>
                <w:sz w:val="20"/>
              </w:rPr>
              <w:t xml:space="preserve"> </w:t>
            </w:r>
            <w:r w:rsidRPr="0000351B">
              <w:rPr>
                <w:rFonts w:ascii="Sylfaen" w:hAnsi="Sylfaen" w:cs="Sylfaen"/>
                <w:sz w:val="20"/>
              </w:rPr>
              <w:t>მასური</w:t>
            </w:r>
            <w:r w:rsidRPr="0000351B">
              <w:rPr>
                <w:sz w:val="20"/>
              </w:rPr>
              <w:t xml:space="preserve"> </w:t>
            </w:r>
            <w:r w:rsidRPr="0000351B">
              <w:rPr>
                <w:rFonts w:ascii="Sylfaen" w:hAnsi="Sylfaen" w:cs="Sylfaen"/>
                <w:sz w:val="20"/>
              </w:rPr>
              <w:t>წილი</w:t>
            </w:r>
            <w:r w:rsidRPr="0000351B">
              <w:rPr>
                <w:sz w:val="20"/>
              </w:rPr>
              <w:t xml:space="preserve"> </w:t>
            </w:r>
            <w:r w:rsidRPr="0000351B">
              <w:rPr>
                <w:rFonts w:ascii="Sylfaen" w:hAnsi="Sylfaen" w:cs="Sylfaen"/>
                <w:sz w:val="20"/>
              </w:rPr>
              <w:t>მასალაში</w:t>
            </w:r>
            <w:r w:rsidRPr="0000351B">
              <w:rPr>
                <w:sz w:val="20"/>
              </w:rPr>
              <w:t xml:space="preserve">: K1 = 0,04. </w:t>
            </w:r>
            <w:r w:rsidRPr="0000351B">
              <w:rPr>
                <w:rFonts w:ascii="Sylfaen" w:hAnsi="Sylfaen" w:cs="Sylfaen"/>
                <w:sz w:val="20"/>
              </w:rPr>
              <w:t>მტვრის</w:t>
            </w:r>
            <w:r w:rsidRPr="0000351B">
              <w:rPr>
                <w:sz w:val="20"/>
              </w:rPr>
              <w:t xml:space="preserve"> </w:t>
            </w:r>
            <w:r w:rsidRPr="0000351B">
              <w:rPr>
                <w:rFonts w:ascii="Sylfaen" w:hAnsi="Sylfaen" w:cs="Sylfaen"/>
                <w:sz w:val="20"/>
              </w:rPr>
              <w:t>წილი</w:t>
            </w:r>
            <w:r w:rsidRPr="0000351B">
              <w:rPr>
                <w:sz w:val="20"/>
              </w:rPr>
              <w:t xml:space="preserve">, </w:t>
            </w:r>
            <w:r w:rsidRPr="0000351B">
              <w:rPr>
                <w:rFonts w:ascii="Sylfaen" w:hAnsi="Sylfaen" w:cs="Sylfaen"/>
                <w:sz w:val="20"/>
              </w:rPr>
              <w:t>რომელიც</w:t>
            </w:r>
            <w:r w:rsidRPr="0000351B">
              <w:rPr>
                <w:sz w:val="20"/>
              </w:rPr>
              <w:t xml:space="preserve"> </w:t>
            </w:r>
            <w:r w:rsidRPr="0000351B">
              <w:rPr>
                <w:rFonts w:ascii="Sylfaen" w:hAnsi="Sylfaen" w:cs="Sylfaen"/>
                <w:sz w:val="20"/>
              </w:rPr>
              <w:t>გადადის</w:t>
            </w:r>
            <w:r w:rsidRPr="0000351B">
              <w:rPr>
                <w:sz w:val="20"/>
              </w:rPr>
              <w:t xml:space="preserve"> </w:t>
            </w:r>
            <w:r w:rsidRPr="0000351B">
              <w:rPr>
                <w:rFonts w:ascii="Sylfaen" w:hAnsi="Sylfaen" w:cs="Sylfaen"/>
                <w:sz w:val="20"/>
              </w:rPr>
              <w:t>აეროზოლში</w:t>
            </w:r>
            <w:r w:rsidRPr="0000351B">
              <w:rPr>
                <w:sz w:val="20"/>
              </w:rPr>
              <w:t xml:space="preserve">: K2 = 0,02. </w:t>
            </w:r>
            <w:r w:rsidRPr="0000351B">
              <w:rPr>
                <w:rFonts w:ascii="Sylfaen" w:hAnsi="Sylfaen" w:cs="Sylfaen"/>
                <w:sz w:val="20"/>
              </w:rPr>
              <w:t>ტენიანობა</w:t>
            </w:r>
            <w:r w:rsidRPr="0000351B">
              <w:rPr>
                <w:sz w:val="20"/>
              </w:rPr>
              <w:t xml:space="preserve"> &gt;10% (K5 = 0,1). </w:t>
            </w:r>
            <w:r w:rsidRPr="0000351B">
              <w:rPr>
                <w:rFonts w:ascii="Sylfaen" w:hAnsi="Sylfaen" w:cs="Sylfaen"/>
                <w:sz w:val="20"/>
              </w:rPr>
              <w:t>მასალის</w:t>
            </w:r>
            <w:r w:rsidRPr="0000351B">
              <w:rPr>
                <w:sz w:val="20"/>
              </w:rPr>
              <w:t xml:space="preserve"> </w:t>
            </w:r>
            <w:r w:rsidRPr="0000351B">
              <w:rPr>
                <w:rFonts w:ascii="Sylfaen" w:hAnsi="Sylfaen" w:cs="Sylfaen"/>
                <w:sz w:val="20"/>
              </w:rPr>
              <w:t>ზომები</w:t>
            </w:r>
            <w:r w:rsidRPr="0000351B">
              <w:rPr>
                <w:sz w:val="20"/>
              </w:rPr>
              <w:t xml:space="preserve"> 50-10 </w:t>
            </w:r>
            <w:r w:rsidRPr="0000351B">
              <w:rPr>
                <w:rFonts w:ascii="Sylfaen" w:hAnsi="Sylfaen" w:cs="Sylfaen"/>
                <w:sz w:val="20"/>
              </w:rPr>
              <w:t>მმ</w:t>
            </w:r>
            <w:r w:rsidRPr="0000351B">
              <w:rPr>
                <w:sz w:val="20"/>
              </w:rPr>
              <w:t xml:space="preserve"> (K7 = 0,5). </w:t>
            </w:r>
          </w:p>
        </w:tc>
      </w:tr>
    </w:tbl>
    <w:p w14:paraId="41417262" w14:textId="77777777" w:rsidR="00CD64B5" w:rsidRPr="001352AB" w:rsidRDefault="00CD64B5" w:rsidP="00CD64B5">
      <w:pPr>
        <w:rPr>
          <w:lang w:val="ka-GE" w:eastAsia="ru-RU"/>
        </w:rPr>
      </w:pPr>
    </w:p>
    <w:p w14:paraId="06CDEC1A" w14:textId="77777777" w:rsidR="00CD64B5" w:rsidRPr="001352AB" w:rsidRDefault="00CD64B5" w:rsidP="00CD64B5">
      <w:pPr>
        <w:spacing w:before="120" w:after="120"/>
      </w:pPr>
      <w:r w:rsidRPr="001352AB">
        <w:rPr>
          <w:rFonts w:ascii="Sylfaen" w:hAnsi="Sylfaen" w:cs="Sylfaen"/>
        </w:rPr>
        <w:t>მიღებული</w:t>
      </w:r>
      <w:r w:rsidRPr="001352AB">
        <w:t xml:space="preserve"> </w:t>
      </w:r>
      <w:r w:rsidRPr="001352AB">
        <w:rPr>
          <w:rFonts w:ascii="Sylfaen" w:hAnsi="Sylfaen" w:cs="Sylfaen"/>
        </w:rPr>
        <w:t>პირობითი</w:t>
      </w:r>
      <w:r w:rsidRPr="001352AB">
        <w:t xml:space="preserve"> </w:t>
      </w:r>
      <w:r w:rsidRPr="001352AB">
        <w:rPr>
          <w:rFonts w:ascii="Sylfaen" w:hAnsi="Sylfaen" w:cs="Sylfaen"/>
        </w:rPr>
        <w:t>აღნიშვნები</w:t>
      </w:r>
      <w:r w:rsidRPr="001352AB">
        <w:t xml:space="preserve">, </w:t>
      </w:r>
      <w:r w:rsidRPr="001352AB">
        <w:rPr>
          <w:rFonts w:ascii="Sylfaen" w:hAnsi="Sylfaen" w:cs="Sylfaen"/>
        </w:rPr>
        <w:t>საანგარიშო</w:t>
      </w:r>
      <w:r w:rsidRPr="001352AB">
        <w:t xml:space="preserve"> </w:t>
      </w:r>
      <w:r w:rsidRPr="001352AB">
        <w:rPr>
          <w:rFonts w:ascii="Sylfaen" w:hAnsi="Sylfaen" w:cs="Sylfaen"/>
        </w:rPr>
        <w:t>ფორმულები</w:t>
      </w:r>
      <w:r w:rsidRPr="001352AB">
        <w:t xml:space="preserve">, </w:t>
      </w:r>
      <w:r w:rsidRPr="001352AB">
        <w:rPr>
          <w:rFonts w:ascii="Sylfaen" w:hAnsi="Sylfaen" w:cs="Sylfaen"/>
        </w:rPr>
        <w:t>აგრეთვე</w:t>
      </w:r>
      <w:r w:rsidRPr="001352AB">
        <w:t xml:space="preserve"> </w:t>
      </w:r>
      <w:r w:rsidRPr="001352AB">
        <w:rPr>
          <w:rFonts w:ascii="Sylfaen" w:hAnsi="Sylfaen" w:cs="Sylfaen"/>
        </w:rPr>
        <w:t>საანგარიშო</w:t>
      </w:r>
      <w:r w:rsidRPr="001352AB">
        <w:t xml:space="preserve"> </w:t>
      </w:r>
      <w:r w:rsidRPr="001352AB">
        <w:rPr>
          <w:rFonts w:ascii="Sylfaen" w:hAnsi="Sylfaen" w:cs="Sylfaen"/>
        </w:rPr>
        <w:t>პარამეტრები</w:t>
      </w:r>
      <w:r w:rsidRPr="001352AB">
        <w:t xml:space="preserve"> </w:t>
      </w:r>
      <w:r w:rsidRPr="001352AB">
        <w:rPr>
          <w:rFonts w:ascii="Sylfaen" w:hAnsi="Sylfaen" w:cs="Sylfaen"/>
        </w:rPr>
        <w:t>და</w:t>
      </w:r>
      <w:r w:rsidRPr="001352AB">
        <w:t xml:space="preserve"> </w:t>
      </w:r>
      <w:r w:rsidRPr="001352AB">
        <w:rPr>
          <w:rFonts w:ascii="Sylfaen" w:hAnsi="Sylfaen" w:cs="Sylfaen"/>
        </w:rPr>
        <w:t>მათი</w:t>
      </w:r>
      <w:r w:rsidRPr="001352AB">
        <w:t xml:space="preserve"> </w:t>
      </w:r>
      <w:r w:rsidRPr="001352AB">
        <w:rPr>
          <w:rFonts w:ascii="Sylfaen" w:hAnsi="Sylfaen" w:cs="Sylfaen"/>
        </w:rPr>
        <w:t>დასაბუთება</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ქვემოთ</w:t>
      </w:r>
      <w:r w:rsidRPr="001352AB">
        <w:t>:</w:t>
      </w:r>
    </w:p>
    <w:p w14:paraId="24E75466" w14:textId="77777777" w:rsidR="00CD64B5" w:rsidRPr="001352AB" w:rsidRDefault="00CD64B5" w:rsidP="00CD64B5">
      <w:pPr>
        <w:spacing w:before="120" w:after="120"/>
      </w:pPr>
      <w:r w:rsidRPr="001352AB">
        <w:rPr>
          <w:rFonts w:ascii="Sylfaen" w:hAnsi="Sylfaen" w:cs="Sylfaen"/>
        </w:rPr>
        <w:t>მტვრის</w:t>
      </w:r>
      <w:r w:rsidRPr="001352AB">
        <w:t xml:space="preserve"> </w:t>
      </w:r>
      <w:r w:rsidRPr="001352AB">
        <w:rPr>
          <w:rFonts w:ascii="Sylfaen" w:hAnsi="Sylfaen" w:cs="Sylfaen"/>
        </w:rPr>
        <w:t>მაქსიმალური</w:t>
      </w:r>
      <w:r w:rsidRPr="001352AB">
        <w:t xml:space="preserve"> </w:t>
      </w:r>
      <w:r w:rsidRPr="001352AB">
        <w:rPr>
          <w:rFonts w:ascii="Sylfaen" w:hAnsi="Sylfaen" w:cs="Sylfaen"/>
        </w:rPr>
        <w:t>ერთჯერადი</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გაანგარიშება</w:t>
      </w:r>
      <w:r w:rsidRPr="001352AB">
        <w:t xml:space="preserve"> </w:t>
      </w:r>
      <w:r w:rsidRPr="001352AB">
        <w:rPr>
          <w:rFonts w:ascii="Sylfaen" w:hAnsi="Sylfaen" w:cs="Sylfaen"/>
        </w:rPr>
        <w:t>ხორციელდება</w:t>
      </w:r>
      <w:r w:rsidRPr="001352AB">
        <w:t xml:space="preserve"> </w:t>
      </w:r>
      <w:r w:rsidRPr="001352AB">
        <w:rPr>
          <w:rFonts w:ascii="Sylfaen" w:hAnsi="Sylfaen" w:cs="Sylfaen"/>
        </w:rPr>
        <w:t>ფორმულით</w:t>
      </w:r>
      <w:r w:rsidRPr="001352AB">
        <w:t>:</w:t>
      </w:r>
    </w:p>
    <w:p w14:paraId="599D944F" w14:textId="77777777" w:rsidR="00CD64B5" w:rsidRPr="001352AB" w:rsidRDefault="00CD64B5" w:rsidP="00CD64B5">
      <w:pPr>
        <w:spacing w:before="120" w:after="120"/>
      </w:pPr>
      <w:r w:rsidRPr="001352AB">
        <w:t xml:space="preserve">МГР = K1 · K2 · K3 · K4 · K5 · K7 · K8 · K9 · B · Gч · 106 / 3600, </w:t>
      </w:r>
      <w:r w:rsidRPr="001352AB">
        <w:rPr>
          <w:rFonts w:ascii="Sylfaen" w:hAnsi="Sylfaen" w:cs="Sylfaen"/>
        </w:rPr>
        <w:t>გ</w:t>
      </w:r>
      <w:r w:rsidRPr="001352AB">
        <w:t>/</w:t>
      </w:r>
      <w:r w:rsidRPr="001352AB">
        <w:rPr>
          <w:rFonts w:ascii="Sylfaen" w:hAnsi="Sylfaen" w:cs="Sylfaen"/>
        </w:rPr>
        <w:t>წმ</w:t>
      </w:r>
      <w:r w:rsidRPr="001352AB">
        <w:tab/>
      </w:r>
    </w:p>
    <w:p w14:paraId="0D4F90F1" w14:textId="77777777" w:rsidR="00CD64B5" w:rsidRPr="001352AB" w:rsidRDefault="00CD64B5" w:rsidP="00CD64B5">
      <w:pPr>
        <w:spacing w:before="120" w:after="120"/>
      </w:pPr>
      <w:r w:rsidRPr="001352AB">
        <w:rPr>
          <w:rFonts w:ascii="Sylfaen" w:hAnsi="Sylfaen" w:cs="Sylfaen"/>
        </w:rPr>
        <w:t>სადაც</w:t>
      </w:r>
      <w:r w:rsidRPr="001352AB">
        <w:t>,</w:t>
      </w:r>
    </w:p>
    <w:p w14:paraId="407812CA" w14:textId="77777777" w:rsidR="00CD64B5" w:rsidRPr="001352AB" w:rsidRDefault="00CD64B5" w:rsidP="00CD64B5">
      <w:pPr>
        <w:spacing w:before="120" w:after="120"/>
      </w:pPr>
      <w:r w:rsidRPr="001352AB">
        <w:t>K1 -</w:t>
      </w:r>
      <w:r w:rsidRPr="001352AB">
        <w:rPr>
          <w:rFonts w:ascii="Sylfaen" w:hAnsi="Sylfaen" w:cs="Sylfaen"/>
        </w:rPr>
        <w:t>მტვრის</w:t>
      </w:r>
      <w:r w:rsidRPr="001352AB">
        <w:t xml:space="preserve"> </w:t>
      </w:r>
      <w:r w:rsidRPr="001352AB">
        <w:rPr>
          <w:rFonts w:ascii="Sylfaen" w:hAnsi="Sylfaen" w:cs="Sylfaen"/>
        </w:rPr>
        <w:t>ფრაქციის</w:t>
      </w:r>
      <w:r w:rsidRPr="001352AB">
        <w:t xml:space="preserve"> (0-200</w:t>
      </w:r>
      <w:r w:rsidRPr="001352AB">
        <w:rPr>
          <w:rFonts w:ascii="Sylfaen" w:hAnsi="Sylfaen" w:cs="Sylfaen"/>
        </w:rPr>
        <w:t>მკმ</w:t>
      </w:r>
      <w:r w:rsidRPr="001352AB">
        <w:t xml:space="preserve">) </w:t>
      </w:r>
      <w:r w:rsidRPr="001352AB">
        <w:rPr>
          <w:rFonts w:ascii="Sylfaen" w:hAnsi="Sylfaen" w:cs="Sylfaen"/>
        </w:rPr>
        <w:t>წონითი</w:t>
      </w:r>
      <w:r w:rsidRPr="001352AB">
        <w:t xml:space="preserve"> </w:t>
      </w:r>
      <w:r w:rsidRPr="001352AB">
        <w:rPr>
          <w:rFonts w:ascii="Sylfaen" w:hAnsi="Sylfaen" w:cs="Sylfaen"/>
        </w:rPr>
        <w:t>წილი</w:t>
      </w:r>
      <w:r w:rsidRPr="001352AB">
        <w:t xml:space="preserve"> </w:t>
      </w:r>
      <w:r w:rsidRPr="001352AB">
        <w:rPr>
          <w:rFonts w:ascii="Sylfaen" w:hAnsi="Sylfaen" w:cs="Sylfaen"/>
        </w:rPr>
        <w:t>მასალაში</w:t>
      </w:r>
      <w:r w:rsidRPr="001352AB">
        <w:t xml:space="preserve">; </w:t>
      </w:r>
    </w:p>
    <w:p w14:paraId="5975B3C9" w14:textId="77777777" w:rsidR="00CD64B5" w:rsidRPr="001352AB" w:rsidRDefault="00CD64B5" w:rsidP="00CD64B5">
      <w:pPr>
        <w:spacing w:before="120" w:after="120"/>
      </w:pPr>
      <w:r w:rsidRPr="001352AB">
        <w:t xml:space="preserve">K2 - </w:t>
      </w:r>
      <w:r w:rsidRPr="001352AB">
        <w:rPr>
          <w:rFonts w:ascii="Sylfaen" w:hAnsi="Sylfaen" w:cs="Sylfaen"/>
        </w:rPr>
        <w:t>მტვრის</w:t>
      </w:r>
      <w:r w:rsidRPr="001352AB">
        <w:t xml:space="preserve"> </w:t>
      </w:r>
      <w:r w:rsidRPr="001352AB">
        <w:rPr>
          <w:rFonts w:ascii="Sylfaen" w:hAnsi="Sylfaen" w:cs="Sylfaen"/>
        </w:rPr>
        <w:t>წილი</w:t>
      </w:r>
      <w:r w:rsidRPr="001352AB">
        <w:t xml:space="preserve"> (</w:t>
      </w:r>
      <w:r w:rsidRPr="001352AB">
        <w:rPr>
          <w:rFonts w:ascii="Sylfaen" w:hAnsi="Sylfaen" w:cs="Sylfaen"/>
        </w:rPr>
        <w:t>მტვრის</w:t>
      </w:r>
      <w:r w:rsidRPr="001352AB">
        <w:t xml:space="preserve"> </w:t>
      </w:r>
      <w:r w:rsidRPr="001352AB">
        <w:rPr>
          <w:rFonts w:ascii="Sylfaen" w:hAnsi="Sylfaen" w:cs="Sylfaen"/>
        </w:rPr>
        <w:t>მთლიანი</w:t>
      </w:r>
      <w:r w:rsidRPr="001352AB">
        <w:t xml:space="preserve"> </w:t>
      </w:r>
      <w:r w:rsidRPr="001352AB">
        <w:rPr>
          <w:rFonts w:ascii="Sylfaen" w:hAnsi="Sylfaen" w:cs="Sylfaen"/>
        </w:rPr>
        <w:t>წონითი</w:t>
      </w:r>
      <w:r w:rsidRPr="001352AB">
        <w:t xml:space="preserve"> </w:t>
      </w:r>
      <w:r w:rsidRPr="001352AB">
        <w:rPr>
          <w:rFonts w:ascii="Sylfaen" w:hAnsi="Sylfaen" w:cs="Sylfaen"/>
        </w:rPr>
        <w:t>წილიდან</w:t>
      </w:r>
      <w:r w:rsidRPr="001352AB">
        <w:t xml:space="preserve">), </w:t>
      </w:r>
      <w:r w:rsidRPr="001352AB">
        <w:rPr>
          <w:rFonts w:ascii="Sylfaen" w:hAnsi="Sylfaen" w:cs="Sylfaen"/>
        </w:rPr>
        <w:t>რომელიც</w:t>
      </w:r>
      <w:r w:rsidRPr="001352AB">
        <w:t xml:space="preserve"> </w:t>
      </w:r>
      <w:r w:rsidRPr="001352AB">
        <w:rPr>
          <w:rFonts w:ascii="Sylfaen" w:hAnsi="Sylfaen" w:cs="Sylfaen"/>
        </w:rPr>
        <w:t>გადადის</w:t>
      </w:r>
      <w:r w:rsidRPr="001352AB">
        <w:t xml:space="preserve"> </w:t>
      </w:r>
      <w:r w:rsidRPr="001352AB">
        <w:rPr>
          <w:rFonts w:ascii="Sylfaen" w:hAnsi="Sylfaen" w:cs="Sylfaen"/>
        </w:rPr>
        <w:t>აეროზოლში</w:t>
      </w:r>
      <w:r w:rsidRPr="001352AB">
        <w:t xml:space="preserve"> (0-10</w:t>
      </w:r>
      <w:r w:rsidRPr="001352AB">
        <w:rPr>
          <w:rFonts w:ascii="Sylfaen" w:hAnsi="Sylfaen" w:cs="Sylfaen"/>
        </w:rPr>
        <w:t>მ</w:t>
      </w:r>
      <w:r w:rsidRPr="001352AB">
        <w:t xml:space="preserve"> </w:t>
      </w:r>
      <w:r w:rsidRPr="001352AB">
        <w:rPr>
          <w:rFonts w:ascii="Sylfaen" w:hAnsi="Sylfaen" w:cs="Sylfaen"/>
        </w:rPr>
        <w:t>კმ</w:t>
      </w:r>
      <w:r w:rsidRPr="001352AB">
        <w:t xml:space="preserve">); </w:t>
      </w:r>
    </w:p>
    <w:p w14:paraId="137F0F26" w14:textId="77777777" w:rsidR="00CD64B5" w:rsidRPr="001352AB" w:rsidRDefault="00CD64B5" w:rsidP="00CD64B5">
      <w:pPr>
        <w:spacing w:before="120" w:after="120"/>
      </w:pPr>
      <w:r w:rsidRPr="001352AB">
        <w:t xml:space="preserve">K3 - </w:t>
      </w:r>
      <w:r w:rsidRPr="001352AB">
        <w:rPr>
          <w:rFonts w:ascii="Sylfaen" w:hAnsi="Sylfaen" w:cs="Sylfaen"/>
        </w:rPr>
        <w:t>კოეფიციენტი</w:t>
      </w:r>
      <w:r w:rsidRPr="001352AB">
        <w:t xml:space="preserve">, </w:t>
      </w:r>
      <w:r w:rsidRPr="001352AB">
        <w:rPr>
          <w:rFonts w:ascii="Sylfaen" w:hAnsi="Sylfaen" w:cs="Sylfaen"/>
        </w:rPr>
        <w:t>რომელიც</w:t>
      </w:r>
      <w:r w:rsidRPr="001352AB">
        <w:t xml:space="preserve"> </w:t>
      </w:r>
      <w:r w:rsidRPr="001352AB">
        <w:rPr>
          <w:rFonts w:ascii="Sylfaen" w:hAnsi="Sylfaen" w:cs="Sylfaen"/>
        </w:rPr>
        <w:t>ითვალისწინებს</w:t>
      </w:r>
      <w:r w:rsidRPr="001352AB">
        <w:t xml:space="preserve"> </w:t>
      </w:r>
      <w:r w:rsidRPr="001352AB">
        <w:rPr>
          <w:rFonts w:ascii="Sylfaen" w:hAnsi="Sylfaen" w:cs="Sylfaen"/>
        </w:rPr>
        <w:t>ადგილობრივ</w:t>
      </w:r>
      <w:r w:rsidRPr="001352AB">
        <w:t xml:space="preserve"> </w:t>
      </w:r>
      <w:r w:rsidRPr="001352AB">
        <w:rPr>
          <w:rFonts w:ascii="Sylfaen" w:hAnsi="Sylfaen" w:cs="Sylfaen"/>
        </w:rPr>
        <w:t>მეტეო</w:t>
      </w:r>
      <w:r w:rsidRPr="001352AB">
        <w:t xml:space="preserve"> </w:t>
      </w:r>
      <w:r w:rsidRPr="001352AB">
        <w:rPr>
          <w:rFonts w:ascii="Sylfaen" w:hAnsi="Sylfaen" w:cs="Sylfaen"/>
        </w:rPr>
        <w:t>პირობებს</w:t>
      </w:r>
      <w:r w:rsidRPr="001352AB">
        <w:t xml:space="preserve">; </w:t>
      </w:r>
    </w:p>
    <w:p w14:paraId="0C74D237" w14:textId="77777777" w:rsidR="00CD64B5" w:rsidRPr="001352AB" w:rsidRDefault="00CD64B5" w:rsidP="00CD64B5">
      <w:pPr>
        <w:spacing w:before="120" w:after="120"/>
      </w:pPr>
      <w:r w:rsidRPr="001352AB">
        <w:t xml:space="preserve">K4 - </w:t>
      </w:r>
      <w:r w:rsidRPr="001352AB">
        <w:rPr>
          <w:rFonts w:ascii="Sylfaen" w:hAnsi="Sylfaen" w:cs="Sylfaen"/>
        </w:rPr>
        <w:t>კოეფიციენტი</w:t>
      </w:r>
      <w:r w:rsidRPr="001352AB">
        <w:t xml:space="preserve">, </w:t>
      </w:r>
      <w:r w:rsidRPr="001352AB">
        <w:rPr>
          <w:rFonts w:ascii="Sylfaen" w:hAnsi="Sylfaen" w:cs="Sylfaen"/>
        </w:rPr>
        <w:t>რომელიც</w:t>
      </w:r>
      <w:r w:rsidRPr="001352AB">
        <w:t xml:space="preserve"> </w:t>
      </w:r>
      <w:r w:rsidRPr="001352AB">
        <w:rPr>
          <w:rFonts w:ascii="Sylfaen" w:hAnsi="Sylfaen" w:cs="Sylfaen"/>
        </w:rPr>
        <w:t>ითვალისწინებს</w:t>
      </w:r>
      <w:r w:rsidRPr="001352AB">
        <w:t xml:space="preserve"> </w:t>
      </w:r>
      <w:r w:rsidRPr="001352AB">
        <w:rPr>
          <w:rFonts w:ascii="Sylfaen" w:hAnsi="Sylfaen" w:cs="Sylfaen"/>
        </w:rPr>
        <w:t>ადგილობრივ</w:t>
      </w:r>
      <w:r w:rsidRPr="001352AB">
        <w:t xml:space="preserve"> </w:t>
      </w:r>
      <w:r w:rsidRPr="001352AB">
        <w:rPr>
          <w:rFonts w:ascii="Sylfaen" w:hAnsi="Sylfaen" w:cs="Sylfaen"/>
        </w:rPr>
        <w:t>პირობებს</w:t>
      </w:r>
      <w:r w:rsidRPr="001352AB">
        <w:t xml:space="preserve">, </w:t>
      </w:r>
      <w:r w:rsidRPr="001352AB">
        <w:rPr>
          <w:rFonts w:ascii="Sylfaen" w:hAnsi="Sylfaen" w:cs="Sylfaen"/>
        </w:rPr>
        <w:t>კვანძის</w:t>
      </w:r>
      <w:r w:rsidRPr="001352AB">
        <w:t xml:space="preserve"> </w:t>
      </w:r>
      <w:r w:rsidRPr="001352AB">
        <w:rPr>
          <w:rFonts w:ascii="Sylfaen" w:hAnsi="Sylfaen" w:cs="Sylfaen"/>
        </w:rPr>
        <w:t>დაცულობის</w:t>
      </w:r>
      <w:r w:rsidRPr="001352AB">
        <w:t xml:space="preserve"> </w:t>
      </w:r>
      <w:r w:rsidRPr="001352AB">
        <w:rPr>
          <w:rFonts w:ascii="Sylfaen" w:hAnsi="Sylfaen" w:cs="Sylfaen"/>
        </w:rPr>
        <w:t>ხარისხს</w:t>
      </w:r>
      <w:r w:rsidRPr="001352AB">
        <w:t xml:space="preserve"> </w:t>
      </w:r>
      <w:r w:rsidRPr="001352AB">
        <w:rPr>
          <w:rFonts w:ascii="Sylfaen" w:hAnsi="Sylfaen" w:cs="Sylfaen"/>
        </w:rPr>
        <w:t>გარეშე</w:t>
      </w:r>
      <w:r w:rsidRPr="001352AB">
        <w:t xml:space="preserve"> </w:t>
      </w:r>
      <w:r w:rsidRPr="001352AB">
        <w:rPr>
          <w:rFonts w:ascii="Sylfaen" w:hAnsi="Sylfaen" w:cs="Sylfaen"/>
        </w:rPr>
        <w:t>ზემოქმედებისაგან</w:t>
      </w:r>
      <w:r w:rsidRPr="001352AB">
        <w:t xml:space="preserve">, </w:t>
      </w:r>
      <w:r w:rsidRPr="001352AB">
        <w:rPr>
          <w:rFonts w:ascii="Sylfaen" w:hAnsi="Sylfaen" w:cs="Sylfaen"/>
        </w:rPr>
        <w:t>ამტვერების</w:t>
      </w:r>
      <w:r w:rsidRPr="001352AB">
        <w:t xml:space="preserve"> </w:t>
      </w:r>
      <w:r w:rsidRPr="001352AB">
        <w:rPr>
          <w:rFonts w:ascii="Sylfaen" w:hAnsi="Sylfaen" w:cs="Sylfaen"/>
        </w:rPr>
        <w:t>პირობებს</w:t>
      </w:r>
      <w:r w:rsidRPr="001352AB">
        <w:t xml:space="preserve">; </w:t>
      </w:r>
    </w:p>
    <w:p w14:paraId="78B13E4D" w14:textId="77777777" w:rsidR="00CD64B5" w:rsidRPr="001352AB" w:rsidRDefault="00CD64B5" w:rsidP="00CD64B5">
      <w:pPr>
        <w:spacing w:before="120" w:after="120"/>
      </w:pPr>
      <w:r w:rsidRPr="001352AB">
        <w:t xml:space="preserve">K5 - </w:t>
      </w:r>
      <w:r w:rsidRPr="001352AB">
        <w:rPr>
          <w:rFonts w:ascii="Sylfaen" w:hAnsi="Sylfaen" w:cs="Sylfaen"/>
        </w:rPr>
        <w:t>კოეფიციენტი</w:t>
      </w:r>
      <w:r w:rsidRPr="001352AB">
        <w:t xml:space="preserve">, </w:t>
      </w:r>
      <w:r w:rsidRPr="001352AB">
        <w:rPr>
          <w:rFonts w:ascii="Sylfaen" w:hAnsi="Sylfaen" w:cs="Sylfaen"/>
        </w:rPr>
        <w:t>რომელიც</w:t>
      </w:r>
      <w:r w:rsidRPr="001352AB">
        <w:t xml:space="preserve"> </w:t>
      </w:r>
      <w:r w:rsidRPr="001352AB">
        <w:rPr>
          <w:rFonts w:ascii="Sylfaen" w:hAnsi="Sylfaen" w:cs="Sylfaen"/>
        </w:rPr>
        <w:t>ითვალისწინებს</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ტენიანობას</w:t>
      </w:r>
      <w:r w:rsidRPr="001352AB">
        <w:t xml:space="preserve">; </w:t>
      </w:r>
    </w:p>
    <w:p w14:paraId="42B00443" w14:textId="77777777" w:rsidR="00CD64B5" w:rsidRPr="001352AB" w:rsidRDefault="00CD64B5" w:rsidP="00CD64B5">
      <w:pPr>
        <w:spacing w:before="120" w:after="120"/>
      </w:pPr>
      <w:r w:rsidRPr="001352AB">
        <w:t xml:space="preserve">K7 - </w:t>
      </w:r>
      <w:r w:rsidRPr="001352AB">
        <w:rPr>
          <w:rFonts w:ascii="Sylfaen" w:hAnsi="Sylfaen" w:cs="Sylfaen"/>
        </w:rPr>
        <w:t>კოეფიციენტი</w:t>
      </w:r>
      <w:r w:rsidRPr="001352AB">
        <w:t xml:space="preserve">, </w:t>
      </w:r>
      <w:r w:rsidRPr="001352AB">
        <w:rPr>
          <w:rFonts w:ascii="Sylfaen" w:hAnsi="Sylfaen" w:cs="Sylfaen"/>
        </w:rPr>
        <w:t>რომელიც</w:t>
      </w:r>
      <w:r w:rsidRPr="001352AB">
        <w:t xml:space="preserve"> </w:t>
      </w:r>
      <w:r w:rsidRPr="001352AB">
        <w:rPr>
          <w:rFonts w:ascii="Sylfaen" w:hAnsi="Sylfaen" w:cs="Sylfaen"/>
        </w:rPr>
        <w:t>ითვალისწინებს</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ზომებს</w:t>
      </w:r>
      <w:r w:rsidRPr="001352AB">
        <w:t xml:space="preserve">; </w:t>
      </w:r>
    </w:p>
    <w:p w14:paraId="75A05494" w14:textId="77777777" w:rsidR="00CD64B5" w:rsidRPr="001352AB" w:rsidRDefault="00CD64B5" w:rsidP="00CD64B5">
      <w:pPr>
        <w:spacing w:before="120" w:after="120"/>
      </w:pPr>
      <w:r w:rsidRPr="001352AB">
        <w:t xml:space="preserve">K8 - </w:t>
      </w:r>
      <w:r w:rsidRPr="001352AB">
        <w:rPr>
          <w:rFonts w:ascii="Sylfaen" w:hAnsi="Sylfaen" w:cs="Sylfaen"/>
        </w:rPr>
        <w:t>შემასწორებელი</w:t>
      </w:r>
      <w:r w:rsidRPr="001352AB">
        <w:t xml:space="preserve"> </w:t>
      </w:r>
      <w:r w:rsidRPr="001352AB">
        <w:rPr>
          <w:rFonts w:ascii="Sylfaen" w:hAnsi="Sylfaen" w:cs="Sylfaen"/>
        </w:rPr>
        <w:t>კოეფიციენტი</w:t>
      </w:r>
      <w:r w:rsidRPr="001352AB">
        <w:t xml:space="preserve"> </w:t>
      </w:r>
      <w:r w:rsidRPr="001352AB">
        <w:rPr>
          <w:rFonts w:ascii="Sylfaen" w:hAnsi="Sylfaen" w:cs="Sylfaen"/>
        </w:rPr>
        <w:t>სხვადასხვა</w:t>
      </w:r>
      <w:r w:rsidRPr="001352AB">
        <w:t xml:space="preserve"> </w:t>
      </w:r>
      <w:r w:rsidRPr="001352AB">
        <w:rPr>
          <w:rFonts w:ascii="Sylfaen" w:hAnsi="Sylfaen" w:cs="Sylfaen"/>
        </w:rPr>
        <w:t>მასალისათვის</w:t>
      </w:r>
      <w:r w:rsidRPr="001352AB">
        <w:t xml:space="preserve"> </w:t>
      </w:r>
      <w:r w:rsidRPr="001352AB">
        <w:rPr>
          <w:rFonts w:ascii="Sylfaen" w:hAnsi="Sylfaen" w:cs="Sylfaen"/>
        </w:rPr>
        <w:t>გრეიფერის</w:t>
      </w:r>
      <w:r w:rsidRPr="001352AB">
        <w:t xml:space="preserve"> </w:t>
      </w:r>
      <w:r w:rsidRPr="001352AB">
        <w:rPr>
          <w:rFonts w:ascii="Sylfaen" w:hAnsi="Sylfaen" w:cs="Sylfaen"/>
        </w:rPr>
        <w:t>ტიპის</w:t>
      </w:r>
      <w:r w:rsidRPr="001352AB">
        <w:t xml:space="preserve"> </w:t>
      </w:r>
      <w:r w:rsidRPr="001352AB">
        <w:rPr>
          <w:rFonts w:ascii="Sylfaen" w:hAnsi="Sylfaen" w:cs="Sylfaen"/>
        </w:rPr>
        <w:t>გათვალისწინებით</w:t>
      </w:r>
      <w:r w:rsidRPr="001352AB">
        <w:t xml:space="preserve">, </w:t>
      </w:r>
      <w:r w:rsidRPr="001352AB">
        <w:rPr>
          <w:rFonts w:ascii="Sylfaen" w:hAnsi="Sylfaen" w:cs="Sylfaen"/>
        </w:rPr>
        <w:t>სხვა</w:t>
      </w:r>
      <w:r w:rsidRPr="001352AB">
        <w:t xml:space="preserve"> </w:t>
      </w:r>
      <w:r w:rsidRPr="001352AB">
        <w:rPr>
          <w:rFonts w:ascii="Sylfaen" w:hAnsi="Sylfaen" w:cs="Sylfaen"/>
        </w:rPr>
        <w:t>ტიპის</w:t>
      </w:r>
      <w:r w:rsidRPr="001352AB">
        <w:t xml:space="preserve"> </w:t>
      </w:r>
      <w:r w:rsidRPr="001352AB">
        <w:rPr>
          <w:rFonts w:ascii="Sylfaen" w:hAnsi="Sylfaen" w:cs="Sylfaen"/>
        </w:rPr>
        <w:t>გადამტვირთავი</w:t>
      </w:r>
      <w:r w:rsidRPr="001352AB">
        <w:t xml:space="preserve"> </w:t>
      </w:r>
      <w:r w:rsidRPr="001352AB">
        <w:rPr>
          <w:rFonts w:ascii="Sylfaen" w:hAnsi="Sylfaen" w:cs="Sylfaen"/>
        </w:rPr>
        <w:t>მოწყობილობების</w:t>
      </w:r>
      <w:r w:rsidRPr="001352AB">
        <w:t xml:space="preserve"> </w:t>
      </w:r>
      <w:r w:rsidRPr="001352AB">
        <w:rPr>
          <w:rFonts w:ascii="Sylfaen" w:hAnsi="Sylfaen" w:cs="Sylfaen"/>
        </w:rPr>
        <w:t>გამოყენებისას</w:t>
      </w:r>
      <w:r w:rsidRPr="001352AB">
        <w:t xml:space="preserve"> K8 = 1; </w:t>
      </w:r>
    </w:p>
    <w:p w14:paraId="22D9B498" w14:textId="77777777" w:rsidR="00CD64B5" w:rsidRPr="001352AB" w:rsidRDefault="00CD64B5" w:rsidP="00CD64B5">
      <w:pPr>
        <w:spacing w:before="120" w:after="120"/>
      </w:pPr>
      <w:r w:rsidRPr="001352AB">
        <w:t xml:space="preserve">K9 - </w:t>
      </w:r>
      <w:r w:rsidRPr="001352AB">
        <w:rPr>
          <w:rFonts w:ascii="Sylfaen" w:hAnsi="Sylfaen" w:cs="Sylfaen"/>
        </w:rPr>
        <w:t>შემასწორებელი</w:t>
      </w:r>
      <w:r w:rsidRPr="001352AB">
        <w:t xml:space="preserve"> </w:t>
      </w:r>
      <w:r w:rsidRPr="001352AB">
        <w:rPr>
          <w:rFonts w:ascii="Sylfaen" w:hAnsi="Sylfaen" w:cs="Sylfaen"/>
        </w:rPr>
        <w:t>კოეფიციენტი</w:t>
      </w:r>
      <w:r w:rsidRPr="001352AB">
        <w:t xml:space="preserve"> </w:t>
      </w:r>
      <w:r w:rsidRPr="001352AB">
        <w:rPr>
          <w:rFonts w:ascii="Sylfaen" w:hAnsi="Sylfaen" w:cs="Sylfaen"/>
        </w:rPr>
        <w:t>ზალპური</w:t>
      </w:r>
      <w:r w:rsidRPr="001352AB">
        <w:t xml:space="preserve"> </w:t>
      </w:r>
      <w:r w:rsidRPr="001352AB">
        <w:rPr>
          <w:rFonts w:ascii="Sylfaen" w:hAnsi="Sylfaen" w:cs="Sylfaen"/>
        </w:rPr>
        <w:t>ჩამოცლისას</w:t>
      </w:r>
      <w:r w:rsidRPr="001352AB">
        <w:t xml:space="preserve"> </w:t>
      </w:r>
      <w:r w:rsidRPr="001352AB">
        <w:rPr>
          <w:rFonts w:ascii="Sylfaen" w:hAnsi="Sylfaen" w:cs="Sylfaen"/>
        </w:rPr>
        <w:t>ავტოთვითმცლელიდან</w:t>
      </w:r>
      <w:r w:rsidRPr="001352AB">
        <w:t xml:space="preserve">. </w:t>
      </w:r>
    </w:p>
    <w:p w14:paraId="14F1E464" w14:textId="77777777" w:rsidR="00CD64B5" w:rsidRPr="001352AB" w:rsidRDefault="00CD64B5" w:rsidP="00CD64B5">
      <w:pPr>
        <w:spacing w:before="120" w:after="120"/>
      </w:pPr>
      <w:r w:rsidRPr="001352AB">
        <w:t xml:space="preserve">B - </w:t>
      </w:r>
      <w:r w:rsidRPr="001352AB">
        <w:rPr>
          <w:rFonts w:ascii="Sylfaen" w:hAnsi="Sylfaen" w:cs="Sylfaen"/>
        </w:rPr>
        <w:t>კოეფიციენტი</w:t>
      </w:r>
      <w:r w:rsidRPr="001352AB">
        <w:t xml:space="preserve">, </w:t>
      </w:r>
      <w:r w:rsidRPr="001352AB">
        <w:rPr>
          <w:rFonts w:ascii="Sylfaen" w:hAnsi="Sylfaen" w:cs="Sylfaen"/>
        </w:rPr>
        <w:t>რომელიც</w:t>
      </w:r>
      <w:r w:rsidRPr="001352AB">
        <w:t xml:space="preserve"> </w:t>
      </w:r>
      <w:r w:rsidRPr="001352AB">
        <w:rPr>
          <w:rFonts w:ascii="Sylfaen" w:hAnsi="Sylfaen" w:cs="Sylfaen"/>
        </w:rPr>
        <w:t>ითვალისწინებს</w:t>
      </w:r>
      <w:r w:rsidRPr="001352AB">
        <w:t xml:space="preserve"> </w:t>
      </w:r>
      <w:r w:rsidRPr="001352AB">
        <w:rPr>
          <w:rFonts w:ascii="Sylfaen" w:hAnsi="Sylfaen" w:cs="Sylfaen"/>
        </w:rPr>
        <w:t>გადმოყრის</w:t>
      </w:r>
      <w:r w:rsidRPr="001352AB">
        <w:t xml:space="preserve"> </w:t>
      </w:r>
      <w:r w:rsidRPr="001352AB">
        <w:rPr>
          <w:rFonts w:ascii="Sylfaen" w:hAnsi="Sylfaen" w:cs="Sylfaen"/>
        </w:rPr>
        <w:t>სიმაღლეს</w:t>
      </w:r>
      <w:r w:rsidRPr="001352AB">
        <w:t xml:space="preserve">; </w:t>
      </w:r>
    </w:p>
    <w:p w14:paraId="1ED39A82" w14:textId="77777777" w:rsidR="00CD64B5" w:rsidRPr="001352AB" w:rsidRDefault="00CD64B5" w:rsidP="00CD64B5">
      <w:pPr>
        <w:spacing w:before="120" w:after="120"/>
      </w:pPr>
      <w:r w:rsidRPr="001352AB">
        <w:t>Gч – с</w:t>
      </w:r>
      <w:r w:rsidRPr="001352AB">
        <w:rPr>
          <w:rFonts w:ascii="Sylfaen" w:hAnsi="Sylfaen" w:cs="Sylfaen"/>
        </w:rPr>
        <w:t>გადასატვირთი</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რ</w:t>
      </w:r>
      <w:r w:rsidRPr="001352AB">
        <w:t>-</w:t>
      </w:r>
      <w:r w:rsidRPr="001352AB">
        <w:rPr>
          <w:rFonts w:ascii="Sylfaen" w:hAnsi="Sylfaen" w:cs="Sylfaen"/>
        </w:rPr>
        <w:t>ბა</w:t>
      </w:r>
      <w:r w:rsidRPr="001352AB">
        <w:t xml:space="preserve"> </w:t>
      </w:r>
      <w:r w:rsidRPr="001352AB">
        <w:rPr>
          <w:rFonts w:ascii="Sylfaen" w:hAnsi="Sylfaen" w:cs="Sylfaen"/>
        </w:rPr>
        <w:t>სთ</w:t>
      </w:r>
      <w:r w:rsidRPr="001352AB">
        <w:t>-</w:t>
      </w:r>
      <w:r w:rsidRPr="001352AB">
        <w:rPr>
          <w:rFonts w:ascii="Sylfaen" w:hAnsi="Sylfaen" w:cs="Sylfaen"/>
        </w:rPr>
        <w:t>ში</w:t>
      </w:r>
      <w:r w:rsidRPr="001352AB">
        <w:t>, (</w:t>
      </w:r>
      <w:r w:rsidRPr="001352AB">
        <w:rPr>
          <w:rFonts w:ascii="Sylfaen" w:hAnsi="Sylfaen" w:cs="Sylfaen"/>
        </w:rPr>
        <w:t>ტ</w:t>
      </w:r>
      <w:r w:rsidRPr="001352AB">
        <w:t>/</w:t>
      </w:r>
      <w:r w:rsidRPr="001352AB">
        <w:rPr>
          <w:rFonts w:ascii="Sylfaen" w:hAnsi="Sylfaen" w:cs="Sylfaen"/>
        </w:rPr>
        <w:t>სთ</w:t>
      </w:r>
      <w:r w:rsidRPr="001352AB">
        <w:t xml:space="preserve">). </w:t>
      </w:r>
    </w:p>
    <w:p w14:paraId="36DB4053" w14:textId="77777777" w:rsidR="00CD64B5" w:rsidRPr="001352AB" w:rsidRDefault="00CD64B5" w:rsidP="00CD64B5">
      <w:pPr>
        <w:spacing w:before="120" w:after="120"/>
      </w:pPr>
      <w:r w:rsidRPr="001352AB">
        <w:rPr>
          <w:rFonts w:ascii="Sylfaen" w:hAnsi="Sylfaen" w:cs="Sylfaen"/>
        </w:rPr>
        <w:lastRenderedPageBreak/>
        <w:t>მტვრის</w:t>
      </w:r>
      <w:r w:rsidRPr="001352AB">
        <w:t xml:space="preserve"> </w:t>
      </w:r>
      <w:r w:rsidRPr="001352AB">
        <w:rPr>
          <w:rFonts w:ascii="Sylfaen" w:hAnsi="Sylfaen" w:cs="Sylfaen"/>
        </w:rPr>
        <w:t>ჯამური</w:t>
      </w:r>
      <w:r w:rsidRPr="001352AB">
        <w:t xml:space="preserve"> </w:t>
      </w:r>
      <w:r w:rsidRPr="001352AB">
        <w:rPr>
          <w:rFonts w:ascii="Sylfaen" w:hAnsi="Sylfaen" w:cs="Sylfaen"/>
        </w:rPr>
        <w:t>წლიური</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გაანგარიშება</w:t>
      </w:r>
      <w:r w:rsidRPr="001352AB">
        <w:t xml:space="preserve"> </w:t>
      </w:r>
      <w:r w:rsidRPr="001352AB">
        <w:rPr>
          <w:rFonts w:ascii="Sylfaen" w:hAnsi="Sylfaen" w:cs="Sylfaen"/>
        </w:rPr>
        <w:t>ხორციელდება</w:t>
      </w:r>
      <w:r w:rsidRPr="001352AB">
        <w:t xml:space="preserve"> </w:t>
      </w:r>
      <w:r w:rsidRPr="001352AB">
        <w:rPr>
          <w:rFonts w:ascii="Sylfaen" w:hAnsi="Sylfaen" w:cs="Sylfaen"/>
        </w:rPr>
        <w:t>ფორმულით</w:t>
      </w:r>
      <w:r w:rsidRPr="001352AB">
        <w:t xml:space="preserve">: </w:t>
      </w:r>
    </w:p>
    <w:p w14:paraId="143F747D" w14:textId="77777777" w:rsidR="00CD64B5" w:rsidRPr="001352AB" w:rsidRDefault="00CD64B5" w:rsidP="00CD64B5">
      <w:pPr>
        <w:spacing w:before="120" w:after="120"/>
      </w:pPr>
      <w:r w:rsidRPr="001352AB">
        <w:t xml:space="preserve">ПГР = K1 · K2 · K3 · K4 · K5 · K7 · K8 · K9 · B · Gгод, </w:t>
      </w:r>
      <w:r w:rsidRPr="001352AB">
        <w:rPr>
          <w:rFonts w:ascii="Sylfaen" w:hAnsi="Sylfaen" w:cs="Sylfaen"/>
        </w:rPr>
        <w:t>ტ</w:t>
      </w:r>
      <w:r w:rsidRPr="001352AB">
        <w:t>/</w:t>
      </w:r>
      <w:r w:rsidRPr="001352AB">
        <w:rPr>
          <w:rFonts w:ascii="Sylfaen" w:hAnsi="Sylfaen" w:cs="Sylfaen"/>
        </w:rPr>
        <w:t>წელ</w:t>
      </w:r>
      <w:r w:rsidRPr="001352AB">
        <w:tab/>
      </w:r>
    </w:p>
    <w:p w14:paraId="6164AC0F" w14:textId="77777777" w:rsidR="00CD64B5" w:rsidRPr="001352AB" w:rsidRDefault="00CD64B5" w:rsidP="00CD64B5">
      <w:pPr>
        <w:spacing w:before="120" w:after="120"/>
      </w:pPr>
      <w:r w:rsidRPr="001352AB">
        <w:rPr>
          <w:rFonts w:ascii="Sylfaen" w:hAnsi="Sylfaen" w:cs="Sylfaen"/>
        </w:rPr>
        <w:t>სადაც</w:t>
      </w:r>
      <w:r w:rsidRPr="001352AB">
        <w:t>,</w:t>
      </w:r>
    </w:p>
    <w:p w14:paraId="6E29B4AE" w14:textId="77777777" w:rsidR="00CD64B5" w:rsidRPr="001352AB" w:rsidRDefault="00CD64B5" w:rsidP="00CD64B5">
      <w:pPr>
        <w:spacing w:before="120" w:after="120"/>
      </w:pPr>
      <w:r w:rsidRPr="001352AB">
        <w:t xml:space="preserve">Gгод - </w:t>
      </w:r>
      <w:r w:rsidRPr="001352AB">
        <w:rPr>
          <w:rFonts w:ascii="Sylfaen" w:hAnsi="Sylfaen" w:cs="Sylfaen"/>
        </w:rPr>
        <w:t>გადასატვირთი</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წლიური</w:t>
      </w:r>
      <w:r w:rsidRPr="001352AB">
        <w:t xml:space="preserve"> </w:t>
      </w:r>
      <w:r w:rsidRPr="001352AB">
        <w:rPr>
          <w:rFonts w:ascii="Sylfaen" w:hAnsi="Sylfaen" w:cs="Sylfaen"/>
        </w:rPr>
        <w:t>რ</w:t>
      </w:r>
      <w:r w:rsidRPr="001352AB">
        <w:t>-</w:t>
      </w:r>
      <w:r w:rsidRPr="001352AB">
        <w:rPr>
          <w:rFonts w:ascii="Sylfaen" w:hAnsi="Sylfaen" w:cs="Sylfaen"/>
        </w:rPr>
        <w:t>ბა</w:t>
      </w:r>
      <w:r w:rsidRPr="001352AB">
        <w:t xml:space="preserve">, </w:t>
      </w:r>
      <w:r w:rsidRPr="001352AB">
        <w:rPr>
          <w:rFonts w:ascii="Sylfaen" w:hAnsi="Sylfaen" w:cs="Sylfaen"/>
        </w:rPr>
        <w:t>ტ</w:t>
      </w:r>
      <w:r w:rsidRPr="001352AB">
        <w:t>/</w:t>
      </w:r>
      <w:r w:rsidRPr="001352AB">
        <w:rPr>
          <w:rFonts w:ascii="Sylfaen" w:hAnsi="Sylfaen" w:cs="Sylfaen"/>
        </w:rPr>
        <w:t>წელ</w:t>
      </w:r>
      <w:r w:rsidRPr="001352AB">
        <w:t xml:space="preserve">; </w:t>
      </w:r>
    </w:p>
    <w:p w14:paraId="5105735E" w14:textId="77777777" w:rsidR="00CD64B5" w:rsidRPr="001352AB" w:rsidRDefault="00CD64B5" w:rsidP="00CD64B5">
      <w:pPr>
        <w:spacing w:before="120" w:after="120"/>
      </w:pPr>
      <w:r w:rsidRPr="001352AB">
        <w:rPr>
          <w:rFonts w:ascii="Sylfaen" w:eastAsia="Calibri" w:hAnsi="Sylfaen" w:cs="Sylfaen"/>
        </w:rPr>
        <w:t>ატმოსფერულ</w:t>
      </w:r>
      <w:r w:rsidRPr="001352AB">
        <w:rPr>
          <w:rFonts w:eastAsia="Calibri"/>
        </w:rPr>
        <w:t xml:space="preserve"> </w:t>
      </w:r>
      <w:r w:rsidRPr="001352AB">
        <w:rPr>
          <w:rFonts w:ascii="Sylfaen" w:eastAsia="Calibri" w:hAnsi="Sylfaen" w:cs="Sylfaen"/>
        </w:rPr>
        <w:t>ჰაერში</w:t>
      </w:r>
      <w:r w:rsidRPr="001352AB">
        <w:rPr>
          <w:rFonts w:eastAsia="Calibri"/>
        </w:rPr>
        <w:t xml:space="preserve"> </w:t>
      </w:r>
      <w:r w:rsidRPr="001352AB">
        <w:rPr>
          <w:rFonts w:ascii="Sylfaen" w:eastAsia="Calibri" w:hAnsi="Sylfaen" w:cs="Sylfaen"/>
        </w:rPr>
        <w:t>დამაბინძურებელ</w:t>
      </w:r>
      <w:r w:rsidRPr="001352AB">
        <w:rPr>
          <w:rFonts w:eastAsia="Calibri"/>
        </w:rPr>
        <w:t xml:space="preserve"> </w:t>
      </w:r>
      <w:r w:rsidRPr="001352AB">
        <w:rPr>
          <w:rFonts w:ascii="Sylfaen" w:eastAsia="Calibri" w:hAnsi="Sylfaen" w:cs="Sylfaen"/>
        </w:rPr>
        <w:t>ნივთიერებათა</w:t>
      </w:r>
      <w:r w:rsidRPr="001352AB">
        <w:rPr>
          <w:rFonts w:eastAsia="Calibri"/>
        </w:rPr>
        <w:t xml:space="preserve"> </w:t>
      </w:r>
      <w:r w:rsidRPr="001352AB">
        <w:rPr>
          <w:rFonts w:ascii="Sylfaen" w:eastAsia="Calibri" w:hAnsi="Sylfaen" w:cs="Sylfaen"/>
        </w:rPr>
        <w:t>მაქსიმალური</w:t>
      </w:r>
      <w:r w:rsidRPr="001352AB">
        <w:rPr>
          <w:rFonts w:eastAsia="Calibri"/>
        </w:rPr>
        <w:t xml:space="preserve"> </w:t>
      </w:r>
      <w:r w:rsidRPr="001352AB">
        <w:rPr>
          <w:rFonts w:ascii="Sylfaen" w:eastAsia="Calibri" w:hAnsi="Sylfaen" w:cs="Sylfaen"/>
        </w:rPr>
        <w:t>ერთჯერადი</w:t>
      </w:r>
      <w:r w:rsidRPr="001352AB">
        <w:rPr>
          <w:rFonts w:eastAsia="Calibri"/>
        </w:rPr>
        <w:t xml:space="preserve"> </w:t>
      </w:r>
      <w:r w:rsidRPr="001352AB">
        <w:rPr>
          <w:rFonts w:ascii="Sylfaen" w:eastAsia="Calibri" w:hAnsi="Sylfaen" w:cs="Sylfaen"/>
        </w:rPr>
        <w:t>და</w:t>
      </w:r>
      <w:r w:rsidRPr="001352AB">
        <w:rPr>
          <w:rFonts w:eastAsia="Calibri"/>
        </w:rPr>
        <w:t xml:space="preserve"> </w:t>
      </w:r>
      <w:r w:rsidRPr="001352AB">
        <w:rPr>
          <w:rFonts w:ascii="Sylfaen" w:eastAsia="Calibri" w:hAnsi="Sylfaen" w:cs="Sylfaen"/>
        </w:rPr>
        <w:t>წლიური</w:t>
      </w:r>
      <w:r w:rsidRPr="001352AB">
        <w:rPr>
          <w:rFonts w:eastAsia="Calibri"/>
        </w:rPr>
        <w:t xml:space="preserve"> </w:t>
      </w:r>
      <w:r w:rsidRPr="001352AB">
        <w:rPr>
          <w:rFonts w:ascii="Sylfaen" w:eastAsia="Calibri" w:hAnsi="Sylfaen" w:cs="Sylfaen"/>
        </w:rPr>
        <w:t>გამოყოფის</w:t>
      </w:r>
      <w:r w:rsidRPr="001352AB">
        <w:rPr>
          <w:rFonts w:eastAsia="Calibri"/>
        </w:rPr>
        <w:t xml:space="preserve"> </w:t>
      </w:r>
      <w:r w:rsidRPr="001352AB">
        <w:rPr>
          <w:rFonts w:ascii="Sylfaen" w:eastAsia="Calibri" w:hAnsi="Sylfaen" w:cs="Sylfaen"/>
        </w:rPr>
        <w:t>გაანგარიშება</w:t>
      </w:r>
      <w:r w:rsidRPr="001352AB">
        <w:rPr>
          <w:rFonts w:eastAsia="Calibri"/>
        </w:rPr>
        <w:t xml:space="preserve"> </w:t>
      </w:r>
      <w:r w:rsidRPr="001352AB">
        <w:rPr>
          <w:rFonts w:ascii="Sylfaen" w:eastAsia="Calibri" w:hAnsi="Sylfaen" w:cs="Sylfaen"/>
        </w:rPr>
        <w:t>მოცემულია</w:t>
      </w:r>
      <w:r w:rsidRPr="001352AB">
        <w:rPr>
          <w:rFonts w:eastAsia="Calibri"/>
        </w:rPr>
        <w:t xml:space="preserve"> </w:t>
      </w:r>
      <w:r w:rsidRPr="001352AB">
        <w:rPr>
          <w:rFonts w:ascii="Sylfaen" w:eastAsia="Calibri" w:hAnsi="Sylfaen" w:cs="Sylfaen"/>
        </w:rPr>
        <w:t>ქვემოთ</w:t>
      </w:r>
      <w:r w:rsidRPr="001352AB">
        <w:rPr>
          <w:rFonts w:eastAsia="Calibri"/>
        </w:rPr>
        <w:t xml:space="preserve">. </w:t>
      </w:r>
    </w:p>
    <w:p w14:paraId="5927B63D" w14:textId="77777777" w:rsidR="00CD64B5" w:rsidRPr="001352AB" w:rsidRDefault="00CD64B5" w:rsidP="00CD64B5">
      <w:pPr>
        <w:spacing w:before="120" w:after="120"/>
      </w:pPr>
      <w:r w:rsidRPr="001352AB">
        <w:t>M29080.5</w:t>
      </w:r>
      <w:r w:rsidRPr="001352AB">
        <w:rPr>
          <w:rFonts w:ascii="Sylfaen" w:hAnsi="Sylfaen" w:cs="Sylfaen"/>
        </w:rPr>
        <w:t>მ</w:t>
      </w:r>
      <w:r w:rsidRPr="001352AB">
        <w:t>/</w:t>
      </w:r>
      <w:r w:rsidRPr="001352AB">
        <w:rPr>
          <w:rFonts w:ascii="Sylfaen" w:hAnsi="Sylfaen" w:cs="Sylfaen"/>
        </w:rPr>
        <w:t>წმ</w:t>
      </w:r>
      <w:r w:rsidRPr="001352AB">
        <w:t xml:space="preserve"> </w:t>
      </w:r>
      <w:r w:rsidRPr="001352AB">
        <w:rPr>
          <w:rFonts w:eastAsiaTheme="minorEastAsia"/>
        </w:rPr>
        <w:t xml:space="preserve">= 0,04 · 0,02 · 1 · 1 · 0,1 · 0,5 · 1 · 0,1 · 0,5 · 88 · 106 / 3600 = 0,0488889 </w:t>
      </w:r>
      <w:r w:rsidRPr="001352AB">
        <w:rPr>
          <w:rFonts w:ascii="Sylfaen" w:hAnsi="Sylfaen" w:cs="Sylfaen"/>
        </w:rPr>
        <w:t>გ</w:t>
      </w:r>
      <w:r w:rsidRPr="001352AB">
        <w:t>/</w:t>
      </w:r>
      <w:r w:rsidRPr="001352AB">
        <w:rPr>
          <w:rFonts w:ascii="Sylfaen" w:hAnsi="Sylfaen" w:cs="Sylfaen"/>
        </w:rPr>
        <w:t>წმ</w:t>
      </w:r>
      <w:r w:rsidRPr="001352AB">
        <w:t>;</w:t>
      </w:r>
    </w:p>
    <w:p w14:paraId="63871AE0" w14:textId="77777777" w:rsidR="00CD64B5" w:rsidRPr="001352AB" w:rsidRDefault="00CD64B5" w:rsidP="00CD64B5">
      <w:pPr>
        <w:spacing w:before="120" w:after="120"/>
      </w:pPr>
      <w:r w:rsidRPr="001352AB">
        <w:t xml:space="preserve">M2908 4,5 </w:t>
      </w:r>
      <w:r w:rsidRPr="001352AB">
        <w:rPr>
          <w:rFonts w:ascii="Sylfaen" w:hAnsi="Sylfaen" w:cs="Sylfaen"/>
        </w:rPr>
        <w:t>მ</w:t>
      </w:r>
      <w:r w:rsidRPr="001352AB">
        <w:t>/</w:t>
      </w:r>
      <w:r w:rsidRPr="001352AB">
        <w:rPr>
          <w:rFonts w:ascii="Sylfaen" w:hAnsi="Sylfaen" w:cs="Sylfaen"/>
        </w:rPr>
        <w:t>წმ</w:t>
      </w:r>
      <w:r w:rsidRPr="001352AB">
        <w:t xml:space="preserve"> = </w:t>
      </w:r>
      <w:r w:rsidRPr="001352AB">
        <w:rPr>
          <w:rFonts w:eastAsiaTheme="minorEastAsia"/>
        </w:rPr>
        <w:t xml:space="preserve">0,04 · 0,02 · 1,2 · 1 · 0,1 · 0,5 · 1 · 0,1 · 0,5 · 88 · 106 / 3600 = 0,0586667 </w:t>
      </w:r>
      <w:r w:rsidRPr="001352AB">
        <w:rPr>
          <w:rFonts w:ascii="Sylfaen" w:hAnsi="Sylfaen" w:cs="Sylfaen"/>
        </w:rPr>
        <w:t>გ</w:t>
      </w:r>
      <w:r w:rsidRPr="001352AB">
        <w:t>/</w:t>
      </w:r>
      <w:r w:rsidRPr="001352AB">
        <w:rPr>
          <w:rFonts w:ascii="Sylfaen" w:hAnsi="Sylfaen" w:cs="Sylfaen"/>
        </w:rPr>
        <w:t>წმ</w:t>
      </w:r>
      <w:r w:rsidRPr="001352AB">
        <w:t>;</w:t>
      </w:r>
    </w:p>
    <w:p w14:paraId="511EDF9C" w14:textId="77777777" w:rsidR="00CD64B5" w:rsidRPr="001352AB" w:rsidRDefault="00CD64B5" w:rsidP="00CD64B5">
      <w:pPr>
        <w:spacing w:before="120" w:after="120"/>
      </w:pPr>
      <w:r w:rsidRPr="001352AB">
        <w:t xml:space="preserve">П2908  = </w:t>
      </w:r>
      <w:r w:rsidRPr="001352AB">
        <w:rPr>
          <w:rFonts w:eastAsiaTheme="minorEastAsia"/>
        </w:rPr>
        <w:t xml:space="preserve">0,04 · 0,02 · 1,2 · 1 · 0,1 · 0,5 · 1 · 0,1 · 0,5 · 350 = 0,00084 </w:t>
      </w:r>
      <w:r w:rsidRPr="001352AB">
        <w:rPr>
          <w:rFonts w:ascii="Sylfaen" w:hAnsi="Sylfaen" w:cs="Sylfaen"/>
        </w:rPr>
        <w:t>ტ</w:t>
      </w:r>
      <w:r w:rsidRPr="001352AB">
        <w:t>/</w:t>
      </w:r>
      <w:r w:rsidRPr="001352AB">
        <w:rPr>
          <w:rFonts w:ascii="Sylfaen" w:hAnsi="Sylfaen" w:cs="Sylfaen"/>
        </w:rPr>
        <w:t>წელ</w:t>
      </w:r>
      <w:r w:rsidRPr="001352AB">
        <w:t>.</w:t>
      </w:r>
    </w:p>
    <w:p w14:paraId="28755484" w14:textId="77777777" w:rsidR="00CD64B5" w:rsidRPr="001352AB" w:rsidRDefault="00CD64B5" w:rsidP="00CD64B5">
      <w:pPr>
        <w:spacing w:before="120" w:after="120"/>
      </w:pPr>
      <w:r w:rsidRPr="001352AB">
        <w:rPr>
          <w:rFonts w:ascii="Sylfaen" w:hAnsi="Sylfaen" w:cs="Sylfaen"/>
        </w:rPr>
        <w:t>შენახვა</w:t>
      </w:r>
    </w:p>
    <w:p w14:paraId="3838148F" w14:textId="77777777" w:rsidR="00CD64B5" w:rsidRPr="001352AB" w:rsidRDefault="00CD64B5" w:rsidP="00CD64B5">
      <w:pPr>
        <w:spacing w:before="120" w:after="120"/>
      </w:pPr>
      <w:r w:rsidRPr="001352AB">
        <w:rPr>
          <w:rFonts w:ascii="Sylfaen" w:hAnsi="Sylfaen" w:cs="Sylfaen"/>
        </w:rPr>
        <w:t>გაანგარიშება</w:t>
      </w:r>
      <w:r w:rsidRPr="001352AB">
        <w:t xml:space="preserve"> </w:t>
      </w:r>
      <w:r w:rsidRPr="001352AB">
        <w:rPr>
          <w:rFonts w:ascii="Sylfaen" w:hAnsi="Sylfaen" w:cs="Sylfaen"/>
        </w:rPr>
        <w:t>შესრულებულია</w:t>
      </w:r>
      <w:r w:rsidRPr="001352AB">
        <w:t xml:space="preserve"> </w:t>
      </w:r>
      <w:r w:rsidRPr="001352AB">
        <w:rPr>
          <w:rFonts w:ascii="Sylfaen" w:hAnsi="Sylfaen" w:cs="Sylfaen"/>
        </w:rPr>
        <w:t>შემდეგი</w:t>
      </w:r>
      <w:r w:rsidRPr="001352AB">
        <w:t xml:space="preserve"> </w:t>
      </w:r>
      <w:r w:rsidRPr="001352AB">
        <w:rPr>
          <w:rFonts w:ascii="Sylfaen" w:hAnsi="Sylfaen" w:cs="Sylfaen"/>
        </w:rPr>
        <w:t>მეთოდური</w:t>
      </w:r>
      <w:r w:rsidRPr="001352AB">
        <w:t xml:space="preserve"> </w:t>
      </w:r>
      <w:r w:rsidRPr="001352AB">
        <w:rPr>
          <w:rFonts w:ascii="Sylfaen" w:hAnsi="Sylfaen" w:cs="Sylfaen"/>
        </w:rPr>
        <w:t>მითითებების</w:t>
      </w:r>
      <w:r w:rsidRPr="001352AB">
        <w:t xml:space="preserve"> </w:t>
      </w:r>
      <w:r w:rsidRPr="001352AB">
        <w:rPr>
          <w:rFonts w:ascii="Sylfaen" w:hAnsi="Sylfaen" w:cs="Sylfaen"/>
        </w:rPr>
        <w:t>თანახმად</w:t>
      </w:r>
      <w:r w:rsidRPr="001352AB">
        <w:t xml:space="preserve"> [8,9]. </w:t>
      </w: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რაოდენობრივი</w:t>
      </w:r>
      <w:r w:rsidRPr="001352AB">
        <w:t xml:space="preserve"> </w:t>
      </w:r>
      <w:r w:rsidRPr="001352AB">
        <w:rPr>
          <w:rFonts w:ascii="Sylfaen" w:hAnsi="Sylfaen" w:cs="Sylfaen"/>
        </w:rPr>
        <w:t>და</w:t>
      </w:r>
      <w:r w:rsidRPr="001352AB">
        <w:t xml:space="preserve"> </w:t>
      </w:r>
      <w:r w:rsidRPr="001352AB">
        <w:rPr>
          <w:rFonts w:ascii="Sylfaen" w:hAnsi="Sylfaen" w:cs="Sylfaen"/>
        </w:rPr>
        <w:t>თვისობრივი</w:t>
      </w:r>
      <w:r w:rsidRPr="001352AB">
        <w:t xml:space="preserve"> </w:t>
      </w:r>
      <w:r w:rsidRPr="001352AB">
        <w:rPr>
          <w:rFonts w:ascii="Sylfaen" w:hAnsi="Sylfaen" w:cs="Sylfaen"/>
        </w:rPr>
        <w:t>მახასიათებლები</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ცხრილში</w:t>
      </w:r>
      <w:r w:rsidRPr="001352AB">
        <w:t xml:space="preserve"> 7.1-10.</w:t>
      </w:r>
    </w:p>
    <w:p w14:paraId="5A798C29" w14:textId="77777777" w:rsidR="00CD64B5" w:rsidRPr="001352AB" w:rsidRDefault="00CD64B5" w:rsidP="00CD64B5">
      <w:pPr>
        <w:spacing w:before="120" w:after="120"/>
        <w:rPr>
          <w:lang w:eastAsia="en-US"/>
        </w:rPr>
      </w:pPr>
      <w:bookmarkStart w:id="263" w:name="_Toc436594171"/>
      <w:r w:rsidRPr="001352AB">
        <w:rPr>
          <w:rFonts w:ascii="Sylfaen" w:hAnsi="Sylfaen" w:cs="Sylfaen"/>
        </w:rPr>
        <w:t>ცხრილი</w:t>
      </w:r>
      <w:r w:rsidRPr="001352AB">
        <w:t xml:space="preserve"> 7.1-10.</w:t>
      </w:r>
      <w:r w:rsidRPr="001352AB">
        <w:tab/>
      </w: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რაოდენობრივი</w:t>
      </w:r>
      <w:r w:rsidRPr="001352AB">
        <w:t xml:space="preserve"> </w:t>
      </w:r>
      <w:r w:rsidRPr="001352AB">
        <w:rPr>
          <w:rFonts w:ascii="Sylfaen" w:hAnsi="Sylfaen" w:cs="Sylfaen"/>
        </w:rPr>
        <w:t>და</w:t>
      </w:r>
      <w:r w:rsidRPr="001352AB">
        <w:t xml:space="preserve"> </w:t>
      </w:r>
      <w:r w:rsidRPr="001352AB">
        <w:rPr>
          <w:rFonts w:ascii="Sylfaen" w:hAnsi="Sylfaen" w:cs="Sylfaen"/>
        </w:rPr>
        <w:t>თვისობრივი</w:t>
      </w:r>
      <w:r w:rsidRPr="001352AB">
        <w:t xml:space="preserve"> </w:t>
      </w:r>
      <w:r w:rsidRPr="001352AB">
        <w:rPr>
          <w:rFonts w:ascii="Sylfaen" w:hAnsi="Sylfaen" w:cs="Sylfaen"/>
        </w:rPr>
        <w:t>მახასიათებლები</w:t>
      </w:r>
      <w:bookmarkEnd w:id="263"/>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91"/>
        <w:gridCol w:w="4747"/>
        <w:gridCol w:w="2374"/>
        <w:gridCol w:w="2371"/>
      </w:tblGrid>
      <w:tr w:rsidR="00CD64B5" w:rsidRPr="001352AB" w14:paraId="5431E975" w14:textId="77777777" w:rsidTr="00CD64B5">
        <w:trPr>
          <w:cantSplit/>
          <w:trHeight w:val="259"/>
          <w:tblHeader/>
          <w:jc w:val="center"/>
        </w:trPr>
        <w:tc>
          <w:tcPr>
            <w:tcW w:w="2715" w:type="pct"/>
            <w:gridSpan w:val="2"/>
            <w:tcBorders>
              <w:top w:val="single" w:sz="8" w:space="0" w:color="auto"/>
              <w:left w:val="single" w:sz="6" w:space="0" w:color="auto"/>
              <w:bottom w:val="single" w:sz="4" w:space="0" w:color="000000"/>
              <w:right w:val="single" w:sz="4" w:space="0" w:color="000000"/>
            </w:tcBorders>
            <w:shd w:val="clear" w:color="auto" w:fill="D9D9D9" w:themeFill="background1" w:themeFillShade="D9"/>
            <w:vAlign w:val="center"/>
            <w:hideMark/>
          </w:tcPr>
          <w:p w14:paraId="0402F569" w14:textId="77777777" w:rsidR="00CD64B5" w:rsidRPr="001352AB" w:rsidRDefault="00CD64B5" w:rsidP="00CD64B5">
            <w:pPr>
              <w:rPr>
                <w:lang w:eastAsia="ru-RU"/>
              </w:rPr>
            </w:pPr>
            <w:r w:rsidRPr="001352AB">
              <w:rPr>
                <w:rFonts w:ascii="Sylfaen" w:hAnsi="Sylfaen" w:cs="Sylfaen"/>
              </w:rPr>
              <w:t>დამაბინძურებელი</w:t>
            </w:r>
            <w:r w:rsidRPr="001352AB">
              <w:t xml:space="preserve"> </w:t>
            </w:r>
            <w:r w:rsidRPr="001352AB">
              <w:rPr>
                <w:rFonts w:ascii="Sylfaen" w:hAnsi="Sylfaen" w:cs="Sylfaen"/>
              </w:rPr>
              <w:t>ნივთიერება</w:t>
            </w:r>
          </w:p>
        </w:tc>
        <w:tc>
          <w:tcPr>
            <w:tcW w:w="1143" w:type="pct"/>
            <w:vMerge w:val="restart"/>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14:paraId="008D81EF" w14:textId="77777777" w:rsidR="00CD64B5" w:rsidRPr="001352AB" w:rsidRDefault="00CD64B5" w:rsidP="00CD64B5">
            <w:r w:rsidRPr="001352AB">
              <w:rPr>
                <w:rFonts w:ascii="Sylfaen" w:hAnsi="Sylfaen" w:cs="Sylfaen"/>
              </w:rPr>
              <w:t>მაქსიმალური</w:t>
            </w:r>
            <w:r w:rsidRPr="001352AB">
              <w:t xml:space="preserve"> </w:t>
            </w:r>
            <w:r w:rsidRPr="001352AB">
              <w:rPr>
                <w:rFonts w:ascii="Sylfaen" w:hAnsi="Sylfaen" w:cs="Sylfaen"/>
              </w:rPr>
              <w:t>ემისია</w:t>
            </w:r>
            <w:r w:rsidRPr="001352AB">
              <w:t xml:space="preserve">, </w:t>
            </w:r>
            <w:r w:rsidRPr="001352AB">
              <w:rPr>
                <w:rFonts w:ascii="Sylfaen" w:hAnsi="Sylfaen" w:cs="Sylfaen"/>
              </w:rPr>
              <w:t>გ</w:t>
            </w:r>
            <w:r w:rsidRPr="001352AB">
              <w:t>/</w:t>
            </w:r>
            <w:r w:rsidRPr="001352AB">
              <w:rPr>
                <w:rFonts w:ascii="Sylfaen" w:hAnsi="Sylfaen" w:cs="Sylfaen"/>
              </w:rPr>
              <w:t>წმ</w:t>
            </w:r>
          </w:p>
        </w:tc>
        <w:tc>
          <w:tcPr>
            <w:tcW w:w="1143" w:type="pct"/>
            <w:vMerge w:val="restart"/>
            <w:tcBorders>
              <w:top w:val="single" w:sz="8" w:space="0" w:color="auto"/>
              <w:left w:val="single" w:sz="4" w:space="0" w:color="000000"/>
              <w:bottom w:val="single" w:sz="8" w:space="0" w:color="auto"/>
              <w:right w:val="single" w:sz="6" w:space="0" w:color="auto"/>
            </w:tcBorders>
            <w:shd w:val="clear" w:color="auto" w:fill="D9D9D9" w:themeFill="background1" w:themeFillShade="D9"/>
            <w:vAlign w:val="center"/>
            <w:hideMark/>
          </w:tcPr>
          <w:p w14:paraId="4FBE578F" w14:textId="77777777" w:rsidR="00CD64B5" w:rsidRPr="001352AB" w:rsidRDefault="00CD64B5" w:rsidP="00CD64B5">
            <w:r w:rsidRPr="001352AB">
              <w:rPr>
                <w:rFonts w:ascii="Sylfaen" w:hAnsi="Sylfaen" w:cs="Sylfaen"/>
              </w:rPr>
              <w:t>წლიური</w:t>
            </w:r>
            <w:r w:rsidRPr="001352AB">
              <w:t xml:space="preserve"> </w:t>
            </w:r>
            <w:r w:rsidRPr="001352AB">
              <w:rPr>
                <w:rFonts w:ascii="Sylfaen" w:hAnsi="Sylfaen" w:cs="Sylfaen"/>
              </w:rPr>
              <w:t>ემისია</w:t>
            </w:r>
            <w:r w:rsidRPr="001352AB">
              <w:t xml:space="preserve">, </w:t>
            </w:r>
            <w:r w:rsidRPr="001352AB">
              <w:rPr>
                <w:rFonts w:ascii="Sylfaen" w:hAnsi="Sylfaen" w:cs="Sylfaen"/>
              </w:rPr>
              <w:t>ტ</w:t>
            </w:r>
            <w:r w:rsidRPr="001352AB">
              <w:t>/</w:t>
            </w:r>
            <w:r w:rsidRPr="001352AB">
              <w:rPr>
                <w:rFonts w:ascii="Sylfaen" w:hAnsi="Sylfaen" w:cs="Sylfaen"/>
              </w:rPr>
              <w:t>წელ</w:t>
            </w:r>
          </w:p>
        </w:tc>
      </w:tr>
      <w:tr w:rsidR="00CD64B5" w:rsidRPr="001352AB" w14:paraId="03113C25" w14:textId="77777777" w:rsidTr="00CD64B5">
        <w:trPr>
          <w:cantSplit/>
          <w:trHeight w:val="245"/>
          <w:tblHeader/>
          <w:jc w:val="center"/>
        </w:trPr>
        <w:tc>
          <w:tcPr>
            <w:tcW w:w="429" w:type="pct"/>
            <w:tcBorders>
              <w:top w:val="single" w:sz="4" w:space="0" w:color="000000"/>
              <w:left w:val="single" w:sz="6" w:space="0" w:color="auto"/>
              <w:bottom w:val="single" w:sz="8" w:space="0" w:color="auto"/>
              <w:right w:val="single" w:sz="4" w:space="0" w:color="000000"/>
            </w:tcBorders>
            <w:shd w:val="clear" w:color="auto" w:fill="D9D9D9" w:themeFill="background1" w:themeFillShade="D9"/>
            <w:vAlign w:val="center"/>
            <w:hideMark/>
          </w:tcPr>
          <w:p w14:paraId="19D61103" w14:textId="77777777" w:rsidR="00CD64B5" w:rsidRPr="001352AB" w:rsidRDefault="00CD64B5" w:rsidP="00CD64B5">
            <w:r w:rsidRPr="001352AB">
              <w:rPr>
                <w:rFonts w:ascii="Sylfaen" w:hAnsi="Sylfaen" w:cs="Sylfaen"/>
              </w:rPr>
              <w:t>კოდი</w:t>
            </w:r>
          </w:p>
        </w:tc>
        <w:tc>
          <w:tcPr>
            <w:tcW w:w="2286" w:type="pc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14:paraId="44575BF5" w14:textId="77777777" w:rsidR="00CD64B5" w:rsidRPr="001352AB" w:rsidRDefault="00CD64B5" w:rsidP="00CD64B5">
            <w:r w:rsidRPr="001352AB">
              <w:rPr>
                <w:rFonts w:ascii="Sylfaen" w:hAnsi="Sylfaen" w:cs="Sylfaen"/>
              </w:rPr>
              <w:t>დასახელება</w:t>
            </w:r>
          </w:p>
        </w:tc>
        <w:tc>
          <w:tcPr>
            <w:tcW w:w="0" w:type="auto"/>
            <w:vMerge/>
            <w:tcBorders>
              <w:top w:val="single" w:sz="8" w:space="0" w:color="auto"/>
              <w:left w:val="single" w:sz="4" w:space="0" w:color="000000"/>
              <w:bottom w:val="single" w:sz="8" w:space="0" w:color="auto"/>
              <w:right w:val="single" w:sz="4" w:space="0" w:color="000000"/>
            </w:tcBorders>
            <w:vAlign w:val="center"/>
            <w:hideMark/>
          </w:tcPr>
          <w:p w14:paraId="666FA4DC" w14:textId="77777777" w:rsidR="00CD64B5" w:rsidRPr="001352AB" w:rsidRDefault="00CD64B5" w:rsidP="00CD64B5">
            <w:pPr>
              <w:rPr>
                <w:rFonts w:eastAsiaTheme="minorHAnsi"/>
              </w:rPr>
            </w:pPr>
          </w:p>
        </w:tc>
        <w:tc>
          <w:tcPr>
            <w:tcW w:w="0" w:type="auto"/>
            <w:vMerge/>
            <w:tcBorders>
              <w:top w:val="single" w:sz="8" w:space="0" w:color="auto"/>
              <w:left w:val="single" w:sz="4" w:space="0" w:color="000000"/>
              <w:bottom w:val="single" w:sz="8" w:space="0" w:color="auto"/>
              <w:right w:val="single" w:sz="6" w:space="0" w:color="auto"/>
            </w:tcBorders>
            <w:vAlign w:val="center"/>
            <w:hideMark/>
          </w:tcPr>
          <w:p w14:paraId="64148A79" w14:textId="77777777" w:rsidR="00CD64B5" w:rsidRPr="001352AB" w:rsidRDefault="00CD64B5" w:rsidP="00CD64B5">
            <w:pPr>
              <w:rPr>
                <w:rFonts w:eastAsiaTheme="minorHAnsi"/>
              </w:rPr>
            </w:pPr>
          </w:p>
        </w:tc>
      </w:tr>
      <w:tr w:rsidR="00CD64B5" w:rsidRPr="001352AB" w14:paraId="1AF73069" w14:textId="77777777" w:rsidTr="00CD64B5">
        <w:trPr>
          <w:trHeight w:val="518"/>
          <w:jc w:val="center"/>
        </w:trPr>
        <w:tc>
          <w:tcPr>
            <w:tcW w:w="429" w:type="pct"/>
            <w:tcBorders>
              <w:top w:val="single" w:sz="4" w:space="0" w:color="000000"/>
              <w:left w:val="single" w:sz="6" w:space="0" w:color="auto"/>
              <w:bottom w:val="single" w:sz="8" w:space="0" w:color="auto"/>
              <w:right w:val="single" w:sz="4" w:space="0" w:color="000000"/>
            </w:tcBorders>
            <w:hideMark/>
          </w:tcPr>
          <w:p w14:paraId="473D1867" w14:textId="77777777" w:rsidR="00CD64B5" w:rsidRPr="001352AB" w:rsidRDefault="00CD64B5" w:rsidP="00CD64B5">
            <w:r w:rsidRPr="001352AB">
              <w:t>2908</w:t>
            </w:r>
          </w:p>
        </w:tc>
        <w:tc>
          <w:tcPr>
            <w:tcW w:w="2286" w:type="pct"/>
            <w:tcBorders>
              <w:top w:val="single" w:sz="4" w:space="0" w:color="000000"/>
              <w:left w:val="single" w:sz="4" w:space="0" w:color="000000"/>
              <w:bottom w:val="single" w:sz="8" w:space="0" w:color="auto"/>
              <w:right w:val="single" w:sz="4" w:space="0" w:color="000000"/>
            </w:tcBorders>
            <w:hideMark/>
          </w:tcPr>
          <w:p w14:paraId="0DDE13C5" w14:textId="77777777" w:rsidR="00CD64B5" w:rsidRPr="001352AB" w:rsidRDefault="00CD64B5" w:rsidP="00CD64B5">
            <w:r w:rsidRPr="001352AB">
              <w:rPr>
                <w:rFonts w:ascii="Sylfaen" w:hAnsi="Sylfaen" w:cs="Sylfaen"/>
              </w:rPr>
              <w:t>არაორგანული</w:t>
            </w:r>
            <w:r w:rsidRPr="001352AB">
              <w:t xml:space="preserve"> </w:t>
            </w:r>
            <w:r w:rsidRPr="001352AB">
              <w:rPr>
                <w:rFonts w:ascii="Sylfaen" w:hAnsi="Sylfaen" w:cs="Sylfaen"/>
              </w:rPr>
              <w:t>მტვერი</w:t>
            </w:r>
            <w:r w:rsidRPr="001352AB">
              <w:t xml:space="preserve"> </w:t>
            </w:r>
            <w:r w:rsidRPr="001352AB">
              <w:rPr>
                <w:rFonts w:ascii="Sylfaen" w:hAnsi="Sylfaen" w:cs="Sylfaen"/>
              </w:rPr>
              <w:t>სილიციუმის</w:t>
            </w:r>
            <w:r w:rsidRPr="001352AB">
              <w:t xml:space="preserve"> </w:t>
            </w:r>
            <w:r w:rsidRPr="001352AB">
              <w:rPr>
                <w:rFonts w:ascii="Sylfaen" w:hAnsi="Sylfaen" w:cs="Sylfaen"/>
              </w:rPr>
              <w:t>ორჟანგის</w:t>
            </w:r>
            <w:r w:rsidRPr="001352AB">
              <w:t xml:space="preserve"> </w:t>
            </w:r>
            <w:r w:rsidRPr="001352AB">
              <w:rPr>
                <w:rFonts w:ascii="Sylfaen" w:hAnsi="Sylfaen" w:cs="Sylfaen"/>
              </w:rPr>
              <w:t>შემცველობით</w:t>
            </w:r>
            <w:r w:rsidRPr="001352AB">
              <w:t xml:space="preserve"> 70-20% </w:t>
            </w:r>
          </w:p>
        </w:tc>
        <w:tc>
          <w:tcPr>
            <w:tcW w:w="1143" w:type="pct"/>
            <w:tcBorders>
              <w:top w:val="single" w:sz="4" w:space="0" w:color="000000"/>
              <w:left w:val="single" w:sz="4" w:space="0" w:color="000000"/>
              <w:bottom w:val="single" w:sz="8" w:space="0" w:color="auto"/>
              <w:right w:val="single" w:sz="4" w:space="0" w:color="000000"/>
            </w:tcBorders>
            <w:vAlign w:val="center"/>
            <w:hideMark/>
          </w:tcPr>
          <w:p w14:paraId="1BA929B6" w14:textId="77777777" w:rsidR="00CD64B5" w:rsidRPr="001352AB" w:rsidRDefault="00CD64B5" w:rsidP="00CD64B5">
            <w:pPr>
              <w:rPr>
                <w:lang w:eastAsia="en-US"/>
              </w:rPr>
            </w:pPr>
            <w:r w:rsidRPr="001352AB">
              <w:rPr>
                <w:rFonts w:eastAsiaTheme="minorEastAsia"/>
              </w:rPr>
              <w:t>0,0055915</w:t>
            </w:r>
          </w:p>
        </w:tc>
        <w:tc>
          <w:tcPr>
            <w:tcW w:w="1143" w:type="pct"/>
            <w:tcBorders>
              <w:top w:val="single" w:sz="4" w:space="0" w:color="000000"/>
              <w:left w:val="single" w:sz="4" w:space="0" w:color="000000"/>
              <w:bottom w:val="single" w:sz="8" w:space="0" w:color="auto"/>
              <w:right w:val="single" w:sz="6" w:space="0" w:color="auto"/>
            </w:tcBorders>
            <w:vAlign w:val="center"/>
            <w:hideMark/>
          </w:tcPr>
          <w:p w14:paraId="43B1E6FC" w14:textId="77777777" w:rsidR="00CD64B5" w:rsidRPr="001352AB" w:rsidRDefault="00CD64B5" w:rsidP="00CD64B5">
            <w:r w:rsidRPr="001352AB">
              <w:rPr>
                <w:rFonts w:eastAsiaTheme="minorEastAsia"/>
              </w:rPr>
              <w:t>0,0911493</w:t>
            </w:r>
          </w:p>
        </w:tc>
      </w:tr>
    </w:tbl>
    <w:p w14:paraId="1808DDFA" w14:textId="77777777" w:rsidR="00CD64B5" w:rsidRPr="001352AB" w:rsidRDefault="00CD64B5" w:rsidP="00CD64B5">
      <w:pPr>
        <w:rPr>
          <w:rFonts w:eastAsiaTheme="minorEastAsia"/>
          <w:lang w:val="ka-GE" w:eastAsia="ru-RU"/>
        </w:rPr>
      </w:pPr>
    </w:p>
    <w:p w14:paraId="27386B48" w14:textId="77777777" w:rsidR="00CD64B5" w:rsidRPr="001352AB" w:rsidRDefault="00CD64B5" w:rsidP="00CD64B5">
      <w:pPr>
        <w:spacing w:before="120" w:after="120"/>
        <w:rPr>
          <w:rFonts w:eastAsiaTheme="minorEastAsia"/>
        </w:rPr>
      </w:pPr>
      <w:r w:rsidRPr="001352AB">
        <w:rPr>
          <w:rFonts w:ascii="Sylfaen" w:hAnsi="Sylfaen" w:cs="Sylfaen"/>
        </w:rPr>
        <w:t>მტვრის</w:t>
      </w:r>
      <w:r w:rsidRPr="001352AB">
        <w:t xml:space="preserve"> </w:t>
      </w:r>
      <w:r w:rsidRPr="001352AB">
        <w:rPr>
          <w:rFonts w:ascii="Sylfaen" w:hAnsi="Sylfaen" w:cs="Sylfaen"/>
        </w:rPr>
        <w:t>მაქსიმალური</w:t>
      </w:r>
      <w:r w:rsidRPr="001352AB">
        <w:t xml:space="preserve"> </w:t>
      </w:r>
      <w:r w:rsidRPr="001352AB">
        <w:rPr>
          <w:rFonts w:ascii="Sylfaen" w:hAnsi="Sylfaen" w:cs="Sylfaen"/>
        </w:rPr>
        <w:t>ერთჯერადი</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გაანგარიშება</w:t>
      </w:r>
      <w:r w:rsidRPr="001352AB">
        <w:t xml:space="preserve"> </w:t>
      </w:r>
      <w:r w:rsidRPr="001352AB">
        <w:rPr>
          <w:rFonts w:ascii="Sylfaen" w:hAnsi="Sylfaen" w:cs="Sylfaen"/>
        </w:rPr>
        <w:t>ფხვიერი</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შენახვისას</w:t>
      </w:r>
      <w:r w:rsidRPr="001352AB">
        <w:t xml:space="preserve"> </w:t>
      </w:r>
      <w:r w:rsidRPr="001352AB">
        <w:rPr>
          <w:rFonts w:ascii="Sylfaen" w:hAnsi="Sylfaen" w:cs="Sylfaen"/>
        </w:rPr>
        <w:t>ხორციელდება</w:t>
      </w:r>
      <w:r w:rsidRPr="001352AB">
        <w:t xml:space="preserve"> </w:t>
      </w:r>
      <w:r w:rsidRPr="001352AB">
        <w:rPr>
          <w:rFonts w:ascii="Sylfaen" w:hAnsi="Sylfaen" w:cs="Sylfaen"/>
        </w:rPr>
        <w:t>ფორმულით</w:t>
      </w:r>
      <w:r w:rsidRPr="001352AB">
        <w:t xml:space="preserve">: </w:t>
      </w:r>
    </w:p>
    <w:p w14:paraId="3A786A1F" w14:textId="77777777" w:rsidR="00CD64B5" w:rsidRPr="001352AB" w:rsidRDefault="00CD64B5" w:rsidP="00CD64B5">
      <w:pPr>
        <w:spacing w:before="120" w:after="120"/>
      </w:pPr>
      <w:r w:rsidRPr="001352AB">
        <w:t xml:space="preserve">МХР = K4 · K5 · K6 · K7 · q · Fраб + K4 · K5 · K6 · K7 · 0,11 · q · (Fпл - Fраб) · (1 - η), </w:t>
      </w:r>
      <w:r w:rsidRPr="001352AB">
        <w:rPr>
          <w:rFonts w:ascii="Sylfaen" w:hAnsi="Sylfaen" w:cs="Sylfaen"/>
        </w:rPr>
        <w:t>გ</w:t>
      </w:r>
      <w:r w:rsidRPr="001352AB">
        <w:t>/</w:t>
      </w:r>
      <w:r w:rsidRPr="001352AB">
        <w:rPr>
          <w:rFonts w:ascii="Sylfaen" w:hAnsi="Sylfaen" w:cs="Sylfaen"/>
        </w:rPr>
        <w:t>წმ</w:t>
      </w:r>
    </w:p>
    <w:p w14:paraId="388BED3F" w14:textId="77777777" w:rsidR="00CD64B5" w:rsidRPr="001352AB" w:rsidRDefault="00CD64B5" w:rsidP="00CD64B5">
      <w:pPr>
        <w:spacing w:before="120" w:after="120"/>
      </w:pPr>
      <w:r w:rsidRPr="001352AB">
        <w:rPr>
          <w:rFonts w:ascii="Sylfaen" w:hAnsi="Sylfaen" w:cs="Sylfaen"/>
        </w:rPr>
        <w:t>სადაც</w:t>
      </w:r>
      <w:r w:rsidRPr="001352AB">
        <w:t>,</w:t>
      </w:r>
    </w:p>
    <w:p w14:paraId="6B195663" w14:textId="77777777" w:rsidR="00CD64B5" w:rsidRPr="001352AB" w:rsidRDefault="00CD64B5" w:rsidP="00CD64B5">
      <w:pPr>
        <w:spacing w:before="120" w:after="120"/>
      </w:pPr>
      <w:r w:rsidRPr="001352AB">
        <w:t xml:space="preserve">K4 - </w:t>
      </w:r>
      <w:r w:rsidRPr="001352AB">
        <w:rPr>
          <w:rFonts w:ascii="Sylfaen" w:hAnsi="Sylfaen" w:cs="Sylfaen"/>
        </w:rPr>
        <w:t>კოეფიციენტი</w:t>
      </w:r>
      <w:r w:rsidRPr="001352AB">
        <w:t xml:space="preserve">, </w:t>
      </w:r>
      <w:r w:rsidRPr="001352AB">
        <w:rPr>
          <w:rFonts w:ascii="Sylfaen" w:hAnsi="Sylfaen" w:cs="Sylfaen"/>
        </w:rPr>
        <w:t>რომელიც</w:t>
      </w:r>
      <w:r w:rsidRPr="001352AB">
        <w:t xml:space="preserve"> </w:t>
      </w:r>
      <w:r w:rsidRPr="001352AB">
        <w:rPr>
          <w:rFonts w:ascii="Sylfaen" w:hAnsi="Sylfaen" w:cs="Sylfaen"/>
        </w:rPr>
        <w:t>ითვალისწინებს</w:t>
      </w:r>
      <w:r w:rsidRPr="001352AB">
        <w:t xml:space="preserve"> </w:t>
      </w:r>
      <w:r w:rsidRPr="001352AB">
        <w:rPr>
          <w:rFonts w:ascii="Sylfaen" w:hAnsi="Sylfaen" w:cs="Sylfaen"/>
        </w:rPr>
        <w:t>ადგილობრივ</w:t>
      </w:r>
      <w:r w:rsidRPr="001352AB">
        <w:t xml:space="preserve"> </w:t>
      </w:r>
      <w:r w:rsidRPr="001352AB">
        <w:rPr>
          <w:rFonts w:ascii="Sylfaen" w:hAnsi="Sylfaen" w:cs="Sylfaen"/>
        </w:rPr>
        <w:t>პირობებს</w:t>
      </w:r>
      <w:r w:rsidRPr="001352AB">
        <w:t xml:space="preserve">, </w:t>
      </w:r>
      <w:r w:rsidRPr="001352AB">
        <w:rPr>
          <w:rFonts w:ascii="Sylfaen" w:hAnsi="Sylfaen" w:cs="Sylfaen"/>
        </w:rPr>
        <w:t>კვანძის</w:t>
      </w:r>
      <w:r w:rsidRPr="001352AB">
        <w:t xml:space="preserve"> </w:t>
      </w:r>
      <w:r w:rsidRPr="001352AB">
        <w:rPr>
          <w:rFonts w:ascii="Sylfaen" w:hAnsi="Sylfaen" w:cs="Sylfaen"/>
        </w:rPr>
        <w:t>დაცულობის</w:t>
      </w:r>
      <w:r w:rsidRPr="001352AB">
        <w:t xml:space="preserve"> </w:t>
      </w:r>
      <w:r w:rsidRPr="001352AB">
        <w:rPr>
          <w:rFonts w:ascii="Sylfaen" w:hAnsi="Sylfaen" w:cs="Sylfaen"/>
        </w:rPr>
        <w:t>ხარისხს</w:t>
      </w:r>
      <w:r w:rsidRPr="001352AB">
        <w:t xml:space="preserve"> </w:t>
      </w:r>
      <w:r w:rsidRPr="001352AB">
        <w:rPr>
          <w:rFonts w:ascii="Sylfaen" w:hAnsi="Sylfaen" w:cs="Sylfaen"/>
        </w:rPr>
        <w:t>გარეშე</w:t>
      </w:r>
      <w:r w:rsidRPr="001352AB">
        <w:t xml:space="preserve"> </w:t>
      </w:r>
      <w:r w:rsidRPr="001352AB">
        <w:rPr>
          <w:rFonts w:ascii="Sylfaen" w:hAnsi="Sylfaen" w:cs="Sylfaen"/>
        </w:rPr>
        <w:t>ზემოქმედებისაგან</w:t>
      </w:r>
      <w:r w:rsidRPr="001352AB">
        <w:t xml:space="preserve">, </w:t>
      </w:r>
      <w:r w:rsidRPr="001352AB">
        <w:rPr>
          <w:rFonts w:ascii="Sylfaen" w:hAnsi="Sylfaen" w:cs="Sylfaen"/>
        </w:rPr>
        <w:t>ამტვერების</w:t>
      </w:r>
      <w:r w:rsidRPr="001352AB">
        <w:t xml:space="preserve"> </w:t>
      </w:r>
      <w:r w:rsidRPr="001352AB">
        <w:rPr>
          <w:rFonts w:ascii="Sylfaen" w:hAnsi="Sylfaen" w:cs="Sylfaen"/>
        </w:rPr>
        <w:t>პირობებს</w:t>
      </w:r>
      <w:r w:rsidRPr="001352AB">
        <w:t xml:space="preserve">; </w:t>
      </w:r>
    </w:p>
    <w:p w14:paraId="4613FF43" w14:textId="77777777" w:rsidR="00CD64B5" w:rsidRPr="001352AB" w:rsidRDefault="00CD64B5" w:rsidP="00CD64B5">
      <w:pPr>
        <w:spacing w:before="120" w:after="120"/>
      </w:pPr>
      <w:r w:rsidRPr="001352AB">
        <w:t xml:space="preserve">K5 - </w:t>
      </w:r>
      <w:r w:rsidRPr="001352AB">
        <w:rPr>
          <w:rFonts w:ascii="Sylfaen" w:hAnsi="Sylfaen" w:cs="Sylfaen"/>
        </w:rPr>
        <w:t>კოეფიციენტი</w:t>
      </w:r>
      <w:r w:rsidRPr="001352AB">
        <w:t xml:space="preserve">, </w:t>
      </w:r>
      <w:r w:rsidRPr="001352AB">
        <w:rPr>
          <w:rFonts w:ascii="Sylfaen" w:hAnsi="Sylfaen" w:cs="Sylfaen"/>
        </w:rPr>
        <w:t>რომელიც</w:t>
      </w:r>
      <w:r w:rsidRPr="001352AB">
        <w:t xml:space="preserve"> </w:t>
      </w:r>
      <w:r w:rsidRPr="001352AB">
        <w:rPr>
          <w:rFonts w:ascii="Sylfaen" w:hAnsi="Sylfaen" w:cs="Sylfaen"/>
        </w:rPr>
        <w:t>ითვალისწინებს</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ტენიანობას</w:t>
      </w:r>
      <w:r w:rsidRPr="001352AB">
        <w:t xml:space="preserve">; </w:t>
      </w:r>
    </w:p>
    <w:p w14:paraId="08348B61" w14:textId="77777777" w:rsidR="00CD64B5" w:rsidRPr="001352AB" w:rsidRDefault="00CD64B5" w:rsidP="00CD64B5">
      <w:pPr>
        <w:spacing w:before="120" w:after="120"/>
      </w:pPr>
      <w:r w:rsidRPr="001352AB">
        <w:t xml:space="preserve">K6 - </w:t>
      </w:r>
      <w:r w:rsidRPr="001352AB">
        <w:rPr>
          <w:rFonts w:ascii="Sylfaen" w:hAnsi="Sylfaen" w:cs="Sylfaen"/>
        </w:rPr>
        <w:t>კოეფიციენტი</w:t>
      </w:r>
      <w:r w:rsidRPr="001352AB">
        <w:t xml:space="preserve">, </w:t>
      </w:r>
      <w:r w:rsidRPr="001352AB">
        <w:rPr>
          <w:rFonts w:ascii="Sylfaen" w:hAnsi="Sylfaen" w:cs="Sylfaen"/>
        </w:rPr>
        <w:t>რომელიც</w:t>
      </w:r>
      <w:r w:rsidRPr="001352AB">
        <w:t xml:space="preserve"> </w:t>
      </w:r>
      <w:r w:rsidRPr="001352AB">
        <w:rPr>
          <w:rFonts w:ascii="Sylfaen" w:hAnsi="Sylfaen" w:cs="Sylfaen"/>
        </w:rPr>
        <w:t>ითვალისწინებს</w:t>
      </w:r>
      <w:r w:rsidRPr="001352AB">
        <w:t xml:space="preserve"> </w:t>
      </w:r>
      <w:r w:rsidRPr="001352AB">
        <w:rPr>
          <w:rFonts w:ascii="Sylfaen" w:hAnsi="Sylfaen" w:cs="Sylfaen"/>
        </w:rPr>
        <w:t>დასასაწყობებელი</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ზედაპირის</w:t>
      </w:r>
      <w:r w:rsidRPr="001352AB">
        <w:t xml:space="preserve"> </w:t>
      </w:r>
      <w:r w:rsidRPr="001352AB">
        <w:rPr>
          <w:rFonts w:ascii="Sylfaen" w:hAnsi="Sylfaen" w:cs="Sylfaen"/>
        </w:rPr>
        <w:t>პროფილს</w:t>
      </w:r>
      <w:r w:rsidRPr="001352AB">
        <w:t xml:space="preserve">; </w:t>
      </w:r>
    </w:p>
    <w:p w14:paraId="62D3BA24" w14:textId="77777777" w:rsidR="00CD64B5" w:rsidRPr="001352AB" w:rsidRDefault="00CD64B5" w:rsidP="00CD64B5">
      <w:pPr>
        <w:spacing w:before="120" w:after="120"/>
      </w:pPr>
      <w:r w:rsidRPr="001352AB">
        <w:t>K7 -</w:t>
      </w:r>
      <w:r w:rsidRPr="001352AB">
        <w:rPr>
          <w:rFonts w:ascii="Sylfaen" w:hAnsi="Sylfaen" w:cs="Sylfaen"/>
        </w:rPr>
        <w:t>კოეფიციენტი</w:t>
      </w:r>
      <w:r w:rsidRPr="001352AB">
        <w:t xml:space="preserve">, </w:t>
      </w:r>
      <w:r w:rsidRPr="001352AB">
        <w:rPr>
          <w:rFonts w:ascii="Sylfaen" w:hAnsi="Sylfaen" w:cs="Sylfaen"/>
        </w:rPr>
        <w:t>რომელიც</w:t>
      </w:r>
      <w:r w:rsidRPr="001352AB">
        <w:t xml:space="preserve"> </w:t>
      </w:r>
      <w:r w:rsidRPr="001352AB">
        <w:rPr>
          <w:rFonts w:ascii="Sylfaen" w:hAnsi="Sylfaen" w:cs="Sylfaen"/>
        </w:rPr>
        <w:t>ითვალისწინებს</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ზომებს</w:t>
      </w:r>
      <w:r w:rsidRPr="001352AB">
        <w:t xml:space="preserve">; </w:t>
      </w:r>
    </w:p>
    <w:p w14:paraId="6F98CFDE" w14:textId="77777777" w:rsidR="00CD64B5" w:rsidRPr="001352AB" w:rsidRDefault="00CD64B5" w:rsidP="00CD64B5">
      <w:pPr>
        <w:spacing w:before="120" w:after="120"/>
      </w:pPr>
      <w:r w:rsidRPr="001352AB">
        <w:t xml:space="preserve">Fраб - </w:t>
      </w:r>
      <w:r w:rsidRPr="001352AB">
        <w:rPr>
          <w:rFonts w:ascii="Sylfaen" w:hAnsi="Sylfaen" w:cs="Sylfaen"/>
        </w:rPr>
        <w:t>ფართი</w:t>
      </w:r>
      <w:r w:rsidRPr="001352AB">
        <w:t xml:space="preserve"> </w:t>
      </w:r>
      <w:r w:rsidRPr="001352AB">
        <w:rPr>
          <w:rFonts w:ascii="Sylfaen" w:hAnsi="Sylfaen" w:cs="Sylfaen"/>
        </w:rPr>
        <w:t>გეგმაზე</w:t>
      </w:r>
      <w:r w:rsidRPr="001352AB">
        <w:t xml:space="preserve">, </w:t>
      </w:r>
      <w:r w:rsidRPr="001352AB">
        <w:rPr>
          <w:rFonts w:ascii="Sylfaen" w:hAnsi="Sylfaen" w:cs="Sylfaen"/>
        </w:rPr>
        <w:t>რომელზედაც</w:t>
      </w:r>
      <w:r w:rsidRPr="001352AB">
        <w:t xml:space="preserve"> </w:t>
      </w:r>
      <w:r w:rsidRPr="001352AB">
        <w:rPr>
          <w:rFonts w:ascii="Sylfaen" w:hAnsi="Sylfaen" w:cs="Sylfaen"/>
        </w:rPr>
        <w:t>სისტემატიურად</w:t>
      </w:r>
      <w:r w:rsidRPr="001352AB">
        <w:t xml:space="preserve"> </w:t>
      </w:r>
      <w:r w:rsidRPr="001352AB">
        <w:rPr>
          <w:rFonts w:ascii="Sylfaen" w:hAnsi="Sylfaen" w:cs="Sylfaen"/>
        </w:rPr>
        <w:t>მიმდინარეობს</w:t>
      </w:r>
      <w:r w:rsidRPr="001352AB">
        <w:t xml:space="preserve"> </w:t>
      </w:r>
      <w:r w:rsidRPr="001352AB">
        <w:rPr>
          <w:rFonts w:ascii="Sylfaen" w:hAnsi="Sylfaen" w:cs="Sylfaen"/>
        </w:rPr>
        <w:t>დასაწყობების</w:t>
      </w:r>
      <w:r w:rsidRPr="001352AB">
        <w:t xml:space="preserve"> </w:t>
      </w:r>
      <w:r w:rsidRPr="001352AB">
        <w:rPr>
          <w:rFonts w:ascii="Sylfaen" w:hAnsi="Sylfaen" w:cs="Sylfaen"/>
        </w:rPr>
        <w:t>სამუშაოები</w:t>
      </w:r>
      <w:r w:rsidRPr="001352AB">
        <w:t xml:space="preserve">, </w:t>
      </w:r>
      <w:r w:rsidRPr="001352AB">
        <w:rPr>
          <w:rFonts w:ascii="Sylfaen" w:hAnsi="Sylfaen" w:cs="Sylfaen"/>
        </w:rPr>
        <w:t>მ</w:t>
      </w:r>
      <w:r w:rsidRPr="001352AB">
        <w:t xml:space="preserve">2 </w:t>
      </w:r>
    </w:p>
    <w:p w14:paraId="546B5ADA" w14:textId="77777777" w:rsidR="00CD64B5" w:rsidRPr="001352AB" w:rsidRDefault="00CD64B5" w:rsidP="00CD64B5">
      <w:pPr>
        <w:spacing w:before="120" w:after="120"/>
      </w:pPr>
      <w:r w:rsidRPr="001352AB">
        <w:t xml:space="preserve">Fпл - </w:t>
      </w:r>
      <w:r w:rsidRPr="001352AB">
        <w:rPr>
          <w:rFonts w:ascii="Sylfaen" w:hAnsi="Sylfaen" w:cs="Sylfaen"/>
        </w:rPr>
        <w:t>ამტვერების</w:t>
      </w:r>
      <w:r w:rsidRPr="001352AB">
        <w:t xml:space="preserve"> </w:t>
      </w:r>
      <w:r w:rsidRPr="001352AB">
        <w:rPr>
          <w:rFonts w:ascii="Sylfaen" w:hAnsi="Sylfaen" w:cs="Sylfaen"/>
        </w:rPr>
        <w:t>ზედაპირის</w:t>
      </w:r>
      <w:r w:rsidRPr="001352AB">
        <w:t xml:space="preserve"> </w:t>
      </w:r>
      <w:r w:rsidRPr="001352AB">
        <w:rPr>
          <w:rFonts w:ascii="Sylfaen" w:hAnsi="Sylfaen" w:cs="Sylfaen"/>
        </w:rPr>
        <w:t>ფართი</w:t>
      </w:r>
      <w:r w:rsidRPr="001352AB">
        <w:t xml:space="preserve"> </w:t>
      </w:r>
      <w:r w:rsidRPr="001352AB">
        <w:rPr>
          <w:rFonts w:ascii="Sylfaen" w:hAnsi="Sylfaen" w:cs="Sylfaen"/>
        </w:rPr>
        <w:t>გეგმაზე</w:t>
      </w:r>
      <w:r w:rsidRPr="001352AB">
        <w:t xml:space="preserve">, </w:t>
      </w:r>
      <w:r w:rsidRPr="001352AB">
        <w:rPr>
          <w:rFonts w:ascii="Sylfaen" w:hAnsi="Sylfaen" w:cs="Sylfaen"/>
        </w:rPr>
        <w:t>მ</w:t>
      </w:r>
      <w:r w:rsidRPr="001352AB">
        <w:t>2;</w:t>
      </w:r>
    </w:p>
    <w:p w14:paraId="358949EB" w14:textId="77777777" w:rsidR="00CD64B5" w:rsidRPr="001352AB" w:rsidRDefault="00CD64B5" w:rsidP="00CD64B5">
      <w:pPr>
        <w:spacing w:before="120" w:after="120"/>
      </w:pPr>
      <w:r w:rsidRPr="001352AB">
        <w:t xml:space="preserve">q - </w:t>
      </w:r>
      <w:r w:rsidRPr="001352AB">
        <w:rPr>
          <w:rFonts w:ascii="Sylfaen" w:hAnsi="Sylfaen" w:cs="Sylfaen"/>
        </w:rPr>
        <w:t>მტვრის</w:t>
      </w:r>
      <w:r w:rsidRPr="001352AB">
        <w:t xml:space="preserve"> </w:t>
      </w:r>
      <w:r w:rsidRPr="001352AB">
        <w:rPr>
          <w:rFonts w:ascii="Sylfaen" w:hAnsi="Sylfaen" w:cs="Sylfaen"/>
        </w:rPr>
        <w:t>კუთრი</w:t>
      </w:r>
      <w:r w:rsidRPr="001352AB">
        <w:t xml:space="preserve"> </w:t>
      </w:r>
      <w:r w:rsidRPr="001352AB">
        <w:rPr>
          <w:rFonts w:ascii="Sylfaen" w:hAnsi="Sylfaen" w:cs="Sylfaen"/>
        </w:rPr>
        <w:t>ამტვერების</w:t>
      </w:r>
      <w:r w:rsidRPr="001352AB">
        <w:t xml:space="preserve"> </w:t>
      </w:r>
      <w:r w:rsidRPr="001352AB">
        <w:rPr>
          <w:rFonts w:ascii="Sylfaen" w:hAnsi="Sylfaen" w:cs="Sylfaen"/>
        </w:rPr>
        <w:t>მაქსიმალური</w:t>
      </w:r>
      <w:r w:rsidRPr="001352AB">
        <w:t xml:space="preserve"> </w:t>
      </w:r>
      <w:r w:rsidRPr="001352AB">
        <w:rPr>
          <w:rFonts w:ascii="Sylfaen" w:hAnsi="Sylfaen" w:cs="Sylfaen"/>
        </w:rPr>
        <w:t>სიდიდე</w:t>
      </w:r>
      <w:r w:rsidRPr="001352AB">
        <w:t xml:space="preserve">, </w:t>
      </w:r>
      <w:r w:rsidRPr="001352AB">
        <w:rPr>
          <w:rFonts w:ascii="Sylfaen" w:hAnsi="Sylfaen" w:cs="Sylfaen"/>
        </w:rPr>
        <w:t>გ</w:t>
      </w:r>
      <w:r w:rsidRPr="001352AB">
        <w:t>/(</w:t>
      </w:r>
      <w:r w:rsidRPr="001352AB">
        <w:rPr>
          <w:rFonts w:ascii="Sylfaen" w:hAnsi="Sylfaen" w:cs="Sylfaen"/>
        </w:rPr>
        <w:t>მ</w:t>
      </w:r>
      <w:r w:rsidRPr="001352AB">
        <w:t>2*</w:t>
      </w:r>
      <w:r w:rsidRPr="001352AB">
        <w:rPr>
          <w:rFonts w:ascii="Sylfaen" w:hAnsi="Sylfaen" w:cs="Sylfaen"/>
        </w:rPr>
        <w:t>წმ</w:t>
      </w:r>
      <w:r w:rsidRPr="001352AB">
        <w:t xml:space="preserve">); </w:t>
      </w:r>
    </w:p>
    <w:p w14:paraId="6EE58559" w14:textId="77777777" w:rsidR="00CD64B5" w:rsidRPr="001352AB" w:rsidRDefault="00CD64B5" w:rsidP="00CD64B5">
      <w:pPr>
        <w:spacing w:before="120" w:after="120"/>
      </w:pPr>
      <w:r w:rsidRPr="001352AB">
        <w:t xml:space="preserve">η -  </w:t>
      </w:r>
      <w:r w:rsidRPr="001352AB">
        <w:rPr>
          <w:rFonts w:ascii="Sylfaen" w:hAnsi="Sylfaen" w:cs="Sylfaen"/>
        </w:rPr>
        <w:t>გაფრქვევის</w:t>
      </w:r>
      <w:r w:rsidRPr="001352AB">
        <w:t xml:space="preserve"> </w:t>
      </w:r>
      <w:r w:rsidRPr="001352AB">
        <w:rPr>
          <w:rFonts w:ascii="Sylfaen" w:hAnsi="Sylfaen" w:cs="Sylfaen"/>
        </w:rPr>
        <w:t>შემცირების</w:t>
      </w:r>
      <w:r w:rsidRPr="001352AB">
        <w:t xml:space="preserve"> </w:t>
      </w:r>
      <w:r w:rsidRPr="001352AB">
        <w:rPr>
          <w:rFonts w:ascii="Sylfaen" w:hAnsi="Sylfaen" w:cs="Sylfaen"/>
        </w:rPr>
        <w:t>ხარისხი</w:t>
      </w:r>
      <w:r w:rsidRPr="001352AB">
        <w:t xml:space="preserve"> </w:t>
      </w:r>
      <w:r w:rsidRPr="001352AB">
        <w:rPr>
          <w:rFonts w:ascii="Sylfaen" w:hAnsi="Sylfaen" w:cs="Sylfaen"/>
        </w:rPr>
        <w:t>მტვერდამხშობი</w:t>
      </w:r>
      <w:r w:rsidRPr="001352AB">
        <w:t xml:space="preserve"> </w:t>
      </w:r>
      <w:r w:rsidRPr="001352AB">
        <w:rPr>
          <w:rFonts w:ascii="Sylfaen" w:hAnsi="Sylfaen" w:cs="Sylfaen"/>
        </w:rPr>
        <w:t>სისტემის</w:t>
      </w:r>
      <w:r w:rsidRPr="001352AB">
        <w:t xml:space="preserve"> </w:t>
      </w:r>
      <w:r w:rsidRPr="001352AB">
        <w:rPr>
          <w:rFonts w:ascii="Sylfaen" w:hAnsi="Sylfaen" w:cs="Sylfaen"/>
        </w:rPr>
        <w:t>გამოყენებისას</w:t>
      </w:r>
      <w:r w:rsidRPr="001352AB">
        <w:t xml:space="preserve">. </w:t>
      </w:r>
    </w:p>
    <w:p w14:paraId="7639A462" w14:textId="77777777" w:rsidR="00CD64B5" w:rsidRPr="001352AB" w:rsidRDefault="00CD64B5" w:rsidP="00CD64B5">
      <w:pPr>
        <w:spacing w:before="120" w:after="120"/>
      </w:pPr>
      <w:r w:rsidRPr="001352AB">
        <w:rPr>
          <w:rFonts w:ascii="Sylfaen" w:hAnsi="Sylfaen" w:cs="Sylfaen"/>
        </w:rPr>
        <w:t>კოეფიციენტ</w:t>
      </w:r>
      <w:r w:rsidRPr="001352AB">
        <w:t xml:space="preserve"> K6 -</w:t>
      </w:r>
      <w:r w:rsidRPr="001352AB">
        <w:rPr>
          <w:rFonts w:ascii="Sylfaen" w:hAnsi="Sylfaen" w:cs="Sylfaen"/>
        </w:rPr>
        <w:t>ის</w:t>
      </w:r>
      <w:r w:rsidRPr="001352AB">
        <w:t xml:space="preserve"> </w:t>
      </w:r>
      <w:r w:rsidRPr="001352AB">
        <w:rPr>
          <w:rFonts w:ascii="Sylfaen" w:hAnsi="Sylfaen" w:cs="Sylfaen"/>
        </w:rPr>
        <w:t>მნიშვნელობა</w:t>
      </w:r>
      <w:r w:rsidRPr="001352AB">
        <w:t xml:space="preserve"> </w:t>
      </w:r>
      <w:r w:rsidRPr="001352AB">
        <w:rPr>
          <w:rFonts w:ascii="Sylfaen" w:hAnsi="Sylfaen" w:cs="Sylfaen"/>
        </w:rPr>
        <w:t>განისაზღვრება</w:t>
      </w:r>
      <w:r w:rsidRPr="001352AB">
        <w:t xml:space="preserve"> </w:t>
      </w:r>
      <w:r w:rsidRPr="001352AB">
        <w:rPr>
          <w:rFonts w:ascii="Sylfaen" w:hAnsi="Sylfaen" w:cs="Sylfaen"/>
        </w:rPr>
        <w:t>ფორმულით</w:t>
      </w:r>
      <w:r w:rsidRPr="001352AB">
        <w:t xml:space="preserve">: </w:t>
      </w:r>
    </w:p>
    <w:p w14:paraId="1C6449F3" w14:textId="77777777" w:rsidR="00CD64B5" w:rsidRPr="001352AB" w:rsidRDefault="00CD64B5" w:rsidP="00CD64B5">
      <w:pPr>
        <w:spacing w:before="120" w:after="120"/>
      </w:pPr>
      <w:r w:rsidRPr="001352AB">
        <w:t>K6 = Fмакс / Fпл</w:t>
      </w:r>
    </w:p>
    <w:p w14:paraId="4E75BCFA" w14:textId="77777777" w:rsidR="00CD64B5" w:rsidRPr="001352AB" w:rsidRDefault="00CD64B5" w:rsidP="00CD64B5">
      <w:pPr>
        <w:spacing w:before="120" w:after="120"/>
      </w:pPr>
      <w:r w:rsidRPr="001352AB">
        <w:rPr>
          <w:rFonts w:ascii="Sylfaen" w:hAnsi="Sylfaen" w:cs="Sylfaen"/>
        </w:rPr>
        <w:t>სადაც</w:t>
      </w:r>
      <w:r w:rsidRPr="001352AB">
        <w:t>,</w:t>
      </w:r>
    </w:p>
    <w:p w14:paraId="15DFAA86" w14:textId="77777777" w:rsidR="00CD64B5" w:rsidRPr="001352AB" w:rsidRDefault="00CD64B5" w:rsidP="00CD64B5">
      <w:pPr>
        <w:spacing w:before="120" w:after="120"/>
      </w:pPr>
      <w:r w:rsidRPr="001352AB">
        <w:lastRenderedPageBreak/>
        <w:t xml:space="preserve">Fмакс - </w:t>
      </w:r>
      <w:r w:rsidRPr="001352AB">
        <w:rPr>
          <w:rFonts w:ascii="Sylfaen" w:hAnsi="Sylfaen" w:cs="Sylfaen"/>
        </w:rPr>
        <w:t>საწყობის</w:t>
      </w:r>
      <w:r w:rsidRPr="001352AB">
        <w:t xml:space="preserve"> </w:t>
      </w:r>
      <w:r w:rsidRPr="001352AB">
        <w:rPr>
          <w:rFonts w:ascii="Sylfaen" w:hAnsi="Sylfaen" w:cs="Sylfaen"/>
        </w:rPr>
        <w:t>მაქსიმალურად</w:t>
      </w:r>
      <w:r w:rsidRPr="001352AB">
        <w:t xml:space="preserve"> </w:t>
      </w:r>
      <w:r w:rsidRPr="001352AB">
        <w:rPr>
          <w:rFonts w:ascii="Sylfaen" w:hAnsi="Sylfaen" w:cs="Sylfaen"/>
        </w:rPr>
        <w:t>შევსებისას</w:t>
      </w:r>
      <w:r w:rsidRPr="001352AB">
        <w:t xml:space="preserve"> </w:t>
      </w:r>
      <w:r w:rsidRPr="001352AB">
        <w:rPr>
          <w:rFonts w:ascii="Sylfaen" w:hAnsi="Sylfaen" w:cs="Sylfaen"/>
        </w:rPr>
        <w:t>დასასაწყობებელი</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ზედაპირის</w:t>
      </w:r>
      <w:r w:rsidRPr="001352AB">
        <w:t xml:space="preserve"> </w:t>
      </w:r>
      <w:r w:rsidRPr="001352AB">
        <w:rPr>
          <w:rFonts w:ascii="Sylfaen" w:hAnsi="Sylfaen" w:cs="Sylfaen"/>
        </w:rPr>
        <w:t>ფაქტიური</w:t>
      </w:r>
      <w:r w:rsidRPr="001352AB">
        <w:t xml:space="preserve"> </w:t>
      </w:r>
      <w:r w:rsidRPr="001352AB">
        <w:rPr>
          <w:rFonts w:ascii="Sylfaen" w:hAnsi="Sylfaen" w:cs="Sylfaen"/>
        </w:rPr>
        <w:t>ფართი</w:t>
      </w:r>
      <w:r w:rsidRPr="001352AB">
        <w:t xml:space="preserve"> </w:t>
      </w:r>
      <w:r w:rsidRPr="001352AB">
        <w:rPr>
          <w:rFonts w:ascii="Sylfaen" w:hAnsi="Sylfaen" w:cs="Sylfaen"/>
        </w:rPr>
        <w:t>საწყობის</w:t>
      </w:r>
      <w:r w:rsidRPr="001352AB">
        <w:t xml:space="preserve"> </w:t>
      </w:r>
      <w:r w:rsidRPr="001352AB">
        <w:rPr>
          <w:rFonts w:ascii="Sylfaen" w:hAnsi="Sylfaen" w:cs="Sylfaen"/>
        </w:rPr>
        <w:t>მაქსიმალურად</w:t>
      </w:r>
      <w:r w:rsidRPr="001352AB">
        <w:t xml:space="preserve"> </w:t>
      </w:r>
      <w:r w:rsidRPr="001352AB">
        <w:rPr>
          <w:rFonts w:ascii="Sylfaen" w:hAnsi="Sylfaen" w:cs="Sylfaen"/>
        </w:rPr>
        <w:t>შევსებისას</w:t>
      </w:r>
      <w:r w:rsidRPr="001352AB">
        <w:t xml:space="preserve">, </w:t>
      </w:r>
      <w:r w:rsidRPr="001352AB">
        <w:rPr>
          <w:rFonts w:ascii="Sylfaen" w:hAnsi="Sylfaen" w:cs="Sylfaen"/>
        </w:rPr>
        <w:t>მ</w:t>
      </w:r>
      <w:r w:rsidRPr="001352AB">
        <w:t xml:space="preserve">2; </w:t>
      </w:r>
    </w:p>
    <w:p w14:paraId="409D9924" w14:textId="77777777" w:rsidR="00CD64B5" w:rsidRPr="001352AB" w:rsidRDefault="00CD64B5" w:rsidP="00CD64B5">
      <w:pPr>
        <w:spacing w:before="120" w:after="120"/>
      </w:pPr>
      <w:r w:rsidRPr="001352AB">
        <w:rPr>
          <w:rFonts w:ascii="Sylfaen" w:hAnsi="Sylfaen" w:cs="Sylfaen"/>
        </w:rPr>
        <w:t>მტვრის</w:t>
      </w:r>
      <w:r w:rsidRPr="001352AB">
        <w:t xml:space="preserve"> </w:t>
      </w:r>
      <w:r w:rsidRPr="001352AB">
        <w:rPr>
          <w:rFonts w:ascii="Sylfaen" w:hAnsi="Sylfaen" w:cs="Sylfaen"/>
        </w:rPr>
        <w:t>კუთრი</w:t>
      </w:r>
      <w:r w:rsidRPr="001352AB">
        <w:t xml:space="preserve"> </w:t>
      </w:r>
      <w:r w:rsidRPr="001352AB">
        <w:rPr>
          <w:rFonts w:ascii="Sylfaen" w:hAnsi="Sylfaen" w:cs="Sylfaen"/>
        </w:rPr>
        <w:t>ამტვერების</w:t>
      </w:r>
      <w:r w:rsidRPr="001352AB">
        <w:t xml:space="preserve"> </w:t>
      </w:r>
      <w:r w:rsidRPr="001352AB">
        <w:rPr>
          <w:rFonts w:ascii="Sylfaen" w:hAnsi="Sylfaen" w:cs="Sylfaen"/>
        </w:rPr>
        <w:t>მაქსიმალური</w:t>
      </w:r>
      <w:r w:rsidRPr="001352AB">
        <w:t xml:space="preserve"> </w:t>
      </w:r>
      <w:r w:rsidRPr="001352AB">
        <w:rPr>
          <w:rFonts w:ascii="Sylfaen" w:hAnsi="Sylfaen" w:cs="Sylfaen"/>
        </w:rPr>
        <w:t>სიდიდე</w:t>
      </w:r>
      <w:r w:rsidRPr="001352AB">
        <w:t xml:space="preserve"> </w:t>
      </w:r>
      <w:r w:rsidRPr="001352AB">
        <w:rPr>
          <w:rFonts w:ascii="Sylfaen" w:hAnsi="Sylfaen" w:cs="Sylfaen"/>
        </w:rPr>
        <w:t>განისაზღვრება</w:t>
      </w:r>
      <w:r w:rsidRPr="001352AB">
        <w:t xml:space="preserve"> </w:t>
      </w:r>
      <w:r w:rsidRPr="001352AB">
        <w:rPr>
          <w:rFonts w:ascii="Sylfaen" w:hAnsi="Sylfaen" w:cs="Sylfaen"/>
        </w:rPr>
        <w:t>ფორმულით</w:t>
      </w:r>
      <w:r w:rsidRPr="001352AB">
        <w:t xml:space="preserve">: </w:t>
      </w:r>
      <w:r w:rsidRPr="001352AB">
        <w:rPr>
          <w:rFonts w:ascii="Sylfaen" w:hAnsi="Sylfaen" w:cs="Sylfaen"/>
        </w:rPr>
        <w:t>გ</w:t>
      </w:r>
      <w:r w:rsidRPr="001352AB">
        <w:t>/(</w:t>
      </w:r>
      <w:r w:rsidRPr="001352AB">
        <w:rPr>
          <w:rFonts w:ascii="Sylfaen" w:hAnsi="Sylfaen" w:cs="Sylfaen"/>
        </w:rPr>
        <w:t>მ</w:t>
      </w:r>
      <w:r w:rsidRPr="001352AB">
        <w:t>2*</w:t>
      </w:r>
      <w:r w:rsidRPr="001352AB">
        <w:rPr>
          <w:rFonts w:ascii="Sylfaen" w:hAnsi="Sylfaen" w:cs="Sylfaen"/>
        </w:rPr>
        <w:t>წმ</w:t>
      </w:r>
      <w:r w:rsidRPr="001352AB">
        <w:t xml:space="preserve">); </w:t>
      </w:r>
    </w:p>
    <w:p w14:paraId="7908D856" w14:textId="77777777" w:rsidR="00CD64B5" w:rsidRPr="001352AB" w:rsidRDefault="00CD64B5" w:rsidP="00CD64B5">
      <w:pPr>
        <w:spacing w:before="120" w:after="120"/>
      </w:pPr>
      <w:r w:rsidRPr="001352AB">
        <w:t xml:space="preserve">q = 10-3 · a · Ub, </w:t>
      </w:r>
      <w:r w:rsidRPr="001352AB">
        <w:rPr>
          <w:rFonts w:ascii="Sylfaen" w:hAnsi="Sylfaen" w:cs="Sylfaen"/>
        </w:rPr>
        <w:t>გ</w:t>
      </w:r>
      <w:r w:rsidRPr="001352AB">
        <w:t>/(</w:t>
      </w:r>
      <w:r w:rsidRPr="001352AB">
        <w:rPr>
          <w:rFonts w:ascii="Sylfaen" w:hAnsi="Sylfaen" w:cs="Sylfaen"/>
        </w:rPr>
        <w:t>მ</w:t>
      </w:r>
      <w:r w:rsidRPr="001352AB">
        <w:t>2*</w:t>
      </w:r>
      <w:r w:rsidRPr="001352AB">
        <w:rPr>
          <w:rFonts w:ascii="Sylfaen" w:hAnsi="Sylfaen" w:cs="Sylfaen"/>
        </w:rPr>
        <w:t>წმ</w:t>
      </w:r>
      <w:r w:rsidRPr="001352AB">
        <w:t>);</w:t>
      </w:r>
    </w:p>
    <w:p w14:paraId="63604869" w14:textId="77777777" w:rsidR="00CD64B5" w:rsidRPr="001352AB" w:rsidRDefault="00CD64B5" w:rsidP="00CD64B5">
      <w:pPr>
        <w:spacing w:before="120" w:after="120"/>
      </w:pPr>
      <w:r w:rsidRPr="001352AB">
        <w:rPr>
          <w:rFonts w:ascii="Sylfaen" w:hAnsi="Sylfaen" w:cs="Sylfaen"/>
        </w:rPr>
        <w:t>სადაც</w:t>
      </w:r>
      <w:r w:rsidRPr="001352AB">
        <w:t>,</w:t>
      </w:r>
    </w:p>
    <w:p w14:paraId="7FC6D702" w14:textId="77777777" w:rsidR="00CD64B5" w:rsidRPr="001352AB" w:rsidRDefault="00CD64B5" w:rsidP="00CD64B5">
      <w:pPr>
        <w:spacing w:before="120" w:after="120"/>
      </w:pPr>
      <w:r w:rsidRPr="001352AB">
        <w:t xml:space="preserve">a </w:t>
      </w:r>
      <w:r w:rsidRPr="001352AB">
        <w:rPr>
          <w:rFonts w:ascii="Sylfaen" w:hAnsi="Sylfaen" w:cs="Sylfaen"/>
        </w:rPr>
        <w:t>და</w:t>
      </w:r>
      <w:r w:rsidRPr="001352AB">
        <w:t xml:space="preserve"> b – </w:t>
      </w:r>
      <w:r w:rsidRPr="001352AB">
        <w:rPr>
          <w:rFonts w:ascii="Sylfaen" w:hAnsi="Sylfaen" w:cs="Sylfaen"/>
        </w:rPr>
        <w:t>ემპირიული</w:t>
      </w:r>
      <w:r w:rsidRPr="001352AB">
        <w:t xml:space="preserve"> </w:t>
      </w:r>
      <w:r w:rsidRPr="001352AB">
        <w:rPr>
          <w:rFonts w:ascii="Sylfaen" w:hAnsi="Sylfaen" w:cs="Sylfaen"/>
        </w:rPr>
        <w:t>კოეფიციენტებია</w:t>
      </w:r>
      <w:r w:rsidRPr="001352AB">
        <w:t xml:space="preserve">, </w:t>
      </w:r>
      <w:r w:rsidRPr="001352AB">
        <w:rPr>
          <w:rFonts w:ascii="Sylfaen" w:hAnsi="Sylfaen" w:cs="Sylfaen"/>
        </w:rPr>
        <w:t>რომლებიც</w:t>
      </w:r>
      <w:r w:rsidRPr="001352AB">
        <w:t xml:space="preserve"> </w:t>
      </w:r>
      <w:r w:rsidRPr="001352AB">
        <w:rPr>
          <w:rFonts w:ascii="Sylfaen" w:hAnsi="Sylfaen" w:cs="Sylfaen"/>
        </w:rPr>
        <w:t>დამოკიდებულია</w:t>
      </w:r>
      <w:r w:rsidRPr="001352AB">
        <w:t xml:space="preserve"> </w:t>
      </w:r>
      <w:r w:rsidRPr="001352AB">
        <w:rPr>
          <w:rFonts w:ascii="Sylfaen" w:hAnsi="Sylfaen" w:cs="Sylfaen"/>
        </w:rPr>
        <w:t>გადასატვირთი</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ტიპზე</w:t>
      </w:r>
      <w:r w:rsidRPr="001352AB">
        <w:t xml:space="preserve">; Ub - </w:t>
      </w:r>
      <w:r w:rsidRPr="001352AB">
        <w:rPr>
          <w:rFonts w:ascii="Sylfaen" w:hAnsi="Sylfaen" w:cs="Sylfaen"/>
        </w:rPr>
        <w:t>ქარის</w:t>
      </w:r>
      <w:r w:rsidRPr="001352AB">
        <w:t xml:space="preserve"> </w:t>
      </w:r>
      <w:r w:rsidRPr="001352AB">
        <w:rPr>
          <w:rFonts w:ascii="Sylfaen" w:hAnsi="Sylfaen" w:cs="Sylfaen"/>
        </w:rPr>
        <w:t>სიჩქარე</w:t>
      </w:r>
      <w:r w:rsidRPr="001352AB">
        <w:t xml:space="preserve">, </w:t>
      </w:r>
      <w:r w:rsidRPr="001352AB">
        <w:rPr>
          <w:rFonts w:ascii="Sylfaen" w:hAnsi="Sylfaen" w:cs="Sylfaen"/>
        </w:rPr>
        <w:t>მ</w:t>
      </w:r>
      <w:r w:rsidRPr="001352AB">
        <w:t>/</w:t>
      </w:r>
      <w:r w:rsidRPr="001352AB">
        <w:rPr>
          <w:rFonts w:ascii="Sylfaen" w:hAnsi="Sylfaen" w:cs="Sylfaen"/>
        </w:rPr>
        <w:t>წმ</w:t>
      </w:r>
      <w:r w:rsidRPr="001352AB">
        <w:t>.</w:t>
      </w:r>
    </w:p>
    <w:p w14:paraId="0A335307" w14:textId="77777777" w:rsidR="00CD64B5" w:rsidRPr="001352AB" w:rsidRDefault="00CD64B5" w:rsidP="00CD64B5">
      <w:pPr>
        <w:spacing w:before="120" w:after="120"/>
      </w:pPr>
      <w:r w:rsidRPr="001352AB">
        <w:rPr>
          <w:rFonts w:ascii="Sylfaen" w:hAnsi="Sylfaen" w:cs="Sylfaen"/>
        </w:rPr>
        <w:t>მტვრის</w:t>
      </w:r>
      <w:r w:rsidRPr="001352AB">
        <w:t xml:space="preserve"> </w:t>
      </w:r>
      <w:r w:rsidRPr="001352AB">
        <w:rPr>
          <w:rFonts w:ascii="Sylfaen" w:hAnsi="Sylfaen" w:cs="Sylfaen"/>
        </w:rPr>
        <w:t>ჯამური</w:t>
      </w:r>
      <w:r w:rsidRPr="001352AB">
        <w:t xml:space="preserve"> </w:t>
      </w:r>
      <w:r w:rsidRPr="001352AB">
        <w:rPr>
          <w:rFonts w:ascii="Sylfaen" w:hAnsi="Sylfaen" w:cs="Sylfaen"/>
        </w:rPr>
        <w:t>წლიური</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გაანგარიშება</w:t>
      </w:r>
      <w:r w:rsidRPr="001352AB">
        <w:t xml:space="preserve"> </w:t>
      </w:r>
      <w:r w:rsidRPr="001352AB">
        <w:rPr>
          <w:rFonts w:ascii="Sylfaen" w:hAnsi="Sylfaen" w:cs="Sylfaen"/>
        </w:rPr>
        <w:t>ფხვიერი</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შენახვისას</w:t>
      </w:r>
      <w:r w:rsidRPr="001352AB">
        <w:t xml:space="preserve"> </w:t>
      </w:r>
      <w:r w:rsidRPr="001352AB">
        <w:rPr>
          <w:rFonts w:ascii="Sylfaen" w:hAnsi="Sylfaen" w:cs="Sylfaen"/>
        </w:rPr>
        <w:t>ხორციელდება</w:t>
      </w:r>
      <w:r w:rsidRPr="001352AB">
        <w:t xml:space="preserve"> </w:t>
      </w:r>
      <w:r w:rsidRPr="001352AB">
        <w:rPr>
          <w:rFonts w:ascii="Sylfaen" w:hAnsi="Sylfaen" w:cs="Sylfaen"/>
        </w:rPr>
        <w:t>ფორმულით</w:t>
      </w:r>
      <w:r w:rsidRPr="001352AB">
        <w:t xml:space="preserve">: </w:t>
      </w:r>
    </w:p>
    <w:p w14:paraId="6E04EB36" w14:textId="77777777" w:rsidR="00CD64B5" w:rsidRPr="001352AB" w:rsidRDefault="00CD64B5" w:rsidP="00CD64B5">
      <w:pPr>
        <w:spacing w:before="120" w:after="120"/>
      </w:pPr>
      <w:r w:rsidRPr="001352AB">
        <w:t xml:space="preserve">ПХР = 0,11 · 8,64 · 10-2 · K4 · K5 · K6 · K7 · q · Fпл · (1 - η) · (T - Tд - Tc) </w:t>
      </w:r>
      <w:r w:rsidRPr="001352AB">
        <w:rPr>
          <w:rFonts w:ascii="Sylfaen" w:hAnsi="Sylfaen" w:cs="Sylfaen"/>
        </w:rPr>
        <w:t>ტ</w:t>
      </w:r>
      <w:r w:rsidRPr="001352AB">
        <w:t>/</w:t>
      </w:r>
      <w:r w:rsidRPr="001352AB">
        <w:rPr>
          <w:rFonts w:ascii="Sylfaen" w:hAnsi="Sylfaen" w:cs="Sylfaen"/>
        </w:rPr>
        <w:t>წელ</w:t>
      </w:r>
      <w:r w:rsidRPr="001352AB">
        <w:t>;</w:t>
      </w:r>
    </w:p>
    <w:p w14:paraId="4DC0753F" w14:textId="77777777" w:rsidR="00CD64B5" w:rsidRPr="001352AB" w:rsidRDefault="00CD64B5" w:rsidP="00CD64B5">
      <w:pPr>
        <w:spacing w:before="120" w:after="120"/>
      </w:pPr>
      <w:r w:rsidRPr="001352AB">
        <w:rPr>
          <w:rFonts w:ascii="Sylfaen" w:hAnsi="Sylfaen" w:cs="Sylfaen"/>
        </w:rPr>
        <w:t>სადაც</w:t>
      </w:r>
      <w:r w:rsidRPr="001352AB">
        <w:t>,</w:t>
      </w:r>
    </w:p>
    <w:p w14:paraId="6B5ECAD3" w14:textId="77777777" w:rsidR="00CD64B5" w:rsidRPr="001352AB" w:rsidRDefault="00CD64B5" w:rsidP="00CD64B5">
      <w:pPr>
        <w:spacing w:before="120" w:after="120"/>
      </w:pPr>
      <w:r w:rsidRPr="001352AB">
        <w:t>T – о</w:t>
      </w:r>
      <w:r w:rsidRPr="001352AB">
        <w:rPr>
          <w:rFonts w:ascii="Sylfaen" w:hAnsi="Sylfaen" w:cs="Sylfaen"/>
        </w:rPr>
        <w:t>მასალის</w:t>
      </w:r>
      <w:r w:rsidRPr="001352AB">
        <w:t xml:space="preserve"> </w:t>
      </w:r>
      <w:r w:rsidRPr="001352AB">
        <w:rPr>
          <w:rFonts w:ascii="Sylfaen" w:hAnsi="Sylfaen" w:cs="Sylfaen"/>
        </w:rPr>
        <w:t>შენახვის</w:t>
      </w:r>
      <w:r w:rsidRPr="001352AB">
        <w:t xml:space="preserve"> </w:t>
      </w:r>
      <w:r w:rsidRPr="001352AB">
        <w:rPr>
          <w:rFonts w:ascii="Sylfaen" w:hAnsi="Sylfaen" w:cs="Sylfaen"/>
        </w:rPr>
        <w:t>საერთო</w:t>
      </w:r>
      <w:r w:rsidRPr="001352AB">
        <w:t xml:space="preserve"> </w:t>
      </w:r>
      <w:r w:rsidRPr="001352AB">
        <w:rPr>
          <w:rFonts w:ascii="Sylfaen" w:hAnsi="Sylfaen" w:cs="Sylfaen"/>
        </w:rPr>
        <w:t>დრო</w:t>
      </w:r>
      <w:r w:rsidRPr="001352AB">
        <w:t xml:space="preserve"> </w:t>
      </w:r>
      <w:r w:rsidRPr="001352AB">
        <w:rPr>
          <w:rFonts w:ascii="Sylfaen" w:hAnsi="Sylfaen" w:cs="Sylfaen"/>
        </w:rPr>
        <w:t>განსახილველ</w:t>
      </w:r>
      <w:r w:rsidRPr="001352AB">
        <w:t xml:space="preserve"> </w:t>
      </w:r>
      <w:r w:rsidRPr="001352AB">
        <w:rPr>
          <w:rFonts w:ascii="Sylfaen" w:hAnsi="Sylfaen" w:cs="Sylfaen"/>
        </w:rPr>
        <w:t>პერიოდში</w:t>
      </w:r>
      <w:r w:rsidRPr="001352AB">
        <w:t xml:space="preserve"> (</w:t>
      </w:r>
      <w:r w:rsidRPr="001352AB">
        <w:rPr>
          <w:rFonts w:ascii="Sylfaen" w:hAnsi="Sylfaen" w:cs="Sylfaen"/>
        </w:rPr>
        <w:t>დღე</w:t>
      </w:r>
      <w:r w:rsidRPr="001352AB">
        <w:t>);</w:t>
      </w:r>
    </w:p>
    <w:p w14:paraId="2E97F1CC" w14:textId="77777777" w:rsidR="00CD64B5" w:rsidRPr="001352AB" w:rsidRDefault="00CD64B5" w:rsidP="00CD64B5">
      <w:pPr>
        <w:spacing w:before="120" w:after="120"/>
      </w:pPr>
      <w:r w:rsidRPr="001352AB">
        <w:t xml:space="preserve">Tд - </w:t>
      </w:r>
      <w:r w:rsidRPr="001352AB">
        <w:rPr>
          <w:rFonts w:ascii="Sylfaen" w:hAnsi="Sylfaen" w:cs="Sylfaen"/>
        </w:rPr>
        <w:t>წვიმიან</w:t>
      </w:r>
      <w:r w:rsidRPr="001352AB">
        <w:t xml:space="preserve"> </w:t>
      </w:r>
      <w:r w:rsidRPr="001352AB">
        <w:rPr>
          <w:rFonts w:ascii="Sylfaen" w:hAnsi="Sylfaen" w:cs="Sylfaen"/>
        </w:rPr>
        <w:t>დღეთა</w:t>
      </w:r>
      <w:r w:rsidRPr="001352AB">
        <w:t xml:space="preserve"> </w:t>
      </w:r>
      <w:r w:rsidRPr="001352AB">
        <w:rPr>
          <w:rFonts w:ascii="Sylfaen" w:hAnsi="Sylfaen" w:cs="Sylfaen"/>
        </w:rPr>
        <w:t>რიცხვი</w:t>
      </w:r>
      <w:r w:rsidRPr="001352AB">
        <w:t xml:space="preserve">; </w:t>
      </w:r>
    </w:p>
    <w:p w14:paraId="1623DD61" w14:textId="77777777" w:rsidR="00CD64B5" w:rsidRPr="001352AB" w:rsidRDefault="00CD64B5" w:rsidP="00CD64B5">
      <w:pPr>
        <w:spacing w:before="120" w:after="120"/>
      </w:pPr>
      <w:r w:rsidRPr="001352AB">
        <w:t xml:space="preserve">Tс - </w:t>
      </w:r>
      <w:r w:rsidRPr="001352AB">
        <w:rPr>
          <w:rFonts w:ascii="Sylfaen" w:hAnsi="Sylfaen" w:cs="Sylfaen"/>
        </w:rPr>
        <w:t>მდგრადი</w:t>
      </w:r>
      <w:r w:rsidRPr="001352AB">
        <w:t xml:space="preserve"> </w:t>
      </w:r>
      <w:r w:rsidRPr="001352AB">
        <w:rPr>
          <w:rFonts w:ascii="Sylfaen" w:hAnsi="Sylfaen" w:cs="Sylfaen"/>
        </w:rPr>
        <w:t>თოვლის</w:t>
      </w:r>
      <w:r w:rsidRPr="001352AB">
        <w:t xml:space="preserve"> </w:t>
      </w:r>
      <w:r w:rsidRPr="001352AB">
        <w:rPr>
          <w:rFonts w:ascii="Sylfaen" w:hAnsi="Sylfaen" w:cs="Sylfaen"/>
        </w:rPr>
        <w:t>საფარიან</w:t>
      </w:r>
      <w:r w:rsidRPr="001352AB">
        <w:t xml:space="preserve"> </w:t>
      </w:r>
      <w:r w:rsidRPr="001352AB">
        <w:rPr>
          <w:rFonts w:ascii="Sylfaen" w:hAnsi="Sylfaen" w:cs="Sylfaen"/>
        </w:rPr>
        <w:t>დღეთა</w:t>
      </w:r>
      <w:r w:rsidRPr="001352AB">
        <w:t xml:space="preserve"> </w:t>
      </w:r>
      <w:r w:rsidRPr="001352AB">
        <w:rPr>
          <w:rFonts w:ascii="Sylfaen" w:hAnsi="Sylfaen" w:cs="Sylfaen"/>
        </w:rPr>
        <w:t>რიცხვი</w:t>
      </w:r>
      <w:r w:rsidRPr="001352AB">
        <w:t xml:space="preserve">; </w:t>
      </w:r>
    </w:p>
    <w:p w14:paraId="78F0838A" w14:textId="77777777" w:rsidR="00CD64B5" w:rsidRPr="001352AB" w:rsidRDefault="00CD64B5" w:rsidP="00CD64B5">
      <w:pPr>
        <w:spacing w:before="120" w:after="120"/>
      </w:pPr>
      <w:r w:rsidRPr="001352AB">
        <w:rPr>
          <w:rFonts w:ascii="Sylfaen" w:hAnsi="Sylfaen" w:cs="Sylfaen"/>
        </w:rPr>
        <w:t>საანგარიშო</w:t>
      </w:r>
      <w:r w:rsidRPr="001352AB">
        <w:t xml:space="preserve"> </w:t>
      </w:r>
      <w:r w:rsidRPr="001352AB">
        <w:rPr>
          <w:rFonts w:ascii="Sylfaen" w:hAnsi="Sylfaen" w:cs="Sylfaen"/>
        </w:rPr>
        <w:t>პარამეტრები</w:t>
      </w:r>
      <w:r w:rsidRPr="001352AB">
        <w:t xml:space="preserve"> </w:t>
      </w:r>
      <w:r w:rsidRPr="001352AB">
        <w:rPr>
          <w:rFonts w:ascii="Sylfaen" w:hAnsi="Sylfaen" w:cs="Sylfaen"/>
        </w:rPr>
        <w:t>და</w:t>
      </w:r>
      <w:r w:rsidRPr="001352AB">
        <w:t xml:space="preserve"> </w:t>
      </w:r>
      <w:r w:rsidRPr="001352AB">
        <w:rPr>
          <w:rFonts w:ascii="Sylfaen" w:hAnsi="Sylfaen" w:cs="Sylfaen"/>
        </w:rPr>
        <w:t>მათი</w:t>
      </w:r>
      <w:r w:rsidRPr="001352AB">
        <w:t xml:space="preserve"> </w:t>
      </w:r>
      <w:r w:rsidRPr="001352AB">
        <w:rPr>
          <w:rFonts w:ascii="Sylfaen" w:hAnsi="Sylfaen" w:cs="Sylfaen"/>
        </w:rPr>
        <w:t>მნიშვნელობები</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ცხრილში</w:t>
      </w:r>
      <w:r w:rsidRPr="001352AB">
        <w:t xml:space="preserve"> 7.1-11.</w:t>
      </w:r>
    </w:p>
    <w:p w14:paraId="3DF332E7" w14:textId="77777777" w:rsidR="00CD64B5" w:rsidRPr="001352AB" w:rsidRDefault="00CD64B5" w:rsidP="00CD64B5">
      <w:pPr>
        <w:spacing w:before="120" w:after="120"/>
        <w:rPr>
          <w:lang w:eastAsia="en-US"/>
        </w:rPr>
      </w:pPr>
      <w:bookmarkStart w:id="264" w:name="_Toc436594172"/>
      <w:r w:rsidRPr="001352AB">
        <w:rPr>
          <w:rFonts w:ascii="Sylfaen" w:hAnsi="Sylfaen" w:cs="Sylfaen"/>
        </w:rPr>
        <w:t>ცხრილი</w:t>
      </w:r>
      <w:r w:rsidRPr="001352AB">
        <w:t xml:space="preserve"> 7.1-11.</w:t>
      </w:r>
      <w:r w:rsidRPr="001352AB">
        <w:tab/>
      </w:r>
      <w:r w:rsidRPr="001352AB">
        <w:rPr>
          <w:rFonts w:ascii="Sylfaen" w:hAnsi="Sylfaen" w:cs="Sylfaen"/>
        </w:rPr>
        <w:t>საანგარიშო</w:t>
      </w:r>
      <w:r w:rsidRPr="001352AB">
        <w:t xml:space="preserve"> </w:t>
      </w:r>
      <w:r w:rsidRPr="001352AB">
        <w:rPr>
          <w:rFonts w:ascii="Sylfaen" w:hAnsi="Sylfaen" w:cs="Sylfaen"/>
        </w:rPr>
        <w:t>პარამეტრები</w:t>
      </w:r>
      <w:r w:rsidRPr="001352AB">
        <w:t xml:space="preserve"> </w:t>
      </w:r>
      <w:r w:rsidRPr="001352AB">
        <w:rPr>
          <w:rFonts w:ascii="Sylfaen" w:hAnsi="Sylfaen" w:cs="Sylfaen"/>
        </w:rPr>
        <w:t>და</w:t>
      </w:r>
      <w:r w:rsidRPr="001352AB">
        <w:t xml:space="preserve"> </w:t>
      </w:r>
      <w:r w:rsidRPr="001352AB">
        <w:rPr>
          <w:rFonts w:ascii="Sylfaen" w:hAnsi="Sylfaen" w:cs="Sylfaen"/>
        </w:rPr>
        <w:t>მათი</w:t>
      </w:r>
      <w:r w:rsidRPr="001352AB">
        <w:t xml:space="preserve"> </w:t>
      </w:r>
      <w:r w:rsidRPr="001352AB">
        <w:rPr>
          <w:rFonts w:ascii="Sylfaen" w:hAnsi="Sylfaen" w:cs="Sylfaen"/>
        </w:rPr>
        <w:t>მნიშვნელობები</w:t>
      </w:r>
      <w:bookmarkEnd w:id="26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712"/>
        <w:gridCol w:w="2671"/>
      </w:tblGrid>
      <w:tr w:rsidR="00CD64B5" w:rsidRPr="001352AB" w14:paraId="0AEC1E4B" w14:textId="77777777" w:rsidTr="00CD64B5">
        <w:trPr>
          <w:cantSplit/>
          <w:trHeight w:val="266"/>
          <w:tblHeader/>
          <w:jc w:val="center"/>
        </w:trPr>
        <w:tc>
          <w:tcPr>
            <w:tcW w:w="3714" w:type="pct"/>
            <w:tcBorders>
              <w:top w:val="single" w:sz="8" w:space="0" w:color="auto"/>
              <w:left w:val="single" w:sz="6" w:space="0" w:color="auto"/>
              <w:bottom w:val="single" w:sz="8" w:space="0" w:color="auto"/>
              <w:right w:val="single" w:sz="4" w:space="0" w:color="000000"/>
            </w:tcBorders>
            <w:shd w:val="clear" w:color="auto" w:fill="D9D9D9" w:themeFill="background1" w:themeFillShade="D9"/>
            <w:vAlign w:val="center"/>
            <w:hideMark/>
          </w:tcPr>
          <w:p w14:paraId="35F4A5CE" w14:textId="77777777" w:rsidR="00CD64B5" w:rsidRPr="001352AB" w:rsidRDefault="00CD64B5" w:rsidP="00CD64B5">
            <w:pPr>
              <w:rPr>
                <w:lang w:eastAsia="ru-RU"/>
              </w:rPr>
            </w:pPr>
            <w:r w:rsidRPr="001352AB">
              <w:br w:type="page"/>
            </w:r>
            <w:r w:rsidRPr="001352AB">
              <w:rPr>
                <w:rFonts w:ascii="Sylfaen" w:hAnsi="Sylfaen" w:cs="Sylfaen"/>
              </w:rPr>
              <w:t>საანგარიშო</w:t>
            </w:r>
            <w:r w:rsidRPr="001352AB">
              <w:t xml:space="preserve"> </w:t>
            </w:r>
            <w:r w:rsidRPr="001352AB">
              <w:rPr>
                <w:rFonts w:ascii="Sylfaen" w:hAnsi="Sylfaen" w:cs="Sylfaen"/>
              </w:rPr>
              <w:t>პარამეტრები</w:t>
            </w:r>
            <w:r w:rsidRPr="001352AB">
              <w:t xml:space="preserve"> </w:t>
            </w:r>
          </w:p>
        </w:tc>
        <w:tc>
          <w:tcPr>
            <w:tcW w:w="1286" w:type="pct"/>
            <w:tcBorders>
              <w:top w:val="single" w:sz="8" w:space="0" w:color="auto"/>
              <w:left w:val="single" w:sz="4" w:space="0" w:color="000000"/>
              <w:bottom w:val="single" w:sz="8" w:space="0" w:color="auto"/>
              <w:right w:val="single" w:sz="6" w:space="0" w:color="auto"/>
            </w:tcBorders>
            <w:shd w:val="clear" w:color="auto" w:fill="D9D9D9" w:themeFill="background1" w:themeFillShade="D9"/>
            <w:vAlign w:val="center"/>
            <w:hideMark/>
          </w:tcPr>
          <w:p w14:paraId="05899A2B" w14:textId="77777777" w:rsidR="00CD64B5" w:rsidRPr="001352AB" w:rsidRDefault="00CD64B5" w:rsidP="00CD64B5">
            <w:r w:rsidRPr="001352AB">
              <w:rPr>
                <w:rFonts w:ascii="Sylfaen" w:hAnsi="Sylfaen" w:cs="Sylfaen"/>
              </w:rPr>
              <w:t>მნიშვნელობები</w:t>
            </w:r>
            <w:r w:rsidRPr="001352AB">
              <w:t xml:space="preserve"> </w:t>
            </w:r>
          </w:p>
        </w:tc>
      </w:tr>
      <w:tr w:rsidR="00CD64B5" w:rsidRPr="001352AB" w14:paraId="0D3ACA3F" w14:textId="77777777" w:rsidTr="00CD64B5">
        <w:trPr>
          <w:trHeight w:val="784"/>
          <w:jc w:val="center"/>
        </w:trPr>
        <w:tc>
          <w:tcPr>
            <w:tcW w:w="3714" w:type="pct"/>
            <w:tcBorders>
              <w:top w:val="single" w:sz="4" w:space="0" w:color="000000"/>
              <w:left w:val="single" w:sz="6" w:space="0" w:color="auto"/>
              <w:bottom w:val="single" w:sz="4" w:space="0" w:color="000000"/>
              <w:right w:val="single" w:sz="4" w:space="0" w:color="000000"/>
            </w:tcBorders>
            <w:hideMark/>
          </w:tcPr>
          <w:p w14:paraId="1F52DF57" w14:textId="77777777" w:rsidR="00CD64B5" w:rsidRPr="001352AB" w:rsidRDefault="00CD64B5" w:rsidP="00CD64B5">
            <w:r w:rsidRPr="001352AB">
              <w:rPr>
                <w:rFonts w:ascii="Sylfaen" w:hAnsi="Sylfaen" w:cs="Sylfaen"/>
              </w:rPr>
              <w:t>გადასატვირთი</w:t>
            </w:r>
            <w:r w:rsidRPr="001352AB">
              <w:t xml:space="preserve"> </w:t>
            </w:r>
            <w:r w:rsidRPr="001352AB">
              <w:rPr>
                <w:rFonts w:ascii="Sylfaen" w:hAnsi="Sylfaen" w:cs="Sylfaen"/>
              </w:rPr>
              <w:t>მასალა</w:t>
            </w:r>
            <w:r w:rsidRPr="001352AB">
              <w:t xml:space="preserve">: </w:t>
            </w:r>
            <w:r w:rsidRPr="001352AB">
              <w:rPr>
                <w:rFonts w:ascii="Sylfaen" w:hAnsi="Sylfaen" w:cs="Sylfaen"/>
              </w:rPr>
              <w:t>ინერტული</w:t>
            </w:r>
            <w:r w:rsidRPr="001352AB">
              <w:t xml:space="preserve"> </w:t>
            </w:r>
            <w:r w:rsidRPr="001352AB">
              <w:rPr>
                <w:rFonts w:ascii="Sylfaen" w:hAnsi="Sylfaen" w:cs="Sylfaen"/>
              </w:rPr>
              <w:t>მასალა</w:t>
            </w:r>
          </w:p>
          <w:p w14:paraId="494EDA02" w14:textId="77777777" w:rsidR="00CD64B5" w:rsidRPr="001352AB" w:rsidRDefault="00CD64B5" w:rsidP="00CD64B5">
            <w:r w:rsidRPr="001352AB">
              <w:rPr>
                <w:rFonts w:ascii="Sylfaen" w:hAnsi="Sylfaen" w:cs="Sylfaen"/>
              </w:rPr>
              <w:t>ემპირიული</w:t>
            </w:r>
            <w:r w:rsidRPr="001352AB">
              <w:t xml:space="preserve"> </w:t>
            </w:r>
            <w:r w:rsidRPr="001352AB">
              <w:rPr>
                <w:rFonts w:ascii="Sylfaen" w:hAnsi="Sylfaen" w:cs="Sylfaen"/>
              </w:rPr>
              <w:t>კოეფიციენტები</w:t>
            </w:r>
            <w:r w:rsidRPr="001352AB">
              <w:t xml:space="preserve">, </w:t>
            </w:r>
            <w:r w:rsidRPr="001352AB">
              <w:rPr>
                <w:rFonts w:ascii="Sylfaen" w:hAnsi="Sylfaen" w:cs="Sylfaen"/>
              </w:rPr>
              <w:t>რომლებიც</w:t>
            </w:r>
            <w:r w:rsidRPr="001352AB">
              <w:t xml:space="preserve"> </w:t>
            </w:r>
            <w:r w:rsidRPr="001352AB">
              <w:rPr>
                <w:rFonts w:ascii="Sylfaen" w:hAnsi="Sylfaen" w:cs="Sylfaen"/>
              </w:rPr>
              <w:t>დამოკიდებულია</w:t>
            </w:r>
            <w:r w:rsidRPr="001352AB">
              <w:t xml:space="preserve"> </w:t>
            </w:r>
            <w:r w:rsidRPr="001352AB">
              <w:rPr>
                <w:rFonts w:ascii="Sylfaen" w:hAnsi="Sylfaen" w:cs="Sylfaen"/>
              </w:rPr>
              <w:t>გადასატვირთი</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ტიპზე</w:t>
            </w:r>
            <w:r w:rsidRPr="001352AB">
              <w:t xml:space="preserve">; </w:t>
            </w:r>
          </w:p>
        </w:tc>
        <w:tc>
          <w:tcPr>
            <w:tcW w:w="1286" w:type="pct"/>
            <w:tcBorders>
              <w:top w:val="single" w:sz="4" w:space="0" w:color="000000"/>
              <w:left w:val="single" w:sz="4" w:space="0" w:color="000000"/>
              <w:bottom w:val="single" w:sz="4" w:space="0" w:color="000000"/>
              <w:right w:val="single" w:sz="6" w:space="0" w:color="auto"/>
            </w:tcBorders>
            <w:hideMark/>
          </w:tcPr>
          <w:p w14:paraId="710E4A8D" w14:textId="77777777" w:rsidR="00CD64B5" w:rsidRPr="001352AB" w:rsidRDefault="00CD64B5" w:rsidP="00CD64B5">
            <w:r w:rsidRPr="001352AB">
              <w:t>a = 0,0135</w:t>
            </w:r>
          </w:p>
          <w:p w14:paraId="4C4EFC88" w14:textId="77777777" w:rsidR="00CD64B5" w:rsidRPr="001352AB" w:rsidRDefault="00CD64B5" w:rsidP="00CD64B5">
            <w:r w:rsidRPr="001352AB">
              <w:t>b = 2,987</w:t>
            </w:r>
          </w:p>
        </w:tc>
      </w:tr>
      <w:tr w:rsidR="00CD64B5" w:rsidRPr="001352AB" w14:paraId="34D5DFF1" w14:textId="77777777" w:rsidTr="00CD64B5">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14:paraId="236D8863" w14:textId="77777777" w:rsidR="00CD64B5" w:rsidRPr="001352AB" w:rsidRDefault="00CD64B5" w:rsidP="00CD64B5">
            <w:r w:rsidRPr="001352AB">
              <w:rPr>
                <w:rFonts w:ascii="Sylfaen" w:hAnsi="Sylfaen" w:cs="Sylfaen"/>
              </w:rPr>
              <w:t>ადგილობრივი</w:t>
            </w:r>
            <w:r w:rsidRPr="001352AB">
              <w:t xml:space="preserve"> </w:t>
            </w:r>
            <w:r w:rsidRPr="001352AB">
              <w:rPr>
                <w:rFonts w:ascii="Sylfaen" w:hAnsi="Sylfaen" w:cs="Sylfaen"/>
              </w:rPr>
              <w:t>პირობები</w:t>
            </w:r>
            <w:r w:rsidRPr="001352AB">
              <w:t>-</w:t>
            </w:r>
            <w:r w:rsidRPr="001352AB">
              <w:rPr>
                <w:rFonts w:ascii="Sylfaen" w:hAnsi="Sylfaen" w:cs="Sylfaen"/>
              </w:rPr>
              <w:t>საწყობი</w:t>
            </w:r>
            <w:r w:rsidRPr="001352AB">
              <w:t xml:space="preserve"> </w:t>
            </w:r>
            <w:r w:rsidRPr="001352AB">
              <w:rPr>
                <w:rFonts w:ascii="Sylfaen" w:hAnsi="Sylfaen" w:cs="Sylfaen"/>
              </w:rPr>
              <w:t>ღია</w:t>
            </w:r>
            <w:r w:rsidRPr="001352AB">
              <w:t xml:space="preserve"> </w:t>
            </w:r>
            <w:r w:rsidRPr="001352AB">
              <w:rPr>
                <w:rFonts w:ascii="Sylfaen" w:hAnsi="Sylfaen" w:cs="Sylfaen"/>
              </w:rPr>
              <w:t>ოთხივე</w:t>
            </w:r>
            <w:r w:rsidRPr="001352AB">
              <w:t xml:space="preserve"> </w:t>
            </w:r>
            <w:r w:rsidRPr="001352AB">
              <w:rPr>
                <w:rFonts w:ascii="Sylfaen" w:hAnsi="Sylfaen" w:cs="Sylfaen"/>
              </w:rPr>
              <w:t>მხრიდან</w:t>
            </w:r>
            <w:r w:rsidRPr="001352AB">
              <w:t xml:space="preserve"> </w:t>
            </w:r>
          </w:p>
        </w:tc>
        <w:tc>
          <w:tcPr>
            <w:tcW w:w="1286" w:type="pct"/>
            <w:tcBorders>
              <w:top w:val="single" w:sz="4" w:space="0" w:color="000000"/>
              <w:left w:val="single" w:sz="4" w:space="0" w:color="000000"/>
              <w:bottom w:val="single" w:sz="4" w:space="0" w:color="000000"/>
              <w:right w:val="single" w:sz="6" w:space="0" w:color="auto"/>
            </w:tcBorders>
            <w:hideMark/>
          </w:tcPr>
          <w:p w14:paraId="3C160BF7" w14:textId="77777777" w:rsidR="00CD64B5" w:rsidRPr="001352AB" w:rsidRDefault="00CD64B5" w:rsidP="00CD64B5">
            <w:r w:rsidRPr="001352AB">
              <w:t>K4 = 1</w:t>
            </w:r>
          </w:p>
        </w:tc>
      </w:tr>
      <w:tr w:rsidR="00CD64B5" w:rsidRPr="001352AB" w14:paraId="2B6CB394" w14:textId="77777777" w:rsidTr="00CD64B5">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14:paraId="0BFCF8E5" w14:textId="77777777" w:rsidR="00CD64B5" w:rsidRPr="001352AB" w:rsidRDefault="00CD64B5" w:rsidP="00CD64B5">
            <w:r w:rsidRPr="001352AB">
              <w:rPr>
                <w:rFonts w:ascii="Sylfaen" w:hAnsi="Sylfaen" w:cs="Sylfaen"/>
              </w:rPr>
              <w:t>მასალის</w:t>
            </w:r>
            <w:r w:rsidRPr="001352AB">
              <w:t xml:space="preserve"> </w:t>
            </w:r>
            <w:r w:rsidRPr="001352AB">
              <w:rPr>
                <w:rFonts w:ascii="Sylfaen" w:hAnsi="Sylfaen" w:cs="Sylfaen"/>
              </w:rPr>
              <w:t>ტენიანობა</w:t>
            </w:r>
            <w:r w:rsidRPr="001352AB">
              <w:t xml:space="preserve"> 10%-</w:t>
            </w:r>
            <w:r w:rsidRPr="001352AB">
              <w:rPr>
                <w:rFonts w:ascii="Sylfaen" w:hAnsi="Sylfaen" w:cs="Sylfaen"/>
              </w:rPr>
              <w:t>მდე</w:t>
            </w:r>
            <w:r w:rsidRPr="001352AB">
              <w:t xml:space="preserve"> </w:t>
            </w:r>
          </w:p>
        </w:tc>
        <w:tc>
          <w:tcPr>
            <w:tcW w:w="1286" w:type="pct"/>
            <w:tcBorders>
              <w:top w:val="single" w:sz="4" w:space="0" w:color="000000"/>
              <w:left w:val="single" w:sz="4" w:space="0" w:color="000000"/>
              <w:bottom w:val="single" w:sz="4" w:space="0" w:color="000000"/>
              <w:right w:val="single" w:sz="6" w:space="0" w:color="auto"/>
            </w:tcBorders>
            <w:hideMark/>
          </w:tcPr>
          <w:p w14:paraId="02E52297" w14:textId="77777777" w:rsidR="00CD64B5" w:rsidRPr="001352AB" w:rsidRDefault="00CD64B5" w:rsidP="00CD64B5">
            <w:r w:rsidRPr="001352AB">
              <w:t>K5 = 0,1</w:t>
            </w:r>
          </w:p>
        </w:tc>
      </w:tr>
      <w:tr w:rsidR="00CD64B5" w:rsidRPr="001352AB" w14:paraId="2DDE71C1" w14:textId="77777777" w:rsidTr="00CD64B5">
        <w:trPr>
          <w:trHeight w:val="266"/>
          <w:jc w:val="center"/>
        </w:trPr>
        <w:tc>
          <w:tcPr>
            <w:tcW w:w="3714" w:type="pct"/>
            <w:tcBorders>
              <w:top w:val="single" w:sz="4" w:space="0" w:color="000000"/>
              <w:left w:val="single" w:sz="6" w:space="0" w:color="auto"/>
              <w:bottom w:val="single" w:sz="4" w:space="0" w:color="000000"/>
              <w:right w:val="single" w:sz="4" w:space="0" w:color="000000"/>
            </w:tcBorders>
            <w:hideMark/>
          </w:tcPr>
          <w:p w14:paraId="0431FB81" w14:textId="77777777" w:rsidR="00CD64B5" w:rsidRPr="001352AB" w:rsidRDefault="00CD64B5" w:rsidP="00CD64B5">
            <w:r w:rsidRPr="001352AB">
              <w:rPr>
                <w:rFonts w:ascii="Sylfaen" w:hAnsi="Sylfaen" w:cs="Sylfaen"/>
              </w:rPr>
              <w:t>დასასაწყობებელი</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ზედაპირის</w:t>
            </w:r>
            <w:r w:rsidRPr="001352AB">
              <w:t xml:space="preserve"> </w:t>
            </w:r>
            <w:r w:rsidRPr="001352AB">
              <w:rPr>
                <w:rFonts w:ascii="Sylfaen" w:hAnsi="Sylfaen" w:cs="Sylfaen"/>
              </w:rPr>
              <w:t>პროფილი</w:t>
            </w:r>
            <w:r w:rsidRPr="001352AB">
              <w:t xml:space="preserve"> </w:t>
            </w:r>
          </w:p>
        </w:tc>
        <w:tc>
          <w:tcPr>
            <w:tcW w:w="1286" w:type="pct"/>
            <w:tcBorders>
              <w:top w:val="single" w:sz="4" w:space="0" w:color="000000"/>
              <w:left w:val="single" w:sz="4" w:space="0" w:color="000000"/>
              <w:bottom w:val="single" w:sz="4" w:space="0" w:color="000000"/>
              <w:right w:val="single" w:sz="6" w:space="0" w:color="auto"/>
            </w:tcBorders>
            <w:hideMark/>
          </w:tcPr>
          <w:p w14:paraId="0C8A39F7" w14:textId="77777777" w:rsidR="00CD64B5" w:rsidRPr="001352AB" w:rsidRDefault="00CD64B5" w:rsidP="00CD64B5">
            <w:r w:rsidRPr="001352AB">
              <w:t>K6 = 600 / 400 = 1,5</w:t>
            </w:r>
          </w:p>
        </w:tc>
      </w:tr>
      <w:tr w:rsidR="00CD64B5" w:rsidRPr="001352AB" w14:paraId="1FCCEFA4" w14:textId="77777777" w:rsidTr="00CD64B5">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14:paraId="49BEB55B" w14:textId="77777777" w:rsidR="00CD64B5" w:rsidRPr="001352AB" w:rsidRDefault="00CD64B5" w:rsidP="00CD64B5">
            <w:r w:rsidRPr="001352AB">
              <w:rPr>
                <w:rFonts w:ascii="Sylfaen" w:hAnsi="Sylfaen" w:cs="Sylfaen"/>
              </w:rPr>
              <w:t>მასალის</w:t>
            </w:r>
            <w:r w:rsidRPr="001352AB">
              <w:t xml:space="preserve"> </w:t>
            </w:r>
            <w:r w:rsidRPr="001352AB">
              <w:rPr>
                <w:rFonts w:ascii="Sylfaen" w:hAnsi="Sylfaen" w:cs="Sylfaen"/>
              </w:rPr>
              <w:t>ზომები</w:t>
            </w:r>
            <w:r w:rsidRPr="001352AB">
              <w:t xml:space="preserve"> – 500-100 </w:t>
            </w:r>
            <w:r w:rsidRPr="001352AB">
              <w:rPr>
                <w:rFonts w:ascii="Sylfaen" w:hAnsi="Sylfaen" w:cs="Sylfaen"/>
              </w:rPr>
              <w:t>მმ</w:t>
            </w:r>
          </w:p>
        </w:tc>
        <w:tc>
          <w:tcPr>
            <w:tcW w:w="1286" w:type="pct"/>
            <w:tcBorders>
              <w:top w:val="single" w:sz="4" w:space="0" w:color="000000"/>
              <w:left w:val="single" w:sz="4" w:space="0" w:color="000000"/>
              <w:bottom w:val="single" w:sz="4" w:space="0" w:color="000000"/>
              <w:right w:val="single" w:sz="6" w:space="0" w:color="auto"/>
            </w:tcBorders>
            <w:hideMark/>
          </w:tcPr>
          <w:p w14:paraId="34403F66" w14:textId="77777777" w:rsidR="00CD64B5" w:rsidRPr="001352AB" w:rsidRDefault="00CD64B5" w:rsidP="00CD64B5">
            <w:r w:rsidRPr="001352AB">
              <w:t>K7 = 0,5</w:t>
            </w:r>
          </w:p>
        </w:tc>
      </w:tr>
      <w:tr w:rsidR="00CD64B5" w:rsidRPr="001352AB" w14:paraId="65FF34D9" w14:textId="77777777" w:rsidTr="00CD64B5">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14:paraId="14123A47" w14:textId="77777777" w:rsidR="00CD64B5" w:rsidRPr="001352AB" w:rsidRDefault="00CD64B5" w:rsidP="00CD64B5">
            <w:r w:rsidRPr="001352AB">
              <w:rPr>
                <w:rFonts w:ascii="Sylfaen" w:hAnsi="Sylfaen" w:cs="Sylfaen"/>
              </w:rPr>
              <w:t>ქარის</w:t>
            </w:r>
            <w:r w:rsidRPr="001352AB">
              <w:t xml:space="preserve"> </w:t>
            </w:r>
            <w:r w:rsidRPr="001352AB">
              <w:rPr>
                <w:rFonts w:ascii="Sylfaen" w:hAnsi="Sylfaen" w:cs="Sylfaen"/>
              </w:rPr>
              <w:t>საანგარიშო</w:t>
            </w:r>
            <w:r w:rsidRPr="001352AB">
              <w:t xml:space="preserve"> </w:t>
            </w:r>
            <w:r w:rsidRPr="001352AB">
              <w:rPr>
                <w:rFonts w:ascii="Sylfaen" w:hAnsi="Sylfaen" w:cs="Sylfaen"/>
              </w:rPr>
              <w:t>სიჩქარეები</w:t>
            </w:r>
            <w:r w:rsidRPr="001352AB">
              <w:t>,</w:t>
            </w:r>
            <w:r w:rsidRPr="001352AB">
              <w:rPr>
                <w:rFonts w:ascii="Sylfaen" w:hAnsi="Sylfaen" w:cs="Sylfaen"/>
              </w:rPr>
              <w:t>მ</w:t>
            </w:r>
            <w:r w:rsidRPr="001352AB">
              <w:t>/</w:t>
            </w:r>
            <w:r w:rsidRPr="001352AB">
              <w:rPr>
                <w:rFonts w:ascii="Sylfaen" w:hAnsi="Sylfaen" w:cs="Sylfaen"/>
              </w:rPr>
              <w:t>წმ</w:t>
            </w:r>
            <w:r w:rsidRPr="001352AB">
              <w:t xml:space="preserve"> </w:t>
            </w:r>
          </w:p>
        </w:tc>
        <w:tc>
          <w:tcPr>
            <w:tcW w:w="1286" w:type="pct"/>
            <w:tcBorders>
              <w:top w:val="single" w:sz="4" w:space="0" w:color="000000"/>
              <w:left w:val="single" w:sz="4" w:space="0" w:color="000000"/>
              <w:bottom w:val="single" w:sz="4" w:space="0" w:color="000000"/>
              <w:right w:val="single" w:sz="6" w:space="0" w:color="auto"/>
            </w:tcBorders>
            <w:hideMark/>
          </w:tcPr>
          <w:p w14:paraId="1A526526" w14:textId="77777777" w:rsidR="00CD64B5" w:rsidRPr="001352AB" w:rsidRDefault="00CD64B5" w:rsidP="00CD64B5">
            <w:r w:rsidRPr="001352AB">
              <w:t>U' = 0,5; 4,5</w:t>
            </w:r>
          </w:p>
        </w:tc>
      </w:tr>
      <w:tr w:rsidR="00CD64B5" w:rsidRPr="001352AB" w14:paraId="1C88BDBD" w14:textId="77777777" w:rsidTr="00CD64B5">
        <w:trPr>
          <w:trHeight w:val="266"/>
          <w:jc w:val="center"/>
        </w:trPr>
        <w:tc>
          <w:tcPr>
            <w:tcW w:w="3714" w:type="pct"/>
            <w:tcBorders>
              <w:top w:val="single" w:sz="4" w:space="0" w:color="000000"/>
              <w:left w:val="single" w:sz="6" w:space="0" w:color="auto"/>
              <w:bottom w:val="single" w:sz="4" w:space="0" w:color="000000"/>
              <w:right w:val="single" w:sz="4" w:space="0" w:color="000000"/>
            </w:tcBorders>
            <w:hideMark/>
          </w:tcPr>
          <w:p w14:paraId="0A9B6511" w14:textId="77777777" w:rsidR="00CD64B5" w:rsidRPr="001352AB" w:rsidRDefault="00CD64B5" w:rsidP="00CD64B5">
            <w:r w:rsidRPr="001352AB">
              <w:rPr>
                <w:rFonts w:ascii="Sylfaen" w:hAnsi="Sylfaen" w:cs="Sylfaen"/>
              </w:rPr>
              <w:t>ქარის</w:t>
            </w:r>
            <w:r w:rsidRPr="001352AB">
              <w:t xml:space="preserve"> </w:t>
            </w:r>
            <w:r w:rsidRPr="001352AB">
              <w:rPr>
                <w:rFonts w:ascii="Sylfaen" w:hAnsi="Sylfaen" w:cs="Sylfaen"/>
              </w:rPr>
              <w:t>საშუალო</w:t>
            </w:r>
            <w:r w:rsidRPr="001352AB">
              <w:t xml:space="preserve"> </w:t>
            </w:r>
            <w:r w:rsidRPr="001352AB">
              <w:rPr>
                <w:rFonts w:ascii="Sylfaen" w:hAnsi="Sylfaen" w:cs="Sylfaen"/>
              </w:rPr>
              <w:t>წლიური</w:t>
            </w:r>
            <w:r w:rsidRPr="001352AB">
              <w:t xml:space="preserve"> </w:t>
            </w:r>
            <w:r w:rsidRPr="001352AB">
              <w:rPr>
                <w:rFonts w:ascii="Sylfaen" w:hAnsi="Sylfaen" w:cs="Sylfaen"/>
              </w:rPr>
              <w:t>სიჩქარე</w:t>
            </w:r>
            <w:r w:rsidRPr="001352AB">
              <w:t>,</w:t>
            </w:r>
            <w:r w:rsidRPr="001352AB">
              <w:rPr>
                <w:rFonts w:ascii="Sylfaen" w:hAnsi="Sylfaen" w:cs="Sylfaen"/>
              </w:rPr>
              <w:t>მ</w:t>
            </w:r>
            <w:r w:rsidRPr="001352AB">
              <w:t>/</w:t>
            </w:r>
            <w:r w:rsidRPr="001352AB">
              <w:rPr>
                <w:rFonts w:ascii="Sylfaen" w:hAnsi="Sylfaen" w:cs="Sylfaen"/>
              </w:rPr>
              <w:t>წმ</w:t>
            </w:r>
            <w:r w:rsidRPr="001352AB">
              <w:t xml:space="preserve"> </w:t>
            </w:r>
          </w:p>
        </w:tc>
        <w:tc>
          <w:tcPr>
            <w:tcW w:w="1286" w:type="pct"/>
            <w:tcBorders>
              <w:top w:val="single" w:sz="4" w:space="0" w:color="000000"/>
              <w:left w:val="single" w:sz="4" w:space="0" w:color="000000"/>
              <w:bottom w:val="single" w:sz="4" w:space="0" w:color="000000"/>
              <w:right w:val="single" w:sz="6" w:space="0" w:color="auto"/>
            </w:tcBorders>
            <w:hideMark/>
          </w:tcPr>
          <w:p w14:paraId="0680F6CD" w14:textId="77777777" w:rsidR="00CD64B5" w:rsidRPr="001352AB" w:rsidRDefault="00CD64B5" w:rsidP="00CD64B5">
            <w:r w:rsidRPr="001352AB">
              <w:t>U = 4,5</w:t>
            </w:r>
          </w:p>
        </w:tc>
      </w:tr>
      <w:tr w:rsidR="00CD64B5" w:rsidRPr="001352AB" w14:paraId="0050F44D" w14:textId="77777777" w:rsidTr="00CD64B5">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14:paraId="44E3B608" w14:textId="77777777" w:rsidR="00CD64B5" w:rsidRPr="001352AB" w:rsidRDefault="00CD64B5" w:rsidP="00CD64B5">
            <w:r w:rsidRPr="001352AB">
              <w:rPr>
                <w:rFonts w:ascii="Sylfaen" w:hAnsi="Sylfaen" w:cs="Sylfaen"/>
              </w:rPr>
              <w:t>გადატვირთვის</w:t>
            </w:r>
            <w:r w:rsidRPr="001352AB">
              <w:t xml:space="preserve"> </w:t>
            </w:r>
            <w:r w:rsidRPr="001352AB">
              <w:rPr>
                <w:rFonts w:ascii="Sylfaen" w:hAnsi="Sylfaen" w:cs="Sylfaen"/>
              </w:rPr>
              <w:t>სამუშაოების</w:t>
            </w:r>
            <w:r w:rsidRPr="001352AB">
              <w:t xml:space="preserve"> </w:t>
            </w:r>
            <w:r w:rsidRPr="001352AB">
              <w:rPr>
                <w:rFonts w:ascii="Sylfaen" w:hAnsi="Sylfaen" w:cs="Sylfaen"/>
              </w:rPr>
              <w:t>ზედაპირის</w:t>
            </w:r>
            <w:r w:rsidRPr="001352AB">
              <w:t xml:space="preserve"> </w:t>
            </w:r>
            <w:r w:rsidRPr="001352AB">
              <w:rPr>
                <w:rFonts w:ascii="Sylfaen" w:hAnsi="Sylfaen" w:cs="Sylfaen"/>
              </w:rPr>
              <w:t>მუშა</w:t>
            </w:r>
            <w:r w:rsidRPr="001352AB">
              <w:t xml:space="preserve"> </w:t>
            </w:r>
            <w:r w:rsidRPr="001352AB">
              <w:rPr>
                <w:rFonts w:ascii="Sylfaen" w:hAnsi="Sylfaen" w:cs="Sylfaen"/>
              </w:rPr>
              <w:t>ფართი</w:t>
            </w:r>
            <w:r w:rsidRPr="001352AB">
              <w:t xml:space="preserve">, </w:t>
            </w:r>
            <w:r w:rsidRPr="001352AB">
              <w:rPr>
                <w:rFonts w:ascii="Sylfaen" w:hAnsi="Sylfaen" w:cs="Sylfaen"/>
              </w:rPr>
              <w:t>მ</w:t>
            </w:r>
            <w:r w:rsidRPr="001352AB">
              <w:t xml:space="preserve">2 </w:t>
            </w:r>
          </w:p>
        </w:tc>
        <w:tc>
          <w:tcPr>
            <w:tcW w:w="1286" w:type="pct"/>
            <w:tcBorders>
              <w:top w:val="single" w:sz="4" w:space="0" w:color="000000"/>
              <w:left w:val="single" w:sz="4" w:space="0" w:color="000000"/>
              <w:bottom w:val="single" w:sz="4" w:space="0" w:color="000000"/>
              <w:right w:val="single" w:sz="6" w:space="0" w:color="auto"/>
            </w:tcBorders>
            <w:hideMark/>
          </w:tcPr>
          <w:p w14:paraId="6ECB177C" w14:textId="77777777" w:rsidR="00CD64B5" w:rsidRPr="001352AB" w:rsidRDefault="00CD64B5" w:rsidP="00CD64B5">
            <w:r w:rsidRPr="001352AB">
              <w:t>Fраб = 20</w:t>
            </w:r>
          </w:p>
        </w:tc>
      </w:tr>
      <w:tr w:rsidR="00CD64B5" w:rsidRPr="001352AB" w14:paraId="38935014" w14:textId="77777777" w:rsidTr="00CD64B5">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14:paraId="3CB8D204" w14:textId="77777777" w:rsidR="00CD64B5" w:rsidRPr="001352AB" w:rsidRDefault="00CD64B5" w:rsidP="00CD64B5">
            <w:r w:rsidRPr="001352AB">
              <w:rPr>
                <w:rFonts w:ascii="Sylfaen" w:hAnsi="Sylfaen" w:cs="Sylfaen"/>
              </w:rPr>
              <w:t>ამტვერების</w:t>
            </w:r>
            <w:r w:rsidRPr="001352AB">
              <w:t xml:space="preserve"> </w:t>
            </w:r>
            <w:r w:rsidRPr="001352AB">
              <w:rPr>
                <w:rFonts w:ascii="Sylfaen" w:hAnsi="Sylfaen" w:cs="Sylfaen"/>
              </w:rPr>
              <w:t>ზედაპირის</w:t>
            </w:r>
            <w:r w:rsidRPr="001352AB">
              <w:t xml:space="preserve"> </w:t>
            </w:r>
            <w:r w:rsidRPr="001352AB">
              <w:rPr>
                <w:rFonts w:ascii="Sylfaen" w:hAnsi="Sylfaen" w:cs="Sylfaen"/>
              </w:rPr>
              <w:t>ფართი</w:t>
            </w:r>
            <w:r w:rsidRPr="001352AB">
              <w:t xml:space="preserve"> </w:t>
            </w:r>
            <w:r w:rsidRPr="001352AB">
              <w:rPr>
                <w:rFonts w:ascii="Sylfaen" w:hAnsi="Sylfaen" w:cs="Sylfaen"/>
              </w:rPr>
              <w:t>გეგმაზე</w:t>
            </w:r>
            <w:r w:rsidRPr="001352AB">
              <w:t xml:space="preserve">, </w:t>
            </w:r>
            <w:r w:rsidRPr="001352AB">
              <w:rPr>
                <w:rFonts w:ascii="Sylfaen" w:hAnsi="Sylfaen" w:cs="Sylfaen"/>
              </w:rPr>
              <w:t>მ</w:t>
            </w:r>
            <w:r w:rsidRPr="001352AB">
              <w:t xml:space="preserve">2 </w:t>
            </w:r>
          </w:p>
        </w:tc>
        <w:tc>
          <w:tcPr>
            <w:tcW w:w="1286" w:type="pct"/>
            <w:tcBorders>
              <w:top w:val="single" w:sz="4" w:space="0" w:color="000000"/>
              <w:left w:val="single" w:sz="4" w:space="0" w:color="000000"/>
              <w:bottom w:val="single" w:sz="4" w:space="0" w:color="000000"/>
              <w:right w:val="single" w:sz="6" w:space="0" w:color="auto"/>
            </w:tcBorders>
            <w:hideMark/>
          </w:tcPr>
          <w:p w14:paraId="195DA518" w14:textId="77777777" w:rsidR="00CD64B5" w:rsidRPr="001352AB" w:rsidRDefault="00CD64B5" w:rsidP="00CD64B5">
            <w:r w:rsidRPr="001352AB">
              <w:t>Fпл = 400</w:t>
            </w:r>
          </w:p>
        </w:tc>
      </w:tr>
      <w:tr w:rsidR="00CD64B5" w:rsidRPr="001352AB" w14:paraId="003170AE" w14:textId="77777777" w:rsidTr="00CD64B5">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14:paraId="0673D840" w14:textId="77777777" w:rsidR="00CD64B5" w:rsidRPr="001352AB" w:rsidRDefault="00CD64B5" w:rsidP="00CD64B5">
            <w:r w:rsidRPr="001352AB">
              <w:rPr>
                <w:rFonts w:ascii="Sylfaen" w:hAnsi="Sylfaen" w:cs="Sylfaen"/>
              </w:rPr>
              <w:t>ამტვერების</w:t>
            </w:r>
            <w:r w:rsidRPr="001352AB">
              <w:t xml:space="preserve"> </w:t>
            </w:r>
            <w:r w:rsidRPr="001352AB">
              <w:rPr>
                <w:rFonts w:ascii="Sylfaen" w:hAnsi="Sylfaen" w:cs="Sylfaen"/>
              </w:rPr>
              <w:t>ზედაპირის</w:t>
            </w:r>
            <w:r w:rsidRPr="001352AB">
              <w:t xml:space="preserve"> </w:t>
            </w:r>
            <w:r w:rsidRPr="001352AB">
              <w:rPr>
                <w:rFonts w:ascii="Sylfaen" w:hAnsi="Sylfaen" w:cs="Sylfaen"/>
              </w:rPr>
              <w:t>ფაქტიური</w:t>
            </w:r>
            <w:r w:rsidRPr="001352AB">
              <w:t xml:space="preserve"> </w:t>
            </w:r>
            <w:r w:rsidRPr="001352AB">
              <w:rPr>
                <w:rFonts w:ascii="Sylfaen" w:hAnsi="Sylfaen" w:cs="Sylfaen"/>
              </w:rPr>
              <w:t>ფართი</w:t>
            </w:r>
            <w:r w:rsidRPr="001352AB">
              <w:t xml:space="preserve"> </w:t>
            </w:r>
            <w:r w:rsidRPr="001352AB">
              <w:rPr>
                <w:rFonts w:ascii="Sylfaen" w:hAnsi="Sylfaen" w:cs="Sylfaen"/>
              </w:rPr>
              <w:t>გეგმაზე</w:t>
            </w:r>
            <w:r w:rsidRPr="001352AB">
              <w:t xml:space="preserve">, </w:t>
            </w:r>
            <w:r w:rsidRPr="001352AB">
              <w:rPr>
                <w:rFonts w:ascii="Sylfaen" w:hAnsi="Sylfaen" w:cs="Sylfaen"/>
              </w:rPr>
              <w:t>მ</w:t>
            </w:r>
            <w:r w:rsidRPr="001352AB">
              <w:t xml:space="preserve">2 </w:t>
            </w:r>
          </w:p>
        </w:tc>
        <w:tc>
          <w:tcPr>
            <w:tcW w:w="1286" w:type="pct"/>
            <w:tcBorders>
              <w:top w:val="single" w:sz="4" w:space="0" w:color="000000"/>
              <w:left w:val="single" w:sz="4" w:space="0" w:color="000000"/>
              <w:bottom w:val="single" w:sz="4" w:space="0" w:color="000000"/>
              <w:right w:val="single" w:sz="6" w:space="0" w:color="auto"/>
            </w:tcBorders>
            <w:hideMark/>
          </w:tcPr>
          <w:p w14:paraId="253BBF95" w14:textId="77777777" w:rsidR="00CD64B5" w:rsidRPr="001352AB" w:rsidRDefault="00CD64B5" w:rsidP="00CD64B5">
            <w:r w:rsidRPr="001352AB">
              <w:t>Fмакс = 600</w:t>
            </w:r>
          </w:p>
        </w:tc>
      </w:tr>
      <w:tr w:rsidR="00CD64B5" w:rsidRPr="001352AB" w14:paraId="1F53D76D" w14:textId="77777777" w:rsidTr="00CD64B5">
        <w:trPr>
          <w:trHeight w:val="266"/>
          <w:jc w:val="center"/>
        </w:trPr>
        <w:tc>
          <w:tcPr>
            <w:tcW w:w="3714" w:type="pct"/>
            <w:tcBorders>
              <w:top w:val="single" w:sz="4" w:space="0" w:color="000000"/>
              <w:left w:val="single" w:sz="6" w:space="0" w:color="auto"/>
              <w:bottom w:val="single" w:sz="4" w:space="0" w:color="000000"/>
              <w:right w:val="single" w:sz="4" w:space="0" w:color="000000"/>
            </w:tcBorders>
            <w:hideMark/>
          </w:tcPr>
          <w:p w14:paraId="03BC6382" w14:textId="77777777" w:rsidR="00CD64B5" w:rsidRPr="001352AB" w:rsidRDefault="00CD64B5" w:rsidP="00CD64B5">
            <w:r w:rsidRPr="001352AB">
              <w:rPr>
                <w:rFonts w:ascii="Sylfaen" w:hAnsi="Sylfaen" w:cs="Sylfaen"/>
              </w:rPr>
              <w:t>მასალის</w:t>
            </w:r>
            <w:r w:rsidRPr="001352AB">
              <w:t xml:space="preserve"> </w:t>
            </w:r>
            <w:r w:rsidRPr="001352AB">
              <w:rPr>
                <w:rFonts w:ascii="Sylfaen" w:hAnsi="Sylfaen" w:cs="Sylfaen"/>
              </w:rPr>
              <w:t>შენახვის</w:t>
            </w:r>
            <w:r w:rsidRPr="001352AB">
              <w:t xml:space="preserve"> </w:t>
            </w:r>
            <w:r w:rsidRPr="001352AB">
              <w:rPr>
                <w:rFonts w:ascii="Sylfaen" w:hAnsi="Sylfaen" w:cs="Sylfaen"/>
              </w:rPr>
              <w:t>საერთო</w:t>
            </w:r>
            <w:r w:rsidRPr="001352AB">
              <w:t xml:space="preserve"> </w:t>
            </w:r>
            <w:r w:rsidRPr="001352AB">
              <w:rPr>
                <w:rFonts w:ascii="Sylfaen" w:hAnsi="Sylfaen" w:cs="Sylfaen"/>
              </w:rPr>
              <w:t>დრო</w:t>
            </w:r>
            <w:r w:rsidRPr="001352AB">
              <w:t xml:space="preserve"> </w:t>
            </w:r>
            <w:r w:rsidRPr="001352AB">
              <w:rPr>
                <w:rFonts w:ascii="Sylfaen" w:hAnsi="Sylfaen" w:cs="Sylfaen"/>
              </w:rPr>
              <w:t>განსახილვევლ</w:t>
            </w:r>
            <w:r w:rsidRPr="001352AB">
              <w:t xml:space="preserve"> </w:t>
            </w:r>
            <w:r w:rsidRPr="001352AB">
              <w:rPr>
                <w:rFonts w:ascii="Sylfaen" w:hAnsi="Sylfaen" w:cs="Sylfaen"/>
              </w:rPr>
              <w:t>პერიოდში</w:t>
            </w:r>
            <w:r w:rsidRPr="001352AB">
              <w:t xml:space="preserve">, </w:t>
            </w:r>
            <w:r w:rsidRPr="001352AB">
              <w:rPr>
                <w:rFonts w:ascii="Sylfaen" w:hAnsi="Sylfaen" w:cs="Sylfaen"/>
              </w:rPr>
              <w:t>დღ</w:t>
            </w:r>
            <w:r w:rsidRPr="001352AB">
              <w:t xml:space="preserve">. </w:t>
            </w:r>
          </w:p>
        </w:tc>
        <w:tc>
          <w:tcPr>
            <w:tcW w:w="1286" w:type="pct"/>
            <w:tcBorders>
              <w:top w:val="single" w:sz="4" w:space="0" w:color="000000"/>
              <w:left w:val="single" w:sz="4" w:space="0" w:color="000000"/>
              <w:bottom w:val="single" w:sz="4" w:space="0" w:color="000000"/>
              <w:right w:val="single" w:sz="6" w:space="0" w:color="auto"/>
            </w:tcBorders>
            <w:hideMark/>
          </w:tcPr>
          <w:p w14:paraId="6D4230B7" w14:textId="77777777" w:rsidR="00CD64B5" w:rsidRPr="001352AB" w:rsidRDefault="00CD64B5" w:rsidP="00CD64B5">
            <w:r w:rsidRPr="001352AB">
              <w:t>T = 366</w:t>
            </w:r>
          </w:p>
        </w:tc>
      </w:tr>
      <w:tr w:rsidR="00CD64B5" w:rsidRPr="001352AB" w14:paraId="2038D444" w14:textId="77777777" w:rsidTr="00CD64B5">
        <w:trPr>
          <w:trHeight w:val="251"/>
          <w:jc w:val="center"/>
        </w:trPr>
        <w:tc>
          <w:tcPr>
            <w:tcW w:w="3714" w:type="pct"/>
            <w:tcBorders>
              <w:top w:val="single" w:sz="4" w:space="0" w:color="000000"/>
              <w:left w:val="single" w:sz="6" w:space="0" w:color="auto"/>
              <w:bottom w:val="single" w:sz="4" w:space="0" w:color="000000"/>
              <w:right w:val="single" w:sz="4" w:space="0" w:color="000000"/>
            </w:tcBorders>
            <w:hideMark/>
          </w:tcPr>
          <w:p w14:paraId="6E7C365A" w14:textId="77777777" w:rsidR="00CD64B5" w:rsidRPr="001352AB" w:rsidRDefault="00CD64B5" w:rsidP="00CD64B5">
            <w:r w:rsidRPr="001352AB">
              <w:rPr>
                <w:rFonts w:ascii="Sylfaen" w:hAnsi="Sylfaen" w:cs="Sylfaen"/>
              </w:rPr>
              <w:t>წვიმიან</w:t>
            </w:r>
            <w:r w:rsidRPr="001352AB">
              <w:t xml:space="preserve"> </w:t>
            </w:r>
            <w:r w:rsidRPr="001352AB">
              <w:rPr>
                <w:rFonts w:ascii="Sylfaen" w:hAnsi="Sylfaen" w:cs="Sylfaen"/>
              </w:rPr>
              <w:t>დღეთა</w:t>
            </w:r>
            <w:r w:rsidRPr="001352AB">
              <w:t xml:space="preserve"> </w:t>
            </w:r>
            <w:r w:rsidRPr="001352AB">
              <w:rPr>
                <w:rFonts w:ascii="Sylfaen" w:hAnsi="Sylfaen" w:cs="Sylfaen"/>
              </w:rPr>
              <w:t>რიცხვი</w:t>
            </w:r>
          </w:p>
        </w:tc>
        <w:tc>
          <w:tcPr>
            <w:tcW w:w="1286" w:type="pct"/>
            <w:tcBorders>
              <w:top w:val="single" w:sz="4" w:space="0" w:color="000000"/>
              <w:left w:val="single" w:sz="4" w:space="0" w:color="000000"/>
              <w:bottom w:val="single" w:sz="4" w:space="0" w:color="000000"/>
              <w:right w:val="single" w:sz="6" w:space="0" w:color="auto"/>
            </w:tcBorders>
            <w:hideMark/>
          </w:tcPr>
          <w:p w14:paraId="2E3E1F05" w14:textId="77777777" w:rsidR="00CD64B5" w:rsidRPr="001352AB" w:rsidRDefault="00CD64B5" w:rsidP="00CD64B5">
            <w:r w:rsidRPr="001352AB">
              <w:t>Tд = 70</w:t>
            </w:r>
          </w:p>
        </w:tc>
      </w:tr>
      <w:tr w:rsidR="00CD64B5" w:rsidRPr="001352AB" w14:paraId="30C1B42C" w14:textId="77777777" w:rsidTr="00CD64B5">
        <w:trPr>
          <w:trHeight w:val="266"/>
          <w:jc w:val="center"/>
        </w:trPr>
        <w:tc>
          <w:tcPr>
            <w:tcW w:w="3714" w:type="pct"/>
            <w:tcBorders>
              <w:top w:val="single" w:sz="4" w:space="0" w:color="000000"/>
              <w:left w:val="single" w:sz="6" w:space="0" w:color="auto"/>
              <w:bottom w:val="single" w:sz="8" w:space="0" w:color="auto"/>
              <w:right w:val="single" w:sz="4" w:space="0" w:color="000000"/>
            </w:tcBorders>
            <w:hideMark/>
          </w:tcPr>
          <w:p w14:paraId="3F33F930" w14:textId="77777777" w:rsidR="00CD64B5" w:rsidRPr="001352AB" w:rsidRDefault="00CD64B5" w:rsidP="00CD64B5">
            <w:r w:rsidRPr="001352AB">
              <w:rPr>
                <w:rFonts w:ascii="Sylfaen" w:hAnsi="Sylfaen" w:cs="Sylfaen"/>
              </w:rPr>
              <w:t>მდგრადი</w:t>
            </w:r>
            <w:r w:rsidRPr="001352AB">
              <w:t xml:space="preserve"> </w:t>
            </w:r>
            <w:r w:rsidRPr="001352AB">
              <w:rPr>
                <w:rFonts w:ascii="Sylfaen" w:hAnsi="Sylfaen" w:cs="Sylfaen"/>
              </w:rPr>
              <w:t>თოვლის</w:t>
            </w:r>
            <w:r w:rsidRPr="001352AB">
              <w:t xml:space="preserve"> </w:t>
            </w:r>
            <w:r w:rsidRPr="001352AB">
              <w:rPr>
                <w:rFonts w:ascii="Sylfaen" w:hAnsi="Sylfaen" w:cs="Sylfaen"/>
              </w:rPr>
              <w:t>საფარიან</w:t>
            </w:r>
            <w:r w:rsidRPr="001352AB">
              <w:t xml:space="preserve"> </w:t>
            </w:r>
            <w:r w:rsidRPr="001352AB">
              <w:rPr>
                <w:rFonts w:ascii="Sylfaen" w:hAnsi="Sylfaen" w:cs="Sylfaen"/>
              </w:rPr>
              <w:t>დღეთა</w:t>
            </w:r>
            <w:r w:rsidRPr="001352AB">
              <w:t xml:space="preserve"> </w:t>
            </w:r>
            <w:r w:rsidRPr="001352AB">
              <w:rPr>
                <w:rFonts w:ascii="Sylfaen" w:hAnsi="Sylfaen" w:cs="Sylfaen"/>
              </w:rPr>
              <w:t>რიცხვი</w:t>
            </w:r>
          </w:p>
        </w:tc>
        <w:tc>
          <w:tcPr>
            <w:tcW w:w="1286" w:type="pct"/>
            <w:tcBorders>
              <w:top w:val="single" w:sz="4" w:space="0" w:color="000000"/>
              <w:left w:val="single" w:sz="4" w:space="0" w:color="000000"/>
              <w:bottom w:val="single" w:sz="8" w:space="0" w:color="auto"/>
              <w:right w:val="single" w:sz="6" w:space="0" w:color="auto"/>
            </w:tcBorders>
            <w:hideMark/>
          </w:tcPr>
          <w:p w14:paraId="47EB8107" w14:textId="77777777" w:rsidR="00CD64B5" w:rsidRPr="001352AB" w:rsidRDefault="00CD64B5" w:rsidP="00CD64B5">
            <w:r w:rsidRPr="001352AB">
              <w:t>Tс = 31</w:t>
            </w:r>
          </w:p>
        </w:tc>
      </w:tr>
    </w:tbl>
    <w:p w14:paraId="697E5703" w14:textId="77777777" w:rsidR="00CD64B5" w:rsidRPr="001352AB" w:rsidRDefault="00CD64B5" w:rsidP="00CD64B5">
      <w:pPr>
        <w:spacing w:before="120" w:after="120"/>
      </w:pPr>
      <w:r w:rsidRPr="001352AB">
        <w:rPr>
          <w:rFonts w:ascii="Sylfaen" w:eastAsia="Calibri" w:hAnsi="Sylfaen" w:cs="Sylfaen"/>
        </w:rPr>
        <w:t>ატმოსფერულ</w:t>
      </w:r>
      <w:r w:rsidRPr="001352AB">
        <w:rPr>
          <w:rFonts w:eastAsia="Calibri"/>
        </w:rPr>
        <w:t xml:space="preserve"> </w:t>
      </w:r>
      <w:r w:rsidRPr="001352AB">
        <w:rPr>
          <w:rFonts w:ascii="Sylfaen" w:eastAsia="Calibri" w:hAnsi="Sylfaen" w:cs="Sylfaen"/>
        </w:rPr>
        <w:t>ჰაერში</w:t>
      </w:r>
      <w:r w:rsidRPr="001352AB">
        <w:rPr>
          <w:rFonts w:eastAsia="Calibri"/>
        </w:rPr>
        <w:t xml:space="preserve"> </w:t>
      </w:r>
      <w:r w:rsidRPr="001352AB">
        <w:rPr>
          <w:rFonts w:ascii="Sylfaen" w:eastAsia="Calibri" w:hAnsi="Sylfaen" w:cs="Sylfaen"/>
        </w:rPr>
        <w:t>დამაბინძურებელ</w:t>
      </w:r>
      <w:r w:rsidRPr="001352AB">
        <w:rPr>
          <w:rFonts w:eastAsia="Calibri"/>
        </w:rPr>
        <w:t xml:space="preserve"> </w:t>
      </w:r>
      <w:r w:rsidRPr="001352AB">
        <w:rPr>
          <w:rFonts w:ascii="Sylfaen" w:eastAsia="Calibri" w:hAnsi="Sylfaen" w:cs="Sylfaen"/>
        </w:rPr>
        <w:t>ნივთიერებათა</w:t>
      </w:r>
      <w:r w:rsidRPr="001352AB">
        <w:rPr>
          <w:rFonts w:eastAsia="Calibri"/>
        </w:rPr>
        <w:t xml:space="preserve"> </w:t>
      </w:r>
      <w:r w:rsidRPr="001352AB">
        <w:rPr>
          <w:rFonts w:ascii="Sylfaen" w:eastAsia="Calibri" w:hAnsi="Sylfaen" w:cs="Sylfaen"/>
        </w:rPr>
        <w:t>მაქსიმალური</w:t>
      </w:r>
      <w:r w:rsidRPr="001352AB">
        <w:rPr>
          <w:rFonts w:eastAsia="Calibri"/>
        </w:rPr>
        <w:t xml:space="preserve"> </w:t>
      </w:r>
      <w:r w:rsidRPr="001352AB">
        <w:rPr>
          <w:rFonts w:ascii="Sylfaen" w:eastAsia="Calibri" w:hAnsi="Sylfaen" w:cs="Sylfaen"/>
        </w:rPr>
        <w:t>ერთჯერადი</w:t>
      </w:r>
      <w:r w:rsidRPr="001352AB">
        <w:rPr>
          <w:rFonts w:eastAsia="Calibri"/>
        </w:rPr>
        <w:t xml:space="preserve"> </w:t>
      </w:r>
      <w:r w:rsidRPr="001352AB">
        <w:rPr>
          <w:rFonts w:ascii="Sylfaen" w:eastAsia="Calibri" w:hAnsi="Sylfaen" w:cs="Sylfaen"/>
        </w:rPr>
        <w:t>და</w:t>
      </w:r>
      <w:r w:rsidRPr="001352AB">
        <w:rPr>
          <w:rFonts w:eastAsia="Calibri"/>
        </w:rPr>
        <w:t xml:space="preserve"> </w:t>
      </w:r>
      <w:r w:rsidRPr="001352AB">
        <w:rPr>
          <w:rFonts w:ascii="Sylfaen" w:eastAsia="Calibri" w:hAnsi="Sylfaen" w:cs="Sylfaen"/>
        </w:rPr>
        <w:t>წლიური</w:t>
      </w:r>
      <w:r w:rsidRPr="001352AB">
        <w:rPr>
          <w:rFonts w:eastAsia="Calibri"/>
        </w:rPr>
        <w:t xml:space="preserve"> </w:t>
      </w:r>
      <w:r w:rsidRPr="001352AB">
        <w:rPr>
          <w:rFonts w:ascii="Sylfaen" w:eastAsia="Calibri" w:hAnsi="Sylfaen" w:cs="Sylfaen"/>
        </w:rPr>
        <w:t>გამოყოფის</w:t>
      </w:r>
      <w:r w:rsidRPr="001352AB">
        <w:rPr>
          <w:rFonts w:eastAsia="Calibri"/>
        </w:rPr>
        <w:t xml:space="preserve"> </w:t>
      </w:r>
      <w:r w:rsidRPr="001352AB">
        <w:rPr>
          <w:rFonts w:ascii="Sylfaen" w:eastAsia="Calibri" w:hAnsi="Sylfaen" w:cs="Sylfaen"/>
        </w:rPr>
        <w:t>გაანგარიშება</w:t>
      </w:r>
      <w:r w:rsidRPr="001352AB">
        <w:rPr>
          <w:rFonts w:eastAsia="Calibri"/>
        </w:rPr>
        <w:t xml:space="preserve"> </w:t>
      </w:r>
      <w:r w:rsidRPr="001352AB">
        <w:rPr>
          <w:rFonts w:ascii="Sylfaen" w:eastAsia="Calibri" w:hAnsi="Sylfaen" w:cs="Sylfaen"/>
        </w:rPr>
        <w:t>მოცემულია</w:t>
      </w:r>
      <w:r w:rsidRPr="001352AB">
        <w:rPr>
          <w:rFonts w:eastAsia="Calibri"/>
        </w:rPr>
        <w:t xml:space="preserve"> </w:t>
      </w:r>
      <w:r w:rsidRPr="001352AB">
        <w:rPr>
          <w:rFonts w:ascii="Sylfaen" w:eastAsia="Calibri" w:hAnsi="Sylfaen" w:cs="Sylfaen"/>
        </w:rPr>
        <w:t>ქვემოთ</w:t>
      </w:r>
      <w:r w:rsidRPr="001352AB">
        <w:rPr>
          <w:rFonts w:eastAsia="Calibri"/>
        </w:rPr>
        <w:t xml:space="preserve">. </w:t>
      </w:r>
    </w:p>
    <w:p w14:paraId="2EDD035B" w14:textId="77777777" w:rsidR="00CD64B5" w:rsidRPr="001352AB" w:rsidRDefault="00CD64B5" w:rsidP="00CD64B5">
      <w:pPr>
        <w:spacing w:before="120" w:after="120"/>
        <w:rPr>
          <w:rFonts w:eastAsia="Calibri"/>
        </w:rPr>
      </w:pPr>
      <w:r w:rsidRPr="001352AB">
        <w:rPr>
          <w:rFonts w:ascii="Sylfaen" w:hAnsi="Sylfaen" w:cs="Sylfaen"/>
        </w:rPr>
        <w:t>ინეტრული</w:t>
      </w:r>
      <w:r w:rsidRPr="001352AB">
        <w:t xml:space="preserve"> </w:t>
      </w:r>
      <w:r w:rsidRPr="001352AB">
        <w:rPr>
          <w:rFonts w:ascii="Sylfaen" w:hAnsi="Sylfaen" w:cs="Sylfaen"/>
        </w:rPr>
        <w:t>მასალა</w:t>
      </w:r>
    </w:p>
    <w:p w14:paraId="6FD677CC" w14:textId="77777777" w:rsidR="00CD64B5" w:rsidRPr="001352AB" w:rsidRDefault="00CD64B5" w:rsidP="00CD64B5">
      <w:pPr>
        <w:spacing w:before="120" w:after="120"/>
      </w:pPr>
      <w:r w:rsidRPr="001352AB">
        <w:t xml:space="preserve">q29080.5 </w:t>
      </w:r>
      <w:r w:rsidRPr="001352AB">
        <w:rPr>
          <w:rFonts w:ascii="Sylfaen" w:hAnsi="Sylfaen" w:cs="Sylfaen"/>
        </w:rPr>
        <w:t>მ</w:t>
      </w:r>
      <w:r w:rsidRPr="001352AB">
        <w:t>/</w:t>
      </w:r>
      <w:r w:rsidRPr="001352AB">
        <w:rPr>
          <w:rFonts w:ascii="Sylfaen" w:hAnsi="Sylfaen" w:cs="Sylfaen"/>
        </w:rPr>
        <w:t>წმ</w:t>
      </w:r>
      <w:r w:rsidRPr="001352AB">
        <w:t xml:space="preserve"> = </w:t>
      </w:r>
      <w:r w:rsidRPr="001352AB">
        <w:rPr>
          <w:rFonts w:eastAsiaTheme="minorEastAsia"/>
        </w:rPr>
        <w:t xml:space="preserve">10-3 · 0,0135 · 0,52.987 = 0,0000017 </w:t>
      </w:r>
      <w:r w:rsidRPr="001352AB">
        <w:rPr>
          <w:rFonts w:ascii="Sylfaen" w:hAnsi="Sylfaen" w:cs="Sylfaen"/>
        </w:rPr>
        <w:t>გ</w:t>
      </w:r>
      <w:r w:rsidRPr="001352AB">
        <w:t>/(</w:t>
      </w:r>
      <w:r w:rsidRPr="001352AB">
        <w:rPr>
          <w:rFonts w:ascii="Sylfaen" w:hAnsi="Sylfaen" w:cs="Sylfaen"/>
        </w:rPr>
        <w:t>მ</w:t>
      </w:r>
      <w:r w:rsidRPr="001352AB">
        <w:t>2*</w:t>
      </w:r>
      <w:r w:rsidRPr="001352AB">
        <w:rPr>
          <w:rFonts w:ascii="Sylfaen" w:hAnsi="Sylfaen" w:cs="Sylfaen"/>
        </w:rPr>
        <w:t>წმ</w:t>
      </w:r>
      <w:r w:rsidRPr="001352AB">
        <w:t>);</w:t>
      </w:r>
    </w:p>
    <w:p w14:paraId="11BEC0BA" w14:textId="77777777" w:rsidR="00CD64B5" w:rsidRPr="001352AB" w:rsidRDefault="00CD64B5" w:rsidP="00CD64B5">
      <w:pPr>
        <w:spacing w:before="120" w:after="120"/>
        <w:rPr>
          <w:lang w:eastAsia="en-US"/>
        </w:rPr>
      </w:pPr>
      <w:r w:rsidRPr="001352AB">
        <w:t xml:space="preserve">M29080.5 </w:t>
      </w:r>
      <w:r w:rsidRPr="001352AB">
        <w:rPr>
          <w:rFonts w:ascii="Sylfaen" w:hAnsi="Sylfaen" w:cs="Sylfaen"/>
        </w:rPr>
        <w:t>მ</w:t>
      </w:r>
      <w:r w:rsidRPr="001352AB">
        <w:t>/</w:t>
      </w:r>
      <w:r w:rsidRPr="001352AB">
        <w:rPr>
          <w:rFonts w:ascii="Sylfaen" w:hAnsi="Sylfaen" w:cs="Sylfaen"/>
        </w:rPr>
        <w:t>წმ</w:t>
      </w:r>
      <w:r w:rsidRPr="001352AB">
        <w:t xml:space="preserve"> = </w:t>
      </w:r>
      <w:r w:rsidRPr="001352AB">
        <w:rPr>
          <w:rFonts w:eastAsiaTheme="minorEastAsia"/>
        </w:rPr>
        <w:t xml:space="preserve">1 · 0,1 · 1,5 · 0,5 · 0,0000017 · 20 + </w:t>
      </w:r>
    </w:p>
    <w:p w14:paraId="5DF45D89" w14:textId="77777777" w:rsidR="00CD64B5" w:rsidRPr="001352AB" w:rsidRDefault="00CD64B5" w:rsidP="00CD64B5">
      <w:pPr>
        <w:spacing w:before="120" w:after="120"/>
      </w:pPr>
      <w:r w:rsidRPr="001352AB">
        <w:rPr>
          <w:rFonts w:eastAsiaTheme="minorEastAsia"/>
        </w:rPr>
        <w:tab/>
        <w:t xml:space="preserve"> + 1 · 0,1 · 1,5 · 0,5 · 0,11 · 0,0000017 · (400 - 20) = 0,0000079 </w:t>
      </w:r>
      <w:r w:rsidRPr="001352AB">
        <w:rPr>
          <w:rFonts w:ascii="Sylfaen" w:hAnsi="Sylfaen" w:cs="Sylfaen"/>
        </w:rPr>
        <w:t>გ</w:t>
      </w:r>
      <w:r w:rsidRPr="001352AB">
        <w:t>/</w:t>
      </w:r>
      <w:r w:rsidRPr="001352AB">
        <w:rPr>
          <w:rFonts w:ascii="Sylfaen" w:hAnsi="Sylfaen" w:cs="Sylfaen"/>
        </w:rPr>
        <w:t>წმ</w:t>
      </w:r>
      <w:r w:rsidRPr="001352AB">
        <w:t>;</w:t>
      </w:r>
    </w:p>
    <w:p w14:paraId="02B532EE" w14:textId="77777777" w:rsidR="00CD64B5" w:rsidRPr="001352AB" w:rsidRDefault="00CD64B5" w:rsidP="00CD64B5">
      <w:pPr>
        <w:spacing w:before="120" w:after="120"/>
        <w:rPr>
          <w:rFonts w:eastAsiaTheme="minorEastAsia"/>
          <w:lang w:eastAsia="ru-RU"/>
        </w:rPr>
      </w:pPr>
      <w:r w:rsidRPr="001352AB">
        <w:lastRenderedPageBreak/>
        <w:t xml:space="preserve">q2908 4,5 </w:t>
      </w:r>
      <w:r w:rsidRPr="001352AB">
        <w:rPr>
          <w:rFonts w:ascii="Sylfaen" w:hAnsi="Sylfaen" w:cs="Sylfaen"/>
        </w:rPr>
        <w:t>მ</w:t>
      </w:r>
      <w:r w:rsidRPr="001352AB">
        <w:t>/</w:t>
      </w:r>
      <w:r w:rsidRPr="001352AB">
        <w:rPr>
          <w:rFonts w:ascii="Sylfaen" w:hAnsi="Sylfaen" w:cs="Sylfaen"/>
        </w:rPr>
        <w:t>წმ</w:t>
      </w:r>
      <w:r w:rsidRPr="001352AB">
        <w:t xml:space="preserve"> = </w:t>
      </w:r>
      <w:r w:rsidRPr="001352AB">
        <w:rPr>
          <w:rFonts w:eastAsiaTheme="minorEastAsia"/>
        </w:rPr>
        <w:t xml:space="preserve">10-3 · 0,0135 · 4,52.987 = 0,0012064 </w:t>
      </w:r>
      <w:r w:rsidRPr="001352AB">
        <w:rPr>
          <w:rFonts w:ascii="Sylfaen" w:hAnsi="Sylfaen" w:cs="Sylfaen"/>
        </w:rPr>
        <w:t>გ</w:t>
      </w:r>
      <w:r w:rsidRPr="001352AB">
        <w:t>/(</w:t>
      </w:r>
      <w:r w:rsidRPr="001352AB">
        <w:rPr>
          <w:rFonts w:ascii="Sylfaen" w:hAnsi="Sylfaen" w:cs="Sylfaen"/>
        </w:rPr>
        <w:t>მ</w:t>
      </w:r>
      <w:r w:rsidRPr="001352AB">
        <w:t>2*</w:t>
      </w:r>
      <w:r w:rsidRPr="001352AB">
        <w:rPr>
          <w:rFonts w:ascii="Sylfaen" w:hAnsi="Sylfaen" w:cs="Sylfaen"/>
        </w:rPr>
        <w:t>წმ</w:t>
      </w:r>
      <w:r w:rsidRPr="001352AB">
        <w:t>);</w:t>
      </w:r>
    </w:p>
    <w:p w14:paraId="7C6F85FC" w14:textId="77777777" w:rsidR="00CD64B5" w:rsidRPr="001352AB" w:rsidRDefault="00CD64B5" w:rsidP="00CD64B5">
      <w:pPr>
        <w:spacing w:before="120" w:after="120"/>
        <w:rPr>
          <w:rFonts w:eastAsiaTheme="minorEastAsia"/>
        </w:rPr>
      </w:pPr>
      <w:r w:rsidRPr="001352AB">
        <w:t xml:space="preserve">M2908 4,5 </w:t>
      </w:r>
      <w:r w:rsidRPr="001352AB">
        <w:rPr>
          <w:rFonts w:ascii="Sylfaen" w:hAnsi="Sylfaen" w:cs="Sylfaen"/>
        </w:rPr>
        <w:t>მ</w:t>
      </w:r>
      <w:r w:rsidRPr="001352AB">
        <w:t>/</w:t>
      </w:r>
      <w:r w:rsidRPr="001352AB">
        <w:rPr>
          <w:rFonts w:ascii="Sylfaen" w:hAnsi="Sylfaen" w:cs="Sylfaen"/>
        </w:rPr>
        <w:t>წმ</w:t>
      </w:r>
      <w:r w:rsidRPr="001352AB">
        <w:t xml:space="preserve"> = 1 • 0,1 • 1,5 • 0,5 • 0,0012064 • 20 + </w:t>
      </w:r>
    </w:p>
    <w:p w14:paraId="5D741739" w14:textId="77777777" w:rsidR="00CD64B5" w:rsidRPr="001352AB" w:rsidRDefault="00CD64B5" w:rsidP="00CD64B5">
      <w:pPr>
        <w:spacing w:before="120" w:after="120"/>
      </w:pPr>
      <w:r w:rsidRPr="001352AB">
        <w:tab/>
        <w:t xml:space="preserve"> + 1 • 0,1 • 1,5 • 0,5 • 0,11 • 0,0012064 • (400 - 20) = 0,0055915 </w:t>
      </w:r>
      <w:r w:rsidRPr="001352AB">
        <w:rPr>
          <w:rFonts w:ascii="Sylfaen" w:hAnsi="Sylfaen" w:cs="Sylfaen"/>
        </w:rPr>
        <w:t>გ</w:t>
      </w:r>
      <w:r w:rsidRPr="001352AB">
        <w:t>/</w:t>
      </w:r>
      <w:r w:rsidRPr="001352AB">
        <w:rPr>
          <w:rFonts w:ascii="Sylfaen" w:hAnsi="Sylfaen" w:cs="Sylfaen"/>
        </w:rPr>
        <w:t>წმ</w:t>
      </w:r>
      <w:r w:rsidRPr="001352AB">
        <w:t>;</w:t>
      </w:r>
    </w:p>
    <w:p w14:paraId="49ABCE3B" w14:textId="77777777" w:rsidR="00CD64B5" w:rsidRPr="001352AB" w:rsidRDefault="00CD64B5" w:rsidP="00CD64B5">
      <w:pPr>
        <w:spacing w:before="120" w:after="120"/>
      </w:pPr>
      <w:r w:rsidRPr="001352AB">
        <w:t xml:space="preserve">q2908 = </w:t>
      </w:r>
      <w:r w:rsidRPr="001352AB">
        <w:rPr>
          <w:rFonts w:eastAsiaTheme="minorEastAsia"/>
        </w:rPr>
        <w:t xml:space="preserve">10-3 · 0,0135 · 4,52.987 = 0,0012064 </w:t>
      </w:r>
      <w:r w:rsidRPr="001352AB">
        <w:rPr>
          <w:rFonts w:ascii="Sylfaen" w:hAnsi="Sylfaen" w:cs="Sylfaen"/>
        </w:rPr>
        <w:t>გ</w:t>
      </w:r>
      <w:r w:rsidRPr="001352AB">
        <w:t>/</w:t>
      </w:r>
      <w:r w:rsidRPr="001352AB">
        <w:rPr>
          <w:rFonts w:ascii="Sylfaen" w:hAnsi="Sylfaen" w:cs="Sylfaen"/>
        </w:rPr>
        <w:t>მ</w:t>
      </w:r>
      <w:r w:rsidRPr="001352AB">
        <w:t xml:space="preserve">2 * </w:t>
      </w:r>
      <w:r w:rsidRPr="001352AB">
        <w:rPr>
          <w:rFonts w:ascii="Sylfaen" w:hAnsi="Sylfaen" w:cs="Sylfaen"/>
        </w:rPr>
        <w:t>წმ</w:t>
      </w:r>
      <w:r w:rsidRPr="001352AB">
        <w:t>;</w:t>
      </w:r>
    </w:p>
    <w:p w14:paraId="5F13962F" w14:textId="77777777" w:rsidR="00CD64B5" w:rsidRPr="001352AB" w:rsidRDefault="00CD64B5" w:rsidP="00CD64B5">
      <w:pPr>
        <w:spacing w:before="120" w:after="120"/>
      </w:pPr>
      <w:r w:rsidRPr="001352AB">
        <w:t xml:space="preserve">П2908 = </w:t>
      </w:r>
      <w:r w:rsidRPr="001352AB">
        <w:rPr>
          <w:rFonts w:eastAsiaTheme="minorEastAsia"/>
        </w:rPr>
        <w:t xml:space="preserve">0,11∙8,64∙10-2∙1∙0,1∙1,5∙0,5∙0,0012064∙400∙(366-70-31) = 0,0911493 </w:t>
      </w:r>
      <w:r w:rsidRPr="001352AB">
        <w:rPr>
          <w:rFonts w:ascii="Sylfaen" w:hAnsi="Sylfaen" w:cs="Sylfaen"/>
        </w:rPr>
        <w:t>ტ</w:t>
      </w:r>
      <w:r w:rsidRPr="001352AB">
        <w:t>/</w:t>
      </w:r>
      <w:r w:rsidRPr="001352AB">
        <w:rPr>
          <w:rFonts w:ascii="Sylfaen" w:hAnsi="Sylfaen" w:cs="Sylfaen"/>
        </w:rPr>
        <w:t>წელ</w:t>
      </w:r>
    </w:p>
    <w:p w14:paraId="6AFEC113" w14:textId="77777777" w:rsidR="00CD64B5" w:rsidRPr="001352AB" w:rsidRDefault="00CD64B5" w:rsidP="00CD64B5">
      <w:pPr>
        <w:spacing w:before="120" w:after="120"/>
      </w:pPr>
      <w:r w:rsidRPr="001352AB">
        <w:rPr>
          <w:rFonts w:ascii="Sylfaen" w:hAnsi="Sylfaen" w:cs="Sylfaen"/>
        </w:rPr>
        <w:t>სულ</w:t>
      </w:r>
      <w:r w:rsidRPr="001352AB">
        <w:t xml:space="preserve">, </w:t>
      </w:r>
      <w:r w:rsidRPr="001352AB">
        <w:rPr>
          <w:rFonts w:ascii="Sylfaen" w:hAnsi="Sylfaen" w:cs="Sylfaen"/>
        </w:rPr>
        <w:t>გადაყრა</w:t>
      </w:r>
      <w:r w:rsidRPr="001352AB">
        <w:t>+</w:t>
      </w:r>
      <w:r w:rsidRPr="001352AB">
        <w:rPr>
          <w:rFonts w:ascii="Sylfaen" w:hAnsi="Sylfaen" w:cs="Sylfaen"/>
        </w:rPr>
        <w:t>შენახვა</w:t>
      </w:r>
      <w:r w:rsidRPr="001352AB">
        <w:t xml:space="preserve"> (2908) </w:t>
      </w:r>
      <w:r w:rsidRPr="001352AB">
        <w:rPr>
          <w:rFonts w:ascii="Sylfaen" w:hAnsi="Sylfaen" w:cs="Sylfaen"/>
        </w:rPr>
        <w:t>იქნება</w:t>
      </w:r>
      <w:r w:rsidRPr="001352AB">
        <w:t>:</w:t>
      </w:r>
    </w:p>
    <w:tbl>
      <w:tblPr>
        <w:tblW w:w="0" w:type="auto"/>
        <w:jc w:val="center"/>
        <w:tblLook w:val="04A0" w:firstRow="1" w:lastRow="0" w:firstColumn="1" w:lastColumn="0" w:noHBand="0" w:noVBand="1"/>
      </w:tblPr>
      <w:tblGrid>
        <w:gridCol w:w="3379"/>
        <w:gridCol w:w="1256"/>
        <w:gridCol w:w="1275"/>
        <w:gridCol w:w="1646"/>
      </w:tblGrid>
      <w:tr w:rsidR="00CD64B5" w:rsidRPr="001352AB" w14:paraId="62C49C0C" w14:textId="77777777" w:rsidTr="00CD64B5">
        <w:trPr>
          <w:jc w:val="center"/>
        </w:trPr>
        <w:tc>
          <w:tcPr>
            <w:tcW w:w="3379" w:type="dxa"/>
            <w:tcBorders>
              <w:top w:val="single" w:sz="4" w:space="0" w:color="auto"/>
              <w:left w:val="single" w:sz="4" w:space="0" w:color="auto"/>
              <w:bottom w:val="single" w:sz="4" w:space="0" w:color="auto"/>
              <w:right w:val="single" w:sz="4" w:space="0" w:color="auto"/>
            </w:tcBorders>
            <w:hideMark/>
          </w:tcPr>
          <w:p w14:paraId="4A41E851" w14:textId="77777777" w:rsidR="00CD64B5" w:rsidRPr="001352AB" w:rsidRDefault="00CD64B5" w:rsidP="00CD64B5">
            <w:r w:rsidRPr="001352AB">
              <w:rPr>
                <w:rFonts w:ascii="Sylfaen" w:hAnsi="Sylfaen" w:cs="Sylfaen"/>
              </w:rPr>
              <w:t>გ</w:t>
            </w:r>
            <w:r w:rsidRPr="001352AB">
              <w:t>/</w:t>
            </w:r>
            <w:r w:rsidRPr="001352AB">
              <w:rPr>
                <w:rFonts w:ascii="Sylfaen" w:hAnsi="Sylfaen" w:cs="Sylfaen"/>
              </w:rPr>
              <w:t>წმ</w:t>
            </w:r>
            <w:r w:rsidRPr="001352AB">
              <w:t xml:space="preserve">: </w:t>
            </w:r>
            <w:r w:rsidRPr="001352AB">
              <w:rPr>
                <w:rFonts w:ascii="Sylfaen" w:hAnsi="Sylfaen" w:cs="Sylfaen"/>
              </w:rPr>
              <w:t>დასაწყობება</w:t>
            </w:r>
            <w:r w:rsidRPr="001352AB">
              <w:t>+</w:t>
            </w:r>
            <w:r w:rsidRPr="001352AB">
              <w:rPr>
                <w:rFonts w:ascii="Sylfaen" w:hAnsi="Sylfaen" w:cs="Sylfaen"/>
              </w:rPr>
              <w:t>შენახვა</w:t>
            </w:r>
          </w:p>
        </w:tc>
        <w:tc>
          <w:tcPr>
            <w:tcW w:w="1151" w:type="dxa"/>
            <w:tcBorders>
              <w:top w:val="single" w:sz="4" w:space="0" w:color="auto"/>
              <w:left w:val="single" w:sz="4" w:space="0" w:color="auto"/>
              <w:bottom w:val="single" w:sz="4" w:space="0" w:color="auto"/>
              <w:right w:val="single" w:sz="4" w:space="0" w:color="auto"/>
            </w:tcBorders>
            <w:hideMark/>
          </w:tcPr>
          <w:p w14:paraId="5D7A535A" w14:textId="77777777" w:rsidR="00CD64B5" w:rsidRPr="001352AB" w:rsidRDefault="00CD64B5" w:rsidP="00CD64B5">
            <w:r w:rsidRPr="001352AB">
              <w:t>0,0586667</w:t>
            </w:r>
          </w:p>
        </w:tc>
        <w:tc>
          <w:tcPr>
            <w:tcW w:w="1275" w:type="dxa"/>
            <w:tcBorders>
              <w:top w:val="single" w:sz="4" w:space="0" w:color="auto"/>
              <w:left w:val="single" w:sz="4" w:space="0" w:color="auto"/>
              <w:bottom w:val="single" w:sz="4" w:space="0" w:color="auto"/>
              <w:right w:val="single" w:sz="4" w:space="0" w:color="auto"/>
            </w:tcBorders>
            <w:hideMark/>
          </w:tcPr>
          <w:p w14:paraId="38DC7B10" w14:textId="77777777" w:rsidR="00CD64B5" w:rsidRPr="001352AB" w:rsidRDefault="00CD64B5" w:rsidP="00CD64B5">
            <w:r w:rsidRPr="001352AB">
              <w:t>0,0055915</w:t>
            </w:r>
          </w:p>
        </w:tc>
        <w:tc>
          <w:tcPr>
            <w:tcW w:w="1646" w:type="dxa"/>
            <w:tcBorders>
              <w:top w:val="single" w:sz="4" w:space="0" w:color="auto"/>
              <w:left w:val="single" w:sz="4" w:space="0" w:color="auto"/>
              <w:bottom w:val="single" w:sz="4" w:space="0" w:color="auto"/>
              <w:right w:val="single" w:sz="4" w:space="0" w:color="auto"/>
            </w:tcBorders>
            <w:hideMark/>
          </w:tcPr>
          <w:p w14:paraId="7D69E6B5" w14:textId="77777777" w:rsidR="00CD64B5" w:rsidRPr="001352AB" w:rsidRDefault="00CD64B5" w:rsidP="00CD64B5">
            <w:r w:rsidRPr="001352AB">
              <w:t>∑ 0,06425</w:t>
            </w:r>
          </w:p>
        </w:tc>
      </w:tr>
      <w:tr w:rsidR="00CD64B5" w:rsidRPr="001352AB" w14:paraId="173E762F" w14:textId="77777777" w:rsidTr="00CD64B5">
        <w:trPr>
          <w:jc w:val="center"/>
        </w:trPr>
        <w:tc>
          <w:tcPr>
            <w:tcW w:w="3379" w:type="dxa"/>
            <w:tcBorders>
              <w:top w:val="single" w:sz="4" w:space="0" w:color="auto"/>
              <w:left w:val="single" w:sz="4" w:space="0" w:color="auto"/>
              <w:bottom w:val="single" w:sz="4" w:space="0" w:color="auto"/>
              <w:right w:val="single" w:sz="4" w:space="0" w:color="auto"/>
            </w:tcBorders>
            <w:hideMark/>
          </w:tcPr>
          <w:p w14:paraId="2BA36096" w14:textId="77777777" w:rsidR="00CD64B5" w:rsidRPr="001352AB" w:rsidRDefault="00CD64B5" w:rsidP="00CD64B5">
            <w:r w:rsidRPr="001352AB">
              <w:rPr>
                <w:rFonts w:ascii="Sylfaen" w:hAnsi="Sylfaen" w:cs="Sylfaen"/>
              </w:rPr>
              <w:t>ტ</w:t>
            </w:r>
            <w:r w:rsidRPr="001352AB">
              <w:t>/</w:t>
            </w:r>
            <w:r w:rsidRPr="001352AB">
              <w:rPr>
                <w:rFonts w:ascii="Sylfaen" w:hAnsi="Sylfaen" w:cs="Sylfaen"/>
              </w:rPr>
              <w:t>წელ</w:t>
            </w:r>
            <w:r w:rsidRPr="001352AB">
              <w:t xml:space="preserve">: </w:t>
            </w:r>
            <w:r w:rsidRPr="001352AB">
              <w:rPr>
                <w:rFonts w:ascii="Sylfaen" w:hAnsi="Sylfaen" w:cs="Sylfaen"/>
              </w:rPr>
              <w:t>დასაწყობება</w:t>
            </w:r>
            <w:r w:rsidRPr="001352AB">
              <w:t>+</w:t>
            </w:r>
            <w:r w:rsidRPr="001352AB">
              <w:rPr>
                <w:rFonts w:ascii="Sylfaen" w:hAnsi="Sylfaen" w:cs="Sylfaen"/>
              </w:rPr>
              <w:t>შენახვა</w:t>
            </w:r>
          </w:p>
        </w:tc>
        <w:tc>
          <w:tcPr>
            <w:tcW w:w="1151" w:type="dxa"/>
            <w:tcBorders>
              <w:top w:val="single" w:sz="4" w:space="0" w:color="auto"/>
              <w:left w:val="single" w:sz="4" w:space="0" w:color="auto"/>
              <w:bottom w:val="single" w:sz="4" w:space="0" w:color="auto"/>
              <w:right w:val="single" w:sz="4" w:space="0" w:color="auto"/>
            </w:tcBorders>
            <w:hideMark/>
          </w:tcPr>
          <w:p w14:paraId="35BD275F" w14:textId="77777777" w:rsidR="00CD64B5" w:rsidRPr="001352AB" w:rsidRDefault="00CD64B5" w:rsidP="00CD64B5">
            <w:r w:rsidRPr="001352AB">
              <w:t>0,00084</w:t>
            </w:r>
          </w:p>
        </w:tc>
        <w:tc>
          <w:tcPr>
            <w:tcW w:w="1275" w:type="dxa"/>
            <w:tcBorders>
              <w:top w:val="single" w:sz="4" w:space="0" w:color="auto"/>
              <w:left w:val="single" w:sz="4" w:space="0" w:color="auto"/>
              <w:bottom w:val="single" w:sz="4" w:space="0" w:color="auto"/>
              <w:right w:val="single" w:sz="4" w:space="0" w:color="auto"/>
            </w:tcBorders>
            <w:hideMark/>
          </w:tcPr>
          <w:p w14:paraId="349C28ED" w14:textId="77777777" w:rsidR="00CD64B5" w:rsidRPr="001352AB" w:rsidRDefault="00CD64B5" w:rsidP="00CD64B5">
            <w:r w:rsidRPr="001352AB">
              <w:t>0,0911493</w:t>
            </w:r>
          </w:p>
        </w:tc>
        <w:tc>
          <w:tcPr>
            <w:tcW w:w="1646" w:type="dxa"/>
            <w:tcBorders>
              <w:top w:val="single" w:sz="4" w:space="0" w:color="auto"/>
              <w:left w:val="single" w:sz="4" w:space="0" w:color="auto"/>
              <w:bottom w:val="single" w:sz="4" w:space="0" w:color="auto"/>
              <w:right w:val="single" w:sz="4" w:space="0" w:color="auto"/>
            </w:tcBorders>
            <w:hideMark/>
          </w:tcPr>
          <w:p w14:paraId="65DAD587" w14:textId="77777777" w:rsidR="00CD64B5" w:rsidRPr="001352AB" w:rsidRDefault="00CD64B5" w:rsidP="00CD64B5">
            <w:r w:rsidRPr="001352AB">
              <w:t>∑ 0,091989</w:t>
            </w:r>
          </w:p>
        </w:tc>
      </w:tr>
    </w:tbl>
    <w:p w14:paraId="5248B041" w14:textId="77777777" w:rsidR="00CD64B5" w:rsidRPr="001352AB" w:rsidRDefault="00CD64B5" w:rsidP="00CD64B5">
      <w:pPr>
        <w:rPr>
          <w:lang w:val="ka-GE" w:eastAsia="ru-RU"/>
        </w:rPr>
      </w:pPr>
    </w:p>
    <w:p w14:paraId="499E9CE2" w14:textId="77777777" w:rsidR="00CD64B5" w:rsidRPr="001352AB" w:rsidRDefault="00CD64B5" w:rsidP="00CD64B5">
      <w:pPr>
        <w:spacing w:before="120" w:after="120"/>
        <w:rPr>
          <w:lang w:eastAsia="en-US"/>
        </w:rPr>
      </w:pPr>
      <w:bookmarkStart w:id="265" w:name="_Toc419823076"/>
      <w:r w:rsidRPr="001352AB">
        <w:rPr>
          <w:rFonts w:ascii="Sylfaen" w:eastAsiaTheme="majorEastAsia" w:hAnsi="Sylfaen" w:cs="Sylfaen"/>
        </w:rPr>
        <w:t>ემისიის</w:t>
      </w:r>
      <w:r w:rsidRPr="001352AB">
        <w:rPr>
          <w:rFonts w:eastAsiaTheme="majorEastAsia"/>
        </w:rPr>
        <w:t xml:space="preserve"> </w:t>
      </w:r>
      <w:r w:rsidRPr="001352AB">
        <w:rPr>
          <w:rFonts w:ascii="Sylfaen" w:eastAsiaTheme="majorEastAsia" w:hAnsi="Sylfaen" w:cs="Sylfaen"/>
        </w:rPr>
        <w:t>გაანგარიშება</w:t>
      </w:r>
      <w:r w:rsidRPr="001352AB">
        <w:rPr>
          <w:rFonts w:eastAsiaTheme="majorEastAsia"/>
        </w:rPr>
        <w:t xml:space="preserve"> </w:t>
      </w:r>
      <w:r w:rsidRPr="001352AB">
        <w:rPr>
          <w:rFonts w:ascii="Sylfaen" w:eastAsiaTheme="majorEastAsia" w:hAnsi="Sylfaen" w:cs="Sylfaen"/>
        </w:rPr>
        <w:t>დიზელის</w:t>
      </w:r>
      <w:r w:rsidRPr="001352AB">
        <w:rPr>
          <w:rFonts w:eastAsiaTheme="majorEastAsia"/>
        </w:rPr>
        <w:t xml:space="preserve"> </w:t>
      </w:r>
      <w:r w:rsidRPr="001352AB">
        <w:rPr>
          <w:rFonts w:ascii="Sylfaen" w:eastAsiaTheme="majorEastAsia" w:hAnsi="Sylfaen" w:cs="Sylfaen"/>
        </w:rPr>
        <w:t>გენერატორიდან</w:t>
      </w:r>
      <w:r w:rsidRPr="001352AB">
        <w:rPr>
          <w:rFonts w:eastAsiaTheme="majorEastAsia"/>
        </w:rPr>
        <w:t xml:space="preserve"> (50 </w:t>
      </w:r>
      <w:r w:rsidRPr="001352AB">
        <w:rPr>
          <w:rFonts w:ascii="Sylfaen" w:eastAsiaTheme="majorEastAsia" w:hAnsi="Sylfaen" w:cs="Sylfaen"/>
        </w:rPr>
        <w:t>კვტ</w:t>
      </w:r>
      <w:r w:rsidRPr="001352AB">
        <w:rPr>
          <w:rFonts w:eastAsiaTheme="majorEastAsia"/>
        </w:rPr>
        <w:t>) (</w:t>
      </w:r>
      <w:r w:rsidRPr="001352AB">
        <w:rPr>
          <w:rFonts w:ascii="Sylfaen" w:eastAsiaTheme="majorEastAsia" w:hAnsi="Sylfaen" w:cs="Sylfaen"/>
        </w:rPr>
        <w:t>გ</w:t>
      </w:r>
      <w:r w:rsidRPr="001352AB">
        <w:rPr>
          <w:rFonts w:eastAsiaTheme="majorEastAsia"/>
        </w:rPr>
        <w:t>-8)</w:t>
      </w:r>
      <w:bookmarkEnd w:id="265"/>
    </w:p>
    <w:p w14:paraId="64F559D3" w14:textId="77777777" w:rsidR="00CD64B5" w:rsidRPr="001352AB" w:rsidRDefault="00CD64B5" w:rsidP="00CD64B5">
      <w:pPr>
        <w:spacing w:before="120" w:after="120"/>
        <w:rPr>
          <w:lang w:eastAsia="ru-RU"/>
        </w:rPr>
      </w:pPr>
      <w:r w:rsidRPr="001352AB">
        <w:rPr>
          <w:rFonts w:ascii="Sylfaen" w:hAnsi="Sylfaen" w:cs="Sylfaen"/>
        </w:rPr>
        <w:t>გაანგარიშება</w:t>
      </w:r>
      <w:r w:rsidRPr="001352AB">
        <w:t xml:space="preserve"> </w:t>
      </w:r>
      <w:r w:rsidRPr="001352AB">
        <w:rPr>
          <w:rFonts w:ascii="Sylfaen" w:hAnsi="Sylfaen" w:cs="Sylfaen"/>
        </w:rPr>
        <w:t>შესრულებულია</w:t>
      </w:r>
      <w:r w:rsidRPr="001352AB">
        <w:t xml:space="preserve"> </w:t>
      </w:r>
      <w:r w:rsidRPr="001352AB">
        <w:rPr>
          <w:rFonts w:ascii="Sylfaen" w:hAnsi="Sylfaen" w:cs="Sylfaen"/>
        </w:rPr>
        <w:t>შემდეგი</w:t>
      </w:r>
      <w:r w:rsidRPr="001352AB">
        <w:t xml:space="preserve"> </w:t>
      </w:r>
      <w:r w:rsidRPr="001352AB">
        <w:rPr>
          <w:rFonts w:ascii="Sylfaen" w:hAnsi="Sylfaen" w:cs="Sylfaen"/>
        </w:rPr>
        <w:t>მეთოდური</w:t>
      </w:r>
      <w:r w:rsidRPr="001352AB">
        <w:t xml:space="preserve"> </w:t>
      </w:r>
      <w:r w:rsidRPr="001352AB">
        <w:rPr>
          <w:rFonts w:ascii="Sylfaen" w:hAnsi="Sylfaen" w:cs="Sylfaen"/>
        </w:rPr>
        <w:t>მითითებების</w:t>
      </w:r>
      <w:r w:rsidRPr="001352AB">
        <w:t xml:space="preserve"> </w:t>
      </w:r>
      <w:r w:rsidRPr="001352AB">
        <w:rPr>
          <w:rFonts w:ascii="Sylfaen" w:hAnsi="Sylfaen" w:cs="Sylfaen"/>
        </w:rPr>
        <w:t>თანახმად</w:t>
      </w:r>
      <w:r w:rsidRPr="001352AB">
        <w:t xml:space="preserve"> [8]. </w:t>
      </w:r>
      <w:r w:rsidRPr="001352AB">
        <w:rPr>
          <w:rFonts w:ascii="Sylfaen" w:hAnsi="Sylfaen" w:cs="Sylfaen"/>
        </w:rPr>
        <w:t>სტაციონარული</w:t>
      </w:r>
      <w:r w:rsidRPr="001352AB">
        <w:t xml:space="preserve"> </w:t>
      </w:r>
      <w:r w:rsidRPr="001352AB">
        <w:rPr>
          <w:rFonts w:ascii="Sylfaen" w:hAnsi="Sylfaen" w:cs="Sylfaen"/>
        </w:rPr>
        <w:t>დიზელ</w:t>
      </w:r>
      <w:r w:rsidRPr="001352AB">
        <w:t>-</w:t>
      </w:r>
      <w:r w:rsidRPr="001352AB">
        <w:rPr>
          <w:rFonts w:ascii="Sylfaen" w:hAnsi="Sylfaen" w:cs="Sylfaen"/>
        </w:rPr>
        <w:t>გენერატორის</w:t>
      </w:r>
      <w:r w:rsidRPr="001352AB">
        <w:t xml:space="preserve"> </w:t>
      </w:r>
      <w:r w:rsidRPr="001352AB">
        <w:rPr>
          <w:rFonts w:ascii="Sylfaen" w:hAnsi="Sylfaen" w:cs="Sylfaen"/>
        </w:rPr>
        <w:t>ექსპლოატაციის</w:t>
      </w:r>
      <w:r w:rsidRPr="001352AB">
        <w:t xml:space="preserve"> </w:t>
      </w:r>
      <w:r w:rsidRPr="001352AB">
        <w:rPr>
          <w:rFonts w:ascii="Sylfaen" w:hAnsi="Sylfaen" w:cs="Sylfaen"/>
        </w:rPr>
        <w:t>პროცესში</w:t>
      </w:r>
      <w:r w:rsidRPr="001352AB">
        <w:t xml:space="preserve"> </w:t>
      </w:r>
      <w:r w:rsidRPr="001352AB">
        <w:rPr>
          <w:rFonts w:ascii="Sylfaen" w:hAnsi="Sylfaen" w:cs="Sylfaen"/>
        </w:rPr>
        <w:t>ატმოსფერულ</w:t>
      </w:r>
      <w:r w:rsidRPr="001352AB">
        <w:t xml:space="preserve"> </w:t>
      </w:r>
      <w:r w:rsidRPr="001352AB">
        <w:rPr>
          <w:rFonts w:ascii="Sylfaen" w:hAnsi="Sylfaen" w:cs="Sylfaen"/>
        </w:rPr>
        <w:t>ჰაერში</w:t>
      </w:r>
      <w:r w:rsidRPr="001352AB">
        <w:t xml:space="preserve"> </w:t>
      </w:r>
      <w:r w:rsidRPr="001352AB">
        <w:rPr>
          <w:rFonts w:ascii="Sylfaen" w:hAnsi="Sylfaen" w:cs="Sylfaen"/>
        </w:rPr>
        <w:t>ნამუშევარ</w:t>
      </w:r>
      <w:r w:rsidRPr="001352AB">
        <w:t xml:space="preserve"> </w:t>
      </w:r>
      <w:r w:rsidRPr="001352AB">
        <w:rPr>
          <w:rFonts w:ascii="Sylfaen" w:hAnsi="Sylfaen" w:cs="Sylfaen"/>
        </w:rPr>
        <w:t>აირებში</w:t>
      </w:r>
      <w:r w:rsidRPr="001352AB">
        <w:t xml:space="preserve"> </w:t>
      </w:r>
      <w:r w:rsidRPr="001352AB">
        <w:rPr>
          <w:rFonts w:ascii="Sylfaen" w:hAnsi="Sylfaen" w:cs="Sylfaen"/>
        </w:rPr>
        <w:t>გამოიყოფა</w:t>
      </w:r>
      <w:r w:rsidRPr="001352AB">
        <w:t xml:space="preserve"> </w:t>
      </w:r>
      <w:r w:rsidRPr="001352AB">
        <w:rPr>
          <w:rFonts w:ascii="Sylfaen" w:hAnsi="Sylfaen" w:cs="Sylfaen"/>
        </w:rPr>
        <w:t>მავნე</w:t>
      </w:r>
      <w:r w:rsidRPr="001352AB">
        <w:t xml:space="preserve"> (</w:t>
      </w:r>
      <w:r w:rsidRPr="001352AB">
        <w:rPr>
          <w:rFonts w:ascii="Sylfaen" w:hAnsi="Sylfaen" w:cs="Sylfaen"/>
        </w:rPr>
        <w:t>დამაბინძურებელი</w:t>
      </w:r>
      <w:r w:rsidRPr="001352AB">
        <w:t xml:space="preserve">) </w:t>
      </w:r>
      <w:r w:rsidRPr="001352AB">
        <w:rPr>
          <w:rFonts w:ascii="Sylfaen" w:hAnsi="Sylfaen" w:cs="Sylfaen"/>
        </w:rPr>
        <w:t>ნივთიერებები</w:t>
      </w:r>
      <w:r w:rsidRPr="001352AB">
        <w:t xml:space="preserve">. </w:t>
      </w:r>
    </w:p>
    <w:p w14:paraId="3383D7AF" w14:textId="77777777" w:rsidR="00CD64B5" w:rsidRPr="001352AB" w:rsidRDefault="00CD64B5" w:rsidP="00CD64B5">
      <w:pPr>
        <w:spacing w:before="120" w:after="120"/>
        <w:rPr>
          <w:rFonts w:eastAsiaTheme="majorEastAsia"/>
        </w:rPr>
      </w:pPr>
      <w:r w:rsidRPr="001352AB">
        <w:rPr>
          <w:rFonts w:ascii="Sylfaen" w:hAnsi="Sylfaen" w:cs="Sylfaen"/>
        </w:rPr>
        <w:t>მაქსიმალური</w:t>
      </w:r>
      <w:r w:rsidRPr="001352AB">
        <w:t xml:space="preserve"> </w:t>
      </w:r>
      <w:r w:rsidRPr="001352AB">
        <w:rPr>
          <w:rFonts w:ascii="Sylfaen" w:hAnsi="Sylfaen" w:cs="Sylfaen"/>
        </w:rPr>
        <w:t>ერთჯერადი</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გასაანგარიშებლად</w:t>
      </w:r>
      <w:r w:rsidRPr="001352AB">
        <w:t xml:space="preserve"> </w:t>
      </w:r>
      <w:r w:rsidRPr="001352AB">
        <w:rPr>
          <w:rFonts w:ascii="Sylfaen" w:hAnsi="Sylfaen" w:cs="Sylfaen"/>
        </w:rPr>
        <w:t>გამოიყენება</w:t>
      </w:r>
      <w:r w:rsidRPr="001352AB">
        <w:t xml:space="preserve"> </w:t>
      </w:r>
      <w:r w:rsidRPr="001352AB">
        <w:rPr>
          <w:rFonts w:ascii="Sylfaen" w:hAnsi="Sylfaen" w:cs="Sylfaen"/>
        </w:rPr>
        <w:t>დიზელ</w:t>
      </w:r>
      <w:r w:rsidRPr="001352AB">
        <w:t>-</w:t>
      </w:r>
      <w:r w:rsidRPr="001352AB">
        <w:rPr>
          <w:rFonts w:ascii="Sylfaen" w:hAnsi="Sylfaen" w:cs="Sylfaen"/>
        </w:rPr>
        <w:t>გენერატორის</w:t>
      </w:r>
      <w:r w:rsidRPr="001352AB">
        <w:t xml:space="preserve"> </w:t>
      </w:r>
      <w:r w:rsidRPr="001352AB">
        <w:rPr>
          <w:rFonts w:ascii="Sylfaen" w:hAnsi="Sylfaen" w:cs="Sylfaen"/>
        </w:rPr>
        <w:t>დანადგარის</w:t>
      </w:r>
      <w:r w:rsidRPr="001352AB">
        <w:t xml:space="preserve"> </w:t>
      </w:r>
      <w:r w:rsidRPr="001352AB">
        <w:rPr>
          <w:rFonts w:ascii="Sylfaen" w:hAnsi="Sylfaen" w:cs="Sylfaen"/>
        </w:rPr>
        <w:t>მონაცემები</w:t>
      </w:r>
      <w:r w:rsidRPr="001352AB">
        <w:t xml:space="preserve"> </w:t>
      </w:r>
      <w:r w:rsidRPr="001352AB">
        <w:rPr>
          <w:rFonts w:ascii="Sylfaen" w:hAnsi="Sylfaen" w:cs="Sylfaen"/>
        </w:rPr>
        <w:t>ტექნიკური</w:t>
      </w:r>
      <w:r w:rsidRPr="001352AB">
        <w:t xml:space="preserve"> </w:t>
      </w:r>
      <w:r w:rsidRPr="001352AB">
        <w:rPr>
          <w:rFonts w:ascii="Sylfaen" w:hAnsi="Sylfaen" w:cs="Sylfaen"/>
        </w:rPr>
        <w:t>დოკუმენტაციის</w:t>
      </w:r>
      <w:r w:rsidRPr="001352AB">
        <w:t xml:space="preserve"> </w:t>
      </w:r>
      <w:r w:rsidRPr="001352AB">
        <w:rPr>
          <w:rFonts w:ascii="Sylfaen" w:hAnsi="Sylfaen" w:cs="Sylfaen"/>
        </w:rPr>
        <w:t>მიხედვით</w:t>
      </w:r>
      <w:r w:rsidRPr="001352AB">
        <w:t xml:space="preserve"> (</w:t>
      </w:r>
      <w:r w:rsidRPr="001352AB">
        <w:rPr>
          <w:rFonts w:ascii="Sylfaen" w:hAnsi="Sylfaen" w:cs="Sylfaen"/>
        </w:rPr>
        <w:t>საექსპლოატაციო</w:t>
      </w:r>
      <w:r w:rsidRPr="001352AB">
        <w:t xml:space="preserve"> </w:t>
      </w:r>
      <w:r w:rsidRPr="001352AB">
        <w:rPr>
          <w:rFonts w:ascii="Sylfaen" w:hAnsi="Sylfaen" w:cs="Sylfaen"/>
        </w:rPr>
        <w:t>სიმძლავრე</w:t>
      </w:r>
      <w:r w:rsidRPr="001352AB">
        <w:t xml:space="preserve">), </w:t>
      </w:r>
      <w:r w:rsidRPr="001352AB">
        <w:rPr>
          <w:rFonts w:ascii="Sylfaen" w:hAnsi="Sylfaen" w:cs="Sylfaen"/>
        </w:rPr>
        <w:t>ხოლო</w:t>
      </w:r>
      <w:r w:rsidRPr="001352AB">
        <w:t xml:space="preserve"> </w:t>
      </w:r>
      <w:r w:rsidRPr="001352AB">
        <w:rPr>
          <w:rFonts w:ascii="Sylfaen" w:hAnsi="Sylfaen" w:cs="Sylfaen"/>
        </w:rPr>
        <w:t>წლიური</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გაანგარიშებისათვის</w:t>
      </w:r>
      <w:r w:rsidRPr="001352AB">
        <w:t xml:space="preserve"> -</w:t>
      </w:r>
      <w:r w:rsidRPr="001352AB">
        <w:rPr>
          <w:rFonts w:ascii="Sylfaen" w:hAnsi="Sylfaen" w:cs="Sylfaen"/>
        </w:rPr>
        <w:t>საწვავის</w:t>
      </w:r>
      <w:r w:rsidRPr="001352AB">
        <w:t xml:space="preserve"> </w:t>
      </w:r>
      <w:r w:rsidRPr="001352AB">
        <w:rPr>
          <w:rFonts w:ascii="Sylfaen" w:hAnsi="Sylfaen" w:cs="Sylfaen"/>
        </w:rPr>
        <w:t>წლიური</w:t>
      </w:r>
      <w:r w:rsidRPr="001352AB">
        <w:t xml:space="preserve"> </w:t>
      </w:r>
      <w:r w:rsidRPr="001352AB">
        <w:rPr>
          <w:rFonts w:ascii="Sylfaen" w:hAnsi="Sylfaen" w:cs="Sylfaen"/>
        </w:rPr>
        <w:t>ხარჯი</w:t>
      </w:r>
      <w:r w:rsidRPr="001352AB">
        <w:t>.</w:t>
      </w:r>
    </w:p>
    <w:p w14:paraId="63F61ADB" w14:textId="77777777" w:rsidR="00CD64B5" w:rsidRPr="001352AB" w:rsidRDefault="00CD64B5" w:rsidP="00CD64B5">
      <w:pPr>
        <w:spacing w:before="120" w:after="120"/>
      </w:pP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გამოყოფის</w:t>
      </w:r>
      <w:r w:rsidRPr="001352AB">
        <w:t xml:space="preserve"> </w:t>
      </w:r>
      <w:r w:rsidRPr="001352AB">
        <w:rPr>
          <w:rFonts w:ascii="Sylfaen" w:hAnsi="Sylfaen" w:cs="Sylfaen"/>
        </w:rPr>
        <w:t>რაოდენობრივი</w:t>
      </w:r>
      <w:r w:rsidRPr="001352AB">
        <w:t xml:space="preserve"> </w:t>
      </w:r>
      <w:r w:rsidRPr="001352AB">
        <w:rPr>
          <w:rFonts w:ascii="Sylfaen" w:hAnsi="Sylfaen" w:cs="Sylfaen"/>
        </w:rPr>
        <w:t>და</w:t>
      </w:r>
      <w:r w:rsidRPr="001352AB">
        <w:t xml:space="preserve"> </w:t>
      </w:r>
      <w:r w:rsidRPr="001352AB">
        <w:rPr>
          <w:rFonts w:ascii="Sylfaen" w:hAnsi="Sylfaen" w:cs="Sylfaen"/>
        </w:rPr>
        <w:t>თვისობრივი</w:t>
      </w:r>
      <w:r w:rsidRPr="001352AB">
        <w:t xml:space="preserve"> </w:t>
      </w:r>
      <w:r w:rsidRPr="001352AB">
        <w:rPr>
          <w:rFonts w:ascii="Sylfaen" w:hAnsi="Sylfaen" w:cs="Sylfaen"/>
        </w:rPr>
        <w:t>მახასიათებლები</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ცხრილში</w:t>
      </w:r>
      <w:r w:rsidRPr="001352AB">
        <w:t xml:space="preserve"> 7.1-12.</w:t>
      </w:r>
    </w:p>
    <w:p w14:paraId="73712BEE" w14:textId="77777777" w:rsidR="00CD64B5" w:rsidRPr="001352AB" w:rsidRDefault="00CD64B5" w:rsidP="00CD64B5">
      <w:pPr>
        <w:spacing w:before="120" w:after="120"/>
      </w:pPr>
      <w:r w:rsidRPr="001352AB">
        <w:t xml:space="preserve"> </w:t>
      </w:r>
      <w:bookmarkStart w:id="266" w:name="_Toc436594173"/>
      <w:r w:rsidRPr="001352AB">
        <w:rPr>
          <w:rFonts w:ascii="Sylfaen" w:hAnsi="Sylfaen" w:cs="Sylfaen"/>
        </w:rPr>
        <w:t>ცხრილი</w:t>
      </w:r>
      <w:r w:rsidRPr="001352AB">
        <w:t xml:space="preserve"> 7.1-12.</w:t>
      </w:r>
      <w:r w:rsidRPr="001352AB">
        <w:tab/>
      </w: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გამოყოფის</w:t>
      </w:r>
      <w:r w:rsidRPr="001352AB">
        <w:t xml:space="preserve"> </w:t>
      </w:r>
      <w:r w:rsidRPr="001352AB">
        <w:rPr>
          <w:rFonts w:ascii="Sylfaen" w:hAnsi="Sylfaen" w:cs="Sylfaen"/>
        </w:rPr>
        <w:t>რაოდენობრივი</w:t>
      </w:r>
      <w:r w:rsidRPr="001352AB">
        <w:t xml:space="preserve"> </w:t>
      </w:r>
      <w:r w:rsidRPr="001352AB">
        <w:rPr>
          <w:rFonts w:ascii="Sylfaen" w:hAnsi="Sylfaen" w:cs="Sylfaen"/>
        </w:rPr>
        <w:t>და</w:t>
      </w:r>
      <w:r w:rsidRPr="001352AB">
        <w:t xml:space="preserve"> </w:t>
      </w:r>
      <w:r w:rsidRPr="001352AB">
        <w:rPr>
          <w:rFonts w:ascii="Sylfaen" w:hAnsi="Sylfaen" w:cs="Sylfaen"/>
        </w:rPr>
        <w:t>თვისობრივი</w:t>
      </w:r>
      <w:r w:rsidRPr="001352AB">
        <w:t xml:space="preserve"> </w:t>
      </w:r>
      <w:r w:rsidRPr="001352AB">
        <w:rPr>
          <w:rFonts w:ascii="Sylfaen" w:hAnsi="Sylfaen" w:cs="Sylfaen"/>
        </w:rPr>
        <w:t>მახასიათებლები</w:t>
      </w:r>
      <w:bookmarkEnd w:id="266"/>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90"/>
        <w:gridCol w:w="4745"/>
        <w:gridCol w:w="2374"/>
        <w:gridCol w:w="2374"/>
      </w:tblGrid>
      <w:tr w:rsidR="00CD64B5" w:rsidRPr="001352AB" w14:paraId="58248EB5" w14:textId="77777777" w:rsidTr="00CD64B5">
        <w:trPr>
          <w:cantSplit/>
          <w:trHeight w:val="271"/>
          <w:tblHeader/>
          <w:jc w:val="center"/>
        </w:trPr>
        <w:tc>
          <w:tcPr>
            <w:tcW w:w="2714" w:type="pct"/>
            <w:gridSpan w:val="2"/>
            <w:tcBorders>
              <w:top w:val="single" w:sz="8" w:space="0" w:color="auto"/>
              <w:left w:val="single" w:sz="6" w:space="0" w:color="auto"/>
              <w:bottom w:val="single" w:sz="8" w:space="0" w:color="auto"/>
              <w:right w:val="single" w:sz="4" w:space="0" w:color="000000"/>
            </w:tcBorders>
            <w:shd w:val="clear" w:color="auto" w:fill="D9D9D9"/>
            <w:vAlign w:val="center"/>
            <w:hideMark/>
          </w:tcPr>
          <w:p w14:paraId="57AF4AA3" w14:textId="77777777" w:rsidR="00CD64B5" w:rsidRPr="001352AB" w:rsidRDefault="00CD64B5" w:rsidP="00CD64B5">
            <w:pPr>
              <w:rPr>
                <w:lang w:eastAsia="ru-RU"/>
              </w:rPr>
            </w:pPr>
            <w:r w:rsidRPr="001352AB">
              <w:rPr>
                <w:rFonts w:ascii="Sylfaen" w:hAnsi="Sylfaen" w:cs="Sylfaen"/>
              </w:rPr>
              <w:t>დამაბინძურებელი</w:t>
            </w:r>
            <w:r w:rsidRPr="001352AB">
              <w:t xml:space="preserve"> </w:t>
            </w:r>
            <w:r w:rsidRPr="001352AB">
              <w:rPr>
                <w:rFonts w:ascii="Sylfaen" w:hAnsi="Sylfaen" w:cs="Sylfaen"/>
              </w:rPr>
              <w:t>ნივთიერება</w:t>
            </w:r>
          </w:p>
        </w:tc>
        <w:tc>
          <w:tcPr>
            <w:tcW w:w="1143" w:type="pct"/>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14:paraId="7ACF2EBF" w14:textId="77777777" w:rsidR="00CD64B5" w:rsidRPr="001352AB" w:rsidRDefault="00CD64B5" w:rsidP="00CD64B5">
            <w:r w:rsidRPr="001352AB">
              <w:rPr>
                <w:rFonts w:ascii="Sylfaen" w:hAnsi="Sylfaen" w:cs="Sylfaen"/>
              </w:rPr>
              <w:t>მაქსიმალური</w:t>
            </w:r>
            <w:r w:rsidRPr="001352AB">
              <w:t xml:space="preserve"> </w:t>
            </w:r>
            <w:r w:rsidRPr="001352AB">
              <w:rPr>
                <w:rFonts w:ascii="Sylfaen" w:hAnsi="Sylfaen" w:cs="Sylfaen"/>
              </w:rPr>
              <w:t>ერთჯერადი</w:t>
            </w:r>
            <w:r w:rsidRPr="001352AB">
              <w:t xml:space="preserve"> </w:t>
            </w:r>
            <w:r w:rsidRPr="001352AB">
              <w:rPr>
                <w:rFonts w:ascii="Sylfaen" w:hAnsi="Sylfaen" w:cs="Sylfaen"/>
              </w:rPr>
              <w:t>ემისია</w:t>
            </w:r>
            <w:r w:rsidRPr="001352AB">
              <w:t xml:space="preserve">, </w:t>
            </w:r>
            <w:r w:rsidRPr="001352AB">
              <w:rPr>
                <w:rFonts w:ascii="Sylfaen" w:hAnsi="Sylfaen" w:cs="Sylfaen"/>
              </w:rPr>
              <w:t>გ</w:t>
            </w:r>
            <w:r w:rsidRPr="001352AB">
              <w:t>/</w:t>
            </w:r>
            <w:r w:rsidRPr="001352AB">
              <w:rPr>
                <w:rFonts w:ascii="Sylfaen" w:hAnsi="Sylfaen" w:cs="Sylfaen"/>
              </w:rPr>
              <w:t>წმ</w:t>
            </w:r>
          </w:p>
        </w:tc>
        <w:tc>
          <w:tcPr>
            <w:tcW w:w="1143" w:type="pct"/>
            <w:vMerge w:val="restart"/>
            <w:tcBorders>
              <w:top w:val="single" w:sz="8" w:space="0" w:color="auto"/>
              <w:left w:val="single" w:sz="4" w:space="0" w:color="000000"/>
              <w:bottom w:val="single" w:sz="8" w:space="0" w:color="auto"/>
              <w:right w:val="single" w:sz="6" w:space="0" w:color="auto"/>
            </w:tcBorders>
            <w:shd w:val="clear" w:color="auto" w:fill="D9D9D9"/>
            <w:vAlign w:val="center"/>
            <w:hideMark/>
          </w:tcPr>
          <w:p w14:paraId="794145ED" w14:textId="77777777" w:rsidR="00CD64B5" w:rsidRPr="001352AB" w:rsidRDefault="00CD64B5" w:rsidP="00CD64B5">
            <w:r w:rsidRPr="001352AB">
              <w:rPr>
                <w:rFonts w:ascii="Sylfaen" w:hAnsi="Sylfaen" w:cs="Sylfaen"/>
              </w:rPr>
              <w:t>წლიური</w:t>
            </w:r>
            <w:r w:rsidRPr="001352AB">
              <w:t xml:space="preserve"> </w:t>
            </w:r>
            <w:r w:rsidRPr="001352AB">
              <w:rPr>
                <w:rFonts w:ascii="Sylfaen" w:hAnsi="Sylfaen" w:cs="Sylfaen"/>
              </w:rPr>
              <w:t>ემისია</w:t>
            </w:r>
            <w:r w:rsidRPr="001352AB">
              <w:t xml:space="preserve">, </w:t>
            </w:r>
            <w:r w:rsidRPr="001352AB">
              <w:rPr>
                <w:rFonts w:ascii="Sylfaen" w:hAnsi="Sylfaen" w:cs="Sylfaen"/>
              </w:rPr>
              <w:t>ტ</w:t>
            </w:r>
            <w:r w:rsidRPr="001352AB">
              <w:t>/</w:t>
            </w:r>
            <w:r w:rsidRPr="001352AB">
              <w:rPr>
                <w:rFonts w:ascii="Sylfaen" w:hAnsi="Sylfaen" w:cs="Sylfaen"/>
              </w:rPr>
              <w:t>წელ</w:t>
            </w:r>
          </w:p>
        </w:tc>
      </w:tr>
      <w:tr w:rsidR="00CD64B5" w:rsidRPr="001352AB" w14:paraId="7FAE90E3" w14:textId="77777777" w:rsidTr="00CD64B5">
        <w:trPr>
          <w:cantSplit/>
          <w:trHeight w:val="271"/>
          <w:tblHeader/>
          <w:jc w:val="center"/>
        </w:trPr>
        <w:tc>
          <w:tcPr>
            <w:tcW w:w="429" w:type="pct"/>
            <w:tcBorders>
              <w:top w:val="single" w:sz="8" w:space="0" w:color="auto"/>
              <w:left w:val="single" w:sz="6" w:space="0" w:color="auto"/>
              <w:bottom w:val="single" w:sz="4" w:space="0" w:color="000000"/>
              <w:right w:val="single" w:sz="4" w:space="0" w:color="000000"/>
            </w:tcBorders>
            <w:shd w:val="clear" w:color="auto" w:fill="D9D9D9"/>
            <w:vAlign w:val="center"/>
            <w:hideMark/>
          </w:tcPr>
          <w:p w14:paraId="0D83881A" w14:textId="77777777" w:rsidR="00CD64B5" w:rsidRPr="001352AB" w:rsidRDefault="00CD64B5" w:rsidP="00CD64B5">
            <w:r w:rsidRPr="001352AB">
              <w:rPr>
                <w:rFonts w:ascii="Sylfaen" w:hAnsi="Sylfaen" w:cs="Sylfaen"/>
              </w:rPr>
              <w:t>კოდი</w:t>
            </w:r>
          </w:p>
        </w:tc>
        <w:tc>
          <w:tcPr>
            <w:tcW w:w="2285" w:type="pct"/>
            <w:tcBorders>
              <w:top w:val="single" w:sz="8" w:space="0" w:color="auto"/>
              <w:left w:val="single" w:sz="4" w:space="0" w:color="000000"/>
              <w:bottom w:val="single" w:sz="4" w:space="0" w:color="000000"/>
              <w:right w:val="single" w:sz="6" w:space="0" w:color="auto"/>
            </w:tcBorders>
            <w:shd w:val="clear" w:color="auto" w:fill="D9D9D9"/>
            <w:vAlign w:val="center"/>
            <w:hideMark/>
          </w:tcPr>
          <w:p w14:paraId="0A0918D4" w14:textId="77777777" w:rsidR="00CD64B5" w:rsidRPr="001352AB" w:rsidRDefault="00CD64B5" w:rsidP="00CD64B5">
            <w:r w:rsidRPr="001352AB">
              <w:rPr>
                <w:rFonts w:ascii="Sylfaen" w:hAnsi="Sylfaen" w:cs="Sylfaen"/>
              </w:rPr>
              <w:t>დასახელება</w:t>
            </w:r>
          </w:p>
        </w:tc>
        <w:tc>
          <w:tcPr>
            <w:tcW w:w="0" w:type="auto"/>
            <w:vMerge/>
            <w:tcBorders>
              <w:top w:val="single" w:sz="8" w:space="0" w:color="auto"/>
              <w:left w:val="single" w:sz="4" w:space="0" w:color="000000"/>
              <w:bottom w:val="single" w:sz="8" w:space="0" w:color="auto"/>
              <w:right w:val="single" w:sz="4" w:space="0" w:color="000000"/>
            </w:tcBorders>
            <w:vAlign w:val="center"/>
            <w:hideMark/>
          </w:tcPr>
          <w:p w14:paraId="1A0A2627" w14:textId="77777777" w:rsidR="00CD64B5" w:rsidRPr="001352AB" w:rsidRDefault="00CD64B5" w:rsidP="00CD64B5">
            <w:pPr>
              <w:rPr>
                <w:rFonts w:eastAsiaTheme="minorHAnsi"/>
              </w:rPr>
            </w:pPr>
          </w:p>
        </w:tc>
        <w:tc>
          <w:tcPr>
            <w:tcW w:w="0" w:type="auto"/>
            <w:vMerge/>
            <w:tcBorders>
              <w:top w:val="single" w:sz="8" w:space="0" w:color="auto"/>
              <w:left w:val="single" w:sz="4" w:space="0" w:color="000000"/>
              <w:bottom w:val="single" w:sz="8" w:space="0" w:color="auto"/>
              <w:right w:val="single" w:sz="6" w:space="0" w:color="auto"/>
            </w:tcBorders>
            <w:vAlign w:val="center"/>
            <w:hideMark/>
          </w:tcPr>
          <w:p w14:paraId="1266754C" w14:textId="77777777" w:rsidR="00CD64B5" w:rsidRPr="001352AB" w:rsidRDefault="00CD64B5" w:rsidP="00CD64B5">
            <w:pPr>
              <w:rPr>
                <w:rFonts w:eastAsiaTheme="minorHAnsi"/>
              </w:rPr>
            </w:pPr>
          </w:p>
        </w:tc>
      </w:tr>
      <w:tr w:rsidR="00CD64B5" w:rsidRPr="001352AB" w14:paraId="1EE272C3" w14:textId="77777777" w:rsidTr="00CD64B5">
        <w:trPr>
          <w:trHeight w:val="271"/>
          <w:jc w:val="center"/>
        </w:trPr>
        <w:tc>
          <w:tcPr>
            <w:tcW w:w="429" w:type="pct"/>
            <w:tcBorders>
              <w:top w:val="single" w:sz="4" w:space="0" w:color="000000"/>
              <w:left w:val="single" w:sz="6" w:space="0" w:color="auto"/>
              <w:bottom w:val="single" w:sz="4" w:space="0" w:color="000000"/>
              <w:right w:val="single" w:sz="4" w:space="0" w:color="000000"/>
            </w:tcBorders>
            <w:hideMark/>
          </w:tcPr>
          <w:p w14:paraId="66F96214" w14:textId="77777777" w:rsidR="00CD64B5" w:rsidRPr="001352AB" w:rsidRDefault="00CD64B5" w:rsidP="00CD64B5">
            <w:r w:rsidRPr="001352AB">
              <w:t>301</w:t>
            </w:r>
          </w:p>
        </w:tc>
        <w:tc>
          <w:tcPr>
            <w:tcW w:w="2285" w:type="pct"/>
            <w:tcBorders>
              <w:top w:val="single" w:sz="4" w:space="0" w:color="000000"/>
              <w:left w:val="single" w:sz="4" w:space="0" w:color="000000"/>
              <w:bottom w:val="single" w:sz="4" w:space="0" w:color="000000"/>
              <w:right w:val="single" w:sz="4" w:space="0" w:color="000000"/>
            </w:tcBorders>
            <w:hideMark/>
          </w:tcPr>
          <w:p w14:paraId="08347ECC" w14:textId="77777777" w:rsidR="00CD64B5" w:rsidRPr="001352AB" w:rsidRDefault="00CD64B5" w:rsidP="00CD64B5">
            <w:r w:rsidRPr="001352AB">
              <w:rPr>
                <w:rFonts w:ascii="Sylfaen" w:hAnsi="Sylfaen" w:cs="Sylfaen"/>
              </w:rPr>
              <w:t>აზოტის</w:t>
            </w:r>
            <w:r w:rsidRPr="001352AB">
              <w:t xml:space="preserve"> </w:t>
            </w:r>
            <w:r w:rsidRPr="001352AB">
              <w:rPr>
                <w:rFonts w:ascii="Sylfaen" w:hAnsi="Sylfaen" w:cs="Sylfaen"/>
              </w:rPr>
              <w:t>დიოქსიდი</w:t>
            </w:r>
            <w:r w:rsidRPr="001352AB">
              <w:t xml:space="preserve"> (</w:t>
            </w:r>
            <w:r w:rsidRPr="001352AB">
              <w:rPr>
                <w:rFonts w:ascii="Sylfaen" w:hAnsi="Sylfaen" w:cs="Sylfaen"/>
              </w:rPr>
              <w:t>აზოტის</w:t>
            </w:r>
            <w:r w:rsidRPr="001352AB">
              <w:t xml:space="preserve">(IV) </w:t>
            </w:r>
            <w:r w:rsidRPr="001352AB">
              <w:rPr>
                <w:rFonts w:ascii="Sylfaen" w:hAnsi="Sylfaen" w:cs="Sylfaen"/>
              </w:rPr>
              <w:t>ოქსიდი</w:t>
            </w:r>
            <w:r w:rsidRPr="001352AB">
              <w:t xml:space="preserve"> )</w:t>
            </w:r>
          </w:p>
        </w:tc>
        <w:tc>
          <w:tcPr>
            <w:tcW w:w="1143" w:type="pct"/>
            <w:tcBorders>
              <w:top w:val="single" w:sz="4" w:space="0" w:color="000000"/>
              <w:left w:val="single" w:sz="4" w:space="0" w:color="000000"/>
              <w:bottom w:val="single" w:sz="4" w:space="0" w:color="000000"/>
              <w:right w:val="single" w:sz="4" w:space="0" w:color="000000"/>
            </w:tcBorders>
            <w:vAlign w:val="center"/>
            <w:hideMark/>
          </w:tcPr>
          <w:p w14:paraId="60F1104E" w14:textId="77777777" w:rsidR="00CD64B5" w:rsidRPr="001352AB" w:rsidRDefault="00CD64B5" w:rsidP="00CD64B5">
            <w:pPr>
              <w:rPr>
                <w:lang w:eastAsia="en-US"/>
              </w:rPr>
            </w:pPr>
            <w:r w:rsidRPr="001352AB">
              <w:rPr>
                <w:rFonts w:eastAsiaTheme="minorEastAsia"/>
              </w:rPr>
              <w:t>0,0457778</w:t>
            </w:r>
          </w:p>
        </w:tc>
        <w:tc>
          <w:tcPr>
            <w:tcW w:w="1143" w:type="pct"/>
            <w:tcBorders>
              <w:top w:val="single" w:sz="4" w:space="0" w:color="000000"/>
              <w:left w:val="single" w:sz="4" w:space="0" w:color="000000"/>
              <w:bottom w:val="single" w:sz="4" w:space="0" w:color="000000"/>
              <w:right w:val="single" w:sz="6" w:space="0" w:color="auto"/>
            </w:tcBorders>
            <w:vAlign w:val="center"/>
            <w:hideMark/>
          </w:tcPr>
          <w:p w14:paraId="1B0B6305" w14:textId="77777777" w:rsidR="00CD64B5" w:rsidRPr="001352AB" w:rsidRDefault="00CD64B5" w:rsidP="00CD64B5">
            <w:r w:rsidRPr="001352AB">
              <w:rPr>
                <w:rFonts w:eastAsiaTheme="minorEastAsia"/>
              </w:rPr>
              <w:t>0,688</w:t>
            </w:r>
          </w:p>
        </w:tc>
      </w:tr>
      <w:tr w:rsidR="00CD64B5" w:rsidRPr="001352AB" w14:paraId="56B1CCA5" w14:textId="77777777" w:rsidTr="00CD64B5">
        <w:trPr>
          <w:trHeight w:val="271"/>
          <w:jc w:val="center"/>
        </w:trPr>
        <w:tc>
          <w:tcPr>
            <w:tcW w:w="429" w:type="pct"/>
            <w:tcBorders>
              <w:top w:val="single" w:sz="4" w:space="0" w:color="000000"/>
              <w:left w:val="single" w:sz="6" w:space="0" w:color="auto"/>
              <w:bottom w:val="single" w:sz="8" w:space="0" w:color="auto"/>
              <w:right w:val="single" w:sz="4" w:space="0" w:color="000000"/>
            </w:tcBorders>
            <w:hideMark/>
          </w:tcPr>
          <w:p w14:paraId="7059624D" w14:textId="77777777" w:rsidR="00CD64B5" w:rsidRPr="001352AB" w:rsidRDefault="00CD64B5" w:rsidP="00CD64B5">
            <w:pPr>
              <w:rPr>
                <w:rFonts w:eastAsiaTheme="minorEastAsia"/>
                <w:lang w:eastAsia="ru-RU"/>
              </w:rPr>
            </w:pPr>
            <w:r w:rsidRPr="001352AB">
              <w:t>304</w:t>
            </w:r>
          </w:p>
        </w:tc>
        <w:tc>
          <w:tcPr>
            <w:tcW w:w="2285" w:type="pct"/>
            <w:tcBorders>
              <w:top w:val="single" w:sz="4" w:space="0" w:color="000000"/>
              <w:left w:val="single" w:sz="4" w:space="0" w:color="000000"/>
              <w:bottom w:val="single" w:sz="8" w:space="0" w:color="auto"/>
              <w:right w:val="single" w:sz="4" w:space="0" w:color="000000"/>
            </w:tcBorders>
            <w:hideMark/>
          </w:tcPr>
          <w:p w14:paraId="301D1E68" w14:textId="77777777" w:rsidR="00CD64B5" w:rsidRPr="001352AB" w:rsidRDefault="00CD64B5" w:rsidP="00CD64B5">
            <w:pPr>
              <w:rPr>
                <w:rFonts w:eastAsiaTheme="minorEastAsia"/>
              </w:rPr>
            </w:pPr>
            <w:r w:rsidRPr="001352AB">
              <w:rPr>
                <w:rFonts w:ascii="Sylfaen" w:hAnsi="Sylfaen" w:cs="Sylfaen"/>
              </w:rPr>
              <w:t>აზოტის</w:t>
            </w:r>
            <w:r w:rsidRPr="001352AB">
              <w:t xml:space="preserve"> </w:t>
            </w:r>
            <w:r w:rsidRPr="001352AB">
              <w:rPr>
                <w:rFonts w:ascii="Sylfaen" w:hAnsi="Sylfaen" w:cs="Sylfaen"/>
              </w:rPr>
              <w:t>ოქსიდი</w:t>
            </w:r>
            <w:r w:rsidRPr="001352AB">
              <w:t xml:space="preserve"> (II) </w:t>
            </w:r>
          </w:p>
        </w:tc>
        <w:tc>
          <w:tcPr>
            <w:tcW w:w="1143" w:type="pct"/>
            <w:tcBorders>
              <w:top w:val="single" w:sz="4" w:space="0" w:color="000000"/>
              <w:left w:val="single" w:sz="4" w:space="0" w:color="000000"/>
              <w:bottom w:val="single" w:sz="8" w:space="0" w:color="auto"/>
              <w:right w:val="single" w:sz="4" w:space="0" w:color="000000"/>
            </w:tcBorders>
            <w:vAlign w:val="center"/>
            <w:hideMark/>
          </w:tcPr>
          <w:p w14:paraId="68244E20" w14:textId="77777777" w:rsidR="00CD64B5" w:rsidRPr="001352AB" w:rsidRDefault="00CD64B5" w:rsidP="00CD64B5">
            <w:pPr>
              <w:rPr>
                <w:lang w:eastAsia="en-US"/>
              </w:rPr>
            </w:pPr>
            <w:r w:rsidRPr="001352AB">
              <w:rPr>
                <w:rFonts w:eastAsiaTheme="minorEastAsia"/>
              </w:rPr>
              <w:t>0,0074389</w:t>
            </w:r>
          </w:p>
        </w:tc>
        <w:tc>
          <w:tcPr>
            <w:tcW w:w="1143" w:type="pct"/>
            <w:tcBorders>
              <w:top w:val="single" w:sz="4" w:space="0" w:color="000000"/>
              <w:left w:val="single" w:sz="4" w:space="0" w:color="000000"/>
              <w:bottom w:val="single" w:sz="8" w:space="0" w:color="auto"/>
              <w:right w:val="single" w:sz="6" w:space="0" w:color="auto"/>
            </w:tcBorders>
            <w:vAlign w:val="center"/>
            <w:hideMark/>
          </w:tcPr>
          <w:p w14:paraId="53D6135E" w14:textId="77777777" w:rsidR="00CD64B5" w:rsidRPr="001352AB" w:rsidRDefault="00CD64B5" w:rsidP="00CD64B5">
            <w:r w:rsidRPr="001352AB">
              <w:rPr>
                <w:rFonts w:eastAsiaTheme="minorEastAsia"/>
              </w:rPr>
              <w:t>0,1118</w:t>
            </w:r>
          </w:p>
        </w:tc>
      </w:tr>
      <w:tr w:rsidR="00CD64B5" w:rsidRPr="001352AB" w14:paraId="7DFE2207" w14:textId="77777777" w:rsidTr="00CD64B5">
        <w:trPr>
          <w:trHeight w:val="271"/>
          <w:jc w:val="center"/>
        </w:trPr>
        <w:tc>
          <w:tcPr>
            <w:tcW w:w="429" w:type="pct"/>
            <w:tcBorders>
              <w:top w:val="single" w:sz="4" w:space="0" w:color="000000"/>
              <w:left w:val="single" w:sz="6" w:space="0" w:color="auto"/>
              <w:bottom w:val="single" w:sz="8" w:space="0" w:color="auto"/>
              <w:right w:val="single" w:sz="4" w:space="0" w:color="000000"/>
            </w:tcBorders>
            <w:hideMark/>
          </w:tcPr>
          <w:p w14:paraId="7E04CB6D" w14:textId="77777777" w:rsidR="00CD64B5" w:rsidRPr="001352AB" w:rsidRDefault="00CD64B5" w:rsidP="00CD64B5">
            <w:pPr>
              <w:rPr>
                <w:rFonts w:eastAsiaTheme="minorEastAsia"/>
                <w:lang w:eastAsia="ru-RU"/>
              </w:rPr>
            </w:pPr>
            <w:r w:rsidRPr="001352AB">
              <w:t>328</w:t>
            </w:r>
          </w:p>
        </w:tc>
        <w:tc>
          <w:tcPr>
            <w:tcW w:w="2285" w:type="pct"/>
            <w:tcBorders>
              <w:top w:val="single" w:sz="4" w:space="0" w:color="000000"/>
              <w:left w:val="single" w:sz="4" w:space="0" w:color="000000"/>
              <w:bottom w:val="single" w:sz="8" w:space="0" w:color="auto"/>
              <w:right w:val="single" w:sz="4" w:space="0" w:color="000000"/>
            </w:tcBorders>
            <w:hideMark/>
          </w:tcPr>
          <w:p w14:paraId="18FD0D9C" w14:textId="77777777" w:rsidR="00CD64B5" w:rsidRPr="001352AB" w:rsidRDefault="00CD64B5" w:rsidP="00CD64B5">
            <w:pPr>
              <w:rPr>
                <w:rFonts w:eastAsiaTheme="minorEastAsia"/>
              </w:rPr>
            </w:pPr>
            <w:r w:rsidRPr="001352AB">
              <w:rPr>
                <w:rFonts w:ascii="Sylfaen" w:hAnsi="Sylfaen" w:cs="Sylfaen"/>
              </w:rPr>
              <w:t>ჭვარტლი</w:t>
            </w:r>
            <w:r w:rsidRPr="001352AB">
              <w:t xml:space="preserve"> </w:t>
            </w:r>
          </w:p>
        </w:tc>
        <w:tc>
          <w:tcPr>
            <w:tcW w:w="1143" w:type="pct"/>
            <w:tcBorders>
              <w:top w:val="single" w:sz="4" w:space="0" w:color="000000"/>
              <w:left w:val="single" w:sz="4" w:space="0" w:color="000000"/>
              <w:bottom w:val="single" w:sz="8" w:space="0" w:color="auto"/>
              <w:right w:val="single" w:sz="4" w:space="0" w:color="000000"/>
            </w:tcBorders>
            <w:vAlign w:val="center"/>
            <w:hideMark/>
          </w:tcPr>
          <w:p w14:paraId="3EFFDAA3" w14:textId="77777777" w:rsidR="00CD64B5" w:rsidRPr="001352AB" w:rsidRDefault="00CD64B5" w:rsidP="00CD64B5">
            <w:pPr>
              <w:rPr>
                <w:lang w:eastAsia="en-US"/>
              </w:rPr>
            </w:pPr>
            <w:r w:rsidRPr="001352AB">
              <w:rPr>
                <w:rFonts w:eastAsiaTheme="minorEastAsia"/>
              </w:rPr>
              <w:t>0,0027778</w:t>
            </w:r>
          </w:p>
        </w:tc>
        <w:tc>
          <w:tcPr>
            <w:tcW w:w="1143" w:type="pct"/>
            <w:tcBorders>
              <w:top w:val="single" w:sz="4" w:space="0" w:color="000000"/>
              <w:left w:val="single" w:sz="4" w:space="0" w:color="000000"/>
              <w:bottom w:val="single" w:sz="8" w:space="0" w:color="auto"/>
              <w:right w:val="single" w:sz="6" w:space="0" w:color="auto"/>
            </w:tcBorders>
            <w:vAlign w:val="center"/>
            <w:hideMark/>
          </w:tcPr>
          <w:p w14:paraId="78736532" w14:textId="77777777" w:rsidR="00CD64B5" w:rsidRPr="001352AB" w:rsidRDefault="00CD64B5" w:rsidP="00CD64B5">
            <w:r w:rsidRPr="001352AB">
              <w:rPr>
                <w:rFonts w:eastAsiaTheme="minorEastAsia"/>
              </w:rPr>
              <w:t>0,04285</w:t>
            </w:r>
          </w:p>
        </w:tc>
      </w:tr>
      <w:tr w:rsidR="00CD64B5" w:rsidRPr="001352AB" w14:paraId="6F2D7953" w14:textId="77777777" w:rsidTr="00CD64B5">
        <w:trPr>
          <w:trHeight w:val="271"/>
          <w:jc w:val="center"/>
        </w:trPr>
        <w:tc>
          <w:tcPr>
            <w:tcW w:w="429" w:type="pct"/>
            <w:tcBorders>
              <w:top w:val="single" w:sz="4" w:space="0" w:color="000000"/>
              <w:left w:val="single" w:sz="6" w:space="0" w:color="auto"/>
              <w:bottom w:val="single" w:sz="8" w:space="0" w:color="auto"/>
              <w:right w:val="single" w:sz="4" w:space="0" w:color="000000"/>
            </w:tcBorders>
            <w:hideMark/>
          </w:tcPr>
          <w:p w14:paraId="196C51EB" w14:textId="77777777" w:rsidR="00CD64B5" w:rsidRPr="001352AB" w:rsidRDefault="00CD64B5" w:rsidP="00CD64B5">
            <w:pPr>
              <w:rPr>
                <w:rFonts w:eastAsiaTheme="minorEastAsia"/>
                <w:lang w:eastAsia="ru-RU"/>
              </w:rPr>
            </w:pPr>
            <w:r w:rsidRPr="001352AB">
              <w:t>330</w:t>
            </w:r>
          </w:p>
        </w:tc>
        <w:tc>
          <w:tcPr>
            <w:tcW w:w="2285" w:type="pct"/>
            <w:tcBorders>
              <w:top w:val="single" w:sz="4" w:space="0" w:color="000000"/>
              <w:left w:val="single" w:sz="4" w:space="0" w:color="000000"/>
              <w:bottom w:val="single" w:sz="8" w:space="0" w:color="auto"/>
              <w:right w:val="single" w:sz="4" w:space="0" w:color="000000"/>
            </w:tcBorders>
            <w:hideMark/>
          </w:tcPr>
          <w:p w14:paraId="6B8F6315" w14:textId="77777777" w:rsidR="00CD64B5" w:rsidRPr="001352AB" w:rsidRDefault="00CD64B5" w:rsidP="00CD64B5">
            <w:pPr>
              <w:rPr>
                <w:rFonts w:eastAsiaTheme="minorEastAsia"/>
              </w:rPr>
            </w:pPr>
            <w:r w:rsidRPr="001352AB">
              <w:rPr>
                <w:rFonts w:ascii="Sylfaen" w:hAnsi="Sylfaen" w:cs="Sylfaen"/>
              </w:rPr>
              <w:t>გოგირდის</w:t>
            </w:r>
            <w:r w:rsidRPr="001352AB">
              <w:t xml:space="preserve"> </w:t>
            </w:r>
            <w:r w:rsidRPr="001352AB">
              <w:rPr>
                <w:rFonts w:ascii="Sylfaen" w:hAnsi="Sylfaen" w:cs="Sylfaen"/>
              </w:rPr>
              <w:t>დიოქსიდი</w:t>
            </w:r>
            <w:r w:rsidRPr="001352AB">
              <w:t xml:space="preserve"> </w:t>
            </w:r>
          </w:p>
        </w:tc>
        <w:tc>
          <w:tcPr>
            <w:tcW w:w="1143" w:type="pct"/>
            <w:tcBorders>
              <w:top w:val="single" w:sz="4" w:space="0" w:color="000000"/>
              <w:left w:val="single" w:sz="4" w:space="0" w:color="000000"/>
              <w:bottom w:val="single" w:sz="8" w:space="0" w:color="auto"/>
              <w:right w:val="single" w:sz="4" w:space="0" w:color="000000"/>
            </w:tcBorders>
            <w:vAlign w:val="center"/>
            <w:hideMark/>
          </w:tcPr>
          <w:p w14:paraId="76D91E1A" w14:textId="77777777" w:rsidR="00CD64B5" w:rsidRPr="001352AB" w:rsidRDefault="00CD64B5" w:rsidP="00CD64B5">
            <w:pPr>
              <w:rPr>
                <w:lang w:eastAsia="en-US"/>
              </w:rPr>
            </w:pPr>
            <w:r w:rsidRPr="001352AB">
              <w:rPr>
                <w:rFonts w:eastAsiaTheme="minorEastAsia"/>
              </w:rPr>
              <w:t>0,0152778</w:t>
            </w:r>
          </w:p>
        </w:tc>
        <w:tc>
          <w:tcPr>
            <w:tcW w:w="1143" w:type="pct"/>
            <w:tcBorders>
              <w:top w:val="single" w:sz="4" w:space="0" w:color="000000"/>
              <w:left w:val="single" w:sz="4" w:space="0" w:color="000000"/>
              <w:bottom w:val="single" w:sz="8" w:space="0" w:color="auto"/>
              <w:right w:val="single" w:sz="6" w:space="0" w:color="auto"/>
            </w:tcBorders>
            <w:vAlign w:val="center"/>
            <w:hideMark/>
          </w:tcPr>
          <w:p w14:paraId="0264C6DB" w14:textId="77777777" w:rsidR="00CD64B5" w:rsidRPr="001352AB" w:rsidRDefault="00CD64B5" w:rsidP="00CD64B5">
            <w:r w:rsidRPr="001352AB">
              <w:rPr>
                <w:rFonts w:eastAsiaTheme="minorEastAsia"/>
              </w:rPr>
              <w:t>0,225</w:t>
            </w:r>
          </w:p>
        </w:tc>
      </w:tr>
      <w:tr w:rsidR="00CD64B5" w:rsidRPr="001352AB" w14:paraId="5D6682EE" w14:textId="77777777" w:rsidTr="00CD64B5">
        <w:trPr>
          <w:trHeight w:val="271"/>
          <w:jc w:val="center"/>
        </w:trPr>
        <w:tc>
          <w:tcPr>
            <w:tcW w:w="429" w:type="pct"/>
            <w:tcBorders>
              <w:top w:val="single" w:sz="4" w:space="0" w:color="000000"/>
              <w:left w:val="single" w:sz="6" w:space="0" w:color="auto"/>
              <w:bottom w:val="single" w:sz="8" w:space="0" w:color="auto"/>
              <w:right w:val="single" w:sz="4" w:space="0" w:color="000000"/>
            </w:tcBorders>
            <w:hideMark/>
          </w:tcPr>
          <w:p w14:paraId="3E946715" w14:textId="77777777" w:rsidR="00CD64B5" w:rsidRPr="001352AB" w:rsidRDefault="00CD64B5" w:rsidP="00CD64B5">
            <w:pPr>
              <w:rPr>
                <w:rFonts w:eastAsiaTheme="minorEastAsia"/>
                <w:lang w:eastAsia="ru-RU"/>
              </w:rPr>
            </w:pPr>
            <w:r w:rsidRPr="001352AB">
              <w:t>337</w:t>
            </w:r>
          </w:p>
        </w:tc>
        <w:tc>
          <w:tcPr>
            <w:tcW w:w="2285" w:type="pct"/>
            <w:tcBorders>
              <w:top w:val="single" w:sz="4" w:space="0" w:color="000000"/>
              <w:left w:val="single" w:sz="4" w:space="0" w:color="000000"/>
              <w:bottom w:val="single" w:sz="8" w:space="0" w:color="auto"/>
              <w:right w:val="single" w:sz="4" w:space="0" w:color="000000"/>
            </w:tcBorders>
            <w:hideMark/>
          </w:tcPr>
          <w:p w14:paraId="5E4359D5" w14:textId="77777777" w:rsidR="00CD64B5" w:rsidRPr="001352AB" w:rsidRDefault="00CD64B5" w:rsidP="00CD64B5">
            <w:pPr>
              <w:rPr>
                <w:rFonts w:eastAsiaTheme="minorEastAsia"/>
              </w:rPr>
            </w:pPr>
            <w:r w:rsidRPr="001352AB">
              <w:rPr>
                <w:rFonts w:ascii="Sylfaen" w:hAnsi="Sylfaen" w:cs="Sylfaen"/>
              </w:rPr>
              <w:t>ნახშირბადის</w:t>
            </w:r>
            <w:r w:rsidRPr="001352AB">
              <w:t xml:space="preserve"> </w:t>
            </w:r>
            <w:r w:rsidRPr="001352AB">
              <w:rPr>
                <w:rFonts w:ascii="Sylfaen" w:hAnsi="Sylfaen" w:cs="Sylfaen"/>
              </w:rPr>
              <w:t>ოქსიდი</w:t>
            </w:r>
          </w:p>
        </w:tc>
        <w:tc>
          <w:tcPr>
            <w:tcW w:w="1143" w:type="pct"/>
            <w:tcBorders>
              <w:top w:val="single" w:sz="4" w:space="0" w:color="000000"/>
              <w:left w:val="single" w:sz="4" w:space="0" w:color="000000"/>
              <w:bottom w:val="single" w:sz="8" w:space="0" w:color="auto"/>
              <w:right w:val="single" w:sz="4" w:space="0" w:color="000000"/>
            </w:tcBorders>
            <w:vAlign w:val="center"/>
            <w:hideMark/>
          </w:tcPr>
          <w:p w14:paraId="58DA2BFA" w14:textId="77777777" w:rsidR="00CD64B5" w:rsidRPr="001352AB" w:rsidRDefault="00CD64B5" w:rsidP="00CD64B5">
            <w:pPr>
              <w:rPr>
                <w:lang w:eastAsia="en-US"/>
              </w:rPr>
            </w:pPr>
            <w:r w:rsidRPr="001352AB">
              <w:rPr>
                <w:rFonts w:eastAsiaTheme="minorEastAsia"/>
              </w:rPr>
              <w:t>0,05</w:t>
            </w:r>
          </w:p>
        </w:tc>
        <w:tc>
          <w:tcPr>
            <w:tcW w:w="1143" w:type="pct"/>
            <w:tcBorders>
              <w:top w:val="single" w:sz="4" w:space="0" w:color="000000"/>
              <w:left w:val="single" w:sz="4" w:space="0" w:color="000000"/>
              <w:bottom w:val="single" w:sz="8" w:space="0" w:color="auto"/>
              <w:right w:val="single" w:sz="6" w:space="0" w:color="auto"/>
            </w:tcBorders>
            <w:vAlign w:val="center"/>
            <w:hideMark/>
          </w:tcPr>
          <w:p w14:paraId="44D5E95E" w14:textId="77777777" w:rsidR="00CD64B5" w:rsidRPr="001352AB" w:rsidRDefault="00CD64B5" w:rsidP="00CD64B5">
            <w:r w:rsidRPr="001352AB">
              <w:rPr>
                <w:rFonts w:eastAsiaTheme="minorEastAsia"/>
              </w:rPr>
              <w:t>0,75</w:t>
            </w:r>
          </w:p>
        </w:tc>
      </w:tr>
      <w:tr w:rsidR="00CD64B5" w:rsidRPr="001352AB" w14:paraId="036EB2C7" w14:textId="77777777" w:rsidTr="00CD64B5">
        <w:trPr>
          <w:trHeight w:val="253"/>
          <w:jc w:val="center"/>
        </w:trPr>
        <w:tc>
          <w:tcPr>
            <w:tcW w:w="429" w:type="pct"/>
            <w:tcBorders>
              <w:top w:val="single" w:sz="4" w:space="0" w:color="000000"/>
              <w:left w:val="single" w:sz="6" w:space="0" w:color="auto"/>
              <w:bottom w:val="single" w:sz="8" w:space="0" w:color="auto"/>
              <w:right w:val="single" w:sz="4" w:space="0" w:color="000000"/>
            </w:tcBorders>
            <w:hideMark/>
          </w:tcPr>
          <w:p w14:paraId="40B9BEC0" w14:textId="77777777" w:rsidR="00CD64B5" w:rsidRPr="001352AB" w:rsidRDefault="00CD64B5" w:rsidP="00CD64B5">
            <w:pPr>
              <w:rPr>
                <w:rFonts w:eastAsiaTheme="minorEastAsia"/>
                <w:lang w:eastAsia="ru-RU"/>
              </w:rPr>
            </w:pPr>
            <w:r w:rsidRPr="001352AB">
              <w:t>703</w:t>
            </w:r>
          </w:p>
        </w:tc>
        <w:tc>
          <w:tcPr>
            <w:tcW w:w="2285" w:type="pct"/>
            <w:tcBorders>
              <w:top w:val="single" w:sz="4" w:space="0" w:color="000000"/>
              <w:left w:val="single" w:sz="4" w:space="0" w:color="000000"/>
              <w:bottom w:val="single" w:sz="8" w:space="0" w:color="auto"/>
              <w:right w:val="single" w:sz="4" w:space="0" w:color="000000"/>
            </w:tcBorders>
            <w:hideMark/>
          </w:tcPr>
          <w:p w14:paraId="30D7A0DF" w14:textId="77777777" w:rsidR="00CD64B5" w:rsidRPr="001352AB" w:rsidRDefault="00CD64B5" w:rsidP="00CD64B5">
            <w:pPr>
              <w:rPr>
                <w:rFonts w:eastAsiaTheme="minorEastAsia"/>
              </w:rPr>
            </w:pPr>
            <w:r w:rsidRPr="001352AB">
              <w:rPr>
                <w:rFonts w:ascii="Sylfaen" w:hAnsi="Sylfaen" w:cs="Sylfaen"/>
              </w:rPr>
              <w:t>ბენზ</w:t>
            </w:r>
            <w:r w:rsidRPr="001352AB">
              <w:t>(</w:t>
            </w:r>
            <w:r w:rsidRPr="001352AB">
              <w:rPr>
                <w:rFonts w:ascii="Sylfaen" w:hAnsi="Sylfaen" w:cs="Sylfaen"/>
              </w:rPr>
              <w:t>ა</w:t>
            </w:r>
            <w:r w:rsidRPr="001352AB">
              <w:t>)</w:t>
            </w:r>
            <w:r w:rsidRPr="001352AB">
              <w:rPr>
                <w:rFonts w:ascii="Sylfaen" w:hAnsi="Sylfaen" w:cs="Sylfaen"/>
              </w:rPr>
              <w:t>პირენი</w:t>
            </w:r>
            <w:r w:rsidRPr="001352AB">
              <w:t xml:space="preserve"> </w:t>
            </w:r>
          </w:p>
        </w:tc>
        <w:tc>
          <w:tcPr>
            <w:tcW w:w="1143" w:type="pct"/>
            <w:tcBorders>
              <w:top w:val="single" w:sz="4" w:space="0" w:color="000000"/>
              <w:left w:val="single" w:sz="4" w:space="0" w:color="000000"/>
              <w:bottom w:val="single" w:sz="8" w:space="0" w:color="auto"/>
              <w:right w:val="single" w:sz="4" w:space="0" w:color="000000"/>
            </w:tcBorders>
            <w:vAlign w:val="center"/>
            <w:hideMark/>
          </w:tcPr>
          <w:p w14:paraId="5B434BAC" w14:textId="77777777" w:rsidR="00CD64B5" w:rsidRPr="001352AB" w:rsidRDefault="00CD64B5" w:rsidP="00CD64B5">
            <w:pPr>
              <w:rPr>
                <w:lang w:eastAsia="en-US"/>
              </w:rPr>
            </w:pPr>
            <w:r w:rsidRPr="001352AB">
              <w:rPr>
                <w:rFonts w:eastAsiaTheme="minorEastAsia"/>
              </w:rPr>
              <w:t>0,0000001</w:t>
            </w:r>
          </w:p>
        </w:tc>
        <w:tc>
          <w:tcPr>
            <w:tcW w:w="1143" w:type="pct"/>
            <w:tcBorders>
              <w:top w:val="single" w:sz="4" w:space="0" w:color="000000"/>
              <w:left w:val="single" w:sz="4" w:space="0" w:color="000000"/>
              <w:bottom w:val="single" w:sz="8" w:space="0" w:color="auto"/>
              <w:right w:val="single" w:sz="6" w:space="0" w:color="auto"/>
            </w:tcBorders>
            <w:vAlign w:val="center"/>
            <w:hideMark/>
          </w:tcPr>
          <w:p w14:paraId="3FBAFC52" w14:textId="77777777" w:rsidR="00CD64B5" w:rsidRPr="001352AB" w:rsidRDefault="00CD64B5" w:rsidP="00CD64B5">
            <w:r w:rsidRPr="001352AB">
              <w:rPr>
                <w:rFonts w:eastAsiaTheme="minorEastAsia"/>
              </w:rPr>
              <w:t>0,0000008</w:t>
            </w:r>
          </w:p>
        </w:tc>
      </w:tr>
      <w:tr w:rsidR="00CD64B5" w:rsidRPr="001352AB" w14:paraId="7503C31F" w14:textId="77777777" w:rsidTr="00CD64B5">
        <w:trPr>
          <w:trHeight w:val="271"/>
          <w:jc w:val="center"/>
        </w:trPr>
        <w:tc>
          <w:tcPr>
            <w:tcW w:w="429" w:type="pct"/>
            <w:tcBorders>
              <w:top w:val="single" w:sz="4" w:space="0" w:color="000000"/>
              <w:left w:val="single" w:sz="6" w:space="0" w:color="auto"/>
              <w:bottom w:val="single" w:sz="8" w:space="0" w:color="auto"/>
              <w:right w:val="single" w:sz="4" w:space="0" w:color="000000"/>
            </w:tcBorders>
            <w:hideMark/>
          </w:tcPr>
          <w:p w14:paraId="48CD3FBA" w14:textId="77777777" w:rsidR="00CD64B5" w:rsidRPr="001352AB" w:rsidRDefault="00CD64B5" w:rsidP="00CD64B5">
            <w:pPr>
              <w:rPr>
                <w:rFonts w:eastAsiaTheme="minorEastAsia"/>
                <w:lang w:eastAsia="ru-RU"/>
              </w:rPr>
            </w:pPr>
            <w:r w:rsidRPr="001352AB">
              <w:t>1325</w:t>
            </w:r>
          </w:p>
        </w:tc>
        <w:tc>
          <w:tcPr>
            <w:tcW w:w="2285" w:type="pct"/>
            <w:tcBorders>
              <w:top w:val="single" w:sz="4" w:space="0" w:color="000000"/>
              <w:left w:val="single" w:sz="4" w:space="0" w:color="000000"/>
              <w:bottom w:val="single" w:sz="8" w:space="0" w:color="auto"/>
              <w:right w:val="single" w:sz="4" w:space="0" w:color="000000"/>
            </w:tcBorders>
            <w:hideMark/>
          </w:tcPr>
          <w:p w14:paraId="0512AEB2" w14:textId="77777777" w:rsidR="00CD64B5" w:rsidRPr="001352AB" w:rsidRDefault="00CD64B5" w:rsidP="00CD64B5">
            <w:pPr>
              <w:rPr>
                <w:rFonts w:eastAsiaTheme="minorEastAsia"/>
              </w:rPr>
            </w:pPr>
            <w:r w:rsidRPr="001352AB">
              <w:rPr>
                <w:rFonts w:ascii="Sylfaen" w:hAnsi="Sylfaen" w:cs="Sylfaen"/>
              </w:rPr>
              <w:t>ფორმალდეჰიდი</w:t>
            </w:r>
          </w:p>
        </w:tc>
        <w:tc>
          <w:tcPr>
            <w:tcW w:w="1143" w:type="pct"/>
            <w:tcBorders>
              <w:top w:val="single" w:sz="4" w:space="0" w:color="000000"/>
              <w:left w:val="single" w:sz="4" w:space="0" w:color="000000"/>
              <w:bottom w:val="single" w:sz="8" w:space="0" w:color="auto"/>
              <w:right w:val="single" w:sz="4" w:space="0" w:color="000000"/>
            </w:tcBorders>
            <w:vAlign w:val="center"/>
            <w:hideMark/>
          </w:tcPr>
          <w:p w14:paraId="38C49A43" w14:textId="77777777" w:rsidR="00CD64B5" w:rsidRPr="001352AB" w:rsidRDefault="00CD64B5" w:rsidP="00CD64B5">
            <w:pPr>
              <w:rPr>
                <w:lang w:eastAsia="en-US"/>
              </w:rPr>
            </w:pPr>
            <w:r w:rsidRPr="001352AB">
              <w:rPr>
                <w:rFonts w:eastAsiaTheme="minorEastAsia"/>
              </w:rPr>
              <w:t>0,0005972</w:t>
            </w:r>
          </w:p>
        </w:tc>
        <w:tc>
          <w:tcPr>
            <w:tcW w:w="1143" w:type="pct"/>
            <w:tcBorders>
              <w:top w:val="single" w:sz="4" w:space="0" w:color="000000"/>
              <w:left w:val="single" w:sz="4" w:space="0" w:color="000000"/>
              <w:bottom w:val="single" w:sz="8" w:space="0" w:color="auto"/>
              <w:right w:val="single" w:sz="6" w:space="0" w:color="auto"/>
            </w:tcBorders>
            <w:vAlign w:val="center"/>
            <w:hideMark/>
          </w:tcPr>
          <w:p w14:paraId="695ECDA3" w14:textId="77777777" w:rsidR="00CD64B5" w:rsidRPr="001352AB" w:rsidRDefault="00CD64B5" w:rsidP="00CD64B5">
            <w:r w:rsidRPr="001352AB">
              <w:rPr>
                <w:rFonts w:eastAsiaTheme="minorEastAsia"/>
              </w:rPr>
              <w:t>0,00855</w:t>
            </w:r>
          </w:p>
        </w:tc>
      </w:tr>
      <w:tr w:rsidR="00CD64B5" w:rsidRPr="001352AB" w14:paraId="26101156" w14:textId="77777777" w:rsidTr="00CD64B5">
        <w:trPr>
          <w:trHeight w:val="271"/>
          <w:jc w:val="center"/>
        </w:trPr>
        <w:tc>
          <w:tcPr>
            <w:tcW w:w="429" w:type="pct"/>
            <w:tcBorders>
              <w:top w:val="single" w:sz="4" w:space="0" w:color="000000"/>
              <w:left w:val="single" w:sz="6" w:space="0" w:color="auto"/>
              <w:bottom w:val="single" w:sz="8" w:space="0" w:color="auto"/>
              <w:right w:val="single" w:sz="4" w:space="0" w:color="000000"/>
            </w:tcBorders>
            <w:hideMark/>
          </w:tcPr>
          <w:p w14:paraId="2C618575" w14:textId="77777777" w:rsidR="00CD64B5" w:rsidRPr="001352AB" w:rsidRDefault="00CD64B5" w:rsidP="00CD64B5">
            <w:pPr>
              <w:rPr>
                <w:rFonts w:eastAsiaTheme="minorEastAsia"/>
                <w:lang w:eastAsia="ru-RU"/>
              </w:rPr>
            </w:pPr>
            <w:r w:rsidRPr="001352AB">
              <w:t>2732</w:t>
            </w:r>
          </w:p>
        </w:tc>
        <w:tc>
          <w:tcPr>
            <w:tcW w:w="2285" w:type="pct"/>
            <w:tcBorders>
              <w:top w:val="single" w:sz="4" w:space="0" w:color="000000"/>
              <w:left w:val="single" w:sz="4" w:space="0" w:color="000000"/>
              <w:bottom w:val="single" w:sz="8" w:space="0" w:color="auto"/>
              <w:right w:val="single" w:sz="4" w:space="0" w:color="000000"/>
            </w:tcBorders>
            <w:hideMark/>
          </w:tcPr>
          <w:p w14:paraId="3449A376" w14:textId="77777777" w:rsidR="00CD64B5" w:rsidRPr="001352AB" w:rsidRDefault="00CD64B5" w:rsidP="00CD64B5">
            <w:pPr>
              <w:rPr>
                <w:rFonts w:eastAsiaTheme="minorEastAsia"/>
              </w:rPr>
            </w:pPr>
            <w:r w:rsidRPr="001352AB">
              <w:rPr>
                <w:rFonts w:ascii="Sylfaen" w:hAnsi="Sylfaen" w:cs="Sylfaen"/>
              </w:rPr>
              <w:t>ნახშირწყალბადების</w:t>
            </w:r>
            <w:r w:rsidRPr="001352AB">
              <w:t xml:space="preserve"> </w:t>
            </w:r>
            <w:r w:rsidRPr="001352AB">
              <w:rPr>
                <w:rFonts w:ascii="Sylfaen" w:hAnsi="Sylfaen" w:cs="Sylfaen"/>
              </w:rPr>
              <w:t>ნავთის</w:t>
            </w:r>
            <w:r w:rsidRPr="001352AB">
              <w:t xml:space="preserve"> </w:t>
            </w:r>
            <w:r w:rsidRPr="001352AB">
              <w:rPr>
                <w:rFonts w:ascii="Sylfaen" w:hAnsi="Sylfaen" w:cs="Sylfaen"/>
              </w:rPr>
              <w:t>ფრაქცია</w:t>
            </w:r>
          </w:p>
        </w:tc>
        <w:tc>
          <w:tcPr>
            <w:tcW w:w="1143" w:type="pct"/>
            <w:tcBorders>
              <w:top w:val="single" w:sz="4" w:space="0" w:color="000000"/>
              <w:left w:val="single" w:sz="4" w:space="0" w:color="000000"/>
              <w:bottom w:val="single" w:sz="8" w:space="0" w:color="auto"/>
              <w:right w:val="single" w:sz="4" w:space="0" w:color="000000"/>
            </w:tcBorders>
            <w:vAlign w:val="center"/>
            <w:hideMark/>
          </w:tcPr>
          <w:p w14:paraId="0810A410" w14:textId="77777777" w:rsidR="00CD64B5" w:rsidRPr="001352AB" w:rsidRDefault="00CD64B5" w:rsidP="00CD64B5">
            <w:pPr>
              <w:rPr>
                <w:lang w:eastAsia="en-US"/>
              </w:rPr>
            </w:pPr>
            <w:r w:rsidRPr="001352AB">
              <w:rPr>
                <w:rFonts w:eastAsiaTheme="minorEastAsia"/>
              </w:rPr>
              <w:t>0,0142917</w:t>
            </w:r>
          </w:p>
        </w:tc>
        <w:tc>
          <w:tcPr>
            <w:tcW w:w="1143" w:type="pct"/>
            <w:tcBorders>
              <w:top w:val="single" w:sz="4" w:space="0" w:color="000000"/>
              <w:left w:val="single" w:sz="4" w:space="0" w:color="000000"/>
              <w:bottom w:val="single" w:sz="8" w:space="0" w:color="auto"/>
              <w:right w:val="single" w:sz="6" w:space="0" w:color="auto"/>
            </w:tcBorders>
            <w:vAlign w:val="center"/>
            <w:hideMark/>
          </w:tcPr>
          <w:p w14:paraId="0172A427" w14:textId="77777777" w:rsidR="00CD64B5" w:rsidRPr="001352AB" w:rsidRDefault="00CD64B5" w:rsidP="00CD64B5">
            <w:r w:rsidRPr="001352AB">
              <w:rPr>
                <w:rFonts w:eastAsiaTheme="minorEastAsia"/>
              </w:rPr>
              <w:t>0,2143</w:t>
            </w:r>
          </w:p>
        </w:tc>
      </w:tr>
    </w:tbl>
    <w:p w14:paraId="2E6C40D0" w14:textId="77777777" w:rsidR="00CD64B5" w:rsidRPr="001352AB" w:rsidRDefault="00CD64B5" w:rsidP="00CD64B5">
      <w:pPr>
        <w:spacing w:before="120" w:after="120"/>
        <w:rPr>
          <w:rFonts w:eastAsiaTheme="minorEastAsia"/>
        </w:rPr>
      </w:pPr>
      <w:r w:rsidRPr="001352AB">
        <w:rPr>
          <w:rFonts w:ascii="Sylfaen" w:hAnsi="Sylfaen" w:cs="Sylfaen"/>
        </w:rPr>
        <w:t>საწყისი</w:t>
      </w:r>
      <w:r w:rsidRPr="001352AB">
        <w:t xml:space="preserve"> </w:t>
      </w:r>
      <w:r w:rsidRPr="001352AB">
        <w:rPr>
          <w:rFonts w:ascii="Sylfaen" w:hAnsi="Sylfaen" w:cs="Sylfaen"/>
        </w:rPr>
        <w:t>მონაცემები</w:t>
      </w:r>
      <w:r w:rsidRPr="001352AB">
        <w:t xml:space="preserve"> </w:t>
      </w:r>
      <w:r w:rsidRPr="001352AB">
        <w:rPr>
          <w:rFonts w:ascii="Sylfaen" w:hAnsi="Sylfaen" w:cs="Sylfaen"/>
        </w:rPr>
        <w:t>გამოყოფის</w:t>
      </w:r>
      <w:r w:rsidRPr="001352AB">
        <w:t xml:space="preserve"> </w:t>
      </w:r>
      <w:r w:rsidRPr="001352AB">
        <w:rPr>
          <w:rFonts w:ascii="Sylfaen" w:hAnsi="Sylfaen" w:cs="Sylfaen"/>
        </w:rPr>
        <w:t>გაანგარიშებისათვის</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ცხრილში</w:t>
      </w:r>
      <w:r w:rsidRPr="001352AB">
        <w:t xml:space="preserve"> 7.1-13.</w:t>
      </w:r>
    </w:p>
    <w:p w14:paraId="1C8FE636" w14:textId="77777777" w:rsidR="00CD64B5" w:rsidRPr="001352AB" w:rsidRDefault="00CD64B5" w:rsidP="00CD64B5">
      <w:pPr>
        <w:spacing w:before="120" w:after="120"/>
        <w:rPr>
          <w:lang w:eastAsia="en-US"/>
        </w:rPr>
      </w:pPr>
      <w:bookmarkStart w:id="267" w:name="_Toc436594174"/>
      <w:r w:rsidRPr="001352AB">
        <w:rPr>
          <w:rFonts w:ascii="Sylfaen" w:hAnsi="Sylfaen" w:cs="Sylfaen"/>
        </w:rPr>
        <w:t>ცხრილი</w:t>
      </w:r>
      <w:r w:rsidRPr="001352AB">
        <w:t xml:space="preserve"> 7.1-13.</w:t>
      </w:r>
      <w:r w:rsidRPr="001352AB">
        <w:tab/>
      </w:r>
      <w:r w:rsidRPr="001352AB">
        <w:rPr>
          <w:rFonts w:ascii="Sylfaen" w:hAnsi="Sylfaen" w:cs="Sylfaen"/>
        </w:rPr>
        <w:t>გაანგარიშების</w:t>
      </w:r>
      <w:r w:rsidRPr="001352AB">
        <w:t xml:space="preserve"> </w:t>
      </w:r>
      <w:r w:rsidRPr="001352AB">
        <w:rPr>
          <w:rFonts w:ascii="Sylfaen" w:hAnsi="Sylfaen" w:cs="Sylfaen"/>
        </w:rPr>
        <w:t>საწყისი</w:t>
      </w:r>
      <w:r w:rsidRPr="001352AB">
        <w:t xml:space="preserve"> </w:t>
      </w:r>
      <w:r w:rsidRPr="001352AB">
        <w:rPr>
          <w:rFonts w:ascii="Sylfaen" w:hAnsi="Sylfaen" w:cs="Sylfaen"/>
        </w:rPr>
        <w:t>მონაცემები</w:t>
      </w:r>
      <w:bookmarkEnd w:id="267"/>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5499"/>
        <w:gridCol w:w="1235"/>
        <w:gridCol w:w="942"/>
        <w:gridCol w:w="982"/>
        <w:gridCol w:w="1725"/>
      </w:tblGrid>
      <w:tr w:rsidR="00CD64B5" w:rsidRPr="001352AB" w14:paraId="7B1E6FFE" w14:textId="77777777" w:rsidTr="00CD64B5">
        <w:trPr>
          <w:trHeight w:val="1055"/>
          <w:tblHeader/>
          <w:jc w:val="center"/>
        </w:trPr>
        <w:tc>
          <w:tcPr>
            <w:tcW w:w="2855" w:type="pct"/>
            <w:tcBorders>
              <w:top w:val="single" w:sz="8" w:space="0" w:color="auto"/>
              <w:left w:val="single" w:sz="6" w:space="0" w:color="auto"/>
              <w:bottom w:val="single" w:sz="8" w:space="0" w:color="auto"/>
              <w:right w:val="single" w:sz="4" w:space="0" w:color="000000"/>
            </w:tcBorders>
            <w:shd w:val="clear" w:color="auto" w:fill="D9D9D9"/>
            <w:vAlign w:val="center"/>
            <w:hideMark/>
          </w:tcPr>
          <w:p w14:paraId="577F63CE" w14:textId="77777777" w:rsidR="00CD64B5" w:rsidRPr="001352AB" w:rsidRDefault="00CD64B5" w:rsidP="00CD64B5">
            <w:pPr>
              <w:rPr>
                <w:lang w:eastAsia="ru-RU"/>
              </w:rPr>
            </w:pPr>
            <w:r w:rsidRPr="001352AB">
              <w:rPr>
                <w:rFonts w:ascii="Sylfaen" w:hAnsi="Sylfaen" w:cs="Sylfaen"/>
              </w:rPr>
              <w:t>მონაცემები</w:t>
            </w:r>
          </w:p>
        </w:tc>
        <w:tc>
          <w:tcPr>
            <w:tcW w:w="587" w:type="pct"/>
            <w:tcBorders>
              <w:top w:val="single" w:sz="8" w:space="0" w:color="auto"/>
              <w:left w:val="single" w:sz="4" w:space="0" w:color="000000"/>
              <w:bottom w:val="single" w:sz="8" w:space="0" w:color="auto"/>
              <w:right w:val="single" w:sz="4" w:space="0" w:color="000000"/>
            </w:tcBorders>
            <w:shd w:val="clear" w:color="auto" w:fill="D9D9D9"/>
            <w:vAlign w:val="center"/>
            <w:hideMark/>
          </w:tcPr>
          <w:p w14:paraId="4D24CCE6" w14:textId="77777777" w:rsidR="00CD64B5" w:rsidRPr="001352AB" w:rsidRDefault="00CD64B5" w:rsidP="00CD64B5">
            <w:r w:rsidRPr="001352AB">
              <w:rPr>
                <w:rFonts w:ascii="Sylfaen" w:hAnsi="Sylfaen" w:cs="Sylfaen"/>
              </w:rPr>
              <w:t>სიმძლავრე</w:t>
            </w:r>
            <w:r w:rsidRPr="001352AB">
              <w:t xml:space="preserve">, </w:t>
            </w:r>
            <w:r w:rsidRPr="001352AB">
              <w:rPr>
                <w:rFonts w:ascii="Sylfaen" w:hAnsi="Sylfaen" w:cs="Sylfaen"/>
              </w:rPr>
              <w:t>კვტ</w:t>
            </w:r>
          </w:p>
        </w:tc>
        <w:tc>
          <w:tcPr>
            <w:tcW w:w="660" w:type="pct"/>
            <w:tcBorders>
              <w:top w:val="single" w:sz="8" w:space="0" w:color="auto"/>
              <w:left w:val="single" w:sz="4" w:space="0" w:color="000000"/>
              <w:bottom w:val="single" w:sz="8" w:space="0" w:color="auto"/>
              <w:right w:val="single" w:sz="4" w:space="0" w:color="000000"/>
            </w:tcBorders>
            <w:shd w:val="clear" w:color="auto" w:fill="D9D9D9"/>
            <w:vAlign w:val="center"/>
            <w:hideMark/>
          </w:tcPr>
          <w:p w14:paraId="17D55F16" w14:textId="77777777" w:rsidR="00CD64B5" w:rsidRPr="001352AB" w:rsidRDefault="00CD64B5" w:rsidP="00CD64B5">
            <w:r w:rsidRPr="001352AB">
              <w:rPr>
                <w:rFonts w:ascii="Sylfaen" w:hAnsi="Sylfaen" w:cs="Sylfaen"/>
              </w:rPr>
              <w:t>საწვავის</w:t>
            </w:r>
            <w:r w:rsidRPr="001352AB">
              <w:t xml:space="preserve"> </w:t>
            </w:r>
            <w:r w:rsidRPr="001352AB">
              <w:rPr>
                <w:rFonts w:ascii="Sylfaen" w:hAnsi="Sylfaen" w:cs="Sylfaen"/>
              </w:rPr>
              <w:t>ხარჯი</w:t>
            </w:r>
            <w:r w:rsidRPr="001352AB">
              <w:t xml:space="preserve">, </w:t>
            </w:r>
            <w:r w:rsidRPr="001352AB">
              <w:rPr>
                <w:rFonts w:ascii="Sylfaen" w:hAnsi="Sylfaen" w:cs="Sylfaen"/>
              </w:rPr>
              <w:t>ტ</w:t>
            </w:r>
            <w:r w:rsidRPr="001352AB">
              <w:t>/</w:t>
            </w:r>
            <w:r w:rsidRPr="001352AB">
              <w:rPr>
                <w:rFonts w:ascii="Sylfaen" w:hAnsi="Sylfaen" w:cs="Sylfaen"/>
              </w:rPr>
              <w:t>წელ</w:t>
            </w:r>
          </w:p>
        </w:tc>
        <w:tc>
          <w:tcPr>
            <w:tcW w:w="514" w:type="pct"/>
            <w:tcBorders>
              <w:top w:val="single" w:sz="8" w:space="0" w:color="auto"/>
              <w:left w:val="single" w:sz="4" w:space="0" w:color="000000"/>
              <w:bottom w:val="single" w:sz="8" w:space="0" w:color="auto"/>
              <w:right w:val="single" w:sz="4" w:space="0" w:color="000000"/>
            </w:tcBorders>
            <w:shd w:val="clear" w:color="auto" w:fill="D9D9D9"/>
            <w:vAlign w:val="center"/>
            <w:hideMark/>
          </w:tcPr>
          <w:p w14:paraId="6FAD8610" w14:textId="77777777" w:rsidR="00CD64B5" w:rsidRPr="001352AB" w:rsidRDefault="00CD64B5" w:rsidP="00CD64B5">
            <w:r w:rsidRPr="001352AB">
              <w:rPr>
                <w:rFonts w:ascii="Sylfaen" w:hAnsi="Sylfaen" w:cs="Sylfaen"/>
              </w:rPr>
              <w:t>კუთრი</w:t>
            </w:r>
            <w:r w:rsidRPr="001352AB">
              <w:t xml:space="preserve"> </w:t>
            </w:r>
            <w:r w:rsidRPr="001352AB">
              <w:rPr>
                <w:rFonts w:ascii="Sylfaen" w:hAnsi="Sylfaen" w:cs="Sylfaen"/>
              </w:rPr>
              <w:t>ხარჯი</w:t>
            </w:r>
            <w:r w:rsidRPr="001352AB">
              <w:t xml:space="preserve">, </w:t>
            </w:r>
            <w:r w:rsidRPr="001352AB">
              <w:rPr>
                <w:rFonts w:ascii="Sylfaen" w:hAnsi="Sylfaen" w:cs="Sylfaen"/>
              </w:rPr>
              <w:t>გ</w:t>
            </w:r>
            <w:r w:rsidRPr="001352AB">
              <w:t>/</w:t>
            </w:r>
            <w:r w:rsidRPr="001352AB">
              <w:rPr>
                <w:rFonts w:ascii="Sylfaen" w:hAnsi="Sylfaen" w:cs="Sylfaen"/>
              </w:rPr>
              <w:t>კვტ</w:t>
            </w:r>
            <w:r w:rsidRPr="001352AB">
              <w:t>*</w:t>
            </w:r>
            <w:r w:rsidRPr="001352AB">
              <w:rPr>
                <w:rFonts w:ascii="Sylfaen" w:hAnsi="Sylfaen" w:cs="Sylfaen"/>
              </w:rPr>
              <w:t>სთ</w:t>
            </w:r>
          </w:p>
        </w:tc>
        <w:tc>
          <w:tcPr>
            <w:tcW w:w="384" w:type="pct"/>
            <w:tcBorders>
              <w:top w:val="single" w:sz="8" w:space="0" w:color="auto"/>
              <w:left w:val="single" w:sz="4" w:space="0" w:color="000000"/>
              <w:bottom w:val="single" w:sz="8" w:space="0" w:color="auto"/>
              <w:right w:val="single" w:sz="6" w:space="0" w:color="auto"/>
            </w:tcBorders>
            <w:shd w:val="clear" w:color="auto" w:fill="D9D9D9"/>
            <w:vAlign w:val="center"/>
            <w:hideMark/>
          </w:tcPr>
          <w:p w14:paraId="6EFD010E" w14:textId="77777777" w:rsidR="00CD64B5" w:rsidRPr="001352AB" w:rsidRDefault="00CD64B5" w:rsidP="00CD64B5">
            <w:r w:rsidRPr="001352AB">
              <w:rPr>
                <w:rFonts w:ascii="Sylfaen" w:hAnsi="Sylfaen" w:cs="Sylfaen"/>
              </w:rPr>
              <w:t>ერთდროულობა</w:t>
            </w:r>
          </w:p>
        </w:tc>
      </w:tr>
      <w:tr w:rsidR="00CD64B5" w:rsidRPr="001352AB" w14:paraId="4E053B12" w14:textId="77777777" w:rsidTr="00CD64B5">
        <w:trPr>
          <w:trHeight w:val="536"/>
          <w:jc w:val="center"/>
        </w:trPr>
        <w:tc>
          <w:tcPr>
            <w:tcW w:w="2855" w:type="pct"/>
            <w:tcBorders>
              <w:top w:val="single" w:sz="4" w:space="0" w:color="000000"/>
              <w:left w:val="single" w:sz="6" w:space="0" w:color="auto"/>
              <w:bottom w:val="single" w:sz="8" w:space="0" w:color="auto"/>
              <w:right w:val="single" w:sz="4" w:space="0" w:color="000000"/>
            </w:tcBorders>
            <w:hideMark/>
          </w:tcPr>
          <w:p w14:paraId="59BB517E" w14:textId="77777777" w:rsidR="00CD64B5" w:rsidRPr="001352AB" w:rsidRDefault="00CD64B5" w:rsidP="00CD64B5">
            <w:r w:rsidRPr="001352AB">
              <w:rPr>
                <w:rFonts w:ascii="Sylfaen" w:hAnsi="Sylfaen" w:cs="Sylfaen"/>
              </w:rPr>
              <w:t>ჯგუფი</w:t>
            </w:r>
            <w:r w:rsidRPr="001352AB">
              <w:t xml:space="preserve"> A. </w:t>
            </w:r>
            <w:r w:rsidRPr="001352AB">
              <w:rPr>
                <w:rFonts w:ascii="Sylfaen" w:hAnsi="Sylfaen" w:cs="Sylfaen"/>
              </w:rPr>
              <w:t>მწარმოებელი</w:t>
            </w:r>
            <w:r w:rsidRPr="001352AB">
              <w:t xml:space="preserve">: </w:t>
            </w:r>
            <w:r w:rsidRPr="001352AB">
              <w:rPr>
                <w:rFonts w:ascii="Sylfaen" w:hAnsi="Sylfaen" w:cs="Sylfaen"/>
              </w:rPr>
              <w:t>ევროგაერთიანების</w:t>
            </w:r>
            <w:r w:rsidRPr="001352AB">
              <w:t xml:space="preserve"> </w:t>
            </w:r>
            <w:r w:rsidRPr="001352AB">
              <w:rPr>
                <w:rFonts w:ascii="Sylfaen" w:hAnsi="Sylfaen" w:cs="Sylfaen"/>
              </w:rPr>
              <w:t>ქვეყნები</w:t>
            </w:r>
            <w:r w:rsidRPr="001352AB">
              <w:t xml:space="preserve">, </w:t>
            </w:r>
            <w:r w:rsidRPr="001352AB">
              <w:rPr>
                <w:rFonts w:ascii="Sylfaen" w:hAnsi="Sylfaen" w:cs="Sylfaen"/>
              </w:rPr>
              <w:t>აშშ</w:t>
            </w:r>
            <w:r w:rsidRPr="001352AB">
              <w:t xml:space="preserve">, </w:t>
            </w:r>
            <w:r w:rsidRPr="001352AB">
              <w:rPr>
                <w:rFonts w:ascii="Sylfaen" w:hAnsi="Sylfaen" w:cs="Sylfaen"/>
              </w:rPr>
              <w:t>იაპონია</w:t>
            </w:r>
            <w:r w:rsidRPr="001352AB">
              <w:t xml:space="preserve">. </w:t>
            </w:r>
            <w:r w:rsidRPr="001352AB">
              <w:rPr>
                <w:rFonts w:ascii="Sylfaen" w:hAnsi="Sylfaen" w:cs="Sylfaen"/>
              </w:rPr>
              <w:t>საშუალო</w:t>
            </w:r>
            <w:r w:rsidRPr="001352AB">
              <w:t xml:space="preserve"> </w:t>
            </w:r>
            <w:r w:rsidRPr="001352AB">
              <w:rPr>
                <w:rFonts w:ascii="Sylfaen" w:hAnsi="Sylfaen" w:cs="Sylfaen"/>
              </w:rPr>
              <w:t>სიმძლავრის</w:t>
            </w:r>
            <w:r w:rsidRPr="001352AB">
              <w:t xml:space="preserve">, (Ne &lt; 73,6 </w:t>
            </w:r>
            <w:r w:rsidRPr="001352AB">
              <w:rPr>
                <w:rFonts w:ascii="Sylfaen" w:hAnsi="Sylfaen" w:cs="Sylfaen"/>
              </w:rPr>
              <w:t>კვტ</w:t>
            </w:r>
            <w:r w:rsidRPr="001352AB">
              <w:t xml:space="preserve">; n = 1000-3000 </w:t>
            </w:r>
            <w:r w:rsidRPr="001352AB">
              <w:rPr>
                <w:rFonts w:ascii="Sylfaen" w:hAnsi="Sylfaen" w:cs="Sylfaen"/>
              </w:rPr>
              <w:t>ბრუნი</w:t>
            </w:r>
            <w:r w:rsidRPr="001352AB">
              <w:t>/</w:t>
            </w:r>
            <w:r w:rsidRPr="001352AB">
              <w:rPr>
                <w:rFonts w:ascii="Sylfaen" w:hAnsi="Sylfaen" w:cs="Sylfaen"/>
              </w:rPr>
              <w:t>წთ</w:t>
            </w:r>
            <w:r w:rsidRPr="001352AB">
              <w:t xml:space="preserve">). </w:t>
            </w:r>
            <w:r w:rsidRPr="001352AB">
              <w:rPr>
                <w:rFonts w:ascii="Sylfaen" w:hAnsi="Sylfaen" w:cs="Sylfaen"/>
              </w:rPr>
              <w:t>რემონტამდე</w:t>
            </w:r>
            <w:r w:rsidRPr="001352AB">
              <w:t>.</w:t>
            </w:r>
          </w:p>
        </w:tc>
        <w:tc>
          <w:tcPr>
            <w:tcW w:w="587" w:type="pct"/>
            <w:tcBorders>
              <w:top w:val="single" w:sz="4" w:space="0" w:color="000000"/>
              <w:left w:val="single" w:sz="4" w:space="0" w:color="000000"/>
              <w:bottom w:val="single" w:sz="8" w:space="0" w:color="auto"/>
              <w:right w:val="single" w:sz="4" w:space="0" w:color="000000"/>
            </w:tcBorders>
            <w:hideMark/>
          </w:tcPr>
          <w:p w14:paraId="0232301C" w14:textId="77777777" w:rsidR="00CD64B5" w:rsidRPr="001352AB" w:rsidRDefault="00CD64B5" w:rsidP="00CD64B5">
            <w:r w:rsidRPr="001352AB">
              <w:t>50</w:t>
            </w:r>
          </w:p>
        </w:tc>
        <w:tc>
          <w:tcPr>
            <w:tcW w:w="660" w:type="pct"/>
            <w:tcBorders>
              <w:top w:val="single" w:sz="4" w:space="0" w:color="000000"/>
              <w:left w:val="single" w:sz="4" w:space="0" w:color="000000"/>
              <w:bottom w:val="single" w:sz="8" w:space="0" w:color="auto"/>
              <w:right w:val="single" w:sz="4" w:space="0" w:color="000000"/>
            </w:tcBorders>
            <w:hideMark/>
          </w:tcPr>
          <w:p w14:paraId="5A6C53C6" w14:textId="77777777" w:rsidR="00CD64B5" w:rsidRPr="001352AB" w:rsidRDefault="00CD64B5" w:rsidP="00CD64B5">
            <w:r w:rsidRPr="001352AB">
              <w:t>50</w:t>
            </w:r>
          </w:p>
        </w:tc>
        <w:tc>
          <w:tcPr>
            <w:tcW w:w="514" w:type="pct"/>
            <w:tcBorders>
              <w:top w:val="single" w:sz="4" w:space="0" w:color="000000"/>
              <w:left w:val="single" w:sz="4" w:space="0" w:color="000000"/>
              <w:bottom w:val="single" w:sz="8" w:space="0" w:color="auto"/>
              <w:right w:val="single" w:sz="4" w:space="0" w:color="000000"/>
            </w:tcBorders>
            <w:hideMark/>
          </w:tcPr>
          <w:p w14:paraId="08D6B637" w14:textId="77777777" w:rsidR="00CD64B5" w:rsidRPr="001352AB" w:rsidRDefault="00CD64B5" w:rsidP="00CD64B5">
            <w:r w:rsidRPr="001352AB">
              <w:t>250</w:t>
            </w:r>
          </w:p>
        </w:tc>
        <w:tc>
          <w:tcPr>
            <w:tcW w:w="384" w:type="pct"/>
            <w:tcBorders>
              <w:top w:val="single" w:sz="4" w:space="0" w:color="000000"/>
              <w:left w:val="single" w:sz="4" w:space="0" w:color="000000"/>
              <w:bottom w:val="single" w:sz="8" w:space="0" w:color="auto"/>
              <w:right w:val="single" w:sz="6" w:space="0" w:color="auto"/>
            </w:tcBorders>
            <w:hideMark/>
          </w:tcPr>
          <w:p w14:paraId="301919F3" w14:textId="77777777" w:rsidR="00CD64B5" w:rsidRPr="001352AB" w:rsidRDefault="00CD64B5" w:rsidP="00CD64B5">
            <w:r w:rsidRPr="001352AB">
              <w:t>+</w:t>
            </w:r>
          </w:p>
        </w:tc>
      </w:tr>
    </w:tbl>
    <w:p w14:paraId="39B7F96E" w14:textId="77777777" w:rsidR="00CD64B5" w:rsidRPr="001352AB" w:rsidRDefault="00CD64B5" w:rsidP="00CD64B5">
      <w:pPr>
        <w:rPr>
          <w:lang w:val="ka-GE" w:eastAsia="ru-RU"/>
        </w:rPr>
      </w:pPr>
    </w:p>
    <w:p w14:paraId="61E8CD45" w14:textId="77777777" w:rsidR="00CD64B5" w:rsidRPr="001352AB" w:rsidRDefault="00CD64B5" w:rsidP="00CD64B5">
      <w:pPr>
        <w:spacing w:before="120"/>
      </w:pPr>
      <w:r w:rsidRPr="001352AB">
        <w:rPr>
          <w:rFonts w:ascii="Sylfaen" w:hAnsi="Sylfaen" w:cs="Sylfaen"/>
        </w:rPr>
        <w:t>მაქსიმალური</w:t>
      </w:r>
      <w:r w:rsidRPr="001352AB">
        <w:t xml:space="preserve"> </w:t>
      </w:r>
      <w:r w:rsidRPr="001352AB">
        <w:rPr>
          <w:rFonts w:ascii="Sylfaen" w:hAnsi="Sylfaen" w:cs="Sylfaen"/>
        </w:rPr>
        <w:t>ემისია</w:t>
      </w:r>
      <w:r w:rsidRPr="001352AB">
        <w:t xml:space="preserve"> i-</w:t>
      </w:r>
      <w:r w:rsidRPr="001352AB">
        <w:rPr>
          <w:rFonts w:ascii="Sylfaen" w:hAnsi="Sylfaen" w:cs="Sylfaen"/>
        </w:rPr>
        <w:t>ური</w:t>
      </w:r>
      <w:r w:rsidRPr="001352AB">
        <w:t xml:space="preserve"> </w:t>
      </w:r>
      <w:r w:rsidRPr="001352AB">
        <w:rPr>
          <w:rFonts w:ascii="Sylfaen" w:hAnsi="Sylfaen" w:cs="Sylfaen"/>
        </w:rPr>
        <w:t>დამაბინძურებელი</w:t>
      </w:r>
      <w:r w:rsidRPr="001352AB">
        <w:t xml:space="preserve"> </w:t>
      </w:r>
      <w:r w:rsidRPr="001352AB">
        <w:rPr>
          <w:rFonts w:ascii="Sylfaen" w:hAnsi="Sylfaen" w:cs="Sylfaen"/>
        </w:rPr>
        <w:t>ნივთიერებისა</w:t>
      </w:r>
      <w:r w:rsidRPr="001352AB">
        <w:t xml:space="preserve"> </w:t>
      </w:r>
      <w:r w:rsidRPr="001352AB">
        <w:rPr>
          <w:rFonts w:ascii="Sylfaen" w:hAnsi="Sylfaen" w:cs="Sylfaen"/>
        </w:rPr>
        <w:t>სტაციონარული</w:t>
      </w:r>
      <w:r w:rsidRPr="001352AB">
        <w:t xml:space="preserve"> </w:t>
      </w:r>
      <w:r w:rsidRPr="001352AB">
        <w:rPr>
          <w:rFonts w:ascii="Sylfaen" w:hAnsi="Sylfaen" w:cs="Sylfaen"/>
        </w:rPr>
        <w:t>დიზელ</w:t>
      </w:r>
      <w:r w:rsidRPr="001352AB">
        <w:t>-</w:t>
      </w:r>
      <w:r w:rsidRPr="001352AB">
        <w:rPr>
          <w:rFonts w:ascii="Sylfaen" w:hAnsi="Sylfaen" w:cs="Sylfaen"/>
        </w:rPr>
        <w:t>გენერატორიდან</w:t>
      </w:r>
      <w:r w:rsidRPr="001352AB">
        <w:t xml:space="preserve"> </w:t>
      </w:r>
      <w:r w:rsidRPr="001352AB">
        <w:rPr>
          <w:rFonts w:ascii="Sylfaen" w:hAnsi="Sylfaen" w:cs="Sylfaen"/>
        </w:rPr>
        <w:t>განისაზღვრება</w:t>
      </w:r>
      <w:r w:rsidRPr="001352AB">
        <w:t xml:space="preserve"> </w:t>
      </w:r>
      <w:r w:rsidRPr="001352AB">
        <w:rPr>
          <w:rFonts w:ascii="Sylfaen" w:hAnsi="Sylfaen" w:cs="Sylfaen"/>
        </w:rPr>
        <w:t>ფორმულით</w:t>
      </w:r>
      <w:r w:rsidRPr="001352AB">
        <w:t xml:space="preserve">: </w:t>
      </w:r>
    </w:p>
    <w:p w14:paraId="3B17C7E1" w14:textId="77777777" w:rsidR="00CD64B5" w:rsidRPr="001352AB" w:rsidRDefault="00CD64B5" w:rsidP="00CD64B5">
      <w:pPr>
        <w:spacing w:before="120"/>
      </w:pPr>
      <w:r w:rsidRPr="001352AB">
        <w:t xml:space="preserve">Mi = (1 / 3600) · eMi · PЭ, </w:t>
      </w:r>
      <w:r w:rsidRPr="001352AB">
        <w:rPr>
          <w:rFonts w:ascii="Sylfaen" w:hAnsi="Sylfaen" w:cs="Sylfaen"/>
        </w:rPr>
        <w:t>გ</w:t>
      </w:r>
      <w:r w:rsidRPr="001352AB">
        <w:t>/</w:t>
      </w:r>
      <w:r w:rsidRPr="001352AB">
        <w:rPr>
          <w:rFonts w:ascii="Sylfaen" w:hAnsi="Sylfaen" w:cs="Sylfaen"/>
        </w:rPr>
        <w:t>წმ</w:t>
      </w:r>
      <w:r w:rsidRPr="001352AB">
        <w:t>;</w:t>
      </w:r>
    </w:p>
    <w:p w14:paraId="1A5BC73A" w14:textId="77777777" w:rsidR="00CD64B5" w:rsidRPr="001352AB" w:rsidRDefault="00CD64B5" w:rsidP="00CD64B5">
      <w:pPr>
        <w:spacing w:before="120"/>
      </w:pPr>
      <w:r w:rsidRPr="001352AB">
        <w:rPr>
          <w:rFonts w:ascii="Sylfaen" w:hAnsi="Sylfaen" w:cs="Sylfaen"/>
        </w:rPr>
        <w:t>სადაც</w:t>
      </w:r>
      <w:r w:rsidRPr="001352AB">
        <w:t xml:space="preserve">: eMi - </w:t>
      </w:r>
      <w:r w:rsidRPr="001352AB">
        <w:rPr>
          <w:rFonts w:ascii="Sylfaen" w:hAnsi="Sylfaen" w:cs="Sylfaen"/>
        </w:rPr>
        <w:t>ემისია</w:t>
      </w:r>
      <w:r w:rsidRPr="001352AB">
        <w:t xml:space="preserve"> i-</w:t>
      </w:r>
      <w:r w:rsidRPr="001352AB">
        <w:rPr>
          <w:rFonts w:ascii="Sylfaen" w:hAnsi="Sylfaen" w:cs="Sylfaen"/>
        </w:rPr>
        <w:t>ური</w:t>
      </w:r>
      <w:r w:rsidRPr="001352AB">
        <w:t xml:space="preserve"> </w:t>
      </w:r>
      <w:r w:rsidRPr="001352AB">
        <w:rPr>
          <w:rFonts w:ascii="Sylfaen" w:hAnsi="Sylfaen" w:cs="Sylfaen"/>
        </w:rPr>
        <w:t>დამაბინძურებელი</w:t>
      </w:r>
      <w:r w:rsidRPr="001352AB">
        <w:t xml:space="preserve"> </w:t>
      </w:r>
      <w:r w:rsidRPr="001352AB">
        <w:rPr>
          <w:rFonts w:ascii="Sylfaen" w:hAnsi="Sylfaen" w:cs="Sylfaen"/>
        </w:rPr>
        <w:t>ნივთიერებისა</w:t>
      </w:r>
      <w:r w:rsidRPr="001352AB">
        <w:t xml:space="preserve"> </w:t>
      </w:r>
      <w:r w:rsidRPr="001352AB">
        <w:rPr>
          <w:rFonts w:ascii="Sylfaen" w:hAnsi="Sylfaen" w:cs="Sylfaen"/>
        </w:rPr>
        <w:t>დიზელ</w:t>
      </w:r>
      <w:r w:rsidRPr="001352AB">
        <w:t>-</w:t>
      </w:r>
      <w:r w:rsidRPr="001352AB">
        <w:rPr>
          <w:rFonts w:ascii="Sylfaen" w:hAnsi="Sylfaen" w:cs="Sylfaen"/>
        </w:rPr>
        <w:t>გენერატორიდან</w:t>
      </w:r>
      <w:r w:rsidRPr="001352AB">
        <w:t xml:space="preserve"> </w:t>
      </w:r>
      <w:r w:rsidRPr="001352AB">
        <w:rPr>
          <w:rFonts w:ascii="Sylfaen" w:hAnsi="Sylfaen" w:cs="Sylfaen"/>
        </w:rPr>
        <w:t>ნომინალური</w:t>
      </w:r>
      <w:r w:rsidRPr="001352AB">
        <w:t xml:space="preserve"> </w:t>
      </w:r>
      <w:r w:rsidRPr="001352AB">
        <w:rPr>
          <w:rFonts w:ascii="Sylfaen" w:hAnsi="Sylfaen" w:cs="Sylfaen"/>
        </w:rPr>
        <w:t>რეჟიმის</w:t>
      </w:r>
      <w:r w:rsidRPr="001352AB">
        <w:t xml:space="preserve"> </w:t>
      </w:r>
      <w:r w:rsidRPr="001352AB">
        <w:rPr>
          <w:rFonts w:ascii="Sylfaen" w:hAnsi="Sylfaen" w:cs="Sylfaen"/>
        </w:rPr>
        <w:t>პირობებში</w:t>
      </w:r>
      <w:r w:rsidRPr="001352AB">
        <w:t xml:space="preserve">, </w:t>
      </w:r>
      <w:r w:rsidRPr="001352AB">
        <w:rPr>
          <w:rFonts w:ascii="Sylfaen" w:hAnsi="Sylfaen" w:cs="Sylfaen"/>
        </w:rPr>
        <w:t>გ</w:t>
      </w:r>
      <w:r w:rsidRPr="001352AB">
        <w:t>/</w:t>
      </w:r>
      <w:r w:rsidRPr="001352AB">
        <w:rPr>
          <w:rFonts w:ascii="Sylfaen" w:hAnsi="Sylfaen" w:cs="Sylfaen"/>
        </w:rPr>
        <w:t>კვტ</w:t>
      </w:r>
      <w:r w:rsidRPr="001352AB">
        <w:t>*</w:t>
      </w:r>
      <w:r w:rsidRPr="001352AB">
        <w:rPr>
          <w:rFonts w:ascii="Sylfaen" w:hAnsi="Sylfaen" w:cs="Sylfaen"/>
        </w:rPr>
        <w:t>სთ</w:t>
      </w:r>
      <w:r w:rsidRPr="001352AB">
        <w:t xml:space="preserve">; </w:t>
      </w:r>
    </w:p>
    <w:p w14:paraId="4DF6B04B" w14:textId="77777777" w:rsidR="00CD64B5" w:rsidRPr="001352AB" w:rsidRDefault="00CD64B5" w:rsidP="00CD64B5">
      <w:pPr>
        <w:spacing w:before="120"/>
      </w:pPr>
      <w:r w:rsidRPr="001352AB">
        <w:t xml:space="preserve">PЭ - </w:t>
      </w:r>
      <w:r w:rsidRPr="001352AB">
        <w:rPr>
          <w:rFonts w:ascii="Sylfaen" w:hAnsi="Sylfaen" w:cs="Sylfaen"/>
        </w:rPr>
        <w:t>დიზელ</w:t>
      </w:r>
      <w:r w:rsidRPr="001352AB">
        <w:t>-</w:t>
      </w:r>
      <w:r w:rsidRPr="001352AB">
        <w:rPr>
          <w:rFonts w:ascii="Sylfaen" w:hAnsi="Sylfaen" w:cs="Sylfaen"/>
        </w:rPr>
        <w:t>გენერატორის</w:t>
      </w:r>
      <w:r w:rsidRPr="001352AB">
        <w:t xml:space="preserve"> </w:t>
      </w:r>
      <w:r w:rsidRPr="001352AB">
        <w:rPr>
          <w:rFonts w:ascii="Sylfaen" w:hAnsi="Sylfaen" w:cs="Sylfaen"/>
        </w:rPr>
        <w:t>საექსპლოატაციო</w:t>
      </w:r>
      <w:r w:rsidRPr="001352AB">
        <w:t xml:space="preserve"> </w:t>
      </w:r>
      <w:r w:rsidRPr="001352AB">
        <w:rPr>
          <w:rFonts w:ascii="Sylfaen" w:hAnsi="Sylfaen" w:cs="Sylfaen"/>
        </w:rPr>
        <w:t>სიმძლავრე</w:t>
      </w:r>
      <w:r w:rsidRPr="001352AB">
        <w:t xml:space="preserve">, </w:t>
      </w:r>
      <w:r w:rsidRPr="001352AB">
        <w:rPr>
          <w:rFonts w:ascii="Sylfaen" w:hAnsi="Sylfaen" w:cs="Sylfaen"/>
        </w:rPr>
        <w:t>კვტ</w:t>
      </w:r>
      <w:r w:rsidRPr="001352AB">
        <w:t xml:space="preserve">. </w:t>
      </w:r>
    </w:p>
    <w:p w14:paraId="0BD61E3E" w14:textId="77777777" w:rsidR="00CD64B5" w:rsidRPr="001352AB" w:rsidRDefault="00CD64B5" w:rsidP="00CD64B5">
      <w:pPr>
        <w:spacing w:before="120"/>
      </w:pPr>
      <w:r w:rsidRPr="001352AB">
        <w:t xml:space="preserve">(1 / 3600) – </w:t>
      </w:r>
      <w:r w:rsidRPr="001352AB">
        <w:rPr>
          <w:rFonts w:ascii="Sylfaen" w:hAnsi="Sylfaen" w:cs="Sylfaen"/>
        </w:rPr>
        <w:t>გადათვლის</w:t>
      </w:r>
      <w:r w:rsidRPr="001352AB">
        <w:t xml:space="preserve"> </w:t>
      </w:r>
      <w:r w:rsidRPr="001352AB">
        <w:rPr>
          <w:rFonts w:ascii="Sylfaen" w:hAnsi="Sylfaen" w:cs="Sylfaen"/>
        </w:rPr>
        <w:t>კოეფიციენტი</w:t>
      </w:r>
      <w:r w:rsidRPr="001352AB">
        <w:t xml:space="preserve"> </w:t>
      </w:r>
      <w:r w:rsidRPr="001352AB">
        <w:rPr>
          <w:rFonts w:ascii="Sylfaen" w:hAnsi="Sylfaen" w:cs="Sylfaen"/>
        </w:rPr>
        <w:t>სთ</w:t>
      </w:r>
      <w:r w:rsidRPr="001352AB">
        <w:t>-</w:t>
      </w:r>
      <w:r w:rsidRPr="001352AB">
        <w:rPr>
          <w:rFonts w:ascii="Sylfaen" w:hAnsi="Sylfaen" w:cs="Sylfaen"/>
        </w:rPr>
        <w:t>დან</w:t>
      </w:r>
      <w:r w:rsidRPr="001352AB">
        <w:t xml:space="preserve"> </w:t>
      </w:r>
      <w:r w:rsidRPr="001352AB">
        <w:rPr>
          <w:rFonts w:ascii="Sylfaen" w:hAnsi="Sylfaen" w:cs="Sylfaen"/>
        </w:rPr>
        <w:t>წამებზე</w:t>
      </w:r>
      <w:r w:rsidRPr="001352AB">
        <w:t xml:space="preserve">. </w:t>
      </w:r>
    </w:p>
    <w:p w14:paraId="3052E0B4" w14:textId="77777777" w:rsidR="00CD64B5" w:rsidRPr="001352AB" w:rsidRDefault="00CD64B5" w:rsidP="00CD64B5">
      <w:pPr>
        <w:spacing w:before="120"/>
      </w:pPr>
      <w:r w:rsidRPr="001352AB">
        <w:rPr>
          <w:rFonts w:ascii="Sylfaen" w:hAnsi="Sylfaen" w:cs="Sylfaen"/>
        </w:rPr>
        <w:t>წლიური</w:t>
      </w:r>
      <w:r w:rsidRPr="001352AB">
        <w:t xml:space="preserve"> </w:t>
      </w:r>
      <w:r w:rsidRPr="001352AB">
        <w:rPr>
          <w:rFonts w:ascii="Sylfaen" w:hAnsi="Sylfaen" w:cs="Sylfaen"/>
        </w:rPr>
        <w:t>ჯამური</w:t>
      </w:r>
      <w:r w:rsidRPr="001352AB">
        <w:t xml:space="preserve"> </w:t>
      </w:r>
      <w:r w:rsidRPr="001352AB">
        <w:rPr>
          <w:rFonts w:ascii="Sylfaen" w:hAnsi="Sylfaen" w:cs="Sylfaen"/>
        </w:rPr>
        <w:t>ემისია</w:t>
      </w:r>
      <w:r w:rsidRPr="001352AB">
        <w:t xml:space="preserve"> i-</w:t>
      </w:r>
      <w:r w:rsidRPr="001352AB">
        <w:rPr>
          <w:rFonts w:ascii="Sylfaen" w:hAnsi="Sylfaen" w:cs="Sylfaen"/>
        </w:rPr>
        <w:t>ური</w:t>
      </w:r>
      <w:r w:rsidRPr="001352AB">
        <w:t xml:space="preserve"> </w:t>
      </w:r>
      <w:r w:rsidRPr="001352AB">
        <w:rPr>
          <w:rFonts w:ascii="Sylfaen" w:hAnsi="Sylfaen" w:cs="Sylfaen"/>
        </w:rPr>
        <w:t>დამაბინძურებელი</w:t>
      </w:r>
      <w:r w:rsidRPr="001352AB">
        <w:t xml:space="preserve"> </w:t>
      </w:r>
      <w:r w:rsidRPr="001352AB">
        <w:rPr>
          <w:rFonts w:ascii="Sylfaen" w:hAnsi="Sylfaen" w:cs="Sylfaen"/>
        </w:rPr>
        <w:t>ნივთიერებისა</w:t>
      </w:r>
      <w:r w:rsidRPr="001352AB">
        <w:t xml:space="preserve"> </w:t>
      </w:r>
      <w:r w:rsidRPr="001352AB">
        <w:rPr>
          <w:rFonts w:ascii="Sylfaen" w:hAnsi="Sylfaen" w:cs="Sylfaen"/>
        </w:rPr>
        <w:t>დიზელ</w:t>
      </w:r>
      <w:r w:rsidRPr="001352AB">
        <w:t>-</w:t>
      </w:r>
      <w:r w:rsidRPr="001352AB">
        <w:rPr>
          <w:rFonts w:ascii="Sylfaen" w:hAnsi="Sylfaen" w:cs="Sylfaen"/>
        </w:rPr>
        <w:t>გენერატორიდან</w:t>
      </w:r>
      <w:r w:rsidRPr="001352AB">
        <w:t xml:space="preserve"> </w:t>
      </w:r>
      <w:r w:rsidRPr="001352AB">
        <w:rPr>
          <w:rFonts w:ascii="Sylfaen" w:hAnsi="Sylfaen" w:cs="Sylfaen"/>
        </w:rPr>
        <w:t>განისაზღვრება</w:t>
      </w:r>
      <w:r w:rsidRPr="001352AB">
        <w:t xml:space="preserve"> </w:t>
      </w:r>
      <w:r w:rsidRPr="001352AB">
        <w:rPr>
          <w:rFonts w:ascii="Sylfaen" w:hAnsi="Sylfaen" w:cs="Sylfaen"/>
        </w:rPr>
        <w:t>ფორმულით</w:t>
      </w:r>
      <w:r w:rsidRPr="001352AB">
        <w:t xml:space="preserve">: </w:t>
      </w:r>
    </w:p>
    <w:p w14:paraId="76832B5C" w14:textId="77777777" w:rsidR="00CD64B5" w:rsidRPr="001352AB" w:rsidRDefault="00CD64B5" w:rsidP="00CD64B5">
      <w:pPr>
        <w:spacing w:before="120"/>
      </w:pPr>
      <w:r w:rsidRPr="001352AB">
        <w:t xml:space="preserve">WЭi = (1 / 1000) · qЭi · GT, </w:t>
      </w:r>
      <w:r w:rsidRPr="001352AB">
        <w:rPr>
          <w:rFonts w:ascii="Sylfaen" w:hAnsi="Sylfaen" w:cs="Sylfaen"/>
        </w:rPr>
        <w:t>ტ</w:t>
      </w:r>
      <w:r w:rsidRPr="001352AB">
        <w:t>/</w:t>
      </w:r>
      <w:r w:rsidRPr="001352AB">
        <w:rPr>
          <w:rFonts w:ascii="Sylfaen" w:hAnsi="Sylfaen" w:cs="Sylfaen"/>
        </w:rPr>
        <w:t>წელ</w:t>
      </w:r>
      <w:r w:rsidRPr="001352AB">
        <w:tab/>
      </w:r>
    </w:p>
    <w:p w14:paraId="21235DB0" w14:textId="77777777" w:rsidR="00CD64B5" w:rsidRPr="001352AB" w:rsidRDefault="00CD64B5" w:rsidP="00CD64B5">
      <w:pPr>
        <w:spacing w:before="120"/>
      </w:pPr>
      <w:r w:rsidRPr="001352AB">
        <w:rPr>
          <w:rFonts w:ascii="Sylfaen" w:hAnsi="Sylfaen" w:cs="Sylfaen"/>
        </w:rPr>
        <w:t>სადაც</w:t>
      </w:r>
      <w:r w:rsidRPr="001352AB">
        <w:t xml:space="preserve">: qЭi - </w:t>
      </w:r>
      <w:r w:rsidRPr="001352AB">
        <w:rPr>
          <w:rFonts w:ascii="Sylfaen" w:hAnsi="Sylfaen" w:cs="Sylfaen"/>
        </w:rPr>
        <w:t>ემისია</w:t>
      </w:r>
      <w:r w:rsidRPr="001352AB">
        <w:t xml:space="preserve"> i-</w:t>
      </w:r>
      <w:r w:rsidRPr="001352AB">
        <w:rPr>
          <w:rFonts w:ascii="Sylfaen" w:hAnsi="Sylfaen" w:cs="Sylfaen"/>
        </w:rPr>
        <w:t>ური</w:t>
      </w:r>
      <w:r w:rsidRPr="001352AB">
        <w:t xml:space="preserve"> </w:t>
      </w:r>
      <w:r w:rsidRPr="001352AB">
        <w:rPr>
          <w:rFonts w:ascii="Sylfaen" w:hAnsi="Sylfaen" w:cs="Sylfaen"/>
        </w:rPr>
        <w:t>დამაბინძურებელი</w:t>
      </w:r>
      <w:r w:rsidRPr="001352AB">
        <w:t xml:space="preserve"> </w:t>
      </w:r>
      <w:r w:rsidRPr="001352AB">
        <w:rPr>
          <w:rFonts w:ascii="Sylfaen" w:hAnsi="Sylfaen" w:cs="Sylfaen"/>
        </w:rPr>
        <w:t>ნივთიერებისა</w:t>
      </w:r>
      <w:r w:rsidRPr="001352AB">
        <w:t xml:space="preserve"> </w:t>
      </w:r>
      <w:r w:rsidRPr="001352AB">
        <w:rPr>
          <w:rFonts w:ascii="Sylfaen" w:hAnsi="Sylfaen" w:cs="Sylfaen"/>
        </w:rPr>
        <w:t>დიზელ</w:t>
      </w:r>
      <w:r w:rsidRPr="001352AB">
        <w:t>-</w:t>
      </w:r>
      <w:r w:rsidRPr="001352AB">
        <w:rPr>
          <w:rFonts w:ascii="Sylfaen" w:hAnsi="Sylfaen" w:cs="Sylfaen"/>
        </w:rPr>
        <w:t>გენერატორიდან</w:t>
      </w:r>
      <w:r w:rsidRPr="001352AB">
        <w:t xml:space="preserve"> 1 </w:t>
      </w:r>
      <w:r w:rsidRPr="001352AB">
        <w:rPr>
          <w:rFonts w:ascii="Sylfaen" w:hAnsi="Sylfaen" w:cs="Sylfaen"/>
        </w:rPr>
        <w:t>კგ</w:t>
      </w:r>
      <w:r w:rsidRPr="001352AB">
        <w:t xml:space="preserve">. </w:t>
      </w:r>
      <w:r w:rsidRPr="001352AB">
        <w:rPr>
          <w:rFonts w:ascii="Sylfaen" w:hAnsi="Sylfaen" w:cs="Sylfaen"/>
        </w:rPr>
        <w:t>საწვავზე</w:t>
      </w:r>
      <w:r w:rsidRPr="001352AB">
        <w:t xml:space="preserve"> </w:t>
      </w:r>
      <w:r w:rsidRPr="001352AB">
        <w:rPr>
          <w:rFonts w:ascii="Sylfaen" w:hAnsi="Sylfaen" w:cs="Sylfaen"/>
        </w:rPr>
        <w:t>გაანგარიშებით</w:t>
      </w:r>
      <w:r w:rsidRPr="001352AB">
        <w:t xml:space="preserve">, </w:t>
      </w:r>
      <w:r w:rsidRPr="001352AB">
        <w:rPr>
          <w:rFonts w:ascii="Sylfaen" w:hAnsi="Sylfaen" w:cs="Sylfaen"/>
        </w:rPr>
        <w:t>გ</w:t>
      </w:r>
      <w:r w:rsidRPr="001352AB">
        <w:t>/</w:t>
      </w:r>
      <w:r w:rsidRPr="001352AB">
        <w:rPr>
          <w:rFonts w:ascii="Sylfaen" w:hAnsi="Sylfaen" w:cs="Sylfaen"/>
        </w:rPr>
        <w:t>კგ</w:t>
      </w:r>
      <w:r w:rsidRPr="001352AB">
        <w:t xml:space="preserve">; </w:t>
      </w:r>
    </w:p>
    <w:p w14:paraId="64CDE6C0" w14:textId="77777777" w:rsidR="00CD64B5" w:rsidRPr="001352AB" w:rsidRDefault="00CD64B5" w:rsidP="00CD64B5">
      <w:pPr>
        <w:spacing w:before="120"/>
      </w:pPr>
      <w:r w:rsidRPr="001352AB">
        <w:t>GT -</w:t>
      </w:r>
      <w:r w:rsidRPr="001352AB">
        <w:rPr>
          <w:rFonts w:ascii="Sylfaen" w:hAnsi="Sylfaen" w:cs="Sylfaen"/>
        </w:rPr>
        <w:t>დიზელ</w:t>
      </w:r>
      <w:r w:rsidRPr="001352AB">
        <w:t>-</w:t>
      </w:r>
      <w:r w:rsidRPr="001352AB">
        <w:rPr>
          <w:rFonts w:ascii="Sylfaen" w:hAnsi="Sylfaen" w:cs="Sylfaen"/>
        </w:rPr>
        <w:t>გენერატორის</w:t>
      </w:r>
      <w:r w:rsidRPr="001352AB">
        <w:t xml:space="preserve"> </w:t>
      </w:r>
      <w:r w:rsidRPr="001352AB">
        <w:rPr>
          <w:rFonts w:ascii="Sylfaen" w:hAnsi="Sylfaen" w:cs="Sylfaen"/>
        </w:rPr>
        <w:t>წლიური</w:t>
      </w:r>
      <w:r w:rsidRPr="001352AB">
        <w:t xml:space="preserve"> </w:t>
      </w:r>
      <w:r w:rsidRPr="001352AB">
        <w:rPr>
          <w:rFonts w:ascii="Sylfaen" w:hAnsi="Sylfaen" w:cs="Sylfaen"/>
        </w:rPr>
        <w:t>საწვავის</w:t>
      </w:r>
      <w:r w:rsidRPr="001352AB">
        <w:t xml:space="preserve"> </w:t>
      </w:r>
      <w:r w:rsidRPr="001352AB">
        <w:rPr>
          <w:rFonts w:ascii="Sylfaen" w:hAnsi="Sylfaen" w:cs="Sylfaen"/>
        </w:rPr>
        <w:t>ხარჯი</w:t>
      </w:r>
      <w:r w:rsidRPr="001352AB">
        <w:t xml:space="preserve">, </w:t>
      </w:r>
      <w:r w:rsidRPr="001352AB">
        <w:rPr>
          <w:rFonts w:ascii="Sylfaen" w:hAnsi="Sylfaen" w:cs="Sylfaen"/>
        </w:rPr>
        <w:t>ტ</w:t>
      </w:r>
      <w:r w:rsidRPr="001352AB">
        <w:t>/</w:t>
      </w:r>
      <w:r w:rsidRPr="001352AB">
        <w:rPr>
          <w:rFonts w:ascii="Sylfaen" w:hAnsi="Sylfaen" w:cs="Sylfaen"/>
        </w:rPr>
        <w:t>წელ</w:t>
      </w:r>
      <w:r w:rsidRPr="001352AB">
        <w:t xml:space="preserve">; </w:t>
      </w:r>
    </w:p>
    <w:p w14:paraId="4A1A4E55" w14:textId="77777777" w:rsidR="00CD64B5" w:rsidRPr="001352AB" w:rsidRDefault="00CD64B5" w:rsidP="00CD64B5">
      <w:pPr>
        <w:spacing w:before="120"/>
      </w:pPr>
      <w:r w:rsidRPr="001352AB">
        <w:t>(1 / 1000) –</w:t>
      </w:r>
      <w:r w:rsidRPr="001352AB">
        <w:rPr>
          <w:rFonts w:ascii="Sylfaen" w:hAnsi="Sylfaen" w:cs="Sylfaen"/>
        </w:rPr>
        <w:t>გადათვლის</w:t>
      </w:r>
      <w:r w:rsidRPr="001352AB">
        <w:t xml:space="preserve"> </w:t>
      </w:r>
      <w:r w:rsidRPr="001352AB">
        <w:rPr>
          <w:rFonts w:ascii="Sylfaen" w:hAnsi="Sylfaen" w:cs="Sylfaen"/>
        </w:rPr>
        <w:t>კოეფიციენტი</w:t>
      </w:r>
      <w:r w:rsidRPr="001352AB">
        <w:t xml:space="preserve"> </w:t>
      </w:r>
      <w:r w:rsidRPr="001352AB">
        <w:rPr>
          <w:rFonts w:ascii="Sylfaen" w:hAnsi="Sylfaen" w:cs="Sylfaen"/>
        </w:rPr>
        <w:t>კგ</w:t>
      </w:r>
      <w:r w:rsidRPr="001352AB">
        <w:t xml:space="preserve">. </w:t>
      </w:r>
      <w:r w:rsidRPr="001352AB">
        <w:rPr>
          <w:rFonts w:ascii="Sylfaen" w:hAnsi="Sylfaen" w:cs="Sylfaen"/>
        </w:rPr>
        <w:t>დან</w:t>
      </w:r>
      <w:r w:rsidRPr="001352AB">
        <w:t xml:space="preserve"> </w:t>
      </w:r>
      <w:r w:rsidRPr="001352AB">
        <w:rPr>
          <w:rFonts w:ascii="Sylfaen" w:hAnsi="Sylfaen" w:cs="Sylfaen"/>
        </w:rPr>
        <w:t>ტონებზე</w:t>
      </w:r>
      <w:r w:rsidRPr="001352AB">
        <w:t xml:space="preserve">. </w:t>
      </w:r>
    </w:p>
    <w:p w14:paraId="6E3BF302" w14:textId="77777777" w:rsidR="00CD64B5" w:rsidRPr="001352AB" w:rsidRDefault="00CD64B5" w:rsidP="00CD64B5">
      <w:pPr>
        <w:spacing w:before="120"/>
      </w:pPr>
      <w:r w:rsidRPr="001352AB">
        <w:rPr>
          <w:rFonts w:ascii="Sylfaen" w:hAnsi="Sylfaen" w:cs="Sylfaen"/>
        </w:rPr>
        <w:t>დიზელ</w:t>
      </w:r>
      <w:r w:rsidRPr="001352AB">
        <w:t>-</w:t>
      </w:r>
      <w:r w:rsidRPr="001352AB">
        <w:rPr>
          <w:rFonts w:ascii="Sylfaen" w:hAnsi="Sylfaen" w:cs="Sylfaen"/>
        </w:rPr>
        <w:t>გენერატორის</w:t>
      </w:r>
      <w:r w:rsidRPr="001352AB">
        <w:t xml:space="preserve"> </w:t>
      </w:r>
      <w:r w:rsidRPr="001352AB">
        <w:rPr>
          <w:rFonts w:ascii="Sylfaen" w:hAnsi="Sylfaen" w:cs="Sylfaen"/>
        </w:rPr>
        <w:t>ნამუშევარი</w:t>
      </w:r>
      <w:r w:rsidRPr="001352AB">
        <w:t xml:space="preserve"> </w:t>
      </w:r>
      <w:r w:rsidRPr="001352AB">
        <w:rPr>
          <w:rFonts w:ascii="Sylfaen" w:hAnsi="Sylfaen" w:cs="Sylfaen"/>
        </w:rPr>
        <w:t>აირების</w:t>
      </w:r>
      <w:r w:rsidRPr="001352AB">
        <w:t xml:space="preserve"> </w:t>
      </w:r>
      <w:r w:rsidRPr="001352AB">
        <w:rPr>
          <w:rFonts w:ascii="Sylfaen" w:hAnsi="Sylfaen" w:cs="Sylfaen"/>
        </w:rPr>
        <w:t>ხარჯი</w:t>
      </w:r>
      <w:r w:rsidRPr="001352AB">
        <w:t xml:space="preserve"> </w:t>
      </w:r>
      <w:r w:rsidRPr="001352AB">
        <w:rPr>
          <w:rFonts w:ascii="Sylfaen" w:hAnsi="Sylfaen" w:cs="Sylfaen"/>
        </w:rPr>
        <w:t>განისაზღვრება</w:t>
      </w:r>
      <w:r w:rsidRPr="001352AB">
        <w:t xml:space="preserve"> </w:t>
      </w:r>
      <w:r w:rsidRPr="001352AB">
        <w:rPr>
          <w:rFonts w:ascii="Sylfaen" w:hAnsi="Sylfaen" w:cs="Sylfaen"/>
        </w:rPr>
        <w:t>ფორმულით</w:t>
      </w:r>
      <w:r w:rsidRPr="001352AB">
        <w:t xml:space="preserve">: </w:t>
      </w:r>
    </w:p>
    <w:p w14:paraId="0CE695A8" w14:textId="77777777" w:rsidR="00CD64B5" w:rsidRPr="001352AB" w:rsidRDefault="00CD64B5" w:rsidP="00CD64B5">
      <w:pPr>
        <w:spacing w:before="120"/>
      </w:pPr>
      <w:r w:rsidRPr="001352AB">
        <w:t xml:space="preserve">GОГ = 8,72 · 10-6 · bЭ · PЭ, </w:t>
      </w:r>
      <w:r w:rsidRPr="001352AB">
        <w:rPr>
          <w:rFonts w:ascii="Sylfaen" w:hAnsi="Sylfaen" w:cs="Sylfaen"/>
        </w:rPr>
        <w:t>კგ</w:t>
      </w:r>
      <w:r w:rsidRPr="001352AB">
        <w:t>/</w:t>
      </w:r>
      <w:r w:rsidRPr="001352AB">
        <w:rPr>
          <w:rFonts w:ascii="Sylfaen" w:hAnsi="Sylfaen" w:cs="Sylfaen"/>
        </w:rPr>
        <w:t>წმ</w:t>
      </w:r>
      <w:r w:rsidRPr="001352AB">
        <w:t xml:space="preserve">; </w:t>
      </w:r>
      <w:r w:rsidRPr="001352AB">
        <w:tab/>
      </w:r>
    </w:p>
    <w:p w14:paraId="05080050" w14:textId="77777777" w:rsidR="00CD64B5" w:rsidRPr="001352AB" w:rsidRDefault="00CD64B5" w:rsidP="00CD64B5">
      <w:pPr>
        <w:spacing w:before="120"/>
      </w:pPr>
      <w:r w:rsidRPr="001352AB">
        <w:rPr>
          <w:rFonts w:ascii="Sylfaen" w:hAnsi="Sylfaen" w:cs="Sylfaen"/>
        </w:rPr>
        <w:t>სადაც</w:t>
      </w:r>
      <w:r w:rsidRPr="001352AB">
        <w:t xml:space="preserve">: bЭ - </w:t>
      </w:r>
      <w:r w:rsidRPr="001352AB">
        <w:rPr>
          <w:rFonts w:ascii="Sylfaen" w:hAnsi="Sylfaen" w:cs="Sylfaen"/>
        </w:rPr>
        <w:t>საწვავის</w:t>
      </w:r>
      <w:r w:rsidRPr="001352AB">
        <w:t xml:space="preserve"> </w:t>
      </w:r>
      <w:r w:rsidRPr="001352AB">
        <w:rPr>
          <w:rFonts w:ascii="Sylfaen" w:hAnsi="Sylfaen" w:cs="Sylfaen"/>
        </w:rPr>
        <w:t>კუთრი</w:t>
      </w:r>
      <w:r w:rsidRPr="001352AB">
        <w:t xml:space="preserve"> </w:t>
      </w:r>
      <w:r w:rsidRPr="001352AB">
        <w:rPr>
          <w:rFonts w:ascii="Sylfaen" w:hAnsi="Sylfaen" w:cs="Sylfaen"/>
        </w:rPr>
        <w:t>ხარჯი</w:t>
      </w:r>
      <w:r w:rsidRPr="001352AB">
        <w:t xml:space="preserve"> </w:t>
      </w:r>
      <w:r w:rsidRPr="001352AB">
        <w:rPr>
          <w:rFonts w:ascii="Sylfaen" w:hAnsi="Sylfaen" w:cs="Sylfaen"/>
        </w:rPr>
        <w:t>ძრავის</w:t>
      </w:r>
      <w:r w:rsidRPr="001352AB">
        <w:t xml:space="preserve"> </w:t>
      </w:r>
      <w:r w:rsidRPr="001352AB">
        <w:rPr>
          <w:rFonts w:ascii="Sylfaen" w:hAnsi="Sylfaen" w:cs="Sylfaen"/>
        </w:rPr>
        <w:t>საექსპლოატაციო</w:t>
      </w:r>
      <w:r w:rsidRPr="001352AB">
        <w:t xml:space="preserve"> </w:t>
      </w:r>
      <w:r w:rsidRPr="001352AB">
        <w:rPr>
          <w:rFonts w:ascii="Sylfaen" w:hAnsi="Sylfaen" w:cs="Sylfaen"/>
        </w:rPr>
        <w:t>რეჟიმზე</w:t>
      </w:r>
      <w:r w:rsidRPr="001352AB">
        <w:t xml:space="preserve"> , </w:t>
      </w:r>
      <w:r w:rsidRPr="001352AB">
        <w:rPr>
          <w:rFonts w:ascii="Sylfaen" w:hAnsi="Sylfaen" w:cs="Sylfaen"/>
        </w:rPr>
        <w:t>გ</w:t>
      </w:r>
      <w:r w:rsidRPr="001352AB">
        <w:t>/</w:t>
      </w:r>
      <w:r w:rsidRPr="001352AB">
        <w:rPr>
          <w:rFonts w:ascii="Sylfaen" w:hAnsi="Sylfaen" w:cs="Sylfaen"/>
        </w:rPr>
        <w:t>კვტ</w:t>
      </w:r>
      <w:r w:rsidRPr="001352AB">
        <w:t>*</w:t>
      </w:r>
      <w:r w:rsidRPr="001352AB">
        <w:rPr>
          <w:rFonts w:ascii="Sylfaen" w:hAnsi="Sylfaen" w:cs="Sylfaen"/>
        </w:rPr>
        <w:t>სთ</w:t>
      </w:r>
      <w:r w:rsidRPr="001352AB">
        <w:t xml:space="preserve">. </w:t>
      </w:r>
    </w:p>
    <w:p w14:paraId="1F00ABF8" w14:textId="77777777" w:rsidR="00CD64B5" w:rsidRPr="001352AB" w:rsidRDefault="00CD64B5" w:rsidP="00CD64B5">
      <w:pPr>
        <w:spacing w:before="120"/>
      </w:pPr>
      <w:r w:rsidRPr="001352AB">
        <w:rPr>
          <w:rFonts w:ascii="Sylfaen" w:hAnsi="Sylfaen" w:cs="Sylfaen"/>
        </w:rPr>
        <w:t>დიზელ</w:t>
      </w:r>
      <w:r w:rsidRPr="001352AB">
        <w:t>-</w:t>
      </w:r>
      <w:r w:rsidRPr="001352AB">
        <w:rPr>
          <w:rFonts w:ascii="Sylfaen" w:hAnsi="Sylfaen" w:cs="Sylfaen"/>
        </w:rPr>
        <w:t>გენერატორის</w:t>
      </w:r>
      <w:r w:rsidRPr="001352AB">
        <w:t xml:space="preserve"> </w:t>
      </w:r>
      <w:r w:rsidRPr="001352AB">
        <w:rPr>
          <w:rFonts w:ascii="Sylfaen" w:hAnsi="Sylfaen" w:cs="Sylfaen"/>
        </w:rPr>
        <w:t>ნამუშევარი</w:t>
      </w:r>
      <w:r w:rsidRPr="001352AB">
        <w:t xml:space="preserve"> </w:t>
      </w:r>
      <w:r w:rsidRPr="001352AB">
        <w:rPr>
          <w:rFonts w:ascii="Sylfaen" w:hAnsi="Sylfaen" w:cs="Sylfaen"/>
        </w:rPr>
        <w:t>აირების</w:t>
      </w:r>
      <w:r w:rsidRPr="001352AB">
        <w:t xml:space="preserve"> </w:t>
      </w:r>
      <w:r w:rsidRPr="001352AB">
        <w:rPr>
          <w:rFonts w:ascii="Sylfaen" w:hAnsi="Sylfaen" w:cs="Sylfaen"/>
        </w:rPr>
        <w:t>მოცულობითი</w:t>
      </w:r>
      <w:r w:rsidRPr="001352AB">
        <w:t xml:space="preserve"> </w:t>
      </w:r>
      <w:r w:rsidRPr="001352AB">
        <w:rPr>
          <w:rFonts w:ascii="Sylfaen" w:hAnsi="Sylfaen" w:cs="Sylfaen"/>
        </w:rPr>
        <w:t>ხარჯი</w:t>
      </w:r>
      <w:r w:rsidRPr="001352AB">
        <w:t xml:space="preserve"> </w:t>
      </w:r>
      <w:r w:rsidRPr="001352AB">
        <w:rPr>
          <w:rFonts w:ascii="Sylfaen" w:hAnsi="Sylfaen" w:cs="Sylfaen"/>
        </w:rPr>
        <w:t>განისაზღვრება</w:t>
      </w:r>
      <w:r w:rsidRPr="001352AB">
        <w:t xml:space="preserve"> </w:t>
      </w:r>
      <w:r w:rsidRPr="001352AB">
        <w:rPr>
          <w:rFonts w:ascii="Sylfaen" w:hAnsi="Sylfaen" w:cs="Sylfaen"/>
        </w:rPr>
        <w:t>ფორმულით</w:t>
      </w:r>
      <w:r w:rsidRPr="001352AB">
        <w:t xml:space="preserve">: </w:t>
      </w:r>
    </w:p>
    <w:p w14:paraId="77D217B1" w14:textId="77777777" w:rsidR="00CD64B5" w:rsidRPr="001352AB" w:rsidRDefault="00CD64B5" w:rsidP="00CD64B5">
      <w:pPr>
        <w:spacing w:before="120"/>
      </w:pPr>
      <w:r w:rsidRPr="001352AB">
        <w:t xml:space="preserve">QОГ = GОГ / γОГ, </w:t>
      </w:r>
      <w:r w:rsidRPr="001352AB">
        <w:rPr>
          <w:rFonts w:ascii="Sylfaen" w:hAnsi="Sylfaen" w:cs="Sylfaen"/>
        </w:rPr>
        <w:t>მ</w:t>
      </w:r>
      <w:r w:rsidRPr="001352AB">
        <w:t>3/</w:t>
      </w:r>
      <w:r w:rsidRPr="001352AB">
        <w:rPr>
          <w:rFonts w:ascii="Sylfaen" w:hAnsi="Sylfaen" w:cs="Sylfaen"/>
        </w:rPr>
        <w:t>წმ</w:t>
      </w:r>
      <w:r w:rsidRPr="001352AB">
        <w:tab/>
      </w:r>
    </w:p>
    <w:p w14:paraId="51E3CFE5" w14:textId="77777777" w:rsidR="00CD64B5" w:rsidRPr="001352AB" w:rsidRDefault="00CD64B5" w:rsidP="00CD64B5">
      <w:pPr>
        <w:spacing w:before="120"/>
      </w:pPr>
      <w:r w:rsidRPr="001352AB">
        <w:rPr>
          <w:rFonts w:ascii="Sylfaen" w:hAnsi="Sylfaen" w:cs="Sylfaen"/>
        </w:rPr>
        <w:t>სადაც</w:t>
      </w:r>
      <w:r w:rsidRPr="001352AB">
        <w:t xml:space="preserve">: γОГ - </w:t>
      </w:r>
      <w:r w:rsidRPr="001352AB">
        <w:rPr>
          <w:rFonts w:ascii="Sylfaen" w:hAnsi="Sylfaen" w:cs="Sylfaen"/>
        </w:rPr>
        <w:t>ნამუშევარი</w:t>
      </w:r>
      <w:r w:rsidRPr="001352AB">
        <w:t xml:space="preserve"> </w:t>
      </w:r>
      <w:r w:rsidRPr="001352AB">
        <w:rPr>
          <w:rFonts w:ascii="Sylfaen" w:hAnsi="Sylfaen" w:cs="Sylfaen"/>
        </w:rPr>
        <w:t>აირების</w:t>
      </w:r>
      <w:r w:rsidRPr="001352AB">
        <w:t xml:space="preserve"> </w:t>
      </w:r>
      <w:r w:rsidRPr="001352AB">
        <w:rPr>
          <w:rFonts w:ascii="Sylfaen" w:hAnsi="Sylfaen" w:cs="Sylfaen"/>
        </w:rPr>
        <w:t>კუთრი</w:t>
      </w:r>
      <w:r w:rsidRPr="001352AB">
        <w:t xml:space="preserve"> </w:t>
      </w:r>
      <w:r w:rsidRPr="001352AB">
        <w:rPr>
          <w:rFonts w:ascii="Sylfaen" w:hAnsi="Sylfaen" w:cs="Sylfaen"/>
        </w:rPr>
        <w:t>წონა</w:t>
      </w:r>
      <w:r w:rsidRPr="001352AB">
        <w:t xml:space="preserve">, </w:t>
      </w:r>
      <w:r w:rsidRPr="001352AB">
        <w:rPr>
          <w:rFonts w:ascii="Sylfaen" w:hAnsi="Sylfaen" w:cs="Sylfaen"/>
        </w:rPr>
        <w:t>რომელიც</w:t>
      </w:r>
      <w:r w:rsidRPr="001352AB">
        <w:t xml:space="preserve"> </w:t>
      </w:r>
      <w:r w:rsidRPr="001352AB">
        <w:rPr>
          <w:rFonts w:ascii="Sylfaen" w:hAnsi="Sylfaen" w:cs="Sylfaen"/>
        </w:rPr>
        <w:t>განისაზღვრება</w:t>
      </w:r>
      <w:r w:rsidRPr="001352AB">
        <w:t xml:space="preserve"> </w:t>
      </w:r>
      <w:r w:rsidRPr="001352AB">
        <w:rPr>
          <w:rFonts w:ascii="Sylfaen" w:hAnsi="Sylfaen" w:cs="Sylfaen"/>
        </w:rPr>
        <w:t>ფორმულით</w:t>
      </w:r>
      <w:r w:rsidRPr="001352AB">
        <w:t xml:space="preserve">:  </w:t>
      </w:r>
    </w:p>
    <w:p w14:paraId="2BAB61EE" w14:textId="77777777" w:rsidR="00CD64B5" w:rsidRPr="001352AB" w:rsidRDefault="00CD64B5" w:rsidP="00CD64B5">
      <w:pPr>
        <w:spacing w:before="120"/>
      </w:pPr>
      <w:r w:rsidRPr="001352AB">
        <w:t xml:space="preserve">γОГ = γОГ( t=0°C) / (1 + TОГ / 273), </w:t>
      </w:r>
      <w:r w:rsidRPr="001352AB">
        <w:rPr>
          <w:rFonts w:ascii="Sylfaen" w:hAnsi="Sylfaen" w:cs="Sylfaen"/>
        </w:rPr>
        <w:t>კგ</w:t>
      </w:r>
      <w:r w:rsidRPr="001352AB">
        <w:t>/</w:t>
      </w:r>
      <w:r w:rsidRPr="001352AB">
        <w:rPr>
          <w:rFonts w:ascii="Sylfaen" w:hAnsi="Sylfaen" w:cs="Sylfaen"/>
        </w:rPr>
        <w:t>მ</w:t>
      </w:r>
      <w:r w:rsidRPr="001352AB">
        <w:t>³</w:t>
      </w:r>
      <w:r w:rsidRPr="001352AB">
        <w:tab/>
      </w:r>
    </w:p>
    <w:p w14:paraId="68D8A3DA" w14:textId="77777777" w:rsidR="00CD64B5" w:rsidRPr="001352AB" w:rsidRDefault="00CD64B5" w:rsidP="00CD64B5">
      <w:pPr>
        <w:spacing w:before="120"/>
      </w:pPr>
      <w:r w:rsidRPr="001352AB">
        <w:rPr>
          <w:rFonts w:ascii="Sylfaen" w:hAnsi="Sylfaen" w:cs="Sylfaen"/>
        </w:rPr>
        <w:t>სადაც</w:t>
      </w:r>
      <w:r w:rsidRPr="001352AB">
        <w:t>: γОГ( t=0°C) -</w:t>
      </w:r>
      <w:r w:rsidRPr="001352AB">
        <w:rPr>
          <w:rFonts w:ascii="Sylfaen" w:hAnsi="Sylfaen" w:cs="Sylfaen"/>
        </w:rPr>
        <w:t>ნამუშევარი</w:t>
      </w:r>
      <w:r w:rsidRPr="001352AB">
        <w:t xml:space="preserve"> </w:t>
      </w:r>
      <w:r w:rsidRPr="001352AB">
        <w:rPr>
          <w:rFonts w:ascii="Sylfaen" w:hAnsi="Sylfaen" w:cs="Sylfaen"/>
        </w:rPr>
        <w:t>აირების</w:t>
      </w:r>
      <w:r w:rsidRPr="001352AB">
        <w:t xml:space="preserve"> </w:t>
      </w:r>
      <w:r w:rsidRPr="001352AB">
        <w:rPr>
          <w:rFonts w:ascii="Sylfaen" w:hAnsi="Sylfaen" w:cs="Sylfaen"/>
        </w:rPr>
        <w:t>კუთრი</w:t>
      </w:r>
      <w:r w:rsidRPr="001352AB">
        <w:t xml:space="preserve"> </w:t>
      </w:r>
      <w:r w:rsidRPr="001352AB">
        <w:rPr>
          <w:rFonts w:ascii="Sylfaen" w:hAnsi="Sylfaen" w:cs="Sylfaen"/>
        </w:rPr>
        <w:t>წონა</w:t>
      </w:r>
      <w:r w:rsidRPr="001352AB">
        <w:t xml:space="preserve"> 0°С-</w:t>
      </w:r>
      <w:r w:rsidRPr="001352AB">
        <w:rPr>
          <w:rFonts w:ascii="Sylfaen" w:hAnsi="Sylfaen" w:cs="Sylfaen"/>
        </w:rPr>
        <w:t>ზე</w:t>
      </w:r>
      <w:r w:rsidRPr="001352AB">
        <w:t>, γОГ(t=0°C) = 1,31</w:t>
      </w:r>
      <w:r w:rsidRPr="001352AB">
        <w:rPr>
          <w:rFonts w:ascii="Sylfaen" w:hAnsi="Sylfaen" w:cs="Sylfaen"/>
        </w:rPr>
        <w:t>კგ</w:t>
      </w:r>
      <w:r w:rsidRPr="001352AB">
        <w:t>/</w:t>
      </w:r>
      <w:r w:rsidRPr="001352AB">
        <w:rPr>
          <w:rFonts w:ascii="Sylfaen" w:hAnsi="Sylfaen" w:cs="Sylfaen"/>
        </w:rPr>
        <w:t>მ</w:t>
      </w:r>
      <w:r w:rsidRPr="001352AB">
        <w:t>³;</w:t>
      </w:r>
    </w:p>
    <w:p w14:paraId="5A12CB78" w14:textId="77777777" w:rsidR="00CD64B5" w:rsidRPr="001352AB" w:rsidRDefault="00CD64B5" w:rsidP="00CD64B5">
      <w:pPr>
        <w:spacing w:before="120"/>
      </w:pPr>
      <w:r w:rsidRPr="001352AB">
        <w:t>TОГ -</w:t>
      </w:r>
      <w:r w:rsidRPr="001352AB">
        <w:rPr>
          <w:rFonts w:ascii="Sylfaen" w:hAnsi="Sylfaen" w:cs="Sylfaen"/>
        </w:rPr>
        <w:t>ნამუშევარი</w:t>
      </w:r>
      <w:r w:rsidRPr="001352AB">
        <w:t xml:space="preserve"> </w:t>
      </w:r>
      <w:r w:rsidRPr="001352AB">
        <w:rPr>
          <w:rFonts w:ascii="Sylfaen" w:hAnsi="Sylfaen" w:cs="Sylfaen"/>
        </w:rPr>
        <w:t>აირების</w:t>
      </w:r>
      <w:r w:rsidRPr="001352AB">
        <w:t xml:space="preserve"> </w:t>
      </w:r>
      <w:r w:rsidRPr="001352AB">
        <w:rPr>
          <w:rFonts w:ascii="Sylfaen" w:hAnsi="Sylfaen" w:cs="Sylfaen"/>
        </w:rPr>
        <w:t>ტემპერატურა</w:t>
      </w:r>
      <w:r w:rsidRPr="001352AB">
        <w:t>, К.</w:t>
      </w:r>
    </w:p>
    <w:p w14:paraId="1E149C4D" w14:textId="77777777" w:rsidR="00CD64B5" w:rsidRPr="001352AB" w:rsidRDefault="00CD64B5" w:rsidP="00CD64B5">
      <w:pPr>
        <w:spacing w:before="120"/>
      </w:pPr>
      <w:r w:rsidRPr="001352AB">
        <w:rPr>
          <w:rFonts w:ascii="Sylfaen" w:hAnsi="Sylfaen" w:cs="Sylfaen"/>
        </w:rPr>
        <w:t>ატმოსფერულ</w:t>
      </w:r>
      <w:r w:rsidRPr="001352AB">
        <w:t xml:space="preserve"> </w:t>
      </w:r>
      <w:r w:rsidRPr="001352AB">
        <w:rPr>
          <w:rFonts w:ascii="Sylfaen" w:hAnsi="Sylfaen" w:cs="Sylfaen"/>
        </w:rPr>
        <w:t>ჰაერში</w:t>
      </w:r>
      <w:r w:rsidRPr="001352AB">
        <w:t xml:space="preserve"> </w:t>
      </w:r>
      <w:r w:rsidRPr="001352AB">
        <w:rPr>
          <w:rFonts w:ascii="Sylfaen" w:hAnsi="Sylfaen" w:cs="Sylfaen"/>
        </w:rPr>
        <w:t>გამომუშავებული</w:t>
      </w:r>
      <w:r w:rsidRPr="001352AB">
        <w:t xml:space="preserve"> </w:t>
      </w:r>
      <w:r w:rsidRPr="001352AB">
        <w:rPr>
          <w:rFonts w:ascii="Sylfaen" w:hAnsi="Sylfaen" w:cs="Sylfaen"/>
        </w:rPr>
        <w:t>გაზების</w:t>
      </w:r>
      <w:r w:rsidRPr="001352AB">
        <w:t xml:space="preserve"> </w:t>
      </w:r>
      <w:r w:rsidRPr="001352AB">
        <w:rPr>
          <w:rFonts w:ascii="Sylfaen" w:hAnsi="Sylfaen" w:cs="Sylfaen"/>
        </w:rPr>
        <w:t>ორგანიზებული</w:t>
      </w:r>
      <w:r w:rsidRPr="001352AB">
        <w:t xml:space="preserve"> </w:t>
      </w:r>
      <w:r w:rsidRPr="001352AB">
        <w:rPr>
          <w:rFonts w:ascii="Sylfaen" w:hAnsi="Sylfaen" w:cs="Sylfaen"/>
        </w:rPr>
        <w:t>კუთრი</w:t>
      </w:r>
      <w:r w:rsidRPr="001352AB">
        <w:t xml:space="preserve"> </w:t>
      </w:r>
      <w:r w:rsidRPr="001352AB">
        <w:rPr>
          <w:rFonts w:ascii="Sylfaen" w:hAnsi="Sylfaen" w:cs="Sylfaen"/>
        </w:rPr>
        <w:t>გაფრქვევისას</w:t>
      </w:r>
      <w:r w:rsidRPr="001352AB">
        <w:t xml:space="preserve"> </w:t>
      </w:r>
      <w:r w:rsidRPr="001352AB">
        <w:rPr>
          <w:rFonts w:ascii="Sylfaen" w:hAnsi="Sylfaen" w:cs="Sylfaen"/>
        </w:rPr>
        <w:t>სტაციონალური</w:t>
      </w:r>
      <w:r w:rsidRPr="001352AB">
        <w:t xml:space="preserve"> </w:t>
      </w:r>
      <w:r w:rsidRPr="001352AB">
        <w:rPr>
          <w:rFonts w:ascii="Sylfaen" w:hAnsi="Sylfaen" w:cs="Sylfaen"/>
        </w:rPr>
        <w:t>დიზელის</w:t>
      </w:r>
      <w:r w:rsidRPr="001352AB">
        <w:t xml:space="preserve"> </w:t>
      </w:r>
      <w:r w:rsidRPr="001352AB">
        <w:rPr>
          <w:rFonts w:ascii="Sylfaen" w:hAnsi="Sylfaen" w:cs="Sylfaen"/>
        </w:rPr>
        <w:t>მოწყობილობებიდან</w:t>
      </w:r>
      <w:r w:rsidRPr="001352AB">
        <w:t xml:space="preserve"> (</w:t>
      </w:r>
      <w:r w:rsidRPr="001352AB">
        <w:rPr>
          <w:rFonts w:ascii="Sylfaen" w:hAnsi="Sylfaen" w:cs="Sylfaen"/>
        </w:rPr>
        <w:t>სიმაღლე</w:t>
      </w:r>
      <w:r w:rsidRPr="001352AB">
        <w:t>) 5</w:t>
      </w:r>
      <w:r w:rsidRPr="001352AB">
        <w:rPr>
          <w:rFonts w:ascii="Sylfaen" w:hAnsi="Sylfaen" w:cs="Sylfaen"/>
        </w:rPr>
        <w:t>მ</w:t>
      </w:r>
      <w:r w:rsidRPr="001352AB">
        <w:t>-</w:t>
      </w:r>
      <w:r w:rsidRPr="001352AB">
        <w:rPr>
          <w:rFonts w:ascii="Sylfaen" w:hAnsi="Sylfaen" w:cs="Sylfaen"/>
        </w:rPr>
        <w:t>მდე</w:t>
      </w:r>
      <w:r w:rsidRPr="001352AB">
        <w:t xml:space="preserve">, </w:t>
      </w:r>
      <w:r w:rsidRPr="001352AB">
        <w:rPr>
          <w:rFonts w:ascii="Sylfaen" w:hAnsi="Sylfaen" w:cs="Sylfaen"/>
        </w:rPr>
        <w:t>ტემპერატურის</w:t>
      </w:r>
      <w:r w:rsidRPr="001352AB">
        <w:t xml:space="preserve"> </w:t>
      </w:r>
      <w:r w:rsidRPr="001352AB">
        <w:rPr>
          <w:rFonts w:ascii="Sylfaen" w:hAnsi="Sylfaen" w:cs="Sylfaen"/>
        </w:rPr>
        <w:t>მნიშვნელობა</w:t>
      </w:r>
      <w:r w:rsidRPr="001352AB">
        <w:t xml:space="preserve"> </w:t>
      </w:r>
      <w:r w:rsidRPr="001352AB">
        <w:rPr>
          <w:rFonts w:ascii="Sylfaen" w:hAnsi="Sylfaen" w:cs="Sylfaen"/>
        </w:rPr>
        <w:t>შეიძლება</w:t>
      </w:r>
      <w:r w:rsidRPr="001352AB">
        <w:t xml:space="preserve"> </w:t>
      </w:r>
      <w:r w:rsidRPr="001352AB">
        <w:rPr>
          <w:rFonts w:ascii="Sylfaen" w:hAnsi="Sylfaen" w:cs="Sylfaen"/>
        </w:rPr>
        <w:t>მიღებული</w:t>
      </w:r>
      <w:r w:rsidRPr="001352AB">
        <w:t xml:space="preserve"> </w:t>
      </w:r>
      <w:r w:rsidRPr="001352AB">
        <w:rPr>
          <w:rFonts w:ascii="Sylfaen" w:hAnsi="Sylfaen" w:cs="Sylfaen"/>
        </w:rPr>
        <w:t>იყოს</w:t>
      </w:r>
      <w:r w:rsidRPr="001352AB">
        <w:t xml:space="preserve"> 450 °С </w:t>
      </w:r>
      <w:r w:rsidRPr="001352AB">
        <w:rPr>
          <w:rFonts w:ascii="Sylfaen" w:hAnsi="Sylfaen" w:cs="Sylfaen"/>
        </w:rPr>
        <w:t>ტოლად</w:t>
      </w:r>
      <w:r w:rsidRPr="001352AB">
        <w:t xml:space="preserve">, </w:t>
      </w:r>
      <w:r w:rsidRPr="001352AB">
        <w:rPr>
          <w:rFonts w:ascii="Sylfaen" w:hAnsi="Sylfaen" w:cs="Sylfaen"/>
        </w:rPr>
        <w:t>ხოლო</w:t>
      </w:r>
      <w:r w:rsidRPr="001352AB">
        <w:t xml:space="preserve"> </w:t>
      </w:r>
      <w:r w:rsidRPr="001352AB">
        <w:rPr>
          <w:rFonts w:ascii="Sylfaen" w:hAnsi="Sylfaen" w:cs="Sylfaen"/>
        </w:rPr>
        <w:t>კუთრზე</w:t>
      </w:r>
      <w:r w:rsidRPr="001352AB">
        <w:t xml:space="preserve"> 5-</w:t>
      </w:r>
      <w:r w:rsidRPr="001352AB">
        <w:rPr>
          <w:rFonts w:ascii="Sylfaen" w:hAnsi="Sylfaen" w:cs="Sylfaen"/>
        </w:rPr>
        <w:t>დან</w:t>
      </w:r>
      <w:r w:rsidRPr="001352AB">
        <w:t xml:space="preserve"> 10 </w:t>
      </w:r>
      <w:r w:rsidRPr="001352AB">
        <w:rPr>
          <w:rFonts w:ascii="Sylfaen" w:hAnsi="Sylfaen" w:cs="Sylfaen"/>
        </w:rPr>
        <w:t>მ</w:t>
      </w:r>
      <w:r w:rsidRPr="001352AB">
        <w:t>-</w:t>
      </w:r>
      <w:r w:rsidRPr="001352AB">
        <w:rPr>
          <w:rFonts w:ascii="Sylfaen" w:hAnsi="Sylfaen" w:cs="Sylfaen"/>
        </w:rPr>
        <w:t>მდე</w:t>
      </w:r>
      <w:r w:rsidRPr="001352AB">
        <w:t xml:space="preserve"> 400 °С </w:t>
      </w:r>
      <w:r w:rsidRPr="001352AB">
        <w:rPr>
          <w:rFonts w:ascii="Sylfaen" w:hAnsi="Sylfaen" w:cs="Sylfaen"/>
        </w:rPr>
        <w:t>ტოლად</w:t>
      </w:r>
      <w:r w:rsidRPr="001352AB">
        <w:t>.</w:t>
      </w:r>
    </w:p>
    <w:p w14:paraId="17BD0A6B" w14:textId="77777777" w:rsidR="00CD64B5" w:rsidRPr="001352AB" w:rsidRDefault="00CD64B5" w:rsidP="00CD64B5">
      <w:pPr>
        <w:spacing w:before="120"/>
      </w:pPr>
      <w:r w:rsidRPr="001352AB">
        <w:rPr>
          <w:rFonts w:ascii="Sylfaen" w:hAnsi="Sylfaen" w:cs="Sylfaen"/>
        </w:rPr>
        <w:t>ატმოსფერულ</w:t>
      </w:r>
      <w:r w:rsidRPr="001352AB">
        <w:t xml:space="preserve"> </w:t>
      </w:r>
      <w:r w:rsidRPr="001352AB">
        <w:rPr>
          <w:rFonts w:ascii="Sylfaen" w:hAnsi="Sylfaen" w:cs="Sylfaen"/>
        </w:rPr>
        <w:t>ჰაერში</w:t>
      </w:r>
      <w:r w:rsidRPr="001352AB">
        <w:t xml:space="preserve"> </w:t>
      </w: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მაქსიმალური</w:t>
      </w:r>
      <w:r w:rsidRPr="001352AB">
        <w:t xml:space="preserve"> </w:t>
      </w:r>
      <w:r w:rsidRPr="001352AB">
        <w:rPr>
          <w:rFonts w:ascii="Sylfaen" w:hAnsi="Sylfaen" w:cs="Sylfaen"/>
        </w:rPr>
        <w:t>ერთჯერადი</w:t>
      </w:r>
      <w:r w:rsidRPr="001352AB">
        <w:t xml:space="preserve"> </w:t>
      </w:r>
      <w:r w:rsidRPr="001352AB">
        <w:rPr>
          <w:rFonts w:ascii="Sylfaen" w:hAnsi="Sylfaen" w:cs="Sylfaen"/>
        </w:rPr>
        <w:t>და</w:t>
      </w:r>
      <w:r w:rsidRPr="001352AB">
        <w:t xml:space="preserve"> </w:t>
      </w:r>
      <w:r w:rsidRPr="001352AB">
        <w:rPr>
          <w:rFonts w:ascii="Sylfaen" w:hAnsi="Sylfaen" w:cs="Sylfaen"/>
        </w:rPr>
        <w:t>წლიური</w:t>
      </w:r>
      <w:r w:rsidRPr="001352AB">
        <w:t xml:space="preserve"> </w:t>
      </w:r>
      <w:r w:rsidRPr="001352AB">
        <w:rPr>
          <w:rFonts w:ascii="Sylfaen" w:hAnsi="Sylfaen" w:cs="Sylfaen"/>
        </w:rPr>
        <w:t>გამოყოფის</w:t>
      </w:r>
      <w:r w:rsidRPr="001352AB">
        <w:t xml:space="preserve"> </w:t>
      </w:r>
      <w:r w:rsidRPr="001352AB">
        <w:rPr>
          <w:rFonts w:ascii="Sylfaen" w:hAnsi="Sylfaen" w:cs="Sylfaen"/>
        </w:rPr>
        <w:t>გაანგარიშება</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ქვემოთ</w:t>
      </w:r>
      <w:r w:rsidRPr="001352AB">
        <w:t xml:space="preserve">. </w:t>
      </w:r>
    </w:p>
    <w:p w14:paraId="6654BF0E" w14:textId="77777777" w:rsidR="00CD64B5" w:rsidRPr="001352AB" w:rsidRDefault="00CD64B5" w:rsidP="00CD64B5">
      <w:pPr>
        <w:spacing w:before="120"/>
      </w:pPr>
      <w:r w:rsidRPr="001352AB">
        <w:rPr>
          <w:rFonts w:ascii="Sylfaen" w:hAnsi="Sylfaen" w:cs="Sylfaen"/>
        </w:rPr>
        <w:t>აზოტის</w:t>
      </w:r>
      <w:r w:rsidRPr="001352AB">
        <w:t xml:space="preserve"> </w:t>
      </w:r>
      <w:r w:rsidRPr="001352AB">
        <w:rPr>
          <w:rFonts w:ascii="Sylfaen" w:hAnsi="Sylfaen" w:cs="Sylfaen"/>
        </w:rPr>
        <w:t>დიოქსიდი</w:t>
      </w:r>
      <w:r w:rsidRPr="001352AB">
        <w:t xml:space="preserve"> (</w:t>
      </w:r>
      <w:r w:rsidRPr="001352AB">
        <w:rPr>
          <w:rFonts w:ascii="Sylfaen" w:hAnsi="Sylfaen" w:cs="Sylfaen"/>
        </w:rPr>
        <w:t>აზოტის</w:t>
      </w:r>
      <w:r w:rsidRPr="001352AB">
        <w:t xml:space="preserve"> (IV) </w:t>
      </w:r>
      <w:r w:rsidRPr="001352AB">
        <w:rPr>
          <w:rFonts w:ascii="Sylfaen" w:hAnsi="Sylfaen" w:cs="Sylfaen"/>
        </w:rPr>
        <w:t>ოქსიდი</w:t>
      </w:r>
      <w:r w:rsidRPr="001352AB">
        <w:t>)</w:t>
      </w:r>
    </w:p>
    <w:p w14:paraId="5C327C10" w14:textId="77777777" w:rsidR="00CD64B5" w:rsidRPr="001352AB" w:rsidRDefault="00CD64B5" w:rsidP="00CD64B5">
      <w:pPr>
        <w:spacing w:before="120"/>
      </w:pPr>
      <w:r w:rsidRPr="001352AB">
        <w:t xml:space="preserve">M = </w:t>
      </w:r>
      <w:r w:rsidRPr="001352AB">
        <w:rPr>
          <w:rFonts w:eastAsiaTheme="minorEastAsia"/>
        </w:rPr>
        <w:t xml:space="preserve">(1 / 3600) · 3,296 · 50 = 0,0457778 </w:t>
      </w:r>
      <w:r w:rsidRPr="001352AB">
        <w:rPr>
          <w:rFonts w:ascii="Sylfaen" w:hAnsi="Sylfaen" w:cs="Sylfaen"/>
        </w:rPr>
        <w:t>გ</w:t>
      </w:r>
      <w:r w:rsidRPr="001352AB">
        <w:t>/</w:t>
      </w:r>
      <w:r w:rsidRPr="001352AB">
        <w:rPr>
          <w:rFonts w:ascii="Sylfaen" w:hAnsi="Sylfaen" w:cs="Sylfaen"/>
        </w:rPr>
        <w:t>წმ</w:t>
      </w:r>
      <w:r w:rsidRPr="001352AB">
        <w:t>;</w:t>
      </w:r>
    </w:p>
    <w:p w14:paraId="17CE54F2" w14:textId="77777777" w:rsidR="00CD64B5" w:rsidRPr="001352AB" w:rsidRDefault="00CD64B5" w:rsidP="00CD64B5">
      <w:pPr>
        <w:spacing w:before="120"/>
      </w:pPr>
      <w:r w:rsidRPr="001352AB">
        <w:t xml:space="preserve">WЭ = </w:t>
      </w:r>
      <w:r w:rsidRPr="001352AB">
        <w:rPr>
          <w:rFonts w:eastAsiaTheme="minorEastAsia"/>
        </w:rPr>
        <w:t xml:space="preserve">(1 / 1000) · 13,76 · 50 = 0,688 </w:t>
      </w:r>
      <w:r w:rsidRPr="001352AB">
        <w:rPr>
          <w:rFonts w:ascii="Sylfaen" w:hAnsi="Sylfaen" w:cs="Sylfaen"/>
        </w:rPr>
        <w:t>ტ</w:t>
      </w:r>
      <w:r w:rsidRPr="001352AB">
        <w:t>/</w:t>
      </w:r>
      <w:r w:rsidRPr="001352AB">
        <w:rPr>
          <w:rFonts w:ascii="Sylfaen" w:hAnsi="Sylfaen" w:cs="Sylfaen"/>
        </w:rPr>
        <w:t>წელ</w:t>
      </w:r>
      <w:r w:rsidRPr="001352AB">
        <w:t>;</w:t>
      </w:r>
    </w:p>
    <w:p w14:paraId="619D874D" w14:textId="77777777" w:rsidR="00CD64B5" w:rsidRPr="001352AB" w:rsidRDefault="00CD64B5" w:rsidP="00CD64B5">
      <w:pPr>
        <w:spacing w:before="120"/>
      </w:pPr>
      <w:r w:rsidRPr="001352AB">
        <w:rPr>
          <w:rFonts w:ascii="Sylfaen" w:hAnsi="Sylfaen" w:cs="Sylfaen"/>
        </w:rPr>
        <w:t>აზოტის</w:t>
      </w:r>
      <w:r w:rsidRPr="001352AB">
        <w:t xml:space="preserve"> </w:t>
      </w:r>
      <w:r w:rsidRPr="001352AB">
        <w:rPr>
          <w:rFonts w:ascii="Sylfaen" w:hAnsi="Sylfaen" w:cs="Sylfaen"/>
        </w:rPr>
        <w:t>ოქსიდი</w:t>
      </w:r>
      <w:r w:rsidRPr="001352AB">
        <w:t xml:space="preserve"> (</w:t>
      </w:r>
      <w:r w:rsidRPr="001352AB">
        <w:rPr>
          <w:rFonts w:ascii="Sylfaen" w:hAnsi="Sylfaen" w:cs="Sylfaen"/>
        </w:rPr>
        <w:t>აზოტის</w:t>
      </w:r>
      <w:r w:rsidRPr="001352AB">
        <w:t xml:space="preserve">(II) </w:t>
      </w:r>
      <w:r w:rsidRPr="001352AB">
        <w:rPr>
          <w:rFonts w:ascii="Sylfaen" w:hAnsi="Sylfaen" w:cs="Sylfaen"/>
        </w:rPr>
        <w:t>ოქსიდი</w:t>
      </w:r>
      <w:r w:rsidRPr="001352AB">
        <w:t>)</w:t>
      </w:r>
    </w:p>
    <w:p w14:paraId="735C886F" w14:textId="77777777" w:rsidR="00CD64B5" w:rsidRPr="001352AB" w:rsidRDefault="00CD64B5" w:rsidP="00CD64B5">
      <w:pPr>
        <w:spacing w:before="120"/>
      </w:pPr>
      <w:r w:rsidRPr="001352AB">
        <w:t xml:space="preserve">M = </w:t>
      </w:r>
      <w:r w:rsidRPr="001352AB">
        <w:rPr>
          <w:rFonts w:eastAsiaTheme="minorEastAsia"/>
        </w:rPr>
        <w:t xml:space="preserve">(1 / 3600) · 0,5356 · 50 = 0,0074389 </w:t>
      </w:r>
      <w:r w:rsidRPr="001352AB">
        <w:rPr>
          <w:rFonts w:ascii="Sylfaen" w:hAnsi="Sylfaen" w:cs="Sylfaen"/>
        </w:rPr>
        <w:t>გ</w:t>
      </w:r>
      <w:r w:rsidRPr="001352AB">
        <w:t>/</w:t>
      </w:r>
      <w:r w:rsidRPr="001352AB">
        <w:rPr>
          <w:rFonts w:ascii="Sylfaen" w:hAnsi="Sylfaen" w:cs="Sylfaen"/>
        </w:rPr>
        <w:t>წმ</w:t>
      </w:r>
      <w:r w:rsidRPr="001352AB">
        <w:t>;</w:t>
      </w:r>
    </w:p>
    <w:p w14:paraId="3FEB0701" w14:textId="77777777" w:rsidR="00CD64B5" w:rsidRPr="001352AB" w:rsidRDefault="00CD64B5" w:rsidP="00CD64B5">
      <w:pPr>
        <w:spacing w:before="120"/>
      </w:pPr>
      <w:r w:rsidRPr="001352AB">
        <w:t xml:space="preserve">WЭ = </w:t>
      </w:r>
      <w:r w:rsidRPr="001352AB">
        <w:rPr>
          <w:rFonts w:eastAsiaTheme="minorEastAsia"/>
        </w:rPr>
        <w:t xml:space="preserve">(1 / 1000) · 2,236 · 50 = 0,1118 </w:t>
      </w:r>
      <w:r w:rsidRPr="001352AB">
        <w:rPr>
          <w:rFonts w:ascii="Sylfaen" w:hAnsi="Sylfaen" w:cs="Sylfaen"/>
        </w:rPr>
        <w:t>ტ</w:t>
      </w:r>
      <w:r w:rsidRPr="001352AB">
        <w:t>/</w:t>
      </w:r>
      <w:r w:rsidRPr="001352AB">
        <w:rPr>
          <w:rFonts w:ascii="Sylfaen" w:hAnsi="Sylfaen" w:cs="Sylfaen"/>
        </w:rPr>
        <w:t>წელ</w:t>
      </w:r>
      <w:r w:rsidRPr="001352AB">
        <w:t>;</w:t>
      </w:r>
    </w:p>
    <w:p w14:paraId="367894CB" w14:textId="77777777" w:rsidR="00CD64B5" w:rsidRPr="001352AB" w:rsidRDefault="00CD64B5" w:rsidP="00CD64B5">
      <w:pPr>
        <w:spacing w:before="120"/>
      </w:pPr>
      <w:r w:rsidRPr="001352AB">
        <w:rPr>
          <w:rFonts w:ascii="Sylfaen" w:hAnsi="Sylfaen" w:cs="Sylfaen"/>
        </w:rPr>
        <w:lastRenderedPageBreak/>
        <w:t>ჭვარტლი</w:t>
      </w:r>
    </w:p>
    <w:p w14:paraId="4AF10B02" w14:textId="77777777" w:rsidR="00CD64B5" w:rsidRPr="001352AB" w:rsidRDefault="00CD64B5" w:rsidP="00CD64B5">
      <w:pPr>
        <w:spacing w:before="120"/>
      </w:pPr>
      <w:r w:rsidRPr="001352AB">
        <w:t xml:space="preserve">M = </w:t>
      </w:r>
      <w:r w:rsidRPr="001352AB">
        <w:rPr>
          <w:rFonts w:eastAsiaTheme="minorEastAsia"/>
        </w:rPr>
        <w:t xml:space="preserve">(1 / 3600) · 0,2 · 50 = 0,0027778 </w:t>
      </w:r>
      <w:r w:rsidRPr="001352AB">
        <w:rPr>
          <w:rFonts w:ascii="Sylfaen" w:hAnsi="Sylfaen" w:cs="Sylfaen"/>
        </w:rPr>
        <w:t>გ</w:t>
      </w:r>
      <w:r w:rsidRPr="001352AB">
        <w:t>/</w:t>
      </w:r>
      <w:r w:rsidRPr="001352AB">
        <w:rPr>
          <w:rFonts w:ascii="Sylfaen" w:hAnsi="Sylfaen" w:cs="Sylfaen"/>
        </w:rPr>
        <w:t>წმ</w:t>
      </w:r>
      <w:r w:rsidRPr="001352AB">
        <w:t>;</w:t>
      </w:r>
    </w:p>
    <w:p w14:paraId="1C402EB6" w14:textId="77777777" w:rsidR="00CD64B5" w:rsidRPr="001352AB" w:rsidRDefault="00CD64B5" w:rsidP="00CD64B5">
      <w:pPr>
        <w:spacing w:before="120"/>
      </w:pPr>
      <w:r w:rsidRPr="001352AB">
        <w:t xml:space="preserve">WЭ = </w:t>
      </w:r>
      <w:r w:rsidRPr="001352AB">
        <w:rPr>
          <w:rFonts w:eastAsiaTheme="minorEastAsia"/>
        </w:rPr>
        <w:t xml:space="preserve">(1 / 1000) · 0,857 · 50 = 0,04285 </w:t>
      </w:r>
      <w:r w:rsidRPr="001352AB">
        <w:rPr>
          <w:rFonts w:ascii="Sylfaen" w:hAnsi="Sylfaen" w:cs="Sylfaen"/>
        </w:rPr>
        <w:t>ტ</w:t>
      </w:r>
      <w:r w:rsidRPr="001352AB">
        <w:t>/</w:t>
      </w:r>
      <w:r w:rsidRPr="001352AB">
        <w:rPr>
          <w:rFonts w:ascii="Sylfaen" w:hAnsi="Sylfaen" w:cs="Sylfaen"/>
        </w:rPr>
        <w:t>წელ</w:t>
      </w:r>
      <w:r w:rsidRPr="001352AB">
        <w:t>;</w:t>
      </w:r>
    </w:p>
    <w:p w14:paraId="654CAD91" w14:textId="77777777" w:rsidR="00CD64B5" w:rsidRPr="001352AB" w:rsidRDefault="00CD64B5" w:rsidP="00CD64B5">
      <w:pPr>
        <w:spacing w:before="120"/>
      </w:pPr>
      <w:r w:rsidRPr="001352AB">
        <w:rPr>
          <w:rFonts w:ascii="Sylfaen" w:hAnsi="Sylfaen" w:cs="Sylfaen"/>
        </w:rPr>
        <w:t>გოგირდის</w:t>
      </w:r>
      <w:r w:rsidRPr="001352AB">
        <w:t xml:space="preserve"> </w:t>
      </w:r>
      <w:r w:rsidRPr="001352AB">
        <w:rPr>
          <w:rFonts w:ascii="Sylfaen" w:hAnsi="Sylfaen" w:cs="Sylfaen"/>
        </w:rPr>
        <w:t>დიოქსიდი</w:t>
      </w:r>
    </w:p>
    <w:p w14:paraId="49AB8F62" w14:textId="77777777" w:rsidR="00CD64B5" w:rsidRPr="001352AB" w:rsidRDefault="00CD64B5" w:rsidP="00CD64B5">
      <w:pPr>
        <w:spacing w:before="120"/>
      </w:pPr>
      <w:r w:rsidRPr="001352AB">
        <w:t xml:space="preserve">M = </w:t>
      </w:r>
      <w:r w:rsidRPr="001352AB">
        <w:rPr>
          <w:rFonts w:eastAsiaTheme="minorEastAsia"/>
        </w:rPr>
        <w:t xml:space="preserve">(1 / 3600) · 1,1 · 50 = 0,0152778 </w:t>
      </w:r>
      <w:r w:rsidRPr="001352AB">
        <w:rPr>
          <w:rFonts w:ascii="Sylfaen" w:hAnsi="Sylfaen" w:cs="Sylfaen"/>
        </w:rPr>
        <w:t>გ</w:t>
      </w:r>
      <w:r w:rsidRPr="001352AB">
        <w:t>/</w:t>
      </w:r>
      <w:r w:rsidRPr="001352AB">
        <w:rPr>
          <w:rFonts w:ascii="Sylfaen" w:hAnsi="Sylfaen" w:cs="Sylfaen"/>
        </w:rPr>
        <w:t>წმ</w:t>
      </w:r>
      <w:r w:rsidRPr="001352AB">
        <w:t>;</w:t>
      </w:r>
    </w:p>
    <w:p w14:paraId="55A8782B" w14:textId="77777777" w:rsidR="00CD64B5" w:rsidRPr="001352AB" w:rsidRDefault="00CD64B5" w:rsidP="00CD64B5">
      <w:pPr>
        <w:spacing w:before="120"/>
      </w:pPr>
      <w:r w:rsidRPr="001352AB">
        <w:t xml:space="preserve">WЭ = </w:t>
      </w:r>
      <w:r w:rsidRPr="001352AB">
        <w:rPr>
          <w:rFonts w:eastAsiaTheme="minorEastAsia"/>
        </w:rPr>
        <w:t xml:space="preserve">(1 / 1000) · 4,5 · 50 = 0,225 </w:t>
      </w:r>
      <w:r w:rsidRPr="001352AB">
        <w:rPr>
          <w:rFonts w:ascii="Sylfaen" w:hAnsi="Sylfaen" w:cs="Sylfaen"/>
        </w:rPr>
        <w:t>ტ</w:t>
      </w:r>
      <w:r w:rsidRPr="001352AB">
        <w:t>/</w:t>
      </w:r>
      <w:r w:rsidRPr="001352AB">
        <w:rPr>
          <w:rFonts w:ascii="Sylfaen" w:hAnsi="Sylfaen" w:cs="Sylfaen"/>
        </w:rPr>
        <w:t>წელ</w:t>
      </w:r>
      <w:r w:rsidRPr="001352AB">
        <w:t>;</w:t>
      </w:r>
    </w:p>
    <w:p w14:paraId="3B16F418" w14:textId="77777777" w:rsidR="00CD64B5" w:rsidRPr="001352AB" w:rsidRDefault="00CD64B5" w:rsidP="00CD64B5">
      <w:pPr>
        <w:spacing w:before="120"/>
      </w:pPr>
      <w:r w:rsidRPr="001352AB">
        <w:rPr>
          <w:rFonts w:ascii="Sylfaen" w:hAnsi="Sylfaen" w:cs="Sylfaen"/>
        </w:rPr>
        <w:t>ნახშირბადის</w:t>
      </w:r>
      <w:r w:rsidRPr="001352AB">
        <w:t xml:space="preserve"> </w:t>
      </w:r>
      <w:r w:rsidRPr="001352AB">
        <w:rPr>
          <w:rFonts w:ascii="Sylfaen" w:hAnsi="Sylfaen" w:cs="Sylfaen"/>
        </w:rPr>
        <w:t>ოქსიდი</w:t>
      </w:r>
    </w:p>
    <w:p w14:paraId="7A9F1AD3" w14:textId="77777777" w:rsidR="00CD64B5" w:rsidRPr="001352AB" w:rsidRDefault="00CD64B5" w:rsidP="00CD64B5">
      <w:pPr>
        <w:spacing w:before="120"/>
      </w:pPr>
      <w:r w:rsidRPr="001352AB">
        <w:t xml:space="preserve">M = </w:t>
      </w:r>
      <w:r w:rsidRPr="001352AB">
        <w:rPr>
          <w:rFonts w:eastAsiaTheme="minorEastAsia"/>
        </w:rPr>
        <w:t xml:space="preserve">(1 / 3600) · 3,6 · 50 = 0,05 </w:t>
      </w:r>
      <w:r w:rsidRPr="001352AB">
        <w:rPr>
          <w:rFonts w:ascii="Sylfaen" w:hAnsi="Sylfaen" w:cs="Sylfaen"/>
        </w:rPr>
        <w:t>გ</w:t>
      </w:r>
      <w:r w:rsidRPr="001352AB">
        <w:t>/</w:t>
      </w:r>
      <w:r w:rsidRPr="001352AB">
        <w:rPr>
          <w:rFonts w:ascii="Sylfaen" w:hAnsi="Sylfaen" w:cs="Sylfaen"/>
        </w:rPr>
        <w:t>წმ</w:t>
      </w:r>
      <w:r w:rsidRPr="001352AB">
        <w:t>;</w:t>
      </w:r>
    </w:p>
    <w:p w14:paraId="44D51640" w14:textId="77777777" w:rsidR="00CD64B5" w:rsidRPr="001352AB" w:rsidRDefault="00CD64B5" w:rsidP="00CD64B5">
      <w:pPr>
        <w:spacing w:before="120"/>
      </w:pPr>
      <w:r w:rsidRPr="001352AB">
        <w:t xml:space="preserve">WЭ = </w:t>
      </w:r>
      <w:r w:rsidRPr="001352AB">
        <w:rPr>
          <w:rFonts w:eastAsiaTheme="minorEastAsia"/>
        </w:rPr>
        <w:t xml:space="preserve">(1 / 1000) · 15 · 50 = 0,75 </w:t>
      </w:r>
      <w:r w:rsidRPr="001352AB">
        <w:rPr>
          <w:rFonts w:ascii="Sylfaen" w:hAnsi="Sylfaen" w:cs="Sylfaen"/>
        </w:rPr>
        <w:t>ტ</w:t>
      </w:r>
      <w:r w:rsidRPr="001352AB">
        <w:t>/</w:t>
      </w:r>
      <w:r w:rsidRPr="001352AB">
        <w:rPr>
          <w:rFonts w:ascii="Sylfaen" w:hAnsi="Sylfaen" w:cs="Sylfaen"/>
        </w:rPr>
        <w:t>წელ</w:t>
      </w:r>
      <w:r w:rsidRPr="001352AB">
        <w:t>;</w:t>
      </w:r>
    </w:p>
    <w:p w14:paraId="3DC369FF" w14:textId="77777777" w:rsidR="00CD64B5" w:rsidRPr="001352AB" w:rsidRDefault="00CD64B5" w:rsidP="00CD64B5">
      <w:pPr>
        <w:spacing w:before="120"/>
      </w:pPr>
      <w:r w:rsidRPr="001352AB">
        <w:rPr>
          <w:rFonts w:ascii="Sylfaen" w:hAnsi="Sylfaen" w:cs="Sylfaen"/>
        </w:rPr>
        <w:t>ბენზ</w:t>
      </w:r>
      <w:r w:rsidRPr="001352AB">
        <w:t>(</w:t>
      </w:r>
      <w:r w:rsidRPr="001352AB">
        <w:rPr>
          <w:rFonts w:ascii="Sylfaen" w:hAnsi="Sylfaen" w:cs="Sylfaen"/>
        </w:rPr>
        <w:t>ა</w:t>
      </w:r>
      <w:r w:rsidRPr="001352AB">
        <w:t>)</w:t>
      </w:r>
      <w:r w:rsidRPr="001352AB">
        <w:rPr>
          <w:rFonts w:ascii="Sylfaen" w:hAnsi="Sylfaen" w:cs="Sylfaen"/>
        </w:rPr>
        <w:t>პირენი</w:t>
      </w:r>
    </w:p>
    <w:p w14:paraId="0CC61FD3" w14:textId="77777777" w:rsidR="00CD64B5" w:rsidRPr="001352AB" w:rsidRDefault="00CD64B5" w:rsidP="00CD64B5">
      <w:pPr>
        <w:spacing w:before="120"/>
      </w:pPr>
      <w:r w:rsidRPr="001352AB">
        <w:t xml:space="preserve">M = </w:t>
      </w:r>
      <w:r w:rsidRPr="001352AB">
        <w:rPr>
          <w:rFonts w:eastAsiaTheme="minorEastAsia"/>
        </w:rPr>
        <w:t xml:space="preserve">(1 / 3600) · 0,0000037 · 50 = 0,0000001 </w:t>
      </w:r>
      <w:r w:rsidRPr="001352AB">
        <w:rPr>
          <w:rFonts w:ascii="Sylfaen" w:hAnsi="Sylfaen" w:cs="Sylfaen"/>
        </w:rPr>
        <w:t>გ</w:t>
      </w:r>
      <w:r w:rsidRPr="001352AB">
        <w:t>/</w:t>
      </w:r>
      <w:r w:rsidRPr="001352AB">
        <w:rPr>
          <w:rFonts w:ascii="Sylfaen" w:hAnsi="Sylfaen" w:cs="Sylfaen"/>
        </w:rPr>
        <w:t>წმ</w:t>
      </w:r>
      <w:r w:rsidRPr="001352AB">
        <w:t>;</w:t>
      </w:r>
    </w:p>
    <w:p w14:paraId="27BFA05E" w14:textId="77777777" w:rsidR="00CD64B5" w:rsidRPr="001352AB" w:rsidRDefault="00CD64B5" w:rsidP="00CD64B5">
      <w:pPr>
        <w:spacing w:before="120"/>
      </w:pPr>
      <w:r w:rsidRPr="001352AB">
        <w:t xml:space="preserve">WЭ = </w:t>
      </w:r>
      <w:r w:rsidRPr="001352AB">
        <w:rPr>
          <w:rFonts w:eastAsiaTheme="minorEastAsia"/>
        </w:rPr>
        <w:t xml:space="preserve">(1 / 1000) · 0,000016 · 50 = 0,0000008 </w:t>
      </w:r>
      <w:r w:rsidRPr="001352AB">
        <w:rPr>
          <w:rFonts w:ascii="Sylfaen" w:hAnsi="Sylfaen" w:cs="Sylfaen"/>
        </w:rPr>
        <w:t>ტ</w:t>
      </w:r>
      <w:r w:rsidRPr="001352AB">
        <w:t>/</w:t>
      </w:r>
      <w:r w:rsidRPr="001352AB">
        <w:rPr>
          <w:rFonts w:ascii="Sylfaen" w:hAnsi="Sylfaen" w:cs="Sylfaen"/>
        </w:rPr>
        <w:t>წელ</w:t>
      </w:r>
      <w:r w:rsidRPr="001352AB">
        <w:t>;</w:t>
      </w:r>
    </w:p>
    <w:p w14:paraId="7D781142" w14:textId="77777777" w:rsidR="00CD64B5" w:rsidRPr="001352AB" w:rsidRDefault="00CD64B5" w:rsidP="00CD64B5">
      <w:pPr>
        <w:spacing w:before="120"/>
      </w:pPr>
      <w:r w:rsidRPr="001352AB">
        <w:rPr>
          <w:rFonts w:ascii="Sylfaen" w:hAnsi="Sylfaen" w:cs="Sylfaen"/>
        </w:rPr>
        <w:t>ფორმალდეჰიდი</w:t>
      </w:r>
    </w:p>
    <w:p w14:paraId="023B0C63" w14:textId="77777777" w:rsidR="00CD64B5" w:rsidRPr="001352AB" w:rsidRDefault="00CD64B5" w:rsidP="00CD64B5">
      <w:pPr>
        <w:spacing w:before="120"/>
      </w:pPr>
      <w:r w:rsidRPr="001352AB">
        <w:t xml:space="preserve">M = </w:t>
      </w:r>
      <w:r w:rsidRPr="001352AB">
        <w:rPr>
          <w:rFonts w:eastAsiaTheme="minorEastAsia"/>
        </w:rPr>
        <w:t xml:space="preserve">(1 / 3600) · 0,043 · 50 = 0,0005972 </w:t>
      </w:r>
      <w:r w:rsidRPr="001352AB">
        <w:rPr>
          <w:rFonts w:ascii="Sylfaen" w:hAnsi="Sylfaen" w:cs="Sylfaen"/>
        </w:rPr>
        <w:t>გ</w:t>
      </w:r>
      <w:r w:rsidRPr="001352AB">
        <w:t>/</w:t>
      </w:r>
      <w:r w:rsidRPr="001352AB">
        <w:rPr>
          <w:rFonts w:ascii="Sylfaen" w:hAnsi="Sylfaen" w:cs="Sylfaen"/>
        </w:rPr>
        <w:t>წმ</w:t>
      </w:r>
      <w:r w:rsidRPr="001352AB">
        <w:t>;</w:t>
      </w:r>
    </w:p>
    <w:p w14:paraId="2E56EBBC" w14:textId="77777777" w:rsidR="00CD64B5" w:rsidRPr="001352AB" w:rsidRDefault="00CD64B5" w:rsidP="00CD64B5">
      <w:pPr>
        <w:spacing w:before="120"/>
      </w:pPr>
      <w:r w:rsidRPr="001352AB">
        <w:t xml:space="preserve">WЭ = </w:t>
      </w:r>
      <w:r w:rsidRPr="001352AB">
        <w:rPr>
          <w:rFonts w:eastAsiaTheme="minorEastAsia"/>
        </w:rPr>
        <w:t xml:space="preserve">(1 / 1000) · 0,171 · 50 = 0,00855 </w:t>
      </w:r>
      <w:r w:rsidRPr="001352AB">
        <w:rPr>
          <w:rFonts w:ascii="Sylfaen" w:hAnsi="Sylfaen" w:cs="Sylfaen"/>
        </w:rPr>
        <w:t>ტ</w:t>
      </w:r>
      <w:r w:rsidRPr="001352AB">
        <w:t>/</w:t>
      </w:r>
      <w:r w:rsidRPr="001352AB">
        <w:rPr>
          <w:rFonts w:ascii="Sylfaen" w:hAnsi="Sylfaen" w:cs="Sylfaen"/>
        </w:rPr>
        <w:t>წელ</w:t>
      </w:r>
      <w:r w:rsidRPr="001352AB">
        <w:t>;</w:t>
      </w:r>
    </w:p>
    <w:p w14:paraId="579E66DC" w14:textId="77777777" w:rsidR="00CD64B5" w:rsidRPr="001352AB" w:rsidRDefault="00CD64B5" w:rsidP="00CD64B5">
      <w:pPr>
        <w:spacing w:before="120"/>
      </w:pPr>
      <w:r w:rsidRPr="001352AB">
        <w:rPr>
          <w:rFonts w:ascii="Sylfaen" w:hAnsi="Sylfaen" w:cs="Sylfaen"/>
        </w:rPr>
        <w:t>ნახშირწყალბადების</w:t>
      </w:r>
      <w:r w:rsidRPr="001352AB">
        <w:t xml:space="preserve"> </w:t>
      </w:r>
      <w:r w:rsidRPr="001352AB">
        <w:rPr>
          <w:rFonts w:ascii="Sylfaen" w:hAnsi="Sylfaen" w:cs="Sylfaen"/>
        </w:rPr>
        <w:t>ნავთის</w:t>
      </w:r>
      <w:r w:rsidRPr="001352AB">
        <w:t xml:space="preserve"> </w:t>
      </w:r>
      <w:r w:rsidRPr="001352AB">
        <w:rPr>
          <w:rFonts w:ascii="Sylfaen" w:hAnsi="Sylfaen" w:cs="Sylfaen"/>
        </w:rPr>
        <w:t>ფრაქცია</w:t>
      </w:r>
    </w:p>
    <w:p w14:paraId="72DCF56A" w14:textId="77777777" w:rsidR="00CD64B5" w:rsidRPr="001352AB" w:rsidRDefault="00CD64B5" w:rsidP="00CD64B5">
      <w:pPr>
        <w:spacing w:before="120"/>
      </w:pPr>
      <w:r w:rsidRPr="001352AB">
        <w:t xml:space="preserve">M = </w:t>
      </w:r>
      <w:r w:rsidRPr="001352AB">
        <w:rPr>
          <w:rFonts w:eastAsiaTheme="minorEastAsia"/>
        </w:rPr>
        <w:t xml:space="preserve">(1 / 3600) · 1,029 · 50 = 0,0142917 </w:t>
      </w:r>
      <w:r w:rsidRPr="001352AB">
        <w:rPr>
          <w:rFonts w:ascii="Sylfaen" w:hAnsi="Sylfaen" w:cs="Sylfaen"/>
        </w:rPr>
        <w:t>გ</w:t>
      </w:r>
      <w:r w:rsidRPr="001352AB">
        <w:t>/</w:t>
      </w:r>
      <w:r w:rsidRPr="001352AB">
        <w:rPr>
          <w:rFonts w:ascii="Sylfaen" w:hAnsi="Sylfaen" w:cs="Sylfaen"/>
        </w:rPr>
        <w:t>წმ</w:t>
      </w:r>
      <w:r w:rsidRPr="001352AB">
        <w:t>;</w:t>
      </w:r>
    </w:p>
    <w:p w14:paraId="21BFC824" w14:textId="77777777" w:rsidR="00CD64B5" w:rsidRPr="001352AB" w:rsidRDefault="00CD64B5" w:rsidP="00CD64B5">
      <w:pPr>
        <w:spacing w:before="120"/>
      </w:pPr>
      <w:r w:rsidRPr="001352AB">
        <w:t xml:space="preserve">WЭ = </w:t>
      </w:r>
      <w:r w:rsidRPr="001352AB">
        <w:rPr>
          <w:rFonts w:eastAsiaTheme="minorEastAsia"/>
        </w:rPr>
        <w:t xml:space="preserve">(1 / 1000) · 4,286 · 50 = 0,2143 </w:t>
      </w:r>
      <w:r w:rsidRPr="001352AB">
        <w:rPr>
          <w:rFonts w:ascii="Sylfaen" w:hAnsi="Sylfaen" w:cs="Sylfaen"/>
        </w:rPr>
        <w:t>ტ</w:t>
      </w:r>
      <w:r w:rsidRPr="001352AB">
        <w:t>/</w:t>
      </w:r>
      <w:r w:rsidRPr="001352AB">
        <w:rPr>
          <w:rFonts w:ascii="Sylfaen" w:hAnsi="Sylfaen" w:cs="Sylfaen"/>
        </w:rPr>
        <w:t>წელ</w:t>
      </w:r>
      <w:r w:rsidRPr="001352AB">
        <w:t>;</w:t>
      </w:r>
    </w:p>
    <w:p w14:paraId="556DBE74" w14:textId="77777777" w:rsidR="00CD64B5" w:rsidRPr="001352AB" w:rsidRDefault="00CD64B5" w:rsidP="00CD64B5">
      <w:pPr>
        <w:spacing w:before="120"/>
      </w:pPr>
      <w:r w:rsidRPr="001352AB">
        <w:rPr>
          <w:rFonts w:ascii="Sylfaen" w:hAnsi="Sylfaen" w:cs="Sylfaen"/>
        </w:rPr>
        <w:t>ნამუშევარი</w:t>
      </w:r>
      <w:r w:rsidRPr="001352AB">
        <w:t xml:space="preserve"> </w:t>
      </w:r>
      <w:r w:rsidRPr="001352AB">
        <w:rPr>
          <w:rFonts w:ascii="Sylfaen" w:hAnsi="Sylfaen" w:cs="Sylfaen"/>
        </w:rPr>
        <w:t>აირების</w:t>
      </w:r>
      <w:r w:rsidRPr="001352AB">
        <w:t xml:space="preserve"> </w:t>
      </w:r>
      <w:r w:rsidRPr="001352AB">
        <w:rPr>
          <w:rFonts w:ascii="Sylfaen" w:hAnsi="Sylfaen" w:cs="Sylfaen"/>
        </w:rPr>
        <w:t>მოცულობითი</w:t>
      </w:r>
      <w:r w:rsidRPr="001352AB">
        <w:t xml:space="preserve"> </w:t>
      </w:r>
      <w:r w:rsidRPr="001352AB">
        <w:rPr>
          <w:rFonts w:ascii="Sylfaen" w:hAnsi="Sylfaen" w:cs="Sylfaen"/>
        </w:rPr>
        <w:t>ხარჯი</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ქვემოთ</w:t>
      </w:r>
      <w:r w:rsidRPr="001352AB">
        <w:t>.</w:t>
      </w:r>
    </w:p>
    <w:p w14:paraId="6E305CE0" w14:textId="77777777" w:rsidR="00CD64B5" w:rsidRPr="001352AB" w:rsidRDefault="00CD64B5" w:rsidP="00CD64B5">
      <w:pPr>
        <w:spacing w:before="120"/>
      </w:pPr>
      <w:r w:rsidRPr="001352AB">
        <w:t xml:space="preserve">GОГ = </w:t>
      </w:r>
      <w:r w:rsidRPr="001352AB">
        <w:rPr>
          <w:rFonts w:eastAsiaTheme="minorEastAsia"/>
        </w:rPr>
        <w:t xml:space="preserve">8,72 · 10-6 · 250 · 50 = 0,109 </w:t>
      </w:r>
      <w:r w:rsidRPr="001352AB">
        <w:rPr>
          <w:rFonts w:ascii="Sylfaen" w:hAnsi="Sylfaen" w:cs="Sylfaen"/>
        </w:rPr>
        <w:t>კგ</w:t>
      </w:r>
      <w:r w:rsidRPr="001352AB">
        <w:t>/</w:t>
      </w:r>
      <w:r w:rsidRPr="001352AB">
        <w:rPr>
          <w:rFonts w:ascii="Sylfaen" w:hAnsi="Sylfaen" w:cs="Sylfaen"/>
        </w:rPr>
        <w:t>წმ</w:t>
      </w:r>
      <w:r w:rsidRPr="001352AB">
        <w:t xml:space="preserve">. </w:t>
      </w:r>
    </w:p>
    <w:p w14:paraId="5067FD6D" w14:textId="77777777" w:rsidR="00CD64B5" w:rsidRPr="001352AB" w:rsidRDefault="00CD64B5" w:rsidP="00CD64B5">
      <w:pPr>
        <w:spacing w:before="120"/>
      </w:pPr>
      <w:r w:rsidRPr="001352AB">
        <w:t xml:space="preserve">5 </w:t>
      </w:r>
      <w:r w:rsidRPr="001352AB">
        <w:rPr>
          <w:rFonts w:ascii="Sylfaen" w:hAnsi="Sylfaen" w:cs="Sylfaen"/>
        </w:rPr>
        <w:t>მეტრამდე</w:t>
      </w:r>
      <w:r w:rsidRPr="001352AB">
        <w:t xml:space="preserve"> </w:t>
      </w:r>
      <w:r w:rsidRPr="001352AB">
        <w:rPr>
          <w:rFonts w:ascii="Sylfaen" w:hAnsi="Sylfaen" w:cs="Sylfaen"/>
        </w:rPr>
        <w:t>სიმაღლეზე</w:t>
      </w:r>
      <w:r w:rsidRPr="001352AB">
        <w:t>,  TОГ = 723  K (450 °С):</w:t>
      </w:r>
    </w:p>
    <w:p w14:paraId="407228C5" w14:textId="77777777" w:rsidR="00CD64B5" w:rsidRPr="001352AB" w:rsidRDefault="00CD64B5" w:rsidP="00CD64B5">
      <w:pPr>
        <w:spacing w:before="120"/>
      </w:pPr>
      <w:r w:rsidRPr="001352AB">
        <w:t xml:space="preserve">γОГ = </w:t>
      </w:r>
      <w:r w:rsidRPr="001352AB">
        <w:rPr>
          <w:rFonts w:eastAsiaTheme="minorEastAsia"/>
        </w:rPr>
        <w:t xml:space="preserve">1,31 / (1 + 723 / 273) = 0,359066 </w:t>
      </w:r>
      <w:r w:rsidRPr="001352AB">
        <w:rPr>
          <w:rFonts w:ascii="Sylfaen" w:hAnsi="Sylfaen" w:cs="Sylfaen"/>
        </w:rPr>
        <w:t>კგ</w:t>
      </w:r>
      <w:r w:rsidRPr="001352AB">
        <w:t>/</w:t>
      </w:r>
      <w:r w:rsidRPr="001352AB">
        <w:rPr>
          <w:rFonts w:ascii="Sylfaen" w:hAnsi="Sylfaen" w:cs="Sylfaen"/>
        </w:rPr>
        <w:t>მ</w:t>
      </w:r>
      <w:r w:rsidRPr="001352AB">
        <w:t>3</w:t>
      </w:r>
    </w:p>
    <w:p w14:paraId="7692F62A" w14:textId="77777777" w:rsidR="00CD64B5" w:rsidRPr="001352AB" w:rsidRDefault="00CD64B5" w:rsidP="00CD64B5">
      <w:pPr>
        <w:spacing w:before="120"/>
      </w:pPr>
      <w:r w:rsidRPr="001352AB">
        <w:t xml:space="preserve">QОГ = </w:t>
      </w:r>
      <w:r w:rsidRPr="001352AB">
        <w:rPr>
          <w:rFonts w:eastAsiaTheme="minorEastAsia"/>
        </w:rPr>
        <w:t xml:space="preserve">0,109 / 0,359066 = 0,3036 </w:t>
      </w:r>
      <w:r w:rsidRPr="001352AB">
        <w:rPr>
          <w:rFonts w:ascii="Sylfaen" w:hAnsi="Sylfaen" w:cs="Sylfaen"/>
        </w:rPr>
        <w:t>მ</w:t>
      </w:r>
      <w:r w:rsidRPr="001352AB">
        <w:t>3/</w:t>
      </w:r>
      <w:r w:rsidRPr="001352AB">
        <w:rPr>
          <w:rFonts w:ascii="Sylfaen" w:hAnsi="Sylfaen" w:cs="Sylfaen"/>
        </w:rPr>
        <w:t>წმ</w:t>
      </w:r>
    </w:p>
    <w:p w14:paraId="7EFA98F9" w14:textId="77777777" w:rsidR="00CD64B5" w:rsidRPr="001352AB" w:rsidRDefault="00CD64B5" w:rsidP="00CD64B5">
      <w:pPr>
        <w:spacing w:before="120"/>
      </w:pPr>
      <w:r w:rsidRPr="001352AB">
        <w:t xml:space="preserve">5 -10 </w:t>
      </w:r>
      <w:r w:rsidRPr="001352AB">
        <w:rPr>
          <w:rFonts w:ascii="Sylfaen" w:hAnsi="Sylfaen" w:cs="Sylfaen"/>
        </w:rPr>
        <w:t>მეტრამდე</w:t>
      </w:r>
      <w:r w:rsidRPr="001352AB">
        <w:t xml:space="preserve"> </w:t>
      </w:r>
      <w:r w:rsidRPr="001352AB">
        <w:rPr>
          <w:rFonts w:ascii="Sylfaen" w:hAnsi="Sylfaen" w:cs="Sylfaen"/>
        </w:rPr>
        <w:t>სიმაღლეზე</w:t>
      </w:r>
      <w:r w:rsidRPr="001352AB">
        <w:t>,  TОГ = 673  K (400 °С):</w:t>
      </w:r>
    </w:p>
    <w:p w14:paraId="6ECB8210" w14:textId="77777777" w:rsidR="00CD64B5" w:rsidRPr="001352AB" w:rsidRDefault="00CD64B5" w:rsidP="00CD64B5">
      <w:pPr>
        <w:spacing w:before="120"/>
      </w:pPr>
      <w:r w:rsidRPr="001352AB">
        <w:t xml:space="preserve">γОГ = </w:t>
      </w:r>
      <w:r w:rsidRPr="001352AB">
        <w:rPr>
          <w:rFonts w:eastAsiaTheme="minorEastAsia"/>
        </w:rPr>
        <w:t xml:space="preserve">1,31 / (1 + 673 / 273) = 0,3780444 </w:t>
      </w:r>
      <w:r w:rsidRPr="001352AB">
        <w:rPr>
          <w:rFonts w:ascii="Sylfaen" w:hAnsi="Sylfaen" w:cs="Sylfaen"/>
        </w:rPr>
        <w:t>კგ</w:t>
      </w:r>
      <w:r w:rsidRPr="001352AB">
        <w:t>/</w:t>
      </w:r>
      <w:r w:rsidRPr="001352AB">
        <w:rPr>
          <w:rFonts w:ascii="Sylfaen" w:hAnsi="Sylfaen" w:cs="Sylfaen"/>
        </w:rPr>
        <w:t>მ</w:t>
      </w:r>
      <w:r w:rsidRPr="001352AB">
        <w:t>3</w:t>
      </w:r>
    </w:p>
    <w:p w14:paraId="10499886" w14:textId="77777777" w:rsidR="00CD64B5" w:rsidRPr="001352AB" w:rsidRDefault="00CD64B5" w:rsidP="00CD64B5">
      <w:pPr>
        <w:spacing w:before="120"/>
      </w:pPr>
      <w:r w:rsidRPr="001352AB">
        <w:t xml:space="preserve">QОГ = </w:t>
      </w:r>
      <w:r w:rsidRPr="001352AB">
        <w:rPr>
          <w:rFonts w:eastAsiaTheme="minorEastAsia"/>
        </w:rPr>
        <w:t xml:space="preserve">0,109 / 0,3780444 = 0,2883 </w:t>
      </w:r>
      <w:r w:rsidRPr="001352AB">
        <w:rPr>
          <w:rFonts w:ascii="Sylfaen" w:hAnsi="Sylfaen" w:cs="Sylfaen"/>
        </w:rPr>
        <w:t>მ</w:t>
      </w:r>
      <w:r w:rsidRPr="001352AB">
        <w:t>3/</w:t>
      </w:r>
      <w:r w:rsidRPr="001352AB">
        <w:rPr>
          <w:rFonts w:ascii="Sylfaen" w:hAnsi="Sylfaen" w:cs="Sylfaen"/>
        </w:rPr>
        <w:t>წმ</w:t>
      </w:r>
    </w:p>
    <w:p w14:paraId="726D1821" w14:textId="77777777" w:rsidR="00CD64B5" w:rsidRPr="001352AB" w:rsidRDefault="00CD64B5" w:rsidP="00CD64B5">
      <w:pPr>
        <w:spacing w:before="120"/>
      </w:pPr>
      <w:bookmarkStart w:id="268" w:name="_Toc419823077"/>
      <w:r w:rsidRPr="001352AB">
        <w:rPr>
          <w:rFonts w:ascii="Sylfaen" w:eastAsiaTheme="majorEastAsia" w:hAnsi="Sylfaen" w:cs="Sylfaen"/>
        </w:rPr>
        <w:t>ემისიის</w:t>
      </w:r>
      <w:r w:rsidRPr="001352AB">
        <w:rPr>
          <w:rFonts w:eastAsiaTheme="majorEastAsia"/>
        </w:rPr>
        <w:t xml:space="preserve"> </w:t>
      </w:r>
      <w:r w:rsidRPr="001352AB">
        <w:rPr>
          <w:rFonts w:ascii="Sylfaen" w:eastAsiaTheme="majorEastAsia" w:hAnsi="Sylfaen" w:cs="Sylfaen"/>
        </w:rPr>
        <w:t>გაანგარიშება</w:t>
      </w:r>
      <w:r w:rsidRPr="001352AB">
        <w:rPr>
          <w:rFonts w:eastAsiaTheme="majorEastAsia"/>
        </w:rPr>
        <w:t xml:space="preserve"> </w:t>
      </w:r>
      <w:r w:rsidRPr="001352AB">
        <w:rPr>
          <w:rFonts w:ascii="Sylfaen" w:eastAsiaTheme="majorEastAsia" w:hAnsi="Sylfaen" w:cs="Sylfaen"/>
        </w:rPr>
        <w:t>სამშენებლო</w:t>
      </w:r>
      <w:r w:rsidRPr="001352AB">
        <w:rPr>
          <w:rFonts w:eastAsiaTheme="majorEastAsia"/>
        </w:rPr>
        <w:t>-</w:t>
      </w:r>
      <w:r w:rsidRPr="001352AB">
        <w:rPr>
          <w:rFonts w:ascii="Sylfaen" w:eastAsiaTheme="majorEastAsia" w:hAnsi="Sylfaen" w:cs="Sylfaen"/>
        </w:rPr>
        <w:t>მანქანიდან</w:t>
      </w:r>
      <w:r w:rsidRPr="001352AB">
        <w:rPr>
          <w:rFonts w:eastAsiaTheme="majorEastAsia"/>
        </w:rPr>
        <w:t xml:space="preserve"> (</w:t>
      </w:r>
      <w:r w:rsidRPr="001352AB">
        <w:rPr>
          <w:rFonts w:ascii="Sylfaen" w:eastAsiaTheme="majorEastAsia" w:hAnsi="Sylfaen" w:cs="Sylfaen"/>
        </w:rPr>
        <w:t>თვითმცლელი</w:t>
      </w:r>
      <w:r w:rsidRPr="001352AB">
        <w:rPr>
          <w:rFonts w:eastAsiaTheme="majorEastAsia"/>
        </w:rPr>
        <w:t>) (</w:t>
      </w:r>
      <w:r w:rsidRPr="001352AB">
        <w:rPr>
          <w:rFonts w:ascii="Sylfaen" w:eastAsiaTheme="majorEastAsia" w:hAnsi="Sylfaen" w:cs="Sylfaen"/>
        </w:rPr>
        <w:t>გ</w:t>
      </w:r>
      <w:r w:rsidRPr="001352AB">
        <w:rPr>
          <w:rFonts w:eastAsiaTheme="majorEastAsia"/>
        </w:rPr>
        <w:t>-9)</w:t>
      </w:r>
      <w:bookmarkEnd w:id="268"/>
    </w:p>
    <w:p w14:paraId="5E43A6D1" w14:textId="77777777" w:rsidR="00CD64B5" w:rsidRPr="001352AB" w:rsidRDefault="00CD64B5" w:rsidP="00CD64B5">
      <w:pPr>
        <w:spacing w:before="120"/>
        <w:rPr>
          <w:rFonts w:eastAsiaTheme="minorEastAsia"/>
          <w:lang w:eastAsia="ru-RU"/>
        </w:rPr>
      </w:pPr>
      <w:r w:rsidRPr="001352AB">
        <w:rPr>
          <w:rFonts w:ascii="Sylfaen" w:hAnsi="Sylfaen" w:cs="Sylfaen"/>
        </w:rPr>
        <w:t>გათბობისას</w:t>
      </w:r>
      <w:r w:rsidRPr="001352AB">
        <w:t xml:space="preserve"> </w:t>
      </w:r>
      <w:r w:rsidRPr="001352AB">
        <w:rPr>
          <w:rFonts w:ascii="Sylfaen" w:hAnsi="Sylfaen" w:cs="Sylfaen"/>
        </w:rPr>
        <w:t>და</w:t>
      </w:r>
      <w:r w:rsidRPr="001352AB">
        <w:t xml:space="preserve"> </w:t>
      </w:r>
      <w:r w:rsidRPr="001352AB">
        <w:rPr>
          <w:rFonts w:ascii="Sylfaen" w:hAnsi="Sylfaen" w:cs="Sylfaen"/>
        </w:rPr>
        <w:t>მოძრაობისას</w:t>
      </w:r>
      <w:r w:rsidRPr="001352AB">
        <w:t xml:space="preserve"> </w:t>
      </w:r>
      <w:r w:rsidRPr="001352AB">
        <w:rPr>
          <w:rFonts w:ascii="Sylfaen" w:hAnsi="Sylfaen" w:cs="Sylfaen"/>
        </w:rPr>
        <w:t>ტერიტორიაზე</w:t>
      </w:r>
      <w:r w:rsidRPr="001352AB">
        <w:t xml:space="preserve">, </w:t>
      </w:r>
      <w:r w:rsidRPr="001352AB">
        <w:rPr>
          <w:rFonts w:ascii="Sylfaen" w:hAnsi="Sylfaen" w:cs="Sylfaen"/>
        </w:rPr>
        <w:t>აგრეთვე</w:t>
      </w:r>
      <w:r w:rsidRPr="001352AB">
        <w:t xml:space="preserve"> </w:t>
      </w:r>
      <w:r w:rsidRPr="001352AB">
        <w:rPr>
          <w:rFonts w:ascii="Sylfaen" w:hAnsi="Sylfaen" w:cs="Sylfaen"/>
        </w:rPr>
        <w:t>უქმი</w:t>
      </w:r>
      <w:r w:rsidRPr="001352AB">
        <w:t xml:space="preserve"> </w:t>
      </w:r>
      <w:r w:rsidRPr="001352AB">
        <w:rPr>
          <w:rFonts w:ascii="Sylfaen" w:hAnsi="Sylfaen" w:cs="Sylfaen"/>
        </w:rPr>
        <w:t>სვლის</w:t>
      </w:r>
      <w:r w:rsidRPr="001352AB">
        <w:t xml:space="preserve"> </w:t>
      </w:r>
      <w:r w:rsidRPr="001352AB">
        <w:rPr>
          <w:rFonts w:ascii="Sylfaen" w:hAnsi="Sylfaen" w:cs="Sylfaen"/>
        </w:rPr>
        <w:t>რეჟიმში</w:t>
      </w:r>
      <w:r w:rsidRPr="001352AB">
        <w:t xml:space="preserve"> </w:t>
      </w:r>
      <w:r w:rsidRPr="001352AB">
        <w:rPr>
          <w:rFonts w:ascii="Sylfaen" w:hAnsi="Sylfaen" w:cs="Sylfaen"/>
        </w:rPr>
        <w:t>მუშაობისას</w:t>
      </w:r>
      <w:r w:rsidRPr="001352AB">
        <w:t xml:space="preserve">. </w:t>
      </w:r>
      <w:r w:rsidRPr="001352AB">
        <w:rPr>
          <w:rFonts w:ascii="Sylfaen" w:hAnsi="Sylfaen" w:cs="Sylfaen"/>
        </w:rPr>
        <w:t>გაანგარიშება</w:t>
      </w:r>
      <w:r w:rsidRPr="001352AB">
        <w:t xml:space="preserve"> </w:t>
      </w:r>
      <w:r w:rsidRPr="001352AB">
        <w:rPr>
          <w:rFonts w:ascii="Sylfaen" w:hAnsi="Sylfaen" w:cs="Sylfaen"/>
        </w:rPr>
        <w:t>შესრულებულია</w:t>
      </w:r>
      <w:r w:rsidRPr="001352AB">
        <w:t xml:space="preserve"> </w:t>
      </w:r>
      <w:r w:rsidRPr="001352AB">
        <w:rPr>
          <w:rFonts w:ascii="Sylfaen" w:hAnsi="Sylfaen" w:cs="Sylfaen"/>
        </w:rPr>
        <w:t>შემდეგი</w:t>
      </w:r>
      <w:r w:rsidRPr="001352AB">
        <w:t xml:space="preserve"> </w:t>
      </w:r>
      <w:r w:rsidRPr="001352AB">
        <w:rPr>
          <w:rFonts w:ascii="Sylfaen" w:hAnsi="Sylfaen" w:cs="Sylfaen"/>
        </w:rPr>
        <w:t>მეთოდური</w:t>
      </w:r>
      <w:r w:rsidRPr="001352AB">
        <w:t xml:space="preserve"> </w:t>
      </w:r>
      <w:r w:rsidRPr="001352AB">
        <w:rPr>
          <w:rFonts w:ascii="Sylfaen" w:hAnsi="Sylfaen" w:cs="Sylfaen"/>
        </w:rPr>
        <w:t>მითითებების</w:t>
      </w:r>
      <w:r w:rsidRPr="001352AB">
        <w:t xml:space="preserve"> </w:t>
      </w:r>
      <w:r w:rsidRPr="001352AB">
        <w:rPr>
          <w:rFonts w:ascii="Sylfaen" w:hAnsi="Sylfaen" w:cs="Sylfaen"/>
        </w:rPr>
        <w:t>თანახმად</w:t>
      </w:r>
      <w:r w:rsidRPr="001352AB">
        <w:t xml:space="preserve">. </w:t>
      </w: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რაოდენობრივი</w:t>
      </w:r>
      <w:r w:rsidRPr="001352AB">
        <w:t xml:space="preserve"> </w:t>
      </w:r>
      <w:r w:rsidRPr="001352AB">
        <w:rPr>
          <w:rFonts w:ascii="Sylfaen" w:hAnsi="Sylfaen" w:cs="Sylfaen"/>
        </w:rPr>
        <w:t>და</w:t>
      </w:r>
      <w:r w:rsidRPr="001352AB">
        <w:t xml:space="preserve"> </w:t>
      </w:r>
      <w:r w:rsidRPr="001352AB">
        <w:rPr>
          <w:rFonts w:ascii="Sylfaen" w:hAnsi="Sylfaen" w:cs="Sylfaen"/>
        </w:rPr>
        <w:t>თვისობრივი</w:t>
      </w:r>
      <w:r w:rsidRPr="001352AB">
        <w:t xml:space="preserve"> </w:t>
      </w:r>
      <w:r w:rsidRPr="001352AB">
        <w:rPr>
          <w:rFonts w:ascii="Sylfaen" w:hAnsi="Sylfaen" w:cs="Sylfaen"/>
        </w:rPr>
        <w:t>მახასიათებლები</w:t>
      </w:r>
      <w:r w:rsidRPr="001352AB">
        <w:t xml:space="preserve"> </w:t>
      </w:r>
      <w:r w:rsidRPr="001352AB">
        <w:rPr>
          <w:rFonts w:ascii="Sylfaen" w:hAnsi="Sylfaen" w:cs="Sylfaen"/>
        </w:rPr>
        <w:t>ავტოდამტვირთველიდან</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ცხრილში</w:t>
      </w:r>
      <w:r w:rsidRPr="001352AB">
        <w:t xml:space="preserve"> 7.1-14.</w:t>
      </w:r>
    </w:p>
    <w:p w14:paraId="64639171" w14:textId="77777777" w:rsidR="00CD64B5" w:rsidRPr="001352AB" w:rsidRDefault="00CD64B5" w:rsidP="00CD64B5">
      <w:pPr>
        <w:spacing w:before="120"/>
        <w:rPr>
          <w:rFonts w:eastAsiaTheme="majorEastAsia"/>
          <w:lang w:eastAsia="en-US"/>
        </w:rPr>
      </w:pPr>
      <w:bookmarkStart w:id="269" w:name="_Toc436594175"/>
      <w:r w:rsidRPr="001352AB">
        <w:rPr>
          <w:rFonts w:ascii="Sylfaen" w:hAnsi="Sylfaen" w:cs="Sylfaen"/>
        </w:rPr>
        <w:t>ცხრილი</w:t>
      </w:r>
      <w:r w:rsidRPr="001352AB">
        <w:t xml:space="preserve"> 7.1-14.</w:t>
      </w:r>
      <w:r w:rsidRPr="001352AB">
        <w:tab/>
      </w: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რაოდენობრივი</w:t>
      </w:r>
      <w:r w:rsidRPr="001352AB">
        <w:t xml:space="preserve"> </w:t>
      </w:r>
      <w:r w:rsidRPr="001352AB">
        <w:rPr>
          <w:rFonts w:ascii="Sylfaen" w:hAnsi="Sylfaen" w:cs="Sylfaen"/>
        </w:rPr>
        <w:t>და</w:t>
      </w:r>
      <w:r w:rsidRPr="001352AB">
        <w:t xml:space="preserve"> </w:t>
      </w:r>
      <w:r w:rsidRPr="001352AB">
        <w:rPr>
          <w:rFonts w:ascii="Sylfaen" w:hAnsi="Sylfaen" w:cs="Sylfaen"/>
        </w:rPr>
        <w:t>თვისობრივი</w:t>
      </w:r>
      <w:r w:rsidRPr="001352AB">
        <w:t xml:space="preserve"> </w:t>
      </w:r>
      <w:r w:rsidRPr="001352AB">
        <w:rPr>
          <w:rFonts w:ascii="Sylfaen" w:hAnsi="Sylfaen" w:cs="Sylfaen"/>
        </w:rPr>
        <w:t>მახასიათებლები</w:t>
      </w:r>
      <w:r w:rsidRPr="001352AB">
        <w:t xml:space="preserve"> </w:t>
      </w:r>
      <w:r w:rsidRPr="001352AB">
        <w:rPr>
          <w:rFonts w:ascii="Sylfaen" w:hAnsi="Sylfaen" w:cs="Sylfaen"/>
        </w:rPr>
        <w:t>ავტოტრანსპორტიდან</w:t>
      </w:r>
      <w:bookmarkEnd w:id="269"/>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91"/>
        <w:gridCol w:w="4747"/>
        <w:gridCol w:w="2374"/>
        <w:gridCol w:w="2371"/>
      </w:tblGrid>
      <w:tr w:rsidR="00CD64B5" w:rsidRPr="001352AB" w14:paraId="44926C51" w14:textId="77777777" w:rsidTr="00CD64B5">
        <w:trPr>
          <w:cantSplit/>
          <w:trHeight w:val="262"/>
          <w:tblHeader/>
          <w:jc w:val="center"/>
        </w:trPr>
        <w:tc>
          <w:tcPr>
            <w:tcW w:w="2715" w:type="pct"/>
            <w:gridSpan w:val="2"/>
            <w:tcBorders>
              <w:top w:val="single" w:sz="8" w:space="0" w:color="auto"/>
              <w:left w:val="single" w:sz="6" w:space="0" w:color="auto"/>
              <w:bottom w:val="single" w:sz="8" w:space="0" w:color="auto"/>
              <w:right w:val="single" w:sz="4" w:space="0" w:color="000000"/>
            </w:tcBorders>
            <w:shd w:val="clear" w:color="auto" w:fill="D9D9D9"/>
            <w:vAlign w:val="center"/>
            <w:hideMark/>
          </w:tcPr>
          <w:p w14:paraId="5ACF7D02" w14:textId="77777777" w:rsidR="00CD64B5" w:rsidRPr="001352AB" w:rsidRDefault="00CD64B5" w:rsidP="00CD64B5">
            <w:pPr>
              <w:rPr>
                <w:lang w:eastAsia="ru-RU"/>
              </w:rPr>
            </w:pPr>
            <w:r w:rsidRPr="001352AB">
              <w:rPr>
                <w:rFonts w:ascii="Sylfaen" w:hAnsi="Sylfaen" w:cs="Sylfaen"/>
              </w:rPr>
              <w:lastRenderedPageBreak/>
              <w:t>დამაბინძურებელი</w:t>
            </w:r>
            <w:r w:rsidRPr="001352AB">
              <w:t xml:space="preserve"> </w:t>
            </w:r>
            <w:r w:rsidRPr="001352AB">
              <w:rPr>
                <w:rFonts w:ascii="Sylfaen" w:hAnsi="Sylfaen" w:cs="Sylfaen"/>
              </w:rPr>
              <w:t>ნივთიერება</w:t>
            </w:r>
          </w:p>
        </w:tc>
        <w:tc>
          <w:tcPr>
            <w:tcW w:w="1143" w:type="pct"/>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14:paraId="64FB9136" w14:textId="77777777" w:rsidR="00CD64B5" w:rsidRPr="001352AB" w:rsidRDefault="00CD64B5" w:rsidP="00CD64B5">
            <w:r w:rsidRPr="001352AB">
              <w:rPr>
                <w:rFonts w:ascii="Sylfaen" w:hAnsi="Sylfaen" w:cs="Sylfaen"/>
              </w:rPr>
              <w:t>მაქსიმალური</w:t>
            </w:r>
            <w:r w:rsidRPr="001352AB">
              <w:t xml:space="preserve"> </w:t>
            </w:r>
            <w:r w:rsidRPr="001352AB">
              <w:rPr>
                <w:rFonts w:ascii="Sylfaen" w:hAnsi="Sylfaen" w:cs="Sylfaen"/>
              </w:rPr>
              <w:t>ემისია</w:t>
            </w:r>
            <w:r w:rsidRPr="001352AB">
              <w:t xml:space="preserve">, </w:t>
            </w:r>
            <w:r w:rsidRPr="001352AB">
              <w:rPr>
                <w:rFonts w:ascii="Sylfaen" w:hAnsi="Sylfaen" w:cs="Sylfaen"/>
              </w:rPr>
              <w:t>გ</w:t>
            </w:r>
            <w:r w:rsidRPr="001352AB">
              <w:t>/</w:t>
            </w:r>
            <w:r w:rsidRPr="001352AB">
              <w:rPr>
                <w:rFonts w:ascii="Sylfaen" w:hAnsi="Sylfaen" w:cs="Sylfaen"/>
              </w:rPr>
              <w:t>წმ</w:t>
            </w:r>
          </w:p>
        </w:tc>
        <w:tc>
          <w:tcPr>
            <w:tcW w:w="1142" w:type="pct"/>
            <w:vMerge w:val="restart"/>
            <w:tcBorders>
              <w:top w:val="single" w:sz="8" w:space="0" w:color="auto"/>
              <w:left w:val="single" w:sz="4" w:space="0" w:color="000000"/>
              <w:bottom w:val="single" w:sz="8" w:space="0" w:color="auto"/>
              <w:right w:val="single" w:sz="6" w:space="0" w:color="auto"/>
            </w:tcBorders>
            <w:shd w:val="clear" w:color="auto" w:fill="D9D9D9"/>
            <w:vAlign w:val="center"/>
            <w:hideMark/>
          </w:tcPr>
          <w:p w14:paraId="21FEBC81" w14:textId="77777777" w:rsidR="00CD64B5" w:rsidRPr="001352AB" w:rsidRDefault="00CD64B5" w:rsidP="00CD64B5">
            <w:r w:rsidRPr="001352AB">
              <w:rPr>
                <w:rFonts w:ascii="Sylfaen" w:hAnsi="Sylfaen" w:cs="Sylfaen"/>
              </w:rPr>
              <w:t>წლიური</w:t>
            </w:r>
            <w:r w:rsidRPr="001352AB">
              <w:t xml:space="preserve"> </w:t>
            </w:r>
            <w:r w:rsidRPr="001352AB">
              <w:rPr>
                <w:rFonts w:ascii="Sylfaen" w:hAnsi="Sylfaen" w:cs="Sylfaen"/>
              </w:rPr>
              <w:t>ემისია</w:t>
            </w:r>
            <w:r w:rsidRPr="001352AB">
              <w:t xml:space="preserve">, </w:t>
            </w:r>
            <w:r w:rsidRPr="001352AB">
              <w:rPr>
                <w:rFonts w:ascii="Sylfaen" w:hAnsi="Sylfaen" w:cs="Sylfaen"/>
              </w:rPr>
              <w:t>ტ</w:t>
            </w:r>
            <w:r w:rsidRPr="001352AB">
              <w:t>/</w:t>
            </w:r>
            <w:r w:rsidRPr="001352AB">
              <w:rPr>
                <w:rFonts w:ascii="Sylfaen" w:hAnsi="Sylfaen" w:cs="Sylfaen"/>
              </w:rPr>
              <w:t>წელ</w:t>
            </w:r>
          </w:p>
        </w:tc>
      </w:tr>
      <w:tr w:rsidR="00CD64B5" w:rsidRPr="001352AB" w14:paraId="38B98F9C" w14:textId="77777777" w:rsidTr="00CD64B5">
        <w:trPr>
          <w:cantSplit/>
          <w:trHeight w:val="280"/>
          <w:tblHeader/>
          <w:jc w:val="center"/>
        </w:trPr>
        <w:tc>
          <w:tcPr>
            <w:tcW w:w="429" w:type="pct"/>
            <w:tcBorders>
              <w:top w:val="single" w:sz="8" w:space="0" w:color="auto"/>
              <w:left w:val="single" w:sz="6" w:space="0" w:color="auto"/>
              <w:bottom w:val="single" w:sz="4" w:space="0" w:color="000000"/>
              <w:right w:val="single" w:sz="4" w:space="0" w:color="000000"/>
            </w:tcBorders>
            <w:shd w:val="clear" w:color="auto" w:fill="D9D9D9"/>
            <w:vAlign w:val="center"/>
            <w:hideMark/>
          </w:tcPr>
          <w:p w14:paraId="405235E5" w14:textId="77777777" w:rsidR="00CD64B5" w:rsidRPr="001352AB" w:rsidRDefault="00CD64B5" w:rsidP="00CD64B5">
            <w:r w:rsidRPr="001352AB">
              <w:rPr>
                <w:rFonts w:ascii="Sylfaen" w:hAnsi="Sylfaen" w:cs="Sylfaen"/>
              </w:rPr>
              <w:t>კოდი</w:t>
            </w:r>
          </w:p>
        </w:tc>
        <w:tc>
          <w:tcPr>
            <w:tcW w:w="2286" w:type="pct"/>
            <w:tcBorders>
              <w:top w:val="single" w:sz="8" w:space="0" w:color="auto"/>
              <w:left w:val="single" w:sz="4" w:space="0" w:color="000000"/>
              <w:bottom w:val="single" w:sz="4" w:space="0" w:color="000000"/>
              <w:right w:val="single" w:sz="6" w:space="0" w:color="auto"/>
            </w:tcBorders>
            <w:shd w:val="clear" w:color="auto" w:fill="D9D9D9"/>
            <w:vAlign w:val="center"/>
            <w:hideMark/>
          </w:tcPr>
          <w:p w14:paraId="2CEA5D32" w14:textId="77777777" w:rsidR="00CD64B5" w:rsidRPr="001352AB" w:rsidRDefault="00CD64B5" w:rsidP="00CD64B5">
            <w:r w:rsidRPr="001352AB">
              <w:rPr>
                <w:rFonts w:ascii="Sylfaen" w:hAnsi="Sylfaen" w:cs="Sylfaen"/>
              </w:rPr>
              <w:t>დასახელება</w:t>
            </w:r>
          </w:p>
        </w:tc>
        <w:tc>
          <w:tcPr>
            <w:tcW w:w="0" w:type="auto"/>
            <w:vMerge/>
            <w:tcBorders>
              <w:top w:val="single" w:sz="8" w:space="0" w:color="auto"/>
              <w:left w:val="single" w:sz="4" w:space="0" w:color="000000"/>
              <w:bottom w:val="single" w:sz="8" w:space="0" w:color="auto"/>
              <w:right w:val="single" w:sz="4" w:space="0" w:color="000000"/>
            </w:tcBorders>
            <w:vAlign w:val="center"/>
            <w:hideMark/>
          </w:tcPr>
          <w:p w14:paraId="36061A2F" w14:textId="77777777" w:rsidR="00CD64B5" w:rsidRPr="001352AB" w:rsidRDefault="00CD64B5" w:rsidP="00CD64B5">
            <w:pPr>
              <w:rPr>
                <w:rFonts w:eastAsiaTheme="minorHAnsi"/>
              </w:rPr>
            </w:pPr>
          </w:p>
        </w:tc>
        <w:tc>
          <w:tcPr>
            <w:tcW w:w="0" w:type="auto"/>
            <w:vMerge/>
            <w:tcBorders>
              <w:top w:val="single" w:sz="8" w:space="0" w:color="auto"/>
              <w:left w:val="single" w:sz="4" w:space="0" w:color="000000"/>
              <w:bottom w:val="single" w:sz="8" w:space="0" w:color="auto"/>
              <w:right w:val="single" w:sz="6" w:space="0" w:color="auto"/>
            </w:tcBorders>
            <w:vAlign w:val="center"/>
            <w:hideMark/>
          </w:tcPr>
          <w:p w14:paraId="232760CE" w14:textId="77777777" w:rsidR="00CD64B5" w:rsidRPr="001352AB" w:rsidRDefault="00CD64B5" w:rsidP="00CD64B5">
            <w:pPr>
              <w:rPr>
                <w:rFonts w:eastAsiaTheme="minorHAnsi"/>
              </w:rPr>
            </w:pPr>
          </w:p>
        </w:tc>
      </w:tr>
      <w:tr w:rsidR="00CD64B5" w:rsidRPr="001352AB" w14:paraId="278DB97D" w14:textId="77777777" w:rsidTr="00CD64B5">
        <w:trPr>
          <w:trHeight w:val="214"/>
          <w:jc w:val="center"/>
        </w:trPr>
        <w:tc>
          <w:tcPr>
            <w:tcW w:w="429" w:type="pct"/>
            <w:tcBorders>
              <w:top w:val="single" w:sz="4" w:space="0" w:color="000000"/>
              <w:left w:val="single" w:sz="6" w:space="0" w:color="auto"/>
              <w:bottom w:val="single" w:sz="4" w:space="0" w:color="000000"/>
              <w:right w:val="single" w:sz="4" w:space="0" w:color="000000"/>
            </w:tcBorders>
            <w:vAlign w:val="center"/>
            <w:hideMark/>
          </w:tcPr>
          <w:p w14:paraId="41C7262B" w14:textId="77777777" w:rsidR="00CD64B5" w:rsidRPr="001352AB" w:rsidRDefault="00CD64B5" w:rsidP="00CD64B5">
            <w:r w:rsidRPr="001352AB">
              <w:t>301</w:t>
            </w:r>
          </w:p>
        </w:tc>
        <w:tc>
          <w:tcPr>
            <w:tcW w:w="2286" w:type="pct"/>
            <w:tcBorders>
              <w:top w:val="single" w:sz="4" w:space="0" w:color="000000"/>
              <w:left w:val="single" w:sz="4" w:space="0" w:color="000000"/>
              <w:bottom w:val="single" w:sz="4" w:space="0" w:color="000000"/>
              <w:right w:val="single" w:sz="4" w:space="0" w:color="000000"/>
            </w:tcBorders>
            <w:vAlign w:val="center"/>
            <w:hideMark/>
          </w:tcPr>
          <w:p w14:paraId="101018F0" w14:textId="77777777" w:rsidR="00CD64B5" w:rsidRPr="001352AB" w:rsidRDefault="00CD64B5" w:rsidP="00CD64B5">
            <w:r w:rsidRPr="001352AB">
              <w:rPr>
                <w:rFonts w:ascii="Sylfaen" w:hAnsi="Sylfaen" w:cs="Sylfaen"/>
              </w:rPr>
              <w:t>აზოტის</w:t>
            </w:r>
            <w:r w:rsidRPr="001352AB">
              <w:t xml:space="preserve"> </w:t>
            </w:r>
            <w:r w:rsidRPr="001352AB">
              <w:rPr>
                <w:rFonts w:ascii="Sylfaen" w:hAnsi="Sylfaen" w:cs="Sylfaen"/>
              </w:rPr>
              <w:t>დიოქსიდი</w:t>
            </w:r>
            <w:r w:rsidRPr="001352AB">
              <w:t xml:space="preserve"> (</w:t>
            </w:r>
            <w:r w:rsidRPr="001352AB">
              <w:rPr>
                <w:rFonts w:ascii="Sylfaen" w:hAnsi="Sylfaen" w:cs="Sylfaen"/>
              </w:rPr>
              <w:t>აზოტის</w:t>
            </w:r>
            <w:r w:rsidRPr="001352AB">
              <w:t xml:space="preserve"> (IV) </w:t>
            </w:r>
            <w:r w:rsidRPr="001352AB">
              <w:rPr>
                <w:rFonts w:ascii="Sylfaen" w:hAnsi="Sylfaen" w:cs="Sylfaen"/>
              </w:rPr>
              <w:t>ოქსიდი</w:t>
            </w:r>
            <w:r w:rsidRPr="001352AB">
              <w:t>)</w:t>
            </w:r>
          </w:p>
        </w:tc>
        <w:tc>
          <w:tcPr>
            <w:tcW w:w="1143" w:type="pct"/>
            <w:tcBorders>
              <w:top w:val="single" w:sz="4" w:space="0" w:color="000000"/>
              <w:left w:val="single" w:sz="4" w:space="0" w:color="000000"/>
              <w:bottom w:val="single" w:sz="4" w:space="0" w:color="000000"/>
              <w:right w:val="single" w:sz="4" w:space="0" w:color="000000"/>
            </w:tcBorders>
            <w:vAlign w:val="center"/>
            <w:hideMark/>
          </w:tcPr>
          <w:p w14:paraId="54997672" w14:textId="77777777" w:rsidR="00CD64B5" w:rsidRPr="001352AB" w:rsidRDefault="00CD64B5" w:rsidP="00CD64B5">
            <w:pPr>
              <w:rPr>
                <w:lang w:eastAsia="en-US"/>
              </w:rPr>
            </w:pPr>
            <w:r w:rsidRPr="001352AB">
              <w:rPr>
                <w:rFonts w:eastAsiaTheme="minorEastAsia"/>
              </w:rPr>
              <w:t>0,0032889</w:t>
            </w:r>
          </w:p>
        </w:tc>
        <w:tc>
          <w:tcPr>
            <w:tcW w:w="1142" w:type="pct"/>
            <w:tcBorders>
              <w:top w:val="single" w:sz="4" w:space="0" w:color="000000"/>
              <w:left w:val="single" w:sz="4" w:space="0" w:color="000000"/>
              <w:bottom w:val="single" w:sz="4" w:space="0" w:color="000000"/>
              <w:right w:val="single" w:sz="6" w:space="0" w:color="auto"/>
            </w:tcBorders>
            <w:vAlign w:val="center"/>
            <w:hideMark/>
          </w:tcPr>
          <w:p w14:paraId="1E61C34A" w14:textId="77777777" w:rsidR="00CD64B5" w:rsidRPr="001352AB" w:rsidRDefault="00CD64B5" w:rsidP="00CD64B5">
            <w:r w:rsidRPr="001352AB">
              <w:rPr>
                <w:rFonts w:eastAsiaTheme="minorEastAsia"/>
              </w:rPr>
              <w:t>0,0086669</w:t>
            </w:r>
          </w:p>
        </w:tc>
      </w:tr>
      <w:tr w:rsidR="00CD64B5" w:rsidRPr="001352AB" w14:paraId="1A94875A" w14:textId="77777777" w:rsidTr="00CD64B5">
        <w:trPr>
          <w:trHeight w:val="280"/>
          <w:jc w:val="center"/>
        </w:trPr>
        <w:tc>
          <w:tcPr>
            <w:tcW w:w="429" w:type="pct"/>
            <w:tcBorders>
              <w:top w:val="single" w:sz="4" w:space="0" w:color="000000"/>
              <w:left w:val="single" w:sz="6" w:space="0" w:color="auto"/>
              <w:bottom w:val="single" w:sz="4" w:space="0" w:color="000000"/>
              <w:right w:val="single" w:sz="4" w:space="0" w:color="000000"/>
            </w:tcBorders>
            <w:vAlign w:val="center"/>
            <w:hideMark/>
          </w:tcPr>
          <w:p w14:paraId="0311AE74" w14:textId="77777777" w:rsidR="00CD64B5" w:rsidRPr="001352AB" w:rsidRDefault="00CD64B5" w:rsidP="00CD64B5">
            <w:pPr>
              <w:rPr>
                <w:rFonts w:eastAsiaTheme="minorEastAsia"/>
                <w:lang w:eastAsia="ru-RU"/>
              </w:rPr>
            </w:pPr>
            <w:r w:rsidRPr="001352AB">
              <w:t>304</w:t>
            </w:r>
          </w:p>
        </w:tc>
        <w:tc>
          <w:tcPr>
            <w:tcW w:w="2286" w:type="pct"/>
            <w:tcBorders>
              <w:top w:val="single" w:sz="4" w:space="0" w:color="000000"/>
              <w:left w:val="single" w:sz="4" w:space="0" w:color="000000"/>
              <w:bottom w:val="single" w:sz="4" w:space="0" w:color="000000"/>
              <w:right w:val="single" w:sz="4" w:space="0" w:color="000000"/>
            </w:tcBorders>
            <w:vAlign w:val="center"/>
            <w:hideMark/>
          </w:tcPr>
          <w:p w14:paraId="585E5AE7" w14:textId="77777777" w:rsidR="00CD64B5" w:rsidRPr="001352AB" w:rsidRDefault="00CD64B5" w:rsidP="00CD64B5">
            <w:pPr>
              <w:rPr>
                <w:rFonts w:eastAsiaTheme="minorEastAsia"/>
              </w:rPr>
            </w:pPr>
            <w:r w:rsidRPr="001352AB">
              <w:rPr>
                <w:rFonts w:ascii="Sylfaen" w:hAnsi="Sylfaen" w:cs="Sylfaen"/>
              </w:rPr>
              <w:t>აზოტის</w:t>
            </w:r>
            <w:r w:rsidRPr="001352AB">
              <w:t xml:space="preserve"> (II) </w:t>
            </w:r>
            <w:r w:rsidRPr="001352AB">
              <w:rPr>
                <w:rFonts w:ascii="Sylfaen" w:hAnsi="Sylfaen" w:cs="Sylfaen"/>
              </w:rPr>
              <w:t>ოქსიდი</w:t>
            </w:r>
          </w:p>
        </w:tc>
        <w:tc>
          <w:tcPr>
            <w:tcW w:w="1143" w:type="pct"/>
            <w:tcBorders>
              <w:top w:val="single" w:sz="4" w:space="0" w:color="000000"/>
              <w:left w:val="single" w:sz="4" w:space="0" w:color="000000"/>
              <w:bottom w:val="single" w:sz="4" w:space="0" w:color="000000"/>
              <w:right w:val="single" w:sz="4" w:space="0" w:color="000000"/>
            </w:tcBorders>
            <w:vAlign w:val="center"/>
            <w:hideMark/>
          </w:tcPr>
          <w:p w14:paraId="36D223B1" w14:textId="77777777" w:rsidR="00CD64B5" w:rsidRPr="001352AB" w:rsidRDefault="00CD64B5" w:rsidP="00CD64B5">
            <w:pPr>
              <w:rPr>
                <w:lang w:eastAsia="en-US"/>
              </w:rPr>
            </w:pPr>
            <w:r w:rsidRPr="001352AB">
              <w:rPr>
                <w:rFonts w:eastAsiaTheme="minorEastAsia"/>
              </w:rPr>
              <w:t>0,0005344</w:t>
            </w:r>
          </w:p>
        </w:tc>
        <w:tc>
          <w:tcPr>
            <w:tcW w:w="1142" w:type="pct"/>
            <w:tcBorders>
              <w:top w:val="single" w:sz="4" w:space="0" w:color="000000"/>
              <w:left w:val="single" w:sz="4" w:space="0" w:color="000000"/>
              <w:bottom w:val="single" w:sz="4" w:space="0" w:color="000000"/>
              <w:right w:val="single" w:sz="6" w:space="0" w:color="auto"/>
            </w:tcBorders>
            <w:vAlign w:val="center"/>
            <w:hideMark/>
          </w:tcPr>
          <w:p w14:paraId="36B00AA1" w14:textId="77777777" w:rsidR="00CD64B5" w:rsidRPr="001352AB" w:rsidRDefault="00CD64B5" w:rsidP="00CD64B5">
            <w:r w:rsidRPr="001352AB">
              <w:rPr>
                <w:rFonts w:eastAsiaTheme="minorEastAsia"/>
              </w:rPr>
              <w:t>0,0014084</w:t>
            </w:r>
          </w:p>
        </w:tc>
      </w:tr>
      <w:tr w:rsidR="00CD64B5" w:rsidRPr="001352AB" w14:paraId="00FD30F9" w14:textId="77777777" w:rsidTr="00CD64B5">
        <w:trPr>
          <w:trHeight w:val="262"/>
          <w:jc w:val="center"/>
        </w:trPr>
        <w:tc>
          <w:tcPr>
            <w:tcW w:w="429" w:type="pct"/>
            <w:tcBorders>
              <w:top w:val="single" w:sz="4" w:space="0" w:color="000000"/>
              <w:left w:val="single" w:sz="6" w:space="0" w:color="auto"/>
              <w:bottom w:val="single" w:sz="4" w:space="0" w:color="000000"/>
              <w:right w:val="single" w:sz="4" w:space="0" w:color="000000"/>
            </w:tcBorders>
            <w:vAlign w:val="center"/>
            <w:hideMark/>
          </w:tcPr>
          <w:p w14:paraId="4F193866" w14:textId="77777777" w:rsidR="00CD64B5" w:rsidRPr="001352AB" w:rsidRDefault="00CD64B5" w:rsidP="00CD64B5">
            <w:pPr>
              <w:rPr>
                <w:rFonts w:eastAsiaTheme="minorEastAsia"/>
                <w:lang w:eastAsia="ru-RU"/>
              </w:rPr>
            </w:pPr>
            <w:r w:rsidRPr="001352AB">
              <w:t>328</w:t>
            </w:r>
          </w:p>
        </w:tc>
        <w:tc>
          <w:tcPr>
            <w:tcW w:w="2286" w:type="pct"/>
            <w:tcBorders>
              <w:top w:val="single" w:sz="4" w:space="0" w:color="000000"/>
              <w:left w:val="single" w:sz="4" w:space="0" w:color="000000"/>
              <w:bottom w:val="single" w:sz="4" w:space="0" w:color="000000"/>
              <w:right w:val="single" w:sz="4" w:space="0" w:color="000000"/>
            </w:tcBorders>
            <w:vAlign w:val="center"/>
            <w:hideMark/>
          </w:tcPr>
          <w:p w14:paraId="15957D72" w14:textId="77777777" w:rsidR="00CD64B5" w:rsidRPr="001352AB" w:rsidRDefault="00CD64B5" w:rsidP="00CD64B5">
            <w:pPr>
              <w:rPr>
                <w:rFonts w:eastAsiaTheme="minorEastAsia"/>
              </w:rPr>
            </w:pPr>
            <w:r w:rsidRPr="001352AB">
              <w:rPr>
                <w:rFonts w:ascii="Sylfaen" w:hAnsi="Sylfaen" w:cs="Sylfaen"/>
              </w:rPr>
              <w:t>ჭვარტლი</w:t>
            </w:r>
          </w:p>
        </w:tc>
        <w:tc>
          <w:tcPr>
            <w:tcW w:w="1143" w:type="pct"/>
            <w:tcBorders>
              <w:top w:val="single" w:sz="4" w:space="0" w:color="000000"/>
              <w:left w:val="single" w:sz="4" w:space="0" w:color="000000"/>
              <w:bottom w:val="single" w:sz="4" w:space="0" w:color="000000"/>
              <w:right w:val="single" w:sz="4" w:space="0" w:color="000000"/>
            </w:tcBorders>
            <w:vAlign w:val="center"/>
            <w:hideMark/>
          </w:tcPr>
          <w:p w14:paraId="22FA3078" w14:textId="77777777" w:rsidR="00CD64B5" w:rsidRPr="001352AB" w:rsidRDefault="00CD64B5" w:rsidP="00CD64B5">
            <w:pPr>
              <w:rPr>
                <w:lang w:eastAsia="en-US"/>
              </w:rPr>
            </w:pPr>
            <w:r w:rsidRPr="001352AB">
              <w:rPr>
                <w:rFonts w:eastAsiaTheme="minorEastAsia"/>
              </w:rPr>
              <w:t>0,0001583</w:t>
            </w:r>
          </w:p>
        </w:tc>
        <w:tc>
          <w:tcPr>
            <w:tcW w:w="1142" w:type="pct"/>
            <w:tcBorders>
              <w:top w:val="single" w:sz="4" w:space="0" w:color="000000"/>
              <w:left w:val="single" w:sz="4" w:space="0" w:color="000000"/>
              <w:bottom w:val="single" w:sz="4" w:space="0" w:color="000000"/>
              <w:right w:val="single" w:sz="6" w:space="0" w:color="auto"/>
            </w:tcBorders>
            <w:vAlign w:val="center"/>
            <w:hideMark/>
          </w:tcPr>
          <w:p w14:paraId="73222BF4" w14:textId="77777777" w:rsidR="00CD64B5" w:rsidRPr="001352AB" w:rsidRDefault="00CD64B5" w:rsidP="00CD64B5">
            <w:r w:rsidRPr="001352AB">
              <w:rPr>
                <w:rFonts w:eastAsiaTheme="minorEastAsia"/>
              </w:rPr>
              <w:t>0,0004172</w:t>
            </w:r>
          </w:p>
        </w:tc>
      </w:tr>
      <w:tr w:rsidR="00CD64B5" w:rsidRPr="001352AB" w14:paraId="7E2D6875" w14:textId="77777777" w:rsidTr="00CD64B5">
        <w:trPr>
          <w:trHeight w:val="262"/>
          <w:jc w:val="center"/>
        </w:trPr>
        <w:tc>
          <w:tcPr>
            <w:tcW w:w="429" w:type="pct"/>
            <w:tcBorders>
              <w:top w:val="single" w:sz="4" w:space="0" w:color="000000"/>
              <w:left w:val="single" w:sz="6" w:space="0" w:color="auto"/>
              <w:bottom w:val="single" w:sz="4" w:space="0" w:color="000000"/>
              <w:right w:val="single" w:sz="4" w:space="0" w:color="000000"/>
            </w:tcBorders>
            <w:vAlign w:val="center"/>
            <w:hideMark/>
          </w:tcPr>
          <w:p w14:paraId="0C4C615B" w14:textId="77777777" w:rsidR="00CD64B5" w:rsidRPr="001352AB" w:rsidRDefault="00CD64B5" w:rsidP="00CD64B5">
            <w:pPr>
              <w:rPr>
                <w:rFonts w:eastAsiaTheme="minorEastAsia"/>
                <w:lang w:eastAsia="ru-RU"/>
              </w:rPr>
            </w:pPr>
            <w:r w:rsidRPr="001352AB">
              <w:t>330</w:t>
            </w:r>
          </w:p>
        </w:tc>
        <w:tc>
          <w:tcPr>
            <w:tcW w:w="2286" w:type="pct"/>
            <w:tcBorders>
              <w:top w:val="single" w:sz="4" w:space="0" w:color="000000"/>
              <w:left w:val="single" w:sz="4" w:space="0" w:color="000000"/>
              <w:bottom w:val="single" w:sz="4" w:space="0" w:color="000000"/>
              <w:right w:val="single" w:sz="4" w:space="0" w:color="000000"/>
            </w:tcBorders>
            <w:vAlign w:val="center"/>
            <w:hideMark/>
          </w:tcPr>
          <w:p w14:paraId="693F8991" w14:textId="77777777" w:rsidR="00CD64B5" w:rsidRPr="001352AB" w:rsidRDefault="00CD64B5" w:rsidP="00CD64B5">
            <w:pPr>
              <w:rPr>
                <w:rFonts w:eastAsiaTheme="minorEastAsia"/>
              </w:rPr>
            </w:pPr>
            <w:r w:rsidRPr="001352AB">
              <w:rPr>
                <w:rFonts w:ascii="Sylfaen" w:hAnsi="Sylfaen" w:cs="Sylfaen"/>
              </w:rPr>
              <w:t>გოგირდის</w:t>
            </w:r>
            <w:r w:rsidRPr="001352AB">
              <w:t xml:space="preserve"> </w:t>
            </w:r>
            <w:r w:rsidRPr="001352AB">
              <w:rPr>
                <w:rFonts w:ascii="Sylfaen" w:hAnsi="Sylfaen" w:cs="Sylfaen"/>
              </w:rPr>
              <w:t>დიოქსიდი</w:t>
            </w:r>
          </w:p>
        </w:tc>
        <w:tc>
          <w:tcPr>
            <w:tcW w:w="1143" w:type="pct"/>
            <w:tcBorders>
              <w:top w:val="single" w:sz="4" w:space="0" w:color="000000"/>
              <w:left w:val="single" w:sz="4" w:space="0" w:color="000000"/>
              <w:bottom w:val="single" w:sz="4" w:space="0" w:color="000000"/>
              <w:right w:val="single" w:sz="4" w:space="0" w:color="000000"/>
            </w:tcBorders>
            <w:vAlign w:val="center"/>
            <w:hideMark/>
          </w:tcPr>
          <w:p w14:paraId="458D7D25" w14:textId="77777777" w:rsidR="00CD64B5" w:rsidRPr="001352AB" w:rsidRDefault="00CD64B5" w:rsidP="00CD64B5">
            <w:pPr>
              <w:rPr>
                <w:lang w:eastAsia="en-US"/>
              </w:rPr>
            </w:pPr>
            <w:r w:rsidRPr="001352AB">
              <w:rPr>
                <w:rFonts w:eastAsiaTheme="minorEastAsia"/>
              </w:rPr>
              <w:t>0,0008333</w:t>
            </w:r>
          </w:p>
        </w:tc>
        <w:tc>
          <w:tcPr>
            <w:tcW w:w="1142" w:type="pct"/>
            <w:tcBorders>
              <w:top w:val="single" w:sz="4" w:space="0" w:color="000000"/>
              <w:left w:val="single" w:sz="4" w:space="0" w:color="000000"/>
              <w:bottom w:val="single" w:sz="4" w:space="0" w:color="000000"/>
              <w:right w:val="single" w:sz="6" w:space="0" w:color="auto"/>
            </w:tcBorders>
            <w:vAlign w:val="center"/>
            <w:hideMark/>
          </w:tcPr>
          <w:p w14:paraId="6006C12B" w14:textId="77777777" w:rsidR="00CD64B5" w:rsidRPr="001352AB" w:rsidRDefault="00CD64B5" w:rsidP="00CD64B5">
            <w:r w:rsidRPr="001352AB">
              <w:rPr>
                <w:rFonts w:eastAsiaTheme="minorEastAsia"/>
              </w:rPr>
              <w:t>0,002196</w:t>
            </w:r>
          </w:p>
        </w:tc>
      </w:tr>
      <w:tr w:rsidR="00CD64B5" w:rsidRPr="001352AB" w14:paraId="02E8F2A8" w14:textId="77777777" w:rsidTr="00CD64B5">
        <w:trPr>
          <w:trHeight w:val="280"/>
          <w:jc w:val="center"/>
        </w:trPr>
        <w:tc>
          <w:tcPr>
            <w:tcW w:w="429" w:type="pct"/>
            <w:tcBorders>
              <w:top w:val="single" w:sz="4" w:space="0" w:color="000000"/>
              <w:left w:val="single" w:sz="6" w:space="0" w:color="auto"/>
              <w:bottom w:val="single" w:sz="4" w:space="0" w:color="000000"/>
              <w:right w:val="single" w:sz="4" w:space="0" w:color="000000"/>
            </w:tcBorders>
            <w:vAlign w:val="center"/>
            <w:hideMark/>
          </w:tcPr>
          <w:p w14:paraId="2F0D488A" w14:textId="77777777" w:rsidR="00CD64B5" w:rsidRPr="001352AB" w:rsidRDefault="00CD64B5" w:rsidP="00CD64B5">
            <w:pPr>
              <w:rPr>
                <w:rFonts w:eastAsiaTheme="minorEastAsia"/>
                <w:lang w:eastAsia="ru-RU"/>
              </w:rPr>
            </w:pPr>
            <w:r w:rsidRPr="001352AB">
              <w:t>337</w:t>
            </w:r>
          </w:p>
        </w:tc>
        <w:tc>
          <w:tcPr>
            <w:tcW w:w="2286" w:type="pct"/>
            <w:tcBorders>
              <w:top w:val="single" w:sz="4" w:space="0" w:color="000000"/>
              <w:left w:val="single" w:sz="4" w:space="0" w:color="000000"/>
              <w:bottom w:val="single" w:sz="4" w:space="0" w:color="000000"/>
              <w:right w:val="single" w:sz="4" w:space="0" w:color="000000"/>
            </w:tcBorders>
            <w:vAlign w:val="center"/>
            <w:hideMark/>
          </w:tcPr>
          <w:p w14:paraId="2BA4AFAC" w14:textId="77777777" w:rsidR="00CD64B5" w:rsidRPr="001352AB" w:rsidRDefault="00CD64B5" w:rsidP="00CD64B5">
            <w:pPr>
              <w:rPr>
                <w:rFonts w:eastAsiaTheme="minorEastAsia"/>
              </w:rPr>
            </w:pPr>
            <w:r w:rsidRPr="001352AB">
              <w:rPr>
                <w:rFonts w:ascii="Sylfaen" w:hAnsi="Sylfaen" w:cs="Sylfaen"/>
              </w:rPr>
              <w:t>ნახშირბადის</w:t>
            </w:r>
            <w:r w:rsidRPr="001352AB">
              <w:t xml:space="preserve"> </w:t>
            </w:r>
            <w:r w:rsidRPr="001352AB">
              <w:rPr>
                <w:rFonts w:ascii="Sylfaen" w:hAnsi="Sylfaen" w:cs="Sylfaen"/>
              </w:rPr>
              <w:t>ოქსიდი</w:t>
            </w:r>
          </w:p>
        </w:tc>
        <w:tc>
          <w:tcPr>
            <w:tcW w:w="1143" w:type="pct"/>
            <w:tcBorders>
              <w:top w:val="single" w:sz="4" w:space="0" w:color="000000"/>
              <w:left w:val="single" w:sz="4" w:space="0" w:color="000000"/>
              <w:bottom w:val="single" w:sz="4" w:space="0" w:color="000000"/>
              <w:right w:val="single" w:sz="4" w:space="0" w:color="000000"/>
            </w:tcBorders>
            <w:vAlign w:val="center"/>
            <w:hideMark/>
          </w:tcPr>
          <w:p w14:paraId="67F435A5" w14:textId="77777777" w:rsidR="00CD64B5" w:rsidRPr="001352AB" w:rsidRDefault="00CD64B5" w:rsidP="00CD64B5">
            <w:pPr>
              <w:rPr>
                <w:lang w:eastAsia="en-US"/>
              </w:rPr>
            </w:pPr>
            <w:r w:rsidRPr="001352AB">
              <w:rPr>
                <w:rFonts w:eastAsiaTheme="minorEastAsia"/>
              </w:rPr>
              <w:t>0,0097778</w:t>
            </w:r>
          </w:p>
        </w:tc>
        <w:tc>
          <w:tcPr>
            <w:tcW w:w="1142" w:type="pct"/>
            <w:tcBorders>
              <w:top w:val="single" w:sz="4" w:space="0" w:color="000000"/>
              <w:left w:val="single" w:sz="4" w:space="0" w:color="000000"/>
              <w:bottom w:val="single" w:sz="4" w:space="0" w:color="000000"/>
              <w:right w:val="single" w:sz="6" w:space="0" w:color="auto"/>
            </w:tcBorders>
            <w:vAlign w:val="center"/>
            <w:hideMark/>
          </w:tcPr>
          <w:p w14:paraId="1EBAE4D1" w14:textId="77777777" w:rsidR="00CD64B5" w:rsidRPr="001352AB" w:rsidRDefault="00CD64B5" w:rsidP="00CD64B5">
            <w:r w:rsidRPr="001352AB">
              <w:rPr>
                <w:rFonts w:eastAsiaTheme="minorEastAsia"/>
              </w:rPr>
              <w:t>0,0257664</w:t>
            </w:r>
          </w:p>
        </w:tc>
      </w:tr>
      <w:tr w:rsidR="00CD64B5" w:rsidRPr="001352AB" w14:paraId="06A5ED45" w14:textId="77777777" w:rsidTr="00CD64B5">
        <w:trPr>
          <w:trHeight w:val="262"/>
          <w:jc w:val="center"/>
        </w:trPr>
        <w:tc>
          <w:tcPr>
            <w:tcW w:w="429" w:type="pct"/>
            <w:tcBorders>
              <w:top w:val="single" w:sz="4" w:space="0" w:color="000000"/>
              <w:left w:val="single" w:sz="6" w:space="0" w:color="auto"/>
              <w:bottom w:val="single" w:sz="8" w:space="0" w:color="auto"/>
              <w:right w:val="single" w:sz="4" w:space="0" w:color="000000"/>
            </w:tcBorders>
            <w:vAlign w:val="center"/>
            <w:hideMark/>
          </w:tcPr>
          <w:p w14:paraId="3DB1CA82" w14:textId="77777777" w:rsidR="00CD64B5" w:rsidRPr="001352AB" w:rsidRDefault="00CD64B5" w:rsidP="00CD64B5">
            <w:pPr>
              <w:rPr>
                <w:rFonts w:eastAsiaTheme="minorEastAsia"/>
                <w:lang w:eastAsia="ru-RU"/>
              </w:rPr>
            </w:pPr>
            <w:r w:rsidRPr="001352AB">
              <w:t>2732</w:t>
            </w:r>
          </w:p>
        </w:tc>
        <w:tc>
          <w:tcPr>
            <w:tcW w:w="2286" w:type="pct"/>
            <w:tcBorders>
              <w:top w:val="single" w:sz="4" w:space="0" w:color="000000"/>
              <w:left w:val="single" w:sz="4" w:space="0" w:color="000000"/>
              <w:bottom w:val="single" w:sz="8" w:space="0" w:color="auto"/>
              <w:right w:val="single" w:sz="4" w:space="0" w:color="000000"/>
            </w:tcBorders>
            <w:vAlign w:val="center"/>
            <w:hideMark/>
          </w:tcPr>
          <w:p w14:paraId="68B2AEE6" w14:textId="77777777" w:rsidR="00CD64B5" w:rsidRPr="001352AB" w:rsidRDefault="00CD64B5" w:rsidP="00CD64B5">
            <w:pPr>
              <w:rPr>
                <w:rFonts w:eastAsiaTheme="minorEastAsia"/>
              </w:rPr>
            </w:pPr>
            <w:r w:rsidRPr="001352AB">
              <w:rPr>
                <w:rFonts w:ascii="Sylfaen" w:hAnsi="Sylfaen" w:cs="Sylfaen"/>
              </w:rPr>
              <w:t>ნახშირწყალბადების</w:t>
            </w:r>
            <w:r w:rsidRPr="001352AB">
              <w:t xml:space="preserve"> </w:t>
            </w:r>
            <w:r w:rsidRPr="001352AB">
              <w:rPr>
                <w:rFonts w:ascii="Sylfaen" w:hAnsi="Sylfaen" w:cs="Sylfaen"/>
              </w:rPr>
              <w:t>ნავთის</w:t>
            </w:r>
            <w:r w:rsidRPr="001352AB">
              <w:t xml:space="preserve"> </w:t>
            </w:r>
            <w:r w:rsidRPr="001352AB">
              <w:rPr>
                <w:rFonts w:ascii="Sylfaen" w:hAnsi="Sylfaen" w:cs="Sylfaen"/>
              </w:rPr>
              <w:t>ფრაქცია</w:t>
            </w:r>
          </w:p>
        </w:tc>
        <w:tc>
          <w:tcPr>
            <w:tcW w:w="1143" w:type="pct"/>
            <w:tcBorders>
              <w:top w:val="single" w:sz="4" w:space="0" w:color="000000"/>
              <w:left w:val="single" w:sz="4" w:space="0" w:color="000000"/>
              <w:bottom w:val="single" w:sz="8" w:space="0" w:color="auto"/>
              <w:right w:val="single" w:sz="4" w:space="0" w:color="000000"/>
            </w:tcBorders>
            <w:vAlign w:val="center"/>
            <w:hideMark/>
          </w:tcPr>
          <w:p w14:paraId="29EC9DF3" w14:textId="77777777" w:rsidR="00CD64B5" w:rsidRPr="001352AB" w:rsidRDefault="00CD64B5" w:rsidP="00CD64B5">
            <w:pPr>
              <w:rPr>
                <w:lang w:eastAsia="en-US"/>
              </w:rPr>
            </w:pPr>
            <w:r w:rsidRPr="001352AB">
              <w:rPr>
                <w:rFonts w:eastAsiaTheme="minorEastAsia"/>
              </w:rPr>
              <w:t>0,0044444</w:t>
            </w:r>
          </w:p>
        </w:tc>
        <w:tc>
          <w:tcPr>
            <w:tcW w:w="1142" w:type="pct"/>
            <w:tcBorders>
              <w:top w:val="single" w:sz="4" w:space="0" w:color="000000"/>
              <w:left w:val="single" w:sz="4" w:space="0" w:color="000000"/>
              <w:bottom w:val="single" w:sz="8" w:space="0" w:color="auto"/>
              <w:right w:val="single" w:sz="6" w:space="0" w:color="auto"/>
            </w:tcBorders>
            <w:vAlign w:val="center"/>
            <w:hideMark/>
          </w:tcPr>
          <w:p w14:paraId="7574386F" w14:textId="77777777" w:rsidR="00CD64B5" w:rsidRPr="001352AB" w:rsidRDefault="00CD64B5" w:rsidP="00CD64B5">
            <w:r w:rsidRPr="001352AB">
              <w:rPr>
                <w:rFonts w:eastAsiaTheme="minorEastAsia"/>
              </w:rPr>
              <w:t>0,011712</w:t>
            </w:r>
          </w:p>
        </w:tc>
      </w:tr>
    </w:tbl>
    <w:p w14:paraId="268C15C2" w14:textId="77777777" w:rsidR="00CD64B5" w:rsidRPr="001352AB" w:rsidRDefault="00CD64B5" w:rsidP="00CD64B5">
      <w:pPr>
        <w:rPr>
          <w:rFonts w:eastAsiaTheme="minorEastAsia"/>
          <w:lang w:val="ka-GE" w:eastAsia="ru-RU"/>
        </w:rPr>
      </w:pPr>
    </w:p>
    <w:p w14:paraId="672B74F6" w14:textId="77777777" w:rsidR="00CD64B5" w:rsidRPr="001352AB" w:rsidRDefault="00CD64B5" w:rsidP="00CD64B5">
      <w:pPr>
        <w:rPr>
          <w:rFonts w:eastAsiaTheme="minorEastAsia"/>
        </w:rPr>
      </w:pPr>
      <w:r w:rsidRPr="001352AB">
        <w:rPr>
          <w:rFonts w:ascii="Sylfaen" w:hAnsi="Sylfaen" w:cs="Sylfaen"/>
        </w:rPr>
        <w:t>გაანგარიშება</w:t>
      </w:r>
      <w:r w:rsidRPr="001352AB">
        <w:t xml:space="preserve"> </w:t>
      </w:r>
      <w:r w:rsidRPr="001352AB">
        <w:rPr>
          <w:rFonts w:ascii="Sylfaen" w:hAnsi="Sylfaen" w:cs="Sylfaen"/>
        </w:rPr>
        <w:t>შესრულებულია</w:t>
      </w:r>
      <w:r w:rsidRPr="001352AB">
        <w:t xml:space="preserve"> </w:t>
      </w:r>
      <w:r w:rsidRPr="001352AB">
        <w:rPr>
          <w:rFonts w:ascii="Sylfaen" w:hAnsi="Sylfaen" w:cs="Sylfaen"/>
        </w:rPr>
        <w:t>საგზაო</w:t>
      </w:r>
      <w:r w:rsidRPr="001352AB">
        <w:t>-</w:t>
      </w:r>
      <w:r w:rsidRPr="001352AB">
        <w:rPr>
          <w:rFonts w:ascii="Sylfaen" w:hAnsi="Sylfaen" w:cs="Sylfaen"/>
        </w:rPr>
        <w:t>სამშენებლო</w:t>
      </w:r>
      <w:r w:rsidRPr="001352AB">
        <w:t xml:space="preserve"> </w:t>
      </w:r>
      <w:r w:rsidRPr="001352AB">
        <w:rPr>
          <w:rFonts w:ascii="Sylfaen" w:hAnsi="Sylfaen" w:cs="Sylfaen"/>
        </w:rPr>
        <w:t>მანქანების</w:t>
      </w:r>
      <w:r w:rsidRPr="001352AB">
        <w:t xml:space="preserve"> </w:t>
      </w:r>
      <w:r w:rsidRPr="001352AB">
        <w:rPr>
          <w:rFonts w:ascii="Sylfaen" w:hAnsi="Sylfaen" w:cs="Sylfaen"/>
        </w:rPr>
        <w:t>სადგომიდან</w:t>
      </w:r>
      <w:r w:rsidRPr="001352AB">
        <w:t xml:space="preserve"> </w:t>
      </w:r>
      <w:r w:rsidRPr="001352AB">
        <w:rPr>
          <w:rFonts w:ascii="Sylfaen" w:hAnsi="Sylfaen" w:cs="Sylfaen"/>
        </w:rPr>
        <w:t>გარემო</w:t>
      </w:r>
      <w:r w:rsidRPr="001352AB">
        <w:t xml:space="preserve"> </w:t>
      </w:r>
      <w:r w:rsidRPr="001352AB">
        <w:rPr>
          <w:rFonts w:ascii="Sylfaen" w:hAnsi="Sylfaen" w:cs="Sylfaen"/>
        </w:rPr>
        <w:t>ტემპერატურის</w:t>
      </w:r>
      <w:r w:rsidRPr="001352AB">
        <w:t xml:space="preserve"> </w:t>
      </w:r>
      <w:r w:rsidRPr="001352AB">
        <w:rPr>
          <w:rFonts w:ascii="Sylfaen" w:hAnsi="Sylfaen" w:cs="Sylfaen"/>
        </w:rPr>
        <w:t>პირობებში</w:t>
      </w:r>
      <w:r w:rsidRPr="001352AB">
        <w:t xml:space="preserve">. </w:t>
      </w:r>
      <w:r w:rsidRPr="001352AB">
        <w:rPr>
          <w:rFonts w:ascii="Sylfaen" w:hAnsi="Sylfaen" w:cs="Sylfaen"/>
        </w:rPr>
        <w:t>საგზაო</w:t>
      </w:r>
      <w:r w:rsidRPr="001352AB">
        <w:t>-</w:t>
      </w:r>
      <w:r w:rsidRPr="001352AB">
        <w:rPr>
          <w:rFonts w:ascii="Sylfaen" w:hAnsi="Sylfaen" w:cs="Sylfaen"/>
        </w:rPr>
        <w:t>სამშენებლო</w:t>
      </w:r>
      <w:r w:rsidRPr="001352AB">
        <w:t xml:space="preserve"> </w:t>
      </w:r>
      <w:r w:rsidRPr="001352AB">
        <w:rPr>
          <w:rFonts w:ascii="Sylfaen" w:hAnsi="Sylfaen" w:cs="Sylfaen"/>
        </w:rPr>
        <w:t>მანქანების</w:t>
      </w:r>
      <w:r w:rsidRPr="001352AB">
        <w:t xml:space="preserve"> </w:t>
      </w:r>
      <w:r w:rsidRPr="001352AB">
        <w:rPr>
          <w:rFonts w:ascii="Sylfaen" w:hAnsi="Sylfaen" w:cs="Sylfaen"/>
        </w:rPr>
        <w:t>გარბენი</w:t>
      </w:r>
      <w:r w:rsidRPr="001352AB">
        <w:t xml:space="preserve"> </w:t>
      </w:r>
      <w:r w:rsidRPr="001352AB">
        <w:rPr>
          <w:rFonts w:ascii="Sylfaen" w:hAnsi="Sylfaen" w:cs="Sylfaen"/>
        </w:rPr>
        <w:t>სადგომიდან</w:t>
      </w:r>
      <w:r w:rsidRPr="001352AB">
        <w:t xml:space="preserve"> </w:t>
      </w:r>
      <w:r w:rsidRPr="001352AB">
        <w:rPr>
          <w:rFonts w:ascii="Sylfaen" w:hAnsi="Sylfaen" w:cs="Sylfaen"/>
        </w:rPr>
        <w:t>გამოსვლისას</w:t>
      </w:r>
      <w:r w:rsidRPr="001352AB">
        <w:t xml:space="preserve"> </w:t>
      </w:r>
      <w:r w:rsidRPr="001352AB">
        <w:rPr>
          <w:rFonts w:ascii="Sylfaen" w:hAnsi="Sylfaen" w:cs="Sylfaen"/>
        </w:rPr>
        <w:t>შეადგენს</w:t>
      </w:r>
      <w:r w:rsidRPr="001352AB">
        <w:t xml:space="preserve"> 0,1 </w:t>
      </w:r>
      <w:r w:rsidRPr="001352AB">
        <w:rPr>
          <w:rFonts w:ascii="Sylfaen" w:hAnsi="Sylfaen" w:cs="Sylfaen"/>
        </w:rPr>
        <w:t>კმ</w:t>
      </w:r>
      <w:r w:rsidRPr="001352AB">
        <w:t>-</w:t>
      </w:r>
      <w:r w:rsidRPr="001352AB">
        <w:rPr>
          <w:rFonts w:ascii="Sylfaen" w:hAnsi="Sylfaen" w:cs="Sylfaen"/>
        </w:rPr>
        <w:t>ს</w:t>
      </w:r>
      <w:r w:rsidRPr="001352AB">
        <w:t xml:space="preserve">, </w:t>
      </w:r>
      <w:r w:rsidRPr="001352AB">
        <w:rPr>
          <w:rFonts w:ascii="Sylfaen" w:hAnsi="Sylfaen" w:cs="Sylfaen"/>
        </w:rPr>
        <w:t>სადგომში</w:t>
      </w:r>
      <w:r w:rsidRPr="001352AB">
        <w:t xml:space="preserve"> </w:t>
      </w:r>
      <w:r w:rsidRPr="001352AB">
        <w:rPr>
          <w:rFonts w:ascii="Sylfaen" w:hAnsi="Sylfaen" w:cs="Sylfaen"/>
        </w:rPr>
        <w:t>შესვლისას</w:t>
      </w:r>
      <w:r w:rsidRPr="001352AB">
        <w:t xml:space="preserve"> -0,1 </w:t>
      </w:r>
      <w:r w:rsidRPr="001352AB">
        <w:rPr>
          <w:rFonts w:ascii="Sylfaen" w:hAnsi="Sylfaen" w:cs="Sylfaen"/>
        </w:rPr>
        <w:t>კმ</w:t>
      </w:r>
      <w:r w:rsidRPr="001352AB">
        <w:t xml:space="preserve">. </w:t>
      </w:r>
      <w:r w:rsidRPr="001352AB">
        <w:rPr>
          <w:rFonts w:ascii="Sylfaen" w:hAnsi="Sylfaen" w:cs="Sylfaen"/>
        </w:rPr>
        <w:t>უქმი</w:t>
      </w:r>
      <w:r w:rsidRPr="001352AB">
        <w:t xml:space="preserve"> </w:t>
      </w:r>
      <w:r w:rsidRPr="001352AB">
        <w:rPr>
          <w:rFonts w:ascii="Sylfaen" w:hAnsi="Sylfaen" w:cs="Sylfaen"/>
        </w:rPr>
        <w:t>სვლის</w:t>
      </w:r>
      <w:r w:rsidRPr="001352AB">
        <w:t xml:space="preserve"> </w:t>
      </w:r>
      <w:r w:rsidRPr="001352AB">
        <w:rPr>
          <w:rFonts w:ascii="Sylfaen" w:hAnsi="Sylfaen" w:cs="Sylfaen"/>
        </w:rPr>
        <w:t>რეჟიმში</w:t>
      </w:r>
      <w:r w:rsidRPr="001352AB">
        <w:t xml:space="preserve"> </w:t>
      </w:r>
      <w:r w:rsidRPr="001352AB">
        <w:rPr>
          <w:rFonts w:ascii="Sylfaen" w:hAnsi="Sylfaen" w:cs="Sylfaen"/>
        </w:rPr>
        <w:t>ძრავის</w:t>
      </w:r>
      <w:r w:rsidRPr="001352AB">
        <w:t xml:space="preserve"> </w:t>
      </w:r>
      <w:r w:rsidRPr="001352AB">
        <w:rPr>
          <w:rFonts w:ascii="Sylfaen" w:hAnsi="Sylfaen" w:cs="Sylfaen"/>
        </w:rPr>
        <w:t>მუშაობის</w:t>
      </w:r>
      <w:r w:rsidRPr="001352AB">
        <w:t xml:space="preserve"> </w:t>
      </w:r>
      <w:r w:rsidRPr="001352AB">
        <w:rPr>
          <w:rFonts w:ascii="Sylfaen" w:hAnsi="Sylfaen" w:cs="Sylfaen"/>
        </w:rPr>
        <w:t>ხანგრძლივობა</w:t>
      </w:r>
      <w:r w:rsidRPr="001352AB">
        <w:t xml:space="preserve"> </w:t>
      </w:r>
      <w:r w:rsidRPr="001352AB">
        <w:rPr>
          <w:rFonts w:ascii="Sylfaen" w:hAnsi="Sylfaen" w:cs="Sylfaen"/>
        </w:rPr>
        <w:t>სადგომიდან</w:t>
      </w:r>
      <w:r w:rsidRPr="001352AB">
        <w:t xml:space="preserve"> </w:t>
      </w:r>
      <w:r w:rsidRPr="001352AB">
        <w:rPr>
          <w:rFonts w:ascii="Sylfaen" w:hAnsi="Sylfaen" w:cs="Sylfaen"/>
        </w:rPr>
        <w:t>გამოსვლისას</w:t>
      </w:r>
      <w:r w:rsidRPr="001352AB">
        <w:t xml:space="preserve">-2 </w:t>
      </w:r>
      <w:r w:rsidRPr="001352AB">
        <w:rPr>
          <w:rFonts w:ascii="Sylfaen" w:hAnsi="Sylfaen" w:cs="Sylfaen"/>
        </w:rPr>
        <w:t>წთ</w:t>
      </w:r>
      <w:r w:rsidRPr="001352AB">
        <w:t xml:space="preserve">, </w:t>
      </w:r>
      <w:r w:rsidRPr="001352AB">
        <w:rPr>
          <w:rFonts w:ascii="Sylfaen" w:hAnsi="Sylfaen" w:cs="Sylfaen"/>
        </w:rPr>
        <w:t>დაბრუნებისას</w:t>
      </w:r>
      <w:r w:rsidRPr="001352AB">
        <w:t xml:space="preserve">-0 </w:t>
      </w:r>
      <w:r w:rsidRPr="001352AB">
        <w:rPr>
          <w:rFonts w:ascii="Sylfaen" w:hAnsi="Sylfaen" w:cs="Sylfaen"/>
        </w:rPr>
        <w:t>წთ</w:t>
      </w:r>
      <w:r w:rsidRPr="001352AB">
        <w:t xml:space="preserve">. </w:t>
      </w:r>
      <w:r w:rsidRPr="001352AB">
        <w:rPr>
          <w:rFonts w:ascii="Sylfaen" w:hAnsi="Sylfaen" w:cs="Sylfaen"/>
        </w:rPr>
        <w:t>სამუშაო</w:t>
      </w:r>
      <w:r w:rsidRPr="001352AB">
        <w:t xml:space="preserve"> </w:t>
      </w:r>
      <w:r w:rsidRPr="001352AB">
        <w:rPr>
          <w:rFonts w:ascii="Sylfaen" w:hAnsi="Sylfaen" w:cs="Sylfaen"/>
        </w:rPr>
        <w:t>დღეთა</w:t>
      </w:r>
      <w:r w:rsidRPr="001352AB">
        <w:t xml:space="preserve"> </w:t>
      </w:r>
      <w:r w:rsidRPr="001352AB">
        <w:rPr>
          <w:rFonts w:ascii="Sylfaen" w:hAnsi="Sylfaen" w:cs="Sylfaen"/>
        </w:rPr>
        <w:t>რ</w:t>
      </w:r>
      <w:r w:rsidRPr="001352AB">
        <w:t>-</w:t>
      </w:r>
      <w:r w:rsidRPr="001352AB">
        <w:rPr>
          <w:rFonts w:ascii="Sylfaen" w:hAnsi="Sylfaen" w:cs="Sylfaen"/>
        </w:rPr>
        <w:t>ბა</w:t>
      </w:r>
      <w:r w:rsidRPr="001352AB">
        <w:t xml:space="preserve">-250. </w:t>
      </w:r>
      <w:r w:rsidRPr="001352AB">
        <w:rPr>
          <w:rFonts w:ascii="Sylfaen" w:hAnsi="Sylfaen" w:cs="Sylfaen"/>
        </w:rPr>
        <w:t>მათ</w:t>
      </w:r>
      <w:r w:rsidRPr="001352AB">
        <w:t xml:space="preserve"> </w:t>
      </w:r>
      <w:r w:rsidRPr="001352AB">
        <w:rPr>
          <w:rFonts w:ascii="Sylfaen" w:hAnsi="Sylfaen" w:cs="Sylfaen"/>
        </w:rPr>
        <w:t>შორის</w:t>
      </w:r>
      <w:r w:rsidRPr="001352AB">
        <w:t xml:space="preserve">: </w:t>
      </w:r>
      <w:r w:rsidRPr="001352AB">
        <w:rPr>
          <w:rFonts w:ascii="Sylfaen" w:hAnsi="Sylfaen" w:cs="Sylfaen"/>
        </w:rPr>
        <w:t>გარდამავალი</w:t>
      </w:r>
      <w:r w:rsidRPr="001352AB">
        <w:t xml:space="preserve">-250 </w:t>
      </w:r>
      <w:r w:rsidRPr="001352AB">
        <w:rPr>
          <w:rFonts w:ascii="Sylfaen" w:hAnsi="Sylfaen" w:cs="Sylfaen"/>
        </w:rPr>
        <w:t>დღე</w:t>
      </w:r>
      <w:r w:rsidRPr="001352AB">
        <w:t>.</w:t>
      </w:r>
    </w:p>
    <w:p w14:paraId="0932F822" w14:textId="77777777" w:rsidR="00CD64B5" w:rsidRPr="001352AB" w:rsidRDefault="00CD64B5" w:rsidP="00CD64B5">
      <w:r w:rsidRPr="001352AB">
        <w:rPr>
          <w:rFonts w:ascii="Sylfaen" w:hAnsi="Sylfaen" w:cs="Sylfaen"/>
        </w:rPr>
        <w:t>საწყისი</w:t>
      </w:r>
      <w:r w:rsidRPr="001352AB">
        <w:t xml:space="preserve"> </w:t>
      </w:r>
      <w:r w:rsidRPr="001352AB">
        <w:rPr>
          <w:rFonts w:ascii="Sylfaen" w:hAnsi="Sylfaen" w:cs="Sylfaen"/>
        </w:rPr>
        <w:t>მონაცემები</w:t>
      </w:r>
      <w:r w:rsidRPr="001352AB">
        <w:t xml:space="preserve"> </w:t>
      </w: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გამოყოფის</w:t>
      </w:r>
      <w:r w:rsidRPr="001352AB">
        <w:t xml:space="preserve"> </w:t>
      </w:r>
      <w:r w:rsidRPr="001352AB">
        <w:rPr>
          <w:rFonts w:ascii="Sylfaen" w:hAnsi="Sylfaen" w:cs="Sylfaen"/>
        </w:rPr>
        <w:t>გაანგარიშებისათვის</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ცხრილში</w:t>
      </w:r>
      <w:r w:rsidRPr="001352AB">
        <w:t xml:space="preserve"> 7.1-15.</w:t>
      </w:r>
    </w:p>
    <w:p w14:paraId="0365E003" w14:textId="77777777" w:rsidR="00CD64B5" w:rsidRPr="001352AB" w:rsidRDefault="00CD64B5" w:rsidP="00CD64B5"/>
    <w:p w14:paraId="764F7448" w14:textId="77777777" w:rsidR="00CD64B5" w:rsidRPr="001352AB" w:rsidRDefault="00CD64B5" w:rsidP="00CD64B5">
      <w:pPr>
        <w:rPr>
          <w:lang w:eastAsia="en-US"/>
        </w:rPr>
      </w:pPr>
      <w:bookmarkStart w:id="270" w:name="_Toc436594176"/>
      <w:r w:rsidRPr="001352AB">
        <w:rPr>
          <w:rFonts w:ascii="Sylfaen" w:hAnsi="Sylfaen" w:cs="Sylfaen"/>
        </w:rPr>
        <w:t>ცხრილი</w:t>
      </w:r>
      <w:r w:rsidRPr="001352AB">
        <w:t xml:space="preserve"> 7.1-15.</w:t>
      </w:r>
      <w:r w:rsidRPr="001352AB">
        <w:tab/>
      </w:r>
      <w:r w:rsidRPr="001352AB">
        <w:rPr>
          <w:rFonts w:ascii="Sylfaen" w:hAnsi="Sylfaen" w:cs="Sylfaen"/>
        </w:rPr>
        <w:t>გაანგარიშების</w:t>
      </w:r>
      <w:r w:rsidRPr="001352AB">
        <w:t xml:space="preserve"> </w:t>
      </w:r>
      <w:r w:rsidRPr="001352AB">
        <w:rPr>
          <w:rFonts w:ascii="Sylfaen" w:hAnsi="Sylfaen" w:cs="Sylfaen"/>
        </w:rPr>
        <w:t>საწყისი</w:t>
      </w:r>
      <w:r w:rsidRPr="001352AB">
        <w:t xml:space="preserve"> </w:t>
      </w:r>
      <w:r w:rsidRPr="001352AB">
        <w:rPr>
          <w:rFonts w:ascii="Sylfaen" w:hAnsi="Sylfaen" w:cs="Sylfaen"/>
        </w:rPr>
        <w:t>მონაცემები</w:t>
      </w:r>
      <w:bookmarkEnd w:id="27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3955"/>
        <w:gridCol w:w="810"/>
        <w:gridCol w:w="2070"/>
        <w:gridCol w:w="990"/>
        <w:gridCol w:w="810"/>
        <w:gridCol w:w="856"/>
        <w:gridCol w:w="9"/>
        <w:gridCol w:w="801"/>
        <w:gridCol w:w="9"/>
      </w:tblGrid>
      <w:tr w:rsidR="00CD64B5" w:rsidRPr="007F2C2A" w14:paraId="187CE07B" w14:textId="77777777" w:rsidTr="007F2C2A">
        <w:trPr>
          <w:gridAfter w:val="1"/>
          <w:wAfter w:w="9" w:type="dxa"/>
          <w:tblHeader/>
          <w:jc w:val="center"/>
        </w:trPr>
        <w:tc>
          <w:tcPr>
            <w:tcW w:w="3955" w:type="dxa"/>
            <w:vMerge w:val="restart"/>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14:paraId="612CD9E7" w14:textId="77777777" w:rsidR="00CD64B5" w:rsidRPr="007F2C2A" w:rsidRDefault="00CD64B5" w:rsidP="00CD64B5">
            <w:pPr>
              <w:rPr>
                <w:sz w:val="20"/>
                <w:lang w:eastAsia="ru-RU"/>
              </w:rPr>
            </w:pPr>
            <w:r w:rsidRPr="007F2C2A">
              <w:rPr>
                <w:rFonts w:ascii="Sylfaen" w:hAnsi="Sylfaen" w:cs="Sylfaen"/>
                <w:sz w:val="20"/>
              </w:rPr>
              <w:t>მანქანის</w:t>
            </w:r>
            <w:r w:rsidRPr="007F2C2A">
              <w:rPr>
                <w:sz w:val="20"/>
              </w:rPr>
              <w:t xml:space="preserve"> </w:t>
            </w:r>
            <w:r w:rsidRPr="007F2C2A">
              <w:rPr>
                <w:rFonts w:ascii="Sylfaen" w:hAnsi="Sylfaen" w:cs="Sylfaen"/>
                <w:sz w:val="20"/>
              </w:rPr>
              <w:t>ტიპი</w:t>
            </w:r>
            <w:r w:rsidRPr="007F2C2A">
              <w:rPr>
                <w:sz w:val="20"/>
              </w:rPr>
              <w:t xml:space="preserve"> </w:t>
            </w:r>
          </w:p>
        </w:tc>
        <w:tc>
          <w:tcPr>
            <w:tcW w:w="4680" w:type="dxa"/>
            <w:gridSpan w:val="4"/>
            <w:tcBorders>
              <w:top w:val="single" w:sz="8" w:space="0" w:color="auto"/>
              <w:left w:val="single" w:sz="4" w:space="0" w:color="000000"/>
              <w:bottom w:val="single" w:sz="4" w:space="0" w:color="000000"/>
              <w:right w:val="single" w:sz="4" w:space="0" w:color="000000"/>
            </w:tcBorders>
            <w:shd w:val="clear" w:color="auto" w:fill="D9D9D9" w:themeFill="background1" w:themeFillShade="D9"/>
            <w:vAlign w:val="center"/>
            <w:hideMark/>
          </w:tcPr>
          <w:p w14:paraId="10B0548E" w14:textId="77777777" w:rsidR="00CD64B5" w:rsidRPr="007F2C2A" w:rsidRDefault="00CD64B5" w:rsidP="00CD64B5">
            <w:pPr>
              <w:rPr>
                <w:sz w:val="20"/>
              </w:rPr>
            </w:pPr>
            <w:r w:rsidRPr="007F2C2A">
              <w:rPr>
                <w:rFonts w:ascii="Sylfaen" w:hAnsi="Sylfaen" w:cs="Sylfaen"/>
                <w:sz w:val="20"/>
              </w:rPr>
              <w:t>ავტომანქანების</w:t>
            </w:r>
            <w:r w:rsidRPr="007F2C2A">
              <w:rPr>
                <w:sz w:val="20"/>
              </w:rPr>
              <w:t xml:space="preserve"> </w:t>
            </w:r>
            <w:r w:rsidRPr="007F2C2A">
              <w:rPr>
                <w:rFonts w:ascii="Sylfaen" w:hAnsi="Sylfaen" w:cs="Sylfaen"/>
                <w:sz w:val="20"/>
              </w:rPr>
              <w:t>მაქსიმალური</w:t>
            </w:r>
            <w:r w:rsidRPr="007F2C2A">
              <w:rPr>
                <w:sz w:val="20"/>
              </w:rPr>
              <w:t xml:space="preserve"> </w:t>
            </w:r>
            <w:r w:rsidRPr="007F2C2A">
              <w:rPr>
                <w:rFonts w:ascii="Sylfaen" w:hAnsi="Sylfaen" w:cs="Sylfaen"/>
                <w:sz w:val="20"/>
              </w:rPr>
              <w:t>რაოდენობა</w:t>
            </w:r>
          </w:p>
        </w:tc>
        <w:tc>
          <w:tcPr>
            <w:tcW w:w="856" w:type="dxa"/>
            <w:tcBorders>
              <w:top w:val="single" w:sz="8" w:space="0" w:color="auto"/>
              <w:left w:val="single" w:sz="4" w:space="0" w:color="000000"/>
              <w:bottom w:val="single" w:sz="8" w:space="0" w:color="auto"/>
              <w:right w:val="single" w:sz="4" w:space="0" w:color="000000"/>
            </w:tcBorders>
            <w:shd w:val="clear" w:color="auto" w:fill="D9D9D9" w:themeFill="background1" w:themeFillShade="D9"/>
            <w:vAlign w:val="center"/>
            <w:hideMark/>
          </w:tcPr>
          <w:p w14:paraId="57A872B3" w14:textId="77777777" w:rsidR="00CD64B5" w:rsidRPr="007F2C2A" w:rsidRDefault="00CD64B5" w:rsidP="00CD64B5">
            <w:pPr>
              <w:rPr>
                <w:sz w:val="20"/>
              </w:rPr>
            </w:pPr>
            <w:r w:rsidRPr="007F2C2A">
              <w:rPr>
                <w:rFonts w:ascii="Sylfaen" w:hAnsi="Sylfaen" w:cs="Sylfaen"/>
                <w:sz w:val="20"/>
              </w:rPr>
              <w:t>ეკოკონტროლი</w:t>
            </w:r>
          </w:p>
        </w:tc>
        <w:tc>
          <w:tcPr>
            <w:tcW w:w="810" w:type="dxa"/>
            <w:gridSpan w:val="2"/>
            <w:tcBorders>
              <w:top w:val="single" w:sz="8" w:space="0" w:color="auto"/>
              <w:left w:val="single" w:sz="4" w:space="0" w:color="000000"/>
              <w:bottom w:val="single" w:sz="8" w:space="0" w:color="auto"/>
              <w:right w:val="single" w:sz="6" w:space="0" w:color="auto"/>
            </w:tcBorders>
            <w:shd w:val="clear" w:color="auto" w:fill="D9D9D9" w:themeFill="background1" w:themeFillShade="D9"/>
            <w:vAlign w:val="center"/>
            <w:hideMark/>
          </w:tcPr>
          <w:p w14:paraId="74450FD2" w14:textId="77777777" w:rsidR="00CD64B5" w:rsidRPr="007F2C2A" w:rsidRDefault="00CD64B5" w:rsidP="00CD64B5">
            <w:pPr>
              <w:rPr>
                <w:sz w:val="20"/>
              </w:rPr>
            </w:pPr>
            <w:r w:rsidRPr="007F2C2A">
              <w:rPr>
                <w:rFonts w:ascii="Sylfaen" w:hAnsi="Sylfaen" w:cs="Sylfaen"/>
                <w:sz w:val="20"/>
              </w:rPr>
              <w:t>ერთდროულობა</w:t>
            </w:r>
          </w:p>
        </w:tc>
      </w:tr>
      <w:tr w:rsidR="00CD64B5" w:rsidRPr="007F2C2A" w14:paraId="5EC33A62" w14:textId="77777777" w:rsidTr="007F2C2A">
        <w:trPr>
          <w:tblHeader/>
          <w:jc w:val="center"/>
        </w:trPr>
        <w:tc>
          <w:tcPr>
            <w:tcW w:w="3955" w:type="dxa"/>
            <w:vMerge/>
            <w:tcBorders>
              <w:top w:val="single" w:sz="8" w:space="0" w:color="auto"/>
              <w:left w:val="single" w:sz="4" w:space="0" w:color="000000"/>
              <w:bottom w:val="single" w:sz="8" w:space="0" w:color="auto"/>
              <w:right w:val="single" w:sz="4" w:space="0" w:color="000000"/>
            </w:tcBorders>
            <w:vAlign w:val="center"/>
            <w:hideMark/>
          </w:tcPr>
          <w:p w14:paraId="09BC8576" w14:textId="77777777" w:rsidR="00CD64B5" w:rsidRPr="007F2C2A" w:rsidRDefault="00CD64B5" w:rsidP="00CD64B5">
            <w:pPr>
              <w:rPr>
                <w:rFonts w:eastAsiaTheme="minorHAnsi"/>
                <w:sz w:val="20"/>
                <w:lang w:eastAsia="ru-RU"/>
              </w:rPr>
            </w:pPr>
          </w:p>
        </w:tc>
        <w:tc>
          <w:tcPr>
            <w:tcW w:w="810" w:type="dxa"/>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14:paraId="2058AAE1" w14:textId="77777777" w:rsidR="00CD64B5" w:rsidRPr="007F2C2A" w:rsidRDefault="00CD64B5" w:rsidP="00CD64B5">
            <w:pPr>
              <w:rPr>
                <w:sz w:val="20"/>
              </w:rPr>
            </w:pPr>
            <w:r w:rsidRPr="007F2C2A">
              <w:rPr>
                <w:rFonts w:ascii="Sylfaen" w:hAnsi="Sylfaen" w:cs="Sylfaen"/>
                <w:sz w:val="20"/>
              </w:rPr>
              <w:t>სულ</w:t>
            </w:r>
            <w:r w:rsidRPr="007F2C2A">
              <w:rPr>
                <w:sz w:val="20"/>
              </w:rPr>
              <w:t xml:space="preserve"> </w:t>
            </w:r>
          </w:p>
        </w:tc>
        <w:tc>
          <w:tcPr>
            <w:tcW w:w="2070" w:type="dxa"/>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14:paraId="04A03742" w14:textId="77777777" w:rsidR="00CD64B5" w:rsidRPr="007F2C2A" w:rsidRDefault="00CD64B5" w:rsidP="00CD64B5">
            <w:pPr>
              <w:rPr>
                <w:sz w:val="20"/>
              </w:rPr>
            </w:pPr>
            <w:r w:rsidRPr="007F2C2A">
              <w:rPr>
                <w:rFonts w:ascii="Sylfaen" w:hAnsi="Sylfaen" w:cs="Sylfaen"/>
                <w:sz w:val="20"/>
              </w:rPr>
              <w:t>დღის</w:t>
            </w:r>
            <w:r w:rsidRPr="007F2C2A">
              <w:rPr>
                <w:sz w:val="20"/>
              </w:rPr>
              <w:t xml:space="preserve"> </w:t>
            </w:r>
            <w:r w:rsidRPr="007F2C2A">
              <w:rPr>
                <w:rFonts w:ascii="Sylfaen" w:hAnsi="Sylfaen" w:cs="Sylfaen"/>
                <w:sz w:val="20"/>
              </w:rPr>
              <w:t>განმავლობაში</w:t>
            </w:r>
            <w:r w:rsidRPr="007F2C2A">
              <w:rPr>
                <w:sz w:val="20"/>
              </w:rPr>
              <w:t xml:space="preserve"> </w:t>
            </w:r>
            <w:r w:rsidRPr="007F2C2A">
              <w:rPr>
                <w:rFonts w:ascii="Sylfaen" w:hAnsi="Sylfaen" w:cs="Sylfaen"/>
                <w:sz w:val="20"/>
              </w:rPr>
              <w:t>გამოსვლა</w:t>
            </w:r>
            <w:r w:rsidRPr="007F2C2A">
              <w:rPr>
                <w:sz w:val="20"/>
              </w:rPr>
              <w:t xml:space="preserve"> / </w:t>
            </w:r>
            <w:r w:rsidRPr="007F2C2A">
              <w:rPr>
                <w:rFonts w:ascii="Sylfaen" w:hAnsi="Sylfaen" w:cs="Sylfaen"/>
                <w:sz w:val="20"/>
              </w:rPr>
              <w:t>შესვლა</w:t>
            </w:r>
          </w:p>
        </w:tc>
        <w:tc>
          <w:tcPr>
            <w:tcW w:w="990" w:type="dxa"/>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14:paraId="11749753" w14:textId="77777777" w:rsidR="00CD64B5" w:rsidRPr="007F2C2A" w:rsidRDefault="00CD64B5" w:rsidP="00CD64B5">
            <w:pPr>
              <w:rPr>
                <w:sz w:val="20"/>
              </w:rPr>
            </w:pPr>
            <w:r w:rsidRPr="007F2C2A">
              <w:rPr>
                <w:rFonts w:ascii="Sylfaen" w:hAnsi="Sylfaen" w:cs="Sylfaen"/>
                <w:sz w:val="20"/>
              </w:rPr>
              <w:t>გამოსვლა</w:t>
            </w:r>
            <w:r w:rsidRPr="007F2C2A">
              <w:rPr>
                <w:sz w:val="20"/>
              </w:rPr>
              <w:t xml:space="preserve"> 1 </w:t>
            </w:r>
            <w:r w:rsidRPr="007F2C2A">
              <w:rPr>
                <w:rFonts w:ascii="Sylfaen" w:hAnsi="Sylfaen" w:cs="Sylfaen"/>
                <w:sz w:val="20"/>
              </w:rPr>
              <w:t>სთ</w:t>
            </w:r>
            <w:r w:rsidRPr="007F2C2A">
              <w:rPr>
                <w:sz w:val="20"/>
              </w:rPr>
              <w:t>-</w:t>
            </w:r>
            <w:r w:rsidRPr="007F2C2A">
              <w:rPr>
                <w:rFonts w:ascii="Sylfaen" w:hAnsi="Sylfaen" w:cs="Sylfaen"/>
                <w:sz w:val="20"/>
              </w:rPr>
              <w:t>ში</w:t>
            </w:r>
          </w:p>
        </w:tc>
        <w:tc>
          <w:tcPr>
            <w:tcW w:w="810" w:type="dxa"/>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14:paraId="40DE1568" w14:textId="77777777" w:rsidR="00CD64B5" w:rsidRPr="007F2C2A" w:rsidRDefault="00CD64B5" w:rsidP="00CD64B5">
            <w:pPr>
              <w:rPr>
                <w:sz w:val="20"/>
              </w:rPr>
            </w:pPr>
            <w:r w:rsidRPr="007F2C2A">
              <w:rPr>
                <w:rFonts w:ascii="Sylfaen" w:hAnsi="Sylfaen" w:cs="Sylfaen"/>
                <w:sz w:val="20"/>
              </w:rPr>
              <w:t>შესვლა</w:t>
            </w:r>
            <w:r w:rsidRPr="007F2C2A">
              <w:rPr>
                <w:sz w:val="20"/>
              </w:rPr>
              <w:t xml:space="preserve"> 1 </w:t>
            </w:r>
            <w:r w:rsidRPr="007F2C2A">
              <w:rPr>
                <w:rFonts w:ascii="Sylfaen" w:hAnsi="Sylfaen" w:cs="Sylfaen"/>
                <w:sz w:val="20"/>
              </w:rPr>
              <w:t>სთ</w:t>
            </w:r>
            <w:r w:rsidRPr="007F2C2A">
              <w:rPr>
                <w:sz w:val="20"/>
              </w:rPr>
              <w:t>-</w:t>
            </w:r>
            <w:r w:rsidRPr="007F2C2A">
              <w:rPr>
                <w:rFonts w:ascii="Sylfaen" w:hAnsi="Sylfaen" w:cs="Sylfaen"/>
                <w:sz w:val="20"/>
              </w:rPr>
              <w:t>ში</w:t>
            </w:r>
          </w:p>
        </w:tc>
        <w:tc>
          <w:tcPr>
            <w:tcW w:w="865" w:type="dxa"/>
            <w:gridSpan w:val="2"/>
            <w:tcBorders>
              <w:top w:val="single" w:sz="8" w:space="0" w:color="auto"/>
              <w:left w:val="single" w:sz="4" w:space="0" w:color="000000"/>
              <w:bottom w:val="single" w:sz="8" w:space="0" w:color="auto"/>
              <w:right w:val="single" w:sz="4" w:space="0" w:color="000000"/>
            </w:tcBorders>
            <w:vAlign w:val="center"/>
            <w:hideMark/>
          </w:tcPr>
          <w:p w14:paraId="22E810D9" w14:textId="77777777" w:rsidR="00CD64B5" w:rsidRPr="007F2C2A" w:rsidRDefault="00CD64B5" w:rsidP="00CD64B5">
            <w:pPr>
              <w:rPr>
                <w:rFonts w:eastAsiaTheme="minorHAnsi"/>
                <w:sz w:val="20"/>
              </w:rPr>
            </w:pPr>
          </w:p>
        </w:tc>
        <w:tc>
          <w:tcPr>
            <w:tcW w:w="810" w:type="dxa"/>
            <w:gridSpan w:val="2"/>
            <w:tcBorders>
              <w:top w:val="single" w:sz="8" w:space="0" w:color="auto"/>
              <w:left w:val="single" w:sz="4" w:space="0" w:color="000000"/>
              <w:bottom w:val="single" w:sz="8" w:space="0" w:color="auto"/>
              <w:right w:val="single" w:sz="6" w:space="0" w:color="auto"/>
            </w:tcBorders>
            <w:vAlign w:val="center"/>
            <w:hideMark/>
          </w:tcPr>
          <w:p w14:paraId="3BDB150C" w14:textId="77777777" w:rsidR="00CD64B5" w:rsidRPr="007F2C2A" w:rsidRDefault="00CD64B5" w:rsidP="00CD64B5">
            <w:pPr>
              <w:rPr>
                <w:rFonts w:eastAsiaTheme="minorHAnsi"/>
                <w:sz w:val="20"/>
              </w:rPr>
            </w:pPr>
          </w:p>
        </w:tc>
      </w:tr>
      <w:tr w:rsidR="00CD64B5" w:rsidRPr="007F2C2A" w14:paraId="65803A38" w14:textId="77777777" w:rsidTr="007F2C2A">
        <w:trPr>
          <w:cantSplit/>
          <w:jc w:val="center"/>
        </w:trPr>
        <w:tc>
          <w:tcPr>
            <w:tcW w:w="3955" w:type="dxa"/>
            <w:tcBorders>
              <w:top w:val="single" w:sz="4" w:space="0" w:color="000000"/>
              <w:left w:val="single" w:sz="4" w:space="0" w:color="000000"/>
              <w:bottom w:val="single" w:sz="8" w:space="0" w:color="auto"/>
              <w:right w:val="single" w:sz="4" w:space="0" w:color="000000"/>
            </w:tcBorders>
            <w:hideMark/>
          </w:tcPr>
          <w:p w14:paraId="02A3B751" w14:textId="77777777" w:rsidR="00CD64B5" w:rsidRPr="007F2C2A" w:rsidRDefault="00CD64B5" w:rsidP="00CD64B5">
            <w:pPr>
              <w:rPr>
                <w:sz w:val="20"/>
              </w:rPr>
            </w:pPr>
            <w:r w:rsidRPr="007F2C2A">
              <w:rPr>
                <w:rFonts w:ascii="Sylfaen" w:hAnsi="Sylfaen" w:cs="Sylfaen"/>
                <w:sz w:val="20"/>
              </w:rPr>
              <w:t>სატვირთო</w:t>
            </w:r>
            <w:r w:rsidRPr="007F2C2A">
              <w:rPr>
                <w:sz w:val="20"/>
              </w:rPr>
              <w:t xml:space="preserve">,1994 </w:t>
            </w:r>
            <w:r w:rsidRPr="007F2C2A">
              <w:rPr>
                <w:rFonts w:ascii="Sylfaen" w:hAnsi="Sylfaen" w:cs="Sylfaen"/>
                <w:sz w:val="20"/>
              </w:rPr>
              <w:t>წლამდე</w:t>
            </w:r>
            <w:r w:rsidRPr="007F2C2A">
              <w:rPr>
                <w:sz w:val="20"/>
              </w:rPr>
              <w:t xml:space="preserve">. </w:t>
            </w:r>
            <w:r w:rsidRPr="007F2C2A">
              <w:rPr>
                <w:rFonts w:ascii="Sylfaen" w:hAnsi="Sylfaen" w:cs="Sylfaen"/>
                <w:sz w:val="20"/>
              </w:rPr>
              <w:t>ტვირთამწეობა</w:t>
            </w:r>
            <w:r w:rsidRPr="007F2C2A">
              <w:rPr>
                <w:sz w:val="20"/>
              </w:rPr>
              <w:t>-8-16</w:t>
            </w:r>
            <w:r w:rsidRPr="007F2C2A">
              <w:rPr>
                <w:rFonts w:ascii="Sylfaen" w:hAnsi="Sylfaen" w:cs="Sylfaen"/>
                <w:sz w:val="20"/>
              </w:rPr>
              <w:t>ტ</w:t>
            </w:r>
            <w:r w:rsidRPr="007F2C2A">
              <w:rPr>
                <w:sz w:val="20"/>
              </w:rPr>
              <w:t xml:space="preserve">. </w:t>
            </w:r>
            <w:r w:rsidRPr="007F2C2A">
              <w:rPr>
                <w:rFonts w:ascii="Sylfaen" w:hAnsi="Sylfaen" w:cs="Sylfaen"/>
                <w:sz w:val="20"/>
              </w:rPr>
              <w:t>დიზელი</w:t>
            </w:r>
          </w:p>
        </w:tc>
        <w:tc>
          <w:tcPr>
            <w:tcW w:w="810" w:type="dxa"/>
            <w:tcBorders>
              <w:top w:val="single" w:sz="4" w:space="0" w:color="000000"/>
              <w:left w:val="single" w:sz="4" w:space="0" w:color="000000"/>
              <w:bottom w:val="single" w:sz="8" w:space="0" w:color="auto"/>
              <w:right w:val="single" w:sz="4" w:space="0" w:color="000000"/>
            </w:tcBorders>
            <w:hideMark/>
          </w:tcPr>
          <w:p w14:paraId="5DBC5F9D" w14:textId="77777777" w:rsidR="00CD64B5" w:rsidRPr="007F2C2A" w:rsidRDefault="00CD64B5" w:rsidP="00CD64B5">
            <w:pPr>
              <w:rPr>
                <w:sz w:val="20"/>
              </w:rPr>
            </w:pPr>
            <w:r w:rsidRPr="007F2C2A">
              <w:rPr>
                <w:sz w:val="20"/>
              </w:rPr>
              <w:t>10</w:t>
            </w:r>
          </w:p>
        </w:tc>
        <w:tc>
          <w:tcPr>
            <w:tcW w:w="2070" w:type="dxa"/>
            <w:tcBorders>
              <w:top w:val="single" w:sz="4" w:space="0" w:color="000000"/>
              <w:left w:val="single" w:sz="4" w:space="0" w:color="000000"/>
              <w:bottom w:val="single" w:sz="8" w:space="0" w:color="auto"/>
              <w:right w:val="single" w:sz="4" w:space="0" w:color="000000"/>
            </w:tcBorders>
            <w:hideMark/>
          </w:tcPr>
          <w:p w14:paraId="1EACE4EE" w14:textId="77777777" w:rsidR="00CD64B5" w:rsidRPr="007F2C2A" w:rsidRDefault="00CD64B5" w:rsidP="00CD64B5">
            <w:pPr>
              <w:rPr>
                <w:sz w:val="20"/>
              </w:rPr>
            </w:pPr>
            <w:r w:rsidRPr="007F2C2A">
              <w:rPr>
                <w:sz w:val="20"/>
              </w:rPr>
              <w:t>10</w:t>
            </w:r>
          </w:p>
        </w:tc>
        <w:tc>
          <w:tcPr>
            <w:tcW w:w="990" w:type="dxa"/>
            <w:tcBorders>
              <w:top w:val="single" w:sz="4" w:space="0" w:color="000000"/>
              <w:left w:val="single" w:sz="4" w:space="0" w:color="000000"/>
              <w:bottom w:val="single" w:sz="8" w:space="0" w:color="auto"/>
              <w:right w:val="single" w:sz="4" w:space="0" w:color="000000"/>
            </w:tcBorders>
            <w:hideMark/>
          </w:tcPr>
          <w:p w14:paraId="69D72F3D" w14:textId="77777777" w:rsidR="00CD64B5" w:rsidRPr="007F2C2A" w:rsidRDefault="00CD64B5" w:rsidP="00CD64B5">
            <w:pPr>
              <w:rPr>
                <w:sz w:val="20"/>
              </w:rPr>
            </w:pPr>
            <w:r w:rsidRPr="007F2C2A">
              <w:rPr>
                <w:sz w:val="20"/>
              </w:rPr>
              <w:t>5</w:t>
            </w:r>
          </w:p>
        </w:tc>
        <w:tc>
          <w:tcPr>
            <w:tcW w:w="810" w:type="dxa"/>
            <w:tcBorders>
              <w:top w:val="single" w:sz="4" w:space="0" w:color="000000"/>
              <w:left w:val="single" w:sz="4" w:space="0" w:color="000000"/>
              <w:bottom w:val="single" w:sz="8" w:space="0" w:color="auto"/>
              <w:right w:val="single" w:sz="4" w:space="0" w:color="000000"/>
            </w:tcBorders>
            <w:hideMark/>
          </w:tcPr>
          <w:p w14:paraId="7F3C1A83" w14:textId="77777777" w:rsidR="00CD64B5" w:rsidRPr="007F2C2A" w:rsidRDefault="00CD64B5" w:rsidP="00CD64B5">
            <w:pPr>
              <w:rPr>
                <w:sz w:val="20"/>
              </w:rPr>
            </w:pPr>
            <w:r w:rsidRPr="007F2C2A">
              <w:rPr>
                <w:sz w:val="20"/>
              </w:rPr>
              <w:t>5</w:t>
            </w:r>
          </w:p>
        </w:tc>
        <w:tc>
          <w:tcPr>
            <w:tcW w:w="865" w:type="dxa"/>
            <w:gridSpan w:val="2"/>
            <w:tcBorders>
              <w:top w:val="single" w:sz="4" w:space="0" w:color="000000"/>
              <w:left w:val="single" w:sz="4" w:space="0" w:color="000000"/>
              <w:bottom w:val="single" w:sz="8" w:space="0" w:color="auto"/>
              <w:right w:val="single" w:sz="4" w:space="0" w:color="000000"/>
            </w:tcBorders>
            <w:hideMark/>
          </w:tcPr>
          <w:p w14:paraId="3FD20E3F" w14:textId="77777777" w:rsidR="00CD64B5" w:rsidRPr="007F2C2A" w:rsidRDefault="00CD64B5" w:rsidP="00CD64B5">
            <w:pPr>
              <w:rPr>
                <w:sz w:val="20"/>
              </w:rPr>
            </w:pPr>
            <w:r w:rsidRPr="007F2C2A">
              <w:rPr>
                <w:sz w:val="20"/>
              </w:rPr>
              <w:t>-</w:t>
            </w:r>
          </w:p>
        </w:tc>
        <w:tc>
          <w:tcPr>
            <w:tcW w:w="810" w:type="dxa"/>
            <w:gridSpan w:val="2"/>
            <w:tcBorders>
              <w:top w:val="single" w:sz="4" w:space="0" w:color="000000"/>
              <w:left w:val="single" w:sz="4" w:space="0" w:color="000000"/>
              <w:bottom w:val="single" w:sz="8" w:space="0" w:color="auto"/>
              <w:right w:val="single" w:sz="6" w:space="0" w:color="auto"/>
            </w:tcBorders>
            <w:hideMark/>
          </w:tcPr>
          <w:p w14:paraId="78796E0F" w14:textId="77777777" w:rsidR="00CD64B5" w:rsidRPr="007F2C2A" w:rsidRDefault="00CD64B5" w:rsidP="00CD64B5">
            <w:pPr>
              <w:rPr>
                <w:sz w:val="20"/>
              </w:rPr>
            </w:pPr>
            <w:r w:rsidRPr="007F2C2A">
              <w:rPr>
                <w:sz w:val="20"/>
              </w:rPr>
              <w:t>+</w:t>
            </w:r>
          </w:p>
        </w:tc>
      </w:tr>
    </w:tbl>
    <w:p w14:paraId="03467174" w14:textId="77777777" w:rsidR="00CD64B5" w:rsidRPr="001352AB" w:rsidRDefault="00CD64B5" w:rsidP="00CD64B5">
      <w:pPr>
        <w:rPr>
          <w:lang w:val="ka-GE" w:eastAsia="ru-RU"/>
        </w:rPr>
      </w:pPr>
    </w:p>
    <w:p w14:paraId="407B3353" w14:textId="77777777" w:rsidR="00CD64B5" w:rsidRPr="001352AB" w:rsidRDefault="00CD64B5" w:rsidP="00CD64B5">
      <w:pPr>
        <w:spacing w:before="120" w:after="120"/>
      </w:pPr>
      <w:r w:rsidRPr="001352AB">
        <w:rPr>
          <w:rFonts w:ascii="Sylfaen" w:hAnsi="Sylfaen" w:cs="Sylfaen"/>
        </w:rPr>
        <w:t>მიღებული</w:t>
      </w:r>
      <w:r w:rsidRPr="001352AB">
        <w:t xml:space="preserve"> </w:t>
      </w:r>
      <w:r w:rsidRPr="001352AB">
        <w:rPr>
          <w:rFonts w:ascii="Sylfaen" w:hAnsi="Sylfaen" w:cs="Sylfaen"/>
        </w:rPr>
        <w:t>პირობითი</w:t>
      </w:r>
      <w:r w:rsidRPr="001352AB">
        <w:t xml:space="preserve"> </w:t>
      </w:r>
      <w:r w:rsidRPr="001352AB">
        <w:rPr>
          <w:rFonts w:ascii="Sylfaen" w:hAnsi="Sylfaen" w:cs="Sylfaen"/>
        </w:rPr>
        <w:t>აღნიშვნები</w:t>
      </w:r>
      <w:r w:rsidRPr="001352AB">
        <w:t xml:space="preserve">, </w:t>
      </w:r>
      <w:r w:rsidRPr="001352AB">
        <w:rPr>
          <w:rFonts w:ascii="Sylfaen" w:hAnsi="Sylfaen" w:cs="Sylfaen"/>
        </w:rPr>
        <w:t>საანგარიშო</w:t>
      </w:r>
      <w:r w:rsidRPr="001352AB">
        <w:t xml:space="preserve"> </w:t>
      </w:r>
      <w:r w:rsidRPr="001352AB">
        <w:rPr>
          <w:rFonts w:ascii="Sylfaen" w:hAnsi="Sylfaen" w:cs="Sylfaen"/>
        </w:rPr>
        <w:t>ფორმულები</w:t>
      </w:r>
      <w:r w:rsidRPr="001352AB">
        <w:t xml:space="preserve">, </w:t>
      </w:r>
      <w:r w:rsidRPr="001352AB">
        <w:rPr>
          <w:rFonts w:ascii="Sylfaen" w:hAnsi="Sylfaen" w:cs="Sylfaen"/>
        </w:rPr>
        <w:t>აგრეთვე</w:t>
      </w:r>
      <w:r w:rsidRPr="001352AB">
        <w:t xml:space="preserve"> </w:t>
      </w:r>
      <w:r w:rsidRPr="001352AB">
        <w:rPr>
          <w:rFonts w:ascii="Sylfaen" w:hAnsi="Sylfaen" w:cs="Sylfaen"/>
        </w:rPr>
        <w:t>საანგარიშო</w:t>
      </w:r>
      <w:r w:rsidRPr="001352AB">
        <w:t xml:space="preserve"> </w:t>
      </w:r>
      <w:r w:rsidRPr="001352AB">
        <w:rPr>
          <w:rFonts w:ascii="Sylfaen" w:hAnsi="Sylfaen" w:cs="Sylfaen"/>
        </w:rPr>
        <w:t>პარამეტრები</w:t>
      </w:r>
      <w:r w:rsidRPr="001352AB">
        <w:t xml:space="preserve"> </w:t>
      </w:r>
      <w:r w:rsidRPr="001352AB">
        <w:rPr>
          <w:rFonts w:ascii="Sylfaen" w:hAnsi="Sylfaen" w:cs="Sylfaen"/>
        </w:rPr>
        <w:t>და</w:t>
      </w:r>
      <w:r w:rsidRPr="001352AB">
        <w:t xml:space="preserve"> </w:t>
      </w:r>
      <w:r w:rsidRPr="001352AB">
        <w:rPr>
          <w:rFonts w:ascii="Sylfaen" w:hAnsi="Sylfaen" w:cs="Sylfaen"/>
        </w:rPr>
        <w:t>მათი</w:t>
      </w:r>
      <w:r w:rsidRPr="001352AB">
        <w:t xml:space="preserve"> </w:t>
      </w:r>
      <w:r w:rsidRPr="001352AB">
        <w:rPr>
          <w:rFonts w:ascii="Sylfaen" w:hAnsi="Sylfaen" w:cs="Sylfaen"/>
        </w:rPr>
        <w:t>დასაბუთება</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ქვემოთ</w:t>
      </w:r>
      <w:r w:rsidRPr="001352AB">
        <w:t>:</w:t>
      </w:r>
    </w:p>
    <w:p w14:paraId="516CDC3B" w14:textId="77777777" w:rsidR="00CD64B5" w:rsidRPr="001352AB" w:rsidRDefault="00CD64B5" w:rsidP="00CD64B5">
      <w:pPr>
        <w:spacing w:before="120" w:after="120"/>
      </w:pPr>
      <w:r w:rsidRPr="001352AB">
        <w:t>i-</w:t>
      </w:r>
      <w:r w:rsidRPr="001352AB">
        <w:rPr>
          <w:rFonts w:ascii="Sylfaen" w:hAnsi="Sylfaen" w:cs="Sylfaen"/>
        </w:rPr>
        <w:t>ური</w:t>
      </w:r>
      <w:r w:rsidRPr="001352AB">
        <w:t xml:space="preserve"> </w:t>
      </w:r>
      <w:r w:rsidRPr="001352AB">
        <w:rPr>
          <w:rFonts w:ascii="Sylfaen" w:hAnsi="Sylfaen" w:cs="Sylfaen"/>
        </w:rPr>
        <w:t>ნივთიერების</w:t>
      </w:r>
      <w:r w:rsidRPr="001352AB">
        <w:t xml:space="preserve"> </w:t>
      </w:r>
      <w:r w:rsidRPr="001352AB">
        <w:rPr>
          <w:rFonts w:ascii="Sylfaen" w:hAnsi="Sylfaen" w:cs="Sylfaen"/>
        </w:rPr>
        <w:t>ემისია</w:t>
      </w:r>
      <w:r w:rsidRPr="001352AB">
        <w:t xml:space="preserve">  </w:t>
      </w:r>
      <w:r w:rsidRPr="001352AB">
        <w:rPr>
          <w:rFonts w:ascii="Sylfaen" w:hAnsi="Sylfaen" w:cs="Sylfaen"/>
        </w:rPr>
        <w:t>ერთი</w:t>
      </w:r>
      <w:r w:rsidRPr="001352AB">
        <w:t xml:space="preserve"> k-</w:t>
      </w:r>
      <w:r w:rsidRPr="001352AB">
        <w:rPr>
          <w:rFonts w:ascii="Sylfaen" w:hAnsi="Sylfaen" w:cs="Sylfaen"/>
        </w:rPr>
        <w:t>ური</w:t>
      </w:r>
      <w:r w:rsidRPr="001352AB">
        <w:t xml:space="preserve"> </w:t>
      </w:r>
      <w:r w:rsidRPr="001352AB">
        <w:rPr>
          <w:rFonts w:ascii="Sylfaen" w:hAnsi="Sylfaen" w:cs="Sylfaen"/>
        </w:rPr>
        <w:t>ტიპის</w:t>
      </w:r>
      <w:r w:rsidRPr="001352AB">
        <w:t xml:space="preserve"> </w:t>
      </w:r>
      <w:r w:rsidRPr="001352AB">
        <w:rPr>
          <w:rFonts w:ascii="Sylfaen" w:hAnsi="Sylfaen" w:cs="Sylfaen"/>
        </w:rPr>
        <w:t>მანქანიდან</w:t>
      </w:r>
      <w:r w:rsidRPr="001352AB">
        <w:t xml:space="preserve"> </w:t>
      </w:r>
      <w:r w:rsidRPr="001352AB">
        <w:rPr>
          <w:rFonts w:ascii="Sylfaen" w:hAnsi="Sylfaen" w:cs="Sylfaen"/>
        </w:rPr>
        <w:t>ტერიტორიიდან</w:t>
      </w:r>
      <w:r w:rsidRPr="001352AB">
        <w:t xml:space="preserve"> </w:t>
      </w:r>
      <w:r w:rsidRPr="001352AB">
        <w:rPr>
          <w:rFonts w:ascii="Sylfaen" w:hAnsi="Sylfaen" w:cs="Sylfaen"/>
        </w:rPr>
        <w:t>გამოსვლისას</w:t>
      </w:r>
      <w:r w:rsidRPr="001352AB">
        <w:t xml:space="preserve"> M1ik </w:t>
      </w:r>
      <w:r w:rsidRPr="001352AB">
        <w:rPr>
          <w:rFonts w:ascii="Sylfaen" w:hAnsi="Sylfaen" w:cs="Sylfaen"/>
        </w:rPr>
        <w:t>და</w:t>
      </w:r>
      <w:r w:rsidRPr="001352AB">
        <w:t xml:space="preserve"> </w:t>
      </w:r>
      <w:r w:rsidRPr="001352AB">
        <w:rPr>
          <w:rFonts w:ascii="Sylfaen" w:hAnsi="Sylfaen" w:cs="Sylfaen"/>
        </w:rPr>
        <w:t>დაბრუნებისას</w:t>
      </w:r>
      <w:r w:rsidRPr="001352AB">
        <w:t xml:space="preserve"> M2ik </w:t>
      </w:r>
      <w:r w:rsidRPr="001352AB">
        <w:rPr>
          <w:rFonts w:ascii="Sylfaen" w:hAnsi="Sylfaen" w:cs="Sylfaen"/>
        </w:rPr>
        <w:t>ხორციელდება</w:t>
      </w:r>
      <w:r w:rsidRPr="001352AB">
        <w:t xml:space="preserve"> </w:t>
      </w:r>
      <w:r w:rsidRPr="001352AB">
        <w:rPr>
          <w:rFonts w:ascii="Sylfaen" w:hAnsi="Sylfaen" w:cs="Sylfaen"/>
        </w:rPr>
        <w:t>ფორმულებით</w:t>
      </w:r>
      <w:r w:rsidRPr="001352AB">
        <w:t xml:space="preserve">: </w:t>
      </w:r>
    </w:p>
    <w:p w14:paraId="5849B58C" w14:textId="77777777" w:rsidR="00CD64B5" w:rsidRPr="001352AB" w:rsidRDefault="00CD64B5" w:rsidP="00CD64B5">
      <w:pPr>
        <w:spacing w:before="120" w:after="120"/>
      </w:pPr>
      <w:r w:rsidRPr="001352AB">
        <w:t xml:space="preserve">M1ik = mПР ik · tПР + mL ik · L1 + mХХ ik · tХХ 1, </w:t>
      </w:r>
      <w:r w:rsidRPr="001352AB">
        <w:rPr>
          <w:rFonts w:ascii="Sylfaen" w:hAnsi="Sylfaen" w:cs="Sylfaen"/>
        </w:rPr>
        <w:t>გ</w:t>
      </w:r>
    </w:p>
    <w:p w14:paraId="1EC6AE34" w14:textId="77777777" w:rsidR="00CD64B5" w:rsidRPr="001352AB" w:rsidRDefault="00CD64B5" w:rsidP="00CD64B5">
      <w:pPr>
        <w:spacing w:before="120" w:after="120"/>
      </w:pPr>
      <w:r w:rsidRPr="001352AB">
        <w:t xml:space="preserve">M2ik = mL ik · L2 + mХХ ik · tХХ 2, </w:t>
      </w:r>
      <w:r w:rsidRPr="001352AB">
        <w:rPr>
          <w:rFonts w:ascii="Sylfaen" w:hAnsi="Sylfaen" w:cs="Sylfaen"/>
        </w:rPr>
        <w:t>გ</w:t>
      </w:r>
    </w:p>
    <w:p w14:paraId="4715BB69" w14:textId="77777777" w:rsidR="00CD64B5" w:rsidRPr="001352AB" w:rsidRDefault="00CD64B5" w:rsidP="00CD64B5">
      <w:pPr>
        <w:spacing w:before="120" w:after="120"/>
      </w:pPr>
      <w:r w:rsidRPr="001352AB">
        <w:rPr>
          <w:rFonts w:ascii="Sylfaen" w:hAnsi="Sylfaen" w:cs="Sylfaen"/>
        </w:rPr>
        <w:t>სადაც</w:t>
      </w:r>
      <w:r w:rsidRPr="001352AB">
        <w:t xml:space="preserve"> mПР ik– i-</w:t>
      </w:r>
      <w:r w:rsidRPr="001352AB">
        <w:rPr>
          <w:rFonts w:ascii="Sylfaen" w:hAnsi="Sylfaen" w:cs="Sylfaen"/>
        </w:rPr>
        <w:t>ური</w:t>
      </w:r>
      <w:r w:rsidRPr="001352AB">
        <w:t xml:space="preserve"> </w:t>
      </w:r>
      <w:r w:rsidRPr="001352AB">
        <w:rPr>
          <w:rFonts w:ascii="Sylfaen" w:hAnsi="Sylfaen" w:cs="Sylfaen"/>
        </w:rPr>
        <w:t>ნივთიერების</w:t>
      </w:r>
      <w:r w:rsidRPr="001352AB">
        <w:t xml:space="preserve"> </w:t>
      </w:r>
      <w:r w:rsidRPr="001352AB">
        <w:rPr>
          <w:rFonts w:ascii="Sylfaen" w:hAnsi="Sylfaen" w:cs="Sylfaen"/>
        </w:rPr>
        <w:t>კუთრი</w:t>
      </w:r>
      <w:r w:rsidRPr="001352AB">
        <w:t xml:space="preserve"> </w:t>
      </w:r>
      <w:r w:rsidRPr="001352AB">
        <w:rPr>
          <w:rFonts w:ascii="Sylfaen" w:hAnsi="Sylfaen" w:cs="Sylfaen"/>
        </w:rPr>
        <w:t>ემისია</w:t>
      </w:r>
      <w:r w:rsidRPr="001352AB">
        <w:t xml:space="preserve"> k-</w:t>
      </w:r>
      <w:r w:rsidRPr="001352AB">
        <w:rPr>
          <w:rFonts w:ascii="Sylfaen" w:hAnsi="Sylfaen" w:cs="Sylfaen"/>
        </w:rPr>
        <w:t>ური</w:t>
      </w:r>
      <w:r w:rsidRPr="001352AB">
        <w:t xml:space="preserve"> </w:t>
      </w:r>
      <w:r w:rsidRPr="001352AB">
        <w:rPr>
          <w:rFonts w:ascii="Sylfaen" w:hAnsi="Sylfaen" w:cs="Sylfaen"/>
        </w:rPr>
        <w:t>ჯგუფის</w:t>
      </w:r>
      <w:r w:rsidRPr="001352AB">
        <w:t xml:space="preserve"> </w:t>
      </w:r>
      <w:r w:rsidRPr="001352AB">
        <w:rPr>
          <w:rFonts w:ascii="Sylfaen" w:hAnsi="Sylfaen" w:cs="Sylfaen"/>
        </w:rPr>
        <w:t>ავტოს</w:t>
      </w:r>
      <w:r w:rsidRPr="001352AB">
        <w:t xml:space="preserve"> </w:t>
      </w:r>
      <w:r w:rsidRPr="001352AB">
        <w:rPr>
          <w:rFonts w:ascii="Sylfaen" w:hAnsi="Sylfaen" w:cs="Sylfaen"/>
        </w:rPr>
        <w:t>ძრავის</w:t>
      </w:r>
      <w:r w:rsidRPr="001352AB">
        <w:t xml:space="preserve"> </w:t>
      </w:r>
      <w:r w:rsidRPr="001352AB">
        <w:rPr>
          <w:rFonts w:ascii="Sylfaen" w:hAnsi="Sylfaen" w:cs="Sylfaen"/>
        </w:rPr>
        <w:t>შეთბობისას</w:t>
      </w:r>
      <w:r w:rsidRPr="001352AB">
        <w:t xml:space="preserve">, </w:t>
      </w:r>
      <w:r w:rsidRPr="001352AB">
        <w:rPr>
          <w:rFonts w:ascii="Sylfaen" w:hAnsi="Sylfaen" w:cs="Sylfaen"/>
        </w:rPr>
        <w:t>გ</w:t>
      </w:r>
      <w:r w:rsidRPr="001352AB">
        <w:t>/</w:t>
      </w:r>
      <w:r w:rsidRPr="001352AB">
        <w:rPr>
          <w:rFonts w:ascii="Sylfaen" w:hAnsi="Sylfaen" w:cs="Sylfaen"/>
        </w:rPr>
        <w:t>წთ</w:t>
      </w:r>
      <w:r w:rsidRPr="001352AB">
        <w:t xml:space="preserve">. </w:t>
      </w:r>
    </w:p>
    <w:p w14:paraId="27C37FAA" w14:textId="77777777" w:rsidR="00CD64B5" w:rsidRPr="001352AB" w:rsidRDefault="00CD64B5" w:rsidP="00CD64B5">
      <w:pPr>
        <w:spacing w:before="120" w:after="120"/>
      </w:pPr>
      <w:r w:rsidRPr="001352AB">
        <w:t>mL ik – i-</w:t>
      </w:r>
      <w:r w:rsidRPr="001352AB">
        <w:rPr>
          <w:rFonts w:ascii="Sylfaen" w:hAnsi="Sylfaen" w:cs="Sylfaen"/>
        </w:rPr>
        <w:t>ური</w:t>
      </w:r>
      <w:r w:rsidRPr="001352AB">
        <w:t xml:space="preserve"> </w:t>
      </w:r>
      <w:r w:rsidRPr="001352AB">
        <w:rPr>
          <w:rFonts w:ascii="Sylfaen" w:hAnsi="Sylfaen" w:cs="Sylfaen"/>
        </w:rPr>
        <w:t>ნივთიერების</w:t>
      </w:r>
      <w:r w:rsidRPr="001352AB">
        <w:t xml:space="preserve"> </w:t>
      </w:r>
      <w:r w:rsidRPr="001352AB">
        <w:rPr>
          <w:rFonts w:ascii="Sylfaen" w:hAnsi="Sylfaen" w:cs="Sylfaen"/>
        </w:rPr>
        <w:t>კუთრი</w:t>
      </w:r>
      <w:r w:rsidRPr="001352AB">
        <w:t xml:space="preserve"> </w:t>
      </w:r>
      <w:r w:rsidRPr="001352AB">
        <w:rPr>
          <w:rFonts w:ascii="Sylfaen" w:hAnsi="Sylfaen" w:cs="Sylfaen"/>
        </w:rPr>
        <w:t>ემისია</w:t>
      </w:r>
      <w:r w:rsidRPr="001352AB">
        <w:t xml:space="preserve"> k-</w:t>
      </w:r>
      <w:r w:rsidRPr="001352AB">
        <w:rPr>
          <w:rFonts w:ascii="Sylfaen" w:hAnsi="Sylfaen" w:cs="Sylfaen"/>
        </w:rPr>
        <w:t>ური</w:t>
      </w:r>
      <w:r w:rsidRPr="001352AB">
        <w:t xml:space="preserve"> </w:t>
      </w:r>
      <w:r w:rsidRPr="001352AB">
        <w:rPr>
          <w:rFonts w:ascii="Sylfaen" w:hAnsi="Sylfaen" w:cs="Sylfaen"/>
        </w:rPr>
        <w:t>ჯგუფის</w:t>
      </w:r>
      <w:r w:rsidRPr="001352AB">
        <w:t xml:space="preserve"> </w:t>
      </w:r>
      <w:r w:rsidRPr="001352AB">
        <w:rPr>
          <w:rFonts w:ascii="Sylfaen" w:hAnsi="Sylfaen" w:cs="Sylfaen"/>
        </w:rPr>
        <w:t>ავტოს</w:t>
      </w:r>
      <w:r w:rsidRPr="001352AB">
        <w:t xml:space="preserve"> </w:t>
      </w:r>
      <w:r w:rsidRPr="001352AB">
        <w:rPr>
          <w:rFonts w:ascii="Sylfaen" w:hAnsi="Sylfaen" w:cs="Sylfaen"/>
        </w:rPr>
        <w:t>მოძრაობისას</w:t>
      </w:r>
      <w:r w:rsidRPr="001352AB">
        <w:t xml:space="preserve"> 10-20</w:t>
      </w:r>
      <w:r w:rsidRPr="001352AB">
        <w:rPr>
          <w:rFonts w:ascii="Sylfaen" w:hAnsi="Sylfaen" w:cs="Sylfaen"/>
        </w:rPr>
        <w:t>კმსიჩქარით</w:t>
      </w:r>
      <w:r w:rsidRPr="001352AB">
        <w:t xml:space="preserve">, </w:t>
      </w:r>
      <w:r w:rsidRPr="001352AB">
        <w:rPr>
          <w:rFonts w:ascii="Sylfaen" w:hAnsi="Sylfaen" w:cs="Sylfaen"/>
        </w:rPr>
        <w:t>გ</w:t>
      </w:r>
      <w:r w:rsidRPr="001352AB">
        <w:t>/</w:t>
      </w:r>
      <w:r w:rsidRPr="001352AB">
        <w:rPr>
          <w:rFonts w:ascii="Sylfaen" w:hAnsi="Sylfaen" w:cs="Sylfaen"/>
        </w:rPr>
        <w:t>კმ</w:t>
      </w:r>
      <w:r w:rsidRPr="001352AB">
        <w:t xml:space="preserve">. </w:t>
      </w:r>
    </w:p>
    <w:p w14:paraId="12057267" w14:textId="77777777" w:rsidR="00CD64B5" w:rsidRPr="001352AB" w:rsidRDefault="00CD64B5" w:rsidP="00CD64B5">
      <w:pPr>
        <w:spacing w:before="120" w:after="120"/>
      </w:pPr>
      <w:r w:rsidRPr="001352AB">
        <w:t>mХХ ik – i-</w:t>
      </w:r>
      <w:r w:rsidRPr="001352AB">
        <w:rPr>
          <w:rFonts w:ascii="Sylfaen" w:hAnsi="Sylfaen" w:cs="Sylfaen"/>
        </w:rPr>
        <w:t>ური</w:t>
      </w:r>
      <w:r w:rsidRPr="001352AB">
        <w:t xml:space="preserve"> </w:t>
      </w:r>
      <w:r w:rsidRPr="001352AB">
        <w:rPr>
          <w:rFonts w:ascii="Sylfaen" w:hAnsi="Sylfaen" w:cs="Sylfaen"/>
        </w:rPr>
        <w:t>ნივთიერების</w:t>
      </w:r>
      <w:r w:rsidRPr="001352AB">
        <w:t xml:space="preserve"> </w:t>
      </w:r>
      <w:r w:rsidRPr="001352AB">
        <w:rPr>
          <w:rFonts w:ascii="Sylfaen" w:hAnsi="Sylfaen" w:cs="Sylfaen"/>
        </w:rPr>
        <w:t>კუთრი</w:t>
      </w:r>
      <w:r w:rsidRPr="001352AB">
        <w:t xml:space="preserve"> </w:t>
      </w:r>
      <w:r w:rsidRPr="001352AB">
        <w:rPr>
          <w:rFonts w:ascii="Sylfaen" w:hAnsi="Sylfaen" w:cs="Sylfaen"/>
        </w:rPr>
        <w:t>ემისია</w:t>
      </w:r>
      <w:r w:rsidRPr="001352AB">
        <w:t xml:space="preserve"> k-</w:t>
      </w:r>
      <w:r w:rsidRPr="001352AB">
        <w:rPr>
          <w:rFonts w:ascii="Sylfaen" w:hAnsi="Sylfaen" w:cs="Sylfaen"/>
        </w:rPr>
        <w:t>ური</w:t>
      </w:r>
      <w:r w:rsidRPr="001352AB">
        <w:t xml:space="preserve"> </w:t>
      </w:r>
      <w:r w:rsidRPr="001352AB">
        <w:rPr>
          <w:rFonts w:ascii="Sylfaen" w:hAnsi="Sylfaen" w:cs="Sylfaen"/>
        </w:rPr>
        <w:t>ჯგუფის</w:t>
      </w:r>
      <w:r w:rsidRPr="001352AB">
        <w:t xml:space="preserve"> </w:t>
      </w:r>
      <w:r w:rsidRPr="001352AB">
        <w:rPr>
          <w:rFonts w:ascii="Sylfaen" w:hAnsi="Sylfaen" w:cs="Sylfaen"/>
        </w:rPr>
        <w:t>ავტომანქანის</w:t>
      </w:r>
      <w:r w:rsidRPr="001352AB">
        <w:t xml:space="preserve"> </w:t>
      </w:r>
      <w:r w:rsidRPr="001352AB">
        <w:rPr>
          <w:rFonts w:ascii="Sylfaen" w:hAnsi="Sylfaen" w:cs="Sylfaen"/>
        </w:rPr>
        <w:t>მუშაობისას</w:t>
      </w:r>
      <w:r w:rsidRPr="001352AB">
        <w:t xml:space="preserve"> </w:t>
      </w:r>
      <w:r w:rsidRPr="001352AB">
        <w:rPr>
          <w:rFonts w:ascii="Sylfaen" w:hAnsi="Sylfaen" w:cs="Sylfaen"/>
        </w:rPr>
        <w:t>უქმი</w:t>
      </w:r>
      <w:r w:rsidRPr="001352AB">
        <w:t xml:space="preserve"> </w:t>
      </w:r>
      <w:r w:rsidRPr="001352AB">
        <w:rPr>
          <w:rFonts w:ascii="Sylfaen" w:hAnsi="Sylfaen" w:cs="Sylfaen"/>
        </w:rPr>
        <w:t>სვლის</w:t>
      </w:r>
      <w:r w:rsidRPr="001352AB">
        <w:t xml:space="preserve"> </w:t>
      </w:r>
      <w:r w:rsidRPr="001352AB">
        <w:rPr>
          <w:rFonts w:ascii="Sylfaen" w:hAnsi="Sylfaen" w:cs="Sylfaen"/>
        </w:rPr>
        <w:t>რეჟიმზე</w:t>
      </w:r>
      <w:r w:rsidRPr="001352AB">
        <w:t xml:space="preserve">, </w:t>
      </w:r>
      <w:r w:rsidRPr="001352AB">
        <w:rPr>
          <w:rFonts w:ascii="Sylfaen" w:hAnsi="Sylfaen" w:cs="Sylfaen"/>
        </w:rPr>
        <w:t>გ</w:t>
      </w:r>
      <w:r w:rsidRPr="001352AB">
        <w:t>/</w:t>
      </w:r>
      <w:r w:rsidRPr="001352AB">
        <w:rPr>
          <w:rFonts w:ascii="Sylfaen" w:hAnsi="Sylfaen" w:cs="Sylfaen"/>
        </w:rPr>
        <w:t>წთ</w:t>
      </w:r>
      <w:r w:rsidRPr="001352AB">
        <w:t xml:space="preserve">. </w:t>
      </w:r>
    </w:p>
    <w:p w14:paraId="7602A47E" w14:textId="77777777" w:rsidR="00CD64B5" w:rsidRPr="001352AB" w:rsidRDefault="00CD64B5" w:rsidP="00CD64B5">
      <w:pPr>
        <w:spacing w:before="120" w:after="120"/>
      </w:pPr>
      <w:r w:rsidRPr="001352AB">
        <w:t xml:space="preserve">tПР - </w:t>
      </w:r>
      <w:r w:rsidRPr="001352AB">
        <w:rPr>
          <w:rFonts w:ascii="Sylfaen" w:hAnsi="Sylfaen" w:cs="Sylfaen"/>
        </w:rPr>
        <w:t>ძრავის</w:t>
      </w:r>
      <w:r w:rsidRPr="001352AB">
        <w:t xml:space="preserve"> </w:t>
      </w:r>
      <w:r w:rsidRPr="001352AB">
        <w:rPr>
          <w:rFonts w:ascii="Sylfaen" w:hAnsi="Sylfaen" w:cs="Sylfaen"/>
        </w:rPr>
        <w:t>გათბობის</w:t>
      </w:r>
      <w:r w:rsidRPr="001352AB">
        <w:t xml:space="preserve"> </w:t>
      </w:r>
      <w:r w:rsidRPr="001352AB">
        <w:rPr>
          <w:rFonts w:ascii="Sylfaen" w:hAnsi="Sylfaen" w:cs="Sylfaen"/>
        </w:rPr>
        <w:t>დრო</w:t>
      </w:r>
      <w:r w:rsidRPr="001352AB">
        <w:t xml:space="preserve">, </w:t>
      </w:r>
      <w:r w:rsidRPr="001352AB">
        <w:rPr>
          <w:rFonts w:ascii="Sylfaen" w:hAnsi="Sylfaen" w:cs="Sylfaen"/>
        </w:rPr>
        <w:t>წთ</w:t>
      </w:r>
      <w:r w:rsidRPr="001352AB">
        <w:t xml:space="preserve">. </w:t>
      </w:r>
    </w:p>
    <w:p w14:paraId="5E6D7620" w14:textId="77777777" w:rsidR="00CD64B5" w:rsidRPr="001352AB" w:rsidRDefault="00CD64B5" w:rsidP="00CD64B5">
      <w:pPr>
        <w:spacing w:before="120" w:after="120"/>
      </w:pPr>
      <w:r w:rsidRPr="001352AB">
        <w:t xml:space="preserve">L1, L2 - </w:t>
      </w:r>
      <w:r w:rsidRPr="001352AB">
        <w:rPr>
          <w:rFonts w:ascii="Sylfaen" w:hAnsi="Sylfaen" w:cs="Sylfaen"/>
        </w:rPr>
        <w:t>ავტომანქანის</w:t>
      </w:r>
      <w:r w:rsidRPr="001352AB">
        <w:t xml:space="preserve"> </w:t>
      </w:r>
      <w:r w:rsidRPr="001352AB">
        <w:rPr>
          <w:rFonts w:ascii="Sylfaen" w:hAnsi="Sylfaen" w:cs="Sylfaen"/>
        </w:rPr>
        <w:t>გარბენი</w:t>
      </w:r>
      <w:r w:rsidRPr="001352AB">
        <w:t xml:space="preserve"> </w:t>
      </w:r>
      <w:r w:rsidRPr="001352AB">
        <w:rPr>
          <w:rFonts w:ascii="Sylfaen" w:hAnsi="Sylfaen" w:cs="Sylfaen"/>
        </w:rPr>
        <w:t>სადგომის</w:t>
      </w:r>
      <w:r w:rsidRPr="001352AB">
        <w:t xml:space="preserve"> </w:t>
      </w:r>
      <w:r w:rsidRPr="001352AB">
        <w:rPr>
          <w:rFonts w:ascii="Sylfaen" w:hAnsi="Sylfaen" w:cs="Sylfaen"/>
        </w:rPr>
        <w:t>ტერიტორიაზე</w:t>
      </w:r>
      <w:r w:rsidRPr="001352AB">
        <w:t xml:space="preserve">, </w:t>
      </w:r>
      <w:r w:rsidRPr="001352AB">
        <w:rPr>
          <w:rFonts w:ascii="Sylfaen" w:hAnsi="Sylfaen" w:cs="Sylfaen"/>
        </w:rPr>
        <w:t>კმ</w:t>
      </w:r>
      <w:r w:rsidRPr="001352AB">
        <w:t>;</w:t>
      </w:r>
    </w:p>
    <w:p w14:paraId="2859894F" w14:textId="77777777" w:rsidR="00CD64B5" w:rsidRPr="001352AB" w:rsidRDefault="00CD64B5" w:rsidP="00CD64B5">
      <w:pPr>
        <w:spacing w:before="120" w:after="120"/>
      </w:pPr>
      <w:r w:rsidRPr="001352AB">
        <w:t xml:space="preserve">tХХ 1, tХХ 2 - </w:t>
      </w:r>
      <w:r w:rsidRPr="001352AB">
        <w:rPr>
          <w:rFonts w:ascii="Sylfaen" w:hAnsi="Sylfaen" w:cs="Sylfaen"/>
        </w:rPr>
        <w:t>ძრავის</w:t>
      </w:r>
      <w:r w:rsidRPr="001352AB">
        <w:t xml:space="preserve"> </w:t>
      </w:r>
      <w:r w:rsidRPr="001352AB">
        <w:rPr>
          <w:rFonts w:ascii="Sylfaen" w:hAnsi="Sylfaen" w:cs="Sylfaen"/>
        </w:rPr>
        <w:t>მუშაობა</w:t>
      </w:r>
      <w:r w:rsidRPr="001352AB">
        <w:t xml:space="preserve"> </w:t>
      </w:r>
      <w:r w:rsidRPr="001352AB">
        <w:rPr>
          <w:rFonts w:ascii="Sylfaen" w:hAnsi="Sylfaen" w:cs="Sylfaen"/>
        </w:rPr>
        <w:t>უქმი</w:t>
      </w:r>
      <w:r w:rsidRPr="001352AB">
        <w:t xml:space="preserve"> </w:t>
      </w:r>
      <w:r w:rsidRPr="001352AB">
        <w:rPr>
          <w:rFonts w:ascii="Sylfaen" w:hAnsi="Sylfaen" w:cs="Sylfaen"/>
        </w:rPr>
        <w:t>სვლის</w:t>
      </w:r>
      <w:r w:rsidRPr="001352AB">
        <w:t xml:space="preserve"> </w:t>
      </w:r>
      <w:r w:rsidRPr="001352AB">
        <w:rPr>
          <w:rFonts w:ascii="Sylfaen" w:hAnsi="Sylfaen" w:cs="Sylfaen"/>
        </w:rPr>
        <w:t>რეჟიმზე</w:t>
      </w:r>
      <w:r w:rsidRPr="001352AB">
        <w:t xml:space="preserve"> </w:t>
      </w:r>
      <w:r w:rsidRPr="001352AB">
        <w:rPr>
          <w:rFonts w:ascii="Sylfaen" w:hAnsi="Sylfaen" w:cs="Sylfaen"/>
        </w:rPr>
        <w:t>სადგომის</w:t>
      </w:r>
      <w:r w:rsidRPr="001352AB">
        <w:t xml:space="preserve"> </w:t>
      </w:r>
      <w:r w:rsidRPr="001352AB">
        <w:rPr>
          <w:rFonts w:ascii="Sylfaen" w:hAnsi="Sylfaen" w:cs="Sylfaen"/>
        </w:rPr>
        <w:t>ტერიტორიიდან</w:t>
      </w:r>
      <w:r w:rsidRPr="001352AB">
        <w:t xml:space="preserve"> </w:t>
      </w:r>
      <w:r w:rsidRPr="001352AB">
        <w:rPr>
          <w:rFonts w:ascii="Sylfaen" w:hAnsi="Sylfaen" w:cs="Sylfaen"/>
        </w:rPr>
        <w:t>გასვლისას</w:t>
      </w:r>
      <w:r w:rsidRPr="001352AB">
        <w:t xml:space="preserve"> </w:t>
      </w:r>
      <w:r w:rsidRPr="001352AB">
        <w:rPr>
          <w:rFonts w:ascii="Sylfaen" w:hAnsi="Sylfaen" w:cs="Sylfaen"/>
        </w:rPr>
        <w:t>და</w:t>
      </w:r>
      <w:r w:rsidRPr="001352AB">
        <w:t xml:space="preserve"> </w:t>
      </w:r>
      <w:r w:rsidRPr="001352AB">
        <w:rPr>
          <w:rFonts w:ascii="Sylfaen" w:hAnsi="Sylfaen" w:cs="Sylfaen"/>
        </w:rPr>
        <w:t>შემოსვლისას</w:t>
      </w:r>
      <w:r w:rsidRPr="001352AB">
        <w:t xml:space="preserve">, </w:t>
      </w:r>
      <w:r w:rsidRPr="001352AB">
        <w:rPr>
          <w:rFonts w:ascii="Sylfaen" w:hAnsi="Sylfaen" w:cs="Sylfaen"/>
        </w:rPr>
        <w:t>წთ</w:t>
      </w:r>
      <w:r w:rsidRPr="001352AB">
        <w:t xml:space="preserve">; </w:t>
      </w:r>
    </w:p>
    <w:p w14:paraId="0DF573D1" w14:textId="77777777" w:rsidR="00CD64B5" w:rsidRPr="001352AB" w:rsidRDefault="00CD64B5" w:rsidP="00CD64B5">
      <w:pPr>
        <w:spacing w:before="120" w:after="120"/>
      </w:pPr>
      <w:r w:rsidRPr="001352AB">
        <w:rPr>
          <w:rFonts w:ascii="Sylfaen" w:hAnsi="Sylfaen" w:cs="Sylfaen"/>
        </w:rPr>
        <w:t>ეკოლოგიური</w:t>
      </w:r>
      <w:r w:rsidRPr="001352AB">
        <w:t xml:space="preserve"> </w:t>
      </w:r>
      <w:r w:rsidRPr="001352AB">
        <w:rPr>
          <w:rFonts w:ascii="Sylfaen" w:hAnsi="Sylfaen" w:cs="Sylfaen"/>
        </w:rPr>
        <w:t>კონტროლის</w:t>
      </w:r>
      <w:r w:rsidRPr="001352AB">
        <w:t xml:space="preserve"> </w:t>
      </w:r>
      <w:r w:rsidRPr="001352AB">
        <w:rPr>
          <w:rFonts w:ascii="Sylfaen" w:hAnsi="Sylfaen" w:cs="Sylfaen"/>
        </w:rPr>
        <w:t>განხორციელებისას</w:t>
      </w:r>
      <w:r w:rsidRPr="001352AB">
        <w:t xml:space="preserve"> </w:t>
      </w:r>
      <w:r w:rsidRPr="001352AB">
        <w:rPr>
          <w:rFonts w:ascii="Sylfaen" w:hAnsi="Sylfaen" w:cs="Sylfaen"/>
        </w:rPr>
        <w:t>ავტომანქანის</w:t>
      </w:r>
      <w:r w:rsidRPr="001352AB">
        <w:t xml:space="preserve"> </w:t>
      </w:r>
      <w:r w:rsidRPr="001352AB">
        <w:rPr>
          <w:rFonts w:ascii="Sylfaen" w:hAnsi="Sylfaen" w:cs="Sylfaen"/>
        </w:rPr>
        <w:t>კუთრი</w:t>
      </w:r>
      <w:r w:rsidRPr="001352AB">
        <w:t xml:space="preserve"> </w:t>
      </w:r>
      <w:r w:rsidRPr="001352AB">
        <w:rPr>
          <w:rFonts w:ascii="Sylfaen" w:hAnsi="Sylfaen" w:cs="Sylfaen"/>
        </w:rPr>
        <w:t>ემისია</w:t>
      </w:r>
      <w:r w:rsidRPr="001352AB">
        <w:t xml:space="preserve"> </w:t>
      </w:r>
      <w:r w:rsidRPr="001352AB">
        <w:rPr>
          <w:rFonts w:ascii="Sylfaen" w:hAnsi="Sylfaen" w:cs="Sylfaen"/>
        </w:rPr>
        <w:t>მცირდება</w:t>
      </w:r>
      <w:r w:rsidRPr="001352AB">
        <w:t xml:space="preserve">, </w:t>
      </w:r>
      <w:r w:rsidRPr="001352AB">
        <w:rPr>
          <w:rFonts w:ascii="Sylfaen" w:hAnsi="Sylfaen" w:cs="Sylfaen"/>
        </w:rPr>
        <w:t>ამიტომ</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მაჩვენებლები</w:t>
      </w:r>
      <w:r w:rsidRPr="001352AB">
        <w:t xml:space="preserve"> </w:t>
      </w:r>
      <w:r w:rsidRPr="001352AB">
        <w:rPr>
          <w:rFonts w:ascii="Sylfaen" w:hAnsi="Sylfaen" w:cs="Sylfaen"/>
        </w:rPr>
        <w:t>უნდა</w:t>
      </w:r>
      <w:r w:rsidRPr="001352AB">
        <w:t xml:space="preserve"> </w:t>
      </w:r>
      <w:r w:rsidRPr="001352AB">
        <w:rPr>
          <w:rFonts w:ascii="Sylfaen" w:hAnsi="Sylfaen" w:cs="Sylfaen"/>
        </w:rPr>
        <w:t>გადაანგარიშდეს</w:t>
      </w:r>
      <w:r w:rsidRPr="001352AB">
        <w:t xml:space="preserve"> </w:t>
      </w:r>
      <w:r w:rsidRPr="001352AB">
        <w:rPr>
          <w:rFonts w:ascii="Sylfaen" w:hAnsi="Sylfaen" w:cs="Sylfaen"/>
        </w:rPr>
        <w:t>ფორმულით</w:t>
      </w:r>
      <w:r w:rsidRPr="001352AB">
        <w:t>:</w:t>
      </w:r>
    </w:p>
    <w:p w14:paraId="1C68E3C8" w14:textId="77777777" w:rsidR="00CD64B5" w:rsidRPr="001352AB" w:rsidRDefault="00CD64B5" w:rsidP="00CD64B5">
      <w:pPr>
        <w:spacing w:before="120" w:after="120"/>
      </w:pPr>
      <w:r w:rsidRPr="001352AB">
        <w:t xml:space="preserve">m'ПР ik = mПР ik · Ki, </w:t>
      </w:r>
      <w:r w:rsidRPr="001352AB">
        <w:rPr>
          <w:rFonts w:ascii="Sylfaen" w:hAnsi="Sylfaen" w:cs="Sylfaen"/>
        </w:rPr>
        <w:t>გ</w:t>
      </w:r>
      <w:r w:rsidRPr="001352AB">
        <w:t>/</w:t>
      </w:r>
      <w:r w:rsidRPr="001352AB">
        <w:rPr>
          <w:rFonts w:ascii="Sylfaen" w:hAnsi="Sylfaen" w:cs="Sylfaen"/>
        </w:rPr>
        <w:t>წთ</w:t>
      </w:r>
      <w:r w:rsidRPr="001352AB">
        <w:t>;</w:t>
      </w:r>
    </w:p>
    <w:p w14:paraId="7EF734BD" w14:textId="77777777" w:rsidR="00CD64B5" w:rsidRPr="001352AB" w:rsidRDefault="00CD64B5" w:rsidP="00CD64B5">
      <w:pPr>
        <w:spacing w:before="120" w:after="120"/>
      </w:pPr>
      <w:r w:rsidRPr="001352AB">
        <w:lastRenderedPageBreak/>
        <w:t xml:space="preserve">m''ХХ ik = mХХ ik · Ki, </w:t>
      </w:r>
      <w:r w:rsidRPr="001352AB">
        <w:rPr>
          <w:rFonts w:ascii="Sylfaen" w:hAnsi="Sylfaen" w:cs="Sylfaen"/>
        </w:rPr>
        <w:t>გ</w:t>
      </w:r>
      <w:r w:rsidRPr="001352AB">
        <w:t>/</w:t>
      </w:r>
      <w:r w:rsidRPr="001352AB">
        <w:rPr>
          <w:rFonts w:ascii="Sylfaen" w:hAnsi="Sylfaen" w:cs="Sylfaen"/>
        </w:rPr>
        <w:t>წთ</w:t>
      </w:r>
      <w:r w:rsidRPr="001352AB">
        <w:t>;</w:t>
      </w:r>
    </w:p>
    <w:p w14:paraId="6CAF22A1" w14:textId="77777777" w:rsidR="00CD64B5" w:rsidRPr="001352AB" w:rsidRDefault="00CD64B5" w:rsidP="00CD64B5">
      <w:pPr>
        <w:spacing w:before="120" w:after="120"/>
      </w:pPr>
      <w:r w:rsidRPr="001352AB">
        <w:rPr>
          <w:rFonts w:ascii="Sylfaen" w:hAnsi="Sylfaen" w:cs="Sylfaen"/>
        </w:rPr>
        <w:t>სადაც</w:t>
      </w:r>
      <w:r w:rsidRPr="001352AB">
        <w:t xml:space="preserve">: Ki – </w:t>
      </w:r>
      <w:r w:rsidRPr="001352AB">
        <w:rPr>
          <w:rFonts w:ascii="Sylfaen" w:hAnsi="Sylfaen" w:cs="Sylfaen"/>
        </w:rPr>
        <w:t>კოეფიციენტი</w:t>
      </w:r>
      <w:r w:rsidRPr="001352AB">
        <w:t xml:space="preserve">, </w:t>
      </w:r>
      <w:r w:rsidRPr="001352AB">
        <w:rPr>
          <w:rFonts w:ascii="Sylfaen" w:hAnsi="Sylfaen" w:cs="Sylfaen"/>
        </w:rPr>
        <w:t>რომელიც</w:t>
      </w:r>
      <w:r w:rsidRPr="001352AB">
        <w:t xml:space="preserve"> </w:t>
      </w:r>
      <w:r w:rsidRPr="001352AB">
        <w:rPr>
          <w:rFonts w:ascii="Sylfaen" w:hAnsi="Sylfaen" w:cs="Sylfaen"/>
        </w:rPr>
        <w:t>ითვალისწინებს</w:t>
      </w:r>
      <w:r w:rsidRPr="001352AB">
        <w:t xml:space="preserve"> i-</w:t>
      </w:r>
      <w:r w:rsidRPr="001352AB">
        <w:rPr>
          <w:rFonts w:ascii="Sylfaen" w:hAnsi="Sylfaen" w:cs="Sylfaen"/>
        </w:rPr>
        <w:t>ური</w:t>
      </w:r>
      <w:r w:rsidRPr="001352AB">
        <w:t xml:space="preserve"> </w:t>
      </w:r>
    </w:p>
    <w:p w14:paraId="15D070F4" w14:textId="77777777" w:rsidR="00CD64B5" w:rsidRPr="001352AB" w:rsidRDefault="00CD64B5" w:rsidP="00CD64B5">
      <w:pPr>
        <w:spacing w:before="120" w:after="120"/>
      </w:pPr>
      <w:r w:rsidRPr="001352AB">
        <w:rPr>
          <w:rFonts w:ascii="Sylfaen" w:hAnsi="Sylfaen" w:cs="Sylfaen"/>
        </w:rPr>
        <w:t>დამაბინძურებელი</w:t>
      </w:r>
      <w:r w:rsidRPr="001352AB">
        <w:t xml:space="preserve"> </w:t>
      </w:r>
      <w:r w:rsidRPr="001352AB">
        <w:rPr>
          <w:rFonts w:ascii="Sylfaen" w:hAnsi="Sylfaen" w:cs="Sylfaen"/>
        </w:rPr>
        <w:t>ნივთიერების</w:t>
      </w:r>
      <w:r w:rsidRPr="001352AB">
        <w:t xml:space="preserve"> </w:t>
      </w:r>
      <w:r w:rsidRPr="001352AB">
        <w:rPr>
          <w:rFonts w:ascii="Sylfaen" w:hAnsi="Sylfaen" w:cs="Sylfaen"/>
        </w:rPr>
        <w:t>შემცირებას</w:t>
      </w:r>
      <w:r w:rsidRPr="001352AB">
        <w:t xml:space="preserve"> </w:t>
      </w:r>
      <w:r w:rsidRPr="001352AB">
        <w:rPr>
          <w:rFonts w:ascii="Sylfaen" w:hAnsi="Sylfaen" w:cs="Sylfaen"/>
        </w:rPr>
        <w:t>ეკოლოგიური</w:t>
      </w:r>
      <w:r w:rsidRPr="001352AB">
        <w:t xml:space="preserve"> </w:t>
      </w:r>
      <w:r w:rsidRPr="001352AB">
        <w:rPr>
          <w:rFonts w:ascii="Sylfaen" w:hAnsi="Sylfaen" w:cs="Sylfaen"/>
        </w:rPr>
        <w:t>კონტროლის</w:t>
      </w:r>
      <w:r w:rsidRPr="001352AB">
        <w:t xml:space="preserve"> </w:t>
      </w:r>
      <w:r w:rsidRPr="001352AB">
        <w:rPr>
          <w:rFonts w:ascii="Sylfaen" w:hAnsi="Sylfaen" w:cs="Sylfaen"/>
        </w:rPr>
        <w:t>ჩატარებისას</w:t>
      </w:r>
      <w:r w:rsidRPr="001352AB">
        <w:t>.</w:t>
      </w:r>
    </w:p>
    <w:p w14:paraId="7889FADB" w14:textId="77777777" w:rsidR="00CD64B5" w:rsidRPr="001352AB" w:rsidRDefault="00CD64B5" w:rsidP="00CD64B5">
      <w:pPr>
        <w:spacing w:before="120" w:after="120"/>
      </w:pPr>
      <w:r w:rsidRPr="001352AB">
        <w:t>i-</w:t>
      </w:r>
      <w:r w:rsidRPr="001352AB">
        <w:rPr>
          <w:rFonts w:ascii="Sylfaen" w:hAnsi="Sylfaen" w:cs="Sylfaen"/>
        </w:rPr>
        <w:t>ური</w:t>
      </w:r>
      <w:r w:rsidRPr="001352AB">
        <w:t xml:space="preserve"> </w:t>
      </w:r>
      <w:r w:rsidRPr="001352AB">
        <w:rPr>
          <w:rFonts w:ascii="Sylfaen" w:hAnsi="Sylfaen" w:cs="Sylfaen"/>
        </w:rPr>
        <w:t>დამაბინძურებელი</w:t>
      </w:r>
      <w:r w:rsidRPr="001352AB">
        <w:t xml:space="preserve"> </w:t>
      </w:r>
      <w:r w:rsidRPr="001352AB">
        <w:rPr>
          <w:rFonts w:ascii="Sylfaen" w:hAnsi="Sylfaen" w:cs="Sylfaen"/>
        </w:rPr>
        <w:t>ნივთიერების</w:t>
      </w:r>
      <w:r w:rsidRPr="001352AB">
        <w:t xml:space="preserve"> </w:t>
      </w:r>
      <w:r w:rsidRPr="001352AB">
        <w:rPr>
          <w:rFonts w:ascii="Sylfaen" w:hAnsi="Sylfaen" w:cs="Sylfaen"/>
        </w:rPr>
        <w:t>ჯამური</w:t>
      </w:r>
      <w:r w:rsidRPr="001352AB">
        <w:t xml:space="preserve"> </w:t>
      </w:r>
      <w:r w:rsidRPr="001352AB">
        <w:rPr>
          <w:rFonts w:ascii="Sylfaen" w:hAnsi="Sylfaen" w:cs="Sylfaen"/>
        </w:rPr>
        <w:t>ემისია</w:t>
      </w:r>
      <w:r w:rsidRPr="001352AB">
        <w:t xml:space="preserve"> </w:t>
      </w:r>
      <w:r w:rsidRPr="001352AB">
        <w:rPr>
          <w:rFonts w:ascii="Sylfaen" w:hAnsi="Sylfaen" w:cs="Sylfaen"/>
        </w:rPr>
        <w:t>იანგარიშება</w:t>
      </w:r>
      <w:r w:rsidRPr="001352AB">
        <w:t xml:space="preserve"> </w:t>
      </w:r>
      <w:r w:rsidRPr="001352AB">
        <w:rPr>
          <w:rFonts w:ascii="Sylfaen" w:hAnsi="Sylfaen" w:cs="Sylfaen"/>
        </w:rPr>
        <w:t>ცალ</w:t>
      </w:r>
      <w:r w:rsidRPr="001352AB">
        <w:t xml:space="preserve"> </w:t>
      </w:r>
      <w:r w:rsidRPr="001352AB">
        <w:rPr>
          <w:rFonts w:ascii="Sylfaen" w:hAnsi="Sylfaen" w:cs="Sylfaen"/>
        </w:rPr>
        <w:t>ცალკე</w:t>
      </w:r>
      <w:r w:rsidRPr="001352AB">
        <w:t xml:space="preserve"> </w:t>
      </w:r>
      <w:r w:rsidRPr="001352AB">
        <w:rPr>
          <w:rFonts w:ascii="Sylfaen" w:hAnsi="Sylfaen" w:cs="Sylfaen"/>
        </w:rPr>
        <w:t>წლის</w:t>
      </w:r>
      <w:r w:rsidRPr="001352AB">
        <w:t xml:space="preserve"> </w:t>
      </w:r>
      <w:r w:rsidRPr="001352AB">
        <w:rPr>
          <w:rFonts w:ascii="Sylfaen" w:hAnsi="Sylfaen" w:cs="Sylfaen"/>
        </w:rPr>
        <w:t>ყოველი</w:t>
      </w:r>
      <w:r w:rsidRPr="001352AB">
        <w:t xml:space="preserve"> </w:t>
      </w:r>
      <w:r w:rsidRPr="001352AB">
        <w:rPr>
          <w:rFonts w:ascii="Sylfaen" w:hAnsi="Sylfaen" w:cs="Sylfaen"/>
        </w:rPr>
        <w:t>პერიოდისათვის</w:t>
      </w:r>
      <w:r w:rsidRPr="001352AB">
        <w:t xml:space="preserve"> </w:t>
      </w:r>
      <w:r w:rsidRPr="001352AB">
        <w:rPr>
          <w:rFonts w:ascii="Sylfaen" w:hAnsi="Sylfaen" w:cs="Sylfaen"/>
        </w:rPr>
        <w:t>ფორმულით</w:t>
      </w:r>
      <w:r w:rsidRPr="001352AB">
        <w:t xml:space="preserve">: </w:t>
      </w:r>
    </w:p>
    <w:p w14:paraId="6069A8EE" w14:textId="77777777" w:rsidR="00CD64B5" w:rsidRPr="001352AB" w:rsidRDefault="00CD64B5" w:rsidP="00CD64B5">
      <w:pPr>
        <w:spacing w:before="120" w:after="120"/>
      </w:pPr>
      <w:r w:rsidRPr="001352AB">
        <w:t xml:space="preserve">Mij = ∑kk=1αв(M1ik + M2ik)Nk · DР · 10-6, </w:t>
      </w:r>
      <w:r w:rsidRPr="001352AB">
        <w:rPr>
          <w:rFonts w:ascii="Sylfaen" w:hAnsi="Sylfaen" w:cs="Sylfaen"/>
        </w:rPr>
        <w:t>ტ</w:t>
      </w:r>
      <w:r w:rsidRPr="001352AB">
        <w:t>/</w:t>
      </w:r>
      <w:r w:rsidRPr="001352AB">
        <w:rPr>
          <w:rFonts w:ascii="Sylfaen" w:hAnsi="Sylfaen" w:cs="Sylfaen"/>
        </w:rPr>
        <w:t>წელ</w:t>
      </w:r>
      <w:r w:rsidRPr="001352AB">
        <w:t>;</w:t>
      </w:r>
      <w:r w:rsidRPr="001352AB">
        <w:tab/>
      </w:r>
    </w:p>
    <w:p w14:paraId="50829896" w14:textId="77777777" w:rsidR="00CD64B5" w:rsidRPr="001352AB" w:rsidRDefault="00CD64B5" w:rsidP="00CD64B5">
      <w:pPr>
        <w:spacing w:before="120" w:after="120"/>
      </w:pPr>
      <w:r w:rsidRPr="001352AB">
        <w:rPr>
          <w:rFonts w:ascii="Sylfaen" w:hAnsi="Sylfaen" w:cs="Sylfaen"/>
        </w:rPr>
        <w:t>სადაც</w:t>
      </w:r>
      <w:r w:rsidRPr="001352AB">
        <w:t xml:space="preserve"> αв - </w:t>
      </w:r>
      <w:r w:rsidRPr="001352AB">
        <w:rPr>
          <w:rFonts w:ascii="Sylfaen" w:hAnsi="Sylfaen" w:cs="Sylfaen"/>
        </w:rPr>
        <w:t>სადგომიდან</w:t>
      </w:r>
      <w:r w:rsidRPr="001352AB">
        <w:t xml:space="preserve"> </w:t>
      </w:r>
      <w:r w:rsidRPr="001352AB">
        <w:rPr>
          <w:rFonts w:ascii="Sylfaen" w:hAnsi="Sylfaen" w:cs="Sylfaen"/>
        </w:rPr>
        <w:t>გამოსვლის</w:t>
      </w:r>
      <w:r w:rsidRPr="001352AB">
        <w:t xml:space="preserve"> </w:t>
      </w:r>
      <w:r w:rsidRPr="001352AB">
        <w:rPr>
          <w:rFonts w:ascii="Sylfaen" w:hAnsi="Sylfaen" w:cs="Sylfaen"/>
        </w:rPr>
        <w:t>კოეფიციენტი</w:t>
      </w:r>
      <w:r w:rsidRPr="001352AB">
        <w:t>;</w:t>
      </w:r>
    </w:p>
    <w:p w14:paraId="3D24A270" w14:textId="77777777" w:rsidR="00CD64B5" w:rsidRPr="001352AB" w:rsidRDefault="00CD64B5" w:rsidP="00CD64B5">
      <w:pPr>
        <w:spacing w:before="120" w:after="120"/>
      </w:pPr>
      <w:r w:rsidRPr="001352AB">
        <w:t xml:space="preserve">Nk - </w:t>
      </w:r>
      <w:r w:rsidRPr="001352AB">
        <w:rPr>
          <w:rFonts w:ascii="Sylfaen" w:hAnsi="Sylfaen" w:cs="Sylfaen"/>
        </w:rPr>
        <w:t>ერთდროულად</w:t>
      </w:r>
      <w:r w:rsidRPr="001352AB">
        <w:t xml:space="preserve"> </w:t>
      </w:r>
      <w:r w:rsidRPr="001352AB">
        <w:rPr>
          <w:rFonts w:ascii="Sylfaen" w:hAnsi="Sylfaen" w:cs="Sylfaen"/>
        </w:rPr>
        <w:t>მომუშავე</w:t>
      </w:r>
      <w:r w:rsidRPr="001352AB">
        <w:t xml:space="preserve"> k-</w:t>
      </w:r>
      <w:r w:rsidRPr="001352AB">
        <w:rPr>
          <w:rFonts w:ascii="Sylfaen" w:hAnsi="Sylfaen" w:cs="Sylfaen"/>
        </w:rPr>
        <w:t>ური</w:t>
      </w:r>
      <w:r w:rsidRPr="001352AB">
        <w:t xml:space="preserve"> </w:t>
      </w:r>
      <w:r w:rsidRPr="001352AB">
        <w:rPr>
          <w:rFonts w:ascii="Sylfaen" w:hAnsi="Sylfaen" w:cs="Sylfaen"/>
        </w:rPr>
        <w:t>ჯგუფის</w:t>
      </w:r>
      <w:r w:rsidRPr="001352AB">
        <w:t xml:space="preserve"> </w:t>
      </w:r>
      <w:r w:rsidRPr="001352AB">
        <w:rPr>
          <w:rFonts w:ascii="Sylfaen" w:hAnsi="Sylfaen" w:cs="Sylfaen"/>
        </w:rPr>
        <w:t>ავტომანქანების</w:t>
      </w:r>
      <w:r w:rsidRPr="001352AB">
        <w:t xml:space="preserve"> </w:t>
      </w:r>
      <w:r w:rsidRPr="001352AB">
        <w:rPr>
          <w:rFonts w:ascii="Sylfaen" w:hAnsi="Sylfaen" w:cs="Sylfaen"/>
        </w:rPr>
        <w:t>რ</w:t>
      </w:r>
      <w:r w:rsidRPr="001352AB">
        <w:t>-</w:t>
      </w:r>
      <w:r w:rsidRPr="001352AB">
        <w:rPr>
          <w:rFonts w:ascii="Sylfaen" w:hAnsi="Sylfaen" w:cs="Sylfaen"/>
        </w:rPr>
        <w:t>ბა</w:t>
      </w:r>
      <w:r w:rsidRPr="001352AB">
        <w:t xml:space="preserve"> </w:t>
      </w:r>
      <w:r w:rsidRPr="001352AB">
        <w:rPr>
          <w:rFonts w:ascii="Sylfaen" w:hAnsi="Sylfaen" w:cs="Sylfaen"/>
        </w:rPr>
        <w:t>საანგარიშო</w:t>
      </w:r>
      <w:r w:rsidRPr="001352AB">
        <w:t xml:space="preserve"> </w:t>
      </w:r>
      <w:r w:rsidRPr="001352AB">
        <w:rPr>
          <w:rFonts w:ascii="Sylfaen" w:hAnsi="Sylfaen" w:cs="Sylfaen"/>
        </w:rPr>
        <w:t>პერიოდში</w:t>
      </w:r>
      <w:r w:rsidRPr="001352AB">
        <w:t xml:space="preserve">. </w:t>
      </w:r>
    </w:p>
    <w:p w14:paraId="41786466" w14:textId="77777777" w:rsidR="00CD64B5" w:rsidRPr="001352AB" w:rsidRDefault="00CD64B5" w:rsidP="00CD64B5">
      <w:pPr>
        <w:spacing w:before="120" w:after="120"/>
      </w:pPr>
      <w:r w:rsidRPr="001352AB">
        <w:t xml:space="preserve">DР - </w:t>
      </w:r>
      <w:r w:rsidRPr="001352AB">
        <w:rPr>
          <w:rFonts w:ascii="Sylfaen" w:hAnsi="Sylfaen" w:cs="Sylfaen"/>
        </w:rPr>
        <w:t>სამუშ</w:t>
      </w:r>
      <w:r w:rsidRPr="001352AB">
        <w:t>V</w:t>
      </w:r>
      <w:r w:rsidRPr="001352AB">
        <w:rPr>
          <w:rFonts w:ascii="Sylfaen" w:hAnsi="Sylfaen" w:cs="Sylfaen"/>
        </w:rPr>
        <w:t>ო</w:t>
      </w:r>
      <w:r w:rsidRPr="001352AB">
        <w:t xml:space="preserve"> </w:t>
      </w:r>
      <w:r w:rsidRPr="001352AB">
        <w:rPr>
          <w:rFonts w:ascii="Sylfaen" w:hAnsi="Sylfaen" w:cs="Sylfaen"/>
        </w:rPr>
        <w:t>დღეთა</w:t>
      </w:r>
      <w:r w:rsidRPr="001352AB">
        <w:t xml:space="preserve"> </w:t>
      </w:r>
      <w:r w:rsidRPr="001352AB">
        <w:rPr>
          <w:rFonts w:ascii="Sylfaen" w:hAnsi="Sylfaen" w:cs="Sylfaen"/>
        </w:rPr>
        <w:t>რ</w:t>
      </w:r>
      <w:r w:rsidRPr="001352AB">
        <w:t>-</w:t>
      </w:r>
      <w:r w:rsidRPr="001352AB">
        <w:rPr>
          <w:rFonts w:ascii="Sylfaen" w:hAnsi="Sylfaen" w:cs="Sylfaen"/>
        </w:rPr>
        <w:t>ბა</w:t>
      </w:r>
      <w:r w:rsidRPr="001352AB">
        <w:t xml:space="preserve"> </w:t>
      </w:r>
      <w:r w:rsidRPr="001352AB">
        <w:rPr>
          <w:rFonts w:ascii="Sylfaen" w:hAnsi="Sylfaen" w:cs="Sylfaen"/>
        </w:rPr>
        <w:t>საანგარიშო</w:t>
      </w:r>
      <w:r w:rsidRPr="001352AB">
        <w:t xml:space="preserve"> </w:t>
      </w:r>
      <w:r w:rsidRPr="001352AB">
        <w:rPr>
          <w:rFonts w:ascii="Sylfaen" w:hAnsi="Sylfaen" w:cs="Sylfaen"/>
        </w:rPr>
        <w:t>პერიოდში</w:t>
      </w:r>
      <w:r w:rsidRPr="001352AB">
        <w:t xml:space="preserve"> –(</w:t>
      </w:r>
      <w:r w:rsidRPr="001352AB">
        <w:rPr>
          <w:rFonts w:ascii="Sylfaen" w:hAnsi="Sylfaen" w:cs="Sylfaen"/>
        </w:rPr>
        <w:t>თბილი</w:t>
      </w:r>
      <w:r w:rsidRPr="001352AB">
        <w:t xml:space="preserve">, </w:t>
      </w:r>
      <w:r w:rsidRPr="001352AB">
        <w:rPr>
          <w:rFonts w:ascii="Sylfaen" w:hAnsi="Sylfaen" w:cs="Sylfaen"/>
        </w:rPr>
        <w:t>გარდამავალი</w:t>
      </w:r>
      <w:r w:rsidRPr="001352AB">
        <w:t xml:space="preserve">, </w:t>
      </w:r>
      <w:r w:rsidRPr="001352AB">
        <w:rPr>
          <w:rFonts w:ascii="Sylfaen" w:hAnsi="Sylfaen" w:cs="Sylfaen"/>
        </w:rPr>
        <w:t>ცივი</w:t>
      </w:r>
      <w:r w:rsidRPr="001352AB">
        <w:t>);</w:t>
      </w:r>
    </w:p>
    <w:p w14:paraId="42B0825C" w14:textId="77777777" w:rsidR="00CD64B5" w:rsidRPr="001352AB" w:rsidRDefault="00CD64B5" w:rsidP="00CD64B5">
      <w:pPr>
        <w:spacing w:before="120" w:after="120"/>
      </w:pPr>
      <w:r w:rsidRPr="001352AB">
        <w:t xml:space="preserve">j – </w:t>
      </w:r>
      <w:r w:rsidRPr="001352AB">
        <w:rPr>
          <w:rFonts w:ascii="Sylfaen" w:hAnsi="Sylfaen" w:cs="Sylfaen"/>
        </w:rPr>
        <w:t>წლის</w:t>
      </w:r>
      <w:r w:rsidRPr="001352AB">
        <w:t xml:space="preserve"> </w:t>
      </w:r>
      <w:r w:rsidRPr="001352AB">
        <w:rPr>
          <w:rFonts w:ascii="Sylfaen" w:hAnsi="Sylfaen" w:cs="Sylfaen"/>
        </w:rPr>
        <w:t>პერიოდი</w:t>
      </w:r>
      <w:r w:rsidRPr="001352AB">
        <w:t xml:space="preserve"> (Т - </w:t>
      </w:r>
      <w:r w:rsidRPr="001352AB">
        <w:rPr>
          <w:rFonts w:ascii="Sylfaen" w:hAnsi="Sylfaen" w:cs="Sylfaen"/>
        </w:rPr>
        <w:t>თბილი</w:t>
      </w:r>
      <w:r w:rsidRPr="001352AB">
        <w:t xml:space="preserve">, П - </w:t>
      </w:r>
      <w:r w:rsidRPr="001352AB">
        <w:rPr>
          <w:rFonts w:ascii="Sylfaen" w:hAnsi="Sylfaen" w:cs="Sylfaen"/>
        </w:rPr>
        <w:t>გარდამავალი</w:t>
      </w:r>
      <w:r w:rsidRPr="001352AB">
        <w:t xml:space="preserve">, Х - </w:t>
      </w:r>
      <w:r w:rsidRPr="001352AB">
        <w:rPr>
          <w:rFonts w:ascii="Sylfaen" w:hAnsi="Sylfaen" w:cs="Sylfaen"/>
        </w:rPr>
        <w:t>ცივი</w:t>
      </w:r>
      <w:r w:rsidRPr="001352AB">
        <w:t xml:space="preserve">); </w:t>
      </w:r>
      <w:r w:rsidRPr="001352AB">
        <w:rPr>
          <w:rFonts w:ascii="Sylfaen" w:hAnsi="Sylfaen" w:cs="Sylfaen"/>
        </w:rPr>
        <w:t>წლის</w:t>
      </w:r>
      <w:r w:rsidRPr="001352AB">
        <w:t xml:space="preserve"> </w:t>
      </w:r>
      <w:r w:rsidRPr="001352AB">
        <w:rPr>
          <w:rFonts w:ascii="Sylfaen" w:hAnsi="Sylfaen" w:cs="Sylfaen"/>
        </w:rPr>
        <w:t>ცივ</w:t>
      </w:r>
      <w:r w:rsidRPr="001352AB">
        <w:t xml:space="preserve"> </w:t>
      </w:r>
      <w:r w:rsidRPr="001352AB">
        <w:rPr>
          <w:rFonts w:ascii="Sylfaen" w:hAnsi="Sylfaen" w:cs="Sylfaen"/>
        </w:rPr>
        <w:t>და</w:t>
      </w:r>
      <w:r w:rsidRPr="001352AB">
        <w:t xml:space="preserve"> </w:t>
      </w:r>
      <w:r w:rsidRPr="001352AB">
        <w:rPr>
          <w:rFonts w:ascii="Sylfaen" w:hAnsi="Sylfaen" w:cs="Sylfaen"/>
        </w:rPr>
        <w:t>გარდამავალ</w:t>
      </w:r>
      <w:r w:rsidRPr="001352AB">
        <w:t xml:space="preserve"> </w:t>
      </w:r>
      <w:r w:rsidRPr="001352AB">
        <w:rPr>
          <w:rFonts w:ascii="Sylfaen" w:hAnsi="Sylfaen" w:cs="Sylfaen"/>
        </w:rPr>
        <w:t>პერიოდებში</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მახასიათებლების</w:t>
      </w:r>
      <w:r w:rsidRPr="001352AB">
        <w:t xml:space="preserve"> </w:t>
      </w:r>
      <w:r w:rsidRPr="001352AB">
        <w:rPr>
          <w:rFonts w:ascii="Sylfaen" w:hAnsi="Sylfaen" w:cs="Sylfaen"/>
        </w:rPr>
        <w:t>გავლენა</w:t>
      </w:r>
      <w:r w:rsidRPr="001352AB">
        <w:t xml:space="preserve"> </w:t>
      </w:r>
      <w:r w:rsidRPr="001352AB">
        <w:rPr>
          <w:rFonts w:ascii="Sylfaen" w:hAnsi="Sylfaen" w:cs="Sylfaen"/>
        </w:rPr>
        <w:t>გაითვალისწინება</w:t>
      </w:r>
      <w:r w:rsidRPr="001352AB">
        <w:t xml:space="preserve"> </w:t>
      </w:r>
      <w:r w:rsidRPr="001352AB">
        <w:rPr>
          <w:rFonts w:ascii="Sylfaen" w:hAnsi="Sylfaen" w:cs="Sylfaen"/>
        </w:rPr>
        <w:t>მხოლოდ</w:t>
      </w:r>
      <w:r w:rsidRPr="001352AB">
        <w:t xml:space="preserve"> </w:t>
      </w:r>
      <w:r w:rsidRPr="001352AB">
        <w:rPr>
          <w:rFonts w:ascii="Sylfaen" w:hAnsi="Sylfaen" w:cs="Sylfaen"/>
        </w:rPr>
        <w:t>სადგომიდან</w:t>
      </w:r>
      <w:r w:rsidRPr="001352AB">
        <w:t xml:space="preserve"> </w:t>
      </w:r>
      <w:r w:rsidRPr="001352AB">
        <w:rPr>
          <w:rFonts w:ascii="Sylfaen" w:hAnsi="Sylfaen" w:cs="Sylfaen"/>
        </w:rPr>
        <w:t>გამომავალი</w:t>
      </w:r>
      <w:r w:rsidRPr="001352AB">
        <w:t xml:space="preserve"> </w:t>
      </w:r>
      <w:r w:rsidRPr="001352AB">
        <w:rPr>
          <w:rFonts w:ascii="Sylfaen" w:hAnsi="Sylfaen" w:cs="Sylfaen"/>
        </w:rPr>
        <w:t>ავტომანქანებისათვის</w:t>
      </w:r>
      <w:r w:rsidRPr="001352AB">
        <w:t xml:space="preserve">, </w:t>
      </w:r>
      <w:r w:rsidRPr="001352AB">
        <w:rPr>
          <w:rFonts w:ascii="Sylfaen" w:hAnsi="Sylfaen" w:cs="Sylfaen"/>
        </w:rPr>
        <w:t>რომლებიც</w:t>
      </w:r>
      <w:r w:rsidRPr="001352AB">
        <w:t xml:space="preserve"> </w:t>
      </w:r>
      <w:r w:rsidRPr="001352AB">
        <w:rPr>
          <w:rFonts w:ascii="Sylfaen" w:hAnsi="Sylfaen" w:cs="Sylfaen"/>
        </w:rPr>
        <w:t>დგანან</w:t>
      </w:r>
      <w:r w:rsidRPr="001352AB">
        <w:t xml:space="preserve"> </w:t>
      </w:r>
      <w:r w:rsidRPr="001352AB">
        <w:rPr>
          <w:rFonts w:ascii="Sylfaen" w:hAnsi="Sylfaen" w:cs="Sylfaen"/>
        </w:rPr>
        <w:t>ღია</w:t>
      </w:r>
      <w:r w:rsidRPr="001352AB">
        <w:t xml:space="preserve"> </w:t>
      </w:r>
      <w:r w:rsidRPr="001352AB">
        <w:rPr>
          <w:rFonts w:ascii="Sylfaen" w:hAnsi="Sylfaen" w:cs="Sylfaen"/>
        </w:rPr>
        <w:t>სადგომებზე</w:t>
      </w:r>
      <w:r w:rsidRPr="001352AB">
        <w:t xml:space="preserve">. </w:t>
      </w:r>
    </w:p>
    <w:p w14:paraId="0885CD15" w14:textId="77777777" w:rsidR="00CD64B5" w:rsidRPr="001352AB" w:rsidRDefault="00CD64B5" w:rsidP="00CD64B5">
      <w:pPr>
        <w:spacing w:before="120" w:after="120"/>
      </w:pPr>
      <w:r w:rsidRPr="001352AB">
        <w:rPr>
          <w:rFonts w:ascii="Sylfaen" w:hAnsi="Sylfaen" w:cs="Sylfaen"/>
        </w:rPr>
        <w:t>საერთო</w:t>
      </w:r>
      <w:r w:rsidRPr="001352AB">
        <w:t xml:space="preserve"> </w:t>
      </w:r>
      <w:r w:rsidRPr="001352AB">
        <w:rPr>
          <w:rFonts w:ascii="Sylfaen" w:hAnsi="Sylfaen" w:cs="Sylfaen"/>
        </w:rPr>
        <w:t>ჯამური</w:t>
      </w:r>
      <w:r w:rsidRPr="001352AB">
        <w:t xml:space="preserve"> </w:t>
      </w:r>
      <w:r w:rsidRPr="001352AB">
        <w:rPr>
          <w:rFonts w:ascii="Sylfaen" w:hAnsi="Sylfaen" w:cs="Sylfaen"/>
        </w:rPr>
        <w:t>წლიური</w:t>
      </w:r>
      <w:r w:rsidRPr="001352AB">
        <w:t xml:space="preserve"> </w:t>
      </w:r>
      <w:r w:rsidRPr="001352AB">
        <w:rPr>
          <w:rFonts w:ascii="Sylfaen" w:hAnsi="Sylfaen" w:cs="Sylfaen"/>
        </w:rPr>
        <w:t>ემისიის</w:t>
      </w:r>
      <w:r w:rsidRPr="001352AB">
        <w:t xml:space="preserve"> Mi </w:t>
      </w:r>
      <w:r w:rsidRPr="001352AB">
        <w:rPr>
          <w:rFonts w:ascii="Sylfaen" w:hAnsi="Sylfaen" w:cs="Sylfaen"/>
        </w:rPr>
        <w:t>საანგარიშოდ</w:t>
      </w:r>
      <w:r w:rsidRPr="001352AB">
        <w:t xml:space="preserve"> </w:t>
      </w:r>
      <w:r w:rsidRPr="001352AB">
        <w:rPr>
          <w:rFonts w:ascii="Sylfaen" w:hAnsi="Sylfaen" w:cs="Sylfaen"/>
        </w:rPr>
        <w:t>ერთი</w:t>
      </w:r>
      <w:r w:rsidRPr="001352AB">
        <w:t xml:space="preserve"> </w:t>
      </w:r>
      <w:r w:rsidRPr="001352AB">
        <w:rPr>
          <w:rFonts w:ascii="Sylfaen" w:hAnsi="Sylfaen" w:cs="Sylfaen"/>
        </w:rPr>
        <w:t>დასახელების</w:t>
      </w:r>
      <w:r w:rsidRPr="001352AB">
        <w:t xml:space="preserve"> </w:t>
      </w:r>
      <w:r w:rsidRPr="001352AB">
        <w:rPr>
          <w:rFonts w:ascii="Sylfaen" w:hAnsi="Sylfaen" w:cs="Sylfaen"/>
        </w:rPr>
        <w:t>ნივთიერებების</w:t>
      </w:r>
      <w:r w:rsidRPr="001352AB">
        <w:t xml:space="preserve"> </w:t>
      </w:r>
      <w:r w:rsidRPr="001352AB">
        <w:rPr>
          <w:rFonts w:ascii="Sylfaen" w:hAnsi="Sylfaen" w:cs="Sylfaen"/>
        </w:rPr>
        <w:t>ემისია</w:t>
      </w:r>
      <w:r w:rsidRPr="001352AB">
        <w:t xml:space="preserve"> </w:t>
      </w:r>
      <w:r w:rsidRPr="001352AB">
        <w:rPr>
          <w:rFonts w:ascii="Sylfaen" w:hAnsi="Sylfaen" w:cs="Sylfaen"/>
        </w:rPr>
        <w:t>ჯამდება</w:t>
      </w:r>
      <w:r w:rsidRPr="001352AB">
        <w:t xml:space="preserve"> </w:t>
      </w:r>
      <w:r w:rsidRPr="001352AB">
        <w:rPr>
          <w:rFonts w:ascii="Sylfaen" w:hAnsi="Sylfaen" w:cs="Sylfaen"/>
        </w:rPr>
        <w:t>წლის</w:t>
      </w:r>
      <w:r w:rsidRPr="001352AB">
        <w:t xml:space="preserve"> </w:t>
      </w:r>
      <w:r w:rsidRPr="001352AB">
        <w:rPr>
          <w:rFonts w:ascii="Sylfaen" w:hAnsi="Sylfaen" w:cs="Sylfaen"/>
        </w:rPr>
        <w:t>პერიოდების</w:t>
      </w:r>
      <w:r w:rsidRPr="001352AB">
        <w:t xml:space="preserve"> </w:t>
      </w:r>
      <w:r w:rsidRPr="001352AB">
        <w:rPr>
          <w:rFonts w:ascii="Sylfaen" w:hAnsi="Sylfaen" w:cs="Sylfaen"/>
        </w:rPr>
        <w:t>მიხედვით</w:t>
      </w:r>
      <w:r w:rsidRPr="001352AB">
        <w:t xml:space="preserve"> </w:t>
      </w:r>
    </w:p>
    <w:p w14:paraId="101940F3" w14:textId="77777777" w:rsidR="00CD64B5" w:rsidRPr="001352AB" w:rsidRDefault="00CD64B5" w:rsidP="00CD64B5">
      <w:pPr>
        <w:spacing w:before="120" w:after="120"/>
      </w:pPr>
      <w:r w:rsidRPr="001352AB">
        <w:t xml:space="preserve">Mi = MТi + MПi + MХi, </w:t>
      </w:r>
      <w:r w:rsidRPr="001352AB">
        <w:rPr>
          <w:rFonts w:ascii="Sylfaen" w:hAnsi="Sylfaen" w:cs="Sylfaen"/>
        </w:rPr>
        <w:t>ტ</w:t>
      </w:r>
      <w:r w:rsidRPr="001352AB">
        <w:t>/</w:t>
      </w:r>
      <w:r w:rsidRPr="001352AB">
        <w:rPr>
          <w:rFonts w:ascii="Sylfaen" w:hAnsi="Sylfaen" w:cs="Sylfaen"/>
        </w:rPr>
        <w:t>წელ</w:t>
      </w:r>
      <w:r w:rsidRPr="001352AB">
        <w:t>;</w:t>
      </w:r>
      <w:r w:rsidRPr="001352AB">
        <w:tab/>
      </w:r>
    </w:p>
    <w:p w14:paraId="33DD6519" w14:textId="77777777" w:rsidR="00CD64B5" w:rsidRPr="001352AB" w:rsidRDefault="00CD64B5" w:rsidP="00CD64B5">
      <w:pPr>
        <w:spacing w:before="120" w:after="120"/>
      </w:pPr>
      <w:r w:rsidRPr="001352AB">
        <w:t>i-</w:t>
      </w:r>
      <w:r w:rsidRPr="001352AB">
        <w:rPr>
          <w:rFonts w:ascii="Sylfaen" w:hAnsi="Sylfaen" w:cs="Sylfaen"/>
        </w:rPr>
        <w:t>ური</w:t>
      </w:r>
      <w:r w:rsidRPr="001352AB">
        <w:t xml:space="preserve"> </w:t>
      </w:r>
      <w:r w:rsidRPr="001352AB">
        <w:rPr>
          <w:rFonts w:ascii="Sylfaen" w:hAnsi="Sylfaen" w:cs="Sylfaen"/>
        </w:rPr>
        <w:t>დამაბინძურებელი</w:t>
      </w:r>
      <w:r w:rsidRPr="001352AB">
        <w:t xml:space="preserve"> </w:t>
      </w:r>
      <w:r w:rsidRPr="001352AB">
        <w:rPr>
          <w:rFonts w:ascii="Sylfaen" w:hAnsi="Sylfaen" w:cs="Sylfaen"/>
        </w:rPr>
        <w:t>ნივთიერების</w:t>
      </w:r>
      <w:r w:rsidRPr="001352AB">
        <w:t xml:space="preserve"> </w:t>
      </w:r>
      <w:r w:rsidRPr="001352AB">
        <w:rPr>
          <w:rFonts w:ascii="Sylfaen" w:hAnsi="Sylfaen" w:cs="Sylfaen"/>
        </w:rPr>
        <w:t>მაქსიმალური</w:t>
      </w:r>
      <w:r w:rsidRPr="001352AB">
        <w:t xml:space="preserve"> </w:t>
      </w:r>
      <w:r w:rsidRPr="001352AB">
        <w:rPr>
          <w:rFonts w:ascii="Sylfaen" w:hAnsi="Sylfaen" w:cs="Sylfaen"/>
        </w:rPr>
        <w:t>ერთჯერადი</w:t>
      </w:r>
      <w:r w:rsidRPr="001352AB">
        <w:t xml:space="preserve"> </w:t>
      </w:r>
      <w:r w:rsidRPr="001352AB">
        <w:rPr>
          <w:rFonts w:ascii="Sylfaen" w:hAnsi="Sylfaen" w:cs="Sylfaen"/>
        </w:rPr>
        <w:t>ემისია</w:t>
      </w:r>
      <w:r w:rsidRPr="001352AB">
        <w:t xml:space="preserve"> Gi </w:t>
      </w:r>
      <w:r w:rsidRPr="001352AB">
        <w:rPr>
          <w:rFonts w:ascii="Sylfaen" w:hAnsi="Sylfaen" w:cs="Sylfaen"/>
        </w:rPr>
        <w:t>იანგარიშება</w:t>
      </w:r>
      <w:r w:rsidRPr="001352AB">
        <w:t xml:space="preserve"> </w:t>
      </w:r>
      <w:r w:rsidRPr="001352AB">
        <w:rPr>
          <w:rFonts w:ascii="Sylfaen" w:hAnsi="Sylfaen" w:cs="Sylfaen"/>
        </w:rPr>
        <w:t>ფორმულით</w:t>
      </w:r>
      <w:r w:rsidRPr="001352AB">
        <w:t xml:space="preserve">: </w:t>
      </w:r>
    </w:p>
    <w:p w14:paraId="4F7C3A1C" w14:textId="77777777" w:rsidR="00CD64B5" w:rsidRPr="001352AB" w:rsidRDefault="00CD64B5" w:rsidP="00CD64B5">
      <w:pPr>
        <w:spacing w:before="120" w:after="120"/>
      </w:pPr>
      <w:r w:rsidRPr="001352AB">
        <w:t xml:space="preserve">Gi = ∑kk=1(M1ik · N'k + M2ik · N''k) / 3600, </w:t>
      </w:r>
      <w:r w:rsidRPr="001352AB">
        <w:rPr>
          <w:rFonts w:ascii="Sylfaen" w:hAnsi="Sylfaen" w:cs="Sylfaen"/>
        </w:rPr>
        <w:t>გ</w:t>
      </w:r>
      <w:r w:rsidRPr="001352AB">
        <w:t>/</w:t>
      </w:r>
      <w:r w:rsidRPr="001352AB">
        <w:rPr>
          <w:rFonts w:ascii="Sylfaen" w:hAnsi="Sylfaen" w:cs="Sylfaen"/>
        </w:rPr>
        <w:t>წმ</w:t>
      </w:r>
      <w:r w:rsidRPr="001352AB">
        <w:t>;</w:t>
      </w:r>
      <w:r w:rsidRPr="001352AB">
        <w:tab/>
      </w:r>
    </w:p>
    <w:p w14:paraId="6BCE2FB1" w14:textId="77777777" w:rsidR="00CD64B5" w:rsidRPr="001352AB" w:rsidRDefault="00CD64B5" w:rsidP="00CD64B5">
      <w:pPr>
        <w:spacing w:before="120" w:after="120"/>
      </w:pPr>
      <w:r w:rsidRPr="001352AB">
        <w:rPr>
          <w:rFonts w:ascii="Sylfaen" w:hAnsi="Sylfaen" w:cs="Sylfaen"/>
        </w:rPr>
        <w:t>სადაც</w:t>
      </w:r>
      <w:r w:rsidRPr="001352AB">
        <w:t xml:space="preserve"> N'k, N''k – k-</w:t>
      </w:r>
      <w:r w:rsidRPr="001352AB">
        <w:rPr>
          <w:rFonts w:ascii="Sylfaen" w:hAnsi="Sylfaen" w:cs="Sylfaen"/>
        </w:rPr>
        <w:t>ური</w:t>
      </w:r>
      <w:r w:rsidRPr="001352AB">
        <w:t xml:space="preserve"> </w:t>
      </w:r>
      <w:r w:rsidRPr="001352AB">
        <w:rPr>
          <w:rFonts w:ascii="Sylfaen" w:hAnsi="Sylfaen" w:cs="Sylfaen"/>
        </w:rPr>
        <w:t>ჯგუფის</w:t>
      </w:r>
      <w:r w:rsidRPr="001352AB">
        <w:t xml:space="preserve"> </w:t>
      </w:r>
      <w:r w:rsidRPr="001352AB">
        <w:rPr>
          <w:rFonts w:ascii="Sylfaen" w:hAnsi="Sylfaen" w:cs="Sylfaen"/>
        </w:rPr>
        <w:t>ავტომობილების</w:t>
      </w:r>
      <w:r w:rsidRPr="001352AB">
        <w:t xml:space="preserve"> </w:t>
      </w:r>
      <w:r w:rsidRPr="001352AB">
        <w:rPr>
          <w:rFonts w:ascii="Sylfaen" w:hAnsi="Sylfaen" w:cs="Sylfaen"/>
        </w:rPr>
        <w:t>რ</w:t>
      </w:r>
      <w:r w:rsidRPr="001352AB">
        <w:t>-</w:t>
      </w:r>
      <w:r w:rsidRPr="001352AB">
        <w:rPr>
          <w:rFonts w:ascii="Sylfaen" w:hAnsi="Sylfaen" w:cs="Sylfaen"/>
        </w:rPr>
        <w:t>ბა</w:t>
      </w:r>
      <w:r w:rsidRPr="001352AB">
        <w:t xml:space="preserve">, </w:t>
      </w:r>
      <w:r w:rsidRPr="001352AB">
        <w:rPr>
          <w:rFonts w:ascii="Sylfaen" w:hAnsi="Sylfaen" w:cs="Sylfaen"/>
        </w:rPr>
        <w:t>რომლებიც</w:t>
      </w:r>
      <w:r w:rsidRPr="001352AB">
        <w:t xml:space="preserve"> </w:t>
      </w:r>
      <w:r w:rsidRPr="001352AB">
        <w:rPr>
          <w:rFonts w:ascii="Sylfaen" w:hAnsi="Sylfaen" w:cs="Sylfaen"/>
        </w:rPr>
        <w:t>გამოდიან</w:t>
      </w:r>
      <w:r w:rsidRPr="001352AB">
        <w:t xml:space="preserve"> </w:t>
      </w:r>
      <w:r w:rsidRPr="001352AB">
        <w:rPr>
          <w:rFonts w:ascii="Sylfaen" w:hAnsi="Sylfaen" w:cs="Sylfaen"/>
        </w:rPr>
        <w:t>სადგომიდან</w:t>
      </w:r>
      <w:r w:rsidRPr="001352AB">
        <w:t xml:space="preserve"> </w:t>
      </w:r>
      <w:r w:rsidRPr="001352AB">
        <w:rPr>
          <w:rFonts w:ascii="Sylfaen" w:hAnsi="Sylfaen" w:cs="Sylfaen"/>
        </w:rPr>
        <w:t>და</w:t>
      </w:r>
      <w:r w:rsidRPr="001352AB">
        <w:t xml:space="preserve"> </w:t>
      </w:r>
      <w:r w:rsidRPr="001352AB">
        <w:rPr>
          <w:rFonts w:ascii="Sylfaen" w:hAnsi="Sylfaen" w:cs="Sylfaen"/>
        </w:rPr>
        <w:t>შედიან</w:t>
      </w:r>
      <w:r w:rsidRPr="001352AB">
        <w:t xml:space="preserve"> </w:t>
      </w:r>
      <w:r w:rsidRPr="001352AB">
        <w:rPr>
          <w:rFonts w:ascii="Sylfaen" w:hAnsi="Sylfaen" w:cs="Sylfaen"/>
        </w:rPr>
        <w:t>სადგომში</w:t>
      </w:r>
      <w:r w:rsidRPr="001352AB">
        <w:t xml:space="preserve"> </w:t>
      </w:r>
      <w:r w:rsidRPr="001352AB">
        <w:rPr>
          <w:rFonts w:ascii="Sylfaen" w:hAnsi="Sylfaen" w:cs="Sylfaen"/>
        </w:rPr>
        <w:t>ერთ</w:t>
      </w:r>
      <w:r w:rsidRPr="001352AB">
        <w:t xml:space="preserve"> </w:t>
      </w:r>
      <w:r w:rsidRPr="001352AB">
        <w:rPr>
          <w:rFonts w:ascii="Sylfaen" w:hAnsi="Sylfaen" w:cs="Sylfaen"/>
        </w:rPr>
        <w:t>საათში</w:t>
      </w:r>
      <w:r w:rsidRPr="001352AB">
        <w:t>.</w:t>
      </w:r>
    </w:p>
    <w:p w14:paraId="60088C3D" w14:textId="77777777" w:rsidR="00CD64B5" w:rsidRPr="001352AB" w:rsidRDefault="00CD64B5" w:rsidP="00CD64B5">
      <w:pPr>
        <w:spacing w:before="120" w:after="120"/>
      </w:pPr>
      <w:r w:rsidRPr="001352AB">
        <w:rPr>
          <w:rFonts w:ascii="Sylfaen" w:hAnsi="Sylfaen" w:cs="Sylfaen"/>
        </w:rPr>
        <w:t>მიღებული</w:t>
      </w:r>
      <w:r w:rsidRPr="001352AB">
        <w:t xml:space="preserve"> Gi -</w:t>
      </w:r>
      <w:r w:rsidRPr="001352AB">
        <w:rPr>
          <w:rFonts w:ascii="Sylfaen" w:hAnsi="Sylfaen" w:cs="Sylfaen"/>
        </w:rPr>
        <w:t>ის</w:t>
      </w:r>
      <w:r w:rsidRPr="001352AB">
        <w:t xml:space="preserve"> </w:t>
      </w:r>
      <w:r w:rsidRPr="001352AB">
        <w:rPr>
          <w:rFonts w:ascii="Sylfaen" w:hAnsi="Sylfaen" w:cs="Sylfaen"/>
        </w:rPr>
        <w:t>შედეგებიდან</w:t>
      </w:r>
      <w:r w:rsidRPr="001352AB">
        <w:t xml:space="preserve"> </w:t>
      </w:r>
      <w:r w:rsidRPr="001352AB">
        <w:rPr>
          <w:rFonts w:ascii="Sylfaen" w:hAnsi="Sylfaen" w:cs="Sylfaen"/>
        </w:rPr>
        <w:t>შეირჩევა</w:t>
      </w:r>
      <w:r w:rsidRPr="001352AB">
        <w:t xml:space="preserve"> </w:t>
      </w:r>
      <w:r w:rsidRPr="001352AB">
        <w:rPr>
          <w:rFonts w:ascii="Sylfaen" w:hAnsi="Sylfaen" w:cs="Sylfaen"/>
        </w:rPr>
        <w:t>მაქსიმალური</w:t>
      </w:r>
      <w:r w:rsidRPr="001352AB">
        <w:t xml:space="preserve"> </w:t>
      </w:r>
      <w:r w:rsidRPr="001352AB">
        <w:rPr>
          <w:rFonts w:ascii="Sylfaen" w:hAnsi="Sylfaen" w:cs="Sylfaen"/>
        </w:rPr>
        <w:t>სხვადასხვა</w:t>
      </w:r>
      <w:r w:rsidRPr="001352AB">
        <w:t xml:space="preserve"> </w:t>
      </w:r>
      <w:r w:rsidRPr="001352AB">
        <w:rPr>
          <w:rFonts w:ascii="Sylfaen" w:hAnsi="Sylfaen" w:cs="Sylfaen"/>
        </w:rPr>
        <w:t>ჯგუფის</w:t>
      </w:r>
      <w:r w:rsidRPr="001352AB">
        <w:t xml:space="preserve"> </w:t>
      </w:r>
      <w:r w:rsidRPr="001352AB">
        <w:rPr>
          <w:rFonts w:ascii="Sylfaen" w:hAnsi="Sylfaen" w:cs="Sylfaen"/>
        </w:rPr>
        <w:t>მანქანების</w:t>
      </w:r>
      <w:r w:rsidRPr="001352AB">
        <w:t xml:space="preserve"> </w:t>
      </w:r>
      <w:r w:rsidRPr="001352AB">
        <w:rPr>
          <w:rFonts w:ascii="Sylfaen" w:hAnsi="Sylfaen" w:cs="Sylfaen"/>
        </w:rPr>
        <w:t>მოძრაობის</w:t>
      </w:r>
      <w:r w:rsidRPr="001352AB">
        <w:t xml:space="preserve"> </w:t>
      </w:r>
      <w:r w:rsidRPr="001352AB">
        <w:rPr>
          <w:rFonts w:ascii="Sylfaen" w:hAnsi="Sylfaen" w:cs="Sylfaen"/>
        </w:rPr>
        <w:t>ერთდროულობის</w:t>
      </w:r>
      <w:r w:rsidRPr="001352AB">
        <w:t xml:space="preserve"> </w:t>
      </w:r>
      <w:r w:rsidRPr="001352AB">
        <w:rPr>
          <w:rFonts w:ascii="Sylfaen" w:hAnsi="Sylfaen" w:cs="Sylfaen"/>
        </w:rPr>
        <w:t>გათვალისწინებით</w:t>
      </w:r>
      <w:r w:rsidRPr="001352AB">
        <w:t xml:space="preserve">. </w:t>
      </w:r>
    </w:p>
    <w:p w14:paraId="42F8F293" w14:textId="77777777" w:rsidR="00CD64B5" w:rsidRPr="001352AB" w:rsidRDefault="00CD64B5" w:rsidP="00CD64B5">
      <w:pPr>
        <w:spacing w:before="120" w:after="120"/>
      </w:pP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კუთრი</w:t>
      </w:r>
      <w:r w:rsidRPr="001352AB">
        <w:t xml:space="preserve"> </w:t>
      </w:r>
      <w:r w:rsidRPr="001352AB">
        <w:rPr>
          <w:rFonts w:ascii="Sylfaen" w:hAnsi="Sylfaen" w:cs="Sylfaen"/>
        </w:rPr>
        <w:t>ემისია</w:t>
      </w:r>
      <w:r w:rsidRPr="001352AB">
        <w:t xml:space="preserve"> </w:t>
      </w:r>
      <w:r w:rsidRPr="001352AB">
        <w:rPr>
          <w:rFonts w:ascii="Sylfaen" w:hAnsi="Sylfaen" w:cs="Sylfaen"/>
        </w:rPr>
        <w:t>ძრავის</w:t>
      </w:r>
      <w:r w:rsidRPr="001352AB">
        <w:t xml:space="preserve"> </w:t>
      </w:r>
      <w:r w:rsidRPr="001352AB">
        <w:rPr>
          <w:rFonts w:ascii="Sylfaen" w:hAnsi="Sylfaen" w:cs="Sylfaen"/>
        </w:rPr>
        <w:t>გათბობისას</w:t>
      </w:r>
      <w:r w:rsidRPr="001352AB">
        <w:t xml:space="preserve">, </w:t>
      </w:r>
      <w:r w:rsidRPr="001352AB">
        <w:rPr>
          <w:rFonts w:ascii="Sylfaen" w:hAnsi="Sylfaen" w:cs="Sylfaen"/>
        </w:rPr>
        <w:t>გარბენისას</w:t>
      </w:r>
      <w:r w:rsidRPr="001352AB">
        <w:t xml:space="preserve">, </w:t>
      </w:r>
      <w:r w:rsidRPr="001352AB">
        <w:rPr>
          <w:rFonts w:ascii="Sylfaen" w:hAnsi="Sylfaen" w:cs="Sylfaen"/>
        </w:rPr>
        <w:t>უქმი</w:t>
      </w:r>
      <w:r w:rsidRPr="001352AB">
        <w:t xml:space="preserve"> </w:t>
      </w:r>
      <w:r w:rsidRPr="001352AB">
        <w:rPr>
          <w:rFonts w:ascii="Sylfaen" w:hAnsi="Sylfaen" w:cs="Sylfaen"/>
        </w:rPr>
        <w:t>სვლის</w:t>
      </w:r>
      <w:r w:rsidRPr="001352AB">
        <w:t xml:space="preserve"> </w:t>
      </w:r>
      <w:r w:rsidRPr="001352AB">
        <w:rPr>
          <w:rFonts w:ascii="Sylfaen" w:hAnsi="Sylfaen" w:cs="Sylfaen"/>
        </w:rPr>
        <w:t>რეჟიმზე</w:t>
      </w:r>
      <w:r w:rsidRPr="001352AB">
        <w:t xml:space="preserve">, </w:t>
      </w:r>
      <w:r w:rsidRPr="001352AB">
        <w:rPr>
          <w:rFonts w:ascii="Sylfaen" w:hAnsi="Sylfaen" w:cs="Sylfaen"/>
        </w:rPr>
        <w:t>ეკოკონტროლის</w:t>
      </w:r>
      <w:r w:rsidRPr="001352AB">
        <w:t xml:space="preserve"> </w:t>
      </w:r>
      <w:r w:rsidRPr="001352AB">
        <w:rPr>
          <w:rFonts w:ascii="Sylfaen" w:hAnsi="Sylfaen" w:cs="Sylfaen"/>
        </w:rPr>
        <w:t>დროს</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შემცირებისას</w:t>
      </w:r>
      <w:r w:rsidRPr="001352AB">
        <w:t xml:space="preserve"> Ki, </w:t>
      </w:r>
      <w:r w:rsidRPr="001352AB">
        <w:rPr>
          <w:rFonts w:ascii="Sylfaen" w:hAnsi="Sylfaen" w:cs="Sylfaen"/>
        </w:rPr>
        <w:t>აგრეთვე</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შემცირებისას</w:t>
      </w:r>
      <w:r w:rsidRPr="001352AB">
        <w:t xml:space="preserve"> </w:t>
      </w:r>
      <w:r w:rsidRPr="001352AB">
        <w:rPr>
          <w:rFonts w:ascii="Sylfaen" w:hAnsi="Sylfaen" w:cs="Sylfaen"/>
        </w:rPr>
        <w:t>პანდუსზე</w:t>
      </w:r>
      <w:r w:rsidRPr="001352AB">
        <w:t xml:space="preserve"> </w:t>
      </w:r>
      <w:r w:rsidRPr="001352AB">
        <w:rPr>
          <w:rFonts w:ascii="Sylfaen" w:hAnsi="Sylfaen" w:cs="Sylfaen"/>
        </w:rPr>
        <w:t>მოძრაობისას</w:t>
      </w:r>
      <w:r w:rsidRPr="001352AB">
        <w:t xml:space="preserve"> </w:t>
      </w:r>
      <w:r w:rsidRPr="001352AB">
        <w:rPr>
          <w:rFonts w:ascii="Sylfaen" w:hAnsi="Sylfaen" w:cs="Sylfaen"/>
        </w:rPr>
        <w:t>მოყვანილია</w:t>
      </w:r>
      <w:r w:rsidRPr="001352AB">
        <w:t xml:space="preserve"> </w:t>
      </w:r>
      <w:r w:rsidRPr="001352AB">
        <w:rPr>
          <w:rFonts w:ascii="Sylfaen" w:hAnsi="Sylfaen" w:cs="Sylfaen"/>
        </w:rPr>
        <w:t>ცხრილში</w:t>
      </w:r>
      <w:r w:rsidRPr="001352AB">
        <w:t xml:space="preserve"> 7.1-16. </w:t>
      </w:r>
    </w:p>
    <w:p w14:paraId="637ED940" w14:textId="77777777" w:rsidR="00CD64B5" w:rsidRPr="001352AB" w:rsidRDefault="00CD64B5" w:rsidP="00CD64B5">
      <w:pPr>
        <w:spacing w:before="120" w:after="120"/>
      </w:pP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კუთრი</w:t>
      </w:r>
      <w:r w:rsidRPr="001352AB">
        <w:t xml:space="preserve"> </w:t>
      </w:r>
      <w:r w:rsidRPr="001352AB">
        <w:rPr>
          <w:rFonts w:ascii="Sylfaen" w:hAnsi="Sylfaen" w:cs="Sylfaen"/>
        </w:rPr>
        <w:t>ემისია</w:t>
      </w:r>
      <w:r w:rsidRPr="001352AB">
        <w:t xml:space="preserve"> </w:t>
      </w:r>
      <w:r w:rsidRPr="001352AB">
        <w:rPr>
          <w:rFonts w:ascii="Sylfaen" w:hAnsi="Sylfaen" w:cs="Sylfaen"/>
        </w:rPr>
        <w:t>სატვირთო</w:t>
      </w:r>
      <w:r w:rsidRPr="001352AB">
        <w:t xml:space="preserve"> </w:t>
      </w:r>
      <w:r w:rsidRPr="001352AB">
        <w:rPr>
          <w:rFonts w:ascii="Sylfaen" w:hAnsi="Sylfaen" w:cs="Sylfaen"/>
        </w:rPr>
        <w:t>მანქანებისაგან</w:t>
      </w:r>
      <w:r w:rsidRPr="001352AB">
        <w:t xml:space="preserve">, </w:t>
      </w:r>
      <w:r w:rsidRPr="001352AB">
        <w:rPr>
          <w:rFonts w:ascii="Sylfaen" w:hAnsi="Sylfaen" w:cs="Sylfaen"/>
        </w:rPr>
        <w:t>რომელთა</w:t>
      </w:r>
      <w:r w:rsidRPr="001352AB">
        <w:t xml:space="preserve"> </w:t>
      </w:r>
      <w:r w:rsidRPr="001352AB">
        <w:rPr>
          <w:rFonts w:ascii="Sylfaen" w:hAnsi="Sylfaen" w:cs="Sylfaen"/>
        </w:rPr>
        <w:t>ბაზაც</w:t>
      </w:r>
      <w:r w:rsidRPr="001352AB">
        <w:t xml:space="preserve"> </w:t>
      </w:r>
      <w:r w:rsidRPr="001352AB">
        <w:rPr>
          <w:rFonts w:ascii="Sylfaen" w:hAnsi="Sylfaen" w:cs="Sylfaen"/>
        </w:rPr>
        <w:t>ანალოგიურია</w:t>
      </w:r>
      <w:r w:rsidRPr="001352AB">
        <w:t xml:space="preserve"> </w:t>
      </w:r>
      <w:r w:rsidRPr="001352AB">
        <w:rPr>
          <w:rFonts w:ascii="Sylfaen" w:hAnsi="Sylfaen" w:cs="Sylfaen"/>
        </w:rPr>
        <w:t>ავტოდამტვირთველისა</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ცხრილში</w:t>
      </w:r>
      <w:r w:rsidRPr="001352AB">
        <w:t xml:space="preserve"> 7.1-16. </w:t>
      </w:r>
    </w:p>
    <w:p w14:paraId="7720401B" w14:textId="77777777" w:rsidR="00CD64B5" w:rsidRPr="001352AB" w:rsidRDefault="00CD64B5" w:rsidP="00CD64B5">
      <w:pPr>
        <w:spacing w:before="120" w:after="120"/>
      </w:pPr>
      <w:bookmarkStart w:id="271" w:name="_Toc436594177"/>
      <w:r w:rsidRPr="001352AB">
        <w:rPr>
          <w:rFonts w:ascii="Sylfaen" w:hAnsi="Sylfaen" w:cs="Sylfaen"/>
        </w:rPr>
        <w:t>ცხრილი</w:t>
      </w:r>
      <w:r w:rsidRPr="001352AB">
        <w:t xml:space="preserve"> 7.1-16.</w:t>
      </w:r>
      <w:r w:rsidRPr="001352AB">
        <w:tab/>
      </w: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კუთრი</w:t>
      </w:r>
      <w:r w:rsidRPr="001352AB">
        <w:t xml:space="preserve"> </w:t>
      </w:r>
      <w:r w:rsidRPr="001352AB">
        <w:rPr>
          <w:rFonts w:ascii="Sylfaen" w:hAnsi="Sylfaen" w:cs="Sylfaen"/>
        </w:rPr>
        <w:t>ემისია</w:t>
      </w:r>
      <w:bookmarkEnd w:id="271"/>
    </w:p>
    <w:tbl>
      <w:tblPr>
        <w:tblW w:w="5013" w:type="pct"/>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626"/>
        <w:gridCol w:w="3776"/>
        <w:gridCol w:w="668"/>
        <w:gridCol w:w="668"/>
        <w:gridCol w:w="557"/>
        <w:gridCol w:w="557"/>
        <w:gridCol w:w="557"/>
        <w:gridCol w:w="557"/>
        <w:gridCol w:w="1002"/>
        <w:gridCol w:w="1448"/>
      </w:tblGrid>
      <w:tr w:rsidR="00CD64B5" w:rsidRPr="007F2C2A" w14:paraId="22F745B9" w14:textId="77777777" w:rsidTr="00CD64B5">
        <w:trPr>
          <w:trHeight w:val="462"/>
          <w:tblHeader/>
        </w:trPr>
        <w:tc>
          <w:tcPr>
            <w:tcW w:w="342" w:type="pct"/>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B4839BB" w14:textId="77777777" w:rsidR="00CD64B5" w:rsidRPr="007F2C2A" w:rsidRDefault="00CD64B5" w:rsidP="00CD64B5">
            <w:pPr>
              <w:rPr>
                <w:sz w:val="20"/>
                <w:lang w:eastAsia="ru-RU"/>
              </w:rPr>
            </w:pPr>
            <w:r w:rsidRPr="007F2C2A">
              <w:rPr>
                <w:rFonts w:ascii="Sylfaen" w:hAnsi="Sylfaen" w:cs="Sylfaen"/>
                <w:sz w:val="20"/>
              </w:rPr>
              <w:t>ტიპი</w:t>
            </w:r>
          </w:p>
        </w:tc>
        <w:tc>
          <w:tcPr>
            <w:tcW w:w="1854" w:type="pct"/>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CDB8065" w14:textId="77777777" w:rsidR="00CD64B5" w:rsidRPr="007F2C2A" w:rsidRDefault="00CD64B5" w:rsidP="00CD64B5">
            <w:pPr>
              <w:rPr>
                <w:sz w:val="20"/>
              </w:rPr>
            </w:pPr>
            <w:r w:rsidRPr="007F2C2A">
              <w:rPr>
                <w:rFonts w:ascii="Sylfaen" w:hAnsi="Sylfaen" w:cs="Sylfaen"/>
                <w:sz w:val="20"/>
              </w:rPr>
              <w:t>დამაბინძურებელი</w:t>
            </w:r>
            <w:r w:rsidRPr="007F2C2A">
              <w:rPr>
                <w:sz w:val="20"/>
              </w:rPr>
              <w:t xml:space="preserve"> </w:t>
            </w:r>
            <w:r w:rsidRPr="007F2C2A">
              <w:rPr>
                <w:rFonts w:ascii="Sylfaen" w:hAnsi="Sylfaen" w:cs="Sylfaen"/>
                <w:sz w:val="20"/>
              </w:rPr>
              <w:t>ნივთიერება</w:t>
            </w:r>
          </w:p>
        </w:tc>
        <w:tc>
          <w:tcPr>
            <w:tcW w:w="1020"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BD964C7" w14:textId="77777777" w:rsidR="00CD64B5" w:rsidRPr="007F2C2A" w:rsidRDefault="00CD64B5" w:rsidP="00CD64B5">
            <w:pPr>
              <w:rPr>
                <w:sz w:val="20"/>
              </w:rPr>
            </w:pPr>
            <w:r w:rsidRPr="007F2C2A">
              <w:rPr>
                <w:rFonts w:ascii="Sylfaen" w:hAnsi="Sylfaen" w:cs="Sylfaen"/>
                <w:sz w:val="20"/>
              </w:rPr>
              <w:t>გათბობა</w:t>
            </w:r>
            <w:r w:rsidRPr="007F2C2A">
              <w:rPr>
                <w:sz w:val="20"/>
              </w:rPr>
              <w:t xml:space="preserve">, </w:t>
            </w:r>
            <w:r w:rsidRPr="007F2C2A">
              <w:rPr>
                <w:rFonts w:ascii="Sylfaen" w:hAnsi="Sylfaen" w:cs="Sylfaen"/>
                <w:sz w:val="20"/>
              </w:rPr>
              <w:t>გ</w:t>
            </w:r>
            <w:r w:rsidRPr="007F2C2A">
              <w:rPr>
                <w:sz w:val="20"/>
              </w:rPr>
              <w:t>/</w:t>
            </w:r>
            <w:r w:rsidRPr="007F2C2A">
              <w:rPr>
                <w:rFonts w:ascii="Sylfaen" w:hAnsi="Sylfaen" w:cs="Sylfaen"/>
                <w:sz w:val="20"/>
              </w:rPr>
              <w:t>წთ</w:t>
            </w:r>
          </w:p>
        </w:tc>
        <w:tc>
          <w:tcPr>
            <w:tcW w:w="897"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DFC0813" w14:textId="77777777" w:rsidR="00CD64B5" w:rsidRPr="007F2C2A" w:rsidRDefault="00CD64B5" w:rsidP="00CD64B5">
            <w:pPr>
              <w:rPr>
                <w:sz w:val="20"/>
              </w:rPr>
            </w:pPr>
            <w:r w:rsidRPr="007F2C2A">
              <w:rPr>
                <w:rFonts w:ascii="Sylfaen" w:hAnsi="Sylfaen" w:cs="Sylfaen"/>
                <w:sz w:val="20"/>
              </w:rPr>
              <w:t>გარბენი</w:t>
            </w:r>
            <w:r w:rsidRPr="007F2C2A">
              <w:rPr>
                <w:sz w:val="20"/>
              </w:rPr>
              <w:t xml:space="preserve">, </w:t>
            </w:r>
            <w:r w:rsidRPr="007F2C2A">
              <w:rPr>
                <w:rFonts w:ascii="Sylfaen" w:hAnsi="Sylfaen" w:cs="Sylfaen"/>
                <w:sz w:val="20"/>
              </w:rPr>
              <w:t>გ</w:t>
            </w:r>
            <w:r w:rsidRPr="007F2C2A">
              <w:rPr>
                <w:sz w:val="20"/>
              </w:rPr>
              <w:t>/</w:t>
            </w:r>
            <w:r w:rsidRPr="007F2C2A">
              <w:rPr>
                <w:rFonts w:ascii="Sylfaen" w:hAnsi="Sylfaen" w:cs="Sylfaen"/>
                <w:sz w:val="20"/>
              </w:rPr>
              <w:t>კმ</w:t>
            </w:r>
          </w:p>
        </w:tc>
        <w:tc>
          <w:tcPr>
            <w:tcW w:w="562" w:type="pct"/>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8CE9C52" w14:textId="77777777" w:rsidR="00CD64B5" w:rsidRPr="007F2C2A" w:rsidRDefault="00CD64B5" w:rsidP="00CD64B5">
            <w:pPr>
              <w:rPr>
                <w:sz w:val="20"/>
              </w:rPr>
            </w:pPr>
            <w:r w:rsidRPr="007F2C2A">
              <w:rPr>
                <w:rFonts w:ascii="Sylfaen" w:hAnsi="Sylfaen" w:cs="Sylfaen"/>
                <w:sz w:val="20"/>
              </w:rPr>
              <w:t>უქმი</w:t>
            </w:r>
            <w:r w:rsidRPr="007F2C2A">
              <w:rPr>
                <w:sz w:val="20"/>
              </w:rPr>
              <w:t xml:space="preserve"> </w:t>
            </w:r>
            <w:r w:rsidRPr="007F2C2A">
              <w:rPr>
                <w:rFonts w:ascii="Sylfaen" w:hAnsi="Sylfaen" w:cs="Sylfaen"/>
                <w:sz w:val="20"/>
              </w:rPr>
              <w:t>სვლაგ</w:t>
            </w:r>
            <w:r w:rsidRPr="007F2C2A">
              <w:rPr>
                <w:sz w:val="20"/>
              </w:rPr>
              <w:t>/</w:t>
            </w:r>
            <w:r w:rsidRPr="007F2C2A">
              <w:rPr>
                <w:rFonts w:ascii="Sylfaen" w:hAnsi="Sylfaen" w:cs="Sylfaen"/>
                <w:sz w:val="20"/>
              </w:rPr>
              <w:t>წთ</w:t>
            </w:r>
            <w:r w:rsidRPr="007F2C2A">
              <w:rPr>
                <w:sz w:val="20"/>
              </w:rPr>
              <w:t xml:space="preserve"> </w:t>
            </w:r>
          </w:p>
        </w:tc>
        <w:tc>
          <w:tcPr>
            <w:tcW w:w="325" w:type="pct"/>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94F99FA" w14:textId="77777777" w:rsidR="00CD64B5" w:rsidRPr="007F2C2A" w:rsidRDefault="00CD64B5" w:rsidP="00CD64B5">
            <w:pPr>
              <w:rPr>
                <w:sz w:val="20"/>
              </w:rPr>
            </w:pPr>
            <w:r w:rsidRPr="007F2C2A">
              <w:rPr>
                <w:rFonts w:ascii="Sylfaen" w:hAnsi="Sylfaen" w:cs="Sylfaen"/>
                <w:sz w:val="20"/>
              </w:rPr>
              <w:t>ეკოკონტროლი</w:t>
            </w:r>
          </w:p>
          <w:p w14:paraId="7DD301C1" w14:textId="77777777" w:rsidR="00CD64B5" w:rsidRPr="007F2C2A" w:rsidRDefault="00CD64B5" w:rsidP="00CD64B5">
            <w:pPr>
              <w:rPr>
                <w:sz w:val="20"/>
              </w:rPr>
            </w:pPr>
            <w:r w:rsidRPr="007F2C2A">
              <w:rPr>
                <w:sz w:val="20"/>
              </w:rPr>
              <w:t xml:space="preserve"> Ki</w:t>
            </w:r>
          </w:p>
        </w:tc>
      </w:tr>
      <w:tr w:rsidR="00CD64B5" w:rsidRPr="007F2C2A" w14:paraId="74DAD84D" w14:textId="77777777" w:rsidTr="00CD64B5">
        <w:trPr>
          <w:trHeight w:val="143"/>
          <w:tblHead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3A8062" w14:textId="77777777" w:rsidR="00CD64B5" w:rsidRPr="007F2C2A" w:rsidRDefault="00CD64B5" w:rsidP="00CD64B5">
            <w:pPr>
              <w:rPr>
                <w:rFonts w:eastAsiaTheme="minorHAnsi"/>
                <w:sz w:val="20"/>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5BEF96" w14:textId="77777777" w:rsidR="00CD64B5" w:rsidRPr="007F2C2A" w:rsidRDefault="00CD64B5" w:rsidP="00CD64B5">
            <w:pPr>
              <w:rPr>
                <w:rFonts w:eastAsiaTheme="minorHAnsi"/>
                <w:sz w:val="20"/>
              </w:rPr>
            </w:pPr>
          </w:p>
        </w:tc>
        <w:tc>
          <w:tcPr>
            <w:tcW w:w="35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0035258" w14:textId="77777777" w:rsidR="00CD64B5" w:rsidRPr="007F2C2A" w:rsidRDefault="00CD64B5" w:rsidP="00CD64B5">
            <w:pPr>
              <w:rPr>
                <w:sz w:val="20"/>
              </w:rPr>
            </w:pPr>
            <w:r w:rsidRPr="007F2C2A">
              <w:rPr>
                <w:sz w:val="20"/>
              </w:rPr>
              <w:t>Т</w:t>
            </w:r>
          </w:p>
        </w:tc>
        <w:tc>
          <w:tcPr>
            <w:tcW w:w="35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A7AC652" w14:textId="77777777" w:rsidR="00CD64B5" w:rsidRPr="007F2C2A" w:rsidRDefault="00CD64B5" w:rsidP="00CD64B5">
            <w:pPr>
              <w:rPr>
                <w:sz w:val="20"/>
              </w:rPr>
            </w:pPr>
            <w:r w:rsidRPr="007F2C2A">
              <w:rPr>
                <w:sz w:val="20"/>
              </w:rPr>
              <w:t>П</w:t>
            </w:r>
          </w:p>
        </w:tc>
        <w:tc>
          <w:tcPr>
            <w:tcW w:w="30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3171527" w14:textId="77777777" w:rsidR="00CD64B5" w:rsidRPr="007F2C2A" w:rsidRDefault="00CD64B5" w:rsidP="00CD64B5">
            <w:pPr>
              <w:rPr>
                <w:sz w:val="20"/>
              </w:rPr>
            </w:pPr>
            <w:r w:rsidRPr="007F2C2A">
              <w:rPr>
                <w:sz w:val="20"/>
              </w:rPr>
              <w:t>Х</w:t>
            </w:r>
          </w:p>
        </w:tc>
        <w:tc>
          <w:tcPr>
            <w:tcW w:w="29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7933916" w14:textId="77777777" w:rsidR="00CD64B5" w:rsidRPr="007F2C2A" w:rsidRDefault="00CD64B5" w:rsidP="00CD64B5">
            <w:pPr>
              <w:rPr>
                <w:sz w:val="20"/>
              </w:rPr>
            </w:pPr>
            <w:r w:rsidRPr="007F2C2A">
              <w:rPr>
                <w:sz w:val="20"/>
              </w:rPr>
              <w:t>T</w:t>
            </w:r>
          </w:p>
        </w:tc>
        <w:tc>
          <w:tcPr>
            <w:tcW w:w="29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601B226" w14:textId="77777777" w:rsidR="00CD64B5" w:rsidRPr="007F2C2A" w:rsidRDefault="00CD64B5" w:rsidP="00CD64B5">
            <w:pPr>
              <w:rPr>
                <w:sz w:val="20"/>
              </w:rPr>
            </w:pPr>
            <w:r w:rsidRPr="007F2C2A">
              <w:rPr>
                <w:sz w:val="20"/>
              </w:rPr>
              <w:t>П</w:t>
            </w:r>
          </w:p>
        </w:tc>
        <w:tc>
          <w:tcPr>
            <w:tcW w:w="29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A1C1547" w14:textId="77777777" w:rsidR="00CD64B5" w:rsidRPr="007F2C2A" w:rsidRDefault="00CD64B5" w:rsidP="00CD64B5">
            <w:pPr>
              <w:rPr>
                <w:sz w:val="20"/>
              </w:rPr>
            </w:pPr>
            <w:r w:rsidRPr="007F2C2A">
              <w:rPr>
                <w:sz w:val="20"/>
              </w:rPr>
              <w:t>Х</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69047B" w14:textId="77777777" w:rsidR="00CD64B5" w:rsidRPr="007F2C2A" w:rsidRDefault="00CD64B5" w:rsidP="00CD64B5">
            <w:pPr>
              <w:rPr>
                <w:rFonts w:eastAsiaTheme="minorHAnsi"/>
                <w:sz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DDCBA9" w14:textId="77777777" w:rsidR="00CD64B5" w:rsidRPr="007F2C2A" w:rsidRDefault="00CD64B5" w:rsidP="00CD64B5">
            <w:pPr>
              <w:rPr>
                <w:rFonts w:eastAsiaTheme="minorHAnsi"/>
                <w:sz w:val="20"/>
              </w:rPr>
            </w:pPr>
          </w:p>
        </w:tc>
      </w:tr>
      <w:tr w:rsidR="00CD64B5" w:rsidRPr="007F2C2A" w14:paraId="0DBA4D12" w14:textId="77777777" w:rsidTr="00CD64B5">
        <w:trPr>
          <w:trHeight w:val="295"/>
        </w:trPr>
        <w:tc>
          <w:tcPr>
            <w:tcW w:w="5000" w:type="pct"/>
            <w:gridSpan w:val="10"/>
            <w:tcBorders>
              <w:top w:val="single" w:sz="4" w:space="0" w:color="000000"/>
              <w:left w:val="single" w:sz="4" w:space="0" w:color="000000"/>
              <w:bottom w:val="single" w:sz="4" w:space="0" w:color="000000"/>
              <w:right w:val="single" w:sz="4" w:space="0" w:color="000000"/>
            </w:tcBorders>
            <w:hideMark/>
          </w:tcPr>
          <w:p w14:paraId="0AA8EDDF" w14:textId="77777777" w:rsidR="00CD64B5" w:rsidRPr="007F2C2A" w:rsidRDefault="00CD64B5" w:rsidP="00CD64B5">
            <w:pPr>
              <w:rPr>
                <w:sz w:val="20"/>
              </w:rPr>
            </w:pPr>
            <w:r w:rsidRPr="007F2C2A">
              <w:rPr>
                <w:rFonts w:ascii="Sylfaen" w:hAnsi="Sylfaen" w:cs="Sylfaen"/>
                <w:sz w:val="20"/>
              </w:rPr>
              <w:t>სატვირთო</w:t>
            </w:r>
            <w:r w:rsidRPr="007F2C2A">
              <w:rPr>
                <w:sz w:val="20"/>
              </w:rPr>
              <w:t xml:space="preserve">, </w:t>
            </w:r>
            <w:r w:rsidRPr="007F2C2A">
              <w:rPr>
                <w:rFonts w:ascii="Sylfaen" w:hAnsi="Sylfaen" w:cs="Sylfaen"/>
                <w:sz w:val="20"/>
              </w:rPr>
              <w:t>ტვირთამწეობა</w:t>
            </w:r>
            <w:r w:rsidRPr="007F2C2A">
              <w:rPr>
                <w:sz w:val="20"/>
              </w:rPr>
              <w:t>-8-16</w:t>
            </w:r>
            <w:r w:rsidRPr="007F2C2A">
              <w:rPr>
                <w:rFonts w:ascii="Sylfaen" w:hAnsi="Sylfaen" w:cs="Sylfaen"/>
                <w:sz w:val="20"/>
              </w:rPr>
              <w:t>ტონა</w:t>
            </w:r>
            <w:r w:rsidRPr="007F2C2A">
              <w:rPr>
                <w:sz w:val="20"/>
              </w:rPr>
              <w:t xml:space="preserve">, </w:t>
            </w:r>
            <w:r w:rsidRPr="007F2C2A">
              <w:rPr>
                <w:rFonts w:ascii="Sylfaen" w:hAnsi="Sylfaen" w:cs="Sylfaen"/>
                <w:sz w:val="20"/>
              </w:rPr>
              <w:t>დიზელის</w:t>
            </w:r>
            <w:r w:rsidRPr="007F2C2A">
              <w:rPr>
                <w:sz w:val="20"/>
              </w:rPr>
              <w:t xml:space="preserve"> </w:t>
            </w:r>
            <w:r w:rsidRPr="007F2C2A">
              <w:rPr>
                <w:rFonts w:ascii="Sylfaen" w:hAnsi="Sylfaen" w:cs="Sylfaen"/>
                <w:sz w:val="20"/>
              </w:rPr>
              <w:t>ძრავზე</w:t>
            </w:r>
          </w:p>
        </w:tc>
      </w:tr>
      <w:tr w:rsidR="00CD64B5" w:rsidRPr="007F2C2A" w14:paraId="0638CACB" w14:textId="77777777" w:rsidTr="00CD64B5">
        <w:trPr>
          <w:trHeight w:val="462"/>
        </w:trPr>
        <w:tc>
          <w:tcPr>
            <w:tcW w:w="342" w:type="pct"/>
            <w:vMerge w:val="restart"/>
            <w:tcBorders>
              <w:top w:val="single" w:sz="4" w:space="0" w:color="000000"/>
              <w:left w:val="single" w:sz="4" w:space="0" w:color="000000"/>
              <w:bottom w:val="single" w:sz="4" w:space="0" w:color="000000"/>
              <w:right w:val="single" w:sz="4" w:space="0" w:color="000000"/>
            </w:tcBorders>
          </w:tcPr>
          <w:p w14:paraId="3F2B62D6" w14:textId="77777777" w:rsidR="00CD64B5" w:rsidRPr="007F2C2A" w:rsidRDefault="00CD64B5" w:rsidP="00CD64B5">
            <w:pPr>
              <w:rPr>
                <w:sz w:val="20"/>
              </w:rPr>
            </w:pPr>
          </w:p>
        </w:tc>
        <w:tc>
          <w:tcPr>
            <w:tcW w:w="1854" w:type="pct"/>
            <w:tcBorders>
              <w:top w:val="single" w:sz="4" w:space="0" w:color="000000"/>
              <w:left w:val="single" w:sz="4" w:space="0" w:color="000000"/>
              <w:bottom w:val="single" w:sz="4" w:space="0" w:color="000000"/>
              <w:right w:val="single" w:sz="4" w:space="0" w:color="000000"/>
            </w:tcBorders>
            <w:hideMark/>
          </w:tcPr>
          <w:p w14:paraId="7E7B8787" w14:textId="77777777" w:rsidR="00CD64B5" w:rsidRPr="007F2C2A" w:rsidRDefault="00CD64B5" w:rsidP="00CD64B5">
            <w:pPr>
              <w:rPr>
                <w:sz w:val="20"/>
              </w:rPr>
            </w:pPr>
            <w:r w:rsidRPr="007F2C2A">
              <w:rPr>
                <w:rFonts w:ascii="Sylfaen" w:hAnsi="Sylfaen" w:cs="Sylfaen"/>
                <w:sz w:val="20"/>
              </w:rPr>
              <w:t>აზოტის</w:t>
            </w:r>
            <w:r w:rsidRPr="007F2C2A">
              <w:rPr>
                <w:sz w:val="20"/>
              </w:rPr>
              <w:t xml:space="preserve"> </w:t>
            </w:r>
            <w:r w:rsidRPr="007F2C2A">
              <w:rPr>
                <w:rFonts w:ascii="Sylfaen" w:hAnsi="Sylfaen" w:cs="Sylfaen"/>
                <w:sz w:val="20"/>
              </w:rPr>
              <w:t>დიოქსიდი</w:t>
            </w:r>
            <w:r w:rsidRPr="007F2C2A">
              <w:rPr>
                <w:sz w:val="20"/>
              </w:rPr>
              <w:t xml:space="preserve"> (</w:t>
            </w:r>
            <w:r w:rsidRPr="007F2C2A">
              <w:rPr>
                <w:rFonts w:ascii="Sylfaen" w:hAnsi="Sylfaen" w:cs="Sylfaen"/>
                <w:sz w:val="20"/>
              </w:rPr>
              <w:t>აზოტის</w:t>
            </w:r>
            <w:r w:rsidRPr="007F2C2A">
              <w:rPr>
                <w:sz w:val="20"/>
              </w:rPr>
              <w:t xml:space="preserve"> (IV) </w:t>
            </w:r>
            <w:r w:rsidRPr="007F2C2A">
              <w:rPr>
                <w:rFonts w:ascii="Sylfaen" w:hAnsi="Sylfaen" w:cs="Sylfaen"/>
                <w:sz w:val="20"/>
              </w:rPr>
              <w:t>ოქსიდი</w:t>
            </w:r>
            <w:r w:rsidRPr="007F2C2A">
              <w:rPr>
                <w:sz w:val="20"/>
              </w:rPr>
              <w:t>)</w:t>
            </w:r>
          </w:p>
        </w:tc>
        <w:tc>
          <w:tcPr>
            <w:tcW w:w="359" w:type="pct"/>
            <w:tcBorders>
              <w:top w:val="single" w:sz="4" w:space="0" w:color="000000"/>
              <w:left w:val="single" w:sz="4" w:space="0" w:color="000000"/>
              <w:bottom w:val="single" w:sz="4" w:space="0" w:color="000000"/>
              <w:right w:val="single" w:sz="4" w:space="0" w:color="000000"/>
            </w:tcBorders>
            <w:vAlign w:val="center"/>
            <w:hideMark/>
          </w:tcPr>
          <w:p w14:paraId="640B3370" w14:textId="77777777" w:rsidR="00CD64B5" w:rsidRPr="007F2C2A" w:rsidRDefault="00CD64B5" w:rsidP="00CD64B5">
            <w:pPr>
              <w:rPr>
                <w:sz w:val="20"/>
                <w:lang w:eastAsia="en-US"/>
              </w:rPr>
            </w:pPr>
            <w:r w:rsidRPr="007F2C2A">
              <w:rPr>
                <w:rFonts w:eastAsiaTheme="minorEastAsia"/>
                <w:sz w:val="20"/>
              </w:rPr>
              <w:t>0,408</w:t>
            </w:r>
          </w:p>
        </w:tc>
        <w:tc>
          <w:tcPr>
            <w:tcW w:w="359" w:type="pct"/>
            <w:tcBorders>
              <w:top w:val="single" w:sz="4" w:space="0" w:color="000000"/>
              <w:left w:val="single" w:sz="4" w:space="0" w:color="000000"/>
              <w:bottom w:val="single" w:sz="4" w:space="0" w:color="000000"/>
              <w:right w:val="single" w:sz="4" w:space="0" w:color="000000"/>
            </w:tcBorders>
            <w:vAlign w:val="center"/>
            <w:hideMark/>
          </w:tcPr>
          <w:p w14:paraId="1CC13106" w14:textId="77777777" w:rsidR="00CD64B5" w:rsidRPr="007F2C2A" w:rsidRDefault="00CD64B5" w:rsidP="00CD64B5">
            <w:pPr>
              <w:rPr>
                <w:sz w:val="20"/>
              </w:rPr>
            </w:pPr>
            <w:r w:rsidRPr="007F2C2A">
              <w:rPr>
                <w:rFonts w:eastAsiaTheme="minorEastAsia"/>
                <w:sz w:val="20"/>
              </w:rPr>
              <w:t>0,616</w:t>
            </w:r>
          </w:p>
        </w:tc>
        <w:tc>
          <w:tcPr>
            <w:tcW w:w="302" w:type="pct"/>
            <w:tcBorders>
              <w:top w:val="single" w:sz="4" w:space="0" w:color="000000"/>
              <w:left w:val="single" w:sz="4" w:space="0" w:color="000000"/>
              <w:bottom w:val="single" w:sz="4" w:space="0" w:color="000000"/>
              <w:right w:val="single" w:sz="4" w:space="0" w:color="000000"/>
            </w:tcBorders>
            <w:vAlign w:val="center"/>
            <w:hideMark/>
          </w:tcPr>
          <w:p w14:paraId="3A8264C8" w14:textId="77777777" w:rsidR="00CD64B5" w:rsidRPr="007F2C2A" w:rsidRDefault="00CD64B5" w:rsidP="00CD64B5">
            <w:pPr>
              <w:rPr>
                <w:rFonts w:eastAsiaTheme="minorEastAsia"/>
                <w:sz w:val="20"/>
              </w:rPr>
            </w:pPr>
            <w:r w:rsidRPr="007F2C2A">
              <w:rPr>
                <w:rFonts w:eastAsiaTheme="minorEastAsia"/>
                <w:sz w:val="20"/>
              </w:rPr>
              <w:t>0,616</w:t>
            </w:r>
          </w:p>
        </w:tc>
        <w:tc>
          <w:tcPr>
            <w:tcW w:w="299" w:type="pct"/>
            <w:tcBorders>
              <w:top w:val="single" w:sz="4" w:space="0" w:color="000000"/>
              <w:left w:val="single" w:sz="4" w:space="0" w:color="000000"/>
              <w:bottom w:val="single" w:sz="4" w:space="0" w:color="000000"/>
              <w:right w:val="single" w:sz="4" w:space="0" w:color="000000"/>
            </w:tcBorders>
            <w:vAlign w:val="center"/>
            <w:hideMark/>
          </w:tcPr>
          <w:p w14:paraId="37612FF0" w14:textId="77777777" w:rsidR="00CD64B5" w:rsidRPr="007F2C2A" w:rsidRDefault="00CD64B5" w:rsidP="00CD64B5">
            <w:pPr>
              <w:rPr>
                <w:rFonts w:eastAsiaTheme="minorEastAsia"/>
                <w:sz w:val="20"/>
              </w:rPr>
            </w:pPr>
            <w:r w:rsidRPr="007F2C2A">
              <w:rPr>
                <w:rFonts w:eastAsiaTheme="minorEastAsia"/>
                <w:sz w:val="20"/>
              </w:rPr>
              <w:t>2,72</w:t>
            </w:r>
          </w:p>
        </w:tc>
        <w:tc>
          <w:tcPr>
            <w:tcW w:w="299" w:type="pct"/>
            <w:tcBorders>
              <w:top w:val="single" w:sz="4" w:space="0" w:color="000000"/>
              <w:left w:val="single" w:sz="4" w:space="0" w:color="000000"/>
              <w:bottom w:val="single" w:sz="4" w:space="0" w:color="000000"/>
              <w:right w:val="single" w:sz="4" w:space="0" w:color="000000"/>
            </w:tcBorders>
            <w:vAlign w:val="center"/>
            <w:hideMark/>
          </w:tcPr>
          <w:p w14:paraId="2678D784" w14:textId="77777777" w:rsidR="00CD64B5" w:rsidRPr="007F2C2A" w:rsidRDefault="00CD64B5" w:rsidP="00CD64B5">
            <w:pPr>
              <w:rPr>
                <w:rFonts w:eastAsiaTheme="minorEastAsia"/>
                <w:sz w:val="20"/>
              </w:rPr>
            </w:pPr>
            <w:r w:rsidRPr="007F2C2A">
              <w:rPr>
                <w:rFonts w:eastAsiaTheme="minorEastAsia"/>
                <w:sz w:val="20"/>
              </w:rPr>
              <w:t>2,72</w:t>
            </w:r>
          </w:p>
        </w:tc>
        <w:tc>
          <w:tcPr>
            <w:tcW w:w="299" w:type="pct"/>
            <w:tcBorders>
              <w:top w:val="single" w:sz="4" w:space="0" w:color="000000"/>
              <w:left w:val="single" w:sz="4" w:space="0" w:color="000000"/>
              <w:bottom w:val="single" w:sz="4" w:space="0" w:color="000000"/>
              <w:right w:val="single" w:sz="4" w:space="0" w:color="000000"/>
            </w:tcBorders>
            <w:vAlign w:val="center"/>
            <w:hideMark/>
          </w:tcPr>
          <w:p w14:paraId="04F0A7D1" w14:textId="77777777" w:rsidR="00CD64B5" w:rsidRPr="007F2C2A" w:rsidRDefault="00CD64B5" w:rsidP="00CD64B5">
            <w:pPr>
              <w:rPr>
                <w:rFonts w:eastAsiaTheme="minorEastAsia"/>
                <w:sz w:val="20"/>
              </w:rPr>
            </w:pPr>
            <w:r w:rsidRPr="007F2C2A">
              <w:rPr>
                <w:rFonts w:eastAsiaTheme="minorEastAsia"/>
                <w:sz w:val="20"/>
              </w:rPr>
              <w:t>2,72</w:t>
            </w:r>
          </w:p>
        </w:tc>
        <w:tc>
          <w:tcPr>
            <w:tcW w:w="562" w:type="pct"/>
            <w:tcBorders>
              <w:top w:val="single" w:sz="4" w:space="0" w:color="000000"/>
              <w:left w:val="single" w:sz="4" w:space="0" w:color="000000"/>
              <w:bottom w:val="single" w:sz="4" w:space="0" w:color="000000"/>
              <w:right w:val="single" w:sz="4" w:space="0" w:color="000000"/>
            </w:tcBorders>
            <w:vAlign w:val="center"/>
            <w:hideMark/>
          </w:tcPr>
          <w:p w14:paraId="1F62ADA2" w14:textId="77777777" w:rsidR="00CD64B5" w:rsidRPr="007F2C2A" w:rsidRDefault="00CD64B5" w:rsidP="00CD64B5">
            <w:pPr>
              <w:rPr>
                <w:rFonts w:eastAsiaTheme="minorEastAsia"/>
                <w:sz w:val="20"/>
              </w:rPr>
            </w:pPr>
            <w:r w:rsidRPr="007F2C2A">
              <w:rPr>
                <w:rFonts w:eastAsiaTheme="minorEastAsia"/>
                <w:sz w:val="20"/>
              </w:rPr>
              <w:t>0,368</w:t>
            </w:r>
          </w:p>
        </w:tc>
        <w:tc>
          <w:tcPr>
            <w:tcW w:w="325" w:type="pct"/>
            <w:tcBorders>
              <w:top w:val="single" w:sz="4" w:space="0" w:color="000000"/>
              <w:left w:val="single" w:sz="4" w:space="0" w:color="000000"/>
              <w:bottom w:val="single" w:sz="4" w:space="0" w:color="000000"/>
              <w:right w:val="single" w:sz="4" w:space="0" w:color="000000"/>
            </w:tcBorders>
            <w:vAlign w:val="center"/>
            <w:hideMark/>
          </w:tcPr>
          <w:p w14:paraId="27ABD5E0" w14:textId="77777777" w:rsidR="00CD64B5" w:rsidRPr="007F2C2A" w:rsidRDefault="00CD64B5" w:rsidP="00CD64B5">
            <w:pPr>
              <w:rPr>
                <w:rFonts w:eastAsiaTheme="minorEastAsia"/>
                <w:sz w:val="20"/>
              </w:rPr>
            </w:pPr>
            <w:r w:rsidRPr="007F2C2A">
              <w:rPr>
                <w:rFonts w:eastAsiaTheme="minorEastAsia"/>
                <w:sz w:val="20"/>
              </w:rPr>
              <w:t>1</w:t>
            </w:r>
          </w:p>
        </w:tc>
      </w:tr>
      <w:tr w:rsidR="00CD64B5" w:rsidRPr="007F2C2A" w14:paraId="13E1336D" w14:textId="77777777" w:rsidTr="00CD64B5">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C88E1C" w14:textId="77777777" w:rsidR="00CD64B5" w:rsidRPr="007F2C2A" w:rsidRDefault="00CD64B5" w:rsidP="00CD64B5">
            <w:pPr>
              <w:rPr>
                <w:rFonts w:eastAsiaTheme="minorHAnsi"/>
                <w:sz w:val="20"/>
              </w:rPr>
            </w:pPr>
          </w:p>
        </w:tc>
        <w:tc>
          <w:tcPr>
            <w:tcW w:w="1854" w:type="pct"/>
            <w:tcBorders>
              <w:top w:val="single" w:sz="4" w:space="0" w:color="000000"/>
              <w:left w:val="single" w:sz="4" w:space="0" w:color="000000"/>
              <w:bottom w:val="single" w:sz="4" w:space="0" w:color="000000"/>
              <w:right w:val="single" w:sz="4" w:space="0" w:color="000000"/>
            </w:tcBorders>
            <w:hideMark/>
          </w:tcPr>
          <w:p w14:paraId="6800A322" w14:textId="77777777" w:rsidR="00CD64B5" w:rsidRPr="007F2C2A" w:rsidRDefault="00CD64B5" w:rsidP="00CD64B5">
            <w:pPr>
              <w:rPr>
                <w:rFonts w:eastAsiaTheme="minorEastAsia"/>
                <w:sz w:val="20"/>
                <w:lang w:eastAsia="ru-RU"/>
              </w:rPr>
            </w:pPr>
            <w:r w:rsidRPr="007F2C2A">
              <w:rPr>
                <w:rFonts w:ascii="Sylfaen" w:hAnsi="Sylfaen" w:cs="Sylfaen"/>
                <w:sz w:val="20"/>
              </w:rPr>
              <w:t>აზოტის</w:t>
            </w:r>
            <w:r w:rsidRPr="007F2C2A">
              <w:rPr>
                <w:sz w:val="20"/>
              </w:rPr>
              <w:t xml:space="preserve"> (II) </w:t>
            </w:r>
            <w:r w:rsidRPr="007F2C2A">
              <w:rPr>
                <w:rFonts w:ascii="Sylfaen" w:hAnsi="Sylfaen" w:cs="Sylfaen"/>
                <w:sz w:val="20"/>
              </w:rPr>
              <w:t>ოქსიდი</w:t>
            </w:r>
          </w:p>
        </w:tc>
        <w:tc>
          <w:tcPr>
            <w:tcW w:w="359" w:type="pct"/>
            <w:tcBorders>
              <w:top w:val="single" w:sz="4" w:space="0" w:color="000000"/>
              <w:left w:val="single" w:sz="4" w:space="0" w:color="000000"/>
              <w:bottom w:val="single" w:sz="4" w:space="0" w:color="000000"/>
              <w:right w:val="single" w:sz="4" w:space="0" w:color="000000"/>
            </w:tcBorders>
            <w:vAlign w:val="center"/>
            <w:hideMark/>
          </w:tcPr>
          <w:p w14:paraId="7B7F3CD2" w14:textId="77777777" w:rsidR="00CD64B5" w:rsidRPr="007F2C2A" w:rsidRDefault="00CD64B5" w:rsidP="00CD64B5">
            <w:pPr>
              <w:rPr>
                <w:rFonts w:eastAsiaTheme="minorEastAsia"/>
                <w:sz w:val="20"/>
                <w:lang w:eastAsia="en-US"/>
              </w:rPr>
            </w:pPr>
            <w:r w:rsidRPr="007F2C2A">
              <w:rPr>
                <w:rFonts w:eastAsiaTheme="minorEastAsia"/>
                <w:sz w:val="20"/>
              </w:rPr>
              <w:t>0,0663</w:t>
            </w:r>
          </w:p>
        </w:tc>
        <w:tc>
          <w:tcPr>
            <w:tcW w:w="359" w:type="pct"/>
            <w:tcBorders>
              <w:top w:val="single" w:sz="4" w:space="0" w:color="000000"/>
              <w:left w:val="single" w:sz="4" w:space="0" w:color="000000"/>
              <w:bottom w:val="single" w:sz="4" w:space="0" w:color="000000"/>
              <w:right w:val="single" w:sz="4" w:space="0" w:color="000000"/>
            </w:tcBorders>
            <w:vAlign w:val="center"/>
            <w:hideMark/>
          </w:tcPr>
          <w:p w14:paraId="5B4D2C97" w14:textId="77777777" w:rsidR="00CD64B5" w:rsidRPr="007F2C2A" w:rsidRDefault="00CD64B5" w:rsidP="00CD64B5">
            <w:pPr>
              <w:rPr>
                <w:sz w:val="20"/>
              </w:rPr>
            </w:pPr>
            <w:r w:rsidRPr="007F2C2A">
              <w:rPr>
                <w:rFonts w:eastAsiaTheme="minorEastAsia"/>
                <w:sz w:val="20"/>
              </w:rPr>
              <w:t>0,1</w:t>
            </w:r>
          </w:p>
        </w:tc>
        <w:tc>
          <w:tcPr>
            <w:tcW w:w="302" w:type="pct"/>
            <w:tcBorders>
              <w:top w:val="single" w:sz="4" w:space="0" w:color="000000"/>
              <w:left w:val="single" w:sz="4" w:space="0" w:color="000000"/>
              <w:bottom w:val="single" w:sz="4" w:space="0" w:color="000000"/>
              <w:right w:val="single" w:sz="4" w:space="0" w:color="000000"/>
            </w:tcBorders>
            <w:vAlign w:val="center"/>
            <w:hideMark/>
          </w:tcPr>
          <w:p w14:paraId="3AB470B3" w14:textId="77777777" w:rsidR="00CD64B5" w:rsidRPr="007F2C2A" w:rsidRDefault="00CD64B5" w:rsidP="00CD64B5">
            <w:pPr>
              <w:rPr>
                <w:rFonts w:eastAsiaTheme="minorEastAsia"/>
                <w:sz w:val="20"/>
              </w:rPr>
            </w:pPr>
            <w:r w:rsidRPr="007F2C2A">
              <w:rPr>
                <w:rFonts w:eastAsiaTheme="minorEastAsia"/>
                <w:sz w:val="20"/>
              </w:rPr>
              <w:t>0,1</w:t>
            </w:r>
          </w:p>
        </w:tc>
        <w:tc>
          <w:tcPr>
            <w:tcW w:w="299" w:type="pct"/>
            <w:tcBorders>
              <w:top w:val="single" w:sz="4" w:space="0" w:color="000000"/>
              <w:left w:val="single" w:sz="4" w:space="0" w:color="000000"/>
              <w:bottom w:val="single" w:sz="4" w:space="0" w:color="000000"/>
              <w:right w:val="single" w:sz="4" w:space="0" w:color="000000"/>
            </w:tcBorders>
            <w:vAlign w:val="center"/>
            <w:hideMark/>
          </w:tcPr>
          <w:p w14:paraId="375466AF" w14:textId="77777777" w:rsidR="00CD64B5" w:rsidRPr="007F2C2A" w:rsidRDefault="00CD64B5" w:rsidP="00CD64B5">
            <w:pPr>
              <w:rPr>
                <w:rFonts w:eastAsiaTheme="minorEastAsia"/>
                <w:sz w:val="20"/>
              </w:rPr>
            </w:pPr>
            <w:r w:rsidRPr="007F2C2A">
              <w:rPr>
                <w:rFonts w:eastAsiaTheme="minorEastAsia"/>
                <w:sz w:val="20"/>
              </w:rPr>
              <w:t>0,442</w:t>
            </w:r>
          </w:p>
        </w:tc>
        <w:tc>
          <w:tcPr>
            <w:tcW w:w="299" w:type="pct"/>
            <w:tcBorders>
              <w:top w:val="single" w:sz="4" w:space="0" w:color="000000"/>
              <w:left w:val="single" w:sz="4" w:space="0" w:color="000000"/>
              <w:bottom w:val="single" w:sz="4" w:space="0" w:color="000000"/>
              <w:right w:val="single" w:sz="4" w:space="0" w:color="000000"/>
            </w:tcBorders>
            <w:vAlign w:val="center"/>
            <w:hideMark/>
          </w:tcPr>
          <w:p w14:paraId="3BF41161" w14:textId="77777777" w:rsidR="00CD64B5" w:rsidRPr="007F2C2A" w:rsidRDefault="00CD64B5" w:rsidP="00CD64B5">
            <w:pPr>
              <w:rPr>
                <w:rFonts w:eastAsiaTheme="minorEastAsia"/>
                <w:sz w:val="20"/>
              </w:rPr>
            </w:pPr>
            <w:r w:rsidRPr="007F2C2A">
              <w:rPr>
                <w:rFonts w:eastAsiaTheme="minorEastAsia"/>
                <w:sz w:val="20"/>
              </w:rPr>
              <w:t>0,442</w:t>
            </w:r>
          </w:p>
        </w:tc>
        <w:tc>
          <w:tcPr>
            <w:tcW w:w="299" w:type="pct"/>
            <w:tcBorders>
              <w:top w:val="single" w:sz="4" w:space="0" w:color="000000"/>
              <w:left w:val="single" w:sz="4" w:space="0" w:color="000000"/>
              <w:bottom w:val="single" w:sz="4" w:space="0" w:color="000000"/>
              <w:right w:val="single" w:sz="4" w:space="0" w:color="000000"/>
            </w:tcBorders>
            <w:vAlign w:val="center"/>
            <w:hideMark/>
          </w:tcPr>
          <w:p w14:paraId="1D4B8CDC" w14:textId="77777777" w:rsidR="00CD64B5" w:rsidRPr="007F2C2A" w:rsidRDefault="00CD64B5" w:rsidP="00CD64B5">
            <w:pPr>
              <w:rPr>
                <w:rFonts w:eastAsiaTheme="minorEastAsia"/>
                <w:sz w:val="20"/>
              </w:rPr>
            </w:pPr>
            <w:r w:rsidRPr="007F2C2A">
              <w:rPr>
                <w:rFonts w:eastAsiaTheme="minorEastAsia"/>
                <w:sz w:val="20"/>
              </w:rPr>
              <w:t>0,442</w:t>
            </w:r>
          </w:p>
        </w:tc>
        <w:tc>
          <w:tcPr>
            <w:tcW w:w="562" w:type="pct"/>
            <w:tcBorders>
              <w:top w:val="single" w:sz="4" w:space="0" w:color="000000"/>
              <w:left w:val="single" w:sz="4" w:space="0" w:color="000000"/>
              <w:bottom w:val="single" w:sz="4" w:space="0" w:color="000000"/>
              <w:right w:val="single" w:sz="4" w:space="0" w:color="000000"/>
            </w:tcBorders>
            <w:vAlign w:val="center"/>
            <w:hideMark/>
          </w:tcPr>
          <w:p w14:paraId="7667867F" w14:textId="77777777" w:rsidR="00CD64B5" w:rsidRPr="007F2C2A" w:rsidRDefault="00CD64B5" w:rsidP="00CD64B5">
            <w:pPr>
              <w:rPr>
                <w:rFonts w:eastAsiaTheme="minorEastAsia"/>
                <w:sz w:val="20"/>
              </w:rPr>
            </w:pPr>
            <w:r w:rsidRPr="007F2C2A">
              <w:rPr>
                <w:rFonts w:eastAsiaTheme="minorEastAsia"/>
                <w:sz w:val="20"/>
              </w:rPr>
              <w:t>0,0598</w:t>
            </w:r>
          </w:p>
        </w:tc>
        <w:tc>
          <w:tcPr>
            <w:tcW w:w="325" w:type="pct"/>
            <w:tcBorders>
              <w:top w:val="single" w:sz="4" w:space="0" w:color="000000"/>
              <w:left w:val="single" w:sz="4" w:space="0" w:color="000000"/>
              <w:bottom w:val="single" w:sz="4" w:space="0" w:color="000000"/>
              <w:right w:val="single" w:sz="4" w:space="0" w:color="000000"/>
            </w:tcBorders>
            <w:vAlign w:val="center"/>
            <w:hideMark/>
          </w:tcPr>
          <w:p w14:paraId="7C9FA746" w14:textId="77777777" w:rsidR="00CD64B5" w:rsidRPr="007F2C2A" w:rsidRDefault="00CD64B5" w:rsidP="00CD64B5">
            <w:pPr>
              <w:rPr>
                <w:rFonts w:eastAsiaTheme="minorEastAsia"/>
                <w:sz w:val="20"/>
              </w:rPr>
            </w:pPr>
            <w:r w:rsidRPr="007F2C2A">
              <w:rPr>
                <w:rFonts w:eastAsiaTheme="minorEastAsia"/>
                <w:sz w:val="20"/>
              </w:rPr>
              <w:t>1</w:t>
            </w:r>
          </w:p>
        </w:tc>
      </w:tr>
      <w:tr w:rsidR="00CD64B5" w:rsidRPr="007F2C2A" w14:paraId="0839145D" w14:textId="77777777" w:rsidTr="00CD64B5">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7E8DFA" w14:textId="77777777" w:rsidR="00CD64B5" w:rsidRPr="007F2C2A" w:rsidRDefault="00CD64B5" w:rsidP="00CD64B5">
            <w:pPr>
              <w:rPr>
                <w:rFonts w:eastAsiaTheme="minorHAnsi"/>
                <w:sz w:val="20"/>
              </w:rPr>
            </w:pPr>
          </w:p>
        </w:tc>
        <w:tc>
          <w:tcPr>
            <w:tcW w:w="1854" w:type="pct"/>
            <w:tcBorders>
              <w:top w:val="single" w:sz="4" w:space="0" w:color="000000"/>
              <w:left w:val="single" w:sz="4" w:space="0" w:color="000000"/>
              <w:bottom w:val="single" w:sz="4" w:space="0" w:color="000000"/>
              <w:right w:val="single" w:sz="4" w:space="0" w:color="000000"/>
            </w:tcBorders>
            <w:hideMark/>
          </w:tcPr>
          <w:p w14:paraId="2F197E32" w14:textId="77777777" w:rsidR="00CD64B5" w:rsidRPr="007F2C2A" w:rsidRDefault="00CD64B5" w:rsidP="00CD64B5">
            <w:pPr>
              <w:rPr>
                <w:rFonts w:eastAsiaTheme="minorEastAsia"/>
                <w:sz w:val="20"/>
                <w:lang w:eastAsia="ru-RU"/>
              </w:rPr>
            </w:pPr>
            <w:r w:rsidRPr="007F2C2A">
              <w:rPr>
                <w:rFonts w:ascii="Sylfaen" w:hAnsi="Sylfaen" w:cs="Sylfaen"/>
                <w:sz w:val="20"/>
              </w:rPr>
              <w:t>ჭვარტლი</w:t>
            </w:r>
          </w:p>
        </w:tc>
        <w:tc>
          <w:tcPr>
            <w:tcW w:w="359" w:type="pct"/>
            <w:tcBorders>
              <w:top w:val="single" w:sz="4" w:space="0" w:color="000000"/>
              <w:left w:val="single" w:sz="4" w:space="0" w:color="000000"/>
              <w:bottom w:val="single" w:sz="4" w:space="0" w:color="000000"/>
              <w:right w:val="single" w:sz="4" w:space="0" w:color="000000"/>
            </w:tcBorders>
            <w:vAlign w:val="center"/>
            <w:hideMark/>
          </w:tcPr>
          <w:p w14:paraId="000B1DDC" w14:textId="77777777" w:rsidR="00CD64B5" w:rsidRPr="007F2C2A" w:rsidRDefault="00CD64B5" w:rsidP="00CD64B5">
            <w:pPr>
              <w:rPr>
                <w:rFonts w:eastAsiaTheme="minorEastAsia"/>
                <w:sz w:val="20"/>
                <w:lang w:eastAsia="en-US"/>
              </w:rPr>
            </w:pPr>
            <w:r w:rsidRPr="007F2C2A">
              <w:rPr>
                <w:rFonts w:eastAsiaTheme="minorEastAsia"/>
                <w:sz w:val="20"/>
              </w:rPr>
              <w:t>0,019</w:t>
            </w:r>
          </w:p>
        </w:tc>
        <w:tc>
          <w:tcPr>
            <w:tcW w:w="359" w:type="pct"/>
            <w:tcBorders>
              <w:top w:val="single" w:sz="4" w:space="0" w:color="000000"/>
              <w:left w:val="single" w:sz="4" w:space="0" w:color="000000"/>
              <w:bottom w:val="single" w:sz="4" w:space="0" w:color="000000"/>
              <w:right w:val="single" w:sz="4" w:space="0" w:color="000000"/>
            </w:tcBorders>
            <w:vAlign w:val="center"/>
            <w:hideMark/>
          </w:tcPr>
          <w:p w14:paraId="45851E4B" w14:textId="77777777" w:rsidR="00CD64B5" w:rsidRPr="007F2C2A" w:rsidRDefault="00CD64B5" w:rsidP="00CD64B5">
            <w:pPr>
              <w:rPr>
                <w:sz w:val="20"/>
              </w:rPr>
            </w:pPr>
            <w:r w:rsidRPr="007F2C2A">
              <w:rPr>
                <w:rFonts w:eastAsiaTheme="minorEastAsia"/>
                <w:sz w:val="20"/>
              </w:rPr>
              <w:t>0,0342</w:t>
            </w:r>
          </w:p>
        </w:tc>
        <w:tc>
          <w:tcPr>
            <w:tcW w:w="302" w:type="pct"/>
            <w:tcBorders>
              <w:top w:val="single" w:sz="4" w:space="0" w:color="000000"/>
              <w:left w:val="single" w:sz="4" w:space="0" w:color="000000"/>
              <w:bottom w:val="single" w:sz="4" w:space="0" w:color="000000"/>
              <w:right w:val="single" w:sz="4" w:space="0" w:color="000000"/>
            </w:tcBorders>
            <w:vAlign w:val="center"/>
            <w:hideMark/>
          </w:tcPr>
          <w:p w14:paraId="1EE804E2" w14:textId="77777777" w:rsidR="00CD64B5" w:rsidRPr="007F2C2A" w:rsidRDefault="00CD64B5" w:rsidP="00CD64B5">
            <w:pPr>
              <w:rPr>
                <w:rFonts w:eastAsiaTheme="minorEastAsia"/>
                <w:sz w:val="20"/>
              </w:rPr>
            </w:pPr>
            <w:r w:rsidRPr="007F2C2A">
              <w:rPr>
                <w:rFonts w:eastAsiaTheme="minorEastAsia"/>
                <w:sz w:val="20"/>
              </w:rPr>
              <w:t>0,038</w:t>
            </w:r>
          </w:p>
        </w:tc>
        <w:tc>
          <w:tcPr>
            <w:tcW w:w="299" w:type="pct"/>
            <w:tcBorders>
              <w:top w:val="single" w:sz="4" w:space="0" w:color="000000"/>
              <w:left w:val="single" w:sz="4" w:space="0" w:color="000000"/>
              <w:bottom w:val="single" w:sz="4" w:space="0" w:color="000000"/>
              <w:right w:val="single" w:sz="4" w:space="0" w:color="000000"/>
            </w:tcBorders>
            <w:vAlign w:val="center"/>
            <w:hideMark/>
          </w:tcPr>
          <w:p w14:paraId="461006DA" w14:textId="77777777" w:rsidR="00CD64B5" w:rsidRPr="007F2C2A" w:rsidRDefault="00CD64B5" w:rsidP="00CD64B5">
            <w:pPr>
              <w:rPr>
                <w:rFonts w:eastAsiaTheme="minorEastAsia"/>
                <w:sz w:val="20"/>
              </w:rPr>
            </w:pPr>
            <w:r w:rsidRPr="007F2C2A">
              <w:rPr>
                <w:rFonts w:eastAsiaTheme="minorEastAsia"/>
                <w:sz w:val="20"/>
              </w:rPr>
              <w:t>0,2</w:t>
            </w:r>
          </w:p>
        </w:tc>
        <w:tc>
          <w:tcPr>
            <w:tcW w:w="299" w:type="pct"/>
            <w:tcBorders>
              <w:top w:val="single" w:sz="4" w:space="0" w:color="000000"/>
              <w:left w:val="single" w:sz="4" w:space="0" w:color="000000"/>
              <w:bottom w:val="single" w:sz="4" w:space="0" w:color="000000"/>
              <w:right w:val="single" w:sz="4" w:space="0" w:color="000000"/>
            </w:tcBorders>
            <w:vAlign w:val="center"/>
            <w:hideMark/>
          </w:tcPr>
          <w:p w14:paraId="6FE3AE3C" w14:textId="77777777" w:rsidR="00CD64B5" w:rsidRPr="007F2C2A" w:rsidRDefault="00CD64B5" w:rsidP="00CD64B5">
            <w:pPr>
              <w:rPr>
                <w:rFonts w:eastAsiaTheme="minorEastAsia"/>
                <w:sz w:val="20"/>
              </w:rPr>
            </w:pPr>
            <w:r w:rsidRPr="007F2C2A">
              <w:rPr>
                <w:rFonts w:eastAsiaTheme="minorEastAsia"/>
                <w:sz w:val="20"/>
              </w:rPr>
              <w:t>0,27</w:t>
            </w:r>
          </w:p>
        </w:tc>
        <w:tc>
          <w:tcPr>
            <w:tcW w:w="299" w:type="pct"/>
            <w:tcBorders>
              <w:top w:val="single" w:sz="4" w:space="0" w:color="000000"/>
              <w:left w:val="single" w:sz="4" w:space="0" w:color="000000"/>
              <w:bottom w:val="single" w:sz="4" w:space="0" w:color="000000"/>
              <w:right w:val="single" w:sz="4" w:space="0" w:color="000000"/>
            </w:tcBorders>
            <w:vAlign w:val="center"/>
            <w:hideMark/>
          </w:tcPr>
          <w:p w14:paraId="0CA03A39" w14:textId="77777777" w:rsidR="00CD64B5" w:rsidRPr="007F2C2A" w:rsidRDefault="00CD64B5" w:rsidP="00CD64B5">
            <w:pPr>
              <w:rPr>
                <w:rFonts w:eastAsiaTheme="minorEastAsia"/>
                <w:sz w:val="20"/>
              </w:rPr>
            </w:pPr>
            <w:r w:rsidRPr="007F2C2A">
              <w:rPr>
                <w:rFonts w:eastAsiaTheme="minorEastAsia"/>
                <w:sz w:val="20"/>
              </w:rPr>
              <w:t>0,3</w:t>
            </w:r>
          </w:p>
        </w:tc>
        <w:tc>
          <w:tcPr>
            <w:tcW w:w="562" w:type="pct"/>
            <w:tcBorders>
              <w:top w:val="single" w:sz="4" w:space="0" w:color="000000"/>
              <w:left w:val="single" w:sz="4" w:space="0" w:color="000000"/>
              <w:bottom w:val="single" w:sz="4" w:space="0" w:color="000000"/>
              <w:right w:val="single" w:sz="4" w:space="0" w:color="000000"/>
            </w:tcBorders>
            <w:vAlign w:val="center"/>
            <w:hideMark/>
          </w:tcPr>
          <w:p w14:paraId="79E64B16" w14:textId="77777777" w:rsidR="00CD64B5" w:rsidRPr="007F2C2A" w:rsidRDefault="00CD64B5" w:rsidP="00CD64B5">
            <w:pPr>
              <w:rPr>
                <w:rFonts w:eastAsiaTheme="minorEastAsia"/>
                <w:sz w:val="20"/>
              </w:rPr>
            </w:pPr>
            <w:r w:rsidRPr="007F2C2A">
              <w:rPr>
                <w:rFonts w:eastAsiaTheme="minorEastAsia"/>
                <w:sz w:val="20"/>
              </w:rPr>
              <w:t>0,019</w:t>
            </w:r>
          </w:p>
        </w:tc>
        <w:tc>
          <w:tcPr>
            <w:tcW w:w="325" w:type="pct"/>
            <w:tcBorders>
              <w:top w:val="single" w:sz="4" w:space="0" w:color="000000"/>
              <w:left w:val="single" w:sz="4" w:space="0" w:color="000000"/>
              <w:bottom w:val="single" w:sz="4" w:space="0" w:color="000000"/>
              <w:right w:val="single" w:sz="4" w:space="0" w:color="000000"/>
            </w:tcBorders>
            <w:vAlign w:val="center"/>
            <w:hideMark/>
          </w:tcPr>
          <w:p w14:paraId="12DB758B" w14:textId="77777777" w:rsidR="00CD64B5" w:rsidRPr="007F2C2A" w:rsidRDefault="00CD64B5" w:rsidP="00CD64B5">
            <w:pPr>
              <w:rPr>
                <w:rFonts w:eastAsiaTheme="minorEastAsia"/>
                <w:sz w:val="20"/>
              </w:rPr>
            </w:pPr>
            <w:r w:rsidRPr="007F2C2A">
              <w:rPr>
                <w:rFonts w:eastAsiaTheme="minorEastAsia"/>
                <w:sz w:val="20"/>
              </w:rPr>
              <w:t>0,8</w:t>
            </w:r>
          </w:p>
        </w:tc>
      </w:tr>
      <w:tr w:rsidR="00CD64B5" w:rsidRPr="007F2C2A" w14:paraId="718A124D" w14:textId="77777777" w:rsidTr="00CD64B5">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CEF679" w14:textId="77777777" w:rsidR="00CD64B5" w:rsidRPr="007F2C2A" w:rsidRDefault="00CD64B5" w:rsidP="00CD64B5">
            <w:pPr>
              <w:rPr>
                <w:rFonts w:eastAsiaTheme="minorHAnsi"/>
                <w:sz w:val="20"/>
              </w:rPr>
            </w:pPr>
          </w:p>
        </w:tc>
        <w:tc>
          <w:tcPr>
            <w:tcW w:w="1854" w:type="pct"/>
            <w:tcBorders>
              <w:top w:val="single" w:sz="4" w:space="0" w:color="000000"/>
              <w:left w:val="single" w:sz="4" w:space="0" w:color="000000"/>
              <w:bottom w:val="single" w:sz="4" w:space="0" w:color="000000"/>
              <w:right w:val="single" w:sz="4" w:space="0" w:color="000000"/>
            </w:tcBorders>
            <w:hideMark/>
          </w:tcPr>
          <w:p w14:paraId="6ED24CC2" w14:textId="77777777" w:rsidR="00CD64B5" w:rsidRPr="007F2C2A" w:rsidRDefault="00CD64B5" w:rsidP="00CD64B5">
            <w:pPr>
              <w:rPr>
                <w:rFonts w:eastAsiaTheme="minorEastAsia"/>
                <w:sz w:val="20"/>
                <w:lang w:eastAsia="ru-RU"/>
              </w:rPr>
            </w:pPr>
            <w:r w:rsidRPr="007F2C2A">
              <w:rPr>
                <w:rFonts w:ascii="Sylfaen" w:hAnsi="Sylfaen" w:cs="Sylfaen"/>
                <w:sz w:val="20"/>
              </w:rPr>
              <w:t>გოგირდის</w:t>
            </w:r>
            <w:r w:rsidRPr="007F2C2A">
              <w:rPr>
                <w:sz w:val="20"/>
              </w:rPr>
              <w:t xml:space="preserve"> </w:t>
            </w:r>
            <w:r w:rsidRPr="007F2C2A">
              <w:rPr>
                <w:rFonts w:ascii="Sylfaen" w:hAnsi="Sylfaen" w:cs="Sylfaen"/>
                <w:sz w:val="20"/>
              </w:rPr>
              <w:t>დიოქსიდი</w:t>
            </w:r>
          </w:p>
        </w:tc>
        <w:tc>
          <w:tcPr>
            <w:tcW w:w="359" w:type="pct"/>
            <w:tcBorders>
              <w:top w:val="single" w:sz="4" w:space="0" w:color="000000"/>
              <w:left w:val="single" w:sz="4" w:space="0" w:color="000000"/>
              <w:bottom w:val="single" w:sz="4" w:space="0" w:color="000000"/>
              <w:right w:val="single" w:sz="4" w:space="0" w:color="000000"/>
            </w:tcBorders>
            <w:vAlign w:val="center"/>
            <w:hideMark/>
          </w:tcPr>
          <w:p w14:paraId="14D78F49" w14:textId="77777777" w:rsidR="00CD64B5" w:rsidRPr="007F2C2A" w:rsidRDefault="00CD64B5" w:rsidP="00CD64B5">
            <w:pPr>
              <w:rPr>
                <w:rFonts w:eastAsiaTheme="minorEastAsia"/>
                <w:sz w:val="20"/>
                <w:lang w:eastAsia="en-US"/>
              </w:rPr>
            </w:pPr>
            <w:r w:rsidRPr="007F2C2A">
              <w:rPr>
                <w:rFonts w:eastAsiaTheme="minorEastAsia"/>
                <w:sz w:val="20"/>
              </w:rPr>
              <w:t>0,1</w:t>
            </w:r>
          </w:p>
        </w:tc>
        <w:tc>
          <w:tcPr>
            <w:tcW w:w="359" w:type="pct"/>
            <w:tcBorders>
              <w:top w:val="single" w:sz="4" w:space="0" w:color="000000"/>
              <w:left w:val="single" w:sz="4" w:space="0" w:color="000000"/>
              <w:bottom w:val="single" w:sz="4" w:space="0" w:color="000000"/>
              <w:right w:val="single" w:sz="4" w:space="0" w:color="000000"/>
            </w:tcBorders>
            <w:vAlign w:val="center"/>
            <w:hideMark/>
          </w:tcPr>
          <w:p w14:paraId="2CA0B112" w14:textId="77777777" w:rsidR="00CD64B5" w:rsidRPr="007F2C2A" w:rsidRDefault="00CD64B5" w:rsidP="00CD64B5">
            <w:pPr>
              <w:rPr>
                <w:sz w:val="20"/>
              </w:rPr>
            </w:pPr>
            <w:r w:rsidRPr="007F2C2A">
              <w:rPr>
                <w:rFonts w:eastAsiaTheme="minorEastAsia"/>
                <w:sz w:val="20"/>
              </w:rPr>
              <w:t>0,108</w:t>
            </w:r>
          </w:p>
        </w:tc>
        <w:tc>
          <w:tcPr>
            <w:tcW w:w="302" w:type="pct"/>
            <w:tcBorders>
              <w:top w:val="single" w:sz="4" w:space="0" w:color="000000"/>
              <w:left w:val="single" w:sz="4" w:space="0" w:color="000000"/>
              <w:bottom w:val="single" w:sz="4" w:space="0" w:color="000000"/>
              <w:right w:val="single" w:sz="4" w:space="0" w:color="000000"/>
            </w:tcBorders>
            <w:vAlign w:val="center"/>
            <w:hideMark/>
          </w:tcPr>
          <w:p w14:paraId="2BB5D94E" w14:textId="77777777" w:rsidR="00CD64B5" w:rsidRPr="007F2C2A" w:rsidRDefault="00CD64B5" w:rsidP="00CD64B5">
            <w:pPr>
              <w:rPr>
                <w:rFonts w:eastAsiaTheme="minorEastAsia"/>
                <w:sz w:val="20"/>
              </w:rPr>
            </w:pPr>
            <w:r w:rsidRPr="007F2C2A">
              <w:rPr>
                <w:rFonts w:eastAsiaTheme="minorEastAsia"/>
                <w:sz w:val="20"/>
              </w:rPr>
              <w:t>0,12</w:t>
            </w:r>
          </w:p>
        </w:tc>
        <w:tc>
          <w:tcPr>
            <w:tcW w:w="299" w:type="pct"/>
            <w:tcBorders>
              <w:top w:val="single" w:sz="4" w:space="0" w:color="000000"/>
              <w:left w:val="single" w:sz="4" w:space="0" w:color="000000"/>
              <w:bottom w:val="single" w:sz="4" w:space="0" w:color="000000"/>
              <w:right w:val="single" w:sz="4" w:space="0" w:color="000000"/>
            </w:tcBorders>
            <w:vAlign w:val="center"/>
            <w:hideMark/>
          </w:tcPr>
          <w:p w14:paraId="7A5E5009" w14:textId="77777777" w:rsidR="00CD64B5" w:rsidRPr="007F2C2A" w:rsidRDefault="00CD64B5" w:rsidP="00CD64B5">
            <w:pPr>
              <w:rPr>
                <w:rFonts w:eastAsiaTheme="minorEastAsia"/>
                <w:sz w:val="20"/>
              </w:rPr>
            </w:pPr>
            <w:r w:rsidRPr="007F2C2A">
              <w:rPr>
                <w:rFonts w:eastAsiaTheme="minorEastAsia"/>
                <w:sz w:val="20"/>
              </w:rPr>
              <w:t>0,475</w:t>
            </w:r>
          </w:p>
        </w:tc>
        <w:tc>
          <w:tcPr>
            <w:tcW w:w="299" w:type="pct"/>
            <w:tcBorders>
              <w:top w:val="single" w:sz="4" w:space="0" w:color="000000"/>
              <w:left w:val="single" w:sz="4" w:space="0" w:color="000000"/>
              <w:bottom w:val="single" w:sz="4" w:space="0" w:color="000000"/>
              <w:right w:val="single" w:sz="4" w:space="0" w:color="000000"/>
            </w:tcBorders>
            <w:vAlign w:val="center"/>
            <w:hideMark/>
          </w:tcPr>
          <w:p w14:paraId="0F316D26" w14:textId="77777777" w:rsidR="00CD64B5" w:rsidRPr="007F2C2A" w:rsidRDefault="00CD64B5" w:rsidP="00CD64B5">
            <w:pPr>
              <w:rPr>
                <w:rFonts w:eastAsiaTheme="minorEastAsia"/>
                <w:sz w:val="20"/>
              </w:rPr>
            </w:pPr>
            <w:r w:rsidRPr="007F2C2A">
              <w:rPr>
                <w:rFonts w:eastAsiaTheme="minorEastAsia"/>
                <w:sz w:val="20"/>
              </w:rPr>
              <w:t>0,531</w:t>
            </w:r>
          </w:p>
        </w:tc>
        <w:tc>
          <w:tcPr>
            <w:tcW w:w="299" w:type="pct"/>
            <w:tcBorders>
              <w:top w:val="single" w:sz="4" w:space="0" w:color="000000"/>
              <w:left w:val="single" w:sz="4" w:space="0" w:color="000000"/>
              <w:bottom w:val="single" w:sz="4" w:space="0" w:color="000000"/>
              <w:right w:val="single" w:sz="4" w:space="0" w:color="000000"/>
            </w:tcBorders>
            <w:vAlign w:val="center"/>
            <w:hideMark/>
          </w:tcPr>
          <w:p w14:paraId="7634F24A" w14:textId="77777777" w:rsidR="00CD64B5" w:rsidRPr="007F2C2A" w:rsidRDefault="00CD64B5" w:rsidP="00CD64B5">
            <w:pPr>
              <w:rPr>
                <w:rFonts w:eastAsiaTheme="minorEastAsia"/>
                <w:sz w:val="20"/>
              </w:rPr>
            </w:pPr>
            <w:r w:rsidRPr="007F2C2A">
              <w:rPr>
                <w:rFonts w:eastAsiaTheme="minorEastAsia"/>
                <w:sz w:val="20"/>
              </w:rPr>
              <w:t>0,59</w:t>
            </w:r>
          </w:p>
        </w:tc>
        <w:tc>
          <w:tcPr>
            <w:tcW w:w="562" w:type="pct"/>
            <w:tcBorders>
              <w:top w:val="single" w:sz="4" w:space="0" w:color="000000"/>
              <w:left w:val="single" w:sz="4" w:space="0" w:color="000000"/>
              <w:bottom w:val="single" w:sz="4" w:space="0" w:color="000000"/>
              <w:right w:val="single" w:sz="4" w:space="0" w:color="000000"/>
            </w:tcBorders>
            <w:vAlign w:val="center"/>
            <w:hideMark/>
          </w:tcPr>
          <w:p w14:paraId="683FF685" w14:textId="77777777" w:rsidR="00CD64B5" w:rsidRPr="007F2C2A" w:rsidRDefault="00CD64B5" w:rsidP="00CD64B5">
            <w:pPr>
              <w:rPr>
                <w:rFonts w:eastAsiaTheme="minorEastAsia"/>
                <w:sz w:val="20"/>
              </w:rPr>
            </w:pPr>
            <w:r w:rsidRPr="007F2C2A">
              <w:rPr>
                <w:rFonts w:eastAsiaTheme="minorEastAsia"/>
                <w:sz w:val="20"/>
              </w:rPr>
              <w:t>0,1</w:t>
            </w:r>
          </w:p>
        </w:tc>
        <w:tc>
          <w:tcPr>
            <w:tcW w:w="325" w:type="pct"/>
            <w:tcBorders>
              <w:top w:val="single" w:sz="4" w:space="0" w:color="000000"/>
              <w:left w:val="single" w:sz="4" w:space="0" w:color="000000"/>
              <w:bottom w:val="single" w:sz="4" w:space="0" w:color="000000"/>
              <w:right w:val="single" w:sz="4" w:space="0" w:color="000000"/>
            </w:tcBorders>
            <w:vAlign w:val="center"/>
            <w:hideMark/>
          </w:tcPr>
          <w:p w14:paraId="78E12D0C" w14:textId="77777777" w:rsidR="00CD64B5" w:rsidRPr="007F2C2A" w:rsidRDefault="00CD64B5" w:rsidP="00CD64B5">
            <w:pPr>
              <w:rPr>
                <w:rFonts w:eastAsiaTheme="minorEastAsia"/>
                <w:sz w:val="20"/>
              </w:rPr>
            </w:pPr>
            <w:r w:rsidRPr="007F2C2A">
              <w:rPr>
                <w:rFonts w:eastAsiaTheme="minorEastAsia"/>
                <w:sz w:val="20"/>
              </w:rPr>
              <w:t>0,95</w:t>
            </w:r>
          </w:p>
        </w:tc>
      </w:tr>
      <w:tr w:rsidR="00CD64B5" w:rsidRPr="007F2C2A" w14:paraId="3CD698BA" w14:textId="77777777" w:rsidTr="00CD64B5">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ED185F" w14:textId="77777777" w:rsidR="00CD64B5" w:rsidRPr="007F2C2A" w:rsidRDefault="00CD64B5" w:rsidP="00CD64B5">
            <w:pPr>
              <w:rPr>
                <w:rFonts w:eastAsiaTheme="minorHAnsi"/>
                <w:sz w:val="20"/>
              </w:rPr>
            </w:pPr>
          </w:p>
        </w:tc>
        <w:tc>
          <w:tcPr>
            <w:tcW w:w="1854" w:type="pct"/>
            <w:tcBorders>
              <w:top w:val="single" w:sz="4" w:space="0" w:color="000000"/>
              <w:left w:val="single" w:sz="4" w:space="0" w:color="000000"/>
              <w:bottom w:val="single" w:sz="4" w:space="0" w:color="000000"/>
              <w:right w:val="single" w:sz="4" w:space="0" w:color="000000"/>
            </w:tcBorders>
            <w:hideMark/>
          </w:tcPr>
          <w:p w14:paraId="1ACCCCDB" w14:textId="77777777" w:rsidR="00CD64B5" w:rsidRPr="007F2C2A" w:rsidRDefault="00CD64B5" w:rsidP="00CD64B5">
            <w:pPr>
              <w:rPr>
                <w:rFonts w:eastAsiaTheme="minorEastAsia"/>
                <w:sz w:val="20"/>
                <w:lang w:eastAsia="ru-RU"/>
              </w:rPr>
            </w:pPr>
            <w:r w:rsidRPr="007F2C2A">
              <w:rPr>
                <w:rFonts w:ascii="Sylfaen" w:hAnsi="Sylfaen" w:cs="Sylfaen"/>
                <w:sz w:val="20"/>
              </w:rPr>
              <w:t>ნახშირბადის</w:t>
            </w:r>
            <w:r w:rsidRPr="007F2C2A">
              <w:rPr>
                <w:sz w:val="20"/>
              </w:rPr>
              <w:t xml:space="preserve"> </w:t>
            </w:r>
            <w:r w:rsidRPr="007F2C2A">
              <w:rPr>
                <w:rFonts w:ascii="Sylfaen" w:hAnsi="Sylfaen" w:cs="Sylfaen"/>
                <w:sz w:val="20"/>
              </w:rPr>
              <w:t>ოქსიდი</w:t>
            </w:r>
          </w:p>
        </w:tc>
        <w:tc>
          <w:tcPr>
            <w:tcW w:w="359" w:type="pct"/>
            <w:tcBorders>
              <w:top w:val="single" w:sz="4" w:space="0" w:color="000000"/>
              <w:left w:val="single" w:sz="4" w:space="0" w:color="000000"/>
              <w:bottom w:val="single" w:sz="4" w:space="0" w:color="000000"/>
              <w:right w:val="single" w:sz="4" w:space="0" w:color="000000"/>
            </w:tcBorders>
            <w:vAlign w:val="center"/>
            <w:hideMark/>
          </w:tcPr>
          <w:p w14:paraId="3DDBA6F4" w14:textId="77777777" w:rsidR="00CD64B5" w:rsidRPr="007F2C2A" w:rsidRDefault="00CD64B5" w:rsidP="00CD64B5">
            <w:pPr>
              <w:rPr>
                <w:rFonts w:eastAsiaTheme="minorEastAsia"/>
                <w:sz w:val="20"/>
                <w:lang w:eastAsia="en-US"/>
              </w:rPr>
            </w:pPr>
            <w:r w:rsidRPr="007F2C2A">
              <w:rPr>
                <w:rFonts w:eastAsiaTheme="minorEastAsia"/>
                <w:sz w:val="20"/>
              </w:rPr>
              <w:t>1,34</w:t>
            </w:r>
          </w:p>
        </w:tc>
        <w:tc>
          <w:tcPr>
            <w:tcW w:w="359" w:type="pct"/>
            <w:tcBorders>
              <w:top w:val="single" w:sz="4" w:space="0" w:color="000000"/>
              <w:left w:val="single" w:sz="4" w:space="0" w:color="000000"/>
              <w:bottom w:val="single" w:sz="4" w:space="0" w:color="000000"/>
              <w:right w:val="single" w:sz="4" w:space="0" w:color="000000"/>
            </w:tcBorders>
            <w:vAlign w:val="center"/>
            <w:hideMark/>
          </w:tcPr>
          <w:p w14:paraId="2EA0BDBA" w14:textId="77777777" w:rsidR="00CD64B5" w:rsidRPr="007F2C2A" w:rsidRDefault="00CD64B5" w:rsidP="00CD64B5">
            <w:pPr>
              <w:rPr>
                <w:sz w:val="20"/>
              </w:rPr>
            </w:pPr>
            <w:r w:rsidRPr="007F2C2A">
              <w:rPr>
                <w:rFonts w:eastAsiaTheme="minorEastAsia"/>
                <w:sz w:val="20"/>
              </w:rPr>
              <w:t>1,8</w:t>
            </w:r>
          </w:p>
        </w:tc>
        <w:tc>
          <w:tcPr>
            <w:tcW w:w="302" w:type="pct"/>
            <w:tcBorders>
              <w:top w:val="single" w:sz="4" w:space="0" w:color="000000"/>
              <w:left w:val="single" w:sz="4" w:space="0" w:color="000000"/>
              <w:bottom w:val="single" w:sz="4" w:space="0" w:color="000000"/>
              <w:right w:val="single" w:sz="4" w:space="0" w:color="000000"/>
            </w:tcBorders>
            <w:vAlign w:val="center"/>
            <w:hideMark/>
          </w:tcPr>
          <w:p w14:paraId="679B4F4D" w14:textId="77777777" w:rsidR="00CD64B5" w:rsidRPr="007F2C2A" w:rsidRDefault="00CD64B5" w:rsidP="00CD64B5">
            <w:pPr>
              <w:rPr>
                <w:rFonts w:eastAsiaTheme="minorEastAsia"/>
                <w:sz w:val="20"/>
              </w:rPr>
            </w:pPr>
            <w:r w:rsidRPr="007F2C2A">
              <w:rPr>
                <w:rFonts w:eastAsiaTheme="minorEastAsia"/>
                <w:sz w:val="20"/>
              </w:rPr>
              <w:t>2</w:t>
            </w:r>
          </w:p>
        </w:tc>
        <w:tc>
          <w:tcPr>
            <w:tcW w:w="299" w:type="pct"/>
            <w:tcBorders>
              <w:top w:val="single" w:sz="4" w:space="0" w:color="000000"/>
              <w:left w:val="single" w:sz="4" w:space="0" w:color="000000"/>
              <w:bottom w:val="single" w:sz="4" w:space="0" w:color="000000"/>
              <w:right w:val="single" w:sz="4" w:space="0" w:color="000000"/>
            </w:tcBorders>
            <w:vAlign w:val="center"/>
            <w:hideMark/>
          </w:tcPr>
          <w:p w14:paraId="4C3E28CB" w14:textId="77777777" w:rsidR="00CD64B5" w:rsidRPr="007F2C2A" w:rsidRDefault="00CD64B5" w:rsidP="00CD64B5">
            <w:pPr>
              <w:rPr>
                <w:rFonts w:eastAsiaTheme="minorEastAsia"/>
                <w:sz w:val="20"/>
              </w:rPr>
            </w:pPr>
            <w:r w:rsidRPr="007F2C2A">
              <w:rPr>
                <w:rFonts w:eastAsiaTheme="minorEastAsia"/>
                <w:sz w:val="20"/>
              </w:rPr>
              <w:t>4,9</w:t>
            </w:r>
          </w:p>
        </w:tc>
        <w:tc>
          <w:tcPr>
            <w:tcW w:w="299" w:type="pct"/>
            <w:tcBorders>
              <w:top w:val="single" w:sz="4" w:space="0" w:color="000000"/>
              <w:left w:val="single" w:sz="4" w:space="0" w:color="000000"/>
              <w:bottom w:val="single" w:sz="4" w:space="0" w:color="000000"/>
              <w:right w:val="single" w:sz="4" w:space="0" w:color="000000"/>
            </w:tcBorders>
            <w:vAlign w:val="center"/>
            <w:hideMark/>
          </w:tcPr>
          <w:p w14:paraId="07AFDC33" w14:textId="77777777" w:rsidR="00CD64B5" w:rsidRPr="007F2C2A" w:rsidRDefault="00CD64B5" w:rsidP="00CD64B5">
            <w:pPr>
              <w:rPr>
                <w:rFonts w:eastAsiaTheme="minorEastAsia"/>
                <w:sz w:val="20"/>
              </w:rPr>
            </w:pPr>
            <w:r w:rsidRPr="007F2C2A">
              <w:rPr>
                <w:rFonts w:eastAsiaTheme="minorEastAsia"/>
                <w:sz w:val="20"/>
              </w:rPr>
              <w:t>5,31</w:t>
            </w:r>
          </w:p>
        </w:tc>
        <w:tc>
          <w:tcPr>
            <w:tcW w:w="299" w:type="pct"/>
            <w:tcBorders>
              <w:top w:val="single" w:sz="4" w:space="0" w:color="000000"/>
              <w:left w:val="single" w:sz="4" w:space="0" w:color="000000"/>
              <w:bottom w:val="single" w:sz="4" w:space="0" w:color="000000"/>
              <w:right w:val="single" w:sz="4" w:space="0" w:color="000000"/>
            </w:tcBorders>
            <w:vAlign w:val="center"/>
            <w:hideMark/>
          </w:tcPr>
          <w:p w14:paraId="009F4BF3" w14:textId="77777777" w:rsidR="00CD64B5" w:rsidRPr="007F2C2A" w:rsidRDefault="00CD64B5" w:rsidP="00CD64B5">
            <w:pPr>
              <w:rPr>
                <w:rFonts w:eastAsiaTheme="minorEastAsia"/>
                <w:sz w:val="20"/>
              </w:rPr>
            </w:pPr>
            <w:r w:rsidRPr="007F2C2A">
              <w:rPr>
                <w:rFonts w:eastAsiaTheme="minorEastAsia"/>
                <w:sz w:val="20"/>
              </w:rPr>
              <w:t>5,9</w:t>
            </w:r>
          </w:p>
        </w:tc>
        <w:tc>
          <w:tcPr>
            <w:tcW w:w="562" w:type="pct"/>
            <w:tcBorders>
              <w:top w:val="single" w:sz="4" w:space="0" w:color="000000"/>
              <w:left w:val="single" w:sz="4" w:space="0" w:color="000000"/>
              <w:bottom w:val="single" w:sz="4" w:space="0" w:color="000000"/>
              <w:right w:val="single" w:sz="4" w:space="0" w:color="000000"/>
            </w:tcBorders>
            <w:vAlign w:val="center"/>
            <w:hideMark/>
          </w:tcPr>
          <w:p w14:paraId="7A315E53" w14:textId="77777777" w:rsidR="00CD64B5" w:rsidRPr="007F2C2A" w:rsidRDefault="00CD64B5" w:rsidP="00CD64B5">
            <w:pPr>
              <w:rPr>
                <w:rFonts w:eastAsiaTheme="minorEastAsia"/>
                <w:sz w:val="20"/>
              </w:rPr>
            </w:pPr>
            <w:r w:rsidRPr="007F2C2A">
              <w:rPr>
                <w:rFonts w:eastAsiaTheme="minorEastAsia"/>
                <w:sz w:val="20"/>
              </w:rPr>
              <w:t>0,84</w:t>
            </w:r>
          </w:p>
        </w:tc>
        <w:tc>
          <w:tcPr>
            <w:tcW w:w="325" w:type="pct"/>
            <w:tcBorders>
              <w:top w:val="single" w:sz="4" w:space="0" w:color="000000"/>
              <w:left w:val="single" w:sz="4" w:space="0" w:color="000000"/>
              <w:bottom w:val="single" w:sz="4" w:space="0" w:color="000000"/>
              <w:right w:val="single" w:sz="4" w:space="0" w:color="000000"/>
            </w:tcBorders>
            <w:vAlign w:val="center"/>
            <w:hideMark/>
          </w:tcPr>
          <w:p w14:paraId="52FC8712" w14:textId="77777777" w:rsidR="00CD64B5" w:rsidRPr="007F2C2A" w:rsidRDefault="00CD64B5" w:rsidP="00CD64B5">
            <w:pPr>
              <w:rPr>
                <w:rFonts w:eastAsiaTheme="minorEastAsia"/>
                <w:sz w:val="20"/>
              </w:rPr>
            </w:pPr>
            <w:r w:rsidRPr="007F2C2A">
              <w:rPr>
                <w:rFonts w:eastAsiaTheme="minorEastAsia"/>
                <w:sz w:val="20"/>
              </w:rPr>
              <w:t>0,9</w:t>
            </w:r>
          </w:p>
        </w:tc>
      </w:tr>
      <w:tr w:rsidR="00CD64B5" w:rsidRPr="007F2C2A" w14:paraId="3D4B0F28" w14:textId="77777777" w:rsidTr="00CD64B5">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ADF396" w14:textId="77777777" w:rsidR="00CD64B5" w:rsidRPr="007F2C2A" w:rsidRDefault="00CD64B5" w:rsidP="00CD64B5">
            <w:pPr>
              <w:rPr>
                <w:rFonts w:eastAsiaTheme="minorHAnsi"/>
                <w:sz w:val="20"/>
              </w:rPr>
            </w:pPr>
          </w:p>
        </w:tc>
        <w:tc>
          <w:tcPr>
            <w:tcW w:w="1854" w:type="pct"/>
            <w:tcBorders>
              <w:top w:val="single" w:sz="4" w:space="0" w:color="000000"/>
              <w:left w:val="single" w:sz="4" w:space="0" w:color="000000"/>
              <w:bottom w:val="single" w:sz="4" w:space="0" w:color="000000"/>
              <w:right w:val="single" w:sz="4" w:space="0" w:color="000000"/>
            </w:tcBorders>
            <w:hideMark/>
          </w:tcPr>
          <w:p w14:paraId="1F667711" w14:textId="77777777" w:rsidR="00CD64B5" w:rsidRPr="007F2C2A" w:rsidRDefault="00CD64B5" w:rsidP="00CD64B5">
            <w:pPr>
              <w:rPr>
                <w:rFonts w:eastAsiaTheme="minorEastAsia"/>
                <w:sz w:val="20"/>
                <w:lang w:eastAsia="ru-RU"/>
              </w:rPr>
            </w:pPr>
            <w:r w:rsidRPr="007F2C2A">
              <w:rPr>
                <w:rFonts w:ascii="Sylfaen" w:hAnsi="Sylfaen" w:cs="Sylfaen"/>
                <w:sz w:val="20"/>
              </w:rPr>
              <w:t>ნახშირწყალბადების</w:t>
            </w:r>
            <w:r w:rsidRPr="007F2C2A">
              <w:rPr>
                <w:sz w:val="20"/>
              </w:rPr>
              <w:t xml:space="preserve"> </w:t>
            </w:r>
            <w:r w:rsidRPr="007F2C2A">
              <w:rPr>
                <w:rFonts w:ascii="Sylfaen" w:hAnsi="Sylfaen" w:cs="Sylfaen"/>
                <w:sz w:val="20"/>
              </w:rPr>
              <w:t>ნავთის</w:t>
            </w:r>
            <w:r w:rsidRPr="007F2C2A">
              <w:rPr>
                <w:sz w:val="20"/>
              </w:rPr>
              <w:t xml:space="preserve"> </w:t>
            </w:r>
            <w:r w:rsidRPr="007F2C2A">
              <w:rPr>
                <w:rFonts w:ascii="Sylfaen" w:hAnsi="Sylfaen" w:cs="Sylfaen"/>
                <w:sz w:val="20"/>
              </w:rPr>
              <w:t>ფრაქცია</w:t>
            </w:r>
          </w:p>
        </w:tc>
        <w:tc>
          <w:tcPr>
            <w:tcW w:w="359" w:type="pct"/>
            <w:tcBorders>
              <w:top w:val="single" w:sz="4" w:space="0" w:color="000000"/>
              <w:left w:val="single" w:sz="4" w:space="0" w:color="000000"/>
              <w:bottom w:val="single" w:sz="4" w:space="0" w:color="000000"/>
              <w:right w:val="single" w:sz="4" w:space="0" w:color="000000"/>
            </w:tcBorders>
            <w:vAlign w:val="center"/>
            <w:hideMark/>
          </w:tcPr>
          <w:p w14:paraId="38F29C25" w14:textId="77777777" w:rsidR="00CD64B5" w:rsidRPr="007F2C2A" w:rsidRDefault="00CD64B5" w:rsidP="00CD64B5">
            <w:pPr>
              <w:rPr>
                <w:rFonts w:eastAsiaTheme="minorEastAsia"/>
                <w:sz w:val="20"/>
                <w:lang w:eastAsia="en-US"/>
              </w:rPr>
            </w:pPr>
            <w:r w:rsidRPr="007F2C2A">
              <w:rPr>
                <w:rFonts w:eastAsiaTheme="minorEastAsia"/>
                <w:sz w:val="20"/>
              </w:rPr>
              <w:t>0,59</w:t>
            </w:r>
          </w:p>
        </w:tc>
        <w:tc>
          <w:tcPr>
            <w:tcW w:w="359" w:type="pct"/>
            <w:tcBorders>
              <w:top w:val="single" w:sz="4" w:space="0" w:color="000000"/>
              <w:left w:val="single" w:sz="4" w:space="0" w:color="000000"/>
              <w:bottom w:val="single" w:sz="4" w:space="0" w:color="000000"/>
              <w:right w:val="single" w:sz="4" w:space="0" w:color="000000"/>
            </w:tcBorders>
            <w:vAlign w:val="center"/>
            <w:hideMark/>
          </w:tcPr>
          <w:p w14:paraId="4E5D1088" w14:textId="77777777" w:rsidR="00CD64B5" w:rsidRPr="007F2C2A" w:rsidRDefault="00CD64B5" w:rsidP="00CD64B5">
            <w:pPr>
              <w:rPr>
                <w:sz w:val="20"/>
              </w:rPr>
            </w:pPr>
            <w:r w:rsidRPr="007F2C2A">
              <w:rPr>
                <w:rFonts w:eastAsiaTheme="minorEastAsia"/>
                <w:sz w:val="20"/>
              </w:rPr>
              <w:t>0,639</w:t>
            </w:r>
          </w:p>
        </w:tc>
        <w:tc>
          <w:tcPr>
            <w:tcW w:w="302" w:type="pct"/>
            <w:tcBorders>
              <w:top w:val="single" w:sz="4" w:space="0" w:color="000000"/>
              <w:left w:val="single" w:sz="4" w:space="0" w:color="000000"/>
              <w:bottom w:val="single" w:sz="4" w:space="0" w:color="000000"/>
              <w:right w:val="single" w:sz="4" w:space="0" w:color="000000"/>
            </w:tcBorders>
            <w:vAlign w:val="center"/>
            <w:hideMark/>
          </w:tcPr>
          <w:p w14:paraId="63500A1F" w14:textId="77777777" w:rsidR="00CD64B5" w:rsidRPr="007F2C2A" w:rsidRDefault="00CD64B5" w:rsidP="00CD64B5">
            <w:pPr>
              <w:rPr>
                <w:rFonts w:eastAsiaTheme="minorEastAsia"/>
                <w:sz w:val="20"/>
              </w:rPr>
            </w:pPr>
            <w:r w:rsidRPr="007F2C2A">
              <w:rPr>
                <w:rFonts w:eastAsiaTheme="minorEastAsia"/>
                <w:sz w:val="20"/>
              </w:rPr>
              <w:t>0,71</w:t>
            </w:r>
          </w:p>
        </w:tc>
        <w:tc>
          <w:tcPr>
            <w:tcW w:w="299" w:type="pct"/>
            <w:tcBorders>
              <w:top w:val="single" w:sz="4" w:space="0" w:color="000000"/>
              <w:left w:val="single" w:sz="4" w:space="0" w:color="000000"/>
              <w:bottom w:val="single" w:sz="4" w:space="0" w:color="000000"/>
              <w:right w:val="single" w:sz="4" w:space="0" w:color="000000"/>
            </w:tcBorders>
            <w:vAlign w:val="center"/>
            <w:hideMark/>
          </w:tcPr>
          <w:p w14:paraId="10A12380" w14:textId="77777777" w:rsidR="00CD64B5" w:rsidRPr="007F2C2A" w:rsidRDefault="00CD64B5" w:rsidP="00CD64B5">
            <w:pPr>
              <w:rPr>
                <w:rFonts w:eastAsiaTheme="minorEastAsia"/>
                <w:sz w:val="20"/>
              </w:rPr>
            </w:pPr>
            <w:r w:rsidRPr="007F2C2A">
              <w:rPr>
                <w:rFonts w:eastAsiaTheme="minorEastAsia"/>
                <w:sz w:val="20"/>
              </w:rPr>
              <w:t>0,7</w:t>
            </w:r>
          </w:p>
        </w:tc>
        <w:tc>
          <w:tcPr>
            <w:tcW w:w="299" w:type="pct"/>
            <w:tcBorders>
              <w:top w:val="single" w:sz="4" w:space="0" w:color="000000"/>
              <w:left w:val="single" w:sz="4" w:space="0" w:color="000000"/>
              <w:bottom w:val="single" w:sz="4" w:space="0" w:color="000000"/>
              <w:right w:val="single" w:sz="4" w:space="0" w:color="000000"/>
            </w:tcBorders>
            <w:vAlign w:val="center"/>
            <w:hideMark/>
          </w:tcPr>
          <w:p w14:paraId="10DBAFFB" w14:textId="77777777" w:rsidR="00CD64B5" w:rsidRPr="007F2C2A" w:rsidRDefault="00CD64B5" w:rsidP="00CD64B5">
            <w:pPr>
              <w:rPr>
                <w:rFonts w:eastAsiaTheme="minorEastAsia"/>
                <w:sz w:val="20"/>
              </w:rPr>
            </w:pPr>
            <w:r w:rsidRPr="007F2C2A">
              <w:rPr>
                <w:rFonts w:eastAsiaTheme="minorEastAsia"/>
                <w:sz w:val="20"/>
              </w:rPr>
              <w:t>0,72</w:t>
            </w:r>
          </w:p>
        </w:tc>
        <w:tc>
          <w:tcPr>
            <w:tcW w:w="299" w:type="pct"/>
            <w:tcBorders>
              <w:top w:val="single" w:sz="4" w:space="0" w:color="000000"/>
              <w:left w:val="single" w:sz="4" w:space="0" w:color="000000"/>
              <w:bottom w:val="single" w:sz="4" w:space="0" w:color="000000"/>
              <w:right w:val="single" w:sz="4" w:space="0" w:color="000000"/>
            </w:tcBorders>
            <w:vAlign w:val="center"/>
            <w:hideMark/>
          </w:tcPr>
          <w:p w14:paraId="56FAF8CA" w14:textId="77777777" w:rsidR="00CD64B5" w:rsidRPr="007F2C2A" w:rsidRDefault="00CD64B5" w:rsidP="00CD64B5">
            <w:pPr>
              <w:rPr>
                <w:rFonts w:eastAsiaTheme="minorEastAsia"/>
                <w:sz w:val="20"/>
              </w:rPr>
            </w:pPr>
            <w:r w:rsidRPr="007F2C2A">
              <w:rPr>
                <w:rFonts w:eastAsiaTheme="minorEastAsia"/>
                <w:sz w:val="20"/>
              </w:rPr>
              <w:t>0,8</w:t>
            </w:r>
          </w:p>
        </w:tc>
        <w:tc>
          <w:tcPr>
            <w:tcW w:w="562" w:type="pct"/>
            <w:tcBorders>
              <w:top w:val="single" w:sz="4" w:space="0" w:color="000000"/>
              <w:left w:val="single" w:sz="4" w:space="0" w:color="000000"/>
              <w:bottom w:val="single" w:sz="4" w:space="0" w:color="000000"/>
              <w:right w:val="single" w:sz="4" w:space="0" w:color="000000"/>
            </w:tcBorders>
            <w:vAlign w:val="center"/>
            <w:hideMark/>
          </w:tcPr>
          <w:p w14:paraId="75273798" w14:textId="77777777" w:rsidR="00CD64B5" w:rsidRPr="007F2C2A" w:rsidRDefault="00CD64B5" w:rsidP="00CD64B5">
            <w:pPr>
              <w:rPr>
                <w:rFonts w:eastAsiaTheme="minorEastAsia"/>
                <w:sz w:val="20"/>
              </w:rPr>
            </w:pPr>
            <w:r w:rsidRPr="007F2C2A">
              <w:rPr>
                <w:rFonts w:eastAsiaTheme="minorEastAsia"/>
                <w:sz w:val="20"/>
              </w:rPr>
              <w:t>0,42</w:t>
            </w:r>
          </w:p>
        </w:tc>
        <w:tc>
          <w:tcPr>
            <w:tcW w:w="325" w:type="pct"/>
            <w:tcBorders>
              <w:top w:val="single" w:sz="4" w:space="0" w:color="000000"/>
              <w:left w:val="single" w:sz="4" w:space="0" w:color="000000"/>
              <w:bottom w:val="single" w:sz="4" w:space="0" w:color="000000"/>
              <w:right w:val="single" w:sz="4" w:space="0" w:color="000000"/>
            </w:tcBorders>
            <w:vAlign w:val="center"/>
            <w:hideMark/>
          </w:tcPr>
          <w:p w14:paraId="7C8CB6BB" w14:textId="77777777" w:rsidR="00CD64B5" w:rsidRPr="007F2C2A" w:rsidRDefault="00CD64B5" w:rsidP="00CD64B5">
            <w:pPr>
              <w:rPr>
                <w:rFonts w:eastAsiaTheme="minorEastAsia"/>
                <w:sz w:val="20"/>
              </w:rPr>
            </w:pPr>
            <w:r w:rsidRPr="007F2C2A">
              <w:rPr>
                <w:rFonts w:eastAsiaTheme="minorEastAsia"/>
                <w:sz w:val="20"/>
              </w:rPr>
              <w:t>0,9</w:t>
            </w:r>
          </w:p>
        </w:tc>
      </w:tr>
    </w:tbl>
    <w:p w14:paraId="779DD1D6" w14:textId="77777777" w:rsidR="00CD64B5" w:rsidRPr="001352AB" w:rsidRDefault="00CD64B5" w:rsidP="00CD64B5">
      <w:pPr>
        <w:spacing w:before="120" w:after="120"/>
        <w:rPr>
          <w:rFonts w:eastAsiaTheme="minorEastAsia"/>
        </w:rPr>
      </w:pPr>
      <w:r w:rsidRPr="001352AB">
        <w:rPr>
          <w:rFonts w:ascii="Sylfaen" w:hAnsi="Sylfaen" w:cs="Sylfaen"/>
        </w:rPr>
        <w:t>ძრავის</w:t>
      </w:r>
      <w:r w:rsidRPr="001352AB">
        <w:t xml:space="preserve"> </w:t>
      </w:r>
      <w:r w:rsidRPr="001352AB">
        <w:rPr>
          <w:rFonts w:ascii="Sylfaen" w:hAnsi="Sylfaen" w:cs="Sylfaen"/>
        </w:rPr>
        <w:t>გათბობის</w:t>
      </w:r>
      <w:r w:rsidRPr="001352AB">
        <w:t xml:space="preserve"> </w:t>
      </w:r>
      <w:r w:rsidRPr="001352AB">
        <w:rPr>
          <w:rFonts w:ascii="Sylfaen" w:hAnsi="Sylfaen" w:cs="Sylfaen"/>
        </w:rPr>
        <w:t>დრო</w:t>
      </w:r>
      <w:r w:rsidRPr="001352AB">
        <w:t xml:space="preserve"> </w:t>
      </w:r>
      <w:r w:rsidRPr="001352AB">
        <w:rPr>
          <w:rFonts w:ascii="Sylfaen" w:hAnsi="Sylfaen" w:cs="Sylfaen"/>
        </w:rPr>
        <w:t>ჰაერის</w:t>
      </w:r>
      <w:r w:rsidRPr="001352AB">
        <w:t xml:space="preserve"> </w:t>
      </w:r>
      <w:r w:rsidRPr="001352AB">
        <w:rPr>
          <w:rFonts w:ascii="Sylfaen" w:hAnsi="Sylfaen" w:cs="Sylfaen"/>
        </w:rPr>
        <w:t>ტემპერატურასთან</w:t>
      </w:r>
      <w:r w:rsidRPr="001352AB">
        <w:t xml:space="preserve"> </w:t>
      </w:r>
      <w:r w:rsidRPr="001352AB">
        <w:rPr>
          <w:rFonts w:ascii="Sylfaen" w:hAnsi="Sylfaen" w:cs="Sylfaen"/>
        </w:rPr>
        <w:t>და</w:t>
      </w:r>
      <w:r w:rsidRPr="001352AB">
        <w:t xml:space="preserve"> </w:t>
      </w:r>
      <w:r w:rsidRPr="001352AB">
        <w:rPr>
          <w:rFonts w:ascii="Sylfaen" w:hAnsi="Sylfaen" w:cs="Sylfaen"/>
        </w:rPr>
        <w:t>მანქანის</w:t>
      </w:r>
      <w:r w:rsidRPr="001352AB">
        <w:t xml:space="preserve"> </w:t>
      </w:r>
      <w:r w:rsidRPr="001352AB">
        <w:rPr>
          <w:rFonts w:ascii="Sylfaen" w:hAnsi="Sylfaen" w:cs="Sylfaen"/>
        </w:rPr>
        <w:t>შენახვის</w:t>
      </w:r>
      <w:r w:rsidRPr="001352AB">
        <w:t xml:space="preserve"> </w:t>
      </w:r>
      <w:r w:rsidRPr="001352AB">
        <w:rPr>
          <w:rFonts w:ascii="Sylfaen" w:hAnsi="Sylfaen" w:cs="Sylfaen"/>
        </w:rPr>
        <w:t>პირობებთან</w:t>
      </w:r>
      <w:r w:rsidRPr="001352AB">
        <w:t xml:space="preserve"> </w:t>
      </w:r>
      <w:r w:rsidRPr="001352AB">
        <w:rPr>
          <w:rFonts w:ascii="Sylfaen" w:hAnsi="Sylfaen" w:cs="Sylfaen"/>
        </w:rPr>
        <w:t>დამოკიდებულებით</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ცხრილში</w:t>
      </w:r>
      <w:r w:rsidRPr="001352AB">
        <w:t xml:space="preserve"> 7.1-17. </w:t>
      </w:r>
    </w:p>
    <w:p w14:paraId="0777A53C" w14:textId="77777777" w:rsidR="00CD64B5" w:rsidRPr="001352AB" w:rsidRDefault="00CD64B5" w:rsidP="00CD64B5">
      <w:pPr>
        <w:spacing w:before="120" w:after="120"/>
        <w:rPr>
          <w:lang w:eastAsia="en-US"/>
        </w:rPr>
      </w:pPr>
      <w:bookmarkStart w:id="272" w:name="_Toc436594178"/>
      <w:r w:rsidRPr="001352AB">
        <w:rPr>
          <w:rFonts w:ascii="Sylfaen" w:hAnsi="Sylfaen" w:cs="Sylfaen"/>
        </w:rPr>
        <w:lastRenderedPageBreak/>
        <w:t>ცხრილი</w:t>
      </w:r>
      <w:r w:rsidRPr="001352AB">
        <w:t xml:space="preserve"> 7.1-17.</w:t>
      </w:r>
      <w:r w:rsidRPr="001352AB">
        <w:tab/>
      </w:r>
      <w:r w:rsidRPr="001352AB">
        <w:rPr>
          <w:rFonts w:ascii="Sylfaen" w:hAnsi="Sylfaen" w:cs="Sylfaen"/>
        </w:rPr>
        <w:t>ძრავის</w:t>
      </w:r>
      <w:r w:rsidRPr="001352AB">
        <w:t xml:space="preserve"> </w:t>
      </w:r>
      <w:r w:rsidRPr="001352AB">
        <w:rPr>
          <w:rFonts w:ascii="Sylfaen" w:hAnsi="Sylfaen" w:cs="Sylfaen"/>
        </w:rPr>
        <w:t>გათბობის</w:t>
      </w:r>
      <w:r w:rsidRPr="001352AB">
        <w:t xml:space="preserve"> </w:t>
      </w:r>
      <w:r w:rsidRPr="001352AB">
        <w:rPr>
          <w:rFonts w:ascii="Sylfaen" w:hAnsi="Sylfaen" w:cs="Sylfaen"/>
        </w:rPr>
        <w:t>დრო</w:t>
      </w:r>
      <w:r w:rsidRPr="001352AB">
        <w:t xml:space="preserve">, </w:t>
      </w:r>
      <w:r w:rsidRPr="001352AB">
        <w:rPr>
          <w:rFonts w:ascii="Sylfaen" w:hAnsi="Sylfaen" w:cs="Sylfaen"/>
        </w:rPr>
        <w:t>წთ</w:t>
      </w:r>
      <w:bookmarkEnd w:id="272"/>
    </w:p>
    <w:tbl>
      <w:tblPr>
        <w:tblW w:w="5127" w:type="pct"/>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3433"/>
        <w:gridCol w:w="724"/>
        <w:gridCol w:w="830"/>
        <w:gridCol w:w="835"/>
        <w:gridCol w:w="1146"/>
        <w:gridCol w:w="1337"/>
        <w:gridCol w:w="1337"/>
        <w:gridCol w:w="992"/>
        <w:gridCol w:w="13"/>
      </w:tblGrid>
      <w:tr w:rsidR="00CD64B5" w:rsidRPr="007F2C2A" w14:paraId="1143490F" w14:textId="77777777" w:rsidTr="00CD64B5">
        <w:trPr>
          <w:trHeight w:val="745"/>
          <w:tblHeader/>
        </w:trPr>
        <w:tc>
          <w:tcPr>
            <w:tcW w:w="1612" w:type="pct"/>
            <w:vMerge w:val="restart"/>
            <w:tcBorders>
              <w:top w:val="single" w:sz="8" w:space="0" w:color="auto"/>
              <w:left w:val="single" w:sz="6" w:space="0" w:color="auto"/>
              <w:bottom w:val="single" w:sz="8" w:space="0" w:color="auto"/>
              <w:right w:val="single" w:sz="4" w:space="0" w:color="000000"/>
            </w:tcBorders>
            <w:shd w:val="clear" w:color="auto" w:fill="D9D9D9" w:themeFill="background1" w:themeFillShade="D9"/>
            <w:vAlign w:val="center"/>
            <w:hideMark/>
          </w:tcPr>
          <w:p w14:paraId="140AA6EC" w14:textId="77777777" w:rsidR="00CD64B5" w:rsidRPr="007F2C2A" w:rsidRDefault="00CD64B5" w:rsidP="00CD64B5">
            <w:pPr>
              <w:rPr>
                <w:sz w:val="20"/>
                <w:lang w:eastAsia="ru-RU"/>
              </w:rPr>
            </w:pPr>
            <w:r w:rsidRPr="007F2C2A">
              <w:rPr>
                <w:rFonts w:ascii="Sylfaen" w:hAnsi="Sylfaen" w:cs="Sylfaen"/>
                <w:sz w:val="20"/>
              </w:rPr>
              <w:t>ავტოსატრანსპორტო</w:t>
            </w:r>
            <w:r w:rsidRPr="007F2C2A">
              <w:rPr>
                <w:sz w:val="20"/>
              </w:rPr>
              <w:t xml:space="preserve"> </w:t>
            </w:r>
            <w:r w:rsidRPr="007F2C2A">
              <w:rPr>
                <w:rFonts w:ascii="Sylfaen" w:hAnsi="Sylfaen" w:cs="Sylfaen"/>
                <w:sz w:val="20"/>
              </w:rPr>
              <w:t>საშუალების</w:t>
            </w:r>
            <w:r w:rsidRPr="007F2C2A">
              <w:rPr>
                <w:sz w:val="20"/>
              </w:rPr>
              <w:t xml:space="preserve"> </w:t>
            </w:r>
            <w:r w:rsidRPr="007F2C2A">
              <w:rPr>
                <w:rFonts w:ascii="Sylfaen" w:hAnsi="Sylfaen" w:cs="Sylfaen"/>
                <w:sz w:val="20"/>
              </w:rPr>
              <w:t>ტიპი</w:t>
            </w:r>
            <w:r w:rsidRPr="007F2C2A">
              <w:rPr>
                <w:sz w:val="20"/>
              </w:rPr>
              <w:t xml:space="preserve"> </w:t>
            </w:r>
          </w:p>
        </w:tc>
        <w:tc>
          <w:tcPr>
            <w:tcW w:w="3388" w:type="pct"/>
            <w:gridSpan w:val="8"/>
            <w:tcBorders>
              <w:top w:val="single" w:sz="8" w:space="0" w:color="auto"/>
              <w:left w:val="single" w:sz="4" w:space="0" w:color="000000"/>
              <w:bottom w:val="single" w:sz="4" w:space="0" w:color="000000"/>
              <w:right w:val="single" w:sz="6" w:space="0" w:color="auto"/>
            </w:tcBorders>
            <w:shd w:val="clear" w:color="auto" w:fill="D9D9D9" w:themeFill="background1" w:themeFillShade="D9"/>
            <w:vAlign w:val="center"/>
            <w:hideMark/>
          </w:tcPr>
          <w:p w14:paraId="77B26115" w14:textId="77777777" w:rsidR="00CD64B5" w:rsidRPr="007F2C2A" w:rsidRDefault="00CD64B5" w:rsidP="00CD64B5">
            <w:pPr>
              <w:rPr>
                <w:sz w:val="20"/>
              </w:rPr>
            </w:pPr>
            <w:r w:rsidRPr="007F2C2A">
              <w:rPr>
                <w:rFonts w:ascii="Sylfaen" w:hAnsi="Sylfaen" w:cs="Sylfaen"/>
                <w:sz w:val="20"/>
              </w:rPr>
              <w:t>ძრავის</w:t>
            </w:r>
            <w:r w:rsidRPr="007F2C2A">
              <w:rPr>
                <w:sz w:val="20"/>
              </w:rPr>
              <w:t xml:space="preserve"> </w:t>
            </w:r>
            <w:r w:rsidRPr="007F2C2A">
              <w:rPr>
                <w:rFonts w:ascii="Sylfaen" w:hAnsi="Sylfaen" w:cs="Sylfaen"/>
                <w:sz w:val="20"/>
              </w:rPr>
              <w:t>გათბობის</w:t>
            </w:r>
            <w:r w:rsidRPr="007F2C2A">
              <w:rPr>
                <w:sz w:val="20"/>
              </w:rPr>
              <w:t xml:space="preserve"> </w:t>
            </w:r>
            <w:r w:rsidRPr="007F2C2A">
              <w:rPr>
                <w:rFonts w:ascii="Sylfaen" w:hAnsi="Sylfaen" w:cs="Sylfaen"/>
                <w:sz w:val="20"/>
              </w:rPr>
              <w:t>დრო</w:t>
            </w:r>
            <w:r w:rsidRPr="007F2C2A">
              <w:rPr>
                <w:sz w:val="20"/>
              </w:rPr>
              <w:t xml:space="preserve">, </w:t>
            </w:r>
            <w:r w:rsidRPr="007F2C2A">
              <w:rPr>
                <w:rFonts w:ascii="Sylfaen" w:hAnsi="Sylfaen" w:cs="Sylfaen"/>
                <w:sz w:val="20"/>
              </w:rPr>
              <w:t>წთ</w:t>
            </w:r>
            <w:r w:rsidRPr="007F2C2A">
              <w:rPr>
                <w:sz w:val="20"/>
              </w:rPr>
              <w:t xml:space="preserve"> </w:t>
            </w:r>
            <w:r w:rsidRPr="007F2C2A">
              <w:rPr>
                <w:rFonts w:ascii="Sylfaen" w:hAnsi="Sylfaen" w:cs="Sylfaen"/>
                <w:sz w:val="20"/>
              </w:rPr>
              <w:t>ჰაერის</w:t>
            </w:r>
            <w:r w:rsidRPr="007F2C2A">
              <w:rPr>
                <w:sz w:val="20"/>
              </w:rPr>
              <w:t xml:space="preserve"> </w:t>
            </w:r>
            <w:r w:rsidRPr="007F2C2A">
              <w:rPr>
                <w:rFonts w:ascii="Sylfaen" w:hAnsi="Sylfaen" w:cs="Sylfaen"/>
                <w:sz w:val="20"/>
              </w:rPr>
              <w:t>ტემპერატურის</w:t>
            </w:r>
            <w:r w:rsidRPr="007F2C2A">
              <w:rPr>
                <w:sz w:val="20"/>
              </w:rPr>
              <w:t xml:space="preserve"> </w:t>
            </w:r>
            <w:r w:rsidRPr="007F2C2A">
              <w:rPr>
                <w:rFonts w:ascii="Sylfaen" w:hAnsi="Sylfaen" w:cs="Sylfaen"/>
                <w:sz w:val="20"/>
              </w:rPr>
              <w:t>გათვალისწინებით</w:t>
            </w:r>
            <w:r w:rsidRPr="007F2C2A">
              <w:rPr>
                <w:sz w:val="20"/>
              </w:rPr>
              <w:t xml:space="preserve">, </w:t>
            </w:r>
            <w:r w:rsidRPr="007F2C2A">
              <w:rPr>
                <w:rFonts w:ascii="Sylfaen" w:hAnsi="Sylfaen" w:cs="Sylfaen"/>
                <w:sz w:val="20"/>
              </w:rPr>
              <w:t>წთ</w:t>
            </w:r>
          </w:p>
        </w:tc>
      </w:tr>
      <w:tr w:rsidR="00CD64B5" w:rsidRPr="007F2C2A" w14:paraId="539D30EF" w14:textId="77777777" w:rsidTr="00CD64B5">
        <w:trPr>
          <w:gridAfter w:val="1"/>
          <w:wAfter w:w="6" w:type="pct"/>
          <w:trHeight w:val="146"/>
          <w:tblHeader/>
        </w:trPr>
        <w:tc>
          <w:tcPr>
            <w:tcW w:w="0" w:type="auto"/>
            <w:vMerge/>
            <w:tcBorders>
              <w:top w:val="single" w:sz="8" w:space="0" w:color="auto"/>
              <w:left w:val="single" w:sz="6" w:space="0" w:color="auto"/>
              <w:bottom w:val="single" w:sz="8" w:space="0" w:color="auto"/>
              <w:right w:val="single" w:sz="4" w:space="0" w:color="000000"/>
            </w:tcBorders>
            <w:vAlign w:val="center"/>
            <w:hideMark/>
          </w:tcPr>
          <w:p w14:paraId="5D56839D" w14:textId="77777777" w:rsidR="00CD64B5" w:rsidRPr="007F2C2A" w:rsidRDefault="00CD64B5" w:rsidP="00CD64B5">
            <w:pPr>
              <w:rPr>
                <w:rFonts w:eastAsiaTheme="minorHAnsi"/>
                <w:sz w:val="20"/>
                <w:lang w:eastAsia="ru-RU"/>
              </w:rPr>
            </w:pPr>
          </w:p>
        </w:tc>
        <w:tc>
          <w:tcPr>
            <w:tcW w:w="340" w:type="pc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14:paraId="5B03FC98" w14:textId="77777777" w:rsidR="00CD64B5" w:rsidRPr="007F2C2A" w:rsidRDefault="00CD64B5" w:rsidP="00CD64B5">
            <w:pPr>
              <w:rPr>
                <w:sz w:val="20"/>
              </w:rPr>
            </w:pPr>
            <w:r w:rsidRPr="007F2C2A">
              <w:rPr>
                <w:sz w:val="20"/>
              </w:rPr>
              <w:t>&gt;5°С</w:t>
            </w:r>
          </w:p>
        </w:tc>
        <w:tc>
          <w:tcPr>
            <w:tcW w:w="390" w:type="pc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14:paraId="42FE35E6" w14:textId="77777777" w:rsidR="00CD64B5" w:rsidRPr="007F2C2A" w:rsidRDefault="00CD64B5" w:rsidP="00CD64B5">
            <w:pPr>
              <w:rPr>
                <w:sz w:val="20"/>
              </w:rPr>
            </w:pPr>
            <w:r w:rsidRPr="007F2C2A">
              <w:rPr>
                <w:sz w:val="20"/>
              </w:rPr>
              <w:t>+5..-5°С</w:t>
            </w:r>
          </w:p>
        </w:tc>
        <w:tc>
          <w:tcPr>
            <w:tcW w:w="392" w:type="pc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14:paraId="2D669ADD" w14:textId="77777777" w:rsidR="00CD64B5" w:rsidRPr="007F2C2A" w:rsidRDefault="00CD64B5" w:rsidP="00CD64B5">
            <w:pPr>
              <w:rPr>
                <w:sz w:val="20"/>
              </w:rPr>
            </w:pPr>
            <w:r w:rsidRPr="007F2C2A">
              <w:rPr>
                <w:sz w:val="20"/>
              </w:rPr>
              <w:t>-5..-10°С</w:t>
            </w:r>
          </w:p>
        </w:tc>
        <w:tc>
          <w:tcPr>
            <w:tcW w:w="538" w:type="pc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14:paraId="544FCFC0" w14:textId="77777777" w:rsidR="00CD64B5" w:rsidRPr="007F2C2A" w:rsidRDefault="00CD64B5" w:rsidP="00CD64B5">
            <w:pPr>
              <w:rPr>
                <w:sz w:val="20"/>
              </w:rPr>
            </w:pPr>
            <w:r w:rsidRPr="007F2C2A">
              <w:rPr>
                <w:sz w:val="20"/>
              </w:rPr>
              <w:t>-10..-15°С</w:t>
            </w:r>
          </w:p>
        </w:tc>
        <w:tc>
          <w:tcPr>
            <w:tcW w:w="628" w:type="pc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14:paraId="14E1CCD3" w14:textId="77777777" w:rsidR="00CD64B5" w:rsidRPr="007F2C2A" w:rsidRDefault="00CD64B5" w:rsidP="00CD64B5">
            <w:pPr>
              <w:rPr>
                <w:sz w:val="20"/>
              </w:rPr>
            </w:pPr>
            <w:r w:rsidRPr="007F2C2A">
              <w:rPr>
                <w:sz w:val="20"/>
              </w:rPr>
              <w:t>-15..-20°С</w:t>
            </w:r>
          </w:p>
        </w:tc>
        <w:tc>
          <w:tcPr>
            <w:tcW w:w="628" w:type="pct"/>
            <w:tcBorders>
              <w:top w:val="single" w:sz="4" w:space="0" w:color="000000"/>
              <w:left w:val="single" w:sz="4" w:space="0" w:color="000000"/>
              <w:bottom w:val="single" w:sz="8" w:space="0" w:color="auto"/>
              <w:right w:val="single" w:sz="4" w:space="0" w:color="000000"/>
            </w:tcBorders>
            <w:shd w:val="clear" w:color="auto" w:fill="D9D9D9" w:themeFill="background1" w:themeFillShade="D9"/>
            <w:vAlign w:val="center"/>
            <w:hideMark/>
          </w:tcPr>
          <w:p w14:paraId="357B667D" w14:textId="77777777" w:rsidR="00CD64B5" w:rsidRPr="007F2C2A" w:rsidRDefault="00CD64B5" w:rsidP="00CD64B5">
            <w:pPr>
              <w:rPr>
                <w:sz w:val="20"/>
              </w:rPr>
            </w:pPr>
            <w:r w:rsidRPr="007F2C2A">
              <w:rPr>
                <w:sz w:val="20"/>
              </w:rPr>
              <w:t>-20..-25°С</w:t>
            </w:r>
          </w:p>
        </w:tc>
        <w:tc>
          <w:tcPr>
            <w:tcW w:w="466" w:type="pct"/>
            <w:tcBorders>
              <w:top w:val="single" w:sz="4" w:space="0" w:color="000000"/>
              <w:left w:val="single" w:sz="4" w:space="0" w:color="000000"/>
              <w:bottom w:val="single" w:sz="8" w:space="0" w:color="auto"/>
              <w:right w:val="single" w:sz="6" w:space="0" w:color="auto"/>
            </w:tcBorders>
            <w:shd w:val="clear" w:color="auto" w:fill="D9D9D9" w:themeFill="background1" w:themeFillShade="D9"/>
            <w:vAlign w:val="center"/>
            <w:hideMark/>
          </w:tcPr>
          <w:p w14:paraId="5A1786DA" w14:textId="77777777" w:rsidR="00CD64B5" w:rsidRPr="007F2C2A" w:rsidRDefault="00CD64B5" w:rsidP="00CD64B5">
            <w:pPr>
              <w:rPr>
                <w:sz w:val="20"/>
              </w:rPr>
            </w:pPr>
            <w:r w:rsidRPr="007F2C2A">
              <w:rPr>
                <w:sz w:val="20"/>
              </w:rPr>
              <w:t>&lt;-25°С</w:t>
            </w:r>
          </w:p>
        </w:tc>
      </w:tr>
      <w:tr w:rsidR="00CD64B5" w:rsidRPr="007F2C2A" w14:paraId="65463AD5" w14:textId="77777777" w:rsidTr="00CD64B5">
        <w:trPr>
          <w:gridAfter w:val="1"/>
          <w:wAfter w:w="6" w:type="pct"/>
          <w:trHeight w:val="745"/>
        </w:trPr>
        <w:tc>
          <w:tcPr>
            <w:tcW w:w="1612" w:type="pct"/>
            <w:tcBorders>
              <w:top w:val="single" w:sz="4" w:space="0" w:color="000000"/>
              <w:left w:val="single" w:sz="6" w:space="0" w:color="auto"/>
              <w:bottom w:val="single" w:sz="8" w:space="0" w:color="auto"/>
              <w:right w:val="single" w:sz="4" w:space="0" w:color="000000"/>
            </w:tcBorders>
            <w:hideMark/>
          </w:tcPr>
          <w:p w14:paraId="506B3590" w14:textId="77777777" w:rsidR="00CD64B5" w:rsidRPr="007F2C2A" w:rsidRDefault="00CD64B5" w:rsidP="00CD64B5">
            <w:pPr>
              <w:rPr>
                <w:sz w:val="20"/>
              </w:rPr>
            </w:pPr>
            <w:r w:rsidRPr="007F2C2A">
              <w:rPr>
                <w:rFonts w:ascii="Sylfaen" w:hAnsi="Sylfaen" w:cs="Sylfaen"/>
                <w:sz w:val="20"/>
              </w:rPr>
              <w:t>სატვირთო</w:t>
            </w:r>
            <w:r w:rsidRPr="007F2C2A">
              <w:rPr>
                <w:sz w:val="20"/>
              </w:rPr>
              <w:t xml:space="preserve">, </w:t>
            </w:r>
            <w:r w:rsidRPr="007F2C2A">
              <w:rPr>
                <w:rFonts w:ascii="Sylfaen" w:hAnsi="Sylfaen" w:cs="Sylfaen"/>
                <w:sz w:val="20"/>
              </w:rPr>
              <w:t>გამოშვება</w:t>
            </w:r>
            <w:r w:rsidRPr="007F2C2A">
              <w:rPr>
                <w:sz w:val="20"/>
              </w:rPr>
              <w:t xml:space="preserve">-1994 </w:t>
            </w:r>
            <w:r w:rsidRPr="007F2C2A">
              <w:rPr>
                <w:rFonts w:ascii="Sylfaen" w:hAnsi="Sylfaen" w:cs="Sylfaen"/>
                <w:sz w:val="20"/>
              </w:rPr>
              <w:t>წლამდე</w:t>
            </w:r>
            <w:r w:rsidRPr="007F2C2A">
              <w:rPr>
                <w:sz w:val="20"/>
              </w:rPr>
              <w:t xml:space="preserve">, </w:t>
            </w:r>
            <w:r w:rsidRPr="007F2C2A">
              <w:rPr>
                <w:rFonts w:ascii="Sylfaen" w:hAnsi="Sylfaen" w:cs="Sylfaen"/>
                <w:sz w:val="20"/>
              </w:rPr>
              <w:t>ტვირთამწეობა</w:t>
            </w:r>
            <w:r w:rsidRPr="007F2C2A">
              <w:rPr>
                <w:sz w:val="20"/>
              </w:rPr>
              <w:t>-8-16</w:t>
            </w:r>
            <w:r w:rsidRPr="007F2C2A">
              <w:rPr>
                <w:rFonts w:ascii="Sylfaen" w:hAnsi="Sylfaen" w:cs="Sylfaen"/>
                <w:sz w:val="20"/>
              </w:rPr>
              <w:t>ტონა</w:t>
            </w:r>
            <w:r w:rsidRPr="007F2C2A">
              <w:rPr>
                <w:sz w:val="20"/>
              </w:rPr>
              <w:t xml:space="preserve">, </w:t>
            </w:r>
            <w:r w:rsidRPr="007F2C2A">
              <w:rPr>
                <w:rFonts w:ascii="Sylfaen" w:hAnsi="Sylfaen" w:cs="Sylfaen"/>
                <w:sz w:val="20"/>
              </w:rPr>
              <w:t>დიზელის</w:t>
            </w:r>
            <w:r w:rsidRPr="007F2C2A">
              <w:rPr>
                <w:sz w:val="20"/>
              </w:rPr>
              <w:t xml:space="preserve"> </w:t>
            </w:r>
            <w:r w:rsidRPr="007F2C2A">
              <w:rPr>
                <w:rFonts w:ascii="Sylfaen" w:hAnsi="Sylfaen" w:cs="Sylfaen"/>
                <w:sz w:val="20"/>
              </w:rPr>
              <w:t>ძრავზე</w:t>
            </w:r>
          </w:p>
        </w:tc>
        <w:tc>
          <w:tcPr>
            <w:tcW w:w="340" w:type="pct"/>
            <w:tcBorders>
              <w:top w:val="single" w:sz="4" w:space="0" w:color="000000"/>
              <w:left w:val="single" w:sz="4" w:space="0" w:color="000000"/>
              <w:bottom w:val="single" w:sz="8" w:space="0" w:color="auto"/>
              <w:right w:val="single" w:sz="4" w:space="0" w:color="000000"/>
            </w:tcBorders>
            <w:hideMark/>
          </w:tcPr>
          <w:p w14:paraId="3BF2AF01" w14:textId="77777777" w:rsidR="00CD64B5" w:rsidRPr="007F2C2A" w:rsidRDefault="00CD64B5" w:rsidP="00CD64B5">
            <w:pPr>
              <w:rPr>
                <w:sz w:val="20"/>
              </w:rPr>
            </w:pPr>
            <w:r w:rsidRPr="007F2C2A">
              <w:rPr>
                <w:sz w:val="20"/>
              </w:rPr>
              <w:t>4</w:t>
            </w:r>
          </w:p>
        </w:tc>
        <w:tc>
          <w:tcPr>
            <w:tcW w:w="390" w:type="pct"/>
            <w:tcBorders>
              <w:top w:val="single" w:sz="4" w:space="0" w:color="000000"/>
              <w:left w:val="single" w:sz="4" w:space="0" w:color="000000"/>
              <w:bottom w:val="single" w:sz="8" w:space="0" w:color="auto"/>
              <w:right w:val="single" w:sz="4" w:space="0" w:color="000000"/>
            </w:tcBorders>
            <w:hideMark/>
          </w:tcPr>
          <w:p w14:paraId="68307D19" w14:textId="77777777" w:rsidR="00CD64B5" w:rsidRPr="007F2C2A" w:rsidRDefault="00CD64B5" w:rsidP="00CD64B5">
            <w:pPr>
              <w:rPr>
                <w:sz w:val="20"/>
              </w:rPr>
            </w:pPr>
            <w:r w:rsidRPr="007F2C2A">
              <w:rPr>
                <w:sz w:val="20"/>
              </w:rPr>
              <w:t>6</w:t>
            </w:r>
          </w:p>
        </w:tc>
        <w:tc>
          <w:tcPr>
            <w:tcW w:w="392" w:type="pct"/>
            <w:tcBorders>
              <w:top w:val="single" w:sz="4" w:space="0" w:color="000000"/>
              <w:left w:val="single" w:sz="4" w:space="0" w:color="000000"/>
              <w:bottom w:val="single" w:sz="8" w:space="0" w:color="auto"/>
              <w:right w:val="single" w:sz="4" w:space="0" w:color="000000"/>
            </w:tcBorders>
            <w:hideMark/>
          </w:tcPr>
          <w:p w14:paraId="273C09B7" w14:textId="77777777" w:rsidR="00CD64B5" w:rsidRPr="007F2C2A" w:rsidRDefault="00CD64B5" w:rsidP="00CD64B5">
            <w:pPr>
              <w:rPr>
                <w:sz w:val="20"/>
              </w:rPr>
            </w:pPr>
            <w:r w:rsidRPr="007F2C2A">
              <w:rPr>
                <w:sz w:val="20"/>
              </w:rPr>
              <w:t>12</w:t>
            </w:r>
          </w:p>
        </w:tc>
        <w:tc>
          <w:tcPr>
            <w:tcW w:w="538" w:type="pct"/>
            <w:tcBorders>
              <w:top w:val="single" w:sz="4" w:space="0" w:color="000000"/>
              <w:left w:val="single" w:sz="4" w:space="0" w:color="000000"/>
              <w:bottom w:val="single" w:sz="8" w:space="0" w:color="auto"/>
              <w:right w:val="single" w:sz="4" w:space="0" w:color="000000"/>
            </w:tcBorders>
            <w:hideMark/>
          </w:tcPr>
          <w:p w14:paraId="454D7EF5" w14:textId="77777777" w:rsidR="00CD64B5" w:rsidRPr="007F2C2A" w:rsidRDefault="00CD64B5" w:rsidP="00CD64B5">
            <w:pPr>
              <w:rPr>
                <w:sz w:val="20"/>
              </w:rPr>
            </w:pPr>
            <w:r w:rsidRPr="007F2C2A">
              <w:rPr>
                <w:sz w:val="20"/>
              </w:rPr>
              <w:t>20</w:t>
            </w:r>
          </w:p>
        </w:tc>
        <w:tc>
          <w:tcPr>
            <w:tcW w:w="628" w:type="pct"/>
            <w:tcBorders>
              <w:top w:val="single" w:sz="4" w:space="0" w:color="000000"/>
              <w:left w:val="single" w:sz="4" w:space="0" w:color="000000"/>
              <w:bottom w:val="single" w:sz="8" w:space="0" w:color="auto"/>
              <w:right w:val="single" w:sz="4" w:space="0" w:color="000000"/>
            </w:tcBorders>
            <w:hideMark/>
          </w:tcPr>
          <w:p w14:paraId="490C4FCD" w14:textId="77777777" w:rsidR="00CD64B5" w:rsidRPr="007F2C2A" w:rsidRDefault="00CD64B5" w:rsidP="00CD64B5">
            <w:pPr>
              <w:rPr>
                <w:sz w:val="20"/>
              </w:rPr>
            </w:pPr>
            <w:r w:rsidRPr="007F2C2A">
              <w:rPr>
                <w:sz w:val="20"/>
              </w:rPr>
              <w:t>25</w:t>
            </w:r>
          </w:p>
        </w:tc>
        <w:tc>
          <w:tcPr>
            <w:tcW w:w="628" w:type="pct"/>
            <w:tcBorders>
              <w:top w:val="single" w:sz="4" w:space="0" w:color="000000"/>
              <w:left w:val="single" w:sz="4" w:space="0" w:color="000000"/>
              <w:bottom w:val="single" w:sz="8" w:space="0" w:color="auto"/>
              <w:right w:val="single" w:sz="4" w:space="0" w:color="000000"/>
            </w:tcBorders>
            <w:hideMark/>
          </w:tcPr>
          <w:p w14:paraId="785E3A4B" w14:textId="77777777" w:rsidR="00CD64B5" w:rsidRPr="007F2C2A" w:rsidRDefault="00CD64B5" w:rsidP="00CD64B5">
            <w:pPr>
              <w:rPr>
                <w:sz w:val="20"/>
              </w:rPr>
            </w:pPr>
            <w:r w:rsidRPr="007F2C2A">
              <w:rPr>
                <w:sz w:val="20"/>
              </w:rPr>
              <w:t>30</w:t>
            </w:r>
          </w:p>
        </w:tc>
        <w:tc>
          <w:tcPr>
            <w:tcW w:w="466" w:type="pct"/>
            <w:tcBorders>
              <w:top w:val="single" w:sz="4" w:space="0" w:color="000000"/>
              <w:left w:val="single" w:sz="4" w:space="0" w:color="000000"/>
              <w:bottom w:val="single" w:sz="8" w:space="0" w:color="auto"/>
              <w:right w:val="single" w:sz="6" w:space="0" w:color="auto"/>
            </w:tcBorders>
            <w:hideMark/>
          </w:tcPr>
          <w:p w14:paraId="51EF52BF" w14:textId="77777777" w:rsidR="00CD64B5" w:rsidRPr="007F2C2A" w:rsidRDefault="00CD64B5" w:rsidP="00CD64B5">
            <w:pPr>
              <w:rPr>
                <w:sz w:val="20"/>
              </w:rPr>
            </w:pPr>
            <w:r w:rsidRPr="007F2C2A">
              <w:rPr>
                <w:sz w:val="20"/>
              </w:rPr>
              <w:t>30</w:t>
            </w:r>
          </w:p>
        </w:tc>
      </w:tr>
    </w:tbl>
    <w:p w14:paraId="524BE83A" w14:textId="77777777" w:rsidR="00CD64B5" w:rsidRPr="001352AB" w:rsidRDefault="00CD64B5" w:rsidP="00CD64B5">
      <w:pPr>
        <w:rPr>
          <w:lang w:val="ka-GE" w:eastAsia="ru-RU"/>
        </w:rPr>
      </w:pPr>
    </w:p>
    <w:p w14:paraId="4518D3A9" w14:textId="77777777" w:rsidR="00CD64B5" w:rsidRPr="008168A3" w:rsidRDefault="00CD64B5" w:rsidP="00CD64B5">
      <w:pPr>
        <w:spacing w:before="120" w:after="120"/>
        <w:rPr>
          <w:lang w:val="ka-GE"/>
        </w:rPr>
      </w:pPr>
      <w:r w:rsidRPr="008168A3">
        <w:rPr>
          <w:rFonts w:ascii="Sylfaen" w:hAnsi="Sylfaen" w:cs="Sylfaen"/>
          <w:lang w:val="ka-GE"/>
        </w:rPr>
        <w:t>მაქსიმალური</w:t>
      </w:r>
      <w:r w:rsidRPr="008168A3">
        <w:rPr>
          <w:lang w:val="ka-GE"/>
        </w:rPr>
        <w:t xml:space="preserve"> </w:t>
      </w:r>
      <w:r w:rsidRPr="008168A3">
        <w:rPr>
          <w:rFonts w:ascii="Sylfaen" w:hAnsi="Sylfaen" w:cs="Sylfaen"/>
          <w:lang w:val="ka-GE"/>
        </w:rPr>
        <w:t>ერთჯერადი</w:t>
      </w:r>
      <w:r w:rsidRPr="008168A3">
        <w:rPr>
          <w:lang w:val="ka-GE"/>
        </w:rPr>
        <w:t xml:space="preserve"> </w:t>
      </w:r>
      <w:r w:rsidRPr="008168A3">
        <w:rPr>
          <w:rFonts w:ascii="Sylfaen" w:hAnsi="Sylfaen" w:cs="Sylfaen"/>
          <w:lang w:val="ka-GE"/>
        </w:rPr>
        <w:t>და</w:t>
      </w:r>
      <w:r w:rsidRPr="008168A3">
        <w:rPr>
          <w:lang w:val="ka-GE"/>
        </w:rPr>
        <w:t xml:space="preserve"> </w:t>
      </w:r>
      <w:r w:rsidRPr="008168A3">
        <w:rPr>
          <w:rFonts w:ascii="Sylfaen" w:hAnsi="Sylfaen" w:cs="Sylfaen"/>
          <w:lang w:val="ka-GE"/>
        </w:rPr>
        <w:t>წლიური</w:t>
      </w:r>
      <w:r w:rsidRPr="008168A3">
        <w:rPr>
          <w:lang w:val="ka-GE"/>
        </w:rPr>
        <w:t xml:space="preserve"> </w:t>
      </w:r>
      <w:r w:rsidRPr="008168A3">
        <w:rPr>
          <w:rFonts w:ascii="Sylfaen" w:hAnsi="Sylfaen" w:cs="Sylfaen"/>
          <w:lang w:val="ka-GE"/>
        </w:rPr>
        <w:t>ემისიის</w:t>
      </w:r>
      <w:r w:rsidRPr="008168A3">
        <w:rPr>
          <w:lang w:val="ka-GE"/>
        </w:rPr>
        <w:t xml:space="preserve"> </w:t>
      </w:r>
      <w:r w:rsidRPr="008168A3">
        <w:rPr>
          <w:rFonts w:ascii="Sylfaen" w:hAnsi="Sylfaen" w:cs="Sylfaen"/>
          <w:lang w:val="ka-GE"/>
        </w:rPr>
        <w:t>გაანგარიშება</w:t>
      </w:r>
      <w:r w:rsidRPr="008168A3">
        <w:rPr>
          <w:lang w:val="ka-GE"/>
        </w:rPr>
        <w:t xml:space="preserve"> </w:t>
      </w:r>
      <w:r w:rsidRPr="008168A3">
        <w:rPr>
          <w:rFonts w:ascii="Sylfaen" w:hAnsi="Sylfaen" w:cs="Sylfaen"/>
          <w:lang w:val="ka-GE"/>
        </w:rPr>
        <w:t>მოცემულია</w:t>
      </w:r>
      <w:r w:rsidRPr="008168A3">
        <w:rPr>
          <w:lang w:val="ka-GE"/>
        </w:rPr>
        <w:t xml:space="preserve"> </w:t>
      </w:r>
      <w:r w:rsidRPr="008168A3">
        <w:rPr>
          <w:rFonts w:ascii="Sylfaen" w:hAnsi="Sylfaen" w:cs="Sylfaen"/>
          <w:lang w:val="ka-GE"/>
        </w:rPr>
        <w:t>ქვემოთ</w:t>
      </w:r>
      <w:r w:rsidRPr="008168A3">
        <w:rPr>
          <w:lang w:val="ka-GE"/>
        </w:rPr>
        <w:t xml:space="preserve">: </w:t>
      </w:r>
    </w:p>
    <w:p w14:paraId="647CC505" w14:textId="77777777" w:rsidR="00CD64B5" w:rsidRPr="008168A3" w:rsidRDefault="00CD64B5" w:rsidP="00CD64B5">
      <w:pPr>
        <w:spacing w:before="120" w:after="120"/>
        <w:rPr>
          <w:lang w:val="ka-GE"/>
        </w:rPr>
      </w:pPr>
      <w:r w:rsidRPr="008168A3">
        <w:rPr>
          <w:lang w:val="ka-GE"/>
        </w:rPr>
        <w:t xml:space="preserve">M1 = </w:t>
      </w:r>
      <w:r w:rsidRPr="008168A3">
        <w:rPr>
          <w:rFonts w:eastAsiaTheme="minorEastAsia"/>
          <w:lang w:val="ka-GE"/>
        </w:rPr>
        <w:t xml:space="preserve">0,408 · 4 + 2,72 · 0 + 0,368 · 1 = 2 </w:t>
      </w:r>
      <w:r w:rsidRPr="008168A3">
        <w:rPr>
          <w:rFonts w:ascii="Sylfaen" w:hAnsi="Sylfaen" w:cs="Sylfaen"/>
          <w:lang w:val="ka-GE"/>
        </w:rPr>
        <w:t>გ</w:t>
      </w:r>
      <w:r w:rsidRPr="008168A3">
        <w:rPr>
          <w:lang w:val="ka-GE"/>
        </w:rPr>
        <w:t>;</w:t>
      </w:r>
    </w:p>
    <w:p w14:paraId="219F4DB9" w14:textId="77777777" w:rsidR="00CD64B5" w:rsidRPr="008168A3" w:rsidRDefault="00CD64B5" w:rsidP="00CD64B5">
      <w:pPr>
        <w:spacing w:before="120" w:after="120"/>
        <w:rPr>
          <w:lang w:val="ka-GE"/>
        </w:rPr>
      </w:pPr>
      <w:r w:rsidRPr="008168A3">
        <w:rPr>
          <w:lang w:val="ka-GE"/>
        </w:rPr>
        <w:t xml:space="preserve">M2 = </w:t>
      </w:r>
      <w:r w:rsidRPr="008168A3">
        <w:rPr>
          <w:rFonts w:eastAsiaTheme="minorEastAsia"/>
          <w:lang w:val="ka-GE"/>
        </w:rPr>
        <w:t xml:space="preserve">2,72 · 0 + 0,368 · 1 = 0,368 </w:t>
      </w:r>
      <w:r w:rsidRPr="008168A3">
        <w:rPr>
          <w:rFonts w:ascii="Sylfaen" w:hAnsi="Sylfaen" w:cs="Sylfaen"/>
          <w:lang w:val="ka-GE"/>
        </w:rPr>
        <w:t>გ</w:t>
      </w:r>
      <w:r w:rsidRPr="008168A3">
        <w:rPr>
          <w:lang w:val="ka-GE"/>
        </w:rPr>
        <w:t xml:space="preserve">; </w:t>
      </w:r>
    </w:p>
    <w:p w14:paraId="7775842D" w14:textId="77777777" w:rsidR="00CD64B5" w:rsidRPr="008168A3" w:rsidRDefault="00CD64B5" w:rsidP="00CD64B5">
      <w:pPr>
        <w:spacing w:before="120" w:after="120"/>
        <w:rPr>
          <w:lang w:val="ka-GE"/>
        </w:rPr>
      </w:pPr>
      <w:r w:rsidRPr="008168A3">
        <w:rPr>
          <w:lang w:val="ka-GE"/>
        </w:rPr>
        <w:t xml:space="preserve">M301 = </w:t>
      </w:r>
      <w:r w:rsidRPr="008168A3">
        <w:rPr>
          <w:rFonts w:eastAsiaTheme="minorEastAsia"/>
          <w:lang w:val="ka-GE"/>
        </w:rPr>
        <w:t xml:space="preserve">(2 + 0,368) · 366 · 10 · 10-6 = 0,0086669 </w:t>
      </w:r>
      <w:r w:rsidRPr="008168A3">
        <w:rPr>
          <w:rFonts w:ascii="Sylfaen" w:hAnsi="Sylfaen" w:cs="Sylfaen"/>
          <w:lang w:val="ka-GE"/>
        </w:rPr>
        <w:t>ტ</w:t>
      </w:r>
      <w:r w:rsidRPr="008168A3">
        <w:rPr>
          <w:lang w:val="ka-GE"/>
        </w:rPr>
        <w:t>/</w:t>
      </w:r>
      <w:r w:rsidRPr="008168A3">
        <w:rPr>
          <w:rFonts w:ascii="Sylfaen" w:hAnsi="Sylfaen" w:cs="Sylfaen"/>
          <w:lang w:val="ka-GE"/>
        </w:rPr>
        <w:t>წელ</w:t>
      </w:r>
      <w:r w:rsidRPr="008168A3">
        <w:rPr>
          <w:lang w:val="ka-GE"/>
        </w:rPr>
        <w:t>;</w:t>
      </w:r>
    </w:p>
    <w:p w14:paraId="725CA79C" w14:textId="77777777" w:rsidR="00CD64B5" w:rsidRPr="008168A3" w:rsidRDefault="00CD64B5" w:rsidP="00CD64B5">
      <w:pPr>
        <w:spacing w:before="120" w:after="120"/>
        <w:rPr>
          <w:lang w:val="ka-GE"/>
        </w:rPr>
      </w:pPr>
      <w:r w:rsidRPr="008168A3">
        <w:rPr>
          <w:lang w:val="ka-GE"/>
        </w:rPr>
        <w:t xml:space="preserve">G301 = </w:t>
      </w:r>
      <w:r w:rsidRPr="008168A3">
        <w:rPr>
          <w:rFonts w:eastAsiaTheme="minorEastAsia"/>
          <w:lang w:val="ka-GE"/>
        </w:rPr>
        <w:t xml:space="preserve">(2 · 5 + 0,368 · 5) / 3600 = 0,0032889 </w:t>
      </w:r>
      <w:r w:rsidRPr="008168A3">
        <w:rPr>
          <w:rFonts w:ascii="Sylfaen" w:hAnsi="Sylfaen" w:cs="Sylfaen"/>
          <w:lang w:val="ka-GE"/>
        </w:rPr>
        <w:t>გ</w:t>
      </w:r>
      <w:r w:rsidRPr="008168A3">
        <w:rPr>
          <w:lang w:val="ka-GE"/>
        </w:rPr>
        <w:t>/</w:t>
      </w:r>
      <w:r w:rsidRPr="008168A3">
        <w:rPr>
          <w:rFonts w:ascii="Sylfaen" w:hAnsi="Sylfaen" w:cs="Sylfaen"/>
          <w:lang w:val="ka-GE"/>
        </w:rPr>
        <w:t>წმ</w:t>
      </w:r>
      <w:r w:rsidRPr="008168A3">
        <w:rPr>
          <w:lang w:val="ka-GE"/>
        </w:rPr>
        <w:t>.</w:t>
      </w:r>
    </w:p>
    <w:p w14:paraId="6796EFD9" w14:textId="77777777" w:rsidR="00CD64B5" w:rsidRPr="008168A3" w:rsidRDefault="00CD64B5" w:rsidP="00CD64B5">
      <w:pPr>
        <w:spacing w:before="120" w:after="120"/>
        <w:rPr>
          <w:lang w:val="ka-GE"/>
        </w:rPr>
      </w:pPr>
      <w:r w:rsidRPr="008168A3">
        <w:rPr>
          <w:lang w:val="ka-GE"/>
        </w:rPr>
        <w:t xml:space="preserve">M1 = </w:t>
      </w:r>
      <w:r w:rsidRPr="008168A3">
        <w:rPr>
          <w:rFonts w:eastAsiaTheme="minorEastAsia"/>
          <w:lang w:val="ka-GE"/>
        </w:rPr>
        <w:t xml:space="preserve">0,0663 · 4 + 0,442 · 0 + 0,0598 · 1 = 0,325 </w:t>
      </w:r>
      <w:r w:rsidRPr="008168A3">
        <w:rPr>
          <w:rFonts w:ascii="Sylfaen" w:hAnsi="Sylfaen" w:cs="Sylfaen"/>
          <w:lang w:val="ka-GE"/>
        </w:rPr>
        <w:t>გ</w:t>
      </w:r>
      <w:r w:rsidRPr="008168A3">
        <w:rPr>
          <w:lang w:val="ka-GE"/>
        </w:rPr>
        <w:t>;</w:t>
      </w:r>
    </w:p>
    <w:p w14:paraId="247C527E" w14:textId="77777777" w:rsidR="00CD64B5" w:rsidRPr="008168A3" w:rsidRDefault="00CD64B5" w:rsidP="00CD64B5">
      <w:pPr>
        <w:spacing w:before="120" w:after="120"/>
        <w:rPr>
          <w:lang w:val="ka-GE"/>
        </w:rPr>
      </w:pPr>
      <w:r w:rsidRPr="008168A3">
        <w:rPr>
          <w:lang w:val="ka-GE"/>
        </w:rPr>
        <w:t xml:space="preserve">M2 = </w:t>
      </w:r>
      <w:r w:rsidRPr="008168A3">
        <w:rPr>
          <w:rFonts w:eastAsiaTheme="minorEastAsia"/>
          <w:lang w:val="ka-GE"/>
        </w:rPr>
        <w:t xml:space="preserve">0,442 · 0 + 0,0598 · 1 = 0,0598 </w:t>
      </w:r>
      <w:r w:rsidRPr="008168A3">
        <w:rPr>
          <w:rFonts w:ascii="Sylfaen" w:hAnsi="Sylfaen" w:cs="Sylfaen"/>
          <w:lang w:val="ka-GE"/>
        </w:rPr>
        <w:t>გ</w:t>
      </w:r>
      <w:r w:rsidRPr="008168A3">
        <w:rPr>
          <w:lang w:val="ka-GE"/>
        </w:rPr>
        <w:t>;</w:t>
      </w:r>
    </w:p>
    <w:p w14:paraId="50756C83" w14:textId="77777777" w:rsidR="00CD64B5" w:rsidRPr="008168A3" w:rsidRDefault="00CD64B5" w:rsidP="00CD64B5">
      <w:pPr>
        <w:spacing w:before="120" w:after="120"/>
        <w:rPr>
          <w:lang w:val="ka-GE"/>
        </w:rPr>
      </w:pPr>
      <w:r w:rsidRPr="008168A3">
        <w:rPr>
          <w:lang w:val="ka-GE"/>
        </w:rPr>
        <w:t xml:space="preserve">M304 = </w:t>
      </w:r>
      <w:r w:rsidRPr="008168A3">
        <w:rPr>
          <w:rFonts w:eastAsiaTheme="minorEastAsia"/>
          <w:lang w:val="ka-GE"/>
        </w:rPr>
        <w:t xml:space="preserve">(0,325 + 0,0598) · 366 · 10 · 10-6 = 0,0014084 </w:t>
      </w:r>
      <w:r w:rsidRPr="008168A3">
        <w:rPr>
          <w:rFonts w:ascii="Sylfaen" w:hAnsi="Sylfaen" w:cs="Sylfaen"/>
          <w:lang w:val="ka-GE"/>
        </w:rPr>
        <w:t>ტ</w:t>
      </w:r>
      <w:r w:rsidRPr="008168A3">
        <w:rPr>
          <w:lang w:val="ka-GE"/>
        </w:rPr>
        <w:t>/</w:t>
      </w:r>
      <w:r w:rsidRPr="008168A3">
        <w:rPr>
          <w:rFonts w:ascii="Sylfaen" w:hAnsi="Sylfaen" w:cs="Sylfaen"/>
          <w:lang w:val="ka-GE"/>
        </w:rPr>
        <w:t>წელ</w:t>
      </w:r>
      <w:r w:rsidRPr="008168A3">
        <w:rPr>
          <w:lang w:val="ka-GE"/>
        </w:rPr>
        <w:t>;</w:t>
      </w:r>
    </w:p>
    <w:p w14:paraId="43D0B508" w14:textId="77777777" w:rsidR="00CD64B5" w:rsidRPr="008168A3" w:rsidRDefault="00CD64B5" w:rsidP="00CD64B5">
      <w:pPr>
        <w:spacing w:before="120" w:after="120"/>
        <w:rPr>
          <w:lang w:val="ka-GE"/>
        </w:rPr>
      </w:pPr>
      <w:r w:rsidRPr="008168A3">
        <w:rPr>
          <w:lang w:val="ka-GE"/>
        </w:rPr>
        <w:t xml:space="preserve">G304 = </w:t>
      </w:r>
      <w:r w:rsidRPr="008168A3">
        <w:rPr>
          <w:rFonts w:eastAsiaTheme="minorEastAsia"/>
          <w:lang w:val="ka-GE"/>
        </w:rPr>
        <w:t xml:space="preserve">(0,325 · 5 + 0,0598 · 5) / 3600 = 0,0005344 </w:t>
      </w:r>
      <w:r w:rsidRPr="008168A3">
        <w:rPr>
          <w:rFonts w:ascii="Sylfaen" w:hAnsi="Sylfaen" w:cs="Sylfaen"/>
          <w:lang w:val="ka-GE"/>
        </w:rPr>
        <w:t>გ</w:t>
      </w:r>
      <w:r w:rsidRPr="008168A3">
        <w:rPr>
          <w:lang w:val="ka-GE"/>
        </w:rPr>
        <w:t>/</w:t>
      </w:r>
      <w:r w:rsidRPr="008168A3">
        <w:rPr>
          <w:rFonts w:ascii="Sylfaen" w:hAnsi="Sylfaen" w:cs="Sylfaen"/>
          <w:lang w:val="ka-GE"/>
        </w:rPr>
        <w:t>წმ</w:t>
      </w:r>
      <w:r w:rsidRPr="008168A3">
        <w:rPr>
          <w:lang w:val="ka-GE"/>
        </w:rPr>
        <w:t>.</w:t>
      </w:r>
    </w:p>
    <w:p w14:paraId="38BDCCC6" w14:textId="77777777" w:rsidR="00CD64B5" w:rsidRPr="008168A3" w:rsidRDefault="00CD64B5" w:rsidP="00CD64B5">
      <w:pPr>
        <w:spacing w:before="120" w:after="120"/>
        <w:rPr>
          <w:lang w:val="ka-GE"/>
        </w:rPr>
      </w:pPr>
      <w:r w:rsidRPr="008168A3">
        <w:rPr>
          <w:lang w:val="ka-GE"/>
        </w:rPr>
        <w:t xml:space="preserve">M1 = </w:t>
      </w:r>
      <w:r w:rsidRPr="008168A3">
        <w:rPr>
          <w:rFonts w:eastAsiaTheme="minorEastAsia"/>
          <w:lang w:val="ka-GE"/>
        </w:rPr>
        <w:t xml:space="preserve">0,019 · 4 + 0,2 · 0 + 0,019 · 1 = 0,095 </w:t>
      </w:r>
      <w:r w:rsidRPr="008168A3">
        <w:rPr>
          <w:rFonts w:ascii="Sylfaen" w:hAnsi="Sylfaen" w:cs="Sylfaen"/>
          <w:lang w:val="ka-GE"/>
        </w:rPr>
        <w:t>გ</w:t>
      </w:r>
      <w:r w:rsidRPr="008168A3">
        <w:rPr>
          <w:lang w:val="ka-GE"/>
        </w:rPr>
        <w:t>;</w:t>
      </w:r>
    </w:p>
    <w:p w14:paraId="64658BBD" w14:textId="77777777" w:rsidR="00CD64B5" w:rsidRPr="008168A3" w:rsidRDefault="00CD64B5" w:rsidP="00CD64B5">
      <w:pPr>
        <w:spacing w:before="120" w:after="120"/>
        <w:rPr>
          <w:lang w:val="ka-GE"/>
        </w:rPr>
      </w:pPr>
      <w:r w:rsidRPr="008168A3">
        <w:rPr>
          <w:lang w:val="ka-GE"/>
        </w:rPr>
        <w:t xml:space="preserve">M2 = </w:t>
      </w:r>
      <w:r w:rsidRPr="008168A3">
        <w:rPr>
          <w:rFonts w:eastAsiaTheme="minorEastAsia"/>
          <w:lang w:val="ka-GE"/>
        </w:rPr>
        <w:t>0,2 · 0 + 0,019 · 1 = 0,019</w:t>
      </w:r>
      <w:r w:rsidRPr="008168A3">
        <w:rPr>
          <w:rFonts w:ascii="Sylfaen" w:hAnsi="Sylfaen" w:cs="Sylfaen"/>
          <w:lang w:val="ka-GE"/>
        </w:rPr>
        <w:t>გ</w:t>
      </w:r>
      <w:r w:rsidRPr="008168A3">
        <w:rPr>
          <w:lang w:val="ka-GE"/>
        </w:rPr>
        <w:t>;</w:t>
      </w:r>
    </w:p>
    <w:p w14:paraId="26AEBA43" w14:textId="77777777" w:rsidR="00CD64B5" w:rsidRPr="008168A3" w:rsidRDefault="00CD64B5" w:rsidP="00CD64B5">
      <w:pPr>
        <w:spacing w:before="120" w:after="120"/>
        <w:rPr>
          <w:lang w:val="ka-GE"/>
        </w:rPr>
      </w:pPr>
      <w:r w:rsidRPr="008168A3">
        <w:rPr>
          <w:lang w:val="ka-GE"/>
        </w:rPr>
        <w:t xml:space="preserve">M328 = </w:t>
      </w:r>
      <w:r w:rsidRPr="008168A3">
        <w:rPr>
          <w:rFonts w:eastAsiaTheme="minorEastAsia"/>
          <w:lang w:val="ka-GE"/>
        </w:rPr>
        <w:t>(0,095 + 0,019) · 366 · 10 · 10-6 = 0,0004172</w:t>
      </w:r>
      <w:r w:rsidRPr="008168A3">
        <w:rPr>
          <w:rFonts w:ascii="Sylfaen" w:hAnsi="Sylfaen" w:cs="Sylfaen"/>
          <w:lang w:val="ka-GE"/>
        </w:rPr>
        <w:t>ტ</w:t>
      </w:r>
      <w:r w:rsidRPr="008168A3">
        <w:rPr>
          <w:lang w:val="ka-GE"/>
        </w:rPr>
        <w:t>/</w:t>
      </w:r>
      <w:r w:rsidRPr="008168A3">
        <w:rPr>
          <w:rFonts w:ascii="Sylfaen" w:hAnsi="Sylfaen" w:cs="Sylfaen"/>
          <w:lang w:val="ka-GE"/>
        </w:rPr>
        <w:t>წელ</w:t>
      </w:r>
      <w:r w:rsidRPr="008168A3">
        <w:rPr>
          <w:lang w:val="ka-GE"/>
        </w:rPr>
        <w:t>;</w:t>
      </w:r>
    </w:p>
    <w:p w14:paraId="182C65B3" w14:textId="77777777" w:rsidR="00CD64B5" w:rsidRPr="008168A3" w:rsidRDefault="00CD64B5" w:rsidP="00CD64B5">
      <w:pPr>
        <w:spacing w:before="120" w:after="120"/>
        <w:rPr>
          <w:lang w:val="ka-GE"/>
        </w:rPr>
      </w:pPr>
      <w:r w:rsidRPr="008168A3">
        <w:rPr>
          <w:lang w:val="ka-GE"/>
        </w:rPr>
        <w:t xml:space="preserve">G328 = </w:t>
      </w:r>
      <w:r w:rsidRPr="008168A3">
        <w:rPr>
          <w:rFonts w:eastAsiaTheme="minorEastAsia"/>
          <w:lang w:val="ka-GE"/>
        </w:rPr>
        <w:t xml:space="preserve">(0,095 · 5 + 0,019 · 5) / 3600 = 0,0001583 </w:t>
      </w:r>
      <w:r w:rsidRPr="008168A3">
        <w:rPr>
          <w:rFonts w:ascii="Sylfaen" w:hAnsi="Sylfaen" w:cs="Sylfaen"/>
          <w:lang w:val="ka-GE"/>
        </w:rPr>
        <w:t>გ</w:t>
      </w:r>
      <w:r w:rsidRPr="008168A3">
        <w:rPr>
          <w:lang w:val="ka-GE"/>
        </w:rPr>
        <w:t>/</w:t>
      </w:r>
      <w:r w:rsidRPr="008168A3">
        <w:rPr>
          <w:rFonts w:ascii="Sylfaen" w:hAnsi="Sylfaen" w:cs="Sylfaen"/>
          <w:lang w:val="ka-GE"/>
        </w:rPr>
        <w:t>წმ</w:t>
      </w:r>
      <w:r w:rsidRPr="008168A3">
        <w:rPr>
          <w:lang w:val="ka-GE"/>
        </w:rPr>
        <w:t>.</w:t>
      </w:r>
    </w:p>
    <w:p w14:paraId="7A4630D5" w14:textId="77777777" w:rsidR="00CD64B5" w:rsidRPr="008168A3" w:rsidRDefault="00CD64B5" w:rsidP="00CD64B5">
      <w:pPr>
        <w:spacing w:before="120" w:after="120"/>
        <w:rPr>
          <w:lang w:val="ka-GE"/>
        </w:rPr>
      </w:pPr>
      <w:r w:rsidRPr="008168A3">
        <w:rPr>
          <w:lang w:val="ka-GE"/>
        </w:rPr>
        <w:t xml:space="preserve">M1 = </w:t>
      </w:r>
      <w:r w:rsidRPr="008168A3">
        <w:rPr>
          <w:rFonts w:eastAsiaTheme="minorEastAsia"/>
          <w:lang w:val="ka-GE"/>
        </w:rPr>
        <w:t xml:space="preserve">0,1 · 4 + 0,475 · 0 + 0,1 · 1 = 0,5 </w:t>
      </w:r>
      <w:r w:rsidRPr="008168A3">
        <w:rPr>
          <w:rFonts w:ascii="Sylfaen" w:hAnsi="Sylfaen" w:cs="Sylfaen"/>
          <w:lang w:val="ka-GE"/>
        </w:rPr>
        <w:t>გ</w:t>
      </w:r>
      <w:r w:rsidRPr="008168A3">
        <w:rPr>
          <w:lang w:val="ka-GE"/>
        </w:rPr>
        <w:t>;</w:t>
      </w:r>
    </w:p>
    <w:p w14:paraId="71CC4D0B" w14:textId="77777777" w:rsidR="00CD64B5" w:rsidRPr="008168A3" w:rsidRDefault="00CD64B5" w:rsidP="00CD64B5">
      <w:pPr>
        <w:spacing w:before="120" w:after="120"/>
        <w:rPr>
          <w:lang w:val="ka-GE"/>
        </w:rPr>
      </w:pPr>
      <w:r w:rsidRPr="008168A3">
        <w:rPr>
          <w:lang w:val="ka-GE"/>
        </w:rPr>
        <w:t xml:space="preserve">M2 = </w:t>
      </w:r>
      <w:r w:rsidRPr="008168A3">
        <w:rPr>
          <w:rFonts w:eastAsiaTheme="minorEastAsia"/>
          <w:lang w:val="ka-GE"/>
        </w:rPr>
        <w:t xml:space="preserve">0,475 · 0 + 0,1 · 1 = 0,1 </w:t>
      </w:r>
      <w:r w:rsidRPr="008168A3">
        <w:rPr>
          <w:rFonts w:ascii="Sylfaen" w:hAnsi="Sylfaen" w:cs="Sylfaen"/>
          <w:lang w:val="ka-GE"/>
        </w:rPr>
        <w:t>გ</w:t>
      </w:r>
      <w:r w:rsidRPr="008168A3">
        <w:rPr>
          <w:lang w:val="ka-GE"/>
        </w:rPr>
        <w:t>;</w:t>
      </w:r>
    </w:p>
    <w:p w14:paraId="45B48DF7" w14:textId="77777777" w:rsidR="00CD64B5" w:rsidRPr="008168A3" w:rsidRDefault="00CD64B5" w:rsidP="00CD64B5">
      <w:pPr>
        <w:spacing w:before="120" w:after="120"/>
        <w:rPr>
          <w:lang w:val="ka-GE"/>
        </w:rPr>
      </w:pPr>
      <w:r w:rsidRPr="008168A3">
        <w:rPr>
          <w:lang w:val="ka-GE"/>
        </w:rPr>
        <w:t xml:space="preserve">M330 = </w:t>
      </w:r>
      <w:r w:rsidRPr="008168A3">
        <w:rPr>
          <w:rFonts w:eastAsiaTheme="minorEastAsia"/>
          <w:lang w:val="ka-GE"/>
        </w:rPr>
        <w:t>(0,5 + 0,1) · 366 · 10 · 10-6 = 0,002196</w:t>
      </w:r>
      <w:r w:rsidRPr="008168A3">
        <w:rPr>
          <w:rFonts w:ascii="Sylfaen" w:hAnsi="Sylfaen" w:cs="Sylfaen"/>
          <w:lang w:val="ka-GE"/>
        </w:rPr>
        <w:t>ტ</w:t>
      </w:r>
      <w:r w:rsidRPr="008168A3">
        <w:rPr>
          <w:lang w:val="ka-GE"/>
        </w:rPr>
        <w:t>/</w:t>
      </w:r>
      <w:r w:rsidRPr="008168A3">
        <w:rPr>
          <w:rFonts w:ascii="Sylfaen" w:hAnsi="Sylfaen" w:cs="Sylfaen"/>
          <w:lang w:val="ka-GE"/>
        </w:rPr>
        <w:t>წელ</w:t>
      </w:r>
      <w:r w:rsidRPr="008168A3">
        <w:rPr>
          <w:lang w:val="ka-GE"/>
        </w:rPr>
        <w:t>;</w:t>
      </w:r>
    </w:p>
    <w:p w14:paraId="3AB71705" w14:textId="77777777" w:rsidR="00CD64B5" w:rsidRPr="008168A3" w:rsidRDefault="00CD64B5" w:rsidP="00CD64B5">
      <w:pPr>
        <w:spacing w:before="120" w:after="120"/>
        <w:rPr>
          <w:lang w:val="ka-GE"/>
        </w:rPr>
      </w:pPr>
      <w:r w:rsidRPr="008168A3">
        <w:rPr>
          <w:lang w:val="ka-GE"/>
        </w:rPr>
        <w:t xml:space="preserve">G330 = </w:t>
      </w:r>
      <w:r w:rsidRPr="008168A3">
        <w:rPr>
          <w:rFonts w:eastAsiaTheme="minorEastAsia"/>
          <w:lang w:val="ka-GE"/>
        </w:rPr>
        <w:t xml:space="preserve">(0,5 · 5 + 0,1 · 5) / 3600 = 0,0008333 </w:t>
      </w:r>
      <w:r w:rsidRPr="008168A3">
        <w:rPr>
          <w:rFonts w:ascii="Sylfaen" w:hAnsi="Sylfaen" w:cs="Sylfaen"/>
          <w:lang w:val="ka-GE"/>
        </w:rPr>
        <w:t>გ</w:t>
      </w:r>
      <w:r w:rsidRPr="008168A3">
        <w:rPr>
          <w:lang w:val="ka-GE"/>
        </w:rPr>
        <w:t>/</w:t>
      </w:r>
      <w:r w:rsidRPr="008168A3">
        <w:rPr>
          <w:rFonts w:ascii="Sylfaen" w:hAnsi="Sylfaen" w:cs="Sylfaen"/>
          <w:lang w:val="ka-GE"/>
        </w:rPr>
        <w:t>წმ</w:t>
      </w:r>
      <w:r w:rsidRPr="008168A3">
        <w:rPr>
          <w:lang w:val="ka-GE"/>
        </w:rPr>
        <w:t>.</w:t>
      </w:r>
    </w:p>
    <w:p w14:paraId="1CFAEFF0" w14:textId="77777777" w:rsidR="00CD64B5" w:rsidRPr="008168A3" w:rsidRDefault="00CD64B5" w:rsidP="00CD64B5">
      <w:pPr>
        <w:spacing w:before="120" w:after="120"/>
        <w:rPr>
          <w:lang w:val="ka-GE"/>
        </w:rPr>
      </w:pPr>
      <w:r w:rsidRPr="008168A3">
        <w:rPr>
          <w:lang w:val="ka-GE"/>
        </w:rPr>
        <w:t xml:space="preserve">M1 = </w:t>
      </w:r>
      <w:r w:rsidRPr="008168A3">
        <w:rPr>
          <w:rFonts w:eastAsiaTheme="minorEastAsia"/>
          <w:lang w:val="ka-GE"/>
        </w:rPr>
        <w:t xml:space="preserve">1,34 · 4 + 4,9 · 0 + 0,84 · 1 = 6,2 </w:t>
      </w:r>
      <w:r w:rsidRPr="008168A3">
        <w:rPr>
          <w:rFonts w:ascii="Sylfaen" w:hAnsi="Sylfaen" w:cs="Sylfaen"/>
          <w:lang w:val="ka-GE"/>
        </w:rPr>
        <w:t>გ</w:t>
      </w:r>
      <w:r w:rsidRPr="008168A3">
        <w:rPr>
          <w:lang w:val="ka-GE"/>
        </w:rPr>
        <w:t>;</w:t>
      </w:r>
    </w:p>
    <w:p w14:paraId="61D38AD9" w14:textId="77777777" w:rsidR="00CD64B5" w:rsidRPr="008168A3" w:rsidRDefault="00CD64B5" w:rsidP="00CD64B5">
      <w:pPr>
        <w:spacing w:before="120" w:after="120"/>
        <w:rPr>
          <w:lang w:val="ka-GE"/>
        </w:rPr>
      </w:pPr>
      <w:r w:rsidRPr="008168A3">
        <w:rPr>
          <w:lang w:val="ka-GE"/>
        </w:rPr>
        <w:t xml:space="preserve">M2 = </w:t>
      </w:r>
      <w:r w:rsidRPr="008168A3">
        <w:rPr>
          <w:rFonts w:eastAsiaTheme="minorEastAsia"/>
          <w:lang w:val="ka-GE"/>
        </w:rPr>
        <w:t xml:space="preserve">4,9 · 0 + 0,84 · 1 = 0,84 </w:t>
      </w:r>
      <w:r w:rsidRPr="008168A3">
        <w:rPr>
          <w:rFonts w:ascii="Sylfaen" w:hAnsi="Sylfaen" w:cs="Sylfaen"/>
          <w:lang w:val="ka-GE"/>
        </w:rPr>
        <w:t>გ</w:t>
      </w:r>
      <w:r w:rsidRPr="008168A3">
        <w:rPr>
          <w:lang w:val="ka-GE"/>
        </w:rPr>
        <w:t>;</w:t>
      </w:r>
    </w:p>
    <w:p w14:paraId="0B829DAC" w14:textId="77777777" w:rsidR="00CD64B5" w:rsidRPr="008168A3" w:rsidRDefault="00CD64B5" w:rsidP="00CD64B5">
      <w:pPr>
        <w:spacing w:before="120" w:after="120"/>
        <w:rPr>
          <w:lang w:val="ka-GE"/>
        </w:rPr>
      </w:pPr>
      <w:r w:rsidRPr="008168A3">
        <w:rPr>
          <w:lang w:val="ka-GE"/>
        </w:rPr>
        <w:t xml:space="preserve">M337 = </w:t>
      </w:r>
      <w:r w:rsidRPr="008168A3">
        <w:rPr>
          <w:rFonts w:eastAsiaTheme="minorEastAsia"/>
          <w:lang w:val="ka-GE"/>
        </w:rPr>
        <w:t xml:space="preserve">(6,2 + 0,84) · 366 · 10 · 10-6 = 0,0257664 </w:t>
      </w:r>
      <w:r w:rsidRPr="008168A3">
        <w:rPr>
          <w:rFonts w:ascii="Sylfaen" w:hAnsi="Sylfaen" w:cs="Sylfaen"/>
          <w:lang w:val="ka-GE"/>
        </w:rPr>
        <w:t>ტ</w:t>
      </w:r>
      <w:r w:rsidRPr="008168A3">
        <w:rPr>
          <w:lang w:val="ka-GE"/>
        </w:rPr>
        <w:t>/</w:t>
      </w:r>
      <w:r w:rsidRPr="008168A3">
        <w:rPr>
          <w:rFonts w:ascii="Sylfaen" w:hAnsi="Sylfaen" w:cs="Sylfaen"/>
          <w:lang w:val="ka-GE"/>
        </w:rPr>
        <w:t>წელ</w:t>
      </w:r>
      <w:r w:rsidRPr="008168A3">
        <w:rPr>
          <w:lang w:val="ka-GE"/>
        </w:rPr>
        <w:t>;</w:t>
      </w:r>
    </w:p>
    <w:p w14:paraId="2CE7861C" w14:textId="77777777" w:rsidR="00CD64B5" w:rsidRPr="008168A3" w:rsidRDefault="00CD64B5" w:rsidP="00CD64B5">
      <w:pPr>
        <w:spacing w:before="120" w:after="120"/>
        <w:rPr>
          <w:lang w:val="ka-GE"/>
        </w:rPr>
      </w:pPr>
      <w:r w:rsidRPr="008168A3">
        <w:rPr>
          <w:lang w:val="ka-GE"/>
        </w:rPr>
        <w:t xml:space="preserve">G337 = </w:t>
      </w:r>
      <w:r w:rsidRPr="008168A3">
        <w:rPr>
          <w:rFonts w:eastAsiaTheme="minorEastAsia"/>
          <w:lang w:val="ka-GE"/>
        </w:rPr>
        <w:t xml:space="preserve">(6,2 · 5 + 0,84 · 5) / 3600 = 0,0097778 </w:t>
      </w:r>
      <w:r w:rsidRPr="008168A3">
        <w:rPr>
          <w:rFonts w:ascii="Sylfaen" w:hAnsi="Sylfaen" w:cs="Sylfaen"/>
          <w:lang w:val="ka-GE"/>
        </w:rPr>
        <w:t>გ</w:t>
      </w:r>
      <w:r w:rsidRPr="008168A3">
        <w:rPr>
          <w:lang w:val="ka-GE"/>
        </w:rPr>
        <w:t>/</w:t>
      </w:r>
      <w:r w:rsidRPr="008168A3">
        <w:rPr>
          <w:rFonts w:ascii="Sylfaen" w:hAnsi="Sylfaen" w:cs="Sylfaen"/>
          <w:lang w:val="ka-GE"/>
        </w:rPr>
        <w:t>წმ</w:t>
      </w:r>
      <w:r w:rsidRPr="008168A3">
        <w:rPr>
          <w:lang w:val="ka-GE"/>
        </w:rPr>
        <w:t>.</w:t>
      </w:r>
    </w:p>
    <w:p w14:paraId="4910A39B" w14:textId="77777777" w:rsidR="00CD64B5" w:rsidRPr="007F2C2A" w:rsidRDefault="00CD64B5" w:rsidP="00CD64B5">
      <w:pPr>
        <w:spacing w:before="120" w:after="120"/>
        <w:rPr>
          <w:lang w:val="ka-GE"/>
        </w:rPr>
      </w:pPr>
      <w:r w:rsidRPr="007F2C2A">
        <w:rPr>
          <w:lang w:val="ka-GE"/>
        </w:rPr>
        <w:t xml:space="preserve">M1 = </w:t>
      </w:r>
      <w:r w:rsidRPr="007F2C2A">
        <w:rPr>
          <w:rFonts w:eastAsiaTheme="minorEastAsia"/>
          <w:lang w:val="ka-GE"/>
        </w:rPr>
        <w:t xml:space="preserve">0,59 · 4 + 0,7 · 0 + 0,42 · 1 = 2,78 </w:t>
      </w:r>
      <w:r w:rsidRPr="007F2C2A">
        <w:rPr>
          <w:rFonts w:ascii="Sylfaen" w:hAnsi="Sylfaen" w:cs="Sylfaen"/>
          <w:lang w:val="ka-GE"/>
        </w:rPr>
        <w:t>გ</w:t>
      </w:r>
      <w:r w:rsidRPr="007F2C2A">
        <w:rPr>
          <w:lang w:val="ka-GE"/>
        </w:rPr>
        <w:t>;</w:t>
      </w:r>
    </w:p>
    <w:p w14:paraId="1E615D6F" w14:textId="77777777" w:rsidR="00CD64B5" w:rsidRPr="007F2C2A" w:rsidRDefault="00CD64B5" w:rsidP="00CD64B5">
      <w:pPr>
        <w:spacing w:before="120" w:after="120"/>
        <w:rPr>
          <w:lang w:val="ka-GE"/>
        </w:rPr>
      </w:pPr>
      <w:r w:rsidRPr="007F2C2A">
        <w:rPr>
          <w:lang w:val="ka-GE"/>
        </w:rPr>
        <w:t xml:space="preserve">M2 = </w:t>
      </w:r>
      <w:r w:rsidRPr="007F2C2A">
        <w:rPr>
          <w:rFonts w:eastAsiaTheme="minorEastAsia"/>
          <w:lang w:val="ka-GE"/>
        </w:rPr>
        <w:t xml:space="preserve">0,7 · 0 + 0,42 · 1 = 0,42 </w:t>
      </w:r>
      <w:r w:rsidRPr="007F2C2A">
        <w:rPr>
          <w:rFonts w:ascii="Sylfaen" w:hAnsi="Sylfaen" w:cs="Sylfaen"/>
          <w:lang w:val="ka-GE"/>
        </w:rPr>
        <w:t>გ</w:t>
      </w:r>
      <w:r w:rsidRPr="007F2C2A">
        <w:rPr>
          <w:lang w:val="ka-GE"/>
        </w:rPr>
        <w:t>;</w:t>
      </w:r>
    </w:p>
    <w:p w14:paraId="184A22EC" w14:textId="77777777" w:rsidR="00CD64B5" w:rsidRPr="007F2C2A" w:rsidRDefault="00CD64B5" w:rsidP="00CD64B5">
      <w:pPr>
        <w:spacing w:before="120" w:after="120"/>
        <w:rPr>
          <w:lang w:val="ka-GE"/>
        </w:rPr>
      </w:pPr>
      <w:r w:rsidRPr="007F2C2A">
        <w:rPr>
          <w:lang w:val="ka-GE"/>
        </w:rPr>
        <w:t xml:space="preserve">M2732 = </w:t>
      </w:r>
      <w:r w:rsidRPr="007F2C2A">
        <w:rPr>
          <w:rFonts w:eastAsiaTheme="minorEastAsia"/>
          <w:lang w:val="ka-GE"/>
        </w:rPr>
        <w:t>(2,78 + 0,42) · 366 · 10 · 10-6 = 0,011712</w:t>
      </w:r>
      <w:r w:rsidRPr="007F2C2A">
        <w:rPr>
          <w:rFonts w:ascii="Sylfaen" w:hAnsi="Sylfaen" w:cs="Sylfaen"/>
          <w:lang w:val="ka-GE"/>
        </w:rPr>
        <w:t>ტ</w:t>
      </w:r>
      <w:r w:rsidRPr="007F2C2A">
        <w:rPr>
          <w:lang w:val="ka-GE"/>
        </w:rPr>
        <w:t>/</w:t>
      </w:r>
      <w:r w:rsidRPr="007F2C2A">
        <w:rPr>
          <w:rFonts w:ascii="Sylfaen" w:hAnsi="Sylfaen" w:cs="Sylfaen"/>
          <w:lang w:val="ka-GE"/>
        </w:rPr>
        <w:t>წელ</w:t>
      </w:r>
      <w:r w:rsidRPr="007F2C2A">
        <w:rPr>
          <w:lang w:val="ka-GE"/>
        </w:rPr>
        <w:t>;</w:t>
      </w:r>
    </w:p>
    <w:p w14:paraId="6F2A8907" w14:textId="77777777" w:rsidR="00CD64B5" w:rsidRPr="007F2C2A" w:rsidRDefault="00CD64B5" w:rsidP="00CD64B5">
      <w:pPr>
        <w:spacing w:before="120" w:after="120"/>
        <w:rPr>
          <w:lang w:val="ka-GE"/>
        </w:rPr>
      </w:pPr>
      <w:r w:rsidRPr="007F2C2A">
        <w:rPr>
          <w:lang w:val="ka-GE"/>
        </w:rPr>
        <w:t xml:space="preserve">G2732 = </w:t>
      </w:r>
      <w:r w:rsidRPr="007F2C2A">
        <w:rPr>
          <w:rFonts w:eastAsiaTheme="minorEastAsia"/>
          <w:lang w:val="ka-GE"/>
        </w:rPr>
        <w:t xml:space="preserve">(2,78 · 5 + 0,42 · 5) / 3600 = 0,0044444 </w:t>
      </w:r>
      <w:r w:rsidRPr="007F2C2A">
        <w:rPr>
          <w:rFonts w:ascii="Sylfaen" w:hAnsi="Sylfaen" w:cs="Sylfaen"/>
          <w:lang w:val="ka-GE"/>
        </w:rPr>
        <w:t>გ</w:t>
      </w:r>
      <w:r w:rsidRPr="007F2C2A">
        <w:rPr>
          <w:lang w:val="ka-GE"/>
        </w:rPr>
        <w:t>/</w:t>
      </w:r>
      <w:r w:rsidRPr="007F2C2A">
        <w:rPr>
          <w:rFonts w:ascii="Sylfaen" w:hAnsi="Sylfaen" w:cs="Sylfaen"/>
          <w:lang w:val="ka-GE"/>
        </w:rPr>
        <w:t>წმ</w:t>
      </w:r>
      <w:r w:rsidRPr="007F2C2A">
        <w:rPr>
          <w:lang w:val="ka-GE"/>
        </w:rPr>
        <w:t>.</w:t>
      </w:r>
    </w:p>
    <w:p w14:paraId="4DD7D4D1" w14:textId="77777777" w:rsidR="00CD64B5" w:rsidRPr="001352AB" w:rsidRDefault="00CD64B5" w:rsidP="00CD64B5">
      <w:pPr>
        <w:spacing w:before="120" w:after="120"/>
      </w:pPr>
      <w:bookmarkStart w:id="273" w:name="_Toc419823078"/>
      <w:r w:rsidRPr="001352AB">
        <w:rPr>
          <w:rFonts w:ascii="Sylfaen" w:eastAsiaTheme="majorEastAsia" w:hAnsi="Sylfaen" w:cs="Sylfaen"/>
        </w:rPr>
        <w:t>ატმოსფერულ</w:t>
      </w:r>
      <w:r w:rsidRPr="001352AB">
        <w:rPr>
          <w:rFonts w:eastAsiaTheme="majorEastAsia"/>
        </w:rPr>
        <w:t>-</w:t>
      </w:r>
      <w:r w:rsidRPr="001352AB">
        <w:rPr>
          <w:rFonts w:ascii="Sylfaen" w:eastAsiaTheme="majorEastAsia" w:hAnsi="Sylfaen" w:cs="Sylfaen"/>
        </w:rPr>
        <w:t>ჰაერში</w:t>
      </w:r>
      <w:r w:rsidRPr="001352AB">
        <w:rPr>
          <w:rFonts w:eastAsiaTheme="majorEastAsia"/>
        </w:rPr>
        <w:t xml:space="preserve"> </w:t>
      </w:r>
      <w:r w:rsidRPr="001352AB">
        <w:rPr>
          <w:rFonts w:ascii="Sylfaen" w:eastAsiaTheme="majorEastAsia" w:hAnsi="Sylfaen" w:cs="Sylfaen"/>
        </w:rPr>
        <w:t>მავნე</w:t>
      </w:r>
      <w:r w:rsidRPr="001352AB">
        <w:rPr>
          <w:rFonts w:eastAsiaTheme="majorEastAsia"/>
        </w:rPr>
        <w:t xml:space="preserve"> </w:t>
      </w:r>
      <w:r w:rsidRPr="001352AB">
        <w:rPr>
          <w:rFonts w:ascii="Sylfaen" w:eastAsiaTheme="majorEastAsia" w:hAnsi="Sylfaen" w:cs="Sylfaen"/>
        </w:rPr>
        <w:t>ნივთიერებათა</w:t>
      </w:r>
      <w:r w:rsidRPr="001352AB">
        <w:rPr>
          <w:rFonts w:eastAsiaTheme="majorEastAsia"/>
        </w:rPr>
        <w:t xml:space="preserve"> </w:t>
      </w:r>
      <w:r w:rsidRPr="001352AB">
        <w:rPr>
          <w:rFonts w:ascii="Sylfaen" w:eastAsiaTheme="majorEastAsia" w:hAnsi="Sylfaen" w:cs="Sylfaen"/>
        </w:rPr>
        <w:t>ზღვრულად</w:t>
      </w:r>
      <w:r w:rsidRPr="001352AB">
        <w:rPr>
          <w:rFonts w:eastAsiaTheme="majorEastAsia"/>
        </w:rPr>
        <w:t xml:space="preserve"> </w:t>
      </w:r>
      <w:r w:rsidRPr="001352AB">
        <w:rPr>
          <w:rFonts w:ascii="Sylfaen" w:eastAsiaTheme="majorEastAsia" w:hAnsi="Sylfaen" w:cs="Sylfaen"/>
        </w:rPr>
        <w:t>დასაშვები</w:t>
      </w:r>
      <w:r w:rsidRPr="001352AB">
        <w:rPr>
          <w:rFonts w:eastAsiaTheme="majorEastAsia"/>
        </w:rPr>
        <w:t xml:space="preserve"> </w:t>
      </w:r>
      <w:r w:rsidRPr="001352AB">
        <w:rPr>
          <w:rFonts w:ascii="Sylfaen" w:eastAsiaTheme="majorEastAsia" w:hAnsi="Sylfaen" w:cs="Sylfaen"/>
        </w:rPr>
        <w:t>კონცენტრაციები</w:t>
      </w:r>
      <w:bookmarkEnd w:id="273"/>
      <w:r w:rsidRPr="001352AB">
        <w:rPr>
          <w:rFonts w:eastAsiaTheme="majorEastAsia"/>
        </w:rPr>
        <w:t xml:space="preserve"> </w:t>
      </w:r>
    </w:p>
    <w:p w14:paraId="6C0C38C1" w14:textId="77777777" w:rsidR="00CD64B5" w:rsidRPr="001352AB" w:rsidRDefault="00CD64B5" w:rsidP="00CD64B5">
      <w:pPr>
        <w:spacing w:before="120" w:after="120"/>
        <w:rPr>
          <w:rFonts w:eastAsiaTheme="minorEastAsia"/>
        </w:rPr>
      </w:pPr>
      <w:r w:rsidRPr="001352AB">
        <w:rPr>
          <w:rFonts w:ascii="Sylfaen" w:hAnsi="Sylfaen" w:cs="Sylfaen"/>
        </w:rPr>
        <w:lastRenderedPageBreak/>
        <w:t>საწარმოს</w:t>
      </w:r>
      <w:r w:rsidRPr="001352AB">
        <w:t xml:space="preserve"> </w:t>
      </w:r>
      <w:r w:rsidRPr="001352AB">
        <w:rPr>
          <w:rFonts w:ascii="Sylfaen" w:hAnsi="Sylfaen" w:cs="Sylfaen"/>
        </w:rPr>
        <w:t>ექსპლოატაციის</w:t>
      </w:r>
      <w:r w:rsidRPr="001352AB">
        <w:t xml:space="preserve"> </w:t>
      </w:r>
      <w:r w:rsidRPr="001352AB">
        <w:rPr>
          <w:rFonts w:ascii="Sylfaen" w:hAnsi="Sylfaen" w:cs="Sylfaen"/>
        </w:rPr>
        <w:t>პროცესში</w:t>
      </w:r>
      <w:r w:rsidRPr="001352AB">
        <w:t xml:space="preserve"> </w:t>
      </w:r>
      <w:r w:rsidRPr="001352AB">
        <w:rPr>
          <w:rFonts w:ascii="Sylfaen" w:hAnsi="Sylfaen" w:cs="Sylfaen"/>
        </w:rPr>
        <w:t>მოსალოდნელია</w:t>
      </w:r>
      <w:r w:rsidRPr="001352AB">
        <w:t xml:space="preserve"> </w:t>
      </w:r>
      <w:r w:rsidRPr="001352AB">
        <w:rPr>
          <w:rFonts w:ascii="Sylfaen" w:hAnsi="Sylfaen" w:cs="Sylfaen"/>
        </w:rPr>
        <w:t>მავნე</w:t>
      </w:r>
      <w:r w:rsidRPr="001352AB">
        <w:t xml:space="preserve"> </w:t>
      </w:r>
      <w:r w:rsidRPr="001352AB">
        <w:rPr>
          <w:rFonts w:ascii="Sylfaen" w:hAnsi="Sylfaen" w:cs="Sylfaen"/>
        </w:rPr>
        <w:t>ნივთიერების</w:t>
      </w:r>
      <w:r w:rsidRPr="001352AB">
        <w:t xml:space="preserve"> </w:t>
      </w:r>
      <w:r w:rsidRPr="001352AB">
        <w:rPr>
          <w:rFonts w:ascii="Sylfaen" w:hAnsi="Sylfaen" w:cs="Sylfaen"/>
        </w:rPr>
        <w:t>ემისია</w:t>
      </w:r>
      <w:r w:rsidRPr="001352AB">
        <w:t xml:space="preserve">, </w:t>
      </w:r>
      <w:r w:rsidRPr="001352AB">
        <w:rPr>
          <w:rFonts w:ascii="Sylfaen" w:hAnsi="Sylfaen" w:cs="Sylfaen"/>
        </w:rPr>
        <w:t>რომლის</w:t>
      </w:r>
      <w:r w:rsidRPr="001352AB">
        <w:t xml:space="preserve"> </w:t>
      </w:r>
      <w:r w:rsidRPr="001352AB">
        <w:rPr>
          <w:rFonts w:ascii="Sylfaen" w:hAnsi="Sylfaen" w:cs="Sylfaen"/>
        </w:rPr>
        <w:t>მაქსიმალური</w:t>
      </w:r>
      <w:r w:rsidRPr="001352AB">
        <w:t xml:space="preserve"> </w:t>
      </w:r>
      <w:r w:rsidRPr="001352AB">
        <w:rPr>
          <w:rFonts w:ascii="Sylfaen" w:hAnsi="Sylfaen" w:cs="Sylfaen"/>
        </w:rPr>
        <w:t>ერთჯერადი</w:t>
      </w:r>
      <w:r w:rsidRPr="001352AB">
        <w:t xml:space="preserve"> </w:t>
      </w:r>
      <w:r w:rsidRPr="001352AB">
        <w:rPr>
          <w:rFonts w:ascii="Sylfaen" w:hAnsi="Sylfaen" w:cs="Sylfaen"/>
        </w:rPr>
        <w:t>და</w:t>
      </w:r>
      <w:r w:rsidRPr="001352AB">
        <w:t xml:space="preserve"> </w:t>
      </w:r>
      <w:r w:rsidRPr="001352AB">
        <w:rPr>
          <w:rFonts w:ascii="Sylfaen" w:hAnsi="Sylfaen" w:cs="Sylfaen"/>
        </w:rPr>
        <w:t>საშუალო</w:t>
      </w:r>
      <w:r w:rsidRPr="001352AB">
        <w:t xml:space="preserve"> </w:t>
      </w:r>
      <w:r w:rsidRPr="001352AB">
        <w:rPr>
          <w:rFonts w:ascii="Sylfaen" w:hAnsi="Sylfaen" w:cs="Sylfaen"/>
        </w:rPr>
        <w:t>დღეღამური</w:t>
      </w:r>
      <w:r w:rsidRPr="001352AB">
        <w:t xml:space="preserve"> </w:t>
      </w:r>
      <w:r w:rsidRPr="001352AB">
        <w:rPr>
          <w:rFonts w:ascii="Sylfaen" w:hAnsi="Sylfaen" w:cs="Sylfaen"/>
        </w:rPr>
        <w:t>ზღვრულად</w:t>
      </w:r>
      <w:r w:rsidRPr="001352AB">
        <w:t xml:space="preserve"> </w:t>
      </w:r>
      <w:r w:rsidRPr="001352AB">
        <w:rPr>
          <w:rFonts w:ascii="Sylfaen" w:hAnsi="Sylfaen" w:cs="Sylfaen"/>
        </w:rPr>
        <w:t>დასაშვები</w:t>
      </w:r>
      <w:r w:rsidRPr="001352AB">
        <w:t xml:space="preserve"> </w:t>
      </w:r>
      <w:r w:rsidRPr="001352AB">
        <w:rPr>
          <w:rFonts w:ascii="Sylfaen" w:hAnsi="Sylfaen" w:cs="Sylfaen"/>
        </w:rPr>
        <w:t>კონცენტრაციები</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ცხრილში</w:t>
      </w:r>
      <w:r w:rsidRPr="001352AB">
        <w:t xml:space="preserve"> 7.1-18</w:t>
      </w:r>
    </w:p>
    <w:p w14:paraId="2BEA345C" w14:textId="77777777" w:rsidR="00CD64B5" w:rsidRPr="001352AB" w:rsidRDefault="00CD64B5" w:rsidP="00CD64B5">
      <w:pPr>
        <w:spacing w:before="120" w:after="120"/>
      </w:pPr>
      <w:bookmarkStart w:id="274" w:name="_Toc436594179"/>
      <w:r w:rsidRPr="001352AB">
        <w:rPr>
          <w:rFonts w:ascii="Sylfaen" w:hAnsi="Sylfaen" w:cs="Sylfaen"/>
        </w:rPr>
        <w:t>ცხრილი</w:t>
      </w:r>
      <w:r w:rsidRPr="001352AB">
        <w:t xml:space="preserve"> 7.1-18.</w:t>
      </w:r>
      <w:r w:rsidRPr="001352AB">
        <w:tab/>
      </w:r>
      <w:r w:rsidRPr="001352AB">
        <w:rPr>
          <w:rFonts w:ascii="Sylfaen" w:hAnsi="Sylfaen" w:cs="Sylfaen"/>
        </w:rPr>
        <w:t>ატმოსფერულ</w:t>
      </w:r>
      <w:r w:rsidRPr="001352AB">
        <w:t xml:space="preserve"> </w:t>
      </w:r>
      <w:r w:rsidRPr="001352AB">
        <w:rPr>
          <w:rFonts w:ascii="Sylfaen" w:hAnsi="Sylfaen" w:cs="Sylfaen"/>
        </w:rPr>
        <w:t>ჰაერში</w:t>
      </w:r>
      <w:r w:rsidRPr="001352AB">
        <w:t xml:space="preserve"> </w:t>
      </w:r>
      <w:r w:rsidRPr="001352AB">
        <w:rPr>
          <w:rFonts w:ascii="Sylfaen" w:hAnsi="Sylfaen" w:cs="Sylfaen"/>
        </w:rPr>
        <w:t>მავნე</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ზღვრულად</w:t>
      </w:r>
      <w:r w:rsidRPr="001352AB">
        <w:t xml:space="preserve"> </w:t>
      </w:r>
      <w:r w:rsidRPr="001352AB">
        <w:rPr>
          <w:rFonts w:ascii="Sylfaen" w:hAnsi="Sylfaen" w:cs="Sylfaen"/>
        </w:rPr>
        <w:t>დასაშვები</w:t>
      </w:r>
      <w:r w:rsidRPr="001352AB">
        <w:t xml:space="preserve"> </w:t>
      </w:r>
      <w:r w:rsidRPr="001352AB">
        <w:rPr>
          <w:rFonts w:ascii="Sylfaen" w:hAnsi="Sylfaen" w:cs="Sylfaen"/>
        </w:rPr>
        <w:t>კონცენტრაციები</w:t>
      </w:r>
      <w:bookmarkEnd w:id="27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4702"/>
        <w:gridCol w:w="1330"/>
        <w:gridCol w:w="1772"/>
        <w:gridCol w:w="1943"/>
      </w:tblGrid>
      <w:tr w:rsidR="00CD64B5" w:rsidRPr="007F2C2A" w14:paraId="5FA2B3A8" w14:textId="77777777" w:rsidTr="00CD64B5">
        <w:trPr>
          <w:cantSplit/>
          <w:trHeight w:val="184"/>
          <w:jc w:val="center"/>
        </w:trPr>
        <w:tc>
          <w:tcPr>
            <w:tcW w:w="309"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2E764CB" w14:textId="77777777" w:rsidR="00CD64B5" w:rsidRPr="007F2C2A" w:rsidRDefault="00CD64B5" w:rsidP="00CD64B5">
            <w:pPr>
              <w:rPr>
                <w:sz w:val="20"/>
                <w:lang w:eastAsia="en-US"/>
              </w:rPr>
            </w:pPr>
            <w:r w:rsidRPr="007F2C2A">
              <w:rPr>
                <w:rFonts w:eastAsiaTheme="minorEastAsia"/>
                <w:sz w:val="20"/>
              </w:rPr>
              <w:t>№</w:t>
            </w:r>
          </w:p>
        </w:tc>
        <w:tc>
          <w:tcPr>
            <w:tcW w:w="2263"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1212A281" w14:textId="77777777" w:rsidR="00CD64B5" w:rsidRPr="007F2C2A" w:rsidRDefault="00CD64B5" w:rsidP="00CD64B5">
            <w:pPr>
              <w:rPr>
                <w:sz w:val="20"/>
              </w:rPr>
            </w:pPr>
            <w:r w:rsidRPr="007F2C2A">
              <w:rPr>
                <w:rFonts w:ascii="Sylfaen" w:eastAsiaTheme="minorEastAsia" w:hAnsi="Sylfaen" w:cs="Sylfaen"/>
                <w:sz w:val="20"/>
              </w:rPr>
              <w:t>მავნე</w:t>
            </w:r>
            <w:r w:rsidRPr="007F2C2A">
              <w:rPr>
                <w:rFonts w:eastAsiaTheme="minorEastAsia"/>
                <w:sz w:val="20"/>
              </w:rPr>
              <w:t xml:space="preserve"> </w:t>
            </w:r>
            <w:r w:rsidRPr="007F2C2A">
              <w:rPr>
                <w:rFonts w:ascii="Sylfaen" w:eastAsiaTheme="minorEastAsia" w:hAnsi="Sylfaen" w:cs="Sylfaen"/>
                <w:sz w:val="20"/>
              </w:rPr>
              <w:t>ნივთიერების</w:t>
            </w:r>
            <w:r w:rsidRPr="007F2C2A">
              <w:rPr>
                <w:rFonts w:eastAsiaTheme="minorEastAsia"/>
                <w:sz w:val="20"/>
              </w:rPr>
              <w:t xml:space="preserve"> </w:t>
            </w:r>
            <w:r w:rsidRPr="007F2C2A">
              <w:rPr>
                <w:rFonts w:ascii="Sylfaen" w:eastAsiaTheme="minorEastAsia" w:hAnsi="Sylfaen" w:cs="Sylfaen"/>
                <w:sz w:val="20"/>
              </w:rPr>
              <w:t>დასახელება</w:t>
            </w:r>
          </w:p>
        </w:tc>
        <w:tc>
          <w:tcPr>
            <w:tcW w:w="640"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FF0F1C6" w14:textId="77777777" w:rsidR="00CD64B5" w:rsidRPr="007F2C2A" w:rsidRDefault="00CD64B5" w:rsidP="00CD64B5">
            <w:pPr>
              <w:rPr>
                <w:rFonts w:eastAsiaTheme="minorEastAsia"/>
                <w:sz w:val="20"/>
              </w:rPr>
            </w:pPr>
            <w:r w:rsidRPr="007F2C2A">
              <w:rPr>
                <w:rFonts w:ascii="Sylfaen" w:eastAsiaTheme="minorEastAsia" w:hAnsi="Sylfaen" w:cs="Sylfaen"/>
                <w:sz w:val="20"/>
              </w:rPr>
              <w:t>კოდი</w:t>
            </w:r>
            <w:r w:rsidRPr="007F2C2A">
              <w:rPr>
                <w:rFonts w:eastAsiaTheme="minorEastAsia"/>
                <w:sz w:val="20"/>
              </w:rPr>
              <w:t xml:space="preserve"> </w:t>
            </w:r>
          </w:p>
        </w:tc>
        <w:tc>
          <w:tcPr>
            <w:tcW w:w="1789"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9781AA4" w14:textId="77777777" w:rsidR="00CD64B5" w:rsidRPr="007F2C2A" w:rsidRDefault="00CD64B5" w:rsidP="00CD64B5">
            <w:pPr>
              <w:rPr>
                <w:rFonts w:eastAsiaTheme="minorEastAsia"/>
                <w:sz w:val="20"/>
              </w:rPr>
            </w:pPr>
            <w:r w:rsidRPr="007F2C2A">
              <w:rPr>
                <w:rFonts w:ascii="Sylfaen" w:eastAsiaTheme="minorEastAsia" w:hAnsi="Sylfaen" w:cs="Sylfaen"/>
                <w:sz w:val="20"/>
              </w:rPr>
              <w:t>ზღვრულად</w:t>
            </w:r>
            <w:r w:rsidRPr="007F2C2A">
              <w:rPr>
                <w:rFonts w:eastAsiaTheme="minorEastAsia"/>
                <w:sz w:val="20"/>
              </w:rPr>
              <w:t xml:space="preserve"> </w:t>
            </w:r>
            <w:r w:rsidRPr="007F2C2A">
              <w:rPr>
                <w:rFonts w:ascii="Sylfaen" w:eastAsiaTheme="minorEastAsia" w:hAnsi="Sylfaen" w:cs="Sylfaen"/>
                <w:sz w:val="20"/>
              </w:rPr>
              <w:t>დასაშვები</w:t>
            </w:r>
            <w:r w:rsidRPr="007F2C2A">
              <w:rPr>
                <w:rFonts w:eastAsiaTheme="minorEastAsia"/>
                <w:sz w:val="20"/>
              </w:rPr>
              <w:t xml:space="preserve"> </w:t>
            </w:r>
            <w:r w:rsidRPr="007F2C2A">
              <w:rPr>
                <w:rFonts w:ascii="Sylfaen" w:eastAsiaTheme="minorEastAsia" w:hAnsi="Sylfaen" w:cs="Sylfaen"/>
                <w:sz w:val="20"/>
              </w:rPr>
              <w:t>კონცენტრაცია</w:t>
            </w:r>
            <w:r w:rsidRPr="007F2C2A">
              <w:rPr>
                <w:rFonts w:eastAsiaTheme="minorEastAsia"/>
                <w:sz w:val="20"/>
              </w:rPr>
              <w:t xml:space="preserve"> (</w:t>
            </w:r>
            <w:r w:rsidRPr="007F2C2A">
              <w:rPr>
                <w:rFonts w:ascii="Sylfaen" w:eastAsiaTheme="minorEastAsia" w:hAnsi="Sylfaen" w:cs="Sylfaen"/>
                <w:sz w:val="20"/>
              </w:rPr>
              <w:t>ზ</w:t>
            </w:r>
            <w:r w:rsidRPr="007F2C2A">
              <w:rPr>
                <w:rFonts w:eastAsiaTheme="minorEastAsia"/>
                <w:sz w:val="20"/>
              </w:rPr>
              <w:t>.</w:t>
            </w:r>
            <w:r w:rsidRPr="007F2C2A">
              <w:rPr>
                <w:rFonts w:ascii="Sylfaen" w:eastAsiaTheme="minorEastAsia" w:hAnsi="Sylfaen" w:cs="Sylfaen"/>
                <w:sz w:val="20"/>
              </w:rPr>
              <w:t>დ</w:t>
            </w:r>
            <w:r w:rsidRPr="007F2C2A">
              <w:rPr>
                <w:rFonts w:eastAsiaTheme="minorEastAsia"/>
                <w:sz w:val="20"/>
              </w:rPr>
              <w:t>.</w:t>
            </w:r>
            <w:r w:rsidRPr="007F2C2A">
              <w:rPr>
                <w:rFonts w:ascii="Sylfaen" w:eastAsiaTheme="minorEastAsia" w:hAnsi="Sylfaen" w:cs="Sylfaen"/>
                <w:sz w:val="20"/>
              </w:rPr>
              <w:t>კ</w:t>
            </w:r>
            <w:r w:rsidRPr="007F2C2A">
              <w:rPr>
                <w:rFonts w:eastAsiaTheme="minorEastAsia"/>
                <w:sz w:val="20"/>
              </w:rPr>
              <w:t xml:space="preserve">) </w:t>
            </w:r>
            <w:r w:rsidRPr="007F2C2A">
              <w:rPr>
                <w:rFonts w:ascii="Sylfaen" w:eastAsiaTheme="minorEastAsia" w:hAnsi="Sylfaen" w:cs="Sylfaen"/>
                <w:sz w:val="20"/>
              </w:rPr>
              <w:t>მგ</w:t>
            </w:r>
            <w:r w:rsidRPr="007F2C2A">
              <w:rPr>
                <w:rFonts w:eastAsiaTheme="minorEastAsia"/>
                <w:sz w:val="20"/>
              </w:rPr>
              <w:t>/</w:t>
            </w:r>
            <w:r w:rsidRPr="007F2C2A">
              <w:rPr>
                <w:rFonts w:ascii="Sylfaen" w:eastAsiaTheme="minorEastAsia" w:hAnsi="Sylfaen" w:cs="Sylfaen"/>
                <w:sz w:val="20"/>
              </w:rPr>
              <w:t>მ</w:t>
            </w:r>
            <w:r w:rsidRPr="007F2C2A">
              <w:rPr>
                <w:rFonts w:eastAsiaTheme="minorEastAsia"/>
                <w:sz w:val="20"/>
              </w:rPr>
              <w:t>3</w:t>
            </w:r>
          </w:p>
        </w:tc>
      </w:tr>
      <w:tr w:rsidR="00CD64B5" w:rsidRPr="007F2C2A" w14:paraId="6ACEBFB1" w14:textId="77777777" w:rsidTr="00CD64B5">
        <w:trPr>
          <w:cantSplit/>
          <w:trHeight w:val="1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32911" w14:textId="77777777" w:rsidR="00CD64B5" w:rsidRPr="007F2C2A" w:rsidRDefault="00CD64B5" w:rsidP="00CD64B5">
            <w:pPr>
              <w:rPr>
                <w:rFonts w:eastAsiaTheme="minorHAnsi"/>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DB66BD" w14:textId="77777777" w:rsidR="00CD64B5" w:rsidRPr="007F2C2A" w:rsidRDefault="00CD64B5" w:rsidP="00CD64B5">
            <w:pPr>
              <w:rPr>
                <w:rFonts w:eastAsiaTheme="minorHAnsi"/>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013A5A" w14:textId="77777777" w:rsidR="00CD64B5" w:rsidRPr="007F2C2A" w:rsidRDefault="00CD64B5" w:rsidP="00CD64B5">
            <w:pPr>
              <w:rPr>
                <w:rFonts w:eastAsiaTheme="minorHAnsi"/>
                <w:sz w:val="20"/>
              </w:rPr>
            </w:pPr>
          </w:p>
        </w:tc>
        <w:tc>
          <w:tcPr>
            <w:tcW w:w="85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828526E" w14:textId="77777777" w:rsidR="00CD64B5" w:rsidRPr="007F2C2A" w:rsidRDefault="00CD64B5" w:rsidP="00CD64B5">
            <w:pPr>
              <w:rPr>
                <w:rFonts w:eastAsiaTheme="minorEastAsia"/>
                <w:sz w:val="20"/>
              </w:rPr>
            </w:pPr>
            <w:r w:rsidRPr="007F2C2A">
              <w:rPr>
                <w:rFonts w:ascii="Sylfaen" w:eastAsiaTheme="minorEastAsia" w:hAnsi="Sylfaen" w:cs="Sylfaen"/>
                <w:sz w:val="20"/>
              </w:rPr>
              <w:t>მაქსიმალური</w:t>
            </w:r>
            <w:r w:rsidRPr="007F2C2A">
              <w:rPr>
                <w:rFonts w:eastAsiaTheme="minorEastAsia"/>
                <w:sz w:val="20"/>
              </w:rPr>
              <w:t xml:space="preserve"> </w:t>
            </w:r>
            <w:r w:rsidRPr="007F2C2A">
              <w:rPr>
                <w:rFonts w:ascii="Sylfaen" w:eastAsiaTheme="minorEastAsia" w:hAnsi="Sylfaen" w:cs="Sylfaen"/>
                <w:sz w:val="20"/>
              </w:rPr>
              <w:t>ერთჯერადი</w:t>
            </w:r>
          </w:p>
        </w:tc>
        <w:tc>
          <w:tcPr>
            <w:tcW w:w="93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DEF2798" w14:textId="77777777" w:rsidR="00CD64B5" w:rsidRPr="007F2C2A" w:rsidRDefault="00CD64B5" w:rsidP="00CD64B5">
            <w:pPr>
              <w:rPr>
                <w:rFonts w:eastAsiaTheme="minorEastAsia"/>
                <w:sz w:val="20"/>
              </w:rPr>
            </w:pPr>
            <w:r w:rsidRPr="007F2C2A">
              <w:rPr>
                <w:rFonts w:ascii="Sylfaen" w:eastAsiaTheme="minorEastAsia" w:hAnsi="Sylfaen" w:cs="Sylfaen"/>
                <w:sz w:val="20"/>
              </w:rPr>
              <w:t>საშუალო</w:t>
            </w:r>
            <w:r w:rsidRPr="007F2C2A">
              <w:rPr>
                <w:rFonts w:eastAsiaTheme="minorEastAsia"/>
                <w:sz w:val="20"/>
              </w:rPr>
              <w:t xml:space="preserve"> </w:t>
            </w:r>
            <w:r w:rsidRPr="007F2C2A">
              <w:rPr>
                <w:rFonts w:ascii="Sylfaen" w:eastAsiaTheme="minorEastAsia" w:hAnsi="Sylfaen" w:cs="Sylfaen"/>
                <w:sz w:val="20"/>
              </w:rPr>
              <w:t>დღეღამური</w:t>
            </w:r>
          </w:p>
        </w:tc>
      </w:tr>
      <w:tr w:rsidR="00CD64B5" w:rsidRPr="007F2C2A" w14:paraId="49DD2398" w14:textId="77777777" w:rsidTr="00CD64B5">
        <w:trPr>
          <w:trHeight w:val="184"/>
          <w:jc w:val="center"/>
        </w:trPr>
        <w:tc>
          <w:tcPr>
            <w:tcW w:w="309" w:type="pct"/>
            <w:tcBorders>
              <w:top w:val="single" w:sz="4" w:space="0" w:color="auto"/>
              <w:left w:val="single" w:sz="4" w:space="0" w:color="auto"/>
              <w:bottom w:val="single" w:sz="4" w:space="0" w:color="auto"/>
              <w:right w:val="single" w:sz="4" w:space="0" w:color="auto"/>
            </w:tcBorders>
            <w:hideMark/>
          </w:tcPr>
          <w:p w14:paraId="189CE276" w14:textId="77777777" w:rsidR="00CD64B5" w:rsidRPr="007F2C2A" w:rsidRDefault="00CD64B5" w:rsidP="00CD64B5">
            <w:pPr>
              <w:rPr>
                <w:rFonts w:eastAsiaTheme="minorEastAsia"/>
                <w:sz w:val="20"/>
              </w:rPr>
            </w:pPr>
            <w:r w:rsidRPr="007F2C2A">
              <w:rPr>
                <w:rFonts w:eastAsiaTheme="minorEastAsia"/>
                <w:sz w:val="20"/>
              </w:rPr>
              <w:t>1</w:t>
            </w:r>
          </w:p>
        </w:tc>
        <w:tc>
          <w:tcPr>
            <w:tcW w:w="2263" w:type="pct"/>
            <w:tcBorders>
              <w:top w:val="single" w:sz="4" w:space="0" w:color="auto"/>
              <w:left w:val="single" w:sz="4" w:space="0" w:color="auto"/>
              <w:bottom w:val="single" w:sz="4" w:space="0" w:color="auto"/>
              <w:right w:val="single" w:sz="4" w:space="0" w:color="auto"/>
            </w:tcBorders>
            <w:hideMark/>
          </w:tcPr>
          <w:p w14:paraId="55A897C4" w14:textId="77777777" w:rsidR="00CD64B5" w:rsidRPr="007F2C2A" w:rsidRDefault="00CD64B5" w:rsidP="00CD64B5">
            <w:pPr>
              <w:rPr>
                <w:rFonts w:eastAsiaTheme="minorEastAsia"/>
                <w:sz w:val="20"/>
              </w:rPr>
            </w:pPr>
            <w:r w:rsidRPr="007F2C2A">
              <w:rPr>
                <w:rFonts w:ascii="Sylfaen" w:eastAsiaTheme="minorEastAsia" w:hAnsi="Sylfaen" w:cs="Sylfaen"/>
                <w:sz w:val="20"/>
              </w:rPr>
              <w:t>აზოტის</w:t>
            </w:r>
            <w:r w:rsidRPr="007F2C2A">
              <w:rPr>
                <w:rFonts w:eastAsiaTheme="minorEastAsia"/>
                <w:sz w:val="20"/>
              </w:rPr>
              <w:t xml:space="preserve"> </w:t>
            </w:r>
            <w:r w:rsidRPr="007F2C2A">
              <w:rPr>
                <w:rFonts w:ascii="Sylfaen" w:eastAsiaTheme="minorEastAsia" w:hAnsi="Sylfaen" w:cs="Sylfaen"/>
                <w:sz w:val="20"/>
              </w:rPr>
              <w:t>დიოქსიდი</w:t>
            </w:r>
          </w:p>
        </w:tc>
        <w:tc>
          <w:tcPr>
            <w:tcW w:w="640" w:type="pct"/>
            <w:tcBorders>
              <w:top w:val="single" w:sz="4" w:space="0" w:color="auto"/>
              <w:left w:val="single" w:sz="4" w:space="0" w:color="auto"/>
              <w:bottom w:val="single" w:sz="4" w:space="0" w:color="auto"/>
              <w:right w:val="single" w:sz="4" w:space="0" w:color="auto"/>
            </w:tcBorders>
            <w:hideMark/>
          </w:tcPr>
          <w:p w14:paraId="3FD31E4F" w14:textId="77777777" w:rsidR="00CD64B5" w:rsidRPr="007F2C2A" w:rsidRDefault="00CD64B5" w:rsidP="00CD64B5">
            <w:pPr>
              <w:rPr>
                <w:rFonts w:eastAsiaTheme="minorEastAsia"/>
                <w:sz w:val="20"/>
              </w:rPr>
            </w:pPr>
            <w:r w:rsidRPr="007F2C2A">
              <w:rPr>
                <w:rFonts w:eastAsiaTheme="minorEastAsia"/>
                <w:sz w:val="20"/>
              </w:rPr>
              <w:t>301</w:t>
            </w:r>
          </w:p>
        </w:tc>
        <w:tc>
          <w:tcPr>
            <w:tcW w:w="853" w:type="pct"/>
            <w:tcBorders>
              <w:top w:val="single" w:sz="4" w:space="0" w:color="auto"/>
              <w:left w:val="single" w:sz="4" w:space="0" w:color="auto"/>
              <w:bottom w:val="single" w:sz="4" w:space="0" w:color="auto"/>
              <w:right w:val="single" w:sz="4" w:space="0" w:color="auto"/>
            </w:tcBorders>
            <w:hideMark/>
          </w:tcPr>
          <w:p w14:paraId="213E89F4" w14:textId="77777777" w:rsidR="00CD64B5" w:rsidRPr="007F2C2A" w:rsidRDefault="00CD64B5" w:rsidP="00CD64B5">
            <w:pPr>
              <w:rPr>
                <w:rFonts w:eastAsiaTheme="minorEastAsia"/>
                <w:sz w:val="20"/>
              </w:rPr>
            </w:pPr>
            <w:r w:rsidRPr="007F2C2A">
              <w:rPr>
                <w:rFonts w:eastAsiaTheme="minorEastAsia"/>
                <w:sz w:val="20"/>
              </w:rPr>
              <w:t>0,2</w:t>
            </w:r>
          </w:p>
        </w:tc>
        <w:tc>
          <w:tcPr>
            <w:tcW w:w="936" w:type="pct"/>
            <w:tcBorders>
              <w:top w:val="single" w:sz="4" w:space="0" w:color="auto"/>
              <w:left w:val="single" w:sz="4" w:space="0" w:color="auto"/>
              <w:bottom w:val="single" w:sz="4" w:space="0" w:color="auto"/>
              <w:right w:val="single" w:sz="4" w:space="0" w:color="auto"/>
            </w:tcBorders>
            <w:hideMark/>
          </w:tcPr>
          <w:p w14:paraId="773F1387" w14:textId="77777777" w:rsidR="00CD64B5" w:rsidRPr="007F2C2A" w:rsidRDefault="00CD64B5" w:rsidP="00CD64B5">
            <w:pPr>
              <w:rPr>
                <w:rFonts w:eastAsiaTheme="minorEastAsia"/>
                <w:sz w:val="20"/>
              </w:rPr>
            </w:pPr>
            <w:r w:rsidRPr="007F2C2A">
              <w:rPr>
                <w:rFonts w:eastAsiaTheme="minorEastAsia"/>
                <w:sz w:val="20"/>
              </w:rPr>
              <w:t>0,04</w:t>
            </w:r>
          </w:p>
        </w:tc>
      </w:tr>
      <w:tr w:rsidR="00CD64B5" w:rsidRPr="007F2C2A" w14:paraId="7CD55615" w14:textId="77777777" w:rsidTr="00CD64B5">
        <w:trPr>
          <w:trHeight w:val="184"/>
          <w:jc w:val="center"/>
        </w:trPr>
        <w:tc>
          <w:tcPr>
            <w:tcW w:w="309" w:type="pct"/>
            <w:tcBorders>
              <w:top w:val="single" w:sz="4" w:space="0" w:color="auto"/>
              <w:left w:val="single" w:sz="4" w:space="0" w:color="auto"/>
              <w:bottom w:val="single" w:sz="4" w:space="0" w:color="auto"/>
              <w:right w:val="single" w:sz="4" w:space="0" w:color="auto"/>
            </w:tcBorders>
            <w:hideMark/>
          </w:tcPr>
          <w:p w14:paraId="43AB5A4E" w14:textId="77777777" w:rsidR="00CD64B5" w:rsidRPr="007F2C2A" w:rsidRDefault="00CD64B5" w:rsidP="00CD64B5">
            <w:pPr>
              <w:rPr>
                <w:rFonts w:eastAsiaTheme="minorEastAsia"/>
                <w:sz w:val="20"/>
              </w:rPr>
            </w:pPr>
            <w:r w:rsidRPr="007F2C2A">
              <w:rPr>
                <w:rFonts w:eastAsiaTheme="minorEastAsia"/>
                <w:sz w:val="20"/>
              </w:rPr>
              <w:t>2</w:t>
            </w:r>
          </w:p>
        </w:tc>
        <w:tc>
          <w:tcPr>
            <w:tcW w:w="2263" w:type="pct"/>
            <w:tcBorders>
              <w:top w:val="single" w:sz="4" w:space="0" w:color="auto"/>
              <w:left w:val="single" w:sz="4" w:space="0" w:color="auto"/>
              <w:bottom w:val="single" w:sz="4" w:space="0" w:color="auto"/>
              <w:right w:val="single" w:sz="4" w:space="0" w:color="auto"/>
            </w:tcBorders>
            <w:hideMark/>
          </w:tcPr>
          <w:p w14:paraId="1FB4453E" w14:textId="77777777" w:rsidR="00CD64B5" w:rsidRPr="007F2C2A" w:rsidRDefault="00CD64B5" w:rsidP="00CD64B5">
            <w:pPr>
              <w:rPr>
                <w:rFonts w:eastAsiaTheme="minorEastAsia"/>
                <w:sz w:val="20"/>
              </w:rPr>
            </w:pPr>
            <w:r w:rsidRPr="007F2C2A">
              <w:rPr>
                <w:rFonts w:ascii="Sylfaen" w:eastAsiaTheme="minorEastAsia" w:hAnsi="Sylfaen" w:cs="Sylfaen"/>
                <w:sz w:val="20"/>
              </w:rPr>
              <w:t>აზოტის</w:t>
            </w:r>
            <w:r w:rsidRPr="007F2C2A">
              <w:rPr>
                <w:rFonts w:eastAsiaTheme="minorEastAsia"/>
                <w:sz w:val="20"/>
              </w:rPr>
              <w:t xml:space="preserve"> </w:t>
            </w:r>
            <w:r w:rsidRPr="007F2C2A">
              <w:rPr>
                <w:rFonts w:ascii="Sylfaen" w:eastAsiaTheme="minorEastAsia" w:hAnsi="Sylfaen" w:cs="Sylfaen"/>
                <w:sz w:val="20"/>
              </w:rPr>
              <w:t>ოქსიდი</w:t>
            </w:r>
          </w:p>
        </w:tc>
        <w:tc>
          <w:tcPr>
            <w:tcW w:w="640" w:type="pct"/>
            <w:tcBorders>
              <w:top w:val="single" w:sz="4" w:space="0" w:color="auto"/>
              <w:left w:val="single" w:sz="4" w:space="0" w:color="auto"/>
              <w:bottom w:val="single" w:sz="4" w:space="0" w:color="auto"/>
              <w:right w:val="single" w:sz="4" w:space="0" w:color="auto"/>
            </w:tcBorders>
            <w:hideMark/>
          </w:tcPr>
          <w:p w14:paraId="61D12C5F" w14:textId="77777777" w:rsidR="00CD64B5" w:rsidRPr="007F2C2A" w:rsidRDefault="00CD64B5" w:rsidP="00CD64B5">
            <w:pPr>
              <w:rPr>
                <w:rFonts w:eastAsiaTheme="minorEastAsia"/>
                <w:sz w:val="20"/>
              </w:rPr>
            </w:pPr>
            <w:r w:rsidRPr="007F2C2A">
              <w:rPr>
                <w:rFonts w:eastAsiaTheme="minorEastAsia"/>
                <w:sz w:val="20"/>
              </w:rPr>
              <w:t>304</w:t>
            </w:r>
          </w:p>
        </w:tc>
        <w:tc>
          <w:tcPr>
            <w:tcW w:w="853" w:type="pct"/>
            <w:tcBorders>
              <w:top w:val="single" w:sz="4" w:space="0" w:color="auto"/>
              <w:left w:val="single" w:sz="4" w:space="0" w:color="auto"/>
              <w:bottom w:val="single" w:sz="4" w:space="0" w:color="auto"/>
              <w:right w:val="single" w:sz="4" w:space="0" w:color="auto"/>
            </w:tcBorders>
            <w:hideMark/>
          </w:tcPr>
          <w:p w14:paraId="30A011FA" w14:textId="77777777" w:rsidR="00CD64B5" w:rsidRPr="007F2C2A" w:rsidRDefault="00CD64B5" w:rsidP="00CD64B5">
            <w:pPr>
              <w:rPr>
                <w:rFonts w:eastAsiaTheme="minorEastAsia"/>
                <w:sz w:val="20"/>
              </w:rPr>
            </w:pPr>
            <w:r w:rsidRPr="007F2C2A">
              <w:rPr>
                <w:rFonts w:eastAsiaTheme="minorEastAsia"/>
                <w:sz w:val="20"/>
              </w:rPr>
              <w:t>0,4</w:t>
            </w:r>
          </w:p>
        </w:tc>
        <w:tc>
          <w:tcPr>
            <w:tcW w:w="936" w:type="pct"/>
            <w:tcBorders>
              <w:top w:val="single" w:sz="4" w:space="0" w:color="auto"/>
              <w:left w:val="single" w:sz="4" w:space="0" w:color="auto"/>
              <w:bottom w:val="single" w:sz="4" w:space="0" w:color="auto"/>
              <w:right w:val="single" w:sz="4" w:space="0" w:color="auto"/>
            </w:tcBorders>
            <w:hideMark/>
          </w:tcPr>
          <w:p w14:paraId="07DE7904" w14:textId="77777777" w:rsidR="00CD64B5" w:rsidRPr="007F2C2A" w:rsidRDefault="00CD64B5" w:rsidP="00CD64B5">
            <w:pPr>
              <w:rPr>
                <w:rFonts w:eastAsiaTheme="minorEastAsia"/>
                <w:sz w:val="20"/>
              </w:rPr>
            </w:pPr>
            <w:r w:rsidRPr="007F2C2A">
              <w:rPr>
                <w:rFonts w:eastAsiaTheme="minorEastAsia"/>
                <w:sz w:val="20"/>
              </w:rPr>
              <w:t>0,06</w:t>
            </w:r>
          </w:p>
        </w:tc>
      </w:tr>
      <w:tr w:rsidR="00CD64B5" w:rsidRPr="007F2C2A" w14:paraId="6804659E" w14:textId="77777777" w:rsidTr="00CD64B5">
        <w:trPr>
          <w:trHeight w:val="184"/>
          <w:jc w:val="center"/>
        </w:trPr>
        <w:tc>
          <w:tcPr>
            <w:tcW w:w="309" w:type="pct"/>
            <w:tcBorders>
              <w:top w:val="single" w:sz="4" w:space="0" w:color="auto"/>
              <w:left w:val="single" w:sz="4" w:space="0" w:color="auto"/>
              <w:bottom w:val="single" w:sz="4" w:space="0" w:color="auto"/>
              <w:right w:val="single" w:sz="4" w:space="0" w:color="auto"/>
            </w:tcBorders>
            <w:hideMark/>
          </w:tcPr>
          <w:p w14:paraId="1F545659" w14:textId="77777777" w:rsidR="00CD64B5" w:rsidRPr="007F2C2A" w:rsidRDefault="00CD64B5" w:rsidP="00CD64B5">
            <w:pPr>
              <w:rPr>
                <w:rFonts w:eastAsiaTheme="minorEastAsia"/>
                <w:sz w:val="20"/>
              </w:rPr>
            </w:pPr>
            <w:r w:rsidRPr="007F2C2A">
              <w:rPr>
                <w:rFonts w:eastAsiaTheme="minorEastAsia"/>
                <w:sz w:val="20"/>
              </w:rPr>
              <w:t>3</w:t>
            </w:r>
          </w:p>
        </w:tc>
        <w:tc>
          <w:tcPr>
            <w:tcW w:w="2263" w:type="pct"/>
            <w:tcBorders>
              <w:top w:val="single" w:sz="4" w:space="0" w:color="auto"/>
              <w:left w:val="single" w:sz="4" w:space="0" w:color="auto"/>
              <w:bottom w:val="single" w:sz="4" w:space="0" w:color="auto"/>
              <w:right w:val="single" w:sz="4" w:space="0" w:color="auto"/>
            </w:tcBorders>
            <w:hideMark/>
          </w:tcPr>
          <w:p w14:paraId="01814B69" w14:textId="77777777" w:rsidR="00CD64B5" w:rsidRPr="007F2C2A" w:rsidRDefault="00CD64B5" w:rsidP="00CD64B5">
            <w:pPr>
              <w:rPr>
                <w:rFonts w:eastAsiaTheme="minorEastAsia"/>
                <w:sz w:val="20"/>
              </w:rPr>
            </w:pPr>
            <w:r w:rsidRPr="007F2C2A">
              <w:rPr>
                <w:rFonts w:ascii="Sylfaen" w:eastAsiaTheme="minorEastAsia" w:hAnsi="Sylfaen" w:cs="Sylfaen"/>
                <w:sz w:val="20"/>
              </w:rPr>
              <w:t>ჭვარტლი</w:t>
            </w:r>
          </w:p>
        </w:tc>
        <w:tc>
          <w:tcPr>
            <w:tcW w:w="640" w:type="pct"/>
            <w:tcBorders>
              <w:top w:val="single" w:sz="4" w:space="0" w:color="auto"/>
              <w:left w:val="single" w:sz="4" w:space="0" w:color="auto"/>
              <w:bottom w:val="single" w:sz="4" w:space="0" w:color="auto"/>
              <w:right w:val="single" w:sz="4" w:space="0" w:color="auto"/>
            </w:tcBorders>
            <w:hideMark/>
          </w:tcPr>
          <w:p w14:paraId="58369BAA" w14:textId="77777777" w:rsidR="00CD64B5" w:rsidRPr="007F2C2A" w:rsidRDefault="00CD64B5" w:rsidP="00CD64B5">
            <w:pPr>
              <w:rPr>
                <w:rFonts w:eastAsiaTheme="minorEastAsia"/>
                <w:sz w:val="20"/>
              </w:rPr>
            </w:pPr>
            <w:r w:rsidRPr="007F2C2A">
              <w:rPr>
                <w:rFonts w:eastAsiaTheme="minorEastAsia"/>
                <w:sz w:val="20"/>
              </w:rPr>
              <w:t>328</w:t>
            </w:r>
          </w:p>
        </w:tc>
        <w:tc>
          <w:tcPr>
            <w:tcW w:w="853" w:type="pct"/>
            <w:tcBorders>
              <w:top w:val="single" w:sz="4" w:space="0" w:color="auto"/>
              <w:left w:val="single" w:sz="4" w:space="0" w:color="auto"/>
              <w:bottom w:val="single" w:sz="4" w:space="0" w:color="auto"/>
              <w:right w:val="single" w:sz="4" w:space="0" w:color="auto"/>
            </w:tcBorders>
            <w:hideMark/>
          </w:tcPr>
          <w:p w14:paraId="41FE9C28" w14:textId="77777777" w:rsidR="00CD64B5" w:rsidRPr="007F2C2A" w:rsidRDefault="00CD64B5" w:rsidP="00CD64B5">
            <w:pPr>
              <w:rPr>
                <w:rFonts w:eastAsiaTheme="minorEastAsia"/>
                <w:sz w:val="20"/>
              </w:rPr>
            </w:pPr>
            <w:r w:rsidRPr="007F2C2A">
              <w:rPr>
                <w:rFonts w:eastAsiaTheme="minorEastAsia"/>
                <w:sz w:val="20"/>
              </w:rPr>
              <w:t>0,15</w:t>
            </w:r>
          </w:p>
        </w:tc>
        <w:tc>
          <w:tcPr>
            <w:tcW w:w="936" w:type="pct"/>
            <w:tcBorders>
              <w:top w:val="single" w:sz="4" w:space="0" w:color="auto"/>
              <w:left w:val="single" w:sz="4" w:space="0" w:color="auto"/>
              <w:bottom w:val="single" w:sz="4" w:space="0" w:color="auto"/>
              <w:right w:val="single" w:sz="4" w:space="0" w:color="auto"/>
            </w:tcBorders>
            <w:hideMark/>
          </w:tcPr>
          <w:p w14:paraId="5FB96FD7" w14:textId="77777777" w:rsidR="00CD64B5" w:rsidRPr="007F2C2A" w:rsidRDefault="00CD64B5" w:rsidP="00CD64B5">
            <w:pPr>
              <w:rPr>
                <w:rFonts w:eastAsiaTheme="minorEastAsia"/>
                <w:sz w:val="20"/>
              </w:rPr>
            </w:pPr>
            <w:r w:rsidRPr="007F2C2A">
              <w:rPr>
                <w:rFonts w:eastAsiaTheme="minorEastAsia"/>
                <w:sz w:val="20"/>
              </w:rPr>
              <w:t>0,05</w:t>
            </w:r>
          </w:p>
        </w:tc>
      </w:tr>
      <w:tr w:rsidR="00CD64B5" w:rsidRPr="007F2C2A" w14:paraId="03BA4546" w14:textId="77777777" w:rsidTr="00CD64B5">
        <w:trPr>
          <w:trHeight w:val="184"/>
          <w:jc w:val="center"/>
        </w:trPr>
        <w:tc>
          <w:tcPr>
            <w:tcW w:w="309" w:type="pct"/>
            <w:tcBorders>
              <w:top w:val="single" w:sz="4" w:space="0" w:color="auto"/>
              <w:left w:val="single" w:sz="4" w:space="0" w:color="auto"/>
              <w:bottom w:val="single" w:sz="4" w:space="0" w:color="auto"/>
              <w:right w:val="single" w:sz="4" w:space="0" w:color="auto"/>
            </w:tcBorders>
            <w:hideMark/>
          </w:tcPr>
          <w:p w14:paraId="0BBB486D" w14:textId="77777777" w:rsidR="00CD64B5" w:rsidRPr="007F2C2A" w:rsidRDefault="00CD64B5" w:rsidP="00CD64B5">
            <w:pPr>
              <w:rPr>
                <w:rFonts w:eastAsiaTheme="minorEastAsia"/>
                <w:sz w:val="20"/>
              </w:rPr>
            </w:pPr>
            <w:r w:rsidRPr="007F2C2A">
              <w:rPr>
                <w:rFonts w:eastAsiaTheme="minorEastAsia"/>
                <w:sz w:val="20"/>
              </w:rPr>
              <w:t>4</w:t>
            </w:r>
          </w:p>
        </w:tc>
        <w:tc>
          <w:tcPr>
            <w:tcW w:w="2263" w:type="pct"/>
            <w:tcBorders>
              <w:top w:val="single" w:sz="4" w:space="0" w:color="auto"/>
              <w:left w:val="single" w:sz="4" w:space="0" w:color="auto"/>
              <w:bottom w:val="single" w:sz="4" w:space="0" w:color="auto"/>
              <w:right w:val="single" w:sz="4" w:space="0" w:color="auto"/>
            </w:tcBorders>
            <w:hideMark/>
          </w:tcPr>
          <w:p w14:paraId="2AD631E6" w14:textId="77777777" w:rsidR="00CD64B5" w:rsidRPr="007F2C2A" w:rsidRDefault="00CD64B5" w:rsidP="00CD64B5">
            <w:pPr>
              <w:rPr>
                <w:rFonts w:eastAsiaTheme="minorEastAsia"/>
                <w:sz w:val="20"/>
              </w:rPr>
            </w:pPr>
            <w:r w:rsidRPr="007F2C2A">
              <w:rPr>
                <w:rFonts w:ascii="Sylfaen" w:eastAsiaTheme="minorEastAsia" w:hAnsi="Sylfaen" w:cs="Sylfaen"/>
                <w:sz w:val="20"/>
              </w:rPr>
              <w:t>გოგირდის</w:t>
            </w:r>
            <w:r w:rsidRPr="007F2C2A">
              <w:rPr>
                <w:rFonts w:eastAsiaTheme="minorEastAsia"/>
                <w:sz w:val="20"/>
              </w:rPr>
              <w:t xml:space="preserve"> </w:t>
            </w:r>
            <w:r w:rsidRPr="007F2C2A">
              <w:rPr>
                <w:rFonts w:ascii="Sylfaen" w:eastAsiaTheme="minorEastAsia" w:hAnsi="Sylfaen" w:cs="Sylfaen"/>
                <w:sz w:val="20"/>
              </w:rPr>
              <w:t>დიოქსიდი</w:t>
            </w:r>
          </w:p>
        </w:tc>
        <w:tc>
          <w:tcPr>
            <w:tcW w:w="640" w:type="pct"/>
            <w:tcBorders>
              <w:top w:val="single" w:sz="4" w:space="0" w:color="auto"/>
              <w:left w:val="single" w:sz="4" w:space="0" w:color="auto"/>
              <w:bottom w:val="single" w:sz="4" w:space="0" w:color="auto"/>
              <w:right w:val="single" w:sz="4" w:space="0" w:color="auto"/>
            </w:tcBorders>
            <w:hideMark/>
          </w:tcPr>
          <w:p w14:paraId="76451626" w14:textId="77777777" w:rsidR="00CD64B5" w:rsidRPr="007F2C2A" w:rsidRDefault="00CD64B5" w:rsidP="00CD64B5">
            <w:pPr>
              <w:rPr>
                <w:rFonts w:eastAsiaTheme="minorEastAsia"/>
                <w:sz w:val="20"/>
              </w:rPr>
            </w:pPr>
            <w:r w:rsidRPr="007F2C2A">
              <w:rPr>
                <w:rFonts w:eastAsiaTheme="minorEastAsia"/>
                <w:sz w:val="20"/>
              </w:rPr>
              <w:t>330</w:t>
            </w:r>
          </w:p>
        </w:tc>
        <w:tc>
          <w:tcPr>
            <w:tcW w:w="853" w:type="pct"/>
            <w:tcBorders>
              <w:top w:val="single" w:sz="4" w:space="0" w:color="auto"/>
              <w:left w:val="single" w:sz="4" w:space="0" w:color="auto"/>
              <w:bottom w:val="single" w:sz="4" w:space="0" w:color="auto"/>
              <w:right w:val="single" w:sz="4" w:space="0" w:color="auto"/>
            </w:tcBorders>
            <w:hideMark/>
          </w:tcPr>
          <w:p w14:paraId="536FA897" w14:textId="77777777" w:rsidR="00CD64B5" w:rsidRPr="007F2C2A" w:rsidRDefault="00CD64B5" w:rsidP="00CD64B5">
            <w:pPr>
              <w:rPr>
                <w:rFonts w:eastAsiaTheme="minorEastAsia"/>
                <w:sz w:val="20"/>
              </w:rPr>
            </w:pPr>
            <w:r w:rsidRPr="007F2C2A">
              <w:rPr>
                <w:rFonts w:eastAsiaTheme="minorEastAsia"/>
                <w:sz w:val="20"/>
              </w:rPr>
              <w:t>0,5</w:t>
            </w:r>
          </w:p>
        </w:tc>
        <w:tc>
          <w:tcPr>
            <w:tcW w:w="936" w:type="pct"/>
            <w:tcBorders>
              <w:top w:val="single" w:sz="4" w:space="0" w:color="auto"/>
              <w:left w:val="single" w:sz="4" w:space="0" w:color="auto"/>
              <w:bottom w:val="single" w:sz="4" w:space="0" w:color="auto"/>
              <w:right w:val="single" w:sz="4" w:space="0" w:color="auto"/>
            </w:tcBorders>
            <w:hideMark/>
          </w:tcPr>
          <w:p w14:paraId="7DA37B33" w14:textId="77777777" w:rsidR="00CD64B5" w:rsidRPr="007F2C2A" w:rsidRDefault="00CD64B5" w:rsidP="00CD64B5">
            <w:pPr>
              <w:rPr>
                <w:rFonts w:eastAsiaTheme="minorEastAsia"/>
                <w:sz w:val="20"/>
              </w:rPr>
            </w:pPr>
            <w:r w:rsidRPr="007F2C2A">
              <w:rPr>
                <w:rFonts w:eastAsiaTheme="minorEastAsia"/>
                <w:sz w:val="20"/>
              </w:rPr>
              <w:t>0,05</w:t>
            </w:r>
          </w:p>
        </w:tc>
      </w:tr>
      <w:tr w:rsidR="00CD64B5" w:rsidRPr="007F2C2A" w14:paraId="375BCD83" w14:textId="77777777" w:rsidTr="00CD64B5">
        <w:trPr>
          <w:trHeight w:val="253"/>
          <w:jc w:val="center"/>
        </w:trPr>
        <w:tc>
          <w:tcPr>
            <w:tcW w:w="309" w:type="pct"/>
            <w:tcBorders>
              <w:top w:val="single" w:sz="4" w:space="0" w:color="auto"/>
              <w:left w:val="single" w:sz="4" w:space="0" w:color="auto"/>
              <w:bottom w:val="single" w:sz="4" w:space="0" w:color="auto"/>
              <w:right w:val="single" w:sz="4" w:space="0" w:color="auto"/>
            </w:tcBorders>
            <w:hideMark/>
          </w:tcPr>
          <w:p w14:paraId="1C0037B8" w14:textId="77777777" w:rsidR="00CD64B5" w:rsidRPr="007F2C2A" w:rsidRDefault="00CD64B5" w:rsidP="00CD64B5">
            <w:pPr>
              <w:rPr>
                <w:rFonts w:eastAsiaTheme="minorEastAsia"/>
                <w:sz w:val="20"/>
              </w:rPr>
            </w:pPr>
            <w:r w:rsidRPr="007F2C2A">
              <w:rPr>
                <w:rFonts w:eastAsiaTheme="minorEastAsia"/>
                <w:sz w:val="20"/>
              </w:rPr>
              <w:t>5</w:t>
            </w:r>
          </w:p>
        </w:tc>
        <w:tc>
          <w:tcPr>
            <w:tcW w:w="2263" w:type="pct"/>
            <w:tcBorders>
              <w:top w:val="single" w:sz="4" w:space="0" w:color="auto"/>
              <w:left w:val="single" w:sz="4" w:space="0" w:color="auto"/>
              <w:bottom w:val="single" w:sz="4" w:space="0" w:color="auto"/>
              <w:right w:val="single" w:sz="4" w:space="0" w:color="auto"/>
            </w:tcBorders>
            <w:hideMark/>
          </w:tcPr>
          <w:p w14:paraId="4F66448A" w14:textId="77777777" w:rsidR="00CD64B5" w:rsidRPr="007F2C2A" w:rsidRDefault="00CD64B5" w:rsidP="00CD64B5">
            <w:pPr>
              <w:rPr>
                <w:rFonts w:eastAsiaTheme="minorEastAsia"/>
                <w:sz w:val="20"/>
              </w:rPr>
            </w:pPr>
            <w:r w:rsidRPr="007F2C2A">
              <w:rPr>
                <w:rFonts w:ascii="Sylfaen" w:eastAsiaTheme="minorEastAsia" w:hAnsi="Sylfaen" w:cs="Sylfaen"/>
                <w:sz w:val="20"/>
              </w:rPr>
              <w:t>გოგირდწყალბადი</w:t>
            </w:r>
          </w:p>
        </w:tc>
        <w:tc>
          <w:tcPr>
            <w:tcW w:w="640" w:type="pct"/>
            <w:tcBorders>
              <w:top w:val="single" w:sz="4" w:space="0" w:color="auto"/>
              <w:left w:val="single" w:sz="4" w:space="0" w:color="auto"/>
              <w:bottom w:val="single" w:sz="4" w:space="0" w:color="auto"/>
              <w:right w:val="single" w:sz="4" w:space="0" w:color="auto"/>
            </w:tcBorders>
            <w:hideMark/>
          </w:tcPr>
          <w:p w14:paraId="216052E7" w14:textId="77777777" w:rsidR="00CD64B5" w:rsidRPr="007F2C2A" w:rsidRDefault="00CD64B5" w:rsidP="00CD64B5">
            <w:pPr>
              <w:rPr>
                <w:rFonts w:eastAsiaTheme="minorEastAsia"/>
                <w:sz w:val="20"/>
              </w:rPr>
            </w:pPr>
            <w:r w:rsidRPr="007F2C2A">
              <w:rPr>
                <w:rFonts w:eastAsiaTheme="minorEastAsia"/>
                <w:sz w:val="20"/>
              </w:rPr>
              <w:t>0333</w:t>
            </w:r>
          </w:p>
        </w:tc>
        <w:tc>
          <w:tcPr>
            <w:tcW w:w="853" w:type="pct"/>
            <w:tcBorders>
              <w:top w:val="single" w:sz="4" w:space="0" w:color="auto"/>
              <w:left w:val="single" w:sz="4" w:space="0" w:color="auto"/>
              <w:bottom w:val="single" w:sz="4" w:space="0" w:color="auto"/>
              <w:right w:val="single" w:sz="4" w:space="0" w:color="auto"/>
            </w:tcBorders>
            <w:hideMark/>
          </w:tcPr>
          <w:p w14:paraId="0759298F" w14:textId="77777777" w:rsidR="00CD64B5" w:rsidRPr="007F2C2A" w:rsidRDefault="00CD64B5" w:rsidP="00CD64B5">
            <w:pPr>
              <w:rPr>
                <w:rFonts w:eastAsiaTheme="minorEastAsia"/>
                <w:sz w:val="20"/>
              </w:rPr>
            </w:pPr>
            <w:r w:rsidRPr="007F2C2A">
              <w:rPr>
                <w:rFonts w:eastAsiaTheme="minorEastAsia"/>
                <w:sz w:val="20"/>
              </w:rPr>
              <w:t>0,008</w:t>
            </w:r>
          </w:p>
        </w:tc>
        <w:tc>
          <w:tcPr>
            <w:tcW w:w="936" w:type="pct"/>
            <w:tcBorders>
              <w:top w:val="single" w:sz="4" w:space="0" w:color="auto"/>
              <w:left w:val="single" w:sz="4" w:space="0" w:color="auto"/>
              <w:bottom w:val="single" w:sz="4" w:space="0" w:color="auto"/>
              <w:right w:val="single" w:sz="4" w:space="0" w:color="auto"/>
            </w:tcBorders>
            <w:hideMark/>
          </w:tcPr>
          <w:p w14:paraId="029C0AED" w14:textId="77777777" w:rsidR="00CD64B5" w:rsidRPr="007F2C2A" w:rsidRDefault="00CD64B5" w:rsidP="00CD64B5">
            <w:pPr>
              <w:rPr>
                <w:rFonts w:eastAsiaTheme="minorEastAsia"/>
                <w:sz w:val="20"/>
              </w:rPr>
            </w:pPr>
            <w:r w:rsidRPr="007F2C2A">
              <w:rPr>
                <w:rFonts w:eastAsiaTheme="minorEastAsia"/>
                <w:sz w:val="20"/>
              </w:rPr>
              <w:t>-</w:t>
            </w:r>
          </w:p>
        </w:tc>
      </w:tr>
      <w:tr w:rsidR="00CD64B5" w:rsidRPr="007F2C2A" w14:paraId="4953F8CC" w14:textId="77777777" w:rsidTr="00CD64B5">
        <w:trPr>
          <w:trHeight w:val="184"/>
          <w:jc w:val="center"/>
        </w:trPr>
        <w:tc>
          <w:tcPr>
            <w:tcW w:w="309" w:type="pct"/>
            <w:tcBorders>
              <w:top w:val="single" w:sz="4" w:space="0" w:color="auto"/>
              <w:left w:val="single" w:sz="4" w:space="0" w:color="auto"/>
              <w:bottom w:val="single" w:sz="4" w:space="0" w:color="auto"/>
              <w:right w:val="single" w:sz="4" w:space="0" w:color="auto"/>
            </w:tcBorders>
            <w:hideMark/>
          </w:tcPr>
          <w:p w14:paraId="57E7E2E6" w14:textId="77777777" w:rsidR="00CD64B5" w:rsidRPr="007F2C2A" w:rsidRDefault="00CD64B5" w:rsidP="00CD64B5">
            <w:pPr>
              <w:rPr>
                <w:rFonts w:eastAsiaTheme="minorEastAsia"/>
                <w:sz w:val="20"/>
              </w:rPr>
            </w:pPr>
            <w:r w:rsidRPr="007F2C2A">
              <w:rPr>
                <w:rFonts w:eastAsiaTheme="minorEastAsia"/>
                <w:sz w:val="20"/>
              </w:rPr>
              <w:t>6</w:t>
            </w:r>
          </w:p>
        </w:tc>
        <w:tc>
          <w:tcPr>
            <w:tcW w:w="2263" w:type="pct"/>
            <w:tcBorders>
              <w:top w:val="single" w:sz="4" w:space="0" w:color="auto"/>
              <w:left w:val="single" w:sz="4" w:space="0" w:color="auto"/>
              <w:bottom w:val="single" w:sz="4" w:space="0" w:color="auto"/>
              <w:right w:val="single" w:sz="4" w:space="0" w:color="auto"/>
            </w:tcBorders>
            <w:hideMark/>
          </w:tcPr>
          <w:p w14:paraId="75F866E5" w14:textId="77777777" w:rsidR="00CD64B5" w:rsidRPr="007F2C2A" w:rsidRDefault="00CD64B5" w:rsidP="00CD64B5">
            <w:pPr>
              <w:rPr>
                <w:rFonts w:eastAsiaTheme="minorEastAsia"/>
                <w:sz w:val="20"/>
              </w:rPr>
            </w:pPr>
            <w:r w:rsidRPr="007F2C2A">
              <w:rPr>
                <w:rFonts w:ascii="Sylfaen" w:eastAsiaTheme="minorEastAsia" w:hAnsi="Sylfaen" w:cs="Sylfaen"/>
                <w:sz w:val="20"/>
              </w:rPr>
              <w:t>ნახშირბადის</w:t>
            </w:r>
            <w:r w:rsidRPr="007F2C2A">
              <w:rPr>
                <w:rFonts w:eastAsiaTheme="minorEastAsia"/>
                <w:sz w:val="20"/>
              </w:rPr>
              <w:t xml:space="preserve"> </w:t>
            </w:r>
            <w:r w:rsidRPr="007F2C2A">
              <w:rPr>
                <w:rFonts w:ascii="Sylfaen" w:eastAsiaTheme="minorEastAsia" w:hAnsi="Sylfaen" w:cs="Sylfaen"/>
                <w:sz w:val="20"/>
              </w:rPr>
              <w:t>ოქსიდი</w:t>
            </w:r>
            <w:r w:rsidRPr="007F2C2A">
              <w:rPr>
                <w:rFonts w:eastAsiaTheme="minorEastAsia"/>
                <w:sz w:val="20"/>
              </w:rPr>
              <w:t xml:space="preserve"> </w:t>
            </w:r>
          </w:p>
        </w:tc>
        <w:tc>
          <w:tcPr>
            <w:tcW w:w="640" w:type="pct"/>
            <w:tcBorders>
              <w:top w:val="single" w:sz="4" w:space="0" w:color="auto"/>
              <w:left w:val="single" w:sz="4" w:space="0" w:color="auto"/>
              <w:bottom w:val="single" w:sz="4" w:space="0" w:color="auto"/>
              <w:right w:val="single" w:sz="4" w:space="0" w:color="auto"/>
            </w:tcBorders>
            <w:hideMark/>
          </w:tcPr>
          <w:p w14:paraId="55905B1F" w14:textId="77777777" w:rsidR="00CD64B5" w:rsidRPr="007F2C2A" w:rsidRDefault="00CD64B5" w:rsidP="00CD64B5">
            <w:pPr>
              <w:rPr>
                <w:rFonts w:eastAsiaTheme="minorEastAsia"/>
                <w:sz w:val="20"/>
              </w:rPr>
            </w:pPr>
            <w:r w:rsidRPr="007F2C2A">
              <w:rPr>
                <w:rFonts w:eastAsiaTheme="minorEastAsia"/>
                <w:sz w:val="20"/>
              </w:rPr>
              <w:t>337</w:t>
            </w:r>
          </w:p>
        </w:tc>
        <w:tc>
          <w:tcPr>
            <w:tcW w:w="853" w:type="pct"/>
            <w:tcBorders>
              <w:top w:val="single" w:sz="4" w:space="0" w:color="auto"/>
              <w:left w:val="single" w:sz="4" w:space="0" w:color="auto"/>
              <w:bottom w:val="single" w:sz="4" w:space="0" w:color="auto"/>
              <w:right w:val="single" w:sz="4" w:space="0" w:color="auto"/>
            </w:tcBorders>
            <w:hideMark/>
          </w:tcPr>
          <w:p w14:paraId="1E049EE3" w14:textId="77777777" w:rsidR="00CD64B5" w:rsidRPr="007F2C2A" w:rsidRDefault="00CD64B5" w:rsidP="00CD64B5">
            <w:pPr>
              <w:rPr>
                <w:rFonts w:eastAsiaTheme="minorEastAsia"/>
                <w:sz w:val="20"/>
              </w:rPr>
            </w:pPr>
            <w:r w:rsidRPr="007F2C2A">
              <w:rPr>
                <w:rFonts w:eastAsiaTheme="minorEastAsia"/>
                <w:sz w:val="20"/>
              </w:rPr>
              <w:t>5,0</w:t>
            </w:r>
          </w:p>
        </w:tc>
        <w:tc>
          <w:tcPr>
            <w:tcW w:w="936" w:type="pct"/>
            <w:tcBorders>
              <w:top w:val="single" w:sz="4" w:space="0" w:color="auto"/>
              <w:left w:val="single" w:sz="4" w:space="0" w:color="auto"/>
              <w:bottom w:val="single" w:sz="4" w:space="0" w:color="auto"/>
              <w:right w:val="single" w:sz="4" w:space="0" w:color="auto"/>
            </w:tcBorders>
            <w:hideMark/>
          </w:tcPr>
          <w:p w14:paraId="32503026" w14:textId="77777777" w:rsidR="00CD64B5" w:rsidRPr="007F2C2A" w:rsidRDefault="00CD64B5" w:rsidP="00CD64B5">
            <w:pPr>
              <w:rPr>
                <w:rFonts w:eastAsiaTheme="minorEastAsia"/>
                <w:sz w:val="20"/>
              </w:rPr>
            </w:pPr>
            <w:r w:rsidRPr="007F2C2A">
              <w:rPr>
                <w:rFonts w:eastAsiaTheme="minorEastAsia"/>
                <w:sz w:val="20"/>
              </w:rPr>
              <w:t>3,0</w:t>
            </w:r>
          </w:p>
        </w:tc>
      </w:tr>
      <w:tr w:rsidR="00CD64B5" w:rsidRPr="007F2C2A" w14:paraId="0521257E" w14:textId="77777777" w:rsidTr="00CD64B5">
        <w:trPr>
          <w:trHeight w:val="184"/>
          <w:jc w:val="center"/>
        </w:trPr>
        <w:tc>
          <w:tcPr>
            <w:tcW w:w="309" w:type="pct"/>
            <w:tcBorders>
              <w:top w:val="single" w:sz="4" w:space="0" w:color="auto"/>
              <w:left w:val="single" w:sz="4" w:space="0" w:color="auto"/>
              <w:bottom w:val="single" w:sz="4" w:space="0" w:color="auto"/>
              <w:right w:val="single" w:sz="4" w:space="0" w:color="auto"/>
            </w:tcBorders>
            <w:hideMark/>
          </w:tcPr>
          <w:p w14:paraId="357C7F87" w14:textId="77777777" w:rsidR="00CD64B5" w:rsidRPr="007F2C2A" w:rsidRDefault="00CD64B5" w:rsidP="00CD64B5">
            <w:pPr>
              <w:rPr>
                <w:rFonts w:eastAsiaTheme="minorEastAsia"/>
                <w:sz w:val="20"/>
              </w:rPr>
            </w:pPr>
            <w:r w:rsidRPr="007F2C2A">
              <w:rPr>
                <w:rFonts w:eastAsiaTheme="minorEastAsia"/>
                <w:sz w:val="20"/>
              </w:rPr>
              <w:t>7</w:t>
            </w:r>
          </w:p>
        </w:tc>
        <w:tc>
          <w:tcPr>
            <w:tcW w:w="2263" w:type="pct"/>
            <w:tcBorders>
              <w:top w:val="single" w:sz="4" w:space="0" w:color="auto"/>
              <w:left w:val="single" w:sz="4" w:space="0" w:color="auto"/>
              <w:bottom w:val="single" w:sz="4" w:space="0" w:color="auto"/>
              <w:right w:val="single" w:sz="4" w:space="0" w:color="auto"/>
            </w:tcBorders>
            <w:hideMark/>
          </w:tcPr>
          <w:p w14:paraId="04353A95" w14:textId="77777777" w:rsidR="00CD64B5" w:rsidRPr="007F2C2A" w:rsidRDefault="00CD64B5" w:rsidP="00CD64B5">
            <w:pPr>
              <w:rPr>
                <w:rFonts w:eastAsiaTheme="minorEastAsia"/>
                <w:sz w:val="20"/>
              </w:rPr>
            </w:pPr>
            <w:r w:rsidRPr="007F2C2A">
              <w:rPr>
                <w:rFonts w:ascii="Sylfaen" w:eastAsiaTheme="minorEastAsia" w:hAnsi="Sylfaen" w:cs="Sylfaen"/>
                <w:sz w:val="20"/>
              </w:rPr>
              <w:t>ბენზ</w:t>
            </w:r>
            <w:r w:rsidRPr="007F2C2A">
              <w:rPr>
                <w:rFonts w:eastAsiaTheme="minorEastAsia"/>
                <w:sz w:val="20"/>
              </w:rPr>
              <w:t>(</w:t>
            </w:r>
            <w:r w:rsidRPr="007F2C2A">
              <w:rPr>
                <w:rFonts w:ascii="Sylfaen" w:eastAsiaTheme="minorEastAsia" w:hAnsi="Sylfaen" w:cs="Sylfaen"/>
                <w:sz w:val="20"/>
              </w:rPr>
              <w:t>ა</w:t>
            </w:r>
            <w:r w:rsidRPr="007F2C2A">
              <w:rPr>
                <w:rFonts w:eastAsiaTheme="minorEastAsia"/>
                <w:sz w:val="20"/>
              </w:rPr>
              <w:t>)</w:t>
            </w:r>
            <w:r w:rsidRPr="007F2C2A">
              <w:rPr>
                <w:rFonts w:ascii="Sylfaen" w:eastAsiaTheme="minorEastAsia" w:hAnsi="Sylfaen" w:cs="Sylfaen"/>
                <w:sz w:val="20"/>
              </w:rPr>
              <w:t>პირენი</w:t>
            </w:r>
          </w:p>
        </w:tc>
        <w:tc>
          <w:tcPr>
            <w:tcW w:w="640" w:type="pct"/>
            <w:tcBorders>
              <w:top w:val="single" w:sz="4" w:space="0" w:color="auto"/>
              <w:left w:val="single" w:sz="4" w:space="0" w:color="auto"/>
              <w:bottom w:val="single" w:sz="4" w:space="0" w:color="auto"/>
              <w:right w:val="single" w:sz="4" w:space="0" w:color="auto"/>
            </w:tcBorders>
            <w:hideMark/>
          </w:tcPr>
          <w:p w14:paraId="0915261F" w14:textId="77777777" w:rsidR="00CD64B5" w:rsidRPr="007F2C2A" w:rsidRDefault="00CD64B5" w:rsidP="00CD64B5">
            <w:pPr>
              <w:rPr>
                <w:rFonts w:eastAsiaTheme="minorEastAsia"/>
                <w:sz w:val="20"/>
              </w:rPr>
            </w:pPr>
            <w:r w:rsidRPr="007F2C2A">
              <w:rPr>
                <w:rFonts w:eastAsiaTheme="minorEastAsia"/>
                <w:sz w:val="20"/>
              </w:rPr>
              <w:t>0703</w:t>
            </w:r>
          </w:p>
        </w:tc>
        <w:tc>
          <w:tcPr>
            <w:tcW w:w="853" w:type="pct"/>
            <w:tcBorders>
              <w:top w:val="single" w:sz="4" w:space="0" w:color="auto"/>
              <w:left w:val="single" w:sz="4" w:space="0" w:color="auto"/>
              <w:bottom w:val="single" w:sz="4" w:space="0" w:color="auto"/>
              <w:right w:val="single" w:sz="4" w:space="0" w:color="auto"/>
            </w:tcBorders>
            <w:hideMark/>
          </w:tcPr>
          <w:p w14:paraId="0B642B63" w14:textId="77777777" w:rsidR="00CD64B5" w:rsidRPr="007F2C2A" w:rsidRDefault="00CD64B5" w:rsidP="00CD64B5">
            <w:pPr>
              <w:rPr>
                <w:rFonts w:eastAsiaTheme="minorEastAsia"/>
                <w:sz w:val="20"/>
              </w:rPr>
            </w:pPr>
            <w:r w:rsidRPr="007F2C2A">
              <w:rPr>
                <w:rFonts w:eastAsiaTheme="minorEastAsia"/>
                <w:sz w:val="20"/>
              </w:rPr>
              <w:t>-</w:t>
            </w:r>
          </w:p>
        </w:tc>
        <w:tc>
          <w:tcPr>
            <w:tcW w:w="936" w:type="pct"/>
            <w:tcBorders>
              <w:top w:val="single" w:sz="4" w:space="0" w:color="auto"/>
              <w:left w:val="single" w:sz="4" w:space="0" w:color="auto"/>
              <w:bottom w:val="single" w:sz="4" w:space="0" w:color="auto"/>
              <w:right w:val="single" w:sz="4" w:space="0" w:color="auto"/>
            </w:tcBorders>
            <w:hideMark/>
          </w:tcPr>
          <w:p w14:paraId="1CE12A51" w14:textId="77777777" w:rsidR="00CD64B5" w:rsidRPr="007F2C2A" w:rsidRDefault="00CD64B5" w:rsidP="00CD64B5">
            <w:pPr>
              <w:rPr>
                <w:rFonts w:eastAsiaTheme="minorEastAsia"/>
                <w:sz w:val="20"/>
              </w:rPr>
            </w:pPr>
            <w:r w:rsidRPr="007F2C2A">
              <w:rPr>
                <w:rFonts w:eastAsiaTheme="minorEastAsia"/>
                <w:sz w:val="20"/>
              </w:rPr>
              <w:t>0,000001</w:t>
            </w:r>
          </w:p>
        </w:tc>
      </w:tr>
      <w:tr w:rsidR="00CD64B5" w:rsidRPr="007F2C2A" w14:paraId="59EB40C0" w14:textId="77777777" w:rsidTr="00CD64B5">
        <w:trPr>
          <w:trHeight w:val="184"/>
          <w:jc w:val="center"/>
        </w:trPr>
        <w:tc>
          <w:tcPr>
            <w:tcW w:w="309" w:type="pct"/>
            <w:tcBorders>
              <w:top w:val="single" w:sz="4" w:space="0" w:color="auto"/>
              <w:left w:val="single" w:sz="4" w:space="0" w:color="auto"/>
              <w:bottom w:val="single" w:sz="4" w:space="0" w:color="auto"/>
              <w:right w:val="single" w:sz="4" w:space="0" w:color="auto"/>
            </w:tcBorders>
            <w:hideMark/>
          </w:tcPr>
          <w:p w14:paraId="63A811DC" w14:textId="77777777" w:rsidR="00CD64B5" w:rsidRPr="007F2C2A" w:rsidRDefault="00CD64B5" w:rsidP="00CD64B5">
            <w:pPr>
              <w:rPr>
                <w:rFonts w:eastAsiaTheme="minorEastAsia"/>
                <w:sz w:val="20"/>
              </w:rPr>
            </w:pPr>
            <w:r w:rsidRPr="007F2C2A">
              <w:rPr>
                <w:rFonts w:eastAsiaTheme="minorEastAsia"/>
                <w:sz w:val="20"/>
              </w:rPr>
              <w:t>8</w:t>
            </w:r>
          </w:p>
        </w:tc>
        <w:tc>
          <w:tcPr>
            <w:tcW w:w="2263" w:type="pct"/>
            <w:tcBorders>
              <w:top w:val="single" w:sz="4" w:space="0" w:color="auto"/>
              <w:left w:val="single" w:sz="4" w:space="0" w:color="auto"/>
              <w:bottom w:val="single" w:sz="4" w:space="0" w:color="auto"/>
              <w:right w:val="single" w:sz="4" w:space="0" w:color="auto"/>
            </w:tcBorders>
            <w:hideMark/>
          </w:tcPr>
          <w:p w14:paraId="41C222E0" w14:textId="77777777" w:rsidR="00CD64B5" w:rsidRPr="007F2C2A" w:rsidRDefault="00CD64B5" w:rsidP="00CD64B5">
            <w:pPr>
              <w:rPr>
                <w:rFonts w:eastAsiaTheme="minorEastAsia"/>
                <w:sz w:val="20"/>
              </w:rPr>
            </w:pPr>
            <w:r w:rsidRPr="007F2C2A">
              <w:rPr>
                <w:rFonts w:ascii="Sylfaen" w:eastAsiaTheme="minorEastAsia" w:hAnsi="Sylfaen" w:cs="Sylfaen"/>
                <w:sz w:val="20"/>
              </w:rPr>
              <w:t>ნახშირწყალბადების</w:t>
            </w:r>
            <w:r w:rsidRPr="007F2C2A">
              <w:rPr>
                <w:rFonts w:eastAsiaTheme="minorEastAsia"/>
                <w:sz w:val="20"/>
              </w:rPr>
              <w:t xml:space="preserve"> </w:t>
            </w:r>
            <w:r w:rsidRPr="007F2C2A">
              <w:rPr>
                <w:rFonts w:ascii="Sylfaen" w:eastAsiaTheme="minorEastAsia" w:hAnsi="Sylfaen" w:cs="Sylfaen"/>
                <w:sz w:val="20"/>
              </w:rPr>
              <w:t>ნავთის</w:t>
            </w:r>
            <w:r w:rsidRPr="007F2C2A">
              <w:rPr>
                <w:rFonts w:eastAsiaTheme="minorEastAsia"/>
                <w:sz w:val="20"/>
              </w:rPr>
              <w:t xml:space="preserve"> </w:t>
            </w:r>
            <w:r w:rsidRPr="007F2C2A">
              <w:rPr>
                <w:rFonts w:ascii="Sylfaen" w:eastAsiaTheme="minorEastAsia" w:hAnsi="Sylfaen" w:cs="Sylfaen"/>
                <w:sz w:val="20"/>
              </w:rPr>
              <w:t>ფრაქცია</w:t>
            </w:r>
          </w:p>
        </w:tc>
        <w:tc>
          <w:tcPr>
            <w:tcW w:w="640" w:type="pct"/>
            <w:tcBorders>
              <w:top w:val="single" w:sz="4" w:space="0" w:color="auto"/>
              <w:left w:val="single" w:sz="4" w:space="0" w:color="auto"/>
              <w:bottom w:val="single" w:sz="4" w:space="0" w:color="auto"/>
              <w:right w:val="single" w:sz="4" w:space="0" w:color="auto"/>
            </w:tcBorders>
            <w:hideMark/>
          </w:tcPr>
          <w:p w14:paraId="4FC0D22D" w14:textId="77777777" w:rsidR="00CD64B5" w:rsidRPr="007F2C2A" w:rsidRDefault="00CD64B5" w:rsidP="00CD64B5">
            <w:pPr>
              <w:rPr>
                <w:rFonts w:eastAsiaTheme="minorEastAsia"/>
                <w:sz w:val="20"/>
              </w:rPr>
            </w:pPr>
            <w:r w:rsidRPr="007F2C2A">
              <w:rPr>
                <w:rFonts w:eastAsiaTheme="minorEastAsia"/>
                <w:sz w:val="20"/>
              </w:rPr>
              <w:t>2732</w:t>
            </w:r>
          </w:p>
        </w:tc>
        <w:tc>
          <w:tcPr>
            <w:tcW w:w="853" w:type="pct"/>
            <w:tcBorders>
              <w:top w:val="single" w:sz="4" w:space="0" w:color="auto"/>
              <w:left w:val="single" w:sz="4" w:space="0" w:color="auto"/>
              <w:bottom w:val="single" w:sz="4" w:space="0" w:color="auto"/>
              <w:right w:val="single" w:sz="4" w:space="0" w:color="auto"/>
            </w:tcBorders>
            <w:hideMark/>
          </w:tcPr>
          <w:p w14:paraId="334BEA48" w14:textId="77777777" w:rsidR="00CD64B5" w:rsidRPr="007F2C2A" w:rsidRDefault="00CD64B5" w:rsidP="00CD64B5">
            <w:pPr>
              <w:rPr>
                <w:rFonts w:eastAsiaTheme="minorEastAsia"/>
                <w:sz w:val="20"/>
              </w:rPr>
            </w:pPr>
            <w:r w:rsidRPr="007F2C2A">
              <w:rPr>
                <w:rFonts w:eastAsiaTheme="minorEastAsia"/>
                <w:sz w:val="20"/>
              </w:rPr>
              <w:t>1,2</w:t>
            </w:r>
          </w:p>
        </w:tc>
        <w:tc>
          <w:tcPr>
            <w:tcW w:w="936" w:type="pct"/>
            <w:tcBorders>
              <w:top w:val="single" w:sz="4" w:space="0" w:color="auto"/>
              <w:left w:val="single" w:sz="4" w:space="0" w:color="auto"/>
              <w:bottom w:val="single" w:sz="4" w:space="0" w:color="auto"/>
              <w:right w:val="single" w:sz="4" w:space="0" w:color="auto"/>
            </w:tcBorders>
            <w:hideMark/>
          </w:tcPr>
          <w:p w14:paraId="02678F25" w14:textId="77777777" w:rsidR="00CD64B5" w:rsidRPr="007F2C2A" w:rsidRDefault="00CD64B5" w:rsidP="00CD64B5">
            <w:pPr>
              <w:rPr>
                <w:rFonts w:eastAsiaTheme="minorEastAsia"/>
                <w:sz w:val="20"/>
              </w:rPr>
            </w:pPr>
            <w:r w:rsidRPr="007F2C2A">
              <w:rPr>
                <w:rFonts w:eastAsiaTheme="minorEastAsia"/>
                <w:sz w:val="20"/>
              </w:rPr>
              <w:t>-</w:t>
            </w:r>
          </w:p>
        </w:tc>
      </w:tr>
      <w:tr w:rsidR="00CD64B5" w:rsidRPr="007F2C2A" w14:paraId="645FBD0F" w14:textId="77777777" w:rsidTr="00CD64B5">
        <w:trPr>
          <w:trHeight w:val="184"/>
          <w:jc w:val="center"/>
        </w:trPr>
        <w:tc>
          <w:tcPr>
            <w:tcW w:w="309" w:type="pct"/>
            <w:tcBorders>
              <w:top w:val="single" w:sz="4" w:space="0" w:color="auto"/>
              <w:left w:val="single" w:sz="4" w:space="0" w:color="auto"/>
              <w:bottom w:val="single" w:sz="4" w:space="0" w:color="auto"/>
              <w:right w:val="single" w:sz="4" w:space="0" w:color="auto"/>
            </w:tcBorders>
            <w:hideMark/>
          </w:tcPr>
          <w:p w14:paraId="311FFC71" w14:textId="77777777" w:rsidR="00CD64B5" w:rsidRPr="007F2C2A" w:rsidRDefault="00CD64B5" w:rsidP="00CD64B5">
            <w:pPr>
              <w:rPr>
                <w:rFonts w:eastAsiaTheme="minorEastAsia"/>
                <w:sz w:val="20"/>
              </w:rPr>
            </w:pPr>
            <w:r w:rsidRPr="007F2C2A">
              <w:rPr>
                <w:rFonts w:eastAsiaTheme="minorEastAsia"/>
                <w:sz w:val="20"/>
              </w:rPr>
              <w:t>9</w:t>
            </w:r>
          </w:p>
        </w:tc>
        <w:tc>
          <w:tcPr>
            <w:tcW w:w="2263" w:type="pct"/>
            <w:tcBorders>
              <w:top w:val="single" w:sz="4" w:space="0" w:color="auto"/>
              <w:left w:val="single" w:sz="4" w:space="0" w:color="auto"/>
              <w:bottom w:val="single" w:sz="4" w:space="0" w:color="auto"/>
              <w:right w:val="single" w:sz="4" w:space="0" w:color="auto"/>
            </w:tcBorders>
            <w:hideMark/>
          </w:tcPr>
          <w:p w14:paraId="33243ABE" w14:textId="77777777" w:rsidR="00CD64B5" w:rsidRPr="007F2C2A" w:rsidRDefault="00CD64B5" w:rsidP="00CD64B5">
            <w:pPr>
              <w:rPr>
                <w:rFonts w:eastAsiaTheme="minorEastAsia"/>
                <w:sz w:val="20"/>
              </w:rPr>
            </w:pPr>
            <w:r w:rsidRPr="007F2C2A">
              <w:rPr>
                <w:rFonts w:ascii="Sylfaen" w:eastAsiaTheme="minorEastAsia" w:hAnsi="Sylfaen" w:cs="Sylfaen"/>
                <w:sz w:val="20"/>
              </w:rPr>
              <w:t>ნაჯერი</w:t>
            </w:r>
            <w:r w:rsidRPr="007F2C2A">
              <w:rPr>
                <w:rFonts w:eastAsiaTheme="minorEastAsia"/>
                <w:sz w:val="20"/>
              </w:rPr>
              <w:t xml:space="preserve"> </w:t>
            </w:r>
            <w:r w:rsidRPr="007F2C2A">
              <w:rPr>
                <w:rFonts w:ascii="Sylfaen" w:eastAsiaTheme="minorEastAsia" w:hAnsi="Sylfaen" w:cs="Sylfaen"/>
                <w:sz w:val="20"/>
              </w:rPr>
              <w:t>ნახშირწყალბადები</w:t>
            </w:r>
            <w:r w:rsidRPr="007F2C2A">
              <w:rPr>
                <w:rFonts w:eastAsiaTheme="minorEastAsia"/>
                <w:sz w:val="20"/>
              </w:rPr>
              <w:t xml:space="preserve"> (</w:t>
            </w:r>
            <w:r w:rsidRPr="007F2C2A">
              <w:rPr>
                <w:rFonts w:ascii="Sylfaen" w:eastAsiaTheme="minorEastAsia" w:hAnsi="Sylfaen" w:cs="Sylfaen"/>
                <w:sz w:val="20"/>
              </w:rPr>
              <w:t>ალკანები</w:t>
            </w:r>
            <w:r w:rsidRPr="007F2C2A">
              <w:rPr>
                <w:rFonts w:eastAsiaTheme="minorEastAsia"/>
                <w:sz w:val="20"/>
              </w:rPr>
              <w:t>C12-C19)</w:t>
            </w:r>
          </w:p>
        </w:tc>
        <w:tc>
          <w:tcPr>
            <w:tcW w:w="640" w:type="pct"/>
            <w:tcBorders>
              <w:top w:val="single" w:sz="4" w:space="0" w:color="auto"/>
              <w:left w:val="single" w:sz="4" w:space="0" w:color="auto"/>
              <w:bottom w:val="single" w:sz="4" w:space="0" w:color="auto"/>
              <w:right w:val="single" w:sz="4" w:space="0" w:color="auto"/>
            </w:tcBorders>
            <w:hideMark/>
          </w:tcPr>
          <w:p w14:paraId="0FEE4DA3" w14:textId="77777777" w:rsidR="00CD64B5" w:rsidRPr="007F2C2A" w:rsidRDefault="00CD64B5" w:rsidP="00CD64B5">
            <w:pPr>
              <w:rPr>
                <w:rFonts w:eastAsiaTheme="minorEastAsia"/>
                <w:sz w:val="20"/>
              </w:rPr>
            </w:pPr>
            <w:r w:rsidRPr="007F2C2A">
              <w:rPr>
                <w:rFonts w:eastAsiaTheme="minorEastAsia"/>
                <w:sz w:val="20"/>
              </w:rPr>
              <w:t>2754</w:t>
            </w:r>
          </w:p>
        </w:tc>
        <w:tc>
          <w:tcPr>
            <w:tcW w:w="853" w:type="pct"/>
            <w:tcBorders>
              <w:top w:val="single" w:sz="4" w:space="0" w:color="auto"/>
              <w:left w:val="single" w:sz="4" w:space="0" w:color="auto"/>
              <w:bottom w:val="single" w:sz="4" w:space="0" w:color="auto"/>
              <w:right w:val="single" w:sz="4" w:space="0" w:color="auto"/>
            </w:tcBorders>
            <w:hideMark/>
          </w:tcPr>
          <w:p w14:paraId="44252C0C" w14:textId="77777777" w:rsidR="00CD64B5" w:rsidRPr="007F2C2A" w:rsidRDefault="00CD64B5" w:rsidP="00CD64B5">
            <w:pPr>
              <w:rPr>
                <w:rFonts w:eastAsiaTheme="minorEastAsia"/>
                <w:sz w:val="20"/>
              </w:rPr>
            </w:pPr>
            <w:r w:rsidRPr="007F2C2A">
              <w:rPr>
                <w:rFonts w:eastAsiaTheme="minorEastAsia"/>
                <w:sz w:val="20"/>
              </w:rPr>
              <w:t>1,0</w:t>
            </w:r>
          </w:p>
        </w:tc>
        <w:tc>
          <w:tcPr>
            <w:tcW w:w="936" w:type="pct"/>
            <w:tcBorders>
              <w:top w:val="single" w:sz="4" w:space="0" w:color="auto"/>
              <w:left w:val="single" w:sz="4" w:space="0" w:color="auto"/>
              <w:bottom w:val="single" w:sz="4" w:space="0" w:color="auto"/>
              <w:right w:val="single" w:sz="4" w:space="0" w:color="auto"/>
            </w:tcBorders>
            <w:hideMark/>
          </w:tcPr>
          <w:p w14:paraId="6117AD49" w14:textId="77777777" w:rsidR="00CD64B5" w:rsidRPr="007F2C2A" w:rsidRDefault="00CD64B5" w:rsidP="00CD64B5">
            <w:pPr>
              <w:rPr>
                <w:rFonts w:eastAsiaTheme="minorEastAsia"/>
                <w:sz w:val="20"/>
              </w:rPr>
            </w:pPr>
            <w:r w:rsidRPr="007F2C2A">
              <w:rPr>
                <w:rFonts w:eastAsiaTheme="minorEastAsia"/>
                <w:sz w:val="20"/>
              </w:rPr>
              <w:t>-</w:t>
            </w:r>
          </w:p>
        </w:tc>
      </w:tr>
      <w:tr w:rsidR="00CD64B5" w:rsidRPr="007F2C2A" w14:paraId="457E3135" w14:textId="77777777" w:rsidTr="00CD64B5">
        <w:trPr>
          <w:trHeight w:val="184"/>
          <w:jc w:val="center"/>
        </w:trPr>
        <w:tc>
          <w:tcPr>
            <w:tcW w:w="309" w:type="pct"/>
            <w:tcBorders>
              <w:top w:val="single" w:sz="4" w:space="0" w:color="auto"/>
              <w:left w:val="single" w:sz="4" w:space="0" w:color="auto"/>
              <w:bottom w:val="single" w:sz="4" w:space="0" w:color="auto"/>
              <w:right w:val="single" w:sz="4" w:space="0" w:color="auto"/>
            </w:tcBorders>
            <w:hideMark/>
          </w:tcPr>
          <w:p w14:paraId="47E4C5BC" w14:textId="77777777" w:rsidR="00CD64B5" w:rsidRPr="007F2C2A" w:rsidRDefault="00CD64B5" w:rsidP="00CD64B5">
            <w:pPr>
              <w:rPr>
                <w:rFonts w:eastAsiaTheme="minorEastAsia"/>
                <w:sz w:val="20"/>
              </w:rPr>
            </w:pPr>
            <w:r w:rsidRPr="007F2C2A">
              <w:rPr>
                <w:rFonts w:eastAsiaTheme="minorEastAsia"/>
                <w:sz w:val="20"/>
              </w:rPr>
              <w:t>10</w:t>
            </w:r>
          </w:p>
        </w:tc>
        <w:tc>
          <w:tcPr>
            <w:tcW w:w="2263" w:type="pct"/>
            <w:tcBorders>
              <w:top w:val="single" w:sz="4" w:space="0" w:color="auto"/>
              <w:left w:val="single" w:sz="4" w:space="0" w:color="auto"/>
              <w:bottom w:val="single" w:sz="4" w:space="0" w:color="auto"/>
              <w:right w:val="single" w:sz="4" w:space="0" w:color="auto"/>
            </w:tcBorders>
            <w:hideMark/>
          </w:tcPr>
          <w:p w14:paraId="2E829C9B" w14:textId="77777777" w:rsidR="00CD64B5" w:rsidRPr="007F2C2A" w:rsidRDefault="00CD64B5" w:rsidP="00CD64B5">
            <w:pPr>
              <w:rPr>
                <w:rFonts w:eastAsiaTheme="minorEastAsia"/>
                <w:sz w:val="20"/>
              </w:rPr>
            </w:pPr>
            <w:r w:rsidRPr="007F2C2A">
              <w:rPr>
                <w:rFonts w:ascii="Sylfaen" w:eastAsiaTheme="minorEastAsia" w:hAnsi="Sylfaen" w:cs="Sylfaen"/>
                <w:sz w:val="20"/>
              </w:rPr>
              <w:t>შეწონილი</w:t>
            </w:r>
            <w:r w:rsidRPr="007F2C2A">
              <w:rPr>
                <w:rFonts w:eastAsiaTheme="minorEastAsia"/>
                <w:sz w:val="20"/>
              </w:rPr>
              <w:t xml:space="preserve"> </w:t>
            </w:r>
            <w:r w:rsidRPr="007F2C2A">
              <w:rPr>
                <w:rFonts w:ascii="Sylfaen" w:eastAsiaTheme="minorEastAsia" w:hAnsi="Sylfaen" w:cs="Sylfaen"/>
                <w:sz w:val="20"/>
              </w:rPr>
              <w:t>ნაწილაკები</w:t>
            </w:r>
          </w:p>
        </w:tc>
        <w:tc>
          <w:tcPr>
            <w:tcW w:w="640" w:type="pct"/>
            <w:tcBorders>
              <w:top w:val="single" w:sz="4" w:space="0" w:color="auto"/>
              <w:left w:val="single" w:sz="4" w:space="0" w:color="auto"/>
              <w:bottom w:val="single" w:sz="4" w:space="0" w:color="auto"/>
              <w:right w:val="single" w:sz="4" w:space="0" w:color="auto"/>
            </w:tcBorders>
            <w:hideMark/>
          </w:tcPr>
          <w:p w14:paraId="63BEC1F2" w14:textId="77777777" w:rsidR="00CD64B5" w:rsidRPr="007F2C2A" w:rsidRDefault="00CD64B5" w:rsidP="00CD64B5">
            <w:pPr>
              <w:rPr>
                <w:rFonts w:eastAsiaTheme="minorEastAsia"/>
                <w:sz w:val="20"/>
              </w:rPr>
            </w:pPr>
            <w:r w:rsidRPr="007F2C2A">
              <w:rPr>
                <w:rFonts w:eastAsiaTheme="minorEastAsia"/>
                <w:sz w:val="20"/>
              </w:rPr>
              <w:t>2902</w:t>
            </w:r>
          </w:p>
        </w:tc>
        <w:tc>
          <w:tcPr>
            <w:tcW w:w="853" w:type="pct"/>
            <w:tcBorders>
              <w:top w:val="single" w:sz="4" w:space="0" w:color="auto"/>
              <w:left w:val="single" w:sz="4" w:space="0" w:color="auto"/>
              <w:bottom w:val="single" w:sz="4" w:space="0" w:color="auto"/>
              <w:right w:val="single" w:sz="4" w:space="0" w:color="auto"/>
            </w:tcBorders>
            <w:hideMark/>
          </w:tcPr>
          <w:p w14:paraId="28234060" w14:textId="77777777" w:rsidR="00CD64B5" w:rsidRPr="007F2C2A" w:rsidRDefault="00CD64B5" w:rsidP="00CD64B5">
            <w:pPr>
              <w:rPr>
                <w:rFonts w:eastAsiaTheme="minorEastAsia"/>
                <w:sz w:val="20"/>
              </w:rPr>
            </w:pPr>
            <w:r w:rsidRPr="007F2C2A">
              <w:rPr>
                <w:rFonts w:eastAsiaTheme="minorEastAsia"/>
                <w:sz w:val="20"/>
              </w:rPr>
              <w:t>0,5</w:t>
            </w:r>
          </w:p>
        </w:tc>
        <w:tc>
          <w:tcPr>
            <w:tcW w:w="936" w:type="pct"/>
            <w:tcBorders>
              <w:top w:val="single" w:sz="4" w:space="0" w:color="auto"/>
              <w:left w:val="single" w:sz="4" w:space="0" w:color="auto"/>
              <w:bottom w:val="single" w:sz="4" w:space="0" w:color="auto"/>
              <w:right w:val="single" w:sz="4" w:space="0" w:color="auto"/>
            </w:tcBorders>
            <w:hideMark/>
          </w:tcPr>
          <w:p w14:paraId="6B696615" w14:textId="77777777" w:rsidR="00CD64B5" w:rsidRPr="007F2C2A" w:rsidRDefault="00CD64B5" w:rsidP="00CD64B5">
            <w:pPr>
              <w:rPr>
                <w:rFonts w:eastAsiaTheme="minorEastAsia"/>
                <w:sz w:val="20"/>
              </w:rPr>
            </w:pPr>
            <w:r w:rsidRPr="007F2C2A">
              <w:rPr>
                <w:rFonts w:eastAsiaTheme="minorEastAsia"/>
                <w:sz w:val="20"/>
              </w:rPr>
              <w:t>0,15</w:t>
            </w:r>
          </w:p>
        </w:tc>
      </w:tr>
      <w:tr w:rsidR="00CD64B5" w:rsidRPr="007F2C2A" w14:paraId="5515E2A4" w14:textId="77777777" w:rsidTr="00CD64B5">
        <w:trPr>
          <w:trHeight w:val="184"/>
          <w:jc w:val="center"/>
        </w:trPr>
        <w:tc>
          <w:tcPr>
            <w:tcW w:w="309" w:type="pct"/>
            <w:tcBorders>
              <w:top w:val="single" w:sz="4" w:space="0" w:color="auto"/>
              <w:left w:val="single" w:sz="4" w:space="0" w:color="auto"/>
              <w:bottom w:val="single" w:sz="4" w:space="0" w:color="auto"/>
              <w:right w:val="single" w:sz="4" w:space="0" w:color="auto"/>
            </w:tcBorders>
            <w:hideMark/>
          </w:tcPr>
          <w:p w14:paraId="1532A895" w14:textId="77777777" w:rsidR="00CD64B5" w:rsidRPr="007F2C2A" w:rsidRDefault="00CD64B5" w:rsidP="00CD64B5">
            <w:pPr>
              <w:rPr>
                <w:rFonts w:eastAsiaTheme="minorEastAsia"/>
                <w:sz w:val="20"/>
              </w:rPr>
            </w:pPr>
            <w:r w:rsidRPr="007F2C2A">
              <w:rPr>
                <w:rFonts w:eastAsiaTheme="minorEastAsia"/>
                <w:sz w:val="20"/>
              </w:rPr>
              <w:t>11</w:t>
            </w:r>
          </w:p>
        </w:tc>
        <w:tc>
          <w:tcPr>
            <w:tcW w:w="2263" w:type="pct"/>
            <w:tcBorders>
              <w:top w:val="single" w:sz="4" w:space="0" w:color="auto"/>
              <w:left w:val="single" w:sz="4" w:space="0" w:color="auto"/>
              <w:bottom w:val="single" w:sz="4" w:space="0" w:color="auto"/>
              <w:right w:val="single" w:sz="4" w:space="0" w:color="auto"/>
            </w:tcBorders>
            <w:hideMark/>
          </w:tcPr>
          <w:p w14:paraId="537A05F0" w14:textId="77777777" w:rsidR="00CD64B5" w:rsidRPr="007F2C2A" w:rsidRDefault="00CD64B5" w:rsidP="00CD64B5">
            <w:pPr>
              <w:rPr>
                <w:rFonts w:eastAsiaTheme="minorEastAsia"/>
                <w:sz w:val="20"/>
              </w:rPr>
            </w:pPr>
            <w:r w:rsidRPr="007F2C2A">
              <w:rPr>
                <w:rFonts w:ascii="Sylfaen" w:eastAsiaTheme="minorEastAsia" w:hAnsi="Sylfaen" w:cs="Sylfaen"/>
                <w:sz w:val="20"/>
              </w:rPr>
              <w:t>არაორგანული</w:t>
            </w:r>
            <w:r w:rsidRPr="007F2C2A">
              <w:rPr>
                <w:rFonts w:eastAsiaTheme="minorEastAsia"/>
                <w:sz w:val="20"/>
              </w:rPr>
              <w:t xml:space="preserve"> </w:t>
            </w:r>
            <w:r w:rsidRPr="007F2C2A">
              <w:rPr>
                <w:rFonts w:ascii="Sylfaen" w:eastAsiaTheme="minorEastAsia" w:hAnsi="Sylfaen" w:cs="Sylfaen"/>
                <w:sz w:val="20"/>
              </w:rPr>
              <w:t>მტვერი</w:t>
            </w:r>
            <w:r w:rsidRPr="007F2C2A">
              <w:rPr>
                <w:rFonts w:eastAsiaTheme="minorEastAsia"/>
                <w:sz w:val="20"/>
              </w:rPr>
              <w:t>: 70-20% SiO2</w:t>
            </w:r>
          </w:p>
        </w:tc>
        <w:tc>
          <w:tcPr>
            <w:tcW w:w="640" w:type="pct"/>
            <w:tcBorders>
              <w:top w:val="single" w:sz="4" w:space="0" w:color="auto"/>
              <w:left w:val="single" w:sz="4" w:space="0" w:color="auto"/>
              <w:bottom w:val="single" w:sz="4" w:space="0" w:color="auto"/>
              <w:right w:val="single" w:sz="4" w:space="0" w:color="auto"/>
            </w:tcBorders>
            <w:hideMark/>
          </w:tcPr>
          <w:p w14:paraId="0B42AFAB" w14:textId="77777777" w:rsidR="00CD64B5" w:rsidRPr="007F2C2A" w:rsidRDefault="00CD64B5" w:rsidP="00CD64B5">
            <w:pPr>
              <w:rPr>
                <w:rFonts w:eastAsiaTheme="minorEastAsia"/>
                <w:sz w:val="20"/>
              </w:rPr>
            </w:pPr>
            <w:r w:rsidRPr="007F2C2A">
              <w:rPr>
                <w:rFonts w:eastAsiaTheme="minorEastAsia"/>
                <w:sz w:val="20"/>
              </w:rPr>
              <w:t>2908</w:t>
            </w:r>
          </w:p>
        </w:tc>
        <w:tc>
          <w:tcPr>
            <w:tcW w:w="853" w:type="pct"/>
            <w:tcBorders>
              <w:top w:val="single" w:sz="4" w:space="0" w:color="auto"/>
              <w:left w:val="single" w:sz="4" w:space="0" w:color="auto"/>
              <w:bottom w:val="single" w:sz="4" w:space="0" w:color="auto"/>
              <w:right w:val="single" w:sz="4" w:space="0" w:color="auto"/>
            </w:tcBorders>
            <w:hideMark/>
          </w:tcPr>
          <w:p w14:paraId="1859E0AE" w14:textId="77777777" w:rsidR="00CD64B5" w:rsidRPr="007F2C2A" w:rsidRDefault="00CD64B5" w:rsidP="00CD64B5">
            <w:pPr>
              <w:rPr>
                <w:rFonts w:eastAsiaTheme="minorEastAsia"/>
                <w:sz w:val="20"/>
              </w:rPr>
            </w:pPr>
            <w:r w:rsidRPr="007F2C2A">
              <w:rPr>
                <w:rFonts w:eastAsiaTheme="minorEastAsia"/>
                <w:sz w:val="20"/>
              </w:rPr>
              <w:t>0,3</w:t>
            </w:r>
          </w:p>
        </w:tc>
        <w:tc>
          <w:tcPr>
            <w:tcW w:w="936" w:type="pct"/>
            <w:tcBorders>
              <w:top w:val="single" w:sz="4" w:space="0" w:color="auto"/>
              <w:left w:val="single" w:sz="4" w:space="0" w:color="auto"/>
              <w:bottom w:val="single" w:sz="4" w:space="0" w:color="auto"/>
              <w:right w:val="single" w:sz="4" w:space="0" w:color="auto"/>
            </w:tcBorders>
            <w:hideMark/>
          </w:tcPr>
          <w:p w14:paraId="4B0D3778" w14:textId="77777777" w:rsidR="00CD64B5" w:rsidRPr="007F2C2A" w:rsidRDefault="00CD64B5" w:rsidP="00CD64B5">
            <w:pPr>
              <w:rPr>
                <w:rFonts w:eastAsiaTheme="minorEastAsia"/>
                <w:sz w:val="20"/>
              </w:rPr>
            </w:pPr>
            <w:r w:rsidRPr="007F2C2A">
              <w:rPr>
                <w:rFonts w:eastAsiaTheme="minorEastAsia"/>
                <w:sz w:val="20"/>
              </w:rPr>
              <w:t>0,1</w:t>
            </w:r>
          </w:p>
        </w:tc>
      </w:tr>
    </w:tbl>
    <w:p w14:paraId="43A48492" w14:textId="77777777" w:rsidR="00CD64B5" w:rsidRPr="001352AB" w:rsidRDefault="00CD64B5" w:rsidP="00CD64B5">
      <w:pPr>
        <w:rPr>
          <w:rFonts w:eastAsiaTheme="minorEastAsia"/>
          <w:lang w:val="ka-GE"/>
        </w:rPr>
      </w:pPr>
    </w:p>
    <w:p w14:paraId="197EAA76" w14:textId="77777777" w:rsidR="00CD64B5" w:rsidRPr="00CD64B5" w:rsidRDefault="00CD64B5" w:rsidP="00CD64B5">
      <w:pPr>
        <w:spacing w:before="120" w:after="120"/>
        <w:rPr>
          <w:rFonts w:eastAsiaTheme="minorEastAsia"/>
          <w:b/>
        </w:rPr>
      </w:pPr>
      <w:bookmarkStart w:id="275" w:name="_Toc419823079"/>
      <w:r w:rsidRPr="00CD64B5">
        <w:rPr>
          <w:rFonts w:ascii="Sylfaen" w:eastAsiaTheme="majorEastAsia" w:hAnsi="Sylfaen" w:cs="Sylfaen"/>
          <w:b/>
        </w:rPr>
        <w:t>ატმოსფერულ</w:t>
      </w:r>
      <w:r w:rsidRPr="00CD64B5">
        <w:rPr>
          <w:rFonts w:eastAsiaTheme="majorEastAsia"/>
          <w:b/>
        </w:rPr>
        <w:t>-</w:t>
      </w:r>
      <w:r w:rsidRPr="00CD64B5">
        <w:rPr>
          <w:rFonts w:ascii="Sylfaen" w:eastAsiaTheme="majorEastAsia" w:hAnsi="Sylfaen" w:cs="Sylfaen"/>
          <w:b/>
        </w:rPr>
        <w:t>ჰაერში</w:t>
      </w:r>
      <w:r w:rsidRPr="00CD64B5">
        <w:rPr>
          <w:rFonts w:eastAsiaTheme="majorEastAsia"/>
          <w:b/>
        </w:rPr>
        <w:t xml:space="preserve"> </w:t>
      </w:r>
      <w:r w:rsidRPr="00CD64B5">
        <w:rPr>
          <w:rFonts w:ascii="Sylfaen" w:eastAsiaTheme="majorEastAsia" w:hAnsi="Sylfaen" w:cs="Sylfaen"/>
          <w:b/>
        </w:rPr>
        <w:t>მავნე</w:t>
      </w:r>
      <w:r w:rsidRPr="00CD64B5">
        <w:rPr>
          <w:rFonts w:eastAsiaTheme="majorEastAsia"/>
          <w:b/>
        </w:rPr>
        <w:t xml:space="preserve"> </w:t>
      </w:r>
      <w:r w:rsidRPr="00CD64B5">
        <w:rPr>
          <w:rFonts w:ascii="Sylfaen" w:eastAsiaTheme="majorEastAsia" w:hAnsi="Sylfaen" w:cs="Sylfaen"/>
          <w:b/>
        </w:rPr>
        <w:t>ნივტიერებათა</w:t>
      </w:r>
      <w:r w:rsidRPr="00CD64B5">
        <w:rPr>
          <w:rFonts w:eastAsiaTheme="majorEastAsia"/>
          <w:b/>
        </w:rPr>
        <w:t xml:space="preserve"> </w:t>
      </w:r>
      <w:r w:rsidRPr="00CD64B5">
        <w:rPr>
          <w:rFonts w:ascii="Sylfaen" w:eastAsiaTheme="majorEastAsia" w:hAnsi="Sylfaen" w:cs="Sylfaen"/>
          <w:b/>
        </w:rPr>
        <w:t>გაბნევის</w:t>
      </w:r>
      <w:r w:rsidRPr="00CD64B5">
        <w:rPr>
          <w:rFonts w:eastAsiaTheme="majorEastAsia"/>
          <w:b/>
        </w:rPr>
        <w:t xml:space="preserve"> </w:t>
      </w:r>
      <w:r w:rsidRPr="00CD64B5">
        <w:rPr>
          <w:rFonts w:ascii="Sylfaen" w:eastAsiaTheme="majorEastAsia" w:hAnsi="Sylfaen" w:cs="Sylfaen"/>
          <w:b/>
        </w:rPr>
        <w:t>ანგარიში</w:t>
      </w:r>
      <w:bookmarkEnd w:id="275"/>
      <w:r w:rsidRPr="00CD64B5">
        <w:rPr>
          <w:rFonts w:eastAsiaTheme="majorEastAsia"/>
          <w:b/>
        </w:rPr>
        <w:t xml:space="preserve"> </w:t>
      </w:r>
    </w:p>
    <w:p w14:paraId="2B5E270B" w14:textId="77777777" w:rsidR="00CD64B5" w:rsidRPr="001352AB" w:rsidRDefault="00CD64B5" w:rsidP="00CD64B5">
      <w:pPr>
        <w:spacing w:before="120" w:after="120"/>
        <w:rPr>
          <w:rFonts w:eastAsiaTheme="minorEastAsia"/>
        </w:rPr>
      </w:pPr>
      <w:r w:rsidRPr="001352AB">
        <w:rPr>
          <w:rFonts w:ascii="Sylfaen" w:eastAsiaTheme="minorEastAsia" w:hAnsi="Sylfaen" w:cs="Sylfaen"/>
        </w:rPr>
        <w:t>ზემოთ</w:t>
      </w:r>
      <w:r w:rsidRPr="001352AB">
        <w:rPr>
          <w:rFonts w:eastAsiaTheme="minorEastAsia"/>
        </w:rPr>
        <w:t xml:space="preserve"> </w:t>
      </w:r>
      <w:r w:rsidRPr="001352AB">
        <w:rPr>
          <w:rFonts w:ascii="Sylfaen" w:eastAsiaTheme="minorEastAsia" w:hAnsi="Sylfaen" w:cs="Sylfaen"/>
        </w:rPr>
        <w:t>აღნიშნული</w:t>
      </w:r>
      <w:r w:rsidRPr="001352AB">
        <w:rPr>
          <w:rFonts w:eastAsiaTheme="minorEastAsia"/>
        </w:rPr>
        <w:t xml:space="preserve"> </w:t>
      </w:r>
      <w:r w:rsidRPr="001352AB">
        <w:rPr>
          <w:rFonts w:ascii="Sylfaen" w:eastAsiaTheme="minorEastAsia" w:hAnsi="Sylfaen" w:cs="Sylfaen"/>
        </w:rPr>
        <w:t>მონაცემებით</w:t>
      </w:r>
      <w:r w:rsidRPr="001352AB">
        <w:rPr>
          <w:rFonts w:eastAsiaTheme="minorEastAsia"/>
        </w:rPr>
        <w:t xml:space="preserve"> </w:t>
      </w:r>
      <w:r w:rsidRPr="001352AB">
        <w:rPr>
          <w:rFonts w:ascii="Sylfaen" w:eastAsiaTheme="minorEastAsia" w:hAnsi="Sylfaen" w:cs="Sylfaen"/>
        </w:rPr>
        <w:t>ჩატარდა</w:t>
      </w:r>
      <w:r w:rsidRPr="001352AB">
        <w:rPr>
          <w:rFonts w:eastAsiaTheme="minorEastAsia"/>
        </w:rPr>
        <w:t xml:space="preserve"> </w:t>
      </w:r>
      <w:r w:rsidRPr="001352AB">
        <w:rPr>
          <w:rFonts w:ascii="Sylfaen" w:eastAsiaTheme="minorEastAsia" w:hAnsi="Sylfaen" w:cs="Sylfaen"/>
        </w:rPr>
        <w:t>გაბნევის</w:t>
      </w:r>
      <w:r w:rsidRPr="001352AB">
        <w:rPr>
          <w:rFonts w:eastAsiaTheme="minorEastAsia"/>
        </w:rPr>
        <w:t xml:space="preserve"> </w:t>
      </w:r>
      <w:r w:rsidRPr="001352AB">
        <w:rPr>
          <w:rFonts w:ascii="Sylfaen" w:eastAsiaTheme="minorEastAsia" w:hAnsi="Sylfaen" w:cs="Sylfaen"/>
        </w:rPr>
        <w:t>ანგარიში</w:t>
      </w:r>
      <w:r w:rsidRPr="001352AB">
        <w:rPr>
          <w:rFonts w:eastAsiaTheme="minorEastAsia"/>
        </w:rPr>
        <w:t xml:space="preserve"> </w:t>
      </w:r>
      <w:r w:rsidRPr="001352AB">
        <w:rPr>
          <w:rFonts w:ascii="Sylfaen" w:eastAsiaTheme="minorEastAsia" w:hAnsi="Sylfaen" w:cs="Sylfaen"/>
        </w:rPr>
        <w:t>მიხედვით</w:t>
      </w:r>
      <w:r w:rsidRPr="001352AB">
        <w:rPr>
          <w:rFonts w:eastAsiaTheme="minorEastAsia"/>
        </w:rPr>
        <w:t xml:space="preserve">. </w:t>
      </w:r>
      <w:r w:rsidRPr="001352AB">
        <w:rPr>
          <w:rFonts w:ascii="Sylfaen" w:eastAsiaTheme="minorEastAsia" w:hAnsi="Sylfaen" w:cs="Sylfaen"/>
        </w:rPr>
        <w:t>გაბნევის</w:t>
      </w:r>
      <w:r w:rsidRPr="001352AB">
        <w:rPr>
          <w:rFonts w:eastAsiaTheme="minorEastAsia"/>
        </w:rPr>
        <w:t xml:space="preserve"> </w:t>
      </w:r>
      <w:r w:rsidRPr="001352AB">
        <w:rPr>
          <w:rFonts w:ascii="Sylfaen" w:eastAsiaTheme="minorEastAsia" w:hAnsi="Sylfaen" w:cs="Sylfaen"/>
        </w:rPr>
        <w:t>ანგარიშში</w:t>
      </w:r>
      <w:r w:rsidRPr="001352AB">
        <w:rPr>
          <w:rFonts w:eastAsiaTheme="minorEastAsia"/>
        </w:rPr>
        <w:t xml:space="preserve"> </w:t>
      </w:r>
      <w:r w:rsidRPr="001352AB">
        <w:rPr>
          <w:rFonts w:ascii="Sylfaen" w:eastAsiaTheme="minorEastAsia" w:hAnsi="Sylfaen" w:cs="Sylfaen"/>
        </w:rPr>
        <w:t>მონაწილება</w:t>
      </w:r>
      <w:r w:rsidRPr="001352AB">
        <w:rPr>
          <w:rFonts w:eastAsiaTheme="minorEastAsia"/>
        </w:rPr>
        <w:t xml:space="preserve"> </w:t>
      </w:r>
      <w:r w:rsidRPr="001352AB">
        <w:rPr>
          <w:rFonts w:ascii="Sylfaen" w:eastAsiaTheme="minorEastAsia" w:hAnsi="Sylfaen" w:cs="Sylfaen"/>
        </w:rPr>
        <w:t>მიიღო</w:t>
      </w:r>
      <w:r w:rsidRPr="001352AB">
        <w:rPr>
          <w:rFonts w:eastAsiaTheme="minorEastAsia"/>
        </w:rPr>
        <w:t xml:space="preserve"> 11-</w:t>
      </w:r>
      <w:r w:rsidRPr="001352AB">
        <w:rPr>
          <w:rFonts w:ascii="Sylfaen" w:eastAsiaTheme="minorEastAsia" w:hAnsi="Sylfaen" w:cs="Sylfaen"/>
        </w:rPr>
        <w:t>მა</w:t>
      </w:r>
      <w:r w:rsidRPr="001352AB">
        <w:rPr>
          <w:rFonts w:eastAsiaTheme="minorEastAsia"/>
        </w:rPr>
        <w:t xml:space="preserve"> </w:t>
      </w:r>
      <w:r w:rsidRPr="001352AB">
        <w:rPr>
          <w:rFonts w:ascii="Sylfaen" w:eastAsiaTheme="minorEastAsia" w:hAnsi="Sylfaen" w:cs="Sylfaen"/>
        </w:rPr>
        <w:t>ინდივიდუალურმა</w:t>
      </w:r>
      <w:r w:rsidRPr="001352AB">
        <w:rPr>
          <w:rFonts w:eastAsiaTheme="minorEastAsia"/>
        </w:rPr>
        <w:t xml:space="preserve"> </w:t>
      </w:r>
      <w:r w:rsidRPr="001352AB">
        <w:rPr>
          <w:rFonts w:ascii="Sylfaen" w:eastAsiaTheme="minorEastAsia" w:hAnsi="Sylfaen" w:cs="Sylfaen"/>
        </w:rPr>
        <w:t>ნივთიერებამ</w:t>
      </w:r>
      <w:r w:rsidRPr="001352AB">
        <w:rPr>
          <w:rFonts w:eastAsiaTheme="minorEastAsia"/>
        </w:rPr>
        <w:t xml:space="preserve"> 4-</w:t>
      </w:r>
      <w:r w:rsidRPr="001352AB">
        <w:rPr>
          <w:rFonts w:ascii="Sylfaen" w:eastAsiaTheme="minorEastAsia" w:hAnsi="Sylfaen" w:cs="Sylfaen"/>
        </w:rPr>
        <w:t>მა</w:t>
      </w:r>
      <w:r w:rsidRPr="001352AB">
        <w:rPr>
          <w:rFonts w:eastAsiaTheme="minorEastAsia"/>
        </w:rPr>
        <w:t xml:space="preserve"> </w:t>
      </w:r>
      <w:r w:rsidRPr="001352AB">
        <w:rPr>
          <w:rFonts w:ascii="Sylfaen" w:eastAsiaTheme="minorEastAsia" w:hAnsi="Sylfaen" w:cs="Sylfaen"/>
        </w:rPr>
        <w:t>ჯამური</w:t>
      </w:r>
      <w:r w:rsidRPr="001352AB">
        <w:rPr>
          <w:rFonts w:eastAsiaTheme="minorEastAsia"/>
        </w:rPr>
        <w:t xml:space="preserve"> </w:t>
      </w:r>
      <w:r w:rsidRPr="001352AB">
        <w:rPr>
          <w:rFonts w:ascii="Sylfaen" w:eastAsiaTheme="minorEastAsia" w:hAnsi="Sylfaen" w:cs="Sylfaen"/>
        </w:rPr>
        <w:t>ზემოქმედების</w:t>
      </w:r>
      <w:r w:rsidRPr="001352AB">
        <w:rPr>
          <w:rFonts w:eastAsiaTheme="minorEastAsia"/>
        </w:rPr>
        <w:t xml:space="preserve"> </w:t>
      </w:r>
      <w:r w:rsidRPr="001352AB">
        <w:rPr>
          <w:rFonts w:ascii="Sylfaen" w:eastAsiaTheme="minorEastAsia" w:hAnsi="Sylfaen" w:cs="Sylfaen"/>
        </w:rPr>
        <w:t>ჯგუფმა</w:t>
      </w:r>
      <w:r w:rsidRPr="001352AB">
        <w:rPr>
          <w:rFonts w:eastAsiaTheme="minorEastAsia"/>
        </w:rPr>
        <w:t xml:space="preserve"> </w:t>
      </w:r>
      <w:r w:rsidRPr="001352AB">
        <w:rPr>
          <w:rFonts w:ascii="Sylfaen" w:eastAsiaTheme="minorEastAsia" w:hAnsi="Sylfaen" w:cs="Sylfaen"/>
        </w:rPr>
        <w:t>და</w:t>
      </w:r>
      <w:r w:rsidRPr="001352AB">
        <w:rPr>
          <w:rFonts w:eastAsiaTheme="minorEastAsia"/>
        </w:rPr>
        <w:t xml:space="preserve"> 1-</w:t>
      </w:r>
      <w:r w:rsidRPr="001352AB">
        <w:rPr>
          <w:rFonts w:ascii="Sylfaen" w:eastAsiaTheme="minorEastAsia" w:hAnsi="Sylfaen" w:cs="Sylfaen"/>
        </w:rPr>
        <w:t>მა</w:t>
      </w:r>
      <w:r w:rsidRPr="001352AB">
        <w:rPr>
          <w:rFonts w:eastAsiaTheme="minorEastAsia"/>
        </w:rPr>
        <w:t xml:space="preserve"> </w:t>
      </w:r>
      <w:r w:rsidRPr="001352AB">
        <w:rPr>
          <w:rFonts w:ascii="Sylfaen" w:eastAsiaTheme="minorEastAsia" w:hAnsi="Sylfaen" w:cs="Sylfaen"/>
        </w:rPr>
        <w:t>არასრული</w:t>
      </w:r>
      <w:r w:rsidRPr="001352AB">
        <w:rPr>
          <w:rFonts w:eastAsiaTheme="minorEastAsia"/>
        </w:rPr>
        <w:t xml:space="preserve"> </w:t>
      </w:r>
      <w:r w:rsidRPr="001352AB">
        <w:rPr>
          <w:rFonts w:ascii="Sylfaen" w:eastAsiaTheme="minorEastAsia" w:hAnsi="Sylfaen" w:cs="Sylfaen"/>
        </w:rPr>
        <w:t>ჯამური</w:t>
      </w:r>
      <w:r w:rsidRPr="001352AB">
        <w:rPr>
          <w:rFonts w:eastAsiaTheme="minorEastAsia"/>
        </w:rPr>
        <w:t xml:space="preserve"> </w:t>
      </w:r>
      <w:r w:rsidRPr="001352AB">
        <w:rPr>
          <w:rFonts w:ascii="Sylfaen" w:eastAsiaTheme="minorEastAsia" w:hAnsi="Sylfaen" w:cs="Sylfaen"/>
        </w:rPr>
        <w:t>ზემოქმედების</w:t>
      </w:r>
      <w:r w:rsidRPr="001352AB">
        <w:rPr>
          <w:rFonts w:eastAsiaTheme="minorEastAsia"/>
        </w:rPr>
        <w:t xml:space="preserve"> </w:t>
      </w:r>
      <w:r w:rsidRPr="001352AB">
        <w:rPr>
          <w:rFonts w:ascii="Sylfaen" w:eastAsiaTheme="minorEastAsia" w:hAnsi="Sylfaen" w:cs="Sylfaen"/>
        </w:rPr>
        <w:t>ჯგუფმა</w:t>
      </w:r>
      <w:r w:rsidRPr="001352AB">
        <w:rPr>
          <w:rFonts w:eastAsiaTheme="minorEastAsia"/>
        </w:rPr>
        <w:t xml:space="preserve"> </w:t>
      </w:r>
      <w:r w:rsidRPr="001352AB">
        <w:rPr>
          <w:rFonts w:ascii="Sylfaen" w:eastAsiaTheme="minorEastAsia" w:hAnsi="Sylfaen" w:cs="Sylfaen"/>
        </w:rPr>
        <w:t>ზდკ</w:t>
      </w:r>
      <w:r w:rsidRPr="001352AB">
        <w:rPr>
          <w:rFonts w:eastAsiaTheme="minorEastAsia"/>
        </w:rPr>
        <w:t>-</w:t>
      </w:r>
      <w:r w:rsidRPr="001352AB">
        <w:rPr>
          <w:rFonts w:ascii="Sylfaen" w:eastAsiaTheme="minorEastAsia" w:hAnsi="Sylfaen" w:cs="Sylfaen"/>
        </w:rPr>
        <w:t>ს</w:t>
      </w:r>
      <w:r w:rsidRPr="001352AB">
        <w:rPr>
          <w:rFonts w:eastAsiaTheme="minorEastAsia"/>
        </w:rPr>
        <w:t xml:space="preserve"> </w:t>
      </w:r>
      <w:r w:rsidRPr="001352AB">
        <w:rPr>
          <w:rFonts w:ascii="Sylfaen" w:eastAsiaTheme="minorEastAsia" w:hAnsi="Sylfaen" w:cs="Sylfaen"/>
        </w:rPr>
        <w:t>კრიტერიუმები</w:t>
      </w:r>
      <w:r w:rsidRPr="001352AB">
        <w:rPr>
          <w:rFonts w:eastAsiaTheme="minorEastAsia"/>
        </w:rPr>
        <w:t xml:space="preserve"> </w:t>
      </w:r>
      <w:r w:rsidRPr="001352AB">
        <w:rPr>
          <w:rFonts w:ascii="Sylfaen" w:eastAsiaTheme="minorEastAsia" w:hAnsi="Sylfaen" w:cs="Sylfaen"/>
        </w:rPr>
        <w:t>მიღებულია</w:t>
      </w:r>
      <w:r w:rsidRPr="001352AB">
        <w:rPr>
          <w:rFonts w:eastAsiaTheme="minorEastAsia"/>
        </w:rPr>
        <w:t xml:space="preserve"> </w:t>
      </w:r>
      <w:r w:rsidRPr="001352AB">
        <w:rPr>
          <w:rFonts w:ascii="Sylfaen" w:eastAsiaTheme="minorEastAsia" w:hAnsi="Sylfaen" w:cs="Sylfaen"/>
        </w:rPr>
        <w:t>მიხედვით</w:t>
      </w:r>
      <w:r w:rsidRPr="001352AB">
        <w:rPr>
          <w:rFonts w:eastAsiaTheme="minorEastAsia"/>
        </w:rPr>
        <w:t xml:space="preserve">. </w:t>
      </w:r>
    </w:p>
    <w:p w14:paraId="3B22F208" w14:textId="77777777" w:rsidR="00CD64B5" w:rsidRPr="001352AB" w:rsidRDefault="00CD64B5" w:rsidP="00CD64B5">
      <w:pPr>
        <w:spacing w:before="120" w:after="120"/>
        <w:rPr>
          <w:rFonts w:eastAsiaTheme="minorEastAsia"/>
        </w:rPr>
      </w:pPr>
      <w:bookmarkStart w:id="276" w:name="_Toc436594180"/>
      <w:r w:rsidRPr="001352AB">
        <w:rPr>
          <w:rFonts w:ascii="Sylfaen" w:hAnsi="Sylfaen" w:cs="Sylfaen"/>
        </w:rPr>
        <w:t>ცხრილი</w:t>
      </w:r>
      <w:r w:rsidRPr="001352AB">
        <w:t xml:space="preserve"> 7.1-19.    </w:t>
      </w:r>
      <w:r w:rsidRPr="001352AB">
        <w:rPr>
          <w:rFonts w:ascii="Sylfaen" w:hAnsi="Sylfaen" w:cs="Sylfaen"/>
        </w:rPr>
        <w:t>საანგარიშო</w:t>
      </w:r>
      <w:r w:rsidRPr="001352AB">
        <w:t xml:space="preserve"> </w:t>
      </w:r>
      <w:r w:rsidRPr="001352AB">
        <w:rPr>
          <w:rFonts w:ascii="Sylfaen" w:hAnsi="Sylfaen" w:cs="Sylfaen"/>
        </w:rPr>
        <w:t>არეალი</w:t>
      </w:r>
      <w:r w:rsidRPr="001352AB">
        <w:t xml:space="preserve"> -</w:t>
      </w:r>
      <w:r w:rsidRPr="001352AB">
        <w:rPr>
          <w:rFonts w:ascii="Sylfaen" w:hAnsi="Sylfaen" w:cs="Sylfaen"/>
        </w:rPr>
        <w:t>საანგარიშო</w:t>
      </w:r>
      <w:r w:rsidRPr="001352AB">
        <w:t xml:space="preserve"> </w:t>
      </w:r>
      <w:r w:rsidRPr="001352AB">
        <w:rPr>
          <w:rFonts w:ascii="Sylfaen" w:hAnsi="Sylfaen" w:cs="Sylfaen"/>
        </w:rPr>
        <w:t>მოედნები</w:t>
      </w:r>
      <w:bookmarkEnd w:id="276"/>
    </w:p>
    <w:tbl>
      <w:tblPr>
        <w:tblW w:w="5000" w:type="pct"/>
        <w:jc w:val="center"/>
        <w:tblCellMar>
          <w:left w:w="0" w:type="dxa"/>
          <w:right w:w="0" w:type="dxa"/>
        </w:tblCellMar>
        <w:tblLook w:val="04A0" w:firstRow="1" w:lastRow="0" w:firstColumn="1" w:lastColumn="0" w:noHBand="0" w:noVBand="1"/>
      </w:tblPr>
      <w:tblGrid>
        <w:gridCol w:w="365"/>
        <w:gridCol w:w="1373"/>
        <w:gridCol w:w="1008"/>
        <w:gridCol w:w="1024"/>
        <w:gridCol w:w="1037"/>
        <w:gridCol w:w="993"/>
        <w:gridCol w:w="918"/>
        <w:gridCol w:w="571"/>
        <w:gridCol w:w="571"/>
        <w:gridCol w:w="1062"/>
        <w:gridCol w:w="1467"/>
      </w:tblGrid>
      <w:tr w:rsidR="00CD64B5" w:rsidRPr="007F2C2A" w14:paraId="72CE9455" w14:textId="77777777" w:rsidTr="00CD64B5">
        <w:trPr>
          <w:jc w:val="center"/>
        </w:trPr>
        <w:tc>
          <w:tcPr>
            <w:tcW w:w="175" w:type="pct"/>
            <w:tcBorders>
              <w:top w:val="single" w:sz="4" w:space="0" w:color="auto"/>
              <w:left w:val="single" w:sz="4" w:space="0" w:color="auto"/>
              <w:bottom w:val="nil"/>
              <w:right w:val="single" w:sz="4" w:space="0" w:color="auto"/>
            </w:tcBorders>
            <w:shd w:val="clear" w:color="auto" w:fill="D9D9D9" w:themeFill="background1" w:themeFillShade="D9"/>
            <w:hideMark/>
          </w:tcPr>
          <w:p w14:paraId="46ABF89E" w14:textId="77777777" w:rsidR="00CD64B5" w:rsidRPr="007F2C2A" w:rsidRDefault="00CD64B5" w:rsidP="00CD64B5">
            <w:pPr>
              <w:rPr>
                <w:sz w:val="20"/>
                <w:lang w:eastAsia="en-US"/>
              </w:rPr>
            </w:pPr>
            <w:r w:rsidRPr="007F2C2A">
              <w:rPr>
                <w:sz w:val="20"/>
              </w:rPr>
              <w:t>№</w:t>
            </w:r>
          </w:p>
        </w:tc>
        <w:tc>
          <w:tcPr>
            <w:tcW w:w="661" w:type="pct"/>
            <w:tcBorders>
              <w:top w:val="single" w:sz="4" w:space="0" w:color="auto"/>
              <w:left w:val="single" w:sz="4" w:space="0" w:color="auto"/>
              <w:bottom w:val="nil"/>
              <w:right w:val="single" w:sz="4" w:space="0" w:color="auto"/>
            </w:tcBorders>
            <w:shd w:val="clear" w:color="auto" w:fill="D9D9D9" w:themeFill="background1" w:themeFillShade="D9"/>
            <w:hideMark/>
          </w:tcPr>
          <w:p w14:paraId="4E6DABD3" w14:textId="77777777" w:rsidR="00CD64B5" w:rsidRPr="007F2C2A" w:rsidRDefault="00CD64B5" w:rsidP="00CD64B5">
            <w:pPr>
              <w:rPr>
                <w:sz w:val="20"/>
              </w:rPr>
            </w:pPr>
            <w:r w:rsidRPr="007F2C2A">
              <w:rPr>
                <w:rFonts w:ascii="Sylfaen" w:hAnsi="Sylfaen" w:cs="Sylfaen"/>
                <w:sz w:val="20"/>
              </w:rPr>
              <w:t>ტიპი</w:t>
            </w:r>
          </w:p>
        </w:tc>
        <w:tc>
          <w:tcPr>
            <w:tcW w:w="1955"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65A31B" w14:textId="77777777" w:rsidR="00CD64B5" w:rsidRPr="007F2C2A" w:rsidRDefault="00CD64B5" w:rsidP="00CD64B5">
            <w:pPr>
              <w:rPr>
                <w:sz w:val="20"/>
              </w:rPr>
            </w:pPr>
            <w:r w:rsidRPr="007F2C2A">
              <w:rPr>
                <w:rFonts w:ascii="Sylfaen" w:hAnsi="Sylfaen" w:cs="Sylfaen"/>
                <w:sz w:val="20"/>
              </w:rPr>
              <w:t>მოედნის</w:t>
            </w:r>
            <w:r w:rsidRPr="007F2C2A">
              <w:rPr>
                <w:sz w:val="20"/>
              </w:rPr>
              <w:t xml:space="preserve"> </w:t>
            </w:r>
            <w:r w:rsidRPr="007F2C2A">
              <w:rPr>
                <w:rFonts w:ascii="Sylfaen" w:hAnsi="Sylfaen" w:cs="Sylfaen"/>
                <w:sz w:val="20"/>
              </w:rPr>
              <w:t>სრული</w:t>
            </w:r>
            <w:r w:rsidRPr="007F2C2A">
              <w:rPr>
                <w:sz w:val="20"/>
              </w:rPr>
              <w:t xml:space="preserve"> </w:t>
            </w:r>
            <w:r w:rsidRPr="007F2C2A">
              <w:rPr>
                <w:rFonts w:ascii="Sylfaen" w:hAnsi="Sylfaen" w:cs="Sylfaen"/>
                <w:sz w:val="20"/>
              </w:rPr>
              <w:t>აღწერა</w:t>
            </w:r>
          </w:p>
        </w:tc>
        <w:tc>
          <w:tcPr>
            <w:tcW w:w="442" w:type="pct"/>
            <w:tcBorders>
              <w:top w:val="single" w:sz="4" w:space="0" w:color="auto"/>
              <w:left w:val="single" w:sz="4" w:space="0" w:color="auto"/>
              <w:bottom w:val="nil"/>
              <w:right w:val="single" w:sz="4" w:space="0" w:color="auto"/>
            </w:tcBorders>
            <w:shd w:val="clear" w:color="auto" w:fill="D9D9D9" w:themeFill="background1" w:themeFillShade="D9"/>
            <w:hideMark/>
          </w:tcPr>
          <w:p w14:paraId="362F1A67" w14:textId="77777777" w:rsidR="00CD64B5" w:rsidRPr="007F2C2A" w:rsidRDefault="00CD64B5" w:rsidP="00CD64B5">
            <w:pPr>
              <w:rPr>
                <w:sz w:val="20"/>
              </w:rPr>
            </w:pPr>
            <w:r w:rsidRPr="007F2C2A">
              <w:rPr>
                <w:rFonts w:ascii="Sylfaen" w:hAnsi="Sylfaen" w:cs="Sylfaen"/>
                <w:sz w:val="20"/>
              </w:rPr>
              <w:t>სიგანე</w:t>
            </w:r>
          </w:p>
          <w:p w14:paraId="4814A1DB" w14:textId="77777777" w:rsidR="00CD64B5" w:rsidRPr="007F2C2A" w:rsidRDefault="00CD64B5" w:rsidP="00CD64B5">
            <w:pPr>
              <w:rPr>
                <w:sz w:val="20"/>
              </w:rPr>
            </w:pPr>
            <w:r w:rsidRPr="007F2C2A">
              <w:rPr>
                <w:sz w:val="20"/>
              </w:rPr>
              <w:t>(</w:t>
            </w:r>
            <w:r w:rsidRPr="007F2C2A">
              <w:rPr>
                <w:rFonts w:ascii="Sylfaen" w:hAnsi="Sylfaen" w:cs="Sylfaen"/>
                <w:sz w:val="20"/>
              </w:rPr>
              <w:t>მ</w:t>
            </w:r>
            <w:r w:rsidRPr="007F2C2A">
              <w:rPr>
                <w:sz w:val="20"/>
              </w:rPr>
              <w:t>)</w:t>
            </w:r>
          </w:p>
        </w:tc>
        <w:tc>
          <w:tcPr>
            <w:tcW w:w="549" w:type="pct"/>
            <w:gridSpan w:val="2"/>
            <w:tcBorders>
              <w:top w:val="single" w:sz="4" w:space="0" w:color="auto"/>
              <w:left w:val="single" w:sz="4" w:space="0" w:color="auto"/>
              <w:bottom w:val="nil"/>
              <w:right w:val="single" w:sz="4" w:space="0" w:color="auto"/>
            </w:tcBorders>
            <w:shd w:val="clear" w:color="auto" w:fill="D9D9D9" w:themeFill="background1" w:themeFillShade="D9"/>
            <w:hideMark/>
          </w:tcPr>
          <w:p w14:paraId="5A92307D" w14:textId="77777777" w:rsidR="00CD64B5" w:rsidRPr="007F2C2A" w:rsidRDefault="00CD64B5" w:rsidP="00CD64B5">
            <w:pPr>
              <w:rPr>
                <w:sz w:val="20"/>
              </w:rPr>
            </w:pPr>
            <w:r w:rsidRPr="007F2C2A">
              <w:rPr>
                <w:rFonts w:ascii="Sylfaen" w:hAnsi="Sylfaen" w:cs="Sylfaen"/>
                <w:sz w:val="20"/>
              </w:rPr>
              <w:t>ბიჯი</w:t>
            </w:r>
          </w:p>
          <w:p w14:paraId="355B14C3" w14:textId="77777777" w:rsidR="00CD64B5" w:rsidRPr="007F2C2A" w:rsidRDefault="00CD64B5" w:rsidP="00CD64B5">
            <w:pPr>
              <w:rPr>
                <w:sz w:val="20"/>
              </w:rPr>
            </w:pPr>
            <w:r w:rsidRPr="007F2C2A">
              <w:rPr>
                <w:sz w:val="20"/>
              </w:rPr>
              <w:t>(</w:t>
            </w:r>
            <w:r w:rsidRPr="007F2C2A">
              <w:rPr>
                <w:rFonts w:ascii="Sylfaen" w:hAnsi="Sylfaen" w:cs="Sylfaen"/>
                <w:sz w:val="20"/>
              </w:rPr>
              <w:t>მ</w:t>
            </w:r>
            <w:r w:rsidRPr="007F2C2A">
              <w:rPr>
                <w:sz w:val="20"/>
              </w:rPr>
              <w:t>)</w:t>
            </w:r>
          </w:p>
        </w:tc>
        <w:tc>
          <w:tcPr>
            <w:tcW w:w="511" w:type="pct"/>
            <w:tcBorders>
              <w:top w:val="single" w:sz="4" w:space="0" w:color="auto"/>
              <w:left w:val="single" w:sz="4" w:space="0" w:color="auto"/>
              <w:bottom w:val="nil"/>
              <w:right w:val="single" w:sz="4" w:space="0" w:color="auto"/>
            </w:tcBorders>
            <w:shd w:val="clear" w:color="auto" w:fill="D9D9D9" w:themeFill="background1" w:themeFillShade="D9"/>
            <w:hideMark/>
          </w:tcPr>
          <w:p w14:paraId="02383F28" w14:textId="77777777" w:rsidR="00CD64B5" w:rsidRPr="007F2C2A" w:rsidRDefault="00CD64B5" w:rsidP="00CD64B5">
            <w:pPr>
              <w:rPr>
                <w:sz w:val="20"/>
              </w:rPr>
            </w:pPr>
            <w:r w:rsidRPr="007F2C2A">
              <w:rPr>
                <w:rFonts w:ascii="Sylfaen" w:hAnsi="Sylfaen" w:cs="Sylfaen"/>
                <w:sz w:val="20"/>
              </w:rPr>
              <w:t>სიმაღლ</w:t>
            </w:r>
            <w:r w:rsidRPr="007F2C2A">
              <w:rPr>
                <w:sz w:val="20"/>
              </w:rPr>
              <w:t>.</w:t>
            </w:r>
          </w:p>
          <w:p w14:paraId="42DB8B7E" w14:textId="77777777" w:rsidR="00CD64B5" w:rsidRPr="007F2C2A" w:rsidRDefault="00CD64B5" w:rsidP="00CD64B5">
            <w:pPr>
              <w:rPr>
                <w:sz w:val="20"/>
              </w:rPr>
            </w:pPr>
            <w:r w:rsidRPr="007F2C2A">
              <w:rPr>
                <w:sz w:val="20"/>
              </w:rPr>
              <w:t>(</w:t>
            </w:r>
            <w:r w:rsidRPr="007F2C2A">
              <w:rPr>
                <w:rFonts w:ascii="Sylfaen" w:hAnsi="Sylfaen" w:cs="Sylfaen"/>
                <w:sz w:val="20"/>
              </w:rPr>
              <w:t>მ</w:t>
            </w:r>
            <w:r w:rsidRPr="007F2C2A">
              <w:rPr>
                <w:sz w:val="20"/>
              </w:rPr>
              <w:t>)</w:t>
            </w:r>
          </w:p>
        </w:tc>
        <w:tc>
          <w:tcPr>
            <w:tcW w:w="707" w:type="pct"/>
            <w:tcBorders>
              <w:top w:val="single" w:sz="4" w:space="0" w:color="auto"/>
              <w:left w:val="single" w:sz="4" w:space="0" w:color="auto"/>
              <w:bottom w:val="nil"/>
              <w:right w:val="single" w:sz="4" w:space="0" w:color="auto"/>
            </w:tcBorders>
            <w:shd w:val="clear" w:color="auto" w:fill="D9D9D9" w:themeFill="background1" w:themeFillShade="D9"/>
            <w:hideMark/>
          </w:tcPr>
          <w:p w14:paraId="7B832FD2" w14:textId="77777777" w:rsidR="00CD64B5" w:rsidRPr="007F2C2A" w:rsidRDefault="00CD64B5" w:rsidP="00CD64B5">
            <w:pPr>
              <w:rPr>
                <w:sz w:val="20"/>
              </w:rPr>
            </w:pPr>
            <w:r w:rsidRPr="007F2C2A">
              <w:rPr>
                <w:rFonts w:ascii="Sylfaen" w:hAnsi="Sylfaen" w:cs="Sylfaen"/>
                <w:sz w:val="20"/>
              </w:rPr>
              <w:t>კომენტარი</w:t>
            </w:r>
          </w:p>
        </w:tc>
      </w:tr>
      <w:tr w:rsidR="00CD64B5" w:rsidRPr="007F2C2A" w14:paraId="3527978E" w14:textId="77777777" w:rsidTr="00CD64B5">
        <w:trPr>
          <w:jc w:val="center"/>
        </w:trPr>
        <w:tc>
          <w:tcPr>
            <w:tcW w:w="175" w:type="pct"/>
            <w:tcBorders>
              <w:top w:val="nil"/>
              <w:left w:val="single" w:sz="4" w:space="0" w:color="auto"/>
              <w:bottom w:val="single" w:sz="4" w:space="0" w:color="auto"/>
              <w:right w:val="single" w:sz="4" w:space="0" w:color="auto"/>
            </w:tcBorders>
            <w:shd w:val="clear" w:color="auto" w:fill="D9D9D9" w:themeFill="background1" w:themeFillShade="D9"/>
          </w:tcPr>
          <w:p w14:paraId="7A1D6342" w14:textId="77777777" w:rsidR="00CD64B5" w:rsidRPr="007F2C2A" w:rsidRDefault="00CD64B5" w:rsidP="00CD64B5">
            <w:pPr>
              <w:rPr>
                <w:sz w:val="20"/>
              </w:rPr>
            </w:pPr>
          </w:p>
        </w:tc>
        <w:tc>
          <w:tcPr>
            <w:tcW w:w="661" w:type="pct"/>
            <w:tcBorders>
              <w:top w:val="nil"/>
              <w:left w:val="single" w:sz="4" w:space="0" w:color="auto"/>
              <w:bottom w:val="single" w:sz="4" w:space="0" w:color="auto"/>
              <w:right w:val="single" w:sz="4" w:space="0" w:color="auto"/>
            </w:tcBorders>
            <w:shd w:val="clear" w:color="auto" w:fill="D9D9D9" w:themeFill="background1" w:themeFillShade="D9"/>
          </w:tcPr>
          <w:p w14:paraId="5475C7D9" w14:textId="77777777" w:rsidR="00CD64B5" w:rsidRPr="007F2C2A" w:rsidRDefault="00CD64B5" w:rsidP="00CD64B5">
            <w:pPr>
              <w:rPr>
                <w:sz w:val="20"/>
              </w:rPr>
            </w:pPr>
          </w:p>
        </w:tc>
        <w:tc>
          <w:tcPr>
            <w:tcW w:w="97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80A6D3" w14:textId="77777777" w:rsidR="00CD64B5" w:rsidRPr="007F2C2A" w:rsidRDefault="00CD64B5" w:rsidP="00CD64B5">
            <w:pPr>
              <w:rPr>
                <w:sz w:val="20"/>
              </w:rPr>
            </w:pPr>
            <w:r w:rsidRPr="007F2C2A">
              <w:rPr>
                <w:rFonts w:ascii="Sylfaen" w:hAnsi="Sylfaen" w:cs="Sylfaen"/>
                <w:sz w:val="20"/>
              </w:rPr>
              <w:t>შუა</w:t>
            </w:r>
            <w:r w:rsidRPr="007F2C2A">
              <w:rPr>
                <w:sz w:val="20"/>
              </w:rPr>
              <w:t xml:space="preserve"> </w:t>
            </w:r>
            <w:r w:rsidRPr="007F2C2A">
              <w:rPr>
                <w:rFonts w:ascii="Sylfaen" w:hAnsi="Sylfaen" w:cs="Sylfaen"/>
                <w:sz w:val="20"/>
              </w:rPr>
              <w:t>წერტილის</w:t>
            </w:r>
            <w:r w:rsidRPr="007F2C2A">
              <w:rPr>
                <w:sz w:val="20"/>
              </w:rPr>
              <w:t xml:space="preserve"> </w:t>
            </w:r>
            <w:r w:rsidRPr="007F2C2A">
              <w:rPr>
                <w:rFonts w:ascii="Sylfaen" w:hAnsi="Sylfaen" w:cs="Sylfaen"/>
                <w:sz w:val="20"/>
              </w:rPr>
              <w:t>კოორდინატები</w:t>
            </w:r>
            <w:r w:rsidRPr="007F2C2A">
              <w:rPr>
                <w:sz w:val="20"/>
              </w:rPr>
              <w:t>,</w:t>
            </w:r>
          </w:p>
          <w:p w14:paraId="738CC211" w14:textId="77777777" w:rsidR="00CD64B5" w:rsidRPr="007F2C2A" w:rsidRDefault="00CD64B5" w:rsidP="00CD64B5">
            <w:pPr>
              <w:rPr>
                <w:sz w:val="20"/>
              </w:rPr>
            </w:pPr>
            <w:r w:rsidRPr="007F2C2A">
              <w:rPr>
                <w:sz w:val="20"/>
              </w:rPr>
              <w:t xml:space="preserve">I </w:t>
            </w:r>
            <w:r w:rsidRPr="007F2C2A">
              <w:rPr>
                <w:rFonts w:ascii="Sylfaen" w:hAnsi="Sylfaen" w:cs="Sylfaen"/>
                <w:sz w:val="20"/>
              </w:rPr>
              <w:t>მხარე</w:t>
            </w:r>
            <w:r w:rsidRPr="007F2C2A">
              <w:rPr>
                <w:sz w:val="20"/>
              </w:rPr>
              <w:t xml:space="preserve"> (</w:t>
            </w:r>
            <w:r w:rsidRPr="007F2C2A">
              <w:rPr>
                <w:rFonts w:ascii="Sylfaen" w:hAnsi="Sylfaen" w:cs="Sylfaen"/>
                <w:sz w:val="20"/>
              </w:rPr>
              <w:t>მ</w:t>
            </w:r>
            <w:r w:rsidRPr="007F2C2A">
              <w:rPr>
                <w:sz w:val="20"/>
              </w:rPr>
              <w:t>)</w:t>
            </w:r>
          </w:p>
        </w:tc>
        <w:tc>
          <w:tcPr>
            <w:tcW w:w="97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FE0913" w14:textId="77777777" w:rsidR="00CD64B5" w:rsidRPr="007F2C2A" w:rsidRDefault="00CD64B5" w:rsidP="00CD64B5">
            <w:pPr>
              <w:rPr>
                <w:sz w:val="20"/>
              </w:rPr>
            </w:pPr>
            <w:r w:rsidRPr="007F2C2A">
              <w:rPr>
                <w:rFonts w:ascii="Sylfaen" w:hAnsi="Sylfaen" w:cs="Sylfaen"/>
                <w:sz w:val="20"/>
              </w:rPr>
              <w:t>შუა</w:t>
            </w:r>
            <w:r w:rsidRPr="007F2C2A">
              <w:rPr>
                <w:sz w:val="20"/>
              </w:rPr>
              <w:t xml:space="preserve"> </w:t>
            </w:r>
            <w:r w:rsidRPr="007F2C2A">
              <w:rPr>
                <w:rFonts w:ascii="Sylfaen" w:hAnsi="Sylfaen" w:cs="Sylfaen"/>
                <w:sz w:val="20"/>
              </w:rPr>
              <w:t>წერტილის</w:t>
            </w:r>
            <w:r w:rsidRPr="007F2C2A">
              <w:rPr>
                <w:sz w:val="20"/>
              </w:rPr>
              <w:t xml:space="preserve"> </w:t>
            </w:r>
            <w:r w:rsidRPr="007F2C2A">
              <w:rPr>
                <w:rFonts w:ascii="Sylfaen" w:hAnsi="Sylfaen" w:cs="Sylfaen"/>
                <w:sz w:val="20"/>
              </w:rPr>
              <w:t>კოორდინატები</w:t>
            </w:r>
            <w:r w:rsidRPr="007F2C2A">
              <w:rPr>
                <w:sz w:val="20"/>
              </w:rPr>
              <w:t>,</w:t>
            </w:r>
          </w:p>
          <w:p w14:paraId="21AF0455" w14:textId="77777777" w:rsidR="00CD64B5" w:rsidRPr="007F2C2A" w:rsidRDefault="00CD64B5" w:rsidP="00CD64B5">
            <w:pPr>
              <w:rPr>
                <w:sz w:val="20"/>
              </w:rPr>
            </w:pPr>
            <w:r w:rsidRPr="007F2C2A">
              <w:rPr>
                <w:sz w:val="20"/>
              </w:rPr>
              <w:t xml:space="preserve">II </w:t>
            </w:r>
            <w:r w:rsidRPr="007F2C2A">
              <w:rPr>
                <w:rFonts w:ascii="Sylfaen" w:hAnsi="Sylfaen" w:cs="Sylfaen"/>
                <w:sz w:val="20"/>
              </w:rPr>
              <w:t>მხარე</w:t>
            </w:r>
            <w:r w:rsidRPr="007F2C2A">
              <w:rPr>
                <w:sz w:val="20"/>
              </w:rPr>
              <w:t xml:space="preserve"> (</w:t>
            </w:r>
            <w:r w:rsidRPr="007F2C2A">
              <w:rPr>
                <w:rFonts w:ascii="Sylfaen" w:hAnsi="Sylfaen" w:cs="Sylfaen"/>
                <w:sz w:val="20"/>
              </w:rPr>
              <w:t>მ</w:t>
            </w:r>
            <w:r w:rsidRPr="007F2C2A">
              <w:rPr>
                <w:sz w:val="20"/>
              </w:rPr>
              <w:t>)</w:t>
            </w:r>
          </w:p>
        </w:tc>
        <w:tc>
          <w:tcPr>
            <w:tcW w:w="442" w:type="pct"/>
            <w:tcBorders>
              <w:top w:val="nil"/>
              <w:left w:val="single" w:sz="4" w:space="0" w:color="auto"/>
              <w:bottom w:val="single" w:sz="4" w:space="0" w:color="auto"/>
              <w:right w:val="single" w:sz="4" w:space="0" w:color="auto"/>
            </w:tcBorders>
            <w:shd w:val="clear" w:color="auto" w:fill="D9D9D9" w:themeFill="background1" w:themeFillShade="D9"/>
          </w:tcPr>
          <w:p w14:paraId="5245F00B" w14:textId="77777777" w:rsidR="00CD64B5" w:rsidRPr="007F2C2A" w:rsidRDefault="00CD64B5" w:rsidP="00CD64B5">
            <w:pPr>
              <w:rPr>
                <w:sz w:val="20"/>
              </w:rPr>
            </w:pPr>
          </w:p>
        </w:tc>
        <w:tc>
          <w:tcPr>
            <w:tcW w:w="549" w:type="pct"/>
            <w:gridSpan w:val="2"/>
            <w:tcBorders>
              <w:top w:val="nil"/>
              <w:left w:val="single" w:sz="4" w:space="0" w:color="auto"/>
              <w:bottom w:val="single" w:sz="4" w:space="0" w:color="auto"/>
              <w:right w:val="single" w:sz="4" w:space="0" w:color="auto"/>
            </w:tcBorders>
            <w:shd w:val="clear" w:color="auto" w:fill="D9D9D9" w:themeFill="background1" w:themeFillShade="D9"/>
          </w:tcPr>
          <w:p w14:paraId="6016B48E" w14:textId="77777777" w:rsidR="00CD64B5" w:rsidRPr="007F2C2A" w:rsidRDefault="00CD64B5" w:rsidP="00CD64B5">
            <w:pPr>
              <w:rPr>
                <w:sz w:val="20"/>
              </w:rPr>
            </w:pPr>
          </w:p>
        </w:tc>
        <w:tc>
          <w:tcPr>
            <w:tcW w:w="511" w:type="pct"/>
            <w:tcBorders>
              <w:top w:val="nil"/>
              <w:left w:val="single" w:sz="4" w:space="0" w:color="auto"/>
              <w:bottom w:val="single" w:sz="4" w:space="0" w:color="auto"/>
              <w:right w:val="single" w:sz="4" w:space="0" w:color="auto"/>
            </w:tcBorders>
            <w:shd w:val="clear" w:color="auto" w:fill="D9D9D9" w:themeFill="background1" w:themeFillShade="D9"/>
          </w:tcPr>
          <w:p w14:paraId="62198E44" w14:textId="77777777" w:rsidR="00CD64B5" w:rsidRPr="007F2C2A" w:rsidRDefault="00CD64B5" w:rsidP="00CD64B5">
            <w:pPr>
              <w:rPr>
                <w:sz w:val="20"/>
              </w:rPr>
            </w:pPr>
          </w:p>
        </w:tc>
        <w:tc>
          <w:tcPr>
            <w:tcW w:w="707" w:type="pct"/>
            <w:tcBorders>
              <w:top w:val="nil"/>
              <w:left w:val="single" w:sz="4" w:space="0" w:color="auto"/>
              <w:bottom w:val="single" w:sz="4" w:space="0" w:color="auto"/>
              <w:right w:val="single" w:sz="4" w:space="0" w:color="auto"/>
            </w:tcBorders>
            <w:shd w:val="clear" w:color="auto" w:fill="D9D9D9" w:themeFill="background1" w:themeFillShade="D9"/>
          </w:tcPr>
          <w:p w14:paraId="0973A903" w14:textId="77777777" w:rsidR="00CD64B5" w:rsidRPr="007F2C2A" w:rsidRDefault="00CD64B5" w:rsidP="00CD64B5">
            <w:pPr>
              <w:rPr>
                <w:sz w:val="20"/>
              </w:rPr>
            </w:pPr>
          </w:p>
        </w:tc>
      </w:tr>
      <w:tr w:rsidR="00CD64B5" w:rsidRPr="007F2C2A" w14:paraId="20FDC08C" w14:textId="77777777" w:rsidTr="00CD64B5">
        <w:trPr>
          <w:jc w:val="center"/>
        </w:trPr>
        <w:tc>
          <w:tcPr>
            <w:tcW w:w="175" w:type="pct"/>
            <w:tcBorders>
              <w:top w:val="single" w:sz="4" w:space="0" w:color="auto"/>
              <w:left w:val="single" w:sz="4" w:space="0" w:color="auto"/>
              <w:bottom w:val="nil"/>
              <w:right w:val="single" w:sz="4" w:space="0" w:color="auto"/>
            </w:tcBorders>
          </w:tcPr>
          <w:p w14:paraId="4AEDF6A8" w14:textId="77777777" w:rsidR="00CD64B5" w:rsidRPr="007F2C2A" w:rsidRDefault="00CD64B5" w:rsidP="00CD64B5">
            <w:pPr>
              <w:rPr>
                <w:sz w:val="20"/>
              </w:rPr>
            </w:pPr>
          </w:p>
        </w:tc>
        <w:tc>
          <w:tcPr>
            <w:tcW w:w="661" w:type="pct"/>
            <w:tcBorders>
              <w:top w:val="single" w:sz="4" w:space="0" w:color="auto"/>
              <w:left w:val="single" w:sz="4" w:space="0" w:color="auto"/>
              <w:bottom w:val="nil"/>
              <w:right w:val="single" w:sz="4" w:space="0" w:color="auto"/>
            </w:tcBorders>
          </w:tcPr>
          <w:p w14:paraId="261C5D3B" w14:textId="77777777" w:rsidR="00CD64B5" w:rsidRPr="007F2C2A" w:rsidRDefault="00CD64B5" w:rsidP="00CD64B5">
            <w:pPr>
              <w:rPr>
                <w:sz w:val="20"/>
              </w:rPr>
            </w:pPr>
          </w:p>
        </w:tc>
        <w:tc>
          <w:tcPr>
            <w:tcW w:w="485" w:type="pct"/>
            <w:tcBorders>
              <w:top w:val="single" w:sz="4" w:space="0" w:color="auto"/>
              <w:left w:val="single" w:sz="4" w:space="0" w:color="auto"/>
              <w:bottom w:val="nil"/>
              <w:right w:val="single" w:sz="4" w:space="0" w:color="auto"/>
            </w:tcBorders>
            <w:hideMark/>
          </w:tcPr>
          <w:p w14:paraId="29315DE0" w14:textId="77777777" w:rsidR="00CD64B5" w:rsidRPr="007F2C2A" w:rsidRDefault="00CD64B5" w:rsidP="00CD64B5">
            <w:pPr>
              <w:rPr>
                <w:sz w:val="20"/>
              </w:rPr>
            </w:pPr>
            <w:r w:rsidRPr="007F2C2A">
              <w:rPr>
                <w:sz w:val="20"/>
              </w:rPr>
              <w:t>X</w:t>
            </w:r>
          </w:p>
        </w:tc>
        <w:tc>
          <w:tcPr>
            <w:tcW w:w="493" w:type="pct"/>
            <w:tcBorders>
              <w:top w:val="single" w:sz="4" w:space="0" w:color="auto"/>
              <w:left w:val="single" w:sz="4" w:space="0" w:color="auto"/>
              <w:bottom w:val="nil"/>
              <w:right w:val="single" w:sz="4" w:space="0" w:color="auto"/>
            </w:tcBorders>
            <w:hideMark/>
          </w:tcPr>
          <w:p w14:paraId="65EB321D" w14:textId="77777777" w:rsidR="00CD64B5" w:rsidRPr="007F2C2A" w:rsidRDefault="00CD64B5" w:rsidP="00CD64B5">
            <w:pPr>
              <w:rPr>
                <w:sz w:val="20"/>
              </w:rPr>
            </w:pPr>
            <w:r w:rsidRPr="007F2C2A">
              <w:rPr>
                <w:sz w:val="20"/>
              </w:rPr>
              <w:t>Y</w:t>
            </w:r>
          </w:p>
        </w:tc>
        <w:tc>
          <w:tcPr>
            <w:tcW w:w="499" w:type="pct"/>
            <w:tcBorders>
              <w:top w:val="single" w:sz="4" w:space="0" w:color="auto"/>
              <w:left w:val="single" w:sz="4" w:space="0" w:color="auto"/>
              <w:bottom w:val="nil"/>
              <w:right w:val="single" w:sz="4" w:space="0" w:color="auto"/>
            </w:tcBorders>
            <w:hideMark/>
          </w:tcPr>
          <w:p w14:paraId="0AEE7747" w14:textId="77777777" w:rsidR="00CD64B5" w:rsidRPr="007F2C2A" w:rsidRDefault="00CD64B5" w:rsidP="00CD64B5">
            <w:pPr>
              <w:rPr>
                <w:sz w:val="20"/>
              </w:rPr>
            </w:pPr>
            <w:r w:rsidRPr="007F2C2A">
              <w:rPr>
                <w:sz w:val="20"/>
              </w:rPr>
              <w:t>X</w:t>
            </w:r>
          </w:p>
        </w:tc>
        <w:tc>
          <w:tcPr>
            <w:tcW w:w="478" w:type="pct"/>
            <w:tcBorders>
              <w:top w:val="single" w:sz="4" w:space="0" w:color="auto"/>
              <w:left w:val="single" w:sz="4" w:space="0" w:color="auto"/>
              <w:bottom w:val="nil"/>
              <w:right w:val="single" w:sz="4" w:space="0" w:color="auto"/>
            </w:tcBorders>
            <w:hideMark/>
          </w:tcPr>
          <w:p w14:paraId="7962921E" w14:textId="77777777" w:rsidR="00CD64B5" w:rsidRPr="007F2C2A" w:rsidRDefault="00CD64B5" w:rsidP="00CD64B5">
            <w:pPr>
              <w:rPr>
                <w:sz w:val="20"/>
              </w:rPr>
            </w:pPr>
            <w:r w:rsidRPr="007F2C2A">
              <w:rPr>
                <w:sz w:val="20"/>
              </w:rPr>
              <w:t>Y</w:t>
            </w:r>
          </w:p>
        </w:tc>
        <w:tc>
          <w:tcPr>
            <w:tcW w:w="442" w:type="pct"/>
            <w:tcBorders>
              <w:top w:val="single" w:sz="4" w:space="0" w:color="auto"/>
              <w:left w:val="single" w:sz="4" w:space="0" w:color="auto"/>
              <w:bottom w:val="nil"/>
              <w:right w:val="single" w:sz="4" w:space="0" w:color="auto"/>
            </w:tcBorders>
          </w:tcPr>
          <w:p w14:paraId="558C72FF" w14:textId="77777777" w:rsidR="00CD64B5" w:rsidRPr="007F2C2A" w:rsidRDefault="00CD64B5" w:rsidP="00CD64B5">
            <w:pPr>
              <w:rPr>
                <w:sz w:val="20"/>
              </w:rPr>
            </w:pPr>
          </w:p>
        </w:tc>
        <w:tc>
          <w:tcPr>
            <w:tcW w:w="275" w:type="pct"/>
            <w:tcBorders>
              <w:top w:val="single" w:sz="4" w:space="0" w:color="auto"/>
              <w:left w:val="single" w:sz="4" w:space="0" w:color="auto"/>
              <w:bottom w:val="nil"/>
              <w:right w:val="single" w:sz="4" w:space="0" w:color="auto"/>
            </w:tcBorders>
            <w:hideMark/>
          </w:tcPr>
          <w:p w14:paraId="08248246" w14:textId="77777777" w:rsidR="00CD64B5" w:rsidRPr="007F2C2A" w:rsidRDefault="00CD64B5" w:rsidP="00CD64B5">
            <w:pPr>
              <w:rPr>
                <w:sz w:val="20"/>
              </w:rPr>
            </w:pPr>
            <w:r w:rsidRPr="007F2C2A">
              <w:rPr>
                <w:sz w:val="20"/>
              </w:rPr>
              <w:t>X</w:t>
            </w:r>
          </w:p>
        </w:tc>
        <w:tc>
          <w:tcPr>
            <w:tcW w:w="275" w:type="pct"/>
            <w:tcBorders>
              <w:top w:val="single" w:sz="4" w:space="0" w:color="auto"/>
              <w:left w:val="single" w:sz="4" w:space="0" w:color="auto"/>
              <w:bottom w:val="nil"/>
              <w:right w:val="single" w:sz="4" w:space="0" w:color="auto"/>
            </w:tcBorders>
            <w:hideMark/>
          </w:tcPr>
          <w:p w14:paraId="7BA65E8A" w14:textId="77777777" w:rsidR="00CD64B5" w:rsidRPr="007F2C2A" w:rsidRDefault="00CD64B5" w:rsidP="00CD64B5">
            <w:pPr>
              <w:rPr>
                <w:sz w:val="20"/>
              </w:rPr>
            </w:pPr>
            <w:r w:rsidRPr="007F2C2A">
              <w:rPr>
                <w:sz w:val="20"/>
              </w:rPr>
              <w:t>Y</w:t>
            </w:r>
          </w:p>
        </w:tc>
        <w:tc>
          <w:tcPr>
            <w:tcW w:w="511" w:type="pct"/>
            <w:tcBorders>
              <w:top w:val="single" w:sz="4" w:space="0" w:color="auto"/>
              <w:left w:val="single" w:sz="4" w:space="0" w:color="auto"/>
              <w:bottom w:val="nil"/>
              <w:right w:val="single" w:sz="4" w:space="0" w:color="auto"/>
            </w:tcBorders>
          </w:tcPr>
          <w:p w14:paraId="3885CD4B" w14:textId="77777777" w:rsidR="00CD64B5" w:rsidRPr="007F2C2A" w:rsidRDefault="00CD64B5" w:rsidP="00CD64B5">
            <w:pPr>
              <w:rPr>
                <w:sz w:val="20"/>
              </w:rPr>
            </w:pPr>
          </w:p>
        </w:tc>
        <w:tc>
          <w:tcPr>
            <w:tcW w:w="707" w:type="pct"/>
            <w:tcBorders>
              <w:top w:val="single" w:sz="4" w:space="0" w:color="auto"/>
              <w:left w:val="single" w:sz="4" w:space="0" w:color="auto"/>
              <w:bottom w:val="nil"/>
              <w:right w:val="single" w:sz="4" w:space="0" w:color="auto"/>
            </w:tcBorders>
          </w:tcPr>
          <w:p w14:paraId="00218526" w14:textId="77777777" w:rsidR="00CD64B5" w:rsidRPr="007F2C2A" w:rsidRDefault="00CD64B5" w:rsidP="00CD64B5">
            <w:pPr>
              <w:rPr>
                <w:sz w:val="20"/>
              </w:rPr>
            </w:pPr>
          </w:p>
        </w:tc>
      </w:tr>
      <w:tr w:rsidR="00CD64B5" w:rsidRPr="007F2C2A" w14:paraId="2061FD2C" w14:textId="77777777" w:rsidTr="00CD64B5">
        <w:trPr>
          <w:jc w:val="center"/>
        </w:trPr>
        <w:tc>
          <w:tcPr>
            <w:tcW w:w="175" w:type="pct"/>
            <w:tcBorders>
              <w:top w:val="single" w:sz="4" w:space="0" w:color="auto"/>
              <w:left w:val="single" w:sz="4" w:space="0" w:color="auto"/>
              <w:bottom w:val="single" w:sz="4" w:space="0" w:color="auto"/>
              <w:right w:val="single" w:sz="4" w:space="0" w:color="auto"/>
            </w:tcBorders>
            <w:hideMark/>
          </w:tcPr>
          <w:p w14:paraId="41D0881D" w14:textId="77777777" w:rsidR="00CD64B5" w:rsidRPr="007F2C2A" w:rsidRDefault="00CD64B5" w:rsidP="00CD64B5">
            <w:pPr>
              <w:rPr>
                <w:sz w:val="20"/>
              </w:rPr>
            </w:pPr>
            <w:r w:rsidRPr="007F2C2A">
              <w:rPr>
                <w:sz w:val="20"/>
              </w:rPr>
              <w:t>1</w:t>
            </w:r>
          </w:p>
        </w:tc>
        <w:tc>
          <w:tcPr>
            <w:tcW w:w="661" w:type="pct"/>
            <w:tcBorders>
              <w:top w:val="single" w:sz="4" w:space="0" w:color="auto"/>
              <w:left w:val="single" w:sz="4" w:space="0" w:color="auto"/>
              <w:bottom w:val="single" w:sz="4" w:space="0" w:color="auto"/>
              <w:right w:val="single" w:sz="4" w:space="0" w:color="auto"/>
            </w:tcBorders>
            <w:hideMark/>
          </w:tcPr>
          <w:p w14:paraId="78028CCF" w14:textId="77777777" w:rsidR="00CD64B5" w:rsidRPr="007F2C2A" w:rsidRDefault="00CD64B5" w:rsidP="00CD64B5">
            <w:pPr>
              <w:rPr>
                <w:sz w:val="20"/>
              </w:rPr>
            </w:pPr>
            <w:r w:rsidRPr="007F2C2A">
              <w:rPr>
                <w:rFonts w:ascii="Sylfaen" w:hAnsi="Sylfaen" w:cs="Sylfaen"/>
                <w:sz w:val="20"/>
              </w:rPr>
              <w:t>მოცემული</w:t>
            </w:r>
          </w:p>
        </w:tc>
        <w:tc>
          <w:tcPr>
            <w:tcW w:w="485" w:type="pct"/>
            <w:tcBorders>
              <w:top w:val="single" w:sz="4" w:space="0" w:color="auto"/>
              <w:left w:val="single" w:sz="4" w:space="0" w:color="auto"/>
              <w:bottom w:val="single" w:sz="4" w:space="0" w:color="auto"/>
              <w:right w:val="single" w:sz="4" w:space="0" w:color="auto"/>
            </w:tcBorders>
            <w:hideMark/>
          </w:tcPr>
          <w:p w14:paraId="14E0DDF5" w14:textId="77777777" w:rsidR="00CD64B5" w:rsidRPr="007F2C2A" w:rsidRDefault="00CD64B5" w:rsidP="00CD64B5">
            <w:pPr>
              <w:rPr>
                <w:sz w:val="20"/>
              </w:rPr>
            </w:pPr>
            <w:r w:rsidRPr="007F2C2A">
              <w:rPr>
                <w:rFonts w:eastAsiaTheme="minorEastAsia"/>
                <w:sz w:val="20"/>
              </w:rPr>
              <w:t>-800</w:t>
            </w:r>
          </w:p>
        </w:tc>
        <w:tc>
          <w:tcPr>
            <w:tcW w:w="493" w:type="pct"/>
            <w:tcBorders>
              <w:top w:val="single" w:sz="4" w:space="0" w:color="auto"/>
              <w:left w:val="single" w:sz="4" w:space="0" w:color="auto"/>
              <w:bottom w:val="single" w:sz="4" w:space="0" w:color="auto"/>
              <w:right w:val="single" w:sz="4" w:space="0" w:color="auto"/>
            </w:tcBorders>
            <w:hideMark/>
          </w:tcPr>
          <w:p w14:paraId="11AFC41E" w14:textId="77777777" w:rsidR="00CD64B5" w:rsidRPr="007F2C2A" w:rsidRDefault="00CD64B5" w:rsidP="00CD64B5">
            <w:pPr>
              <w:rPr>
                <w:sz w:val="20"/>
              </w:rPr>
            </w:pPr>
            <w:r w:rsidRPr="007F2C2A">
              <w:rPr>
                <w:rFonts w:eastAsiaTheme="minorEastAsia"/>
                <w:sz w:val="20"/>
              </w:rPr>
              <w:t>-100</w:t>
            </w:r>
          </w:p>
        </w:tc>
        <w:tc>
          <w:tcPr>
            <w:tcW w:w="499" w:type="pct"/>
            <w:tcBorders>
              <w:top w:val="single" w:sz="4" w:space="0" w:color="auto"/>
              <w:left w:val="single" w:sz="4" w:space="0" w:color="auto"/>
              <w:bottom w:val="single" w:sz="4" w:space="0" w:color="auto"/>
              <w:right w:val="single" w:sz="4" w:space="0" w:color="auto"/>
            </w:tcBorders>
            <w:hideMark/>
          </w:tcPr>
          <w:p w14:paraId="1F036AA6" w14:textId="77777777" w:rsidR="00CD64B5" w:rsidRPr="007F2C2A" w:rsidRDefault="00CD64B5" w:rsidP="00CD64B5">
            <w:pPr>
              <w:rPr>
                <w:rFonts w:eastAsiaTheme="minorEastAsia"/>
                <w:sz w:val="20"/>
              </w:rPr>
            </w:pPr>
            <w:r w:rsidRPr="007F2C2A">
              <w:rPr>
                <w:rFonts w:eastAsiaTheme="minorEastAsia"/>
                <w:sz w:val="20"/>
              </w:rPr>
              <w:t>800</w:t>
            </w:r>
          </w:p>
        </w:tc>
        <w:tc>
          <w:tcPr>
            <w:tcW w:w="478" w:type="pct"/>
            <w:tcBorders>
              <w:top w:val="single" w:sz="4" w:space="0" w:color="auto"/>
              <w:left w:val="single" w:sz="4" w:space="0" w:color="auto"/>
              <w:bottom w:val="single" w:sz="4" w:space="0" w:color="auto"/>
              <w:right w:val="single" w:sz="4" w:space="0" w:color="auto"/>
            </w:tcBorders>
            <w:hideMark/>
          </w:tcPr>
          <w:p w14:paraId="611F1B2C" w14:textId="77777777" w:rsidR="00CD64B5" w:rsidRPr="007F2C2A" w:rsidRDefault="00CD64B5" w:rsidP="00CD64B5">
            <w:pPr>
              <w:rPr>
                <w:rFonts w:eastAsiaTheme="minorEastAsia"/>
                <w:sz w:val="20"/>
              </w:rPr>
            </w:pPr>
            <w:r w:rsidRPr="007F2C2A">
              <w:rPr>
                <w:rFonts w:eastAsiaTheme="minorEastAsia"/>
                <w:sz w:val="20"/>
              </w:rPr>
              <w:t>-100</w:t>
            </w:r>
          </w:p>
        </w:tc>
        <w:tc>
          <w:tcPr>
            <w:tcW w:w="442" w:type="pct"/>
            <w:tcBorders>
              <w:top w:val="single" w:sz="4" w:space="0" w:color="auto"/>
              <w:left w:val="single" w:sz="4" w:space="0" w:color="auto"/>
              <w:bottom w:val="single" w:sz="4" w:space="0" w:color="auto"/>
              <w:right w:val="single" w:sz="4" w:space="0" w:color="auto"/>
            </w:tcBorders>
            <w:hideMark/>
          </w:tcPr>
          <w:p w14:paraId="01626205" w14:textId="77777777" w:rsidR="00CD64B5" w:rsidRPr="007F2C2A" w:rsidRDefault="00CD64B5" w:rsidP="00CD64B5">
            <w:pPr>
              <w:rPr>
                <w:rFonts w:eastAsiaTheme="minorEastAsia"/>
                <w:sz w:val="20"/>
              </w:rPr>
            </w:pPr>
            <w:r w:rsidRPr="007F2C2A">
              <w:rPr>
                <w:rFonts w:eastAsiaTheme="minorEastAsia"/>
                <w:sz w:val="20"/>
              </w:rPr>
              <w:t>800</w:t>
            </w:r>
          </w:p>
        </w:tc>
        <w:tc>
          <w:tcPr>
            <w:tcW w:w="275" w:type="pct"/>
            <w:tcBorders>
              <w:top w:val="single" w:sz="4" w:space="0" w:color="auto"/>
              <w:left w:val="single" w:sz="4" w:space="0" w:color="auto"/>
              <w:bottom w:val="single" w:sz="4" w:space="0" w:color="auto"/>
              <w:right w:val="single" w:sz="4" w:space="0" w:color="auto"/>
            </w:tcBorders>
            <w:hideMark/>
          </w:tcPr>
          <w:p w14:paraId="36571709" w14:textId="77777777" w:rsidR="00CD64B5" w:rsidRPr="007F2C2A" w:rsidRDefault="00CD64B5" w:rsidP="00CD64B5">
            <w:pPr>
              <w:rPr>
                <w:rFonts w:eastAsiaTheme="minorEastAsia"/>
                <w:sz w:val="20"/>
              </w:rPr>
            </w:pPr>
            <w:r w:rsidRPr="007F2C2A">
              <w:rPr>
                <w:rFonts w:eastAsiaTheme="minorEastAsia"/>
                <w:sz w:val="20"/>
              </w:rPr>
              <w:t>100</w:t>
            </w:r>
          </w:p>
        </w:tc>
        <w:tc>
          <w:tcPr>
            <w:tcW w:w="275" w:type="pct"/>
            <w:tcBorders>
              <w:top w:val="single" w:sz="4" w:space="0" w:color="auto"/>
              <w:left w:val="single" w:sz="4" w:space="0" w:color="auto"/>
              <w:bottom w:val="single" w:sz="4" w:space="0" w:color="auto"/>
              <w:right w:val="single" w:sz="4" w:space="0" w:color="auto"/>
            </w:tcBorders>
            <w:hideMark/>
          </w:tcPr>
          <w:p w14:paraId="461B771B" w14:textId="77777777" w:rsidR="00CD64B5" w:rsidRPr="007F2C2A" w:rsidRDefault="00CD64B5" w:rsidP="00CD64B5">
            <w:pPr>
              <w:rPr>
                <w:rFonts w:eastAsiaTheme="minorEastAsia"/>
                <w:sz w:val="20"/>
              </w:rPr>
            </w:pPr>
            <w:r w:rsidRPr="007F2C2A">
              <w:rPr>
                <w:rFonts w:eastAsiaTheme="minorEastAsia"/>
                <w:sz w:val="20"/>
              </w:rPr>
              <w:t>100</w:t>
            </w:r>
          </w:p>
        </w:tc>
        <w:tc>
          <w:tcPr>
            <w:tcW w:w="511" w:type="pct"/>
            <w:tcBorders>
              <w:top w:val="single" w:sz="4" w:space="0" w:color="auto"/>
              <w:left w:val="single" w:sz="4" w:space="0" w:color="auto"/>
              <w:bottom w:val="single" w:sz="4" w:space="0" w:color="auto"/>
              <w:right w:val="single" w:sz="4" w:space="0" w:color="auto"/>
            </w:tcBorders>
            <w:hideMark/>
          </w:tcPr>
          <w:p w14:paraId="26B52D03" w14:textId="77777777" w:rsidR="00CD64B5" w:rsidRPr="007F2C2A" w:rsidRDefault="00CD64B5" w:rsidP="00CD64B5">
            <w:pPr>
              <w:rPr>
                <w:rFonts w:eastAsiaTheme="minorEastAsia"/>
                <w:sz w:val="20"/>
              </w:rPr>
            </w:pPr>
            <w:r w:rsidRPr="007F2C2A">
              <w:rPr>
                <w:rFonts w:eastAsiaTheme="minorEastAsia"/>
                <w:sz w:val="20"/>
              </w:rPr>
              <w:t>2</w:t>
            </w:r>
          </w:p>
        </w:tc>
        <w:tc>
          <w:tcPr>
            <w:tcW w:w="707" w:type="pct"/>
            <w:tcBorders>
              <w:top w:val="single" w:sz="4" w:space="0" w:color="auto"/>
              <w:left w:val="single" w:sz="4" w:space="0" w:color="auto"/>
              <w:bottom w:val="single" w:sz="4" w:space="0" w:color="auto"/>
              <w:right w:val="single" w:sz="4" w:space="0" w:color="auto"/>
            </w:tcBorders>
          </w:tcPr>
          <w:p w14:paraId="0F8C9CA4" w14:textId="77777777" w:rsidR="00CD64B5" w:rsidRPr="007F2C2A" w:rsidRDefault="00CD64B5" w:rsidP="00CD64B5">
            <w:pPr>
              <w:rPr>
                <w:rFonts w:eastAsiaTheme="minorEastAsia"/>
                <w:sz w:val="20"/>
              </w:rPr>
            </w:pPr>
          </w:p>
        </w:tc>
      </w:tr>
    </w:tbl>
    <w:p w14:paraId="6A3A404C" w14:textId="77777777" w:rsidR="00CD64B5" w:rsidRPr="001352AB" w:rsidRDefault="00CD64B5" w:rsidP="00CD64B5">
      <w:pPr>
        <w:rPr>
          <w:rFonts w:eastAsiaTheme="minorEastAsia"/>
          <w:lang w:val="ka-GE"/>
        </w:rPr>
      </w:pPr>
      <w:r w:rsidRPr="001352AB">
        <w:rPr>
          <w:rFonts w:ascii="Sylfaen" w:eastAsiaTheme="minorEastAsia" w:hAnsi="Sylfaen" w:cs="Sylfaen"/>
        </w:rPr>
        <w:t>საანგარიშო</w:t>
      </w:r>
      <w:r w:rsidRPr="001352AB">
        <w:rPr>
          <w:rFonts w:eastAsiaTheme="minorEastAsia"/>
        </w:rPr>
        <w:t xml:space="preserve"> </w:t>
      </w:r>
      <w:r w:rsidRPr="001352AB">
        <w:rPr>
          <w:rFonts w:ascii="Sylfaen" w:eastAsiaTheme="minorEastAsia" w:hAnsi="Sylfaen" w:cs="Sylfaen"/>
        </w:rPr>
        <w:t>წერტილები</w:t>
      </w:r>
    </w:p>
    <w:tbl>
      <w:tblPr>
        <w:tblW w:w="5000" w:type="pct"/>
        <w:jc w:val="center"/>
        <w:tblCellMar>
          <w:left w:w="0" w:type="dxa"/>
          <w:right w:w="0" w:type="dxa"/>
        </w:tblCellMar>
        <w:tblLook w:val="04A0" w:firstRow="1" w:lastRow="0" w:firstColumn="1" w:lastColumn="0" w:noHBand="0" w:noVBand="1"/>
      </w:tblPr>
      <w:tblGrid>
        <w:gridCol w:w="508"/>
        <w:gridCol w:w="1156"/>
        <w:gridCol w:w="1220"/>
        <w:gridCol w:w="950"/>
        <w:gridCol w:w="3420"/>
        <w:gridCol w:w="3135"/>
      </w:tblGrid>
      <w:tr w:rsidR="00CD64B5" w:rsidRPr="007F2C2A" w14:paraId="7B939EEF" w14:textId="77777777" w:rsidTr="00CD64B5">
        <w:trPr>
          <w:jc w:val="center"/>
        </w:trPr>
        <w:tc>
          <w:tcPr>
            <w:tcW w:w="244" w:type="pct"/>
            <w:tcBorders>
              <w:top w:val="single" w:sz="4" w:space="0" w:color="auto"/>
              <w:left w:val="single" w:sz="4" w:space="0" w:color="auto"/>
              <w:bottom w:val="nil"/>
              <w:right w:val="single" w:sz="4" w:space="0" w:color="auto"/>
            </w:tcBorders>
            <w:shd w:val="clear" w:color="auto" w:fill="D9D9D9" w:themeFill="background1" w:themeFillShade="D9"/>
            <w:hideMark/>
          </w:tcPr>
          <w:p w14:paraId="57C1901B" w14:textId="77777777" w:rsidR="00CD64B5" w:rsidRPr="007F2C2A" w:rsidRDefault="00CD64B5" w:rsidP="00CD64B5">
            <w:pPr>
              <w:rPr>
                <w:sz w:val="20"/>
              </w:rPr>
            </w:pPr>
            <w:r w:rsidRPr="007F2C2A">
              <w:rPr>
                <w:rFonts w:eastAsiaTheme="minorEastAsia"/>
                <w:sz w:val="20"/>
              </w:rPr>
              <w:t>№</w:t>
            </w:r>
          </w:p>
        </w:tc>
        <w:tc>
          <w:tcPr>
            <w:tcW w:w="114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C2363F" w14:textId="77777777" w:rsidR="00CD64B5" w:rsidRPr="007F2C2A" w:rsidRDefault="00CD64B5" w:rsidP="00CD64B5">
            <w:pPr>
              <w:rPr>
                <w:rFonts w:eastAsiaTheme="minorEastAsia"/>
                <w:sz w:val="20"/>
              </w:rPr>
            </w:pPr>
            <w:r w:rsidRPr="007F2C2A">
              <w:rPr>
                <w:rFonts w:ascii="Sylfaen" w:eastAsiaTheme="minorEastAsia" w:hAnsi="Sylfaen" w:cs="Sylfaen"/>
                <w:sz w:val="20"/>
              </w:rPr>
              <w:t>წერტილის</w:t>
            </w:r>
            <w:r w:rsidRPr="007F2C2A">
              <w:rPr>
                <w:rFonts w:eastAsiaTheme="minorEastAsia"/>
                <w:sz w:val="20"/>
              </w:rPr>
              <w:t xml:space="preserve"> </w:t>
            </w:r>
            <w:r w:rsidRPr="007F2C2A">
              <w:rPr>
                <w:rFonts w:ascii="Sylfaen" w:eastAsiaTheme="minorEastAsia" w:hAnsi="Sylfaen" w:cs="Sylfaen"/>
                <w:sz w:val="20"/>
              </w:rPr>
              <w:t>კოორდინატები</w:t>
            </w:r>
            <w:r w:rsidRPr="007F2C2A">
              <w:rPr>
                <w:rFonts w:eastAsiaTheme="minorEastAsia"/>
                <w:sz w:val="20"/>
              </w:rPr>
              <w:t xml:space="preserve"> (</w:t>
            </w:r>
            <w:r w:rsidRPr="007F2C2A">
              <w:rPr>
                <w:rFonts w:ascii="Sylfaen" w:eastAsiaTheme="minorEastAsia" w:hAnsi="Sylfaen" w:cs="Sylfaen"/>
                <w:sz w:val="20"/>
              </w:rPr>
              <w:t>მ</w:t>
            </w:r>
            <w:r w:rsidRPr="007F2C2A">
              <w:rPr>
                <w:rFonts w:eastAsiaTheme="minorEastAsia"/>
                <w:sz w:val="20"/>
              </w:rPr>
              <w:t>)</w:t>
            </w:r>
          </w:p>
        </w:tc>
        <w:tc>
          <w:tcPr>
            <w:tcW w:w="457" w:type="pct"/>
            <w:tcBorders>
              <w:top w:val="single" w:sz="4" w:space="0" w:color="auto"/>
              <w:left w:val="single" w:sz="4" w:space="0" w:color="auto"/>
              <w:bottom w:val="nil"/>
              <w:right w:val="single" w:sz="4" w:space="0" w:color="auto"/>
            </w:tcBorders>
            <w:shd w:val="clear" w:color="auto" w:fill="D9D9D9" w:themeFill="background1" w:themeFillShade="D9"/>
            <w:hideMark/>
          </w:tcPr>
          <w:p w14:paraId="30A7F1F1" w14:textId="77777777" w:rsidR="00CD64B5" w:rsidRPr="007F2C2A" w:rsidRDefault="00CD64B5" w:rsidP="00CD64B5">
            <w:pPr>
              <w:rPr>
                <w:rFonts w:eastAsiaTheme="minorEastAsia"/>
                <w:sz w:val="20"/>
              </w:rPr>
            </w:pPr>
            <w:r w:rsidRPr="007F2C2A">
              <w:rPr>
                <w:rFonts w:ascii="Sylfaen" w:eastAsiaTheme="minorEastAsia" w:hAnsi="Sylfaen" w:cs="Sylfaen"/>
                <w:sz w:val="20"/>
              </w:rPr>
              <w:t>სიმაღლ</w:t>
            </w:r>
            <w:r w:rsidRPr="007F2C2A">
              <w:rPr>
                <w:rFonts w:eastAsiaTheme="minorEastAsia"/>
                <w:sz w:val="20"/>
              </w:rPr>
              <w:t>.</w:t>
            </w:r>
          </w:p>
          <w:p w14:paraId="35F98956" w14:textId="77777777" w:rsidR="00CD64B5" w:rsidRPr="007F2C2A" w:rsidRDefault="00CD64B5" w:rsidP="00CD64B5">
            <w:pPr>
              <w:rPr>
                <w:rFonts w:eastAsiaTheme="minorEastAsia"/>
                <w:sz w:val="20"/>
              </w:rPr>
            </w:pPr>
            <w:r w:rsidRPr="007F2C2A">
              <w:rPr>
                <w:rFonts w:eastAsiaTheme="minorEastAsia"/>
                <w:sz w:val="20"/>
              </w:rPr>
              <w:t>(</w:t>
            </w:r>
            <w:r w:rsidRPr="007F2C2A">
              <w:rPr>
                <w:rFonts w:ascii="Sylfaen" w:eastAsiaTheme="minorEastAsia" w:hAnsi="Sylfaen" w:cs="Sylfaen"/>
                <w:sz w:val="20"/>
              </w:rPr>
              <w:t>მ</w:t>
            </w:r>
            <w:r w:rsidRPr="007F2C2A">
              <w:rPr>
                <w:rFonts w:eastAsiaTheme="minorEastAsia"/>
                <w:sz w:val="20"/>
              </w:rPr>
              <w:t>)</w:t>
            </w:r>
          </w:p>
        </w:tc>
        <w:tc>
          <w:tcPr>
            <w:tcW w:w="1646" w:type="pct"/>
            <w:tcBorders>
              <w:top w:val="single" w:sz="4" w:space="0" w:color="auto"/>
              <w:left w:val="single" w:sz="4" w:space="0" w:color="auto"/>
              <w:bottom w:val="nil"/>
              <w:right w:val="single" w:sz="4" w:space="0" w:color="auto"/>
            </w:tcBorders>
            <w:shd w:val="clear" w:color="auto" w:fill="D9D9D9" w:themeFill="background1" w:themeFillShade="D9"/>
            <w:hideMark/>
          </w:tcPr>
          <w:p w14:paraId="41167977" w14:textId="77777777" w:rsidR="00CD64B5" w:rsidRPr="007F2C2A" w:rsidRDefault="00CD64B5" w:rsidP="00CD64B5">
            <w:pPr>
              <w:rPr>
                <w:rFonts w:eastAsiaTheme="minorEastAsia"/>
                <w:sz w:val="20"/>
              </w:rPr>
            </w:pPr>
            <w:r w:rsidRPr="007F2C2A">
              <w:rPr>
                <w:rFonts w:ascii="Sylfaen" w:eastAsiaTheme="minorEastAsia" w:hAnsi="Sylfaen" w:cs="Sylfaen"/>
                <w:sz w:val="20"/>
              </w:rPr>
              <w:t>წერტილ</w:t>
            </w:r>
            <w:r w:rsidRPr="007F2C2A">
              <w:rPr>
                <w:rFonts w:eastAsiaTheme="minorEastAsia"/>
                <w:sz w:val="20"/>
              </w:rPr>
              <w:t xml:space="preserve">. </w:t>
            </w:r>
            <w:r w:rsidRPr="007F2C2A">
              <w:rPr>
                <w:rFonts w:ascii="Sylfaen" w:eastAsiaTheme="minorEastAsia" w:hAnsi="Sylfaen" w:cs="Sylfaen"/>
                <w:sz w:val="20"/>
              </w:rPr>
              <w:t>ტიპი</w:t>
            </w:r>
          </w:p>
        </w:tc>
        <w:tc>
          <w:tcPr>
            <w:tcW w:w="1509" w:type="pct"/>
            <w:tcBorders>
              <w:top w:val="single" w:sz="4" w:space="0" w:color="auto"/>
              <w:left w:val="single" w:sz="4" w:space="0" w:color="auto"/>
              <w:bottom w:val="nil"/>
              <w:right w:val="single" w:sz="4" w:space="0" w:color="auto"/>
            </w:tcBorders>
            <w:shd w:val="clear" w:color="auto" w:fill="D9D9D9" w:themeFill="background1" w:themeFillShade="D9"/>
            <w:hideMark/>
          </w:tcPr>
          <w:p w14:paraId="163EA02D" w14:textId="77777777" w:rsidR="00CD64B5" w:rsidRPr="007F2C2A" w:rsidRDefault="00CD64B5" w:rsidP="00CD64B5">
            <w:pPr>
              <w:rPr>
                <w:rFonts w:eastAsiaTheme="minorEastAsia"/>
                <w:sz w:val="20"/>
              </w:rPr>
            </w:pPr>
            <w:r w:rsidRPr="007F2C2A">
              <w:rPr>
                <w:rFonts w:ascii="Sylfaen" w:eastAsiaTheme="minorEastAsia" w:hAnsi="Sylfaen" w:cs="Sylfaen"/>
                <w:sz w:val="20"/>
              </w:rPr>
              <w:t>კომენტარი</w:t>
            </w:r>
          </w:p>
        </w:tc>
      </w:tr>
      <w:tr w:rsidR="00CD64B5" w:rsidRPr="007F2C2A" w14:paraId="53A8B92A" w14:textId="77777777" w:rsidTr="00CD64B5">
        <w:trPr>
          <w:jc w:val="center"/>
        </w:trPr>
        <w:tc>
          <w:tcPr>
            <w:tcW w:w="244" w:type="pct"/>
            <w:tcBorders>
              <w:top w:val="nil"/>
              <w:left w:val="single" w:sz="4" w:space="0" w:color="auto"/>
              <w:bottom w:val="single" w:sz="4" w:space="0" w:color="auto"/>
              <w:right w:val="single" w:sz="4" w:space="0" w:color="auto"/>
            </w:tcBorders>
            <w:shd w:val="clear" w:color="auto" w:fill="D9D9D9" w:themeFill="background1" w:themeFillShade="D9"/>
          </w:tcPr>
          <w:p w14:paraId="694526B1" w14:textId="77777777" w:rsidR="00CD64B5" w:rsidRPr="007F2C2A" w:rsidRDefault="00CD64B5" w:rsidP="00CD64B5">
            <w:pPr>
              <w:rPr>
                <w:rFonts w:eastAsiaTheme="minorEastAsia"/>
                <w:sz w:val="20"/>
              </w:rPr>
            </w:pPr>
          </w:p>
        </w:tc>
        <w:tc>
          <w:tcPr>
            <w:tcW w:w="55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EA357C" w14:textId="77777777" w:rsidR="00CD64B5" w:rsidRPr="007F2C2A" w:rsidRDefault="00CD64B5" w:rsidP="00CD64B5">
            <w:pPr>
              <w:rPr>
                <w:rFonts w:eastAsiaTheme="minorEastAsia"/>
                <w:sz w:val="20"/>
              </w:rPr>
            </w:pPr>
            <w:r w:rsidRPr="007F2C2A">
              <w:rPr>
                <w:rFonts w:eastAsiaTheme="minorEastAsia"/>
                <w:sz w:val="20"/>
              </w:rPr>
              <w:t>X</w:t>
            </w:r>
          </w:p>
        </w:tc>
        <w:tc>
          <w:tcPr>
            <w:tcW w:w="58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12A013" w14:textId="77777777" w:rsidR="00CD64B5" w:rsidRPr="007F2C2A" w:rsidRDefault="00CD64B5" w:rsidP="00CD64B5">
            <w:pPr>
              <w:rPr>
                <w:rFonts w:eastAsiaTheme="minorEastAsia"/>
                <w:sz w:val="20"/>
              </w:rPr>
            </w:pPr>
            <w:r w:rsidRPr="007F2C2A">
              <w:rPr>
                <w:rFonts w:eastAsiaTheme="minorEastAsia"/>
                <w:sz w:val="20"/>
              </w:rPr>
              <w:t>Y</w:t>
            </w:r>
          </w:p>
        </w:tc>
        <w:tc>
          <w:tcPr>
            <w:tcW w:w="457" w:type="pct"/>
            <w:tcBorders>
              <w:top w:val="nil"/>
              <w:left w:val="single" w:sz="4" w:space="0" w:color="auto"/>
              <w:bottom w:val="single" w:sz="4" w:space="0" w:color="auto"/>
              <w:right w:val="single" w:sz="4" w:space="0" w:color="auto"/>
            </w:tcBorders>
            <w:shd w:val="clear" w:color="auto" w:fill="D9D9D9" w:themeFill="background1" w:themeFillShade="D9"/>
          </w:tcPr>
          <w:p w14:paraId="4593E46D" w14:textId="77777777" w:rsidR="00CD64B5" w:rsidRPr="007F2C2A" w:rsidRDefault="00CD64B5" w:rsidP="00CD64B5">
            <w:pPr>
              <w:rPr>
                <w:rFonts w:eastAsiaTheme="minorEastAsia"/>
                <w:sz w:val="20"/>
              </w:rPr>
            </w:pPr>
          </w:p>
        </w:tc>
        <w:tc>
          <w:tcPr>
            <w:tcW w:w="1646" w:type="pct"/>
            <w:tcBorders>
              <w:top w:val="nil"/>
              <w:left w:val="single" w:sz="4" w:space="0" w:color="auto"/>
              <w:bottom w:val="single" w:sz="4" w:space="0" w:color="auto"/>
              <w:right w:val="single" w:sz="4" w:space="0" w:color="auto"/>
            </w:tcBorders>
            <w:shd w:val="clear" w:color="auto" w:fill="D9D9D9" w:themeFill="background1" w:themeFillShade="D9"/>
          </w:tcPr>
          <w:p w14:paraId="55AEF62C" w14:textId="77777777" w:rsidR="00CD64B5" w:rsidRPr="007F2C2A" w:rsidRDefault="00CD64B5" w:rsidP="00CD64B5">
            <w:pPr>
              <w:rPr>
                <w:rFonts w:eastAsiaTheme="minorEastAsia"/>
                <w:sz w:val="20"/>
              </w:rPr>
            </w:pPr>
          </w:p>
        </w:tc>
        <w:tc>
          <w:tcPr>
            <w:tcW w:w="1509" w:type="pct"/>
            <w:tcBorders>
              <w:top w:val="nil"/>
              <w:left w:val="single" w:sz="4" w:space="0" w:color="auto"/>
              <w:bottom w:val="single" w:sz="4" w:space="0" w:color="auto"/>
              <w:right w:val="single" w:sz="4" w:space="0" w:color="auto"/>
            </w:tcBorders>
            <w:shd w:val="clear" w:color="auto" w:fill="D9D9D9" w:themeFill="background1" w:themeFillShade="D9"/>
          </w:tcPr>
          <w:p w14:paraId="3426E840" w14:textId="77777777" w:rsidR="00CD64B5" w:rsidRPr="007F2C2A" w:rsidRDefault="00CD64B5" w:rsidP="00CD64B5">
            <w:pPr>
              <w:rPr>
                <w:rFonts w:eastAsiaTheme="minorEastAsia"/>
                <w:sz w:val="20"/>
              </w:rPr>
            </w:pPr>
          </w:p>
        </w:tc>
      </w:tr>
      <w:tr w:rsidR="00CD64B5" w:rsidRPr="007F2C2A" w14:paraId="4D752237" w14:textId="77777777" w:rsidTr="00CD64B5">
        <w:trPr>
          <w:jc w:val="center"/>
        </w:trPr>
        <w:tc>
          <w:tcPr>
            <w:tcW w:w="244" w:type="pct"/>
            <w:tcBorders>
              <w:top w:val="single" w:sz="4" w:space="0" w:color="auto"/>
              <w:left w:val="single" w:sz="4" w:space="0" w:color="auto"/>
              <w:bottom w:val="single" w:sz="4" w:space="0" w:color="auto"/>
              <w:right w:val="single" w:sz="4" w:space="0" w:color="auto"/>
            </w:tcBorders>
            <w:hideMark/>
          </w:tcPr>
          <w:p w14:paraId="0AD458E7" w14:textId="77777777" w:rsidR="00CD64B5" w:rsidRPr="007F2C2A" w:rsidRDefault="00CD64B5" w:rsidP="00CD64B5">
            <w:pPr>
              <w:rPr>
                <w:rFonts w:eastAsiaTheme="minorEastAsia"/>
                <w:sz w:val="20"/>
              </w:rPr>
            </w:pPr>
            <w:r w:rsidRPr="007F2C2A">
              <w:rPr>
                <w:rFonts w:eastAsiaTheme="minorEastAsia"/>
                <w:sz w:val="20"/>
              </w:rPr>
              <w:t>1</w:t>
            </w:r>
          </w:p>
        </w:tc>
        <w:tc>
          <w:tcPr>
            <w:tcW w:w="556" w:type="pct"/>
            <w:tcBorders>
              <w:top w:val="single" w:sz="4" w:space="0" w:color="auto"/>
              <w:left w:val="single" w:sz="4" w:space="0" w:color="auto"/>
              <w:bottom w:val="single" w:sz="4" w:space="0" w:color="auto"/>
              <w:right w:val="single" w:sz="4" w:space="0" w:color="auto"/>
            </w:tcBorders>
            <w:hideMark/>
          </w:tcPr>
          <w:p w14:paraId="0F6344D4" w14:textId="77777777" w:rsidR="00CD64B5" w:rsidRPr="007F2C2A" w:rsidRDefault="00CD64B5" w:rsidP="00CD64B5">
            <w:pPr>
              <w:rPr>
                <w:rFonts w:eastAsiaTheme="minorEastAsia"/>
                <w:sz w:val="20"/>
              </w:rPr>
            </w:pPr>
            <w:r w:rsidRPr="007F2C2A">
              <w:rPr>
                <w:rFonts w:eastAsiaTheme="minorEastAsia"/>
                <w:sz w:val="20"/>
              </w:rPr>
              <w:t>535,00</w:t>
            </w:r>
          </w:p>
        </w:tc>
        <w:tc>
          <w:tcPr>
            <w:tcW w:w="587" w:type="pct"/>
            <w:tcBorders>
              <w:top w:val="single" w:sz="4" w:space="0" w:color="auto"/>
              <w:left w:val="single" w:sz="4" w:space="0" w:color="auto"/>
              <w:bottom w:val="single" w:sz="4" w:space="0" w:color="auto"/>
              <w:right w:val="single" w:sz="4" w:space="0" w:color="auto"/>
            </w:tcBorders>
            <w:hideMark/>
          </w:tcPr>
          <w:p w14:paraId="6E542140" w14:textId="77777777" w:rsidR="00CD64B5" w:rsidRPr="007F2C2A" w:rsidRDefault="00CD64B5" w:rsidP="00CD64B5">
            <w:pPr>
              <w:rPr>
                <w:rFonts w:eastAsiaTheme="minorEastAsia"/>
                <w:sz w:val="20"/>
              </w:rPr>
            </w:pPr>
            <w:r w:rsidRPr="007F2C2A">
              <w:rPr>
                <w:rFonts w:eastAsiaTheme="minorEastAsia"/>
                <w:sz w:val="20"/>
              </w:rPr>
              <w:t>288,00</w:t>
            </w:r>
          </w:p>
        </w:tc>
        <w:tc>
          <w:tcPr>
            <w:tcW w:w="457" w:type="pct"/>
            <w:tcBorders>
              <w:top w:val="single" w:sz="4" w:space="0" w:color="auto"/>
              <w:left w:val="single" w:sz="4" w:space="0" w:color="auto"/>
              <w:bottom w:val="single" w:sz="4" w:space="0" w:color="auto"/>
              <w:right w:val="single" w:sz="4" w:space="0" w:color="auto"/>
            </w:tcBorders>
            <w:hideMark/>
          </w:tcPr>
          <w:p w14:paraId="2C8C82D8" w14:textId="77777777" w:rsidR="00CD64B5" w:rsidRPr="007F2C2A" w:rsidRDefault="00CD64B5" w:rsidP="00CD64B5">
            <w:pPr>
              <w:rPr>
                <w:rFonts w:eastAsiaTheme="minorEastAsia"/>
                <w:sz w:val="20"/>
              </w:rPr>
            </w:pPr>
            <w:r w:rsidRPr="007F2C2A">
              <w:rPr>
                <w:rFonts w:eastAsiaTheme="minorEastAsia"/>
                <w:sz w:val="20"/>
              </w:rPr>
              <w:t>2</w:t>
            </w:r>
          </w:p>
        </w:tc>
        <w:tc>
          <w:tcPr>
            <w:tcW w:w="1646" w:type="pct"/>
            <w:tcBorders>
              <w:top w:val="single" w:sz="4" w:space="0" w:color="auto"/>
              <w:left w:val="single" w:sz="4" w:space="0" w:color="auto"/>
              <w:bottom w:val="single" w:sz="4" w:space="0" w:color="auto"/>
              <w:right w:val="single" w:sz="4" w:space="0" w:color="auto"/>
            </w:tcBorders>
            <w:hideMark/>
          </w:tcPr>
          <w:p w14:paraId="25847635" w14:textId="77777777" w:rsidR="00CD64B5" w:rsidRPr="007F2C2A" w:rsidRDefault="00CD64B5" w:rsidP="00CD64B5">
            <w:pPr>
              <w:rPr>
                <w:rFonts w:eastAsiaTheme="minorEastAsia"/>
                <w:sz w:val="20"/>
              </w:rPr>
            </w:pPr>
            <w:r w:rsidRPr="007F2C2A">
              <w:rPr>
                <w:rFonts w:eastAsiaTheme="minorEastAsia"/>
                <w:sz w:val="20"/>
              </w:rPr>
              <w:t xml:space="preserve">500 </w:t>
            </w:r>
            <w:r w:rsidRPr="007F2C2A">
              <w:rPr>
                <w:rFonts w:ascii="Sylfaen" w:eastAsiaTheme="minorEastAsia" w:hAnsi="Sylfaen" w:cs="Sylfaen"/>
                <w:sz w:val="20"/>
              </w:rPr>
              <w:t>მ</w:t>
            </w:r>
            <w:r w:rsidRPr="007F2C2A">
              <w:rPr>
                <w:rFonts w:eastAsiaTheme="minorEastAsia"/>
                <w:sz w:val="20"/>
              </w:rPr>
              <w:t>-</w:t>
            </w:r>
            <w:r w:rsidRPr="007F2C2A">
              <w:rPr>
                <w:rFonts w:ascii="Sylfaen" w:eastAsiaTheme="minorEastAsia" w:hAnsi="Sylfaen" w:cs="Sylfaen"/>
                <w:sz w:val="20"/>
              </w:rPr>
              <w:t>ნი</w:t>
            </w:r>
            <w:r w:rsidRPr="007F2C2A">
              <w:rPr>
                <w:rFonts w:eastAsiaTheme="minorEastAsia"/>
                <w:sz w:val="20"/>
              </w:rPr>
              <w:t xml:space="preserve"> </w:t>
            </w:r>
            <w:r w:rsidRPr="007F2C2A">
              <w:rPr>
                <w:rFonts w:ascii="Sylfaen" w:eastAsiaTheme="minorEastAsia" w:hAnsi="Sylfaen" w:cs="Sylfaen"/>
                <w:sz w:val="20"/>
              </w:rPr>
              <w:t>ზონის</w:t>
            </w:r>
            <w:r w:rsidRPr="007F2C2A">
              <w:rPr>
                <w:rFonts w:eastAsiaTheme="minorEastAsia"/>
                <w:sz w:val="20"/>
              </w:rPr>
              <w:t xml:space="preserve"> </w:t>
            </w:r>
            <w:r w:rsidRPr="007F2C2A">
              <w:rPr>
                <w:rFonts w:ascii="Sylfaen" w:eastAsiaTheme="minorEastAsia" w:hAnsi="Sylfaen" w:cs="Sylfaen"/>
                <w:sz w:val="20"/>
              </w:rPr>
              <w:t>საზღვარზე</w:t>
            </w:r>
          </w:p>
        </w:tc>
        <w:tc>
          <w:tcPr>
            <w:tcW w:w="1509" w:type="pct"/>
            <w:tcBorders>
              <w:top w:val="single" w:sz="4" w:space="0" w:color="auto"/>
              <w:left w:val="single" w:sz="4" w:space="0" w:color="auto"/>
              <w:bottom w:val="single" w:sz="4" w:space="0" w:color="auto"/>
              <w:right w:val="single" w:sz="4" w:space="0" w:color="auto"/>
            </w:tcBorders>
            <w:hideMark/>
          </w:tcPr>
          <w:p w14:paraId="65B78BA5" w14:textId="77777777" w:rsidR="00CD64B5" w:rsidRPr="007F2C2A" w:rsidRDefault="00CD64B5" w:rsidP="00CD64B5">
            <w:pPr>
              <w:rPr>
                <w:rFonts w:eastAsiaTheme="minorEastAsia"/>
                <w:sz w:val="20"/>
              </w:rPr>
            </w:pPr>
            <w:r w:rsidRPr="007F2C2A">
              <w:rPr>
                <w:rFonts w:ascii="Sylfaen" w:eastAsiaTheme="minorEastAsia" w:hAnsi="Sylfaen" w:cs="Sylfaen"/>
                <w:sz w:val="20"/>
              </w:rPr>
              <w:t>ჩრდ</w:t>
            </w:r>
            <w:r w:rsidRPr="007F2C2A">
              <w:rPr>
                <w:rFonts w:eastAsiaTheme="minorEastAsia"/>
                <w:sz w:val="20"/>
              </w:rPr>
              <w:t>.</w:t>
            </w:r>
            <w:r w:rsidRPr="007F2C2A">
              <w:rPr>
                <w:rFonts w:ascii="Sylfaen" w:eastAsiaTheme="minorEastAsia" w:hAnsi="Sylfaen" w:cs="Sylfaen"/>
                <w:sz w:val="20"/>
              </w:rPr>
              <w:t>აღმ</w:t>
            </w:r>
          </w:p>
        </w:tc>
      </w:tr>
      <w:tr w:rsidR="00CD64B5" w:rsidRPr="007F2C2A" w14:paraId="27F395F9" w14:textId="77777777" w:rsidTr="00CD64B5">
        <w:trPr>
          <w:jc w:val="center"/>
        </w:trPr>
        <w:tc>
          <w:tcPr>
            <w:tcW w:w="244" w:type="pct"/>
            <w:tcBorders>
              <w:top w:val="single" w:sz="4" w:space="0" w:color="auto"/>
              <w:left w:val="single" w:sz="4" w:space="0" w:color="auto"/>
              <w:bottom w:val="single" w:sz="4" w:space="0" w:color="auto"/>
              <w:right w:val="single" w:sz="4" w:space="0" w:color="auto"/>
            </w:tcBorders>
            <w:hideMark/>
          </w:tcPr>
          <w:p w14:paraId="21AE79B0" w14:textId="77777777" w:rsidR="00CD64B5" w:rsidRPr="007F2C2A" w:rsidRDefault="00CD64B5" w:rsidP="00CD64B5">
            <w:pPr>
              <w:rPr>
                <w:rFonts w:eastAsiaTheme="minorEastAsia"/>
                <w:sz w:val="20"/>
              </w:rPr>
            </w:pPr>
            <w:r w:rsidRPr="007F2C2A">
              <w:rPr>
                <w:rFonts w:eastAsiaTheme="minorEastAsia"/>
                <w:sz w:val="20"/>
              </w:rPr>
              <w:t>2</w:t>
            </w:r>
          </w:p>
        </w:tc>
        <w:tc>
          <w:tcPr>
            <w:tcW w:w="556" w:type="pct"/>
            <w:tcBorders>
              <w:top w:val="single" w:sz="4" w:space="0" w:color="auto"/>
              <w:left w:val="single" w:sz="4" w:space="0" w:color="auto"/>
              <w:bottom w:val="single" w:sz="4" w:space="0" w:color="auto"/>
              <w:right w:val="single" w:sz="4" w:space="0" w:color="auto"/>
            </w:tcBorders>
            <w:hideMark/>
          </w:tcPr>
          <w:p w14:paraId="3D7F2962" w14:textId="77777777" w:rsidR="00CD64B5" w:rsidRPr="007F2C2A" w:rsidRDefault="00CD64B5" w:rsidP="00CD64B5">
            <w:pPr>
              <w:rPr>
                <w:rFonts w:eastAsiaTheme="minorEastAsia"/>
                <w:sz w:val="20"/>
              </w:rPr>
            </w:pPr>
            <w:r w:rsidRPr="007F2C2A">
              <w:rPr>
                <w:rFonts w:eastAsiaTheme="minorEastAsia"/>
                <w:sz w:val="20"/>
              </w:rPr>
              <w:t>578,00</w:t>
            </w:r>
          </w:p>
        </w:tc>
        <w:tc>
          <w:tcPr>
            <w:tcW w:w="587" w:type="pct"/>
            <w:tcBorders>
              <w:top w:val="single" w:sz="4" w:space="0" w:color="auto"/>
              <w:left w:val="single" w:sz="4" w:space="0" w:color="auto"/>
              <w:bottom w:val="single" w:sz="4" w:space="0" w:color="auto"/>
              <w:right w:val="single" w:sz="4" w:space="0" w:color="auto"/>
            </w:tcBorders>
            <w:hideMark/>
          </w:tcPr>
          <w:p w14:paraId="52636347" w14:textId="77777777" w:rsidR="00CD64B5" w:rsidRPr="007F2C2A" w:rsidRDefault="00CD64B5" w:rsidP="00CD64B5">
            <w:pPr>
              <w:rPr>
                <w:rFonts w:eastAsiaTheme="minorEastAsia"/>
                <w:sz w:val="20"/>
              </w:rPr>
            </w:pPr>
            <w:r w:rsidRPr="007F2C2A">
              <w:rPr>
                <w:rFonts w:eastAsiaTheme="minorEastAsia"/>
                <w:sz w:val="20"/>
              </w:rPr>
              <w:t>-36,00</w:t>
            </w:r>
          </w:p>
        </w:tc>
        <w:tc>
          <w:tcPr>
            <w:tcW w:w="457" w:type="pct"/>
            <w:tcBorders>
              <w:top w:val="single" w:sz="4" w:space="0" w:color="auto"/>
              <w:left w:val="single" w:sz="4" w:space="0" w:color="auto"/>
              <w:bottom w:val="single" w:sz="4" w:space="0" w:color="auto"/>
              <w:right w:val="single" w:sz="4" w:space="0" w:color="auto"/>
            </w:tcBorders>
            <w:hideMark/>
          </w:tcPr>
          <w:p w14:paraId="49E469FE" w14:textId="77777777" w:rsidR="00CD64B5" w:rsidRPr="007F2C2A" w:rsidRDefault="00CD64B5" w:rsidP="00CD64B5">
            <w:pPr>
              <w:rPr>
                <w:rFonts w:eastAsiaTheme="minorEastAsia"/>
                <w:sz w:val="20"/>
              </w:rPr>
            </w:pPr>
            <w:r w:rsidRPr="007F2C2A">
              <w:rPr>
                <w:rFonts w:eastAsiaTheme="minorEastAsia"/>
                <w:sz w:val="20"/>
              </w:rPr>
              <w:t>2</w:t>
            </w:r>
          </w:p>
        </w:tc>
        <w:tc>
          <w:tcPr>
            <w:tcW w:w="1646" w:type="pct"/>
            <w:tcBorders>
              <w:top w:val="single" w:sz="4" w:space="0" w:color="auto"/>
              <w:left w:val="single" w:sz="4" w:space="0" w:color="auto"/>
              <w:bottom w:val="single" w:sz="4" w:space="0" w:color="auto"/>
              <w:right w:val="single" w:sz="4" w:space="0" w:color="auto"/>
            </w:tcBorders>
            <w:hideMark/>
          </w:tcPr>
          <w:p w14:paraId="5AC30EE3" w14:textId="77777777" w:rsidR="00CD64B5" w:rsidRPr="007F2C2A" w:rsidRDefault="00CD64B5" w:rsidP="00CD64B5">
            <w:pPr>
              <w:rPr>
                <w:rFonts w:eastAsiaTheme="minorEastAsia"/>
                <w:sz w:val="20"/>
              </w:rPr>
            </w:pPr>
            <w:r w:rsidRPr="007F2C2A">
              <w:rPr>
                <w:rFonts w:eastAsiaTheme="minorEastAsia"/>
                <w:sz w:val="20"/>
              </w:rPr>
              <w:t xml:space="preserve">500 </w:t>
            </w:r>
            <w:r w:rsidRPr="007F2C2A">
              <w:rPr>
                <w:rFonts w:ascii="Sylfaen" w:eastAsiaTheme="minorEastAsia" w:hAnsi="Sylfaen" w:cs="Sylfaen"/>
                <w:sz w:val="20"/>
              </w:rPr>
              <w:t>მ</w:t>
            </w:r>
            <w:r w:rsidRPr="007F2C2A">
              <w:rPr>
                <w:rFonts w:eastAsiaTheme="minorEastAsia"/>
                <w:sz w:val="20"/>
              </w:rPr>
              <w:t>-</w:t>
            </w:r>
            <w:r w:rsidRPr="007F2C2A">
              <w:rPr>
                <w:rFonts w:ascii="Sylfaen" w:eastAsiaTheme="minorEastAsia" w:hAnsi="Sylfaen" w:cs="Sylfaen"/>
                <w:sz w:val="20"/>
              </w:rPr>
              <w:t>ნი</w:t>
            </w:r>
            <w:r w:rsidRPr="007F2C2A">
              <w:rPr>
                <w:rFonts w:eastAsiaTheme="minorEastAsia"/>
                <w:sz w:val="20"/>
              </w:rPr>
              <w:t xml:space="preserve"> </w:t>
            </w:r>
            <w:r w:rsidRPr="007F2C2A">
              <w:rPr>
                <w:rFonts w:ascii="Sylfaen" w:eastAsiaTheme="minorEastAsia" w:hAnsi="Sylfaen" w:cs="Sylfaen"/>
                <w:sz w:val="20"/>
              </w:rPr>
              <w:t>ზონის</w:t>
            </w:r>
            <w:r w:rsidRPr="007F2C2A">
              <w:rPr>
                <w:rFonts w:eastAsiaTheme="minorEastAsia"/>
                <w:sz w:val="20"/>
              </w:rPr>
              <w:t xml:space="preserve"> </w:t>
            </w:r>
            <w:r w:rsidRPr="007F2C2A">
              <w:rPr>
                <w:rFonts w:ascii="Sylfaen" w:eastAsiaTheme="minorEastAsia" w:hAnsi="Sylfaen" w:cs="Sylfaen"/>
                <w:sz w:val="20"/>
              </w:rPr>
              <w:t>საზღვარზე</w:t>
            </w:r>
          </w:p>
        </w:tc>
        <w:tc>
          <w:tcPr>
            <w:tcW w:w="1509" w:type="pct"/>
            <w:tcBorders>
              <w:top w:val="single" w:sz="4" w:space="0" w:color="auto"/>
              <w:left w:val="single" w:sz="4" w:space="0" w:color="auto"/>
              <w:bottom w:val="single" w:sz="4" w:space="0" w:color="auto"/>
              <w:right w:val="single" w:sz="4" w:space="0" w:color="auto"/>
            </w:tcBorders>
            <w:hideMark/>
          </w:tcPr>
          <w:p w14:paraId="081EFD99" w14:textId="77777777" w:rsidR="00CD64B5" w:rsidRPr="007F2C2A" w:rsidRDefault="00CD64B5" w:rsidP="00CD64B5">
            <w:pPr>
              <w:rPr>
                <w:rFonts w:eastAsiaTheme="minorEastAsia"/>
                <w:sz w:val="20"/>
              </w:rPr>
            </w:pPr>
            <w:r w:rsidRPr="007F2C2A">
              <w:rPr>
                <w:rFonts w:ascii="Sylfaen" w:eastAsiaTheme="minorEastAsia" w:hAnsi="Sylfaen" w:cs="Sylfaen"/>
                <w:sz w:val="20"/>
              </w:rPr>
              <w:t>აღმ</w:t>
            </w:r>
            <w:r w:rsidRPr="007F2C2A">
              <w:rPr>
                <w:rFonts w:eastAsiaTheme="minorEastAsia"/>
                <w:sz w:val="20"/>
              </w:rPr>
              <w:t>.</w:t>
            </w:r>
          </w:p>
        </w:tc>
      </w:tr>
      <w:tr w:rsidR="00CD64B5" w:rsidRPr="007F2C2A" w14:paraId="324E5C31" w14:textId="77777777" w:rsidTr="00CD64B5">
        <w:trPr>
          <w:jc w:val="center"/>
        </w:trPr>
        <w:tc>
          <w:tcPr>
            <w:tcW w:w="244" w:type="pct"/>
            <w:tcBorders>
              <w:top w:val="single" w:sz="4" w:space="0" w:color="auto"/>
              <w:left w:val="single" w:sz="4" w:space="0" w:color="auto"/>
              <w:bottom w:val="single" w:sz="4" w:space="0" w:color="auto"/>
              <w:right w:val="single" w:sz="4" w:space="0" w:color="auto"/>
            </w:tcBorders>
            <w:hideMark/>
          </w:tcPr>
          <w:p w14:paraId="46CD3E8F" w14:textId="77777777" w:rsidR="00CD64B5" w:rsidRPr="007F2C2A" w:rsidRDefault="00CD64B5" w:rsidP="00CD64B5">
            <w:pPr>
              <w:rPr>
                <w:rFonts w:eastAsiaTheme="minorEastAsia"/>
                <w:sz w:val="20"/>
              </w:rPr>
            </w:pPr>
            <w:r w:rsidRPr="007F2C2A">
              <w:rPr>
                <w:rFonts w:eastAsiaTheme="minorEastAsia"/>
                <w:sz w:val="20"/>
              </w:rPr>
              <w:t>3</w:t>
            </w:r>
          </w:p>
        </w:tc>
        <w:tc>
          <w:tcPr>
            <w:tcW w:w="556" w:type="pct"/>
            <w:tcBorders>
              <w:top w:val="single" w:sz="4" w:space="0" w:color="auto"/>
              <w:left w:val="single" w:sz="4" w:space="0" w:color="auto"/>
              <w:bottom w:val="single" w:sz="4" w:space="0" w:color="auto"/>
              <w:right w:val="single" w:sz="4" w:space="0" w:color="auto"/>
            </w:tcBorders>
            <w:hideMark/>
          </w:tcPr>
          <w:p w14:paraId="4AE5CA44" w14:textId="77777777" w:rsidR="00CD64B5" w:rsidRPr="007F2C2A" w:rsidRDefault="00CD64B5" w:rsidP="00CD64B5">
            <w:pPr>
              <w:rPr>
                <w:rFonts w:eastAsiaTheme="minorEastAsia"/>
                <w:sz w:val="20"/>
              </w:rPr>
            </w:pPr>
            <w:r w:rsidRPr="007F2C2A">
              <w:rPr>
                <w:rFonts w:eastAsiaTheme="minorEastAsia"/>
                <w:sz w:val="20"/>
              </w:rPr>
              <w:t>36,00</w:t>
            </w:r>
          </w:p>
        </w:tc>
        <w:tc>
          <w:tcPr>
            <w:tcW w:w="587" w:type="pct"/>
            <w:tcBorders>
              <w:top w:val="single" w:sz="4" w:space="0" w:color="auto"/>
              <w:left w:val="single" w:sz="4" w:space="0" w:color="auto"/>
              <w:bottom w:val="single" w:sz="4" w:space="0" w:color="auto"/>
              <w:right w:val="single" w:sz="4" w:space="0" w:color="auto"/>
            </w:tcBorders>
            <w:hideMark/>
          </w:tcPr>
          <w:p w14:paraId="6C8D7621" w14:textId="77777777" w:rsidR="00CD64B5" w:rsidRPr="007F2C2A" w:rsidRDefault="00CD64B5" w:rsidP="00CD64B5">
            <w:pPr>
              <w:rPr>
                <w:rFonts w:eastAsiaTheme="minorEastAsia"/>
                <w:sz w:val="20"/>
              </w:rPr>
            </w:pPr>
            <w:r w:rsidRPr="007F2C2A">
              <w:rPr>
                <w:rFonts w:eastAsiaTheme="minorEastAsia"/>
                <w:sz w:val="20"/>
              </w:rPr>
              <w:t>-524,00</w:t>
            </w:r>
          </w:p>
        </w:tc>
        <w:tc>
          <w:tcPr>
            <w:tcW w:w="457" w:type="pct"/>
            <w:tcBorders>
              <w:top w:val="single" w:sz="4" w:space="0" w:color="auto"/>
              <w:left w:val="single" w:sz="4" w:space="0" w:color="auto"/>
              <w:bottom w:val="single" w:sz="4" w:space="0" w:color="auto"/>
              <w:right w:val="single" w:sz="4" w:space="0" w:color="auto"/>
            </w:tcBorders>
            <w:hideMark/>
          </w:tcPr>
          <w:p w14:paraId="09F9D19E" w14:textId="77777777" w:rsidR="00CD64B5" w:rsidRPr="007F2C2A" w:rsidRDefault="00CD64B5" w:rsidP="00CD64B5">
            <w:pPr>
              <w:rPr>
                <w:rFonts w:eastAsiaTheme="minorEastAsia"/>
                <w:sz w:val="20"/>
              </w:rPr>
            </w:pPr>
            <w:r w:rsidRPr="007F2C2A">
              <w:rPr>
                <w:rFonts w:eastAsiaTheme="minorEastAsia"/>
                <w:sz w:val="20"/>
              </w:rPr>
              <w:t>2</w:t>
            </w:r>
          </w:p>
        </w:tc>
        <w:tc>
          <w:tcPr>
            <w:tcW w:w="1646" w:type="pct"/>
            <w:tcBorders>
              <w:top w:val="single" w:sz="4" w:space="0" w:color="auto"/>
              <w:left w:val="single" w:sz="4" w:space="0" w:color="auto"/>
              <w:bottom w:val="single" w:sz="4" w:space="0" w:color="auto"/>
              <w:right w:val="single" w:sz="4" w:space="0" w:color="auto"/>
            </w:tcBorders>
            <w:hideMark/>
          </w:tcPr>
          <w:p w14:paraId="4FEB572A" w14:textId="77777777" w:rsidR="00CD64B5" w:rsidRPr="007F2C2A" w:rsidRDefault="00CD64B5" w:rsidP="00CD64B5">
            <w:pPr>
              <w:rPr>
                <w:rFonts w:eastAsiaTheme="minorEastAsia"/>
                <w:sz w:val="20"/>
              </w:rPr>
            </w:pPr>
            <w:r w:rsidRPr="007F2C2A">
              <w:rPr>
                <w:rFonts w:eastAsiaTheme="minorEastAsia"/>
                <w:sz w:val="20"/>
              </w:rPr>
              <w:t xml:space="preserve">500 </w:t>
            </w:r>
            <w:r w:rsidRPr="007F2C2A">
              <w:rPr>
                <w:rFonts w:ascii="Sylfaen" w:eastAsiaTheme="minorEastAsia" w:hAnsi="Sylfaen" w:cs="Sylfaen"/>
                <w:sz w:val="20"/>
              </w:rPr>
              <w:t>მ</w:t>
            </w:r>
            <w:r w:rsidRPr="007F2C2A">
              <w:rPr>
                <w:rFonts w:eastAsiaTheme="minorEastAsia"/>
                <w:sz w:val="20"/>
              </w:rPr>
              <w:t>-</w:t>
            </w:r>
            <w:r w:rsidRPr="007F2C2A">
              <w:rPr>
                <w:rFonts w:ascii="Sylfaen" w:eastAsiaTheme="minorEastAsia" w:hAnsi="Sylfaen" w:cs="Sylfaen"/>
                <w:sz w:val="20"/>
              </w:rPr>
              <w:t>ნი</w:t>
            </w:r>
            <w:r w:rsidRPr="007F2C2A">
              <w:rPr>
                <w:rFonts w:eastAsiaTheme="minorEastAsia"/>
                <w:sz w:val="20"/>
              </w:rPr>
              <w:t xml:space="preserve"> </w:t>
            </w:r>
            <w:r w:rsidRPr="007F2C2A">
              <w:rPr>
                <w:rFonts w:ascii="Sylfaen" w:eastAsiaTheme="minorEastAsia" w:hAnsi="Sylfaen" w:cs="Sylfaen"/>
                <w:sz w:val="20"/>
              </w:rPr>
              <w:t>ზონის</w:t>
            </w:r>
            <w:r w:rsidRPr="007F2C2A">
              <w:rPr>
                <w:rFonts w:eastAsiaTheme="minorEastAsia"/>
                <w:sz w:val="20"/>
              </w:rPr>
              <w:t xml:space="preserve"> </w:t>
            </w:r>
            <w:r w:rsidRPr="007F2C2A">
              <w:rPr>
                <w:rFonts w:ascii="Sylfaen" w:eastAsiaTheme="minorEastAsia" w:hAnsi="Sylfaen" w:cs="Sylfaen"/>
                <w:sz w:val="20"/>
              </w:rPr>
              <w:t>საზღვარზე</w:t>
            </w:r>
          </w:p>
        </w:tc>
        <w:tc>
          <w:tcPr>
            <w:tcW w:w="1509" w:type="pct"/>
            <w:tcBorders>
              <w:top w:val="single" w:sz="4" w:space="0" w:color="auto"/>
              <w:left w:val="single" w:sz="4" w:space="0" w:color="auto"/>
              <w:bottom w:val="single" w:sz="4" w:space="0" w:color="auto"/>
              <w:right w:val="single" w:sz="4" w:space="0" w:color="auto"/>
            </w:tcBorders>
            <w:hideMark/>
          </w:tcPr>
          <w:p w14:paraId="127BCC03" w14:textId="77777777" w:rsidR="00CD64B5" w:rsidRPr="007F2C2A" w:rsidRDefault="00CD64B5" w:rsidP="00CD64B5">
            <w:pPr>
              <w:rPr>
                <w:rFonts w:eastAsiaTheme="minorEastAsia"/>
                <w:sz w:val="20"/>
              </w:rPr>
            </w:pPr>
            <w:r w:rsidRPr="007F2C2A">
              <w:rPr>
                <w:rFonts w:ascii="Sylfaen" w:eastAsiaTheme="minorEastAsia" w:hAnsi="Sylfaen" w:cs="Sylfaen"/>
                <w:sz w:val="20"/>
              </w:rPr>
              <w:t>სამხრ</w:t>
            </w:r>
            <w:r w:rsidRPr="007F2C2A">
              <w:rPr>
                <w:rFonts w:eastAsiaTheme="minorEastAsia"/>
                <w:sz w:val="20"/>
              </w:rPr>
              <w:t>.</w:t>
            </w:r>
          </w:p>
        </w:tc>
      </w:tr>
      <w:tr w:rsidR="00CD64B5" w:rsidRPr="007F2C2A" w14:paraId="6127E474" w14:textId="77777777" w:rsidTr="00CD64B5">
        <w:trPr>
          <w:jc w:val="center"/>
        </w:trPr>
        <w:tc>
          <w:tcPr>
            <w:tcW w:w="244" w:type="pct"/>
            <w:tcBorders>
              <w:top w:val="single" w:sz="4" w:space="0" w:color="auto"/>
              <w:left w:val="single" w:sz="4" w:space="0" w:color="auto"/>
              <w:bottom w:val="single" w:sz="4" w:space="0" w:color="auto"/>
              <w:right w:val="single" w:sz="4" w:space="0" w:color="auto"/>
            </w:tcBorders>
            <w:hideMark/>
          </w:tcPr>
          <w:p w14:paraId="03339A1F" w14:textId="77777777" w:rsidR="00CD64B5" w:rsidRPr="007F2C2A" w:rsidRDefault="00CD64B5" w:rsidP="00CD64B5">
            <w:pPr>
              <w:rPr>
                <w:rFonts w:eastAsiaTheme="minorEastAsia"/>
                <w:sz w:val="20"/>
              </w:rPr>
            </w:pPr>
            <w:r w:rsidRPr="007F2C2A">
              <w:rPr>
                <w:rFonts w:eastAsiaTheme="minorEastAsia"/>
                <w:sz w:val="20"/>
              </w:rPr>
              <w:t>4</w:t>
            </w:r>
          </w:p>
        </w:tc>
        <w:tc>
          <w:tcPr>
            <w:tcW w:w="556" w:type="pct"/>
            <w:tcBorders>
              <w:top w:val="single" w:sz="4" w:space="0" w:color="auto"/>
              <w:left w:val="single" w:sz="4" w:space="0" w:color="auto"/>
              <w:bottom w:val="single" w:sz="4" w:space="0" w:color="auto"/>
              <w:right w:val="single" w:sz="4" w:space="0" w:color="auto"/>
            </w:tcBorders>
            <w:hideMark/>
          </w:tcPr>
          <w:p w14:paraId="6DAC5453" w14:textId="77777777" w:rsidR="00CD64B5" w:rsidRPr="007F2C2A" w:rsidRDefault="00CD64B5" w:rsidP="00CD64B5">
            <w:pPr>
              <w:rPr>
                <w:rFonts w:eastAsiaTheme="minorEastAsia"/>
                <w:sz w:val="20"/>
              </w:rPr>
            </w:pPr>
            <w:r w:rsidRPr="007F2C2A">
              <w:rPr>
                <w:rFonts w:eastAsiaTheme="minorEastAsia"/>
                <w:sz w:val="20"/>
              </w:rPr>
              <w:t>-535,00</w:t>
            </w:r>
          </w:p>
        </w:tc>
        <w:tc>
          <w:tcPr>
            <w:tcW w:w="587" w:type="pct"/>
            <w:tcBorders>
              <w:top w:val="single" w:sz="4" w:space="0" w:color="auto"/>
              <w:left w:val="single" w:sz="4" w:space="0" w:color="auto"/>
              <w:bottom w:val="single" w:sz="4" w:space="0" w:color="auto"/>
              <w:right w:val="single" w:sz="4" w:space="0" w:color="auto"/>
            </w:tcBorders>
            <w:hideMark/>
          </w:tcPr>
          <w:p w14:paraId="072BF5C9" w14:textId="77777777" w:rsidR="00CD64B5" w:rsidRPr="007F2C2A" w:rsidRDefault="00CD64B5" w:rsidP="00CD64B5">
            <w:pPr>
              <w:rPr>
                <w:rFonts w:eastAsiaTheme="minorEastAsia"/>
                <w:sz w:val="20"/>
              </w:rPr>
            </w:pPr>
            <w:r w:rsidRPr="007F2C2A">
              <w:rPr>
                <w:rFonts w:eastAsiaTheme="minorEastAsia"/>
                <w:sz w:val="20"/>
              </w:rPr>
              <w:t>3,00</w:t>
            </w:r>
          </w:p>
        </w:tc>
        <w:tc>
          <w:tcPr>
            <w:tcW w:w="457" w:type="pct"/>
            <w:tcBorders>
              <w:top w:val="single" w:sz="4" w:space="0" w:color="auto"/>
              <w:left w:val="single" w:sz="4" w:space="0" w:color="auto"/>
              <w:bottom w:val="single" w:sz="4" w:space="0" w:color="auto"/>
              <w:right w:val="single" w:sz="4" w:space="0" w:color="auto"/>
            </w:tcBorders>
            <w:hideMark/>
          </w:tcPr>
          <w:p w14:paraId="3C80CD5A" w14:textId="77777777" w:rsidR="00CD64B5" w:rsidRPr="007F2C2A" w:rsidRDefault="00CD64B5" w:rsidP="00CD64B5">
            <w:pPr>
              <w:rPr>
                <w:rFonts w:eastAsiaTheme="minorEastAsia"/>
                <w:sz w:val="20"/>
              </w:rPr>
            </w:pPr>
            <w:r w:rsidRPr="007F2C2A">
              <w:rPr>
                <w:rFonts w:eastAsiaTheme="minorEastAsia"/>
                <w:sz w:val="20"/>
              </w:rPr>
              <w:t>2</w:t>
            </w:r>
          </w:p>
        </w:tc>
        <w:tc>
          <w:tcPr>
            <w:tcW w:w="1646" w:type="pct"/>
            <w:tcBorders>
              <w:top w:val="single" w:sz="4" w:space="0" w:color="auto"/>
              <w:left w:val="single" w:sz="4" w:space="0" w:color="auto"/>
              <w:bottom w:val="single" w:sz="4" w:space="0" w:color="auto"/>
              <w:right w:val="single" w:sz="4" w:space="0" w:color="auto"/>
            </w:tcBorders>
            <w:hideMark/>
          </w:tcPr>
          <w:p w14:paraId="3452CB6A" w14:textId="77777777" w:rsidR="00CD64B5" w:rsidRPr="007F2C2A" w:rsidRDefault="00CD64B5" w:rsidP="00CD64B5">
            <w:pPr>
              <w:rPr>
                <w:rFonts w:eastAsiaTheme="minorEastAsia"/>
                <w:sz w:val="20"/>
              </w:rPr>
            </w:pPr>
            <w:r w:rsidRPr="007F2C2A">
              <w:rPr>
                <w:rFonts w:eastAsiaTheme="minorEastAsia"/>
                <w:sz w:val="20"/>
              </w:rPr>
              <w:t xml:space="preserve">500 </w:t>
            </w:r>
            <w:r w:rsidRPr="007F2C2A">
              <w:rPr>
                <w:rFonts w:ascii="Sylfaen" w:eastAsiaTheme="minorEastAsia" w:hAnsi="Sylfaen" w:cs="Sylfaen"/>
                <w:sz w:val="20"/>
              </w:rPr>
              <w:t>მ</w:t>
            </w:r>
            <w:r w:rsidRPr="007F2C2A">
              <w:rPr>
                <w:rFonts w:eastAsiaTheme="minorEastAsia"/>
                <w:sz w:val="20"/>
              </w:rPr>
              <w:t>-</w:t>
            </w:r>
            <w:r w:rsidRPr="007F2C2A">
              <w:rPr>
                <w:rFonts w:ascii="Sylfaen" w:eastAsiaTheme="minorEastAsia" w:hAnsi="Sylfaen" w:cs="Sylfaen"/>
                <w:sz w:val="20"/>
              </w:rPr>
              <w:t>ნი</w:t>
            </w:r>
            <w:r w:rsidRPr="007F2C2A">
              <w:rPr>
                <w:rFonts w:eastAsiaTheme="minorEastAsia"/>
                <w:sz w:val="20"/>
              </w:rPr>
              <w:t xml:space="preserve"> </w:t>
            </w:r>
            <w:r w:rsidRPr="007F2C2A">
              <w:rPr>
                <w:rFonts w:ascii="Sylfaen" w:eastAsiaTheme="minorEastAsia" w:hAnsi="Sylfaen" w:cs="Sylfaen"/>
                <w:sz w:val="20"/>
              </w:rPr>
              <w:t>ზონის</w:t>
            </w:r>
            <w:r w:rsidRPr="007F2C2A">
              <w:rPr>
                <w:rFonts w:eastAsiaTheme="minorEastAsia"/>
                <w:sz w:val="20"/>
              </w:rPr>
              <w:t xml:space="preserve"> </w:t>
            </w:r>
            <w:r w:rsidRPr="007F2C2A">
              <w:rPr>
                <w:rFonts w:ascii="Sylfaen" w:eastAsiaTheme="minorEastAsia" w:hAnsi="Sylfaen" w:cs="Sylfaen"/>
                <w:sz w:val="20"/>
              </w:rPr>
              <w:t>საზღვარზე</w:t>
            </w:r>
          </w:p>
        </w:tc>
        <w:tc>
          <w:tcPr>
            <w:tcW w:w="1509" w:type="pct"/>
            <w:tcBorders>
              <w:top w:val="single" w:sz="4" w:space="0" w:color="auto"/>
              <w:left w:val="single" w:sz="4" w:space="0" w:color="auto"/>
              <w:bottom w:val="single" w:sz="4" w:space="0" w:color="auto"/>
              <w:right w:val="single" w:sz="4" w:space="0" w:color="auto"/>
            </w:tcBorders>
            <w:hideMark/>
          </w:tcPr>
          <w:p w14:paraId="6752738D" w14:textId="77777777" w:rsidR="00CD64B5" w:rsidRPr="007F2C2A" w:rsidRDefault="00CD64B5" w:rsidP="00CD64B5">
            <w:pPr>
              <w:rPr>
                <w:rFonts w:eastAsiaTheme="minorEastAsia"/>
                <w:sz w:val="20"/>
              </w:rPr>
            </w:pPr>
            <w:r w:rsidRPr="007F2C2A">
              <w:rPr>
                <w:rFonts w:ascii="Sylfaen" w:eastAsiaTheme="minorEastAsia" w:hAnsi="Sylfaen" w:cs="Sylfaen"/>
                <w:sz w:val="20"/>
              </w:rPr>
              <w:t>დას</w:t>
            </w:r>
            <w:r w:rsidRPr="007F2C2A">
              <w:rPr>
                <w:rFonts w:eastAsiaTheme="minorEastAsia"/>
                <w:sz w:val="20"/>
              </w:rPr>
              <w:t>.</w:t>
            </w:r>
          </w:p>
        </w:tc>
      </w:tr>
      <w:tr w:rsidR="00CD64B5" w:rsidRPr="007F2C2A" w14:paraId="4431146C" w14:textId="77777777" w:rsidTr="00CD64B5">
        <w:trPr>
          <w:jc w:val="center"/>
        </w:trPr>
        <w:tc>
          <w:tcPr>
            <w:tcW w:w="244" w:type="pct"/>
            <w:tcBorders>
              <w:top w:val="single" w:sz="4" w:space="0" w:color="auto"/>
              <w:left w:val="single" w:sz="4" w:space="0" w:color="auto"/>
              <w:bottom w:val="single" w:sz="4" w:space="0" w:color="auto"/>
              <w:right w:val="single" w:sz="4" w:space="0" w:color="auto"/>
            </w:tcBorders>
            <w:hideMark/>
          </w:tcPr>
          <w:p w14:paraId="5274161F" w14:textId="77777777" w:rsidR="00CD64B5" w:rsidRPr="007F2C2A" w:rsidRDefault="00CD64B5" w:rsidP="00CD64B5">
            <w:pPr>
              <w:rPr>
                <w:rFonts w:eastAsiaTheme="minorEastAsia"/>
                <w:sz w:val="20"/>
              </w:rPr>
            </w:pPr>
            <w:r w:rsidRPr="007F2C2A">
              <w:rPr>
                <w:rFonts w:eastAsiaTheme="minorEastAsia"/>
                <w:sz w:val="20"/>
              </w:rPr>
              <w:t>5</w:t>
            </w:r>
          </w:p>
        </w:tc>
        <w:tc>
          <w:tcPr>
            <w:tcW w:w="556" w:type="pct"/>
            <w:tcBorders>
              <w:top w:val="single" w:sz="4" w:space="0" w:color="auto"/>
              <w:left w:val="single" w:sz="4" w:space="0" w:color="auto"/>
              <w:bottom w:val="single" w:sz="4" w:space="0" w:color="auto"/>
              <w:right w:val="single" w:sz="4" w:space="0" w:color="auto"/>
            </w:tcBorders>
            <w:hideMark/>
          </w:tcPr>
          <w:p w14:paraId="4A819740" w14:textId="77777777" w:rsidR="00CD64B5" w:rsidRPr="007F2C2A" w:rsidRDefault="00CD64B5" w:rsidP="00CD64B5">
            <w:pPr>
              <w:rPr>
                <w:rFonts w:eastAsiaTheme="minorEastAsia"/>
                <w:sz w:val="20"/>
              </w:rPr>
            </w:pPr>
            <w:r w:rsidRPr="007F2C2A">
              <w:rPr>
                <w:rFonts w:eastAsiaTheme="minorEastAsia"/>
                <w:sz w:val="20"/>
              </w:rPr>
              <w:t>-263,00</w:t>
            </w:r>
          </w:p>
        </w:tc>
        <w:tc>
          <w:tcPr>
            <w:tcW w:w="587" w:type="pct"/>
            <w:tcBorders>
              <w:top w:val="single" w:sz="4" w:space="0" w:color="auto"/>
              <w:left w:val="single" w:sz="4" w:space="0" w:color="auto"/>
              <w:bottom w:val="single" w:sz="4" w:space="0" w:color="auto"/>
              <w:right w:val="single" w:sz="4" w:space="0" w:color="auto"/>
            </w:tcBorders>
            <w:hideMark/>
          </w:tcPr>
          <w:p w14:paraId="689452FB" w14:textId="77777777" w:rsidR="00CD64B5" w:rsidRPr="007F2C2A" w:rsidRDefault="00CD64B5" w:rsidP="00CD64B5">
            <w:pPr>
              <w:rPr>
                <w:rFonts w:eastAsiaTheme="minorEastAsia"/>
                <w:sz w:val="20"/>
              </w:rPr>
            </w:pPr>
            <w:r w:rsidRPr="007F2C2A">
              <w:rPr>
                <w:rFonts w:eastAsiaTheme="minorEastAsia"/>
                <w:sz w:val="20"/>
              </w:rPr>
              <w:t>176,00</w:t>
            </w:r>
          </w:p>
        </w:tc>
        <w:tc>
          <w:tcPr>
            <w:tcW w:w="457" w:type="pct"/>
            <w:tcBorders>
              <w:top w:val="single" w:sz="4" w:space="0" w:color="auto"/>
              <w:left w:val="single" w:sz="4" w:space="0" w:color="auto"/>
              <w:bottom w:val="single" w:sz="4" w:space="0" w:color="auto"/>
              <w:right w:val="single" w:sz="4" w:space="0" w:color="auto"/>
            </w:tcBorders>
            <w:hideMark/>
          </w:tcPr>
          <w:p w14:paraId="1D405422" w14:textId="77777777" w:rsidR="00CD64B5" w:rsidRPr="007F2C2A" w:rsidRDefault="00CD64B5" w:rsidP="00CD64B5">
            <w:pPr>
              <w:rPr>
                <w:rFonts w:eastAsiaTheme="minorEastAsia"/>
                <w:sz w:val="20"/>
              </w:rPr>
            </w:pPr>
            <w:r w:rsidRPr="007F2C2A">
              <w:rPr>
                <w:rFonts w:eastAsiaTheme="minorEastAsia"/>
                <w:sz w:val="20"/>
              </w:rPr>
              <w:t>2</w:t>
            </w:r>
          </w:p>
        </w:tc>
        <w:tc>
          <w:tcPr>
            <w:tcW w:w="1646" w:type="pct"/>
            <w:tcBorders>
              <w:top w:val="single" w:sz="4" w:space="0" w:color="auto"/>
              <w:left w:val="single" w:sz="4" w:space="0" w:color="auto"/>
              <w:bottom w:val="single" w:sz="4" w:space="0" w:color="auto"/>
              <w:right w:val="single" w:sz="4" w:space="0" w:color="auto"/>
            </w:tcBorders>
            <w:hideMark/>
          </w:tcPr>
          <w:p w14:paraId="47E853E0" w14:textId="77777777" w:rsidR="00CD64B5" w:rsidRPr="007F2C2A" w:rsidRDefault="00CD64B5" w:rsidP="00CD64B5">
            <w:pPr>
              <w:rPr>
                <w:rFonts w:eastAsiaTheme="minorEastAsia"/>
                <w:sz w:val="20"/>
              </w:rPr>
            </w:pPr>
            <w:r w:rsidRPr="007F2C2A">
              <w:rPr>
                <w:rFonts w:ascii="Sylfaen" w:eastAsiaTheme="minorEastAsia" w:hAnsi="Sylfaen" w:cs="Sylfaen"/>
                <w:sz w:val="20"/>
              </w:rPr>
              <w:t>წერტილი</w:t>
            </w:r>
            <w:r w:rsidRPr="007F2C2A">
              <w:rPr>
                <w:rFonts w:eastAsiaTheme="minorEastAsia"/>
                <w:sz w:val="20"/>
              </w:rPr>
              <w:t xml:space="preserve"> </w:t>
            </w:r>
            <w:r w:rsidRPr="007F2C2A">
              <w:rPr>
                <w:rFonts w:ascii="Sylfaen" w:eastAsiaTheme="minorEastAsia" w:hAnsi="Sylfaen" w:cs="Sylfaen"/>
                <w:sz w:val="20"/>
              </w:rPr>
              <w:t>დასახლებული</w:t>
            </w:r>
            <w:r w:rsidRPr="007F2C2A">
              <w:rPr>
                <w:rFonts w:eastAsiaTheme="minorEastAsia"/>
                <w:sz w:val="20"/>
              </w:rPr>
              <w:t xml:space="preserve"> </w:t>
            </w:r>
            <w:r w:rsidRPr="007F2C2A">
              <w:rPr>
                <w:rFonts w:ascii="Sylfaen" w:eastAsiaTheme="minorEastAsia" w:hAnsi="Sylfaen" w:cs="Sylfaen"/>
                <w:sz w:val="20"/>
              </w:rPr>
              <w:t>ზონის</w:t>
            </w:r>
            <w:r w:rsidRPr="007F2C2A">
              <w:rPr>
                <w:rFonts w:eastAsiaTheme="minorEastAsia"/>
                <w:sz w:val="20"/>
              </w:rPr>
              <w:t xml:space="preserve"> </w:t>
            </w:r>
            <w:r w:rsidRPr="007F2C2A">
              <w:rPr>
                <w:rFonts w:ascii="Sylfaen" w:eastAsiaTheme="minorEastAsia" w:hAnsi="Sylfaen" w:cs="Sylfaen"/>
                <w:sz w:val="20"/>
              </w:rPr>
              <w:t>საზღვარზე</w:t>
            </w:r>
          </w:p>
        </w:tc>
        <w:tc>
          <w:tcPr>
            <w:tcW w:w="1509" w:type="pct"/>
            <w:tcBorders>
              <w:top w:val="single" w:sz="4" w:space="0" w:color="auto"/>
              <w:left w:val="single" w:sz="4" w:space="0" w:color="auto"/>
              <w:bottom w:val="single" w:sz="4" w:space="0" w:color="auto"/>
              <w:right w:val="single" w:sz="4" w:space="0" w:color="auto"/>
            </w:tcBorders>
            <w:hideMark/>
          </w:tcPr>
          <w:p w14:paraId="36E682B4" w14:textId="77777777" w:rsidR="00CD64B5" w:rsidRPr="007F2C2A" w:rsidRDefault="00CD64B5" w:rsidP="00CD64B5">
            <w:pPr>
              <w:rPr>
                <w:rFonts w:eastAsiaTheme="minorEastAsia"/>
                <w:sz w:val="20"/>
              </w:rPr>
            </w:pPr>
            <w:r w:rsidRPr="007F2C2A">
              <w:rPr>
                <w:rFonts w:ascii="Sylfaen" w:eastAsiaTheme="minorEastAsia" w:hAnsi="Sylfaen" w:cs="Sylfaen"/>
                <w:sz w:val="20"/>
              </w:rPr>
              <w:t>უახლოესი</w:t>
            </w:r>
            <w:r w:rsidRPr="007F2C2A">
              <w:rPr>
                <w:rFonts w:eastAsiaTheme="minorEastAsia"/>
                <w:sz w:val="20"/>
              </w:rPr>
              <w:t xml:space="preserve"> </w:t>
            </w:r>
            <w:r w:rsidRPr="007F2C2A">
              <w:rPr>
                <w:rFonts w:ascii="Sylfaen" w:eastAsiaTheme="minorEastAsia" w:hAnsi="Sylfaen" w:cs="Sylfaen"/>
                <w:sz w:val="20"/>
              </w:rPr>
              <w:t>დასახლება</w:t>
            </w:r>
            <w:r w:rsidRPr="007F2C2A">
              <w:rPr>
                <w:rFonts w:eastAsiaTheme="minorEastAsia"/>
                <w:sz w:val="20"/>
              </w:rPr>
              <w:t xml:space="preserve"> 1</w:t>
            </w:r>
          </w:p>
        </w:tc>
      </w:tr>
      <w:tr w:rsidR="00CD64B5" w:rsidRPr="007F2C2A" w14:paraId="4B6C50DD" w14:textId="77777777" w:rsidTr="00CD64B5">
        <w:trPr>
          <w:jc w:val="center"/>
        </w:trPr>
        <w:tc>
          <w:tcPr>
            <w:tcW w:w="244" w:type="pct"/>
            <w:tcBorders>
              <w:top w:val="single" w:sz="4" w:space="0" w:color="auto"/>
              <w:left w:val="single" w:sz="4" w:space="0" w:color="auto"/>
              <w:bottom w:val="single" w:sz="4" w:space="0" w:color="auto"/>
              <w:right w:val="single" w:sz="4" w:space="0" w:color="auto"/>
            </w:tcBorders>
            <w:hideMark/>
          </w:tcPr>
          <w:p w14:paraId="29E955B1" w14:textId="77777777" w:rsidR="00CD64B5" w:rsidRPr="007F2C2A" w:rsidRDefault="00CD64B5" w:rsidP="00CD64B5">
            <w:pPr>
              <w:rPr>
                <w:rFonts w:eastAsiaTheme="minorEastAsia"/>
                <w:sz w:val="20"/>
              </w:rPr>
            </w:pPr>
            <w:r w:rsidRPr="007F2C2A">
              <w:rPr>
                <w:rFonts w:eastAsiaTheme="minorEastAsia"/>
                <w:sz w:val="20"/>
              </w:rPr>
              <w:t>6</w:t>
            </w:r>
          </w:p>
        </w:tc>
        <w:tc>
          <w:tcPr>
            <w:tcW w:w="556" w:type="pct"/>
            <w:tcBorders>
              <w:top w:val="single" w:sz="4" w:space="0" w:color="auto"/>
              <w:left w:val="single" w:sz="4" w:space="0" w:color="auto"/>
              <w:bottom w:val="single" w:sz="4" w:space="0" w:color="auto"/>
              <w:right w:val="single" w:sz="4" w:space="0" w:color="auto"/>
            </w:tcBorders>
            <w:hideMark/>
          </w:tcPr>
          <w:p w14:paraId="778934B3" w14:textId="77777777" w:rsidR="00CD64B5" w:rsidRPr="007F2C2A" w:rsidRDefault="00CD64B5" w:rsidP="00CD64B5">
            <w:pPr>
              <w:rPr>
                <w:rFonts w:eastAsiaTheme="minorEastAsia"/>
                <w:sz w:val="20"/>
              </w:rPr>
            </w:pPr>
            <w:r w:rsidRPr="007F2C2A">
              <w:rPr>
                <w:rFonts w:eastAsiaTheme="minorEastAsia"/>
                <w:sz w:val="20"/>
              </w:rPr>
              <w:t>-364,00</w:t>
            </w:r>
          </w:p>
        </w:tc>
        <w:tc>
          <w:tcPr>
            <w:tcW w:w="587" w:type="pct"/>
            <w:tcBorders>
              <w:top w:val="single" w:sz="4" w:space="0" w:color="auto"/>
              <w:left w:val="single" w:sz="4" w:space="0" w:color="auto"/>
              <w:bottom w:val="single" w:sz="4" w:space="0" w:color="auto"/>
              <w:right w:val="single" w:sz="4" w:space="0" w:color="auto"/>
            </w:tcBorders>
            <w:hideMark/>
          </w:tcPr>
          <w:p w14:paraId="65B7A937" w14:textId="77777777" w:rsidR="00CD64B5" w:rsidRPr="007F2C2A" w:rsidRDefault="00CD64B5" w:rsidP="00CD64B5">
            <w:pPr>
              <w:rPr>
                <w:rFonts w:eastAsiaTheme="minorEastAsia"/>
                <w:sz w:val="20"/>
              </w:rPr>
            </w:pPr>
            <w:r w:rsidRPr="007F2C2A">
              <w:rPr>
                <w:rFonts w:eastAsiaTheme="minorEastAsia"/>
                <w:sz w:val="20"/>
              </w:rPr>
              <w:t>-210,00</w:t>
            </w:r>
          </w:p>
        </w:tc>
        <w:tc>
          <w:tcPr>
            <w:tcW w:w="457" w:type="pct"/>
            <w:tcBorders>
              <w:top w:val="single" w:sz="4" w:space="0" w:color="auto"/>
              <w:left w:val="single" w:sz="4" w:space="0" w:color="auto"/>
              <w:bottom w:val="single" w:sz="4" w:space="0" w:color="auto"/>
              <w:right w:val="single" w:sz="4" w:space="0" w:color="auto"/>
            </w:tcBorders>
            <w:hideMark/>
          </w:tcPr>
          <w:p w14:paraId="51E39C4A" w14:textId="77777777" w:rsidR="00CD64B5" w:rsidRPr="007F2C2A" w:rsidRDefault="00CD64B5" w:rsidP="00CD64B5">
            <w:pPr>
              <w:rPr>
                <w:rFonts w:eastAsiaTheme="minorEastAsia"/>
                <w:sz w:val="20"/>
              </w:rPr>
            </w:pPr>
            <w:r w:rsidRPr="007F2C2A">
              <w:rPr>
                <w:rFonts w:eastAsiaTheme="minorEastAsia"/>
                <w:sz w:val="20"/>
              </w:rPr>
              <w:t>2</w:t>
            </w:r>
          </w:p>
        </w:tc>
        <w:tc>
          <w:tcPr>
            <w:tcW w:w="1646" w:type="pct"/>
            <w:tcBorders>
              <w:top w:val="single" w:sz="4" w:space="0" w:color="auto"/>
              <w:left w:val="single" w:sz="4" w:space="0" w:color="auto"/>
              <w:bottom w:val="single" w:sz="4" w:space="0" w:color="auto"/>
              <w:right w:val="single" w:sz="4" w:space="0" w:color="auto"/>
            </w:tcBorders>
            <w:hideMark/>
          </w:tcPr>
          <w:p w14:paraId="23EF9FA5" w14:textId="77777777" w:rsidR="00CD64B5" w:rsidRPr="007F2C2A" w:rsidRDefault="00CD64B5" w:rsidP="00CD64B5">
            <w:pPr>
              <w:rPr>
                <w:rFonts w:eastAsiaTheme="minorEastAsia"/>
                <w:sz w:val="20"/>
              </w:rPr>
            </w:pPr>
            <w:r w:rsidRPr="007F2C2A">
              <w:rPr>
                <w:rFonts w:ascii="Sylfaen" w:eastAsiaTheme="minorEastAsia" w:hAnsi="Sylfaen" w:cs="Sylfaen"/>
                <w:sz w:val="20"/>
              </w:rPr>
              <w:t>წერტილი</w:t>
            </w:r>
            <w:r w:rsidRPr="007F2C2A">
              <w:rPr>
                <w:rFonts w:eastAsiaTheme="minorEastAsia"/>
                <w:sz w:val="20"/>
              </w:rPr>
              <w:t xml:space="preserve"> </w:t>
            </w:r>
            <w:r w:rsidRPr="007F2C2A">
              <w:rPr>
                <w:rFonts w:ascii="Sylfaen" w:eastAsiaTheme="minorEastAsia" w:hAnsi="Sylfaen" w:cs="Sylfaen"/>
                <w:sz w:val="20"/>
              </w:rPr>
              <w:t>დასახლებული</w:t>
            </w:r>
            <w:r w:rsidRPr="007F2C2A">
              <w:rPr>
                <w:rFonts w:eastAsiaTheme="minorEastAsia"/>
                <w:sz w:val="20"/>
              </w:rPr>
              <w:t xml:space="preserve"> </w:t>
            </w:r>
            <w:r w:rsidRPr="007F2C2A">
              <w:rPr>
                <w:rFonts w:ascii="Sylfaen" w:eastAsiaTheme="minorEastAsia" w:hAnsi="Sylfaen" w:cs="Sylfaen"/>
                <w:sz w:val="20"/>
              </w:rPr>
              <w:t>ზონის</w:t>
            </w:r>
            <w:r w:rsidRPr="007F2C2A">
              <w:rPr>
                <w:rFonts w:eastAsiaTheme="minorEastAsia"/>
                <w:sz w:val="20"/>
              </w:rPr>
              <w:t xml:space="preserve"> </w:t>
            </w:r>
            <w:r w:rsidRPr="007F2C2A">
              <w:rPr>
                <w:rFonts w:ascii="Sylfaen" w:eastAsiaTheme="minorEastAsia" w:hAnsi="Sylfaen" w:cs="Sylfaen"/>
                <w:sz w:val="20"/>
              </w:rPr>
              <w:t>საზღვარზე</w:t>
            </w:r>
          </w:p>
        </w:tc>
        <w:tc>
          <w:tcPr>
            <w:tcW w:w="1509" w:type="pct"/>
            <w:tcBorders>
              <w:top w:val="single" w:sz="4" w:space="0" w:color="auto"/>
              <w:left w:val="single" w:sz="4" w:space="0" w:color="auto"/>
              <w:bottom w:val="single" w:sz="4" w:space="0" w:color="auto"/>
              <w:right w:val="single" w:sz="4" w:space="0" w:color="auto"/>
            </w:tcBorders>
            <w:hideMark/>
          </w:tcPr>
          <w:p w14:paraId="3ACC51D6" w14:textId="77777777" w:rsidR="00CD64B5" w:rsidRPr="007F2C2A" w:rsidRDefault="00CD64B5" w:rsidP="00CD64B5">
            <w:pPr>
              <w:rPr>
                <w:rFonts w:eastAsiaTheme="minorEastAsia"/>
                <w:sz w:val="20"/>
              </w:rPr>
            </w:pPr>
            <w:r w:rsidRPr="007F2C2A">
              <w:rPr>
                <w:rFonts w:ascii="Sylfaen" w:eastAsiaTheme="minorEastAsia" w:hAnsi="Sylfaen" w:cs="Sylfaen"/>
                <w:sz w:val="20"/>
              </w:rPr>
              <w:t>უახლოესი</w:t>
            </w:r>
            <w:r w:rsidRPr="007F2C2A">
              <w:rPr>
                <w:rFonts w:eastAsiaTheme="minorEastAsia"/>
                <w:sz w:val="20"/>
              </w:rPr>
              <w:t xml:space="preserve"> </w:t>
            </w:r>
            <w:r w:rsidRPr="007F2C2A">
              <w:rPr>
                <w:rFonts w:ascii="Sylfaen" w:eastAsiaTheme="minorEastAsia" w:hAnsi="Sylfaen" w:cs="Sylfaen"/>
                <w:sz w:val="20"/>
              </w:rPr>
              <w:t>დასახლება</w:t>
            </w:r>
            <w:r w:rsidRPr="007F2C2A">
              <w:rPr>
                <w:rFonts w:eastAsiaTheme="minorEastAsia"/>
                <w:sz w:val="20"/>
              </w:rPr>
              <w:t xml:space="preserve"> 2</w:t>
            </w:r>
          </w:p>
        </w:tc>
      </w:tr>
    </w:tbl>
    <w:p w14:paraId="15670B20" w14:textId="77777777" w:rsidR="00CD64B5" w:rsidRPr="001352AB" w:rsidRDefault="00CD64B5" w:rsidP="00CD64B5">
      <w:pPr>
        <w:rPr>
          <w:rFonts w:eastAsiaTheme="minorEastAsia"/>
          <w:lang w:val="ka-GE"/>
        </w:rPr>
      </w:pPr>
    </w:p>
    <w:p w14:paraId="2D228020" w14:textId="77777777" w:rsidR="00CD64B5" w:rsidRPr="001352AB" w:rsidRDefault="00CD64B5" w:rsidP="00CD64B5">
      <w:pPr>
        <w:spacing w:before="120" w:after="120"/>
        <w:rPr>
          <w:rFonts w:eastAsiaTheme="minorEastAsia"/>
        </w:rPr>
      </w:pPr>
      <w:bookmarkStart w:id="277" w:name="_Toc419823080"/>
      <w:r w:rsidRPr="001352AB">
        <w:rPr>
          <w:rFonts w:ascii="Sylfaen" w:eastAsiaTheme="majorEastAsia" w:hAnsi="Sylfaen" w:cs="Sylfaen"/>
        </w:rPr>
        <w:lastRenderedPageBreak/>
        <w:t>მავნე</w:t>
      </w:r>
      <w:r w:rsidRPr="001352AB">
        <w:rPr>
          <w:rFonts w:eastAsiaTheme="majorEastAsia"/>
        </w:rPr>
        <w:t xml:space="preserve"> </w:t>
      </w:r>
      <w:r w:rsidRPr="001352AB">
        <w:rPr>
          <w:rFonts w:ascii="Sylfaen" w:eastAsiaTheme="majorEastAsia" w:hAnsi="Sylfaen" w:cs="Sylfaen"/>
        </w:rPr>
        <w:t>ნივთიერებათა</w:t>
      </w:r>
      <w:r w:rsidRPr="001352AB">
        <w:rPr>
          <w:rFonts w:eastAsiaTheme="majorEastAsia"/>
        </w:rPr>
        <w:t xml:space="preserve"> </w:t>
      </w:r>
      <w:r w:rsidRPr="001352AB">
        <w:rPr>
          <w:rFonts w:ascii="Sylfaen" w:eastAsiaTheme="majorEastAsia" w:hAnsi="Sylfaen" w:cs="Sylfaen"/>
        </w:rPr>
        <w:t>გაბნევის</w:t>
      </w:r>
      <w:r w:rsidRPr="001352AB">
        <w:rPr>
          <w:rFonts w:eastAsiaTheme="majorEastAsia"/>
        </w:rPr>
        <w:t xml:space="preserve"> </w:t>
      </w:r>
      <w:r w:rsidRPr="001352AB">
        <w:rPr>
          <w:rFonts w:ascii="Sylfaen" w:eastAsiaTheme="majorEastAsia" w:hAnsi="Sylfaen" w:cs="Sylfaen"/>
        </w:rPr>
        <w:t>ანგარიშის</w:t>
      </w:r>
      <w:r w:rsidRPr="001352AB">
        <w:rPr>
          <w:rFonts w:eastAsiaTheme="majorEastAsia"/>
        </w:rPr>
        <w:t xml:space="preserve"> </w:t>
      </w:r>
      <w:r w:rsidRPr="001352AB">
        <w:rPr>
          <w:rFonts w:ascii="Sylfaen" w:eastAsiaTheme="majorEastAsia" w:hAnsi="Sylfaen" w:cs="Sylfaen"/>
        </w:rPr>
        <w:t>მიღებული</w:t>
      </w:r>
      <w:r w:rsidRPr="001352AB">
        <w:rPr>
          <w:rFonts w:eastAsiaTheme="majorEastAsia"/>
        </w:rPr>
        <w:t xml:space="preserve"> </w:t>
      </w:r>
      <w:r w:rsidRPr="001352AB">
        <w:rPr>
          <w:rFonts w:ascii="Sylfaen" w:eastAsiaTheme="majorEastAsia" w:hAnsi="Sylfaen" w:cs="Sylfaen"/>
        </w:rPr>
        <w:t>შედეგების</w:t>
      </w:r>
      <w:r w:rsidRPr="001352AB">
        <w:rPr>
          <w:rFonts w:eastAsiaTheme="majorEastAsia"/>
        </w:rPr>
        <w:t xml:space="preserve"> </w:t>
      </w:r>
      <w:r w:rsidRPr="001352AB">
        <w:rPr>
          <w:rFonts w:ascii="Sylfaen" w:eastAsiaTheme="majorEastAsia" w:hAnsi="Sylfaen" w:cs="Sylfaen"/>
        </w:rPr>
        <w:t>ანალიზი</w:t>
      </w:r>
      <w:bookmarkEnd w:id="277"/>
      <w:r w:rsidRPr="001352AB">
        <w:rPr>
          <w:rFonts w:eastAsiaTheme="majorEastAsia"/>
        </w:rPr>
        <w:t xml:space="preserve"> </w:t>
      </w:r>
    </w:p>
    <w:p w14:paraId="1F9A19A1" w14:textId="77777777" w:rsidR="00CD64B5" w:rsidRPr="001352AB" w:rsidRDefault="00CD64B5" w:rsidP="00CD64B5">
      <w:pPr>
        <w:spacing w:before="120" w:after="120"/>
      </w:pPr>
      <w:r w:rsidRPr="001352AB">
        <w:rPr>
          <w:rFonts w:ascii="Sylfaen" w:eastAsiaTheme="minorEastAsia" w:hAnsi="Sylfaen" w:cs="Sylfaen"/>
        </w:rPr>
        <w:t>შემაჯამებელ</w:t>
      </w:r>
      <w:r w:rsidRPr="001352AB">
        <w:rPr>
          <w:rFonts w:eastAsiaTheme="minorEastAsia"/>
        </w:rPr>
        <w:t xml:space="preserve"> </w:t>
      </w:r>
      <w:r w:rsidRPr="001352AB">
        <w:rPr>
          <w:rFonts w:ascii="Sylfaen" w:eastAsiaTheme="minorEastAsia" w:hAnsi="Sylfaen" w:cs="Sylfaen"/>
        </w:rPr>
        <w:t>ცხრილში</w:t>
      </w:r>
      <w:r w:rsidRPr="001352AB">
        <w:rPr>
          <w:rFonts w:eastAsiaTheme="minorEastAsia"/>
        </w:rPr>
        <w:t xml:space="preserve"> </w:t>
      </w:r>
      <w:r w:rsidRPr="001352AB">
        <w:rPr>
          <w:rFonts w:ascii="Sylfaen" w:eastAsiaTheme="minorEastAsia" w:hAnsi="Sylfaen" w:cs="Sylfaen"/>
        </w:rPr>
        <w:t>მოცემულია</w:t>
      </w:r>
      <w:r w:rsidRPr="001352AB">
        <w:rPr>
          <w:rFonts w:eastAsiaTheme="minorEastAsia"/>
        </w:rPr>
        <w:t xml:space="preserve"> </w:t>
      </w:r>
      <w:r w:rsidRPr="001352AB">
        <w:rPr>
          <w:rFonts w:ascii="Sylfaen" w:eastAsiaTheme="minorEastAsia" w:hAnsi="Sylfaen" w:cs="Sylfaen"/>
        </w:rPr>
        <w:t>საკონტროლო</w:t>
      </w:r>
      <w:r w:rsidRPr="001352AB">
        <w:rPr>
          <w:rFonts w:eastAsiaTheme="minorEastAsia"/>
        </w:rPr>
        <w:t xml:space="preserve"> </w:t>
      </w:r>
      <w:r w:rsidRPr="001352AB">
        <w:rPr>
          <w:rFonts w:ascii="Sylfaen" w:eastAsiaTheme="minorEastAsia" w:hAnsi="Sylfaen" w:cs="Sylfaen"/>
        </w:rPr>
        <w:t>წერტილებში</w:t>
      </w:r>
      <w:r w:rsidRPr="001352AB">
        <w:rPr>
          <w:rFonts w:eastAsiaTheme="minorEastAsia"/>
        </w:rPr>
        <w:t xml:space="preserve"> </w:t>
      </w:r>
      <w:r w:rsidRPr="001352AB">
        <w:rPr>
          <w:rFonts w:ascii="Sylfaen" w:eastAsiaTheme="minorEastAsia" w:hAnsi="Sylfaen" w:cs="Sylfaen"/>
        </w:rPr>
        <w:t>დამაბინძურებელ</w:t>
      </w:r>
      <w:r w:rsidRPr="001352AB">
        <w:rPr>
          <w:rFonts w:eastAsiaTheme="minorEastAsia"/>
        </w:rPr>
        <w:t xml:space="preserve"> </w:t>
      </w:r>
      <w:r w:rsidRPr="001352AB">
        <w:rPr>
          <w:rFonts w:ascii="Sylfaen" w:eastAsiaTheme="minorEastAsia" w:hAnsi="Sylfaen" w:cs="Sylfaen"/>
        </w:rPr>
        <w:t>ნივთიერებათა</w:t>
      </w:r>
      <w:r w:rsidRPr="001352AB">
        <w:rPr>
          <w:rFonts w:eastAsiaTheme="minorEastAsia"/>
        </w:rPr>
        <w:t xml:space="preserve"> </w:t>
      </w:r>
      <w:r w:rsidRPr="001352AB">
        <w:rPr>
          <w:rFonts w:ascii="Sylfaen" w:eastAsiaTheme="minorEastAsia" w:hAnsi="Sylfaen" w:cs="Sylfaen"/>
        </w:rPr>
        <w:t>მაქსიმალური</w:t>
      </w:r>
      <w:r w:rsidRPr="001352AB">
        <w:rPr>
          <w:rFonts w:eastAsiaTheme="minorEastAsia"/>
        </w:rPr>
        <w:t xml:space="preserve"> </w:t>
      </w:r>
      <w:r w:rsidRPr="001352AB">
        <w:rPr>
          <w:rFonts w:ascii="Sylfaen" w:eastAsiaTheme="minorEastAsia" w:hAnsi="Sylfaen" w:cs="Sylfaen"/>
        </w:rPr>
        <w:t>კონცენტრაციები</w:t>
      </w:r>
      <w:r w:rsidRPr="001352AB">
        <w:rPr>
          <w:rFonts w:eastAsiaTheme="minorEastAsia"/>
        </w:rPr>
        <w:t xml:space="preserve"> </w:t>
      </w:r>
      <w:r w:rsidRPr="001352AB">
        <w:rPr>
          <w:rFonts w:ascii="Sylfaen" w:eastAsiaTheme="minorEastAsia" w:hAnsi="Sylfaen" w:cs="Sylfaen"/>
        </w:rPr>
        <w:t>ზდკ</w:t>
      </w:r>
      <w:r w:rsidRPr="001352AB">
        <w:rPr>
          <w:rFonts w:eastAsiaTheme="minorEastAsia"/>
        </w:rPr>
        <w:t>-</w:t>
      </w:r>
      <w:r w:rsidRPr="001352AB">
        <w:rPr>
          <w:rFonts w:ascii="Sylfaen" w:eastAsiaTheme="minorEastAsia" w:hAnsi="Sylfaen" w:cs="Sylfaen"/>
        </w:rPr>
        <w:t>წილებში</w:t>
      </w:r>
      <w:r w:rsidRPr="001352AB">
        <w:rPr>
          <w:rFonts w:eastAsiaTheme="minorEastAsia"/>
        </w:rPr>
        <w:t xml:space="preserve">. </w:t>
      </w:r>
    </w:p>
    <w:p w14:paraId="75D5EC55" w14:textId="77777777" w:rsidR="00CD64B5" w:rsidRPr="001352AB" w:rsidRDefault="00CD64B5" w:rsidP="00CD64B5">
      <w:pPr>
        <w:spacing w:before="120" w:after="120"/>
        <w:rPr>
          <w:rFonts w:eastAsiaTheme="majorEastAsia"/>
        </w:rPr>
      </w:pPr>
      <w:bookmarkStart w:id="278" w:name="_Toc436594181"/>
      <w:r w:rsidRPr="001352AB">
        <w:rPr>
          <w:rFonts w:ascii="Sylfaen" w:hAnsi="Sylfaen" w:cs="Sylfaen"/>
        </w:rPr>
        <w:t>ცხრილი</w:t>
      </w:r>
      <w:r w:rsidRPr="001352AB">
        <w:t xml:space="preserve"> 7.1-20.</w:t>
      </w:r>
      <w:r w:rsidRPr="001352AB">
        <w:tab/>
      </w:r>
      <w:r w:rsidRPr="001352AB">
        <w:rPr>
          <w:rFonts w:ascii="Sylfaen" w:hAnsi="Sylfaen" w:cs="Sylfaen"/>
        </w:rPr>
        <w:t>საკონტროლო</w:t>
      </w:r>
      <w:r w:rsidRPr="001352AB">
        <w:t xml:space="preserve"> </w:t>
      </w:r>
      <w:r w:rsidRPr="001352AB">
        <w:rPr>
          <w:rFonts w:ascii="Sylfaen" w:hAnsi="Sylfaen" w:cs="Sylfaen"/>
        </w:rPr>
        <w:t>წერტილებში</w:t>
      </w:r>
      <w:r w:rsidRPr="001352AB">
        <w:t xml:space="preserve"> </w:t>
      </w:r>
      <w:r w:rsidRPr="001352AB">
        <w:rPr>
          <w:rFonts w:ascii="Sylfaen" w:hAnsi="Sylfaen" w:cs="Sylfaen"/>
        </w:rPr>
        <w:t>დამაბინძურებელ</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მაქსიმალური</w:t>
      </w:r>
      <w:r w:rsidRPr="001352AB">
        <w:t xml:space="preserve"> </w:t>
      </w:r>
      <w:r w:rsidRPr="001352AB">
        <w:rPr>
          <w:rFonts w:ascii="Sylfaen" w:hAnsi="Sylfaen" w:cs="Sylfaen"/>
        </w:rPr>
        <w:t>კონცენტრაციები</w:t>
      </w:r>
      <w:r w:rsidRPr="001352AB">
        <w:t xml:space="preserve"> </w:t>
      </w:r>
      <w:r w:rsidRPr="001352AB">
        <w:rPr>
          <w:rFonts w:ascii="Sylfaen" w:hAnsi="Sylfaen" w:cs="Sylfaen"/>
        </w:rPr>
        <w:t>ზდკ</w:t>
      </w:r>
      <w:r w:rsidRPr="001352AB">
        <w:t>-</w:t>
      </w:r>
      <w:r w:rsidRPr="001352AB">
        <w:rPr>
          <w:rFonts w:ascii="Sylfaen" w:hAnsi="Sylfaen" w:cs="Sylfaen"/>
        </w:rPr>
        <w:t>წილებში</w:t>
      </w:r>
      <w:bookmarkEnd w:id="278"/>
      <w:r w:rsidRPr="001352AB">
        <w:t xml:space="preserve"> </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2849"/>
        <w:gridCol w:w="2289"/>
      </w:tblGrid>
      <w:tr w:rsidR="00CD64B5" w:rsidRPr="007F2C2A" w14:paraId="6D5DB96B" w14:textId="77777777" w:rsidTr="00CD64B5">
        <w:trPr>
          <w:trHeight w:val="388"/>
          <w:jc w:val="center"/>
        </w:trPr>
        <w:tc>
          <w:tcPr>
            <w:tcW w:w="247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D87796" w14:textId="77777777" w:rsidR="00CD64B5" w:rsidRPr="007F2C2A" w:rsidRDefault="00CD64B5" w:rsidP="00CD64B5">
            <w:pPr>
              <w:spacing w:before="120" w:after="120"/>
              <w:rPr>
                <w:rFonts w:eastAsiaTheme="minorEastAsia"/>
                <w:sz w:val="20"/>
                <w:lang w:eastAsia="en-US"/>
              </w:rPr>
            </w:pPr>
            <w:r w:rsidRPr="007F2C2A">
              <w:rPr>
                <w:rFonts w:ascii="Sylfaen" w:eastAsia="SimSun" w:hAnsi="Sylfaen" w:cs="Sylfaen"/>
                <w:sz w:val="20"/>
              </w:rPr>
              <w:t>მავნე</w:t>
            </w:r>
            <w:r w:rsidRPr="007F2C2A">
              <w:rPr>
                <w:rFonts w:eastAsia="SimSun"/>
                <w:sz w:val="20"/>
              </w:rPr>
              <w:t xml:space="preserve"> </w:t>
            </w:r>
            <w:r w:rsidRPr="007F2C2A">
              <w:rPr>
                <w:rFonts w:ascii="Sylfaen" w:eastAsia="SimSun" w:hAnsi="Sylfaen" w:cs="Sylfaen"/>
                <w:sz w:val="20"/>
              </w:rPr>
              <w:t>ნივთიერების</w:t>
            </w:r>
            <w:r w:rsidRPr="007F2C2A">
              <w:rPr>
                <w:rFonts w:eastAsia="SimSun"/>
                <w:sz w:val="20"/>
              </w:rPr>
              <w:t xml:space="preserve"> </w:t>
            </w:r>
            <w:r w:rsidRPr="007F2C2A">
              <w:rPr>
                <w:rFonts w:ascii="Sylfaen" w:eastAsia="SimSun" w:hAnsi="Sylfaen" w:cs="Sylfaen"/>
                <w:sz w:val="20"/>
              </w:rPr>
              <w:t>დასახელება</w:t>
            </w:r>
          </w:p>
        </w:tc>
        <w:tc>
          <w:tcPr>
            <w:tcW w:w="252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706EF6" w14:textId="77777777" w:rsidR="00CD64B5" w:rsidRPr="007F2C2A" w:rsidRDefault="00CD64B5" w:rsidP="00CD64B5">
            <w:pPr>
              <w:spacing w:before="120" w:after="120"/>
              <w:rPr>
                <w:sz w:val="20"/>
              </w:rPr>
            </w:pPr>
            <w:r w:rsidRPr="007F2C2A">
              <w:rPr>
                <w:rFonts w:ascii="Sylfaen" w:eastAsia="SimSun" w:hAnsi="Sylfaen" w:cs="Sylfaen"/>
                <w:sz w:val="20"/>
              </w:rPr>
              <w:t>მავნე</w:t>
            </w:r>
            <w:r w:rsidRPr="007F2C2A">
              <w:rPr>
                <w:rFonts w:eastAsia="SimSun"/>
                <w:sz w:val="20"/>
              </w:rPr>
              <w:t xml:space="preserve"> </w:t>
            </w:r>
            <w:r w:rsidRPr="007F2C2A">
              <w:rPr>
                <w:rFonts w:ascii="Sylfaen" w:eastAsia="SimSun" w:hAnsi="Sylfaen" w:cs="Sylfaen"/>
                <w:sz w:val="20"/>
              </w:rPr>
              <w:t>ნივთიერებათა</w:t>
            </w:r>
            <w:r w:rsidRPr="007F2C2A">
              <w:rPr>
                <w:rFonts w:eastAsia="SimSun"/>
                <w:sz w:val="20"/>
              </w:rPr>
              <w:t xml:space="preserve"> </w:t>
            </w:r>
            <w:r w:rsidRPr="007F2C2A">
              <w:rPr>
                <w:rFonts w:ascii="Sylfaen" w:eastAsia="SimSun" w:hAnsi="Sylfaen" w:cs="Sylfaen"/>
                <w:sz w:val="20"/>
              </w:rPr>
              <w:t>ზღვრულად</w:t>
            </w:r>
            <w:r w:rsidRPr="007F2C2A">
              <w:rPr>
                <w:rFonts w:eastAsia="SimSun"/>
                <w:sz w:val="20"/>
              </w:rPr>
              <w:t xml:space="preserve"> </w:t>
            </w:r>
            <w:r w:rsidRPr="007F2C2A">
              <w:rPr>
                <w:rFonts w:ascii="Sylfaen" w:eastAsia="SimSun" w:hAnsi="Sylfaen" w:cs="Sylfaen"/>
                <w:sz w:val="20"/>
              </w:rPr>
              <w:t>დასაშვები</w:t>
            </w:r>
            <w:r w:rsidRPr="007F2C2A">
              <w:rPr>
                <w:rFonts w:eastAsia="SimSun"/>
                <w:sz w:val="20"/>
              </w:rPr>
              <w:t xml:space="preserve"> </w:t>
            </w:r>
            <w:r w:rsidRPr="007F2C2A">
              <w:rPr>
                <w:rFonts w:ascii="Sylfaen" w:eastAsia="SimSun" w:hAnsi="Sylfaen" w:cs="Sylfaen"/>
                <w:sz w:val="20"/>
              </w:rPr>
              <w:t>კონცენტრაციის</w:t>
            </w:r>
            <w:r w:rsidRPr="007F2C2A">
              <w:rPr>
                <w:rFonts w:eastAsia="SimSun"/>
                <w:sz w:val="20"/>
              </w:rPr>
              <w:t xml:space="preserve"> </w:t>
            </w:r>
            <w:r w:rsidRPr="007F2C2A">
              <w:rPr>
                <w:rFonts w:ascii="Sylfaen" w:eastAsia="SimSun" w:hAnsi="Sylfaen" w:cs="Sylfaen"/>
                <w:sz w:val="20"/>
              </w:rPr>
              <w:t>წილი</w:t>
            </w:r>
            <w:r w:rsidRPr="007F2C2A">
              <w:rPr>
                <w:rFonts w:eastAsia="SimSun"/>
                <w:sz w:val="20"/>
              </w:rPr>
              <w:t xml:space="preserve"> </w:t>
            </w:r>
            <w:r w:rsidRPr="007F2C2A">
              <w:rPr>
                <w:rFonts w:ascii="Sylfaen" w:eastAsia="SimSun" w:hAnsi="Sylfaen" w:cs="Sylfaen"/>
                <w:sz w:val="20"/>
              </w:rPr>
              <w:t>ობიექტიდან</w:t>
            </w:r>
          </w:p>
        </w:tc>
      </w:tr>
      <w:tr w:rsidR="00CD64B5" w:rsidRPr="007F2C2A" w14:paraId="7A4E9500" w14:textId="77777777" w:rsidTr="00CD64B5">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9F26D9" w14:textId="77777777" w:rsidR="00CD64B5" w:rsidRPr="007F2C2A" w:rsidRDefault="00CD64B5" w:rsidP="00CD64B5">
            <w:pPr>
              <w:rPr>
                <w:rFonts w:eastAsiaTheme="minorHAnsi"/>
                <w:sz w:val="20"/>
              </w:rPr>
            </w:pPr>
          </w:p>
        </w:tc>
        <w:tc>
          <w:tcPr>
            <w:tcW w:w="13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A218BD" w14:textId="77777777" w:rsidR="00CD64B5" w:rsidRPr="007F2C2A" w:rsidRDefault="00CD64B5" w:rsidP="00CD64B5">
            <w:pPr>
              <w:rPr>
                <w:rFonts w:eastAsia="SimSun"/>
                <w:sz w:val="20"/>
              </w:rPr>
            </w:pPr>
            <w:r w:rsidRPr="007F2C2A">
              <w:rPr>
                <w:rFonts w:ascii="Sylfaen" w:eastAsia="SimSun" w:hAnsi="Sylfaen" w:cs="Sylfaen"/>
                <w:sz w:val="20"/>
              </w:rPr>
              <w:t>უახლოესი</w:t>
            </w:r>
            <w:r w:rsidRPr="007F2C2A">
              <w:rPr>
                <w:rFonts w:eastAsia="SimSun"/>
                <w:sz w:val="20"/>
              </w:rPr>
              <w:t xml:space="preserve"> </w:t>
            </w:r>
            <w:r w:rsidRPr="007F2C2A">
              <w:rPr>
                <w:rFonts w:ascii="Sylfaen" w:eastAsia="SimSun" w:hAnsi="Sylfaen" w:cs="Sylfaen"/>
                <w:sz w:val="20"/>
              </w:rPr>
              <w:t>დასახლებული</w:t>
            </w:r>
            <w:r w:rsidRPr="007F2C2A">
              <w:rPr>
                <w:rFonts w:eastAsia="SimSun"/>
                <w:sz w:val="20"/>
              </w:rPr>
              <w:t xml:space="preserve"> </w:t>
            </w:r>
            <w:r w:rsidRPr="007F2C2A">
              <w:rPr>
                <w:rFonts w:ascii="Sylfaen" w:eastAsia="SimSun" w:hAnsi="Sylfaen" w:cs="Sylfaen"/>
                <w:sz w:val="20"/>
              </w:rPr>
              <w:t>პუნქტის</w:t>
            </w:r>
            <w:r w:rsidRPr="007F2C2A">
              <w:rPr>
                <w:rFonts w:eastAsia="SimSun"/>
                <w:sz w:val="20"/>
              </w:rPr>
              <w:t xml:space="preserve"> </w:t>
            </w:r>
            <w:r w:rsidRPr="007F2C2A">
              <w:rPr>
                <w:rFonts w:ascii="Sylfaen" w:eastAsia="SimSun" w:hAnsi="Sylfaen" w:cs="Sylfaen"/>
                <w:sz w:val="20"/>
              </w:rPr>
              <w:t>საზღვარზე</w:t>
            </w:r>
          </w:p>
        </w:tc>
        <w:tc>
          <w:tcPr>
            <w:tcW w:w="112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9BF690" w14:textId="77777777" w:rsidR="00CD64B5" w:rsidRPr="007F2C2A" w:rsidRDefault="00CD64B5" w:rsidP="00CD64B5">
            <w:pPr>
              <w:rPr>
                <w:rFonts w:eastAsia="SimSun"/>
                <w:sz w:val="20"/>
              </w:rPr>
            </w:pPr>
            <w:r w:rsidRPr="007F2C2A">
              <w:rPr>
                <w:rFonts w:eastAsia="SimSun"/>
                <w:sz w:val="20"/>
              </w:rPr>
              <w:t xml:space="preserve">500 </w:t>
            </w:r>
            <w:r w:rsidRPr="007F2C2A">
              <w:rPr>
                <w:rFonts w:ascii="Sylfaen" w:eastAsia="SimSun" w:hAnsi="Sylfaen" w:cs="Sylfaen"/>
                <w:sz w:val="20"/>
              </w:rPr>
              <w:t>მ</w:t>
            </w:r>
            <w:r w:rsidRPr="007F2C2A">
              <w:rPr>
                <w:rFonts w:eastAsia="SimSun"/>
                <w:sz w:val="20"/>
              </w:rPr>
              <w:t xml:space="preserve"> </w:t>
            </w:r>
            <w:r w:rsidRPr="007F2C2A">
              <w:rPr>
                <w:rFonts w:ascii="Sylfaen" w:eastAsia="SimSun" w:hAnsi="Sylfaen" w:cs="Sylfaen"/>
                <w:sz w:val="20"/>
              </w:rPr>
              <w:t>რადიუსის</w:t>
            </w:r>
            <w:r w:rsidRPr="007F2C2A">
              <w:rPr>
                <w:rFonts w:eastAsia="SimSun"/>
                <w:sz w:val="20"/>
              </w:rPr>
              <w:t xml:space="preserve"> </w:t>
            </w:r>
            <w:r w:rsidRPr="007F2C2A">
              <w:rPr>
                <w:rFonts w:ascii="Sylfaen" w:eastAsia="SimSun" w:hAnsi="Sylfaen" w:cs="Sylfaen"/>
                <w:sz w:val="20"/>
              </w:rPr>
              <w:t>საზღვარზე</w:t>
            </w:r>
          </w:p>
        </w:tc>
      </w:tr>
      <w:tr w:rsidR="00CD64B5" w:rsidRPr="007F2C2A" w14:paraId="371D2F1F" w14:textId="77777777" w:rsidTr="00CD64B5">
        <w:trPr>
          <w:trHeight w:val="250"/>
          <w:jc w:val="center"/>
        </w:trPr>
        <w:tc>
          <w:tcPr>
            <w:tcW w:w="2477" w:type="pct"/>
            <w:tcBorders>
              <w:top w:val="single" w:sz="4" w:space="0" w:color="auto"/>
              <w:left w:val="single" w:sz="4" w:space="0" w:color="auto"/>
              <w:bottom w:val="single" w:sz="4" w:space="0" w:color="auto"/>
              <w:right w:val="single" w:sz="4" w:space="0" w:color="auto"/>
            </w:tcBorders>
            <w:hideMark/>
          </w:tcPr>
          <w:p w14:paraId="33B72507" w14:textId="77777777" w:rsidR="00CD64B5" w:rsidRPr="007F2C2A" w:rsidRDefault="00CD64B5" w:rsidP="00CD64B5">
            <w:pPr>
              <w:rPr>
                <w:rFonts w:eastAsia="SimSun"/>
                <w:sz w:val="20"/>
              </w:rPr>
            </w:pPr>
            <w:r w:rsidRPr="007F2C2A">
              <w:rPr>
                <w:rFonts w:ascii="Sylfaen" w:eastAsiaTheme="minorEastAsia" w:hAnsi="Sylfaen" w:cs="Sylfaen"/>
                <w:sz w:val="20"/>
              </w:rPr>
              <w:t>აზოტის</w:t>
            </w:r>
            <w:r w:rsidRPr="007F2C2A">
              <w:rPr>
                <w:rFonts w:eastAsiaTheme="minorEastAsia"/>
                <w:sz w:val="20"/>
              </w:rPr>
              <w:t xml:space="preserve"> </w:t>
            </w:r>
            <w:r w:rsidRPr="007F2C2A">
              <w:rPr>
                <w:rFonts w:ascii="Sylfaen" w:eastAsiaTheme="minorEastAsia" w:hAnsi="Sylfaen" w:cs="Sylfaen"/>
                <w:sz w:val="20"/>
              </w:rPr>
              <w:t>დიოქსიდი</w:t>
            </w:r>
          </w:p>
        </w:tc>
        <w:tc>
          <w:tcPr>
            <w:tcW w:w="1399" w:type="pct"/>
            <w:tcBorders>
              <w:top w:val="single" w:sz="4" w:space="0" w:color="auto"/>
              <w:left w:val="single" w:sz="4" w:space="0" w:color="auto"/>
              <w:bottom w:val="single" w:sz="4" w:space="0" w:color="auto"/>
              <w:right w:val="single" w:sz="4" w:space="0" w:color="auto"/>
            </w:tcBorders>
            <w:vAlign w:val="center"/>
            <w:hideMark/>
          </w:tcPr>
          <w:p w14:paraId="14143E82" w14:textId="77777777" w:rsidR="00CD64B5" w:rsidRPr="007F2C2A" w:rsidRDefault="00CD64B5" w:rsidP="00CD64B5">
            <w:pPr>
              <w:rPr>
                <w:rFonts w:eastAsia="SimSun"/>
                <w:sz w:val="20"/>
              </w:rPr>
            </w:pPr>
            <w:r w:rsidRPr="007F2C2A">
              <w:rPr>
                <w:rFonts w:eastAsia="SimSun"/>
                <w:sz w:val="20"/>
              </w:rPr>
              <w:t>0,19</w:t>
            </w:r>
          </w:p>
        </w:tc>
        <w:tc>
          <w:tcPr>
            <w:tcW w:w="1124" w:type="pct"/>
            <w:tcBorders>
              <w:top w:val="single" w:sz="4" w:space="0" w:color="auto"/>
              <w:left w:val="single" w:sz="4" w:space="0" w:color="auto"/>
              <w:bottom w:val="single" w:sz="4" w:space="0" w:color="auto"/>
              <w:right w:val="single" w:sz="4" w:space="0" w:color="auto"/>
            </w:tcBorders>
            <w:vAlign w:val="center"/>
            <w:hideMark/>
          </w:tcPr>
          <w:p w14:paraId="67AEC735" w14:textId="77777777" w:rsidR="00CD64B5" w:rsidRPr="007F2C2A" w:rsidRDefault="00CD64B5" w:rsidP="00CD64B5">
            <w:pPr>
              <w:rPr>
                <w:rFonts w:eastAsiaTheme="minorEastAsia"/>
                <w:sz w:val="20"/>
              </w:rPr>
            </w:pPr>
            <w:r w:rsidRPr="007F2C2A">
              <w:rPr>
                <w:rFonts w:eastAsia="SimSun"/>
                <w:sz w:val="20"/>
              </w:rPr>
              <w:t>0,09</w:t>
            </w:r>
          </w:p>
        </w:tc>
      </w:tr>
      <w:tr w:rsidR="00CD64B5" w:rsidRPr="007F2C2A" w14:paraId="07D2DD69" w14:textId="77777777" w:rsidTr="00CD64B5">
        <w:trPr>
          <w:trHeight w:val="250"/>
          <w:jc w:val="center"/>
        </w:trPr>
        <w:tc>
          <w:tcPr>
            <w:tcW w:w="2477" w:type="pct"/>
            <w:tcBorders>
              <w:top w:val="single" w:sz="4" w:space="0" w:color="auto"/>
              <w:left w:val="single" w:sz="4" w:space="0" w:color="auto"/>
              <w:bottom w:val="single" w:sz="4" w:space="0" w:color="auto"/>
              <w:right w:val="single" w:sz="4" w:space="0" w:color="auto"/>
            </w:tcBorders>
            <w:hideMark/>
          </w:tcPr>
          <w:p w14:paraId="75A57D31" w14:textId="77777777" w:rsidR="00CD64B5" w:rsidRPr="007F2C2A" w:rsidRDefault="00CD64B5" w:rsidP="00CD64B5">
            <w:pPr>
              <w:rPr>
                <w:rFonts w:eastAsia="SimSun"/>
                <w:sz w:val="20"/>
              </w:rPr>
            </w:pPr>
            <w:r w:rsidRPr="007F2C2A">
              <w:rPr>
                <w:rFonts w:ascii="Sylfaen" w:eastAsiaTheme="minorEastAsia" w:hAnsi="Sylfaen" w:cs="Sylfaen"/>
                <w:sz w:val="20"/>
              </w:rPr>
              <w:t>აზოტის</w:t>
            </w:r>
            <w:r w:rsidRPr="007F2C2A">
              <w:rPr>
                <w:rFonts w:eastAsiaTheme="minorEastAsia"/>
                <w:sz w:val="20"/>
              </w:rPr>
              <w:t xml:space="preserve"> </w:t>
            </w:r>
            <w:r w:rsidRPr="007F2C2A">
              <w:rPr>
                <w:rFonts w:ascii="Sylfaen" w:eastAsiaTheme="minorEastAsia" w:hAnsi="Sylfaen" w:cs="Sylfaen"/>
                <w:sz w:val="20"/>
              </w:rPr>
              <w:t>ოქსიდი</w:t>
            </w:r>
          </w:p>
        </w:tc>
        <w:tc>
          <w:tcPr>
            <w:tcW w:w="1399" w:type="pct"/>
            <w:tcBorders>
              <w:top w:val="single" w:sz="4" w:space="0" w:color="auto"/>
              <w:left w:val="single" w:sz="4" w:space="0" w:color="auto"/>
              <w:bottom w:val="single" w:sz="4" w:space="0" w:color="auto"/>
              <w:right w:val="single" w:sz="4" w:space="0" w:color="auto"/>
            </w:tcBorders>
            <w:hideMark/>
          </w:tcPr>
          <w:p w14:paraId="68C0C532" w14:textId="77777777" w:rsidR="00CD64B5" w:rsidRPr="007F2C2A" w:rsidRDefault="00CD64B5" w:rsidP="00CD64B5">
            <w:pPr>
              <w:rPr>
                <w:rFonts w:eastAsia="SimSun"/>
                <w:sz w:val="20"/>
              </w:rPr>
            </w:pPr>
            <w:r w:rsidRPr="007F2C2A">
              <w:rPr>
                <w:rFonts w:eastAsiaTheme="minorEastAsia"/>
                <w:sz w:val="20"/>
              </w:rPr>
              <w:t>0,02</w:t>
            </w:r>
          </w:p>
        </w:tc>
        <w:tc>
          <w:tcPr>
            <w:tcW w:w="1124" w:type="pct"/>
            <w:tcBorders>
              <w:top w:val="single" w:sz="4" w:space="0" w:color="auto"/>
              <w:left w:val="single" w:sz="4" w:space="0" w:color="auto"/>
              <w:bottom w:val="single" w:sz="4" w:space="0" w:color="auto"/>
              <w:right w:val="single" w:sz="4" w:space="0" w:color="auto"/>
            </w:tcBorders>
            <w:vAlign w:val="center"/>
            <w:hideMark/>
          </w:tcPr>
          <w:p w14:paraId="465A0DDE" w14:textId="77777777" w:rsidR="00CD64B5" w:rsidRPr="007F2C2A" w:rsidRDefault="00CD64B5" w:rsidP="00CD64B5">
            <w:pPr>
              <w:rPr>
                <w:rFonts w:eastAsiaTheme="minorEastAsia"/>
                <w:sz w:val="20"/>
              </w:rPr>
            </w:pPr>
            <w:r w:rsidRPr="007F2C2A">
              <w:rPr>
                <w:rFonts w:eastAsia="SimSun"/>
                <w:sz w:val="20"/>
              </w:rPr>
              <w:t>0,0072</w:t>
            </w:r>
          </w:p>
        </w:tc>
      </w:tr>
      <w:tr w:rsidR="00CD64B5" w:rsidRPr="007F2C2A" w14:paraId="49EBFCE6" w14:textId="77777777" w:rsidTr="00CD64B5">
        <w:trPr>
          <w:trHeight w:val="250"/>
          <w:jc w:val="center"/>
        </w:trPr>
        <w:tc>
          <w:tcPr>
            <w:tcW w:w="2477" w:type="pct"/>
            <w:tcBorders>
              <w:top w:val="single" w:sz="4" w:space="0" w:color="auto"/>
              <w:left w:val="single" w:sz="4" w:space="0" w:color="auto"/>
              <w:bottom w:val="single" w:sz="4" w:space="0" w:color="auto"/>
              <w:right w:val="single" w:sz="4" w:space="0" w:color="auto"/>
            </w:tcBorders>
            <w:hideMark/>
          </w:tcPr>
          <w:p w14:paraId="3F84BDDE" w14:textId="77777777" w:rsidR="00CD64B5" w:rsidRPr="007F2C2A" w:rsidRDefault="00CD64B5" w:rsidP="00CD64B5">
            <w:pPr>
              <w:rPr>
                <w:rFonts w:eastAsiaTheme="minorEastAsia"/>
                <w:sz w:val="20"/>
              </w:rPr>
            </w:pPr>
            <w:r w:rsidRPr="007F2C2A">
              <w:rPr>
                <w:rFonts w:ascii="Sylfaen" w:eastAsiaTheme="minorEastAsia" w:hAnsi="Sylfaen" w:cs="Sylfaen"/>
                <w:sz w:val="20"/>
              </w:rPr>
              <w:t>ჭვარტლი</w:t>
            </w:r>
          </w:p>
        </w:tc>
        <w:tc>
          <w:tcPr>
            <w:tcW w:w="1399" w:type="pct"/>
            <w:tcBorders>
              <w:top w:val="single" w:sz="4" w:space="0" w:color="auto"/>
              <w:left w:val="single" w:sz="4" w:space="0" w:color="auto"/>
              <w:bottom w:val="single" w:sz="4" w:space="0" w:color="auto"/>
              <w:right w:val="single" w:sz="4" w:space="0" w:color="auto"/>
            </w:tcBorders>
            <w:hideMark/>
          </w:tcPr>
          <w:p w14:paraId="6274B461" w14:textId="77777777" w:rsidR="00CD64B5" w:rsidRPr="007F2C2A" w:rsidRDefault="00CD64B5" w:rsidP="00CD64B5">
            <w:pPr>
              <w:rPr>
                <w:rFonts w:eastAsia="SimSun"/>
                <w:sz w:val="20"/>
              </w:rPr>
            </w:pPr>
            <w:r w:rsidRPr="007F2C2A">
              <w:rPr>
                <w:rFonts w:eastAsiaTheme="minorEastAsia"/>
                <w:sz w:val="20"/>
              </w:rPr>
              <w:t>0,03</w:t>
            </w:r>
          </w:p>
        </w:tc>
        <w:tc>
          <w:tcPr>
            <w:tcW w:w="1124" w:type="pct"/>
            <w:tcBorders>
              <w:top w:val="single" w:sz="4" w:space="0" w:color="auto"/>
              <w:left w:val="single" w:sz="4" w:space="0" w:color="auto"/>
              <w:bottom w:val="single" w:sz="4" w:space="0" w:color="auto"/>
              <w:right w:val="single" w:sz="4" w:space="0" w:color="auto"/>
            </w:tcBorders>
            <w:vAlign w:val="center"/>
            <w:hideMark/>
          </w:tcPr>
          <w:p w14:paraId="3238D910" w14:textId="77777777" w:rsidR="00CD64B5" w:rsidRPr="007F2C2A" w:rsidRDefault="00CD64B5" w:rsidP="00CD64B5">
            <w:pPr>
              <w:rPr>
                <w:rFonts w:eastAsiaTheme="minorEastAsia"/>
                <w:sz w:val="20"/>
              </w:rPr>
            </w:pPr>
            <w:r w:rsidRPr="007F2C2A">
              <w:rPr>
                <w:rFonts w:eastAsia="SimSun"/>
                <w:sz w:val="20"/>
              </w:rPr>
              <w:t>0,01</w:t>
            </w:r>
          </w:p>
        </w:tc>
      </w:tr>
      <w:tr w:rsidR="00CD64B5" w:rsidRPr="007F2C2A" w14:paraId="5195AC11" w14:textId="77777777" w:rsidTr="00CD64B5">
        <w:trPr>
          <w:trHeight w:val="250"/>
          <w:jc w:val="center"/>
        </w:trPr>
        <w:tc>
          <w:tcPr>
            <w:tcW w:w="2477" w:type="pct"/>
            <w:tcBorders>
              <w:top w:val="single" w:sz="4" w:space="0" w:color="auto"/>
              <w:left w:val="single" w:sz="4" w:space="0" w:color="auto"/>
              <w:bottom w:val="single" w:sz="4" w:space="0" w:color="auto"/>
              <w:right w:val="single" w:sz="4" w:space="0" w:color="auto"/>
            </w:tcBorders>
            <w:hideMark/>
          </w:tcPr>
          <w:p w14:paraId="7D51E555" w14:textId="77777777" w:rsidR="00CD64B5" w:rsidRPr="007F2C2A" w:rsidRDefault="00CD64B5" w:rsidP="00CD64B5">
            <w:pPr>
              <w:rPr>
                <w:rFonts w:eastAsiaTheme="minorEastAsia"/>
                <w:sz w:val="20"/>
              </w:rPr>
            </w:pPr>
            <w:r w:rsidRPr="007F2C2A">
              <w:rPr>
                <w:rFonts w:ascii="Sylfaen" w:eastAsiaTheme="minorEastAsia" w:hAnsi="Sylfaen" w:cs="Sylfaen"/>
                <w:sz w:val="20"/>
              </w:rPr>
              <w:t>გოგირდის</w:t>
            </w:r>
            <w:r w:rsidRPr="007F2C2A">
              <w:rPr>
                <w:rFonts w:eastAsiaTheme="minorEastAsia"/>
                <w:sz w:val="20"/>
              </w:rPr>
              <w:t xml:space="preserve"> </w:t>
            </w:r>
            <w:r w:rsidRPr="007F2C2A">
              <w:rPr>
                <w:rFonts w:ascii="Sylfaen" w:eastAsiaTheme="minorEastAsia" w:hAnsi="Sylfaen" w:cs="Sylfaen"/>
                <w:sz w:val="20"/>
              </w:rPr>
              <w:t>დიოქსიდი</w:t>
            </w:r>
          </w:p>
        </w:tc>
        <w:tc>
          <w:tcPr>
            <w:tcW w:w="1399" w:type="pct"/>
            <w:tcBorders>
              <w:top w:val="single" w:sz="4" w:space="0" w:color="auto"/>
              <w:left w:val="single" w:sz="4" w:space="0" w:color="auto"/>
              <w:bottom w:val="single" w:sz="4" w:space="0" w:color="auto"/>
              <w:right w:val="single" w:sz="4" w:space="0" w:color="auto"/>
            </w:tcBorders>
            <w:hideMark/>
          </w:tcPr>
          <w:p w14:paraId="49D7EFA8" w14:textId="77777777" w:rsidR="00CD64B5" w:rsidRPr="007F2C2A" w:rsidRDefault="00CD64B5" w:rsidP="00CD64B5">
            <w:pPr>
              <w:rPr>
                <w:rFonts w:eastAsia="SimSun"/>
                <w:sz w:val="20"/>
              </w:rPr>
            </w:pPr>
            <w:r w:rsidRPr="007F2C2A">
              <w:rPr>
                <w:rFonts w:eastAsiaTheme="minorEastAsia"/>
                <w:sz w:val="20"/>
              </w:rPr>
              <w:t>0,02</w:t>
            </w:r>
          </w:p>
        </w:tc>
        <w:tc>
          <w:tcPr>
            <w:tcW w:w="1124" w:type="pct"/>
            <w:tcBorders>
              <w:top w:val="single" w:sz="4" w:space="0" w:color="auto"/>
              <w:left w:val="single" w:sz="4" w:space="0" w:color="auto"/>
              <w:bottom w:val="single" w:sz="4" w:space="0" w:color="auto"/>
              <w:right w:val="single" w:sz="4" w:space="0" w:color="auto"/>
            </w:tcBorders>
            <w:vAlign w:val="center"/>
            <w:hideMark/>
          </w:tcPr>
          <w:p w14:paraId="7C11CA95" w14:textId="77777777" w:rsidR="00CD64B5" w:rsidRPr="007F2C2A" w:rsidRDefault="00CD64B5" w:rsidP="00CD64B5">
            <w:pPr>
              <w:rPr>
                <w:rFonts w:eastAsiaTheme="minorEastAsia"/>
                <w:sz w:val="20"/>
              </w:rPr>
            </w:pPr>
            <w:r w:rsidRPr="007F2C2A">
              <w:rPr>
                <w:rFonts w:eastAsia="SimSun"/>
                <w:sz w:val="20"/>
              </w:rPr>
              <w:t>0,0067</w:t>
            </w:r>
          </w:p>
        </w:tc>
      </w:tr>
      <w:tr w:rsidR="00CD64B5" w:rsidRPr="007F2C2A" w14:paraId="5F957BAF" w14:textId="77777777" w:rsidTr="00CD64B5">
        <w:trPr>
          <w:trHeight w:val="250"/>
          <w:jc w:val="center"/>
        </w:trPr>
        <w:tc>
          <w:tcPr>
            <w:tcW w:w="2477" w:type="pct"/>
            <w:tcBorders>
              <w:top w:val="single" w:sz="4" w:space="0" w:color="auto"/>
              <w:left w:val="single" w:sz="4" w:space="0" w:color="auto"/>
              <w:bottom w:val="single" w:sz="4" w:space="0" w:color="auto"/>
              <w:right w:val="single" w:sz="4" w:space="0" w:color="auto"/>
            </w:tcBorders>
            <w:hideMark/>
          </w:tcPr>
          <w:p w14:paraId="75F6DE6A" w14:textId="77777777" w:rsidR="00CD64B5" w:rsidRPr="007F2C2A" w:rsidRDefault="00CD64B5" w:rsidP="00CD64B5">
            <w:pPr>
              <w:rPr>
                <w:rFonts w:eastAsiaTheme="minorEastAsia"/>
                <w:sz w:val="20"/>
              </w:rPr>
            </w:pPr>
            <w:r w:rsidRPr="007F2C2A">
              <w:rPr>
                <w:rFonts w:ascii="Sylfaen" w:eastAsiaTheme="minorEastAsia" w:hAnsi="Sylfaen" w:cs="Sylfaen"/>
                <w:sz w:val="20"/>
              </w:rPr>
              <w:t>გოგირდწყალბადი</w:t>
            </w:r>
          </w:p>
        </w:tc>
        <w:tc>
          <w:tcPr>
            <w:tcW w:w="1399" w:type="pct"/>
            <w:tcBorders>
              <w:top w:val="single" w:sz="4" w:space="0" w:color="auto"/>
              <w:left w:val="single" w:sz="4" w:space="0" w:color="auto"/>
              <w:bottom w:val="single" w:sz="4" w:space="0" w:color="auto"/>
              <w:right w:val="single" w:sz="4" w:space="0" w:color="auto"/>
            </w:tcBorders>
            <w:hideMark/>
          </w:tcPr>
          <w:p w14:paraId="1ABF8B56" w14:textId="77777777" w:rsidR="00CD64B5" w:rsidRPr="007F2C2A" w:rsidRDefault="00CD64B5" w:rsidP="00CD64B5">
            <w:pPr>
              <w:rPr>
                <w:rFonts w:eastAsia="SimSun"/>
                <w:sz w:val="20"/>
              </w:rPr>
            </w:pPr>
            <w:r w:rsidRPr="007F2C2A">
              <w:rPr>
                <w:rFonts w:eastAsiaTheme="minorEastAsia"/>
                <w:sz w:val="20"/>
              </w:rPr>
              <w:t>0,0012</w:t>
            </w:r>
          </w:p>
        </w:tc>
        <w:tc>
          <w:tcPr>
            <w:tcW w:w="1124" w:type="pct"/>
            <w:tcBorders>
              <w:top w:val="single" w:sz="4" w:space="0" w:color="auto"/>
              <w:left w:val="single" w:sz="4" w:space="0" w:color="auto"/>
              <w:bottom w:val="single" w:sz="4" w:space="0" w:color="auto"/>
              <w:right w:val="single" w:sz="4" w:space="0" w:color="auto"/>
            </w:tcBorders>
            <w:vAlign w:val="center"/>
            <w:hideMark/>
          </w:tcPr>
          <w:p w14:paraId="41511B6A" w14:textId="77777777" w:rsidR="00CD64B5" w:rsidRPr="007F2C2A" w:rsidRDefault="00CD64B5" w:rsidP="00CD64B5">
            <w:pPr>
              <w:rPr>
                <w:rFonts w:eastAsiaTheme="minorEastAsia"/>
                <w:sz w:val="20"/>
              </w:rPr>
            </w:pPr>
            <w:r w:rsidRPr="007F2C2A">
              <w:rPr>
                <w:rFonts w:eastAsia="SimSun"/>
                <w:sz w:val="20"/>
              </w:rPr>
              <w:t>0,00005</w:t>
            </w:r>
          </w:p>
        </w:tc>
      </w:tr>
      <w:tr w:rsidR="00CD64B5" w:rsidRPr="007F2C2A" w14:paraId="5ACC0D50" w14:textId="77777777" w:rsidTr="00CD64B5">
        <w:trPr>
          <w:trHeight w:val="250"/>
          <w:jc w:val="center"/>
        </w:trPr>
        <w:tc>
          <w:tcPr>
            <w:tcW w:w="2477" w:type="pct"/>
            <w:tcBorders>
              <w:top w:val="single" w:sz="4" w:space="0" w:color="auto"/>
              <w:left w:val="single" w:sz="4" w:space="0" w:color="auto"/>
              <w:bottom w:val="single" w:sz="4" w:space="0" w:color="auto"/>
              <w:right w:val="single" w:sz="4" w:space="0" w:color="auto"/>
            </w:tcBorders>
            <w:hideMark/>
          </w:tcPr>
          <w:p w14:paraId="04B6E209" w14:textId="77777777" w:rsidR="00CD64B5" w:rsidRPr="007F2C2A" w:rsidRDefault="00CD64B5" w:rsidP="00CD64B5">
            <w:pPr>
              <w:rPr>
                <w:rFonts w:eastAsiaTheme="minorEastAsia"/>
                <w:sz w:val="20"/>
              </w:rPr>
            </w:pPr>
            <w:r w:rsidRPr="007F2C2A">
              <w:rPr>
                <w:rFonts w:ascii="Sylfaen" w:eastAsiaTheme="minorEastAsia" w:hAnsi="Sylfaen" w:cs="Sylfaen"/>
                <w:sz w:val="20"/>
              </w:rPr>
              <w:t>ნახშირბადის</w:t>
            </w:r>
            <w:r w:rsidRPr="007F2C2A">
              <w:rPr>
                <w:rFonts w:eastAsiaTheme="minorEastAsia"/>
                <w:sz w:val="20"/>
              </w:rPr>
              <w:t xml:space="preserve"> </w:t>
            </w:r>
            <w:r w:rsidRPr="007F2C2A">
              <w:rPr>
                <w:rFonts w:ascii="Sylfaen" w:eastAsiaTheme="minorEastAsia" w:hAnsi="Sylfaen" w:cs="Sylfaen"/>
                <w:sz w:val="20"/>
              </w:rPr>
              <w:t>ოქსიდი</w:t>
            </w:r>
            <w:r w:rsidRPr="007F2C2A">
              <w:rPr>
                <w:rFonts w:eastAsiaTheme="minorEastAsia"/>
                <w:sz w:val="20"/>
              </w:rPr>
              <w:t xml:space="preserve"> </w:t>
            </w:r>
          </w:p>
        </w:tc>
        <w:tc>
          <w:tcPr>
            <w:tcW w:w="1399" w:type="pct"/>
            <w:tcBorders>
              <w:top w:val="single" w:sz="4" w:space="0" w:color="auto"/>
              <w:left w:val="single" w:sz="4" w:space="0" w:color="auto"/>
              <w:bottom w:val="single" w:sz="4" w:space="0" w:color="auto"/>
              <w:right w:val="single" w:sz="4" w:space="0" w:color="auto"/>
            </w:tcBorders>
            <w:hideMark/>
          </w:tcPr>
          <w:p w14:paraId="770A379A" w14:textId="77777777" w:rsidR="00CD64B5" w:rsidRPr="007F2C2A" w:rsidRDefault="00CD64B5" w:rsidP="00CD64B5">
            <w:pPr>
              <w:rPr>
                <w:rFonts w:eastAsia="SimSun"/>
                <w:sz w:val="20"/>
              </w:rPr>
            </w:pPr>
            <w:r w:rsidRPr="007F2C2A">
              <w:rPr>
                <w:rFonts w:eastAsiaTheme="minorEastAsia"/>
                <w:sz w:val="20"/>
              </w:rPr>
              <w:t>0,0072</w:t>
            </w:r>
          </w:p>
        </w:tc>
        <w:tc>
          <w:tcPr>
            <w:tcW w:w="1124" w:type="pct"/>
            <w:tcBorders>
              <w:top w:val="single" w:sz="4" w:space="0" w:color="auto"/>
              <w:left w:val="single" w:sz="4" w:space="0" w:color="auto"/>
              <w:bottom w:val="single" w:sz="4" w:space="0" w:color="auto"/>
              <w:right w:val="single" w:sz="4" w:space="0" w:color="auto"/>
            </w:tcBorders>
            <w:vAlign w:val="center"/>
            <w:hideMark/>
          </w:tcPr>
          <w:p w14:paraId="5E0401F5" w14:textId="77777777" w:rsidR="00CD64B5" w:rsidRPr="007F2C2A" w:rsidRDefault="00CD64B5" w:rsidP="00CD64B5">
            <w:pPr>
              <w:rPr>
                <w:rFonts w:eastAsiaTheme="minorEastAsia"/>
                <w:sz w:val="20"/>
              </w:rPr>
            </w:pPr>
            <w:r w:rsidRPr="007F2C2A">
              <w:rPr>
                <w:rFonts w:eastAsia="SimSun"/>
                <w:sz w:val="20"/>
              </w:rPr>
              <w:t>0,0033</w:t>
            </w:r>
          </w:p>
        </w:tc>
      </w:tr>
      <w:tr w:rsidR="00CD64B5" w:rsidRPr="007F2C2A" w14:paraId="1464BB06" w14:textId="77777777" w:rsidTr="00CD64B5">
        <w:trPr>
          <w:trHeight w:val="250"/>
          <w:jc w:val="center"/>
        </w:trPr>
        <w:tc>
          <w:tcPr>
            <w:tcW w:w="2477" w:type="pct"/>
            <w:tcBorders>
              <w:top w:val="single" w:sz="4" w:space="0" w:color="auto"/>
              <w:left w:val="single" w:sz="4" w:space="0" w:color="auto"/>
              <w:bottom w:val="single" w:sz="4" w:space="0" w:color="auto"/>
              <w:right w:val="single" w:sz="4" w:space="0" w:color="auto"/>
            </w:tcBorders>
            <w:hideMark/>
          </w:tcPr>
          <w:p w14:paraId="612792D2" w14:textId="77777777" w:rsidR="00CD64B5" w:rsidRPr="007F2C2A" w:rsidRDefault="00CD64B5" w:rsidP="00CD64B5">
            <w:pPr>
              <w:rPr>
                <w:rFonts w:eastAsiaTheme="minorEastAsia"/>
                <w:sz w:val="20"/>
              </w:rPr>
            </w:pPr>
            <w:r w:rsidRPr="007F2C2A">
              <w:rPr>
                <w:rFonts w:ascii="Sylfaen" w:eastAsiaTheme="minorEastAsia" w:hAnsi="Sylfaen" w:cs="Sylfaen"/>
                <w:sz w:val="20"/>
              </w:rPr>
              <w:t>ბენზ</w:t>
            </w:r>
            <w:r w:rsidRPr="007F2C2A">
              <w:rPr>
                <w:rFonts w:eastAsiaTheme="minorEastAsia"/>
                <w:sz w:val="20"/>
              </w:rPr>
              <w:t>(</w:t>
            </w:r>
            <w:r w:rsidRPr="007F2C2A">
              <w:rPr>
                <w:rFonts w:ascii="Sylfaen" w:eastAsiaTheme="minorEastAsia" w:hAnsi="Sylfaen" w:cs="Sylfaen"/>
                <w:sz w:val="20"/>
              </w:rPr>
              <w:t>ა</w:t>
            </w:r>
            <w:r w:rsidRPr="007F2C2A">
              <w:rPr>
                <w:rFonts w:eastAsiaTheme="minorEastAsia"/>
                <w:sz w:val="20"/>
              </w:rPr>
              <w:t>)</w:t>
            </w:r>
            <w:r w:rsidRPr="007F2C2A">
              <w:rPr>
                <w:rFonts w:ascii="Sylfaen" w:eastAsiaTheme="minorEastAsia" w:hAnsi="Sylfaen" w:cs="Sylfaen"/>
                <w:sz w:val="20"/>
              </w:rPr>
              <w:t>პირენი</w:t>
            </w:r>
          </w:p>
        </w:tc>
        <w:tc>
          <w:tcPr>
            <w:tcW w:w="1399" w:type="pct"/>
            <w:tcBorders>
              <w:top w:val="single" w:sz="4" w:space="0" w:color="auto"/>
              <w:left w:val="single" w:sz="4" w:space="0" w:color="auto"/>
              <w:bottom w:val="single" w:sz="4" w:space="0" w:color="auto"/>
              <w:right w:val="single" w:sz="4" w:space="0" w:color="auto"/>
            </w:tcBorders>
            <w:hideMark/>
          </w:tcPr>
          <w:p w14:paraId="46387D8C" w14:textId="77777777" w:rsidR="00CD64B5" w:rsidRPr="007F2C2A" w:rsidRDefault="00CD64B5" w:rsidP="00CD64B5">
            <w:pPr>
              <w:rPr>
                <w:rFonts w:eastAsia="SimSun"/>
                <w:sz w:val="20"/>
              </w:rPr>
            </w:pPr>
            <w:r w:rsidRPr="007F2C2A">
              <w:rPr>
                <w:rFonts w:eastAsiaTheme="minorEastAsia"/>
                <w:sz w:val="20"/>
              </w:rPr>
              <w:t>0,0043</w:t>
            </w:r>
          </w:p>
        </w:tc>
        <w:tc>
          <w:tcPr>
            <w:tcW w:w="1124" w:type="pct"/>
            <w:tcBorders>
              <w:top w:val="single" w:sz="4" w:space="0" w:color="auto"/>
              <w:left w:val="single" w:sz="4" w:space="0" w:color="auto"/>
              <w:bottom w:val="single" w:sz="4" w:space="0" w:color="auto"/>
              <w:right w:val="single" w:sz="4" w:space="0" w:color="auto"/>
            </w:tcBorders>
            <w:vAlign w:val="center"/>
            <w:hideMark/>
          </w:tcPr>
          <w:p w14:paraId="003535FC" w14:textId="77777777" w:rsidR="00CD64B5" w:rsidRPr="007F2C2A" w:rsidRDefault="00CD64B5" w:rsidP="00CD64B5">
            <w:pPr>
              <w:rPr>
                <w:rFonts w:eastAsiaTheme="minorEastAsia"/>
                <w:sz w:val="20"/>
              </w:rPr>
            </w:pPr>
            <w:r w:rsidRPr="007F2C2A">
              <w:rPr>
                <w:rFonts w:eastAsia="SimSun"/>
                <w:sz w:val="20"/>
              </w:rPr>
              <w:t>0,0016</w:t>
            </w:r>
          </w:p>
        </w:tc>
      </w:tr>
      <w:tr w:rsidR="00CD64B5" w:rsidRPr="007F2C2A" w14:paraId="02B924DD" w14:textId="77777777" w:rsidTr="00CD64B5">
        <w:trPr>
          <w:trHeight w:val="250"/>
          <w:jc w:val="center"/>
        </w:trPr>
        <w:tc>
          <w:tcPr>
            <w:tcW w:w="2477" w:type="pct"/>
            <w:tcBorders>
              <w:top w:val="single" w:sz="4" w:space="0" w:color="auto"/>
              <w:left w:val="single" w:sz="4" w:space="0" w:color="auto"/>
              <w:bottom w:val="single" w:sz="4" w:space="0" w:color="auto"/>
              <w:right w:val="single" w:sz="4" w:space="0" w:color="auto"/>
            </w:tcBorders>
            <w:hideMark/>
          </w:tcPr>
          <w:p w14:paraId="77678AAD" w14:textId="77777777" w:rsidR="00CD64B5" w:rsidRPr="007F2C2A" w:rsidRDefault="00CD64B5" w:rsidP="00CD64B5">
            <w:pPr>
              <w:rPr>
                <w:rFonts w:eastAsiaTheme="minorEastAsia"/>
                <w:sz w:val="20"/>
              </w:rPr>
            </w:pPr>
            <w:r w:rsidRPr="007F2C2A">
              <w:rPr>
                <w:rFonts w:ascii="Sylfaen" w:eastAsiaTheme="minorEastAsia" w:hAnsi="Sylfaen" w:cs="Sylfaen"/>
                <w:sz w:val="20"/>
              </w:rPr>
              <w:t>ფორმალდეჰიდი</w:t>
            </w:r>
          </w:p>
        </w:tc>
        <w:tc>
          <w:tcPr>
            <w:tcW w:w="1399" w:type="pct"/>
            <w:tcBorders>
              <w:top w:val="single" w:sz="4" w:space="0" w:color="auto"/>
              <w:left w:val="single" w:sz="4" w:space="0" w:color="auto"/>
              <w:bottom w:val="single" w:sz="4" w:space="0" w:color="auto"/>
              <w:right w:val="single" w:sz="4" w:space="0" w:color="auto"/>
            </w:tcBorders>
            <w:hideMark/>
          </w:tcPr>
          <w:p w14:paraId="5A401194" w14:textId="77777777" w:rsidR="00CD64B5" w:rsidRPr="007F2C2A" w:rsidRDefault="00CD64B5" w:rsidP="00CD64B5">
            <w:pPr>
              <w:rPr>
                <w:rFonts w:eastAsia="SimSun"/>
                <w:sz w:val="20"/>
              </w:rPr>
            </w:pPr>
            <w:r w:rsidRPr="007F2C2A">
              <w:rPr>
                <w:rFonts w:eastAsiaTheme="minorEastAsia"/>
                <w:sz w:val="20"/>
              </w:rPr>
              <w:t>0,0074</w:t>
            </w:r>
          </w:p>
        </w:tc>
        <w:tc>
          <w:tcPr>
            <w:tcW w:w="1124" w:type="pct"/>
            <w:tcBorders>
              <w:top w:val="single" w:sz="4" w:space="0" w:color="auto"/>
              <w:left w:val="single" w:sz="4" w:space="0" w:color="auto"/>
              <w:bottom w:val="single" w:sz="4" w:space="0" w:color="auto"/>
              <w:right w:val="single" w:sz="4" w:space="0" w:color="auto"/>
            </w:tcBorders>
            <w:vAlign w:val="center"/>
            <w:hideMark/>
          </w:tcPr>
          <w:p w14:paraId="66EF3B0C" w14:textId="77777777" w:rsidR="00CD64B5" w:rsidRPr="007F2C2A" w:rsidRDefault="00CD64B5" w:rsidP="00CD64B5">
            <w:pPr>
              <w:rPr>
                <w:rFonts w:eastAsiaTheme="minorEastAsia"/>
                <w:sz w:val="20"/>
              </w:rPr>
            </w:pPr>
            <w:r w:rsidRPr="007F2C2A">
              <w:rPr>
                <w:rFonts w:eastAsia="SimSun"/>
                <w:sz w:val="20"/>
              </w:rPr>
              <w:t>0,0028</w:t>
            </w:r>
          </w:p>
        </w:tc>
      </w:tr>
      <w:tr w:rsidR="00CD64B5" w:rsidRPr="007F2C2A" w14:paraId="45986EC0" w14:textId="77777777" w:rsidTr="00CD64B5">
        <w:trPr>
          <w:trHeight w:val="250"/>
          <w:jc w:val="center"/>
        </w:trPr>
        <w:tc>
          <w:tcPr>
            <w:tcW w:w="2477" w:type="pct"/>
            <w:tcBorders>
              <w:top w:val="single" w:sz="4" w:space="0" w:color="auto"/>
              <w:left w:val="single" w:sz="4" w:space="0" w:color="auto"/>
              <w:bottom w:val="single" w:sz="4" w:space="0" w:color="auto"/>
              <w:right w:val="single" w:sz="4" w:space="0" w:color="auto"/>
            </w:tcBorders>
            <w:hideMark/>
          </w:tcPr>
          <w:p w14:paraId="13C7DC2C" w14:textId="77777777" w:rsidR="00CD64B5" w:rsidRPr="007F2C2A" w:rsidRDefault="00CD64B5" w:rsidP="00CD64B5">
            <w:pPr>
              <w:rPr>
                <w:rFonts w:eastAsiaTheme="minorEastAsia"/>
                <w:sz w:val="20"/>
              </w:rPr>
            </w:pPr>
            <w:r w:rsidRPr="007F2C2A">
              <w:rPr>
                <w:rFonts w:ascii="Sylfaen" w:eastAsiaTheme="minorEastAsia" w:hAnsi="Sylfaen" w:cs="Sylfaen"/>
                <w:sz w:val="20"/>
              </w:rPr>
              <w:t>ნახშირწყალბადების</w:t>
            </w:r>
            <w:r w:rsidRPr="007F2C2A">
              <w:rPr>
                <w:rFonts w:eastAsiaTheme="minorEastAsia"/>
                <w:sz w:val="20"/>
              </w:rPr>
              <w:t xml:space="preserve"> </w:t>
            </w:r>
            <w:r w:rsidRPr="007F2C2A">
              <w:rPr>
                <w:rFonts w:ascii="Sylfaen" w:eastAsiaTheme="minorEastAsia" w:hAnsi="Sylfaen" w:cs="Sylfaen"/>
                <w:sz w:val="20"/>
              </w:rPr>
              <w:t>ნავთის</w:t>
            </w:r>
            <w:r w:rsidRPr="007F2C2A">
              <w:rPr>
                <w:rFonts w:eastAsiaTheme="minorEastAsia"/>
                <w:sz w:val="20"/>
              </w:rPr>
              <w:t xml:space="preserve"> </w:t>
            </w:r>
            <w:r w:rsidRPr="007F2C2A">
              <w:rPr>
                <w:rFonts w:ascii="Sylfaen" w:eastAsiaTheme="minorEastAsia" w:hAnsi="Sylfaen" w:cs="Sylfaen"/>
                <w:sz w:val="20"/>
              </w:rPr>
              <w:t>ფრაქცია</w:t>
            </w:r>
          </w:p>
        </w:tc>
        <w:tc>
          <w:tcPr>
            <w:tcW w:w="1399" w:type="pct"/>
            <w:tcBorders>
              <w:top w:val="single" w:sz="4" w:space="0" w:color="auto"/>
              <w:left w:val="single" w:sz="4" w:space="0" w:color="auto"/>
              <w:bottom w:val="single" w:sz="4" w:space="0" w:color="auto"/>
              <w:right w:val="single" w:sz="4" w:space="0" w:color="auto"/>
            </w:tcBorders>
            <w:hideMark/>
          </w:tcPr>
          <w:p w14:paraId="75564C11" w14:textId="77777777" w:rsidR="00CD64B5" w:rsidRPr="007F2C2A" w:rsidRDefault="00CD64B5" w:rsidP="00CD64B5">
            <w:pPr>
              <w:rPr>
                <w:rFonts w:eastAsia="SimSun"/>
                <w:sz w:val="20"/>
              </w:rPr>
            </w:pPr>
            <w:r w:rsidRPr="007F2C2A">
              <w:rPr>
                <w:rFonts w:eastAsiaTheme="minorEastAsia"/>
                <w:sz w:val="20"/>
              </w:rPr>
              <w:t>0,0087</w:t>
            </w:r>
          </w:p>
        </w:tc>
        <w:tc>
          <w:tcPr>
            <w:tcW w:w="1124" w:type="pct"/>
            <w:tcBorders>
              <w:top w:val="single" w:sz="4" w:space="0" w:color="auto"/>
              <w:left w:val="single" w:sz="4" w:space="0" w:color="auto"/>
              <w:bottom w:val="single" w:sz="4" w:space="0" w:color="auto"/>
              <w:right w:val="single" w:sz="4" w:space="0" w:color="auto"/>
            </w:tcBorders>
            <w:vAlign w:val="center"/>
            <w:hideMark/>
          </w:tcPr>
          <w:p w14:paraId="0AB10EFB" w14:textId="77777777" w:rsidR="00CD64B5" w:rsidRPr="007F2C2A" w:rsidRDefault="00CD64B5" w:rsidP="00CD64B5">
            <w:pPr>
              <w:rPr>
                <w:rFonts w:eastAsiaTheme="minorEastAsia"/>
                <w:sz w:val="20"/>
              </w:rPr>
            </w:pPr>
            <w:r w:rsidRPr="007F2C2A">
              <w:rPr>
                <w:rFonts w:eastAsia="SimSun"/>
                <w:sz w:val="20"/>
              </w:rPr>
              <w:t>0,004</w:t>
            </w:r>
          </w:p>
        </w:tc>
      </w:tr>
      <w:tr w:rsidR="00CD64B5" w:rsidRPr="007F2C2A" w14:paraId="1088F986" w14:textId="77777777" w:rsidTr="00CD64B5">
        <w:trPr>
          <w:trHeight w:val="250"/>
          <w:jc w:val="center"/>
        </w:trPr>
        <w:tc>
          <w:tcPr>
            <w:tcW w:w="2477" w:type="pct"/>
            <w:tcBorders>
              <w:top w:val="single" w:sz="4" w:space="0" w:color="auto"/>
              <w:left w:val="single" w:sz="4" w:space="0" w:color="auto"/>
              <w:bottom w:val="single" w:sz="4" w:space="0" w:color="auto"/>
              <w:right w:val="single" w:sz="4" w:space="0" w:color="auto"/>
            </w:tcBorders>
            <w:hideMark/>
          </w:tcPr>
          <w:p w14:paraId="03DDA51A" w14:textId="77777777" w:rsidR="00CD64B5" w:rsidRPr="007F2C2A" w:rsidRDefault="00CD64B5" w:rsidP="00CD64B5">
            <w:pPr>
              <w:rPr>
                <w:rFonts w:eastAsiaTheme="minorEastAsia"/>
                <w:sz w:val="20"/>
              </w:rPr>
            </w:pPr>
            <w:r w:rsidRPr="007F2C2A">
              <w:rPr>
                <w:rFonts w:ascii="Sylfaen" w:eastAsiaTheme="minorEastAsia" w:hAnsi="Sylfaen" w:cs="Sylfaen"/>
                <w:sz w:val="20"/>
              </w:rPr>
              <w:t>ნაჯერი</w:t>
            </w:r>
            <w:r w:rsidRPr="007F2C2A">
              <w:rPr>
                <w:rFonts w:eastAsiaTheme="minorEastAsia"/>
                <w:sz w:val="20"/>
              </w:rPr>
              <w:t xml:space="preserve"> </w:t>
            </w:r>
            <w:r w:rsidRPr="007F2C2A">
              <w:rPr>
                <w:rFonts w:ascii="Sylfaen" w:eastAsiaTheme="minorEastAsia" w:hAnsi="Sylfaen" w:cs="Sylfaen"/>
                <w:sz w:val="20"/>
              </w:rPr>
              <w:t>ნახშირწყალბადები</w:t>
            </w:r>
            <w:r w:rsidRPr="007F2C2A">
              <w:rPr>
                <w:rFonts w:eastAsiaTheme="minorEastAsia"/>
                <w:sz w:val="20"/>
              </w:rPr>
              <w:t xml:space="preserve"> (</w:t>
            </w:r>
            <w:r w:rsidRPr="007F2C2A">
              <w:rPr>
                <w:rFonts w:ascii="Sylfaen" w:eastAsiaTheme="minorEastAsia" w:hAnsi="Sylfaen" w:cs="Sylfaen"/>
                <w:sz w:val="20"/>
              </w:rPr>
              <w:t>ალკანები</w:t>
            </w:r>
            <w:r w:rsidRPr="007F2C2A">
              <w:rPr>
                <w:rFonts w:eastAsiaTheme="minorEastAsia"/>
                <w:sz w:val="20"/>
              </w:rPr>
              <w:t>C12-C19)</w:t>
            </w:r>
          </w:p>
        </w:tc>
        <w:tc>
          <w:tcPr>
            <w:tcW w:w="1399" w:type="pct"/>
            <w:tcBorders>
              <w:top w:val="single" w:sz="4" w:space="0" w:color="auto"/>
              <w:left w:val="single" w:sz="4" w:space="0" w:color="auto"/>
              <w:bottom w:val="single" w:sz="4" w:space="0" w:color="auto"/>
              <w:right w:val="single" w:sz="4" w:space="0" w:color="auto"/>
            </w:tcBorders>
            <w:hideMark/>
          </w:tcPr>
          <w:p w14:paraId="691398C1" w14:textId="77777777" w:rsidR="00CD64B5" w:rsidRPr="007F2C2A" w:rsidRDefault="00CD64B5" w:rsidP="00CD64B5">
            <w:pPr>
              <w:rPr>
                <w:rFonts w:eastAsia="SimSun"/>
                <w:sz w:val="20"/>
              </w:rPr>
            </w:pPr>
            <w:r w:rsidRPr="007F2C2A">
              <w:rPr>
                <w:rFonts w:eastAsiaTheme="minorEastAsia"/>
                <w:sz w:val="20"/>
              </w:rPr>
              <w:t>0,0034</w:t>
            </w:r>
          </w:p>
        </w:tc>
        <w:tc>
          <w:tcPr>
            <w:tcW w:w="1124" w:type="pct"/>
            <w:tcBorders>
              <w:top w:val="single" w:sz="4" w:space="0" w:color="auto"/>
              <w:left w:val="single" w:sz="4" w:space="0" w:color="auto"/>
              <w:bottom w:val="single" w:sz="4" w:space="0" w:color="auto"/>
              <w:right w:val="single" w:sz="4" w:space="0" w:color="auto"/>
            </w:tcBorders>
            <w:vAlign w:val="center"/>
            <w:hideMark/>
          </w:tcPr>
          <w:p w14:paraId="2FD81ACD" w14:textId="77777777" w:rsidR="00CD64B5" w:rsidRPr="007F2C2A" w:rsidRDefault="00CD64B5" w:rsidP="00CD64B5">
            <w:pPr>
              <w:rPr>
                <w:rFonts w:eastAsiaTheme="minorEastAsia"/>
                <w:sz w:val="20"/>
              </w:rPr>
            </w:pPr>
            <w:r w:rsidRPr="007F2C2A">
              <w:rPr>
                <w:rFonts w:eastAsia="SimSun"/>
                <w:sz w:val="20"/>
              </w:rPr>
              <w:t>0,0014</w:t>
            </w:r>
          </w:p>
        </w:tc>
      </w:tr>
      <w:tr w:rsidR="00CD64B5" w:rsidRPr="007F2C2A" w14:paraId="3876BEBF" w14:textId="77777777" w:rsidTr="00CD64B5">
        <w:trPr>
          <w:trHeight w:val="250"/>
          <w:jc w:val="center"/>
        </w:trPr>
        <w:tc>
          <w:tcPr>
            <w:tcW w:w="2477" w:type="pct"/>
            <w:tcBorders>
              <w:top w:val="single" w:sz="4" w:space="0" w:color="auto"/>
              <w:left w:val="single" w:sz="4" w:space="0" w:color="auto"/>
              <w:bottom w:val="single" w:sz="4" w:space="0" w:color="auto"/>
              <w:right w:val="single" w:sz="4" w:space="0" w:color="auto"/>
            </w:tcBorders>
            <w:hideMark/>
          </w:tcPr>
          <w:p w14:paraId="71D9555B" w14:textId="77777777" w:rsidR="00CD64B5" w:rsidRPr="007F2C2A" w:rsidRDefault="00CD64B5" w:rsidP="00CD64B5">
            <w:pPr>
              <w:rPr>
                <w:rFonts w:eastAsiaTheme="minorEastAsia"/>
                <w:sz w:val="20"/>
              </w:rPr>
            </w:pPr>
            <w:r w:rsidRPr="007F2C2A">
              <w:rPr>
                <w:rFonts w:ascii="Sylfaen" w:eastAsiaTheme="minorEastAsia" w:hAnsi="Sylfaen" w:cs="Sylfaen"/>
                <w:sz w:val="20"/>
              </w:rPr>
              <w:t>შეწონილი</w:t>
            </w:r>
            <w:r w:rsidRPr="007F2C2A">
              <w:rPr>
                <w:rFonts w:eastAsiaTheme="minorEastAsia"/>
                <w:sz w:val="20"/>
              </w:rPr>
              <w:t xml:space="preserve"> </w:t>
            </w:r>
            <w:r w:rsidRPr="007F2C2A">
              <w:rPr>
                <w:rFonts w:ascii="Sylfaen" w:eastAsiaTheme="minorEastAsia" w:hAnsi="Sylfaen" w:cs="Sylfaen"/>
                <w:sz w:val="20"/>
              </w:rPr>
              <w:t>ნაწილაკები</w:t>
            </w:r>
          </w:p>
        </w:tc>
        <w:tc>
          <w:tcPr>
            <w:tcW w:w="1399" w:type="pct"/>
            <w:tcBorders>
              <w:top w:val="single" w:sz="4" w:space="0" w:color="auto"/>
              <w:left w:val="single" w:sz="4" w:space="0" w:color="auto"/>
              <w:bottom w:val="single" w:sz="4" w:space="0" w:color="auto"/>
              <w:right w:val="single" w:sz="4" w:space="0" w:color="auto"/>
            </w:tcBorders>
            <w:hideMark/>
          </w:tcPr>
          <w:p w14:paraId="39AC6F6E" w14:textId="77777777" w:rsidR="00CD64B5" w:rsidRPr="007F2C2A" w:rsidRDefault="00CD64B5" w:rsidP="00CD64B5">
            <w:pPr>
              <w:rPr>
                <w:rFonts w:eastAsia="SimSun"/>
                <w:sz w:val="20"/>
              </w:rPr>
            </w:pPr>
            <w:r w:rsidRPr="007F2C2A">
              <w:rPr>
                <w:rFonts w:eastAsiaTheme="minorEastAsia"/>
                <w:sz w:val="20"/>
              </w:rPr>
              <w:t>0,04</w:t>
            </w:r>
          </w:p>
        </w:tc>
        <w:tc>
          <w:tcPr>
            <w:tcW w:w="1124" w:type="pct"/>
            <w:tcBorders>
              <w:top w:val="single" w:sz="4" w:space="0" w:color="auto"/>
              <w:left w:val="single" w:sz="4" w:space="0" w:color="auto"/>
              <w:bottom w:val="single" w:sz="4" w:space="0" w:color="auto"/>
              <w:right w:val="single" w:sz="4" w:space="0" w:color="auto"/>
            </w:tcBorders>
            <w:vAlign w:val="center"/>
            <w:hideMark/>
          </w:tcPr>
          <w:p w14:paraId="273BB40B" w14:textId="77777777" w:rsidR="00CD64B5" w:rsidRPr="007F2C2A" w:rsidRDefault="00CD64B5" w:rsidP="00CD64B5">
            <w:pPr>
              <w:rPr>
                <w:rFonts w:eastAsiaTheme="minorEastAsia"/>
                <w:sz w:val="20"/>
              </w:rPr>
            </w:pPr>
            <w:r w:rsidRPr="007F2C2A">
              <w:rPr>
                <w:rFonts w:eastAsia="SimSun"/>
                <w:sz w:val="20"/>
              </w:rPr>
              <w:t>0,02</w:t>
            </w:r>
          </w:p>
        </w:tc>
      </w:tr>
      <w:tr w:rsidR="00CD64B5" w:rsidRPr="007F2C2A" w14:paraId="33CEFAC2" w14:textId="77777777" w:rsidTr="00CD64B5">
        <w:trPr>
          <w:trHeight w:val="250"/>
          <w:jc w:val="center"/>
        </w:trPr>
        <w:tc>
          <w:tcPr>
            <w:tcW w:w="2477" w:type="pct"/>
            <w:tcBorders>
              <w:top w:val="single" w:sz="4" w:space="0" w:color="auto"/>
              <w:left w:val="single" w:sz="4" w:space="0" w:color="auto"/>
              <w:bottom w:val="single" w:sz="4" w:space="0" w:color="auto"/>
              <w:right w:val="single" w:sz="4" w:space="0" w:color="auto"/>
            </w:tcBorders>
            <w:hideMark/>
          </w:tcPr>
          <w:p w14:paraId="3E807A6E" w14:textId="77777777" w:rsidR="00CD64B5" w:rsidRPr="007F2C2A" w:rsidRDefault="00CD64B5" w:rsidP="00CD64B5">
            <w:pPr>
              <w:rPr>
                <w:rFonts w:eastAsiaTheme="minorEastAsia"/>
                <w:sz w:val="20"/>
              </w:rPr>
            </w:pPr>
            <w:r w:rsidRPr="007F2C2A">
              <w:rPr>
                <w:rFonts w:ascii="Sylfaen" w:eastAsiaTheme="minorEastAsia" w:hAnsi="Sylfaen" w:cs="Sylfaen"/>
                <w:sz w:val="20"/>
              </w:rPr>
              <w:t>არაორგანული</w:t>
            </w:r>
            <w:r w:rsidRPr="007F2C2A">
              <w:rPr>
                <w:rFonts w:eastAsiaTheme="minorEastAsia"/>
                <w:sz w:val="20"/>
              </w:rPr>
              <w:t xml:space="preserve"> </w:t>
            </w:r>
            <w:r w:rsidRPr="007F2C2A">
              <w:rPr>
                <w:rFonts w:ascii="Sylfaen" w:eastAsiaTheme="minorEastAsia" w:hAnsi="Sylfaen" w:cs="Sylfaen"/>
                <w:sz w:val="20"/>
              </w:rPr>
              <w:t>მტვერი</w:t>
            </w:r>
            <w:r w:rsidRPr="007F2C2A">
              <w:rPr>
                <w:rFonts w:eastAsiaTheme="minorEastAsia"/>
                <w:sz w:val="20"/>
              </w:rPr>
              <w:t>: 70-20% SiO2</w:t>
            </w:r>
          </w:p>
        </w:tc>
        <w:tc>
          <w:tcPr>
            <w:tcW w:w="1399" w:type="pct"/>
            <w:tcBorders>
              <w:top w:val="single" w:sz="4" w:space="0" w:color="auto"/>
              <w:left w:val="single" w:sz="4" w:space="0" w:color="auto"/>
              <w:bottom w:val="single" w:sz="4" w:space="0" w:color="auto"/>
              <w:right w:val="single" w:sz="4" w:space="0" w:color="auto"/>
            </w:tcBorders>
            <w:hideMark/>
          </w:tcPr>
          <w:p w14:paraId="61E5AE04" w14:textId="77777777" w:rsidR="00CD64B5" w:rsidRPr="007F2C2A" w:rsidRDefault="00CD64B5" w:rsidP="00CD64B5">
            <w:pPr>
              <w:rPr>
                <w:rFonts w:eastAsia="SimSun"/>
                <w:sz w:val="20"/>
              </w:rPr>
            </w:pPr>
            <w:r w:rsidRPr="007F2C2A">
              <w:rPr>
                <w:rFonts w:eastAsiaTheme="minorEastAsia"/>
                <w:sz w:val="20"/>
              </w:rPr>
              <w:t>0,37</w:t>
            </w:r>
          </w:p>
        </w:tc>
        <w:tc>
          <w:tcPr>
            <w:tcW w:w="1124" w:type="pct"/>
            <w:tcBorders>
              <w:top w:val="single" w:sz="4" w:space="0" w:color="auto"/>
              <w:left w:val="single" w:sz="4" w:space="0" w:color="auto"/>
              <w:bottom w:val="single" w:sz="4" w:space="0" w:color="auto"/>
              <w:right w:val="single" w:sz="4" w:space="0" w:color="auto"/>
            </w:tcBorders>
            <w:vAlign w:val="center"/>
            <w:hideMark/>
          </w:tcPr>
          <w:p w14:paraId="4351CA69" w14:textId="77777777" w:rsidR="00CD64B5" w:rsidRPr="007F2C2A" w:rsidRDefault="00CD64B5" w:rsidP="00CD64B5">
            <w:pPr>
              <w:rPr>
                <w:rFonts w:eastAsiaTheme="minorEastAsia"/>
                <w:sz w:val="20"/>
              </w:rPr>
            </w:pPr>
            <w:r w:rsidRPr="007F2C2A">
              <w:rPr>
                <w:rFonts w:eastAsia="SimSun"/>
                <w:sz w:val="20"/>
              </w:rPr>
              <w:t>0,13</w:t>
            </w:r>
          </w:p>
        </w:tc>
      </w:tr>
      <w:tr w:rsidR="00CD64B5" w:rsidRPr="007F2C2A" w14:paraId="44D24816" w14:textId="77777777" w:rsidTr="00CD64B5">
        <w:trPr>
          <w:trHeight w:val="250"/>
          <w:jc w:val="center"/>
        </w:trPr>
        <w:tc>
          <w:tcPr>
            <w:tcW w:w="2477" w:type="pct"/>
            <w:tcBorders>
              <w:top w:val="single" w:sz="4" w:space="0" w:color="auto"/>
              <w:left w:val="single" w:sz="4" w:space="0" w:color="auto"/>
              <w:bottom w:val="single" w:sz="4" w:space="0" w:color="auto"/>
              <w:right w:val="single" w:sz="4" w:space="0" w:color="auto"/>
            </w:tcBorders>
            <w:hideMark/>
          </w:tcPr>
          <w:p w14:paraId="2676AB6F" w14:textId="77777777" w:rsidR="00CD64B5" w:rsidRPr="007F2C2A" w:rsidRDefault="00CD64B5" w:rsidP="00CD64B5">
            <w:pPr>
              <w:rPr>
                <w:rFonts w:eastAsiaTheme="minorEastAsia"/>
                <w:sz w:val="20"/>
              </w:rPr>
            </w:pPr>
            <w:r w:rsidRPr="007F2C2A">
              <w:rPr>
                <w:rFonts w:ascii="Sylfaen" w:eastAsiaTheme="minorEastAsia" w:hAnsi="Sylfaen" w:cs="Sylfaen"/>
                <w:sz w:val="20"/>
              </w:rPr>
              <w:t>არასრული</w:t>
            </w:r>
            <w:r w:rsidRPr="007F2C2A">
              <w:rPr>
                <w:rFonts w:eastAsiaTheme="minorEastAsia"/>
                <w:sz w:val="20"/>
              </w:rPr>
              <w:t xml:space="preserve"> </w:t>
            </w:r>
            <w:r w:rsidRPr="007F2C2A">
              <w:rPr>
                <w:rFonts w:ascii="Sylfaen" w:eastAsiaTheme="minorEastAsia" w:hAnsi="Sylfaen" w:cs="Sylfaen"/>
                <w:sz w:val="20"/>
              </w:rPr>
              <w:t>ჯამური</w:t>
            </w:r>
            <w:r w:rsidRPr="007F2C2A">
              <w:rPr>
                <w:rFonts w:eastAsiaTheme="minorEastAsia"/>
                <w:sz w:val="20"/>
              </w:rPr>
              <w:t xml:space="preserve"> </w:t>
            </w:r>
            <w:r w:rsidRPr="007F2C2A">
              <w:rPr>
                <w:rFonts w:ascii="Sylfaen" w:eastAsiaTheme="minorEastAsia" w:hAnsi="Sylfaen" w:cs="Sylfaen"/>
                <w:sz w:val="20"/>
              </w:rPr>
              <w:t>ზემ</w:t>
            </w:r>
            <w:r w:rsidRPr="007F2C2A">
              <w:rPr>
                <w:rFonts w:eastAsiaTheme="minorEastAsia"/>
                <w:sz w:val="20"/>
              </w:rPr>
              <w:t xml:space="preserve">. </w:t>
            </w:r>
            <w:r w:rsidRPr="007F2C2A">
              <w:rPr>
                <w:rFonts w:ascii="Sylfaen" w:eastAsiaTheme="minorEastAsia" w:hAnsi="Sylfaen" w:cs="Sylfaen"/>
                <w:sz w:val="20"/>
              </w:rPr>
              <w:t>ჯგუფი</w:t>
            </w:r>
            <w:r w:rsidRPr="007F2C2A">
              <w:rPr>
                <w:rFonts w:eastAsiaTheme="minorEastAsia"/>
                <w:sz w:val="20"/>
              </w:rPr>
              <w:t xml:space="preserve"> 6009(301+330</w:t>
            </w:r>
          </w:p>
        </w:tc>
        <w:tc>
          <w:tcPr>
            <w:tcW w:w="1399" w:type="pct"/>
            <w:tcBorders>
              <w:top w:val="single" w:sz="4" w:space="0" w:color="auto"/>
              <w:left w:val="single" w:sz="4" w:space="0" w:color="auto"/>
              <w:bottom w:val="single" w:sz="4" w:space="0" w:color="auto"/>
              <w:right w:val="single" w:sz="4" w:space="0" w:color="auto"/>
            </w:tcBorders>
            <w:hideMark/>
          </w:tcPr>
          <w:p w14:paraId="319B9BB0" w14:textId="77777777" w:rsidR="00CD64B5" w:rsidRPr="007F2C2A" w:rsidRDefault="00CD64B5" w:rsidP="00CD64B5">
            <w:pPr>
              <w:rPr>
                <w:rFonts w:eastAsia="SimSun"/>
                <w:sz w:val="20"/>
              </w:rPr>
            </w:pPr>
            <w:r w:rsidRPr="007F2C2A">
              <w:rPr>
                <w:rFonts w:eastAsiaTheme="minorEastAsia"/>
                <w:sz w:val="20"/>
              </w:rPr>
              <w:t>0,13</w:t>
            </w:r>
          </w:p>
        </w:tc>
        <w:tc>
          <w:tcPr>
            <w:tcW w:w="1124" w:type="pct"/>
            <w:tcBorders>
              <w:top w:val="single" w:sz="4" w:space="0" w:color="auto"/>
              <w:left w:val="single" w:sz="4" w:space="0" w:color="auto"/>
              <w:bottom w:val="single" w:sz="4" w:space="0" w:color="auto"/>
              <w:right w:val="single" w:sz="4" w:space="0" w:color="auto"/>
            </w:tcBorders>
            <w:vAlign w:val="center"/>
            <w:hideMark/>
          </w:tcPr>
          <w:p w14:paraId="39B08B06" w14:textId="77777777" w:rsidR="00CD64B5" w:rsidRPr="007F2C2A" w:rsidRDefault="00CD64B5" w:rsidP="00CD64B5">
            <w:pPr>
              <w:rPr>
                <w:rFonts w:eastAsiaTheme="minorEastAsia"/>
                <w:sz w:val="20"/>
              </w:rPr>
            </w:pPr>
            <w:r w:rsidRPr="007F2C2A">
              <w:rPr>
                <w:rFonts w:eastAsia="SimSun"/>
                <w:sz w:val="20"/>
              </w:rPr>
              <w:t>0,06</w:t>
            </w:r>
          </w:p>
        </w:tc>
      </w:tr>
      <w:tr w:rsidR="00CD64B5" w:rsidRPr="007F2C2A" w14:paraId="647A906D" w14:textId="77777777" w:rsidTr="00CD64B5">
        <w:trPr>
          <w:trHeight w:val="250"/>
          <w:jc w:val="center"/>
        </w:trPr>
        <w:tc>
          <w:tcPr>
            <w:tcW w:w="2477" w:type="pct"/>
            <w:tcBorders>
              <w:top w:val="single" w:sz="4" w:space="0" w:color="auto"/>
              <w:left w:val="single" w:sz="4" w:space="0" w:color="auto"/>
              <w:bottom w:val="single" w:sz="4" w:space="0" w:color="auto"/>
              <w:right w:val="single" w:sz="4" w:space="0" w:color="auto"/>
            </w:tcBorders>
            <w:hideMark/>
          </w:tcPr>
          <w:p w14:paraId="522444D7" w14:textId="77777777" w:rsidR="00CD64B5" w:rsidRPr="007F2C2A" w:rsidRDefault="00CD64B5" w:rsidP="00CD64B5">
            <w:pPr>
              <w:rPr>
                <w:rFonts w:eastAsiaTheme="minorEastAsia"/>
                <w:sz w:val="20"/>
              </w:rPr>
            </w:pPr>
            <w:r w:rsidRPr="007F2C2A">
              <w:rPr>
                <w:rFonts w:ascii="Sylfaen" w:eastAsiaTheme="minorEastAsia" w:hAnsi="Sylfaen" w:cs="Sylfaen"/>
                <w:sz w:val="20"/>
              </w:rPr>
              <w:t>ჯამური</w:t>
            </w:r>
            <w:r w:rsidRPr="007F2C2A">
              <w:rPr>
                <w:rFonts w:eastAsiaTheme="minorEastAsia"/>
                <w:sz w:val="20"/>
              </w:rPr>
              <w:t xml:space="preserve"> </w:t>
            </w:r>
            <w:r w:rsidRPr="007F2C2A">
              <w:rPr>
                <w:rFonts w:ascii="Sylfaen" w:eastAsiaTheme="minorEastAsia" w:hAnsi="Sylfaen" w:cs="Sylfaen"/>
                <w:sz w:val="20"/>
              </w:rPr>
              <w:t>ზემოქმედების</w:t>
            </w:r>
            <w:r w:rsidRPr="007F2C2A">
              <w:rPr>
                <w:rFonts w:eastAsiaTheme="minorEastAsia"/>
                <w:sz w:val="20"/>
              </w:rPr>
              <w:t xml:space="preserve"> </w:t>
            </w:r>
            <w:r w:rsidRPr="007F2C2A">
              <w:rPr>
                <w:rFonts w:ascii="Sylfaen" w:eastAsiaTheme="minorEastAsia" w:hAnsi="Sylfaen" w:cs="Sylfaen"/>
                <w:sz w:val="20"/>
              </w:rPr>
              <w:t>ჯგუფი</w:t>
            </w:r>
            <w:r w:rsidRPr="007F2C2A">
              <w:rPr>
                <w:rFonts w:eastAsiaTheme="minorEastAsia"/>
                <w:sz w:val="20"/>
              </w:rPr>
              <w:t xml:space="preserve"> 6043 (330 +333)</w:t>
            </w:r>
          </w:p>
        </w:tc>
        <w:tc>
          <w:tcPr>
            <w:tcW w:w="1399" w:type="pct"/>
            <w:tcBorders>
              <w:top w:val="single" w:sz="4" w:space="0" w:color="auto"/>
              <w:left w:val="single" w:sz="4" w:space="0" w:color="auto"/>
              <w:bottom w:val="single" w:sz="4" w:space="0" w:color="auto"/>
              <w:right w:val="single" w:sz="4" w:space="0" w:color="auto"/>
            </w:tcBorders>
            <w:hideMark/>
          </w:tcPr>
          <w:p w14:paraId="5471C592" w14:textId="77777777" w:rsidR="00CD64B5" w:rsidRPr="007F2C2A" w:rsidRDefault="00CD64B5" w:rsidP="00CD64B5">
            <w:pPr>
              <w:rPr>
                <w:rFonts w:eastAsia="SimSun"/>
                <w:sz w:val="20"/>
              </w:rPr>
            </w:pPr>
            <w:r w:rsidRPr="007F2C2A">
              <w:rPr>
                <w:rFonts w:eastAsiaTheme="minorEastAsia"/>
                <w:sz w:val="20"/>
              </w:rPr>
              <w:t>0,0074</w:t>
            </w:r>
          </w:p>
        </w:tc>
        <w:tc>
          <w:tcPr>
            <w:tcW w:w="1124" w:type="pct"/>
            <w:tcBorders>
              <w:top w:val="single" w:sz="4" w:space="0" w:color="auto"/>
              <w:left w:val="single" w:sz="4" w:space="0" w:color="auto"/>
              <w:bottom w:val="single" w:sz="4" w:space="0" w:color="auto"/>
              <w:right w:val="single" w:sz="4" w:space="0" w:color="auto"/>
            </w:tcBorders>
            <w:vAlign w:val="center"/>
            <w:hideMark/>
          </w:tcPr>
          <w:p w14:paraId="2BB5473C" w14:textId="77777777" w:rsidR="00CD64B5" w:rsidRPr="007F2C2A" w:rsidRDefault="00CD64B5" w:rsidP="00CD64B5">
            <w:pPr>
              <w:rPr>
                <w:rFonts w:eastAsiaTheme="minorEastAsia"/>
                <w:sz w:val="20"/>
              </w:rPr>
            </w:pPr>
            <w:r w:rsidRPr="007F2C2A">
              <w:rPr>
                <w:rFonts w:eastAsia="SimSun"/>
                <w:sz w:val="20"/>
              </w:rPr>
              <w:t>0,0013</w:t>
            </w:r>
          </w:p>
        </w:tc>
      </w:tr>
      <w:tr w:rsidR="00CD64B5" w:rsidRPr="007F2C2A" w14:paraId="23163C1C" w14:textId="77777777" w:rsidTr="00CD64B5">
        <w:trPr>
          <w:trHeight w:val="250"/>
          <w:jc w:val="center"/>
        </w:trPr>
        <w:tc>
          <w:tcPr>
            <w:tcW w:w="2477" w:type="pct"/>
            <w:tcBorders>
              <w:top w:val="single" w:sz="4" w:space="0" w:color="auto"/>
              <w:left w:val="single" w:sz="4" w:space="0" w:color="auto"/>
              <w:bottom w:val="single" w:sz="4" w:space="0" w:color="auto"/>
              <w:right w:val="single" w:sz="4" w:space="0" w:color="auto"/>
            </w:tcBorders>
            <w:hideMark/>
          </w:tcPr>
          <w:p w14:paraId="4D039850" w14:textId="77777777" w:rsidR="00CD64B5" w:rsidRPr="007F2C2A" w:rsidRDefault="00CD64B5" w:rsidP="00CD64B5">
            <w:pPr>
              <w:rPr>
                <w:rFonts w:eastAsiaTheme="minorEastAsia"/>
                <w:sz w:val="20"/>
              </w:rPr>
            </w:pPr>
            <w:r w:rsidRPr="007F2C2A">
              <w:rPr>
                <w:rFonts w:ascii="Sylfaen" w:eastAsiaTheme="minorEastAsia" w:hAnsi="Sylfaen" w:cs="Sylfaen"/>
                <w:sz w:val="20"/>
              </w:rPr>
              <w:t>ჯამური</w:t>
            </w:r>
            <w:r w:rsidRPr="007F2C2A">
              <w:rPr>
                <w:rFonts w:eastAsiaTheme="minorEastAsia"/>
                <w:sz w:val="20"/>
              </w:rPr>
              <w:t xml:space="preserve"> </w:t>
            </w:r>
            <w:r w:rsidRPr="007F2C2A">
              <w:rPr>
                <w:rFonts w:ascii="Sylfaen" w:eastAsiaTheme="minorEastAsia" w:hAnsi="Sylfaen" w:cs="Sylfaen"/>
                <w:sz w:val="20"/>
              </w:rPr>
              <w:t>ზემოქმედების</w:t>
            </w:r>
            <w:r w:rsidRPr="007F2C2A">
              <w:rPr>
                <w:rFonts w:eastAsiaTheme="minorEastAsia"/>
                <w:sz w:val="20"/>
              </w:rPr>
              <w:t xml:space="preserve"> </w:t>
            </w:r>
            <w:r w:rsidRPr="007F2C2A">
              <w:rPr>
                <w:rFonts w:ascii="Sylfaen" w:eastAsiaTheme="minorEastAsia" w:hAnsi="Sylfaen" w:cs="Sylfaen"/>
                <w:sz w:val="20"/>
              </w:rPr>
              <w:t>ჯგუფი</w:t>
            </w:r>
            <w:r w:rsidRPr="007F2C2A">
              <w:rPr>
                <w:rFonts w:eastAsiaTheme="minorEastAsia"/>
                <w:sz w:val="20"/>
              </w:rPr>
              <w:t xml:space="preserve"> 6046 (337+2908)</w:t>
            </w:r>
          </w:p>
        </w:tc>
        <w:tc>
          <w:tcPr>
            <w:tcW w:w="1399" w:type="pct"/>
            <w:tcBorders>
              <w:top w:val="single" w:sz="4" w:space="0" w:color="auto"/>
              <w:left w:val="single" w:sz="4" w:space="0" w:color="auto"/>
              <w:bottom w:val="single" w:sz="4" w:space="0" w:color="auto"/>
              <w:right w:val="single" w:sz="4" w:space="0" w:color="auto"/>
            </w:tcBorders>
            <w:hideMark/>
          </w:tcPr>
          <w:p w14:paraId="1DF7126D" w14:textId="77777777" w:rsidR="00CD64B5" w:rsidRPr="007F2C2A" w:rsidRDefault="00CD64B5" w:rsidP="00CD64B5">
            <w:pPr>
              <w:rPr>
                <w:rFonts w:eastAsia="SimSun"/>
                <w:sz w:val="20"/>
              </w:rPr>
            </w:pPr>
            <w:r w:rsidRPr="007F2C2A">
              <w:rPr>
                <w:rFonts w:eastAsiaTheme="minorEastAsia"/>
                <w:sz w:val="20"/>
              </w:rPr>
              <w:t>0,37</w:t>
            </w:r>
          </w:p>
        </w:tc>
        <w:tc>
          <w:tcPr>
            <w:tcW w:w="1124" w:type="pct"/>
            <w:tcBorders>
              <w:top w:val="single" w:sz="4" w:space="0" w:color="auto"/>
              <w:left w:val="single" w:sz="4" w:space="0" w:color="auto"/>
              <w:bottom w:val="single" w:sz="4" w:space="0" w:color="auto"/>
              <w:right w:val="single" w:sz="4" w:space="0" w:color="auto"/>
            </w:tcBorders>
            <w:vAlign w:val="center"/>
            <w:hideMark/>
          </w:tcPr>
          <w:p w14:paraId="2A8A9F83" w14:textId="77777777" w:rsidR="00CD64B5" w:rsidRPr="007F2C2A" w:rsidRDefault="00CD64B5" w:rsidP="00CD64B5">
            <w:pPr>
              <w:rPr>
                <w:rFonts w:eastAsiaTheme="minorEastAsia"/>
                <w:sz w:val="20"/>
              </w:rPr>
            </w:pPr>
            <w:r w:rsidRPr="007F2C2A">
              <w:rPr>
                <w:rFonts w:eastAsia="SimSun"/>
                <w:sz w:val="20"/>
              </w:rPr>
              <w:t>0,13</w:t>
            </w:r>
          </w:p>
        </w:tc>
      </w:tr>
    </w:tbl>
    <w:p w14:paraId="270CB7A5" w14:textId="77777777" w:rsidR="00CD64B5" w:rsidRPr="001352AB" w:rsidRDefault="00CD64B5" w:rsidP="00CD64B5">
      <w:pPr>
        <w:rPr>
          <w:rFonts w:eastAsiaTheme="minorEastAsia"/>
          <w:lang w:val="ka-GE"/>
        </w:rPr>
      </w:pPr>
    </w:p>
    <w:p w14:paraId="2DEDF4A2" w14:textId="77777777" w:rsidR="00CD64B5" w:rsidRPr="007F2C2A" w:rsidRDefault="00CD64B5" w:rsidP="00CD64B5">
      <w:pPr>
        <w:spacing w:before="120" w:after="120"/>
        <w:rPr>
          <w:rFonts w:eastAsia="SimSun"/>
          <w:lang w:val="ka-GE"/>
        </w:rPr>
      </w:pPr>
      <w:r w:rsidRPr="007F2C2A">
        <w:rPr>
          <w:rFonts w:ascii="Sylfaen" w:eastAsiaTheme="minorEastAsia" w:hAnsi="Sylfaen" w:cs="Sylfaen"/>
          <w:lang w:val="ka-GE"/>
        </w:rPr>
        <w:t>გაანგარიშების</w:t>
      </w:r>
      <w:r w:rsidRPr="007F2C2A">
        <w:rPr>
          <w:rFonts w:eastAsiaTheme="minorEastAsia"/>
          <w:lang w:val="ka-GE"/>
        </w:rPr>
        <w:t xml:space="preserve"> </w:t>
      </w:r>
      <w:r w:rsidRPr="007F2C2A">
        <w:rPr>
          <w:rFonts w:ascii="Sylfaen" w:eastAsiaTheme="minorEastAsia" w:hAnsi="Sylfaen" w:cs="Sylfaen"/>
          <w:lang w:val="ka-GE"/>
        </w:rPr>
        <w:t>შედეგების</w:t>
      </w:r>
      <w:r w:rsidRPr="007F2C2A">
        <w:rPr>
          <w:rFonts w:eastAsiaTheme="minorEastAsia"/>
          <w:lang w:val="ka-GE"/>
        </w:rPr>
        <w:t xml:space="preserve"> </w:t>
      </w:r>
      <w:r w:rsidRPr="007F2C2A">
        <w:rPr>
          <w:rFonts w:ascii="Sylfaen" w:eastAsiaTheme="minorEastAsia" w:hAnsi="Sylfaen" w:cs="Sylfaen"/>
          <w:lang w:val="ka-GE"/>
        </w:rPr>
        <w:t>ანალიზით</w:t>
      </w:r>
      <w:r w:rsidRPr="007F2C2A">
        <w:rPr>
          <w:rFonts w:eastAsiaTheme="minorEastAsia"/>
          <w:lang w:val="ka-GE"/>
        </w:rPr>
        <w:t xml:space="preserve"> </w:t>
      </w:r>
      <w:r w:rsidRPr="007F2C2A">
        <w:rPr>
          <w:rFonts w:ascii="Sylfaen" w:eastAsiaTheme="minorEastAsia" w:hAnsi="Sylfaen" w:cs="Sylfaen"/>
          <w:lang w:val="ka-GE"/>
        </w:rPr>
        <w:t>ირკვევა</w:t>
      </w:r>
      <w:r w:rsidRPr="007F2C2A">
        <w:rPr>
          <w:rFonts w:eastAsiaTheme="minorEastAsia"/>
          <w:lang w:val="ka-GE"/>
        </w:rPr>
        <w:t xml:space="preserve">, </w:t>
      </w:r>
      <w:r w:rsidRPr="007F2C2A">
        <w:rPr>
          <w:rFonts w:ascii="Sylfaen" w:eastAsiaTheme="minorEastAsia" w:hAnsi="Sylfaen" w:cs="Sylfaen"/>
          <w:lang w:val="ka-GE"/>
        </w:rPr>
        <w:t>რომ</w:t>
      </w:r>
      <w:r w:rsidRPr="007F2C2A">
        <w:rPr>
          <w:rFonts w:eastAsiaTheme="minorEastAsia"/>
          <w:lang w:val="ka-GE"/>
        </w:rPr>
        <w:t xml:space="preserve"> </w:t>
      </w:r>
      <w:r w:rsidRPr="007F2C2A">
        <w:rPr>
          <w:rFonts w:ascii="Sylfaen" w:eastAsiaTheme="minorEastAsia" w:hAnsi="Sylfaen" w:cs="Sylfaen"/>
          <w:lang w:val="ka-GE"/>
        </w:rPr>
        <w:t>მშენებლობის</w:t>
      </w:r>
      <w:r w:rsidRPr="007F2C2A">
        <w:rPr>
          <w:rFonts w:eastAsiaTheme="minorEastAsia"/>
          <w:lang w:val="ka-GE"/>
        </w:rPr>
        <w:t xml:space="preserve"> </w:t>
      </w:r>
      <w:r w:rsidRPr="007F2C2A">
        <w:rPr>
          <w:rFonts w:ascii="Sylfaen" w:eastAsiaTheme="minorEastAsia" w:hAnsi="Sylfaen" w:cs="Sylfaen"/>
          <w:lang w:val="ka-GE"/>
        </w:rPr>
        <w:t>პროცესში</w:t>
      </w:r>
      <w:r w:rsidRPr="007F2C2A">
        <w:rPr>
          <w:rFonts w:eastAsiaTheme="minorEastAsia"/>
          <w:lang w:val="ka-GE"/>
        </w:rPr>
        <w:t xml:space="preserve"> </w:t>
      </w:r>
      <w:r w:rsidRPr="007F2C2A">
        <w:rPr>
          <w:rFonts w:ascii="Sylfaen" w:eastAsiaTheme="minorEastAsia" w:hAnsi="Sylfaen" w:cs="Sylfaen"/>
          <w:lang w:val="ka-GE"/>
        </w:rPr>
        <w:t>მიმდებარე</w:t>
      </w:r>
      <w:r w:rsidRPr="007F2C2A">
        <w:rPr>
          <w:rFonts w:eastAsiaTheme="minorEastAsia"/>
          <w:lang w:val="ka-GE"/>
        </w:rPr>
        <w:t xml:space="preserve"> </w:t>
      </w:r>
      <w:r w:rsidRPr="007F2C2A">
        <w:rPr>
          <w:rFonts w:ascii="Sylfaen" w:eastAsiaTheme="minorEastAsia" w:hAnsi="Sylfaen" w:cs="Sylfaen"/>
          <w:lang w:val="ka-GE"/>
        </w:rPr>
        <w:t>ტერიტორიების</w:t>
      </w:r>
      <w:r w:rsidRPr="007F2C2A">
        <w:rPr>
          <w:rFonts w:eastAsiaTheme="minorEastAsia"/>
          <w:lang w:val="ka-GE"/>
        </w:rPr>
        <w:t xml:space="preserve"> </w:t>
      </w:r>
      <w:r w:rsidRPr="007F2C2A">
        <w:rPr>
          <w:rFonts w:ascii="Sylfaen" w:eastAsiaTheme="minorEastAsia" w:hAnsi="Sylfaen" w:cs="Sylfaen"/>
          <w:lang w:val="ka-GE"/>
        </w:rPr>
        <w:t>ატმოსფერული</w:t>
      </w:r>
      <w:r w:rsidRPr="007F2C2A">
        <w:rPr>
          <w:rFonts w:eastAsiaTheme="minorEastAsia"/>
          <w:lang w:val="ka-GE"/>
        </w:rPr>
        <w:t xml:space="preserve"> </w:t>
      </w:r>
      <w:r w:rsidRPr="007F2C2A">
        <w:rPr>
          <w:rFonts w:ascii="Sylfaen" w:eastAsiaTheme="minorEastAsia" w:hAnsi="Sylfaen" w:cs="Sylfaen"/>
          <w:lang w:val="ka-GE"/>
        </w:rPr>
        <w:t>ჰაერის</w:t>
      </w:r>
      <w:r w:rsidRPr="007F2C2A">
        <w:rPr>
          <w:rFonts w:eastAsiaTheme="minorEastAsia"/>
          <w:lang w:val="ka-GE"/>
        </w:rPr>
        <w:t xml:space="preserve"> </w:t>
      </w:r>
      <w:r w:rsidRPr="007F2C2A">
        <w:rPr>
          <w:rFonts w:ascii="Sylfaen" w:eastAsiaTheme="minorEastAsia" w:hAnsi="Sylfaen" w:cs="Sylfaen"/>
          <w:lang w:val="ka-GE"/>
        </w:rPr>
        <w:t>ხარისხი</w:t>
      </w:r>
      <w:r w:rsidRPr="007F2C2A">
        <w:rPr>
          <w:rFonts w:eastAsiaTheme="minorEastAsia"/>
          <w:lang w:val="ka-GE"/>
        </w:rPr>
        <w:t xml:space="preserve"> </w:t>
      </w:r>
      <w:r w:rsidRPr="007F2C2A">
        <w:rPr>
          <w:rFonts w:ascii="Sylfaen" w:eastAsiaTheme="minorEastAsia" w:hAnsi="Sylfaen" w:cs="Sylfaen"/>
          <w:lang w:val="ka-GE"/>
        </w:rPr>
        <w:t>როგორც</w:t>
      </w:r>
      <w:r w:rsidRPr="007F2C2A">
        <w:rPr>
          <w:rFonts w:eastAsiaTheme="minorEastAsia"/>
          <w:lang w:val="ka-GE"/>
        </w:rPr>
        <w:t xml:space="preserve"> 500 </w:t>
      </w:r>
      <w:r w:rsidRPr="007F2C2A">
        <w:rPr>
          <w:rFonts w:ascii="Sylfaen" w:eastAsiaTheme="minorEastAsia" w:hAnsi="Sylfaen" w:cs="Sylfaen"/>
          <w:lang w:val="ka-GE"/>
        </w:rPr>
        <w:t>მ</w:t>
      </w:r>
      <w:r w:rsidRPr="007F2C2A">
        <w:rPr>
          <w:rFonts w:eastAsiaTheme="minorEastAsia"/>
          <w:lang w:val="ka-GE"/>
        </w:rPr>
        <w:t>-</w:t>
      </w:r>
      <w:r w:rsidRPr="007F2C2A">
        <w:rPr>
          <w:rFonts w:ascii="Sylfaen" w:eastAsiaTheme="minorEastAsia" w:hAnsi="Sylfaen" w:cs="Sylfaen"/>
          <w:lang w:val="ka-GE"/>
        </w:rPr>
        <w:t>ნი</w:t>
      </w:r>
      <w:r w:rsidRPr="007F2C2A">
        <w:rPr>
          <w:rFonts w:eastAsiaTheme="minorEastAsia"/>
          <w:lang w:val="ka-GE"/>
        </w:rPr>
        <w:t xml:space="preserve"> </w:t>
      </w:r>
      <w:r w:rsidRPr="007F2C2A">
        <w:rPr>
          <w:rFonts w:ascii="Sylfaen" w:eastAsiaTheme="minorEastAsia" w:hAnsi="Sylfaen" w:cs="Sylfaen"/>
          <w:lang w:val="ka-GE"/>
        </w:rPr>
        <w:t>ნორმირებული</w:t>
      </w:r>
      <w:r w:rsidRPr="007F2C2A">
        <w:rPr>
          <w:rFonts w:eastAsiaTheme="minorEastAsia"/>
          <w:lang w:val="ka-GE"/>
        </w:rPr>
        <w:t xml:space="preserve"> </w:t>
      </w:r>
      <w:r w:rsidRPr="007F2C2A">
        <w:rPr>
          <w:rFonts w:ascii="Sylfaen" w:eastAsiaTheme="minorEastAsia" w:hAnsi="Sylfaen" w:cs="Sylfaen"/>
          <w:lang w:val="ka-GE"/>
        </w:rPr>
        <w:t>ზონის</w:t>
      </w:r>
      <w:r w:rsidRPr="007F2C2A">
        <w:rPr>
          <w:rFonts w:eastAsiaTheme="minorEastAsia"/>
          <w:lang w:val="ka-GE"/>
        </w:rPr>
        <w:t xml:space="preserve"> </w:t>
      </w:r>
      <w:r w:rsidRPr="007F2C2A">
        <w:rPr>
          <w:rFonts w:ascii="Sylfaen" w:eastAsiaTheme="minorEastAsia" w:hAnsi="Sylfaen" w:cs="Sylfaen"/>
          <w:lang w:val="ka-GE"/>
        </w:rPr>
        <w:t>მიმართ</w:t>
      </w:r>
      <w:r w:rsidRPr="007F2C2A">
        <w:rPr>
          <w:rFonts w:eastAsiaTheme="minorEastAsia"/>
          <w:lang w:val="ka-GE"/>
        </w:rPr>
        <w:t xml:space="preserve">, </w:t>
      </w:r>
      <w:r w:rsidRPr="007F2C2A">
        <w:rPr>
          <w:rFonts w:ascii="Sylfaen" w:eastAsiaTheme="minorEastAsia" w:hAnsi="Sylfaen" w:cs="Sylfaen"/>
          <w:lang w:val="ka-GE"/>
        </w:rPr>
        <w:t>აგრეთვე</w:t>
      </w:r>
      <w:r w:rsidRPr="007F2C2A">
        <w:rPr>
          <w:rFonts w:eastAsiaTheme="minorEastAsia"/>
          <w:lang w:val="ka-GE"/>
        </w:rPr>
        <w:t xml:space="preserve"> </w:t>
      </w:r>
      <w:r w:rsidRPr="007F2C2A">
        <w:rPr>
          <w:rFonts w:ascii="Sylfaen" w:eastAsiaTheme="minorEastAsia" w:hAnsi="Sylfaen" w:cs="Sylfaen"/>
          <w:lang w:val="ka-GE"/>
        </w:rPr>
        <w:t>უახლოესი</w:t>
      </w:r>
      <w:r w:rsidRPr="007F2C2A">
        <w:rPr>
          <w:rFonts w:eastAsiaTheme="minorEastAsia"/>
          <w:lang w:val="ka-GE"/>
        </w:rPr>
        <w:t xml:space="preserve"> </w:t>
      </w:r>
      <w:r w:rsidRPr="007F2C2A">
        <w:rPr>
          <w:rFonts w:ascii="Sylfaen" w:eastAsiaTheme="minorEastAsia" w:hAnsi="Sylfaen" w:cs="Sylfaen"/>
          <w:lang w:val="ka-GE"/>
        </w:rPr>
        <w:t>დასახლებული</w:t>
      </w:r>
      <w:r w:rsidRPr="007F2C2A">
        <w:rPr>
          <w:rFonts w:eastAsiaTheme="minorEastAsia"/>
          <w:lang w:val="ka-GE"/>
        </w:rPr>
        <w:t xml:space="preserve"> </w:t>
      </w:r>
      <w:r w:rsidRPr="007F2C2A">
        <w:rPr>
          <w:rFonts w:ascii="Sylfaen" w:eastAsiaTheme="minorEastAsia" w:hAnsi="Sylfaen" w:cs="Sylfaen"/>
          <w:lang w:val="ka-GE"/>
        </w:rPr>
        <w:t>ზონების</w:t>
      </w:r>
      <w:r w:rsidRPr="007F2C2A">
        <w:rPr>
          <w:rFonts w:eastAsiaTheme="minorEastAsia"/>
          <w:lang w:val="ka-GE"/>
        </w:rPr>
        <w:t xml:space="preserve"> </w:t>
      </w:r>
      <w:r w:rsidRPr="007F2C2A">
        <w:rPr>
          <w:rFonts w:ascii="Sylfaen" w:eastAsiaTheme="minorEastAsia" w:hAnsi="Sylfaen" w:cs="Sylfaen"/>
          <w:lang w:val="ka-GE"/>
        </w:rPr>
        <w:t>მიმართ</w:t>
      </w:r>
      <w:r w:rsidRPr="007F2C2A">
        <w:rPr>
          <w:rFonts w:eastAsiaTheme="minorEastAsia"/>
          <w:lang w:val="ka-GE"/>
        </w:rPr>
        <w:t xml:space="preserve"> </w:t>
      </w:r>
      <w:r w:rsidRPr="007F2C2A">
        <w:rPr>
          <w:rFonts w:ascii="Sylfaen" w:eastAsiaTheme="minorEastAsia" w:hAnsi="Sylfaen" w:cs="Sylfaen"/>
          <w:lang w:val="ka-GE"/>
        </w:rPr>
        <w:t>არ</w:t>
      </w:r>
      <w:r w:rsidRPr="007F2C2A">
        <w:rPr>
          <w:rFonts w:eastAsiaTheme="minorEastAsia"/>
          <w:lang w:val="ka-GE"/>
        </w:rPr>
        <w:t xml:space="preserve"> </w:t>
      </w:r>
      <w:r w:rsidRPr="007F2C2A">
        <w:rPr>
          <w:rFonts w:ascii="Sylfaen" w:eastAsiaTheme="minorEastAsia" w:hAnsi="Sylfaen" w:cs="Sylfaen"/>
          <w:lang w:val="ka-GE"/>
        </w:rPr>
        <w:t>გადააჭარბებს</w:t>
      </w:r>
      <w:r w:rsidRPr="007F2C2A">
        <w:rPr>
          <w:rFonts w:eastAsiaTheme="minorEastAsia"/>
          <w:lang w:val="ka-GE"/>
        </w:rPr>
        <w:t xml:space="preserve"> </w:t>
      </w:r>
      <w:r w:rsidRPr="007F2C2A">
        <w:rPr>
          <w:rFonts w:ascii="Sylfaen" w:eastAsiaTheme="minorEastAsia" w:hAnsi="Sylfaen" w:cs="Sylfaen"/>
          <w:lang w:val="ka-GE"/>
        </w:rPr>
        <w:t>კანონმდებლობით</w:t>
      </w:r>
      <w:r w:rsidRPr="007F2C2A">
        <w:rPr>
          <w:rFonts w:eastAsiaTheme="minorEastAsia"/>
          <w:lang w:val="ka-GE"/>
        </w:rPr>
        <w:t xml:space="preserve"> </w:t>
      </w:r>
      <w:r w:rsidRPr="007F2C2A">
        <w:rPr>
          <w:rFonts w:ascii="Sylfaen" w:eastAsiaTheme="minorEastAsia" w:hAnsi="Sylfaen" w:cs="Sylfaen"/>
          <w:lang w:val="ka-GE"/>
        </w:rPr>
        <w:t>გათვალისწინებულ</w:t>
      </w:r>
      <w:r w:rsidRPr="007F2C2A">
        <w:rPr>
          <w:rFonts w:eastAsiaTheme="minorEastAsia"/>
          <w:lang w:val="ka-GE"/>
        </w:rPr>
        <w:t xml:space="preserve"> </w:t>
      </w:r>
      <w:r w:rsidRPr="007F2C2A">
        <w:rPr>
          <w:rFonts w:ascii="Sylfaen" w:eastAsiaTheme="minorEastAsia" w:hAnsi="Sylfaen" w:cs="Sylfaen"/>
          <w:lang w:val="ka-GE"/>
        </w:rPr>
        <w:t>ნორმებს</w:t>
      </w:r>
      <w:r w:rsidRPr="007F2C2A">
        <w:rPr>
          <w:rFonts w:eastAsiaTheme="minorEastAsia"/>
          <w:lang w:val="ka-GE"/>
        </w:rPr>
        <w:t xml:space="preserve">. </w:t>
      </w:r>
    </w:p>
    <w:p w14:paraId="1CCEAD77" w14:textId="77777777" w:rsidR="00CD64B5" w:rsidRPr="007F2C2A" w:rsidRDefault="00CD64B5" w:rsidP="00CD64B5">
      <w:pPr>
        <w:spacing w:before="120" w:after="120"/>
        <w:rPr>
          <w:rFonts w:eastAsiaTheme="minorEastAsia"/>
          <w:lang w:val="ka-GE" w:eastAsia="en-GB"/>
        </w:rPr>
      </w:pPr>
      <w:bookmarkStart w:id="279" w:name="_Toc436571432"/>
      <w:bookmarkStart w:id="280" w:name="_Toc436593970"/>
      <w:r w:rsidRPr="007F2C2A">
        <w:rPr>
          <w:rFonts w:ascii="Sylfaen" w:hAnsi="Sylfaen" w:cs="Sylfaen"/>
          <w:lang w:val="ka-GE"/>
        </w:rPr>
        <w:t>შემარბილებელი</w:t>
      </w:r>
      <w:r w:rsidRPr="007F2C2A">
        <w:rPr>
          <w:lang w:val="ka-GE"/>
        </w:rPr>
        <w:t xml:space="preserve"> </w:t>
      </w:r>
      <w:r w:rsidRPr="007F2C2A">
        <w:rPr>
          <w:rFonts w:ascii="Sylfaen" w:hAnsi="Sylfaen" w:cs="Sylfaen"/>
          <w:lang w:val="ka-GE"/>
        </w:rPr>
        <w:t>ღონისძიებები</w:t>
      </w:r>
      <w:r w:rsidRPr="007F2C2A">
        <w:rPr>
          <w:lang w:val="ka-GE"/>
        </w:rPr>
        <w:t xml:space="preserve"> - </w:t>
      </w:r>
      <w:r w:rsidRPr="007F2C2A">
        <w:rPr>
          <w:rFonts w:ascii="Sylfaen" w:hAnsi="Sylfaen" w:cs="Sylfaen"/>
          <w:lang w:val="ka-GE"/>
        </w:rPr>
        <w:t>მშენებლობის</w:t>
      </w:r>
      <w:r w:rsidRPr="007F2C2A">
        <w:rPr>
          <w:lang w:val="ka-GE"/>
        </w:rPr>
        <w:t xml:space="preserve"> </w:t>
      </w:r>
      <w:r w:rsidRPr="007F2C2A">
        <w:rPr>
          <w:rFonts w:ascii="Sylfaen" w:hAnsi="Sylfaen" w:cs="Sylfaen"/>
          <w:lang w:val="ka-GE"/>
        </w:rPr>
        <w:t>ფაზა</w:t>
      </w:r>
      <w:bookmarkEnd w:id="279"/>
      <w:bookmarkEnd w:id="280"/>
    </w:p>
    <w:p w14:paraId="3FE17410" w14:textId="77777777" w:rsidR="00CD64B5" w:rsidRPr="007F2C2A" w:rsidRDefault="00CD64B5" w:rsidP="00CD64B5">
      <w:pPr>
        <w:spacing w:before="120" w:after="120"/>
        <w:rPr>
          <w:lang w:val="ka-GE" w:eastAsia="da-DK"/>
        </w:rPr>
      </w:pPr>
      <w:r w:rsidRPr="007F2C2A">
        <w:rPr>
          <w:rFonts w:ascii="Sylfaen" w:hAnsi="Sylfaen" w:cs="Sylfaen"/>
          <w:lang w:val="ka-GE"/>
        </w:rPr>
        <w:t>მშენებლობის</w:t>
      </w:r>
      <w:r w:rsidRPr="007F2C2A">
        <w:rPr>
          <w:lang w:val="ka-GE"/>
        </w:rPr>
        <w:t xml:space="preserve"> </w:t>
      </w:r>
      <w:r w:rsidRPr="007F2C2A">
        <w:rPr>
          <w:rFonts w:ascii="Sylfaen" w:hAnsi="Sylfaen" w:cs="Sylfaen"/>
          <w:lang w:val="ka-GE"/>
        </w:rPr>
        <w:t>პროცესში</w:t>
      </w:r>
      <w:r w:rsidRPr="007F2C2A">
        <w:rPr>
          <w:lang w:val="ka-GE"/>
        </w:rPr>
        <w:t xml:space="preserve"> </w:t>
      </w:r>
      <w:r w:rsidRPr="007F2C2A">
        <w:rPr>
          <w:rFonts w:ascii="Sylfaen" w:hAnsi="Sylfaen" w:cs="Sylfaen"/>
          <w:lang w:val="ka-GE"/>
        </w:rPr>
        <w:t>ზემოქმედების</w:t>
      </w:r>
      <w:r w:rsidRPr="007F2C2A">
        <w:rPr>
          <w:lang w:val="ka-GE"/>
        </w:rPr>
        <w:t xml:space="preserve"> </w:t>
      </w:r>
      <w:r w:rsidRPr="007F2C2A">
        <w:rPr>
          <w:rFonts w:ascii="Sylfaen" w:hAnsi="Sylfaen" w:cs="Sylfaen"/>
          <w:lang w:val="ka-GE"/>
        </w:rPr>
        <w:t>შემცირების</w:t>
      </w:r>
      <w:r w:rsidRPr="007F2C2A">
        <w:rPr>
          <w:lang w:val="ka-GE"/>
        </w:rPr>
        <w:t xml:space="preserve"> </w:t>
      </w:r>
      <w:r w:rsidRPr="007F2C2A">
        <w:rPr>
          <w:rFonts w:ascii="Sylfaen" w:hAnsi="Sylfaen" w:cs="Sylfaen"/>
          <w:lang w:val="ka-GE"/>
        </w:rPr>
        <w:t>მიზნით</w:t>
      </w:r>
      <w:r w:rsidRPr="007F2C2A">
        <w:rPr>
          <w:lang w:val="ka-GE"/>
        </w:rPr>
        <w:t xml:space="preserve"> </w:t>
      </w:r>
      <w:r w:rsidRPr="007F2C2A">
        <w:rPr>
          <w:rFonts w:ascii="Sylfaen" w:hAnsi="Sylfaen" w:cs="Sylfaen"/>
          <w:lang w:val="ka-GE"/>
        </w:rPr>
        <w:t>გატარდება</w:t>
      </w:r>
      <w:r w:rsidRPr="007F2C2A">
        <w:rPr>
          <w:lang w:val="ka-GE"/>
        </w:rPr>
        <w:t xml:space="preserve"> </w:t>
      </w:r>
      <w:r w:rsidRPr="007F2C2A">
        <w:rPr>
          <w:rFonts w:ascii="Sylfaen" w:hAnsi="Sylfaen" w:cs="Sylfaen"/>
          <w:lang w:val="ka-GE"/>
        </w:rPr>
        <w:t>შემდეგი</w:t>
      </w:r>
      <w:r w:rsidRPr="007F2C2A">
        <w:rPr>
          <w:lang w:val="ka-GE"/>
        </w:rPr>
        <w:t xml:space="preserve"> </w:t>
      </w:r>
      <w:r w:rsidRPr="007F2C2A">
        <w:rPr>
          <w:rFonts w:ascii="Sylfaen" w:hAnsi="Sylfaen" w:cs="Sylfaen"/>
          <w:lang w:val="ka-GE"/>
        </w:rPr>
        <w:t>შამარბილებელი</w:t>
      </w:r>
      <w:r w:rsidRPr="007F2C2A">
        <w:rPr>
          <w:lang w:val="ka-GE"/>
        </w:rPr>
        <w:t xml:space="preserve"> </w:t>
      </w:r>
      <w:r w:rsidRPr="007F2C2A">
        <w:rPr>
          <w:rFonts w:ascii="Sylfaen" w:hAnsi="Sylfaen" w:cs="Sylfaen"/>
          <w:lang w:val="ka-GE"/>
        </w:rPr>
        <w:t>ღონისძიებები</w:t>
      </w:r>
      <w:r w:rsidRPr="007F2C2A">
        <w:rPr>
          <w:lang w:val="ka-GE"/>
        </w:rPr>
        <w:t>:</w:t>
      </w:r>
    </w:p>
    <w:p w14:paraId="472E6EBE" w14:textId="77777777" w:rsidR="00CD64B5" w:rsidRPr="007F2C2A" w:rsidRDefault="00CD64B5" w:rsidP="00CD64B5">
      <w:pPr>
        <w:spacing w:before="120" w:after="120"/>
        <w:rPr>
          <w:lang w:val="ka-GE"/>
        </w:rPr>
      </w:pPr>
      <w:r w:rsidRPr="007F2C2A">
        <w:rPr>
          <w:rFonts w:ascii="Sylfaen" w:hAnsi="Sylfaen" w:cs="Sylfaen"/>
          <w:lang w:val="ka-GE"/>
        </w:rPr>
        <w:t>სამუშაო</w:t>
      </w:r>
      <w:r w:rsidRPr="007F2C2A">
        <w:rPr>
          <w:lang w:val="ka-GE"/>
        </w:rPr>
        <w:t xml:space="preserve"> </w:t>
      </w:r>
      <w:r w:rsidRPr="007F2C2A">
        <w:rPr>
          <w:rFonts w:ascii="Sylfaen" w:hAnsi="Sylfaen" w:cs="Sylfaen"/>
          <w:lang w:val="ka-GE"/>
        </w:rPr>
        <w:t>დღეებში</w:t>
      </w:r>
      <w:r w:rsidRPr="007F2C2A">
        <w:rPr>
          <w:lang w:val="ka-GE"/>
        </w:rPr>
        <w:t xml:space="preserve"> </w:t>
      </w:r>
      <w:r w:rsidRPr="007F2C2A">
        <w:rPr>
          <w:rFonts w:ascii="Sylfaen" w:hAnsi="Sylfaen" w:cs="Sylfaen"/>
          <w:lang w:val="ka-GE"/>
        </w:rPr>
        <w:t>მშრალ</w:t>
      </w:r>
      <w:r w:rsidRPr="007F2C2A">
        <w:rPr>
          <w:lang w:val="ka-GE"/>
        </w:rPr>
        <w:t xml:space="preserve"> </w:t>
      </w:r>
      <w:r w:rsidRPr="007F2C2A">
        <w:rPr>
          <w:rFonts w:ascii="Sylfaen" w:hAnsi="Sylfaen" w:cs="Sylfaen"/>
          <w:lang w:val="ka-GE"/>
        </w:rPr>
        <w:t>და</w:t>
      </w:r>
      <w:r w:rsidRPr="007F2C2A">
        <w:rPr>
          <w:lang w:val="ka-GE"/>
        </w:rPr>
        <w:t xml:space="preserve"> </w:t>
      </w:r>
      <w:r w:rsidRPr="007F2C2A">
        <w:rPr>
          <w:rFonts w:ascii="Sylfaen" w:hAnsi="Sylfaen" w:cs="Sylfaen"/>
          <w:lang w:val="ka-GE"/>
        </w:rPr>
        <w:t>ქარიან</w:t>
      </w:r>
      <w:r w:rsidRPr="007F2C2A">
        <w:rPr>
          <w:lang w:val="ka-GE"/>
        </w:rPr>
        <w:t xml:space="preserve"> </w:t>
      </w:r>
      <w:r w:rsidRPr="007F2C2A">
        <w:rPr>
          <w:rFonts w:ascii="Sylfaen" w:hAnsi="Sylfaen" w:cs="Sylfaen"/>
          <w:lang w:val="ka-GE"/>
        </w:rPr>
        <w:t>ამინდში</w:t>
      </w:r>
      <w:r w:rsidRPr="007F2C2A">
        <w:rPr>
          <w:lang w:val="ka-GE"/>
        </w:rPr>
        <w:t xml:space="preserve"> </w:t>
      </w:r>
      <w:r w:rsidRPr="007F2C2A">
        <w:rPr>
          <w:rFonts w:ascii="Sylfaen" w:hAnsi="Sylfaen" w:cs="Sylfaen"/>
          <w:lang w:val="ka-GE"/>
        </w:rPr>
        <w:t>ოთხ</w:t>
      </w:r>
      <w:r w:rsidRPr="007F2C2A">
        <w:rPr>
          <w:lang w:val="ka-GE"/>
        </w:rPr>
        <w:t xml:space="preserve"> </w:t>
      </w:r>
      <w:r w:rsidRPr="007F2C2A">
        <w:rPr>
          <w:rFonts w:ascii="Sylfaen" w:hAnsi="Sylfaen" w:cs="Sylfaen"/>
          <w:lang w:val="ka-GE"/>
        </w:rPr>
        <w:t>საათში</w:t>
      </w:r>
      <w:r w:rsidRPr="007F2C2A">
        <w:rPr>
          <w:lang w:val="ka-GE"/>
        </w:rPr>
        <w:t xml:space="preserve"> </w:t>
      </w:r>
      <w:r w:rsidRPr="007F2C2A">
        <w:rPr>
          <w:rFonts w:ascii="Sylfaen" w:hAnsi="Sylfaen" w:cs="Sylfaen"/>
          <w:lang w:val="ka-GE"/>
        </w:rPr>
        <w:t>ერთხელ</w:t>
      </w:r>
      <w:r w:rsidRPr="007F2C2A">
        <w:rPr>
          <w:lang w:val="ka-GE"/>
        </w:rPr>
        <w:t xml:space="preserve"> </w:t>
      </w:r>
      <w:r w:rsidRPr="007F2C2A">
        <w:rPr>
          <w:rFonts w:ascii="Sylfaen" w:hAnsi="Sylfaen" w:cs="Sylfaen"/>
          <w:lang w:val="ka-GE"/>
        </w:rPr>
        <w:t>არაასფალტირებული</w:t>
      </w:r>
      <w:r w:rsidRPr="007F2C2A">
        <w:rPr>
          <w:lang w:val="ka-GE"/>
        </w:rPr>
        <w:t xml:space="preserve"> </w:t>
      </w:r>
      <w:r w:rsidRPr="007F2C2A">
        <w:rPr>
          <w:rFonts w:ascii="Sylfaen" w:hAnsi="Sylfaen" w:cs="Sylfaen"/>
          <w:lang w:val="ka-GE"/>
        </w:rPr>
        <w:t>გზის</w:t>
      </w:r>
      <w:r w:rsidRPr="007F2C2A">
        <w:rPr>
          <w:lang w:val="ka-GE"/>
        </w:rPr>
        <w:t xml:space="preserve"> </w:t>
      </w:r>
      <w:r w:rsidRPr="007F2C2A">
        <w:rPr>
          <w:rFonts w:ascii="Sylfaen" w:hAnsi="Sylfaen" w:cs="Sylfaen"/>
          <w:lang w:val="ka-GE"/>
        </w:rPr>
        <w:t>ან</w:t>
      </w:r>
      <w:r w:rsidRPr="007F2C2A">
        <w:rPr>
          <w:lang w:val="ka-GE"/>
        </w:rPr>
        <w:t xml:space="preserve"> </w:t>
      </w:r>
      <w:r w:rsidRPr="007F2C2A">
        <w:rPr>
          <w:rFonts w:ascii="Sylfaen" w:hAnsi="Sylfaen" w:cs="Sylfaen"/>
          <w:lang w:val="ka-GE"/>
        </w:rPr>
        <w:t>გაშიშვლებული</w:t>
      </w:r>
      <w:r w:rsidRPr="007F2C2A">
        <w:rPr>
          <w:lang w:val="ka-GE"/>
        </w:rPr>
        <w:t xml:space="preserve"> </w:t>
      </w:r>
      <w:r w:rsidRPr="007F2C2A">
        <w:rPr>
          <w:rFonts w:ascii="Sylfaen" w:hAnsi="Sylfaen" w:cs="Sylfaen"/>
          <w:lang w:val="ka-GE"/>
        </w:rPr>
        <w:t>გრუნტის</w:t>
      </w:r>
      <w:r w:rsidRPr="007F2C2A">
        <w:rPr>
          <w:lang w:val="ka-GE"/>
        </w:rPr>
        <w:t xml:space="preserve"> </w:t>
      </w:r>
      <w:r w:rsidRPr="007F2C2A">
        <w:rPr>
          <w:rFonts w:ascii="Sylfaen" w:hAnsi="Sylfaen" w:cs="Sylfaen"/>
          <w:lang w:val="ka-GE"/>
        </w:rPr>
        <w:t>საფარიანი</w:t>
      </w:r>
      <w:r w:rsidRPr="007F2C2A">
        <w:rPr>
          <w:lang w:val="ka-GE"/>
        </w:rPr>
        <w:t xml:space="preserve"> </w:t>
      </w:r>
      <w:r w:rsidRPr="007F2C2A">
        <w:rPr>
          <w:rFonts w:ascii="Sylfaen" w:hAnsi="Sylfaen" w:cs="Sylfaen"/>
          <w:lang w:val="ka-GE"/>
        </w:rPr>
        <w:t>ტერიტორიების</w:t>
      </w:r>
      <w:r w:rsidRPr="007F2C2A">
        <w:rPr>
          <w:lang w:val="ka-GE"/>
        </w:rPr>
        <w:t xml:space="preserve"> </w:t>
      </w:r>
      <w:r w:rsidRPr="007F2C2A">
        <w:rPr>
          <w:rFonts w:ascii="Sylfaen" w:hAnsi="Sylfaen" w:cs="Sylfaen"/>
          <w:lang w:val="ka-GE"/>
        </w:rPr>
        <w:t>მორწყვა</w:t>
      </w:r>
      <w:r w:rsidRPr="007F2C2A">
        <w:rPr>
          <w:lang w:val="ka-GE"/>
        </w:rPr>
        <w:t>;</w:t>
      </w:r>
    </w:p>
    <w:p w14:paraId="5B5B3C33" w14:textId="77777777" w:rsidR="00CD64B5" w:rsidRPr="007F2C2A" w:rsidRDefault="00CD64B5" w:rsidP="00CD64B5">
      <w:pPr>
        <w:spacing w:before="120" w:after="120"/>
        <w:rPr>
          <w:lang w:val="ka-GE"/>
        </w:rPr>
      </w:pPr>
      <w:r w:rsidRPr="007F2C2A">
        <w:rPr>
          <w:rFonts w:ascii="Sylfaen" w:hAnsi="Sylfaen" w:cs="Sylfaen"/>
          <w:lang w:val="ka-GE"/>
        </w:rPr>
        <w:t>ჩართული</w:t>
      </w:r>
      <w:r w:rsidRPr="007F2C2A">
        <w:rPr>
          <w:lang w:val="ka-GE"/>
        </w:rPr>
        <w:t xml:space="preserve"> </w:t>
      </w:r>
      <w:r w:rsidRPr="007F2C2A">
        <w:rPr>
          <w:rFonts w:ascii="Sylfaen" w:hAnsi="Sylfaen" w:cs="Sylfaen"/>
          <w:lang w:val="ka-GE"/>
        </w:rPr>
        <w:t>ძრავით</w:t>
      </w:r>
      <w:r w:rsidRPr="007F2C2A">
        <w:rPr>
          <w:lang w:val="ka-GE"/>
        </w:rPr>
        <w:t xml:space="preserve"> </w:t>
      </w:r>
      <w:r w:rsidRPr="007F2C2A">
        <w:rPr>
          <w:rFonts w:ascii="Sylfaen" w:hAnsi="Sylfaen" w:cs="Sylfaen"/>
          <w:lang w:val="ka-GE"/>
        </w:rPr>
        <w:t>მანქანის</w:t>
      </w:r>
      <w:r w:rsidRPr="007F2C2A">
        <w:rPr>
          <w:lang w:val="ka-GE"/>
        </w:rPr>
        <w:t xml:space="preserve"> </w:t>
      </w:r>
      <w:r w:rsidRPr="007F2C2A">
        <w:rPr>
          <w:rFonts w:ascii="Sylfaen" w:hAnsi="Sylfaen" w:cs="Sylfaen"/>
          <w:lang w:val="ka-GE"/>
        </w:rPr>
        <w:t>უქმად</w:t>
      </w:r>
      <w:r w:rsidRPr="007F2C2A">
        <w:rPr>
          <w:lang w:val="ka-GE"/>
        </w:rPr>
        <w:t xml:space="preserve"> </w:t>
      </w:r>
      <w:r w:rsidRPr="007F2C2A">
        <w:rPr>
          <w:rFonts w:ascii="Sylfaen" w:hAnsi="Sylfaen" w:cs="Sylfaen"/>
          <w:lang w:val="ka-GE"/>
        </w:rPr>
        <w:t>გაჩერების</w:t>
      </w:r>
      <w:r w:rsidRPr="007F2C2A">
        <w:rPr>
          <w:lang w:val="ka-GE"/>
        </w:rPr>
        <w:t xml:space="preserve"> </w:t>
      </w:r>
      <w:r w:rsidRPr="007F2C2A">
        <w:rPr>
          <w:rFonts w:ascii="Sylfaen" w:hAnsi="Sylfaen" w:cs="Sylfaen"/>
          <w:lang w:val="ka-GE"/>
        </w:rPr>
        <w:t>აკრძალვა</w:t>
      </w:r>
      <w:r w:rsidRPr="007F2C2A">
        <w:rPr>
          <w:lang w:val="ka-GE"/>
        </w:rPr>
        <w:t xml:space="preserve">; </w:t>
      </w:r>
    </w:p>
    <w:p w14:paraId="56214DD0" w14:textId="77777777" w:rsidR="00CD64B5" w:rsidRPr="007F2C2A" w:rsidRDefault="00CD64B5" w:rsidP="00CD64B5">
      <w:pPr>
        <w:spacing w:before="120" w:after="120"/>
        <w:rPr>
          <w:lang w:val="ka-GE"/>
        </w:rPr>
      </w:pPr>
      <w:r w:rsidRPr="007F2C2A">
        <w:rPr>
          <w:rFonts w:ascii="Sylfaen" w:hAnsi="Sylfaen" w:cs="Sylfaen"/>
          <w:lang w:val="ka-GE"/>
        </w:rPr>
        <w:t>ტერიტორიის</w:t>
      </w:r>
      <w:r w:rsidRPr="007F2C2A">
        <w:rPr>
          <w:lang w:val="ka-GE"/>
        </w:rPr>
        <w:t xml:space="preserve"> </w:t>
      </w:r>
      <w:r w:rsidRPr="007F2C2A">
        <w:rPr>
          <w:rFonts w:ascii="Sylfaen" w:hAnsi="Sylfaen" w:cs="Sylfaen"/>
          <w:lang w:val="ka-GE"/>
        </w:rPr>
        <w:t>გარეთ</w:t>
      </w:r>
      <w:r w:rsidRPr="007F2C2A">
        <w:rPr>
          <w:lang w:val="ka-GE"/>
        </w:rPr>
        <w:t xml:space="preserve"> </w:t>
      </w:r>
      <w:r w:rsidRPr="007F2C2A">
        <w:rPr>
          <w:rFonts w:ascii="Sylfaen" w:hAnsi="Sylfaen" w:cs="Sylfaen"/>
          <w:lang w:val="ka-GE"/>
        </w:rPr>
        <w:t>მოძრაობისას</w:t>
      </w:r>
      <w:r w:rsidRPr="007F2C2A">
        <w:rPr>
          <w:lang w:val="ka-GE"/>
        </w:rPr>
        <w:t xml:space="preserve">, </w:t>
      </w:r>
      <w:r w:rsidRPr="007F2C2A">
        <w:rPr>
          <w:rFonts w:ascii="Sylfaen" w:hAnsi="Sylfaen" w:cs="Sylfaen"/>
          <w:lang w:val="ka-GE"/>
        </w:rPr>
        <w:t>განსაკუთრებით</w:t>
      </w:r>
      <w:r w:rsidRPr="007F2C2A">
        <w:rPr>
          <w:lang w:val="ka-GE"/>
        </w:rPr>
        <w:t xml:space="preserve"> </w:t>
      </w:r>
      <w:r w:rsidRPr="007F2C2A">
        <w:rPr>
          <w:rFonts w:ascii="Sylfaen" w:hAnsi="Sylfaen" w:cs="Sylfaen"/>
          <w:lang w:val="ka-GE"/>
        </w:rPr>
        <w:t>დასახლებული</w:t>
      </w:r>
      <w:r w:rsidRPr="007F2C2A">
        <w:rPr>
          <w:lang w:val="ka-GE"/>
        </w:rPr>
        <w:t xml:space="preserve"> </w:t>
      </w:r>
      <w:r w:rsidRPr="007F2C2A">
        <w:rPr>
          <w:rFonts w:ascii="Sylfaen" w:hAnsi="Sylfaen" w:cs="Sylfaen"/>
          <w:lang w:val="ka-GE"/>
        </w:rPr>
        <w:t>პუნქტების</w:t>
      </w:r>
      <w:r w:rsidRPr="007F2C2A">
        <w:rPr>
          <w:lang w:val="ka-GE"/>
        </w:rPr>
        <w:t xml:space="preserve"> </w:t>
      </w:r>
      <w:r w:rsidRPr="007F2C2A">
        <w:rPr>
          <w:rFonts w:ascii="Sylfaen" w:hAnsi="Sylfaen" w:cs="Sylfaen"/>
          <w:lang w:val="ka-GE"/>
        </w:rPr>
        <w:t>მახლობლად</w:t>
      </w:r>
      <w:r w:rsidRPr="007F2C2A">
        <w:rPr>
          <w:lang w:val="ka-GE"/>
        </w:rPr>
        <w:t xml:space="preserve"> - </w:t>
      </w:r>
      <w:r w:rsidRPr="007F2C2A">
        <w:rPr>
          <w:rFonts w:ascii="Sylfaen" w:hAnsi="Sylfaen" w:cs="Sylfaen"/>
          <w:lang w:val="ka-GE"/>
        </w:rPr>
        <w:t>ოპტიმალური</w:t>
      </w:r>
      <w:r w:rsidRPr="007F2C2A">
        <w:rPr>
          <w:lang w:val="ka-GE"/>
        </w:rPr>
        <w:t xml:space="preserve"> </w:t>
      </w:r>
      <w:r w:rsidRPr="007F2C2A">
        <w:rPr>
          <w:rFonts w:ascii="Sylfaen" w:hAnsi="Sylfaen" w:cs="Sylfaen"/>
          <w:lang w:val="ka-GE"/>
        </w:rPr>
        <w:t>სიჩქარის</w:t>
      </w:r>
      <w:r w:rsidRPr="007F2C2A">
        <w:rPr>
          <w:lang w:val="ka-GE"/>
        </w:rPr>
        <w:t xml:space="preserve"> </w:t>
      </w:r>
      <w:r w:rsidRPr="007F2C2A">
        <w:rPr>
          <w:rFonts w:ascii="Sylfaen" w:hAnsi="Sylfaen" w:cs="Sylfaen"/>
          <w:lang w:val="ka-GE"/>
        </w:rPr>
        <w:t>დაცვა</w:t>
      </w:r>
      <w:r w:rsidRPr="007F2C2A">
        <w:rPr>
          <w:lang w:val="ka-GE"/>
        </w:rPr>
        <w:t>;</w:t>
      </w:r>
    </w:p>
    <w:p w14:paraId="56B303DF" w14:textId="77777777" w:rsidR="00CD64B5" w:rsidRPr="007F2C2A" w:rsidRDefault="00CD64B5" w:rsidP="00CD64B5">
      <w:pPr>
        <w:spacing w:before="120" w:after="120"/>
        <w:rPr>
          <w:lang w:val="ka-GE"/>
        </w:rPr>
      </w:pPr>
      <w:r w:rsidRPr="007F2C2A">
        <w:rPr>
          <w:rFonts w:ascii="Sylfaen" w:hAnsi="Sylfaen" w:cs="Sylfaen"/>
          <w:lang w:val="ka-GE"/>
        </w:rPr>
        <w:t>მანქანების</w:t>
      </w:r>
      <w:r w:rsidRPr="007F2C2A">
        <w:rPr>
          <w:lang w:val="ka-GE"/>
        </w:rPr>
        <w:t xml:space="preserve"> </w:t>
      </w:r>
      <w:r w:rsidRPr="007F2C2A">
        <w:rPr>
          <w:rFonts w:ascii="Sylfaen" w:hAnsi="Sylfaen" w:cs="Sylfaen"/>
          <w:lang w:val="ka-GE"/>
        </w:rPr>
        <w:t>და</w:t>
      </w:r>
      <w:r w:rsidRPr="007F2C2A">
        <w:rPr>
          <w:lang w:val="ka-GE"/>
        </w:rPr>
        <w:t xml:space="preserve"> </w:t>
      </w:r>
      <w:r w:rsidRPr="007F2C2A">
        <w:rPr>
          <w:rFonts w:ascii="Sylfaen" w:hAnsi="Sylfaen" w:cs="Sylfaen"/>
          <w:lang w:val="ka-GE"/>
        </w:rPr>
        <w:t>სამშენებლო</w:t>
      </w:r>
      <w:r w:rsidRPr="007F2C2A">
        <w:rPr>
          <w:lang w:val="ka-GE"/>
        </w:rPr>
        <w:t xml:space="preserve"> </w:t>
      </w:r>
      <w:r w:rsidRPr="007F2C2A">
        <w:rPr>
          <w:rFonts w:ascii="Sylfaen" w:hAnsi="Sylfaen" w:cs="Sylfaen"/>
          <w:lang w:val="ka-GE"/>
        </w:rPr>
        <w:t>ტექნიკის</w:t>
      </w:r>
      <w:r w:rsidRPr="007F2C2A">
        <w:rPr>
          <w:lang w:val="ka-GE"/>
        </w:rPr>
        <w:t xml:space="preserve"> </w:t>
      </w:r>
      <w:r w:rsidRPr="007F2C2A">
        <w:rPr>
          <w:rFonts w:ascii="Sylfaen" w:hAnsi="Sylfaen" w:cs="Sylfaen"/>
          <w:lang w:val="ka-GE"/>
        </w:rPr>
        <w:t>გამართულობის</w:t>
      </w:r>
      <w:r w:rsidRPr="007F2C2A">
        <w:rPr>
          <w:lang w:val="ka-GE"/>
        </w:rPr>
        <w:t xml:space="preserve"> </w:t>
      </w:r>
      <w:r w:rsidRPr="007F2C2A">
        <w:rPr>
          <w:rFonts w:ascii="Sylfaen" w:hAnsi="Sylfaen" w:cs="Sylfaen"/>
          <w:lang w:val="ka-GE"/>
        </w:rPr>
        <w:t>უზრუნველყოფა</w:t>
      </w:r>
      <w:r w:rsidRPr="007F2C2A">
        <w:rPr>
          <w:lang w:val="ka-GE"/>
        </w:rPr>
        <w:t>;</w:t>
      </w:r>
    </w:p>
    <w:p w14:paraId="2CA85DA7" w14:textId="77777777" w:rsidR="00CD64B5" w:rsidRPr="007F2C2A" w:rsidRDefault="00CD64B5" w:rsidP="00CD64B5">
      <w:pPr>
        <w:spacing w:before="120" w:after="120"/>
        <w:rPr>
          <w:lang w:val="ka-GE"/>
        </w:rPr>
      </w:pPr>
      <w:r w:rsidRPr="007F2C2A">
        <w:rPr>
          <w:rFonts w:ascii="Sylfaen" w:hAnsi="Sylfaen" w:cs="Sylfaen"/>
          <w:lang w:val="ka-GE"/>
        </w:rPr>
        <w:t>მანქანების</w:t>
      </w:r>
      <w:r w:rsidRPr="007F2C2A">
        <w:rPr>
          <w:lang w:val="ka-GE"/>
        </w:rPr>
        <w:t xml:space="preserve"> </w:t>
      </w:r>
      <w:r w:rsidRPr="007F2C2A">
        <w:rPr>
          <w:rFonts w:ascii="Sylfaen" w:hAnsi="Sylfaen" w:cs="Sylfaen"/>
          <w:lang w:val="ka-GE"/>
        </w:rPr>
        <w:t>ბორბლების</w:t>
      </w:r>
      <w:r w:rsidRPr="007F2C2A">
        <w:rPr>
          <w:lang w:val="ka-GE"/>
        </w:rPr>
        <w:t xml:space="preserve"> </w:t>
      </w:r>
      <w:r w:rsidRPr="007F2C2A">
        <w:rPr>
          <w:rFonts w:ascii="Sylfaen" w:hAnsi="Sylfaen" w:cs="Sylfaen"/>
          <w:lang w:val="ka-GE"/>
        </w:rPr>
        <w:t>სარეცხის</w:t>
      </w:r>
      <w:r w:rsidRPr="007F2C2A">
        <w:rPr>
          <w:lang w:val="ka-GE"/>
        </w:rPr>
        <w:t xml:space="preserve"> </w:t>
      </w:r>
      <w:r w:rsidRPr="007F2C2A">
        <w:rPr>
          <w:rFonts w:ascii="Sylfaen" w:hAnsi="Sylfaen" w:cs="Sylfaen"/>
          <w:lang w:val="ka-GE"/>
        </w:rPr>
        <w:t>მოწყობა</w:t>
      </w:r>
      <w:r w:rsidRPr="007F2C2A">
        <w:rPr>
          <w:lang w:val="ka-GE"/>
        </w:rPr>
        <w:t xml:space="preserve">, </w:t>
      </w:r>
      <w:r w:rsidRPr="007F2C2A">
        <w:rPr>
          <w:rFonts w:ascii="Sylfaen" w:hAnsi="Sylfaen" w:cs="Sylfaen"/>
          <w:lang w:val="ka-GE"/>
        </w:rPr>
        <w:t>მანქანის</w:t>
      </w:r>
      <w:r w:rsidRPr="007F2C2A">
        <w:rPr>
          <w:lang w:val="ka-GE"/>
        </w:rPr>
        <w:t xml:space="preserve"> </w:t>
      </w:r>
      <w:r w:rsidRPr="007F2C2A">
        <w:rPr>
          <w:rFonts w:ascii="Sylfaen" w:hAnsi="Sylfaen" w:cs="Sylfaen"/>
          <w:lang w:val="ka-GE"/>
        </w:rPr>
        <w:t>სამუშაო</w:t>
      </w:r>
      <w:r w:rsidRPr="007F2C2A">
        <w:rPr>
          <w:lang w:val="ka-GE"/>
        </w:rPr>
        <w:t xml:space="preserve"> </w:t>
      </w:r>
      <w:r w:rsidRPr="007F2C2A">
        <w:rPr>
          <w:rFonts w:ascii="Sylfaen" w:hAnsi="Sylfaen" w:cs="Sylfaen"/>
          <w:lang w:val="ka-GE"/>
        </w:rPr>
        <w:t>მოედნების</w:t>
      </w:r>
      <w:r w:rsidRPr="007F2C2A">
        <w:rPr>
          <w:lang w:val="ka-GE"/>
        </w:rPr>
        <w:t xml:space="preserve"> </w:t>
      </w:r>
      <w:r w:rsidRPr="007F2C2A">
        <w:rPr>
          <w:rFonts w:ascii="Sylfaen" w:hAnsi="Sylfaen" w:cs="Sylfaen"/>
          <w:lang w:val="ka-GE"/>
        </w:rPr>
        <w:t>დატოვებისას</w:t>
      </w:r>
      <w:r w:rsidRPr="007F2C2A">
        <w:rPr>
          <w:lang w:val="ka-GE"/>
        </w:rPr>
        <w:t xml:space="preserve"> </w:t>
      </w:r>
      <w:r w:rsidRPr="007F2C2A">
        <w:rPr>
          <w:rFonts w:ascii="Sylfaen" w:hAnsi="Sylfaen" w:cs="Sylfaen"/>
          <w:lang w:val="ka-GE"/>
        </w:rPr>
        <w:t>საბურავების</w:t>
      </w:r>
      <w:r w:rsidRPr="007F2C2A">
        <w:rPr>
          <w:lang w:val="ka-GE"/>
        </w:rPr>
        <w:t xml:space="preserve"> </w:t>
      </w:r>
      <w:r w:rsidRPr="007F2C2A">
        <w:rPr>
          <w:rFonts w:ascii="Sylfaen" w:hAnsi="Sylfaen" w:cs="Sylfaen"/>
          <w:lang w:val="ka-GE"/>
        </w:rPr>
        <w:t>გარეცხვა</w:t>
      </w:r>
      <w:r w:rsidRPr="007F2C2A">
        <w:rPr>
          <w:lang w:val="ka-GE"/>
        </w:rPr>
        <w:t>;</w:t>
      </w:r>
    </w:p>
    <w:p w14:paraId="521D88C3" w14:textId="77777777" w:rsidR="00CD64B5" w:rsidRPr="007F2C2A" w:rsidRDefault="00CD64B5" w:rsidP="00CD64B5">
      <w:pPr>
        <w:spacing w:before="120" w:after="120"/>
        <w:rPr>
          <w:lang w:val="ka-GE"/>
        </w:rPr>
      </w:pPr>
      <w:r w:rsidRPr="007F2C2A">
        <w:rPr>
          <w:rFonts w:ascii="Sylfaen" w:hAnsi="Sylfaen" w:cs="Sylfaen"/>
          <w:lang w:val="ka-GE"/>
        </w:rPr>
        <w:t>სატვირთო</w:t>
      </w:r>
      <w:r w:rsidRPr="007F2C2A">
        <w:rPr>
          <w:lang w:val="ka-GE"/>
        </w:rPr>
        <w:t xml:space="preserve"> </w:t>
      </w:r>
      <w:r w:rsidRPr="007F2C2A">
        <w:rPr>
          <w:rFonts w:ascii="Sylfaen" w:hAnsi="Sylfaen" w:cs="Sylfaen"/>
          <w:lang w:val="ka-GE"/>
        </w:rPr>
        <w:t>მანქანებით</w:t>
      </w:r>
      <w:r w:rsidRPr="007F2C2A">
        <w:rPr>
          <w:lang w:val="ka-GE"/>
        </w:rPr>
        <w:t xml:space="preserve"> </w:t>
      </w:r>
      <w:r w:rsidRPr="007F2C2A">
        <w:rPr>
          <w:rFonts w:ascii="Sylfaen" w:hAnsi="Sylfaen" w:cs="Sylfaen"/>
          <w:lang w:val="ka-GE"/>
        </w:rPr>
        <w:t>ფხვიერი</w:t>
      </w:r>
      <w:r w:rsidRPr="007F2C2A">
        <w:rPr>
          <w:lang w:val="ka-GE"/>
        </w:rPr>
        <w:t xml:space="preserve"> </w:t>
      </w:r>
      <w:r w:rsidRPr="007F2C2A">
        <w:rPr>
          <w:rFonts w:ascii="Sylfaen" w:hAnsi="Sylfaen" w:cs="Sylfaen"/>
          <w:lang w:val="ka-GE"/>
        </w:rPr>
        <w:t>მასალის</w:t>
      </w:r>
      <w:r w:rsidRPr="007F2C2A">
        <w:rPr>
          <w:lang w:val="ka-GE"/>
        </w:rPr>
        <w:t>/</w:t>
      </w:r>
      <w:r w:rsidRPr="007F2C2A">
        <w:rPr>
          <w:rFonts w:ascii="Sylfaen" w:hAnsi="Sylfaen" w:cs="Sylfaen"/>
          <w:lang w:val="ka-GE"/>
        </w:rPr>
        <w:t>ნარჩენების</w:t>
      </w:r>
      <w:r w:rsidRPr="007F2C2A">
        <w:rPr>
          <w:lang w:val="ka-GE"/>
        </w:rPr>
        <w:t xml:space="preserve">  </w:t>
      </w:r>
      <w:r w:rsidRPr="007F2C2A">
        <w:rPr>
          <w:rFonts w:ascii="Sylfaen" w:hAnsi="Sylfaen" w:cs="Sylfaen"/>
          <w:lang w:val="ka-GE"/>
        </w:rPr>
        <w:t>გადატანისას</w:t>
      </w:r>
      <w:r w:rsidRPr="007F2C2A">
        <w:rPr>
          <w:lang w:val="ka-GE"/>
        </w:rPr>
        <w:t xml:space="preserve"> </w:t>
      </w:r>
      <w:r w:rsidRPr="007F2C2A">
        <w:rPr>
          <w:rFonts w:ascii="Sylfaen" w:hAnsi="Sylfaen" w:cs="Sylfaen"/>
          <w:lang w:val="ka-GE"/>
        </w:rPr>
        <w:t>მისი</w:t>
      </w:r>
      <w:r w:rsidRPr="007F2C2A">
        <w:rPr>
          <w:lang w:val="ka-GE"/>
        </w:rPr>
        <w:t xml:space="preserve"> </w:t>
      </w:r>
      <w:r w:rsidRPr="007F2C2A">
        <w:rPr>
          <w:rFonts w:ascii="Sylfaen" w:hAnsi="Sylfaen" w:cs="Sylfaen"/>
          <w:lang w:val="ka-GE"/>
        </w:rPr>
        <w:t>ბრეზენტით</w:t>
      </w:r>
      <w:r w:rsidRPr="007F2C2A">
        <w:rPr>
          <w:lang w:val="ka-GE"/>
        </w:rPr>
        <w:t xml:space="preserve"> </w:t>
      </w:r>
      <w:r w:rsidRPr="007F2C2A">
        <w:rPr>
          <w:rFonts w:ascii="Sylfaen" w:hAnsi="Sylfaen" w:cs="Sylfaen"/>
          <w:lang w:val="ka-GE"/>
        </w:rPr>
        <w:t>დაფარვა</w:t>
      </w:r>
      <w:r w:rsidRPr="007F2C2A">
        <w:rPr>
          <w:lang w:val="ka-GE"/>
        </w:rPr>
        <w:t>;</w:t>
      </w:r>
    </w:p>
    <w:p w14:paraId="52148A6A" w14:textId="77777777" w:rsidR="00CD64B5" w:rsidRPr="007F2C2A" w:rsidRDefault="00CD64B5" w:rsidP="00CD64B5">
      <w:pPr>
        <w:spacing w:before="120" w:after="120"/>
        <w:rPr>
          <w:lang w:val="ka-GE"/>
        </w:rPr>
      </w:pPr>
      <w:r w:rsidRPr="007F2C2A">
        <w:rPr>
          <w:rFonts w:ascii="Sylfaen" w:hAnsi="Sylfaen" w:cs="Sylfaen"/>
          <w:lang w:val="ka-GE"/>
        </w:rPr>
        <w:t>ბეტონის</w:t>
      </w:r>
      <w:r w:rsidRPr="007F2C2A">
        <w:rPr>
          <w:lang w:val="ka-GE"/>
        </w:rPr>
        <w:t xml:space="preserve"> </w:t>
      </w:r>
      <w:r w:rsidRPr="007F2C2A">
        <w:rPr>
          <w:rFonts w:ascii="Sylfaen" w:hAnsi="Sylfaen" w:cs="Sylfaen"/>
          <w:lang w:val="ka-GE"/>
        </w:rPr>
        <w:t>წარმოების</w:t>
      </w:r>
      <w:r w:rsidRPr="007F2C2A">
        <w:rPr>
          <w:lang w:val="ka-GE"/>
        </w:rPr>
        <w:t xml:space="preserve"> </w:t>
      </w:r>
      <w:r w:rsidRPr="007F2C2A">
        <w:rPr>
          <w:rFonts w:ascii="Sylfaen" w:hAnsi="Sylfaen" w:cs="Sylfaen"/>
          <w:lang w:val="ka-GE"/>
        </w:rPr>
        <w:t>ობიექტების</w:t>
      </w:r>
      <w:r w:rsidRPr="007F2C2A">
        <w:rPr>
          <w:lang w:val="ka-GE"/>
        </w:rPr>
        <w:t xml:space="preserve"> </w:t>
      </w:r>
      <w:r w:rsidRPr="007F2C2A">
        <w:rPr>
          <w:rFonts w:ascii="Sylfaen" w:hAnsi="Sylfaen" w:cs="Sylfaen"/>
          <w:lang w:val="ka-GE"/>
        </w:rPr>
        <w:t>განლაგება</w:t>
      </w:r>
      <w:r w:rsidRPr="007F2C2A">
        <w:rPr>
          <w:lang w:val="ka-GE"/>
        </w:rPr>
        <w:t xml:space="preserve"> </w:t>
      </w:r>
      <w:r w:rsidRPr="007F2C2A">
        <w:rPr>
          <w:rFonts w:ascii="Sylfaen" w:hAnsi="Sylfaen" w:cs="Sylfaen"/>
          <w:lang w:val="ka-GE"/>
        </w:rPr>
        <w:t>დასახლებული</w:t>
      </w:r>
      <w:r w:rsidRPr="007F2C2A">
        <w:rPr>
          <w:lang w:val="ka-GE"/>
        </w:rPr>
        <w:t xml:space="preserve"> </w:t>
      </w:r>
      <w:r w:rsidRPr="007F2C2A">
        <w:rPr>
          <w:rFonts w:ascii="Sylfaen" w:hAnsi="Sylfaen" w:cs="Sylfaen"/>
          <w:lang w:val="ka-GE"/>
        </w:rPr>
        <w:t>პუნქტებიდან</w:t>
      </w:r>
      <w:r w:rsidRPr="007F2C2A">
        <w:rPr>
          <w:lang w:val="ka-GE"/>
        </w:rPr>
        <w:t xml:space="preserve"> </w:t>
      </w:r>
      <w:r w:rsidRPr="007F2C2A">
        <w:rPr>
          <w:rFonts w:ascii="Sylfaen" w:hAnsi="Sylfaen" w:cs="Sylfaen"/>
          <w:lang w:val="ka-GE"/>
        </w:rPr>
        <w:t>არანაკლებ</w:t>
      </w:r>
      <w:r w:rsidRPr="007F2C2A">
        <w:rPr>
          <w:lang w:val="ka-GE"/>
        </w:rPr>
        <w:t xml:space="preserve"> 300 </w:t>
      </w:r>
      <w:r w:rsidRPr="007F2C2A">
        <w:rPr>
          <w:rFonts w:ascii="Sylfaen" w:hAnsi="Sylfaen" w:cs="Sylfaen"/>
          <w:lang w:val="ka-GE"/>
        </w:rPr>
        <w:t>მ</w:t>
      </w:r>
      <w:r w:rsidRPr="007F2C2A">
        <w:rPr>
          <w:lang w:val="ka-GE"/>
        </w:rPr>
        <w:t>-</w:t>
      </w:r>
      <w:r w:rsidRPr="007F2C2A">
        <w:rPr>
          <w:rFonts w:ascii="Sylfaen" w:hAnsi="Sylfaen" w:cs="Sylfaen"/>
          <w:lang w:val="ka-GE"/>
        </w:rPr>
        <w:t>ის</w:t>
      </w:r>
      <w:r w:rsidRPr="007F2C2A">
        <w:rPr>
          <w:lang w:val="ka-GE"/>
        </w:rPr>
        <w:t xml:space="preserve"> </w:t>
      </w:r>
      <w:r w:rsidRPr="007F2C2A">
        <w:rPr>
          <w:rFonts w:ascii="Sylfaen" w:hAnsi="Sylfaen" w:cs="Sylfaen"/>
          <w:lang w:val="ka-GE"/>
        </w:rPr>
        <w:t>მანძილზე</w:t>
      </w:r>
      <w:r w:rsidRPr="007F2C2A">
        <w:rPr>
          <w:lang w:val="ka-GE"/>
        </w:rPr>
        <w:t xml:space="preserve"> (</w:t>
      </w:r>
      <w:r w:rsidRPr="007F2C2A">
        <w:rPr>
          <w:rFonts w:ascii="Sylfaen" w:hAnsi="Sylfaen" w:cs="Sylfaen"/>
          <w:lang w:val="ka-GE"/>
        </w:rPr>
        <w:t>ქარის</w:t>
      </w:r>
      <w:r w:rsidRPr="007F2C2A">
        <w:rPr>
          <w:lang w:val="ka-GE"/>
        </w:rPr>
        <w:t xml:space="preserve"> </w:t>
      </w:r>
      <w:r w:rsidRPr="007F2C2A">
        <w:rPr>
          <w:rFonts w:ascii="Sylfaen" w:hAnsi="Sylfaen" w:cs="Sylfaen"/>
          <w:lang w:val="ka-GE"/>
        </w:rPr>
        <w:t>მიმართულებით</w:t>
      </w:r>
      <w:r w:rsidRPr="007F2C2A">
        <w:rPr>
          <w:lang w:val="ka-GE"/>
        </w:rPr>
        <w:t>);</w:t>
      </w:r>
    </w:p>
    <w:p w14:paraId="790EDBB9" w14:textId="77777777" w:rsidR="00CD64B5" w:rsidRPr="007F2C2A" w:rsidRDefault="00CD64B5" w:rsidP="00CD64B5">
      <w:pPr>
        <w:spacing w:before="120" w:after="120"/>
        <w:rPr>
          <w:lang w:val="ka-GE"/>
        </w:rPr>
      </w:pPr>
      <w:r w:rsidRPr="007F2C2A">
        <w:rPr>
          <w:rFonts w:ascii="Sylfaen" w:hAnsi="Sylfaen" w:cs="Sylfaen"/>
          <w:lang w:val="ka-GE"/>
        </w:rPr>
        <w:lastRenderedPageBreak/>
        <w:t>კონტრაქტორის</w:t>
      </w:r>
      <w:r w:rsidRPr="007F2C2A">
        <w:rPr>
          <w:lang w:val="ka-GE"/>
        </w:rPr>
        <w:t xml:space="preserve"> </w:t>
      </w:r>
      <w:r w:rsidRPr="007F2C2A">
        <w:rPr>
          <w:rFonts w:ascii="Sylfaen" w:hAnsi="Sylfaen" w:cs="Sylfaen"/>
          <w:lang w:val="ka-GE"/>
        </w:rPr>
        <w:t>პერსონალს</w:t>
      </w:r>
      <w:r w:rsidRPr="007F2C2A">
        <w:rPr>
          <w:lang w:val="ka-GE"/>
        </w:rPr>
        <w:t xml:space="preserve"> </w:t>
      </w:r>
      <w:r w:rsidRPr="007F2C2A">
        <w:rPr>
          <w:rFonts w:ascii="Sylfaen" w:hAnsi="Sylfaen" w:cs="Sylfaen"/>
          <w:lang w:val="ka-GE"/>
        </w:rPr>
        <w:t>ჩაუტარდება</w:t>
      </w:r>
      <w:r w:rsidRPr="007F2C2A">
        <w:rPr>
          <w:lang w:val="ka-GE"/>
        </w:rPr>
        <w:t xml:space="preserve"> </w:t>
      </w:r>
      <w:r w:rsidRPr="007F2C2A">
        <w:rPr>
          <w:rFonts w:ascii="Sylfaen" w:hAnsi="Sylfaen" w:cs="Sylfaen"/>
          <w:lang w:val="ka-GE"/>
        </w:rPr>
        <w:t>ტრეინინგი</w:t>
      </w:r>
      <w:r w:rsidRPr="007F2C2A">
        <w:rPr>
          <w:lang w:val="ka-GE"/>
        </w:rPr>
        <w:t xml:space="preserve"> </w:t>
      </w:r>
      <w:r w:rsidRPr="007F2C2A">
        <w:rPr>
          <w:rFonts w:ascii="Sylfaen" w:hAnsi="Sylfaen" w:cs="Sylfaen"/>
          <w:lang w:val="ka-GE"/>
        </w:rPr>
        <w:t>გარემოსდაცვით</w:t>
      </w:r>
      <w:r w:rsidRPr="007F2C2A">
        <w:rPr>
          <w:lang w:val="ka-GE"/>
        </w:rPr>
        <w:t xml:space="preserve"> </w:t>
      </w:r>
      <w:r w:rsidRPr="007F2C2A">
        <w:rPr>
          <w:rFonts w:ascii="Sylfaen" w:hAnsi="Sylfaen" w:cs="Sylfaen"/>
          <w:lang w:val="ka-GE"/>
        </w:rPr>
        <w:t>და</w:t>
      </w:r>
      <w:r w:rsidRPr="007F2C2A">
        <w:rPr>
          <w:lang w:val="ka-GE"/>
        </w:rPr>
        <w:t xml:space="preserve"> </w:t>
      </w:r>
      <w:r w:rsidRPr="007F2C2A">
        <w:rPr>
          <w:rFonts w:ascii="Sylfaen" w:hAnsi="Sylfaen" w:cs="Sylfaen"/>
          <w:lang w:val="ka-GE"/>
        </w:rPr>
        <w:t>უსაფრთხოების</w:t>
      </w:r>
      <w:r w:rsidRPr="007F2C2A">
        <w:rPr>
          <w:lang w:val="ka-GE"/>
        </w:rPr>
        <w:t xml:space="preserve"> </w:t>
      </w:r>
      <w:r w:rsidRPr="007F2C2A">
        <w:rPr>
          <w:rFonts w:ascii="Sylfaen" w:hAnsi="Sylfaen" w:cs="Sylfaen"/>
          <w:lang w:val="ka-GE"/>
        </w:rPr>
        <w:t>საკითხებზე</w:t>
      </w:r>
      <w:r w:rsidRPr="007F2C2A">
        <w:rPr>
          <w:lang w:val="ka-GE"/>
        </w:rPr>
        <w:t>.</w:t>
      </w:r>
    </w:p>
    <w:p w14:paraId="4A103288" w14:textId="77777777" w:rsidR="00CD64B5" w:rsidRPr="007F2C2A" w:rsidRDefault="00CD64B5" w:rsidP="00CD64B5">
      <w:pPr>
        <w:spacing w:before="120" w:after="120"/>
        <w:rPr>
          <w:lang w:val="ka-GE"/>
        </w:rPr>
      </w:pPr>
      <w:r w:rsidRPr="007F2C2A">
        <w:rPr>
          <w:rFonts w:ascii="Sylfaen" w:hAnsi="Sylfaen" w:cs="Sylfaen"/>
          <w:lang w:val="ka-GE"/>
        </w:rPr>
        <w:t>შემარბილებელი</w:t>
      </w:r>
      <w:r w:rsidRPr="007F2C2A">
        <w:rPr>
          <w:lang w:val="ka-GE"/>
        </w:rPr>
        <w:t xml:space="preserve"> </w:t>
      </w:r>
      <w:r w:rsidRPr="007F2C2A">
        <w:rPr>
          <w:rFonts w:ascii="Sylfaen" w:hAnsi="Sylfaen" w:cs="Sylfaen"/>
          <w:lang w:val="ka-GE"/>
        </w:rPr>
        <w:t>ღონისძიებების</w:t>
      </w:r>
      <w:r w:rsidRPr="007F2C2A">
        <w:rPr>
          <w:lang w:val="ka-GE"/>
        </w:rPr>
        <w:t xml:space="preserve">  </w:t>
      </w:r>
      <w:r w:rsidRPr="007F2C2A">
        <w:rPr>
          <w:rFonts w:ascii="Sylfaen" w:hAnsi="Sylfaen" w:cs="Sylfaen"/>
          <w:lang w:val="ka-GE"/>
        </w:rPr>
        <w:t>შესრულების</w:t>
      </w:r>
      <w:r w:rsidRPr="007F2C2A">
        <w:rPr>
          <w:lang w:val="ka-GE"/>
        </w:rPr>
        <w:t xml:space="preserve"> </w:t>
      </w:r>
      <w:r w:rsidRPr="007F2C2A">
        <w:rPr>
          <w:rFonts w:ascii="Sylfaen" w:hAnsi="Sylfaen" w:cs="Sylfaen"/>
          <w:lang w:val="ka-GE"/>
        </w:rPr>
        <w:t>უზრუნველყოფა</w:t>
      </w:r>
      <w:r w:rsidRPr="007F2C2A">
        <w:rPr>
          <w:lang w:val="ka-GE"/>
        </w:rPr>
        <w:t xml:space="preserve"> </w:t>
      </w:r>
      <w:r w:rsidRPr="007F2C2A">
        <w:rPr>
          <w:rFonts w:ascii="Sylfaen" w:hAnsi="Sylfaen" w:cs="Sylfaen"/>
          <w:lang w:val="ka-GE"/>
        </w:rPr>
        <w:t>საავტომობილო</w:t>
      </w:r>
      <w:r w:rsidRPr="007F2C2A">
        <w:rPr>
          <w:lang w:val="ka-GE"/>
        </w:rPr>
        <w:t xml:space="preserve"> </w:t>
      </w:r>
      <w:r w:rsidRPr="007F2C2A">
        <w:rPr>
          <w:rFonts w:ascii="Sylfaen" w:hAnsi="Sylfaen" w:cs="Sylfaen"/>
          <w:lang w:val="ka-GE"/>
        </w:rPr>
        <w:t>გზების</w:t>
      </w:r>
      <w:r w:rsidRPr="007F2C2A">
        <w:rPr>
          <w:lang w:val="ka-GE"/>
        </w:rPr>
        <w:t xml:space="preserve"> </w:t>
      </w:r>
      <w:r w:rsidRPr="007F2C2A">
        <w:rPr>
          <w:rFonts w:ascii="Sylfaen" w:hAnsi="Sylfaen" w:cs="Sylfaen"/>
          <w:lang w:val="ka-GE"/>
        </w:rPr>
        <w:t>დეპარტამენტის</w:t>
      </w:r>
      <w:r w:rsidRPr="007F2C2A">
        <w:rPr>
          <w:lang w:val="ka-GE"/>
        </w:rPr>
        <w:t xml:space="preserve"> </w:t>
      </w:r>
      <w:r w:rsidRPr="007F2C2A">
        <w:rPr>
          <w:rFonts w:ascii="Sylfaen" w:hAnsi="Sylfaen" w:cs="Sylfaen"/>
          <w:lang w:val="ka-GE"/>
        </w:rPr>
        <w:t>პასუხისმგებლობას</w:t>
      </w:r>
      <w:r w:rsidRPr="007F2C2A">
        <w:rPr>
          <w:lang w:val="ka-GE"/>
        </w:rPr>
        <w:t xml:space="preserve"> </w:t>
      </w:r>
      <w:r w:rsidRPr="007F2C2A">
        <w:rPr>
          <w:rFonts w:ascii="Sylfaen" w:hAnsi="Sylfaen" w:cs="Sylfaen"/>
          <w:lang w:val="ka-GE"/>
        </w:rPr>
        <w:t>წარმოადგენს</w:t>
      </w:r>
      <w:r w:rsidRPr="007F2C2A">
        <w:rPr>
          <w:lang w:val="ka-GE"/>
        </w:rPr>
        <w:t xml:space="preserve">.    </w:t>
      </w:r>
    </w:p>
    <w:p w14:paraId="6A6F5BA7" w14:textId="77777777" w:rsidR="00CD64B5" w:rsidRPr="007F2C2A" w:rsidRDefault="00CD64B5" w:rsidP="00CD64B5">
      <w:pPr>
        <w:spacing w:before="120" w:after="120"/>
        <w:rPr>
          <w:lang w:val="ka-GE"/>
        </w:rPr>
      </w:pPr>
    </w:p>
    <w:p w14:paraId="4D1C041D" w14:textId="77777777" w:rsidR="00CD64B5" w:rsidRPr="007F2C2A" w:rsidRDefault="00CD64B5" w:rsidP="00CD64B5">
      <w:pPr>
        <w:rPr>
          <w:b/>
          <w:lang w:val="ka-GE"/>
        </w:rPr>
      </w:pPr>
      <w:bookmarkStart w:id="281" w:name="_Toc436571433"/>
      <w:bookmarkStart w:id="282" w:name="_Toc436593971"/>
      <w:bookmarkStart w:id="283" w:name="_Toc304400191"/>
      <w:bookmarkStart w:id="284" w:name="_Toc304881798"/>
      <w:bookmarkStart w:id="285" w:name="_Toc304882222"/>
      <w:bookmarkStart w:id="286" w:name="_Toc304882491"/>
      <w:bookmarkStart w:id="287" w:name="_Toc304882666"/>
      <w:bookmarkStart w:id="288" w:name="_Toc304882884"/>
      <w:bookmarkStart w:id="289" w:name="_Toc304883164"/>
      <w:bookmarkStart w:id="290" w:name="_Toc305067594"/>
      <w:bookmarkStart w:id="291" w:name="_Toc309393065"/>
      <w:r w:rsidRPr="007F2C2A">
        <w:rPr>
          <w:rFonts w:ascii="Sylfaen" w:hAnsi="Sylfaen" w:cs="Sylfaen"/>
          <w:b/>
          <w:lang w:val="ka-GE"/>
        </w:rPr>
        <w:t>ჰაერის</w:t>
      </w:r>
      <w:r w:rsidRPr="007F2C2A">
        <w:rPr>
          <w:b/>
          <w:lang w:val="ka-GE"/>
        </w:rPr>
        <w:t xml:space="preserve"> </w:t>
      </w:r>
      <w:r w:rsidRPr="007F2C2A">
        <w:rPr>
          <w:rFonts w:ascii="Sylfaen" w:hAnsi="Sylfaen" w:cs="Sylfaen"/>
          <w:b/>
          <w:lang w:val="ka-GE"/>
        </w:rPr>
        <w:t>ხარისხზე</w:t>
      </w:r>
      <w:r w:rsidRPr="007F2C2A">
        <w:rPr>
          <w:b/>
          <w:lang w:val="ka-GE"/>
        </w:rPr>
        <w:t xml:space="preserve"> </w:t>
      </w:r>
      <w:r w:rsidRPr="007F2C2A">
        <w:rPr>
          <w:rFonts w:ascii="Sylfaen" w:hAnsi="Sylfaen" w:cs="Sylfaen"/>
          <w:b/>
          <w:lang w:val="ka-GE"/>
        </w:rPr>
        <w:t>ზემოქმედების</w:t>
      </w:r>
      <w:r w:rsidRPr="007F2C2A">
        <w:rPr>
          <w:b/>
          <w:lang w:val="ka-GE"/>
        </w:rPr>
        <w:t xml:space="preserve"> </w:t>
      </w:r>
      <w:r w:rsidRPr="007F2C2A">
        <w:rPr>
          <w:rFonts w:ascii="Sylfaen" w:hAnsi="Sylfaen" w:cs="Sylfaen"/>
          <w:b/>
          <w:lang w:val="ka-GE"/>
        </w:rPr>
        <w:t>შეფასება</w:t>
      </w:r>
      <w:r w:rsidRPr="007F2C2A">
        <w:rPr>
          <w:b/>
          <w:lang w:val="ka-GE"/>
        </w:rPr>
        <w:t xml:space="preserve">: </w:t>
      </w:r>
      <w:r w:rsidRPr="007F2C2A">
        <w:rPr>
          <w:rFonts w:ascii="Sylfaen" w:hAnsi="Sylfaen" w:cs="Sylfaen"/>
          <w:b/>
          <w:lang w:val="ka-GE"/>
        </w:rPr>
        <w:t>ექსპლუატაციის</w:t>
      </w:r>
      <w:r w:rsidRPr="007F2C2A">
        <w:rPr>
          <w:b/>
          <w:lang w:val="ka-GE"/>
        </w:rPr>
        <w:t xml:space="preserve"> </w:t>
      </w:r>
      <w:r w:rsidRPr="007F2C2A">
        <w:rPr>
          <w:rFonts w:ascii="Sylfaen" w:hAnsi="Sylfaen" w:cs="Sylfaen"/>
          <w:b/>
          <w:lang w:val="ka-GE"/>
        </w:rPr>
        <w:t>ფაზა</w:t>
      </w:r>
      <w:bookmarkEnd w:id="281"/>
      <w:bookmarkEnd w:id="282"/>
      <w:r w:rsidRPr="007F2C2A">
        <w:rPr>
          <w:b/>
          <w:lang w:val="ka-GE"/>
        </w:rPr>
        <w:t xml:space="preserve"> </w:t>
      </w:r>
      <w:bookmarkEnd w:id="283"/>
      <w:bookmarkEnd w:id="284"/>
      <w:bookmarkEnd w:id="285"/>
      <w:bookmarkEnd w:id="286"/>
      <w:bookmarkEnd w:id="287"/>
      <w:bookmarkEnd w:id="288"/>
      <w:bookmarkEnd w:id="289"/>
      <w:bookmarkEnd w:id="290"/>
      <w:bookmarkEnd w:id="291"/>
    </w:p>
    <w:p w14:paraId="46D69C55" w14:textId="77777777" w:rsidR="00CD64B5" w:rsidRPr="007F2C2A" w:rsidRDefault="00CD64B5" w:rsidP="00CD64B5">
      <w:pPr>
        <w:spacing w:before="120" w:after="120"/>
        <w:rPr>
          <w:lang w:val="ka-GE" w:eastAsia="da-DK"/>
        </w:rPr>
      </w:pPr>
      <w:r w:rsidRPr="007F2C2A">
        <w:rPr>
          <w:rFonts w:ascii="Sylfaen" w:hAnsi="Sylfaen" w:cs="Sylfaen"/>
          <w:lang w:val="ka-GE"/>
        </w:rPr>
        <w:t>ავტომობილებიდან</w:t>
      </w:r>
      <w:r w:rsidRPr="007F2C2A">
        <w:rPr>
          <w:lang w:val="ka-GE"/>
        </w:rPr>
        <w:t xml:space="preserve"> </w:t>
      </w:r>
      <w:r w:rsidRPr="007F2C2A">
        <w:rPr>
          <w:rFonts w:ascii="Sylfaen" w:hAnsi="Sylfaen" w:cs="Sylfaen"/>
          <w:lang w:val="ka-GE"/>
        </w:rPr>
        <w:t>გამოყოფილი</w:t>
      </w:r>
      <w:r w:rsidRPr="007F2C2A">
        <w:rPr>
          <w:lang w:val="ka-GE"/>
        </w:rPr>
        <w:t xml:space="preserve"> </w:t>
      </w:r>
      <w:r w:rsidRPr="007F2C2A">
        <w:rPr>
          <w:rFonts w:ascii="Sylfaen" w:hAnsi="Sylfaen" w:cs="Sylfaen"/>
          <w:lang w:val="ka-GE"/>
        </w:rPr>
        <w:t>გამონაბოლქვის</w:t>
      </w:r>
      <w:r w:rsidRPr="007F2C2A">
        <w:rPr>
          <w:lang w:val="ka-GE"/>
        </w:rPr>
        <w:t xml:space="preserve"> </w:t>
      </w:r>
      <w:r w:rsidRPr="007F2C2A">
        <w:rPr>
          <w:rFonts w:ascii="Sylfaen" w:hAnsi="Sylfaen" w:cs="Sylfaen"/>
          <w:lang w:val="ka-GE"/>
        </w:rPr>
        <w:t>რაოდენობა</w:t>
      </w:r>
      <w:r w:rsidRPr="007F2C2A">
        <w:rPr>
          <w:lang w:val="ka-GE"/>
        </w:rPr>
        <w:t xml:space="preserve"> </w:t>
      </w:r>
      <w:r w:rsidRPr="007F2C2A">
        <w:rPr>
          <w:rFonts w:ascii="Sylfaen" w:hAnsi="Sylfaen" w:cs="Sylfaen"/>
          <w:lang w:val="ka-GE"/>
        </w:rPr>
        <w:t>დამოკიდებულია</w:t>
      </w:r>
      <w:r w:rsidRPr="007F2C2A">
        <w:rPr>
          <w:lang w:val="ka-GE"/>
        </w:rPr>
        <w:t xml:space="preserve"> </w:t>
      </w:r>
      <w:r w:rsidRPr="007F2C2A">
        <w:rPr>
          <w:rFonts w:ascii="Sylfaen" w:hAnsi="Sylfaen" w:cs="Sylfaen"/>
          <w:lang w:val="ka-GE"/>
        </w:rPr>
        <w:t>მათ</w:t>
      </w:r>
      <w:r w:rsidRPr="007F2C2A">
        <w:rPr>
          <w:lang w:val="ka-GE"/>
        </w:rPr>
        <w:t xml:space="preserve"> </w:t>
      </w:r>
      <w:r w:rsidRPr="007F2C2A">
        <w:rPr>
          <w:rFonts w:ascii="Sylfaen" w:hAnsi="Sylfaen" w:cs="Sylfaen"/>
          <w:lang w:val="ka-GE"/>
        </w:rPr>
        <w:t>ტექნიკური</w:t>
      </w:r>
      <w:r w:rsidRPr="007F2C2A">
        <w:rPr>
          <w:lang w:val="ka-GE"/>
        </w:rPr>
        <w:t xml:space="preserve"> </w:t>
      </w:r>
      <w:r w:rsidRPr="007F2C2A">
        <w:rPr>
          <w:rFonts w:ascii="Sylfaen" w:hAnsi="Sylfaen" w:cs="Sylfaen"/>
          <w:lang w:val="ka-GE"/>
        </w:rPr>
        <w:t>გამართულობის</w:t>
      </w:r>
      <w:r w:rsidRPr="007F2C2A">
        <w:rPr>
          <w:lang w:val="ka-GE"/>
        </w:rPr>
        <w:t xml:space="preserve"> </w:t>
      </w:r>
      <w:r w:rsidRPr="007F2C2A">
        <w:rPr>
          <w:rFonts w:ascii="Sylfaen" w:hAnsi="Sylfaen" w:cs="Sylfaen"/>
          <w:lang w:val="ka-GE"/>
        </w:rPr>
        <w:t>ხარისხზე</w:t>
      </w:r>
      <w:r w:rsidRPr="007F2C2A">
        <w:rPr>
          <w:lang w:val="ka-GE"/>
        </w:rPr>
        <w:t xml:space="preserve">, </w:t>
      </w:r>
      <w:r w:rsidRPr="007F2C2A">
        <w:rPr>
          <w:rFonts w:ascii="Sylfaen" w:hAnsi="Sylfaen" w:cs="Sylfaen"/>
          <w:lang w:val="ka-GE"/>
        </w:rPr>
        <w:t>სატრანსპორტო</w:t>
      </w:r>
      <w:r w:rsidRPr="007F2C2A">
        <w:rPr>
          <w:lang w:val="ka-GE"/>
        </w:rPr>
        <w:t xml:space="preserve"> </w:t>
      </w:r>
      <w:r w:rsidRPr="007F2C2A">
        <w:rPr>
          <w:rFonts w:ascii="Sylfaen" w:hAnsi="Sylfaen" w:cs="Sylfaen"/>
          <w:lang w:val="ka-GE"/>
        </w:rPr>
        <w:t>ნაკადში</w:t>
      </w:r>
      <w:r w:rsidRPr="007F2C2A">
        <w:rPr>
          <w:lang w:val="ka-GE"/>
        </w:rPr>
        <w:t xml:space="preserve"> </w:t>
      </w:r>
      <w:r w:rsidRPr="007F2C2A">
        <w:rPr>
          <w:rFonts w:ascii="Sylfaen" w:hAnsi="Sylfaen" w:cs="Sylfaen"/>
          <w:lang w:val="ka-GE"/>
        </w:rPr>
        <w:t>მძიმე</w:t>
      </w:r>
      <w:r w:rsidRPr="007F2C2A">
        <w:rPr>
          <w:lang w:val="ka-GE"/>
        </w:rPr>
        <w:t xml:space="preserve"> </w:t>
      </w:r>
      <w:r w:rsidRPr="007F2C2A">
        <w:rPr>
          <w:rFonts w:ascii="Sylfaen" w:hAnsi="Sylfaen" w:cs="Sylfaen"/>
          <w:lang w:val="ka-GE"/>
        </w:rPr>
        <w:t>სატვირთო</w:t>
      </w:r>
      <w:r w:rsidRPr="007F2C2A">
        <w:rPr>
          <w:lang w:val="ka-GE"/>
        </w:rPr>
        <w:t xml:space="preserve"> </w:t>
      </w:r>
      <w:r w:rsidRPr="007F2C2A">
        <w:rPr>
          <w:rFonts w:ascii="Sylfaen" w:hAnsi="Sylfaen" w:cs="Sylfaen"/>
          <w:lang w:val="ka-GE"/>
        </w:rPr>
        <w:t>ავტომანქანების</w:t>
      </w:r>
      <w:r w:rsidRPr="007F2C2A">
        <w:rPr>
          <w:lang w:val="ka-GE"/>
        </w:rPr>
        <w:t xml:space="preserve"> </w:t>
      </w:r>
      <w:r w:rsidRPr="007F2C2A">
        <w:rPr>
          <w:rFonts w:ascii="Sylfaen" w:hAnsi="Sylfaen" w:cs="Sylfaen"/>
          <w:lang w:val="ka-GE"/>
        </w:rPr>
        <w:t>პროცენტულ</w:t>
      </w:r>
      <w:r w:rsidRPr="007F2C2A">
        <w:rPr>
          <w:lang w:val="ka-GE"/>
        </w:rPr>
        <w:t xml:space="preserve"> </w:t>
      </w:r>
      <w:r w:rsidRPr="007F2C2A">
        <w:rPr>
          <w:rFonts w:ascii="Sylfaen" w:hAnsi="Sylfaen" w:cs="Sylfaen"/>
          <w:lang w:val="ka-GE"/>
        </w:rPr>
        <w:t>წილზე</w:t>
      </w:r>
      <w:r w:rsidRPr="007F2C2A">
        <w:rPr>
          <w:lang w:val="ka-GE"/>
        </w:rPr>
        <w:t xml:space="preserve">, </w:t>
      </w:r>
      <w:r w:rsidRPr="007F2C2A">
        <w:rPr>
          <w:rFonts w:ascii="Sylfaen" w:hAnsi="Sylfaen" w:cs="Sylfaen"/>
          <w:lang w:val="ka-GE"/>
        </w:rPr>
        <w:t>საწვავის</w:t>
      </w:r>
      <w:r w:rsidRPr="007F2C2A">
        <w:rPr>
          <w:lang w:val="ka-GE"/>
        </w:rPr>
        <w:t xml:space="preserve"> </w:t>
      </w:r>
      <w:r w:rsidRPr="007F2C2A">
        <w:rPr>
          <w:rFonts w:ascii="Sylfaen" w:hAnsi="Sylfaen" w:cs="Sylfaen"/>
          <w:lang w:val="ka-GE"/>
        </w:rPr>
        <w:t>ხარისხზე</w:t>
      </w:r>
      <w:r w:rsidRPr="007F2C2A">
        <w:rPr>
          <w:lang w:val="ka-GE"/>
        </w:rPr>
        <w:t xml:space="preserve"> </w:t>
      </w:r>
      <w:r w:rsidRPr="007F2C2A">
        <w:rPr>
          <w:rFonts w:ascii="Sylfaen" w:hAnsi="Sylfaen" w:cs="Sylfaen"/>
          <w:lang w:val="ka-GE"/>
        </w:rPr>
        <w:t>და</w:t>
      </w:r>
      <w:r w:rsidRPr="007F2C2A">
        <w:rPr>
          <w:lang w:val="ka-GE"/>
        </w:rPr>
        <w:t xml:space="preserve"> </w:t>
      </w:r>
      <w:r w:rsidRPr="007F2C2A">
        <w:rPr>
          <w:rFonts w:ascii="Sylfaen" w:hAnsi="Sylfaen" w:cs="Sylfaen"/>
          <w:lang w:val="ka-GE"/>
        </w:rPr>
        <w:t>სიჩქარეზე</w:t>
      </w:r>
      <w:r w:rsidRPr="007F2C2A">
        <w:rPr>
          <w:lang w:val="ka-GE"/>
        </w:rPr>
        <w:t xml:space="preserve">. </w:t>
      </w:r>
      <w:r w:rsidRPr="007F2C2A">
        <w:rPr>
          <w:rFonts w:ascii="Sylfaen" w:hAnsi="Sylfaen" w:cs="Sylfaen"/>
          <w:lang w:val="ka-GE"/>
        </w:rPr>
        <w:t>მოძველებულ</w:t>
      </w:r>
      <w:r w:rsidRPr="007F2C2A">
        <w:rPr>
          <w:lang w:val="ka-GE"/>
        </w:rPr>
        <w:t xml:space="preserve"> </w:t>
      </w:r>
      <w:r w:rsidRPr="007F2C2A">
        <w:rPr>
          <w:rFonts w:ascii="Sylfaen" w:hAnsi="Sylfaen" w:cs="Sylfaen"/>
          <w:lang w:val="ka-GE"/>
        </w:rPr>
        <w:t>ავტომობილებს</w:t>
      </w:r>
      <w:r w:rsidRPr="007F2C2A">
        <w:rPr>
          <w:lang w:val="ka-GE"/>
        </w:rPr>
        <w:t xml:space="preserve"> </w:t>
      </w:r>
      <w:r w:rsidRPr="007F2C2A">
        <w:rPr>
          <w:rFonts w:ascii="Sylfaen" w:hAnsi="Sylfaen" w:cs="Sylfaen"/>
          <w:lang w:val="ka-GE"/>
        </w:rPr>
        <w:t>საწვავის</w:t>
      </w:r>
      <w:r w:rsidRPr="007F2C2A">
        <w:rPr>
          <w:lang w:val="ka-GE"/>
        </w:rPr>
        <w:t xml:space="preserve"> </w:t>
      </w:r>
      <w:r w:rsidRPr="007F2C2A">
        <w:rPr>
          <w:rFonts w:ascii="Sylfaen" w:hAnsi="Sylfaen" w:cs="Sylfaen"/>
          <w:lang w:val="ka-GE"/>
        </w:rPr>
        <w:t>მოხმარება</w:t>
      </w:r>
      <w:r w:rsidRPr="007F2C2A">
        <w:rPr>
          <w:lang w:val="ka-GE"/>
        </w:rPr>
        <w:t xml:space="preserve"> </w:t>
      </w:r>
      <w:r w:rsidRPr="007F2C2A">
        <w:rPr>
          <w:rFonts w:ascii="Sylfaen" w:hAnsi="Sylfaen" w:cs="Sylfaen"/>
          <w:lang w:val="ka-GE"/>
        </w:rPr>
        <w:t>დაბალი</w:t>
      </w:r>
      <w:r w:rsidRPr="007F2C2A">
        <w:rPr>
          <w:lang w:val="ka-GE"/>
        </w:rPr>
        <w:t xml:space="preserve"> </w:t>
      </w:r>
      <w:r w:rsidRPr="007F2C2A">
        <w:rPr>
          <w:rFonts w:ascii="Sylfaen" w:hAnsi="Sylfaen" w:cs="Sylfaen"/>
          <w:lang w:val="ka-GE"/>
        </w:rPr>
        <w:t>ეფექტურობა</w:t>
      </w:r>
      <w:r w:rsidRPr="007F2C2A">
        <w:rPr>
          <w:lang w:val="ka-GE"/>
        </w:rPr>
        <w:t xml:space="preserve"> </w:t>
      </w:r>
      <w:r w:rsidRPr="007F2C2A">
        <w:rPr>
          <w:rFonts w:ascii="Sylfaen" w:hAnsi="Sylfaen" w:cs="Sylfaen"/>
          <w:lang w:val="ka-GE"/>
        </w:rPr>
        <w:t>ახასიათებთ</w:t>
      </w:r>
      <w:r w:rsidRPr="007F2C2A">
        <w:rPr>
          <w:lang w:val="ka-GE"/>
        </w:rPr>
        <w:t xml:space="preserve">, </w:t>
      </w:r>
      <w:r w:rsidRPr="007F2C2A">
        <w:rPr>
          <w:rFonts w:ascii="Sylfaen" w:hAnsi="Sylfaen" w:cs="Sylfaen"/>
          <w:lang w:val="ka-GE"/>
        </w:rPr>
        <w:t>შესაბამისად</w:t>
      </w:r>
      <w:r w:rsidRPr="007F2C2A">
        <w:rPr>
          <w:lang w:val="ka-GE"/>
        </w:rPr>
        <w:t xml:space="preserve"> </w:t>
      </w:r>
      <w:r w:rsidRPr="007F2C2A">
        <w:rPr>
          <w:rFonts w:ascii="Sylfaen" w:hAnsi="Sylfaen" w:cs="Sylfaen"/>
          <w:lang w:val="ka-GE"/>
        </w:rPr>
        <w:t>წვის</w:t>
      </w:r>
      <w:r w:rsidRPr="007F2C2A">
        <w:rPr>
          <w:lang w:val="ka-GE"/>
        </w:rPr>
        <w:t xml:space="preserve"> </w:t>
      </w:r>
      <w:r w:rsidRPr="007F2C2A">
        <w:rPr>
          <w:rFonts w:ascii="Sylfaen" w:hAnsi="Sylfaen" w:cs="Sylfaen"/>
          <w:lang w:val="ka-GE"/>
        </w:rPr>
        <w:t>თანაპროდუქტების</w:t>
      </w:r>
      <w:r w:rsidRPr="007F2C2A">
        <w:rPr>
          <w:lang w:val="ka-GE"/>
        </w:rPr>
        <w:t xml:space="preserve"> </w:t>
      </w:r>
      <w:r w:rsidRPr="007F2C2A">
        <w:rPr>
          <w:rFonts w:ascii="Sylfaen" w:hAnsi="Sylfaen" w:cs="Sylfaen"/>
          <w:lang w:val="ka-GE"/>
        </w:rPr>
        <w:t>ემისია</w:t>
      </w:r>
      <w:r w:rsidRPr="007F2C2A">
        <w:rPr>
          <w:lang w:val="ka-GE"/>
        </w:rPr>
        <w:t xml:space="preserve"> </w:t>
      </w:r>
      <w:r w:rsidRPr="007F2C2A">
        <w:rPr>
          <w:rFonts w:ascii="Sylfaen" w:hAnsi="Sylfaen" w:cs="Sylfaen"/>
          <w:lang w:val="ka-GE"/>
        </w:rPr>
        <w:t>ასეთი</w:t>
      </w:r>
      <w:r w:rsidRPr="007F2C2A">
        <w:rPr>
          <w:lang w:val="ka-GE"/>
        </w:rPr>
        <w:t xml:space="preserve"> </w:t>
      </w:r>
      <w:r w:rsidRPr="007F2C2A">
        <w:rPr>
          <w:rFonts w:ascii="Sylfaen" w:hAnsi="Sylfaen" w:cs="Sylfaen"/>
          <w:lang w:val="ka-GE"/>
        </w:rPr>
        <w:t>მანქანებიდან</w:t>
      </w:r>
      <w:r w:rsidRPr="007F2C2A">
        <w:rPr>
          <w:lang w:val="ka-GE"/>
        </w:rPr>
        <w:t xml:space="preserve"> </w:t>
      </w:r>
      <w:r w:rsidRPr="007F2C2A">
        <w:rPr>
          <w:rFonts w:ascii="Sylfaen" w:hAnsi="Sylfaen" w:cs="Sylfaen"/>
          <w:lang w:val="ka-GE"/>
        </w:rPr>
        <w:t>მაღალია</w:t>
      </w:r>
      <w:r w:rsidRPr="007F2C2A">
        <w:rPr>
          <w:lang w:val="ka-GE"/>
        </w:rPr>
        <w:t xml:space="preserve">. </w:t>
      </w:r>
      <w:r w:rsidRPr="007F2C2A">
        <w:rPr>
          <w:rFonts w:ascii="Sylfaen" w:hAnsi="Sylfaen" w:cs="Sylfaen"/>
          <w:lang w:val="ka-GE"/>
        </w:rPr>
        <w:t>სიჩქარის</w:t>
      </w:r>
      <w:r w:rsidRPr="007F2C2A">
        <w:rPr>
          <w:lang w:val="ka-GE"/>
        </w:rPr>
        <w:t xml:space="preserve"> </w:t>
      </w:r>
      <w:r w:rsidRPr="007F2C2A">
        <w:rPr>
          <w:rFonts w:ascii="Sylfaen" w:hAnsi="Sylfaen" w:cs="Sylfaen"/>
          <w:lang w:val="ka-GE"/>
        </w:rPr>
        <w:t>მატებისას</w:t>
      </w:r>
      <w:r w:rsidRPr="007F2C2A">
        <w:rPr>
          <w:lang w:val="ka-GE"/>
        </w:rPr>
        <w:t xml:space="preserve"> </w:t>
      </w:r>
      <w:r w:rsidRPr="007F2C2A">
        <w:rPr>
          <w:rFonts w:ascii="Sylfaen" w:hAnsi="Sylfaen" w:cs="Sylfaen"/>
          <w:lang w:val="ka-GE"/>
        </w:rPr>
        <w:t>იზრდება</w:t>
      </w:r>
      <w:r w:rsidRPr="007F2C2A">
        <w:rPr>
          <w:lang w:val="ka-GE"/>
        </w:rPr>
        <w:t xml:space="preserve"> </w:t>
      </w:r>
      <w:r w:rsidRPr="007F2C2A">
        <w:rPr>
          <w:rFonts w:ascii="Sylfaen" w:hAnsi="Sylfaen" w:cs="Sylfaen"/>
          <w:lang w:val="ka-GE"/>
        </w:rPr>
        <w:t>საწვავის</w:t>
      </w:r>
      <w:r w:rsidRPr="007F2C2A">
        <w:rPr>
          <w:lang w:val="ka-GE"/>
        </w:rPr>
        <w:t xml:space="preserve"> </w:t>
      </w:r>
      <w:r w:rsidRPr="007F2C2A">
        <w:rPr>
          <w:rFonts w:ascii="Sylfaen" w:hAnsi="Sylfaen" w:cs="Sylfaen"/>
          <w:lang w:val="ka-GE"/>
        </w:rPr>
        <w:t>ხარჯი</w:t>
      </w:r>
      <w:r w:rsidRPr="007F2C2A">
        <w:rPr>
          <w:lang w:val="ka-GE"/>
        </w:rPr>
        <w:t xml:space="preserve">, </w:t>
      </w:r>
      <w:r w:rsidRPr="007F2C2A">
        <w:rPr>
          <w:rFonts w:ascii="Sylfaen" w:hAnsi="Sylfaen" w:cs="Sylfaen"/>
          <w:lang w:val="ka-GE"/>
        </w:rPr>
        <w:t>რაც</w:t>
      </w:r>
      <w:r w:rsidRPr="007F2C2A">
        <w:rPr>
          <w:lang w:val="ka-GE"/>
        </w:rPr>
        <w:t xml:space="preserve"> </w:t>
      </w:r>
      <w:r w:rsidRPr="007F2C2A">
        <w:rPr>
          <w:rFonts w:ascii="Sylfaen" w:hAnsi="Sylfaen" w:cs="Sylfaen"/>
          <w:lang w:val="ka-GE"/>
        </w:rPr>
        <w:t>მეტი</w:t>
      </w:r>
      <w:r w:rsidRPr="007F2C2A">
        <w:rPr>
          <w:lang w:val="ka-GE"/>
        </w:rPr>
        <w:t xml:space="preserve"> </w:t>
      </w:r>
      <w:r w:rsidRPr="007F2C2A">
        <w:rPr>
          <w:rFonts w:ascii="Sylfaen" w:hAnsi="Sylfaen" w:cs="Sylfaen"/>
          <w:lang w:val="ka-GE"/>
        </w:rPr>
        <w:t>დამაბინძურებლების</w:t>
      </w:r>
      <w:r w:rsidRPr="007F2C2A">
        <w:rPr>
          <w:lang w:val="ka-GE"/>
        </w:rPr>
        <w:t xml:space="preserve"> </w:t>
      </w:r>
      <w:r w:rsidRPr="007F2C2A">
        <w:rPr>
          <w:rFonts w:ascii="Sylfaen" w:hAnsi="Sylfaen" w:cs="Sylfaen"/>
          <w:lang w:val="ka-GE"/>
        </w:rPr>
        <w:t>ემისიას</w:t>
      </w:r>
      <w:r w:rsidRPr="007F2C2A">
        <w:rPr>
          <w:lang w:val="ka-GE"/>
        </w:rPr>
        <w:t xml:space="preserve"> </w:t>
      </w:r>
      <w:r w:rsidRPr="007F2C2A">
        <w:rPr>
          <w:rFonts w:ascii="Sylfaen" w:hAnsi="Sylfaen" w:cs="Sylfaen"/>
          <w:lang w:val="ka-GE"/>
        </w:rPr>
        <w:t>იწვევს</w:t>
      </w:r>
      <w:r w:rsidRPr="007F2C2A">
        <w:rPr>
          <w:lang w:val="ka-GE"/>
        </w:rPr>
        <w:t>.</w:t>
      </w:r>
    </w:p>
    <w:p w14:paraId="323853E1" w14:textId="77777777" w:rsidR="00CD64B5" w:rsidRPr="007F2C2A" w:rsidRDefault="00CD64B5" w:rsidP="00CD64B5">
      <w:pPr>
        <w:spacing w:before="120" w:after="120"/>
        <w:rPr>
          <w:lang w:val="ka-GE"/>
        </w:rPr>
      </w:pPr>
      <w:r w:rsidRPr="007F2C2A">
        <w:rPr>
          <w:rFonts w:ascii="Sylfaen" w:hAnsi="Sylfaen" w:cs="Sylfaen"/>
          <w:lang w:val="ka-GE"/>
        </w:rPr>
        <w:t>მაგისტრალის</w:t>
      </w:r>
      <w:r w:rsidRPr="007F2C2A">
        <w:rPr>
          <w:lang w:val="ka-GE"/>
        </w:rPr>
        <w:t xml:space="preserve"> </w:t>
      </w:r>
      <w:r w:rsidRPr="007F2C2A">
        <w:rPr>
          <w:rFonts w:ascii="Sylfaen" w:hAnsi="Sylfaen" w:cs="Sylfaen"/>
          <w:lang w:val="ka-GE"/>
        </w:rPr>
        <w:t>საკვლევი</w:t>
      </w:r>
      <w:r w:rsidRPr="007F2C2A">
        <w:rPr>
          <w:lang w:val="ka-GE"/>
        </w:rPr>
        <w:t xml:space="preserve"> </w:t>
      </w:r>
      <w:r w:rsidRPr="007F2C2A">
        <w:rPr>
          <w:rFonts w:ascii="Sylfaen" w:hAnsi="Sylfaen" w:cs="Sylfaen"/>
          <w:lang w:val="ka-GE"/>
        </w:rPr>
        <w:t>მონაკვეთის</w:t>
      </w:r>
      <w:r w:rsidRPr="007F2C2A">
        <w:rPr>
          <w:lang w:val="ka-GE"/>
        </w:rPr>
        <w:t xml:space="preserve"> </w:t>
      </w:r>
      <w:r w:rsidRPr="007F2C2A">
        <w:rPr>
          <w:rFonts w:ascii="Sylfaen" w:hAnsi="Sylfaen" w:cs="Sylfaen"/>
          <w:lang w:val="ka-GE"/>
        </w:rPr>
        <w:t>მოდერნიზაციის</w:t>
      </w:r>
      <w:r w:rsidRPr="007F2C2A">
        <w:rPr>
          <w:lang w:val="ka-GE"/>
        </w:rPr>
        <w:t xml:space="preserve"> </w:t>
      </w:r>
      <w:r w:rsidRPr="007F2C2A">
        <w:rPr>
          <w:rFonts w:ascii="Sylfaen" w:hAnsi="Sylfaen" w:cs="Sylfaen"/>
          <w:lang w:val="ka-GE"/>
        </w:rPr>
        <w:t>შემდეგ</w:t>
      </w:r>
      <w:r w:rsidRPr="007F2C2A">
        <w:rPr>
          <w:lang w:val="ka-GE"/>
        </w:rPr>
        <w:t xml:space="preserve"> </w:t>
      </w:r>
      <w:r w:rsidRPr="007F2C2A">
        <w:rPr>
          <w:rFonts w:ascii="Sylfaen" w:hAnsi="Sylfaen" w:cs="Sylfaen"/>
          <w:lang w:val="ka-GE"/>
        </w:rPr>
        <w:t>სიჩქარის</w:t>
      </w:r>
      <w:r w:rsidRPr="007F2C2A">
        <w:rPr>
          <w:lang w:val="ka-GE"/>
        </w:rPr>
        <w:t xml:space="preserve"> </w:t>
      </w:r>
      <w:r w:rsidRPr="007F2C2A">
        <w:rPr>
          <w:rFonts w:ascii="Sylfaen" w:hAnsi="Sylfaen" w:cs="Sylfaen"/>
          <w:lang w:val="ka-GE"/>
        </w:rPr>
        <w:t>დასაშვები</w:t>
      </w:r>
      <w:r w:rsidRPr="007F2C2A">
        <w:rPr>
          <w:lang w:val="ka-GE"/>
        </w:rPr>
        <w:t xml:space="preserve"> </w:t>
      </w:r>
      <w:r w:rsidRPr="007F2C2A">
        <w:rPr>
          <w:rFonts w:ascii="Sylfaen" w:hAnsi="Sylfaen" w:cs="Sylfaen"/>
          <w:lang w:val="ka-GE"/>
        </w:rPr>
        <w:t>ზღვარი</w:t>
      </w:r>
      <w:r w:rsidRPr="007F2C2A">
        <w:rPr>
          <w:lang w:val="ka-GE"/>
        </w:rPr>
        <w:t xml:space="preserve"> </w:t>
      </w:r>
      <w:r w:rsidRPr="007F2C2A">
        <w:rPr>
          <w:rFonts w:ascii="Sylfaen" w:hAnsi="Sylfaen" w:cs="Sylfaen"/>
          <w:lang w:val="ka-GE"/>
        </w:rPr>
        <w:t>ბორცვიან</w:t>
      </w:r>
      <w:r w:rsidRPr="007F2C2A">
        <w:rPr>
          <w:lang w:val="ka-GE"/>
        </w:rPr>
        <w:t xml:space="preserve"> </w:t>
      </w:r>
      <w:r w:rsidRPr="007F2C2A">
        <w:rPr>
          <w:rFonts w:ascii="Sylfaen" w:hAnsi="Sylfaen" w:cs="Sylfaen"/>
          <w:lang w:val="ka-GE"/>
        </w:rPr>
        <w:t>და</w:t>
      </w:r>
      <w:r w:rsidRPr="007F2C2A">
        <w:rPr>
          <w:lang w:val="ka-GE"/>
        </w:rPr>
        <w:t xml:space="preserve"> </w:t>
      </w:r>
      <w:r w:rsidRPr="007F2C2A">
        <w:rPr>
          <w:rFonts w:ascii="Sylfaen" w:hAnsi="Sylfaen" w:cs="Sylfaen"/>
          <w:lang w:val="ka-GE"/>
        </w:rPr>
        <w:t>მთიან</w:t>
      </w:r>
      <w:r w:rsidRPr="007F2C2A">
        <w:rPr>
          <w:lang w:val="ka-GE"/>
        </w:rPr>
        <w:t xml:space="preserve"> </w:t>
      </w:r>
      <w:r w:rsidRPr="007F2C2A">
        <w:rPr>
          <w:rFonts w:ascii="Sylfaen" w:hAnsi="Sylfaen" w:cs="Sylfaen"/>
          <w:lang w:val="ka-GE"/>
        </w:rPr>
        <w:t>ტერიტორიაზე</w:t>
      </w:r>
      <w:r w:rsidRPr="007F2C2A">
        <w:rPr>
          <w:lang w:val="ka-GE"/>
        </w:rPr>
        <w:t xml:space="preserve"> </w:t>
      </w:r>
      <w:r w:rsidRPr="007F2C2A">
        <w:rPr>
          <w:rFonts w:ascii="Sylfaen" w:hAnsi="Sylfaen" w:cs="Sylfaen"/>
          <w:lang w:val="ka-GE"/>
        </w:rPr>
        <w:t>შესაბამისად</w:t>
      </w:r>
      <w:r w:rsidRPr="007F2C2A">
        <w:rPr>
          <w:lang w:val="ka-GE"/>
        </w:rPr>
        <w:t xml:space="preserve"> 100</w:t>
      </w:r>
      <w:r w:rsidRPr="007F2C2A">
        <w:rPr>
          <w:rFonts w:ascii="Sylfaen" w:hAnsi="Sylfaen" w:cs="Sylfaen"/>
          <w:lang w:val="ka-GE"/>
        </w:rPr>
        <w:t>კმ</w:t>
      </w:r>
      <w:r w:rsidRPr="007F2C2A">
        <w:rPr>
          <w:lang w:val="ka-GE"/>
        </w:rPr>
        <w:t>/</w:t>
      </w:r>
      <w:r w:rsidRPr="007F2C2A">
        <w:rPr>
          <w:rFonts w:ascii="Sylfaen" w:hAnsi="Sylfaen" w:cs="Sylfaen"/>
          <w:lang w:val="ka-GE"/>
        </w:rPr>
        <w:t>სთ</w:t>
      </w:r>
      <w:r w:rsidRPr="007F2C2A">
        <w:rPr>
          <w:lang w:val="ka-GE"/>
        </w:rPr>
        <w:t xml:space="preserve"> </w:t>
      </w:r>
      <w:r w:rsidRPr="007F2C2A">
        <w:rPr>
          <w:rFonts w:ascii="Sylfaen" w:hAnsi="Sylfaen" w:cs="Sylfaen"/>
          <w:lang w:val="ka-GE"/>
        </w:rPr>
        <w:t>და</w:t>
      </w:r>
      <w:r w:rsidRPr="007F2C2A">
        <w:rPr>
          <w:lang w:val="ka-GE"/>
        </w:rPr>
        <w:t xml:space="preserve"> 80</w:t>
      </w:r>
      <w:r w:rsidRPr="007F2C2A">
        <w:rPr>
          <w:rFonts w:ascii="Sylfaen" w:hAnsi="Sylfaen" w:cs="Sylfaen"/>
          <w:lang w:val="ka-GE"/>
        </w:rPr>
        <w:t>კმ</w:t>
      </w:r>
      <w:r w:rsidRPr="007F2C2A">
        <w:rPr>
          <w:lang w:val="ka-GE"/>
        </w:rPr>
        <w:t>/</w:t>
      </w:r>
      <w:r w:rsidRPr="007F2C2A">
        <w:rPr>
          <w:rFonts w:ascii="Sylfaen" w:hAnsi="Sylfaen" w:cs="Sylfaen"/>
          <w:lang w:val="ka-GE"/>
        </w:rPr>
        <w:t>სთ</w:t>
      </w:r>
      <w:r w:rsidRPr="007F2C2A">
        <w:rPr>
          <w:lang w:val="ka-GE"/>
        </w:rPr>
        <w:t xml:space="preserve"> </w:t>
      </w:r>
      <w:r w:rsidRPr="007F2C2A">
        <w:rPr>
          <w:rFonts w:ascii="Sylfaen" w:hAnsi="Sylfaen" w:cs="Sylfaen"/>
          <w:lang w:val="ka-GE"/>
        </w:rPr>
        <w:t>იქნება</w:t>
      </w:r>
      <w:r w:rsidRPr="007F2C2A">
        <w:rPr>
          <w:lang w:val="ka-GE"/>
        </w:rPr>
        <w:t>. (</w:t>
      </w:r>
      <w:r w:rsidRPr="007F2C2A">
        <w:rPr>
          <w:rFonts w:ascii="Sylfaen" w:hAnsi="Sylfaen" w:cs="Sylfaen"/>
          <w:lang w:val="ka-GE"/>
        </w:rPr>
        <w:t>სიჩქარის</w:t>
      </w:r>
      <w:r w:rsidRPr="007F2C2A">
        <w:rPr>
          <w:lang w:val="ka-GE"/>
        </w:rPr>
        <w:t xml:space="preserve"> </w:t>
      </w:r>
      <w:r w:rsidRPr="007F2C2A">
        <w:rPr>
          <w:rFonts w:ascii="Sylfaen" w:hAnsi="Sylfaen" w:cs="Sylfaen"/>
          <w:lang w:val="ka-GE"/>
        </w:rPr>
        <w:t>ზღვრები</w:t>
      </w:r>
      <w:r w:rsidRPr="007F2C2A">
        <w:rPr>
          <w:lang w:val="ka-GE"/>
        </w:rPr>
        <w:t xml:space="preserve"> </w:t>
      </w:r>
      <w:r w:rsidRPr="007F2C2A">
        <w:rPr>
          <w:rFonts w:ascii="Sylfaen" w:hAnsi="Sylfaen" w:cs="Sylfaen"/>
          <w:lang w:val="ka-GE"/>
        </w:rPr>
        <w:t>შეესაბამება</w:t>
      </w:r>
      <w:r w:rsidRPr="007F2C2A">
        <w:rPr>
          <w:lang w:val="ka-GE"/>
        </w:rPr>
        <w:t xml:space="preserve"> </w:t>
      </w:r>
      <w:r w:rsidRPr="007F2C2A">
        <w:rPr>
          <w:rFonts w:ascii="Sylfaen" w:hAnsi="Sylfaen" w:cs="Sylfaen"/>
          <w:lang w:val="ka-GE"/>
        </w:rPr>
        <w:t>დღეში</w:t>
      </w:r>
      <w:r w:rsidRPr="007F2C2A">
        <w:rPr>
          <w:lang w:val="ka-GE"/>
        </w:rPr>
        <w:t xml:space="preserve"> 8000 </w:t>
      </w:r>
      <w:r w:rsidRPr="007F2C2A">
        <w:rPr>
          <w:rFonts w:ascii="Sylfaen" w:hAnsi="Sylfaen" w:cs="Sylfaen"/>
          <w:lang w:val="ka-GE"/>
        </w:rPr>
        <w:t>ერთეულზე</w:t>
      </w:r>
      <w:r w:rsidRPr="007F2C2A">
        <w:rPr>
          <w:lang w:val="ka-GE"/>
        </w:rPr>
        <w:t xml:space="preserve"> </w:t>
      </w:r>
      <w:r w:rsidRPr="007F2C2A">
        <w:rPr>
          <w:rFonts w:ascii="Sylfaen" w:hAnsi="Sylfaen" w:cs="Sylfaen"/>
          <w:lang w:val="ka-GE"/>
        </w:rPr>
        <w:t>მეტი</w:t>
      </w:r>
      <w:r w:rsidRPr="007F2C2A">
        <w:rPr>
          <w:lang w:val="ka-GE"/>
        </w:rPr>
        <w:t xml:space="preserve"> </w:t>
      </w:r>
      <w:r w:rsidRPr="007F2C2A">
        <w:rPr>
          <w:rFonts w:ascii="Sylfaen" w:hAnsi="Sylfaen" w:cs="Sylfaen"/>
          <w:lang w:val="ka-GE"/>
        </w:rPr>
        <w:t>მანქანის</w:t>
      </w:r>
      <w:r w:rsidRPr="007F2C2A">
        <w:rPr>
          <w:lang w:val="ka-GE"/>
        </w:rPr>
        <w:t xml:space="preserve"> </w:t>
      </w:r>
      <w:r w:rsidRPr="007F2C2A">
        <w:rPr>
          <w:rFonts w:ascii="Sylfaen" w:hAnsi="Sylfaen" w:cs="Sylfaen"/>
          <w:lang w:val="ka-GE"/>
        </w:rPr>
        <w:t>გამტარუნარიანობის</w:t>
      </w:r>
      <w:r w:rsidRPr="007F2C2A">
        <w:rPr>
          <w:lang w:val="ka-GE"/>
        </w:rPr>
        <w:t xml:space="preserve"> </w:t>
      </w:r>
      <w:r w:rsidRPr="007F2C2A">
        <w:rPr>
          <w:rFonts w:ascii="Sylfaen" w:hAnsi="Sylfaen" w:cs="Sylfaen"/>
          <w:lang w:val="ka-GE"/>
        </w:rPr>
        <w:t>საერთაშორისო</w:t>
      </w:r>
      <w:r w:rsidRPr="007F2C2A">
        <w:rPr>
          <w:lang w:val="ka-GE"/>
        </w:rPr>
        <w:t xml:space="preserve"> </w:t>
      </w:r>
      <w:r w:rsidRPr="007F2C2A">
        <w:rPr>
          <w:rFonts w:ascii="Sylfaen" w:hAnsi="Sylfaen" w:cs="Sylfaen"/>
          <w:lang w:val="ka-GE"/>
        </w:rPr>
        <w:t>მნიშვნელობის</w:t>
      </w:r>
      <w:r w:rsidRPr="007F2C2A">
        <w:rPr>
          <w:lang w:val="ka-GE"/>
        </w:rPr>
        <w:t xml:space="preserve"> </w:t>
      </w:r>
      <w:r w:rsidRPr="007F2C2A">
        <w:rPr>
          <w:rFonts w:ascii="Sylfaen" w:hAnsi="Sylfaen" w:cs="Sylfaen"/>
          <w:lang w:val="ka-GE"/>
        </w:rPr>
        <w:t>გზისთვის</w:t>
      </w:r>
      <w:r w:rsidRPr="007F2C2A">
        <w:rPr>
          <w:lang w:val="ka-GE"/>
        </w:rPr>
        <w:t xml:space="preserve"> </w:t>
      </w:r>
      <w:r w:rsidRPr="007F2C2A">
        <w:rPr>
          <w:rFonts w:ascii="Sylfaen" w:hAnsi="Sylfaen" w:cs="Sylfaen"/>
          <w:lang w:val="ka-GE"/>
        </w:rPr>
        <w:t>დაწესებულ</w:t>
      </w:r>
      <w:r w:rsidRPr="007F2C2A">
        <w:rPr>
          <w:lang w:val="ka-GE"/>
        </w:rPr>
        <w:t xml:space="preserve"> </w:t>
      </w:r>
      <w:r w:rsidRPr="007F2C2A">
        <w:rPr>
          <w:rFonts w:ascii="Sylfaen" w:hAnsi="Sylfaen" w:cs="Sylfaen"/>
          <w:lang w:val="ka-GE"/>
        </w:rPr>
        <w:t>საქართველოს</w:t>
      </w:r>
      <w:r w:rsidRPr="007F2C2A">
        <w:rPr>
          <w:lang w:val="ka-GE"/>
        </w:rPr>
        <w:t xml:space="preserve"> </w:t>
      </w:r>
      <w:r w:rsidRPr="007F2C2A">
        <w:rPr>
          <w:rFonts w:ascii="Sylfaen" w:hAnsi="Sylfaen" w:cs="Sylfaen"/>
          <w:lang w:val="ka-GE"/>
        </w:rPr>
        <w:t>სტანდარტს</w:t>
      </w:r>
      <w:r w:rsidRPr="007F2C2A">
        <w:rPr>
          <w:lang w:val="ka-GE"/>
        </w:rPr>
        <w:t xml:space="preserve">). </w:t>
      </w:r>
      <w:r w:rsidRPr="007F2C2A">
        <w:rPr>
          <w:rFonts w:ascii="Sylfaen" w:hAnsi="Sylfaen" w:cs="Sylfaen"/>
          <w:lang w:val="ka-GE"/>
        </w:rPr>
        <w:t>გაზრდილი</w:t>
      </w:r>
      <w:r w:rsidRPr="007F2C2A">
        <w:rPr>
          <w:lang w:val="ka-GE"/>
        </w:rPr>
        <w:t xml:space="preserve"> </w:t>
      </w:r>
      <w:r w:rsidRPr="007F2C2A">
        <w:rPr>
          <w:rFonts w:ascii="Sylfaen" w:hAnsi="Sylfaen" w:cs="Sylfaen"/>
          <w:lang w:val="ka-GE"/>
        </w:rPr>
        <w:t>გამტარუნარიანობა</w:t>
      </w:r>
      <w:r w:rsidRPr="007F2C2A">
        <w:rPr>
          <w:lang w:val="ka-GE"/>
        </w:rPr>
        <w:t xml:space="preserve"> </w:t>
      </w:r>
      <w:r w:rsidRPr="007F2C2A">
        <w:rPr>
          <w:rFonts w:ascii="Sylfaen" w:hAnsi="Sylfaen" w:cs="Sylfaen"/>
          <w:lang w:val="ka-GE"/>
        </w:rPr>
        <w:t>გამოიწვევს</w:t>
      </w:r>
      <w:r w:rsidRPr="007F2C2A">
        <w:rPr>
          <w:lang w:val="ka-GE"/>
        </w:rPr>
        <w:t xml:space="preserve"> </w:t>
      </w:r>
      <w:r w:rsidRPr="007F2C2A">
        <w:rPr>
          <w:rFonts w:ascii="Sylfaen" w:hAnsi="Sylfaen" w:cs="Sylfaen"/>
          <w:lang w:val="ka-GE"/>
        </w:rPr>
        <w:t>სატრანსპორტო</w:t>
      </w:r>
      <w:r w:rsidRPr="007F2C2A">
        <w:rPr>
          <w:lang w:val="ka-GE"/>
        </w:rPr>
        <w:t xml:space="preserve"> </w:t>
      </w:r>
      <w:r w:rsidRPr="007F2C2A">
        <w:rPr>
          <w:rFonts w:ascii="Sylfaen" w:hAnsi="Sylfaen" w:cs="Sylfaen"/>
          <w:lang w:val="ka-GE"/>
        </w:rPr>
        <w:t>ნაკადების</w:t>
      </w:r>
      <w:r w:rsidRPr="007F2C2A">
        <w:rPr>
          <w:lang w:val="ka-GE"/>
        </w:rPr>
        <w:t xml:space="preserve"> </w:t>
      </w:r>
      <w:r w:rsidRPr="007F2C2A">
        <w:rPr>
          <w:rFonts w:ascii="Sylfaen" w:hAnsi="Sylfaen" w:cs="Sylfaen"/>
          <w:lang w:val="ka-GE"/>
        </w:rPr>
        <w:t>ზრდას</w:t>
      </w:r>
      <w:r w:rsidRPr="007F2C2A">
        <w:rPr>
          <w:lang w:val="ka-GE"/>
        </w:rPr>
        <w:t xml:space="preserve"> </w:t>
      </w:r>
      <w:r w:rsidRPr="007F2C2A">
        <w:rPr>
          <w:rFonts w:ascii="Sylfaen" w:hAnsi="Sylfaen" w:cs="Sylfaen"/>
          <w:lang w:val="ka-GE"/>
        </w:rPr>
        <w:t>და</w:t>
      </w:r>
      <w:r w:rsidRPr="007F2C2A">
        <w:rPr>
          <w:lang w:val="ka-GE"/>
        </w:rPr>
        <w:t xml:space="preserve"> </w:t>
      </w:r>
      <w:r w:rsidRPr="007F2C2A">
        <w:rPr>
          <w:rFonts w:ascii="Sylfaen" w:hAnsi="Sylfaen" w:cs="Sylfaen"/>
          <w:lang w:val="ka-GE"/>
        </w:rPr>
        <w:t>შესაბამისად</w:t>
      </w:r>
      <w:r w:rsidRPr="007F2C2A">
        <w:rPr>
          <w:lang w:val="ka-GE"/>
        </w:rPr>
        <w:t xml:space="preserve"> </w:t>
      </w:r>
      <w:r w:rsidRPr="007F2C2A">
        <w:rPr>
          <w:rFonts w:ascii="Sylfaen" w:hAnsi="Sylfaen" w:cs="Sylfaen"/>
          <w:lang w:val="ka-GE"/>
        </w:rPr>
        <w:t>უფრო</w:t>
      </w:r>
      <w:r w:rsidRPr="007F2C2A">
        <w:rPr>
          <w:lang w:val="ka-GE"/>
        </w:rPr>
        <w:t xml:space="preserve"> </w:t>
      </w:r>
      <w:r w:rsidRPr="007F2C2A">
        <w:rPr>
          <w:rFonts w:ascii="Sylfaen" w:hAnsi="Sylfaen" w:cs="Sylfaen"/>
          <w:lang w:val="ka-GE"/>
        </w:rPr>
        <w:t>მაღალ</w:t>
      </w:r>
      <w:r w:rsidRPr="007F2C2A">
        <w:rPr>
          <w:lang w:val="ka-GE"/>
        </w:rPr>
        <w:t xml:space="preserve"> </w:t>
      </w:r>
      <w:r w:rsidRPr="007F2C2A">
        <w:rPr>
          <w:rFonts w:ascii="Sylfaen" w:hAnsi="Sylfaen" w:cs="Sylfaen"/>
          <w:lang w:val="ka-GE"/>
        </w:rPr>
        <w:t>ემისიებს</w:t>
      </w:r>
      <w:r w:rsidRPr="007F2C2A">
        <w:rPr>
          <w:lang w:val="ka-GE"/>
        </w:rPr>
        <w:t xml:space="preserve">. </w:t>
      </w:r>
    </w:p>
    <w:p w14:paraId="35F6A0E7" w14:textId="77777777" w:rsidR="00CD64B5" w:rsidRPr="007F2C2A" w:rsidRDefault="00CD64B5" w:rsidP="00CD64B5">
      <w:pPr>
        <w:spacing w:before="120" w:after="120"/>
        <w:rPr>
          <w:lang w:val="ka-GE" w:eastAsia="en-GB"/>
        </w:rPr>
      </w:pPr>
      <w:r w:rsidRPr="007F2C2A">
        <w:rPr>
          <w:rFonts w:ascii="Sylfaen" w:hAnsi="Sylfaen" w:cs="Sylfaen"/>
          <w:lang w:val="ka-GE"/>
        </w:rPr>
        <w:t>ზემოქმედების</w:t>
      </w:r>
      <w:r w:rsidRPr="007F2C2A">
        <w:rPr>
          <w:lang w:val="ka-GE"/>
        </w:rPr>
        <w:t xml:space="preserve"> </w:t>
      </w:r>
      <w:r w:rsidRPr="007F2C2A">
        <w:rPr>
          <w:rFonts w:ascii="Sylfaen" w:hAnsi="Sylfaen" w:cs="Sylfaen"/>
          <w:lang w:val="ka-GE"/>
        </w:rPr>
        <w:t>შესაფასებლად</w:t>
      </w:r>
      <w:r w:rsidRPr="007F2C2A">
        <w:rPr>
          <w:lang w:val="ka-GE"/>
        </w:rPr>
        <w:t xml:space="preserve"> </w:t>
      </w:r>
      <w:r w:rsidRPr="007F2C2A">
        <w:rPr>
          <w:rFonts w:ascii="Sylfaen" w:hAnsi="Sylfaen" w:cs="Sylfaen"/>
          <w:lang w:val="ka-GE"/>
        </w:rPr>
        <w:t>შესრულდა</w:t>
      </w:r>
      <w:r w:rsidRPr="007F2C2A">
        <w:rPr>
          <w:lang w:val="ka-GE"/>
        </w:rPr>
        <w:t xml:space="preserve"> </w:t>
      </w:r>
      <w:r w:rsidRPr="007F2C2A">
        <w:rPr>
          <w:rFonts w:ascii="Sylfaen" w:hAnsi="Sylfaen" w:cs="Sylfaen"/>
          <w:lang w:val="ka-GE"/>
        </w:rPr>
        <w:t>ზემო</w:t>
      </w:r>
      <w:r w:rsidRPr="007F2C2A">
        <w:rPr>
          <w:lang w:val="ka-GE"/>
        </w:rPr>
        <w:t xml:space="preserve"> </w:t>
      </w:r>
      <w:r w:rsidRPr="007F2C2A">
        <w:rPr>
          <w:rFonts w:ascii="Sylfaen" w:hAnsi="Sylfaen" w:cs="Sylfaen"/>
          <w:lang w:val="ka-GE"/>
        </w:rPr>
        <w:t>ბაკურციხე</w:t>
      </w:r>
      <w:r w:rsidRPr="007F2C2A">
        <w:rPr>
          <w:lang w:val="ka-GE"/>
        </w:rPr>
        <w:t>-</w:t>
      </w:r>
      <w:r w:rsidRPr="007F2C2A">
        <w:rPr>
          <w:rFonts w:ascii="Sylfaen" w:hAnsi="Sylfaen" w:cs="Sylfaen"/>
          <w:lang w:val="ka-GE"/>
        </w:rPr>
        <w:t>წნორის</w:t>
      </w:r>
      <w:r w:rsidRPr="007F2C2A">
        <w:rPr>
          <w:lang w:val="ka-GE"/>
        </w:rPr>
        <w:t xml:space="preserve"> </w:t>
      </w:r>
      <w:r w:rsidRPr="007F2C2A">
        <w:rPr>
          <w:rFonts w:ascii="Sylfaen" w:hAnsi="Sylfaen" w:cs="Sylfaen"/>
          <w:lang w:val="ka-GE"/>
        </w:rPr>
        <w:t>გზის</w:t>
      </w:r>
      <w:r w:rsidRPr="007F2C2A">
        <w:rPr>
          <w:lang w:val="ka-GE"/>
        </w:rPr>
        <w:t xml:space="preserve"> </w:t>
      </w:r>
      <w:r w:rsidRPr="007F2C2A">
        <w:rPr>
          <w:rFonts w:ascii="Sylfaen" w:hAnsi="Sylfaen" w:cs="Sylfaen"/>
          <w:lang w:val="ka-GE"/>
        </w:rPr>
        <w:t>მონაკვეთზე</w:t>
      </w:r>
      <w:r w:rsidRPr="007F2C2A">
        <w:rPr>
          <w:lang w:val="ka-GE"/>
        </w:rPr>
        <w:t xml:space="preserve"> </w:t>
      </w:r>
      <w:r w:rsidRPr="007F2C2A">
        <w:rPr>
          <w:rFonts w:ascii="Sylfaen" w:hAnsi="Sylfaen" w:cs="Sylfaen"/>
          <w:lang w:val="ka-GE"/>
        </w:rPr>
        <w:t>ტრანსპორტის</w:t>
      </w:r>
      <w:r w:rsidRPr="007F2C2A">
        <w:rPr>
          <w:lang w:val="ka-GE"/>
        </w:rPr>
        <w:t xml:space="preserve"> </w:t>
      </w:r>
      <w:r w:rsidRPr="007F2C2A">
        <w:rPr>
          <w:rFonts w:ascii="Sylfaen" w:hAnsi="Sylfaen" w:cs="Sylfaen"/>
          <w:lang w:val="ka-GE"/>
        </w:rPr>
        <w:t>მოძრაობისას</w:t>
      </w:r>
      <w:r w:rsidRPr="007F2C2A">
        <w:rPr>
          <w:lang w:val="ka-GE"/>
        </w:rPr>
        <w:t xml:space="preserve"> </w:t>
      </w:r>
      <w:r w:rsidRPr="007F2C2A">
        <w:rPr>
          <w:rFonts w:ascii="Sylfaen" w:hAnsi="Sylfaen" w:cs="Sylfaen"/>
          <w:lang w:val="ka-GE"/>
        </w:rPr>
        <w:t>გაფრქვეული</w:t>
      </w:r>
      <w:r w:rsidRPr="007F2C2A">
        <w:rPr>
          <w:lang w:val="ka-GE"/>
        </w:rPr>
        <w:t xml:space="preserve"> </w:t>
      </w:r>
      <w:r w:rsidRPr="007F2C2A">
        <w:rPr>
          <w:rFonts w:ascii="Sylfaen" w:hAnsi="Sylfaen" w:cs="Sylfaen"/>
          <w:lang w:val="ka-GE"/>
        </w:rPr>
        <w:t>დამაბინძურებლების</w:t>
      </w:r>
      <w:r w:rsidRPr="007F2C2A">
        <w:rPr>
          <w:lang w:val="ka-GE"/>
        </w:rPr>
        <w:t xml:space="preserve"> (CO, NO</w:t>
      </w:r>
      <w:r w:rsidRPr="007F2C2A">
        <w:rPr>
          <w:rFonts w:ascii="Cambria Math" w:hAnsi="Cambria Math" w:cs="Cambria Math"/>
          <w:lang w:val="ka-GE"/>
        </w:rPr>
        <w:t>₂</w:t>
      </w:r>
      <w:r w:rsidRPr="007F2C2A">
        <w:rPr>
          <w:lang w:val="ka-GE"/>
        </w:rPr>
        <w:t xml:space="preserve">, </w:t>
      </w:r>
      <w:r w:rsidRPr="007F2C2A">
        <w:rPr>
          <w:rFonts w:ascii="Sylfaen" w:hAnsi="Sylfaen" w:cs="Sylfaen"/>
          <w:lang w:val="ka-GE"/>
        </w:rPr>
        <w:t>და</w:t>
      </w:r>
      <w:r w:rsidRPr="007F2C2A">
        <w:rPr>
          <w:lang w:val="ka-GE"/>
        </w:rPr>
        <w:t xml:space="preserve"> PM) </w:t>
      </w:r>
      <w:r w:rsidRPr="007F2C2A">
        <w:rPr>
          <w:rFonts w:ascii="Sylfaen" w:hAnsi="Sylfaen" w:cs="Sylfaen"/>
          <w:lang w:val="ka-GE"/>
        </w:rPr>
        <w:t>დისპერსიის</w:t>
      </w:r>
      <w:r w:rsidRPr="007F2C2A">
        <w:rPr>
          <w:lang w:val="ka-GE"/>
        </w:rPr>
        <w:t xml:space="preserve"> </w:t>
      </w:r>
      <w:r w:rsidRPr="007F2C2A">
        <w:rPr>
          <w:rFonts w:ascii="Sylfaen" w:hAnsi="Sylfaen" w:cs="Sylfaen"/>
          <w:lang w:val="ka-GE"/>
        </w:rPr>
        <w:t>მოდელირება</w:t>
      </w:r>
      <w:r w:rsidRPr="007F2C2A">
        <w:rPr>
          <w:lang w:val="ka-GE"/>
        </w:rPr>
        <w:t xml:space="preserve">. </w:t>
      </w:r>
    </w:p>
    <w:p w14:paraId="5187804E" w14:textId="77777777" w:rsidR="00CD64B5" w:rsidRPr="007F2C2A" w:rsidRDefault="00CD64B5" w:rsidP="00CD64B5">
      <w:pPr>
        <w:spacing w:before="120" w:after="120"/>
        <w:rPr>
          <w:lang w:val="ka-GE"/>
        </w:rPr>
      </w:pPr>
      <w:r w:rsidRPr="007F2C2A">
        <w:rPr>
          <w:rFonts w:ascii="Sylfaen" w:hAnsi="Sylfaen" w:cs="Sylfaen"/>
          <w:lang w:val="ka-GE"/>
        </w:rPr>
        <w:t>ახალი</w:t>
      </w:r>
      <w:r w:rsidRPr="007F2C2A">
        <w:rPr>
          <w:lang w:val="ka-GE"/>
        </w:rPr>
        <w:t xml:space="preserve"> </w:t>
      </w:r>
      <w:r w:rsidRPr="007F2C2A">
        <w:rPr>
          <w:rFonts w:ascii="Sylfaen" w:hAnsi="Sylfaen" w:cs="Sylfaen"/>
          <w:lang w:val="ka-GE"/>
        </w:rPr>
        <w:t>ტრასა</w:t>
      </w:r>
      <w:r w:rsidRPr="007F2C2A">
        <w:rPr>
          <w:lang w:val="ka-GE"/>
        </w:rPr>
        <w:t xml:space="preserve"> </w:t>
      </w:r>
      <w:r w:rsidRPr="007F2C2A">
        <w:rPr>
          <w:rFonts w:ascii="Sylfaen" w:hAnsi="Sylfaen" w:cs="Sylfaen"/>
          <w:lang w:val="ka-GE"/>
        </w:rPr>
        <w:t>გადის</w:t>
      </w:r>
      <w:r w:rsidRPr="007F2C2A">
        <w:rPr>
          <w:lang w:val="ka-GE"/>
        </w:rPr>
        <w:t xml:space="preserve"> </w:t>
      </w:r>
      <w:r w:rsidRPr="007F2C2A">
        <w:rPr>
          <w:rFonts w:ascii="Sylfaen" w:hAnsi="Sylfaen" w:cs="Sylfaen"/>
          <w:lang w:val="ka-GE"/>
        </w:rPr>
        <w:t>ხაშურის</w:t>
      </w:r>
      <w:r w:rsidRPr="007F2C2A">
        <w:rPr>
          <w:lang w:val="ka-GE"/>
        </w:rPr>
        <w:t xml:space="preserve"> </w:t>
      </w:r>
      <w:r w:rsidRPr="007F2C2A">
        <w:rPr>
          <w:rFonts w:ascii="Sylfaen" w:hAnsi="Sylfaen" w:cs="Sylfaen"/>
          <w:lang w:val="ka-GE"/>
        </w:rPr>
        <w:t>ჩრდილოეთით</w:t>
      </w:r>
      <w:r w:rsidRPr="007F2C2A">
        <w:rPr>
          <w:lang w:val="ka-GE"/>
        </w:rPr>
        <w:t xml:space="preserve">, </w:t>
      </w:r>
      <w:r w:rsidRPr="007F2C2A">
        <w:rPr>
          <w:rFonts w:ascii="Sylfaen" w:hAnsi="Sylfaen" w:cs="Sylfaen"/>
          <w:lang w:val="ka-GE"/>
        </w:rPr>
        <w:t>ძირითადად</w:t>
      </w:r>
      <w:r w:rsidRPr="007F2C2A">
        <w:rPr>
          <w:lang w:val="ka-GE"/>
        </w:rPr>
        <w:t xml:space="preserve"> </w:t>
      </w:r>
      <w:r w:rsidRPr="007F2C2A">
        <w:rPr>
          <w:rFonts w:ascii="Sylfaen" w:hAnsi="Sylfaen" w:cs="Sylfaen"/>
          <w:lang w:val="ka-GE"/>
        </w:rPr>
        <w:t>სასოფლო</w:t>
      </w:r>
      <w:r w:rsidRPr="007F2C2A">
        <w:rPr>
          <w:lang w:val="ka-GE"/>
        </w:rPr>
        <w:t xml:space="preserve"> </w:t>
      </w:r>
      <w:r w:rsidRPr="007F2C2A">
        <w:rPr>
          <w:rFonts w:ascii="Sylfaen" w:hAnsi="Sylfaen" w:cs="Sylfaen"/>
          <w:lang w:val="ka-GE"/>
        </w:rPr>
        <w:t>ლანდშაფტზე</w:t>
      </w:r>
      <w:r w:rsidRPr="007F2C2A">
        <w:rPr>
          <w:lang w:val="ka-GE"/>
        </w:rPr>
        <w:t xml:space="preserve">. </w:t>
      </w:r>
      <w:r w:rsidRPr="007F2C2A">
        <w:rPr>
          <w:rFonts w:ascii="Sylfaen" w:hAnsi="Sylfaen" w:cs="Sylfaen"/>
          <w:lang w:val="ka-GE"/>
        </w:rPr>
        <w:t>აქედან</w:t>
      </w:r>
      <w:r w:rsidRPr="007F2C2A">
        <w:rPr>
          <w:lang w:val="ka-GE"/>
        </w:rPr>
        <w:t xml:space="preserve"> </w:t>
      </w:r>
      <w:r w:rsidRPr="007F2C2A">
        <w:rPr>
          <w:rFonts w:ascii="Sylfaen" w:hAnsi="Sylfaen" w:cs="Sylfaen"/>
          <w:lang w:val="ka-GE"/>
        </w:rPr>
        <w:t>გამომდინარე</w:t>
      </w:r>
      <w:r w:rsidRPr="007F2C2A">
        <w:rPr>
          <w:lang w:val="ka-GE"/>
        </w:rPr>
        <w:t xml:space="preserve">, </w:t>
      </w:r>
      <w:r w:rsidRPr="007F2C2A">
        <w:rPr>
          <w:rFonts w:ascii="Sylfaen" w:hAnsi="Sylfaen" w:cs="Sylfaen"/>
          <w:lang w:val="ka-GE"/>
        </w:rPr>
        <w:t>დამაბინძურებელ</w:t>
      </w:r>
      <w:r w:rsidRPr="007F2C2A">
        <w:rPr>
          <w:lang w:val="ka-GE"/>
        </w:rPr>
        <w:t xml:space="preserve"> </w:t>
      </w:r>
      <w:r w:rsidRPr="007F2C2A">
        <w:rPr>
          <w:rFonts w:ascii="Sylfaen" w:hAnsi="Sylfaen" w:cs="Sylfaen"/>
          <w:lang w:val="ka-GE"/>
        </w:rPr>
        <w:t>ნივთიერებათა</w:t>
      </w:r>
      <w:r w:rsidRPr="007F2C2A">
        <w:rPr>
          <w:lang w:val="ka-GE"/>
        </w:rPr>
        <w:t xml:space="preserve"> </w:t>
      </w:r>
      <w:r w:rsidRPr="007F2C2A">
        <w:rPr>
          <w:rFonts w:ascii="Sylfaen" w:hAnsi="Sylfaen" w:cs="Sylfaen"/>
          <w:lang w:val="ka-GE"/>
        </w:rPr>
        <w:t>ფონური</w:t>
      </w:r>
      <w:r w:rsidRPr="007F2C2A">
        <w:rPr>
          <w:lang w:val="ka-GE"/>
        </w:rPr>
        <w:t xml:space="preserve"> </w:t>
      </w:r>
      <w:r w:rsidRPr="007F2C2A">
        <w:rPr>
          <w:rFonts w:ascii="Sylfaen" w:hAnsi="Sylfaen" w:cs="Sylfaen"/>
          <w:lang w:val="ka-GE"/>
        </w:rPr>
        <w:t>კონცენტრაციები</w:t>
      </w:r>
      <w:r w:rsidRPr="007F2C2A">
        <w:rPr>
          <w:lang w:val="ka-GE"/>
        </w:rPr>
        <w:t xml:space="preserve"> </w:t>
      </w:r>
      <w:r w:rsidRPr="007F2C2A">
        <w:rPr>
          <w:rFonts w:ascii="Sylfaen" w:hAnsi="Sylfaen" w:cs="Sylfaen"/>
          <w:lang w:val="ka-GE"/>
        </w:rPr>
        <w:t>ნულის</w:t>
      </w:r>
      <w:r w:rsidRPr="007F2C2A">
        <w:rPr>
          <w:lang w:val="ka-GE"/>
        </w:rPr>
        <w:t xml:space="preserve"> </w:t>
      </w:r>
      <w:r w:rsidRPr="007F2C2A">
        <w:rPr>
          <w:rFonts w:ascii="Sylfaen" w:hAnsi="Sylfaen" w:cs="Sylfaen"/>
          <w:lang w:val="ka-GE"/>
        </w:rPr>
        <w:t>ტოლად</w:t>
      </w:r>
      <w:r w:rsidRPr="007F2C2A">
        <w:rPr>
          <w:lang w:val="ka-GE"/>
        </w:rPr>
        <w:t xml:space="preserve"> </w:t>
      </w:r>
      <w:r w:rsidRPr="007F2C2A">
        <w:rPr>
          <w:rFonts w:ascii="Sylfaen" w:hAnsi="Sylfaen" w:cs="Sylfaen"/>
          <w:lang w:val="ka-GE"/>
        </w:rPr>
        <w:t>იქნა</w:t>
      </w:r>
      <w:r w:rsidRPr="007F2C2A">
        <w:rPr>
          <w:lang w:val="ka-GE"/>
        </w:rPr>
        <w:t xml:space="preserve"> </w:t>
      </w:r>
      <w:r w:rsidRPr="007F2C2A">
        <w:rPr>
          <w:rFonts w:ascii="Sylfaen" w:hAnsi="Sylfaen" w:cs="Sylfaen"/>
          <w:lang w:val="ka-GE"/>
        </w:rPr>
        <w:t>მიჩნეული</w:t>
      </w:r>
      <w:r w:rsidRPr="007F2C2A">
        <w:rPr>
          <w:lang w:val="ka-GE"/>
        </w:rPr>
        <w:t xml:space="preserve">  (</w:t>
      </w:r>
      <w:r w:rsidRPr="007F2C2A">
        <w:rPr>
          <w:rFonts w:ascii="Sylfaen" w:hAnsi="Sylfaen" w:cs="Sylfaen"/>
          <w:lang w:val="ka-GE"/>
        </w:rPr>
        <w:t>წყარო</w:t>
      </w:r>
      <w:r w:rsidRPr="007F2C2A">
        <w:rPr>
          <w:lang w:val="ka-GE"/>
        </w:rPr>
        <w:t xml:space="preserve">: </w:t>
      </w:r>
      <w:r w:rsidRPr="007F2C2A">
        <w:rPr>
          <w:rFonts w:ascii="Sylfaen" w:hAnsi="Sylfaen" w:cs="Sylfaen"/>
          <w:lang w:val="ka-GE"/>
        </w:rPr>
        <w:t>ფონური</w:t>
      </w:r>
      <w:r w:rsidRPr="007F2C2A">
        <w:rPr>
          <w:lang w:val="ka-GE"/>
        </w:rPr>
        <w:t xml:space="preserve"> </w:t>
      </w:r>
      <w:r w:rsidRPr="007F2C2A">
        <w:rPr>
          <w:rFonts w:ascii="Sylfaen" w:hAnsi="Sylfaen" w:cs="Sylfaen"/>
          <w:lang w:val="ka-GE"/>
        </w:rPr>
        <w:t>კონცენტრაციები</w:t>
      </w:r>
      <w:r w:rsidRPr="007F2C2A">
        <w:rPr>
          <w:lang w:val="ka-GE"/>
        </w:rPr>
        <w:t xml:space="preserve"> </w:t>
      </w:r>
      <w:r w:rsidRPr="007F2C2A">
        <w:rPr>
          <w:rFonts w:ascii="Sylfaen" w:hAnsi="Sylfaen" w:cs="Sylfaen"/>
          <w:lang w:val="ka-GE"/>
        </w:rPr>
        <w:t>იმ</w:t>
      </w:r>
      <w:r w:rsidRPr="007F2C2A">
        <w:rPr>
          <w:lang w:val="ka-GE"/>
        </w:rPr>
        <w:t xml:space="preserve"> </w:t>
      </w:r>
      <w:r w:rsidRPr="007F2C2A">
        <w:rPr>
          <w:rFonts w:ascii="Sylfaen" w:hAnsi="Sylfaen" w:cs="Sylfaen"/>
          <w:lang w:val="ka-GE"/>
        </w:rPr>
        <w:t>ქალაქებისათვის</w:t>
      </w:r>
      <w:r w:rsidRPr="007F2C2A">
        <w:rPr>
          <w:lang w:val="ka-GE"/>
        </w:rPr>
        <w:t xml:space="preserve"> </w:t>
      </w:r>
      <w:r w:rsidRPr="007F2C2A">
        <w:rPr>
          <w:rFonts w:ascii="Sylfaen" w:hAnsi="Sylfaen" w:cs="Sylfaen"/>
          <w:lang w:val="ka-GE"/>
        </w:rPr>
        <w:t>და</w:t>
      </w:r>
      <w:r w:rsidRPr="007F2C2A">
        <w:rPr>
          <w:lang w:val="ka-GE"/>
        </w:rPr>
        <w:t xml:space="preserve"> </w:t>
      </w:r>
      <w:r w:rsidRPr="007F2C2A">
        <w:rPr>
          <w:rFonts w:ascii="Sylfaen" w:hAnsi="Sylfaen" w:cs="Sylfaen"/>
          <w:lang w:val="ka-GE"/>
        </w:rPr>
        <w:t>დასახლებული</w:t>
      </w:r>
      <w:r w:rsidRPr="007F2C2A">
        <w:rPr>
          <w:lang w:val="ka-GE"/>
        </w:rPr>
        <w:t xml:space="preserve"> </w:t>
      </w:r>
      <w:r w:rsidRPr="007F2C2A">
        <w:rPr>
          <w:rFonts w:ascii="Sylfaen" w:hAnsi="Sylfaen" w:cs="Sylfaen"/>
          <w:lang w:val="ka-GE"/>
        </w:rPr>
        <w:t>პუნქტებისათვის</w:t>
      </w:r>
      <w:r w:rsidRPr="007F2C2A">
        <w:rPr>
          <w:lang w:val="ka-GE"/>
        </w:rPr>
        <w:t xml:space="preserve">, </w:t>
      </w:r>
      <w:r w:rsidRPr="007F2C2A">
        <w:rPr>
          <w:rFonts w:ascii="Sylfaen" w:hAnsi="Sylfaen" w:cs="Sylfaen"/>
          <w:lang w:val="ka-GE"/>
        </w:rPr>
        <w:t>სადაც</w:t>
      </w:r>
      <w:r w:rsidRPr="007F2C2A">
        <w:rPr>
          <w:lang w:val="ka-GE"/>
        </w:rPr>
        <w:t xml:space="preserve"> </w:t>
      </w:r>
      <w:r w:rsidRPr="007F2C2A">
        <w:rPr>
          <w:rFonts w:ascii="Sylfaen" w:hAnsi="Sylfaen" w:cs="Sylfaen"/>
          <w:lang w:val="ka-GE"/>
        </w:rPr>
        <w:t>არ</w:t>
      </w:r>
      <w:r w:rsidRPr="007F2C2A">
        <w:rPr>
          <w:lang w:val="ka-GE"/>
        </w:rPr>
        <w:t xml:space="preserve"> </w:t>
      </w:r>
      <w:r w:rsidRPr="007F2C2A">
        <w:rPr>
          <w:rFonts w:ascii="Sylfaen" w:hAnsi="Sylfaen" w:cs="Sylfaen"/>
          <w:lang w:val="ka-GE"/>
        </w:rPr>
        <w:t>ტარდება</w:t>
      </w:r>
      <w:r w:rsidRPr="007F2C2A">
        <w:rPr>
          <w:lang w:val="ka-GE"/>
        </w:rPr>
        <w:t xml:space="preserve"> </w:t>
      </w:r>
      <w:r w:rsidRPr="007F2C2A">
        <w:rPr>
          <w:rFonts w:ascii="Sylfaen" w:hAnsi="Sylfaen" w:cs="Sylfaen"/>
          <w:lang w:val="ka-GE"/>
        </w:rPr>
        <w:t>დაკვირვებები</w:t>
      </w:r>
      <w:r w:rsidRPr="007F2C2A">
        <w:rPr>
          <w:lang w:val="ka-GE"/>
        </w:rPr>
        <w:t xml:space="preserve"> </w:t>
      </w:r>
      <w:r w:rsidRPr="007F2C2A">
        <w:rPr>
          <w:rFonts w:ascii="Sylfaen" w:hAnsi="Sylfaen" w:cs="Sylfaen"/>
          <w:lang w:val="ka-GE"/>
        </w:rPr>
        <w:t>ატმოსფერული</w:t>
      </w:r>
      <w:r w:rsidRPr="007F2C2A">
        <w:rPr>
          <w:lang w:val="ka-GE"/>
        </w:rPr>
        <w:t xml:space="preserve"> </w:t>
      </w:r>
      <w:r w:rsidRPr="007F2C2A">
        <w:rPr>
          <w:rFonts w:ascii="Sylfaen" w:hAnsi="Sylfaen" w:cs="Sylfaen"/>
          <w:lang w:val="ka-GE"/>
        </w:rPr>
        <w:t>ჰაერის</w:t>
      </w:r>
      <w:r w:rsidRPr="007F2C2A">
        <w:rPr>
          <w:lang w:val="ka-GE"/>
        </w:rPr>
        <w:t xml:space="preserve"> </w:t>
      </w:r>
      <w:r w:rsidRPr="007F2C2A">
        <w:rPr>
          <w:rFonts w:ascii="Sylfaen" w:hAnsi="Sylfaen" w:cs="Sylfaen"/>
          <w:lang w:val="ka-GE"/>
        </w:rPr>
        <w:t>ხარისხზე</w:t>
      </w:r>
      <w:r w:rsidRPr="007F2C2A">
        <w:rPr>
          <w:lang w:val="ka-GE"/>
        </w:rPr>
        <w:t xml:space="preserve">) </w:t>
      </w:r>
      <w:r w:rsidRPr="007F2C2A">
        <w:rPr>
          <w:rFonts w:ascii="Sylfaen" w:hAnsi="Sylfaen" w:cs="Sylfaen"/>
          <w:lang w:val="ka-GE"/>
        </w:rPr>
        <w:t>და</w:t>
      </w:r>
      <w:r w:rsidRPr="007F2C2A">
        <w:rPr>
          <w:lang w:val="ka-GE"/>
        </w:rPr>
        <w:t xml:space="preserve"> </w:t>
      </w:r>
      <w:r w:rsidRPr="007F2C2A">
        <w:rPr>
          <w:rFonts w:ascii="Sylfaen" w:hAnsi="Sylfaen" w:cs="Sylfaen"/>
          <w:lang w:val="ka-GE"/>
        </w:rPr>
        <w:t>არ</w:t>
      </w:r>
      <w:r w:rsidRPr="007F2C2A">
        <w:rPr>
          <w:lang w:val="ka-GE"/>
        </w:rPr>
        <w:t xml:space="preserve"> </w:t>
      </w:r>
      <w:r w:rsidRPr="007F2C2A">
        <w:rPr>
          <w:rFonts w:ascii="Sylfaen" w:hAnsi="Sylfaen" w:cs="Sylfaen"/>
          <w:lang w:val="ka-GE"/>
        </w:rPr>
        <w:t>არის</w:t>
      </w:r>
      <w:r w:rsidRPr="007F2C2A">
        <w:rPr>
          <w:lang w:val="ka-GE"/>
        </w:rPr>
        <w:t xml:space="preserve"> </w:t>
      </w:r>
      <w:r w:rsidRPr="007F2C2A">
        <w:rPr>
          <w:rFonts w:ascii="Sylfaen" w:hAnsi="Sylfaen" w:cs="Sylfaen"/>
          <w:lang w:val="ka-GE"/>
        </w:rPr>
        <w:t>გათვალისწინებული</w:t>
      </w:r>
      <w:r w:rsidRPr="007F2C2A">
        <w:rPr>
          <w:lang w:val="ka-GE"/>
        </w:rPr>
        <w:t xml:space="preserve"> </w:t>
      </w:r>
      <w:r w:rsidRPr="007F2C2A">
        <w:rPr>
          <w:rFonts w:ascii="Sylfaen" w:hAnsi="Sylfaen" w:cs="Sylfaen"/>
          <w:lang w:val="ka-GE"/>
        </w:rPr>
        <w:t>დისპერსიის</w:t>
      </w:r>
      <w:r w:rsidRPr="007F2C2A">
        <w:rPr>
          <w:lang w:val="ka-GE"/>
        </w:rPr>
        <w:t xml:space="preserve"> </w:t>
      </w:r>
      <w:r w:rsidRPr="007F2C2A">
        <w:rPr>
          <w:rFonts w:ascii="Sylfaen" w:hAnsi="Sylfaen" w:cs="Sylfaen"/>
          <w:lang w:val="ka-GE"/>
        </w:rPr>
        <w:t>მოდელირებაში</w:t>
      </w:r>
      <w:r w:rsidRPr="007F2C2A">
        <w:rPr>
          <w:lang w:val="ka-GE"/>
        </w:rPr>
        <w:t xml:space="preserve">. </w:t>
      </w:r>
    </w:p>
    <w:p w14:paraId="565207A0" w14:textId="77777777" w:rsidR="00CD64B5" w:rsidRPr="001352AB" w:rsidRDefault="00CD64B5" w:rsidP="00CD64B5">
      <w:pPr>
        <w:spacing w:before="120" w:after="120"/>
      </w:pPr>
      <w:r w:rsidRPr="007F2C2A">
        <w:rPr>
          <w:rFonts w:ascii="Sylfaen" w:hAnsi="Sylfaen" w:cs="Sylfaen"/>
          <w:lang w:val="ka-GE"/>
        </w:rPr>
        <w:t>მოდელირების</w:t>
      </w:r>
      <w:r w:rsidRPr="007F2C2A">
        <w:rPr>
          <w:lang w:val="ka-GE"/>
        </w:rPr>
        <w:t xml:space="preserve"> </w:t>
      </w:r>
      <w:r w:rsidRPr="007F2C2A">
        <w:rPr>
          <w:rFonts w:ascii="Sylfaen" w:hAnsi="Sylfaen" w:cs="Sylfaen"/>
          <w:lang w:val="ka-GE"/>
        </w:rPr>
        <w:t>შედეგებმა</w:t>
      </w:r>
      <w:r w:rsidRPr="007F2C2A">
        <w:rPr>
          <w:lang w:val="ka-GE"/>
        </w:rPr>
        <w:t xml:space="preserve"> </w:t>
      </w:r>
      <w:r w:rsidRPr="007F2C2A">
        <w:rPr>
          <w:rFonts w:ascii="Sylfaen" w:hAnsi="Sylfaen" w:cs="Sylfaen"/>
          <w:lang w:val="ka-GE"/>
        </w:rPr>
        <w:t>ცხადყო</w:t>
      </w:r>
      <w:r w:rsidRPr="007F2C2A">
        <w:rPr>
          <w:lang w:val="ka-GE"/>
        </w:rPr>
        <w:t xml:space="preserve">, </w:t>
      </w:r>
      <w:r w:rsidRPr="007F2C2A">
        <w:rPr>
          <w:rFonts w:ascii="Sylfaen" w:hAnsi="Sylfaen" w:cs="Sylfaen"/>
          <w:lang w:val="ka-GE"/>
        </w:rPr>
        <w:t>რომ</w:t>
      </w:r>
      <w:r w:rsidRPr="007F2C2A">
        <w:rPr>
          <w:lang w:val="ka-GE"/>
        </w:rPr>
        <w:t xml:space="preserve">  CO, NO</w:t>
      </w:r>
      <w:r w:rsidRPr="007F2C2A">
        <w:rPr>
          <w:rFonts w:ascii="Cambria Math" w:hAnsi="Cambria Math" w:cs="Cambria Math"/>
          <w:lang w:val="ka-GE"/>
        </w:rPr>
        <w:t>₂</w:t>
      </w:r>
      <w:r w:rsidRPr="007F2C2A">
        <w:rPr>
          <w:lang w:val="ka-GE"/>
        </w:rPr>
        <w:t xml:space="preserve"> </w:t>
      </w:r>
      <w:r w:rsidRPr="007F2C2A">
        <w:rPr>
          <w:rFonts w:ascii="Sylfaen" w:hAnsi="Sylfaen" w:cs="Sylfaen"/>
          <w:lang w:val="ka-GE"/>
        </w:rPr>
        <w:t>და</w:t>
      </w:r>
      <w:r w:rsidRPr="007F2C2A">
        <w:rPr>
          <w:lang w:val="ka-GE"/>
        </w:rPr>
        <w:t xml:space="preserve"> PM </w:t>
      </w:r>
      <w:r w:rsidRPr="007F2C2A">
        <w:rPr>
          <w:rFonts w:ascii="Sylfaen" w:hAnsi="Sylfaen" w:cs="Sylfaen"/>
          <w:lang w:val="ka-GE"/>
        </w:rPr>
        <w:t>კონცენტრაციები</w:t>
      </w:r>
      <w:r w:rsidRPr="007F2C2A">
        <w:rPr>
          <w:lang w:val="ka-GE"/>
        </w:rPr>
        <w:t xml:space="preserve"> </w:t>
      </w:r>
      <w:r w:rsidRPr="007F2C2A">
        <w:rPr>
          <w:rFonts w:ascii="Sylfaen" w:hAnsi="Sylfaen" w:cs="Sylfaen"/>
          <w:lang w:val="ka-GE"/>
        </w:rPr>
        <w:t>არ</w:t>
      </w:r>
      <w:r w:rsidRPr="007F2C2A">
        <w:rPr>
          <w:lang w:val="ka-GE"/>
        </w:rPr>
        <w:t xml:space="preserve"> </w:t>
      </w:r>
      <w:r w:rsidRPr="007F2C2A">
        <w:rPr>
          <w:rFonts w:ascii="Sylfaen" w:hAnsi="Sylfaen" w:cs="Sylfaen"/>
          <w:lang w:val="ka-GE"/>
        </w:rPr>
        <w:t>გადააჭარბებს</w:t>
      </w:r>
      <w:r w:rsidRPr="007F2C2A">
        <w:rPr>
          <w:lang w:val="ka-GE"/>
        </w:rPr>
        <w:t xml:space="preserve"> </w:t>
      </w:r>
      <w:r w:rsidRPr="007F2C2A">
        <w:rPr>
          <w:rFonts w:ascii="Sylfaen" w:hAnsi="Sylfaen" w:cs="Sylfaen"/>
          <w:lang w:val="ka-GE"/>
        </w:rPr>
        <w:t>მაქსიმალურად</w:t>
      </w:r>
      <w:r w:rsidRPr="007F2C2A">
        <w:rPr>
          <w:lang w:val="ka-GE"/>
        </w:rPr>
        <w:t xml:space="preserve"> </w:t>
      </w:r>
      <w:r w:rsidRPr="007F2C2A">
        <w:rPr>
          <w:rFonts w:ascii="Sylfaen" w:hAnsi="Sylfaen" w:cs="Sylfaen"/>
          <w:lang w:val="ka-GE"/>
        </w:rPr>
        <w:t>დასაშვებ</w:t>
      </w:r>
      <w:r w:rsidRPr="007F2C2A">
        <w:rPr>
          <w:lang w:val="ka-GE"/>
        </w:rPr>
        <w:t xml:space="preserve"> </w:t>
      </w:r>
      <w:r w:rsidRPr="007F2C2A">
        <w:rPr>
          <w:rFonts w:ascii="Sylfaen" w:hAnsi="Sylfaen" w:cs="Sylfaen"/>
          <w:lang w:val="ka-GE"/>
        </w:rPr>
        <w:t>სიდიდეებს</w:t>
      </w:r>
      <w:r w:rsidRPr="007F2C2A">
        <w:rPr>
          <w:lang w:val="ka-GE"/>
        </w:rPr>
        <w:t xml:space="preserve"> </w:t>
      </w:r>
      <w:r w:rsidRPr="007F2C2A">
        <w:rPr>
          <w:rFonts w:ascii="Sylfaen" w:hAnsi="Sylfaen" w:cs="Sylfaen"/>
          <w:lang w:val="ka-GE"/>
        </w:rPr>
        <w:t>და</w:t>
      </w:r>
      <w:r w:rsidRPr="007F2C2A">
        <w:rPr>
          <w:lang w:val="ka-GE"/>
        </w:rPr>
        <w:t xml:space="preserve"> </w:t>
      </w:r>
      <w:r w:rsidRPr="007F2C2A">
        <w:rPr>
          <w:rFonts w:ascii="Sylfaen" w:hAnsi="Sylfaen" w:cs="Sylfaen"/>
          <w:lang w:val="ka-GE"/>
        </w:rPr>
        <w:t>მათთან</w:t>
      </w:r>
      <w:r w:rsidRPr="007F2C2A">
        <w:rPr>
          <w:lang w:val="ka-GE"/>
        </w:rPr>
        <w:t xml:space="preserve"> </w:t>
      </w:r>
      <w:r w:rsidRPr="007F2C2A">
        <w:rPr>
          <w:rFonts w:ascii="Sylfaen" w:hAnsi="Sylfaen" w:cs="Sylfaen"/>
          <w:lang w:val="ka-GE"/>
        </w:rPr>
        <w:t>შედარებით</w:t>
      </w:r>
      <w:r w:rsidRPr="007F2C2A">
        <w:rPr>
          <w:lang w:val="ka-GE"/>
        </w:rPr>
        <w:t xml:space="preserve"> </w:t>
      </w:r>
      <w:r w:rsidRPr="007F2C2A">
        <w:rPr>
          <w:rFonts w:ascii="Sylfaen" w:hAnsi="Sylfaen" w:cs="Sylfaen"/>
          <w:lang w:val="ka-GE"/>
        </w:rPr>
        <w:t>უმნიშვნელოდ</w:t>
      </w:r>
      <w:r w:rsidRPr="007F2C2A">
        <w:rPr>
          <w:lang w:val="ka-GE"/>
        </w:rPr>
        <w:t xml:space="preserve"> </w:t>
      </w:r>
      <w:r w:rsidRPr="007F2C2A">
        <w:rPr>
          <w:rFonts w:ascii="Sylfaen" w:hAnsi="Sylfaen" w:cs="Sylfaen"/>
          <w:lang w:val="ka-GE"/>
        </w:rPr>
        <w:t>დაბალი</w:t>
      </w:r>
      <w:r w:rsidRPr="007F2C2A">
        <w:rPr>
          <w:lang w:val="ka-GE"/>
        </w:rPr>
        <w:t xml:space="preserve"> </w:t>
      </w:r>
      <w:r w:rsidRPr="007F2C2A">
        <w:rPr>
          <w:rFonts w:ascii="Sylfaen" w:hAnsi="Sylfaen" w:cs="Sylfaen"/>
          <w:lang w:val="ka-GE"/>
        </w:rPr>
        <w:t>იქნება</w:t>
      </w:r>
      <w:r w:rsidRPr="007F2C2A">
        <w:rPr>
          <w:lang w:val="ka-GE"/>
        </w:rPr>
        <w:t xml:space="preserve">. </w:t>
      </w:r>
      <w:r w:rsidRPr="007F2C2A">
        <w:rPr>
          <w:rFonts w:ascii="Sylfaen" w:hAnsi="Sylfaen" w:cs="Sylfaen"/>
          <w:lang w:val="ka-GE"/>
        </w:rPr>
        <w:t>დამაბინძურებელ</w:t>
      </w:r>
      <w:r w:rsidRPr="007F2C2A">
        <w:rPr>
          <w:lang w:val="ka-GE"/>
        </w:rPr>
        <w:t xml:space="preserve"> </w:t>
      </w:r>
      <w:r w:rsidRPr="007F2C2A">
        <w:rPr>
          <w:rFonts w:ascii="Sylfaen" w:hAnsi="Sylfaen" w:cs="Sylfaen"/>
          <w:lang w:val="ka-GE"/>
        </w:rPr>
        <w:t>ნივთიერებათა</w:t>
      </w:r>
      <w:r w:rsidRPr="007F2C2A">
        <w:rPr>
          <w:lang w:val="ka-GE"/>
        </w:rPr>
        <w:t xml:space="preserve"> </w:t>
      </w:r>
      <w:r w:rsidRPr="007F2C2A">
        <w:rPr>
          <w:rFonts w:ascii="Sylfaen" w:hAnsi="Sylfaen" w:cs="Sylfaen"/>
          <w:lang w:val="ka-GE"/>
        </w:rPr>
        <w:t>კონცენტრაციების</w:t>
      </w:r>
      <w:r w:rsidRPr="007F2C2A">
        <w:rPr>
          <w:lang w:val="ka-GE"/>
        </w:rPr>
        <w:t xml:space="preserve"> </w:t>
      </w:r>
      <w:r w:rsidRPr="007F2C2A">
        <w:rPr>
          <w:rFonts w:ascii="Sylfaen" w:hAnsi="Sylfaen" w:cs="Sylfaen"/>
          <w:lang w:val="ka-GE"/>
        </w:rPr>
        <w:t>გაანგარიშება</w:t>
      </w:r>
      <w:r w:rsidRPr="007F2C2A">
        <w:rPr>
          <w:lang w:val="ka-GE"/>
        </w:rPr>
        <w:t xml:space="preserve"> </w:t>
      </w:r>
      <w:r w:rsidRPr="007F2C2A">
        <w:rPr>
          <w:rFonts w:ascii="Sylfaen" w:hAnsi="Sylfaen" w:cs="Sylfaen"/>
          <w:lang w:val="ka-GE"/>
        </w:rPr>
        <w:t>გზის</w:t>
      </w:r>
      <w:r w:rsidRPr="007F2C2A">
        <w:rPr>
          <w:lang w:val="ka-GE"/>
        </w:rPr>
        <w:t xml:space="preserve"> </w:t>
      </w:r>
      <w:r w:rsidRPr="007F2C2A">
        <w:rPr>
          <w:rFonts w:ascii="Sylfaen" w:hAnsi="Sylfaen" w:cs="Sylfaen"/>
          <w:lang w:val="ka-GE"/>
        </w:rPr>
        <w:t>საზღვრებიდან</w:t>
      </w:r>
      <w:r w:rsidRPr="007F2C2A">
        <w:rPr>
          <w:lang w:val="ka-GE"/>
        </w:rPr>
        <w:t xml:space="preserve"> 5 </w:t>
      </w:r>
      <w:r w:rsidRPr="007F2C2A">
        <w:rPr>
          <w:rFonts w:ascii="Sylfaen" w:hAnsi="Sylfaen" w:cs="Sylfaen"/>
          <w:lang w:val="ka-GE"/>
        </w:rPr>
        <w:t>და</w:t>
      </w:r>
      <w:r w:rsidRPr="007F2C2A">
        <w:rPr>
          <w:lang w:val="ka-GE"/>
        </w:rPr>
        <w:t xml:space="preserve"> 50</w:t>
      </w:r>
      <w:r w:rsidRPr="007F2C2A">
        <w:rPr>
          <w:rFonts w:ascii="Sylfaen" w:hAnsi="Sylfaen" w:cs="Sylfaen"/>
          <w:lang w:val="ka-GE"/>
        </w:rPr>
        <w:t>მ</w:t>
      </w:r>
      <w:r w:rsidRPr="007F2C2A">
        <w:rPr>
          <w:lang w:val="ka-GE"/>
        </w:rPr>
        <w:t xml:space="preserve"> -</w:t>
      </w:r>
      <w:r w:rsidRPr="007F2C2A">
        <w:rPr>
          <w:rFonts w:ascii="Sylfaen" w:hAnsi="Sylfaen" w:cs="Sylfaen"/>
          <w:lang w:val="ka-GE"/>
        </w:rPr>
        <w:t>ის</w:t>
      </w:r>
      <w:r w:rsidRPr="007F2C2A">
        <w:rPr>
          <w:lang w:val="ka-GE"/>
        </w:rPr>
        <w:t xml:space="preserve"> </w:t>
      </w:r>
      <w:r w:rsidRPr="007F2C2A">
        <w:rPr>
          <w:rFonts w:ascii="Sylfaen" w:hAnsi="Sylfaen" w:cs="Sylfaen"/>
          <w:lang w:val="ka-GE"/>
        </w:rPr>
        <w:t>დაშორებისთვის</w:t>
      </w:r>
      <w:r w:rsidRPr="007F2C2A">
        <w:rPr>
          <w:lang w:val="ka-GE"/>
        </w:rPr>
        <w:t xml:space="preserve"> </w:t>
      </w:r>
      <w:r w:rsidRPr="007F2C2A">
        <w:rPr>
          <w:rFonts w:ascii="Sylfaen" w:hAnsi="Sylfaen" w:cs="Sylfaen"/>
          <w:lang w:val="ka-GE"/>
        </w:rPr>
        <w:t>ჩატარდა</w:t>
      </w:r>
      <w:r w:rsidRPr="007F2C2A">
        <w:rPr>
          <w:lang w:val="ka-GE"/>
        </w:rPr>
        <w:t xml:space="preserve">.  </w:t>
      </w:r>
      <w:r w:rsidRPr="001352AB">
        <w:rPr>
          <w:rFonts w:ascii="Sylfaen" w:hAnsi="Sylfaen" w:cs="Sylfaen"/>
        </w:rPr>
        <w:t>მოდელირების</w:t>
      </w:r>
      <w:r w:rsidRPr="001352AB">
        <w:t xml:space="preserve"> </w:t>
      </w:r>
      <w:r w:rsidRPr="001352AB">
        <w:rPr>
          <w:rFonts w:ascii="Sylfaen" w:hAnsi="Sylfaen" w:cs="Sylfaen"/>
        </w:rPr>
        <w:t>შედეგები</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ცხრილში</w:t>
      </w:r>
      <w:r w:rsidRPr="001352AB">
        <w:t xml:space="preserve"> 7.1-21. </w:t>
      </w:r>
    </w:p>
    <w:p w14:paraId="23FB766B" w14:textId="77777777" w:rsidR="00CD64B5" w:rsidRPr="001352AB" w:rsidRDefault="00CD64B5" w:rsidP="00CD64B5">
      <w:pPr>
        <w:spacing w:before="120" w:after="120"/>
      </w:pPr>
      <w:bookmarkStart w:id="292" w:name="_Toc417323202"/>
      <w:bookmarkStart w:id="293" w:name="_Toc436594182"/>
      <w:r w:rsidRPr="001352AB">
        <w:rPr>
          <w:rFonts w:ascii="Sylfaen" w:hAnsi="Sylfaen" w:cs="Sylfaen"/>
        </w:rPr>
        <w:t>ცხრილი</w:t>
      </w:r>
      <w:r w:rsidRPr="001352AB">
        <w:t xml:space="preserve"> 7.1-21.</w:t>
      </w:r>
      <w:r w:rsidRPr="001352AB">
        <w:tab/>
      </w:r>
      <w:r w:rsidRPr="001352AB">
        <w:rPr>
          <w:rFonts w:ascii="Sylfaen" w:hAnsi="Sylfaen" w:cs="Sylfaen"/>
        </w:rPr>
        <w:t>მოდელირებული</w:t>
      </w:r>
      <w:r w:rsidRPr="001352AB">
        <w:t xml:space="preserve"> </w:t>
      </w:r>
      <w:r w:rsidRPr="001352AB">
        <w:rPr>
          <w:rFonts w:ascii="Sylfaen" w:hAnsi="Sylfaen" w:cs="Sylfaen"/>
        </w:rPr>
        <w:t>კონცენტრაციები</w:t>
      </w:r>
      <w:bookmarkEnd w:id="292"/>
      <w:bookmarkEnd w:id="293"/>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127"/>
        <w:gridCol w:w="1134"/>
        <w:gridCol w:w="708"/>
        <w:gridCol w:w="993"/>
        <w:gridCol w:w="850"/>
        <w:gridCol w:w="992"/>
        <w:gridCol w:w="851"/>
      </w:tblGrid>
      <w:tr w:rsidR="00CD64B5" w:rsidRPr="007F2C2A" w14:paraId="4E2A1DE4" w14:textId="77777777" w:rsidTr="00CD64B5">
        <w:tc>
          <w:tcPr>
            <w:tcW w:w="3545"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FAB2ED" w14:textId="77777777" w:rsidR="00CD64B5" w:rsidRPr="007F2C2A" w:rsidRDefault="00CD64B5" w:rsidP="00CD64B5">
            <w:pPr>
              <w:rPr>
                <w:sz w:val="20"/>
                <w:lang w:eastAsia="en-US"/>
              </w:rPr>
            </w:pPr>
          </w:p>
        </w:tc>
        <w:tc>
          <w:tcPr>
            <w:tcW w:w="552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AEEF96" w14:textId="77777777" w:rsidR="00CD64B5" w:rsidRPr="007F2C2A" w:rsidRDefault="00CD64B5" w:rsidP="00CD64B5">
            <w:pPr>
              <w:rPr>
                <w:sz w:val="20"/>
              </w:rPr>
            </w:pPr>
            <w:r w:rsidRPr="007F2C2A">
              <w:rPr>
                <w:rFonts w:ascii="Sylfaen" w:hAnsi="Sylfaen" w:cs="Sylfaen"/>
                <w:sz w:val="20"/>
              </w:rPr>
              <w:t>მოდელირებული</w:t>
            </w:r>
            <w:r w:rsidRPr="007F2C2A">
              <w:rPr>
                <w:sz w:val="20"/>
              </w:rPr>
              <w:t xml:space="preserve"> </w:t>
            </w:r>
            <w:r w:rsidRPr="007F2C2A">
              <w:rPr>
                <w:rFonts w:ascii="Sylfaen" w:hAnsi="Sylfaen" w:cs="Sylfaen"/>
                <w:sz w:val="20"/>
              </w:rPr>
              <w:t>კონცენტრაციები</w:t>
            </w:r>
            <w:r w:rsidRPr="007F2C2A">
              <w:rPr>
                <w:sz w:val="20"/>
              </w:rPr>
              <w:t xml:space="preserve"> (30 </w:t>
            </w:r>
            <w:r w:rsidRPr="007F2C2A">
              <w:rPr>
                <w:rFonts w:ascii="Sylfaen" w:hAnsi="Sylfaen" w:cs="Sylfaen"/>
                <w:sz w:val="20"/>
              </w:rPr>
              <w:t>წთ</w:t>
            </w:r>
            <w:r w:rsidRPr="007F2C2A">
              <w:rPr>
                <w:sz w:val="20"/>
              </w:rPr>
              <w:t xml:space="preserve"> </w:t>
            </w:r>
            <w:r w:rsidRPr="007F2C2A">
              <w:rPr>
                <w:rFonts w:ascii="Sylfaen" w:hAnsi="Sylfaen" w:cs="Sylfaen"/>
                <w:sz w:val="20"/>
              </w:rPr>
              <w:t>ერთჯერადი</w:t>
            </w:r>
            <w:r w:rsidRPr="007F2C2A">
              <w:rPr>
                <w:sz w:val="20"/>
              </w:rPr>
              <w:t xml:space="preserve"> </w:t>
            </w:r>
            <w:r w:rsidRPr="007F2C2A">
              <w:rPr>
                <w:rFonts w:ascii="Sylfaen" w:hAnsi="Sylfaen" w:cs="Sylfaen"/>
                <w:sz w:val="20"/>
              </w:rPr>
              <w:t>მაქსიმუმი</w:t>
            </w:r>
            <w:r w:rsidRPr="007F2C2A">
              <w:rPr>
                <w:sz w:val="20"/>
              </w:rPr>
              <w:t xml:space="preserve">) </w:t>
            </w:r>
          </w:p>
        </w:tc>
      </w:tr>
      <w:tr w:rsidR="00CD64B5" w:rsidRPr="007F2C2A" w14:paraId="1580D787" w14:textId="77777777" w:rsidTr="00CD64B5">
        <w:trPr>
          <w:trHeight w:val="503"/>
        </w:trPr>
        <w:tc>
          <w:tcPr>
            <w:tcW w:w="5672" w:type="dxa"/>
            <w:gridSpan w:val="2"/>
            <w:vMerge/>
            <w:tcBorders>
              <w:top w:val="single" w:sz="4" w:space="0" w:color="auto"/>
              <w:left w:val="single" w:sz="4" w:space="0" w:color="auto"/>
              <w:bottom w:val="single" w:sz="4" w:space="0" w:color="auto"/>
              <w:right w:val="single" w:sz="4" w:space="0" w:color="auto"/>
            </w:tcBorders>
            <w:vAlign w:val="center"/>
            <w:hideMark/>
          </w:tcPr>
          <w:p w14:paraId="40C99559" w14:textId="77777777" w:rsidR="00CD64B5" w:rsidRPr="007F2C2A" w:rsidRDefault="00CD64B5" w:rsidP="00CD64B5">
            <w:pPr>
              <w:rPr>
                <w:rFonts w:eastAsiaTheme="minorHAnsi"/>
                <w:sz w:val="20"/>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734D81" w14:textId="77777777" w:rsidR="00CD64B5" w:rsidRPr="007F2C2A" w:rsidRDefault="00CD64B5" w:rsidP="00CD64B5">
            <w:pPr>
              <w:rPr>
                <w:sz w:val="20"/>
              </w:rPr>
            </w:pPr>
            <w:r w:rsidRPr="007F2C2A">
              <w:rPr>
                <w:sz w:val="20"/>
              </w:rPr>
              <w:t xml:space="preserve">CO, </w:t>
            </w:r>
            <w:r w:rsidRPr="007F2C2A">
              <w:rPr>
                <w:rFonts w:ascii="Sylfaen" w:hAnsi="Sylfaen" w:cs="Sylfaen"/>
                <w:sz w:val="20"/>
              </w:rPr>
              <w:t>მგ</w:t>
            </w:r>
            <w:r w:rsidRPr="007F2C2A">
              <w:rPr>
                <w:sz w:val="20"/>
              </w:rPr>
              <w:t>/</w:t>
            </w:r>
            <w:r w:rsidRPr="007F2C2A">
              <w:rPr>
                <w:rFonts w:ascii="Sylfaen" w:hAnsi="Sylfaen" w:cs="Sylfaen"/>
                <w:sz w:val="20"/>
              </w:rPr>
              <w:t>მ</w:t>
            </w:r>
            <w:r w:rsidRPr="007F2C2A">
              <w:rPr>
                <w:sz w:val="20"/>
              </w:rPr>
              <w:t>3</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70FCFF" w14:textId="77777777" w:rsidR="00CD64B5" w:rsidRPr="007F2C2A" w:rsidRDefault="00CD64B5" w:rsidP="00CD64B5">
            <w:pPr>
              <w:rPr>
                <w:sz w:val="20"/>
              </w:rPr>
            </w:pPr>
            <w:r w:rsidRPr="007F2C2A">
              <w:rPr>
                <w:sz w:val="20"/>
              </w:rPr>
              <w:t>NO2,</w:t>
            </w:r>
            <w:r w:rsidRPr="007F2C2A">
              <w:rPr>
                <w:rFonts w:ascii="Sylfaen" w:hAnsi="Sylfaen" w:cs="Sylfaen"/>
                <w:sz w:val="20"/>
              </w:rPr>
              <w:t>მგ</w:t>
            </w:r>
            <w:r w:rsidRPr="007F2C2A">
              <w:rPr>
                <w:sz w:val="20"/>
              </w:rPr>
              <w:t>/</w:t>
            </w:r>
            <w:r w:rsidRPr="007F2C2A">
              <w:rPr>
                <w:rFonts w:ascii="Sylfaen" w:hAnsi="Sylfaen" w:cs="Sylfaen"/>
                <w:sz w:val="20"/>
              </w:rPr>
              <w:t>მ</w:t>
            </w:r>
            <w:r w:rsidRPr="007F2C2A">
              <w:rPr>
                <w:sz w:val="20"/>
              </w:rPr>
              <w:t>3</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A67FC7" w14:textId="77777777" w:rsidR="00CD64B5" w:rsidRPr="007F2C2A" w:rsidRDefault="00CD64B5" w:rsidP="00CD64B5">
            <w:pPr>
              <w:rPr>
                <w:sz w:val="20"/>
              </w:rPr>
            </w:pPr>
            <w:r w:rsidRPr="007F2C2A">
              <w:rPr>
                <w:sz w:val="20"/>
              </w:rPr>
              <w:t xml:space="preserve">PM10, </w:t>
            </w:r>
            <w:r w:rsidRPr="007F2C2A">
              <w:rPr>
                <w:rFonts w:ascii="Sylfaen" w:hAnsi="Sylfaen" w:cs="Sylfaen"/>
                <w:sz w:val="20"/>
              </w:rPr>
              <w:t>მგ</w:t>
            </w:r>
            <w:r w:rsidRPr="007F2C2A">
              <w:rPr>
                <w:sz w:val="20"/>
              </w:rPr>
              <w:t>/</w:t>
            </w:r>
            <w:r w:rsidRPr="007F2C2A">
              <w:rPr>
                <w:rFonts w:ascii="Sylfaen" w:hAnsi="Sylfaen" w:cs="Sylfaen"/>
                <w:sz w:val="20"/>
              </w:rPr>
              <w:t>მ</w:t>
            </w:r>
            <w:r w:rsidRPr="007F2C2A">
              <w:rPr>
                <w:sz w:val="20"/>
              </w:rPr>
              <w:t>3</w:t>
            </w:r>
          </w:p>
        </w:tc>
      </w:tr>
      <w:tr w:rsidR="00CD64B5" w:rsidRPr="007F2C2A" w14:paraId="7591F500" w14:textId="77777777" w:rsidTr="00CD64B5">
        <w:trPr>
          <w:cantSplit/>
          <w:trHeight w:val="238"/>
        </w:trPr>
        <w:tc>
          <w:tcPr>
            <w:tcW w:w="5672" w:type="dxa"/>
            <w:gridSpan w:val="2"/>
            <w:vMerge/>
            <w:tcBorders>
              <w:top w:val="single" w:sz="4" w:space="0" w:color="auto"/>
              <w:left w:val="single" w:sz="4" w:space="0" w:color="auto"/>
              <w:bottom w:val="single" w:sz="4" w:space="0" w:color="auto"/>
              <w:right w:val="single" w:sz="4" w:space="0" w:color="auto"/>
            </w:tcBorders>
            <w:vAlign w:val="center"/>
            <w:hideMark/>
          </w:tcPr>
          <w:p w14:paraId="0AD90E8B" w14:textId="77777777" w:rsidR="00CD64B5" w:rsidRPr="007F2C2A" w:rsidRDefault="00CD64B5" w:rsidP="00CD64B5">
            <w:pPr>
              <w:rPr>
                <w:rFonts w:eastAsiaTheme="minorHAnsi"/>
                <w:sz w:val="20"/>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0F9C53" w14:textId="77777777" w:rsidR="00CD64B5" w:rsidRPr="007F2C2A" w:rsidRDefault="00CD64B5" w:rsidP="00CD64B5">
            <w:pPr>
              <w:rPr>
                <w:sz w:val="20"/>
              </w:rPr>
            </w:pPr>
            <w:r w:rsidRPr="007F2C2A">
              <w:rPr>
                <w:rFonts w:ascii="Sylfaen" w:hAnsi="Sylfaen" w:cs="Sylfaen"/>
                <w:sz w:val="20"/>
              </w:rPr>
              <w:t>მანძილი</w:t>
            </w:r>
            <w:r w:rsidRPr="007F2C2A">
              <w:rPr>
                <w:sz w:val="20"/>
              </w:rPr>
              <w:t xml:space="preserve"> </w:t>
            </w:r>
            <w:r w:rsidRPr="007F2C2A">
              <w:rPr>
                <w:rFonts w:ascii="Sylfaen" w:hAnsi="Sylfaen" w:cs="Sylfaen"/>
                <w:sz w:val="20"/>
              </w:rPr>
              <w:t>გზიდან</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ECEDFA" w14:textId="77777777" w:rsidR="00CD64B5" w:rsidRPr="007F2C2A" w:rsidRDefault="00CD64B5" w:rsidP="00CD64B5">
            <w:pPr>
              <w:rPr>
                <w:sz w:val="20"/>
              </w:rPr>
            </w:pPr>
            <w:r w:rsidRPr="007F2C2A">
              <w:rPr>
                <w:rFonts w:ascii="Sylfaen" w:hAnsi="Sylfaen" w:cs="Sylfaen"/>
                <w:sz w:val="20"/>
              </w:rPr>
              <w:t>მანძილი</w:t>
            </w:r>
            <w:r w:rsidRPr="007F2C2A">
              <w:rPr>
                <w:sz w:val="20"/>
              </w:rPr>
              <w:t xml:space="preserve"> </w:t>
            </w:r>
            <w:r w:rsidRPr="007F2C2A">
              <w:rPr>
                <w:rFonts w:ascii="Sylfaen" w:hAnsi="Sylfaen" w:cs="Sylfaen"/>
                <w:sz w:val="20"/>
              </w:rPr>
              <w:t>გზიდან</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7250C9" w14:textId="77777777" w:rsidR="00CD64B5" w:rsidRPr="007F2C2A" w:rsidRDefault="00CD64B5" w:rsidP="00CD64B5">
            <w:pPr>
              <w:rPr>
                <w:sz w:val="20"/>
              </w:rPr>
            </w:pPr>
            <w:r w:rsidRPr="007F2C2A">
              <w:rPr>
                <w:rFonts w:ascii="Sylfaen" w:hAnsi="Sylfaen" w:cs="Sylfaen"/>
                <w:sz w:val="20"/>
              </w:rPr>
              <w:t>მანძილი</w:t>
            </w:r>
            <w:r w:rsidRPr="007F2C2A">
              <w:rPr>
                <w:sz w:val="20"/>
              </w:rPr>
              <w:t xml:space="preserve"> </w:t>
            </w:r>
            <w:r w:rsidRPr="007F2C2A">
              <w:rPr>
                <w:rFonts w:ascii="Sylfaen" w:hAnsi="Sylfaen" w:cs="Sylfaen"/>
                <w:sz w:val="20"/>
              </w:rPr>
              <w:t>გზიდან</w:t>
            </w:r>
          </w:p>
        </w:tc>
      </w:tr>
      <w:tr w:rsidR="00CD64B5" w:rsidRPr="007F2C2A" w14:paraId="5A29196B" w14:textId="77777777" w:rsidTr="00CD64B5">
        <w:trPr>
          <w:cantSplit/>
          <w:trHeight w:val="238"/>
        </w:trPr>
        <w:tc>
          <w:tcPr>
            <w:tcW w:w="5672" w:type="dxa"/>
            <w:gridSpan w:val="2"/>
            <w:vMerge/>
            <w:tcBorders>
              <w:top w:val="single" w:sz="4" w:space="0" w:color="auto"/>
              <w:left w:val="single" w:sz="4" w:space="0" w:color="auto"/>
              <w:bottom w:val="single" w:sz="4" w:space="0" w:color="auto"/>
              <w:right w:val="single" w:sz="4" w:space="0" w:color="auto"/>
            </w:tcBorders>
            <w:vAlign w:val="center"/>
            <w:hideMark/>
          </w:tcPr>
          <w:p w14:paraId="7B70F3DD" w14:textId="77777777" w:rsidR="00CD64B5" w:rsidRPr="007F2C2A" w:rsidRDefault="00CD64B5" w:rsidP="00CD64B5">
            <w:pPr>
              <w:rPr>
                <w:rFonts w:eastAsiaTheme="minorHAnsi"/>
                <w:sz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4850A9" w14:textId="77777777" w:rsidR="00CD64B5" w:rsidRPr="007F2C2A" w:rsidRDefault="00CD64B5" w:rsidP="00CD64B5">
            <w:pPr>
              <w:rPr>
                <w:sz w:val="20"/>
              </w:rPr>
            </w:pPr>
            <w:r w:rsidRPr="007F2C2A">
              <w:rPr>
                <w:sz w:val="20"/>
              </w:rPr>
              <w:t xml:space="preserve">5 </w:t>
            </w:r>
            <w:r w:rsidRPr="007F2C2A">
              <w:rPr>
                <w:rFonts w:ascii="Sylfaen" w:hAnsi="Sylfaen" w:cs="Sylfaen"/>
                <w:sz w:val="20"/>
              </w:rPr>
              <w:t>მ</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4B221B" w14:textId="77777777" w:rsidR="00CD64B5" w:rsidRPr="007F2C2A" w:rsidRDefault="00CD64B5" w:rsidP="00CD64B5">
            <w:pPr>
              <w:rPr>
                <w:sz w:val="20"/>
              </w:rPr>
            </w:pPr>
            <w:r w:rsidRPr="007F2C2A">
              <w:rPr>
                <w:sz w:val="20"/>
              </w:rPr>
              <w:t xml:space="preserve">50 </w:t>
            </w:r>
            <w:r w:rsidRPr="007F2C2A">
              <w:rPr>
                <w:rFonts w:ascii="Sylfaen" w:hAnsi="Sylfaen" w:cs="Sylfaen"/>
                <w:sz w:val="20"/>
              </w:rPr>
              <w:t>მ</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68674A" w14:textId="77777777" w:rsidR="00CD64B5" w:rsidRPr="007F2C2A" w:rsidRDefault="00CD64B5" w:rsidP="00CD64B5">
            <w:pPr>
              <w:rPr>
                <w:sz w:val="20"/>
              </w:rPr>
            </w:pPr>
            <w:r w:rsidRPr="007F2C2A">
              <w:rPr>
                <w:sz w:val="20"/>
              </w:rPr>
              <w:t>5</w:t>
            </w:r>
            <w:r w:rsidRPr="007F2C2A">
              <w:rPr>
                <w:rFonts w:ascii="Sylfaen" w:hAnsi="Sylfaen" w:cs="Sylfaen"/>
                <w:sz w:val="20"/>
              </w:rPr>
              <w:t>მ</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4F3090" w14:textId="77777777" w:rsidR="00CD64B5" w:rsidRPr="007F2C2A" w:rsidRDefault="00CD64B5" w:rsidP="00CD64B5">
            <w:pPr>
              <w:rPr>
                <w:sz w:val="20"/>
              </w:rPr>
            </w:pPr>
            <w:r w:rsidRPr="007F2C2A">
              <w:rPr>
                <w:sz w:val="20"/>
              </w:rPr>
              <w:t>50</w:t>
            </w:r>
            <w:r w:rsidRPr="007F2C2A">
              <w:rPr>
                <w:rFonts w:ascii="Sylfaen" w:hAnsi="Sylfaen" w:cs="Sylfaen"/>
                <w:sz w:val="20"/>
              </w:rPr>
              <w:t>მ</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06E45F" w14:textId="77777777" w:rsidR="00CD64B5" w:rsidRPr="007F2C2A" w:rsidRDefault="00CD64B5" w:rsidP="00CD64B5">
            <w:pPr>
              <w:rPr>
                <w:sz w:val="20"/>
              </w:rPr>
            </w:pPr>
            <w:r w:rsidRPr="007F2C2A">
              <w:rPr>
                <w:sz w:val="20"/>
              </w:rPr>
              <w:t xml:space="preserve">5 </w:t>
            </w:r>
            <w:r w:rsidRPr="007F2C2A">
              <w:rPr>
                <w:rFonts w:ascii="Sylfaen" w:hAnsi="Sylfaen" w:cs="Sylfaen"/>
                <w:sz w:val="20"/>
              </w:rPr>
              <w:t>მ</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73E51B" w14:textId="77777777" w:rsidR="00CD64B5" w:rsidRPr="007F2C2A" w:rsidRDefault="00CD64B5" w:rsidP="00CD64B5">
            <w:pPr>
              <w:rPr>
                <w:sz w:val="20"/>
              </w:rPr>
            </w:pPr>
            <w:r w:rsidRPr="007F2C2A">
              <w:rPr>
                <w:sz w:val="20"/>
              </w:rPr>
              <w:t>50</w:t>
            </w:r>
            <w:r w:rsidRPr="007F2C2A">
              <w:rPr>
                <w:rFonts w:ascii="Sylfaen" w:hAnsi="Sylfaen" w:cs="Sylfaen"/>
                <w:sz w:val="20"/>
              </w:rPr>
              <w:t>მ</w:t>
            </w:r>
          </w:p>
        </w:tc>
      </w:tr>
      <w:tr w:rsidR="00CD64B5" w:rsidRPr="007F2C2A" w14:paraId="3BB9355E" w14:textId="77777777" w:rsidTr="00CD64B5">
        <w:tc>
          <w:tcPr>
            <w:tcW w:w="1418" w:type="dxa"/>
            <w:vMerge w:val="restart"/>
            <w:tcBorders>
              <w:top w:val="single" w:sz="4" w:space="0" w:color="auto"/>
              <w:left w:val="single" w:sz="4" w:space="0" w:color="auto"/>
              <w:bottom w:val="single" w:sz="4" w:space="0" w:color="auto"/>
              <w:right w:val="single" w:sz="4" w:space="0" w:color="auto"/>
            </w:tcBorders>
          </w:tcPr>
          <w:p w14:paraId="75C10B30" w14:textId="77777777" w:rsidR="00CD64B5" w:rsidRPr="007F2C2A" w:rsidRDefault="00CD64B5" w:rsidP="00CD64B5">
            <w:pPr>
              <w:rPr>
                <w:sz w:val="20"/>
                <w:lang w:eastAsia="en-GB"/>
              </w:rPr>
            </w:pPr>
            <w:r w:rsidRPr="007F2C2A">
              <w:rPr>
                <w:sz w:val="20"/>
              </w:rPr>
              <w:t>(</w:t>
            </w:r>
            <w:r w:rsidRPr="007F2C2A">
              <w:rPr>
                <w:rFonts w:ascii="Sylfaen" w:hAnsi="Sylfaen" w:cs="Sylfaen"/>
                <w:sz w:val="20"/>
              </w:rPr>
              <w:t>კმ</w:t>
            </w:r>
            <w:r w:rsidRPr="007F2C2A">
              <w:rPr>
                <w:sz w:val="20"/>
              </w:rPr>
              <w:t xml:space="preserve"> 142)</w:t>
            </w:r>
          </w:p>
          <w:p w14:paraId="09D7312B" w14:textId="77777777" w:rsidR="00CD64B5" w:rsidRPr="007F2C2A" w:rsidRDefault="00CD64B5" w:rsidP="00CD64B5">
            <w:pPr>
              <w:rPr>
                <w:sz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85F47F" w14:textId="77777777" w:rsidR="00CD64B5" w:rsidRPr="007F2C2A" w:rsidRDefault="00CD64B5" w:rsidP="00CD64B5">
            <w:pPr>
              <w:rPr>
                <w:sz w:val="20"/>
              </w:rPr>
            </w:pPr>
            <w:r w:rsidRPr="007F2C2A">
              <w:rPr>
                <w:sz w:val="20"/>
              </w:rPr>
              <w:t xml:space="preserve">5.5 – 6.6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01769D" w14:textId="77777777" w:rsidR="00CD64B5" w:rsidRPr="007F2C2A" w:rsidRDefault="00CD64B5" w:rsidP="00CD64B5">
            <w:pPr>
              <w:rPr>
                <w:sz w:val="20"/>
              </w:rPr>
            </w:pPr>
            <w:r w:rsidRPr="007F2C2A">
              <w:rPr>
                <w:sz w:val="20"/>
              </w:rPr>
              <w:t>1.6 – 2.1</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305401" w14:textId="77777777" w:rsidR="00CD64B5" w:rsidRPr="007F2C2A" w:rsidRDefault="00CD64B5" w:rsidP="00CD64B5">
            <w:pPr>
              <w:rPr>
                <w:sz w:val="20"/>
              </w:rPr>
            </w:pPr>
            <w:r w:rsidRPr="007F2C2A">
              <w:rPr>
                <w:sz w:val="20"/>
              </w:rPr>
              <w:t xml:space="preserve">10 – 15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1384A7" w14:textId="77777777" w:rsidR="00CD64B5" w:rsidRPr="007F2C2A" w:rsidRDefault="00CD64B5" w:rsidP="00CD64B5">
            <w:pPr>
              <w:rPr>
                <w:sz w:val="20"/>
              </w:rPr>
            </w:pPr>
            <w:r w:rsidRPr="007F2C2A">
              <w:rPr>
                <w:sz w:val="20"/>
              </w:rPr>
              <w:t xml:space="preserve">4 – 6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D4CFC9" w14:textId="77777777" w:rsidR="00CD64B5" w:rsidRPr="007F2C2A" w:rsidRDefault="00CD64B5" w:rsidP="00CD64B5">
            <w:pPr>
              <w:rPr>
                <w:sz w:val="20"/>
              </w:rPr>
            </w:pPr>
            <w:r w:rsidRPr="007F2C2A">
              <w:rPr>
                <w:sz w:val="20"/>
              </w:rPr>
              <w:t>3.0 – 5.0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34390C" w14:textId="77777777" w:rsidR="00CD64B5" w:rsidRPr="007F2C2A" w:rsidRDefault="00CD64B5" w:rsidP="00CD64B5">
            <w:pPr>
              <w:rPr>
                <w:sz w:val="20"/>
              </w:rPr>
            </w:pPr>
            <w:r w:rsidRPr="007F2C2A">
              <w:rPr>
                <w:sz w:val="20"/>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D7D51D5" w14:textId="77777777" w:rsidR="00CD64B5" w:rsidRPr="007F2C2A" w:rsidRDefault="00CD64B5" w:rsidP="00CD64B5">
            <w:pPr>
              <w:rPr>
                <w:sz w:val="20"/>
              </w:rPr>
            </w:pPr>
          </w:p>
        </w:tc>
      </w:tr>
      <w:tr w:rsidR="00CD64B5" w:rsidRPr="007F2C2A" w14:paraId="79D4A5FC" w14:textId="77777777" w:rsidTr="00CD64B5">
        <w:trPr>
          <w:trHeight w:val="493"/>
        </w:trPr>
        <w:tc>
          <w:tcPr>
            <w:tcW w:w="3545" w:type="dxa"/>
            <w:vMerge/>
            <w:tcBorders>
              <w:top w:val="single" w:sz="4" w:space="0" w:color="auto"/>
              <w:left w:val="single" w:sz="4" w:space="0" w:color="auto"/>
              <w:bottom w:val="single" w:sz="4" w:space="0" w:color="auto"/>
              <w:right w:val="single" w:sz="4" w:space="0" w:color="auto"/>
            </w:tcBorders>
            <w:vAlign w:val="center"/>
            <w:hideMark/>
          </w:tcPr>
          <w:p w14:paraId="4B411A95" w14:textId="77777777" w:rsidR="00CD64B5" w:rsidRPr="007F2C2A" w:rsidRDefault="00CD64B5" w:rsidP="00CD64B5">
            <w:pPr>
              <w:rPr>
                <w:rFonts w:eastAsiaTheme="minorHAnsi"/>
                <w:sz w:val="20"/>
              </w:rPr>
            </w:pPr>
          </w:p>
        </w:tc>
        <w:tc>
          <w:tcPr>
            <w:tcW w:w="2127" w:type="dxa"/>
            <w:tcBorders>
              <w:top w:val="single" w:sz="4" w:space="0" w:color="auto"/>
              <w:left w:val="single" w:sz="4" w:space="0" w:color="auto"/>
              <w:bottom w:val="single" w:sz="4" w:space="0" w:color="auto"/>
              <w:right w:val="single" w:sz="4" w:space="0" w:color="auto"/>
            </w:tcBorders>
            <w:hideMark/>
          </w:tcPr>
          <w:p w14:paraId="1BA5B241" w14:textId="77777777" w:rsidR="00CD64B5" w:rsidRPr="007F2C2A" w:rsidRDefault="00CD64B5" w:rsidP="00CD64B5">
            <w:pPr>
              <w:rPr>
                <w:sz w:val="20"/>
                <w:lang w:eastAsia="en-US"/>
              </w:rPr>
            </w:pPr>
            <w:r w:rsidRPr="007F2C2A">
              <w:rPr>
                <w:sz w:val="20"/>
              </w:rPr>
              <w:t xml:space="preserve">100 </w:t>
            </w:r>
            <w:r w:rsidRPr="007F2C2A">
              <w:rPr>
                <w:rFonts w:ascii="Sylfaen" w:hAnsi="Sylfaen" w:cs="Sylfaen"/>
                <w:sz w:val="20"/>
              </w:rPr>
              <w:t>კმ</w:t>
            </w:r>
            <w:r w:rsidRPr="007F2C2A">
              <w:rPr>
                <w:sz w:val="20"/>
              </w:rPr>
              <w:t>/</w:t>
            </w:r>
            <w:r w:rsidRPr="007F2C2A">
              <w:rPr>
                <w:rFonts w:ascii="Sylfaen" w:hAnsi="Sylfaen" w:cs="Sylfaen"/>
                <w:sz w:val="20"/>
              </w:rPr>
              <w:t>სთ</w:t>
            </w:r>
          </w:p>
        </w:tc>
        <w:tc>
          <w:tcPr>
            <w:tcW w:w="1134" w:type="dxa"/>
            <w:tcBorders>
              <w:top w:val="single" w:sz="4" w:space="0" w:color="auto"/>
              <w:left w:val="single" w:sz="4" w:space="0" w:color="auto"/>
              <w:bottom w:val="single" w:sz="4" w:space="0" w:color="auto"/>
              <w:right w:val="single" w:sz="4" w:space="0" w:color="auto"/>
            </w:tcBorders>
            <w:hideMark/>
          </w:tcPr>
          <w:p w14:paraId="3EB41F36" w14:textId="77777777" w:rsidR="00CD64B5" w:rsidRPr="007F2C2A" w:rsidRDefault="00CD64B5" w:rsidP="00CD64B5">
            <w:pPr>
              <w:rPr>
                <w:sz w:val="20"/>
              </w:rPr>
            </w:pPr>
            <w:r w:rsidRPr="007F2C2A">
              <w:rPr>
                <w:sz w:val="20"/>
              </w:rPr>
              <w:t>3.5 – 4.5</w:t>
            </w:r>
          </w:p>
        </w:tc>
        <w:tc>
          <w:tcPr>
            <w:tcW w:w="708" w:type="dxa"/>
            <w:tcBorders>
              <w:top w:val="single" w:sz="4" w:space="0" w:color="auto"/>
              <w:left w:val="single" w:sz="4" w:space="0" w:color="auto"/>
              <w:bottom w:val="single" w:sz="4" w:space="0" w:color="auto"/>
              <w:right w:val="single" w:sz="4" w:space="0" w:color="auto"/>
            </w:tcBorders>
            <w:hideMark/>
          </w:tcPr>
          <w:p w14:paraId="1F1E2BEB" w14:textId="77777777" w:rsidR="00CD64B5" w:rsidRPr="007F2C2A" w:rsidRDefault="00CD64B5" w:rsidP="00CD64B5">
            <w:pPr>
              <w:rPr>
                <w:sz w:val="20"/>
              </w:rPr>
            </w:pPr>
            <w:r w:rsidRPr="007F2C2A">
              <w:rPr>
                <w:sz w:val="20"/>
              </w:rPr>
              <w:t xml:space="preserve">0.8 – 1 </w:t>
            </w:r>
          </w:p>
        </w:tc>
        <w:tc>
          <w:tcPr>
            <w:tcW w:w="993" w:type="dxa"/>
            <w:tcBorders>
              <w:top w:val="single" w:sz="4" w:space="0" w:color="auto"/>
              <w:left w:val="single" w:sz="4" w:space="0" w:color="auto"/>
              <w:bottom w:val="single" w:sz="4" w:space="0" w:color="auto"/>
              <w:right w:val="single" w:sz="4" w:space="0" w:color="auto"/>
            </w:tcBorders>
            <w:hideMark/>
          </w:tcPr>
          <w:p w14:paraId="63878CEB" w14:textId="77777777" w:rsidR="00CD64B5" w:rsidRPr="007F2C2A" w:rsidRDefault="00CD64B5" w:rsidP="00CD64B5">
            <w:pPr>
              <w:rPr>
                <w:sz w:val="20"/>
              </w:rPr>
            </w:pPr>
            <w:r w:rsidRPr="007F2C2A">
              <w:rPr>
                <w:sz w:val="20"/>
              </w:rPr>
              <w:t xml:space="preserve">8 – 10 </w:t>
            </w:r>
          </w:p>
        </w:tc>
        <w:tc>
          <w:tcPr>
            <w:tcW w:w="850" w:type="dxa"/>
            <w:tcBorders>
              <w:top w:val="single" w:sz="4" w:space="0" w:color="auto"/>
              <w:left w:val="single" w:sz="4" w:space="0" w:color="auto"/>
              <w:bottom w:val="single" w:sz="4" w:space="0" w:color="auto"/>
              <w:right w:val="single" w:sz="4" w:space="0" w:color="auto"/>
            </w:tcBorders>
            <w:hideMark/>
          </w:tcPr>
          <w:p w14:paraId="6235F633" w14:textId="77777777" w:rsidR="00CD64B5" w:rsidRPr="007F2C2A" w:rsidRDefault="00CD64B5" w:rsidP="00CD64B5">
            <w:pPr>
              <w:rPr>
                <w:sz w:val="20"/>
              </w:rPr>
            </w:pPr>
            <w:r w:rsidRPr="007F2C2A">
              <w:rPr>
                <w:sz w:val="20"/>
              </w:rPr>
              <w:t xml:space="preserve">2 – 3 </w:t>
            </w:r>
          </w:p>
        </w:tc>
        <w:tc>
          <w:tcPr>
            <w:tcW w:w="992" w:type="dxa"/>
            <w:tcBorders>
              <w:top w:val="single" w:sz="4" w:space="0" w:color="auto"/>
              <w:left w:val="single" w:sz="4" w:space="0" w:color="auto"/>
              <w:bottom w:val="single" w:sz="4" w:space="0" w:color="auto"/>
              <w:right w:val="single" w:sz="4" w:space="0" w:color="auto"/>
            </w:tcBorders>
            <w:hideMark/>
          </w:tcPr>
          <w:p w14:paraId="4B32F2C5" w14:textId="77777777" w:rsidR="00CD64B5" w:rsidRPr="007F2C2A" w:rsidRDefault="00CD64B5" w:rsidP="00CD64B5">
            <w:pPr>
              <w:rPr>
                <w:sz w:val="20"/>
              </w:rPr>
            </w:pPr>
            <w:r w:rsidRPr="007F2C2A">
              <w:rPr>
                <w:sz w:val="20"/>
              </w:rPr>
              <w:t>1.0</w:t>
            </w:r>
          </w:p>
        </w:tc>
        <w:tc>
          <w:tcPr>
            <w:tcW w:w="851" w:type="dxa"/>
            <w:tcBorders>
              <w:top w:val="single" w:sz="4" w:space="0" w:color="auto"/>
              <w:left w:val="single" w:sz="4" w:space="0" w:color="auto"/>
              <w:bottom w:val="single" w:sz="4" w:space="0" w:color="auto"/>
              <w:right w:val="single" w:sz="4" w:space="0" w:color="auto"/>
            </w:tcBorders>
            <w:hideMark/>
          </w:tcPr>
          <w:p w14:paraId="7C984D26" w14:textId="77777777" w:rsidR="00CD64B5" w:rsidRPr="007F2C2A" w:rsidRDefault="00CD64B5" w:rsidP="00CD64B5">
            <w:pPr>
              <w:rPr>
                <w:sz w:val="20"/>
              </w:rPr>
            </w:pPr>
            <w:r w:rsidRPr="007F2C2A">
              <w:rPr>
                <w:sz w:val="20"/>
              </w:rPr>
              <w:t>0</w:t>
            </w:r>
          </w:p>
        </w:tc>
      </w:tr>
    </w:tbl>
    <w:p w14:paraId="6DF0A610" w14:textId="77777777" w:rsidR="00CD64B5" w:rsidRPr="001352AB" w:rsidRDefault="00CD64B5" w:rsidP="00CD64B5">
      <w:pPr>
        <w:rPr>
          <w:lang w:val="ka-GE" w:eastAsia="en-GB"/>
        </w:rPr>
      </w:pPr>
    </w:p>
    <w:p w14:paraId="0A9E0501" w14:textId="77777777" w:rsidR="00CD64B5" w:rsidRPr="001352AB" w:rsidRDefault="00CD64B5" w:rsidP="00CD64B5"/>
    <w:p w14:paraId="6B32A55E" w14:textId="77777777" w:rsidR="00CD64B5" w:rsidRPr="001352AB" w:rsidRDefault="00CD64B5" w:rsidP="00CD64B5">
      <w:pPr>
        <w:pStyle w:val="Heading3"/>
      </w:pPr>
      <w:bookmarkStart w:id="294" w:name="_Toc464212196"/>
      <w:bookmarkStart w:id="295" w:name="_Toc529977396"/>
      <w:bookmarkStart w:id="296" w:name="_Toc495314381"/>
      <w:bookmarkStart w:id="297" w:name="_Toc479166513"/>
      <w:bookmarkStart w:id="298" w:name="_Toc479164783"/>
      <w:bookmarkStart w:id="299" w:name="_Toc436571434"/>
      <w:bookmarkStart w:id="300" w:name="_Toc436593972"/>
      <w:bookmarkStart w:id="301" w:name="_Toc1581559"/>
      <w:r w:rsidRPr="001352AB">
        <w:t xml:space="preserve">7.1.2 </w:t>
      </w:r>
      <w:r w:rsidRPr="001352AB">
        <w:rPr>
          <w:rFonts w:ascii="Sylfaen" w:hAnsi="Sylfaen" w:cs="Sylfaen"/>
        </w:rPr>
        <w:t>ატმოსფერული</w:t>
      </w:r>
      <w:r w:rsidRPr="001352AB">
        <w:t xml:space="preserve"> </w:t>
      </w:r>
      <w:r w:rsidRPr="001352AB">
        <w:rPr>
          <w:rFonts w:ascii="Sylfaen" w:hAnsi="Sylfaen" w:cs="Sylfaen"/>
        </w:rPr>
        <w:t>ჰაერის</w:t>
      </w:r>
      <w:r w:rsidRPr="001352AB">
        <w:t xml:space="preserve"> </w:t>
      </w:r>
      <w:r w:rsidRPr="001352AB">
        <w:rPr>
          <w:rFonts w:ascii="Sylfaen" w:hAnsi="Sylfaen" w:cs="Sylfaen"/>
        </w:rPr>
        <w:t>ხარისხზე</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ექსპლუატაციის</w:t>
      </w:r>
      <w:r w:rsidRPr="001352AB">
        <w:t xml:space="preserve"> </w:t>
      </w:r>
      <w:bookmarkEnd w:id="294"/>
      <w:r w:rsidRPr="001352AB">
        <w:rPr>
          <w:rFonts w:ascii="Sylfaen" w:hAnsi="Sylfaen" w:cs="Sylfaen"/>
        </w:rPr>
        <w:t>ეტაპზე</w:t>
      </w:r>
      <w:bookmarkEnd w:id="295"/>
      <w:bookmarkEnd w:id="296"/>
      <w:bookmarkEnd w:id="297"/>
      <w:bookmarkEnd w:id="298"/>
      <w:bookmarkEnd w:id="301"/>
    </w:p>
    <w:p w14:paraId="10FEF539" w14:textId="77777777" w:rsidR="00CD64B5" w:rsidRPr="001352AB" w:rsidRDefault="00CD64B5" w:rsidP="00CD64B5"/>
    <w:p w14:paraId="201238BE" w14:textId="77777777" w:rsidR="00CD64B5" w:rsidRPr="001352AB" w:rsidRDefault="00CD64B5" w:rsidP="00CD64B5">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w:t>
      </w:r>
      <w:r w:rsidRPr="001352AB">
        <w:t xml:space="preserve"> - </w:t>
      </w:r>
      <w:r w:rsidRPr="001352AB">
        <w:rPr>
          <w:rFonts w:ascii="Sylfaen" w:hAnsi="Sylfaen" w:cs="Sylfaen"/>
        </w:rPr>
        <w:t>ექსპლუატაციის</w:t>
      </w:r>
      <w:r w:rsidRPr="001352AB">
        <w:t xml:space="preserve"> </w:t>
      </w:r>
      <w:r w:rsidRPr="001352AB">
        <w:rPr>
          <w:rFonts w:ascii="Sylfaen" w:hAnsi="Sylfaen" w:cs="Sylfaen"/>
        </w:rPr>
        <w:t>ფაზა</w:t>
      </w:r>
      <w:bookmarkEnd w:id="299"/>
      <w:bookmarkEnd w:id="300"/>
    </w:p>
    <w:p w14:paraId="76178ADD" w14:textId="77777777" w:rsidR="00CD64B5" w:rsidRPr="001352AB" w:rsidRDefault="00CD64B5" w:rsidP="00CD64B5">
      <w:pPr>
        <w:rPr>
          <w:lang w:val="ka-GE" w:eastAsia="da-DK"/>
        </w:rPr>
      </w:pPr>
      <w:r w:rsidRPr="001352AB">
        <w:rPr>
          <w:rFonts w:ascii="Sylfaen" w:hAnsi="Sylfaen" w:cs="Sylfaen"/>
        </w:rPr>
        <w:t>მოდელირების</w:t>
      </w:r>
      <w:r w:rsidRPr="001352AB">
        <w:t xml:space="preserve"> </w:t>
      </w:r>
      <w:r w:rsidRPr="001352AB">
        <w:rPr>
          <w:rFonts w:ascii="Sylfaen" w:hAnsi="Sylfaen" w:cs="Sylfaen"/>
        </w:rPr>
        <w:t>შედეგები</w:t>
      </w:r>
      <w:r w:rsidRPr="001352AB">
        <w:t xml:space="preserve"> </w:t>
      </w:r>
      <w:r w:rsidRPr="001352AB">
        <w:rPr>
          <w:rFonts w:ascii="Sylfaen" w:hAnsi="Sylfaen" w:cs="Sylfaen"/>
        </w:rPr>
        <w:t>საშუალებას</w:t>
      </w:r>
      <w:r w:rsidRPr="001352AB">
        <w:t xml:space="preserve"> </w:t>
      </w:r>
      <w:r w:rsidRPr="001352AB">
        <w:rPr>
          <w:rFonts w:ascii="Sylfaen" w:hAnsi="Sylfaen" w:cs="Sylfaen"/>
        </w:rPr>
        <w:t>გვაძლევს</w:t>
      </w:r>
      <w:r w:rsidRPr="001352AB">
        <w:t xml:space="preserve"> </w:t>
      </w:r>
      <w:r w:rsidRPr="001352AB">
        <w:rPr>
          <w:rFonts w:ascii="Sylfaen" w:hAnsi="Sylfaen" w:cs="Sylfaen"/>
        </w:rPr>
        <w:t>დავასკვნათ</w:t>
      </w:r>
      <w:r w:rsidRPr="001352AB">
        <w:t xml:space="preserve">, </w:t>
      </w:r>
      <w:r w:rsidRPr="001352AB">
        <w:rPr>
          <w:rFonts w:ascii="Sylfaen" w:hAnsi="Sylfaen" w:cs="Sylfaen"/>
        </w:rPr>
        <w:t>რომ</w:t>
      </w:r>
      <w:r w:rsidRPr="001352AB">
        <w:t xml:space="preserve"> </w:t>
      </w:r>
      <w:r w:rsidRPr="001352AB">
        <w:rPr>
          <w:rFonts w:ascii="Sylfaen" w:hAnsi="Sylfaen" w:cs="Sylfaen"/>
        </w:rPr>
        <w:t>ჰაერის</w:t>
      </w:r>
      <w:r w:rsidRPr="001352AB">
        <w:t xml:space="preserve"> </w:t>
      </w:r>
      <w:r w:rsidRPr="001352AB">
        <w:rPr>
          <w:rFonts w:ascii="Sylfaen" w:hAnsi="Sylfaen" w:cs="Sylfaen"/>
        </w:rPr>
        <w:t>დაბინძურების</w:t>
      </w:r>
      <w:r w:rsidRPr="001352AB">
        <w:t xml:space="preserve"> </w:t>
      </w: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გატარება</w:t>
      </w:r>
      <w:r w:rsidRPr="001352AB">
        <w:t xml:space="preserve"> </w:t>
      </w:r>
      <w:r w:rsidRPr="001352AB">
        <w:rPr>
          <w:rFonts w:ascii="Sylfaen" w:hAnsi="Sylfaen" w:cs="Sylfaen"/>
        </w:rPr>
        <w:t>ბაკურციხე</w:t>
      </w:r>
      <w:r w:rsidRPr="001352AB">
        <w:t>-</w:t>
      </w:r>
      <w:r w:rsidRPr="001352AB">
        <w:rPr>
          <w:rFonts w:ascii="Sylfaen" w:hAnsi="Sylfaen" w:cs="Sylfaen"/>
        </w:rPr>
        <w:t>წნორის</w:t>
      </w:r>
      <w:r w:rsidRPr="001352AB">
        <w:t xml:space="preserve"> </w:t>
      </w:r>
      <w:r w:rsidRPr="001352AB">
        <w:rPr>
          <w:rFonts w:ascii="Sylfaen" w:hAnsi="Sylfaen" w:cs="Sylfaen"/>
        </w:rPr>
        <w:t>მონაკვეთზე</w:t>
      </w:r>
      <w:r w:rsidRPr="001352AB">
        <w:t xml:space="preserve"> </w:t>
      </w:r>
      <w:r w:rsidRPr="001352AB">
        <w:rPr>
          <w:rFonts w:ascii="Sylfaen" w:hAnsi="Sylfaen" w:cs="Sylfaen"/>
        </w:rPr>
        <w:t>საჭირო</w:t>
      </w:r>
      <w:r w:rsidRPr="001352AB">
        <w:t xml:space="preserve"> </w:t>
      </w:r>
      <w:r w:rsidRPr="001352AB">
        <w:rPr>
          <w:rFonts w:ascii="Sylfaen" w:hAnsi="Sylfaen" w:cs="Sylfaen"/>
        </w:rPr>
        <w:t>არ</w:t>
      </w:r>
      <w:r w:rsidRPr="001352AB">
        <w:t xml:space="preserve"> </w:t>
      </w:r>
      <w:r w:rsidRPr="001352AB">
        <w:rPr>
          <w:rFonts w:ascii="Sylfaen" w:hAnsi="Sylfaen" w:cs="Sylfaen"/>
        </w:rPr>
        <w:t>არის</w:t>
      </w:r>
      <w:r w:rsidRPr="001352AB">
        <w:t xml:space="preserve">. </w:t>
      </w:r>
      <w:r w:rsidRPr="001352AB">
        <w:rPr>
          <w:rFonts w:ascii="Sylfaen" w:hAnsi="Sylfaen" w:cs="Sylfaen"/>
        </w:rPr>
        <w:t>თუმცა</w:t>
      </w:r>
      <w:r w:rsidRPr="001352AB">
        <w:t xml:space="preserve"> </w:t>
      </w:r>
      <w:r w:rsidRPr="001352AB">
        <w:rPr>
          <w:rFonts w:ascii="Sylfaen" w:hAnsi="Sylfaen" w:cs="Sylfaen"/>
        </w:rPr>
        <w:lastRenderedPageBreak/>
        <w:t>მიზანშეწონილია</w:t>
      </w:r>
      <w:r w:rsidRPr="001352AB">
        <w:t xml:space="preserve"> </w:t>
      </w:r>
      <w:r w:rsidRPr="001352AB">
        <w:rPr>
          <w:rFonts w:ascii="Sylfaen" w:hAnsi="Sylfaen" w:cs="Sylfaen"/>
        </w:rPr>
        <w:t>დასახლებულ</w:t>
      </w:r>
      <w:r w:rsidRPr="001352AB">
        <w:t xml:space="preserve"> </w:t>
      </w:r>
      <w:r w:rsidRPr="001352AB">
        <w:rPr>
          <w:rFonts w:ascii="Sylfaen" w:hAnsi="Sylfaen" w:cs="Sylfaen"/>
        </w:rPr>
        <w:t>პუნქტთან</w:t>
      </w:r>
      <w:r w:rsidRPr="001352AB">
        <w:t xml:space="preserve"> </w:t>
      </w:r>
      <w:r w:rsidRPr="001352AB">
        <w:rPr>
          <w:rFonts w:ascii="Sylfaen" w:hAnsi="Sylfaen" w:cs="Sylfaen"/>
        </w:rPr>
        <w:t>ახლოს</w:t>
      </w:r>
      <w:r w:rsidRPr="001352AB">
        <w:t xml:space="preserve"> </w:t>
      </w:r>
      <w:r w:rsidRPr="001352AB">
        <w:rPr>
          <w:rFonts w:ascii="Sylfaen" w:hAnsi="Sylfaen" w:cs="Sylfaen"/>
        </w:rPr>
        <w:t>მწვანე</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შენარჩუნება</w:t>
      </w:r>
      <w:r w:rsidRPr="001352AB">
        <w:t xml:space="preserve">. </w:t>
      </w:r>
      <w:r w:rsidRPr="001352AB">
        <w:rPr>
          <w:rFonts w:ascii="Sylfaen" w:hAnsi="Sylfaen" w:cs="Sylfaen"/>
        </w:rPr>
        <w:t>სარემონტო</w:t>
      </w:r>
      <w:r w:rsidRPr="001352AB">
        <w:t xml:space="preserve"> </w:t>
      </w:r>
      <w:r w:rsidRPr="001352AB">
        <w:rPr>
          <w:rFonts w:ascii="Sylfaen" w:hAnsi="Sylfaen" w:cs="Sylfaen"/>
        </w:rPr>
        <w:t>და</w:t>
      </w:r>
      <w:r w:rsidRPr="001352AB">
        <w:t xml:space="preserve"> </w:t>
      </w:r>
      <w:r w:rsidRPr="001352AB">
        <w:rPr>
          <w:rFonts w:ascii="Sylfaen" w:hAnsi="Sylfaen" w:cs="Sylfaen"/>
        </w:rPr>
        <w:t>ტექმომსახურების</w:t>
      </w:r>
      <w:r w:rsidRPr="001352AB">
        <w:t xml:space="preserve"> </w:t>
      </w:r>
      <w:r w:rsidRPr="001352AB">
        <w:rPr>
          <w:rFonts w:ascii="Sylfaen" w:hAnsi="Sylfaen" w:cs="Sylfaen"/>
        </w:rPr>
        <w:t>სამუშაოების</w:t>
      </w:r>
      <w:r w:rsidRPr="001352AB">
        <w:t xml:space="preserve"> </w:t>
      </w:r>
      <w:r w:rsidRPr="001352AB">
        <w:rPr>
          <w:rFonts w:ascii="Sylfaen" w:hAnsi="Sylfaen" w:cs="Sylfaen"/>
        </w:rPr>
        <w:t>წარმოებისას</w:t>
      </w:r>
      <w:r w:rsidRPr="001352AB">
        <w:t xml:space="preserve">, </w:t>
      </w: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მშენებლობის</w:t>
      </w:r>
      <w:r w:rsidRPr="001352AB">
        <w:t xml:space="preserve"> </w:t>
      </w:r>
      <w:r w:rsidRPr="001352AB">
        <w:rPr>
          <w:rFonts w:ascii="Sylfaen" w:hAnsi="Sylfaen" w:cs="Sylfaen"/>
        </w:rPr>
        <w:t>ეტაპისთვის</w:t>
      </w:r>
      <w:r w:rsidRPr="001352AB">
        <w:t xml:space="preserve"> </w:t>
      </w:r>
      <w:r w:rsidRPr="001352AB">
        <w:rPr>
          <w:rFonts w:ascii="Sylfaen" w:hAnsi="Sylfaen" w:cs="Sylfaen"/>
        </w:rPr>
        <w:t>შემოთავაზებული</w:t>
      </w:r>
      <w:r w:rsidRPr="001352AB">
        <w:t xml:space="preserve"> </w:t>
      </w: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w:t>
      </w:r>
      <w:r w:rsidRPr="001352AB">
        <w:t>.</w:t>
      </w:r>
    </w:p>
    <w:p w14:paraId="0037492F" w14:textId="77777777" w:rsidR="00CD64B5" w:rsidRPr="001352AB" w:rsidRDefault="00CD64B5" w:rsidP="00CD64B5">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შესრულების</w:t>
      </w:r>
      <w:r w:rsidRPr="001352AB">
        <w:t xml:space="preserve"> </w:t>
      </w:r>
      <w:r w:rsidRPr="001352AB">
        <w:rPr>
          <w:rFonts w:ascii="Sylfaen" w:hAnsi="Sylfaen" w:cs="Sylfaen"/>
        </w:rPr>
        <w:t>უზრუნველყოფა</w:t>
      </w:r>
      <w:r w:rsidRPr="001352AB">
        <w:t xml:space="preserve"> </w:t>
      </w:r>
      <w:r w:rsidRPr="001352AB">
        <w:rPr>
          <w:rFonts w:ascii="Sylfaen" w:hAnsi="Sylfaen" w:cs="Sylfaen"/>
        </w:rPr>
        <w:t>საავტომობილო</w:t>
      </w:r>
      <w:r w:rsidRPr="001352AB">
        <w:t xml:space="preserve"> </w:t>
      </w:r>
      <w:r w:rsidRPr="001352AB">
        <w:rPr>
          <w:rFonts w:ascii="Sylfaen" w:hAnsi="Sylfaen" w:cs="Sylfaen"/>
        </w:rPr>
        <w:t>გზების</w:t>
      </w:r>
      <w:r w:rsidRPr="001352AB">
        <w:t xml:space="preserve"> </w:t>
      </w:r>
      <w:r w:rsidRPr="001352AB">
        <w:rPr>
          <w:rFonts w:ascii="Sylfaen" w:hAnsi="Sylfaen" w:cs="Sylfaen"/>
        </w:rPr>
        <w:t>დეპარტამენტის</w:t>
      </w:r>
      <w:r w:rsidRPr="001352AB">
        <w:t xml:space="preserve"> </w:t>
      </w:r>
      <w:r w:rsidRPr="001352AB">
        <w:rPr>
          <w:rFonts w:ascii="Sylfaen" w:hAnsi="Sylfaen" w:cs="Sylfaen"/>
        </w:rPr>
        <w:t>პასუხისმგებლობას</w:t>
      </w:r>
      <w:r w:rsidRPr="001352AB">
        <w:t xml:space="preserve"> </w:t>
      </w:r>
      <w:r w:rsidRPr="001352AB">
        <w:rPr>
          <w:rFonts w:ascii="Sylfaen" w:hAnsi="Sylfaen" w:cs="Sylfaen"/>
        </w:rPr>
        <w:t>წარმოადგენს</w:t>
      </w:r>
      <w:r w:rsidRPr="001352AB">
        <w:t xml:space="preserve">.    </w:t>
      </w:r>
    </w:p>
    <w:p w14:paraId="63FF3E27" w14:textId="77777777" w:rsidR="00CD64B5" w:rsidRPr="001352AB" w:rsidRDefault="00CD64B5" w:rsidP="00CD64B5">
      <w:pPr>
        <w:rPr>
          <w:lang w:eastAsia="en-GB"/>
        </w:rPr>
      </w:pPr>
    </w:p>
    <w:p w14:paraId="7184F5D6" w14:textId="7A28AA14" w:rsidR="00CD64B5" w:rsidRPr="00CD64B5" w:rsidRDefault="00CD64B5" w:rsidP="00CD64B5">
      <w:pPr>
        <w:spacing w:before="120" w:after="120"/>
        <w:rPr>
          <w:b/>
        </w:rPr>
      </w:pPr>
      <w:r w:rsidRPr="00CD64B5">
        <w:rPr>
          <w:rFonts w:ascii="Sylfaen" w:hAnsi="Sylfaen" w:cs="Sylfaen"/>
          <w:b/>
        </w:rPr>
        <w:t>შემარბილებელი</w:t>
      </w:r>
      <w:r w:rsidRPr="00CD64B5">
        <w:rPr>
          <w:b/>
        </w:rPr>
        <w:t xml:space="preserve"> </w:t>
      </w:r>
      <w:r w:rsidRPr="00CD64B5">
        <w:rPr>
          <w:rFonts w:ascii="Sylfaen" w:hAnsi="Sylfaen" w:cs="Sylfaen"/>
          <w:b/>
        </w:rPr>
        <w:t>ღონისძიებები</w:t>
      </w:r>
      <w:r w:rsidRPr="00CD64B5">
        <w:rPr>
          <w:b/>
        </w:rPr>
        <w:t>:</w:t>
      </w:r>
      <w:r>
        <w:rPr>
          <w:b/>
        </w:rPr>
        <w:t xml:space="preserve"> </w:t>
      </w:r>
      <w:r w:rsidRPr="00CD64B5">
        <w:rPr>
          <w:rFonts w:ascii="Sylfaen" w:hAnsi="Sylfaen" w:cs="Sylfaen"/>
          <w:b/>
        </w:rPr>
        <w:t>მშენებლობის</w:t>
      </w:r>
      <w:r w:rsidRPr="00CD64B5">
        <w:rPr>
          <w:b/>
        </w:rPr>
        <w:t xml:space="preserve"> </w:t>
      </w:r>
      <w:r w:rsidRPr="00CD64B5">
        <w:rPr>
          <w:rFonts w:ascii="Sylfaen" w:hAnsi="Sylfaen" w:cs="Sylfaen"/>
          <w:b/>
        </w:rPr>
        <w:t>ფაზა</w:t>
      </w:r>
    </w:p>
    <w:p w14:paraId="14D80DED" w14:textId="77777777" w:rsidR="00CD64B5" w:rsidRPr="001352AB" w:rsidRDefault="00CD64B5" w:rsidP="00CD64B5">
      <w:pPr>
        <w:spacing w:before="120" w:after="120"/>
      </w:pPr>
      <w:r w:rsidRPr="001352AB">
        <w:rPr>
          <w:rFonts w:ascii="Sylfaen" w:hAnsi="Sylfaen" w:cs="Sylfaen"/>
        </w:rPr>
        <w:t>საავტომობილო</w:t>
      </w:r>
      <w:r w:rsidRPr="001352AB">
        <w:t xml:space="preserve"> </w:t>
      </w:r>
      <w:r w:rsidRPr="001352AB">
        <w:rPr>
          <w:rFonts w:ascii="Sylfaen" w:hAnsi="Sylfaen" w:cs="Sylfaen"/>
        </w:rPr>
        <w:t>გზის</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სამუშაოების</w:t>
      </w:r>
      <w:r w:rsidRPr="001352AB">
        <w:t xml:space="preserve"> </w:t>
      </w:r>
      <w:r w:rsidRPr="001352AB">
        <w:rPr>
          <w:rFonts w:ascii="Sylfaen" w:hAnsi="Sylfaen" w:cs="Sylfaen"/>
        </w:rPr>
        <w:t>პროცესში</w:t>
      </w:r>
      <w:r w:rsidRPr="001352AB">
        <w:t xml:space="preserve"> </w:t>
      </w:r>
      <w:r w:rsidRPr="001352AB">
        <w:rPr>
          <w:rFonts w:ascii="Sylfaen" w:hAnsi="Sylfaen" w:cs="Sylfaen"/>
        </w:rPr>
        <w:t>უნდა</w:t>
      </w:r>
      <w:r w:rsidRPr="001352AB">
        <w:t xml:space="preserve"> </w:t>
      </w:r>
      <w:r w:rsidRPr="001352AB">
        <w:rPr>
          <w:rFonts w:ascii="Sylfaen" w:hAnsi="Sylfaen" w:cs="Sylfaen"/>
        </w:rPr>
        <w:t>გატარდეს</w:t>
      </w:r>
      <w:r w:rsidRPr="001352AB">
        <w:t xml:space="preserve"> </w:t>
      </w: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w:t>
      </w:r>
      <w:r w:rsidRPr="001352AB">
        <w:t xml:space="preserve"> </w:t>
      </w:r>
      <w:r w:rsidRPr="001352AB">
        <w:rPr>
          <w:rFonts w:ascii="Sylfaen" w:hAnsi="Sylfaen" w:cs="Sylfaen"/>
        </w:rPr>
        <w:t>ატმოსფერულ</w:t>
      </w:r>
      <w:r w:rsidRPr="001352AB">
        <w:t xml:space="preserve"> </w:t>
      </w:r>
      <w:r w:rsidRPr="001352AB">
        <w:rPr>
          <w:rFonts w:ascii="Sylfaen" w:hAnsi="Sylfaen" w:cs="Sylfaen"/>
        </w:rPr>
        <w:t>ჰაერში</w:t>
      </w:r>
      <w:r w:rsidRPr="001352AB">
        <w:t xml:space="preserve"> </w:t>
      </w:r>
      <w:r w:rsidRPr="001352AB">
        <w:rPr>
          <w:rFonts w:ascii="Sylfaen" w:hAnsi="Sylfaen" w:cs="Sylfaen"/>
        </w:rPr>
        <w:t>მტვრის</w:t>
      </w:r>
      <w:r w:rsidRPr="001352AB">
        <w:t xml:space="preserve"> </w:t>
      </w:r>
      <w:r w:rsidRPr="001352AB">
        <w:rPr>
          <w:rFonts w:ascii="Sylfaen" w:hAnsi="Sylfaen" w:cs="Sylfaen"/>
        </w:rPr>
        <w:t>და</w:t>
      </w:r>
      <w:r w:rsidRPr="001352AB">
        <w:t xml:space="preserve"> </w:t>
      </w:r>
      <w:r w:rsidRPr="001352AB">
        <w:rPr>
          <w:rFonts w:ascii="Sylfaen" w:hAnsi="Sylfaen" w:cs="Sylfaen"/>
        </w:rPr>
        <w:t>წვის</w:t>
      </w:r>
      <w:r w:rsidRPr="001352AB">
        <w:t xml:space="preserve"> </w:t>
      </w:r>
      <w:r w:rsidRPr="001352AB">
        <w:rPr>
          <w:rFonts w:ascii="Sylfaen" w:hAnsi="Sylfaen" w:cs="Sylfaen"/>
        </w:rPr>
        <w:t>პროდუქტების</w:t>
      </w:r>
      <w:r w:rsidRPr="001352AB">
        <w:t xml:space="preserve"> </w:t>
      </w:r>
      <w:r w:rsidRPr="001352AB">
        <w:rPr>
          <w:rFonts w:ascii="Sylfaen" w:hAnsi="Sylfaen" w:cs="Sylfaen"/>
        </w:rPr>
        <w:t>ემისიების</w:t>
      </w:r>
      <w:r w:rsidRPr="001352AB">
        <w:t xml:space="preserve"> </w:t>
      </w:r>
      <w:r w:rsidRPr="001352AB">
        <w:rPr>
          <w:rFonts w:ascii="Sylfaen" w:hAnsi="Sylfaen" w:cs="Sylfaen"/>
        </w:rPr>
        <w:t>შემცირების</w:t>
      </w:r>
      <w:r w:rsidRPr="001352AB">
        <w:t xml:space="preserve"> </w:t>
      </w:r>
      <w:r w:rsidRPr="001352AB">
        <w:rPr>
          <w:rFonts w:ascii="Sylfaen" w:hAnsi="Sylfaen" w:cs="Sylfaen"/>
        </w:rPr>
        <w:t>მიზნით</w:t>
      </w:r>
      <w:r w:rsidRPr="001352AB">
        <w:t>:</w:t>
      </w:r>
    </w:p>
    <w:p w14:paraId="3F9B0840" w14:textId="77777777" w:rsidR="00CD64B5" w:rsidRPr="001352AB" w:rsidRDefault="00CD64B5" w:rsidP="00CD64B5">
      <w:pPr>
        <w:spacing w:before="120" w:after="120"/>
      </w:pPr>
      <w:r w:rsidRPr="001352AB">
        <w:rPr>
          <w:rFonts w:ascii="Sylfaen" w:hAnsi="Sylfaen" w:cs="Sylfaen"/>
        </w:rPr>
        <w:t>ემისიის</w:t>
      </w:r>
      <w:r w:rsidRPr="001352AB">
        <w:t xml:space="preserve"> </w:t>
      </w:r>
      <w:r w:rsidRPr="001352AB">
        <w:rPr>
          <w:rFonts w:ascii="Sylfaen" w:hAnsi="Sylfaen" w:cs="Sylfaen"/>
        </w:rPr>
        <w:t>სტაციონალური</w:t>
      </w:r>
      <w:r w:rsidRPr="001352AB">
        <w:t xml:space="preserve"> </w:t>
      </w:r>
      <w:r w:rsidRPr="001352AB">
        <w:rPr>
          <w:rFonts w:ascii="Sylfaen" w:hAnsi="Sylfaen" w:cs="Sylfaen"/>
        </w:rPr>
        <w:t>წყაროების</w:t>
      </w:r>
      <w:r w:rsidRPr="001352AB">
        <w:t xml:space="preserve"> (</w:t>
      </w:r>
      <w:r w:rsidRPr="001352AB">
        <w:rPr>
          <w:rFonts w:ascii="Sylfaen" w:hAnsi="Sylfaen" w:cs="Sylfaen"/>
        </w:rPr>
        <w:t>მაგ</w:t>
      </w:r>
      <w:r w:rsidRPr="001352AB">
        <w:t xml:space="preserve">. </w:t>
      </w:r>
      <w:r w:rsidRPr="001352AB">
        <w:rPr>
          <w:rFonts w:ascii="Sylfaen" w:hAnsi="Sylfaen" w:cs="Sylfaen"/>
        </w:rPr>
        <w:t>ბეტონის</w:t>
      </w:r>
      <w:r w:rsidRPr="001352AB">
        <w:t xml:space="preserve"> </w:t>
      </w:r>
      <w:r w:rsidRPr="001352AB">
        <w:rPr>
          <w:rFonts w:ascii="Sylfaen" w:hAnsi="Sylfaen" w:cs="Sylfaen"/>
        </w:rPr>
        <w:t>კვანძი</w:t>
      </w:r>
      <w:r w:rsidRPr="001352AB">
        <w:t xml:space="preserve">, </w:t>
      </w:r>
      <w:r w:rsidRPr="001352AB">
        <w:rPr>
          <w:rFonts w:ascii="Sylfaen" w:hAnsi="Sylfaen" w:cs="Sylfaen"/>
        </w:rPr>
        <w:t>ინერტული</w:t>
      </w:r>
      <w:r w:rsidRPr="001352AB">
        <w:t xml:space="preserve"> </w:t>
      </w:r>
      <w:r w:rsidRPr="001352AB">
        <w:rPr>
          <w:rFonts w:ascii="Sylfaen" w:hAnsi="Sylfaen" w:cs="Sylfaen"/>
        </w:rPr>
        <w:t>მასალების</w:t>
      </w:r>
      <w:r w:rsidRPr="001352AB">
        <w:t xml:space="preserve"> </w:t>
      </w:r>
      <w:r w:rsidRPr="001352AB">
        <w:rPr>
          <w:rFonts w:ascii="Sylfaen" w:hAnsi="Sylfaen" w:cs="Sylfaen"/>
        </w:rPr>
        <w:t>სამსხვრევ</w:t>
      </w:r>
      <w:r w:rsidRPr="001352AB">
        <w:t>-</w:t>
      </w:r>
      <w:r w:rsidRPr="001352AB">
        <w:rPr>
          <w:rFonts w:ascii="Sylfaen" w:hAnsi="Sylfaen" w:cs="Sylfaen"/>
        </w:rPr>
        <w:t>დამხარისხებელი</w:t>
      </w:r>
      <w:r w:rsidRPr="001352AB">
        <w:t xml:space="preserve"> </w:t>
      </w:r>
      <w:r w:rsidRPr="001352AB">
        <w:rPr>
          <w:rFonts w:ascii="Sylfaen" w:hAnsi="Sylfaen" w:cs="Sylfaen"/>
        </w:rPr>
        <w:t>დანადგარი</w:t>
      </w:r>
      <w:r w:rsidRPr="001352AB">
        <w:t xml:space="preserve">) </w:t>
      </w:r>
      <w:r w:rsidRPr="001352AB">
        <w:rPr>
          <w:rFonts w:ascii="Sylfaen" w:hAnsi="Sylfaen" w:cs="Sylfaen"/>
        </w:rPr>
        <w:t>განლაგდება</w:t>
      </w:r>
      <w:r w:rsidRPr="001352AB">
        <w:t xml:space="preserve"> </w:t>
      </w:r>
      <w:r w:rsidRPr="001352AB">
        <w:rPr>
          <w:rFonts w:ascii="Sylfaen" w:hAnsi="Sylfaen" w:cs="Sylfaen"/>
        </w:rPr>
        <w:t>მოსახლეობიდან</w:t>
      </w:r>
      <w:r w:rsidRPr="001352AB">
        <w:t xml:space="preserve"> </w:t>
      </w:r>
      <w:r w:rsidRPr="001352AB">
        <w:rPr>
          <w:rFonts w:ascii="Sylfaen" w:hAnsi="Sylfaen" w:cs="Sylfaen"/>
        </w:rPr>
        <w:t>მაქსიმალურად</w:t>
      </w:r>
      <w:r w:rsidRPr="001352AB">
        <w:t xml:space="preserve"> </w:t>
      </w:r>
      <w:r w:rsidRPr="001352AB">
        <w:rPr>
          <w:rFonts w:ascii="Sylfaen" w:hAnsi="Sylfaen" w:cs="Sylfaen"/>
        </w:rPr>
        <w:t>დაშორებით</w:t>
      </w:r>
      <w:r w:rsidRPr="001352AB">
        <w:t xml:space="preserve"> </w:t>
      </w:r>
      <w:r w:rsidRPr="001352AB">
        <w:rPr>
          <w:rFonts w:ascii="Sylfaen" w:hAnsi="Sylfaen" w:cs="Sylfaen"/>
        </w:rPr>
        <w:t>და</w:t>
      </w:r>
      <w:r w:rsidRPr="001352AB">
        <w:t xml:space="preserve"> </w:t>
      </w:r>
      <w:r w:rsidRPr="001352AB">
        <w:rPr>
          <w:rFonts w:ascii="Sylfaen" w:hAnsi="Sylfaen" w:cs="Sylfaen"/>
        </w:rPr>
        <w:t>ისინი</w:t>
      </w:r>
      <w:r w:rsidRPr="001352AB">
        <w:t xml:space="preserve"> </w:t>
      </w:r>
      <w:r w:rsidRPr="001352AB">
        <w:rPr>
          <w:rFonts w:ascii="Sylfaen" w:hAnsi="Sylfaen" w:cs="Sylfaen"/>
        </w:rPr>
        <w:t>აღიჭურვება</w:t>
      </w:r>
      <w:r w:rsidRPr="001352AB">
        <w:t xml:space="preserve"> </w:t>
      </w:r>
      <w:r w:rsidRPr="001352AB">
        <w:rPr>
          <w:rFonts w:ascii="Sylfaen" w:hAnsi="Sylfaen" w:cs="Sylfaen"/>
        </w:rPr>
        <w:t>შესაბამისი</w:t>
      </w:r>
      <w:r w:rsidRPr="001352AB">
        <w:t xml:space="preserve"> </w:t>
      </w:r>
      <w:r w:rsidRPr="001352AB">
        <w:rPr>
          <w:rFonts w:ascii="Sylfaen" w:hAnsi="Sylfaen" w:cs="Sylfaen"/>
        </w:rPr>
        <w:t>ფილტრებით</w:t>
      </w:r>
      <w:r w:rsidRPr="001352AB">
        <w:t>;</w:t>
      </w:r>
    </w:p>
    <w:p w14:paraId="39986035" w14:textId="77777777" w:rsidR="00CD64B5" w:rsidRPr="001352AB" w:rsidRDefault="00CD64B5" w:rsidP="00CD64B5">
      <w:pPr>
        <w:spacing w:before="120" w:after="120"/>
      </w:pPr>
      <w:r w:rsidRPr="001352AB">
        <w:rPr>
          <w:rFonts w:ascii="Sylfaen" w:hAnsi="Sylfaen" w:cs="Sylfaen"/>
        </w:rPr>
        <w:t>საცხოვრებელი</w:t>
      </w:r>
      <w:r w:rsidRPr="001352AB">
        <w:t xml:space="preserve"> </w:t>
      </w:r>
      <w:r w:rsidRPr="001352AB">
        <w:rPr>
          <w:rFonts w:ascii="Sylfaen" w:hAnsi="Sylfaen" w:cs="Sylfaen"/>
        </w:rPr>
        <w:t>ზონების</w:t>
      </w:r>
      <w:r w:rsidRPr="001352AB">
        <w:t xml:space="preserve"> </w:t>
      </w:r>
      <w:r w:rsidRPr="001352AB">
        <w:rPr>
          <w:rFonts w:ascii="Sylfaen" w:hAnsi="Sylfaen" w:cs="Sylfaen"/>
        </w:rPr>
        <w:t>სიახლოვეს</w:t>
      </w:r>
      <w:r w:rsidRPr="001352AB">
        <w:t xml:space="preserve"> </w:t>
      </w:r>
      <w:r w:rsidRPr="001352AB">
        <w:rPr>
          <w:rFonts w:ascii="Sylfaen" w:hAnsi="Sylfaen" w:cs="Sylfaen"/>
        </w:rPr>
        <w:t>სატრანსპორტო</w:t>
      </w:r>
      <w:r w:rsidRPr="001352AB">
        <w:t xml:space="preserve"> </w:t>
      </w:r>
      <w:r w:rsidRPr="001352AB">
        <w:rPr>
          <w:rFonts w:ascii="Sylfaen" w:hAnsi="Sylfaen" w:cs="Sylfaen"/>
        </w:rPr>
        <w:t>ოპერაციების</w:t>
      </w:r>
      <w:r w:rsidRPr="001352AB">
        <w:t xml:space="preserve"> </w:t>
      </w:r>
      <w:r w:rsidRPr="001352AB">
        <w:rPr>
          <w:rFonts w:ascii="Sylfaen" w:hAnsi="Sylfaen" w:cs="Sylfaen"/>
        </w:rPr>
        <w:t>და</w:t>
      </w:r>
      <w:r w:rsidRPr="001352AB">
        <w:t xml:space="preserve"> </w:t>
      </w:r>
      <w:r w:rsidRPr="001352AB">
        <w:rPr>
          <w:rFonts w:ascii="Sylfaen" w:hAnsi="Sylfaen" w:cs="Sylfaen"/>
        </w:rPr>
        <w:t>მოძრაობის</w:t>
      </w:r>
      <w:r w:rsidRPr="001352AB">
        <w:t xml:space="preserve"> </w:t>
      </w:r>
      <w:r w:rsidRPr="001352AB">
        <w:rPr>
          <w:rFonts w:ascii="Sylfaen" w:hAnsi="Sylfaen" w:cs="Sylfaen"/>
        </w:rPr>
        <w:t>სიჩქარეების</w:t>
      </w:r>
      <w:r w:rsidRPr="001352AB">
        <w:t xml:space="preserve"> </w:t>
      </w:r>
      <w:r w:rsidRPr="001352AB">
        <w:rPr>
          <w:rFonts w:ascii="Sylfaen" w:hAnsi="Sylfaen" w:cs="Sylfaen"/>
        </w:rPr>
        <w:t>შეზღუდვა</w:t>
      </w:r>
      <w:r w:rsidRPr="001352AB">
        <w:t>;</w:t>
      </w:r>
    </w:p>
    <w:p w14:paraId="25AFACBE" w14:textId="77777777" w:rsidR="00CD64B5" w:rsidRPr="001352AB" w:rsidRDefault="00CD64B5" w:rsidP="00CD64B5">
      <w:pPr>
        <w:spacing w:before="120" w:after="120"/>
      </w:pPr>
      <w:r w:rsidRPr="001352AB">
        <w:rPr>
          <w:rFonts w:ascii="Sylfaen" w:hAnsi="Sylfaen" w:cs="Sylfaen"/>
        </w:rPr>
        <w:t>მანქანა</w:t>
      </w:r>
      <w:r w:rsidRPr="001352AB">
        <w:t xml:space="preserve"> </w:t>
      </w:r>
      <w:r w:rsidRPr="001352AB">
        <w:rPr>
          <w:rFonts w:ascii="Sylfaen" w:hAnsi="Sylfaen" w:cs="Sylfaen"/>
        </w:rPr>
        <w:t>დანადგარების</w:t>
      </w:r>
      <w:r w:rsidRPr="001352AB">
        <w:t xml:space="preserve"> </w:t>
      </w:r>
      <w:r w:rsidRPr="001352AB">
        <w:rPr>
          <w:rFonts w:ascii="Sylfaen" w:hAnsi="Sylfaen" w:cs="Sylfaen"/>
        </w:rPr>
        <w:t>ძრავების</w:t>
      </w:r>
      <w:r w:rsidRPr="001352AB">
        <w:t xml:space="preserve"> </w:t>
      </w:r>
      <w:r w:rsidRPr="001352AB">
        <w:rPr>
          <w:rFonts w:ascii="Sylfaen" w:hAnsi="Sylfaen" w:cs="Sylfaen"/>
        </w:rPr>
        <w:t>უქმ</w:t>
      </w:r>
      <w:r w:rsidRPr="001352AB">
        <w:t xml:space="preserve"> </w:t>
      </w:r>
      <w:r w:rsidRPr="001352AB">
        <w:rPr>
          <w:rFonts w:ascii="Sylfaen" w:hAnsi="Sylfaen" w:cs="Sylfaen"/>
        </w:rPr>
        <w:t>რეჟიმში</w:t>
      </w:r>
      <w:r w:rsidRPr="001352AB">
        <w:t xml:space="preserve"> </w:t>
      </w:r>
      <w:r w:rsidRPr="001352AB">
        <w:rPr>
          <w:rFonts w:ascii="Sylfaen" w:hAnsi="Sylfaen" w:cs="Sylfaen"/>
        </w:rPr>
        <w:t>ექსპლუატაციის</w:t>
      </w:r>
      <w:r w:rsidRPr="001352AB">
        <w:t xml:space="preserve"> </w:t>
      </w:r>
      <w:r w:rsidRPr="001352AB">
        <w:rPr>
          <w:rFonts w:ascii="Sylfaen" w:hAnsi="Sylfaen" w:cs="Sylfaen"/>
        </w:rPr>
        <w:t>შეზღუდვა</w:t>
      </w:r>
      <w:r w:rsidRPr="001352AB">
        <w:t>;</w:t>
      </w:r>
    </w:p>
    <w:p w14:paraId="5F82C68B" w14:textId="77777777" w:rsidR="00CD64B5" w:rsidRPr="001352AB" w:rsidRDefault="00CD64B5" w:rsidP="00CD64B5">
      <w:pPr>
        <w:spacing w:before="120" w:after="120"/>
      </w:pPr>
      <w:r w:rsidRPr="001352AB">
        <w:rPr>
          <w:rFonts w:ascii="Sylfaen" w:hAnsi="Sylfaen" w:cs="Sylfaen"/>
        </w:rPr>
        <w:t>მუდმივად</w:t>
      </w:r>
      <w:r w:rsidRPr="001352AB">
        <w:t xml:space="preserve"> </w:t>
      </w:r>
      <w:r w:rsidRPr="001352AB">
        <w:rPr>
          <w:rFonts w:ascii="Sylfaen" w:hAnsi="Sylfaen" w:cs="Sylfaen"/>
        </w:rPr>
        <w:t>გაკონტროლდება</w:t>
      </w:r>
      <w:r w:rsidRPr="001352AB">
        <w:t xml:space="preserve"> </w:t>
      </w:r>
      <w:r w:rsidRPr="001352AB">
        <w:rPr>
          <w:rFonts w:ascii="Sylfaen" w:hAnsi="Sylfaen" w:cs="Sylfaen"/>
        </w:rPr>
        <w:t>გამოყენებული</w:t>
      </w:r>
      <w:r w:rsidRPr="001352AB">
        <w:t xml:space="preserve"> </w:t>
      </w:r>
      <w:r w:rsidRPr="001352AB">
        <w:rPr>
          <w:rFonts w:ascii="Sylfaen" w:hAnsi="Sylfaen" w:cs="Sylfaen"/>
        </w:rPr>
        <w:t>მანქანების</w:t>
      </w:r>
      <w:r w:rsidRPr="001352AB">
        <w:t xml:space="preserve"> </w:t>
      </w:r>
      <w:r w:rsidRPr="001352AB">
        <w:rPr>
          <w:rFonts w:ascii="Sylfaen" w:hAnsi="Sylfaen" w:cs="Sylfaen"/>
        </w:rPr>
        <w:t>ტექნიკური</w:t>
      </w:r>
      <w:r w:rsidRPr="001352AB">
        <w:t xml:space="preserve"> </w:t>
      </w:r>
      <w:r w:rsidRPr="001352AB">
        <w:rPr>
          <w:rFonts w:ascii="Sylfaen" w:hAnsi="Sylfaen" w:cs="Sylfaen"/>
        </w:rPr>
        <w:t>მდგომარეობა</w:t>
      </w:r>
      <w:r w:rsidRPr="001352AB">
        <w:t xml:space="preserve">. </w:t>
      </w:r>
    </w:p>
    <w:p w14:paraId="3707B450" w14:textId="77777777" w:rsidR="00CD64B5" w:rsidRPr="001352AB" w:rsidRDefault="00CD64B5" w:rsidP="00CD64B5">
      <w:pPr>
        <w:spacing w:before="120" w:after="120"/>
      </w:pPr>
      <w:r w:rsidRPr="001352AB">
        <w:rPr>
          <w:rFonts w:ascii="Sylfaen" w:hAnsi="Sylfaen" w:cs="Sylfaen"/>
        </w:rPr>
        <w:t>ადვილად</w:t>
      </w:r>
      <w:r w:rsidRPr="001352AB">
        <w:t xml:space="preserve"> </w:t>
      </w:r>
      <w:r w:rsidRPr="001352AB">
        <w:rPr>
          <w:rFonts w:ascii="Sylfaen" w:hAnsi="Sylfaen" w:cs="Sylfaen"/>
        </w:rPr>
        <w:t>ამტვერებადი</w:t>
      </w:r>
      <w:r w:rsidRPr="001352AB">
        <w:t xml:space="preserve"> </w:t>
      </w:r>
      <w:r w:rsidRPr="001352AB">
        <w:rPr>
          <w:rFonts w:ascii="Sylfaen" w:hAnsi="Sylfaen" w:cs="Sylfaen"/>
        </w:rPr>
        <w:t>მასალების</w:t>
      </w:r>
      <w:r w:rsidRPr="001352AB">
        <w:t xml:space="preserve"> </w:t>
      </w:r>
      <w:r w:rsidRPr="001352AB">
        <w:rPr>
          <w:rFonts w:ascii="Sylfaen" w:hAnsi="Sylfaen" w:cs="Sylfaen"/>
        </w:rPr>
        <w:t>ტრანსპორტირების</w:t>
      </w:r>
      <w:r w:rsidRPr="001352AB">
        <w:t xml:space="preserve"> </w:t>
      </w:r>
      <w:r w:rsidRPr="001352AB">
        <w:rPr>
          <w:rFonts w:ascii="Sylfaen" w:hAnsi="Sylfaen" w:cs="Sylfaen"/>
        </w:rPr>
        <w:t>პროცესში</w:t>
      </w:r>
      <w:r w:rsidRPr="001352AB">
        <w:t xml:space="preserve"> </w:t>
      </w:r>
      <w:r w:rsidRPr="001352AB">
        <w:rPr>
          <w:rFonts w:ascii="Sylfaen" w:hAnsi="Sylfaen" w:cs="Sylfaen"/>
        </w:rPr>
        <w:t>მაქსიმალურად</w:t>
      </w:r>
      <w:r w:rsidRPr="001352AB">
        <w:t xml:space="preserve"> </w:t>
      </w:r>
      <w:r w:rsidRPr="001352AB">
        <w:rPr>
          <w:rFonts w:ascii="Sylfaen" w:hAnsi="Sylfaen" w:cs="Sylfaen"/>
        </w:rPr>
        <w:t>გამოყენებული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სატვირთო</w:t>
      </w:r>
      <w:r w:rsidRPr="001352AB">
        <w:t xml:space="preserve"> </w:t>
      </w:r>
      <w:r w:rsidRPr="001352AB">
        <w:rPr>
          <w:rFonts w:ascii="Sylfaen" w:hAnsi="Sylfaen" w:cs="Sylfaen"/>
        </w:rPr>
        <w:t>ავტომობილების</w:t>
      </w:r>
      <w:r w:rsidRPr="001352AB">
        <w:t xml:space="preserve"> </w:t>
      </w:r>
      <w:r w:rsidRPr="001352AB">
        <w:rPr>
          <w:rFonts w:ascii="Sylfaen" w:hAnsi="Sylfaen" w:cs="Sylfaen"/>
        </w:rPr>
        <w:t>ბრეზენტით</w:t>
      </w:r>
      <w:r w:rsidRPr="001352AB">
        <w:t xml:space="preserve"> </w:t>
      </w:r>
      <w:r w:rsidRPr="001352AB">
        <w:rPr>
          <w:rFonts w:ascii="Sylfaen" w:hAnsi="Sylfaen" w:cs="Sylfaen"/>
        </w:rPr>
        <w:t>გადაფარვის</w:t>
      </w:r>
      <w:r w:rsidRPr="001352AB">
        <w:t xml:space="preserve"> </w:t>
      </w:r>
      <w:r w:rsidRPr="001352AB">
        <w:rPr>
          <w:rFonts w:ascii="Sylfaen" w:hAnsi="Sylfaen" w:cs="Sylfaen"/>
        </w:rPr>
        <w:t>მეთოდი</w:t>
      </w:r>
      <w:r w:rsidRPr="001352AB">
        <w:t>;</w:t>
      </w:r>
    </w:p>
    <w:p w14:paraId="3D9D3788" w14:textId="77777777" w:rsidR="00CD64B5" w:rsidRPr="001352AB" w:rsidRDefault="00CD64B5" w:rsidP="00CD64B5">
      <w:pPr>
        <w:spacing w:before="120" w:after="120"/>
      </w:pPr>
      <w:r w:rsidRPr="001352AB">
        <w:rPr>
          <w:rFonts w:ascii="Sylfaen" w:hAnsi="Sylfaen" w:cs="Sylfaen"/>
        </w:rPr>
        <w:t>საჭიროა</w:t>
      </w:r>
      <w:r w:rsidRPr="001352AB">
        <w:t xml:space="preserve"> </w:t>
      </w:r>
      <w:r w:rsidRPr="001352AB">
        <w:rPr>
          <w:rFonts w:ascii="Sylfaen" w:hAnsi="Sylfaen" w:cs="Sylfaen"/>
        </w:rPr>
        <w:t>მოძრაობის</w:t>
      </w:r>
      <w:r w:rsidRPr="001352AB">
        <w:t xml:space="preserve"> </w:t>
      </w:r>
      <w:r w:rsidRPr="001352AB">
        <w:rPr>
          <w:rFonts w:ascii="Sylfaen" w:hAnsi="Sylfaen" w:cs="Sylfaen"/>
        </w:rPr>
        <w:t>სიჩქარეების</w:t>
      </w:r>
      <w:r w:rsidRPr="001352AB">
        <w:t xml:space="preserve"> </w:t>
      </w:r>
      <w:r w:rsidRPr="001352AB">
        <w:rPr>
          <w:rFonts w:ascii="Sylfaen" w:hAnsi="Sylfaen" w:cs="Sylfaen"/>
        </w:rPr>
        <w:t>დაცვა</w:t>
      </w:r>
      <w:r w:rsidRPr="001352AB">
        <w:t xml:space="preserve"> </w:t>
      </w:r>
      <w:r w:rsidRPr="001352AB">
        <w:rPr>
          <w:rFonts w:ascii="Sylfaen" w:hAnsi="Sylfaen" w:cs="Sylfaen"/>
        </w:rPr>
        <w:t>და</w:t>
      </w:r>
      <w:r w:rsidRPr="001352AB">
        <w:t xml:space="preserve"> </w:t>
      </w:r>
      <w:r w:rsidRPr="001352AB">
        <w:rPr>
          <w:rFonts w:ascii="Sylfaen" w:hAnsi="Sylfaen" w:cs="Sylfaen"/>
        </w:rPr>
        <w:t>ამტვერებადი</w:t>
      </w:r>
      <w:r w:rsidRPr="001352AB">
        <w:t xml:space="preserve"> </w:t>
      </w:r>
      <w:r w:rsidRPr="001352AB">
        <w:rPr>
          <w:rFonts w:ascii="Sylfaen" w:hAnsi="Sylfaen" w:cs="Sylfaen"/>
        </w:rPr>
        <w:t>მასალების</w:t>
      </w:r>
      <w:r w:rsidRPr="001352AB">
        <w:t xml:space="preserve"> </w:t>
      </w:r>
      <w:r w:rsidRPr="001352AB">
        <w:rPr>
          <w:rFonts w:ascii="Sylfaen" w:hAnsi="Sylfaen" w:cs="Sylfaen"/>
        </w:rPr>
        <w:t>სათანადო</w:t>
      </w:r>
      <w:r w:rsidRPr="001352AB">
        <w:t xml:space="preserve"> </w:t>
      </w:r>
      <w:r w:rsidRPr="001352AB">
        <w:rPr>
          <w:rFonts w:ascii="Sylfaen" w:hAnsi="Sylfaen" w:cs="Sylfaen"/>
        </w:rPr>
        <w:t>მართვა</w:t>
      </w:r>
      <w:r w:rsidRPr="001352AB">
        <w:t xml:space="preserve"> </w:t>
      </w:r>
      <w:r w:rsidRPr="001352AB">
        <w:rPr>
          <w:rFonts w:ascii="Sylfaen" w:hAnsi="Sylfaen" w:cs="Sylfaen"/>
        </w:rPr>
        <w:t>მტვრის</w:t>
      </w:r>
      <w:r w:rsidRPr="001352AB">
        <w:t xml:space="preserve"> </w:t>
      </w:r>
      <w:r w:rsidRPr="001352AB">
        <w:rPr>
          <w:rFonts w:ascii="Sylfaen" w:hAnsi="Sylfaen" w:cs="Sylfaen"/>
        </w:rPr>
        <w:t>გავრცელების</w:t>
      </w:r>
      <w:r w:rsidRPr="001352AB">
        <w:t xml:space="preserve"> </w:t>
      </w:r>
      <w:r w:rsidRPr="001352AB">
        <w:rPr>
          <w:rFonts w:ascii="Sylfaen" w:hAnsi="Sylfaen" w:cs="Sylfaen"/>
        </w:rPr>
        <w:t>შესამცირებლად</w:t>
      </w:r>
      <w:r w:rsidRPr="001352AB">
        <w:t xml:space="preserve">. </w:t>
      </w:r>
      <w:r w:rsidRPr="001352AB">
        <w:rPr>
          <w:rFonts w:ascii="Sylfaen" w:hAnsi="Sylfaen" w:cs="Sylfaen"/>
        </w:rPr>
        <w:t>მტვრის</w:t>
      </w:r>
      <w:r w:rsidRPr="001352AB">
        <w:t xml:space="preserve"> </w:t>
      </w:r>
      <w:r w:rsidRPr="001352AB">
        <w:rPr>
          <w:rFonts w:ascii="Sylfaen" w:hAnsi="Sylfaen" w:cs="Sylfaen"/>
        </w:rPr>
        <w:t>ემისიების</w:t>
      </w:r>
      <w:r w:rsidRPr="001352AB">
        <w:t xml:space="preserve"> </w:t>
      </w:r>
      <w:r w:rsidRPr="001352AB">
        <w:rPr>
          <w:rFonts w:ascii="Sylfaen" w:hAnsi="Sylfaen" w:cs="Sylfaen"/>
        </w:rPr>
        <w:t>შემცირების</w:t>
      </w:r>
      <w:r w:rsidRPr="001352AB">
        <w:t xml:space="preserve"> </w:t>
      </w:r>
      <w:r w:rsidRPr="001352AB">
        <w:rPr>
          <w:rFonts w:ascii="Sylfaen" w:hAnsi="Sylfaen" w:cs="Sylfaen"/>
        </w:rPr>
        <w:t>ეფექტური</w:t>
      </w:r>
      <w:r w:rsidRPr="001352AB">
        <w:t xml:space="preserve"> </w:t>
      </w:r>
      <w:r w:rsidRPr="001352AB">
        <w:rPr>
          <w:rFonts w:ascii="Sylfaen" w:hAnsi="Sylfaen" w:cs="Sylfaen"/>
        </w:rPr>
        <w:t>გზა</w:t>
      </w:r>
      <w:r w:rsidRPr="001352AB">
        <w:t xml:space="preserve"> </w:t>
      </w:r>
      <w:r w:rsidRPr="001352AB">
        <w:rPr>
          <w:rFonts w:ascii="Sylfaen" w:hAnsi="Sylfaen" w:cs="Sylfaen"/>
        </w:rPr>
        <w:t>შეიძლება</w:t>
      </w:r>
      <w:r w:rsidRPr="001352AB">
        <w:t xml:space="preserve"> </w:t>
      </w:r>
      <w:r w:rsidRPr="001352AB">
        <w:rPr>
          <w:rFonts w:ascii="Sylfaen" w:hAnsi="Sylfaen" w:cs="Sylfaen"/>
        </w:rPr>
        <w:t>იყოს</w:t>
      </w:r>
      <w:r w:rsidRPr="001352AB">
        <w:t xml:space="preserve"> </w:t>
      </w:r>
      <w:r w:rsidRPr="001352AB">
        <w:rPr>
          <w:rFonts w:ascii="Sylfaen" w:hAnsi="Sylfaen" w:cs="Sylfaen"/>
        </w:rPr>
        <w:t>სამოძრაო</w:t>
      </w:r>
      <w:r w:rsidRPr="001352AB">
        <w:t xml:space="preserve"> </w:t>
      </w:r>
      <w:r w:rsidRPr="001352AB">
        <w:rPr>
          <w:rFonts w:ascii="Sylfaen" w:hAnsi="Sylfaen" w:cs="Sylfaen"/>
        </w:rPr>
        <w:t>გზების</w:t>
      </w:r>
      <w:r w:rsidRPr="001352AB">
        <w:t xml:space="preserve"> </w:t>
      </w:r>
      <w:r w:rsidRPr="001352AB">
        <w:rPr>
          <w:rFonts w:ascii="Sylfaen" w:hAnsi="Sylfaen" w:cs="Sylfaen"/>
        </w:rPr>
        <w:t>პერიოდული</w:t>
      </w:r>
      <w:r w:rsidRPr="001352AB">
        <w:t xml:space="preserve"> </w:t>
      </w:r>
      <w:r w:rsidRPr="001352AB">
        <w:rPr>
          <w:rFonts w:ascii="Sylfaen" w:hAnsi="Sylfaen" w:cs="Sylfaen"/>
        </w:rPr>
        <w:t>მორწყვა</w:t>
      </w:r>
      <w:r w:rsidRPr="001352AB">
        <w:t xml:space="preserve"> </w:t>
      </w:r>
      <w:r w:rsidRPr="001352AB">
        <w:rPr>
          <w:rFonts w:ascii="Sylfaen" w:hAnsi="Sylfaen" w:cs="Sylfaen"/>
        </w:rPr>
        <w:t>მშრალ</w:t>
      </w:r>
      <w:r w:rsidRPr="001352AB">
        <w:t xml:space="preserve"> </w:t>
      </w:r>
      <w:r w:rsidRPr="001352AB">
        <w:rPr>
          <w:rFonts w:ascii="Sylfaen" w:hAnsi="Sylfaen" w:cs="Sylfaen"/>
        </w:rPr>
        <w:t>ამინდებში</w:t>
      </w:r>
      <w:r w:rsidRPr="001352AB">
        <w:t>;</w:t>
      </w:r>
    </w:p>
    <w:p w14:paraId="53682769" w14:textId="77777777" w:rsidR="00CD64B5" w:rsidRPr="001352AB" w:rsidRDefault="00CD64B5" w:rsidP="00CD64B5">
      <w:pPr>
        <w:spacing w:before="120" w:after="120"/>
      </w:pPr>
    </w:p>
    <w:p w14:paraId="5DBCBA2A" w14:textId="77777777" w:rsidR="00CD64B5" w:rsidRPr="00CD64B5" w:rsidRDefault="00CD64B5" w:rsidP="00CD64B5">
      <w:pPr>
        <w:spacing w:before="120" w:after="120"/>
        <w:rPr>
          <w:b/>
        </w:rPr>
      </w:pPr>
      <w:r w:rsidRPr="00CD64B5">
        <w:rPr>
          <w:rFonts w:ascii="Sylfaen" w:hAnsi="Sylfaen" w:cs="Sylfaen"/>
          <w:b/>
        </w:rPr>
        <w:t>ოპერირების</w:t>
      </w:r>
      <w:r w:rsidRPr="00CD64B5">
        <w:rPr>
          <w:b/>
        </w:rPr>
        <w:t xml:space="preserve"> </w:t>
      </w:r>
      <w:r w:rsidRPr="00CD64B5">
        <w:rPr>
          <w:rFonts w:ascii="Sylfaen" w:hAnsi="Sylfaen" w:cs="Sylfaen"/>
          <w:b/>
        </w:rPr>
        <w:t>ფაზა</w:t>
      </w:r>
    </w:p>
    <w:p w14:paraId="2C3EC0FD" w14:textId="77777777" w:rsidR="00CD64B5" w:rsidRPr="001352AB" w:rsidRDefault="00CD64B5" w:rsidP="00CD64B5">
      <w:pPr>
        <w:spacing w:before="120" w:after="120"/>
      </w:pPr>
      <w:r w:rsidRPr="001352AB">
        <w:rPr>
          <w:rFonts w:ascii="Sylfaen" w:hAnsi="Sylfaen" w:cs="Sylfaen"/>
        </w:rPr>
        <w:t>ჩატარებული</w:t>
      </w:r>
      <w:r w:rsidRPr="001352AB">
        <w:t xml:space="preserve"> </w:t>
      </w:r>
      <w:r w:rsidRPr="001352AB">
        <w:rPr>
          <w:rFonts w:ascii="Sylfaen" w:hAnsi="Sylfaen" w:cs="Sylfaen"/>
        </w:rPr>
        <w:t>შეფასებების</w:t>
      </w:r>
      <w:r w:rsidRPr="001352AB">
        <w:t xml:space="preserve"> </w:t>
      </w:r>
      <w:r w:rsidRPr="001352AB">
        <w:rPr>
          <w:rFonts w:ascii="Sylfaen" w:hAnsi="Sylfaen" w:cs="Sylfaen"/>
        </w:rPr>
        <w:t>თანახმად</w:t>
      </w:r>
      <w:r w:rsidRPr="001352AB">
        <w:t xml:space="preserve">, </w:t>
      </w:r>
      <w:r w:rsidRPr="001352AB">
        <w:rPr>
          <w:rFonts w:ascii="Sylfaen" w:hAnsi="Sylfaen" w:cs="Sylfaen"/>
        </w:rPr>
        <w:t>შეიძლება</w:t>
      </w:r>
      <w:r w:rsidRPr="001352AB">
        <w:t xml:space="preserve"> </w:t>
      </w:r>
      <w:r w:rsidRPr="001352AB">
        <w:rPr>
          <w:rFonts w:ascii="Sylfaen" w:hAnsi="Sylfaen" w:cs="Sylfaen"/>
        </w:rPr>
        <w:t>ითქვას</w:t>
      </w:r>
      <w:r w:rsidRPr="001352AB">
        <w:t xml:space="preserve">, </w:t>
      </w:r>
      <w:r w:rsidRPr="001352AB">
        <w:rPr>
          <w:rFonts w:ascii="Sylfaen" w:hAnsi="Sylfaen" w:cs="Sylfaen"/>
        </w:rPr>
        <w:t>რომ</w:t>
      </w:r>
      <w:r w:rsidRPr="001352AB">
        <w:t xml:space="preserve"> </w:t>
      </w:r>
      <w:r w:rsidRPr="001352AB">
        <w:rPr>
          <w:rFonts w:ascii="Sylfaen" w:hAnsi="Sylfaen" w:cs="Sylfaen"/>
        </w:rPr>
        <w:t>საავტომობილო</w:t>
      </w:r>
      <w:r w:rsidRPr="001352AB">
        <w:t xml:space="preserve"> </w:t>
      </w:r>
      <w:r w:rsidRPr="001352AB">
        <w:rPr>
          <w:rFonts w:ascii="Sylfaen" w:hAnsi="Sylfaen" w:cs="Sylfaen"/>
        </w:rPr>
        <w:t>გზის</w:t>
      </w:r>
      <w:r w:rsidRPr="001352AB">
        <w:t xml:space="preserve"> </w:t>
      </w:r>
      <w:r w:rsidRPr="001352AB">
        <w:rPr>
          <w:rFonts w:ascii="Sylfaen" w:hAnsi="Sylfaen" w:cs="Sylfaen"/>
        </w:rPr>
        <w:t>მონაკვეთის</w:t>
      </w:r>
      <w:r w:rsidRPr="001352AB">
        <w:t xml:space="preserve"> </w:t>
      </w:r>
      <w:r w:rsidRPr="001352AB">
        <w:rPr>
          <w:rFonts w:ascii="Sylfaen" w:hAnsi="Sylfaen" w:cs="Sylfaen"/>
        </w:rPr>
        <w:t>ექსპლუატაციით</w:t>
      </w:r>
      <w:r w:rsidRPr="001352AB">
        <w:t xml:space="preserve"> </w:t>
      </w:r>
      <w:r w:rsidRPr="001352AB">
        <w:rPr>
          <w:rFonts w:ascii="Sylfaen" w:hAnsi="Sylfaen" w:cs="Sylfaen"/>
        </w:rPr>
        <w:t>მნიშვნელოვნად</w:t>
      </w:r>
      <w:r w:rsidRPr="001352AB">
        <w:t xml:space="preserve"> </w:t>
      </w:r>
      <w:r w:rsidRPr="001352AB">
        <w:rPr>
          <w:rFonts w:ascii="Sylfaen" w:hAnsi="Sylfaen" w:cs="Sylfaen"/>
        </w:rPr>
        <w:t>არ</w:t>
      </w:r>
      <w:r w:rsidRPr="001352AB">
        <w:t xml:space="preserve"> </w:t>
      </w:r>
      <w:r w:rsidRPr="001352AB">
        <w:rPr>
          <w:rFonts w:ascii="Sylfaen" w:hAnsi="Sylfaen" w:cs="Sylfaen"/>
        </w:rPr>
        <w:t>გაიზრდება</w:t>
      </w:r>
      <w:r w:rsidRPr="001352AB">
        <w:t xml:space="preserve"> </w:t>
      </w:r>
      <w:r w:rsidRPr="001352AB">
        <w:rPr>
          <w:rFonts w:ascii="Sylfaen" w:hAnsi="Sylfaen" w:cs="Sylfaen"/>
        </w:rPr>
        <w:t>მტვრისა</w:t>
      </w:r>
      <w:r w:rsidRPr="001352AB">
        <w:t xml:space="preserve"> </w:t>
      </w:r>
      <w:r w:rsidRPr="001352AB">
        <w:rPr>
          <w:rFonts w:ascii="Sylfaen" w:hAnsi="Sylfaen" w:cs="Sylfaen"/>
        </w:rPr>
        <w:t>და</w:t>
      </w:r>
      <w:r w:rsidRPr="001352AB">
        <w:t xml:space="preserve"> </w:t>
      </w:r>
      <w:r w:rsidRPr="001352AB">
        <w:rPr>
          <w:rFonts w:ascii="Sylfaen" w:hAnsi="Sylfaen" w:cs="Sylfaen"/>
        </w:rPr>
        <w:t>ემისიების</w:t>
      </w:r>
      <w:r w:rsidRPr="001352AB">
        <w:t xml:space="preserve"> </w:t>
      </w:r>
      <w:r w:rsidRPr="001352AB">
        <w:rPr>
          <w:rFonts w:ascii="Sylfaen" w:hAnsi="Sylfaen" w:cs="Sylfaen"/>
        </w:rPr>
        <w:t>დონე</w:t>
      </w:r>
      <w:r w:rsidRPr="001352AB">
        <w:t xml:space="preserve">. </w:t>
      </w:r>
      <w:r w:rsidRPr="001352AB">
        <w:rPr>
          <w:rFonts w:ascii="Sylfaen" w:hAnsi="Sylfaen" w:cs="Sylfaen"/>
        </w:rPr>
        <w:t>თუმცა</w:t>
      </w:r>
      <w:r w:rsidRPr="001352AB">
        <w:t xml:space="preserve">, </w:t>
      </w:r>
      <w:r w:rsidRPr="001352AB">
        <w:rPr>
          <w:rFonts w:ascii="Sylfaen" w:hAnsi="Sylfaen" w:cs="Sylfaen"/>
        </w:rPr>
        <w:t>ეს</w:t>
      </w:r>
      <w:r w:rsidRPr="001352AB">
        <w:t xml:space="preserve"> </w:t>
      </w:r>
      <w:r w:rsidRPr="001352AB">
        <w:rPr>
          <w:rFonts w:ascii="Sylfaen" w:hAnsi="Sylfaen" w:cs="Sylfaen"/>
        </w:rPr>
        <w:t>პარამეტრები</w:t>
      </w:r>
      <w:r w:rsidRPr="001352AB">
        <w:t xml:space="preserve"> </w:t>
      </w:r>
      <w:r w:rsidRPr="001352AB">
        <w:rPr>
          <w:rFonts w:ascii="Sylfaen" w:hAnsi="Sylfaen" w:cs="Sylfaen"/>
        </w:rPr>
        <w:t>საჭიროებს</w:t>
      </w:r>
      <w:r w:rsidRPr="001352AB">
        <w:t xml:space="preserve"> </w:t>
      </w:r>
      <w:r w:rsidRPr="001352AB">
        <w:rPr>
          <w:rFonts w:ascii="Sylfaen" w:hAnsi="Sylfaen" w:cs="Sylfaen"/>
        </w:rPr>
        <w:t>პერიოდულ</w:t>
      </w:r>
      <w:r w:rsidRPr="001352AB">
        <w:t xml:space="preserve"> </w:t>
      </w:r>
      <w:r w:rsidRPr="001352AB">
        <w:rPr>
          <w:rFonts w:ascii="Sylfaen" w:hAnsi="Sylfaen" w:cs="Sylfaen"/>
        </w:rPr>
        <w:t>გაზომვას</w:t>
      </w:r>
      <w:r w:rsidRPr="001352AB">
        <w:t xml:space="preserve"> </w:t>
      </w:r>
      <w:r w:rsidRPr="001352AB">
        <w:rPr>
          <w:rFonts w:ascii="Sylfaen" w:hAnsi="Sylfaen" w:cs="Sylfaen"/>
        </w:rPr>
        <w:t>და</w:t>
      </w:r>
      <w:r w:rsidRPr="001352AB">
        <w:t xml:space="preserve"> </w:t>
      </w:r>
      <w:r w:rsidRPr="001352AB">
        <w:rPr>
          <w:rFonts w:ascii="Sylfaen" w:hAnsi="Sylfaen" w:cs="Sylfaen"/>
        </w:rPr>
        <w:t>თუ</w:t>
      </w:r>
      <w:r w:rsidRPr="001352AB">
        <w:t xml:space="preserve"> </w:t>
      </w:r>
      <w:r w:rsidRPr="001352AB">
        <w:rPr>
          <w:rFonts w:ascii="Sylfaen" w:hAnsi="Sylfaen" w:cs="Sylfaen"/>
        </w:rPr>
        <w:t>დაფიქსირდა</w:t>
      </w:r>
      <w:r w:rsidRPr="001352AB">
        <w:t xml:space="preserve"> </w:t>
      </w:r>
      <w:r w:rsidRPr="001352AB">
        <w:rPr>
          <w:rFonts w:ascii="Sylfaen" w:hAnsi="Sylfaen" w:cs="Sylfaen"/>
        </w:rPr>
        <w:t>მათი</w:t>
      </w:r>
      <w:r w:rsidRPr="001352AB">
        <w:t xml:space="preserve"> </w:t>
      </w:r>
      <w:r w:rsidRPr="001352AB">
        <w:rPr>
          <w:rFonts w:ascii="Sylfaen" w:hAnsi="Sylfaen" w:cs="Sylfaen"/>
        </w:rPr>
        <w:t>მიუღებელი</w:t>
      </w:r>
      <w:r w:rsidRPr="001352AB">
        <w:t xml:space="preserve"> </w:t>
      </w:r>
      <w:r w:rsidRPr="001352AB">
        <w:rPr>
          <w:rFonts w:ascii="Sylfaen" w:hAnsi="Sylfaen" w:cs="Sylfaen"/>
        </w:rPr>
        <w:t>ზომით</w:t>
      </w:r>
      <w:r w:rsidRPr="001352AB">
        <w:t xml:space="preserve"> </w:t>
      </w:r>
      <w:r w:rsidRPr="001352AB">
        <w:rPr>
          <w:rFonts w:ascii="Sylfaen" w:hAnsi="Sylfaen" w:cs="Sylfaen"/>
        </w:rPr>
        <w:t>გაზრდა</w:t>
      </w:r>
      <w:r w:rsidRPr="001352AB">
        <w:t xml:space="preserve">, </w:t>
      </w:r>
      <w:r w:rsidRPr="001352AB">
        <w:rPr>
          <w:rFonts w:ascii="Sylfaen" w:hAnsi="Sylfaen" w:cs="Sylfaen"/>
        </w:rPr>
        <w:t>საჭირო</w:t>
      </w:r>
      <w:r w:rsidRPr="001352AB">
        <w:t xml:space="preserve"> </w:t>
      </w:r>
      <w:r w:rsidRPr="001352AB">
        <w:rPr>
          <w:rFonts w:ascii="Sylfaen" w:hAnsi="Sylfaen" w:cs="Sylfaen"/>
        </w:rPr>
        <w:t>გახდება</w:t>
      </w:r>
      <w:r w:rsidRPr="001352AB">
        <w:t xml:space="preserve"> </w:t>
      </w: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შემუშავება</w:t>
      </w:r>
      <w:r w:rsidRPr="001352AB">
        <w:t xml:space="preserve">. </w:t>
      </w:r>
      <w:r w:rsidRPr="001352AB">
        <w:rPr>
          <w:rFonts w:ascii="Sylfaen" w:hAnsi="Sylfaen" w:cs="Sylfaen"/>
        </w:rPr>
        <w:t>საერთო</w:t>
      </w:r>
      <w:r w:rsidRPr="001352AB">
        <w:t xml:space="preserve"> </w:t>
      </w:r>
      <w:r w:rsidRPr="001352AB">
        <w:rPr>
          <w:rFonts w:ascii="Sylfaen" w:hAnsi="Sylfaen" w:cs="Sylfaen"/>
        </w:rPr>
        <w:t>ჯამში</w:t>
      </w:r>
      <w:r w:rsidRPr="001352AB">
        <w:t xml:space="preserve">, </w:t>
      </w:r>
      <w:r w:rsidRPr="001352AB">
        <w:rPr>
          <w:rFonts w:ascii="Sylfaen" w:hAnsi="Sylfaen" w:cs="Sylfaen"/>
        </w:rPr>
        <w:t>მცენარეულობის</w:t>
      </w:r>
      <w:r w:rsidRPr="001352AB">
        <w:t xml:space="preserve"> </w:t>
      </w:r>
      <w:r w:rsidRPr="001352AB">
        <w:rPr>
          <w:rFonts w:ascii="Sylfaen" w:hAnsi="Sylfaen" w:cs="Sylfaen"/>
        </w:rPr>
        <w:t>შენარჩუნება</w:t>
      </w:r>
      <w:r w:rsidRPr="001352AB">
        <w:t xml:space="preserve"> </w:t>
      </w:r>
      <w:r w:rsidRPr="001352AB">
        <w:rPr>
          <w:rFonts w:ascii="Sylfaen" w:hAnsi="Sylfaen" w:cs="Sylfaen"/>
        </w:rPr>
        <w:t>გზის</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დერეფანში</w:t>
      </w:r>
      <w:r w:rsidRPr="001352AB">
        <w:t xml:space="preserve"> </w:t>
      </w:r>
      <w:r w:rsidRPr="001352AB">
        <w:rPr>
          <w:rFonts w:ascii="Sylfaen" w:hAnsi="Sylfaen" w:cs="Sylfaen"/>
        </w:rPr>
        <w:t>წარმოადგენს</w:t>
      </w:r>
      <w:r w:rsidRPr="001352AB">
        <w:t xml:space="preserve"> </w:t>
      </w:r>
      <w:r w:rsidRPr="001352AB">
        <w:rPr>
          <w:rFonts w:ascii="Sylfaen" w:hAnsi="Sylfaen" w:cs="Sylfaen"/>
        </w:rPr>
        <w:t>მტვრის</w:t>
      </w:r>
      <w:r w:rsidRPr="001352AB">
        <w:t xml:space="preserve"> </w:t>
      </w:r>
      <w:r w:rsidRPr="001352AB">
        <w:rPr>
          <w:rFonts w:ascii="Sylfaen" w:hAnsi="Sylfaen" w:cs="Sylfaen"/>
        </w:rPr>
        <w:t>კონტროლის</w:t>
      </w:r>
      <w:r w:rsidRPr="001352AB">
        <w:t xml:space="preserve"> </w:t>
      </w:r>
      <w:r w:rsidRPr="001352AB">
        <w:rPr>
          <w:rFonts w:ascii="Sylfaen" w:hAnsi="Sylfaen" w:cs="Sylfaen"/>
        </w:rPr>
        <w:t>ეფექტურ</w:t>
      </w:r>
      <w:r w:rsidRPr="001352AB">
        <w:t xml:space="preserve"> </w:t>
      </w:r>
      <w:r w:rsidRPr="001352AB">
        <w:rPr>
          <w:rFonts w:ascii="Sylfaen" w:hAnsi="Sylfaen" w:cs="Sylfaen"/>
        </w:rPr>
        <w:t>საშუალებას</w:t>
      </w:r>
      <w:r w:rsidRPr="001352AB">
        <w:t xml:space="preserve">. </w:t>
      </w:r>
    </w:p>
    <w:p w14:paraId="7E7E7AAE" w14:textId="77777777" w:rsidR="00CD64B5" w:rsidRPr="001352AB" w:rsidRDefault="00CD64B5" w:rsidP="00CD64B5">
      <w:pPr>
        <w:rPr>
          <w:highlight w:val="yellow"/>
        </w:rPr>
      </w:pPr>
    </w:p>
    <w:p w14:paraId="55355E12" w14:textId="77777777" w:rsidR="00CD64B5" w:rsidRPr="001352AB" w:rsidRDefault="00CD64B5" w:rsidP="00CD64B5">
      <w:pPr>
        <w:rPr>
          <w:highlight w:val="yellow"/>
        </w:rPr>
      </w:pPr>
    </w:p>
    <w:p w14:paraId="7B66B1ED" w14:textId="77777777" w:rsidR="00CD64B5" w:rsidRPr="001352AB" w:rsidRDefault="00CD64B5" w:rsidP="00CD64B5">
      <w:pPr>
        <w:pStyle w:val="EIAheading2"/>
      </w:pPr>
      <w:bookmarkStart w:id="302" w:name="_Toc529977397"/>
      <w:bookmarkStart w:id="303" w:name="_Toc495314382"/>
      <w:bookmarkStart w:id="304" w:name="_Toc479166514"/>
      <w:bookmarkStart w:id="305" w:name="_Toc479164784"/>
      <w:bookmarkStart w:id="306" w:name="_Toc464220128"/>
      <w:bookmarkStart w:id="307" w:name="_Toc466046862"/>
      <w:bookmarkStart w:id="308" w:name="_Toc1581560"/>
      <w:r w:rsidRPr="001352AB">
        <w:t xml:space="preserve">7.2 </w:t>
      </w:r>
      <w:r w:rsidRPr="001352AB">
        <w:rPr>
          <w:rFonts w:ascii="Sylfaen" w:hAnsi="Sylfaen" w:cs="Sylfaen"/>
        </w:rPr>
        <w:t>ზემოქმედება</w:t>
      </w:r>
      <w:r w:rsidRPr="001352AB">
        <w:t xml:space="preserve"> </w:t>
      </w:r>
      <w:r w:rsidRPr="001352AB">
        <w:rPr>
          <w:rFonts w:ascii="Sylfaen" w:hAnsi="Sylfaen" w:cs="Sylfaen"/>
        </w:rPr>
        <w:t>ხმაურზე</w:t>
      </w:r>
      <w:r w:rsidRPr="001352AB">
        <w:t xml:space="preserve"> </w:t>
      </w:r>
      <w:r w:rsidRPr="001352AB">
        <w:rPr>
          <w:rFonts w:ascii="Sylfaen" w:hAnsi="Sylfaen" w:cs="Sylfaen"/>
        </w:rPr>
        <w:t>და</w:t>
      </w:r>
      <w:r w:rsidRPr="001352AB">
        <w:t xml:space="preserve"> </w:t>
      </w:r>
      <w:r w:rsidRPr="001352AB">
        <w:rPr>
          <w:rFonts w:ascii="Sylfaen" w:hAnsi="Sylfaen" w:cs="Sylfaen"/>
        </w:rPr>
        <w:t>ვიბრაციაზე</w:t>
      </w:r>
      <w:bookmarkEnd w:id="302"/>
      <w:bookmarkEnd w:id="303"/>
      <w:bookmarkEnd w:id="304"/>
      <w:bookmarkEnd w:id="305"/>
      <w:bookmarkEnd w:id="308"/>
    </w:p>
    <w:p w14:paraId="2DC4C5B0" w14:textId="77777777" w:rsidR="00CD64B5" w:rsidRPr="001352AB" w:rsidRDefault="00CD64B5" w:rsidP="00CD64B5">
      <w:pPr>
        <w:pStyle w:val="Heading3"/>
      </w:pPr>
      <w:bookmarkStart w:id="309" w:name="_Toc529977398"/>
      <w:bookmarkStart w:id="310" w:name="_Toc495314383"/>
      <w:bookmarkStart w:id="311" w:name="_Toc479166515"/>
      <w:bookmarkStart w:id="312" w:name="_Toc479164785"/>
      <w:bookmarkStart w:id="313" w:name="_Toc466046863"/>
      <w:bookmarkStart w:id="314" w:name="_Toc464220129"/>
      <w:bookmarkStart w:id="315" w:name="_Toc1581561"/>
      <w:bookmarkEnd w:id="306"/>
      <w:bookmarkEnd w:id="307"/>
      <w:r w:rsidRPr="001352AB">
        <w:t xml:space="preserve">7.2.1 </w:t>
      </w:r>
      <w:r w:rsidRPr="001352AB">
        <w:rPr>
          <w:rFonts w:ascii="Sylfaen" w:hAnsi="Sylfaen" w:cs="Sylfaen"/>
        </w:rPr>
        <w:t>მშენებლობის</w:t>
      </w:r>
      <w:r w:rsidRPr="001352AB">
        <w:t xml:space="preserve"> </w:t>
      </w:r>
      <w:r w:rsidRPr="001352AB">
        <w:rPr>
          <w:rFonts w:ascii="Sylfaen" w:hAnsi="Sylfaen" w:cs="Sylfaen"/>
        </w:rPr>
        <w:t>ფაზა</w:t>
      </w:r>
      <w:bookmarkEnd w:id="309"/>
      <w:bookmarkEnd w:id="310"/>
      <w:bookmarkEnd w:id="311"/>
      <w:bookmarkEnd w:id="312"/>
      <w:bookmarkEnd w:id="315"/>
    </w:p>
    <w:p w14:paraId="70E0BCB0" w14:textId="77777777" w:rsidR="00CD64B5" w:rsidRPr="001352AB" w:rsidRDefault="00CD64B5" w:rsidP="00CD64B5">
      <w:pPr>
        <w:spacing w:before="120" w:after="120"/>
        <w:rPr>
          <w:lang w:val="ka-GE"/>
        </w:rPr>
      </w:pPr>
      <w:r w:rsidRPr="001352AB">
        <w:rPr>
          <w:rFonts w:ascii="Sylfaen" w:hAnsi="Sylfaen" w:cs="Sylfaen"/>
        </w:rPr>
        <w:t>მშენებლობის</w:t>
      </w:r>
      <w:r w:rsidRPr="001352AB">
        <w:t xml:space="preserve"> </w:t>
      </w:r>
      <w:r w:rsidRPr="001352AB">
        <w:rPr>
          <w:rFonts w:ascii="Sylfaen" w:hAnsi="Sylfaen" w:cs="Sylfaen"/>
        </w:rPr>
        <w:t>ეტაპზე</w:t>
      </w:r>
      <w:r w:rsidRPr="001352AB">
        <w:t xml:space="preserve"> </w:t>
      </w:r>
      <w:r w:rsidRPr="001352AB">
        <w:rPr>
          <w:rFonts w:ascii="Sylfaen" w:hAnsi="Sylfaen" w:cs="Sylfaen"/>
        </w:rPr>
        <w:t>ხმაურის</w:t>
      </w:r>
      <w:r w:rsidRPr="001352AB">
        <w:t xml:space="preserve"> </w:t>
      </w:r>
      <w:r w:rsidRPr="001352AB">
        <w:rPr>
          <w:rFonts w:ascii="Sylfaen" w:hAnsi="Sylfaen" w:cs="Sylfaen"/>
        </w:rPr>
        <w:t>და</w:t>
      </w:r>
      <w:r w:rsidRPr="001352AB">
        <w:t xml:space="preserve"> </w:t>
      </w:r>
      <w:r w:rsidRPr="001352AB">
        <w:rPr>
          <w:rFonts w:ascii="Sylfaen" w:hAnsi="Sylfaen" w:cs="Sylfaen"/>
        </w:rPr>
        <w:t>ვიბრაციის</w:t>
      </w:r>
      <w:r w:rsidRPr="001352AB">
        <w:t xml:space="preserve"> </w:t>
      </w:r>
      <w:r w:rsidRPr="001352AB">
        <w:rPr>
          <w:rFonts w:ascii="Sylfaen" w:hAnsi="Sylfaen" w:cs="Sylfaen"/>
        </w:rPr>
        <w:t>სავარაუდო</w:t>
      </w:r>
      <w:r w:rsidRPr="001352AB">
        <w:t xml:space="preserve"> </w:t>
      </w:r>
      <w:r w:rsidRPr="001352AB">
        <w:rPr>
          <w:rFonts w:ascii="Sylfaen" w:hAnsi="Sylfaen" w:cs="Sylfaen"/>
        </w:rPr>
        <w:t>წყაროები</w:t>
      </w:r>
      <w:r w:rsidRPr="001352AB">
        <w:t xml:space="preserve"> </w:t>
      </w:r>
      <w:r w:rsidRPr="001352AB">
        <w:rPr>
          <w:rFonts w:ascii="Sylfaen" w:hAnsi="Sylfaen" w:cs="Sylfaen"/>
        </w:rPr>
        <w:t>იქნება</w:t>
      </w:r>
      <w:r w:rsidRPr="001352AB">
        <w:t>:</w:t>
      </w:r>
    </w:p>
    <w:p w14:paraId="78B39E46" w14:textId="77777777" w:rsidR="00CD64B5" w:rsidRPr="001352AB" w:rsidRDefault="00CD64B5" w:rsidP="00CD64B5">
      <w:pPr>
        <w:spacing w:before="120" w:after="120"/>
      </w:pPr>
      <w:r w:rsidRPr="001352AB">
        <w:rPr>
          <w:rFonts w:ascii="Sylfaen" w:hAnsi="Sylfaen" w:cs="Sylfaen"/>
        </w:rPr>
        <w:t>სამშენებლო</w:t>
      </w:r>
      <w:r w:rsidRPr="001352AB">
        <w:t xml:space="preserve"> </w:t>
      </w:r>
      <w:r w:rsidRPr="001352AB">
        <w:rPr>
          <w:rFonts w:ascii="Sylfaen" w:hAnsi="Sylfaen" w:cs="Sylfaen"/>
        </w:rPr>
        <w:t>ბანაკეზე</w:t>
      </w:r>
      <w:r w:rsidRPr="001352AB">
        <w:t xml:space="preserve"> </w:t>
      </w:r>
      <w:r w:rsidRPr="001352AB">
        <w:rPr>
          <w:rFonts w:ascii="Sylfaen" w:hAnsi="Sylfaen" w:cs="Sylfaen"/>
        </w:rPr>
        <w:t>მოქმედი</w:t>
      </w:r>
      <w:r w:rsidRPr="001352AB">
        <w:t xml:space="preserve"> </w:t>
      </w:r>
      <w:r w:rsidRPr="001352AB">
        <w:rPr>
          <w:rFonts w:ascii="Sylfaen" w:hAnsi="Sylfaen" w:cs="Sylfaen"/>
        </w:rPr>
        <w:t>ინერტული</w:t>
      </w:r>
      <w:r w:rsidRPr="001352AB">
        <w:t xml:space="preserve"> </w:t>
      </w:r>
      <w:r w:rsidRPr="001352AB">
        <w:rPr>
          <w:rFonts w:ascii="Sylfaen" w:hAnsi="Sylfaen" w:cs="Sylfaen"/>
        </w:rPr>
        <w:t>მასალების</w:t>
      </w:r>
      <w:r w:rsidRPr="001352AB">
        <w:t xml:space="preserve"> </w:t>
      </w:r>
      <w:r w:rsidRPr="001352AB">
        <w:rPr>
          <w:rFonts w:ascii="Sylfaen" w:hAnsi="Sylfaen" w:cs="Sylfaen"/>
        </w:rPr>
        <w:t>სამსხვრევ</w:t>
      </w:r>
      <w:r w:rsidRPr="001352AB">
        <w:t>-</w:t>
      </w:r>
      <w:r w:rsidRPr="001352AB">
        <w:rPr>
          <w:rFonts w:ascii="Sylfaen" w:hAnsi="Sylfaen" w:cs="Sylfaen"/>
        </w:rPr>
        <w:t>დამხარისხებელი</w:t>
      </w:r>
      <w:r w:rsidRPr="001352AB">
        <w:t xml:space="preserve"> </w:t>
      </w:r>
      <w:r w:rsidRPr="001352AB">
        <w:rPr>
          <w:rFonts w:ascii="Sylfaen" w:hAnsi="Sylfaen" w:cs="Sylfaen"/>
        </w:rPr>
        <w:t>საამქრო</w:t>
      </w:r>
      <w:r w:rsidRPr="001352AB">
        <w:t xml:space="preserve">, </w:t>
      </w:r>
      <w:r w:rsidRPr="001352AB">
        <w:rPr>
          <w:rFonts w:ascii="Sylfaen" w:hAnsi="Sylfaen" w:cs="Sylfaen"/>
        </w:rPr>
        <w:t>ბეტონის</w:t>
      </w:r>
      <w:r w:rsidRPr="001352AB">
        <w:t xml:space="preserve"> </w:t>
      </w:r>
      <w:r w:rsidRPr="001352AB">
        <w:rPr>
          <w:rFonts w:ascii="Sylfaen" w:hAnsi="Sylfaen" w:cs="Sylfaen"/>
        </w:rPr>
        <w:t>და</w:t>
      </w:r>
      <w:r w:rsidRPr="001352AB">
        <w:t xml:space="preserve"> </w:t>
      </w:r>
      <w:r w:rsidRPr="001352AB">
        <w:rPr>
          <w:rFonts w:ascii="Sylfaen" w:hAnsi="Sylfaen" w:cs="Sylfaen"/>
        </w:rPr>
        <w:t>ასფალტბეტონის</w:t>
      </w:r>
      <w:r w:rsidRPr="001352AB">
        <w:t xml:space="preserve"> </w:t>
      </w:r>
      <w:r w:rsidRPr="001352AB">
        <w:rPr>
          <w:rFonts w:ascii="Sylfaen" w:hAnsi="Sylfaen" w:cs="Sylfaen"/>
        </w:rPr>
        <w:t>კვანძების</w:t>
      </w:r>
      <w:r w:rsidRPr="001352AB">
        <w:t xml:space="preserve"> </w:t>
      </w:r>
      <w:r w:rsidRPr="001352AB">
        <w:rPr>
          <w:rFonts w:ascii="Sylfaen" w:hAnsi="Sylfaen" w:cs="Sylfaen"/>
        </w:rPr>
        <w:t>ფუნქციონირება</w:t>
      </w:r>
      <w:r w:rsidRPr="001352AB">
        <w:t>;</w:t>
      </w:r>
    </w:p>
    <w:p w14:paraId="1DCBEAD4" w14:textId="77777777" w:rsidR="00CD64B5" w:rsidRPr="001352AB" w:rsidRDefault="00CD64B5" w:rsidP="00CD64B5">
      <w:pPr>
        <w:spacing w:before="120" w:after="120"/>
      </w:pPr>
      <w:r w:rsidRPr="001352AB">
        <w:rPr>
          <w:rFonts w:ascii="Sylfaen" w:hAnsi="Sylfaen" w:cs="Sylfaen"/>
        </w:rPr>
        <w:t>სამშენებლო</w:t>
      </w:r>
      <w:r w:rsidRPr="001352AB">
        <w:t xml:space="preserve"> </w:t>
      </w:r>
      <w:r w:rsidRPr="001352AB">
        <w:rPr>
          <w:rFonts w:ascii="Sylfaen" w:hAnsi="Sylfaen" w:cs="Sylfaen"/>
        </w:rPr>
        <w:t>ტექნიკის</w:t>
      </w:r>
      <w:r w:rsidRPr="001352AB">
        <w:t xml:space="preserve"> </w:t>
      </w:r>
      <w:r w:rsidRPr="001352AB">
        <w:rPr>
          <w:rFonts w:ascii="Sylfaen" w:hAnsi="Sylfaen" w:cs="Sylfaen"/>
        </w:rPr>
        <w:t>და</w:t>
      </w:r>
      <w:r w:rsidRPr="001352AB">
        <w:t xml:space="preserve"> </w:t>
      </w:r>
      <w:r w:rsidRPr="001352AB">
        <w:rPr>
          <w:rFonts w:ascii="Sylfaen" w:hAnsi="Sylfaen" w:cs="Sylfaen"/>
        </w:rPr>
        <w:t>დანადგარების</w:t>
      </w:r>
      <w:r w:rsidRPr="001352AB">
        <w:t xml:space="preserve"> </w:t>
      </w:r>
      <w:r w:rsidRPr="001352AB">
        <w:rPr>
          <w:rFonts w:ascii="Sylfaen" w:hAnsi="Sylfaen" w:cs="Sylfaen"/>
        </w:rPr>
        <w:t>ფუნქციონირება</w:t>
      </w:r>
      <w:r w:rsidRPr="001352AB">
        <w:t>;</w:t>
      </w:r>
    </w:p>
    <w:p w14:paraId="32FC832F" w14:textId="77777777" w:rsidR="00CD64B5" w:rsidRPr="001352AB" w:rsidRDefault="00CD64B5" w:rsidP="00CD64B5">
      <w:pPr>
        <w:spacing w:before="120" w:after="120"/>
      </w:pPr>
      <w:r w:rsidRPr="001352AB">
        <w:rPr>
          <w:rFonts w:ascii="Sylfaen" w:hAnsi="Sylfaen" w:cs="Sylfaen"/>
        </w:rPr>
        <w:t>სატრანსპორტო</w:t>
      </w:r>
      <w:r w:rsidRPr="001352AB">
        <w:t xml:space="preserve"> </w:t>
      </w:r>
      <w:r w:rsidRPr="001352AB">
        <w:rPr>
          <w:rFonts w:ascii="Sylfaen" w:hAnsi="Sylfaen" w:cs="Sylfaen"/>
        </w:rPr>
        <w:t>საშუალებების</w:t>
      </w:r>
      <w:r w:rsidRPr="001352AB">
        <w:t xml:space="preserve"> </w:t>
      </w:r>
      <w:r w:rsidRPr="001352AB">
        <w:rPr>
          <w:rFonts w:ascii="Sylfaen" w:hAnsi="Sylfaen" w:cs="Sylfaen"/>
        </w:rPr>
        <w:t>გადაადგილება</w:t>
      </w:r>
      <w:r w:rsidRPr="001352AB">
        <w:t>.</w:t>
      </w:r>
    </w:p>
    <w:p w14:paraId="1C417672" w14:textId="77777777" w:rsidR="00CD64B5" w:rsidRPr="001352AB" w:rsidRDefault="00CD64B5" w:rsidP="00CD64B5">
      <w:pPr>
        <w:spacing w:before="120" w:after="120"/>
      </w:pPr>
      <w:r w:rsidRPr="001352AB">
        <w:rPr>
          <w:rFonts w:ascii="Sylfaen" w:hAnsi="Sylfaen" w:cs="Sylfaen"/>
        </w:rPr>
        <w:t>მშენებლობისას</w:t>
      </w:r>
      <w:r w:rsidRPr="001352AB">
        <w:t xml:space="preserve"> </w:t>
      </w:r>
      <w:r w:rsidRPr="001352AB">
        <w:rPr>
          <w:rFonts w:ascii="Sylfaen" w:hAnsi="Sylfaen" w:cs="Sylfaen"/>
        </w:rPr>
        <w:t>სავარაუდოდ</w:t>
      </w:r>
      <w:r w:rsidRPr="001352AB">
        <w:t xml:space="preserve"> </w:t>
      </w:r>
      <w:r w:rsidRPr="001352AB">
        <w:rPr>
          <w:rFonts w:ascii="Sylfaen" w:hAnsi="Sylfaen" w:cs="Sylfaen"/>
        </w:rPr>
        <w:t>გამოყენებული</w:t>
      </w:r>
      <w:r w:rsidRPr="001352AB">
        <w:t xml:space="preserve"> </w:t>
      </w:r>
      <w:r w:rsidRPr="001352AB">
        <w:rPr>
          <w:rFonts w:ascii="Sylfaen" w:hAnsi="Sylfaen" w:cs="Sylfaen"/>
        </w:rPr>
        <w:t>ძირითადი</w:t>
      </w:r>
      <w:r w:rsidRPr="001352AB">
        <w:t xml:space="preserve"> </w:t>
      </w:r>
      <w:r w:rsidRPr="001352AB">
        <w:rPr>
          <w:rFonts w:ascii="Sylfaen" w:hAnsi="Sylfaen" w:cs="Sylfaen"/>
        </w:rPr>
        <w:t>ტექნიკური</w:t>
      </w:r>
      <w:r w:rsidRPr="001352AB">
        <w:t xml:space="preserve"> </w:t>
      </w:r>
      <w:r w:rsidRPr="001352AB">
        <w:rPr>
          <w:rFonts w:ascii="Sylfaen" w:hAnsi="Sylfaen" w:cs="Sylfaen"/>
        </w:rPr>
        <w:t>საშუალებების</w:t>
      </w:r>
      <w:r w:rsidRPr="001352AB">
        <w:t xml:space="preserve"> </w:t>
      </w:r>
      <w:r w:rsidRPr="001352AB">
        <w:rPr>
          <w:rFonts w:ascii="Sylfaen" w:hAnsi="Sylfaen" w:cs="Sylfaen"/>
        </w:rPr>
        <w:t>ხმაურის</w:t>
      </w:r>
      <w:r w:rsidRPr="001352AB">
        <w:t xml:space="preserve"> </w:t>
      </w:r>
      <w:r w:rsidRPr="001352AB">
        <w:rPr>
          <w:rFonts w:ascii="Sylfaen" w:hAnsi="Sylfaen" w:cs="Sylfaen"/>
        </w:rPr>
        <w:t>მახასიათებლები</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ცხრილში</w:t>
      </w:r>
      <w:r w:rsidRPr="001352AB">
        <w:t xml:space="preserve"> 7.2.-1.</w:t>
      </w:r>
    </w:p>
    <w:p w14:paraId="1669BB20" w14:textId="77777777" w:rsidR="00CD64B5" w:rsidRPr="001352AB" w:rsidRDefault="00CD64B5" w:rsidP="00CD64B5">
      <w:pPr>
        <w:spacing w:before="120" w:after="120"/>
      </w:pPr>
      <w:r w:rsidRPr="001352AB">
        <w:rPr>
          <w:rFonts w:ascii="Sylfaen" w:hAnsi="Sylfaen" w:cs="Sylfaen"/>
        </w:rPr>
        <w:lastRenderedPageBreak/>
        <w:t>ცხრილი</w:t>
      </w:r>
      <w:r w:rsidRPr="001352AB">
        <w:t xml:space="preserve"> 7.2.-1 </w:t>
      </w:r>
      <w:r w:rsidRPr="001352AB">
        <w:rPr>
          <w:rFonts w:ascii="Sylfaen" w:hAnsi="Sylfaen" w:cs="Sylfaen"/>
        </w:rPr>
        <w:t>სამშენებლო</w:t>
      </w:r>
      <w:r w:rsidRPr="001352AB">
        <w:t xml:space="preserve"> </w:t>
      </w:r>
      <w:r w:rsidRPr="001352AB">
        <w:rPr>
          <w:rFonts w:ascii="Sylfaen" w:hAnsi="Sylfaen" w:cs="Sylfaen"/>
        </w:rPr>
        <w:t>მანქანა</w:t>
      </w:r>
      <w:r w:rsidRPr="001352AB">
        <w:t xml:space="preserve"> </w:t>
      </w:r>
      <w:r w:rsidRPr="001352AB">
        <w:rPr>
          <w:rFonts w:ascii="Sylfaen" w:hAnsi="Sylfaen" w:cs="Sylfaen"/>
        </w:rPr>
        <w:t>დანადგარების</w:t>
      </w:r>
      <w:r w:rsidRPr="001352AB">
        <w:t xml:space="preserve"> </w:t>
      </w:r>
      <w:r w:rsidRPr="001352AB">
        <w:rPr>
          <w:rFonts w:ascii="Sylfaen" w:hAnsi="Sylfaen" w:cs="Sylfaen"/>
        </w:rPr>
        <w:t>ხმაურის</w:t>
      </w:r>
      <w:r w:rsidRPr="001352AB">
        <w:t xml:space="preserve"> </w:t>
      </w:r>
      <w:r w:rsidRPr="001352AB">
        <w:rPr>
          <w:rFonts w:ascii="Sylfaen" w:hAnsi="Sylfaen" w:cs="Sylfaen"/>
        </w:rPr>
        <w:t>დონეები</w:t>
      </w:r>
    </w:p>
    <w:tbl>
      <w:tblPr>
        <w:tblW w:w="0" w:type="auto"/>
        <w:jc w:val="center"/>
        <w:tblLook w:val="04A0" w:firstRow="1" w:lastRow="0" w:firstColumn="1" w:lastColumn="0" w:noHBand="0" w:noVBand="1"/>
      </w:tblPr>
      <w:tblGrid>
        <w:gridCol w:w="6025"/>
        <w:gridCol w:w="3327"/>
      </w:tblGrid>
      <w:tr w:rsidR="00CD64B5" w:rsidRPr="001352AB" w14:paraId="090834E1" w14:textId="77777777" w:rsidTr="00CD64B5">
        <w:trPr>
          <w:trHeight w:val="480"/>
          <w:jc w:val="center"/>
        </w:trPr>
        <w:tc>
          <w:tcPr>
            <w:tcW w:w="6025" w:type="dxa"/>
            <w:tcBorders>
              <w:top w:val="single" w:sz="4" w:space="0" w:color="auto"/>
              <w:left w:val="single" w:sz="4" w:space="0" w:color="auto"/>
              <w:bottom w:val="single" w:sz="4" w:space="0" w:color="auto"/>
              <w:right w:val="single" w:sz="4" w:space="0" w:color="auto"/>
            </w:tcBorders>
            <w:vAlign w:val="center"/>
            <w:hideMark/>
          </w:tcPr>
          <w:p w14:paraId="713C6794" w14:textId="77777777" w:rsidR="00CD64B5" w:rsidRPr="001352AB" w:rsidRDefault="00CD64B5" w:rsidP="00CD64B5">
            <w:r w:rsidRPr="001352AB">
              <w:rPr>
                <w:rFonts w:ascii="Sylfaen" w:hAnsi="Sylfaen" w:cs="Sylfaen"/>
              </w:rPr>
              <w:t>მანქანა</w:t>
            </w:r>
            <w:r w:rsidRPr="001352AB">
              <w:t>-</w:t>
            </w:r>
            <w:r w:rsidRPr="001352AB">
              <w:rPr>
                <w:rFonts w:ascii="Sylfaen" w:hAnsi="Sylfaen" w:cs="Sylfaen"/>
              </w:rPr>
              <w:t>დანადგარები</w:t>
            </w:r>
          </w:p>
        </w:tc>
        <w:tc>
          <w:tcPr>
            <w:tcW w:w="3327" w:type="dxa"/>
            <w:tcBorders>
              <w:top w:val="single" w:sz="4" w:space="0" w:color="auto"/>
              <w:left w:val="single" w:sz="4" w:space="0" w:color="auto"/>
              <w:bottom w:val="single" w:sz="4" w:space="0" w:color="auto"/>
              <w:right w:val="single" w:sz="4" w:space="0" w:color="auto"/>
            </w:tcBorders>
            <w:vAlign w:val="center"/>
            <w:hideMark/>
          </w:tcPr>
          <w:p w14:paraId="355E985F" w14:textId="77777777" w:rsidR="00CD64B5" w:rsidRPr="001352AB" w:rsidRDefault="00CD64B5" w:rsidP="00CD64B5">
            <w:r w:rsidRPr="001352AB">
              <w:rPr>
                <w:rFonts w:ascii="Sylfaen" w:hAnsi="Sylfaen" w:cs="Sylfaen"/>
              </w:rPr>
              <w:t>ხმაურის</w:t>
            </w:r>
            <w:r w:rsidRPr="001352AB">
              <w:t xml:space="preserve"> </w:t>
            </w:r>
            <w:r w:rsidRPr="001352AB">
              <w:rPr>
                <w:rFonts w:ascii="Sylfaen" w:hAnsi="Sylfaen" w:cs="Sylfaen"/>
              </w:rPr>
              <w:t>დონე</w:t>
            </w:r>
            <w:r w:rsidRPr="001352AB">
              <w:t xml:space="preserve"> (</w:t>
            </w:r>
            <w:r w:rsidRPr="001352AB">
              <w:rPr>
                <w:rFonts w:ascii="Sylfaen" w:hAnsi="Sylfaen" w:cs="Sylfaen"/>
              </w:rPr>
              <w:t>დბ</w:t>
            </w:r>
            <w:r w:rsidRPr="001352AB">
              <w:t xml:space="preserve">) </w:t>
            </w:r>
            <w:r w:rsidRPr="001352AB">
              <w:rPr>
                <w:rFonts w:ascii="Sylfaen" w:hAnsi="Sylfaen" w:cs="Sylfaen"/>
              </w:rPr>
              <w:t>წყაროდან</w:t>
            </w:r>
            <w:r w:rsidRPr="001352AB">
              <w:t xml:space="preserve"> 10-15 </w:t>
            </w:r>
            <w:r w:rsidRPr="001352AB">
              <w:rPr>
                <w:rFonts w:ascii="Sylfaen" w:hAnsi="Sylfaen" w:cs="Sylfaen"/>
              </w:rPr>
              <w:t>მ</w:t>
            </w:r>
            <w:r w:rsidRPr="001352AB">
              <w:t>-</w:t>
            </w:r>
            <w:r w:rsidRPr="001352AB">
              <w:rPr>
                <w:rFonts w:ascii="Sylfaen" w:hAnsi="Sylfaen" w:cs="Sylfaen"/>
              </w:rPr>
              <w:t>ში</w:t>
            </w:r>
          </w:p>
        </w:tc>
      </w:tr>
      <w:tr w:rsidR="00CD64B5" w:rsidRPr="001352AB" w14:paraId="6B608E6A" w14:textId="77777777" w:rsidTr="00CD64B5">
        <w:trPr>
          <w:trHeight w:val="721"/>
          <w:jc w:val="center"/>
        </w:trPr>
        <w:tc>
          <w:tcPr>
            <w:tcW w:w="6025" w:type="dxa"/>
            <w:tcBorders>
              <w:top w:val="single" w:sz="4" w:space="0" w:color="auto"/>
              <w:left w:val="single" w:sz="4" w:space="0" w:color="auto"/>
              <w:bottom w:val="single" w:sz="4" w:space="0" w:color="auto"/>
              <w:right w:val="single" w:sz="4" w:space="0" w:color="auto"/>
            </w:tcBorders>
            <w:vAlign w:val="center"/>
            <w:hideMark/>
          </w:tcPr>
          <w:p w14:paraId="1AE15057" w14:textId="77777777" w:rsidR="00CD64B5" w:rsidRPr="001352AB" w:rsidRDefault="00CD64B5" w:rsidP="00CD64B5">
            <w:r w:rsidRPr="001352AB">
              <w:rPr>
                <w:rFonts w:ascii="Sylfaen" w:hAnsi="Sylfaen" w:cs="Sylfaen"/>
              </w:rPr>
              <w:t>გზის</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მასალების</w:t>
            </w:r>
            <w:r w:rsidRPr="001352AB">
              <w:t xml:space="preserve"> </w:t>
            </w:r>
            <w:r w:rsidRPr="001352AB">
              <w:rPr>
                <w:rFonts w:ascii="Sylfaen" w:hAnsi="Sylfaen" w:cs="Sylfaen"/>
              </w:rPr>
              <w:t>მწარმოებელი</w:t>
            </w:r>
            <w:r w:rsidRPr="001352AB">
              <w:t xml:space="preserve"> </w:t>
            </w:r>
            <w:r w:rsidRPr="001352AB">
              <w:rPr>
                <w:rFonts w:ascii="Sylfaen" w:hAnsi="Sylfaen" w:cs="Sylfaen"/>
              </w:rPr>
              <w:t>ობიექტების</w:t>
            </w:r>
            <w:r w:rsidRPr="001352AB">
              <w:t xml:space="preserve"> </w:t>
            </w:r>
            <w:r w:rsidRPr="001352AB">
              <w:rPr>
                <w:rFonts w:ascii="Sylfaen" w:hAnsi="Sylfaen" w:cs="Sylfaen"/>
              </w:rPr>
              <w:t>დანადგარ</w:t>
            </w:r>
            <w:r w:rsidRPr="001352AB">
              <w:t xml:space="preserve"> </w:t>
            </w:r>
            <w:r w:rsidRPr="001352AB">
              <w:rPr>
                <w:rFonts w:ascii="Sylfaen" w:hAnsi="Sylfaen" w:cs="Sylfaen"/>
              </w:rPr>
              <w:t>მექანიზმები</w:t>
            </w:r>
            <w:r w:rsidRPr="001352AB">
              <w:t xml:space="preserve"> (</w:t>
            </w:r>
            <w:r w:rsidRPr="001352AB">
              <w:rPr>
                <w:rFonts w:ascii="Sylfaen" w:hAnsi="Sylfaen" w:cs="Sylfaen"/>
              </w:rPr>
              <w:t>სამსხვრევი</w:t>
            </w:r>
            <w:r w:rsidRPr="001352AB">
              <w:t xml:space="preserve">, </w:t>
            </w:r>
            <w:r w:rsidRPr="001352AB">
              <w:rPr>
                <w:rFonts w:ascii="Sylfaen" w:hAnsi="Sylfaen" w:cs="Sylfaen"/>
              </w:rPr>
              <w:t>ცხაური</w:t>
            </w:r>
            <w:r w:rsidRPr="001352AB">
              <w:t xml:space="preserve">, </w:t>
            </w:r>
            <w:r w:rsidRPr="001352AB">
              <w:rPr>
                <w:rFonts w:ascii="Sylfaen" w:hAnsi="Sylfaen" w:cs="Sylfaen"/>
              </w:rPr>
              <w:t>შემრევი</w:t>
            </w:r>
            <w:r w:rsidRPr="001352AB">
              <w:t xml:space="preserve"> </w:t>
            </w:r>
            <w:r w:rsidRPr="001352AB">
              <w:rPr>
                <w:rFonts w:ascii="Sylfaen" w:hAnsi="Sylfaen" w:cs="Sylfaen"/>
              </w:rPr>
              <w:t>და</w:t>
            </w:r>
            <w:r w:rsidRPr="001352AB">
              <w:t xml:space="preserve"> </w:t>
            </w:r>
            <w:r w:rsidRPr="001352AB">
              <w:rPr>
                <w:rFonts w:ascii="Sylfaen" w:hAnsi="Sylfaen" w:cs="Sylfaen"/>
              </w:rPr>
              <w:t>სხვ</w:t>
            </w:r>
            <w:r w:rsidRPr="001352AB">
              <w:t>.)</w:t>
            </w:r>
          </w:p>
        </w:tc>
        <w:tc>
          <w:tcPr>
            <w:tcW w:w="3327" w:type="dxa"/>
            <w:tcBorders>
              <w:top w:val="single" w:sz="4" w:space="0" w:color="auto"/>
              <w:left w:val="single" w:sz="4" w:space="0" w:color="auto"/>
              <w:bottom w:val="single" w:sz="4" w:space="0" w:color="auto"/>
              <w:right w:val="single" w:sz="4" w:space="0" w:color="auto"/>
            </w:tcBorders>
            <w:vAlign w:val="center"/>
            <w:hideMark/>
          </w:tcPr>
          <w:p w14:paraId="50D3E0B6" w14:textId="77777777" w:rsidR="00CD64B5" w:rsidRPr="001352AB" w:rsidRDefault="00CD64B5" w:rsidP="00CD64B5">
            <w:r w:rsidRPr="001352AB">
              <w:t xml:space="preserve">100 </w:t>
            </w:r>
            <w:r w:rsidRPr="001352AB">
              <w:rPr>
                <w:rFonts w:ascii="Sylfaen" w:hAnsi="Sylfaen" w:cs="Sylfaen"/>
              </w:rPr>
              <w:t>და</w:t>
            </w:r>
            <w:r w:rsidRPr="001352AB">
              <w:t xml:space="preserve"> </w:t>
            </w:r>
            <w:r w:rsidRPr="001352AB">
              <w:rPr>
                <w:rFonts w:ascii="Sylfaen" w:hAnsi="Sylfaen" w:cs="Sylfaen"/>
              </w:rPr>
              <w:t>მეტი</w:t>
            </w:r>
          </w:p>
        </w:tc>
      </w:tr>
      <w:tr w:rsidR="00CD64B5" w:rsidRPr="001352AB" w14:paraId="42817A77" w14:textId="77777777" w:rsidTr="00CD64B5">
        <w:trPr>
          <w:trHeight w:val="228"/>
          <w:jc w:val="center"/>
        </w:trPr>
        <w:tc>
          <w:tcPr>
            <w:tcW w:w="6025" w:type="dxa"/>
            <w:tcBorders>
              <w:top w:val="single" w:sz="4" w:space="0" w:color="auto"/>
              <w:left w:val="single" w:sz="4" w:space="0" w:color="auto"/>
              <w:bottom w:val="single" w:sz="4" w:space="0" w:color="auto"/>
              <w:right w:val="single" w:sz="4" w:space="0" w:color="auto"/>
            </w:tcBorders>
            <w:vAlign w:val="center"/>
            <w:hideMark/>
          </w:tcPr>
          <w:p w14:paraId="724472B7" w14:textId="77777777" w:rsidR="00CD64B5" w:rsidRPr="001352AB" w:rsidRDefault="00CD64B5" w:rsidP="00CD64B5">
            <w:r w:rsidRPr="001352AB">
              <w:rPr>
                <w:rFonts w:ascii="Sylfaen" w:hAnsi="Sylfaen" w:cs="Sylfaen"/>
              </w:rPr>
              <w:t>ხიმინჯების</w:t>
            </w:r>
            <w:r w:rsidRPr="001352AB">
              <w:t xml:space="preserve"> </w:t>
            </w:r>
            <w:r w:rsidRPr="001352AB">
              <w:rPr>
                <w:rFonts w:ascii="Sylfaen" w:hAnsi="Sylfaen" w:cs="Sylfaen"/>
              </w:rPr>
              <w:t>სამაგრი</w:t>
            </w:r>
          </w:p>
        </w:tc>
        <w:tc>
          <w:tcPr>
            <w:tcW w:w="3327" w:type="dxa"/>
            <w:tcBorders>
              <w:top w:val="single" w:sz="4" w:space="0" w:color="auto"/>
              <w:left w:val="single" w:sz="4" w:space="0" w:color="auto"/>
              <w:bottom w:val="single" w:sz="4" w:space="0" w:color="auto"/>
              <w:right w:val="single" w:sz="4" w:space="0" w:color="auto"/>
            </w:tcBorders>
            <w:vAlign w:val="center"/>
            <w:hideMark/>
          </w:tcPr>
          <w:p w14:paraId="46F1BA36" w14:textId="77777777" w:rsidR="00CD64B5" w:rsidRPr="001352AB" w:rsidRDefault="00CD64B5" w:rsidP="00CD64B5">
            <w:r w:rsidRPr="001352AB">
              <w:t xml:space="preserve">100 </w:t>
            </w:r>
            <w:r w:rsidRPr="001352AB">
              <w:rPr>
                <w:rFonts w:ascii="Sylfaen" w:hAnsi="Sylfaen" w:cs="Sylfaen"/>
              </w:rPr>
              <w:t>და</w:t>
            </w:r>
            <w:r w:rsidRPr="001352AB">
              <w:t xml:space="preserve"> </w:t>
            </w:r>
            <w:r w:rsidRPr="001352AB">
              <w:rPr>
                <w:rFonts w:ascii="Sylfaen" w:hAnsi="Sylfaen" w:cs="Sylfaen"/>
              </w:rPr>
              <w:t>მეტი</w:t>
            </w:r>
          </w:p>
        </w:tc>
      </w:tr>
      <w:tr w:rsidR="00CD64B5" w:rsidRPr="001352AB" w14:paraId="1B119CA1" w14:textId="77777777" w:rsidTr="00CD64B5">
        <w:trPr>
          <w:trHeight w:val="240"/>
          <w:jc w:val="center"/>
        </w:trPr>
        <w:tc>
          <w:tcPr>
            <w:tcW w:w="6025" w:type="dxa"/>
            <w:tcBorders>
              <w:top w:val="single" w:sz="4" w:space="0" w:color="auto"/>
              <w:left w:val="single" w:sz="4" w:space="0" w:color="auto"/>
              <w:bottom w:val="single" w:sz="4" w:space="0" w:color="auto"/>
              <w:right w:val="single" w:sz="4" w:space="0" w:color="auto"/>
            </w:tcBorders>
            <w:vAlign w:val="center"/>
            <w:hideMark/>
          </w:tcPr>
          <w:p w14:paraId="7C4400B1" w14:textId="77777777" w:rsidR="00CD64B5" w:rsidRPr="001352AB" w:rsidRDefault="00CD64B5" w:rsidP="00CD64B5">
            <w:r w:rsidRPr="001352AB">
              <w:rPr>
                <w:rFonts w:ascii="Sylfaen" w:hAnsi="Sylfaen" w:cs="Sylfaen"/>
              </w:rPr>
              <w:t>ბულდოზერი</w:t>
            </w:r>
          </w:p>
        </w:tc>
        <w:tc>
          <w:tcPr>
            <w:tcW w:w="3327" w:type="dxa"/>
            <w:tcBorders>
              <w:top w:val="single" w:sz="4" w:space="0" w:color="auto"/>
              <w:left w:val="single" w:sz="4" w:space="0" w:color="auto"/>
              <w:bottom w:val="single" w:sz="4" w:space="0" w:color="auto"/>
              <w:right w:val="single" w:sz="4" w:space="0" w:color="auto"/>
            </w:tcBorders>
            <w:vAlign w:val="center"/>
            <w:hideMark/>
          </w:tcPr>
          <w:p w14:paraId="57DB81DB" w14:textId="77777777" w:rsidR="00CD64B5" w:rsidRPr="001352AB" w:rsidRDefault="00CD64B5" w:rsidP="00CD64B5">
            <w:r w:rsidRPr="001352AB">
              <w:t>90</w:t>
            </w:r>
          </w:p>
        </w:tc>
      </w:tr>
      <w:tr w:rsidR="00CD64B5" w:rsidRPr="001352AB" w14:paraId="3EA32C57" w14:textId="77777777" w:rsidTr="00CD64B5">
        <w:trPr>
          <w:trHeight w:val="240"/>
          <w:jc w:val="center"/>
        </w:trPr>
        <w:tc>
          <w:tcPr>
            <w:tcW w:w="6025" w:type="dxa"/>
            <w:tcBorders>
              <w:top w:val="single" w:sz="4" w:space="0" w:color="auto"/>
              <w:left w:val="single" w:sz="4" w:space="0" w:color="auto"/>
              <w:bottom w:val="single" w:sz="4" w:space="0" w:color="auto"/>
              <w:right w:val="single" w:sz="4" w:space="0" w:color="auto"/>
            </w:tcBorders>
            <w:vAlign w:val="center"/>
            <w:hideMark/>
          </w:tcPr>
          <w:p w14:paraId="0DB29FD0" w14:textId="77777777" w:rsidR="00CD64B5" w:rsidRPr="001352AB" w:rsidRDefault="00CD64B5" w:rsidP="00CD64B5">
            <w:r w:rsidRPr="001352AB">
              <w:rPr>
                <w:rFonts w:ascii="Sylfaen" w:hAnsi="Sylfaen" w:cs="Sylfaen"/>
              </w:rPr>
              <w:t>ექსკავატორი</w:t>
            </w:r>
          </w:p>
        </w:tc>
        <w:tc>
          <w:tcPr>
            <w:tcW w:w="3327" w:type="dxa"/>
            <w:tcBorders>
              <w:top w:val="single" w:sz="4" w:space="0" w:color="auto"/>
              <w:left w:val="single" w:sz="4" w:space="0" w:color="auto"/>
              <w:bottom w:val="single" w:sz="4" w:space="0" w:color="auto"/>
              <w:right w:val="single" w:sz="4" w:space="0" w:color="auto"/>
            </w:tcBorders>
            <w:vAlign w:val="center"/>
            <w:hideMark/>
          </w:tcPr>
          <w:p w14:paraId="18A9A171" w14:textId="77777777" w:rsidR="00CD64B5" w:rsidRPr="001352AB" w:rsidRDefault="00CD64B5" w:rsidP="00CD64B5">
            <w:r w:rsidRPr="001352AB">
              <w:t>88</w:t>
            </w:r>
          </w:p>
        </w:tc>
      </w:tr>
      <w:tr w:rsidR="00CD64B5" w:rsidRPr="001352AB" w14:paraId="043CE3EA" w14:textId="77777777" w:rsidTr="00CD64B5">
        <w:trPr>
          <w:trHeight w:val="240"/>
          <w:jc w:val="center"/>
        </w:trPr>
        <w:tc>
          <w:tcPr>
            <w:tcW w:w="6025" w:type="dxa"/>
            <w:tcBorders>
              <w:top w:val="single" w:sz="4" w:space="0" w:color="auto"/>
              <w:left w:val="single" w:sz="4" w:space="0" w:color="auto"/>
              <w:bottom w:val="single" w:sz="4" w:space="0" w:color="auto"/>
              <w:right w:val="single" w:sz="4" w:space="0" w:color="auto"/>
            </w:tcBorders>
            <w:vAlign w:val="center"/>
            <w:hideMark/>
          </w:tcPr>
          <w:p w14:paraId="14E8D99A" w14:textId="77777777" w:rsidR="00CD64B5" w:rsidRPr="001352AB" w:rsidRDefault="00CD64B5" w:rsidP="00CD64B5">
            <w:r w:rsidRPr="001352AB">
              <w:rPr>
                <w:rFonts w:ascii="Sylfaen" w:hAnsi="Sylfaen" w:cs="Sylfaen"/>
              </w:rPr>
              <w:t>ავტოთვითმცლელი</w:t>
            </w:r>
          </w:p>
        </w:tc>
        <w:tc>
          <w:tcPr>
            <w:tcW w:w="3327" w:type="dxa"/>
            <w:tcBorders>
              <w:top w:val="single" w:sz="4" w:space="0" w:color="auto"/>
              <w:left w:val="single" w:sz="4" w:space="0" w:color="auto"/>
              <w:bottom w:val="single" w:sz="4" w:space="0" w:color="auto"/>
              <w:right w:val="single" w:sz="4" w:space="0" w:color="auto"/>
            </w:tcBorders>
            <w:vAlign w:val="center"/>
            <w:hideMark/>
          </w:tcPr>
          <w:p w14:paraId="43F0B42C" w14:textId="77777777" w:rsidR="00CD64B5" w:rsidRPr="001352AB" w:rsidRDefault="00CD64B5" w:rsidP="00CD64B5">
            <w:r w:rsidRPr="001352AB">
              <w:t>85</w:t>
            </w:r>
          </w:p>
        </w:tc>
      </w:tr>
      <w:tr w:rsidR="00CD64B5" w:rsidRPr="001352AB" w14:paraId="7F5E26D6" w14:textId="77777777" w:rsidTr="00CD64B5">
        <w:trPr>
          <w:trHeight w:val="240"/>
          <w:jc w:val="center"/>
        </w:trPr>
        <w:tc>
          <w:tcPr>
            <w:tcW w:w="6025" w:type="dxa"/>
            <w:tcBorders>
              <w:top w:val="single" w:sz="4" w:space="0" w:color="auto"/>
              <w:left w:val="single" w:sz="4" w:space="0" w:color="auto"/>
              <w:bottom w:val="single" w:sz="4" w:space="0" w:color="auto"/>
              <w:right w:val="single" w:sz="4" w:space="0" w:color="auto"/>
            </w:tcBorders>
            <w:vAlign w:val="center"/>
            <w:hideMark/>
          </w:tcPr>
          <w:p w14:paraId="2F003903" w14:textId="77777777" w:rsidR="00CD64B5" w:rsidRPr="001352AB" w:rsidRDefault="00CD64B5" w:rsidP="00CD64B5">
            <w:r w:rsidRPr="001352AB">
              <w:rPr>
                <w:rFonts w:ascii="Sylfaen" w:hAnsi="Sylfaen" w:cs="Sylfaen"/>
              </w:rPr>
              <w:t>ბეტონშემრევი</w:t>
            </w:r>
            <w:r w:rsidRPr="001352AB">
              <w:t xml:space="preserve"> </w:t>
            </w:r>
            <w:r w:rsidRPr="001352AB">
              <w:rPr>
                <w:rFonts w:ascii="Sylfaen" w:hAnsi="Sylfaen" w:cs="Sylfaen"/>
              </w:rPr>
              <w:t>მანქანა</w:t>
            </w:r>
          </w:p>
        </w:tc>
        <w:tc>
          <w:tcPr>
            <w:tcW w:w="3327" w:type="dxa"/>
            <w:tcBorders>
              <w:top w:val="single" w:sz="4" w:space="0" w:color="auto"/>
              <w:left w:val="single" w:sz="4" w:space="0" w:color="auto"/>
              <w:bottom w:val="single" w:sz="4" w:space="0" w:color="auto"/>
              <w:right w:val="single" w:sz="4" w:space="0" w:color="auto"/>
            </w:tcBorders>
            <w:vAlign w:val="center"/>
            <w:hideMark/>
          </w:tcPr>
          <w:p w14:paraId="3697F9FD" w14:textId="77777777" w:rsidR="00CD64B5" w:rsidRPr="001352AB" w:rsidRDefault="00CD64B5" w:rsidP="00CD64B5">
            <w:r w:rsidRPr="001352AB">
              <w:t>85</w:t>
            </w:r>
          </w:p>
        </w:tc>
      </w:tr>
      <w:tr w:rsidR="00CD64B5" w:rsidRPr="001352AB" w14:paraId="215E56C3" w14:textId="77777777" w:rsidTr="00CD64B5">
        <w:trPr>
          <w:trHeight w:val="240"/>
          <w:jc w:val="center"/>
        </w:trPr>
        <w:tc>
          <w:tcPr>
            <w:tcW w:w="6025" w:type="dxa"/>
            <w:tcBorders>
              <w:top w:val="single" w:sz="4" w:space="0" w:color="auto"/>
              <w:left w:val="single" w:sz="4" w:space="0" w:color="auto"/>
              <w:bottom w:val="single" w:sz="4" w:space="0" w:color="auto"/>
              <w:right w:val="single" w:sz="4" w:space="0" w:color="auto"/>
            </w:tcBorders>
            <w:vAlign w:val="center"/>
            <w:hideMark/>
          </w:tcPr>
          <w:p w14:paraId="5A04EE54" w14:textId="77777777" w:rsidR="00CD64B5" w:rsidRPr="001352AB" w:rsidRDefault="00CD64B5" w:rsidP="00CD64B5">
            <w:r w:rsidRPr="001352AB">
              <w:rPr>
                <w:rFonts w:ascii="Sylfaen" w:hAnsi="Sylfaen" w:cs="Sylfaen"/>
              </w:rPr>
              <w:t>პნევმატური</w:t>
            </w:r>
            <w:r w:rsidRPr="001352AB">
              <w:t xml:space="preserve"> </w:t>
            </w:r>
            <w:r w:rsidRPr="001352AB">
              <w:rPr>
                <w:rFonts w:ascii="Sylfaen" w:hAnsi="Sylfaen" w:cs="Sylfaen"/>
              </w:rPr>
              <w:t>ჩქაუჩი</w:t>
            </w:r>
          </w:p>
        </w:tc>
        <w:tc>
          <w:tcPr>
            <w:tcW w:w="3327" w:type="dxa"/>
            <w:tcBorders>
              <w:top w:val="single" w:sz="4" w:space="0" w:color="auto"/>
              <w:left w:val="single" w:sz="4" w:space="0" w:color="auto"/>
              <w:bottom w:val="single" w:sz="4" w:space="0" w:color="auto"/>
              <w:right w:val="single" w:sz="4" w:space="0" w:color="auto"/>
            </w:tcBorders>
            <w:vAlign w:val="center"/>
            <w:hideMark/>
          </w:tcPr>
          <w:p w14:paraId="0A37FFD5" w14:textId="77777777" w:rsidR="00CD64B5" w:rsidRPr="001352AB" w:rsidRDefault="00CD64B5" w:rsidP="00CD64B5">
            <w:r w:rsidRPr="001352AB">
              <w:t>88</w:t>
            </w:r>
          </w:p>
        </w:tc>
      </w:tr>
      <w:tr w:rsidR="00CD64B5" w:rsidRPr="001352AB" w14:paraId="44240573" w14:textId="77777777" w:rsidTr="00CD64B5">
        <w:trPr>
          <w:trHeight w:val="228"/>
          <w:jc w:val="center"/>
        </w:trPr>
        <w:tc>
          <w:tcPr>
            <w:tcW w:w="6025" w:type="dxa"/>
            <w:tcBorders>
              <w:top w:val="single" w:sz="4" w:space="0" w:color="auto"/>
              <w:left w:val="single" w:sz="4" w:space="0" w:color="auto"/>
              <w:bottom w:val="single" w:sz="4" w:space="0" w:color="auto"/>
              <w:right w:val="single" w:sz="4" w:space="0" w:color="auto"/>
            </w:tcBorders>
            <w:vAlign w:val="center"/>
            <w:hideMark/>
          </w:tcPr>
          <w:p w14:paraId="3B333C26" w14:textId="77777777" w:rsidR="00CD64B5" w:rsidRPr="001352AB" w:rsidRDefault="00CD64B5" w:rsidP="00CD64B5">
            <w:r w:rsidRPr="001352AB">
              <w:rPr>
                <w:rFonts w:ascii="Sylfaen" w:hAnsi="Sylfaen" w:cs="Sylfaen"/>
              </w:rPr>
              <w:t>პნევმატური</w:t>
            </w:r>
            <w:r w:rsidRPr="001352AB">
              <w:t xml:space="preserve"> </w:t>
            </w:r>
            <w:r w:rsidRPr="001352AB">
              <w:rPr>
                <w:rFonts w:ascii="Sylfaen" w:hAnsi="Sylfaen" w:cs="Sylfaen"/>
              </w:rPr>
              <w:t>მოწყობილობები</w:t>
            </w:r>
          </w:p>
        </w:tc>
        <w:tc>
          <w:tcPr>
            <w:tcW w:w="3327" w:type="dxa"/>
            <w:tcBorders>
              <w:top w:val="single" w:sz="4" w:space="0" w:color="auto"/>
              <w:left w:val="single" w:sz="4" w:space="0" w:color="auto"/>
              <w:bottom w:val="single" w:sz="4" w:space="0" w:color="auto"/>
              <w:right w:val="single" w:sz="4" w:space="0" w:color="auto"/>
            </w:tcBorders>
            <w:vAlign w:val="center"/>
            <w:hideMark/>
          </w:tcPr>
          <w:p w14:paraId="37975852" w14:textId="77777777" w:rsidR="00CD64B5" w:rsidRPr="001352AB" w:rsidRDefault="00CD64B5" w:rsidP="00CD64B5">
            <w:r w:rsidRPr="001352AB">
              <w:t>85</w:t>
            </w:r>
          </w:p>
        </w:tc>
      </w:tr>
      <w:tr w:rsidR="00CD64B5" w:rsidRPr="001352AB" w14:paraId="61EDD1B9" w14:textId="77777777" w:rsidTr="00CD64B5">
        <w:trPr>
          <w:trHeight w:val="240"/>
          <w:jc w:val="center"/>
        </w:trPr>
        <w:tc>
          <w:tcPr>
            <w:tcW w:w="6025" w:type="dxa"/>
            <w:tcBorders>
              <w:top w:val="single" w:sz="4" w:space="0" w:color="auto"/>
              <w:left w:val="single" w:sz="4" w:space="0" w:color="auto"/>
              <w:bottom w:val="single" w:sz="4" w:space="0" w:color="auto"/>
              <w:right w:val="single" w:sz="4" w:space="0" w:color="auto"/>
            </w:tcBorders>
            <w:vAlign w:val="center"/>
            <w:hideMark/>
          </w:tcPr>
          <w:p w14:paraId="34F1E771" w14:textId="77777777" w:rsidR="00CD64B5" w:rsidRPr="001352AB" w:rsidRDefault="00CD64B5" w:rsidP="00CD64B5">
            <w:r w:rsidRPr="001352AB">
              <w:rPr>
                <w:rFonts w:ascii="Sylfaen" w:hAnsi="Sylfaen" w:cs="Sylfaen"/>
              </w:rPr>
              <w:t>ამწე</w:t>
            </w:r>
          </w:p>
        </w:tc>
        <w:tc>
          <w:tcPr>
            <w:tcW w:w="3327" w:type="dxa"/>
            <w:tcBorders>
              <w:top w:val="single" w:sz="4" w:space="0" w:color="auto"/>
              <w:left w:val="single" w:sz="4" w:space="0" w:color="auto"/>
              <w:bottom w:val="single" w:sz="4" w:space="0" w:color="auto"/>
              <w:right w:val="single" w:sz="4" w:space="0" w:color="auto"/>
            </w:tcBorders>
            <w:vAlign w:val="center"/>
            <w:hideMark/>
          </w:tcPr>
          <w:p w14:paraId="3F48ABA6" w14:textId="77777777" w:rsidR="00CD64B5" w:rsidRPr="001352AB" w:rsidRDefault="00CD64B5" w:rsidP="00CD64B5">
            <w:r w:rsidRPr="001352AB">
              <w:t>88</w:t>
            </w:r>
          </w:p>
        </w:tc>
      </w:tr>
      <w:tr w:rsidR="00CD64B5" w:rsidRPr="001352AB" w14:paraId="00735D67" w14:textId="77777777" w:rsidTr="00CD64B5">
        <w:trPr>
          <w:trHeight w:val="251"/>
          <w:jc w:val="center"/>
        </w:trPr>
        <w:tc>
          <w:tcPr>
            <w:tcW w:w="6025" w:type="dxa"/>
            <w:tcBorders>
              <w:top w:val="single" w:sz="4" w:space="0" w:color="auto"/>
              <w:left w:val="single" w:sz="4" w:space="0" w:color="auto"/>
              <w:bottom w:val="single" w:sz="4" w:space="0" w:color="auto"/>
              <w:right w:val="single" w:sz="4" w:space="0" w:color="auto"/>
            </w:tcBorders>
            <w:vAlign w:val="center"/>
            <w:hideMark/>
          </w:tcPr>
          <w:p w14:paraId="7B939EEA" w14:textId="77777777" w:rsidR="00CD64B5" w:rsidRPr="001352AB" w:rsidRDefault="00CD64B5" w:rsidP="00CD64B5">
            <w:r w:rsidRPr="001352AB">
              <w:rPr>
                <w:rFonts w:ascii="Sylfaen" w:hAnsi="Sylfaen" w:cs="Sylfaen"/>
              </w:rPr>
              <w:t>კომპრესორი</w:t>
            </w:r>
          </w:p>
        </w:tc>
        <w:tc>
          <w:tcPr>
            <w:tcW w:w="3327" w:type="dxa"/>
            <w:tcBorders>
              <w:top w:val="single" w:sz="4" w:space="0" w:color="auto"/>
              <w:left w:val="single" w:sz="4" w:space="0" w:color="auto"/>
              <w:bottom w:val="single" w:sz="4" w:space="0" w:color="auto"/>
              <w:right w:val="single" w:sz="4" w:space="0" w:color="auto"/>
            </w:tcBorders>
            <w:vAlign w:val="center"/>
            <w:hideMark/>
          </w:tcPr>
          <w:p w14:paraId="694468BF" w14:textId="77777777" w:rsidR="00CD64B5" w:rsidRPr="001352AB" w:rsidRDefault="00CD64B5" w:rsidP="00CD64B5">
            <w:r w:rsidRPr="001352AB">
              <w:t>81</w:t>
            </w:r>
          </w:p>
        </w:tc>
      </w:tr>
    </w:tbl>
    <w:p w14:paraId="64D2EF1D" w14:textId="77777777" w:rsidR="00CD64B5" w:rsidRPr="001352AB" w:rsidRDefault="00CD64B5" w:rsidP="00CD64B5">
      <w:pPr>
        <w:spacing w:before="120" w:after="120"/>
        <w:rPr>
          <w:lang w:val="ka-GE" w:eastAsia="da-DK"/>
        </w:rPr>
      </w:pPr>
      <w:bookmarkStart w:id="316" w:name="_Toc464212200"/>
      <w:bookmarkStart w:id="317" w:name="_Toc466046864"/>
      <w:bookmarkStart w:id="318" w:name="_Toc464220130"/>
      <w:bookmarkEnd w:id="313"/>
      <w:bookmarkEnd w:id="314"/>
      <w:r w:rsidRPr="001352AB">
        <w:rPr>
          <w:rFonts w:ascii="Sylfaen" w:hAnsi="Sylfaen" w:cs="Sylfaen"/>
        </w:rPr>
        <w:t>მშენებლობის</w:t>
      </w:r>
      <w:r w:rsidRPr="001352AB">
        <w:t xml:space="preserve"> </w:t>
      </w:r>
      <w:r w:rsidRPr="001352AB">
        <w:rPr>
          <w:rFonts w:ascii="Sylfaen" w:hAnsi="Sylfaen" w:cs="Sylfaen"/>
        </w:rPr>
        <w:t>პროცესში</w:t>
      </w:r>
      <w:r w:rsidRPr="001352AB">
        <w:t xml:space="preserve"> </w:t>
      </w:r>
      <w:r w:rsidRPr="001352AB">
        <w:rPr>
          <w:rFonts w:ascii="Sylfaen" w:hAnsi="Sylfaen" w:cs="Sylfaen"/>
        </w:rPr>
        <w:t>ზემოქმედების</w:t>
      </w:r>
      <w:r w:rsidRPr="001352AB">
        <w:t xml:space="preserve"> </w:t>
      </w:r>
      <w:r w:rsidRPr="001352AB">
        <w:rPr>
          <w:rFonts w:ascii="Sylfaen" w:hAnsi="Sylfaen" w:cs="Sylfaen"/>
        </w:rPr>
        <w:t>შემცირების</w:t>
      </w:r>
      <w:r w:rsidRPr="001352AB">
        <w:t xml:space="preserve"> </w:t>
      </w:r>
      <w:r w:rsidRPr="001352AB">
        <w:rPr>
          <w:rFonts w:ascii="Sylfaen" w:hAnsi="Sylfaen" w:cs="Sylfaen"/>
        </w:rPr>
        <w:t>მიზნით</w:t>
      </w:r>
      <w:r w:rsidRPr="001352AB">
        <w:t xml:space="preserve"> </w:t>
      </w:r>
      <w:r w:rsidRPr="001352AB">
        <w:rPr>
          <w:rFonts w:ascii="Sylfaen" w:hAnsi="Sylfaen" w:cs="Sylfaen"/>
        </w:rPr>
        <w:t>გატარდება</w:t>
      </w:r>
      <w:r w:rsidRPr="001352AB">
        <w:t xml:space="preserve"> </w:t>
      </w:r>
      <w:r w:rsidRPr="001352AB">
        <w:rPr>
          <w:rFonts w:ascii="Sylfaen" w:hAnsi="Sylfaen" w:cs="Sylfaen"/>
        </w:rPr>
        <w:t>შემდეგი</w:t>
      </w:r>
      <w:r w:rsidRPr="001352AB">
        <w:t xml:space="preserve"> </w:t>
      </w:r>
      <w:r w:rsidRPr="001352AB">
        <w:rPr>
          <w:rFonts w:ascii="Sylfaen" w:hAnsi="Sylfaen" w:cs="Sylfaen"/>
        </w:rPr>
        <w:t>შამარბილებელი</w:t>
      </w:r>
      <w:r w:rsidRPr="001352AB">
        <w:t xml:space="preserve"> </w:t>
      </w:r>
      <w:r w:rsidRPr="001352AB">
        <w:rPr>
          <w:rFonts w:ascii="Sylfaen" w:hAnsi="Sylfaen" w:cs="Sylfaen"/>
        </w:rPr>
        <w:t>ღონისძიებები</w:t>
      </w:r>
      <w:r w:rsidRPr="001352AB">
        <w:t>:</w:t>
      </w:r>
    </w:p>
    <w:p w14:paraId="0B2C1C4F" w14:textId="77777777" w:rsidR="00CD64B5" w:rsidRPr="001352AB" w:rsidRDefault="00CD64B5" w:rsidP="00CD64B5">
      <w:pPr>
        <w:spacing w:before="120" w:after="120"/>
      </w:pPr>
      <w:r w:rsidRPr="001352AB">
        <w:rPr>
          <w:rFonts w:ascii="Sylfaen" w:hAnsi="Sylfaen" w:cs="Sylfaen"/>
        </w:rPr>
        <w:t>ხმაურის</w:t>
      </w:r>
      <w:r w:rsidRPr="001352AB">
        <w:t xml:space="preserve"> </w:t>
      </w:r>
      <w:r w:rsidRPr="001352AB">
        <w:rPr>
          <w:rFonts w:ascii="Sylfaen" w:hAnsi="Sylfaen" w:cs="Sylfaen"/>
        </w:rPr>
        <w:t>წარმომქმნელი</w:t>
      </w:r>
      <w:r w:rsidRPr="001352AB">
        <w:t xml:space="preserve"> </w:t>
      </w:r>
      <w:r w:rsidRPr="001352AB">
        <w:rPr>
          <w:rFonts w:ascii="Sylfaen" w:hAnsi="Sylfaen" w:cs="Sylfaen"/>
        </w:rPr>
        <w:t>წყაროები</w:t>
      </w:r>
      <w:r w:rsidRPr="001352AB">
        <w:t xml:space="preserve"> </w:t>
      </w:r>
      <w:r w:rsidRPr="001352AB">
        <w:rPr>
          <w:rFonts w:ascii="Sylfaen" w:hAnsi="Sylfaen" w:cs="Sylfaen"/>
        </w:rPr>
        <w:t>მოთავსდება</w:t>
      </w:r>
      <w:r w:rsidRPr="001352AB">
        <w:t xml:space="preserve"> </w:t>
      </w:r>
      <w:r w:rsidRPr="001352AB">
        <w:rPr>
          <w:rFonts w:ascii="Sylfaen" w:hAnsi="Sylfaen" w:cs="Sylfaen"/>
        </w:rPr>
        <w:t>რეცეპტორებიდან</w:t>
      </w:r>
      <w:r w:rsidRPr="001352AB">
        <w:t xml:space="preserve"> (</w:t>
      </w:r>
      <w:r w:rsidRPr="001352AB">
        <w:rPr>
          <w:rFonts w:ascii="Sylfaen" w:hAnsi="Sylfaen" w:cs="Sylfaen"/>
        </w:rPr>
        <w:t>საცხოვრებელი</w:t>
      </w:r>
      <w:r w:rsidRPr="001352AB">
        <w:t xml:space="preserve"> </w:t>
      </w:r>
      <w:r w:rsidRPr="001352AB">
        <w:rPr>
          <w:rFonts w:ascii="Sylfaen" w:hAnsi="Sylfaen" w:cs="Sylfaen"/>
        </w:rPr>
        <w:t>სახლები</w:t>
      </w:r>
      <w:r w:rsidRPr="001352AB">
        <w:t xml:space="preserve">) </w:t>
      </w:r>
      <w:r w:rsidRPr="001352AB">
        <w:rPr>
          <w:rFonts w:ascii="Sylfaen" w:hAnsi="Sylfaen" w:cs="Sylfaen"/>
        </w:rPr>
        <w:t>ოპტიმალურ</w:t>
      </w:r>
      <w:r w:rsidRPr="001352AB">
        <w:t xml:space="preserve"> </w:t>
      </w:r>
      <w:r w:rsidRPr="001352AB">
        <w:rPr>
          <w:rFonts w:ascii="Sylfaen" w:hAnsi="Sylfaen" w:cs="Sylfaen"/>
        </w:rPr>
        <w:t>მანძილზე</w:t>
      </w:r>
      <w:r w:rsidRPr="001352AB">
        <w:t>. (</w:t>
      </w: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დაცვის</w:t>
      </w:r>
      <w:r w:rsidRPr="001352AB">
        <w:t xml:space="preserve"> </w:t>
      </w:r>
      <w:r w:rsidRPr="001352AB">
        <w:rPr>
          <w:rFonts w:ascii="Sylfaen" w:hAnsi="Sylfaen" w:cs="Sylfaen"/>
        </w:rPr>
        <w:t>ზონის</w:t>
      </w:r>
      <w:r w:rsidRPr="001352AB">
        <w:t xml:space="preserve"> </w:t>
      </w:r>
      <w:r w:rsidRPr="001352AB">
        <w:rPr>
          <w:rFonts w:ascii="Sylfaen" w:hAnsi="Sylfaen" w:cs="Sylfaen"/>
        </w:rPr>
        <w:t>საზღვრები</w:t>
      </w:r>
      <w:r w:rsidRPr="001352AB">
        <w:t xml:space="preserve"> 300</w:t>
      </w:r>
      <w:r w:rsidRPr="001352AB">
        <w:rPr>
          <w:rFonts w:ascii="Sylfaen" w:hAnsi="Sylfaen" w:cs="Sylfaen"/>
        </w:rPr>
        <w:t>მ</w:t>
      </w:r>
      <w:r w:rsidRPr="001352AB">
        <w:t>, 500</w:t>
      </w:r>
      <w:r w:rsidRPr="001352AB">
        <w:rPr>
          <w:rFonts w:ascii="Sylfaen" w:hAnsi="Sylfaen" w:cs="Sylfaen"/>
        </w:rPr>
        <w:t>მ</w:t>
      </w:r>
      <w:r w:rsidRPr="001352AB">
        <w:t xml:space="preserve"> </w:t>
      </w:r>
      <w:r w:rsidRPr="001352AB">
        <w:rPr>
          <w:rFonts w:ascii="Sylfaen" w:hAnsi="Sylfaen" w:cs="Sylfaen"/>
        </w:rPr>
        <w:t>შესაბამისად</w:t>
      </w:r>
      <w:r w:rsidRPr="001352AB">
        <w:t xml:space="preserve"> </w:t>
      </w:r>
      <w:r w:rsidRPr="001352AB">
        <w:rPr>
          <w:rFonts w:ascii="Sylfaen" w:hAnsi="Sylfaen" w:cs="Sylfaen"/>
        </w:rPr>
        <w:t>ასფალტის</w:t>
      </w:r>
      <w:r w:rsidRPr="001352AB">
        <w:t xml:space="preserve"> </w:t>
      </w:r>
      <w:r w:rsidRPr="001352AB">
        <w:rPr>
          <w:rFonts w:ascii="Sylfaen" w:hAnsi="Sylfaen" w:cs="Sylfaen"/>
        </w:rPr>
        <w:t>და</w:t>
      </w:r>
      <w:r w:rsidRPr="001352AB">
        <w:t xml:space="preserve"> </w:t>
      </w:r>
      <w:r w:rsidRPr="001352AB">
        <w:rPr>
          <w:rFonts w:ascii="Sylfaen" w:hAnsi="Sylfaen" w:cs="Sylfaen"/>
        </w:rPr>
        <w:t>ბეტონის</w:t>
      </w:r>
      <w:r w:rsidRPr="001352AB">
        <w:t xml:space="preserve"> </w:t>
      </w:r>
      <w:r w:rsidRPr="001352AB">
        <w:rPr>
          <w:rFonts w:ascii="Sylfaen" w:hAnsi="Sylfaen" w:cs="Sylfaen"/>
        </w:rPr>
        <w:t>კვანძებიდან</w:t>
      </w:r>
      <w:r w:rsidRPr="001352AB">
        <w:t>)</w:t>
      </w:r>
    </w:p>
    <w:p w14:paraId="3646A970" w14:textId="77777777" w:rsidR="00CD64B5" w:rsidRPr="001352AB" w:rsidRDefault="00CD64B5" w:rsidP="00CD64B5">
      <w:pPr>
        <w:spacing w:before="120" w:after="120"/>
      </w:pPr>
      <w:r w:rsidRPr="001352AB">
        <w:rPr>
          <w:rFonts w:ascii="Sylfaen" w:hAnsi="Sylfaen" w:cs="Sylfaen"/>
        </w:rPr>
        <w:t>გაკონტროლდება</w:t>
      </w:r>
      <w:r w:rsidRPr="001352AB">
        <w:t xml:space="preserve"> </w:t>
      </w:r>
      <w:r w:rsidRPr="001352AB">
        <w:rPr>
          <w:rFonts w:ascii="Sylfaen" w:hAnsi="Sylfaen" w:cs="Sylfaen"/>
        </w:rPr>
        <w:t>მანქანების</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ტექნიკის</w:t>
      </w:r>
      <w:r w:rsidRPr="001352AB">
        <w:t xml:space="preserve"> </w:t>
      </w:r>
      <w:r w:rsidRPr="001352AB">
        <w:rPr>
          <w:rFonts w:ascii="Sylfaen" w:hAnsi="Sylfaen" w:cs="Sylfaen"/>
        </w:rPr>
        <w:t>და</w:t>
      </w:r>
      <w:r w:rsidRPr="001352AB">
        <w:t xml:space="preserve"> </w:t>
      </w:r>
      <w:r w:rsidRPr="001352AB">
        <w:rPr>
          <w:rFonts w:ascii="Sylfaen" w:hAnsi="Sylfaen" w:cs="Sylfaen"/>
        </w:rPr>
        <w:t>აღჭურვილობის</w:t>
      </w:r>
      <w:r w:rsidRPr="001352AB">
        <w:t xml:space="preserve"> </w:t>
      </w:r>
      <w:r w:rsidRPr="001352AB">
        <w:rPr>
          <w:rFonts w:ascii="Sylfaen" w:hAnsi="Sylfaen" w:cs="Sylfaen"/>
        </w:rPr>
        <w:t>ტექნიკური</w:t>
      </w:r>
      <w:r w:rsidRPr="001352AB">
        <w:t xml:space="preserve"> </w:t>
      </w:r>
      <w:r w:rsidRPr="001352AB">
        <w:rPr>
          <w:rFonts w:ascii="Sylfaen" w:hAnsi="Sylfaen" w:cs="Sylfaen"/>
        </w:rPr>
        <w:t>გამართულობა</w:t>
      </w:r>
      <w:r w:rsidRPr="001352AB">
        <w:t>.</w:t>
      </w:r>
    </w:p>
    <w:p w14:paraId="4FDF0401" w14:textId="77777777" w:rsidR="00CD64B5" w:rsidRPr="001352AB" w:rsidRDefault="00CD64B5" w:rsidP="00CD64B5">
      <w:pPr>
        <w:spacing w:before="120" w:after="120"/>
      </w:pPr>
      <w:r w:rsidRPr="001352AB">
        <w:rPr>
          <w:rFonts w:ascii="Sylfaen" w:hAnsi="Sylfaen" w:cs="Sylfaen"/>
        </w:rPr>
        <w:t>აიკრძალება</w:t>
      </w:r>
      <w:r w:rsidRPr="001352AB">
        <w:t xml:space="preserve"> </w:t>
      </w:r>
      <w:r w:rsidRPr="001352AB">
        <w:rPr>
          <w:rFonts w:ascii="Sylfaen" w:hAnsi="Sylfaen" w:cs="Sylfaen"/>
        </w:rPr>
        <w:t>ჩართული</w:t>
      </w:r>
      <w:r w:rsidRPr="001352AB">
        <w:t xml:space="preserve"> </w:t>
      </w:r>
      <w:r w:rsidRPr="001352AB">
        <w:rPr>
          <w:rFonts w:ascii="Sylfaen" w:hAnsi="Sylfaen" w:cs="Sylfaen"/>
        </w:rPr>
        <w:t>ძრავით</w:t>
      </w:r>
      <w:r w:rsidRPr="001352AB">
        <w:t xml:space="preserve"> </w:t>
      </w:r>
      <w:r w:rsidRPr="001352AB">
        <w:rPr>
          <w:rFonts w:ascii="Sylfaen" w:hAnsi="Sylfaen" w:cs="Sylfaen"/>
        </w:rPr>
        <w:t>მანქანების</w:t>
      </w:r>
      <w:r w:rsidRPr="001352AB">
        <w:t xml:space="preserve"> </w:t>
      </w:r>
      <w:r w:rsidRPr="001352AB">
        <w:rPr>
          <w:rFonts w:ascii="Sylfaen" w:hAnsi="Sylfaen" w:cs="Sylfaen"/>
        </w:rPr>
        <w:t>უქმად</w:t>
      </w:r>
      <w:r w:rsidRPr="001352AB">
        <w:t xml:space="preserve"> </w:t>
      </w:r>
      <w:r w:rsidRPr="001352AB">
        <w:rPr>
          <w:rFonts w:ascii="Sylfaen" w:hAnsi="Sylfaen" w:cs="Sylfaen"/>
        </w:rPr>
        <w:t>გაჩერება</w:t>
      </w:r>
      <w:r w:rsidRPr="001352AB">
        <w:t xml:space="preserve"> </w:t>
      </w:r>
      <w:r w:rsidRPr="001352AB">
        <w:rPr>
          <w:rFonts w:ascii="Sylfaen" w:hAnsi="Sylfaen" w:cs="Sylfaen"/>
        </w:rPr>
        <w:t>და</w:t>
      </w:r>
      <w:r w:rsidRPr="001352AB">
        <w:t xml:space="preserve"> </w:t>
      </w:r>
      <w:r w:rsidRPr="001352AB">
        <w:rPr>
          <w:rFonts w:ascii="Sylfaen" w:hAnsi="Sylfaen" w:cs="Sylfaen"/>
        </w:rPr>
        <w:t>უქმად</w:t>
      </w:r>
      <w:r w:rsidRPr="001352AB">
        <w:t xml:space="preserve"> </w:t>
      </w:r>
      <w:r w:rsidRPr="001352AB">
        <w:rPr>
          <w:rFonts w:ascii="Sylfaen" w:hAnsi="Sylfaen" w:cs="Sylfaen"/>
        </w:rPr>
        <w:t>გადაადგილება</w:t>
      </w:r>
      <w:r w:rsidRPr="001352AB">
        <w:t>.</w:t>
      </w:r>
    </w:p>
    <w:p w14:paraId="39A97DCB" w14:textId="77777777" w:rsidR="00CD64B5" w:rsidRPr="001352AB" w:rsidRDefault="00CD64B5" w:rsidP="00CD64B5">
      <w:pPr>
        <w:spacing w:before="120" w:after="120"/>
      </w:pPr>
      <w:r w:rsidRPr="001352AB">
        <w:rPr>
          <w:rFonts w:ascii="Sylfaen" w:hAnsi="Sylfaen" w:cs="Sylfaen"/>
        </w:rPr>
        <w:t>საჭიროების</w:t>
      </w:r>
      <w:r w:rsidRPr="001352AB">
        <w:t xml:space="preserve"> </w:t>
      </w:r>
      <w:r w:rsidRPr="001352AB">
        <w:rPr>
          <w:rFonts w:ascii="Sylfaen" w:hAnsi="Sylfaen" w:cs="Sylfaen"/>
        </w:rPr>
        <w:t>შემთხვევაში</w:t>
      </w:r>
      <w:r w:rsidRPr="001352AB">
        <w:t xml:space="preserve">, </w:t>
      </w:r>
      <w:r w:rsidRPr="001352AB">
        <w:rPr>
          <w:rFonts w:ascii="Sylfaen" w:hAnsi="Sylfaen" w:cs="Sylfaen"/>
        </w:rPr>
        <w:t>გამოყენებული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დროებითი</w:t>
      </w:r>
      <w:r w:rsidRPr="001352AB">
        <w:t xml:space="preserve"> </w:t>
      </w:r>
      <w:r w:rsidRPr="001352AB">
        <w:rPr>
          <w:rFonts w:ascii="Sylfaen" w:hAnsi="Sylfaen" w:cs="Sylfaen"/>
        </w:rPr>
        <w:t>ხმაურჩამხშობი</w:t>
      </w:r>
      <w:r w:rsidRPr="001352AB">
        <w:t xml:space="preserve"> </w:t>
      </w:r>
      <w:r w:rsidRPr="001352AB">
        <w:rPr>
          <w:rFonts w:ascii="Sylfaen" w:hAnsi="Sylfaen" w:cs="Sylfaen"/>
        </w:rPr>
        <w:t>ეკრანები</w:t>
      </w:r>
      <w:r w:rsidRPr="001352AB">
        <w:t>.</w:t>
      </w:r>
    </w:p>
    <w:p w14:paraId="364BB002" w14:textId="77777777" w:rsidR="00CD64B5" w:rsidRPr="001352AB" w:rsidRDefault="00CD64B5" w:rsidP="00CD64B5">
      <w:pPr>
        <w:spacing w:before="120" w:after="120"/>
      </w:pP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სამუშაო</w:t>
      </w:r>
      <w:r w:rsidRPr="001352AB">
        <w:t xml:space="preserve"> </w:t>
      </w:r>
      <w:r w:rsidRPr="001352AB">
        <w:rPr>
          <w:rFonts w:ascii="Sylfaen" w:hAnsi="Sylfaen" w:cs="Sylfaen"/>
        </w:rPr>
        <w:t>საათების</w:t>
      </w:r>
      <w:r w:rsidRPr="001352AB">
        <w:t xml:space="preserve"> </w:t>
      </w:r>
      <w:r w:rsidRPr="001352AB">
        <w:rPr>
          <w:rFonts w:ascii="Sylfaen" w:hAnsi="Sylfaen" w:cs="Sylfaen"/>
        </w:rPr>
        <w:t>ხანგრძლივობა</w:t>
      </w:r>
      <w:r w:rsidRPr="001352AB">
        <w:t xml:space="preserve">. </w:t>
      </w:r>
      <w:r w:rsidRPr="001352AB">
        <w:rPr>
          <w:rFonts w:ascii="Sylfaen" w:hAnsi="Sylfaen" w:cs="Sylfaen"/>
        </w:rPr>
        <w:t>ღამის</w:t>
      </w:r>
      <w:r w:rsidRPr="001352AB">
        <w:t xml:space="preserve"> </w:t>
      </w:r>
      <w:r w:rsidRPr="001352AB">
        <w:rPr>
          <w:rFonts w:ascii="Sylfaen" w:hAnsi="Sylfaen" w:cs="Sylfaen"/>
        </w:rPr>
        <w:t>საათებში</w:t>
      </w:r>
      <w:r w:rsidRPr="001352AB">
        <w:t xml:space="preserve"> </w:t>
      </w:r>
      <w:r w:rsidRPr="001352AB">
        <w:rPr>
          <w:rFonts w:ascii="Sylfaen" w:hAnsi="Sylfaen" w:cs="Sylfaen"/>
        </w:rPr>
        <w:t>სამუშაო</w:t>
      </w:r>
      <w:r w:rsidRPr="001352AB">
        <w:t xml:space="preserve"> </w:t>
      </w:r>
      <w:r w:rsidRPr="001352AB">
        <w:rPr>
          <w:rFonts w:ascii="Sylfaen" w:hAnsi="Sylfaen" w:cs="Sylfaen"/>
        </w:rPr>
        <w:t>არ</w:t>
      </w:r>
      <w:r w:rsidRPr="001352AB">
        <w:t xml:space="preserve"> </w:t>
      </w:r>
      <w:r w:rsidRPr="001352AB">
        <w:rPr>
          <w:rFonts w:ascii="Sylfaen" w:hAnsi="Sylfaen" w:cs="Sylfaen"/>
        </w:rPr>
        <w:t>იწარმოებს</w:t>
      </w:r>
      <w:r w:rsidRPr="001352AB">
        <w:t>.</w:t>
      </w:r>
    </w:p>
    <w:p w14:paraId="10AC1FB6" w14:textId="77777777" w:rsidR="00CD64B5" w:rsidRPr="001352AB" w:rsidRDefault="00CD64B5" w:rsidP="00CD64B5">
      <w:pPr>
        <w:spacing w:before="120" w:after="120"/>
      </w:pPr>
      <w:r w:rsidRPr="001352AB">
        <w:rPr>
          <w:rFonts w:ascii="Sylfaen" w:hAnsi="Sylfaen" w:cs="Sylfaen"/>
        </w:rPr>
        <w:t>აიკრძალება</w:t>
      </w:r>
      <w:r w:rsidRPr="001352AB">
        <w:t xml:space="preserve"> </w:t>
      </w:r>
      <w:r w:rsidRPr="001352AB">
        <w:rPr>
          <w:rFonts w:ascii="Sylfaen" w:hAnsi="Sylfaen" w:cs="Sylfaen"/>
        </w:rPr>
        <w:t>სიგნალი</w:t>
      </w:r>
      <w:r w:rsidRPr="001352AB">
        <w:t xml:space="preserve">, </w:t>
      </w:r>
      <w:r w:rsidRPr="001352AB">
        <w:rPr>
          <w:rFonts w:ascii="Sylfaen" w:hAnsi="Sylfaen" w:cs="Sylfaen"/>
        </w:rPr>
        <w:t>გარდა</w:t>
      </w:r>
      <w:r w:rsidRPr="001352AB">
        <w:t xml:space="preserve"> </w:t>
      </w:r>
      <w:r w:rsidRPr="001352AB">
        <w:rPr>
          <w:rFonts w:ascii="Sylfaen" w:hAnsi="Sylfaen" w:cs="Sylfaen"/>
        </w:rPr>
        <w:t>იმ</w:t>
      </w:r>
      <w:r w:rsidRPr="001352AB">
        <w:t xml:space="preserve"> </w:t>
      </w:r>
      <w:r w:rsidRPr="001352AB">
        <w:rPr>
          <w:rFonts w:ascii="Sylfaen" w:hAnsi="Sylfaen" w:cs="Sylfaen"/>
        </w:rPr>
        <w:t>შემთხვევებისა</w:t>
      </w:r>
      <w:r w:rsidRPr="001352AB">
        <w:t xml:space="preserve">, </w:t>
      </w:r>
      <w:r w:rsidRPr="001352AB">
        <w:rPr>
          <w:rFonts w:ascii="Sylfaen" w:hAnsi="Sylfaen" w:cs="Sylfaen"/>
        </w:rPr>
        <w:t>როდესაც</w:t>
      </w:r>
      <w:r w:rsidRPr="001352AB">
        <w:t xml:space="preserve"> </w:t>
      </w:r>
      <w:r w:rsidRPr="001352AB">
        <w:rPr>
          <w:rFonts w:ascii="Sylfaen" w:hAnsi="Sylfaen" w:cs="Sylfaen"/>
        </w:rPr>
        <w:t>ეს</w:t>
      </w:r>
      <w:r w:rsidRPr="001352AB">
        <w:t xml:space="preserve"> </w:t>
      </w:r>
      <w:r w:rsidRPr="001352AB">
        <w:rPr>
          <w:rFonts w:ascii="Sylfaen" w:hAnsi="Sylfaen" w:cs="Sylfaen"/>
        </w:rPr>
        <w:t>უსაფრთხოებისთვის</w:t>
      </w:r>
      <w:r w:rsidRPr="001352AB">
        <w:t xml:space="preserve"> </w:t>
      </w:r>
      <w:r w:rsidRPr="001352AB">
        <w:rPr>
          <w:rFonts w:ascii="Sylfaen" w:hAnsi="Sylfaen" w:cs="Sylfaen"/>
        </w:rPr>
        <w:t>აუცილებელია</w:t>
      </w:r>
      <w:r w:rsidRPr="001352AB">
        <w:t>.</w:t>
      </w:r>
    </w:p>
    <w:p w14:paraId="36493A92" w14:textId="77777777" w:rsidR="00CD64B5" w:rsidRPr="001352AB" w:rsidRDefault="00CD64B5" w:rsidP="00CD64B5">
      <w:pPr>
        <w:spacing w:before="120" w:after="120"/>
      </w:pP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ტერიტორიის</w:t>
      </w:r>
      <w:r w:rsidRPr="001352AB">
        <w:t xml:space="preserve"> </w:t>
      </w:r>
      <w:r w:rsidRPr="001352AB">
        <w:rPr>
          <w:rFonts w:ascii="Sylfaen" w:hAnsi="Sylfaen" w:cs="Sylfaen"/>
        </w:rPr>
        <w:t>გარეთ</w:t>
      </w:r>
      <w:r w:rsidRPr="001352AB">
        <w:t xml:space="preserve"> </w:t>
      </w:r>
      <w:r w:rsidRPr="001352AB">
        <w:rPr>
          <w:rFonts w:ascii="Sylfaen" w:hAnsi="Sylfaen" w:cs="Sylfaen"/>
        </w:rPr>
        <w:t>მანქანების</w:t>
      </w:r>
      <w:r w:rsidRPr="001352AB">
        <w:t xml:space="preserve"> </w:t>
      </w:r>
      <w:r w:rsidRPr="001352AB">
        <w:rPr>
          <w:rFonts w:ascii="Sylfaen" w:hAnsi="Sylfaen" w:cs="Sylfaen"/>
        </w:rPr>
        <w:t>მოძრაობის</w:t>
      </w:r>
      <w:r w:rsidRPr="001352AB">
        <w:t xml:space="preserve"> </w:t>
      </w:r>
      <w:r w:rsidRPr="001352AB">
        <w:rPr>
          <w:rFonts w:ascii="Sylfaen" w:hAnsi="Sylfaen" w:cs="Sylfaen"/>
        </w:rPr>
        <w:t>შეთანხმებული</w:t>
      </w:r>
      <w:r w:rsidRPr="001352AB">
        <w:t xml:space="preserve"> </w:t>
      </w:r>
      <w:r w:rsidRPr="001352AB">
        <w:rPr>
          <w:rFonts w:ascii="Sylfaen" w:hAnsi="Sylfaen" w:cs="Sylfaen"/>
        </w:rPr>
        <w:t>მარშრუტი</w:t>
      </w:r>
      <w:r w:rsidRPr="001352AB">
        <w:t>.</w:t>
      </w:r>
    </w:p>
    <w:p w14:paraId="3258C862" w14:textId="77777777" w:rsidR="00CD64B5" w:rsidRPr="001352AB" w:rsidRDefault="00CD64B5" w:rsidP="00CD64B5">
      <w:pPr>
        <w:spacing w:before="120" w:after="120"/>
      </w:pPr>
      <w:r w:rsidRPr="001352AB">
        <w:rPr>
          <w:rFonts w:ascii="Sylfaen" w:hAnsi="Sylfaen" w:cs="Sylfaen"/>
        </w:rPr>
        <w:t>მაქსიმალურად</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შენარჩუნებული</w:t>
      </w:r>
      <w:r w:rsidRPr="001352AB">
        <w:t xml:space="preserve"> </w:t>
      </w:r>
      <w:r w:rsidRPr="001352AB">
        <w:rPr>
          <w:rFonts w:ascii="Sylfaen" w:hAnsi="Sylfaen" w:cs="Sylfaen"/>
        </w:rPr>
        <w:t>მცენარეული</w:t>
      </w:r>
      <w:r w:rsidRPr="001352AB">
        <w:t xml:space="preserve"> </w:t>
      </w:r>
      <w:r w:rsidRPr="001352AB">
        <w:rPr>
          <w:rFonts w:ascii="Sylfaen" w:hAnsi="Sylfaen" w:cs="Sylfaen"/>
        </w:rPr>
        <w:t>საფარი</w:t>
      </w:r>
      <w:r w:rsidRPr="001352AB">
        <w:t xml:space="preserve"> (</w:t>
      </w:r>
      <w:r w:rsidRPr="001352AB">
        <w:rPr>
          <w:rFonts w:ascii="Sylfaen" w:hAnsi="Sylfaen" w:cs="Sylfaen"/>
        </w:rPr>
        <w:t>რაც</w:t>
      </w:r>
      <w:r w:rsidRPr="001352AB">
        <w:t xml:space="preserve"> </w:t>
      </w:r>
      <w:r w:rsidRPr="001352AB">
        <w:rPr>
          <w:rFonts w:ascii="Sylfaen" w:hAnsi="Sylfaen" w:cs="Sylfaen"/>
        </w:rPr>
        <w:t>ბუნებრივ</w:t>
      </w:r>
      <w:r w:rsidRPr="001352AB">
        <w:t xml:space="preserve"> </w:t>
      </w:r>
      <w:r w:rsidRPr="001352AB">
        <w:rPr>
          <w:rFonts w:ascii="Sylfaen" w:hAnsi="Sylfaen" w:cs="Sylfaen"/>
        </w:rPr>
        <w:t>ხმაურდამცავ</w:t>
      </w:r>
      <w:r w:rsidRPr="001352AB">
        <w:t xml:space="preserve"> </w:t>
      </w:r>
      <w:r w:rsidRPr="001352AB">
        <w:rPr>
          <w:rFonts w:ascii="Sylfaen" w:hAnsi="Sylfaen" w:cs="Sylfaen"/>
        </w:rPr>
        <w:t>ბარიერს</w:t>
      </w:r>
      <w:r w:rsidRPr="001352AB">
        <w:t xml:space="preserve"> </w:t>
      </w:r>
      <w:r w:rsidRPr="001352AB">
        <w:rPr>
          <w:rFonts w:ascii="Sylfaen" w:hAnsi="Sylfaen" w:cs="Sylfaen"/>
        </w:rPr>
        <w:t>შექმნის</w:t>
      </w:r>
      <w:r w:rsidRPr="001352AB">
        <w:t>).</w:t>
      </w:r>
    </w:p>
    <w:p w14:paraId="130C2D2C" w14:textId="77777777" w:rsidR="00CD64B5" w:rsidRPr="001352AB" w:rsidRDefault="00CD64B5" w:rsidP="00CD64B5">
      <w:pPr>
        <w:spacing w:before="120" w:after="120"/>
      </w:pPr>
      <w:r w:rsidRPr="001352AB">
        <w:rPr>
          <w:rFonts w:ascii="Sylfaen" w:hAnsi="Sylfaen" w:cs="Sylfaen"/>
        </w:rPr>
        <w:t>პერსონალი</w:t>
      </w:r>
      <w:r w:rsidRPr="001352AB">
        <w:t xml:space="preserve"> </w:t>
      </w:r>
      <w:r w:rsidRPr="001352AB">
        <w:rPr>
          <w:rFonts w:ascii="Sylfaen" w:hAnsi="Sylfaen" w:cs="Sylfaen"/>
        </w:rPr>
        <w:t>უზრუნველყოფილი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პირადი</w:t>
      </w:r>
      <w:r w:rsidRPr="001352AB">
        <w:t xml:space="preserve"> </w:t>
      </w:r>
      <w:r w:rsidRPr="001352AB">
        <w:rPr>
          <w:rFonts w:ascii="Sylfaen" w:hAnsi="Sylfaen" w:cs="Sylfaen"/>
        </w:rPr>
        <w:t>დაცვის</w:t>
      </w:r>
      <w:r w:rsidRPr="001352AB">
        <w:t xml:space="preserve"> </w:t>
      </w:r>
      <w:r w:rsidRPr="001352AB">
        <w:rPr>
          <w:rFonts w:ascii="Sylfaen" w:hAnsi="Sylfaen" w:cs="Sylfaen"/>
        </w:rPr>
        <w:t>საშუალებებით</w:t>
      </w:r>
      <w:r w:rsidRPr="001352AB">
        <w:t xml:space="preserve">. </w:t>
      </w:r>
      <w:r w:rsidRPr="001352AB">
        <w:rPr>
          <w:rFonts w:ascii="Sylfaen" w:hAnsi="Sylfaen" w:cs="Sylfaen"/>
        </w:rPr>
        <w:t>იმ</w:t>
      </w:r>
      <w:r w:rsidRPr="001352AB">
        <w:t xml:space="preserve"> </w:t>
      </w:r>
      <w:r w:rsidRPr="001352AB">
        <w:rPr>
          <w:rFonts w:ascii="Sylfaen" w:hAnsi="Sylfaen" w:cs="Sylfaen"/>
        </w:rPr>
        <w:t>უბნებზე</w:t>
      </w:r>
      <w:r w:rsidRPr="001352AB">
        <w:t xml:space="preserve">, </w:t>
      </w:r>
      <w:r w:rsidRPr="001352AB">
        <w:rPr>
          <w:rFonts w:ascii="Sylfaen" w:hAnsi="Sylfaen" w:cs="Sylfaen"/>
        </w:rPr>
        <w:t>სადაც</w:t>
      </w:r>
      <w:r w:rsidRPr="001352AB">
        <w:t xml:space="preserve"> </w:t>
      </w:r>
      <w:r w:rsidRPr="001352AB">
        <w:rPr>
          <w:rFonts w:ascii="Sylfaen" w:hAnsi="Sylfaen" w:cs="Sylfaen"/>
        </w:rPr>
        <w:t>სამუშაოების</w:t>
      </w:r>
      <w:r w:rsidRPr="001352AB">
        <w:t xml:space="preserve"> </w:t>
      </w:r>
      <w:r w:rsidRPr="001352AB">
        <w:rPr>
          <w:rFonts w:ascii="Sylfaen" w:hAnsi="Sylfaen" w:cs="Sylfaen"/>
        </w:rPr>
        <w:t>წარმოებისას</w:t>
      </w:r>
      <w:r w:rsidRPr="001352AB">
        <w:t xml:space="preserve"> </w:t>
      </w:r>
      <w:r w:rsidRPr="001352AB">
        <w:rPr>
          <w:rFonts w:ascii="Sylfaen" w:hAnsi="Sylfaen" w:cs="Sylfaen"/>
        </w:rPr>
        <w:t>ადგილი</w:t>
      </w:r>
      <w:r w:rsidRPr="001352AB">
        <w:t xml:space="preserve"> </w:t>
      </w:r>
      <w:r w:rsidRPr="001352AB">
        <w:rPr>
          <w:rFonts w:ascii="Sylfaen" w:hAnsi="Sylfaen" w:cs="Sylfaen"/>
        </w:rPr>
        <w:t>ექნება</w:t>
      </w:r>
      <w:r w:rsidRPr="001352AB">
        <w:t xml:space="preserve"> </w:t>
      </w:r>
      <w:r w:rsidRPr="001352AB">
        <w:rPr>
          <w:rFonts w:ascii="Sylfaen" w:hAnsi="Sylfaen" w:cs="Sylfaen"/>
        </w:rPr>
        <w:t>ხმაურის</w:t>
      </w:r>
      <w:r w:rsidRPr="001352AB">
        <w:t xml:space="preserve"> </w:t>
      </w:r>
      <w:r w:rsidRPr="001352AB">
        <w:rPr>
          <w:rFonts w:ascii="Sylfaen" w:hAnsi="Sylfaen" w:cs="Sylfaen"/>
        </w:rPr>
        <w:t>დონის</w:t>
      </w:r>
      <w:r w:rsidRPr="001352AB">
        <w:t xml:space="preserve"> </w:t>
      </w:r>
      <w:r w:rsidRPr="001352AB">
        <w:rPr>
          <w:rFonts w:ascii="Sylfaen" w:hAnsi="Sylfaen" w:cs="Sylfaen"/>
        </w:rPr>
        <w:t>გადაჭარბებას</w:t>
      </w:r>
      <w:r w:rsidRPr="001352AB">
        <w:t xml:space="preserve"> - </w:t>
      </w:r>
      <w:r w:rsidRPr="001352AB">
        <w:rPr>
          <w:rFonts w:ascii="Sylfaen" w:hAnsi="Sylfaen" w:cs="Sylfaen"/>
        </w:rPr>
        <w:t>პერსონალი</w:t>
      </w:r>
      <w:r w:rsidRPr="001352AB">
        <w:t xml:space="preserve"> </w:t>
      </w:r>
      <w:r w:rsidRPr="001352AB">
        <w:rPr>
          <w:rFonts w:ascii="Sylfaen" w:hAnsi="Sylfaen" w:cs="Sylfaen"/>
        </w:rPr>
        <w:t>გამიყენებს</w:t>
      </w:r>
      <w:r w:rsidRPr="001352AB">
        <w:t xml:space="preserve"> </w:t>
      </w:r>
      <w:r w:rsidRPr="001352AB">
        <w:rPr>
          <w:rFonts w:ascii="Sylfaen" w:hAnsi="Sylfaen" w:cs="Sylfaen"/>
        </w:rPr>
        <w:t>ყურსაცმებს</w:t>
      </w:r>
      <w:r w:rsidRPr="001352AB">
        <w:t>;</w:t>
      </w:r>
    </w:p>
    <w:p w14:paraId="552DB518" w14:textId="77777777" w:rsidR="00CD64B5" w:rsidRPr="001352AB" w:rsidRDefault="00CD64B5" w:rsidP="00CD64B5">
      <w:pPr>
        <w:spacing w:before="120" w:after="120"/>
      </w:pPr>
      <w:r w:rsidRPr="001352AB">
        <w:rPr>
          <w:rFonts w:ascii="Sylfaen" w:hAnsi="Sylfaen" w:cs="Sylfaen"/>
        </w:rPr>
        <w:t>კონტრაქტორის</w:t>
      </w:r>
      <w:r w:rsidRPr="001352AB">
        <w:t xml:space="preserve"> </w:t>
      </w:r>
      <w:r w:rsidRPr="001352AB">
        <w:rPr>
          <w:rFonts w:ascii="Sylfaen" w:hAnsi="Sylfaen" w:cs="Sylfaen"/>
        </w:rPr>
        <w:t>პერსონალს</w:t>
      </w:r>
      <w:r w:rsidRPr="001352AB">
        <w:t xml:space="preserve"> </w:t>
      </w:r>
      <w:r w:rsidRPr="001352AB">
        <w:rPr>
          <w:rFonts w:ascii="Sylfaen" w:hAnsi="Sylfaen" w:cs="Sylfaen"/>
        </w:rPr>
        <w:t>ჩაუტარდება</w:t>
      </w:r>
      <w:r w:rsidRPr="001352AB">
        <w:t xml:space="preserve"> </w:t>
      </w:r>
      <w:r w:rsidRPr="001352AB">
        <w:rPr>
          <w:rFonts w:ascii="Sylfaen" w:hAnsi="Sylfaen" w:cs="Sylfaen"/>
        </w:rPr>
        <w:t>ტრეინინგი</w:t>
      </w:r>
      <w:r w:rsidRPr="001352AB">
        <w:t xml:space="preserve"> </w:t>
      </w:r>
      <w:r w:rsidRPr="001352AB">
        <w:rPr>
          <w:rFonts w:ascii="Sylfaen" w:hAnsi="Sylfaen" w:cs="Sylfaen"/>
        </w:rPr>
        <w:t>გარემოსდაცვით</w:t>
      </w:r>
      <w:r w:rsidRPr="001352AB">
        <w:t xml:space="preserve"> </w:t>
      </w:r>
      <w:r w:rsidRPr="001352AB">
        <w:rPr>
          <w:rFonts w:ascii="Sylfaen" w:hAnsi="Sylfaen" w:cs="Sylfaen"/>
        </w:rPr>
        <w:t>და</w:t>
      </w:r>
      <w:r w:rsidRPr="001352AB">
        <w:t xml:space="preserve"> </w:t>
      </w:r>
      <w:r w:rsidRPr="001352AB">
        <w:rPr>
          <w:rFonts w:ascii="Sylfaen" w:hAnsi="Sylfaen" w:cs="Sylfaen"/>
        </w:rPr>
        <w:t>უსაფრთხოების</w:t>
      </w:r>
      <w:r w:rsidRPr="001352AB">
        <w:t xml:space="preserve"> </w:t>
      </w:r>
      <w:r w:rsidRPr="001352AB">
        <w:rPr>
          <w:rFonts w:ascii="Sylfaen" w:hAnsi="Sylfaen" w:cs="Sylfaen"/>
        </w:rPr>
        <w:t>საკითხებზე</w:t>
      </w:r>
      <w:r w:rsidRPr="001352AB">
        <w:t xml:space="preserve">. </w:t>
      </w:r>
    </w:p>
    <w:p w14:paraId="0C2F9F41" w14:textId="77777777" w:rsidR="00CD64B5" w:rsidRPr="001352AB" w:rsidRDefault="00CD64B5" w:rsidP="00CD64B5">
      <w:pPr>
        <w:spacing w:before="120" w:after="120"/>
        <w:rPr>
          <w:lang w:eastAsia="da-DK"/>
        </w:rPr>
      </w:pP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შესრულების</w:t>
      </w:r>
      <w:r w:rsidRPr="001352AB">
        <w:t xml:space="preserve"> </w:t>
      </w:r>
      <w:r w:rsidRPr="001352AB">
        <w:rPr>
          <w:rFonts w:ascii="Sylfaen" w:hAnsi="Sylfaen" w:cs="Sylfaen"/>
        </w:rPr>
        <w:t>უზრუნველყოფა</w:t>
      </w:r>
      <w:r w:rsidRPr="001352AB">
        <w:t xml:space="preserve"> </w:t>
      </w:r>
      <w:r w:rsidRPr="001352AB">
        <w:rPr>
          <w:rFonts w:ascii="Sylfaen" w:hAnsi="Sylfaen" w:cs="Sylfaen"/>
        </w:rPr>
        <w:t>საავტომობილო</w:t>
      </w:r>
      <w:r w:rsidRPr="001352AB">
        <w:t xml:space="preserve"> </w:t>
      </w:r>
      <w:r w:rsidRPr="001352AB">
        <w:rPr>
          <w:rFonts w:ascii="Sylfaen" w:hAnsi="Sylfaen" w:cs="Sylfaen"/>
        </w:rPr>
        <w:t>გზების</w:t>
      </w:r>
      <w:r w:rsidRPr="001352AB">
        <w:t xml:space="preserve"> </w:t>
      </w:r>
      <w:r w:rsidRPr="001352AB">
        <w:rPr>
          <w:rFonts w:ascii="Sylfaen" w:hAnsi="Sylfaen" w:cs="Sylfaen"/>
        </w:rPr>
        <w:t>დეპარტამენტის</w:t>
      </w:r>
      <w:r w:rsidRPr="001352AB">
        <w:t xml:space="preserve"> </w:t>
      </w:r>
      <w:r w:rsidRPr="001352AB">
        <w:rPr>
          <w:rFonts w:ascii="Sylfaen" w:hAnsi="Sylfaen" w:cs="Sylfaen"/>
        </w:rPr>
        <w:t>პასუხისმგებლობას</w:t>
      </w:r>
      <w:r w:rsidRPr="001352AB">
        <w:t xml:space="preserve"> </w:t>
      </w:r>
      <w:r w:rsidRPr="001352AB">
        <w:rPr>
          <w:rFonts w:ascii="Sylfaen" w:hAnsi="Sylfaen" w:cs="Sylfaen"/>
        </w:rPr>
        <w:t>წარმოადგენს</w:t>
      </w:r>
      <w:r w:rsidRPr="001352AB">
        <w:t xml:space="preserve">.    </w:t>
      </w:r>
    </w:p>
    <w:p w14:paraId="19FD2EEC" w14:textId="77777777" w:rsidR="00CD64B5" w:rsidRPr="001352AB" w:rsidRDefault="00CD64B5" w:rsidP="00CD64B5">
      <w:pPr>
        <w:rPr>
          <w:lang w:val="en-US" w:eastAsia="en-US"/>
        </w:rPr>
      </w:pPr>
    </w:p>
    <w:p w14:paraId="20FDD0F4" w14:textId="77777777" w:rsidR="00CD64B5" w:rsidRPr="001352AB" w:rsidRDefault="00CD64B5" w:rsidP="00CD64B5">
      <w:pPr>
        <w:pStyle w:val="Heading3"/>
      </w:pPr>
      <w:bookmarkStart w:id="319" w:name="_Toc529977399"/>
      <w:bookmarkStart w:id="320" w:name="_Toc495314384"/>
      <w:bookmarkStart w:id="321" w:name="_Toc479166516"/>
      <w:bookmarkStart w:id="322" w:name="_Toc479164786"/>
      <w:bookmarkStart w:id="323" w:name="_Toc1581562"/>
      <w:r w:rsidRPr="001352AB">
        <w:t xml:space="preserve">7.2.2 </w:t>
      </w:r>
      <w:r w:rsidRPr="001352AB">
        <w:rPr>
          <w:rFonts w:ascii="Sylfaen" w:hAnsi="Sylfaen" w:cs="Sylfaen"/>
        </w:rPr>
        <w:t>ხმაურის</w:t>
      </w:r>
      <w:r w:rsidRPr="001352AB">
        <w:t xml:space="preserve"> </w:t>
      </w:r>
      <w:r w:rsidRPr="001352AB">
        <w:rPr>
          <w:rFonts w:ascii="Sylfaen" w:hAnsi="Sylfaen" w:cs="Sylfaen"/>
        </w:rPr>
        <w:t>და</w:t>
      </w:r>
      <w:r w:rsidRPr="001352AB">
        <w:t xml:space="preserve"> </w:t>
      </w:r>
      <w:r w:rsidRPr="001352AB">
        <w:rPr>
          <w:rFonts w:ascii="Sylfaen" w:hAnsi="Sylfaen" w:cs="Sylfaen"/>
        </w:rPr>
        <w:t>ვიბრაციის</w:t>
      </w:r>
      <w:r w:rsidRPr="001352AB">
        <w:t xml:space="preserve"> </w:t>
      </w:r>
      <w:r w:rsidRPr="001352AB">
        <w:rPr>
          <w:rFonts w:ascii="Sylfaen" w:hAnsi="Sylfaen" w:cs="Sylfaen"/>
        </w:rPr>
        <w:t>გავრცელება</w:t>
      </w:r>
      <w:r w:rsidRPr="001352AB">
        <w:t xml:space="preserve"> </w:t>
      </w:r>
      <w:r w:rsidRPr="001352AB">
        <w:rPr>
          <w:rFonts w:ascii="Sylfaen" w:hAnsi="Sylfaen" w:cs="Sylfaen"/>
        </w:rPr>
        <w:t>ექსპლუატაციის</w:t>
      </w:r>
      <w:r w:rsidRPr="001352AB">
        <w:t xml:space="preserve"> </w:t>
      </w:r>
      <w:r w:rsidRPr="001352AB">
        <w:rPr>
          <w:rFonts w:ascii="Sylfaen" w:hAnsi="Sylfaen" w:cs="Sylfaen"/>
        </w:rPr>
        <w:t>ფაზაზე</w:t>
      </w:r>
      <w:bookmarkEnd w:id="316"/>
      <w:bookmarkEnd w:id="319"/>
      <w:bookmarkEnd w:id="320"/>
      <w:bookmarkEnd w:id="321"/>
      <w:bookmarkEnd w:id="322"/>
      <w:bookmarkEnd w:id="323"/>
    </w:p>
    <w:p w14:paraId="4445E37A" w14:textId="77777777" w:rsidR="00CD64B5" w:rsidRPr="001352AB" w:rsidRDefault="00CD64B5" w:rsidP="00CD64B5">
      <w:pPr>
        <w:spacing w:before="120" w:after="120"/>
        <w:rPr>
          <w:lang w:val="ka-GE" w:eastAsia="da-DK"/>
        </w:rPr>
      </w:pPr>
      <w:bookmarkStart w:id="324" w:name="_Toc495314385"/>
      <w:bookmarkStart w:id="325" w:name="_Toc479166517"/>
      <w:bookmarkStart w:id="326" w:name="_Toc479164787"/>
      <w:bookmarkStart w:id="327" w:name="_Toc464212202"/>
      <w:bookmarkEnd w:id="317"/>
      <w:bookmarkEnd w:id="318"/>
      <w:r w:rsidRPr="001352AB">
        <w:rPr>
          <w:rFonts w:ascii="Sylfaen" w:hAnsi="Sylfaen" w:cs="Sylfaen"/>
        </w:rPr>
        <w:t>გზის</w:t>
      </w:r>
      <w:r w:rsidRPr="001352AB">
        <w:t xml:space="preserve"> </w:t>
      </w:r>
      <w:r w:rsidRPr="001352AB">
        <w:rPr>
          <w:rFonts w:ascii="Sylfaen" w:hAnsi="Sylfaen" w:cs="Sylfaen"/>
        </w:rPr>
        <w:t>ექსპლუატაციის</w:t>
      </w:r>
      <w:r w:rsidRPr="001352AB">
        <w:t xml:space="preserve"> </w:t>
      </w:r>
      <w:r w:rsidRPr="001352AB">
        <w:rPr>
          <w:rFonts w:ascii="Sylfaen" w:hAnsi="Sylfaen" w:cs="Sylfaen"/>
        </w:rPr>
        <w:t>ეტაპზე</w:t>
      </w:r>
      <w:r w:rsidRPr="001352AB">
        <w:t xml:space="preserve"> </w:t>
      </w:r>
      <w:r w:rsidRPr="001352AB">
        <w:rPr>
          <w:rFonts w:ascii="Sylfaen" w:hAnsi="Sylfaen" w:cs="Sylfaen"/>
        </w:rPr>
        <w:t>ანსხვავებენ</w:t>
      </w:r>
      <w:r w:rsidRPr="001352AB">
        <w:t xml:space="preserve"> </w:t>
      </w:r>
      <w:r w:rsidRPr="001352AB">
        <w:rPr>
          <w:rFonts w:ascii="Sylfaen" w:hAnsi="Sylfaen" w:cs="Sylfaen"/>
        </w:rPr>
        <w:t>ორი</w:t>
      </w:r>
      <w:r w:rsidRPr="001352AB">
        <w:t xml:space="preserve"> </w:t>
      </w:r>
      <w:r w:rsidRPr="001352AB">
        <w:rPr>
          <w:rFonts w:ascii="Sylfaen" w:hAnsi="Sylfaen" w:cs="Sylfaen"/>
        </w:rPr>
        <w:t>ტიპის</w:t>
      </w:r>
      <w:r w:rsidRPr="001352AB">
        <w:t xml:space="preserve"> </w:t>
      </w:r>
      <w:r w:rsidRPr="001352AB">
        <w:rPr>
          <w:rFonts w:ascii="Sylfaen" w:hAnsi="Sylfaen" w:cs="Sylfaen"/>
        </w:rPr>
        <w:t>ხმაურს</w:t>
      </w:r>
      <w:r w:rsidRPr="001352AB">
        <w:t xml:space="preserve">. </w:t>
      </w:r>
      <w:r w:rsidRPr="001352AB">
        <w:rPr>
          <w:rFonts w:ascii="Sylfaen" w:hAnsi="Sylfaen" w:cs="Sylfaen"/>
        </w:rPr>
        <w:t>ესენია</w:t>
      </w:r>
      <w:r w:rsidRPr="001352AB">
        <w:t xml:space="preserve">: </w:t>
      </w:r>
    </w:p>
    <w:p w14:paraId="48349A0F" w14:textId="77777777" w:rsidR="00CD64B5" w:rsidRPr="001352AB" w:rsidRDefault="00CD64B5" w:rsidP="00CD64B5">
      <w:pPr>
        <w:spacing w:before="120" w:after="120"/>
      </w:pPr>
      <w:r w:rsidRPr="001352AB">
        <w:rPr>
          <w:rFonts w:ascii="Sylfaen" w:hAnsi="Sylfaen" w:cs="Sylfaen"/>
        </w:rPr>
        <w:t>მანქანის</w:t>
      </w:r>
      <w:r w:rsidRPr="001352AB">
        <w:t xml:space="preserve"> </w:t>
      </w:r>
      <w:r w:rsidRPr="001352AB">
        <w:rPr>
          <w:rFonts w:ascii="Sylfaen" w:hAnsi="Sylfaen" w:cs="Sylfaen"/>
        </w:rPr>
        <w:t>ძრავებით</w:t>
      </w:r>
      <w:r w:rsidRPr="001352AB">
        <w:t xml:space="preserve"> </w:t>
      </w:r>
      <w:r w:rsidRPr="001352AB">
        <w:rPr>
          <w:rFonts w:ascii="Sylfaen" w:hAnsi="Sylfaen" w:cs="Sylfaen"/>
        </w:rPr>
        <w:t>გამოწვეული</w:t>
      </w:r>
      <w:r w:rsidRPr="001352AB">
        <w:t xml:space="preserve"> </w:t>
      </w:r>
      <w:r w:rsidRPr="001352AB">
        <w:rPr>
          <w:rFonts w:ascii="Sylfaen" w:hAnsi="Sylfaen" w:cs="Sylfaen"/>
        </w:rPr>
        <w:t>ხმაური</w:t>
      </w:r>
      <w:r w:rsidRPr="001352AB">
        <w:t xml:space="preserve"> </w:t>
      </w:r>
      <w:r w:rsidRPr="001352AB">
        <w:rPr>
          <w:rFonts w:ascii="Sylfaen" w:hAnsi="Sylfaen" w:cs="Sylfaen"/>
        </w:rPr>
        <w:t>და</w:t>
      </w:r>
      <w:r w:rsidRPr="001352AB">
        <w:t xml:space="preserve"> </w:t>
      </w:r>
    </w:p>
    <w:p w14:paraId="25070A04" w14:textId="77777777" w:rsidR="00CD64B5" w:rsidRPr="001352AB" w:rsidRDefault="00CD64B5" w:rsidP="00CD64B5">
      <w:pPr>
        <w:spacing w:before="120" w:after="120"/>
      </w:pPr>
      <w:r w:rsidRPr="001352AB">
        <w:rPr>
          <w:rFonts w:ascii="Sylfaen" w:hAnsi="Sylfaen" w:cs="Sylfaen"/>
        </w:rPr>
        <w:lastRenderedPageBreak/>
        <w:t>საბურავის</w:t>
      </w:r>
      <w:r w:rsidRPr="001352AB">
        <w:t xml:space="preserve"> </w:t>
      </w:r>
      <w:r w:rsidRPr="001352AB">
        <w:rPr>
          <w:rFonts w:ascii="Sylfaen" w:hAnsi="Sylfaen" w:cs="Sylfaen"/>
        </w:rPr>
        <w:t>გზასთან</w:t>
      </w:r>
      <w:r w:rsidRPr="001352AB">
        <w:t xml:space="preserve"> </w:t>
      </w:r>
      <w:r w:rsidRPr="001352AB">
        <w:rPr>
          <w:rFonts w:ascii="Sylfaen" w:hAnsi="Sylfaen" w:cs="Sylfaen"/>
        </w:rPr>
        <w:t>ხახუნით</w:t>
      </w:r>
      <w:r w:rsidRPr="001352AB">
        <w:t xml:space="preserve"> </w:t>
      </w:r>
      <w:r w:rsidRPr="001352AB">
        <w:rPr>
          <w:rFonts w:ascii="Sylfaen" w:hAnsi="Sylfaen" w:cs="Sylfaen"/>
        </w:rPr>
        <w:t>წარმოქმნილი</w:t>
      </w:r>
      <w:r w:rsidRPr="001352AB">
        <w:t xml:space="preserve"> </w:t>
      </w:r>
      <w:r w:rsidRPr="001352AB">
        <w:rPr>
          <w:rFonts w:ascii="Sylfaen" w:hAnsi="Sylfaen" w:cs="Sylfaen"/>
        </w:rPr>
        <w:t>ხმაური</w:t>
      </w:r>
      <w:r w:rsidRPr="001352AB">
        <w:t xml:space="preserve"> (</w:t>
      </w:r>
      <w:r w:rsidRPr="001352AB">
        <w:rPr>
          <w:rFonts w:ascii="Sylfaen" w:hAnsi="Sylfaen" w:cs="Sylfaen"/>
        </w:rPr>
        <w:t>გასათვალისწინებელია</w:t>
      </w:r>
      <w:r w:rsidRPr="001352AB">
        <w:t xml:space="preserve">, </w:t>
      </w:r>
      <w:r w:rsidRPr="001352AB">
        <w:rPr>
          <w:rFonts w:ascii="Sylfaen" w:hAnsi="Sylfaen" w:cs="Sylfaen"/>
        </w:rPr>
        <w:t>რომ</w:t>
      </w:r>
      <w:r w:rsidRPr="001352AB">
        <w:t xml:space="preserve"> </w:t>
      </w:r>
      <w:r w:rsidRPr="001352AB">
        <w:rPr>
          <w:rFonts w:ascii="Sylfaen" w:hAnsi="Sylfaen" w:cs="Sylfaen"/>
        </w:rPr>
        <w:t>ბეტონის</w:t>
      </w:r>
      <w:r w:rsidRPr="001352AB">
        <w:t xml:space="preserve"> </w:t>
      </w:r>
      <w:r w:rsidRPr="001352AB">
        <w:rPr>
          <w:rFonts w:ascii="Sylfaen" w:hAnsi="Sylfaen" w:cs="Sylfaen"/>
        </w:rPr>
        <w:t>საფარი</w:t>
      </w:r>
      <w:r w:rsidRPr="001352AB">
        <w:t xml:space="preserve"> </w:t>
      </w:r>
      <w:r w:rsidRPr="001352AB">
        <w:rPr>
          <w:rFonts w:ascii="Sylfaen" w:hAnsi="Sylfaen" w:cs="Sylfaen"/>
        </w:rPr>
        <w:t>ზრდის</w:t>
      </w:r>
      <w:r w:rsidRPr="001352AB">
        <w:t xml:space="preserve"> </w:t>
      </w:r>
      <w:r w:rsidRPr="001352AB">
        <w:rPr>
          <w:rFonts w:ascii="Sylfaen" w:hAnsi="Sylfaen" w:cs="Sylfaen"/>
        </w:rPr>
        <w:t>ხმაურის</w:t>
      </w:r>
      <w:r w:rsidRPr="001352AB">
        <w:t xml:space="preserve"> </w:t>
      </w:r>
      <w:r w:rsidRPr="001352AB">
        <w:rPr>
          <w:rFonts w:ascii="Sylfaen" w:hAnsi="Sylfaen" w:cs="Sylfaen"/>
        </w:rPr>
        <w:t>დონეს</w:t>
      </w:r>
      <w:r w:rsidRPr="001352AB">
        <w:t xml:space="preserve"> </w:t>
      </w:r>
      <w:r w:rsidRPr="001352AB">
        <w:rPr>
          <w:rFonts w:ascii="Sylfaen" w:hAnsi="Sylfaen" w:cs="Sylfaen"/>
        </w:rPr>
        <w:t>დაახლოებით</w:t>
      </w:r>
      <w:r w:rsidRPr="001352AB">
        <w:t xml:space="preserve"> 3 </w:t>
      </w:r>
      <w:r w:rsidRPr="001352AB">
        <w:rPr>
          <w:rFonts w:ascii="Sylfaen" w:hAnsi="Sylfaen" w:cs="Sylfaen"/>
        </w:rPr>
        <w:t>დბა</w:t>
      </w:r>
      <w:r w:rsidRPr="001352AB">
        <w:t>-</w:t>
      </w:r>
      <w:r w:rsidRPr="001352AB">
        <w:rPr>
          <w:rFonts w:ascii="Sylfaen" w:hAnsi="Sylfaen" w:cs="Sylfaen"/>
        </w:rPr>
        <w:t>თი</w:t>
      </w:r>
      <w:r w:rsidRPr="001352AB">
        <w:t xml:space="preserve"> </w:t>
      </w:r>
      <w:r w:rsidRPr="001352AB">
        <w:rPr>
          <w:rFonts w:ascii="Sylfaen" w:hAnsi="Sylfaen" w:cs="Sylfaen"/>
        </w:rPr>
        <w:t>ასფალტო</w:t>
      </w:r>
      <w:r w:rsidRPr="001352AB">
        <w:t>-</w:t>
      </w:r>
      <w:r w:rsidRPr="001352AB">
        <w:rPr>
          <w:rFonts w:ascii="Sylfaen" w:hAnsi="Sylfaen" w:cs="Sylfaen"/>
        </w:rPr>
        <w:t>ბეტონის</w:t>
      </w:r>
      <w:r w:rsidRPr="001352AB">
        <w:t xml:space="preserve"> </w:t>
      </w:r>
      <w:r w:rsidRPr="001352AB">
        <w:rPr>
          <w:rFonts w:ascii="Sylfaen" w:hAnsi="Sylfaen" w:cs="Sylfaen"/>
        </w:rPr>
        <w:t>საფართან</w:t>
      </w:r>
      <w:r w:rsidRPr="001352AB">
        <w:t xml:space="preserve"> </w:t>
      </w:r>
      <w:r w:rsidRPr="001352AB">
        <w:rPr>
          <w:rFonts w:ascii="Sylfaen" w:hAnsi="Sylfaen" w:cs="Sylfaen"/>
        </w:rPr>
        <w:t>შედარებით</w:t>
      </w:r>
      <w:r w:rsidRPr="001352AB">
        <w:t>.)</w:t>
      </w:r>
    </w:p>
    <w:p w14:paraId="1A1809C1" w14:textId="77777777" w:rsidR="00CD64B5" w:rsidRPr="001352AB" w:rsidRDefault="00CD64B5" w:rsidP="00CD64B5">
      <w:pPr>
        <w:spacing w:before="120" w:after="120"/>
      </w:pPr>
      <w:r w:rsidRPr="001352AB">
        <w:rPr>
          <w:rFonts w:ascii="Sylfaen" w:hAnsi="Sylfaen" w:cs="Sylfaen"/>
        </w:rPr>
        <w:t>პროექტის</w:t>
      </w:r>
      <w:r w:rsidRPr="001352AB">
        <w:t xml:space="preserve"> </w:t>
      </w:r>
      <w:r w:rsidRPr="001352AB">
        <w:rPr>
          <w:rFonts w:ascii="Sylfaen" w:hAnsi="Sylfaen" w:cs="Sylfaen"/>
        </w:rPr>
        <w:t>თანახმად</w:t>
      </w:r>
      <w:r w:rsidRPr="001352AB">
        <w:t xml:space="preserve"> </w:t>
      </w:r>
      <w:r w:rsidRPr="001352AB">
        <w:rPr>
          <w:rFonts w:ascii="Sylfaen" w:hAnsi="Sylfaen" w:cs="Sylfaen"/>
        </w:rPr>
        <w:t>ბაკურციხე</w:t>
      </w:r>
      <w:r w:rsidRPr="001352AB">
        <w:t>-</w:t>
      </w:r>
      <w:r w:rsidRPr="001352AB">
        <w:rPr>
          <w:rFonts w:ascii="Sylfaen" w:hAnsi="Sylfaen" w:cs="Sylfaen"/>
        </w:rPr>
        <w:t>წნორი</w:t>
      </w:r>
      <w:r w:rsidRPr="001352AB">
        <w:t xml:space="preserve"> </w:t>
      </w:r>
      <w:r w:rsidRPr="001352AB">
        <w:rPr>
          <w:rFonts w:ascii="Sylfaen" w:hAnsi="Sylfaen" w:cs="Sylfaen"/>
        </w:rPr>
        <w:t>გზის</w:t>
      </w:r>
      <w:r w:rsidRPr="001352AB">
        <w:t xml:space="preserve"> </w:t>
      </w:r>
      <w:r w:rsidRPr="001352AB">
        <w:rPr>
          <w:rFonts w:ascii="Sylfaen" w:hAnsi="Sylfaen" w:cs="Sylfaen"/>
        </w:rPr>
        <w:t>მონაკვეთზე</w:t>
      </w:r>
      <w:r w:rsidRPr="001352AB">
        <w:t xml:space="preserve"> </w:t>
      </w:r>
      <w:r w:rsidRPr="001352AB">
        <w:rPr>
          <w:rFonts w:ascii="Sylfaen" w:hAnsi="Sylfaen" w:cs="Sylfaen"/>
        </w:rPr>
        <w:t>დაწესდება</w:t>
      </w:r>
      <w:r w:rsidRPr="001352AB">
        <w:t xml:space="preserve"> </w:t>
      </w:r>
      <w:r w:rsidRPr="001352AB">
        <w:rPr>
          <w:rFonts w:ascii="Sylfaen" w:hAnsi="Sylfaen" w:cs="Sylfaen"/>
        </w:rPr>
        <w:t>მოძრაობის</w:t>
      </w:r>
      <w:r w:rsidRPr="001352AB">
        <w:t xml:space="preserve"> </w:t>
      </w:r>
      <w:r w:rsidRPr="001352AB">
        <w:rPr>
          <w:rFonts w:ascii="Sylfaen" w:hAnsi="Sylfaen" w:cs="Sylfaen"/>
        </w:rPr>
        <w:t>სიჩქარის</w:t>
      </w:r>
      <w:r w:rsidRPr="001352AB">
        <w:t xml:space="preserve"> </w:t>
      </w:r>
      <w:r w:rsidRPr="001352AB">
        <w:rPr>
          <w:rFonts w:ascii="Sylfaen" w:hAnsi="Sylfaen" w:cs="Sylfaen"/>
        </w:rPr>
        <w:t>შეზღუდვა</w:t>
      </w:r>
      <w:r w:rsidRPr="001352AB">
        <w:t xml:space="preserve"> 80</w:t>
      </w:r>
      <w:r w:rsidRPr="001352AB">
        <w:rPr>
          <w:rFonts w:ascii="Sylfaen" w:hAnsi="Sylfaen" w:cs="Sylfaen"/>
        </w:rPr>
        <w:t>კმ</w:t>
      </w:r>
      <w:r w:rsidRPr="001352AB">
        <w:t>/</w:t>
      </w:r>
      <w:r w:rsidRPr="001352AB">
        <w:rPr>
          <w:rFonts w:ascii="Sylfaen" w:hAnsi="Sylfaen" w:cs="Sylfaen"/>
        </w:rPr>
        <w:t>ს</w:t>
      </w:r>
      <w:r w:rsidRPr="001352AB">
        <w:t xml:space="preserve">- </w:t>
      </w:r>
      <w:r w:rsidRPr="001352AB">
        <w:rPr>
          <w:rFonts w:ascii="Sylfaen" w:hAnsi="Sylfaen" w:cs="Sylfaen"/>
        </w:rPr>
        <w:t>გორაკიან</w:t>
      </w:r>
      <w:r w:rsidRPr="001352AB">
        <w:t xml:space="preserve"> </w:t>
      </w:r>
      <w:r w:rsidRPr="001352AB">
        <w:rPr>
          <w:rFonts w:ascii="Sylfaen" w:hAnsi="Sylfaen" w:cs="Sylfaen"/>
        </w:rPr>
        <w:t>რელიეფზე</w:t>
      </w:r>
      <w:r w:rsidRPr="001352AB">
        <w:t>.</w:t>
      </w:r>
    </w:p>
    <w:p w14:paraId="273B03D6" w14:textId="77777777" w:rsidR="00CD64B5" w:rsidRPr="001352AB" w:rsidRDefault="00CD64B5" w:rsidP="00CD64B5">
      <w:pPr>
        <w:spacing w:before="120" w:after="120"/>
      </w:pPr>
      <w:r w:rsidRPr="001352AB">
        <w:rPr>
          <w:rFonts w:ascii="Sylfaen" w:hAnsi="Sylfaen" w:cs="Sylfaen"/>
        </w:rPr>
        <w:t>ხმაურის</w:t>
      </w:r>
      <w:r w:rsidRPr="001352AB">
        <w:t xml:space="preserve"> </w:t>
      </w:r>
      <w:r w:rsidRPr="001352AB">
        <w:rPr>
          <w:rFonts w:ascii="Sylfaen" w:hAnsi="Sylfaen" w:cs="Sylfaen"/>
        </w:rPr>
        <w:t>გაზრდილი</w:t>
      </w:r>
      <w:r w:rsidRPr="001352AB">
        <w:t xml:space="preserve"> </w:t>
      </w:r>
      <w:r w:rsidRPr="001352AB">
        <w:rPr>
          <w:rFonts w:ascii="Sylfaen" w:hAnsi="Sylfaen" w:cs="Sylfaen"/>
        </w:rPr>
        <w:t>დონის</w:t>
      </w:r>
      <w:r w:rsidRPr="001352AB">
        <w:t xml:space="preserve"> </w:t>
      </w:r>
      <w:r w:rsidRPr="001352AB">
        <w:rPr>
          <w:rFonts w:ascii="Sylfaen" w:hAnsi="Sylfaen" w:cs="Sylfaen"/>
        </w:rPr>
        <w:t>და</w:t>
      </w:r>
      <w:r w:rsidRPr="001352AB">
        <w:t xml:space="preserve"> </w:t>
      </w:r>
      <w:r w:rsidRPr="001352AB">
        <w:rPr>
          <w:rFonts w:ascii="Sylfaen" w:hAnsi="Sylfaen" w:cs="Sylfaen"/>
        </w:rPr>
        <w:t>გზის</w:t>
      </w:r>
      <w:r w:rsidRPr="001352AB">
        <w:t xml:space="preserve"> </w:t>
      </w:r>
      <w:r w:rsidRPr="001352AB">
        <w:rPr>
          <w:rFonts w:ascii="Sylfaen" w:hAnsi="Sylfaen" w:cs="Sylfaen"/>
        </w:rPr>
        <w:t>მახლობლად</w:t>
      </w:r>
      <w:r w:rsidRPr="001352AB">
        <w:t xml:space="preserve"> </w:t>
      </w:r>
      <w:r w:rsidRPr="001352AB">
        <w:rPr>
          <w:rFonts w:ascii="Sylfaen" w:hAnsi="Sylfaen" w:cs="Sylfaen"/>
        </w:rPr>
        <w:t>მცხოვრებ</w:t>
      </w:r>
      <w:r w:rsidRPr="001352AB">
        <w:t xml:space="preserve"> </w:t>
      </w:r>
      <w:r w:rsidRPr="001352AB">
        <w:rPr>
          <w:rFonts w:ascii="Sylfaen" w:hAnsi="Sylfaen" w:cs="Sylfaen"/>
        </w:rPr>
        <w:t>მოსახლეობაზე</w:t>
      </w:r>
      <w:r w:rsidRPr="001352AB">
        <w:t xml:space="preserve"> </w:t>
      </w:r>
      <w:r w:rsidRPr="001352AB">
        <w:rPr>
          <w:rFonts w:ascii="Sylfaen" w:hAnsi="Sylfaen" w:cs="Sylfaen"/>
        </w:rPr>
        <w:t>ხმაურით</w:t>
      </w:r>
      <w:r w:rsidRPr="001352AB">
        <w:t xml:space="preserve"> </w:t>
      </w:r>
      <w:r w:rsidRPr="001352AB">
        <w:rPr>
          <w:rFonts w:ascii="Sylfaen" w:hAnsi="Sylfaen" w:cs="Sylfaen"/>
        </w:rPr>
        <w:t>გამოწვეული</w:t>
      </w:r>
      <w:r w:rsidRPr="001352AB">
        <w:t xml:space="preserve"> </w:t>
      </w:r>
      <w:r w:rsidRPr="001352AB">
        <w:rPr>
          <w:rFonts w:ascii="Sylfaen" w:hAnsi="Sylfaen" w:cs="Sylfaen"/>
        </w:rPr>
        <w:t>შესაძლო</w:t>
      </w:r>
      <w:r w:rsidRPr="001352AB">
        <w:t xml:space="preserve"> </w:t>
      </w:r>
      <w:r w:rsidRPr="001352AB">
        <w:rPr>
          <w:rFonts w:ascii="Sylfaen" w:hAnsi="Sylfaen" w:cs="Sylfaen"/>
        </w:rPr>
        <w:t>ნეგატიური</w:t>
      </w:r>
      <w:r w:rsidRPr="001352AB">
        <w:t xml:space="preserve"> </w:t>
      </w:r>
      <w:r w:rsidRPr="001352AB">
        <w:rPr>
          <w:rFonts w:ascii="Sylfaen" w:hAnsi="Sylfaen" w:cs="Sylfaen"/>
        </w:rPr>
        <w:t>ზემოქმედების</w:t>
      </w:r>
      <w:r w:rsidRPr="001352AB">
        <w:t xml:space="preserve"> </w:t>
      </w:r>
      <w:r w:rsidRPr="001352AB">
        <w:rPr>
          <w:rFonts w:ascii="Sylfaen" w:hAnsi="Sylfaen" w:cs="Sylfaen"/>
        </w:rPr>
        <w:t>შესაფასებლად</w:t>
      </w:r>
      <w:r w:rsidRPr="001352AB">
        <w:t xml:space="preserve"> </w:t>
      </w:r>
      <w:r w:rsidRPr="001352AB">
        <w:rPr>
          <w:rFonts w:ascii="Sylfaen" w:hAnsi="Sylfaen" w:cs="Sylfaen"/>
        </w:rPr>
        <w:t>ჩატარდა</w:t>
      </w:r>
      <w:r w:rsidRPr="001352AB">
        <w:t xml:space="preserve"> </w:t>
      </w:r>
      <w:r w:rsidRPr="001352AB">
        <w:rPr>
          <w:rFonts w:ascii="Sylfaen" w:hAnsi="Sylfaen" w:cs="Sylfaen"/>
        </w:rPr>
        <w:t>ხმაურის</w:t>
      </w:r>
      <w:r w:rsidRPr="001352AB">
        <w:t xml:space="preserve"> </w:t>
      </w:r>
      <w:r w:rsidRPr="001352AB">
        <w:rPr>
          <w:rFonts w:ascii="Sylfaen" w:hAnsi="Sylfaen" w:cs="Sylfaen"/>
        </w:rPr>
        <w:t>დისპერსიის</w:t>
      </w:r>
      <w:r w:rsidRPr="001352AB">
        <w:t xml:space="preserve"> </w:t>
      </w:r>
      <w:r w:rsidRPr="001352AB">
        <w:rPr>
          <w:rFonts w:ascii="Sylfaen" w:hAnsi="Sylfaen" w:cs="Sylfaen"/>
        </w:rPr>
        <w:t>გრძელვადიანი</w:t>
      </w:r>
      <w:r w:rsidRPr="001352AB">
        <w:t xml:space="preserve"> </w:t>
      </w:r>
      <w:r w:rsidRPr="001352AB">
        <w:rPr>
          <w:rFonts w:ascii="Sylfaen" w:hAnsi="Sylfaen" w:cs="Sylfaen"/>
        </w:rPr>
        <w:t>მოდელირება</w:t>
      </w:r>
      <w:r w:rsidRPr="001352AB">
        <w:t xml:space="preserve">. </w:t>
      </w:r>
      <w:r w:rsidRPr="001352AB">
        <w:rPr>
          <w:rFonts w:ascii="Sylfaen" w:hAnsi="Sylfaen" w:cs="Sylfaen"/>
        </w:rPr>
        <w:t>ხმაურის</w:t>
      </w:r>
      <w:r w:rsidRPr="001352AB">
        <w:t xml:space="preserve"> </w:t>
      </w:r>
      <w:r w:rsidRPr="001352AB">
        <w:rPr>
          <w:rFonts w:ascii="Sylfaen" w:hAnsi="Sylfaen" w:cs="Sylfaen"/>
        </w:rPr>
        <w:t>მოდელირება</w:t>
      </w:r>
      <w:r w:rsidRPr="001352AB">
        <w:t xml:space="preserve"> </w:t>
      </w:r>
      <w:r w:rsidRPr="001352AB">
        <w:rPr>
          <w:rFonts w:ascii="Sylfaen" w:hAnsi="Sylfaen" w:cs="Sylfaen"/>
        </w:rPr>
        <w:t>მოხდა</w:t>
      </w:r>
      <w:r w:rsidRPr="001352AB">
        <w:t xml:space="preserve"> </w:t>
      </w:r>
      <w:r w:rsidRPr="001352AB">
        <w:rPr>
          <w:rFonts w:ascii="Sylfaen" w:hAnsi="Sylfaen" w:cs="Sylfaen"/>
        </w:rPr>
        <w:t>სატრანსპორტო</w:t>
      </w:r>
      <w:r w:rsidRPr="001352AB">
        <w:t xml:space="preserve"> </w:t>
      </w:r>
      <w:r w:rsidRPr="001352AB">
        <w:rPr>
          <w:rFonts w:ascii="Sylfaen" w:hAnsi="Sylfaen" w:cs="Sylfaen"/>
        </w:rPr>
        <w:t>ნაკადის</w:t>
      </w:r>
      <w:r w:rsidRPr="001352AB">
        <w:t xml:space="preserve"> </w:t>
      </w:r>
      <w:r w:rsidRPr="001352AB">
        <w:rPr>
          <w:rFonts w:ascii="Sylfaen" w:hAnsi="Sylfaen" w:cs="Sylfaen"/>
        </w:rPr>
        <w:t>საპროგნოზო</w:t>
      </w:r>
      <w:r w:rsidRPr="001352AB">
        <w:t xml:space="preserve"> </w:t>
      </w:r>
      <w:r w:rsidRPr="001352AB">
        <w:rPr>
          <w:rFonts w:ascii="Sylfaen" w:hAnsi="Sylfaen" w:cs="Sylfaen"/>
        </w:rPr>
        <w:t>მონაცემების</w:t>
      </w:r>
      <w:r w:rsidRPr="001352AB">
        <w:t xml:space="preserve"> </w:t>
      </w:r>
      <w:r w:rsidRPr="001352AB">
        <w:rPr>
          <w:rFonts w:ascii="Sylfaen" w:hAnsi="Sylfaen" w:cs="Sylfaen"/>
        </w:rPr>
        <w:t>საფუძველზე</w:t>
      </w:r>
      <w:r w:rsidRPr="001352AB">
        <w:t xml:space="preserve">. </w:t>
      </w:r>
    </w:p>
    <w:p w14:paraId="1E0EF09A" w14:textId="77777777" w:rsidR="00CD64B5" w:rsidRPr="001352AB" w:rsidRDefault="00CD64B5" w:rsidP="00CD64B5">
      <w:pPr>
        <w:spacing w:before="120" w:after="120"/>
      </w:pPr>
      <w:r w:rsidRPr="001352AB">
        <w:rPr>
          <w:rFonts w:ascii="Sylfaen" w:hAnsi="Sylfaen" w:cs="Sylfaen"/>
        </w:rPr>
        <w:t>ბაკურციხე</w:t>
      </w:r>
      <w:r w:rsidRPr="001352AB">
        <w:t>-</w:t>
      </w:r>
      <w:r w:rsidRPr="001352AB">
        <w:rPr>
          <w:rFonts w:ascii="Sylfaen" w:hAnsi="Sylfaen" w:cs="Sylfaen"/>
        </w:rPr>
        <w:t>წნორის</w:t>
      </w:r>
      <w:r w:rsidRPr="001352AB">
        <w:t xml:space="preserve"> </w:t>
      </w:r>
      <w:r w:rsidRPr="001352AB">
        <w:rPr>
          <w:rFonts w:ascii="Sylfaen" w:hAnsi="Sylfaen" w:cs="Sylfaen"/>
        </w:rPr>
        <w:t>გზა</w:t>
      </w:r>
      <w:r w:rsidRPr="001352AB">
        <w:t xml:space="preserve"> </w:t>
      </w:r>
      <w:r w:rsidRPr="001352AB">
        <w:rPr>
          <w:rFonts w:ascii="Sylfaen" w:hAnsi="Sylfaen" w:cs="Sylfaen"/>
        </w:rPr>
        <w:t>გვერდს</w:t>
      </w:r>
      <w:r w:rsidRPr="001352AB">
        <w:t xml:space="preserve"> </w:t>
      </w:r>
      <w:r w:rsidRPr="001352AB">
        <w:rPr>
          <w:rFonts w:ascii="Sylfaen" w:hAnsi="Sylfaen" w:cs="Sylfaen"/>
        </w:rPr>
        <w:t>უვლის</w:t>
      </w:r>
      <w:r w:rsidRPr="001352AB">
        <w:t xml:space="preserve"> </w:t>
      </w:r>
      <w:r w:rsidRPr="001352AB">
        <w:rPr>
          <w:rFonts w:ascii="Sylfaen" w:hAnsi="Sylfaen" w:cs="Sylfaen"/>
        </w:rPr>
        <w:t>დასახლებულ</w:t>
      </w:r>
      <w:r w:rsidRPr="001352AB">
        <w:t xml:space="preserve"> </w:t>
      </w:r>
      <w:r w:rsidRPr="001352AB">
        <w:rPr>
          <w:rFonts w:ascii="Sylfaen" w:hAnsi="Sylfaen" w:cs="Sylfaen"/>
        </w:rPr>
        <w:t>პუნქტებს</w:t>
      </w:r>
      <w:r w:rsidRPr="001352AB">
        <w:t xml:space="preserve"> </w:t>
      </w:r>
      <w:r w:rsidRPr="001352AB">
        <w:rPr>
          <w:rFonts w:ascii="Sylfaen" w:hAnsi="Sylfaen" w:cs="Sylfaen"/>
        </w:rPr>
        <w:t>და</w:t>
      </w:r>
      <w:r w:rsidRPr="001352AB">
        <w:t xml:space="preserve"> </w:t>
      </w:r>
      <w:r w:rsidRPr="001352AB">
        <w:rPr>
          <w:rFonts w:ascii="Sylfaen" w:hAnsi="Sylfaen" w:cs="Sylfaen"/>
        </w:rPr>
        <w:t>დაშორებულია</w:t>
      </w:r>
      <w:r w:rsidRPr="001352AB">
        <w:t xml:space="preserve"> </w:t>
      </w:r>
      <w:r w:rsidRPr="001352AB">
        <w:rPr>
          <w:rFonts w:ascii="Sylfaen" w:hAnsi="Sylfaen" w:cs="Sylfaen"/>
        </w:rPr>
        <w:t>საცხოვრებელი</w:t>
      </w:r>
      <w:r w:rsidRPr="001352AB">
        <w:t xml:space="preserve"> </w:t>
      </w:r>
      <w:r w:rsidRPr="001352AB">
        <w:rPr>
          <w:rFonts w:ascii="Sylfaen" w:hAnsi="Sylfaen" w:cs="Sylfaen"/>
        </w:rPr>
        <w:t>სახლებიდან</w:t>
      </w:r>
      <w:r w:rsidRPr="001352AB">
        <w:t xml:space="preserve"> (</w:t>
      </w:r>
      <w:r w:rsidRPr="001352AB">
        <w:rPr>
          <w:rFonts w:ascii="Sylfaen" w:hAnsi="Sylfaen" w:cs="Sylfaen"/>
        </w:rPr>
        <w:t>არ</w:t>
      </w:r>
      <w:r w:rsidRPr="001352AB">
        <w:t xml:space="preserve"> </w:t>
      </w:r>
      <w:r w:rsidRPr="001352AB">
        <w:rPr>
          <w:rFonts w:ascii="Sylfaen" w:hAnsi="Sylfaen" w:cs="Sylfaen"/>
        </w:rPr>
        <w:t>იგულისხმება</w:t>
      </w:r>
      <w:r w:rsidRPr="001352AB">
        <w:t xml:space="preserve"> </w:t>
      </w:r>
      <w:r w:rsidRPr="001352AB">
        <w:rPr>
          <w:rFonts w:ascii="Sylfaen" w:hAnsi="Sylfaen" w:cs="Sylfaen"/>
        </w:rPr>
        <w:t>განსახლებას</w:t>
      </w:r>
      <w:r w:rsidRPr="001352AB">
        <w:t xml:space="preserve"> </w:t>
      </w:r>
      <w:r w:rsidRPr="001352AB">
        <w:rPr>
          <w:rFonts w:ascii="Sylfaen" w:hAnsi="Sylfaen" w:cs="Sylfaen"/>
        </w:rPr>
        <w:t>დაქვემდებარებული</w:t>
      </w:r>
      <w:r w:rsidRPr="001352AB">
        <w:t xml:space="preserve"> </w:t>
      </w:r>
      <w:r w:rsidRPr="001352AB">
        <w:rPr>
          <w:rFonts w:ascii="Sylfaen" w:hAnsi="Sylfaen" w:cs="Sylfaen"/>
        </w:rPr>
        <w:t>რამდენიმე</w:t>
      </w:r>
      <w:r w:rsidRPr="001352AB">
        <w:t xml:space="preserve"> </w:t>
      </w:r>
      <w:r w:rsidRPr="001352AB">
        <w:rPr>
          <w:rFonts w:ascii="Sylfaen" w:hAnsi="Sylfaen" w:cs="Sylfaen"/>
        </w:rPr>
        <w:t>საცხოვრებელი</w:t>
      </w:r>
      <w:r w:rsidRPr="001352AB">
        <w:t xml:space="preserve"> </w:t>
      </w:r>
      <w:r w:rsidRPr="001352AB">
        <w:rPr>
          <w:rFonts w:ascii="Sylfaen" w:hAnsi="Sylfaen" w:cs="Sylfaen"/>
        </w:rPr>
        <w:t>სახლი</w:t>
      </w:r>
      <w:r w:rsidRPr="001352AB">
        <w:t xml:space="preserve">) </w:t>
      </w:r>
      <w:r w:rsidRPr="001352AB">
        <w:rPr>
          <w:rFonts w:ascii="Sylfaen" w:hAnsi="Sylfaen" w:cs="Sylfaen"/>
        </w:rPr>
        <w:t>ამიტომ</w:t>
      </w:r>
      <w:r w:rsidRPr="001352AB">
        <w:t xml:space="preserve">, </w:t>
      </w:r>
      <w:r w:rsidRPr="001352AB">
        <w:rPr>
          <w:rFonts w:ascii="Sylfaen" w:hAnsi="Sylfaen" w:cs="Sylfaen"/>
        </w:rPr>
        <w:t>როგორც</w:t>
      </w:r>
      <w:r w:rsidRPr="001352AB">
        <w:t xml:space="preserve"> </w:t>
      </w:r>
      <w:r w:rsidRPr="001352AB">
        <w:rPr>
          <w:rFonts w:ascii="Sylfaen" w:hAnsi="Sylfaen" w:cs="Sylfaen"/>
        </w:rPr>
        <w:t>შედეგებმა</w:t>
      </w:r>
      <w:r w:rsidRPr="001352AB">
        <w:t xml:space="preserve"> </w:t>
      </w:r>
      <w:r w:rsidRPr="001352AB">
        <w:rPr>
          <w:rFonts w:ascii="Sylfaen" w:hAnsi="Sylfaen" w:cs="Sylfaen"/>
        </w:rPr>
        <w:t>ცხადჰყო</w:t>
      </w:r>
      <w:r w:rsidRPr="001352AB">
        <w:t xml:space="preserve">, </w:t>
      </w:r>
      <w:r w:rsidRPr="001352AB">
        <w:rPr>
          <w:rFonts w:ascii="Sylfaen" w:hAnsi="Sylfaen" w:cs="Sylfaen"/>
        </w:rPr>
        <w:t>მომატებული</w:t>
      </w:r>
      <w:r w:rsidRPr="001352AB">
        <w:t xml:space="preserve"> </w:t>
      </w:r>
      <w:r w:rsidRPr="001352AB">
        <w:rPr>
          <w:rFonts w:ascii="Sylfaen" w:hAnsi="Sylfaen" w:cs="Sylfaen"/>
        </w:rPr>
        <w:t>ხმაური</w:t>
      </w:r>
      <w:r w:rsidRPr="001352AB">
        <w:t xml:space="preserve"> </w:t>
      </w:r>
      <w:r w:rsidRPr="001352AB">
        <w:rPr>
          <w:rFonts w:ascii="Sylfaen" w:hAnsi="Sylfaen" w:cs="Sylfaen"/>
        </w:rPr>
        <w:t>არ</w:t>
      </w:r>
      <w:r w:rsidRPr="001352AB">
        <w:t xml:space="preserve"> </w:t>
      </w:r>
      <w:r w:rsidRPr="001352AB">
        <w:rPr>
          <w:rFonts w:ascii="Sylfaen" w:hAnsi="Sylfaen" w:cs="Sylfaen"/>
        </w:rPr>
        <w:t>მოახდენს</w:t>
      </w:r>
      <w:r w:rsidRPr="001352AB">
        <w:t xml:space="preserve"> </w:t>
      </w:r>
      <w:r w:rsidRPr="001352AB">
        <w:rPr>
          <w:rFonts w:ascii="Sylfaen" w:hAnsi="Sylfaen" w:cs="Sylfaen"/>
        </w:rPr>
        <w:t>ზემოქმედებას</w:t>
      </w:r>
      <w:r w:rsidRPr="001352AB">
        <w:t xml:space="preserve"> </w:t>
      </w:r>
      <w:r w:rsidRPr="001352AB">
        <w:rPr>
          <w:rFonts w:ascii="Sylfaen" w:hAnsi="Sylfaen" w:cs="Sylfaen"/>
        </w:rPr>
        <w:t>ადგილობრივ</w:t>
      </w:r>
      <w:r w:rsidRPr="001352AB">
        <w:t xml:space="preserve"> </w:t>
      </w:r>
      <w:r w:rsidRPr="001352AB">
        <w:rPr>
          <w:rFonts w:ascii="Sylfaen" w:hAnsi="Sylfaen" w:cs="Sylfaen"/>
        </w:rPr>
        <w:t>თემზე</w:t>
      </w:r>
      <w:r w:rsidRPr="001352AB">
        <w:t xml:space="preserve">. </w:t>
      </w:r>
    </w:p>
    <w:p w14:paraId="3E30FED7" w14:textId="77777777" w:rsidR="00CD64B5" w:rsidRPr="001352AB" w:rsidRDefault="00CD64B5" w:rsidP="00CD64B5">
      <w:pPr>
        <w:spacing w:before="120" w:after="120"/>
      </w:pPr>
      <w:r w:rsidRPr="001352AB">
        <w:rPr>
          <w:rFonts w:ascii="Sylfaen" w:hAnsi="Sylfaen" w:cs="Sylfaen"/>
        </w:rPr>
        <w:t>თუმცა</w:t>
      </w:r>
      <w:r w:rsidRPr="001352AB">
        <w:t xml:space="preserve">, </w:t>
      </w:r>
      <w:r w:rsidRPr="001352AB">
        <w:rPr>
          <w:rFonts w:ascii="Sylfaen" w:hAnsi="Sylfaen" w:cs="Sylfaen"/>
        </w:rPr>
        <w:t>უნდა</w:t>
      </w:r>
      <w:r w:rsidRPr="001352AB">
        <w:t xml:space="preserve"> </w:t>
      </w:r>
      <w:r w:rsidRPr="001352AB">
        <w:rPr>
          <w:rFonts w:ascii="Sylfaen" w:hAnsi="Sylfaen" w:cs="Sylfaen"/>
        </w:rPr>
        <w:t>აღინიშნოს</w:t>
      </w:r>
      <w:r w:rsidRPr="001352AB">
        <w:t xml:space="preserve">, </w:t>
      </w:r>
      <w:r w:rsidRPr="001352AB">
        <w:rPr>
          <w:rFonts w:ascii="Sylfaen" w:hAnsi="Sylfaen" w:cs="Sylfaen"/>
        </w:rPr>
        <w:t>რომ</w:t>
      </w:r>
      <w:r w:rsidRPr="001352AB">
        <w:t xml:space="preserve"> </w:t>
      </w:r>
      <w:r w:rsidRPr="001352AB">
        <w:rPr>
          <w:rFonts w:ascii="Sylfaen" w:hAnsi="Sylfaen" w:cs="Sylfaen"/>
        </w:rPr>
        <w:t>ხმაურის</w:t>
      </w:r>
      <w:r w:rsidRPr="001352AB">
        <w:t xml:space="preserve"> </w:t>
      </w:r>
      <w:r w:rsidRPr="001352AB">
        <w:rPr>
          <w:rFonts w:ascii="Sylfaen" w:hAnsi="Sylfaen" w:cs="Sylfaen"/>
        </w:rPr>
        <w:t>დისპერსიის</w:t>
      </w:r>
      <w:r w:rsidRPr="001352AB">
        <w:t xml:space="preserve"> </w:t>
      </w:r>
      <w:r w:rsidRPr="001352AB">
        <w:rPr>
          <w:rFonts w:ascii="Sylfaen" w:hAnsi="Sylfaen" w:cs="Sylfaen"/>
        </w:rPr>
        <w:t>გრძელვადიანი</w:t>
      </w:r>
      <w:r w:rsidRPr="001352AB">
        <w:t xml:space="preserve"> </w:t>
      </w:r>
      <w:r w:rsidRPr="001352AB">
        <w:rPr>
          <w:rFonts w:ascii="Sylfaen" w:hAnsi="Sylfaen" w:cs="Sylfaen"/>
        </w:rPr>
        <w:t>პროგნოზი</w:t>
      </w:r>
      <w:r w:rsidRPr="001352AB">
        <w:t xml:space="preserve"> </w:t>
      </w:r>
      <w:r w:rsidRPr="001352AB">
        <w:rPr>
          <w:rFonts w:ascii="Sylfaen" w:hAnsi="Sylfaen" w:cs="Sylfaen"/>
        </w:rPr>
        <w:t>შეიძლება</w:t>
      </w:r>
      <w:r w:rsidRPr="001352AB">
        <w:t xml:space="preserve"> </w:t>
      </w:r>
      <w:r w:rsidRPr="001352AB">
        <w:rPr>
          <w:rFonts w:ascii="Sylfaen" w:hAnsi="Sylfaen" w:cs="Sylfaen"/>
        </w:rPr>
        <w:t>არ</w:t>
      </w:r>
      <w:r w:rsidRPr="001352AB">
        <w:t xml:space="preserve"> </w:t>
      </w:r>
      <w:r w:rsidRPr="001352AB">
        <w:rPr>
          <w:rFonts w:ascii="Sylfaen" w:hAnsi="Sylfaen" w:cs="Sylfaen"/>
        </w:rPr>
        <w:t>იყოს</w:t>
      </w:r>
      <w:r w:rsidRPr="001352AB">
        <w:t xml:space="preserve"> </w:t>
      </w:r>
      <w:r w:rsidRPr="001352AB">
        <w:rPr>
          <w:rFonts w:ascii="Sylfaen" w:hAnsi="Sylfaen" w:cs="Sylfaen"/>
        </w:rPr>
        <w:t>ზუსტი</w:t>
      </w:r>
      <w:r w:rsidRPr="001352AB">
        <w:t xml:space="preserve"> </w:t>
      </w:r>
      <w:r w:rsidRPr="001352AB">
        <w:rPr>
          <w:rFonts w:ascii="Sylfaen" w:hAnsi="Sylfaen" w:cs="Sylfaen"/>
        </w:rPr>
        <w:t>ვინაიდან</w:t>
      </w:r>
      <w:r w:rsidRPr="001352AB">
        <w:t xml:space="preserve"> </w:t>
      </w:r>
      <w:r w:rsidRPr="001352AB">
        <w:rPr>
          <w:rFonts w:ascii="Sylfaen" w:hAnsi="Sylfaen" w:cs="Sylfaen"/>
        </w:rPr>
        <w:t>ყველა</w:t>
      </w:r>
      <w:r w:rsidRPr="001352AB">
        <w:t xml:space="preserve"> </w:t>
      </w:r>
      <w:r w:rsidRPr="001352AB">
        <w:rPr>
          <w:rFonts w:ascii="Sylfaen" w:hAnsi="Sylfaen" w:cs="Sylfaen"/>
        </w:rPr>
        <w:t>ზემოქმედების</w:t>
      </w:r>
      <w:r w:rsidRPr="001352AB">
        <w:t xml:space="preserve"> </w:t>
      </w:r>
      <w:r w:rsidRPr="001352AB">
        <w:rPr>
          <w:rFonts w:ascii="Sylfaen" w:hAnsi="Sylfaen" w:cs="Sylfaen"/>
        </w:rPr>
        <w:t>ფაქტორის</w:t>
      </w:r>
      <w:r w:rsidRPr="001352AB">
        <w:t xml:space="preserve"> </w:t>
      </w:r>
      <w:r w:rsidRPr="001352AB">
        <w:rPr>
          <w:rFonts w:ascii="Sylfaen" w:hAnsi="Sylfaen" w:cs="Sylfaen"/>
        </w:rPr>
        <w:t>წინასწარ</w:t>
      </w:r>
      <w:r w:rsidRPr="001352AB">
        <w:t xml:space="preserve"> </w:t>
      </w:r>
      <w:r w:rsidRPr="001352AB">
        <w:rPr>
          <w:rFonts w:ascii="Sylfaen" w:hAnsi="Sylfaen" w:cs="Sylfaen"/>
        </w:rPr>
        <w:t>განჭვრეტა</w:t>
      </w:r>
      <w:r w:rsidRPr="001352AB">
        <w:t xml:space="preserve"> </w:t>
      </w:r>
      <w:r w:rsidRPr="001352AB">
        <w:rPr>
          <w:rFonts w:ascii="Sylfaen" w:hAnsi="Sylfaen" w:cs="Sylfaen"/>
        </w:rPr>
        <w:t>რთულია</w:t>
      </w:r>
      <w:r w:rsidRPr="001352AB">
        <w:t xml:space="preserve">. </w:t>
      </w:r>
      <w:r w:rsidRPr="001352AB">
        <w:rPr>
          <w:rFonts w:ascii="Sylfaen" w:hAnsi="Sylfaen" w:cs="Sylfaen"/>
        </w:rPr>
        <w:t>მაგალითად</w:t>
      </w:r>
      <w:r w:rsidRPr="001352AB">
        <w:t xml:space="preserve">, </w:t>
      </w:r>
      <w:r w:rsidRPr="001352AB">
        <w:rPr>
          <w:rFonts w:ascii="Sylfaen" w:hAnsi="Sylfaen" w:cs="Sylfaen"/>
        </w:rPr>
        <w:t>გათვლები</w:t>
      </w:r>
      <w:r w:rsidRPr="001352AB">
        <w:t xml:space="preserve"> </w:t>
      </w:r>
      <w:r w:rsidRPr="001352AB">
        <w:rPr>
          <w:rFonts w:ascii="Sylfaen" w:hAnsi="Sylfaen" w:cs="Sylfaen"/>
        </w:rPr>
        <w:t>განხორციელდა</w:t>
      </w:r>
      <w:r w:rsidRPr="001352AB">
        <w:t xml:space="preserve"> </w:t>
      </w:r>
      <w:r w:rsidRPr="001352AB">
        <w:rPr>
          <w:rFonts w:ascii="Sylfaen" w:hAnsi="Sylfaen" w:cs="Sylfaen"/>
        </w:rPr>
        <w:t>ამჟამად</w:t>
      </w:r>
      <w:r w:rsidRPr="001352AB">
        <w:t xml:space="preserve"> </w:t>
      </w:r>
      <w:r w:rsidRPr="001352AB">
        <w:rPr>
          <w:rFonts w:ascii="Sylfaen" w:hAnsi="Sylfaen" w:cs="Sylfaen"/>
        </w:rPr>
        <w:t>არსებული</w:t>
      </w:r>
      <w:r w:rsidRPr="001352AB">
        <w:t xml:space="preserve"> </w:t>
      </w:r>
      <w:r w:rsidRPr="001352AB">
        <w:rPr>
          <w:rFonts w:ascii="Sylfaen" w:hAnsi="Sylfaen" w:cs="Sylfaen"/>
        </w:rPr>
        <w:t>საავტომობილო</w:t>
      </w:r>
      <w:r w:rsidRPr="001352AB">
        <w:t xml:space="preserve"> </w:t>
      </w:r>
      <w:r w:rsidRPr="001352AB">
        <w:rPr>
          <w:rFonts w:ascii="Sylfaen" w:hAnsi="Sylfaen" w:cs="Sylfaen"/>
        </w:rPr>
        <w:t>პარკის</w:t>
      </w:r>
      <w:r w:rsidRPr="001352AB">
        <w:t xml:space="preserve"> </w:t>
      </w:r>
      <w:r w:rsidRPr="001352AB">
        <w:rPr>
          <w:rFonts w:ascii="Sylfaen" w:hAnsi="Sylfaen" w:cs="Sylfaen"/>
        </w:rPr>
        <w:t>ხმაურის</w:t>
      </w:r>
      <w:r w:rsidRPr="001352AB">
        <w:t xml:space="preserve"> </w:t>
      </w:r>
      <w:r w:rsidRPr="001352AB">
        <w:rPr>
          <w:rFonts w:ascii="Sylfaen" w:hAnsi="Sylfaen" w:cs="Sylfaen"/>
        </w:rPr>
        <w:t>ემისიის</w:t>
      </w:r>
      <w:r w:rsidRPr="001352AB">
        <w:t xml:space="preserve"> </w:t>
      </w:r>
      <w:r w:rsidRPr="001352AB">
        <w:rPr>
          <w:rFonts w:ascii="Sylfaen" w:hAnsi="Sylfaen" w:cs="Sylfaen"/>
        </w:rPr>
        <w:t>ფაქტორის</w:t>
      </w:r>
      <w:r w:rsidRPr="001352AB">
        <w:t xml:space="preserve"> </w:t>
      </w:r>
      <w:r w:rsidRPr="001352AB">
        <w:rPr>
          <w:rFonts w:ascii="Sylfaen" w:hAnsi="Sylfaen" w:cs="Sylfaen"/>
        </w:rPr>
        <w:t>გათვალისწინებით</w:t>
      </w:r>
      <w:r w:rsidRPr="001352AB">
        <w:t xml:space="preserve">. </w:t>
      </w:r>
      <w:r w:rsidRPr="001352AB">
        <w:rPr>
          <w:rFonts w:ascii="Sylfaen" w:hAnsi="Sylfaen" w:cs="Sylfaen"/>
        </w:rPr>
        <w:t>ცხადია</w:t>
      </w:r>
      <w:r w:rsidRPr="001352AB">
        <w:t xml:space="preserve">, </w:t>
      </w:r>
      <w:r w:rsidRPr="001352AB">
        <w:rPr>
          <w:rFonts w:ascii="Sylfaen" w:hAnsi="Sylfaen" w:cs="Sylfaen"/>
        </w:rPr>
        <w:t>საპროგნოზო</w:t>
      </w:r>
      <w:r w:rsidRPr="001352AB">
        <w:t xml:space="preserve"> </w:t>
      </w:r>
      <w:r w:rsidRPr="001352AB">
        <w:rPr>
          <w:rFonts w:ascii="Sylfaen" w:hAnsi="Sylfaen" w:cs="Sylfaen"/>
        </w:rPr>
        <w:t>პერიოდში</w:t>
      </w:r>
      <w:r w:rsidRPr="001352AB">
        <w:t xml:space="preserve"> </w:t>
      </w:r>
      <w:r w:rsidRPr="001352AB">
        <w:rPr>
          <w:rFonts w:ascii="Sylfaen" w:hAnsi="Sylfaen" w:cs="Sylfaen"/>
        </w:rPr>
        <w:t>საქართველოს</w:t>
      </w:r>
      <w:r w:rsidRPr="001352AB">
        <w:t xml:space="preserve"> </w:t>
      </w:r>
      <w:r w:rsidRPr="001352AB">
        <w:rPr>
          <w:rFonts w:ascii="Sylfaen" w:hAnsi="Sylfaen" w:cs="Sylfaen"/>
        </w:rPr>
        <w:t>ეკონომიკაში</w:t>
      </w:r>
      <w:r w:rsidRPr="001352AB">
        <w:t xml:space="preserve"> </w:t>
      </w:r>
      <w:r w:rsidRPr="001352AB">
        <w:rPr>
          <w:rFonts w:ascii="Sylfaen" w:hAnsi="Sylfaen" w:cs="Sylfaen"/>
        </w:rPr>
        <w:t>პოზიტიური</w:t>
      </w:r>
      <w:r w:rsidRPr="001352AB">
        <w:t xml:space="preserve"> </w:t>
      </w:r>
      <w:r w:rsidRPr="001352AB">
        <w:rPr>
          <w:rFonts w:ascii="Sylfaen" w:hAnsi="Sylfaen" w:cs="Sylfaen"/>
        </w:rPr>
        <w:t>ცვლილებები</w:t>
      </w:r>
      <w:r w:rsidRPr="001352AB">
        <w:t xml:space="preserve"> </w:t>
      </w:r>
      <w:r w:rsidRPr="001352AB">
        <w:rPr>
          <w:rFonts w:ascii="Sylfaen" w:hAnsi="Sylfaen" w:cs="Sylfaen"/>
        </w:rPr>
        <w:t>მოხდება</w:t>
      </w:r>
      <w:r w:rsidRPr="001352AB">
        <w:t xml:space="preserve">, </w:t>
      </w:r>
      <w:r w:rsidRPr="001352AB">
        <w:rPr>
          <w:rFonts w:ascii="Sylfaen" w:hAnsi="Sylfaen" w:cs="Sylfaen"/>
        </w:rPr>
        <w:t>შესაბამისად</w:t>
      </w:r>
      <w:r w:rsidRPr="001352AB">
        <w:t xml:space="preserve"> </w:t>
      </w:r>
      <w:r w:rsidRPr="001352AB">
        <w:rPr>
          <w:rFonts w:ascii="Sylfaen" w:hAnsi="Sylfaen" w:cs="Sylfaen"/>
        </w:rPr>
        <w:t>გაიზრდება</w:t>
      </w:r>
      <w:r w:rsidRPr="001352AB">
        <w:t xml:space="preserve"> </w:t>
      </w:r>
      <w:r w:rsidRPr="001352AB">
        <w:rPr>
          <w:rFonts w:ascii="Sylfaen" w:hAnsi="Sylfaen" w:cs="Sylfaen"/>
        </w:rPr>
        <w:t>ახალი</w:t>
      </w:r>
      <w:r w:rsidRPr="001352AB">
        <w:t xml:space="preserve"> </w:t>
      </w:r>
      <w:r w:rsidRPr="001352AB">
        <w:rPr>
          <w:rFonts w:ascii="Sylfaen" w:hAnsi="Sylfaen" w:cs="Sylfaen"/>
        </w:rPr>
        <w:t>მანქანების</w:t>
      </w:r>
      <w:r w:rsidRPr="001352AB">
        <w:t xml:space="preserve"> </w:t>
      </w:r>
      <w:r w:rsidRPr="001352AB">
        <w:rPr>
          <w:rFonts w:ascii="Sylfaen" w:hAnsi="Sylfaen" w:cs="Sylfaen"/>
        </w:rPr>
        <w:t>პროცენტული</w:t>
      </w:r>
      <w:r w:rsidRPr="001352AB">
        <w:t xml:space="preserve"> </w:t>
      </w:r>
      <w:r w:rsidRPr="001352AB">
        <w:rPr>
          <w:rFonts w:ascii="Sylfaen" w:hAnsi="Sylfaen" w:cs="Sylfaen"/>
        </w:rPr>
        <w:t>წილი</w:t>
      </w:r>
      <w:r w:rsidRPr="001352AB">
        <w:t xml:space="preserve"> </w:t>
      </w:r>
      <w:r w:rsidRPr="001352AB">
        <w:rPr>
          <w:rFonts w:ascii="Sylfaen" w:hAnsi="Sylfaen" w:cs="Sylfaen"/>
        </w:rPr>
        <w:t>და</w:t>
      </w:r>
      <w:r w:rsidRPr="001352AB">
        <w:t xml:space="preserve"> </w:t>
      </w:r>
      <w:r w:rsidRPr="001352AB">
        <w:rPr>
          <w:rFonts w:ascii="Sylfaen" w:hAnsi="Sylfaen" w:cs="Sylfaen"/>
        </w:rPr>
        <w:t>შემცირდება</w:t>
      </w:r>
      <w:r w:rsidRPr="001352AB">
        <w:t xml:space="preserve"> </w:t>
      </w:r>
      <w:r w:rsidRPr="001352AB">
        <w:rPr>
          <w:rFonts w:ascii="Sylfaen" w:hAnsi="Sylfaen" w:cs="Sylfaen"/>
        </w:rPr>
        <w:t>მათ</w:t>
      </w:r>
      <w:r w:rsidRPr="001352AB">
        <w:t xml:space="preserve"> </w:t>
      </w:r>
      <w:r w:rsidRPr="001352AB">
        <w:rPr>
          <w:rFonts w:ascii="Sylfaen" w:hAnsi="Sylfaen" w:cs="Sylfaen"/>
        </w:rPr>
        <w:t>მიერ</w:t>
      </w:r>
      <w:r w:rsidRPr="001352AB">
        <w:t xml:space="preserve"> </w:t>
      </w:r>
      <w:r w:rsidRPr="001352AB">
        <w:rPr>
          <w:rFonts w:ascii="Sylfaen" w:hAnsi="Sylfaen" w:cs="Sylfaen"/>
        </w:rPr>
        <w:t>გამოწვეული</w:t>
      </w:r>
      <w:r w:rsidRPr="001352AB">
        <w:t xml:space="preserve"> </w:t>
      </w:r>
      <w:r w:rsidRPr="001352AB">
        <w:rPr>
          <w:rFonts w:ascii="Sylfaen" w:hAnsi="Sylfaen" w:cs="Sylfaen"/>
        </w:rPr>
        <w:t>ხმაურის</w:t>
      </w:r>
      <w:r w:rsidRPr="001352AB">
        <w:t xml:space="preserve"> </w:t>
      </w:r>
      <w:r w:rsidRPr="001352AB">
        <w:rPr>
          <w:rFonts w:ascii="Sylfaen" w:hAnsi="Sylfaen" w:cs="Sylfaen"/>
        </w:rPr>
        <w:t>დონეები</w:t>
      </w:r>
      <w:r w:rsidRPr="001352AB">
        <w:t>.</w:t>
      </w:r>
    </w:p>
    <w:p w14:paraId="78AD4F1A" w14:textId="77777777" w:rsidR="00CD64B5" w:rsidRPr="001352AB" w:rsidRDefault="00CD64B5" w:rsidP="00CD64B5">
      <w:pPr>
        <w:spacing w:before="120" w:after="120"/>
      </w:pPr>
    </w:p>
    <w:p w14:paraId="2BC07FD9" w14:textId="77777777" w:rsidR="00CD64B5" w:rsidRPr="00CD64B5" w:rsidRDefault="00CD64B5" w:rsidP="00CD64B5">
      <w:pPr>
        <w:spacing w:before="120" w:after="120"/>
        <w:rPr>
          <w:b/>
          <w:lang w:eastAsia="en-GB"/>
        </w:rPr>
      </w:pPr>
      <w:bookmarkStart w:id="328" w:name="_Toc436571438"/>
      <w:bookmarkStart w:id="329" w:name="_Toc436593977"/>
      <w:r w:rsidRPr="00CD64B5">
        <w:rPr>
          <w:rFonts w:ascii="Sylfaen" w:hAnsi="Sylfaen" w:cs="Sylfaen"/>
          <w:b/>
        </w:rPr>
        <w:t>შემარბილებელი</w:t>
      </w:r>
      <w:r w:rsidRPr="00CD64B5">
        <w:rPr>
          <w:b/>
        </w:rPr>
        <w:t xml:space="preserve"> </w:t>
      </w:r>
      <w:r w:rsidRPr="00CD64B5">
        <w:rPr>
          <w:rFonts w:ascii="Sylfaen" w:hAnsi="Sylfaen" w:cs="Sylfaen"/>
          <w:b/>
        </w:rPr>
        <w:t>ღონისძიებები</w:t>
      </w:r>
      <w:r w:rsidRPr="00CD64B5">
        <w:rPr>
          <w:b/>
        </w:rPr>
        <w:t xml:space="preserve"> - </w:t>
      </w:r>
      <w:r w:rsidRPr="00CD64B5">
        <w:rPr>
          <w:rFonts w:ascii="Sylfaen" w:hAnsi="Sylfaen" w:cs="Sylfaen"/>
          <w:b/>
        </w:rPr>
        <w:t>ექსპლუატაციის</w:t>
      </w:r>
      <w:r w:rsidRPr="00CD64B5">
        <w:rPr>
          <w:b/>
        </w:rPr>
        <w:t xml:space="preserve"> </w:t>
      </w:r>
      <w:r w:rsidRPr="00CD64B5">
        <w:rPr>
          <w:rFonts w:ascii="Sylfaen" w:hAnsi="Sylfaen" w:cs="Sylfaen"/>
          <w:b/>
        </w:rPr>
        <w:t>ფაზა</w:t>
      </w:r>
      <w:bookmarkEnd w:id="328"/>
      <w:bookmarkEnd w:id="329"/>
    </w:p>
    <w:p w14:paraId="12F574C9" w14:textId="77777777" w:rsidR="00CD64B5" w:rsidRPr="001352AB" w:rsidRDefault="00CD64B5" w:rsidP="00CD64B5">
      <w:pPr>
        <w:spacing w:before="120" w:after="120"/>
        <w:rPr>
          <w:lang w:eastAsia="da-DK"/>
        </w:rPr>
      </w:pPr>
      <w:r w:rsidRPr="001352AB">
        <w:rPr>
          <w:rFonts w:ascii="Sylfaen" w:hAnsi="Sylfaen" w:cs="Sylfaen"/>
        </w:rPr>
        <w:t>ექსპლუატაციის</w:t>
      </w:r>
      <w:r w:rsidRPr="001352AB">
        <w:t xml:space="preserve">  </w:t>
      </w:r>
      <w:r w:rsidRPr="001352AB">
        <w:rPr>
          <w:rFonts w:ascii="Sylfaen" w:hAnsi="Sylfaen" w:cs="Sylfaen"/>
        </w:rPr>
        <w:t>პროცესში</w:t>
      </w:r>
      <w:r w:rsidRPr="001352AB">
        <w:t xml:space="preserve"> </w:t>
      </w:r>
      <w:r w:rsidRPr="001352AB">
        <w:rPr>
          <w:rFonts w:ascii="Sylfaen" w:hAnsi="Sylfaen" w:cs="Sylfaen"/>
        </w:rPr>
        <w:t>ზემოქმედების</w:t>
      </w:r>
      <w:r w:rsidRPr="001352AB">
        <w:t xml:space="preserve"> </w:t>
      </w:r>
      <w:r w:rsidRPr="001352AB">
        <w:rPr>
          <w:rFonts w:ascii="Sylfaen" w:hAnsi="Sylfaen" w:cs="Sylfaen"/>
        </w:rPr>
        <w:t>შემცირების</w:t>
      </w:r>
      <w:r w:rsidRPr="001352AB">
        <w:t xml:space="preserve"> </w:t>
      </w:r>
      <w:r w:rsidRPr="001352AB">
        <w:rPr>
          <w:rFonts w:ascii="Sylfaen" w:hAnsi="Sylfaen" w:cs="Sylfaen"/>
        </w:rPr>
        <w:t>მიზნით</w:t>
      </w:r>
      <w:r w:rsidRPr="001352AB">
        <w:t xml:space="preserve"> </w:t>
      </w:r>
      <w:r w:rsidRPr="001352AB">
        <w:rPr>
          <w:rFonts w:ascii="Sylfaen" w:hAnsi="Sylfaen" w:cs="Sylfaen"/>
        </w:rPr>
        <w:t>გატარდება</w:t>
      </w:r>
      <w:r w:rsidRPr="001352AB">
        <w:t xml:space="preserve"> </w:t>
      </w:r>
      <w:r w:rsidRPr="001352AB">
        <w:rPr>
          <w:rFonts w:ascii="Sylfaen" w:hAnsi="Sylfaen" w:cs="Sylfaen"/>
        </w:rPr>
        <w:t>შემდეგი</w:t>
      </w:r>
      <w:r w:rsidRPr="001352AB">
        <w:t xml:space="preserve"> </w:t>
      </w:r>
      <w:r w:rsidRPr="001352AB">
        <w:rPr>
          <w:rFonts w:ascii="Sylfaen" w:hAnsi="Sylfaen" w:cs="Sylfaen"/>
        </w:rPr>
        <w:t>შამარბილებელი</w:t>
      </w:r>
      <w:r w:rsidRPr="001352AB">
        <w:t xml:space="preserve"> </w:t>
      </w:r>
      <w:r w:rsidRPr="001352AB">
        <w:rPr>
          <w:rFonts w:ascii="Sylfaen" w:hAnsi="Sylfaen" w:cs="Sylfaen"/>
        </w:rPr>
        <w:t>ღონისძიებები</w:t>
      </w:r>
      <w:r w:rsidRPr="001352AB">
        <w:t>:</w:t>
      </w:r>
    </w:p>
    <w:p w14:paraId="6D8E0B66" w14:textId="77777777" w:rsidR="00CD64B5" w:rsidRPr="001352AB" w:rsidRDefault="00CD64B5" w:rsidP="00CD64B5">
      <w:pPr>
        <w:spacing w:before="120" w:after="120"/>
      </w:pPr>
      <w:r w:rsidRPr="001352AB">
        <w:rPr>
          <w:rFonts w:ascii="Sylfaen" w:hAnsi="Sylfaen" w:cs="Sylfaen"/>
        </w:rPr>
        <w:t>გზის</w:t>
      </w:r>
      <w:r w:rsidRPr="001352AB">
        <w:t xml:space="preserve"> </w:t>
      </w:r>
      <w:r w:rsidRPr="001352AB">
        <w:rPr>
          <w:rFonts w:ascii="Sylfaen" w:hAnsi="Sylfaen" w:cs="Sylfaen"/>
        </w:rPr>
        <w:t>საფარს</w:t>
      </w:r>
      <w:r w:rsidRPr="001352AB">
        <w:t xml:space="preserve"> </w:t>
      </w:r>
      <w:r w:rsidRPr="001352AB">
        <w:rPr>
          <w:rFonts w:ascii="Sylfaen" w:hAnsi="Sylfaen" w:cs="Sylfaen"/>
        </w:rPr>
        <w:t>დროულად</w:t>
      </w:r>
      <w:r w:rsidRPr="001352AB">
        <w:t xml:space="preserve"> </w:t>
      </w:r>
      <w:r w:rsidRPr="001352AB">
        <w:rPr>
          <w:rFonts w:ascii="Sylfaen" w:hAnsi="Sylfaen" w:cs="Sylfaen"/>
        </w:rPr>
        <w:t>ჩაუტარდება</w:t>
      </w:r>
      <w:r w:rsidRPr="001352AB">
        <w:t xml:space="preserve"> </w:t>
      </w:r>
      <w:r w:rsidRPr="001352AB">
        <w:rPr>
          <w:rFonts w:ascii="Sylfaen" w:hAnsi="Sylfaen" w:cs="Sylfaen"/>
        </w:rPr>
        <w:t>რემონტი</w:t>
      </w:r>
    </w:p>
    <w:p w14:paraId="7D5833B9" w14:textId="77777777" w:rsidR="00CD64B5" w:rsidRPr="001352AB" w:rsidRDefault="00CD64B5" w:rsidP="00CD64B5">
      <w:pPr>
        <w:spacing w:before="120" w:after="120"/>
      </w:pPr>
      <w:r w:rsidRPr="001352AB">
        <w:rPr>
          <w:rFonts w:ascii="Sylfaen" w:hAnsi="Sylfaen" w:cs="Sylfaen"/>
        </w:rPr>
        <w:t>შენარჩუნებული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მცენარეული</w:t>
      </w:r>
      <w:r w:rsidRPr="001352AB">
        <w:t xml:space="preserve"> </w:t>
      </w:r>
      <w:r w:rsidRPr="001352AB">
        <w:rPr>
          <w:rFonts w:ascii="Sylfaen" w:hAnsi="Sylfaen" w:cs="Sylfaen"/>
        </w:rPr>
        <w:t>საფარი</w:t>
      </w:r>
      <w:r w:rsidRPr="001352AB">
        <w:t xml:space="preserve"> </w:t>
      </w:r>
      <w:r w:rsidRPr="001352AB">
        <w:rPr>
          <w:rFonts w:ascii="Sylfaen" w:hAnsi="Sylfaen" w:cs="Sylfaen"/>
        </w:rPr>
        <w:t>გზის</w:t>
      </w:r>
      <w:r w:rsidRPr="001352AB">
        <w:t xml:space="preserve"> </w:t>
      </w:r>
      <w:r w:rsidRPr="001352AB">
        <w:rPr>
          <w:rFonts w:ascii="Sylfaen" w:hAnsi="Sylfaen" w:cs="Sylfaen"/>
        </w:rPr>
        <w:t>გაყოლებაზე</w:t>
      </w:r>
      <w:r w:rsidRPr="001352AB">
        <w:t>.</w:t>
      </w:r>
    </w:p>
    <w:p w14:paraId="3BC54129" w14:textId="77777777" w:rsidR="00CD64B5" w:rsidRPr="001352AB" w:rsidRDefault="00CD64B5" w:rsidP="00CD64B5">
      <w:pPr>
        <w:spacing w:before="120" w:after="120"/>
        <w:rPr>
          <w:lang w:eastAsia="en-US"/>
        </w:rPr>
      </w:pPr>
      <w:r w:rsidRPr="001352AB">
        <w:rPr>
          <w:rFonts w:ascii="Sylfaen" w:hAnsi="Sylfaen" w:cs="Sylfaen"/>
        </w:rPr>
        <w:t>სარემონტო</w:t>
      </w:r>
      <w:r w:rsidRPr="001352AB">
        <w:t xml:space="preserve"> </w:t>
      </w:r>
      <w:r w:rsidRPr="001352AB">
        <w:rPr>
          <w:rFonts w:ascii="Sylfaen" w:hAnsi="Sylfaen" w:cs="Sylfaen"/>
        </w:rPr>
        <w:t>სამუშაოებისას</w:t>
      </w:r>
      <w:r w:rsidRPr="001352AB">
        <w:t xml:space="preserve"> </w:t>
      </w: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მშენებლობის</w:t>
      </w:r>
      <w:r w:rsidRPr="001352AB">
        <w:t xml:space="preserve"> </w:t>
      </w:r>
      <w:r w:rsidRPr="001352AB">
        <w:rPr>
          <w:rFonts w:ascii="Sylfaen" w:hAnsi="Sylfaen" w:cs="Sylfaen"/>
        </w:rPr>
        <w:t>ეტაპისთვის</w:t>
      </w:r>
      <w:r w:rsidRPr="001352AB">
        <w:t xml:space="preserve"> </w:t>
      </w:r>
      <w:r w:rsidRPr="001352AB">
        <w:rPr>
          <w:rFonts w:ascii="Sylfaen" w:hAnsi="Sylfaen" w:cs="Sylfaen"/>
        </w:rPr>
        <w:t>დადგენილი</w:t>
      </w:r>
      <w:r w:rsidRPr="001352AB">
        <w:t xml:space="preserve"> </w:t>
      </w:r>
      <w:r w:rsidRPr="001352AB">
        <w:rPr>
          <w:rFonts w:ascii="Sylfaen" w:hAnsi="Sylfaen" w:cs="Sylfaen"/>
        </w:rPr>
        <w:t>მოთხოვნები</w:t>
      </w:r>
      <w:r w:rsidRPr="001352AB">
        <w:t xml:space="preserve"> (</w:t>
      </w: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w:t>
      </w:r>
      <w:r w:rsidRPr="001352AB">
        <w:t xml:space="preserve">). </w:t>
      </w:r>
    </w:p>
    <w:p w14:paraId="19618C9A" w14:textId="77777777" w:rsidR="00CD64B5" w:rsidRPr="001352AB" w:rsidRDefault="00CD64B5" w:rsidP="00CD64B5">
      <w:pPr>
        <w:spacing w:before="120" w:after="120"/>
        <w:rPr>
          <w:lang w:eastAsia="da-DK"/>
        </w:rPr>
      </w:pP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შესრულების</w:t>
      </w:r>
      <w:r w:rsidRPr="001352AB">
        <w:t xml:space="preserve"> </w:t>
      </w:r>
      <w:r w:rsidRPr="001352AB">
        <w:rPr>
          <w:rFonts w:ascii="Sylfaen" w:hAnsi="Sylfaen" w:cs="Sylfaen"/>
        </w:rPr>
        <w:t>უზრუნველყოფა</w:t>
      </w:r>
      <w:r w:rsidRPr="001352AB">
        <w:t xml:space="preserve"> </w:t>
      </w:r>
      <w:r w:rsidRPr="001352AB">
        <w:rPr>
          <w:rFonts w:ascii="Sylfaen" w:hAnsi="Sylfaen" w:cs="Sylfaen"/>
        </w:rPr>
        <w:t>საავტომობილო</w:t>
      </w:r>
      <w:r w:rsidRPr="001352AB">
        <w:t xml:space="preserve"> </w:t>
      </w:r>
      <w:r w:rsidRPr="001352AB">
        <w:rPr>
          <w:rFonts w:ascii="Sylfaen" w:hAnsi="Sylfaen" w:cs="Sylfaen"/>
        </w:rPr>
        <w:t>გზების</w:t>
      </w:r>
      <w:r w:rsidRPr="001352AB">
        <w:t xml:space="preserve"> </w:t>
      </w:r>
      <w:r w:rsidRPr="001352AB">
        <w:rPr>
          <w:rFonts w:ascii="Sylfaen" w:hAnsi="Sylfaen" w:cs="Sylfaen"/>
        </w:rPr>
        <w:t>დეპარტამენტის</w:t>
      </w:r>
      <w:r w:rsidRPr="001352AB">
        <w:t xml:space="preserve"> </w:t>
      </w:r>
      <w:r w:rsidRPr="001352AB">
        <w:rPr>
          <w:rFonts w:ascii="Sylfaen" w:hAnsi="Sylfaen" w:cs="Sylfaen"/>
        </w:rPr>
        <w:t>პასუხისმგებლობას</w:t>
      </w:r>
      <w:r w:rsidRPr="001352AB">
        <w:t xml:space="preserve"> </w:t>
      </w:r>
      <w:r w:rsidRPr="001352AB">
        <w:rPr>
          <w:rFonts w:ascii="Sylfaen" w:hAnsi="Sylfaen" w:cs="Sylfaen"/>
        </w:rPr>
        <w:t>წარმოადგენს</w:t>
      </w:r>
      <w:r w:rsidRPr="001352AB">
        <w:t xml:space="preserve">.  </w:t>
      </w:r>
    </w:p>
    <w:p w14:paraId="4E5BA718" w14:textId="77777777" w:rsidR="00CD64B5" w:rsidRPr="001352AB" w:rsidRDefault="00CD64B5" w:rsidP="00CD64B5">
      <w:pPr>
        <w:spacing w:before="120" w:after="120"/>
      </w:pPr>
    </w:p>
    <w:p w14:paraId="2D261192" w14:textId="77777777" w:rsidR="00CD64B5" w:rsidRPr="001352AB" w:rsidRDefault="00CD64B5" w:rsidP="00CD64B5">
      <w:pPr>
        <w:pStyle w:val="EIAheading2"/>
        <w:rPr>
          <w:lang w:eastAsia="de-DE"/>
        </w:rPr>
      </w:pPr>
      <w:bookmarkStart w:id="330" w:name="_Toc529977400"/>
      <w:bookmarkStart w:id="331" w:name="_Toc1581563"/>
      <w:r w:rsidRPr="001352AB">
        <w:t xml:space="preserve">7.3 </w:t>
      </w:r>
      <w:r w:rsidRPr="001352AB">
        <w:rPr>
          <w:rFonts w:ascii="Sylfaen" w:hAnsi="Sylfaen" w:cs="Sylfaen"/>
        </w:rPr>
        <w:t>გეოლოგიური</w:t>
      </w:r>
      <w:r w:rsidRPr="001352AB">
        <w:t xml:space="preserve"> </w:t>
      </w:r>
      <w:r w:rsidRPr="001352AB">
        <w:rPr>
          <w:rFonts w:ascii="Sylfaen" w:hAnsi="Sylfaen" w:cs="Sylfaen"/>
        </w:rPr>
        <w:t>გარემოს</w:t>
      </w:r>
      <w:r w:rsidRPr="001352AB">
        <w:t xml:space="preserve"> </w:t>
      </w:r>
      <w:r w:rsidRPr="001352AB">
        <w:rPr>
          <w:rFonts w:ascii="Sylfaen" w:hAnsi="Sylfaen" w:cs="Sylfaen"/>
        </w:rPr>
        <w:t>ცვლილება</w:t>
      </w:r>
      <w:r w:rsidRPr="001352AB">
        <w:t xml:space="preserve"> </w:t>
      </w:r>
      <w:r w:rsidRPr="001352AB">
        <w:rPr>
          <w:rFonts w:ascii="Sylfaen" w:hAnsi="Sylfaen" w:cs="Sylfaen"/>
        </w:rPr>
        <w:t>და</w:t>
      </w:r>
      <w:r w:rsidRPr="001352AB">
        <w:t xml:space="preserve"> </w:t>
      </w:r>
      <w:r w:rsidRPr="001352AB">
        <w:rPr>
          <w:rFonts w:ascii="Sylfaen" w:hAnsi="Sylfaen" w:cs="Sylfaen"/>
        </w:rPr>
        <w:t>მოსალოდნელი</w:t>
      </w:r>
      <w:r w:rsidRPr="001352AB">
        <w:t xml:space="preserve"> </w:t>
      </w:r>
      <w:r w:rsidRPr="001352AB">
        <w:rPr>
          <w:rFonts w:ascii="Sylfaen" w:hAnsi="Sylfaen" w:cs="Sylfaen"/>
        </w:rPr>
        <w:t>ზემოქმედებები</w:t>
      </w:r>
      <w:bookmarkEnd w:id="324"/>
      <w:bookmarkEnd w:id="325"/>
      <w:bookmarkEnd w:id="326"/>
      <w:bookmarkEnd w:id="327"/>
      <w:bookmarkEnd w:id="330"/>
      <w:bookmarkEnd w:id="331"/>
    </w:p>
    <w:p w14:paraId="287CDD51" w14:textId="77777777" w:rsidR="00CD64B5" w:rsidRPr="001352AB" w:rsidRDefault="00CD64B5" w:rsidP="00CD64B5">
      <w:pPr>
        <w:pStyle w:val="Heading3"/>
      </w:pPr>
      <w:bookmarkStart w:id="332" w:name="_Toc529977401"/>
      <w:bookmarkStart w:id="333" w:name="_Toc495314386"/>
      <w:bookmarkStart w:id="334" w:name="_Toc479166518"/>
      <w:bookmarkStart w:id="335" w:name="_Toc479164788"/>
      <w:bookmarkStart w:id="336" w:name="_Toc1581564"/>
      <w:r w:rsidRPr="001352AB">
        <w:t xml:space="preserve">7.3.1 </w:t>
      </w:r>
      <w:r w:rsidRPr="001352AB">
        <w:rPr>
          <w:rFonts w:ascii="Sylfaen" w:hAnsi="Sylfaen" w:cs="Sylfaen"/>
        </w:rPr>
        <w:t>მშენებლობის</w:t>
      </w:r>
      <w:r w:rsidRPr="001352AB">
        <w:t xml:space="preserve"> </w:t>
      </w:r>
      <w:r w:rsidRPr="001352AB">
        <w:rPr>
          <w:rFonts w:ascii="Sylfaen" w:hAnsi="Sylfaen" w:cs="Sylfaen"/>
        </w:rPr>
        <w:t>ფაზა</w:t>
      </w:r>
      <w:bookmarkEnd w:id="332"/>
      <w:bookmarkEnd w:id="333"/>
      <w:bookmarkEnd w:id="334"/>
      <w:bookmarkEnd w:id="335"/>
      <w:bookmarkEnd w:id="336"/>
    </w:p>
    <w:p w14:paraId="594326A5" w14:textId="77777777" w:rsidR="00CD64B5" w:rsidRPr="001352AB" w:rsidRDefault="00CD64B5" w:rsidP="00CD64B5">
      <w:pPr>
        <w:spacing w:before="120" w:after="120"/>
        <w:rPr>
          <w:lang w:val="ka-GE"/>
        </w:rPr>
      </w:pPr>
      <w:r w:rsidRPr="001352AB">
        <w:rPr>
          <w:rFonts w:ascii="Sylfaen" w:hAnsi="Sylfaen" w:cs="Sylfaen"/>
        </w:rPr>
        <w:t>როგორც</w:t>
      </w:r>
      <w:r w:rsidRPr="001352AB">
        <w:t xml:space="preserve"> </w:t>
      </w:r>
      <w:r w:rsidRPr="001352AB">
        <w:rPr>
          <w:rFonts w:ascii="Sylfaen" w:hAnsi="Sylfaen" w:cs="Sylfaen"/>
        </w:rPr>
        <w:t>გარემოს</w:t>
      </w:r>
      <w:r w:rsidRPr="001352AB">
        <w:t xml:space="preserve"> </w:t>
      </w:r>
      <w:r w:rsidRPr="001352AB">
        <w:rPr>
          <w:rFonts w:ascii="Sylfaen" w:hAnsi="Sylfaen" w:cs="Sylfaen"/>
        </w:rPr>
        <w:t>ფონური</w:t>
      </w:r>
      <w:r w:rsidRPr="001352AB">
        <w:t xml:space="preserve"> </w:t>
      </w:r>
      <w:r w:rsidRPr="001352AB">
        <w:rPr>
          <w:rFonts w:ascii="Sylfaen" w:hAnsi="Sylfaen" w:cs="Sylfaen"/>
        </w:rPr>
        <w:t>მდგომარეობის</w:t>
      </w:r>
      <w:r w:rsidRPr="001352AB">
        <w:t xml:space="preserve"> </w:t>
      </w:r>
      <w:r w:rsidRPr="001352AB">
        <w:rPr>
          <w:rFonts w:ascii="Sylfaen" w:hAnsi="Sylfaen" w:cs="Sylfaen"/>
        </w:rPr>
        <w:t>აღწერით</w:t>
      </w:r>
      <w:r w:rsidRPr="001352AB">
        <w:t xml:space="preserve"> </w:t>
      </w:r>
      <w:r w:rsidRPr="001352AB">
        <w:rPr>
          <w:rFonts w:ascii="Sylfaen" w:hAnsi="Sylfaen" w:cs="Sylfaen"/>
        </w:rPr>
        <w:t>ნაწილში</w:t>
      </w:r>
      <w:r w:rsidRPr="001352AB">
        <w:t xml:space="preserve"> </w:t>
      </w:r>
      <w:r w:rsidRPr="001352AB">
        <w:rPr>
          <w:rFonts w:ascii="Sylfaen" w:hAnsi="Sylfaen" w:cs="Sylfaen"/>
        </w:rPr>
        <w:t>აღინიშნა</w:t>
      </w:r>
      <w:r w:rsidRPr="001352AB">
        <w:t xml:space="preserve"> </w:t>
      </w:r>
      <w:r w:rsidRPr="001352AB">
        <w:rPr>
          <w:rFonts w:ascii="Sylfaen" w:hAnsi="Sylfaen" w:cs="Sylfaen"/>
        </w:rPr>
        <w:t>საპროექტო</w:t>
      </w:r>
      <w:r w:rsidRPr="001352AB">
        <w:t xml:space="preserve"> </w:t>
      </w:r>
      <w:r w:rsidRPr="001352AB">
        <w:rPr>
          <w:rFonts w:ascii="Sylfaen" w:hAnsi="Sylfaen" w:cs="Sylfaen"/>
        </w:rPr>
        <w:t>დერეფანი</w:t>
      </w:r>
      <w:r w:rsidRPr="001352AB">
        <w:t xml:space="preserve"> </w:t>
      </w:r>
      <w:r w:rsidRPr="001352AB">
        <w:rPr>
          <w:rFonts w:ascii="Sylfaen" w:hAnsi="Sylfaen" w:cs="Sylfaen"/>
        </w:rPr>
        <w:t>გადის</w:t>
      </w:r>
      <w:r w:rsidRPr="001352AB">
        <w:t xml:space="preserve"> </w:t>
      </w:r>
      <w:r w:rsidRPr="001352AB">
        <w:rPr>
          <w:rFonts w:ascii="Sylfaen" w:hAnsi="Sylfaen" w:cs="Sylfaen"/>
        </w:rPr>
        <w:t>საკმაოდ</w:t>
      </w:r>
      <w:r w:rsidRPr="001352AB">
        <w:t xml:space="preserve"> </w:t>
      </w:r>
      <w:r w:rsidRPr="001352AB">
        <w:rPr>
          <w:rFonts w:ascii="Sylfaen" w:hAnsi="Sylfaen" w:cs="Sylfaen"/>
        </w:rPr>
        <w:t>ადვილ</w:t>
      </w:r>
      <w:r w:rsidRPr="001352AB">
        <w:t xml:space="preserve"> </w:t>
      </w:r>
      <w:r w:rsidRPr="001352AB">
        <w:rPr>
          <w:rFonts w:ascii="Sylfaen" w:hAnsi="Sylfaen" w:cs="Sylfaen"/>
        </w:rPr>
        <w:t>რელიეფურ</w:t>
      </w:r>
      <w:r w:rsidRPr="001352AB">
        <w:t xml:space="preserve"> </w:t>
      </w:r>
      <w:r w:rsidRPr="001352AB">
        <w:rPr>
          <w:rFonts w:ascii="Sylfaen" w:hAnsi="Sylfaen" w:cs="Sylfaen"/>
        </w:rPr>
        <w:t>პირობებში</w:t>
      </w:r>
      <w:r w:rsidRPr="001352AB">
        <w:t xml:space="preserve">. </w:t>
      </w:r>
      <w:r w:rsidRPr="001352AB">
        <w:rPr>
          <w:rFonts w:ascii="Sylfaen" w:hAnsi="Sylfaen" w:cs="Sylfaen"/>
        </w:rPr>
        <w:t>მშენებლობის</w:t>
      </w:r>
      <w:r w:rsidRPr="001352AB">
        <w:t xml:space="preserve"> </w:t>
      </w:r>
      <w:r w:rsidRPr="001352AB">
        <w:rPr>
          <w:rFonts w:ascii="Sylfaen" w:hAnsi="Sylfaen" w:cs="Sylfaen"/>
        </w:rPr>
        <w:t>ფაზაზე</w:t>
      </w:r>
      <w:r w:rsidRPr="001352AB">
        <w:t xml:space="preserve"> </w:t>
      </w:r>
      <w:r w:rsidRPr="001352AB">
        <w:rPr>
          <w:rFonts w:ascii="Sylfaen" w:hAnsi="Sylfaen" w:cs="Sylfaen"/>
        </w:rPr>
        <w:t>არ</w:t>
      </w:r>
      <w:r w:rsidRPr="001352AB">
        <w:t xml:space="preserve"> </w:t>
      </w:r>
      <w:r w:rsidRPr="001352AB">
        <w:rPr>
          <w:rFonts w:ascii="Sylfaen" w:hAnsi="Sylfaen" w:cs="Sylfaen"/>
        </w:rPr>
        <w:t>არის</w:t>
      </w:r>
      <w:r w:rsidRPr="001352AB">
        <w:t xml:space="preserve"> </w:t>
      </w:r>
      <w:r w:rsidRPr="001352AB">
        <w:rPr>
          <w:rFonts w:ascii="Sylfaen" w:hAnsi="Sylfaen" w:cs="Sylfaen"/>
        </w:rPr>
        <w:t>მოსალოდნელი</w:t>
      </w:r>
      <w:r w:rsidRPr="001352AB">
        <w:t xml:space="preserve"> </w:t>
      </w:r>
      <w:r w:rsidRPr="001352AB">
        <w:rPr>
          <w:rFonts w:ascii="Sylfaen" w:hAnsi="Sylfaen" w:cs="Sylfaen"/>
        </w:rPr>
        <w:t>რაიმე</w:t>
      </w:r>
      <w:r w:rsidRPr="001352AB">
        <w:t xml:space="preserve"> </w:t>
      </w:r>
      <w:r w:rsidRPr="001352AB">
        <w:rPr>
          <w:rFonts w:ascii="Sylfaen" w:hAnsi="Sylfaen" w:cs="Sylfaen"/>
        </w:rPr>
        <w:t>სახის</w:t>
      </w:r>
      <w:r w:rsidRPr="001352AB">
        <w:t xml:space="preserve"> </w:t>
      </w:r>
      <w:r w:rsidRPr="001352AB">
        <w:rPr>
          <w:rFonts w:ascii="Sylfaen" w:hAnsi="Sylfaen" w:cs="Sylfaen"/>
        </w:rPr>
        <w:t>საშიში</w:t>
      </w:r>
      <w:r w:rsidRPr="001352AB">
        <w:t xml:space="preserve"> </w:t>
      </w:r>
      <w:r w:rsidRPr="001352AB">
        <w:rPr>
          <w:rFonts w:ascii="Sylfaen" w:hAnsi="Sylfaen" w:cs="Sylfaen"/>
        </w:rPr>
        <w:t>გეოლოგიური</w:t>
      </w:r>
      <w:r w:rsidRPr="001352AB">
        <w:t xml:space="preserve"> </w:t>
      </w:r>
      <w:r w:rsidRPr="001352AB">
        <w:rPr>
          <w:rFonts w:ascii="Sylfaen" w:hAnsi="Sylfaen" w:cs="Sylfaen"/>
        </w:rPr>
        <w:t>პროცესების</w:t>
      </w:r>
      <w:r w:rsidRPr="001352AB">
        <w:t xml:space="preserve"> </w:t>
      </w:r>
      <w:r w:rsidRPr="001352AB">
        <w:rPr>
          <w:rFonts w:ascii="Sylfaen" w:hAnsi="Sylfaen" w:cs="Sylfaen"/>
        </w:rPr>
        <w:t>გააქტიურება</w:t>
      </w:r>
      <w:r w:rsidRPr="001352AB">
        <w:t xml:space="preserve">. </w:t>
      </w:r>
      <w:r w:rsidRPr="001352AB">
        <w:rPr>
          <w:rFonts w:ascii="Sylfaen" w:hAnsi="Sylfaen" w:cs="Sylfaen"/>
        </w:rPr>
        <w:t>გზის</w:t>
      </w:r>
      <w:r w:rsidRPr="001352AB">
        <w:t xml:space="preserve"> </w:t>
      </w:r>
      <w:r w:rsidRPr="001352AB">
        <w:rPr>
          <w:rFonts w:ascii="Sylfaen" w:hAnsi="Sylfaen" w:cs="Sylfaen"/>
        </w:rPr>
        <w:t>ახალი</w:t>
      </w:r>
      <w:r w:rsidRPr="001352AB">
        <w:t xml:space="preserve"> </w:t>
      </w:r>
      <w:r w:rsidRPr="001352AB">
        <w:rPr>
          <w:rFonts w:ascii="Sylfaen" w:hAnsi="Sylfaen" w:cs="Sylfaen"/>
        </w:rPr>
        <w:t>დერეფნის</w:t>
      </w:r>
      <w:r w:rsidRPr="001352AB">
        <w:t xml:space="preserve"> </w:t>
      </w:r>
      <w:r w:rsidRPr="001352AB">
        <w:rPr>
          <w:rFonts w:ascii="Sylfaen" w:hAnsi="Sylfaen" w:cs="Sylfaen"/>
        </w:rPr>
        <w:t>ვაკისის</w:t>
      </w:r>
      <w:r w:rsidRPr="001352AB">
        <w:t xml:space="preserve"> </w:t>
      </w:r>
      <w:r w:rsidRPr="001352AB">
        <w:rPr>
          <w:rFonts w:ascii="Sylfaen" w:hAnsi="Sylfaen" w:cs="Sylfaen"/>
        </w:rPr>
        <w:t>მომზადება</w:t>
      </w:r>
      <w:r w:rsidRPr="001352AB">
        <w:t xml:space="preserve">, </w:t>
      </w:r>
      <w:r w:rsidRPr="001352AB">
        <w:rPr>
          <w:rFonts w:ascii="Sylfaen" w:hAnsi="Sylfaen" w:cs="Sylfaen"/>
        </w:rPr>
        <w:t>საგზაო</w:t>
      </w:r>
      <w:r w:rsidRPr="001352AB">
        <w:t>-</w:t>
      </w:r>
      <w:r w:rsidRPr="001352AB">
        <w:rPr>
          <w:rFonts w:ascii="Sylfaen" w:hAnsi="Sylfaen" w:cs="Sylfaen"/>
        </w:rPr>
        <w:t>საინჟინრო</w:t>
      </w:r>
      <w:r w:rsidRPr="001352AB">
        <w:t xml:space="preserve"> </w:t>
      </w:r>
      <w:r w:rsidRPr="001352AB">
        <w:rPr>
          <w:rFonts w:ascii="Sylfaen" w:hAnsi="Sylfaen" w:cs="Sylfaen"/>
        </w:rPr>
        <w:t>ნაგებობებისათვის</w:t>
      </w:r>
      <w:r w:rsidRPr="001352AB">
        <w:t xml:space="preserve"> </w:t>
      </w:r>
      <w:r w:rsidRPr="001352AB">
        <w:rPr>
          <w:rFonts w:ascii="Sylfaen" w:hAnsi="Sylfaen" w:cs="Sylfaen"/>
        </w:rPr>
        <w:t>საძირკვლების</w:t>
      </w:r>
      <w:r w:rsidRPr="001352AB">
        <w:t xml:space="preserve"> </w:t>
      </w:r>
      <w:r w:rsidRPr="001352AB">
        <w:rPr>
          <w:rFonts w:ascii="Sylfaen" w:hAnsi="Sylfaen" w:cs="Sylfaen"/>
        </w:rPr>
        <w:t>მოწყობა</w:t>
      </w:r>
      <w:r w:rsidRPr="001352AB">
        <w:t xml:space="preserve"> </w:t>
      </w:r>
      <w:r w:rsidRPr="001352AB">
        <w:rPr>
          <w:rFonts w:ascii="Sylfaen" w:hAnsi="Sylfaen" w:cs="Sylfaen"/>
        </w:rPr>
        <w:t>და</w:t>
      </w:r>
      <w:r w:rsidRPr="001352AB">
        <w:t xml:space="preserve"> </w:t>
      </w:r>
      <w:r w:rsidRPr="001352AB">
        <w:rPr>
          <w:rFonts w:ascii="Sylfaen" w:hAnsi="Sylfaen" w:cs="Sylfaen"/>
        </w:rPr>
        <w:t>ფუჭი</w:t>
      </w:r>
      <w:r w:rsidRPr="001352AB">
        <w:t xml:space="preserve"> </w:t>
      </w:r>
      <w:r w:rsidRPr="001352AB">
        <w:rPr>
          <w:rFonts w:ascii="Sylfaen" w:hAnsi="Sylfaen" w:cs="Sylfaen"/>
        </w:rPr>
        <w:t>ქანების</w:t>
      </w:r>
      <w:r w:rsidRPr="001352AB">
        <w:t xml:space="preserve"> </w:t>
      </w:r>
      <w:r w:rsidRPr="001352AB">
        <w:rPr>
          <w:rFonts w:ascii="Sylfaen" w:hAnsi="Sylfaen" w:cs="Sylfaen"/>
        </w:rPr>
        <w:t>სათანადო</w:t>
      </w:r>
      <w:r w:rsidRPr="001352AB">
        <w:t xml:space="preserve"> </w:t>
      </w:r>
      <w:r w:rsidRPr="001352AB">
        <w:rPr>
          <w:rFonts w:ascii="Sylfaen" w:hAnsi="Sylfaen" w:cs="Sylfaen"/>
        </w:rPr>
        <w:t>მართვა</w:t>
      </w:r>
      <w:r w:rsidRPr="001352AB">
        <w:t xml:space="preserve"> </w:t>
      </w:r>
      <w:r w:rsidRPr="001352AB">
        <w:rPr>
          <w:rFonts w:ascii="Sylfaen" w:hAnsi="Sylfaen" w:cs="Sylfaen"/>
        </w:rPr>
        <w:t>არ</w:t>
      </w:r>
      <w:r w:rsidRPr="001352AB">
        <w:t xml:space="preserve"> </w:t>
      </w:r>
      <w:r w:rsidRPr="001352AB">
        <w:rPr>
          <w:rFonts w:ascii="Sylfaen" w:hAnsi="Sylfaen" w:cs="Sylfaen"/>
        </w:rPr>
        <w:t>გამოიწვევს</w:t>
      </w:r>
      <w:r w:rsidRPr="001352AB">
        <w:t xml:space="preserve"> </w:t>
      </w:r>
      <w:r w:rsidRPr="001352AB">
        <w:rPr>
          <w:rFonts w:ascii="Sylfaen" w:hAnsi="Sylfaen" w:cs="Sylfaen"/>
        </w:rPr>
        <w:t>საშიში</w:t>
      </w:r>
      <w:r w:rsidRPr="001352AB">
        <w:t xml:space="preserve"> </w:t>
      </w:r>
      <w:r w:rsidRPr="001352AB">
        <w:rPr>
          <w:rFonts w:ascii="Sylfaen" w:hAnsi="Sylfaen" w:cs="Sylfaen"/>
        </w:rPr>
        <w:t>გეოდინამიკური</w:t>
      </w:r>
      <w:r w:rsidRPr="001352AB">
        <w:t xml:space="preserve"> </w:t>
      </w:r>
      <w:r w:rsidRPr="001352AB">
        <w:rPr>
          <w:rFonts w:ascii="Sylfaen" w:hAnsi="Sylfaen" w:cs="Sylfaen"/>
        </w:rPr>
        <w:t>პროცესების</w:t>
      </w:r>
      <w:r w:rsidRPr="001352AB">
        <w:t xml:space="preserve"> </w:t>
      </w:r>
      <w:r w:rsidRPr="001352AB">
        <w:rPr>
          <w:rFonts w:ascii="Sylfaen" w:hAnsi="Sylfaen" w:cs="Sylfaen"/>
        </w:rPr>
        <w:t>განვითარებას</w:t>
      </w:r>
      <w:r w:rsidRPr="001352AB">
        <w:t>.</w:t>
      </w:r>
    </w:p>
    <w:p w14:paraId="002E66F4" w14:textId="77777777" w:rsidR="00CD64B5" w:rsidRPr="001352AB" w:rsidRDefault="00CD64B5" w:rsidP="00CD64B5">
      <w:pPr>
        <w:spacing w:before="120" w:after="120"/>
      </w:pPr>
      <w:r w:rsidRPr="001352AB">
        <w:rPr>
          <w:rFonts w:ascii="Sylfaen" w:hAnsi="Sylfaen" w:cs="Sylfaen"/>
        </w:rPr>
        <w:t>ტექნიკურ</w:t>
      </w:r>
      <w:r w:rsidRPr="001352AB">
        <w:t>-</w:t>
      </w:r>
      <w:r w:rsidRPr="001352AB">
        <w:rPr>
          <w:rFonts w:ascii="Sylfaen" w:hAnsi="Sylfaen" w:cs="Sylfaen"/>
        </w:rPr>
        <w:t>ეკონომიკური</w:t>
      </w:r>
      <w:r w:rsidRPr="001352AB">
        <w:t xml:space="preserve"> </w:t>
      </w:r>
      <w:r w:rsidRPr="001352AB">
        <w:rPr>
          <w:rFonts w:ascii="Sylfaen" w:hAnsi="Sylfaen" w:cs="Sylfaen"/>
        </w:rPr>
        <w:t>დასაბუთების</w:t>
      </w:r>
      <w:r w:rsidRPr="001352AB">
        <w:t xml:space="preserve"> </w:t>
      </w:r>
      <w:r w:rsidRPr="001352AB">
        <w:rPr>
          <w:rFonts w:ascii="Sylfaen" w:hAnsi="Sylfaen" w:cs="Sylfaen"/>
        </w:rPr>
        <w:t>საბოლოო</w:t>
      </w:r>
      <w:r w:rsidRPr="001352AB">
        <w:t xml:space="preserve"> </w:t>
      </w:r>
      <w:r w:rsidRPr="001352AB">
        <w:rPr>
          <w:rFonts w:ascii="Sylfaen" w:hAnsi="Sylfaen" w:cs="Sylfaen"/>
        </w:rPr>
        <w:t>ანგარიშის</w:t>
      </w:r>
      <w:r w:rsidRPr="001352AB">
        <w:t xml:space="preserve"> </w:t>
      </w:r>
      <w:r w:rsidRPr="001352AB">
        <w:rPr>
          <w:rFonts w:ascii="Sylfaen" w:hAnsi="Sylfaen" w:cs="Sylfaen"/>
        </w:rPr>
        <w:t>და</w:t>
      </w:r>
      <w:r w:rsidRPr="001352AB">
        <w:t xml:space="preserve"> </w:t>
      </w:r>
      <w:r w:rsidRPr="001352AB">
        <w:rPr>
          <w:rFonts w:ascii="Sylfaen" w:hAnsi="Sylfaen" w:cs="Sylfaen"/>
        </w:rPr>
        <w:t>შპს</w:t>
      </w:r>
      <w:r w:rsidRPr="001352AB">
        <w:t xml:space="preserve"> </w:t>
      </w:r>
      <w:r w:rsidRPr="001352AB">
        <w:rPr>
          <w:rFonts w:ascii="Sylfaen" w:hAnsi="Sylfaen" w:cs="Sylfaen"/>
        </w:rPr>
        <w:t>გეოტექსერვისს</w:t>
      </w:r>
      <w:r w:rsidRPr="001352AB">
        <w:t xml:space="preserve"> </w:t>
      </w:r>
      <w:r w:rsidRPr="001352AB">
        <w:rPr>
          <w:rFonts w:ascii="Sylfaen" w:hAnsi="Sylfaen" w:cs="Sylfaen"/>
        </w:rPr>
        <w:t>მიერ</w:t>
      </w:r>
      <w:r w:rsidRPr="001352AB">
        <w:t xml:space="preserve"> </w:t>
      </w:r>
      <w:r w:rsidRPr="001352AB">
        <w:rPr>
          <w:rFonts w:ascii="Sylfaen" w:hAnsi="Sylfaen" w:cs="Sylfaen"/>
        </w:rPr>
        <w:t>მომზადებული</w:t>
      </w:r>
      <w:r w:rsidRPr="001352AB">
        <w:t xml:space="preserve"> </w:t>
      </w:r>
      <w:r w:rsidRPr="001352AB">
        <w:rPr>
          <w:rFonts w:ascii="Sylfaen" w:hAnsi="Sylfaen" w:cs="Sylfaen"/>
        </w:rPr>
        <w:t>საინჟინრო</w:t>
      </w:r>
      <w:r w:rsidRPr="001352AB">
        <w:t>-</w:t>
      </w:r>
      <w:r w:rsidRPr="001352AB">
        <w:rPr>
          <w:rFonts w:ascii="Sylfaen" w:hAnsi="Sylfaen" w:cs="Sylfaen"/>
        </w:rPr>
        <w:t>გეორლოგიური</w:t>
      </w:r>
      <w:r w:rsidRPr="001352AB">
        <w:t xml:space="preserve"> </w:t>
      </w:r>
      <w:r w:rsidRPr="001352AB">
        <w:rPr>
          <w:rFonts w:ascii="Sylfaen" w:hAnsi="Sylfaen" w:cs="Sylfaen"/>
        </w:rPr>
        <w:t>კვლევის</w:t>
      </w:r>
      <w:r w:rsidRPr="001352AB">
        <w:t xml:space="preserve"> (</w:t>
      </w:r>
      <w:r w:rsidRPr="001352AB">
        <w:rPr>
          <w:rFonts w:ascii="Sylfaen" w:hAnsi="Sylfaen" w:cs="Sylfaen"/>
        </w:rPr>
        <w:t>დანართი</w:t>
      </w:r>
      <w:r w:rsidRPr="001352AB">
        <w:t xml:space="preserve"> 6) </w:t>
      </w:r>
      <w:r w:rsidRPr="001352AB">
        <w:rPr>
          <w:rFonts w:ascii="Sylfaen" w:hAnsi="Sylfaen" w:cs="Sylfaen"/>
        </w:rPr>
        <w:t>შედეგად</w:t>
      </w:r>
      <w:r w:rsidRPr="001352AB">
        <w:t xml:space="preserve"> </w:t>
      </w:r>
      <w:r w:rsidRPr="001352AB">
        <w:rPr>
          <w:rFonts w:ascii="Sylfaen" w:hAnsi="Sylfaen" w:cs="Sylfaen"/>
        </w:rPr>
        <w:t>საპროექტო</w:t>
      </w:r>
      <w:r w:rsidRPr="001352AB">
        <w:t xml:space="preserve"> </w:t>
      </w:r>
      <w:r w:rsidRPr="001352AB">
        <w:rPr>
          <w:rFonts w:ascii="Sylfaen" w:hAnsi="Sylfaen" w:cs="Sylfaen"/>
        </w:rPr>
        <w:t>ტერიტორიაზე</w:t>
      </w:r>
      <w:r w:rsidRPr="001352AB">
        <w:t xml:space="preserve"> </w:t>
      </w:r>
      <w:r w:rsidRPr="001352AB">
        <w:rPr>
          <w:rFonts w:ascii="Sylfaen" w:hAnsi="Sylfaen" w:cs="Sylfaen"/>
        </w:rPr>
        <w:t>არ</w:t>
      </w:r>
      <w:r w:rsidRPr="001352AB">
        <w:t xml:space="preserve"> </w:t>
      </w:r>
      <w:r w:rsidRPr="001352AB">
        <w:rPr>
          <w:rFonts w:ascii="Sylfaen" w:hAnsi="Sylfaen" w:cs="Sylfaen"/>
        </w:rPr>
        <w:t>იქნა</w:t>
      </w:r>
      <w:r w:rsidRPr="001352AB">
        <w:t xml:space="preserve"> </w:t>
      </w:r>
      <w:r w:rsidRPr="001352AB">
        <w:rPr>
          <w:rFonts w:ascii="Sylfaen" w:hAnsi="Sylfaen" w:cs="Sylfaen"/>
        </w:rPr>
        <w:t>რაიმე</w:t>
      </w:r>
      <w:r w:rsidRPr="001352AB">
        <w:t xml:space="preserve"> </w:t>
      </w:r>
      <w:r w:rsidRPr="001352AB">
        <w:rPr>
          <w:rFonts w:ascii="Sylfaen" w:hAnsi="Sylfaen" w:cs="Sylfaen"/>
        </w:rPr>
        <w:t>სახის</w:t>
      </w:r>
      <w:r w:rsidRPr="001352AB">
        <w:t xml:space="preserve"> </w:t>
      </w:r>
      <w:r w:rsidRPr="001352AB">
        <w:rPr>
          <w:rFonts w:ascii="Sylfaen" w:hAnsi="Sylfaen" w:cs="Sylfaen"/>
        </w:rPr>
        <w:t>საშიში</w:t>
      </w:r>
      <w:r w:rsidRPr="001352AB">
        <w:t xml:space="preserve"> </w:t>
      </w:r>
      <w:r w:rsidRPr="001352AB">
        <w:rPr>
          <w:rFonts w:ascii="Sylfaen" w:hAnsi="Sylfaen" w:cs="Sylfaen"/>
        </w:rPr>
        <w:t>გეოლოგიური</w:t>
      </w:r>
      <w:r w:rsidRPr="001352AB">
        <w:t xml:space="preserve"> </w:t>
      </w:r>
      <w:r w:rsidRPr="001352AB">
        <w:rPr>
          <w:rFonts w:ascii="Sylfaen" w:hAnsi="Sylfaen" w:cs="Sylfaen"/>
        </w:rPr>
        <w:t>პროცესები</w:t>
      </w:r>
      <w:r w:rsidRPr="001352AB">
        <w:t xml:space="preserve">. </w:t>
      </w:r>
    </w:p>
    <w:p w14:paraId="0F305E68" w14:textId="77777777" w:rsidR="00CD64B5" w:rsidRPr="001352AB" w:rsidRDefault="00CD64B5" w:rsidP="00CD64B5">
      <w:pPr>
        <w:spacing w:before="120" w:after="120"/>
        <w:rPr>
          <w:rFonts w:eastAsia="Calibri"/>
          <w:lang w:eastAsia="en-GB"/>
        </w:rPr>
      </w:pPr>
      <w:r w:rsidRPr="001352AB">
        <w:rPr>
          <w:rFonts w:ascii="Sylfaen" w:eastAsia="Calibri" w:hAnsi="Sylfaen" w:cs="Sylfaen"/>
        </w:rPr>
        <w:t>შემარბილებელი</w:t>
      </w:r>
      <w:r w:rsidRPr="001352AB">
        <w:rPr>
          <w:rFonts w:eastAsia="Calibri"/>
        </w:rPr>
        <w:t xml:space="preserve"> </w:t>
      </w:r>
      <w:r w:rsidRPr="001352AB">
        <w:rPr>
          <w:rFonts w:ascii="Sylfaen" w:hAnsi="Sylfaen" w:cs="Sylfaen"/>
        </w:rPr>
        <w:t>ღონისძიებები</w:t>
      </w:r>
      <w:r w:rsidRPr="001352AB">
        <w:t xml:space="preserve"> - </w:t>
      </w:r>
      <w:r w:rsidRPr="001352AB">
        <w:rPr>
          <w:rFonts w:ascii="Sylfaen" w:hAnsi="Sylfaen" w:cs="Sylfaen"/>
        </w:rPr>
        <w:t>მოსამზადებელი</w:t>
      </w:r>
      <w:r w:rsidRPr="001352AB">
        <w:t xml:space="preserve"> </w:t>
      </w:r>
      <w:r w:rsidRPr="001352AB">
        <w:rPr>
          <w:rFonts w:ascii="Sylfaen" w:hAnsi="Sylfaen" w:cs="Sylfaen"/>
        </w:rPr>
        <w:t>და</w:t>
      </w:r>
      <w:r w:rsidRPr="001352AB">
        <w:t xml:space="preserve"> </w:t>
      </w:r>
      <w:r w:rsidRPr="001352AB">
        <w:rPr>
          <w:rFonts w:ascii="Sylfaen" w:hAnsi="Sylfaen" w:cs="Sylfaen"/>
        </w:rPr>
        <w:t>მშენებლობის</w:t>
      </w:r>
      <w:r w:rsidRPr="001352AB">
        <w:t xml:space="preserve"> </w:t>
      </w:r>
      <w:r w:rsidRPr="001352AB">
        <w:rPr>
          <w:rFonts w:ascii="Sylfaen" w:hAnsi="Sylfaen" w:cs="Sylfaen"/>
        </w:rPr>
        <w:t>ფაზა</w:t>
      </w:r>
    </w:p>
    <w:p w14:paraId="4DA2855D" w14:textId="77777777" w:rsidR="00CD64B5" w:rsidRPr="001352AB" w:rsidRDefault="00CD64B5" w:rsidP="00CD64B5">
      <w:pPr>
        <w:spacing w:before="120" w:after="120"/>
        <w:rPr>
          <w:lang w:eastAsia="en-US"/>
        </w:rPr>
      </w:pPr>
      <w:r w:rsidRPr="001352AB">
        <w:rPr>
          <w:rFonts w:ascii="Sylfaen" w:hAnsi="Sylfaen" w:cs="Sylfaen"/>
        </w:rPr>
        <w:lastRenderedPageBreak/>
        <w:t>უარყოფითი</w:t>
      </w:r>
      <w:r w:rsidRPr="001352AB">
        <w:t xml:space="preserve"> </w:t>
      </w:r>
      <w:r w:rsidRPr="001352AB">
        <w:rPr>
          <w:rFonts w:ascii="Sylfaen" w:hAnsi="Sylfaen" w:cs="Sylfaen"/>
        </w:rPr>
        <w:t>ზემოქმედების</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აცილების</w:t>
      </w:r>
      <w:r w:rsidRPr="001352AB">
        <w:t xml:space="preserve"> </w:t>
      </w:r>
      <w:r w:rsidRPr="001352AB">
        <w:rPr>
          <w:rFonts w:ascii="Sylfaen" w:hAnsi="Sylfaen" w:cs="Sylfaen"/>
        </w:rPr>
        <w:t>ან</w:t>
      </w:r>
      <w:r w:rsidRPr="001352AB">
        <w:t xml:space="preserve"> </w:t>
      </w:r>
      <w:r w:rsidRPr="001352AB">
        <w:rPr>
          <w:rFonts w:ascii="Sylfaen" w:hAnsi="Sylfaen" w:cs="Sylfaen"/>
        </w:rPr>
        <w:t>შერბილების</w:t>
      </w:r>
      <w:r w:rsidRPr="001352AB">
        <w:t xml:space="preserve"> </w:t>
      </w:r>
      <w:r w:rsidRPr="001352AB">
        <w:rPr>
          <w:rFonts w:ascii="Sylfaen" w:hAnsi="Sylfaen" w:cs="Sylfaen"/>
        </w:rPr>
        <w:t>მიზნით</w:t>
      </w:r>
      <w:r w:rsidRPr="001352AB">
        <w:t xml:space="preserve"> </w:t>
      </w:r>
      <w:r w:rsidRPr="001352AB">
        <w:rPr>
          <w:rFonts w:ascii="Sylfaen" w:hAnsi="Sylfaen" w:cs="Sylfaen"/>
        </w:rPr>
        <w:t>გათვალისწინებულია</w:t>
      </w:r>
      <w:r w:rsidRPr="001352AB">
        <w:t xml:space="preserve"> </w:t>
      </w:r>
      <w:r w:rsidRPr="001352AB">
        <w:rPr>
          <w:rFonts w:ascii="Sylfaen" w:hAnsi="Sylfaen" w:cs="Sylfaen"/>
        </w:rPr>
        <w:t>შემდეგი</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გატარება</w:t>
      </w:r>
      <w:r w:rsidRPr="001352AB">
        <w:t>:</w:t>
      </w:r>
    </w:p>
    <w:p w14:paraId="6EE310DD" w14:textId="77777777" w:rsidR="00CD64B5" w:rsidRPr="001352AB" w:rsidRDefault="00CD64B5" w:rsidP="00CD64B5">
      <w:pPr>
        <w:spacing w:before="120" w:after="120"/>
        <w:rPr>
          <w:lang w:eastAsia="en-GB"/>
        </w:rPr>
      </w:pPr>
      <w:r w:rsidRPr="001352AB">
        <w:rPr>
          <w:rFonts w:ascii="Sylfaen" w:hAnsi="Sylfaen" w:cs="Sylfaen"/>
        </w:rPr>
        <w:t>დროებითი</w:t>
      </w:r>
      <w:r w:rsidRPr="001352AB">
        <w:t xml:space="preserve"> </w:t>
      </w:r>
      <w:r w:rsidRPr="001352AB">
        <w:rPr>
          <w:rFonts w:ascii="Sylfaen" w:hAnsi="Sylfaen" w:cs="Sylfaen"/>
        </w:rPr>
        <w:t>ბერმების</w:t>
      </w:r>
      <w:r w:rsidRPr="001352AB">
        <w:t xml:space="preserve">, </w:t>
      </w:r>
      <w:r w:rsidRPr="001352AB">
        <w:rPr>
          <w:rFonts w:ascii="Sylfaen" w:hAnsi="Sylfaen" w:cs="Sylfaen"/>
        </w:rPr>
        <w:t>ქანობის</w:t>
      </w:r>
      <w:r w:rsidRPr="001352AB">
        <w:t xml:space="preserve"> </w:t>
      </w:r>
      <w:r w:rsidRPr="001352AB">
        <w:rPr>
          <w:rFonts w:ascii="Sylfaen" w:hAnsi="Sylfaen" w:cs="Sylfaen"/>
        </w:rPr>
        <w:t>დრენაჟის</w:t>
      </w:r>
      <w:r w:rsidRPr="001352AB">
        <w:t xml:space="preserve">, </w:t>
      </w:r>
      <w:r w:rsidRPr="001352AB">
        <w:rPr>
          <w:rFonts w:ascii="Sylfaen" w:hAnsi="Sylfaen" w:cs="Sylfaen"/>
        </w:rPr>
        <w:t>პერიმეტრზე</w:t>
      </w:r>
      <w:r w:rsidRPr="001352AB">
        <w:t xml:space="preserve"> </w:t>
      </w:r>
      <w:r w:rsidRPr="001352AB">
        <w:rPr>
          <w:rFonts w:ascii="Sylfaen" w:hAnsi="Sylfaen" w:cs="Sylfaen"/>
        </w:rPr>
        <w:t>სადრენაჟე</w:t>
      </w:r>
      <w:r w:rsidRPr="001352AB">
        <w:t xml:space="preserve"> </w:t>
      </w:r>
      <w:r w:rsidRPr="001352AB">
        <w:rPr>
          <w:rFonts w:ascii="Sylfaen" w:hAnsi="Sylfaen" w:cs="Sylfaen"/>
        </w:rPr>
        <w:t>არხების</w:t>
      </w:r>
      <w:r w:rsidRPr="001352AB">
        <w:t xml:space="preserve">, </w:t>
      </w:r>
      <w:r w:rsidRPr="001352AB">
        <w:rPr>
          <w:rFonts w:ascii="Sylfaen" w:hAnsi="Sylfaen" w:cs="Sylfaen"/>
        </w:rPr>
        <w:t>სალექარის</w:t>
      </w:r>
      <w:r w:rsidRPr="001352AB">
        <w:t xml:space="preserve"> </w:t>
      </w:r>
      <w:r w:rsidRPr="001352AB">
        <w:rPr>
          <w:rFonts w:ascii="Sylfaen" w:hAnsi="Sylfaen" w:cs="Sylfaen"/>
        </w:rPr>
        <w:t>და</w:t>
      </w:r>
      <w:r w:rsidRPr="001352AB">
        <w:t xml:space="preserve"> </w:t>
      </w:r>
      <w:r w:rsidRPr="001352AB">
        <w:rPr>
          <w:rFonts w:ascii="Sylfaen" w:hAnsi="Sylfaen" w:cs="Sylfaen"/>
        </w:rPr>
        <w:t>სხვ</w:t>
      </w:r>
      <w:r w:rsidRPr="001352AB">
        <w:t xml:space="preserve"> </w:t>
      </w:r>
      <w:r w:rsidRPr="001352AB">
        <w:rPr>
          <w:rFonts w:ascii="Sylfaen" w:hAnsi="Sylfaen" w:cs="Sylfaen"/>
        </w:rPr>
        <w:t>მოწყობა</w:t>
      </w:r>
      <w:r w:rsidRPr="001352AB">
        <w:t>. (</w:t>
      </w:r>
      <w:r w:rsidRPr="001352AB">
        <w:rPr>
          <w:rFonts w:ascii="Sylfaen" w:hAnsi="Sylfaen" w:cs="Sylfaen"/>
        </w:rPr>
        <w:t>კიუვეტები</w:t>
      </w:r>
      <w:r w:rsidRPr="001352AB">
        <w:t xml:space="preserve"> </w:t>
      </w:r>
      <w:r w:rsidRPr="001352AB">
        <w:rPr>
          <w:rFonts w:ascii="Sylfaen" w:hAnsi="Sylfaen" w:cs="Sylfaen"/>
        </w:rPr>
        <w:t>და</w:t>
      </w:r>
      <w:r w:rsidRPr="001352AB">
        <w:t xml:space="preserve"> </w:t>
      </w:r>
      <w:r w:rsidRPr="001352AB">
        <w:rPr>
          <w:rFonts w:ascii="Sylfaen" w:hAnsi="Sylfaen" w:cs="Sylfaen"/>
        </w:rPr>
        <w:t>ბერმები</w:t>
      </w:r>
      <w:r w:rsidRPr="001352AB">
        <w:t xml:space="preserve"> </w:t>
      </w:r>
      <w:r w:rsidRPr="001352AB">
        <w:rPr>
          <w:rFonts w:ascii="Sylfaen" w:hAnsi="Sylfaen" w:cs="Sylfaen"/>
        </w:rPr>
        <w:t>საშუალებას</w:t>
      </w:r>
      <w:r w:rsidRPr="001352AB">
        <w:t xml:space="preserve"> </w:t>
      </w:r>
      <w:r w:rsidRPr="001352AB">
        <w:rPr>
          <w:rFonts w:ascii="Sylfaen" w:hAnsi="Sylfaen" w:cs="Sylfaen"/>
        </w:rPr>
        <w:t>იძლევიან</w:t>
      </w:r>
      <w:r w:rsidRPr="001352AB">
        <w:t xml:space="preserve"> </w:t>
      </w:r>
      <w:r w:rsidRPr="001352AB">
        <w:rPr>
          <w:rFonts w:ascii="Sylfaen" w:hAnsi="Sylfaen" w:cs="Sylfaen"/>
        </w:rPr>
        <w:t>აცილებულ</w:t>
      </w:r>
      <w:r w:rsidRPr="001352AB">
        <w:t xml:space="preserve"> </w:t>
      </w:r>
      <w:r w:rsidRPr="001352AB">
        <w:rPr>
          <w:rFonts w:ascii="Sylfaen" w:hAnsi="Sylfaen" w:cs="Sylfaen"/>
        </w:rPr>
        <w:t>იქნას</w:t>
      </w:r>
      <w:r w:rsidRPr="001352AB">
        <w:t xml:space="preserve"> </w:t>
      </w:r>
      <w:r w:rsidRPr="001352AB">
        <w:rPr>
          <w:rFonts w:ascii="Sylfaen" w:hAnsi="Sylfaen" w:cs="Sylfaen"/>
        </w:rPr>
        <w:t>დატბორვა</w:t>
      </w:r>
      <w:r w:rsidRPr="001352AB">
        <w:t xml:space="preserve"> </w:t>
      </w:r>
      <w:r w:rsidRPr="001352AB">
        <w:rPr>
          <w:rFonts w:ascii="Sylfaen" w:hAnsi="Sylfaen" w:cs="Sylfaen"/>
        </w:rPr>
        <w:t>და</w:t>
      </w:r>
      <w:r w:rsidRPr="001352AB">
        <w:t xml:space="preserve"> </w:t>
      </w:r>
      <w:r w:rsidRPr="001352AB">
        <w:rPr>
          <w:rFonts w:ascii="Sylfaen" w:hAnsi="Sylfaen" w:cs="Sylfaen"/>
        </w:rPr>
        <w:t>გზის</w:t>
      </w:r>
      <w:r w:rsidRPr="001352AB">
        <w:t xml:space="preserve"> </w:t>
      </w:r>
      <w:r w:rsidRPr="001352AB">
        <w:rPr>
          <w:rFonts w:ascii="Sylfaen" w:hAnsi="Sylfaen" w:cs="Sylfaen"/>
        </w:rPr>
        <w:t>წარეცხვა</w:t>
      </w:r>
      <w:r w:rsidRPr="001352AB">
        <w:t xml:space="preserve">, </w:t>
      </w:r>
      <w:r w:rsidRPr="001352AB">
        <w:rPr>
          <w:rFonts w:ascii="Sylfaen" w:hAnsi="Sylfaen" w:cs="Sylfaen"/>
        </w:rPr>
        <w:t>ამცირებენ</w:t>
      </w:r>
      <w:r w:rsidRPr="001352AB">
        <w:t xml:space="preserve"> </w:t>
      </w:r>
      <w:r w:rsidRPr="001352AB">
        <w:rPr>
          <w:rFonts w:ascii="Sylfaen" w:hAnsi="Sylfaen" w:cs="Sylfaen"/>
        </w:rPr>
        <w:t>ეროზიას</w:t>
      </w:r>
      <w:r w:rsidRPr="001352AB">
        <w:t xml:space="preserve">, </w:t>
      </w:r>
      <w:r w:rsidRPr="001352AB">
        <w:rPr>
          <w:rFonts w:ascii="Sylfaen" w:hAnsi="Sylfaen" w:cs="Sylfaen"/>
        </w:rPr>
        <w:t>წყლის</w:t>
      </w:r>
      <w:r w:rsidRPr="001352AB">
        <w:t xml:space="preserve"> </w:t>
      </w:r>
      <w:r w:rsidRPr="001352AB">
        <w:rPr>
          <w:rFonts w:ascii="Sylfaen" w:hAnsi="Sylfaen" w:cs="Sylfaen"/>
        </w:rPr>
        <w:t>დაგუბებას</w:t>
      </w:r>
      <w:r w:rsidRPr="001352AB">
        <w:t xml:space="preserve"> </w:t>
      </w:r>
      <w:r w:rsidRPr="001352AB">
        <w:rPr>
          <w:rFonts w:ascii="Sylfaen" w:hAnsi="Sylfaen" w:cs="Sylfaen"/>
        </w:rPr>
        <w:t>და</w:t>
      </w:r>
      <w:r w:rsidRPr="001352AB">
        <w:t xml:space="preserve"> </w:t>
      </w:r>
      <w:r w:rsidRPr="001352AB">
        <w:rPr>
          <w:rFonts w:ascii="Sylfaen" w:hAnsi="Sylfaen" w:cs="Sylfaen"/>
        </w:rPr>
        <w:t>იძლევიან</w:t>
      </w:r>
      <w:r w:rsidRPr="001352AB">
        <w:t xml:space="preserve"> </w:t>
      </w:r>
      <w:r w:rsidRPr="001352AB">
        <w:rPr>
          <w:rFonts w:ascii="Sylfaen" w:hAnsi="Sylfaen" w:cs="Sylfaen"/>
        </w:rPr>
        <w:t>ზედაპირული</w:t>
      </w:r>
      <w:r w:rsidRPr="001352AB">
        <w:t xml:space="preserve"> </w:t>
      </w:r>
      <w:r w:rsidRPr="001352AB">
        <w:rPr>
          <w:rFonts w:ascii="Sylfaen" w:hAnsi="Sylfaen" w:cs="Sylfaen"/>
        </w:rPr>
        <w:t>ჩამონადენის</w:t>
      </w:r>
      <w:r w:rsidRPr="001352AB">
        <w:t xml:space="preserve"> </w:t>
      </w:r>
      <w:r w:rsidRPr="001352AB">
        <w:rPr>
          <w:rFonts w:ascii="Sylfaen" w:hAnsi="Sylfaen" w:cs="Sylfaen"/>
        </w:rPr>
        <w:t>არინების</w:t>
      </w:r>
      <w:r w:rsidRPr="001352AB">
        <w:t xml:space="preserve"> </w:t>
      </w:r>
      <w:r w:rsidRPr="001352AB">
        <w:rPr>
          <w:rFonts w:ascii="Sylfaen" w:hAnsi="Sylfaen" w:cs="Sylfaen"/>
        </w:rPr>
        <w:t>საშუალებას</w:t>
      </w:r>
      <w:r w:rsidRPr="001352AB">
        <w:t>.)</w:t>
      </w:r>
    </w:p>
    <w:p w14:paraId="180AD6AA" w14:textId="77777777" w:rsidR="00CD64B5" w:rsidRPr="001352AB" w:rsidRDefault="00CD64B5" w:rsidP="00CD64B5">
      <w:pPr>
        <w:spacing w:before="120" w:after="120"/>
        <w:rPr>
          <w:lang w:eastAsia="en-US"/>
        </w:rPr>
      </w:pPr>
      <w:r w:rsidRPr="001352AB">
        <w:rPr>
          <w:rFonts w:ascii="Sylfaen" w:hAnsi="Sylfaen" w:cs="Sylfaen"/>
        </w:rPr>
        <w:t>მოწყობილი</w:t>
      </w:r>
      <w:r w:rsidRPr="001352AB">
        <w:t xml:space="preserve"> </w:t>
      </w:r>
      <w:r w:rsidRPr="001352AB">
        <w:rPr>
          <w:rFonts w:ascii="Sylfaen" w:hAnsi="Sylfaen" w:cs="Sylfaen"/>
        </w:rPr>
        <w:t>ფერდობის</w:t>
      </w:r>
      <w:r w:rsidRPr="001352AB">
        <w:t xml:space="preserve"> </w:t>
      </w:r>
      <w:r w:rsidRPr="001352AB">
        <w:rPr>
          <w:rFonts w:ascii="Sylfaen" w:hAnsi="Sylfaen" w:cs="Sylfaen"/>
        </w:rPr>
        <w:t>სტაბილიზაციის</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გატარება</w:t>
      </w:r>
      <w:r w:rsidRPr="001352AB">
        <w:t xml:space="preserve"> (</w:t>
      </w:r>
      <w:r w:rsidRPr="001352AB">
        <w:rPr>
          <w:rFonts w:ascii="Sylfaen" w:hAnsi="Sylfaen" w:cs="Sylfaen"/>
        </w:rPr>
        <w:t>მაგ</w:t>
      </w:r>
      <w:r w:rsidRPr="001352AB">
        <w:t xml:space="preserve">. </w:t>
      </w:r>
      <w:r w:rsidRPr="001352AB">
        <w:rPr>
          <w:rFonts w:ascii="Sylfaen" w:hAnsi="Sylfaen" w:cs="Sylfaen"/>
        </w:rPr>
        <w:t>ჰიდროთესვა</w:t>
      </w:r>
      <w:r w:rsidRPr="001352AB">
        <w:t xml:space="preserve">, </w:t>
      </w:r>
      <w:r w:rsidRPr="001352AB">
        <w:rPr>
          <w:rFonts w:ascii="Sylfaen" w:hAnsi="Sylfaen" w:cs="Sylfaen"/>
        </w:rPr>
        <w:t>თუ</w:t>
      </w:r>
      <w:r w:rsidRPr="001352AB">
        <w:t xml:space="preserve"> </w:t>
      </w:r>
      <w:r w:rsidRPr="001352AB">
        <w:rPr>
          <w:rFonts w:ascii="Sylfaen" w:hAnsi="Sylfaen" w:cs="Sylfaen"/>
        </w:rPr>
        <w:t>ამის</w:t>
      </w:r>
      <w:r w:rsidRPr="001352AB">
        <w:t xml:space="preserve"> </w:t>
      </w:r>
      <w:r w:rsidRPr="001352AB">
        <w:rPr>
          <w:rFonts w:ascii="Sylfaen" w:hAnsi="Sylfaen" w:cs="Sylfaen"/>
        </w:rPr>
        <w:t>აუცილებლობა</w:t>
      </w:r>
      <w:r w:rsidRPr="001352AB">
        <w:t xml:space="preserve"> </w:t>
      </w:r>
      <w:r w:rsidRPr="001352AB">
        <w:rPr>
          <w:rFonts w:ascii="Sylfaen" w:hAnsi="Sylfaen" w:cs="Sylfaen"/>
        </w:rPr>
        <w:t>გამოვლინდა</w:t>
      </w:r>
      <w:r w:rsidRPr="001352AB">
        <w:t xml:space="preserve">, </w:t>
      </w:r>
      <w:r w:rsidRPr="001352AB">
        <w:rPr>
          <w:rFonts w:ascii="Sylfaen" w:hAnsi="Sylfaen" w:cs="Sylfaen"/>
        </w:rPr>
        <w:t>მექანიკური</w:t>
      </w:r>
      <w:r w:rsidRPr="001352AB">
        <w:t xml:space="preserve"> </w:t>
      </w:r>
      <w:r w:rsidRPr="001352AB">
        <w:rPr>
          <w:rFonts w:ascii="Sylfaen" w:hAnsi="Sylfaen" w:cs="Sylfaen"/>
        </w:rPr>
        <w:t>საშუალებების</w:t>
      </w:r>
      <w:r w:rsidRPr="001352AB">
        <w:t xml:space="preserve"> </w:t>
      </w:r>
      <w:r w:rsidRPr="001352AB">
        <w:rPr>
          <w:rFonts w:ascii="Sylfaen" w:hAnsi="Sylfaen" w:cs="Sylfaen"/>
        </w:rPr>
        <w:t>გამოყენება</w:t>
      </w:r>
      <w:r w:rsidRPr="001352AB">
        <w:t>).</w:t>
      </w:r>
    </w:p>
    <w:p w14:paraId="72D9EC48" w14:textId="77777777" w:rsidR="00CD64B5" w:rsidRPr="001352AB" w:rsidRDefault="00CD64B5" w:rsidP="00CD64B5">
      <w:pPr>
        <w:spacing w:before="120" w:after="120"/>
      </w:pPr>
      <w:r w:rsidRPr="001352AB">
        <w:rPr>
          <w:rFonts w:ascii="Sylfaen" w:hAnsi="Sylfaen" w:cs="Sylfaen"/>
        </w:rPr>
        <w:t>კონტრაქტორის</w:t>
      </w:r>
      <w:r w:rsidRPr="001352AB">
        <w:t xml:space="preserve"> </w:t>
      </w:r>
      <w:r w:rsidRPr="001352AB">
        <w:rPr>
          <w:rFonts w:ascii="Sylfaen" w:hAnsi="Sylfaen" w:cs="Sylfaen"/>
        </w:rPr>
        <w:t>პერსონალს</w:t>
      </w:r>
      <w:r w:rsidRPr="001352AB">
        <w:t xml:space="preserve"> </w:t>
      </w:r>
      <w:r w:rsidRPr="001352AB">
        <w:rPr>
          <w:rFonts w:ascii="Sylfaen" w:hAnsi="Sylfaen" w:cs="Sylfaen"/>
        </w:rPr>
        <w:t>ჩაუტარდება</w:t>
      </w:r>
      <w:r w:rsidRPr="001352AB">
        <w:t xml:space="preserve"> </w:t>
      </w:r>
      <w:r w:rsidRPr="001352AB">
        <w:rPr>
          <w:rFonts w:ascii="Sylfaen" w:hAnsi="Sylfaen" w:cs="Sylfaen"/>
        </w:rPr>
        <w:t>ტრეინინგი</w:t>
      </w:r>
      <w:r w:rsidRPr="001352AB">
        <w:t xml:space="preserve"> </w:t>
      </w:r>
      <w:r w:rsidRPr="001352AB">
        <w:rPr>
          <w:rFonts w:ascii="Sylfaen" w:hAnsi="Sylfaen" w:cs="Sylfaen"/>
        </w:rPr>
        <w:t>გარემოსდაცვით</w:t>
      </w:r>
      <w:r w:rsidRPr="001352AB">
        <w:t xml:space="preserve"> </w:t>
      </w:r>
      <w:r w:rsidRPr="001352AB">
        <w:rPr>
          <w:rFonts w:ascii="Sylfaen" w:hAnsi="Sylfaen" w:cs="Sylfaen"/>
        </w:rPr>
        <w:t>და</w:t>
      </w:r>
      <w:r w:rsidRPr="001352AB">
        <w:t xml:space="preserve"> </w:t>
      </w:r>
      <w:r w:rsidRPr="001352AB">
        <w:rPr>
          <w:rFonts w:ascii="Sylfaen" w:hAnsi="Sylfaen" w:cs="Sylfaen"/>
        </w:rPr>
        <w:t>უსაფრთხოების</w:t>
      </w:r>
      <w:r w:rsidRPr="001352AB">
        <w:t xml:space="preserve"> </w:t>
      </w:r>
      <w:r w:rsidRPr="001352AB">
        <w:rPr>
          <w:rFonts w:ascii="Sylfaen" w:hAnsi="Sylfaen" w:cs="Sylfaen"/>
        </w:rPr>
        <w:t>საკითხებზე</w:t>
      </w:r>
      <w:r w:rsidRPr="001352AB">
        <w:t>.</w:t>
      </w:r>
    </w:p>
    <w:p w14:paraId="2D4A6CA9" w14:textId="77777777" w:rsidR="00CD64B5" w:rsidRPr="001352AB" w:rsidRDefault="00CD64B5" w:rsidP="00CD64B5">
      <w:pPr>
        <w:spacing w:before="120" w:after="120"/>
      </w:pPr>
      <w:r w:rsidRPr="001352AB">
        <w:rPr>
          <w:rFonts w:ascii="Sylfaen" w:hAnsi="Sylfaen" w:cs="Sylfaen"/>
        </w:rPr>
        <w:t>ცხრილში</w:t>
      </w:r>
      <w:r w:rsidRPr="001352AB">
        <w:t xml:space="preserve"> </w:t>
      </w:r>
      <w:r w:rsidRPr="001352AB">
        <w:rPr>
          <w:rFonts w:ascii="Sylfaen" w:hAnsi="Sylfaen" w:cs="Sylfaen"/>
        </w:rPr>
        <w:t>მოცემულია</w:t>
      </w:r>
      <w:r w:rsidRPr="001352AB">
        <w:t xml:space="preserve"> </w:t>
      </w:r>
      <w:r w:rsidRPr="001352AB">
        <w:rPr>
          <w:rFonts w:ascii="Sylfaen" w:hAnsi="Sylfaen" w:cs="Sylfaen"/>
        </w:rPr>
        <w:t>ზოგიერთი</w:t>
      </w:r>
      <w:r w:rsidRPr="001352AB">
        <w:t xml:space="preserve"> </w:t>
      </w:r>
      <w:r w:rsidRPr="001352AB">
        <w:rPr>
          <w:rFonts w:ascii="Sylfaen" w:hAnsi="Sylfaen" w:cs="Sylfaen"/>
        </w:rPr>
        <w:t>შესაძლო</w:t>
      </w:r>
      <w:r w:rsidRPr="001352AB">
        <w:t xml:space="preserve"> </w:t>
      </w:r>
      <w:r w:rsidRPr="001352AB">
        <w:rPr>
          <w:rFonts w:ascii="Sylfaen" w:hAnsi="Sylfaen" w:cs="Sylfaen"/>
        </w:rPr>
        <w:t>პრობლემა</w:t>
      </w:r>
      <w:r w:rsidRPr="001352AB">
        <w:t xml:space="preserve"> </w:t>
      </w:r>
      <w:r w:rsidRPr="001352AB">
        <w:rPr>
          <w:rFonts w:ascii="Sylfaen" w:hAnsi="Sylfaen" w:cs="Sylfaen"/>
        </w:rPr>
        <w:t>და</w:t>
      </w:r>
      <w:r w:rsidRPr="001352AB">
        <w:t xml:space="preserve"> </w:t>
      </w:r>
      <w:r w:rsidRPr="001352AB">
        <w:rPr>
          <w:rFonts w:ascii="Sylfaen" w:hAnsi="Sylfaen" w:cs="Sylfaen"/>
        </w:rPr>
        <w:t>მის</w:t>
      </w:r>
      <w:r w:rsidRPr="001352AB">
        <w:t xml:space="preserve"> </w:t>
      </w:r>
      <w:r w:rsidRPr="001352AB">
        <w:rPr>
          <w:rFonts w:ascii="Sylfaen" w:hAnsi="Sylfaen" w:cs="Sylfaen"/>
        </w:rPr>
        <w:t>გადასაჭრელად</w:t>
      </w:r>
      <w:r w:rsidRPr="001352AB">
        <w:t xml:space="preserve"> </w:t>
      </w:r>
      <w:r w:rsidRPr="001352AB">
        <w:rPr>
          <w:rFonts w:ascii="Sylfaen" w:hAnsi="Sylfaen" w:cs="Sylfaen"/>
        </w:rPr>
        <w:t>ნავარაუდევი</w:t>
      </w:r>
      <w:r w:rsidRPr="001352AB">
        <w:t xml:space="preserve"> </w:t>
      </w:r>
      <w:r w:rsidRPr="001352AB">
        <w:rPr>
          <w:rFonts w:ascii="Sylfaen" w:hAnsi="Sylfaen" w:cs="Sylfaen"/>
        </w:rPr>
        <w:t>გზა</w:t>
      </w:r>
      <w:r w:rsidRPr="001352AB">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94"/>
        <w:gridCol w:w="5195"/>
      </w:tblGrid>
      <w:tr w:rsidR="00CD64B5" w:rsidRPr="001352AB" w14:paraId="142E45DA" w14:textId="77777777" w:rsidTr="00CD64B5">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375574" w14:textId="77777777" w:rsidR="00CD64B5" w:rsidRPr="001352AB" w:rsidRDefault="00CD64B5" w:rsidP="00CD64B5">
            <w:r w:rsidRPr="001352AB">
              <w:rPr>
                <w:rFonts w:ascii="Sylfaen" w:hAnsi="Sylfaen" w:cs="Sylfaen"/>
              </w:rPr>
              <w:t>პრობლემა</w:t>
            </w:r>
          </w:p>
        </w:tc>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D6169D" w14:textId="77777777" w:rsidR="00CD64B5" w:rsidRPr="001352AB" w:rsidRDefault="00CD64B5" w:rsidP="00CD64B5">
            <w:r w:rsidRPr="001352AB">
              <w:rPr>
                <w:rFonts w:ascii="Sylfaen" w:hAnsi="Sylfaen" w:cs="Sylfaen"/>
              </w:rPr>
              <w:t>პრობლემის</w:t>
            </w:r>
            <w:r w:rsidRPr="001352AB">
              <w:t xml:space="preserve"> </w:t>
            </w:r>
            <w:r w:rsidRPr="001352AB">
              <w:rPr>
                <w:rFonts w:ascii="Sylfaen" w:hAnsi="Sylfaen" w:cs="Sylfaen"/>
              </w:rPr>
              <w:t>გადაწყვეტა</w:t>
            </w:r>
          </w:p>
        </w:tc>
      </w:tr>
      <w:tr w:rsidR="00CD64B5" w:rsidRPr="001352AB" w14:paraId="6882E653" w14:textId="77777777" w:rsidTr="00CD64B5">
        <w:tc>
          <w:tcPr>
            <w:tcW w:w="2500" w:type="pct"/>
            <w:tcBorders>
              <w:top w:val="single" w:sz="4" w:space="0" w:color="auto"/>
              <w:left w:val="single" w:sz="4" w:space="0" w:color="auto"/>
              <w:bottom w:val="single" w:sz="4" w:space="0" w:color="auto"/>
              <w:right w:val="single" w:sz="4" w:space="0" w:color="auto"/>
            </w:tcBorders>
          </w:tcPr>
          <w:p w14:paraId="4E3A743E" w14:textId="77777777" w:rsidR="00CD64B5" w:rsidRPr="001352AB" w:rsidRDefault="00CD64B5" w:rsidP="00CD64B5">
            <w:r w:rsidRPr="001352AB">
              <w:rPr>
                <w:rFonts w:ascii="Sylfaen" w:hAnsi="Sylfaen" w:cs="Sylfaen"/>
              </w:rPr>
              <w:t>ზედაპირული</w:t>
            </w:r>
            <w:r w:rsidRPr="001352AB">
              <w:t xml:space="preserve"> </w:t>
            </w:r>
            <w:r w:rsidRPr="001352AB">
              <w:rPr>
                <w:rFonts w:ascii="Sylfaen" w:hAnsi="Sylfaen" w:cs="Sylfaen"/>
              </w:rPr>
              <w:t>ჩამონადენი</w:t>
            </w:r>
            <w:r w:rsidRPr="001352AB">
              <w:t xml:space="preserve"> </w:t>
            </w:r>
            <w:r w:rsidRPr="001352AB">
              <w:rPr>
                <w:rFonts w:ascii="Sylfaen" w:hAnsi="Sylfaen" w:cs="Sylfaen"/>
              </w:rPr>
              <w:t>ქმნის</w:t>
            </w:r>
            <w:r w:rsidRPr="001352AB">
              <w:t xml:space="preserve"> </w:t>
            </w:r>
            <w:r w:rsidRPr="001352AB">
              <w:rPr>
                <w:rFonts w:ascii="Sylfaen" w:hAnsi="Sylfaen" w:cs="Sylfaen"/>
              </w:rPr>
              <w:t>ფერდობის</w:t>
            </w:r>
            <w:r w:rsidRPr="001352AB">
              <w:t xml:space="preserve"> </w:t>
            </w:r>
            <w:r w:rsidRPr="001352AB">
              <w:rPr>
                <w:rFonts w:ascii="Sylfaen" w:hAnsi="Sylfaen" w:cs="Sylfaen"/>
              </w:rPr>
              <w:t>ეროზიის</w:t>
            </w:r>
            <w:r w:rsidRPr="001352AB">
              <w:t xml:space="preserve"> </w:t>
            </w:r>
            <w:r w:rsidRPr="001352AB">
              <w:rPr>
                <w:rFonts w:ascii="Sylfaen" w:hAnsi="Sylfaen" w:cs="Sylfaen"/>
              </w:rPr>
              <w:t>რისკს</w:t>
            </w:r>
            <w:r w:rsidRPr="001352AB">
              <w:t>.</w:t>
            </w:r>
          </w:p>
          <w:p w14:paraId="338A4345" w14:textId="77777777" w:rsidR="00CD64B5" w:rsidRPr="001352AB" w:rsidRDefault="00CD64B5" w:rsidP="00CD64B5"/>
        </w:tc>
        <w:tc>
          <w:tcPr>
            <w:tcW w:w="2500" w:type="pct"/>
            <w:tcBorders>
              <w:top w:val="single" w:sz="4" w:space="0" w:color="auto"/>
              <w:left w:val="single" w:sz="4" w:space="0" w:color="auto"/>
              <w:bottom w:val="single" w:sz="4" w:space="0" w:color="auto"/>
              <w:right w:val="single" w:sz="4" w:space="0" w:color="auto"/>
            </w:tcBorders>
            <w:hideMark/>
          </w:tcPr>
          <w:p w14:paraId="5A437240" w14:textId="77777777" w:rsidR="00CD64B5" w:rsidRPr="001352AB" w:rsidRDefault="00CD64B5" w:rsidP="00CD64B5">
            <w:r w:rsidRPr="001352AB">
              <w:rPr>
                <w:rFonts w:ascii="Sylfaen" w:hAnsi="Sylfaen" w:cs="Sylfaen"/>
              </w:rPr>
              <w:t>ორი</w:t>
            </w:r>
            <w:r w:rsidRPr="001352AB">
              <w:t xml:space="preserve"> </w:t>
            </w:r>
            <w:r w:rsidRPr="001352AB">
              <w:rPr>
                <w:rFonts w:ascii="Sylfaen" w:hAnsi="Sylfaen" w:cs="Sylfaen"/>
              </w:rPr>
              <w:t>ქმედების</w:t>
            </w:r>
            <w:r w:rsidRPr="001352AB">
              <w:t xml:space="preserve"> </w:t>
            </w:r>
            <w:r w:rsidRPr="001352AB">
              <w:rPr>
                <w:rFonts w:ascii="Sylfaen" w:hAnsi="Sylfaen" w:cs="Sylfaen"/>
              </w:rPr>
              <w:t>კომბინაცია</w:t>
            </w:r>
            <w:r w:rsidRPr="001352AB">
              <w:t xml:space="preserve"> - </w:t>
            </w:r>
            <w:r w:rsidRPr="001352AB">
              <w:rPr>
                <w:rFonts w:ascii="Sylfaen" w:hAnsi="Sylfaen" w:cs="Sylfaen"/>
              </w:rPr>
              <w:t>წყალსარინი</w:t>
            </w:r>
            <w:r w:rsidRPr="001352AB">
              <w:t xml:space="preserve"> </w:t>
            </w:r>
            <w:r w:rsidRPr="001352AB">
              <w:rPr>
                <w:rFonts w:ascii="Sylfaen" w:hAnsi="Sylfaen" w:cs="Sylfaen"/>
              </w:rPr>
              <w:t>არხების</w:t>
            </w:r>
            <w:r w:rsidRPr="001352AB">
              <w:t xml:space="preserve"> </w:t>
            </w:r>
            <w:r w:rsidRPr="001352AB">
              <w:rPr>
                <w:rFonts w:ascii="Sylfaen" w:hAnsi="Sylfaen" w:cs="Sylfaen"/>
              </w:rPr>
              <w:t>მოწყობა</w:t>
            </w:r>
            <w:r w:rsidRPr="001352AB">
              <w:t xml:space="preserve"> </w:t>
            </w:r>
            <w:r w:rsidRPr="001352AB">
              <w:rPr>
                <w:rFonts w:ascii="Sylfaen" w:hAnsi="Sylfaen" w:cs="Sylfaen"/>
              </w:rPr>
              <w:t>და</w:t>
            </w:r>
            <w:r w:rsidRPr="001352AB">
              <w:t xml:space="preserve"> </w:t>
            </w:r>
            <w:r w:rsidRPr="001352AB">
              <w:rPr>
                <w:rFonts w:ascii="Sylfaen" w:hAnsi="Sylfaen" w:cs="Sylfaen"/>
              </w:rPr>
              <w:t>ფერდობის</w:t>
            </w:r>
            <w:r w:rsidRPr="001352AB">
              <w:t xml:space="preserve"> </w:t>
            </w:r>
            <w:r w:rsidRPr="001352AB">
              <w:rPr>
                <w:rFonts w:ascii="Sylfaen" w:hAnsi="Sylfaen" w:cs="Sylfaen"/>
              </w:rPr>
              <w:t>გამაგრება</w:t>
            </w:r>
            <w:r w:rsidRPr="001352AB">
              <w:t xml:space="preserve"> (</w:t>
            </w:r>
            <w:r w:rsidRPr="001352AB">
              <w:rPr>
                <w:rFonts w:ascii="Sylfaen" w:hAnsi="Sylfaen" w:cs="Sylfaen"/>
              </w:rPr>
              <w:t>დამცავი</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გამოყენება</w:t>
            </w:r>
            <w:r w:rsidRPr="001352AB">
              <w:t xml:space="preserve">) </w:t>
            </w:r>
          </w:p>
        </w:tc>
      </w:tr>
      <w:tr w:rsidR="00CD64B5" w:rsidRPr="001352AB" w14:paraId="32917977" w14:textId="77777777" w:rsidTr="00CD64B5">
        <w:tc>
          <w:tcPr>
            <w:tcW w:w="2500" w:type="pct"/>
            <w:tcBorders>
              <w:top w:val="single" w:sz="4" w:space="0" w:color="auto"/>
              <w:left w:val="single" w:sz="4" w:space="0" w:color="auto"/>
              <w:bottom w:val="single" w:sz="4" w:space="0" w:color="auto"/>
              <w:right w:val="single" w:sz="4" w:space="0" w:color="auto"/>
            </w:tcBorders>
            <w:hideMark/>
          </w:tcPr>
          <w:p w14:paraId="00CAFFA2" w14:textId="77777777" w:rsidR="00CD64B5" w:rsidRPr="001352AB" w:rsidRDefault="00CD64B5" w:rsidP="00CD64B5">
            <w:r w:rsidRPr="001352AB">
              <w:rPr>
                <w:rFonts w:ascii="Sylfaen" w:hAnsi="Sylfaen" w:cs="Sylfaen"/>
              </w:rPr>
              <w:t>ნალექიან</w:t>
            </w:r>
            <w:r w:rsidRPr="001352AB">
              <w:t xml:space="preserve"> </w:t>
            </w:r>
            <w:r w:rsidRPr="001352AB">
              <w:rPr>
                <w:rFonts w:ascii="Sylfaen" w:hAnsi="Sylfaen" w:cs="Sylfaen"/>
              </w:rPr>
              <w:t>ამინდში</w:t>
            </w:r>
            <w:r w:rsidRPr="001352AB">
              <w:t xml:space="preserve"> </w:t>
            </w:r>
            <w:r w:rsidRPr="001352AB">
              <w:rPr>
                <w:rFonts w:ascii="Sylfaen" w:hAnsi="Sylfaen" w:cs="Sylfaen"/>
              </w:rPr>
              <w:t>ვაკისის</w:t>
            </w:r>
            <w:r w:rsidRPr="001352AB">
              <w:t xml:space="preserve"> </w:t>
            </w:r>
            <w:r w:rsidRPr="001352AB">
              <w:rPr>
                <w:rFonts w:ascii="Sylfaen" w:hAnsi="Sylfaen" w:cs="Sylfaen"/>
              </w:rPr>
              <w:t>გარე</w:t>
            </w:r>
            <w:r w:rsidRPr="001352AB">
              <w:t xml:space="preserve"> </w:t>
            </w:r>
            <w:r w:rsidRPr="001352AB">
              <w:rPr>
                <w:rFonts w:ascii="Sylfaen" w:hAnsi="Sylfaen" w:cs="Sylfaen"/>
              </w:rPr>
              <w:t>ზედაპირის</w:t>
            </w:r>
            <w:r w:rsidRPr="001352AB">
              <w:t xml:space="preserve"> (</w:t>
            </w:r>
            <w:r w:rsidRPr="001352AB">
              <w:rPr>
                <w:rFonts w:ascii="Sylfaen" w:hAnsi="Sylfaen" w:cs="Sylfaen"/>
              </w:rPr>
              <w:t>რომელიც</w:t>
            </w:r>
            <w:r w:rsidRPr="001352AB">
              <w:t xml:space="preserve"> </w:t>
            </w:r>
            <w:r w:rsidRPr="001352AB">
              <w:rPr>
                <w:rFonts w:ascii="Sylfaen" w:hAnsi="Sylfaen" w:cs="Sylfaen"/>
              </w:rPr>
              <w:t>ჩვეულებრივ</w:t>
            </w:r>
            <w:r w:rsidRPr="001352AB">
              <w:t xml:space="preserve"> </w:t>
            </w:r>
            <w:r w:rsidRPr="001352AB">
              <w:rPr>
                <w:rFonts w:ascii="Sylfaen" w:hAnsi="Sylfaen" w:cs="Sylfaen"/>
              </w:rPr>
              <w:t>ნაკლებად</w:t>
            </w:r>
            <w:r w:rsidRPr="001352AB">
              <w:t xml:space="preserve"> </w:t>
            </w:r>
            <w:r w:rsidRPr="001352AB">
              <w:rPr>
                <w:rFonts w:ascii="Sylfaen" w:hAnsi="Sylfaen" w:cs="Sylfaen"/>
              </w:rPr>
              <w:t>არის</w:t>
            </w:r>
            <w:r w:rsidRPr="001352AB">
              <w:t xml:space="preserve"> </w:t>
            </w:r>
            <w:r w:rsidRPr="001352AB">
              <w:rPr>
                <w:rFonts w:ascii="Sylfaen" w:hAnsi="Sylfaen" w:cs="Sylfaen"/>
              </w:rPr>
              <w:t>დატკეპნილი</w:t>
            </w:r>
            <w:r w:rsidRPr="001352AB">
              <w:t xml:space="preserve">) </w:t>
            </w:r>
            <w:r w:rsidRPr="001352AB">
              <w:rPr>
                <w:rFonts w:ascii="Sylfaen" w:hAnsi="Sylfaen" w:cs="Sylfaen"/>
              </w:rPr>
              <w:t>მომატებული</w:t>
            </w:r>
            <w:r w:rsidRPr="001352AB">
              <w:t xml:space="preserve"> </w:t>
            </w:r>
            <w:r w:rsidRPr="001352AB">
              <w:rPr>
                <w:rFonts w:ascii="Sylfaen" w:hAnsi="Sylfaen" w:cs="Sylfaen"/>
              </w:rPr>
              <w:t>ტენშემცველობის</w:t>
            </w:r>
            <w:r w:rsidRPr="001352AB">
              <w:t xml:space="preserve"> </w:t>
            </w:r>
            <w:r w:rsidRPr="001352AB">
              <w:rPr>
                <w:rFonts w:ascii="Sylfaen" w:hAnsi="Sylfaen" w:cs="Sylfaen"/>
              </w:rPr>
              <w:t>ზრდის</w:t>
            </w:r>
            <w:r w:rsidRPr="001352AB">
              <w:t xml:space="preserve"> </w:t>
            </w:r>
            <w:r w:rsidRPr="001352AB">
              <w:rPr>
                <w:rFonts w:ascii="Sylfaen" w:hAnsi="Sylfaen" w:cs="Sylfaen"/>
              </w:rPr>
              <w:t>ფერდი</w:t>
            </w:r>
            <w:r w:rsidRPr="001352AB">
              <w:t xml:space="preserve"> </w:t>
            </w:r>
            <w:r w:rsidRPr="001352AB">
              <w:rPr>
                <w:rFonts w:ascii="Sylfaen" w:hAnsi="Sylfaen" w:cs="Sylfaen"/>
              </w:rPr>
              <w:t>ჩამოიშალოს</w:t>
            </w:r>
            <w:r w:rsidRPr="001352AB">
              <w:t xml:space="preserve"> </w:t>
            </w:r>
            <w:r w:rsidRPr="001352AB">
              <w:rPr>
                <w:rFonts w:ascii="Sylfaen" w:hAnsi="Sylfaen" w:cs="Sylfaen"/>
              </w:rPr>
              <w:t>რისკს</w:t>
            </w:r>
            <w:r w:rsidRPr="001352AB">
              <w:t>.</w:t>
            </w:r>
          </w:p>
        </w:tc>
        <w:tc>
          <w:tcPr>
            <w:tcW w:w="2500" w:type="pct"/>
            <w:tcBorders>
              <w:top w:val="single" w:sz="4" w:space="0" w:color="auto"/>
              <w:left w:val="single" w:sz="4" w:space="0" w:color="auto"/>
              <w:bottom w:val="single" w:sz="4" w:space="0" w:color="auto"/>
              <w:right w:val="single" w:sz="4" w:space="0" w:color="auto"/>
            </w:tcBorders>
            <w:hideMark/>
          </w:tcPr>
          <w:p w14:paraId="06BD9889" w14:textId="77777777" w:rsidR="00CD64B5" w:rsidRPr="001352AB" w:rsidRDefault="00CD64B5" w:rsidP="00CD64B5">
            <w:r w:rsidRPr="001352AB">
              <w:rPr>
                <w:rFonts w:ascii="Sylfaen" w:hAnsi="Sylfaen" w:cs="Sylfaen"/>
              </w:rPr>
              <w:t>დატკეპნა</w:t>
            </w:r>
            <w:r w:rsidRPr="001352AB">
              <w:t xml:space="preserve">, </w:t>
            </w:r>
            <w:r w:rsidRPr="001352AB">
              <w:rPr>
                <w:rFonts w:ascii="Sylfaen" w:hAnsi="Sylfaen" w:cs="Sylfaen"/>
              </w:rPr>
              <w:t>დროებითი</w:t>
            </w:r>
            <w:r w:rsidRPr="001352AB">
              <w:t xml:space="preserve"> </w:t>
            </w:r>
            <w:r w:rsidRPr="001352AB">
              <w:rPr>
                <w:rFonts w:ascii="Sylfaen" w:hAnsi="Sylfaen" w:cs="Sylfaen"/>
              </w:rPr>
              <w:t>ეკრანების</w:t>
            </w:r>
            <w:r w:rsidRPr="001352AB">
              <w:t xml:space="preserve"> </w:t>
            </w:r>
            <w:r w:rsidRPr="001352AB">
              <w:rPr>
                <w:rFonts w:ascii="Sylfaen" w:hAnsi="Sylfaen" w:cs="Sylfaen"/>
              </w:rPr>
              <w:t>გამოყენება</w:t>
            </w:r>
          </w:p>
        </w:tc>
      </w:tr>
    </w:tbl>
    <w:p w14:paraId="11EDAA54" w14:textId="77777777" w:rsidR="00CD64B5" w:rsidRPr="001352AB" w:rsidRDefault="00CD64B5" w:rsidP="00CD64B5">
      <w:pPr>
        <w:spacing w:before="120" w:after="120"/>
        <w:rPr>
          <w:lang w:val="ka-GE" w:eastAsia="da-DK"/>
        </w:rPr>
      </w:pPr>
      <w:r w:rsidRPr="001352AB">
        <w:rPr>
          <w:rFonts w:ascii="Sylfaen" w:hAnsi="Sylfaen" w:cs="Sylfaen"/>
        </w:rPr>
        <w:t>სამუშაოს</w:t>
      </w:r>
      <w:r w:rsidRPr="001352AB">
        <w:t xml:space="preserve"> </w:t>
      </w:r>
      <w:r w:rsidRPr="001352AB">
        <w:rPr>
          <w:rFonts w:ascii="Sylfaen" w:hAnsi="Sylfaen" w:cs="Sylfaen"/>
        </w:rPr>
        <w:t>მსვლელობის</w:t>
      </w:r>
      <w:r w:rsidRPr="001352AB">
        <w:t xml:space="preserve"> </w:t>
      </w:r>
      <w:r w:rsidRPr="001352AB">
        <w:rPr>
          <w:rFonts w:ascii="Sylfaen" w:hAnsi="Sylfaen" w:cs="Sylfaen"/>
        </w:rPr>
        <w:t>პროცესში</w:t>
      </w:r>
      <w:r w:rsidRPr="001352AB">
        <w:t xml:space="preserve"> </w:t>
      </w:r>
      <w:r w:rsidRPr="001352AB">
        <w:rPr>
          <w:rFonts w:ascii="Sylfaen" w:hAnsi="Sylfaen" w:cs="Sylfaen"/>
        </w:rPr>
        <w:t>იწარმოებს</w:t>
      </w:r>
      <w:r w:rsidRPr="001352AB">
        <w:t xml:space="preserve"> </w:t>
      </w:r>
      <w:r w:rsidRPr="001352AB">
        <w:rPr>
          <w:rFonts w:ascii="Sylfaen" w:hAnsi="Sylfaen" w:cs="Sylfaen"/>
        </w:rPr>
        <w:t>მუდმივი</w:t>
      </w:r>
      <w:r w:rsidRPr="001352AB">
        <w:t xml:space="preserve"> </w:t>
      </w:r>
      <w:r w:rsidRPr="001352AB">
        <w:rPr>
          <w:rFonts w:ascii="Sylfaen" w:hAnsi="Sylfaen" w:cs="Sylfaen"/>
        </w:rPr>
        <w:t>მონიტორინგი</w:t>
      </w:r>
      <w:r w:rsidRPr="001352AB">
        <w:t xml:space="preserve"> </w:t>
      </w:r>
      <w:r w:rsidRPr="001352AB">
        <w:rPr>
          <w:rFonts w:ascii="Sylfaen" w:hAnsi="Sylfaen" w:cs="Sylfaen"/>
        </w:rPr>
        <w:t>ეროზიული</w:t>
      </w:r>
      <w:r w:rsidRPr="001352AB">
        <w:t xml:space="preserve"> </w:t>
      </w:r>
      <w:r w:rsidRPr="001352AB">
        <w:rPr>
          <w:rFonts w:ascii="Sylfaen" w:hAnsi="Sylfaen" w:cs="Sylfaen"/>
        </w:rPr>
        <w:t>პროცესების</w:t>
      </w:r>
      <w:r w:rsidRPr="001352AB">
        <w:t xml:space="preserve"> </w:t>
      </w:r>
      <w:r w:rsidRPr="001352AB">
        <w:rPr>
          <w:rFonts w:ascii="Sylfaen" w:hAnsi="Sylfaen" w:cs="Sylfaen"/>
        </w:rPr>
        <w:t>დროული</w:t>
      </w:r>
      <w:r w:rsidRPr="001352AB">
        <w:t xml:space="preserve"> </w:t>
      </w:r>
      <w:r w:rsidRPr="001352AB">
        <w:rPr>
          <w:rFonts w:ascii="Sylfaen" w:hAnsi="Sylfaen" w:cs="Sylfaen"/>
        </w:rPr>
        <w:t>გამოვლენის</w:t>
      </w:r>
      <w:r w:rsidRPr="001352AB">
        <w:t xml:space="preserve"> </w:t>
      </w:r>
      <w:r w:rsidRPr="001352AB">
        <w:rPr>
          <w:rFonts w:ascii="Sylfaen" w:hAnsi="Sylfaen" w:cs="Sylfaen"/>
        </w:rPr>
        <w:t>და</w:t>
      </w:r>
      <w:r w:rsidRPr="001352AB">
        <w:t xml:space="preserve"> </w:t>
      </w:r>
      <w:r w:rsidRPr="001352AB">
        <w:rPr>
          <w:rFonts w:ascii="Sylfaen" w:hAnsi="Sylfaen" w:cs="Sylfaen"/>
        </w:rPr>
        <w:t>პრობლემაზე</w:t>
      </w:r>
      <w:r w:rsidRPr="001352AB">
        <w:t xml:space="preserve"> </w:t>
      </w:r>
      <w:r w:rsidRPr="001352AB">
        <w:rPr>
          <w:rFonts w:ascii="Sylfaen" w:hAnsi="Sylfaen" w:cs="Sylfaen"/>
        </w:rPr>
        <w:t>რეაგირების</w:t>
      </w:r>
      <w:r w:rsidRPr="001352AB">
        <w:t xml:space="preserve"> </w:t>
      </w:r>
      <w:r w:rsidRPr="001352AB">
        <w:rPr>
          <w:rFonts w:ascii="Sylfaen" w:hAnsi="Sylfaen" w:cs="Sylfaen"/>
        </w:rPr>
        <w:t>უზრუნველსაყოფად</w:t>
      </w:r>
      <w:r w:rsidRPr="001352AB">
        <w:t xml:space="preserve">. </w:t>
      </w:r>
    </w:p>
    <w:p w14:paraId="65AC1D69" w14:textId="5220C2C7" w:rsidR="00CD64B5" w:rsidRDefault="00CD64B5" w:rsidP="00CD64B5">
      <w:pPr>
        <w:spacing w:before="120" w:after="120"/>
      </w:pP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შესრულების</w:t>
      </w:r>
      <w:r w:rsidRPr="001352AB">
        <w:t xml:space="preserve"> </w:t>
      </w:r>
      <w:r w:rsidRPr="001352AB">
        <w:rPr>
          <w:rFonts w:ascii="Sylfaen" w:hAnsi="Sylfaen" w:cs="Sylfaen"/>
        </w:rPr>
        <w:t>უზრუნველყოფა</w:t>
      </w:r>
      <w:r w:rsidRPr="001352AB">
        <w:t xml:space="preserve"> </w:t>
      </w:r>
      <w:r w:rsidRPr="001352AB">
        <w:rPr>
          <w:rFonts w:ascii="Sylfaen" w:hAnsi="Sylfaen" w:cs="Sylfaen"/>
        </w:rPr>
        <w:t>საავტომობილო</w:t>
      </w:r>
      <w:r w:rsidRPr="001352AB">
        <w:t xml:space="preserve"> </w:t>
      </w:r>
      <w:r w:rsidRPr="001352AB">
        <w:rPr>
          <w:rFonts w:ascii="Sylfaen" w:hAnsi="Sylfaen" w:cs="Sylfaen"/>
        </w:rPr>
        <w:t>გზების</w:t>
      </w:r>
      <w:r w:rsidRPr="001352AB">
        <w:t xml:space="preserve"> </w:t>
      </w:r>
      <w:r w:rsidRPr="001352AB">
        <w:rPr>
          <w:rFonts w:ascii="Sylfaen" w:hAnsi="Sylfaen" w:cs="Sylfaen"/>
        </w:rPr>
        <w:t>დეპარტამენტის</w:t>
      </w:r>
      <w:r w:rsidRPr="001352AB">
        <w:t xml:space="preserve"> </w:t>
      </w:r>
      <w:r w:rsidRPr="001352AB">
        <w:rPr>
          <w:rFonts w:ascii="Sylfaen" w:hAnsi="Sylfaen" w:cs="Sylfaen"/>
        </w:rPr>
        <w:t>პასუხისმგებლობას</w:t>
      </w:r>
      <w:r w:rsidRPr="001352AB">
        <w:t xml:space="preserve"> </w:t>
      </w:r>
      <w:r w:rsidRPr="001352AB">
        <w:rPr>
          <w:rFonts w:ascii="Sylfaen" w:hAnsi="Sylfaen" w:cs="Sylfaen"/>
        </w:rPr>
        <w:t>წარმოადგენს</w:t>
      </w:r>
      <w:r w:rsidRPr="001352AB">
        <w:t xml:space="preserve">.    </w:t>
      </w:r>
    </w:p>
    <w:p w14:paraId="4DDD2622" w14:textId="77777777" w:rsidR="00CD64B5" w:rsidRPr="001352AB" w:rsidRDefault="00CD64B5" w:rsidP="00CD64B5">
      <w:pPr>
        <w:spacing w:before="120" w:after="120"/>
      </w:pPr>
    </w:p>
    <w:p w14:paraId="16F132E1" w14:textId="77777777" w:rsidR="00CD64B5" w:rsidRPr="001352AB" w:rsidRDefault="00CD64B5" w:rsidP="00CD64B5">
      <w:pPr>
        <w:pStyle w:val="Heading3"/>
        <w:spacing w:before="120" w:after="120"/>
        <w:rPr>
          <w:lang w:val="da-DK" w:eastAsia="ru-RU"/>
        </w:rPr>
      </w:pPr>
      <w:bookmarkStart w:id="337" w:name="_Toc529977402"/>
      <w:bookmarkStart w:id="338" w:name="_Toc495314387"/>
      <w:bookmarkStart w:id="339" w:name="_Toc479166519"/>
      <w:bookmarkStart w:id="340" w:name="_Toc479164789"/>
      <w:bookmarkStart w:id="341" w:name="_Toc1581565"/>
      <w:r w:rsidRPr="001352AB">
        <w:t xml:space="preserve">7.3.2 </w:t>
      </w:r>
      <w:r w:rsidRPr="001352AB">
        <w:rPr>
          <w:rFonts w:ascii="Sylfaen" w:hAnsi="Sylfaen" w:cs="Sylfaen"/>
        </w:rPr>
        <w:t>ექსპლუატაციის</w:t>
      </w:r>
      <w:r w:rsidRPr="001352AB">
        <w:t xml:space="preserve"> </w:t>
      </w:r>
      <w:r w:rsidRPr="001352AB">
        <w:rPr>
          <w:rFonts w:ascii="Sylfaen" w:hAnsi="Sylfaen" w:cs="Sylfaen"/>
        </w:rPr>
        <w:t>ფაზა</w:t>
      </w:r>
      <w:bookmarkEnd w:id="337"/>
      <w:bookmarkEnd w:id="338"/>
      <w:bookmarkEnd w:id="339"/>
      <w:bookmarkEnd w:id="340"/>
      <w:bookmarkEnd w:id="341"/>
    </w:p>
    <w:p w14:paraId="3E39A8EC" w14:textId="77777777" w:rsidR="00CD64B5" w:rsidRPr="001352AB" w:rsidRDefault="00CD64B5" w:rsidP="00CD64B5">
      <w:pPr>
        <w:spacing w:before="120" w:after="120"/>
        <w:rPr>
          <w:lang w:val="ka-GE"/>
        </w:rPr>
      </w:pPr>
      <w:r w:rsidRPr="001352AB">
        <w:rPr>
          <w:rFonts w:ascii="Sylfaen" w:hAnsi="Sylfaen" w:cs="Sylfaen"/>
        </w:rPr>
        <w:t>იმის</w:t>
      </w:r>
      <w:r w:rsidRPr="001352AB">
        <w:t xml:space="preserve"> </w:t>
      </w:r>
      <w:r w:rsidRPr="001352AB">
        <w:rPr>
          <w:rFonts w:ascii="Sylfaen" w:hAnsi="Sylfaen" w:cs="Sylfaen"/>
        </w:rPr>
        <w:t>გათვალისწინებით</w:t>
      </w:r>
      <w:r w:rsidRPr="001352AB">
        <w:t xml:space="preserve">, </w:t>
      </w:r>
      <w:r w:rsidRPr="001352AB">
        <w:rPr>
          <w:rFonts w:ascii="Sylfaen" w:hAnsi="Sylfaen" w:cs="Sylfaen"/>
        </w:rPr>
        <w:t>რომ</w:t>
      </w:r>
      <w:r w:rsidRPr="001352AB">
        <w:t xml:space="preserve"> </w:t>
      </w:r>
      <w:r w:rsidRPr="001352AB">
        <w:rPr>
          <w:rFonts w:ascii="Sylfaen" w:hAnsi="Sylfaen" w:cs="Sylfaen"/>
        </w:rPr>
        <w:t>დეტალური</w:t>
      </w:r>
      <w:r w:rsidRPr="001352AB">
        <w:t xml:space="preserve"> </w:t>
      </w:r>
      <w:r w:rsidRPr="001352AB">
        <w:rPr>
          <w:rFonts w:ascii="Sylfaen" w:hAnsi="Sylfaen" w:cs="Sylfaen"/>
        </w:rPr>
        <w:t>დიზაინი</w:t>
      </w:r>
      <w:r w:rsidRPr="001352AB">
        <w:t xml:space="preserve"> </w:t>
      </w:r>
      <w:r w:rsidRPr="001352AB">
        <w:rPr>
          <w:rFonts w:ascii="Sylfaen" w:hAnsi="Sylfaen" w:cs="Sylfaen"/>
        </w:rPr>
        <w:t>არ</w:t>
      </w:r>
      <w:r w:rsidRPr="001352AB">
        <w:t xml:space="preserve"> </w:t>
      </w:r>
      <w:r w:rsidRPr="001352AB">
        <w:rPr>
          <w:rFonts w:ascii="Sylfaen" w:hAnsi="Sylfaen" w:cs="Sylfaen"/>
        </w:rPr>
        <w:t>არის</w:t>
      </w:r>
      <w:r w:rsidRPr="001352AB">
        <w:t xml:space="preserve"> </w:t>
      </w:r>
      <w:r w:rsidRPr="001352AB">
        <w:rPr>
          <w:rFonts w:ascii="Sylfaen" w:hAnsi="Sylfaen" w:cs="Sylfaen"/>
        </w:rPr>
        <w:t>მომზადებული</w:t>
      </w:r>
      <w:r w:rsidRPr="001352AB">
        <w:t xml:space="preserve"> </w:t>
      </w:r>
      <w:r w:rsidRPr="001352AB">
        <w:rPr>
          <w:rFonts w:ascii="Sylfaen" w:hAnsi="Sylfaen" w:cs="Sylfaen"/>
        </w:rPr>
        <w:t>და</w:t>
      </w:r>
      <w:r w:rsidRPr="001352AB">
        <w:t xml:space="preserve"> </w:t>
      </w:r>
      <w:r w:rsidRPr="001352AB">
        <w:rPr>
          <w:rFonts w:ascii="Sylfaen" w:hAnsi="Sylfaen" w:cs="Sylfaen"/>
        </w:rPr>
        <w:t>დეტალური</w:t>
      </w:r>
      <w:r w:rsidRPr="001352AB">
        <w:t xml:space="preserve"> </w:t>
      </w:r>
      <w:r w:rsidRPr="001352AB">
        <w:rPr>
          <w:rFonts w:ascii="Sylfaen" w:hAnsi="Sylfaen" w:cs="Sylfaen"/>
        </w:rPr>
        <w:t>გეოტექნიკური</w:t>
      </w:r>
      <w:r w:rsidRPr="001352AB">
        <w:t xml:space="preserve"> </w:t>
      </w:r>
      <w:r w:rsidRPr="001352AB">
        <w:rPr>
          <w:rFonts w:ascii="Sylfaen" w:hAnsi="Sylfaen" w:cs="Sylfaen"/>
        </w:rPr>
        <w:t>და</w:t>
      </w:r>
      <w:r w:rsidRPr="001352AB">
        <w:t xml:space="preserve"> </w:t>
      </w:r>
      <w:r w:rsidRPr="001352AB">
        <w:rPr>
          <w:rFonts w:ascii="Sylfaen" w:hAnsi="Sylfaen" w:cs="Sylfaen"/>
        </w:rPr>
        <w:t>საინჟინრო</w:t>
      </w:r>
      <w:r w:rsidRPr="001352AB">
        <w:t xml:space="preserve"> </w:t>
      </w:r>
      <w:r w:rsidRPr="001352AB">
        <w:rPr>
          <w:rFonts w:ascii="Sylfaen" w:hAnsi="Sylfaen" w:cs="Sylfaen"/>
        </w:rPr>
        <w:t>გეოლოგიური</w:t>
      </w:r>
      <w:r w:rsidRPr="001352AB">
        <w:t xml:space="preserve"> </w:t>
      </w:r>
      <w:r w:rsidRPr="001352AB">
        <w:rPr>
          <w:rFonts w:ascii="Sylfaen" w:hAnsi="Sylfaen" w:cs="Sylfaen"/>
        </w:rPr>
        <w:t>კვლევები</w:t>
      </w:r>
      <w:r w:rsidRPr="001352AB">
        <w:t xml:space="preserve"> </w:t>
      </w:r>
      <w:r w:rsidRPr="001352AB">
        <w:rPr>
          <w:rFonts w:ascii="Sylfaen" w:hAnsi="Sylfaen" w:cs="Sylfaen"/>
        </w:rPr>
        <w:t>არ</w:t>
      </w:r>
      <w:r w:rsidRPr="001352AB">
        <w:t xml:space="preserve"> </w:t>
      </w:r>
      <w:r w:rsidRPr="001352AB">
        <w:rPr>
          <w:rFonts w:ascii="Sylfaen" w:hAnsi="Sylfaen" w:cs="Sylfaen"/>
        </w:rPr>
        <w:t>არის</w:t>
      </w:r>
      <w:r w:rsidRPr="001352AB">
        <w:t xml:space="preserve"> </w:t>
      </w:r>
      <w:r w:rsidRPr="001352AB">
        <w:rPr>
          <w:rFonts w:ascii="Sylfaen" w:hAnsi="Sylfaen" w:cs="Sylfaen"/>
        </w:rPr>
        <w:t>ჩატარებული</w:t>
      </w:r>
      <w:r w:rsidRPr="001352AB">
        <w:t xml:space="preserve">, </w:t>
      </w:r>
      <w:r w:rsidRPr="001352AB">
        <w:rPr>
          <w:rFonts w:ascii="Sylfaen" w:hAnsi="Sylfaen" w:cs="Sylfaen"/>
        </w:rPr>
        <w:t>აღსანიშნავია</w:t>
      </w:r>
      <w:r w:rsidRPr="001352AB">
        <w:t xml:space="preserve"> </w:t>
      </w:r>
      <w:r w:rsidRPr="001352AB">
        <w:rPr>
          <w:rFonts w:ascii="Sylfaen" w:hAnsi="Sylfaen" w:cs="Sylfaen"/>
        </w:rPr>
        <w:t>ის</w:t>
      </w:r>
      <w:r w:rsidRPr="001352AB">
        <w:t xml:space="preserve"> </w:t>
      </w:r>
      <w:r w:rsidRPr="001352AB">
        <w:rPr>
          <w:rFonts w:ascii="Sylfaen" w:hAnsi="Sylfaen" w:cs="Sylfaen"/>
        </w:rPr>
        <w:t>გარემოებაც</w:t>
      </w:r>
      <w:r w:rsidRPr="001352AB">
        <w:t xml:space="preserve"> </w:t>
      </w:r>
      <w:r w:rsidRPr="001352AB">
        <w:rPr>
          <w:rFonts w:ascii="Sylfaen" w:hAnsi="Sylfaen" w:cs="Sylfaen"/>
        </w:rPr>
        <w:t>რომ</w:t>
      </w:r>
      <w:r w:rsidRPr="001352AB">
        <w:t xml:space="preserve"> </w:t>
      </w:r>
      <w:r w:rsidRPr="001352AB">
        <w:rPr>
          <w:rFonts w:ascii="Sylfaen" w:hAnsi="Sylfaen" w:cs="Sylfaen"/>
        </w:rPr>
        <w:t>ოპერირების</w:t>
      </w:r>
      <w:r w:rsidRPr="001352AB">
        <w:t xml:space="preserve"> </w:t>
      </w:r>
      <w:r w:rsidRPr="001352AB">
        <w:rPr>
          <w:rFonts w:ascii="Sylfaen" w:hAnsi="Sylfaen" w:cs="Sylfaen"/>
        </w:rPr>
        <w:t>ეტაპზე</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ნაკლებ</w:t>
      </w:r>
      <w:r w:rsidRPr="001352AB">
        <w:t xml:space="preserve"> </w:t>
      </w:r>
      <w:r w:rsidRPr="001352AB">
        <w:rPr>
          <w:rFonts w:ascii="Sylfaen" w:hAnsi="Sylfaen" w:cs="Sylfaen"/>
        </w:rPr>
        <w:t>სავარაუდოა</w:t>
      </w:r>
      <w:r w:rsidRPr="001352AB">
        <w:t xml:space="preserve">. </w:t>
      </w:r>
      <w:r w:rsidRPr="001352AB">
        <w:rPr>
          <w:rFonts w:ascii="Sylfaen" w:hAnsi="Sylfaen" w:cs="Sylfaen"/>
        </w:rPr>
        <w:t>საპროექტო</w:t>
      </w:r>
      <w:r w:rsidRPr="001352AB">
        <w:t xml:space="preserve"> </w:t>
      </w:r>
      <w:r w:rsidRPr="001352AB">
        <w:rPr>
          <w:rFonts w:ascii="Sylfaen" w:hAnsi="Sylfaen" w:cs="Sylfaen"/>
        </w:rPr>
        <w:t>გზის</w:t>
      </w:r>
      <w:r w:rsidRPr="001352AB">
        <w:t xml:space="preserve"> </w:t>
      </w:r>
      <w:r w:rsidRPr="001352AB">
        <w:rPr>
          <w:rFonts w:ascii="Sylfaen" w:hAnsi="Sylfaen" w:cs="Sylfaen"/>
        </w:rPr>
        <w:t>მონაკვეთზე</w:t>
      </w:r>
      <w:r w:rsidRPr="001352AB">
        <w:t xml:space="preserve"> </w:t>
      </w:r>
      <w:r w:rsidRPr="001352AB">
        <w:rPr>
          <w:rFonts w:ascii="Sylfaen" w:hAnsi="Sylfaen" w:cs="Sylfaen"/>
        </w:rPr>
        <w:t>არ</w:t>
      </w:r>
      <w:r w:rsidRPr="001352AB">
        <w:t xml:space="preserve"> </w:t>
      </w:r>
      <w:r w:rsidRPr="001352AB">
        <w:rPr>
          <w:rFonts w:ascii="Sylfaen" w:hAnsi="Sylfaen" w:cs="Sylfaen"/>
        </w:rPr>
        <w:t>აღინიშნება</w:t>
      </w:r>
      <w:r w:rsidRPr="001352AB">
        <w:t xml:space="preserve"> </w:t>
      </w:r>
      <w:r w:rsidRPr="001352AB">
        <w:rPr>
          <w:rFonts w:ascii="Sylfaen" w:hAnsi="Sylfaen" w:cs="Sylfaen"/>
        </w:rPr>
        <w:t>სენსიტიური</w:t>
      </w:r>
      <w:r w:rsidRPr="001352AB">
        <w:t xml:space="preserve"> </w:t>
      </w:r>
      <w:r w:rsidRPr="001352AB">
        <w:rPr>
          <w:rFonts w:ascii="Sylfaen" w:hAnsi="Sylfaen" w:cs="Sylfaen"/>
        </w:rPr>
        <w:t>უბნები</w:t>
      </w:r>
      <w:r w:rsidRPr="001352AB">
        <w:t xml:space="preserve">, </w:t>
      </w:r>
      <w:r w:rsidRPr="001352AB">
        <w:rPr>
          <w:rFonts w:ascii="Sylfaen" w:hAnsi="Sylfaen" w:cs="Sylfaen"/>
        </w:rPr>
        <w:t>შესაბამისად</w:t>
      </w:r>
      <w:r w:rsidRPr="001352AB">
        <w:t xml:space="preserve"> </w:t>
      </w:r>
      <w:r w:rsidRPr="001352AB">
        <w:rPr>
          <w:rFonts w:ascii="Sylfaen" w:hAnsi="Sylfaen" w:cs="Sylfaen"/>
        </w:rPr>
        <w:t>გატარდება</w:t>
      </w:r>
      <w:r w:rsidRPr="001352AB">
        <w:t xml:space="preserve"> </w:t>
      </w:r>
      <w:r w:rsidRPr="001352AB">
        <w:rPr>
          <w:rFonts w:ascii="Sylfaen" w:hAnsi="Sylfaen" w:cs="Sylfaen"/>
        </w:rPr>
        <w:t>მხოლოდ</w:t>
      </w:r>
      <w:r w:rsidRPr="001352AB">
        <w:t xml:space="preserve"> </w:t>
      </w:r>
      <w:r w:rsidRPr="001352AB">
        <w:rPr>
          <w:rFonts w:ascii="Sylfaen" w:hAnsi="Sylfaen" w:cs="Sylfaen"/>
        </w:rPr>
        <w:t>ფერდობების</w:t>
      </w:r>
      <w:r w:rsidRPr="001352AB">
        <w:t xml:space="preserve"> </w:t>
      </w:r>
      <w:r w:rsidRPr="001352AB">
        <w:rPr>
          <w:rFonts w:ascii="Sylfaen" w:hAnsi="Sylfaen" w:cs="Sylfaen"/>
        </w:rPr>
        <w:t>სტაბილურობის</w:t>
      </w:r>
      <w:r w:rsidRPr="001352AB">
        <w:t xml:space="preserve"> </w:t>
      </w:r>
      <w:r w:rsidRPr="001352AB">
        <w:rPr>
          <w:rFonts w:ascii="Sylfaen" w:hAnsi="Sylfaen" w:cs="Sylfaen"/>
        </w:rPr>
        <w:t>მონიტორინგი</w:t>
      </w:r>
      <w:r w:rsidRPr="001352AB">
        <w:t xml:space="preserve"> (</w:t>
      </w:r>
      <w:r w:rsidRPr="001352AB">
        <w:rPr>
          <w:rFonts w:ascii="Sylfaen" w:hAnsi="Sylfaen" w:cs="Sylfaen"/>
        </w:rPr>
        <w:t>ვიზუალური</w:t>
      </w:r>
      <w:r w:rsidRPr="001352AB">
        <w:t xml:space="preserve"> </w:t>
      </w:r>
      <w:r w:rsidRPr="001352AB">
        <w:rPr>
          <w:rFonts w:ascii="Sylfaen" w:hAnsi="Sylfaen" w:cs="Sylfaen"/>
        </w:rPr>
        <w:t>დათვალირება</w:t>
      </w:r>
      <w:r w:rsidRPr="001352AB">
        <w:t xml:space="preserve">). </w:t>
      </w:r>
      <w:r w:rsidRPr="001352AB">
        <w:rPr>
          <w:rFonts w:ascii="Sylfaen" w:hAnsi="Sylfaen" w:cs="Sylfaen"/>
        </w:rPr>
        <w:t>რაიმე</w:t>
      </w:r>
      <w:r w:rsidRPr="001352AB">
        <w:t xml:space="preserve"> </w:t>
      </w:r>
      <w:r w:rsidRPr="001352AB">
        <w:rPr>
          <w:rFonts w:ascii="Sylfaen" w:hAnsi="Sylfaen" w:cs="Sylfaen"/>
        </w:rPr>
        <w:t>საეჭვო</w:t>
      </w:r>
      <w:r w:rsidRPr="001352AB">
        <w:t xml:space="preserve"> </w:t>
      </w:r>
      <w:r w:rsidRPr="001352AB">
        <w:rPr>
          <w:rFonts w:ascii="Sylfaen" w:hAnsi="Sylfaen" w:cs="Sylfaen"/>
        </w:rPr>
        <w:t>ნიშნების</w:t>
      </w:r>
      <w:r w:rsidRPr="001352AB">
        <w:t xml:space="preserve"> </w:t>
      </w:r>
      <w:r w:rsidRPr="001352AB">
        <w:rPr>
          <w:rFonts w:ascii="Sylfaen" w:hAnsi="Sylfaen" w:cs="Sylfaen"/>
        </w:rPr>
        <w:t>დაფიქსირებისას</w:t>
      </w:r>
      <w:r w:rsidRPr="001352AB">
        <w:t xml:space="preserve"> </w:t>
      </w:r>
      <w:r w:rsidRPr="001352AB">
        <w:rPr>
          <w:rFonts w:ascii="Sylfaen" w:hAnsi="Sylfaen" w:cs="Sylfaen"/>
        </w:rPr>
        <w:t>მოხდება</w:t>
      </w:r>
      <w:r w:rsidRPr="001352AB">
        <w:t xml:space="preserve"> </w:t>
      </w:r>
      <w:r w:rsidRPr="001352AB">
        <w:rPr>
          <w:rFonts w:ascii="Sylfaen" w:hAnsi="Sylfaen" w:cs="Sylfaen"/>
        </w:rPr>
        <w:t>დაუყონებლივი</w:t>
      </w:r>
      <w:r w:rsidRPr="001352AB">
        <w:t xml:space="preserve"> </w:t>
      </w:r>
      <w:r w:rsidRPr="001352AB">
        <w:rPr>
          <w:rFonts w:ascii="Sylfaen" w:hAnsi="Sylfaen" w:cs="Sylfaen"/>
        </w:rPr>
        <w:t>რეაგირება</w:t>
      </w:r>
      <w:r w:rsidRPr="001352AB">
        <w:t xml:space="preserve"> - </w:t>
      </w:r>
      <w:r w:rsidRPr="001352AB">
        <w:rPr>
          <w:rFonts w:ascii="Sylfaen" w:hAnsi="Sylfaen" w:cs="Sylfaen"/>
        </w:rPr>
        <w:t>პრობლემის</w:t>
      </w:r>
      <w:r w:rsidRPr="001352AB">
        <w:t xml:space="preserve"> </w:t>
      </w:r>
      <w:r w:rsidRPr="001352AB">
        <w:rPr>
          <w:rFonts w:ascii="Sylfaen" w:hAnsi="Sylfaen" w:cs="Sylfaen"/>
        </w:rPr>
        <w:t>მიზეზის</w:t>
      </w:r>
      <w:r w:rsidRPr="001352AB">
        <w:t xml:space="preserve"> </w:t>
      </w:r>
      <w:r w:rsidRPr="001352AB">
        <w:rPr>
          <w:rFonts w:ascii="Sylfaen" w:hAnsi="Sylfaen" w:cs="Sylfaen"/>
        </w:rPr>
        <w:t>დადგენა</w:t>
      </w:r>
      <w:r w:rsidRPr="001352AB">
        <w:t xml:space="preserve"> </w:t>
      </w:r>
      <w:r w:rsidRPr="001352AB">
        <w:rPr>
          <w:rFonts w:ascii="Sylfaen" w:hAnsi="Sylfaen" w:cs="Sylfaen"/>
        </w:rPr>
        <w:t>და</w:t>
      </w:r>
      <w:r w:rsidRPr="001352AB">
        <w:t xml:space="preserve"> </w:t>
      </w:r>
      <w:r w:rsidRPr="001352AB">
        <w:rPr>
          <w:rFonts w:ascii="Sylfaen" w:hAnsi="Sylfaen" w:cs="Sylfaen"/>
        </w:rPr>
        <w:t>რისკის</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აჩილების</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გატარება</w:t>
      </w:r>
      <w:r w:rsidRPr="001352AB">
        <w:t>.</w:t>
      </w:r>
    </w:p>
    <w:p w14:paraId="45122EA4" w14:textId="77777777" w:rsidR="00CD64B5" w:rsidRPr="001352AB" w:rsidRDefault="00CD64B5" w:rsidP="00CD64B5">
      <w:pPr>
        <w:spacing w:before="120" w:after="120"/>
        <w:rPr>
          <w:lang w:eastAsia="en-US"/>
        </w:rPr>
      </w:pPr>
      <w:r w:rsidRPr="001352AB">
        <w:rPr>
          <w:rFonts w:ascii="Sylfaen" w:hAnsi="Sylfaen" w:cs="Sylfaen"/>
        </w:rPr>
        <w:t>სარემონტო</w:t>
      </w:r>
      <w:r w:rsidRPr="001352AB">
        <w:t xml:space="preserve"> </w:t>
      </w:r>
      <w:r w:rsidRPr="001352AB">
        <w:rPr>
          <w:rFonts w:ascii="Sylfaen" w:hAnsi="Sylfaen" w:cs="Sylfaen"/>
        </w:rPr>
        <w:t>სამუშაოებისას</w:t>
      </w:r>
      <w:r w:rsidRPr="001352AB">
        <w:t xml:space="preserve"> </w:t>
      </w: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მშენებლობის</w:t>
      </w:r>
      <w:r w:rsidRPr="001352AB">
        <w:t xml:space="preserve"> </w:t>
      </w:r>
      <w:r w:rsidRPr="001352AB">
        <w:rPr>
          <w:rFonts w:ascii="Sylfaen" w:hAnsi="Sylfaen" w:cs="Sylfaen"/>
        </w:rPr>
        <w:t>ეტაპისთვის</w:t>
      </w:r>
      <w:r w:rsidRPr="001352AB">
        <w:t xml:space="preserve"> </w:t>
      </w:r>
      <w:r w:rsidRPr="001352AB">
        <w:rPr>
          <w:rFonts w:ascii="Sylfaen" w:hAnsi="Sylfaen" w:cs="Sylfaen"/>
        </w:rPr>
        <w:t>დადგენილი</w:t>
      </w:r>
      <w:r w:rsidRPr="001352AB">
        <w:t xml:space="preserve"> </w:t>
      </w:r>
      <w:r w:rsidRPr="001352AB">
        <w:rPr>
          <w:rFonts w:ascii="Sylfaen" w:hAnsi="Sylfaen" w:cs="Sylfaen"/>
        </w:rPr>
        <w:t>მოთხოვნები</w:t>
      </w:r>
      <w:r w:rsidRPr="001352AB">
        <w:t xml:space="preserve"> (</w:t>
      </w: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w:t>
      </w:r>
      <w:r w:rsidRPr="001352AB">
        <w:t xml:space="preserve">). </w:t>
      </w:r>
    </w:p>
    <w:p w14:paraId="6594194D" w14:textId="77777777" w:rsidR="00CD64B5" w:rsidRPr="001352AB" w:rsidRDefault="00CD64B5" w:rsidP="00CD64B5">
      <w:pPr>
        <w:spacing w:before="120" w:after="120"/>
      </w:pP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შესრულების</w:t>
      </w:r>
      <w:r w:rsidRPr="001352AB">
        <w:t xml:space="preserve"> </w:t>
      </w:r>
      <w:r w:rsidRPr="001352AB">
        <w:rPr>
          <w:rFonts w:ascii="Sylfaen" w:hAnsi="Sylfaen" w:cs="Sylfaen"/>
        </w:rPr>
        <w:t>უზრუნველყოფა</w:t>
      </w:r>
      <w:r w:rsidRPr="001352AB">
        <w:t xml:space="preserve"> </w:t>
      </w:r>
      <w:r w:rsidRPr="001352AB">
        <w:rPr>
          <w:rFonts w:ascii="Sylfaen" w:hAnsi="Sylfaen" w:cs="Sylfaen"/>
        </w:rPr>
        <w:t>საავტომობილო</w:t>
      </w:r>
      <w:r w:rsidRPr="001352AB">
        <w:t xml:space="preserve"> </w:t>
      </w:r>
      <w:r w:rsidRPr="001352AB">
        <w:rPr>
          <w:rFonts w:ascii="Sylfaen" w:hAnsi="Sylfaen" w:cs="Sylfaen"/>
        </w:rPr>
        <w:t>გზების</w:t>
      </w:r>
      <w:r w:rsidRPr="001352AB">
        <w:t xml:space="preserve"> </w:t>
      </w:r>
      <w:r w:rsidRPr="001352AB">
        <w:rPr>
          <w:rFonts w:ascii="Sylfaen" w:hAnsi="Sylfaen" w:cs="Sylfaen"/>
        </w:rPr>
        <w:t>დეპარტამენტის</w:t>
      </w:r>
      <w:r w:rsidRPr="001352AB">
        <w:t xml:space="preserve"> </w:t>
      </w:r>
      <w:r w:rsidRPr="001352AB">
        <w:rPr>
          <w:rFonts w:ascii="Sylfaen" w:hAnsi="Sylfaen" w:cs="Sylfaen"/>
        </w:rPr>
        <w:t>პასუხისმგებლობას</w:t>
      </w:r>
      <w:r w:rsidRPr="001352AB">
        <w:t xml:space="preserve"> </w:t>
      </w:r>
      <w:r w:rsidRPr="001352AB">
        <w:rPr>
          <w:rFonts w:ascii="Sylfaen" w:hAnsi="Sylfaen" w:cs="Sylfaen"/>
        </w:rPr>
        <w:t>წარმოადგენს</w:t>
      </w:r>
      <w:r w:rsidRPr="001352AB">
        <w:t xml:space="preserve">.   </w:t>
      </w:r>
    </w:p>
    <w:p w14:paraId="7D9B8300" w14:textId="77777777" w:rsidR="00CD64B5" w:rsidRPr="001352AB" w:rsidRDefault="00CD64B5" w:rsidP="00CD64B5">
      <w:pPr>
        <w:spacing w:before="120" w:after="120"/>
        <w:rPr>
          <w:lang w:val="en-US"/>
        </w:rPr>
      </w:pPr>
    </w:p>
    <w:p w14:paraId="05B03978" w14:textId="77777777" w:rsidR="00CD64B5" w:rsidRPr="001352AB" w:rsidRDefault="00CD64B5" w:rsidP="00CD64B5">
      <w:pPr>
        <w:spacing w:before="120" w:after="120"/>
      </w:pPr>
    </w:p>
    <w:p w14:paraId="549972FB" w14:textId="77777777" w:rsidR="00CD64B5" w:rsidRPr="001352AB" w:rsidRDefault="00CD64B5" w:rsidP="00CD64B5">
      <w:pPr>
        <w:pStyle w:val="EIAheading2"/>
        <w:spacing w:before="120" w:after="120"/>
      </w:pPr>
      <w:bookmarkStart w:id="342" w:name="_Toc529977403"/>
      <w:bookmarkStart w:id="343" w:name="_Toc495314388"/>
      <w:bookmarkStart w:id="344" w:name="_Toc479166520"/>
      <w:bookmarkStart w:id="345" w:name="_Toc479164790"/>
      <w:bookmarkStart w:id="346" w:name="_Toc464212203"/>
      <w:bookmarkStart w:id="347" w:name="_Toc473553951"/>
      <w:bookmarkStart w:id="348" w:name="_Toc464212206"/>
      <w:bookmarkStart w:id="349" w:name="_Toc471745801"/>
      <w:bookmarkStart w:id="350" w:name="_Toc471745456"/>
      <w:bookmarkStart w:id="351" w:name="_Toc1581566"/>
      <w:r w:rsidRPr="001352AB">
        <w:lastRenderedPageBreak/>
        <w:t xml:space="preserve">7.4 </w:t>
      </w:r>
      <w:r w:rsidRPr="001352AB">
        <w:rPr>
          <w:rFonts w:ascii="Sylfaen" w:hAnsi="Sylfaen" w:cs="Sylfaen"/>
        </w:rPr>
        <w:t>ზემოქმედება</w:t>
      </w:r>
      <w:r w:rsidRPr="001352AB">
        <w:t xml:space="preserve"> </w:t>
      </w:r>
      <w:r w:rsidRPr="001352AB">
        <w:rPr>
          <w:rFonts w:ascii="Sylfaen" w:hAnsi="Sylfaen" w:cs="Sylfaen"/>
        </w:rPr>
        <w:t>წყლის</w:t>
      </w:r>
      <w:r w:rsidRPr="001352AB">
        <w:t xml:space="preserve"> </w:t>
      </w:r>
      <w:r w:rsidRPr="001352AB">
        <w:rPr>
          <w:rFonts w:ascii="Sylfaen" w:hAnsi="Sylfaen" w:cs="Sylfaen"/>
        </w:rPr>
        <w:t>გარემოზე</w:t>
      </w:r>
      <w:bookmarkEnd w:id="342"/>
      <w:bookmarkEnd w:id="343"/>
      <w:bookmarkEnd w:id="344"/>
      <w:bookmarkEnd w:id="345"/>
      <w:bookmarkEnd w:id="346"/>
      <w:bookmarkEnd w:id="351"/>
    </w:p>
    <w:p w14:paraId="1DDCDE7A" w14:textId="77777777" w:rsidR="00CD64B5" w:rsidRPr="001352AB" w:rsidRDefault="00CD64B5" w:rsidP="00CD64B5">
      <w:pPr>
        <w:pStyle w:val="Heading3"/>
        <w:spacing w:before="120" w:after="120"/>
      </w:pPr>
      <w:bookmarkStart w:id="352" w:name="_Toc529977404"/>
      <w:bookmarkStart w:id="353" w:name="_Toc495314389"/>
      <w:bookmarkStart w:id="354" w:name="_Toc479166521"/>
      <w:bookmarkStart w:id="355" w:name="_Toc479164791"/>
      <w:bookmarkStart w:id="356" w:name="_Toc1581567"/>
      <w:r w:rsidRPr="001352AB">
        <w:t xml:space="preserve">7.4.1 </w:t>
      </w:r>
      <w:r w:rsidRPr="001352AB">
        <w:rPr>
          <w:rFonts w:ascii="Sylfaen" w:hAnsi="Sylfaen" w:cs="Sylfaen"/>
        </w:rPr>
        <w:t>ცვლილება</w:t>
      </w:r>
      <w:r w:rsidRPr="001352AB">
        <w:t xml:space="preserve"> </w:t>
      </w:r>
      <w:r w:rsidRPr="001352AB">
        <w:rPr>
          <w:rFonts w:ascii="Sylfaen" w:hAnsi="Sylfaen" w:cs="Sylfaen"/>
        </w:rPr>
        <w:t>და</w:t>
      </w:r>
      <w:r w:rsidRPr="001352AB">
        <w:t xml:space="preserve"> </w:t>
      </w:r>
      <w:r w:rsidRPr="001352AB">
        <w:rPr>
          <w:rFonts w:ascii="Sylfaen" w:hAnsi="Sylfaen" w:cs="Sylfaen"/>
        </w:rPr>
        <w:t>დაბინძურების</w:t>
      </w:r>
      <w:r w:rsidRPr="001352AB">
        <w:t xml:space="preserve"> </w:t>
      </w:r>
      <w:r w:rsidRPr="001352AB">
        <w:rPr>
          <w:rFonts w:ascii="Sylfaen" w:hAnsi="Sylfaen" w:cs="Sylfaen"/>
        </w:rPr>
        <w:t>რისკები</w:t>
      </w:r>
      <w:r w:rsidRPr="001352AB">
        <w:t xml:space="preserve"> </w:t>
      </w:r>
      <w:r w:rsidRPr="001352AB">
        <w:rPr>
          <w:rFonts w:ascii="Sylfaen" w:hAnsi="Sylfaen" w:cs="Sylfaen"/>
        </w:rPr>
        <w:t>მშენებლობის</w:t>
      </w:r>
      <w:r w:rsidRPr="001352AB">
        <w:t xml:space="preserve"> </w:t>
      </w:r>
      <w:r w:rsidRPr="001352AB">
        <w:rPr>
          <w:rFonts w:ascii="Sylfaen" w:hAnsi="Sylfaen" w:cs="Sylfaen"/>
        </w:rPr>
        <w:t>ეტაპზე</w:t>
      </w:r>
      <w:bookmarkEnd w:id="352"/>
      <w:bookmarkEnd w:id="353"/>
      <w:bookmarkEnd w:id="354"/>
      <w:bookmarkEnd w:id="355"/>
      <w:bookmarkEnd w:id="356"/>
    </w:p>
    <w:p w14:paraId="4C90D412" w14:textId="52BB585E" w:rsidR="00CD64B5" w:rsidRPr="001352AB" w:rsidRDefault="00CD64B5" w:rsidP="00CD64B5">
      <w:pPr>
        <w:spacing w:before="120" w:after="120"/>
      </w:pPr>
      <w:r w:rsidRPr="001352AB">
        <w:rPr>
          <w:rFonts w:ascii="Sylfaen" w:hAnsi="Sylfaen" w:cs="Sylfaen"/>
        </w:rPr>
        <w:t>ზედაპირული</w:t>
      </w:r>
      <w:r w:rsidRPr="001352AB">
        <w:t xml:space="preserve"> </w:t>
      </w:r>
      <w:r w:rsidRPr="001352AB">
        <w:rPr>
          <w:rFonts w:ascii="Sylfaen" w:hAnsi="Sylfaen" w:cs="Sylfaen"/>
        </w:rPr>
        <w:t>წყლების</w:t>
      </w:r>
      <w:r w:rsidRPr="001352AB">
        <w:t xml:space="preserve"> </w:t>
      </w:r>
      <w:r w:rsidRPr="001352AB">
        <w:rPr>
          <w:rFonts w:ascii="Sylfaen" w:hAnsi="Sylfaen" w:cs="Sylfaen"/>
        </w:rPr>
        <w:t>პოტენციური</w:t>
      </w:r>
      <w:r w:rsidRPr="001352AB">
        <w:t xml:space="preserve"> </w:t>
      </w:r>
      <w:r w:rsidRPr="001352AB">
        <w:rPr>
          <w:rFonts w:ascii="Sylfaen" w:hAnsi="Sylfaen" w:cs="Sylfaen"/>
        </w:rPr>
        <w:t>დაბინძურების</w:t>
      </w:r>
      <w:r w:rsidRPr="001352AB">
        <w:t xml:space="preserve"> </w:t>
      </w:r>
      <w:r w:rsidRPr="001352AB">
        <w:rPr>
          <w:rFonts w:ascii="Sylfaen" w:hAnsi="Sylfaen" w:cs="Sylfaen"/>
        </w:rPr>
        <w:t>მიზეზებად</w:t>
      </w:r>
      <w:r w:rsidRPr="001352AB">
        <w:t xml:space="preserve"> </w:t>
      </w:r>
      <w:r w:rsidRPr="001352AB">
        <w:rPr>
          <w:rFonts w:ascii="Sylfaen" w:hAnsi="Sylfaen" w:cs="Sylfaen"/>
        </w:rPr>
        <w:t>შეიძლება</w:t>
      </w:r>
      <w:r w:rsidRPr="001352AB">
        <w:t xml:space="preserve"> </w:t>
      </w:r>
      <w:r w:rsidRPr="001352AB">
        <w:rPr>
          <w:rFonts w:ascii="Sylfaen" w:hAnsi="Sylfaen" w:cs="Sylfaen"/>
        </w:rPr>
        <w:t>ჩაითვალოს</w:t>
      </w:r>
      <w:r w:rsidRPr="001352AB">
        <w:t xml:space="preserve"> </w:t>
      </w:r>
      <w:r w:rsidRPr="001352AB">
        <w:rPr>
          <w:rFonts w:ascii="Sylfaen" w:hAnsi="Sylfaen" w:cs="Sylfaen"/>
        </w:rPr>
        <w:t>საწვავის</w:t>
      </w:r>
      <w:r w:rsidRPr="001352AB">
        <w:t>/</w:t>
      </w:r>
      <w:r w:rsidRPr="001352AB">
        <w:rPr>
          <w:rFonts w:ascii="Sylfaen" w:hAnsi="Sylfaen" w:cs="Sylfaen"/>
        </w:rPr>
        <w:t>ზეთების</w:t>
      </w:r>
      <w:r w:rsidRPr="001352AB">
        <w:t xml:space="preserve"> </w:t>
      </w:r>
      <w:r w:rsidRPr="001352AB">
        <w:rPr>
          <w:rFonts w:ascii="Sylfaen" w:hAnsi="Sylfaen" w:cs="Sylfaen"/>
        </w:rPr>
        <w:t>ნაწვეთი</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ტექნიკიდან</w:t>
      </w:r>
      <w:r w:rsidRPr="001352AB">
        <w:t>/</w:t>
      </w:r>
      <w:r w:rsidRPr="001352AB">
        <w:rPr>
          <w:rFonts w:ascii="Sylfaen" w:hAnsi="Sylfaen" w:cs="Sylfaen"/>
        </w:rPr>
        <w:t>მანქანებიდან</w:t>
      </w:r>
      <w:r w:rsidRPr="001352AB">
        <w:t xml:space="preserve"> (</w:t>
      </w:r>
      <w:r w:rsidRPr="001352AB">
        <w:rPr>
          <w:rFonts w:ascii="Sylfaen" w:hAnsi="Sylfaen" w:cs="Sylfaen"/>
        </w:rPr>
        <w:t>ავარიული</w:t>
      </w:r>
      <w:r w:rsidRPr="001352AB">
        <w:t xml:space="preserve"> </w:t>
      </w:r>
      <w:r w:rsidRPr="001352AB">
        <w:rPr>
          <w:rFonts w:ascii="Sylfaen" w:hAnsi="Sylfaen" w:cs="Sylfaen"/>
        </w:rPr>
        <w:t>სიტუაციების</w:t>
      </w:r>
      <w:r w:rsidRPr="001352AB">
        <w:t xml:space="preserve"> </w:t>
      </w:r>
      <w:r w:rsidRPr="001352AB">
        <w:rPr>
          <w:rFonts w:ascii="Sylfaen" w:hAnsi="Sylfaen" w:cs="Sylfaen"/>
        </w:rPr>
        <w:t>შემთხვევების</w:t>
      </w:r>
      <w:r w:rsidRPr="001352AB">
        <w:t xml:space="preserve"> </w:t>
      </w:r>
      <w:r w:rsidRPr="001352AB">
        <w:rPr>
          <w:rFonts w:ascii="Sylfaen" w:hAnsi="Sylfaen" w:cs="Sylfaen"/>
        </w:rPr>
        <w:t>ჩათვლით</w:t>
      </w:r>
      <w:r w:rsidRPr="001352AB">
        <w:t xml:space="preserve">), </w:t>
      </w:r>
      <w:r w:rsidRPr="001352AB">
        <w:rPr>
          <w:rFonts w:ascii="Sylfaen" w:hAnsi="Sylfaen" w:cs="Sylfaen"/>
        </w:rPr>
        <w:t>არაშესატყვისად</w:t>
      </w:r>
      <w:r w:rsidRPr="001352AB">
        <w:t xml:space="preserve"> </w:t>
      </w:r>
      <w:r w:rsidRPr="001352AB">
        <w:rPr>
          <w:rFonts w:ascii="Sylfaen" w:hAnsi="Sylfaen" w:cs="Sylfaen"/>
        </w:rPr>
        <w:t>მართული</w:t>
      </w:r>
      <w:r w:rsidRPr="001352AB">
        <w:t xml:space="preserve"> </w:t>
      </w:r>
      <w:r w:rsidRPr="001352AB">
        <w:rPr>
          <w:rFonts w:ascii="Sylfaen" w:hAnsi="Sylfaen" w:cs="Sylfaen"/>
        </w:rPr>
        <w:t>თხევადი</w:t>
      </w:r>
      <w:r w:rsidRPr="001352AB">
        <w:t>/</w:t>
      </w:r>
      <w:r w:rsidRPr="001352AB">
        <w:rPr>
          <w:rFonts w:ascii="Sylfaen" w:hAnsi="Sylfaen" w:cs="Sylfaen"/>
        </w:rPr>
        <w:t>მყარი</w:t>
      </w:r>
      <w:r w:rsidRPr="001352AB">
        <w:t xml:space="preserve"> </w:t>
      </w:r>
      <w:r w:rsidRPr="001352AB">
        <w:rPr>
          <w:rFonts w:ascii="Sylfaen" w:hAnsi="Sylfaen" w:cs="Sylfaen"/>
        </w:rPr>
        <w:t>ნარჩენები</w:t>
      </w:r>
      <w:r w:rsidRPr="001352AB">
        <w:t xml:space="preserve"> </w:t>
      </w:r>
      <w:r w:rsidRPr="001352AB">
        <w:rPr>
          <w:rFonts w:ascii="Sylfaen" w:hAnsi="Sylfaen" w:cs="Sylfaen"/>
        </w:rPr>
        <w:t>და</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მასალა</w:t>
      </w:r>
      <w:r w:rsidRPr="001352AB">
        <w:t xml:space="preserve">, </w:t>
      </w:r>
      <w:r w:rsidRPr="001352AB">
        <w:rPr>
          <w:rFonts w:ascii="Sylfaen" w:hAnsi="Sylfaen" w:cs="Sylfaen"/>
        </w:rPr>
        <w:t>დაბინძურებული</w:t>
      </w:r>
      <w:r w:rsidRPr="001352AB">
        <w:t xml:space="preserve"> </w:t>
      </w:r>
      <w:r w:rsidRPr="001352AB">
        <w:rPr>
          <w:rFonts w:ascii="Sylfaen" w:hAnsi="Sylfaen" w:cs="Sylfaen"/>
        </w:rPr>
        <w:t>ზედაპირული</w:t>
      </w:r>
      <w:r w:rsidRPr="001352AB">
        <w:t xml:space="preserve"> </w:t>
      </w:r>
      <w:r w:rsidRPr="001352AB">
        <w:rPr>
          <w:rFonts w:ascii="Sylfaen" w:hAnsi="Sylfaen" w:cs="Sylfaen"/>
        </w:rPr>
        <w:t>ჩამონადენი</w:t>
      </w:r>
      <w:r w:rsidRPr="001352AB">
        <w:t xml:space="preserve">, </w:t>
      </w:r>
      <w:r w:rsidRPr="001352AB">
        <w:rPr>
          <w:rFonts w:ascii="Sylfaen" w:hAnsi="Sylfaen" w:cs="Sylfaen"/>
        </w:rPr>
        <w:t>ზედაპირული</w:t>
      </w:r>
      <w:r w:rsidRPr="001352AB">
        <w:t xml:space="preserve"> </w:t>
      </w:r>
      <w:r w:rsidRPr="001352AB">
        <w:rPr>
          <w:rFonts w:ascii="Sylfaen" w:hAnsi="Sylfaen" w:cs="Sylfaen"/>
        </w:rPr>
        <w:t>წყლების</w:t>
      </w:r>
      <w:r w:rsidRPr="001352AB">
        <w:t xml:space="preserve"> </w:t>
      </w:r>
      <w:r w:rsidRPr="001352AB">
        <w:rPr>
          <w:rFonts w:ascii="Sylfaen" w:hAnsi="Sylfaen" w:cs="Sylfaen"/>
        </w:rPr>
        <w:t>მოსილვა</w:t>
      </w:r>
      <w:r w:rsidRPr="001352AB">
        <w:t xml:space="preserve"> </w:t>
      </w:r>
      <w:r w:rsidRPr="001352AB">
        <w:rPr>
          <w:rFonts w:ascii="Sylfaen" w:hAnsi="Sylfaen" w:cs="Sylfaen"/>
        </w:rPr>
        <w:t>მიწის</w:t>
      </w:r>
      <w:r w:rsidRPr="001352AB">
        <w:t xml:space="preserve"> </w:t>
      </w:r>
      <w:r w:rsidRPr="001352AB">
        <w:rPr>
          <w:rFonts w:ascii="Sylfaen" w:hAnsi="Sylfaen" w:cs="Sylfaen"/>
        </w:rPr>
        <w:t>სამუშაოების</w:t>
      </w:r>
      <w:r w:rsidRPr="001352AB">
        <w:t xml:space="preserve"> </w:t>
      </w:r>
      <w:r w:rsidRPr="001352AB">
        <w:rPr>
          <w:rFonts w:ascii="Sylfaen" w:hAnsi="Sylfaen" w:cs="Sylfaen"/>
        </w:rPr>
        <w:t>დროს</w:t>
      </w:r>
      <w:r w:rsidRPr="001352AB">
        <w:t xml:space="preserve">, </w:t>
      </w:r>
      <w:r w:rsidRPr="001352AB">
        <w:rPr>
          <w:rFonts w:ascii="Sylfaen" w:hAnsi="Sylfaen" w:cs="Sylfaen"/>
        </w:rPr>
        <w:t>დაბინძურებული</w:t>
      </w:r>
      <w:r w:rsidRPr="001352AB">
        <w:t xml:space="preserve"> </w:t>
      </w:r>
      <w:r w:rsidRPr="001352AB">
        <w:rPr>
          <w:rFonts w:ascii="Sylfaen" w:hAnsi="Sylfaen" w:cs="Sylfaen"/>
        </w:rPr>
        <w:t>ზედაპირული</w:t>
      </w:r>
      <w:r w:rsidRPr="001352AB">
        <w:t xml:space="preserve"> </w:t>
      </w:r>
      <w:r w:rsidRPr="001352AB">
        <w:rPr>
          <w:rFonts w:ascii="Sylfaen" w:hAnsi="Sylfaen" w:cs="Sylfaen"/>
        </w:rPr>
        <w:t>ჩამონადენი</w:t>
      </w:r>
      <w:r w:rsidRPr="001352AB">
        <w:t xml:space="preserve">, </w:t>
      </w:r>
      <w:r w:rsidRPr="001352AB">
        <w:rPr>
          <w:rFonts w:ascii="Sylfaen" w:hAnsi="Sylfaen" w:cs="Sylfaen"/>
        </w:rPr>
        <w:t>საინჟინრო</w:t>
      </w:r>
      <w:r w:rsidRPr="001352AB">
        <w:t>-</w:t>
      </w:r>
      <w:r w:rsidRPr="001352AB">
        <w:rPr>
          <w:rFonts w:ascii="Sylfaen" w:hAnsi="Sylfaen" w:cs="Sylfaen"/>
        </w:rPr>
        <w:t>გეოლოგიური</w:t>
      </w:r>
      <w:r w:rsidRPr="001352AB">
        <w:t xml:space="preserve"> </w:t>
      </w:r>
      <w:r w:rsidRPr="001352AB">
        <w:rPr>
          <w:rFonts w:ascii="Sylfaen" w:hAnsi="Sylfaen" w:cs="Sylfaen"/>
        </w:rPr>
        <w:t>კვლევის</w:t>
      </w:r>
      <w:r w:rsidRPr="001352AB">
        <w:t xml:space="preserve"> </w:t>
      </w:r>
      <w:r w:rsidRPr="001352AB">
        <w:rPr>
          <w:rFonts w:ascii="Sylfaen" w:hAnsi="Sylfaen" w:cs="Sylfaen"/>
        </w:rPr>
        <w:t>დროს</w:t>
      </w:r>
      <w:r w:rsidRPr="001352AB">
        <w:t xml:space="preserve"> </w:t>
      </w:r>
      <w:r w:rsidRPr="001352AB">
        <w:rPr>
          <w:rFonts w:ascii="Sylfaen" w:hAnsi="Sylfaen" w:cs="Sylfaen"/>
        </w:rPr>
        <w:t>საპროექტო</w:t>
      </w:r>
      <w:r w:rsidRPr="001352AB">
        <w:t xml:space="preserve"> </w:t>
      </w:r>
      <w:r w:rsidRPr="001352AB">
        <w:rPr>
          <w:rFonts w:ascii="Sylfaen" w:hAnsi="Sylfaen" w:cs="Sylfaen"/>
        </w:rPr>
        <w:t>ტერიტორიაზე</w:t>
      </w:r>
      <w:r w:rsidRPr="001352AB">
        <w:t xml:space="preserve"> </w:t>
      </w:r>
      <w:r w:rsidRPr="001352AB">
        <w:rPr>
          <w:rFonts w:ascii="Sylfaen" w:hAnsi="Sylfaen" w:cs="Sylfaen"/>
        </w:rPr>
        <w:t>არ</w:t>
      </w:r>
      <w:r w:rsidRPr="001352AB">
        <w:t xml:space="preserve"> </w:t>
      </w:r>
      <w:r w:rsidRPr="001352AB">
        <w:rPr>
          <w:rFonts w:ascii="Sylfaen" w:hAnsi="Sylfaen" w:cs="Sylfaen"/>
        </w:rPr>
        <w:t>აღმჩნდა</w:t>
      </w:r>
      <w:r w:rsidRPr="001352AB">
        <w:t xml:space="preserve"> </w:t>
      </w:r>
      <w:r w:rsidRPr="001352AB">
        <w:rPr>
          <w:rFonts w:ascii="Sylfaen" w:hAnsi="Sylfaen" w:cs="Sylfaen"/>
        </w:rPr>
        <w:t>გრუნტის</w:t>
      </w:r>
      <w:r w:rsidRPr="001352AB">
        <w:t xml:space="preserve"> </w:t>
      </w:r>
      <w:r w:rsidRPr="001352AB">
        <w:rPr>
          <w:rFonts w:ascii="Sylfaen" w:hAnsi="Sylfaen" w:cs="Sylfaen"/>
        </w:rPr>
        <w:t>წყალი</w:t>
      </w:r>
      <w:r w:rsidRPr="001352AB">
        <w:t xml:space="preserve">. </w:t>
      </w:r>
      <w:r w:rsidRPr="001352AB">
        <w:rPr>
          <w:rFonts w:ascii="Sylfaen" w:hAnsi="Sylfaen" w:cs="Sylfaen"/>
        </w:rPr>
        <w:t>აქედან</w:t>
      </w:r>
      <w:r w:rsidRPr="001352AB">
        <w:t xml:space="preserve"> </w:t>
      </w:r>
      <w:r w:rsidRPr="001352AB">
        <w:rPr>
          <w:rFonts w:ascii="Sylfaen" w:hAnsi="Sylfaen" w:cs="Sylfaen"/>
        </w:rPr>
        <w:t>გამომდინარე</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მოხდება</w:t>
      </w:r>
      <w:r w:rsidRPr="001352AB">
        <w:t xml:space="preserve"> </w:t>
      </w:r>
      <w:r w:rsidRPr="001352AB">
        <w:rPr>
          <w:rFonts w:ascii="Sylfaen" w:hAnsi="Sylfaen" w:cs="Sylfaen"/>
        </w:rPr>
        <w:t>მხოლოდ</w:t>
      </w:r>
      <w:r w:rsidRPr="001352AB">
        <w:t xml:space="preserve"> </w:t>
      </w:r>
      <w:r w:rsidRPr="001352AB">
        <w:rPr>
          <w:rFonts w:ascii="Sylfaen" w:hAnsi="Sylfaen" w:cs="Sylfaen"/>
        </w:rPr>
        <w:t>მდინარეებისა</w:t>
      </w:r>
      <w:r w:rsidRPr="001352AB">
        <w:t xml:space="preserve"> </w:t>
      </w:r>
      <w:r w:rsidRPr="001352AB">
        <w:rPr>
          <w:rFonts w:ascii="Sylfaen" w:hAnsi="Sylfaen" w:cs="Sylfaen"/>
        </w:rPr>
        <w:t>და</w:t>
      </w:r>
      <w:r w:rsidRPr="001352AB">
        <w:t xml:space="preserve"> </w:t>
      </w:r>
      <w:r w:rsidRPr="001352AB">
        <w:rPr>
          <w:rFonts w:ascii="Sylfaen" w:hAnsi="Sylfaen" w:cs="Sylfaen"/>
        </w:rPr>
        <w:t>მშრალი</w:t>
      </w:r>
      <w:r w:rsidRPr="001352AB">
        <w:t xml:space="preserve"> </w:t>
      </w:r>
      <w:r w:rsidRPr="001352AB">
        <w:rPr>
          <w:rFonts w:ascii="Sylfaen" w:hAnsi="Sylfaen" w:cs="Sylfaen"/>
        </w:rPr>
        <w:t>ხევების</w:t>
      </w:r>
      <w:r w:rsidRPr="001352AB">
        <w:t xml:space="preserve"> </w:t>
      </w:r>
      <w:r w:rsidRPr="001352AB">
        <w:rPr>
          <w:rFonts w:ascii="Sylfaen" w:hAnsi="Sylfaen" w:cs="Sylfaen"/>
        </w:rPr>
        <w:t>სიახლოვეს</w:t>
      </w:r>
      <w:r w:rsidRPr="001352AB">
        <w:t xml:space="preserve"> </w:t>
      </w:r>
      <w:r w:rsidRPr="001352AB">
        <w:rPr>
          <w:rFonts w:ascii="Sylfaen" w:hAnsi="Sylfaen" w:cs="Sylfaen"/>
        </w:rPr>
        <w:t>ზედაპირული</w:t>
      </w:r>
      <w:r w:rsidRPr="001352AB">
        <w:t xml:space="preserve"> </w:t>
      </w:r>
      <w:r w:rsidRPr="001352AB">
        <w:rPr>
          <w:rFonts w:ascii="Sylfaen" w:hAnsi="Sylfaen" w:cs="Sylfaen"/>
        </w:rPr>
        <w:t>წყლების</w:t>
      </w:r>
      <w:r w:rsidRPr="001352AB">
        <w:t xml:space="preserve">.  </w:t>
      </w:r>
    </w:p>
    <w:p w14:paraId="6B249C84" w14:textId="77777777" w:rsidR="00CD64B5" w:rsidRPr="001352AB" w:rsidRDefault="00CD64B5" w:rsidP="00CD64B5">
      <w:pPr>
        <w:spacing w:before="120" w:after="120"/>
      </w:pPr>
      <w:r w:rsidRPr="001352AB">
        <w:rPr>
          <w:rFonts w:ascii="Sylfaen" w:eastAsia="Calibri" w:hAnsi="Sylfaen" w:cs="Sylfaen"/>
        </w:rPr>
        <w:t>ზემოქმედების</w:t>
      </w:r>
      <w:r w:rsidRPr="001352AB">
        <w:rPr>
          <w:rFonts w:eastAsia="Calibri"/>
        </w:rPr>
        <w:t xml:space="preserve"> </w:t>
      </w:r>
      <w:r w:rsidRPr="001352AB">
        <w:rPr>
          <w:rFonts w:ascii="Sylfaen" w:eastAsia="Calibri" w:hAnsi="Sylfaen" w:cs="Sylfaen"/>
        </w:rPr>
        <w:t>რისკები</w:t>
      </w:r>
      <w:r w:rsidRPr="001352AB">
        <w:rPr>
          <w:rFonts w:eastAsia="Calibri"/>
        </w:rPr>
        <w:t xml:space="preserve"> </w:t>
      </w:r>
      <w:r w:rsidRPr="001352AB">
        <w:rPr>
          <w:rFonts w:ascii="Sylfaen" w:eastAsia="Calibri" w:hAnsi="Sylfaen" w:cs="Sylfaen"/>
        </w:rPr>
        <w:t>შედარებით</w:t>
      </w:r>
      <w:r w:rsidRPr="001352AB">
        <w:rPr>
          <w:rFonts w:eastAsia="Calibri"/>
        </w:rPr>
        <w:t xml:space="preserve"> </w:t>
      </w:r>
      <w:r w:rsidRPr="001352AB">
        <w:rPr>
          <w:rFonts w:ascii="Sylfaen" w:eastAsia="Calibri" w:hAnsi="Sylfaen" w:cs="Sylfaen"/>
        </w:rPr>
        <w:t>მაღალია</w:t>
      </w:r>
      <w:r w:rsidRPr="001352AB">
        <w:rPr>
          <w:rFonts w:eastAsia="Calibri"/>
        </w:rPr>
        <w:t xml:space="preserve"> </w:t>
      </w:r>
      <w:r w:rsidRPr="001352AB">
        <w:rPr>
          <w:rFonts w:ascii="Sylfaen" w:eastAsia="Calibri" w:hAnsi="Sylfaen" w:cs="Sylfaen"/>
        </w:rPr>
        <w:t>სამშენებლო</w:t>
      </w:r>
      <w:r w:rsidRPr="001352AB">
        <w:rPr>
          <w:rFonts w:eastAsia="Calibri"/>
        </w:rPr>
        <w:t xml:space="preserve"> </w:t>
      </w:r>
      <w:r w:rsidRPr="001352AB">
        <w:rPr>
          <w:rFonts w:ascii="Sylfaen" w:eastAsia="Calibri" w:hAnsi="Sylfaen" w:cs="Sylfaen"/>
        </w:rPr>
        <w:t>ბანაკებთან</w:t>
      </w:r>
      <w:r w:rsidRPr="001352AB">
        <w:rPr>
          <w:rFonts w:eastAsia="Calibri"/>
        </w:rPr>
        <w:t xml:space="preserve"> </w:t>
      </w:r>
      <w:r w:rsidRPr="001352AB">
        <w:rPr>
          <w:rFonts w:ascii="Sylfaen" w:eastAsia="Calibri" w:hAnsi="Sylfaen" w:cs="Sylfaen"/>
        </w:rPr>
        <w:t>და</w:t>
      </w:r>
      <w:r w:rsidRPr="001352AB">
        <w:rPr>
          <w:rFonts w:eastAsia="Calibri"/>
        </w:rPr>
        <w:t xml:space="preserve"> </w:t>
      </w:r>
      <w:r w:rsidRPr="001352AB">
        <w:rPr>
          <w:rFonts w:ascii="Sylfaen" w:eastAsia="Calibri" w:hAnsi="Sylfaen" w:cs="Sylfaen"/>
        </w:rPr>
        <w:t>იმ</w:t>
      </w:r>
      <w:r w:rsidRPr="001352AB">
        <w:rPr>
          <w:rFonts w:eastAsia="Calibri"/>
        </w:rPr>
        <w:t xml:space="preserve"> </w:t>
      </w:r>
      <w:r w:rsidRPr="001352AB">
        <w:rPr>
          <w:rFonts w:ascii="Sylfaen" w:eastAsia="Calibri" w:hAnsi="Sylfaen" w:cs="Sylfaen"/>
        </w:rPr>
        <w:t>უბნებზე</w:t>
      </w:r>
      <w:r w:rsidRPr="001352AB">
        <w:rPr>
          <w:rFonts w:eastAsia="Calibri"/>
        </w:rPr>
        <w:t xml:space="preserve">, </w:t>
      </w:r>
      <w:r w:rsidRPr="001352AB">
        <w:rPr>
          <w:rFonts w:ascii="Sylfaen" w:eastAsia="Calibri" w:hAnsi="Sylfaen" w:cs="Sylfaen"/>
        </w:rPr>
        <w:t>სადაც</w:t>
      </w:r>
      <w:r w:rsidRPr="001352AB">
        <w:rPr>
          <w:rFonts w:eastAsia="Calibri"/>
        </w:rPr>
        <w:t xml:space="preserve"> </w:t>
      </w:r>
      <w:r w:rsidRPr="001352AB">
        <w:rPr>
          <w:rFonts w:ascii="Sylfaen" w:eastAsia="Calibri" w:hAnsi="Sylfaen" w:cs="Sylfaen"/>
        </w:rPr>
        <w:t>სამუშაოების</w:t>
      </w:r>
      <w:r w:rsidRPr="001352AB">
        <w:rPr>
          <w:rFonts w:eastAsia="Calibri"/>
        </w:rPr>
        <w:t xml:space="preserve"> </w:t>
      </w:r>
      <w:r w:rsidRPr="001352AB">
        <w:rPr>
          <w:rFonts w:ascii="Sylfaen" w:eastAsia="Calibri" w:hAnsi="Sylfaen" w:cs="Sylfaen"/>
        </w:rPr>
        <w:t>წარმოება</w:t>
      </w:r>
      <w:r w:rsidRPr="001352AB">
        <w:rPr>
          <w:rFonts w:eastAsia="Calibri"/>
        </w:rPr>
        <w:t xml:space="preserve"> </w:t>
      </w:r>
      <w:r w:rsidRPr="001352AB">
        <w:rPr>
          <w:rFonts w:ascii="Sylfaen" w:eastAsia="Calibri" w:hAnsi="Sylfaen" w:cs="Sylfaen"/>
        </w:rPr>
        <w:t>მოხდება</w:t>
      </w:r>
      <w:r w:rsidRPr="001352AB">
        <w:rPr>
          <w:rFonts w:eastAsia="Calibri"/>
        </w:rPr>
        <w:t xml:space="preserve"> </w:t>
      </w:r>
      <w:r w:rsidRPr="001352AB">
        <w:rPr>
          <w:rFonts w:ascii="Sylfaen" w:eastAsia="Calibri" w:hAnsi="Sylfaen" w:cs="Sylfaen"/>
        </w:rPr>
        <w:t>მდინარის</w:t>
      </w:r>
      <w:r w:rsidRPr="001352AB">
        <w:rPr>
          <w:rFonts w:eastAsia="Calibri"/>
        </w:rPr>
        <w:t xml:space="preserve"> </w:t>
      </w:r>
      <w:r w:rsidRPr="001352AB">
        <w:rPr>
          <w:rFonts w:ascii="Sylfaen" w:eastAsia="Calibri" w:hAnsi="Sylfaen" w:cs="Sylfaen"/>
        </w:rPr>
        <w:t>კალაპოტში</w:t>
      </w:r>
      <w:r w:rsidRPr="001352AB">
        <w:rPr>
          <w:rFonts w:eastAsia="Calibri"/>
        </w:rPr>
        <w:t xml:space="preserve"> </w:t>
      </w:r>
      <w:r w:rsidRPr="001352AB">
        <w:rPr>
          <w:rFonts w:ascii="Sylfaen" w:eastAsia="Calibri" w:hAnsi="Sylfaen" w:cs="Sylfaen"/>
        </w:rPr>
        <w:t>ან</w:t>
      </w:r>
      <w:r w:rsidRPr="001352AB">
        <w:rPr>
          <w:rFonts w:eastAsia="Calibri"/>
        </w:rPr>
        <w:t xml:space="preserve"> </w:t>
      </w:r>
      <w:r w:rsidRPr="001352AB">
        <w:rPr>
          <w:rFonts w:ascii="Sylfaen" w:eastAsia="Calibri" w:hAnsi="Sylfaen" w:cs="Sylfaen"/>
        </w:rPr>
        <w:t>მის</w:t>
      </w:r>
      <w:r w:rsidRPr="001352AB">
        <w:rPr>
          <w:rFonts w:eastAsia="Calibri"/>
        </w:rPr>
        <w:t xml:space="preserve"> </w:t>
      </w:r>
      <w:r w:rsidRPr="001352AB">
        <w:rPr>
          <w:rFonts w:ascii="Sylfaen" w:eastAsia="Calibri" w:hAnsi="Sylfaen" w:cs="Sylfaen"/>
        </w:rPr>
        <w:t>მახლობლად</w:t>
      </w:r>
      <w:r w:rsidRPr="001352AB">
        <w:rPr>
          <w:rFonts w:eastAsia="Calibri"/>
        </w:rPr>
        <w:t xml:space="preserve">. </w:t>
      </w:r>
      <w:r w:rsidRPr="001352AB">
        <w:rPr>
          <w:rFonts w:ascii="Sylfaen" w:hAnsi="Sylfaen" w:cs="Sylfaen"/>
        </w:rPr>
        <w:t>წინასწარი</w:t>
      </w:r>
      <w:r w:rsidRPr="001352AB">
        <w:t xml:space="preserve"> </w:t>
      </w:r>
      <w:r w:rsidRPr="001352AB">
        <w:rPr>
          <w:rFonts w:ascii="Sylfaen" w:hAnsi="Sylfaen" w:cs="Sylfaen"/>
        </w:rPr>
        <w:t>დიზაინის</w:t>
      </w:r>
      <w:r w:rsidRPr="001352AB">
        <w:t xml:space="preserve"> </w:t>
      </w:r>
      <w:r w:rsidRPr="001352AB">
        <w:rPr>
          <w:rFonts w:ascii="Sylfaen" w:hAnsi="Sylfaen" w:cs="Sylfaen"/>
        </w:rPr>
        <w:t>მომზადების</w:t>
      </w:r>
      <w:r w:rsidRPr="001352AB">
        <w:t xml:space="preserve"> </w:t>
      </w:r>
      <w:r w:rsidRPr="001352AB">
        <w:rPr>
          <w:rFonts w:ascii="Sylfaen" w:hAnsi="Sylfaen" w:cs="Sylfaen"/>
        </w:rPr>
        <w:t>შემდგომ</w:t>
      </w:r>
      <w:r w:rsidRPr="001352AB">
        <w:t xml:space="preserve"> </w:t>
      </w:r>
      <w:r w:rsidRPr="001352AB">
        <w:rPr>
          <w:rFonts w:ascii="Sylfaen" w:hAnsi="Sylfaen" w:cs="Sylfaen"/>
        </w:rPr>
        <w:t>განისაზღვრება</w:t>
      </w:r>
      <w:r w:rsidRPr="001352AB">
        <w:t xml:space="preserve"> </w:t>
      </w:r>
      <w:r w:rsidRPr="001352AB">
        <w:rPr>
          <w:rFonts w:ascii="Sylfaen" w:hAnsi="Sylfaen" w:cs="Sylfaen"/>
        </w:rPr>
        <w:t>მდინარეში</w:t>
      </w:r>
      <w:r w:rsidRPr="001352AB">
        <w:t xml:space="preserve"> </w:t>
      </w:r>
      <w:r w:rsidRPr="001352AB">
        <w:rPr>
          <w:rFonts w:ascii="Sylfaen" w:hAnsi="Sylfaen" w:cs="Sylfaen"/>
        </w:rPr>
        <w:t>ხიმინჯების</w:t>
      </w:r>
      <w:r w:rsidRPr="001352AB">
        <w:t xml:space="preserve"> </w:t>
      </w:r>
      <w:r w:rsidRPr="001352AB">
        <w:rPr>
          <w:rFonts w:ascii="Sylfaen" w:hAnsi="Sylfaen" w:cs="Sylfaen"/>
        </w:rPr>
        <w:t>დამონტაჯება</w:t>
      </w:r>
      <w:r w:rsidRPr="001352AB">
        <w:t xml:space="preserve"> </w:t>
      </w:r>
      <w:r w:rsidRPr="001352AB">
        <w:rPr>
          <w:rFonts w:ascii="Sylfaen" w:hAnsi="Sylfaen" w:cs="Sylfaen"/>
        </w:rPr>
        <w:t>ხიდების</w:t>
      </w:r>
      <w:r w:rsidRPr="001352AB">
        <w:t xml:space="preserve"> </w:t>
      </w:r>
      <w:r w:rsidRPr="001352AB">
        <w:rPr>
          <w:rFonts w:ascii="Sylfaen" w:hAnsi="Sylfaen" w:cs="Sylfaen"/>
        </w:rPr>
        <w:t>მშენებლობის</w:t>
      </w:r>
      <w:r w:rsidRPr="001352AB">
        <w:t xml:space="preserve"> </w:t>
      </w:r>
      <w:r w:rsidRPr="001352AB">
        <w:rPr>
          <w:rFonts w:ascii="Sylfaen" w:hAnsi="Sylfaen" w:cs="Sylfaen"/>
        </w:rPr>
        <w:t>დროს</w:t>
      </w:r>
      <w:r w:rsidRPr="001352AB">
        <w:t xml:space="preserve">. </w:t>
      </w:r>
      <w:r w:rsidRPr="001352AB">
        <w:rPr>
          <w:rFonts w:ascii="Sylfaen" w:eastAsia="Calibri" w:hAnsi="Sylfaen" w:cs="Sylfaen"/>
        </w:rPr>
        <w:t>სათანადო</w:t>
      </w:r>
      <w:r w:rsidRPr="001352AB">
        <w:rPr>
          <w:rFonts w:eastAsia="Calibri"/>
        </w:rPr>
        <w:t xml:space="preserve"> </w:t>
      </w:r>
      <w:r w:rsidRPr="001352AB">
        <w:rPr>
          <w:rFonts w:ascii="Sylfaen" w:eastAsia="Calibri" w:hAnsi="Sylfaen" w:cs="Sylfaen"/>
        </w:rPr>
        <w:t>გარემოსდაცვითი</w:t>
      </w:r>
      <w:r w:rsidRPr="001352AB">
        <w:rPr>
          <w:rFonts w:eastAsia="Calibri"/>
        </w:rPr>
        <w:t xml:space="preserve"> </w:t>
      </w:r>
      <w:r w:rsidRPr="001352AB">
        <w:rPr>
          <w:rFonts w:ascii="Sylfaen" w:eastAsia="Calibri" w:hAnsi="Sylfaen" w:cs="Sylfaen"/>
        </w:rPr>
        <w:t>მენეჯმენტის</w:t>
      </w:r>
      <w:r w:rsidRPr="001352AB">
        <w:rPr>
          <w:rFonts w:eastAsia="Calibri"/>
        </w:rPr>
        <w:t xml:space="preserve"> </w:t>
      </w:r>
      <w:r w:rsidRPr="001352AB">
        <w:rPr>
          <w:rFonts w:ascii="Sylfaen" w:eastAsia="Calibri" w:hAnsi="Sylfaen" w:cs="Sylfaen"/>
        </w:rPr>
        <w:t>პირობებში</w:t>
      </w:r>
      <w:r w:rsidRPr="001352AB">
        <w:rPr>
          <w:rFonts w:eastAsia="Calibri"/>
        </w:rPr>
        <w:t xml:space="preserve"> </w:t>
      </w:r>
      <w:r w:rsidRPr="001352AB">
        <w:rPr>
          <w:rFonts w:ascii="Sylfaen" w:eastAsia="Calibri" w:hAnsi="Sylfaen" w:cs="Sylfaen"/>
        </w:rPr>
        <w:t>ზედაპირული</w:t>
      </w:r>
      <w:r w:rsidRPr="001352AB">
        <w:rPr>
          <w:rFonts w:eastAsia="Calibri"/>
        </w:rPr>
        <w:t xml:space="preserve"> </w:t>
      </w:r>
      <w:r w:rsidRPr="001352AB">
        <w:rPr>
          <w:rFonts w:ascii="Sylfaen" w:eastAsia="Calibri" w:hAnsi="Sylfaen" w:cs="Sylfaen"/>
        </w:rPr>
        <w:t>წყლების</w:t>
      </w:r>
      <w:r w:rsidRPr="001352AB">
        <w:rPr>
          <w:rFonts w:eastAsia="Calibri"/>
        </w:rPr>
        <w:t xml:space="preserve"> </w:t>
      </w:r>
      <w:r w:rsidRPr="001352AB">
        <w:rPr>
          <w:rFonts w:ascii="Sylfaen" w:eastAsia="Calibri" w:hAnsi="Sylfaen" w:cs="Sylfaen"/>
        </w:rPr>
        <w:t>დაბინძურების</w:t>
      </w:r>
      <w:r w:rsidRPr="001352AB">
        <w:rPr>
          <w:rFonts w:eastAsia="Calibri"/>
        </w:rPr>
        <w:t xml:space="preserve"> </w:t>
      </w:r>
      <w:r w:rsidRPr="001352AB">
        <w:rPr>
          <w:rFonts w:ascii="Sylfaen" w:eastAsia="Calibri" w:hAnsi="Sylfaen" w:cs="Sylfaen"/>
        </w:rPr>
        <w:t>ალბათობა</w:t>
      </w:r>
      <w:r w:rsidRPr="001352AB">
        <w:rPr>
          <w:rFonts w:eastAsia="Calibri"/>
        </w:rPr>
        <w:t xml:space="preserve"> </w:t>
      </w:r>
      <w:r w:rsidRPr="001352AB">
        <w:rPr>
          <w:rFonts w:ascii="Sylfaen" w:eastAsia="Calibri" w:hAnsi="Sylfaen" w:cs="Sylfaen"/>
        </w:rPr>
        <w:t>დაბალია</w:t>
      </w:r>
      <w:r w:rsidRPr="001352AB">
        <w:rPr>
          <w:rFonts w:eastAsia="Calibri"/>
        </w:rPr>
        <w:t xml:space="preserve">. </w:t>
      </w:r>
    </w:p>
    <w:p w14:paraId="769555F5" w14:textId="77777777" w:rsidR="00CD64B5" w:rsidRPr="001352AB" w:rsidRDefault="00CD64B5" w:rsidP="00CD64B5">
      <w:pPr>
        <w:spacing w:before="120" w:after="120"/>
        <w:rPr>
          <w:rFonts w:eastAsia="Calibri"/>
        </w:rPr>
      </w:pPr>
      <w:r w:rsidRPr="001352AB">
        <w:rPr>
          <w:rFonts w:ascii="Sylfaen" w:eastAsia="Calibri" w:hAnsi="Sylfaen" w:cs="Sylfaen"/>
        </w:rPr>
        <w:t>საერთო</w:t>
      </w:r>
      <w:r w:rsidRPr="001352AB">
        <w:rPr>
          <w:rFonts w:eastAsia="Calibri"/>
        </w:rPr>
        <w:t xml:space="preserve"> </w:t>
      </w:r>
      <w:r w:rsidRPr="001352AB">
        <w:rPr>
          <w:rFonts w:ascii="Sylfaen" w:eastAsia="Calibri" w:hAnsi="Sylfaen" w:cs="Sylfaen"/>
        </w:rPr>
        <w:t>ჯამში</w:t>
      </w:r>
      <w:r w:rsidRPr="001352AB">
        <w:rPr>
          <w:rFonts w:eastAsia="Calibri"/>
        </w:rPr>
        <w:t xml:space="preserve"> </w:t>
      </w:r>
      <w:r w:rsidRPr="001352AB">
        <w:rPr>
          <w:rFonts w:ascii="Sylfaen" w:eastAsia="Calibri" w:hAnsi="Sylfaen" w:cs="Sylfaen"/>
        </w:rPr>
        <w:t>გზის</w:t>
      </w:r>
      <w:r w:rsidRPr="001352AB">
        <w:rPr>
          <w:rFonts w:eastAsia="Calibri"/>
        </w:rPr>
        <w:t xml:space="preserve"> </w:t>
      </w:r>
      <w:r w:rsidRPr="001352AB">
        <w:rPr>
          <w:rFonts w:ascii="Sylfaen" w:eastAsia="Calibri" w:hAnsi="Sylfaen" w:cs="Sylfaen"/>
        </w:rPr>
        <w:t>მშენებლობის</w:t>
      </w:r>
      <w:r w:rsidRPr="001352AB">
        <w:rPr>
          <w:rFonts w:eastAsia="Calibri"/>
        </w:rPr>
        <w:t xml:space="preserve"> </w:t>
      </w:r>
      <w:r w:rsidRPr="001352AB">
        <w:rPr>
          <w:rFonts w:ascii="Sylfaen" w:eastAsia="Calibri" w:hAnsi="Sylfaen" w:cs="Sylfaen"/>
        </w:rPr>
        <w:t>გავლენა</w:t>
      </w:r>
      <w:r w:rsidRPr="001352AB">
        <w:rPr>
          <w:rFonts w:eastAsia="Calibri"/>
        </w:rPr>
        <w:t xml:space="preserve"> </w:t>
      </w:r>
      <w:r w:rsidRPr="001352AB">
        <w:rPr>
          <w:rFonts w:ascii="Sylfaen" w:eastAsia="Calibri" w:hAnsi="Sylfaen" w:cs="Sylfaen"/>
        </w:rPr>
        <w:t>წყლის</w:t>
      </w:r>
      <w:r w:rsidRPr="001352AB">
        <w:rPr>
          <w:rFonts w:eastAsia="Calibri"/>
        </w:rPr>
        <w:t xml:space="preserve"> </w:t>
      </w:r>
      <w:r w:rsidRPr="001352AB">
        <w:rPr>
          <w:rFonts w:ascii="Sylfaen" w:eastAsia="Calibri" w:hAnsi="Sylfaen" w:cs="Sylfaen"/>
        </w:rPr>
        <w:t>გარემოზე</w:t>
      </w:r>
      <w:r w:rsidRPr="001352AB">
        <w:rPr>
          <w:rFonts w:eastAsia="Calibri"/>
        </w:rPr>
        <w:t xml:space="preserve"> </w:t>
      </w:r>
      <w:r w:rsidRPr="001352AB">
        <w:rPr>
          <w:rFonts w:ascii="Sylfaen" w:eastAsia="Calibri" w:hAnsi="Sylfaen" w:cs="Sylfaen"/>
        </w:rPr>
        <w:t>შეიძლება</w:t>
      </w:r>
      <w:r w:rsidRPr="001352AB">
        <w:rPr>
          <w:rFonts w:eastAsia="Calibri"/>
        </w:rPr>
        <w:t xml:space="preserve"> </w:t>
      </w:r>
      <w:r w:rsidRPr="001352AB">
        <w:rPr>
          <w:rFonts w:ascii="Sylfaen" w:eastAsia="Calibri" w:hAnsi="Sylfaen" w:cs="Sylfaen"/>
        </w:rPr>
        <w:t>შეფასდეს</w:t>
      </w:r>
      <w:r w:rsidRPr="001352AB">
        <w:rPr>
          <w:rFonts w:eastAsia="Calibri"/>
        </w:rPr>
        <w:t xml:space="preserve"> </w:t>
      </w:r>
      <w:r w:rsidRPr="001352AB">
        <w:rPr>
          <w:rFonts w:ascii="Sylfaen" w:eastAsia="Calibri" w:hAnsi="Sylfaen" w:cs="Sylfaen"/>
        </w:rPr>
        <w:t>როგორც</w:t>
      </w:r>
      <w:r w:rsidRPr="001352AB">
        <w:rPr>
          <w:rFonts w:eastAsia="Calibri"/>
        </w:rPr>
        <w:t xml:space="preserve"> </w:t>
      </w:r>
      <w:r w:rsidRPr="001352AB">
        <w:rPr>
          <w:rFonts w:ascii="Sylfaen" w:eastAsia="Calibri" w:hAnsi="Sylfaen" w:cs="Sylfaen"/>
        </w:rPr>
        <w:t>დაბალი</w:t>
      </w:r>
      <w:r w:rsidRPr="001352AB">
        <w:rPr>
          <w:rFonts w:eastAsia="Calibri"/>
        </w:rPr>
        <w:t xml:space="preserve">. </w:t>
      </w:r>
      <w:r w:rsidRPr="001352AB">
        <w:rPr>
          <w:rFonts w:ascii="Sylfaen" w:eastAsia="Calibri" w:hAnsi="Sylfaen" w:cs="Sylfaen"/>
        </w:rPr>
        <w:t>ზემოქმედება</w:t>
      </w:r>
      <w:r w:rsidRPr="001352AB">
        <w:rPr>
          <w:rFonts w:eastAsia="Calibri"/>
        </w:rPr>
        <w:t xml:space="preserve"> </w:t>
      </w:r>
      <w:r w:rsidRPr="001352AB">
        <w:rPr>
          <w:rFonts w:ascii="Sylfaen" w:eastAsia="Calibri" w:hAnsi="Sylfaen" w:cs="Sylfaen"/>
        </w:rPr>
        <w:t>დროებითი</w:t>
      </w:r>
      <w:r w:rsidRPr="001352AB">
        <w:rPr>
          <w:rFonts w:eastAsia="Calibri"/>
        </w:rPr>
        <w:t xml:space="preserve"> </w:t>
      </w:r>
      <w:r w:rsidRPr="001352AB">
        <w:rPr>
          <w:rFonts w:ascii="Sylfaen" w:eastAsia="Calibri" w:hAnsi="Sylfaen" w:cs="Sylfaen"/>
        </w:rPr>
        <w:t>და</w:t>
      </w:r>
      <w:r w:rsidRPr="001352AB">
        <w:rPr>
          <w:rFonts w:eastAsia="Calibri"/>
        </w:rPr>
        <w:t xml:space="preserve"> </w:t>
      </w:r>
      <w:r w:rsidRPr="001352AB">
        <w:rPr>
          <w:rFonts w:ascii="Sylfaen" w:eastAsia="Calibri" w:hAnsi="Sylfaen" w:cs="Sylfaen"/>
        </w:rPr>
        <w:t>შექცევადი</w:t>
      </w:r>
      <w:r w:rsidRPr="001352AB">
        <w:rPr>
          <w:rFonts w:eastAsia="Calibri"/>
        </w:rPr>
        <w:t xml:space="preserve"> </w:t>
      </w:r>
      <w:r w:rsidRPr="001352AB">
        <w:rPr>
          <w:rFonts w:ascii="Sylfaen" w:eastAsia="Calibri" w:hAnsi="Sylfaen" w:cs="Sylfaen"/>
        </w:rPr>
        <w:t>ხასიათის</w:t>
      </w:r>
      <w:r w:rsidRPr="001352AB">
        <w:rPr>
          <w:rFonts w:eastAsia="Calibri"/>
        </w:rPr>
        <w:t xml:space="preserve"> </w:t>
      </w:r>
      <w:r w:rsidRPr="001352AB">
        <w:rPr>
          <w:rFonts w:ascii="Sylfaen" w:eastAsia="Calibri" w:hAnsi="Sylfaen" w:cs="Sylfaen"/>
        </w:rPr>
        <w:t>იქნება</w:t>
      </w:r>
      <w:r w:rsidRPr="001352AB">
        <w:rPr>
          <w:rFonts w:eastAsia="Calibri"/>
        </w:rPr>
        <w:t xml:space="preserve">. </w:t>
      </w:r>
      <w:r w:rsidRPr="001352AB">
        <w:rPr>
          <w:rFonts w:ascii="Sylfaen" w:eastAsia="Calibri" w:hAnsi="Sylfaen" w:cs="Sylfaen"/>
        </w:rPr>
        <w:t>შემარბილებელი</w:t>
      </w:r>
      <w:r w:rsidRPr="001352AB">
        <w:rPr>
          <w:rFonts w:eastAsia="Calibri"/>
        </w:rPr>
        <w:t xml:space="preserve"> </w:t>
      </w:r>
      <w:r w:rsidRPr="001352AB">
        <w:rPr>
          <w:rFonts w:ascii="Sylfaen" w:eastAsia="Calibri" w:hAnsi="Sylfaen" w:cs="Sylfaen"/>
        </w:rPr>
        <w:t>ღონისძიებების</w:t>
      </w:r>
      <w:r w:rsidRPr="001352AB">
        <w:rPr>
          <w:rFonts w:eastAsia="Calibri"/>
        </w:rPr>
        <w:t xml:space="preserve"> </w:t>
      </w:r>
      <w:r w:rsidRPr="001352AB">
        <w:rPr>
          <w:rFonts w:ascii="Sylfaen" w:eastAsia="Calibri" w:hAnsi="Sylfaen" w:cs="Sylfaen"/>
        </w:rPr>
        <w:t>გატარების</w:t>
      </w:r>
      <w:r w:rsidRPr="001352AB">
        <w:rPr>
          <w:rFonts w:eastAsia="Calibri"/>
        </w:rPr>
        <w:t xml:space="preserve"> </w:t>
      </w:r>
      <w:r w:rsidRPr="001352AB">
        <w:rPr>
          <w:rFonts w:ascii="Sylfaen" w:eastAsia="Calibri" w:hAnsi="Sylfaen" w:cs="Sylfaen"/>
        </w:rPr>
        <w:t>შემთხვევაში</w:t>
      </w:r>
      <w:r w:rsidRPr="001352AB">
        <w:rPr>
          <w:rFonts w:eastAsia="Calibri"/>
        </w:rPr>
        <w:t xml:space="preserve"> </w:t>
      </w:r>
      <w:r w:rsidRPr="001352AB">
        <w:rPr>
          <w:rFonts w:ascii="Sylfaen" w:eastAsia="Calibri" w:hAnsi="Sylfaen" w:cs="Sylfaen"/>
        </w:rPr>
        <w:t>კი</w:t>
      </w:r>
      <w:r w:rsidRPr="001352AB">
        <w:rPr>
          <w:rFonts w:eastAsia="Calibri"/>
        </w:rPr>
        <w:t xml:space="preserve"> </w:t>
      </w:r>
      <w:r w:rsidRPr="001352AB">
        <w:rPr>
          <w:rFonts w:ascii="Sylfaen" w:eastAsia="Calibri" w:hAnsi="Sylfaen" w:cs="Sylfaen"/>
        </w:rPr>
        <w:t>გაუტოლდება</w:t>
      </w:r>
      <w:r w:rsidRPr="001352AB">
        <w:rPr>
          <w:rFonts w:eastAsia="Calibri"/>
        </w:rPr>
        <w:t xml:space="preserve"> </w:t>
      </w:r>
      <w:r w:rsidRPr="001352AB">
        <w:rPr>
          <w:rFonts w:ascii="Sylfaen" w:eastAsia="Calibri" w:hAnsi="Sylfaen" w:cs="Sylfaen"/>
        </w:rPr>
        <w:t>ნოლს</w:t>
      </w:r>
      <w:r w:rsidRPr="001352AB">
        <w:rPr>
          <w:rFonts w:eastAsia="Calibri"/>
        </w:rPr>
        <w:t>.</w:t>
      </w:r>
    </w:p>
    <w:p w14:paraId="5A0F8852" w14:textId="77777777" w:rsidR="00CD64B5" w:rsidRPr="000E38C6" w:rsidRDefault="00CD64B5" w:rsidP="00CD64B5">
      <w:pPr>
        <w:spacing w:before="120" w:after="120"/>
        <w:rPr>
          <w:rFonts w:eastAsia="Calibri"/>
          <w:b/>
        </w:rPr>
      </w:pPr>
      <w:r w:rsidRPr="000E38C6">
        <w:rPr>
          <w:rFonts w:ascii="Sylfaen" w:eastAsia="Calibri" w:hAnsi="Sylfaen" w:cs="Sylfaen"/>
          <w:b/>
        </w:rPr>
        <w:t>შემარბილებელი</w:t>
      </w:r>
      <w:r w:rsidRPr="000E38C6">
        <w:rPr>
          <w:rFonts w:eastAsia="Calibri"/>
          <w:b/>
        </w:rPr>
        <w:t xml:space="preserve"> </w:t>
      </w:r>
      <w:r w:rsidRPr="000E38C6">
        <w:rPr>
          <w:rFonts w:ascii="Sylfaen" w:eastAsia="Calibri" w:hAnsi="Sylfaen" w:cs="Sylfaen"/>
          <w:b/>
        </w:rPr>
        <w:t>ღონისძიებები</w:t>
      </w:r>
      <w:r w:rsidRPr="000E38C6">
        <w:rPr>
          <w:rFonts w:eastAsia="Calibri"/>
          <w:b/>
        </w:rPr>
        <w:t xml:space="preserve"> - </w:t>
      </w:r>
      <w:r w:rsidRPr="000E38C6">
        <w:rPr>
          <w:rFonts w:ascii="Sylfaen" w:eastAsia="Calibri" w:hAnsi="Sylfaen" w:cs="Sylfaen"/>
          <w:b/>
        </w:rPr>
        <w:t>მშენებლობის</w:t>
      </w:r>
      <w:r w:rsidRPr="000E38C6">
        <w:rPr>
          <w:rFonts w:eastAsia="Calibri"/>
          <w:b/>
        </w:rPr>
        <w:t xml:space="preserve"> </w:t>
      </w:r>
      <w:r w:rsidRPr="000E38C6">
        <w:rPr>
          <w:rFonts w:ascii="Sylfaen" w:eastAsia="Calibri" w:hAnsi="Sylfaen" w:cs="Sylfaen"/>
          <w:b/>
        </w:rPr>
        <w:t>ფაზაზე</w:t>
      </w:r>
    </w:p>
    <w:p w14:paraId="20ED966C" w14:textId="77777777" w:rsidR="00CD64B5" w:rsidRPr="001352AB" w:rsidRDefault="00CD64B5" w:rsidP="00CD64B5">
      <w:pPr>
        <w:spacing w:before="120" w:after="120"/>
        <w:rPr>
          <w:rFonts w:eastAsia="Calibri"/>
          <w:lang w:eastAsia="en-US"/>
        </w:rPr>
      </w:pPr>
      <w:r w:rsidRPr="001352AB">
        <w:rPr>
          <w:rFonts w:ascii="Sylfaen" w:hAnsi="Sylfaen" w:cs="Sylfaen"/>
        </w:rPr>
        <w:t>უარყოფითი</w:t>
      </w:r>
      <w:r w:rsidRPr="001352AB">
        <w:t xml:space="preserve"> </w:t>
      </w:r>
      <w:r w:rsidRPr="001352AB">
        <w:rPr>
          <w:rFonts w:ascii="Sylfaen" w:hAnsi="Sylfaen" w:cs="Sylfaen"/>
        </w:rPr>
        <w:t>ზემოქმედების</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აცილების</w:t>
      </w:r>
      <w:r w:rsidRPr="001352AB">
        <w:t xml:space="preserve"> </w:t>
      </w:r>
      <w:r w:rsidRPr="001352AB">
        <w:rPr>
          <w:rFonts w:ascii="Sylfaen" w:hAnsi="Sylfaen" w:cs="Sylfaen"/>
        </w:rPr>
        <w:t>ან</w:t>
      </w:r>
      <w:r w:rsidRPr="001352AB">
        <w:t xml:space="preserve"> </w:t>
      </w:r>
      <w:r w:rsidRPr="001352AB">
        <w:rPr>
          <w:rFonts w:ascii="Sylfaen" w:hAnsi="Sylfaen" w:cs="Sylfaen"/>
        </w:rPr>
        <w:t>შერბილების</w:t>
      </w:r>
      <w:r w:rsidRPr="001352AB">
        <w:t xml:space="preserve"> </w:t>
      </w:r>
      <w:r w:rsidRPr="001352AB">
        <w:rPr>
          <w:rFonts w:ascii="Sylfaen" w:hAnsi="Sylfaen" w:cs="Sylfaen"/>
        </w:rPr>
        <w:t>მიზნით</w:t>
      </w:r>
      <w:r w:rsidRPr="001352AB">
        <w:t xml:space="preserve"> </w:t>
      </w:r>
      <w:r w:rsidRPr="001352AB">
        <w:rPr>
          <w:rFonts w:ascii="Sylfaen" w:hAnsi="Sylfaen" w:cs="Sylfaen"/>
        </w:rPr>
        <w:t>პროექტის</w:t>
      </w:r>
      <w:r w:rsidRPr="001352AB">
        <w:t xml:space="preserve"> </w:t>
      </w:r>
      <w:r w:rsidRPr="001352AB">
        <w:rPr>
          <w:rFonts w:ascii="Sylfaen" w:hAnsi="Sylfaen" w:cs="Sylfaen"/>
        </w:rPr>
        <w:t>განხორციელების</w:t>
      </w:r>
      <w:r w:rsidRPr="001352AB">
        <w:t xml:space="preserve"> </w:t>
      </w:r>
      <w:r w:rsidRPr="001352AB">
        <w:rPr>
          <w:rFonts w:ascii="Sylfaen" w:hAnsi="Sylfaen" w:cs="Sylfaen"/>
        </w:rPr>
        <w:t>უბნებზე</w:t>
      </w:r>
      <w:r w:rsidRPr="001352AB">
        <w:t xml:space="preserve"> </w:t>
      </w:r>
      <w:r w:rsidRPr="001352AB">
        <w:rPr>
          <w:rFonts w:ascii="Sylfaen" w:hAnsi="Sylfaen" w:cs="Sylfaen"/>
        </w:rPr>
        <w:t>საქმიანობა</w:t>
      </w:r>
      <w:r w:rsidRPr="001352AB">
        <w:t xml:space="preserve">  </w:t>
      </w:r>
      <w:r w:rsidRPr="001352AB">
        <w:rPr>
          <w:rFonts w:ascii="Sylfaen" w:hAnsi="Sylfaen" w:cs="Sylfaen"/>
        </w:rPr>
        <w:t>განხორციელდება</w:t>
      </w:r>
      <w:r w:rsidRPr="001352AB">
        <w:t xml:space="preserve"> </w:t>
      </w:r>
      <w:r w:rsidRPr="001352AB">
        <w:rPr>
          <w:rFonts w:ascii="Sylfaen" w:hAnsi="Sylfaen" w:cs="Sylfaen"/>
        </w:rPr>
        <w:t>შემდეგი</w:t>
      </w:r>
      <w:r w:rsidRPr="001352AB">
        <w:t xml:space="preserve"> </w:t>
      </w:r>
      <w:r w:rsidRPr="001352AB">
        <w:rPr>
          <w:rFonts w:ascii="Sylfaen" w:hAnsi="Sylfaen" w:cs="Sylfaen"/>
        </w:rPr>
        <w:t>გარემოსდაცვითი</w:t>
      </w:r>
      <w:r w:rsidRPr="001352AB">
        <w:t>/</w:t>
      </w:r>
      <w:r w:rsidRPr="001352AB">
        <w:rPr>
          <w:rFonts w:ascii="Sylfaen" w:hAnsi="Sylfaen" w:cs="Sylfaen"/>
        </w:rPr>
        <w:t>უსაფრთხოების</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გათვალისწინებით</w:t>
      </w:r>
      <w:r w:rsidRPr="001352AB">
        <w:t>:</w:t>
      </w:r>
    </w:p>
    <w:p w14:paraId="55B05E89" w14:textId="77777777" w:rsidR="00CD64B5" w:rsidRPr="001352AB" w:rsidRDefault="00CD64B5" w:rsidP="00CD64B5">
      <w:pPr>
        <w:spacing w:before="120" w:after="120"/>
        <w:rPr>
          <w:lang w:eastAsia="da-DK"/>
        </w:rPr>
      </w:pPr>
      <w:r w:rsidRPr="001352AB">
        <w:rPr>
          <w:rFonts w:ascii="Sylfaen" w:hAnsi="Sylfaen" w:cs="Sylfaen"/>
        </w:rPr>
        <w:t>ტერიტორიაზე</w:t>
      </w:r>
      <w:r w:rsidRPr="001352AB">
        <w:t xml:space="preserve"> </w:t>
      </w:r>
      <w:r w:rsidRPr="001352AB">
        <w:rPr>
          <w:rFonts w:ascii="Sylfaen" w:hAnsi="Sylfaen" w:cs="Sylfaen"/>
        </w:rPr>
        <w:t>საწვავის</w:t>
      </w:r>
      <w:r w:rsidRPr="001352AB">
        <w:t xml:space="preserve"> </w:t>
      </w:r>
      <w:r w:rsidRPr="001352AB">
        <w:rPr>
          <w:rFonts w:ascii="Sylfaen" w:hAnsi="Sylfaen" w:cs="Sylfaen"/>
        </w:rPr>
        <w:t>ავზის</w:t>
      </w:r>
      <w:r w:rsidRPr="001352AB">
        <w:t xml:space="preserve"> </w:t>
      </w:r>
      <w:r w:rsidRPr="001352AB">
        <w:rPr>
          <w:rFonts w:ascii="Sylfaen" w:hAnsi="Sylfaen" w:cs="Sylfaen"/>
        </w:rPr>
        <w:t>არსებობის</w:t>
      </w:r>
      <w:r w:rsidRPr="001352AB">
        <w:t xml:space="preserve"> </w:t>
      </w:r>
      <w:r w:rsidRPr="001352AB">
        <w:rPr>
          <w:rFonts w:ascii="Sylfaen" w:hAnsi="Sylfaen" w:cs="Sylfaen"/>
        </w:rPr>
        <w:t>შემთხვევაში</w:t>
      </w:r>
      <w:r w:rsidRPr="001352AB">
        <w:t xml:space="preserve"> </w:t>
      </w:r>
      <w:r w:rsidRPr="001352AB">
        <w:rPr>
          <w:rFonts w:ascii="Sylfaen" w:hAnsi="Sylfaen" w:cs="Sylfaen"/>
        </w:rPr>
        <w:t>ის</w:t>
      </w:r>
      <w:r w:rsidRPr="001352AB">
        <w:t xml:space="preserve"> </w:t>
      </w:r>
      <w:r w:rsidRPr="001352AB">
        <w:rPr>
          <w:rFonts w:ascii="Sylfaen" w:hAnsi="Sylfaen" w:cs="Sylfaen"/>
        </w:rPr>
        <w:t>განთავსდება</w:t>
      </w:r>
      <w:r w:rsidRPr="001352AB">
        <w:t xml:space="preserve">  </w:t>
      </w:r>
      <w:r w:rsidRPr="001352AB">
        <w:rPr>
          <w:rFonts w:ascii="Sylfaen" w:hAnsi="Sylfaen" w:cs="Sylfaen"/>
        </w:rPr>
        <w:t>მდინარის</w:t>
      </w:r>
      <w:r w:rsidRPr="001352AB">
        <w:t xml:space="preserve"> </w:t>
      </w:r>
      <w:r w:rsidRPr="001352AB">
        <w:rPr>
          <w:rFonts w:ascii="Sylfaen" w:hAnsi="Sylfaen" w:cs="Sylfaen"/>
        </w:rPr>
        <w:t>ნაპირიდან</w:t>
      </w:r>
      <w:r w:rsidRPr="001352AB">
        <w:t xml:space="preserve"> </w:t>
      </w:r>
      <w:r w:rsidRPr="001352AB">
        <w:rPr>
          <w:rFonts w:ascii="Sylfaen" w:hAnsi="Sylfaen" w:cs="Sylfaen"/>
        </w:rPr>
        <w:t>არა</w:t>
      </w:r>
      <w:r w:rsidRPr="001352AB">
        <w:t xml:space="preserve"> </w:t>
      </w:r>
      <w:r w:rsidRPr="001352AB">
        <w:rPr>
          <w:rFonts w:ascii="Sylfaen" w:hAnsi="Sylfaen" w:cs="Sylfaen"/>
        </w:rPr>
        <w:t>უმცირეს</w:t>
      </w:r>
      <w:r w:rsidRPr="001352AB">
        <w:t xml:space="preserve"> 100 </w:t>
      </w:r>
      <w:r w:rsidRPr="001352AB">
        <w:rPr>
          <w:rFonts w:ascii="Sylfaen" w:hAnsi="Sylfaen" w:cs="Sylfaen"/>
        </w:rPr>
        <w:t>მ</w:t>
      </w:r>
      <w:r w:rsidRPr="001352AB">
        <w:t>-</w:t>
      </w:r>
      <w:r w:rsidRPr="001352AB">
        <w:rPr>
          <w:rFonts w:ascii="Sylfaen" w:hAnsi="Sylfaen" w:cs="Sylfaen"/>
        </w:rPr>
        <w:t>ის</w:t>
      </w:r>
      <w:r w:rsidRPr="001352AB">
        <w:t xml:space="preserve"> </w:t>
      </w:r>
      <w:r w:rsidRPr="001352AB">
        <w:rPr>
          <w:rFonts w:ascii="Sylfaen" w:hAnsi="Sylfaen" w:cs="Sylfaen"/>
        </w:rPr>
        <w:t>მანძილზე</w:t>
      </w:r>
      <w:r w:rsidRPr="001352AB">
        <w:t xml:space="preserve">. </w:t>
      </w:r>
      <w:r w:rsidRPr="001352AB">
        <w:rPr>
          <w:rFonts w:ascii="Sylfaen" w:hAnsi="Sylfaen" w:cs="Sylfaen"/>
        </w:rPr>
        <w:t>ავზი</w:t>
      </w:r>
      <w:r w:rsidRPr="001352AB">
        <w:t xml:space="preserve"> </w:t>
      </w:r>
      <w:r w:rsidRPr="001352AB">
        <w:rPr>
          <w:rFonts w:ascii="Sylfaen" w:hAnsi="Sylfaen" w:cs="Sylfaen"/>
        </w:rPr>
        <w:t>მოთავსდება</w:t>
      </w:r>
      <w:r w:rsidRPr="001352AB">
        <w:t xml:space="preserve"> </w:t>
      </w:r>
      <w:r w:rsidRPr="001352AB">
        <w:rPr>
          <w:rFonts w:ascii="Sylfaen" w:hAnsi="Sylfaen" w:cs="Sylfaen"/>
        </w:rPr>
        <w:t>ბერმებით</w:t>
      </w:r>
      <w:r w:rsidRPr="001352AB">
        <w:t xml:space="preserve"> </w:t>
      </w:r>
      <w:r w:rsidRPr="001352AB">
        <w:rPr>
          <w:rFonts w:ascii="Sylfaen" w:hAnsi="Sylfaen" w:cs="Sylfaen"/>
        </w:rPr>
        <w:t>ან</w:t>
      </w:r>
      <w:r w:rsidRPr="001352AB">
        <w:t xml:space="preserve"> </w:t>
      </w:r>
      <w:r w:rsidRPr="001352AB">
        <w:rPr>
          <w:rFonts w:ascii="Sylfaen" w:hAnsi="Sylfaen" w:cs="Sylfaen"/>
        </w:rPr>
        <w:t>მიწაყრილებით</w:t>
      </w:r>
      <w:r w:rsidRPr="001352AB">
        <w:t xml:space="preserve"> </w:t>
      </w:r>
      <w:r w:rsidRPr="001352AB">
        <w:rPr>
          <w:rFonts w:ascii="Sylfaen" w:hAnsi="Sylfaen" w:cs="Sylfaen"/>
        </w:rPr>
        <w:t>დაცულ</w:t>
      </w:r>
      <w:r w:rsidRPr="001352AB">
        <w:t xml:space="preserve"> </w:t>
      </w:r>
      <w:r w:rsidRPr="001352AB">
        <w:rPr>
          <w:rFonts w:ascii="Sylfaen" w:hAnsi="Sylfaen" w:cs="Sylfaen"/>
        </w:rPr>
        <w:t>ტერიტორიაზე</w:t>
      </w:r>
      <w:r w:rsidRPr="001352AB">
        <w:t xml:space="preserve"> </w:t>
      </w:r>
      <w:r w:rsidRPr="001352AB">
        <w:rPr>
          <w:rFonts w:ascii="Sylfaen" w:hAnsi="Sylfaen" w:cs="Sylfaen"/>
        </w:rPr>
        <w:t>საჭიროების</w:t>
      </w:r>
      <w:r w:rsidRPr="001352AB">
        <w:t xml:space="preserve"> </w:t>
      </w:r>
      <w:r w:rsidRPr="001352AB">
        <w:rPr>
          <w:rFonts w:ascii="Sylfaen" w:hAnsi="Sylfaen" w:cs="Sylfaen"/>
        </w:rPr>
        <w:t>შემთხვევაში</w:t>
      </w:r>
      <w:r w:rsidRPr="001352AB">
        <w:t xml:space="preserve"> </w:t>
      </w:r>
      <w:r w:rsidRPr="001352AB">
        <w:rPr>
          <w:rFonts w:ascii="Sylfaen" w:hAnsi="Sylfaen" w:cs="Sylfaen"/>
        </w:rPr>
        <w:t>ავარიული</w:t>
      </w:r>
      <w:r w:rsidRPr="001352AB">
        <w:t xml:space="preserve"> </w:t>
      </w:r>
      <w:r w:rsidRPr="001352AB">
        <w:rPr>
          <w:rFonts w:ascii="Sylfaen" w:hAnsi="Sylfaen" w:cs="Sylfaen"/>
        </w:rPr>
        <w:t>დაღვრების</w:t>
      </w:r>
      <w:r w:rsidRPr="001352AB">
        <w:t xml:space="preserve"> </w:t>
      </w:r>
      <w:r w:rsidRPr="001352AB">
        <w:rPr>
          <w:rFonts w:ascii="Sylfaen" w:hAnsi="Sylfaen" w:cs="Sylfaen"/>
        </w:rPr>
        <w:t>შეჩერების</w:t>
      </w:r>
      <w:r w:rsidRPr="001352AB">
        <w:t xml:space="preserve"> </w:t>
      </w:r>
      <w:r w:rsidRPr="001352AB">
        <w:rPr>
          <w:rFonts w:ascii="Sylfaen" w:hAnsi="Sylfaen" w:cs="Sylfaen"/>
        </w:rPr>
        <w:t>მიზნით</w:t>
      </w:r>
      <w:r w:rsidRPr="001352AB">
        <w:t xml:space="preserve">. </w:t>
      </w:r>
      <w:r w:rsidRPr="001352AB">
        <w:rPr>
          <w:rFonts w:ascii="Sylfaen" w:hAnsi="Sylfaen" w:cs="Sylfaen"/>
        </w:rPr>
        <w:t>ავარიული</w:t>
      </w:r>
      <w:r w:rsidRPr="001352AB">
        <w:t xml:space="preserve"> </w:t>
      </w:r>
      <w:r w:rsidRPr="001352AB">
        <w:rPr>
          <w:rFonts w:ascii="Sylfaen" w:hAnsi="Sylfaen" w:cs="Sylfaen"/>
        </w:rPr>
        <w:t>დაღვრა</w:t>
      </w:r>
      <w:r w:rsidRPr="001352AB">
        <w:t xml:space="preserve"> </w:t>
      </w:r>
      <w:r w:rsidRPr="001352AB">
        <w:rPr>
          <w:rFonts w:ascii="Sylfaen" w:hAnsi="Sylfaen" w:cs="Sylfaen"/>
        </w:rPr>
        <w:t>დაუყოვნებლივ</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შეკავებული</w:t>
      </w:r>
      <w:r w:rsidRPr="001352AB">
        <w:t xml:space="preserve"> </w:t>
      </w:r>
      <w:r w:rsidRPr="001352AB">
        <w:rPr>
          <w:rFonts w:ascii="Sylfaen" w:hAnsi="Sylfaen" w:cs="Sylfaen"/>
        </w:rPr>
        <w:t>და</w:t>
      </w:r>
      <w:r w:rsidRPr="001352AB">
        <w:t xml:space="preserve"> </w:t>
      </w:r>
      <w:r w:rsidRPr="001352AB">
        <w:rPr>
          <w:rFonts w:ascii="Sylfaen" w:hAnsi="Sylfaen" w:cs="Sylfaen"/>
        </w:rPr>
        <w:t>გაიწმინდება</w:t>
      </w:r>
      <w:r w:rsidRPr="001352AB">
        <w:t xml:space="preserve"> </w:t>
      </w:r>
      <w:r w:rsidRPr="001352AB">
        <w:rPr>
          <w:rFonts w:ascii="Sylfaen" w:hAnsi="Sylfaen" w:cs="Sylfaen"/>
        </w:rPr>
        <w:t>აბსორბენტი</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გამოყენებით</w:t>
      </w:r>
      <w:r w:rsidRPr="001352AB">
        <w:t>;</w:t>
      </w:r>
    </w:p>
    <w:p w14:paraId="6A279B8A" w14:textId="77777777" w:rsidR="00CD64B5" w:rsidRPr="001352AB" w:rsidRDefault="00CD64B5" w:rsidP="00CD64B5">
      <w:pPr>
        <w:spacing w:before="120" w:after="120"/>
        <w:rPr>
          <w:lang w:eastAsia="en-US"/>
        </w:rPr>
      </w:pPr>
      <w:r w:rsidRPr="001352AB">
        <w:rPr>
          <w:rFonts w:ascii="Sylfaen" w:hAnsi="Sylfaen" w:cs="Sylfaen"/>
        </w:rPr>
        <w:t>ადგილზე</w:t>
      </w:r>
      <w:r w:rsidRPr="001352AB">
        <w:t xml:space="preserve"> </w:t>
      </w:r>
      <w:r w:rsidRPr="001352AB">
        <w:rPr>
          <w:rFonts w:ascii="Sylfaen" w:hAnsi="Sylfaen" w:cs="Sylfaen"/>
        </w:rPr>
        <w:t>ტექნიკის</w:t>
      </w:r>
      <w:r w:rsidRPr="001352AB">
        <w:t xml:space="preserve"> </w:t>
      </w:r>
      <w:r w:rsidRPr="001352AB">
        <w:rPr>
          <w:rFonts w:ascii="Sylfaen" w:hAnsi="Sylfaen" w:cs="Sylfaen"/>
        </w:rPr>
        <w:t>რემონტი</w:t>
      </w:r>
      <w:r w:rsidRPr="001352AB">
        <w:t>/</w:t>
      </w:r>
      <w:r w:rsidRPr="001352AB">
        <w:rPr>
          <w:rFonts w:ascii="Sylfaen" w:hAnsi="Sylfaen" w:cs="Sylfaen"/>
        </w:rPr>
        <w:t>ტექნიკური</w:t>
      </w:r>
      <w:r w:rsidRPr="001352AB">
        <w:t xml:space="preserve"> </w:t>
      </w:r>
      <w:r w:rsidRPr="001352AB">
        <w:rPr>
          <w:rFonts w:ascii="Sylfaen" w:hAnsi="Sylfaen" w:cs="Sylfaen"/>
        </w:rPr>
        <w:t>მომსახურეობა</w:t>
      </w:r>
      <w:r w:rsidRPr="001352AB">
        <w:t xml:space="preserve"> </w:t>
      </w:r>
      <w:r w:rsidRPr="001352AB">
        <w:rPr>
          <w:rFonts w:ascii="Sylfaen" w:hAnsi="Sylfaen" w:cs="Sylfaen"/>
        </w:rPr>
        <w:t>და</w:t>
      </w:r>
      <w:r w:rsidRPr="001352AB">
        <w:t xml:space="preserve"> </w:t>
      </w:r>
      <w:r w:rsidRPr="001352AB">
        <w:rPr>
          <w:rFonts w:ascii="Sylfaen" w:hAnsi="Sylfaen" w:cs="Sylfaen"/>
        </w:rPr>
        <w:t>გამართვა</w:t>
      </w:r>
      <w:r w:rsidRPr="001352AB">
        <w:t xml:space="preserve"> </w:t>
      </w:r>
      <w:r w:rsidRPr="001352AB">
        <w:rPr>
          <w:rFonts w:ascii="Sylfaen" w:hAnsi="Sylfaen" w:cs="Sylfaen"/>
        </w:rPr>
        <w:t>შეზღუდული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უპირატესობა</w:t>
      </w:r>
      <w:r w:rsidRPr="001352AB">
        <w:t xml:space="preserve"> </w:t>
      </w:r>
      <w:r w:rsidRPr="001352AB">
        <w:rPr>
          <w:rFonts w:ascii="Sylfaen" w:hAnsi="Sylfaen" w:cs="Sylfaen"/>
        </w:rPr>
        <w:t>მიენიჭება</w:t>
      </w:r>
      <w:r w:rsidRPr="001352AB">
        <w:t xml:space="preserve"> </w:t>
      </w:r>
      <w:r w:rsidRPr="001352AB">
        <w:rPr>
          <w:rFonts w:ascii="Sylfaen" w:hAnsi="Sylfaen" w:cs="Sylfaen"/>
        </w:rPr>
        <w:t>ტერიტორიის</w:t>
      </w:r>
      <w:r w:rsidRPr="001352AB">
        <w:t xml:space="preserve"> </w:t>
      </w:r>
      <w:r w:rsidRPr="001352AB">
        <w:rPr>
          <w:rFonts w:ascii="Sylfaen" w:hAnsi="Sylfaen" w:cs="Sylfaen"/>
        </w:rPr>
        <w:t>გარეთ</w:t>
      </w:r>
      <w:r w:rsidRPr="001352AB">
        <w:t xml:space="preserve"> </w:t>
      </w:r>
      <w:r w:rsidRPr="001352AB">
        <w:rPr>
          <w:rFonts w:ascii="Sylfaen" w:hAnsi="Sylfaen" w:cs="Sylfaen"/>
        </w:rPr>
        <w:t>მდებარე</w:t>
      </w:r>
      <w:r w:rsidRPr="001352AB">
        <w:t xml:space="preserve"> </w:t>
      </w:r>
      <w:r w:rsidRPr="001352AB">
        <w:rPr>
          <w:rFonts w:ascii="Sylfaen" w:hAnsi="Sylfaen" w:cs="Sylfaen"/>
        </w:rPr>
        <w:t>კერძო</w:t>
      </w:r>
      <w:r w:rsidRPr="001352AB">
        <w:t>/</w:t>
      </w:r>
      <w:r w:rsidRPr="001352AB">
        <w:rPr>
          <w:rFonts w:ascii="Sylfaen" w:hAnsi="Sylfaen" w:cs="Sylfaen"/>
        </w:rPr>
        <w:t>კომერციულ</w:t>
      </w:r>
      <w:r w:rsidRPr="001352AB">
        <w:t xml:space="preserve"> </w:t>
      </w:r>
      <w:r w:rsidRPr="001352AB">
        <w:rPr>
          <w:rFonts w:ascii="Sylfaen" w:hAnsi="Sylfaen" w:cs="Sylfaen"/>
        </w:rPr>
        <w:t>ტექმომსახურების</w:t>
      </w:r>
      <w:r w:rsidRPr="001352AB">
        <w:t xml:space="preserve"> </w:t>
      </w:r>
      <w:r w:rsidRPr="001352AB">
        <w:rPr>
          <w:rFonts w:ascii="Sylfaen" w:hAnsi="Sylfaen" w:cs="Sylfaen"/>
        </w:rPr>
        <w:t>ობიექტების</w:t>
      </w:r>
      <w:r w:rsidRPr="001352AB">
        <w:t xml:space="preserve"> </w:t>
      </w:r>
      <w:r w:rsidRPr="001352AB">
        <w:rPr>
          <w:rFonts w:ascii="Sylfaen" w:hAnsi="Sylfaen" w:cs="Sylfaen"/>
        </w:rPr>
        <w:t>გამოყენებას</w:t>
      </w:r>
      <w:r w:rsidRPr="001352AB">
        <w:t xml:space="preserve">. </w:t>
      </w:r>
      <w:r w:rsidRPr="001352AB">
        <w:rPr>
          <w:rFonts w:ascii="Sylfaen" w:hAnsi="Sylfaen" w:cs="Sylfaen"/>
        </w:rPr>
        <w:t>თუ</w:t>
      </w:r>
      <w:r w:rsidRPr="001352AB">
        <w:t xml:space="preserve"> </w:t>
      </w:r>
      <w:r w:rsidRPr="001352AB">
        <w:rPr>
          <w:rFonts w:ascii="Sylfaen" w:hAnsi="Sylfaen" w:cs="Sylfaen"/>
        </w:rPr>
        <w:t>ამის</w:t>
      </w:r>
      <w:r w:rsidRPr="001352AB">
        <w:t xml:space="preserve"> </w:t>
      </w:r>
      <w:r w:rsidRPr="001352AB">
        <w:rPr>
          <w:rFonts w:ascii="Sylfaen" w:hAnsi="Sylfaen" w:cs="Sylfaen"/>
        </w:rPr>
        <w:t>საშუალება</w:t>
      </w:r>
      <w:r w:rsidRPr="001352AB">
        <w:t xml:space="preserve"> </w:t>
      </w:r>
      <w:r w:rsidRPr="001352AB">
        <w:rPr>
          <w:rFonts w:ascii="Sylfaen" w:hAnsi="Sylfaen" w:cs="Sylfaen"/>
        </w:rPr>
        <w:t>არ</w:t>
      </w:r>
      <w:r w:rsidRPr="001352AB">
        <w:t xml:space="preserve"> </w:t>
      </w:r>
      <w:r w:rsidRPr="001352AB">
        <w:rPr>
          <w:rFonts w:ascii="Sylfaen" w:hAnsi="Sylfaen" w:cs="Sylfaen"/>
        </w:rPr>
        <w:t>არის</w:t>
      </w:r>
      <w:r w:rsidRPr="001352AB">
        <w:t xml:space="preserve">, </w:t>
      </w:r>
      <w:r w:rsidRPr="001352AB">
        <w:rPr>
          <w:rFonts w:ascii="Sylfaen" w:hAnsi="Sylfaen" w:cs="Sylfaen"/>
        </w:rPr>
        <w:t>ტერიტორიის</w:t>
      </w:r>
      <w:r w:rsidRPr="001352AB">
        <w:t xml:space="preserve"> </w:t>
      </w:r>
      <w:r w:rsidRPr="001352AB">
        <w:rPr>
          <w:rFonts w:ascii="Sylfaen" w:hAnsi="Sylfaen" w:cs="Sylfaen"/>
        </w:rPr>
        <w:t>ფარგლებში</w:t>
      </w:r>
      <w:r w:rsidRPr="001352AB">
        <w:t xml:space="preserve"> </w:t>
      </w:r>
      <w:r w:rsidRPr="001352AB">
        <w:rPr>
          <w:rFonts w:ascii="Sylfaen" w:hAnsi="Sylfaen" w:cs="Sylfaen"/>
        </w:rPr>
        <w:t>გამოყოფილი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სპეციალური</w:t>
      </w:r>
      <w:r w:rsidRPr="001352AB">
        <w:t xml:space="preserve"> </w:t>
      </w:r>
      <w:r w:rsidRPr="001352AB">
        <w:rPr>
          <w:rFonts w:ascii="Sylfaen" w:hAnsi="Sylfaen" w:cs="Sylfaen"/>
        </w:rPr>
        <w:t>ტერიტორია</w:t>
      </w:r>
      <w:r w:rsidRPr="001352AB">
        <w:t xml:space="preserve"> </w:t>
      </w:r>
      <w:r w:rsidRPr="001352AB">
        <w:rPr>
          <w:rFonts w:ascii="Sylfaen" w:hAnsi="Sylfaen" w:cs="Sylfaen"/>
        </w:rPr>
        <w:t>და</w:t>
      </w:r>
      <w:r w:rsidRPr="001352AB">
        <w:t>/</w:t>
      </w:r>
      <w:r w:rsidRPr="001352AB">
        <w:rPr>
          <w:rFonts w:ascii="Sylfaen" w:hAnsi="Sylfaen" w:cs="Sylfaen"/>
        </w:rPr>
        <w:t>ან</w:t>
      </w:r>
      <w:r w:rsidRPr="001352AB">
        <w:t xml:space="preserve"> </w:t>
      </w:r>
      <w:r w:rsidRPr="001352AB">
        <w:rPr>
          <w:rFonts w:ascii="Sylfaen" w:hAnsi="Sylfaen" w:cs="Sylfaen"/>
        </w:rPr>
        <w:t>მოეწყობა</w:t>
      </w:r>
      <w:r w:rsidRPr="001352AB">
        <w:t xml:space="preserve"> </w:t>
      </w:r>
      <w:r w:rsidRPr="001352AB">
        <w:rPr>
          <w:rFonts w:ascii="Sylfaen" w:hAnsi="Sylfaen" w:cs="Sylfaen"/>
        </w:rPr>
        <w:t>მეორადი</w:t>
      </w:r>
      <w:r w:rsidRPr="001352AB">
        <w:t xml:space="preserve"> </w:t>
      </w:r>
      <w:r w:rsidRPr="001352AB">
        <w:rPr>
          <w:rFonts w:ascii="Sylfaen" w:hAnsi="Sylfaen" w:cs="Sylfaen"/>
        </w:rPr>
        <w:t>შემოღობვა</w:t>
      </w:r>
      <w:r w:rsidRPr="001352AB">
        <w:t xml:space="preserve"> </w:t>
      </w:r>
      <w:r w:rsidRPr="001352AB">
        <w:rPr>
          <w:rFonts w:ascii="Sylfaen" w:hAnsi="Sylfaen" w:cs="Sylfaen"/>
        </w:rPr>
        <w:t>შემთხვევითი</w:t>
      </w:r>
      <w:r w:rsidRPr="001352AB">
        <w:t xml:space="preserve"> </w:t>
      </w:r>
      <w:r w:rsidRPr="001352AB">
        <w:rPr>
          <w:rFonts w:ascii="Sylfaen" w:hAnsi="Sylfaen" w:cs="Sylfaen"/>
        </w:rPr>
        <w:t>დაღვრის</w:t>
      </w:r>
      <w:r w:rsidRPr="001352AB">
        <w:t xml:space="preserve"> </w:t>
      </w:r>
      <w:r w:rsidRPr="001352AB">
        <w:rPr>
          <w:rFonts w:ascii="Sylfaen" w:hAnsi="Sylfaen" w:cs="Sylfaen"/>
        </w:rPr>
        <w:t>შესაკავებლად</w:t>
      </w:r>
      <w:r w:rsidRPr="001352AB">
        <w:t xml:space="preserve">. </w:t>
      </w:r>
      <w:r w:rsidRPr="001352AB">
        <w:rPr>
          <w:rFonts w:ascii="Sylfaen" w:hAnsi="Sylfaen" w:cs="Sylfaen"/>
        </w:rPr>
        <w:t>ტერიტორია</w:t>
      </w:r>
      <w:r w:rsidRPr="001352AB">
        <w:t xml:space="preserve">  </w:t>
      </w:r>
      <w:r w:rsidRPr="001352AB">
        <w:rPr>
          <w:rFonts w:ascii="Sylfaen" w:hAnsi="Sylfaen" w:cs="Sylfaen"/>
        </w:rPr>
        <w:t>შეირჩევა</w:t>
      </w:r>
      <w:r w:rsidRPr="001352AB">
        <w:t xml:space="preserve"> </w:t>
      </w:r>
      <w:r w:rsidRPr="001352AB">
        <w:rPr>
          <w:rFonts w:ascii="Sylfaen" w:hAnsi="Sylfaen" w:cs="Sylfaen"/>
        </w:rPr>
        <w:t>სადრენაჟე</w:t>
      </w:r>
      <w:r w:rsidRPr="001352AB">
        <w:t xml:space="preserve"> </w:t>
      </w:r>
      <w:r w:rsidRPr="001352AB">
        <w:rPr>
          <w:rFonts w:ascii="Sylfaen" w:hAnsi="Sylfaen" w:cs="Sylfaen"/>
        </w:rPr>
        <w:t>სისტემებიდან</w:t>
      </w:r>
      <w:r w:rsidRPr="001352AB">
        <w:t xml:space="preserve"> </w:t>
      </w:r>
      <w:r w:rsidRPr="001352AB">
        <w:rPr>
          <w:rFonts w:ascii="Sylfaen" w:hAnsi="Sylfaen" w:cs="Sylfaen"/>
        </w:rPr>
        <w:t>და</w:t>
      </w:r>
      <w:r w:rsidRPr="001352AB">
        <w:t xml:space="preserve"> </w:t>
      </w:r>
      <w:r w:rsidRPr="001352AB">
        <w:rPr>
          <w:rFonts w:ascii="Sylfaen" w:hAnsi="Sylfaen" w:cs="Sylfaen"/>
        </w:rPr>
        <w:t>ზედაპირული</w:t>
      </w:r>
      <w:r w:rsidRPr="001352AB">
        <w:t xml:space="preserve"> </w:t>
      </w:r>
      <w:r w:rsidRPr="001352AB">
        <w:rPr>
          <w:rFonts w:ascii="Sylfaen" w:hAnsi="Sylfaen" w:cs="Sylfaen"/>
        </w:rPr>
        <w:t>წყლის</w:t>
      </w:r>
      <w:r w:rsidRPr="001352AB">
        <w:t xml:space="preserve"> </w:t>
      </w:r>
      <w:r w:rsidRPr="001352AB">
        <w:rPr>
          <w:rFonts w:ascii="Sylfaen" w:hAnsi="Sylfaen" w:cs="Sylfaen"/>
        </w:rPr>
        <w:t>ობიექტებისგან</w:t>
      </w:r>
      <w:r w:rsidRPr="001352AB">
        <w:t xml:space="preserve"> </w:t>
      </w:r>
      <w:r w:rsidRPr="001352AB">
        <w:rPr>
          <w:rFonts w:ascii="Sylfaen" w:hAnsi="Sylfaen" w:cs="Sylfaen"/>
        </w:rPr>
        <w:t>მოშორებით</w:t>
      </w:r>
      <w:r w:rsidRPr="001352AB">
        <w:t xml:space="preserve"> (</w:t>
      </w:r>
      <w:r w:rsidRPr="001352AB">
        <w:rPr>
          <w:rFonts w:ascii="Sylfaen" w:hAnsi="Sylfaen" w:cs="Sylfaen"/>
        </w:rPr>
        <w:t>არანაკლებ</w:t>
      </w:r>
      <w:r w:rsidRPr="001352AB">
        <w:t xml:space="preserve"> 100</w:t>
      </w:r>
      <w:r w:rsidRPr="001352AB">
        <w:rPr>
          <w:rFonts w:ascii="Sylfaen" w:hAnsi="Sylfaen" w:cs="Sylfaen"/>
        </w:rPr>
        <w:t>მ</w:t>
      </w:r>
      <w:r w:rsidRPr="001352AB">
        <w:t xml:space="preserve"> </w:t>
      </w:r>
      <w:r w:rsidRPr="001352AB">
        <w:rPr>
          <w:rFonts w:ascii="Sylfaen" w:hAnsi="Sylfaen" w:cs="Sylfaen"/>
        </w:rPr>
        <w:t>დაშორებით</w:t>
      </w:r>
      <w:r w:rsidRPr="001352AB">
        <w:t xml:space="preserve">); </w:t>
      </w:r>
    </w:p>
    <w:p w14:paraId="0C86DAF2" w14:textId="77777777" w:rsidR="00CD64B5" w:rsidRPr="001352AB" w:rsidRDefault="00CD64B5" w:rsidP="00CD64B5">
      <w:pPr>
        <w:spacing w:before="120" w:after="120"/>
        <w:rPr>
          <w:lang w:eastAsia="da-DK"/>
        </w:rPr>
      </w:pPr>
      <w:r w:rsidRPr="001352AB">
        <w:rPr>
          <w:rFonts w:ascii="Sylfaen" w:hAnsi="Sylfaen" w:cs="Sylfaen"/>
        </w:rPr>
        <w:t>სამშენებლო</w:t>
      </w:r>
      <w:r w:rsidRPr="001352AB">
        <w:t xml:space="preserve"> </w:t>
      </w:r>
      <w:r w:rsidRPr="001352AB">
        <w:rPr>
          <w:rFonts w:ascii="Sylfaen" w:hAnsi="Sylfaen" w:cs="Sylfaen"/>
        </w:rPr>
        <w:t>უბნებზე</w:t>
      </w:r>
      <w:r w:rsidRPr="001352AB">
        <w:t xml:space="preserve"> </w:t>
      </w:r>
      <w:r w:rsidRPr="001352AB">
        <w:rPr>
          <w:rFonts w:ascii="Sylfaen" w:hAnsi="Sylfaen" w:cs="Sylfaen"/>
        </w:rPr>
        <w:t>რეგულარულად</w:t>
      </w:r>
      <w:r w:rsidRPr="001352AB">
        <w:t xml:space="preserve"> </w:t>
      </w:r>
      <w:r w:rsidRPr="001352AB">
        <w:rPr>
          <w:rFonts w:ascii="Sylfaen" w:hAnsi="Sylfaen" w:cs="Sylfaen"/>
        </w:rPr>
        <w:t>შემოწმდება</w:t>
      </w:r>
      <w:r w:rsidRPr="001352AB">
        <w:t xml:space="preserve"> </w:t>
      </w:r>
      <w:r w:rsidRPr="001352AB">
        <w:rPr>
          <w:rFonts w:ascii="Sylfaen" w:hAnsi="Sylfaen" w:cs="Sylfaen"/>
        </w:rPr>
        <w:t>მანქანა</w:t>
      </w:r>
      <w:r w:rsidRPr="001352AB">
        <w:t>-</w:t>
      </w:r>
      <w:r w:rsidRPr="001352AB">
        <w:rPr>
          <w:rFonts w:ascii="Sylfaen" w:hAnsi="Sylfaen" w:cs="Sylfaen"/>
        </w:rPr>
        <w:t>დანადგარების</w:t>
      </w:r>
      <w:r w:rsidRPr="001352AB">
        <w:t xml:space="preserve"> </w:t>
      </w:r>
      <w:r w:rsidRPr="001352AB">
        <w:rPr>
          <w:rFonts w:ascii="Sylfaen" w:hAnsi="Sylfaen" w:cs="Sylfaen"/>
        </w:rPr>
        <w:t>ტექნიკური</w:t>
      </w:r>
      <w:r w:rsidRPr="001352AB">
        <w:t xml:space="preserve"> </w:t>
      </w:r>
      <w:r w:rsidRPr="001352AB">
        <w:rPr>
          <w:rFonts w:ascii="Sylfaen" w:hAnsi="Sylfaen" w:cs="Sylfaen"/>
        </w:rPr>
        <w:t>გამართულობა</w:t>
      </w:r>
      <w:r w:rsidRPr="001352AB">
        <w:t xml:space="preserve">. </w:t>
      </w:r>
      <w:r w:rsidRPr="001352AB">
        <w:rPr>
          <w:rFonts w:ascii="Sylfaen" w:hAnsi="Sylfaen" w:cs="Sylfaen"/>
        </w:rPr>
        <w:t>ყველა</w:t>
      </w:r>
      <w:r w:rsidRPr="001352AB">
        <w:t xml:space="preserve"> </w:t>
      </w:r>
      <w:r w:rsidRPr="001352AB">
        <w:rPr>
          <w:rFonts w:ascii="Sylfaen" w:hAnsi="Sylfaen" w:cs="Sylfaen"/>
        </w:rPr>
        <w:t>დაზიანება</w:t>
      </w:r>
      <w:r w:rsidRPr="001352AB">
        <w:t xml:space="preserve"> </w:t>
      </w:r>
      <w:r w:rsidRPr="001352AB">
        <w:rPr>
          <w:rFonts w:ascii="Sylfaen" w:hAnsi="Sylfaen" w:cs="Sylfaen"/>
        </w:rPr>
        <w:t>დაუყოვნებლივ</w:t>
      </w:r>
      <w:r w:rsidRPr="001352AB">
        <w:t xml:space="preserve"> </w:t>
      </w:r>
      <w:r w:rsidRPr="001352AB">
        <w:rPr>
          <w:rFonts w:ascii="Sylfaen" w:hAnsi="Sylfaen" w:cs="Sylfaen"/>
        </w:rPr>
        <w:t>შეკეთდება</w:t>
      </w:r>
      <w:r w:rsidRPr="001352AB">
        <w:t xml:space="preserve">. </w:t>
      </w:r>
      <w:r w:rsidRPr="001352AB">
        <w:rPr>
          <w:rFonts w:ascii="Sylfaen" w:hAnsi="Sylfaen" w:cs="Sylfaen"/>
        </w:rPr>
        <w:t>ტერიტორიაზე</w:t>
      </w:r>
      <w:r w:rsidRPr="001352AB">
        <w:t xml:space="preserve"> </w:t>
      </w:r>
      <w:r w:rsidRPr="001352AB">
        <w:rPr>
          <w:rFonts w:ascii="Sylfaen" w:hAnsi="Sylfaen" w:cs="Sylfaen"/>
        </w:rPr>
        <w:t>შემოსული</w:t>
      </w:r>
      <w:r w:rsidRPr="001352AB">
        <w:t xml:space="preserve"> </w:t>
      </w:r>
      <w:r w:rsidRPr="001352AB">
        <w:rPr>
          <w:rFonts w:ascii="Sylfaen" w:hAnsi="Sylfaen" w:cs="Sylfaen"/>
        </w:rPr>
        <w:t>მანქანები</w:t>
      </w:r>
      <w:r w:rsidRPr="001352AB">
        <w:t xml:space="preserve">  </w:t>
      </w:r>
      <w:r w:rsidRPr="001352AB">
        <w:rPr>
          <w:rFonts w:ascii="Sylfaen" w:hAnsi="Sylfaen" w:cs="Sylfaen"/>
        </w:rPr>
        <w:t>შემოწმდება</w:t>
      </w:r>
      <w:r w:rsidRPr="001352AB">
        <w:t xml:space="preserve">, </w:t>
      </w:r>
      <w:r w:rsidRPr="001352AB">
        <w:rPr>
          <w:rFonts w:ascii="Sylfaen" w:hAnsi="Sylfaen" w:cs="Sylfaen"/>
        </w:rPr>
        <w:t>დაზიანებული</w:t>
      </w:r>
      <w:r w:rsidRPr="001352AB">
        <w:t xml:space="preserve"> </w:t>
      </w:r>
      <w:r w:rsidRPr="001352AB">
        <w:rPr>
          <w:rFonts w:ascii="Sylfaen" w:hAnsi="Sylfaen" w:cs="Sylfaen"/>
        </w:rPr>
        <w:t>ტექნიკა</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უბანზე</w:t>
      </w:r>
      <w:r w:rsidRPr="001352AB">
        <w:t xml:space="preserve"> </w:t>
      </w:r>
      <w:r w:rsidRPr="001352AB">
        <w:rPr>
          <w:rFonts w:ascii="Sylfaen" w:hAnsi="Sylfaen" w:cs="Sylfaen"/>
        </w:rPr>
        <w:t>არ</w:t>
      </w:r>
      <w:r w:rsidRPr="001352AB">
        <w:t xml:space="preserve"> </w:t>
      </w:r>
      <w:r w:rsidRPr="001352AB">
        <w:rPr>
          <w:rFonts w:ascii="Sylfaen" w:hAnsi="Sylfaen" w:cs="Sylfaen"/>
        </w:rPr>
        <w:t>დაიშვება</w:t>
      </w:r>
      <w:r w:rsidRPr="001352AB">
        <w:t>;</w:t>
      </w:r>
    </w:p>
    <w:p w14:paraId="2C8A3947" w14:textId="77777777" w:rsidR="00CD64B5" w:rsidRPr="001352AB" w:rsidRDefault="00CD64B5" w:rsidP="00CD64B5">
      <w:pPr>
        <w:spacing w:before="120" w:after="120"/>
      </w:pPr>
      <w:r w:rsidRPr="001352AB">
        <w:rPr>
          <w:rFonts w:ascii="Sylfaen" w:hAnsi="Sylfaen" w:cs="Sylfaen"/>
        </w:rPr>
        <w:t>საწვავის</w:t>
      </w:r>
      <w:r w:rsidRPr="001352AB">
        <w:t>/</w:t>
      </w:r>
      <w:r w:rsidRPr="001352AB">
        <w:rPr>
          <w:rFonts w:ascii="Sylfaen" w:hAnsi="Sylfaen" w:cs="Sylfaen"/>
        </w:rPr>
        <w:t>ზეთის</w:t>
      </w:r>
      <w:r w:rsidRPr="001352AB">
        <w:t xml:space="preserve"> </w:t>
      </w:r>
      <w:r w:rsidRPr="001352AB">
        <w:rPr>
          <w:rFonts w:ascii="Sylfaen" w:hAnsi="Sylfaen" w:cs="Sylfaen"/>
        </w:rPr>
        <w:t>გამოცვლის</w:t>
      </w:r>
      <w:r w:rsidRPr="001352AB">
        <w:t xml:space="preserve"> </w:t>
      </w:r>
      <w:r w:rsidRPr="001352AB">
        <w:rPr>
          <w:rFonts w:ascii="Sylfaen" w:hAnsi="Sylfaen" w:cs="Sylfaen"/>
        </w:rPr>
        <w:t>დროს</w:t>
      </w:r>
      <w:r w:rsidRPr="001352AB">
        <w:t xml:space="preserve"> </w:t>
      </w:r>
      <w:r w:rsidRPr="001352AB">
        <w:rPr>
          <w:rFonts w:ascii="Sylfaen" w:hAnsi="Sylfaen" w:cs="Sylfaen"/>
        </w:rPr>
        <w:t>დაღვრილი</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შესაგროვებლად</w:t>
      </w:r>
      <w:r w:rsidRPr="001352AB">
        <w:t xml:space="preserve"> </w:t>
      </w:r>
      <w:r w:rsidRPr="001352AB">
        <w:rPr>
          <w:rFonts w:ascii="Sylfaen" w:hAnsi="Sylfaen" w:cs="Sylfaen"/>
        </w:rPr>
        <w:t>გამოყენებული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შემკრები</w:t>
      </w:r>
      <w:r w:rsidRPr="001352AB">
        <w:t xml:space="preserve">. </w:t>
      </w:r>
      <w:r w:rsidRPr="001352AB">
        <w:rPr>
          <w:rFonts w:ascii="Sylfaen" w:hAnsi="Sylfaen" w:cs="Sylfaen"/>
        </w:rPr>
        <w:t>მცირე</w:t>
      </w:r>
      <w:r w:rsidRPr="001352AB">
        <w:t xml:space="preserve"> </w:t>
      </w:r>
      <w:r w:rsidRPr="001352AB">
        <w:rPr>
          <w:rFonts w:ascii="Sylfaen" w:hAnsi="Sylfaen" w:cs="Sylfaen"/>
        </w:rPr>
        <w:t>გაჟონვის</w:t>
      </w:r>
      <w:r w:rsidRPr="001352AB">
        <w:t xml:space="preserve"> </w:t>
      </w:r>
      <w:r w:rsidRPr="001352AB">
        <w:rPr>
          <w:rFonts w:ascii="Sylfaen" w:hAnsi="Sylfaen" w:cs="Sylfaen"/>
        </w:rPr>
        <w:t>შემთხვევაში</w:t>
      </w:r>
      <w:r w:rsidRPr="001352AB">
        <w:t xml:space="preserve"> - </w:t>
      </w:r>
      <w:r w:rsidRPr="001352AB">
        <w:rPr>
          <w:rFonts w:ascii="Sylfaen" w:hAnsi="Sylfaen" w:cs="Sylfaen"/>
        </w:rPr>
        <w:t>მოხდება</w:t>
      </w:r>
      <w:r w:rsidRPr="001352AB">
        <w:t xml:space="preserve"> </w:t>
      </w:r>
      <w:r w:rsidRPr="001352AB">
        <w:rPr>
          <w:rFonts w:ascii="Sylfaen" w:hAnsi="Sylfaen" w:cs="Sylfaen"/>
        </w:rPr>
        <w:t>აბსორბენტი</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გამოყენება</w:t>
      </w:r>
      <w:r w:rsidRPr="001352AB">
        <w:t>;</w:t>
      </w:r>
    </w:p>
    <w:p w14:paraId="4DC41795" w14:textId="77777777" w:rsidR="00CD64B5" w:rsidRPr="001352AB" w:rsidRDefault="00CD64B5" w:rsidP="00CD64B5">
      <w:pPr>
        <w:spacing w:before="120" w:after="120"/>
        <w:rPr>
          <w:lang w:eastAsia="en-US"/>
        </w:rPr>
      </w:pPr>
      <w:r w:rsidRPr="001352AB">
        <w:rPr>
          <w:rFonts w:ascii="Sylfaen" w:hAnsi="Sylfaen" w:cs="Sylfaen"/>
        </w:rPr>
        <w:t>მანქანის</w:t>
      </w:r>
      <w:r w:rsidRPr="001352AB">
        <w:t xml:space="preserve"> </w:t>
      </w:r>
      <w:r w:rsidRPr="001352AB">
        <w:rPr>
          <w:rFonts w:ascii="Sylfaen" w:hAnsi="Sylfaen" w:cs="Sylfaen"/>
        </w:rPr>
        <w:t>ბორბლების</w:t>
      </w:r>
      <w:r w:rsidRPr="001352AB">
        <w:t xml:space="preserve"> </w:t>
      </w:r>
      <w:r w:rsidRPr="001352AB">
        <w:rPr>
          <w:rFonts w:ascii="Sylfaen" w:hAnsi="Sylfaen" w:cs="Sylfaen"/>
        </w:rPr>
        <w:t>სარეცხი</w:t>
      </w:r>
      <w:r w:rsidRPr="001352AB">
        <w:t xml:space="preserve"> </w:t>
      </w:r>
      <w:r w:rsidRPr="001352AB">
        <w:rPr>
          <w:rFonts w:ascii="Sylfaen" w:hAnsi="Sylfaen" w:cs="Sylfaen"/>
        </w:rPr>
        <w:t>აღიჭურვება</w:t>
      </w:r>
      <w:r w:rsidRPr="001352AB">
        <w:t xml:space="preserve"> </w:t>
      </w:r>
      <w:r w:rsidRPr="001352AB">
        <w:rPr>
          <w:rFonts w:ascii="Sylfaen" w:hAnsi="Sylfaen" w:cs="Sylfaen"/>
        </w:rPr>
        <w:t>წყალშემკრებით</w:t>
      </w:r>
      <w:r w:rsidRPr="001352AB">
        <w:t xml:space="preserve"> </w:t>
      </w:r>
      <w:r w:rsidRPr="001352AB">
        <w:rPr>
          <w:rFonts w:ascii="Sylfaen" w:hAnsi="Sylfaen" w:cs="Sylfaen"/>
        </w:rPr>
        <w:t>და</w:t>
      </w:r>
      <w:r w:rsidRPr="001352AB">
        <w:t xml:space="preserve"> </w:t>
      </w:r>
      <w:r w:rsidRPr="001352AB">
        <w:rPr>
          <w:rFonts w:ascii="Sylfaen" w:hAnsi="Sylfaen" w:cs="Sylfaen"/>
        </w:rPr>
        <w:t>სალექარით</w:t>
      </w:r>
      <w:r w:rsidRPr="001352AB">
        <w:t xml:space="preserve">. </w:t>
      </w:r>
      <w:r w:rsidRPr="001352AB">
        <w:rPr>
          <w:rFonts w:ascii="Sylfaen" w:hAnsi="Sylfaen" w:cs="Sylfaen"/>
        </w:rPr>
        <w:t>მანქანების</w:t>
      </w:r>
      <w:r w:rsidRPr="001352AB">
        <w:t xml:space="preserve"> </w:t>
      </w:r>
      <w:r w:rsidRPr="001352AB">
        <w:rPr>
          <w:rFonts w:ascii="Sylfaen" w:hAnsi="Sylfaen" w:cs="Sylfaen"/>
        </w:rPr>
        <w:t>ნარეცხი</w:t>
      </w:r>
      <w:r w:rsidRPr="001352AB">
        <w:t xml:space="preserve"> </w:t>
      </w:r>
      <w:r w:rsidRPr="001352AB">
        <w:rPr>
          <w:rFonts w:ascii="Sylfaen" w:hAnsi="Sylfaen" w:cs="Sylfaen"/>
        </w:rPr>
        <w:t>წყლის</w:t>
      </w:r>
      <w:r w:rsidRPr="001352AB">
        <w:t xml:space="preserve"> </w:t>
      </w:r>
      <w:r w:rsidRPr="001352AB">
        <w:rPr>
          <w:rFonts w:ascii="Sylfaen" w:hAnsi="Sylfaen" w:cs="Sylfaen"/>
        </w:rPr>
        <w:t>შეგროვების</w:t>
      </w:r>
      <w:r w:rsidRPr="001352AB">
        <w:t xml:space="preserve">  </w:t>
      </w:r>
      <w:r w:rsidRPr="001352AB">
        <w:rPr>
          <w:rFonts w:ascii="Sylfaen" w:hAnsi="Sylfaen" w:cs="Sylfaen"/>
        </w:rPr>
        <w:t>ავზი</w:t>
      </w:r>
      <w:r w:rsidRPr="001352AB">
        <w:t xml:space="preserve">  </w:t>
      </w:r>
      <w:r w:rsidRPr="001352AB">
        <w:rPr>
          <w:rFonts w:ascii="Sylfaen" w:hAnsi="Sylfaen" w:cs="Sylfaen"/>
        </w:rPr>
        <w:t>გასუფთავებული</w:t>
      </w:r>
      <w:r w:rsidRPr="001352AB">
        <w:t xml:space="preserve"> </w:t>
      </w:r>
      <w:r w:rsidRPr="001352AB">
        <w:rPr>
          <w:rFonts w:ascii="Sylfaen" w:hAnsi="Sylfaen" w:cs="Sylfaen"/>
        </w:rPr>
        <w:t>არა</w:t>
      </w:r>
      <w:r w:rsidRPr="001352AB">
        <w:t xml:space="preserve"> </w:t>
      </w:r>
      <w:r w:rsidRPr="001352AB">
        <w:rPr>
          <w:rFonts w:ascii="Sylfaen" w:hAnsi="Sylfaen" w:cs="Sylfaen"/>
        </w:rPr>
        <w:t>უგვიანეს</w:t>
      </w:r>
      <w:r w:rsidRPr="001352AB">
        <w:t xml:space="preserve"> </w:t>
      </w:r>
      <w:r w:rsidRPr="001352AB">
        <w:rPr>
          <w:rFonts w:ascii="Sylfaen" w:hAnsi="Sylfaen" w:cs="Sylfaen"/>
        </w:rPr>
        <w:t>მისი</w:t>
      </w:r>
      <w:r w:rsidRPr="001352AB">
        <w:t xml:space="preserve"> 75%-</w:t>
      </w:r>
      <w:r w:rsidRPr="001352AB">
        <w:rPr>
          <w:rFonts w:ascii="Sylfaen" w:hAnsi="Sylfaen" w:cs="Sylfaen"/>
        </w:rPr>
        <w:t>ით</w:t>
      </w:r>
      <w:r w:rsidRPr="001352AB">
        <w:t xml:space="preserve"> </w:t>
      </w:r>
      <w:r w:rsidRPr="001352AB">
        <w:rPr>
          <w:rFonts w:ascii="Sylfaen" w:hAnsi="Sylfaen" w:cs="Sylfaen"/>
        </w:rPr>
        <w:t>შევსებისა</w:t>
      </w:r>
      <w:r w:rsidRPr="001352AB">
        <w:t xml:space="preserve">; </w:t>
      </w:r>
    </w:p>
    <w:p w14:paraId="76C99135" w14:textId="77777777" w:rsidR="00CD64B5" w:rsidRPr="001352AB" w:rsidRDefault="00CD64B5" w:rsidP="00CD64B5">
      <w:pPr>
        <w:spacing w:before="120" w:after="120"/>
        <w:rPr>
          <w:lang w:eastAsia="da-DK"/>
        </w:rPr>
      </w:pPr>
      <w:r w:rsidRPr="001352AB">
        <w:rPr>
          <w:rFonts w:ascii="Sylfaen" w:hAnsi="Sylfaen" w:cs="Sylfaen"/>
        </w:rPr>
        <w:t>უპირატესობა</w:t>
      </w:r>
      <w:r w:rsidRPr="001352AB">
        <w:t xml:space="preserve"> </w:t>
      </w:r>
      <w:r w:rsidRPr="001352AB">
        <w:rPr>
          <w:rFonts w:ascii="Sylfaen" w:hAnsi="Sylfaen" w:cs="Sylfaen"/>
        </w:rPr>
        <w:t>მიენიჭება</w:t>
      </w:r>
      <w:r w:rsidRPr="001352AB">
        <w:t xml:space="preserve"> </w:t>
      </w:r>
      <w:r w:rsidRPr="001352AB">
        <w:rPr>
          <w:rFonts w:ascii="Sylfaen" w:hAnsi="Sylfaen" w:cs="Sylfaen"/>
        </w:rPr>
        <w:t>მანქანების</w:t>
      </w:r>
      <w:r w:rsidRPr="001352AB">
        <w:t xml:space="preserve"> </w:t>
      </w:r>
      <w:r w:rsidRPr="001352AB">
        <w:rPr>
          <w:rFonts w:ascii="Sylfaen" w:hAnsi="Sylfaen" w:cs="Sylfaen"/>
        </w:rPr>
        <w:t>რეცხვას</w:t>
      </w:r>
      <w:r w:rsidRPr="001352AB">
        <w:t xml:space="preserve"> </w:t>
      </w:r>
      <w:r w:rsidRPr="001352AB">
        <w:rPr>
          <w:rFonts w:ascii="Sylfaen" w:hAnsi="Sylfaen" w:cs="Sylfaen"/>
        </w:rPr>
        <w:t>ტერიტორიის</w:t>
      </w:r>
      <w:r w:rsidRPr="001352AB">
        <w:t xml:space="preserve"> </w:t>
      </w:r>
      <w:r w:rsidRPr="001352AB">
        <w:rPr>
          <w:rFonts w:ascii="Sylfaen" w:hAnsi="Sylfaen" w:cs="Sylfaen"/>
        </w:rPr>
        <w:t>გარეთ</w:t>
      </w:r>
      <w:r w:rsidRPr="001352AB">
        <w:t xml:space="preserve"> </w:t>
      </w:r>
      <w:r w:rsidRPr="001352AB">
        <w:rPr>
          <w:rFonts w:ascii="Sylfaen" w:hAnsi="Sylfaen" w:cs="Sylfaen"/>
        </w:rPr>
        <w:t>კომერციულ</w:t>
      </w:r>
      <w:r w:rsidRPr="001352AB">
        <w:t xml:space="preserve"> </w:t>
      </w:r>
      <w:r w:rsidRPr="001352AB">
        <w:rPr>
          <w:rFonts w:ascii="Sylfaen" w:hAnsi="Sylfaen" w:cs="Sylfaen"/>
        </w:rPr>
        <w:t>სამრეცხაოებში</w:t>
      </w:r>
      <w:r w:rsidRPr="001352AB">
        <w:t xml:space="preserve">. </w:t>
      </w:r>
      <w:r w:rsidRPr="001352AB">
        <w:rPr>
          <w:rFonts w:ascii="Sylfaen" w:hAnsi="Sylfaen" w:cs="Sylfaen"/>
        </w:rPr>
        <w:t>ადგილზე</w:t>
      </w:r>
      <w:r w:rsidRPr="001352AB">
        <w:t xml:space="preserve"> </w:t>
      </w:r>
      <w:r w:rsidRPr="001352AB">
        <w:rPr>
          <w:rFonts w:ascii="Sylfaen" w:hAnsi="Sylfaen" w:cs="Sylfaen"/>
        </w:rPr>
        <w:t>რეცხვის</w:t>
      </w:r>
      <w:r w:rsidRPr="001352AB">
        <w:t xml:space="preserve"> </w:t>
      </w:r>
      <w:r w:rsidRPr="001352AB">
        <w:rPr>
          <w:rFonts w:ascii="Sylfaen" w:hAnsi="Sylfaen" w:cs="Sylfaen"/>
        </w:rPr>
        <w:t>საჭიროების</w:t>
      </w:r>
      <w:r w:rsidRPr="001352AB">
        <w:t xml:space="preserve"> </w:t>
      </w:r>
      <w:r w:rsidRPr="001352AB">
        <w:rPr>
          <w:rFonts w:ascii="Sylfaen" w:hAnsi="Sylfaen" w:cs="Sylfaen"/>
        </w:rPr>
        <w:t>შემთხვევაში</w:t>
      </w:r>
      <w:r w:rsidRPr="001352AB">
        <w:t xml:space="preserve"> </w:t>
      </w:r>
      <w:r w:rsidRPr="001352AB">
        <w:rPr>
          <w:rFonts w:ascii="Sylfaen" w:hAnsi="Sylfaen" w:cs="Sylfaen"/>
        </w:rPr>
        <w:t>მოეწყობა</w:t>
      </w:r>
      <w:r w:rsidRPr="001352AB">
        <w:t xml:space="preserve">  </w:t>
      </w:r>
      <w:r w:rsidRPr="001352AB">
        <w:rPr>
          <w:rFonts w:ascii="Sylfaen" w:hAnsi="Sylfaen" w:cs="Sylfaen"/>
        </w:rPr>
        <w:t>ბერმებით</w:t>
      </w:r>
      <w:r w:rsidRPr="001352AB">
        <w:t xml:space="preserve"> </w:t>
      </w:r>
      <w:r w:rsidRPr="001352AB">
        <w:rPr>
          <w:rFonts w:ascii="Sylfaen" w:hAnsi="Sylfaen" w:cs="Sylfaen"/>
        </w:rPr>
        <w:t>დაცული</w:t>
      </w:r>
      <w:r w:rsidRPr="001352AB">
        <w:t xml:space="preserve">, </w:t>
      </w:r>
      <w:r w:rsidRPr="001352AB">
        <w:rPr>
          <w:rFonts w:ascii="Sylfaen" w:hAnsi="Sylfaen" w:cs="Sylfaen"/>
        </w:rPr>
        <w:t>მყარსაფარიანი</w:t>
      </w:r>
      <w:r w:rsidRPr="001352AB">
        <w:t xml:space="preserve">  </w:t>
      </w:r>
      <w:r w:rsidRPr="001352AB">
        <w:rPr>
          <w:rFonts w:ascii="Sylfaen" w:hAnsi="Sylfaen" w:cs="Sylfaen"/>
        </w:rPr>
        <w:t>მოედანი</w:t>
      </w:r>
      <w:r w:rsidRPr="001352AB">
        <w:t xml:space="preserve">. </w:t>
      </w:r>
      <w:r w:rsidRPr="001352AB">
        <w:rPr>
          <w:rFonts w:ascii="Sylfaen" w:hAnsi="Sylfaen" w:cs="Sylfaen"/>
        </w:rPr>
        <w:lastRenderedPageBreak/>
        <w:t>ტერიტორიას</w:t>
      </w:r>
      <w:r w:rsidRPr="001352AB">
        <w:t xml:space="preserve"> </w:t>
      </w:r>
      <w:r w:rsidRPr="001352AB">
        <w:rPr>
          <w:rFonts w:ascii="Sylfaen" w:hAnsi="Sylfaen" w:cs="Sylfaen"/>
        </w:rPr>
        <w:t>ექნება</w:t>
      </w:r>
      <w:r w:rsidRPr="001352AB">
        <w:t xml:space="preserve"> </w:t>
      </w:r>
      <w:r w:rsidRPr="001352AB">
        <w:rPr>
          <w:rFonts w:ascii="Sylfaen" w:hAnsi="Sylfaen" w:cs="Sylfaen"/>
        </w:rPr>
        <w:t>ქანობი</w:t>
      </w:r>
      <w:r w:rsidRPr="001352AB">
        <w:t xml:space="preserve"> </w:t>
      </w:r>
      <w:r w:rsidRPr="001352AB">
        <w:rPr>
          <w:rFonts w:ascii="Sylfaen" w:hAnsi="Sylfaen" w:cs="Sylfaen"/>
        </w:rPr>
        <w:t>წყლის</w:t>
      </w:r>
      <w:r w:rsidRPr="001352AB">
        <w:t xml:space="preserve"> </w:t>
      </w:r>
      <w:r w:rsidRPr="001352AB">
        <w:rPr>
          <w:rFonts w:ascii="Sylfaen" w:hAnsi="Sylfaen" w:cs="Sylfaen"/>
        </w:rPr>
        <w:t>შეგროვების</w:t>
      </w:r>
      <w:r w:rsidRPr="001352AB">
        <w:t xml:space="preserve"> </w:t>
      </w:r>
      <w:r w:rsidRPr="001352AB">
        <w:rPr>
          <w:rFonts w:ascii="Sylfaen" w:hAnsi="Sylfaen" w:cs="Sylfaen"/>
        </w:rPr>
        <w:t>გაადვილების</w:t>
      </w:r>
      <w:r w:rsidRPr="001352AB">
        <w:t xml:space="preserve"> </w:t>
      </w:r>
      <w:r w:rsidRPr="001352AB">
        <w:rPr>
          <w:rFonts w:ascii="Sylfaen" w:hAnsi="Sylfaen" w:cs="Sylfaen"/>
        </w:rPr>
        <w:t>და</w:t>
      </w:r>
      <w:r w:rsidRPr="001352AB">
        <w:t xml:space="preserve"> </w:t>
      </w:r>
      <w:r w:rsidRPr="001352AB">
        <w:rPr>
          <w:rFonts w:ascii="Sylfaen" w:hAnsi="Sylfaen" w:cs="Sylfaen"/>
        </w:rPr>
        <w:t>აორთქლების</w:t>
      </w:r>
      <w:r w:rsidRPr="001352AB">
        <w:t xml:space="preserve"> </w:t>
      </w:r>
      <w:r w:rsidRPr="001352AB">
        <w:rPr>
          <w:rFonts w:ascii="Sylfaen" w:hAnsi="Sylfaen" w:cs="Sylfaen"/>
        </w:rPr>
        <w:t>გასამარტივებლად</w:t>
      </w:r>
      <w:r w:rsidRPr="001352AB">
        <w:t xml:space="preserve">. </w:t>
      </w:r>
      <w:r w:rsidRPr="001352AB">
        <w:rPr>
          <w:rFonts w:ascii="Sylfaen" w:hAnsi="Sylfaen" w:cs="Sylfaen"/>
        </w:rPr>
        <w:t>წყლის</w:t>
      </w:r>
      <w:r w:rsidRPr="001352AB">
        <w:t xml:space="preserve"> </w:t>
      </w:r>
      <w:r w:rsidRPr="001352AB">
        <w:rPr>
          <w:rFonts w:ascii="Sylfaen" w:hAnsi="Sylfaen" w:cs="Sylfaen"/>
        </w:rPr>
        <w:t>ჩაშვება</w:t>
      </w:r>
      <w:r w:rsidRPr="001352AB">
        <w:t xml:space="preserve"> </w:t>
      </w:r>
      <w:r w:rsidRPr="001352AB">
        <w:rPr>
          <w:rFonts w:ascii="Sylfaen" w:hAnsi="Sylfaen" w:cs="Sylfaen"/>
        </w:rPr>
        <w:t>გარემოში</w:t>
      </w:r>
      <w:r w:rsidRPr="001352AB">
        <w:t xml:space="preserve"> </w:t>
      </w:r>
      <w:r w:rsidRPr="001352AB">
        <w:rPr>
          <w:rFonts w:ascii="Sylfaen" w:hAnsi="Sylfaen" w:cs="Sylfaen"/>
        </w:rPr>
        <w:t>არ</w:t>
      </w:r>
      <w:r w:rsidRPr="001352AB">
        <w:t xml:space="preserve"> </w:t>
      </w:r>
      <w:r w:rsidRPr="001352AB">
        <w:rPr>
          <w:rFonts w:ascii="Sylfaen" w:hAnsi="Sylfaen" w:cs="Sylfaen"/>
        </w:rPr>
        <w:t>მოხდება</w:t>
      </w:r>
      <w:r w:rsidRPr="001352AB">
        <w:t>;</w:t>
      </w:r>
    </w:p>
    <w:p w14:paraId="2DD4958B" w14:textId="77777777" w:rsidR="00CD64B5" w:rsidRPr="001352AB" w:rsidRDefault="00CD64B5" w:rsidP="00CD64B5">
      <w:pPr>
        <w:spacing w:before="120" w:after="120"/>
      </w:pPr>
      <w:r w:rsidRPr="001352AB">
        <w:rPr>
          <w:rFonts w:ascii="Sylfaen" w:hAnsi="Sylfaen" w:cs="Sylfaen"/>
        </w:rPr>
        <w:t>გაუწმენდავი</w:t>
      </w:r>
      <w:r w:rsidRPr="001352AB">
        <w:t xml:space="preserve"> </w:t>
      </w:r>
      <w:r w:rsidRPr="001352AB">
        <w:rPr>
          <w:rFonts w:ascii="Sylfaen" w:hAnsi="Sylfaen" w:cs="Sylfaen"/>
        </w:rPr>
        <w:t>წყლის</w:t>
      </w:r>
      <w:r w:rsidRPr="001352AB">
        <w:t xml:space="preserve"> </w:t>
      </w:r>
      <w:r w:rsidRPr="001352AB">
        <w:rPr>
          <w:rFonts w:ascii="Sylfaen" w:hAnsi="Sylfaen" w:cs="Sylfaen"/>
        </w:rPr>
        <w:t>ჩაშვება</w:t>
      </w:r>
      <w:r w:rsidRPr="001352AB">
        <w:t xml:space="preserve"> </w:t>
      </w:r>
      <w:r w:rsidRPr="001352AB">
        <w:rPr>
          <w:rFonts w:ascii="Sylfaen" w:hAnsi="Sylfaen" w:cs="Sylfaen"/>
        </w:rPr>
        <w:t>ზედაპირულ</w:t>
      </w:r>
      <w:r w:rsidRPr="001352AB">
        <w:t xml:space="preserve"> </w:t>
      </w:r>
      <w:r w:rsidRPr="001352AB">
        <w:rPr>
          <w:rFonts w:ascii="Sylfaen" w:hAnsi="Sylfaen" w:cs="Sylfaen"/>
        </w:rPr>
        <w:t>წყლებში</w:t>
      </w:r>
      <w:r w:rsidRPr="001352AB">
        <w:t xml:space="preserve"> </w:t>
      </w:r>
      <w:r w:rsidRPr="001352AB">
        <w:rPr>
          <w:rFonts w:ascii="Sylfaen" w:hAnsi="Sylfaen" w:cs="Sylfaen"/>
        </w:rPr>
        <w:t>მკაცრად</w:t>
      </w:r>
      <w:r w:rsidRPr="001352AB">
        <w:t xml:space="preserve"> </w:t>
      </w:r>
      <w:r w:rsidRPr="001352AB">
        <w:rPr>
          <w:rFonts w:ascii="Sylfaen" w:hAnsi="Sylfaen" w:cs="Sylfaen"/>
        </w:rPr>
        <w:t>აიკრძალება</w:t>
      </w:r>
      <w:r w:rsidRPr="001352AB">
        <w:t>;</w:t>
      </w:r>
    </w:p>
    <w:p w14:paraId="4F79AF91" w14:textId="77777777" w:rsidR="00CD64B5" w:rsidRPr="001352AB" w:rsidRDefault="00CD64B5" w:rsidP="00CD64B5">
      <w:pPr>
        <w:spacing w:before="120" w:after="120"/>
      </w:pPr>
      <w:r w:rsidRPr="001352AB">
        <w:rPr>
          <w:rFonts w:ascii="Sylfaen" w:hAnsi="Sylfaen" w:cs="Sylfaen"/>
        </w:rPr>
        <w:t>ცემენტით</w:t>
      </w:r>
      <w:r w:rsidRPr="001352AB">
        <w:t xml:space="preserve"> </w:t>
      </w:r>
      <w:r w:rsidRPr="001352AB">
        <w:rPr>
          <w:rFonts w:ascii="Sylfaen" w:hAnsi="Sylfaen" w:cs="Sylfaen"/>
        </w:rPr>
        <w:t>დაბინძურებული</w:t>
      </w:r>
      <w:r w:rsidRPr="001352AB">
        <w:t xml:space="preserve"> </w:t>
      </w:r>
      <w:r w:rsidRPr="001352AB">
        <w:rPr>
          <w:rFonts w:ascii="Sylfaen" w:hAnsi="Sylfaen" w:cs="Sylfaen"/>
        </w:rPr>
        <w:t>წყალის</w:t>
      </w:r>
      <w:r w:rsidRPr="001352AB">
        <w:t xml:space="preserve"> </w:t>
      </w:r>
      <w:r w:rsidRPr="001352AB">
        <w:rPr>
          <w:rFonts w:ascii="Sylfaen" w:hAnsi="Sylfaen" w:cs="Sylfaen"/>
        </w:rPr>
        <w:t>ჩაშვება</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აცილებული</w:t>
      </w:r>
      <w:r w:rsidRPr="001352AB">
        <w:t xml:space="preserve">, </w:t>
      </w:r>
      <w:r w:rsidRPr="001352AB">
        <w:rPr>
          <w:rFonts w:ascii="Sylfaen" w:hAnsi="Sylfaen" w:cs="Sylfaen"/>
        </w:rPr>
        <w:t>რათა</w:t>
      </w:r>
      <w:r w:rsidRPr="001352AB">
        <w:t xml:space="preserve"> </w:t>
      </w:r>
      <w:r w:rsidRPr="001352AB">
        <w:rPr>
          <w:rFonts w:ascii="Sylfaen" w:hAnsi="Sylfaen" w:cs="Sylfaen"/>
        </w:rPr>
        <w:t>არ</w:t>
      </w:r>
      <w:r w:rsidRPr="001352AB">
        <w:t xml:space="preserve"> </w:t>
      </w:r>
      <w:r w:rsidRPr="001352AB">
        <w:rPr>
          <w:rFonts w:ascii="Sylfaen" w:hAnsi="Sylfaen" w:cs="Sylfaen"/>
        </w:rPr>
        <w:t>მოხდეს</w:t>
      </w:r>
      <w:r w:rsidRPr="001352AB">
        <w:t xml:space="preserve"> pH </w:t>
      </w:r>
      <w:r w:rsidRPr="001352AB">
        <w:rPr>
          <w:rFonts w:ascii="Sylfaen" w:hAnsi="Sylfaen" w:cs="Sylfaen"/>
        </w:rPr>
        <w:t>აწევა</w:t>
      </w:r>
      <w:r w:rsidRPr="001352AB">
        <w:t xml:space="preserve">, </w:t>
      </w:r>
      <w:r w:rsidRPr="001352AB">
        <w:rPr>
          <w:rFonts w:ascii="Sylfaen" w:hAnsi="Sylfaen" w:cs="Sylfaen"/>
        </w:rPr>
        <w:t>რამაც</w:t>
      </w:r>
      <w:r w:rsidRPr="001352AB">
        <w:t xml:space="preserve"> </w:t>
      </w:r>
      <w:r w:rsidRPr="001352AB">
        <w:rPr>
          <w:rFonts w:ascii="Sylfaen" w:hAnsi="Sylfaen" w:cs="Sylfaen"/>
        </w:rPr>
        <w:t>შესაძლოა</w:t>
      </w:r>
      <w:r w:rsidRPr="001352AB">
        <w:t xml:space="preserve"> </w:t>
      </w:r>
      <w:r w:rsidRPr="001352AB">
        <w:rPr>
          <w:rFonts w:ascii="Sylfaen" w:hAnsi="Sylfaen" w:cs="Sylfaen"/>
        </w:rPr>
        <w:t>გამოიწვიოს</w:t>
      </w:r>
      <w:r w:rsidRPr="001352AB">
        <w:t xml:space="preserve"> </w:t>
      </w:r>
      <w:r w:rsidRPr="001352AB">
        <w:rPr>
          <w:rFonts w:ascii="Sylfaen" w:hAnsi="Sylfaen" w:cs="Sylfaen"/>
        </w:rPr>
        <w:t>წყლის</w:t>
      </w:r>
      <w:r w:rsidRPr="001352AB">
        <w:t xml:space="preserve"> </w:t>
      </w:r>
      <w:r w:rsidRPr="001352AB">
        <w:rPr>
          <w:rFonts w:ascii="Sylfaen" w:hAnsi="Sylfaen" w:cs="Sylfaen"/>
        </w:rPr>
        <w:t>გარემოს</w:t>
      </w:r>
      <w:r w:rsidRPr="001352AB">
        <w:t xml:space="preserve"> </w:t>
      </w:r>
      <w:r w:rsidRPr="001352AB">
        <w:rPr>
          <w:rFonts w:ascii="Sylfaen" w:hAnsi="Sylfaen" w:cs="Sylfaen"/>
        </w:rPr>
        <w:t>მდგომარეობის</w:t>
      </w:r>
      <w:r w:rsidRPr="001352AB">
        <w:t xml:space="preserve"> </w:t>
      </w:r>
      <w:r w:rsidRPr="001352AB">
        <w:rPr>
          <w:rFonts w:ascii="Sylfaen" w:hAnsi="Sylfaen" w:cs="Sylfaen"/>
        </w:rPr>
        <w:t>გაუარესება</w:t>
      </w:r>
      <w:r w:rsidRPr="001352AB">
        <w:t>;</w:t>
      </w:r>
    </w:p>
    <w:p w14:paraId="0A511EC0" w14:textId="77777777" w:rsidR="00CD64B5" w:rsidRPr="001352AB" w:rsidRDefault="00CD64B5" w:rsidP="00CD64B5">
      <w:pPr>
        <w:spacing w:before="120" w:after="120"/>
      </w:pPr>
      <w:r w:rsidRPr="001352AB">
        <w:rPr>
          <w:rFonts w:ascii="Sylfaen" w:hAnsi="Sylfaen" w:cs="Sylfaen"/>
        </w:rPr>
        <w:t>სამშენებლო</w:t>
      </w:r>
      <w:r w:rsidRPr="001352AB">
        <w:t xml:space="preserve"> </w:t>
      </w:r>
      <w:r w:rsidRPr="001352AB">
        <w:rPr>
          <w:rFonts w:ascii="Sylfaen" w:hAnsi="Sylfaen" w:cs="Sylfaen"/>
        </w:rPr>
        <w:t>მასალა</w:t>
      </w:r>
      <w:r w:rsidRPr="001352AB">
        <w:t xml:space="preserve"> </w:t>
      </w:r>
      <w:r w:rsidRPr="001352AB">
        <w:rPr>
          <w:rFonts w:ascii="Sylfaen" w:hAnsi="Sylfaen" w:cs="Sylfaen"/>
        </w:rPr>
        <w:t>და</w:t>
      </w:r>
      <w:r w:rsidRPr="001352AB">
        <w:t xml:space="preserve"> </w:t>
      </w:r>
      <w:r w:rsidRPr="001352AB">
        <w:rPr>
          <w:rFonts w:ascii="Sylfaen" w:hAnsi="Sylfaen" w:cs="Sylfaen"/>
        </w:rPr>
        <w:t>ნარჩენები</w:t>
      </w:r>
      <w:r w:rsidRPr="001352AB">
        <w:t xml:space="preserve"> </w:t>
      </w:r>
      <w:r w:rsidRPr="001352AB">
        <w:rPr>
          <w:rFonts w:ascii="Sylfaen" w:hAnsi="Sylfaen" w:cs="Sylfaen"/>
        </w:rPr>
        <w:t>დასაწყობდება</w:t>
      </w:r>
      <w:r w:rsidRPr="001352AB">
        <w:t xml:space="preserve"> </w:t>
      </w:r>
      <w:r w:rsidRPr="001352AB">
        <w:rPr>
          <w:rFonts w:ascii="Sylfaen" w:hAnsi="Sylfaen" w:cs="Sylfaen"/>
        </w:rPr>
        <w:t>ისე</w:t>
      </w:r>
      <w:r w:rsidRPr="001352AB">
        <w:t xml:space="preserve">, </w:t>
      </w:r>
      <w:r w:rsidRPr="001352AB">
        <w:rPr>
          <w:rFonts w:ascii="Sylfaen" w:hAnsi="Sylfaen" w:cs="Sylfaen"/>
        </w:rPr>
        <w:t>რომ</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იქნას</w:t>
      </w:r>
      <w:r w:rsidRPr="001352AB">
        <w:t xml:space="preserve"> </w:t>
      </w:r>
      <w:r w:rsidRPr="001352AB">
        <w:rPr>
          <w:rFonts w:ascii="Sylfaen" w:hAnsi="Sylfaen" w:cs="Sylfaen"/>
        </w:rPr>
        <w:t>აცილებული</w:t>
      </w:r>
      <w:r w:rsidRPr="001352AB">
        <w:t xml:space="preserve"> </w:t>
      </w:r>
      <w:r w:rsidRPr="001352AB">
        <w:rPr>
          <w:rFonts w:ascii="Sylfaen" w:hAnsi="Sylfaen" w:cs="Sylfaen"/>
        </w:rPr>
        <w:t>ეროზია</w:t>
      </w:r>
      <w:r w:rsidRPr="001352AB">
        <w:t xml:space="preserve"> </w:t>
      </w:r>
      <w:r w:rsidRPr="001352AB">
        <w:rPr>
          <w:rFonts w:ascii="Sylfaen" w:hAnsi="Sylfaen" w:cs="Sylfaen"/>
        </w:rPr>
        <w:t>და</w:t>
      </w:r>
      <w:r w:rsidRPr="001352AB">
        <w:t xml:space="preserve"> </w:t>
      </w:r>
      <w:r w:rsidRPr="001352AB">
        <w:rPr>
          <w:rFonts w:ascii="Sylfaen" w:hAnsi="Sylfaen" w:cs="Sylfaen"/>
        </w:rPr>
        <w:t>წარეცხვა</w:t>
      </w:r>
      <w:r w:rsidRPr="001352AB">
        <w:t xml:space="preserve">. </w:t>
      </w:r>
      <w:r w:rsidRPr="001352AB">
        <w:rPr>
          <w:rFonts w:ascii="Sylfaen" w:hAnsi="Sylfaen" w:cs="Sylfaen"/>
        </w:rPr>
        <w:t>ზედაპირული</w:t>
      </w:r>
      <w:r w:rsidRPr="001352AB">
        <w:t xml:space="preserve"> </w:t>
      </w:r>
      <w:r w:rsidRPr="001352AB">
        <w:rPr>
          <w:rFonts w:ascii="Sylfaen" w:hAnsi="Sylfaen" w:cs="Sylfaen"/>
        </w:rPr>
        <w:t>ჩამონადენის</w:t>
      </w:r>
      <w:r w:rsidRPr="001352AB">
        <w:t xml:space="preserve"> </w:t>
      </w:r>
      <w:r w:rsidRPr="001352AB">
        <w:rPr>
          <w:rFonts w:ascii="Sylfaen" w:hAnsi="Sylfaen" w:cs="Sylfaen"/>
        </w:rPr>
        <w:t>არინებისთვის</w:t>
      </w:r>
      <w:r w:rsidRPr="001352AB">
        <w:t xml:space="preserve"> </w:t>
      </w:r>
      <w:r w:rsidRPr="001352AB">
        <w:rPr>
          <w:rFonts w:ascii="Sylfaen" w:hAnsi="Sylfaen" w:cs="Sylfaen"/>
        </w:rPr>
        <w:t>მოეწყობა</w:t>
      </w:r>
      <w:r w:rsidRPr="001352AB">
        <w:t xml:space="preserve"> </w:t>
      </w:r>
      <w:r w:rsidRPr="001352AB">
        <w:rPr>
          <w:rFonts w:ascii="Sylfaen" w:hAnsi="Sylfaen" w:cs="Sylfaen"/>
        </w:rPr>
        <w:t>სადრენაჟე</w:t>
      </w:r>
      <w:r w:rsidRPr="001352AB">
        <w:t xml:space="preserve"> </w:t>
      </w:r>
      <w:r w:rsidRPr="001352AB">
        <w:rPr>
          <w:rFonts w:ascii="Sylfaen" w:hAnsi="Sylfaen" w:cs="Sylfaen"/>
        </w:rPr>
        <w:t>არხები</w:t>
      </w:r>
      <w:r w:rsidRPr="001352AB">
        <w:t>;</w:t>
      </w:r>
    </w:p>
    <w:p w14:paraId="651573C1" w14:textId="77777777" w:rsidR="00CD64B5" w:rsidRPr="001352AB" w:rsidRDefault="00CD64B5" w:rsidP="00CD64B5">
      <w:pPr>
        <w:spacing w:before="120" w:after="120"/>
        <w:rPr>
          <w:lang w:eastAsia="en-US"/>
        </w:rPr>
      </w:pPr>
      <w:r w:rsidRPr="001352AB">
        <w:rPr>
          <w:rFonts w:ascii="Sylfaen" w:hAnsi="Sylfaen" w:cs="Sylfaen"/>
        </w:rPr>
        <w:t>ჩამონადენი</w:t>
      </w:r>
      <w:r w:rsidRPr="001352AB">
        <w:t xml:space="preserve"> </w:t>
      </w:r>
      <w:r w:rsidRPr="001352AB">
        <w:rPr>
          <w:rFonts w:ascii="Sylfaen" w:hAnsi="Sylfaen" w:cs="Sylfaen"/>
        </w:rPr>
        <w:t>წყლის</w:t>
      </w:r>
      <w:r w:rsidRPr="001352AB">
        <w:t xml:space="preserve"> </w:t>
      </w:r>
      <w:r w:rsidRPr="001352AB">
        <w:rPr>
          <w:rFonts w:ascii="Sylfaen" w:hAnsi="Sylfaen" w:cs="Sylfaen"/>
        </w:rPr>
        <w:t>დაბინძურების</w:t>
      </w:r>
      <w:r w:rsidRPr="001352AB">
        <w:t xml:space="preserve"> </w:t>
      </w:r>
      <w:r w:rsidRPr="001352AB">
        <w:rPr>
          <w:rFonts w:ascii="Sylfaen" w:hAnsi="Sylfaen" w:cs="Sylfaen"/>
        </w:rPr>
        <w:t>შემცირების</w:t>
      </w:r>
      <w:r w:rsidRPr="001352AB">
        <w:t xml:space="preserve"> </w:t>
      </w:r>
      <w:r w:rsidRPr="001352AB">
        <w:rPr>
          <w:rFonts w:ascii="Sylfaen" w:hAnsi="Sylfaen" w:cs="Sylfaen"/>
        </w:rPr>
        <w:t>მიზნით</w:t>
      </w:r>
      <w:r w:rsidRPr="001352AB">
        <w:t xml:space="preserve">, </w:t>
      </w:r>
      <w:r w:rsidRPr="001352AB">
        <w:rPr>
          <w:rFonts w:ascii="Sylfaen" w:hAnsi="Sylfaen" w:cs="Sylfaen"/>
        </w:rPr>
        <w:t>გზის</w:t>
      </w:r>
      <w:r w:rsidRPr="001352AB">
        <w:t xml:space="preserve">, </w:t>
      </w:r>
      <w:r w:rsidRPr="001352AB">
        <w:rPr>
          <w:rFonts w:ascii="Sylfaen" w:hAnsi="Sylfaen" w:cs="Sylfaen"/>
        </w:rPr>
        <w:t>მაგისტრალისა</w:t>
      </w:r>
      <w:r w:rsidRPr="001352AB">
        <w:t xml:space="preserve"> </w:t>
      </w:r>
      <w:r w:rsidRPr="001352AB">
        <w:rPr>
          <w:rFonts w:ascii="Sylfaen" w:hAnsi="Sylfaen" w:cs="Sylfaen"/>
        </w:rPr>
        <w:t>და</w:t>
      </w:r>
      <w:r w:rsidRPr="001352AB">
        <w:t xml:space="preserve"> </w:t>
      </w:r>
      <w:r w:rsidRPr="001352AB">
        <w:rPr>
          <w:rFonts w:ascii="Sylfaen" w:hAnsi="Sylfaen" w:cs="Sylfaen"/>
        </w:rPr>
        <w:t>ხიდის</w:t>
      </w:r>
      <w:r w:rsidRPr="001352AB">
        <w:t xml:space="preserve"> </w:t>
      </w:r>
      <w:r w:rsidRPr="001352AB">
        <w:rPr>
          <w:rFonts w:ascii="Sylfaen" w:hAnsi="Sylfaen" w:cs="Sylfaen"/>
        </w:rPr>
        <w:t>მშენებლობისას</w:t>
      </w:r>
      <w:r w:rsidRPr="001352AB">
        <w:t xml:space="preserve"> </w:t>
      </w:r>
      <w:r w:rsidRPr="001352AB">
        <w:rPr>
          <w:rFonts w:ascii="Sylfaen" w:hAnsi="Sylfaen" w:cs="Sylfaen"/>
        </w:rPr>
        <w:t>გატარდება</w:t>
      </w:r>
      <w:r w:rsidRPr="001352AB">
        <w:t xml:space="preserve"> </w:t>
      </w:r>
      <w:r w:rsidRPr="001352AB">
        <w:rPr>
          <w:rFonts w:ascii="Sylfaen" w:hAnsi="Sylfaen" w:cs="Sylfaen"/>
        </w:rPr>
        <w:t>ჩამონადენი</w:t>
      </w:r>
      <w:r w:rsidRPr="001352AB">
        <w:t xml:space="preserve"> </w:t>
      </w:r>
      <w:r w:rsidRPr="001352AB">
        <w:rPr>
          <w:rFonts w:ascii="Sylfaen" w:hAnsi="Sylfaen" w:cs="Sylfaen"/>
        </w:rPr>
        <w:t>წყლის</w:t>
      </w:r>
      <w:r w:rsidRPr="001352AB">
        <w:t xml:space="preserve"> </w:t>
      </w:r>
      <w:r w:rsidRPr="001352AB">
        <w:rPr>
          <w:rFonts w:ascii="Sylfaen" w:hAnsi="Sylfaen" w:cs="Sylfaen"/>
        </w:rPr>
        <w:t>კონტროლის</w:t>
      </w:r>
      <w:r w:rsidRPr="001352AB">
        <w:t xml:space="preserve"> </w:t>
      </w:r>
      <w:r w:rsidRPr="001352AB">
        <w:rPr>
          <w:rFonts w:ascii="Sylfaen" w:hAnsi="Sylfaen" w:cs="Sylfaen"/>
        </w:rPr>
        <w:t>ღონისძიებები</w:t>
      </w:r>
      <w:r w:rsidRPr="001352AB">
        <w:t xml:space="preserve">. </w:t>
      </w:r>
      <w:r w:rsidRPr="001352AB">
        <w:rPr>
          <w:rFonts w:ascii="Sylfaen" w:hAnsi="Sylfaen" w:cs="Sylfaen"/>
        </w:rPr>
        <w:t>მოეწყობა</w:t>
      </w:r>
      <w:r w:rsidRPr="001352AB">
        <w:t xml:space="preserve"> </w:t>
      </w:r>
      <w:r w:rsidRPr="001352AB">
        <w:rPr>
          <w:rFonts w:ascii="Sylfaen" w:hAnsi="Sylfaen" w:cs="Sylfaen"/>
        </w:rPr>
        <w:t>წყალარინების</w:t>
      </w:r>
      <w:r w:rsidRPr="001352AB">
        <w:t xml:space="preserve"> </w:t>
      </w:r>
      <w:r w:rsidRPr="001352AB">
        <w:rPr>
          <w:rFonts w:ascii="Sylfaen" w:hAnsi="Sylfaen" w:cs="Sylfaen"/>
        </w:rPr>
        <w:t>სისტემა</w:t>
      </w:r>
      <w:r w:rsidRPr="001352AB">
        <w:t xml:space="preserve">. </w:t>
      </w:r>
      <w:r w:rsidRPr="001352AB">
        <w:rPr>
          <w:rFonts w:ascii="Sylfaen" w:hAnsi="Sylfaen" w:cs="Sylfaen"/>
        </w:rPr>
        <w:t>ყველა</w:t>
      </w:r>
      <w:r w:rsidRPr="001352AB">
        <w:t xml:space="preserve"> </w:t>
      </w:r>
      <w:r w:rsidRPr="001352AB">
        <w:rPr>
          <w:rFonts w:ascii="Sylfaen" w:hAnsi="Sylfaen" w:cs="Sylfaen"/>
        </w:rPr>
        <w:t>პოტენციურად</w:t>
      </w:r>
      <w:r w:rsidRPr="001352AB">
        <w:t xml:space="preserve"> </w:t>
      </w:r>
      <w:r w:rsidRPr="001352AB">
        <w:rPr>
          <w:rFonts w:ascii="Sylfaen" w:hAnsi="Sylfaen" w:cs="Sylfaen"/>
        </w:rPr>
        <w:t>დაბინძურებული</w:t>
      </w:r>
      <w:r w:rsidRPr="001352AB">
        <w:t xml:space="preserve"> </w:t>
      </w:r>
      <w:r w:rsidRPr="001352AB">
        <w:rPr>
          <w:rFonts w:ascii="Sylfaen" w:hAnsi="Sylfaen" w:cs="Sylfaen"/>
        </w:rPr>
        <w:t>უბანი</w:t>
      </w:r>
      <w:r w:rsidRPr="001352AB">
        <w:t xml:space="preserve"> </w:t>
      </w: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ჩამონადენის</w:t>
      </w:r>
      <w:r w:rsidRPr="001352AB">
        <w:t xml:space="preserve"> </w:t>
      </w:r>
      <w:r w:rsidRPr="001352AB">
        <w:rPr>
          <w:rFonts w:ascii="Sylfaen" w:hAnsi="Sylfaen" w:cs="Sylfaen"/>
        </w:rPr>
        <w:t>შეღწევისგან</w:t>
      </w:r>
      <w:r w:rsidRPr="001352AB">
        <w:t xml:space="preserve"> </w:t>
      </w:r>
      <w:r w:rsidRPr="001352AB">
        <w:rPr>
          <w:rFonts w:ascii="Sylfaen" w:hAnsi="Sylfaen" w:cs="Sylfaen"/>
        </w:rPr>
        <w:t>და</w:t>
      </w:r>
      <w:r w:rsidRPr="001352AB">
        <w:t xml:space="preserve"> </w:t>
      </w:r>
      <w:r w:rsidRPr="001352AB">
        <w:rPr>
          <w:rFonts w:ascii="Sylfaen" w:hAnsi="Sylfaen" w:cs="Sylfaen"/>
        </w:rPr>
        <w:t>დაბინძურების</w:t>
      </w:r>
      <w:r w:rsidRPr="001352AB">
        <w:t xml:space="preserve"> </w:t>
      </w:r>
      <w:r w:rsidRPr="001352AB">
        <w:rPr>
          <w:rFonts w:ascii="Sylfaen" w:hAnsi="Sylfaen" w:cs="Sylfaen"/>
        </w:rPr>
        <w:t>გარემოში</w:t>
      </w:r>
      <w:r w:rsidRPr="001352AB">
        <w:t xml:space="preserve"> </w:t>
      </w:r>
      <w:r w:rsidRPr="001352AB">
        <w:rPr>
          <w:rFonts w:ascii="Sylfaen" w:hAnsi="Sylfaen" w:cs="Sylfaen"/>
        </w:rPr>
        <w:t>გადატანისგან</w:t>
      </w:r>
      <w:r w:rsidRPr="001352AB">
        <w:t xml:space="preserve">,  </w:t>
      </w:r>
      <w:r w:rsidRPr="001352AB">
        <w:rPr>
          <w:rFonts w:ascii="Sylfaen" w:hAnsi="Sylfaen" w:cs="Sylfaen"/>
        </w:rPr>
        <w:t>ნაჩენების</w:t>
      </w:r>
      <w:r w:rsidRPr="001352AB">
        <w:t xml:space="preserve"> </w:t>
      </w:r>
      <w:r w:rsidRPr="001352AB">
        <w:rPr>
          <w:rFonts w:ascii="Sylfaen" w:hAnsi="Sylfaen" w:cs="Sylfaen"/>
        </w:rPr>
        <w:t>და</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განთავსების</w:t>
      </w:r>
      <w:r w:rsidRPr="001352AB">
        <w:t xml:space="preserve"> </w:t>
      </w:r>
      <w:r w:rsidRPr="001352AB">
        <w:rPr>
          <w:rFonts w:ascii="Sylfaen" w:hAnsi="Sylfaen" w:cs="Sylfaen"/>
        </w:rPr>
        <w:t>უბნები</w:t>
      </w:r>
      <w:r w:rsidRPr="001352AB">
        <w:t xml:space="preserve"> </w:t>
      </w: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წარეცხვისგან</w:t>
      </w:r>
      <w:r w:rsidRPr="001352AB">
        <w:t xml:space="preserve"> </w:t>
      </w:r>
      <w:r w:rsidRPr="001352AB">
        <w:rPr>
          <w:rFonts w:ascii="Sylfaen" w:hAnsi="Sylfaen" w:cs="Sylfaen"/>
        </w:rPr>
        <w:t>და</w:t>
      </w:r>
      <w:r w:rsidRPr="001352AB">
        <w:t xml:space="preserve"> </w:t>
      </w:r>
      <w:r w:rsidRPr="001352AB">
        <w:rPr>
          <w:rFonts w:ascii="Sylfaen" w:hAnsi="Sylfaen" w:cs="Sylfaen"/>
        </w:rPr>
        <w:t>გაფანტვისგან</w:t>
      </w:r>
      <w:r w:rsidRPr="001352AB">
        <w:t>.</w:t>
      </w:r>
    </w:p>
    <w:p w14:paraId="0306A250" w14:textId="77777777" w:rsidR="00CD64B5" w:rsidRPr="001352AB" w:rsidRDefault="00CD64B5" w:rsidP="00CD64B5">
      <w:pPr>
        <w:spacing w:before="120" w:after="120"/>
      </w:pP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ნიადაგზე</w:t>
      </w:r>
      <w:r w:rsidRPr="001352AB">
        <w:t xml:space="preserve"> </w:t>
      </w:r>
      <w:r w:rsidRPr="001352AB">
        <w:rPr>
          <w:rFonts w:ascii="Sylfaen" w:hAnsi="Sylfaen" w:cs="Sylfaen"/>
        </w:rPr>
        <w:t>ზემოქმედების</w:t>
      </w:r>
      <w:r w:rsidRPr="001352AB">
        <w:t xml:space="preserve"> </w:t>
      </w:r>
      <w:r w:rsidRPr="001352AB">
        <w:rPr>
          <w:rFonts w:ascii="Sylfaen" w:hAnsi="Sylfaen" w:cs="Sylfaen"/>
        </w:rPr>
        <w:t>შემცირებისთვის</w:t>
      </w:r>
      <w:r w:rsidRPr="001352AB">
        <w:t xml:space="preserve"> </w:t>
      </w:r>
      <w:r w:rsidRPr="001352AB">
        <w:rPr>
          <w:rFonts w:ascii="Sylfaen" w:hAnsi="Sylfaen" w:cs="Sylfaen"/>
        </w:rPr>
        <w:t>დაწესებული</w:t>
      </w:r>
      <w:r w:rsidRPr="001352AB">
        <w:t xml:space="preserve"> </w:t>
      </w:r>
      <w:r w:rsidRPr="001352AB">
        <w:rPr>
          <w:rFonts w:ascii="Sylfaen" w:hAnsi="Sylfaen" w:cs="Sylfaen"/>
        </w:rPr>
        <w:t>ღონისძიებები</w:t>
      </w:r>
      <w:r w:rsidRPr="001352AB">
        <w:t xml:space="preserve"> </w:t>
      </w:r>
      <w:r w:rsidRPr="001352AB">
        <w:rPr>
          <w:rFonts w:ascii="Sylfaen" w:hAnsi="Sylfaen" w:cs="Sylfaen"/>
        </w:rPr>
        <w:t>და</w:t>
      </w:r>
      <w:r w:rsidRPr="001352AB">
        <w:t xml:space="preserve"> </w:t>
      </w:r>
      <w:r w:rsidRPr="001352AB">
        <w:rPr>
          <w:rFonts w:ascii="Sylfaen" w:hAnsi="Sylfaen" w:cs="Sylfaen"/>
        </w:rPr>
        <w:t>ნარჩენების</w:t>
      </w:r>
      <w:r w:rsidRPr="001352AB">
        <w:t xml:space="preserve"> </w:t>
      </w:r>
      <w:r w:rsidRPr="001352AB">
        <w:rPr>
          <w:rFonts w:ascii="Sylfaen" w:hAnsi="Sylfaen" w:cs="Sylfaen"/>
        </w:rPr>
        <w:t>მართვის</w:t>
      </w:r>
      <w:r w:rsidRPr="001352AB">
        <w:t xml:space="preserve"> </w:t>
      </w:r>
      <w:r w:rsidRPr="001352AB">
        <w:rPr>
          <w:rFonts w:ascii="Sylfaen" w:hAnsi="Sylfaen" w:cs="Sylfaen"/>
        </w:rPr>
        <w:t>რეკომენდაციები</w:t>
      </w:r>
      <w:r w:rsidRPr="001352AB">
        <w:t xml:space="preserve">. </w:t>
      </w:r>
    </w:p>
    <w:p w14:paraId="308D7975" w14:textId="77777777" w:rsidR="00CD64B5" w:rsidRPr="001352AB" w:rsidRDefault="00CD64B5" w:rsidP="00CD64B5">
      <w:pPr>
        <w:spacing w:before="120" w:after="120"/>
        <w:rPr>
          <w:lang w:eastAsia="da-DK"/>
        </w:rPr>
      </w:pPr>
      <w:r w:rsidRPr="001352AB">
        <w:rPr>
          <w:rFonts w:ascii="Sylfaen" w:hAnsi="Sylfaen" w:cs="Sylfaen"/>
        </w:rPr>
        <w:t>იმისათვის</w:t>
      </w:r>
      <w:r w:rsidRPr="001352AB">
        <w:t xml:space="preserve">, </w:t>
      </w:r>
      <w:r w:rsidRPr="001352AB">
        <w:rPr>
          <w:rFonts w:ascii="Sylfaen" w:hAnsi="Sylfaen" w:cs="Sylfaen"/>
        </w:rPr>
        <w:t>რომ</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იქნეს</w:t>
      </w:r>
      <w:r w:rsidRPr="001352AB">
        <w:t xml:space="preserve"> </w:t>
      </w:r>
      <w:r w:rsidRPr="001352AB">
        <w:rPr>
          <w:rFonts w:ascii="Sylfaen" w:hAnsi="Sylfaen" w:cs="Sylfaen"/>
        </w:rPr>
        <w:t>აცილებული</w:t>
      </w:r>
      <w:r w:rsidRPr="001352AB">
        <w:t xml:space="preserve"> </w:t>
      </w:r>
      <w:r w:rsidRPr="001352AB">
        <w:rPr>
          <w:rFonts w:ascii="Sylfaen" w:hAnsi="Sylfaen" w:cs="Sylfaen"/>
        </w:rPr>
        <w:t>ჩამონადენი</w:t>
      </w:r>
      <w:r w:rsidRPr="001352AB">
        <w:t xml:space="preserve"> </w:t>
      </w:r>
      <w:r w:rsidRPr="001352AB">
        <w:rPr>
          <w:rFonts w:ascii="Sylfaen" w:hAnsi="Sylfaen" w:cs="Sylfaen"/>
        </w:rPr>
        <w:t>წყლის</w:t>
      </w:r>
      <w:r w:rsidRPr="001352AB">
        <w:t xml:space="preserve"> </w:t>
      </w:r>
      <w:r w:rsidRPr="001352AB">
        <w:rPr>
          <w:rFonts w:ascii="Sylfaen" w:hAnsi="Sylfaen" w:cs="Sylfaen"/>
        </w:rPr>
        <w:t>დაბინძურება</w:t>
      </w:r>
      <w:r w:rsidRPr="001352AB">
        <w:t xml:space="preserve">, </w:t>
      </w:r>
      <w:r w:rsidRPr="001352AB">
        <w:rPr>
          <w:rFonts w:ascii="Sylfaen" w:hAnsi="Sylfaen" w:cs="Sylfaen"/>
        </w:rPr>
        <w:t>გზის</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მოწყობის</w:t>
      </w:r>
      <w:r w:rsidRPr="001352AB">
        <w:t xml:space="preserve"> </w:t>
      </w:r>
      <w:r w:rsidRPr="001352AB">
        <w:rPr>
          <w:rFonts w:ascii="Sylfaen" w:hAnsi="Sylfaen" w:cs="Sylfaen"/>
        </w:rPr>
        <w:t>სამუშაოები</w:t>
      </w:r>
      <w:r w:rsidRPr="001352AB">
        <w:t xml:space="preserve"> </w:t>
      </w:r>
      <w:r w:rsidRPr="001352AB">
        <w:rPr>
          <w:rFonts w:ascii="Sylfaen" w:hAnsi="Sylfaen" w:cs="Sylfaen"/>
        </w:rPr>
        <w:t>მოხდება</w:t>
      </w:r>
      <w:r w:rsidRPr="001352AB">
        <w:t xml:space="preserve">  </w:t>
      </w:r>
      <w:r w:rsidRPr="001352AB">
        <w:rPr>
          <w:rFonts w:ascii="Sylfaen" w:hAnsi="Sylfaen" w:cs="Sylfaen"/>
        </w:rPr>
        <w:t>მხოლოდ</w:t>
      </w:r>
      <w:r w:rsidRPr="001352AB">
        <w:t xml:space="preserve"> </w:t>
      </w:r>
      <w:r w:rsidRPr="001352AB">
        <w:rPr>
          <w:rFonts w:ascii="Sylfaen" w:hAnsi="Sylfaen" w:cs="Sylfaen"/>
        </w:rPr>
        <w:t>მშრალ</w:t>
      </w:r>
      <w:r w:rsidRPr="001352AB">
        <w:t xml:space="preserve"> </w:t>
      </w:r>
      <w:r w:rsidRPr="001352AB">
        <w:rPr>
          <w:rFonts w:ascii="Sylfaen" w:hAnsi="Sylfaen" w:cs="Sylfaen"/>
        </w:rPr>
        <w:t>ამინდში</w:t>
      </w:r>
      <w:r w:rsidRPr="001352AB">
        <w:t>;</w:t>
      </w:r>
    </w:p>
    <w:p w14:paraId="3E793F4B" w14:textId="77777777" w:rsidR="00CD64B5" w:rsidRPr="001352AB" w:rsidRDefault="00CD64B5" w:rsidP="00CD64B5">
      <w:pPr>
        <w:spacing w:before="120" w:after="120"/>
        <w:rPr>
          <w:lang w:eastAsia="en-US"/>
        </w:rPr>
      </w:pPr>
      <w:r w:rsidRPr="001352AB">
        <w:rPr>
          <w:rFonts w:ascii="Sylfaen" w:hAnsi="Sylfaen" w:cs="Sylfaen"/>
        </w:rPr>
        <w:t>მიწის</w:t>
      </w:r>
      <w:r w:rsidRPr="001352AB">
        <w:t xml:space="preserve"> </w:t>
      </w:r>
      <w:r w:rsidRPr="001352AB">
        <w:rPr>
          <w:rFonts w:ascii="Sylfaen" w:hAnsi="Sylfaen" w:cs="Sylfaen"/>
        </w:rPr>
        <w:t>სამუშაოების</w:t>
      </w:r>
      <w:r w:rsidRPr="001352AB">
        <w:t xml:space="preserve"> </w:t>
      </w:r>
      <w:r w:rsidRPr="001352AB">
        <w:rPr>
          <w:rFonts w:ascii="Sylfaen" w:hAnsi="Sylfaen" w:cs="Sylfaen"/>
        </w:rPr>
        <w:t>უბნებზე</w:t>
      </w:r>
      <w:r w:rsidRPr="001352AB">
        <w:t xml:space="preserve"> </w:t>
      </w:r>
      <w:r w:rsidRPr="001352AB">
        <w:rPr>
          <w:rFonts w:ascii="Sylfaen" w:hAnsi="Sylfaen" w:cs="Sylfaen"/>
        </w:rPr>
        <w:t>განოყენებული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სედიმენტების</w:t>
      </w:r>
      <w:r w:rsidRPr="001352AB">
        <w:t xml:space="preserve"> </w:t>
      </w:r>
      <w:r w:rsidRPr="001352AB">
        <w:rPr>
          <w:rFonts w:ascii="Sylfaen" w:hAnsi="Sylfaen" w:cs="Sylfaen"/>
        </w:rPr>
        <w:t>კონტროლის</w:t>
      </w:r>
      <w:r w:rsidRPr="001352AB">
        <w:t xml:space="preserve"> </w:t>
      </w:r>
      <w:r w:rsidRPr="001352AB">
        <w:rPr>
          <w:rFonts w:ascii="Sylfaen" w:hAnsi="Sylfaen" w:cs="Sylfaen"/>
        </w:rPr>
        <w:t>საშუალებები</w:t>
      </w:r>
      <w:r w:rsidRPr="001352AB">
        <w:t xml:space="preserve"> (</w:t>
      </w:r>
      <w:r w:rsidRPr="001352AB">
        <w:rPr>
          <w:rFonts w:ascii="Sylfaen" w:hAnsi="Sylfaen" w:cs="Sylfaen"/>
        </w:rPr>
        <w:t>მაგ</w:t>
      </w:r>
      <w:r w:rsidRPr="001352AB">
        <w:t xml:space="preserve">. </w:t>
      </w:r>
      <w:r w:rsidRPr="001352AB">
        <w:rPr>
          <w:rFonts w:ascii="Sylfaen" w:hAnsi="Sylfaen" w:cs="Sylfaen"/>
        </w:rPr>
        <w:t>თივის</w:t>
      </w:r>
      <w:r w:rsidRPr="001352AB">
        <w:t xml:space="preserve"> </w:t>
      </w:r>
      <w:r w:rsidRPr="001352AB">
        <w:rPr>
          <w:rFonts w:ascii="Sylfaen" w:hAnsi="Sylfaen" w:cs="Sylfaen"/>
        </w:rPr>
        <w:t>ბარიერები</w:t>
      </w:r>
      <w:r w:rsidRPr="001352AB">
        <w:t xml:space="preserve">. </w:t>
      </w:r>
      <w:r w:rsidRPr="001352AB">
        <w:rPr>
          <w:rFonts w:ascii="Sylfaen" w:hAnsi="Sylfaen" w:cs="Sylfaen"/>
        </w:rPr>
        <w:t>ხრეშიანი</w:t>
      </w:r>
      <w:r w:rsidRPr="001352AB">
        <w:t xml:space="preserve"> </w:t>
      </w:r>
      <w:r w:rsidRPr="001352AB">
        <w:rPr>
          <w:rFonts w:ascii="Sylfaen" w:hAnsi="Sylfaen" w:cs="Sylfaen"/>
        </w:rPr>
        <w:t>ტომრები</w:t>
      </w:r>
      <w:r w:rsidRPr="001352AB">
        <w:t xml:space="preserve">). </w:t>
      </w:r>
      <w:r w:rsidRPr="001352AB">
        <w:rPr>
          <w:rFonts w:ascii="Sylfaen" w:hAnsi="Sylfaen" w:cs="Sylfaen"/>
        </w:rPr>
        <w:t>ღია</w:t>
      </w:r>
      <w:r w:rsidRPr="001352AB">
        <w:t xml:space="preserve"> </w:t>
      </w:r>
      <w:r w:rsidRPr="001352AB">
        <w:rPr>
          <w:rFonts w:ascii="Sylfaen" w:hAnsi="Sylfaen" w:cs="Sylfaen"/>
        </w:rPr>
        <w:t>გრუნტი</w:t>
      </w:r>
      <w:r w:rsidRPr="001352AB">
        <w:t xml:space="preserve"> </w:t>
      </w: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წარეცხვისგან</w:t>
      </w:r>
      <w:r w:rsidRPr="001352AB">
        <w:t xml:space="preserve">. </w:t>
      </w:r>
      <w:r w:rsidRPr="001352AB">
        <w:rPr>
          <w:rFonts w:ascii="Sylfaen" w:hAnsi="Sylfaen" w:cs="Sylfaen"/>
        </w:rPr>
        <w:t>ნაყარი</w:t>
      </w:r>
      <w:r w:rsidRPr="001352AB">
        <w:t xml:space="preserve"> </w:t>
      </w:r>
      <w:r w:rsidRPr="001352AB">
        <w:rPr>
          <w:rFonts w:ascii="Sylfaen" w:hAnsi="Sylfaen" w:cs="Sylfaen"/>
        </w:rPr>
        <w:t>მიწის</w:t>
      </w:r>
      <w:r w:rsidRPr="001352AB">
        <w:t xml:space="preserve"> </w:t>
      </w:r>
      <w:r w:rsidRPr="001352AB">
        <w:rPr>
          <w:rFonts w:ascii="Sylfaen" w:hAnsi="Sylfaen" w:cs="Sylfaen"/>
        </w:rPr>
        <w:t>დასაცავად</w:t>
      </w:r>
      <w:r w:rsidRPr="001352AB">
        <w:t xml:space="preserve"> </w:t>
      </w:r>
      <w:r w:rsidRPr="001352AB">
        <w:rPr>
          <w:rFonts w:ascii="Sylfaen" w:hAnsi="Sylfaen" w:cs="Sylfaen"/>
        </w:rPr>
        <w:t>გამოყენებულ</w:t>
      </w:r>
      <w:r w:rsidRPr="001352AB">
        <w:t xml:space="preserve"> </w:t>
      </w:r>
      <w:r w:rsidRPr="001352AB">
        <w:rPr>
          <w:rFonts w:ascii="Sylfaen" w:hAnsi="Sylfaen" w:cs="Sylfaen"/>
        </w:rPr>
        <w:t>უნდა</w:t>
      </w:r>
      <w:r w:rsidRPr="001352AB">
        <w:t xml:space="preserve"> </w:t>
      </w:r>
      <w:r w:rsidRPr="001352AB">
        <w:rPr>
          <w:rFonts w:ascii="Sylfaen" w:hAnsi="Sylfaen" w:cs="Sylfaen"/>
        </w:rPr>
        <w:t>იქნას</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სტაბილიზაციის</w:t>
      </w:r>
      <w:r w:rsidRPr="001352AB">
        <w:t xml:space="preserve"> </w:t>
      </w:r>
      <w:r w:rsidRPr="001352AB">
        <w:rPr>
          <w:rFonts w:ascii="Sylfaen" w:hAnsi="Sylfaen" w:cs="Sylfaen"/>
        </w:rPr>
        <w:t>საუკეთესო</w:t>
      </w:r>
      <w:r w:rsidRPr="001352AB">
        <w:t xml:space="preserve"> </w:t>
      </w:r>
      <w:r w:rsidRPr="001352AB">
        <w:rPr>
          <w:rFonts w:ascii="Sylfaen" w:hAnsi="Sylfaen" w:cs="Sylfaen"/>
        </w:rPr>
        <w:t>პრაქტიკა</w:t>
      </w:r>
      <w:r w:rsidRPr="001352AB">
        <w:t xml:space="preserve">, </w:t>
      </w:r>
      <w:r w:rsidRPr="001352AB">
        <w:rPr>
          <w:rFonts w:ascii="Sylfaen" w:hAnsi="Sylfaen" w:cs="Sylfaen"/>
        </w:rPr>
        <w:t>როგორიცაა</w:t>
      </w:r>
      <w:r w:rsidRPr="001352AB">
        <w:t xml:space="preserve"> </w:t>
      </w:r>
      <w:r w:rsidRPr="001352AB">
        <w:rPr>
          <w:rFonts w:ascii="Sylfaen" w:hAnsi="Sylfaen" w:cs="Sylfaen"/>
        </w:rPr>
        <w:t>მულჩი</w:t>
      </w:r>
      <w:r w:rsidRPr="001352AB">
        <w:t xml:space="preserve">, </w:t>
      </w:r>
      <w:r w:rsidRPr="001352AB">
        <w:rPr>
          <w:rFonts w:ascii="Sylfaen" w:hAnsi="Sylfaen" w:cs="Sylfaen"/>
        </w:rPr>
        <w:t>მიწის</w:t>
      </w:r>
      <w:r w:rsidRPr="001352AB">
        <w:t xml:space="preserve"> </w:t>
      </w:r>
      <w:r w:rsidRPr="001352AB">
        <w:rPr>
          <w:rFonts w:ascii="Sylfaen" w:hAnsi="Sylfaen" w:cs="Sylfaen"/>
        </w:rPr>
        <w:t>კულტივატორები</w:t>
      </w:r>
      <w:r w:rsidRPr="001352AB">
        <w:t xml:space="preserve">, </w:t>
      </w:r>
      <w:r w:rsidRPr="001352AB">
        <w:rPr>
          <w:rFonts w:ascii="Sylfaen" w:hAnsi="Sylfaen" w:cs="Sylfaen"/>
        </w:rPr>
        <w:t>პოლიმერული</w:t>
      </w:r>
      <w:r w:rsidRPr="001352AB">
        <w:t xml:space="preserve"> </w:t>
      </w:r>
      <w:r w:rsidRPr="001352AB">
        <w:rPr>
          <w:rFonts w:ascii="Sylfaen" w:hAnsi="Sylfaen" w:cs="Sylfaen"/>
        </w:rPr>
        <w:t>ან</w:t>
      </w:r>
      <w:r w:rsidRPr="001352AB">
        <w:t xml:space="preserve"> </w:t>
      </w:r>
      <w:r w:rsidRPr="001352AB">
        <w:rPr>
          <w:rFonts w:ascii="Sylfaen" w:hAnsi="Sylfaen" w:cs="Sylfaen"/>
        </w:rPr>
        <w:t>ეროზიის</w:t>
      </w:r>
      <w:r w:rsidRPr="001352AB">
        <w:t xml:space="preserve"> </w:t>
      </w:r>
      <w:r w:rsidRPr="001352AB">
        <w:rPr>
          <w:rFonts w:ascii="Sylfaen" w:hAnsi="Sylfaen" w:cs="Sylfaen"/>
        </w:rPr>
        <w:t>საწინააღმდეგო</w:t>
      </w:r>
      <w:r w:rsidRPr="001352AB">
        <w:t xml:space="preserve"> </w:t>
      </w:r>
      <w:r w:rsidRPr="001352AB">
        <w:rPr>
          <w:rFonts w:ascii="Sylfaen" w:hAnsi="Sylfaen" w:cs="Sylfaen"/>
        </w:rPr>
        <w:t>საფარი</w:t>
      </w:r>
      <w:r w:rsidRPr="001352AB">
        <w:t>;</w:t>
      </w:r>
    </w:p>
    <w:p w14:paraId="4C7DFD28" w14:textId="77777777" w:rsidR="00CD64B5" w:rsidRPr="001352AB" w:rsidRDefault="00CD64B5" w:rsidP="00CD64B5">
      <w:pPr>
        <w:spacing w:before="120" w:after="120"/>
      </w:pPr>
      <w:r w:rsidRPr="001352AB">
        <w:rPr>
          <w:rFonts w:ascii="Sylfaen" w:hAnsi="Sylfaen" w:cs="Sylfaen"/>
        </w:rPr>
        <w:t>კონტრაქტორის</w:t>
      </w:r>
      <w:r w:rsidRPr="001352AB">
        <w:t xml:space="preserve"> </w:t>
      </w:r>
      <w:r w:rsidRPr="001352AB">
        <w:rPr>
          <w:rFonts w:ascii="Sylfaen" w:hAnsi="Sylfaen" w:cs="Sylfaen"/>
        </w:rPr>
        <w:t>პერსონალს</w:t>
      </w:r>
      <w:r w:rsidRPr="001352AB">
        <w:t xml:space="preserve"> </w:t>
      </w:r>
      <w:r w:rsidRPr="001352AB">
        <w:rPr>
          <w:rFonts w:ascii="Sylfaen" w:hAnsi="Sylfaen" w:cs="Sylfaen"/>
        </w:rPr>
        <w:t>ჩაუტარდება</w:t>
      </w:r>
      <w:r w:rsidRPr="001352AB">
        <w:t xml:space="preserve"> </w:t>
      </w:r>
      <w:r w:rsidRPr="001352AB">
        <w:rPr>
          <w:rFonts w:ascii="Sylfaen" w:hAnsi="Sylfaen" w:cs="Sylfaen"/>
        </w:rPr>
        <w:t>ტრეინინგი</w:t>
      </w:r>
      <w:r w:rsidRPr="001352AB">
        <w:t xml:space="preserve"> </w:t>
      </w:r>
      <w:r w:rsidRPr="001352AB">
        <w:rPr>
          <w:rFonts w:ascii="Sylfaen" w:hAnsi="Sylfaen" w:cs="Sylfaen"/>
        </w:rPr>
        <w:t>გარემოსდაცვით</w:t>
      </w:r>
      <w:r w:rsidRPr="001352AB">
        <w:t xml:space="preserve"> </w:t>
      </w:r>
      <w:r w:rsidRPr="001352AB">
        <w:rPr>
          <w:rFonts w:ascii="Sylfaen" w:hAnsi="Sylfaen" w:cs="Sylfaen"/>
        </w:rPr>
        <w:t>და</w:t>
      </w:r>
      <w:r w:rsidRPr="001352AB">
        <w:t xml:space="preserve"> </w:t>
      </w:r>
      <w:r w:rsidRPr="001352AB">
        <w:rPr>
          <w:rFonts w:ascii="Sylfaen" w:hAnsi="Sylfaen" w:cs="Sylfaen"/>
        </w:rPr>
        <w:t>უსაფრთხოების</w:t>
      </w:r>
      <w:r w:rsidRPr="001352AB">
        <w:t xml:space="preserve"> </w:t>
      </w:r>
      <w:r w:rsidRPr="001352AB">
        <w:rPr>
          <w:rFonts w:ascii="Sylfaen" w:hAnsi="Sylfaen" w:cs="Sylfaen"/>
        </w:rPr>
        <w:t>საკითხებზე</w:t>
      </w:r>
      <w:r w:rsidRPr="001352AB">
        <w:t>.</w:t>
      </w:r>
    </w:p>
    <w:p w14:paraId="14111BAB" w14:textId="77777777" w:rsidR="00CD64B5" w:rsidRPr="001352AB" w:rsidRDefault="00CD64B5" w:rsidP="00CD64B5">
      <w:pPr>
        <w:spacing w:before="120" w:after="120"/>
        <w:rPr>
          <w:lang w:eastAsia="da-DK"/>
        </w:rPr>
      </w:pP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შესრულების</w:t>
      </w:r>
      <w:r w:rsidRPr="001352AB">
        <w:t xml:space="preserve"> </w:t>
      </w:r>
      <w:r w:rsidRPr="001352AB">
        <w:rPr>
          <w:rFonts w:ascii="Sylfaen" w:hAnsi="Sylfaen" w:cs="Sylfaen"/>
        </w:rPr>
        <w:t>უზრუნველყოფა</w:t>
      </w:r>
      <w:r w:rsidRPr="001352AB">
        <w:t xml:space="preserve"> </w:t>
      </w:r>
      <w:r w:rsidRPr="001352AB">
        <w:rPr>
          <w:rFonts w:ascii="Sylfaen" w:hAnsi="Sylfaen" w:cs="Sylfaen"/>
        </w:rPr>
        <w:t>საავტომობილო</w:t>
      </w:r>
      <w:r w:rsidRPr="001352AB">
        <w:t xml:space="preserve"> </w:t>
      </w:r>
      <w:r w:rsidRPr="001352AB">
        <w:rPr>
          <w:rFonts w:ascii="Sylfaen" w:hAnsi="Sylfaen" w:cs="Sylfaen"/>
        </w:rPr>
        <w:t>გზების</w:t>
      </w:r>
      <w:r w:rsidRPr="001352AB">
        <w:t xml:space="preserve"> </w:t>
      </w:r>
      <w:r w:rsidRPr="001352AB">
        <w:rPr>
          <w:rFonts w:ascii="Sylfaen" w:hAnsi="Sylfaen" w:cs="Sylfaen"/>
        </w:rPr>
        <w:t>დეპარტამენტის</w:t>
      </w:r>
      <w:r w:rsidRPr="001352AB">
        <w:t xml:space="preserve"> </w:t>
      </w:r>
      <w:r w:rsidRPr="001352AB">
        <w:rPr>
          <w:rFonts w:ascii="Sylfaen" w:hAnsi="Sylfaen" w:cs="Sylfaen"/>
        </w:rPr>
        <w:t>პასუხისმგებლობას</w:t>
      </w:r>
      <w:r w:rsidRPr="001352AB">
        <w:t xml:space="preserve"> </w:t>
      </w:r>
      <w:r w:rsidRPr="001352AB">
        <w:rPr>
          <w:rFonts w:ascii="Sylfaen" w:hAnsi="Sylfaen" w:cs="Sylfaen"/>
        </w:rPr>
        <w:t>წარმოადგენს</w:t>
      </w:r>
      <w:r w:rsidRPr="001352AB">
        <w:t xml:space="preserve">.    </w:t>
      </w:r>
    </w:p>
    <w:p w14:paraId="6F5F2657" w14:textId="77777777" w:rsidR="00CD64B5" w:rsidRPr="001352AB" w:rsidRDefault="00CD64B5" w:rsidP="00CD64B5"/>
    <w:p w14:paraId="304ED2CA" w14:textId="77777777" w:rsidR="00CD64B5" w:rsidRPr="001352AB" w:rsidRDefault="00CD64B5" w:rsidP="000E38C6">
      <w:pPr>
        <w:pStyle w:val="Heading3"/>
        <w:spacing w:before="120" w:after="120"/>
        <w:rPr>
          <w:rFonts w:eastAsia="Calibri"/>
        </w:rPr>
      </w:pPr>
      <w:bookmarkStart w:id="357" w:name="_Toc529977405"/>
      <w:bookmarkStart w:id="358" w:name="_Toc495314390"/>
      <w:bookmarkStart w:id="359" w:name="_Toc479166522"/>
      <w:bookmarkStart w:id="360" w:name="_Toc479164792"/>
      <w:bookmarkStart w:id="361" w:name="_Toc1581568"/>
      <w:r w:rsidRPr="001352AB">
        <w:t xml:space="preserve">7.4.2 </w:t>
      </w:r>
      <w:r w:rsidRPr="001352AB">
        <w:rPr>
          <w:rFonts w:ascii="Sylfaen" w:hAnsi="Sylfaen" w:cs="Sylfaen"/>
        </w:rPr>
        <w:t>ცვლილება</w:t>
      </w:r>
      <w:r w:rsidRPr="001352AB">
        <w:t xml:space="preserve"> </w:t>
      </w:r>
      <w:r w:rsidRPr="001352AB">
        <w:rPr>
          <w:rFonts w:ascii="Sylfaen" w:hAnsi="Sylfaen" w:cs="Sylfaen"/>
        </w:rPr>
        <w:t>და</w:t>
      </w:r>
      <w:r w:rsidRPr="001352AB">
        <w:t xml:space="preserve"> </w:t>
      </w:r>
      <w:r w:rsidRPr="001352AB">
        <w:rPr>
          <w:rFonts w:ascii="Sylfaen" w:hAnsi="Sylfaen" w:cs="Sylfaen"/>
        </w:rPr>
        <w:t>დაბინძურების</w:t>
      </w:r>
      <w:r w:rsidRPr="001352AB">
        <w:t xml:space="preserve"> </w:t>
      </w:r>
      <w:r w:rsidRPr="001352AB">
        <w:rPr>
          <w:rFonts w:ascii="Sylfaen" w:hAnsi="Sylfaen" w:cs="Sylfaen"/>
        </w:rPr>
        <w:t>რისკები</w:t>
      </w:r>
      <w:r w:rsidRPr="001352AB">
        <w:t xml:space="preserve"> </w:t>
      </w:r>
      <w:r w:rsidRPr="001352AB">
        <w:rPr>
          <w:rFonts w:ascii="Sylfaen" w:hAnsi="Sylfaen" w:cs="Sylfaen"/>
        </w:rPr>
        <w:t>ექსპლუატაციის</w:t>
      </w:r>
      <w:r w:rsidRPr="001352AB">
        <w:t xml:space="preserve"> </w:t>
      </w:r>
      <w:r w:rsidRPr="001352AB">
        <w:rPr>
          <w:rFonts w:ascii="Sylfaen" w:hAnsi="Sylfaen" w:cs="Sylfaen"/>
        </w:rPr>
        <w:t>ეტაპზე</w:t>
      </w:r>
      <w:bookmarkEnd w:id="357"/>
      <w:bookmarkEnd w:id="358"/>
      <w:bookmarkEnd w:id="359"/>
      <w:bookmarkEnd w:id="360"/>
      <w:bookmarkEnd w:id="361"/>
    </w:p>
    <w:p w14:paraId="5AF95A89" w14:textId="77777777" w:rsidR="00CD64B5" w:rsidRPr="001352AB" w:rsidRDefault="00CD64B5" w:rsidP="000E38C6">
      <w:pPr>
        <w:spacing w:before="120" w:after="120"/>
        <w:rPr>
          <w:lang w:val="ka-GE" w:eastAsia="en-US"/>
        </w:rPr>
      </w:pPr>
      <w:r w:rsidRPr="001352AB">
        <w:rPr>
          <w:rFonts w:ascii="Sylfaen" w:hAnsi="Sylfaen" w:cs="Sylfaen"/>
        </w:rPr>
        <w:t>ზედაპირული</w:t>
      </w:r>
      <w:r w:rsidRPr="001352AB">
        <w:t xml:space="preserve"> </w:t>
      </w:r>
      <w:r w:rsidRPr="001352AB">
        <w:rPr>
          <w:rFonts w:ascii="Sylfaen" w:hAnsi="Sylfaen" w:cs="Sylfaen"/>
        </w:rPr>
        <w:t>და</w:t>
      </w:r>
      <w:r w:rsidRPr="001352AB">
        <w:t xml:space="preserve"> </w:t>
      </w:r>
      <w:r w:rsidRPr="001352AB">
        <w:rPr>
          <w:rFonts w:ascii="Sylfaen" w:hAnsi="Sylfaen" w:cs="Sylfaen"/>
        </w:rPr>
        <w:t>გრუნტის</w:t>
      </w:r>
      <w:r w:rsidRPr="001352AB">
        <w:t xml:space="preserve"> </w:t>
      </w:r>
      <w:r w:rsidRPr="001352AB">
        <w:rPr>
          <w:rFonts w:ascii="Sylfaen" w:hAnsi="Sylfaen" w:cs="Sylfaen"/>
        </w:rPr>
        <w:t>წყალზე</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გზის</w:t>
      </w:r>
      <w:r w:rsidRPr="001352AB">
        <w:t xml:space="preserve"> </w:t>
      </w:r>
      <w:r w:rsidRPr="001352AB">
        <w:rPr>
          <w:rFonts w:ascii="Sylfaen" w:hAnsi="Sylfaen" w:cs="Sylfaen"/>
        </w:rPr>
        <w:t>ექსპლუატაციის</w:t>
      </w:r>
      <w:r w:rsidRPr="001352AB">
        <w:t>/</w:t>
      </w:r>
      <w:r w:rsidRPr="001352AB">
        <w:rPr>
          <w:rFonts w:ascii="Sylfaen" w:hAnsi="Sylfaen" w:cs="Sylfaen"/>
        </w:rPr>
        <w:t>ტექმომსახურების</w:t>
      </w:r>
      <w:r w:rsidRPr="001352AB">
        <w:t xml:space="preserve"> </w:t>
      </w:r>
      <w:r w:rsidRPr="001352AB">
        <w:rPr>
          <w:rFonts w:ascii="Sylfaen" w:hAnsi="Sylfaen" w:cs="Sylfaen"/>
        </w:rPr>
        <w:t>ფაზაზე</w:t>
      </w:r>
      <w:r w:rsidRPr="001352AB">
        <w:t xml:space="preserve"> </w:t>
      </w:r>
      <w:r w:rsidRPr="001352AB">
        <w:rPr>
          <w:rFonts w:ascii="Sylfaen" w:hAnsi="Sylfaen" w:cs="Sylfaen"/>
        </w:rPr>
        <w:t>შესაძლებელია</w:t>
      </w:r>
      <w:r w:rsidRPr="001352AB">
        <w:t xml:space="preserve"> </w:t>
      </w:r>
      <w:r w:rsidRPr="001352AB">
        <w:rPr>
          <w:rFonts w:ascii="Sylfaen" w:hAnsi="Sylfaen" w:cs="Sylfaen"/>
        </w:rPr>
        <w:t>მოხდეს</w:t>
      </w:r>
      <w:r w:rsidRPr="001352AB">
        <w:t xml:space="preserve"> </w:t>
      </w:r>
    </w:p>
    <w:p w14:paraId="2B131ABA" w14:textId="77777777" w:rsidR="00CD64B5" w:rsidRPr="001352AB" w:rsidRDefault="00CD64B5" w:rsidP="000E38C6">
      <w:pPr>
        <w:spacing w:before="120" w:after="120"/>
      </w:pPr>
      <w:r w:rsidRPr="001352AB">
        <w:rPr>
          <w:rFonts w:ascii="Sylfaen" w:hAnsi="Sylfaen" w:cs="Sylfaen"/>
        </w:rPr>
        <w:t>გზის</w:t>
      </w:r>
      <w:r w:rsidRPr="001352AB">
        <w:t xml:space="preserve"> </w:t>
      </w:r>
      <w:r w:rsidRPr="001352AB">
        <w:rPr>
          <w:rFonts w:ascii="Sylfaen" w:hAnsi="Sylfaen" w:cs="Sylfaen"/>
        </w:rPr>
        <w:t>მიმდინარე</w:t>
      </w:r>
      <w:r w:rsidRPr="001352AB">
        <w:t xml:space="preserve"> </w:t>
      </w:r>
      <w:r w:rsidRPr="001352AB">
        <w:rPr>
          <w:rFonts w:ascii="Sylfaen" w:hAnsi="Sylfaen" w:cs="Sylfaen"/>
        </w:rPr>
        <w:t>რემონტის</w:t>
      </w:r>
      <w:r w:rsidRPr="001352AB">
        <w:t xml:space="preserve"> </w:t>
      </w:r>
      <w:r w:rsidRPr="001352AB">
        <w:rPr>
          <w:rFonts w:ascii="Sylfaen" w:hAnsi="Sylfaen" w:cs="Sylfaen"/>
        </w:rPr>
        <w:t>დროს</w:t>
      </w:r>
      <w:r w:rsidRPr="001352AB">
        <w:t xml:space="preserve"> </w:t>
      </w:r>
      <w:r w:rsidRPr="001352AB">
        <w:rPr>
          <w:rFonts w:ascii="Sylfaen" w:hAnsi="Sylfaen" w:cs="Sylfaen"/>
        </w:rPr>
        <w:t>საწვავ</w:t>
      </w:r>
      <w:r w:rsidRPr="001352AB">
        <w:t>-</w:t>
      </w:r>
      <w:r w:rsidRPr="001352AB">
        <w:rPr>
          <w:rFonts w:ascii="Sylfaen" w:hAnsi="Sylfaen" w:cs="Sylfaen"/>
        </w:rPr>
        <w:t>საპოხი</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მდინარეში</w:t>
      </w:r>
      <w:r w:rsidRPr="001352AB">
        <w:t xml:space="preserve"> </w:t>
      </w:r>
      <w:r w:rsidRPr="001352AB">
        <w:rPr>
          <w:rFonts w:ascii="Sylfaen" w:hAnsi="Sylfaen" w:cs="Sylfaen"/>
        </w:rPr>
        <w:t>მოხვედრისას</w:t>
      </w:r>
      <w:r w:rsidRPr="001352AB">
        <w:t xml:space="preserve">; </w:t>
      </w:r>
    </w:p>
    <w:p w14:paraId="16F52D10" w14:textId="77777777" w:rsidR="00CD64B5" w:rsidRPr="001352AB" w:rsidRDefault="00CD64B5" w:rsidP="000E38C6">
      <w:pPr>
        <w:spacing w:before="120" w:after="120"/>
      </w:pPr>
      <w:r w:rsidRPr="001352AB">
        <w:rPr>
          <w:rFonts w:ascii="Sylfaen" w:hAnsi="Sylfaen" w:cs="Sylfaen"/>
        </w:rPr>
        <w:t>საგზაო</w:t>
      </w:r>
      <w:r w:rsidRPr="001352AB">
        <w:t xml:space="preserve"> </w:t>
      </w:r>
      <w:r w:rsidRPr="001352AB">
        <w:rPr>
          <w:rFonts w:ascii="Sylfaen" w:hAnsi="Sylfaen" w:cs="Sylfaen"/>
        </w:rPr>
        <w:t>ავარიის</w:t>
      </w:r>
      <w:r w:rsidRPr="001352AB">
        <w:t xml:space="preserve"> </w:t>
      </w:r>
      <w:r w:rsidRPr="001352AB">
        <w:rPr>
          <w:rFonts w:ascii="Sylfaen" w:hAnsi="Sylfaen" w:cs="Sylfaen"/>
        </w:rPr>
        <w:t>შედეგად</w:t>
      </w:r>
      <w:r w:rsidRPr="001352AB">
        <w:t xml:space="preserve"> (</w:t>
      </w:r>
      <w:r w:rsidRPr="001352AB">
        <w:rPr>
          <w:rFonts w:ascii="Sylfaen" w:hAnsi="Sylfaen" w:cs="Sylfaen"/>
        </w:rPr>
        <w:t>იგულისხმება</w:t>
      </w:r>
      <w:r w:rsidRPr="001352AB">
        <w:t xml:space="preserve"> </w:t>
      </w:r>
      <w:r w:rsidRPr="001352AB">
        <w:rPr>
          <w:rFonts w:ascii="Sylfaen" w:hAnsi="Sylfaen" w:cs="Sylfaen"/>
        </w:rPr>
        <w:t>ავარიის</w:t>
      </w:r>
      <w:r w:rsidRPr="001352AB">
        <w:t xml:space="preserve"> </w:t>
      </w:r>
      <w:r w:rsidRPr="001352AB">
        <w:rPr>
          <w:rFonts w:ascii="Sylfaen" w:hAnsi="Sylfaen" w:cs="Sylfaen"/>
        </w:rPr>
        <w:t>შემთხვევაში</w:t>
      </w:r>
      <w:r w:rsidRPr="001352AB">
        <w:t xml:space="preserve"> </w:t>
      </w:r>
      <w:r w:rsidRPr="001352AB">
        <w:rPr>
          <w:rFonts w:ascii="Sylfaen" w:hAnsi="Sylfaen" w:cs="Sylfaen"/>
        </w:rPr>
        <w:t>ქიმიური</w:t>
      </w:r>
      <w:r w:rsidRPr="001352AB">
        <w:t xml:space="preserve"> </w:t>
      </w:r>
      <w:r w:rsidRPr="001352AB">
        <w:rPr>
          <w:rFonts w:ascii="Sylfaen" w:hAnsi="Sylfaen" w:cs="Sylfaen"/>
        </w:rPr>
        <w:t>ნივთიერებების</w:t>
      </w:r>
      <w:r w:rsidRPr="001352AB">
        <w:t xml:space="preserve"> </w:t>
      </w:r>
      <w:r w:rsidRPr="001352AB">
        <w:rPr>
          <w:rFonts w:ascii="Sylfaen" w:hAnsi="Sylfaen" w:cs="Sylfaen"/>
        </w:rPr>
        <w:t>ან</w:t>
      </w:r>
      <w:r w:rsidRPr="001352AB">
        <w:t xml:space="preserve"> </w:t>
      </w:r>
      <w:r w:rsidRPr="001352AB">
        <w:rPr>
          <w:rFonts w:ascii="Sylfaen" w:hAnsi="Sylfaen" w:cs="Sylfaen"/>
        </w:rPr>
        <w:t>საწვავის</w:t>
      </w:r>
      <w:r w:rsidRPr="001352AB">
        <w:t>/</w:t>
      </w:r>
      <w:r w:rsidRPr="001352AB">
        <w:rPr>
          <w:rFonts w:ascii="Sylfaen" w:hAnsi="Sylfaen" w:cs="Sylfaen"/>
        </w:rPr>
        <w:t>ზეთის</w:t>
      </w:r>
      <w:r w:rsidRPr="001352AB">
        <w:t xml:space="preserve"> </w:t>
      </w:r>
      <w:r w:rsidRPr="001352AB">
        <w:rPr>
          <w:rFonts w:ascii="Sylfaen" w:hAnsi="Sylfaen" w:cs="Sylfaen"/>
        </w:rPr>
        <w:t>დაღვრა</w:t>
      </w:r>
      <w:r w:rsidRPr="001352AB">
        <w:t xml:space="preserve">) </w:t>
      </w:r>
      <w:r w:rsidRPr="001352AB">
        <w:rPr>
          <w:rFonts w:ascii="Sylfaen" w:hAnsi="Sylfaen" w:cs="Sylfaen"/>
        </w:rPr>
        <w:t>დამაბინძურებლის</w:t>
      </w:r>
      <w:r w:rsidRPr="001352AB">
        <w:t xml:space="preserve"> </w:t>
      </w:r>
      <w:r w:rsidRPr="001352AB">
        <w:rPr>
          <w:rFonts w:ascii="Sylfaen" w:hAnsi="Sylfaen" w:cs="Sylfaen"/>
        </w:rPr>
        <w:t>მდინარეში</w:t>
      </w:r>
      <w:r w:rsidRPr="001352AB">
        <w:t xml:space="preserve"> </w:t>
      </w:r>
      <w:r w:rsidRPr="001352AB">
        <w:rPr>
          <w:rFonts w:ascii="Sylfaen" w:hAnsi="Sylfaen" w:cs="Sylfaen"/>
        </w:rPr>
        <w:t>ჩაღვრის</w:t>
      </w:r>
      <w:r w:rsidRPr="001352AB">
        <w:t xml:space="preserve"> </w:t>
      </w:r>
      <w:r w:rsidRPr="001352AB">
        <w:rPr>
          <w:rFonts w:ascii="Sylfaen" w:hAnsi="Sylfaen" w:cs="Sylfaen"/>
        </w:rPr>
        <w:t>შემთხვევაში</w:t>
      </w:r>
      <w:r w:rsidRPr="001352AB">
        <w:t>;</w:t>
      </w:r>
    </w:p>
    <w:p w14:paraId="56CE69F8" w14:textId="77777777" w:rsidR="00CD64B5" w:rsidRPr="001352AB" w:rsidRDefault="00CD64B5" w:rsidP="000E38C6">
      <w:pPr>
        <w:spacing w:before="120" w:after="120"/>
      </w:pPr>
      <w:r w:rsidRPr="001352AB">
        <w:rPr>
          <w:rFonts w:ascii="Sylfaen" w:hAnsi="Sylfaen" w:cs="Sylfaen"/>
        </w:rPr>
        <w:t>მძიმე</w:t>
      </w:r>
      <w:r w:rsidRPr="001352AB">
        <w:t xml:space="preserve"> </w:t>
      </w:r>
      <w:r w:rsidRPr="001352AB">
        <w:rPr>
          <w:rFonts w:ascii="Sylfaen" w:hAnsi="Sylfaen" w:cs="Sylfaen"/>
        </w:rPr>
        <w:t>მეტალებით</w:t>
      </w:r>
      <w:r w:rsidRPr="001352AB">
        <w:t xml:space="preserve">, </w:t>
      </w:r>
      <w:r w:rsidRPr="001352AB">
        <w:rPr>
          <w:rFonts w:ascii="Sylfaen" w:hAnsi="Sylfaen" w:cs="Sylfaen"/>
        </w:rPr>
        <w:t>ნავთობპროდუქტებით</w:t>
      </w:r>
      <w:r w:rsidRPr="001352AB">
        <w:t xml:space="preserve"> </w:t>
      </w:r>
      <w:r w:rsidRPr="001352AB">
        <w:rPr>
          <w:rFonts w:ascii="Sylfaen" w:hAnsi="Sylfaen" w:cs="Sylfaen"/>
        </w:rPr>
        <w:t>დაბინძურებული</w:t>
      </w:r>
      <w:r w:rsidRPr="001352AB">
        <w:t xml:space="preserve"> </w:t>
      </w:r>
      <w:r w:rsidRPr="001352AB">
        <w:rPr>
          <w:rFonts w:ascii="Sylfaen" w:hAnsi="Sylfaen" w:cs="Sylfaen"/>
        </w:rPr>
        <w:t>დაბინძურებული</w:t>
      </w:r>
      <w:r w:rsidRPr="001352AB">
        <w:t xml:space="preserve"> </w:t>
      </w:r>
      <w:r w:rsidRPr="001352AB">
        <w:rPr>
          <w:rFonts w:ascii="Sylfaen" w:hAnsi="Sylfaen" w:cs="Sylfaen"/>
        </w:rPr>
        <w:t>ზედაპირული</w:t>
      </w:r>
      <w:r w:rsidRPr="001352AB">
        <w:t xml:space="preserve"> </w:t>
      </w:r>
      <w:r w:rsidRPr="001352AB">
        <w:rPr>
          <w:rFonts w:ascii="Sylfaen" w:hAnsi="Sylfaen" w:cs="Sylfaen"/>
        </w:rPr>
        <w:t>ჩამონადენის</w:t>
      </w:r>
      <w:r w:rsidRPr="001352AB">
        <w:t xml:space="preserve"> </w:t>
      </w:r>
      <w:r w:rsidRPr="001352AB">
        <w:rPr>
          <w:rFonts w:ascii="Sylfaen" w:hAnsi="Sylfaen" w:cs="Sylfaen"/>
        </w:rPr>
        <w:t>მდინარეში</w:t>
      </w:r>
      <w:r w:rsidRPr="001352AB">
        <w:t xml:space="preserve"> </w:t>
      </w:r>
      <w:r w:rsidRPr="001352AB">
        <w:rPr>
          <w:rFonts w:ascii="Sylfaen" w:hAnsi="Sylfaen" w:cs="Sylfaen"/>
        </w:rPr>
        <w:t>მოხვედრისას</w:t>
      </w:r>
      <w:r w:rsidRPr="001352AB">
        <w:t xml:space="preserve">; </w:t>
      </w:r>
    </w:p>
    <w:p w14:paraId="47C440E9" w14:textId="77777777" w:rsidR="00CD64B5" w:rsidRPr="001352AB" w:rsidRDefault="00CD64B5" w:rsidP="000E38C6">
      <w:pPr>
        <w:spacing w:before="120" w:after="120"/>
      </w:pPr>
      <w:r w:rsidRPr="001352AB">
        <w:rPr>
          <w:rFonts w:ascii="Sylfaen" w:hAnsi="Sylfaen" w:cs="Sylfaen"/>
        </w:rPr>
        <w:t>არასათანადო</w:t>
      </w:r>
      <w:r w:rsidRPr="001352AB">
        <w:t xml:space="preserve"> </w:t>
      </w:r>
      <w:r w:rsidRPr="001352AB">
        <w:rPr>
          <w:rFonts w:ascii="Sylfaen" w:hAnsi="Sylfaen" w:cs="Sylfaen"/>
        </w:rPr>
        <w:t>მართვის</w:t>
      </w:r>
      <w:r w:rsidRPr="001352AB">
        <w:t xml:space="preserve"> </w:t>
      </w:r>
      <w:r w:rsidRPr="001352AB">
        <w:rPr>
          <w:rFonts w:ascii="Sylfaen" w:hAnsi="Sylfaen" w:cs="Sylfaen"/>
        </w:rPr>
        <w:t>გამო</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და</w:t>
      </w:r>
      <w:r w:rsidRPr="001352AB">
        <w:t>/</w:t>
      </w:r>
      <w:r w:rsidRPr="001352AB">
        <w:rPr>
          <w:rFonts w:ascii="Sylfaen" w:hAnsi="Sylfaen" w:cs="Sylfaen"/>
        </w:rPr>
        <w:t>ან</w:t>
      </w:r>
      <w:r w:rsidRPr="001352AB">
        <w:t xml:space="preserve"> </w:t>
      </w:r>
      <w:r w:rsidRPr="001352AB">
        <w:rPr>
          <w:rFonts w:ascii="Sylfaen" w:hAnsi="Sylfaen" w:cs="Sylfaen"/>
        </w:rPr>
        <w:t>ნარჩენი</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და</w:t>
      </w:r>
      <w:r w:rsidRPr="001352AB">
        <w:t xml:space="preserve"> </w:t>
      </w:r>
      <w:r w:rsidRPr="001352AB">
        <w:rPr>
          <w:rFonts w:ascii="Sylfaen" w:hAnsi="Sylfaen" w:cs="Sylfaen"/>
        </w:rPr>
        <w:t>ნარჩენების</w:t>
      </w:r>
      <w:r w:rsidRPr="001352AB">
        <w:t xml:space="preserve">  </w:t>
      </w:r>
      <w:r w:rsidRPr="001352AB">
        <w:rPr>
          <w:rFonts w:ascii="Sylfaen" w:hAnsi="Sylfaen" w:cs="Sylfaen"/>
        </w:rPr>
        <w:t>მდინარეში</w:t>
      </w:r>
      <w:r w:rsidRPr="001352AB">
        <w:t xml:space="preserve"> </w:t>
      </w:r>
      <w:r w:rsidRPr="001352AB">
        <w:rPr>
          <w:rFonts w:ascii="Sylfaen" w:hAnsi="Sylfaen" w:cs="Sylfaen"/>
        </w:rPr>
        <w:t>ჩაყრისას</w:t>
      </w:r>
      <w:r w:rsidRPr="001352AB">
        <w:t>;</w:t>
      </w:r>
    </w:p>
    <w:p w14:paraId="4EFB011C" w14:textId="77777777" w:rsidR="00CD64B5" w:rsidRPr="001352AB" w:rsidRDefault="00CD64B5" w:rsidP="000E38C6">
      <w:pPr>
        <w:spacing w:before="120" w:after="120"/>
      </w:pPr>
      <w:r w:rsidRPr="001352AB">
        <w:rPr>
          <w:rFonts w:ascii="Sylfaen" w:hAnsi="Sylfaen" w:cs="Sylfaen"/>
        </w:rPr>
        <w:t>გზაზე</w:t>
      </w:r>
      <w:r w:rsidRPr="001352AB">
        <w:t>/</w:t>
      </w:r>
      <w:r w:rsidRPr="001352AB">
        <w:rPr>
          <w:rFonts w:ascii="Sylfaen" w:hAnsi="Sylfaen" w:cs="Sylfaen"/>
        </w:rPr>
        <w:t>გზისპირებზე</w:t>
      </w:r>
      <w:r w:rsidRPr="001352AB">
        <w:t xml:space="preserve"> </w:t>
      </w:r>
      <w:r w:rsidRPr="001352AB">
        <w:rPr>
          <w:rFonts w:ascii="Sylfaen" w:hAnsi="Sylfaen" w:cs="Sylfaen"/>
        </w:rPr>
        <w:t>დაყრილი</w:t>
      </w:r>
      <w:r w:rsidRPr="001352AB">
        <w:t xml:space="preserve"> </w:t>
      </w:r>
      <w:r w:rsidRPr="001352AB">
        <w:rPr>
          <w:rFonts w:ascii="Sylfaen" w:hAnsi="Sylfaen" w:cs="Sylfaen"/>
        </w:rPr>
        <w:t>ნაგვის</w:t>
      </w:r>
      <w:r w:rsidRPr="001352AB">
        <w:t xml:space="preserve"> (</w:t>
      </w:r>
      <w:r w:rsidRPr="001352AB">
        <w:rPr>
          <w:rFonts w:ascii="Sylfaen" w:hAnsi="Sylfaen" w:cs="Sylfaen"/>
        </w:rPr>
        <w:t>ზედაპირული</w:t>
      </w:r>
      <w:r w:rsidRPr="001352AB">
        <w:t xml:space="preserve"> </w:t>
      </w:r>
      <w:r w:rsidRPr="001352AB">
        <w:rPr>
          <w:rFonts w:ascii="Sylfaen" w:hAnsi="Sylfaen" w:cs="Sylfaen"/>
        </w:rPr>
        <w:t>ჩამონადენით</w:t>
      </w:r>
      <w:r w:rsidRPr="001352AB">
        <w:t xml:space="preserve"> </w:t>
      </w:r>
      <w:r w:rsidRPr="001352AB">
        <w:rPr>
          <w:rFonts w:ascii="Sylfaen" w:hAnsi="Sylfaen" w:cs="Sylfaen"/>
        </w:rPr>
        <w:t>ან</w:t>
      </w:r>
      <w:r w:rsidRPr="001352AB">
        <w:t xml:space="preserve"> </w:t>
      </w:r>
      <w:r w:rsidRPr="001352AB">
        <w:rPr>
          <w:rFonts w:ascii="Sylfaen" w:hAnsi="Sylfaen" w:cs="Sylfaen"/>
        </w:rPr>
        <w:t>ქარით</w:t>
      </w:r>
      <w:r w:rsidRPr="001352AB">
        <w:t xml:space="preserve"> </w:t>
      </w:r>
      <w:r w:rsidRPr="001352AB">
        <w:rPr>
          <w:rFonts w:ascii="Sylfaen" w:hAnsi="Sylfaen" w:cs="Sylfaen"/>
        </w:rPr>
        <w:t>წყალში</w:t>
      </w:r>
      <w:r w:rsidRPr="001352AB">
        <w:t xml:space="preserve"> </w:t>
      </w:r>
      <w:r w:rsidRPr="001352AB">
        <w:rPr>
          <w:rFonts w:ascii="Sylfaen" w:hAnsi="Sylfaen" w:cs="Sylfaen"/>
        </w:rPr>
        <w:t>გადატანისას</w:t>
      </w:r>
      <w:r w:rsidRPr="001352AB">
        <w:t>.</w:t>
      </w:r>
    </w:p>
    <w:p w14:paraId="0E66808B" w14:textId="77777777" w:rsidR="00CD64B5" w:rsidRPr="001352AB" w:rsidRDefault="00CD64B5" w:rsidP="000E38C6">
      <w:pPr>
        <w:spacing w:before="120" w:after="120"/>
      </w:pPr>
      <w:r w:rsidRPr="001352AB">
        <w:rPr>
          <w:rFonts w:ascii="Sylfaen" w:hAnsi="Sylfaen" w:cs="Sylfaen"/>
        </w:rPr>
        <w:t>გრუნტის</w:t>
      </w:r>
      <w:r w:rsidRPr="001352AB">
        <w:t xml:space="preserve"> </w:t>
      </w:r>
      <w:r w:rsidRPr="001352AB">
        <w:rPr>
          <w:rFonts w:ascii="Sylfaen" w:hAnsi="Sylfaen" w:cs="Sylfaen"/>
        </w:rPr>
        <w:t>წყლის</w:t>
      </w:r>
      <w:r w:rsidRPr="001352AB">
        <w:t xml:space="preserve"> </w:t>
      </w:r>
      <w:r w:rsidRPr="001352AB">
        <w:rPr>
          <w:rFonts w:ascii="Sylfaen" w:hAnsi="Sylfaen" w:cs="Sylfaen"/>
        </w:rPr>
        <w:t>დაბინძურება</w:t>
      </w:r>
      <w:r w:rsidRPr="001352AB">
        <w:t xml:space="preserve"> </w:t>
      </w:r>
      <w:r w:rsidRPr="001352AB">
        <w:rPr>
          <w:rFonts w:ascii="Sylfaen" w:hAnsi="Sylfaen" w:cs="Sylfaen"/>
        </w:rPr>
        <w:t>შესაძლებლია</w:t>
      </w:r>
      <w:r w:rsidRPr="001352AB">
        <w:t xml:space="preserve"> </w:t>
      </w:r>
      <w:r w:rsidRPr="001352AB">
        <w:rPr>
          <w:rFonts w:ascii="Sylfaen" w:hAnsi="Sylfaen" w:cs="Sylfaen"/>
        </w:rPr>
        <w:t>მოხდეს</w:t>
      </w:r>
      <w:r w:rsidRPr="001352AB">
        <w:t xml:space="preserve"> </w:t>
      </w:r>
      <w:r w:rsidRPr="001352AB">
        <w:rPr>
          <w:rFonts w:ascii="Sylfaen" w:hAnsi="Sylfaen" w:cs="Sylfaen"/>
        </w:rPr>
        <w:t>დაბინძურების</w:t>
      </w:r>
      <w:r w:rsidRPr="001352AB">
        <w:t xml:space="preserve"> </w:t>
      </w:r>
      <w:r w:rsidRPr="001352AB">
        <w:rPr>
          <w:rFonts w:ascii="Sylfaen" w:hAnsi="Sylfaen" w:cs="Sylfaen"/>
        </w:rPr>
        <w:t>გრუნტში</w:t>
      </w:r>
      <w:r w:rsidRPr="001352AB">
        <w:t xml:space="preserve"> </w:t>
      </w:r>
      <w:r w:rsidRPr="001352AB">
        <w:rPr>
          <w:rFonts w:ascii="Sylfaen" w:hAnsi="Sylfaen" w:cs="Sylfaen"/>
        </w:rPr>
        <w:t>ინფილტრაციის</w:t>
      </w:r>
      <w:r w:rsidRPr="001352AB">
        <w:t xml:space="preserve"> </w:t>
      </w:r>
      <w:r w:rsidRPr="001352AB">
        <w:rPr>
          <w:rFonts w:ascii="Sylfaen" w:hAnsi="Sylfaen" w:cs="Sylfaen"/>
        </w:rPr>
        <w:t>შედეგად</w:t>
      </w:r>
      <w:r w:rsidRPr="001352AB">
        <w:t xml:space="preserve"> </w:t>
      </w:r>
      <w:r w:rsidRPr="001352AB">
        <w:rPr>
          <w:rFonts w:ascii="Sylfaen" w:hAnsi="Sylfaen" w:cs="Sylfaen"/>
        </w:rPr>
        <w:t>ან</w:t>
      </w:r>
      <w:r w:rsidRPr="001352AB">
        <w:t xml:space="preserve"> </w:t>
      </w:r>
      <w:r w:rsidRPr="001352AB">
        <w:rPr>
          <w:rFonts w:ascii="Sylfaen" w:hAnsi="Sylfaen" w:cs="Sylfaen"/>
        </w:rPr>
        <w:t>დაბინძურების</w:t>
      </w:r>
      <w:r w:rsidRPr="001352AB">
        <w:t xml:space="preserve">  </w:t>
      </w:r>
      <w:r w:rsidRPr="001352AB">
        <w:rPr>
          <w:rFonts w:ascii="Sylfaen" w:hAnsi="Sylfaen" w:cs="Sylfaen"/>
        </w:rPr>
        <w:t>ზედაპირული</w:t>
      </w:r>
      <w:r w:rsidRPr="001352AB">
        <w:t xml:space="preserve"> </w:t>
      </w:r>
      <w:r w:rsidRPr="001352AB">
        <w:rPr>
          <w:rFonts w:ascii="Sylfaen" w:hAnsi="Sylfaen" w:cs="Sylfaen"/>
        </w:rPr>
        <w:t>წყლიდან</w:t>
      </w:r>
      <w:r w:rsidRPr="001352AB">
        <w:t xml:space="preserve"> </w:t>
      </w:r>
      <w:r w:rsidRPr="001352AB">
        <w:rPr>
          <w:rFonts w:ascii="Sylfaen" w:hAnsi="Sylfaen" w:cs="Sylfaen"/>
        </w:rPr>
        <w:t>გრუნტის</w:t>
      </w:r>
      <w:r w:rsidRPr="001352AB">
        <w:t xml:space="preserve"> </w:t>
      </w:r>
      <w:r w:rsidRPr="001352AB">
        <w:rPr>
          <w:rFonts w:ascii="Sylfaen" w:hAnsi="Sylfaen" w:cs="Sylfaen"/>
        </w:rPr>
        <w:t>წყალში</w:t>
      </w:r>
      <w:r w:rsidRPr="001352AB">
        <w:t xml:space="preserve"> </w:t>
      </w:r>
      <w:r w:rsidRPr="001352AB">
        <w:rPr>
          <w:rFonts w:ascii="Sylfaen" w:hAnsi="Sylfaen" w:cs="Sylfaen"/>
        </w:rPr>
        <w:t>მოხვედრის</w:t>
      </w:r>
      <w:r w:rsidRPr="001352AB">
        <w:t xml:space="preserve"> </w:t>
      </w:r>
      <w:r w:rsidRPr="001352AB">
        <w:rPr>
          <w:rFonts w:ascii="Sylfaen" w:hAnsi="Sylfaen" w:cs="Sylfaen"/>
        </w:rPr>
        <w:t>შედეგად</w:t>
      </w:r>
      <w:r w:rsidRPr="001352AB">
        <w:t xml:space="preserve">.  </w:t>
      </w:r>
    </w:p>
    <w:p w14:paraId="16F3C6F3" w14:textId="77777777" w:rsidR="007F2C2A" w:rsidRDefault="007F2C2A" w:rsidP="000E38C6">
      <w:pPr>
        <w:spacing w:before="120" w:after="120"/>
        <w:rPr>
          <w:rFonts w:ascii="Sylfaen" w:hAnsi="Sylfaen" w:cs="Sylfaen"/>
          <w:b/>
        </w:rPr>
      </w:pPr>
    </w:p>
    <w:p w14:paraId="6A5F18E5" w14:textId="2668A0F6" w:rsidR="00CD64B5" w:rsidRPr="000E38C6" w:rsidRDefault="00CD64B5" w:rsidP="000E38C6">
      <w:pPr>
        <w:spacing w:before="120" w:after="120"/>
        <w:rPr>
          <w:b/>
        </w:rPr>
      </w:pPr>
      <w:r w:rsidRPr="000E38C6">
        <w:rPr>
          <w:rFonts w:ascii="Sylfaen" w:hAnsi="Sylfaen" w:cs="Sylfaen"/>
          <w:b/>
        </w:rPr>
        <w:t>შემარბილებელი</w:t>
      </w:r>
      <w:r w:rsidRPr="000E38C6">
        <w:rPr>
          <w:b/>
        </w:rPr>
        <w:t xml:space="preserve"> </w:t>
      </w:r>
      <w:r w:rsidRPr="000E38C6">
        <w:rPr>
          <w:rFonts w:ascii="Sylfaen" w:hAnsi="Sylfaen" w:cs="Sylfaen"/>
          <w:b/>
        </w:rPr>
        <w:t>ღონისძიებები</w:t>
      </w:r>
      <w:r w:rsidRPr="000E38C6">
        <w:rPr>
          <w:b/>
        </w:rPr>
        <w:t xml:space="preserve"> - </w:t>
      </w:r>
      <w:r w:rsidRPr="000E38C6">
        <w:rPr>
          <w:rFonts w:ascii="Sylfaen" w:hAnsi="Sylfaen" w:cs="Sylfaen"/>
          <w:b/>
        </w:rPr>
        <w:t>ექსპლუატაციის</w:t>
      </w:r>
      <w:r w:rsidRPr="000E38C6">
        <w:rPr>
          <w:b/>
        </w:rPr>
        <w:t xml:space="preserve"> </w:t>
      </w:r>
      <w:r w:rsidRPr="000E38C6">
        <w:rPr>
          <w:rFonts w:ascii="Sylfaen" w:hAnsi="Sylfaen" w:cs="Sylfaen"/>
          <w:b/>
        </w:rPr>
        <w:t>ფაზა</w:t>
      </w:r>
    </w:p>
    <w:p w14:paraId="5D4B0053" w14:textId="77777777" w:rsidR="00CD64B5" w:rsidRPr="001352AB" w:rsidRDefault="00CD64B5" w:rsidP="000E38C6">
      <w:pPr>
        <w:spacing w:before="120" w:after="120"/>
        <w:rPr>
          <w:lang w:eastAsia="en-US"/>
        </w:rPr>
      </w:pPr>
      <w:r w:rsidRPr="001352AB">
        <w:rPr>
          <w:rFonts w:ascii="Sylfaen" w:hAnsi="Sylfaen" w:cs="Sylfaen"/>
        </w:rPr>
        <w:lastRenderedPageBreak/>
        <w:t>უარყოფითი</w:t>
      </w:r>
      <w:r w:rsidRPr="001352AB">
        <w:t xml:space="preserve"> </w:t>
      </w:r>
      <w:r w:rsidRPr="001352AB">
        <w:rPr>
          <w:rFonts w:ascii="Sylfaen" w:hAnsi="Sylfaen" w:cs="Sylfaen"/>
        </w:rPr>
        <w:t>ზემოქმედების</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აცილება</w:t>
      </w:r>
      <w:r w:rsidRPr="001352AB">
        <w:t>/</w:t>
      </w:r>
      <w:r w:rsidRPr="001352AB">
        <w:rPr>
          <w:rFonts w:ascii="Sylfaen" w:hAnsi="Sylfaen" w:cs="Sylfaen"/>
        </w:rPr>
        <w:t>შერბილება</w:t>
      </w:r>
      <w:r w:rsidRPr="001352AB">
        <w:t xml:space="preserve"> </w:t>
      </w:r>
      <w:r w:rsidRPr="001352AB">
        <w:rPr>
          <w:rFonts w:ascii="Sylfaen" w:hAnsi="Sylfaen" w:cs="Sylfaen"/>
        </w:rPr>
        <w:t>შესაძლებელი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ქვემოთ</w:t>
      </w:r>
      <w:r w:rsidRPr="001352AB">
        <w:t xml:space="preserve"> </w:t>
      </w:r>
      <w:r w:rsidRPr="001352AB">
        <w:rPr>
          <w:rFonts w:ascii="Sylfaen" w:hAnsi="Sylfaen" w:cs="Sylfaen"/>
        </w:rPr>
        <w:t>აღწერილი</w:t>
      </w:r>
      <w:r w:rsidRPr="001352AB">
        <w:t xml:space="preserve"> </w:t>
      </w:r>
      <w:r w:rsidRPr="001352AB">
        <w:rPr>
          <w:rFonts w:ascii="Sylfaen" w:hAnsi="Sylfaen" w:cs="Sylfaen"/>
        </w:rPr>
        <w:t>გარემოებების</w:t>
      </w:r>
      <w:r w:rsidRPr="001352AB">
        <w:t xml:space="preserve"> </w:t>
      </w:r>
      <w:r w:rsidRPr="001352AB">
        <w:rPr>
          <w:rFonts w:ascii="Sylfaen" w:hAnsi="Sylfaen" w:cs="Sylfaen"/>
        </w:rPr>
        <w:t>გათვალისწინებით</w:t>
      </w:r>
      <w:r w:rsidRPr="001352AB">
        <w:t xml:space="preserve"> </w:t>
      </w:r>
      <w:r w:rsidRPr="001352AB">
        <w:rPr>
          <w:rFonts w:ascii="Sylfaen" w:hAnsi="Sylfaen" w:cs="Sylfaen"/>
        </w:rPr>
        <w:t>და</w:t>
      </w:r>
      <w:r w:rsidRPr="001352AB">
        <w:t xml:space="preserve"> </w:t>
      </w:r>
      <w:r w:rsidRPr="001352AB">
        <w:rPr>
          <w:rFonts w:ascii="Sylfaen" w:hAnsi="Sylfaen" w:cs="Sylfaen"/>
        </w:rPr>
        <w:t>შემდეგი</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გატარებით</w:t>
      </w:r>
      <w:r w:rsidRPr="001352AB">
        <w:t xml:space="preserve">. </w:t>
      </w:r>
    </w:p>
    <w:p w14:paraId="21586904" w14:textId="77777777" w:rsidR="00CD64B5" w:rsidRPr="001352AB" w:rsidRDefault="00CD64B5" w:rsidP="000E38C6">
      <w:pPr>
        <w:spacing w:before="120" w:after="120"/>
      </w:pPr>
      <w:r w:rsidRPr="001352AB">
        <w:rPr>
          <w:rFonts w:ascii="Sylfaen" w:hAnsi="Sylfaen" w:cs="Sylfaen"/>
        </w:rPr>
        <w:t>ავარიული</w:t>
      </w:r>
      <w:r w:rsidRPr="001352AB">
        <w:t xml:space="preserve"> </w:t>
      </w:r>
      <w:r w:rsidRPr="001352AB">
        <w:rPr>
          <w:rFonts w:ascii="Sylfaen" w:hAnsi="Sylfaen" w:cs="Sylfaen"/>
        </w:rPr>
        <w:t>სიტუაციების</w:t>
      </w:r>
      <w:r w:rsidRPr="001352AB">
        <w:t xml:space="preserve"> </w:t>
      </w:r>
      <w:r w:rsidRPr="001352AB">
        <w:rPr>
          <w:rFonts w:ascii="Sylfaen" w:hAnsi="Sylfaen" w:cs="Sylfaen"/>
        </w:rPr>
        <w:t>რისკი</w:t>
      </w:r>
      <w:r w:rsidRPr="001352AB">
        <w:t xml:space="preserve"> </w:t>
      </w:r>
      <w:r w:rsidRPr="001352AB">
        <w:rPr>
          <w:rFonts w:ascii="Sylfaen" w:hAnsi="Sylfaen" w:cs="Sylfaen"/>
        </w:rPr>
        <w:t>მინიმუმამდე</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დაყვანილი</w:t>
      </w:r>
      <w:r w:rsidRPr="001352AB">
        <w:t xml:space="preserve"> </w:t>
      </w:r>
      <w:r w:rsidRPr="001352AB">
        <w:rPr>
          <w:rFonts w:ascii="Sylfaen" w:hAnsi="Sylfaen" w:cs="Sylfaen"/>
        </w:rPr>
        <w:t>გზაზე</w:t>
      </w:r>
      <w:r w:rsidRPr="001352AB">
        <w:t xml:space="preserve"> </w:t>
      </w:r>
      <w:r w:rsidRPr="001352AB">
        <w:rPr>
          <w:rFonts w:ascii="Sylfaen" w:hAnsi="Sylfaen" w:cs="Sylfaen"/>
        </w:rPr>
        <w:t>უსაფრთხოების</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გატარებით</w:t>
      </w:r>
      <w:r w:rsidRPr="001352AB">
        <w:t xml:space="preserve">. </w:t>
      </w:r>
    </w:p>
    <w:p w14:paraId="57C17167" w14:textId="77777777" w:rsidR="00CD64B5" w:rsidRPr="001352AB" w:rsidRDefault="00CD64B5" w:rsidP="000E38C6">
      <w:pPr>
        <w:spacing w:before="120" w:after="120"/>
      </w:pPr>
      <w:r w:rsidRPr="001352AB">
        <w:rPr>
          <w:rFonts w:ascii="Sylfaen" w:hAnsi="Sylfaen" w:cs="Sylfaen"/>
        </w:rPr>
        <w:t>პროექტის</w:t>
      </w:r>
      <w:r w:rsidRPr="001352AB">
        <w:t xml:space="preserve"> </w:t>
      </w:r>
      <w:r w:rsidRPr="001352AB">
        <w:rPr>
          <w:rFonts w:ascii="Sylfaen" w:hAnsi="Sylfaen" w:cs="Sylfaen"/>
        </w:rPr>
        <w:t>შესაბამისად</w:t>
      </w:r>
      <w:r w:rsidRPr="001352AB">
        <w:t xml:space="preserve">, </w:t>
      </w:r>
      <w:r w:rsidRPr="001352AB">
        <w:rPr>
          <w:rFonts w:ascii="Sylfaen" w:hAnsi="Sylfaen" w:cs="Sylfaen"/>
        </w:rPr>
        <w:t>მინიმუმამდეა</w:t>
      </w:r>
      <w:r w:rsidRPr="001352AB">
        <w:t xml:space="preserve"> </w:t>
      </w:r>
      <w:r w:rsidRPr="001352AB">
        <w:rPr>
          <w:rFonts w:ascii="Sylfaen" w:hAnsi="Sylfaen" w:cs="Sylfaen"/>
        </w:rPr>
        <w:t>დაყვანილი</w:t>
      </w:r>
      <w:r w:rsidRPr="001352AB">
        <w:t xml:space="preserve"> </w:t>
      </w:r>
      <w:r w:rsidRPr="001352AB">
        <w:rPr>
          <w:rFonts w:ascii="Sylfaen" w:hAnsi="Sylfaen" w:cs="Sylfaen"/>
        </w:rPr>
        <w:t>დრენირებული</w:t>
      </w:r>
      <w:r w:rsidRPr="001352AB">
        <w:t xml:space="preserve"> </w:t>
      </w:r>
      <w:r w:rsidRPr="001352AB">
        <w:rPr>
          <w:rFonts w:ascii="Sylfaen" w:hAnsi="Sylfaen" w:cs="Sylfaen"/>
        </w:rPr>
        <w:t>წყლის</w:t>
      </w:r>
      <w:r w:rsidRPr="001352AB">
        <w:t xml:space="preserve"> </w:t>
      </w:r>
      <w:r w:rsidRPr="001352AB">
        <w:rPr>
          <w:rFonts w:ascii="Sylfaen" w:hAnsi="Sylfaen" w:cs="Sylfaen"/>
        </w:rPr>
        <w:t>ზედაპირულ</w:t>
      </w:r>
      <w:r w:rsidRPr="001352AB">
        <w:t xml:space="preserve"> </w:t>
      </w:r>
      <w:r w:rsidRPr="001352AB">
        <w:rPr>
          <w:rFonts w:ascii="Sylfaen" w:hAnsi="Sylfaen" w:cs="Sylfaen"/>
        </w:rPr>
        <w:t>წყლის</w:t>
      </w:r>
      <w:r w:rsidRPr="001352AB">
        <w:t xml:space="preserve"> </w:t>
      </w:r>
      <w:r w:rsidRPr="001352AB">
        <w:rPr>
          <w:rFonts w:ascii="Sylfaen" w:hAnsi="Sylfaen" w:cs="Sylfaen"/>
        </w:rPr>
        <w:t>ობიექტებში</w:t>
      </w:r>
      <w:r w:rsidRPr="001352AB">
        <w:t xml:space="preserve"> </w:t>
      </w:r>
      <w:r w:rsidRPr="001352AB">
        <w:rPr>
          <w:rFonts w:ascii="Sylfaen" w:hAnsi="Sylfaen" w:cs="Sylfaen"/>
        </w:rPr>
        <w:t>ჩაშვების</w:t>
      </w:r>
      <w:r w:rsidRPr="001352AB">
        <w:t xml:space="preserve"> </w:t>
      </w:r>
      <w:r w:rsidRPr="001352AB">
        <w:rPr>
          <w:rFonts w:ascii="Sylfaen" w:hAnsi="Sylfaen" w:cs="Sylfaen"/>
        </w:rPr>
        <w:t>შესაძლებლობა</w:t>
      </w:r>
      <w:r w:rsidRPr="001352AB">
        <w:t xml:space="preserve">. </w:t>
      </w:r>
    </w:p>
    <w:p w14:paraId="33286A0A" w14:textId="77777777" w:rsidR="00CD64B5" w:rsidRPr="001352AB" w:rsidRDefault="00CD64B5" w:rsidP="000E38C6">
      <w:pPr>
        <w:spacing w:before="120" w:after="120"/>
      </w:pPr>
      <w:r w:rsidRPr="001352AB">
        <w:rPr>
          <w:rFonts w:ascii="Sylfaen" w:hAnsi="Sylfaen" w:cs="Sylfaen"/>
        </w:rPr>
        <w:t>სამშენებლო</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და</w:t>
      </w:r>
      <w:r w:rsidRPr="001352AB">
        <w:t xml:space="preserve"> </w:t>
      </w:r>
      <w:r w:rsidRPr="001352AB">
        <w:rPr>
          <w:rFonts w:ascii="Sylfaen" w:hAnsi="Sylfaen" w:cs="Sylfaen"/>
        </w:rPr>
        <w:t>ნარჩენების</w:t>
      </w:r>
      <w:r w:rsidRPr="001352AB">
        <w:t xml:space="preserve"> </w:t>
      </w:r>
      <w:r w:rsidRPr="001352AB">
        <w:rPr>
          <w:rFonts w:ascii="Sylfaen" w:hAnsi="Sylfaen" w:cs="Sylfaen"/>
        </w:rPr>
        <w:t>დაუდევარი</w:t>
      </w:r>
      <w:r w:rsidRPr="001352AB">
        <w:t xml:space="preserve"> </w:t>
      </w:r>
      <w:r w:rsidRPr="001352AB">
        <w:rPr>
          <w:rFonts w:ascii="Sylfaen" w:hAnsi="Sylfaen" w:cs="Sylfaen"/>
        </w:rPr>
        <w:t>მართვის</w:t>
      </w:r>
      <w:r w:rsidRPr="001352AB">
        <w:t xml:space="preserve"> </w:t>
      </w:r>
      <w:r w:rsidRPr="001352AB">
        <w:rPr>
          <w:rFonts w:ascii="Sylfaen" w:hAnsi="Sylfaen" w:cs="Sylfaen"/>
        </w:rPr>
        <w:t>გამო</w:t>
      </w:r>
      <w:r w:rsidRPr="001352AB">
        <w:t xml:space="preserve"> </w:t>
      </w:r>
      <w:r w:rsidRPr="001352AB">
        <w:rPr>
          <w:rFonts w:ascii="Sylfaen" w:hAnsi="Sylfaen" w:cs="Sylfaen"/>
        </w:rPr>
        <w:t>დაბინძურების</w:t>
      </w:r>
      <w:r w:rsidRPr="001352AB">
        <w:t xml:space="preserve"> </w:t>
      </w:r>
      <w:r w:rsidRPr="001352AB">
        <w:rPr>
          <w:rFonts w:ascii="Sylfaen" w:hAnsi="Sylfaen" w:cs="Sylfaen"/>
        </w:rPr>
        <w:t>რისკი</w:t>
      </w:r>
      <w:r w:rsidRPr="001352AB">
        <w:t xml:space="preserve"> </w:t>
      </w:r>
      <w:r w:rsidRPr="001352AB">
        <w:rPr>
          <w:rFonts w:ascii="Sylfaen" w:hAnsi="Sylfaen" w:cs="Sylfaen"/>
        </w:rPr>
        <w:t>აცილებული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სამუშაოების</w:t>
      </w:r>
      <w:r w:rsidRPr="001352AB">
        <w:t xml:space="preserve"> </w:t>
      </w:r>
      <w:r w:rsidRPr="001352AB">
        <w:rPr>
          <w:rFonts w:ascii="Sylfaen" w:hAnsi="Sylfaen" w:cs="Sylfaen"/>
        </w:rPr>
        <w:t>ეტაპისთვის</w:t>
      </w:r>
      <w:r w:rsidRPr="001352AB">
        <w:t xml:space="preserve"> </w:t>
      </w:r>
      <w:r w:rsidRPr="001352AB">
        <w:rPr>
          <w:rFonts w:ascii="Sylfaen" w:hAnsi="Sylfaen" w:cs="Sylfaen"/>
        </w:rPr>
        <w:t>განსაზღვრული</w:t>
      </w:r>
      <w:r w:rsidRPr="001352AB">
        <w:t xml:space="preserve"> </w:t>
      </w: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გატარებით</w:t>
      </w:r>
      <w:r w:rsidRPr="001352AB">
        <w:t xml:space="preserve">. </w:t>
      </w:r>
    </w:p>
    <w:p w14:paraId="3078D182" w14:textId="77777777" w:rsidR="00CD64B5" w:rsidRPr="001352AB" w:rsidRDefault="00CD64B5" w:rsidP="000E38C6">
      <w:pPr>
        <w:spacing w:before="120" w:after="120"/>
      </w:pPr>
      <w:r w:rsidRPr="001352AB">
        <w:rPr>
          <w:rFonts w:ascii="Sylfaen" w:hAnsi="Sylfaen" w:cs="Sylfaen"/>
        </w:rPr>
        <w:t>მოხდება</w:t>
      </w:r>
      <w:r w:rsidRPr="001352AB">
        <w:t xml:space="preserve"> </w:t>
      </w:r>
      <w:r w:rsidRPr="001352AB">
        <w:rPr>
          <w:rFonts w:ascii="Sylfaen" w:hAnsi="Sylfaen" w:cs="Sylfaen"/>
        </w:rPr>
        <w:t>გზის</w:t>
      </w:r>
      <w:r w:rsidRPr="001352AB">
        <w:t xml:space="preserve"> </w:t>
      </w:r>
      <w:r w:rsidRPr="001352AB">
        <w:rPr>
          <w:rFonts w:ascii="Sylfaen" w:hAnsi="Sylfaen" w:cs="Sylfaen"/>
        </w:rPr>
        <w:t>და</w:t>
      </w:r>
      <w:r w:rsidRPr="001352AB">
        <w:t xml:space="preserve"> </w:t>
      </w:r>
      <w:r w:rsidRPr="001352AB">
        <w:rPr>
          <w:rFonts w:ascii="Sylfaen" w:hAnsi="Sylfaen" w:cs="Sylfaen"/>
        </w:rPr>
        <w:t>გზისპირა</w:t>
      </w:r>
      <w:r w:rsidRPr="001352AB">
        <w:t xml:space="preserve"> </w:t>
      </w:r>
      <w:r w:rsidRPr="001352AB">
        <w:rPr>
          <w:rFonts w:ascii="Sylfaen" w:hAnsi="Sylfaen" w:cs="Sylfaen"/>
        </w:rPr>
        <w:t>ზოლის</w:t>
      </w:r>
      <w:r w:rsidRPr="001352AB">
        <w:t xml:space="preserve"> </w:t>
      </w:r>
      <w:r w:rsidRPr="001352AB">
        <w:rPr>
          <w:rFonts w:ascii="Sylfaen" w:hAnsi="Sylfaen" w:cs="Sylfaen"/>
        </w:rPr>
        <w:t>დასუფთავება</w:t>
      </w:r>
      <w:r w:rsidRPr="001352AB">
        <w:t xml:space="preserve"> (</w:t>
      </w:r>
      <w:r w:rsidRPr="001352AB">
        <w:rPr>
          <w:rFonts w:ascii="Sylfaen" w:hAnsi="Sylfaen" w:cs="Sylfaen"/>
        </w:rPr>
        <w:t>ნაგვის</w:t>
      </w:r>
      <w:r w:rsidRPr="001352AB">
        <w:t xml:space="preserve"> </w:t>
      </w:r>
      <w:r w:rsidRPr="001352AB">
        <w:rPr>
          <w:rFonts w:ascii="Sylfaen" w:hAnsi="Sylfaen" w:cs="Sylfaen"/>
        </w:rPr>
        <w:t>გატანა</w:t>
      </w:r>
      <w:r w:rsidRPr="001352AB">
        <w:t xml:space="preserve">). </w:t>
      </w:r>
    </w:p>
    <w:p w14:paraId="260A33D5" w14:textId="77777777" w:rsidR="00CD64B5" w:rsidRPr="001352AB" w:rsidRDefault="00CD64B5" w:rsidP="000E38C6">
      <w:pPr>
        <w:spacing w:before="120" w:after="120"/>
      </w:pPr>
      <w:r w:rsidRPr="001352AB">
        <w:rPr>
          <w:rFonts w:ascii="Sylfaen" w:hAnsi="Sylfaen" w:cs="Sylfaen"/>
        </w:rPr>
        <w:t>მდინარის</w:t>
      </w:r>
      <w:r w:rsidRPr="001352AB">
        <w:t xml:space="preserve"> </w:t>
      </w:r>
      <w:r w:rsidRPr="001352AB">
        <w:rPr>
          <w:rFonts w:ascii="Sylfaen" w:hAnsi="Sylfaen" w:cs="Sylfaen"/>
        </w:rPr>
        <w:t>კალაპოტთან</w:t>
      </w:r>
      <w:r w:rsidRPr="001352AB">
        <w:t xml:space="preserve"> </w:t>
      </w:r>
      <w:r w:rsidRPr="001352AB">
        <w:rPr>
          <w:rFonts w:ascii="Sylfaen" w:hAnsi="Sylfaen" w:cs="Sylfaen"/>
        </w:rPr>
        <w:t>ან</w:t>
      </w:r>
      <w:r w:rsidRPr="001352AB">
        <w:t xml:space="preserve"> </w:t>
      </w:r>
      <w:r w:rsidRPr="001352AB">
        <w:rPr>
          <w:rFonts w:ascii="Sylfaen" w:hAnsi="Sylfaen" w:cs="Sylfaen"/>
        </w:rPr>
        <w:t>მდინარეში</w:t>
      </w:r>
      <w:r w:rsidRPr="001352AB">
        <w:t xml:space="preserve"> </w:t>
      </w:r>
      <w:r w:rsidRPr="001352AB">
        <w:rPr>
          <w:rFonts w:ascii="Sylfaen" w:hAnsi="Sylfaen" w:cs="Sylfaen"/>
        </w:rPr>
        <w:t>ჩასატარებელი</w:t>
      </w:r>
      <w:r w:rsidRPr="001352AB">
        <w:t xml:space="preserve"> </w:t>
      </w:r>
      <w:r w:rsidRPr="001352AB">
        <w:rPr>
          <w:rFonts w:ascii="Sylfaen" w:hAnsi="Sylfaen" w:cs="Sylfaen"/>
        </w:rPr>
        <w:t>სარემონტო</w:t>
      </w:r>
      <w:r w:rsidRPr="001352AB">
        <w:t xml:space="preserve"> </w:t>
      </w:r>
      <w:r w:rsidRPr="001352AB">
        <w:rPr>
          <w:rFonts w:ascii="Sylfaen" w:hAnsi="Sylfaen" w:cs="Sylfaen"/>
        </w:rPr>
        <w:t>სამუშაოების</w:t>
      </w:r>
      <w:r w:rsidRPr="001352AB">
        <w:t xml:space="preserve"> </w:t>
      </w:r>
      <w:r w:rsidRPr="001352AB">
        <w:rPr>
          <w:rFonts w:ascii="Sylfaen" w:hAnsi="Sylfaen" w:cs="Sylfaen"/>
        </w:rPr>
        <w:t>წყლის</w:t>
      </w:r>
      <w:r w:rsidRPr="001352AB">
        <w:t xml:space="preserve"> </w:t>
      </w:r>
      <w:r w:rsidRPr="001352AB">
        <w:rPr>
          <w:rFonts w:ascii="Sylfaen" w:hAnsi="Sylfaen" w:cs="Sylfaen"/>
        </w:rPr>
        <w:t>გარემოზე</w:t>
      </w:r>
      <w:r w:rsidRPr="001352AB">
        <w:t xml:space="preserve"> </w:t>
      </w:r>
      <w:r w:rsidRPr="001352AB">
        <w:rPr>
          <w:rFonts w:ascii="Sylfaen" w:hAnsi="Sylfaen" w:cs="Sylfaen"/>
        </w:rPr>
        <w:t>შესაძლო</w:t>
      </w:r>
      <w:r w:rsidRPr="001352AB">
        <w:t xml:space="preserve"> </w:t>
      </w:r>
      <w:r w:rsidRPr="001352AB">
        <w:rPr>
          <w:rFonts w:ascii="Sylfaen" w:hAnsi="Sylfaen" w:cs="Sylfaen"/>
        </w:rPr>
        <w:t>ზემოქმედების</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აცილების</w:t>
      </w:r>
      <w:r w:rsidRPr="001352AB">
        <w:t>/</w:t>
      </w:r>
      <w:r w:rsidRPr="001352AB">
        <w:rPr>
          <w:rFonts w:ascii="Sylfaen" w:hAnsi="Sylfaen" w:cs="Sylfaen"/>
        </w:rPr>
        <w:t>წყლის</w:t>
      </w:r>
      <w:r w:rsidRPr="001352AB">
        <w:t xml:space="preserve"> </w:t>
      </w:r>
      <w:r w:rsidRPr="001352AB">
        <w:rPr>
          <w:rFonts w:ascii="Sylfaen" w:hAnsi="Sylfaen" w:cs="Sylfaen"/>
        </w:rPr>
        <w:t>გარემოს</w:t>
      </w:r>
      <w:r w:rsidRPr="001352AB">
        <w:t xml:space="preserve"> </w:t>
      </w:r>
      <w:r w:rsidRPr="001352AB">
        <w:rPr>
          <w:rFonts w:ascii="Sylfaen" w:hAnsi="Sylfaen" w:cs="Sylfaen"/>
        </w:rPr>
        <w:t>დაცვის</w:t>
      </w:r>
      <w:r w:rsidRPr="001352AB">
        <w:t xml:space="preserve"> </w:t>
      </w:r>
      <w:r w:rsidRPr="001352AB">
        <w:rPr>
          <w:rFonts w:ascii="Sylfaen" w:hAnsi="Sylfaen" w:cs="Sylfaen"/>
        </w:rPr>
        <w:t>ეფექტური</w:t>
      </w:r>
      <w:r w:rsidRPr="001352AB">
        <w:t xml:space="preserve"> </w:t>
      </w:r>
      <w:r w:rsidRPr="001352AB">
        <w:rPr>
          <w:rFonts w:ascii="Sylfaen" w:hAnsi="Sylfaen" w:cs="Sylfaen"/>
        </w:rPr>
        <w:t>საშუალება</w:t>
      </w:r>
      <w:r w:rsidRPr="001352AB">
        <w:t xml:space="preserve"> </w:t>
      </w:r>
      <w:r w:rsidRPr="001352AB">
        <w:rPr>
          <w:rFonts w:ascii="Sylfaen" w:hAnsi="Sylfaen" w:cs="Sylfaen"/>
        </w:rPr>
        <w:t>სამუშაოს</w:t>
      </w:r>
      <w:r w:rsidRPr="001352AB">
        <w:t xml:space="preserve"> </w:t>
      </w:r>
      <w:r w:rsidRPr="001352AB">
        <w:rPr>
          <w:rFonts w:ascii="Sylfaen" w:hAnsi="Sylfaen" w:cs="Sylfaen"/>
        </w:rPr>
        <w:t>სწორი</w:t>
      </w:r>
      <w:r w:rsidRPr="001352AB">
        <w:t xml:space="preserve"> </w:t>
      </w:r>
      <w:r w:rsidRPr="001352AB">
        <w:rPr>
          <w:rFonts w:ascii="Sylfaen" w:hAnsi="Sylfaen" w:cs="Sylfaen"/>
        </w:rPr>
        <w:t>დაგეგმვა</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კერძოდ</w:t>
      </w:r>
      <w:r w:rsidRPr="001352AB">
        <w:t xml:space="preserve">, </w:t>
      </w:r>
      <w:r w:rsidRPr="001352AB">
        <w:rPr>
          <w:rFonts w:ascii="Sylfaen" w:hAnsi="Sylfaen" w:cs="Sylfaen"/>
        </w:rPr>
        <w:t>სარემონტო</w:t>
      </w:r>
      <w:r w:rsidRPr="001352AB">
        <w:t xml:space="preserve"> </w:t>
      </w:r>
      <w:r w:rsidRPr="001352AB">
        <w:rPr>
          <w:rFonts w:ascii="Sylfaen" w:hAnsi="Sylfaen" w:cs="Sylfaen"/>
        </w:rPr>
        <w:t>სამუშაოებისას</w:t>
      </w:r>
      <w:r w:rsidRPr="001352AB">
        <w:t xml:space="preserve">  </w:t>
      </w:r>
      <w:r w:rsidRPr="001352AB">
        <w:rPr>
          <w:rFonts w:ascii="Sylfaen" w:hAnsi="Sylfaen" w:cs="Sylfaen"/>
        </w:rPr>
        <w:t>გათვალისწინებული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შემდეგი</w:t>
      </w:r>
      <w:r w:rsidRPr="001352AB">
        <w:t xml:space="preserve">: </w:t>
      </w:r>
    </w:p>
    <w:p w14:paraId="7073306B" w14:textId="77777777" w:rsidR="00CD64B5" w:rsidRPr="001352AB" w:rsidRDefault="00CD64B5" w:rsidP="000E38C6">
      <w:pPr>
        <w:spacing w:before="120" w:after="120"/>
      </w:pPr>
      <w:r w:rsidRPr="001352AB">
        <w:rPr>
          <w:rFonts w:ascii="Sylfaen" w:hAnsi="Sylfaen" w:cs="Sylfaen"/>
        </w:rPr>
        <w:t>გზის</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დაგება</w:t>
      </w:r>
      <w:r w:rsidRPr="001352AB">
        <w:t xml:space="preserve"> </w:t>
      </w:r>
      <w:r w:rsidRPr="001352AB">
        <w:rPr>
          <w:rFonts w:ascii="Sylfaen" w:hAnsi="Sylfaen" w:cs="Sylfaen"/>
        </w:rPr>
        <w:t>მოხდება</w:t>
      </w:r>
      <w:r w:rsidRPr="001352AB">
        <w:t xml:space="preserve"> </w:t>
      </w:r>
      <w:r w:rsidRPr="001352AB">
        <w:rPr>
          <w:rFonts w:ascii="Sylfaen" w:hAnsi="Sylfaen" w:cs="Sylfaen"/>
        </w:rPr>
        <w:t>მხოლოდ</w:t>
      </w:r>
      <w:r w:rsidRPr="001352AB">
        <w:t xml:space="preserve"> </w:t>
      </w:r>
      <w:r w:rsidRPr="001352AB">
        <w:rPr>
          <w:rFonts w:ascii="Sylfaen" w:hAnsi="Sylfaen" w:cs="Sylfaen"/>
        </w:rPr>
        <w:t>მშრალ</w:t>
      </w:r>
      <w:r w:rsidRPr="001352AB">
        <w:t xml:space="preserve"> </w:t>
      </w:r>
      <w:r w:rsidRPr="001352AB">
        <w:rPr>
          <w:rFonts w:ascii="Sylfaen" w:hAnsi="Sylfaen" w:cs="Sylfaen"/>
        </w:rPr>
        <w:t>ამინდში</w:t>
      </w:r>
      <w:r w:rsidRPr="001352AB">
        <w:t xml:space="preserve">, </w:t>
      </w:r>
      <w:r w:rsidRPr="001352AB">
        <w:rPr>
          <w:rFonts w:ascii="Sylfaen" w:hAnsi="Sylfaen" w:cs="Sylfaen"/>
        </w:rPr>
        <w:t>ჩამონადენის</w:t>
      </w:r>
      <w:r w:rsidRPr="001352AB">
        <w:t xml:space="preserve"> </w:t>
      </w:r>
      <w:r w:rsidRPr="001352AB">
        <w:rPr>
          <w:rFonts w:ascii="Sylfaen" w:hAnsi="Sylfaen" w:cs="Sylfaen"/>
        </w:rPr>
        <w:t>დაბინძურების</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ასაცილებლად</w:t>
      </w:r>
      <w:r w:rsidRPr="001352AB">
        <w:t xml:space="preserve">; </w:t>
      </w:r>
    </w:p>
    <w:p w14:paraId="0E156200" w14:textId="77777777" w:rsidR="00CD64B5" w:rsidRPr="001352AB" w:rsidRDefault="00CD64B5" w:rsidP="000E38C6">
      <w:pPr>
        <w:spacing w:before="120" w:after="120"/>
      </w:pPr>
      <w:r w:rsidRPr="001352AB">
        <w:rPr>
          <w:rFonts w:ascii="Sylfaen" w:hAnsi="Sylfaen" w:cs="Sylfaen"/>
        </w:rPr>
        <w:t>დაზიანებული</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ან</w:t>
      </w:r>
      <w:r w:rsidRPr="001352AB">
        <w:t xml:space="preserve"> </w:t>
      </w:r>
      <w:r w:rsidRPr="001352AB">
        <w:rPr>
          <w:rFonts w:ascii="Sylfaen" w:hAnsi="Sylfaen" w:cs="Sylfaen"/>
        </w:rPr>
        <w:t>ორმოების</w:t>
      </w:r>
      <w:r w:rsidRPr="001352AB">
        <w:t xml:space="preserve"> </w:t>
      </w:r>
      <w:r w:rsidRPr="001352AB">
        <w:rPr>
          <w:rFonts w:ascii="Sylfaen" w:hAnsi="Sylfaen" w:cs="Sylfaen"/>
        </w:rPr>
        <w:t>შეკეთების</w:t>
      </w:r>
      <w:r w:rsidRPr="001352AB">
        <w:t xml:space="preserve"> </w:t>
      </w:r>
      <w:r w:rsidRPr="001352AB">
        <w:rPr>
          <w:rFonts w:ascii="Sylfaen" w:hAnsi="Sylfaen" w:cs="Sylfaen"/>
        </w:rPr>
        <w:t>დროს</w:t>
      </w:r>
      <w:r w:rsidRPr="001352AB">
        <w:t xml:space="preserve"> </w:t>
      </w:r>
      <w:r w:rsidRPr="001352AB">
        <w:rPr>
          <w:rFonts w:ascii="Sylfaen" w:hAnsi="Sylfaen" w:cs="Sylfaen"/>
        </w:rPr>
        <w:t>მოხდება</w:t>
      </w:r>
      <w:r w:rsidRPr="001352AB">
        <w:t xml:space="preserve">  </w:t>
      </w:r>
      <w:r w:rsidRPr="001352AB">
        <w:rPr>
          <w:rFonts w:ascii="Sylfaen" w:hAnsi="Sylfaen" w:cs="Sylfaen"/>
        </w:rPr>
        <w:t>სანიაღვრე</w:t>
      </w:r>
      <w:r w:rsidRPr="001352AB">
        <w:t xml:space="preserve"> </w:t>
      </w:r>
      <w:r w:rsidRPr="001352AB">
        <w:rPr>
          <w:rFonts w:ascii="Sylfaen" w:hAnsi="Sylfaen" w:cs="Sylfaen"/>
        </w:rPr>
        <w:t>სადრენაჟე</w:t>
      </w:r>
      <w:r w:rsidRPr="001352AB">
        <w:t xml:space="preserve"> </w:t>
      </w:r>
      <w:r w:rsidRPr="001352AB">
        <w:rPr>
          <w:rFonts w:ascii="Sylfaen" w:hAnsi="Sylfaen" w:cs="Sylfaen"/>
        </w:rPr>
        <w:t>სისტემის</w:t>
      </w:r>
      <w:r w:rsidRPr="001352AB">
        <w:t xml:space="preserve"> </w:t>
      </w:r>
      <w:r w:rsidRPr="001352AB">
        <w:rPr>
          <w:rFonts w:ascii="Sylfaen" w:hAnsi="Sylfaen" w:cs="Sylfaen"/>
        </w:rPr>
        <w:t>შესასვლელების</w:t>
      </w:r>
      <w:r w:rsidRPr="001352AB">
        <w:t xml:space="preserve"> </w:t>
      </w:r>
      <w:r w:rsidRPr="001352AB">
        <w:rPr>
          <w:rFonts w:ascii="Sylfaen" w:hAnsi="Sylfaen" w:cs="Sylfaen"/>
        </w:rPr>
        <w:t>და</w:t>
      </w:r>
      <w:r w:rsidRPr="001352AB">
        <w:t xml:space="preserve"> </w:t>
      </w:r>
      <w:r w:rsidRPr="001352AB">
        <w:rPr>
          <w:rFonts w:ascii="Sylfaen" w:hAnsi="Sylfaen" w:cs="Sylfaen"/>
        </w:rPr>
        <w:t>ლიუკების</w:t>
      </w:r>
      <w:r w:rsidRPr="001352AB">
        <w:t xml:space="preserve"> </w:t>
      </w:r>
      <w:r w:rsidRPr="001352AB">
        <w:rPr>
          <w:rFonts w:ascii="Sylfaen" w:hAnsi="Sylfaen" w:cs="Sylfaen"/>
        </w:rPr>
        <w:t>დაცვა</w:t>
      </w:r>
      <w:r w:rsidRPr="001352AB">
        <w:t xml:space="preserve"> </w:t>
      </w:r>
      <w:r w:rsidRPr="001352AB">
        <w:rPr>
          <w:rFonts w:ascii="Sylfaen" w:hAnsi="Sylfaen" w:cs="Sylfaen"/>
        </w:rPr>
        <w:t>ბლოკირებისგან</w:t>
      </w:r>
      <w:r w:rsidRPr="001352AB">
        <w:t xml:space="preserve">,  </w:t>
      </w:r>
      <w:r w:rsidRPr="001352AB">
        <w:rPr>
          <w:rFonts w:ascii="Sylfaen" w:hAnsi="Sylfaen" w:cs="Sylfaen"/>
        </w:rPr>
        <w:t>გზის</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შეკეთებისას</w:t>
      </w:r>
      <w:r w:rsidRPr="001352AB">
        <w:t xml:space="preserve"> </w:t>
      </w:r>
      <w:r w:rsidRPr="001352AB">
        <w:rPr>
          <w:rFonts w:ascii="Sylfaen" w:hAnsi="Sylfaen" w:cs="Sylfaen"/>
        </w:rPr>
        <w:t>ეროზიის</w:t>
      </w:r>
      <w:r w:rsidRPr="001352AB">
        <w:t xml:space="preserve"> </w:t>
      </w:r>
      <w:r w:rsidRPr="001352AB">
        <w:rPr>
          <w:rFonts w:ascii="Sylfaen" w:hAnsi="Sylfaen" w:cs="Sylfaen"/>
        </w:rPr>
        <w:t>და</w:t>
      </w:r>
      <w:r w:rsidRPr="001352AB">
        <w:t xml:space="preserve"> </w:t>
      </w:r>
      <w:r w:rsidRPr="001352AB">
        <w:rPr>
          <w:rFonts w:ascii="Sylfaen" w:hAnsi="Sylfaen" w:cs="Sylfaen"/>
        </w:rPr>
        <w:t>ნატანის</w:t>
      </w:r>
      <w:r w:rsidRPr="001352AB">
        <w:t xml:space="preserve"> </w:t>
      </w:r>
      <w:r w:rsidRPr="001352AB">
        <w:rPr>
          <w:rFonts w:ascii="Sylfaen" w:hAnsi="Sylfaen" w:cs="Sylfaen"/>
        </w:rPr>
        <w:t>კონტროლი</w:t>
      </w:r>
      <w:r w:rsidRPr="001352AB">
        <w:t xml:space="preserve"> </w:t>
      </w:r>
      <w:r w:rsidRPr="001352AB">
        <w:rPr>
          <w:rFonts w:ascii="Sylfaen" w:hAnsi="Sylfaen" w:cs="Sylfaen"/>
        </w:rPr>
        <w:t>შეკეთების</w:t>
      </w:r>
      <w:r w:rsidRPr="001352AB">
        <w:t xml:space="preserve"> </w:t>
      </w:r>
      <w:r w:rsidRPr="001352AB">
        <w:rPr>
          <w:rFonts w:ascii="Sylfaen" w:hAnsi="Sylfaen" w:cs="Sylfaen"/>
        </w:rPr>
        <w:t>უბნებიდან</w:t>
      </w:r>
      <w:r w:rsidRPr="001352AB">
        <w:t xml:space="preserve"> </w:t>
      </w:r>
      <w:r w:rsidRPr="001352AB">
        <w:rPr>
          <w:rFonts w:ascii="Sylfaen" w:hAnsi="Sylfaen" w:cs="Sylfaen"/>
        </w:rPr>
        <w:t>ჩამონადენის</w:t>
      </w:r>
      <w:r w:rsidRPr="001352AB">
        <w:t xml:space="preserve"> </w:t>
      </w:r>
      <w:r w:rsidRPr="001352AB">
        <w:rPr>
          <w:rFonts w:ascii="Sylfaen" w:hAnsi="Sylfaen" w:cs="Sylfaen"/>
        </w:rPr>
        <w:t>შესამცირებლად</w:t>
      </w:r>
      <w:r w:rsidRPr="001352AB">
        <w:t xml:space="preserve">, </w:t>
      </w:r>
      <w:r w:rsidRPr="001352AB">
        <w:rPr>
          <w:rFonts w:ascii="Sylfaen" w:hAnsi="Sylfaen" w:cs="Sylfaen"/>
        </w:rPr>
        <w:t>შემკრებების</w:t>
      </w:r>
      <w:r w:rsidRPr="001352AB">
        <w:t xml:space="preserve"> </w:t>
      </w:r>
      <w:r w:rsidRPr="001352AB">
        <w:rPr>
          <w:rFonts w:ascii="Sylfaen" w:hAnsi="Sylfaen" w:cs="Sylfaen"/>
        </w:rPr>
        <w:t>და</w:t>
      </w:r>
      <w:r w:rsidRPr="001352AB">
        <w:t xml:space="preserve"> </w:t>
      </w:r>
      <w:r w:rsidRPr="001352AB">
        <w:rPr>
          <w:rFonts w:ascii="Sylfaen" w:hAnsi="Sylfaen" w:cs="Sylfaen"/>
        </w:rPr>
        <w:t>ადსორბენტების</w:t>
      </w:r>
      <w:r w:rsidRPr="001352AB">
        <w:t xml:space="preserve"> </w:t>
      </w:r>
      <w:r w:rsidRPr="001352AB">
        <w:rPr>
          <w:rFonts w:ascii="Sylfaen" w:hAnsi="Sylfaen" w:cs="Sylfaen"/>
        </w:rPr>
        <w:t>გამოყენება</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გაჟონვის</w:t>
      </w:r>
      <w:r w:rsidRPr="001352AB">
        <w:t xml:space="preserve"> </w:t>
      </w:r>
      <w:r w:rsidRPr="001352AB">
        <w:rPr>
          <w:rFonts w:ascii="Sylfaen" w:hAnsi="Sylfaen" w:cs="Sylfaen"/>
        </w:rPr>
        <w:t>და</w:t>
      </w:r>
      <w:r w:rsidRPr="001352AB">
        <w:t xml:space="preserve"> </w:t>
      </w:r>
      <w:r w:rsidRPr="001352AB">
        <w:rPr>
          <w:rFonts w:ascii="Sylfaen" w:hAnsi="Sylfaen" w:cs="Sylfaen"/>
        </w:rPr>
        <w:t>ტექნიკიდან</w:t>
      </w:r>
      <w:r w:rsidRPr="001352AB">
        <w:t xml:space="preserve"> </w:t>
      </w:r>
      <w:r w:rsidRPr="001352AB">
        <w:rPr>
          <w:rFonts w:ascii="Sylfaen" w:hAnsi="Sylfaen" w:cs="Sylfaen"/>
        </w:rPr>
        <w:t>ნაწვეთის</w:t>
      </w:r>
      <w:r w:rsidRPr="001352AB">
        <w:t xml:space="preserve"> </w:t>
      </w:r>
      <w:r w:rsidRPr="001352AB">
        <w:rPr>
          <w:rFonts w:ascii="Sylfaen" w:hAnsi="Sylfaen" w:cs="Sylfaen"/>
        </w:rPr>
        <w:t>შესაზღუდად</w:t>
      </w:r>
      <w:r w:rsidRPr="001352AB">
        <w:t xml:space="preserve">. </w:t>
      </w:r>
    </w:p>
    <w:p w14:paraId="655D477B" w14:textId="77777777" w:rsidR="00CD64B5" w:rsidRPr="001352AB" w:rsidRDefault="00CD64B5" w:rsidP="000E38C6">
      <w:pPr>
        <w:spacing w:before="120" w:after="120"/>
      </w:pPr>
      <w:r w:rsidRPr="001352AB">
        <w:rPr>
          <w:rFonts w:ascii="Sylfaen" w:hAnsi="Sylfaen" w:cs="Sylfaen"/>
        </w:rPr>
        <w:t>გრძელვადიან</w:t>
      </w:r>
      <w:r w:rsidRPr="001352AB">
        <w:t xml:space="preserve"> </w:t>
      </w:r>
      <w:r w:rsidRPr="001352AB">
        <w:rPr>
          <w:rFonts w:ascii="Sylfaen" w:hAnsi="Sylfaen" w:cs="Sylfaen"/>
        </w:rPr>
        <w:t>პერსპექტივაში</w:t>
      </w:r>
      <w:r w:rsidRPr="001352AB">
        <w:t xml:space="preserve">, </w:t>
      </w:r>
      <w:r w:rsidRPr="001352AB">
        <w:rPr>
          <w:rFonts w:ascii="Sylfaen" w:hAnsi="Sylfaen" w:cs="Sylfaen"/>
        </w:rPr>
        <w:t>ევროკავშირთან</w:t>
      </w:r>
      <w:r w:rsidRPr="001352AB">
        <w:t xml:space="preserve"> </w:t>
      </w:r>
      <w:r w:rsidRPr="001352AB">
        <w:rPr>
          <w:rFonts w:ascii="Sylfaen" w:hAnsi="Sylfaen" w:cs="Sylfaen"/>
        </w:rPr>
        <w:t>ასოცირების</w:t>
      </w:r>
      <w:r w:rsidRPr="001352AB">
        <w:t xml:space="preserve"> </w:t>
      </w:r>
      <w:r w:rsidRPr="001352AB">
        <w:rPr>
          <w:rFonts w:ascii="Sylfaen" w:hAnsi="Sylfaen" w:cs="Sylfaen"/>
        </w:rPr>
        <w:t>რეკომენდაციების</w:t>
      </w:r>
      <w:r w:rsidRPr="001352AB">
        <w:t xml:space="preserve"> </w:t>
      </w:r>
      <w:r w:rsidRPr="001352AB">
        <w:rPr>
          <w:rFonts w:ascii="Sylfaen" w:hAnsi="Sylfaen" w:cs="Sylfaen"/>
        </w:rPr>
        <w:t>გათვალისწინებით</w:t>
      </w:r>
      <w:r w:rsidRPr="001352AB">
        <w:t xml:space="preserve"> </w:t>
      </w:r>
      <w:r w:rsidRPr="001352AB">
        <w:rPr>
          <w:rFonts w:ascii="Sylfaen" w:hAnsi="Sylfaen" w:cs="Sylfaen"/>
        </w:rPr>
        <w:t>სატრანსპორტო</w:t>
      </w:r>
      <w:r w:rsidRPr="001352AB">
        <w:t xml:space="preserve"> </w:t>
      </w:r>
      <w:r w:rsidRPr="001352AB">
        <w:rPr>
          <w:rFonts w:ascii="Sylfaen" w:hAnsi="Sylfaen" w:cs="Sylfaen"/>
        </w:rPr>
        <w:t>საშუალებების</w:t>
      </w:r>
      <w:r w:rsidRPr="001352AB">
        <w:t xml:space="preserve"> </w:t>
      </w:r>
      <w:r w:rsidRPr="001352AB">
        <w:rPr>
          <w:rFonts w:ascii="Sylfaen" w:hAnsi="Sylfaen" w:cs="Sylfaen"/>
        </w:rPr>
        <w:t>ასაკთან</w:t>
      </w:r>
      <w:r w:rsidRPr="001352AB">
        <w:t xml:space="preserve"> </w:t>
      </w:r>
      <w:r w:rsidRPr="001352AB">
        <w:rPr>
          <w:rFonts w:ascii="Sylfaen" w:hAnsi="Sylfaen" w:cs="Sylfaen"/>
        </w:rPr>
        <w:t>და</w:t>
      </w:r>
      <w:r w:rsidRPr="001352AB">
        <w:t xml:space="preserve"> </w:t>
      </w:r>
      <w:r w:rsidRPr="001352AB">
        <w:rPr>
          <w:rFonts w:ascii="Sylfaen" w:hAnsi="Sylfaen" w:cs="Sylfaen"/>
        </w:rPr>
        <w:t>ტექნიკური</w:t>
      </w:r>
      <w:r w:rsidRPr="001352AB">
        <w:t xml:space="preserve"> </w:t>
      </w:r>
      <w:r w:rsidRPr="001352AB">
        <w:rPr>
          <w:rFonts w:ascii="Sylfaen" w:hAnsi="Sylfaen" w:cs="Sylfaen"/>
        </w:rPr>
        <w:t>მდგომარეობის</w:t>
      </w:r>
      <w:r w:rsidRPr="001352AB">
        <w:t xml:space="preserve"> </w:t>
      </w:r>
      <w:r w:rsidRPr="001352AB">
        <w:rPr>
          <w:rFonts w:ascii="Sylfaen" w:hAnsi="Sylfaen" w:cs="Sylfaen"/>
        </w:rPr>
        <w:t>დაკავშირებული</w:t>
      </w:r>
      <w:r w:rsidRPr="001352AB">
        <w:t xml:space="preserve"> </w:t>
      </w:r>
      <w:r w:rsidRPr="001352AB">
        <w:rPr>
          <w:rFonts w:ascii="Sylfaen" w:hAnsi="Sylfaen" w:cs="Sylfaen"/>
        </w:rPr>
        <w:t>რეგულაციების</w:t>
      </w:r>
      <w:r w:rsidRPr="001352AB">
        <w:t xml:space="preserve"> </w:t>
      </w:r>
      <w:r w:rsidRPr="001352AB">
        <w:rPr>
          <w:rFonts w:ascii="Sylfaen" w:hAnsi="Sylfaen" w:cs="Sylfaen"/>
        </w:rPr>
        <w:t>გამკაცრების</w:t>
      </w:r>
      <w:r w:rsidRPr="001352AB">
        <w:t xml:space="preserve"> </w:t>
      </w:r>
      <w:r w:rsidRPr="001352AB">
        <w:rPr>
          <w:rFonts w:ascii="Sylfaen" w:hAnsi="Sylfaen" w:cs="Sylfaen"/>
        </w:rPr>
        <w:t>და</w:t>
      </w:r>
      <w:r w:rsidRPr="001352AB">
        <w:t xml:space="preserve"> </w:t>
      </w:r>
      <w:r w:rsidRPr="001352AB">
        <w:rPr>
          <w:rFonts w:ascii="Sylfaen" w:hAnsi="Sylfaen" w:cs="Sylfaen"/>
        </w:rPr>
        <w:t>საწვავის</w:t>
      </w:r>
      <w:r w:rsidRPr="001352AB">
        <w:t xml:space="preserve"> </w:t>
      </w:r>
      <w:r w:rsidRPr="001352AB">
        <w:rPr>
          <w:rFonts w:ascii="Sylfaen" w:hAnsi="Sylfaen" w:cs="Sylfaen"/>
        </w:rPr>
        <w:t>ხარისხის</w:t>
      </w:r>
      <w:r w:rsidRPr="001352AB">
        <w:t xml:space="preserve"> </w:t>
      </w:r>
      <w:r w:rsidRPr="001352AB">
        <w:rPr>
          <w:rFonts w:ascii="Sylfaen" w:hAnsi="Sylfaen" w:cs="Sylfaen"/>
        </w:rPr>
        <w:t>გაუმჯობესების</w:t>
      </w:r>
      <w:r w:rsidRPr="001352AB">
        <w:t xml:space="preserve"> </w:t>
      </w:r>
      <w:r w:rsidRPr="001352AB">
        <w:rPr>
          <w:rFonts w:ascii="Sylfaen" w:hAnsi="Sylfaen" w:cs="Sylfaen"/>
        </w:rPr>
        <w:t>შედეგად</w:t>
      </w:r>
      <w:r w:rsidRPr="001352AB">
        <w:t xml:space="preserve"> </w:t>
      </w:r>
      <w:r w:rsidRPr="001352AB">
        <w:rPr>
          <w:rFonts w:ascii="Sylfaen" w:hAnsi="Sylfaen" w:cs="Sylfaen"/>
        </w:rPr>
        <w:t>შემცირდება</w:t>
      </w:r>
      <w:r w:rsidRPr="001352AB">
        <w:t xml:space="preserve"> </w:t>
      </w:r>
      <w:r w:rsidRPr="001352AB">
        <w:rPr>
          <w:rFonts w:ascii="Sylfaen" w:hAnsi="Sylfaen" w:cs="Sylfaen"/>
        </w:rPr>
        <w:t>გარემოზე</w:t>
      </w:r>
      <w:r w:rsidRPr="001352AB">
        <w:t xml:space="preserve"> </w:t>
      </w:r>
      <w:r w:rsidRPr="001352AB">
        <w:rPr>
          <w:rFonts w:ascii="Sylfaen" w:hAnsi="Sylfaen" w:cs="Sylfaen"/>
        </w:rPr>
        <w:t>ზემოქმედების</w:t>
      </w:r>
      <w:r w:rsidRPr="001352AB">
        <w:t xml:space="preserve"> ‘</w:t>
      </w:r>
      <w:r w:rsidRPr="001352AB">
        <w:rPr>
          <w:rFonts w:ascii="Sylfaen" w:hAnsi="Sylfaen" w:cs="Sylfaen"/>
        </w:rPr>
        <w:t>ხარისხი</w:t>
      </w:r>
      <w:r w:rsidRPr="001352AB">
        <w:t xml:space="preserve">’. </w:t>
      </w:r>
    </w:p>
    <w:p w14:paraId="468C1D57" w14:textId="77777777" w:rsidR="00CD64B5" w:rsidRPr="001352AB" w:rsidRDefault="00CD64B5" w:rsidP="000E38C6">
      <w:pPr>
        <w:spacing w:before="120" w:after="120"/>
        <w:rPr>
          <w:lang w:eastAsia="da-DK"/>
        </w:rPr>
      </w:pPr>
      <w:r w:rsidRPr="001352AB">
        <w:rPr>
          <w:rFonts w:ascii="Sylfaen" w:hAnsi="Sylfaen" w:cs="Sylfaen"/>
        </w:rPr>
        <w:t>სარემონტო</w:t>
      </w:r>
      <w:r w:rsidRPr="001352AB">
        <w:t xml:space="preserve"> </w:t>
      </w:r>
      <w:r w:rsidRPr="001352AB">
        <w:rPr>
          <w:rFonts w:ascii="Sylfaen" w:hAnsi="Sylfaen" w:cs="Sylfaen"/>
        </w:rPr>
        <w:t>და</w:t>
      </w:r>
      <w:r w:rsidRPr="001352AB">
        <w:t xml:space="preserve"> </w:t>
      </w:r>
      <w:r w:rsidRPr="001352AB">
        <w:rPr>
          <w:rFonts w:ascii="Sylfaen" w:hAnsi="Sylfaen" w:cs="Sylfaen"/>
        </w:rPr>
        <w:t>ტექმომსახურების</w:t>
      </w:r>
      <w:r w:rsidRPr="001352AB">
        <w:t xml:space="preserve"> </w:t>
      </w:r>
      <w:r w:rsidRPr="001352AB">
        <w:rPr>
          <w:rFonts w:ascii="Sylfaen" w:hAnsi="Sylfaen" w:cs="Sylfaen"/>
        </w:rPr>
        <w:t>სამუშაოების</w:t>
      </w:r>
      <w:r w:rsidRPr="001352AB">
        <w:t xml:space="preserve"> </w:t>
      </w:r>
      <w:r w:rsidRPr="001352AB">
        <w:rPr>
          <w:rFonts w:ascii="Sylfaen" w:hAnsi="Sylfaen" w:cs="Sylfaen"/>
        </w:rPr>
        <w:t>წარმოებისას</w:t>
      </w:r>
      <w:r w:rsidRPr="001352AB">
        <w:t xml:space="preserve">, </w:t>
      </w: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მშენებლობის</w:t>
      </w:r>
      <w:r w:rsidRPr="001352AB">
        <w:t xml:space="preserve"> </w:t>
      </w:r>
      <w:r w:rsidRPr="001352AB">
        <w:rPr>
          <w:rFonts w:ascii="Sylfaen" w:hAnsi="Sylfaen" w:cs="Sylfaen"/>
        </w:rPr>
        <w:t>ეტაპისთვის</w:t>
      </w:r>
      <w:r w:rsidRPr="001352AB">
        <w:t xml:space="preserve"> </w:t>
      </w:r>
      <w:r w:rsidRPr="001352AB">
        <w:rPr>
          <w:rFonts w:ascii="Sylfaen" w:hAnsi="Sylfaen" w:cs="Sylfaen"/>
        </w:rPr>
        <w:t>შემოთავაზებული</w:t>
      </w:r>
      <w:r w:rsidRPr="001352AB">
        <w:t xml:space="preserve"> </w:t>
      </w: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w:t>
      </w:r>
      <w:r w:rsidRPr="001352AB">
        <w:t>.</w:t>
      </w:r>
    </w:p>
    <w:p w14:paraId="084E5C6A" w14:textId="77777777" w:rsidR="00CD64B5" w:rsidRPr="001352AB" w:rsidRDefault="00CD64B5" w:rsidP="000E38C6">
      <w:pPr>
        <w:spacing w:before="120" w:after="120"/>
      </w:pP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შესრულების</w:t>
      </w:r>
      <w:r w:rsidRPr="001352AB">
        <w:t xml:space="preserve"> </w:t>
      </w:r>
      <w:r w:rsidRPr="001352AB">
        <w:rPr>
          <w:rFonts w:ascii="Sylfaen" w:hAnsi="Sylfaen" w:cs="Sylfaen"/>
        </w:rPr>
        <w:t>უზრუნველყოფა</w:t>
      </w:r>
      <w:r w:rsidRPr="001352AB">
        <w:t xml:space="preserve"> </w:t>
      </w:r>
      <w:r w:rsidRPr="001352AB">
        <w:rPr>
          <w:rFonts w:ascii="Sylfaen" w:hAnsi="Sylfaen" w:cs="Sylfaen"/>
        </w:rPr>
        <w:t>საავტომობილო</w:t>
      </w:r>
      <w:r w:rsidRPr="001352AB">
        <w:t xml:space="preserve"> </w:t>
      </w:r>
      <w:r w:rsidRPr="001352AB">
        <w:rPr>
          <w:rFonts w:ascii="Sylfaen" w:hAnsi="Sylfaen" w:cs="Sylfaen"/>
        </w:rPr>
        <w:t>გზების</w:t>
      </w:r>
      <w:r w:rsidRPr="001352AB">
        <w:t xml:space="preserve"> </w:t>
      </w:r>
      <w:r w:rsidRPr="001352AB">
        <w:rPr>
          <w:rFonts w:ascii="Sylfaen" w:hAnsi="Sylfaen" w:cs="Sylfaen"/>
        </w:rPr>
        <w:t>დეპარტამენტის</w:t>
      </w:r>
      <w:r w:rsidRPr="001352AB">
        <w:t xml:space="preserve"> </w:t>
      </w:r>
      <w:r w:rsidRPr="001352AB">
        <w:rPr>
          <w:rFonts w:ascii="Sylfaen" w:hAnsi="Sylfaen" w:cs="Sylfaen"/>
        </w:rPr>
        <w:t>პასუხისმგებლობას</w:t>
      </w:r>
      <w:r w:rsidRPr="001352AB">
        <w:t xml:space="preserve"> </w:t>
      </w:r>
      <w:r w:rsidRPr="001352AB">
        <w:rPr>
          <w:rFonts w:ascii="Sylfaen" w:hAnsi="Sylfaen" w:cs="Sylfaen"/>
        </w:rPr>
        <w:t>წარმოადგენს</w:t>
      </w:r>
      <w:r w:rsidRPr="001352AB">
        <w:t xml:space="preserve">.    </w:t>
      </w:r>
    </w:p>
    <w:p w14:paraId="413BFEC3" w14:textId="77777777" w:rsidR="00CD64B5" w:rsidRPr="001352AB" w:rsidRDefault="00CD64B5" w:rsidP="00CD64B5">
      <w:pPr>
        <w:rPr>
          <w:lang w:val="ka-GE"/>
        </w:rPr>
      </w:pPr>
    </w:p>
    <w:p w14:paraId="35A957C8" w14:textId="77777777" w:rsidR="00CD64B5" w:rsidRPr="001352AB" w:rsidRDefault="00CD64B5" w:rsidP="000E38C6">
      <w:pPr>
        <w:pStyle w:val="EIAheading2"/>
        <w:spacing w:before="120" w:after="120"/>
      </w:pPr>
      <w:bookmarkStart w:id="362" w:name="_Toc529977406"/>
      <w:bookmarkStart w:id="363" w:name="_Toc495314391"/>
      <w:bookmarkStart w:id="364" w:name="_Toc479166523"/>
      <w:bookmarkStart w:id="365" w:name="_Toc479164793"/>
      <w:bookmarkStart w:id="366" w:name="_Toc1581569"/>
      <w:r w:rsidRPr="001352AB">
        <w:t xml:space="preserve">7.5 </w:t>
      </w:r>
      <w:r w:rsidRPr="001352AB">
        <w:rPr>
          <w:rFonts w:ascii="Sylfaen" w:hAnsi="Sylfaen" w:cs="Sylfaen"/>
        </w:rPr>
        <w:t>ზემოქმედება</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ნაყოფიერებაზე</w:t>
      </w:r>
      <w:r w:rsidRPr="001352AB">
        <w:t xml:space="preserve"> </w:t>
      </w:r>
      <w:r w:rsidRPr="001352AB">
        <w:rPr>
          <w:rFonts w:ascii="Sylfaen" w:hAnsi="Sylfaen" w:cs="Sylfaen"/>
        </w:rPr>
        <w:t>და</w:t>
      </w:r>
      <w:r w:rsidRPr="001352AB">
        <w:t xml:space="preserve"> </w:t>
      </w:r>
      <w:r w:rsidRPr="001352AB">
        <w:rPr>
          <w:rFonts w:ascii="Sylfaen" w:hAnsi="Sylfaen" w:cs="Sylfaen"/>
        </w:rPr>
        <w:t>ხარისხზე</w:t>
      </w:r>
      <w:bookmarkEnd w:id="362"/>
      <w:bookmarkEnd w:id="363"/>
      <w:bookmarkEnd w:id="364"/>
      <w:bookmarkEnd w:id="365"/>
      <w:bookmarkEnd w:id="366"/>
    </w:p>
    <w:p w14:paraId="3C995E6F" w14:textId="77777777" w:rsidR="00CD64B5" w:rsidRPr="001352AB" w:rsidRDefault="00CD64B5" w:rsidP="000E38C6">
      <w:pPr>
        <w:pStyle w:val="Heading3"/>
        <w:spacing w:before="120" w:after="120"/>
      </w:pPr>
      <w:bookmarkStart w:id="367" w:name="_Toc529977407"/>
      <w:bookmarkStart w:id="368" w:name="_Toc495314392"/>
      <w:bookmarkStart w:id="369" w:name="_Toc479166524"/>
      <w:bookmarkStart w:id="370" w:name="_Toc479164794"/>
      <w:bookmarkStart w:id="371" w:name="_Toc1581570"/>
      <w:r w:rsidRPr="001352AB">
        <w:t xml:space="preserve">7.5.1 </w:t>
      </w:r>
      <w:r w:rsidRPr="001352AB">
        <w:rPr>
          <w:rFonts w:ascii="Sylfaen" w:hAnsi="Sylfaen" w:cs="Sylfaen"/>
        </w:rPr>
        <w:t>ნიადაგზე</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მშენებლობის</w:t>
      </w:r>
      <w:r w:rsidRPr="001352AB">
        <w:t xml:space="preserve"> </w:t>
      </w:r>
      <w:r w:rsidRPr="001352AB">
        <w:rPr>
          <w:rFonts w:ascii="Sylfaen" w:hAnsi="Sylfaen" w:cs="Sylfaen"/>
        </w:rPr>
        <w:t>ეტაპზე</w:t>
      </w:r>
      <w:bookmarkEnd w:id="367"/>
      <w:bookmarkEnd w:id="368"/>
      <w:bookmarkEnd w:id="369"/>
      <w:bookmarkEnd w:id="370"/>
      <w:bookmarkEnd w:id="371"/>
    </w:p>
    <w:p w14:paraId="62C8ACCD" w14:textId="77777777" w:rsidR="00CD64B5" w:rsidRPr="001352AB" w:rsidRDefault="00CD64B5" w:rsidP="000E38C6">
      <w:pPr>
        <w:spacing w:before="120" w:after="120"/>
        <w:rPr>
          <w:lang w:val="ka-GE" w:eastAsia="da-DK"/>
        </w:rPr>
      </w:pPr>
      <w:r w:rsidRPr="001352AB">
        <w:rPr>
          <w:rFonts w:ascii="Sylfaen" w:hAnsi="Sylfaen" w:cs="Sylfaen"/>
        </w:rPr>
        <w:t>მშენებლობის</w:t>
      </w:r>
      <w:r w:rsidRPr="001352AB">
        <w:t xml:space="preserve"> </w:t>
      </w:r>
      <w:r w:rsidRPr="001352AB">
        <w:rPr>
          <w:rFonts w:ascii="Sylfaen" w:hAnsi="Sylfaen" w:cs="Sylfaen"/>
        </w:rPr>
        <w:t>დროს</w:t>
      </w:r>
      <w:r w:rsidRPr="001352AB">
        <w:t xml:space="preserve"> </w:t>
      </w:r>
      <w:r w:rsidRPr="001352AB">
        <w:rPr>
          <w:rFonts w:ascii="Sylfaen" w:hAnsi="Sylfaen" w:cs="Sylfaen"/>
        </w:rPr>
        <w:t>შესაძლო</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ნიადაგზე</w:t>
      </w:r>
      <w:r w:rsidRPr="001352AB">
        <w:t xml:space="preserve"> </w:t>
      </w:r>
      <w:r w:rsidRPr="001352AB">
        <w:rPr>
          <w:rFonts w:ascii="Sylfaen" w:hAnsi="Sylfaen" w:cs="Sylfaen"/>
        </w:rPr>
        <w:t>ძირითადად</w:t>
      </w:r>
      <w:r w:rsidRPr="001352AB">
        <w:t xml:space="preserve"> </w:t>
      </w:r>
      <w:r w:rsidRPr="001352AB">
        <w:rPr>
          <w:rFonts w:ascii="Sylfaen" w:hAnsi="Sylfaen" w:cs="Sylfaen"/>
        </w:rPr>
        <w:t>დაკავშირებული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გასხვისების</w:t>
      </w:r>
      <w:r w:rsidRPr="001352AB">
        <w:t xml:space="preserve"> </w:t>
      </w:r>
      <w:r w:rsidRPr="001352AB">
        <w:rPr>
          <w:rFonts w:ascii="Sylfaen" w:hAnsi="Sylfaen" w:cs="Sylfaen"/>
        </w:rPr>
        <w:t>ზოლის</w:t>
      </w:r>
      <w:r w:rsidRPr="001352AB">
        <w:t xml:space="preserve"> </w:t>
      </w:r>
      <w:r w:rsidRPr="001352AB">
        <w:rPr>
          <w:rFonts w:ascii="Sylfaen" w:hAnsi="Sylfaen" w:cs="Sylfaen"/>
        </w:rPr>
        <w:t>მომზადების</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ბანაკების</w:t>
      </w:r>
      <w:r w:rsidRPr="001352AB">
        <w:t xml:space="preserve"> </w:t>
      </w:r>
      <w:r w:rsidRPr="001352AB">
        <w:rPr>
          <w:rFonts w:ascii="Sylfaen" w:hAnsi="Sylfaen" w:cs="Sylfaen"/>
        </w:rPr>
        <w:t>და</w:t>
      </w:r>
      <w:r w:rsidRPr="001352AB">
        <w:t xml:space="preserve"> </w:t>
      </w:r>
      <w:r w:rsidRPr="001352AB">
        <w:rPr>
          <w:rFonts w:ascii="Sylfaen" w:hAnsi="Sylfaen" w:cs="Sylfaen"/>
        </w:rPr>
        <w:t>სამუშაო</w:t>
      </w:r>
      <w:r w:rsidRPr="001352AB">
        <w:t xml:space="preserve"> </w:t>
      </w:r>
      <w:r w:rsidRPr="001352AB">
        <w:rPr>
          <w:rFonts w:ascii="Sylfaen" w:hAnsi="Sylfaen" w:cs="Sylfaen"/>
        </w:rPr>
        <w:t>უბნების</w:t>
      </w:r>
      <w:r w:rsidRPr="001352AB">
        <w:t xml:space="preserve"> </w:t>
      </w:r>
      <w:r w:rsidRPr="001352AB">
        <w:rPr>
          <w:rFonts w:ascii="Sylfaen" w:hAnsi="Sylfaen" w:cs="Sylfaen"/>
        </w:rPr>
        <w:t>მოწყობის</w:t>
      </w:r>
      <w:r w:rsidRPr="001352AB">
        <w:t xml:space="preserve"> </w:t>
      </w:r>
      <w:r w:rsidRPr="001352AB">
        <w:rPr>
          <w:rFonts w:ascii="Sylfaen" w:hAnsi="Sylfaen" w:cs="Sylfaen"/>
        </w:rPr>
        <w:t>დროს</w:t>
      </w:r>
      <w:r w:rsidRPr="001352AB">
        <w:t xml:space="preserve"> </w:t>
      </w:r>
      <w:r w:rsidRPr="001352AB">
        <w:rPr>
          <w:rFonts w:ascii="Sylfaen" w:hAnsi="Sylfaen" w:cs="Sylfaen"/>
        </w:rPr>
        <w:t>ნაყოფიერი</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დაზიანება</w:t>
      </w:r>
      <w:r w:rsidRPr="001352AB">
        <w:t>-</w:t>
      </w:r>
      <w:r w:rsidRPr="001352AB">
        <w:rPr>
          <w:rFonts w:ascii="Sylfaen" w:hAnsi="Sylfaen" w:cs="Sylfaen"/>
        </w:rPr>
        <w:t>დაკარგვასთან</w:t>
      </w:r>
      <w:r w:rsidRPr="001352AB">
        <w:t xml:space="preserve">; </w:t>
      </w:r>
      <w:r w:rsidRPr="001352AB">
        <w:rPr>
          <w:rFonts w:ascii="Sylfaen" w:hAnsi="Sylfaen" w:cs="Sylfaen"/>
        </w:rPr>
        <w:t>მანქანებიდან</w:t>
      </w:r>
      <w:r w:rsidRPr="001352AB">
        <w:t xml:space="preserve"> </w:t>
      </w:r>
      <w:r w:rsidRPr="001352AB">
        <w:rPr>
          <w:rFonts w:ascii="Sylfaen" w:hAnsi="Sylfaen" w:cs="Sylfaen"/>
        </w:rPr>
        <w:t>და</w:t>
      </w:r>
      <w:r w:rsidRPr="001352AB">
        <w:t>/</w:t>
      </w:r>
      <w:r w:rsidRPr="001352AB">
        <w:rPr>
          <w:rFonts w:ascii="Sylfaen" w:hAnsi="Sylfaen" w:cs="Sylfaen"/>
        </w:rPr>
        <w:t>ან</w:t>
      </w:r>
      <w:r w:rsidRPr="001352AB">
        <w:t xml:space="preserve"> </w:t>
      </w:r>
      <w:r w:rsidRPr="001352AB">
        <w:rPr>
          <w:rFonts w:ascii="Sylfaen" w:hAnsi="Sylfaen" w:cs="Sylfaen"/>
        </w:rPr>
        <w:t>საწვავის</w:t>
      </w:r>
      <w:r w:rsidRPr="001352AB">
        <w:t xml:space="preserve"> </w:t>
      </w:r>
      <w:r w:rsidRPr="001352AB">
        <w:rPr>
          <w:rFonts w:ascii="Sylfaen" w:hAnsi="Sylfaen" w:cs="Sylfaen"/>
        </w:rPr>
        <w:t>საცავიდან</w:t>
      </w:r>
      <w:r w:rsidRPr="001352AB">
        <w:t xml:space="preserve"> (</w:t>
      </w:r>
      <w:r w:rsidRPr="001352AB">
        <w:rPr>
          <w:rFonts w:ascii="Sylfaen" w:hAnsi="Sylfaen" w:cs="Sylfaen"/>
        </w:rPr>
        <w:t>ბანაკის</w:t>
      </w:r>
      <w:r w:rsidRPr="001352AB">
        <w:t xml:space="preserve"> </w:t>
      </w:r>
      <w:r w:rsidRPr="001352AB">
        <w:rPr>
          <w:rFonts w:ascii="Sylfaen" w:hAnsi="Sylfaen" w:cs="Sylfaen"/>
        </w:rPr>
        <w:t>ან</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მოედანზე</w:t>
      </w:r>
      <w:r w:rsidRPr="001352AB">
        <w:t xml:space="preserve"> </w:t>
      </w:r>
      <w:r w:rsidRPr="001352AB">
        <w:rPr>
          <w:rFonts w:ascii="Sylfaen" w:hAnsi="Sylfaen" w:cs="Sylfaen"/>
        </w:rPr>
        <w:t>არსებობის</w:t>
      </w:r>
      <w:r w:rsidRPr="001352AB">
        <w:t xml:space="preserve"> </w:t>
      </w:r>
      <w:r w:rsidRPr="001352AB">
        <w:rPr>
          <w:rFonts w:ascii="Sylfaen" w:hAnsi="Sylfaen" w:cs="Sylfaen"/>
        </w:rPr>
        <w:t>შემთხვევაში</w:t>
      </w:r>
      <w:r w:rsidRPr="001352AB">
        <w:t xml:space="preserve">) </w:t>
      </w:r>
      <w:r w:rsidRPr="001352AB">
        <w:rPr>
          <w:rFonts w:ascii="Sylfaen" w:hAnsi="Sylfaen" w:cs="Sylfaen"/>
        </w:rPr>
        <w:t>საწვავის</w:t>
      </w:r>
      <w:r w:rsidRPr="001352AB">
        <w:t>/</w:t>
      </w:r>
      <w:r w:rsidRPr="001352AB">
        <w:rPr>
          <w:rFonts w:ascii="Sylfaen" w:hAnsi="Sylfaen" w:cs="Sylfaen"/>
        </w:rPr>
        <w:t>ზეთის</w:t>
      </w:r>
      <w:r w:rsidRPr="001352AB">
        <w:t xml:space="preserve"> </w:t>
      </w:r>
      <w:r w:rsidRPr="001352AB">
        <w:rPr>
          <w:rFonts w:ascii="Sylfaen" w:hAnsi="Sylfaen" w:cs="Sylfaen"/>
        </w:rPr>
        <w:t>დაღვრისას</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დაბინძურებასთან</w:t>
      </w:r>
      <w:r w:rsidRPr="001352AB">
        <w:t xml:space="preserve">, </w:t>
      </w:r>
      <w:r w:rsidRPr="001352AB">
        <w:rPr>
          <w:rFonts w:ascii="Sylfaen" w:hAnsi="Sylfaen" w:cs="Sylfaen"/>
        </w:rPr>
        <w:t>ნარჩენებით</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დაბინძურებასთან</w:t>
      </w:r>
      <w:r w:rsidRPr="001352AB">
        <w:t xml:space="preserve">, </w:t>
      </w:r>
      <w:r w:rsidRPr="001352AB">
        <w:rPr>
          <w:rFonts w:ascii="Sylfaen" w:hAnsi="Sylfaen" w:cs="Sylfaen"/>
        </w:rPr>
        <w:t>ღია</w:t>
      </w:r>
      <w:r w:rsidRPr="001352AB">
        <w:t xml:space="preserve"> </w:t>
      </w:r>
      <w:r w:rsidRPr="001352AB">
        <w:rPr>
          <w:rFonts w:ascii="Sylfaen" w:hAnsi="Sylfaen" w:cs="Sylfaen"/>
        </w:rPr>
        <w:t>გრუნტის</w:t>
      </w:r>
      <w:r w:rsidRPr="001352AB">
        <w:t xml:space="preserve"> </w:t>
      </w:r>
      <w:r w:rsidRPr="001352AB">
        <w:rPr>
          <w:rFonts w:ascii="Sylfaen" w:hAnsi="Sylfaen" w:cs="Sylfaen"/>
        </w:rPr>
        <w:t>წყლის</w:t>
      </w:r>
      <w:r w:rsidRPr="001352AB">
        <w:t xml:space="preserve"> </w:t>
      </w:r>
      <w:r w:rsidRPr="001352AB">
        <w:rPr>
          <w:rFonts w:ascii="Sylfaen" w:hAnsi="Sylfaen" w:cs="Sylfaen"/>
        </w:rPr>
        <w:t>ან</w:t>
      </w:r>
      <w:r w:rsidRPr="001352AB">
        <w:t xml:space="preserve"> </w:t>
      </w:r>
      <w:r w:rsidRPr="001352AB">
        <w:rPr>
          <w:rFonts w:ascii="Sylfaen" w:hAnsi="Sylfaen" w:cs="Sylfaen"/>
        </w:rPr>
        <w:t>ქარისმიერ</w:t>
      </w:r>
      <w:r w:rsidRPr="001352AB">
        <w:t xml:space="preserve"> </w:t>
      </w:r>
      <w:r w:rsidRPr="001352AB">
        <w:rPr>
          <w:rFonts w:ascii="Sylfaen" w:hAnsi="Sylfaen" w:cs="Sylfaen"/>
        </w:rPr>
        <w:t>ეროზიასთან</w:t>
      </w:r>
      <w:r w:rsidRPr="001352AB">
        <w:t xml:space="preserve">, </w:t>
      </w:r>
      <w:r w:rsidRPr="001352AB">
        <w:rPr>
          <w:rFonts w:ascii="Sylfaen" w:hAnsi="Sylfaen" w:cs="Sylfaen"/>
        </w:rPr>
        <w:t>ბუნებრივი</w:t>
      </w:r>
      <w:r w:rsidRPr="001352AB">
        <w:t xml:space="preserve"> </w:t>
      </w:r>
      <w:r w:rsidRPr="001352AB">
        <w:rPr>
          <w:rFonts w:ascii="Sylfaen" w:hAnsi="Sylfaen" w:cs="Sylfaen"/>
        </w:rPr>
        <w:t>დრენაჟის</w:t>
      </w:r>
      <w:r w:rsidRPr="001352AB">
        <w:t xml:space="preserve"> </w:t>
      </w:r>
      <w:r w:rsidRPr="001352AB">
        <w:rPr>
          <w:rFonts w:ascii="Sylfaen" w:hAnsi="Sylfaen" w:cs="Sylfaen"/>
        </w:rPr>
        <w:t>პირობების</w:t>
      </w:r>
      <w:r w:rsidRPr="001352AB">
        <w:t xml:space="preserve"> </w:t>
      </w:r>
      <w:r w:rsidRPr="001352AB">
        <w:rPr>
          <w:rFonts w:ascii="Sylfaen" w:hAnsi="Sylfaen" w:cs="Sylfaen"/>
        </w:rPr>
        <w:t>შეცვლისას</w:t>
      </w:r>
      <w:r w:rsidRPr="001352AB">
        <w:t xml:space="preserve"> </w:t>
      </w:r>
      <w:r w:rsidRPr="001352AB">
        <w:rPr>
          <w:rFonts w:ascii="Sylfaen" w:hAnsi="Sylfaen" w:cs="Sylfaen"/>
        </w:rPr>
        <w:t>ტერიტორიის</w:t>
      </w:r>
      <w:r w:rsidRPr="001352AB">
        <w:t xml:space="preserve"> </w:t>
      </w:r>
      <w:r w:rsidRPr="001352AB">
        <w:rPr>
          <w:rFonts w:ascii="Sylfaen" w:hAnsi="Sylfaen" w:cs="Sylfaen"/>
        </w:rPr>
        <w:t>დატბორვისას</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დაჭაობებასთან</w:t>
      </w:r>
      <w:r w:rsidRPr="001352AB">
        <w:t>.</w:t>
      </w:r>
    </w:p>
    <w:p w14:paraId="479A2491" w14:textId="77777777" w:rsidR="00CD64B5" w:rsidRPr="001352AB" w:rsidRDefault="00CD64B5" w:rsidP="000E38C6">
      <w:pPr>
        <w:spacing w:before="120" w:after="120"/>
      </w:pPr>
      <w:r w:rsidRPr="001352AB">
        <w:rPr>
          <w:rFonts w:ascii="Sylfaen" w:hAnsi="Sylfaen" w:cs="Sylfaen"/>
        </w:rPr>
        <w:t>მოსამზადებელი</w:t>
      </w:r>
      <w:r w:rsidRPr="001352AB">
        <w:t xml:space="preserve"> </w:t>
      </w:r>
      <w:r w:rsidRPr="001352AB">
        <w:rPr>
          <w:rFonts w:ascii="Sylfaen" w:hAnsi="Sylfaen" w:cs="Sylfaen"/>
        </w:rPr>
        <w:t>სამუშაოების</w:t>
      </w:r>
      <w:r w:rsidRPr="001352AB">
        <w:t xml:space="preserve"> </w:t>
      </w:r>
      <w:r w:rsidRPr="001352AB">
        <w:rPr>
          <w:rFonts w:ascii="Sylfaen" w:hAnsi="Sylfaen" w:cs="Sylfaen"/>
        </w:rPr>
        <w:t>პროცესში</w:t>
      </w:r>
      <w:r w:rsidRPr="001352AB">
        <w:t xml:space="preserve"> </w:t>
      </w:r>
      <w:r w:rsidRPr="001352AB">
        <w:rPr>
          <w:rFonts w:ascii="Sylfaen" w:hAnsi="Sylfaen" w:cs="Sylfaen"/>
        </w:rPr>
        <w:t>გასხვისების</w:t>
      </w:r>
      <w:r w:rsidRPr="001352AB">
        <w:t xml:space="preserve"> </w:t>
      </w:r>
      <w:r w:rsidRPr="001352AB">
        <w:rPr>
          <w:rFonts w:ascii="Sylfaen" w:hAnsi="Sylfaen" w:cs="Sylfaen"/>
        </w:rPr>
        <w:t>ზოლის</w:t>
      </w:r>
      <w:r w:rsidRPr="001352AB">
        <w:t xml:space="preserve"> </w:t>
      </w:r>
      <w:r w:rsidRPr="001352AB">
        <w:rPr>
          <w:rFonts w:ascii="Sylfaen" w:hAnsi="Sylfaen" w:cs="Sylfaen"/>
        </w:rPr>
        <w:t>და</w:t>
      </w:r>
      <w:r w:rsidRPr="001352AB">
        <w:t xml:space="preserve"> </w:t>
      </w:r>
      <w:r w:rsidRPr="001352AB">
        <w:rPr>
          <w:rFonts w:ascii="Sylfaen" w:hAnsi="Sylfaen" w:cs="Sylfaen"/>
        </w:rPr>
        <w:t>სამუშაო</w:t>
      </w:r>
      <w:r w:rsidRPr="001352AB">
        <w:t xml:space="preserve"> </w:t>
      </w:r>
      <w:r w:rsidRPr="001352AB">
        <w:rPr>
          <w:rFonts w:ascii="Sylfaen" w:hAnsi="Sylfaen" w:cs="Sylfaen"/>
        </w:rPr>
        <w:t>უბნების</w:t>
      </w:r>
      <w:r w:rsidRPr="001352AB">
        <w:t xml:space="preserve"> </w:t>
      </w:r>
      <w:r w:rsidRPr="001352AB">
        <w:rPr>
          <w:rFonts w:ascii="Sylfaen" w:hAnsi="Sylfaen" w:cs="Sylfaen"/>
        </w:rPr>
        <w:t>ტერიტორიებზე</w:t>
      </w:r>
      <w:r w:rsidRPr="001352AB">
        <w:t xml:space="preserve"> </w:t>
      </w:r>
      <w:r w:rsidRPr="001352AB">
        <w:rPr>
          <w:rFonts w:ascii="Sylfaen" w:hAnsi="Sylfaen" w:cs="Sylfaen"/>
        </w:rPr>
        <w:t>მოიხსნება</w:t>
      </w:r>
      <w:r w:rsidRPr="001352AB">
        <w:t xml:space="preserve"> </w:t>
      </w:r>
      <w:r w:rsidRPr="001352AB">
        <w:rPr>
          <w:rFonts w:ascii="Sylfaen" w:hAnsi="Sylfaen" w:cs="Sylfaen"/>
        </w:rPr>
        <w:t>ნაყოფიერი</w:t>
      </w:r>
      <w:r w:rsidRPr="001352AB">
        <w:t xml:space="preserve"> </w:t>
      </w:r>
      <w:r w:rsidRPr="001352AB">
        <w:rPr>
          <w:rFonts w:ascii="Sylfaen" w:hAnsi="Sylfaen" w:cs="Sylfaen"/>
        </w:rPr>
        <w:t>ნიადაგი</w:t>
      </w:r>
      <w:r w:rsidRPr="001352AB">
        <w:t xml:space="preserve"> (</w:t>
      </w:r>
      <w:r w:rsidRPr="001352AB">
        <w:rPr>
          <w:rFonts w:ascii="Sylfaen" w:hAnsi="Sylfaen" w:cs="Sylfaen"/>
        </w:rPr>
        <w:t>ტექნიკური</w:t>
      </w:r>
      <w:r w:rsidRPr="001352AB">
        <w:t xml:space="preserve"> </w:t>
      </w:r>
      <w:r w:rsidRPr="001352AB">
        <w:rPr>
          <w:rFonts w:ascii="Sylfaen" w:hAnsi="Sylfaen" w:cs="Sylfaen"/>
        </w:rPr>
        <w:t>პროექტის</w:t>
      </w:r>
      <w:r w:rsidRPr="001352AB">
        <w:t xml:space="preserve"> </w:t>
      </w:r>
      <w:r w:rsidRPr="001352AB">
        <w:rPr>
          <w:rFonts w:ascii="Sylfaen" w:hAnsi="Sylfaen" w:cs="Sylfaen"/>
        </w:rPr>
        <w:t>ავტორების</w:t>
      </w:r>
      <w:r w:rsidRPr="001352AB">
        <w:t xml:space="preserve"> </w:t>
      </w:r>
      <w:r w:rsidRPr="001352AB">
        <w:rPr>
          <w:rFonts w:ascii="Sylfaen" w:hAnsi="Sylfaen" w:cs="Sylfaen"/>
        </w:rPr>
        <w:t>მონაცემებით</w:t>
      </w:r>
      <w:r w:rsidRPr="001352AB">
        <w:t xml:space="preserve"> - </w:t>
      </w:r>
      <w:r w:rsidRPr="001352AB">
        <w:rPr>
          <w:rFonts w:ascii="Sylfaen" w:hAnsi="Sylfaen" w:cs="Sylfaen"/>
        </w:rPr>
        <w:t>ნიადაგის</w:t>
      </w:r>
      <w:r w:rsidRPr="001352AB">
        <w:t xml:space="preserve"> </w:t>
      </w:r>
      <w:r w:rsidRPr="001352AB">
        <w:rPr>
          <w:rFonts w:ascii="Sylfaen" w:hAnsi="Sylfaen" w:cs="Sylfaen"/>
        </w:rPr>
        <w:t>ზედა</w:t>
      </w:r>
      <w:r w:rsidRPr="001352AB">
        <w:t xml:space="preserve">, </w:t>
      </w:r>
      <w:r w:rsidRPr="001352AB">
        <w:rPr>
          <w:rFonts w:ascii="Sylfaen" w:hAnsi="Sylfaen" w:cs="Sylfaen"/>
        </w:rPr>
        <w:t>ნაყოფიერი</w:t>
      </w:r>
      <w:r w:rsidRPr="001352AB">
        <w:t xml:space="preserve"> </w:t>
      </w:r>
      <w:r w:rsidRPr="001352AB">
        <w:rPr>
          <w:rFonts w:ascii="Sylfaen" w:hAnsi="Sylfaen" w:cs="Sylfaen"/>
        </w:rPr>
        <w:t>ფენის</w:t>
      </w:r>
      <w:r w:rsidRPr="001352AB">
        <w:t xml:space="preserve"> </w:t>
      </w:r>
      <w:r w:rsidRPr="001352AB">
        <w:rPr>
          <w:rFonts w:ascii="Sylfaen" w:hAnsi="Sylfaen" w:cs="Sylfaen"/>
        </w:rPr>
        <w:t>სისქე</w:t>
      </w:r>
      <w:r w:rsidRPr="001352AB">
        <w:t xml:space="preserve"> 0.1 </w:t>
      </w:r>
      <w:r w:rsidRPr="001352AB">
        <w:rPr>
          <w:rFonts w:ascii="Sylfaen" w:hAnsi="Sylfaen" w:cs="Sylfaen"/>
        </w:rPr>
        <w:t>და</w:t>
      </w:r>
      <w:r w:rsidRPr="001352AB">
        <w:t xml:space="preserve"> 0.2</w:t>
      </w:r>
      <w:r w:rsidRPr="001352AB">
        <w:rPr>
          <w:rFonts w:ascii="Sylfaen" w:hAnsi="Sylfaen" w:cs="Sylfaen"/>
        </w:rPr>
        <w:t>მ</w:t>
      </w:r>
      <w:r w:rsidRPr="001352AB">
        <w:t xml:space="preserve"> </w:t>
      </w:r>
      <w:r w:rsidRPr="001352AB">
        <w:rPr>
          <w:rFonts w:ascii="Sylfaen" w:hAnsi="Sylfaen" w:cs="Sylfaen"/>
        </w:rPr>
        <w:t>შორის</w:t>
      </w:r>
      <w:r w:rsidRPr="001352AB">
        <w:t xml:space="preserve"> </w:t>
      </w:r>
      <w:r w:rsidRPr="001352AB">
        <w:rPr>
          <w:rFonts w:ascii="Sylfaen" w:hAnsi="Sylfaen" w:cs="Sylfaen"/>
        </w:rPr>
        <w:t>მერყეობს</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დასაწყობების</w:t>
      </w:r>
      <w:r w:rsidRPr="001352AB">
        <w:t xml:space="preserve"> </w:t>
      </w:r>
      <w:r w:rsidRPr="001352AB">
        <w:rPr>
          <w:rFonts w:ascii="Sylfaen" w:hAnsi="Sylfaen" w:cs="Sylfaen"/>
        </w:rPr>
        <w:t>ტერიტორია</w:t>
      </w:r>
      <w:r w:rsidRPr="001352AB">
        <w:t xml:space="preserve"> </w:t>
      </w:r>
      <w:r w:rsidRPr="001352AB">
        <w:rPr>
          <w:rFonts w:ascii="Sylfaen" w:hAnsi="Sylfaen" w:cs="Sylfaen"/>
        </w:rPr>
        <w:t>შეირჩევა</w:t>
      </w:r>
      <w:r w:rsidRPr="001352AB">
        <w:t xml:space="preserve"> </w:t>
      </w:r>
      <w:r w:rsidRPr="001352AB">
        <w:rPr>
          <w:rFonts w:ascii="Sylfaen" w:hAnsi="Sylfaen" w:cs="Sylfaen"/>
        </w:rPr>
        <w:t>გარემოსდაცვითი</w:t>
      </w:r>
      <w:r w:rsidRPr="001352AB">
        <w:t xml:space="preserve"> </w:t>
      </w:r>
      <w:r w:rsidRPr="001352AB">
        <w:rPr>
          <w:rFonts w:ascii="Sylfaen" w:hAnsi="Sylfaen" w:cs="Sylfaen"/>
        </w:rPr>
        <w:t>ნორმების</w:t>
      </w:r>
      <w:r w:rsidRPr="001352AB">
        <w:t xml:space="preserve"> </w:t>
      </w:r>
      <w:r w:rsidRPr="001352AB">
        <w:rPr>
          <w:rFonts w:ascii="Sylfaen" w:hAnsi="Sylfaen" w:cs="Sylfaen"/>
        </w:rPr>
        <w:t>და</w:t>
      </w:r>
      <w:r w:rsidRPr="001352AB">
        <w:t xml:space="preserve"> </w:t>
      </w:r>
      <w:r w:rsidRPr="001352AB">
        <w:rPr>
          <w:rFonts w:ascii="Sylfaen" w:hAnsi="Sylfaen" w:cs="Sylfaen"/>
        </w:rPr>
        <w:t>გარემოს</w:t>
      </w:r>
      <w:r w:rsidRPr="001352AB">
        <w:t xml:space="preserve"> </w:t>
      </w:r>
      <w:r w:rsidRPr="001352AB">
        <w:rPr>
          <w:rFonts w:ascii="Sylfaen" w:hAnsi="Sylfaen" w:cs="Sylfaen"/>
        </w:rPr>
        <w:t>პირობების</w:t>
      </w:r>
      <w:r w:rsidRPr="001352AB">
        <w:t xml:space="preserve"> </w:t>
      </w:r>
      <w:r w:rsidRPr="001352AB">
        <w:rPr>
          <w:rFonts w:ascii="Sylfaen" w:hAnsi="Sylfaen" w:cs="Sylfaen"/>
        </w:rPr>
        <w:t>გათვალისწინებით</w:t>
      </w:r>
      <w:r w:rsidRPr="001352AB">
        <w:t xml:space="preserve">. </w:t>
      </w:r>
      <w:r w:rsidRPr="001352AB">
        <w:rPr>
          <w:rFonts w:ascii="Sylfaen" w:hAnsi="Sylfaen" w:cs="Sylfaen"/>
        </w:rPr>
        <w:t>ტერიტორია</w:t>
      </w:r>
      <w:r w:rsidRPr="001352AB">
        <w:t xml:space="preserve"> </w:t>
      </w:r>
      <w:r w:rsidRPr="001352AB">
        <w:rPr>
          <w:rFonts w:ascii="Sylfaen" w:hAnsi="Sylfaen" w:cs="Sylfaen"/>
        </w:rPr>
        <w:t>შეთანხმდება</w:t>
      </w:r>
      <w:r w:rsidRPr="001352AB">
        <w:t xml:space="preserve"> </w:t>
      </w:r>
      <w:r w:rsidRPr="001352AB">
        <w:rPr>
          <w:rFonts w:ascii="Sylfaen" w:hAnsi="Sylfaen" w:cs="Sylfaen"/>
        </w:rPr>
        <w:lastRenderedPageBreak/>
        <w:t>გარემოსდაცვის</w:t>
      </w:r>
      <w:r w:rsidRPr="001352AB">
        <w:t xml:space="preserve"> </w:t>
      </w:r>
      <w:r w:rsidRPr="001352AB">
        <w:rPr>
          <w:rFonts w:ascii="Sylfaen" w:hAnsi="Sylfaen" w:cs="Sylfaen"/>
        </w:rPr>
        <w:t>უწყებასთან</w:t>
      </w:r>
      <w:r w:rsidRPr="001352AB">
        <w:t xml:space="preserve">. </w:t>
      </w:r>
      <w:r w:rsidRPr="001352AB">
        <w:rPr>
          <w:rFonts w:ascii="Sylfaen" w:hAnsi="Sylfaen" w:cs="Sylfaen"/>
        </w:rPr>
        <w:t>კერძო</w:t>
      </w:r>
      <w:r w:rsidRPr="001352AB">
        <w:t xml:space="preserve"> </w:t>
      </w:r>
      <w:r w:rsidRPr="001352AB">
        <w:rPr>
          <w:rFonts w:ascii="Sylfaen" w:hAnsi="Sylfaen" w:cs="Sylfaen"/>
        </w:rPr>
        <w:t>მფლობელობაში</w:t>
      </w:r>
      <w:r w:rsidRPr="001352AB">
        <w:t xml:space="preserve"> </w:t>
      </w:r>
      <w:r w:rsidRPr="001352AB">
        <w:rPr>
          <w:rFonts w:ascii="Sylfaen" w:hAnsi="Sylfaen" w:cs="Sylfaen"/>
        </w:rPr>
        <w:t>მყოფი</w:t>
      </w:r>
      <w:r w:rsidRPr="001352AB">
        <w:t xml:space="preserve"> </w:t>
      </w:r>
      <w:r w:rsidRPr="001352AB">
        <w:rPr>
          <w:rFonts w:ascii="Sylfaen" w:hAnsi="Sylfaen" w:cs="Sylfaen"/>
        </w:rPr>
        <w:t>ნაკვეთის</w:t>
      </w:r>
      <w:r w:rsidRPr="001352AB">
        <w:t>/</w:t>
      </w:r>
      <w:r w:rsidRPr="001352AB">
        <w:rPr>
          <w:rFonts w:ascii="Sylfaen" w:hAnsi="Sylfaen" w:cs="Sylfaen"/>
        </w:rPr>
        <w:t>ნაკვეთების</w:t>
      </w:r>
      <w:r w:rsidRPr="001352AB">
        <w:t xml:space="preserve"> </w:t>
      </w:r>
      <w:r w:rsidRPr="001352AB">
        <w:rPr>
          <w:rFonts w:ascii="Sylfaen" w:hAnsi="Sylfaen" w:cs="Sylfaen"/>
        </w:rPr>
        <w:t>გამოყენების</w:t>
      </w:r>
      <w:r w:rsidRPr="001352AB">
        <w:t xml:space="preserve"> </w:t>
      </w:r>
      <w:r w:rsidRPr="001352AB">
        <w:rPr>
          <w:rFonts w:ascii="Sylfaen" w:hAnsi="Sylfaen" w:cs="Sylfaen"/>
        </w:rPr>
        <w:t>შემთხვევაში</w:t>
      </w:r>
      <w:r w:rsidRPr="001352AB">
        <w:t xml:space="preserve"> </w:t>
      </w:r>
      <w:r w:rsidRPr="001352AB">
        <w:rPr>
          <w:rFonts w:ascii="Sylfaen" w:hAnsi="Sylfaen" w:cs="Sylfaen"/>
        </w:rPr>
        <w:t>დროებით</w:t>
      </w:r>
      <w:r w:rsidRPr="001352AB">
        <w:t xml:space="preserve"> </w:t>
      </w:r>
      <w:r w:rsidRPr="001352AB">
        <w:rPr>
          <w:rFonts w:ascii="Sylfaen" w:hAnsi="Sylfaen" w:cs="Sylfaen"/>
        </w:rPr>
        <w:t>სარგებლობაში</w:t>
      </w:r>
      <w:r w:rsidRPr="001352AB">
        <w:t xml:space="preserve"> </w:t>
      </w:r>
      <w:r w:rsidRPr="001352AB">
        <w:rPr>
          <w:rFonts w:ascii="Sylfaen" w:hAnsi="Sylfaen" w:cs="Sylfaen"/>
        </w:rPr>
        <w:t>მიწის</w:t>
      </w:r>
      <w:r w:rsidRPr="001352AB">
        <w:t xml:space="preserve"> </w:t>
      </w:r>
      <w:r w:rsidRPr="001352AB">
        <w:rPr>
          <w:rFonts w:ascii="Sylfaen" w:hAnsi="Sylfaen" w:cs="Sylfaen"/>
        </w:rPr>
        <w:t>აღების</w:t>
      </w:r>
      <w:r w:rsidRPr="001352AB">
        <w:t xml:space="preserve"> </w:t>
      </w:r>
      <w:r w:rsidRPr="001352AB">
        <w:rPr>
          <w:rFonts w:ascii="Sylfaen" w:hAnsi="Sylfaen" w:cs="Sylfaen"/>
        </w:rPr>
        <w:t>კომპენსაცია</w:t>
      </w:r>
      <w:r w:rsidRPr="001352AB">
        <w:t xml:space="preserve"> </w:t>
      </w:r>
      <w:r w:rsidRPr="001352AB">
        <w:rPr>
          <w:rFonts w:ascii="Sylfaen" w:hAnsi="Sylfaen" w:cs="Sylfaen"/>
        </w:rPr>
        <w:t>განისაზღვრება</w:t>
      </w:r>
      <w:r w:rsidRPr="001352AB">
        <w:t xml:space="preserve"> </w:t>
      </w:r>
      <w:r w:rsidRPr="001352AB">
        <w:rPr>
          <w:rFonts w:ascii="Sylfaen" w:hAnsi="Sylfaen" w:cs="Sylfaen"/>
        </w:rPr>
        <w:t>განსახლების</w:t>
      </w:r>
      <w:r w:rsidRPr="001352AB">
        <w:t xml:space="preserve"> </w:t>
      </w:r>
      <w:r w:rsidRPr="001352AB">
        <w:rPr>
          <w:rFonts w:ascii="Sylfaen" w:hAnsi="Sylfaen" w:cs="Sylfaen"/>
        </w:rPr>
        <w:t>გეგმის</w:t>
      </w:r>
      <w:r w:rsidRPr="001352AB">
        <w:t xml:space="preserve"> </w:t>
      </w:r>
      <w:r w:rsidRPr="001352AB">
        <w:rPr>
          <w:rFonts w:ascii="Sylfaen" w:hAnsi="Sylfaen" w:cs="Sylfaen"/>
        </w:rPr>
        <w:t>შესაბამისად</w:t>
      </w:r>
      <w:r w:rsidRPr="001352AB">
        <w:t xml:space="preserve">. </w:t>
      </w:r>
    </w:p>
    <w:p w14:paraId="7F799E52" w14:textId="77777777" w:rsidR="00CD64B5" w:rsidRPr="001352AB" w:rsidRDefault="00CD64B5" w:rsidP="000E38C6">
      <w:pPr>
        <w:spacing w:before="120" w:after="120"/>
      </w:pPr>
      <w:r w:rsidRPr="001352AB">
        <w:rPr>
          <w:rFonts w:ascii="Sylfaen" w:hAnsi="Sylfaen" w:cs="Sylfaen"/>
        </w:rPr>
        <w:t>ნაყარის</w:t>
      </w:r>
      <w:r w:rsidRPr="001352AB">
        <w:t xml:space="preserve"> </w:t>
      </w:r>
      <w:r w:rsidRPr="001352AB">
        <w:rPr>
          <w:rFonts w:ascii="Sylfaen" w:hAnsi="Sylfaen" w:cs="Sylfaen"/>
        </w:rPr>
        <w:t>სიმაღლის</w:t>
      </w:r>
      <w:r w:rsidRPr="001352AB">
        <w:t xml:space="preserve"> </w:t>
      </w:r>
      <w:r w:rsidRPr="001352AB">
        <w:rPr>
          <w:rFonts w:ascii="Sylfaen" w:hAnsi="Sylfaen" w:cs="Sylfaen"/>
        </w:rPr>
        <w:t>და</w:t>
      </w:r>
      <w:r w:rsidRPr="001352AB">
        <w:t xml:space="preserve"> </w:t>
      </w:r>
      <w:r w:rsidRPr="001352AB">
        <w:rPr>
          <w:rFonts w:ascii="Sylfaen" w:hAnsi="Sylfaen" w:cs="Sylfaen"/>
        </w:rPr>
        <w:t>დახრის</w:t>
      </w:r>
      <w:r w:rsidRPr="001352AB">
        <w:t xml:space="preserve"> </w:t>
      </w:r>
      <w:r w:rsidRPr="001352AB">
        <w:rPr>
          <w:rFonts w:ascii="Sylfaen" w:hAnsi="Sylfaen" w:cs="Sylfaen"/>
        </w:rPr>
        <w:t>კუთხის</w:t>
      </w:r>
      <w:r w:rsidRPr="001352AB">
        <w:t xml:space="preserve"> </w:t>
      </w:r>
      <w:r w:rsidRPr="001352AB">
        <w:rPr>
          <w:rFonts w:ascii="Sylfaen" w:hAnsi="Sylfaen" w:cs="Sylfaen"/>
        </w:rPr>
        <w:t>არასწორი</w:t>
      </w:r>
      <w:r w:rsidRPr="001352AB">
        <w:t xml:space="preserve"> </w:t>
      </w:r>
      <w:r w:rsidRPr="001352AB">
        <w:rPr>
          <w:rFonts w:ascii="Sylfaen" w:hAnsi="Sylfaen" w:cs="Sylfaen"/>
        </w:rPr>
        <w:t>შერჩევისას</w:t>
      </w:r>
      <w:r w:rsidRPr="001352AB">
        <w:t xml:space="preserve"> </w:t>
      </w:r>
      <w:r w:rsidRPr="001352AB">
        <w:rPr>
          <w:rFonts w:ascii="Sylfaen" w:hAnsi="Sylfaen" w:cs="Sylfaen"/>
        </w:rPr>
        <w:t>ნაყარის</w:t>
      </w:r>
      <w:r w:rsidRPr="001352AB">
        <w:t xml:space="preserve"> </w:t>
      </w:r>
      <w:r w:rsidRPr="001352AB">
        <w:rPr>
          <w:rFonts w:ascii="Sylfaen" w:hAnsi="Sylfaen" w:cs="Sylfaen"/>
        </w:rPr>
        <w:t>ჩამოიშალის</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გაფანტვის</w:t>
      </w:r>
      <w:r w:rsidRPr="001352AB">
        <w:t xml:space="preserve"> </w:t>
      </w:r>
      <w:r w:rsidRPr="001352AB">
        <w:rPr>
          <w:rFonts w:ascii="Sylfaen" w:hAnsi="Sylfaen" w:cs="Sylfaen"/>
        </w:rPr>
        <w:t>და</w:t>
      </w:r>
      <w:r w:rsidRPr="001352AB">
        <w:t xml:space="preserve"> </w:t>
      </w:r>
      <w:r w:rsidRPr="001352AB">
        <w:rPr>
          <w:rFonts w:ascii="Sylfaen" w:hAnsi="Sylfaen" w:cs="Sylfaen"/>
        </w:rPr>
        <w:t>ტექნიკის</w:t>
      </w:r>
      <w:r w:rsidRPr="001352AB">
        <w:t xml:space="preserve"> </w:t>
      </w:r>
      <w:r w:rsidRPr="001352AB">
        <w:rPr>
          <w:rFonts w:ascii="Sylfaen" w:hAnsi="Sylfaen" w:cs="Sylfaen"/>
        </w:rPr>
        <w:t>მოძრაობისას</w:t>
      </w:r>
      <w:r w:rsidRPr="001352AB">
        <w:t xml:space="preserve"> </w:t>
      </w:r>
      <w:r w:rsidRPr="001352AB">
        <w:rPr>
          <w:rFonts w:ascii="Sylfaen" w:hAnsi="Sylfaen" w:cs="Sylfaen"/>
        </w:rPr>
        <w:t>დატკეპნა</w:t>
      </w:r>
      <w:r w:rsidRPr="001352AB">
        <w:t>-</w:t>
      </w:r>
      <w:r w:rsidRPr="001352AB">
        <w:rPr>
          <w:rFonts w:ascii="Sylfaen" w:hAnsi="Sylfaen" w:cs="Sylfaen"/>
        </w:rPr>
        <w:t>დაბინძურების</w:t>
      </w:r>
      <w:r w:rsidRPr="001352AB">
        <w:t xml:space="preserve"> </w:t>
      </w:r>
      <w:r w:rsidRPr="001352AB">
        <w:rPr>
          <w:rFonts w:ascii="Sylfaen" w:hAnsi="Sylfaen" w:cs="Sylfaen"/>
        </w:rPr>
        <w:t>გამო</w:t>
      </w:r>
      <w:r w:rsidRPr="001352AB">
        <w:t xml:space="preserve"> </w:t>
      </w:r>
      <w:r w:rsidRPr="001352AB">
        <w:rPr>
          <w:rFonts w:ascii="Sylfaen" w:hAnsi="Sylfaen" w:cs="Sylfaen"/>
        </w:rPr>
        <w:t>ნაყოფიერი</w:t>
      </w:r>
      <w:r w:rsidRPr="001352AB">
        <w:t xml:space="preserve"> </w:t>
      </w:r>
      <w:r w:rsidRPr="001352AB">
        <w:rPr>
          <w:rFonts w:ascii="Sylfaen" w:hAnsi="Sylfaen" w:cs="Sylfaen"/>
        </w:rPr>
        <w:t>ნიადაგი</w:t>
      </w:r>
      <w:r w:rsidRPr="001352AB">
        <w:t xml:space="preserve"> </w:t>
      </w:r>
      <w:r w:rsidRPr="001352AB">
        <w:rPr>
          <w:rFonts w:ascii="Sylfaen" w:hAnsi="Sylfaen" w:cs="Sylfaen"/>
        </w:rPr>
        <w:t>შეიძლება</w:t>
      </w:r>
      <w:r w:rsidRPr="001352AB">
        <w:t xml:space="preserve"> </w:t>
      </w:r>
      <w:r w:rsidRPr="001352AB">
        <w:rPr>
          <w:rFonts w:ascii="Sylfaen" w:hAnsi="Sylfaen" w:cs="Sylfaen"/>
        </w:rPr>
        <w:t>დაზიანდეს</w:t>
      </w:r>
      <w:r w:rsidRPr="001352AB">
        <w:t xml:space="preserve"> </w:t>
      </w:r>
      <w:r w:rsidRPr="001352AB">
        <w:rPr>
          <w:rFonts w:ascii="Sylfaen" w:hAnsi="Sylfaen" w:cs="Sylfaen"/>
        </w:rPr>
        <w:t>ან</w:t>
      </w:r>
      <w:r w:rsidRPr="001352AB">
        <w:t xml:space="preserve"> </w:t>
      </w:r>
      <w:r w:rsidRPr="001352AB">
        <w:rPr>
          <w:rFonts w:ascii="Sylfaen" w:hAnsi="Sylfaen" w:cs="Sylfaen"/>
        </w:rPr>
        <w:t>მოხდეს</w:t>
      </w:r>
      <w:r w:rsidRPr="001352AB">
        <w:t xml:space="preserve"> </w:t>
      </w:r>
      <w:r w:rsidRPr="001352AB">
        <w:rPr>
          <w:rFonts w:ascii="Sylfaen" w:hAnsi="Sylfaen" w:cs="Sylfaen"/>
        </w:rPr>
        <w:t>მისი</w:t>
      </w:r>
      <w:r w:rsidRPr="001352AB">
        <w:t xml:space="preserve"> </w:t>
      </w:r>
      <w:r w:rsidRPr="001352AB">
        <w:rPr>
          <w:rFonts w:ascii="Sylfaen" w:hAnsi="Sylfaen" w:cs="Sylfaen"/>
        </w:rPr>
        <w:t>ხარისხის</w:t>
      </w:r>
      <w:r w:rsidRPr="001352AB">
        <w:t xml:space="preserve"> </w:t>
      </w:r>
      <w:r w:rsidRPr="001352AB">
        <w:rPr>
          <w:rFonts w:ascii="Sylfaen" w:hAnsi="Sylfaen" w:cs="Sylfaen"/>
        </w:rPr>
        <w:t>გაუარესება</w:t>
      </w:r>
      <w:r w:rsidRPr="001352AB">
        <w:t xml:space="preserve">. </w:t>
      </w:r>
    </w:p>
    <w:p w14:paraId="77BBB336" w14:textId="77777777" w:rsidR="00CD64B5" w:rsidRPr="001352AB" w:rsidRDefault="00CD64B5" w:rsidP="000E38C6">
      <w:pPr>
        <w:spacing w:before="120" w:after="120"/>
      </w:pPr>
      <w:r w:rsidRPr="001352AB">
        <w:rPr>
          <w:rFonts w:ascii="Sylfaen" w:hAnsi="Sylfaen" w:cs="Sylfaen"/>
        </w:rPr>
        <w:t>გასხვისების</w:t>
      </w:r>
      <w:r w:rsidRPr="001352AB">
        <w:t xml:space="preserve"> </w:t>
      </w:r>
      <w:r w:rsidRPr="001352AB">
        <w:rPr>
          <w:rFonts w:ascii="Sylfaen" w:hAnsi="Sylfaen" w:cs="Sylfaen"/>
        </w:rPr>
        <w:t>ზოლის</w:t>
      </w:r>
      <w:r w:rsidRPr="001352AB">
        <w:t xml:space="preserve"> </w:t>
      </w:r>
      <w:r w:rsidRPr="001352AB">
        <w:rPr>
          <w:rFonts w:ascii="Sylfaen" w:hAnsi="Sylfaen" w:cs="Sylfaen"/>
        </w:rPr>
        <w:t>გარეთ</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ნაყოფიერებაზე</w:t>
      </w:r>
      <w:r w:rsidRPr="001352AB">
        <w:t xml:space="preserve"> </w:t>
      </w:r>
      <w:r w:rsidRPr="001352AB">
        <w:rPr>
          <w:rFonts w:ascii="Sylfaen" w:hAnsi="Sylfaen" w:cs="Sylfaen"/>
        </w:rPr>
        <w:t>და</w:t>
      </w:r>
      <w:r w:rsidRPr="001352AB">
        <w:t xml:space="preserve"> </w:t>
      </w:r>
      <w:r w:rsidRPr="001352AB">
        <w:rPr>
          <w:rFonts w:ascii="Sylfaen" w:hAnsi="Sylfaen" w:cs="Sylfaen"/>
        </w:rPr>
        <w:t>ხარისხზე</w:t>
      </w:r>
      <w:r w:rsidRPr="001352AB">
        <w:t xml:space="preserve"> </w:t>
      </w:r>
      <w:r w:rsidRPr="001352AB">
        <w:rPr>
          <w:rFonts w:ascii="Sylfaen" w:hAnsi="Sylfaen" w:cs="Sylfaen"/>
        </w:rPr>
        <w:t>გავლენა</w:t>
      </w:r>
      <w:r w:rsidRPr="001352AB">
        <w:t xml:space="preserve"> </w:t>
      </w:r>
      <w:r w:rsidRPr="001352AB">
        <w:rPr>
          <w:rFonts w:ascii="Sylfaen" w:hAnsi="Sylfaen" w:cs="Sylfaen"/>
        </w:rPr>
        <w:t>საპროექტო</w:t>
      </w:r>
      <w:r w:rsidRPr="001352AB">
        <w:t xml:space="preserve"> </w:t>
      </w:r>
      <w:r w:rsidRPr="001352AB">
        <w:rPr>
          <w:rFonts w:ascii="Sylfaen" w:hAnsi="Sylfaen" w:cs="Sylfaen"/>
        </w:rPr>
        <w:t>უბნების</w:t>
      </w:r>
      <w:r w:rsidRPr="001352AB">
        <w:t xml:space="preserve"> </w:t>
      </w:r>
      <w:r w:rsidRPr="001352AB">
        <w:rPr>
          <w:rFonts w:ascii="Sylfaen" w:hAnsi="Sylfaen" w:cs="Sylfaen"/>
        </w:rPr>
        <w:t>საზღვრების</w:t>
      </w:r>
      <w:r w:rsidRPr="001352AB">
        <w:t xml:space="preserve"> </w:t>
      </w:r>
      <w:r w:rsidRPr="001352AB">
        <w:rPr>
          <w:rFonts w:ascii="Sylfaen" w:hAnsi="Sylfaen" w:cs="Sylfaen"/>
        </w:rPr>
        <w:t>და</w:t>
      </w:r>
      <w:r w:rsidRPr="001352AB">
        <w:t xml:space="preserve"> </w:t>
      </w:r>
      <w:r w:rsidRPr="001352AB">
        <w:rPr>
          <w:rFonts w:ascii="Sylfaen" w:hAnsi="Sylfaen" w:cs="Sylfaen"/>
        </w:rPr>
        <w:t>სამოძრაო</w:t>
      </w:r>
      <w:r w:rsidRPr="001352AB">
        <w:t xml:space="preserve"> </w:t>
      </w:r>
      <w:r w:rsidRPr="001352AB">
        <w:rPr>
          <w:rFonts w:ascii="Sylfaen" w:hAnsi="Sylfaen" w:cs="Sylfaen"/>
        </w:rPr>
        <w:t>მარშრუტის</w:t>
      </w:r>
      <w:r w:rsidRPr="001352AB">
        <w:t xml:space="preserve"> </w:t>
      </w:r>
      <w:r w:rsidRPr="001352AB">
        <w:rPr>
          <w:rFonts w:ascii="Sylfaen" w:hAnsi="Sylfaen" w:cs="Sylfaen"/>
        </w:rPr>
        <w:t>დარღვევის</w:t>
      </w:r>
      <w:r w:rsidRPr="001352AB">
        <w:t xml:space="preserve"> </w:t>
      </w:r>
      <w:r w:rsidRPr="001352AB">
        <w:rPr>
          <w:rFonts w:ascii="Sylfaen" w:hAnsi="Sylfaen" w:cs="Sylfaen"/>
        </w:rPr>
        <w:t>შემთხვევაში</w:t>
      </w:r>
      <w:r w:rsidRPr="001352AB">
        <w:t xml:space="preserve"> </w:t>
      </w:r>
      <w:r w:rsidRPr="001352AB">
        <w:rPr>
          <w:rFonts w:ascii="Sylfaen" w:hAnsi="Sylfaen" w:cs="Sylfaen"/>
        </w:rPr>
        <w:t>ტერიტორიის</w:t>
      </w:r>
      <w:r w:rsidRPr="001352AB">
        <w:t xml:space="preserve"> </w:t>
      </w:r>
      <w:r w:rsidRPr="001352AB">
        <w:rPr>
          <w:rFonts w:ascii="Sylfaen" w:hAnsi="Sylfaen" w:cs="Sylfaen"/>
        </w:rPr>
        <w:t>გარეთ</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დატკეპნამ</w:t>
      </w:r>
      <w:r w:rsidRPr="001352AB">
        <w:t xml:space="preserve"> </w:t>
      </w:r>
      <w:r w:rsidRPr="001352AB">
        <w:rPr>
          <w:rFonts w:ascii="Sylfaen" w:hAnsi="Sylfaen" w:cs="Sylfaen"/>
        </w:rPr>
        <w:t>და</w:t>
      </w:r>
      <w:r w:rsidRPr="001352AB">
        <w:t xml:space="preserve"> </w:t>
      </w:r>
      <w:r w:rsidRPr="001352AB">
        <w:rPr>
          <w:rFonts w:ascii="Sylfaen" w:hAnsi="Sylfaen" w:cs="Sylfaen"/>
        </w:rPr>
        <w:t>საწვავის</w:t>
      </w:r>
      <w:r w:rsidRPr="001352AB">
        <w:t>/</w:t>
      </w:r>
      <w:r w:rsidRPr="001352AB">
        <w:rPr>
          <w:rFonts w:ascii="Sylfaen" w:hAnsi="Sylfaen" w:cs="Sylfaen"/>
        </w:rPr>
        <w:t>ზეთების</w:t>
      </w:r>
      <w:r w:rsidRPr="001352AB">
        <w:t xml:space="preserve"> </w:t>
      </w:r>
      <w:r w:rsidRPr="001352AB">
        <w:rPr>
          <w:rFonts w:ascii="Sylfaen" w:hAnsi="Sylfaen" w:cs="Sylfaen"/>
        </w:rPr>
        <w:t>დაღვრამ</w:t>
      </w:r>
      <w:r w:rsidRPr="001352AB">
        <w:t xml:space="preserve"> </w:t>
      </w:r>
      <w:r w:rsidRPr="001352AB">
        <w:rPr>
          <w:rFonts w:ascii="Sylfaen" w:hAnsi="Sylfaen" w:cs="Sylfaen"/>
        </w:rPr>
        <w:t>შეიძლება</w:t>
      </w:r>
      <w:r w:rsidRPr="001352AB">
        <w:t xml:space="preserve"> </w:t>
      </w:r>
      <w:r w:rsidRPr="001352AB">
        <w:rPr>
          <w:rFonts w:ascii="Sylfaen" w:hAnsi="Sylfaen" w:cs="Sylfaen"/>
        </w:rPr>
        <w:t>გამოიწვიოს</w:t>
      </w:r>
      <w:r w:rsidRPr="001352AB">
        <w:t xml:space="preserve">. </w:t>
      </w:r>
    </w:p>
    <w:p w14:paraId="76D70F88" w14:textId="77777777" w:rsidR="00CD64B5" w:rsidRPr="001352AB" w:rsidRDefault="00CD64B5" w:rsidP="000E38C6">
      <w:pPr>
        <w:spacing w:before="120" w:after="120"/>
      </w:pPr>
      <w:r w:rsidRPr="001352AB">
        <w:rPr>
          <w:rFonts w:ascii="Sylfaen" w:hAnsi="Sylfaen" w:cs="Sylfaen"/>
        </w:rPr>
        <w:t>ფერდობებიდან</w:t>
      </w:r>
      <w:r w:rsidRPr="001352AB">
        <w:t xml:space="preserve"> </w:t>
      </w:r>
      <w:r w:rsidRPr="001352AB">
        <w:rPr>
          <w:rFonts w:ascii="Sylfaen" w:hAnsi="Sylfaen" w:cs="Sylfaen"/>
        </w:rPr>
        <w:t>მცენარეული</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მოხსნის</w:t>
      </w:r>
      <w:r w:rsidRPr="001352AB">
        <w:t xml:space="preserve"> </w:t>
      </w:r>
      <w:r w:rsidRPr="001352AB">
        <w:rPr>
          <w:rFonts w:ascii="Sylfaen" w:hAnsi="Sylfaen" w:cs="Sylfaen"/>
        </w:rPr>
        <w:t>შემთხვევაში</w:t>
      </w:r>
      <w:r w:rsidRPr="001352AB">
        <w:t xml:space="preserve"> </w:t>
      </w:r>
      <w:r w:rsidRPr="001352AB">
        <w:rPr>
          <w:rFonts w:ascii="Sylfaen" w:hAnsi="Sylfaen" w:cs="Sylfaen"/>
        </w:rPr>
        <w:t>არსებობს</w:t>
      </w:r>
      <w:r w:rsidRPr="001352AB">
        <w:t xml:space="preserve"> </w:t>
      </w:r>
      <w:r w:rsidRPr="001352AB">
        <w:rPr>
          <w:rFonts w:ascii="Sylfaen" w:hAnsi="Sylfaen" w:cs="Sylfaen"/>
        </w:rPr>
        <w:t>ფერდობის</w:t>
      </w:r>
      <w:r w:rsidRPr="001352AB">
        <w:t xml:space="preserve"> </w:t>
      </w:r>
      <w:r w:rsidRPr="001352AB">
        <w:rPr>
          <w:rFonts w:ascii="Sylfaen" w:hAnsi="Sylfaen" w:cs="Sylfaen"/>
        </w:rPr>
        <w:t>სტაბილურობის</w:t>
      </w:r>
      <w:r w:rsidRPr="001352AB">
        <w:t xml:space="preserve"> </w:t>
      </w:r>
      <w:r w:rsidRPr="001352AB">
        <w:rPr>
          <w:rFonts w:ascii="Sylfaen" w:hAnsi="Sylfaen" w:cs="Sylfaen"/>
        </w:rPr>
        <w:t>დაკარგვის</w:t>
      </w:r>
      <w:r w:rsidRPr="001352AB">
        <w:t xml:space="preserve"> </w:t>
      </w:r>
      <w:r w:rsidRPr="001352AB">
        <w:rPr>
          <w:rFonts w:ascii="Sylfaen" w:hAnsi="Sylfaen" w:cs="Sylfaen"/>
        </w:rPr>
        <w:t>რისკი</w:t>
      </w:r>
      <w:r w:rsidRPr="001352AB">
        <w:t xml:space="preserve">. </w:t>
      </w:r>
      <w:r w:rsidRPr="001352AB">
        <w:rPr>
          <w:rFonts w:ascii="Sylfaen" w:hAnsi="Sylfaen" w:cs="Sylfaen"/>
        </w:rPr>
        <w:t>ამ</w:t>
      </w:r>
      <w:r w:rsidRPr="001352AB">
        <w:t xml:space="preserve"> </w:t>
      </w:r>
      <w:r w:rsidRPr="001352AB">
        <w:rPr>
          <w:rFonts w:ascii="Sylfaen" w:hAnsi="Sylfaen" w:cs="Sylfaen"/>
        </w:rPr>
        <w:t>პროცესს</w:t>
      </w:r>
      <w:r w:rsidRPr="001352AB">
        <w:t xml:space="preserve"> </w:t>
      </w:r>
      <w:r w:rsidRPr="001352AB">
        <w:rPr>
          <w:rFonts w:ascii="Sylfaen" w:hAnsi="Sylfaen" w:cs="Sylfaen"/>
        </w:rPr>
        <w:t>ხელს</w:t>
      </w:r>
      <w:r w:rsidRPr="001352AB">
        <w:t xml:space="preserve"> </w:t>
      </w:r>
      <w:r w:rsidRPr="001352AB">
        <w:rPr>
          <w:rFonts w:ascii="Sylfaen" w:hAnsi="Sylfaen" w:cs="Sylfaen"/>
        </w:rPr>
        <w:t>უწყობს</w:t>
      </w:r>
      <w:r w:rsidRPr="001352AB">
        <w:t xml:space="preserve"> </w:t>
      </w:r>
      <w:r w:rsidRPr="001352AB">
        <w:rPr>
          <w:rFonts w:ascii="Sylfaen" w:hAnsi="Sylfaen" w:cs="Sylfaen"/>
        </w:rPr>
        <w:t>ღია</w:t>
      </w:r>
      <w:r w:rsidRPr="001352AB">
        <w:t xml:space="preserve"> </w:t>
      </w:r>
      <w:r w:rsidRPr="001352AB">
        <w:rPr>
          <w:rFonts w:ascii="Sylfaen" w:hAnsi="Sylfaen" w:cs="Sylfaen"/>
        </w:rPr>
        <w:t>გრუნტის</w:t>
      </w:r>
      <w:r w:rsidRPr="001352AB">
        <w:t xml:space="preserve"> </w:t>
      </w:r>
      <w:r w:rsidRPr="001352AB">
        <w:rPr>
          <w:rFonts w:ascii="Sylfaen" w:hAnsi="Sylfaen" w:cs="Sylfaen"/>
        </w:rPr>
        <w:t>ატმოსფერული</w:t>
      </w:r>
      <w:r w:rsidRPr="001352AB">
        <w:t xml:space="preserve"> </w:t>
      </w:r>
      <w:r w:rsidRPr="001352AB">
        <w:rPr>
          <w:rFonts w:ascii="Sylfaen" w:hAnsi="Sylfaen" w:cs="Sylfaen"/>
        </w:rPr>
        <w:t>ნალექების</w:t>
      </w:r>
      <w:r w:rsidRPr="001352AB">
        <w:t xml:space="preserve"> </w:t>
      </w:r>
      <w:r w:rsidRPr="001352AB">
        <w:rPr>
          <w:rFonts w:ascii="Sylfaen" w:hAnsi="Sylfaen" w:cs="Sylfaen"/>
        </w:rPr>
        <w:t>მიმართ</w:t>
      </w:r>
      <w:r w:rsidRPr="001352AB">
        <w:t xml:space="preserve"> </w:t>
      </w:r>
      <w:r w:rsidRPr="001352AB">
        <w:rPr>
          <w:rFonts w:ascii="Sylfaen" w:hAnsi="Sylfaen" w:cs="Sylfaen"/>
        </w:rPr>
        <w:t>ექსპოზიცია</w:t>
      </w:r>
      <w:r w:rsidRPr="001352AB">
        <w:t xml:space="preserve">. </w:t>
      </w:r>
      <w:r w:rsidRPr="001352AB">
        <w:rPr>
          <w:rFonts w:ascii="Sylfaen" w:hAnsi="Sylfaen" w:cs="Sylfaen"/>
        </w:rPr>
        <w:t>ნაყოფიერ</w:t>
      </w:r>
      <w:r w:rsidRPr="001352AB">
        <w:t xml:space="preserve"> </w:t>
      </w:r>
      <w:r w:rsidRPr="001352AB">
        <w:rPr>
          <w:rFonts w:ascii="Sylfaen" w:hAnsi="Sylfaen" w:cs="Sylfaen"/>
        </w:rPr>
        <w:t>ფენაზე</w:t>
      </w:r>
      <w:r w:rsidRPr="001352AB">
        <w:t xml:space="preserve"> </w:t>
      </w:r>
      <w:r w:rsidRPr="001352AB">
        <w:rPr>
          <w:rFonts w:ascii="Sylfaen" w:hAnsi="Sylfaen" w:cs="Sylfaen"/>
        </w:rPr>
        <w:t>ქვენიადაგის</w:t>
      </w:r>
      <w:r w:rsidRPr="001352AB">
        <w:t xml:space="preserve"> </w:t>
      </w:r>
      <w:r w:rsidRPr="001352AB">
        <w:rPr>
          <w:rFonts w:ascii="Sylfaen" w:hAnsi="Sylfaen" w:cs="Sylfaen"/>
        </w:rPr>
        <w:t>ჩამოშლის</w:t>
      </w:r>
      <w:r w:rsidRPr="001352AB">
        <w:t xml:space="preserve"> </w:t>
      </w:r>
      <w:r w:rsidRPr="001352AB">
        <w:rPr>
          <w:rFonts w:ascii="Sylfaen" w:hAnsi="Sylfaen" w:cs="Sylfaen"/>
        </w:rPr>
        <w:t>შედეგად</w:t>
      </w:r>
      <w:r w:rsidRPr="001352AB">
        <w:t xml:space="preserve"> </w:t>
      </w:r>
      <w:r w:rsidRPr="001352AB">
        <w:rPr>
          <w:rFonts w:ascii="Sylfaen" w:hAnsi="Sylfaen" w:cs="Sylfaen"/>
        </w:rPr>
        <w:t>ხდება</w:t>
      </w:r>
      <w:r w:rsidRPr="001352AB">
        <w:t xml:space="preserve"> </w:t>
      </w:r>
      <w:r w:rsidRPr="001352AB">
        <w:rPr>
          <w:rFonts w:ascii="Sylfaen" w:hAnsi="Sylfaen" w:cs="Sylfaen"/>
        </w:rPr>
        <w:t>ნაყოფიერი</w:t>
      </w:r>
      <w:r w:rsidRPr="001352AB">
        <w:t xml:space="preserve"> </w:t>
      </w:r>
      <w:r w:rsidRPr="001352AB">
        <w:rPr>
          <w:rFonts w:ascii="Sylfaen" w:hAnsi="Sylfaen" w:cs="Sylfaen"/>
        </w:rPr>
        <w:t>ფენის</w:t>
      </w:r>
      <w:r w:rsidRPr="001352AB">
        <w:t xml:space="preserve"> </w:t>
      </w:r>
      <w:r w:rsidRPr="001352AB">
        <w:rPr>
          <w:rFonts w:ascii="Sylfaen" w:hAnsi="Sylfaen" w:cs="Sylfaen"/>
        </w:rPr>
        <w:t>დაკარგვა</w:t>
      </w:r>
      <w:r w:rsidRPr="001352AB">
        <w:t xml:space="preserve">. </w:t>
      </w:r>
      <w:r w:rsidRPr="001352AB">
        <w:rPr>
          <w:rFonts w:ascii="Sylfaen" w:hAnsi="Sylfaen" w:cs="Sylfaen"/>
        </w:rPr>
        <w:t>რადგან</w:t>
      </w:r>
      <w:r w:rsidRPr="001352AB">
        <w:t xml:space="preserve"> </w:t>
      </w:r>
      <w:r w:rsidRPr="001352AB">
        <w:rPr>
          <w:rFonts w:ascii="Sylfaen" w:hAnsi="Sylfaen" w:cs="Sylfaen"/>
        </w:rPr>
        <w:t>ჩამოშლილი</w:t>
      </w:r>
      <w:r w:rsidRPr="001352AB">
        <w:t xml:space="preserve"> </w:t>
      </w:r>
      <w:r w:rsidRPr="001352AB">
        <w:rPr>
          <w:rFonts w:ascii="Sylfaen" w:hAnsi="Sylfaen" w:cs="Sylfaen"/>
        </w:rPr>
        <w:t>მიწის</w:t>
      </w:r>
      <w:r w:rsidRPr="001352AB">
        <w:t xml:space="preserve"> </w:t>
      </w:r>
      <w:r w:rsidRPr="001352AB">
        <w:rPr>
          <w:rFonts w:ascii="Sylfaen" w:hAnsi="Sylfaen" w:cs="Sylfaen"/>
        </w:rPr>
        <w:t>მოხსნის</w:t>
      </w:r>
      <w:r w:rsidRPr="001352AB">
        <w:t xml:space="preserve"> </w:t>
      </w:r>
      <w:r w:rsidRPr="001352AB">
        <w:rPr>
          <w:rFonts w:ascii="Sylfaen" w:hAnsi="Sylfaen" w:cs="Sylfaen"/>
        </w:rPr>
        <w:t>შემთხვევაშიც</w:t>
      </w:r>
      <w:r w:rsidRPr="001352AB">
        <w:t xml:space="preserve"> </w:t>
      </w:r>
      <w:r w:rsidRPr="001352AB">
        <w:rPr>
          <w:rFonts w:ascii="Sylfaen" w:hAnsi="Sylfaen" w:cs="Sylfaen"/>
        </w:rPr>
        <w:t>კი</w:t>
      </w:r>
      <w:r w:rsidRPr="001352AB">
        <w:t xml:space="preserve">, </w:t>
      </w:r>
      <w:r w:rsidRPr="001352AB">
        <w:rPr>
          <w:rFonts w:ascii="Sylfaen" w:hAnsi="Sylfaen" w:cs="Sylfaen"/>
        </w:rPr>
        <w:t>ქვენიადაგის</w:t>
      </w:r>
      <w:r w:rsidRPr="001352AB">
        <w:t xml:space="preserve"> </w:t>
      </w:r>
      <w:r w:rsidRPr="001352AB">
        <w:rPr>
          <w:rFonts w:ascii="Sylfaen" w:hAnsi="Sylfaen" w:cs="Sylfaen"/>
        </w:rPr>
        <w:t>ნაყოფიერ</w:t>
      </w:r>
      <w:r w:rsidRPr="001352AB">
        <w:t xml:space="preserve"> </w:t>
      </w:r>
      <w:r w:rsidRPr="001352AB">
        <w:rPr>
          <w:rFonts w:ascii="Sylfaen" w:hAnsi="Sylfaen" w:cs="Sylfaen"/>
        </w:rPr>
        <w:t>ნიადაგთან</w:t>
      </w:r>
      <w:r w:rsidRPr="001352AB">
        <w:t xml:space="preserve"> </w:t>
      </w:r>
      <w:r w:rsidRPr="001352AB">
        <w:rPr>
          <w:rFonts w:ascii="Sylfaen" w:hAnsi="Sylfaen" w:cs="Sylfaen"/>
        </w:rPr>
        <w:t>შერევისას</w:t>
      </w:r>
      <w:r w:rsidRPr="001352AB">
        <w:t xml:space="preserve"> </w:t>
      </w:r>
      <w:r w:rsidRPr="001352AB">
        <w:rPr>
          <w:rFonts w:ascii="Sylfaen" w:hAnsi="Sylfaen" w:cs="Sylfaen"/>
        </w:rPr>
        <w:t>უკანასკნელის</w:t>
      </w:r>
      <w:r w:rsidRPr="001352AB">
        <w:t xml:space="preserve"> </w:t>
      </w:r>
      <w:r w:rsidRPr="001352AB">
        <w:rPr>
          <w:rFonts w:ascii="Sylfaen" w:hAnsi="Sylfaen" w:cs="Sylfaen"/>
        </w:rPr>
        <w:t>ხარისხი</w:t>
      </w:r>
      <w:r w:rsidRPr="001352AB">
        <w:t xml:space="preserve"> </w:t>
      </w:r>
      <w:r w:rsidRPr="001352AB">
        <w:rPr>
          <w:rFonts w:ascii="Sylfaen" w:hAnsi="Sylfaen" w:cs="Sylfaen"/>
        </w:rPr>
        <w:t>უარესდება</w:t>
      </w:r>
      <w:r w:rsidRPr="001352AB">
        <w:t xml:space="preserve">.  </w:t>
      </w:r>
    </w:p>
    <w:p w14:paraId="337BCA6B" w14:textId="77777777" w:rsidR="00CD64B5" w:rsidRPr="001352AB" w:rsidRDefault="00CD64B5" w:rsidP="000E38C6">
      <w:pPr>
        <w:spacing w:before="120" w:after="120"/>
      </w:pPr>
    </w:p>
    <w:p w14:paraId="2F114802" w14:textId="77777777" w:rsidR="00CD64B5" w:rsidRPr="000E38C6" w:rsidRDefault="00CD64B5" w:rsidP="000E38C6">
      <w:pPr>
        <w:spacing w:before="120" w:after="120"/>
        <w:rPr>
          <w:b/>
          <w:lang w:eastAsia="en-GB"/>
        </w:rPr>
      </w:pPr>
      <w:bookmarkStart w:id="372" w:name="_Toc436571447"/>
      <w:bookmarkStart w:id="373" w:name="_Toc436593989"/>
      <w:r w:rsidRPr="000E38C6">
        <w:rPr>
          <w:rFonts w:ascii="Sylfaen" w:hAnsi="Sylfaen" w:cs="Sylfaen"/>
          <w:b/>
        </w:rPr>
        <w:t>შემარბილებელი</w:t>
      </w:r>
      <w:r w:rsidRPr="000E38C6">
        <w:rPr>
          <w:b/>
        </w:rPr>
        <w:t xml:space="preserve"> </w:t>
      </w:r>
      <w:r w:rsidRPr="000E38C6">
        <w:rPr>
          <w:rFonts w:ascii="Sylfaen" w:hAnsi="Sylfaen" w:cs="Sylfaen"/>
          <w:b/>
        </w:rPr>
        <w:t>ღონისძიებები</w:t>
      </w:r>
      <w:r w:rsidRPr="000E38C6">
        <w:rPr>
          <w:b/>
        </w:rPr>
        <w:t xml:space="preserve"> - </w:t>
      </w:r>
      <w:r w:rsidRPr="000E38C6">
        <w:rPr>
          <w:rFonts w:ascii="Sylfaen" w:hAnsi="Sylfaen" w:cs="Sylfaen"/>
          <w:b/>
        </w:rPr>
        <w:t>მშენებლობის</w:t>
      </w:r>
      <w:r w:rsidRPr="000E38C6">
        <w:rPr>
          <w:b/>
        </w:rPr>
        <w:t xml:space="preserve"> </w:t>
      </w:r>
      <w:r w:rsidRPr="000E38C6">
        <w:rPr>
          <w:rFonts w:ascii="Sylfaen" w:hAnsi="Sylfaen" w:cs="Sylfaen"/>
          <w:b/>
        </w:rPr>
        <w:t>ფაზა</w:t>
      </w:r>
      <w:bookmarkEnd w:id="372"/>
      <w:bookmarkEnd w:id="373"/>
    </w:p>
    <w:p w14:paraId="45044619" w14:textId="77777777" w:rsidR="00CD64B5" w:rsidRPr="001352AB" w:rsidRDefault="00CD64B5" w:rsidP="000E38C6">
      <w:pPr>
        <w:spacing w:before="120" w:after="120"/>
        <w:rPr>
          <w:lang w:eastAsia="da-DK"/>
        </w:rPr>
      </w:pPr>
      <w:r w:rsidRPr="001352AB">
        <w:rPr>
          <w:rFonts w:ascii="Sylfaen" w:hAnsi="Sylfaen" w:cs="Sylfaen"/>
        </w:rPr>
        <w:t>ნიადაგზე</w:t>
      </w:r>
      <w:r w:rsidRPr="001352AB">
        <w:t xml:space="preserve"> </w:t>
      </w:r>
      <w:r w:rsidRPr="001352AB">
        <w:rPr>
          <w:rFonts w:ascii="Sylfaen" w:hAnsi="Sylfaen" w:cs="Sylfaen"/>
        </w:rPr>
        <w:t>უარყოფითი</w:t>
      </w:r>
      <w:r w:rsidRPr="001352AB">
        <w:t xml:space="preserve"> </w:t>
      </w:r>
      <w:r w:rsidRPr="001352AB">
        <w:rPr>
          <w:rFonts w:ascii="Sylfaen" w:hAnsi="Sylfaen" w:cs="Sylfaen"/>
        </w:rPr>
        <w:t>ზემოქმედების</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აცილების</w:t>
      </w:r>
      <w:r w:rsidRPr="001352AB">
        <w:t xml:space="preserve"> </w:t>
      </w:r>
      <w:r w:rsidRPr="001352AB">
        <w:rPr>
          <w:rFonts w:ascii="Sylfaen" w:hAnsi="Sylfaen" w:cs="Sylfaen"/>
        </w:rPr>
        <w:t>ან</w:t>
      </w:r>
      <w:r w:rsidRPr="001352AB">
        <w:t xml:space="preserve"> </w:t>
      </w:r>
      <w:r w:rsidRPr="001352AB">
        <w:rPr>
          <w:rFonts w:ascii="Sylfaen" w:hAnsi="Sylfaen" w:cs="Sylfaen"/>
        </w:rPr>
        <w:t>შესუსტების</w:t>
      </w:r>
      <w:r w:rsidRPr="001352AB">
        <w:t xml:space="preserve"> </w:t>
      </w:r>
      <w:r w:rsidRPr="001352AB">
        <w:rPr>
          <w:rFonts w:ascii="Sylfaen" w:hAnsi="Sylfaen" w:cs="Sylfaen"/>
        </w:rPr>
        <w:t>მიზნით</w:t>
      </w:r>
      <w:r w:rsidRPr="001352AB">
        <w:t xml:space="preserve"> </w:t>
      </w:r>
      <w:r w:rsidRPr="001352AB">
        <w:rPr>
          <w:rFonts w:ascii="Sylfaen" w:hAnsi="Sylfaen" w:cs="Sylfaen"/>
        </w:rPr>
        <w:t>გათვალისწინებულია</w:t>
      </w:r>
      <w:r w:rsidRPr="001352AB">
        <w:t xml:space="preserve"> </w:t>
      </w:r>
      <w:r w:rsidRPr="001352AB">
        <w:rPr>
          <w:rFonts w:ascii="Sylfaen" w:hAnsi="Sylfaen" w:cs="Sylfaen"/>
        </w:rPr>
        <w:t>შემდეგი</w:t>
      </w:r>
      <w:r w:rsidRPr="001352AB">
        <w:t xml:space="preserve">: </w:t>
      </w:r>
    </w:p>
    <w:p w14:paraId="500210F6" w14:textId="77777777" w:rsidR="00CD64B5" w:rsidRPr="001352AB" w:rsidRDefault="00CD64B5" w:rsidP="000E38C6">
      <w:pPr>
        <w:spacing w:before="120" w:after="120"/>
      </w:pPr>
      <w:r w:rsidRPr="001352AB">
        <w:rPr>
          <w:rFonts w:ascii="Sylfaen" w:hAnsi="Sylfaen" w:cs="Sylfaen"/>
        </w:rPr>
        <w:t>მაქსიმალურად</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შენარჩუნებული</w:t>
      </w:r>
      <w:r w:rsidRPr="001352AB">
        <w:t xml:space="preserve"> </w:t>
      </w:r>
      <w:r w:rsidRPr="001352AB">
        <w:rPr>
          <w:rFonts w:ascii="Sylfaen" w:hAnsi="Sylfaen" w:cs="Sylfaen"/>
        </w:rPr>
        <w:t>მცენარეული</w:t>
      </w:r>
      <w:r w:rsidRPr="001352AB">
        <w:t xml:space="preserve"> </w:t>
      </w:r>
      <w:r w:rsidRPr="001352AB">
        <w:rPr>
          <w:rFonts w:ascii="Sylfaen" w:hAnsi="Sylfaen" w:cs="Sylfaen"/>
        </w:rPr>
        <w:t>საფარი</w:t>
      </w:r>
      <w:r w:rsidRPr="001352AB">
        <w:t xml:space="preserve">; </w:t>
      </w:r>
    </w:p>
    <w:p w14:paraId="7A518C13" w14:textId="77777777" w:rsidR="00CD64B5" w:rsidRPr="001352AB" w:rsidRDefault="00CD64B5" w:rsidP="000E38C6">
      <w:pPr>
        <w:spacing w:before="120" w:after="120"/>
      </w:pPr>
      <w:r w:rsidRPr="001352AB">
        <w:rPr>
          <w:rFonts w:ascii="Sylfaen" w:hAnsi="Sylfaen" w:cs="Sylfaen"/>
        </w:rPr>
        <w:t>ნაყოფიერი</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ფენის</w:t>
      </w:r>
      <w:r w:rsidRPr="001352AB">
        <w:t xml:space="preserve"> </w:t>
      </w:r>
      <w:r w:rsidRPr="001352AB">
        <w:rPr>
          <w:rFonts w:ascii="Sylfaen" w:hAnsi="Sylfaen" w:cs="Sylfaen"/>
        </w:rPr>
        <w:t>დაკარგვის</w:t>
      </w:r>
      <w:r w:rsidRPr="001352AB">
        <w:t xml:space="preserve"> </w:t>
      </w:r>
      <w:r w:rsidRPr="001352AB">
        <w:rPr>
          <w:rFonts w:ascii="Sylfaen" w:hAnsi="Sylfaen" w:cs="Sylfaen"/>
        </w:rPr>
        <w:t>პრევენციის</w:t>
      </w:r>
      <w:r w:rsidRPr="001352AB">
        <w:t xml:space="preserve"> </w:t>
      </w:r>
      <w:r w:rsidRPr="001352AB">
        <w:rPr>
          <w:rFonts w:ascii="Sylfaen" w:hAnsi="Sylfaen" w:cs="Sylfaen"/>
        </w:rPr>
        <w:t>მიზნით</w:t>
      </w:r>
      <w:r w:rsidRPr="001352AB">
        <w:t xml:space="preserve">, </w:t>
      </w:r>
      <w:r w:rsidRPr="001352AB">
        <w:rPr>
          <w:rFonts w:ascii="Sylfaen" w:hAnsi="Sylfaen" w:cs="Sylfaen"/>
        </w:rPr>
        <w:t>ნიადაგი</w:t>
      </w:r>
      <w:r w:rsidRPr="001352AB">
        <w:t xml:space="preserve"> </w:t>
      </w:r>
      <w:r w:rsidRPr="001352AB">
        <w:rPr>
          <w:rFonts w:ascii="Sylfaen" w:hAnsi="Sylfaen" w:cs="Sylfaen"/>
        </w:rPr>
        <w:t>მოიხსნება</w:t>
      </w:r>
      <w:r w:rsidRPr="001352AB">
        <w:t xml:space="preserve"> </w:t>
      </w:r>
      <w:r w:rsidRPr="001352AB">
        <w:rPr>
          <w:rFonts w:ascii="Sylfaen" w:hAnsi="Sylfaen" w:cs="Sylfaen"/>
        </w:rPr>
        <w:t>და</w:t>
      </w:r>
      <w:r w:rsidRPr="001352AB">
        <w:t xml:space="preserve"> </w:t>
      </w:r>
      <w:r w:rsidRPr="001352AB">
        <w:rPr>
          <w:rFonts w:ascii="Sylfaen" w:hAnsi="Sylfaen" w:cs="Sylfaen"/>
        </w:rPr>
        <w:t>განთავსდება</w:t>
      </w:r>
      <w:r w:rsidRPr="001352AB">
        <w:t xml:space="preserve"> </w:t>
      </w:r>
      <w:r w:rsidRPr="001352AB">
        <w:rPr>
          <w:rFonts w:ascii="Sylfaen" w:hAnsi="Sylfaen" w:cs="Sylfaen"/>
        </w:rPr>
        <w:t>დროებით</w:t>
      </w:r>
      <w:r w:rsidRPr="001352AB">
        <w:t xml:space="preserve"> </w:t>
      </w:r>
      <w:r w:rsidRPr="001352AB">
        <w:rPr>
          <w:rFonts w:ascii="Sylfaen" w:hAnsi="Sylfaen" w:cs="Sylfaen"/>
        </w:rPr>
        <w:t>ნაყარში</w:t>
      </w:r>
      <w:r w:rsidRPr="001352AB">
        <w:t xml:space="preserve"> </w:t>
      </w:r>
      <w:r w:rsidRPr="001352AB">
        <w:rPr>
          <w:rFonts w:ascii="Sylfaen" w:hAnsi="Sylfaen" w:cs="Sylfaen"/>
        </w:rPr>
        <w:t>ტერიტორიის</w:t>
      </w:r>
      <w:r w:rsidRPr="001352AB">
        <w:t xml:space="preserve"> </w:t>
      </w:r>
      <w:r w:rsidRPr="001352AB">
        <w:rPr>
          <w:rFonts w:ascii="Sylfaen" w:hAnsi="Sylfaen" w:cs="Sylfaen"/>
        </w:rPr>
        <w:t>რეკულტივაციისას</w:t>
      </w:r>
    </w:p>
    <w:p w14:paraId="2577A586" w14:textId="77777777" w:rsidR="00CD64B5" w:rsidRPr="001352AB" w:rsidRDefault="00CD64B5" w:rsidP="000E38C6">
      <w:pPr>
        <w:spacing w:before="120" w:after="120"/>
      </w:pPr>
      <w:r w:rsidRPr="001352AB">
        <w:rPr>
          <w:rFonts w:ascii="Sylfaen" w:hAnsi="Sylfaen" w:cs="Sylfaen"/>
        </w:rPr>
        <w:t>ნაყარისთვის</w:t>
      </w:r>
      <w:r w:rsidRPr="001352AB">
        <w:t xml:space="preserve"> </w:t>
      </w:r>
      <w:r w:rsidRPr="001352AB">
        <w:rPr>
          <w:rFonts w:ascii="Sylfaen" w:hAnsi="Sylfaen" w:cs="Sylfaen"/>
        </w:rPr>
        <w:t>შერჩეული</w:t>
      </w:r>
      <w:r w:rsidRPr="001352AB">
        <w:t xml:space="preserve"> </w:t>
      </w:r>
      <w:r w:rsidRPr="001352AB">
        <w:rPr>
          <w:rFonts w:ascii="Sylfaen" w:hAnsi="Sylfaen" w:cs="Sylfaen"/>
        </w:rPr>
        <w:t>ტერიტორია</w:t>
      </w:r>
      <w:r w:rsidRPr="001352AB">
        <w:t xml:space="preserve"> </w:t>
      </w:r>
      <w:r w:rsidRPr="001352AB">
        <w:rPr>
          <w:rFonts w:ascii="Sylfaen" w:hAnsi="Sylfaen" w:cs="Sylfaen"/>
        </w:rPr>
        <w:t>შეთანხმდება</w:t>
      </w:r>
      <w:r w:rsidRPr="001352AB">
        <w:t xml:space="preserve"> </w:t>
      </w:r>
      <w:r w:rsidRPr="001352AB">
        <w:rPr>
          <w:rFonts w:ascii="Sylfaen" w:hAnsi="Sylfaen" w:cs="Sylfaen"/>
        </w:rPr>
        <w:t>გარემოსდაცვით</w:t>
      </w:r>
      <w:r w:rsidRPr="001352AB">
        <w:t xml:space="preserve"> </w:t>
      </w:r>
      <w:r w:rsidRPr="001352AB">
        <w:rPr>
          <w:rFonts w:ascii="Sylfaen" w:hAnsi="Sylfaen" w:cs="Sylfaen"/>
        </w:rPr>
        <w:t>უწყებასთან</w:t>
      </w:r>
      <w:r w:rsidRPr="001352AB">
        <w:t xml:space="preserve">; </w:t>
      </w:r>
    </w:p>
    <w:p w14:paraId="7A15B974" w14:textId="77777777" w:rsidR="00CD64B5" w:rsidRPr="001352AB" w:rsidRDefault="00CD64B5" w:rsidP="000E38C6">
      <w:pPr>
        <w:spacing w:before="120" w:after="120"/>
      </w:pPr>
      <w:r w:rsidRPr="001352AB">
        <w:rPr>
          <w:rFonts w:ascii="Sylfaen" w:hAnsi="Sylfaen" w:cs="Sylfaen"/>
        </w:rPr>
        <w:t>ნაყარი</w:t>
      </w:r>
      <w:r w:rsidRPr="001352AB">
        <w:t xml:space="preserve"> </w:t>
      </w:r>
      <w:r w:rsidRPr="001352AB">
        <w:rPr>
          <w:rFonts w:ascii="Sylfaen" w:hAnsi="Sylfaen" w:cs="Sylfaen"/>
        </w:rPr>
        <w:t>არ</w:t>
      </w:r>
      <w:r w:rsidRPr="001352AB">
        <w:t xml:space="preserve"> </w:t>
      </w:r>
      <w:r w:rsidRPr="001352AB">
        <w:rPr>
          <w:rFonts w:ascii="Sylfaen" w:hAnsi="Sylfaen" w:cs="Sylfaen"/>
        </w:rPr>
        <w:t>მოეწყობა</w:t>
      </w:r>
      <w:r w:rsidRPr="001352AB">
        <w:t xml:space="preserve"> </w:t>
      </w:r>
      <w:r w:rsidRPr="001352AB">
        <w:rPr>
          <w:rFonts w:ascii="Sylfaen" w:hAnsi="Sylfaen" w:cs="Sylfaen"/>
        </w:rPr>
        <w:t>ზედაპირული</w:t>
      </w:r>
      <w:r w:rsidRPr="001352AB">
        <w:t xml:space="preserve"> </w:t>
      </w:r>
      <w:r w:rsidRPr="001352AB">
        <w:rPr>
          <w:rFonts w:ascii="Sylfaen" w:hAnsi="Sylfaen" w:cs="Sylfaen"/>
        </w:rPr>
        <w:t>წყლის</w:t>
      </w:r>
      <w:r w:rsidRPr="001352AB">
        <w:t xml:space="preserve"> </w:t>
      </w:r>
      <w:r w:rsidRPr="001352AB">
        <w:rPr>
          <w:rFonts w:ascii="Sylfaen" w:hAnsi="Sylfaen" w:cs="Sylfaen"/>
        </w:rPr>
        <w:t>ობიექტის</w:t>
      </w:r>
      <w:r w:rsidRPr="001352AB">
        <w:t xml:space="preserve"> </w:t>
      </w:r>
      <w:r w:rsidRPr="001352AB">
        <w:rPr>
          <w:rFonts w:ascii="Sylfaen" w:hAnsi="Sylfaen" w:cs="Sylfaen"/>
        </w:rPr>
        <w:t>მახლობლად</w:t>
      </w:r>
      <w:r w:rsidRPr="001352AB">
        <w:t xml:space="preserve">, </w:t>
      </w:r>
      <w:r w:rsidRPr="001352AB">
        <w:rPr>
          <w:rFonts w:ascii="Sylfaen" w:hAnsi="Sylfaen" w:cs="Sylfaen"/>
        </w:rPr>
        <w:t>წარეცხვის</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აცილების</w:t>
      </w:r>
      <w:r w:rsidRPr="001352AB">
        <w:t xml:space="preserve"> </w:t>
      </w:r>
      <w:r w:rsidRPr="001352AB">
        <w:rPr>
          <w:rFonts w:ascii="Sylfaen" w:hAnsi="Sylfaen" w:cs="Sylfaen"/>
        </w:rPr>
        <w:t>მიზნით</w:t>
      </w:r>
      <w:r w:rsidRPr="001352AB">
        <w:t xml:space="preserve">; </w:t>
      </w:r>
    </w:p>
    <w:p w14:paraId="2E7884B0" w14:textId="77777777" w:rsidR="00CD64B5" w:rsidRPr="001352AB" w:rsidRDefault="00CD64B5" w:rsidP="000E38C6">
      <w:pPr>
        <w:spacing w:before="120" w:after="120"/>
      </w:pPr>
      <w:r w:rsidRPr="001352AB">
        <w:rPr>
          <w:rFonts w:ascii="Sylfaen" w:hAnsi="Sylfaen" w:cs="Sylfaen"/>
        </w:rPr>
        <w:t>ნაყოფიერი</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ფენის</w:t>
      </w:r>
      <w:r w:rsidRPr="001352AB">
        <w:t xml:space="preserve"> </w:t>
      </w:r>
      <w:r w:rsidRPr="001352AB">
        <w:rPr>
          <w:rFonts w:ascii="Sylfaen" w:hAnsi="Sylfaen" w:cs="Sylfaen"/>
        </w:rPr>
        <w:t>ხარისხის</w:t>
      </w:r>
      <w:r w:rsidRPr="001352AB">
        <w:t xml:space="preserve"> </w:t>
      </w:r>
      <w:r w:rsidRPr="001352AB">
        <w:rPr>
          <w:rFonts w:ascii="Sylfaen" w:hAnsi="Sylfaen" w:cs="Sylfaen"/>
        </w:rPr>
        <w:t>შენარჩუნებისთვის</w:t>
      </w:r>
      <w:r w:rsidRPr="001352AB">
        <w:t xml:space="preserve">, </w:t>
      </w:r>
      <w:r w:rsidRPr="001352AB">
        <w:rPr>
          <w:rFonts w:ascii="Sylfaen" w:hAnsi="Sylfaen" w:cs="Sylfaen"/>
        </w:rPr>
        <w:t>მოხსნისას</w:t>
      </w:r>
      <w:r w:rsidRPr="001352AB">
        <w:t xml:space="preserve"> </w:t>
      </w:r>
      <w:r w:rsidRPr="001352AB">
        <w:rPr>
          <w:rFonts w:ascii="Sylfaen" w:hAnsi="Sylfaen" w:cs="Sylfaen"/>
        </w:rPr>
        <w:t>არ</w:t>
      </w:r>
      <w:r w:rsidRPr="001352AB">
        <w:t xml:space="preserve"> </w:t>
      </w:r>
      <w:r w:rsidRPr="001352AB">
        <w:rPr>
          <w:rFonts w:ascii="Sylfaen" w:hAnsi="Sylfaen" w:cs="Sylfaen"/>
        </w:rPr>
        <w:t>მოხდება</w:t>
      </w:r>
      <w:r w:rsidRPr="001352AB">
        <w:t xml:space="preserve"> </w:t>
      </w:r>
      <w:r w:rsidRPr="001352AB">
        <w:rPr>
          <w:rFonts w:ascii="Sylfaen" w:hAnsi="Sylfaen" w:cs="Sylfaen"/>
        </w:rPr>
        <w:t>მისი</w:t>
      </w:r>
      <w:r w:rsidRPr="001352AB">
        <w:t xml:space="preserve"> </w:t>
      </w:r>
      <w:r w:rsidRPr="001352AB">
        <w:rPr>
          <w:rFonts w:ascii="Sylfaen" w:hAnsi="Sylfaen" w:cs="Sylfaen"/>
        </w:rPr>
        <w:t>შერევა</w:t>
      </w:r>
      <w:r w:rsidRPr="001352AB">
        <w:t xml:space="preserve"> </w:t>
      </w:r>
      <w:r w:rsidRPr="001352AB">
        <w:rPr>
          <w:rFonts w:ascii="Sylfaen" w:hAnsi="Sylfaen" w:cs="Sylfaen"/>
        </w:rPr>
        <w:t>ქვენიადაგთან</w:t>
      </w:r>
      <w:r w:rsidRPr="001352AB">
        <w:t xml:space="preserve">. </w:t>
      </w:r>
    </w:p>
    <w:p w14:paraId="60871CFE" w14:textId="77777777" w:rsidR="00CD64B5" w:rsidRPr="001352AB" w:rsidRDefault="00CD64B5" w:rsidP="000E38C6">
      <w:pPr>
        <w:spacing w:before="120" w:after="120"/>
        <w:rPr>
          <w:lang w:eastAsia="en-GB"/>
        </w:rPr>
      </w:pPr>
      <w:r w:rsidRPr="001352AB">
        <w:rPr>
          <w:rFonts w:ascii="Sylfaen" w:hAnsi="Sylfaen" w:cs="Sylfaen"/>
        </w:rPr>
        <w:t>ნიადაგის</w:t>
      </w:r>
      <w:r w:rsidRPr="001352AB">
        <w:t xml:space="preserve"> </w:t>
      </w:r>
      <w:r w:rsidRPr="001352AB">
        <w:rPr>
          <w:rFonts w:ascii="Sylfaen" w:hAnsi="Sylfaen" w:cs="Sylfaen"/>
        </w:rPr>
        <w:t>ნაყოფიერი</w:t>
      </w:r>
      <w:r w:rsidRPr="001352AB">
        <w:t xml:space="preserve"> </w:t>
      </w:r>
      <w:r w:rsidRPr="001352AB">
        <w:rPr>
          <w:rFonts w:ascii="Sylfaen" w:hAnsi="Sylfaen" w:cs="Sylfaen"/>
        </w:rPr>
        <w:t>ფენის</w:t>
      </w:r>
      <w:r w:rsidRPr="001352AB">
        <w:t xml:space="preserve"> </w:t>
      </w:r>
      <w:r w:rsidRPr="001352AB">
        <w:rPr>
          <w:rFonts w:ascii="Sylfaen" w:hAnsi="Sylfaen" w:cs="Sylfaen"/>
        </w:rPr>
        <w:t>მართვა</w:t>
      </w:r>
      <w:r w:rsidRPr="001352AB">
        <w:t xml:space="preserve"> </w:t>
      </w:r>
      <w:r w:rsidRPr="001352AB">
        <w:rPr>
          <w:rFonts w:ascii="Sylfaen" w:hAnsi="Sylfaen" w:cs="Sylfaen"/>
        </w:rPr>
        <w:t>მოხდება</w:t>
      </w:r>
      <w:r w:rsidRPr="001352AB">
        <w:t xml:space="preserve"> </w:t>
      </w:r>
      <w:r w:rsidRPr="001352AB">
        <w:rPr>
          <w:rFonts w:cs="Arial"/>
        </w:rPr>
        <w:t>„</w:t>
      </w:r>
      <w:r w:rsidRPr="001352AB">
        <w:rPr>
          <w:rFonts w:ascii="Sylfaen" w:hAnsi="Sylfaen" w:cs="Sylfaen"/>
        </w:rPr>
        <w:t>ნიადაგის</w:t>
      </w:r>
      <w:r w:rsidRPr="001352AB">
        <w:t xml:space="preserve"> </w:t>
      </w:r>
      <w:r w:rsidRPr="001352AB">
        <w:rPr>
          <w:rFonts w:ascii="Sylfaen" w:hAnsi="Sylfaen" w:cs="Sylfaen"/>
        </w:rPr>
        <w:t>ნაყოფიერი</w:t>
      </w:r>
      <w:r w:rsidRPr="001352AB">
        <w:t xml:space="preserve"> </w:t>
      </w:r>
      <w:r w:rsidRPr="001352AB">
        <w:rPr>
          <w:rFonts w:ascii="Sylfaen" w:hAnsi="Sylfaen" w:cs="Sylfaen"/>
        </w:rPr>
        <w:t>ფენის</w:t>
      </w:r>
      <w:r w:rsidRPr="001352AB">
        <w:t xml:space="preserve"> </w:t>
      </w:r>
      <w:r w:rsidRPr="001352AB">
        <w:rPr>
          <w:rFonts w:ascii="Sylfaen" w:hAnsi="Sylfaen" w:cs="Sylfaen"/>
        </w:rPr>
        <w:t>მოხსნის</w:t>
      </w:r>
      <w:r w:rsidRPr="001352AB">
        <w:t xml:space="preserve">, </w:t>
      </w:r>
      <w:r w:rsidRPr="001352AB">
        <w:rPr>
          <w:rFonts w:ascii="Sylfaen" w:hAnsi="Sylfaen" w:cs="Sylfaen"/>
        </w:rPr>
        <w:t>შენახვის</w:t>
      </w:r>
      <w:r w:rsidRPr="001352AB">
        <w:t xml:space="preserve">, </w:t>
      </w:r>
      <w:r w:rsidRPr="001352AB">
        <w:rPr>
          <w:rFonts w:ascii="Sylfaen" w:hAnsi="Sylfaen" w:cs="Sylfaen"/>
        </w:rPr>
        <w:t>გამოყენებისა</w:t>
      </w:r>
      <w:r w:rsidRPr="001352AB">
        <w:t xml:space="preserve"> </w:t>
      </w:r>
      <w:r w:rsidRPr="001352AB">
        <w:rPr>
          <w:rFonts w:ascii="Sylfaen" w:hAnsi="Sylfaen" w:cs="Sylfaen"/>
        </w:rPr>
        <w:t>და</w:t>
      </w:r>
      <w:r w:rsidRPr="001352AB">
        <w:t xml:space="preserve"> </w:t>
      </w:r>
      <w:r w:rsidRPr="001352AB">
        <w:rPr>
          <w:rFonts w:ascii="Sylfaen" w:hAnsi="Sylfaen" w:cs="Sylfaen"/>
        </w:rPr>
        <w:t>რეკულტივაციის</w:t>
      </w:r>
      <w:r w:rsidRPr="001352AB">
        <w:t xml:space="preserve"> </w:t>
      </w:r>
      <w:r w:rsidRPr="001352AB">
        <w:rPr>
          <w:rFonts w:ascii="Sylfaen" w:hAnsi="Sylfaen" w:cs="Sylfaen"/>
        </w:rPr>
        <w:t>შესახებ</w:t>
      </w:r>
      <w:r w:rsidRPr="001352AB">
        <w:rPr>
          <w:rFonts w:cs="Arial"/>
        </w:rPr>
        <w:t>“</w:t>
      </w:r>
      <w:r w:rsidRPr="001352AB">
        <w:t xml:space="preserve"> </w:t>
      </w:r>
      <w:r w:rsidRPr="001352AB">
        <w:rPr>
          <w:rFonts w:ascii="Sylfaen" w:hAnsi="Sylfaen" w:cs="Sylfaen"/>
        </w:rPr>
        <w:t>მთავრობის</w:t>
      </w:r>
      <w:r w:rsidRPr="001352AB">
        <w:t xml:space="preserve"> </w:t>
      </w:r>
      <w:r w:rsidRPr="001352AB">
        <w:rPr>
          <w:rFonts w:ascii="Sylfaen" w:hAnsi="Sylfaen" w:cs="Sylfaen"/>
        </w:rPr>
        <w:t>რეგულაციით</w:t>
      </w:r>
      <w:r w:rsidRPr="001352AB">
        <w:t xml:space="preserve"> (#424, 2013 </w:t>
      </w:r>
      <w:r w:rsidRPr="001352AB">
        <w:rPr>
          <w:rFonts w:ascii="Sylfaen" w:hAnsi="Sylfaen" w:cs="Sylfaen"/>
        </w:rPr>
        <w:t>წლის</w:t>
      </w:r>
      <w:r w:rsidRPr="001352AB">
        <w:t xml:space="preserve"> 31 </w:t>
      </w:r>
      <w:r w:rsidRPr="001352AB">
        <w:rPr>
          <w:rFonts w:ascii="Sylfaen" w:hAnsi="Sylfaen" w:cs="Sylfaen"/>
        </w:rPr>
        <w:t>დეკემბერი</w:t>
      </w:r>
      <w:r w:rsidRPr="001352AB">
        <w:t xml:space="preserve">) </w:t>
      </w:r>
      <w:r w:rsidRPr="001352AB">
        <w:rPr>
          <w:rFonts w:ascii="Sylfaen" w:hAnsi="Sylfaen" w:cs="Sylfaen"/>
        </w:rPr>
        <w:t>განსაზღვრული</w:t>
      </w:r>
      <w:r w:rsidRPr="001352AB">
        <w:t xml:space="preserve"> </w:t>
      </w:r>
      <w:r w:rsidRPr="001352AB">
        <w:rPr>
          <w:rFonts w:ascii="Sylfaen" w:hAnsi="Sylfaen" w:cs="Sylfaen"/>
        </w:rPr>
        <w:t>მოთხოვნების</w:t>
      </w:r>
      <w:r w:rsidRPr="001352AB">
        <w:t xml:space="preserve"> </w:t>
      </w:r>
      <w:r w:rsidRPr="001352AB">
        <w:rPr>
          <w:rFonts w:ascii="Sylfaen" w:hAnsi="Sylfaen" w:cs="Sylfaen"/>
        </w:rPr>
        <w:t>შესაბამისად</w:t>
      </w:r>
      <w:r w:rsidRPr="001352AB">
        <w:t xml:space="preserve">. </w:t>
      </w:r>
      <w:r w:rsidRPr="001352AB">
        <w:rPr>
          <w:rFonts w:ascii="Sylfaen" w:hAnsi="Sylfaen" w:cs="Sylfaen"/>
        </w:rPr>
        <w:t>ასევე</w:t>
      </w:r>
      <w:r w:rsidRPr="001352AB">
        <w:t xml:space="preserve"> </w:t>
      </w:r>
      <w:r w:rsidRPr="001352AB">
        <w:rPr>
          <w:rFonts w:ascii="Sylfaen" w:hAnsi="Sylfaen" w:cs="Sylfaen"/>
        </w:rPr>
        <w:t>გათვალისწინებული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ნაყოფიერი</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ეფექტური</w:t>
      </w:r>
      <w:r w:rsidRPr="001352AB">
        <w:t xml:space="preserve"> </w:t>
      </w:r>
      <w:r w:rsidRPr="001352AB">
        <w:rPr>
          <w:rFonts w:ascii="Sylfaen" w:hAnsi="Sylfaen" w:cs="Sylfaen"/>
        </w:rPr>
        <w:t>მართვის</w:t>
      </w:r>
      <w:r w:rsidRPr="001352AB">
        <w:t xml:space="preserve"> </w:t>
      </w:r>
      <w:r w:rsidRPr="001352AB">
        <w:rPr>
          <w:rFonts w:ascii="Sylfaen" w:hAnsi="Sylfaen" w:cs="Sylfaen"/>
        </w:rPr>
        <w:t>პრაქტიკული</w:t>
      </w:r>
      <w:r w:rsidRPr="001352AB">
        <w:t xml:space="preserve"> </w:t>
      </w:r>
      <w:r w:rsidRPr="001352AB">
        <w:rPr>
          <w:rFonts w:ascii="Sylfaen" w:hAnsi="Sylfaen" w:cs="Sylfaen"/>
        </w:rPr>
        <w:t>გამოცდილება</w:t>
      </w:r>
      <w:r w:rsidRPr="001352AB">
        <w:t xml:space="preserve"> (</w:t>
      </w:r>
      <w:r w:rsidRPr="001352AB">
        <w:rPr>
          <w:rFonts w:ascii="Sylfaen" w:hAnsi="Sylfaen" w:cs="Sylfaen"/>
        </w:rPr>
        <w:t>იხ</w:t>
      </w:r>
      <w:r w:rsidRPr="001352AB">
        <w:t xml:space="preserve">. </w:t>
      </w:r>
      <w:r w:rsidRPr="001352AB">
        <w:rPr>
          <w:rFonts w:ascii="Sylfaen" w:hAnsi="Sylfaen" w:cs="Sylfaen"/>
        </w:rPr>
        <w:t>დანართი</w:t>
      </w:r>
      <w:r w:rsidRPr="001352AB">
        <w:t xml:space="preserve"> 3).</w:t>
      </w:r>
    </w:p>
    <w:p w14:paraId="3A7019EF" w14:textId="77777777" w:rsidR="00CD64B5" w:rsidRPr="001352AB" w:rsidRDefault="00CD64B5" w:rsidP="000E38C6">
      <w:pPr>
        <w:spacing w:before="120" w:after="120"/>
        <w:rPr>
          <w:lang w:eastAsia="da-DK"/>
        </w:rPr>
      </w:pPr>
      <w:r w:rsidRPr="001352AB">
        <w:rPr>
          <w:rFonts w:ascii="Sylfaen" w:hAnsi="Sylfaen" w:cs="Sylfaen"/>
        </w:rPr>
        <w:t>მოხსნილი</w:t>
      </w:r>
      <w:r w:rsidRPr="001352AB">
        <w:t xml:space="preserve"> </w:t>
      </w:r>
      <w:r w:rsidRPr="001352AB">
        <w:rPr>
          <w:rFonts w:ascii="Sylfaen" w:hAnsi="Sylfaen" w:cs="Sylfaen"/>
        </w:rPr>
        <w:t>ნაყოფიერი</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ფენის</w:t>
      </w:r>
      <w:r w:rsidRPr="001352AB">
        <w:t xml:space="preserve"> </w:t>
      </w:r>
      <w:r w:rsidRPr="001352AB">
        <w:rPr>
          <w:rFonts w:ascii="Sylfaen" w:hAnsi="Sylfaen" w:cs="Sylfaen"/>
        </w:rPr>
        <w:t>დასაწყობდება</w:t>
      </w:r>
      <w:r w:rsidRPr="001352AB">
        <w:t xml:space="preserve"> </w:t>
      </w:r>
      <w:r w:rsidRPr="001352AB">
        <w:rPr>
          <w:rFonts w:ascii="Sylfaen" w:hAnsi="Sylfaen" w:cs="Sylfaen"/>
        </w:rPr>
        <w:t>ქვენიადაგის</w:t>
      </w:r>
      <w:r w:rsidRPr="001352AB">
        <w:t xml:space="preserve"> </w:t>
      </w:r>
      <w:r w:rsidRPr="001352AB">
        <w:rPr>
          <w:rFonts w:ascii="Sylfaen" w:hAnsi="Sylfaen" w:cs="Sylfaen"/>
        </w:rPr>
        <w:t>და</w:t>
      </w:r>
      <w:r w:rsidRPr="001352AB">
        <w:t xml:space="preserve"> </w:t>
      </w:r>
      <w:r w:rsidRPr="001352AB">
        <w:rPr>
          <w:rFonts w:ascii="Sylfaen" w:hAnsi="Sylfaen" w:cs="Sylfaen"/>
        </w:rPr>
        <w:t>სხვა</w:t>
      </w:r>
      <w:r w:rsidRPr="001352AB">
        <w:t xml:space="preserve"> </w:t>
      </w:r>
      <w:r w:rsidRPr="001352AB">
        <w:rPr>
          <w:rFonts w:ascii="Sylfaen" w:hAnsi="Sylfaen" w:cs="Sylfaen"/>
        </w:rPr>
        <w:t>მასალისგან</w:t>
      </w:r>
      <w:r w:rsidRPr="001352AB">
        <w:t xml:space="preserve"> </w:t>
      </w:r>
      <w:r w:rsidRPr="001352AB">
        <w:rPr>
          <w:rFonts w:ascii="Sylfaen" w:hAnsi="Sylfaen" w:cs="Sylfaen"/>
        </w:rPr>
        <w:t>განცალკევებით</w:t>
      </w:r>
      <w:r w:rsidRPr="001352AB">
        <w:t>;</w:t>
      </w:r>
    </w:p>
    <w:p w14:paraId="799FC19C" w14:textId="77777777" w:rsidR="00CD64B5" w:rsidRPr="001352AB" w:rsidRDefault="00CD64B5" w:rsidP="000E38C6">
      <w:pPr>
        <w:spacing w:before="120" w:after="120"/>
      </w:pPr>
      <w:r w:rsidRPr="001352AB">
        <w:rPr>
          <w:rFonts w:ascii="Sylfaen" w:hAnsi="Sylfaen" w:cs="Sylfaen"/>
        </w:rPr>
        <w:t>ნაყარის</w:t>
      </w:r>
      <w:r w:rsidRPr="001352AB">
        <w:t xml:space="preserve"> </w:t>
      </w:r>
      <w:r w:rsidRPr="001352AB">
        <w:rPr>
          <w:rFonts w:ascii="Sylfaen" w:hAnsi="Sylfaen" w:cs="Sylfaen"/>
        </w:rPr>
        <w:t>მოწყობისას</w:t>
      </w:r>
      <w:r w:rsidRPr="001352AB">
        <w:t xml:space="preserve"> </w:t>
      </w: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უსაფრთხო</w:t>
      </w:r>
      <w:r w:rsidRPr="001352AB">
        <w:t xml:space="preserve"> </w:t>
      </w:r>
      <w:r w:rsidRPr="001352AB">
        <w:rPr>
          <w:rFonts w:ascii="Sylfaen" w:hAnsi="Sylfaen" w:cs="Sylfaen"/>
        </w:rPr>
        <w:t>ქანობი</w:t>
      </w:r>
      <w:r w:rsidRPr="001352AB">
        <w:t xml:space="preserve">, </w:t>
      </w:r>
      <w:r w:rsidRPr="001352AB">
        <w:rPr>
          <w:rFonts w:ascii="Sylfaen" w:hAnsi="Sylfaen" w:cs="Sylfaen"/>
        </w:rPr>
        <w:t>მოხდება</w:t>
      </w:r>
      <w:r w:rsidRPr="001352AB">
        <w:t xml:space="preserve">   </w:t>
      </w:r>
      <w:r w:rsidRPr="001352AB">
        <w:rPr>
          <w:rFonts w:ascii="Sylfaen" w:hAnsi="Sylfaen" w:cs="Sylfaen"/>
        </w:rPr>
        <w:t>ზედაპირული</w:t>
      </w:r>
      <w:r w:rsidRPr="001352AB">
        <w:t xml:space="preserve"> </w:t>
      </w:r>
      <w:r w:rsidRPr="001352AB">
        <w:rPr>
          <w:rFonts w:ascii="Sylfaen" w:hAnsi="Sylfaen" w:cs="Sylfaen"/>
        </w:rPr>
        <w:t>ჩამონადენი</w:t>
      </w:r>
      <w:r w:rsidRPr="001352AB">
        <w:t xml:space="preserve"> </w:t>
      </w:r>
      <w:r w:rsidRPr="001352AB">
        <w:rPr>
          <w:rFonts w:ascii="Sylfaen" w:hAnsi="Sylfaen" w:cs="Sylfaen"/>
        </w:rPr>
        <w:t>წყლის</w:t>
      </w:r>
      <w:r w:rsidRPr="001352AB">
        <w:t xml:space="preserve"> </w:t>
      </w:r>
      <w:r w:rsidRPr="001352AB">
        <w:rPr>
          <w:rFonts w:ascii="Sylfaen" w:hAnsi="Sylfaen" w:cs="Sylfaen"/>
        </w:rPr>
        <w:t>არინება</w:t>
      </w:r>
      <w:r w:rsidRPr="001352AB">
        <w:t xml:space="preserve">; </w:t>
      </w:r>
      <w:r w:rsidRPr="001352AB">
        <w:rPr>
          <w:rFonts w:ascii="Sylfaen" w:hAnsi="Sylfaen" w:cs="Sylfaen"/>
        </w:rPr>
        <w:t>სტაბილურობის</w:t>
      </w:r>
      <w:r w:rsidRPr="001352AB">
        <w:t xml:space="preserve"> </w:t>
      </w:r>
      <w:r w:rsidRPr="001352AB">
        <w:rPr>
          <w:rFonts w:ascii="Sylfaen" w:hAnsi="Sylfaen" w:cs="Sylfaen"/>
        </w:rPr>
        <w:t>უზრუნველსაყოფად</w:t>
      </w:r>
      <w:r w:rsidRPr="001352AB">
        <w:t xml:space="preserve"> </w:t>
      </w:r>
      <w:r w:rsidRPr="001352AB">
        <w:rPr>
          <w:rFonts w:ascii="Sylfaen" w:hAnsi="Sylfaen" w:cs="Sylfaen"/>
        </w:rPr>
        <w:t>ნაყარის</w:t>
      </w:r>
      <w:r w:rsidRPr="001352AB">
        <w:t xml:space="preserve"> </w:t>
      </w:r>
      <w:r w:rsidRPr="001352AB">
        <w:rPr>
          <w:rFonts w:ascii="Sylfaen" w:hAnsi="Sylfaen" w:cs="Sylfaen"/>
        </w:rPr>
        <w:t>სიმაღლე</w:t>
      </w:r>
      <w:r w:rsidRPr="001352AB">
        <w:t xml:space="preserve"> </w:t>
      </w:r>
      <w:r w:rsidRPr="001352AB">
        <w:rPr>
          <w:rFonts w:ascii="Sylfaen" w:hAnsi="Sylfaen" w:cs="Sylfaen"/>
        </w:rPr>
        <w:t>არ</w:t>
      </w:r>
      <w:r w:rsidRPr="001352AB">
        <w:t xml:space="preserve"> </w:t>
      </w:r>
      <w:r w:rsidRPr="001352AB">
        <w:rPr>
          <w:rFonts w:ascii="Sylfaen" w:hAnsi="Sylfaen" w:cs="Sylfaen"/>
        </w:rPr>
        <w:t>გადააჭარბებს</w:t>
      </w:r>
      <w:r w:rsidRPr="001352AB">
        <w:t xml:space="preserve"> 2 </w:t>
      </w:r>
      <w:r w:rsidRPr="001352AB">
        <w:rPr>
          <w:rFonts w:ascii="Sylfaen" w:hAnsi="Sylfaen" w:cs="Sylfaen"/>
        </w:rPr>
        <w:t>მეტრს</w:t>
      </w:r>
      <w:r w:rsidRPr="001352AB">
        <w:t>;</w:t>
      </w:r>
    </w:p>
    <w:p w14:paraId="00D36B12" w14:textId="77777777" w:rsidR="00CD64B5" w:rsidRPr="001352AB" w:rsidRDefault="00CD64B5" w:rsidP="000E38C6">
      <w:pPr>
        <w:spacing w:before="120" w:after="120"/>
      </w:pPr>
      <w:r w:rsidRPr="001352AB">
        <w:rPr>
          <w:rFonts w:ascii="Sylfaen" w:hAnsi="Sylfaen" w:cs="Sylfaen"/>
        </w:rPr>
        <w:t>ნიადაგის</w:t>
      </w:r>
      <w:r w:rsidRPr="001352AB">
        <w:t xml:space="preserve"> </w:t>
      </w:r>
      <w:r w:rsidRPr="001352AB">
        <w:rPr>
          <w:rFonts w:ascii="Sylfaen" w:hAnsi="Sylfaen" w:cs="Sylfaen"/>
        </w:rPr>
        <w:t>დატკეპნა</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აცილების</w:t>
      </w:r>
      <w:r w:rsidRPr="001352AB">
        <w:t xml:space="preserve"> </w:t>
      </w:r>
      <w:r w:rsidRPr="001352AB">
        <w:rPr>
          <w:rFonts w:ascii="Sylfaen" w:hAnsi="Sylfaen" w:cs="Sylfaen"/>
        </w:rPr>
        <w:t>მიზნით</w:t>
      </w:r>
      <w:r w:rsidRPr="001352AB">
        <w:t xml:space="preserve"> </w:t>
      </w:r>
      <w:r w:rsidRPr="001352AB">
        <w:rPr>
          <w:rFonts w:ascii="Sylfaen" w:hAnsi="Sylfaen" w:cs="Sylfaen"/>
        </w:rPr>
        <w:t>მკაცრად</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დაცული</w:t>
      </w:r>
      <w:r w:rsidRPr="001352AB">
        <w:t xml:space="preserve"> </w:t>
      </w:r>
      <w:r w:rsidRPr="001352AB">
        <w:rPr>
          <w:rFonts w:ascii="Sylfaen" w:hAnsi="Sylfaen" w:cs="Sylfaen"/>
        </w:rPr>
        <w:t>სამოძრაო</w:t>
      </w:r>
      <w:r w:rsidRPr="001352AB">
        <w:t xml:space="preserve"> </w:t>
      </w:r>
      <w:r w:rsidRPr="001352AB">
        <w:rPr>
          <w:rFonts w:ascii="Sylfaen" w:hAnsi="Sylfaen" w:cs="Sylfaen"/>
        </w:rPr>
        <w:t>გზების</w:t>
      </w:r>
      <w:r w:rsidRPr="001352AB">
        <w:t xml:space="preserve">, </w:t>
      </w:r>
      <w:r w:rsidRPr="001352AB">
        <w:rPr>
          <w:rFonts w:ascii="Sylfaen" w:hAnsi="Sylfaen" w:cs="Sylfaen"/>
        </w:rPr>
        <w:t>ბანაკების</w:t>
      </w:r>
      <w:r w:rsidRPr="001352AB">
        <w:t>/</w:t>
      </w:r>
      <w:r w:rsidRPr="001352AB">
        <w:rPr>
          <w:rFonts w:ascii="Sylfaen" w:hAnsi="Sylfaen" w:cs="Sylfaen"/>
        </w:rPr>
        <w:t>სამშენებლო</w:t>
      </w:r>
      <w:r w:rsidRPr="001352AB">
        <w:t xml:space="preserve"> </w:t>
      </w:r>
      <w:r w:rsidRPr="001352AB">
        <w:rPr>
          <w:rFonts w:ascii="Sylfaen" w:hAnsi="Sylfaen" w:cs="Sylfaen"/>
        </w:rPr>
        <w:t>მოედნების</w:t>
      </w:r>
      <w:r w:rsidRPr="001352AB">
        <w:t xml:space="preserve"> </w:t>
      </w:r>
      <w:r w:rsidRPr="001352AB">
        <w:rPr>
          <w:rFonts w:ascii="Sylfaen" w:hAnsi="Sylfaen" w:cs="Sylfaen"/>
        </w:rPr>
        <w:t>საზღვრები</w:t>
      </w:r>
      <w:r w:rsidRPr="001352AB">
        <w:t>;</w:t>
      </w:r>
    </w:p>
    <w:p w14:paraId="49BF4C82" w14:textId="77777777" w:rsidR="00CD64B5" w:rsidRPr="001352AB" w:rsidRDefault="00CD64B5" w:rsidP="000E38C6">
      <w:pPr>
        <w:spacing w:before="120" w:after="120"/>
      </w:pPr>
      <w:r w:rsidRPr="001352AB">
        <w:rPr>
          <w:rFonts w:ascii="Sylfaen" w:hAnsi="Sylfaen" w:cs="Sylfaen"/>
        </w:rPr>
        <w:t>სამშენებლო</w:t>
      </w:r>
      <w:r w:rsidRPr="001352AB">
        <w:t xml:space="preserve"> </w:t>
      </w:r>
      <w:r w:rsidRPr="001352AB">
        <w:rPr>
          <w:rFonts w:ascii="Sylfaen" w:hAnsi="Sylfaen" w:cs="Sylfaen"/>
        </w:rPr>
        <w:t>სამუშაოების</w:t>
      </w:r>
      <w:r w:rsidRPr="001352AB">
        <w:t>/</w:t>
      </w:r>
      <w:r w:rsidRPr="001352AB">
        <w:rPr>
          <w:rFonts w:ascii="Sylfaen" w:hAnsi="Sylfaen" w:cs="Sylfaen"/>
        </w:rPr>
        <w:t>ზემოქმედების</w:t>
      </w:r>
      <w:r w:rsidRPr="001352AB">
        <w:t xml:space="preserve"> </w:t>
      </w:r>
      <w:r w:rsidRPr="001352AB">
        <w:rPr>
          <w:rFonts w:ascii="Sylfaen" w:hAnsi="Sylfaen" w:cs="Sylfaen"/>
        </w:rPr>
        <w:t>დასრულებისთანავე</w:t>
      </w:r>
      <w:r w:rsidRPr="001352AB">
        <w:t xml:space="preserve">  </w:t>
      </w:r>
      <w:r w:rsidRPr="001352AB">
        <w:rPr>
          <w:rFonts w:ascii="Sylfaen" w:hAnsi="Sylfaen" w:cs="Sylfaen"/>
        </w:rPr>
        <w:t>მოხდება</w:t>
      </w:r>
      <w:r w:rsidRPr="001352AB">
        <w:t xml:space="preserve"> </w:t>
      </w:r>
      <w:r w:rsidRPr="001352AB">
        <w:rPr>
          <w:rFonts w:ascii="Sylfaen" w:hAnsi="Sylfaen" w:cs="Sylfaen"/>
        </w:rPr>
        <w:t>მწვანე</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აღდგენა</w:t>
      </w:r>
      <w:r w:rsidRPr="001352AB">
        <w:t>;</w:t>
      </w:r>
    </w:p>
    <w:p w14:paraId="4AE6EF31" w14:textId="77777777" w:rsidR="00CD64B5" w:rsidRPr="001352AB" w:rsidRDefault="00CD64B5" w:rsidP="000E38C6">
      <w:pPr>
        <w:spacing w:before="120" w:after="120"/>
      </w:pPr>
      <w:r w:rsidRPr="001352AB">
        <w:rPr>
          <w:rFonts w:ascii="Sylfaen" w:hAnsi="Sylfaen" w:cs="Sylfaen"/>
        </w:rPr>
        <w:t>საწვავის</w:t>
      </w:r>
      <w:r w:rsidRPr="001352AB">
        <w:t xml:space="preserve"> </w:t>
      </w:r>
      <w:r w:rsidRPr="001352AB">
        <w:rPr>
          <w:rFonts w:ascii="Sylfaen" w:hAnsi="Sylfaen" w:cs="Sylfaen"/>
        </w:rPr>
        <w:t>დროებითი</w:t>
      </w:r>
      <w:r w:rsidRPr="001352AB">
        <w:t xml:space="preserve"> </w:t>
      </w:r>
      <w:r w:rsidRPr="001352AB">
        <w:rPr>
          <w:rFonts w:ascii="Sylfaen" w:hAnsi="Sylfaen" w:cs="Sylfaen"/>
        </w:rPr>
        <w:t>ავზი</w:t>
      </w:r>
      <w:r w:rsidRPr="001352AB">
        <w:t xml:space="preserve"> (</w:t>
      </w:r>
      <w:r w:rsidRPr="001352AB">
        <w:rPr>
          <w:rFonts w:ascii="Sylfaen" w:hAnsi="Sylfaen" w:cs="Sylfaen"/>
        </w:rPr>
        <w:t>არსებობის</w:t>
      </w:r>
      <w:r w:rsidRPr="001352AB">
        <w:t xml:space="preserve"> </w:t>
      </w:r>
      <w:r w:rsidRPr="001352AB">
        <w:rPr>
          <w:rFonts w:ascii="Sylfaen" w:hAnsi="Sylfaen" w:cs="Sylfaen"/>
        </w:rPr>
        <w:t>შემთხვევაში</w:t>
      </w:r>
      <w:r w:rsidRPr="001352AB">
        <w:t xml:space="preserve">) </w:t>
      </w:r>
      <w:r w:rsidRPr="001352AB">
        <w:rPr>
          <w:rFonts w:ascii="Sylfaen" w:hAnsi="Sylfaen" w:cs="Sylfaen"/>
        </w:rPr>
        <w:t>განთავსდება</w:t>
      </w:r>
      <w:r w:rsidRPr="001352AB">
        <w:t xml:space="preserve">  </w:t>
      </w:r>
      <w:r w:rsidRPr="001352AB">
        <w:rPr>
          <w:rFonts w:ascii="Sylfaen" w:hAnsi="Sylfaen" w:cs="Sylfaen"/>
        </w:rPr>
        <w:t>ბერმებით</w:t>
      </w:r>
      <w:r w:rsidRPr="001352AB">
        <w:t xml:space="preserve"> </w:t>
      </w:r>
      <w:r w:rsidRPr="001352AB">
        <w:rPr>
          <w:rFonts w:ascii="Sylfaen" w:hAnsi="Sylfaen" w:cs="Sylfaen"/>
        </w:rPr>
        <w:t>ან</w:t>
      </w:r>
      <w:r w:rsidRPr="001352AB">
        <w:t xml:space="preserve"> </w:t>
      </w:r>
      <w:r w:rsidRPr="001352AB">
        <w:rPr>
          <w:rFonts w:ascii="Sylfaen" w:hAnsi="Sylfaen" w:cs="Sylfaen"/>
        </w:rPr>
        <w:t>ნაყარით</w:t>
      </w:r>
      <w:r w:rsidRPr="001352AB">
        <w:t xml:space="preserve"> </w:t>
      </w:r>
      <w:r w:rsidRPr="001352AB">
        <w:rPr>
          <w:rFonts w:ascii="Sylfaen" w:hAnsi="Sylfaen" w:cs="Sylfaen"/>
        </w:rPr>
        <w:t>შემოფარგლულ</w:t>
      </w:r>
      <w:r w:rsidRPr="001352AB">
        <w:t xml:space="preserve">, </w:t>
      </w:r>
      <w:r w:rsidRPr="001352AB">
        <w:rPr>
          <w:rFonts w:ascii="Sylfaen" w:hAnsi="Sylfaen" w:cs="Sylfaen"/>
        </w:rPr>
        <w:t>გაუმტარი</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მქონე</w:t>
      </w:r>
      <w:r w:rsidRPr="001352AB">
        <w:t xml:space="preserve"> </w:t>
      </w:r>
      <w:r w:rsidRPr="001352AB">
        <w:rPr>
          <w:rFonts w:ascii="Sylfaen" w:hAnsi="Sylfaen" w:cs="Sylfaen"/>
        </w:rPr>
        <w:t>ტერიტორიაზე</w:t>
      </w:r>
      <w:r w:rsidRPr="001352AB">
        <w:t xml:space="preserve">. </w:t>
      </w:r>
      <w:r w:rsidRPr="001352AB">
        <w:rPr>
          <w:rFonts w:ascii="Sylfaen" w:hAnsi="Sylfaen" w:cs="Sylfaen"/>
        </w:rPr>
        <w:t>დაღვრილი</w:t>
      </w:r>
      <w:r w:rsidRPr="001352AB">
        <w:t xml:space="preserve"> </w:t>
      </w:r>
      <w:r w:rsidRPr="001352AB">
        <w:rPr>
          <w:rFonts w:ascii="Sylfaen" w:hAnsi="Sylfaen" w:cs="Sylfaen"/>
        </w:rPr>
        <w:t>სითხე</w:t>
      </w:r>
      <w:r w:rsidRPr="001352AB">
        <w:t xml:space="preserve"> </w:t>
      </w:r>
      <w:r w:rsidRPr="001352AB">
        <w:rPr>
          <w:rFonts w:ascii="Sylfaen" w:hAnsi="Sylfaen" w:cs="Sylfaen"/>
        </w:rPr>
        <w:t>დაუყოვნებლივ</w:t>
      </w:r>
      <w:r w:rsidRPr="001352AB">
        <w:t xml:space="preserve"> </w:t>
      </w:r>
      <w:r w:rsidRPr="001352AB">
        <w:rPr>
          <w:rFonts w:cs="Arial"/>
        </w:rPr>
        <w:t>„</w:t>
      </w:r>
      <w:r w:rsidRPr="001352AB">
        <w:rPr>
          <w:rFonts w:ascii="Sylfaen" w:hAnsi="Sylfaen" w:cs="Sylfaen"/>
        </w:rPr>
        <w:t>შეკავდება</w:t>
      </w:r>
      <w:r w:rsidRPr="001352AB">
        <w:rPr>
          <w:rFonts w:eastAsia="MS Mincho"/>
        </w:rPr>
        <w:t xml:space="preserve">‟, </w:t>
      </w:r>
      <w:r w:rsidRPr="001352AB">
        <w:rPr>
          <w:rFonts w:ascii="Sylfaen" w:eastAsia="MS Mincho" w:hAnsi="Sylfaen" w:cs="Sylfaen"/>
        </w:rPr>
        <w:t>ტერიტორია</w:t>
      </w:r>
      <w:r w:rsidRPr="001352AB">
        <w:rPr>
          <w:rFonts w:eastAsia="MS Mincho"/>
        </w:rPr>
        <w:t xml:space="preserve"> </w:t>
      </w:r>
      <w:r w:rsidRPr="001352AB">
        <w:t xml:space="preserve"> </w:t>
      </w:r>
      <w:r w:rsidRPr="001352AB">
        <w:rPr>
          <w:rFonts w:ascii="Sylfaen" w:hAnsi="Sylfaen" w:cs="Sylfaen"/>
        </w:rPr>
        <w:t>დამუშავდება</w:t>
      </w:r>
      <w:r w:rsidRPr="001352AB">
        <w:t xml:space="preserve"> </w:t>
      </w:r>
      <w:r w:rsidRPr="001352AB">
        <w:rPr>
          <w:rFonts w:ascii="Sylfaen" w:hAnsi="Sylfaen" w:cs="Sylfaen"/>
        </w:rPr>
        <w:t>აბსორბენტის</w:t>
      </w:r>
      <w:r w:rsidRPr="001352AB">
        <w:t xml:space="preserve"> </w:t>
      </w:r>
      <w:r w:rsidRPr="001352AB">
        <w:rPr>
          <w:rFonts w:ascii="Sylfaen" w:hAnsi="Sylfaen" w:cs="Sylfaen"/>
        </w:rPr>
        <w:t>გამოყენებით</w:t>
      </w:r>
      <w:r w:rsidRPr="001352AB">
        <w:t>;</w:t>
      </w:r>
    </w:p>
    <w:p w14:paraId="1873198C" w14:textId="77777777" w:rsidR="00CD64B5" w:rsidRPr="001352AB" w:rsidRDefault="00CD64B5" w:rsidP="000E38C6">
      <w:pPr>
        <w:spacing w:before="120" w:after="120"/>
      </w:pPr>
      <w:r w:rsidRPr="001352AB">
        <w:rPr>
          <w:rFonts w:ascii="Sylfaen" w:hAnsi="Sylfaen" w:cs="Sylfaen"/>
        </w:rPr>
        <w:lastRenderedPageBreak/>
        <w:t>შეიზღუდება</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მოედანზე</w:t>
      </w:r>
      <w:r w:rsidRPr="001352AB">
        <w:t xml:space="preserve"> </w:t>
      </w:r>
      <w:r w:rsidRPr="001352AB">
        <w:rPr>
          <w:rFonts w:ascii="Sylfaen" w:hAnsi="Sylfaen" w:cs="Sylfaen"/>
        </w:rPr>
        <w:t>მანქანების</w:t>
      </w:r>
      <w:r w:rsidRPr="001352AB">
        <w:t xml:space="preserve"> </w:t>
      </w:r>
      <w:r w:rsidRPr="001352AB">
        <w:rPr>
          <w:rFonts w:ascii="Sylfaen" w:hAnsi="Sylfaen" w:cs="Sylfaen"/>
        </w:rPr>
        <w:t>შეკეთება</w:t>
      </w:r>
      <w:r w:rsidRPr="001352AB">
        <w:t>/</w:t>
      </w:r>
      <w:r w:rsidRPr="001352AB">
        <w:rPr>
          <w:rFonts w:ascii="Sylfaen" w:hAnsi="Sylfaen" w:cs="Sylfaen"/>
        </w:rPr>
        <w:t>ტექნიკური</w:t>
      </w:r>
      <w:r w:rsidRPr="001352AB">
        <w:t xml:space="preserve"> </w:t>
      </w:r>
      <w:r w:rsidRPr="001352AB">
        <w:rPr>
          <w:rFonts w:ascii="Sylfaen" w:hAnsi="Sylfaen" w:cs="Sylfaen"/>
        </w:rPr>
        <w:t>მომსახურეობა</w:t>
      </w:r>
      <w:r w:rsidRPr="001352AB">
        <w:t xml:space="preserve"> </w:t>
      </w:r>
      <w:r w:rsidRPr="001352AB">
        <w:rPr>
          <w:rFonts w:ascii="Sylfaen" w:hAnsi="Sylfaen" w:cs="Sylfaen"/>
        </w:rPr>
        <w:t>და</w:t>
      </w:r>
      <w:r w:rsidRPr="001352AB">
        <w:t>/</w:t>
      </w:r>
      <w:r w:rsidRPr="001352AB">
        <w:rPr>
          <w:rFonts w:ascii="Sylfaen" w:hAnsi="Sylfaen" w:cs="Sylfaen"/>
        </w:rPr>
        <w:t>ან</w:t>
      </w:r>
      <w:r w:rsidRPr="001352AB">
        <w:t xml:space="preserve"> </w:t>
      </w:r>
      <w:r w:rsidRPr="001352AB">
        <w:rPr>
          <w:rFonts w:ascii="Sylfaen" w:hAnsi="Sylfaen" w:cs="Sylfaen"/>
        </w:rPr>
        <w:t>საწვავით</w:t>
      </w:r>
      <w:r w:rsidRPr="001352AB">
        <w:t xml:space="preserve"> </w:t>
      </w:r>
      <w:r w:rsidRPr="001352AB">
        <w:rPr>
          <w:rFonts w:ascii="Sylfaen" w:hAnsi="Sylfaen" w:cs="Sylfaen"/>
        </w:rPr>
        <w:t>გამართვა</w:t>
      </w:r>
      <w:r w:rsidRPr="001352AB">
        <w:t xml:space="preserve">. </w:t>
      </w:r>
      <w:r w:rsidRPr="001352AB">
        <w:rPr>
          <w:rFonts w:ascii="Sylfaen" w:hAnsi="Sylfaen" w:cs="Sylfaen"/>
        </w:rPr>
        <w:t>უპირატესობა</w:t>
      </w:r>
      <w:r w:rsidRPr="001352AB">
        <w:t xml:space="preserve"> </w:t>
      </w:r>
      <w:r w:rsidRPr="001352AB">
        <w:rPr>
          <w:rFonts w:ascii="Sylfaen" w:hAnsi="Sylfaen" w:cs="Sylfaen"/>
        </w:rPr>
        <w:t>მიენიჭება</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მოედნის</w:t>
      </w:r>
      <w:r w:rsidRPr="001352AB">
        <w:t xml:space="preserve"> </w:t>
      </w:r>
      <w:r w:rsidRPr="001352AB">
        <w:rPr>
          <w:rFonts w:ascii="Sylfaen" w:hAnsi="Sylfaen" w:cs="Sylfaen"/>
        </w:rPr>
        <w:t>გარეთ</w:t>
      </w:r>
      <w:r w:rsidRPr="001352AB">
        <w:t xml:space="preserve"> </w:t>
      </w:r>
      <w:r w:rsidRPr="001352AB">
        <w:rPr>
          <w:rFonts w:ascii="Sylfaen" w:hAnsi="Sylfaen" w:cs="Sylfaen"/>
        </w:rPr>
        <w:t>არსებულ</w:t>
      </w:r>
      <w:r w:rsidRPr="001352AB">
        <w:t xml:space="preserve"> </w:t>
      </w:r>
      <w:r w:rsidRPr="001352AB">
        <w:rPr>
          <w:rFonts w:ascii="Sylfaen" w:hAnsi="Sylfaen" w:cs="Sylfaen"/>
        </w:rPr>
        <w:t>კომერციულ</w:t>
      </w:r>
      <w:r w:rsidRPr="001352AB">
        <w:t xml:space="preserve"> </w:t>
      </w:r>
      <w:r w:rsidRPr="001352AB">
        <w:rPr>
          <w:rFonts w:ascii="Sylfaen" w:hAnsi="Sylfaen" w:cs="Sylfaen"/>
        </w:rPr>
        <w:t>პუნქტებს</w:t>
      </w:r>
      <w:r w:rsidRPr="001352AB">
        <w:t xml:space="preserve">. </w:t>
      </w:r>
      <w:r w:rsidRPr="001352AB">
        <w:rPr>
          <w:rFonts w:ascii="Sylfaen" w:hAnsi="Sylfaen" w:cs="Sylfaen"/>
        </w:rPr>
        <w:t>თუ</w:t>
      </w:r>
      <w:r w:rsidRPr="001352AB">
        <w:t xml:space="preserve"> </w:t>
      </w:r>
      <w:r w:rsidRPr="001352AB">
        <w:rPr>
          <w:rFonts w:ascii="Sylfaen" w:hAnsi="Sylfaen" w:cs="Sylfaen"/>
        </w:rPr>
        <w:t>ეს</w:t>
      </w:r>
      <w:r w:rsidRPr="001352AB">
        <w:t xml:space="preserve"> </w:t>
      </w:r>
      <w:r w:rsidRPr="001352AB">
        <w:rPr>
          <w:rFonts w:ascii="Sylfaen" w:hAnsi="Sylfaen" w:cs="Sylfaen"/>
        </w:rPr>
        <w:t>შეუძლებელია</w:t>
      </w:r>
      <w:r w:rsidRPr="001352AB">
        <w:t xml:space="preserve">, </w:t>
      </w:r>
      <w:r w:rsidRPr="001352AB">
        <w:rPr>
          <w:rFonts w:ascii="Sylfaen" w:hAnsi="Sylfaen" w:cs="Sylfaen"/>
        </w:rPr>
        <w:t>და</w:t>
      </w:r>
      <w:r w:rsidRPr="001352AB">
        <w:t xml:space="preserve"> </w:t>
      </w:r>
      <w:r w:rsidRPr="001352AB">
        <w:rPr>
          <w:rFonts w:ascii="Sylfaen" w:hAnsi="Sylfaen" w:cs="Sylfaen"/>
        </w:rPr>
        <w:t>ტექმომსახურება</w:t>
      </w:r>
      <w:r w:rsidRPr="001352AB">
        <w:t xml:space="preserve">/ </w:t>
      </w:r>
      <w:r w:rsidRPr="001352AB">
        <w:rPr>
          <w:rFonts w:ascii="Sylfaen" w:hAnsi="Sylfaen" w:cs="Sylfaen"/>
        </w:rPr>
        <w:t>საწვავით</w:t>
      </w:r>
      <w:r w:rsidRPr="001352AB">
        <w:t xml:space="preserve"> </w:t>
      </w:r>
      <w:r w:rsidRPr="001352AB">
        <w:rPr>
          <w:rFonts w:ascii="Sylfaen" w:hAnsi="Sylfaen" w:cs="Sylfaen"/>
        </w:rPr>
        <w:t>გამართვა</w:t>
      </w:r>
      <w:r w:rsidRPr="001352AB">
        <w:t xml:space="preserve"> </w:t>
      </w:r>
      <w:r w:rsidRPr="001352AB">
        <w:rPr>
          <w:rFonts w:ascii="Sylfaen" w:hAnsi="Sylfaen" w:cs="Sylfaen"/>
        </w:rPr>
        <w:t>ადგილზეა</w:t>
      </w:r>
      <w:r w:rsidRPr="001352AB">
        <w:t xml:space="preserve"> </w:t>
      </w:r>
      <w:r w:rsidRPr="001352AB">
        <w:rPr>
          <w:rFonts w:ascii="Sylfaen" w:hAnsi="Sylfaen" w:cs="Sylfaen"/>
        </w:rPr>
        <w:t>აუცილებელი</w:t>
      </w:r>
      <w:r w:rsidRPr="001352AB">
        <w:t xml:space="preserve">, </w:t>
      </w:r>
      <w:r w:rsidRPr="001352AB">
        <w:rPr>
          <w:rFonts w:ascii="Sylfaen" w:hAnsi="Sylfaen" w:cs="Sylfaen"/>
        </w:rPr>
        <w:t>ამისთვის</w:t>
      </w:r>
      <w:r w:rsidRPr="001352AB">
        <w:t xml:space="preserve"> </w:t>
      </w:r>
      <w:r w:rsidRPr="001352AB">
        <w:rPr>
          <w:rFonts w:ascii="Sylfaen" w:hAnsi="Sylfaen" w:cs="Sylfaen"/>
        </w:rPr>
        <w:t>გამოყენებული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სათანადოდ</w:t>
      </w:r>
      <w:r w:rsidRPr="001352AB">
        <w:t xml:space="preserve"> </w:t>
      </w:r>
      <w:r w:rsidRPr="001352AB">
        <w:rPr>
          <w:rFonts w:ascii="Sylfaen" w:hAnsi="Sylfaen" w:cs="Sylfaen"/>
        </w:rPr>
        <w:t>აღჭურვილი</w:t>
      </w:r>
      <w:r w:rsidRPr="001352AB">
        <w:t xml:space="preserve"> </w:t>
      </w:r>
      <w:r w:rsidRPr="001352AB">
        <w:rPr>
          <w:rFonts w:ascii="Sylfaen" w:hAnsi="Sylfaen" w:cs="Sylfaen"/>
        </w:rPr>
        <w:t>სპეციალური</w:t>
      </w:r>
      <w:r w:rsidRPr="001352AB">
        <w:t xml:space="preserve"> </w:t>
      </w:r>
      <w:r w:rsidRPr="001352AB">
        <w:rPr>
          <w:rFonts w:ascii="Sylfaen" w:hAnsi="Sylfaen" w:cs="Sylfaen"/>
        </w:rPr>
        <w:t>უბანი</w:t>
      </w:r>
      <w:r w:rsidRPr="001352AB">
        <w:t xml:space="preserve">. </w:t>
      </w:r>
      <w:r w:rsidRPr="001352AB">
        <w:rPr>
          <w:rFonts w:ascii="Sylfaen" w:hAnsi="Sylfaen" w:cs="Sylfaen"/>
        </w:rPr>
        <w:t>ტერიტორია</w:t>
      </w:r>
      <w:r w:rsidRPr="001352AB">
        <w:t xml:space="preserve"> </w:t>
      </w: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შემთხვევითი</w:t>
      </w:r>
      <w:r w:rsidRPr="001352AB">
        <w:t xml:space="preserve"> </w:t>
      </w:r>
      <w:r w:rsidRPr="001352AB">
        <w:rPr>
          <w:rFonts w:ascii="Sylfaen" w:hAnsi="Sylfaen" w:cs="Sylfaen"/>
        </w:rPr>
        <w:t>დაღვრის</w:t>
      </w:r>
      <w:r w:rsidRPr="001352AB">
        <w:t xml:space="preserve"> </w:t>
      </w:r>
      <w:r w:rsidRPr="001352AB">
        <w:rPr>
          <w:rFonts w:ascii="Sylfaen" w:hAnsi="Sylfaen" w:cs="Sylfaen"/>
        </w:rPr>
        <w:t>გავრცელებისგან</w:t>
      </w:r>
      <w:r w:rsidRPr="001352AB">
        <w:t xml:space="preserve"> (</w:t>
      </w:r>
      <w:r w:rsidRPr="001352AB">
        <w:rPr>
          <w:rFonts w:ascii="Sylfaen" w:hAnsi="Sylfaen" w:cs="Sylfaen"/>
        </w:rPr>
        <w:t>მეორადი</w:t>
      </w:r>
      <w:r w:rsidRPr="001352AB">
        <w:t xml:space="preserve"> </w:t>
      </w:r>
      <w:r w:rsidRPr="001352AB">
        <w:rPr>
          <w:rFonts w:ascii="Sylfaen" w:hAnsi="Sylfaen" w:cs="Sylfaen"/>
        </w:rPr>
        <w:t>შემოღობვა</w:t>
      </w:r>
      <w:r w:rsidRPr="001352AB">
        <w:t xml:space="preserve">, </w:t>
      </w:r>
      <w:r w:rsidRPr="001352AB">
        <w:rPr>
          <w:rFonts w:ascii="Sylfaen" w:hAnsi="Sylfaen" w:cs="Sylfaen"/>
        </w:rPr>
        <w:t>მყარი</w:t>
      </w:r>
      <w:r w:rsidRPr="001352AB">
        <w:t xml:space="preserve"> </w:t>
      </w:r>
      <w:r w:rsidRPr="001352AB">
        <w:rPr>
          <w:rFonts w:ascii="Sylfaen" w:hAnsi="Sylfaen" w:cs="Sylfaen"/>
        </w:rPr>
        <w:t>საფარი</w:t>
      </w:r>
      <w:r w:rsidRPr="001352AB">
        <w:t xml:space="preserve"> </w:t>
      </w:r>
      <w:r w:rsidRPr="001352AB">
        <w:rPr>
          <w:rFonts w:ascii="Sylfaen" w:hAnsi="Sylfaen" w:cs="Sylfaen"/>
        </w:rPr>
        <w:t>და</w:t>
      </w:r>
      <w:r w:rsidRPr="001352AB">
        <w:t xml:space="preserve"> </w:t>
      </w:r>
      <w:r w:rsidRPr="001352AB">
        <w:rPr>
          <w:rFonts w:ascii="Sylfaen" w:hAnsi="Sylfaen" w:cs="Sylfaen"/>
        </w:rPr>
        <w:t>სხვ</w:t>
      </w:r>
      <w:r w:rsidRPr="001352AB">
        <w:t xml:space="preserve">.). </w:t>
      </w:r>
      <w:r w:rsidRPr="001352AB">
        <w:rPr>
          <w:rFonts w:ascii="Sylfaen" w:hAnsi="Sylfaen" w:cs="Sylfaen"/>
        </w:rPr>
        <w:t>ადგილზე</w:t>
      </w:r>
      <w:r w:rsidRPr="001352AB">
        <w:t xml:space="preserve"> </w:t>
      </w:r>
      <w:r w:rsidRPr="001352AB">
        <w:rPr>
          <w:rFonts w:ascii="Sylfaen" w:hAnsi="Sylfaen" w:cs="Sylfaen"/>
        </w:rPr>
        <w:t>მომარაგებული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აბსორბენტი</w:t>
      </w:r>
      <w:r w:rsidRPr="001352AB">
        <w:t xml:space="preserve"> </w:t>
      </w:r>
      <w:r w:rsidRPr="001352AB">
        <w:rPr>
          <w:rFonts w:ascii="Sylfaen" w:hAnsi="Sylfaen" w:cs="Sylfaen"/>
        </w:rPr>
        <w:t>და</w:t>
      </w:r>
      <w:r w:rsidRPr="001352AB">
        <w:t xml:space="preserve"> </w:t>
      </w:r>
      <w:r w:rsidRPr="001352AB">
        <w:rPr>
          <w:rFonts w:ascii="Sylfaen" w:hAnsi="Sylfaen" w:cs="Sylfaen"/>
        </w:rPr>
        <w:t>ნაწვეთის</w:t>
      </w:r>
      <w:r w:rsidRPr="001352AB">
        <w:t xml:space="preserve"> </w:t>
      </w:r>
      <w:r w:rsidRPr="001352AB">
        <w:rPr>
          <w:rFonts w:ascii="Sylfaen" w:hAnsi="Sylfaen" w:cs="Sylfaen"/>
        </w:rPr>
        <w:t>შემკრები</w:t>
      </w:r>
      <w:r w:rsidRPr="001352AB">
        <w:t>;</w:t>
      </w:r>
    </w:p>
    <w:p w14:paraId="12A7D52C" w14:textId="77777777" w:rsidR="00CD64B5" w:rsidRPr="001352AB" w:rsidRDefault="00CD64B5" w:rsidP="000E38C6">
      <w:pPr>
        <w:spacing w:before="120" w:after="120"/>
      </w:pPr>
      <w:r w:rsidRPr="001352AB">
        <w:rPr>
          <w:rFonts w:ascii="Sylfaen" w:hAnsi="Sylfaen" w:cs="Sylfaen"/>
        </w:rPr>
        <w:t>რეგულარულად</w:t>
      </w:r>
      <w:r w:rsidRPr="001352AB">
        <w:t xml:space="preserve"> </w:t>
      </w:r>
      <w:r w:rsidRPr="001352AB">
        <w:rPr>
          <w:rFonts w:ascii="Sylfaen" w:hAnsi="Sylfaen" w:cs="Sylfaen"/>
        </w:rPr>
        <w:t>შემოწმდება</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მოედანზე</w:t>
      </w:r>
      <w:r w:rsidRPr="001352AB">
        <w:t xml:space="preserve"> </w:t>
      </w:r>
      <w:r w:rsidRPr="001352AB">
        <w:rPr>
          <w:rFonts w:ascii="Sylfaen" w:hAnsi="Sylfaen" w:cs="Sylfaen"/>
        </w:rPr>
        <w:t>მომუშავე</w:t>
      </w:r>
      <w:r w:rsidRPr="001352AB">
        <w:t xml:space="preserve"> </w:t>
      </w:r>
      <w:r w:rsidRPr="001352AB">
        <w:rPr>
          <w:rFonts w:ascii="Sylfaen" w:hAnsi="Sylfaen" w:cs="Sylfaen"/>
        </w:rPr>
        <w:t>მანქანები</w:t>
      </w:r>
      <w:r w:rsidRPr="001352AB">
        <w:t xml:space="preserve"> </w:t>
      </w:r>
      <w:r w:rsidRPr="001352AB">
        <w:rPr>
          <w:rFonts w:ascii="Sylfaen" w:hAnsi="Sylfaen" w:cs="Sylfaen"/>
        </w:rPr>
        <w:t>და</w:t>
      </w:r>
      <w:r w:rsidRPr="001352AB">
        <w:t xml:space="preserve"> </w:t>
      </w:r>
      <w:r w:rsidRPr="001352AB">
        <w:rPr>
          <w:rFonts w:ascii="Sylfaen" w:hAnsi="Sylfaen" w:cs="Sylfaen"/>
        </w:rPr>
        <w:t>დანადგარები</w:t>
      </w:r>
      <w:r w:rsidRPr="001352AB">
        <w:t xml:space="preserve">. </w:t>
      </w:r>
      <w:r w:rsidRPr="001352AB">
        <w:rPr>
          <w:rFonts w:ascii="Sylfaen" w:hAnsi="Sylfaen" w:cs="Sylfaen"/>
        </w:rPr>
        <w:t>დაზიანების</w:t>
      </w:r>
      <w:r w:rsidRPr="001352AB">
        <w:t xml:space="preserve"> </w:t>
      </w:r>
      <w:r w:rsidRPr="001352AB">
        <w:rPr>
          <w:rFonts w:ascii="Sylfaen" w:hAnsi="Sylfaen" w:cs="Sylfaen"/>
        </w:rPr>
        <w:t>და</w:t>
      </w:r>
      <w:r w:rsidRPr="001352AB">
        <w:t xml:space="preserve"> </w:t>
      </w:r>
      <w:r w:rsidRPr="001352AB">
        <w:rPr>
          <w:rFonts w:ascii="Sylfaen" w:hAnsi="Sylfaen" w:cs="Sylfaen"/>
        </w:rPr>
        <w:t>საწვავის</w:t>
      </w:r>
      <w:r w:rsidRPr="001352AB">
        <w:t>/</w:t>
      </w:r>
      <w:r w:rsidRPr="001352AB">
        <w:rPr>
          <w:rFonts w:ascii="Sylfaen" w:hAnsi="Sylfaen" w:cs="Sylfaen"/>
        </w:rPr>
        <w:t>ზეთის</w:t>
      </w:r>
      <w:r w:rsidRPr="001352AB">
        <w:t xml:space="preserve"> </w:t>
      </w:r>
      <w:r w:rsidRPr="001352AB">
        <w:rPr>
          <w:rFonts w:ascii="Sylfaen" w:hAnsi="Sylfaen" w:cs="Sylfaen"/>
        </w:rPr>
        <w:t>ჟონვის</w:t>
      </w:r>
      <w:r w:rsidRPr="001352AB">
        <w:t xml:space="preserve"> </w:t>
      </w:r>
      <w:r w:rsidRPr="001352AB">
        <w:rPr>
          <w:rFonts w:ascii="Sylfaen" w:hAnsi="Sylfaen" w:cs="Sylfaen"/>
        </w:rPr>
        <w:t>დაფიქსირებისას</w:t>
      </w:r>
      <w:r w:rsidRPr="001352AB">
        <w:t xml:space="preserve"> </w:t>
      </w:r>
      <w:r w:rsidRPr="001352AB">
        <w:rPr>
          <w:rFonts w:ascii="Sylfaen" w:hAnsi="Sylfaen" w:cs="Sylfaen"/>
        </w:rPr>
        <w:t>დაუყოვნებლივ</w:t>
      </w:r>
      <w:r w:rsidRPr="001352AB">
        <w:t xml:space="preserve"> </w:t>
      </w:r>
      <w:r w:rsidRPr="001352AB">
        <w:rPr>
          <w:rFonts w:ascii="Sylfaen" w:hAnsi="Sylfaen" w:cs="Sylfaen"/>
        </w:rPr>
        <w:t>მოხდება</w:t>
      </w:r>
      <w:r w:rsidRPr="001352AB">
        <w:t xml:space="preserve"> </w:t>
      </w:r>
      <w:r w:rsidRPr="001352AB">
        <w:rPr>
          <w:rFonts w:ascii="Sylfaen" w:hAnsi="Sylfaen" w:cs="Sylfaen"/>
        </w:rPr>
        <w:t>დაზიანების</w:t>
      </w:r>
      <w:r w:rsidRPr="001352AB">
        <w:t xml:space="preserve"> </w:t>
      </w:r>
      <w:r w:rsidRPr="001352AB">
        <w:rPr>
          <w:rFonts w:ascii="Sylfaen" w:hAnsi="Sylfaen" w:cs="Sylfaen"/>
        </w:rPr>
        <w:t>შეკეთება</w:t>
      </w:r>
      <w:r w:rsidRPr="001352AB">
        <w:t xml:space="preserve">. </w:t>
      </w:r>
      <w:r w:rsidRPr="001352AB">
        <w:rPr>
          <w:rFonts w:ascii="Sylfaen" w:hAnsi="Sylfaen" w:cs="Sylfaen"/>
        </w:rPr>
        <w:t>დაზიანებული</w:t>
      </w:r>
      <w:r w:rsidRPr="001352AB">
        <w:t xml:space="preserve"> </w:t>
      </w:r>
      <w:r w:rsidRPr="001352AB">
        <w:rPr>
          <w:rFonts w:ascii="Sylfaen" w:hAnsi="Sylfaen" w:cs="Sylfaen"/>
        </w:rPr>
        <w:t>მანქანები</w:t>
      </w:r>
      <w:r w:rsidRPr="001352AB">
        <w:t xml:space="preserve"> </w:t>
      </w:r>
      <w:r w:rsidRPr="001352AB">
        <w:rPr>
          <w:rFonts w:ascii="Sylfaen" w:hAnsi="Sylfaen" w:cs="Sylfaen"/>
        </w:rPr>
        <w:t>სამუშაო</w:t>
      </w:r>
      <w:r w:rsidRPr="001352AB">
        <w:t xml:space="preserve"> </w:t>
      </w:r>
      <w:r w:rsidRPr="001352AB">
        <w:rPr>
          <w:rFonts w:ascii="Sylfaen" w:hAnsi="Sylfaen" w:cs="Sylfaen"/>
        </w:rPr>
        <w:t>მოედანზე</w:t>
      </w:r>
      <w:r w:rsidRPr="001352AB">
        <w:t xml:space="preserve"> </w:t>
      </w:r>
      <w:r w:rsidRPr="001352AB">
        <w:rPr>
          <w:rFonts w:ascii="Sylfaen" w:hAnsi="Sylfaen" w:cs="Sylfaen"/>
        </w:rPr>
        <w:t>არ</w:t>
      </w:r>
      <w:r w:rsidRPr="001352AB">
        <w:t xml:space="preserve"> </w:t>
      </w:r>
      <w:r w:rsidRPr="001352AB">
        <w:rPr>
          <w:rFonts w:ascii="Sylfaen" w:hAnsi="Sylfaen" w:cs="Sylfaen"/>
        </w:rPr>
        <w:t>დაიშვებიან</w:t>
      </w:r>
      <w:r w:rsidRPr="001352AB">
        <w:t>;</w:t>
      </w:r>
    </w:p>
    <w:p w14:paraId="4BA9AD22" w14:textId="77777777" w:rsidR="00CD64B5" w:rsidRPr="001352AB" w:rsidRDefault="00CD64B5" w:rsidP="000E38C6">
      <w:pPr>
        <w:spacing w:before="120" w:after="120"/>
      </w:pPr>
      <w:r w:rsidRPr="001352AB">
        <w:rPr>
          <w:rFonts w:ascii="Sylfaen" w:hAnsi="Sylfaen" w:cs="Sylfaen"/>
        </w:rPr>
        <w:t>უპირატესობა</w:t>
      </w:r>
      <w:r w:rsidRPr="001352AB">
        <w:t xml:space="preserve"> </w:t>
      </w:r>
      <w:r w:rsidRPr="001352AB">
        <w:rPr>
          <w:rFonts w:ascii="Sylfaen" w:hAnsi="Sylfaen" w:cs="Sylfaen"/>
        </w:rPr>
        <w:t>მიენიჭება</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მოედნის</w:t>
      </w:r>
      <w:r w:rsidRPr="001352AB">
        <w:t xml:space="preserve"> </w:t>
      </w:r>
      <w:r w:rsidRPr="001352AB">
        <w:rPr>
          <w:rFonts w:ascii="Sylfaen" w:hAnsi="Sylfaen" w:cs="Sylfaen"/>
        </w:rPr>
        <w:t>გარეთ</w:t>
      </w:r>
      <w:r w:rsidRPr="001352AB">
        <w:t xml:space="preserve"> </w:t>
      </w:r>
      <w:r w:rsidRPr="001352AB">
        <w:rPr>
          <w:rFonts w:ascii="Sylfaen" w:hAnsi="Sylfaen" w:cs="Sylfaen"/>
        </w:rPr>
        <w:t>არსებული</w:t>
      </w:r>
      <w:r w:rsidRPr="001352AB">
        <w:t xml:space="preserve"> </w:t>
      </w:r>
      <w:r w:rsidRPr="001352AB">
        <w:rPr>
          <w:rFonts w:ascii="Sylfaen" w:hAnsi="Sylfaen" w:cs="Sylfaen"/>
        </w:rPr>
        <w:t>კომერციული</w:t>
      </w:r>
      <w:r w:rsidRPr="001352AB">
        <w:t xml:space="preserve"> </w:t>
      </w:r>
      <w:r w:rsidRPr="001352AB">
        <w:rPr>
          <w:rFonts w:ascii="Sylfaen" w:hAnsi="Sylfaen" w:cs="Sylfaen"/>
        </w:rPr>
        <w:t>სამრეცხაოს</w:t>
      </w:r>
      <w:r w:rsidRPr="001352AB">
        <w:t xml:space="preserve"> </w:t>
      </w:r>
      <w:r w:rsidRPr="001352AB">
        <w:rPr>
          <w:rFonts w:ascii="Sylfaen" w:hAnsi="Sylfaen" w:cs="Sylfaen"/>
        </w:rPr>
        <w:t>მომსახურების</w:t>
      </w:r>
      <w:r w:rsidRPr="001352AB">
        <w:t xml:space="preserve"> </w:t>
      </w:r>
      <w:r w:rsidRPr="001352AB">
        <w:rPr>
          <w:rFonts w:ascii="Sylfaen" w:hAnsi="Sylfaen" w:cs="Sylfaen"/>
        </w:rPr>
        <w:t>გამოყენებას</w:t>
      </w:r>
      <w:r w:rsidRPr="001352AB">
        <w:t xml:space="preserve">. </w:t>
      </w:r>
      <w:r w:rsidRPr="001352AB">
        <w:rPr>
          <w:rFonts w:ascii="Sylfaen" w:hAnsi="Sylfaen" w:cs="Sylfaen"/>
        </w:rPr>
        <w:t>თუ</w:t>
      </w:r>
      <w:r w:rsidRPr="001352AB">
        <w:t xml:space="preserve"> </w:t>
      </w:r>
      <w:r w:rsidRPr="001352AB">
        <w:rPr>
          <w:rFonts w:ascii="Sylfaen" w:hAnsi="Sylfaen" w:cs="Sylfaen"/>
        </w:rPr>
        <w:t>მანქანის</w:t>
      </w:r>
      <w:r w:rsidRPr="001352AB">
        <w:t xml:space="preserve"> </w:t>
      </w:r>
      <w:r w:rsidRPr="001352AB">
        <w:rPr>
          <w:rFonts w:ascii="Sylfaen" w:hAnsi="Sylfaen" w:cs="Sylfaen"/>
        </w:rPr>
        <w:t>რეცხვა</w:t>
      </w:r>
      <w:r w:rsidRPr="001352AB">
        <w:t xml:space="preserve"> </w:t>
      </w:r>
      <w:r w:rsidRPr="001352AB">
        <w:rPr>
          <w:rFonts w:ascii="Sylfaen" w:hAnsi="Sylfaen" w:cs="Sylfaen"/>
        </w:rPr>
        <w:t>ადგილზეა</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საჭირო</w:t>
      </w:r>
      <w:r w:rsidRPr="001352AB">
        <w:t xml:space="preserve"> </w:t>
      </w:r>
      <w:r w:rsidRPr="001352AB">
        <w:rPr>
          <w:rFonts w:ascii="Sylfaen" w:hAnsi="Sylfaen" w:cs="Sylfaen"/>
        </w:rPr>
        <w:t>ამისთვის</w:t>
      </w:r>
      <w:r w:rsidRPr="001352AB">
        <w:t xml:space="preserve"> </w:t>
      </w:r>
      <w:r w:rsidRPr="001352AB">
        <w:rPr>
          <w:rFonts w:ascii="Sylfaen" w:hAnsi="Sylfaen" w:cs="Sylfaen"/>
        </w:rPr>
        <w:t>შერჩეული</w:t>
      </w:r>
      <w:r w:rsidRPr="001352AB">
        <w:t xml:space="preserve"> </w:t>
      </w:r>
      <w:r w:rsidRPr="001352AB">
        <w:rPr>
          <w:rFonts w:ascii="Sylfaen" w:hAnsi="Sylfaen" w:cs="Sylfaen"/>
        </w:rPr>
        <w:t>ტერიტორია</w:t>
      </w:r>
      <w:r w:rsidRPr="001352AB">
        <w:t xml:space="preserve"> </w:t>
      </w:r>
      <w:r w:rsidRPr="001352AB">
        <w:rPr>
          <w:rFonts w:ascii="Sylfaen" w:hAnsi="Sylfaen" w:cs="Sylfaen"/>
        </w:rPr>
        <w:t>ბერმებით</w:t>
      </w:r>
      <w:r w:rsidRPr="001352AB">
        <w:t xml:space="preserve">  </w:t>
      </w:r>
      <w:r w:rsidRPr="001352AB">
        <w:rPr>
          <w:rFonts w:ascii="Sylfaen" w:hAnsi="Sylfaen" w:cs="Sylfaen"/>
        </w:rPr>
        <w:t>შემოიღობება</w:t>
      </w:r>
      <w:r w:rsidRPr="001352AB">
        <w:t xml:space="preserve">, </w:t>
      </w:r>
      <w:r w:rsidRPr="001352AB">
        <w:rPr>
          <w:rFonts w:ascii="Sylfaen" w:hAnsi="Sylfaen" w:cs="Sylfaen"/>
        </w:rPr>
        <w:t>მას</w:t>
      </w:r>
      <w:r w:rsidRPr="001352AB">
        <w:t xml:space="preserve"> </w:t>
      </w:r>
      <w:r w:rsidRPr="001352AB">
        <w:rPr>
          <w:rFonts w:ascii="Sylfaen" w:hAnsi="Sylfaen" w:cs="Sylfaen"/>
        </w:rPr>
        <w:t>ექნება</w:t>
      </w:r>
      <w:r w:rsidRPr="001352AB">
        <w:t xml:space="preserve"> </w:t>
      </w:r>
      <w:r w:rsidRPr="001352AB">
        <w:rPr>
          <w:rFonts w:ascii="Sylfaen" w:hAnsi="Sylfaen" w:cs="Sylfaen"/>
        </w:rPr>
        <w:t>გარკვეული</w:t>
      </w:r>
      <w:r w:rsidRPr="001352AB">
        <w:t xml:space="preserve"> </w:t>
      </w:r>
      <w:r w:rsidRPr="001352AB">
        <w:rPr>
          <w:rFonts w:ascii="Sylfaen" w:hAnsi="Sylfaen" w:cs="Sylfaen"/>
        </w:rPr>
        <w:t>დახრილობა</w:t>
      </w:r>
      <w:r w:rsidRPr="001352AB">
        <w:t xml:space="preserve"> </w:t>
      </w:r>
      <w:r w:rsidRPr="001352AB">
        <w:rPr>
          <w:rFonts w:ascii="Sylfaen" w:hAnsi="Sylfaen" w:cs="Sylfaen"/>
        </w:rPr>
        <w:t>ჰქონდეს</w:t>
      </w:r>
      <w:r w:rsidRPr="001352AB">
        <w:t xml:space="preserve"> </w:t>
      </w:r>
      <w:r w:rsidRPr="001352AB">
        <w:rPr>
          <w:rFonts w:ascii="Sylfaen" w:hAnsi="Sylfaen" w:cs="Sylfaen"/>
        </w:rPr>
        <w:t>წყლის</w:t>
      </w:r>
      <w:r w:rsidRPr="001352AB">
        <w:t xml:space="preserve"> </w:t>
      </w:r>
      <w:r w:rsidRPr="001352AB">
        <w:rPr>
          <w:rFonts w:ascii="Sylfaen" w:hAnsi="Sylfaen" w:cs="Sylfaen"/>
        </w:rPr>
        <w:t>შეგროვების</w:t>
      </w:r>
      <w:r w:rsidRPr="001352AB">
        <w:t xml:space="preserve"> </w:t>
      </w:r>
      <w:r w:rsidRPr="001352AB">
        <w:rPr>
          <w:rFonts w:ascii="Sylfaen" w:hAnsi="Sylfaen" w:cs="Sylfaen"/>
        </w:rPr>
        <w:t>და</w:t>
      </w:r>
      <w:r w:rsidRPr="001352AB">
        <w:t xml:space="preserve"> </w:t>
      </w:r>
      <w:r w:rsidRPr="001352AB">
        <w:rPr>
          <w:rFonts w:ascii="Sylfaen" w:hAnsi="Sylfaen" w:cs="Sylfaen"/>
        </w:rPr>
        <w:t>აორთქლების</w:t>
      </w:r>
      <w:r w:rsidRPr="001352AB">
        <w:t xml:space="preserve"> </w:t>
      </w:r>
      <w:r w:rsidRPr="001352AB">
        <w:rPr>
          <w:rFonts w:ascii="Sylfaen" w:hAnsi="Sylfaen" w:cs="Sylfaen"/>
        </w:rPr>
        <w:t>გაადვილებისთვის</w:t>
      </w:r>
      <w:r w:rsidRPr="001352AB">
        <w:t>;</w:t>
      </w:r>
    </w:p>
    <w:p w14:paraId="4763DB60" w14:textId="77777777" w:rsidR="00CD64B5" w:rsidRPr="001352AB" w:rsidRDefault="00CD64B5" w:rsidP="000E38C6">
      <w:pPr>
        <w:spacing w:before="120" w:after="120"/>
      </w:pPr>
      <w:r w:rsidRPr="001352AB">
        <w:rPr>
          <w:rFonts w:ascii="Sylfaen" w:hAnsi="Sylfaen" w:cs="Sylfaen"/>
        </w:rPr>
        <w:t>მოეწყობა</w:t>
      </w:r>
      <w:r w:rsidRPr="001352AB">
        <w:t xml:space="preserve"> </w:t>
      </w:r>
      <w:r w:rsidRPr="001352AB">
        <w:rPr>
          <w:rFonts w:ascii="Sylfaen" w:hAnsi="Sylfaen" w:cs="Sylfaen"/>
        </w:rPr>
        <w:t>ნარჩენების</w:t>
      </w:r>
      <w:r w:rsidRPr="001352AB">
        <w:t xml:space="preserve"> </w:t>
      </w:r>
      <w:r w:rsidRPr="001352AB">
        <w:rPr>
          <w:rFonts w:ascii="Sylfaen" w:hAnsi="Sylfaen" w:cs="Sylfaen"/>
        </w:rPr>
        <w:t>შეგროვების</w:t>
      </w:r>
      <w:r w:rsidRPr="001352AB">
        <w:t xml:space="preserve"> </w:t>
      </w:r>
      <w:r w:rsidRPr="001352AB">
        <w:rPr>
          <w:rFonts w:ascii="Sylfaen" w:hAnsi="Sylfaen" w:cs="Sylfaen"/>
        </w:rPr>
        <w:t>და</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დასაწყობების</w:t>
      </w:r>
      <w:r w:rsidRPr="001352AB">
        <w:t xml:space="preserve"> </w:t>
      </w:r>
      <w:r w:rsidRPr="001352AB">
        <w:rPr>
          <w:rFonts w:ascii="Sylfaen" w:hAnsi="Sylfaen" w:cs="Sylfaen"/>
        </w:rPr>
        <w:t>ტერიტორიებიდან</w:t>
      </w:r>
      <w:r w:rsidRPr="001352AB">
        <w:t xml:space="preserve"> </w:t>
      </w:r>
      <w:r w:rsidRPr="001352AB">
        <w:rPr>
          <w:rFonts w:ascii="Sylfaen" w:hAnsi="Sylfaen" w:cs="Sylfaen"/>
        </w:rPr>
        <w:t>წყლის</w:t>
      </w:r>
      <w:r w:rsidRPr="001352AB">
        <w:t xml:space="preserve"> </w:t>
      </w:r>
      <w:r w:rsidRPr="001352AB">
        <w:rPr>
          <w:rFonts w:ascii="Sylfaen" w:hAnsi="Sylfaen" w:cs="Sylfaen"/>
        </w:rPr>
        <w:t>არინების</w:t>
      </w:r>
      <w:r w:rsidRPr="001352AB">
        <w:t xml:space="preserve"> </w:t>
      </w:r>
      <w:r w:rsidRPr="001352AB">
        <w:rPr>
          <w:rFonts w:ascii="Sylfaen" w:hAnsi="Sylfaen" w:cs="Sylfaen"/>
        </w:rPr>
        <w:t>სისტემები</w:t>
      </w:r>
      <w:r w:rsidRPr="001352AB">
        <w:t xml:space="preserve"> </w:t>
      </w:r>
      <w:r w:rsidRPr="001352AB">
        <w:rPr>
          <w:rFonts w:ascii="Sylfaen" w:hAnsi="Sylfaen" w:cs="Sylfaen"/>
        </w:rPr>
        <w:t>წარეცვის</w:t>
      </w:r>
      <w:r w:rsidRPr="001352AB">
        <w:t xml:space="preserve"> </w:t>
      </w:r>
      <w:r w:rsidRPr="001352AB">
        <w:rPr>
          <w:rFonts w:ascii="Sylfaen" w:hAnsi="Sylfaen" w:cs="Sylfaen"/>
        </w:rPr>
        <w:t>გამოსარიცხად</w:t>
      </w:r>
      <w:r w:rsidRPr="001352AB">
        <w:t xml:space="preserve">; </w:t>
      </w:r>
    </w:p>
    <w:p w14:paraId="5CE3CC89" w14:textId="77777777" w:rsidR="00CD64B5" w:rsidRPr="001352AB" w:rsidRDefault="00CD64B5" w:rsidP="000E38C6">
      <w:pPr>
        <w:spacing w:before="120" w:after="120"/>
      </w:pPr>
      <w:r w:rsidRPr="001352AB">
        <w:rPr>
          <w:rFonts w:ascii="Sylfaen" w:hAnsi="Sylfaen" w:cs="Sylfaen"/>
        </w:rPr>
        <w:t>კონტრაქტორის</w:t>
      </w:r>
      <w:r w:rsidRPr="001352AB">
        <w:t xml:space="preserve"> </w:t>
      </w:r>
      <w:r w:rsidRPr="001352AB">
        <w:rPr>
          <w:rFonts w:ascii="Sylfaen" w:hAnsi="Sylfaen" w:cs="Sylfaen"/>
        </w:rPr>
        <w:t>პერსონალს</w:t>
      </w:r>
      <w:r w:rsidRPr="001352AB">
        <w:t xml:space="preserve"> </w:t>
      </w:r>
      <w:r w:rsidRPr="001352AB">
        <w:rPr>
          <w:rFonts w:ascii="Sylfaen" w:hAnsi="Sylfaen" w:cs="Sylfaen"/>
        </w:rPr>
        <w:t>ჩაუტარდება</w:t>
      </w:r>
      <w:r w:rsidRPr="001352AB">
        <w:t xml:space="preserve"> </w:t>
      </w:r>
      <w:r w:rsidRPr="001352AB">
        <w:rPr>
          <w:rFonts w:ascii="Sylfaen" w:hAnsi="Sylfaen" w:cs="Sylfaen"/>
        </w:rPr>
        <w:t>ტრეინინგი</w:t>
      </w:r>
      <w:r w:rsidRPr="001352AB">
        <w:t xml:space="preserve"> </w:t>
      </w:r>
      <w:r w:rsidRPr="001352AB">
        <w:rPr>
          <w:rFonts w:ascii="Sylfaen" w:hAnsi="Sylfaen" w:cs="Sylfaen"/>
        </w:rPr>
        <w:t>გარემოსდაცვით</w:t>
      </w:r>
      <w:r w:rsidRPr="001352AB">
        <w:t xml:space="preserve"> </w:t>
      </w:r>
      <w:r w:rsidRPr="001352AB">
        <w:rPr>
          <w:rFonts w:ascii="Sylfaen" w:hAnsi="Sylfaen" w:cs="Sylfaen"/>
        </w:rPr>
        <w:t>და</w:t>
      </w:r>
      <w:r w:rsidRPr="001352AB">
        <w:t xml:space="preserve"> </w:t>
      </w:r>
      <w:r w:rsidRPr="001352AB">
        <w:rPr>
          <w:rFonts w:ascii="Sylfaen" w:hAnsi="Sylfaen" w:cs="Sylfaen"/>
        </w:rPr>
        <w:t>უსაფრთხოების</w:t>
      </w:r>
      <w:r w:rsidRPr="001352AB">
        <w:t xml:space="preserve"> </w:t>
      </w:r>
      <w:r w:rsidRPr="001352AB">
        <w:rPr>
          <w:rFonts w:ascii="Sylfaen" w:hAnsi="Sylfaen" w:cs="Sylfaen"/>
        </w:rPr>
        <w:t>საკითხებზე</w:t>
      </w:r>
      <w:r w:rsidRPr="001352AB">
        <w:t>;</w:t>
      </w:r>
    </w:p>
    <w:p w14:paraId="2A2A9BBB" w14:textId="77777777" w:rsidR="00CD64B5" w:rsidRPr="001352AB" w:rsidRDefault="00CD64B5" w:rsidP="000E38C6">
      <w:pPr>
        <w:spacing w:before="120" w:after="120"/>
      </w:pP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ნარჩენების</w:t>
      </w:r>
      <w:r w:rsidRPr="001352AB">
        <w:t xml:space="preserve"> </w:t>
      </w:r>
      <w:r w:rsidRPr="001352AB">
        <w:rPr>
          <w:rFonts w:ascii="Sylfaen" w:hAnsi="Sylfaen" w:cs="Sylfaen"/>
        </w:rPr>
        <w:t>მართვის</w:t>
      </w:r>
      <w:r w:rsidRPr="001352AB">
        <w:t xml:space="preserve"> </w:t>
      </w:r>
      <w:r w:rsidRPr="001352AB">
        <w:rPr>
          <w:rFonts w:ascii="Sylfaen" w:hAnsi="Sylfaen" w:cs="Sylfaen"/>
        </w:rPr>
        <w:t>და</w:t>
      </w:r>
      <w:r w:rsidRPr="001352AB">
        <w:t xml:space="preserve"> </w:t>
      </w:r>
      <w:r w:rsidRPr="001352AB">
        <w:rPr>
          <w:rFonts w:ascii="Sylfaen" w:hAnsi="Sylfaen" w:cs="Sylfaen"/>
        </w:rPr>
        <w:t>ავარიულ</w:t>
      </w:r>
      <w:r w:rsidRPr="001352AB">
        <w:t xml:space="preserve"> </w:t>
      </w:r>
      <w:r w:rsidRPr="001352AB">
        <w:rPr>
          <w:rFonts w:ascii="Sylfaen" w:hAnsi="Sylfaen" w:cs="Sylfaen"/>
        </w:rPr>
        <w:t>სიტუაციებზე</w:t>
      </w:r>
      <w:r w:rsidRPr="001352AB">
        <w:t xml:space="preserve"> </w:t>
      </w:r>
      <w:r w:rsidRPr="001352AB">
        <w:rPr>
          <w:rFonts w:ascii="Sylfaen" w:hAnsi="Sylfaen" w:cs="Sylfaen"/>
        </w:rPr>
        <w:t>რეაგირების</w:t>
      </w:r>
      <w:r w:rsidRPr="001352AB">
        <w:t xml:space="preserve"> (</w:t>
      </w:r>
      <w:r w:rsidRPr="001352AB">
        <w:rPr>
          <w:rFonts w:ascii="Sylfaen" w:hAnsi="Sylfaen" w:cs="Sylfaen"/>
        </w:rPr>
        <w:t>ავარიული</w:t>
      </w:r>
      <w:r w:rsidRPr="001352AB">
        <w:t xml:space="preserve"> </w:t>
      </w:r>
      <w:r w:rsidRPr="001352AB">
        <w:rPr>
          <w:rFonts w:ascii="Sylfaen" w:hAnsi="Sylfaen" w:cs="Sylfaen"/>
        </w:rPr>
        <w:t>დაღვრა</w:t>
      </w:r>
      <w:r w:rsidRPr="001352AB">
        <w:t xml:space="preserve">) </w:t>
      </w:r>
      <w:r w:rsidRPr="001352AB">
        <w:rPr>
          <w:rFonts w:ascii="Sylfaen" w:hAnsi="Sylfaen" w:cs="Sylfaen"/>
        </w:rPr>
        <w:t>გეგმების</w:t>
      </w:r>
      <w:r w:rsidRPr="001352AB">
        <w:t xml:space="preserve"> </w:t>
      </w:r>
      <w:r w:rsidRPr="001352AB">
        <w:rPr>
          <w:rFonts w:ascii="Sylfaen" w:hAnsi="Sylfaen" w:cs="Sylfaen"/>
        </w:rPr>
        <w:t>მოთხოვნები</w:t>
      </w:r>
      <w:r w:rsidRPr="001352AB">
        <w:t>;</w:t>
      </w:r>
    </w:p>
    <w:p w14:paraId="3FA5275B" w14:textId="77777777" w:rsidR="00CD64B5" w:rsidRPr="001352AB" w:rsidRDefault="00CD64B5" w:rsidP="000E38C6">
      <w:pPr>
        <w:spacing w:before="120" w:after="120"/>
        <w:rPr>
          <w:lang w:eastAsia="en-GB"/>
        </w:rPr>
      </w:pPr>
      <w:r w:rsidRPr="001352AB">
        <w:rPr>
          <w:rFonts w:ascii="Sylfaen" w:hAnsi="Sylfaen" w:cs="Sylfaen"/>
        </w:rPr>
        <w:t>ზედაპირული</w:t>
      </w:r>
      <w:r w:rsidRPr="001352AB">
        <w:t xml:space="preserve"> </w:t>
      </w:r>
      <w:r w:rsidRPr="001352AB">
        <w:rPr>
          <w:rFonts w:ascii="Sylfaen" w:hAnsi="Sylfaen" w:cs="Sylfaen"/>
        </w:rPr>
        <w:t>წყლის</w:t>
      </w:r>
      <w:r w:rsidRPr="001352AB">
        <w:t xml:space="preserve"> </w:t>
      </w:r>
      <w:r w:rsidRPr="001352AB">
        <w:rPr>
          <w:rFonts w:ascii="Sylfaen" w:hAnsi="Sylfaen" w:cs="Sylfaen"/>
        </w:rPr>
        <w:t>ობიექტში</w:t>
      </w:r>
      <w:r w:rsidRPr="001352AB">
        <w:t xml:space="preserve"> </w:t>
      </w:r>
      <w:r w:rsidRPr="001352AB">
        <w:rPr>
          <w:rFonts w:ascii="Sylfaen" w:hAnsi="Sylfaen" w:cs="Sylfaen"/>
        </w:rPr>
        <w:t>წყლის</w:t>
      </w:r>
      <w:r w:rsidRPr="001352AB">
        <w:t xml:space="preserve"> </w:t>
      </w:r>
      <w:r w:rsidRPr="001352AB">
        <w:rPr>
          <w:rFonts w:ascii="Sylfaen" w:hAnsi="Sylfaen" w:cs="Sylfaen"/>
        </w:rPr>
        <w:t>ჩაშვება</w:t>
      </w:r>
      <w:r w:rsidRPr="001352AB">
        <w:t xml:space="preserve"> </w:t>
      </w:r>
      <w:r w:rsidRPr="001352AB">
        <w:rPr>
          <w:rFonts w:ascii="Sylfaen" w:hAnsi="Sylfaen" w:cs="Sylfaen"/>
        </w:rPr>
        <w:t>არ</w:t>
      </w:r>
      <w:r w:rsidRPr="001352AB">
        <w:t xml:space="preserve"> </w:t>
      </w:r>
      <w:r w:rsidRPr="001352AB">
        <w:rPr>
          <w:rFonts w:ascii="Sylfaen" w:hAnsi="Sylfaen" w:cs="Sylfaen"/>
        </w:rPr>
        <w:t>მოხდება</w:t>
      </w:r>
      <w:r w:rsidRPr="001352AB">
        <w:t xml:space="preserve">. </w:t>
      </w:r>
      <w:r w:rsidRPr="001352AB">
        <w:rPr>
          <w:rFonts w:ascii="Sylfaen" w:hAnsi="Sylfaen" w:cs="Sylfaen"/>
        </w:rPr>
        <w:t>რელიეფზე</w:t>
      </w:r>
      <w:r w:rsidRPr="001352AB">
        <w:t xml:space="preserve"> </w:t>
      </w:r>
      <w:r w:rsidRPr="001352AB">
        <w:rPr>
          <w:rFonts w:ascii="Sylfaen" w:hAnsi="Sylfaen" w:cs="Sylfaen"/>
        </w:rPr>
        <w:t>წყლის</w:t>
      </w:r>
      <w:r w:rsidRPr="001352AB">
        <w:t xml:space="preserve"> </w:t>
      </w:r>
      <w:r w:rsidRPr="001352AB">
        <w:rPr>
          <w:rFonts w:ascii="Sylfaen" w:hAnsi="Sylfaen" w:cs="Sylfaen"/>
        </w:rPr>
        <w:t>გაშვება</w:t>
      </w:r>
      <w:r w:rsidRPr="001352AB">
        <w:t xml:space="preserve"> </w:t>
      </w:r>
      <w:r w:rsidRPr="001352AB">
        <w:rPr>
          <w:rFonts w:ascii="Sylfaen" w:hAnsi="Sylfaen" w:cs="Sylfaen"/>
        </w:rPr>
        <w:t>მოხდება</w:t>
      </w:r>
      <w:r w:rsidRPr="001352AB">
        <w:t xml:space="preserve"> </w:t>
      </w:r>
      <w:r w:rsidRPr="001352AB">
        <w:rPr>
          <w:rFonts w:ascii="Sylfaen" w:hAnsi="Sylfaen" w:cs="Sylfaen"/>
        </w:rPr>
        <w:t>მხოლოდ</w:t>
      </w:r>
      <w:r w:rsidRPr="001352AB">
        <w:t xml:space="preserve"> </w:t>
      </w:r>
      <w:r w:rsidRPr="001352AB">
        <w:rPr>
          <w:rFonts w:ascii="Sylfaen" w:hAnsi="Sylfaen" w:cs="Sylfaen"/>
        </w:rPr>
        <w:t>სათანადო</w:t>
      </w:r>
      <w:r w:rsidRPr="001352AB">
        <w:t xml:space="preserve"> </w:t>
      </w:r>
      <w:r w:rsidRPr="001352AB">
        <w:rPr>
          <w:rFonts w:ascii="Sylfaen" w:hAnsi="Sylfaen" w:cs="Sylfaen"/>
        </w:rPr>
        <w:t>დონემდე</w:t>
      </w:r>
      <w:r w:rsidRPr="001352AB">
        <w:t xml:space="preserve"> </w:t>
      </w:r>
      <w:r w:rsidRPr="001352AB">
        <w:rPr>
          <w:rFonts w:ascii="Sylfaen" w:hAnsi="Sylfaen" w:cs="Sylfaen"/>
        </w:rPr>
        <w:t>გაწმენდილის</w:t>
      </w:r>
      <w:r w:rsidRPr="001352AB">
        <w:t xml:space="preserve"> (TPH 0.3 </w:t>
      </w:r>
      <w:r w:rsidRPr="001352AB">
        <w:rPr>
          <w:rFonts w:ascii="Sylfaen" w:hAnsi="Sylfaen" w:cs="Sylfaen"/>
        </w:rPr>
        <w:t>მგ</w:t>
      </w:r>
      <w:r w:rsidRPr="001352AB">
        <w:t>/</w:t>
      </w:r>
      <w:r w:rsidRPr="001352AB">
        <w:rPr>
          <w:rFonts w:ascii="Sylfaen" w:hAnsi="Sylfaen" w:cs="Sylfaen"/>
        </w:rPr>
        <w:t>ლ</w:t>
      </w:r>
      <w:r w:rsidRPr="001352AB">
        <w:t xml:space="preserve"> </w:t>
      </w:r>
      <w:r w:rsidRPr="001352AB">
        <w:rPr>
          <w:rFonts w:ascii="Sylfaen" w:hAnsi="Sylfaen" w:cs="Sylfaen"/>
        </w:rPr>
        <w:t>და</w:t>
      </w:r>
      <w:r w:rsidRPr="001352AB">
        <w:t xml:space="preserve"> </w:t>
      </w:r>
      <w:r w:rsidRPr="001352AB">
        <w:rPr>
          <w:rFonts w:ascii="Sylfaen" w:hAnsi="Sylfaen" w:cs="Sylfaen"/>
        </w:rPr>
        <w:t>შეწონილი</w:t>
      </w:r>
      <w:r w:rsidRPr="001352AB">
        <w:t xml:space="preserve"> </w:t>
      </w:r>
      <w:r w:rsidRPr="001352AB">
        <w:rPr>
          <w:rFonts w:ascii="Sylfaen" w:hAnsi="Sylfaen" w:cs="Sylfaen"/>
        </w:rPr>
        <w:t>ნაწილაკები</w:t>
      </w:r>
      <w:r w:rsidRPr="001352AB">
        <w:t xml:space="preserve"> 30</w:t>
      </w:r>
      <w:r w:rsidRPr="001352AB">
        <w:rPr>
          <w:rFonts w:ascii="Sylfaen" w:hAnsi="Sylfaen" w:cs="Sylfaen"/>
        </w:rPr>
        <w:t>მგ</w:t>
      </w:r>
      <w:r w:rsidRPr="001352AB">
        <w:t>/</w:t>
      </w:r>
      <w:r w:rsidRPr="001352AB">
        <w:rPr>
          <w:rFonts w:ascii="Sylfaen" w:hAnsi="Sylfaen" w:cs="Sylfaen"/>
        </w:rPr>
        <w:t>ლ</w:t>
      </w:r>
      <w:r w:rsidRPr="001352AB">
        <w:t xml:space="preserve">) </w:t>
      </w:r>
      <w:r w:rsidRPr="001352AB">
        <w:rPr>
          <w:rFonts w:ascii="Sylfaen" w:hAnsi="Sylfaen" w:cs="Sylfaen"/>
        </w:rPr>
        <w:t>შემდეგ</w:t>
      </w:r>
      <w:r w:rsidRPr="001352AB">
        <w:t xml:space="preserve">.  </w:t>
      </w:r>
      <w:r w:rsidRPr="001352AB">
        <w:rPr>
          <w:rFonts w:ascii="Sylfaen" w:hAnsi="Sylfaen" w:cs="Sylfaen"/>
        </w:rPr>
        <w:t>გაშვება</w:t>
      </w:r>
      <w:r w:rsidRPr="001352AB">
        <w:t xml:space="preserve"> </w:t>
      </w:r>
      <w:r w:rsidRPr="001352AB">
        <w:rPr>
          <w:rFonts w:ascii="Sylfaen" w:hAnsi="Sylfaen" w:cs="Sylfaen"/>
        </w:rPr>
        <w:t>არ</w:t>
      </w:r>
      <w:r w:rsidRPr="001352AB">
        <w:t xml:space="preserve"> </w:t>
      </w:r>
      <w:r w:rsidRPr="001352AB">
        <w:rPr>
          <w:rFonts w:ascii="Sylfaen" w:hAnsi="Sylfaen" w:cs="Sylfaen"/>
        </w:rPr>
        <w:t>მოხდება</w:t>
      </w:r>
      <w:r w:rsidRPr="001352AB">
        <w:t xml:space="preserve"> </w:t>
      </w:r>
      <w:r w:rsidRPr="001352AB">
        <w:rPr>
          <w:rFonts w:ascii="Sylfaen" w:hAnsi="Sylfaen" w:cs="Sylfaen"/>
        </w:rPr>
        <w:t>ეროზიისადმი</w:t>
      </w:r>
      <w:r w:rsidRPr="001352AB">
        <w:t xml:space="preserve"> </w:t>
      </w:r>
      <w:r w:rsidRPr="001352AB">
        <w:rPr>
          <w:rFonts w:ascii="Sylfaen" w:hAnsi="Sylfaen" w:cs="Sylfaen"/>
        </w:rPr>
        <w:t>მიდრეკილ</w:t>
      </w:r>
      <w:r w:rsidRPr="001352AB">
        <w:t xml:space="preserve"> </w:t>
      </w:r>
      <w:r w:rsidRPr="001352AB">
        <w:rPr>
          <w:rFonts w:ascii="Sylfaen" w:hAnsi="Sylfaen" w:cs="Sylfaen"/>
        </w:rPr>
        <w:t>ტერიტორიაზე</w:t>
      </w:r>
      <w:r w:rsidRPr="001352AB">
        <w:t xml:space="preserve"> </w:t>
      </w:r>
      <w:r w:rsidRPr="001352AB">
        <w:rPr>
          <w:rFonts w:ascii="Sylfaen" w:hAnsi="Sylfaen" w:cs="Sylfaen"/>
        </w:rPr>
        <w:t>და</w:t>
      </w:r>
      <w:r w:rsidRPr="001352AB">
        <w:t xml:space="preserve"> </w:t>
      </w:r>
      <w:r w:rsidRPr="001352AB">
        <w:rPr>
          <w:rFonts w:ascii="Sylfaen" w:hAnsi="Sylfaen" w:cs="Sylfaen"/>
        </w:rPr>
        <w:t>სასოფლო</w:t>
      </w:r>
      <w:r w:rsidRPr="001352AB">
        <w:t>-</w:t>
      </w:r>
      <w:r w:rsidRPr="001352AB">
        <w:rPr>
          <w:rFonts w:ascii="Sylfaen" w:hAnsi="Sylfaen" w:cs="Sylfaen"/>
        </w:rPr>
        <w:t>სამეურნეო</w:t>
      </w:r>
      <w:r w:rsidRPr="001352AB">
        <w:t xml:space="preserve"> </w:t>
      </w:r>
      <w:r w:rsidRPr="001352AB">
        <w:rPr>
          <w:rFonts w:ascii="Sylfaen" w:hAnsi="Sylfaen" w:cs="Sylfaen"/>
        </w:rPr>
        <w:t>კულტურების</w:t>
      </w:r>
      <w:r w:rsidRPr="001352AB">
        <w:t xml:space="preserve"> </w:t>
      </w:r>
      <w:r w:rsidRPr="001352AB">
        <w:rPr>
          <w:rFonts w:ascii="Sylfaen" w:hAnsi="Sylfaen" w:cs="Sylfaen"/>
        </w:rPr>
        <w:t>მოსაყვანად</w:t>
      </w:r>
      <w:r w:rsidRPr="001352AB">
        <w:t xml:space="preserve"> </w:t>
      </w:r>
      <w:r w:rsidRPr="001352AB">
        <w:rPr>
          <w:rFonts w:ascii="Sylfaen" w:hAnsi="Sylfaen" w:cs="Sylfaen"/>
        </w:rPr>
        <w:t>გამოყენებულ</w:t>
      </w:r>
      <w:r w:rsidRPr="001352AB">
        <w:t xml:space="preserve"> </w:t>
      </w:r>
      <w:r w:rsidRPr="001352AB">
        <w:rPr>
          <w:rFonts w:ascii="Sylfaen" w:hAnsi="Sylfaen" w:cs="Sylfaen"/>
        </w:rPr>
        <w:t>მიწაზე</w:t>
      </w:r>
      <w:r w:rsidRPr="001352AB">
        <w:t xml:space="preserve">. </w:t>
      </w:r>
    </w:p>
    <w:p w14:paraId="3DE3A068" w14:textId="77777777" w:rsidR="00CD64B5" w:rsidRPr="001352AB" w:rsidRDefault="00CD64B5" w:rsidP="000E38C6">
      <w:pPr>
        <w:spacing w:before="120" w:after="120"/>
      </w:pPr>
    </w:p>
    <w:p w14:paraId="608D8128" w14:textId="77777777" w:rsidR="00CD64B5" w:rsidRPr="001352AB" w:rsidRDefault="00CD64B5" w:rsidP="000E38C6">
      <w:pPr>
        <w:spacing w:before="120" w:after="120"/>
        <w:rPr>
          <w:lang w:eastAsia="da-DK"/>
        </w:rPr>
      </w:pPr>
      <w:r w:rsidRPr="001352AB">
        <w:rPr>
          <w:rFonts w:ascii="Sylfaen" w:hAnsi="Sylfaen" w:cs="Sylfaen"/>
        </w:rPr>
        <w:t>ექსკავირებული</w:t>
      </w:r>
      <w:r w:rsidRPr="001352AB">
        <w:t xml:space="preserve"> </w:t>
      </w:r>
      <w:r w:rsidRPr="001352AB">
        <w:rPr>
          <w:rFonts w:ascii="Sylfaen" w:hAnsi="Sylfaen" w:cs="Sylfaen"/>
        </w:rPr>
        <w:t>გრუნტის</w:t>
      </w:r>
      <w:r w:rsidRPr="001352AB">
        <w:t xml:space="preserve"> </w:t>
      </w:r>
      <w:r w:rsidRPr="001352AB">
        <w:rPr>
          <w:rFonts w:ascii="Sylfaen" w:hAnsi="Sylfaen" w:cs="Sylfaen"/>
        </w:rPr>
        <w:t>მოცულობის</w:t>
      </w:r>
      <w:r w:rsidRPr="001352AB">
        <w:t xml:space="preserve"> </w:t>
      </w:r>
      <w:r w:rsidRPr="001352AB">
        <w:rPr>
          <w:rFonts w:ascii="Sylfaen" w:hAnsi="Sylfaen" w:cs="Sylfaen"/>
        </w:rPr>
        <w:t>და</w:t>
      </w:r>
      <w:r w:rsidRPr="001352AB">
        <w:t xml:space="preserve"> </w:t>
      </w:r>
      <w:r w:rsidRPr="001352AB">
        <w:rPr>
          <w:rFonts w:ascii="Sylfaen" w:hAnsi="Sylfaen" w:cs="Sylfaen"/>
        </w:rPr>
        <w:t>მუდმივი</w:t>
      </w:r>
      <w:r w:rsidRPr="001352AB">
        <w:t xml:space="preserve"> </w:t>
      </w:r>
      <w:r w:rsidRPr="001352AB">
        <w:rPr>
          <w:rFonts w:ascii="Sylfaen" w:hAnsi="Sylfaen" w:cs="Sylfaen"/>
        </w:rPr>
        <w:t>მიწაყრილების</w:t>
      </w:r>
      <w:r w:rsidRPr="001352AB">
        <w:t xml:space="preserve"> </w:t>
      </w:r>
      <w:r w:rsidRPr="001352AB">
        <w:rPr>
          <w:rFonts w:ascii="Sylfaen" w:hAnsi="Sylfaen" w:cs="Sylfaen"/>
        </w:rPr>
        <w:t>გარემოზე</w:t>
      </w:r>
      <w:r w:rsidRPr="001352AB">
        <w:t xml:space="preserve"> </w:t>
      </w:r>
      <w:r w:rsidRPr="001352AB">
        <w:rPr>
          <w:rFonts w:ascii="Sylfaen" w:hAnsi="Sylfaen" w:cs="Sylfaen"/>
        </w:rPr>
        <w:t>ზემოქმედების</w:t>
      </w:r>
      <w:r w:rsidRPr="001352AB">
        <w:t xml:space="preserve"> </w:t>
      </w:r>
      <w:r w:rsidRPr="001352AB">
        <w:rPr>
          <w:rFonts w:ascii="Sylfaen" w:hAnsi="Sylfaen" w:cs="Sylfaen"/>
        </w:rPr>
        <w:t>შესამცირებლად</w:t>
      </w:r>
      <w:r w:rsidRPr="001352AB">
        <w:t xml:space="preserve"> </w:t>
      </w:r>
      <w:r w:rsidRPr="001352AB">
        <w:rPr>
          <w:rFonts w:ascii="Sylfaen" w:hAnsi="Sylfaen" w:cs="Sylfaen"/>
        </w:rPr>
        <w:t>წარმოქმნილი</w:t>
      </w:r>
      <w:r w:rsidRPr="001352AB">
        <w:t xml:space="preserve"> </w:t>
      </w:r>
      <w:r w:rsidRPr="001352AB">
        <w:rPr>
          <w:rFonts w:ascii="Sylfaen" w:hAnsi="Sylfaen" w:cs="Sylfaen"/>
        </w:rPr>
        <w:t>და</w:t>
      </w:r>
      <w:r w:rsidRPr="001352AB">
        <w:t xml:space="preserve"> </w:t>
      </w:r>
      <w:r w:rsidRPr="001352AB">
        <w:rPr>
          <w:rFonts w:ascii="Sylfaen" w:hAnsi="Sylfaen" w:cs="Sylfaen"/>
        </w:rPr>
        <w:t>ჭარბი</w:t>
      </w:r>
      <w:r w:rsidRPr="001352AB">
        <w:t xml:space="preserve"> </w:t>
      </w:r>
      <w:r w:rsidRPr="001352AB">
        <w:rPr>
          <w:rFonts w:ascii="Sylfaen" w:hAnsi="Sylfaen" w:cs="Sylfaen"/>
        </w:rPr>
        <w:t>ექსკავირებული</w:t>
      </w:r>
      <w:r w:rsidRPr="001352AB">
        <w:t xml:space="preserve"> </w:t>
      </w:r>
      <w:r w:rsidRPr="001352AB">
        <w:rPr>
          <w:rFonts w:ascii="Sylfaen" w:hAnsi="Sylfaen" w:cs="Sylfaen"/>
        </w:rPr>
        <w:t>მასალა</w:t>
      </w:r>
      <w:r w:rsidRPr="001352AB">
        <w:t xml:space="preserve"> </w:t>
      </w:r>
      <w:r w:rsidRPr="001352AB">
        <w:rPr>
          <w:rFonts w:ascii="Sylfaen" w:hAnsi="Sylfaen" w:cs="Sylfaen"/>
        </w:rPr>
        <w:t>გამოყენებული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პროექტის</w:t>
      </w:r>
      <w:r w:rsidRPr="001352AB">
        <w:t xml:space="preserve"> </w:t>
      </w:r>
      <w:r w:rsidRPr="001352AB">
        <w:rPr>
          <w:rFonts w:ascii="Sylfaen" w:hAnsi="Sylfaen" w:cs="Sylfaen"/>
        </w:rPr>
        <w:t>საჭიროებებისათვის</w:t>
      </w:r>
      <w:r w:rsidRPr="001352AB">
        <w:t xml:space="preserve">. </w:t>
      </w:r>
      <w:r w:rsidRPr="001352AB">
        <w:rPr>
          <w:rFonts w:ascii="Sylfaen" w:hAnsi="Sylfaen" w:cs="Sylfaen"/>
        </w:rPr>
        <w:t>საჭიროების</w:t>
      </w:r>
      <w:r w:rsidRPr="001352AB">
        <w:t xml:space="preserve"> </w:t>
      </w:r>
      <w:r w:rsidRPr="001352AB">
        <w:rPr>
          <w:rFonts w:ascii="Sylfaen" w:hAnsi="Sylfaen" w:cs="Sylfaen"/>
        </w:rPr>
        <w:t>შემთხვევაში</w:t>
      </w:r>
      <w:r w:rsidRPr="001352AB">
        <w:t xml:space="preserve">, </w:t>
      </w:r>
      <w:r w:rsidRPr="001352AB">
        <w:rPr>
          <w:rFonts w:ascii="Sylfaen" w:hAnsi="Sylfaen" w:cs="Sylfaen"/>
        </w:rPr>
        <w:t>მოძიებული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სხვა</w:t>
      </w:r>
      <w:r w:rsidRPr="001352AB">
        <w:t xml:space="preserve"> </w:t>
      </w:r>
      <w:r w:rsidRPr="001352AB">
        <w:rPr>
          <w:rFonts w:ascii="Sylfaen" w:hAnsi="Sylfaen" w:cs="Sylfaen"/>
        </w:rPr>
        <w:t>პოტენციური</w:t>
      </w:r>
      <w:r w:rsidRPr="001352AB">
        <w:t xml:space="preserve"> </w:t>
      </w:r>
      <w:r w:rsidRPr="001352AB">
        <w:rPr>
          <w:rFonts w:ascii="Sylfaen" w:hAnsi="Sylfaen" w:cs="Sylfaen"/>
        </w:rPr>
        <w:t>მომხმარებლები</w:t>
      </w:r>
      <w:r w:rsidRPr="001352AB">
        <w:t xml:space="preserve">. </w:t>
      </w:r>
    </w:p>
    <w:p w14:paraId="2FA0D165" w14:textId="77777777" w:rsidR="00CD64B5" w:rsidRPr="001352AB" w:rsidRDefault="00CD64B5" w:rsidP="000E38C6">
      <w:pPr>
        <w:spacing w:before="120" w:after="120"/>
      </w:pP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შესრულების</w:t>
      </w:r>
      <w:r w:rsidRPr="001352AB">
        <w:t xml:space="preserve"> </w:t>
      </w:r>
      <w:r w:rsidRPr="001352AB">
        <w:rPr>
          <w:rFonts w:ascii="Sylfaen" w:hAnsi="Sylfaen" w:cs="Sylfaen"/>
        </w:rPr>
        <w:t>უზრუნველყოფა</w:t>
      </w:r>
      <w:r w:rsidRPr="001352AB">
        <w:t xml:space="preserve"> </w:t>
      </w:r>
      <w:r w:rsidRPr="001352AB">
        <w:rPr>
          <w:rFonts w:ascii="Sylfaen" w:hAnsi="Sylfaen" w:cs="Sylfaen"/>
        </w:rPr>
        <w:t>საავტომობილო</w:t>
      </w:r>
      <w:r w:rsidRPr="001352AB">
        <w:t xml:space="preserve"> </w:t>
      </w:r>
      <w:r w:rsidRPr="001352AB">
        <w:rPr>
          <w:rFonts w:ascii="Sylfaen" w:hAnsi="Sylfaen" w:cs="Sylfaen"/>
        </w:rPr>
        <w:t>გზების</w:t>
      </w:r>
      <w:r w:rsidRPr="001352AB">
        <w:t xml:space="preserve"> </w:t>
      </w:r>
      <w:r w:rsidRPr="001352AB">
        <w:rPr>
          <w:rFonts w:ascii="Sylfaen" w:hAnsi="Sylfaen" w:cs="Sylfaen"/>
        </w:rPr>
        <w:t>დეპარტამენტის</w:t>
      </w:r>
      <w:r w:rsidRPr="001352AB">
        <w:t xml:space="preserve"> </w:t>
      </w:r>
      <w:r w:rsidRPr="001352AB">
        <w:rPr>
          <w:rFonts w:ascii="Sylfaen" w:hAnsi="Sylfaen" w:cs="Sylfaen"/>
        </w:rPr>
        <w:t>პასუხისმგებლობას</w:t>
      </w:r>
      <w:r w:rsidRPr="001352AB">
        <w:t xml:space="preserve"> </w:t>
      </w:r>
      <w:r w:rsidRPr="001352AB">
        <w:rPr>
          <w:rFonts w:ascii="Sylfaen" w:hAnsi="Sylfaen" w:cs="Sylfaen"/>
        </w:rPr>
        <w:t>წარმოადგენს</w:t>
      </w:r>
      <w:r w:rsidRPr="001352AB">
        <w:t xml:space="preserve">.    </w:t>
      </w:r>
    </w:p>
    <w:p w14:paraId="478DDED1" w14:textId="77777777" w:rsidR="00CD64B5" w:rsidRPr="001352AB" w:rsidRDefault="00CD64B5" w:rsidP="000E38C6">
      <w:pPr>
        <w:spacing w:before="120" w:after="120"/>
      </w:pPr>
    </w:p>
    <w:p w14:paraId="28A9CA93" w14:textId="77777777" w:rsidR="00CD64B5" w:rsidRPr="000E38C6" w:rsidRDefault="00CD64B5" w:rsidP="000E38C6">
      <w:pPr>
        <w:spacing w:before="120" w:after="120"/>
        <w:rPr>
          <w:b/>
        </w:rPr>
      </w:pPr>
      <w:bookmarkStart w:id="374" w:name="_Toc529977408"/>
      <w:bookmarkStart w:id="375" w:name="_Toc495314393"/>
      <w:bookmarkStart w:id="376" w:name="_Toc479166525"/>
      <w:bookmarkStart w:id="377" w:name="_Toc479164795"/>
      <w:r w:rsidRPr="000E38C6">
        <w:rPr>
          <w:b/>
        </w:rPr>
        <w:t xml:space="preserve">7.5.2 </w:t>
      </w:r>
      <w:r w:rsidRPr="000E38C6">
        <w:rPr>
          <w:rFonts w:ascii="Sylfaen" w:hAnsi="Sylfaen" w:cs="Sylfaen"/>
          <w:b/>
        </w:rPr>
        <w:t>ექსპლუატაციის</w:t>
      </w:r>
      <w:r w:rsidRPr="000E38C6">
        <w:rPr>
          <w:b/>
        </w:rPr>
        <w:t xml:space="preserve"> </w:t>
      </w:r>
      <w:r w:rsidRPr="000E38C6">
        <w:rPr>
          <w:rFonts w:ascii="Sylfaen" w:hAnsi="Sylfaen" w:cs="Sylfaen"/>
          <w:b/>
        </w:rPr>
        <w:t>ეტაპი</w:t>
      </w:r>
      <w:bookmarkEnd w:id="374"/>
      <w:bookmarkEnd w:id="375"/>
      <w:bookmarkEnd w:id="376"/>
      <w:bookmarkEnd w:id="377"/>
    </w:p>
    <w:p w14:paraId="14CD2A4B" w14:textId="77777777" w:rsidR="00CD64B5" w:rsidRPr="001352AB" w:rsidRDefault="00CD64B5" w:rsidP="000E38C6">
      <w:pPr>
        <w:spacing w:before="120" w:after="120"/>
        <w:rPr>
          <w:lang w:val="ka-GE" w:eastAsia="da-DK"/>
        </w:rPr>
      </w:pPr>
      <w:r w:rsidRPr="001352AB">
        <w:rPr>
          <w:rFonts w:ascii="Sylfaen" w:hAnsi="Sylfaen" w:cs="Sylfaen"/>
        </w:rPr>
        <w:t>გზის</w:t>
      </w:r>
      <w:r w:rsidRPr="001352AB">
        <w:t xml:space="preserve"> </w:t>
      </w:r>
      <w:r w:rsidRPr="001352AB">
        <w:rPr>
          <w:rFonts w:ascii="Sylfaen" w:hAnsi="Sylfaen" w:cs="Sylfaen"/>
        </w:rPr>
        <w:t>ოპერირება</w:t>
      </w:r>
      <w:r w:rsidRPr="001352AB">
        <w:t xml:space="preserve"> </w:t>
      </w:r>
      <w:r w:rsidRPr="001352AB">
        <w:rPr>
          <w:rFonts w:ascii="Sylfaen" w:hAnsi="Sylfaen" w:cs="Sylfaen"/>
        </w:rPr>
        <w:t>ჩვეულებრივ</w:t>
      </w:r>
      <w:r w:rsidRPr="001352AB">
        <w:t xml:space="preserve"> </w:t>
      </w:r>
      <w:r w:rsidRPr="001352AB">
        <w:rPr>
          <w:rFonts w:ascii="Sylfaen" w:hAnsi="Sylfaen" w:cs="Sylfaen"/>
        </w:rPr>
        <w:t>იწვევს</w:t>
      </w:r>
      <w:r w:rsidRPr="001352AB">
        <w:t xml:space="preserve"> </w:t>
      </w:r>
      <w:r w:rsidRPr="001352AB">
        <w:rPr>
          <w:rFonts w:ascii="Sylfaen" w:hAnsi="Sylfaen" w:cs="Sylfaen"/>
        </w:rPr>
        <w:t>გზის</w:t>
      </w:r>
      <w:r w:rsidRPr="001352AB">
        <w:t xml:space="preserve"> </w:t>
      </w:r>
      <w:r w:rsidRPr="001352AB">
        <w:rPr>
          <w:rFonts w:ascii="Sylfaen" w:hAnsi="Sylfaen" w:cs="Sylfaen"/>
        </w:rPr>
        <w:t>გაყოლებაზე</w:t>
      </w:r>
      <w:r w:rsidRPr="001352AB">
        <w:t xml:space="preserve"> </w:t>
      </w:r>
      <w:r w:rsidRPr="001352AB">
        <w:rPr>
          <w:rFonts w:ascii="Sylfaen" w:hAnsi="Sylfaen" w:cs="Sylfaen"/>
        </w:rPr>
        <w:t>მიმდებარე</w:t>
      </w:r>
      <w:r w:rsidRPr="001352AB">
        <w:t xml:space="preserve"> </w:t>
      </w:r>
      <w:r w:rsidRPr="001352AB">
        <w:rPr>
          <w:rFonts w:ascii="Sylfaen" w:hAnsi="Sylfaen" w:cs="Sylfaen"/>
        </w:rPr>
        <w:t>ვიწრო</w:t>
      </w:r>
      <w:r w:rsidRPr="001352AB">
        <w:t xml:space="preserve"> </w:t>
      </w:r>
      <w:r w:rsidRPr="001352AB">
        <w:rPr>
          <w:rFonts w:ascii="Sylfaen" w:hAnsi="Sylfaen" w:cs="Sylfaen"/>
        </w:rPr>
        <w:t>ზოლის</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მძიმე</w:t>
      </w:r>
      <w:r w:rsidRPr="001352AB">
        <w:t xml:space="preserve"> </w:t>
      </w:r>
      <w:r w:rsidRPr="001352AB">
        <w:rPr>
          <w:rFonts w:ascii="Sylfaen" w:hAnsi="Sylfaen" w:cs="Sylfaen"/>
        </w:rPr>
        <w:t>მეტალებით</w:t>
      </w:r>
      <w:r w:rsidRPr="001352AB">
        <w:t xml:space="preserve"> </w:t>
      </w:r>
      <w:r w:rsidRPr="001352AB">
        <w:rPr>
          <w:rFonts w:ascii="Sylfaen" w:hAnsi="Sylfaen" w:cs="Sylfaen"/>
        </w:rPr>
        <w:t>დაბინძურებას</w:t>
      </w:r>
      <w:r w:rsidRPr="001352AB">
        <w:t xml:space="preserve">. </w:t>
      </w:r>
      <w:r w:rsidRPr="001352AB">
        <w:rPr>
          <w:rFonts w:ascii="Sylfaen" w:hAnsi="Sylfaen" w:cs="Sylfaen"/>
        </w:rPr>
        <w:t>ნიადაგში</w:t>
      </w:r>
      <w:r w:rsidRPr="001352AB">
        <w:t xml:space="preserve"> </w:t>
      </w:r>
      <w:r w:rsidRPr="001352AB">
        <w:rPr>
          <w:rFonts w:ascii="Sylfaen" w:hAnsi="Sylfaen" w:cs="Sylfaen"/>
        </w:rPr>
        <w:t>მოხვედრილმა</w:t>
      </w:r>
      <w:r w:rsidRPr="001352AB">
        <w:t xml:space="preserve"> </w:t>
      </w:r>
      <w:r w:rsidRPr="001352AB">
        <w:rPr>
          <w:rFonts w:ascii="Sylfaen" w:hAnsi="Sylfaen" w:cs="Sylfaen"/>
        </w:rPr>
        <w:t>დაბინძურებამ</w:t>
      </w:r>
      <w:r w:rsidRPr="001352AB">
        <w:t xml:space="preserve"> </w:t>
      </w:r>
      <w:r w:rsidRPr="001352AB">
        <w:rPr>
          <w:rFonts w:ascii="Sylfaen" w:hAnsi="Sylfaen" w:cs="Sylfaen"/>
        </w:rPr>
        <w:t>შეიძლება</w:t>
      </w:r>
      <w:r w:rsidRPr="001352AB">
        <w:t xml:space="preserve"> </w:t>
      </w:r>
      <w:r w:rsidRPr="001352AB">
        <w:rPr>
          <w:rFonts w:ascii="Sylfaen" w:hAnsi="Sylfaen" w:cs="Sylfaen"/>
        </w:rPr>
        <w:t>ხელი</w:t>
      </w:r>
      <w:r w:rsidRPr="001352AB">
        <w:t xml:space="preserve"> </w:t>
      </w:r>
      <w:r w:rsidRPr="001352AB">
        <w:rPr>
          <w:rFonts w:ascii="Sylfaen" w:hAnsi="Sylfaen" w:cs="Sylfaen"/>
        </w:rPr>
        <w:t>შეუშალოს</w:t>
      </w:r>
      <w:r w:rsidRPr="001352AB">
        <w:t xml:space="preserve"> </w:t>
      </w:r>
      <w:r w:rsidRPr="001352AB">
        <w:rPr>
          <w:rFonts w:ascii="Sylfaen" w:hAnsi="Sylfaen" w:cs="Sylfaen"/>
        </w:rPr>
        <w:t>მცენარეული</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განვითარებას</w:t>
      </w:r>
      <w:r w:rsidRPr="001352AB">
        <w:t xml:space="preserve"> </w:t>
      </w:r>
      <w:r w:rsidRPr="001352AB">
        <w:rPr>
          <w:rFonts w:ascii="Sylfaen" w:hAnsi="Sylfaen" w:cs="Sylfaen"/>
        </w:rPr>
        <w:t>და</w:t>
      </w:r>
      <w:r w:rsidRPr="001352AB">
        <w:t xml:space="preserve"> </w:t>
      </w:r>
      <w:r w:rsidRPr="001352AB">
        <w:rPr>
          <w:rFonts w:ascii="Sylfaen" w:hAnsi="Sylfaen" w:cs="Sylfaen"/>
        </w:rPr>
        <w:t>გაზარდოს</w:t>
      </w:r>
      <w:r w:rsidRPr="001352AB">
        <w:t xml:space="preserve"> </w:t>
      </w:r>
      <w:r w:rsidRPr="001352AB">
        <w:rPr>
          <w:rFonts w:ascii="Sylfaen" w:hAnsi="Sylfaen" w:cs="Sylfaen"/>
        </w:rPr>
        <w:t>ეროზიის</w:t>
      </w:r>
      <w:r w:rsidRPr="001352AB">
        <w:t xml:space="preserve"> </w:t>
      </w:r>
      <w:r w:rsidRPr="001352AB">
        <w:rPr>
          <w:rFonts w:ascii="Sylfaen" w:hAnsi="Sylfaen" w:cs="Sylfaen"/>
        </w:rPr>
        <w:t>რისკი</w:t>
      </w:r>
      <w:r w:rsidRPr="001352AB">
        <w:t xml:space="preserve">. </w:t>
      </w:r>
      <w:r w:rsidRPr="001352AB">
        <w:rPr>
          <w:rFonts w:ascii="Sylfaen" w:hAnsi="Sylfaen" w:cs="Sylfaen"/>
        </w:rPr>
        <w:t>ნიადაგზე</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შესაძლოა</w:t>
      </w:r>
      <w:r w:rsidRPr="001352AB">
        <w:t xml:space="preserve"> </w:t>
      </w:r>
      <w:r w:rsidRPr="001352AB">
        <w:rPr>
          <w:rFonts w:ascii="Sylfaen" w:hAnsi="Sylfaen" w:cs="Sylfaen"/>
        </w:rPr>
        <w:t>გამოიწვიოს</w:t>
      </w:r>
      <w:r w:rsidRPr="001352AB">
        <w:t xml:space="preserve"> </w:t>
      </w:r>
      <w:r w:rsidRPr="001352AB">
        <w:rPr>
          <w:rFonts w:ascii="Sylfaen" w:hAnsi="Sylfaen" w:cs="Sylfaen"/>
        </w:rPr>
        <w:t>სადრენაჟე</w:t>
      </w:r>
      <w:r w:rsidRPr="001352AB">
        <w:t xml:space="preserve"> </w:t>
      </w:r>
      <w:r w:rsidRPr="001352AB">
        <w:rPr>
          <w:rFonts w:ascii="Sylfaen" w:hAnsi="Sylfaen" w:cs="Sylfaen"/>
        </w:rPr>
        <w:t>სისტემის</w:t>
      </w:r>
      <w:r w:rsidRPr="001352AB">
        <w:t xml:space="preserve"> </w:t>
      </w:r>
      <w:r w:rsidRPr="001352AB">
        <w:rPr>
          <w:rFonts w:ascii="Sylfaen" w:hAnsi="Sylfaen" w:cs="Sylfaen"/>
        </w:rPr>
        <w:t>ბლოკირებამ</w:t>
      </w:r>
      <w:r w:rsidRPr="001352AB">
        <w:t xml:space="preserve">, </w:t>
      </w:r>
      <w:r w:rsidRPr="001352AB">
        <w:rPr>
          <w:rFonts w:ascii="Sylfaen" w:hAnsi="Sylfaen" w:cs="Sylfaen"/>
        </w:rPr>
        <w:t>რაც</w:t>
      </w:r>
      <w:r w:rsidRPr="001352AB">
        <w:t xml:space="preserve"> </w:t>
      </w:r>
      <w:r w:rsidRPr="001352AB">
        <w:rPr>
          <w:rFonts w:ascii="Sylfaen" w:hAnsi="Sylfaen" w:cs="Sylfaen"/>
        </w:rPr>
        <w:t>შეიძლება</w:t>
      </w:r>
      <w:r w:rsidRPr="001352AB">
        <w:t xml:space="preserve"> </w:t>
      </w:r>
      <w:r w:rsidRPr="001352AB">
        <w:rPr>
          <w:rFonts w:ascii="Sylfaen" w:hAnsi="Sylfaen" w:cs="Sylfaen"/>
        </w:rPr>
        <w:t>წყლის</w:t>
      </w:r>
      <w:r w:rsidRPr="001352AB">
        <w:t xml:space="preserve"> </w:t>
      </w:r>
      <w:r w:rsidRPr="001352AB">
        <w:rPr>
          <w:rFonts w:ascii="Sylfaen" w:hAnsi="Sylfaen" w:cs="Sylfaen"/>
        </w:rPr>
        <w:t>შეტბორვის</w:t>
      </w:r>
      <w:r w:rsidRPr="001352AB">
        <w:t xml:space="preserve"> </w:t>
      </w:r>
      <w:r w:rsidRPr="001352AB">
        <w:rPr>
          <w:rFonts w:ascii="Sylfaen" w:hAnsi="Sylfaen" w:cs="Sylfaen"/>
        </w:rPr>
        <w:t>და</w:t>
      </w:r>
      <w:r w:rsidRPr="001352AB">
        <w:t xml:space="preserve"> </w:t>
      </w:r>
      <w:r w:rsidRPr="001352AB">
        <w:rPr>
          <w:rFonts w:ascii="Sylfaen" w:hAnsi="Sylfaen" w:cs="Sylfaen"/>
        </w:rPr>
        <w:t>ეროზიის</w:t>
      </w:r>
      <w:r w:rsidRPr="001352AB">
        <w:t xml:space="preserve"> </w:t>
      </w:r>
      <w:r w:rsidRPr="001352AB">
        <w:rPr>
          <w:rFonts w:ascii="Sylfaen" w:hAnsi="Sylfaen" w:cs="Sylfaen"/>
        </w:rPr>
        <w:t>მიზეზი</w:t>
      </w:r>
      <w:r w:rsidRPr="001352AB">
        <w:t xml:space="preserve"> </w:t>
      </w:r>
      <w:r w:rsidRPr="001352AB">
        <w:rPr>
          <w:rFonts w:ascii="Sylfaen" w:hAnsi="Sylfaen" w:cs="Sylfaen"/>
        </w:rPr>
        <w:t>გახდეს</w:t>
      </w:r>
      <w:r w:rsidRPr="001352AB">
        <w:t xml:space="preserve">. </w:t>
      </w:r>
    </w:p>
    <w:p w14:paraId="1DDC3E43" w14:textId="77777777" w:rsidR="00CD64B5" w:rsidRPr="001352AB" w:rsidRDefault="00CD64B5" w:rsidP="000E38C6">
      <w:pPr>
        <w:spacing w:before="120" w:after="120"/>
      </w:pPr>
      <w:r w:rsidRPr="001352AB">
        <w:rPr>
          <w:rFonts w:ascii="Sylfaen" w:hAnsi="Sylfaen" w:cs="Sylfaen"/>
        </w:rPr>
        <w:t>გზის</w:t>
      </w:r>
      <w:r w:rsidRPr="001352AB">
        <w:t xml:space="preserve"> </w:t>
      </w:r>
      <w:r w:rsidRPr="001352AB">
        <w:rPr>
          <w:rFonts w:ascii="Sylfaen" w:hAnsi="Sylfaen" w:cs="Sylfaen"/>
        </w:rPr>
        <w:t>ექსპლუატაციის</w:t>
      </w:r>
      <w:r w:rsidRPr="001352AB">
        <w:t xml:space="preserve"> </w:t>
      </w:r>
      <w:r w:rsidRPr="001352AB">
        <w:rPr>
          <w:rFonts w:ascii="Sylfaen" w:hAnsi="Sylfaen" w:cs="Sylfaen"/>
        </w:rPr>
        <w:t>დროს</w:t>
      </w:r>
      <w:r w:rsidRPr="001352AB">
        <w:t xml:space="preserve"> </w:t>
      </w:r>
      <w:r w:rsidRPr="001352AB">
        <w:rPr>
          <w:rFonts w:ascii="Sylfaen" w:hAnsi="Sylfaen" w:cs="Sylfaen"/>
        </w:rPr>
        <w:t>გარკვეული</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დაკავშირებულია</w:t>
      </w:r>
      <w:r w:rsidRPr="001352AB">
        <w:t xml:space="preserve"> </w:t>
      </w:r>
      <w:r w:rsidRPr="001352AB">
        <w:rPr>
          <w:rFonts w:ascii="Sylfaen" w:hAnsi="Sylfaen" w:cs="Sylfaen"/>
        </w:rPr>
        <w:t>ნარჩენებით</w:t>
      </w:r>
      <w:r w:rsidRPr="001352AB">
        <w:t xml:space="preserve"> </w:t>
      </w:r>
      <w:r w:rsidRPr="001352AB">
        <w:rPr>
          <w:rFonts w:ascii="Sylfaen" w:hAnsi="Sylfaen" w:cs="Sylfaen"/>
        </w:rPr>
        <w:t>დანაგვიანებასთან</w:t>
      </w:r>
      <w:r w:rsidRPr="001352AB">
        <w:t>.</w:t>
      </w:r>
    </w:p>
    <w:p w14:paraId="254D60F7" w14:textId="77777777" w:rsidR="00CD64B5" w:rsidRPr="001352AB" w:rsidRDefault="00CD64B5" w:rsidP="000E38C6">
      <w:pPr>
        <w:spacing w:before="120" w:after="120"/>
      </w:pPr>
    </w:p>
    <w:p w14:paraId="248DA84B" w14:textId="77777777" w:rsidR="00CD64B5" w:rsidRPr="000E38C6" w:rsidRDefault="00CD64B5" w:rsidP="000E38C6">
      <w:pPr>
        <w:spacing w:before="120" w:after="120"/>
        <w:rPr>
          <w:b/>
          <w:lang w:val="ka-GE"/>
        </w:rPr>
      </w:pPr>
      <w:r w:rsidRPr="000E38C6">
        <w:rPr>
          <w:rFonts w:ascii="Sylfaen" w:hAnsi="Sylfaen" w:cs="Sylfaen"/>
          <w:b/>
        </w:rPr>
        <w:t>შემარბილებელი</w:t>
      </w:r>
      <w:r w:rsidRPr="000E38C6">
        <w:rPr>
          <w:b/>
        </w:rPr>
        <w:t xml:space="preserve"> </w:t>
      </w:r>
      <w:r w:rsidRPr="000E38C6">
        <w:rPr>
          <w:rFonts w:ascii="Sylfaen" w:hAnsi="Sylfaen" w:cs="Sylfaen"/>
          <w:b/>
        </w:rPr>
        <w:t>ღონისძიებები</w:t>
      </w:r>
      <w:r w:rsidRPr="000E38C6">
        <w:rPr>
          <w:b/>
        </w:rPr>
        <w:t xml:space="preserve"> - </w:t>
      </w:r>
      <w:r w:rsidRPr="000E38C6">
        <w:rPr>
          <w:rFonts w:ascii="Sylfaen" w:hAnsi="Sylfaen" w:cs="Sylfaen"/>
          <w:b/>
        </w:rPr>
        <w:t>ექსპლუატაციის</w:t>
      </w:r>
      <w:r w:rsidRPr="000E38C6">
        <w:rPr>
          <w:b/>
        </w:rPr>
        <w:t xml:space="preserve"> </w:t>
      </w:r>
      <w:r w:rsidRPr="000E38C6">
        <w:rPr>
          <w:rFonts w:ascii="Sylfaen" w:hAnsi="Sylfaen" w:cs="Sylfaen"/>
          <w:b/>
        </w:rPr>
        <w:t>ფაზა</w:t>
      </w:r>
    </w:p>
    <w:p w14:paraId="697E0070" w14:textId="77777777" w:rsidR="00CD64B5" w:rsidRPr="001352AB" w:rsidRDefault="00CD64B5" w:rsidP="000E38C6">
      <w:pPr>
        <w:spacing w:before="120" w:after="120"/>
        <w:rPr>
          <w:lang w:eastAsia="da-DK"/>
        </w:rPr>
      </w:pPr>
      <w:r w:rsidRPr="001352AB">
        <w:rPr>
          <w:rFonts w:ascii="Sylfaen" w:hAnsi="Sylfaen" w:cs="Sylfaen"/>
        </w:rPr>
        <w:lastRenderedPageBreak/>
        <w:t>ეროზიული</w:t>
      </w:r>
      <w:r w:rsidRPr="001352AB">
        <w:t xml:space="preserve"> </w:t>
      </w:r>
      <w:r w:rsidRPr="001352AB">
        <w:rPr>
          <w:rFonts w:ascii="Sylfaen" w:hAnsi="Sylfaen" w:cs="Sylfaen"/>
        </w:rPr>
        <w:t>პროცესების</w:t>
      </w:r>
      <w:r w:rsidRPr="001352AB">
        <w:t xml:space="preserve"> </w:t>
      </w:r>
      <w:r w:rsidRPr="001352AB">
        <w:rPr>
          <w:rFonts w:ascii="Sylfaen" w:hAnsi="Sylfaen" w:cs="Sylfaen"/>
        </w:rPr>
        <w:t>ან</w:t>
      </w:r>
      <w:r w:rsidRPr="001352AB">
        <w:t xml:space="preserve"> </w:t>
      </w:r>
      <w:r w:rsidRPr="001352AB">
        <w:rPr>
          <w:rFonts w:ascii="Sylfaen" w:hAnsi="Sylfaen" w:cs="Sylfaen"/>
        </w:rPr>
        <w:t>დატბორვის</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ასაცილებლად</w:t>
      </w:r>
      <w:r w:rsidRPr="001352AB">
        <w:t xml:space="preserve"> </w:t>
      </w:r>
      <w:r w:rsidRPr="001352AB">
        <w:rPr>
          <w:rFonts w:ascii="Sylfaen" w:hAnsi="Sylfaen" w:cs="Sylfaen"/>
        </w:rPr>
        <w:t>მოხდება</w:t>
      </w:r>
      <w:r w:rsidRPr="001352AB">
        <w:t xml:space="preserve"> </w:t>
      </w:r>
      <w:r w:rsidRPr="001352AB">
        <w:rPr>
          <w:rFonts w:ascii="Sylfaen" w:hAnsi="Sylfaen" w:cs="Sylfaen"/>
        </w:rPr>
        <w:t>სადრენაჟე</w:t>
      </w:r>
      <w:r w:rsidRPr="001352AB">
        <w:t xml:space="preserve"> </w:t>
      </w:r>
      <w:r w:rsidRPr="001352AB">
        <w:rPr>
          <w:rFonts w:ascii="Sylfaen" w:hAnsi="Sylfaen" w:cs="Sylfaen"/>
        </w:rPr>
        <w:t>სისტემის</w:t>
      </w:r>
      <w:r w:rsidRPr="001352AB">
        <w:t xml:space="preserve"> </w:t>
      </w:r>
      <w:r w:rsidRPr="001352AB">
        <w:rPr>
          <w:rFonts w:ascii="Sylfaen" w:hAnsi="Sylfaen" w:cs="Sylfaen"/>
        </w:rPr>
        <w:t>მდგომარეობის</w:t>
      </w:r>
      <w:r w:rsidRPr="001352AB">
        <w:t xml:space="preserve"> </w:t>
      </w:r>
      <w:r w:rsidRPr="001352AB">
        <w:rPr>
          <w:rFonts w:ascii="Sylfaen" w:hAnsi="Sylfaen" w:cs="Sylfaen"/>
        </w:rPr>
        <w:t>მონიტორინგი</w:t>
      </w:r>
      <w:r w:rsidRPr="001352AB">
        <w:t xml:space="preserve"> </w:t>
      </w:r>
      <w:r w:rsidRPr="001352AB">
        <w:rPr>
          <w:rFonts w:ascii="Sylfaen" w:hAnsi="Sylfaen" w:cs="Sylfaen"/>
        </w:rPr>
        <w:t>და</w:t>
      </w:r>
      <w:r w:rsidRPr="001352AB">
        <w:t xml:space="preserve"> </w:t>
      </w:r>
      <w:r w:rsidRPr="001352AB">
        <w:rPr>
          <w:rFonts w:ascii="Sylfaen" w:hAnsi="Sylfaen" w:cs="Sylfaen"/>
        </w:rPr>
        <w:t>სისტემის</w:t>
      </w:r>
      <w:r w:rsidRPr="001352AB">
        <w:t xml:space="preserve"> </w:t>
      </w:r>
      <w:r w:rsidRPr="001352AB">
        <w:rPr>
          <w:rFonts w:ascii="Sylfaen" w:hAnsi="Sylfaen" w:cs="Sylfaen"/>
        </w:rPr>
        <w:t>გაწმენდა</w:t>
      </w:r>
      <w:r w:rsidRPr="001352AB">
        <w:t xml:space="preserve"> </w:t>
      </w:r>
      <w:r w:rsidRPr="001352AB">
        <w:rPr>
          <w:rFonts w:ascii="Sylfaen" w:hAnsi="Sylfaen" w:cs="Sylfaen"/>
        </w:rPr>
        <w:t>მათი</w:t>
      </w:r>
      <w:r w:rsidRPr="001352AB">
        <w:t xml:space="preserve"> </w:t>
      </w:r>
      <w:r w:rsidRPr="001352AB">
        <w:rPr>
          <w:rFonts w:ascii="Sylfaen" w:hAnsi="Sylfaen" w:cs="Sylfaen"/>
        </w:rPr>
        <w:t>ბლოკირება</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ასაცილებლად</w:t>
      </w:r>
      <w:r w:rsidRPr="001352AB">
        <w:t>.</w:t>
      </w:r>
    </w:p>
    <w:p w14:paraId="21E3B58F" w14:textId="77777777" w:rsidR="00CD64B5" w:rsidRPr="001352AB" w:rsidRDefault="00CD64B5" w:rsidP="000E38C6">
      <w:pPr>
        <w:spacing w:before="120" w:after="120"/>
      </w:pPr>
      <w:r w:rsidRPr="001352AB">
        <w:rPr>
          <w:rFonts w:ascii="Sylfaen" w:hAnsi="Sylfaen" w:cs="Sylfaen"/>
        </w:rPr>
        <w:t>ნიადაგის</w:t>
      </w:r>
      <w:r w:rsidRPr="001352AB">
        <w:t xml:space="preserve"> </w:t>
      </w:r>
      <w:r w:rsidRPr="001352AB">
        <w:rPr>
          <w:rFonts w:ascii="Sylfaen" w:hAnsi="Sylfaen" w:cs="Sylfaen"/>
        </w:rPr>
        <w:t>დაბინძურების</w:t>
      </w:r>
      <w:r w:rsidRPr="001352AB">
        <w:t xml:space="preserve"> </w:t>
      </w:r>
      <w:r w:rsidRPr="001352AB">
        <w:rPr>
          <w:rFonts w:ascii="Sylfaen" w:hAnsi="Sylfaen" w:cs="Sylfaen"/>
        </w:rPr>
        <w:t>ერთ</w:t>
      </w:r>
      <w:r w:rsidRPr="001352AB">
        <w:t>-</w:t>
      </w:r>
      <w:r w:rsidRPr="001352AB">
        <w:rPr>
          <w:rFonts w:ascii="Sylfaen" w:hAnsi="Sylfaen" w:cs="Sylfaen"/>
        </w:rPr>
        <w:t>ერთ</w:t>
      </w:r>
      <w:r w:rsidRPr="001352AB">
        <w:t xml:space="preserve"> </w:t>
      </w:r>
      <w:r w:rsidRPr="001352AB">
        <w:rPr>
          <w:rFonts w:ascii="Sylfaen" w:hAnsi="Sylfaen" w:cs="Sylfaen"/>
        </w:rPr>
        <w:t>შემარბილებელ</w:t>
      </w:r>
      <w:r w:rsidRPr="001352AB">
        <w:t xml:space="preserve"> </w:t>
      </w:r>
      <w:r w:rsidRPr="001352AB">
        <w:rPr>
          <w:rFonts w:ascii="Sylfaen" w:hAnsi="Sylfaen" w:cs="Sylfaen"/>
        </w:rPr>
        <w:t>ზომად</w:t>
      </w:r>
      <w:r w:rsidRPr="001352AB">
        <w:t xml:space="preserve"> </w:t>
      </w:r>
      <w:r w:rsidRPr="001352AB">
        <w:rPr>
          <w:rFonts w:ascii="Sylfaen" w:hAnsi="Sylfaen" w:cs="Sylfaen"/>
        </w:rPr>
        <w:t>ფიტორემედიაცია</w:t>
      </w:r>
      <w:r w:rsidRPr="001352AB">
        <w:t xml:space="preserve"> </w:t>
      </w:r>
      <w:r w:rsidRPr="001352AB">
        <w:rPr>
          <w:rFonts w:ascii="Sylfaen" w:hAnsi="Sylfaen" w:cs="Sylfaen"/>
        </w:rPr>
        <w:t>შესაძლებელია</w:t>
      </w:r>
      <w:r w:rsidRPr="001352AB">
        <w:t xml:space="preserve"> </w:t>
      </w:r>
      <w:r w:rsidRPr="001352AB">
        <w:rPr>
          <w:rFonts w:ascii="Sylfaen" w:hAnsi="Sylfaen" w:cs="Sylfaen"/>
        </w:rPr>
        <w:t>იქნას</w:t>
      </w:r>
      <w:r w:rsidRPr="001352AB">
        <w:t xml:space="preserve"> </w:t>
      </w:r>
      <w:r w:rsidRPr="001352AB">
        <w:rPr>
          <w:rFonts w:ascii="Sylfaen" w:hAnsi="Sylfaen" w:cs="Sylfaen"/>
        </w:rPr>
        <w:t>გამოყენებული</w:t>
      </w:r>
      <w:r w:rsidRPr="001352AB">
        <w:t>.</w:t>
      </w:r>
    </w:p>
    <w:p w14:paraId="37B905DE" w14:textId="77777777" w:rsidR="00CD64B5" w:rsidRPr="001352AB" w:rsidRDefault="00CD64B5" w:rsidP="000E38C6">
      <w:pPr>
        <w:spacing w:before="120" w:after="120"/>
      </w:pPr>
      <w:r w:rsidRPr="001352AB">
        <w:rPr>
          <w:rFonts w:ascii="Sylfaen" w:hAnsi="Sylfaen" w:cs="Sylfaen"/>
        </w:rPr>
        <w:t>გზის</w:t>
      </w:r>
      <w:r w:rsidRPr="001352AB">
        <w:t xml:space="preserve"> </w:t>
      </w:r>
      <w:r w:rsidRPr="001352AB">
        <w:rPr>
          <w:rFonts w:ascii="Sylfaen" w:hAnsi="Sylfaen" w:cs="Sylfaen"/>
        </w:rPr>
        <w:t>ექსპლუატაციის</w:t>
      </w:r>
      <w:r w:rsidRPr="001352AB">
        <w:t xml:space="preserve"> </w:t>
      </w:r>
      <w:r w:rsidRPr="001352AB">
        <w:rPr>
          <w:rFonts w:ascii="Sylfaen" w:hAnsi="Sylfaen" w:cs="Sylfaen"/>
        </w:rPr>
        <w:t>დროს</w:t>
      </w:r>
      <w:r w:rsidRPr="001352AB">
        <w:t xml:space="preserve">, </w:t>
      </w:r>
      <w:r w:rsidRPr="001352AB">
        <w:rPr>
          <w:rFonts w:ascii="Sylfaen" w:hAnsi="Sylfaen" w:cs="Sylfaen"/>
        </w:rPr>
        <w:t>ნარჩენებით</w:t>
      </w:r>
      <w:r w:rsidRPr="001352AB">
        <w:t xml:space="preserve"> </w:t>
      </w:r>
      <w:r w:rsidRPr="001352AB">
        <w:rPr>
          <w:rFonts w:ascii="Sylfaen" w:hAnsi="Sylfaen" w:cs="Sylfaen"/>
        </w:rPr>
        <w:t>დაბინძურების</w:t>
      </w:r>
      <w:r w:rsidRPr="001352AB">
        <w:t xml:space="preserve"> </w:t>
      </w:r>
      <w:r w:rsidRPr="001352AB">
        <w:rPr>
          <w:rFonts w:ascii="Sylfaen" w:hAnsi="Sylfaen" w:cs="Sylfaen"/>
        </w:rPr>
        <w:t>მართვა</w:t>
      </w:r>
      <w:r w:rsidRPr="001352AB">
        <w:t xml:space="preserve"> </w:t>
      </w:r>
      <w:r w:rsidRPr="001352AB">
        <w:rPr>
          <w:rFonts w:ascii="Sylfaen" w:hAnsi="Sylfaen" w:cs="Sylfaen"/>
        </w:rPr>
        <w:t>საკმაოდ</w:t>
      </w:r>
      <w:r w:rsidRPr="001352AB">
        <w:t xml:space="preserve">  </w:t>
      </w:r>
      <w:r w:rsidRPr="001352AB">
        <w:rPr>
          <w:rFonts w:ascii="Sylfaen" w:hAnsi="Sylfaen" w:cs="Sylfaen"/>
        </w:rPr>
        <w:t>რთულია</w:t>
      </w:r>
      <w:r w:rsidRPr="001352AB">
        <w:t xml:space="preserve">, </w:t>
      </w:r>
      <w:r w:rsidRPr="001352AB">
        <w:rPr>
          <w:rFonts w:ascii="Sylfaen" w:hAnsi="Sylfaen" w:cs="Sylfaen"/>
        </w:rPr>
        <w:t>ვინაიდან</w:t>
      </w:r>
      <w:r w:rsidRPr="001352AB">
        <w:t xml:space="preserve"> </w:t>
      </w:r>
      <w:r w:rsidRPr="001352AB">
        <w:rPr>
          <w:rFonts w:ascii="Sylfaen" w:hAnsi="Sylfaen" w:cs="Sylfaen"/>
        </w:rPr>
        <w:t>ამ</w:t>
      </w:r>
      <w:r w:rsidRPr="001352AB">
        <w:t xml:space="preserve"> </w:t>
      </w:r>
      <w:r w:rsidRPr="001352AB">
        <w:rPr>
          <w:rFonts w:ascii="Sylfaen" w:hAnsi="Sylfaen" w:cs="Sylfaen"/>
        </w:rPr>
        <w:t>შემთხვევაში</w:t>
      </w:r>
      <w:r w:rsidRPr="001352AB">
        <w:t xml:space="preserve">, </w:t>
      </w:r>
      <w:r w:rsidRPr="001352AB">
        <w:rPr>
          <w:rFonts w:ascii="Sylfaen" w:hAnsi="Sylfaen" w:cs="Sylfaen"/>
        </w:rPr>
        <w:t>დაბინძურების</w:t>
      </w:r>
      <w:r w:rsidRPr="001352AB">
        <w:t xml:space="preserve"> </w:t>
      </w:r>
      <w:r w:rsidRPr="001352AB">
        <w:rPr>
          <w:rFonts w:ascii="Sylfaen" w:hAnsi="Sylfaen" w:cs="Sylfaen"/>
        </w:rPr>
        <w:t>წყაროს</w:t>
      </w:r>
      <w:r w:rsidRPr="001352AB">
        <w:t xml:space="preserve"> - </w:t>
      </w:r>
      <w:r w:rsidRPr="001352AB">
        <w:rPr>
          <w:rFonts w:ascii="Sylfaen" w:hAnsi="Sylfaen" w:cs="Sylfaen"/>
        </w:rPr>
        <w:t>გზით</w:t>
      </w:r>
      <w:r w:rsidRPr="001352AB">
        <w:t xml:space="preserve"> „</w:t>
      </w:r>
      <w:r w:rsidRPr="001352AB">
        <w:rPr>
          <w:rFonts w:ascii="Sylfaen" w:hAnsi="Sylfaen" w:cs="Sylfaen"/>
        </w:rPr>
        <w:t>მოსარგებლეები</w:t>
      </w:r>
      <w:r w:rsidRPr="001352AB">
        <w:t xml:space="preserve">“ </w:t>
      </w:r>
      <w:r w:rsidRPr="001352AB">
        <w:rPr>
          <w:rFonts w:ascii="Sylfaen" w:hAnsi="Sylfaen" w:cs="Sylfaen"/>
        </w:rPr>
        <w:t>წარმოადგენენ</w:t>
      </w:r>
      <w:r w:rsidRPr="001352AB">
        <w:t xml:space="preserve">. </w:t>
      </w:r>
      <w:r w:rsidRPr="001352AB">
        <w:rPr>
          <w:rFonts w:ascii="Sylfaen" w:hAnsi="Sylfaen" w:cs="Sylfaen"/>
        </w:rPr>
        <w:t>ზემოქმედების</w:t>
      </w:r>
      <w:r w:rsidRPr="001352AB">
        <w:t xml:space="preserve"> </w:t>
      </w:r>
      <w:r w:rsidRPr="001352AB">
        <w:rPr>
          <w:rFonts w:ascii="Sylfaen" w:hAnsi="Sylfaen" w:cs="Sylfaen"/>
        </w:rPr>
        <w:t>შერბილება</w:t>
      </w:r>
      <w:r w:rsidRPr="001352AB">
        <w:t xml:space="preserve"> </w:t>
      </w:r>
      <w:r w:rsidRPr="001352AB">
        <w:rPr>
          <w:rFonts w:ascii="Sylfaen" w:hAnsi="Sylfaen" w:cs="Sylfaen"/>
        </w:rPr>
        <w:t>მოხდება</w:t>
      </w:r>
      <w:r w:rsidRPr="001352AB">
        <w:t xml:space="preserve">  </w:t>
      </w:r>
      <w:r w:rsidRPr="001352AB">
        <w:rPr>
          <w:rFonts w:ascii="Sylfaen" w:hAnsi="Sylfaen" w:cs="Sylfaen"/>
        </w:rPr>
        <w:t>საზოგადოების</w:t>
      </w:r>
      <w:r w:rsidRPr="001352AB">
        <w:t xml:space="preserve"> </w:t>
      </w:r>
      <w:r w:rsidRPr="001352AB">
        <w:rPr>
          <w:rFonts w:ascii="Sylfaen" w:hAnsi="Sylfaen" w:cs="Sylfaen"/>
        </w:rPr>
        <w:t>ინფორმირებით</w:t>
      </w:r>
      <w:r w:rsidRPr="001352AB">
        <w:t xml:space="preserve"> </w:t>
      </w:r>
      <w:r w:rsidRPr="001352AB">
        <w:rPr>
          <w:rFonts w:ascii="Sylfaen" w:hAnsi="Sylfaen" w:cs="Sylfaen"/>
        </w:rPr>
        <w:t>და</w:t>
      </w:r>
      <w:r w:rsidRPr="001352AB">
        <w:t xml:space="preserve"> </w:t>
      </w:r>
      <w:r w:rsidRPr="001352AB">
        <w:rPr>
          <w:rFonts w:ascii="Sylfaen" w:hAnsi="Sylfaen" w:cs="Sylfaen"/>
        </w:rPr>
        <w:t>ცნობიერების</w:t>
      </w:r>
      <w:r w:rsidRPr="001352AB">
        <w:t xml:space="preserve"> </w:t>
      </w:r>
      <w:r w:rsidRPr="001352AB">
        <w:rPr>
          <w:rFonts w:ascii="Sylfaen" w:hAnsi="Sylfaen" w:cs="Sylfaen"/>
        </w:rPr>
        <w:t>ამაღლებით</w:t>
      </w:r>
      <w:r w:rsidRPr="001352AB">
        <w:t xml:space="preserve">, </w:t>
      </w:r>
      <w:r w:rsidRPr="001352AB">
        <w:rPr>
          <w:rFonts w:ascii="Sylfaen" w:hAnsi="Sylfaen" w:cs="Sylfaen"/>
        </w:rPr>
        <w:t>მოხდება</w:t>
      </w:r>
      <w:r w:rsidRPr="001352AB">
        <w:t xml:space="preserve"> </w:t>
      </w:r>
      <w:r w:rsidRPr="001352AB">
        <w:rPr>
          <w:rFonts w:ascii="Sylfaen" w:hAnsi="Sylfaen" w:cs="Sylfaen"/>
        </w:rPr>
        <w:t>გზის</w:t>
      </w:r>
      <w:r w:rsidRPr="001352AB">
        <w:t xml:space="preserve"> </w:t>
      </w:r>
      <w:r w:rsidRPr="001352AB">
        <w:rPr>
          <w:rFonts w:ascii="Sylfaen" w:hAnsi="Sylfaen" w:cs="Sylfaen"/>
        </w:rPr>
        <w:t>და</w:t>
      </w:r>
      <w:r w:rsidRPr="001352AB">
        <w:t xml:space="preserve"> </w:t>
      </w:r>
      <w:r w:rsidRPr="001352AB">
        <w:rPr>
          <w:rFonts w:ascii="Sylfaen" w:hAnsi="Sylfaen" w:cs="Sylfaen"/>
        </w:rPr>
        <w:t>გზისპირა</w:t>
      </w:r>
      <w:r w:rsidRPr="001352AB">
        <w:t xml:space="preserve"> </w:t>
      </w:r>
      <w:r w:rsidRPr="001352AB">
        <w:rPr>
          <w:rFonts w:ascii="Sylfaen" w:hAnsi="Sylfaen" w:cs="Sylfaen"/>
        </w:rPr>
        <w:t>ზოლის</w:t>
      </w:r>
      <w:r w:rsidRPr="001352AB">
        <w:t xml:space="preserve"> </w:t>
      </w:r>
      <w:r w:rsidRPr="001352AB">
        <w:rPr>
          <w:rFonts w:ascii="Sylfaen" w:hAnsi="Sylfaen" w:cs="Sylfaen"/>
        </w:rPr>
        <w:t>დასუფთავება</w:t>
      </w:r>
      <w:r w:rsidRPr="001352AB">
        <w:t xml:space="preserve">, </w:t>
      </w:r>
      <w:r w:rsidRPr="001352AB">
        <w:rPr>
          <w:rFonts w:ascii="Sylfaen" w:hAnsi="Sylfaen" w:cs="Sylfaen"/>
        </w:rPr>
        <w:t>მოეწყობა</w:t>
      </w:r>
      <w:r w:rsidRPr="001352AB">
        <w:t xml:space="preserve"> </w:t>
      </w:r>
      <w:r w:rsidRPr="001352AB">
        <w:rPr>
          <w:rFonts w:ascii="Sylfaen" w:hAnsi="Sylfaen" w:cs="Sylfaen"/>
        </w:rPr>
        <w:t>ნაგვის</w:t>
      </w:r>
      <w:r w:rsidRPr="001352AB">
        <w:t xml:space="preserve"> </w:t>
      </w:r>
      <w:r w:rsidRPr="001352AB">
        <w:rPr>
          <w:rFonts w:ascii="Sylfaen" w:hAnsi="Sylfaen" w:cs="Sylfaen"/>
        </w:rPr>
        <w:t>კონტეინერებით</w:t>
      </w:r>
      <w:r w:rsidRPr="001352AB">
        <w:t xml:space="preserve">  </w:t>
      </w:r>
      <w:r w:rsidRPr="001352AB">
        <w:rPr>
          <w:rFonts w:ascii="Sylfaen" w:hAnsi="Sylfaen" w:cs="Sylfaen"/>
        </w:rPr>
        <w:t>აღჭურვილი</w:t>
      </w:r>
      <w:r w:rsidRPr="001352AB">
        <w:t xml:space="preserve"> </w:t>
      </w:r>
      <w:r w:rsidRPr="001352AB">
        <w:rPr>
          <w:rFonts w:ascii="Sylfaen" w:hAnsi="Sylfaen" w:cs="Sylfaen"/>
        </w:rPr>
        <w:t>გაჩერების</w:t>
      </w:r>
      <w:r w:rsidRPr="001352AB">
        <w:t>/</w:t>
      </w:r>
      <w:r w:rsidRPr="001352AB">
        <w:rPr>
          <w:rFonts w:ascii="Sylfaen" w:hAnsi="Sylfaen" w:cs="Sylfaen"/>
        </w:rPr>
        <w:t>სამომსახურეო</w:t>
      </w:r>
      <w:r w:rsidRPr="001352AB">
        <w:t xml:space="preserve"> </w:t>
      </w:r>
      <w:r w:rsidRPr="001352AB">
        <w:rPr>
          <w:rFonts w:ascii="Sylfaen" w:hAnsi="Sylfaen" w:cs="Sylfaen"/>
        </w:rPr>
        <w:t>კუნძულები</w:t>
      </w:r>
      <w:r w:rsidRPr="001352AB">
        <w:t xml:space="preserve">. </w:t>
      </w:r>
    </w:p>
    <w:p w14:paraId="5022E419" w14:textId="77777777" w:rsidR="00CD64B5" w:rsidRPr="001352AB" w:rsidRDefault="00CD64B5" w:rsidP="000E38C6">
      <w:pPr>
        <w:spacing w:before="120" w:after="120"/>
        <w:rPr>
          <w:lang w:eastAsia="en-US"/>
        </w:rPr>
      </w:pPr>
      <w:r w:rsidRPr="001352AB">
        <w:rPr>
          <w:rFonts w:ascii="Sylfaen" w:hAnsi="Sylfaen" w:cs="Sylfaen"/>
        </w:rPr>
        <w:t>სარემონტო</w:t>
      </w:r>
      <w:r w:rsidRPr="001352AB">
        <w:t xml:space="preserve"> </w:t>
      </w:r>
      <w:r w:rsidRPr="001352AB">
        <w:rPr>
          <w:rFonts w:ascii="Sylfaen" w:hAnsi="Sylfaen" w:cs="Sylfaen"/>
        </w:rPr>
        <w:t>სამუშაოებისას</w:t>
      </w:r>
      <w:r w:rsidRPr="001352AB">
        <w:t xml:space="preserve"> </w:t>
      </w: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მშენებლობის</w:t>
      </w:r>
      <w:r w:rsidRPr="001352AB">
        <w:t xml:space="preserve"> </w:t>
      </w:r>
      <w:r w:rsidRPr="001352AB">
        <w:rPr>
          <w:rFonts w:ascii="Sylfaen" w:hAnsi="Sylfaen" w:cs="Sylfaen"/>
        </w:rPr>
        <w:t>ეტაპისთვის</w:t>
      </w:r>
      <w:r w:rsidRPr="001352AB">
        <w:t xml:space="preserve"> </w:t>
      </w:r>
      <w:r w:rsidRPr="001352AB">
        <w:rPr>
          <w:rFonts w:ascii="Sylfaen" w:hAnsi="Sylfaen" w:cs="Sylfaen"/>
        </w:rPr>
        <w:t>დადგენილი</w:t>
      </w:r>
      <w:r w:rsidRPr="001352AB">
        <w:t xml:space="preserve"> </w:t>
      </w:r>
      <w:r w:rsidRPr="001352AB">
        <w:rPr>
          <w:rFonts w:ascii="Sylfaen" w:hAnsi="Sylfaen" w:cs="Sylfaen"/>
        </w:rPr>
        <w:t>მოთხოვნები</w:t>
      </w:r>
      <w:r w:rsidRPr="001352AB">
        <w:t xml:space="preserve"> (</w:t>
      </w: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w:t>
      </w:r>
      <w:r w:rsidRPr="001352AB">
        <w:t xml:space="preserve">). </w:t>
      </w:r>
    </w:p>
    <w:p w14:paraId="659573BD" w14:textId="77777777" w:rsidR="00CD64B5" w:rsidRPr="001352AB" w:rsidRDefault="00CD64B5" w:rsidP="000E38C6">
      <w:pPr>
        <w:spacing w:before="120" w:after="120"/>
        <w:rPr>
          <w:lang w:eastAsia="da-DK"/>
        </w:rPr>
      </w:pP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შესრულების</w:t>
      </w:r>
      <w:r w:rsidRPr="001352AB">
        <w:t xml:space="preserve"> </w:t>
      </w:r>
      <w:r w:rsidRPr="001352AB">
        <w:rPr>
          <w:rFonts w:ascii="Sylfaen" w:hAnsi="Sylfaen" w:cs="Sylfaen"/>
        </w:rPr>
        <w:t>უზრუნველყოფა</w:t>
      </w:r>
      <w:r w:rsidRPr="001352AB">
        <w:t xml:space="preserve"> </w:t>
      </w:r>
      <w:r w:rsidRPr="001352AB">
        <w:rPr>
          <w:rFonts w:ascii="Sylfaen" w:hAnsi="Sylfaen" w:cs="Sylfaen"/>
        </w:rPr>
        <w:t>საავტომობილო</w:t>
      </w:r>
      <w:r w:rsidRPr="001352AB">
        <w:t xml:space="preserve"> </w:t>
      </w:r>
      <w:r w:rsidRPr="001352AB">
        <w:rPr>
          <w:rFonts w:ascii="Sylfaen" w:hAnsi="Sylfaen" w:cs="Sylfaen"/>
        </w:rPr>
        <w:t>გზების</w:t>
      </w:r>
      <w:r w:rsidRPr="001352AB">
        <w:t xml:space="preserve"> </w:t>
      </w:r>
      <w:r w:rsidRPr="001352AB">
        <w:rPr>
          <w:rFonts w:ascii="Sylfaen" w:hAnsi="Sylfaen" w:cs="Sylfaen"/>
        </w:rPr>
        <w:t>დეპარტამენტის</w:t>
      </w:r>
      <w:r w:rsidRPr="001352AB">
        <w:t xml:space="preserve"> </w:t>
      </w:r>
      <w:r w:rsidRPr="001352AB">
        <w:rPr>
          <w:rFonts w:ascii="Sylfaen" w:hAnsi="Sylfaen" w:cs="Sylfaen"/>
        </w:rPr>
        <w:t>პასუხისმგებლობას</w:t>
      </w:r>
      <w:r w:rsidRPr="001352AB">
        <w:t xml:space="preserve"> </w:t>
      </w:r>
      <w:r w:rsidRPr="001352AB">
        <w:rPr>
          <w:rFonts w:ascii="Sylfaen" w:hAnsi="Sylfaen" w:cs="Sylfaen"/>
        </w:rPr>
        <w:t>წარმოადგენს</w:t>
      </w:r>
      <w:r w:rsidRPr="001352AB">
        <w:t xml:space="preserve">.    </w:t>
      </w:r>
    </w:p>
    <w:p w14:paraId="3185FFA4" w14:textId="77777777" w:rsidR="00CD64B5" w:rsidRPr="001352AB" w:rsidRDefault="00CD64B5" w:rsidP="000E38C6">
      <w:pPr>
        <w:spacing w:before="120" w:after="120"/>
      </w:pPr>
    </w:p>
    <w:p w14:paraId="7CACF238" w14:textId="77777777" w:rsidR="00CD64B5" w:rsidRPr="001352AB" w:rsidRDefault="00CD64B5" w:rsidP="000E38C6">
      <w:pPr>
        <w:spacing w:before="120" w:after="120"/>
      </w:pPr>
    </w:p>
    <w:p w14:paraId="11D53EAA" w14:textId="77777777" w:rsidR="00CD64B5" w:rsidRPr="001352AB" w:rsidRDefault="00CD64B5" w:rsidP="000E38C6">
      <w:pPr>
        <w:pStyle w:val="EIAheading2"/>
      </w:pPr>
      <w:bookmarkStart w:id="378" w:name="_Toc529977409"/>
      <w:bookmarkStart w:id="379" w:name="_Toc495314394"/>
      <w:bookmarkStart w:id="380" w:name="_Toc479166526"/>
      <w:bookmarkStart w:id="381" w:name="_Toc479164796"/>
      <w:bookmarkStart w:id="382" w:name="_Toc1581571"/>
      <w:r w:rsidRPr="001352AB">
        <w:t xml:space="preserve">7.6. </w:t>
      </w:r>
      <w:r w:rsidRPr="001352AB">
        <w:rPr>
          <w:rFonts w:ascii="Sylfaen" w:hAnsi="Sylfaen" w:cs="Sylfaen"/>
        </w:rPr>
        <w:t>ზემოქმედება</w:t>
      </w:r>
      <w:r w:rsidRPr="001352AB">
        <w:t xml:space="preserve"> </w:t>
      </w:r>
      <w:r w:rsidRPr="001352AB">
        <w:rPr>
          <w:rFonts w:ascii="Sylfaen" w:hAnsi="Sylfaen" w:cs="Sylfaen"/>
        </w:rPr>
        <w:t>მცენარეულ</w:t>
      </w:r>
      <w:r w:rsidRPr="001352AB">
        <w:t xml:space="preserve"> </w:t>
      </w:r>
      <w:r w:rsidRPr="001352AB">
        <w:rPr>
          <w:rFonts w:ascii="Sylfaen" w:hAnsi="Sylfaen" w:cs="Sylfaen"/>
        </w:rPr>
        <w:t>საფარზე</w:t>
      </w:r>
      <w:bookmarkEnd w:id="378"/>
      <w:bookmarkEnd w:id="379"/>
      <w:bookmarkEnd w:id="380"/>
      <w:bookmarkEnd w:id="381"/>
      <w:bookmarkEnd w:id="382"/>
    </w:p>
    <w:p w14:paraId="3CD1BE06" w14:textId="77777777" w:rsidR="00CD64B5" w:rsidRPr="001352AB" w:rsidRDefault="00CD64B5" w:rsidP="000E38C6">
      <w:pPr>
        <w:pStyle w:val="Heading3"/>
      </w:pPr>
      <w:bookmarkStart w:id="383" w:name="_Toc529977410"/>
      <w:bookmarkStart w:id="384" w:name="_Toc495314395"/>
      <w:bookmarkStart w:id="385" w:name="_Toc479166527"/>
      <w:bookmarkStart w:id="386" w:name="_Toc479164797"/>
      <w:bookmarkStart w:id="387" w:name="_Toc1581572"/>
      <w:r w:rsidRPr="001352AB">
        <w:t xml:space="preserve">7.6.1 </w:t>
      </w:r>
      <w:r w:rsidRPr="001352AB">
        <w:rPr>
          <w:rFonts w:ascii="Sylfaen" w:hAnsi="Sylfaen" w:cs="Sylfaen"/>
        </w:rPr>
        <w:t>მცენარეულ</w:t>
      </w:r>
      <w:r w:rsidRPr="001352AB">
        <w:t xml:space="preserve"> </w:t>
      </w:r>
      <w:r w:rsidRPr="001352AB">
        <w:rPr>
          <w:rFonts w:ascii="Sylfaen" w:hAnsi="Sylfaen" w:cs="Sylfaen"/>
        </w:rPr>
        <w:t>საფარზე</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მშენებლობის</w:t>
      </w:r>
      <w:r w:rsidRPr="001352AB">
        <w:t xml:space="preserve"> </w:t>
      </w:r>
      <w:r w:rsidRPr="001352AB">
        <w:rPr>
          <w:rFonts w:ascii="Sylfaen" w:hAnsi="Sylfaen" w:cs="Sylfaen"/>
        </w:rPr>
        <w:t>ეტაპზე</w:t>
      </w:r>
      <w:bookmarkEnd w:id="383"/>
      <w:bookmarkEnd w:id="384"/>
      <w:bookmarkEnd w:id="385"/>
      <w:bookmarkEnd w:id="386"/>
      <w:bookmarkEnd w:id="387"/>
    </w:p>
    <w:p w14:paraId="5573C3D8" w14:textId="77777777" w:rsidR="00CD64B5" w:rsidRPr="001352AB" w:rsidRDefault="00CD64B5" w:rsidP="000E38C6">
      <w:pPr>
        <w:spacing w:before="120" w:after="120"/>
        <w:rPr>
          <w:lang w:val="ka-GE"/>
        </w:rPr>
      </w:pPr>
      <w:r w:rsidRPr="001352AB">
        <w:rPr>
          <w:rFonts w:ascii="Sylfaen" w:hAnsi="Sylfaen" w:cs="Sylfaen"/>
        </w:rPr>
        <w:t>მცენარეული</w:t>
      </w:r>
      <w:r w:rsidRPr="001352AB">
        <w:t xml:space="preserve"> </w:t>
      </w:r>
      <w:r w:rsidRPr="001352AB">
        <w:rPr>
          <w:rFonts w:ascii="Sylfaen" w:hAnsi="Sylfaen" w:cs="Sylfaen"/>
        </w:rPr>
        <w:t>საფარი</w:t>
      </w:r>
      <w:r w:rsidRPr="001352AB">
        <w:t>/</w:t>
      </w:r>
      <w:r w:rsidRPr="001352AB">
        <w:rPr>
          <w:rFonts w:ascii="Sylfaen" w:hAnsi="Sylfaen" w:cs="Sylfaen"/>
        </w:rPr>
        <w:t>ფლორა</w:t>
      </w:r>
    </w:p>
    <w:p w14:paraId="552D233D" w14:textId="77777777" w:rsidR="00CD64B5" w:rsidRPr="001352AB" w:rsidRDefault="00CD64B5" w:rsidP="000E38C6">
      <w:pPr>
        <w:spacing w:before="120" w:after="120"/>
        <w:rPr>
          <w:lang w:eastAsia="da-DK"/>
        </w:rPr>
      </w:pPr>
      <w:r w:rsidRPr="001352AB">
        <w:rPr>
          <w:rFonts w:ascii="Sylfaen" w:hAnsi="Sylfaen" w:cs="Sylfaen"/>
        </w:rPr>
        <w:t>გზისა</w:t>
      </w:r>
      <w:r w:rsidRPr="001352AB">
        <w:t xml:space="preserve"> </w:t>
      </w:r>
      <w:r w:rsidRPr="001352AB">
        <w:rPr>
          <w:rFonts w:ascii="Sylfaen" w:hAnsi="Sylfaen" w:cs="Sylfaen"/>
        </w:rPr>
        <w:t>და</w:t>
      </w:r>
      <w:r w:rsidRPr="001352AB">
        <w:t xml:space="preserve"> </w:t>
      </w:r>
      <w:r w:rsidRPr="001352AB">
        <w:rPr>
          <w:rFonts w:ascii="Sylfaen" w:hAnsi="Sylfaen" w:cs="Sylfaen"/>
        </w:rPr>
        <w:t>სხვა</w:t>
      </w:r>
      <w:r w:rsidRPr="001352AB">
        <w:t xml:space="preserve"> </w:t>
      </w:r>
      <w:r w:rsidRPr="001352AB">
        <w:rPr>
          <w:rFonts w:ascii="Sylfaen" w:hAnsi="Sylfaen" w:cs="Sylfaen"/>
        </w:rPr>
        <w:t>ხაზოვანი</w:t>
      </w:r>
      <w:r w:rsidRPr="001352AB">
        <w:t xml:space="preserve"> </w:t>
      </w:r>
      <w:r w:rsidRPr="001352AB">
        <w:rPr>
          <w:rFonts w:ascii="Sylfaen" w:hAnsi="Sylfaen" w:cs="Sylfaen"/>
        </w:rPr>
        <w:t>სტრუქტურების</w:t>
      </w:r>
      <w:r w:rsidRPr="001352AB">
        <w:t xml:space="preserve"> </w:t>
      </w:r>
      <w:r w:rsidRPr="001352AB">
        <w:rPr>
          <w:rFonts w:ascii="Sylfaen" w:hAnsi="Sylfaen" w:cs="Sylfaen"/>
        </w:rPr>
        <w:t>გავლენა</w:t>
      </w:r>
      <w:r w:rsidRPr="001352AB">
        <w:t xml:space="preserve"> </w:t>
      </w:r>
      <w:r w:rsidRPr="001352AB">
        <w:rPr>
          <w:rFonts w:ascii="Sylfaen" w:hAnsi="Sylfaen" w:cs="Sylfaen"/>
        </w:rPr>
        <w:t>მცენარეულ</w:t>
      </w:r>
      <w:r w:rsidRPr="001352AB">
        <w:t xml:space="preserve"> </w:t>
      </w:r>
      <w:r w:rsidRPr="001352AB">
        <w:rPr>
          <w:rFonts w:ascii="Sylfaen" w:hAnsi="Sylfaen" w:cs="Sylfaen"/>
        </w:rPr>
        <w:t>საფარზე</w:t>
      </w:r>
      <w:r w:rsidRPr="001352AB">
        <w:t xml:space="preserve">  </w:t>
      </w:r>
      <w:r w:rsidRPr="001352AB">
        <w:rPr>
          <w:rFonts w:ascii="Sylfaen" w:hAnsi="Sylfaen" w:cs="Sylfaen"/>
        </w:rPr>
        <w:t>დაკავშირებულია</w:t>
      </w:r>
      <w:r w:rsidRPr="001352AB">
        <w:t>:</w:t>
      </w:r>
    </w:p>
    <w:p w14:paraId="3FADB8F9" w14:textId="77777777" w:rsidR="00CD64B5" w:rsidRPr="001352AB" w:rsidRDefault="00CD64B5" w:rsidP="000E38C6">
      <w:pPr>
        <w:spacing w:before="120" w:after="120"/>
      </w:pPr>
      <w:r w:rsidRPr="001352AB">
        <w:rPr>
          <w:rFonts w:ascii="Sylfaen" w:hAnsi="Sylfaen" w:cs="Sylfaen"/>
        </w:rPr>
        <w:t>გასხვისების</w:t>
      </w:r>
      <w:r w:rsidRPr="001352AB">
        <w:t xml:space="preserve"> </w:t>
      </w:r>
      <w:r w:rsidRPr="001352AB">
        <w:rPr>
          <w:rFonts w:ascii="Sylfaen" w:hAnsi="Sylfaen" w:cs="Sylfaen"/>
        </w:rPr>
        <w:t>ზოლში</w:t>
      </w:r>
      <w:r w:rsidRPr="001352AB">
        <w:t xml:space="preserve"> </w:t>
      </w:r>
      <w:r w:rsidRPr="001352AB">
        <w:rPr>
          <w:rFonts w:ascii="Sylfaen" w:hAnsi="Sylfaen" w:cs="Sylfaen"/>
        </w:rPr>
        <w:t>მცენარეული</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მოცილებასთან</w:t>
      </w:r>
      <w:r w:rsidRPr="001352AB">
        <w:t>;</w:t>
      </w:r>
    </w:p>
    <w:p w14:paraId="069DEBD2" w14:textId="77777777" w:rsidR="00CD64B5" w:rsidRPr="001352AB" w:rsidRDefault="00CD64B5" w:rsidP="000E38C6">
      <w:pPr>
        <w:spacing w:before="120" w:after="120"/>
      </w:pPr>
      <w:r w:rsidRPr="001352AB">
        <w:rPr>
          <w:rFonts w:ascii="Sylfaen" w:hAnsi="Sylfaen" w:cs="Sylfaen"/>
        </w:rPr>
        <w:t>მტვრის</w:t>
      </w:r>
      <w:r w:rsidRPr="001352AB">
        <w:t xml:space="preserve"> </w:t>
      </w:r>
      <w:r w:rsidRPr="001352AB">
        <w:rPr>
          <w:rFonts w:ascii="Sylfaen" w:hAnsi="Sylfaen" w:cs="Sylfaen"/>
        </w:rPr>
        <w:t>ზემოქმედებასთან</w:t>
      </w:r>
      <w:r w:rsidRPr="001352AB">
        <w:t xml:space="preserve"> </w:t>
      </w:r>
      <w:r w:rsidRPr="001352AB">
        <w:rPr>
          <w:rFonts w:ascii="Sylfaen" w:hAnsi="Sylfaen" w:cs="Sylfaen"/>
        </w:rPr>
        <w:t>მცენარეულ</w:t>
      </w:r>
      <w:r w:rsidRPr="001352AB">
        <w:t xml:space="preserve"> </w:t>
      </w:r>
      <w:r w:rsidRPr="001352AB">
        <w:rPr>
          <w:rFonts w:ascii="Sylfaen" w:hAnsi="Sylfaen" w:cs="Sylfaen"/>
        </w:rPr>
        <w:t>საფარზე</w:t>
      </w:r>
      <w:r w:rsidRPr="001352AB">
        <w:t>;</w:t>
      </w:r>
    </w:p>
    <w:p w14:paraId="736C9613" w14:textId="77777777" w:rsidR="00CD64B5" w:rsidRPr="001352AB" w:rsidRDefault="00CD64B5" w:rsidP="000E38C6">
      <w:pPr>
        <w:spacing w:before="120" w:after="120"/>
      </w:pPr>
      <w:r w:rsidRPr="001352AB">
        <w:rPr>
          <w:rFonts w:ascii="Sylfaen" w:hAnsi="Sylfaen" w:cs="Sylfaen"/>
        </w:rPr>
        <w:t>ნიადაგის</w:t>
      </w:r>
      <w:r w:rsidRPr="001352AB">
        <w:t xml:space="preserve"> </w:t>
      </w:r>
      <w:r w:rsidRPr="001352AB">
        <w:rPr>
          <w:rFonts w:ascii="Sylfaen" w:hAnsi="Sylfaen" w:cs="Sylfaen"/>
        </w:rPr>
        <w:t>დატკეპნასთან</w:t>
      </w:r>
      <w:r w:rsidRPr="001352AB">
        <w:t xml:space="preserve"> </w:t>
      </w:r>
      <w:r w:rsidRPr="001352AB">
        <w:rPr>
          <w:rFonts w:ascii="Sylfaen" w:hAnsi="Sylfaen" w:cs="Sylfaen"/>
        </w:rPr>
        <w:t>და</w:t>
      </w:r>
      <w:r w:rsidRPr="001352AB">
        <w:t xml:space="preserve"> </w:t>
      </w:r>
      <w:r w:rsidRPr="001352AB">
        <w:rPr>
          <w:rFonts w:ascii="Sylfaen" w:hAnsi="Sylfaen" w:cs="Sylfaen"/>
        </w:rPr>
        <w:t>დაბინძურებასთან</w:t>
      </w:r>
      <w:r w:rsidRPr="001352AB">
        <w:t xml:space="preserve"> - </w:t>
      </w:r>
      <w:r w:rsidRPr="001352AB">
        <w:rPr>
          <w:rFonts w:ascii="Sylfaen" w:hAnsi="Sylfaen" w:cs="Sylfaen"/>
        </w:rPr>
        <w:t>რამაც</w:t>
      </w:r>
      <w:r w:rsidRPr="001352AB">
        <w:t xml:space="preserve"> </w:t>
      </w:r>
      <w:r w:rsidRPr="001352AB">
        <w:rPr>
          <w:rFonts w:ascii="Sylfaen" w:hAnsi="Sylfaen" w:cs="Sylfaen"/>
        </w:rPr>
        <w:t>შეიძლება</w:t>
      </w:r>
      <w:r w:rsidRPr="001352AB">
        <w:t xml:space="preserve"> </w:t>
      </w:r>
      <w:r w:rsidRPr="001352AB">
        <w:rPr>
          <w:rFonts w:ascii="Sylfaen" w:hAnsi="Sylfaen" w:cs="Sylfaen"/>
        </w:rPr>
        <w:t>დააზიანოს</w:t>
      </w:r>
      <w:r w:rsidRPr="001352AB">
        <w:t xml:space="preserve"> </w:t>
      </w:r>
      <w:r w:rsidRPr="001352AB">
        <w:rPr>
          <w:rFonts w:ascii="Sylfaen" w:hAnsi="Sylfaen" w:cs="Sylfaen"/>
        </w:rPr>
        <w:t>არსებული</w:t>
      </w:r>
      <w:r w:rsidRPr="001352AB">
        <w:t xml:space="preserve"> </w:t>
      </w:r>
      <w:r w:rsidRPr="001352AB">
        <w:rPr>
          <w:rFonts w:ascii="Sylfaen" w:hAnsi="Sylfaen" w:cs="Sylfaen"/>
        </w:rPr>
        <w:t>მცენარეული</w:t>
      </w:r>
      <w:r w:rsidRPr="001352AB">
        <w:t xml:space="preserve"> </w:t>
      </w:r>
      <w:r w:rsidRPr="001352AB">
        <w:rPr>
          <w:rFonts w:ascii="Sylfaen" w:hAnsi="Sylfaen" w:cs="Sylfaen"/>
        </w:rPr>
        <w:t>საფარი</w:t>
      </w:r>
      <w:r w:rsidRPr="001352AB">
        <w:t xml:space="preserve"> </w:t>
      </w:r>
      <w:r w:rsidRPr="001352AB">
        <w:rPr>
          <w:rFonts w:ascii="Sylfaen" w:hAnsi="Sylfaen" w:cs="Sylfaen"/>
        </w:rPr>
        <w:t>და</w:t>
      </w:r>
      <w:r w:rsidRPr="001352AB">
        <w:t xml:space="preserve"> </w:t>
      </w:r>
      <w:r w:rsidRPr="001352AB">
        <w:rPr>
          <w:rFonts w:ascii="Sylfaen" w:hAnsi="Sylfaen" w:cs="Sylfaen"/>
        </w:rPr>
        <w:t>ხელი</w:t>
      </w:r>
      <w:r w:rsidRPr="001352AB">
        <w:t xml:space="preserve"> </w:t>
      </w:r>
      <w:r w:rsidRPr="001352AB">
        <w:rPr>
          <w:rFonts w:ascii="Sylfaen" w:hAnsi="Sylfaen" w:cs="Sylfaen"/>
        </w:rPr>
        <w:t>შეუშალოს</w:t>
      </w:r>
      <w:r w:rsidRPr="001352AB">
        <w:t xml:space="preserve"> </w:t>
      </w:r>
      <w:r w:rsidRPr="001352AB">
        <w:rPr>
          <w:rFonts w:ascii="Sylfaen" w:hAnsi="Sylfaen" w:cs="Sylfaen"/>
        </w:rPr>
        <w:t>მის</w:t>
      </w:r>
      <w:r w:rsidRPr="001352AB">
        <w:t>/</w:t>
      </w:r>
      <w:r w:rsidRPr="001352AB">
        <w:rPr>
          <w:rFonts w:ascii="Sylfaen" w:hAnsi="Sylfaen" w:cs="Sylfaen"/>
        </w:rPr>
        <w:t>ახლის</w:t>
      </w:r>
      <w:r w:rsidRPr="001352AB">
        <w:t xml:space="preserve"> </w:t>
      </w:r>
      <w:r w:rsidRPr="001352AB">
        <w:rPr>
          <w:rFonts w:ascii="Sylfaen" w:hAnsi="Sylfaen" w:cs="Sylfaen"/>
        </w:rPr>
        <w:t>ზრდას</w:t>
      </w:r>
      <w:r w:rsidRPr="001352AB">
        <w:t xml:space="preserve">. </w:t>
      </w:r>
      <w:r w:rsidRPr="001352AB">
        <w:rPr>
          <w:rFonts w:ascii="Sylfaen" w:hAnsi="Sylfaen" w:cs="Sylfaen"/>
        </w:rPr>
        <w:t>ინვაზიური</w:t>
      </w:r>
      <w:r w:rsidRPr="001352AB">
        <w:t xml:space="preserve"> </w:t>
      </w:r>
      <w:r w:rsidRPr="001352AB">
        <w:rPr>
          <w:rFonts w:ascii="Sylfaen" w:hAnsi="Sylfaen" w:cs="Sylfaen"/>
        </w:rPr>
        <w:t>სახეობების</w:t>
      </w:r>
      <w:r w:rsidRPr="001352AB">
        <w:t xml:space="preserve"> </w:t>
      </w:r>
      <w:r w:rsidRPr="001352AB">
        <w:rPr>
          <w:rFonts w:ascii="Sylfaen" w:hAnsi="Sylfaen" w:cs="Sylfaen"/>
        </w:rPr>
        <w:t>გავრცელებასთან</w:t>
      </w:r>
      <w:r w:rsidRPr="001352AB">
        <w:t>;</w:t>
      </w:r>
    </w:p>
    <w:p w14:paraId="27C65F59" w14:textId="77777777" w:rsidR="00CD64B5" w:rsidRPr="001352AB" w:rsidRDefault="00CD64B5" w:rsidP="000E38C6">
      <w:pPr>
        <w:spacing w:before="120" w:after="120"/>
      </w:pPr>
      <w:r w:rsidRPr="001352AB">
        <w:rPr>
          <w:rFonts w:ascii="Sylfaen" w:hAnsi="Sylfaen" w:cs="Sylfaen"/>
        </w:rPr>
        <w:t>მცენარეული</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მოხსნის</w:t>
      </w:r>
      <w:r w:rsidRPr="001352AB">
        <w:t xml:space="preserve"> </w:t>
      </w:r>
      <w:r w:rsidRPr="001352AB">
        <w:rPr>
          <w:rFonts w:ascii="Sylfaen" w:hAnsi="Sylfaen" w:cs="Sylfaen"/>
        </w:rPr>
        <w:t>შედეგად</w:t>
      </w:r>
      <w:r w:rsidRPr="001352AB">
        <w:t xml:space="preserve"> </w:t>
      </w:r>
      <w:r w:rsidRPr="001352AB">
        <w:rPr>
          <w:rFonts w:ascii="Sylfaen" w:hAnsi="Sylfaen" w:cs="Sylfaen"/>
        </w:rPr>
        <w:t>ეროზიული</w:t>
      </w:r>
      <w:r w:rsidRPr="001352AB">
        <w:t xml:space="preserve"> </w:t>
      </w:r>
      <w:r w:rsidRPr="001352AB">
        <w:rPr>
          <w:rFonts w:ascii="Sylfaen" w:hAnsi="Sylfaen" w:cs="Sylfaen"/>
        </w:rPr>
        <w:t>პროცესების</w:t>
      </w:r>
      <w:r w:rsidRPr="001352AB">
        <w:t xml:space="preserve"> </w:t>
      </w:r>
      <w:r w:rsidRPr="001352AB">
        <w:rPr>
          <w:rFonts w:ascii="Sylfaen" w:hAnsi="Sylfaen" w:cs="Sylfaen"/>
        </w:rPr>
        <w:t>წარმოქმნასთან</w:t>
      </w:r>
      <w:r w:rsidRPr="001352AB">
        <w:t>;</w:t>
      </w:r>
    </w:p>
    <w:p w14:paraId="0044AA55" w14:textId="77777777" w:rsidR="00CD64B5" w:rsidRPr="001352AB" w:rsidRDefault="00CD64B5" w:rsidP="000E38C6">
      <w:pPr>
        <w:spacing w:before="120" w:after="120"/>
      </w:pPr>
      <w:r w:rsidRPr="001352AB">
        <w:rPr>
          <w:rFonts w:ascii="Sylfaen" w:hAnsi="Sylfaen" w:cs="Sylfaen"/>
        </w:rPr>
        <w:t>მიწის</w:t>
      </w:r>
      <w:r w:rsidRPr="001352AB">
        <w:t xml:space="preserve"> </w:t>
      </w:r>
      <w:r w:rsidRPr="001352AB">
        <w:rPr>
          <w:rFonts w:ascii="Sylfaen" w:hAnsi="Sylfaen" w:cs="Sylfaen"/>
        </w:rPr>
        <w:t>ზედაპირის</w:t>
      </w:r>
      <w:r w:rsidRPr="001352AB">
        <w:t xml:space="preserve"> </w:t>
      </w:r>
      <w:r w:rsidRPr="001352AB">
        <w:rPr>
          <w:rFonts w:ascii="Sylfaen" w:hAnsi="Sylfaen" w:cs="Sylfaen"/>
        </w:rPr>
        <w:t>ხელოვნური</w:t>
      </w:r>
      <w:r w:rsidRPr="001352AB">
        <w:t xml:space="preserve"> </w:t>
      </w:r>
      <w:r w:rsidRPr="001352AB">
        <w:rPr>
          <w:rFonts w:ascii="Sylfaen" w:hAnsi="Sylfaen" w:cs="Sylfaen"/>
        </w:rPr>
        <w:t>საფარით</w:t>
      </w:r>
      <w:r w:rsidRPr="001352AB">
        <w:t xml:space="preserve"> </w:t>
      </w:r>
      <w:r w:rsidRPr="001352AB">
        <w:rPr>
          <w:rFonts w:ascii="Sylfaen" w:hAnsi="Sylfaen" w:cs="Sylfaen"/>
        </w:rPr>
        <w:t>შეცვლასთან</w:t>
      </w:r>
      <w:r w:rsidRPr="001352AB">
        <w:t xml:space="preserve"> - </w:t>
      </w:r>
      <w:r w:rsidRPr="001352AB">
        <w:rPr>
          <w:rFonts w:ascii="Sylfaen" w:hAnsi="Sylfaen" w:cs="Sylfaen"/>
        </w:rPr>
        <w:t>რის</w:t>
      </w:r>
      <w:r w:rsidRPr="001352AB">
        <w:t xml:space="preserve"> </w:t>
      </w:r>
      <w:r w:rsidRPr="001352AB">
        <w:rPr>
          <w:rFonts w:ascii="Sylfaen" w:hAnsi="Sylfaen" w:cs="Sylfaen"/>
        </w:rPr>
        <w:t>შედეგადაც</w:t>
      </w:r>
      <w:r w:rsidRPr="001352AB">
        <w:t xml:space="preserve"> </w:t>
      </w:r>
      <w:r w:rsidRPr="001352AB">
        <w:rPr>
          <w:rFonts w:ascii="Sylfaen" w:hAnsi="Sylfaen" w:cs="Sylfaen"/>
        </w:rPr>
        <w:t>იკარგება</w:t>
      </w:r>
      <w:r w:rsidRPr="001352AB">
        <w:t xml:space="preserve"> </w:t>
      </w:r>
      <w:r w:rsidRPr="001352AB">
        <w:rPr>
          <w:rFonts w:ascii="Sylfaen" w:hAnsi="Sylfaen" w:cs="Sylfaen"/>
        </w:rPr>
        <w:t>მცენარეული</w:t>
      </w:r>
      <w:r w:rsidRPr="001352AB">
        <w:t xml:space="preserve"> </w:t>
      </w:r>
      <w:r w:rsidRPr="001352AB">
        <w:rPr>
          <w:rFonts w:ascii="Sylfaen" w:hAnsi="Sylfaen" w:cs="Sylfaen"/>
        </w:rPr>
        <w:t>საფარისთვის</w:t>
      </w:r>
      <w:r w:rsidRPr="001352AB">
        <w:t xml:space="preserve"> ‘</w:t>
      </w:r>
      <w:r w:rsidRPr="001352AB">
        <w:rPr>
          <w:rFonts w:ascii="Sylfaen" w:hAnsi="Sylfaen" w:cs="Sylfaen"/>
        </w:rPr>
        <w:t>ხელმისაწვდომი</w:t>
      </w:r>
      <w:r w:rsidRPr="001352AB">
        <w:t xml:space="preserve">’ </w:t>
      </w:r>
      <w:r w:rsidRPr="001352AB">
        <w:rPr>
          <w:rFonts w:ascii="Sylfaen" w:hAnsi="Sylfaen" w:cs="Sylfaen"/>
        </w:rPr>
        <w:t>ფართობები</w:t>
      </w:r>
      <w:r w:rsidRPr="001352AB">
        <w:t>.</w:t>
      </w:r>
    </w:p>
    <w:p w14:paraId="65473FEA" w14:textId="77777777" w:rsidR="00CD64B5" w:rsidRPr="001352AB" w:rsidRDefault="00CD64B5" w:rsidP="000E38C6">
      <w:pPr>
        <w:spacing w:before="120" w:after="120"/>
      </w:pPr>
      <w:r w:rsidRPr="001352AB">
        <w:rPr>
          <w:rFonts w:ascii="Sylfaen" w:hAnsi="Sylfaen" w:cs="Sylfaen"/>
        </w:rPr>
        <w:t>მცენარეული</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დაზიანება</w:t>
      </w:r>
      <w:r w:rsidRPr="001352AB">
        <w:t xml:space="preserve"> </w:t>
      </w:r>
      <w:r w:rsidRPr="001352AB">
        <w:rPr>
          <w:rFonts w:ascii="Sylfaen" w:hAnsi="Sylfaen" w:cs="Sylfaen"/>
        </w:rPr>
        <w:t>შესაძლებელია</w:t>
      </w:r>
      <w:r w:rsidRPr="001352AB">
        <w:t xml:space="preserve"> </w:t>
      </w:r>
      <w:r w:rsidRPr="001352AB">
        <w:rPr>
          <w:rFonts w:ascii="Sylfaen" w:hAnsi="Sylfaen" w:cs="Sylfaen"/>
        </w:rPr>
        <w:t>ტრანსპორტის</w:t>
      </w:r>
      <w:r w:rsidRPr="001352AB">
        <w:t xml:space="preserve"> </w:t>
      </w:r>
      <w:r w:rsidRPr="001352AB">
        <w:rPr>
          <w:rFonts w:ascii="Sylfaen" w:hAnsi="Sylfaen" w:cs="Sylfaen"/>
        </w:rPr>
        <w:t>მოძრაობისთვის</w:t>
      </w:r>
      <w:r w:rsidRPr="001352AB">
        <w:t xml:space="preserve"> </w:t>
      </w:r>
      <w:r w:rsidRPr="001352AB">
        <w:rPr>
          <w:rFonts w:ascii="Sylfaen" w:hAnsi="Sylfaen" w:cs="Sylfaen"/>
        </w:rPr>
        <w:t>შერჩეული</w:t>
      </w:r>
      <w:r w:rsidRPr="001352AB">
        <w:t xml:space="preserve"> </w:t>
      </w:r>
      <w:r w:rsidRPr="001352AB">
        <w:rPr>
          <w:rFonts w:ascii="Sylfaen" w:hAnsi="Sylfaen" w:cs="Sylfaen"/>
        </w:rPr>
        <w:t>მარშრუტის</w:t>
      </w:r>
      <w:r w:rsidRPr="001352AB">
        <w:t xml:space="preserve"> </w:t>
      </w:r>
      <w:r w:rsidRPr="001352AB">
        <w:rPr>
          <w:rFonts w:ascii="Sylfaen" w:hAnsi="Sylfaen" w:cs="Sylfaen"/>
        </w:rPr>
        <w:t>და</w:t>
      </w:r>
      <w:r w:rsidRPr="001352AB">
        <w:t xml:space="preserve"> </w:t>
      </w:r>
      <w:r w:rsidRPr="001352AB">
        <w:rPr>
          <w:rFonts w:ascii="Sylfaen" w:hAnsi="Sylfaen" w:cs="Sylfaen"/>
        </w:rPr>
        <w:t>სამუშაო</w:t>
      </w:r>
      <w:r w:rsidRPr="001352AB">
        <w:t xml:space="preserve"> </w:t>
      </w:r>
      <w:r w:rsidRPr="001352AB">
        <w:rPr>
          <w:rFonts w:ascii="Sylfaen" w:hAnsi="Sylfaen" w:cs="Sylfaen"/>
        </w:rPr>
        <w:t>უბნების</w:t>
      </w:r>
      <w:r w:rsidRPr="001352AB">
        <w:t xml:space="preserve"> </w:t>
      </w:r>
      <w:r w:rsidRPr="001352AB">
        <w:rPr>
          <w:rFonts w:ascii="Sylfaen" w:hAnsi="Sylfaen" w:cs="Sylfaen"/>
        </w:rPr>
        <w:t>საზღვრების</w:t>
      </w:r>
      <w:r w:rsidRPr="001352AB">
        <w:t xml:space="preserve"> </w:t>
      </w:r>
      <w:r w:rsidRPr="001352AB">
        <w:rPr>
          <w:rFonts w:ascii="Sylfaen" w:hAnsi="Sylfaen" w:cs="Sylfaen"/>
        </w:rPr>
        <w:t>დაუცველობის</w:t>
      </w:r>
      <w:r w:rsidRPr="001352AB">
        <w:t xml:space="preserve"> </w:t>
      </w:r>
      <w:r w:rsidRPr="001352AB">
        <w:rPr>
          <w:rFonts w:ascii="Sylfaen" w:hAnsi="Sylfaen" w:cs="Sylfaen"/>
        </w:rPr>
        <w:t>შემთხვევაში</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მასალისა</w:t>
      </w:r>
      <w:r w:rsidRPr="001352AB">
        <w:t xml:space="preserve"> </w:t>
      </w:r>
      <w:r w:rsidRPr="001352AB">
        <w:rPr>
          <w:rFonts w:ascii="Sylfaen" w:hAnsi="Sylfaen" w:cs="Sylfaen"/>
        </w:rPr>
        <w:t>და</w:t>
      </w:r>
      <w:r w:rsidRPr="001352AB">
        <w:t xml:space="preserve"> </w:t>
      </w:r>
      <w:r w:rsidRPr="001352AB">
        <w:rPr>
          <w:rFonts w:ascii="Sylfaen" w:hAnsi="Sylfaen" w:cs="Sylfaen"/>
        </w:rPr>
        <w:t>ნარჩენების</w:t>
      </w:r>
      <w:r w:rsidRPr="001352AB">
        <w:t xml:space="preserve">  </w:t>
      </w:r>
      <w:r w:rsidRPr="001352AB">
        <w:rPr>
          <w:rFonts w:ascii="Sylfaen" w:hAnsi="Sylfaen" w:cs="Sylfaen"/>
        </w:rPr>
        <w:t>დასაწყობებისას</w:t>
      </w:r>
      <w:r w:rsidRPr="001352AB">
        <w:t xml:space="preserve">; </w:t>
      </w:r>
      <w:r w:rsidRPr="001352AB">
        <w:rPr>
          <w:rFonts w:ascii="Sylfaen" w:hAnsi="Sylfaen" w:cs="Sylfaen"/>
        </w:rPr>
        <w:t>დროებითი</w:t>
      </w:r>
      <w:r w:rsidRPr="001352AB">
        <w:t xml:space="preserve"> </w:t>
      </w:r>
      <w:r w:rsidRPr="001352AB">
        <w:rPr>
          <w:rFonts w:ascii="Sylfaen" w:hAnsi="Sylfaen" w:cs="Sylfaen"/>
        </w:rPr>
        <w:t>კონსტრუქციების</w:t>
      </w:r>
      <w:r w:rsidRPr="001352AB">
        <w:t>/</w:t>
      </w:r>
      <w:r w:rsidRPr="001352AB">
        <w:rPr>
          <w:rFonts w:ascii="Sylfaen" w:hAnsi="Sylfaen" w:cs="Sylfaen"/>
        </w:rPr>
        <w:t>სამუშაო</w:t>
      </w:r>
      <w:r w:rsidRPr="001352AB">
        <w:t xml:space="preserve"> </w:t>
      </w:r>
      <w:r w:rsidRPr="001352AB">
        <w:rPr>
          <w:rFonts w:ascii="Sylfaen" w:hAnsi="Sylfaen" w:cs="Sylfaen"/>
        </w:rPr>
        <w:t>უბნების</w:t>
      </w:r>
      <w:r w:rsidRPr="001352AB">
        <w:t xml:space="preserve">  </w:t>
      </w:r>
      <w:r w:rsidRPr="001352AB">
        <w:rPr>
          <w:rFonts w:ascii="Sylfaen" w:hAnsi="Sylfaen" w:cs="Sylfaen"/>
        </w:rPr>
        <w:t>მოწყობისას</w:t>
      </w:r>
      <w:r w:rsidRPr="001352AB">
        <w:t xml:space="preserve">. </w:t>
      </w:r>
    </w:p>
    <w:p w14:paraId="796BE752" w14:textId="77777777" w:rsidR="00CD64B5" w:rsidRPr="001352AB" w:rsidRDefault="00CD64B5" w:rsidP="000E38C6">
      <w:pPr>
        <w:spacing w:before="120" w:after="120"/>
      </w:pPr>
      <w:r w:rsidRPr="001352AB">
        <w:rPr>
          <w:rFonts w:ascii="Sylfaen" w:hAnsi="Sylfaen" w:cs="Sylfaen"/>
        </w:rPr>
        <w:t>ნაყარის</w:t>
      </w:r>
      <w:r w:rsidRPr="001352AB">
        <w:t xml:space="preserve"> </w:t>
      </w:r>
      <w:r w:rsidRPr="001352AB">
        <w:rPr>
          <w:rFonts w:ascii="Sylfaen" w:hAnsi="Sylfaen" w:cs="Sylfaen"/>
        </w:rPr>
        <w:t>არასწორი</w:t>
      </w:r>
      <w:r w:rsidRPr="001352AB">
        <w:t xml:space="preserve"> </w:t>
      </w:r>
      <w:r w:rsidRPr="001352AB">
        <w:rPr>
          <w:rFonts w:ascii="Sylfaen" w:hAnsi="Sylfaen" w:cs="Sylfaen"/>
        </w:rPr>
        <w:t>გეომეტრიის</w:t>
      </w:r>
      <w:r w:rsidRPr="001352AB">
        <w:t xml:space="preserve">  (</w:t>
      </w:r>
      <w:r w:rsidRPr="001352AB">
        <w:rPr>
          <w:rFonts w:ascii="Sylfaen" w:hAnsi="Sylfaen" w:cs="Sylfaen"/>
        </w:rPr>
        <w:t>ფერდობის</w:t>
      </w:r>
      <w:r w:rsidRPr="001352AB">
        <w:t xml:space="preserve"> </w:t>
      </w:r>
      <w:r w:rsidRPr="001352AB">
        <w:rPr>
          <w:rFonts w:ascii="Sylfaen" w:hAnsi="Sylfaen" w:cs="Sylfaen"/>
        </w:rPr>
        <w:t>დახრის</w:t>
      </w:r>
      <w:r w:rsidRPr="001352AB">
        <w:t xml:space="preserve"> </w:t>
      </w:r>
      <w:r w:rsidRPr="001352AB">
        <w:rPr>
          <w:rFonts w:ascii="Sylfaen" w:hAnsi="Sylfaen" w:cs="Sylfaen"/>
        </w:rPr>
        <w:t>დიდი</w:t>
      </w:r>
      <w:r w:rsidRPr="001352AB">
        <w:t xml:space="preserve"> </w:t>
      </w:r>
      <w:r w:rsidRPr="001352AB">
        <w:rPr>
          <w:rFonts w:ascii="Sylfaen" w:hAnsi="Sylfaen" w:cs="Sylfaen"/>
        </w:rPr>
        <w:t>კუთხე</w:t>
      </w:r>
      <w:r w:rsidRPr="001352AB">
        <w:t xml:space="preserve">) </w:t>
      </w:r>
      <w:r w:rsidRPr="001352AB">
        <w:rPr>
          <w:rFonts w:ascii="Sylfaen" w:hAnsi="Sylfaen" w:cs="Sylfaen"/>
        </w:rPr>
        <w:t>შემთხვევაში</w:t>
      </w:r>
      <w:r w:rsidRPr="001352AB">
        <w:t xml:space="preserve"> </w:t>
      </w:r>
      <w:r w:rsidRPr="001352AB">
        <w:rPr>
          <w:rFonts w:ascii="Sylfaen" w:hAnsi="Sylfaen" w:cs="Sylfaen"/>
        </w:rPr>
        <w:t>ის</w:t>
      </w:r>
      <w:r w:rsidRPr="001352AB">
        <w:t xml:space="preserve"> </w:t>
      </w:r>
      <w:r w:rsidRPr="001352AB">
        <w:rPr>
          <w:rFonts w:ascii="Sylfaen" w:hAnsi="Sylfaen" w:cs="Sylfaen"/>
        </w:rPr>
        <w:t>შეიძლება</w:t>
      </w:r>
      <w:r w:rsidRPr="001352AB">
        <w:t xml:space="preserve"> </w:t>
      </w:r>
      <w:r w:rsidRPr="001352AB">
        <w:rPr>
          <w:rFonts w:ascii="Sylfaen" w:hAnsi="Sylfaen" w:cs="Sylfaen"/>
        </w:rPr>
        <w:t>ჩამოიშალოს</w:t>
      </w:r>
      <w:r w:rsidRPr="001352AB">
        <w:t xml:space="preserve"> </w:t>
      </w:r>
      <w:r w:rsidRPr="001352AB">
        <w:rPr>
          <w:rFonts w:ascii="Sylfaen" w:hAnsi="Sylfaen" w:cs="Sylfaen"/>
        </w:rPr>
        <w:t>და</w:t>
      </w:r>
      <w:r w:rsidRPr="001352AB">
        <w:t xml:space="preserve"> </w:t>
      </w:r>
      <w:r w:rsidRPr="001352AB">
        <w:rPr>
          <w:rFonts w:ascii="Sylfaen" w:hAnsi="Sylfaen" w:cs="Sylfaen"/>
        </w:rPr>
        <w:t>დააზიანოს</w:t>
      </w:r>
      <w:r w:rsidRPr="001352AB">
        <w:t xml:space="preserve"> </w:t>
      </w:r>
      <w:r w:rsidRPr="001352AB">
        <w:rPr>
          <w:rFonts w:ascii="Sylfaen" w:hAnsi="Sylfaen" w:cs="Sylfaen"/>
        </w:rPr>
        <w:t>მცენარეული</w:t>
      </w:r>
      <w:r w:rsidRPr="001352AB">
        <w:t xml:space="preserve"> </w:t>
      </w:r>
      <w:r w:rsidRPr="001352AB">
        <w:rPr>
          <w:rFonts w:ascii="Sylfaen" w:hAnsi="Sylfaen" w:cs="Sylfaen"/>
        </w:rPr>
        <w:t>საფარი</w:t>
      </w:r>
      <w:r w:rsidRPr="001352AB">
        <w:t xml:space="preserve"> </w:t>
      </w:r>
      <w:r w:rsidRPr="001352AB">
        <w:rPr>
          <w:rFonts w:ascii="Sylfaen" w:hAnsi="Sylfaen" w:cs="Sylfaen"/>
        </w:rPr>
        <w:t>მის</w:t>
      </w:r>
      <w:r w:rsidRPr="001352AB">
        <w:t xml:space="preserve"> </w:t>
      </w:r>
      <w:r w:rsidRPr="001352AB">
        <w:rPr>
          <w:rFonts w:ascii="Sylfaen" w:hAnsi="Sylfaen" w:cs="Sylfaen"/>
        </w:rPr>
        <w:t>საზღვრებს</w:t>
      </w:r>
      <w:r w:rsidRPr="001352AB">
        <w:t xml:space="preserve"> </w:t>
      </w:r>
      <w:r w:rsidRPr="001352AB">
        <w:rPr>
          <w:rFonts w:ascii="Sylfaen" w:hAnsi="Sylfaen" w:cs="Sylfaen"/>
        </w:rPr>
        <w:t>გარეთ</w:t>
      </w:r>
      <w:r w:rsidRPr="001352AB">
        <w:t xml:space="preserve"> </w:t>
      </w:r>
      <w:r w:rsidRPr="001352AB">
        <w:rPr>
          <w:rFonts w:ascii="Sylfaen" w:hAnsi="Sylfaen" w:cs="Sylfaen"/>
        </w:rPr>
        <w:t>არსებულ</w:t>
      </w:r>
      <w:r w:rsidRPr="001352AB">
        <w:t xml:space="preserve"> </w:t>
      </w:r>
      <w:r w:rsidRPr="001352AB">
        <w:rPr>
          <w:rFonts w:ascii="Sylfaen" w:hAnsi="Sylfaen" w:cs="Sylfaen"/>
        </w:rPr>
        <w:t>ტერიტორიაზე</w:t>
      </w:r>
      <w:r w:rsidRPr="001352AB">
        <w:t xml:space="preserve">.  </w:t>
      </w:r>
      <w:r w:rsidRPr="001352AB">
        <w:rPr>
          <w:rFonts w:ascii="Sylfaen" w:hAnsi="Sylfaen" w:cs="Sylfaen"/>
        </w:rPr>
        <w:t>იგივე</w:t>
      </w:r>
      <w:r w:rsidRPr="001352AB">
        <w:t xml:space="preserve"> </w:t>
      </w:r>
      <w:r w:rsidRPr="001352AB">
        <w:rPr>
          <w:rFonts w:ascii="Sylfaen" w:hAnsi="Sylfaen" w:cs="Sylfaen"/>
        </w:rPr>
        <w:t>შედეგი</w:t>
      </w:r>
      <w:r w:rsidRPr="001352AB">
        <w:t xml:space="preserve"> </w:t>
      </w:r>
      <w:r w:rsidRPr="001352AB">
        <w:rPr>
          <w:rFonts w:ascii="Sylfaen" w:hAnsi="Sylfaen" w:cs="Sylfaen"/>
        </w:rPr>
        <w:t>შეიძლება</w:t>
      </w:r>
      <w:r w:rsidRPr="001352AB">
        <w:t xml:space="preserve"> </w:t>
      </w:r>
      <w:r w:rsidRPr="001352AB">
        <w:rPr>
          <w:rFonts w:ascii="Sylfaen" w:hAnsi="Sylfaen" w:cs="Sylfaen"/>
        </w:rPr>
        <w:t>მოყვეს</w:t>
      </w:r>
      <w:r w:rsidRPr="001352AB">
        <w:t xml:space="preserve"> </w:t>
      </w:r>
      <w:r w:rsidRPr="001352AB">
        <w:rPr>
          <w:rFonts w:ascii="Sylfaen" w:hAnsi="Sylfaen" w:cs="Sylfaen"/>
        </w:rPr>
        <w:t>ფერდობებიდან</w:t>
      </w:r>
      <w:r w:rsidRPr="001352AB">
        <w:t xml:space="preserve"> </w:t>
      </w:r>
      <w:r w:rsidRPr="001352AB">
        <w:rPr>
          <w:rFonts w:ascii="Sylfaen" w:hAnsi="Sylfaen" w:cs="Sylfaen"/>
        </w:rPr>
        <w:t>მცენარეული</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მოხსნას</w:t>
      </w:r>
      <w:r w:rsidRPr="001352AB">
        <w:t xml:space="preserve">. </w:t>
      </w:r>
      <w:r w:rsidRPr="001352AB">
        <w:rPr>
          <w:rFonts w:ascii="Sylfaen" w:hAnsi="Sylfaen" w:cs="Sylfaen"/>
        </w:rPr>
        <w:t>მცენარეული</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დაკარგვის</w:t>
      </w:r>
      <w:r w:rsidRPr="001352AB">
        <w:t xml:space="preserve"> </w:t>
      </w:r>
      <w:r w:rsidRPr="001352AB">
        <w:rPr>
          <w:rFonts w:ascii="Sylfaen" w:hAnsi="Sylfaen" w:cs="Sylfaen"/>
        </w:rPr>
        <w:t>გამო</w:t>
      </w:r>
      <w:r w:rsidRPr="001352AB">
        <w:t xml:space="preserve"> </w:t>
      </w:r>
      <w:r w:rsidRPr="001352AB">
        <w:rPr>
          <w:rFonts w:ascii="Sylfaen" w:hAnsi="Sylfaen" w:cs="Sylfaen"/>
        </w:rPr>
        <w:t>გააქტიურებული</w:t>
      </w:r>
      <w:r w:rsidRPr="001352AB">
        <w:t xml:space="preserve"> </w:t>
      </w:r>
      <w:r w:rsidRPr="001352AB">
        <w:rPr>
          <w:rFonts w:ascii="Sylfaen" w:hAnsi="Sylfaen" w:cs="Sylfaen"/>
        </w:rPr>
        <w:t>ეროზიის</w:t>
      </w:r>
      <w:r w:rsidRPr="001352AB">
        <w:t xml:space="preserve"> </w:t>
      </w:r>
      <w:r w:rsidRPr="001352AB">
        <w:rPr>
          <w:rFonts w:ascii="Sylfaen" w:hAnsi="Sylfaen" w:cs="Sylfaen"/>
        </w:rPr>
        <w:t>შედეგად</w:t>
      </w:r>
      <w:r w:rsidRPr="001352AB">
        <w:t xml:space="preserve"> </w:t>
      </w:r>
      <w:r w:rsidRPr="001352AB">
        <w:rPr>
          <w:rFonts w:ascii="Sylfaen" w:hAnsi="Sylfaen" w:cs="Sylfaen"/>
        </w:rPr>
        <w:t>ჩამოშლილმა</w:t>
      </w:r>
      <w:r w:rsidRPr="001352AB">
        <w:t xml:space="preserve">  </w:t>
      </w:r>
      <w:r w:rsidRPr="001352AB">
        <w:rPr>
          <w:rFonts w:ascii="Sylfaen" w:hAnsi="Sylfaen" w:cs="Sylfaen"/>
        </w:rPr>
        <w:t>მასამ</w:t>
      </w:r>
      <w:r w:rsidRPr="001352AB">
        <w:t xml:space="preserve"> </w:t>
      </w:r>
      <w:r w:rsidRPr="001352AB">
        <w:rPr>
          <w:rFonts w:ascii="Sylfaen" w:hAnsi="Sylfaen" w:cs="Sylfaen"/>
        </w:rPr>
        <w:t>შესაძლებელია</w:t>
      </w:r>
      <w:r w:rsidRPr="001352AB">
        <w:t xml:space="preserve"> </w:t>
      </w:r>
      <w:r w:rsidRPr="001352AB">
        <w:rPr>
          <w:rFonts w:ascii="Sylfaen" w:hAnsi="Sylfaen" w:cs="Sylfaen"/>
        </w:rPr>
        <w:t>მიმდებარე</w:t>
      </w:r>
      <w:r w:rsidRPr="001352AB">
        <w:t xml:space="preserve"> </w:t>
      </w:r>
      <w:r w:rsidRPr="001352AB">
        <w:rPr>
          <w:rFonts w:ascii="Sylfaen" w:hAnsi="Sylfaen" w:cs="Sylfaen"/>
        </w:rPr>
        <w:t>ტერიტორიაზე</w:t>
      </w:r>
      <w:r w:rsidRPr="001352AB">
        <w:t xml:space="preserve"> </w:t>
      </w:r>
      <w:r w:rsidRPr="001352AB">
        <w:rPr>
          <w:rFonts w:ascii="Sylfaen" w:hAnsi="Sylfaen" w:cs="Sylfaen"/>
        </w:rPr>
        <w:t>ნაყოფიერი</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და</w:t>
      </w:r>
      <w:r w:rsidRPr="001352AB">
        <w:t xml:space="preserve"> </w:t>
      </w:r>
      <w:r w:rsidRPr="001352AB">
        <w:rPr>
          <w:rFonts w:ascii="Sylfaen" w:hAnsi="Sylfaen" w:cs="Sylfaen"/>
        </w:rPr>
        <w:t>მცენარეული</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დაზიანება</w:t>
      </w:r>
      <w:r w:rsidRPr="001352AB">
        <w:t xml:space="preserve"> </w:t>
      </w:r>
      <w:r w:rsidRPr="001352AB">
        <w:rPr>
          <w:rFonts w:ascii="Sylfaen" w:hAnsi="Sylfaen" w:cs="Sylfaen"/>
        </w:rPr>
        <w:t>გამოიწვიოს</w:t>
      </w:r>
      <w:r w:rsidRPr="001352AB">
        <w:t>.</w:t>
      </w:r>
    </w:p>
    <w:p w14:paraId="3B9631EB" w14:textId="77777777" w:rsidR="00CD64B5" w:rsidRPr="001352AB" w:rsidRDefault="00CD64B5" w:rsidP="000E38C6">
      <w:pPr>
        <w:spacing w:before="120" w:after="120"/>
      </w:pPr>
      <w:r w:rsidRPr="001352AB">
        <w:rPr>
          <w:rFonts w:ascii="Sylfaen" w:hAnsi="Sylfaen" w:cs="Sylfaen"/>
        </w:rPr>
        <w:t>მცენარეულ</w:t>
      </w:r>
      <w:r w:rsidRPr="001352AB">
        <w:t xml:space="preserve"> </w:t>
      </w:r>
      <w:r w:rsidRPr="001352AB">
        <w:rPr>
          <w:rFonts w:ascii="Sylfaen" w:hAnsi="Sylfaen" w:cs="Sylfaen"/>
        </w:rPr>
        <w:t>საფარზე</w:t>
      </w:r>
      <w:r w:rsidRPr="001352AB">
        <w:t xml:space="preserve"> </w:t>
      </w:r>
      <w:r w:rsidRPr="001352AB">
        <w:rPr>
          <w:rFonts w:ascii="Sylfaen" w:hAnsi="Sylfaen" w:cs="Sylfaen"/>
        </w:rPr>
        <w:t>უარყოფითი</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შეიძლება</w:t>
      </w:r>
      <w:r w:rsidRPr="001352AB">
        <w:t xml:space="preserve"> </w:t>
      </w:r>
      <w:r w:rsidRPr="001352AB">
        <w:rPr>
          <w:rFonts w:ascii="Sylfaen" w:hAnsi="Sylfaen" w:cs="Sylfaen"/>
        </w:rPr>
        <w:t>იქონიოს</w:t>
      </w:r>
      <w:r w:rsidRPr="001352AB">
        <w:t xml:space="preserve"> </w:t>
      </w:r>
      <w:r w:rsidRPr="001352AB">
        <w:rPr>
          <w:rFonts w:ascii="Sylfaen" w:hAnsi="Sylfaen" w:cs="Sylfaen"/>
        </w:rPr>
        <w:t>ნაყოფიერი</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დაკარგვამ</w:t>
      </w:r>
      <w:r w:rsidRPr="001352AB">
        <w:t xml:space="preserve">, </w:t>
      </w:r>
      <w:r w:rsidRPr="001352AB">
        <w:rPr>
          <w:rFonts w:ascii="Sylfaen" w:hAnsi="Sylfaen" w:cs="Sylfaen"/>
        </w:rPr>
        <w:t>თუ</w:t>
      </w:r>
      <w:r w:rsidRPr="001352AB">
        <w:t xml:space="preserve"> </w:t>
      </w:r>
      <w:r w:rsidRPr="001352AB">
        <w:rPr>
          <w:rFonts w:ascii="Sylfaen" w:hAnsi="Sylfaen" w:cs="Sylfaen"/>
        </w:rPr>
        <w:t>მისი</w:t>
      </w:r>
      <w:r w:rsidRPr="001352AB">
        <w:t xml:space="preserve"> </w:t>
      </w:r>
      <w:r w:rsidRPr="001352AB">
        <w:rPr>
          <w:rFonts w:ascii="Sylfaen" w:hAnsi="Sylfaen" w:cs="Sylfaen"/>
        </w:rPr>
        <w:t>მართვა</w:t>
      </w:r>
      <w:r w:rsidRPr="001352AB">
        <w:t xml:space="preserve"> </w:t>
      </w:r>
      <w:r w:rsidRPr="001352AB">
        <w:rPr>
          <w:rFonts w:ascii="Sylfaen" w:hAnsi="Sylfaen" w:cs="Sylfaen"/>
        </w:rPr>
        <w:t>არ</w:t>
      </w:r>
      <w:r w:rsidRPr="001352AB">
        <w:t xml:space="preserve"> </w:t>
      </w:r>
      <w:r w:rsidRPr="001352AB">
        <w:rPr>
          <w:rFonts w:ascii="Sylfaen" w:hAnsi="Sylfaen" w:cs="Sylfaen"/>
        </w:rPr>
        <w:t>მოხდა</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ნაყოფიერი</w:t>
      </w:r>
      <w:r w:rsidRPr="001352AB">
        <w:t xml:space="preserve"> </w:t>
      </w:r>
      <w:r w:rsidRPr="001352AB">
        <w:rPr>
          <w:rFonts w:ascii="Sylfaen" w:hAnsi="Sylfaen" w:cs="Sylfaen"/>
        </w:rPr>
        <w:t>ფენის</w:t>
      </w:r>
      <w:r w:rsidRPr="001352AB">
        <w:t xml:space="preserve"> </w:t>
      </w:r>
      <w:r w:rsidRPr="001352AB">
        <w:rPr>
          <w:rFonts w:ascii="Sylfaen" w:hAnsi="Sylfaen" w:cs="Sylfaen"/>
        </w:rPr>
        <w:t>მოხსნის</w:t>
      </w:r>
      <w:r w:rsidRPr="001352AB">
        <w:t xml:space="preserve">, </w:t>
      </w:r>
      <w:r w:rsidRPr="001352AB">
        <w:rPr>
          <w:rFonts w:ascii="Sylfaen" w:hAnsi="Sylfaen" w:cs="Sylfaen"/>
        </w:rPr>
        <w:t>შენახვის</w:t>
      </w:r>
      <w:r w:rsidRPr="001352AB">
        <w:t xml:space="preserve">, </w:t>
      </w:r>
      <w:r w:rsidRPr="001352AB">
        <w:rPr>
          <w:rFonts w:ascii="Sylfaen" w:hAnsi="Sylfaen" w:cs="Sylfaen"/>
        </w:rPr>
        <w:t>გამოყენების</w:t>
      </w:r>
      <w:r w:rsidRPr="001352AB">
        <w:t xml:space="preserve"> </w:t>
      </w:r>
      <w:r w:rsidRPr="001352AB">
        <w:rPr>
          <w:rFonts w:ascii="Sylfaen" w:hAnsi="Sylfaen" w:cs="Sylfaen"/>
        </w:rPr>
        <w:t>წესების</w:t>
      </w:r>
      <w:r w:rsidRPr="001352AB">
        <w:t xml:space="preserve">  </w:t>
      </w:r>
      <w:r w:rsidRPr="001352AB">
        <w:rPr>
          <w:rFonts w:ascii="Sylfaen" w:hAnsi="Sylfaen" w:cs="Sylfaen"/>
        </w:rPr>
        <w:t>დაცვით</w:t>
      </w:r>
      <w:r w:rsidRPr="001352AB">
        <w:t xml:space="preserve">. </w:t>
      </w:r>
    </w:p>
    <w:p w14:paraId="0C05EB67" w14:textId="77777777" w:rsidR="00CD64B5" w:rsidRPr="001352AB" w:rsidRDefault="00CD64B5" w:rsidP="000E38C6">
      <w:pPr>
        <w:spacing w:before="120" w:after="120"/>
        <w:rPr>
          <w:lang w:eastAsia="en-US"/>
        </w:rPr>
      </w:pPr>
      <w:r w:rsidRPr="001352AB">
        <w:rPr>
          <w:rFonts w:ascii="Sylfaen" w:hAnsi="Sylfaen" w:cs="Sylfaen"/>
        </w:rPr>
        <w:t>პროექტი</w:t>
      </w:r>
      <w:r w:rsidRPr="001352AB">
        <w:t xml:space="preserve"> </w:t>
      </w:r>
      <w:r w:rsidRPr="001352AB">
        <w:rPr>
          <w:rFonts w:ascii="Sylfaen" w:hAnsi="Sylfaen" w:cs="Sylfaen"/>
        </w:rPr>
        <w:t>ძირითადად</w:t>
      </w:r>
      <w:r w:rsidRPr="001352AB">
        <w:t xml:space="preserve"> </w:t>
      </w:r>
      <w:r w:rsidRPr="001352AB">
        <w:rPr>
          <w:rFonts w:ascii="Sylfaen" w:hAnsi="Sylfaen" w:cs="Sylfaen"/>
        </w:rPr>
        <w:t>გავლენას</w:t>
      </w:r>
      <w:r w:rsidRPr="001352AB">
        <w:t xml:space="preserve"> </w:t>
      </w:r>
      <w:r w:rsidRPr="001352AB">
        <w:rPr>
          <w:rFonts w:ascii="Sylfaen" w:hAnsi="Sylfaen" w:cs="Sylfaen"/>
        </w:rPr>
        <w:t>მოახდენს</w:t>
      </w:r>
      <w:r w:rsidRPr="001352AB">
        <w:t xml:space="preserve"> </w:t>
      </w:r>
      <w:r w:rsidRPr="001352AB">
        <w:rPr>
          <w:rFonts w:ascii="Sylfaen" w:hAnsi="Sylfaen" w:cs="Sylfaen"/>
        </w:rPr>
        <w:t>სასოფლო</w:t>
      </w:r>
      <w:r w:rsidRPr="001352AB">
        <w:t>-</w:t>
      </w:r>
      <w:r w:rsidRPr="001352AB">
        <w:rPr>
          <w:rFonts w:ascii="Sylfaen" w:hAnsi="Sylfaen" w:cs="Sylfaen"/>
        </w:rPr>
        <w:t>სამეურნეო</w:t>
      </w:r>
      <w:r w:rsidRPr="001352AB">
        <w:t xml:space="preserve"> </w:t>
      </w:r>
      <w:r w:rsidRPr="001352AB">
        <w:rPr>
          <w:rFonts w:ascii="Sylfaen" w:hAnsi="Sylfaen" w:cs="Sylfaen"/>
        </w:rPr>
        <w:t>მიწებსა</w:t>
      </w:r>
      <w:r w:rsidRPr="001352AB">
        <w:t xml:space="preserve"> </w:t>
      </w:r>
      <w:r w:rsidRPr="001352AB">
        <w:rPr>
          <w:rFonts w:ascii="Sylfaen" w:hAnsi="Sylfaen" w:cs="Sylfaen"/>
        </w:rPr>
        <w:t>და</w:t>
      </w:r>
      <w:r w:rsidRPr="001352AB">
        <w:t xml:space="preserve"> </w:t>
      </w:r>
      <w:r w:rsidRPr="001352AB">
        <w:rPr>
          <w:rFonts w:ascii="Sylfaen" w:hAnsi="Sylfaen" w:cs="Sylfaen"/>
        </w:rPr>
        <w:t>მცენარეულ</w:t>
      </w:r>
      <w:r w:rsidRPr="001352AB">
        <w:t xml:space="preserve"> </w:t>
      </w:r>
      <w:r w:rsidRPr="001352AB">
        <w:rPr>
          <w:rFonts w:ascii="Sylfaen" w:hAnsi="Sylfaen" w:cs="Sylfaen"/>
        </w:rPr>
        <w:t>საფარზე</w:t>
      </w:r>
      <w:r w:rsidRPr="001352AB">
        <w:t xml:space="preserve"> </w:t>
      </w:r>
      <w:r w:rsidRPr="001352AB">
        <w:rPr>
          <w:rFonts w:ascii="Sylfaen" w:hAnsi="Sylfaen" w:cs="Sylfaen"/>
        </w:rPr>
        <w:t>გასხვისების</w:t>
      </w:r>
      <w:r w:rsidRPr="001352AB">
        <w:t xml:space="preserve"> </w:t>
      </w:r>
      <w:r w:rsidRPr="001352AB">
        <w:rPr>
          <w:rFonts w:ascii="Sylfaen" w:hAnsi="Sylfaen" w:cs="Sylfaen"/>
        </w:rPr>
        <w:t>ზოლში</w:t>
      </w:r>
      <w:r w:rsidRPr="001352AB">
        <w:t xml:space="preserve">. </w:t>
      </w:r>
    </w:p>
    <w:p w14:paraId="5A247887" w14:textId="77777777" w:rsidR="00CD64B5" w:rsidRPr="001352AB" w:rsidRDefault="00CD64B5" w:rsidP="000E38C6">
      <w:pPr>
        <w:spacing w:before="120" w:after="120"/>
        <w:rPr>
          <w:rFonts w:eastAsiaTheme="minorHAnsi"/>
        </w:rPr>
      </w:pPr>
      <w:r w:rsidRPr="001352AB">
        <w:rPr>
          <w:rFonts w:ascii="Sylfaen" w:eastAsiaTheme="minorHAnsi" w:hAnsi="Sylfaen" w:cs="Sylfaen"/>
        </w:rPr>
        <w:lastRenderedPageBreak/>
        <w:t>ზემოქმედების</w:t>
      </w:r>
      <w:r w:rsidRPr="001352AB">
        <w:rPr>
          <w:rFonts w:eastAsiaTheme="minorHAnsi"/>
        </w:rPr>
        <w:t xml:space="preserve"> </w:t>
      </w:r>
      <w:r w:rsidRPr="001352AB">
        <w:rPr>
          <w:rFonts w:ascii="Sylfaen" w:eastAsiaTheme="minorHAnsi" w:hAnsi="Sylfaen" w:cs="Sylfaen"/>
        </w:rPr>
        <w:t>აღწერა</w:t>
      </w:r>
      <w:r w:rsidRPr="001352AB">
        <w:rPr>
          <w:rFonts w:eastAsiaTheme="minorHAnsi"/>
        </w:rPr>
        <w:t xml:space="preserve"> </w:t>
      </w:r>
      <w:r w:rsidRPr="001352AB">
        <w:rPr>
          <w:rFonts w:ascii="Sylfaen" w:eastAsiaTheme="minorHAnsi" w:hAnsi="Sylfaen" w:cs="Sylfaen"/>
        </w:rPr>
        <w:t>გზის</w:t>
      </w:r>
      <w:r w:rsidRPr="001352AB">
        <w:rPr>
          <w:rFonts w:eastAsiaTheme="minorHAnsi"/>
        </w:rPr>
        <w:t xml:space="preserve"> </w:t>
      </w:r>
      <w:r w:rsidRPr="001352AB">
        <w:rPr>
          <w:rFonts w:ascii="Sylfaen" w:eastAsiaTheme="minorHAnsi" w:hAnsi="Sylfaen" w:cs="Sylfaen"/>
        </w:rPr>
        <w:t>მონაკვეთების</w:t>
      </w:r>
      <w:r w:rsidRPr="001352AB">
        <w:rPr>
          <w:rFonts w:eastAsiaTheme="minorHAnsi"/>
        </w:rPr>
        <w:t xml:space="preserve"> </w:t>
      </w:r>
      <w:r w:rsidRPr="001352AB">
        <w:rPr>
          <w:rFonts w:ascii="Sylfaen" w:eastAsiaTheme="minorHAnsi" w:hAnsi="Sylfaen" w:cs="Sylfaen"/>
        </w:rPr>
        <w:t>მიხედვით</w:t>
      </w:r>
      <w:r w:rsidRPr="001352AB">
        <w:rPr>
          <w:rFonts w:eastAsiaTheme="minorHAnsi"/>
        </w:rPr>
        <w:t xml:space="preserve"> </w:t>
      </w:r>
      <w:r w:rsidRPr="001352AB">
        <w:rPr>
          <w:rFonts w:ascii="Sylfaen" w:eastAsiaTheme="minorHAnsi" w:hAnsi="Sylfaen" w:cs="Sylfaen"/>
        </w:rPr>
        <w:t>ქვემოთაა</w:t>
      </w:r>
      <w:r w:rsidRPr="001352AB">
        <w:rPr>
          <w:rFonts w:eastAsiaTheme="minorHAnsi"/>
        </w:rPr>
        <w:t xml:space="preserve"> </w:t>
      </w:r>
      <w:r w:rsidRPr="001352AB">
        <w:rPr>
          <w:rFonts w:ascii="Sylfaen" w:eastAsiaTheme="minorHAnsi" w:hAnsi="Sylfaen" w:cs="Sylfaen"/>
        </w:rPr>
        <w:t>მოცემული</w:t>
      </w:r>
      <w:r w:rsidRPr="001352AB">
        <w:rPr>
          <w:rFonts w:eastAsiaTheme="minorHAnsi"/>
        </w:rPr>
        <w:t xml:space="preserve">. </w:t>
      </w:r>
    </w:p>
    <w:p w14:paraId="4430B007" w14:textId="77777777" w:rsidR="00CD64B5" w:rsidRPr="001352AB" w:rsidRDefault="00CD64B5" w:rsidP="000E38C6">
      <w:pPr>
        <w:spacing w:before="120" w:after="120"/>
        <w:rPr>
          <w:rFonts w:eastAsiaTheme="minorHAnsi"/>
        </w:rPr>
      </w:pPr>
      <w:r w:rsidRPr="001352AB">
        <w:rPr>
          <w:rFonts w:ascii="Sylfaen" w:hAnsi="Sylfaen" w:cs="Sylfaen"/>
        </w:rPr>
        <w:t>ალაზნის</w:t>
      </w:r>
      <w:r w:rsidRPr="001352AB">
        <w:t xml:space="preserve"> </w:t>
      </w:r>
      <w:r w:rsidRPr="001352AB">
        <w:rPr>
          <w:rFonts w:ascii="Sylfaen" w:hAnsi="Sylfaen" w:cs="Sylfaen"/>
        </w:rPr>
        <w:t>ვაკე</w:t>
      </w:r>
      <w:r w:rsidRPr="001352AB">
        <w:t xml:space="preserve"> </w:t>
      </w:r>
      <w:r w:rsidRPr="001352AB">
        <w:rPr>
          <w:rFonts w:ascii="Sylfaen" w:hAnsi="Sylfaen" w:cs="Sylfaen"/>
        </w:rPr>
        <w:t>თითქმის</w:t>
      </w:r>
      <w:r w:rsidRPr="001352AB">
        <w:t xml:space="preserve"> </w:t>
      </w:r>
      <w:r w:rsidRPr="001352AB">
        <w:rPr>
          <w:rFonts w:ascii="Sylfaen" w:hAnsi="Sylfaen" w:cs="Sylfaen"/>
        </w:rPr>
        <w:t>მთლიანად</w:t>
      </w:r>
      <w:r w:rsidRPr="001352AB">
        <w:t xml:space="preserve"> </w:t>
      </w:r>
      <w:r w:rsidRPr="001352AB">
        <w:rPr>
          <w:rFonts w:ascii="Sylfaen" w:hAnsi="Sylfaen" w:cs="Sylfaen"/>
        </w:rPr>
        <w:t>ათვისებულია</w:t>
      </w:r>
      <w:r w:rsidRPr="001352AB">
        <w:t xml:space="preserve">. </w:t>
      </w:r>
      <w:r w:rsidRPr="001352AB">
        <w:rPr>
          <w:rFonts w:ascii="Sylfaen" w:hAnsi="Sylfaen" w:cs="Sylfaen"/>
        </w:rPr>
        <w:t>პირველადი</w:t>
      </w:r>
      <w:r w:rsidRPr="001352AB">
        <w:t xml:space="preserve"> </w:t>
      </w:r>
      <w:r w:rsidRPr="001352AB">
        <w:rPr>
          <w:rFonts w:ascii="Sylfaen" w:hAnsi="Sylfaen" w:cs="Sylfaen"/>
        </w:rPr>
        <w:t>მცენარეულობა</w:t>
      </w:r>
      <w:r w:rsidRPr="001352AB">
        <w:t xml:space="preserve"> </w:t>
      </w:r>
      <w:r w:rsidRPr="001352AB">
        <w:rPr>
          <w:rFonts w:ascii="Sylfaen" w:hAnsi="Sylfaen" w:cs="Sylfaen"/>
        </w:rPr>
        <w:t>მხოლოდ</w:t>
      </w:r>
      <w:r w:rsidRPr="001352AB">
        <w:t xml:space="preserve"> </w:t>
      </w:r>
      <w:r w:rsidRPr="001352AB">
        <w:rPr>
          <w:rFonts w:ascii="Sylfaen" w:hAnsi="Sylfaen" w:cs="Sylfaen"/>
        </w:rPr>
        <w:t>ალაზნის</w:t>
      </w:r>
      <w:r w:rsidRPr="001352AB">
        <w:t xml:space="preserve"> </w:t>
      </w:r>
      <w:r w:rsidRPr="001352AB">
        <w:rPr>
          <w:rFonts w:ascii="Sylfaen" w:hAnsi="Sylfaen" w:cs="Sylfaen"/>
        </w:rPr>
        <w:t>პირა</w:t>
      </w:r>
      <w:r w:rsidRPr="001352AB">
        <w:t xml:space="preserve"> </w:t>
      </w:r>
      <w:r w:rsidRPr="001352AB">
        <w:rPr>
          <w:rFonts w:ascii="Sylfaen" w:hAnsi="Sylfaen" w:cs="Sylfaen"/>
        </w:rPr>
        <w:t>ნაწილშია</w:t>
      </w:r>
      <w:r w:rsidRPr="001352AB">
        <w:t xml:space="preserve"> </w:t>
      </w:r>
      <w:r w:rsidRPr="001352AB">
        <w:rPr>
          <w:rFonts w:ascii="Sylfaen" w:hAnsi="Sylfaen" w:cs="Sylfaen"/>
        </w:rPr>
        <w:t>შემორჩენილი</w:t>
      </w:r>
      <w:r w:rsidRPr="001352AB">
        <w:t xml:space="preserve"> </w:t>
      </w:r>
      <w:r w:rsidRPr="001352AB">
        <w:rPr>
          <w:rFonts w:ascii="Sylfaen" w:hAnsi="Sylfaen" w:cs="Sylfaen"/>
        </w:rPr>
        <w:t>ჭალის</w:t>
      </w:r>
      <w:r w:rsidRPr="001352AB">
        <w:t xml:space="preserve"> </w:t>
      </w:r>
      <w:r w:rsidRPr="001352AB">
        <w:rPr>
          <w:rFonts w:ascii="Sylfaen" w:hAnsi="Sylfaen" w:cs="Sylfaen"/>
        </w:rPr>
        <w:t>ტყის</w:t>
      </w:r>
      <w:r w:rsidRPr="001352AB">
        <w:t xml:space="preserve"> </w:t>
      </w:r>
      <w:r w:rsidRPr="001352AB">
        <w:rPr>
          <w:rFonts w:ascii="Sylfaen" w:hAnsi="Sylfaen" w:cs="Sylfaen"/>
        </w:rPr>
        <w:t>ფრაგმენტების</w:t>
      </w:r>
      <w:r w:rsidRPr="001352AB">
        <w:t xml:space="preserve"> </w:t>
      </w:r>
      <w:r w:rsidRPr="001352AB">
        <w:rPr>
          <w:rFonts w:ascii="Sylfaen" w:hAnsi="Sylfaen" w:cs="Sylfaen"/>
        </w:rPr>
        <w:t>სახით</w:t>
      </w:r>
      <w:r w:rsidRPr="001352AB">
        <w:t xml:space="preserve">. </w:t>
      </w:r>
      <w:r w:rsidRPr="001352AB">
        <w:rPr>
          <w:rFonts w:ascii="Sylfaen" w:hAnsi="Sylfaen" w:cs="Sylfaen"/>
        </w:rPr>
        <w:t>ნარგავ</w:t>
      </w:r>
      <w:r w:rsidRPr="001352AB">
        <w:t>-</w:t>
      </w:r>
      <w:r w:rsidRPr="001352AB">
        <w:rPr>
          <w:rFonts w:ascii="Sylfaen" w:hAnsi="Sylfaen" w:cs="Sylfaen"/>
        </w:rPr>
        <w:t>ნათესებისაგან</w:t>
      </w:r>
      <w:r w:rsidRPr="001352AB">
        <w:t xml:space="preserve"> </w:t>
      </w:r>
      <w:r w:rsidRPr="001352AB">
        <w:rPr>
          <w:rFonts w:ascii="Sylfaen" w:hAnsi="Sylfaen" w:cs="Sylfaen"/>
        </w:rPr>
        <w:t>თავისუფალ</w:t>
      </w:r>
      <w:r w:rsidRPr="001352AB">
        <w:t xml:space="preserve"> </w:t>
      </w:r>
      <w:r w:rsidRPr="001352AB">
        <w:rPr>
          <w:rFonts w:ascii="Sylfaen" w:hAnsi="Sylfaen" w:cs="Sylfaen"/>
        </w:rPr>
        <w:t>სივრცეებზე</w:t>
      </w:r>
      <w:r w:rsidRPr="001352AB">
        <w:t xml:space="preserve"> </w:t>
      </w:r>
      <w:r w:rsidRPr="001352AB">
        <w:rPr>
          <w:rFonts w:ascii="Sylfaen" w:hAnsi="Sylfaen" w:cs="Sylfaen"/>
        </w:rPr>
        <w:t>გავრცელებულია</w:t>
      </w:r>
      <w:r w:rsidRPr="001352AB">
        <w:t xml:space="preserve"> </w:t>
      </w:r>
      <w:r w:rsidRPr="001352AB">
        <w:rPr>
          <w:rFonts w:ascii="Sylfaen" w:hAnsi="Sylfaen" w:cs="Sylfaen"/>
        </w:rPr>
        <w:t>ტყესტეპის</w:t>
      </w:r>
      <w:r w:rsidRPr="001352AB">
        <w:t xml:space="preserve"> </w:t>
      </w:r>
      <w:r w:rsidRPr="001352AB">
        <w:rPr>
          <w:rFonts w:ascii="Sylfaen" w:hAnsi="Sylfaen" w:cs="Sylfaen"/>
        </w:rPr>
        <w:t>მცენარეულობა</w:t>
      </w:r>
      <w:r w:rsidRPr="001352AB">
        <w:t xml:space="preserve">. </w:t>
      </w:r>
      <w:r w:rsidRPr="001352AB">
        <w:rPr>
          <w:rFonts w:ascii="Sylfaen" w:hAnsi="Sylfaen" w:cs="Sylfaen"/>
        </w:rPr>
        <w:t>სადაც</w:t>
      </w:r>
      <w:r w:rsidRPr="001352AB">
        <w:t xml:space="preserve"> </w:t>
      </w:r>
      <w:r w:rsidRPr="001352AB">
        <w:rPr>
          <w:rFonts w:ascii="Sylfaen" w:hAnsi="Sylfaen" w:cs="Sylfaen"/>
        </w:rPr>
        <w:t>ერთმანეთს</w:t>
      </w:r>
      <w:r w:rsidRPr="001352AB">
        <w:t xml:space="preserve"> </w:t>
      </w:r>
      <w:r w:rsidRPr="001352AB">
        <w:rPr>
          <w:rFonts w:ascii="Sylfaen" w:hAnsi="Sylfaen" w:cs="Sylfaen"/>
        </w:rPr>
        <w:t>ცვლის</w:t>
      </w:r>
      <w:r w:rsidRPr="001352AB">
        <w:t xml:space="preserve"> </w:t>
      </w:r>
      <w:r w:rsidRPr="001352AB">
        <w:rPr>
          <w:rFonts w:ascii="Sylfaen" w:hAnsi="Sylfaen" w:cs="Sylfaen"/>
        </w:rPr>
        <w:t>ბუჩქნარებისა</w:t>
      </w:r>
      <w:r w:rsidRPr="001352AB">
        <w:t xml:space="preserve"> </w:t>
      </w:r>
      <w:r w:rsidRPr="001352AB">
        <w:rPr>
          <w:rFonts w:ascii="Sylfaen" w:hAnsi="Sylfaen" w:cs="Sylfaen"/>
        </w:rPr>
        <w:t>და</w:t>
      </w:r>
      <w:r w:rsidRPr="001352AB">
        <w:t xml:space="preserve"> </w:t>
      </w:r>
      <w:r w:rsidRPr="001352AB">
        <w:rPr>
          <w:rFonts w:ascii="Sylfaen" w:hAnsi="Sylfaen" w:cs="Sylfaen"/>
        </w:rPr>
        <w:t>ტყის</w:t>
      </w:r>
      <w:r w:rsidRPr="001352AB">
        <w:t xml:space="preserve"> </w:t>
      </w:r>
      <w:r w:rsidRPr="001352AB">
        <w:rPr>
          <w:rFonts w:ascii="Sylfaen" w:hAnsi="Sylfaen" w:cs="Sylfaen"/>
        </w:rPr>
        <w:t>შემდგომო</w:t>
      </w:r>
      <w:r w:rsidRPr="001352AB">
        <w:t xml:space="preserve"> </w:t>
      </w:r>
      <w:r w:rsidRPr="001352AB">
        <w:rPr>
          <w:rFonts w:ascii="Sylfaen" w:hAnsi="Sylfaen" w:cs="Sylfaen"/>
        </w:rPr>
        <w:t>ბალახეული</w:t>
      </w:r>
      <w:r w:rsidRPr="001352AB">
        <w:t xml:space="preserve"> </w:t>
      </w:r>
      <w:r w:rsidRPr="001352AB">
        <w:rPr>
          <w:rFonts w:ascii="Sylfaen" w:hAnsi="Sylfaen" w:cs="Sylfaen"/>
        </w:rPr>
        <w:t>ცენუზები</w:t>
      </w:r>
      <w:r w:rsidRPr="001352AB">
        <w:t xml:space="preserve">. </w:t>
      </w:r>
      <w:r w:rsidRPr="001352AB">
        <w:rPr>
          <w:rFonts w:ascii="Sylfaen" w:hAnsi="Sylfaen" w:cs="Sylfaen"/>
        </w:rPr>
        <w:t>გომბორის</w:t>
      </w:r>
      <w:r w:rsidRPr="001352AB">
        <w:t xml:space="preserve"> </w:t>
      </w:r>
      <w:r w:rsidRPr="001352AB">
        <w:rPr>
          <w:rFonts w:ascii="Sylfaen" w:hAnsi="Sylfaen" w:cs="Sylfaen"/>
        </w:rPr>
        <w:t>ქედის</w:t>
      </w:r>
      <w:r w:rsidRPr="001352AB">
        <w:t xml:space="preserve"> </w:t>
      </w:r>
      <w:r w:rsidRPr="001352AB">
        <w:rPr>
          <w:rFonts w:ascii="Sylfaen" w:hAnsi="Sylfaen" w:cs="Sylfaen"/>
        </w:rPr>
        <w:t>მთისწინეთი</w:t>
      </w:r>
      <w:r w:rsidRPr="001352AB">
        <w:t xml:space="preserve"> </w:t>
      </w:r>
      <w:r w:rsidRPr="001352AB">
        <w:rPr>
          <w:rFonts w:ascii="Sylfaen" w:hAnsi="Sylfaen" w:cs="Sylfaen"/>
        </w:rPr>
        <w:t>შემოსილია</w:t>
      </w:r>
      <w:r w:rsidRPr="001352AB">
        <w:t xml:space="preserve"> </w:t>
      </w:r>
      <w:r w:rsidRPr="001352AB">
        <w:rPr>
          <w:rFonts w:ascii="Sylfaen" w:hAnsi="Sylfaen" w:cs="Sylfaen"/>
        </w:rPr>
        <w:t>ძეძვით</w:t>
      </w:r>
      <w:r w:rsidRPr="001352AB">
        <w:t xml:space="preserve">, </w:t>
      </w:r>
      <w:r w:rsidRPr="001352AB">
        <w:rPr>
          <w:rFonts w:ascii="Sylfaen" w:hAnsi="Sylfaen" w:cs="Sylfaen"/>
        </w:rPr>
        <w:t>ჯაგრცხილით</w:t>
      </w:r>
      <w:r w:rsidRPr="001352AB">
        <w:t xml:space="preserve">, </w:t>
      </w:r>
      <w:r w:rsidRPr="001352AB">
        <w:rPr>
          <w:rFonts w:ascii="Sylfaen" w:hAnsi="Sylfaen" w:cs="Sylfaen"/>
        </w:rPr>
        <w:t>კუნელით</w:t>
      </w:r>
      <w:r w:rsidRPr="001352AB">
        <w:t xml:space="preserve">, </w:t>
      </w:r>
      <w:r w:rsidRPr="001352AB">
        <w:rPr>
          <w:rFonts w:ascii="Sylfaen" w:hAnsi="Sylfaen" w:cs="Sylfaen"/>
        </w:rPr>
        <w:t>ასკილით</w:t>
      </w:r>
      <w:r w:rsidRPr="001352AB">
        <w:t xml:space="preserve">, </w:t>
      </w:r>
      <w:r w:rsidRPr="001352AB">
        <w:rPr>
          <w:rFonts w:ascii="Sylfaen" w:hAnsi="Sylfaen" w:cs="Sylfaen"/>
        </w:rPr>
        <w:t>შავჯაგათი</w:t>
      </w:r>
      <w:r w:rsidRPr="001352AB">
        <w:t xml:space="preserve"> </w:t>
      </w:r>
      <w:r w:rsidRPr="001352AB">
        <w:rPr>
          <w:rFonts w:ascii="Sylfaen" w:hAnsi="Sylfaen" w:cs="Sylfaen"/>
        </w:rPr>
        <w:t>და</w:t>
      </w:r>
      <w:r w:rsidRPr="001352AB">
        <w:t xml:space="preserve"> </w:t>
      </w:r>
      <w:r w:rsidRPr="001352AB">
        <w:rPr>
          <w:rFonts w:ascii="Sylfaen" w:hAnsi="Sylfaen" w:cs="Sylfaen"/>
        </w:rPr>
        <w:t>სხვა</w:t>
      </w:r>
      <w:r w:rsidRPr="001352AB">
        <w:t xml:space="preserve">. </w:t>
      </w:r>
    </w:p>
    <w:p w14:paraId="1ADDE658" w14:textId="77777777" w:rsidR="00CD64B5" w:rsidRPr="001352AB" w:rsidRDefault="00CD64B5" w:rsidP="000E38C6">
      <w:pPr>
        <w:spacing w:before="120" w:after="120"/>
      </w:pPr>
      <w:r w:rsidRPr="001352AB">
        <w:rPr>
          <w:rFonts w:ascii="Sylfaen" w:hAnsi="Sylfaen" w:cs="Sylfaen"/>
        </w:rPr>
        <w:t>მოცემული</w:t>
      </w:r>
      <w:r w:rsidRPr="001352AB">
        <w:t xml:space="preserve"> </w:t>
      </w:r>
      <w:r w:rsidRPr="001352AB">
        <w:rPr>
          <w:rFonts w:ascii="Sylfaen" w:hAnsi="Sylfaen" w:cs="Sylfaen"/>
        </w:rPr>
        <w:t>ტრანსექტი</w:t>
      </w:r>
      <w:r w:rsidRPr="001352AB">
        <w:t xml:space="preserve"> </w:t>
      </w:r>
      <w:r w:rsidRPr="001352AB">
        <w:rPr>
          <w:rFonts w:ascii="Sylfaen" w:hAnsi="Sylfaen" w:cs="Sylfaen"/>
        </w:rPr>
        <w:t>წარმოადგენს</w:t>
      </w:r>
      <w:r w:rsidRPr="001352AB">
        <w:t xml:space="preserve"> </w:t>
      </w:r>
      <w:r w:rsidRPr="001352AB">
        <w:rPr>
          <w:rFonts w:ascii="Sylfaen" w:hAnsi="Sylfaen" w:cs="Sylfaen"/>
        </w:rPr>
        <w:t>კაკლის</w:t>
      </w:r>
      <w:r w:rsidRPr="001352AB">
        <w:t xml:space="preserve"> </w:t>
      </w:r>
      <w:r w:rsidRPr="001352AB">
        <w:rPr>
          <w:rFonts w:ascii="Sylfaen" w:hAnsi="Sylfaen" w:cs="Sylfaen"/>
        </w:rPr>
        <w:t>ხის</w:t>
      </w:r>
      <w:r w:rsidRPr="001352AB">
        <w:t xml:space="preserve"> (Juglans regia L.)  </w:t>
      </w:r>
      <w:r w:rsidRPr="001352AB">
        <w:rPr>
          <w:rFonts w:ascii="Sylfaen" w:hAnsi="Sylfaen" w:cs="Sylfaen"/>
        </w:rPr>
        <w:t>ჰაბიტატს</w:t>
      </w:r>
      <w:r w:rsidRPr="001352AB">
        <w:t xml:space="preserve">, </w:t>
      </w:r>
      <w:r w:rsidRPr="001352AB">
        <w:rPr>
          <w:rFonts w:ascii="Sylfaen" w:hAnsi="Sylfaen" w:cs="Sylfaen"/>
        </w:rPr>
        <w:t>რომელიც</w:t>
      </w:r>
      <w:r w:rsidRPr="001352AB">
        <w:t xml:space="preserve"> </w:t>
      </w:r>
      <w:r w:rsidRPr="001352AB">
        <w:rPr>
          <w:rFonts w:ascii="Sylfaen" w:hAnsi="Sylfaen" w:cs="Sylfaen"/>
        </w:rPr>
        <w:t>შეტანილია</w:t>
      </w:r>
      <w:r w:rsidRPr="001352AB">
        <w:t xml:space="preserve"> </w:t>
      </w:r>
      <w:r w:rsidRPr="001352AB">
        <w:rPr>
          <w:rFonts w:ascii="Sylfaen" w:hAnsi="Sylfaen" w:cs="Sylfaen"/>
        </w:rPr>
        <w:t>საქართველოს</w:t>
      </w:r>
      <w:r w:rsidRPr="001352AB">
        <w:t xml:space="preserve"> </w:t>
      </w:r>
      <w:r w:rsidRPr="001352AB">
        <w:rPr>
          <w:rFonts w:ascii="Sylfaen" w:hAnsi="Sylfaen" w:cs="Sylfaen"/>
        </w:rPr>
        <w:t>წითელ</w:t>
      </w:r>
      <w:r w:rsidRPr="001352AB">
        <w:t xml:space="preserve"> </w:t>
      </w:r>
      <w:r w:rsidRPr="001352AB">
        <w:rPr>
          <w:rFonts w:ascii="Sylfaen" w:hAnsi="Sylfaen" w:cs="Sylfaen"/>
        </w:rPr>
        <w:t>ნუსხაში</w:t>
      </w:r>
      <w:r w:rsidRPr="001352AB">
        <w:t xml:space="preserve">. </w:t>
      </w:r>
      <w:r w:rsidRPr="001352AB">
        <w:rPr>
          <w:rFonts w:ascii="Sylfaen" w:hAnsi="Sylfaen" w:cs="Sylfaen"/>
        </w:rPr>
        <w:t>ასევე</w:t>
      </w:r>
      <w:r w:rsidRPr="001352AB">
        <w:t xml:space="preserve">, </w:t>
      </w:r>
      <w:r w:rsidRPr="001352AB">
        <w:rPr>
          <w:rFonts w:ascii="Sylfaen" w:hAnsi="Sylfaen" w:cs="Sylfaen"/>
        </w:rPr>
        <w:t>როგორც</w:t>
      </w:r>
      <w:r w:rsidRPr="001352AB">
        <w:t xml:space="preserve"> </w:t>
      </w:r>
      <w:r w:rsidRPr="001352AB">
        <w:rPr>
          <w:rFonts w:ascii="Sylfaen" w:hAnsi="Sylfaen" w:cs="Sylfaen"/>
        </w:rPr>
        <w:t>ზემოთ</w:t>
      </w:r>
      <w:r w:rsidRPr="001352AB">
        <w:t xml:space="preserve"> </w:t>
      </w:r>
      <w:r w:rsidRPr="001352AB">
        <w:rPr>
          <w:rFonts w:ascii="Sylfaen" w:hAnsi="Sylfaen" w:cs="Sylfaen"/>
        </w:rPr>
        <w:t>ავღნიშნე</w:t>
      </w:r>
      <w:r w:rsidRPr="001352AB">
        <w:t xml:space="preserve"> </w:t>
      </w:r>
      <w:r w:rsidRPr="001352AB">
        <w:rPr>
          <w:rFonts w:ascii="Sylfaen" w:hAnsi="Sylfaen" w:cs="Sylfaen"/>
        </w:rPr>
        <w:t>არსებული</w:t>
      </w:r>
      <w:r w:rsidRPr="001352AB">
        <w:t xml:space="preserve"> </w:t>
      </w:r>
      <w:r w:rsidRPr="001352AB">
        <w:rPr>
          <w:rFonts w:ascii="Sylfaen" w:hAnsi="Sylfaen" w:cs="Sylfaen"/>
        </w:rPr>
        <w:t>გზა</w:t>
      </w:r>
      <w:r w:rsidRPr="001352AB">
        <w:t xml:space="preserve"> </w:t>
      </w:r>
      <w:r w:rsidRPr="001352AB">
        <w:rPr>
          <w:rFonts w:ascii="Sylfaen" w:hAnsi="Sylfaen" w:cs="Sylfaen"/>
        </w:rPr>
        <w:t>გაჰყავდათ</w:t>
      </w:r>
      <w:r w:rsidRPr="001352AB">
        <w:t xml:space="preserve"> </w:t>
      </w:r>
      <w:r w:rsidRPr="001352AB">
        <w:rPr>
          <w:rFonts w:ascii="Sylfaen" w:hAnsi="Sylfaen" w:cs="Sylfaen"/>
        </w:rPr>
        <w:t>საბჭოთა</w:t>
      </w:r>
      <w:r w:rsidRPr="001352AB">
        <w:t xml:space="preserve"> </w:t>
      </w:r>
      <w:r w:rsidRPr="001352AB">
        <w:rPr>
          <w:rFonts w:ascii="Sylfaen" w:hAnsi="Sylfaen" w:cs="Sylfaen"/>
        </w:rPr>
        <w:t>კავშირის</w:t>
      </w:r>
      <w:r w:rsidRPr="001352AB">
        <w:t xml:space="preserve"> </w:t>
      </w:r>
      <w:r w:rsidRPr="001352AB">
        <w:rPr>
          <w:rFonts w:ascii="Sylfaen" w:hAnsi="Sylfaen" w:cs="Sylfaen"/>
        </w:rPr>
        <w:t>დროს</w:t>
      </w:r>
      <w:r w:rsidRPr="001352AB">
        <w:t xml:space="preserve">, </w:t>
      </w:r>
      <w:r w:rsidRPr="001352AB">
        <w:rPr>
          <w:rFonts w:ascii="Sylfaen" w:hAnsi="Sylfaen" w:cs="Sylfaen"/>
        </w:rPr>
        <w:t>რის</w:t>
      </w:r>
      <w:r w:rsidRPr="001352AB">
        <w:t xml:space="preserve"> </w:t>
      </w:r>
      <w:r w:rsidRPr="001352AB">
        <w:rPr>
          <w:rFonts w:ascii="Sylfaen" w:hAnsi="Sylfaen" w:cs="Sylfaen"/>
        </w:rPr>
        <w:t>შემდეგაც</w:t>
      </w:r>
      <w:r w:rsidRPr="001352AB">
        <w:t xml:space="preserve"> </w:t>
      </w:r>
      <w:r w:rsidRPr="001352AB">
        <w:rPr>
          <w:rFonts w:ascii="Sylfaen" w:hAnsi="Sylfaen" w:cs="Sylfaen"/>
        </w:rPr>
        <w:t>მას</w:t>
      </w:r>
      <w:r w:rsidRPr="001352AB">
        <w:t xml:space="preserve"> </w:t>
      </w:r>
      <w:r w:rsidRPr="001352AB">
        <w:rPr>
          <w:rFonts w:ascii="Sylfaen" w:hAnsi="Sylfaen" w:cs="Sylfaen"/>
        </w:rPr>
        <w:t>იყენებენ</w:t>
      </w:r>
      <w:r w:rsidRPr="001352AB">
        <w:t xml:space="preserve"> </w:t>
      </w:r>
      <w:r w:rsidRPr="001352AB">
        <w:rPr>
          <w:rFonts w:ascii="Sylfaen" w:hAnsi="Sylfaen" w:cs="Sylfaen"/>
        </w:rPr>
        <w:t>ადგილობრივი</w:t>
      </w:r>
      <w:r w:rsidRPr="001352AB">
        <w:t xml:space="preserve"> </w:t>
      </w:r>
      <w:r w:rsidRPr="001352AB">
        <w:rPr>
          <w:rFonts w:ascii="Sylfaen" w:hAnsi="Sylfaen" w:cs="Sylfaen"/>
        </w:rPr>
        <w:t>ფერმერები</w:t>
      </w:r>
      <w:r w:rsidRPr="001352AB">
        <w:t xml:space="preserve"> </w:t>
      </w:r>
      <w:r w:rsidRPr="001352AB">
        <w:rPr>
          <w:rFonts w:ascii="Sylfaen" w:hAnsi="Sylfaen" w:cs="Sylfaen"/>
        </w:rPr>
        <w:t>თავიანთ</w:t>
      </w:r>
      <w:r w:rsidRPr="001352AB">
        <w:t xml:space="preserve"> </w:t>
      </w:r>
      <w:r w:rsidRPr="001352AB">
        <w:rPr>
          <w:rFonts w:ascii="Sylfaen" w:hAnsi="Sylfaen" w:cs="Sylfaen"/>
        </w:rPr>
        <w:t>სახნავ</w:t>
      </w:r>
      <w:r w:rsidRPr="001352AB">
        <w:t>-</w:t>
      </w:r>
      <w:r w:rsidRPr="001352AB">
        <w:rPr>
          <w:rFonts w:ascii="Sylfaen" w:hAnsi="Sylfaen" w:cs="Sylfaen"/>
        </w:rPr>
        <w:t>სათეს</w:t>
      </w:r>
      <w:r w:rsidRPr="001352AB">
        <w:t xml:space="preserve"> </w:t>
      </w:r>
      <w:r w:rsidRPr="001352AB">
        <w:rPr>
          <w:rFonts w:ascii="Sylfaen" w:hAnsi="Sylfaen" w:cs="Sylfaen"/>
        </w:rPr>
        <w:t>მიწებთან</w:t>
      </w:r>
      <w:r w:rsidRPr="001352AB">
        <w:t xml:space="preserve"> </w:t>
      </w:r>
      <w:r w:rsidRPr="001352AB">
        <w:rPr>
          <w:rFonts w:ascii="Sylfaen" w:hAnsi="Sylfaen" w:cs="Sylfaen"/>
        </w:rPr>
        <w:t>მისასვლელად</w:t>
      </w:r>
      <w:r w:rsidRPr="001352AB">
        <w:t xml:space="preserve">, </w:t>
      </w:r>
      <w:r w:rsidRPr="001352AB">
        <w:rPr>
          <w:rFonts w:ascii="Sylfaen" w:hAnsi="Sylfaen" w:cs="Sylfaen"/>
        </w:rPr>
        <w:t>რამაც</w:t>
      </w:r>
      <w:r w:rsidRPr="001352AB">
        <w:t xml:space="preserve">  </w:t>
      </w:r>
      <w:r w:rsidRPr="001352AB">
        <w:rPr>
          <w:rFonts w:ascii="Sylfaen" w:hAnsi="Sylfaen" w:cs="Sylfaen"/>
        </w:rPr>
        <w:t>გზის</w:t>
      </w:r>
      <w:r w:rsidRPr="001352AB">
        <w:t xml:space="preserve"> </w:t>
      </w:r>
      <w:r w:rsidRPr="001352AB">
        <w:rPr>
          <w:rFonts w:ascii="Sylfaen" w:hAnsi="Sylfaen" w:cs="Sylfaen"/>
        </w:rPr>
        <w:t>პირებზე</w:t>
      </w:r>
      <w:r w:rsidRPr="001352AB">
        <w:t xml:space="preserve"> </w:t>
      </w:r>
      <w:r w:rsidRPr="001352AB">
        <w:rPr>
          <w:rFonts w:ascii="Sylfaen" w:hAnsi="Sylfaen" w:cs="Sylfaen"/>
        </w:rPr>
        <w:t>ინვაზიური</w:t>
      </w:r>
      <w:r w:rsidRPr="001352AB">
        <w:t xml:space="preserve"> </w:t>
      </w:r>
      <w:r w:rsidRPr="001352AB">
        <w:rPr>
          <w:rFonts w:ascii="Sylfaen" w:hAnsi="Sylfaen" w:cs="Sylfaen"/>
        </w:rPr>
        <w:t>სახეობების</w:t>
      </w:r>
      <w:r w:rsidRPr="001352AB">
        <w:t xml:space="preserve"> </w:t>
      </w:r>
      <w:r w:rsidRPr="001352AB">
        <w:rPr>
          <w:rFonts w:ascii="Sylfaen" w:hAnsi="Sylfaen" w:cs="Sylfaen"/>
        </w:rPr>
        <w:t>გავრცელება</w:t>
      </w:r>
      <w:r w:rsidRPr="001352AB">
        <w:t xml:space="preserve"> </w:t>
      </w:r>
      <w:r w:rsidRPr="001352AB">
        <w:rPr>
          <w:rFonts w:ascii="Sylfaen" w:hAnsi="Sylfaen" w:cs="Sylfaen"/>
        </w:rPr>
        <w:t>გამოიწვია</w:t>
      </w:r>
      <w:r w:rsidRPr="001352AB">
        <w:t>.</w:t>
      </w:r>
    </w:p>
    <w:p w14:paraId="4DDA83BA" w14:textId="77777777" w:rsidR="00CD64B5" w:rsidRPr="001352AB" w:rsidRDefault="00CD64B5" w:rsidP="000E38C6">
      <w:pPr>
        <w:spacing w:before="120" w:after="120"/>
      </w:pPr>
      <w:r w:rsidRPr="001352AB">
        <w:rPr>
          <w:rFonts w:ascii="Sylfaen" w:hAnsi="Sylfaen" w:cs="Sylfaen"/>
        </w:rPr>
        <w:t>იმის</w:t>
      </w:r>
      <w:r w:rsidRPr="001352AB">
        <w:t xml:space="preserve"> </w:t>
      </w:r>
      <w:r w:rsidRPr="001352AB">
        <w:rPr>
          <w:rFonts w:ascii="Sylfaen" w:hAnsi="Sylfaen" w:cs="Sylfaen"/>
        </w:rPr>
        <w:t>გამო</w:t>
      </w:r>
      <w:r w:rsidRPr="001352AB">
        <w:t xml:space="preserve">, </w:t>
      </w:r>
      <w:r w:rsidRPr="001352AB">
        <w:rPr>
          <w:rFonts w:ascii="Sylfaen" w:hAnsi="Sylfaen" w:cs="Sylfaen"/>
        </w:rPr>
        <w:t>რომ</w:t>
      </w:r>
      <w:r w:rsidRPr="001352AB">
        <w:t xml:space="preserve"> </w:t>
      </w:r>
      <w:r w:rsidRPr="001352AB">
        <w:rPr>
          <w:rFonts w:ascii="Sylfaen" w:hAnsi="Sylfaen" w:cs="Sylfaen"/>
        </w:rPr>
        <w:t>ტრანსექტი</w:t>
      </w:r>
      <w:r w:rsidRPr="001352AB">
        <w:t xml:space="preserve"> </w:t>
      </w:r>
      <w:r w:rsidRPr="001352AB">
        <w:rPr>
          <w:rFonts w:ascii="Sylfaen" w:hAnsi="Sylfaen" w:cs="Sylfaen"/>
        </w:rPr>
        <w:t>მდებარეობს</w:t>
      </w:r>
      <w:r w:rsidRPr="001352AB">
        <w:t xml:space="preserve"> </w:t>
      </w:r>
      <w:r w:rsidRPr="001352AB">
        <w:rPr>
          <w:rFonts w:ascii="Sylfaen" w:hAnsi="Sylfaen" w:cs="Sylfaen"/>
        </w:rPr>
        <w:t>კულტივირებულ</w:t>
      </w:r>
      <w:r w:rsidRPr="001352AB">
        <w:t xml:space="preserve"> </w:t>
      </w:r>
      <w:r w:rsidRPr="001352AB">
        <w:rPr>
          <w:rFonts w:ascii="Sylfaen" w:hAnsi="Sylfaen" w:cs="Sylfaen"/>
        </w:rPr>
        <w:t>და</w:t>
      </w:r>
      <w:r w:rsidRPr="001352AB">
        <w:t xml:space="preserve"> </w:t>
      </w:r>
      <w:r w:rsidRPr="001352AB">
        <w:rPr>
          <w:rFonts w:ascii="Sylfaen" w:hAnsi="Sylfaen" w:cs="Sylfaen"/>
        </w:rPr>
        <w:t>სახნავ</w:t>
      </w:r>
      <w:r w:rsidRPr="001352AB">
        <w:t>-</w:t>
      </w:r>
      <w:r w:rsidRPr="001352AB">
        <w:rPr>
          <w:rFonts w:ascii="Sylfaen" w:hAnsi="Sylfaen" w:cs="Sylfaen"/>
        </w:rPr>
        <w:t>სათეს</w:t>
      </w:r>
      <w:r w:rsidRPr="001352AB">
        <w:t xml:space="preserve"> </w:t>
      </w:r>
      <w:r w:rsidRPr="001352AB">
        <w:rPr>
          <w:rFonts w:ascii="Sylfaen" w:hAnsi="Sylfaen" w:cs="Sylfaen"/>
        </w:rPr>
        <w:t>ტერიტორიებზე</w:t>
      </w:r>
      <w:r w:rsidRPr="001352AB">
        <w:t xml:space="preserve">, </w:t>
      </w:r>
      <w:r w:rsidRPr="001352AB">
        <w:rPr>
          <w:rFonts w:ascii="Sylfaen" w:hAnsi="Sylfaen" w:cs="Sylfaen"/>
        </w:rPr>
        <w:t>ლოკალურ</w:t>
      </w:r>
      <w:r w:rsidRPr="001352AB">
        <w:t xml:space="preserve"> </w:t>
      </w:r>
      <w:r w:rsidRPr="001352AB">
        <w:rPr>
          <w:rFonts w:ascii="Sylfaen" w:hAnsi="Sylfaen" w:cs="Sylfaen"/>
        </w:rPr>
        <w:t>ფერმერებს</w:t>
      </w:r>
      <w:r w:rsidRPr="001352AB">
        <w:t xml:space="preserve"> </w:t>
      </w:r>
      <w:r w:rsidRPr="001352AB">
        <w:rPr>
          <w:rFonts w:ascii="Sylfaen" w:hAnsi="Sylfaen" w:cs="Sylfaen"/>
        </w:rPr>
        <w:t>უწევდათ</w:t>
      </w:r>
      <w:r w:rsidRPr="001352AB">
        <w:t xml:space="preserve"> </w:t>
      </w:r>
      <w:r w:rsidRPr="001352AB">
        <w:rPr>
          <w:rFonts w:ascii="Sylfaen" w:hAnsi="Sylfaen" w:cs="Sylfaen"/>
        </w:rPr>
        <w:t>ხშირი</w:t>
      </w:r>
      <w:r w:rsidRPr="001352AB">
        <w:t xml:space="preserve"> </w:t>
      </w:r>
      <w:r w:rsidRPr="001352AB">
        <w:rPr>
          <w:rFonts w:ascii="Sylfaen" w:hAnsi="Sylfaen" w:cs="Sylfaen"/>
        </w:rPr>
        <w:t>გადაადგილება</w:t>
      </w:r>
      <w:r w:rsidRPr="001352AB">
        <w:t xml:space="preserve"> </w:t>
      </w:r>
      <w:r w:rsidRPr="001352AB">
        <w:rPr>
          <w:rFonts w:ascii="Sylfaen" w:hAnsi="Sylfaen" w:cs="Sylfaen"/>
        </w:rPr>
        <w:t>მოცემულ</w:t>
      </w:r>
      <w:r w:rsidRPr="001352AB">
        <w:t xml:space="preserve"> </w:t>
      </w:r>
      <w:r w:rsidRPr="001352AB">
        <w:rPr>
          <w:rFonts w:ascii="Sylfaen" w:hAnsi="Sylfaen" w:cs="Sylfaen"/>
        </w:rPr>
        <w:t>გზებზე</w:t>
      </w:r>
      <w:r w:rsidRPr="001352AB">
        <w:t xml:space="preserve">, </w:t>
      </w:r>
      <w:r w:rsidRPr="001352AB">
        <w:rPr>
          <w:rFonts w:ascii="Sylfaen" w:hAnsi="Sylfaen" w:cs="Sylfaen"/>
        </w:rPr>
        <w:t>რამაც</w:t>
      </w:r>
      <w:r w:rsidRPr="001352AB">
        <w:t xml:space="preserve"> </w:t>
      </w:r>
      <w:r w:rsidRPr="001352AB">
        <w:rPr>
          <w:rFonts w:ascii="Sylfaen" w:hAnsi="Sylfaen" w:cs="Sylfaen"/>
        </w:rPr>
        <w:t>გამოიწვია</w:t>
      </w:r>
      <w:r w:rsidRPr="001352AB">
        <w:t xml:space="preserve"> </w:t>
      </w:r>
      <w:r w:rsidRPr="001352AB">
        <w:rPr>
          <w:rFonts w:ascii="Sylfaen" w:hAnsi="Sylfaen" w:cs="Sylfaen"/>
        </w:rPr>
        <w:t>ორი</w:t>
      </w:r>
      <w:r w:rsidRPr="001352AB">
        <w:t xml:space="preserve"> </w:t>
      </w:r>
      <w:r w:rsidRPr="001352AB">
        <w:rPr>
          <w:rFonts w:ascii="Sylfaen" w:hAnsi="Sylfaen" w:cs="Sylfaen"/>
        </w:rPr>
        <w:t>ინვაზიური</w:t>
      </w:r>
      <w:r w:rsidRPr="001352AB">
        <w:t xml:space="preserve"> </w:t>
      </w:r>
      <w:r w:rsidRPr="001352AB">
        <w:rPr>
          <w:rFonts w:ascii="Sylfaen" w:hAnsi="Sylfaen" w:cs="Sylfaen"/>
        </w:rPr>
        <w:t>მერქნიანი</w:t>
      </w:r>
      <w:r w:rsidRPr="001352AB">
        <w:t xml:space="preserve"> </w:t>
      </w:r>
      <w:r w:rsidRPr="001352AB">
        <w:rPr>
          <w:rFonts w:ascii="Sylfaen" w:hAnsi="Sylfaen" w:cs="Sylfaen"/>
        </w:rPr>
        <w:t>მცენარის</w:t>
      </w:r>
      <w:r w:rsidRPr="001352AB">
        <w:t xml:space="preserve"> </w:t>
      </w:r>
      <w:r w:rsidRPr="001352AB">
        <w:rPr>
          <w:rFonts w:ascii="Sylfaen" w:hAnsi="Sylfaen" w:cs="Sylfaen"/>
        </w:rPr>
        <w:t>გამრავლება</w:t>
      </w:r>
      <w:r w:rsidRPr="001352AB">
        <w:t xml:space="preserve">. </w:t>
      </w:r>
      <w:r w:rsidRPr="001352AB">
        <w:rPr>
          <w:rFonts w:ascii="Sylfaen" w:hAnsi="Sylfaen" w:cs="Sylfaen"/>
        </w:rPr>
        <w:t>ესენია</w:t>
      </w:r>
      <w:r w:rsidRPr="001352AB">
        <w:t xml:space="preserve"> Ailanthus altissima </w:t>
      </w:r>
      <w:r w:rsidRPr="001352AB">
        <w:rPr>
          <w:rFonts w:ascii="Sylfaen" w:hAnsi="Sylfaen" w:cs="Sylfaen"/>
        </w:rPr>
        <w:t>და</w:t>
      </w:r>
      <w:r w:rsidRPr="001352AB">
        <w:t xml:space="preserve"> Robinia pseudoacacia.</w:t>
      </w:r>
    </w:p>
    <w:p w14:paraId="52FC5488" w14:textId="77777777" w:rsidR="00CD64B5" w:rsidRPr="001352AB" w:rsidRDefault="00CD64B5" w:rsidP="000E38C6">
      <w:pPr>
        <w:spacing w:before="120" w:after="120"/>
      </w:pPr>
      <w:r w:rsidRPr="001352AB">
        <w:rPr>
          <w:rFonts w:ascii="Sylfaen" w:hAnsi="Sylfaen" w:cs="Sylfaen"/>
        </w:rPr>
        <w:t>ვინაიდან</w:t>
      </w:r>
      <w:r w:rsidRPr="001352AB">
        <w:t xml:space="preserve"> </w:t>
      </w:r>
      <w:r w:rsidRPr="001352AB">
        <w:rPr>
          <w:rFonts w:ascii="Sylfaen" w:hAnsi="Sylfaen" w:cs="Sylfaen"/>
        </w:rPr>
        <w:t>არ</w:t>
      </w:r>
      <w:r w:rsidRPr="001352AB">
        <w:t xml:space="preserve"> </w:t>
      </w:r>
      <w:r w:rsidRPr="001352AB">
        <w:rPr>
          <w:rFonts w:ascii="Sylfaen" w:hAnsi="Sylfaen" w:cs="Sylfaen"/>
        </w:rPr>
        <w:t>ხდებოდა</w:t>
      </w:r>
      <w:r w:rsidRPr="001352AB">
        <w:t xml:space="preserve"> </w:t>
      </w:r>
      <w:r w:rsidRPr="001352AB">
        <w:rPr>
          <w:rFonts w:ascii="Sylfaen" w:hAnsi="Sylfaen" w:cs="Sylfaen"/>
        </w:rPr>
        <w:t>კონტროლი</w:t>
      </w:r>
      <w:r w:rsidRPr="001352AB">
        <w:t xml:space="preserve"> </w:t>
      </w:r>
      <w:r w:rsidRPr="001352AB">
        <w:rPr>
          <w:rFonts w:ascii="Sylfaen" w:hAnsi="Sylfaen" w:cs="Sylfaen"/>
        </w:rPr>
        <w:t>ინვაზიურ</w:t>
      </w:r>
      <w:r w:rsidRPr="001352AB">
        <w:t xml:space="preserve"> </w:t>
      </w:r>
      <w:r w:rsidRPr="001352AB">
        <w:rPr>
          <w:rFonts w:ascii="Sylfaen" w:hAnsi="Sylfaen" w:cs="Sylfaen"/>
        </w:rPr>
        <w:t>სახეობებზე</w:t>
      </w:r>
      <w:r w:rsidRPr="001352AB">
        <w:t xml:space="preserve">,  </w:t>
      </w:r>
      <w:r w:rsidRPr="001352AB">
        <w:rPr>
          <w:rFonts w:ascii="Sylfaen" w:hAnsi="Sylfaen" w:cs="Sylfaen"/>
        </w:rPr>
        <w:t>მოხდა</w:t>
      </w:r>
      <w:r w:rsidRPr="001352AB">
        <w:t xml:space="preserve"> </w:t>
      </w:r>
      <w:r w:rsidRPr="001352AB">
        <w:rPr>
          <w:rFonts w:ascii="Sylfaen" w:hAnsi="Sylfaen" w:cs="Sylfaen"/>
        </w:rPr>
        <w:t>მათი</w:t>
      </w:r>
      <w:r w:rsidRPr="001352AB">
        <w:t xml:space="preserve"> </w:t>
      </w:r>
      <w:r w:rsidRPr="001352AB">
        <w:rPr>
          <w:rFonts w:ascii="Sylfaen" w:hAnsi="Sylfaen" w:cs="Sylfaen"/>
        </w:rPr>
        <w:t>ფართოდ</w:t>
      </w:r>
      <w:r w:rsidRPr="001352AB">
        <w:t xml:space="preserve"> </w:t>
      </w:r>
      <w:r w:rsidRPr="001352AB">
        <w:rPr>
          <w:rFonts w:ascii="Sylfaen" w:hAnsi="Sylfaen" w:cs="Sylfaen"/>
        </w:rPr>
        <w:t>გავრცელება</w:t>
      </w:r>
      <w:r w:rsidRPr="001352AB">
        <w:t xml:space="preserve"> </w:t>
      </w:r>
      <w:r w:rsidRPr="001352AB">
        <w:rPr>
          <w:rFonts w:ascii="Sylfaen" w:hAnsi="Sylfaen" w:cs="Sylfaen"/>
        </w:rPr>
        <w:t>საიტზე</w:t>
      </w:r>
      <w:r w:rsidRPr="001352AB">
        <w:t xml:space="preserve">. </w:t>
      </w:r>
      <w:r w:rsidRPr="001352AB">
        <w:rPr>
          <w:rFonts w:ascii="Sylfaen" w:hAnsi="Sylfaen" w:cs="Sylfaen"/>
        </w:rPr>
        <w:t>როგორც</w:t>
      </w:r>
      <w:r w:rsidRPr="001352AB">
        <w:t xml:space="preserve"> </w:t>
      </w:r>
      <w:r w:rsidRPr="001352AB">
        <w:rPr>
          <w:rFonts w:ascii="Sylfaen" w:hAnsi="Sylfaen" w:cs="Sylfaen"/>
        </w:rPr>
        <w:t>ცნობილია</w:t>
      </w:r>
      <w:r w:rsidRPr="001352AB">
        <w:t xml:space="preserve">, </w:t>
      </w:r>
      <w:r w:rsidRPr="001352AB">
        <w:rPr>
          <w:rFonts w:ascii="Sylfaen" w:hAnsi="Sylfaen" w:cs="Sylfaen"/>
        </w:rPr>
        <w:t>ინვაზიური</w:t>
      </w:r>
      <w:r w:rsidRPr="001352AB">
        <w:t xml:space="preserve"> </w:t>
      </w:r>
      <w:r w:rsidRPr="001352AB">
        <w:rPr>
          <w:rFonts w:ascii="Sylfaen" w:hAnsi="Sylfaen" w:cs="Sylfaen"/>
        </w:rPr>
        <w:t>სახეობები</w:t>
      </w:r>
      <w:r w:rsidRPr="001352AB">
        <w:t xml:space="preserve"> </w:t>
      </w:r>
      <w:r w:rsidRPr="001352AB">
        <w:rPr>
          <w:rFonts w:ascii="Sylfaen" w:hAnsi="Sylfaen" w:cs="Sylfaen"/>
        </w:rPr>
        <w:t>თავს</w:t>
      </w:r>
      <w:r w:rsidRPr="001352AB">
        <w:t xml:space="preserve"> </w:t>
      </w:r>
      <w:r w:rsidRPr="001352AB">
        <w:rPr>
          <w:rFonts w:ascii="Sylfaen" w:hAnsi="Sylfaen" w:cs="Sylfaen"/>
        </w:rPr>
        <w:t>იჩენს</w:t>
      </w:r>
      <w:r w:rsidRPr="001352AB">
        <w:t xml:space="preserve"> </w:t>
      </w:r>
      <w:r w:rsidRPr="001352AB">
        <w:rPr>
          <w:rFonts w:ascii="Sylfaen" w:hAnsi="Sylfaen" w:cs="Sylfaen"/>
        </w:rPr>
        <w:t>დაზიანებულ</w:t>
      </w:r>
      <w:r w:rsidRPr="001352AB">
        <w:t xml:space="preserve"> </w:t>
      </w:r>
      <w:r w:rsidRPr="001352AB">
        <w:rPr>
          <w:rFonts w:ascii="Sylfaen" w:hAnsi="Sylfaen" w:cs="Sylfaen"/>
        </w:rPr>
        <w:t>ჰაბიტატებზე</w:t>
      </w:r>
      <w:r w:rsidRPr="001352AB">
        <w:t xml:space="preserve">, </w:t>
      </w:r>
      <w:r w:rsidRPr="001352AB">
        <w:rPr>
          <w:rFonts w:ascii="Sylfaen" w:hAnsi="Sylfaen" w:cs="Sylfaen"/>
        </w:rPr>
        <w:t>როგორიცაა</w:t>
      </w:r>
      <w:r w:rsidRPr="001352AB">
        <w:t xml:space="preserve"> </w:t>
      </w:r>
      <w:r w:rsidRPr="001352AB">
        <w:rPr>
          <w:rFonts w:ascii="Sylfaen" w:hAnsi="Sylfaen" w:cs="Sylfaen"/>
        </w:rPr>
        <w:t>გზის</w:t>
      </w:r>
      <w:r w:rsidRPr="001352AB">
        <w:t xml:space="preserve"> </w:t>
      </w:r>
      <w:r w:rsidRPr="001352AB">
        <w:rPr>
          <w:rFonts w:ascii="Sylfaen" w:hAnsi="Sylfaen" w:cs="Sylfaen"/>
        </w:rPr>
        <w:t>პირი</w:t>
      </w:r>
      <w:r w:rsidRPr="001352AB">
        <w:t xml:space="preserve">, </w:t>
      </w:r>
      <w:r w:rsidRPr="001352AB">
        <w:rPr>
          <w:rFonts w:ascii="Sylfaen" w:hAnsi="Sylfaen" w:cs="Sylfaen"/>
        </w:rPr>
        <w:t>სადაც</w:t>
      </w:r>
      <w:r w:rsidRPr="001352AB">
        <w:t xml:space="preserve"> </w:t>
      </w:r>
      <w:r w:rsidRPr="001352AB">
        <w:rPr>
          <w:rFonts w:ascii="Sylfaen" w:hAnsi="Sylfaen" w:cs="Sylfaen"/>
        </w:rPr>
        <w:t>ადგილობრივ</w:t>
      </w:r>
      <w:r w:rsidRPr="001352AB">
        <w:t xml:space="preserve"> </w:t>
      </w:r>
      <w:r w:rsidRPr="001352AB">
        <w:rPr>
          <w:rFonts w:ascii="Sylfaen" w:hAnsi="Sylfaen" w:cs="Sylfaen"/>
        </w:rPr>
        <w:t>ფლორას</w:t>
      </w:r>
      <w:r w:rsidRPr="001352AB">
        <w:t xml:space="preserve"> </w:t>
      </w:r>
      <w:r w:rsidRPr="001352AB">
        <w:rPr>
          <w:rFonts w:ascii="Sylfaen" w:hAnsi="Sylfaen" w:cs="Sylfaen"/>
        </w:rPr>
        <w:t>ნაკლებად</w:t>
      </w:r>
      <w:r w:rsidRPr="001352AB">
        <w:t xml:space="preserve"> </w:t>
      </w:r>
      <w:r w:rsidRPr="001352AB">
        <w:rPr>
          <w:rFonts w:ascii="Sylfaen" w:hAnsi="Sylfaen" w:cs="Sylfaen"/>
        </w:rPr>
        <w:t>შეუძლია</w:t>
      </w:r>
      <w:r w:rsidRPr="001352AB">
        <w:t xml:space="preserve"> </w:t>
      </w:r>
      <w:r w:rsidRPr="001352AB">
        <w:rPr>
          <w:rFonts w:ascii="Sylfaen" w:hAnsi="Sylfaen" w:cs="Sylfaen"/>
        </w:rPr>
        <w:t>კონკურენციის</w:t>
      </w:r>
      <w:r w:rsidRPr="001352AB">
        <w:t xml:space="preserve"> </w:t>
      </w:r>
      <w:r w:rsidRPr="001352AB">
        <w:rPr>
          <w:rFonts w:ascii="Sylfaen" w:hAnsi="Sylfaen" w:cs="Sylfaen"/>
        </w:rPr>
        <w:t>გაწევა</w:t>
      </w:r>
      <w:r w:rsidRPr="001352AB">
        <w:t xml:space="preserve">, </w:t>
      </w:r>
      <w:r w:rsidRPr="001352AB">
        <w:rPr>
          <w:rFonts w:ascii="Sylfaen" w:hAnsi="Sylfaen" w:cs="Sylfaen"/>
        </w:rPr>
        <w:t>ინვაზია</w:t>
      </w:r>
      <w:r w:rsidRPr="001352AB">
        <w:t xml:space="preserve"> </w:t>
      </w:r>
      <w:r w:rsidRPr="001352AB">
        <w:rPr>
          <w:rFonts w:ascii="Sylfaen" w:hAnsi="Sylfaen" w:cs="Sylfaen"/>
        </w:rPr>
        <w:t>სწრაფი</w:t>
      </w:r>
      <w:r w:rsidRPr="001352AB">
        <w:t xml:space="preserve"> </w:t>
      </w:r>
      <w:r w:rsidRPr="001352AB">
        <w:rPr>
          <w:rFonts w:ascii="Sylfaen" w:hAnsi="Sylfaen" w:cs="Sylfaen"/>
        </w:rPr>
        <w:t>ტემპითა</w:t>
      </w:r>
      <w:r w:rsidRPr="001352AB">
        <w:t xml:space="preserve"> </w:t>
      </w:r>
      <w:r w:rsidRPr="001352AB">
        <w:rPr>
          <w:rFonts w:ascii="Sylfaen" w:hAnsi="Sylfaen" w:cs="Sylfaen"/>
        </w:rPr>
        <w:t>და</w:t>
      </w:r>
      <w:r w:rsidRPr="001352AB">
        <w:t xml:space="preserve"> </w:t>
      </w:r>
      <w:r w:rsidRPr="001352AB">
        <w:rPr>
          <w:rFonts w:ascii="Sylfaen" w:hAnsi="Sylfaen" w:cs="Sylfaen"/>
        </w:rPr>
        <w:t>მოცულობით</w:t>
      </w:r>
      <w:r w:rsidRPr="001352AB">
        <w:t xml:space="preserve"> </w:t>
      </w:r>
      <w:r w:rsidRPr="001352AB">
        <w:rPr>
          <w:rFonts w:ascii="Sylfaen" w:hAnsi="Sylfaen" w:cs="Sylfaen"/>
        </w:rPr>
        <w:t>იზრდება</w:t>
      </w:r>
      <w:r w:rsidRPr="001352AB">
        <w:t xml:space="preserve">, </w:t>
      </w:r>
      <w:r w:rsidRPr="001352AB">
        <w:rPr>
          <w:rFonts w:ascii="Sylfaen" w:hAnsi="Sylfaen" w:cs="Sylfaen"/>
        </w:rPr>
        <w:t>მრავლდება</w:t>
      </w:r>
      <w:r w:rsidRPr="001352AB">
        <w:t xml:space="preserve"> </w:t>
      </w:r>
      <w:r w:rsidRPr="001352AB">
        <w:rPr>
          <w:rFonts w:ascii="Sylfaen" w:hAnsi="Sylfaen" w:cs="Sylfaen"/>
        </w:rPr>
        <w:t>და</w:t>
      </w:r>
      <w:r w:rsidRPr="001352AB">
        <w:t xml:space="preserve"> </w:t>
      </w:r>
      <w:r w:rsidRPr="001352AB">
        <w:rPr>
          <w:rFonts w:ascii="Sylfaen" w:hAnsi="Sylfaen" w:cs="Sylfaen"/>
        </w:rPr>
        <w:t>შემდგომში</w:t>
      </w:r>
      <w:r w:rsidRPr="001352AB">
        <w:t xml:space="preserve"> </w:t>
      </w:r>
      <w:r w:rsidRPr="001352AB">
        <w:rPr>
          <w:rFonts w:ascii="Sylfaen" w:hAnsi="Sylfaen" w:cs="Sylfaen"/>
        </w:rPr>
        <w:t>სრულიად</w:t>
      </w:r>
      <w:r w:rsidRPr="001352AB">
        <w:t xml:space="preserve"> </w:t>
      </w:r>
      <w:r w:rsidRPr="001352AB">
        <w:rPr>
          <w:rFonts w:ascii="Sylfaen" w:hAnsi="Sylfaen" w:cs="Sylfaen"/>
        </w:rPr>
        <w:t>დომინირებს</w:t>
      </w:r>
      <w:r w:rsidRPr="001352AB">
        <w:t xml:space="preserve">. </w:t>
      </w:r>
      <w:r w:rsidRPr="001352AB">
        <w:rPr>
          <w:rFonts w:ascii="Sylfaen" w:hAnsi="Sylfaen" w:cs="Sylfaen"/>
        </w:rPr>
        <w:t>ამას</w:t>
      </w:r>
      <w:r w:rsidRPr="001352AB">
        <w:t xml:space="preserve"> </w:t>
      </w:r>
      <w:r w:rsidRPr="001352AB">
        <w:rPr>
          <w:rFonts w:ascii="Sylfaen" w:hAnsi="Sylfaen" w:cs="Sylfaen"/>
        </w:rPr>
        <w:t>გარდა</w:t>
      </w:r>
      <w:r w:rsidRPr="001352AB">
        <w:t xml:space="preserve">, </w:t>
      </w:r>
      <w:r w:rsidRPr="001352AB">
        <w:rPr>
          <w:rFonts w:ascii="Sylfaen" w:hAnsi="Sylfaen" w:cs="Sylfaen"/>
        </w:rPr>
        <w:t>საიტის</w:t>
      </w:r>
      <w:r w:rsidRPr="001352AB">
        <w:t xml:space="preserve"> </w:t>
      </w:r>
      <w:r w:rsidRPr="001352AB">
        <w:rPr>
          <w:rFonts w:ascii="Sylfaen" w:hAnsi="Sylfaen" w:cs="Sylfaen"/>
        </w:rPr>
        <w:t>უმეტესი</w:t>
      </w:r>
      <w:r w:rsidRPr="001352AB">
        <w:t xml:space="preserve"> </w:t>
      </w:r>
      <w:r w:rsidRPr="001352AB">
        <w:rPr>
          <w:rFonts w:ascii="Sylfaen" w:hAnsi="Sylfaen" w:cs="Sylfaen"/>
        </w:rPr>
        <w:t>ნაწილი</w:t>
      </w:r>
      <w:r w:rsidRPr="001352AB">
        <w:t xml:space="preserve"> </w:t>
      </w:r>
      <w:r w:rsidRPr="001352AB">
        <w:rPr>
          <w:rFonts w:ascii="Sylfaen" w:hAnsi="Sylfaen" w:cs="Sylfaen"/>
        </w:rPr>
        <w:t>დაფარულია</w:t>
      </w:r>
      <w:r w:rsidRPr="001352AB">
        <w:t xml:space="preserve"> </w:t>
      </w:r>
      <w:r w:rsidRPr="001352AB">
        <w:rPr>
          <w:rFonts w:ascii="Sylfaen" w:hAnsi="Sylfaen" w:cs="Sylfaen"/>
        </w:rPr>
        <w:t>ისეთი</w:t>
      </w:r>
      <w:r w:rsidRPr="001352AB">
        <w:t xml:space="preserve"> </w:t>
      </w:r>
      <w:r w:rsidRPr="001352AB">
        <w:rPr>
          <w:rFonts w:ascii="Sylfaen" w:hAnsi="Sylfaen" w:cs="Sylfaen"/>
        </w:rPr>
        <w:t>ბუჩქნარით</w:t>
      </w:r>
      <w:r w:rsidRPr="001352AB">
        <w:t xml:space="preserve">, </w:t>
      </w:r>
      <w:r w:rsidRPr="001352AB">
        <w:rPr>
          <w:rFonts w:ascii="Sylfaen" w:hAnsi="Sylfaen" w:cs="Sylfaen"/>
        </w:rPr>
        <w:t>როგორებიცაა</w:t>
      </w:r>
      <w:r w:rsidRPr="001352AB">
        <w:t xml:space="preserve"> Rubus sp. </w:t>
      </w:r>
      <w:r w:rsidRPr="001352AB">
        <w:rPr>
          <w:rFonts w:ascii="Sylfaen" w:hAnsi="Sylfaen" w:cs="Sylfaen"/>
        </w:rPr>
        <w:t>და</w:t>
      </w:r>
      <w:r w:rsidRPr="001352AB">
        <w:t xml:space="preserve"> Rosa sp.</w:t>
      </w:r>
    </w:p>
    <w:p w14:paraId="3543B6B4" w14:textId="77777777" w:rsidR="00CD64B5" w:rsidRPr="001352AB" w:rsidRDefault="00CD64B5" w:rsidP="000E38C6">
      <w:pPr>
        <w:spacing w:before="120" w:after="120"/>
      </w:pPr>
      <w:r w:rsidRPr="001352AB">
        <w:rPr>
          <w:rFonts w:ascii="Sylfaen" w:hAnsi="Sylfaen" w:cs="Sylfaen"/>
        </w:rPr>
        <w:t>აღსანიშნავია</w:t>
      </w:r>
      <w:r w:rsidRPr="001352AB">
        <w:t xml:space="preserve"> </w:t>
      </w:r>
      <w:r w:rsidRPr="001352AB">
        <w:rPr>
          <w:rFonts w:ascii="Sylfaen" w:hAnsi="Sylfaen" w:cs="Sylfaen"/>
        </w:rPr>
        <w:t>ის</w:t>
      </w:r>
      <w:r w:rsidRPr="001352AB">
        <w:t xml:space="preserve"> </w:t>
      </w:r>
      <w:r w:rsidRPr="001352AB">
        <w:rPr>
          <w:rFonts w:ascii="Sylfaen" w:hAnsi="Sylfaen" w:cs="Sylfaen"/>
        </w:rPr>
        <w:t>ფაქტიც</w:t>
      </w:r>
      <w:r w:rsidRPr="001352AB">
        <w:t xml:space="preserve">, </w:t>
      </w:r>
      <w:r w:rsidRPr="001352AB">
        <w:rPr>
          <w:rFonts w:ascii="Sylfaen" w:hAnsi="Sylfaen" w:cs="Sylfaen"/>
        </w:rPr>
        <w:t>რომ</w:t>
      </w:r>
      <w:r w:rsidRPr="001352AB">
        <w:t xml:space="preserve"> </w:t>
      </w:r>
      <w:r w:rsidRPr="001352AB">
        <w:rPr>
          <w:rFonts w:ascii="Sylfaen" w:hAnsi="Sylfaen" w:cs="Sylfaen"/>
        </w:rPr>
        <w:t>საპროექტო</w:t>
      </w:r>
      <w:r w:rsidRPr="001352AB">
        <w:t xml:space="preserve"> </w:t>
      </w:r>
      <w:r w:rsidRPr="001352AB">
        <w:rPr>
          <w:rFonts w:ascii="Sylfaen" w:hAnsi="Sylfaen" w:cs="Sylfaen"/>
        </w:rPr>
        <w:t>ტერიტორიაზე</w:t>
      </w:r>
      <w:r w:rsidRPr="001352AB">
        <w:t xml:space="preserve"> </w:t>
      </w:r>
      <w:r w:rsidRPr="001352AB">
        <w:rPr>
          <w:rFonts w:ascii="Sylfaen" w:hAnsi="Sylfaen" w:cs="Sylfaen"/>
        </w:rPr>
        <w:t>მდებარეობს</w:t>
      </w:r>
      <w:r w:rsidRPr="001352AB">
        <w:t xml:space="preserve"> </w:t>
      </w:r>
      <w:r w:rsidRPr="001352AB">
        <w:rPr>
          <w:rFonts w:ascii="Sylfaen" w:hAnsi="Sylfaen" w:cs="Sylfaen"/>
        </w:rPr>
        <w:t>რამოდენიმე</w:t>
      </w:r>
      <w:r w:rsidRPr="001352AB">
        <w:t xml:space="preserve"> </w:t>
      </w:r>
      <w:r w:rsidRPr="001352AB">
        <w:rPr>
          <w:rFonts w:ascii="Sylfaen" w:hAnsi="Sylfaen" w:cs="Sylfaen"/>
        </w:rPr>
        <w:t>ადგილობრივი</w:t>
      </w:r>
      <w:r w:rsidRPr="001352AB">
        <w:t xml:space="preserve"> </w:t>
      </w:r>
      <w:r w:rsidRPr="001352AB">
        <w:rPr>
          <w:rFonts w:ascii="Sylfaen" w:hAnsi="Sylfaen" w:cs="Sylfaen"/>
        </w:rPr>
        <w:t>მერქნიანი</w:t>
      </w:r>
      <w:r w:rsidRPr="001352AB">
        <w:t xml:space="preserve"> </w:t>
      </w:r>
      <w:r w:rsidRPr="001352AB">
        <w:rPr>
          <w:rFonts w:ascii="Sylfaen" w:hAnsi="Sylfaen" w:cs="Sylfaen"/>
        </w:rPr>
        <w:t>სახეობა</w:t>
      </w:r>
      <w:r w:rsidRPr="001352AB">
        <w:t xml:space="preserve">. </w:t>
      </w:r>
    </w:p>
    <w:p w14:paraId="01C4F44E" w14:textId="77777777" w:rsidR="00CD64B5" w:rsidRPr="001352AB" w:rsidRDefault="00CD64B5" w:rsidP="000E38C6">
      <w:pPr>
        <w:spacing w:before="120" w:after="120"/>
      </w:pPr>
      <w:r w:rsidRPr="001352AB">
        <w:rPr>
          <w:rFonts w:ascii="Sylfaen" w:hAnsi="Sylfaen" w:cs="Sylfaen"/>
        </w:rPr>
        <w:t>მცენარეულ</w:t>
      </w:r>
      <w:r w:rsidRPr="001352AB">
        <w:t xml:space="preserve"> </w:t>
      </w:r>
      <w:r w:rsidRPr="001352AB">
        <w:rPr>
          <w:rFonts w:ascii="Sylfaen" w:hAnsi="Sylfaen" w:cs="Sylfaen"/>
        </w:rPr>
        <w:t>საფარზე</w:t>
      </w:r>
      <w:r w:rsidRPr="001352AB">
        <w:t xml:space="preserve"> </w:t>
      </w:r>
      <w:r w:rsidRPr="001352AB">
        <w:rPr>
          <w:rFonts w:ascii="Sylfaen" w:hAnsi="Sylfaen" w:cs="Sylfaen"/>
        </w:rPr>
        <w:t>მოსალოდნელია</w:t>
      </w:r>
      <w:r w:rsidRPr="001352AB">
        <w:t xml:space="preserve"> </w:t>
      </w:r>
      <w:r w:rsidRPr="001352AB">
        <w:rPr>
          <w:rFonts w:ascii="Sylfaen" w:hAnsi="Sylfaen" w:cs="Sylfaen"/>
        </w:rPr>
        <w:t>ირიბი</w:t>
      </w:r>
      <w:r w:rsidRPr="001352AB">
        <w:t xml:space="preserve"> </w:t>
      </w:r>
      <w:r w:rsidRPr="001352AB">
        <w:rPr>
          <w:rFonts w:ascii="Sylfaen" w:hAnsi="Sylfaen" w:cs="Sylfaen"/>
        </w:rPr>
        <w:t>ხასიათის</w:t>
      </w:r>
      <w:r w:rsidRPr="001352AB">
        <w:t xml:space="preserve"> </w:t>
      </w:r>
      <w:r w:rsidRPr="001352AB">
        <w:rPr>
          <w:rFonts w:ascii="Sylfaen" w:hAnsi="Sylfaen" w:cs="Sylfaen"/>
        </w:rPr>
        <w:t>ზემოქმედებაც</w:t>
      </w:r>
      <w:r w:rsidRPr="001352AB">
        <w:t xml:space="preserve">. </w:t>
      </w:r>
      <w:r w:rsidRPr="001352AB">
        <w:rPr>
          <w:rFonts w:ascii="Sylfaen" w:hAnsi="Sylfaen" w:cs="Sylfaen"/>
        </w:rPr>
        <w:t>ასე</w:t>
      </w:r>
      <w:r w:rsidRPr="001352AB">
        <w:t xml:space="preserve"> </w:t>
      </w:r>
      <w:r w:rsidRPr="001352AB">
        <w:rPr>
          <w:rFonts w:ascii="Sylfaen" w:hAnsi="Sylfaen" w:cs="Sylfaen"/>
        </w:rPr>
        <w:t>მაგალითად</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მასალების</w:t>
      </w:r>
      <w:r w:rsidRPr="001352AB">
        <w:t xml:space="preserve"> </w:t>
      </w:r>
      <w:r w:rsidRPr="001352AB">
        <w:rPr>
          <w:rFonts w:ascii="Sylfaen" w:hAnsi="Sylfaen" w:cs="Sylfaen"/>
        </w:rPr>
        <w:t>ნარჩენებით</w:t>
      </w:r>
      <w:r w:rsidRPr="001352AB">
        <w:t xml:space="preserve"> </w:t>
      </w:r>
      <w:r w:rsidRPr="001352AB">
        <w:rPr>
          <w:rFonts w:ascii="Sylfaen" w:hAnsi="Sylfaen" w:cs="Sylfaen"/>
        </w:rPr>
        <w:t>მიმდებარე</w:t>
      </w:r>
      <w:r w:rsidRPr="001352AB">
        <w:t xml:space="preserve"> </w:t>
      </w:r>
      <w:r w:rsidRPr="001352AB">
        <w:rPr>
          <w:rFonts w:ascii="Sylfaen" w:hAnsi="Sylfaen" w:cs="Sylfaen"/>
        </w:rPr>
        <w:t>ტერიტორიების</w:t>
      </w:r>
      <w:r w:rsidRPr="001352AB">
        <w:t xml:space="preserve"> </w:t>
      </w:r>
      <w:r w:rsidRPr="001352AB">
        <w:rPr>
          <w:rFonts w:ascii="Sylfaen" w:hAnsi="Sylfaen" w:cs="Sylfaen"/>
        </w:rPr>
        <w:t>დაბინძურება</w:t>
      </w:r>
      <w:r w:rsidRPr="001352AB">
        <w:t xml:space="preserve">; </w:t>
      </w:r>
      <w:r w:rsidRPr="001352AB">
        <w:rPr>
          <w:rFonts w:ascii="Sylfaen" w:hAnsi="Sylfaen" w:cs="Sylfaen"/>
        </w:rPr>
        <w:t>მშენებლობის</w:t>
      </w:r>
      <w:r w:rsidRPr="001352AB">
        <w:t xml:space="preserve"> </w:t>
      </w:r>
      <w:r w:rsidRPr="001352AB">
        <w:rPr>
          <w:rFonts w:ascii="Sylfaen" w:hAnsi="Sylfaen" w:cs="Sylfaen"/>
        </w:rPr>
        <w:t>პროცესში</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დაზიანება</w:t>
      </w:r>
      <w:r w:rsidRPr="001352AB">
        <w:t>/</w:t>
      </w:r>
      <w:r w:rsidRPr="001352AB">
        <w:rPr>
          <w:rFonts w:ascii="Sylfaen" w:hAnsi="Sylfaen" w:cs="Sylfaen"/>
        </w:rPr>
        <w:t>დატკეპნა</w:t>
      </w:r>
      <w:r w:rsidRPr="001352AB">
        <w:t xml:space="preserve">, </w:t>
      </w:r>
      <w:r w:rsidRPr="001352AB">
        <w:rPr>
          <w:rFonts w:ascii="Sylfaen" w:hAnsi="Sylfaen" w:cs="Sylfaen"/>
        </w:rPr>
        <w:t>ნავთობპროდუქტების</w:t>
      </w:r>
      <w:r w:rsidRPr="001352AB">
        <w:t xml:space="preserve"> </w:t>
      </w:r>
      <w:r w:rsidRPr="001352AB">
        <w:rPr>
          <w:rFonts w:ascii="Sylfaen" w:hAnsi="Sylfaen" w:cs="Sylfaen"/>
        </w:rPr>
        <w:t>დაღვრა</w:t>
      </w:r>
      <w:r w:rsidRPr="001352AB">
        <w:t xml:space="preserve">; </w:t>
      </w:r>
      <w:r w:rsidRPr="001352AB">
        <w:rPr>
          <w:rFonts w:ascii="Sylfaen" w:hAnsi="Sylfaen" w:cs="Sylfaen"/>
        </w:rPr>
        <w:t>ატმოსფერულ</w:t>
      </w:r>
      <w:r w:rsidRPr="001352AB">
        <w:t xml:space="preserve"> </w:t>
      </w:r>
      <w:r w:rsidRPr="001352AB">
        <w:rPr>
          <w:rFonts w:ascii="Sylfaen" w:hAnsi="Sylfaen" w:cs="Sylfaen"/>
        </w:rPr>
        <w:t>ჰაერში</w:t>
      </w:r>
      <w:r w:rsidRPr="001352AB">
        <w:t xml:space="preserve"> </w:t>
      </w:r>
      <w:r w:rsidRPr="001352AB">
        <w:rPr>
          <w:rFonts w:ascii="Sylfaen" w:hAnsi="Sylfaen" w:cs="Sylfaen"/>
        </w:rPr>
        <w:t>მავნე</w:t>
      </w:r>
      <w:r w:rsidRPr="001352AB">
        <w:t xml:space="preserve"> </w:t>
      </w:r>
      <w:r w:rsidRPr="001352AB">
        <w:rPr>
          <w:rFonts w:ascii="Sylfaen" w:hAnsi="Sylfaen" w:cs="Sylfaen"/>
        </w:rPr>
        <w:t>ნივთიერებათა</w:t>
      </w:r>
      <w:r w:rsidRPr="001352AB">
        <w:t xml:space="preserve"> </w:t>
      </w:r>
      <w:r w:rsidRPr="001352AB">
        <w:rPr>
          <w:rFonts w:ascii="Sylfaen" w:hAnsi="Sylfaen" w:cs="Sylfaen"/>
        </w:rPr>
        <w:t>ემისიები</w:t>
      </w:r>
      <w:r w:rsidRPr="001352AB">
        <w:t xml:space="preserve">. </w:t>
      </w:r>
      <w:r w:rsidRPr="001352AB">
        <w:rPr>
          <w:rFonts w:ascii="Sylfaen" w:hAnsi="Sylfaen" w:cs="Sylfaen"/>
        </w:rPr>
        <w:t>ასეთი</w:t>
      </w:r>
      <w:r w:rsidRPr="001352AB">
        <w:t xml:space="preserve"> </w:t>
      </w:r>
      <w:r w:rsidRPr="001352AB">
        <w:rPr>
          <w:rFonts w:ascii="Sylfaen" w:hAnsi="Sylfaen" w:cs="Sylfaen"/>
        </w:rPr>
        <w:t>ზეგავლენების</w:t>
      </w:r>
      <w:r w:rsidRPr="001352AB">
        <w:t xml:space="preserve"> </w:t>
      </w:r>
      <w:r w:rsidRPr="001352AB">
        <w:rPr>
          <w:rFonts w:ascii="Sylfaen" w:hAnsi="Sylfaen" w:cs="Sylfaen"/>
        </w:rPr>
        <w:t>შედეგად</w:t>
      </w:r>
      <w:r w:rsidRPr="001352AB">
        <w:t xml:space="preserve"> </w:t>
      </w:r>
      <w:r w:rsidRPr="001352AB">
        <w:rPr>
          <w:rFonts w:ascii="Sylfaen" w:hAnsi="Sylfaen" w:cs="Sylfaen"/>
        </w:rPr>
        <w:t>მცენარეული</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ბუნებრივი</w:t>
      </w:r>
      <w:r w:rsidRPr="001352AB">
        <w:t xml:space="preserve"> </w:t>
      </w:r>
      <w:r w:rsidRPr="001352AB">
        <w:rPr>
          <w:rFonts w:ascii="Sylfaen" w:hAnsi="Sylfaen" w:cs="Sylfaen"/>
        </w:rPr>
        <w:t>ფუნქციონირების</w:t>
      </w:r>
      <w:r w:rsidRPr="001352AB">
        <w:t xml:space="preserve"> </w:t>
      </w:r>
      <w:r w:rsidRPr="001352AB">
        <w:rPr>
          <w:rFonts w:ascii="Sylfaen" w:hAnsi="Sylfaen" w:cs="Sylfaen"/>
        </w:rPr>
        <w:t>აღდგენას</w:t>
      </w:r>
      <w:r w:rsidRPr="001352AB">
        <w:t xml:space="preserve"> </w:t>
      </w:r>
      <w:r w:rsidRPr="001352AB">
        <w:rPr>
          <w:rFonts w:ascii="Sylfaen" w:hAnsi="Sylfaen" w:cs="Sylfaen"/>
        </w:rPr>
        <w:t>შეიძლება</w:t>
      </w:r>
      <w:r w:rsidRPr="001352AB">
        <w:t xml:space="preserve"> </w:t>
      </w:r>
      <w:r w:rsidRPr="001352AB">
        <w:rPr>
          <w:rFonts w:ascii="Sylfaen" w:hAnsi="Sylfaen" w:cs="Sylfaen"/>
        </w:rPr>
        <w:t>რამდენიმე</w:t>
      </w:r>
      <w:r w:rsidRPr="001352AB">
        <w:t xml:space="preserve"> </w:t>
      </w:r>
      <w:r w:rsidRPr="001352AB">
        <w:rPr>
          <w:rFonts w:ascii="Sylfaen" w:hAnsi="Sylfaen" w:cs="Sylfaen"/>
        </w:rPr>
        <w:t>წელი</w:t>
      </w:r>
      <w:r w:rsidRPr="001352AB">
        <w:t xml:space="preserve"> </w:t>
      </w:r>
      <w:r w:rsidRPr="001352AB">
        <w:rPr>
          <w:rFonts w:ascii="Sylfaen" w:hAnsi="Sylfaen" w:cs="Sylfaen"/>
        </w:rPr>
        <w:t>დასჭირდეს</w:t>
      </w:r>
      <w:r w:rsidRPr="001352AB">
        <w:t xml:space="preserve">, </w:t>
      </w:r>
      <w:r w:rsidRPr="001352AB">
        <w:rPr>
          <w:rFonts w:ascii="Sylfaen" w:hAnsi="Sylfaen" w:cs="Sylfaen"/>
        </w:rPr>
        <w:t>რაც</w:t>
      </w:r>
      <w:r w:rsidRPr="001352AB">
        <w:t xml:space="preserve"> </w:t>
      </w:r>
      <w:r w:rsidRPr="001352AB">
        <w:rPr>
          <w:rFonts w:ascii="Sylfaen" w:hAnsi="Sylfaen" w:cs="Sylfaen"/>
        </w:rPr>
        <w:t>ეკოსისტემებზე</w:t>
      </w:r>
      <w:r w:rsidRPr="001352AB">
        <w:t xml:space="preserve"> </w:t>
      </w:r>
      <w:r w:rsidRPr="001352AB">
        <w:rPr>
          <w:rFonts w:ascii="Sylfaen" w:hAnsi="Sylfaen" w:cs="Sylfaen"/>
        </w:rPr>
        <w:t>უარყოფით</w:t>
      </w:r>
      <w:r w:rsidRPr="001352AB">
        <w:t xml:space="preserve"> </w:t>
      </w:r>
      <w:r w:rsidRPr="001352AB">
        <w:rPr>
          <w:rFonts w:ascii="Sylfaen" w:hAnsi="Sylfaen" w:cs="Sylfaen"/>
        </w:rPr>
        <w:t>გავლენას</w:t>
      </w:r>
      <w:r w:rsidRPr="001352AB">
        <w:t xml:space="preserve"> </w:t>
      </w:r>
      <w:r w:rsidRPr="001352AB">
        <w:rPr>
          <w:rFonts w:ascii="Sylfaen" w:hAnsi="Sylfaen" w:cs="Sylfaen"/>
        </w:rPr>
        <w:t>იქონიებს</w:t>
      </w:r>
      <w:r w:rsidRPr="001352AB">
        <w:t xml:space="preserve">. </w:t>
      </w:r>
    </w:p>
    <w:p w14:paraId="7BDD10CD" w14:textId="77777777" w:rsidR="00CD64B5" w:rsidRPr="001352AB" w:rsidRDefault="00CD64B5" w:rsidP="000E38C6">
      <w:pPr>
        <w:spacing w:before="120" w:after="120"/>
      </w:pPr>
      <w:r w:rsidRPr="001352AB">
        <w:rPr>
          <w:rFonts w:ascii="Sylfaen" w:hAnsi="Sylfaen" w:cs="Sylfaen"/>
        </w:rPr>
        <w:t>მშენებლობის</w:t>
      </w:r>
      <w:r w:rsidRPr="001352AB">
        <w:t xml:space="preserve"> </w:t>
      </w:r>
      <w:r w:rsidRPr="001352AB">
        <w:rPr>
          <w:rFonts w:ascii="Sylfaen" w:hAnsi="Sylfaen" w:cs="Sylfaen"/>
        </w:rPr>
        <w:t>პროცესში</w:t>
      </w:r>
      <w:r w:rsidRPr="001352AB">
        <w:t xml:space="preserve">, </w:t>
      </w:r>
      <w:r w:rsidRPr="001352AB">
        <w:rPr>
          <w:rFonts w:ascii="Sylfaen" w:hAnsi="Sylfaen" w:cs="Sylfaen"/>
        </w:rPr>
        <w:t>მცენარეულ</w:t>
      </w:r>
      <w:r w:rsidRPr="001352AB">
        <w:t xml:space="preserve"> </w:t>
      </w:r>
      <w:r w:rsidRPr="001352AB">
        <w:rPr>
          <w:rFonts w:ascii="Sylfaen" w:hAnsi="Sylfaen" w:cs="Sylfaen"/>
        </w:rPr>
        <w:t>საფარზე</w:t>
      </w:r>
      <w:r w:rsidRPr="001352AB">
        <w:t xml:space="preserve"> </w:t>
      </w:r>
      <w:r w:rsidRPr="001352AB">
        <w:rPr>
          <w:rFonts w:ascii="Sylfaen" w:hAnsi="Sylfaen" w:cs="Sylfaen"/>
        </w:rPr>
        <w:t>მავნე</w:t>
      </w:r>
      <w:r w:rsidRPr="001352AB">
        <w:t xml:space="preserve"> </w:t>
      </w:r>
      <w:r w:rsidRPr="001352AB">
        <w:rPr>
          <w:rFonts w:ascii="Sylfaen" w:hAnsi="Sylfaen" w:cs="Sylfaen"/>
        </w:rPr>
        <w:t>ზემოქმედებების</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აცილების</w:t>
      </w:r>
      <w:r w:rsidRPr="001352AB">
        <w:t xml:space="preserve">, </w:t>
      </w:r>
      <w:r w:rsidRPr="001352AB">
        <w:rPr>
          <w:rFonts w:ascii="Sylfaen" w:hAnsi="Sylfaen" w:cs="Sylfaen"/>
        </w:rPr>
        <w:t>გამოსწორებისა</w:t>
      </w:r>
      <w:r w:rsidRPr="001352AB">
        <w:t xml:space="preserve"> </w:t>
      </w:r>
      <w:r w:rsidRPr="001352AB">
        <w:rPr>
          <w:rFonts w:ascii="Sylfaen" w:hAnsi="Sylfaen" w:cs="Sylfaen"/>
        </w:rPr>
        <w:t>და</w:t>
      </w:r>
      <w:r w:rsidRPr="001352AB">
        <w:t xml:space="preserve"> </w:t>
      </w:r>
      <w:r w:rsidRPr="001352AB">
        <w:rPr>
          <w:rFonts w:ascii="Sylfaen" w:hAnsi="Sylfaen" w:cs="Sylfaen"/>
        </w:rPr>
        <w:t>კომპენსაციის</w:t>
      </w:r>
      <w:r w:rsidRPr="001352AB">
        <w:t xml:space="preserve"> </w:t>
      </w:r>
      <w:r w:rsidRPr="001352AB">
        <w:rPr>
          <w:rFonts w:ascii="Sylfaen" w:hAnsi="Sylfaen" w:cs="Sylfaen"/>
        </w:rPr>
        <w:t>მიზნით</w:t>
      </w:r>
      <w:r w:rsidRPr="001352AB">
        <w:t xml:space="preserve">, </w:t>
      </w:r>
      <w:r w:rsidRPr="001352AB">
        <w:rPr>
          <w:rFonts w:ascii="Sylfaen" w:hAnsi="Sylfaen" w:cs="Sylfaen"/>
        </w:rPr>
        <w:t>უნდა</w:t>
      </w:r>
      <w:r w:rsidRPr="001352AB">
        <w:t xml:space="preserve"> </w:t>
      </w:r>
      <w:r w:rsidRPr="001352AB">
        <w:rPr>
          <w:rFonts w:ascii="Sylfaen" w:hAnsi="Sylfaen" w:cs="Sylfaen"/>
        </w:rPr>
        <w:t>შეიქმნას</w:t>
      </w:r>
      <w:r w:rsidRPr="001352AB">
        <w:t xml:space="preserve"> </w:t>
      </w:r>
      <w:r w:rsidRPr="001352AB">
        <w:rPr>
          <w:rFonts w:ascii="Sylfaen" w:hAnsi="Sylfaen" w:cs="Sylfaen"/>
        </w:rPr>
        <w:t>გარემოს</w:t>
      </w:r>
      <w:r w:rsidRPr="001352AB">
        <w:t xml:space="preserve"> </w:t>
      </w:r>
      <w:r w:rsidRPr="001352AB">
        <w:rPr>
          <w:rFonts w:ascii="Sylfaen" w:hAnsi="Sylfaen" w:cs="Sylfaen"/>
        </w:rPr>
        <w:t>დაცვის</w:t>
      </w:r>
      <w:r w:rsidRPr="001352AB">
        <w:t xml:space="preserve"> </w:t>
      </w:r>
      <w:r w:rsidRPr="001352AB">
        <w:rPr>
          <w:rFonts w:ascii="Sylfaen" w:hAnsi="Sylfaen" w:cs="Sylfaen"/>
        </w:rPr>
        <w:t>მონიტორინგის</w:t>
      </w:r>
      <w:r w:rsidRPr="001352AB">
        <w:t xml:space="preserve"> </w:t>
      </w:r>
      <w:r w:rsidRPr="001352AB">
        <w:rPr>
          <w:rFonts w:ascii="Sylfaen" w:hAnsi="Sylfaen" w:cs="Sylfaen"/>
        </w:rPr>
        <w:t>მუდმივმოქმედი</w:t>
      </w:r>
      <w:r w:rsidRPr="001352AB">
        <w:t xml:space="preserve"> </w:t>
      </w:r>
      <w:r w:rsidRPr="001352AB">
        <w:rPr>
          <w:rFonts w:ascii="Sylfaen" w:hAnsi="Sylfaen" w:cs="Sylfaen"/>
        </w:rPr>
        <w:t>ჯგუფი</w:t>
      </w:r>
      <w:r w:rsidRPr="001352AB">
        <w:t xml:space="preserve">, </w:t>
      </w:r>
      <w:r w:rsidRPr="001352AB">
        <w:rPr>
          <w:rFonts w:ascii="Sylfaen" w:hAnsi="Sylfaen" w:cs="Sylfaen"/>
        </w:rPr>
        <w:t>რომელიც</w:t>
      </w:r>
      <w:r w:rsidRPr="001352AB">
        <w:t xml:space="preserve">  </w:t>
      </w:r>
      <w:r w:rsidRPr="001352AB">
        <w:rPr>
          <w:rFonts w:ascii="Sylfaen" w:hAnsi="Sylfaen" w:cs="Sylfaen"/>
        </w:rPr>
        <w:t>განახორციელებს</w:t>
      </w:r>
      <w:r w:rsidRPr="001352AB">
        <w:t xml:space="preserve"> </w:t>
      </w:r>
      <w:r w:rsidRPr="001352AB">
        <w:rPr>
          <w:rFonts w:ascii="Sylfaen" w:hAnsi="Sylfaen" w:cs="Sylfaen"/>
        </w:rPr>
        <w:t>სამიზნე</w:t>
      </w:r>
      <w:r w:rsidRPr="001352AB">
        <w:t xml:space="preserve"> </w:t>
      </w:r>
      <w:r w:rsidRPr="001352AB">
        <w:rPr>
          <w:rFonts w:ascii="Sylfaen" w:hAnsi="Sylfaen" w:cs="Sylfaen"/>
        </w:rPr>
        <w:t>ტერიტორიების</w:t>
      </w:r>
      <w:r w:rsidRPr="001352AB">
        <w:t xml:space="preserve"> </w:t>
      </w:r>
      <w:r w:rsidRPr="001352AB">
        <w:rPr>
          <w:rFonts w:ascii="Sylfaen" w:hAnsi="Sylfaen" w:cs="Sylfaen"/>
        </w:rPr>
        <w:t>მონიტორინგს</w:t>
      </w:r>
      <w:r w:rsidRPr="001352AB">
        <w:t xml:space="preserve"> </w:t>
      </w:r>
      <w:r w:rsidRPr="001352AB">
        <w:rPr>
          <w:rFonts w:ascii="Sylfaen" w:hAnsi="Sylfaen" w:cs="Sylfaen"/>
        </w:rPr>
        <w:t>გარემოს</w:t>
      </w:r>
      <w:r w:rsidRPr="001352AB">
        <w:t xml:space="preserve"> </w:t>
      </w:r>
      <w:r w:rsidRPr="001352AB">
        <w:rPr>
          <w:rFonts w:ascii="Sylfaen" w:hAnsi="Sylfaen" w:cs="Sylfaen"/>
        </w:rPr>
        <w:t>სხვა</w:t>
      </w:r>
      <w:r w:rsidRPr="001352AB">
        <w:t xml:space="preserve"> </w:t>
      </w:r>
      <w:r w:rsidRPr="001352AB">
        <w:rPr>
          <w:rFonts w:ascii="Sylfaen" w:hAnsi="Sylfaen" w:cs="Sylfaen"/>
        </w:rPr>
        <w:t>კომპონენტებთან</w:t>
      </w:r>
      <w:r w:rsidRPr="001352AB">
        <w:t xml:space="preserve"> </w:t>
      </w:r>
      <w:r w:rsidRPr="001352AB">
        <w:rPr>
          <w:rFonts w:ascii="Sylfaen" w:hAnsi="Sylfaen" w:cs="Sylfaen"/>
        </w:rPr>
        <w:t>ერთად</w:t>
      </w:r>
      <w:r w:rsidRPr="001352AB">
        <w:t xml:space="preserve">. </w:t>
      </w:r>
    </w:p>
    <w:p w14:paraId="6ADA78B7" w14:textId="77777777" w:rsidR="00CD64B5" w:rsidRPr="001352AB" w:rsidRDefault="00CD64B5" w:rsidP="000E38C6">
      <w:pPr>
        <w:spacing w:before="120" w:after="120"/>
      </w:pPr>
      <w:r w:rsidRPr="001352AB">
        <w:rPr>
          <w:rFonts w:ascii="Sylfaen" w:hAnsi="Sylfaen" w:cs="Sylfaen"/>
        </w:rPr>
        <w:t>მშენებლობის</w:t>
      </w:r>
      <w:r w:rsidRPr="001352AB">
        <w:t xml:space="preserve"> </w:t>
      </w:r>
      <w:r w:rsidRPr="001352AB">
        <w:rPr>
          <w:rFonts w:ascii="Sylfaen" w:hAnsi="Sylfaen" w:cs="Sylfaen"/>
        </w:rPr>
        <w:t>ეტაპზე</w:t>
      </w:r>
      <w:r w:rsidRPr="001352AB">
        <w:t xml:space="preserve"> </w:t>
      </w:r>
      <w:r w:rsidRPr="001352AB">
        <w:rPr>
          <w:rFonts w:ascii="Sylfaen" w:hAnsi="Sylfaen" w:cs="Sylfaen"/>
        </w:rPr>
        <w:t>მცენარეულ</w:t>
      </w:r>
      <w:r w:rsidRPr="001352AB">
        <w:t xml:space="preserve"> </w:t>
      </w:r>
      <w:r w:rsidRPr="001352AB">
        <w:rPr>
          <w:rFonts w:ascii="Sylfaen" w:hAnsi="Sylfaen" w:cs="Sylfaen"/>
        </w:rPr>
        <w:t>საფარზე</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შეიძლება</w:t>
      </w:r>
      <w:r w:rsidRPr="001352AB">
        <w:t xml:space="preserve"> </w:t>
      </w:r>
      <w:r w:rsidRPr="001352AB">
        <w:rPr>
          <w:rFonts w:ascii="Sylfaen" w:hAnsi="Sylfaen" w:cs="Sylfaen"/>
        </w:rPr>
        <w:t>ჩაითვალოს</w:t>
      </w:r>
      <w:r w:rsidRPr="001352AB">
        <w:t xml:space="preserve"> </w:t>
      </w:r>
      <w:r w:rsidRPr="001352AB">
        <w:rPr>
          <w:rFonts w:ascii="Sylfaen" w:hAnsi="Sylfaen" w:cs="Sylfaen"/>
        </w:rPr>
        <w:t>როგორც</w:t>
      </w:r>
      <w:r w:rsidRPr="001352AB">
        <w:t xml:space="preserve"> </w:t>
      </w:r>
      <w:r w:rsidRPr="001352AB">
        <w:rPr>
          <w:rFonts w:ascii="Sylfaen" w:hAnsi="Sylfaen" w:cs="Sylfaen"/>
        </w:rPr>
        <w:t>დაბალი</w:t>
      </w:r>
      <w:r w:rsidRPr="001352AB">
        <w:t xml:space="preserve">. </w:t>
      </w:r>
    </w:p>
    <w:p w14:paraId="5A55F924" w14:textId="77777777" w:rsidR="00CD64B5" w:rsidRPr="001352AB" w:rsidRDefault="00CD64B5" w:rsidP="000E38C6">
      <w:pPr>
        <w:spacing w:before="120" w:after="120"/>
      </w:pPr>
    </w:p>
    <w:p w14:paraId="2F43D33D" w14:textId="77777777" w:rsidR="00CD64B5" w:rsidRPr="000E38C6" w:rsidRDefault="00CD64B5" w:rsidP="000E38C6">
      <w:pPr>
        <w:spacing w:before="120" w:after="120"/>
        <w:rPr>
          <w:b/>
        </w:rPr>
      </w:pPr>
      <w:r w:rsidRPr="000E38C6">
        <w:rPr>
          <w:rFonts w:ascii="Sylfaen" w:hAnsi="Sylfaen" w:cs="Sylfaen"/>
          <w:b/>
        </w:rPr>
        <w:t>შემარბილებელი</w:t>
      </w:r>
      <w:r w:rsidRPr="000E38C6">
        <w:rPr>
          <w:b/>
        </w:rPr>
        <w:t xml:space="preserve"> </w:t>
      </w:r>
      <w:r w:rsidRPr="000E38C6">
        <w:rPr>
          <w:rFonts w:ascii="Sylfaen" w:hAnsi="Sylfaen" w:cs="Sylfaen"/>
          <w:b/>
        </w:rPr>
        <w:t>ღონისძიებები</w:t>
      </w:r>
      <w:r w:rsidRPr="000E38C6">
        <w:rPr>
          <w:b/>
        </w:rPr>
        <w:t xml:space="preserve"> - </w:t>
      </w:r>
      <w:r w:rsidRPr="000E38C6">
        <w:rPr>
          <w:rFonts w:ascii="Sylfaen" w:hAnsi="Sylfaen" w:cs="Sylfaen"/>
          <w:b/>
        </w:rPr>
        <w:t>მოსამზადებელი</w:t>
      </w:r>
      <w:r w:rsidRPr="000E38C6">
        <w:rPr>
          <w:b/>
        </w:rPr>
        <w:t xml:space="preserve"> </w:t>
      </w:r>
      <w:r w:rsidRPr="000E38C6">
        <w:rPr>
          <w:rFonts w:ascii="Sylfaen" w:hAnsi="Sylfaen" w:cs="Sylfaen"/>
          <w:b/>
        </w:rPr>
        <w:t>სამუშაოების</w:t>
      </w:r>
      <w:r w:rsidRPr="000E38C6">
        <w:rPr>
          <w:b/>
        </w:rPr>
        <w:t xml:space="preserve"> </w:t>
      </w:r>
      <w:r w:rsidRPr="000E38C6">
        <w:rPr>
          <w:rFonts w:ascii="Sylfaen" w:hAnsi="Sylfaen" w:cs="Sylfaen"/>
          <w:b/>
        </w:rPr>
        <w:t>და</w:t>
      </w:r>
      <w:r w:rsidRPr="000E38C6">
        <w:rPr>
          <w:b/>
        </w:rPr>
        <w:t xml:space="preserve"> </w:t>
      </w:r>
      <w:r w:rsidRPr="000E38C6">
        <w:rPr>
          <w:rFonts w:ascii="Sylfaen" w:hAnsi="Sylfaen" w:cs="Sylfaen"/>
          <w:b/>
        </w:rPr>
        <w:t>მშენებლობის</w:t>
      </w:r>
      <w:r w:rsidRPr="000E38C6">
        <w:rPr>
          <w:b/>
        </w:rPr>
        <w:t xml:space="preserve"> </w:t>
      </w:r>
      <w:r w:rsidRPr="000E38C6">
        <w:rPr>
          <w:rFonts w:ascii="Sylfaen" w:hAnsi="Sylfaen" w:cs="Sylfaen"/>
          <w:b/>
        </w:rPr>
        <w:t>ფაზა</w:t>
      </w:r>
    </w:p>
    <w:p w14:paraId="580B99FC" w14:textId="77777777" w:rsidR="00CD64B5" w:rsidRPr="001352AB" w:rsidRDefault="00CD64B5" w:rsidP="000E38C6">
      <w:pPr>
        <w:spacing w:before="120" w:after="120"/>
        <w:rPr>
          <w:lang w:eastAsia="en-US"/>
        </w:rPr>
      </w:pPr>
      <w:r w:rsidRPr="001352AB">
        <w:rPr>
          <w:rFonts w:ascii="Sylfaen" w:hAnsi="Sylfaen" w:cs="Sylfaen"/>
        </w:rPr>
        <w:t>უარყოფითი</w:t>
      </w:r>
      <w:r w:rsidRPr="001352AB">
        <w:t xml:space="preserve"> </w:t>
      </w:r>
      <w:r w:rsidRPr="001352AB">
        <w:rPr>
          <w:rFonts w:ascii="Sylfaen" w:hAnsi="Sylfaen" w:cs="Sylfaen"/>
        </w:rPr>
        <w:t>ზემოქმედების</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აცილების</w:t>
      </w:r>
      <w:r w:rsidRPr="001352AB">
        <w:t xml:space="preserve"> </w:t>
      </w:r>
      <w:r w:rsidRPr="001352AB">
        <w:rPr>
          <w:rFonts w:ascii="Sylfaen" w:hAnsi="Sylfaen" w:cs="Sylfaen"/>
        </w:rPr>
        <w:t>ან</w:t>
      </w:r>
      <w:r w:rsidRPr="001352AB">
        <w:t xml:space="preserve"> </w:t>
      </w:r>
      <w:r w:rsidRPr="001352AB">
        <w:rPr>
          <w:rFonts w:ascii="Sylfaen" w:hAnsi="Sylfaen" w:cs="Sylfaen"/>
        </w:rPr>
        <w:t>შერბილების</w:t>
      </w:r>
      <w:r w:rsidRPr="001352AB">
        <w:t xml:space="preserve"> </w:t>
      </w:r>
      <w:r w:rsidRPr="001352AB">
        <w:rPr>
          <w:rFonts w:ascii="Sylfaen" w:hAnsi="Sylfaen" w:cs="Sylfaen"/>
        </w:rPr>
        <w:t>მიზნით</w:t>
      </w:r>
      <w:r w:rsidRPr="001352AB">
        <w:t xml:space="preserve"> </w:t>
      </w:r>
      <w:r w:rsidRPr="001352AB">
        <w:rPr>
          <w:rFonts w:ascii="Sylfaen" w:hAnsi="Sylfaen" w:cs="Sylfaen"/>
        </w:rPr>
        <w:t>პროექტის</w:t>
      </w:r>
      <w:r w:rsidRPr="001352AB">
        <w:t xml:space="preserve"> </w:t>
      </w:r>
      <w:r w:rsidRPr="001352AB">
        <w:rPr>
          <w:rFonts w:ascii="Sylfaen" w:hAnsi="Sylfaen" w:cs="Sylfaen"/>
        </w:rPr>
        <w:t>განხორციელების</w:t>
      </w:r>
      <w:r w:rsidRPr="001352AB">
        <w:t xml:space="preserve"> </w:t>
      </w:r>
      <w:r w:rsidRPr="001352AB">
        <w:rPr>
          <w:rFonts w:ascii="Sylfaen" w:hAnsi="Sylfaen" w:cs="Sylfaen"/>
        </w:rPr>
        <w:t>უბნებზე</w:t>
      </w:r>
      <w:r w:rsidRPr="001352AB">
        <w:t xml:space="preserve"> </w:t>
      </w:r>
      <w:r w:rsidRPr="001352AB">
        <w:rPr>
          <w:rFonts w:ascii="Sylfaen" w:hAnsi="Sylfaen" w:cs="Sylfaen"/>
        </w:rPr>
        <w:t>საქმიანობა</w:t>
      </w:r>
      <w:r w:rsidRPr="001352AB">
        <w:t xml:space="preserve">  </w:t>
      </w:r>
      <w:r w:rsidRPr="001352AB">
        <w:rPr>
          <w:rFonts w:ascii="Sylfaen" w:hAnsi="Sylfaen" w:cs="Sylfaen"/>
        </w:rPr>
        <w:t>განხორციელდება</w:t>
      </w:r>
      <w:r w:rsidRPr="001352AB">
        <w:t xml:space="preserve"> </w:t>
      </w:r>
      <w:r w:rsidRPr="001352AB">
        <w:rPr>
          <w:rFonts w:ascii="Sylfaen" w:hAnsi="Sylfaen" w:cs="Sylfaen"/>
        </w:rPr>
        <w:t>შემდეგი</w:t>
      </w:r>
      <w:r w:rsidRPr="001352AB">
        <w:t xml:space="preserve"> </w:t>
      </w:r>
      <w:r w:rsidRPr="001352AB">
        <w:rPr>
          <w:rFonts w:ascii="Sylfaen" w:hAnsi="Sylfaen" w:cs="Sylfaen"/>
        </w:rPr>
        <w:t>გარემოსდაცვითი</w:t>
      </w:r>
      <w:r w:rsidRPr="001352AB">
        <w:t xml:space="preserve">/ </w:t>
      </w:r>
      <w:r w:rsidRPr="001352AB">
        <w:rPr>
          <w:rFonts w:ascii="Sylfaen" w:hAnsi="Sylfaen" w:cs="Sylfaen"/>
        </w:rPr>
        <w:t>უსაფრთხოების</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გათვალისწინებით</w:t>
      </w:r>
      <w:r w:rsidRPr="001352AB">
        <w:t>:</w:t>
      </w:r>
    </w:p>
    <w:p w14:paraId="501F35AF" w14:textId="77777777" w:rsidR="00CD64B5" w:rsidRPr="001352AB" w:rsidRDefault="00CD64B5" w:rsidP="000E38C6">
      <w:pPr>
        <w:spacing w:before="120" w:after="120"/>
        <w:rPr>
          <w:lang w:eastAsia="en-GB"/>
        </w:rPr>
      </w:pPr>
      <w:r w:rsidRPr="001352AB">
        <w:rPr>
          <w:rFonts w:ascii="Sylfaen" w:hAnsi="Sylfaen" w:cs="Sylfaen"/>
        </w:rPr>
        <w:t>მშენებლობის</w:t>
      </w:r>
      <w:r w:rsidRPr="001352AB">
        <w:t xml:space="preserve"> </w:t>
      </w:r>
      <w:r w:rsidRPr="001352AB">
        <w:rPr>
          <w:rFonts w:ascii="Sylfaen" w:hAnsi="Sylfaen" w:cs="Sylfaen"/>
        </w:rPr>
        <w:t>დროს</w:t>
      </w:r>
      <w:r w:rsidRPr="001352AB">
        <w:t xml:space="preserve"> </w:t>
      </w:r>
      <w:r w:rsidRPr="001352AB">
        <w:rPr>
          <w:rFonts w:ascii="Sylfaen" w:hAnsi="Sylfaen" w:cs="Sylfaen"/>
        </w:rPr>
        <w:t>მცენარეული</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გაუმართლებელი</w:t>
      </w:r>
      <w:r w:rsidRPr="001352AB">
        <w:t xml:space="preserve"> </w:t>
      </w:r>
      <w:r w:rsidRPr="001352AB">
        <w:rPr>
          <w:rFonts w:ascii="Sylfaen" w:hAnsi="Sylfaen" w:cs="Sylfaen"/>
        </w:rPr>
        <w:t>დაზიანება</w:t>
      </w:r>
      <w:r w:rsidRPr="001352AB">
        <w:t xml:space="preserve"> „</w:t>
      </w:r>
      <w:r w:rsidRPr="001352AB">
        <w:rPr>
          <w:rFonts w:ascii="Sylfaen" w:hAnsi="Sylfaen" w:cs="Sylfaen"/>
        </w:rPr>
        <w:t>მოსაზღვრე</w:t>
      </w:r>
      <w:r w:rsidRPr="001352AB">
        <w:t xml:space="preserve">“ </w:t>
      </w:r>
      <w:r w:rsidRPr="001352AB">
        <w:rPr>
          <w:rFonts w:ascii="Sylfaen" w:hAnsi="Sylfaen" w:cs="Sylfaen"/>
        </w:rPr>
        <w:t>ტერიტორიაზე</w:t>
      </w:r>
      <w:r w:rsidRPr="001352AB">
        <w:t xml:space="preserve"> </w:t>
      </w:r>
      <w:r w:rsidRPr="001352AB">
        <w:rPr>
          <w:rFonts w:ascii="Sylfaen" w:hAnsi="Sylfaen" w:cs="Sylfaen"/>
        </w:rPr>
        <w:t>აცილებული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მისასვლელი</w:t>
      </w:r>
      <w:r w:rsidRPr="001352AB">
        <w:t xml:space="preserve"> </w:t>
      </w:r>
      <w:r w:rsidRPr="001352AB">
        <w:rPr>
          <w:rFonts w:ascii="Sylfaen" w:hAnsi="Sylfaen" w:cs="Sylfaen"/>
        </w:rPr>
        <w:t>გზების</w:t>
      </w:r>
      <w:r w:rsidRPr="001352AB">
        <w:t xml:space="preserve">, </w:t>
      </w:r>
      <w:r w:rsidRPr="001352AB">
        <w:rPr>
          <w:rFonts w:ascii="Sylfaen" w:hAnsi="Sylfaen" w:cs="Sylfaen"/>
        </w:rPr>
        <w:t>მანქანა</w:t>
      </w:r>
      <w:r w:rsidRPr="001352AB">
        <w:t>/</w:t>
      </w:r>
      <w:r w:rsidRPr="001352AB">
        <w:rPr>
          <w:rFonts w:ascii="Sylfaen" w:hAnsi="Sylfaen" w:cs="Sylfaen"/>
        </w:rPr>
        <w:t>დანადგარების</w:t>
      </w:r>
      <w:r w:rsidRPr="001352AB">
        <w:t xml:space="preserve"> </w:t>
      </w:r>
      <w:r w:rsidRPr="001352AB">
        <w:rPr>
          <w:rFonts w:ascii="Sylfaen" w:hAnsi="Sylfaen" w:cs="Sylfaen"/>
        </w:rPr>
        <w:t>სადგომების</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ბანაკების</w:t>
      </w:r>
      <w:r w:rsidRPr="001352AB">
        <w:t xml:space="preserve">  </w:t>
      </w:r>
      <w:r w:rsidRPr="001352AB">
        <w:rPr>
          <w:rFonts w:ascii="Sylfaen" w:hAnsi="Sylfaen" w:cs="Sylfaen"/>
        </w:rPr>
        <w:t>საზღვრების</w:t>
      </w:r>
      <w:r w:rsidRPr="001352AB">
        <w:t xml:space="preserve"> </w:t>
      </w:r>
      <w:r w:rsidRPr="001352AB">
        <w:rPr>
          <w:rFonts w:ascii="Sylfaen" w:hAnsi="Sylfaen" w:cs="Sylfaen"/>
        </w:rPr>
        <w:t>მკაცრი</w:t>
      </w:r>
      <w:r w:rsidRPr="001352AB">
        <w:t xml:space="preserve"> </w:t>
      </w:r>
      <w:r w:rsidRPr="001352AB">
        <w:rPr>
          <w:rFonts w:ascii="Sylfaen" w:hAnsi="Sylfaen" w:cs="Sylfaen"/>
        </w:rPr>
        <w:t>დაცვით</w:t>
      </w:r>
      <w:r w:rsidRPr="001352AB">
        <w:t xml:space="preserve">. </w:t>
      </w:r>
    </w:p>
    <w:p w14:paraId="585B4BF2" w14:textId="77777777" w:rsidR="00CD64B5" w:rsidRPr="001352AB" w:rsidRDefault="00CD64B5" w:rsidP="000E38C6">
      <w:pPr>
        <w:spacing w:before="120" w:after="120"/>
      </w:pPr>
      <w:r w:rsidRPr="001352AB">
        <w:rPr>
          <w:rFonts w:ascii="Sylfaen" w:hAnsi="Sylfaen" w:cs="Sylfaen"/>
        </w:rPr>
        <w:t>აკრძალული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დადგენილი</w:t>
      </w:r>
      <w:r w:rsidRPr="001352AB">
        <w:t xml:space="preserve"> </w:t>
      </w:r>
      <w:r w:rsidRPr="001352AB">
        <w:rPr>
          <w:rFonts w:ascii="Sylfaen" w:hAnsi="Sylfaen" w:cs="Sylfaen"/>
        </w:rPr>
        <w:t>მარშრუტიდან</w:t>
      </w:r>
      <w:r w:rsidRPr="001352AB">
        <w:t xml:space="preserve"> </w:t>
      </w:r>
      <w:r w:rsidRPr="001352AB">
        <w:rPr>
          <w:rFonts w:ascii="Sylfaen" w:hAnsi="Sylfaen" w:cs="Sylfaen"/>
        </w:rPr>
        <w:t>გადახვევა</w:t>
      </w:r>
      <w:r w:rsidRPr="001352AB">
        <w:t xml:space="preserve"> </w:t>
      </w:r>
      <w:r w:rsidRPr="001352AB">
        <w:rPr>
          <w:rFonts w:ascii="Sylfaen" w:hAnsi="Sylfaen" w:cs="Sylfaen"/>
        </w:rPr>
        <w:t>და</w:t>
      </w:r>
      <w:r w:rsidRPr="001352AB">
        <w:t xml:space="preserve"> </w:t>
      </w:r>
      <w:r w:rsidRPr="001352AB">
        <w:rPr>
          <w:rFonts w:ascii="Sylfaen" w:hAnsi="Sylfaen" w:cs="Sylfaen"/>
        </w:rPr>
        <w:t>მცენარეული</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დაზიანება</w:t>
      </w:r>
      <w:r w:rsidRPr="001352AB">
        <w:t>.</w:t>
      </w:r>
    </w:p>
    <w:p w14:paraId="417D66CB" w14:textId="77777777" w:rsidR="00CD64B5" w:rsidRPr="001352AB" w:rsidRDefault="00CD64B5" w:rsidP="000E38C6">
      <w:pPr>
        <w:spacing w:before="120" w:after="120"/>
      </w:pPr>
      <w:r w:rsidRPr="001352AB">
        <w:rPr>
          <w:rFonts w:ascii="Sylfaen" w:hAnsi="Sylfaen" w:cs="Sylfaen"/>
        </w:rPr>
        <w:t>გასხვისების</w:t>
      </w:r>
      <w:r w:rsidRPr="001352AB">
        <w:t xml:space="preserve"> </w:t>
      </w:r>
      <w:r w:rsidRPr="001352AB">
        <w:rPr>
          <w:rFonts w:ascii="Sylfaen" w:hAnsi="Sylfaen" w:cs="Sylfaen"/>
        </w:rPr>
        <w:t>ზოლისა</w:t>
      </w:r>
      <w:r w:rsidRPr="001352AB">
        <w:t xml:space="preserve"> </w:t>
      </w:r>
      <w:r w:rsidRPr="001352AB">
        <w:rPr>
          <w:rFonts w:ascii="Sylfaen" w:hAnsi="Sylfaen" w:cs="Sylfaen"/>
        </w:rPr>
        <w:t>და</w:t>
      </w:r>
      <w:r w:rsidRPr="001352AB">
        <w:t xml:space="preserve"> </w:t>
      </w:r>
      <w:r w:rsidRPr="001352AB">
        <w:rPr>
          <w:rFonts w:ascii="Sylfaen" w:hAnsi="Sylfaen" w:cs="Sylfaen"/>
        </w:rPr>
        <w:t>სამუშაო</w:t>
      </w:r>
      <w:r w:rsidRPr="001352AB">
        <w:t xml:space="preserve"> </w:t>
      </w:r>
      <w:r w:rsidRPr="001352AB">
        <w:rPr>
          <w:rFonts w:ascii="Sylfaen" w:hAnsi="Sylfaen" w:cs="Sylfaen"/>
        </w:rPr>
        <w:t>ტერიტორიის</w:t>
      </w:r>
      <w:r w:rsidRPr="001352AB">
        <w:t xml:space="preserve"> </w:t>
      </w:r>
      <w:r w:rsidRPr="001352AB">
        <w:rPr>
          <w:rFonts w:ascii="Sylfaen" w:hAnsi="Sylfaen" w:cs="Sylfaen"/>
        </w:rPr>
        <w:t>საზღვრები</w:t>
      </w:r>
      <w:r w:rsidRPr="001352AB">
        <w:t xml:space="preserve"> </w:t>
      </w:r>
      <w:r w:rsidRPr="001352AB">
        <w:rPr>
          <w:rFonts w:ascii="Sylfaen" w:hAnsi="Sylfaen" w:cs="Sylfaen"/>
        </w:rPr>
        <w:t>მკაცრად</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დაცული</w:t>
      </w:r>
      <w:r w:rsidRPr="001352AB">
        <w:t xml:space="preserve">, </w:t>
      </w:r>
      <w:r w:rsidRPr="001352AB">
        <w:rPr>
          <w:rFonts w:ascii="Sylfaen" w:hAnsi="Sylfaen" w:cs="Sylfaen"/>
        </w:rPr>
        <w:t>რათა</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იქნეს</w:t>
      </w:r>
      <w:r w:rsidRPr="001352AB">
        <w:t xml:space="preserve"> </w:t>
      </w:r>
      <w:r w:rsidRPr="001352AB">
        <w:rPr>
          <w:rFonts w:ascii="Sylfaen" w:hAnsi="Sylfaen" w:cs="Sylfaen"/>
        </w:rPr>
        <w:t>აცილებული</w:t>
      </w:r>
      <w:r w:rsidRPr="001352AB">
        <w:t>.</w:t>
      </w:r>
    </w:p>
    <w:p w14:paraId="02DD5876" w14:textId="77777777" w:rsidR="00CD64B5" w:rsidRPr="001352AB" w:rsidRDefault="00CD64B5" w:rsidP="000E38C6">
      <w:pPr>
        <w:spacing w:before="120" w:after="120"/>
      </w:pPr>
      <w:r w:rsidRPr="001352AB">
        <w:rPr>
          <w:rFonts w:ascii="Sylfaen" w:hAnsi="Sylfaen" w:cs="Sylfaen"/>
        </w:rPr>
        <w:lastRenderedPageBreak/>
        <w:t>უზრუნველყოფილი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ტექნიკის</w:t>
      </w:r>
      <w:r w:rsidRPr="001352AB">
        <w:t xml:space="preserve"> </w:t>
      </w:r>
      <w:r w:rsidRPr="001352AB">
        <w:rPr>
          <w:rFonts w:ascii="Sylfaen" w:hAnsi="Sylfaen" w:cs="Sylfaen"/>
        </w:rPr>
        <w:t>გამართულობა</w:t>
      </w:r>
      <w:r w:rsidRPr="001352AB">
        <w:t xml:space="preserve"> - </w:t>
      </w:r>
      <w:r w:rsidRPr="001352AB">
        <w:rPr>
          <w:rFonts w:ascii="Sylfaen" w:hAnsi="Sylfaen" w:cs="Sylfaen"/>
        </w:rPr>
        <w:t>ემისიის</w:t>
      </w:r>
      <w:r w:rsidRPr="001352AB">
        <w:t xml:space="preserve">, </w:t>
      </w:r>
      <w:r w:rsidRPr="001352AB">
        <w:rPr>
          <w:rFonts w:ascii="Sylfaen" w:hAnsi="Sylfaen" w:cs="Sylfaen"/>
        </w:rPr>
        <w:t>დაღვრების</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ასაცილებლად</w:t>
      </w:r>
      <w:r w:rsidRPr="001352AB">
        <w:t>.</w:t>
      </w:r>
    </w:p>
    <w:p w14:paraId="00974AC3" w14:textId="77777777" w:rsidR="00CD64B5" w:rsidRPr="001352AB" w:rsidRDefault="00CD64B5" w:rsidP="000E38C6">
      <w:pPr>
        <w:spacing w:before="120" w:after="120"/>
      </w:pPr>
      <w:r w:rsidRPr="001352AB">
        <w:rPr>
          <w:rFonts w:ascii="Sylfaen" w:hAnsi="Sylfaen" w:cs="Sylfaen"/>
        </w:rPr>
        <w:t>გამოყენებულ</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მტვრის</w:t>
      </w:r>
      <w:r w:rsidRPr="001352AB">
        <w:t xml:space="preserve"> </w:t>
      </w:r>
      <w:r w:rsidRPr="001352AB">
        <w:rPr>
          <w:rFonts w:ascii="Sylfaen" w:hAnsi="Sylfaen" w:cs="Sylfaen"/>
        </w:rPr>
        <w:t>ემისიების</w:t>
      </w:r>
      <w:r w:rsidRPr="001352AB">
        <w:t xml:space="preserve"> </w:t>
      </w:r>
      <w:r w:rsidRPr="001352AB">
        <w:rPr>
          <w:rFonts w:ascii="Sylfaen" w:hAnsi="Sylfaen" w:cs="Sylfaen"/>
        </w:rPr>
        <w:t>შემცირების</w:t>
      </w:r>
      <w:r w:rsidRPr="001352AB">
        <w:t xml:space="preserve"> </w:t>
      </w:r>
      <w:r w:rsidRPr="001352AB">
        <w:rPr>
          <w:rFonts w:ascii="Sylfaen" w:hAnsi="Sylfaen" w:cs="Sylfaen"/>
        </w:rPr>
        <w:t>ღონისძიებები</w:t>
      </w:r>
      <w:r w:rsidRPr="001352AB">
        <w:t xml:space="preserve">, </w:t>
      </w:r>
      <w:r w:rsidRPr="001352AB">
        <w:rPr>
          <w:rFonts w:ascii="Sylfaen" w:hAnsi="Sylfaen" w:cs="Sylfaen"/>
        </w:rPr>
        <w:t>როგორიცაა</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მასალების</w:t>
      </w:r>
      <w:r w:rsidRPr="001352AB">
        <w:t xml:space="preserve">, </w:t>
      </w:r>
      <w:r w:rsidRPr="001352AB">
        <w:rPr>
          <w:rFonts w:ascii="Sylfaen" w:hAnsi="Sylfaen" w:cs="Sylfaen"/>
        </w:rPr>
        <w:t>მოჭრილი</w:t>
      </w:r>
      <w:r w:rsidRPr="001352AB">
        <w:t xml:space="preserve"> </w:t>
      </w:r>
      <w:r w:rsidRPr="001352AB">
        <w:rPr>
          <w:rFonts w:ascii="Sylfaen" w:hAnsi="Sylfaen" w:cs="Sylfaen"/>
        </w:rPr>
        <w:t>გრუნტის</w:t>
      </w:r>
      <w:r w:rsidRPr="001352AB">
        <w:t xml:space="preserve"> </w:t>
      </w:r>
      <w:r w:rsidRPr="001352AB">
        <w:rPr>
          <w:rFonts w:ascii="Sylfaen" w:hAnsi="Sylfaen" w:cs="Sylfaen"/>
        </w:rPr>
        <w:t>ზედაპირის</w:t>
      </w:r>
      <w:r w:rsidRPr="001352AB">
        <w:t xml:space="preserve"> </w:t>
      </w:r>
      <w:r w:rsidRPr="001352AB">
        <w:rPr>
          <w:rFonts w:ascii="Sylfaen" w:hAnsi="Sylfaen" w:cs="Sylfaen"/>
        </w:rPr>
        <w:t>და</w:t>
      </w:r>
      <w:r w:rsidRPr="001352AB">
        <w:t xml:space="preserve"> </w:t>
      </w:r>
      <w:r w:rsidRPr="001352AB">
        <w:rPr>
          <w:rFonts w:ascii="Sylfaen" w:hAnsi="Sylfaen" w:cs="Sylfaen"/>
        </w:rPr>
        <w:t>ნარჩენების</w:t>
      </w:r>
      <w:r w:rsidRPr="001352AB">
        <w:t xml:space="preserve"> </w:t>
      </w:r>
      <w:r w:rsidRPr="001352AB">
        <w:rPr>
          <w:rFonts w:ascii="Sylfaen" w:hAnsi="Sylfaen" w:cs="Sylfaen"/>
        </w:rPr>
        <w:t>დაფარვა</w:t>
      </w:r>
      <w:r w:rsidRPr="001352AB">
        <w:t xml:space="preserve">, </w:t>
      </w:r>
      <w:r w:rsidRPr="001352AB">
        <w:rPr>
          <w:rFonts w:ascii="Sylfaen" w:hAnsi="Sylfaen" w:cs="Sylfaen"/>
        </w:rPr>
        <w:t>ქარისმიერი</w:t>
      </w:r>
      <w:r w:rsidRPr="001352AB">
        <w:t xml:space="preserve"> </w:t>
      </w:r>
      <w:r w:rsidRPr="001352AB">
        <w:rPr>
          <w:rFonts w:ascii="Sylfaen" w:hAnsi="Sylfaen" w:cs="Sylfaen"/>
        </w:rPr>
        <w:t>ეროზიისა</w:t>
      </w:r>
      <w:r w:rsidRPr="001352AB">
        <w:t xml:space="preserve"> </w:t>
      </w:r>
      <w:r w:rsidRPr="001352AB">
        <w:rPr>
          <w:rFonts w:ascii="Sylfaen" w:hAnsi="Sylfaen" w:cs="Sylfaen"/>
        </w:rPr>
        <w:t>და</w:t>
      </w:r>
      <w:r w:rsidRPr="001352AB">
        <w:t xml:space="preserve"> </w:t>
      </w:r>
      <w:r w:rsidRPr="001352AB">
        <w:rPr>
          <w:rFonts w:ascii="Sylfaen" w:hAnsi="Sylfaen" w:cs="Sylfaen"/>
        </w:rPr>
        <w:t>გაფანტვისგან</w:t>
      </w:r>
      <w:r w:rsidRPr="001352AB">
        <w:t xml:space="preserve"> </w:t>
      </w:r>
      <w:r w:rsidRPr="001352AB">
        <w:rPr>
          <w:rFonts w:ascii="Sylfaen" w:hAnsi="Sylfaen" w:cs="Sylfaen"/>
        </w:rPr>
        <w:t>მათი</w:t>
      </w:r>
      <w:r w:rsidRPr="001352AB">
        <w:t xml:space="preserve"> </w:t>
      </w:r>
      <w:r w:rsidRPr="001352AB">
        <w:rPr>
          <w:rFonts w:ascii="Sylfaen" w:hAnsi="Sylfaen" w:cs="Sylfaen"/>
        </w:rPr>
        <w:t>დაცვის</w:t>
      </w:r>
      <w:r w:rsidRPr="001352AB">
        <w:t xml:space="preserve"> </w:t>
      </w:r>
      <w:r w:rsidRPr="001352AB">
        <w:rPr>
          <w:rFonts w:ascii="Sylfaen" w:hAnsi="Sylfaen" w:cs="Sylfaen"/>
        </w:rPr>
        <w:t>მიზნით</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მასალების</w:t>
      </w:r>
      <w:r w:rsidRPr="001352AB">
        <w:t xml:space="preserve"> </w:t>
      </w:r>
      <w:r w:rsidRPr="001352AB">
        <w:rPr>
          <w:rFonts w:ascii="Sylfaen" w:hAnsi="Sylfaen" w:cs="Sylfaen"/>
        </w:rPr>
        <w:t>მზიდი</w:t>
      </w:r>
      <w:r w:rsidRPr="001352AB">
        <w:t xml:space="preserve"> </w:t>
      </w:r>
      <w:r w:rsidRPr="001352AB">
        <w:rPr>
          <w:rFonts w:ascii="Sylfaen" w:hAnsi="Sylfaen" w:cs="Sylfaen"/>
        </w:rPr>
        <w:t>სატვირთო</w:t>
      </w:r>
      <w:r w:rsidRPr="001352AB">
        <w:t xml:space="preserve"> </w:t>
      </w:r>
      <w:r w:rsidRPr="001352AB">
        <w:rPr>
          <w:rFonts w:ascii="Sylfaen" w:hAnsi="Sylfaen" w:cs="Sylfaen"/>
        </w:rPr>
        <w:t>მანქანების</w:t>
      </w:r>
      <w:r w:rsidRPr="001352AB">
        <w:t xml:space="preserve"> </w:t>
      </w:r>
      <w:r w:rsidRPr="001352AB">
        <w:rPr>
          <w:rFonts w:ascii="Sylfaen" w:hAnsi="Sylfaen" w:cs="Sylfaen"/>
        </w:rPr>
        <w:t>სიჩქარის</w:t>
      </w:r>
      <w:r w:rsidRPr="001352AB">
        <w:t xml:space="preserve"> </w:t>
      </w:r>
      <w:r w:rsidRPr="001352AB">
        <w:rPr>
          <w:rFonts w:ascii="Sylfaen" w:hAnsi="Sylfaen" w:cs="Sylfaen"/>
        </w:rPr>
        <w:t>შეზღუდვა</w:t>
      </w:r>
      <w:r w:rsidRPr="001352AB">
        <w:t xml:space="preserve">, </w:t>
      </w:r>
      <w:r w:rsidRPr="001352AB">
        <w:rPr>
          <w:rFonts w:ascii="Sylfaen" w:hAnsi="Sylfaen" w:cs="Sylfaen"/>
        </w:rPr>
        <w:t>ფხვიერი</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ტრანსპორტირებისას</w:t>
      </w:r>
      <w:r w:rsidRPr="001352AB">
        <w:t xml:space="preserve"> </w:t>
      </w:r>
      <w:r w:rsidRPr="001352AB">
        <w:rPr>
          <w:rFonts w:ascii="Sylfaen" w:hAnsi="Sylfaen" w:cs="Sylfaen"/>
        </w:rPr>
        <w:t>მისი</w:t>
      </w:r>
      <w:r w:rsidRPr="001352AB">
        <w:t xml:space="preserve"> </w:t>
      </w:r>
      <w:r w:rsidRPr="001352AB">
        <w:rPr>
          <w:rFonts w:ascii="Sylfaen" w:hAnsi="Sylfaen" w:cs="Sylfaen"/>
        </w:rPr>
        <w:t>ბრეზენტით</w:t>
      </w:r>
      <w:r w:rsidRPr="001352AB">
        <w:t xml:space="preserve"> </w:t>
      </w:r>
      <w:r w:rsidRPr="001352AB">
        <w:rPr>
          <w:rFonts w:ascii="Sylfaen" w:hAnsi="Sylfaen" w:cs="Sylfaen"/>
        </w:rPr>
        <w:t>დაფარვა</w:t>
      </w:r>
      <w:r w:rsidRPr="001352AB">
        <w:t xml:space="preserve">, </w:t>
      </w:r>
      <w:r w:rsidRPr="001352AB">
        <w:rPr>
          <w:rFonts w:ascii="Sylfaen" w:hAnsi="Sylfaen" w:cs="Sylfaen"/>
        </w:rPr>
        <w:t>დიდი</w:t>
      </w:r>
      <w:r w:rsidRPr="001352AB">
        <w:t xml:space="preserve"> </w:t>
      </w:r>
      <w:r w:rsidRPr="001352AB">
        <w:rPr>
          <w:rFonts w:ascii="Sylfaen" w:hAnsi="Sylfaen" w:cs="Sylfaen"/>
        </w:rPr>
        <w:t>სიმაღლიდან</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გადმოტვირთვის</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აცილება</w:t>
      </w:r>
      <w:r w:rsidRPr="001352AB">
        <w:t xml:space="preserve">. </w:t>
      </w:r>
      <w:r w:rsidRPr="001352AB">
        <w:rPr>
          <w:rFonts w:ascii="Sylfaen" w:hAnsi="Sylfaen" w:cs="Sylfaen"/>
        </w:rPr>
        <w:t>საჭიროებისამებრ</w:t>
      </w:r>
      <w:r w:rsidRPr="001352AB">
        <w:t xml:space="preserve">, </w:t>
      </w:r>
      <w:r w:rsidRPr="001352AB">
        <w:rPr>
          <w:rFonts w:ascii="Sylfaen" w:hAnsi="Sylfaen" w:cs="Sylfaen"/>
        </w:rPr>
        <w:t>გრუნტის</w:t>
      </w:r>
      <w:r w:rsidRPr="001352AB">
        <w:t xml:space="preserve"> </w:t>
      </w:r>
      <w:r w:rsidRPr="001352AB">
        <w:rPr>
          <w:rFonts w:ascii="Sylfaen" w:hAnsi="Sylfaen" w:cs="Sylfaen"/>
        </w:rPr>
        <w:t>საფარიანი</w:t>
      </w:r>
      <w:r w:rsidRPr="001352AB">
        <w:t xml:space="preserve"> </w:t>
      </w:r>
      <w:r w:rsidRPr="001352AB">
        <w:rPr>
          <w:rFonts w:ascii="Sylfaen" w:hAnsi="Sylfaen" w:cs="Sylfaen"/>
        </w:rPr>
        <w:t>უბნების</w:t>
      </w:r>
      <w:r w:rsidRPr="001352AB">
        <w:t xml:space="preserve"> (</w:t>
      </w:r>
      <w:r w:rsidRPr="001352AB">
        <w:rPr>
          <w:rFonts w:ascii="Sylfaen" w:hAnsi="Sylfaen" w:cs="Sylfaen"/>
        </w:rPr>
        <w:t>საქმიანი</w:t>
      </w:r>
      <w:r w:rsidRPr="001352AB">
        <w:t xml:space="preserve"> </w:t>
      </w:r>
      <w:r w:rsidRPr="001352AB">
        <w:rPr>
          <w:rFonts w:ascii="Sylfaen" w:hAnsi="Sylfaen" w:cs="Sylfaen"/>
        </w:rPr>
        <w:t>ეზოს</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ბანაკი</w:t>
      </w:r>
      <w:r w:rsidRPr="001352AB">
        <w:t xml:space="preserve">) </w:t>
      </w:r>
      <w:r w:rsidRPr="001352AB">
        <w:rPr>
          <w:rFonts w:ascii="Sylfaen" w:hAnsi="Sylfaen" w:cs="Sylfaen"/>
        </w:rPr>
        <w:t>მორწყვა</w:t>
      </w:r>
      <w:r w:rsidRPr="001352AB">
        <w:t xml:space="preserve"> </w:t>
      </w:r>
      <w:r w:rsidRPr="001352AB">
        <w:rPr>
          <w:rFonts w:ascii="Sylfaen" w:hAnsi="Sylfaen" w:cs="Sylfaen"/>
        </w:rPr>
        <w:t>მტვრის</w:t>
      </w:r>
      <w:r w:rsidRPr="001352AB">
        <w:t xml:space="preserve"> </w:t>
      </w:r>
      <w:r w:rsidRPr="001352AB">
        <w:rPr>
          <w:rFonts w:ascii="Sylfaen" w:hAnsi="Sylfaen" w:cs="Sylfaen"/>
        </w:rPr>
        <w:t>წარმოქმნის</w:t>
      </w:r>
      <w:r w:rsidRPr="001352AB">
        <w:t xml:space="preserve"> </w:t>
      </w:r>
      <w:r w:rsidRPr="001352AB">
        <w:rPr>
          <w:rFonts w:ascii="Sylfaen" w:hAnsi="Sylfaen" w:cs="Sylfaen"/>
        </w:rPr>
        <w:t>საწინააღმდეგოდ</w:t>
      </w:r>
      <w:r w:rsidRPr="001352AB">
        <w:t>;</w:t>
      </w:r>
    </w:p>
    <w:p w14:paraId="471BCE8B" w14:textId="77777777" w:rsidR="00CD64B5" w:rsidRPr="001352AB" w:rsidRDefault="00CD64B5" w:rsidP="000E38C6">
      <w:pPr>
        <w:spacing w:before="120" w:after="120"/>
      </w:pPr>
      <w:r w:rsidRPr="001352AB">
        <w:rPr>
          <w:rFonts w:ascii="Sylfaen" w:hAnsi="Sylfaen" w:cs="Sylfaen"/>
        </w:rPr>
        <w:t>ნაყარის</w:t>
      </w:r>
      <w:r w:rsidRPr="001352AB">
        <w:t xml:space="preserve"> </w:t>
      </w:r>
      <w:r w:rsidRPr="001352AB">
        <w:rPr>
          <w:rFonts w:ascii="Sylfaen" w:hAnsi="Sylfaen" w:cs="Sylfaen"/>
        </w:rPr>
        <w:t>მოწყობისას</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ფრაქციის</w:t>
      </w:r>
      <w:r w:rsidRPr="001352AB">
        <w:t xml:space="preserve"> </w:t>
      </w:r>
      <w:r w:rsidRPr="001352AB">
        <w:rPr>
          <w:rFonts w:ascii="Sylfaen" w:hAnsi="Sylfaen" w:cs="Sylfaen"/>
        </w:rPr>
        <w:t>გათვალისწინებით</w:t>
      </w:r>
      <w:r w:rsidRPr="001352AB">
        <w:t xml:space="preserve">, </w:t>
      </w:r>
      <w:r w:rsidRPr="001352AB">
        <w:rPr>
          <w:rFonts w:ascii="Sylfaen" w:hAnsi="Sylfaen" w:cs="Sylfaen"/>
        </w:rPr>
        <w:t>განისაზღვრება</w:t>
      </w:r>
      <w:r w:rsidRPr="001352AB">
        <w:t xml:space="preserve"> </w:t>
      </w:r>
      <w:r w:rsidRPr="001352AB">
        <w:rPr>
          <w:rFonts w:ascii="Sylfaen" w:hAnsi="Sylfaen" w:cs="Sylfaen"/>
        </w:rPr>
        <w:t>და</w:t>
      </w:r>
      <w:r w:rsidRPr="001352AB">
        <w:t xml:space="preserve"> </w:t>
      </w: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ნაყარის</w:t>
      </w:r>
      <w:r w:rsidRPr="001352AB">
        <w:t xml:space="preserve"> </w:t>
      </w:r>
      <w:r w:rsidRPr="001352AB">
        <w:rPr>
          <w:rFonts w:ascii="Sylfaen" w:hAnsi="Sylfaen" w:cs="Sylfaen"/>
        </w:rPr>
        <w:t>გეომეტრია</w:t>
      </w:r>
      <w:r w:rsidRPr="001352AB">
        <w:t xml:space="preserve"> (</w:t>
      </w:r>
      <w:r w:rsidRPr="001352AB">
        <w:rPr>
          <w:rFonts w:ascii="Sylfaen" w:hAnsi="Sylfaen" w:cs="Sylfaen"/>
        </w:rPr>
        <w:t>ნაყარის</w:t>
      </w:r>
      <w:r w:rsidRPr="001352AB">
        <w:t xml:space="preserve"> </w:t>
      </w:r>
      <w:r w:rsidRPr="001352AB">
        <w:rPr>
          <w:rFonts w:ascii="Sylfaen" w:hAnsi="Sylfaen" w:cs="Sylfaen"/>
        </w:rPr>
        <w:t>ფერდების</w:t>
      </w:r>
      <w:r w:rsidRPr="001352AB">
        <w:t xml:space="preserve"> </w:t>
      </w:r>
      <w:r w:rsidRPr="001352AB">
        <w:rPr>
          <w:rFonts w:ascii="Sylfaen" w:hAnsi="Sylfaen" w:cs="Sylfaen"/>
        </w:rPr>
        <w:t>დახრის</w:t>
      </w:r>
      <w:r w:rsidRPr="001352AB">
        <w:t xml:space="preserve"> </w:t>
      </w:r>
      <w:r w:rsidRPr="001352AB">
        <w:rPr>
          <w:rFonts w:ascii="Sylfaen" w:hAnsi="Sylfaen" w:cs="Sylfaen"/>
        </w:rPr>
        <w:t>კუთხე</w:t>
      </w:r>
      <w:r w:rsidRPr="001352AB">
        <w:t xml:space="preserve">). </w:t>
      </w:r>
    </w:p>
    <w:p w14:paraId="10CF81B6" w14:textId="77777777" w:rsidR="00CD64B5" w:rsidRPr="001352AB" w:rsidRDefault="00CD64B5" w:rsidP="000E38C6">
      <w:pPr>
        <w:spacing w:before="120" w:after="120"/>
      </w:pP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ნარჩენების</w:t>
      </w:r>
      <w:r w:rsidRPr="001352AB">
        <w:t xml:space="preserve"> (</w:t>
      </w:r>
      <w:r w:rsidRPr="001352AB">
        <w:rPr>
          <w:rFonts w:ascii="Sylfaen" w:hAnsi="Sylfaen" w:cs="Sylfaen"/>
        </w:rPr>
        <w:t>საშიშროების</w:t>
      </w:r>
      <w:r w:rsidRPr="001352AB">
        <w:t xml:space="preserve"> </w:t>
      </w:r>
      <w:r w:rsidRPr="001352AB">
        <w:rPr>
          <w:rFonts w:ascii="Sylfaen" w:hAnsi="Sylfaen" w:cs="Sylfaen"/>
        </w:rPr>
        <w:t>კლასის</w:t>
      </w:r>
      <w:r w:rsidRPr="001352AB">
        <w:t xml:space="preserve"> </w:t>
      </w:r>
      <w:r w:rsidRPr="001352AB">
        <w:rPr>
          <w:rFonts w:ascii="Sylfaen" w:hAnsi="Sylfaen" w:cs="Sylfaen"/>
        </w:rPr>
        <w:t>შესაბამისი</w:t>
      </w:r>
      <w:r w:rsidRPr="001352AB">
        <w:t xml:space="preserve">) </w:t>
      </w:r>
      <w:r w:rsidRPr="001352AB">
        <w:rPr>
          <w:rFonts w:ascii="Sylfaen" w:hAnsi="Sylfaen" w:cs="Sylfaen"/>
        </w:rPr>
        <w:t>და</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მართვის</w:t>
      </w:r>
      <w:r w:rsidRPr="001352AB">
        <w:t xml:space="preserve"> </w:t>
      </w:r>
      <w:r w:rsidRPr="001352AB">
        <w:rPr>
          <w:rFonts w:ascii="Sylfaen" w:hAnsi="Sylfaen" w:cs="Sylfaen"/>
        </w:rPr>
        <w:t>წესები</w:t>
      </w:r>
      <w:r w:rsidRPr="001352AB">
        <w:t xml:space="preserve">. </w:t>
      </w:r>
    </w:p>
    <w:p w14:paraId="03AFD3F9" w14:textId="77777777" w:rsidR="00CD64B5" w:rsidRPr="001352AB" w:rsidRDefault="00CD64B5" w:rsidP="000E38C6">
      <w:pPr>
        <w:spacing w:before="120" w:after="120"/>
      </w:pPr>
      <w:r w:rsidRPr="001352AB">
        <w:rPr>
          <w:rFonts w:ascii="Sylfaen" w:hAnsi="Sylfaen" w:cs="Sylfaen"/>
        </w:rPr>
        <w:t>დროებითი</w:t>
      </w:r>
      <w:r w:rsidRPr="001352AB">
        <w:t xml:space="preserve"> </w:t>
      </w:r>
      <w:r w:rsidRPr="001352AB">
        <w:rPr>
          <w:rFonts w:ascii="Sylfaen" w:hAnsi="Sylfaen" w:cs="Sylfaen"/>
        </w:rPr>
        <w:t>და</w:t>
      </w:r>
      <w:r w:rsidRPr="001352AB">
        <w:t xml:space="preserve"> </w:t>
      </w:r>
      <w:r w:rsidRPr="001352AB">
        <w:rPr>
          <w:rFonts w:ascii="Sylfaen" w:hAnsi="Sylfaen" w:cs="Sylfaen"/>
        </w:rPr>
        <w:t>მუდმივი</w:t>
      </w:r>
      <w:r w:rsidRPr="001352AB">
        <w:t xml:space="preserve"> </w:t>
      </w:r>
      <w:r w:rsidRPr="001352AB">
        <w:rPr>
          <w:rFonts w:ascii="Sylfaen" w:hAnsi="Sylfaen" w:cs="Sylfaen"/>
        </w:rPr>
        <w:t>სარგებლობისთვის</w:t>
      </w:r>
      <w:r w:rsidRPr="001352AB">
        <w:t xml:space="preserve"> </w:t>
      </w:r>
      <w:r w:rsidRPr="001352AB">
        <w:rPr>
          <w:rFonts w:ascii="Sylfaen" w:hAnsi="Sylfaen" w:cs="Sylfaen"/>
        </w:rPr>
        <w:t>გამოყენებული</w:t>
      </w:r>
      <w:r w:rsidRPr="001352AB">
        <w:t xml:space="preserve"> </w:t>
      </w:r>
      <w:r w:rsidRPr="001352AB">
        <w:rPr>
          <w:rFonts w:ascii="Sylfaen" w:hAnsi="Sylfaen" w:cs="Sylfaen"/>
        </w:rPr>
        <w:t>უბნების</w:t>
      </w:r>
      <w:r w:rsidRPr="001352AB">
        <w:t xml:space="preserve"> </w:t>
      </w:r>
      <w:r w:rsidRPr="001352AB">
        <w:rPr>
          <w:rFonts w:ascii="Sylfaen" w:hAnsi="Sylfaen" w:cs="Sylfaen"/>
        </w:rPr>
        <w:t>მიმდებარედ</w:t>
      </w:r>
      <w:r w:rsidRPr="001352AB">
        <w:t xml:space="preserve"> </w:t>
      </w:r>
      <w:r w:rsidRPr="001352AB">
        <w:rPr>
          <w:rFonts w:ascii="Sylfaen" w:hAnsi="Sylfaen" w:cs="Sylfaen"/>
        </w:rPr>
        <w:t>მაქსიმალურად</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შენარჩუნებული</w:t>
      </w:r>
      <w:r w:rsidRPr="001352AB">
        <w:t xml:space="preserve"> </w:t>
      </w:r>
      <w:r w:rsidRPr="001352AB">
        <w:rPr>
          <w:rFonts w:ascii="Sylfaen" w:hAnsi="Sylfaen" w:cs="Sylfaen"/>
        </w:rPr>
        <w:t>მცენარეული</w:t>
      </w:r>
      <w:r w:rsidRPr="001352AB">
        <w:t xml:space="preserve"> </w:t>
      </w:r>
      <w:r w:rsidRPr="001352AB">
        <w:rPr>
          <w:rFonts w:ascii="Sylfaen" w:hAnsi="Sylfaen" w:cs="Sylfaen"/>
        </w:rPr>
        <w:t>საფარი</w:t>
      </w:r>
      <w:r w:rsidRPr="001352AB">
        <w:t>.</w:t>
      </w:r>
    </w:p>
    <w:p w14:paraId="0B63BB6C" w14:textId="77777777" w:rsidR="00CD64B5" w:rsidRPr="001352AB" w:rsidRDefault="00CD64B5" w:rsidP="000E38C6">
      <w:pPr>
        <w:spacing w:before="120" w:after="120"/>
        <w:rPr>
          <w:lang w:eastAsia="da-DK"/>
        </w:rPr>
      </w:pPr>
      <w:r w:rsidRPr="001352AB">
        <w:rPr>
          <w:rFonts w:ascii="Sylfaen" w:hAnsi="Sylfaen" w:cs="Sylfaen"/>
        </w:rPr>
        <w:t>გზის</w:t>
      </w:r>
      <w:r w:rsidRPr="001352AB">
        <w:t xml:space="preserve"> </w:t>
      </w:r>
      <w:r w:rsidRPr="001352AB">
        <w:rPr>
          <w:rFonts w:ascii="Sylfaen" w:hAnsi="Sylfaen" w:cs="Sylfaen"/>
        </w:rPr>
        <w:t>დერეფანში</w:t>
      </w:r>
      <w:r w:rsidRPr="001352AB">
        <w:t xml:space="preserve"> </w:t>
      </w:r>
      <w:r w:rsidRPr="001352AB">
        <w:rPr>
          <w:rFonts w:ascii="Sylfaen" w:hAnsi="Sylfaen" w:cs="Sylfaen"/>
        </w:rPr>
        <w:t>ჩატარდება</w:t>
      </w:r>
      <w:r w:rsidRPr="001352AB">
        <w:t xml:space="preserve"> </w:t>
      </w:r>
      <w:r w:rsidRPr="001352AB">
        <w:rPr>
          <w:rFonts w:ascii="Sylfaen" w:hAnsi="Sylfaen" w:cs="Sylfaen"/>
        </w:rPr>
        <w:t>საკომპენსაციო</w:t>
      </w:r>
      <w:r w:rsidRPr="001352AB">
        <w:t xml:space="preserve"> </w:t>
      </w:r>
      <w:r w:rsidRPr="001352AB">
        <w:rPr>
          <w:rFonts w:ascii="Sylfaen" w:hAnsi="Sylfaen" w:cs="Sylfaen"/>
        </w:rPr>
        <w:t>დარგვა</w:t>
      </w:r>
      <w:r w:rsidRPr="001352AB">
        <w:t>. (</w:t>
      </w:r>
      <w:r w:rsidRPr="001352AB">
        <w:rPr>
          <w:rFonts w:ascii="Sylfaen" w:hAnsi="Sylfaen" w:cs="Sylfaen"/>
        </w:rPr>
        <w:t>გზის</w:t>
      </w:r>
      <w:r w:rsidRPr="001352AB">
        <w:t xml:space="preserve"> </w:t>
      </w:r>
      <w:r w:rsidRPr="001352AB">
        <w:rPr>
          <w:rFonts w:ascii="Sylfaen" w:hAnsi="Sylfaen" w:cs="Sylfaen"/>
        </w:rPr>
        <w:t>გაყოლებაზე</w:t>
      </w:r>
      <w:r w:rsidRPr="001352AB">
        <w:t xml:space="preserve"> </w:t>
      </w:r>
      <w:r w:rsidRPr="001352AB">
        <w:rPr>
          <w:rFonts w:ascii="Sylfaen" w:hAnsi="Sylfaen" w:cs="Sylfaen"/>
        </w:rPr>
        <w:t>დარგვის</w:t>
      </w:r>
      <w:r w:rsidRPr="001352AB">
        <w:t xml:space="preserve"> </w:t>
      </w:r>
      <w:r w:rsidRPr="001352AB">
        <w:rPr>
          <w:rFonts w:ascii="Sylfaen" w:hAnsi="Sylfaen" w:cs="Sylfaen"/>
        </w:rPr>
        <w:t>პროცესში</w:t>
      </w:r>
      <w:r w:rsidRPr="001352AB">
        <w:t xml:space="preserve"> </w:t>
      </w: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უსაფრთხოების</w:t>
      </w:r>
      <w:r w:rsidRPr="001352AB">
        <w:t xml:space="preserve"> </w:t>
      </w:r>
      <w:r w:rsidRPr="001352AB">
        <w:rPr>
          <w:rFonts w:ascii="Sylfaen" w:hAnsi="Sylfaen" w:cs="Sylfaen"/>
        </w:rPr>
        <w:t>მოთხოვნები</w:t>
      </w:r>
      <w:r w:rsidRPr="001352AB">
        <w:t xml:space="preserve">. </w:t>
      </w:r>
      <w:r w:rsidRPr="001352AB">
        <w:rPr>
          <w:rFonts w:ascii="Sylfaen" w:hAnsi="Sylfaen" w:cs="Sylfaen"/>
        </w:rPr>
        <w:t>დარგვა</w:t>
      </w:r>
      <w:r w:rsidRPr="001352AB">
        <w:t xml:space="preserve"> </w:t>
      </w:r>
      <w:r w:rsidRPr="001352AB">
        <w:rPr>
          <w:rFonts w:ascii="Sylfaen" w:hAnsi="Sylfaen" w:cs="Sylfaen"/>
        </w:rPr>
        <w:t>მოხდება</w:t>
      </w:r>
      <w:r w:rsidRPr="001352AB">
        <w:t xml:space="preserve"> </w:t>
      </w:r>
      <w:r w:rsidRPr="001352AB">
        <w:rPr>
          <w:rFonts w:ascii="Sylfaen" w:hAnsi="Sylfaen" w:cs="Sylfaen"/>
        </w:rPr>
        <w:t>ისე</w:t>
      </w:r>
      <w:r w:rsidRPr="001352AB">
        <w:t xml:space="preserve">, </w:t>
      </w:r>
      <w:r w:rsidRPr="001352AB">
        <w:rPr>
          <w:rFonts w:ascii="Sylfaen" w:hAnsi="Sylfaen" w:cs="Sylfaen"/>
        </w:rPr>
        <w:t>რომ</w:t>
      </w:r>
      <w:r w:rsidRPr="001352AB">
        <w:t xml:space="preserve"> </w:t>
      </w:r>
      <w:r w:rsidRPr="001352AB">
        <w:rPr>
          <w:rFonts w:ascii="Sylfaen" w:hAnsi="Sylfaen" w:cs="Sylfaen"/>
        </w:rPr>
        <w:t>მცენარეულმა</w:t>
      </w:r>
      <w:r w:rsidRPr="001352AB">
        <w:t xml:space="preserve"> </w:t>
      </w:r>
      <w:r w:rsidRPr="001352AB">
        <w:rPr>
          <w:rFonts w:ascii="Sylfaen" w:hAnsi="Sylfaen" w:cs="Sylfaen"/>
        </w:rPr>
        <w:t>საფარმა</w:t>
      </w:r>
      <w:r w:rsidRPr="001352AB">
        <w:t xml:space="preserve"> </w:t>
      </w:r>
      <w:r w:rsidRPr="001352AB">
        <w:rPr>
          <w:rFonts w:ascii="Sylfaen" w:hAnsi="Sylfaen" w:cs="Sylfaen"/>
        </w:rPr>
        <w:t>არ</w:t>
      </w:r>
      <w:r w:rsidRPr="001352AB">
        <w:t xml:space="preserve"> </w:t>
      </w:r>
      <w:r w:rsidRPr="001352AB">
        <w:rPr>
          <w:rFonts w:ascii="Sylfaen" w:hAnsi="Sylfaen" w:cs="Sylfaen"/>
        </w:rPr>
        <w:t>შეზღუდოს</w:t>
      </w:r>
      <w:r w:rsidRPr="001352AB">
        <w:t xml:space="preserve"> </w:t>
      </w:r>
      <w:r w:rsidRPr="001352AB">
        <w:rPr>
          <w:rFonts w:ascii="Sylfaen" w:hAnsi="Sylfaen" w:cs="Sylfaen"/>
        </w:rPr>
        <w:t>ხილვადობის</w:t>
      </w:r>
      <w:r w:rsidRPr="001352AB">
        <w:t xml:space="preserve"> </w:t>
      </w:r>
      <w:r w:rsidRPr="001352AB">
        <w:rPr>
          <w:rFonts w:ascii="Sylfaen" w:hAnsi="Sylfaen" w:cs="Sylfaen"/>
        </w:rPr>
        <w:t>მანძილი</w:t>
      </w:r>
      <w:r w:rsidRPr="001352AB">
        <w:t xml:space="preserve">. </w:t>
      </w:r>
      <w:r w:rsidRPr="001352AB">
        <w:rPr>
          <w:rFonts w:ascii="Sylfaen" w:hAnsi="Sylfaen" w:cs="Sylfaen"/>
        </w:rPr>
        <w:t>გათვალისწინებული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ზრდასრული</w:t>
      </w:r>
      <w:r w:rsidRPr="001352AB">
        <w:t xml:space="preserve"> </w:t>
      </w:r>
      <w:r w:rsidRPr="001352AB">
        <w:rPr>
          <w:rFonts w:ascii="Sylfaen" w:hAnsi="Sylfaen" w:cs="Sylfaen"/>
        </w:rPr>
        <w:t>ხის</w:t>
      </w:r>
      <w:r w:rsidRPr="001352AB">
        <w:t xml:space="preserve"> </w:t>
      </w:r>
      <w:r w:rsidRPr="001352AB">
        <w:rPr>
          <w:rFonts w:ascii="Sylfaen" w:hAnsi="Sylfaen" w:cs="Sylfaen"/>
        </w:rPr>
        <w:t>დიამეტრი</w:t>
      </w:r>
      <w:r w:rsidRPr="001352AB">
        <w:t xml:space="preserve"> </w:t>
      </w:r>
      <w:r w:rsidRPr="001352AB">
        <w:rPr>
          <w:rFonts w:ascii="Sylfaen" w:hAnsi="Sylfaen" w:cs="Sylfaen"/>
        </w:rPr>
        <w:t>იმისთვის</w:t>
      </w:r>
      <w:r w:rsidRPr="001352AB">
        <w:t xml:space="preserve">, </w:t>
      </w:r>
      <w:r w:rsidRPr="001352AB">
        <w:rPr>
          <w:rFonts w:ascii="Sylfaen" w:hAnsi="Sylfaen" w:cs="Sylfaen"/>
        </w:rPr>
        <w:t>რომ</w:t>
      </w:r>
      <w:r w:rsidRPr="001352AB">
        <w:t xml:space="preserve"> </w:t>
      </w:r>
      <w:r w:rsidRPr="001352AB">
        <w:rPr>
          <w:rFonts w:ascii="Sylfaen" w:hAnsi="Sylfaen" w:cs="Sylfaen"/>
        </w:rPr>
        <w:t>ხის</w:t>
      </w:r>
      <w:r w:rsidRPr="001352AB">
        <w:t xml:space="preserve"> </w:t>
      </w:r>
      <w:r w:rsidRPr="001352AB">
        <w:rPr>
          <w:rFonts w:ascii="Sylfaen" w:hAnsi="Sylfaen" w:cs="Sylfaen"/>
        </w:rPr>
        <w:t>ვარჯი</w:t>
      </w:r>
      <w:r w:rsidRPr="001352AB">
        <w:t xml:space="preserve"> </w:t>
      </w:r>
      <w:r w:rsidRPr="001352AB">
        <w:rPr>
          <w:rFonts w:ascii="Sylfaen" w:hAnsi="Sylfaen" w:cs="Sylfaen"/>
        </w:rPr>
        <w:t>არ</w:t>
      </w:r>
      <w:r w:rsidRPr="001352AB">
        <w:t xml:space="preserve"> </w:t>
      </w:r>
      <w:r w:rsidRPr="001352AB">
        <w:rPr>
          <w:rFonts w:cs="Arial"/>
        </w:rPr>
        <w:t>‘</w:t>
      </w:r>
      <w:r w:rsidRPr="001352AB">
        <w:rPr>
          <w:rFonts w:ascii="Sylfaen" w:hAnsi="Sylfaen" w:cs="Sylfaen"/>
        </w:rPr>
        <w:t>გადაეფაროს</w:t>
      </w:r>
      <w:r w:rsidRPr="001352AB">
        <w:rPr>
          <w:rFonts w:cs="Arial"/>
        </w:rPr>
        <w:t>’</w:t>
      </w:r>
      <w:r w:rsidRPr="001352AB">
        <w:t xml:space="preserve"> </w:t>
      </w:r>
      <w:r w:rsidRPr="001352AB">
        <w:rPr>
          <w:rFonts w:ascii="Sylfaen" w:hAnsi="Sylfaen" w:cs="Sylfaen"/>
        </w:rPr>
        <w:t>სავალ</w:t>
      </w:r>
      <w:r w:rsidRPr="001352AB">
        <w:t xml:space="preserve"> </w:t>
      </w:r>
      <w:r w:rsidRPr="001352AB">
        <w:rPr>
          <w:rFonts w:ascii="Sylfaen" w:hAnsi="Sylfaen" w:cs="Sylfaen"/>
        </w:rPr>
        <w:t>ნაწილს</w:t>
      </w:r>
      <w:r w:rsidRPr="001352AB">
        <w:t>.).</w:t>
      </w:r>
    </w:p>
    <w:p w14:paraId="0C19C80C" w14:textId="77777777" w:rsidR="00CD64B5" w:rsidRPr="001352AB" w:rsidRDefault="00CD64B5" w:rsidP="000E38C6">
      <w:pPr>
        <w:spacing w:before="120" w:after="120"/>
      </w:pPr>
      <w:r w:rsidRPr="001352AB">
        <w:rPr>
          <w:rFonts w:ascii="Sylfaen" w:hAnsi="Sylfaen" w:cs="Sylfaen"/>
        </w:rPr>
        <w:t>კონტრაქტორის</w:t>
      </w:r>
      <w:r w:rsidRPr="001352AB">
        <w:t xml:space="preserve"> </w:t>
      </w:r>
      <w:r w:rsidRPr="001352AB">
        <w:rPr>
          <w:rFonts w:ascii="Sylfaen" w:hAnsi="Sylfaen" w:cs="Sylfaen"/>
        </w:rPr>
        <w:t>პერსონალს</w:t>
      </w:r>
      <w:r w:rsidRPr="001352AB">
        <w:t xml:space="preserve"> </w:t>
      </w:r>
      <w:r w:rsidRPr="001352AB">
        <w:rPr>
          <w:rFonts w:ascii="Sylfaen" w:hAnsi="Sylfaen" w:cs="Sylfaen"/>
        </w:rPr>
        <w:t>ჩაუტარდება</w:t>
      </w:r>
      <w:r w:rsidRPr="001352AB">
        <w:t xml:space="preserve"> </w:t>
      </w:r>
      <w:r w:rsidRPr="001352AB">
        <w:rPr>
          <w:rFonts w:ascii="Sylfaen" w:hAnsi="Sylfaen" w:cs="Sylfaen"/>
        </w:rPr>
        <w:t>ტრეინინგი</w:t>
      </w:r>
      <w:r w:rsidRPr="001352AB">
        <w:t xml:space="preserve"> </w:t>
      </w:r>
      <w:r w:rsidRPr="001352AB">
        <w:rPr>
          <w:rFonts w:ascii="Sylfaen" w:hAnsi="Sylfaen" w:cs="Sylfaen"/>
        </w:rPr>
        <w:t>გარემოსდაცვით</w:t>
      </w:r>
      <w:r w:rsidRPr="001352AB">
        <w:t xml:space="preserve"> </w:t>
      </w:r>
      <w:r w:rsidRPr="001352AB">
        <w:rPr>
          <w:rFonts w:ascii="Sylfaen" w:hAnsi="Sylfaen" w:cs="Sylfaen"/>
        </w:rPr>
        <w:t>და</w:t>
      </w:r>
      <w:r w:rsidRPr="001352AB">
        <w:t xml:space="preserve"> </w:t>
      </w:r>
      <w:r w:rsidRPr="001352AB">
        <w:rPr>
          <w:rFonts w:ascii="Sylfaen" w:hAnsi="Sylfaen" w:cs="Sylfaen"/>
        </w:rPr>
        <w:t>უსაფრთხოების</w:t>
      </w:r>
      <w:r w:rsidRPr="001352AB">
        <w:t xml:space="preserve"> </w:t>
      </w:r>
      <w:r w:rsidRPr="001352AB">
        <w:rPr>
          <w:rFonts w:ascii="Sylfaen" w:hAnsi="Sylfaen" w:cs="Sylfaen"/>
        </w:rPr>
        <w:t>საკითხებზე</w:t>
      </w:r>
      <w:r w:rsidRPr="001352AB">
        <w:t>.</w:t>
      </w:r>
    </w:p>
    <w:p w14:paraId="541C3579" w14:textId="77777777" w:rsidR="00CD64B5" w:rsidRPr="001352AB" w:rsidRDefault="00CD64B5" w:rsidP="000E38C6">
      <w:pPr>
        <w:spacing w:before="120" w:after="120"/>
      </w:pP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შესრულების</w:t>
      </w:r>
      <w:r w:rsidRPr="001352AB">
        <w:t xml:space="preserve"> </w:t>
      </w:r>
      <w:r w:rsidRPr="001352AB">
        <w:rPr>
          <w:rFonts w:ascii="Sylfaen" w:hAnsi="Sylfaen" w:cs="Sylfaen"/>
        </w:rPr>
        <w:t>უზრუნველყოფა</w:t>
      </w:r>
      <w:r w:rsidRPr="001352AB">
        <w:t xml:space="preserve"> </w:t>
      </w:r>
      <w:r w:rsidRPr="001352AB">
        <w:rPr>
          <w:rFonts w:ascii="Sylfaen" w:hAnsi="Sylfaen" w:cs="Sylfaen"/>
        </w:rPr>
        <w:t>საავტომობილო</w:t>
      </w:r>
      <w:r w:rsidRPr="001352AB">
        <w:t xml:space="preserve"> </w:t>
      </w:r>
      <w:r w:rsidRPr="001352AB">
        <w:rPr>
          <w:rFonts w:ascii="Sylfaen" w:hAnsi="Sylfaen" w:cs="Sylfaen"/>
        </w:rPr>
        <w:t>გზების</w:t>
      </w:r>
      <w:r w:rsidRPr="001352AB">
        <w:t xml:space="preserve"> </w:t>
      </w:r>
      <w:r w:rsidRPr="001352AB">
        <w:rPr>
          <w:rFonts w:ascii="Sylfaen" w:hAnsi="Sylfaen" w:cs="Sylfaen"/>
        </w:rPr>
        <w:t>დეპარტამენტის</w:t>
      </w:r>
      <w:r w:rsidRPr="001352AB">
        <w:t xml:space="preserve"> </w:t>
      </w:r>
      <w:r w:rsidRPr="001352AB">
        <w:rPr>
          <w:rFonts w:ascii="Sylfaen" w:hAnsi="Sylfaen" w:cs="Sylfaen"/>
        </w:rPr>
        <w:t>პასუხისმგებლობას</w:t>
      </w:r>
      <w:r w:rsidRPr="001352AB">
        <w:t xml:space="preserve"> </w:t>
      </w:r>
      <w:r w:rsidRPr="001352AB">
        <w:rPr>
          <w:rFonts w:ascii="Sylfaen" w:hAnsi="Sylfaen" w:cs="Sylfaen"/>
        </w:rPr>
        <w:t>წარმოადგენს</w:t>
      </w:r>
      <w:r w:rsidRPr="001352AB">
        <w:t xml:space="preserve">.    </w:t>
      </w:r>
    </w:p>
    <w:p w14:paraId="593C36E0" w14:textId="77777777" w:rsidR="00CD64B5" w:rsidRPr="001352AB" w:rsidRDefault="00CD64B5" w:rsidP="000E38C6">
      <w:pPr>
        <w:spacing w:before="120" w:after="120"/>
      </w:pPr>
    </w:p>
    <w:p w14:paraId="761219FF" w14:textId="77777777" w:rsidR="00CD64B5" w:rsidRPr="001352AB" w:rsidRDefault="00CD64B5" w:rsidP="000E38C6">
      <w:pPr>
        <w:spacing w:before="120" w:after="120"/>
      </w:pPr>
    </w:p>
    <w:p w14:paraId="2F7C37AF" w14:textId="77777777" w:rsidR="00CD64B5" w:rsidRPr="001352AB" w:rsidRDefault="00CD64B5" w:rsidP="000E38C6">
      <w:pPr>
        <w:pStyle w:val="Heading3"/>
      </w:pPr>
      <w:bookmarkStart w:id="388" w:name="_Toc529977411"/>
      <w:bookmarkStart w:id="389" w:name="_Toc495314396"/>
      <w:bookmarkStart w:id="390" w:name="_Toc479166528"/>
      <w:bookmarkStart w:id="391" w:name="_Toc479164798"/>
      <w:bookmarkStart w:id="392" w:name="_Toc466046873"/>
      <w:bookmarkStart w:id="393" w:name="_Toc1581573"/>
      <w:r w:rsidRPr="001352AB">
        <w:t xml:space="preserve">7.6.2 </w:t>
      </w:r>
      <w:r w:rsidRPr="001352AB">
        <w:rPr>
          <w:rFonts w:ascii="Sylfaen" w:hAnsi="Sylfaen" w:cs="Sylfaen"/>
        </w:rPr>
        <w:t>მცენარეულ</w:t>
      </w:r>
      <w:r w:rsidRPr="001352AB">
        <w:t xml:space="preserve"> </w:t>
      </w:r>
      <w:r w:rsidRPr="001352AB">
        <w:rPr>
          <w:rFonts w:ascii="Sylfaen" w:hAnsi="Sylfaen" w:cs="Sylfaen"/>
        </w:rPr>
        <w:t>საფარზე</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ექსპლუატაციის</w:t>
      </w:r>
      <w:r w:rsidRPr="001352AB">
        <w:t xml:space="preserve"> </w:t>
      </w:r>
      <w:r w:rsidRPr="001352AB">
        <w:rPr>
          <w:rFonts w:ascii="Sylfaen" w:hAnsi="Sylfaen" w:cs="Sylfaen"/>
        </w:rPr>
        <w:t>ეტაპზე</w:t>
      </w:r>
      <w:bookmarkEnd w:id="388"/>
      <w:bookmarkEnd w:id="389"/>
      <w:bookmarkEnd w:id="390"/>
      <w:bookmarkEnd w:id="391"/>
      <w:bookmarkEnd w:id="393"/>
    </w:p>
    <w:p w14:paraId="4B710BB7" w14:textId="77777777" w:rsidR="00CD64B5" w:rsidRPr="001352AB" w:rsidRDefault="00CD64B5" w:rsidP="000E38C6">
      <w:pPr>
        <w:spacing w:before="120" w:after="120"/>
        <w:rPr>
          <w:lang w:val="ka-GE" w:eastAsia="da-DK"/>
        </w:rPr>
      </w:pPr>
      <w:bookmarkStart w:id="394" w:name="_Toc466046874"/>
      <w:bookmarkEnd w:id="392"/>
      <w:r w:rsidRPr="001352AB">
        <w:rPr>
          <w:rFonts w:ascii="Sylfaen" w:hAnsi="Sylfaen" w:cs="Sylfaen"/>
        </w:rPr>
        <w:t>ფლორაზე</w:t>
      </w:r>
      <w:r w:rsidRPr="001352AB">
        <w:t xml:space="preserve"> </w:t>
      </w:r>
      <w:r w:rsidRPr="001352AB">
        <w:rPr>
          <w:rFonts w:ascii="Sylfaen" w:hAnsi="Sylfaen" w:cs="Sylfaen"/>
        </w:rPr>
        <w:t>პირდაპირი</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მაგისტრალის</w:t>
      </w:r>
      <w:r w:rsidRPr="001352AB">
        <w:t xml:space="preserve"> </w:t>
      </w:r>
      <w:r w:rsidRPr="001352AB">
        <w:rPr>
          <w:rFonts w:ascii="Sylfaen" w:hAnsi="Sylfaen" w:cs="Sylfaen"/>
        </w:rPr>
        <w:t>ექსპლუატაციის</w:t>
      </w:r>
      <w:r w:rsidRPr="001352AB">
        <w:t xml:space="preserve"> </w:t>
      </w:r>
      <w:r w:rsidRPr="001352AB">
        <w:rPr>
          <w:rFonts w:ascii="Sylfaen" w:hAnsi="Sylfaen" w:cs="Sylfaen"/>
        </w:rPr>
        <w:t>ფაზაზე</w:t>
      </w:r>
      <w:r w:rsidRPr="001352AB">
        <w:t xml:space="preserve"> </w:t>
      </w:r>
      <w:r w:rsidRPr="001352AB">
        <w:rPr>
          <w:rFonts w:ascii="Sylfaen" w:hAnsi="Sylfaen" w:cs="Sylfaen"/>
        </w:rPr>
        <w:t>მოსალოდნელი</w:t>
      </w:r>
      <w:r w:rsidRPr="001352AB">
        <w:t xml:space="preserve"> </w:t>
      </w:r>
      <w:r w:rsidRPr="001352AB">
        <w:rPr>
          <w:rFonts w:ascii="Sylfaen" w:hAnsi="Sylfaen" w:cs="Sylfaen"/>
        </w:rPr>
        <w:t>არ</w:t>
      </w:r>
      <w:r w:rsidRPr="001352AB">
        <w:t xml:space="preserve"> </w:t>
      </w:r>
      <w:r w:rsidRPr="001352AB">
        <w:rPr>
          <w:rFonts w:ascii="Sylfaen" w:hAnsi="Sylfaen" w:cs="Sylfaen"/>
        </w:rPr>
        <w:t>არის</w:t>
      </w:r>
      <w:r w:rsidRPr="001352AB">
        <w:t xml:space="preserve">. </w:t>
      </w:r>
      <w:r w:rsidRPr="001352AB">
        <w:rPr>
          <w:rFonts w:ascii="Sylfaen" w:hAnsi="Sylfaen" w:cs="Sylfaen"/>
        </w:rPr>
        <w:t>ირიბი</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დაკავშირებული</w:t>
      </w:r>
      <w:r w:rsidRPr="001352AB">
        <w:t xml:space="preserve"> </w:t>
      </w:r>
      <w:r w:rsidRPr="001352AB">
        <w:rPr>
          <w:rFonts w:ascii="Sylfaen" w:hAnsi="Sylfaen" w:cs="Sylfaen"/>
        </w:rPr>
        <w:t>შეიძლება</w:t>
      </w:r>
      <w:r w:rsidRPr="001352AB">
        <w:t xml:space="preserve"> </w:t>
      </w:r>
      <w:r w:rsidRPr="001352AB">
        <w:rPr>
          <w:rFonts w:ascii="Sylfaen" w:hAnsi="Sylfaen" w:cs="Sylfaen"/>
        </w:rPr>
        <w:t>იყოს</w:t>
      </w:r>
      <w:r w:rsidRPr="001352AB">
        <w:t xml:space="preserve"> </w:t>
      </w:r>
      <w:r w:rsidRPr="001352AB">
        <w:rPr>
          <w:rFonts w:ascii="Sylfaen" w:hAnsi="Sylfaen" w:cs="Sylfaen"/>
        </w:rPr>
        <w:t>ტრანსპორტის</w:t>
      </w:r>
      <w:r w:rsidRPr="001352AB">
        <w:t xml:space="preserve"> </w:t>
      </w:r>
      <w:r w:rsidRPr="001352AB">
        <w:rPr>
          <w:rFonts w:ascii="Sylfaen" w:hAnsi="Sylfaen" w:cs="Sylfaen"/>
        </w:rPr>
        <w:t>მოძრაობით</w:t>
      </w:r>
      <w:r w:rsidRPr="001352AB">
        <w:t xml:space="preserve"> </w:t>
      </w:r>
      <w:r w:rsidRPr="001352AB">
        <w:rPr>
          <w:rFonts w:ascii="Sylfaen" w:hAnsi="Sylfaen" w:cs="Sylfaen"/>
        </w:rPr>
        <w:t>გამოწვეულ</w:t>
      </w:r>
      <w:r w:rsidRPr="001352AB">
        <w:t xml:space="preserve"> </w:t>
      </w:r>
      <w:r w:rsidRPr="001352AB">
        <w:rPr>
          <w:rFonts w:ascii="Sylfaen" w:hAnsi="Sylfaen" w:cs="Sylfaen"/>
        </w:rPr>
        <w:t>მტვერთან</w:t>
      </w:r>
      <w:r w:rsidRPr="001352AB">
        <w:t xml:space="preserve"> </w:t>
      </w:r>
      <w:r w:rsidRPr="001352AB">
        <w:rPr>
          <w:rFonts w:ascii="Sylfaen" w:hAnsi="Sylfaen" w:cs="Sylfaen"/>
        </w:rPr>
        <w:t>და</w:t>
      </w:r>
      <w:r w:rsidRPr="001352AB">
        <w:t xml:space="preserve"> </w:t>
      </w:r>
      <w:r w:rsidRPr="001352AB">
        <w:rPr>
          <w:rFonts w:ascii="Sylfaen" w:hAnsi="Sylfaen" w:cs="Sylfaen"/>
        </w:rPr>
        <w:t>გამონაბოლქვთან</w:t>
      </w:r>
      <w:r w:rsidRPr="001352AB">
        <w:t xml:space="preserve">, </w:t>
      </w:r>
      <w:r w:rsidRPr="001352AB">
        <w:rPr>
          <w:rFonts w:ascii="Sylfaen" w:hAnsi="Sylfaen" w:cs="Sylfaen"/>
        </w:rPr>
        <w:t>დაბინძურებული</w:t>
      </w:r>
      <w:r w:rsidRPr="001352AB">
        <w:t xml:space="preserve"> </w:t>
      </w:r>
      <w:r w:rsidRPr="001352AB">
        <w:rPr>
          <w:rFonts w:ascii="Sylfaen" w:hAnsi="Sylfaen" w:cs="Sylfaen"/>
        </w:rPr>
        <w:t>ზედაპირული</w:t>
      </w:r>
      <w:r w:rsidRPr="001352AB">
        <w:t xml:space="preserve"> </w:t>
      </w:r>
      <w:r w:rsidRPr="001352AB">
        <w:rPr>
          <w:rFonts w:ascii="Sylfaen" w:hAnsi="Sylfaen" w:cs="Sylfaen"/>
        </w:rPr>
        <w:t>ჩამონადენის</w:t>
      </w:r>
      <w:r w:rsidRPr="001352AB">
        <w:t xml:space="preserve"> </w:t>
      </w:r>
      <w:r w:rsidRPr="001352AB">
        <w:rPr>
          <w:rFonts w:ascii="Sylfaen" w:hAnsi="Sylfaen" w:cs="Sylfaen"/>
        </w:rPr>
        <w:t>ზემოქმედებასთან</w:t>
      </w:r>
      <w:r w:rsidRPr="001352AB">
        <w:t xml:space="preserve"> (</w:t>
      </w:r>
      <w:r w:rsidRPr="001352AB">
        <w:rPr>
          <w:rFonts w:ascii="Sylfaen" w:hAnsi="Sylfaen" w:cs="Sylfaen"/>
        </w:rPr>
        <w:t>გზის</w:t>
      </w:r>
      <w:r w:rsidRPr="001352AB">
        <w:t xml:space="preserve"> </w:t>
      </w:r>
      <w:r w:rsidRPr="001352AB">
        <w:rPr>
          <w:rFonts w:ascii="Sylfaen" w:hAnsi="Sylfaen" w:cs="Sylfaen"/>
        </w:rPr>
        <w:t>საფარიდან</w:t>
      </w:r>
      <w:r w:rsidRPr="001352AB">
        <w:t xml:space="preserve"> </w:t>
      </w:r>
      <w:r w:rsidRPr="001352AB">
        <w:rPr>
          <w:rFonts w:ascii="Sylfaen" w:hAnsi="Sylfaen" w:cs="Sylfaen"/>
        </w:rPr>
        <w:t>ჩატანილმა</w:t>
      </w:r>
      <w:r w:rsidRPr="001352AB">
        <w:t xml:space="preserve"> </w:t>
      </w:r>
      <w:r w:rsidRPr="001352AB">
        <w:rPr>
          <w:rFonts w:ascii="Sylfaen" w:hAnsi="Sylfaen" w:cs="Sylfaen"/>
        </w:rPr>
        <w:t>დამაბინძურებლებმა</w:t>
      </w:r>
      <w:r w:rsidRPr="001352AB">
        <w:t xml:space="preserve"> </w:t>
      </w:r>
      <w:r w:rsidRPr="001352AB">
        <w:rPr>
          <w:rFonts w:ascii="Sylfaen" w:hAnsi="Sylfaen" w:cs="Sylfaen"/>
        </w:rPr>
        <w:t>შესაძლოა</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იქონიოს</w:t>
      </w:r>
      <w:r w:rsidRPr="001352AB">
        <w:t xml:space="preserve"> </w:t>
      </w:r>
      <w:r w:rsidRPr="001352AB">
        <w:rPr>
          <w:rFonts w:ascii="Sylfaen" w:hAnsi="Sylfaen" w:cs="Sylfaen"/>
        </w:rPr>
        <w:t>მწვანე</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განვითარებაზე</w:t>
      </w:r>
      <w:r w:rsidRPr="001352AB">
        <w:t xml:space="preserve"> </w:t>
      </w:r>
      <w:r w:rsidRPr="001352AB">
        <w:rPr>
          <w:rFonts w:ascii="Sylfaen" w:hAnsi="Sylfaen" w:cs="Sylfaen"/>
        </w:rPr>
        <w:t>და</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ორგანიზმებზე</w:t>
      </w:r>
      <w:r w:rsidRPr="001352AB">
        <w:t>).</w:t>
      </w:r>
    </w:p>
    <w:p w14:paraId="4ADB4ED6" w14:textId="77777777" w:rsidR="00CD64B5" w:rsidRPr="001352AB" w:rsidRDefault="00CD64B5" w:rsidP="000E38C6">
      <w:pPr>
        <w:spacing w:before="120" w:after="120"/>
        <w:rPr>
          <w:lang w:eastAsia="en-US"/>
        </w:rPr>
      </w:pPr>
      <w:r w:rsidRPr="001352AB">
        <w:rPr>
          <w:rFonts w:ascii="Sylfaen" w:hAnsi="Sylfaen" w:cs="Sylfaen"/>
        </w:rPr>
        <w:t>სარემონტო</w:t>
      </w:r>
      <w:r w:rsidRPr="001352AB">
        <w:t xml:space="preserve"> </w:t>
      </w:r>
      <w:r w:rsidRPr="001352AB">
        <w:rPr>
          <w:rFonts w:ascii="Sylfaen" w:hAnsi="Sylfaen" w:cs="Sylfaen"/>
        </w:rPr>
        <w:t>სამუშაოებისას</w:t>
      </w:r>
      <w:r w:rsidRPr="001352AB">
        <w:t xml:space="preserve"> </w:t>
      </w: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მშენებლობის</w:t>
      </w:r>
      <w:r w:rsidRPr="001352AB">
        <w:t xml:space="preserve"> </w:t>
      </w:r>
      <w:r w:rsidRPr="001352AB">
        <w:rPr>
          <w:rFonts w:ascii="Sylfaen" w:hAnsi="Sylfaen" w:cs="Sylfaen"/>
        </w:rPr>
        <w:t>ეტაპისთვის</w:t>
      </w:r>
      <w:r w:rsidRPr="001352AB">
        <w:t xml:space="preserve"> </w:t>
      </w:r>
      <w:r w:rsidRPr="001352AB">
        <w:rPr>
          <w:rFonts w:ascii="Sylfaen" w:hAnsi="Sylfaen" w:cs="Sylfaen"/>
        </w:rPr>
        <w:t>დადგენილი</w:t>
      </w:r>
      <w:r w:rsidRPr="001352AB">
        <w:t xml:space="preserve"> </w:t>
      </w:r>
      <w:r w:rsidRPr="001352AB">
        <w:rPr>
          <w:rFonts w:ascii="Sylfaen" w:hAnsi="Sylfaen" w:cs="Sylfaen"/>
        </w:rPr>
        <w:t>მოთხოვნები</w:t>
      </w:r>
      <w:r w:rsidRPr="001352AB">
        <w:t xml:space="preserve"> (</w:t>
      </w: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w:t>
      </w:r>
      <w:r w:rsidRPr="001352AB">
        <w:t xml:space="preserve">). </w:t>
      </w:r>
    </w:p>
    <w:p w14:paraId="5A6C3C09" w14:textId="77777777" w:rsidR="00CD64B5" w:rsidRPr="001352AB" w:rsidRDefault="00CD64B5" w:rsidP="000E38C6">
      <w:pPr>
        <w:spacing w:before="120" w:after="120"/>
        <w:rPr>
          <w:lang w:eastAsia="da-DK"/>
        </w:rPr>
      </w:pP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ღონისძიებების</w:t>
      </w:r>
      <w:r w:rsidRPr="001352AB">
        <w:t xml:space="preserve">  </w:t>
      </w:r>
      <w:r w:rsidRPr="001352AB">
        <w:rPr>
          <w:rFonts w:ascii="Sylfaen" w:hAnsi="Sylfaen" w:cs="Sylfaen"/>
        </w:rPr>
        <w:t>შესრულების</w:t>
      </w:r>
      <w:r w:rsidRPr="001352AB">
        <w:t xml:space="preserve"> </w:t>
      </w:r>
      <w:r w:rsidRPr="001352AB">
        <w:rPr>
          <w:rFonts w:ascii="Sylfaen" w:hAnsi="Sylfaen" w:cs="Sylfaen"/>
        </w:rPr>
        <w:t>უზრუნველყოფა</w:t>
      </w:r>
      <w:r w:rsidRPr="001352AB">
        <w:t xml:space="preserve"> </w:t>
      </w:r>
      <w:r w:rsidRPr="001352AB">
        <w:rPr>
          <w:rFonts w:ascii="Sylfaen" w:hAnsi="Sylfaen" w:cs="Sylfaen"/>
        </w:rPr>
        <w:t>საავტომობილო</w:t>
      </w:r>
      <w:r w:rsidRPr="001352AB">
        <w:t xml:space="preserve"> </w:t>
      </w:r>
      <w:r w:rsidRPr="001352AB">
        <w:rPr>
          <w:rFonts w:ascii="Sylfaen" w:hAnsi="Sylfaen" w:cs="Sylfaen"/>
        </w:rPr>
        <w:t>გზების</w:t>
      </w:r>
      <w:r w:rsidRPr="001352AB">
        <w:t xml:space="preserve"> </w:t>
      </w:r>
      <w:r w:rsidRPr="001352AB">
        <w:rPr>
          <w:rFonts w:ascii="Sylfaen" w:hAnsi="Sylfaen" w:cs="Sylfaen"/>
        </w:rPr>
        <w:t>დეპარტამენტის</w:t>
      </w:r>
      <w:r w:rsidRPr="001352AB">
        <w:t xml:space="preserve"> </w:t>
      </w:r>
      <w:r w:rsidRPr="001352AB">
        <w:rPr>
          <w:rFonts w:ascii="Sylfaen" w:hAnsi="Sylfaen" w:cs="Sylfaen"/>
        </w:rPr>
        <w:t>პასუხისმგებლობას</w:t>
      </w:r>
      <w:r w:rsidRPr="001352AB">
        <w:t xml:space="preserve"> </w:t>
      </w:r>
      <w:r w:rsidRPr="001352AB">
        <w:rPr>
          <w:rFonts w:ascii="Sylfaen" w:hAnsi="Sylfaen" w:cs="Sylfaen"/>
        </w:rPr>
        <w:t>წარმოადგენს</w:t>
      </w:r>
      <w:r w:rsidRPr="001352AB">
        <w:t xml:space="preserve">.  </w:t>
      </w:r>
    </w:p>
    <w:bookmarkEnd w:id="394"/>
    <w:p w14:paraId="05480C60" w14:textId="77777777" w:rsidR="00CD64B5" w:rsidRPr="001352AB" w:rsidRDefault="00CD64B5" w:rsidP="000E38C6">
      <w:pPr>
        <w:spacing w:before="120" w:after="120"/>
      </w:pPr>
    </w:p>
    <w:p w14:paraId="380F6FF4" w14:textId="77777777" w:rsidR="00CD64B5" w:rsidRPr="000E38C6" w:rsidRDefault="00CD64B5" w:rsidP="000E38C6">
      <w:pPr>
        <w:spacing w:before="120" w:after="120"/>
        <w:rPr>
          <w:b/>
          <w:lang w:val="ka-GE"/>
        </w:rPr>
      </w:pPr>
      <w:r w:rsidRPr="000E38C6">
        <w:rPr>
          <w:rFonts w:ascii="Sylfaen" w:hAnsi="Sylfaen" w:cs="Sylfaen"/>
          <w:b/>
        </w:rPr>
        <w:t>ექსპლუატაციის</w:t>
      </w:r>
      <w:r w:rsidRPr="000E38C6">
        <w:rPr>
          <w:b/>
        </w:rPr>
        <w:t xml:space="preserve"> </w:t>
      </w:r>
      <w:r w:rsidRPr="000E38C6">
        <w:rPr>
          <w:rFonts w:ascii="Sylfaen" w:hAnsi="Sylfaen" w:cs="Sylfaen"/>
          <w:b/>
        </w:rPr>
        <w:t>ფაზა</w:t>
      </w:r>
    </w:p>
    <w:p w14:paraId="4346BC81" w14:textId="77777777" w:rsidR="00CD64B5" w:rsidRPr="001352AB" w:rsidRDefault="00CD64B5" w:rsidP="000E38C6">
      <w:pPr>
        <w:spacing w:before="120" w:after="120"/>
      </w:pPr>
      <w:r w:rsidRPr="001352AB">
        <w:rPr>
          <w:rFonts w:ascii="Sylfaen" w:hAnsi="Sylfaen" w:cs="Sylfaen"/>
        </w:rPr>
        <w:t>ფლორაზე</w:t>
      </w:r>
      <w:r w:rsidRPr="001352AB">
        <w:t xml:space="preserve"> </w:t>
      </w:r>
      <w:r w:rsidRPr="001352AB">
        <w:rPr>
          <w:rFonts w:ascii="Sylfaen" w:hAnsi="Sylfaen" w:cs="Sylfaen"/>
        </w:rPr>
        <w:t>პირდაპირი</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გზის</w:t>
      </w:r>
      <w:r w:rsidRPr="001352AB">
        <w:t xml:space="preserve"> </w:t>
      </w:r>
      <w:r w:rsidRPr="001352AB">
        <w:rPr>
          <w:rFonts w:ascii="Sylfaen" w:hAnsi="Sylfaen" w:cs="Sylfaen"/>
        </w:rPr>
        <w:t>ექსპლუატაციის</w:t>
      </w:r>
      <w:r w:rsidRPr="001352AB">
        <w:t xml:space="preserve"> </w:t>
      </w:r>
      <w:r w:rsidRPr="001352AB">
        <w:rPr>
          <w:rFonts w:ascii="Sylfaen" w:hAnsi="Sylfaen" w:cs="Sylfaen"/>
        </w:rPr>
        <w:t>ფაზაზე</w:t>
      </w:r>
      <w:r w:rsidRPr="001352AB">
        <w:t xml:space="preserve"> </w:t>
      </w:r>
      <w:r w:rsidRPr="001352AB">
        <w:rPr>
          <w:rFonts w:ascii="Sylfaen" w:hAnsi="Sylfaen" w:cs="Sylfaen"/>
        </w:rPr>
        <w:t>მოსალოდნელი</w:t>
      </w:r>
      <w:r w:rsidRPr="001352AB">
        <w:t xml:space="preserve"> </w:t>
      </w:r>
      <w:r w:rsidRPr="001352AB">
        <w:rPr>
          <w:rFonts w:ascii="Sylfaen" w:hAnsi="Sylfaen" w:cs="Sylfaen"/>
        </w:rPr>
        <w:t>არ</w:t>
      </w:r>
      <w:r w:rsidRPr="001352AB">
        <w:t xml:space="preserve"> </w:t>
      </w:r>
      <w:r w:rsidRPr="001352AB">
        <w:rPr>
          <w:rFonts w:ascii="Sylfaen" w:hAnsi="Sylfaen" w:cs="Sylfaen"/>
        </w:rPr>
        <w:t>არის</w:t>
      </w:r>
      <w:r w:rsidRPr="001352AB">
        <w:t xml:space="preserve">. </w:t>
      </w:r>
      <w:r w:rsidRPr="001352AB">
        <w:rPr>
          <w:rFonts w:ascii="Sylfaen" w:hAnsi="Sylfaen" w:cs="Sylfaen"/>
        </w:rPr>
        <w:t>ირიბი</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დაკავშირებული</w:t>
      </w:r>
      <w:r w:rsidRPr="001352AB">
        <w:t xml:space="preserve"> </w:t>
      </w:r>
      <w:r w:rsidRPr="001352AB">
        <w:rPr>
          <w:rFonts w:ascii="Sylfaen" w:hAnsi="Sylfaen" w:cs="Sylfaen"/>
        </w:rPr>
        <w:t>შეიძლება</w:t>
      </w:r>
      <w:r w:rsidRPr="001352AB">
        <w:t xml:space="preserve"> </w:t>
      </w:r>
      <w:r w:rsidRPr="001352AB">
        <w:rPr>
          <w:rFonts w:ascii="Sylfaen" w:hAnsi="Sylfaen" w:cs="Sylfaen"/>
        </w:rPr>
        <w:t>იყოს</w:t>
      </w:r>
      <w:r w:rsidRPr="001352AB">
        <w:t xml:space="preserve"> </w:t>
      </w:r>
      <w:r w:rsidRPr="001352AB">
        <w:rPr>
          <w:rFonts w:ascii="Sylfaen" w:hAnsi="Sylfaen" w:cs="Sylfaen"/>
        </w:rPr>
        <w:t>ტრანსპორტის</w:t>
      </w:r>
      <w:r w:rsidRPr="001352AB">
        <w:t xml:space="preserve"> </w:t>
      </w:r>
      <w:r w:rsidRPr="001352AB">
        <w:rPr>
          <w:rFonts w:ascii="Sylfaen" w:hAnsi="Sylfaen" w:cs="Sylfaen"/>
        </w:rPr>
        <w:t>მოძრაობით</w:t>
      </w:r>
      <w:r w:rsidRPr="001352AB">
        <w:t xml:space="preserve"> </w:t>
      </w:r>
      <w:r w:rsidRPr="001352AB">
        <w:rPr>
          <w:rFonts w:ascii="Sylfaen" w:hAnsi="Sylfaen" w:cs="Sylfaen"/>
        </w:rPr>
        <w:t>გამოწვეულ</w:t>
      </w:r>
      <w:r w:rsidRPr="001352AB">
        <w:t xml:space="preserve"> </w:t>
      </w:r>
      <w:r w:rsidRPr="001352AB">
        <w:rPr>
          <w:rFonts w:ascii="Sylfaen" w:hAnsi="Sylfaen" w:cs="Sylfaen"/>
        </w:rPr>
        <w:t>მტვერთან</w:t>
      </w:r>
      <w:r w:rsidRPr="001352AB">
        <w:t xml:space="preserve"> </w:t>
      </w:r>
      <w:r w:rsidRPr="001352AB">
        <w:rPr>
          <w:rFonts w:ascii="Sylfaen" w:hAnsi="Sylfaen" w:cs="Sylfaen"/>
        </w:rPr>
        <w:t>და</w:t>
      </w:r>
      <w:r w:rsidRPr="001352AB">
        <w:t xml:space="preserve"> </w:t>
      </w:r>
      <w:r w:rsidRPr="001352AB">
        <w:rPr>
          <w:rFonts w:ascii="Sylfaen" w:hAnsi="Sylfaen" w:cs="Sylfaen"/>
        </w:rPr>
        <w:t>გამონაბოლქვთან</w:t>
      </w:r>
      <w:r w:rsidRPr="001352AB">
        <w:t xml:space="preserve">, </w:t>
      </w:r>
      <w:r w:rsidRPr="001352AB">
        <w:rPr>
          <w:rFonts w:ascii="Sylfaen" w:hAnsi="Sylfaen" w:cs="Sylfaen"/>
        </w:rPr>
        <w:t>დაბინძურებული</w:t>
      </w:r>
      <w:r w:rsidRPr="001352AB">
        <w:t xml:space="preserve"> </w:t>
      </w:r>
      <w:r w:rsidRPr="001352AB">
        <w:rPr>
          <w:rFonts w:ascii="Sylfaen" w:hAnsi="Sylfaen" w:cs="Sylfaen"/>
        </w:rPr>
        <w:t>ზედაპირული</w:t>
      </w:r>
      <w:r w:rsidRPr="001352AB">
        <w:t xml:space="preserve"> </w:t>
      </w:r>
      <w:r w:rsidRPr="001352AB">
        <w:rPr>
          <w:rFonts w:ascii="Sylfaen" w:hAnsi="Sylfaen" w:cs="Sylfaen"/>
        </w:rPr>
        <w:t>ჩამონადენის</w:t>
      </w:r>
      <w:r w:rsidRPr="001352AB">
        <w:t xml:space="preserve"> </w:t>
      </w:r>
      <w:r w:rsidRPr="001352AB">
        <w:rPr>
          <w:rFonts w:ascii="Sylfaen" w:hAnsi="Sylfaen" w:cs="Sylfaen"/>
        </w:rPr>
        <w:t>ზემოქმედებასთან</w:t>
      </w:r>
      <w:r w:rsidRPr="001352AB">
        <w:t xml:space="preserve"> (</w:t>
      </w:r>
      <w:r w:rsidRPr="001352AB">
        <w:rPr>
          <w:rFonts w:ascii="Sylfaen" w:hAnsi="Sylfaen" w:cs="Sylfaen"/>
        </w:rPr>
        <w:t>გზის</w:t>
      </w:r>
      <w:r w:rsidRPr="001352AB">
        <w:t xml:space="preserve"> </w:t>
      </w:r>
      <w:r w:rsidRPr="001352AB">
        <w:rPr>
          <w:rFonts w:ascii="Sylfaen" w:hAnsi="Sylfaen" w:cs="Sylfaen"/>
        </w:rPr>
        <w:t>საფარიდან</w:t>
      </w:r>
      <w:r w:rsidRPr="001352AB">
        <w:t xml:space="preserve"> </w:t>
      </w:r>
      <w:r w:rsidRPr="001352AB">
        <w:rPr>
          <w:rFonts w:ascii="Sylfaen" w:hAnsi="Sylfaen" w:cs="Sylfaen"/>
        </w:rPr>
        <w:t>ჩატანილმა</w:t>
      </w:r>
      <w:r w:rsidRPr="001352AB">
        <w:t xml:space="preserve"> </w:t>
      </w:r>
      <w:r w:rsidRPr="001352AB">
        <w:rPr>
          <w:rFonts w:ascii="Sylfaen" w:hAnsi="Sylfaen" w:cs="Sylfaen"/>
        </w:rPr>
        <w:t>დამაბინძურებლებმა</w:t>
      </w:r>
      <w:r w:rsidRPr="001352AB">
        <w:t xml:space="preserve"> </w:t>
      </w:r>
      <w:r w:rsidRPr="001352AB">
        <w:rPr>
          <w:rFonts w:ascii="Sylfaen" w:hAnsi="Sylfaen" w:cs="Sylfaen"/>
        </w:rPr>
        <w:t>შესაძლოა</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იქონიოს</w:t>
      </w:r>
      <w:r w:rsidRPr="001352AB">
        <w:t xml:space="preserve"> </w:t>
      </w:r>
      <w:r w:rsidRPr="001352AB">
        <w:rPr>
          <w:rFonts w:ascii="Sylfaen" w:hAnsi="Sylfaen" w:cs="Sylfaen"/>
        </w:rPr>
        <w:t>მწვანე</w:t>
      </w:r>
      <w:r w:rsidRPr="001352AB">
        <w:t xml:space="preserve"> </w:t>
      </w:r>
      <w:r w:rsidRPr="001352AB">
        <w:rPr>
          <w:rFonts w:ascii="Sylfaen" w:hAnsi="Sylfaen" w:cs="Sylfaen"/>
        </w:rPr>
        <w:t>საფარის</w:t>
      </w:r>
      <w:r w:rsidRPr="001352AB">
        <w:t xml:space="preserve"> </w:t>
      </w:r>
      <w:r w:rsidRPr="001352AB">
        <w:rPr>
          <w:rFonts w:ascii="Sylfaen" w:hAnsi="Sylfaen" w:cs="Sylfaen"/>
        </w:rPr>
        <w:t>განვითარებაზე</w:t>
      </w:r>
      <w:r w:rsidRPr="001352AB">
        <w:t xml:space="preserve"> </w:t>
      </w:r>
      <w:r w:rsidRPr="001352AB">
        <w:rPr>
          <w:rFonts w:ascii="Sylfaen" w:hAnsi="Sylfaen" w:cs="Sylfaen"/>
        </w:rPr>
        <w:t>და</w:t>
      </w:r>
      <w:r w:rsidRPr="001352AB">
        <w:t xml:space="preserve"> </w:t>
      </w:r>
      <w:r w:rsidRPr="001352AB">
        <w:rPr>
          <w:rFonts w:ascii="Sylfaen" w:hAnsi="Sylfaen" w:cs="Sylfaen"/>
        </w:rPr>
        <w:t>ნიადაგის</w:t>
      </w:r>
      <w:r w:rsidRPr="001352AB">
        <w:t xml:space="preserve"> </w:t>
      </w:r>
      <w:r w:rsidRPr="001352AB">
        <w:rPr>
          <w:rFonts w:ascii="Sylfaen" w:hAnsi="Sylfaen" w:cs="Sylfaen"/>
        </w:rPr>
        <w:t>ორგანიზმებზე</w:t>
      </w:r>
      <w:r w:rsidRPr="001352AB">
        <w:t>).</w:t>
      </w:r>
    </w:p>
    <w:p w14:paraId="0BBA8B0A" w14:textId="77777777" w:rsidR="00CD64B5" w:rsidRPr="001352AB" w:rsidRDefault="00CD64B5" w:rsidP="000E38C6">
      <w:pPr>
        <w:spacing w:before="120" w:after="120"/>
        <w:rPr>
          <w:lang w:val="ka-GE"/>
        </w:rPr>
      </w:pPr>
      <w:r w:rsidRPr="001352AB">
        <w:rPr>
          <w:rFonts w:ascii="Sylfaen" w:hAnsi="Sylfaen" w:cs="Sylfaen"/>
        </w:rPr>
        <w:t>სარემონტო</w:t>
      </w:r>
      <w:r w:rsidRPr="001352AB">
        <w:t xml:space="preserve"> </w:t>
      </w:r>
      <w:r w:rsidRPr="001352AB">
        <w:rPr>
          <w:rFonts w:ascii="Sylfaen" w:hAnsi="Sylfaen" w:cs="Sylfaen"/>
        </w:rPr>
        <w:t>სამუშაოებისას</w:t>
      </w:r>
      <w:r w:rsidRPr="001352AB">
        <w:t xml:space="preserve"> </w:t>
      </w:r>
      <w:r w:rsidRPr="001352AB">
        <w:rPr>
          <w:rFonts w:ascii="Sylfaen" w:hAnsi="Sylfaen" w:cs="Sylfaen"/>
        </w:rPr>
        <w:t>დაცული</w:t>
      </w:r>
      <w:r w:rsidRPr="001352AB">
        <w:t xml:space="preserve"> </w:t>
      </w:r>
      <w:r w:rsidRPr="001352AB">
        <w:rPr>
          <w:rFonts w:ascii="Sylfaen" w:hAnsi="Sylfaen" w:cs="Sylfaen"/>
        </w:rPr>
        <w:t>იქნება</w:t>
      </w:r>
      <w:r w:rsidRPr="001352AB">
        <w:t xml:space="preserve"> </w:t>
      </w:r>
      <w:r w:rsidRPr="001352AB">
        <w:rPr>
          <w:rFonts w:ascii="Sylfaen" w:hAnsi="Sylfaen" w:cs="Sylfaen"/>
        </w:rPr>
        <w:t>მშენებლობის</w:t>
      </w:r>
      <w:r w:rsidRPr="001352AB">
        <w:t xml:space="preserve"> </w:t>
      </w:r>
      <w:r w:rsidRPr="001352AB">
        <w:rPr>
          <w:rFonts w:ascii="Sylfaen" w:hAnsi="Sylfaen" w:cs="Sylfaen"/>
        </w:rPr>
        <w:t>ეტაპისთვის</w:t>
      </w:r>
      <w:r w:rsidRPr="001352AB">
        <w:t xml:space="preserve"> </w:t>
      </w:r>
      <w:r w:rsidRPr="001352AB">
        <w:rPr>
          <w:rFonts w:ascii="Sylfaen" w:hAnsi="Sylfaen" w:cs="Sylfaen"/>
        </w:rPr>
        <w:t>დადგენილი</w:t>
      </w:r>
      <w:r w:rsidRPr="001352AB">
        <w:t xml:space="preserve"> </w:t>
      </w:r>
      <w:r w:rsidRPr="001352AB">
        <w:rPr>
          <w:rFonts w:ascii="Sylfaen" w:hAnsi="Sylfaen" w:cs="Sylfaen"/>
        </w:rPr>
        <w:t>მოთხოვნები</w:t>
      </w:r>
      <w:r w:rsidRPr="001352AB">
        <w:t xml:space="preserve"> (</w:t>
      </w:r>
      <w:r w:rsidRPr="001352AB">
        <w:rPr>
          <w:rFonts w:ascii="Sylfaen" w:hAnsi="Sylfaen" w:cs="Sylfaen"/>
        </w:rPr>
        <w:t>შემარბილებელი</w:t>
      </w:r>
      <w:r w:rsidRPr="001352AB">
        <w:t xml:space="preserve"> </w:t>
      </w:r>
      <w:r w:rsidRPr="001352AB">
        <w:rPr>
          <w:rFonts w:ascii="Sylfaen" w:hAnsi="Sylfaen" w:cs="Sylfaen"/>
        </w:rPr>
        <w:t>ღონისძიებები</w:t>
      </w:r>
      <w:r w:rsidRPr="001352AB">
        <w:t>).</w:t>
      </w:r>
    </w:p>
    <w:p w14:paraId="0E74C0DF" w14:textId="77777777" w:rsidR="00CD64B5" w:rsidRPr="001352AB" w:rsidRDefault="00CD64B5" w:rsidP="000E38C6">
      <w:pPr>
        <w:spacing w:before="120" w:after="120"/>
      </w:pPr>
    </w:p>
    <w:p w14:paraId="3017F45E" w14:textId="77777777" w:rsidR="00CD64B5" w:rsidRPr="001352AB" w:rsidRDefault="00CD64B5" w:rsidP="000E38C6">
      <w:pPr>
        <w:pStyle w:val="EIAheading2"/>
      </w:pPr>
      <w:bookmarkStart w:id="395" w:name="_Toc529977412"/>
      <w:bookmarkStart w:id="396" w:name="_Toc495314397"/>
      <w:bookmarkStart w:id="397" w:name="_Toc479166529"/>
      <w:bookmarkStart w:id="398" w:name="_Toc479164799"/>
      <w:bookmarkStart w:id="399" w:name="_Toc466046876"/>
      <w:bookmarkStart w:id="400" w:name="_Toc1581574"/>
      <w:r w:rsidRPr="001352AB">
        <w:t>7.7.</w:t>
      </w:r>
      <w:r w:rsidRPr="001352AB">
        <w:rPr>
          <w:rFonts w:ascii="Sylfaen" w:hAnsi="Sylfaen" w:cs="Sylfaen"/>
        </w:rPr>
        <w:t>ზემოქმედება</w:t>
      </w:r>
      <w:r w:rsidRPr="001352AB">
        <w:t xml:space="preserve"> </w:t>
      </w:r>
      <w:r w:rsidRPr="001352AB">
        <w:rPr>
          <w:rFonts w:ascii="Sylfaen" w:hAnsi="Sylfaen" w:cs="Sylfaen"/>
        </w:rPr>
        <w:t>ცხოველთა</w:t>
      </w:r>
      <w:r w:rsidRPr="001352AB">
        <w:t xml:space="preserve"> </w:t>
      </w:r>
      <w:r w:rsidRPr="001352AB">
        <w:rPr>
          <w:rFonts w:ascii="Sylfaen" w:hAnsi="Sylfaen" w:cs="Sylfaen"/>
        </w:rPr>
        <w:t>სამყაროზე</w:t>
      </w:r>
      <w:bookmarkEnd w:id="395"/>
      <w:bookmarkEnd w:id="396"/>
      <w:bookmarkEnd w:id="397"/>
      <w:bookmarkEnd w:id="398"/>
      <w:bookmarkEnd w:id="400"/>
    </w:p>
    <w:p w14:paraId="22068D52" w14:textId="77777777" w:rsidR="00CD64B5" w:rsidRPr="001352AB" w:rsidRDefault="00CD64B5" w:rsidP="000E38C6">
      <w:pPr>
        <w:pStyle w:val="Heading3"/>
      </w:pPr>
      <w:bookmarkStart w:id="401" w:name="_Toc529977413"/>
      <w:bookmarkStart w:id="402" w:name="_Toc495314398"/>
      <w:bookmarkStart w:id="403" w:name="_Toc479166530"/>
      <w:bookmarkStart w:id="404" w:name="_Toc479164800"/>
      <w:bookmarkStart w:id="405" w:name="_Toc1581575"/>
      <w:r w:rsidRPr="001352AB">
        <w:t xml:space="preserve">7.7.1 </w:t>
      </w:r>
      <w:r w:rsidRPr="001352AB">
        <w:rPr>
          <w:rFonts w:ascii="Sylfaen" w:hAnsi="Sylfaen" w:cs="Sylfaen"/>
        </w:rPr>
        <w:t>ცხოველთა</w:t>
      </w:r>
      <w:r w:rsidRPr="001352AB">
        <w:t xml:space="preserve"> </w:t>
      </w:r>
      <w:r w:rsidRPr="001352AB">
        <w:rPr>
          <w:rFonts w:ascii="Sylfaen" w:hAnsi="Sylfaen" w:cs="Sylfaen"/>
        </w:rPr>
        <w:t>სამყაროზე</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მშენებლობის</w:t>
      </w:r>
      <w:r w:rsidRPr="001352AB">
        <w:t xml:space="preserve"> </w:t>
      </w:r>
      <w:r w:rsidRPr="001352AB">
        <w:rPr>
          <w:rFonts w:ascii="Sylfaen" w:hAnsi="Sylfaen" w:cs="Sylfaen"/>
        </w:rPr>
        <w:t>ეტაპზე</w:t>
      </w:r>
      <w:bookmarkEnd w:id="401"/>
      <w:bookmarkEnd w:id="402"/>
      <w:bookmarkEnd w:id="403"/>
      <w:bookmarkEnd w:id="404"/>
      <w:bookmarkEnd w:id="405"/>
    </w:p>
    <w:p w14:paraId="70684E17" w14:textId="77777777" w:rsidR="00CD64B5" w:rsidRPr="001352AB" w:rsidRDefault="00CD64B5" w:rsidP="000E38C6">
      <w:pPr>
        <w:spacing w:before="120" w:after="120"/>
        <w:rPr>
          <w:lang w:val="ka-GE"/>
        </w:rPr>
      </w:pPr>
      <w:r w:rsidRPr="001352AB">
        <w:rPr>
          <w:rFonts w:ascii="Sylfaen" w:hAnsi="Sylfaen" w:cs="Sylfaen"/>
        </w:rPr>
        <w:t>ცხოველთა</w:t>
      </w:r>
      <w:r w:rsidRPr="001352AB">
        <w:t xml:space="preserve"> </w:t>
      </w:r>
      <w:r w:rsidRPr="001352AB">
        <w:rPr>
          <w:rFonts w:ascii="Sylfaen" w:hAnsi="Sylfaen" w:cs="Sylfaen"/>
        </w:rPr>
        <w:t>სამყარო</w:t>
      </w:r>
      <w:r w:rsidRPr="001352AB">
        <w:t xml:space="preserve">: </w:t>
      </w:r>
      <w:r w:rsidRPr="001352AB">
        <w:rPr>
          <w:rFonts w:ascii="Sylfaen" w:hAnsi="Sylfaen" w:cs="Sylfaen"/>
        </w:rPr>
        <w:t>გურჯაანისა</w:t>
      </w:r>
      <w:r w:rsidRPr="001352AB">
        <w:t xml:space="preserve"> </w:t>
      </w:r>
      <w:r w:rsidRPr="001352AB">
        <w:rPr>
          <w:rFonts w:ascii="Sylfaen" w:hAnsi="Sylfaen" w:cs="Sylfaen"/>
        </w:rPr>
        <w:t>და</w:t>
      </w:r>
      <w:r w:rsidRPr="001352AB">
        <w:t xml:space="preserve"> </w:t>
      </w:r>
      <w:r w:rsidRPr="001352AB">
        <w:rPr>
          <w:rFonts w:ascii="Sylfaen" w:hAnsi="Sylfaen" w:cs="Sylfaen"/>
        </w:rPr>
        <w:t>სიღნაღის</w:t>
      </w:r>
      <w:r w:rsidRPr="001352AB">
        <w:t xml:space="preserve"> </w:t>
      </w:r>
      <w:r w:rsidRPr="001352AB">
        <w:rPr>
          <w:rFonts w:ascii="Sylfaen" w:hAnsi="Sylfaen" w:cs="Sylfaen"/>
        </w:rPr>
        <w:t>მუნიციპალიტეტებში</w:t>
      </w:r>
      <w:r w:rsidRPr="001352AB">
        <w:t xml:space="preserve"> </w:t>
      </w:r>
      <w:r w:rsidRPr="001352AB">
        <w:rPr>
          <w:rFonts w:ascii="Sylfaen" w:hAnsi="Sylfaen" w:cs="Sylfaen"/>
        </w:rPr>
        <w:t>გარეული</w:t>
      </w:r>
      <w:r w:rsidRPr="001352AB">
        <w:t xml:space="preserve"> </w:t>
      </w:r>
      <w:r w:rsidRPr="001352AB">
        <w:rPr>
          <w:rFonts w:ascii="Sylfaen" w:hAnsi="Sylfaen" w:cs="Sylfaen"/>
        </w:rPr>
        <w:t>ცხოველებიდან</w:t>
      </w:r>
      <w:r w:rsidRPr="001352AB">
        <w:t xml:space="preserve"> </w:t>
      </w:r>
      <w:r w:rsidRPr="001352AB">
        <w:rPr>
          <w:rFonts w:ascii="Sylfaen" w:hAnsi="Sylfaen" w:cs="Sylfaen"/>
        </w:rPr>
        <w:t>გხვდება</w:t>
      </w:r>
      <w:r w:rsidRPr="001352AB">
        <w:t xml:space="preserve"> </w:t>
      </w:r>
      <w:r w:rsidRPr="001352AB">
        <w:rPr>
          <w:rFonts w:ascii="Sylfaen" w:hAnsi="Sylfaen" w:cs="Sylfaen"/>
        </w:rPr>
        <w:t>შველი</w:t>
      </w:r>
      <w:r w:rsidRPr="001352AB">
        <w:t xml:space="preserve">, </w:t>
      </w:r>
      <w:r w:rsidRPr="001352AB">
        <w:rPr>
          <w:rFonts w:ascii="Sylfaen" w:hAnsi="Sylfaen" w:cs="Sylfaen"/>
        </w:rPr>
        <w:t>მურა</w:t>
      </w:r>
      <w:r w:rsidRPr="001352AB">
        <w:t xml:space="preserve"> </w:t>
      </w:r>
      <w:r w:rsidRPr="001352AB">
        <w:rPr>
          <w:rFonts w:ascii="Sylfaen" w:hAnsi="Sylfaen" w:cs="Sylfaen"/>
        </w:rPr>
        <w:t>დათვი</w:t>
      </w:r>
      <w:r w:rsidRPr="001352AB">
        <w:t xml:space="preserve">, </w:t>
      </w:r>
      <w:r w:rsidRPr="001352AB">
        <w:rPr>
          <w:rFonts w:ascii="Sylfaen" w:hAnsi="Sylfaen" w:cs="Sylfaen"/>
        </w:rPr>
        <w:t>მგელი</w:t>
      </w:r>
      <w:r w:rsidRPr="001352AB">
        <w:t xml:space="preserve">, </w:t>
      </w:r>
      <w:r w:rsidRPr="001352AB">
        <w:rPr>
          <w:rFonts w:ascii="Sylfaen" w:hAnsi="Sylfaen" w:cs="Sylfaen"/>
        </w:rPr>
        <w:t>მელა</w:t>
      </w:r>
      <w:r w:rsidRPr="001352AB">
        <w:t xml:space="preserve">, </w:t>
      </w:r>
      <w:r w:rsidRPr="001352AB">
        <w:rPr>
          <w:rFonts w:ascii="Sylfaen" w:hAnsi="Sylfaen" w:cs="Sylfaen"/>
        </w:rPr>
        <w:t>ტურა</w:t>
      </w:r>
      <w:r w:rsidRPr="001352AB">
        <w:t xml:space="preserve">, </w:t>
      </w:r>
      <w:r w:rsidRPr="001352AB">
        <w:rPr>
          <w:rFonts w:ascii="Sylfaen" w:hAnsi="Sylfaen" w:cs="Sylfaen"/>
        </w:rPr>
        <w:t>ტყის</w:t>
      </w:r>
      <w:r w:rsidRPr="001352AB">
        <w:t xml:space="preserve"> </w:t>
      </w:r>
      <w:r w:rsidRPr="001352AB">
        <w:rPr>
          <w:rFonts w:ascii="Sylfaen" w:hAnsi="Sylfaen" w:cs="Sylfaen"/>
        </w:rPr>
        <w:t>კატა</w:t>
      </w:r>
      <w:r w:rsidRPr="001352AB">
        <w:t xml:space="preserve">, </w:t>
      </w:r>
      <w:r w:rsidRPr="001352AB">
        <w:rPr>
          <w:rFonts w:ascii="Sylfaen" w:hAnsi="Sylfaen" w:cs="Sylfaen"/>
        </w:rPr>
        <w:t>კურდღელი</w:t>
      </w:r>
      <w:r w:rsidRPr="001352AB">
        <w:t xml:space="preserve">, </w:t>
      </w:r>
      <w:r w:rsidRPr="001352AB">
        <w:rPr>
          <w:rFonts w:ascii="Sylfaen" w:hAnsi="Sylfaen" w:cs="Sylfaen"/>
        </w:rPr>
        <w:t>ევროპული</w:t>
      </w:r>
      <w:r w:rsidRPr="001352AB">
        <w:t xml:space="preserve"> </w:t>
      </w:r>
      <w:r w:rsidRPr="001352AB">
        <w:rPr>
          <w:rFonts w:ascii="Sylfaen" w:hAnsi="Sylfaen" w:cs="Sylfaen"/>
        </w:rPr>
        <w:t>ზღარბი</w:t>
      </w:r>
      <w:r w:rsidRPr="001352AB">
        <w:t xml:space="preserve">, </w:t>
      </w:r>
      <w:r w:rsidRPr="001352AB">
        <w:rPr>
          <w:rFonts w:ascii="Sylfaen" w:hAnsi="Sylfaen" w:cs="Sylfaen"/>
        </w:rPr>
        <w:t>კავკასიური</w:t>
      </w:r>
      <w:r w:rsidRPr="001352AB">
        <w:t xml:space="preserve"> </w:t>
      </w:r>
      <w:r w:rsidRPr="001352AB">
        <w:rPr>
          <w:rFonts w:ascii="Sylfaen" w:hAnsi="Sylfaen" w:cs="Sylfaen"/>
        </w:rPr>
        <w:t>თხუნელა</w:t>
      </w:r>
      <w:r w:rsidRPr="001352AB">
        <w:t xml:space="preserve">, </w:t>
      </w:r>
      <w:r w:rsidRPr="001352AB">
        <w:rPr>
          <w:rFonts w:ascii="Sylfaen" w:hAnsi="Sylfaen" w:cs="Sylfaen"/>
        </w:rPr>
        <w:t>მაჩვი</w:t>
      </w:r>
      <w:r w:rsidRPr="001352AB">
        <w:t xml:space="preserve">, </w:t>
      </w:r>
      <w:r w:rsidRPr="001352AB">
        <w:rPr>
          <w:rFonts w:ascii="Sylfaen" w:hAnsi="Sylfaen" w:cs="Sylfaen"/>
        </w:rPr>
        <w:t>ენოტი</w:t>
      </w:r>
      <w:r w:rsidRPr="001352AB">
        <w:t>,</w:t>
      </w:r>
      <w:r w:rsidRPr="001352AB">
        <w:rPr>
          <w:rFonts w:ascii="Sylfaen" w:hAnsi="Sylfaen" w:cs="Sylfaen"/>
        </w:rPr>
        <w:t>წავი</w:t>
      </w:r>
      <w:r w:rsidRPr="001352AB">
        <w:t xml:space="preserve"> </w:t>
      </w:r>
      <w:r w:rsidRPr="001352AB">
        <w:rPr>
          <w:rFonts w:ascii="Sylfaen" w:hAnsi="Sylfaen" w:cs="Sylfaen"/>
        </w:rPr>
        <w:t>დასხვა</w:t>
      </w:r>
      <w:r w:rsidRPr="001352AB">
        <w:t xml:space="preserve">. </w:t>
      </w:r>
      <w:r w:rsidRPr="001352AB">
        <w:rPr>
          <w:rFonts w:ascii="Sylfaen" w:hAnsi="Sylfaen" w:cs="Sylfaen"/>
        </w:rPr>
        <w:t>მღრღნელებიდან</w:t>
      </w:r>
      <w:r w:rsidRPr="001352AB">
        <w:t xml:space="preserve"> </w:t>
      </w:r>
      <w:r w:rsidRPr="001352AB">
        <w:rPr>
          <w:rFonts w:ascii="Sylfaen" w:hAnsi="Sylfaen" w:cs="Sylfaen"/>
        </w:rPr>
        <w:t>ჩვეულებრივი</w:t>
      </w:r>
      <w:r w:rsidRPr="001352AB">
        <w:t xml:space="preserve"> </w:t>
      </w:r>
      <w:r w:rsidRPr="001352AB">
        <w:rPr>
          <w:rFonts w:ascii="Sylfaen" w:hAnsi="Sylfaen" w:cs="Sylfaen"/>
        </w:rPr>
        <w:t>თაგვი</w:t>
      </w:r>
      <w:r w:rsidRPr="001352AB">
        <w:t xml:space="preserve">, </w:t>
      </w:r>
      <w:r w:rsidRPr="001352AB">
        <w:rPr>
          <w:rFonts w:ascii="Sylfaen" w:hAnsi="Sylfaen" w:cs="Sylfaen"/>
        </w:rPr>
        <w:t>მემინდვრია</w:t>
      </w:r>
      <w:r w:rsidRPr="001352AB">
        <w:t xml:space="preserve">, </w:t>
      </w:r>
      <w:r w:rsidRPr="001352AB">
        <w:rPr>
          <w:rFonts w:ascii="Sylfaen" w:hAnsi="Sylfaen" w:cs="Sylfaen"/>
        </w:rPr>
        <w:t>რუხი</w:t>
      </w:r>
      <w:r w:rsidRPr="001352AB">
        <w:t xml:space="preserve"> </w:t>
      </w:r>
      <w:r w:rsidRPr="001352AB">
        <w:rPr>
          <w:rFonts w:ascii="Sylfaen" w:hAnsi="Sylfaen" w:cs="Sylfaen"/>
        </w:rPr>
        <w:t>ვირთაგვა</w:t>
      </w:r>
      <w:r w:rsidRPr="001352AB">
        <w:t xml:space="preserve">. </w:t>
      </w:r>
      <w:r w:rsidRPr="001352AB">
        <w:rPr>
          <w:rFonts w:ascii="Sylfaen" w:hAnsi="Sylfaen" w:cs="Sylfaen"/>
        </w:rPr>
        <w:t>ჭალის</w:t>
      </w:r>
      <w:r w:rsidRPr="001352AB">
        <w:t xml:space="preserve"> </w:t>
      </w:r>
      <w:r w:rsidRPr="001352AB">
        <w:rPr>
          <w:rFonts w:ascii="Sylfaen" w:hAnsi="Sylfaen" w:cs="Sylfaen"/>
        </w:rPr>
        <w:t>ტყეებში</w:t>
      </w:r>
      <w:r w:rsidRPr="001352AB">
        <w:t xml:space="preserve"> </w:t>
      </w:r>
      <w:r w:rsidRPr="001352AB">
        <w:rPr>
          <w:rFonts w:ascii="Sylfaen" w:hAnsi="Sylfaen" w:cs="Sylfaen"/>
        </w:rPr>
        <w:t>ტყის</w:t>
      </w:r>
      <w:r w:rsidRPr="001352AB">
        <w:t xml:space="preserve"> </w:t>
      </w:r>
      <w:r w:rsidRPr="001352AB">
        <w:rPr>
          <w:rFonts w:ascii="Sylfaen" w:hAnsi="Sylfaen" w:cs="Sylfaen"/>
        </w:rPr>
        <w:t>ძილგუდა</w:t>
      </w:r>
      <w:r w:rsidRPr="001352AB">
        <w:t xml:space="preserve">. </w:t>
      </w:r>
      <w:r w:rsidRPr="001352AB">
        <w:rPr>
          <w:rFonts w:ascii="Sylfaen" w:hAnsi="Sylfaen" w:cs="Sylfaen"/>
        </w:rPr>
        <w:t>ბევრია</w:t>
      </w:r>
      <w:r w:rsidRPr="001352AB">
        <w:t xml:space="preserve"> </w:t>
      </w:r>
      <w:r w:rsidRPr="001352AB">
        <w:rPr>
          <w:rFonts w:ascii="Sylfaen" w:hAnsi="Sylfaen" w:cs="Sylfaen"/>
        </w:rPr>
        <w:t>როგორც</w:t>
      </w:r>
      <w:r w:rsidRPr="001352AB">
        <w:t xml:space="preserve"> </w:t>
      </w:r>
      <w:r w:rsidRPr="001352AB">
        <w:rPr>
          <w:rFonts w:ascii="Sylfaen" w:hAnsi="Sylfaen" w:cs="Sylfaen"/>
        </w:rPr>
        <w:t>ვაკის</w:t>
      </w:r>
      <w:r w:rsidRPr="001352AB">
        <w:t xml:space="preserve">, </w:t>
      </w:r>
      <w:r w:rsidRPr="001352AB">
        <w:rPr>
          <w:rFonts w:ascii="Sylfaen" w:hAnsi="Sylfaen" w:cs="Sylfaen"/>
        </w:rPr>
        <w:t>ისე</w:t>
      </w:r>
      <w:r w:rsidRPr="001352AB">
        <w:t xml:space="preserve"> </w:t>
      </w:r>
      <w:r w:rsidRPr="001352AB">
        <w:rPr>
          <w:rFonts w:ascii="Sylfaen" w:hAnsi="Sylfaen" w:cs="Sylfaen"/>
        </w:rPr>
        <w:t>მთებისთვის</w:t>
      </w:r>
      <w:r w:rsidRPr="001352AB">
        <w:t xml:space="preserve"> </w:t>
      </w:r>
      <w:r w:rsidRPr="001352AB">
        <w:rPr>
          <w:rFonts w:ascii="Sylfaen" w:hAnsi="Sylfaen" w:cs="Sylfaen"/>
        </w:rPr>
        <w:t>დამახასიათებელი</w:t>
      </w:r>
      <w:r w:rsidRPr="001352AB">
        <w:t xml:space="preserve"> </w:t>
      </w:r>
      <w:r w:rsidRPr="001352AB">
        <w:rPr>
          <w:rFonts w:ascii="Sylfaen" w:hAnsi="Sylfaen" w:cs="Sylfaen"/>
        </w:rPr>
        <w:t>ფრინველი</w:t>
      </w:r>
      <w:r w:rsidRPr="001352AB">
        <w:t xml:space="preserve">. </w:t>
      </w:r>
      <w:r w:rsidRPr="001352AB">
        <w:rPr>
          <w:rFonts w:ascii="Sylfaen" w:hAnsi="Sylfaen" w:cs="Sylfaen"/>
        </w:rPr>
        <w:t>ხოხბის</w:t>
      </w:r>
      <w:r w:rsidRPr="001352AB">
        <w:t xml:space="preserve">, </w:t>
      </w:r>
      <w:r w:rsidRPr="001352AB">
        <w:rPr>
          <w:rFonts w:ascii="Sylfaen" w:hAnsi="Sylfaen" w:cs="Sylfaen"/>
        </w:rPr>
        <w:t>კურდღლის</w:t>
      </w:r>
      <w:r w:rsidRPr="001352AB">
        <w:t xml:space="preserve">, </w:t>
      </w:r>
      <w:r w:rsidRPr="001352AB">
        <w:rPr>
          <w:rFonts w:ascii="Sylfaen" w:hAnsi="Sylfaen" w:cs="Sylfaen"/>
        </w:rPr>
        <w:t>გარეული</w:t>
      </w:r>
      <w:r w:rsidRPr="001352AB">
        <w:t xml:space="preserve"> </w:t>
      </w:r>
      <w:r w:rsidRPr="001352AB">
        <w:rPr>
          <w:rFonts w:ascii="Sylfaen" w:hAnsi="Sylfaen" w:cs="Sylfaen"/>
        </w:rPr>
        <w:t>ღორისა</w:t>
      </w:r>
      <w:r w:rsidRPr="001352AB">
        <w:t xml:space="preserve"> </w:t>
      </w:r>
      <w:r w:rsidRPr="001352AB">
        <w:rPr>
          <w:rFonts w:ascii="Sylfaen" w:hAnsi="Sylfaen" w:cs="Sylfaen"/>
        </w:rPr>
        <w:t>და</w:t>
      </w:r>
      <w:r w:rsidRPr="001352AB">
        <w:t xml:space="preserve"> </w:t>
      </w:r>
      <w:r w:rsidRPr="001352AB">
        <w:rPr>
          <w:rFonts w:ascii="Sylfaen" w:hAnsi="Sylfaen" w:cs="Sylfaen"/>
        </w:rPr>
        <w:t>შვლის</w:t>
      </w:r>
      <w:r w:rsidRPr="001352AB">
        <w:t xml:space="preserve"> </w:t>
      </w:r>
      <w:r w:rsidRPr="001352AB">
        <w:rPr>
          <w:rFonts w:ascii="Sylfaen" w:hAnsi="Sylfaen" w:cs="Sylfaen"/>
        </w:rPr>
        <w:t>დაცვისა</w:t>
      </w:r>
      <w:r w:rsidRPr="001352AB">
        <w:t xml:space="preserve"> </w:t>
      </w:r>
      <w:r w:rsidRPr="001352AB">
        <w:rPr>
          <w:rFonts w:ascii="Sylfaen" w:hAnsi="Sylfaen" w:cs="Sylfaen"/>
        </w:rPr>
        <w:t>და</w:t>
      </w:r>
      <w:r w:rsidRPr="001352AB">
        <w:t xml:space="preserve"> </w:t>
      </w:r>
      <w:r w:rsidRPr="001352AB">
        <w:rPr>
          <w:rFonts w:ascii="Sylfaen" w:hAnsi="Sylfaen" w:cs="Sylfaen"/>
        </w:rPr>
        <w:t>მომრავლების</w:t>
      </w:r>
      <w:r w:rsidRPr="001352AB">
        <w:t xml:space="preserve"> </w:t>
      </w:r>
      <w:r w:rsidRPr="001352AB">
        <w:rPr>
          <w:rFonts w:ascii="Sylfaen" w:hAnsi="Sylfaen" w:cs="Sylfaen"/>
        </w:rPr>
        <w:t>მიზნით</w:t>
      </w:r>
      <w:r w:rsidRPr="001352AB">
        <w:t xml:space="preserve"> </w:t>
      </w:r>
      <w:r w:rsidRPr="001352AB">
        <w:rPr>
          <w:rFonts w:ascii="Sylfaen" w:hAnsi="Sylfaen" w:cs="Sylfaen"/>
        </w:rPr>
        <w:t>შექმნილია</w:t>
      </w:r>
      <w:r w:rsidRPr="001352AB">
        <w:t xml:space="preserve"> </w:t>
      </w:r>
      <w:r w:rsidRPr="001352AB">
        <w:rPr>
          <w:rFonts w:ascii="Sylfaen" w:hAnsi="Sylfaen" w:cs="Sylfaen"/>
        </w:rPr>
        <w:t>სამონადირეო</w:t>
      </w:r>
      <w:r w:rsidRPr="001352AB">
        <w:t xml:space="preserve"> </w:t>
      </w:r>
      <w:r w:rsidRPr="001352AB">
        <w:rPr>
          <w:rFonts w:ascii="Sylfaen" w:hAnsi="Sylfaen" w:cs="Sylfaen"/>
        </w:rPr>
        <w:t>მეურნეობა</w:t>
      </w:r>
      <w:r w:rsidRPr="001352AB">
        <w:t xml:space="preserve">: </w:t>
      </w:r>
      <w:r w:rsidRPr="001352AB">
        <w:rPr>
          <w:rFonts w:ascii="Sylfaen" w:hAnsi="Sylfaen" w:cs="Sylfaen"/>
        </w:rPr>
        <w:t>ინაბოტისა</w:t>
      </w:r>
      <w:r w:rsidRPr="001352AB">
        <w:t xml:space="preserve"> </w:t>
      </w:r>
      <w:r w:rsidRPr="001352AB">
        <w:rPr>
          <w:rFonts w:ascii="Sylfaen" w:hAnsi="Sylfaen" w:cs="Sylfaen"/>
        </w:rPr>
        <w:t>და</w:t>
      </w:r>
      <w:r w:rsidRPr="001352AB">
        <w:t xml:space="preserve"> </w:t>
      </w:r>
      <w:r w:rsidRPr="001352AB">
        <w:rPr>
          <w:rFonts w:ascii="Sylfaen" w:hAnsi="Sylfaen" w:cs="Sylfaen"/>
        </w:rPr>
        <w:t>ლელის</w:t>
      </w:r>
      <w:r w:rsidRPr="001352AB">
        <w:t xml:space="preserve"> </w:t>
      </w:r>
      <w:r w:rsidRPr="001352AB">
        <w:rPr>
          <w:rFonts w:ascii="Sylfaen" w:hAnsi="Sylfaen" w:cs="Sylfaen"/>
        </w:rPr>
        <w:t>ალაზანზე</w:t>
      </w:r>
      <w:r w:rsidRPr="001352AB">
        <w:t>.</w:t>
      </w:r>
    </w:p>
    <w:p w14:paraId="6C88B73F" w14:textId="77777777" w:rsidR="00CD64B5" w:rsidRPr="00CD64B5" w:rsidRDefault="00CD64B5" w:rsidP="000E38C6">
      <w:pPr>
        <w:spacing w:before="120" w:after="120"/>
        <w:rPr>
          <w:lang w:val="ka-GE"/>
        </w:rPr>
      </w:pPr>
      <w:r w:rsidRPr="00CD64B5">
        <w:rPr>
          <w:rFonts w:ascii="Sylfaen" w:hAnsi="Sylfaen" w:cs="Sylfaen"/>
          <w:lang w:val="ka-GE"/>
        </w:rPr>
        <w:t>ჩატარდა</w:t>
      </w:r>
      <w:r w:rsidRPr="00CD64B5">
        <w:rPr>
          <w:lang w:val="ka-GE"/>
        </w:rPr>
        <w:t xml:space="preserve"> </w:t>
      </w:r>
      <w:r w:rsidRPr="00CD64B5">
        <w:rPr>
          <w:rFonts w:ascii="Sylfaen" w:hAnsi="Sylfaen" w:cs="Sylfaen"/>
          <w:lang w:val="ka-GE"/>
        </w:rPr>
        <w:t>საველე</w:t>
      </w:r>
      <w:r w:rsidRPr="00CD64B5">
        <w:rPr>
          <w:lang w:val="ka-GE"/>
        </w:rPr>
        <w:t xml:space="preserve"> </w:t>
      </w:r>
      <w:r w:rsidRPr="00CD64B5">
        <w:rPr>
          <w:rFonts w:ascii="Sylfaen" w:hAnsi="Sylfaen" w:cs="Sylfaen"/>
          <w:lang w:val="ka-GE"/>
        </w:rPr>
        <w:t>გასვლა</w:t>
      </w:r>
      <w:r w:rsidRPr="00CD64B5">
        <w:rPr>
          <w:lang w:val="ka-GE"/>
        </w:rPr>
        <w:t xml:space="preserve"> </w:t>
      </w:r>
      <w:r w:rsidRPr="00CD64B5">
        <w:rPr>
          <w:rFonts w:ascii="Sylfaen" w:hAnsi="Sylfaen" w:cs="Sylfaen"/>
          <w:lang w:val="ka-GE"/>
        </w:rPr>
        <w:t>საპროექტო</w:t>
      </w:r>
      <w:r w:rsidRPr="00CD64B5">
        <w:rPr>
          <w:lang w:val="ka-GE"/>
        </w:rPr>
        <w:t xml:space="preserve"> </w:t>
      </w:r>
      <w:r w:rsidRPr="00CD64B5">
        <w:rPr>
          <w:rFonts w:ascii="Sylfaen" w:hAnsi="Sylfaen" w:cs="Sylfaen"/>
          <w:lang w:val="ka-GE"/>
        </w:rPr>
        <w:t>გზის</w:t>
      </w:r>
      <w:r w:rsidRPr="00CD64B5">
        <w:rPr>
          <w:lang w:val="ka-GE"/>
        </w:rPr>
        <w:t xml:space="preserve"> </w:t>
      </w:r>
      <w:r w:rsidRPr="00CD64B5">
        <w:rPr>
          <w:rFonts w:ascii="Sylfaen" w:hAnsi="Sylfaen" w:cs="Sylfaen"/>
          <w:lang w:val="ka-GE"/>
        </w:rPr>
        <w:t>ტერიტორიაზე</w:t>
      </w:r>
      <w:r w:rsidRPr="00CD64B5">
        <w:rPr>
          <w:lang w:val="ka-GE"/>
        </w:rPr>
        <w:t xml:space="preserve">, </w:t>
      </w:r>
      <w:r w:rsidRPr="00CD64B5">
        <w:rPr>
          <w:rFonts w:ascii="Sylfaen" w:hAnsi="Sylfaen" w:cs="Sylfaen"/>
          <w:lang w:val="ka-GE"/>
        </w:rPr>
        <w:t>იქ</w:t>
      </w:r>
      <w:r w:rsidRPr="00CD64B5">
        <w:rPr>
          <w:lang w:val="ka-GE"/>
        </w:rPr>
        <w:t xml:space="preserve"> </w:t>
      </w:r>
      <w:r w:rsidRPr="00CD64B5">
        <w:rPr>
          <w:rFonts w:ascii="Sylfaen" w:hAnsi="Sylfaen" w:cs="Sylfaen"/>
          <w:lang w:val="ka-GE"/>
        </w:rPr>
        <w:t>არსებული</w:t>
      </w:r>
      <w:r w:rsidRPr="00CD64B5">
        <w:rPr>
          <w:lang w:val="ka-GE"/>
        </w:rPr>
        <w:t xml:space="preserve"> </w:t>
      </w:r>
      <w:r w:rsidRPr="00CD64B5">
        <w:rPr>
          <w:rFonts w:ascii="Sylfaen" w:hAnsi="Sylfaen" w:cs="Sylfaen"/>
          <w:lang w:val="ka-GE"/>
        </w:rPr>
        <w:t>ცხოველების</w:t>
      </w:r>
      <w:r w:rsidRPr="00CD64B5">
        <w:rPr>
          <w:lang w:val="ka-GE"/>
        </w:rPr>
        <w:t xml:space="preserve"> </w:t>
      </w:r>
      <w:r w:rsidRPr="00CD64B5">
        <w:rPr>
          <w:rFonts w:ascii="Sylfaen" w:hAnsi="Sylfaen" w:cs="Sylfaen"/>
          <w:lang w:val="ka-GE"/>
        </w:rPr>
        <w:t>სახეობების</w:t>
      </w:r>
      <w:r w:rsidRPr="00CD64B5">
        <w:rPr>
          <w:lang w:val="ka-GE"/>
        </w:rPr>
        <w:t xml:space="preserve"> </w:t>
      </w:r>
      <w:r w:rsidRPr="00CD64B5">
        <w:rPr>
          <w:rFonts w:ascii="Sylfaen" w:hAnsi="Sylfaen" w:cs="Sylfaen"/>
          <w:lang w:val="ka-GE"/>
        </w:rPr>
        <w:t>დასადგენად</w:t>
      </w:r>
      <w:r w:rsidRPr="00CD64B5">
        <w:rPr>
          <w:lang w:val="ka-GE"/>
        </w:rPr>
        <w:t xml:space="preserve">. </w:t>
      </w:r>
      <w:r w:rsidRPr="00CD64B5">
        <w:rPr>
          <w:rFonts w:ascii="Sylfaen" w:hAnsi="Sylfaen" w:cs="Sylfaen"/>
          <w:lang w:val="ka-GE"/>
        </w:rPr>
        <w:t>როგორც</w:t>
      </w:r>
      <w:r w:rsidRPr="00CD64B5">
        <w:rPr>
          <w:lang w:val="ka-GE"/>
        </w:rPr>
        <w:t xml:space="preserve"> </w:t>
      </w:r>
      <w:r w:rsidRPr="00CD64B5">
        <w:rPr>
          <w:rFonts w:ascii="Sylfaen" w:hAnsi="Sylfaen" w:cs="Sylfaen"/>
          <w:lang w:val="ka-GE"/>
        </w:rPr>
        <w:t>ზემოთ</w:t>
      </w:r>
      <w:r w:rsidRPr="00CD64B5">
        <w:rPr>
          <w:lang w:val="ka-GE"/>
        </w:rPr>
        <w:t xml:space="preserve"> </w:t>
      </w:r>
      <w:r w:rsidRPr="00CD64B5">
        <w:rPr>
          <w:rFonts w:ascii="Sylfaen" w:hAnsi="Sylfaen" w:cs="Sylfaen"/>
          <w:lang w:val="ka-GE"/>
        </w:rPr>
        <w:t>იყო</w:t>
      </w:r>
      <w:r w:rsidRPr="00CD64B5">
        <w:rPr>
          <w:lang w:val="ka-GE"/>
        </w:rPr>
        <w:t xml:space="preserve"> </w:t>
      </w:r>
      <w:r w:rsidRPr="00CD64B5">
        <w:rPr>
          <w:rFonts w:ascii="Sylfaen" w:hAnsi="Sylfaen" w:cs="Sylfaen"/>
          <w:lang w:val="ka-GE"/>
        </w:rPr>
        <w:t>აღნიშნული</w:t>
      </w:r>
      <w:r w:rsidRPr="00CD64B5">
        <w:rPr>
          <w:lang w:val="ka-GE"/>
        </w:rPr>
        <w:t xml:space="preserve">, </w:t>
      </w:r>
      <w:r w:rsidRPr="00CD64B5">
        <w:rPr>
          <w:rFonts w:ascii="Sylfaen" w:hAnsi="Sylfaen" w:cs="Sylfaen"/>
          <w:lang w:val="ka-GE"/>
        </w:rPr>
        <w:t>ტერიტორია</w:t>
      </w:r>
      <w:r w:rsidRPr="00CD64B5">
        <w:rPr>
          <w:lang w:val="ka-GE"/>
        </w:rPr>
        <w:t xml:space="preserve"> </w:t>
      </w:r>
      <w:r w:rsidRPr="00CD64B5">
        <w:rPr>
          <w:rFonts w:ascii="Sylfaen" w:hAnsi="Sylfaen" w:cs="Sylfaen"/>
          <w:lang w:val="ka-GE"/>
        </w:rPr>
        <w:t>სასოფლო</w:t>
      </w:r>
      <w:r w:rsidRPr="00CD64B5">
        <w:rPr>
          <w:lang w:val="ka-GE"/>
        </w:rPr>
        <w:t>-</w:t>
      </w:r>
      <w:r w:rsidRPr="00CD64B5">
        <w:rPr>
          <w:rFonts w:ascii="Sylfaen" w:hAnsi="Sylfaen" w:cs="Sylfaen"/>
          <w:lang w:val="ka-GE"/>
        </w:rPr>
        <w:t>სამეურნეო</w:t>
      </w:r>
      <w:r w:rsidRPr="00CD64B5">
        <w:rPr>
          <w:lang w:val="ka-GE"/>
        </w:rPr>
        <w:t xml:space="preserve"> </w:t>
      </w:r>
      <w:r w:rsidRPr="00CD64B5">
        <w:rPr>
          <w:rFonts w:ascii="Sylfaen" w:hAnsi="Sylfaen" w:cs="Sylfaen"/>
          <w:lang w:val="ka-GE"/>
        </w:rPr>
        <w:t>სავარგულებზე</w:t>
      </w:r>
      <w:r w:rsidRPr="00CD64B5">
        <w:rPr>
          <w:lang w:val="ka-GE"/>
        </w:rPr>
        <w:t xml:space="preserve"> </w:t>
      </w:r>
      <w:r w:rsidRPr="00CD64B5">
        <w:rPr>
          <w:rFonts w:ascii="Sylfaen" w:hAnsi="Sylfaen" w:cs="Sylfaen"/>
          <w:lang w:val="ka-GE"/>
        </w:rPr>
        <w:t>გადის</w:t>
      </w:r>
      <w:r w:rsidRPr="00CD64B5">
        <w:rPr>
          <w:lang w:val="ka-GE"/>
        </w:rPr>
        <w:t xml:space="preserve">. </w:t>
      </w:r>
      <w:r w:rsidRPr="00CD64B5">
        <w:rPr>
          <w:rFonts w:ascii="Sylfaen" w:hAnsi="Sylfaen" w:cs="Sylfaen"/>
          <w:lang w:val="ka-GE"/>
        </w:rPr>
        <w:t>იგი</w:t>
      </w:r>
      <w:r w:rsidRPr="00CD64B5">
        <w:rPr>
          <w:lang w:val="ka-GE"/>
        </w:rPr>
        <w:t xml:space="preserve"> </w:t>
      </w:r>
      <w:r w:rsidRPr="00CD64B5">
        <w:rPr>
          <w:rFonts w:ascii="Sylfaen" w:hAnsi="Sylfaen" w:cs="Sylfaen"/>
          <w:lang w:val="ka-GE"/>
        </w:rPr>
        <w:t>მოკლებულია</w:t>
      </w:r>
      <w:r w:rsidRPr="00CD64B5">
        <w:rPr>
          <w:lang w:val="ka-GE"/>
        </w:rPr>
        <w:t xml:space="preserve"> </w:t>
      </w:r>
      <w:r w:rsidRPr="00CD64B5">
        <w:rPr>
          <w:rFonts w:ascii="Sylfaen" w:hAnsi="Sylfaen" w:cs="Sylfaen"/>
          <w:lang w:val="ka-GE"/>
        </w:rPr>
        <w:t>ველურ</w:t>
      </w:r>
      <w:r w:rsidRPr="00CD64B5">
        <w:rPr>
          <w:lang w:val="ka-GE"/>
        </w:rPr>
        <w:t xml:space="preserve"> </w:t>
      </w:r>
      <w:r w:rsidRPr="00CD64B5">
        <w:rPr>
          <w:rFonts w:ascii="Sylfaen" w:hAnsi="Sylfaen" w:cs="Sylfaen"/>
          <w:lang w:val="ka-GE"/>
        </w:rPr>
        <w:t>მცენარეულ</w:t>
      </w:r>
      <w:r w:rsidRPr="00CD64B5">
        <w:rPr>
          <w:lang w:val="ka-GE"/>
        </w:rPr>
        <w:t xml:space="preserve"> </w:t>
      </w:r>
      <w:r w:rsidRPr="00CD64B5">
        <w:rPr>
          <w:rFonts w:ascii="Sylfaen" w:hAnsi="Sylfaen" w:cs="Sylfaen"/>
          <w:lang w:val="ka-GE"/>
        </w:rPr>
        <w:t>საფარს</w:t>
      </w:r>
      <w:r w:rsidRPr="00CD64B5">
        <w:rPr>
          <w:lang w:val="ka-GE"/>
        </w:rPr>
        <w:t xml:space="preserve">. </w:t>
      </w:r>
      <w:r w:rsidRPr="00CD64B5">
        <w:rPr>
          <w:rFonts w:ascii="Sylfaen" w:hAnsi="Sylfaen" w:cs="Sylfaen"/>
          <w:lang w:val="ka-GE"/>
        </w:rPr>
        <w:t>შესაბამისად</w:t>
      </w:r>
      <w:r w:rsidRPr="00CD64B5">
        <w:rPr>
          <w:lang w:val="ka-GE"/>
        </w:rPr>
        <w:t xml:space="preserve">, </w:t>
      </w:r>
      <w:r w:rsidRPr="00CD64B5">
        <w:rPr>
          <w:rFonts w:ascii="Sylfaen" w:hAnsi="Sylfaen" w:cs="Sylfaen"/>
          <w:lang w:val="ka-GE"/>
        </w:rPr>
        <w:t>აქ</w:t>
      </w:r>
      <w:r w:rsidRPr="00CD64B5">
        <w:rPr>
          <w:lang w:val="ka-GE"/>
        </w:rPr>
        <w:t xml:space="preserve"> </w:t>
      </w:r>
      <w:r w:rsidRPr="00CD64B5">
        <w:rPr>
          <w:rFonts w:ascii="Sylfaen" w:hAnsi="Sylfaen" w:cs="Sylfaen"/>
          <w:lang w:val="ka-GE"/>
        </w:rPr>
        <w:t>ნანახი</w:t>
      </w:r>
      <w:r w:rsidRPr="00CD64B5">
        <w:rPr>
          <w:lang w:val="ka-GE"/>
        </w:rPr>
        <w:t xml:space="preserve"> </w:t>
      </w:r>
      <w:r w:rsidRPr="00CD64B5">
        <w:rPr>
          <w:rFonts w:ascii="Sylfaen" w:hAnsi="Sylfaen" w:cs="Sylfaen"/>
          <w:lang w:val="ka-GE"/>
        </w:rPr>
        <w:t>არ</w:t>
      </w:r>
      <w:r w:rsidRPr="00CD64B5">
        <w:rPr>
          <w:lang w:val="ka-GE"/>
        </w:rPr>
        <w:t xml:space="preserve"> </w:t>
      </w:r>
      <w:r w:rsidRPr="00CD64B5">
        <w:rPr>
          <w:rFonts w:ascii="Sylfaen" w:hAnsi="Sylfaen" w:cs="Sylfaen"/>
          <w:lang w:val="ka-GE"/>
        </w:rPr>
        <w:t>იქნა</w:t>
      </w:r>
      <w:r w:rsidRPr="00CD64B5">
        <w:rPr>
          <w:lang w:val="ka-GE"/>
        </w:rPr>
        <w:t xml:space="preserve"> </w:t>
      </w:r>
      <w:r w:rsidRPr="00CD64B5">
        <w:rPr>
          <w:rFonts w:ascii="Sylfaen" w:hAnsi="Sylfaen" w:cs="Sylfaen"/>
          <w:lang w:val="ka-GE"/>
        </w:rPr>
        <w:t>ცხოველთა</w:t>
      </w:r>
      <w:r w:rsidRPr="00CD64B5">
        <w:rPr>
          <w:lang w:val="ka-GE"/>
        </w:rPr>
        <w:t xml:space="preserve"> </w:t>
      </w:r>
      <w:r w:rsidRPr="00CD64B5">
        <w:rPr>
          <w:rFonts w:ascii="Sylfaen" w:hAnsi="Sylfaen" w:cs="Sylfaen"/>
          <w:lang w:val="ka-GE"/>
        </w:rPr>
        <w:t>მრავალფეროვნება</w:t>
      </w:r>
      <w:r w:rsidRPr="00CD64B5">
        <w:rPr>
          <w:lang w:val="ka-GE"/>
        </w:rPr>
        <w:t xml:space="preserve">. </w:t>
      </w:r>
      <w:r w:rsidRPr="00CD64B5">
        <w:rPr>
          <w:rFonts w:ascii="Sylfaen" w:hAnsi="Sylfaen" w:cs="Sylfaen"/>
          <w:lang w:val="ka-GE"/>
        </w:rPr>
        <w:t>არ</w:t>
      </w:r>
      <w:r w:rsidRPr="00CD64B5">
        <w:rPr>
          <w:lang w:val="ka-GE"/>
        </w:rPr>
        <w:t xml:space="preserve"> </w:t>
      </w:r>
      <w:r w:rsidRPr="00CD64B5">
        <w:rPr>
          <w:rFonts w:ascii="Sylfaen" w:hAnsi="Sylfaen" w:cs="Sylfaen"/>
          <w:lang w:val="ka-GE"/>
        </w:rPr>
        <w:t>იქნა</w:t>
      </w:r>
      <w:r w:rsidRPr="00CD64B5">
        <w:rPr>
          <w:lang w:val="ka-GE"/>
        </w:rPr>
        <w:t xml:space="preserve"> </w:t>
      </w:r>
      <w:r w:rsidRPr="00CD64B5">
        <w:rPr>
          <w:rFonts w:ascii="Sylfaen" w:hAnsi="Sylfaen" w:cs="Sylfaen"/>
          <w:lang w:val="ka-GE"/>
        </w:rPr>
        <w:t>ნანახი</w:t>
      </w:r>
      <w:r w:rsidRPr="00CD64B5">
        <w:rPr>
          <w:lang w:val="ka-GE"/>
        </w:rPr>
        <w:t xml:space="preserve"> </w:t>
      </w:r>
      <w:r w:rsidRPr="00CD64B5">
        <w:rPr>
          <w:rFonts w:ascii="Sylfaen" w:hAnsi="Sylfaen" w:cs="Sylfaen"/>
          <w:lang w:val="ka-GE"/>
        </w:rPr>
        <w:t>მსხვილი</w:t>
      </w:r>
      <w:r w:rsidRPr="00CD64B5">
        <w:rPr>
          <w:lang w:val="ka-GE"/>
        </w:rPr>
        <w:t xml:space="preserve"> </w:t>
      </w:r>
      <w:r w:rsidRPr="00CD64B5">
        <w:rPr>
          <w:rFonts w:ascii="Sylfaen" w:hAnsi="Sylfaen" w:cs="Sylfaen"/>
          <w:lang w:val="ka-GE"/>
        </w:rPr>
        <w:t>ძუძუმწოვრების</w:t>
      </w:r>
      <w:r w:rsidRPr="00CD64B5">
        <w:rPr>
          <w:lang w:val="ka-GE"/>
        </w:rPr>
        <w:t xml:space="preserve"> </w:t>
      </w:r>
      <w:r w:rsidRPr="00CD64B5">
        <w:rPr>
          <w:rFonts w:ascii="Sylfaen" w:hAnsi="Sylfaen" w:cs="Sylfaen"/>
          <w:lang w:val="ka-GE"/>
        </w:rPr>
        <w:t>არსებობის</w:t>
      </w:r>
      <w:r w:rsidRPr="00CD64B5">
        <w:rPr>
          <w:lang w:val="ka-GE"/>
        </w:rPr>
        <w:t xml:space="preserve"> </w:t>
      </w:r>
      <w:r w:rsidRPr="00CD64B5">
        <w:rPr>
          <w:rFonts w:ascii="Sylfaen" w:hAnsi="Sylfaen" w:cs="Sylfaen"/>
          <w:lang w:val="ka-GE"/>
        </w:rPr>
        <w:t>ფაქტები</w:t>
      </w:r>
      <w:r w:rsidRPr="00CD64B5">
        <w:rPr>
          <w:lang w:val="ka-GE"/>
        </w:rPr>
        <w:t xml:space="preserve">. </w:t>
      </w:r>
      <w:r w:rsidRPr="00CD64B5">
        <w:rPr>
          <w:rFonts w:ascii="Sylfaen" w:hAnsi="Sylfaen" w:cs="Sylfaen"/>
          <w:lang w:val="ka-GE"/>
        </w:rPr>
        <w:t>დაფიქსირდა</w:t>
      </w:r>
      <w:r w:rsidRPr="00CD64B5">
        <w:rPr>
          <w:lang w:val="ka-GE"/>
        </w:rPr>
        <w:t xml:space="preserve"> </w:t>
      </w:r>
      <w:r w:rsidRPr="00CD64B5">
        <w:rPr>
          <w:rFonts w:ascii="Sylfaen" w:hAnsi="Sylfaen" w:cs="Sylfaen"/>
          <w:lang w:val="ka-GE"/>
        </w:rPr>
        <w:t>მინდვრის</w:t>
      </w:r>
      <w:r w:rsidRPr="00CD64B5">
        <w:rPr>
          <w:lang w:val="ka-GE"/>
        </w:rPr>
        <w:t xml:space="preserve"> </w:t>
      </w:r>
      <w:r w:rsidRPr="00CD64B5">
        <w:rPr>
          <w:rFonts w:ascii="Sylfaen" w:hAnsi="Sylfaen" w:cs="Sylfaen"/>
          <w:lang w:val="ka-GE"/>
        </w:rPr>
        <w:t>თაგვების</w:t>
      </w:r>
      <w:r w:rsidRPr="00CD64B5">
        <w:rPr>
          <w:lang w:val="ka-GE"/>
        </w:rPr>
        <w:t xml:space="preserve"> </w:t>
      </w:r>
      <w:r w:rsidRPr="00CD64B5">
        <w:rPr>
          <w:rFonts w:ascii="Sylfaen" w:hAnsi="Sylfaen" w:cs="Sylfaen"/>
          <w:lang w:val="ka-GE"/>
        </w:rPr>
        <w:t>რამდენიმე</w:t>
      </w:r>
      <w:r w:rsidRPr="00CD64B5">
        <w:rPr>
          <w:lang w:val="ka-GE"/>
        </w:rPr>
        <w:t xml:space="preserve"> </w:t>
      </w:r>
      <w:r w:rsidRPr="00CD64B5">
        <w:rPr>
          <w:rFonts w:ascii="Sylfaen" w:hAnsi="Sylfaen" w:cs="Sylfaen"/>
          <w:lang w:val="ka-GE"/>
        </w:rPr>
        <w:t>სორო</w:t>
      </w:r>
      <w:r w:rsidRPr="00CD64B5">
        <w:rPr>
          <w:lang w:val="ka-GE"/>
        </w:rPr>
        <w:t xml:space="preserve">. </w:t>
      </w:r>
      <w:r w:rsidRPr="00CD64B5">
        <w:rPr>
          <w:rFonts w:ascii="Sylfaen" w:hAnsi="Sylfaen" w:cs="Sylfaen"/>
          <w:lang w:val="ka-GE"/>
        </w:rPr>
        <w:t>მოსახლეობის</w:t>
      </w:r>
      <w:r w:rsidRPr="00CD64B5">
        <w:rPr>
          <w:lang w:val="ka-GE"/>
        </w:rPr>
        <w:t xml:space="preserve"> </w:t>
      </w:r>
      <w:r w:rsidRPr="00CD64B5">
        <w:rPr>
          <w:rFonts w:ascii="Sylfaen" w:hAnsi="Sylfaen" w:cs="Sylfaen"/>
          <w:lang w:val="ka-GE"/>
        </w:rPr>
        <w:t>ინფორმაციით</w:t>
      </w:r>
      <w:r w:rsidRPr="00CD64B5">
        <w:rPr>
          <w:lang w:val="ka-GE"/>
        </w:rPr>
        <w:t xml:space="preserve"> </w:t>
      </w:r>
      <w:r w:rsidRPr="00CD64B5">
        <w:rPr>
          <w:rFonts w:ascii="Sylfaen" w:hAnsi="Sylfaen" w:cs="Sylfaen"/>
          <w:lang w:val="ka-GE"/>
        </w:rPr>
        <w:t>იშვიათად</w:t>
      </w:r>
      <w:r w:rsidRPr="00CD64B5">
        <w:rPr>
          <w:lang w:val="ka-GE"/>
        </w:rPr>
        <w:t xml:space="preserve"> </w:t>
      </w:r>
      <w:r w:rsidRPr="00CD64B5">
        <w:rPr>
          <w:rFonts w:ascii="Sylfaen" w:hAnsi="Sylfaen" w:cs="Sylfaen"/>
          <w:lang w:val="ka-GE"/>
        </w:rPr>
        <w:t>შესაძლოა</w:t>
      </w:r>
      <w:r w:rsidRPr="00CD64B5">
        <w:rPr>
          <w:lang w:val="ka-GE"/>
        </w:rPr>
        <w:t xml:space="preserve"> </w:t>
      </w:r>
      <w:r w:rsidRPr="00CD64B5">
        <w:rPr>
          <w:rFonts w:ascii="Sylfaen" w:hAnsi="Sylfaen" w:cs="Sylfaen"/>
          <w:lang w:val="ka-GE"/>
        </w:rPr>
        <w:t>ნანახი</w:t>
      </w:r>
      <w:r w:rsidRPr="00CD64B5">
        <w:rPr>
          <w:lang w:val="ka-GE"/>
        </w:rPr>
        <w:t xml:space="preserve"> </w:t>
      </w:r>
      <w:r w:rsidRPr="00CD64B5">
        <w:rPr>
          <w:rFonts w:ascii="Sylfaen" w:hAnsi="Sylfaen" w:cs="Sylfaen"/>
          <w:lang w:val="ka-GE"/>
        </w:rPr>
        <w:t>იქნას</w:t>
      </w:r>
      <w:r w:rsidRPr="00CD64B5">
        <w:rPr>
          <w:lang w:val="ka-GE"/>
        </w:rPr>
        <w:t xml:space="preserve"> </w:t>
      </w:r>
      <w:r w:rsidRPr="00CD64B5">
        <w:rPr>
          <w:rFonts w:ascii="Sylfaen" w:hAnsi="Sylfaen" w:cs="Sylfaen"/>
          <w:lang w:val="ka-GE"/>
        </w:rPr>
        <w:t>მაჩვი</w:t>
      </w:r>
      <w:r w:rsidRPr="00CD64B5">
        <w:rPr>
          <w:lang w:val="ka-GE"/>
        </w:rPr>
        <w:t xml:space="preserve"> (Meles meeus). </w:t>
      </w:r>
      <w:r w:rsidRPr="00CD64B5">
        <w:rPr>
          <w:rFonts w:ascii="Sylfaen" w:hAnsi="Sylfaen" w:cs="Sylfaen"/>
          <w:lang w:val="ka-GE"/>
        </w:rPr>
        <w:t>აგრეთვე</w:t>
      </w:r>
      <w:r w:rsidRPr="00CD64B5">
        <w:rPr>
          <w:lang w:val="ka-GE"/>
        </w:rPr>
        <w:t xml:space="preserve"> </w:t>
      </w:r>
      <w:r w:rsidRPr="00CD64B5">
        <w:rPr>
          <w:rFonts w:ascii="Sylfaen" w:hAnsi="Sylfaen" w:cs="Sylfaen"/>
          <w:lang w:val="ka-GE"/>
        </w:rPr>
        <w:t>ბოლო</w:t>
      </w:r>
      <w:r w:rsidRPr="00CD64B5">
        <w:rPr>
          <w:lang w:val="ka-GE"/>
        </w:rPr>
        <w:t xml:space="preserve"> </w:t>
      </w:r>
      <w:r w:rsidRPr="00CD64B5">
        <w:rPr>
          <w:rFonts w:ascii="Sylfaen" w:hAnsi="Sylfaen" w:cs="Sylfaen"/>
          <w:lang w:val="ka-GE"/>
        </w:rPr>
        <w:t>დროს</w:t>
      </w:r>
      <w:r w:rsidRPr="00CD64B5">
        <w:rPr>
          <w:lang w:val="ka-GE"/>
        </w:rPr>
        <w:t xml:space="preserve"> </w:t>
      </w:r>
      <w:r w:rsidRPr="00CD64B5">
        <w:rPr>
          <w:rFonts w:ascii="Sylfaen" w:hAnsi="Sylfaen" w:cs="Sylfaen"/>
          <w:lang w:val="ka-GE"/>
        </w:rPr>
        <w:t>მომრავლდა</w:t>
      </w:r>
      <w:r w:rsidRPr="00CD64B5">
        <w:rPr>
          <w:lang w:val="ka-GE"/>
        </w:rPr>
        <w:t xml:space="preserve"> </w:t>
      </w:r>
      <w:r w:rsidRPr="00CD64B5">
        <w:rPr>
          <w:rFonts w:ascii="Sylfaen" w:hAnsi="Sylfaen" w:cs="Sylfaen"/>
          <w:lang w:val="ka-GE"/>
        </w:rPr>
        <w:t>მტაცებელი</w:t>
      </w:r>
      <w:r w:rsidRPr="00CD64B5">
        <w:rPr>
          <w:lang w:val="ka-GE"/>
        </w:rPr>
        <w:t xml:space="preserve"> </w:t>
      </w:r>
      <w:r w:rsidRPr="00CD64B5">
        <w:rPr>
          <w:rFonts w:ascii="Sylfaen" w:hAnsi="Sylfaen" w:cs="Sylfaen"/>
          <w:lang w:val="ka-GE"/>
        </w:rPr>
        <w:t>ცხოველები</w:t>
      </w:r>
      <w:r w:rsidRPr="00CD64B5">
        <w:rPr>
          <w:lang w:val="ka-GE"/>
        </w:rPr>
        <w:t xml:space="preserve"> - </w:t>
      </w:r>
      <w:r w:rsidRPr="00CD64B5">
        <w:rPr>
          <w:rFonts w:ascii="Sylfaen" w:hAnsi="Sylfaen" w:cs="Sylfaen"/>
          <w:lang w:val="ka-GE"/>
        </w:rPr>
        <w:t>მგელი</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ტურა</w:t>
      </w:r>
      <w:r w:rsidRPr="00CD64B5">
        <w:rPr>
          <w:lang w:val="ka-GE"/>
        </w:rPr>
        <w:t xml:space="preserve">. </w:t>
      </w:r>
      <w:r w:rsidRPr="00CD64B5">
        <w:rPr>
          <w:rFonts w:ascii="Sylfaen" w:hAnsi="Sylfaen" w:cs="Sylfaen"/>
          <w:lang w:val="ka-GE"/>
        </w:rPr>
        <w:t>თუმცა</w:t>
      </w:r>
      <w:r w:rsidRPr="00CD64B5">
        <w:rPr>
          <w:lang w:val="ka-GE"/>
        </w:rPr>
        <w:t xml:space="preserve"> </w:t>
      </w:r>
      <w:r w:rsidRPr="00CD64B5">
        <w:rPr>
          <w:rFonts w:ascii="Sylfaen" w:hAnsi="Sylfaen" w:cs="Sylfaen"/>
          <w:lang w:val="ka-GE"/>
        </w:rPr>
        <w:t>მათი</w:t>
      </w:r>
      <w:r w:rsidRPr="00CD64B5">
        <w:rPr>
          <w:lang w:val="ka-GE"/>
        </w:rPr>
        <w:t xml:space="preserve"> </w:t>
      </w:r>
      <w:r w:rsidRPr="00CD64B5">
        <w:rPr>
          <w:rFonts w:ascii="Sylfaen" w:hAnsi="Sylfaen" w:cs="Sylfaen"/>
          <w:lang w:val="ka-GE"/>
        </w:rPr>
        <w:t>არსებობის</w:t>
      </w:r>
      <w:r w:rsidRPr="00CD64B5">
        <w:rPr>
          <w:lang w:val="ka-GE"/>
        </w:rPr>
        <w:t xml:space="preserve"> </w:t>
      </w:r>
      <w:r w:rsidRPr="00CD64B5">
        <w:rPr>
          <w:rFonts w:ascii="Sylfaen" w:hAnsi="Sylfaen" w:cs="Sylfaen"/>
          <w:lang w:val="ka-GE"/>
        </w:rPr>
        <w:t>კვალი</w:t>
      </w:r>
      <w:r w:rsidRPr="00CD64B5">
        <w:rPr>
          <w:lang w:val="ka-GE"/>
        </w:rPr>
        <w:t xml:space="preserve"> </w:t>
      </w:r>
      <w:r w:rsidRPr="00CD64B5">
        <w:rPr>
          <w:rFonts w:ascii="Sylfaen" w:hAnsi="Sylfaen" w:cs="Sylfaen"/>
          <w:lang w:val="ka-GE"/>
        </w:rPr>
        <w:t>ვერ</w:t>
      </w:r>
      <w:r w:rsidRPr="00CD64B5">
        <w:rPr>
          <w:lang w:val="ka-GE"/>
        </w:rPr>
        <w:t xml:space="preserve"> </w:t>
      </w:r>
      <w:r w:rsidRPr="00CD64B5">
        <w:rPr>
          <w:rFonts w:ascii="Sylfaen" w:hAnsi="Sylfaen" w:cs="Sylfaen"/>
          <w:lang w:val="ka-GE"/>
        </w:rPr>
        <w:t>იქნა</w:t>
      </w:r>
      <w:r w:rsidRPr="00CD64B5">
        <w:rPr>
          <w:lang w:val="ka-GE"/>
        </w:rPr>
        <w:t xml:space="preserve"> </w:t>
      </w:r>
      <w:r w:rsidRPr="00CD64B5">
        <w:rPr>
          <w:rFonts w:ascii="Sylfaen" w:hAnsi="Sylfaen" w:cs="Sylfaen"/>
          <w:lang w:val="ka-GE"/>
        </w:rPr>
        <w:t>დაფიქსირებული</w:t>
      </w:r>
      <w:r w:rsidRPr="00CD64B5">
        <w:rPr>
          <w:lang w:val="ka-GE"/>
        </w:rPr>
        <w:t xml:space="preserve">. </w:t>
      </w:r>
      <w:r w:rsidRPr="00CD64B5">
        <w:rPr>
          <w:rFonts w:ascii="Sylfaen" w:hAnsi="Sylfaen" w:cs="Sylfaen"/>
          <w:lang w:val="ka-GE"/>
        </w:rPr>
        <w:t>ფრინველთა</w:t>
      </w:r>
      <w:r w:rsidRPr="00CD64B5">
        <w:rPr>
          <w:lang w:val="ka-GE"/>
        </w:rPr>
        <w:t xml:space="preserve"> </w:t>
      </w:r>
      <w:r w:rsidRPr="00CD64B5">
        <w:rPr>
          <w:rFonts w:ascii="Sylfaen" w:hAnsi="Sylfaen" w:cs="Sylfaen"/>
          <w:lang w:val="ka-GE"/>
        </w:rPr>
        <w:t>ბუდეები</w:t>
      </w:r>
      <w:r w:rsidRPr="00CD64B5">
        <w:rPr>
          <w:lang w:val="ka-GE"/>
        </w:rPr>
        <w:t xml:space="preserve"> </w:t>
      </w:r>
      <w:r w:rsidRPr="00CD64B5">
        <w:rPr>
          <w:rFonts w:ascii="Sylfaen" w:hAnsi="Sylfaen" w:cs="Sylfaen"/>
          <w:lang w:val="ka-GE"/>
        </w:rPr>
        <w:t>ტერიტორიაზე</w:t>
      </w:r>
      <w:r w:rsidRPr="00CD64B5">
        <w:rPr>
          <w:lang w:val="ka-GE"/>
        </w:rPr>
        <w:t xml:space="preserve"> </w:t>
      </w:r>
      <w:r w:rsidRPr="00CD64B5">
        <w:rPr>
          <w:rFonts w:ascii="Sylfaen" w:hAnsi="Sylfaen" w:cs="Sylfaen"/>
          <w:lang w:val="ka-GE"/>
        </w:rPr>
        <w:t>არ</w:t>
      </w:r>
      <w:r w:rsidRPr="00CD64B5">
        <w:rPr>
          <w:lang w:val="ka-GE"/>
        </w:rPr>
        <w:t xml:space="preserve"> </w:t>
      </w:r>
      <w:r w:rsidRPr="00CD64B5">
        <w:rPr>
          <w:rFonts w:ascii="Sylfaen" w:hAnsi="Sylfaen" w:cs="Sylfaen"/>
          <w:lang w:val="ka-GE"/>
        </w:rPr>
        <w:t>დაფიქსირებულა</w:t>
      </w:r>
      <w:r w:rsidRPr="00CD64B5">
        <w:rPr>
          <w:lang w:val="ka-GE"/>
        </w:rPr>
        <w:t xml:space="preserve">. </w:t>
      </w:r>
      <w:r w:rsidRPr="00CD64B5">
        <w:rPr>
          <w:rFonts w:ascii="Sylfaen" w:hAnsi="Sylfaen" w:cs="Sylfaen"/>
          <w:lang w:val="ka-GE"/>
        </w:rPr>
        <w:t>დაფიქსირდა</w:t>
      </w:r>
      <w:r w:rsidRPr="00CD64B5">
        <w:rPr>
          <w:lang w:val="ka-GE"/>
        </w:rPr>
        <w:t xml:space="preserve"> </w:t>
      </w:r>
      <w:r w:rsidRPr="00CD64B5">
        <w:rPr>
          <w:rFonts w:ascii="Sylfaen" w:hAnsi="Sylfaen" w:cs="Sylfaen"/>
          <w:lang w:val="ka-GE"/>
        </w:rPr>
        <w:t>ქორი</w:t>
      </w:r>
      <w:r w:rsidRPr="00CD64B5">
        <w:rPr>
          <w:lang w:val="ka-GE"/>
        </w:rPr>
        <w:t xml:space="preserve"> (Accipiter  gentiles) </w:t>
      </w:r>
      <w:r w:rsidRPr="00CD64B5">
        <w:rPr>
          <w:rFonts w:ascii="Sylfaen" w:hAnsi="Sylfaen" w:cs="Sylfaen"/>
          <w:lang w:val="ka-GE"/>
        </w:rPr>
        <w:t>ფრენისას</w:t>
      </w:r>
      <w:r w:rsidRPr="00CD64B5">
        <w:rPr>
          <w:lang w:val="ka-GE"/>
        </w:rPr>
        <w:t xml:space="preserve">. </w:t>
      </w:r>
      <w:r w:rsidRPr="00CD64B5">
        <w:rPr>
          <w:rFonts w:ascii="Sylfaen" w:hAnsi="Sylfaen" w:cs="Sylfaen"/>
          <w:lang w:val="ka-GE"/>
        </w:rPr>
        <w:t>ნანახი</w:t>
      </w:r>
      <w:r w:rsidRPr="00CD64B5">
        <w:rPr>
          <w:lang w:val="ka-GE"/>
        </w:rPr>
        <w:t xml:space="preserve"> </w:t>
      </w:r>
      <w:r w:rsidRPr="00CD64B5">
        <w:rPr>
          <w:rFonts w:ascii="Sylfaen" w:hAnsi="Sylfaen" w:cs="Sylfaen"/>
          <w:lang w:val="ka-GE"/>
        </w:rPr>
        <w:t>იქნა</w:t>
      </w:r>
      <w:r w:rsidRPr="00CD64B5">
        <w:rPr>
          <w:lang w:val="ka-GE"/>
        </w:rPr>
        <w:t xml:space="preserve"> </w:t>
      </w:r>
      <w:r w:rsidRPr="00CD64B5">
        <w:rPr>
          <w:rFonts w:ascii="Sylfaen" w:hAnsi="Sylfaen" w:cs="Sylfaen"/>
          <w:lang w:val="ka-GE"/>
        </w:rPr>
        <w:t>მწყერის</w:t>
      </w:r>
      <w:r w:rsidRPr="00CD64B5">
        <w:rPr>
          <w:lang w:val="ka-GE"/>
        </w:rPr>
        <w:t xml:space="preserve"> (Coturnix  coturnix), </w:t>
      </w:r>
      <w:r w:rsidRPr="00CD64B5">
        <w:rPr>
          <w:rFonts w:ascii="Sylfaen" w:hAnsi="Sylfaen" w:cs="Sylfaen"/>
          <w:lang w:val="ka-GE"/>
        </w:rPr>
        <w:t>ბეღურას</w:t>
      </w:r>
      <w:r w:rsidRPr="00CD64B5">
        <w:rPr>
          <w:lang w:val="ka-GE"/>
        </w:rPr>
        <w:t xml:space="preserve"> (Passer  montanus), </w:t>
      </w:r>
      <w:r w:rsidRPr="00CD64B5">
        <w:rPr>
          <w:rFonts w:ascii="Sylfaen" w:hAnsi="Sylfaen" w:cs="Sylfaen"/>
          <w:lang w:val="ka-GE"/>
        </w:rPr>
        <w:t>რუხი</w:t>
      </w:r>
      <w:r w:rsidRPr="00CD64B5">
        <w:rPr>
          <w:lang w:val="ka-GE"/>
        </w:rPr>
        <w:t xml:space="preserve"> </w:t>
      </w:r>
      <w:r w:rsidRPr="00CD64B5">
        <w:rPr>
          <w:rFonts w:ascii="Sylfaen" w:hAnsi="Sylfaen" w:cs="Sylfaen"/>
          <w:lang w:val="ka-GE"/>
        </w:rPr>
        <w:t>ყვავის</w:t>
      </w:r>
      <w:r w:rsidRPr="00CD64B5">
        <w:rPr>
          <w:lang w:val="ka-GE"/>
        </w:rPr>
        <w:t xml:space="preserve"> (Carvus carone) </w:t>
      </w:r>
      <w:r w:rsidRPr="00CD64B5">
        <w:rPr>
          <w:rFonts w:ascii="Sylfaen" w:hAnsi="Sylfaen" w:cs="Sylfaen"/>
          <w:lang w:val="ka-GE"/>
        </w:rPr>
        <w:t>გუნდები</w:t>
      </w:r>
      <w:r w:rsidRPr="00CD64B5">
        <w:rPr>
          <w:lang w:val="ka-GE"/>
        </w:rPr>
        <w:t xml:space="preserve">. </w:t>
      </w:r>
      <w:r w:rsidRPr="00CD64B5">
        <w:rPr>
          <w:rFonts w:ascii="Sylfaen" w:hAnsi="Sylfaen" w:cs="Sylfaen"/>
          <w:lang w:val="ka-GE"/>
        </w:rPr>
        <w:t>ქვეწარმავლები</w:t>
      </w:r>
      <w:r w:rsidRPr="00CD64B5">
        <w:rPr>
          <w:lang w:val="ka-GE"/>
        </w:rPr>
        <w:t xml:space="preserve"> </w:t>
      </w:r>
      <w:r w:rsidRPr="00CD64B5">
        <w:rPr>
          <w:rFonts w:ascii="Sylfaen" w:hAnsi="Sylfaen" w:cs="Sylfaen"/>
          <w:lang w:val="ka-GE"/>
        </w:rPr>
        <w:t>ტერიტორიაზე</w:t>
      </w:r>
      <w:r w:rsidRPr="00CD64B5">
        <w:rPr>
          <w:lang w:val="ka-GE"/>
        </w:rPr>
        <w:t xml:space="preserve"> </w:t>
      </w:r>
      <w:r w:rsidRPr="00CD64B5">
        <w:rPr>
          <w:rFonts w:ascii="Sylfaen" w:hAnsi="Sylfaen" w:cs="Sylfaen"/>
          <w:lang w:val="ka-GE"/>
        </w:rPr>
        <w:t>ნანახი</w:t>
      </w:r>
      <w:r w:rsidRPr="00CD64B5">
        <w:rPr>
          <w:lang w:val="ka-GE"/>
        </w:rPr>
        <w:t xml:space="preserve"> </w:t>
      </w:r>
      <w:r w:rsidRPr="00CD64B5">
        <w:rPr>
          <w:rFonts w:ascii="Sylfaen" w:hAnsi="Sylfaen" w:cs="Sylfaen"/>
          <w:lang w:val="ka-GE"/>
        </w:rPr>
        <w:t>არ</w:t>
      </w:r>
      <w:r w:rsidRPr="00CD64B5">
        <w:rPr>
          <w:lang w:val="ka-GE"/>
        </w:rPr>
        <w:t xml:space="preserve"> </w:t>
      </w:r>
      <w:r w:rsidRPr="00CD64B5">
        <w:rPr>
          <w:rFonts w:ascii="Sylfaen" w:hAnsi="Sylfaen" w:cs="Sylfaen"/>
          <w:lang w:val="ka-GE"/>
        </w:rPr>
        <w:t>ყოფილა</w:t>
      </w:r>
      <w:r w:rsidRPr="00CD64B5">
        <w:rPr>
          <w:lang w:val="ka-GE"/>
        </w:rPr>
        <w:t xml:space="preserve">, </w:t>
      </w:r>
      <w:r w:rsidRPr="00CD64B5">
        <w:rPr>
          <w:rFonts w:ascii="Sylfaen" w:hAnsi="Sylfaen" w:cs="Sylfaen"/>
          <w:lang w:val="ka-GE"/>
        </w:rPr>
        <w:t>თუმცა</w:t>
      </w:r>
      <w:r w:rsidRPr="00CD64B5">
        <w:rPr>
          <w:lang w:val="ka-GE"/>
        </w:rPr>
        <w:t xml:space="preserve"> </w:t>
      </w:r>
      <w:r w:rsidRPr="00CD64B5">
        <w:rPr>
          <w:rFonts w:ascii="Sylfaen" w:hAnsi="Sylfaen" w:cs="Sylfaen"/>
          <w:lang w:val="ka-GE"/>
        </w:rPr>
        <w:t>მოსახლეობის</w:t>
      </w:r>
      <w:r w:rsidRPr="00CD64B5">
        <w:rPr>
          <w:lang w:val="ka-GE"/>
        </w:rPr>
        <w:t xml:space="preserve"> </w:t>
      </w:r>
      <w:r w:rsidRPr="00CD64B5">
        <w:rPr>
          <w:rFonts w:ascii="Sylfaen" w:hAnsi="Sylfaen" w:cs="Sylfaen"/>
          <w:lang w:val="ka-GE"/>
        </w:rPr>
        <w:t>ინფორმაციით</w:t>
      </w:r>
      <w:r w:rsidRPr="00CD64B5">
        <w:rPr>
          <w:lang w:val="ka-GE"/>
        </w:rPr>
        <w:t xml:space="preserve"> </w:t>
      </w:r>
      <w:r w:rsidRPr="00CD64B5">
        <w:rPr>
          <w:rFonts w:ascii="Sylfaen" w:hAnsi="Sylfaen" w:cs="Sylfaen"/>
          <w:lang w:val="ka-GE"/>
        </w:rPr>
        <w:t>აქ</w:t>
      </w:r>
      <w:r w:rsidRPr="00CD64B5">
        <w:rPr>
          <w:lang w:val="ka-GE"/>
        </w:rPr>
        <w:t xml:space="preserve"> </w:t>
      </w:r>
      <w:r w:rsidRPr="00CD64B5">
        <w:rPr>
          <w:rFonts w:ascii="Sylfaen" w:hAnsi="Sylfaen" w:cs="Sylfaen"/>
          <w:lang w:val="ka-GE"/>
        </w:rPr>
        <w:t>შესაძლოა</w:t>
      </w:r>
      <w:r w:rsidRPr="00CD64B5">
        <w:rPr>
          <w:lang w:val="ka-GE"/>
        </w:rPr>
        <w:t xml:space="preserve"> </w:t>
      </w:r>
      <w:r w:rsidRPr="00CD64B5">
        <w:rPr>
          <w:rFonts w:ascii="Sylfaen" w:hAnsi="Sylfaen" w:cs="Sylfaen"/>
          <w:lang w:val="ka-GE"/>
        </w:rPr>
        <w:t>იყოს</w:t>
      </w:r>
      <w:r w:rsidRPr="00CD64B5">
        <w:rPr>
          <w:lang w:val="ka-GE"/>
        </w:rPr>
        <w:t xml:space="preserve"> </w:t>
      </w:r>
      <w:r w:rsidRPr="00CD64B5">
        <w:rPr>
          <w:rFonts w:ascii="Sylfaen" w:hAnsi="Sylfaen" w:cs="Sylfaen"/>
          <w:lang w:val="ka-GE"/>
        </w:rPr>
        <w:t>ჩვეულებრივი</w:t>
      </w:r>
      <w:r w:rsidRPr="00CD64B5">
        <w:rPr>
          <w:lang w:val="ka-GE"/>
        </w:rPr>
        <w:t xml:space="preserve"> </w:t>
      </w:r>
      <w:r w:rsidRPr="00CD64B5">
        <w:rPr>
          <w:rFonts w:ascii="Sylfaen" w:hAnsi="Sylfaen" w:cs="Sylfaen"/>
          <w:lang w:val="ka-GE"/>
        </w:rPr>
        <w:t>ანკარა</w:t>
      </w:r>
      <w:r w:rsidRPr="00CD64B5">
        <w:rPr>
          <w:lang w:val="ka-GE"/>
        </w:rPr>
        <w:t xml:space="preserve"> (Nartix natrix). </w:t>
      </w:r>
      <w:r w:rsidRPr="00CD64B5">
        <w:rPr>
          <w:rFonts w:ascii="Sylfaen" w:hAnsi="Sylfaen" w:cs="Sylfaen"/>
          <w:lang w:val="ka-GE"/>
        </w:rPr>
        <w:t>ასვეე</w:t>
      </w:r>
      <w:r w:rsidRPr="00CD64B5">
        <w:rPr>
          <w:lang w:val="ka-GE"/>
        </w:rPr>
        <w:t xml:space="preserve"> </w:t>
      </w:r>
      <w:r w:rsidRPr="00CD64B5">
        <w:rPr>
          <w:rFonts w:ascii="Sylfaen" w:hAnsi="Sylfaen" w:cs="Sylfaen"/>
          <w:lang w:val="ka-GE"/>
        </w:rPr>
        <w:t>არ</w:t>
      </w:r>
      <w:r w:rsidRPr="00CD64B5">
        <w:rPr>
          <w:lang w:val="ka-GE"/>
        </w:rPr>
        <w:t xml:space="preserve"> </w:t>
      </w:r>
      <w:r w:rsidRPr="00CD64B5">
        <w:rPr>
          <w:rFonts w:ascii="Sylfaen" w:hAnsi="Sylfaen" w:cs="Sylfaen"/>
          <w:lang w:val="ka-GE"/>
        </w:rPr>
        <w:t>იქნა</w:t>
      </w:r>
      <w:r w:rsidRPr="00CD64B5">
        <w:rPr>
          <w:lang w:val="ka-GE"/>
        </w:rPr>
        <w:t xml:space="preserve"> </w:t>
      </w:r>
      <w:r w:rsidRPr="00CD64B5">
        <w:rPr>
          <w:rFonts w:ascii="Sylfaen" w:hAnsi="Sylfaen" w:cs="Sylfaen"/>
          <w:lang w:val="ka-GE"/>
        </w:rPr>
        <w:t>ნანახი</w:t>
      </w:r>
      <w:r w:rsidRPr="00CD64B5">
        <w:rPr>
          <w:lang w:val="ka-GE"/>
        </w:rPr>
        <w:t xml:space="preserve"> </w:t>
      </w:r>
      <w:r w:rsidRPr="00CD64B5">
        <w:rPr>
          <w:rFonts w:ascii="Sylfaen" w:hAnsi="Sylfaen" w:cs="Sylfaen"/>
          <w:lang w:val="ka-GE"/>
        </w:rPr>
        <w:t>ამფიბიებიც</w:t>
      </w:r>
      <w:r w:rsidRPr="00CD64B5">
        <w:rPr>
          <w:lang w:val="ka-GE"/>
        </w:rPr>
        <w:t xml:space="preserve">, </w:t>
      </w:r>
      <w:r w:rsidRPr="00CD64B5">
        <w:rPr>
          <w:rFonts w:ascii="Sylfaen" w:hAnsi="Sylfaen" w:cs="Sylfaen"/>
          <w:lang w:val="ka-GE"/>
        </w:rPr>
        <w:t>გარდა</w:t>
      </w:r>
      <w:r w:rsidRPr="00CD64B5">
        <w:rPr>
          <w:lang w:val="ka-GE"/>
        </w:rPr>
        <w:t xml:space="preserve"> </w:t>
      </w:r>
      <w:r w:rsidRPr="00CD64B5">
        <w:rPr>
          <w:rFonts w:ascii="Sylfaen" w:hAnsi="Sylfaen" w:cs="Sylfaen"/>
          <w:lang w:val="ka-GE"/>
        </w:rPr>
        <w:t>ერთეული</w:t>
      </w:r>
      <w:r w:rsidRPr="00CD64B5">
        <w:rPr>
          <w:lang w:val="ka-GE"/>
        </w:rPr>
        <w:t xml:space="preserve"> </w:t>
      </w:r>
      <w:r w:rsidRPr="00CD64B5">
        <w:rPr>
          <w:rFonts w:ascii="Sylfaen" w:hAnsi="Sylfaen" w:cs="Sylfaen"/>
          <w:lang w:val="ka-GE"/>
        </w:rPr>
        <w:t>ჩვეულებრივი</w:t>
      </w:r>
      <w:r w:rsidRPr="00CD64B5">
        <w:rPr>
          <w:lang w:val="ka-GE"/>
        </w:rPr>
        <w:t xml:space="preserve"> </w:t>
      </w:r>
      <w:r w:rsidRPr="00CD64B5">
        <w:rPr>
          <w:rFonts w:ascii="Sylfaen" w:hAnsi="Sylfaen" w:cs="Sylfaen"/>
          <w:lang w:val="ka-GE"/>
        </w:rPr>
        <w:t>ბაყაყისა</w:t>
      </w:r>
      <w:r w:rsidRPr="00CD64B5">
        <w:rPr>
          <w:lang w:val="ka-GE"/>
        </w:rPr>
        <w:t>.</w:t>
      </w:r>
    </w:p>
    <w:p w14:paraId="53EAE57F" w14:textId="77777777" w:rsidR="00CD64B5" w:rsidRPr="00CD64B5" w:rsidRDefault="00CD64B5" w:rsidP="000E38C6">
      <w:pPr>
        <w:spacing w:before="120" w:after="120"/>
        <w:rPr>
          <w:lang w:val="ka-GE"/>
        </w:rPr>
      </w:pPr>
      <w:r w:rsidRPr="00CD64B5">
        <w:rPr>
          <w:rFonts w:ascii="Sylfaen" w:hAnsi="Sylfaen" w:cs="Sylfaen"/>
          <w:lang w:val="ka-GE"/>
        </w:rPr>
        <w:t>უნდა</w:t>
      </w:r>
      <w:r w:rsidRPr="00CD64B5">
        <w:rPr>
          <w:lang w:val="ka-GE"/>
        </w:rPr>
        <w:t xml:space="preserve"> </w:t>
      </w:r>
      <w:r w:rsidRPr="00CD64B5">
        <w:rPr>
          <w:rFonts w:ascii="Sylfaen" w:hAnsi="Sylfaen" w:cs="Sylfaen"/>
          <w:lang w:val="ka-GE"/>
        </w:rPr>
        <w:t>აღინიშნოს</w:t>
      </w:r>
      <w:r w:rsidRPr="00CD64B5">
        <w:rPr>
          <w:lang w:val="ka-GE"/>
        </w:rPr>
        <w:t xml:space="preserve">, </w:t>
      </w:r>
      <w:r w:rsidRPr="00CD64B5">
        <w:rPr>
          <w:rFonts w:ascii="Sylfaen" w:hAnsi="Sylfaen" w:cs="Sylfaen"/>
          <w:lang w:val="ka-GE"/>
        </w:rPr>
        <w:t>რომ</w:t>
      </w:r>
      <w:r w:rsidRPr="00CD64B5">
        <w:rPr>
          <w:lang w:val="ka-GE"/>
        </w:rPr>
        <w:t xml:space="preserve"> </w:t>
      </w:r>
      <w:r w:rsidRPr="00CD64B5">
        <w:rPr>
          <w:rFonts w:ascii="Sylfaen" w:hAnsi="Sylfaen" w:cs="Sylfaen"/>
          <w:lang w:val="ka-GE"/>
        </w:rPr>
        <w:t>საპროექტო</w:t>
      </w:r>
      <w:r w:rsidRPr="00CD64B5">
        <w:rPr>
          <w:lang w:val="ka-GE"/>
        </w:rPr>
        <w:t xml:space="preserve"> </w:t>
      </w:r>
      <w:r w:rsidRPr="00CD64B5">
        <w:rPr>
          <w:rFonts w:ascii="Sylfaen" w:hAnsi="Sylfaen" w:cs="Sylfaen"/>
          <w:lang w:val="ka-GE"/>
        </w:rPr>
        <w:t>გზა</w:t>
      </w:r>
      <w:r w:rsidRPr="00CD64B5">
        <w:rPr>
          <w:lang w:val="ka-GE"/>
        </w:rPr>
        <w:t xml:space="preserve"> </w:t>
      </w:r>
      <w:r w:rsidRPr="00CD64B5">
        <w:rPr>
          <w:rFonts w:ascii="Sylfaen" w:hAnsi="Sylfaen" w:cs="Sylfaen"/>
          <w:lang w:val="ka-GE"/>
        </w:rPr>
        <w:t>კვეთს</w:t>
      </w:r>
      <w:r w:rsidRPr="00CD64B5">
        <w:rPr>
          <w:lang w:val="ka-GE"/>
        </w:rPr>
        <w:t xml:space="preserve"> </w:t>
      </w:r>
      <w:r w:rsidRPr="00CD64B5">
        <w:rPr>
          <w:rFonts w:ascii="Sylfaen" w:hAnsi="Sylfaen" w:cs="Sylfaen"/>
          <w:lang w:val="ka-GE"/>
        </w:rPr>
        <w:t>რამდენიმე</w:t>
      </w:r>
      <w:r w:rsidRPr="00CD64B5">
        <w:rPr>
          <w:lang w:val="ka-GE"/>
        </w:rPr>
        <w:t xml:space="preserve"> </w:t>
      </w:r>
      <w:r w:rsidRPr="00CD64B5">
        <w:rPr>
          <w:rFonts w:ascii="Sylfaen" w:hAnsi="Sylfaen" w:cs="Sylfaen"/>
          <w:lang w:val="ka-GE"/>
        </w:rPr>
        <w:t>მშრალ</w:t>
      </w:r>
      <w:r w:rsidRPr="00CD64B5">
        <w:rPr>
          <w:lang w:val="ka-GE"/>
        </w:rPr>
        <w:t xml:space="preserve"> </w:t>
      </w:r>
      <w:r w:rsidRPr="00CD64B5">
        <w:rPr>
          <w:rFonts w:ascii="Sylfaen" w:hAnsi="Sylfaen" w:cs="Sylfaen"/>
          <w:lang w:val="ka-GE"/>
        </w:rPr>
        <w:t>მცირე</w:t>
      </w:r>
      <w:r w:rsidRPr="00CD64B5">
        <w:rPr>
          <w:lang w:val="ka-GE"/>
        </w:rPr>
        <w:t xml:space="preserve"> </w:t>
      </w:r>
      <w:r w:rsidRPr="00CD64B5">
        <w:rPr>
          <w:rFonts w:ascii="Sylfaen" w:hAnsi="Sylfaen" w:cs="Sylfaen"/>
          <w:lang w:val="ka-GE"/>
        </w:rPr>
        <w:t>ხევს</w:t>
      </w:r>
      <w:r w:rsidRPr="00CD64B5">
        <w:rPr>
          <w:lang w:val="ka-GE"/>
        </w:rPr>
        <w:t xml:space="preserve">, </w:t>
      </w:r>
      <w:r w:rsidRPr="00CD64B5">
        <w:rPr>
          <w:rFonts w:ascii="Sylfaen" w:hAnsi="Sylfaen" w:cs="Sylfaen"/>
          <w:lang w:val="ka-GE"/>
        </w:rPr>
        <w:t>სადაც</w:t>
      </w:r>
      <w:r w:rsidRPr="00CD64B5">
        <w:rPr>
          <w:lang w:val="ka-GE"/>
        </w:rPr>
        <w:t xml:space="preserve"> </w:t>
      </w:r>
      <w:r w:rsidRPr="00CD64B5">
        <w:rPr>
          <w:rFonts w:ascii="Sylfaen" w:hAnsi="Sylfaen" w:cs="Sylfaen"/>
          <w:lang w:val="ka-GE"/>
        </w:rPr>
        <w:t>წყლის</w:t>
      </w:r>
      <w:r w:rsidRPr="00CD64B5">
        <w:rPr>
          <w:lang w:val="ka-GE"/>
        </w:rPr>
        <w:t xml:space="preserve"> </w:t>
      </w:r>
      <w:r w:rsidRPr="00CD64B5">
        <w:rPr>
          <w:rFonts w:ascii="Sylfaen" w:hAnsi="Sylfaen" w:cs="Sylfaen"/>
          <w:lang w:val="ka-GE"/>
        </w:rPr>
        <w:t>არ</w:t>
      </w:r>
      <w:r w:rsidRPr="00CD64B5">
        <w:rPr>
          <w:lang w:val="ka-GE"/>
        </w:rPr>
        <w:t xml:space="preserve"> </w:t>
      </w:r>
      <w:r w:rsidRPr="00CD64B5">
        <w:rPr>
          <w:rFonts w:ascii="Sylfaen" w:hAnsi="Sylfaen" w:cs="Sylfaen"/>
          <w:lang w:val="ka-GE"/>
        </w:rPr>
        <w:t>არსებობის</w:t>
      </w:r>
      <w:r w:rsidRPr="00CD64B5">
        <w:rPr>
          <w:lang w:val="ka-GE"/>
        </w:rPr>
        <w:t xml:space="preserve"> </w:t>
      </w:r>
      <w:r w:rsidRPr="00CD64B5">
        <w:rPr>
          <w:rFonts w:ascii="Sylfaen" w:hAnsi="Sylfaen" w:cs="Sylfaen"/>
          <w:lang w:val="ka-GE"/>
        </w:rPr>
        <w:t>გამო</w:t>
      </w:r>
      <w:r w:rsidRPr="00CD64B5">
        <w:rPr>
          <w:lang w:val="ka-GE"/>
        </w:rPr>
        <w:t xml:space="preserve"> </w:t>
      </w:r>
      <w:r w:rsidRPr="00CD64B5">
        <w:rPr>
          <w:rFonts w:ascii="Sylfaen" w:hAnsi="Sylfaen" w:cs="Sylfaen"/>
          <w:lang w:val="ka-GE"/>
        </w:rPr>
        <w:t>თევზი</w:t>
      </w:r>
      <w:r w:rsidRPr="00CD64B5">
        <w:rPr>
          <w:lang w:val="ka-GE"/>
        </w:rPr>
        <w:t xml:space="preserve"> </w:t>
      </w:r>
      <w:r w:rsidRPr="00CD64B5">
        <w:rPr>
          <w:rFonts w:ascii="Sylfaen" w:hAnsi="Sylfaen" w:cs="Sylfaen"/>
          <w:lang w:val="ka-GE"/>
        </w:rPr>
        <w:t>არ</w:t>
      </w:r>
      <w:r w:rsidRPr="00CD64B5">
        <w:rPr>
          <w:lang w:val="ka-GE"/>
        </w:rPr>
        <w:t xml:space="preserve"> </w:t>
      </w:r>
      <w:r w:rsidRPr="00CD64B5">
        <w:rPr>
          <w:rFonts w:ascii="Sylfaen" w:hAnsi="Sylfaen" w:cs="Sylfaen"/>
          <w:lang w:val="ka-GE"/>
        </w:rPr>
        <w:t>არის</w:t>
      </w:r>
      <w:r w:rsidRPr="00CD64B5">
        <w:rPr>
          <w:lang w:val="ka-GE"/>
        </w:rPr>
        <w:t xml:space="preserve">. </w:t>
      </w:r>
      <w:r w:rsidRPr="00CD64B5">
        <w:rPr>
          <w:rFonts w:ascii="Sylfaen" w:hAnsi="Sylfaen" w:cs="Sylfaen"/>
          <w:lang w:val="ka-GE"/>
        </w:rPr>
        <w:t>ამ</w:t>
      </w:r>
      <w:r w:rsidRPr="00CD64B5">
        <w:rPr>
          <w:lang w:val="ka-GE"/>
        </w:rPr>
        <w:t xml:space="preserve"> </w:t>
      </w:r>
      <w:r w:rsidRPr="00CD64B5">
        <w:rPr>
          <w:rFonts w:ascii="Sylfaen" w:hAnsi="Sylfaen" w:cs="Sylfaen"/>
          <w:lang w:val="ka-GE"/>
        </w:rPr>
        <w:t>ადგილებში</w:t>
      </w:r>
      <w:r w:rsidRPr="00CD64B5">
        <w:rPr>
          <w:lang w:val="ka-GE"/>
        </w:rPr>
        <w:t xml:space="preserve"> </w:t>
      </w:r>
      <w:r w:rsidRPr="00CD64B5">
        <w:rPr>
          <w:rFonts w:ascii="Sylfaen" w:hAnsi="Sylfaen" w:cs="Sylfaen"/>
          <w:lang w:val="ka-GE"/>
        </w:rPr>
        <w:t>ნანახი</w:t>
      </w:r>
      <w:r w:rsidRPr="00CD64B5">
        <w:rPr>
          <w:lang w:val="ka-GE"/>
        </w:rPr>
        <w:t xml:space="preserve"> </w:t>
      </w:r>
      <w:r w:rsidRPr="00CD64B5">
        <w:rPr>
          <w:rFonts w:ascii="Sylfaen" w:hAnsi="Sylfaen" w:cs="Sylfaen"/>
          <w:lang w:val="ka-GE"/>
        </w:rPr>
        <w:t>იქნა</w:t>
      </w:r>
      <w:r w:rsidRPr="00CD64B5">
        <w:rPr>
          <w:lang w:val="ka-GE"/>
        </w:rPr>
        <w:t xml:space="preserve"> </w:t>
      </w:r>
      <w:r w:rsidRPr="00CD64B5">
        <w:rPr>
          <w:rFonts w:ascii="Sylfaen" w:hAnsi="Sylfaen" w:cs="Sylfaen"/>
          <w:lang w:val="ka-GE"/>
        </w:rPr>
        <w:t>მხოლოდ</w:t>
      </w:r>
      <w:r w:rsidRPr="00CD64B5">
        <w:rPr>
          <w:lang w:val="ka-GE"/>
        </w:rPr>
        <w:t xml:space="preserve"> </w:t>
      </w:r>
      <w:r w:rsidRPr="00CD64B5">
        <w:rPr>
          <w:rFonts w:ascii="Sylfaen" w:hAnsi="Sylfaen" w:cs="Sylfaen"/>
          <w:lang w:val="ka-GE"/>
        </w:rPr>
        <w:t>ბაყაყის</w:t>
      </w:r>
      <w:r w:rsidRPr="00CD64B5">
        <w:rPr>
          <w:lang w:val="ka-GE"/>
        </w:rPr>
        <w:t xml:space="preserve"> </w:t>
      </w:r>
      <w:r w:rsidRPr="00CD64B5">
        <w:rPr>
          <w:rFonts w:ascii="Sylfaen" w:hAnsi="Sylfaen" w:cs="Sylfaen"/>
          <w:lang w:val="ka-GE"/>
        </w:rPr>
        <w:t>ერთი</w:t>
      </w:r>
      <w:r w:rsidRPr="00CD64B5">
        <w:rPr>
          <w:lang w:val="ka-GE"/>
        </w:rPr>
        <w:t xml:space="preserve"> </w:t>
      </w:r>
      <w:r w:rsidRPr="00CD64B5">
        <w:rPr>
          <w:rFonts w:ascii="Sylfaen" w:hAnsi="Sylfaen" w:cs="Sylfaen"/>
          <w:lang w:val="ka-GE"/>
        </w:rPr>
        <w:t>სახეობა</w:t>
      </w:r>
      <w:r w:rsidRPr="00CD64B5">
        <w:rPr>
          <w:lang w:val="ka-GE"/>
        </w:rPr>
        <w:t xml:space="preserve">. </w:t>
      </w:r>
    </w:p>
    <w:p w14:paraId="75730B7B" w14:textId="77777777" w:rsidR="00CD64B5" w:rsidRPr="00CD64B5" w:rsidRDefault="00CD64B5" w:rsidP="000E38C6">
      <w:pPr>
        <w:spacing w:before="120" w:after="120"/>
        <w:rPr>
          <w:lang w:val="ka-GE"/>
        </w:rPr>
      </w:pPr>
      <w:r w:rsidRPr="00CD64B5">
        <w:rPr>
          <w:rFonts w:ascii="Sylfaen" w:hAnsi="Sylfaen" w:cs="Sylfaen"/>
          <w:lang w:val="ka-GE"/>
        </w:rPr>
        <w:t>მდინარე</w:t>
      </w:r>
      <w:r w:rsidRPr="00CD64B5">
        <w:rPr>
          <w:lang w:val="ka-GE"/>
        </w:rPr>
        <w:t xml:space="preserve"> </w:t>
      </w:r>
      <w:r w:rsidRPr="00CD64B5">
        <w:rPr>
          <w:rFonts w:ascii="Sylfaen" w:hAnsi="Sylfaen" w:cs="Sylfaen"/>
          <w:lang w:val="ka-GE"/>
        </w:rPr>
        <w:t>ფაფრისხევში</w:t>
      </w:r>
      <w:r w:rsidRPr="00CD64B5">
        <w:rPr>
          <w:lang w:val="ka-GE"/>
        </w:rPr>
        <w:t xml:space="preserve"> </w:t>
      </w:r>
      <w:r w:rsidRPr="00CD64B5">
        <w:rPr>
          <w:rFonts w:ascii="Sylfaen" w:hAnsi="Sylfaen" w:cs="Sylfaen"/>
          <w:lang w:val="ka-GE"/>
        </w:rPr>
        <w:t>შეიძლება</w:t>
      </w:r>
      <w:r w:rsidRPr="00CD64B5">
        <w:rPr>
          <w:lang w:val="ka-GE"/>
        </w:rPr>
        <w:t xml:space="preserve"> </w:t>
      </w:r>
      <w:r w:rsidRPr="00CD64B5">
        <w:rPr>
          <w:rFonts w:ascii="Sylfaen" w:hAnsi="Sylfaen" w:cs="Sylfaen"/>
          <w:lang w:val="ka-GE"/>
        </w:rPr>
        <w:t>შეგვხვდეს</w:t>
      </w:r>
      <w:r w:rsidRPr="00CD64B5">
        <w:rPr>
          <w:lang w:val="ka-GE"/>
        </w:rPr>
        <w:t xml:space="preserve"> </w:t>
      </w:r>
      <w:r w:rsidRPr="00CD64B5">
        <w:rPr>
          <w:rFonts w:ascii="Sylfaen" w:hAnsi="Sylfaen" w:cs="Sylfaen"/>
          <w:lang w:val="ka-GE"/>
        </w:rPr>
        <w:t>მხოლოდ</w:t>
      </w:r>
      <w:r w:rsidRPr="00CD64B5">
        <w:rPr>
          <w:lang w:val="ka-GE"/>
        </w:rPr>
        <w:t xml:space="preserve"> </w:t>
      </w:r>
      <w:r w:rsidRPr="00CD64B5">
        <w:rPr>
          <w:rFonts w:ascii="Sylfaen" w:hAnsi="Sylfaen" w:cs="Sylfaen"/>
          <w:lang w:val="ka-GE"/>
        </w:rPr>
        <w:t>მურწა</w:t>
      </w:r>
      <w:r w:rsidRPr="00CD64B5">
        <w:rPr>
          <w:lang w:val="ka-GE"/>
        </w:rPr>
        <w:t xml:space="preserve"> (Barbus mursa)</w:t>
      </w:r>
      <w:r w:rsidRPr="00CD64B5">
        <w:rPr>
          <w:rFonts w:ascii="Sylfaen" w:hAnsi="Sylfaen" w:cs="Sylfaen"/>
          <w:lang w:val="ka-GE"/>
        </w:rPr>
        <w:t>და</w:t>
      </w:r>
      <w:r w:rsidRPr="00CD64B5">
        <w:rPr>
          <w:lang w:val="ka-GE"/>
        </w:rPr>
        <w:t xml:space="preserve"> </w:t>
      </w:r>
      <w:r w:rsidRPr="00CD64B5">
        <w:rPr>
          <w:rFonts w:ascii="Sylfaen" w:hAnsi="Sylfaen" w:cs="Sylfaen"/>
          <w:lang w:val="ka-GE"/>
        </w:rPr>
        <w:t>ჭანარი</w:t>
      </w:r>
      <w:r w:rsidRPr="00CD64B5">
        <w:rPr>
          <w:lang w:val="ka-GE"/>
        </w:rPr>
        <w:t xml:space="preserve"> (Barbus capito).</w:t>
      </w:r>
    </w:p>
    <w:p w14:paraId="598C5F6C" w14:textId="77777777" w:rsidR="00CD64B5" w:rsidRPr="00CD64B5" w:rsidRDefault="00CD64B5" w:rsidP="000E38C6">
      <w:pPr>
        <w:spacing w:before="120" w:after="120"/>
        <w:rPr>
          <w:lang w:val="ka-GE"/>
        </w:rPr>
      </w:pPr>
      <w:r w:rsidRPr="00CD64B5">
        <w:rPr>
          <w:rFonts w:ascii="Sylfaen" w:eastAsia="Calibri" w:hAnsi="Sylfaen" w:cs="Sylfaen"/>
          <w:lang w:val="ka-GE"/>
        </w:rPr>
        <w:t>ცხოველთა</w:t>
      </w:r>
      <w:r w:rsidRPr="00CD64B5">
        <w:rPr>
          <w:rFonts w:eastAsia="Calibri"/>
          <w:lang w:val="ka-GE"/>
        </w:rPr>
        <w:t xml:space="preserve"> </w:t>
      </w:r>
      <w:r w:rsidRPr="00CD64B5">
        <w:rPr>
          <w:rFonts w:ascii="Sylfaen" w:eastAsia="Calibri" w:hAnsi="Sylfaen" w:cs="Sylfaen"/>
          <w:lang w:val="ka-GE"/>
        </w:rPr>
        <w:t>სახობებზე</w:t>
      </w:r>
      <w:r w:rsidRPr="00CD64B5">
        <w:rPr>
          <w:rFonts w:eastAsia="Calibri"/>
          <w:lang w:val="ka-GE"/>
        </w:rPr>
        <w:t xml:space="preserve"> </w:t>
      </w:r>
      <w:r w:rsidRPr="00CD64B5">
        <w:rPr>
          <w:rFonts w:ascii="Sylfaen" w:eastAsia="Calibri" w:hAnsi="Sylfaen" w:cs="Sylfaen"/>
          <w:lang w:val="ka-GE"/>
        </w:rPr>
        <w:t>ზემოქმედება</w:t>
      </w:r>
      <w:r w:rsidRPr="00CD64B5">
        <w:rPr>
          <w:rFonts w:eastAsia="Calibri"/>
          <w:lang w:val="ka-GE"/>
        </w:rPr>
        <w:t xml:space="preserve"> </w:t>
      </w:r>
      <w:r w:rsidRPr="00CD64B5">
        <w:rPr>
          <w:rFonts w:ascii="Sylfaen" w:eastAsia="Calibri" w:hAnsi="Sylfaen" w:cs="Sylfaen"/>
          <w:lang w:val="ka-GE"/>
        </w:rPr>
        <w:t>უნდა</w:t>
      </w:r>
      <w:r w:rsidRPr="00CD64B5">
        <w:rPr>
          <w:rFonts w:eastAsia="Calibri"/>
          <w:lang w:val="ka-GE"/>
        </w:rPr>
        <w:t xml:space="preserve"> </w:t>
      </w:r>
      <w:r w:rsidRPr="00CD64B5">
        <w:rPr>
          <w:rFonts w:ascii="Sylfaen" w:eastAsia="Calibri" w:hAnsi="Sylfaen" w:cs="Sylfaen"/>
          <w:lang w:val="ka-GE"/>
        </w:rPr>
        <w:t>შეფასდეს</w:t>
      </w:r>
      <w:r w:rsidRPr="00CD64B5">
        <w:rPr>
          <w:rFonts w:eastAsia="Calibri"/>
          <w:lang w:val="ka-GE"/>
        </w:rPr>
        <w:t xml:space="preserve"> </w:t>
      </w:r>
      <w:r w:rsidRPr="00CD64B5">
        <w:rPr>
          <w:rFonts w:ascii="Sylfaen" w:eastAsia="Calibri" w:hAnsi="Sylfaen" w:cs="Sylfaen"/>
          <w:lang w:val="ka-GE"/>
        </w:rPr>
        <w:t>როგორც</w:t>
      </w:r>
      <w:r w:rsidRPr="00CD64B5">
        <w:rPr>
          <w:rFonts w:eastAsia="Calibri"/>
          <w:lang w:val="ka-GE"/>
        </w:rPr>
        <w:t xml:space="preserve"> </w:t>
      </w:r>
      <w:r w:rsidRPr="00CD64B5">
        <w:rPr>
          <w:rFonts w:ascii="Sylfaen" w:eastAsia="Calibri" w:hAnsi="Sylfaen" w:cs="Sylfaen"/>
          <w:lang w:val="ka-GE"/>
        </w:rPr>
        <w:t>დაბალი</w:t>
      </w:r>
      <w:r w:rsidRPr="00CD64B5">
        <w:rPr>
          <w:rFonts w:eastAsia="Calibri"/>
          <w:lang w:val="ka-GE"/>
        </w:rPr>
        <w:t xml:space="preserve"> </w:t>
      </w:r>
      <w:r w:rsidRPr="00CD64B5">
        <w:rPr>
          <w:rFonts w:ascii="Sylfaen" w:eastAsia="Calibri" w:hAnsi="Sylfaen" w:cs="Sylfaen"/>
          <w:lang w:val="ka-GE"/>
        </w:rPr>
        <w:t>მნიშვნელობის</w:t>
      </w:r>
      <w:r w:rsidRPr="00CD64B5">
        <w:rPr>
          <w:rFonts w:eastAsia="Calibri"/>
          <w:lang w:val="ka-GE"/>
        </w:rPr>
        <w:t xml:space="preserve">. </w:t>
      </w:r>
      <w:r w:rsidRPr="00CD64B5">
        <w:rPr>
          <w:rFonts w:ascii="Sylfaen" w:eastAsia="Calibri" w:hAnsi="Sylfaen" w:cs="Sylfaen"/>
          <w:lang w:val="ka-GE"/>
        </w:rPr>
        <w:t>მიუხედავად</w:t>
      </w:r>
      <w:r w:rsidRPr="00CD64B5">
        <w:rPr>
          <w:rFonts w:eastAsia="Calibri"/>
          <w:lang w:val="ka-GE"/>
        </w:rPr>
        <w:t xml:space="preserve"> </w:t>
      </w:r>
      <w:r w:rsidRPr="00CD64B5">
        <w:rPr>
          <w:rFonts w:ascii="Sylfaen" w:eastAsia="Calibri" w:hAnsi="Sylfaen" w:cs="Sylfaen"/>
          <w:lang w:val="ka-GE"/>
        </w:rPr>
        <w:t>ამისა</w:t>
      </w:r>
      <w:r w:rsidRPr="00CD64B5">
        <w:rPr>
          <w:rFonts w:eastAsia="Calibri"/>
          <w:lang w:val="ka-GE"/>
        </w:rPr>
        <w:t xml:space="preserve">, </w:t>
      </w:r>
      <w:r w:rsidRPr="00CD64B5">
        <w:rPr>
          <w:rFonts w:ascii="Sylfaen" w:eastAsia="Calibri" w:hAnsi="Sylfaen" w:cs="Sylfaen"/>
          <w:lang w:val="ka-GE"/>
        </w:rPr>
        <w:t>საჭიროა</w:t>
      </w:r>
      <w:r w:rsidRPr="00CD64B5">
        <w:rPr>
          <w:rFonts w:eastAsia="Calibri"/>
          <w:lang w:val="ka-GE"/>
        </w:rPr>
        <w:t xml:space="preserve"> </w:t>
      </w:r>
      <w:r w:rsidRPr="00CD64B5">
        <w:rPr>
          <w:rFonts w:ascii="Sylfaen" w:eastAsia="Calibri" w:hAnsi="Sylfaen" w:cs="Sylfaen"/>
          <w:lang w:val="ka-GE"/>
        </w:rPr>
        <w:t>სამშენებლო</w:t>
      </w:r>
      <w:r w:rsidRPr="00CD64B5">
        <w:rPr>
          <w:rFonts w:eastAsia="Calibri"/>
          <w:lang w:val="ka-GE"/>
        </w:rPr>
        <w:t xml:space="preserve"> </w:t>
      </w:r>
      <w:r w:rsidRPr="00CD64B5">
        <w:rPr>
          <w:rFonts w:ascii="Sylfaen" w:eastAsia="Calibri" w:hAnsi="Sylfaen" w:cs="Sylfaen"/>
          <w:lang w:val="ka-GE"/>
        </w:rPr>
        <w:t>სამუშაოების</w:t>
      </w:r>
      <w:r w:rsidRPr="00CD64B5">
        <w:rPr>
          <w:rFonts w:eastAsia="Calibri"/>
          <w:lang w:val="ka-GE"/>
        </w:rPr>
        <w:t xml:space="preserve"> </w:t>
      </w:r>
      <w:r w:rsidRPr="00CD64B5">
        <w:rPr>
          <w:rFonts w:ascii="Sylfaen" w:eastAsia="Calibri" w:hAnsi="Sylfaen" w:cs="Sylfaen"/>
          <w:lang w:val="ka-GE"/>
        </w:rPr>
        <w:t>წარმართვა</w:t>
      </w:r>
      <w:r w:rsidRPr="00CD64B5">
        <w:rPr>
          <w:rFonts w:eastAsia="Calibri"/>
          <w:lang w:val="ka-GE"/>
        </w:rPr>
        <w:t xml:space="preserve"> </w:t>
      </w:r>
      <w:r w:rsidRPr="00CD64B5">
        <w:rPr>
          <w:rFonts w:ascii="Sylfaen" w:eastAsia="Calibri" w:hAnsi="Sylfaen" w:cs="Sylfaen"/>
          <w:lang w:val="ka-GE"/>
        </w:rPr>
        <w:t>შესაბამისი</w:t>
      </w:r>
      <w:r w:rsidRPr="00CD64B5">
        <w:rPr>
          <w:rFonts w:eastAsia="Calibri"/>
          <w:lang w:val="ka-GE"/>
        </w:rPr>
        <w:t xml:space="preserve"> </w:t>
      </w:r>
      <w:r w:rsidRPr="00CD64B5">
        <w:rPr>
          <w:rFonts w:ascii="Sylfaen" w:eastAsia="Calibri" w:hAnsi="Sylfaen" w:cs="Sylfaen"/>
          <w:lang w:val="ka-GE"/>
        </w:rPr>
        <w:t>შემარბილებელი</w:t>
      </w:r>
      <w:r w:rsidRPr="00CD64B5">
        <w:rPr>
          <w:rFonts w:eastAsia="Calibri"/>
          <w:lang w:val="ka-GE"/>
        </w:rPr>
        <w:t xml:space="preserve"> </w:t>
      </w:r>
      <w:r w:rsidRPr="00CD64B5">
        <w:rPr>
          <w:rFonts w:ascii="Sylfaen" w:eastAsia="Calibri" w:hAnsi="Sylfaen" w:cs="Sylfaen"/>
          <w:lang w:val="ka-GE"/>
        </w:rPr>
        <w:t>ღონისძიებების</w:t>
      </w:r>
      <w:r w:rsidRPr="00CD64B5">
        <w:rPr>
          <w:rFonts w:eastAsia="Calibri"/>
          <w:lang w:val="ka-GE"/>
        </w:rPr>
        <w:t xml:space="preserve"> </w:t>
      </w:r>
      <w:r w:rsidRPr="00CD64B5">
        <w:rPr>
          <w:rFonts w:ascii="Sylfaen" w:eastAsia="Calibri" w:hAnsi="Sylfaen" w:cs="Sylfaen"/>
          <w:lang w:val="ka-GE"/>
        </w:rPr>
        <w:t>გატარების</w:t>
      </w:r>
      <w:r w:rsidRPr="00CD64B5">
        <w:rPr>
          <w:rFonts w:eastAsia="Calibri"/>
          <w:lang w:val="ka-GE"/>
        </w:rPr>
        <w:t xml:space="preserve"> </w:t>
      </w:r>
      <w:r w:rsidRPr="00CD64B5">
        <w:rPr>
          <w:rFonts w:ascii="Sylfaen" w:eastAsia="Calibri" w:hAnsi="Sylfaen" w:cs="Sylfaen"/>
          <w:lang w:val="ka-GE"/>
        </w:rPr>
        <w:t>პირობებში</w:t>
      </w:r>
      <w:r w:rsidRPr="00CD64B5">
        <w:rPr>
          <w:rFonts w:eastAsia="Calibri"/>
          <w:lang w:val="ka-GE"/>
        </w:rPr>
        <w:t xml:space="preserve">, </w:t>
      </w:r>
      <w:r w:rsidRPr="00CD64B5">
        <w:rPr>
          <w:rFonts w:ascii="Sylfaen" w:eastAsia="Calibri" w:hAnsi="Sylfaen" w:cs="Sylfaen"/>
          <w:lang w:val="ka-GE"/>
        </w:rPr>
        <w:t>ასევე</w:t>
      </w:r>
      <w:r w:rsidRPr="00CD64B5">
        <w:rPr>
          <w:rFonts w:eastAsia="Calibri"/>
          <w:lang w:val="ka-GE"/>
        </w:rPr>
        <w:t xml:space="preserve"> </w:t>
      </w:r>
      <w:r w:rsidRPr="00CD64B5">
        <w:rPr>
          <w:rFonts w:ascii="Sylfaen" w:eastAsia="Calibri" w:hAnsi="Sylfaen" w:cs="Sylfaen"/>
          <w:lang w:val="ka-GE"/>
        </w:rPr>
        <w:t>მშენებლობის</w:t>
      </w:r>
      <w:r w:rsidRPr="00CD64B5">
        <w:rPr>
          <w:rFonts w:eastAsia="Calibri"/>
          <w:lang w:val="ka-GE"/>
        </w:rPr>
        <w:t xml:space="preserve"> </w:t>
      </w:r>
      <w:r w:rsidRPr="00CD64B5">
        <w:rPr>
          <w:rFonts w:ascii="Sylfaen" w:eastAsia="Calibri" w:hAnsi="Sylfaen" w:cs="Sylfaen"/>
          <w:lang w:val="ka-GE"/>
        </w:rPr>
        <w:t>დასრულების</w:t>
      </w:r>
      <w:r w:rsidRPr="00CD64B5">
        <w:rPr>
          <w:rFonts w:eastAsia="Calibri"/>
          <w:lang w:val="ka-GE"/>
        </w:rPr>
        <w:t xml:space="preserve"> </w:t>
      </w:r>
      <w:r w:rsidRPr="00CD64B5">
        <w:rPr>
          <w:rFonts w:ascii="Sylfaen" w:eastAsia="Calibri" w:hAnsi="Sylfaen" w:cs="Sylfaen"/>
          <w:lang w:val="ka-GE"/>
        </w:rPr>
        <w:t>შემდგომ</w:t>
      </w:r>
      <w:r w:rsidRPr="00CD64B5">
        <w:rPr>
          <w:rFonts w:eastAsia="Calibri"/>
          <w:lang w:val="ka-GE"/>
        </w:rPr>
        <w:t xml:space="preserve"> </w:t>
      </w:r>
      <w:r w:rsidRPr="00CD64B5">
        <w:rPr>
          <w:rFonts w:ascii="Sylfaen" w:eastAsia="Calibri" w:hAnsi="Sylfaen" w:cs="Sylfaen"/>
          <w:lang w:val="ka-GE"/>
        </w:rPr>
        <w:t>სარეკულტივაციო</w:t>
      </w:r>
      <w:r w:rsidRPr="00CD64B5">
        <w:rPr>
          <w:rFonts w:eastAsia="Calibri"/>
          <w:lang w:val="ka-GE"/>
        </w:rPr>
        <w:t xml:space="preserve"> </w:t>
      </w:r>
      <w:r w:rsidRPr="00CD64B5">
        <w:rPr>
          <w:rFonts w:ascii="Sylfaen" w:eastAsia="Calibri" w:hAnsi="Sylfaen" w:cs="Sylfaen"/>
          <w:lang w:val="ka-GE"/>
        </w:rPr>
        <w:t>სამუშაოები</w:t>
      </w:r>
      <w:r w:rsidRPr="00CD64B5">
        <w:rPr>
          <w:rFonts w:eastAsia="Calibri"/>
          <w:lang w:val="ka-GE"/>
        </w:rPr>
        <w:t xml:space="preserve">, </w:t>
      </w:r>
      <w:r w:rsidRPr="00CD64B5">
        <w:rPr>
          <w:rFonts w:ascii="Sylfaen" w:eastAsia="Calibri" w:hAnsi="Sylfaen" w:cs="Sylfaen"/>
          <w:lang w:val="ka-GE"/>
        </w:rPr>
        <w:t>გარკვეულწილად</w:t>
      </w:r>
      <w:r w:rsidRPr="00CD64B5">
        <w:rPr>
          <w:rFonts w:eastAsia="Calibri"/>
          <w:lang w:val="ka-GE"/>
        </w:rPr>
        <w:t xml:space="preserve"> </w:t>
      </w:r>
      <w:r w:rsidRPr="00CD64B5">
        <w:rPr>
          <w:rFonts w:ascii="Sylfaen" w:eastAsia="Calibri" w:hAnsi="Sylfaen" w:cs="Sylfaen"/>
          <w:lang w:val="ka-GE"/>
        </w:rPr>
        <w:t>შეამსუბუქებს</w:t>
      </w:r>
      <w:r w:rsidRPr="00CD64B5">
        <w:rPr>
          <w:rFonts w:eastAsia="Calibri"/>
          <w:lang w:val="ka-GE"/>
        </w:rPr>
        <w:t xml:space="preserve"> </w:t>
      </w:r>
      <w:r w:rsidRPr="00CD64B5">
        <w:rPr>
          <w:rFonts w:ascii="Sylfaen" w:eastAsia="Calibri" w:hAnsi="Sylfaen" w:cs="Sylfaen"/>
          <w:lang w:val="ka-GE"/>
        </w:rPr>
        <w:t>ზემოქმედებას</w:t>
      </w:r>
      <w:r w:rsidRPr="00CD64B5">
        <w:rPr>
          <w:rFonts w:eastAsia="Calibri"/>
          <w:lang w:val="ka-GE"/>
        </w:rPr>
        <w:t xml:space="preserve">. </w:t>
      </w:r>
      <w:r w:rsidRPr="00CD64B5">
        <w:rPr>
          <w:rFonts w:ascii="Sylfaen" w:eastAsia="Calibri" w:hAnsi="Sylfaen" w:cs="Sylfaen"/>
          <w:lang w:val="ka-GE"/>
        </w:rPr>
        <w:t>სამშენებლო</w:t>
      </w:r>
      <w:r w:rsidRPr="00CD64B5">
        <w:rPr>
          <w:rFonts w:eastAsia="Calibri"/>
          <w:lang w:val="ka-GE"/>
        </w:rPr>
        <w:t xml:space="preserve"> </w:t>
      </w:r>
      <w:r w:rsidRPr="00CD64B5">
        <w:rPr>
          <w:rFonts w:ascii="Sylfaen" w:eastAsia="Calibri" w:hAnsi="Sylfaen" w:cs="Sylfaen"/>
          <w:lang w:val="ka-GE"/>
        </w:rPr>
        <w:t>სამუშაოების</w:t>
      </w:r>
      <w:r w:rsidRPr="00CD64B5">
        <w:rPr>
          <w:rFonts w:eastAsia="Calibri"/>
          <w:lang w:val="ka-GE"/>
        </w:rPr>
        <w:t xml:space="preserve"> </w:t>
      </w:r>
      <w:r w:rsidRPr="00CD64B5">
        <w:rPr>
          <w:rFonts w:ascii="Sylfaen" w:eastAsia="Calibri" w:hAnsi="Sylfaen" w:cs="Sylfaen"/>
          <w:lang w:val="ka-GE"/>
        </w:rPr>
        <w:t>დასრულების</w:t>
      </w:r>
      <w:r w:rsidRPr="00CD64B5">
        <w:rPr>
          <w:rFonts w:eastAsia="Calibri"/>
          <w:lang w:val="ka-GE"/>
        </w:rPr>
        <w:t xml:space="preserve"> </w:t>
      </w:r>
      <w:r w:rsidRPr="00CD64B5">
        <w:rPr>
          <w:rFonts w:ascii="Sylfaen" w:eastAsia="Calibri" w:hAnsi="Sylfaen" w:cs="Sylfaen"/>
          <w:lang w:val="ka-GE"/>
        </w:rPr>
        <w:t>შემდგომ</w:t>
      </w:r>
      <w:r w:rsidRPr="00CD64B5">
        <w:rPr>
          <w:rFonts w:eastAsia="Calibri"/>
          <w:lang w:val="ka-GE"/>
        </w:rPr>
        <w:t xml:space="preserve"> </w:t>
      </w:r>
      <w:r w:rsidRPr="00CD64B5">
        <w:rPr>
          <w:rFonts w:ascii="Sylfaen" w:eastAsia="Calibri" w:hAnsi="Sylfaen" w:cs="Sylfaen"/>
          <w:lang w:val="ka-GE"/>
        </w:rPr>
        <w:t>გარკვეული</w:t>
      </w:r>
      <w:r w:rsidRPr="00CD64B5">
        <w:rPr>
          <w:rFonts w:eastAsia="Calibri"/>
          <w:lang w:val="ka-GE"/>
        </w:rPr>
        <w:t xml:space="preserve"> </w:t>
      </w:r>
      <w:r w:rsidRPr="00CD64B5">
        <w:rPr>
          <w:rFonts w:ascii="Sylfaen" w:eastAsia="Calibri" w:hAnsi="Sylfaen" w:cs="Sylfaen"/>
          <w:lang w:val="ka-GE"/>
        </w:rPr>
        <w:t>სახის</w:t>
      </w:r>
      <w:r w:rsidRPr="00CD64B5">
        <w:rPr>
          <w:rFonts w:eastAsia="Calibri"/>
          <w:lang w:val="ka-GE"/>
        </w:rPr>
        <w:t xml:space="preserve"> </w:t>
      </w:r>
      <w:r w:rsidRPr="00CD64B5">
        <w:rPr>
          <w:rFonts w:ascii="Sylfaen" w:eastAsia="Calibri" w:hAnsi="Sylfaen" w:cs="Sylfaen"/>
          <w:lang w:val="ka-GE"/>
        </w:rPr>
        <w:t>ზემოქმედების</w:t>
      </w:r>
      <w:r w:rsidRPr="00CD64B5">
        <w:rPr>
          <w:rFonts w:eastAsia="Calibri"/>
          <w:lang w:val="ka-GE"/>
        </w:rPr>
        <w:t xml:space="preserve"> </w:t>
      </w:r>
      <w:r w:rsidRPr="00CD64B5">
        <w:rPr>
          <w:rFonts w:ascii="Sylfaen" w:eastAsia="Calibri" w:hAnsi="Sylfaen" w:cs="Sylfaen"/>
          <w:lang w:val="ka-GE"/>
        </w:rPr>
        <w:t>წყაროები</w:t>
      </w:r>
      <w:r w:rsidRPr="00CD64B5">
        <w:rPr>
          <w:rFonts w:eastAsia="Calibri"/>
          <w:lang w:val="ka-GE"/>
        </w:rPr>
        <w:t xml:space="preserve"> (</w:t>
      </w:r>
      <w:r w:rsidRPr="00CD64B5">
        <w:rPr>
          <w:rFonts w:ascii="Sylfaen" w:eastAsia="Calibri" w:hAnsi="Sylfaen" w:cs="Sylfaen"/>
          <w:lang w:val="ka-GE"/>
        </w:rPr>
        <w:t>სამშენებლო</w:t>
      </w:r>
      <w:r w:rsidRPr="00CD64B5">
        <w:rPr>
          <w:rFonts w:eastAsia="Calibri"/>
          <w:lang w:val="ka-GE"/>
        </w:rPr>
        <w:t xml:space="preserve"> </w:t>
      </w:r>
      <w:r w:rsidRPr="00CD64B5">
        <w:rPr>
          <w:rFonts w:ascii="Sylfaen" w:eastAsia="Calibri" w:hAnsi="Sylfaen" w:cs="Sylfaen"/>
          <w:lang w:val="ka-GE"/>
        </w:rPr>
        <w:t>ბანაკები</w:t>
      </w:r>
      <w:r w:rsidRPr="00CD64B5">
        <w:rPr>
          <w:rFonts w:eastAsia="Calibri"/>
          <w:lang w:val="ka-GE"/>
        </w:rPr>
        <w:t xml:space="preserve">, </w:t>
      </w:r>
      <w:r w:rsidRPr="00CD64B5">
        <w:rPr>
          <w:rFonts w:ascii="Sylfaen" w:eastAsia="Calibri" w:hAnsi="Sylfaen" w:cs="Sylfaen"/>
          <w:lang w:val="ka-GE"/>
        </w:rPr>
        <w:t>ტექნიკა</w:t>
      </w:r>
      <w:r w:rsidRPr="00CD64B5">
        <w:rPr>
          <w:rFonts w:eastAsia="Calibri"/>
          <w:lang w:val="ka-GE"/>
        </w:rPr>
        <w:t xml:space="preserve">, </w:t>
      </w:r>
      <w:r w:rsidRPr="00CD64B5">
        <w:rPr>
          <w:rFonts w:ascii="Sylfaen" w:eastAsia="Calibri" w:hAnsi="Sylfaen" w:cs="Sylfaen"/>
          <w:lang w:val="ka-GE"/>
        </w:rPr>
        <w:t>მშენებელი</w:t>
      </w:r>
      <w:r w:rsidRPr="00CD64B5">
        <w:rPr>
          <w:rFonts w:eastAsia="Calibri"/>
          <w:lang w:val="ka-GE"/>
        </w:rPr>
        <w:t xml:space="preserve"> </w:t>
      </w:r>
      <w:r w:rsidRPr="00CD64B5">
        <w:rPr>
          <w:rFonts w:ascii="Sylfaen" w:eastAsia="Calibri" w:hAnsi="Sylfaen" w:cs="Sylfaen"/>
          <w:lang w:val="ka-GE"/>
        </w:rPr>
        <w:t>პერსონალი</w:t>
      </w:r>
      <w:r w:rsidRPr="00CD64B5">
        <w:rPr>
          <w:rFonts w:eastAsia="Calibri"/>
          <w:lang w:val="ka-GE"/>
        </w:rPr>
        <w:t xml:space="preserve">) </w:t>
      </w:r>
      <w:r w:rsidRPr="00CD64B5">
        <w:rPr>
          <w:rFonts w:ascii="Sylfaen" w:eastAsia="Calibri" w:hAnsi="Sylfaen" w:cs="Sylfaen"/>
          <w:lang w:val="ka-GE"/>
        </w:rPr>
        <w:t>აღარ</w:t>
      </w:r>
      <w:r w:rsidRPr="00CD64B5">
        <w:rPr>
          <w:rFonts w:eastAsia="Calibri"/>
          <w:lang w:val="ka-GE"/>
        </w:rPr>
        <w:t xml:space="preserve"> </w:t>
      </w:r>
      <w:r w:rsidRPr="00CD64B5">
        <w:rPr>
          <w:rFonts w:ascii="Sylfaen" w:eastAsia="Calibri" w:hAnsi="Sylfaen" w:cs="Sylfaen"/>
          <w:lang w:val="ka-GE"/>
        </w:rPr>
        <w:t>იარსებებს</w:t>
      </w:r>
      <w:r w:rsidRPr="00CD64B5">
        <w:rPr>
          <w:rFonts w:eastAsia="Calibri"/>
          <w:lang w:val="ka-GE"/>
        </w:rPr>
        <w:t xml:space="preserve">, </w:t>
      </w:r>
      <w:r w:rsidRPr="00CD64B5">
        <w:rPr>
          <w:rFonts w:ascii="Sylfaen" w:eastAsia="Calibri" w:hAnsi="Sylfaen" w:cs="Sylfaen"/>
          <w:lang w:val="ka-GE"/>
        </w:rPr>
        <w:t>რაც</w:t>
      </w:r>
      <w:r w:rsidRPr="00CD64B5">
        <w:rPr>
          <w:rFonts w:eastAsia="Calibri"/>
          <w:lang w:val="ka-GE"/>
        </w:rPr>
        <w:t xml:space="preserve"> </w:t>
      </w:r>
      <w:r w:rsidRPr="00CD64B5">
        <w:rPr>
          <w:rFonts w:ascii="Sylfaen" w:eastAsia="Calibri" w:hAnsi="Sylfaen" w:cs="Sylfaen"/>
          <w:lang w:val="ka-GE"/>
        </w:rPr>
        <w:t>ხელს</w:t>
      </w:r>
      <w:r w:rsidRPr="00CD64B5">
        <w:rPr>
          <w:rFonts w:eastAsia="Calibri"/>
          <w:lang w:val="ka-GE"/>
        </w:rPr>
        <w:t xml:space="preserve"> </w:t>
      </w:r>
      <w:r w:rsidRPr="00CD64B5">
        <w:rPr>
          <w:rFonts w:ascii="Sylfaen" w:eastAsia="Calibri" w:hAnsi="Sylfaen" w:cs="Sylfaen"/>
          <w:lang w:val="ka-GE"/>
        </w:rPr>
        <w:t>შეუწყობს</w:t>
      </w:r>
      <w:r w:rsidRPr="00CD64B5">
        <w:rPr>
          <w:rFonts w:eastAsia="Calibri"/>
          <w:lang w:val="ka-GE"/>
        </w:rPr>
        <w:t xml:space="preserve"> </w:t>
      </w:r>
      <w:r w:rsidRPr="00CD64B5">
        <w:rPr>
          <w:rFonts w:ascii="Sylfaen" w:eastAsia="Calibri" w:hAnsi="Sylfaen" w:cs="Sylfaen"/>
          <w:lang w:val="ka-GE"/>
        </w:rPr>
        <w:t>ზოგიერთი</w:t>
      </w:r>
      <w:r w:rsidRPr="00CD64B5">
        <w:rPr>
          <w:rFonts w:eastAsia="Calibri"/>
          <w:lang w:val="ka-GE"/>
        </w:rPr>
        <w:t xml:space="preserve"> </w:t>
      </w:r>
      <w:r w:rsidRPr="00CD64B5">
        <w:rPr>
          <w:rFonts w:ascii="Sylfaen" w:eastAsia="Calibri" w:hAnsi="Sylfaen" w:cs="Sylfaen"/>
          <w:lang w:val="ka-GE"/>
        </w:rPr>
        <w:t>სახეობის</w:t>
      </w:r>
      <w:r w:rsidRPr="00CD64B5">
        <w:rPr>
          <w:rFonts w:eastAsia="Calibri"/>
          <w:lang w:val="ka-GE"/>
        </w:rPr>
        <w:t xml:space="preserve"> </w:t>
      </w:r>
      <w:r w:rsidRPr="00CD64B5">
        <w:rPr>
          <w:rFonts w:ascii="Sylfaen" w:eastAsia="Calibri" w:hAnsi="Sylfaen" w:cs="Sylfaen"/>
          <w:lang w:val="ka-GE"/>
        </w:rPr>
        <w:t>დაბრუნებას</w:t>
      </w:r>
      <w:r w:rsidRPr="00CD64B5">
        <w:rPr>
          <w:rFonts w:eastAsia="Calibri"/>
          <w:lang w:val="ka-GE"/>
        </w:rPr>
        <w:t xml:space="preserve"> </w:t>
      </w:r>
      <w:r w:rsidRPr="00CD64B5">
        <w:rPr>
          <w:rFonts w:ascii="Sylfaen" w:eastAsia="Calibri" w:hAnsi="Sylfaen" w:cs="Sylfaen"/>
          <w:lang w:val="ka-GE"/>
        </w:rPr>
        <w:t>ძველ</w:t>
      </w:r>
      <w:r w:rsidRPr="00CD64B5">
        <w:rPr>
          <w:rFonts w:eastAsia="Calibri"/>
          <w:lang w:val="ka-GE"/>
        </w:rPr>
        <w:t xml:space="preserve"> </w:t>
      </w:r>
      <w:r w:rsidRPr="00CD64B5">
        <w:rPr>
          <w:rFonts w:ascii="Sylfaen" w:eastAsia="Calibri" w:hAnsi="Sylfaen" w:cs="Sylfaen"/>
          <w:lang w:val="ka-GE"/>
        </w:rPr>
        <w:t>საბინადრო</w:t>
      </w:r>
      <w:r w:rsidRPr="00CD64B5">
        <w:rPr>
          <w:rFonts w:eastAsia="Calibri"/>
          <w:lang w:val="ka-GE"/>
        </w:rPr>
        <w:t xml:space="preserve"> </w:t>
      </w:r>
      <w:r w:rsidRPr="00CD64B5">
        <w:rPr>
          <w:rFonts w:ascii="Sylfaen" w:eastAsia="Calibri" w:hAnsi="Sylfaen" w:cs="Sylfaen"/>
          <w:lang w:val="ka-GE"/>
        </w:rPr>
        <w:t>ადგილებში</w:t>
      </w:r>
      <w:r w:rsidRPr="00CD64B5">
        <w:rPr>
          <w:rFonts w:eastAsia="Calibri"/>
          <w:lang w:val="ka-GE"/>
        </w:rPr>
        <w:t>.</w:t>
      </w:r>
    </w:p>
    <w:p w14:paraId="7935A83E" w14:textId="77777777" w:rsidR="00CD64B5" w:rsidRPr="00CD64B5" w:rsidRDefault="00CD64B5" w:rsidP="000E38C6">
      <w:pPr>
        <w:spacing w:before="120" w:after="120"/>
        <w:rPr>
          <w:rFonts w:eastAsia="Calibri"/>
          <w:lang w:val="ka-GE" w:eastAsia="da-DK"/>
        </w:rPr>
      </w:pPr>
    </w:p>
    <w:p w14:paraId="1A8455F3" w14:textId="77777777" w:rsidR="00CD64B5" w:rsidRPr="000E38C6" w:rsidRDefault="00CD64B5" w:rsidP="000E38C6">
      <w:pPr>
        <w:spacing w:before="120" w:after="120"/>
        <w:rPr>
          <w:b/>
          <w:lang w:val="ka-GE"/>
        </w:rPr>
      </w:pPr>
      <w:r w:rsidRPr="000E38C6">
        <w:rPr>
          <w:rFonts w:ascii="Sylfaen" w:hAnsi="Sylfaen" w:cs="Sylfaen"/>
          <w:b/>
          <w:lang w:val="ka-GE"/>
        </w:rPr>
        <w:t>შემარბილებელი</w:t>
      </w:r>
      <w:r w:rsidRPr="000E38C6">
        <w:rPr>
          <w:b/>
          <w:lang w:val="ka-GE"/>
        </w:rPr>
        <w:t xml:space="preserve"> </w:t>
      </w:r>
      <w:r w:rsidRPr="000E38C6">
        <w:rPr>
          <w:rFonts w:ascii="Sylfaen" w:hAnsi="Sylfaen" w:cs="Sylfaen"/>
          <w:b/>
          <w:lang w:val="ka-GE"/>
        </w:rPr>
        <w:t>ღონისძიებები</w:t>
      </w:r>
      <w:r w:rsidRPr="000E38C6">
        <w:rPr>
          <w:b/>
          <w:lang w:val="ka-GE"/>
        </w:rPr>
        <w:t xml:space="preserve"> - </w:t>
      </w:r>
      <w:r w:rsidRPr="000E38C6">
        <w:rPr>
          <w:rFonts w:ascii="Sylfaen" w:hAnsi="Sylfaen" w:cs="Sylfaen"/>
          <w:b/>
          <w:lang w:val="ka-GE"/>
        </w:rPr>
        <w:t>მშენებლობის</w:t>
      </w:r>
      <w:r w:rsidRPr="000E38C6">
        <w:rPr>
          <w:b/>
          <w:lang w:val="ka-GE"/>
        </w:rPr>
        <w:t xml:space="preserve"> </w:t>
      </w:r>
      <w:r w:rsidRPr="000E38C6">
        <w:rPr>
          <w:rFonts w:ascii="Sylfaen" w:hAnsi="Sylfaen" w:cs="Sylfaen"/>
          <w:b/>
          <w:lang w:val="ka-GE"/>
        </w:rPr>
        <w:t>ფაზა</w:t>
      </w:r>
    </w:p>
    <w:p w14:paraId="61E215D4" w14:textId="77777777" w:rsidR="00CD64B5" w:rsidRPr="00CD64B5" w:rsidRDefault="00CD64B5" w:rsidP="000E38C6">
      <w:pPr>
        <w:spacing w:before="120" w:after="120"/>
        <w:rPr>
          <w:lang w:val="ka-GE"/>
        </w:rPr>
      </w:pPr>
      <w:r w:rsidRPr="00CD64B5">
        <w:rPr>
          <w:rFonts w:ascii="Sylfaen" w:hAnsi="Sylfaen" w:cs="Sylfaen"/>
          <w:lang w:val="ka-GE"/>
        </w:rPr>
        <w:t>ფაუნაზე</w:t>
      </w:r>
      <w:r w:rsidRPr="00CD64B5">
        <w:rPr>
          <w:lang w:val="ka-GE"/>
        </w:rPr>
        <w:t xml:space="preserve"> </w:t>
      </w:r>
      <w:r w:rsidRPr="00CD64B5">
        <w:rPr>
          <w:rFonts w:ascii="Sylfaen" w:hAnsi="Sylfaen" w:cs="Sylfaen"/>
          <w:lang w:val="ka-GE"/>
        </w:rPr>
        <w:t>ზემოქმედების</w:t>
      </w:r>
      <w:r w:rsidRPr="00CD64B5">
        <w:rPr>
          <w:lang w:val="ka-GE"/>
        </w:rPr>
        <w:t xml:space="preserve"> </w:t>
      </w:r>
      <w:r w:rsidRPr="00CD64B5">
        <w:rPr>
          <w:rFonts w:ascii="Sylfaen" w:hAnsi="Sylfaen" w:cs="Sylfaen"/>
          <w:lang w:val="ka-GE"/>
        </w:rPr>
        <w:t>შემარბილებლად</w:t>
      </w:r>
      <w:r w:rsidRPr="00CD64B5">
        <w:rPr>
          <w:lang w:val="ka-GE"/>
        </w:rPr>
        <w:t xml:space="preserve"> </w:t>
      </w:r>
      <w:r w:rsidRPr="00CD64B5">
        <w:rPr>
          <w:rFonts w:ascii="Sylfaen" w:hAnsi="Sylfaen" w:cs="Sylfaen"/>
          <w:lang w:val="ka-GE"/>
        </w:rPr>
        <w:t>შესრულდება</w:t>
      </w:r>
      <w:r w:rsidRPr="00CD64B5">
        <w:rPr>
          <w:lang w:val="ka-GE"/>
        </w:rPr>
        <w:t xml:space="preserve"> </w:t>
      </w:r>
      <w:r w:rsidRPr="00CD64B5">
        <w:rPr>
          <w:rFonts w:ascii="Sylfaen" w:hAnsi="Sylfaen" w:cs="Sylfaen"/>
          <w:lang w:val="ka-GE"/>
        </w:rPr>
        <w:t>შემდეგი</w:t>
      </w:r>
      <w:r w:rsidRPr="00CD64B5">
        <w:rPr>
          <w:lang w:val="ka-GE"/>
        </w:rPr>
        <w:t>:</w:t>
      </w:r>
    </w:p>
    <w:p w14:paraId="396C5BF4" w14:textId="77777777" w:rsidR="00CD64B5" w:rsidRPr="00CD64B5" w:rsidRDefault="00CD64B5" w:rsidP="000E38C6">
      <w:pPr>
        <w:spacing w:before="120" w:after="120"/>
        <w:rPr>
          <w:lang w:val="ka-GE"/>
        </w:rPr>
      </w:pPr>
      <w:r w:rsidRPr="00CD64B5">
        <w:rPr>
          <w:rFonts w:ascii="Sylfaen" w:hAnsi="Sylfaen" w:cs="Sylfaen"/>
          <w:lang w:val="ka-GE"/>
        </w:rPr>
        <w:t>მცენარეული</w:t>
      </w:r>
      <w:r w:rsidRPr="00CD64B5">
        <w:rPr>
          <w:lang w:val="ka-GE"/>
        </w:rPr>
        <w:t xml:space="preserve"> </w:t>
      </w:r>
      <w:r w:rsidRPr="00CD64B5">
        <w:rPr>
          <w:rFonts w:ascii="Sylfaen" w:hAnsi="Sylfaen" w:cs="Sylfaen"/>
          <w:lang w:val="ka-GE"/>
        </w:rPr>
        <w:t>საფარი</w:t>
      </w:r>
      <w:r w:rsidRPr="00CD64B5">
        <w:rPr>
          <w:lang w:val="ka-GE"/>
        </w:rPr>
        <w:t xml:space="preserve"> </w:t>
      </w:r>
      <w:r w:rsidRPr="00CD64B5">
        <w:rPr>
          <w:rFonts w:ascii="Sylfaen" w:hAnsi="Sylfaen" w:cs="Sylfaen"/>
          <w:lang w:val="ka-GE"/>
        </w:rPr>
        <w:t>მაქსიმალურად</w:t>
      </w:r>
      <w:r w:rsidRPr="00CD64B5">
        <w:rPr>
          <w:lang w:val="ka-GE"/>
        </w:rPr>
        <w:t xml:space="preserve"> </w:t>
      </w:r>
      <w:r w:rsidRPr="00CD64B5">
        <w:rPr>
          <w:rFonts w:ascii="Sylfaen" w:hAnsi="Sylfaen" w:cs="Sylfaen"/>
          <w:lang w:val="ka-GE"/>
        </w:rPr>
        <w:t>იქნება</w:t>
      </w:r>
      <w:r w:rsidRPr="00CD64B5">
        <w:rPr>
          <w:lang w:val="ka-GE"/>
        </w:rPr>
        <w:t xml:space="preserve"> </w:t>
      </w:r>
      <w:r w:rsidRPr="00CD64B5">
        <w:rPr>
          <w:rFonts w:ascii="Sylfaen" w:hAnsi="Sylfaen" w:cs="Sylfaen"/>
          <w:lang w:val="ka-GE"/>
        </w:rPr>
        <w:t>შენარჩუნებული</w:t>
      </w:r>
      <w:r w:rsidRPr="00CD64B5">
        <w:rPr>
          <w:lang w:val="ka-GE"/>
        </w:rPr>
        <w:t>;</w:t>
      </w:r>
    </w:p>
    <w:p w14:paraId="0D1075BD" w14:textId="77777777" w:rsidR="00CD64B5" w:rsidRPr="00CD64B5" w:rsidRDefault="00CD64B5" w:rsidP="000E38C6">
      <w:pPr>
        <w:spacing w:before="120" w:after="120"/>
        <w:rPr>
          <w:lang w:val="ka-GE"/>
        </w:rPr>
      </w:pPr>
      <w:r w:rsidRPr="00CD64B5">
        <w:rPr>
          <w:rFonts w:ascii="Sylfaen" w:hAnsi="Sylfaen" w:cs="Sylfaen"/>
          <w:lang w:val="ka-GE"/>
        </w:rPr>
        <w:t>ფრინველებისთვის</w:t>
      </w:r>
      <w:r w:rsidRPr="00CD64B5">
        <w:rPr>
          <w:lang w:val="ka-GE"/>
        </w:rPr>
        <w:t xml:space="preserve"> </w:t>
      </w:r>
      <w:r w:rsidRPr="00CD64B5">
        <w:rPr>
          <w:rFonts w:ascii="Sylfaen" w:hAnsi="Sylfaen" w:cs="Sylfaen"/>
          <w:lang w:val="ka-GE"/>
        </w:rPr>
        <w:t>სენსიტიურ</w:t>
      </w:r>
      <w:r w:rsidRPr="00CD64B5">
        <w:rPr>
          <w:lang w:val="ka-GE"/>
        </w:rPr>
        <w:t xml:space="preserve"> </w:t>
      </w:r>
      <w:r w:rsidRPr="00CD64B5">
        <w:rPr>
          <w:rFonts w:ascii="Sylfaen" w:hAnsi="Sylfaen" w:cs="Sylfaen"/>
          <w:lang w:val="ka-GE"/>
        </w:rPr>
        <w:t>პერიოდში</w:t>
      </w:r>
      <w:r w:rsidRPr="00CD64B5">
        <w:rPr>
          <w:lang w:val="ka-GE"/>
        </w:rPr>
        <w:t xml:space="preserve"> </w:t>
      </w:r>
      <w:r w:rsidRPr="00CD64B5">
        <w:rPr>
          <w:rFonts w:ascii="Sylfaen" w:hAnsi="Sylfaen" w:cs="Sylfaen"/>
          <w:lang w:val="ka-GE"/>
        </w:rPr>
        <w:t>გაზაფხული</w:t>
      </w:r>
      <w:r w:rsidRPr="00CD64B5">
        <w:rPr>
          <w:lang w:val="ka-GE"/>
        </w:rPr>
        <w:t>-</w:t>
      </w:r>
      <w:r w:rsidRPr="00CD64B5">
        <w:rPr>
          <w:rFonts w:ascii="Sylfaen" w:hAnsi="Sylfaen" w:cs="Sylfaen"/>
          <w:lang w:val="ka-GE"/>
        </w:rPr>
        <w:t>ზაფხული</w:t>
      </w:r>
      <w:r w:rsidRPr="00CD64B5">
        <w:rPr>
          <w:lang w:val="ka-GE"/>
        </w:rPr>
        <w:t xml:space="preserve"> (</w:t>
      </w:r>
      <w:r w:rsidRPr="00CD64B5">
        <w:rPr>
          <w:rFonts w:ascii="Sylfaen" w:hAnsi="Sylfaen" w:cs="Sylfaen"/>
          <w:lang w:val="ka-GE"/>
        </w:rPr>
        <w:t>აპრილიდან</w:t>
      </w:r>
      <w:r w:rsidRPr="00CD64B5">
        <w:rPr>
          <w:lang w:val="ka-GE"/>
        </w:rPr>
        <w:t xml:space="preserve"> </w:t>
      </w:r>
      <w:r w:rsidRPr="00CD64B5">
        <w:rPr>
          <w:rFonts w:ascii="Sylfaen" w:hAnsi="Sylfaen" w:cs="Sylfaen"/>
          <w:lang w:val="ka-GE"/>
        </w:rPr>
        <w:t>ივლისამდე</w:t>
      </w:r>
      <w:r w:rsidRPr="00CD64B5">
        <w:rPr>
          <w:lang w:val="ka-GE"/>
        </w:rPr>
        <w:t xml:space="preserve">) </w:t>
      </w:r>
      <w:r w:rsidRPr="00CD64B5">
        <w:rPr>
          <w:rFonts w:ascii="Sylfaen" w:hAnsi="Sylfaen" w:cs="Sylfaen"/>
          <w:lang w:val="ka-GE"/>
        </w:rPr>
        <w:t>ხეების</w:t>
      </w:r>
      <w:r w:rsidRPr="00CD64B5">
        <w:rPr>
          <w:lang w:val="ka-GE"/>
        </w:rPr>
        <w:t xml:space="preserve"> </w:t>
      </w:r>
      <w:r w:rsidRPr="00CD64B5">
        <w:rPr>
          <w:rFonts w:ascii="Sylfaen" w:hAnsi="Sylfaen" w:cs="Sylfaen"/>
          <w:lang w:val="ka-GE"/>
        </w:rPr>
        <w:t>მოჭრა</w:t>
      </w:r>
      <w:r w:rsidRPr="00CD64B5">
        <w:rPr>
          <w:lang w:val="ka-GE"/>
        </w:rPr>
        <w:t xml:space="preserve"> </w:t>
      </w:r>
      <w:r w:rsidRPr="00CD64B5">
        <w:rPr>
          <w:rFonts w:ascii="Sylfaen" w:hAnsi="Sylfaen" w:cs="Sylfaen"/>
          <w:lang w:val="ka-GE"/>
        </w:rPr>
        <w:t>თავიდან</w:t>
      </w:r>
      <w:r w:rsidRPr="00CD64B5">
        <w:rPr>
          <w:lang w:val="ka-GE"/>
        </w:rPr>
        <w:t xml:space="preserve"> </w:t>
      </w:r>
      <w:r w:rsidRPr="00CD64B5">
        <w:rPr>
          <w:rFonts w:ascii="Sylfaen" w:hAnsi="Sylfaen" w:cs="Sylfaen"/>
          <w:lang w:val="ka-GE"/>
        </w:rPr>
        <w:t>იქნება</w:t>
      </w:r>
      <w:r w:rsidRPr="00CD64B5">
        <w:rPr>
          <w:lang w:val="ka-GE"/>
        </w:rPr>
        <w:t xml:space="preserve">  </w:t>
      </w:r>
      <w:r w:rsidRPr="00CD64B5">
        <w:rPr>
          <w:rFonts w:ascii="Sylfaen" w:hAnsi="Sylfaen" w:cs="Sylfaen"/>
          <w:lang w:val="ka-GE"/>
        </w:rPr>
        <w:t>აცილებული</w:t>
      </w:r>
      <w:r w:rsidRPr="00CD64B5">
        <w:rPr>
          <w:lang w:val="ka-GE"/>
        </w:rPr>
        <w:t>;</w:t>
      </w:r>
    </w:p>
    <w:p w14:paraId="4B817BD2" w14:textId="77777777" w:rsidR="00CD64B5" w:rsidRPr="00CD64B5" w:rsidRDefault="00CD64B5" w:rsidP="000E38C6">
      <w:pPr>
        <w:spacing w:before="120" w:after="120"/>
        <w:rPr>
          <w:lang w:val="ka-GE"/>
        </w:rPr>
      </w:pPr>
      <w:r w:rsidRPr="00CD64B5">
        <w:rPr>
          <w:rFonts w:ascii="Sylfaen" w:hAnsi="Sylfaen" w:cs="Sylfaen"/>
          <w:lang w:val="ka-GE"/>
        </w:rPr>
        <w:t>ხმაურისა</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ვიბრაციის</w:t>
      </w:r>
      <w:r w:rsidRPr="00CD64B5">
        <w:rPr>
          <w:lang w:val="ka-GE"/>
        </w:rPr>
        <w:t xml:space="preserve"> </w:t>
      </w:r>
      <w:r w:rsidRPr="00CD64B5">
        <w:rPr>
          <w:rFonts w:ascii="Sylfaen" w:hAnsi="Sylfaen" w:cs="Sylfaen"/>
          <w:lang w:val="ka-GE"/>
        </w:rPr>
        <w:t>დონე</w:t>
      </w:r>
      <w:r w:rsidRPr="00CD64B5">
        <w:rPr>
          <w:lang w:val="ka-GE"/>
        </w:rPr>
        <w:t xml:space="preserve"> </w:t>
      </w:r>
      <w:r w:rsidRPr="00CD64B5">
        <w:rPr>
          <w:rFonts w:ascii="Sylfaen" w:hAnsi="Sylfaen" w:cs="Sylfaen"/>
          <w:lang w:val="ka-GE"/>
        </w:rPr>
        <w:t>შემცირდება</w:t>
      </w:r>
      <w:r w:rsidRPr="00CD64B5">
        <w:rPr>
          <w:lang w:val="ka-GE"/>
        </w:rPr>
        <w:t xml:space="preserve"> </w:t>
      </w:r>
      <w:r w:rsidRPr="00CD64B5">
        <w:rPr>
          <w:rFonts w:ascii="Sylfaen" w:hAnsi="Sylfaen" w:cs="Sylfaen"/>
          <w:lang w:val="ka-GE"/>
        </w:rPr>
        <w:t>მანქანა</w:t>
      </w:r>
      <w:r w:rsidRPr="00CD64B5">
        <w:rPr>
          <w:lang w:val="ka-GE"/>
        </w:rPr>
        <w:t xml:space="preserve"> /</w:t>
      </w:r>
      <w:r w:rsidRPr="00CD64B5">
        <w:rPr>
          <w:rFonts w:ascii="Sylfaen" w:hAnsi="Sylfaen" w:cs="Sylfaen"/>
          <w:lang w:val="ka-GE"/>
        </w:rPr>
        <w:t>დანადგარებისა</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სატრანსპორტო</w:t>
      </w:r>
      <w:r w:rsidRPr="00CD64B5">
        <w:rPr>
          <w:lang w:val="ka-GE"/>
        </w:rPr>
        <w:t xml:space="preserve"> </w:t>
      </w:r>
      <w:r w:rsidRPr="00CD64B5">
        <w:rPr>
          <w:rFonts w:ascii="Sylfaen" w:hAnsi="Sylfaen" w:cs="Sylfaen"/>
          <w:lang w:val="ka-GE"/>
        </w:rPr>
        <w:t>საშუალებების</w:t>
      </w:r>
      <w:r w:rsidRPr="00CD64B5">
        <w:rPr>
          <w:lang w:val="ka-GE"/>
        </w:rPr>
        <w:t xml:space="preserve"> </w:t>
      </w:r>
      <w:r w:rsidRPr="00CD64B5">
        <w:rPr>
          <w:rFonts w:ascii="Sylfaen" w:hAnsi="Sylfaen" w:cs="Sylfaen"/>
          <w:lang w:val="ka-GE"/>
        </w:rPr>
        <w:t>ტექნიკური</w:t>
      </w:r>
      <w:r w:rsidRPr="00CD64B5">
        <w:rPr>
          <w:lang w:val="ka-GE"/>
        </w:rPr>
        <w:t xml:space="preserve"> </w:t>
      </w:r>
      <w:r w:rsidRPr="00CD64B5">
        <w:rPr>
          <w:rFonts w:ascii="Sylfaen" w:hAnsi="Sylfaen" w:cs="Sylfaen"/>
          <w:lang w:val="ka-GE"/>
        </w:rPr>
        <w:t>გამართულობის</w:t>
      </w:r>
      <w:r w:rsidRPr="00CD64B5">
        <w:rPr>
          <w:lang w:val="ka-GE"/>
        </w:rPr>
        <w:t xml:space="preserve"> </w:t>
      </w:r>
      <w:r w:rsidRPr="00CD64B5">
        <w:rPr>
          <w:rFonts w:ascii="Sylfaen" w:hAnsi="Sylfaen" w:cs="Sylfaen"/>
          <w:lang w:val="ka-GE"/>
        </w:rPr>
        <w:t>უზრუნველყოფის</w:t>
      </w:r>
      <w:r w:rsidRPr="00CD64B5">
        <w:rPr>
          <w:lang w:val="ka-GE"/>
        </w:rPr>
        <w:t xml:space="preserve"> </w:t>
      </w:r>
      <w:r w:rsidRPr="00CD64B5">
        <w:rPr>
          <w:rFonts w:ascii="Sylfaen" w:hAnsi="Sylfaen" w:cs="Sylfaen"/>
          <w:lang w:val="ka-GE"/>
        </w:rPr>
        <w:t>გზით</w:t>
      </w:r>
      <w:r w:rsidRPr="00CD64B5">
        <w:rPr>
          <w:lang w:val="ka-GE"/>
        </w:rPr>
        <w:t xml:space="preserve">. </w:t>
      </w:r>
    </w:p>
    <w:p w14:paraId="41780EEA" w14:textId="77777777" w:rsidR="00CD64B5" w:rsidRPr="00CD64B5" w:rsidRDefault="00CD64B5" w:rsidP="000E38C6">
      <w:pPr>
        <w:spacing w:before="120" w:after="120"/>
        <w:rPr>
          <w:lang w:val="ka-GE"/>
        </w:rPr>
      </w:pPr>
      <w:r w:rsidRPr="00CD64B5">
        <w:rPr>
          <w:rFonts w:ascii="Sylfaen" w:hAnsi="Sylfaen" w:cs="Sylfaen"/>
          <w:lang w:val="ka-GE"/>
        </w:rPr>
        <w:t>მანქანის</w:t>
      </w:r>
      <w:r w:rsidRPr="00CD64B5">
        <w:rPr>
          <w:lang w:val="ka-GE"/>
        </w:rPr>
        <w:t xml:space="preserve"> </w:t>
      </w:r>
      <w:r w:rsidRPr="00CD64B5">
        <w:rPr>
          <w:rFonts w:ascii="Sylfaen" w:hAnsi="Sylfaen" w:cs="Sylfaen"/>
          <w:lang w:val="ka-GE"/>
        </w:rPr>
        <w:t>სიგნალი</w:t>
      </w:r>
      <w:r w:rsidRPr="00CD64B5">
        <w:rPr>
          <w:lang w:val="ka-GE"/>
        </w:rPr>
        <w:t xml:space="preserve"> </w:t>
      </w:r>
      <w:r w:rsidRPr="00CD64B5">
        <w:rPr>
          <w:rFonts w:ascii="Sylfaen" w:hAnsi="Sylfaen" w:cs="Sylfaen"/>
          <w:lang w:val="ka-GE"/>
        </w:rPr>
        <w:t>აიკრძალება</w:t>
      </w:r>
      <w:r w:rsidRPr="00CD64B5">
        <w:rPr>
          <w:lang w:val="ka-GE"/>
        </w:rPr>
        <w:t xml:space="preserve"> (</w:t>
      </w:r>
      <w:r w:rsidRPr="00CD64B5">
        <w:rPr>
          <w:rFonts w:ascii="Sylfaen" w:hAnsi="Sylfaen" w:cs="Sylfaen"/>
          <w:lang w:val="ka-GE"/>
        </w:rPr>
        <w:t>გარდა</w:t>
      </w:r>
      <w:r w:rsidRPr="00CD64B5">
        <w:rPr>
          <w:lang w:val="ka-GE"/>
        </w:rPr>
        <w:t xml:space="preserve"> </w:t>
      </w:r>
      <w:r w:rsidRPr="00CD64B5">
        <w:rPr>
          <w:rFonts w:ascii="Sylfaen" w:hAnsi="Sylfaen" w:cs="Sylfaen"/>
          <w:lang w:val="ka-GE"/>
        </w:rPr>
        <w:t>უსაფრთხოებისთვის</w:t>
      </w:r>
      <w:r w:rsidRPr="00CD64B5">
        <w:rPr>
          <w:lang w:val="ka-GE"/>
        </w:rPr>
        <w:t xml:space="preserve"> </w:t>
      </w:r>
      <w:r w:rsidRPr="00CD64B5">
        <w:rPr>
          <w:rFonts w:ascii="Sylfaen" w:hAnsi="Sylfaen" w:cs="Sylfaen"/>
          <w:lang w:val="ka-GE"/>
        </w:rPr>
        <w:t>აუცილებელი</w:t>
      </w:r>
      <w:r w:rsidRPr="00CD64B5">
        <w:rPr>
          <w:lang w:val="ka-GE"/>
        </w:rPr>
        <w:t xml:space="preserve"> </w:t>
      </w:r>
      <w:r w:rsidRPr="00CD64B5">
        <w:rPr>
          <w:rFonts w:ascii="Sylfaen" w:hAnsi="Sylfaen" w:cs="Sylfaen"/>
          <w:lang w:val="ka-GE"/>
        </w:rPr>
        <w:t>შემთხვევებისა</w:t>
      </w:r>
      <w:r w:rsidRPr="00CD64B5">
        <w:rPr>
          <w:lang w:val="ka-GE"/>
        </w:rPr>
        <w:t xml:space="preserve">) </w:t>
      </w:r>
      <w:r w:rsidRPr="00CD64B5">
        <w:rPr>
          <w:rFonts w:ascii="Sylfaen" w:hAnsi="Sylfaen" w:cs="Sylfaen"/>
          <w:lang w:val="ka-GE"/>
        </w:rPr>
        <w:t>ცხოველთა</w:t>
      </w:r>
      <w:r w:rsidRPr="00CD64B5">
        <w:rPr>
          <w:lang w:val="ka-GE"/>
        </w:rPr>
        <w:t xml:space="preserve"> </w:t>
      </w:r>
      <w:r w:rsidRPr="00CD64B5">
        <w:rPr>
          <w:rFonts w:ascii="Sylfaen" w:hAnsi="Sylfaen" w:cs="Sylfaen"/>
          <w:lang w:val="ka-GE"/>
        </w:rPr>
        <w:t>შეშფოთების</w:t>
      </w:r>
      <w:r w:rsidRPr="00CD64B5">
        <w:rPr>
          <w:lang w:val="ka-GE"/>
        </w:rPr>
        <w:t xml:space="preserve"> </w:t>
      </w:r>
      <w:r w:rsidRPr="00CD64B5">
        <w:rPr>
          <w:rFonts w:ascii="Sylfaen" w:hAnsi="Sylfaen" w:cs="Sylfaen"/>
          <w:lang w:val="ka-GE"/>
        </w:rPr>
        <w:t>თავიდან</w:t>
      </w:r>
      <w:r w:rsidRPr="00CD64B5">
        <w:rPr>
          <w:lang w:val="ka-GE"/>
        </w:rPr>
        <w:t xml:space="preserve"> </w:t>
      </w:r>
      <w:r w:rsidRPr="00CD64B5">
        <w:rPr>
          <w:rFonts w:ascii="Sylfaen" w:hAnsi="Sylfaen" w:cs="Sylfaen"/>
          <w:lang w:val="ka-GE"/>
        </w:rPr>
        <w:t>ასაცილებლად</w:t>
      </w:r>
      <w:r w:rsidRPr="00CD64B5">
        <w:rPr>
          <w:lang w:val="ka-GE"/>
        </w:rPr>
        <w:t xml:space="preserve">; </w:t>
      </w:r>
    </w:p>
    <w:p w14:paraId="35E108DD" w14:textId="77777777" w:rsidR="00CD64B5" w:rsidRPr="00CD64B5" w:rsidRDefault="00CD64B5" w:rsidP="000E38C6">
      <w:pPr>
        <w:spacing w:before="120" w:after="120"/>
        <w:rPr>
          <w:lang w:val="ka-GE"/>
        </w:rPr>
      </w:pPr>
      <w:r w:rsidRPr="00CD64B5">
        <w:rPr>
          <w:rFonts w:ascii="Sylfaen" w:hAnsi="Sylfaen" w:cs="Sylfaen"/>
          <w:lang w:val="ka-GE"/>
        </w:rPr>
        <w:t>გამოყენებულ</w:t>
      </w:r>
      <w:r w:rsidRPr="00CD64B5">
        <w:rPr>
          <w:lang w:val="ka-GE"/>
        </w:rPr>
        <w:t xml:space="preserve"> </w:t>
      </w:r>
      <w:r w:rsidRPr="00CD64B5">
        <w:rPr>
          <w:rFonts w:ascii="Sylfaen" w:hAnsi="Sylfaen" w:cs="Sylfaen"/>
          <w:lang w:val="ka-GE"/>
        </w:rPr>
        <w:t>იქნება</w:t>
      </w:r>
      <w:r w:rsidRPr="00CD64B5">
        <w:rPr>
          <w:lang w:val="ka-GE"/>
        </w:rPr>
        <w:t xml:space="preserve"> </w:t>
      </w:r>
      <w:r w:rsidRPr="00CD64B5">
        <w:rPr>
          <w:rFonts w:ascii="Sylfaen" w:hAnsi="Sylfaen" w:cs="Sylfaen"/>
          <w:lang w:val="ka-GE"/>
        </w:rPr>
        <w:t>მტვრის</w:t>
      </w:r>
      <w:r w:rsidRPr="00CD64B5">
        <w:rPr>
          <w:lang w:val="ka-GE"/>
        </w:rPr>
        <w:t xml:space="preserve"> </w:t>
      </w:r>
      <w:r w:rsidRPr="00CD64B5">
        <w:rPr>
          <w:rFonts w:ascii="Sylfaen" w:hAnsi="Sylfaen" w:cs="Sylfaen"/>
          <w:lang w:val="ka-GE"/>
        </w:rPr>
        <w:t>ემისიების</w:t>
      </w:r>
      <w:r w:rsidRPr="00CD64B5">
        <w:rPr>
          <w:lang w:val="ka-GE"/>
        </w:rPr>
        <w:t xml:space="preserve"> </w:t>
      </w:r>
      <w:r w:rsidRPr="00CD64B5">
        <w:rPr>
          <w:rFonts w:ascii="Sylfaen" w:hAnsi="Sylfaen" w:cs="Sylfaen"/>
          <w:lang w:val="ka-GE"/>
        </w:rPr>
        <w:t>შემცირების</w:t>
      </w:r>
      <w:r w:rsidRPr="00CD64B5">
        <w:rPr>
          <w:lang w:val="ka-GE"/>
        </w:rPr>
        <w:t xml:space="preserve"> </w:t>
      </w:r>
      <w:r w:rsidRPr="00CD64B5">
        <w:rPr>
          <w:rFonts w:ascii="Sylfaen" w:hAnsi="Sylfaen" w:cs="Sylfaen"/>
          <w:lang w:val="ka-GE"/>
        </w:rPr>
        <w:t>ღონისძიებები</w:t>
      </w:r>
      <w:r w:rsidRPr="00CD64B5">
        <w:rPr>
          <w:lang w:val="ka-GE"/>
        </w:rPr>
        <w:t xml:space="preserve">, </w:t>
      </w:r>
      <w:r w:rsidRPr="00CD64B5">
        <w:rPr>
          <w:rFonts w:ascii="Sylfaen" w:hAnsi="Sylfaen" w:cs="Sylfaen"/>
          <w:lang w:val="ka-GE"/>
        </w:rPr>
        <w:t>როგორიცაა</w:t>
      </w:r>
      <w:r w:rsidRPr="00CD64B5">
        <w:rPr>
          <w:lang w:val="ka-GE"/>
        </w:rPr>
        <w:t xml:space="preserve"> </w:t>
      </w:r>
      <w:r w:rsidRPr="00CD64B5">
        <w:rPr>
          <w:rFonts w:ascii="Sylfaen" w:hAnsi="Sylfaen" w:cs="Sylfaen"/>
          <w:lang w:val="ka-GE"/>
        </w:rPr>
        <w:t>სამშენებლო</w:t>
      </w:r>
      <w:r w:rsidRPr="00CD64B5">
        <w:rPr>
          <w:lang w:val="ka-GE"/>
        </w:rPr>
        <w:t xml:space="preserve"> </w:t>
      </w:r>
      <w:r w:rsidRPr="00CD64B5">
        <w:rPr>
          <w:rFonts w:ascii="Sylfaen" w:hAnsi="Sylfaen" w:cs="Sylfaen"/>
          <w:lang w:val="ka-GE"/>
        </w:rPr>
        <w:t>მასალების</w:t>
      </w:r>
      <w:r w:rsidRPr="00CD64B5">
        <w:rPr>
          <w:lang w:val="ka-GE"/>
        </w:rPr>
        <w:t xml:space="preserve">, </w:t>
      </w:r>
      <w:r w:rsidRPr="00CD64B5">
        <w:rPr>
          <w:rFonts w:ascii="Sylfaen" w:hAnsi="Sylfaen" w:cs="Sylfaen"/>
          <w:lang w:val="ka-GE"/>
        </w:rPr>
        <w:t>მოჭრილი</w:t>
      </w:r>
      <w:r w:rsidRPr="00CD64B5">
        <w:rPr>
          <w:lang w:val="ka-GE"/>
        </w:rPr>
        <w:t xml:space="preserve"> </w:t>
      </w:r>
      <w:r w:rsidRPr="00CD64B5">
        <w:rPr>
          <w:rFonts w:ascii="Sylfaen" w:hAnsi="Sylfaen" w:cs="Sylfaen"/>
          <w:lang w:val="ka-GE"/>
        </w:rPr>
        <w:t>გრუნტის</w:t>
      </w:r>
      <w:r w:rsidRPr="00CD64B5">
        <w:rPr>
          <w:lang w:val="ka-GE"/>
        </w:rPr>
        <w:t xml:space="preserve"> </w:t>
      </w:r>
      <w:r w:rsidRPr="00CD64B5">
        <w:rPr>
          <w:rFonts w:ascii="Sylfaen" w:hAnsi="Sylfaen" w:cs="Sylfaen"/>
          <w:lang w:val="ka-GE"/>
        </w:rPr>
        <w:t>ზედაპირის</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ნარჩენების</w:t>
      </w:r>
      <w:r w:rsidRPr="00CD64B5">
        <w:rPr>
          <w:lang w:val="ka-GE"/>
        </w:rPr>
        <w:t xml:space="preserve"> </w:t>
      </w:r>
      <w:r w:rsidRPr="00CD64B5">
        <w:rPr>
          <w:rFonts w:ascii="Sylfaen" w:hAnsi="Sylfaen" w:cs="Sylfaen"/>
          <w:lang w:val="ka-GE"/>
        </w:rPr>
        <w:t>დაფარვა</w:t>
      </w:r>
      <w:r w:rsidRPr="00CD64B5">
        <w:rPr>
          <w:lang w:val="ka-GE"/>
        </w:rPr>
        <w:t xml:space="preserve">, </w:t>
      </w:r>
      <w:r w:rsidRPr="00CD64B5">
        <w:rPr>
          <w:rFonts w:ascii="Sylfaen" w:hAnsi="Sylfaen" w:cs="Sylfaen"/>
          <w:lang w:val="ka-GE"/>
        </w:rPr>
        <w:t>ქარისმიერი</w:t>
      </w:r>
      <w:r w:rsidRPr="00CD64B5">
        <w:rPr>
          <w:lang w:val="ka-GE"/>
        </w:rPr>
        <w:t xml:space="preserve"> </w:t>
      </w:r>
      <w:r w:rsidRPr="00CD64B5">
        <w:rPr>
          <w:rFonts w:ascii="Sylfaen" w:hAnsi="Sylfaen" w:cs="Sylfaen"/>
          <w:lang w:val="ka-GE"/>
        </w:rPr>
        <w:t>ეროზიისა</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გაფანტვისგან</w:t>
      </w:r>
      <w:r w:rsidRPr="00CD64B5">
        <w:rPr>
          <w:lang w:val="ka-GE"/>
        </w:rPr>
        <w:t xml:space="preserve"> </w:t>
      </w:r>
      <w:r w:rsidRPr="00CD64B5">
        <w:rPr>
          <w:rFonts w:ascii="Sylfaen" w:hAnsi="Sylfaen" w:cs="Sylfaen"/>
          <w:lang w:val="ka-GE"/>
        </w:rPr>
        <w:t>მათი</w:t>
      </w:r>
      <w:r w:rsidRPr="00CD64B5">
        <w:rPr>
          <w:lang w:val="ka-GE"/>
        </w:rPr>
        <w:t xml:space="preserve"> </w:t>
      </w:r>
      <w:r w:rsidRPr="00CD64B5">
        <w:rPr>
          <w:rFonts w:ascii="Sylfaen" w:hAnsi="Sylfaen" w:cs="Sylfaen"/>
          <w:lang w:val="ka-GE"/>
        </w:rPr>
        <w:lastRenderedPageBreak/>
        <w:t>დაცვის</w:t>
      </w:r>
      <w:r w:rsidRPr="00CD64B5">
        <w:rPr>
          <w:lang w:val="ka-GE"/>
        </w:rPr>
        <w:t xml:space="preserve"> </w:t>
      </w:r>
      <w:r w:rsidRPr="00CD64B5">
        <w:rPr>
          <w:rFonts w:ascii="Sylfaen" w:hAnsi="Sylfaen" w:cs="Sylfaen"/>
          <w:lang w:val="ka-GE"/>
        </w:rPr>
        <w:t>მიზნით</w:t>
      </w:r>
      <w:r w:rsidRPr="00CD64B5">
        <w:rPr>
          <w:lang w:val="ka-GE"/>
        </w:rPr>
        <w:t xml:space="preserve">; </w:t>
      </w:r>
      <w:r w:rsidRPr="00CD64B5">
        <w:rPr>
          <w:rFonts w:ascii="Sylfaen" w:hAnsi="Sylfaen" w:cs="Sylfaen"/>
          <w:lang w:val="ka-GE"/>
        </w:rPr>
        <w:t>სამშენებლო</w:t>
      </w:r>
      <w:r w:rsidRPr="00CD64B5">
        <w:rPr>
          <w:lang w:val="ka-GE"/>
        </w:rPr>
        <w:t xml:space="preserve"> </w:t>
      </w:r>
      <w:r w:rsidRPr="00CD64B5">
        <w:rPr>
          <w:rFonts w:ascii="Sylfaen" w:hAnsi="Sylfaen" w:cs="Sylfaen"/>
          <w:lang w:val="ka-GE"/>
        </w:rPr>
        <w:t>მასალების</w:t>
      </w:r>
      <w:r w:rsidRPr="00CD64B5">
        <w:rPr>
          <w:lang w:val="ka-GE"/>
        </w:rPr>
        <w:t xml:space="preserve"> </w:t>
      </w:r>
      <w:r w:rsidRPr="00CD64B5">
        <w:rPr>
          <w:rFonts w:ascii="Sylfaen" w:hAnsi="Sylfaen" w:cs="Sylfaen"/>
          <w:lang w:val="ka-GE"/>
        </w:rPr>
        <w:t>მზიდი</w:t>
      </w:r>
      <w:r w:rsidRPr="00CD64B5">
        <w:rPr>
          <w:lang w:val="ka-GE"/>
        </w:rPr>
        <w:t xml:space="preserve"> </w:t>
      </w:r>
      <w:r w:rsidRPr="00CD64B5">
        <w:rPr>
          <w:rFonts w:ascii="Sylfaen" w:hAnsi="Sylfaen" w:cs="Sylfaen"/>
          <w:lang w:val="ka-GE"/>
        </w:rPr>
        <w:t>სატვირთო</w:t>
      </w:r>
      <w:r w:rsidRPr="00CD64B5">
        <w:rPr>
          <w:lang w:val="ka-GE"/>
        </w:rPr>
        <w:t xml:space="preserve"> </w:t>
      </w:r>
      <w:r w:rsidRPr="00CD64B5">
        <w:rPr>
          <w:rFonts w:ascii="Sylfaen" w:hAnsi="Sylfaen" w:cs="Sylfaen"/>
          <w:lang w:val="ka-GE"/>
        </w:rPr>
        <w:t>მანქანების</w:t>
      </w:r>
      <w:r w:rsidRPr="00CD64B5">
        <w:rPr>
          <w:lang w:val="ka-GE"/>
        </w:rPr>
        <w:t xml:space="preserve"> </w:t>
      </w:r>
      <w:r w:rsidRPr="00CD64B5">
        <w:rPr>
          <w:rFonts w:ascii="Sylfaen" w:hAnsi="Sylfaen" w:cs="Sylfaen"/>
          <w:lang w:val="ka-GE"/>
        </w:rPr>
        <w:t>სიჩქარის</w:t>
      </w:r>
      <w:r w:rsidRPr="00CD64B5">
        <w:rPr>
          <w:lang w:val="ka-GE"/>
        </w:rPr>
        <w:t xml:space="preserve"> </w:t>
      </w:r>
      <w:r w:rsidRPr="00CD64B5">
        <w:rPr>
          <w:rFonts w:ascii="Sylfaen" w:hAnsi="Sylfaen" w:cs="Sylfaen"/>
          <w:lang w:val="ka-GE"/>
        </w:rPr>
        <w:t>შეზღუდვა</w:t>
      </w:r>
      <w:r w:rsidRPr="00CD64B5">
        <w:rPr>
          <w:lang w:val="ka-GE"/>
        </w:rPr>
        <w:t xml:space="preserve">, </w:t>
      </w:r>
      <w:r w:rsidRPr="00CD64B5">
        <w:rPr>
          <w:rFonts w:ascii="Sylfaen" w:hAnsi="Sylfaen" w:cs="Sylfaen"/>
          <w:lang w:val="ka-GE"/>
        </w:rPr>
        <w:t>ფხვიერი</w:t>
      </w:r>
      <w:r w:rsidRPr="00CD64B5">
        <w:rPr>
          <w:lang w:val="ka-GE"/>
        </w:rPr>
        <w:t xml:space="preserve"> </w:t>
      </w:r>
      <w:r w:rsidRPr="00CD64B5">
        <w:rPr>
          <w:rFonts w:ascii="Sylfaen" w:hAnsi="Sylfaen" w:cs="Sylfaen"/>
          <w:lang w:val="ka-GE"/>
        </w:rPr>
        <w:t>მასალის</w:t>
      </w:r>
      <w:r w:rsidRPr="00CD64B5">
        <w:rPr>
          <w:lang w:val="ka-GE"/>
        </w:rPr>
        <w:t xml:space="preserve"> </w:t>
      </w:r>
      <w:r w:rsidRPr="00CD64B5">
        <w:rPr>
          <w:rFonts w:ascii="Sylfaen" w:hAnsi="Sylfaen" w:cs="Sylfaen"/>
          <w:lang w:val="ka-GE"/>
        </w:rPr>
        <w:t>ტრანსპორტირებისას</w:t>
      </w:r>
      <w:r w:rsidRPr="00CD64B5">
        <w:rPr>
          <w:lang w:val="ka-GE"/>
        </w:rPr>
        <w:t xml:space="preserve"> </w:t>
      </w:r>
      <w:r w:rsidRPr="00CD64B5">
        <w:rPr>
          <w:rFonts w:ascii="Sylfaen" w:hAnsi="Sylfaen" w:cs="Sylfaen"/>
          <w:lang w:val="ka-GE"/>
        </w:rPr>
        <w:t>მისი</w:t>
      </w:r>
      <w:r w:rsidRPr="00CD64B5">
        <w:rPr>
          <w:lang w:val="ka-GE"/>
        </w:rPr>
        <w:t xml:space="preserve"> </w:t>
      </w:r>
      <w:r w:rsidRPr="00CD64B5">
        <w:rPr>
          <w:rFonts w:ascii="Sylfaen" w:hAnsi="Sylfaen" w:cs="Sylfaen"/>
          <w:lang w:val="ka-GE"/>
        </w:rPr>
        <w:t>ბრეზენტით</w:t>
      </w:r>
      <w:r w:rsidRPr="00CD64B5">
        <w:rPr>
          <w:lang w:val="ka-GE"/>
        </w:rPr>
        <w:t xml:space="preserve"> </w:t>
      </w:r>
      <w:r w:rsidRPr="00CD64B5">
        <w:rPr>
          <w:rFonts w:ascii="Sylfaen" w:hAnsi="Sylfaen" w:cs="Sylfaen"/>
          <w:lang w:val="ka-GE"/>
        </w:rPr>
        <w:t>დაფარვა</w:t>
      </w:r>
      <w:r w:rsidRPr="00CD64B5">
        <w:rPr>
          <w:lang w:val="ka-GE"/>
        </w:rPr>
        <w:t xml:space="preserve">, </w:t>
      </w:r>
      <w:r w:rsidRPr="00CD64B5">
        <w:rPr>
          <w:rFonts w:ascii="Sylfaen" w:hAnsi="Sylfaen" w:cs="Sylfaen"/>
          <w:lang w:val="ka-GE"/>
        </w:rPr>
        <w:t>დიდი</w:t>
      </w:r>
      <w:r w:rsidRPr="00CD64B5">
        <w:rPr>
          <w:lang w:val="ka-GE"/>
        </w:rPr>
        <w:t xml:space="preserve"> </w:t>
      </w:r>
      <w:r w:rsidRPr="00CD64B5">
        <w:rPr>
          <w:rFonts w:ascii="Sylfaen" w:hAnsi="Sylfaen" w:cs="Sylfaen"/>
          <w:lang w:val="ka-GE"/>
        </w:rPr>
        <w:t>სიმაღლიდან</w:t>
      </w:r>
      <w:r w:rsidRPr="00CD64B5">
        <w:rPr>
          <w:lang w:val="ka-GE"/>
        </w:rPr>
        <w:t xml:space="preserve"> </w:t>
      </w:r>
      <w:r w:rsidRPr="00CD64B5">
        <w:rPr>
          <w:rFonts w:ascii="Sylfaen" w:hAnsi="Sylfaen" w:cs="Sylfaen"/>
          <w:lang w:val="ka-GE"/>
        </w:rPr>
        <w:t>მასალის</w:t>
      </w:r>
      <w:r w:rsidRPr="00CD64B5">
        <w:rPr>
          <w:lang w:val="ka-GE"/>
        </w:rPr>
        <w:t xml:space="preserve"> </w:t>
      </w:r>
      <w:r w:rsidRPr="00CD64B5">
        <w:rPr>
          <w:rFonts w:ascii="Sylfaen" w:hAnsi="Sylfaen" w:cs="Sylfaen"/>
          <w:lang w:val="ka-GE"/>
        </w:rPr>
        <w:t>გადმოტვირთვის</w:t>
      </w:r>
      <w:r w:rsidRPr="00CD64B5">
        <w:rPr>
          <w:lang w:val="ka-GE"/>
        </w:rPr>
        <w:t xml:space="preserve"> </w:t>
      </w:r>
      <w:r w:rsidRPr="00CD64B5">
        <w:rPr>
          <w:rFonts w:ascii="Sylfaen" w:hAnsi="Sylfaen" w:cs="Sylfaen"/>
          <w:lang w:val="ka-GE"/>
        </w:rPr>
        <w:t>თავიდან</w:t>
      </w:r>
      <w:r w:rsidRPr="00CD64B5">
        <w:rPr>
          <w:lang w:val="ka-GE"/>
        </w:rPr>
        <w:t xml:space="preserve"> </w:t>
      </w:r>
      <w:r w:rsidRPr="00CD64B5">
        <w:rPr>
          <w:rFonts w:ascii="Sylfaen" w:hAnsi="Sylfaen" w:cs="Sylfaen"/>
          <w:lang w:val="ka-GE"/>
        </w:rPr>
        <w:t>აცილება</w:t>
      </w:r>
      <w:r w:rsidRPr="00CD64B5">
        <w:rPr>
          <w:lang w:val="ka-GE"/>
        </w:rPr>
        <w:t xml:space="preserve">. </w:t>
      </w:r>
      <w:r w:rsidRPr="00CD64B5">
        <w:rPr>
          <w:rFonts w:ascii="Sylfaen" w:hAnsi="Sylfaen" w:cs="Sylfaen"/>
          <w:lang w:val="ka-GE"/>
        </w:rPr>
        <w:t>საჭიროებისამებრ</w:t>
      </w:r>
      <w:r w:rsidRPr="00CD64B5">
        <w:rPr>
          <w:lang w:val="ka-GE"/>
        </w:rPr>
        <w:t xml:space="preserve">, </w:t>
      </w:r>
      <w:r w:rsidRPr="00CD64B5">
        <w:rPr>
          <w:rFonts w:ascii="Sylfaen" w:hAnsi="Sylfaen" w:cs="Sylfaen"/>
          <w:lang w:val="ka-GE"/>
        </w:rPr>
        <w:t>გრუნტის</w:t>
      </w:r>
      <w:r w:rsidRPr="00CD64B5">
        <w:rPr>
          <w:lang w:val="ka-GE"/>
        </w:rPr>
        <w:t xml:space="preserve"> </w:t>
      </w:r>
      <w:r w:rsidRPr="00CD64B5">
        <w:rPr>
          <w:rFonts w:ascii="Sylfaen" w:hAnsi="Sylfaen" w:cs="Sylfaen"/>
          <w:lang w:val="ka-GE"/>
        </w:rPr>
        <w:t>საფარიანი</w:t>
      </w:r>
      <w:r w:rsidRPr="00CD64B5">
        <w:rPr>
          <w:lang w:val="ka-GE"/>
        </w:rPr>
        <w:t xml:space="preserve"> </w:t>
      </w:r>
      <w:r w:rsidRPr="00CD64B5">
        <w:rPr>
          <w:rFonts w:ascii="Sylfaen" w:hAnsi="Sylfaen" w:cs="Sylfaen"/>
          <w:lang w:val="ka-GE"/>
        </w:rPr>
        <w:t>უბნების</w:t>
      </w:r>
      <w:r w:rsidRPr="00CD64B5">
        <w:rPr>
          <w:lang w:val="ka-GE"/>
        </w:rPr>
        <w:t xml:space="preserve"> (</w:t>
      </w:r>
      <w:r w:rsidRPr="00CD64B5">
        <w:rPr>
          <w:rFonts w:ascii="Sylfaen" w:hAnsi="Sylfaen" w:cs="Sylfaen"/>
          <w:lang w:val="ka-GE"/>
        </w:rPr>
        <w:t>საქმიანი</w:t>
      </w:r>
      <w:r w:rsidRPr="00CD64B5">
        <w:rPr>
          <w:lang w:val="ka-GE"/>
        </w:rPr>
        <w:t xml:space="preserve"> </w:t>
      </w:r>
      <w:r w:rsidRPr="00CD64B5">
        <w:rPr>
          <w:rFonts w:ascii="Sylfaen" w:hAnsi="Sylfaen" w:cs="Sylfaen"/>
          <w:lang w:val="ka-GE"/>
        </w:rPr>
        <w:t>ეზოს</w:t>
      </w:r>
      <w:r w:rsidRPr="00CD64B5">
        <w:rPr>
          <w:lang w:val="ka-GE"/>
        </w:rPr>
        <w:t xml:space="preserve">, </w:t>
      </w:r>
      <w:r w:rsidRPr="00CD64B5">
        <w:rPr>
          <w:rFonts w:ascii="Sylfaen" w:hAnsi="Sylfaen" w:cs="Sylfaen"/>
          <w:lang w:val="ka-GE"/>
        </w:rPr>
        <w:t>სამშენებლო</w:t>
      </w:r>
      <w:r w:rsidRPr="00CD64B5">
        <w:rPr>
          <w:lang w:val="ka-GE"/>
        </w:rPr>
        <w:t xml:space="preserve"> </w:t>
      </w:r>
      <w:r w:rsidRPr="00CD64B5">
        <w:rPr>
          <w:rFonts w:ascii="Sylfaen" w:hAnsi="Sylfaen" w:cs="Sylfaen"/>
          <w:lang w:val="ka-GE"/>
        </w:rPr>
        <w:t>ბანაკი</w:t>
      </w:r>
      <w:r w:rsidRPr="00CD64B5">
        <w:rPr>
          <w:lang w:val="ka-GE"/>
        </w:rPr>
        <w:t xml:space="preserve">) </w:t>
      </w:r>
      <w:r w:rsidRPr="00CD64B5">
        <w:rPr>
          <w:rFonts w:ascii="Sylfaen" w:hAnsi="Sylfaen" w:cs="Sylfaen"/>
          <w:lang w:val="ka-GE"/>
        </w:rPr>
        <w:t>მორწყვა</w:t>
      </w:r>
      <w:r w:rsidRPr="00CD64B5">
        <w:rPr>
          <w:lang w:val="ka-GE"/>
        </w:rPr>
        <w:t xml:space="preserve"> </w:t>
      </w:r>
      <w:r w:rsidRPr="00CD64B5">
        <w:rPr>
          <w:rFonts w:ascii="Sylfaen" w:hAnsi="Sylfaen" w:cs="Sylfaen"/>
          <w:lang w:val="ka-GE"/>
        </w:rPr>
        <w:t>მტვრის</w:t>
      </w:r>
      <w:r w:rsidRPr="00CD64B5">
        <w:rPr>
          <w:lang w:val="ka-GE"/>
        </w:rPr>
        <w:t xml:space="preserve"> </w:t>
      </w:r>
      <w:r w:rsidRPr="00CD64B5">
        <w:rPr>
          <w:rFonts w:ascii="Sylfaen" w:hAnsi="Sylfaen" w:cs="Sylfaen"/>
          <w:lang w:val="ka-GE"/>
        </w:rPr>
        <w:t>წარმოქმნის</w:t>
      </w:r>
      <w:r w:rsidRPr="00CD64B5">
        <w:rPr>
          <w:lang w:val="ka-GE"/>
        </w:rPr>
        <w:t xml:space="preserve"> </w:t>
      </w:r>
      <w:r w:rsidRPr="00CD64B5">
        <w:rPr>
          <w:rFonts w:ascii="Sylfaen" w:hAnsi="Sylfaen" w:cs="Sylfaen"/>
          <w:lang w:val="ka-GE"/>
        </w:rPr>
        <w:t>საწინააღმდეგოდ</w:t>
      </w:r>
      <w:r w:rsidRPr="00CD64B5">
        <w:rPr>
          <w:lang w:val="ka-GE"/>
        </w:rPr>
        <w:t>;</w:t>
      </w:r>
    </w:p>
    <w:p w14:paraId="151DE8AB" w14:textId="77777777" w:rsidR="00CD64B5" w:rsidRPr="00CD64B5" w:rsidRDefault="00CD64B5" w:rsidP="000E38C6">
      <w:pPr>
        <w:spacing w:before="120" w:after="120"/>
        <w:rPr>
          <w:lang w:val="ka-GE"/>
        </w:rPr>
      </w:pPr>
      <w:r w:rsidRPr="00CD64B5">
        <w:rPr>
          <w:rFonts w:ascii="Sylfaen" w:hAnsi="Sylfaen" w:cs="Sylfaen"/>
          <w:lang w:val="ka-GE"/>
        </w:rPr>
        <w:t>ექსკავირებული</w:t>
      </w:r>
      <w:r w:rsidRPr="00CD64B5">
        <w:rPr>
          <w:lang w:val="ka-GE"/>
        </w:rPr>
        <w:t xml:space="preserve"> </w:t>
      </w:r>
      <w:r w:rsidRPr="00CD64B5">
        <w:rPr>
          <w:rFonts w:ascii="Sylfaen" w:hAnsi="Sylfaen" w:cs="Sylfaen"/>
          <w:lang w:val="ka-GE"/>
        </w:rPr>
        <w:t>გრუნტის</w:t>
      </w:r>
      <w:r w:rsidRPr="00CD64B5">
        <w:rPr>
          <w:lang w:val="ka-GE"/>
        </w:rPr>
        <w:t xml:space="preserve"> </w:t>
      </w:r>
      <w:r w:rsidRPr="00CD64B5">
        <w:rPr>
          <w:rFonts w:ascii="Sylfaen" w:hAnsi="Sylfaen" w:cs="Sylfaen"/>
          <w:lang w:val="ka-GE"/>
        </w:rPr>
        <w:t>განთავსების</w:t>
      </w:r>
      <w:r w:rsidRPr="00CD64B5">
        <w:rPr>
          <w:lang w:val="ka-GE"/>
        </w:rPr>
        <w:t xml:space="preserve"> </w:t>
      </w:r>
      <w:r w:rsidRPr="00CD64B5">
        <w:rPr>
          <w:rFonts w:ascii="Sylfaen" w:hAnsi="Sylfaen" w:cs="Sylfaen"/>
          <w:lang w:val="ka-GE"/>
        </w:rPr>
        <w:t>ადგილის</w:t>
      </w:r>
      <w:r w:rsidRPr="00CD64B5">
        <w:rPr>
          <w:lang w:val="ka-GE"/>
        </w:rPr>
        <w:t xml:space="preserve"> </w:t>
      </w:r>
      <w:r w:rsidRPr="00CD64B5">
        <w:rPr>
          <w:rFonts w:ascii="Sylfaen" w:hAnsi="Sylfaen" w:cs="Sylfaen"/>
          <w:lang w:val="ka-GE"/>
        </w:rPr>
        <w:t>მოეწყობა</w:t>
      </w:r>
      <w:r w:rsidRPr="00CD64B5">
        <w:rPr>
          <w:lang w:val="ka-GE"/>
        </w:rPr>
        <w:t xml:space="preserve"> </w:t>
      </w:r>
      <w:r w:rsidRPr="00CD64B5">
        <w:rPr>
          <w:rFonts w:ascii="Sylfaen" w:hAnsi="Sylfaen" w:cs="Sylfaen"/>
          <w:lang w:val="ka-GE"/>
        </w:rPr>
        <w:t>მდინარის</w:t>
      </w:r>
      <w:r w:rsidRPr="00CD64B5">
        <w:rPr>
          <w:lang w:val="ka-GE"/>
        </w:rPr>
        <w:t xml:space="preserve"> </w:t>
      </w:r>
      <w:r w:rsidRPr="00CD64B5">
        <w:rPr>
          <w:rFonts w:ascii="Sylfaen" w:hAnsi="Sylfaen" w:cs="Sylfaen"/>
          <w:lang w:val="ka-GE"/>
        </w:rPr>
        <w:t>აქტიური</w:t>
      </w:r>
      <w:r w:rsidRPr="00CD64B5">
        <w:rPr>
          <w:lang w:val="ka-GE"/>
        </w:rPr>
        <w:t xml:space="preserve"> </w:t>
      </w:r>
      <w:r w:rsidRPr="00CD64B5">
        <w:rPr>
          <w:rFonts w:ascii="Sylfaen" w:hAnsi="Sylfaen" w:cs="Sylfaen"/>
          <w:lang w:val="ka-GE"/>
        </w:rPr>
        <w:t>კალაპოტიდან</w:t>
      </w:r>
      <w:r w:rsidRPr="00CD64B5">
        <w:rPr>
          <w:lang w:val="ka-GE"/>
        </w:rPr>
        <w:t xml:space="preserve"> </w:t>
      </w:r>
      <w:r w:rsidRPr="00CD64B5">
        <w:rPr>
          <w:rFonts w:ascii="Sylfaen" w:hAnsi="Sylfaen" w:cs="Sylfaen"/>
          <w:lang w:val="ka-GE"/>
        </w:rPr>
        <w:t>არანაკლებ</w:t>
      </w:r>
      <w:r w:rsidRPr="00CD64B5">
        <w:rPr>
          <w:lang w:val="ka-GE"/>
        </w:rPr>
        <w:t xml:space="preserve"> 100</w:t>
      </w:r>
      <w:r w:rsidRPr="00CD64B5">
        <w:rPr>
          <w:rFonts w:ascii="Sylfaen" w:hAnsi="Sylfaen" w:cs="Sylfaen"/>
          <w:lang w:val="ka-GE"/>
        </w:rPr>
        <w:t>მ</w:t>
      </w:r>
      <w:r w:rsidRPr="00CD64B5">
        <w:rPr>
          <w:lang w:val="ka-GE"/>
        </w:rPr>
        <w:t>-</w:t>
      </w:r>
      <w:r w:rsidRPr="00CD64B5">
        <w:rPr>
          <w:rFonts w:ascii="Sylfaen" w:hAnsi="Sylfaen" w:cs="Sylfaen"/>
          <w:lang w:val="ka-GE"/>
        </w:rPr>
        <w:t>ის</w:t>
      </w:r>
      <w:r w:rsidRPr="00CD64B5">
        <w:rPr>
          <w:lang w:val="ka-GE"/>
        </w:rPr>
        <w:t xml:space="preserve"> </w:t>
      </w:r>
      <w:r w:rsidRPr="00CD64B5">
        <w:rPr>
          <w:rFonts w:ascii="Sylfaen" w:hAnsi="Sylfaen" w:cs="Sylfaen"/>
          <w:lang w:val="ka-GE"/>
        </w:rPr>
        <w:t>დაშორებით</w:t>
      </w:r>
      <w:r w:rsidRPr="00CD64B5">
        <w:rPr>
          <w:lang w:val="ka-GE"/>
        </w:rPr>
        <w:t>;</w:t>
      </w:r>
    </w:p>
    <w:p w14:paraId="3773AE8E" w14:textId="77777777" w:rsidR="00CD64B5" w:rsidRPr="00CD64B5" w:rsidRDefault="00CD64B5" w:rsidP="000E38C6">
      <w:pPr>
        <w:spacing w:before="120" w:after="120"/>
        <w:rPr>
          <w:lang w:val="ka-GE"/>
        </w:rPr>
      </w:pPr>
      <w:r w:rsidRPr="00CD64B5">
        <w:rPr>
          <w:rFonts w:ascii="Sylfaen" w:hAnsi="Sylfaen" w:cs="Sylfaen"/>
          <w:lang w:val="ka-GE"/>
        </w:rPr>
        <w:t>განსაკუთრებული</w:t>
      </w:r>
      <w:r w:rsidRPr="00CD64B5">
        <w:rPr>
          <w:lang w:val="ka-GE"/>
        </w:rPr>
        <w:t xml:space="preserve"> </w:t>
      </w:r>
      <w:r w:rsidRPr="00CD64B5">
        <w:rPr>
          <w:rFonts w:ascii="Sylfaen" w:hAnsi="Sylfaen" w:cs="Sylfaen"/>
          <w:lang w:val="ka-GE"/>
        </w:rPr>
        <w:t>ყურადღება</w:t>
      </w:r>
      <w:r w:rsidRPr="00CD64B5">
        <w:rPr>
          <w:lang w:val="ka-GE"/>
        </w:rPr>
        <w:t xml:space="preserve"> </w:t>
      </w:r>
      <w:r w:rsidRPr="00CD64B5">
        <w:rPr>
          <w:rFonts w:ascii="Sylfaen" w:hAnsi="Sylfaen" w:cs="Sylfaen"/>
          <w:lang w:val="ka-GE"/>
        </w:rPr>
        <w:t>დაეთმობა</w:t>
      </w:r>
      <w:r w:rsidRPr="00CD64B5">
        <w:rPr>
          <w:lang w:val="ka-GE"/>
        </w:rPr>
        <w:t xml:space="preserve"> </w:t>
      </w:r>
      <w:r w:rsidRPr="00CD64B5">
        <w:rPr>
          <w:rFonts w:ascii="Sylfaen" w:hAnsi="Sylfaen" w:cs="Sylfaen"/>
          <w:lang w:val="ka-GE"/>
        </w:rPr>
        <w:t>მდინარის</w:t>
      </w:r>
      <w:r w:rsidRPr="00CD64B5">
        <w:rPr>
          <w:lang w:val="ka-GE"/>
        </w:rPr>
        <w:t xml:space="preserve"> </w:t>
      </w:r>
      <w:r w:rsidRPr="00CD64B5">
        <w:rPr>
          <w:rFonts w:ascii="Sylfaen" w:hAnsi="Sylfaen" w:cs="Sylfaen"/>
          <w:lang w:val="ka-GE"/>
        </w:rPr>
        <w:t>მახლობლად</w:t>
      </w:r>
      <w:r w:rsidRPr="00CD64B5">
        <w:rPr>
          <w:lang w:val="ka-GE"/>
        </w:rPr>
        <w:t xml:space="preserve">  </w:t>
      </w:r>
      <w:r w:rsidRPr="00CD64B5">
        <w:rPr>
          <w:rFonts w:ascii="Sylfaen" w:hAnsi="Sylfaen" w:cs="Sylfaen"/>
          <w:lang w:val="ka-GE"/>
        </w:rPr>
        <w:t>სამშენებლო</w:t>
      </w:r>
      <w:r w:rsidRPr="00CD64B5">
        <w:rPr>
          <w:lang w:val="ka-GE"/>
        </w:rPr>
        <w:t xml:space="preserve"> </w:t>
      </w:r>
      <w:r w:rsidRPr="00CD64B5">
        <w:rPr>
          <w:rFonts w:ascii="Sylfaen" w:hAnsi="Sylfaen" w:cs="Sylfaen"/>
          <w:lang w:val="ka-GE"/>
        </w:rPr>
        <w:t>სამუშაოების</w:t>
      </w:r>
      <w:r w:rsidRPr="00CD64B5">
        <w:rPr>
          <w:lang w:val="ka-GE"/>
        </w:rPr>
        <w:t xml:space="preserve"> </w:t>
      </w:r>
      <w:r w:rsidRPr="00CD64B5">
        <w:rPr>
          <w:rFonts w:ascii="Sylfaen" w:hAnsi="Sylfaen" w:cs="Sylfaen"/>
          <w:lang w:val="ka-GE"/>
        </w:rPr>
        <w:t>წარმოებისას</w:t>
      </w:r>
      <w:r w:rsidRPr="00CD64B5">
        <w:rPr>
          <w:lang w:val="ka-GE"/>
        </w:rPr>
        <w:t xml:space="preserve"> </w:t>
      </w:r>
      <w:r w:rsidRPr="00CD64B5">
        <w:rPr>
          <w:rFonts w:ascii="Sylfaen" w:hAnsi="Sylfaen" w:cs="Sylfaen"/>
          <w:lang w:val="ka-GE"/>
        </w:rPr>
        <w:t>გარემოსდაცვითი</w:t>
      </w:r>
      <w:r w:rsidRPr="00CD64B5">
        <w:rPr>
          <w:lang w:val="ka-GE"/>
        </w:rPr>
        <w:t xml:space="preserve"> </w:t>
      </w:r>
      <w:r w:rsidRPr="00CD64B5">
        <w:rPr>
          <w:rFonts w:ascii="Sylfaen" w:hAnsi="Sylfaen" w:cs="Sylfaen"/>
          <w:lang w:val="ka-GE"/>
        </w:rPr>
        <w:t>ღონისძიებების</w:t>
      </w:r>
      <w:r w:rsidRPr="00CD64B5">
        <w:rPr>
          <w:lang w:val="ka-GE"/>
        </w:rPr>
        <w:t xml:space="preserve"> </w:t>
      </w:r>
      <w:r w:rsidRPr="00CD64B5">
        <w:rPr>
          <w:rFonts w:ascii="Sylfaen" w:hAnsi="Sylfaen" w:cs="Sylfaen"/>
          <w:lang w:val="ka-GE"/>
        </w:rPr>
        <w:t>გატარებას</w:t>
      </w:r>
      <w:r w:rsidRPr="00CD64B5">
        <w:rPr>
          <w:lang w:val="ka-GE"/>
        </w:rPr>
        <w:t xml:space="preserve">. </w:t>
      </w:r>
      <w:r w:rsidRPr="00CD64B5">
        <w:rPr>
          <w:rFonts w:ascii="Sylfaen" w:hAnsi="Sylfaen" w:cs="Sylfaen"/>
          <w:lang w:val="ka-GE"/>
        </w:rPr>
        <w:t>საფრთხის</w:t>
      </w:r>
      <w:r w:rsidRPr="00CD64B5">
        <w:rPr>
          <w:lang w:val="ka-GE"/>
        </w:rPr>
        <w:t xml:space="preserve"> </w:t>
      </w:r>
      <w:r w:rsidRPr="00CD64B5">
        <w:rPr>
          <w:rFonts w:ascii="Sylfaen" w:hAnsi="Sylfaen" w:cs="Sylfaen"/>
          <w:lang w:val="ka-GE"/>
        </w:rPr>
        <w:t>შემცველი</w:t>
      </w:r>
      <w:r w:rsidRPr="00CD64B5">
        <w:rPr>
          <w:lang w:val="ka-GE"/>
        </w:rPr>
        <w:t xml:space="preserve"> </w:t>
      </w:r>
      <w:r w:rsidRPr="00CD64B5">
        <w:rPr>
          <w:rFonts w:ascii="Sylfaen" w:hAnsi="Sylfaen" w:cs="Sylfaen"/>
          <w:lang w:val="ka-GE"/>
        </w:rPr>
        <w:t>საქმიანობის</w:t>
      </w:r>
      <w:r w:rsidRPr="00CD64B5">
        <w:rPr>
          <w:lang w:val="ka-GE"/>
        </w:rPr>
        <w:t xml:space="preserve"> (</w:t>
      </w:r>
      <w:r w:rsidRPr="00CD64B5">
        <w:rPr>
          <w:rFonts w:ascii="Sylfaen" w:hAnsi="Sylfaen" w:cs="Sylfaen"/>
          <w:lang w:val="ka-GE"/>
        </w:rPr>
        <w:t>საწვავით</w:t>
      </w:r>
      <w:r w:rsidRPr="00CD64B5">
        <w:rPr>
          <w:lang w:val="ka-GE"/>
        </w:rPr>
        <w:t xml:space="preserve"> </w:t>
      </w:r>
      <w:r w:rsidRPr="00CD64B5">
        <w:rPr>
          <w:rFonts w:ascii="Sylfaen" w:hAnsi="Sylfaen" w:cs="Sylfaen"/>
          <w:lang w:val="ka-GE"/>
        </w:rPr>
        <w:t>გამართვა</w:t>
      </w:r>
      <w:r w:rsidRPr="00CD64B5">
        <w:rPr>
          <w:lang w:val="ka-GE"/>
        </w:rPr>
        <w:t xml:space="preserve">, </w:t>
      </w:r>
      <w:r w:rsidRPr="00CD64B5">
        <w:rPr>
          <w:rFonts w:ascii="Sylfaen" w:hAnsi="Sylfaen" w:cs="Sylfaen"/>
          <w:lang w:val="ka-GE"/>
        </w:rPr>
        <w:t>ავტომანქანების</w:t>
      </w:r>
      <w:r w:rsidRPr="00CD64B5">
        <w:rPr>
          <w:lang w:val="ka-GE"/>
        </w:rPr>
        <w:t>/</w:t>
      </w:r>
      <w:r w:rsidRPr="00CD64B5">
        <w:rPr>
          <w:rFonts w:ascii="Sylfaen" w:hAnsi="Sylfaen" w:cs="Sylfaen"/>
          <w:lang w:val="ka-GE"/>
        </w:rPr>
        <w:t>ტექნიკის</w:t>
      </w:r>
      <w:r w:rsidRPr="00CD64B5">
        <w:rPr>
          <w:lang w:val="ka-GE"/>
        </w:rPr>
        <w:t xml:space="preserve"> </w:t>
      </w:r>
      <w:r w:rsidRPr="00CD64B5">
        <w:rPr>
          <w:rFonts w:ascii="Sylfaen" w:hAnsi="Sylfaen" w:cs="Sylfaen"/>
          <w:lang w:val="ka-GE"/>
        </w:rPr>
        <w:t>მომსახურეობა</w:t>
      </w:r>
      <w:r w:rsidRPr="00CD64B5">
        <w:rPr>
          <w:lang w:val="ka-GE"/>
        </w:rPr>
        <w:t xml:space="preserve">) </w:t>
      </w:r>
      <w:r w:rsidRPr="00CD64B5">
        <w:rPr>
          <w:rFonts w:ascii="Sylfaen" w:hAnsi="Sylfaen" w:cs="Sylfaen"/>
          <w:lang w:val="ka-GE"/>
        </w:rPr>
        <w:t>მოხდება</w:t>
      </w:r>
      <w:r w:rsidRPr="00CD64B5">
        <w:rPr>
          <w:lang w:val="ka-GE"/>
        </w:rPr>
        <w:t xml:space="preserve"> </w:t>
      </w:r>
      <w:r w:rsidRPr="00CD64B5">
        <w:rPr>
          <w:rFonts w:ascii="Sylfaen" w:hAnsi="Sylfaen" w:cs="Sylfaen"/>
          <w:lang w:val="ka-GE"/>
        </w:rPr>
        <w:t>ტერიტორიის</w:t>
      </w:r>
      <w:r w:rsidRPr="00CD64B5">
        <w:rPr>
          <w:lang w:val="ka-GE"/>
        </w:rPr>
        <w:t xml:space="preserve"> </w:t>
      </w:r>
      <w:r w:rsidRPr="00CD64B5">
        <w:rPr>
          <w:rFonts w:ascii="Sylfaen" w:hAnsi="Sylfaen" w:cs="Sylfaen"/>
          <w:lang w:val="ka-GE"/>
        </w:rPr>
        <w:t>გარეთ</w:t>
      </w:r>
      <w:r w:rsidRPr="00CD64B5">
        <w:rPr>
          <w:lang w:val="ka-GE"/>
        </w:rPr>
        <w:t xml:space="preserve"> (</w:t>
      </w:r>
      <w:r w:rsidRPr="00CD64B5">
        <w:rPr>
          <w:rFonts w:ascii="Sylfaen" w:hAnsi="Sylfaen" w:cs="Sylfaen"/>
          <w:lang w:val="ka-GE"/>
        </w:rPr>
        <w:t>უპირატესობა</w:t>
      </w:r>
      <w:r w:rsidRPr="00CD64B5">
        <w:rPr>
          <w:lang w:val="ka-GE"/>
        </w:rPr>
        <w:t xml:space="preserve"> </w:t>
      </w:r>
      <w:r w:rsidRPr="00CD64B5">
        <w:rPr>
          <w:rFonts w:ascii="Sylfaen" w:hAnsi="Sylfaen" w:cs="Sylfaen"/>
          <w:lang w:val="ka-GE"/>
        </w:rPr>
        <w:t>მიენიჭება</w:t>
      </w:r>
      <w:r w:rsidRPr="00CD64B5">
        <w:rPr>
          <w:lang w:val="ka-GE"/>
        </w:rPr>
        <w:t xml:space="preserve"> </w:t>
      </w:r>
      <w:r w:rsidRPr="00CD64B5">
        <w:rPr>
          <w:rFonts w:ascii="Sylfaen" w:hAnsi="Sylfaen" w:cs="Sylfaen"/>
          <w:lang w:val="ka-GE"/>
        </w:rPr>
        <w:t>ტერიტორიის</w:t>
      </w:r>
      <w:r w:rsidRPr="00CD64B5">
        <w:rPr>
          <w:lang w:val="ka-GE"/>
        </w:rPr>
        <w:t xml:space="preserve"> </w:t>
      </w:r>
      <w:r w:rsidRPr="00CD64B5">
        <w:rPr>
          <w:rFonts w:ascii="Sylfaen" w:hAnsi="Sylfaen" w:cs="Sylfaen"/>
          <w:lang w:val="ka-GE"/>
        </w:rPr>
        <w:t>გარეთ</w:t>
      </w:r>
      <w:r w:rsidRPr="00CD64B5">
        <w:rPr>
          <w:lang w:val="ka-GE"/>
        </w:rPr>
        <w:t xml:space="preserve">, </w:t>
      </w:r>
      <w:r w:rsidRPr="00CD64B5">
        <w:rPr>
          <w:rFonts w:ascii="Sylfaen" w:hAnsi="Sylfaen" w:cs="Sylfaen"/>
          <w:lang w:val="ka-GE"/>
        </w:rPr>
        <w:t>კომერციულ</w:t>
      </w:r>
      <w:r w:rsidRPr="00CD64B5">
        <w:rPr>
          <w:lang w:val="ka-GE"/>
        </w:rPr>
        <w:t xml:space="preserve"> </w:t>
      </w:r>
      <w:r w:rsidRPr="00CD64B5">
        <w:rPr>
          <w:rFonts w:ascii="Sylfaen" w:hAnsi="Sylfaen" w:cs="Sylfaen"/>
          <w:lang w:val="ka-GE"/>
        </w:rPr>
        <w:t>ობიექტებზე</w:t>
      </w:r>
      <w:r w:rsidRPr="00CD64B5">
        <w:rPr>
          <w:lang w:val="ka-GE"/>
        </w:rPr>
        <w:t xml:space="preserve"> </w:t>
      </w:r>
      <w:r w:rsidRPr="00CD64B5">
        <w:rPr>
          <w:rFonts w:ascii="Sylfaen" w:hAnsi="Sylfaen" w:cs="Sylfaen"/>
          <w:lang w:val="ka-GE"/>
        </w:rPr>
        <w:t>გამართვას</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ტექმომსახურებას</w:t>
      </w:r>
      <w:r w:rsidRPr="00CD64B5">
        <w:rPr>
          <w:lang w:val="ka-GE"/>
        </w:rPr>
        <w:t xml:space="preserve">). </w:t>
      </w:r>
      <w:r w:rsidRPr="00CD64B5">
        <w:rPr>
          <w:rFonts w:ascii="Sylfaen" w:hAnsi="Sylfaen" w:cs="Sylfaen"/>
          <w:lang w:val="ka-GE"/>
        </w:rPr>
        <w:t>გადაუდებელი</w:t>
      </w:r>
      <w:r w:rsidRPr="00CD64B5">
        <w:rPr>
          <w:lang w:val="ka-GE"/>
        </w:rPr>
        <w:t xml:space="preserve"> </w:t>
      </w:r>
      <w:r w:rsidRPr="00CD64B5">
        <w:rPr>
          <w:rFonts w:ascii="Sylfaen" w:hAnsi="Sylfaen" w:cs="Sylfaen"/>
          <w:lang w:val="ka-GE"/>
        </w:rPr>
        <w:t>საჭიროების</w:t>
      </w:r>
      <w:r w:rsidRPr="00CD64B5">
        <w:rPr>
          <w:lang w:val="ka-GE"/>
        </w:rPr>
        <w:t xml:space="preserve"> </w:t>
      </w:r>
      <w:r w:rsidRPr="00CD64B5">
        <w:rPr>
          <w:rFonts w:ascii="Sylfaen" w:hAnsi="Sylfaen" w:cs="Sylfaen"/>
          <w:lang w:val="ka-GE"/>
        </w:rPr>
        <w:t>შემთხვევაში</w:t>
      </w:r>
      <w:r w:rsidRPr="00CD64B5">
        <w:rPr>
          <w:lang w:val="ka-GE"/>
        </w:rPr>
        <w:t xml:space="preserve"> </w:t>
      </w:r>
      <w:r w:rsidRPr="00CD64B5">
        <w:rPr>
          <w:rFonts w:ascii="Sylfaen" w:hAnsi="Sylfaen" w:cs="Sylfaen"/>
          <w:lang w:val="ka-GE"/>
        </w:rPr>
        <w:t>ამ</w:t>
      </w:r>
      <w:r w:rsidRPr="00CD64B5">
        <w:rPr>
          <w:lang w:val="ka-GE"/>
        </w:rPr>
        <w:t xml:space="preserve"> </w:t>
      </w:r>
      <w:r w:rsidRPr="00CD64B5">
        <w:rPr>
          <w:rFonts w:ascii="Sylfaen" w:hAnsi="Sylfaen" w:cs="Sylfaen"/>
          <w:lang w:val="ka-GE"/>
        </w:rPr>
        <w:t>მიზნისთვის</w:t>
      </w:r>
      <w:r w:rsidRPr="00CD64B5">
        <w:rPr>
          <w:lang w:val="ka-GE"/>
        </w:rPr>
        <w:t xml:space="preserve"> </w:t>
      </w:r>
      <w:r w:rsidRPr="00CD64B5">
        <w:rPr>
          <w:rFonts w:ascii="Sylfaen" w:hAnsi="Sylfaen" w:cs="Sylfaen"/>
          <w:lang w:val="ka-GE"/>
        </w:rPr>
        <w:t>გამოიყოფა</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სათანადოდ</w:t>
      </w:r>
      <w:r w:rsidRPr="00CD64B5">
        <w:rPr>
          <w:lang w:val="ka-GE"/>
        </w:rPr>
        <w:t xml:space="preserve"> </w:t>
      </w:r>
      <w:r w:rsidRPr="00CD64B5">
        <w:rPr>
          <w:rFonts w:ascii="Sylfaen" w:hAnsi="Sylfaen" w:cs="Sylfaen"/>
          <w:lang w:val="ka-GE"/>
        </w:rPr>
        <w:t>მოეწყობა</w:t>
      </w:r>
      <w:r w:rsidRPr="00CD64B5">
        <w:rPr>
          <w:lang w:val="ka-GE"/>
        </w:rPr>
        <w:t xml:space="preserve"> </w:t>
      </w:r>
      <w:r w:rsidRPr="00CD64B5">
        <w:rPr>
          <w:rFonts w:ascii="Sylfaen" w:hAnsi="Sylfaen" w:cs="Sylfaen"/>
          <w:lang w:val="ka-GE"/>
        </w:rPr>
        <w:t>მყარსაფარიანი</w:t>
      </w:r>
      <w:r w:rsidRPr="00CD64B5">
        <w:rPr>
          <w:lang w:val="ka-GE"/>
        </w:rPr>
        <w:t xml:space="preserve"> </w:t>
      </w:r>
      <w:r w:rsidRPr="00CD64B5">
        <w:rPr>
          <w:rFonts w:ascii="Sylfaen" w:hAnsi="Sylfaen" w:cs="Sylfaen"/>
          <w:lang w:val="ka-GE"/>
        </w:rPr>
        <w:t>მოედანი</w:t>
      </w:r>
      <w:r w:rsidRPr="00CD64B5">
        <w:rPr>
          <w:lang w:val="ka-GE"/>
        </w:rPr>
        <w:t xml:space="preserve"> (</w:t>
      </w:r>
      <w:r w:rsidRPr="00CD64B5">
        <w:rPr>
          <w:rFonts w:ascii="Sylfaen" w:hAnsi="Sylfaen" w:cs="Sylfaen"/>
          <w:lang w:val="ka-GE"/>
        </w:rPr>
        <w:t>ზედაპირული</w:t>
      </w:r>
      <w:r w:rsidRPr="00CD64B5">
        <w:rPr>
          <w:lang w:val="ka-GE"/>
        </w:rPr>
        <w:t xml:space="preserve"> </w:t>
      </w:r>
      <w:r w:rsidRPr="00CD64B5">
        <w:rPr>
          <w:rFonts w:ascii="Sylfaen" w:hAnsi="Sylfaen" w:cs="Sylfaen"/>
          <w:lang w:val="ka-GE"/>
        </w:rPr>
        <w:t>წყლის</w:t>
      </w:r>
      <w:r w:rsidRPr="00CD64B5">
        <w:rPr>
          <w:lang w:val="ka-GE"/>
        </w:rPr>
        <w:t xml:space="preserve"> </w:t>
      </w:r>
      <w:r w:rsidRPr="00CD64B5">
        <w:rPr>
          <w:rFonts w:ascii="Sylfaen" w:hAnsi="Sylfaen" w:cs="Sylfaen"/>
          <w:lang w:val="ka-GE"/>
        </w:rPr>
        <w:t>ობიექტიდან</w:t>
      </w:r>
      <w:r w:rsidRPr="00CD64B5">
        <w:rPr>
          <w:lang w:val="ka-GE"/>
        </w:rPr>
        <w:t xml:space="preserve"> </w:t>
      </w:r>
      <w:r w:rsidRPr="00CD64B5">
        <w:rPr>
          <w:rFonts w:ascii="Sylfaen" w:hAnsi="Sylfaen" w:cs="Sylfaen"/>
          <w:lang w:val="ka-GE"/>
        </w:rPr>
        <w:t>არა</w:t>
      </w:r>
      <w:r w:rsidRPr="00CD64B5">
        <w:rPr>
          <w:lang w:val="ka-GE"/>
        </w:rPr>
        <w:t xml:space="preserve"> </w:t>
      </w:r>
      <w:r w:rsidRPr="00CD64B5">
        <w:rPr>
          <w:rFonts w:ascii="Sylfaen" w:hAnsi="Sylfaen" w:cs="Sylfaen"/>
          <w:lang w:val="ka-GE"/>
        </w:rPr>
        <w:t>ნაკლებ</w:t>
      </w:r>
      <w:r w:rsidRPr="00CD64B5">
        <w:rPr>
          <w:lang w:val="ka-GE"/>
        </w:rPr>
        <w:t xml:space="preserve"> 100 </w:t>
      </w:r>
      <w:r w:rsidRPr="00CD64B5">
        <w:rPr>
          <w:rFonts w:ascii="Sylfaen" w:hAnsi="Sylfaen" w:cs="Sylfaen"/>
          <w:lang w:val="ka-GE"/>
        </w:rPr>
        <w:t>მ</w:t>
      </w:r>
      <w:r w:rsidRPr="00CD64B5">
        <w:rPr>
          <w:lang w:val="ka-GE"/>
        </w:rPr>
        <w:t>-</w:t>
      </w:r>
      <w:r w:rsidRPr="00CD64B5">
        <w:rPr>
          <w:rFonts w:ascii="Sylfaen" w:hAnsi="Sylfaen" w:cs="Sylfaen"/>
          <w:lang w:val="ka-GE"/>
        </w:rPr>
        <w:t>ის</w:t>
      </w:r>
      <w:r w:rsidRPr="00CD64B5">
        <w:rPr>
          <w:lang w:val="ka-GE"/>
        </w:rPr>
        <w:t xml:space="preserve"> </w:t>
      </w:r>
      <w:r w:rsidRPr="00CD64B5">
        <w:rPr>
          <w:rFonts w:ascii="Sylfaen" w:hAnsi="Sylfaen" w:cs="Sylfaen"/>
          <w:lang w:val="ka-GE"/>
        </w:rPr>
        <w:t>მანძილზე</w:t>
      </w:r>
      <w:r w:rsidRPr="00CD64B5">
        <w:rPr>
          <w:lang w:val="ka-GE"/>
        </w:rPr>
        <w:t xml:space="preserve"> </w:t>
      </w:r>
      <w:r w:rsidRPr="00CD64B5">
        <w:rPr>
          <w:rFonts w:ascii="Sylfaen" w:hAnsi="Sylfaen" w:cs="Sylfaen"/>
          <w:lang w:val="ka-GE"/>
        </w:rPr>
        <w:t>მოშორებით</w:t>
      </w:r>
      <w:r w:rsidRPr="00CD64B5">
        <w:rPr>
          <w:lang w:val="ka-GE"/>
        </w:rPr>
        <w:t xml:space="preserve">); </w:t>
      </w:r>
    </w:p>
    <w:p w14:paraId="6BFC4D88" w14:textId="77777777" w:rsidR="00CD64B5" w:rsidRPr="00CD64B5" w:rsidRDefault="00CD64B5" w:rsidP="000E38C6">
      <w:pPr>
        <w:spacing w:before="120" w:after="120"/>
        <w:rPr>
          <w:lang w:val="ka-GE"/>
        </w:rPr>
      </w:pPr>
      <w:r w:rsidRPr="00CD64B5">
        <w:rPr>
          <w:rFonts w:ascii="Sylfaen" w:hAnsi="Sylfaen" w:cs="Sylfaen"/>
          <w:lang w:val="ka-GE"/>
        </w:rPr>
        <w:t>უზრუნველყოფილი</w:t>
      </w:r>
      <w:r w:rsidRPr="00CD64B5">
        <w:rPr>
          <w:lang w:val="ka-GE"/>
        </w:rPr>
        <w:t xml:space="preserve"> </w:t>
      </w:r>
      <w:r w:rsidRPr="00CD64B5">
        <w:rPr>
          <w:rFonts w:ascii="Sylfaen" w:hAnsi="Sylfaen" w:cs="Sylfaen"/>
          <w:lang w:val="ka-GE"/>
        </w:rPr>
        <w:t>იქნება</w:t>
      </w:r>
      <w:r w:rsidRPr="00CD64B5">
        <w:rPr>
          <w:lang w:val="ka-GE"/>
        </w:rPr>
        <w:t xml:space="preserve"> </w:t>
      </w:r>
      <w:r w:rsidRPr="00CD64B5">
        <w:rPr>
          <w:rFonts w:ascii="Sylfaen" w:hAnsi="Sylfaen" w:cs="Sylfaen"/>
          <w:lang w:val="ka-GE"/>
        </w:rPr>
        <w:t>ნარჩენების</w:t>
      </w:r>
      <w:r w:rsidRPr="00CD64B5">
        <w:rPr>
          <w:lang w:val="ka-GE"/>
        </w:rPr>
        <w:t xml:space="preserve">, </w:t>
      </w:r>
      <w:r w:rsidRPr="00CD64B5">
        <w:rPr>
          <w:rFonts w:ascii="Sylfaen" w:hAnsi="Sylfaen" w:cs="Sylfaen"/>
          <w:lang w:val="ka-GE"/>
        </w:rPr>
        <w:t>მათ</w:t>
      </w:r>
      <w:r w:rsidRPr="00CD64B5">
        <w:rPr>
          <w:lang w:val="ka-GE"/>
        </w:rPr>
        <w:t xml:space="preserve"> </w:t>
      </w:r>
      <w:r w:rsidRPr="00CD64B5">
        <w:rPr>
          <w:rFonts w:ascii="Sylfaen" w:hAnsi="Sylfaen" w:cs="Sylfaen"/>
          <w:lang w:val="ka-GE"/>
        </w:rPr>
        <w:t>შორის</w:t>
      </w:r>
      <w:r w:rsidRPr="00CD64B5">
        <w:rPr>
          <w:lang w:val="ka-GE"/>
        </w:rPr>
        <w:t xml:space="preserve"> </w:t>
      </w:r>
      <w:r w:rsidRPr="00CD64B5">
        <w:rPr>
          <w:rFonts w:ascii="Sylfaen" w:hAnsi="Sylfaen" w:cs="Sylfaen"/>
          <w:lang w:val="ka-GE"/>
        </w:rPr>
        <w:t>საყოფაცხოვრებო</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სახიფათო</w:t>
      </w:r>
      <w:r w:rsidRPr="00CD64B5">
        <w:rPr>
          <w:lang w:val="ka-GE"/>
        </w:rPr>
        <w:t xml:space="preserve">, </w:t>
      </w:r>
      <w:r w:rsidRPr="00CD64B5">
        <w:rPr>
          <w:rFonts w:ascii="Sylfaen" w:hAnsi="Sylfaen" w:cs="Sylfaen"/>
          <w:lang w:val="ka-GE"/>
        </w:rPr>
        <w:t>სწორი</w:t>
      </w:r>
      <w:r w:rsidRPr="00CD64B5">
        <w:rPr>
          <w:lang w:val="ka-GE"/>
        </w:rPr>
        <w:t xml:space="preserve"> </w:t>
      </w:r>
      <w:r w:rsidRPr="00CD64B5">
        <w:rPr>
          <w:rFonts w:ascii="Sylfaen" w:hAnsi="Sylfaen" w:cs="Sylfaen"/>
          <w:lang w:val="ka-GE"/>
        </w:rPr>
        <w:t>მართვა</w:t>
      </w:r>
      <w:r w:rsidRPr="00CD64B5">
        <w:rPr>
          <w:lang w:val="ka-GE"/>
        </w:rPr>
        <w:t xml:space="preserve">, </w:t>
      </w:r>
      <w:r w:rsidRPr="00CD64B5">
        <w:rPr>
          <w:rFonts w:ascii="Sylfaen" w:hAnsi="Sylfaen" w:cs="Sylfaen"/>
          <w:lang w:val="ka-GE"/>
        </w:rPr>
        <w:t>რათა</w:t>
      </w:r>
      <w:r w:rsidRPr="00CD64B5">
        <w:rPr>
          <w:lang w:val="ka-GE"/>
        </w:rPr>
        <w:t xml:space="preserve"> </w:t>
      </w:r>
      <w:r w:rsidRPr="00CD64B5">
        <w:rPr>
          <w:rFonts w:ascii="Sylfaen" w:hAnsi="Sylfaen" w:cs="Sylfaen"/>
          <w:lang w:val="ka-GE"/>
        </w:rPr>
        <w:t>არ</w:t>
      </w:r>
      <w:r w:rsidRPr="00CD64B5">
        <w:rPr>
          <w:lang w:val="ka-GE"/>
        </w:rPr>
        <w:t xml:space="preserve"> </w:t>
      </w:r>
      <w:r w:rsidRPr="00CD64B5">
        <w:rPr>
          <w:rFonts w:ascii="Sylfaen" w:hAnsi="Sylfaen" w:cs="Sylfaen"/>
          <w:lang w:val="ka-GE"/>
        </w:rPr>
        <w:t>მოხდეს</w:t>
      </w:r>
      <w:r w:rsidRPr="00CD64B5">
        <w:rPr>
          <w:lang w:val="ka-GE"/>
        </w:rPr>
        <w:t xml:space="preserve"> </w:t>
      </w:r>
      <w:r w:rsidRPr="00CD64B5">
        <w:rPr>
          <w:rFonts w:ascii="Sylfaen" w:hAnsi="Sylfaen" w:cs="Sylfaen"/>
          <w:lang w:val="ka-GE"/>
        </w:rPr>
        <w:t>მათი</w:t>
      </w:r>
      <w:r w:rsidRPr="00CD64B5">
        <w:rPr>
          <w:lang w:val="ka-GE"/>
        </w:rPr>
        <w:t xml:space="preserve"> </w:t>
      </w:r>
      <w:r w:rsidRPr="00CD64B5">
        <w:rPr>
          <w:rFonts w:ascii="Sylfaen" w:hAnsi="Sylfaen" w:cs="Sylfaen"/>
          <w:lang w:val="ka-GE"/>
        </w:rPr>
        <w:t>გაფანტვა</w:t>
      </w:r>
      <w:r w:rsidRPr="00CD64B5">
        <w:rPr>
          <w:lang w:val="ka-GE"/>
        </w:rPr>
        <w:t xml:space="preserve"> </w:t>
      </w:r>
      <w:r w:rsidRPr="00CD64B5">
        <w:rPr>
          <w:rFonts w:ascii="Sylfaen" w:hAnsi="Sylfaen" w:cs="Sylfaen"/>
          <w:lang w:val="ka-GE"/>
        </w:rPr>
        <w:t>და</w:t>
      </w:r>
      <w:r w:rsidRPr="00CD64B5">
        <w:rPr>
          <w:lang w:val="ka-GE"/>
        </w:rPr>
        <w:t>/</w:t>
      </w:r>
      <w:r w:rsidRPr="00CD64B5">
        <w:rPr>
          <w:rFonts w:ascii="Sylfaen" w:hAnsi="Sylfaen" w:cs="Sylfaen"/>
          <w:lang w:val="ka-GE"/>
        </w:rPr>
        <w:t>ან</w:t>
      </w:r>
      <w:r w:rsidRPr="00CD64B5">
        <w:rPr>
          <w:lang w:val="ka-GE"/>
        </w:rPr>
        <w:t xml:space="preserve"> </w:t>
      </w:r>
      <w:r w:rsidRPr="00CD64B5">
        <w:rPr>
          <w:rFonts w:ascii="Sylfaen" w:hAnsi="Sylfaen" w:cs="Sylfaen"/>
          <w:lang w:val="ka-GE"/>
        </w:rPr>
        <w:t>მდინარეში</w:t>
      </w:r>
      <w:r w:rsidRPr="00CD64B5">
        <w:rPr>
          <w:lang w:val="ka-GE"/>
        </w:rPr>
        <w:t xml:space="preserve"> </w:t>
      </w:r>
      <w:r w:rsidRPr="00CD64B5">
        <w:rPr>
          <w:rFonts w:ascii="Sylfaen" w:hAnsi="Sylfaen" w:cs="Sylfaen"/>
          <w:lang w:val="ka-GE"/>
        </w:rPr>
        <w:t>მოხვედრა</w:t>
      </w:r>
      <w:r w:rsidRPr="00CD64B5">
        <w:rPr>
          <w:lang w:val="ka-GE"/>
        </w:rPr>
        <w:t xml:space="preserve">. </w:t>
      </w:r>
      <w:r w:rsidRPr="00CD64B5">
        <w:rPr>
          <w:rFonts w:ascii="Sylfaen" w:hAnsi="Sylfaen" w:cs="Sylfaen"/>
          <w:lang w:val="ka-GE"/>
        </w:rPr>
        <w:t>ნარჩენების</w:t>
      </w:r>
      <w:r w:rsidRPr="00CD64B5">
        <w:rPr>
          <w:lang w:val="ka-GE"/>
        </w:rPr>
        <w:t xml:space="preserve"> </w:t>
      </w:r>
      <w:r w:rsidRPr="00CD64B5">
        <w:rPr>
          <w:rFonts w:ascii="Sylfaen" w:hAnsi="Sylfaen" w:cs="Sylfaen"/>
          <w:lang w:val="ka-GE"/>
        </w:rPr>
        <w:t>დროებითი</w:t>
      </w:r>
      <w:r w:rsidRPr="00CD64B5">
        <w:rPr>
          <w:lang w:val="ka-GE"/>
        </w:rPr>
        <w:t xml:space="preserve"> </w:t>
      </w:r>
      <w:r w:rsidRPr="00CD64B5">
        <w:rPr>
          <w:rFonts w:ascii="Sylfaen" w:hAnsi="Sylfaen" w:cs="Sylfaen"/>
          <w:lang w:val="ka-GE"/>
        </w:rPr>
        <w:t>განთავსების</w:t>
      </w:r>
      <w:r w:rsidRPr="00CD64B5">
        <w:rPr>
          <w:lang w:val="ka-GE"/>
        </w:rPr>
        <w:t xml:space="preserve"> </w:t>
      </w:r>
      <w:r w:rsidRPr="00CD64B5">
        <w:rPr>
          <w:rFonts w:ascii="Sylfaen" w:hAnsi="Sylfaen" w:cs="Sylfaen"/>
          <w:lang w:val="ka-GE"/>
        </w:rPr>
        <w:t>უბანი</w:t>
      </w:r>
      <w:r w:rsidRPr="00CD64B5">
        <w:rPr>
          <w:lang w:val="ka-GE"/>
        </w:rPr>
        <w:t xml:space="preserve"> </w:t>
      </w:r>
      <w:r w:rsidRPr="00CD64B5">
        <w:rPr>
          <w:rFonts w:ascii="Sylfaen" w:hAnsi="Sylfaen" w:cs="Sylfaen"/>
          <w:lang w:val="ka-GE"/>
        </w:rPr>
        <w:t>ზედაპირული</w:t>
      </w:r>
      <w:r w:rsidRPr="00CD64B5">
        <w:rPr>
          <w:lang w:val="ka-GE"/>
        </w:rPr>
        <w:t xml:space="preserve"> </w:t>
      </w:r>
      <w:r w:rsidRPr="00CD64B5">
        <w:rPr>
          <w:rFonts w:ascii="Sylfaen" w:hAnsi="Sylfaen" w:cs="Sylfaen"/>
          <w:lang w:val="ka-GE"/>
        </w:rPr>
        <w:t>წყლის</w:t>
      </w:r>
      <w:r w:rsidRPr="00CD64B5">
        <w:rPr>
          <w:lang w:val="ka-GE"/>
        </w:rPr>
        <w:t xml:space="preserve"> </w:t>
      </w:r>
      <w:r w:rsidRPr="00CD64B5">
        <w:rPr>
          <w:rFonts w:ascii="Sylfaen" w:hAnsi="Sylfaen" w:cs="Sylfaen"/>
          <w:lang w:val="ka-GE"/>
        </w:rPr>
        <w:t>ობიექტიდან</w:t>
      </w:r>
      <w:r w:rsidRPr="00CD64B5">
        <w:rPr>
          <w:lang w:val="ka-GE"/>
        </w:rPr>
        <w:t xml:space="preserve"> </w:t>
      </w:r>
      <w:r w:rsidRPr="00CD64B5">
        <w:rPr>
          <w:rFonts w:ascii="Sylfaen" w:hAnsi="Sylfaen" w:cs="Sylfaen"/>
          <w:lang w:val="ka-GE"/>
        </w:rPr>
        <w:t>არა</w:t>
      </w:r>
      <w:r w:rsidRPr="00CD64B5">
        <w:rPr>
          <w:lang w:val="ka-GE"/>
        </w:rPr>
        <w:t xml:space="preserve"> </w:t>
      </w:r>
      <w:r w:rsidRPr="00CD64B5">
        <w:rPr>
          <w:rFonts w:ascii="Sylfaen" w:hAnsi="Sylfaen" w:cs="Sylfaen"/>
          <w:lang w:val="ka-GE"/>
        </w:rPr>
        <w:t>უმცირეს</w:t>
      </w:r>
      <w:r w:rsidRPr="00CD64B5">
        <w:rPr>
          <w:lang w:val="ka-GE"/>
        </w:rPr>
        <w:t xml:space="preserve"> 100 </w:t>
      </w:r>
      <w:r w:rsidRPr="00CD64B5">
        <w:rPr>
          <w:rFonts w:ascii="Sylfaen" w:hAnsi="Sylfaen" w:cs="Sylfaen"/>
          <w:lang w:val="ka-GE"/>
        </w:rPr>
        <w:t>მ</w:t>
      </w:r>
      <w:r w:rsidRPr="00CD64B5">
        <w:rPr>
          <w:lang w:val="ka-GE"/>
        </w:rPr>
        <w:t>-</w:t>
      </w:r>
      <w:r w:rsidRPr="00CD64B5">
        <w:rPr>
          <w:rFonts w:ascii="Sylfaen" w:hAnsi="Sylfaen" w:cs="Sylfaen"/>
          <w:lang w:val="ka-GE"/>
        </w:rPr>
        <w:t>ის</w:t>
      </w:r>
      <w:r w:rsidRPr="00CD64B5">
        <w:rPr>
          <w:lang w:val="ka-GE"/>
        </w:rPr>
        <w:t xml:space="preserve"> </w:t>
      </w:r>
      <w:r w:rsidRPr="00CD64B5">
        <w:rPr>
          <w:rFonts w:ascii="Sylfaen" w:hAnsi="Sylfaen" w:cs="Sylfaen"/>
          <w:lang w:val="ka-GE"/>
        </w:rPr>
        <w:t>მანძილზე</w:t>
      </w:r>
      <w:r w:rsidRPr="00CD64B5">
        <w:rPr>
          <w:lang w:val="ka-GE"/>
        </w:rPr>
        <w:t xml:space="preserve"> </w:t>
      </w:r>
      <w:r w:rsidRPr="00CD64B5">
        <w:rPr>
          <w:rFonts w:ascii="Sylfaen" w:hAnsi="Sylfaen" w:cs="Sylfaen"/>
          <w:lang w:val="ka-GE"/>
        </w:rPr>
        <w:t>იქნება</w:t>
      </w:r>
      <w:r w:rsidRPr="00CD64B5">
        <w:rPr>
          <w:lang w:val="ka-GE"/>
        </w:rPr>
        <w:t xml:space="preserve"> </w:t>
      </w:r>
      <w:r w:rsidRPr="00CD64B5">
        <w:rPr>
          <w:rFonts w:ascii="Sylfaen" w:hAnsi="Sylfaen" w:cs="Sylfaen"/>
          <w:lang w:val="ka-GE"/>
        </w:rPr>
        <w:t>განთავსებული</w:t>
      </w:r>
      <w:r w:rsidRPr="00CD64B5">
        <w:rPr>
          <w:lang w:val="ka-GE"/>
        </w:rPr>
        <w:t>;</w:t>
      </w:r>
    </w:p>
    <w:p w14:paraId="49375357" w14:textId="77777777" w:rsidR="00CD64B5" w:rsidRPr="00CD64B5" w:rsidRDefault="00CD64B5" w:rsidP="000E38C6">
      <w:pPr>
        <w:spacing w:before="120" w:after="120"/>
        <w:rPr>
          <w:lang w:val="ka-GE"/>
        </w:rPr>
      </w:pPr>
      <w:r w:rsidRPr="00CD64B5">
        <w:rPr>
          <w:rFonts w:ascii="Sylfaen" w:hAnsi="Sylfaen" w:cs="Sylfaen"/>
          <w:lang w:val="ka-GE"/>
        </w:rPr>
        <w:t>საწვავის</w:t>
      </w:r>
      <w:r w:rsidRPr="00CD64B5">
        <w:rPr>
          <w:lang w:val="ka-GE"/>
        </w:rPr>
        <w:t>/</w:t>
      </w:r>
      <w:r w:rsidRPr="00CD64B5">
        <w:rPr>
          <w:rFonts w:ascii="Sylfaen" w:hAnsi="Sylfaen" w:cs="Sylfaen"/>
          <w:lang w:val="ka-GE"/>
        </w:rPr>
        <w:t>ნავთობ</w:t>
      </w:r>
      <w:r w:rsidRPr="00CD64B5">
        <w:rPr>
          <w:lang w:val="ka-GE"/>
        </w:rPr>
        <w:t xml:space="preserve"> </w:t>
      </w:r>
      <w:r w:rsidRPr="00CD64B5">
        <w:rPr>
          <w:rFonts w:ascii="Sylfaen" w:hAnsi="Sylfaen" w:cs="Sylfaen"/>
          <w:lang w:val="ka-GE"/>
        </w:rPr>
        <w:t>პროდუქტების</w:t>
      </w:r>
      <w:r w:rsidRPr="00CD64B5">
        <w:rPr>
          <w:lang w:val="ka-GE"/>
        </w:rPr>
        <w:t xml:space="preserve"> </w:t>
      </w:r>
      <w:r w:rsidRPr="00CD64B5">
        <w:rPr>
          <w:rFonts w:ascii="Sylfaen" w:hAnsi="Sylfaen" w:cs="Sylfaen"/>
          <w:lang w:val="ka-GE"/>
        </w:rPr>
        <w:t>საცავის</w:t>
      </w:r>
      <w:r w:rsidRPr="00CD64B5">
        <w:rPr>
          <w:lang w:val="ka-GE"/>
        </w:rPr>
        <w:t xml:space="preserve">, </w:t>
      </w:r>
      <w:r w:rsidRPr="00CD64B5">
        <w:rPr>
          <w:rFonts w:ascii="Sylfaen" w:hAnsi="Sylfaen" w:cs="Sylfaen"/>
          <w:lang w:val="ka-GE"/>
        </w:rPr>
        <w:t>არსებობის</w:t>
      </w:r>
      <w:r w:rsidRPr="00CD64B5">
        <w:rPr>
          <w:lang w:val="ka-GE"/>
        </w:rPr>
        <w:t xml:space="preserve"> </w:t>
      </w:r>
      <w:r w:rsidRPr="00CD64B5">
        <w:rPr>
          <w:rFonts w:ascii="Sylfaen" w:hAnsi="Sylfaen" w:cs="Sylfaen"/>
          <w:lang w:val="ka-GE"/>
        </w:rPr>
        <w:t>შემთხვევაში</w:t>
      </w:r>
      <w:r w:rsidRPr="00CD64B5">
        <w:rPr>
          <w:lang w:val="ka-GE"/>
        </w:rPr>
        <w:t xml:space="preserve"> </w:t>
      </w:r>
      <w:r w:rsidRPr="00CD64B5">
        <w:rPr>
          <w:rFonts w:ascii="Sylfaen" w:hAnsi="Sylfaen" w:cs="Sylfaen"/>
          <w:lang w:val="ka-GE"/>
        </w:rPr>
        <w:t>ის</w:t>
      </w:r>
      <w:r w:rsidRPr="00CD64B5">
        <w:rPr>
          <w:lang w:val="ka-GE"/>
        </w:rPr>
        <w:t xml:space="preserve"> </w:t>
      </w:r>
      <w:r w:rsidRPr="00CD64B5">
        <w:rPr>
          <w:rFonts w:ascii="Sylfaen" w:hAnsi="Sylfaen" w:cs="Sylfaen"/>
          <w:lang w:val="ka-GE"/>
        </w:rPr>
        <w:t>აღიჭურვება</w:t>
      </w:r>
      <w:r w:rsidRPr="00CD64B5">
        <w:rPr>
          <w:lang w:val="ka-GE"/>
        </w:rPr>
        <w:t xml:space="preserve"> </w:t>
      </w:r>
      <w:r w:rsidRPr="00CD64B5">
        <w:rPr>
          <w:rFonts w:ascii="Sylfaen" w:hAnsi="Sylfaen" w:cs="Sylfaen"/>
          <w:lang w:val="ka-GE"/>
        </w:rPr>
        <w:t>მეორადი</w:t>
      </w:r>
      <w:r w:rsidRPr="00CD64B5">
        <w:rPr>
          <w:lang w:val="ka-GE"/>
        </w:rPr>
        <w:t xml:space="preserve"> </w:t>
      </w:r>
      <w:r w:rsidRPr="00CD64B5">
        <w:rPr>
          <w:rFonts w:ascii="Sylfaen" w:hAnsi="Sylfaen" w:cs="Sylfaen"/>
          <w:lang w:val="ka-GE"/>
        </w:rPr>
        <w:t>შემოღობვით</w:t>
      </w:r>
      <w:r w:rsidRPr="00CD64B5">
        <w:rPr>
          <w:lang w:val="ka-GE"/>
        </w:rPr>
        <w:t xml:space="preserve"> - </w:t>
      </w:r>
      <w:r w:rsidRPr="00CD64B5">
        <w:rPr>
          <w:rFonts w:ascii="Sylfaen" w:hAnsi="Sylfaen" w:cs="Sylfaen"/>
          <w:lang w:val="ka-GE"/>
        </w:rPr>
        <w:t>მოეწყობა</w:t>
      </w:r>
      <w:r w:rsidRPr="00CD64B5">
        <w:rPr>
          <w:lang w:val="ka-GE"/>
        </w:rPr>
        <w:t xml:space="preserve"> </w:t>
      </w:r>
      <w:r w:rsidRPr="00CD64B5">
        <w:rPr>
          <w:rFonts w:ascii="Sylfaen" w:hAnsi="Sylfaen" w:cs="Sylfaen"/>
          <w:lang w:val="ka-GE"/>
        </w:rPr>
        <w:t>გაუმტარი</w:t>
      </w:r>
      <w:r w:rsidRPr="00CD64B5">
        <w:rPr>
          <w:lang w:val="ka-GE"/>
        </w:rPr>
        <w:t xml:space="preserve"> </w:t>
      </w:r>
      <w:r w:rsidRPr="00CD64B5">
        <w:rPr>
          <w:rFonts w:ascii="Sylfaen" w:hAnsi="Sylfaen" w:cs="Sylfaen"/>
          <w:lang w:val="ka-GE"/>
        </w:rPr>
        <w:t>საფარი</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ტერიტორიის</w:t>
      </w:r>
      <w:r w:rsidRPr="00CD64B5">
        <w:rPr>
          <w:lang w:val="ka-GE"/>
        </w:rPr>
        <w:t xml:space="preserve"> </w:t>
      </w:r>
      <w:r w:rsidRPr="00CD64B5">
        <w:rPr>
          <w:rFonts w:ascii="Sylfaen" w:hAnsi="Sylfaen" w:cs="Sylfaen"/>
          <w:lang w:val="ka-GE"/>
        </w:rPr>
        <w:t>გაუმტარი</w:t>
      </w:r>
      <w:r w:rsidRPr="00CD64B5">
        <w:rPr>
          <w:lang w:val="ka-GE"/>
        </w:rPr>
        <w:t xml:space="preserve"> </w:t>
      </w:r>
      <w:r w:rsidRPr="00CD64B5">
        <w:rPr>
          <w:rFonts w:ascii="Sylfaen" w:hAnsi="Sylfaen" w:cs="Sylfaen"/>
          <w:lang w:val="ka-GE"/>
        </w:rPr>
        <w:t>შემოზვინვა</w:t>
      </w:r>
      <w:r w:rsidRPr="00CD64B5">
        <w:rPr>
          <w:lang w:val="ka-GE"/>
        </w:rPr>
        <w:t xml:space="preserve"> (</w:t>
      </w:r>
      <w:r w:rsidRPr="00CD64B5">
        <w:rPr>
          <w:rFonts w:ascii="Sylfaen" w:hAnsi="Sylfaen" w:cs="Sylfaen"/>
          <w:lang w:val="ka-GE"/>
        </w:rPr>
        <w:t>საცავის</w:t>
      </w:r>
      <w:r w:rsidRPr="00CD64B5">
        <w:rPr>
          <w:lang w:val="ka-GE"/>
        </w:rPr>
        <w:t xml:space="preserve"> </w:t>
      </w:r>
      <w:r w:rsidRPr="00CD64B5">
        <w:rPr>
          <w:rFonts w:ascii="Sylfaen" w:hAnsi="Sylfaen" w:cs="Sylfaen"/>
          <w:lang w:val="ka-GE"/>
        </w:rPr>
        <w:t>მოცულობის</w:t>
      </w:r>
      <w:r w:rsidRPr="00CD64B5">
        <w:rPr>
          <w:lang w:val="ka-GE"/>
        </w:rPr>
        <w:t xml:space="preserve"> </w:t>
      </w:r>
      <w:r w:rsidRPr="00CD64B5">
        <w:rPr>
          <w:rFonts w:ascii="Sylfaen" w:hAnsi="Sylfaen" w:cs="Sylfaen"/>
          <w:lang w:val="ka-GE"/>
        </w:rPr>
        <w:t>გათვალისწინებით</w:t>
      </w:r>
      <w:r w:rsidRPr="00CD64B5">
        <w:rPr>
          <w:lang w:val="ka-GE"/>
        </w:rPr>
        <w:t xml:space="preserve">) </w:t>
      </w:r>
      <w:r w:rsidRPr="00CD64B5">
        <w:rPr>
          <w:rFonts w:ascii="Sylfaen" w:hAnsi="Sylfaen" w:cs="Sylfaen"/>
          <w:lang w:val="ka-GE"/>
        </w:rPr>
        <w:t>ბერმის</w:t>
      </w:r>
      <w:r w:rsidRPr="00CD64B5">
        <w:rPr>
          <w:lang w:val="ka-GE"/>
        </w:rPr>
        <w:t xml:space="preserve"> </w:t>
      </w:r>
      <w:r w:rsidRPr="00CD64B5">
        <w:rPr>
          <w:rFonts w:ascii="Sylfaen" w:hAnsi="Sylfaen" w:cs="Sylfaen"/>
          <w:lang w:val="ka-GE"/>
        </w:rPr>
        <w:t>გარეთ</w:t>
      </w:r>
      <w:r w:rsidRPr="00CD64B5">
        <w:rPr>
          <w:lang w:val="ka-GE"/>
        </w:rPr>
        <w:t xml:space="preserve"> </w:t>
      </w:r>
      <w:r w:rsidRPr="00CD64B5">
        <w:rPr>
          <w:rFonts w:ascii="Sylfaen" w:hAnsi="Sylfaen" w:cs="Sylfaen"/>
          <w:lang w:val="ka-GE"/>
        </w:rPr>
        <w:t>ტერიტორიის</w:t>
      </w:r>
      <w:r w:rsidRPr="00CD64B5">
        <w:rPr>
          <w:lang w:val="ka-GE"/>
        </w:rPr>
        <w:t xml:space="preserve"> </w:t>
      </w:r>
      <w:r w:rsidRPr="00CD64B5">
        <w:rPr>
          <w:rFonts w:ascii="Sylfaen" w:hAnsi="Sylfaen" w:cs="Sylfaen"/>
          <w:lang w:val="ka-GE"/>
        </w:rPr>
        <w:t>დაბინძურების</w:t>
      </w:r>
      <w:r w:rsidRPr="00CD64B5">
        <w:rPr>
          <w:lang w:val="ka-GE"/>
        </w:rPr>
        <w:t xml:space="preserve"> </w:t>
      </w:r>
      <w:r w:rsidRPr="00CD64B5">
        <w:rPr>
          <w:rFonts w:ascii="Sylfaen" w:hAnsi="Sylfaen" w:cs="Sylfaen"/>
          <w:lang w:val="ka-GE"/>
        </w:rPr>
        <w:t>და</w:t>
      </w:r>
      <w:r w:rsidRPr="00CD64B5">
        <w:rPr>
          <w:lang w:val="ka-GE"/>
        </w:rPr>
        <w:t>/</w:t>
      </w:r>
      <w:r w:rsidRPr="00CD64B5">
        <w:rPr>
          <w:rFonts w:ascii="Sylfaen" w:hAnsi="Sylfaen" w:cs="Sylfaen"/>
          <w:lang w:val="ka-GE"/>
        </w:rPr>
        <w:t>ან</w:t>
      </w:r>
      <w:r w:rsidRPr="00CD64B5">
        <w:rPr>
          <w:lang w:val="ka-GE"/>
        </w:rPr>
        <w:t xml:space="preserve"> </w:t>
      </w:r>
      <w:r w:rsidRPr="00CD64B5">
        <w:rPr>
          <w:rFonts w:ascii="Sylfaen" w:hAnsi="Sylfaen" w:cs="Sylfaen"/>
          <w:lang w:val="ka-GE"/>
        </w:rPr>
        <w:t>ზედაპირული</w:t>
      </w:r>
      <w:r w:rsidRPr="00CD64B5">
        <w:rPr>
          <w:lang w:val="ka-GE"/>
        </w:rPr>
        <w:t xml:space="preserve"> </w:t>
      </w:r>
      <w:r w:rsidRPr="00CD64B5">
        <w:rPr>
          <w:rFonts w:ascii="Sylfaen" w:hAnsi="Sylfaen" w:cs="Sylfaen"/>
          <w:lang w:val="ka-GE"/>
        </w:rPr>
        <w:t>ჩამონადენით</w:t>
      </w:r>
      <w:r w:rsidRPr="00CD64B5">
        <w:rPr>
          <w:lang w:val="ka-GE"/>
        </w:rPr>
        <w:t xml:space="preserve"> </w:t>
      </w:r>
      <w:r w:rsidRPr="00CD64B5">
        <w:rPr>
          <w:rFonts w:ascii="Sylfaen" w:hAnsi="Sylfaen" w:cs="Sylfaen"/>
          <w:lang w:val="ka-GE"/>
        </w:rPr>
        <w:t>გადატანის</w:t>
      </w:r>
      <w:r w:rsidRPr="00CD64B5">
        <w:rPr>
          <w:lang w:val="ka-GE"/>
        </w:rPr>
        <w:t xml:space="preserve"> </w:t>
      </w:r>
      <w:r w:rsidRPr="00CD64B5">
        <w:rPr>
          <w:rFonts w:ascii="Sylfaen" w:hAnsi="Sylfaen" w:cs="Sylfaen"/>
          <w:lang w:val="ka-GE"/>
        </w:rPr>
        <w:t>თავიდან</w:t>
      </w:r>
      <w:r w:rsidRPr="00CD64B5">
        <w:rPr>
          <w:lang w:val="ka-GE"/>
        </w:rPr>
        <w:t xml:space="preserve"> </w:t>
      </w:r>
      <w:r w:rsidRPr="00CD64B5">
        <w:rPr>
          <w:rFonts w:ascii="Sylfaen" w:hAnsi="Sylfaen" w:cs="Sylfaen"/>
          <w:lang w:val="ka-GE"/>
        </w:rPr>
        <w:t>ასაცილებლად</w:t>
      </w:r>
      <w:r w:rsidRPr="00CD64B5">
        <w:rPr>
          <w:lang w:val="ka-GE"/>
        </w:rPr>
        <w:t>;</w:t>
      </w:r>
    </w:p>
    <w:p w14:paraId="6A851109" w14:textId="77777777" w:rsidR="00CD64B5" w:rsidRPr="00CD64B5" w:rsidRDefault="00CD64B5" w:rsidP="000E38C6">
      <w:pPr>
        <w:spacing w:before="120" w:after="120"/>
        <w:rPr>
          <w:lang w:val="ka-GE"/>
        </w:rPr>
      </w:pPr>
      <w:r w:rsidRPr="00CD64B5">
        <w:rPr>
          <w:rFonts w:ascii="Sylfaen" w:hAnsi="Sylfaen" w:cs="Sylfaen"/>
          <w:lang w:val="ka-GE"/>
        </w:rPr>
        <w:t>დაღვრის</w:t>
      </w:r>
      <w:r w:rsidRPr="00CD64B5">
        <w:rPr>
          <w:lang w:val="ka-GE"/>
        </w:rPr>
        <w:t xml:space="preserve"> </w:t>
      </w:r>
      <w:r w:rsidRPr="00CD64B5">
        <w:rPr>
          <w:rFonts w:ascii="Sylfaen" w:hAnsi="Sylfaen" w:cs="Sylfaen"/>
          <w:lang w:val="ka-GE"/>
        </w:rPr>
        <w:t>შემთხვევაში</w:t>
      </w:r>
      <w:r w:rsidRPr="00CD64B5">
        <w:rPr>
          <w:lang w:val="ka-GE"/>
        </w:rPr>
        <w:t xml:space="preserve"> </w:t>
      </w:r>
      <w:r w:rsidRPr="00CD64B5">
        <w:rPr>
          <w:rFonts w:ascii="Sylfaen" w:hAnsi="Sylfaen" w:cs="Sylfaen"/>
          <w:lang w:val="ka-GE"/>
        </w:rPr>
        <w:t>მოხდება</w:t>
      </w:r>
      <w:r w:rsidRPr="00CD64B5">
        <w:rPr>
          <w:lang w:val="ka-GE"/>
        </w:rPr>
        <w:t xml:space="preserve"> </w:t>
      </w:r>
      <w:r w:rsidRPr="00CD64B5">
        <w:rPr>
          <w:rFonts w:ascii="Sylfaen" w:hAnsi="Sylfaen" w:cs="Sylfaen"/>
          <w:lang w:val="ka-GE"/>
        </w:rPr>
        <w:t>დაბინძურების</w:t>
      </w:r>
      <w:r w:rsidRPr="00CD64B5">
        <w:rPr>
          <w:lang w:val="ka-GE"/>
        </w:rPr>
        <w:t xml:space="preserve"> </w:t>
      </w:r>
      <w:r w:rsidRPr="00CD64B5">
        <w:rPr>
          <w:rFonts w:ascii="Sylfaen" w:hAnsi="Sylfaen" w:cs="Sylfaen"/>
          <w:lang w:val="ka-GE"/>
        </w:rPr>
        <w:t>ლოკალიზაცია</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გაწმენდა</w:t>
      </w:r>
      <w:r w:rsidRPr="00CD64B5">
        <w:rPr>
          <w:lang w:val="ka-GE"/>
        </w:rPr>
        <w:t xml:space="preserve"> </w:t>
      </w:r>
      <w:r w:rsidRPr="00CD64B5">
        <w:rPr>
          <w:rFonts w:ascii="Sylfaen" w:hAnsi="Sylfaen" w:cs="Sylfaen"/>
          <w:lang w:val="ka-GE"/>
        </w:rPr>
        <w:t>დაბინძურების</w:t>
      </w:r>
      <w:r w:rsidRPr="00CD64B5">
        <w:rPr>
          <w:lang w:val="ka-GE"/>
        </w:rPr>
        <w:t xml:space="preserve"> </w:t>
      </w:r>
      <w:r w:rsidRPr="00CD64B5">
        <w:rPr>
          <w:rFonts w:ascii="Sylfaen" w:hAnsi="Sylfaen" w:cs="Sylfaen"/>
          <w:lang w:val="ka-GE"/>
        </w:rPr>
        <w:t>გავრცელების</w:t>
      </w:r>
      <w:r w:rsidRPr="00CD64B5">
        <w:rPr>
          <w:lang w:val="ka-GE"/>
        </w:rPr>
        <w:t xml:space="preserve"> </w:t>
      </w:r>
      <w:r w:rsidRPr="00CD64B5">
        <w:rPr>
          <w:rFonts w:ascii="Sylfaen" w:hAnsi="Sylfaen" w:cs="Sylfaen"/>
          <w:lang w:val="ka-GE"/>
        </w:rPr>
        <w:t>თავიდან</w:t>
      </w:r>
      <w:r w:rsidRPr="00CD64B5">
        <w:rPr>
          <w:lang w:val="ka-GE"/>
        </w:rPr>
        <w:t xml:space="preserve"> </w:t>
      </w:r>
      <w:r w:rsidRPr="00CD64B5">
        <w:rPr>
          <w:rFonts w:ascii="Sylfaen" w:hAnsi="Sylfaen" w:cs="Sylfaen"/>
          <w:lang w:val="ka-GE"/>
        </w:rPr>
        <w:t>ასაცილებლად</w:t>
      </w:r>
      <w:r w:rsidRPr="00CD64B5">
        <w:rPr>
          <w:lang w:val="ka-GE"/>
        </w:rPr>
        <w:t>;</w:t>
      </w:r>
    </w:p>
    <w:p w14:paraId="0DEB7DB5" w14:textId="77777777" w:rsidR="00CD64B5" w:rsidRPr="00CD64B5" w:rsidRDefault="00CD64B5" w:rsidP="000E38C6">
      <w:pPr>
        <w:spacing w:before="120" w:after="120"/>
        <w:rPr>
          <w:lang w:val="ka-GE" w:eastAsia="en-US"/>
        </w:rPr>
      </w:pPr>
      <w:r w:rsidRPr="00CD64B5">
        <w:rPr>
          <w:rFonts w:ascii="Sylfaen" w:hAnsi="Sylfaen" w:cs="Sylfaen"/>
          <w:lang w:val="ka-GE"/>
        </w:rPr>
        <w:t>თხრილების</w:t>
      </w:r>
      <w:r w:rsidRPr="00CD64B5">
        <w:rPr>
          <w:lang w:val="ka-GE"/>
        </w:rPr>
        <w:t xml:space="preserve"> </w:t>
      </w:r>
      <w:r w:rsidRPr="00CD64B5">
        <w:rPr>
          <w:rFonts w:ascii="Sylfaen" w:hAnsi="Sylfaen" w:cs="Sylfaen"/>
          <w:lang w:val="ka-GE"/>
        </w:rPr>
        <w:t>ან</w:t>
      </w:r>
      <w:r w:rsidRPr="00CD64B5">
        <w:rPr>
          <w:lang w:val="ka-GE"/>
        </w:rPr>
        <w:t xml:space="preserve"> </w:t>
      </w:r>
      <w:r w:rsidRPr="00CD64B5">
        <w:rPr>
          <w:rFonts w:ascii="Sylfaen" w:hAnsi="Sylfaen" w:cs="Sylfaen"/>
          <w:lang w:val="ka-GE"/>
        </w:rPr>
        <w:t>ორმოების</w:t>
      </w:r>
      <w:r w:rsidRPr="00CD64B5">
        <w:rPr>
          <w:lang w:val="ka-GE"/>
        </w:rPr>
        <w:t xml:space="preserve"> </w:t>
      </w:r>
      <w:r w:rsidRPr="00CD64B5">
        <w:rPr>
          <w:rFonts w:ascii="Sylfaen" w:hAnsi="Sylfaen" w:cs="Sylfaen"/>
          <w:lang w:val="ka-GE"/>
        </w:rPr>
        <w:t>შემოიღობება</w:t>
      </w:r>
      <w:r w:rsidRPr="00CD64B5">
        <w:rPr>
          <w:lang w:val="ka-GE"/>
        </w:rPr>
        <w:t xml:space="preserve"> </w:t>
      </w:r>
      <w:r w:rsidRPr="00CD64B5">
        <w:rPr>
          <w:rFonts w:ascii="Sylfaen" w:hAnsi="Sylfaen" w:cs="Sylfaen"/>
          <w:lang w:val="ka-GE"/>
        </w:rPr>
        <w:t>ცხოველების</w:t>
      </w:r>
      <w:r w:rsidRPr="00CD64B5">
        <w:rPr>
          <w:lang w:val="ka-GE"/>
        </w:rPr>
        <w:t xml:space="preserve"> </w:t>
      </w:r>
      <w:r w:rsidRPr="00CD64B5">
        <w:rPr>
          <w:rFonts w:ascii="Sylfaen" w:hAnsi="Sylfaen" w:cs="Sylfaen"/>
          <w:lang w:val="ka-GE"/>
        </w:rPr>
        <w:t>ჩავარდნის</w:t>
      </w:r>
      <w:r w:rsidRPr="00CD64B5">
        <w:rPr>
          <w:lang w:val="ka-GE"/>
        </w:rPr>
        <w:t>/</w:t>
      </w:r>
      <w:r w:rsidRPr="00CD64B5">
        <w:rPr>
          <w:rFonts w:ascii="Sylfaen" w:hAnsi="Sylfaen" w:cs="Sylfaen"/>
          <w:lang w:val="ka-GE"/>
        </w:rPr>
        <w:t>დაზიანებისგან</w:t>
      </w:r>
      <w:r w:rsidRPr="00CD64B5">
        <w:rPr>
          <w:lang w:val="ka-GE"/>
        </w:rPr>
        <w:t xml:space="preserve"> </w:t>
      </w:r>
      <w:r w:rsidRPr="00CD64B5">
        <w:rPr>
          <w:rFonts w:ascii="Sylfaen" w:hAnsi="Sylfaen" w:cs="Sylfaen"/>
          <w:lang w:val="ka-GE"/>
        </w:rPr>
        <w:t>დასაცავად</w:t>
      </w:r>
      <w:r w:rsidRPr="00CD64B5">
        <w:rPr>
          <w:lang w:val="ka-GE"/>
        </w:rPr>
        <w:t xml:space="preserve">. </w:t>
      </w:r>
      <w:r w:rsidRPr="00CD64B5">
        <w:rPr>
          <w:rFonts w:ascii="Sylfaen" w:hAnsi="Sylfaen" w:cs="Sylfaen"/>
          <w:lang w:val="ka-GE"/>
        </w:rPr>
        <w:t>დიდი</w:t>
      </w:r>
      <w:r w:rsidRPr="00CD64B5">
        <w:rPr>
          <w:lang w:val="ka-GE"/>
        </w:rPr>
        <w:t xml:space="preserve"> </w:t>
      </w:r>
      <w:r w:rsidRPr="00CD64B5">
        <w:rPr>
          <w:rFonts w:ascii="Sylfaen" w:hAnsi="Sylfaen" w:cs="Sylfaen"/>
          <w:lang w:val="ka-GE"/>
        </w:rPr>
        <w:t>ზომის</w:t>
      </w:r>
      <w:r w:rsidRPr="00CD64B5">
        <w:rPr>
          <w:lang w:val="ka-GE"/>
        </w:rPr>
        <w:t xml:space="preserve"> </w:t>
      </w:r>
      <w:r w:rsidRPr="00CD64B5">
        <w:rPr>
          <w:rFonts w:ascii="Sylfaen" w:hAnsi="Sylfaen" w:cs="Sylfaen"/>
          <w:lang w:val="ka-GE"/>
        </w:rPr>
        <w:t>ცხოველებისთვის</w:t>
      </w:r>
      <w:r w:rsidRPr="00CD64B5">
        <w:rPr>
          <w:lang w:val="ka-GE"/>
        </w:rPr>
        <w:t xml:space="preserve"> (</w:t>
      </w:r>
      <w:r w:rsidRPr="00CD64B5">
        <w:rPr>
          <w:rFonts w:ascii="Sylfaen" w:hAnsi="Sylfaen" w:cs="Sylfaen"/>
          <w:lang w:val="ka-GE"/>
        </w:rPr>
        <w:t>მსხვილფეხა</w:t>
      </w:r>
      <w:r w:rsidRPr="00CD64B5">
        <w:rPr>
          <w:lang w:val="ka-GE"/>
        </w:rPr>
        <w:t xml:space="preserve"> </w:t>
      </w:r>
      <w:r w:rsidRPr="00CD64B5">
        <w:rPr>
          <w:rFonts w:ascii="Sylfaen" w:hAnsi="Sylfaen" w:cs="Sylfaen"/>
          <w:lang w:val="ka-GE"/>
        </w:rPr>
        <w:t>საქონელი</w:t>
      </w:r>
      <w:r w:rsidRPr="00CD64B5">
        <w:rPr>
          <w:lang w:val="ka-GE"/>
        </w:rPr>
        <w:t xml:space="preserve">) </w:t>
      </w:r>
      <w:r w:rsidRPr="00CD64B5">
        <w:rPr>
          <w:rFonts w:ascii="Sylfaen" w:hAnsi="Sylfaen" w:cs="Sylfaen"/>
          <w:lang w:val="ka-GE"/>
        </w:rPr>
        <w:t>გამოყენებული</w:t>
      </w:r>
      <w:r w:rsidRPr="00CD64B5">
        <w:rPr>
          <w:lang w:val="ka-GE"/>
        </w:rPr>
        <w:t xml:space="preserve"> </w:t>
      </w:r>
      <w:r w:rsidRPr="00CD64B5">
        <w:rPr>
          <w:rFonts w:ascii="Sylfaen" w:hAnsi="Sylfaen" w:cs="Sylfaen"/>
          <w:lang w:val="ka-GE"/>
        </w:rPr>
        <w:t>იქნება</w:t>
      </w:r>
      <w:r w:rsidRPr="00CD64B5">
        <w:rPr>
          <w:lang w:val="ka-GE"/>
        </w:rPr>
        <w:t xml:space="preserve"> </w:t>
      </w:r>
      <w:r w:rsidRPr="00CD64B5">
        <w:rPr>
          <w:rFonts w:ascii="Sylfaen" w:hAnsi="Sylfaen" w:cs="Sylfaen"/>
          <w:lang w:val="ka-GE"/>
        </w:rPr>
        <w:t>მკვეთრი</w:t>
      </w:r>
      <w:r w:rsidRPr="00CD64B5">
        <w:rPr>
          <w:lang w:val="ka-GE"/>
        </w:rPr>
        <w:t xml:space="preserve"> </w:t>
      </w:r>
      <w:r w:rsidRPr="00CD64B5">
        <w:rPr>
          <w:rFonts w:ascii="Sylfaen" w:hAnsi="Sylfaen" w:cs="Sylfaen"/>
          <w:lang w:val="ka-GE"/>
        </w:rPr>
        <w:t>ფერის</w:t>
      </w:r>
      <w:r w:rsidRPr="00CD64B5">
        <w:rPr>
          <w:lang w:val="ka-GE"/>
        </w:rPr>
        <w:t xml:space="preserve"> </w:t>
      </w:r>
      <w:r w:rsidRPr="00CD64B5">
        <w:rPr>
          <w:rFonts w:ascii="Sylfaen" w:hAnsi="Sylfaen" w:cs="Sylfaen"/>
          <w:lang w:val="ka-GE"/>
        </w:rPr>
        <w:t>ლენტი</w:t>
      </w:r>
      <w:r w:rsidRPr="00CD64B5">
        <w:rPr>
          <w:lang w:val="ka-GE"/>
        </w:rPr>
        <w:t xml:space="preserve">, </w:t>
      </w:r>
      <w:r w:rsidRPr="00CD64B5">
        <w:rPr>
          <w:rFonts w:ascii="Sylfaen" w:hAnsi="Sylfaen" w:cs="Sylfaen"/>
          <w:lang w:val="ka-GE"/>
        </w:rPr>
        <w:t>მცირე</w:t>
      </w:r>
      <w:r w:rsidRPr="00CD64B5">
        <w:rPr>
          <w:lang w:val="ka-GE"/>
        </w:rPr>
        <w:t xml:space="preserve"> </w:t>
      </w:r>
      <w:r w:rsidRPr="00CD64B5">
        <w:rPr>
          <w:rFonts w:ascii="Sylfaen" w:hAnsi="Sylfaen" w:cs="Sylfaen"/>
          <w:lang w:val="ka-GE"/>
        </w:rPr>
        <w:t>ზომის</w:t>
      </w:r>
      <w:r w:rsidRPr="00CD64B5">
        <w:rPr>
          <w:lang w:val="ka-GE"/>
        </w:rPr>
        <w:t xml:space="preserve"> </w:t>
      </w:r>
      <w:r w:rsidRPr="00CD64B5">
        <w:rPr>
          <w:rFonts w:ascii="Sylfaen" w:hAnsi="Sylfaen" w:cs="Sylfaen"/>
          <w:lang w:val="ka-GE"/>
        </w:rPr>
        <w:t>ცხოველებისთვის</w:t>
      </w:r>
      <w:r w:rsidRPr="00CD64B5">
        <w:rPr>
          <w:lang w:val="ka-GE"/>
        </w:rPr>
        <w:t xml:space="preserve"> - </w:t>
      </w:r>
      <w:r w:rsidRPr="00CD64B5">
        <w:rPr>
          <w:rFonts w:ascii="Sylfaen" w:hAnsi="Sylfaen" w:cs="Sylfaen"/>
          <w:lang w:val="ka-GE"/>
        </w:rPr>
        <w:t>მეტალის</w:t>
      </w:r>
      <w:r w:rsidRPr="00CD64B5">
        <w:rPr>
          <w:lang w:val="ka-GE"/>
        </w:rPr>
        <w:t xml:space="preserve">, </w:t>
      </w:r>
      <w:r w:rsidRPr="00CD64B5">
        <w:rPr>
          <w:rFonts w:ascii="Sylfaen" w:hAnsi="Sylfaen" w:cs="Sylfaen"/>
          <w:lang w:val="ka-GE"/>
        </w:rPr>
        <w:t>პლასტიკის</w:t>
      </w:r>
      <w:r w:rsidRPr="00CD64B5">
        <w:rPr>
          <w:lang w:val="ka-GE"/>
        </w:rPr>
        <w:t xml:space="preserve"> </w:t>
      </w:r>
      <w:r w:rsidRPr="00CD64B5">
        <w:rPr>
          <w:rFonts w:ascii="Sylfaen" w:hAnsi="Sylfaen" w:cs="Sylfaen"/>
          <w:lang w:val="ka-GE"/>
        </w:rPr>
        <w:t>ან</w:t>
      </w:r>
      <w:r w:rsidRPr="00CD64B5">
        <w:rPr>
          <w:lang w:val="ka-GE"/>
        </w:rPr>
        <w:t xml:space="preserve"> </w:t>
      </w:r>
      <w:r w:rsidRPr="00CD64B5">
        <w:rPr>
          <w:rFonts w:ascii="Sylfaen" w:hAnsi="Sylfaen" w:cs="Sylfaen"/>
          <w:lang w:val="ka-GE"/>
        </w:rPr>
        <w:t>სხვა</w:t>
      </w:r>
      <w:r w:rsidRPr="00CD64B5">
        <w:rPr>
          <w:lang w:val="ka-GE"/>
        </w:rPr>
        <w:t xml:space="preserve"> </w:t>
      </w:r>
      <w:r w:rsidRPr="00CD64B5">
        <w:rPr>
          <w:rFonts w:ascii="Sylfaen" w:hAnsi="Sylfaen" w:cs="Sylfaen"/>
          <w:lang w:val="ka-GE"/>
        </w:rPr>
        <w:t>მასალის</w:t>
      </w:r>
      <w:r w:rsidRPr="00CD64B5">
        <w:rPr>
          <w:lang w:val="ka-GE"/>
        </w:rPr>
        <w:t xml:space="preserve"> </w:t>
      </w:r>
      <w:r w:rsidRPr="00CD64B5">
        <w:rPr>
          <w:rFonts w:ascii="Sylfaen" w:hAnsi="Sylfaen" w:cs="Sylfaen"/>
          <w:lang w:val="ka-GE"/>
        </w:rPr>
        <w:t>ფარები</w:t>
      </w:r>
      <w:r w:rsidRPr="00CD64B5">
        <w:rPr>
          <w:lang w:val="ka-GE"/>
        </w:rPr>
        <w:t>/</w:t>
      </w:r>
      <w:r w:rsidRPr="00CD64B5">
        <w:rPr>
          <w:rFonts w:ascii="Sylfaen" w:hAnsi="Sylfaen" w:cs="Sylfaen"/>
          <w:lang w:val="ka-GE"/>
        </w:rPr>
        <w:t>ღობა</w:t>
      </w:r>
      <w:r w:rsidRPr="00CD64B5">
        <w:rPr>
          <w:lang w:val="ka-GE"/>
        </w:rPr>
        <w:t xml:space="preserve">. </w:t>
      </w:r>
      <w:r w:rsidRPr="00CD64B5">
        <w:rPr>
          <w:rFonts w:ascii="Sylfaen" w:hAnsi="Sylfaen" w:cs="Sylfaen"/>
          <w:lang w:val="ka-GE"/>
        </w:rPr>
        <w:t>მიუხედავად</w:t>
      </w:r>
      <w:r w:rsidRPr="00CD64B5">
        <w:rPr>
          <w:lang w:val="ka-GE"/>
        </w:rPr>
        <w:t xml:space="preserve"> </w:t>
      </w:r>
      <w:r w:rsidRPr="00CD64B5">
        <w:rPr>
          <w:rFonts w:ascii="Sylfaen" w:hAnsi="Sylfaen" w:cs="Sylfaen"/>
          <w:lang w:val="ka-GE"/>
        </w:rPr>
        <w:t>ამ</w:t>
      </w:r>
      <w:r w:rsidRPr="00CD64B5">
        <w:rPr>
          <w:lang w:val="ka-GE"/>
        </w:rPr>
        <w:t xml:space="preserve"> </w:t>
      </w:r>
      <w:r w:rsidRPr="00CD64B5">
        <w:rPr>
          <w:rFonts w:ascii="Sylfaen" w:hAnsi="Sylfaen" w:cs="Sylfaen"/>
          <w:lang w:val="ka-GE"/>
        </w:rPr>
        <w:t>ღონისძიებისა</w:t>
      </w:r>
      <w:r w:rsidRPr="00CD64B5">
        <w:rPr>
          <w:lang w:val="ka-GE"/>
        </w:rPr>
        <w:t xml:space="preserve">, </w:t>
      </w:r>
      <w:r w:rsidRPr="00CD64B5">
        <w:rPr>
          <w:rFonts w:ascii="Sylfaen" w:hAnsi="Sylfaen" w:cs="Sylfaen"/>
          <w:lang w:val="ka-GE"/>
        </w:rPr>
        <w:t>სამუშაო</w:t>
      </w:r>
      <w:r w:rsidRPr="00CD64B5">
        <w:rPr>
          <w:lang w:val="ka-GE"/>
        </w:rPr>
        <w:t xml:space="preserve"> </w:t>
      </w:r>
      <w:r w:rsidRPr="00CD64B5">
        <w:rPr>
          <w:rFonts w:ascii="Sylfaen" w:hAnsi="Sylfaen" w:cs="Sylfaen"/>
          <w:lang w:val="ka-GE"/>
        </w:rPr>
        <w:t>ცვლის</w:t>
      </w:r>
      <w:r w:rsidRPr="00CD64B5">
        <w:rPr>
          <w:lang w:val="ka-GE"/>
        </w:rPr>
        <w:t xml:space="preserve"> </w:t>
      </w:r>
      <w:r w:rsidRPr="00CD64B5">
        <w:rPr>
          <w:rFonts w:ascii="Sylfaen" w:hAnsi="Sylfaen" w:cs="Sylfaen"/>
          <w:lang w:val="ka-GE"/>
        </w:rPr>
        <w:t>დასრულების</w:t>
      </w:r>
      <w:r w:rsidRPr="00CD64B5">
        <w:rPr>
          <w:lang w:val="ka-GE"/>
        </w:rPr>
        <w:t xml:space="preserve"> </w:t>
      </w:r>
      <w:r w:rsidRPr="00CD64B5">
        <w:rPr>
          <w:rFonts w:ascii="Sylfaen" w:hAnsi="Sylfaen" w:cs="Sylfaen"/>
          <w:lang w:val="ka-GE"/>
        </w:rPr>
        <w:t>შემდეგ</w:t>
      </w:r>
      <w:r w:rsidRPr="00CD64B5">
        <w:rPr>
          <w:lang w:val="ka-GE"/>
        </w:rPr>
        <w:t xml:space="preserve"> </w:t>
      </w:r>
      <w:r w:rsidRPr="00CD64B5">
        <w:rPr>
          <w:rFonts w:ascii="Sylfaen" w:hAnsi="Sylfaen" w:cs="Sylfaen"/>
          <w:lang w:val="ka-GE"/>
        </w:rPr>
        <w:t>თხრილში</w:t>
      </w:r>
      <w:r w:rsidRPr="00CD64B5">
        <w:rPr>
          <w:lang w:val="ka-GE"/>
        </w:rPr>
        <w:t xml:space="preserve"> </w:t>
      </w:r>
      <w:r w:rsidRPr="00CD64B5">
        <w:rPr>
          <w:rFonts w:ascii="Sylfaen" w:hAnsi="Sylfaen" w:cs="Sylfaen"/>
          <w:lang w:val="ka-GE"/>
        </w:rPr>
        <w:t>ჩაიდება</w:t>
      </w:r>
      <w:r w:rsidRPr="00CD64B5">
        <w:rPr>
          <w:lang w:val="ka-GE"/>
        </w:rPr>
        <w:t xml:space="preserve"> </w:t>
      </w:r>
      <w:r w:rsidRPr="00CD64B5">
        <w:rPr>
          <w:rFonts w:ascii="Sylfaen" w:hAnsi="Sylfaen" w:cs="Sylfaen"/>
          <w:lang w:val="ka-GE"/>
        </w:rPr>
        <w:t>ფიცრის</w:t>
      </w:r>
      <w:r w:rsidRPr="00CD64B5">
        <w:rPr>
          <w:lang w:val="ka-GE"/>
        </w:rPr>
        <w:t xml:space="preserve"> </w:t>
      </w:r>
      <w:r w:rsidRPr="00CD64B5">
        <w:rPr>
          <w:rFonts w:ascii="Sylfaen" w:hAnsi="Sylfaen" w:cs="Sylfaen"/>
          <w:lang w:val="ka-GE"/>
        </w:rPr>
        <w:t>ნატეხი</w:t>
      </w:r>
      <w:r w:rsidRPr="00CD64B5">
        <w:rPr>
          <w:lang w:val="ka-GE"/>
        </w:rPr>
        <w:t xml:space="preserve"> </w:t>
      </w:r>
      <w:r w:rsidRPr="00CD64B5">
        <w:rPr>
          <w:rFonts w:ascii="Sylfaen" w:hAnsi="Sylfaen" w:cs="Sylfaen"/>
          <w:lang w:val="ka-GE"/>
        </w:rPr>
        <w:t>ან</w:t>
      </w:r>
      <w:r w:rsidRPr="00CD64B5">
        <w:rPr>
          <w:lang w:val="ka-GE"/>
        </w:rPr>
        <w:t xml:space="preserve"> </w:t>
      </w:r>
      <w:r w:rsidRPr="00CD64B5">
        <w:rPr>
          <w:rFonts w:ascii="Sylfaen" w:hAnsi="Sylfaen" w:cs="Sylfaen"/>
          <w:lang w:val="ka-GE"/>
        </w:rPr>
        <w:t>ტოტები</w:t>
      </w:r>
      <w:r w:rsidRPr="00CD64B5">
        <w:rPr>
          <w:lang w:val="ka-GE"/>
        </w:rPr>
        <w:t xml:space="preserve"> </w:t>
      </w:r>
      <w:r w:rsidRPr="00CD64B5">
        <w:rPr>
          <w:rFonts w:ascii="Sylfaen" w:hAnsi="Sylfaen" w:cs="Sylfaen"/>
          <w:lang w:val="ka-GE"/>
        </w:rPr>
        <w:t>შემთხვევით</w:t>
      </w:r>
      <w:r w:rsidRPr="00CD64B5">
        <w:rPr>
          <w:lang w:val="ka-GE"/>
        </w:rPr>
        <w:t xml:space="preserve"> </w:t>
      </w:r>
      <w:r w:rsidRPr="00CD64B5">
        <w:rPr>
          <w:rFonts w:ascii="Sylfaen" w:hAnsi="Sylfaen" w:cs="Sylfaen"/>
          <w:lang w:val="ka-GE"/>
        </w:rPr>
        <w:t>ჩავარდნილი</w:t>
      </w:r>
      <w:r w:rsidRPr="00CD64B5">
        <w:rPr>
          <w:lang w:val="ka-GE"/>
        </w:rPr>
        <w:t xml:space="preserve"> </w:t>
      </w:r>
      <w:r w:rsidRPr="00CD64B5">
        <w:rPr>
          <w:rFonts w:ascii="Sylfaen" w:hAnsi="Sylfaen" w:cs="Sylfaen"/>
          <w:lang w:val="ka-GE"/>
        </w:rPr>
        <w:t>მცირე</w:t>
      </w:r>
      <w:r w:rsidRPr="00CD64B5">
        <w:rPr>
          <w:lang w:val="ka-GE"/>
        </w:rPr>
        <w:t xml:space="preserve"> </w:t>
      </w:r>
      <w:r w:rsidRPr="00CD64B5">
        <w:rPr>
          <w:rFonts w:ascii="Sylfaen" w:hAnsi="Sylfaen" w:cs="Sylfaen"/>
          <w:lang w:val="ka-GE"/>
        </w:rPr>
        <w:t>ზომის</w:t>
      </w:r>
      <w:r w:rsidRPr="00CD64B5">
        <w:rPr>
          <w:lang w:val="ka-GE"/>
        </w:rPr>
        <w:t xml:space="preserve"> </w:t>
      </w:r>
      <w:r w:rsidRPr="00CD64B5">
        <w:rPr>
          <w:rFonts w:ascii="Sylfaen" w:hAnsi="Sylfaen" w:cs="Sylfaen"/>
          <w:lang w:val="ka-GE"/>
        </w:rPr>
        <w:t>ცხოველისთვის</w:t>
      </w:r>
      <w:r w:rsidRPr="00CD64B5">
        <w:rPr>
          <w:lang w:val="ka-GE"/>
        </w:rPr>
        <w:t xml:space="preserve"> </w:t>
      </w:r>
      <w:r w:rsidRPr="00CD64B5">
        <w:rPr>
          <w:rFonts w:ascii="Sylfaen" w:hAnsi="Sylfaen" w:cs="Sylfaen"/>
          <w:lang w:val="ka-GE"/>
        </w:rPr>
        <w:t>ამოსვლის</w:t>
      </w:r>
      <w:r w:rsidRPr="00CD64B5">
        <w:rPr>
          <w:lang w:val="ka-GE"/>
        </w:rPr>
        <w:t xml:space="preserve"> </w:t>
      </w:r>
      <w:r w:rsidRPr="00CD64B5">
        <w:rPr>
          <w:rFonts w:ascii="Sylfaen" w:hAnsi="Sylfaen" w:cs="Sylfaen"/>
          <w:lang w:val="ka-GE"/>
        </w:rPr>
        <w:t>საშუალების</w:t>
      </w:r>
      <w:r w:rsidRPr="00CD64B5">
        <w:rPr>
          <w:lang w:val="ka-GE"/>
        </w:rPr>
        <w:t xml:space="preserve"> </w:t>
      </w:r>
      <w:r w:rsidRPr="00CD64B5">
        <w:rPr>
          <w:rFonts w:ascii="Sylfaen" w:hAnsi="Sylfaen" w:cs="Sylfaen"/>
          <w:lang w:val="ka-GE"/>
        </w:rPr>
        <w:t>მისაცემად</w:t>
      </w:r>
      <w:r w:rsidRPr="00CD64B5">
        <w:rPr>
          <w:lang w:val="ka-GE"/>
        </w:rPr>
        <w:t xml:space="preserve">. </w:t>
      </w:r>
    </w:p>
    <w:p w14:paraId="1E4250C3" w14:textId="77777777" w:rsidR="00CD64B5" w:rsidRPr="00CD64B5" w:rsidRDefault="00CD64B5" w:rsidP="000E38C6">
      <w:pPr>
        <w:spacing w:before="120" w:after="120"/>
        <w:rPr>
          <w:lang w:val="ka-GE"/>
        </w:rPr>
      </w:pPr>
      <w:r w:rsidRPr="00CD64B5">
        <w:rPr>
          <w:rFonts w:ascii="Sylfaen" w:hAnsi="Sylfaen" w:cs="Sylfaen"/>
          <w:lang w:val="ka-GE"/>
        </w:rPr>
        <w:t>გრუნტის</w:t>
      </w:r>
      <w:r w:rsidRPr="00CD64B5">
        <w:rPr>
          <w:lang w:val="ka-GE"/>
        </w:rPr>
        <w:t xml:space="preserve"> </w:t>
      </w:r>
      <w:r w:rsidRPr="00CD64B5">
        <w:rPr>
          <w:rFonts w:ascii="Sylfaen" w:hAnsi="Sylfaen" w:cs="Sylfaen"/>
          <w:lang w:val="ka-GE"/>
        </w:rPr>
        <w:t>უკუჩაყრამდე</w:t>
      </w:r>
      <w:r w:rsidRPr="00CD64B5">
        <w:rPr>
          <w:lang w:val="ka-GE"/>
        </w:rPr>
        <w:t xml:space="preserve"> </w:t>
      </w:r>
      <w:r w:rsidRPr="00CD64B5">
        <w:rPr>
          <w:rFonts w:ascii="Sylfaen" w:hAnsi="Sylfaen" w:cs="Sylfaen"/>
          <w:lang w:val="ka-GE"/>
        </w:rPr>
        <w:t>აუცილებლად</w:t>
      </w:r>
      <w:r w:rsidRPr="00CD64B5">
        <w:rPr>
          <w:lang w:val="ka-GE"/>
        </w:rPr>
        <w:t xml:space="preserve"> </w:t>
      </w:r>
      <w:r w:rsidRPr="00CD64B5">
        <w:rPr>
          <w:rFonts w:ascii="Sylfaen" w:hAnsi="Sylfaen" w:cs="Sylfaen"/>
          <w:lang w:val="ka-GE"/>
        </w:rPr>
        <w:t>მოხდება</w:t>
      </w:r>
      <w:r w:rsidRPr="00CD64B5">
        <w:rPr>
          <w:lang w:val="ka-GE"/>
        </w:rPr>
        <w:t xml:space="preserve"> </w:t>
      </w:r>
      <w:r w:rsidRPr="00CD64B5">
        <w:rPr>
          <w:rFonts w:ascii="Sylfaen" w:hAnsi="Sylfaen" w:cs="Sylfaen"/>
          <w:lang w:val="ka-GE"/>
        </w:rPr>
        <w:t>თხრილების</w:t>
      </w:r>
      <w:r w:rsidRPr="00CD64B5">
        <w:rPr>
          <w:lang w:val="ka-GE"/>
        </w:rPr>
        <w:t xml:space="preserve">  </w:t>
      </w:r>
      <w:r w:rsidRPr="00CD64B5">
        <w:rPr>
          <w:rFonts w:ascii="Sylfaen" w:hAnsi="Sylfaen" w:cs="Sylfaen"/>
          <w:lang w:val="ka-GE"/>
        </w:rPr>
        <w:t>დათვალიერება</w:t>
      </w:r>
      <w:r w:rsidRPr="00CD64B5">
        <w:rPr>
          <w:lang w:val="ka-GE"/>
        </w:rPr>
        <w:t xml:space="preserve">.  </w:t>
      </w:r>
    </w:p>
    <w:p w14:paraId="712111AB" w14:textId="77777777" w:rsidR="00CD64B5" w:rsidRPr="00CD64B5" w:rsidRDefault="00CD64B5" w:rsidP="000E38C6">
      <w:pPr>
        <w:spacing w:before="120" w:after="120"/>
        <w:rPr>
          <w:lang w:val="ka-GE" w:eastAsia="da-DK"/>
        </w:rPr>
      </w:pPr>
      <w:r w:rsidRPr="00CD64B5">
        <w:rPr>
          <w:rFonts w:ascii="Sylfaen" w:hAnsi="Sylfaen" w:cs="Sylfaen"/>
          <w:lang w:val="ka-GE"/>
        </w:rPr>
        <w:t>შემარბილებელი</w:t>
      </w:r>
      <w:r w:rsidRPr="00CD64B5">
        <w:rPr>
          <w:lang w:val="ka-GE"/>
        </w:rPr>
        <w:t xml:space="preserve"> </w:t>
      </w:r>
      <w:r w:rsidRPr="00CD64B5">
        <w:rPr>
          <w:rFonts w:ascii="Sylfaen" w:hAnsi="Sylfaen" w:cs="Sylfaen"/>
          <w:lang w:val="ka-GE"/>
        </w:rPr>
        <w:t>ღონისძიებების</w:t>
      </w:r>
      <w:r w:rsidRPr="00CD64B5">
        <w:rPr>
          <w:lang w:val="ka-GE"/>
        </w:rPr>
        <w:t xml:space="preserve">  </w:t>
      </w:r>
      <w:r w:rsidRPr="00CD64B5">
        <w:rPr>
          <w:rFonts w:ascii="Sylfaen" w:hAnsi="Sylfaen" w:cs="Sylfaen"/>
          <w:lang w:val="ka-GE"/>
        </w:rPr>
        <w:t>შესრულების</w:t>
      </w:r>
      <w:r w:rsidRPr="00CD64B5">
        <w:rPr>
          <w:lang w:val="ka-GE"/>
        </w:rPr>
        <w:t xml:space="preserve"> </w:t>
      </w:r>
      <w:r w:rsidRPr="00CD64B5">
        <w:rPr>
          <w:rFonts w:ascii="Sylfaen" w:hAnsi="Sylfaen" w:cs="Sylfaen"/>
          <w:lang w:val="ka-GE"/>
        </w:rPr>
        <w:t>უზრუნველყოფა</w:t>
      </w:r>
      <w:r w:rsidRPr="00CD64B5">
        <w:rPr>
          <w:lang w:val="ka-GE"/>
        </w:rPr>
        <w:t xml:space="preserve"> </w:t>
      </w:r>
      <w:r w:rsidRPr="00CD64B5">
        <w:rPr>
          <w:rFonts w:ascii="Sylfaen" w:hAnsi="Sylfaen" w:cs="Sylfaen"/>
          <w:lang w:val="ka-GE"/>
        </w:rPr>
        <w:t>საავტომობილო</w:t>
      </w:r>
      <w:r w:rsidRPr="00CD64B5">
        <w:rPr>
          <w:lang w:val="ka-GE"/>
        </w:rPr>
        <w:t xml:space="preserve"> </w:t>
      </w:r>
      <w:r w:rsidRPr="00CD64B5">
        <w:rPr>
          <w:rFonts w:ascii="Sylfaen" w:hAnsi="Sylfaen" w:cs="Sylfaen"/>
          <w:lang w:val="ka-GE"/>
        </w:rPr>
        <w:t>გზების</w:t>
      </w:r>
      <w:r w:rsidRPr="00CD64B5">
        <w:rPr>
          <w:lang w:val="ka-GE"/>
        </w:rPr>
        <w:t xml:space="preserve"> </w:t>
      </w:r>
      <w:r w:rsidRPr="00CD64B5">
        <w:rPr>
          <w:rFonts w:ascii="Sylfaen" w:hAnsi="Sylfaen" w:cs="Sylfaen"/>
          <w:lang w:val="ka-GE"/>
        </w:rPr>
        <w:t>დეპარტამენტის</w:t>
      </w:r>
      <w:r w:rsidRPr="00CD64B5">
        <w:rPr>
          <w:lang w:val="ka-GE"/>
        </w:rPr>
        <w:t xml:space="preserve"> </w:t>
      </w:r>
      <w:r w:rsidRPr="00CD64B5">
        <w:rPr>
          <w:rFonts w:ascii="Sylfaen" w:hAnsi="Sylfaen" w:cs="Sylfaen"/>
          <w:lang w:val="ka-GE"/>
        </w:rPr>
        <w:t>პასუხისმგებლობას</w:t>
      </w:r>
      <w:r w:rsidRPr="00CD64B5">
        <w:rPr>
          <w:lang w:val="ka-GE"/>
        </w:rPr>
        <w:t xml:space="preserve"> </w:t>
      </w:r>
      <w:r w:rsidRPr="00CD64B5">
        <w:rPr>
          <w:rFonts w:ascii="Sylfaen" w:hAnsi="Sylfaen" w:cs="Sylfaen"/>
          <w:lang w:val="ka-GE"/>
        </w:rPr>
        <w:t>წარმოადგენს</w:t>
      </w:r>
      <w:r w:rsidRPr="00CD64B5">
        <w:rPr>
          <w:lang w:val="ka-GE"/>
        </w:rPr>
        <w:t xml:space="preserve">.    </w:t>
      </w:r>
    </w:p>
    <w:p w14:paraId="1CAFBC3E" w14:textId="77777777" w:rsidR="00CD64B5" w:rsidRPr="00CD64B5" w:rsidRDefault="00CD64B5" w:rsidP="000E38C6">
      <w:pPr>
        <w:spacing w:before="120" w:after="120"/>
        <w:rPr>
          <w:lang w:val="ka-GE"/>
        </w:rPr>
      </w:pPr>
    </w:p>
    <w:p w14:paraId="1CD55863" w14:textId="77777777" w:rsidR="00CD64B5" w:rsidRPr="00CD64B5" w:rsidRDefault="00CD64B5" w:rsidP="000E38C6">
      <w:pPr>
        <w:spacing w:before="120" w:after="120"/>
        <w:rPr>
          <w:rFonts w:eastAsia="Calibri"/>
          <w:lang w:val="ka-GE"/>
        </w:rPr>
      </w:pPr>
    </w:p>
    <w:p w14:paraId="3FAC9AD7" w14:textId="77777777" w:rsidR="00CD64B5" w:rsidRPr="00CD64B5" w:rsidRDefault="00CD64B5" w:rsidP="000E38C6">
      <w:pPr>
        <w:pStyle w:val="Heading3"/>
        <w:rPr>
          <w:rFonts w:eastAsia="Calibri"/>
          <w:lang w:val="ka-GE"/>
        </w:rPr>
      </w:pPr>
      <w:bookmarkStart w:id="406" w:name="_Toc529977414"/>
      <w:bookmarkStart w:id="407" w:name="_Toc495314399"/>
      <w:bookmarkStart w:id="408" w:name="_Toc479166531"/>
      <w:bookmarkStart w:id="409" w:name="_Toc479164801"/>
      <w:bookmarkStart w:id="410" w:name="_Toc466046877"/>
      <w:bookmarkStart w:id="411" w:name="_Toc1581576"/>
      <w:bookmarkEnd w:id="399"/>
      <w:r w:rsidRPr="00CD64B5">
        <w:rPr>
          <w:lang w:val="ka-GE"/>
        </w:rPr>
        <w:t xml:space="preserve">7.7.2 </w:t>
      </w:r>
      <w:r w:rsidRPr="00CD64B5">
        <w:rPr>
          <w:rFonts w:ascii="Sylfaen" w:hAnsi="Sylfaen" w:cs="Sylfaen"/>
          <w:lang w:val="ka-GE"/>
        </w:rPr>
        <w:t>ცხოველთა</w:t>
      </w:r>
      <w:r w:rsidRPr="00CD64B5">
        <w:rPr>
          <w:lang w:val="ka-GE"/>
        </w:rPr>
        <w:t xml:space="preserve"> </w:t>
      </w:r>
      <w:r w:rsidRPr="00CD64B5">
        <w:rPr>
          <w:rFonts w:ascii="Sylfaen" w:hAnsi="Sylfaen" w:cs="Sylfaen"/>
          <w:lang w:val="ka-GE"/>
        </w:rPr>
        <w:t>სამყაროზე</w:t>
      </w:r>
      <w:r w:rsidRPr="00CD64B5">
        <w:rPr>
          <w:lang w:val="ka-GE"/>
        </w:rPr>
        <w:t xml:space="preserve"> </w:t>
      </w:r>
      <w:r w:rsidRPr="00CD64B5">
        <w:rPr>
          <w:rFonts w:ascii="Sylfaen" w:hAnsi="Sylfaen" w:cs="Sylfaen"/>
          <w:lang w:val="ka-GE"/>
        </w:rPr>
        <w:t>ზემოქმედება</w:t>
      </w:r>
      <w:r w:rsidRPr="00CD64B5">
        <w:rPr>
          <w:lang w:val="ka-GE"/>
        </w:rPr>
        <w:t xml:space="preserve"> </w:t>
      </w:r>
      <w:r w:rsidRPr="00CD64B5">
        <w:rPr>
          <w:rFonts w:ascii="Sylfaen" w:hAnsi="Sylfaen" w:cs="Sylfaen"/>
          <w:lang w:val="ka-GE"/>
        </w:rPr>
        <w:t>ექსპლუატაციის</w:t>
      </w:r>
      <w:r w:rsidRPr="00CD64B5">
        <w:rPr>
          <w:lang w:val="ka-GE"/>
        </w:rPr>
        <w:t xml:space="preserve"> </w:t>
      </w:r>
      <w:r w:rsidRPr="00CD64B5">
        <w:rPr>
          <w:rFonts w:ascii="Sylfaen" w:hAnsi="Sylfaen" w:cs="Sylfaen"/>
          <w:lang w:val="ka-GE"/>
        </w:rPr>
        <w:t>ეტაპზე</w:t>
      </w:r>
      <w:bookmarkEnd w:id="406"/>
      <w:bookmarkEnd w:id="407"/>
      <w:bookmarkEnd w:id="408"/>
      <w:bookmarkEnd w:id="409"/>
      <w:bookmarkEnd w:id="411"/>
    </w:p>
    <w:bookmarkEnd w:id="410"/>
    <w:p w14:paraId="5BBD11E1" w14:textId="77777777" w:rsidR="00CD64B5" w:rsidRPr="001352AB" w:rsidRDefault="00CD64B5" w:rsidP="000E38C6">
      <w:pPr>
        <w:spacing w:before="120" w:after="120"/>
        <w:rPr>
          <w:lang w:val="ka-GE" w:eastAsia="da-DK"/>
        </w:rPr>
      </w:pPr>
      <w:r w:rsidRPr="00CD64B5">
        <w:rPr>
          <w:rFonts w:ascii="Sylfaen" w:hAnsi="Sylfaen" w:cs="Sylfaen"/>
          <w:lang w:val="ka-GE"/>
        </w:rPr>
        <w:t>გზის</w:t>
      </w:r>
      <w:r w:rsidRPr="00CD64B5">
        <w:rPr>
          <w:lang w:val="ka-GE"/>
        </w:rPr>
        <w:t xml:space="preserve"> </w:t>
      </w:r>
      <w:r w:rsidRPr="00CD64B5">
        <w:rPr>
          <w:rFonts w:ascii="Sylfaen" w:hAnsi="Sylfaen" w:cs="Sylfaen"/>
          <w:lang w:val="ka-GE"/>
        </w:rPr>
        <w:t>ექსპლუატაციის</w:t>
      </w:r>
      <w:r w:rsidRPr="00CD64B5">
        <w:rPr>
          <w:lang w:val="ka-GE"/>
        </w:rPr>
        <w:t xml:space="preserve"> </w:t>
      </w:r>
      <w:r w:rsidRPr="00CD64B5">
        <w:rPr>
          <w:rFonts w:ascii="Sylfaen" w:hAnsi="Sylfaen" w:cs="Sylfaen"/>
          <w:lang w:val="ka-GE"/>
        </w:rPr>
        <w:t>ფაზაზე</w:t>
      </w:r>
      <w:r w:rsidRPr="00CD64B5">
        <w:rPr>
          <w:lang w:val="ka-GE"/>
        </w:rPr>
        <w:t xml:space="preserve"> </w:t>
      </w:r>
      <w:r w:rsidRPr="00CD64B5">
        <w:rPr>
          <w:rFonts w:ascii="Sylfaen" w:hAnsi="Sylfaen" w:cs="Sylfaen"/>
          <w:lang w:val="ka-GE"/>
        </w:rPr>
        <w:t>ფაუნაზე</w:t>
      </w:r>
      <w:r w:rsidRPr="00CD64B5">
        <w:rPr>
          <w:lang w:val="ka-GE"/>
        </w:rPr>
        <w:t xml:space="preserve"> </w:t>
      </w:r>
      <w:r w:rsidRPr="00CD64B5">
        <w:rPr>
          <w:rFonts w:ascii="Sylfaen" w:hAnsi="Sylfaen" w:cs="Sylfaen"/>
          <w:lang w:val="ka-GE"/>
        </w:rPr>
        <w:t>ზემოქმედება</w:t>
      </w:r>
      <w:r w:rsidRPr="00CD64B5">
        <w:rPr>
          <w:lang w:val="ka-GE"/>
        </w:rPr>
        <w:t xml:space="preserve"> </w:t>
      </w:r>
      <w:r w:rsidRPr="00CD64B5">
        <w:rPr>
          <w:rFonts w:ascii="Sylfaen" w:hAnsi="Sylfaen" w:cs="Sylfaen"/>
          <w:lang w:val="ka-GE"/>
        </w:rPr>
        <w:t>ძირითადად</w:t>
      </w:r>
      <w:r w:rsidRPr="00CD64B5">
        <w:rPr>
          <w:lang w:val="ka-GE"/>
        </w:rPr>
        <w:t xml:space="preserve"> </w:t>
      </w:r>
      <w:r w:rsidRPr="00CD64B5">
        <w:rPr>
          <w:rFonts w:ascii="Sylfaen" w:hAnsi="Sylfaen" w:cs="Sylfaen"/>
          <w:lang w:val="ka-GE"/>
        </w:rPr>
        <w:t>მოიცავს</w:t>
      </w:r>
      <w:r w:rsidRPr="00CD64B5">
        <w:rPr>
          <w:lang w:val="ka-GE"/>
        </w:rPr>
        <w:t>:</w:t>
      </w:r>
    </w:p>
    <w:p w14:paraId="7F63D487" w14:textId="77777777" w:rsidR="00CD64B5" w:rsidRPr="00CD64B5" w:rsidRDefault="00CD64B5" w:rsidP="000E38C6">
      <w:pPr>
        <w:spacing w:before="120" w:after="120"/>
        <w:rPr>
          <w:lang w:val="ka-GE"/>
        </w:rPr>
      </w:pPr>
      <w:r w:rsidRPr="00CD64B5">
        <w:rPr>
          <w:rFonts w:ascii="Sylfaen" w:hAnsi="Sylfaen" w:cs="Sylfaen"/>
          <w:lang w:val="ka-GE"/>
        </w:rPr>
        <w:t>საგზაო</w:t>
      </w:r>
      <w:r w:rsidRPr="00CD64B5">
        <w:rPr>
          <w:lang w:val="ka-GE"/>
        </w:rPr>
        <w:t xml:space="preserve"> </w:t>
      </w:r>
      <w:r w:rsidRPr="00CD64B5">
        <w:rPr>
          <w:rFonts w:ascii="Sylfaen" w:hAnsi="Sylfaen" w:cs="Sylfaen"/>
          <w:lang w:val="ka-GE"/>
        </w:rPr>
        <w:t>ავარიებით</w:t>
      </w:r>
      <w:r w:rsidRPr="00CD64B5">
        <w:rPr>
          <w:lang w:val="ka-GE"/>
        </w:rPr>
        <w:t xml:space="preserve"> </w:t>
      </w:r>
      <w:r w:rsidRPr="00CD64B5">
        <w:rPr>
          <w:rFonts w:ascii="Sylfaen" w:hAnsi="Sylfaen" w:cs="Sylfaen"/>
          <w:lang w:val="ka-GE"/>
        </w:rPr>
        <w:t>გამოწვეული</w:t>
      </w:r>
      <w:r w:rsidRPr="00CD64B5">
        <w:rPr>
          <w:lang w:val="ka-GE"/>
        </w:rPr>
        <w:t xml:space="preserve"> </w:t>
      </w:r>
      <w:r w:rsidRPr="00CD64B5">
        <w:rPr>
          <w:rFonts w:ascii="Sylfaen" w:hAnsi="Sylfaen" w:cs="Sylfaen"/>
          <w:lang w:val="ka-GE"/>
        </w:rPr>
        <w:t>ცხოველთა</w:t>
      </w:r>
      <w:r w:rsidRPr="00CD64B5">
        <w:rPr>
          <w:lang w:val="ka-GE"/>
        </w:rPr>
        <w:t xml:space="preserve"> </w:t>
      </w:r>
      <w:r w:rsidRPr="00CD64B5">
        <w:rPr>
          <w:rFonts w:ascii="Sylfaen" w:hAnsi="Sylfaen" w:cs="Sylfaen"/>
          <w:lang w:val="ka-GE"/>
        </w:rPr>
        <w:t>დაღუპვას</w:t>
      </w:r>
      <w:r w:rsidRPr="00CD64B5">
        <w:rPr>
          <w:lang w:val="ka-GE"/>
        </w:rPr>
        <w:t>;</w:t>
      </w:r>
    </w:p>
    <w:p w14:paraId="33DD3F8C" w14:textId="77777777" w:rsidR="00CD64B5" w:rsidRPr="00CD64B5" w:rsidRDefault="00CD64B5" w:rsidP="000E38C6">
      <w:pPr>
        <w:spacing w:before="120" w:after="120"/>
        <w:rPr>
          <w:lang w:val="ka-GE"/>
        </w:rPr>
      </w:pPr>
      <w:r w:rsidRPr="00CD64B5">
        <w:rPr>
          <w:rFonts w:ascii="Sylfaen" w:hAnsi="Sylfaen" w:cs="Sylfaen"/>
          <w:lang w:val="ka-GE"/>
        </w:rPr>
        <w:t>ხმაურთან</w:t>
      </w:r>
      <w:r w:rsidRPr="00CD64B5">
        <w:rPr>
          <w:lang w:val="ka-GE"/>
        </w:rPr>
        <w:t xml:space="preserve"> </w:t>
      </w:r>
      <w:r w:rsidRPr="00CD64B5">
        <w:rPr>
          <w:rFonts w:ascii="Sylfaen" w:hAnsi="Sylfaen" w:cs="Sylfaen"/>
          <w:lang w:val="ka-GE"/>
        </w:rPr>
        <w:t>დაკავშირებულ</w:t>
      </w:r>
      <w:r w:rsidRPr="00CD64B5">
        <w:rPr>
          <w:lang w:val="ka-GE"/>
        </w:rPr>
        <w:t xml:space="preserve"> </w:t>
      </w:r>
      <w:r w:rsidRPr="00CD64B5">
        <w:rPr>
          <w:rFonts w:ascii="Sylfaen" w:hAnsi="Sylfaen" w:cs="Sylfaen"/>
          <w:lang w:val="ka-GE"/>
        </w:rPr>
        <w:t>შეშფოთებისა</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სტრესს</w:t>
      </w:r>
      <w:r w:rsidRPr="00CD64B5">
        <w:rPr>
          <w:lang w:val="ka-GE"/>
        </w:rPr>
        <w:t>;</w:t>
      </w:r>
    </w:p>
    <w:p w14:paraId="49DBA51E" w14:textId="77777777" w:rsidR="00CD64B5" w:rsidRPr="00CD64B5" w:rsidRDefault="00CD64B5" w:rsidP="000E38C6">
      <w:pPr>
        <w:spacing w:before="120" w:after="120"/>
        <w:rPr>
          <w:lang w:val="ka-GE"/>
        </w:rPr>
      </w:pPr>
      <w:r w:rsidRPr="00CD64B5">
        <w:rPr>
          <w:rFonts w:ascii="Sylfaen" w:hAnsi="Sylfaen" w:cs="Sylfaen"/>
          <w:lang w:val="ka-GE"/>
        </w:rPr>
        <w:t>ბარიერების</w:t>
      </w:r>
      <w:r w:rsidRPr="00CD64B5">
        <w:rPr>
          <w:lang w:val="ka-GE"/>
        </w:rPr>
        <w:t xml:space="preserve"> </w:t>
      </w:r>
      <w:r w:rsidRPr="00CD64B5">
        <w:rPr>
          <w:rFonts w:ascii="Sylfaen" w:hAnsi="Sylfaen" w:cs="Sylfaen"/>
          <w:lang w:val="ka-GE"/>
        </w:rPr>
        <w:t>ეფექტს</w:t>
      </w:r>
      <w:r w:rsidRPr="00CD64B5">
        <w:rPr>
          <w:lang w:val="ka-GE"/>
        </w:rPr>
        <w:t xml:space="preserve"> (</w:t>
      </w:r>
      <w:r w:rsidRPr="00CD64B5">
        <w:rPr>
          <w:rFonts w:ascii="Sylfaen" w:hAnsi="Sylfaen" w:cs="Sylfaen"/>
          <w:lang w:val="ka-GE"/>
        </w:rPr>
        <w:t>ურთიერთკავშირის</w:t>
      </w:r>
      <w:r w:rsidRPr="00CD64B5">
        <w:rPr>
          <w:lang w:val="ka-GE"/>
        </w:rPr>
        <w:t xml:space="preserve"> </w:t>
      </w:r>
      <w:r w:rsidRPr="00CD64B5">
        <w:rPr>
          <w:rFonts w:ascii="Sylfaen" w:hAnsi="Sylfaen" w:cs="Sylfaen"/>
          <w:lang w:val="ka-GE"/>
        </w:rPr>
        <w:t>შემცირება</w:t>
      </w:r>
      <w:r w:rsidRPr="00CD64B5">
        <w:rPr>
          <w:lang w:val="ka-GE"/>
        </w:rPr>
        <w:t>);</w:t>
      </w:r>
    </w:p>
    <w:p w14:paraId="0A5A3FC7" w14:textId="77777777" w:rsidR="00CD64B5" w:rsidRPr="00CD64B5" w:rsidRDefault="00CD64B5" w:rsidP="000E38C6">
      <w:pPr>
        <w:spacing w:before="120" w:after="120"/>
        <w:rPr>
          <w:lang w:val="ka-GE"/>
        </w:rPr>
      </w:pPr>
      <w:r w:rsidRPr="00CD64B5">
        <w:rPr>
          <w:rFonts w:ascii="Sylfaen" w:hAnsi="Sylfaen" w:cs="Sylfaen"/>
          <w:lang w:val="ka-GE"/>
        </w:rPr>
        <w:t>განათებულობის</w:t>
      </w:r>
      <w:r w:rsidRPr="00CD64B5">
        <w:rPr>
          <w:lang w:val="ka-GE"/>
        </w:rPr>
        <w:t xml:space="preserve"> </w:t>
      </w:r>
      <w:r w:rsidRPr="00CD64B5">
        <w:rPr>
          <w:rFonts w:ascii="Sylfaen" w:hAnsi="Sylfaen" w:cs="Sylfaen"/>
          <w:lang w:val="ka-GE"/>
        </w:rPr>
        <w:t>ცვლილებას</w:t>
      </w:r>
      <w:r w:rsidRPr="00CD64B5">
        <w:rPr>
          <w:lang w:val="ka-GE"/>
        </w:rPr>
        <w:t>;</w:t>
      </w:r>
    </w:p>
    <w:p w14:paraId="434D5A88" w14:textId="77777777" w:rsidR="00CD64B5" w:rsidRPr="00CD64B5" w:rsidRDefault="00CD64B5" w:rsidP="000E38C6">
      <w:pPr>
        <w:spacing w:before="120" w:after="120"/>
        <w:rPr>
          <w:lang w:val="ka-GE" w:eastAsia="en-GB"/>
        </w:rPr>
      </w:pPr>
      <w:r w:rsidRPr="00CD64B5">
        <w:rPr>
          <w:rFonts w:ascii="Sylfaen" w:hAnsi="Sylfaen" w:cs="Sylfaen"/>
          <w:lang w:val="ka-GE"/>
        </w:rPr>
        <w:lastRenderedPageBreak/>
        <w:t>მტვრის</w:t>
      </w:r>
      <w:r w:rsidRPr="00CD64B5">
        <w:rPr>
          <w:lang w:val="ka-GE"/>
        </w:rPr>
        <w:t xml:space="preserve">, </w:t>
      </w:r>
      <w:r w:rsidRPr="00CD64B5">
        <w:rPr>
          <w:rFonts w:ascii="Sylfaen" w:hAnsi="Sylfaen" w:cs="Sylfaen"/>
          <w:lang w:val="ka-GE"/>
        </w:rPr>
        <w:t>საბურავების</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სამუხრუჭე</w:t>
      </w:r>
      <w:r w:rsidRPr="00CD64B5">
        <w:rPr>
          <w:lang w:val="ka-GE"/>
        </w:rPr>
        <w:t xml:space="preserve"> </w:t>
      </w:r>
      <w:r w:rsidRPr="00CD64B5">
        <w:rPr>
          <w:rFonts w:ascii="Sylfaen" w:hAnsi="Sylfaen" w:cs="Sylfaen"/>
          <w:lang w:val="ka-GE"/>
        </w:rPr>
        <w:t>ხუნდების</w:t>
      </w:r>
      <w:r w:rsidRPr="00CD64B5">
        <w:rPr>
          <w:lang w:val="ka-GE"/>
        </w:rPr>
        <w:t xml:space="preserve"> </w:t>
      </w:r>
      <w:r w:rsidRPr="00CD64B5">
        <w:rPr>
          <w:rFonts w:ascii="Sylfaen" w:hAnsi="Sylfaen" w:cs="Sylfaen"/>
          <w:lang w:val="ka-GE"/>
        </w:rPr>
        <w:t>ცვეთის</w:t>
      </w:r>
      <w:r w:rsidRPr="00CD64B5">
        <w:rPr>
          <w:lang w:val="ka-GE"/>
        </w:rPr>
        <w:t xml:space="preserve"> </w:t>
      </w:r>
      <w:r w:rsidRPr="00CD64B5">
        <w:rPr>
          <w:rFonts w:ascii="Sylfaen" w:hAnsi="Sylfaen" w:cs="Sylfaen"/>
          <w:lang w:val="ka-GE"/>
        </w:rPr>
        <w:t>ნაწილაკების</w:t>
      </w:r>
      <w:r w:rsidRPr="00CD64B5">
        <w:rPr>
          <w:lang w:val="ka-GE"/>
        </w:rPr>
        <w:t xml:space="preserve">, </w:t>
      </w:r>
      <w:r w:rsidRPr="00CD64B5">
        <w:rPr>
          <w:rFonts w:ascii="Sylfaen" w:hAnsi="Sylfaen" w:cs="Sylfaen"/>
          <w:lang w:val="ka-GE"/>
        </w:rPr>
        <w:t>საწვავის</w:t>
      </w:r>
      <w:r w:rsidRPr="00CD64B5">
        <w:rPr>
          <w:lang w:val="ka-GE"/>
        </w:rPr>
        <w:t>/</w:t>
      </w:r>
      <w:r w:rsidRPr="00CD64B5">
        <w:rPr>
          <w:rFonts w:ascii="Sylfaen" w:hAnsi="Sylfaen" w:cs="Sylfaen"/>
          <w:lang w:val="ka-GE"/>
        </w:rPr>
        <w:t>ზეთის</w:t>
      </w:r>
      <w:r w:rsidRPr="00CD64B5">
        <w:rPr>
          <w:lang w:val="ka-GE"/>
        </w:rPr>
        <w:t xml:space="preserve"> (</w:t>
      </w:r>
      <w:r w:rsidRPr="00CD64B5">
        <w:rPr>
          <w:rFonts w:ascii="Sylfaen" w:hAnsi="Sylfaen" w:cs="Sylfaen"/>
          <w:lang w:val="ka-GE"/>
        </w:rPr>
        <w:t>მაგ</w:t>
      </w:r>
      <w:r w:rsidRPr="00CD64B5">
        <w:rPr>
          <w:lang w:val="ka-GE"/>
        </w:rPr>
        <w:t>.</w:t>
      </w:r>
      <w:r w:rsidRPr="00CD64B5">
        <w:rPr>
          <w:rFonts w:ascii="Sylfaen" w:hAnsi="Sylfaen" w:cs="Sylfaen"/>
          <w:lang w:val="ka-GE"/>
        </w:rPr>
        <w:t>ავტოსაგზაო</w:t>
      </w:r>
      <w:r w:rsidRPr="00CD64B5">
        <w:rPr>
          <w:lang w:val="ka-GE"/>
        </w:rPr>
        <w:t xml:space="preserve"> </w:t>
      </w:r>
      <w:r w:rsidRPr="00CD64B5">
        <w:rPr>
          <w:rFonts w:ascii="Sylfaen" w:hAnsi="Sylfaen" w:cs="Sylfaen"/>
          <w:lang w:val="ka-GE"/>
        </w:rPr>
        <w:t>შემთხვევის</w:t>
      </w:r>
      <w:r w:rsidRPr="00CD64B5">
        <w:rPr>
          <w:lang w:val="ka-GE"/>
        </w:rPr>
        <w:t xml:space="preserve"> </w:t>
      </w:r>
      <w:r w:rsidRPr="00CD64B5">
        <w:rPr>
          <w:rFonts w:ascii="Sylfaen" w:hAnsi="Sylfaen" w:cs="Sylfaen"/>
          <w:lang w:val="ka-GE"/>
        </w:rPr>
        <w:t>გამო</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სხვა</w:t>
      </w:r>
      <w:r w:rsidRPr="00CD64B5">
        <w:rPr>
          <w:lang w:val="ka-GE"/>
        </w:rPr>
        <w:t xml:space="preserve"> </w:t>
      </w:r>
      <w:r w:rsidRPr="00CD64B5">
        <w:rPr>
          <w:rFonts w:ascii="Sylfaen" w:hAnsi="Sylfaen" w:cs="Sylfaen"/>
          <w:lang w:val="ka-GE"/>
        </w:rPr>
        <w:t>შედეგად</w:t>
      </w:r>
      <w:r w:rsidRPr="00CD64B5">
        <w:rPr>
          <w:lang w:val="ka-GE"/>
        </w:rPr>
        <w:t xml:space="preserve"> </w:t>
      </w:r>
      <w:r w:rsidRPr="00CD64B5">
        <w:rPr>
          <w:rFonts w:ascii="Sylfaen" w:hAnsi="Sylfaen" w:cs="Sylfaen"/>
          <w:lang w:val="ka-GE"/>
        </w:rPr>
        <w:t>ირიბ</w:t>
      </w:r>
      <w:r w:rsidRPr="00CD64B5">
        <w:rPr>
          <w:lang w:val="ka-GE"/>
        </w:rPr>
        <w:t xml:space="preserve"> </w:t>
      </w:r>
      <w:r w:rsidRPr="00CD64B5">
        <w:rPr>
          <w:rFonts w:ascii="Sylfaen" w:hAnsi="Sylfaen" w:cs="Sylfaen"/>
          <w:lang w:val="ka-GE"/>
        </w:rPr>
        <w:t>ზემოქმედებას</w:t>
      </w:r>
      <w:r w:rsidRPr="00CD64B5">
        <w:rPr>
          <w:lang w:val="ka-GE"/>
        </w:rPr>
        <w:t xml:space="preserve">, </w:t>
      </w:r>
      <w:r w:rsidRPr="00CD64B5">
        <w:rPr>
          <w:rFonts w:ascii="Sylfaen" w:hAnsi="Sylfaen" w:cs="Sylfaen"/>
          <w:lang w:val="ka-GE"/>
        </w:rPr>
        <w:t>ბიოაკუმულაციის</w:t>
      </w:r>
      <w:r w:rsidRPr="00CD64B5">
        <w:rPr>
          <w:lang w:val="ka-GE"/>
        </w:rPr>
        <w:t xml:space="preserve"> </w:t>
      </w:r>
      <w:r w:rsidRPr="00CD64B5">
        <w:rPr>
          <w:rFonts w:ascii="Sylfaen" w:hAnsi="Sylfaen" w:cs="Sylfaen"/>
          <w:lang w:val="ka-GE"/>
        </w:rPr>
        <w:t>შედეგად</w:t>
      </w:r>
      <w:r w:rsidRPr="00CD64B5">
        <w:rPr>
          <w:lang w:val="ka-GE"/>
        </w:rPr>
        <w:t xml:space="preserve"> </w:t>
      </w:r>
      <w:r w:rsidRPr="00CD64B5">
        <w:rPr>
          <w:rFonts w:ascii="Sylfaen" w:hAnsi="Sylfaen" w:cs="Sylfaen"/>
          <w:lang w:val="ka-GE"/>
        </w:rPr>
        <w:t>მიღებული</w:t>
      </w:r>
      <w:r w:rsidRPr="00CD64B5">
        <w:rPr>
          <w:lang w:val="ka-GE"/>
        </w:rPr>
        <w:t xml:space="preserve"> </w:t>
      </w:r>
      <w:r w:rsidRPr="00CD64B5">
        <w:rPr>
          <w:rFonts w:ascii="Sylfaen" w:hAnsi="Sylfaen" w:cs="Sylfaen"/>
          <w:lang w:val="ka-GE"/>
        </w:rPr>
        <w:t>ქრონიკული</w:t>
      </w:r>
      <w:r w:rsidRPr="00CD64B5">
        <w:rPr>
          <w:lang w:val="ka-GE"/>
        </w:rPr>
        <w:t xml:space="preserve"> </w:t>
      </w:r>
      <w:r w:rsidRPr="00CD64B5">
        <w:rPr>
          <w:rFonts w:ascii="Sylfaen" w:hAnsi="Sylfaen" w:cs="Sylfaen"/>
          <w:lang w:val="ka-GE"/>
        </w:rPr>
        <w:t>ხასიათის</w:t>
      </w:r>
      <w:r w:rsidRPr="00CD64B5">
        <w:rPr>
          <w:lang w:val="ka-GE"/>
        </w:rPr>
        <w:t xml:space="preserve"> </w:t>
      </w:r>
      <w:r w:rsidRPr="00CD64B5">
        <w:rPr>
          <w:rFonts w:ascii="Sylfaen" w:hAnsi="Sylfaen" w:cs="Sylfaen"/>
          <w:lang w:val="ka-GE"/>
        </w:rPr>
        <w:t>დაბინძურების</w:t>
      </w:r>
      <w:r w:rsidRPr="00CD64B5">
        <w:rPr>
          <w:lang w:val="ka-GE"/>
        </w:rPr>
        <w:t xml:space="preserve"> </w:t>
      </w:r>
      <w:r w:rsidRPr="00CD64B5">
        <w:rPr>
          <w:rFonts w:ascii="Sylfaen" w:hAnsi="Sylfaen" w:cs="Sylfaen"/>
          <w:lang w:val="ka-GE"/>
        </w:rPr>
        <w:t>ჩათვლით</w:t>
      </w:r>
      <w:r w:rsidRPr="00CD64B5">
        <w:rPr>
          <w:lang w:val="ka-GE"/>
        </w:rPr>
        <w:t>.</w:t>
      </w:r>
    </w:p>
    <w:p w14:paraId="7FADA952" w14:textId="77777777" w:rsidR="00CD64B5" w:rsidRPr="00CD64B5" w:rsidRDefault="00CD64B5" w:rsidP="000E38C6">
      <w:pPr>
        <w:spacing w:before="120" w:after="120"/>
        <w:rPr>
          <w:lang w:val="ka-GE" w:eastAsia="da-DK"/>
        </w:rPr>
      </w:pPr>
      <w:r w:rsidRPr="00CD64B5">
        <w:rPr>
          <w:rFonts w:ascii="Sylfaen" w:hAnsi="Sylfaen" w:cs="Sylfaen"/>
          <w:lang w:val="ka-GE"/>
        </w:rPr>
        <w:t>როგორც</w:t>
      </w:r>
      <w:r w:rsidRPr="00CD64B5">
        <w:rPr>
          <w:lang w:val="ka-GE"/>
        </w:rPr>
        <w:t xml:space="preserve"> </w:t>
      </w:r>
      <w:r w:rsidRPr="00CD64B5">
        <w:rPr>
          <w:rFonts w:ascii="Sylfaen" w:hAnsi="Sylfaen" w:cs="Sylfaen"/>
          <w:lang w:val="ka-GE"/>
        </w:rPr>
        <w:t>ზემოთ</w:t>
      </w:r>
      <w:r w:rsidRPr="00CD64B5">
        <w:rPr>
          <w:lang w:val="ka-GE"/>
        </w:rPr>
        <w:t xml:space="preserve"> </w:t>
      </w:r>
      <w:r w:rsidRPr="00CD64B5">
        <w:rPr>
          <w:rFonts w:ascii="Sylfaen" w:hAnsi="Sylfaen" w:cs="Sylfaen"/>
          <w:lang w:val="ka-GE"/>
        </w:rPr>
        <w:t>აღვნიშნეთ</w:t>
      </w:r>
      <w:r w:rsidRPr="00CD64B5">
        <w:rPr>
          <w:lang w:val="ka-GE"/>
        </w:rPr>
        <w:t xml:space="preserve">, </w:t>
      </w:r>
      <w:r w:rsidRPr="00CD64B5">
        <w:rPr>
          <w:rFonts w:ascii="Sylfaen" w:hAnsi="Sylfaen" w:cs="Sylfaen"/>
          <w:lang w:val="ka-GE"/>
        </w:rPr>
        <w:t>გზის</w:t>
      </w:r>
      <w:r w:rsidRPr="00CD64B5">
        <w:rPr>
          <w:lang w:val="ka-GE"/>
        </w:rPr>
        <w:t xml:space="preserve"> </w:t>
      </w:r>
      <w:r w:rsidRPr="00CD64B5">
        <w:rPr>
          <w:rFonts w:ascii="Sylfaen" w:hAnsi="Sylfaen" w:cs="Sylfaen"/>
          <w:lang w:val="ka-GE"/>
        </w:rPr>
        <w:t>ექსპლუატაციასთან</w:t>
      </w:r>
      <w:r w:rsidRPr="00CD64B5">
        <w:rPr>
          <w:lang w:val="ka-GE"/>
        </w:rPr>
        <w:t xml:space="preserve"> </w:t>
      </w:r>
      <w:r w:rsidRPr="00CD64B5">
        <w:rPr>
          <w:rFonts w:ascii="Sylfaen" w:hAnsi="Sylfaen" w:cs="Sylfaen"/>
          <w:lang w:val="ka-GE"/>
        </w:rPr>
        <w:t>დაკავშირებულ</w:t>
      </w:r>
      <w:r w:rsidRPr="00CD64B5">
        <w:rPr>
          <w:lang w:val="ka-GE"/>
        </w:rPr>
        <w:t xml:space="preserve"> </w:t>
      </w:r>
      <w:r w:rsidRPr="00CD64B5">
        <w:rPr>
          <w:rFonts w:ascii="Sylfaen" w:hAnsi="Sylfaen" w:cs="Sylfaen"/>
          <w:lang w:val="ka-GE"/>
        </w:rPr>
        <w:t>პირდაპირ</w:t>
      </w:r>
      <w:r w:rsidRPr="00CD64B5">
        <w:rPr>
          <w:lang w:val="ka-GE"/>
        </w:rPr>
        <w:t xml:space="preserve"> </w:t>
      </w:r>
      <w:r w:rsidRPr="00CD64B5">
        <w:rPr>
          <w:rFonts w:ascii="Sylfaen" w:hAnsi="Sylfaen" w:cs="Sylfaen"/>
          <w:lang w:val="ka-GE"/>
        </w:rPr>
        <w:t>ზემოქმედებას</w:t>
      </w:r>
      <w:r w:rsidRPr="00CD64B5">
        <w:rPr>
          <w:lang w:val="ka-GE"/>
        </w:rPr>
        <w:t xml:space="preserve"> </w:t>
      </w:r>
      <w:r w:rsidRPr="00CD64B5">
        <w:rPr>
          <w:rFonts w:ascii="Sylfaen" w:hAnsi="Sylfaen" w:cs="Sylfaen"/>
          <w:lang w:val="ka-GE"/>
        </w:rPr>
        <w:t>ინტენსიური</w:t>
      </w:r>
      <w:r w:rsidRPr="00CD64B5">
        <w:rPr>
          <w:lang w:val="ka-GE"/>
        </w:rPr>
        <w:t xml:space="preserve"> </w:t>
      </w:r>
      <w:r w:rsidRPr="00CD64B5">
        <w:rPr>
          <w:rFonts w:ascii="Sylfaen" w:hAnsi="Sylfaen" w:cs="Sylfaen"/>
          <w:lang w:val="ka-GE"/>
        </w:rPr>
        <w:t>სატრანსპორტო</w:t>
      </w:r>
      <w:r w:rsidRPr="00CD64B5">
        <w:rPr>
          <w:lang w:val="ka-GE"/>
        </w:rPr>
        <w:t xml:space="preserve"> </w:t>
      </w:r>
      <w:r w:rsidRPr="00CD64B5">
        <w:rPr>
          <w:rFonts w:ascii="Sylfaen" w:hAnsi="Sylfaen" w:cs="Sylfaen"/>
          <w:lang w:val="ka-GE"/>
        </w:rPr>
        <w:t>მოძრაობით</w:t>
      </w:r>
      <w:r w:rsidRPr="00CD64B5">
        <w:rPr>
          <w:lang w:val="ka-GE"/>
        </w:rPr>
        <w:t xml:space="preserve"> </w:t>
      </w:r>
      <w:r w:rsidRPr="00CD64B5">
        <w:rPr>
          <w:rFonts w:ascii="Sylfaen" w:hAnsi="Sylfaen" w:cs="Sylfaen"/>
          <w:lang w:val="ka-GE"/>
        </w:rPr>
        <w:t>გამოწვეული</w:t>
      </w:r>
      <w:r w:rsidRPr="00CD64B5">
        <w:rPr>
          <w:lang w:val="ka-GE"/>
        </w:rPr>
        <w:t xml:space="preserve"> </w:t>
      </w:r>
      <w:r w:rsidRPr="00CD64B5">
        <w:rPr>
          <w:rFonts w:ascii="Sylfaen" w:hAnsi="Sylfaen" w:cs="Sylfaen"/>
          <w:lang w:val="ka-GE"/>
        </w:rPr>
        <w:t>ხმაური</w:t>
      </w:r>
      <w:r w:rsidRPr="00CD64B5">
        <w:rPr>
          <w:lang w:val="ka-GE"/>
        </w:rPr>
        <w:t xml:space="preserve"> </w:t>
      </w:r>
      <w:r w:rsidRPr="00CD64B5">
        <w:rPr>
          <w:rFonts w:ascii="Sylfaen" w:hAnsi="Sylfaen" w:cs="Sylfaen"/>
          <w:lang w:val="ka-GE"/>
        </w:rPr>
        <w:t>წარმოადგენს</w:t>
      </w:r>
      <w:r w:rsidRPr="00CD64B5">
        <w:rPr>
          <w:lang w:val="ka-GE"/>
        </w:rPr>
        <w:t xml:space="preserve">. </w:t>
      </w:r>
      <w:r w:rsidRPr="00CD64B5">
        <w:rPr>
          <w:rFonts w:ascii="Sylfaen" w:hAnsi="Sylfaen" w:cs="Sylfaen"/>
          <w:lang w:val="ka-GE"/>
        </w:rPr>
        <w:t>რაც</w:t>
      </w:r>
      <w:r w:rsidRPr="00CD64B5">
        <w:rPr>
          <w:lang w:val="ka-GE"/>
        </w:rPr>
        <w:t xml:space="preserve">, </w:t>
      </w:r>
      <w:r w:rsidRPr="00CD64B5">
        <w:rPr>
          <w:rFonts w:ascii="Sylfaen" w:hAnsi="Sylfaen" w:cs="Sylfaen"/>
          <w:lang w:val="ka-GE"/>
        </w:rPr>
        <w:t>როგორც</w:t>
      </w:r>
      <w:r w:rsidRPr="00CD64B5">
        <w:rPr>
          <w:lang w:val="ka-GE"/>
        </w:rPr>
        <w:t xml:space="preserve"> </w:t>
      </w:r>
      <w:r w:rsidRPr="00CD64B5">
        <w:rPr>
          <w:rFonts w:ascii="Sylfaen" w:hAnsi="Sylfaen" w:cs="Sylfaen"/>
          <w:lang w:val="ka-GE"/>
        </w:rPr>
        <w:t>ზემოთ</w:t>
      </w:r>
      <w:r w:rsidRPr="00CD64B5">
        <w:rPr>
          <w:lang w:val="ka-GE"/>
        </w:rPr>
        <w:t xml:space="preserve"> </w:t>
      </w:r>
      <w:r w:rsidRPr="00CD64B5">
        <w:rPr>
          <w:rFonts w:ascii="Sylfaen" w:hAnsi="Sylfaen" w:cs="Sylfaen"/>
          <w:lang w:val="ka-GE"/>
        </w:rPr>
        <w:t>იქნა</w:t>
      </w:r>
      <w:r w:rsidRPr="00CD64B5">
        <w:rPr>
          <w:lang w:val="ka-GE"/>
        </w:rPr>
        <w:t xml:space="preserve"> </w:t>
      </w:r>
      <w:r w:rsidRPr="00CD64B5">
        <w:rPr>
          <w:rFonts w:ascii="Sylfaen" w:hAnsi="Sylfaen" w:cs="Sylfaen"/>
          <w:lang w:val="ka-GE"/>
        </w:rPr>
        <w:t>აღნიშნული</w:t>
      </w:r>
      <w:r w:rsidRPr="00CD64B5">
        <w:rPr>
          <w:lang w:val="ka-GE"/>
        </w:rPr>
        <w:t xml:space="preserve"> </w:t>
      </w:r>
      <w:r w:rsidRPr="00CD64B5">
        <w:rPr>
          <w:rFonts w:ascii="Sylfaen" w:hAnsi="Sylfaen" w:cs="Sylfaen"/>
          <w:lang w:val="ka-GE"/>
        </w:rPr>
        <w:t>გავლენას</w:t>
      </w:r>
      <w:r w:rsidRPr="00CD64B5">
        <w:rPr>
          <w:lang w:val="ka-GE"/>
        </w:rPr>
        <w:t xml:space="preserve"> </w:t>
      </w:r>
      <w:r w:rsidRPr="00CD64B5">
        <w:rPr>
          <w:rFonts w:ascii="Sylfaen" w:hAnsi="Sylfaen" w:cs="Sylfaen"/>
          <w:lang w:val="ka-GE"/>
        </w:rPr>
        <w:t>მოახდენს</w:t>
      </w:r>
      <w:r w:rsidRPr="00CD64B5">
        <w:rPr>
          <w:lang w:val="ka-GE"/>
        </w:rPr>
        <w:t xml:space="preserve"> </w:t>
      </w:r>
      <w:r w:rsidRPr="00CD64B5">
        <w:rPr>
          <w:rFonts w:ascii="Sylfaen" w:hAnsi="Sylfaen" w:cs="Sylfaen"/>
          <w:lang w:val="ka-GE"/>
        </w:rPr>
        <w:t>ფრინველების</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ცხოველთა</w:t>
      </w:r>
      <w:r w:rsidRPr="00CD64B5">
        <w:rPr>
          <w:lang w:val="ka-GE"/>
        </w:rPr>
        <w:t xml:space="preserve"> </w:t>
      </w:r>
      <w:r w:rsidRPr="00CD64B5">
        <w:rPr>
          <w:rFonts w:ascii="Sylfaen" w:hAnsi="Sylfaen" w:cs="Sylfaen"/>
          <w:lang w:val="ka-GE"/>
        </w:rPr>
        <w:t>სამყაროს</w:t>
      </w:r>
      <w:r w:rsidRPr="00CD64B5">
        <w:rPr>
          <w:lang w:val="ka-GE"/>
        </w:rPr>
        <w:t xml:space="preserve"> </w:t>
      </w:r>
      <w:r w:rsidRPr="00CD64B5">
        <w:rPr>
          <w:rFonts w:ascii="Sylfaen" w:hAnsi="Sylfaen" w:cs="Sylfaen"/>
          <w:lang w:val="ka-GE"/>
        </w:rPr>
        <w:t>სხვა</w:t>
      </w:r>
      <w:r w:rsidRPr="00CD64B5">
        <w:rPr>
          <w:lang w:val="ka-GE"/>
        </w:rPr>
        <w:t xml:space="preserve"> </w:t>
      </w:r>
      <w:r w:rsidRPr="00CD64B5">
        <w:rPr>
          <w:rFonts w:ascii="Sylfaen" w:hAnsi="Sylfaen" w:cs="Sylfaen"/>
          <w:lang w:val="ka-GE"/>
        </w:rPr>
        <w:t>წარმომადგენლების</w:t>
      </w:r>
      <w:r w:rsidRPr="00CD64B5">
        <w:rPr>
          <w:lang w:val="ka-GE"/>
        </w:rPr>
        <w:t xml:space="preserve"> </w:t>
      </w:r>
      <w:r w:rsidRPr="00CD64B5">
        <w:rPr>
          <w:rFonts w:ascii="Sylfaen" w:hAnsi="Sylfaen" w:cs="Sylfaen"/>
          <w:lang w:val="ka-GE"/>
        </w:rPr>
        <w:t>ხმოვანი</w:t>
      </w:r>
      <w:r w:rsidRPr="00CD64B5">
        <w:rPr>
          <w:lang w:val="ka-GE"/>
        </w:rPr>
        <w:t xml:space="preserve"> </w:t>
      </w:r>
      <w:r w:rsidRPr="00CD64B5">
        <w:rPr>
          <w:rFonts w:ascii="Sylfaen" w:hAnsi="Sylfaen" w:cs="Sylfaen"/>
          <w:lang w:val="ka-GE"/>
        </w:rPr>
        <w:t>სიგნალით</w:t>
      </w:r>
      <w:r w:rsidRPr="00CD64B5">
        <w:rPr>
          <w:lang w:val="ka-GE"/>
        </w:rPr>
        <w:t xml:space="preserve"> </w:t>
      </w:r>
      <w:r w:rsidRPr="00CD64B5">
        <w:rPr>
          <w:rFonts w:ascii="Sylfaen" w:hAnsi="Sylfaen" w:cs="Sylfaen"/>
          <w:lang w:val="ka-GE"/>
        </w:rPr>
        <w:t>კომუნიკაციაზე</w:t>
      </w:r>
      <w:r w:rsidRPr="00CD64B5">
        <w:rPr>
          <w:lang w:val="ka-GE"/>
        </w:rPr>
        <w:t xml:space="preserve">. </w:t>
      </w:r>
    </w:p>
    <w:p w14:paraId="4445A8EC" w14:textId="77777777" w:rsidR="00CD64B5" w:rsidRPr="00CD64B5" w:rsidRDefault="00CD64B5" w:rsidP="000E38C6">
      <w:pPr>
        <w:spacing w:before="120" w:after="120"/>
        <w:rPr>
          <w:lang w:val="ka-GE"/>
        </w:rPr>
      </w:pPr>
      <w:r w:rsidRPr="00CD64B5">
        <w:rPr>
          <w:rFonts w:ascii="Sylfaen" w:hAnsi="Sylfaen" w:cs="Sylfaen"/>
          <w:lang w:val="ka-GE"/>
        </w:rPr>
        <w:t>აღსანიშნავია</w:t>
      </w:r>
      <w:r w:rsidRPr="00CD64B5">
        <w:rPr>
          <w:lang w:val="ka-GE"/>
        </w:rPr>
        <w:t xml:space="preserve"> </w:t>
      </w:r>
      <w:r w:rsidRPr="00CD64B5">
        <w:rPr>
          <w:rFonts w:ascii="Sylfaen" w:hAnsi="Sylfaen" w:cs="Sylfaen"/>
          <w:lang w:val="ka-GE"/>
        </w:rPr>
        <w:t>გზისპირა</w:t>
      </w:r>
      <w:r w:rsidRPr="00CD64B5">
        <w:rPr>
          <w:lang w:val="ka-GE"/>
        </w:rPr>
        <w:t xml:space="preserve"> </w:t>
      </w:r>
      <w:r w:rsidRPr="00CD64B5">
        <w:rPr>
          <w:rFonts w:ascii="Sylfaen" w:hAnsi="Sylfaen" w:cs="Sylfaen"/>
          <w:lang w:val="ka-GE"/>
        </w:rPr>
        <w:t>ნაგვის</w:t>
      </w:r>
      <w:r w:rsidRPr="00CD64B5">
        <w:rPr>
          <w:lang w:val="ka-GE"/>
        </w:rPr>
        <w:t xml:space="preserve"> </w:t>
      </w:r>
      <w:r w:rsidRPr="00CD64B5">
        <w:rPr>
          <w:rFonts w:ascii="Sylfaen" w:hAnsi="Sylfaen" w:cs="Sylfaen"/>
          <w:lang w:val="ka-GE"/>
        </w:rPr>
        <w:t>საკითხი</w:t>
      </w:r>
      <w:r w:rsidRPr="00CD64B5">
        <w:rPr>
          <w:lang w:val="ka-GE"/>
        </w:rPr>
        <w:t xml:space="preserve">. </w:t>
      </w:r>
      <w:r w:rsidRPr="00CD64B5">
        <w:rPr>
          <w:rFonts w:ascii="Sylfaen" w:hAnsi="Sylfaen" w:cs="Sylfaen"/>
          <w:lang w:val="ka-GE"/>
        </w:rPr>
        <w:t>როგორც</w:t>
      </w:r>
      <w:r w:rsidRPr="00CD64B5">
        <w:rPr>
          <w:lang w:val="ka-GE"/>
        </w:rPr>
        <w:t xml:space="preserve"> </w:t>
      </w:r>
      <w:r w:rsidRPr="00CD64B5">
        <w:rPr>
          <w:rFonts w:ascii="Sylfaen" w:hAnsi="Sylfaen" w:cs="Sylfaen"/>
          <w:lang w:val="ka-GE"/>
        </w:rPr>
        <w:t>უკვე</w:t>
      </w:r>
      <w:r w:rsidRPr="00CD64B5">
        <w:rPr>
          <w:lang w:val="ka-GE"/>
        </w:rPr>
        <w:t xml:space="preserve"> </w:t>
      </w:r>
      <w:r w:rsidRPr="00CD64B5">
        <w:rPr>
          <w:rFonts w:ascii="Sylfaen" w:hAnsi="Sylfaen" w:cs="Sylfaen"/>
          <w:lang w:val="ka-GE"/>
        </w:rPr>
        <w:t>იქნა</w:t>
      </w:r>
      <w:r w:rsidRPr="00CD64B5">
        <w:rPr>
          <w:lang w:val="ka-GE"/>
        </w:rPr>
        <w:t xml:space="preserve"> </w:t>
      </w:r>
      <w:r w:rsidRPr="00CD64B5">
        <w:rPr>
          <w:rFonts w:ascii="Sylfaen" w:hAnsi="Sylfaen" w:cs="Sylfaen"/>
          <w:lang w:val="ka-GE"/>
        </w:rPr>
        <w:t>აღნიშნული</w:t>
      </w:r>
      <w:r w:rsidRPr="00CD64B5">
        <w:rPr>
          <w:lang w:val="ka-GE"/>
        </w:rPr>
        <w:t xml:space="preserve">, </w:t>
      </w:r>
      <w:r w:rsidRPr="00CD64B5">
        <w:rPr>
          <w:rFonts w:ascii="Sylfaen" w:hAnsi="Sylfaen" w:cs="Sylfaen"/>
          <w:lang w:val="ka-GE"/>
        </w:rPr>
        <w:t>ნაგავმა</w:t>
      </w:r>
      <w:r w:rsidRPr="00CD64B5">
        <w:rPr>
          <w:lang w:val="ka-GE"/>
        </w:rPr>
        <w:t xml:space="preserve">, </w:t>
      </w:r>
      <w:r w:rsidRPr="00CD64B5">
        <w:rPr>
          <w:rFonts w:ascii="Sylfaen" w:hAnsi="Sylfaen" w:cs="Sylfaen"/>
          <w:lang w:val="ka-GE"/>
        </w:rPr>
        <w:t>მისი</w:t>
      </w:r>
      <w:r w:rsidRPr="00CD64B5">
        <w:rPr>
          <w:lang w:val="ka-GE"/>
        </w:rPr>
        <w:t xml:space="preserve"> </w:t>
      </w:r>
      <w:r w:rsidRPr="00CD64B5">
        <w:rPr>
          <w:rFonts w:ascii="Sylfaen" w:hAnsi="Sylfaen" w:cs="Sylfaen"/>
          <w:lang w:val="ka-GE"/>
        </w:rPr>
        <w:t>ცუდად</w:t>
      </w:r>
      <w:r w:rsidRPr="00CD64B5">
        <w:rPr>
          <w:lang w:val="ka-GE"/>
        </w:rPr>
        <w:t xml:space="preserve"> </w:t>
      </w:r>
      <w:r w:rsidRPr="00CD64B5">
        <w:rPr>
          <w:rFonts w:ascii="Sylfaen" w:hAnsi="Sylfaen" w:cs="Sylfaen"/>
          <w:lang w:val="ka-GE"/>
        </w:rPr>
        <w:t>მართვის</w:t>
      </w:r>
      <w:r w:rsidRPr="00CD64B5">
        <w:rPr>
          <w:lang w:val="ka-GE"/>
        </w:rPr>
        <w:t xml:space="preserve"> </w:t>
      </w:r>
      <w:r w:rsidRPr="00CD64B5">
        <w:rPr>
          <w:rFonts w:ascii="Sylfaen" w:hAnsi="Sylfaen" w:cs="Sylfaen"/>
          <w:lang w:val="ka-GE"/>
        </w:rPr>
        <w:t>შემთხვევაში</w:t>
      </w:r>
      <w:r w:rsidRPr="00CD64B5">
        <w:rPr>
          <w:lang w:val="ka-GE"/>
        </w:rPr>
        <w:t xml:space="preserve"> </w:t>
      </w:r>
      <w:r w:rsidRPr="00CD64B5">
        <w:rPr>
          <w:rFonts w:ascii="Sylfaen" w:hAnsi="Sylfaen" w:cs="Sylfaen"/>
          <w:lang w:val="ka-GE"/>
        </w:rPr>
        <w:t>შეიძლება</w:t>
      </w:r>
      <w:r w:rsidRPr="00CD64B5">
        <w:rPr>
          <w:lang w:val="ka-GE"/>
        </w:rPr>
        <w:t xml:space="preserve"> </w:t>
      </w:r>
      <w:r w:rsidRPr="00CD64B5">
        <w:rPr>
          <w:rFonts w:ascii="Sylfaen" w:hAnsi="Sylfaen" w:cs="Sylfaen"/>
          <w:lang w:val="ka-GE"/>
        </w:rPr>
        <w:t>მიიზიდოს</w:t>
      </w:r>
      <w:r w:rsidRPr="00CD64B5">
        <w:rPr>
          <w:lang w:val="ka-GE"/>
        </w:rPr>
        <w:t xml:space="preserve"> </w:t>
      </w:r>
      <w:r w:rsidRPr="00CD64B5">
        <w:rPr>
          <w:rFonts w:ascii="Sylfaen" w:hAnsi="Sylfaen" w:cs="Sylfaen"/>
          <w:lang w:val="ka-GE"/>
        </w:rPr>
        <w:t>მცირე</w:t>
      </w:r>
      <w:r w:rsidRPr="00CD64B5">
        <w:rPr>
          <w:lang w:val="ka-GE"/>
        </w:rPr>
        <w:t xml:space="preserve"> </w:t>
      </w:r>
      <w:r w:rsidRPr="00CD64B5">
        <w:rPr>
          <w:rFonts w:ascii="Sylfaen" w:hAnsi="Sylfaen" w:cs="Sylfaen"/>
          <w:lang w:val="ka-GE"/>
        </w:rPr>
        <w:t>ზომის</w:t>
      </w:r>
      <w:r w:rsidRPr="00CD64B5">
        <w:rPr>
          <w:lang w:val="ka-GE"/>
        </w:rPr>
        <w:t xml:space="preserve"> </w:t>
      </w:r>
      <w:r w:rsidRPr="00CD64B5">
        <w:rPr>
          <w:rFonts w:ascii="Sylfaen" w:hAnsi="Sylfaen" w:cs="Sylfaen"/>
          <w:lang w:val="ka-GE"/>
        </w:rPr>
        <w:t>ცხოველები</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გახდეს</w:t>
      </w:r>
      <w:r w:rsidRPr="00CD64B5">
        <w:rPr>
          <w:lang w:val="ka-GE"/>
        </w:rPr>
        <w:t xml:space="preserve"> </w:t>
      </w:r>
      <w:r w:rsidRPr="00CD64B5">
        <w:rPr>
          <w:rFonts w:ascii="Sylfaen" w:hAnsi="Sylfaen" w:cs="Sylfaen"/>
          <w:lang w:val="ka-GE"/>
        </w:rPr>
        <w:t>მათთვის</w:t>
      </w:r>
      <w:r w:rsidRPr="00CD64B5">
        <w:rPr>
          <w:lang w:val="ka-GE"/>
        </w:rPr>
        <w:t xml:space="preserve"> „</w:t>
      </w:r>
      <w:r w:rsidRPr="00CD64B5">
        <w:rPr>
          <w:rFonts w:ascii="Sylfaen" w:hAnsi="Sylfaen" w:cs="Sylfaen"/>
          <w:lang w:val="ka-GE"/>
        </w:rPr>
        <w:t>ხაფანგი</w:t>
      </w:r>
      <w:r w:rsidRPr="00CD64B5">
        <w:rPr>
          <w:rFonts w:eastAsia="MS Mincho"/>
          <w:lang w:val="ka-GE"/>
        </w:rPr>
        <w:t>‟</w:t>
      </w:r>
      <w:r w:rsidRPr="00CD64B5">
        <w:rPr>
          <w:lang w:val="ka-GE"/>
        </w:rPr>
        <w:t xml:space="preserve">. </w:t>
      </w:r>
      <w:r w:rsidRPr="00CD64B5">
        <w:rPr>
          <w:rFonts w:ascii="Sylfaen" w:hAnsi="Sylfaen" w:cs="Sylfaen"/>
          <w:lang w:val="ka-GE"/>
        </w:rPr>
        <w:t>სიგარეტის</w:t>
      </w:r>
      <w:r w:rsidRPr="00CD64B5">
        <w:rPr>
          <w:lang w:val="ka-GE"/>
        </w:rPr>
        <w:t xml:space="preserve"> </w:t>
      </w:r>
      <w:r w:rsidRPr="00CD64B5">
        <w:rPr>
          <w:rFonts w:ascii="Sylfaen" w:hAnsi="Sylfaen" w:cs="Sylfaen"/>
          <w:lang w:val="ka-GE"/>
        </w:rPr>
        <w:t>ნამწვებსა</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ფილტრებს</w:t>
      </w:r>
      <w:r w:rsidRPr="00CD64B5">
        <w:rPr>
          <w:lang w:val="ka-GE"/>
        </w:rPr>
        <w:t xml:space="preserve"> </w:t>
      </w:r>
      <w:r w:rsidRPr="00CD64B5">
        <w:rPr>
          <w:rFonts w:ascii="Sylfaen" w:hAnsi="Sylfaen" w:cs="Sylfaen"/>
          <w:lang w:val="ka-GE"/>
        </w:rPr>
        <w:t>ფრინველები</w:t>
      </w:r>
      <w:r w:rsidRPr="00CD64B5">
        <w:rPr>
          <w:lang w:val="ka-GE"/>
        </w:rPr>
        <w:t xml:space="preserve"> </w:t>
      </w:r>
      <w:r w:rsidRPr="00CD64B5">
        <w:rPr>
          <w:rFonts w:ascii="Sylfaen" w:hAnsi="Sylfaen" w:cs="Sylfaen"/>
          <w:lang w:val="ka-GE"/>
        </w:rPr>
        <w:t>ხშირად</w:t>
      </w:r>
      <w:r w:rsidRPr="00CD64B5">
        <w:rPr>
          <w:lang w:val="ka-GE"/>
        </w:rPr>
        <w:t xml:space="preserve"> </w:t>
      </w:r>
      <w:r w:rsidRPr="00CD64B5">
        <w:rPr>
          <w:rFonts w:ascii="Sylfaen" w:hAnsi="Sylfaen" w:cs="Sylfaen"/>
          <w:lang w:val="ka-GE"/>
        </w:rPr>
        <w:t>საკვებისგან</w:t>
      </w:r>
      <w:r w:rsidRPr="00CD64B5">
        <w:rPr>
          <w:lang w:val="ka-GE"/>
        </w:rPr>
        <w:t xml:space="preserve"> </w:t>
      </w:r>
      <w:r w:rsidRPr="00CD64B5">
        <w:rPr>
          <w:rFonts w:ascii="Sylfaen" w:hAnsi="Sylfaen" w:cs="Sylfaen"/>
          <w:lang w:val="ka-GE"/>
        </w:rPr>
        <w:t>ვერ</w:t>
      </w:r>
      <w:r w:rsidRPr="00CD64B5">
        <w:rPr>
          <w:lang w:val="ka-GE"/>
        </w:rPr>
        <w:t xml:space="preserve"> </w:t>
      </w:r>
      <w:r w:rsidRPr="00CD64B5">
        <w:rPr>
          <w:rFonts w:ascii="Sylfaen" w:hAnsi="Sylfaen" w:cs="Sylfaen"/>
          <w:lang w:val="ka-GE"/>
        </w:rPr>
        <w:t>არჩევენ</w:t>
      </w:r>
      <w:r w:rsidRPr="00CD64B5">
        <w:rPr>
          <w:lang w:val="ka-GE"/>
        </w:rPr>
        <w:t>.</w:t>
      </w:r>
    </w:p>
    <w:p w14:paraId="3F6E4292" w14:textId="77777777" w:rsidR="00CD64B5" w:rsidRPr="00CD64B5" w:rsidRDefault="00CD64B5" w:rsidP="000E38C6">
      <w:pPr>
        <w:spacing w:before="120" w:after="120"/>
        <w:rPr>
          <w:lang w:val="ka-GE" w:eastAsia="en-GB"/>
        </w:rPr>
      </w:pPr>
      <w:r w:rsidRPr="00CD64B5">
        <w:rPr>
          <w:rFonts w:ascii="Sylfaen" w:hAnsi="Sylfaen" w:cs="Sylfaen"/>
          <w:lang w:val="ka-GE"/>
        </w:rPr>
        <w:t>მიწათსარგებლობის</w:t>
      </w:r>
      <w:r w:rsidRPr="00CD64B5">
        <w:rPr>
          <w:lang w:val="ka-GE"/>
        </w:rPr>
        <w:t xml:space="preserve"> </w:t>
      </w:r>
      <w:r w:rsidRPr="00CD64B5">
        <w:rPr>
          <w:rFonts w:ascii="Sylfaen" w:hAnsi="Sylfaen" w:cs="Sylfaen"/>
          <w:lang w:val="ka-GE"/>
        </w:rPr>
        <w:t>ფორმის</w:t>
      </w:r>
      <w:r w:rsidRPr="00CD64B5">
        <w:rPr>
          <w:lang w:val="ka-GE"/>
        </w:rPr>
        <w:t xml:space="preserve"> </w:t>
      </w:r>
      <w:r w:rsidRPr="00CD64B5">
        <w:rPr>
          <w:rFonts w:ascii="Sylfaen" w:hAnsi="Sylfaen" w:cs="Sylfaen"/>
          <w:lang w:val="ka-GE"/>
        </w:rPr>
        <w:t>შეცვლა</w:t>
      </w:r>
      <w:r w:rsidRPr="00CD64B5">
        <w:rPr>
          <w:lang w:val="ka-GE"/>
        </w:rPr>
        <w:t xml:space="preserve"> </w:t>
      </w:r>
      <w:r w:rsidRPr="00CD64B5">
        <w:rPr>
          <w:rFonts w:ascii="Sylfaen" w:hAnsi="Sylfaen" w:cs="Sylfaen"/>
          <w:lang w:val="ka-GE"/>
        </w:rPr>
        <w:t>შეამცირებს</w:t>
      </w:r>
      <w:r w:rsidRPr="00CD64B5">
        <w:rPr>
          <w:lang w:val="ka-GE"/>
        </w:rPr>
        <w:t xml:space="preserve"> </w:t>
      </w:r>
      <w:r w:rsidRPr="00CD64B5">
        <w:rPr>
          <w:rFonts w:ascii="Sylfaen" w:hAnsi="Sylfaen" w:cs="Sylfaen"/>
          <w:lang w:val="ka-GE"/>
        </w:rPr>
        <w:t>საძოვრებისა</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სახნავ</w:t>
      </w:r>
      <w:r w:rsidRPr="00CD64B5">
        <w:rPr>
          <w:lang w:val="ka-GE"/>
        </w:rPr>
        <w:t>-</w:t>
      </w:r>
      <w:r w:rsidRPr="00CD64B5">
        <w:rPr>
          <w:rFonts w:ascii="Sylfaen" w:hAnsi="Sylfaen" w:cs="Sylfaen"/>
          <w:lang w:val="ka-GE"/>
        </w:rPr>
        <w:t>სათესი</w:t>
      </w:r>
      <w:r w:rsidRPr="00CD64B5">
        <w:rPr>
          <w:lang w:val="ka-GE"/>
        </w:rPr>
        <w:t xml:space="preserve"> </w:t>
      </w:r>
      <w:r w:rsidRPr="00CD64B5">
        <w:rPr>
          <w:rFonts w:ascii="Sylfaen" w:hAnsi="Sylfaen" w:cs="Sylfaen"/>
          <w:lang w:val="ka-GE"/>
        </w:rPr>
        <w:t>მიწების</w:t>
      </w:r>
      <w:r w:rsidRPr="00CD64B5">
        <w:rPr>
          <w:lang w:val="ka-GE"/>
        </w:rPr>
        <w:t xml:space="preserve"> </w:t>
      </w:r>
      <w:r w:rsidRPr="00CD64B5">
        <w:rPr>
          <w:rFonts w:ascii="Sylfaen" w:hAnsi="Sylfaen" w:cs="Sylfaen"/>
          <w:lang w:val="ka-GE"/>
        </w:rPr>
        <w:t>ფართობებს</w:t>
      </w:r>
      <w:r w:rsidRPr="00CD64B5">
        <w:rPr>
          <w:lang w:val="ka-GE"/>
        </w:rPr>
        <w:t xml:space="preserve">. </w:t>
      </w:r>
    </w:p>
    <w:p w14:paraId="03FCB6E8" w14:textId="77777777" w:rsidR="00CD64B5" w:rsidRPr="00CD64B5" w:rsidRDefault="00CD64B5" w:rsidP="000E38C6">
      <w:pPr>
        <w:spacing w:before="120" w:after="120"/>
        <w:rPr>
          <w:lang w:val="ka-GE"/>
        </w:rPr>
      </w:pPr>
      <w:r w:rsidRPr="00CD64B5">
        <w:rPr>
          <w:rFonts w:ascii="Sylfaen" w:hAnsi="Sylfaen" w:cs="Sylfaen"/>
          <w:lang w:val="ka-GE"/>
        </w:rPr>
        <w:t>პროექტით</w:t>
      </w:r>
      <w:r w:rsidRPr="00CD64B5">
        <w:rPr>
          <w:lang w:val="ka-GE"/>
        </w:rPr>
        <w:t xml:space="preserve"> </w:t>
      </w:r>
      <w:r w:rsidRPr="00CD64B5">
        <w:rPr>
          <w:rFonts w:ascii="Sylfaen" w:hAnsi="Sylfaen" w:cs="Sylfaen"/>
          <w:lang w:val="ka-GE"/>
        </w:rPr>
        <w:t>გათვალისწინებული</w:t>
      </w:r>
      <w:r w:rsidRPr="00CD64B5">
        <w:rPr>
          <w:lang w:val="ka-GE"/>
        </w:rPr>
        <w:t xml:space="preserve"> </w:t>
      </w:r>
      <w:r w:rsidRPr="00CD64B5">
        <w:rPr>
          <w:rFonts w:ascii="Sylfaen" w:hAnsi="Sylfaen" w:cs="Sylfaen"/>
          <w:lang w:val="ka-GE"/>
        </w:rPr>
        <w:t>ხიდების</w:t>
      </w:r>
      <w:r w:rsidRPr="00CD64B5">
        <w:rPr>
          <w:lang w:val="ka-GE"/>
        </w:rPr>
        <w:t xml:space="preserve"> </w:t>
      </w:r>
      <w:r w:rsidRPr="00CD64B5">
        <w:rPr>
          <w:rFonts w:ascii="Sylfaen" w:hAnsi="Sylfaen" w:cs="Sylfaen"/>
          <w:lang w:val="ka-GE"/>
        </w:rPr>
        <w:t>მხედველობაში</w:t>
      </w:r>
      <w:r w:rsidRPr="00CD64B5">
        <w:rPr>
          <w:lang w:val="ka-GE"/>
        </w:rPr>
        <w:t xml:space="preserve"> </w:t>
      </w:r>
      <w:r w:rsidRPr="00CD64B5">
        <w:rPr>
          <w:rFonts w:ascii="Sylfaen" w:hAnsi="Sylfaen" w:cs="Sylfaen"/>
          <w:lang w:val="ka-GE"/>
        </w:rPr>
        <w:t>მიღებით</w:t>
      </w:r>
      <w:r w:rsidRPr="00CD64B5">
        <w:rPr>
          <w:lang w:val="ka-GE"/>
        </w:rPr>
        <w:t xml:space="preserve">, </w:t>
      </w:r>
      <w:r w:rsidRPr="00CD64B5">
        <w:rPr>
          <w:rFonts w:ascii="Sylfaen" w:hAnsi="Sylfaen" w:cs="Sylfaen"/>
          <w:lang w:val="ka-GE"/>
        </w:rPr>
        <w:t>ბარიერის</w:t>
      </w:r>
      <w:r w:rsidRPr="00CD64B5">
        <w:rPr>
          <w:lang w:val="ka-GE"/>
        </w:rPr>
        <w:t xml:space="preserve"> </w:t>
      </w:r>
      <w:r w:rsidRPr="00CD64B5">
        <w:rPr>
          <w:rFonts w:ascii="Sylfaen" w:hAnsi="Sylfaen" w:cs="Sylfaen"/>
          <w:lang w:val="ka-GE"/>
        </w:rPr>
        <w:t>ეფექტი</w:t>
      </w:r>
      <w:r w:rsidRPr="00CD64B5">
        <w:rPr>
          <w:lang w:val="ka-GE"/>
        </w:rPr>
        <w:t xml:space="preserve"> </w:t>
      </w:r>
      <w:r w:rsidRPr="00CD64B5">
        <w:rPr>
          <w:rFonts w:ascii="Sylfaen" w:hAnsi="Sylfaen" w:cs="Sylfaen"/>
          <w:lang w:val="ka-GE"/>
        </w:rPr>
        <w:t>დაბალი</w:t>
      </w:r>
      <w:r w:rsidRPr="00CD64B5">
        <w:rPr>
          <w:lang w:val="ka-GE"/>
        </w:rPr>
        <w:t xml:space="preserve"> </w:t>
      </w:r>
      <w:r w:rsidRPr="00CD64B5">
        <w:rPr>
          <w:rFonts w:ascii="Sylfaen" w:hAnsi="Sylfaen" w:cs="Sylfaen"/>
          <w:lang w:val="ka-GE"/>
        </w:rPr>
        <w:t>იქნება</w:t>
      </w:r>
      <w:r w:rsidRPr="00CD64B5">
        <w:rPr>
          <w:lang w:val="ka-GE"/>
        </w:rPr>
        <w:t xml:space="preserve">. </w:t>
      </w:r>
    </w:p>
    <w:p w14:paraId="110189EC" w14:textId="77777777" w:rsidR="00CD64B5" w:rsidRPr="000E38C6" w:rsidRDefault="00CD64B5" w:rsidP="000E38C6">
      <w:pPr>
        <w:spacing w:before="120" w:after="120"/>
        <w:rPr>
          <w:b/>
          <w:lang w:val="ka-GE"/>
        </w:rPr>
      </w:pPr>
      <w:r w:rsidRPr="00CD64B5">
        <w:rPr>
          <w:lang w:val="ka-GE"/>
        </w:rPr>
        <w:br/>
      </w:r>
      <w:r w:rsidRPr="000E38C6">
        <w:rPr>
          <w:rFonts w:ascii="Sylfaen" w:eastAsia="Calibri" w:hAnsi="Sylfaen" w:cs="Sylfaen"/>
          <w:b/>
          <w:lang w:val="ka-GE"/>
        </w:rPr>
        <w:t>შემარბილებელი</w:t>
      </w:r>
      <w:r w:rsidRPr="000E38C6">
        <w:rPr>
          <w:rFonts w:eastAsia="Calibri"/>
          <w:b/>
          <w:lang w:val="ka-GE"/>
        </w:rPr>
        <w:t xml:space="preserve"> </w:t>
      </w:r>
      <w:r w:rsidRPr="000E38C6">
        <w:rPr>
          <w:rFonts w:ascii="Sylfaen" w:eastAsia="Calibri" w:hAnsi="Sylfaen" w:cs="Sylfaen"/>
          <w:b/>
          <w:lang w:val="ka-GE"/>
        </w:rPr>
        <w:t>ღონისძიებები</w:t>
      </w:r>
      <w:r w:rsidRPr="000E38C6">
        <w:rPr>
          <w:rFonts w:eastAsia="Calibri"/>
          <w:b/>
          <w:lang w:val="ka-GE"/>
        </w:rPr>
        <w:t xml:space="preserve"> </w:t>
      </w:r>
      <w:r w:rsidRPr="000E38C6">
        <w:rPr>
          <w:rFonts w:ascii="Sylfaen" w:eastAsia="Calibri" w:hAnsi="Sylfaen" w:cs="Sylfaen"/>
          <w:b/>
          <w:lang w:val="ka-GE"/>
        </w:rPr>
        <w:t>ექსპლუატაციის</w:t>
      </w:r>
      <w:r w:rsidRPr="000E38C6">
        <w:rPr>
          <w:rFonts w:eastAsia="Calibri"/>
          <w:b/>
          <w:lang w:val="ka-GE"/>
        </w:rPr>
        <w:t xml:space="preserve"> </w:t>
      </w:r>
      <w:r w:rsidRPr="000E38C6">
        <w:rPr>
          <w:rFonts w:ascii="Sylfaen" w:eastAsia="Calibri" w:hAnsi="Sylfaen" w:cs="Sylfaen"/>
          <w:b/>
          <w:lang w:val="ka-GE"/>
        </w:rPr>
        <w:t>ეტაპზე</w:t>
      </w:r>
      <w:r w:rsidRPr="000E38C6">
        <w:rPr>
          <w:rFonts w:eastAsia="Calibri"/>
          <w:b/>
          <w:lang w:val="ka-GE"/>
        </w:rPr>
        <w:t>:</w:t>
      </w:r>
    </w:p>
    <w:p w14:paraId="0314D996" w14:textId="77777777" w:rsidR="00CD64B5" w:rsidRPr="00CD64B5" w:rsidRDefault="00CD64B5" w:rsidP="000E38C6">
      <w:pPr>
        <w:spacing w:before="120" w:after="120"/>
        <w:rPr>
          <w:rFonts w:eastAsia="Calibri"/>
          <w:lang w:val="ka-GE"/>
        </w:rPr>
      </w:pPr>
      <w:r w:rsidRPr="00CD64B5">
        <w:rPr>
          <w:rFonts w:ascii="Sylfaen" w:eastAsia="Calibri" w:hAnsi="Sylfaen" w:cs="Sylfaen"/>
          <w:lang w:val="ka-GE"/>
        </w:rPr>
        <w:t>ექსპლუატაციის</w:t>
      </w:r>
      <w:r w:rsidRPr="00CD64B5">
        <w:rPr>
          <w:rFonts w:eastAsia="Calibri"/>
          <w:lang w:val="ka-GE"/>
        </w:rPr>
        <w:t xml:space="preserve"> </w:t>
      </w:r>
      <w:r w:rsidRPr="00CD64B5">
        <w:rPr>
          <w:rFonts w:ascii="Sylfaen" w:eastAsia="Calibri" w:hAnsi="Sylfaen" w:cs="Sylfaen"/>
          <w:lang w:val="ka-GE"/>
        </w:rPr>
        <w:t>ეტაპზე</w:t>
      </w:r>
      <w:r w:rsidRPr="00CD64B5">
        <w:rPr>
          <w:rFonts w:eastAsia="Calibri"/>
          <w:lang w:val="ka-GE"/>
        </w:rPr>
        <w:t xml:space="preserve"> </w:t>
      </w:r>
      <w:r w:rsidRPr="00CD64B5">
        <w:rPr>
          <w:rFonts w:ascii="Sylfaen" w:eastAsia="Calibri" w:hAnsi="Sylfaen" w:cs="Sylfaen"/>
          <w:lang w:val="ka-GE"/>
        </w:rPr>
        <w:t>აუცილებელია</w:t>
      </w:r>
      <w:r w:rsidRPr="00CD64B5">
        <w:rPr>
          <w:rFonts w:eastAsia="Calibri"/>
          <w:lang w:val="ka-GE"/>
        </w:rPr>
        <w:t xml:space="preserve"> </w:t>
      </w:r>
      <w:r w:rsidRPr="00CD64B5">
        <w:rPr>
          <w:rFonts w:ascii="Sylfaen" w:eastAsia="Calibri" w:hAnsi="Sylfaen" w:cs="Sylfaen"/>
          <w:lang w:val="ka-GE"/>
        </w:rPr>
        <w:t>შემდეგი</w:t>
      </w:r>
      <w:r w:rsidRPr="00CD64B5">
        <w:rPr>
          <w:rFonts w:eastAsia="Calibri"/>
          <w:lang w:val="ka-GE"/>
        </w:rPr>
        <w:t xml:space="preserve"> </w:t>
      </w:r>
      <w:r w:rsidRPr="00CD64B5">
        <w:rPr>
          <w:rFonts w:ascii="Sylfaen" w:eastAsia="Calibri" w:hAnsi="Sylfaen" w:cs="Sylfaen"/>
          <w:lang w:val="ka-GE"/>
        </w:rPr>
        <w:t>საკითხების</w:t>
      </w:r>
      <w:r w:rsidRPr="00CD64B5">
        <w:rPr>
          <w:rFonts w:eastAsia="Calibri"/>
          <w:lang w:val="ka-GE"/>
        </w:rPr>
        <w:t xml:space="preserve"> </w:t>
      </w:r>
      <w:r w:rsidRPr="00CD64B5">
        <w:rPr>
          <w:rFonts w:ascii="Sylfaen" w:eastAsia="Calibri" w:hAnsi="Sylfaen" w:cs="Sylfaen"/>
          <w:lang w:val="ka-GE"/>
        </w:rPr>
        <w:t>გათვალისწინება</w:t>
      </w:r>
      <w:r w:rsidRPr="00CD64B5">
        <w:rPr>
          <w:rFonts w:eastAsia="Calibri"/>
          <w:lang w:val="ka-GE"/>
        </w:rPr>
        <w:t xml:space="preserve">: </w:t>
      </w:r>
    </w:p>
    <w:p w14:paraId="51EC0178" w14:textId="77777777" w:rsidR="00CD64B5" w:rsidRPr="00CD64B5" w:rsidRDefault="00CD64B5" w:rsidP="000E38C6">
      <w:pPr>
        <w:spacing w:before="120" w:after="120"/>
        <w:rPr>
          <w:rFonts w:eastAsia="Calibri"/>
          <w:lang w:val="ka-GE"/>
        </w:rPr>
      </w:pPr>
      <w:r w:rsidRPr="00CD64B5">
        <w:rPr>
          <w:rFonts w:ascii="Sylfaen" w:eastAsia="Calibri" w:hAnsi="Sylfaen" w:cs="Sylfaen"/>
          <w:lang w:val="ka-GE"/>
        </w:rPr>
        <w:t>ჰაბიტატის</w:t>
      </w:r>
      <w:r w:rsidRPr="00CD64B5">
        <w:rPr>
          <w:rFonts w:eastAsia="Calibri"/>
          <w:lang w:val="ka-GE"/>
        </w:rPr>
        <w:t xml:space="preserve"> </w:t>
      </w:r>
      <w:r w:rsidRPr="00CD64B5">
        <w:rPr>
          <w:rFonts w:ascii="Sylfaen" w:eastAsia="Calibri" w:hAnsi="Sylfaen" w:cs="Sylfaen"/>
          <w:lang w:val="ka-GE"/>
        </w:rPr>
        <w:t>ფრაგმენტაციით</w:t>
      </w:r>
      <w:r w:rsidRPr="00CD64B5">
        <w:rPr>
          <w:rFonts w:eastAsia="Calibri"/>
          <w:lang w:val="ka-GE"/>
        </w:rPr>
        <w:t xml:space="preserve"> </w:t>
      </w:r>
      <w:r w:rsidRPr="00CD64B5">
        <w:rPr>
          <w:rFonts w:ascii="Sylfaen" w:eastAsia="Calibri" w:hAnsi="Sylfaen" w:cs="Sylfaen"/>
          <w:lang w:val="ka-GE"/>
        </w:rPr>
        <w:t>გამოწვეული</w:t>
      </w:r>
      <w:r w:rsidRPr="00CD64B5">
        <w:rPr>
          <w:rFonts w:eastAsia="Calibri"/>
          <w:lang w:val="ka-GE"/>
        </w:rPr>
        <w:t xml:space="preserve"> </w:t>
      </w:r>
      <w:r w:rsidRPr="00CD64B5">
        <w:rPr>
          <w:rFonts w:ascii="Sylfaen" w:eastAsia="Calibri" w:hAnsi="Sylfaen" w:cs="Sylfaen"/>
          <w:lang w:val="ka-GE"/>
        </w:rPr>
        <w:t>ზემოქმედების</w:t>
      </w:r>
      <w:r w:rsidRPr="00CD64B5">
        <w:rPr>
          <w:rFonts w:eastAsia="Calibri"/>
          <w:lang w:val="ka-GE"/>
        </w:rPr>
        <w:t xml:space="preserve"> </w:t>
      </w:r>
      <w:r w:rsidRPr="00CD64B5">
        <w:rPr>
          <w:rFonts w:ascii="Sylfaen" w:eastAsia="Calibri" w:hAnsi="Sylfaen" w:cs="Sylfaen"/>
          <w:lang w:val="ka-GE"/>
        </w:rPr>
        <w:t>შემცირების</w:t>
      </w:r>
      <w:r w:rsidRPr="00CD64B5">
        <w:rPr>
          <w:rFonts w:eastAsia="Calibri"/>
          <w:lang w:val="ka-GE"/>
        </w:rPr>
        <w:t xml:space="preserve"> </w:t>
      </w:r>
      <w:r w:rsidRPr="00CD64B5">
        <w:rPr>
          <w:rFonts w:ascii="Sylfaen" w:eastAsia="Calibri" w:hAnsi="Sylfaen" w:cs="Sylfaen"/>
          <w:lang w:val="ka-GE"/>
        </w:rPr>
        <w:t>მიზნით</w:t>
      </w:r>
      <w:r w:rsidRPr="00CD64B5">
        <w:rPr>
          <w:rFonts w:eastAsia="Calibri"/>
          <w:lang w:val="ka-GE"/>
        </w:rPr>
        <w:t xml:space="preserve"> </w:t>
      </w:r>
      <w:r w:rsidRPr="00CD64B5">
        <w:rPr>
          <w:rFonts w:ascii="Sylfaen" w:eastAsia="Calibri" w:hAnsi="Sylfaen" w:cs="Sylfaen"/>
          <w:lang w:val="ka-GE"/>
        </w:rPr>
        <w:t>გათვალისწინებული</w:t>
      </w:r>
      <w:r w:rsidRPr="00CD64B5">
        <w:rPr>
          <w:rFonts w:eastAsia="Calibri"/>
          <w:lang w:val="ka-GE"/>
        </w:rPr>
        <w:t xml:space="preserve"> </w:t>
      </w:r>
      <w:r w:rsidRPr="00CD64B5">
        <w:rPr>
          <w:rFonts w:ascii="Sylfaen" w:eastAsia="Calibri" w:hAnsi="Sylfaen" w:cs="Sylfaen"/>
          <w:lang w:val="ka-GE"/>
        </w:rPr>
        <w:t>უნდა</w:t>
      </w:r>
      <w:r w:rsidRPr="00CD64B5">
        <w:rPr>
          <w:rFonts w:eastAsia="Calibri"/>
          <w:lang w:val="ka-GE"/>
        </w:rPr>
        <w:t xml:space="preserve"> </w:t>
      </w:r>
      <w:r w:rsidRPr="00CD64B5">
        <w:rPr>
          <w:rFonts w:ascii="Sylfaen" w:eastAsia="Calibri" w:hAnsi="Sylfaen" w:cs="Sylfaen"/>
          <w:lang w:val="ka-GE"/>
        </w:rPr>
        <w:t>იყოს</w:t>
      </w:r>
      <w:r w:rsidRPr="00CD64B5">
        <w:rPr>
          <w:rFonts w:eastAsia="Calibri"/>
          <w:lang w:val="ka-GE"/>
        </w:rPr>
        <w:t xml:space="preserve"> </w:t>
      </w:r>
      <w:r w:rsidRPr="00CD64B5">
        <w:rPr>
          <w:rFonts w:ascii="Sylfaen" w:eastAsia="Calibri" w:hAnsi="Sylfaen" w:cs="Sylfaen"/>
          <w:lang w:val="ka-GE"/>
        </w:rPr>
        <w:t>გადასასვლელების</w:t>
      </w:r>
      <w:r w:rsidRPr="00CD64B5">
        <w:rPr>
          <w:rFonts w:eastAsia="Calibri"/>
          <w:lang w:val="ka-GE"/>
        </w:rPr>
        <w:t xml:space="preserve"> </w:t>
      </w:r>
      <w:r w:rsidRPr="00CD64B5">
        <w:rPr>
          <w:rFonts w:ascii="Sylfaen" w:eastAsia="Calibri" w:hAnsi="Sylfaen" w:cs="Sylfaen"/>
          <w:lang w:val="ka-GE"/>
        </w:rPr>
        <w:t>მოწყობა</w:t>
      </w:r>
      <w:r w:rsidRPr="00CD64B5">
        <w:rPr>
          <w:rFonts w:eastAsia="Calibri"/>
          <w:lang w:val="ka-GE"/>
        </w:rPr>
        <w:t xml:space="preserve"> </w:t>
      </w:r>
      <w:r w:rsidRPr="00CD64B5">
        <w:rPr>
          <w:rFonts w:ascii="Sylfaen" w:eastAsia="Calibri" w:hAnsi="Sylfaen" w:cs="Sylfaen"/>
          <w:lang w:val="ka-GE"/>
        </w:rPr>
        <w:t>გზის</w:t>
      </w:r>
      <w:r w:rsidRPr="00CD64B5">
        <w:rPr>
          <w:rFonts w:eastAsia="Calibri"/>
          <w:lang w:val="ka-GE"/>
        </w:rPr>
        <w:t xml:space="preserve"> </w:t>
      </w:r>
      <w:r w:rsidRPr="00CD64B5">
        <w:rPr>
          <w:rFonts w:ascii="Sylfaen" w:eastAsia="Calibri" w:hAnsi="Sylfaen" w:cs="Sylfaen"/>
          <w:lang w:val="ka-GE"/>
        </w:rPr>
        <w:t>ქვეშ</w:t>
      </w:r>
      <w:r w:rsidRPr="00CD64B5">
        <w:rPr>
          <w:rFonts w:eastAsia="Calibri"/>
          <w:lang w:val="ka-GE"/>
        </w:rPr>
        <w:t xml:space="preserve">; </w:t>
      </w:r>
    </w:p>
    <w:p w14:paraId="6601385A" w14:textId="77777777" w:rsidR="00CD64B5" w:rsidRPr="00CD64B5" w:rsidRDefault="00CD64B5" w:rsidP="000E38C6">
      <w:pPr>
        <w:spacing w:before="120" w:after="120"/>
        <w:rPr>
          <w:rFonts w:eastAsia="Calibri"/>
          <w:lang w:val="ka-GE"/>
        </w:rPr>
      </w:pPr>
      <w:r w:rsidRPr="00CD64B5">
        <w:rPr>
          <w:rFonts w:ascii="Sylfaen" w:eastAsia="Calibri" w:hAnsi="Sylfaen" w:cs="Sylfaen"/>
          <w:lang w:val="ka-GE"/>
        </w:rPr>
        <w:t>გზის</w:t>
      </w:r>
      <w:r w:rsidRPr="00CD64B5">
        <w:rPr>
          <w:rFonts w:eastAsia="Calibri"/>
          <w:lang w:val="ka-GE"/>
        </w:rPr>
        <w:t xml:space="preserve"> </w:t>
      </w:r>
      <w:r w:rsidRPr="00CD64B5">
        <w:rPr>
          <w:rFonts w:ascii="Sylfaen" w:eastAsia="Calibri" w:hAnsi="Sylfaen" w:cs="Sylfaen"/>
          <w:lang w:val="ka-GE"/>
        </w:rPr>
        <w:t>გასწვრივ</w:t>
      </w:r>
      <w:r w:rsidRPr="00CD64B5">
        <w:rPr>
          <w:rFonts w:eastAsia="Calibri"/>
          <w:lang w:val="ka-GE"/>
        </w:rPr>
        <w:t xml:space="preserve"> </w:t>
      </w:r>
      <w:r w:rsidRPr="00CD64B5">
        <w:rPr>
          <w:rFonts w:ascii="Sylfaen" w:eastAsia="Calibri" w:hAnsi="Sylfaen" w:cs="Sylfaen"/>
          <w:lang w:val="ka-GE"/>
        </w:rPr>
        <w:t>დაგროვილი</w:t>
      </w:r>
      <w:r w:rsidRPr="00CD64B5">
        <w:rPr>
          <w:rFonts w:eastAsia="Calibri"/>
          <w:lang w:val="ka-GE"/>
        </w:rPr>
        <w:t xml:space="preserve"> </w:t>
      </w:r>
      <w:r w:rsidRPr="00CD64B5">
        <w:rPr>
          <w:rFonts w:ascii="Sylfaen" w:eastAsia="Calibri" w:hAnsi="Sylfaen" w:cs="Sylfaen"/>
          <w:lang w:val="ka-GE"/>
        </w:rPr>
        <w:t>ნარჩენების</w:t>
      </w:r>
      <w:r w:rsidRPr="00CD64B5">
        <w:rPr>
          <w:rFonts w:eastAsia="Calibri"/>
          <w:lang w:val="ka-GE"/>
        </w:rPr>
        <w:t xml:space="preserve"> </w:t>
      </w:r>
      <w:r w:rsidRPr="00CD64B5">
        <w:rPr>
          <w:rFonts w:ascii="Sylfaen" w:eastAsia="Calibri" w:hAnsi="Sylfaen" w:cs="Sylfaen"/>
          <w:lang w:val="ka-GE"/>
        </w:rPr>
        <w:t>რეგულარული</w:t>
      </w:r>
      <w:r w:rsidRPr="00CD64B5">
        <w:rPr>
          <w:rFonts w:eastAsia="Calibri"/>
          <w:lang w:val="ka-GE"/>
        </w:rPr>
        <w:t xml:space="preserve"> </w:t>
      </w:r>
      <w:r w:rsidRPr="00CD64B5">
        <w:rPr>
          <w:rFonts w:ascii="Sylfaen" w:eastAsia="Calibri" w:hAnsi="Sylfaen" w:cs="Sylfaen"/>
          <w:lang w:val="ka-GE"/>
        </w:rPr>
        <w:t>შეგროვება</w:t>
      </w:r>
      <w:r w:rsidRPr="00CD64B5">
        <w:rPr>
          <w:rFonts w:eastAsia="Calibri"/>
          <w:lang w:val="ka-GE"/>
        </w:rPr>
        <w:t xml:space="preserve">; </w:t>
      </w:r>
    </w:p>
    <w:p w14:paraId="57DBCAC8" w14:textId="77777777" w:rsidR="00CD64B5" w:rsidRPr="00CD64B5" w:rsidRDefault="00CD64B5" w:rsidP="000E38C6">
      <w:pPr>
        <w:spacing w:before="120" w:after="120"/>
        <w:rPr>
          <w:rFonts w:eastAsia="Calibri"/>
          <w:lang w:val="ka-GE"/>
        </w:rPr>
      </w:pPr>
      <w:r w:rsidRPr="00CD64B5">
        <w:rPr>
          <w:rFonts w:ascii="Sylfaen" w:eastAsia="Calibri" w:hAnsi="Sylfaen" w:cs="Sylfaen"/>
          <w:lang w:val="ka-GE"/>
        </w:rPr>
        <w:t>მცენარეებისა</w:t>
      </w:r>
      <w:r w:rsidRPr="00CD64B5">
        <w:rPr>
          <w:rFonts w:eastAsia="Calibri"/>
          <w:lang w:val="ka-GE"/>
        </w:rPr>
        <w:t xml:space="preserve"> </w:t>
      </w:r>
      <w:r w:rsidRPr="00CD64B5">
        <w:rPr>
          <w:rFonts w:ascii="Sylfaen" w:eastAsia="Calibri" w:hAnsi="Sylfaen" w:cs="Sylfaen"/>
          <w:lang w:val="ka-GE"/>
        </w:rPr>
        <w:t>და</w:t>
      </w:r>
      <w:r w:rsidRPr="00CD64B5">
        <w:rPr>
          <w:rFonts w:eastAsia="Calibri"/>
          <w:lang w:val="ka-GE"/>
        </w:rPr>
        <w:t xml:space="preserve"> </w:t>
      </w:r>
      <w:r w:rsidRPr="00CD64B5">
        <w:rPr>
          <w:rFonts w:ascii="Sylfaen" w:eastAsia="Calibri" w:hAnsi="Sylfaen" w:cs="Sylfaen"/>
          <w:lang w:val="ka-GE"/>
        </w:rPr>
        <w:t>ხეების</w:t>
      </w:r>
      <w:r w:rsidRPr="00CD64B5">
        <w:rPr>
          <w:rFonts w:eastAsia="Calibri"/>
          <w:lang w:val="ka-GE"/>
        </w:rPr>
        <w:t xml:space="preserve"> </w:t>
      </w:r>
      <w:r w:rsidRPr="00CD64B5">
        <w:rPr>
          <w:rFonts w:ascii="Sylfaen" w:eastAsia="Calibri" w:hAnsi="Sylfaen" w:cs="Sylfaen"/>
          <w:lang w:val="ka-GE"/>
        </w:rPr>
        <w:t>დარგვა</w:t>
      </w:r>
      <w:r w:rsidRPr="00CD64B5">
        <w:rPr>
          <w:rFonts w:eastAsia="Calibri"/>
          <w:lang w:val="ka-GE"/>
        </w:rPr>
        <w:t xml:space="preserve"> </w:t>
      </w:r>
      <w:r w:rsidRPr="00CD64B5">
        <w:rPr>
          <w:rFonts w:ascii="Sylfaen" w:eastAsia="Calibri" w:hAnsi="Sylfaen" w:cs="Sylfaen"/>
          <w:lang w:val="ka-GE"/>
        </w:rPr>
        <w:t>და</w:t>
      </w:r>
      <w:r w:rsidRPr="00CD64B5">
        <w:rPr>
          <w:rFonts w:eastAsia="Calibri"/>
          <w:lang w:val="ka-GE"/>
        </w:rPr>
        <w:t xml:space="preserve"> </w:t>
      </w:r>
      <w:r w:rsidRPr="00CD64B5">
        <w:rPr>
          <w:rFonts w:ascii="Sylfaen" w:eastAsia="Calibri" w:hAnsi="Sylfaen" w:cs="Sylfaen"/>
          <w:lang w:val="ka-GE"/>
        </w:rPr>
        <w:t>მოვლა</w:t>
      </w:r>
      <w:r w:rsidRPr="00CD64B5">
        <w:rPr>
          <w:rFonts w:eastAsia="Calibri"/>
          <w:lang w:val="ka-GE"/>
        </w:rPr>
        <w:t xml:space="preserve"> </w:t>
      </w:r>
      <w:r w:rsidRPr="00CD64B5">
        <w:rPr>
          <w:rFonts w:ascii="Sylfaen" w:eastAsia="Calibri" w:hAnsi="Sylfaen" w:cs="Sylfaen"/>
          <w:lang w:val="ka-GE"/>
        </w:rPr>
        <w:t>შესაბამის</w:t>
      </w:r>
      <w:r w:rsidRPr="00CD64B5">
        <w:rPr>
          <w:rFonts w:eastAsia="Calibri"/>
          <w:lang w:val="ka-GE"/>
        </w:rPr>
        <w:t xml:space="preserve"> </w:t>
      </w:r>
      <w:r w:rsidRPr="00CD64B5">
        <w:rPr>
          <w:rFonts w:ascii="Sylfaen" w:eastAsia="Calibri" w:hAnsi="Sylfaen" w:cs="Sylfaen"/>
          <w:lang w:val="ka-GE"/>
        </w:rPr>
        <w:t>ზონებში</w:t>
      </w:r>
      <w:r w:rsidRPr="00CD64B5">
        <w:rPr>
          <w:rFonts w:eastAsia="Calibri"/>
          <w:lang w:val="ka-GE"/>
        </w:rPr>
        <w:t xml:space="preserve"> </w:t>
      </w:r>
      <w:r w:rsidRPr="00CD64B5">
        <w:rPr>
          <w:rFonts w:ascii="Sylfaen" w:eastAsia="Calibri" w:hAnsi="Sylfaen" w:cs="Sylfaen"/>
          <w:lang w:val="ka-GE"/>
        </w:rPr>
        <w:t>მცენარეული</w:t>
      </w:r>
      <w:r w:rsidRPr="00CD64B5">
        <w:rPr>
          <w:rFonts w:eastAsia="Calibri"/>
          <w:lang w:val="ka-GE"/>
        </w:rPr>
        <w:t xml:space="preserve"> </w:t>
      </w:r>
      <w:r w:rsidRPr="00CD64B5">
        <w:rPr>
          <w:rFonts w:ascii="Sylfaen" w:eastAsia="Calibri" w:hAnsi="Sylfaen" w:cs="Sylfaen"/>
          <w:lang w:val="ka-GE"/>
        </w:rPr>
        <w:t>საფარის</w:t>
      </w:r>
      <w:r w:rsidRPr="00CD64B5">
        <w:rPr>
          <w:rFonts w:eastAsia="Calibri"/>
          <w:lang w:val="ka-GE"/>
        </w:rPr>
        <w:t xml:space="preserve"> </w:t>
      </w:r>
      <w:r w:rsidRPr="00CD64B5">
        <w:rPr>
          <w:rFonts w:ascii="Sylfaen" w:eastAsia="Calibri" w:hAnsi="Sylfaen" w:cs="Sylfaen"/>
          <w:lang w:val="ka-GE"/>
        </w:rPr>
        <w:t>ზიანის</w:t>
      </w:r>
      <w:r w:rsidRPr="00CD64B5">
        <w:rPr>
          <w:rFonts w:eastAsia="Calibri"/>
          <w:lang w:val="ka-GE"/>
        </w:rPr>
        <w:t xml:space="preserve"> </w:t>
      </w:r>
      <w:r w:rsidRPr="00CD64B5">
        <w:rPr>
          <w:rFonts w:ascii="Sylfaen" w:eastAsia="Calibri" w:hAnsi="Sylfaen" w:cs="Sylfaen"/>
          <w:lang w:val="ka-GE"/>
        </w:rPr>
        <w:t>საკომპენსაციოდ</w:t>
      </w:r>
      <w:r w:rsidRPr="00CD64B5">
        <w:rPr>
          <w:rFonts w:eastAsia="Calibri"/>
          <w:lang w:val="ka-GE"/>
        </w:rPr>
        <w:t xml:space="preserve">; </w:t>
      </w:r>
    </w:p>
    <w:p w14:paraId="25FF3EB0" w14:textId="77777777" w:rsidR="00CD64B5" w:rsidRPr="00CD64B5" w:rsidRDefault="00CD64B5" w:rsidP="000E38C6">
      <w:pPr>
        <w:spacing w:before="120" w:after="120"/>
        <w:rPr>
          <w:rFonts w:eastAsia="Calibri"/>
          <w:lang w:val="ka-GE"/>
        </w:rPr>
      </w:pPr>
      <w:r w:rsidRPr="00CD64B5">
        <w:rPr>
          <w:rFonts w:ascii="Sylfaen" w:eastAsia="Calibri" w:hAnsi="Sylfaen" w:cs="Sylfaen"/>
          <w:lang w:val="ka-GE"/>
        </w:rPr>
        <w:t>გზის</w:t>
      </w:r>
      <w:r w:rsidRPr="00CD64B5">
        <w:rPr>
          <w:rFonts w:eastAsia="Calibri"/>
          <w:lang w:val="ka-GE"/>
        </w:rPr>
        <w:t xml:space="preserve"> </w:t>
      </w:r>
      <w:r w:rsidRPr="00CD64B5">
        <w:rPr>
          <w:rFonts w:ascii="Sylfaen" w:eastAsia="Calibri" w:hAnsi="Sylfaen" w:cs="Sylfaen"/>
          <w:lang w:val="ka-GE"/>
        </w:rPr>
        <w:t>მომსახურეობის</w:t>
      </w:r>
      <w:r w:rsidRPr="00CD64B5">
        <w:rPr>
          <w:rFonts w:eastAsia="Calibri"/>
          <w:lang w:val="ka-GE"/>
        </w:rPr>
        <w:t xml:space="preserve"> (</w:t>
      </w:r>
      <w:r w:rsidRPr="00CD64B5">
        <w:rPr>
          <w:rFonts w:ascii="Sylfaen" w:eastAsia="Calibri" w:hAnsi="Sylfaen" w:cs="Sylfaen"/>
          <w:lang w:val="ka-GE"/>
        </w:rPr>
        <w:t>სარემონტო</w:t>
      </w:r>
      <w:r w:rsidRPr="00CD64B5">
        <w:rPr>
          <w:rFonts w:eastAsia="Calibri"/>
          <w:lang w:val="ka-GE"/>
        </w:rPr>
        <w:t xml:space="preserve">) </w:t>
      </w:r>
      <w:r w:rsidRPr="00CD64B5">
        <w:rPr>
          <w:rFonts w:ascii="Sylfaen" w:eastAsia="Calibri" w:hAnsi="Sylfaen" w:cs="Sylfaen"/>
          <w:lang w:val="ka-GE"/>
        </w:rPr>
        <w:t>სამუშაოების</w:t>
      </w:r>
      <w:r w:rsidRPr="00CD64B5">
        <w:rPr>
          <w:rFonts w:eastAsia="Calibri"/>
          <w:lang w:val="ka-GE"/>
        </w:rPr>
        <w:t xml:space="preserve"> </w:t>
      </w:r>
      <w:r w:rsidRPr="00CD64B5">
        <w:rPr>
          <w:rFonts w:ascii="Sylfaen" w:eastAsia="Calibri" w:hAnsi="Sylfaen" w:cs="Sylfaen"/>
          <w:lang w:val="ka-GE"/>
        </w:rPr>
        <w:t>წარმოებისას</w:t>
      </w:r>
      <w:r w:rsidRPr="00CD64B5">
        <w:rPr>
          <w:rFonts w:eastAsia="Calibri"/>
          <w:lang w:val="ka-GE"/>
        </w:rPr>
        <w:t xml:space="preserve"> </w:t>
      </w:r>
      <w:r w:rsidRPr="00CD64B5">
        <w:rPr>
          <w:rFonts w:ascii="Sylfaen" w:eastAsia="Calibri" w:hAnsi="Sylfaen" w:cs="Sylfaen"/>
          <w:lang w:val="ka-GE"/>
        </w:rPr>
        <w:t>გათვალისწინებული</w:t>
      </w:r>
      <w:r w:rsidRPr="00CD64B5">
        <w:rPr>
          <w:rFonts w:eastAsia="Calibri"/>
          <w:lang w:val="ka-GE"/>
        </w:rPr>
        <w:t xml:space="preserve"> </w:t>
      </w:r>
      <w:r w:rsidRPr="00CD64B5">
        <w:rPr>
          <w:rFonts w:ascii="Sylfaen" w:eastAsia="Calibri" w:hAnsi="Sylfaen" w:cs="Sylfaen"/>
          <w:lang w:val="ka-GE"/>
        </w:rPr>
        <w:t>უნდა</w:t>
      </w:r>
      <w:r w:rsidRPr="00CD64B5">
        <w:rPr>
          <w:rFonts w:eastAsia="Calibri"/>
          <w:lang w:val="ka-GE"/>
        </w:rPr>
        <w:t xml:space="preserve"> </w:t>
      </w:r>
      <w:r w:rsidRPr="00CD64B5">
        <w:rPr>
          <w:rFonts w:ascii="Sylfaen" w:eastAsia="Calibri" w:hAnsi="Sylfaen" w:cs="Sylfaen"/>
          <w:lang w:val="ka-GE"/>
        </w:rPr>
        <w:t>იყოს</w:t>
      </w:r>
      <w:r w:rsidRPr="00CD64B5">
        <w:rPr>
          <w:rFonts w:eastAsia="Calibri"/>
          <w:lang w:val="ka-GE"/>
        </w:rPr>
        <w:t xml:space="preserve"> </w:t>
      </w:r>
      <w:r w:rsidRPr="00CD64B5">
        <w:rPr>
          <w:rFonts w:ascii="Sylfaen" w:eastAsia="Calibri" w:hAnsi="Sylfaen" w:cs="Sylfaen"/>
          <w:lang w:val="ka-GE"/>
        </w:rPr>
        <w:t>შემარბილებელი</w:t>
      </w:r>
      <w:r w:rsidRPr="00CD64B5">
        <w:rPr>
          <w:rFonts w:eastAsia="Calibri"/>
          <w:lang w:val="ka-GE"/>
        </w:rPr>
        <w:t xml:space="preserve"> </w:t>
      </w:r>
      <w:r w:rsidRPr="00CD64B5">
        <w:rPr>
          <w:rFonts w:ascii="Sylfaen" w:eastAsia="Calibri" w:hAnsi="Sylfaen" w:cs="Sylfaen"/>
          <w:lang w:val="ka-GE"/>
        </w:rPr>
        <w:t>ღონისძიებები</w:t>
      </w:r>
      <w:r w:rsidRPr="00CD64B5">
        <w:rPr>
          <w:rFonts w:eastAsia="Calibri"/>
          <w:lang w:val="ka-GE"/>
        </w:rPr>
        <w:t xml:space="preserve"> (</w:t>
      </w:r>
      <w:r w:rsidRPr="00CD64B5">
        <w:rPr>
          <w:rFonts w:ascii="Sylfaen" w:eastAsia="Calibri" w:hAnsi="Sylfaen" w:cs="Sylfaen"/>
          <w:lang w:val="ka-GE"/>
        </w:rPr>
        <w:t>რომლებიც</w:t>
      </w:r>
      <w:r w:rsidRPr="00CD64B5">
        <w:rPr>
          <w:rFonts w:eastAsia="Calibri"/>
          <w:lang w:val="ka-GE"/>
        </w:rPr>
        <w:t xml:space="preserve"> </w:t>
      </w:r>
      <w:r w:rsidRPr="00CD64B5">
        <w:rPr>
          <w:rFonts w:ascii="Sylfaen" w:eastAsia="Calibri" w:hAnsi="Sylfaen" w:cs="Sylfaen"/>
          <w:lang w:val="ka-GE"/>
        </w:rPr>
        <w:t>შემუშავებულია</w:t>
      </w:r>
      <w:r w:rsidRPr="00CD64B5">
        <w:rPr>
          <w:rFonts w:eastAsia="Calibri"/>
          <w:lang w:val="ka-GE"/>
        </w:rPr>
        <w:t xml:space="preserve"> </w:t>
      </w:r>
      <w:r w:rsidRPr="00CD64B5">
        <w:rPr>
          <w:rFonts w:ascii="Sylfaen" w:eastAsia="Calibri" w:hAnsi="Sylfaen" w:cs="Sylfaen"/>
          <w:lang w:val="ka-GE"/>
        </w:rPr>
        <w:t>მშენებლობის</w:t>
      </w:r>
      <w:r w:rsidRPr="00CD64B5">
        <w:rPr>
          <w:rFonts w:eastAsia="Calibri"/>
          <w:lang w:val="ka-GE"/>
        </w:rPr>
        <w:t xml:space="preserve"> </w:t>
      </w:r>
      <w:r w:rsidRPr="00CD64B5">
        <w:rPr>
          <w:rFonts w:ascii="Sylfaen" w:eastAsia="Calibri" w:hAnsi="Sylfaen" w:cs="Sylfaen"/>
          <w:lang w:val="ka-GE"/>
        </w:rPr>
        <w:t>ეტაპისთვის</w:t>
      </w:r>
      <w:r w:rsidRPr="00CD64B5">
        <w:rPr>
          <w:rFonts w:eastAsia="Calibri"/>
          <w:lang w:val="ka-GE"/>
        </w:rPr>
        <w:t xml:space="preserve">), </w:t>
      </w:r>
      <w:r w:rsidRPr="00CD64B5">
        <w:rPr>
          <w:rFonts w:ascii="Sylfaen" w:eastAsia="Calibri" w:hAnsi="Sylfaen" w:cs="Sylfaen"/>
          <w:lang w:val="ka-GE"/>
        </w:rPr>
        <w:t>რაც</w:t>
      </w:r>
      <w:r w:rsidRPr="00CD64B5">
        <w:rPr>
          <w:rFonts w:eastAsia="Calibri"/>
          <w:lang w:val="ka-GE"/>
        </w:rPr>
        <w:t xml:space="preserve"> </w:t>
      </w:r>
      <w:r w:rsidRPr="00CD64B5">
        <w:rPr>
          <w:rFonts w:ascii="Sylfaen" w:eastAsia="Calibri" w:hAnsi="Sylfaen" w:cs="Sylfaen"/>
          <w:lang w:val="ka-GE"/>
        </w:rPr>
        <w:t>შეამცირებს</w:t>
      </w:r>
      <w:r w:rsidRPr="00CD64B5">
        <w:rPr>
          <w:rFonts w:eastAsia="Calibri"/>
          <w:lang w:val="ka-GE"/>
        </w:rPr>
        <w:t xml:space="preserve"> </w:t>
      </w:r>
      <w:r w:rsidRPr="00CD64B5">
        <w:rPr>
          <w:rFonts w:ascii="Sylfaen" w:eastAsia="Calibri" w:hAnsi="Sylfaen" w:cs="Sylfaen"/>
          <w:lang w:val="ka-GE"/>
        </w:rPr>
        <w:t>მავნე</w:t>
      </w:r>
      <w:r w:rsidRPr="00CD64B5">
        <w:rPr>
          <w:rFonts w:eastAsia="Calibri"/>
          <w:lang w:val="ka-GE"/>
        </w:rPr>
        <w:t xml:space="preserve"> </w:t>
      </w:r>
      <w:r w:rsidRPr="00CD64B5">
        <w:rPr>
          <w:rFonts w:ascii="Sylfaen" w:eastAsia="Calibri" w:hAnsi="Sylfaen" w:cs="Sylfaen"/>
          <w:lang w:val="ka-GE"/>
        </w:rPr>
        <w:t>ნივთიერებების</w:t>
      </w:r>
      <w:r w:rsidRPr="00CD64B5">
        <w:rPr>
          <w:rFonts w:eastAsia="Calibri"/>
          <w:lang w:val="ka-GE"/>
        </w:rPr>
        <w:t xml:space="preserve"> </w:t>
      </w:r>
      <w:r w:rsidRPr="00CD64B5">
        <w:rPr>
          <w:rFonts w:ascii="Sylfaen" w:eastAsia="Calibri" w:hAnsi="Sylfaen" w:cs="Sylfaen"/>
          <w:lang w:val="ka-GE"/>
        </w:rPr>
        <w:t>ემისიასა</w:t>
      </w:r>
      <w:r w:rsidRPr="00CD64B5">
        <w:rPr>
          <w:rFonts w:eastAsia="Calibri"/>
          <w:lang w:val="ka-GE"/>
        </w:rPr>
        <w:t xml:space="preserve"> </w:t>
      </w:r>
      <w:r w:rsidRPr="00CD64B5">
        <w:rPr>
          <w:rFonts w:ascii="Sylfaen" w:eastAsia="Calibri" w:hAnsi="Sylfaen" w:cs="Sylfaen"/>
          <w:lang w:val="ka-GE"/>
        </w:rPr>
        <w:t>და</w:t>
      </w:r>
      <w:r w:rsidRPr="00CD64B5">
        <w:rPr>
          <w:rFonts w:eastAsia="Calibri"/>
          <w:lang w:val="ka-GE"/>
        </w:rPr>
        <w:t xml:space="preserve"> </w:t>
      </w:r>
      <w:r w:rsidRPr="00CD64B5">
        <w:rPr>
          <w:rFonts w:ascii="Sylfaen" w:eastAsia="Calibri" w:hAnsi="Sylfaen" w:cs="Sylfaen"/>
          <w:lang w:val="ka-GE"/>
        </w:rPr>
        <w:t>წყლის</w:t>
      </w:r>
      <w:r w:rsidRPr="00CD64B5">
        <w:rPr>
          <w:rFonts w:eastAsia="Calibri"/>
          <w:lang w:val="ka-GE"/>
        </w:rPr>
        <w:t xml:space="preserve"> </w:t>
      </w:r>
      <w:r w:rsidRPr="00CD64B5">
        <w:rPr>
          <w:rFonts w:ascii="Sylfaen" w:eastAsia="Calibri" w:hAnsi="Sylfaen" w:cs="Sylfaen"/>
          <w:lang w:val="ka-GE"/>
        </w:rPr>
        <w:t>დაბინძურებას</w:t>
      </w:r>
      <w:r w:rsidRPr="00CD64B5">
        <w:rPr>
          <w:rFonts w:eastAsia="Calibri"/>
          <w:lang w:val="ka-GE"/>
        </w:rPr>
        <w:t>.</w:t>
      </w:r>
    </w:p>
    <w:p w14:paraId="4C14AC38" w14:textId="77777777" w:rsidR="00CD64B5" w:rsidRPr="001352AB" w:rsidRDefault="00CD64B5" w:rsidP="000E38C6">
      <w:pPr>
        <w:spacing w:before="120" w:after="120"/>
        <w:rPr>
          <w:rFonts w:eastAsia="Calibri"/>
          <w:lang w:val="ka-GE"/>
        </w:rPr>
      </w:pPr>
    </w:p>
    <w:p w14:paraId="501FC8B8" w14:textId="77777777" w:rsidR="00CD64B5" w:rsidRPr="00CD64B5" w:rsidRDefault="00CD64B5" w:rsidP="000E38C6">
      <w:pPr>
        <w:pStyle w:val="EIAheading2"/>
        <w:rPr>
          <w:rFonts w:eastAsia="Calibri"/>
          <w:lang w:val="ka-GE"/>
        </w:rPr>
      </w:pPr>
      <w:bookmarkStart w:id="412" w:name="_Toc529977415"/>
      <w:bookmarkStart w:id="413" w:name="_Toc495314402"/>
      <w:bookmarkStart w:id="414" w:name="_Toc479166534"/>
      <w:bookmarkStart w:id="415" w:name="_Toc479164804"/>
      <w:bookmarkStart w:id="416" w:name="_Toc464212208"/>
      <w:bookmarkStart w:id="417" w:name="_Toc1581577"/>
      <w:bookmarkEnd w:id="347"/>
      <w:bookmarkEnd w:id="348"/>
      <w:bookmarkEnd w:id="349"/>
      <w:bookmarkEnd w:id="350"/>
      <w:r w:rsidRPr="00CD64B5">
        <w:rPr>
          <w:lang w:val="ka-GE"/>
        </w:rPr>
        <w:t xml:space="preserve">7.8 </w:t>
      </w:r>
      <w:r w:rsidRPr="00CD64B5">
        <w:rPr>
          <w:rFonts w:ascii="Sylfaen" w:hAnsi="Sylfaen" w:cs="Sylfaen"/>
          <w:lang w:val="ka-GE"/>
        </w:rPr>
        <w:t>ვიზუალურ</w:t>
      </w:r>
      <w:r w:rsidRPr="00CD64B5">
        <w:rPr>
          <w:lang w:val="ka-GE"/>
        </w:rPr>
        <w:t>-</w:t>
      </w:r>
      <w:r w:rsidRPr="00CD64B5">
        <w:rPr>
          <w:rFonts w:ascii="Sylfaen" w:hAnsi="Sylfaen" w:cs="Sylfaen"/>
          <w:lang w:val="ka-GE"/>
        </w:rPr>
        <w:t>ლანდშაფტური</w:t>
      </w:r>
      <w:r w:rsidRPr="00CD64B5">
        <w:rPr>
          <w:lang w:val="ka-GE"/>
        </w:rPr>
        <w:t xml:space="preserve"> </w:t>
      </w:r>
      <w:r w:rsidRPr="00CD64B5">
        <w:rPr>
          <w:rFonts w:ascii="Sylfaen" w:hAnsi="Sylfaen" w:cs="Sylfaen"/>
          <w:lang w:val="ka-GE"/>
        </w:rPr>
        <w:t>ცვლილება</w:t>
      </w:r>
      <w:bookmarkEnd w:id="412"/>
      <w:bookmarkEnd w:id="413"/>
      <w:bookmarkEnd w:id="414"/>
      <w:bookmarkEnd w:id="415"/>
      <w:bookmarkEnd w:id="416"/>
      <w:bookmarkEnd w:id="417"/>
    </w:p>
    <w:p w14:paraId="6E6415A8" w14:textId="77777777" w:rsidR="00CD64B5" w:rsidRPr="00CD64B5" w:rsidRDefault="00CD64B5" w:rsidP="000E38C6">
      <w:pPr>
        <w:pStyle w:val="Heading3"/>
        <w:rPr>
          <w:lang w:val="ka-GE"/>
        </w:rPr>
      </w:pPr>
      <w:bookmarkStart w:id="418" w:name="_Toc529977416"/>
      <w:bookmarkStart w:id="419" w:name="_Toc495314403"/>
      <w:bookmarkStart w:id="420" w:name="_Toc479166535"/>
      <w:bookmarkStart w:id="421" w:name="_Toc479164805"/>
      <w:bookmarkStart w:id="422" w:name="_Toc1581578"/>
      <w:r w:rsidRPr="00CD64B5">
        <w:rPr>
          <w:lang w:val="ka-GE"/>
        </w:rPr>
        <w:t xml:space="preserve">7.8.1 </w:t>
      </w:r>
      <w:r w:rsidRPr="00CD64B5">
        <w:rPr>
          <w:rFonts w:ascii="Sylfaen" w:hAnsi="Sylfaen" w:cs="Sylfaen"/>
          <w:lang w:val="ka-GE"/>
        </w:rPr>
        <w:t>ვიზუალურ</w:t>
      </w:r>
      <w:r w:rsidRPr="00CD64B5">
        <w:rPr>
          <w:lang w:val="ka-GE"/>
        </w:rPr>
        <w:t>-</w:t>
      </w:r>
      <w:r w:rsidRPr="00CD64B5">
        <w:rPr>
          <w:rFonts w:ascii="Sylfaen" w:hAnsi="Sylfaen" w:cs="Sylfaen"/>
          <w:lang w:val="ka-GE"/>
        </w:rPr>
        <w:t>ლანდშაფტური</w:t>
      </w:r>
      <w:r w:rsidRPr="00CD64B5">
        <w:rPr>
          <w:lang w:val="ka-GE"/>
        </w:rPr>
        <w:t xml:space="preserve"> </w:t>
      </w:r>
      <w:r w:rsidRPr="00CD64B5">
        <w:rPr>
          <w:rFonts w:ascii="Sylfaen" w:hAnsi="Sylfaen" w:cs="Sylfaen"/>
          <w:lang w:val="ka-GE"/>
        </w:rPr>
        <w:t>ცვლილება</w:t>
      </w:r>
      <w:r w:rsidRPr="00CD64B5">
        <w:rPr>
          <w:lang w:val="ka-GE"/>
        </w:rPr>
        <w:t xml:space="preserve"> </w:t>
      </w:r>
      <w:r w:rsidRPr="00CD64B5">
        <w:rPr>
          <w:rFonts w:ascii="Sylfaen" w:hAnsi="Sylfaen" w:cs="Sylfaen"/>
          <w:lang w:val="ka-GE"/>
        </w:rPr>
        <w:t>მშენებლობის</w:t>
      </w:r>
      <w:r w:rsidRPr="00CD64B5">
        <w:rPr>
          <w:lang w:val="ka-GE"/>
        </w:rPr>
        <w:t xml:space="preserve"> </w:t>
      </w:r>
      <w:r w:rsidRPr="00CD64B5">
        <w:rPr>
          <w:rFonts w:ascii="Sylfaen" w:hAnsi="Sylfaen" w:cs="Sylfaen"/>
          <w:lang w:val="ka-GE"/>
        </w:rPr>
        <w:t>ეტაპზე</w:t>
      </w:r>
      <w:bookmarkEnd w:id="418"/>
      <w:bookmarkEnd w:id="419"/>
      <w:bookmarkEnd w:id="420"/>
      <w:bookmarkEnd w:id="421"/>
      <w:bookmarkEnd w:id="422"/>
    </w:p>
    <w:p w14:paraId="109FAD91" w14:textId="77777777" w:rsidR="00CD64B5" w:rsidRPr="001352AB" w:rsidRDefault="00CD64B5" w:rsidP="000E38C6">
      <w:pPr>
        <w:spacing w:before="120" w:after="120"/>
        <w:rPr>
          <w:lang w:val="ka-GE" w:eastAsia="da-DK"/>
        </w:rPr>
      </w:pPr>
      <w:r w:rsidRPr="00CD64B5">
        <w:rPr>
          <w:rFonts w:ascii="Sylfaen" w:hAnsi="Sylfaen" w:cs="Sylfaen"/>
          <w:lang w:val="ka-GE"/>
        </w:rPr>
        <w:t>ვიზუალური</w:t>
      </w:r>
      <w:r w:rsidRPr="00CD64B5">
        <w:rPr>
          <w:lang w:val="ka-GE"/>
        </w:rPr>
        <w:t xml:space="preserve"> </w:t>
      </w:r>
      <w:r w:rsidRPr="00CD64B5">
        <w:rPr>
          <w:rFonts w:ascii="Sylfaen" w:hAnsi="Sylfaen" w:cs="Sylfaen"/>
          <w:lang w:val="ka-GE"/>
        </w:rPr>
        <w:t>ზემოქმედება</w:t>
      </w:r>
      <w:r w:rsidRPr="00CD64B5">
        <w:rPr>
          <w:lang w:val="ka-GE"/>
        </w:rPr>
        <w:t xml:space="preserve"> </w:t>
      </w:r>
      <w:r w:rsidRPr="00CD64B5">
        <w:rPr>
          <w:rFonts w:ascii="Sylfaen" w:hAnsi="Sylfaen" w:cs="Sylfaen"/>
          <w:lang w:val="ka-GE"/>
        </w:rPr>
        <w:t>მშენებლობის</w:t>
      </w:r>
      <w:r w:rsidRPr="00CD64B5">
        <w:rPr>
          <w:lang w:val="ka-GE"/>
        </w:rPr>
        <w:t xml:space="preserve"> </w:t>
      </w:r>
      <w:r w:rsidRPr="00CD64B5">
        <w:rPr>
          <w:rFonts w:ascii="Sylfaen" w:hAnsi="Sylfaen" w:cs="Sylfaen"/>
          <w:lang w:val="ka-GE"/>
        </w:rPr>
        <w:t>ფაზაზე</w:t>
      </w:r>
      <w:r w:rsidRPr="00CD64B5">
        <w:rPr>
          <w:lang w:val="ka-GE"/>
        </w:rPr>
        <w:t xml:space="preserve"> </w:t>
      </w:r>
      <w:r w:rsidRPr="00CD64B5">
        <w:rPr>
          <w:rFonts w:ascii="Sylfaen" w:hAnsi="Sylfaen" w:cs="Sylfaen"/>
          <w:lang w:val="ka-GE"/>
        </w:rPr>
        <w:t>ძირითადად</w:t>
      </w:r>
      <w:r w:rsidRPr="00CD64B5">
        <w:rPr>
          <w:lang w:val="ka-GE"/>
        </w:rPr>
        <w:t xml:space="preserve"> </w:t>
      </w:r>
      <w:r w:rsidRPr="00CD64B5">
        <w:rPr>
          <w:rFonts w:ascii="Sylfaen" w:hAnsi="Sylfaen" w:cs="Sylfaen"/>
          <w:lang w:val="ka-GE"/>
        </w:rPr>
        <w:t>დაკავშირებული</w:t>
      </w:r>
      <w:r w:rsidRPr="00CD64B5">
        <w:rPr>
          <w:lang w:val="ka-GE"/>
        </w:rPr>
        <w:t xml:space="preserve"> </w:t>
      </w:r>
      <w:r w:rsidRPr="00CD64B5">
        <w:rPr>
          <w:rFonts w:ascii="Sylfaen" w:hAnsi="Sylfaen" w:cs="Sylfaen"/>
          <w:lang w:val="ka-GE"/>
        </w:rPr>
        <w:t>იქნება</w:t>
      </w:r>
      <w:r w:rsidRPr="00CD64B5">
        <w:rPr>
          <w:lang w:val="ka-GE"/>
        </w:rPr>
        <w:t xml:space="preserve"> </w:t>
      </w:r>
      <w:r w:rsidRPr="00CD64B5">
        <w:rPr>
          <w:rFonts w:ascii="Sylfaen" w:hAnsi="Sylfaen" w:cs="Sylfaen"/>
          <w:lang w:val="ka-GE"/>
        </w:rPr>
        <w:t>სამუშაო</w:t>
      </w:r>
      <w:r w:rsidRPr="00CD64B5">
        <w:rPr>
          <w:lang w:val="ka-GE"/>
        </w:rPr>
        <w:t xml:space="preserve"> </w:t>
      </w:r>
      <w:r w:rsidRPr="00CD64B5">
        <w:rPr>
          <w:rFonts w:ascii="Sylfaen" w:hAnsi="Sylfaen" w:cs="Sylfaen"/>
          <w:lang w:val="ka-GE"/>
        </w:rPr>
        <w:t>უბანზე</w:t>
      </w:r>
      <w:r w:rsidRPr="00CD64B5">
        <w:rPr>
          <w:lang w:val="ka-GE"/>
        </w:rPr>
        <w:t xml:space="preserve"> </w:t>
      </w:r>
      <w:r w:rsidRPr="00CD64B5">
        <w:rPr>
          <w:rFonts w:ascii="Sylfaen" w:hAnsi="Sylfaen" w:cs="Sylfaen"/>
          <w:lang w:val="ka-GE"/>
        </w:rPr>
        <w:t>მანქანა</w:t>
      </w:r>
      <w:r w:rsidRPr="00CD64B5">
        <w:rPr>
          <w:lang w:val="ka-GE"/>
        </w:rPr>
        <w:t>/</w:t>
      </w:r>
      <w:r w:rsidRPr="00CD64B5">
        <w:rPr>
          <w:rFonts w:ascii="Sylfaen" w:hAnsi="Sylfaen" w:cs="Sylfaen"/>
          <w:lang w:val="ka-GE"/>
        </w:rPr>
        <w:t>დანადგარებისა</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ხალხის</w:t>
      </w:r>
      <w:r w:rsidRPr="00CD64B5">
        <w:rPr>
          <w:lang w:val="ka-GE"/>
        </w:rPr>
        <w:t xml:space="preserve"> </w:t>
      </w:r>
      <w:r w:rsidRPr="00CD64B5">
        <w:rPr>
          <w:rFonts w:ascii="Sylfaen" w:hAnsi="Sylfaen" w:cs="Sylfaen"/>
          <w:lang w:val="ka-GE"/>
        </w:rPr>
        <w:t>მუშაობასთან</w:t>
      </w:r>
      <w:r w:rsidRPr="00CD64B5">
        <w:rPr>
          <w:lang w:val="ka-GE"/>
        </w:rPr>
        <w:t xml:space="preserve">, </w:t>
      </w:r>
      <w:r w:rsidRPr="00CD64B5">
        <w:rPr>
          <w:rFonts w:ascii="Sylfaen" w:hAnsi="Sylfaen" w:cs="Sylfaen"/>
          <w:lang w:val="ka-GE"/>
        </w:rPr>
        <w:t>საიტზე</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მის</w:t>
      </w:r>
      <w:r w:rsidRPr="00CD64B5">
        <w:rPr>
          <w:lang w:val="ka-GE"/>
        </w:rPr>
        <w:t xml:space="preserve"> </w:t>
      </w:r>
      <w:r w:rsidRPr="00CD64B5">
        <w:rPr>
          <w:rFonts w:ascii="Sylfaen" w:hAnsi="Sylfaen" w:cs="Sylfaen"/>
          <w:lang w:val="ka-GE"/>
        </w:rPr>
        <w:t>გარეთ</w:t>
      </w:r>
      <w:r w:rsidRPr="00CD64B5">
        <w:rPr>
          <w:lang w:val="ka-GE"/>
        </w:rPr>
        <w:t xml:space="preserve"> </w:t>
      </w:r>
      <w:r w:rsidRPr="00CD64B5">
        <w:rPr>
          <w:rFonts w:ascii="Sylfaen" w:hAnsi="Sylfaen" w:cs="Sylfaen"/>
          <w:lang w:val="ka-GE"/>
        </w:rPr>
        <w:t>სატრანსპორტო</w:t>
      </w:r>
      <w:r w:rsidRPr="00CD64B5">
        <w:rPr>
          <w:lang w:val="ka-GE"/>
        </w:rPr>
        <w:t xml:space="preserve"> </w:t>
      </w:r>
      <w:r w:rsidRPr="00CD64B5">
        <w:rPr>
          <w:rFonts w:ascii="Sylfaen" w:hAnsi="Sylfaen" w:cs="Sylfaen"/>
          <w:lang w:val="ka-GE"/>
        </w:rPr>
        <w:t>საშუალებების</w:t>
      </w:r>
      <w:r w:rsidRPr="00CD64B5">
        <w:rPr>
          <w:lang w:val="ka-GE"/>
        </w:rPr>
        <w:t xml:space="preserve"> </w:t>
      </w:r>
      <w:r w:rsidRPr="00CD64B5">
        <w:rPr>
          <w:rFonts w:ascii="Sylfaen" w:hAnsi="Sylfaen" w:cs="Sylfaen"/>
          <w:lang w:val="ka-GE"/>
        </w:rPr>
        <w:t>მოძრაობასთან</w:t>
      </w:r>
      <w:r w:rsidRPr="00CD64B5">
        <w:rPr>
          <w:lang w:val="ka-GE"/>
        </w:rPr>
        <w:t xml:space="preserve">, </w:t>
      </w:r>
      <w:r w:rsidRPr="00CD64B5">
        <w:rPr>
          <w:rFonts w:ascii="Sylfaen" w:hAnsi="Sylfaen" w:cs="Sylfaen"/>
          <w:lang w:val="ka-GE"/>
        </w:rPr>
        <w:t>დროებითი</w:t>
      </w:r>
      <w:r w:rsidRPr="00CD64B5">
        <w:rPr>
          <w:lang w:val="ka-GE"/>
        </w:rPr>
        <w:t xml:space="preserve"> </w:t>
      </w:r>
      <w:r w:rsidRPr="00CD64B5">
        <w:rPr>
          <w:rFonts w:ascii="Sylfaen" w:hAnsi="Sylfaen" w:cs="Sylfaen"/>
          <w:lang w:val="ka-GE"/>
        </w:rPr>
        <w:t>ობიექტების</w:t>
      </w:r>
      <w:r w:rsidRPr="00CD64B5">
        <w:rPr>
          <w:lang w:val="ka-GE"/>
        </w:rPr>
        <w:t xml:space="preserve"> </w:t>
      </w:r>
      <w:r w:rsidRPr="00CD64B5">
        <w:rPr>
          <w:rFonts w:ascii="Sylfaen" w:hAnsi="Sylfaen" w:cs="Sylfaen"/>
          <w:lang w:val="ka-GE"/>
        </w:rPr>
        <w:t>მოწყობასთან</w:t>
      </w:r>
      <w:r w:rsidRPr="00CD64B5">
        <w:rPr>
          <w:lang w:val="ka-GE"/>
        </w:rPr>
        <w:t xml:space="preserve"> (</w:t>
      </w:r>
      <w:r w:rsidRPr="00CD64B5">
        <w:rPr>
          <w:rFonts w:ascii="Sylfaen" w:hAnsi="Sylfaen" w:cs="Sylfaen"/>
          <w:lang w:val="ka-GE"/>
        </w:rPr>
        <w:t>მანქანების</w:t>
      </w:r>
      <w:r w:rsidRPr="00CD64B5">
        <w:rPr>
          <w:lang w:val="ka-GE"/>
        </w:rPr>
        <w:t xml:space="preserve"> </w:t>
      </w:r>
      <w:r w:rsidRPr="00CD64B5">
        <w:rPr>
          <w:rFonts w:ascii="Sylfaen" w:hAnsi="Sylfaen" w:cs="Sylfaen"/>
          <w:lang w:val="ka-GE"/>
        </w:rPr>
        <w:t>სადგომი</w:t>
      </w:r>
      <w:r w:rsidRPr="00CD64B5">
        <w:rPr>
          <w:lang w:val="ka-GE"/>
        </w:rPr>
        <w:t xml:space="preserve">, </w:t>
      </w:r>
      <w:r w:rsidRPr="00CD64B5">
        <w:rPr>
          <w:rFonts w:ascii="Sylfaen" w:hAnsi="Sylfaen" w:cs="Sylfaen"/>
          <w:lang w:val="ka-GE"/>
        </w:rPr>
        <w:t>მასალისა</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ნარჩენების</w:t>
      </w:r>
      <w:r w:rsidRPr="00CD64B5">
        <w:rPr>
          <w:lang w:val="ka-GE"/>
        </w:rPr>
        <w:t xml:space="preserve"> </w:t>
      </w:r>
      <w:r w:rsidRPr="00CD64B5">
        <w:rPr>
          <w:rFonts w:ascii="Sylfaen" w:hAnsi="Sylfaen" w:cs="Sylfaen"/>
          <w:lang w:val="ka-GE"/>
        </w:rPr>
        <w:t>განთავსების</w:t>
      </w:r>
      <w:r w:rsidRPr="00CD64B5">
        <w:rPr>
          <w:lang w:val="ka-GE"/>
        </w:rPr>
        <w:t xml:space="preserve"> </w:t>
      </w:r>
      <w:r w:rsidRPr="00CD64B5">
        <w:rPr>
          <w:rFonts w:ascii="Sylfaen" w:hAnsi="Sylfaen" w:cs="Sylfaen"/>
          <w:lang w:val="ka-GE"/>
        </w:rPr>
        <w:t>ადგილები</w:t>
      </w:r>
      <w:r w:rsidRPr="00CD64B5">
        <w:rPr>
          <w:lang w:val="ka-GE"/>
        </w:rPr>
        <w:t xml:space="preserve">, </w:t>
      </w:r>
      <w:r w:rsidRPr="00CD64B5">
        <w:rPr>
          <w:rFonts w:ascii="Sylfaen" w:hAnsi="Sylfaen" w:cs="Sylfaen"/>
          <w:lang w:val="ka-GE"/>
        </w:rPr>
        <w:t>ბანაკი</w:t>
      </w:r>
      <w:r w:rsidRPr="00CD64B5">
        <w:rPr>
          <w:lang w:val="ka-GE"/>
        </w:rPr>
        <w:t xml:space="preserve">, </w:t>
      </w:r>
      <w:r w:rsidRPr="00CD64B5">
        <w:rPr>
          <w:rFonts w:ascii="Sylfaen" w:hAnsi="Sylfaen" w:cs="Sylfaen"/>
          <w:lang w:val="ka-GE"/>
        </w:rPr>
        <w:t>კარიერები</w:t>
      </w:r>
      <w:r w:rsidRPr="00CD64B5">
        <w:rPr>
          <w:lang w:val="ka-GE"/>
        </w:rPr>
        <w:t xml:space="preserve">), </w:t>
      </w:r>
      <w:r w:rsidRPr="00CD64B5">
        <w:rPr>
          <w:rFonts w:ascii="Sylfaen" w:hAnsi="Sylfaen" w:cs="Sylfaen"/>
          <w:lang w:val="ka-GE"/>
        </w:rPr>
        <w:t>გზისა</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ხიდების</w:t>
      </w:r>
      <w:r w:rsidRPr="00CD64B5">
        <w:rPr>
          <w:lang w:val="ka-GE"/>
        </w:rPr>
        <w:t xml:space="preserve"> </w:t>
      </w:r>
      <w:r w:rsidRPr="00CD64B5">
        <w:rPr>
          <w:rFonts w:ascii="Sylfaen" w:hAnsi="Sylfaen" w:cs="Sylfaen"/>
          <w:lang w:val="ka-GE"/>
        </w:rPr>
        <w:t>მშენებლობის</w:t>
      </w:r>
      <w:r w:rsidRPr="00CD64B5">
        <w:rPr>
          <w:lang w:val="ka-GE"/>
        </w:rPr>
        <w:t xml:space="preserve"> </w:t>
      </w:r>
      <w:r w:rsidRPr="00CD64B5">
        <w:rPr>
          <w:rFonts w:ascii="Sylfaen" w:hAnsi="Sylfaen" w:cs="Sylfaen"/>
          <w:lang w:val="ka-GE"/>
        </w:rPr>
        <w:t>მონაკვეთებთან</w:t>
      </w:r>
      <w:r w:rsidRPr="00CD64B5">
        <w:rPr>
          <w:lang w:val="ka-GE"/>
        </w:rPr>
        <w:t xml:space="preserve">. </w:t>
      </w:r>
      <w:r w:rsidRPr="00CD64B5">
        <w:rPr>
          <w:rFonts w:ascii="Sylfaen" w:hAnsi="Sylfaen" w:cs="Sylfaen"/>
          <w:lang w:val="ka-GE"/>
        </w:rPr>
        <w:t>სამუშაოების</w:t>
      </w:r>
      <w:r w:rsidRPr="00CD64B5">
        <w:rPr>
          <w:lang w:val="ka-GE"/>
        </w:rPr>
        <w:t xml:space="preserve"> </w:t>
      </w:r>
      <w:r w:rsidRPr="00CD64B5">
        <w:rPr>
          <w:rFonts w:ascii="Sylfaen" w:hAnsi="Sylfaen" w:cs="Sylfaen"/>
          <w:lang w:val="ka-GE"/>
        </w:rPr>
        <w:t>უმეტესობა</w:t>
      </w:r>
      <w:r w:rsidRPr="00CD64B5">
        <w:rPr>
          <w:lang w:val="ka-GE"/>
        </w:rPr>
        <w:t xml:space="preserve"> </w:t>
      </w:r>
      <w:r w:rsidRPr="00CD64B5">
        <w:rPr>
          <w:rFonts w:ascii="Sylfaen" w:hAnsi="Sylfaen" w:cs="Sylfaen"/>
          <w:lang w:val="ka-GE"/>
        </w:rPr>
        <w:t>დასახლებული</w:t>
      </w:r>
      <w:r w:rsidRPr="00CD64B5">
        <w:rPr>
          <w:lang w:val="ka-GE"/>
        </w:rPr>
        <w:t xml:space="preserve"> </w:t>
      </w:r>
      <w:r w:rsidRPr="00CD64B5">
        <w:rPr>
          <w:rFonts w:ascii="Sylfaen" w:hAnsi="Sylfaen" w:cs="Sylfaen"/>
          <w:lang w:val="ka-GE"/>
        </w:rPr>
        <w:t>პუნქტებისგან</w:t>
      </w:r>
      <w:r w:rsidRPr="00CD64B5">
        <w:rPr>
          <w:lang w:val="ka-GE"/>
        </w:rPr>
        <w:t xml:space="preserve"> </w:t>
      </w:r>
      <w:r w:rsidRPr="00CD64B5">
        <w:rPr>
          <w:rFonts w:ascii="Sylfaen" w:hAnsi="Sylfaen" w:cs="Sylfaen"/>
          <w:lang w:val="ka-GE"/>
        </w:rPr>
        <w:t>დაშორებით</w:t>
      </w:r>
      <w:r w:rsidRPr="00CD64B5">
        <w:rPr>
          <w:lang w:val="ka-GE"/>
        </w:rPr>
        <w:t xml:space="preserve"> </w:t>
      </w:r>
      <w:r w:rsidRPr="00CD64B5">
        <w:rPr>
          <w:rFonts w:ascii="Sylfaen" w:hAnsi="Sylfaen" w:cs="Sylfaen"/>
          <w:lang w:val="ka-GE"/>
        </w:rPr>
        <w:t>იწარმოებს</w:t>
      </w:r>
      <w:r w:rsidRPr="00CD64B5">
        <w:rPr>
          <w:lang w:val="ka-GE"/>
        </w:rPr>
        <w:t xml:space="preserve">. </w:t>
      </w:r>
    </w:p>
    <w:p w14:paraId="58D25DEE" w14:textId="77777777" w:rsidR="00CD64B5" w:rsidRPr="00CD64B5" w:rsidRDefault="00CD64B5" w:rsidP="000E38C6">
      <w:pPr>
        <w:spacing w:before="120" w:after="120"/>
        <w:rPr>
          <w:lang w:val="ka-GE" w:eastAsia="en-GB"/>
        </w:rPr>
      </w:pPr>
      <w:r w:rsidRPr="00CD64B5">
        <w:rPr>
          <w:rFonts w:ascii="Sylfaen" w:hAnsi="Sylfaen" w:cs="Sylfaen"/>
          <w:lang w:val="ka-GE"/>
        </w:rPr>
        <w:t>ვინაიდან</w:t>
      </w:r>
      <w:r w:rsidRPr="00CD64B5">
        <w:rPr>
          <w:lang w:val="ka-GE"/>
        </w:rPr>
        <w:t xml:space="preserve"> </w:t>
      </w:r>
      <w:r w:rsidRPr="00CD64B5">
        <w:rPr>
          <w:rFonts w:ascii="Sylfaen" w:hAnsi="Sylfaen" w:cs="Sylfaen"/>
          <w:lang w:val="ka-GE"/>
        </w:rPr>
        <w:t>გზა</w:t>
      </w:r>
      <w:r w:rsidRPr="00CD64B5">
        <w:rPr>
          <w:lang w:val="ka-GE"/>
        </w:rPr>
        <w:t xml:space="preserve"> </w:t>
      </w:r>
      <w:r w:rsidRPr="00CD64B5">
        <w:rPr>
          <w:rFonts w:ascii="Sylfaen" w:hAnsi="Sylfaen" w:cs="Sylfaen"/>
          <w:lang w:val="ka-GE"/>
        </w:rPr>
        <w:t>ხაზოვან</w:t>
      </w:r>
      <w:r w:rsidRPr="00CD64B5">
        <w:rPr>
          <w:lang w:val="ka-GE"/>
        </w:rPr>
        <w:t xml:space="preserve"> </w:t>
      </w:r>
      <w:r w:rsidRPr="00CD64B5">
        <w:rPr>
          <w:rFonts w:ascii="Sylfaen" w:hAnsi="Sylfaen" w:cs="Sylfaen"/>
          <w:lang w:val="ka-GE"/>
        </w:rPr>
        <w:t>სტრუქტურას</w:t>
      </w:r>
      <w:r w:rsidRPr="00CD64B5">
        <w:rPr>
          <w:lang w:val="ka-GE"/>
        </w:rPr>
        <w:t xml:space="preserve"> </w:t>
      </w:r>
      <w:r w:rsidRPr="00CD64B5">
        <w:rPr>
          <w:rFonts w:ascii="Sylfaen" w:hAnsi="Sylfaen" w:cs="Sylfaen"/>
          <w:lang w:val="ka-GE"/>
        </w:rPr>
        <w:t>წარმოადგენს</w:t>
      </w:r>
      <w:r w:rsidRPr="00CD64B5">
        <w:rPr>
          <w:lang w:val="ka-GE"/>
        </w:rPr>
        <w:t xml:space="preserve">, </w:t>
      </w:r>
      <w:r w:rsidRPr="00CD64B5">
        <w:rPr>
          <w:rFonts w:ascii="Sylfaen" w:hAnsi="Sylfaen" w:cs="Sylfaen"/>
          <w:lang w:val="ka-GE"/>
        </w:rPr>
        <w:t>სამშენებლო</w:t>
      </w:r>
      <w:r w:rsidRPr="00CD64B5">
        <w:rPr>
          <w:lang w:val="ka-GE"/>
        </w:rPr>
        <w:t xml:space="preserve"> </w:t>
      </w:r>
      <w:r w:rsidRPr="00CD64B5">
        <w:rPr>
          <w:rFonts w:ascii="Sylfaen" w:hAnsi="Sylfaen" w:cs="Sylfaen"/>
          <w:lang w:val="ka-GE"/>
        </w:rPr>
        <w:t>სამუშაოები</w:t>
      </w:r>
      <w:r w:rsidRPr="00CD64B5">
        <w:rPr>
          <w:lang w:val="ka-GE"/>
        </w:rPr>
        <w:t xml:space="preserve"> </w:t>
      </w:r>
      <w:r w:rsidRPr="00CD64B5">
        <w:rPr>
          <w:rFonts w:ascii="Sylfaen" w:hAnsi="Sylfaen" w:cs="Sylfaen"/>
          <w:lang w:val="ka-GE"/>
        </w:rPr>
        <w:t>ყოველთვის</w:t>
      </w:r>
      <w:r w:rsidRPr="00CD64B5">
        <w:rPr>
          <w:lang w:val="ka-GE"/>
        </w:rPr>
        <w:t xml:space="preserve"> </w:t>
      </w:r>
      <w:r w:rsidRPr="00CD64B5">
        <w:rPr>
          <w:rFonts w:ascii="Sylfaen" w:hAnsi="Sylfaen" w:cs="Sylfaen"/>
          <w:lang w:val="ka-GE"/>
        </w:rPr>
        <w:t>არ</w:t>
      </w:r>
      <w:r w:rsidRPr="00CD64B5">
        <w:rPr>
          <w:lang w:val="ka-GE"/>
        </w:rPr>
        <w:t xml:space="preserve"> </w:t>
      </w:r>
      <w:r w:rsidRPr="00CD64B5">
        <w:rPr>
          <w:rFonts w:ascii="Sylfaen" w:hAnsi="Sylfaen" w:cs="Sylfaen"/>
          <w:lang w:val="ka-GE"/>
        </w:rPr>
        <w:t>იქნება</w:t>
      </w:r>
      <w:r w:rsidRPr="00CD64B5">
        <w:rPr>
          <w:lang w:val="ka-GE"/>
        </w:rPr>
        <w:t xml:space="preserve"> „</w:t>
      </w:r>
      <w:r w:rsidRPr="00CD64B5">
        <w:rPr>
          <w:rFonts w:ascii="Sylfaen" w:hAnsi="Sylfaen" w:cs="Sylfaen"/>
          <w:lang w:val="ka-GE"/>
        </w:rPr>
        <w:t>კონცენტრირებული</w:t>
      </w:r>
      <w:r w:rsidRPr="00CD64B5">
        <w:rPr>
          <w:lang w:val="ka-GE"/>
        </w:rPr>
        <w:t xml:space="preserve">“ </w:t>
      </w:r>
      <w:r w:rsidRPr="00CD64B5">
        <w:rPr>
          <w:rFonts w:ascii="Sylfaen" w:hAnsi="Sylfaen" w:cs="Sylfaen"/>
          <w:lang w:val="ka-GE"/>
        </w:rPr>
        <w:t>ერთ</w:t>
      </w:r>
      <w:r w:rsidRPr="00CD64B5">
        <w:rPr>
          <w:lang w:val="ka-GE"/>
        </w:rPr>
        <w:t xml:space="preserve"> </w:t>
      </w:r>
      <w:r w:rsidRPr="00CD64B5">
        <w:rPr>
          <w:rFonts w:ascii="Sylfaen" w:hAnsi="Sylfaen" w:cs="Sylfaen"/>
          <w:lang w:val="ka-GE"/>
        </w:rPr>
        <w:t>ადგილას</w:t>
      </w:r>
      <w:r w:rsidRPr="00CD64B5">
        <w:rPr>
          <w:lang w:val="ka-GE"/>
        </w:rPr>
        <w:t xml:space="preserve">. </w:t>
      </w:r>
      <w:r w:rsidRPr="00CD64B5">
        <w:rPr>
          <w:rFonts w:ascii="Sylfaen" w:hAnsi="Sylfaen" w:cs="Sylfaen"/>
          <w:lang w:val="ka-GE"/>
        </w:rPr>
        <w:t>ამიტომ</w:t>
      </w:r>
      <w:r w:rsidRPr="00CD64B5">
        <w:rPr>
          <w:lang w:val="ka-GE"/>
        </w:rPr>
        <w:t xml:space="preserve">, </w:t>
      </w:r>
      <w:r w:rsidRPr="00CD64B5">
        <w:rPr>
          <w:rFonts w:ascii="Sylfaen" w:hAnsi="Sylfaen" w:cs="Sylfaen"/>
          <w:lang w:val="ka-GE"/>
        </w:rPr>
        <w:t>ვიზუალური</w:t>
      </w:r>
      <w:r w:rsidRPr="00CD64B5">
        <w:rPr>
          <w:lang w:val="ka-GE"/>
        </w:rPr>
        <w:t xml:space="preserve"> „</w:t>
      </w:r>
      <w:r w:rsidRPr="00CD64B5">
        <w:rPr>
          <w:rFonts w:ascii="Sylfaen" w:hAnsi="Sylfaen" w:cs="Sylfaen"/>
          <w:lang w:val="ka-GE"/>
        </w:rPr>
        <w:t>შეწუხების</w:t>
      </w:r>
      <w:r w:rsidRPr="00CD64B5">
        <w:rPr>
          <w:lang w:val="ka-GE"/>
        </w:rPr>
        <w:t xml:space="preserve">“ </w:t>
      </w:r>
      <w:r w:rsidRPr="00CD64B5">
        <w:rPr>
          <w:rFonts w:ascii="Sylfaen" w:hAnsi="Sylfaen" w:cs="Sylfaen"/>
          <w:lang w:val="ka-GE"/>
        </w:rPr>
        <w:t>წყარო</w:t>
      </w:r>
      <w:r w:rsidRPr="00CD64B5">
        <w:rPr>
          <w:lang w:val="ka-GE"/>
        </w:rPr>
        <w:t xml:space="preserve"> „</w:t>
      </w:r>
      <w:r w:rsidRPr="00CD64B5">
        <w:rPr>
          <w:rFonts w:ascii="Sylfaen" w:hAnsi="Sylfaen" w:cs="Sylfaen"/>
          <w:lang w:val="ka-GE"/>
        </w:rPr>
        <w:t>მოძრავი</w:t>
      </w:r>
      <w:r w:rsidRPr="00CD64B5">
        <w:rPr>
          <w:lang w:val="ka-GE"/>
        </w:rPr>
        <w:t xml:space="preserve">“ </w:t>
      </w:r>
      <w:r w:rsidRPr="00CD64B5">
        <w:rPr>
          <w:rFonts w:ascii="Sylfaen" w:hAnsi="Sylfaen" w:cs="Sylfaen"/>
          <w:lang w:val="ka-GE"/>
        </w:rPr>
        <w:t>იქნება</w:t>
      </w:r>
      <w:r w:rsidRPr="00CD64B5">
        <w:rPr>
          <w:lang w:val="ka-GE"/>
        </w:rPr>
        <w:t xml:space="preserve">. </w:t>
      </w:r>
      <w:r w:rsidRPr="00CD64B5">
        <w:rPr>
          <w:rFonts w:ascii="Sylfaen" w:hAnsi="Sylfaen" w:cs="Sylfaen"/>
          <w:lang w:val="ka-GE"/>
        </w:rPr>
        <w:t>გზის</w:t>
      </w:r>
      <w:r w:rsidRPr="00CD64B5">
        <w:rPr>
          <w:lang w:val="ka-GE"/>
        </w:rPr>
        <w:t xml:space="preserve"> </w:t>
      </w:r>
      <w:r w:rsidRPr="00CD64B5">
        <w:rPr>
          <w:rFonts w:ascii="Sylfaen" w:hAnsi="Sylfaen" w:cs="Sylfaen"/>
          <w:lang w:val="ka-GE"/>
        </w:rPr>
        <w:t>ბოლო</w:t>
      </w:r>
      <w:r w:rsidRPr="00CD64B5">
        <w:rPr>
          <w:lang w:val="ka-GE"/>
        </w:rPr>
        <w:t xml:space="preserve"> </w:t>
      </w:r>
      <w:r w:rsidRPr="00CD64B5">
        <w:rPr>
          <w:rFonts w:ascii="Sylfaen" w:hAnsi="Sylfaen" w:cs="Sylfaen"/>
          <w:lang w:val="ka-GE"/>
        </w:rPr>
        <w:t>მონაკვეთზე</w:t>
      </w:r>
      <w:r w:rsidRPr="00CD64B5">
        <w:rPr>
          <w:lang w:val="ka-GE"/>
        </w:rPr>
        <w:t xml:space="preserve"> </w:t>
      </w:r>
      <w:r w:rsidRPr="00CD64B5">
        <w:rPr>
          <w:rFonts w:ascii="Sylfaen" w:hAnsi="Sylfaen" w:cs="Sylfaen"/>
          <w:lang w:val="ka-GE"/>
        </w:rPr>
        <w:t>სამუშაოები</w:t>
      </w:r>
      <w:r w:rsidRPr="00CD64B5">
        <w:rPr>
          <w:lang w:val="ka-GE"/>
        </w:rPr>
        <w:t xml:space="preserve"> </w:t>
      </w:r>
      <w:r w:rsidRPr="00CD64B5">
        <w:rPr>
          <w:rFonts w:ascii="Sylfaen" w:hAnsi="Sylfaen" w:cs="Sylfaen"/>
          <w:lang w:val="ka-GE"/>
        </w:rPr>
        <w:t>ძირითადად</w:t>
      </w:r>
      <w:r w:rsidRPr="00CD64B5">
        <w:rPr>
          <w:lang w:val="ka-GE"/>
        </w:rPr>
        <w:t xml:space="preserve"> </w:t>
      </w:r>
      <w:r w:rsidRPr="00CD64B5">
        <w:rPr>
          <w:rFonts w:ascii="Sylfaen" w:hAnsi="Sylfaen" w:cs="Sylfaen"/>
          <w:lang w:val="ka-GE"/>
        </w:rPr>
        <w:t>მიწის</w:t>
      </w:r>
      <w:r w:rsidRPr="00CD64B5">
        <w:rPr>
          <w:lang w:val="ka-GE"/>
        </w:rPr>
        <w:t xml:space="preserve"> </w:t>
      </w:r>
      <w:r w:rsidRPr="00CD64B5">
        <w:rPr>
          <w:rFonts w:ascii="Sylfaen" w:hAnsi="Sylfaen" w:cs="Sylfaen"/>
          <w:lang w:val="ka-GE"/>
        </w:rPr>
        <w:t>ქვეშ</w:t>
      </w:r>
      <w:r w:rsidRPr="00CD64B5">
        <w:rPr>
          <w:lang w:val="ka-GE"/>
        </w:rPr>
        <w:t xml:space="preserve"> </w:t>
      </w:r>
      <w:r w:rsidRPr="00CD64B5">
        <w:rPr>
          <w:rFonts w:ascii="Sylfaen" w:hAnsi="Sylfaen" w:cs="Sylfaen"/>
          <w:lang w:val="ka-GE"/>
        </w:rPr>
        <w:t>განხორციელდება</w:t>
      </w:r>
      <w:r w:rsidRPr="00CD64B5">
        <w:rPr>
          <w:lang w:val="ka-GE"/>
        </w:rPr>
        <w:t xml:space="preserve">, </w:t>
      </w:r>
      <w:r w:rsidRPr="00CD64B5">
        <w:rPr>
          <w:rFonts w:ascii="Sylfaen" w:hAnsi="Sylfaen" w:cs="Sylfaen"/>
          <w:lang w:val="ka-GE"/>
        </w:rPr>
        <w:t>თუმცა</w:t>
      </w:r>
      <w:r w:rsidRPr="00CD64B5">
        <w:rPr>
          <w:lang w:val="ka-GE"/>
        </w:rPr>
        <w:t xml:space="preserve"> </w:t>
      </w:r>
      <w:r w:rsidRPr="00CD64B5">
        <w:rPr>
          <w:rFonts w:ascii="Sylfaen" w:hAnsi="Sylfaen" w:cs="Sylfaen"/>
          <w:lang w:val="ka-GE"/>
        </w:rPr>
        <w:t>სამუშაოების</w:t>
      </w:r>
      <w:r w:rsidRPr="00CD64B5">
        <w:rPr>
          <w:lang w:val="ka-GE"/>
        </w:rPr>
        <w:t xml:space="preserve"> </w:t>
      </w:r>
      <w:r w:rsidRPr="00CD64B5">
        <w:rPr>
          <w:rFonts w:ascii="Sylfaen" w:hAnsi="Sylfaen" w:cs="Sylfaen"/>
          <w:lang w:val="ka-GE"/>
        </w:rPr>
        <w:t>ხანგრძლივობა</w:t>
      </w:r>
      <w:r w:rsidRPr="00CD64B5">
        <w:rPr>
          <w:lang w:val="ka-GE"/>
        </w:rPr>
        <w:t xml:space="preserve"> </w:t>
      </w:r>
      <w:r w:rsidRPr="00CD64B5">
        <w:rPr>
          <w:rFonts w:ascii="Sylfaen" w:hAnsi="Sylfaen" w:cs="Sylfaen"/>
          <w:lang w:val="ka-GE"/>
        </w:rPr>
        <w:t>პორტალის</w:t>
      </w:r>
      <w:r w:rsidRPr="00CD64B5">
        <w:rPr>
          <w:lang w:val="ka-GE"/>
        </w:rPr>
        <w:t xml:space="preserve"> </w:t>
      </w:r>
      <w:r w:rsidRPr="00CD64B5">
        <w:rPr>
          <w:rFonts w:ascii="Sylfaen" w:hAnsi="Sylfaen" w:cs="Sylfaen"/>
          <w:lang w:val="ka-GE"/>
        </w:rPr>
        <w:t>ტერიტორიებზე</w:t>
      </w:r>
      <w:r w:rsidRPr="00CD64B5">
        <w:rPr>
          <w:lang w:val="ka-GE"/>
        </w:rPr>
        <w:t xml:space="preserve"> </w:t>
      </w:r>
      <w:r w:rsidRPr="00CD64B5">
        <w:rPr>
          <w:rFonts w:ascii="Sylfaen" w:hAnsi="Sylfaen" w:cs="Sylfaen"/>
          <w:lang w:val="ka-GE"/>
        </w:rPr>
        <w:t>უფრო</w:t>
      </w:r>
      <w:r w:rsidRPr="00CD64B5">
        <w:rPr>
          <w:lang w:val="ka-GE"/>
        </w:rPr>
        <w:t xml:space="preserve"> </w:t>
      </w:r>
      <w:r w:rsidRPr="00CD64B5">
        <w:rPr>
          <w:rFonts w:ascii="Sylfaen" w:hAnsi="Sylfaen" w:cs="Sylfaen"/>
          <w:lang w:val="ka-GE"/>
        </w:rPr>
        <w:t>დიდი</w:t>
      </w:r>
      <w:r w:rsidRPr="00CD64B5">
        <w:rPr>
          <w:lang w:val="ka-GE"/>
        </w:rPr>
        <w:t xml:space="preserve"> </w:t>
      </w:r>
      <w:r w:rsidRPr="00CD64B5">
        <w:rPr>
          <w:rFonts w:ascii="Sylfaen" w:hAnsi="Sylfaen" w:cs="Sylfaen"/>
          <w:lang w:val="ka-GE"/>
        </w:rPr>
        <w:t>იქნება</w:t>
      </w:r>
      <w:r w:rsidRPr="00CD64B5">
        <w:rPr>
          <w:lang w:val="ka-GE"/>
        </w:rPr>
        <w:t xml:space="preserve">. </w:t>
      </w:r>
    </w:p>
    <w:p w14:paraId="196A4D87" w14:textId="77777777" w:rsidR="00CD64B5" w:rsidRPr="00CD64B5" w:rsidRDefault="00CD64B5" w:rsidP="000E38C6">
      <w:pPr>
        <w:spacing w:before="120" w:after="120"/>
        <w:rPr>
          <w:lang w:val="ka-GE"/>
        </w:rPr>
      </w:pPr>
      <w:r w:rsidRPr="00CD64B5">
        <w:rPr>
          <w:rFonts w:ascii="Sylfaen" w:hAnsi="Sylfaen" w:cs="Sylfaen"/>
          <w:lang w:val="ka-GE"/>
        </w:rPr>
        <w:t>ლანდშაფტურ</w:t>
      </w:r>
      <w:r w:rsidRPr="00CD64B5">
        <w:rPr>
          <w:lang w:val="ka-GE"/>
        </w:rPr>
        <w:t>-</w:t>
      </w:r>
      <w:r w:rsidRPr="00CD64B5">
        <w:rPr>
          <w:rFonts w:ascii="Sylfaen" w:hAnsi="Sylfaen" w:cs="Sylfaen"/>
          <w:lang w:val="ka-GE"/>
        </w:rPr>
        <w:t>ვიზუალური</w:t>
      </w:r>
      <w:r w:rsidRPr="00CD64B5">
        <w:rPr>
          <w:lang w:val="ka-GE"/>
        </w:rPr>
        <w:t xml:space="preserve"> </w:t>
      </w:r>
      <w:r w:rsidRPr="00CD64B5">
        <w:rPr>
          <w:rFonts w:ascii="Sylfaen" w:hAnsi="Sylfaen" w:cs="Sylfaen"/>
          <w:lang w:val="ka-GE"/>
        </w:rPr>
        <w:t>ზემოქმედება</w:t>
      </w:r>
      <w:r w:rsidRPr="00CD64B5">
        <w:rPr>
          <w:lang w:val="ka-GE"/>
        </w:rPr>
        <w:t xml:space="preserve"> </w:t>
      </w:r>
      <w:r w:rsidRPr="00CD64B5">
        <w:rPr>
          <w:rFonts w:ascii="Sylfaen" w:hAnsi="Sylfaen" w:cs="Sylfaen"/>
          <w:lang w:val="ka-GE"/>
        </w:rPr>
        <w:t>ასევე</w:t>
      </w:r>
      <w:r w:rsidRPr="00CD64B5">
        <w:rPr>
          <w:lang w:val="ka-GE"/>
        </w:rPr>
        <w:t xml:space="preserve"> </w:t>
      </w:r>
      <w:r w:rsidRPr="00CD64B5">
        <w:rPr>
          <w:rFonts w:ascii="Sylfaen" w:hAnsi="Sylfaen" w:cs="Sylfaen"/>
          <w:lang w:val="ka-GE"/>
        </w:rPr>
        <w:t>გამოწვეული</w:t>
      </w:r>
      <w:r w:rsidRPr="00CD64B5">
        <w:rPr>
          <w:lang w:val="ka-GE"/>
        </w:rPr>
        <w:t xml:space="preserve"> </w:t>
      </w:r>
      <w:r w:rsidRPr="00CD64B5">
        <w:rPr>
          <w:rFonts w:ascii="Sylfaen" w:hAnsi="Sylfaen" w:cs="Sylfaen"/>
          <w:lang w:val="ka-GE"/>
        </w:rPr>
        <w:t>იქნება</w:t>
      </w:r>
      <w:r w:rsidRPr="00CD64B5">
        <w:rPr>
          <w:lang w:val="ka-GE"/>
        </w:rPr>
        <w:t xml:space="preserve"> </w:t>
      </w:r>
      <w:r w:rsidRPr="00CD64B5">
        <w:rPr>
          <w:rFonts w:ascii="Sylfaen" w:hAnsi="Sylfaen" w:cs="Sylfaen"/>
          <w:lang w:val="ka-GE"/>
        </w:rPr>
        <w:t>გამონამუშევარი</w:t>
      </w:r>
      <w:r w:rsidRPr="00CD64B5">
        <w:rPr>
          <w:lang w:val="ka-GE"/>
        </w:rPr>
        <w:t xml:space="preserve"> </w:t>
      </w:r>
      <w:r w:rsidRPr="00CD64B5">
        <w:rPr>
          <w:rFonts w:ascii="Sylfaen" w:hAnsi="Sylfaen" w:cs="Sylfaen"/>
          <w:lang w:val="ka-GE"/>
        </w:rPr>
        <w:t>გრუნტის</w:t>
      </w:r>
      <w:r w:rsidRPr="00CD64B5">
        <w:rPr>
          <w:lang w:val="ka-GE"/>
        </w:rPr>
        <w:t xml:space="preserve"> </w:t>
      </w:r>
      <w:r w:rsidRPr="00CD64B5">
        <w:rPr>
          <w:rFonts w:ascii="Sylfaen" w:hAnsi="Sylfaen" w:cs="Sylfaen"/>
          <w:lang w:val="ka-GE"/>
        </w:rPr>
        <w:t>დროებითი</w:t>
      </w:r>
      <w:r w:rsidRPr="00CD64B5">
        <w:rPr>
          <w:lang w:val="ka-GE"/>
        </w:rPr>
        <w:t xml:space="preserve"> </w:t>
      </w:r>
      <w:r w:rsidRPr="00CD64B5">
        <w:rPr>
          <w:rFonts w:ascii="Sylfaen" w:hAnsi="Sylfaen" w:cs="Sylfaen"/>
          <w:lang w:val="ka-GE"/>
        </w:rPr>
        <w:t>სანაყაროებით</w:t>
      </w:r>
      <w:r w:rsidRPr="00CD64B5">
        <w:rPr>
          <w:lang w:val="ka-GE"/>
        </w:rPr>
        <w:t xml:space="preserve">. </w:t>
      </w:r>
      <w:r w:rsidRPr="00CD64B5">
        <w:rPr>
          <w:rFonts w:ascii="Sylfaen" w:hAnsi="Sylfaen" w:cs="Sylfaen"/>
          <w:lang w:val="ka-GE"/>
        </w:rPr>
        <w:t>მნიშვნელოვანი</w:t>
      </w:r>
      <w:r w:rsidRPr="00CD64B5">
        <w:rPr>
          <w:lang w:val="ka-GE"/>
        </w:rPr>
        <w:t xml:space="preserve"> </w:t>
      </w:r>
      <w:r w:rsidRPr="00CD64B5">
        <w:rPr>
          <w:rFonts w:ascii="Sylfaen" w:hAnsi="Sylfaen" w:cs="Sylfaen"/>
          <w:lang w:val="ka-GE"/>
        </w:rPr>
        <w:t>ვიზუალური</w:t>
      </w:r>
      <w:r w:rsidRPr="00CD64B5">
        <w:rPr>
          <w:lang w:val="ka-GE"/>
        </w:rPr>
        <w:t xml:space="preserve"> </w:t>
      </w:r>
      <w:r w:rsidRPr="00CD64B5">
        <w:rPr>
          <w:rFonts w:ascii="Sylfaen" w:hAnsi="Sylfaen" w:cs="Sylfaen"/>
          <w:lang w:val="ka-GE"/>
        </w:rPr>
        <w:t>ზემოქმედების</w:t>
      </w:r>
      <w:r w:rsidRPr="00CD64B5">
        <w:rPr>
          <w:lang w:val="ka-GE"/>
        </w:rPr>
        <w:t xml:space="preserve"> </w:t>
      </w:r>
      <w:r w:rsidRPr="00CD64B5">
        <w:rPr>
          <w:rFonts w:ascii="Sylfaen" w:hAnsi="Sylfaen" w:cs="Sylfaen"/>
          <w:lang w:val="ka-GE"/>
        </w:rPr>
        <w:t>თავიდან</w:t>
      </w:r>
      <w:r w:rsidRPr="00CD64B5">
        <w:rPr>
          <w:lang w:val="ka-GE"/>
        </w:rPr>
        <w:t xml:space="preserve"> </w:t>
      </w:r>
      <w:r w:rsidRPr="00CD64B5">
        <w:rPr>
          <w:rFonts w:ascii="Sylfaen" w:hAnsi="Sylfaen" w:cs="Sylfaen"/>
          <w:lang w:val="ka-GE"/>
        </w:rPr>
        <w:t>აცილების</w:t>
      </w:r>
      <w:r w:rsidRPr="00CD64B5">
        <w:rPr>
          <w:lang w:val="ka-GE"/>
        </w:rPr>
        <w:t xml:space="preserve"> </w:t>
      </w:r>
      <w:r w:rsidRPr="00CD64B5">
        <w:rPr>
          <w:rFonts w:ascii="Sylfaen" w:hAnsi="Sylfaen" w:cs="Sylfaen"/>
          <w:lang w:val="ka-GE"/>
        </w:rPr>
        <w:t>მიზნით</w:t>
      </w:r>
      <w:r w:rsidRPr="00CD64B5">
        <w:rPr>
          <w:lang w:val="ka-GE"/>
        </w:rPr>
        <w:t xml:space="preserve">, </w:t>
      </w:r>
      <w:r w:rsidRPr="00CD64B5">
        <w:rPr>
          <w:rFonts w:ascii="Sylfaen" w:hAnsi="Sylfaen" w:cs="Sylfaen"/>
          <w:lang w:val="ka-GE"/>
        </w:rPr>
        <w:t>ვარგისი</w:t>
      </w:r>
      <w:r w:rsidRPr="00CD64B5">
        <w:rPr>
          <w:lang w:val="ka-GE"/>
        </w:rPr>
        <w:t xml:space="preserve"> </w:t>
      </w:r>
      <w:r w:rsidRPr="00CD64B5">
        <w:rPr>
          <w:rFonts w:ascii="Sylfaen" w:hAnsi="Sylfaen" w:cs="Sylfaen"/>
          <w:lang w:val="ka-GE"/>
        </w:rPr>
        <w:t>მასალა</w:t>
      </w:r>
      <w:r w:rsidRPr="00CD64B5">
        <w:rPr>
          <w:lang w:val="ka-GE"/>
        </w:rPr>
        <w:t xml:space="preserve"> </w:t>
      </w:r>
      <w:r w:rsidRPr="00CD64B5">
        <w:rPr>
          <w:rFonts w:ascii="Sylfaen" w:hAnsi="Sylfaen" w:cs="Sylfaen"/>
          <w:lang w:val="ka-GE"/>
        </w:rPr>
        <w:t>გამოყენებული</w:t>
      </w:r>
      <w:r w:rsidRPr="00CD64B5">
        <w:rPr>
          <w:lang w:val="ka-GE"/>
        </w:rPr>
        <w:t xml:space="preserve"> </w:t>
      </w:r>
      <w:r w:rsidRPr="00CD64B5">
        <w:rPr>
          <w:rFonts w:ascii="Sylfaen" w:hAnsi="Sylfaen" w:cs="Sylfaen"/>
          <w:lang w:val="ka-GE"/>
        </w:rPr>
        <w:t>იქნება</w:t>
      </w:r>
      <w:r w:rsidRPr="00CD64B5">
        <w:rPr>
          <w:lang w:val="ka-GE"/>
        </w:rPr>
        <w:t xml:space="preserve"> </w:t>
      </w:r>
      <w:r w:rsidRPr="00CD64B5">
        <w:rPr>
          <w:rFonts w:ascii="Sylfaen" w:hAnsi="Sylfaen" w:cs="Sylfaen"/>
          <w:lang w:val="ka-GE"/>
        </w:rPr>
        <w:t>მშენებლობის</w:t>
      </w:r>
      <w:r w:rsidRPr="00CD64B5">
        <w:rPr>
          <w:lang w:val="ka-GE"/>
        </w:rPr>
        <w:t xml:space="preserve"> </w:t>
      </w:r>
      <w:r w:rsidRPr="00CD64B5">
        <w:rPr>
          <w:rFonts w:ascii="Sylfaen" w:hAnsi="Sylfaen" w:cs="Sylfaen"/>
          <w:lang w:val="ka-GE"/>
        </w:rPr>
        <w:t>პროცესში</w:t>
      </w:r>
      <w:r w:rsidRPr="00CD64B5">
        <w:rPr>
          <w:lang w:val="ka-GE"/>
        </w:rPr>
        <w:t xml:space="preserve">. </w:t>
      </w:r>
      <w:r w:rsidRPr="00CD64B5">
        <w:rPr>
          <w:rFonts w:ascii="Sylfaen" w:hAnsi="Sylfaen" w:cs="Sylfaen"/>
          <w:lang w:val="ka-GE"/>
        </w:rPr>
        <w:t>განისაზღვრება</w:t>
      </w:r>
      <w:r w:rsidRPr="00CD64B5">
        <w:rPr>
          <w:lang w:val="ka-GE"/>
        </w:rPr>
        <w:t xml:space="preserve"> </w:t>
      </w:r>
      <w:r w:rsidRPr="00CD64B5">
        <w:rPr>
          <w:rFonts w:ascii="Sylfaen" w:hAnsi="Sylfaen" w:cs="Sylfaen"/>
          <w:lang w:val="ka-GE"/>
        </w:rPr>
        <w:t>სხვა</w:t>
      </w:r>
      <w:r w:rsidRPr="00CD64B5">
        <w:rPr>
          <w:lang w:val="ka-GE"/>
        </w:rPr>
        <w:t xml:space="preserve"> </w:t>
      </w:r>
      <w:r w:rsidRPr="00CD64B5">
        <w:rPr>
          <w:rFonts w:ascii="Sylfaen" w:hAnsi="Sylfaen" w:cs="Sylfaen"/>
          <w:lang w:val="ka-GE"/>
        </w:rPr>
        <w:t>პოტენციური</w:t>
      </w:r>
      <w:r w:rsidRPr="00CD64B5">
        <w:rPr>
          <w:lang w:val="ka-GE"/>
        </w:rPr>
        <w:t xml:space="preserve"> </w:t>
      </w:r>
      <w:r w:rsidRPr="00CD64B5">
        <w:rPr>
          <w:rFonts w:ascii="Sylfaen" w:hAnsi="Sylfaen" w:cs="Sylfaen"/>
          <w:lang w:val="ka-GE"/>
        </w:rPr>
        <w:t>მომხმარებლები</w:t>
      </w:r>
      <w:r w:rsidRPr="00CD64B5">
        <w:rPr>
          <w:lang w:val="ka-GE"/>
        </w:rPr>
        <w:t xml:space="preserve">. </w:t>
      </w:r>
      <w:r w:rsidRPr="00CD64B5">
        <w:rPr>
          <w:rFonts w:ascii="Sylfaen" w:hAnsi="Sylfaen" w:cs="Sylfaen"/>
          <w:lang w:val="ka-GE"/>
        </w:rPr>
        <w:t>სამუშაოების</w:t>
      </w:r>
      <w:r w:rsidRPr="00CD64B5">
        <w:rPr>
          <w:lang w:val="ka-GE"/>
        </w:rPr>
        <w:t xml:space="preserve"> </w:t>
      </w:r>
      <w:r w:rsidRPr="00CD64B5">
        <w:rPr>
          <w:rFonts w:ascii="Sylfaen" w:hAnsi="Sylfaen" w:cs="Sylfaen"/>
          <w:lang w:val="ka-GE"/>
        </w:rPr>
        <w:t>დასრულებისას</w:t>
      </w:r>
      <w:r w:rsidRPr="00CD64B5">
        <w:rPr>
          <w:lang w:val="ka-GE"/>
        </w:rPr>
        <w:t xml:space="preserve"> </w:t>
      </w:r>
      <w:r w:rsidRPr="00CD64B5">
        <w:rPr>
          <w:rFonts w:ascii="Sylfaen" w:hAnsi="Sylfaen" w:cs="Sylfaen"/>
          <w:lang w:val="ka-GE"/>
        </w:rPr>
        <w:t>გამონამუშევარი</w:t>
      </w:r>
      <w:r w:rsidRPr="00CD64B5">
        <w:rPr>
          <w:lang w:val="ka-GE"/>
        </w:rPr>
        <w:t xml:space="preserve"> </w:t>
      </w:r>
      <w:r w:rsidRPr="00CD64B5">
        <w:rPr>
          <w:rFonts w:ascii="Sylfaen" w:hAnsi="Sylfaen" w:cs="Sylfaen"/>
          <w:lang w:val="ka-GE"/>
        </w:rPr>
        <w:t>მასალს</w:t>
      </w:r>
      <w:r w:rsidRPr="00CD64B5">
        <w:rPr>
          <w:lang w:val="ka-GE"/>
        </w:rPr>
        <w:t>/</w:t>
      </w:r>
      <w:r w:rsidRPr="00CD64B5">
        <w:rPr>
          <w:rFonts w:ascii="Sylfaen" w:hAnsi="Sylfaen" w:cs="Sylfaen"/>
          <w:lang w:val="ka-GE"/>
        </w:rPr>
        <w:t>გრუნტი</w:t>
      </w:r>
      <w:r w:rsidRPr="00CD64B5">
        <w:rPr>
          <w:lang w:val="ka-GE"/>
        </w:rPr>
        <w:t xml:space="preserve"> </w:t>
      </w:r>
      <w:r w:rsidRPr="00CD64B5">
        <w:rPr>
          <w:rFonts w:ascii="Sylfaen" w:hAnsi="Sylfaen" w:cs="Sylfaen"/>
          <w:lang w:val="ka-GE"/>
        </w:rPr>
        <w:t>სავარაუდოდ</w:t>
      </w:r>
      <w:r w:rsidRPr="00CD64B5">
        <w:rPr>
          <w:lang w:val="ka-GE"/>
        </w:rPr>
        <w:t xml:space="preserve"> </w:t>
      </w:r>
      <w:r w:rsidRPr="00CD64B5">
        <w:rPr>
          <w:rFonts w:ascii="Sylfaen" w:hAnsi="Sylfaen" w:cs="Sylfaen"/>
          <w:lang w:val="ka-GE"/>
        </w:rPr>
        <w:t>მთლიანად</w:t>
      </w:r>
      <w:r w:rsidRPr="00CD64B5">
        <w:rPr>
          <w:lang w:val="ka-GE"/>
        </w:rPr>
        <w:t xml:space="preserve"> </w:t>
      </w:r>
      <w:r w:rsidRPr="00CD64B5">
        <w:rPr>
          <w:rFonts w:ascii="Sylfaen" w:hAnsi="Sylfaen" w:cs="Sylfaen"/>
          <w:lang w:val="ka-GE"/>
        </w:rPr>
        <w:t>იქნება</w:t>
      </w:r>
      <w:r w:rsidRPr="00CD64B5">
        <w:rPr>
          <w:lang w:val="ka-GE"/>
        </w:rPr>
        <w:t xml:space="preserve"> </w:t>
      </w:r>
      <w:r w:rsidRPr="00CD64B5">
        <w:rPr>
          <w:rFonts w:ascii="Sylfaen" w:hAnsi="Sylfaen" w:cs="Sylfaen"/>
          <w:lang w:val="ka-GE"/>
        </w:rPr>
        <w:t>გატანილი</w:t>
      </w:r>
      <w:r w:rsidRPr="00CD64B5">
        <w:rPr>
          <w:lang w:val="ka-GE"/>
        </w:rPr>
        <w:t xml:space="preserve"> </w:t>
      </w:r>
      <w:r w:rsidRPr="00CD64B5">
        <w:rPr>
          <w:rFonts w:ascii="Sylfaen" w:hAnsi="Sylfaen" w:cs="Sylfaen"/>
          <w:lang w:val="ka-GE"/>
        </w:rPr>
        <w:t>ტერიტორიიდან</w:t>
      </w:r>
      <w:r w:rsidRPr="00CD64B5">
        <w:rPr>
          <w:lang w:val="ka-GE"/>
        </w:rPr>
        <w:t xml:space="preserve">. </w:t>
      </w:r>
    </w:p>
    <w:p w14:paraId="1E2CF442" w14:textId="77777777" w:rsidR="00CD64B5" w:rsidRPr="00CD64B5" w:rsidRDefault="00CD64B5" w:rsidP="000E38C6">
      <w:pPr>
        <w:spacing w:before="120" w:after="120"/>
        <w:rPr>
          <w:lang w:val="ka-GE"/>
        </w:rPr>
      </w:pPr>
      <w:r w:rsidRPr="00CD64B5">
        <w:rPr>
          <w:rFonts w:ascii="Sylfaen" w:hAnsi="Sylfaen" w:cs="Sylfaen"/>
          <w:lang w:val="ka-GE"/>
        </w:rPr>
        <w:lastRenderedPageBreak/>
        <w:t>განსაკუთრებული</w:t>
      </w:r>
      <w:r w:rsidRPr="00CD64B5">
        <w:rPr>
          <w:lang w:val="ka-GE"/>
        </w:rPr>
        <w:t xml:space="preserve"> </w:t>
      </w:r>
      <w:r w:rsidRPr="00CD64B5">
        <w:rPr>
          <w:rFonts w:ascii="Sylfaen" w:hAnsi="Sylfaen" w:cs="Sylfaen"/>
          <w:lang w:val="ka-GE"/>
        </w:rPr>
        <w:t>ყურადღება</w:t>
      </w:r>
      <w:r w:rsidRPr="00CD64B5">
        <w:rPr>
          <w:lang w:val="ka-GE"/>
        </w:rPr>
        <w:t xml:space="preserve"> </w:t>
      </w:r>
      <w:r w:rsidRPr="00CD64B5">
        <w:rPr>
          <w:rFonts w:ascii="Sylfaen" w:hAnsi="Sylfaen" w:cs="Sylfaen"/>
          <w:lang w:val="ka-GE"/>
        </w:rPr>
        <w:t>დაეთმობა</w:t>
      </w:r>
      <w:r w:rsidRPr="00CD64B5">
        <w:rPr>
          <w:lang w:val="ka-GE"/>
        </w:rPr>
        <w:t xml:space="preserve"> </w:t>
      </w:r>
      <w:r w:rsidRPr="00CD64B5">
        <w:rPr>
          <w:rFonts w:ascii="Sylfaen" w:hAnsi="Sylfaen" w:cs="Sylfaen"/>
          <w:lang w:val="ka-GE"/>
        </w:rPr>
        <w:t>სამუშაოების</w:t>
      </w:r>
      <w:r w:rsidRPr="00CD64B5">
        <w:rPr>
          <w:lang w:val="ka-GE"/>
        </w:rPr>
        <w:t xml:space="preserve"> </w:t>
      </w:r>
      <w:r w:rsidRPr="00CD64B5">
        <w:rPr>
          <w:rFonts w:ascii="Sylfaen" w:hAnsi="Sylfaen" w:cs="Sylfaen"/>
          <w:lang w:val="ka-GE"/>
        </w:rPr>
        <w:t>დასრულების</w:t>
      </w:r>
      <w:r w:rsidRPr="00CD64B5">
        <w:rPr>
          <w:lang w:val="ka-GE"/>
        </w:rPr>
        <w:t xml:space="preserve"> </w:t>
      </w:r>
      <w:r w:rsidRPr="00CD64B5">
        <w:rPr>
          <w:rFonts w:ascii="Sylfaen" w:hAnsi="Sylfaen" w:cs="Sylfaen"/>
          <w:lang w:val="ka-GE"/>
        </w:rPr>
        <w:t>შემდეგ</w:t>
      </w:r>
      <w:r w:rsidRPr="00CD64B5">
        <w:rPr>
          <w:lang w:val="ka-GE"/>
        </w:rPr>
        <w:t xml:space="preserve"> </w:t>
      </w:r>
      <w:r w:rsidRPr="00CD64B5">
        <w:rPr>
          <w:rFonts w:ascii="Sylfaen" w:hAnsi="Sylfaen" w:cs="Sylfaen"/>
          <w:lang w:val="ka-GE"/>
        </w:rPr>
        <w:t>დაზიანებული</w:t>
      </w:r>
      <w:r w:rsidRPr="00CD64B5">
        <w:rPr>
          <w:lang w:val="ka-GE"/>
        </w:rPr>
        <w:t xml:space="preserve"> </w:t>
      </w:r>
      <w:r w:rsidRPr="00CD64B5">
        <w:rPr>
          <w:rFonts w:ascii="Sylfaen" w:hAnsi="Sylfaen" w:cs="Sylfaen"/>
          <w:lang w:val="ka-GE"/>
        </w:rPr>
        <w:t>ადგილების</w:t>
      </w:r>
      <w:r w:rsidRPr="00CD64B5">
        <w:rPr>
          <w:lang w:val="ka-GE"/>
        </w:rPr>
        <w:t xml:space="preserve">  (</w:t>
      </w:r>
      <w:r w:rsidRPr="00CD64B5">
        <w:rPr>
          <w:rFonts w:ascii="Sylfaen" w:hAnsi="Sylfaen" w:cs="Sylfaen"/>
          <w:lang w:val="ka-GE"/>
        </w:rPr>
        <w:t>გრუნტის</w:t>
      </w:r>
      <w:r w:rsidRPr="00CD64B5">
        <w:rPr>
          <w:lang w:val="ka-GE"/>
        </w:rPr>
        <w:t xml:space="preserve"> </w:t>
      </w:r>
      <w:r w:rsidRPr="00CD64B5">
        <w:rPr>
          <w:rFonts w:ascii="Sylfaen" w:hAnsi="Sylfaen" w:cs="Sylfaen"/>
          <w:lang w:val="ka-GE"/>
        </w:rPr>
        <w:t>კარიერების</w:t>
      </w:r>
      <w:r w:rsidRPr="00CD64B5">
        <w:rPr>
          <w:lang w:val="ka-GE"/>
        </w:rPr>
        <w:t xml:space="preserve">, </w:t>
      </w:r>
      <w:r w:rsidRPr="00CD64B5">
        <w:rPr>
          <w:rFonts w:ascii="Sylfaen" w:hAnsi="Sylfaen" w:cs="Sylfaen"/>
          <w:lang w:val="ka-GE"/>
        </w:rPr>
        <w:t>კონტრაქტორის</w:t>
      </w:r>
      <w:r w:rsidRPr="00CD64B5">
        <w:rPr>
          <w:lang w:val="ka-GE"/>
        </w:rPr>
        <w:t xml:space="preserve"> </w:t>
      </w:r>
      <w:r w:rsidRPr="00CD64B5">
        <w:rPr>
          <w:rFonts w:ascii="Sylfaen" w:hAnsi="Sylfaen" w:cs="Sylfaen"/>
          <w:lang w:val="ka-GE"/>
        </w:rPr>
        <w:t>მიერ</w:t>
      </w:r>
      <w:r w:rsidRPr="00CD64B5">
        <w:rPr>
          <w:lang w:val="ka-GE"/>
        </w:rPr>
        <w:t xml:space="preserve"> </w:t>
      </w:r>
      <w:r w:rsidRPr="00CD64B5">
        <w:rPr>
          <w:rFonts w:ascii="Sylfaen" w:hAnsi="Sylfaen" w:cs="Sylfaen"/>
          <w:lang w:val="ka-GE"/>
        </w:rPr>
        <w:t>მასალის</w:t>
      </w:r>
      <w:r w:rsidRPr="00CD64B5">
        <w:rPr>
          <w:lang w:val="ka-GE"/>
        </w:rPr>
        <w:t xml:space="preserve"> </w:t>
      </w:r>
      <w:r w:rsidRPr="00CD64B5">
        <w:rPr>
          <w:rFonts w:ascii="Sylfaen" w:hAnsi="Sylfaen" w:cs="Sylfaen"/>
          <w:lang w:val="ka-GE"/>
        </w:rPr>
        <w:t>მოპოვებაზე</w:t>
      </w:r>
      <w:r w:rsidRPr="00CD64B5">
        <w:rPr>
          <w:lang w:val="ka-GE"/>
        </w:rPr>
        <w:t xml:space="preserve"> </w:t>
      </w:r>
      <w:r w:rsidRPr="00CD64B5">
        <w:rPr>
          <w:rFonts w:ascii="Sylfaen" w:hAnsi="Sylfaen" w:cs="Sylfaen"/>
          <w:lang w:val="ka-GE"/>
        </w:rPr>
        <w:t>ლიცენზიის</w:t>
      </w:r>
      <w:r w:rsidRPr="00CD64B5">
        <w:rPr>
          <w:lang w:val="ka-GE"/>
        </w:rPr>
        <w:t xml:space="preserve"> </w:t>
      </w:r>
      <w:r w:rsidRPr="00CD64B5">
        <w:rPr>
          <w:rFonts w:ascii="Sylfaen" w:hAnsi="Sylfaen" w:cs="Sylfaen"/>
          <w:lang w:val="ka-GE"/>
        </w:rPr>
        <w:t>აღების</w:t>
      </w:r>
      <w:r w:rsidRPr="00CD64B5">
        <w:rPr>
          <w:lang w:val="ka-GE"/>
        </w:rPr>
        <w:t xml:space="preserve"> </w:t>
      </w:r>
      <w:r w:rsidRPr="00CD64B5">
        <w:rPr>
          <w:rFonts w:ascii="Sylfaen" w:hAnsi="Sylfaen" w:cs="Sylfaen"/>
          <w:lang w:val="ka-GE"/>
        </w:rPr>
        <w:t>შემთხვევაში</w:t>
      </w:r>
      <w:r w:rsidRPr="00CD64B5">
        <w:rPr>
          <w:lang w:val="ka-GE"/>
        </w:rPr>
        <w:t xml:space="preserve">) </w:t>
      </w:r>
      <w:r w:rsidRPr="00CD64B5">
        <w:rPr>
          <w:rFonts w:ascii="Sylfaen" w:hAnsi="Sylfaen" w:cs="Sylfaen"/>
          <w:lang w:val="ka-GE"/>
        </w:rPr>
        <w:t>რეკულტივაციას</w:t>
      </w:r>
      <w:r w:rsidRPr="00CD64B5">
        <w:rPr>
          <w:lang w:val="ka-GE"/>
        </w:rPr>
        <w:t xml:space="preserve">. </w:t>
      </w:r>
      <w:r w:rsidRPr="00CD64B5">
        <w:rPr>
          <w:rFonts w:ascii="Sylfaen" w:hAnsi="Sylfaen" w:cs="Sylfaen"/>
          <w:lang w:val="ka-GE"/>
        </w:rPr>
        <w:t>მასალის</w:t>
      </w:r>
      <w:r w:rsidRPr="00CD64B5">
        <w:rPr>
          <w:lang w:val="ka-GE"/>
        </w:rPr>
        <w:t xml:space="preserve"> </w:t>
      </w:r>
      <w:r w:rsidRPr="00CD64B5">
        <w:rPr>
          <w:rFonts w:ascii="Sylfaen" w:hAnsi="Sylfaen" w:cs="Sylfaen"/>
          <w:lang w:val="ka-GE"/>
        </w:rPr>
        <w:t>მოპოვების</w:t>
      </w:r>
      <w:r w:rsidRPr="00CD64B5">
        <w:rPr>
          <w:lang w:val="ka-GE"/>
        </w:rPr>
        <w:t xml:space="preserve"> </w:t>
      </w:r>
      <w:r w:rsidRPr="00CD64B5">
        <w:rPr>
          <w:rFonts w:ascii="Sylfaen" w:hAnsi="Sylfaen" w:cs="Sylfaen"/>
          <w:lang w:val="ka-GE"/>
        </w:rPr>
        <w:t>ლიცენზიის</w:t>
      </w:r>
      <w:r w:rsidRPr="00CD64B5">
        <w:rPr>
          <w:lang w:val="ka-GE"/>
        </w:rPr>
        <w:t xml:space="preserve"> </w:t>
      </w:r>
      <w:r w:rsidRPr="00CD64B5">
        <w:rPr>
          <w:rFonts w:ascii="Sylfaen" w:hAnsi="Sylfaen" w:cs="Sylfaen"/>
          <w:lang w:val="ka-GE"/>
        </w:rPr>
        <w:t>პირობებთან</w:t>
      </w:r>
      <w:r w:rsidRPr="00CD64B5">
        <w:rPr>
          <w:lang w:val="ka-GE"/>
        </w:rPr>
        <w:t xml:space="preserve">, </w:t>
      </w:r>
      <w:r w:rsidRPr="00CD64B5">
        <w:rPr>
          <w:rFonts w:ascii="Sylfaen" w:hAnsi="Sylfaen" w:cs="Sylfaen"/>
          <w:lang w:val="ka-GE"/>
        </w:rPr>
        <w:t>რაც</w:t>
      </w:r>
      <w:r w:rsidRPr="00CD64B5">
        <w:rPr>
          <w:lang w:val="ka-GE"/>
        </w:rPr>
        <w:t xml:space="preserve"> </w:t>
      </w:r>
      <w:r w:rsidRPr="00CD64B5">
        <w:rPr>
          <w:rFonts w:ascii="Sylfaen" w:hAnsi="Sylfaen" w:cs="Sylfaen"/>
          <w:lang w:val="ka-GE"/>
        </w:rPr>
        <w:t>რეკულტივაციის</w:t>
      </w:r>
      <w:r w:rsidRPr="00CD64B5">
        <w:rPr>
          <w:lang w:val="ka-GE"/>
        </w:rPr>
        <w:t xml:space="preserve"> </w:t>
      </w:r>
      <w:r w:rsidRPr="00CD64B5">
        <w:rPr>
          <w:rFonts w:ascii="Sylfaen" w:hAnsi="Sylfaen" w:cs="Sylfaen"/>
          <w:lang w:val="ka-GE"/>
        </w:rPr>
        <w:t>ვალდებულებასაც</w:t>
      </w:r>
      <w:r w:rsidRPr="00CD64B5">
        <w:rPr>
          <w:lang w:val="ka-GE"/>
        </w:rPr>
        <w:t xml:space="preserve"> </w:t>
      </w:r>
      <w:r w:rsidRPr="00CD64B5">
        <w:rPr>
          <w:rFonts w:ascii="Sylfaen" w:hAnsi="Sylfaen" w:cs="Sylfaen"/>
          <w:lang w:val="ka-GE"/>
        </w:rPr>
        <w:t>მოიცავს</w:t>
      </w:r>
      <w:r w:rsidRPr="00CD64B5">
        <w:rPr>
          <w:lang w:val="ka-GE"/>
        </w:rPr>
        <w:t xml:space="preserve">. </w:t>
      </w:r>
    </w:p>
    <w:p w14:paraId="3DA35501" w14:textId="77777777" w:rsidR="00CD64B5" w:rsidRPr="00CD64B5" w:rsidRDefault="00CD64B5" w:rsidP="000E38C6">
      <w:pPr>
        <w:spacing w:before="120" w:after="120"/>
        <w:rPr>
          <w:lang w:val="ka-GE"/>
        </w:rPr>
      </w:pPr>
    </w:p>
    <w:p w14:paraId="3E00D6B6" w14:textId="77777777" w:rsidR="00CD64B5" w:rsidRPr="000E38C6" w:rsidRDefault="00CD64B5" w:rsidP="000E38C6">
      <w:pPr>
        <w:spacing w:before="120" w:after="120"/>
        <w:rPr>
          <w:b/>
          <w:lang w:val="ka-GE" w:eastAsia="en-GB"/>
        </w:rPr>
      </w:pPr>
      <w:bookmarkStart w:id="423" w:name="_Toc436571451"/>
      <w:bookmarkStart w:id="424" w:name="_Toc436593994"/>
      <w:r w:rsidRPr="000E38C6">
        <w:rPr>
          <w:rFonts w:ascii="Sylfaen" w:hAnsi="Sylfaen" w:cs="Sylfaen"/>
          <w:b/>
          <w:lang w:val="ka-GE"/>
        </w:rPr>
        <w:t>შემარბილებელი</w:t>
      </w:r>
      <w:r w:rsidRPr="000E38C6">
        <w:rPr>
          <w:b/>
          <w:lang w:val="ka-GE"/>
        </w:rPr>
        <w:t xml:space="preserve"> </w:t>
      </w:r>
      <w:r w:rsidRPr="000E38C6">
        <w:rPr>
          <w:rFonts w:ascii="Sylfaen" w:hAnsi="Sylfaen" w:cs="Sylfaen"/>
          <w:b/>
          <w:lang w:val="ka-GE"/>
        </w:rPr>
        <w:t>ღონისძიებები</w:t>
      </w:r>
      <w:r w:rsidRPr="000E38C6">
        <w:rPr>
          <w:b/>
          <w:lang w:val="ka-GE"/>
        </w:rPr>
        <w:t xml:space="preserve"> - </w:t>
      </w:r>
      <w:r w:rsidRPr="000E38C6">
        <w:rPr>
          <w:rFonts w:ascii="Sylfaen" w:hAnsi="Sylfaen" w:cs="Sylfaen"/>
          <w:b/>
          <w:lang w:val="ka-GE"/>
        </w:rPr>
        <w:t>მშენებლობის</w:t>
      </w:r>
      <w:r w:rsidRPr="000E38C6">
        <w:rPr>
          <w:b/>
          <w:lang w:val="ka-GE"/>
        </w:rPr>
        <w:t xml:space="preserve"> </w:t>
      </w:r>
      <w:r w:rsidRPr="000E38C6">
        <w:rPr>
          <w:rFonts w:ascii="Sylfaen" w:hAnsi="Sylfaen" w:cs="Sylfaen"/>
          <w:b/>
          <w:lang w:val="ka-GE"/>
        </w:rPr>
        <w:t>ფაზა</w:t>
      </w:r>
      <w:bookmarkEnd w:id="423"/>
      <w:bookmarkEnd w:id="424"/>
    </w:p>
    <w:p w14:paraId="4139EBAB" w14:textId="77777777" w:rsidR="00CD64B5" w:rsidRPr="000E38C6" w:rsidRDefault="00CD64B5" w:rsidP="00821E4D">
      <w:pPr>
        <w:pStyle w:val="ListParagraph"/>
        <w:numPr>
          <w:ilvl w:val="0"/>
          <w:numId w:val="34"/>
        </w:numPr>
        <w:spacing w:before="120"/>
        <w:rPr>
          <w:lang w:val="ka-GE"/>
        </w:rPr>
      </w:pPr>
      <w:r w:rsidRPr="000E38C6">
        <w:rPr>
          <w:rFonts w:cs="Sylfaen"/>
          <w:lang w:val="ka-GE"/>
        </w:rPr>
        <w:t>მაქსიმალურად</w:t>
      </w:r>
      <w:r w:rsidRPr="000E38C6">
        <w:rPr>
          <w:lang w:val="ka-GE"/>
        </w:rPr>
        <w:t xml:space="preserve"> </w:t>
      </w:r>
      <w:r w:rsidRPr="000E38C6">
        <w:rPr>
          <w:rFonts w:cs="Sylfaen"/>
          <w:lang w:val="ka-GE"/>
        </w:rPr>
        <w:t>იქნება</w:t>
      </w:r>
      <w:r w:rsidRPr="000E38C6">
        <w:rPr>
          <w:lang w:val="ka-GE"/>
        </w:rPr>
        <w:t xml:space="preserve"> </w:t>
      </w:r>
      <w:r w:rsidRPr="000E38C6">
        <w:rPr>
          <w:rFonts w:cs="Sylfaen"/>
          <w:lang w:val="ka-GE"/>
        </w:rPr>
        <w:t>შენარჩუნებული</w:t>
      </w:r>
      <w:r w:rsidRPr="000E38C6">
        <w:rPr>
          <w:lang w:val="ka-GE"/>
        </w:rPr>
        <w:t xml:space="preserve"> </w:t>
      </w:r>
      <w:r w:rsidRPr="000E38C6">
        <w:rPr>
          <w:rFonts w:cs="Sylfaen"/>
          <w:lang w:val="ka-GE"/>
        </w:rPr>
        <w:t>მცენარეული</w:t>
      </w:r>
      <w:r w:rsidRPr="000E38C6">
        <w:rPr>
          <w:lang w:val="ka-GE"/>
        </w:rPr>
        <w:t xml:space="preserve"> </w:t>
      </w:r>
      <w:r w:rsidRPr="000E38C6">
        <w:rPr>
          <w:rFonts w:cs="Sylfaen"/>
          <w:lang w:val="ka-GE"/>
        </w:rPr>
        <w:t>საფარი</w:t>
      </w:r>
      <w:r w:rsidRPr="000E38C6">
        <w:rPr>
          <w:lang w:val="ka-GE"/>
        </w:rPr>
        <w:t>;</w:t>
      </w:r>
    </w:p>
    <w:p w14:paraId="6612DA02" w14:textId="77777777" w:rsidR="00CD64B5" w:rsidRPr="000E38C6" w:rsidRDefault="00CD64B5" w:rsidP="00821E4D">
      <w:pPr>
        <w:pStyle w:val="ListParagraph"/>
        <w:numPr>
          <w:ilvl w:val="0"/>
          <w:numId w:val="34"/>
        </w:numPr>
        <w:spacing w:before="120"/>
        <w:rPr>
          <w:lang w:val="ka-GE"/>
        </w:rPr>
      </w:pPr>
      <w:r w:rsidRPr="000E38C6">
        <w:rPr>
          <w:rFonts w:cs="Sylfaen"/>
          <w:lang w:val="ka-GE"/>
        </w:rPr>
        <w:t>დაცული</w:t>
      </w:r>
      <w:r w:rsidRPr="000E38C6">
        <w:rPr>
          <w:lang w:val="ka-GE"/>
        </w:rPr>
        <w:t xml:space="preserve"> </w:t>
      </w:r>
      <w:r w:rsidRPr="000E38C6">
        <w:rPr>
          <w:rFonts w:cs="Sylfaen"/>
          <w:lang w:val="ka-GE"/>
        </w:rPr>
        <w:t>იქნება</w:t>
      </w:r>
      <w:r w:rsidRPr="000E38C6">
        <w:rPr>
          <w:lang w:val="ka-GE"/>
        </w:rPr>
        <w:t xml:space="preserve"> </w:t>
      </w:r>
      <w:r w:rsidRPr="000E38C6">
        <w:rPr>
          <w:rFonts w:cs="Sylfaen"/>
          <w:lang w:val="ka-GE"/>
        </w:rPr>
        <w:t>სამშენებლო</w:t>
      </w:r>
      <w:r w:rsidRPr="000E38C6">
        <w:rPr>
          <w:lang w:val="ka-GE"/>
        </w:rPr>
        <w:t xml:space="preserve"> </w:t>
      </w:r>
      <w:r w:rsidRPr="000E38C6">
        <w:rPr>
          <w:rFonts w:cs="Sylfaen"/>
          <w:lang w:val="ka-GE"/>
        </w:rPr>
        <w:t>უბნებისა</w:t>
      </w:r>
      <w:r w:rsidRPr="000E38C6">
        <w:rPr>
          <w:lang w:val="ka-GE"/>
        </w:rPr>
        <w:t xml:space="preserve"> </w:t>
      </w:r>
      <w:r w:rsidRPr="000E38C6">
        <w:rPr>
          <w:rFonts w:cs="Sylfaen"/>
          <w:lang w:val="ka-GE"/>
        </w:rPr>
        <w:t>და</w:t>
      </w:r>
      <w:r w:rsidRPr="000E38C6">
        <w:rPr>
          <w:lang w:val="ka-GE"/>
        </w:rPr>
        <w:t xml:space="preserve"> </w:t>
      </w:r>
      <w:r w:rsidRPr="000E38C6">
        <w:rPr>
          <w:rFonts w:cs="Sylfaen"/>
          <w:lang w:val="ka-GE"/>
        </w:rPr>
        <w:t>სამოძრაო</w:t>
      </w:r>
      <w:r w:rsidRPr="000E38C6">
        <w:rPr>
          <w:lang w:val="ka-GE"/>
        </w:rPr>
        <w:t xml:space="preserve"> </w:t>
      </w:r>
      <w:r w:rsidRPr="000E38C6">
        <w:rPr>
          <w:rFonts w:cs="Sylfaen"/>
          <w:lang w:val="ka-GE"/>
        </w:rPr>
        <w:t>გზების</w:t>
      </w:r>
      <w:r w:rsidRPr="000E38C6">
        <w:rPr>
          <w:lang w:val="ka-GE"/>
        </w:rPr>
        <w:t xml:space="preserve"> </w:t>
      </w:r>
      <w:r w:rsidRPr="000E38C6">
        <w:rPr>
          <w:rFonts w:cs="Sylfaen"/>
          <w:lang w:val="ka-GE"/>
        </w:rPr>
        <w:t>საზღვრები</w:t>
      </w:r>
      <w:r w:rsidRPr="000E38C6">
        <w:rPr>
          <w:lang w:val="ka-GE"/>
        </w:rPr>
        <w:t xml:space="preserve">; </w:t>
      </w:r>
    </w:p>
    <w:p w14:paraId="7C42653A" w14:textId="77777777" w:rsidR="00CD64B5" w:rsidRPr="000E38C6" w:rsidRDefault="00CD64B5" w:rsidP="00821E4D">
      <w:pPr>
        <w:pStyle w:val="ListParagraph"/>
        <w:numPr>
          <w:ilvl w:val="0"/>
          <w:numId w:val="34"/>
        </w:numPr>
        <w:spacing w:before="120"/>
        <w:rPr>
          <w:lang w:val="ka-GE"/>
        </w:rPr>
      </w:pPr>
      <w:r w:rsidRPr="000E38C6">
        <w:rPr>
          <w:rFonts w:cs="Sylfaen"/>
          <w:lang w:val="ka-GE"/>
        </w:rPr>
        <w:t>ტერიტორიაზე</w:t>
      </w:r>
      <w:r w:rsidRPr="000E38C6">
        <w:rPr>
          <w:lang w:val="ka-GE"/>
        </w:rPr>
        <w:t xml:space="preserve"> </w:t>
      </w:r>
      <w:r w:rsidRPr="000E38C6">
        <w:rPr>
          <w:rFonts w:cs="Sylfaen"/>
          <w:lang w:val="ka-GE"/>
        </w:rPr>
        <w:t>დადგმული</w:t>
      </w:r>
      <w:r w:rsidRPr="000E38C6">
        <w:rPr>
          <w:lang w:val="ka-GE"/>
        </w:rPr>
        <w:t xml:space="preserve"> </w:t>
      </w:r>
      <w:r w:rsidRPr="000E38C6">
        <w:rPr>
          <w:rFonts w:cs="Sylfaen"/>
          <w:lang w:val="ka-GE"/>
        </w:rPr>
        <w:t>ნაგვის</w:t>
      </w:r>
      <w:r w:rsidRPr="000E38C6">
        <w:rPr>
          <w:lang w:val="ka-GE"/>
        </w:rPr>
        <w:t xml:space="preserve"> </w:t>
      </w:r>
      <w:r w:rsidRPr="000E38C6">
        <w:rPr>
          <w:rFonts w:cs="Sylfaen"/>
          <w:lang w:val="ka-GE"/>
        </w:rPr>
        <w:t>ყუთებს</w:t>
      </w:r>
      <w:r w:rsidRPr="000E38C6">
        <w:rPr>
          <w:lang w:val="ka-GE"/>
        </w:rPr>
        <w:t xml:space="preserve"> </w:t>
      </w:r>
      <w:r w:rsidRPr="000E38C6">
        <w:rPr>
          <w:rFonts w:cs="Sylfaen"/>
          <w:lang w:val="ka-GE"/>
        </w:rPr>
        <w:t>ექნებათ</w:t>
      </w:r>
      <w:r w:rsidRPr="000E38C6">
        <w:rPr>
          <w:lang w:val="ka-GE"/>
        </w:rPr>
        <w:t xml:space="preserve"> </w:t>
      </w:r>
      <w:r w:rsidRPr="000E38C6">
        <w:rPr>
          <w:rFonts w:cs="Sylfaen"/>
          <w:lang w:val="ka-GE"/>
        </w:rPr>
        <w:t>სახურავი</w:t>
      </w:r>
      <w:r w:rsidRPr="000E38C6">
        <w:rPr>
          <w:lang w:val="ka-GE"/>
        </w:rPr>
        <w:t>;</w:t>
      </w:r>
    </w:p>
    <w:p w14:paraId="1A324E7F" w14:textId="77777777" w:rsidR="00CD64B5" w:rsidRPr="000E38C6" w:rsidRDefault="00CD64B5" w:rsidP="00821E4D">
      <w:pPr>
        <w:pStyle w:val="ListParagraph"/>
        <w:numPr>
          <w:ilvl w:val="0"/>
          <w:numId w:val="34"/>
        </w:numPr>
        <w:spacing w:before="120"/>
        <w:rPr>
          <w:lang w:val="ka-GE"/>
        </w:rPr>
      </w:pPr>
      <w:r w:rsidRPr="000E38C6">
        <w:rPr>
          <w:rFonts w:cs="Sylfaen"/>
          <w:lang w:val="ka-GE"/>
        </w:rPr>
        <w:t>აიკრძალება</w:t>
      </w:r>
      <w:r w:rsidRPr="000E38C6">
        <w:rPr>
          <w:lang w:val="ka-GE"/>
        </w:rPr>
        <w:t xml:space="preserve"> </w:t>
      </w:r>
      <w:r w:rsidRPr="000E38C6">
        <w:rPr>
          <w:rFonts w:cs="Sylfaen"/>
          <w:lang w:val="ka-GE"/>
        </w:rPr>
        <w:t>ნარჩენების</w:t>
      </w:r>
      <w:r w:rsidRPr="000E38C6">
        <w:rPr>
          <w:lang w:val="ka-GE"/>
        </w:rPr>
        <w:t xml:space="preserve"> </w:t>
      </w:r>
      <w:r w:rsidRPr="000E38C6">
        <w:rPr>
          <w:rFonts w:cs="Sylfaen"/>
          <w:lang w:val="ka-GE"/>
        </w:rPr>
        <w:t>ტერიტორიაზე</w:t>
      </w:r>
      <w:r w:rsidRPr="000E38C6">
        <w:rPr>
          <w:lang w:val="ka-GE"/>
        </w:rPr>
        <w:t xml:space="preserve"> </w:t>
      </w:r>
      <w:r w:rsidRPr="000E38C6">
        <w:rPr>
          <w:rFonts w:cs="Sylfaen"/>
          <w:lang w:val="ka-GE"/>
        </w:rPr>
        <w:t>დაყრა</w:t>
      </w:r>
      <w:r w:rsidRPr="000E38C6">
        <w:rPr>
          <w:lang w:val="ka-GE"/>
        </w:rPr>
        <w:t>;</w:t>
      </w:r>
    </w:p>
    <w:p w14:paraId="16FA0B52" w14:textId="77777777" w:rsidR="00CD64B5" w:rsidRPr="000E38C6" w:rsidRDefault="00CD64B5" w:rsidP="00821E4D">
      <w:pPr>
        <w:pStyle w:val="ListParagraph"/>
        <w:numPr>
          <w:ilvl w:val="0"/>
          <w:numId w:val="34"/>
        </w:numPr>
        <w:spacing w:before="120"/>
        <w:rPr>
          <w:lang w:val="ka-GE"/>
        </w:rPr>
      </w:pPr>
      <w:r w:rsidRPr="000E38C6">
        <w:rPr>
          <w:rFonts w:cs="Sylfaen"/>
          <w:lang w:val="ka-GE"/>
        </w:rPr>
        <w:t>დაცული</w:t>
      </w:r>
      <w:r w:rsidRPr="000E38C6">
        <w:rPr>
          <w:lang w:val="ka-GE"/>
        </w:rPr>
        <w:t xml:space="preserve"> </w:t>
      </w:r>
      <w:r w:rsidRPr="000E38C6">
        <w:rPr>
          <w:rFonts w:cs="Sylfaen"/>
          <w:lang w:val="ka-GE"/>
        </w:rPr>
        <w:t>იქნება</w:t>
      </w:r>
      <w:r w:rsidRPr="000E38C6">
        <w:rPr>
          <w:lang w:val="ka-GE"/>
        </w:rPr>
        <w:t xml:space="preserve"> </w:t>
      </w:r>
      <w:r w:rsidRPr="000E38C6">
        <w:rPr>
          <w:rFonts w:cs="Sylfaen"/>
          <w:lang w:val="ka-GE"/>
        </w:rPr>
        <w:t>ნარჩენების</w:t>
      </w:r>
      <w:r w:rsidRPr="000E38C6">
        <w:rPr>
          <w:lang w:val="ka-GE"/>
        </w:rPr>
        <w:t xml:space="preserve"> </w:t>
      </w:r>
      <w:r w:rsidRPr="000E38C6">
        <w:rPr>
          <w:rFonts w:cs="Sylfaen"/>
          <w:lang w:val="ka-GE"/>
        </w:rPr>
        <w:t>ტერიტორიიდან</w:t>
      </w:r>
      <w:r w:rsidRPr="000E38C6">
        <w:rPr>
          <w:lang w:val="ka-GE"/>
        </w:rPr>
        <w:t xml:space="preserve"> </w:t>
      </w:r>
      <w:r w:rsidRPr="000E38C6">
        <w:rPr>
          <w:rFonts w:cs="Sylfaen"/>
          <w:lang w:val="ka-GE"/>
        </w:rPr>
        <w:t>გატანის</w:t>
      </w:r>
      <w:r w:rsidRPr="000E38C6">
        <w:rPr>
          <w:lang w:val="ka-GE"/>
        </w:rPr>
        <w:t xml:space="preserve"> </w:t>
      </w:r>
      <w:r w:rsidRPr="000E38C6">
        <w:rPr>
          <w:rFonts w:cs="Sylfaen"/>
          <w:lang w:val="ka-GE"/>
        </w:rPr>
        <w:t>გრაფიკი</w:t>
      </w:r>
      <w:r w:rsidRPr="000E38C6">
        <w:rPr>
          <w:lang w:val="ka-GE"/>
        </w:rPr>
        <w:t>;</w:t>
      </w:r>
    </w:p>
    <w:p w14:paraId="11911093" w14:textId="77777777" w:rsidR="00CD64B5" w:rsidRPr="000E38C6" w:rsidRDefault="00CD64B5" w:rsidP="00821E4D">
      <w:pPr>
        <w:pStyle w:val="ListParagraph"/>
        <w:numPr>
          <w:ilvl w:val="0"/>
          <w:numId w:val="34"/>
        </w:numPr>
        <w:spacing w:before="120"/>
        <w:rPr>
          <w:lang w:val="ka-GE"/>
        </w:rPr>
      </w:pPr>
      <w:r w:rsidRPr="000E38C6">
        <w:rPr>
          <w:rFonts w:cs="Sylfaen"/>
          <w:lang w:val="ka-GE"/>
        </w:rPr>
        <w:t>მშენებელი</w:t>
      </w:r>
      <w:r w:rsidRPr="000E38C6">
        <w:rPr>
          <w:lang w:val="ka-GE"/>
        </w:rPr>
        <w:t xml:space="preserve"> </w:t>
      </w:r>
      <w:r w:rsidRPr="000E38C6">
        <w:rPr>
          <w:rFonts w:cs="Sylfaen"/>
          <w:lang w:val="ka-GE"/>
        </w:rPr>
        <w:t>კონტრაქტორი</w:t>
      </w:r>
      <w:r w:rsidRPr="000E38C6">
        <w:rPr>
          <w:lang w:val="ka-GE"/>
        </w:rPr>
        <w:t xml:space="preserve"> </w:t>
      </w:r>
      <w:r w:rsidRPr="000E38C6">
        <w:rPr>
          <w:rFonts w:cs="Sylfaen"/>
          <w:lang w:val="ka-GE"/>
        </w:rPr>
        <w:t>ვალდებული</w:t>
      </w:r>
      <w:r w:rsidRPr="000E38C6">
        <w:rPr>
          <w:lang w:val="ka-GE"/>
        </w:rPr>
        <w:t xml:space="preserve"> </w:t>
      </w:r>
      <w:r w:rsidRPr="000E38C6">
        <w:rPr>
          <w:rFonts w:cs="Sylfaen"/>
          <w:lang w:val="ka-GE"/>
        </w:rPr>
        <w:t>იქნება</w:t>
      </w:r>
      <w:r w:rsidRPr="000E38C6">
        <w:rPr>
          <w:lang w:val="ka-GE"/>
        </w:rPr>
        <w:t xml:space="preserve"> </w:t>
      </w:r>
      <w:r w:rsidRPr="000E38C6">
        <w:rPr>
          <w:rFonts w:cs="Sylfaen"/>
          <w:lang w:val="ka-GE"/>
        </w:rPr>
        <w:t>სამუშაო</w:t>
      </w:r>
      <w:r w:rsidRPr="000E38C6">
        <w:rPr>
          <w:lang w:val="ka-GE"/>
        </w:rPr>
        <w:t xml:space="preserve"> </w:t>
      </w:r>
      <w:r w:rsidRPr="000E38C6">
        <w:rPr>
          <w:rFonts w:cs="Sylfaen"/>
          <w:lang w:val="ka-GE"/>
        </w:rPr>
        <w:t>დღის</w:t>
      </w:r>
      <w:r w:rsidRPr="000E38C6">
        <w:rPr>
          <w:lang w:val="ka-GE"/>
        </w:rPr>
        <w:t xml:space="preserve"> </w:t>
      </w:r>
      <w:r w:rsidRPr="000E38C6">
        <w:rPr>
          <w:rFonts w:cs="Sylfaen"/>
          <w:lang w:val="ka-GE"/>
        </w:rPr>
        <w:t>ბოლოს</w:t>
      </w:r>
      <w:r w:rsidRPr="000E38C6">
        <w:rPr>
          <w:lang w:val="ka-GE"/>
        </w:rPr>
        <w:t xml:space="preserve"> </w:t>
      </w:r>
      <w:r w:rsidRPr="000E38C6">
        <w:rPr>
          <w:rFonts w:cs="Sylfaen"/>
          <w:lang w:val="ka-GE"/>
        </w:rPr>
        <w:t>მოაწესრიგოს</w:t>
      </w:r>
      <w:r w:rsidRPr="000E38C6">
        <w:rPr>
          <w:lang w:val="ka-GE"/>
        </w:rPr>
        <w:t xml:space="preserve"> (</w:t>
      </w:r>
      <w:r w:rsidRPr="000E38C6">
        <w:rPr>
          <w:rFonts w:cs="Sylfaen"/>
          <w:lang w:val="ka-GE"/>
        </w:rPr>
        <w:t>დაალაგოს</w:t>
      </w:r>
      <w:r w:rsidRPr="000E38C6">
        <w:rPr>
          <w:lang w:val="ka-GE"/>
        </w:rPr>
        <w:t xml:space="preserve">) </w:t>
      </w:r>
      <w:r w:rsidRPr="000E38C6">
        <w:rPr>
          <w:rFonts w:cs="Sylfaen"/>
          <w:lang w:val="ka-GE"/>
        </w:rPr>
        <w:t>ტერიტორია</w:t>
      </w:r>
      <w:r w:rsidRPr="000E38C6">
        <w:rPr>
          <w:lang w:val="ka-GE"/>
        </w:rPr>
        <w:t>;</w:t>
      </w:r>
    </w:p>
    <w:p w14:paraId="05358B55" w14:textId="77777777" w:rsidR="00CD64B5" w:rsidRPr="000E38C6" w:rsidRDefault="00CD64B5" w:rsidP="00821E4D">
      <w:pPr>
        <w:pStyle w:val="ListParagraph"/>
        <w:numPr>
          <w:ilvl w:val="0"/>
          <w:numId w:val="34"/>
        </w:numPr>
        <w:spacing w:before="120"/>
        <w:rPr>
          <w:lang w:val="ka-GE"/>
        </w:rPr>
      </w:pPr>
      <w:r w:rsidRPr="000E38C6">
        <w:rPr>
          <w:rFonts w:cs="Sylfaen"/>
          <w:lang w:val="ka-GE"/>
        </w:rPr>
        <w:t>შემუშავდება</w:t>
      </w:r>
      <w:r w:rsidRPr="000E38C6">
        <w:rPr>
          <w:lang w:val="ka-GE"/>
        </w:rPr>
        <w:t xml:space="preserve"> </w:t>
      </w:r>
      <w:r w:rsidRPr="000E38C6">
        <w:rPr>
          <w:rFonts w:cs="Sylfaen"/>
          <w:lang w:val="ka-GE"/>
        </w:rPr>
        <w:t>და</w:t>
      </w:r>
      <w:r w:rsidRPr="000E38C6">
        <w:rPr>
          <w:lang w:val="ka-GE"/>
        </w:rPr>
        <w:t xml:space="preserve"> </w:t>
      </w:r>
      <w:r w:rsidRPr="000E38C6">
        <w:rPr>
          <w:rFonts w:cs="Sylfaen"/>
          <w:lang w:val="ka-GE"/>
        </w:rPr>
        <w:t>შეთანხმდება</w:t>
      </w:r>
      <w:r w:rsidRPr="000E38C6">
        <w:rPr>
          <w:lang w:val="ka-GE"/>
        </w:rPr>
        <w:t xml:space="preserve"> </w:t>
      </w:r>
      <w:r w:rsidRPr="000E38C6">
        <w:rPr>
          <w:rFonts w:cs="Sylfaen"/>
          <w:lang w:val="ka-GE"/>
        </w:rPr>
        <w:t>რეკულტივაციის</w:t>
      </w:r>
      <w:r w:rsidRPr="000E38C6">
        <w:rPr>
          <w:lang w:val="ka-GE"/>
        </w:rPr>
        <w:t xml:space="preserve"> </w:t>
      </w:r>
      <w:r w:rsidRPr="000E38C6">
        <w:rPr>
          <w:rFonts w:cs="Sylfaen"/>
          <w:lang w:val="ka-GE"/>
        </w:rPr>
        <w:t>გეგმა</w:t>
      </w:r>
      <w:r w:rsidRPr="000E38C6">
        <w:rPr>
          <w:lang w:val="ka-GE"/>
        </w:rPr>
        <w:t>;</w:t>
      </w:r>
    </w:p>
    <w:p w14:paraId="722EEAA2" w14:textId="77777777" w:rsidR="00CD64B5" w:rsidRPr="000E38C6" w:rsidRDefault="00CD64B5" w:rsidP="00821E4D">
      <w:pPr>
        <w:pStyle w:val="ListParagraph"/>
        <w:numPr>
          <w:ilvl w:val="0"/>
          <w:numId w:val="34"/>
        </w:numPr>
        <w:spacing w:before="120"/>
        <w:rPr>
          <w:lang w:val="ka-GE"/>
        </w:rPr>
      </w:pPr>
      <w:r w:rsidRPr="000E38C6">
        <w:rPr>
          <w:rFonts w:cs="Sylfaen"/>
          <w:lang w:val="ka-GE"/>
        </w:rPr>
        <w:t>სამშენებლო</w:t>
      </w:r>
      <w:r w:rsidRPr="000E38C6">
        <w:rPr>
          <w:lang w:val="ka-GE"/>
        </w:rPr>
        <w:t xml:space="preserve"> </w:t>
      </w:r>
      <w:r w:rsidRPr="000E38C6">
        <w:rPr>
          <w:rFonts w:cs="Sylfaen"/>
          <w:lang w:val="ka-GE"/>
        </w:rPr>
        <w:t>სამუშაოების</w:t>
      </w:r>
      <w:r w:rsidRPr="000E38C6">
        <w:rPr>
          <w:lang w:val="ka-GE"/>
        </w:rPr>
        <w:t xml:space="preserve"> </w:t>
      </w:r>
      <w:r w:rsidRPr="000E38C6">
        <w:rPr>
          <w:rFonts w:cs="Sylfaen"/>
          <w:lang w:val="ka-GE"/>
        </w:rPr>
        <w:t>წარმოების</w:t>
      </w:r>
      <w:r w:rsidRPr="000E38C6">
        <w:rPr>
          <w:lang w:val="ka-GE"/>
        </w:rPr>
        <w:t xml:space="preserve"> </w:t>
      </w:r>
      <w:r w:rsidRPr="000E38C6">
        <w:rPr>
          <w:rFonts w:cs="Sylfaen"/>
          <w:lang w:val="ka-GE"/>
        </w:rPr>
        <w:t>შემდეგ</w:t>
      </w:r>
      <w:r w:rsidRPr="000E38C6">
        <w:rPr>
          <w:lang w:val="ka-GE"/>
        </w:rPr>
        <w:t xml:space="preserve"> </w:t>
      </w:r>
      <w:r w:rsidRPr="000E38C6">
        <w:rPr>
          <w:rFonts w:cs="Sylfaen"/>
          <w:lang w:val="ka-GE"/>
        </w:rPr>
        <w:t>მოხდება</w:t>
      </w:r>
      <w:r w:rsidRPr="000E38C6">
        <w:rPr>
          <w:lang w:val="ka-GE"/>
        </w:rPr>
        <w:t xml:space="preserve"> </w:t>
      </w:r>
      <w:r w:rsidRPr="000E38C6">
        <w:rPr>
          <w:rFonts w:cs="Sylfaen"/>
          <w:lang w:val="ka-GE"/>
        </w:rPr>
        <w:t>დარღვეული</w:t>
      </w:r>
      <w:r w:rsidRPr="000E38C6">
        <w:rPr>
          <w:lang w:val="ka-GE"/>
        </w:rPr>
        <w:t xml:space="preserve"> </w:t>
      </w:r>
      <w:r w:rsidRPr="000E38C6">
        <w:rPr>
          <w:rFonts w:cs="Sylfaen"/>
          <w:lang w:val="ka-GE"/>
        </w:rPr>
        <w:t>ტერიტორიების</w:t>
      </w:r>
      <w:r w:rsidRPr="000E38C6">
        <w:rPr>
          <w:lang w:val="ka-GE"/>
        </w:rPr>
        <w:t xml:space="preserve"> </w:t>
      </w:r>
      <w:r w:rsidRPr="000E38C6">
        <w:rPr>
          <w:rFonts w:cs="Sylfaen"/>
          <w:lang w:val="ka-GE"/>
        </w:rPr>
        <w:t>მდგომარეობის</w:t>
      </w:r>
      <w:r w:rsidRPr="000E38C6">
        <w:rPr>
          <w:lang w:val="ka-GE"/>
        </w:rPr>
        <w:t xml:space="preserve"> </w:t>
      </w:r>
      <w:r w:rsidRPr="000E38C6">
        <w:rPr>
          <w:rFonts w:cs="Sylfaen"/>
          <w:lang w:val="ka-GE"/>
        </w:rPr>
        <w:t>აღდგენა</w:t>
      </w:r>
      <w:r w:rsidRPr="000E38C6">
        <w:rPr>
          <w:lang w:val="ka-GE"/>
        </w:rPr>
        <w:t xml:space="preserve"> </w:t>
      </w:r>
      <w:r w:rsidRPr="000E38C6">
        <w:rPr>
          <w:rFonts w:cs="Sylfaen"/>
          <w:lang w:val="ka-GE"/>
        </w:rPr>
        <w:t>საწყისთან</w:t>
      </w:r>
      <w:r w:rsidRPr="000E38C6">
        <w:rPr>
          <w:lang w:val="ka-GE"/>
        </w:rPr>
        <w:t xml:space="preserve"> </w:t>
      </w:r>
      <w:r w:rsidRPr="000E38C6">
        <w:rPr>
          <w:rFonts w:cs="Sylfaen"/>
          <w:lang w:val="ka-GE"/>
        </w:rPr>
        <w:t>მიახლოებულ</w:t>
      </w:r>
      <w:r w:rsidRPr="000E38C6">
        <w:rPr>
          <w:lang w:val="ka-GE"/>
        </w:rPr>
        <w:t xml:space="preserve"> </w:t>
      </w:r>
      <w:r w:rsidRPr="000E38C6">
        <w:rPr>
          <w:rFonts w:cs="Sylfaen"/>
          <w:lang w:val="ka-GE"/>
        </w:rPr>
        <w:t>მდგომარეობამდე</w:t>
      </w:r>
      <w:r w:rsidRPr="000E38C6">
        <w:rPr>
          <w:lang w:val="ka-GE"/>
        </w:rPr>
        <w:t xml:space="preserve"> (</w:t>
      </w:r>
      <w:r w:rsidRPr="000E38C6">
        <w:rPr>
          <w:rFonts w:cs="Sylfaen"/>
          <w:lang w:val="ka-GE"/>
        </w:rPr>
        <w:t>რეკულტივაციის</w:t>
      </w:r>
      <w:r w:rsidRPr="000E38C6">
        <w:rPr>
          <w:lang w:val="ka-GE"/>
        </w:rPr>
        <w:t xml:space="preserve"> </w:t>
      </w:r>
      <w:r w:rsidRPr="000E38C6">
        <w:rPr>
          <w:rFonts w:cs="Sylfaen"/>
          <w:lang w:val="ka-GE"/>
        </w:rPr>
        <w:t>გეგმის</w:t>
      </w:r>
      <w:r w:rsidRPr="000E38C6">
        <w:rPr>
          <w:lang w:val="ka-GE"/>
        </w:rPr>
        <w:t xml:space="preserve"> </w:t>
      </w:r>
      <w:r w:rsidRPr="000E38C6">
        <w:rPr>
          <w:rFonts w:cs="Sylfaen"/>
          <w:lang w:val="ka-GE"/>
        </w:rPr>
        <w:t>შესაბამისად</w:t>
      </w:r>
      <w:r w:rsidRPr="000E38C6">
        <w:rPr>
          <w:lang w:val="ka-GE"/>
        </w:rPr>
        <w:t>).</w:t>
      </w:r>
    </w:p>
    <w:p w14:paraId="0CEC2FE2" w14:textId="77777777" w:rsidR="00CD64B5" w:rsidRPr="000E38C6" w:rsidRDefault="00CD64B5" w:rsidP="00821E4D">
      <w:pPr>
        <w:pStyle w:val="ListParagraph"/>
        <w:numPr>
          <w:ilvl w:val="0"/>
          <w:numId w:val="34"/>
        </w:numPr>
        <w:spacing w:before="120"/>
        <w:rPr>
          <w:lang w:val="ka-GE"/>
        </w:rPr>
      </w:pPr>
      <w:r w:rsidRPr="000E38C6">
        <w:rPr>
          <w:rFonts w:cs="Sylfaen"/>
          <w:lang w:val="ka-GE"/>
        </w:rPr>
        <w:t>შემარბილებელი</w:t>
      </w:r>
      <w:r w:rsidRPr="000E38C6">
        <w:rPr>
          <w:lang w:val="ka-GE"/>
        </w:rPr>
        <w:t xml:space="preserve"> </w:t>
      </w:r>
      <w:r w:rsidRPr="000E38C6">
        <w:rPr>
          <w:rFonts w:cs="Sylfaen"/>
          <w:lang w:val="ka-GE"/>
        </w:rPr>
        <w:t>ღონისძიებების</w:t>
      </w:r>
      <w:r w:rsidRPr="000E38C6">
        <w:rPr>
          <w:lang w:val="ka-GE"/>
        </w:rPr>
        <w:t xml:space="preserve">  </w:t>
      </w:r>
      <w:r w:rsidRPr="000E38C6">
        <w:rPr>
          <w:rFonts w:cs="Sylfaen"/>
          <w:lang w:val="ka-GE"/>
        </w:rPr>
        <w:t>შესრულების</w:t>
      </w:r>
      <w:r w:rsidRPr="000E38C6">
        <w:rPr>
          <w:lang w:val="ka-GE"/>
        </w:rPr>
        <w:t xml:space="preserve"> </w:t>
      </w:r>
      <w:r w:rsidRPr="000E38C6">
        <w:rPr>
          <w:rFonts w:cs="Sylfaen"/>
          <w:lang w:val="ka-GE"/>
        </w:rPr>
        <w:t>უზრუნველყოფა</w:t>
      </w:r>
      <w:r w:rsidRPr="000E38C6">
        <w:rPr>
          <w:lang w:val="ka-GE"/>
        </w:rPr>
        <w:t xml:space="preserve"> </w:t>
      </w:r>
      <w:r w:rsidRPr="000E38C6">
        <w:rPr>
          <w:rFonts w:cs="Sylfaen"/>
          <w:lang w:val="ka-GE"/>
        </w:rPr>
        <w:t>საავტომობილო</w:t>
      </w:r>
      <w:r w:rsidRPr="000E38C6">
        <w:rPr>
          <w:lang w:val="ka-GE"/>
        </w:rPr>
        <w:t xml:space="preserve"> </w:t>
      </w:r>
      <w:r w:rsidRPr="000E38C6">
        <w:rPr>
          <w:rFonts w:cs="Sylfaen"/>
          <w:lang w:val="ka-GE"/>
        </w:rPr>
        <w:t>გზების</w:t>
      </w:r>
      <w:r w:rsidRPr="000E38C6">
        <w:rPr>
          <w:lang w:val="ka-GE"/>
        </w:rPr>
        <w:t xml:space="preserve"> </w:t>
      </w:r>
      <w:r w:rsidRPr="000E38C6">
        <w:rPr>
          <w:rFonts w:cs="Sylfaen"/>
          <w:lang w:val="ka-GE"/>
        </w:rPr>
        <w:t>დეპარტამენტის</w:t>
      </w:r>
      <w:r w:rsidRPr="000E38C6">
        <w:rPr>
          <w:lang w:val="ka-GE"/>
        </w:rPr>
        <w:t xml:space="preserve"> </w:t>
      </w:r>
      <w:r w:rsidRPr="000E38C6">
        <w:rPr>
          <w:rFonts w:cs="Sylfaen"/>
          <w:lang w:val="ka-GE"/>
        </w:rPr>
        <w:t>პასუხისმგებლობას</w:t>
      </w:r>
      <w:r w:rsidRPr="000E38C6">
        <w:rPr>
          <w:lang w:val="ka-GE"/>
        </w:rPr>
        <w:t xml:space="preserve"> </w:t>
      </w:r>
      <w:r w:rsidRPr="000E38C6">
        <w:rPr>
          <w:rFonts w:cs="Sylfaen"/>
          <w:lang w:val="ka-GE"/>
        </w:rPr>
        <w:t>წარმოადგენს</w:t>
      </w:r>
      <w:r w:rsidRPr="000E38C6">
        <w:rPr>
          <w:lang w:val="ka-GE"/>
        </w:rPr>
        <w:t xml:space="preserve">.    </w:t>
      </w:r>
    </w:p>
    <w:p w14:paraId="5BF59B49" w14:textId="77777777" w:rsidR="00CD64B5" w:rsidRPr="00CD64B5" w:rsidRDefault="00CD64B5" w:rsidP="000E38C6">
      <w:pPr>
        <w:spacing w:before="120" w:after="120"/>
        <w:rPr>
          <w:highlight w:val="yellow"/>
          <w:lang w:val="ka-GE"/>
        </w:rPr>
      </w:pPr>
    </w:p>
    <w:p w14:paraId="78532379" w14:textId="77777777" w:rsidR="00CD64B5" w:rsidRPr="00CD64B5" w:rsidRDefault="00CD64B5" w:rsidP="000E38C6">
      <w:pPr>
        <w:pStyle w:val="Heading3"/>
        <w:rPr>
          <w:rFonts w:eastAsia="Calibri"/>
          <w:lang w:val="ka-GE"/>
        </w:rPr>
      </w:pPr>
      <w:bookmarkStart w:id="425" w:name="_Toc529977417"/>
      <w:bookmarkStart w:id="426" w:name="_Toc495314404"/>
      <w:bookmarkStart w:id="427" w:name="_Toc479166536"/>
      <w:bookmarkStart w:id="428" w:name="_Toc479164806"/>
      <w:bookmarkStart w:id="429" w:name="_Toc1581579"/>
      <w:r w:rsidRPr="00CD64B5">
        <w:rPr>
          <w:lang w:val="ka-GE"/>
        </w:rPr>
        <w:t xml:space="preserve">7.8.2 </w:t>
      </w:r>
      <w:r w:rsidRPr="00CD64B5">
        <w:rPr>
          <w:rFonts w:ascii="Sylfaen" w:hAnsi="Sylfaen" w:cs="Sylfaen"/>
          <w:lang w:val="ka-GE"/>
        </w:rPr>
        <w:t>ვიზუალურ</w:t>
      </w:r>
      <w:r w:rsidRPr="00CD64B5">
        <w:rPr>
          <w:lang w:val="ka-GE"/>
        </w:rPr>
        <w:t>-</w:t>
      </w:r>
      <w:r w:rsidRPr="00CD64B5">
        <w:rPr>
          <w:rFonts w:ascii="Sylfaen" w:hAnsi="Sylfaen" w:cs="Sylfaen"/>
          <w:lang w:val="ka-GE"/>
        </w:rPr>
        <w:t>ლანდშაფტური</w:t>
      </w:r>
      <w:r w:rsidRPr="00CD64B5">
        <w:rPr>
          <w:lang w:val="ka-GE"/>
        </w:rPr>
        <w:t xml:space="preserve"> </w:t>
      </w:r>
      <w:r w:rsidRPr="00CD64B5">
        <w:rPr>
          <w:rFonts w:ascii="Sylfaen" w:hAnsi="Sylfaen" w:cs="Sylfaen"/>
          <w:lang w:val="ka-GE"/>
        </w:rPr>
        <w:t>ცვლილება</w:t>
      </w:r>
      <w:r w:rsidRPr="00CD64B5">
        <w:rPr>
          <w:lang w:val="ka-GE"/>
        </w:rPr>
        <w:t xml:space="preserve">  </w:t>
      </w:r>
      <w:r w:rsidRPr="00CD64B5">
        <w:rPr>
          <w:rFonts w:ascii="Sylfaen" w:hAnsi="Sylfaen" w:cs="Sylfaen"/>
          <w:lang w:val="ka-GE"/>
        </w:rPr>
        <w:t>ექსპლუატაციის</w:t>
      </w:r>
      <w:r w:rsidRPr="00CD64B5">
        <w:rPr>
          <w:lang w:val="ka-GE"/>
        </w:rPr>
        <w:t xml:space="preserve"> </w:t>
      </w:r>
      <w:r w:rsidRPr="00CD64B5">
        <w:rPr>
          <w:rFonts w:ascii="Sylfaen" w:hAnsi="Sylfaen" w:cs="Sylfaen"/>
          <w:lang w:val="ka-GE"/>
        </w:rPr>
        <w:t>ეტაპზე</w:t>
      </w:r>
      <w:bookmarkEnd w:id="425"/>
      <w:bookmarkEnd w:id="426"/>
      <w:bookmarkEnd w:id="427"/>
      <w:bookmarkEnd w:id="428"/>
      <w:bookmarkEnd w:id="429"/>
    </w:p>
    <w:p w14:paraId="2884BEA3" w14:textId="77777777" w:rsidR="00CD64B5" w:rsidRPr="001352AB" w:rsidRDefault="00CD64B5" w:rsidP="000E38C6">
      <w:pPr>
        <w:spacing w:before="120" w:after="120"/>
        <w:rPr>
          <w:lang w:val="ka-GE"/>
        </w:rPr>
      </w:pPr>
      <w:r w:rsidRPr="00CD64B5">
        <w:rPr>
          <w:rFonts w:ascii="Sylfaen" w:hAnsi="Sylfaen" w:cs="Sylfaen"/>
          <w:lang w:val="ka-GE"/>
        </w:rPr>
        <w:t>ექსპლუატაციის</w:t>
      </w:r>
      <w:r w:rsidRPr="00CD64B5">
        <w:rPr>
          <w:lang w:val="ka-GE"/>
        </w:rPr>
        <w:t xml:space="preserve"> </w:t>
      </w:r>
      <w:r w:rsidRPr="00CD64B5">
        <w:rPr>
          <w:rFonts w:ascii="Sylfaen" w:hAnsi="Sylfaen" w:cs="Sylfaen"/>
          <w:lang w:val="ka-GE"/>
        </w:rPr>
        <w:t>ეტაპზე</w:t>
      </w:r>
      <w:r w:rsidRPr="00CD64B5">
        <w:rPr>
          <w:lang w:val="ka-GE"/>
        </w:rPr>
        <w:t xml:space="preserve"> </w:t>
      </w:r>
      <w:r w:rsidRPr="00CD64B5">
        <w:rPr>
          <w:rFonts w:ascii="Sylfaen" w:hAnsi="Sylfaen" w:cs="Sylfaen"/>
          <w:lang w:val="ka-GE"/>
        </w:rPr>
        <w:t>ვიზუალური</w:t>
      </w:r>
      <w:r w:rsidRPr="00CD64B5">
        <w:rPr>
          <w:lang w:val="ka-GE"/>
        </w:rPr>
        <w:t xml:space="preserve"> </w:t>
      </w:r>
      <w:r w:rsidRPr="00CD64B5">
        <w:rPr>
          <w:rFonts w:ascii="Sylfaen" w:hAnsi="Sylfaen" w:cs="Sylfaen"/>
          <w:lang w:val="ka-GE"/>
        </w:rPr>
        <w:t>ზემოქმედების</w:t>
      </w:r>
      <w:r w:rsidRPr="00CD64B5">
        <w:rPr>
          <w:lang w:val="ka-GE"/>
        </w:rPr>
        <w:t xml:space="preserve"> </w:t>
      </w:r>
      <w:r w:rsidRPr="00CD64B5">
        <w:rPr>
          <w:rFonts w:ascii="Sylfaen" w:hAnsi="Sylfaen" w:cs="Sylfaen"/>
          <w:lang w:val="ka-GE"/>
        </w:rPr>
        <w:t>ძირითად</w:t>
      </w:r>
      <w:r w:rsidRPr="00CD64B5">
        <w:rPr>
          <w:lang w:val="ka-GE"/>
        </w:rPr>
        <w:t xml:space="preserve"> </w:t>
      </w:r>
      <w:r w:rsidRPr="00CD64B5">
        <w:rPr>
          <w:rFonts w:ascii="Sylfaen" w:hAnsi="Sylfaen" w:cs="Sylfaen"/>
          <w:lang w:val="ka-GE"/>
        </w:rPr>
        <w:t>წყაროს</w:t>
      </w:r>
      <w:r w:rsidRPr="00CD64B5">
        <w:rPr>
          <w:lang w:val="ka-GE"/>
        </w:rPr>
        <w:t xml:space="preserve"> </w:t>
      </w:r>
      <w:r w:rsidRPr="00CD64B5">
        <w:rPr>
          <w:rFonts w:ascii="Sylfaen" w:hAnsi="Sylfaen" w:cs="Sylfaen"/>
          <w:lang w:val="ka-GE"/>
        </w:rPr>
        <w:t>საავტომობილო</w:t>
      </w:r>
      <w:r w:rsidRPr="00CD64B5">
        <w:rPr>
          <w:lang w:val="ka-GE"/>
        </w:rPr>
        <w:t xml:space="preserve"> </w:t>
      </w:r>
      <w:r w:rsidRPr="00CD64B5">
        <w:rPr>
          <w:rFonts w:ascii="Sylfaen" w:hAnsi="Sylfaen" w:cs="Sylfaen"/>
          <w:lang w:val="ka-GE"/>
        </w:rPr>
        <w:t>ტრანსპორტის</w:t>
      </w:r>
      <w:r w:rsidRPr="00CD64B5">
        <w:rPr>
          <w:lang w:val="ka-GE"/>
        </w:rPr>
        <w:t xml:space="preserve"> </w:t>
      </w:r>
      <w:r w:rsidRPr="00CD64B5">
        <w:rPr>
          <w:rFonts w:ascii="Sylfaen" w:hAnsi="Sylfaen" w:cs="Sylfaen"/>
          <w:lang w:val="ka-GE"/>
        </w:rPr>
        <w:t>გადაადგილება</w:t>
      </w:r>
      <w:r w:rsidRPr="00CD64B5">
        <w:rPr>
          <w:lang w:val="ka-GE"/>
        </w:rPr>
        <w:t xml:space="preserve"> </w:t>
      </w:r>
      <w:r w:rsidRPr="00CD64B5">
        <w:rPr>
          <w:rFonts w:ascii="Sylfaen" w:hAnsi="Sylfaen" w:cs="Sylfaen"/>
          <w:lang w:val="ka-GE"/>
        </w:rPr>
        <w:t>წარმოადგენს</w:t>
      </w:r>
      <w:r w:rsidRPr="00CD64B5">
        <w:rPr>
          <w:lang w:val="ka-GE"/>
        </w:rPr>
        <w:t xml:space="preserve">. </w:t>
      </w:r>
      <w:r w:rsidRPr="00CD64B5">
        <w:rPr>
          <w:rFonts w:ascii="Sylfaen" w:hAnsi="Sylfaen" w:cs="Sylfaen"/>
          <w:lang w:val="ka-GE"/>
        </w:rPr>
        <w:t>არსებული</w:t>
      </w:r>
      <w:r w:rsidRPr="00CD64B5">
        <w:rPr>
          <w:lang w:val="ka-GE"/>
        </w:rPr>
        <w:t xml:space="preserve"> </w:t>
      </w:r>
      <w:r w:rsidRPr="00CD64B5">
        <w:rPr>
          <w:rFonts w:ascii="Sylfaen" w:hAnsi="Sylfaen" w:cs="Sylfaen"/>
          <w:lang w:val="ka-GE"/>
        </w:rPr>
        <w:t>ფონური</w:t>
      </w:r>
      <w:r w:rsidRPr="00CD64B5">
        <w:rPr>
          <w:lang w:val="ka-GE"/>
        </w:rPr>
        <w:t xml:space="preserve"> </w:t>
      </w:r>
      <w:r w:rsidRPr="00CD64B5">
        <w:rPr>
          <w:rFonts w:ascii="Sylfaen" w:hAnsi="Sylfaen" w:cs="Sylfaen"/>
          <w:lang w:val="ka-GE"/>
        </w:rPr>
        <w:t>მდგომარეობის</w:t>
      </w:r>
      <w:r w:rsidRPr="00CD64B5">
        <w:rPr>
          <w:lang w:val="ka-GE"/>
        </w:rPr>
        <w:t xml:space="preserve"> </w:t>
      </w:r>
      <w:r w:rsidRPr="00CD64B5">
        <w:rPr>
          <w:rFonts w:ascii="Sylfaen" w:hAnsi="Sylfaen" w:cs="Sylfaen"/>
          <w:lang w:val="ka-GE"/>
        </w:rPr>
        <w:t>მხედველობაში</w:t>
      </w:r>
      <w:r w:rsidRPr="00CD64B5">
        <w:rPr>
          <w:lang w:val="ka-GE"/>
        </w:rPr>
        <w:t xml:space="preserve"> </w:t>
      </w:r>
      <w:r w:rsidRPr="00CD64B5">
        <w:rPr>
          <w:rFonts w:ascii="Sylfaen" w:hAnsi="Sylfaen" w:cs="Sylfaen"/>
          <w:lang w:val="ka-GE"/>
        </w:rPr>
        <w:t>მიღებით</w:t>
      </w:r>
      <w:r w:rsidRPr="00CD64B5">
        <w:rPr>
          <w:lang w:val="ka-GE"/>
        </w:rPr>
        <w:t xml:space="preserve"> (</w:t>
      </w:r>
      <w:r w:rsidRPr="00CD64B5">
        <w:rPr>
          <w:rFonts w:ascii="Sylfaen" w:hAnsi="Sylfaen" w:cs="Sylfaen"/>
          <w:lang w:val="ka-GE"/>
        </w:rPr>
        <w:t>ხშირ</w:t>
      </w:r>
      <w:r w:rsidRPr="00CD64B5">
        <w:rPr>
          <w:lang w:val="ka-GE"/>
        </w:rPr>
        <w:t xml:space="preserve"> </w:t>
      </w:r>
      <w:r w:rsidRPr="00CD64B5">
        <w:rPr>
          <w:rFonts w:ascii="Sylfaen" w:hAnsi="Sylfaen" w:cs="Sylfaen"/>
          <w:lang w:val="ka-GE"/>
        </w:rPr>
        <w:t>შემთხვევაში</w:t>
      </w:r>
      <w:r w:rsidRPr="00CD64B5">
        <w:rPr>
          <w:lang w:val="ka-GE"/>
        </w:rPr>
        <w:t xml:space="preserve"> </w:t>
      </w:r>
      <w:r w:rsidRPr="00CD64B5">
        <w:rPr>
          <w:rFonts w:ascii="Sylfaen" w:hAnsi="Sylfaen" w:cs="Sylfaen"/>
          <w:lang w:val="ka-GE"/>
        </w:rPr>
        <w:t>საცობების</w:t>
      </w:r>
      <w:r w:rsidRPr="00CD64B5">
        <w:rPr>
          <w:lang w:val="ka-GE"/>
        </w:rPr>
        <w:t xml:space="preserve"> </w:t>
      </w:r>
      <w:r w:rsidRPr="00CD64B5">
        <w:rPr>
          <w:rFonts w:ascii="Sylfaen" w:hAnsi="Sylfaen" w:cs="Sylfaen"/>
          <w:lang w:val="ka-GE"/>
        </w:rPr>
        <w:t>წარმოქმნა</w:t>
      </w:r>
      <w:r w:rsidRPr="00CD64B5">
        <w:rPr>
          <w:lang w:val="ka-GE"/>
        </w:rPr>
        <w:t xml:space="preserve">, </w:t>
      </w:r>
      <w:r w:rsidRPr="00CD64B5">
        <w:rPr>
          <w:rFonts w:ascii="Sylfaen" w:hAnsi="Sylfaen" w:cs="Sylfaen"/>
          <w:lang w:val="ka-GE"/>
        </w:rPr>
        <w:t>საავარიო</w:t>
      </w:r>
      <w:r w:rsidRPr="00CD64B5">
        <w:rPr>
          <w:lang w:val="ka-GE"/>
        </w:rPr>
        <w:t xml:space="preserve"> </w:t>
      </w:r>
      <w:r w:rsidRPr="00CD64B5">
        <w:rPr>
          <w:rFonts w:ascii="Sylfaen" w:hAnsi="Sylfaen" w:cs="Sylfaen"/>
          <w:lang w:val="ka-GE"/>
        </w:rPr>
        <w:t>სიტუაციები</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სხვ</w:t>
      </w:r>
      <w:r w:rsidRPr="00CD64B5">
        <w:rPr>
          <w:lang w:val="ka-GE"/>
        </w:rPr>
        <w:t xml:space="preserve">.) </w:t>
      </w:r>
      <w:r w:rsidRPr="00CD64B5">
        <w:rPr>
          <w:rFonts w:ascii="Sylfaen" w:hAnsi="Sylfaen" w:cs="Sylfaen"/>
          <w:lang w:val="ka-GE"/>
        </w:rPr>
        <w:t>გზის</w:t>
      </w:r>
      <w:r w:rsidRPr="00CD64B5">
        <w:rPr>
          <w:lang w:val="ka-GE"/>
        </w:rPr>
        <w:t xml:space="preserve"> </w:t>
      </w:r>
      <w:r w:rsidRPr="00CD64B5">
        <w:rPr>
          <w:rFonts w:ascii="Sylfaen" w:hAnsi="Sylfaen" w:cs="Sylfaen"/>
          <w:lang w:val="ka-GE"/>
        </w:rPr>
        <w:t>ექსპლუატაცია</w:t>
      </w:r>
      <w:r w:rsidRPr="00CD64B5">
        <w:rPr>
          <w:lang w:val="ka-GE"/>
        </w:rPr>
        <w:t xml:space="preserve"> </w:t>
      </w:r>
      <w:r w:rsidRPr="00CD64B5">
        <w:rPr>
          <w:rFonts w:ascii="Sylfaen" w:hAnsi="Sylfaen" w:cs="Sylfaen"/>
          <w:lang w:val="ka-GE"/>
        </w:rPr>
        <w:t>გარკვეულწილად</w:t>
      </w:r>
      <w:r w:rsidRPr="00CD64B5">
        <w:rPr>
          <w:lang w:val="ka-GE"/>
        </w:rPr>
        <w:t xml:space="preserve"> </w:t>
      </w:r>
      <w:r w:rsidRPr="00CD64B5">
        <w:rPr>
          <w:rFonts w:ascii="Sylfaen" w:hAnsi="Sylfaen" w:cs="Sylfaen"/>
          <w:lang w:val="ka-GE"/>
        </w:rPr>
        <w:t>დადებით</w:t>
      </w:r>
      <w:r w:rsidRPr="00CD64B5">
        <w:rPr>
          <w:lang w:val="ka-GE"/>
        </w:rPr>
        <w:t xml:space="preserve"> </w:t>
      </w:r>
      <w:r w:rsidRPr="00CD64B5">
        <w:rPr>
          <w:rFonts w:ascii="Sylfaen" w:hAnsi="Sylfaen" w:cs="Sylfaen"/>
          <w:lang w:val="ka-GE"/>
        </w:rPr>
        <w:t>ზემოქმედებას</w:t>
      </w:r>
      <w:r w:rsidRPr="00CD64B5">
        <w:rPr>
          <w:lang w:val="ka-GE"/>
        </w:rPr>
        <w:t xml:space="preserve"> </w:t>
      </w:r>
      <w:r w:rsidRPr="00CD64B5">
        <w:rPr>
          <w:rFonts w:ascii="Sylfaen" w:hAnsi="Sylfaen" w:cs="Sylfaen"/>
          <w:lang w:val="ka-GE"/>
        </w:rPr>
        <w:t>გამოიწვევს</w:t>
      </w:r>
      <w:r w:rsidRPr="00CD64B5">
        <w:rPr>
          <w:lang w:val="ka-GE"/>
        </w:rPr>
        <w:t xml:space="preserve">. </w:t>
      </w:r>
      <w:r w:rsidRPr="00CD64B5">
        <w:rPr>
          <w:rFonts w:ascii="Sylfaen" w:hAnsi="Sylfaen" w:cs="Sylfaen"/>
          <w:lang w:val="ka-GE"/>
        </w:rPr>
        <w:t>ლანდშაფტური</w:t>
      </w:r>
      <w:r w:rsidRPr="00CD64B5">
        <w:rPr>
          <w:lang w:val="ka-GE"/>
        </w:rPr>
        <w:t xml:space="preserve"> </w:t>
      </w:r>
      <w:r w:rsidRPr="00CD64B5">
        <w:rPr>
          <w:rFonts w:ascii="Sylfaen" w:hAnsi="Sylfaen" w:cs="Sylfaen"/>
          <w:lang w:val="ka-GE"/>
        </w:rPr>
        <w:t>კომპონენტების</w:t>
      </w:r>
      <w:r w:rsidRPr="00CD64B5">
        <w:rPr>
          <w:lang w:val="ka-GE"/>
        </w:rPr>
        <w:t xml:space="preserve"> </w:t>
      </w:r>
      <w:r w:rsidRPr="00CD64B5">
        <w:rPr>
          <w:rFonts w:ascii="Sylfaen" w:hAnsi="Sylfaen" w:cs="Sylfaen"/>
          <w:lang w:val="ka-GE"/>
        </w:rPr>
        <w:t>აღდგენას</w:t>
      </w:r>
      <w:r w:rsidRPr="00CD64B5">
        <w:rPr>
          <w:lang w:val="ka-GE"/>
        </w:rPr>
        <w:t xml:space="preserve"> </w:t>
      </w:r>
      <w:r w:rsidRPr="00CD64B5">
        <w:rPr>
          <w:rFonts w:ascii="Sylfaen" w:hAnsi="Sylfaen" w:cs="Sylfaen"/>
          <w:lang w:val="ka-GE"/>
        </w:rPr>
        <w:t>ხელს</w:t>
      </w:r>
      <w:r w:rsidRPr="00CD64B5">
        <w:rPr>
          <w:lang w:val="ka-GE"/>
        </w:rPr>
        <w:t xml:space="preserve"> </w:t>
      </w:r>
      <w:r w:rsidRPr="00CD64B5">
        <w:rPr>
          <w:rFonts w:ascii="Sylfaen" w:hAnsi="Sylfaen" w:cs="Sylfaen"/>
          <w:lang w:val="ka-GE"/>
        </w:rPr>
        <w:t>შეუწყობს</w:t>
      </w:r>
      <w:r w:rsidRPr="00CD64B5">
        <w:rPr>
          <w:lang w:val="ka-GE"/>
        </w:rPr>
        <w:t xml:space="preserve"> </w:t>
      </w:r>
      <w:r w:rsidRPr="00CD64B5">
        <w:rPr>
          <w:rFonts w:ascii="Sylfaen" w:hAnsi="Sylfaen" w:cs="Sylfaen"/>
          <w:lang w:val="ka-GE"/>
        </w:rPr>
        <w:t>გზის</w:t>
      </w:r>
      <w:r w:rsidRPr="00CD64B5">
        <w:rPr>
          <w:lang w:val="ka-GE"/>
        </w:rPr>
        <w:t xml:space="preserve"> </w:t>
      </w:r>
      <w:r w:rsidRPr="00CD64B5">
        <w:rPr>
          <w:rFonts w:ascii="Sylfaen" w:hAnsi="Sylfaen" w:cs="Sylfaen"/>
          <w:lang w:val="ka-GE"/>
        </w:rPr>
        <w:t>დერეფნის</w:t>
      </w:r>
      <w:r w:rsidRPr="00CD64B5">
        <w:rPr>
          <w:lang w:val="ka-GE"/>
        </w:rPr>
        <w:t xml:space="preserve"> </w:t>
      </w:r>
      <w:r w:rsidRPr="00CD64B5">
        <w:rPr>
          <w:rFonts w:ascii="Sylfaen" w:hAnsi="Sylfaen" w:cs="Sylfaen"/>
          <w:lang w:val="ka-GE"/>
        </w:rPr>
        <w:t>მომიჯნავედ</w:t>
      </w:r>
      <w:r w:rsidRPr="00CD64B5">
        <w:rPr>
          <w:lang w:val="ka-GE"/>
        </w:rPr>
        <w:t xml:space="preserve"> </w:t>
      </w:r>
      <w:r w:rsidRPr="00CD64B5">
        <w:rPr>
          <w:rFonts w:ascii="Sylfaen" w:hAnsi="Sylfaen" w:cs="Sylfaen"/>
          <w:lang w:val="ka-GE"/>
        </w:rPr>
        <w:t>ხე</w:t>
      </w:r>
      <w:r w:rsidRPr="00CD64B5">
        <w:rPr>
          <w:lang w:val="ka-GE"/>
        </w:rPr>
        <w:t>-</w:t>
      </w:r>
      <w:r w:rsidRPr="00CD64B5">
        <w:rPr>
          <w:rFonts w:ascii="Sylfaen" w:hAnsi="Sylfaen" w:cs="Sylfaen"/>
          <w:lang w:val="ka-GE"/>
        </w:rPr>
        <w:t>მცენარეების</w:t>
      </w:r>
      <w:r w:rsidRPr="00CD64B5">
        <w:rPr>
          <w:lang w:val="ka-GE"/>
        </w:rPr>
        <w:t xml:space="preserve"> </w:t>
      </w:r>
      <w:r w:rsidRPr="00CD64B5">
        <w:rPr>
          <w:rFonts w:ascii="Sylfaen" w:hAnsi="Sylfaen" w:cs="Sylfaen"/>
          <w:lang w:val="ka-GE"/>
        </w:rPr>
        <w:t>დარგვა</w:t>
      </w:r>
      <w:r w:rsidRPr="00CD64B5">
        <w:rPr>
          <w:lang w:val="ka-GE"/>
        </w:rPr>
        <w:t>-</w:t>
      </w:r>
      <w:r w:rsidRPr="00CD64B5">
        <w:rPr>
          <w:rFonts w:ascii="Sylfaen" w:hAnsi="Sylfaen" w:cs="Sylfaen"/>
          <w:lang w:val="ka-GE"/>
        </w:rPr>
        <w:t>გახარება</w:t>
      </w:r>
      <w:r w:rsidRPr="00CD64B5">
        <w:rPr>
          <w:lang w:val="ka-GE"/>
        </w:rPr>
        <w:t xml:space="preserve">. </w:t>
      </w:r>
      <w:r w:rsidRPr="00CD64B5">
        <w:rPr>
          <w:rFonts w:ascii="Sylfaen" w:hAnsi="Sylfaen" w:cs="Sylfaen"/>
          <w:lang w:val="ka-GE"/>
        </w:rPr>
        <w:t>დროთა</w:t>
      </w:r>
      <w:r w:rsidRPr="00CD64B5">
        <w:rPr>
          <w:lang w:val="ka-GE"/>
        </w:rPr>
        <w:t xml:space="preserve"> </w:t>
      </w:r>
      <w:r w:rsidRPr="00CD64B5">
        <w:rPr>
          <w:rFonts w:ascii="Sylfaen" w:hAnsi="Sylfaen" w:cs="Sylfaen"/>
          <w:lang w:val="ka-GE"/>
        </w:rPr>
        <w:t>განმავლობაში</w:t>
      </w:r>
      <w:r w:rsidRPr="00CD64B5">
        <w:rPr>
          <w:lang w:val="ka-GE"/>
        </w:rPr>
        <w:t xml:space="preserve">, </w:t>
      </w:r>
      <w:r w:rsidRPr="00CD64B5">
        <w:rPr>
          <w:rFonts w:ascii="Sylfaen" w:hAnsi="Sylfaen" w:cs="Sylfaen"/>
          <w:lang w:val="ka-GE"/>
        </w:rPr>
        <w:t>ახალი</w:t>
      </w:r>
      <w:r w:rsidRPr="00CD64B5">
        <w:rPr>
          <w:lang w:val="ka-GE"/>
        </w:rPr>
        <w:t xml:space="preserve"> </w:t>
      </w:r>
      <w:r w:rsidRPr="00CD64B5">
        <w:rPr>
          <w:rFonts w:ascii="Sylfaen" w:hAnsi="Sylfaen" w:cs="Sylfaen"/>
          <w:lang w:val="ka-GE"/>
        </w:rPr>
        <w:t>ინფრასტრუქტურის</w:t>
      </w:r>
      <w:r w:rsidRPr="00CD64B5">
        <w:rPr>
          <w:lang w:val="ka-GE"/>
        </w:rPr>
        <w:t xml:space="preserve"> </w:t>
      </w:r>
      <w:r w:rsidRPr="00CD64B5">
        <w:rPr>
          <w:rFonts w:ascii="Sylfaen" w:hAnsi="Sylfaen" w:cs="Sylfaen"/>
          <w:lang w:val="ka-GE"/>
        </w:rPr>
        <w:t>არსებობა</w:t>
      </w:r>
      <w:r w:rsidRPr="00CD64B5">
        <w:rPr>
          <w:lang w:val="ka-GE"/>
        </w:rPr>
        <w:t xml:space="preserve"> </w:t>
      </w:r>
      <w:r w:rsidRPr="00CD64B5">
        <w:rPr>
          <w:rFonts w:ascii="Sylfaen" w:hAnsi="Sylfaen" w:cs="Sylfaen"/>
          <w:lang w:val="ka-GE"/>
        </w:rPr>
        <w:t>შეგუებადია</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ვიზუალური</w:t>
      </w:r>
      <w:r w:rsidRPr="00CD64B5">
        <w:rPr>
          <w:lang w:val="ka-GE"/>
        </w:rPr>
        <w:t xml:space="preserve"> </w:t>
      </w:r>
      <w:r w:rsidRPr="00CD64B5">
        <w:rPr>
          <w:rFonts w:ascii="Sylfaen" w:hAnsi="Sylfaen" w:cs="Sylfaen"/>
          <w:lang w:val="ka-GE"/>
        </w:rPr>
        <w:t>ცვლილებით</w:t>
      </w:r>
      <w:r w:rsidRPr="00CD64B5">
        <w:rPr>
          <w:lang w:val="ka-GE"/>
        </w:rPr>
        <w:t xml:space="preserve"> </w:t>
      </w:r>
      <w:r w:rsidRPr="00CD64B5">
        <w:rPr>
          <w:rFonts w:ascii="Sylfaen" w:hAnsi="Sylfaen" w:cs="Sylfaen"/>
          <w:lang w:val="ka-GE"/>
        </w:rPr>
        <w:t>გამოწვეული</w:t>
      </w:r>
      <w:r w:rsidRPr="00CD64B5">
        <w:rPr>
          <w:lang w:val="ka-GE"/>
        </w:rPr>
        <w:t xml:space="preserve"> </w:t>
      </w:r>
      <w:r w:rsidRPr="00CD64B5">
        <w:rPr>
          <w:rFonts w:ascii="Sylfaen" w:hAnsi="Sylfaen" w:cs="Sylfaen"/>
          <w:lang w:val="ka-GE"/>
        </w:rPr>
        <w:t>დისკომფორტი</w:t>
      </w:r>
      <w:r w:rsidRPr="00CD64B5">
        <w:rPr>
          <w:lang w:val="ka-GE"/>
        </w:rPr>
        <w:t xml:space="preserve"> </w:t>
      </w:r>
      <w:r w:rsidRPr="00CD64B5">
        <w:rPr>
          <w:rFonts w:ascii="Sylfaen" w:hAnsi="Sylfaen" w:cs="Sylfaen"/>
          <w:lang w:val="ka-GE"/>
        </w:rPr>
        <w:t>მოსახლეობისთვის</w:t>
      </w:r>
      <w:r w:rsidRPr="00CD64B5">
        <w:rPr>
          <w:lang w:val="ka-GE"/>
        </w:rPr>
        <w:t xml:space="preserve"> </w:t>
      </w:r>
      <w:r w:rsidRPr="00CD64B5">
        <w:rPr>
          <w:rFonts w:ascii="Sylfaen" w:hAnsi="Sylfaen" w:cs="Sylfaen"/>
          <w:lang w:val="ka-GE"/>
        </w:rPr>
        <w:t>ნაკლებად</w:t>
      </w:r>
      <w:r w:rsidRPr="00CD64B5">
        <w:rPr>
          <w:lang w:val="ka-GE"/>
        </w:rPr>
        <w:t xml:space="preserve"> </w:t>
      </w:r>
      <w:r w:rsidRPr="00CD64B5">
        <w:rPr>
          <w:rFonts w:ascii="Sylfaen" w:hAnsi="Sylfaen" w:cs="Sylfaen"/>
          <w:lang w:val="ka-GE"/>
        </w:rPr>
        <w:t>შემაწუხებელი</w:t>
      </w:r>
      <w:r w:rsidRPr="00CD64B5">
        <w:rPr>
          <w:lang w:val="ka-GE"/>
        </w:rPr>
        <w:t xml:space="preserve"> </w:t>
      </w:r>
      <w:r w:rsidRPr="00CD64B5">
        <w:rPr>
          <w:rFonts w:ascii="Sylfaen" w:hAnsi="Sylfaen" w:cs="Sylfaen"/>
          <w:lang w:val="ka-GE"/>
        </w:rPr>
        <w:t>გახდება</w:t>
      </w:r>
      <w:r w:rsidRPr="00CD64B5">
        <w:rPr>
          <w:lang w:val="ka-GE"/>
        </w:rPr>
        <w:t xml:space="preserve">. </w:t>
      </w:r>
      <w:r w:rsidRPr="00CD64B5">
        <w:rPr>
          <w:rFonts w:ascii="Sylfaen" w:hAnsi="Sylfaen" w:cs="Sylfaen"/>
          <w:lang w:val="ka-GE"/>
        </w:rPr>
        <w:t>ზემოქმედება</w:t>
      </w:r>
      <w:r w:rsidRPr="00CD64B5">
        <w:rPr>
          <w:lang w:val="ka-GE"/>
        </w:rPr>
        <w:t xml:space="preserve"> </w:t>
      </w:r>
      <w:r w:rsidRPr="00CD64B5">
        <w:rPr>
          <w:rFonts w:ascii="Sylfaen" w:hAnsi="Sylfaen" w:cs="Sylfaen"/>
          <w:lang w:val="ka-GE"/>
        </w:rPr>
        <w:t>შეიძლება</w:t>
      </w:r>
      <w:r w:rsidRPr="00CD64B5">
        <w:rPr>
          <w:lang w:val="ka-GE"/>
        </w:rPr>
        <w:t xml:space="preserve"> </w:t>
      </w:r>
      <w:r w:rsidRPr="00CD64B5">
        <w:rPr>
          <w:rFonts w:ascii="Sylfaen" w:hAnsi="Sylfaen" w:cs="Sylfaen"/>
          <w:lang w:val="ka-GE"/>
        </w:rPr>
        <w:t>ჩაითვალოს</w:t>
      </w:r>
      <w:r w:rsidRPr="00CD64B5">
        <w:rPr>
          <w:lang w:val="ka-GE"/>
        </w:rPr>
        <w:t xml:space="preserve"> </w:t>
      </w:r>
      <w:r w:rsidRPr="00CD64B5">
        <w:rPr>
          <w:rFonts w:ascii="Sylfaen" w:hAnsi="Sylfaen" w:cs="Sylfaen"/>
          <w:lang w:val="ka-GE"/>
        </w:rPr>
        <w:t>როგორც</w:t>
      </w:r>
      <w:r w:rsidRPr="00CD64B5">
        <w:rPr>
          <w:lang w:val="ka-GE"/>
        </w:rPr>
        <w:t xml:space="preserve"> </w:t>
      </w:r>
      <w:r w:rsidRPr="00CD64B5">
        <w:rPr>
          <w:rFonts w:ascii="Sylfaen" w:hAnsi="Sylfaen" w:cs="Sylfaen"/>
          <w:lang w:val="ka-GE"/>
        </w:rPr>
        <w:t>დაბალი</w:t>
      </w:r>
      <w:r w:rsidRPr="00CD64B5">
        <w:rPr>
          <w:lang w:val="ka-GE"/>
        </w:rPr>
        <w:t xml:space="preserve"> </w:t>
      </w:r>
      <w:r w:rsidRPr="00CD64B5">
        <w:rPr>
          <w:rFonts w:ascii="Sylfaen" w:hAnsi="Sylfaen" w:cs="Sylfaen"/>
          <w:lang w:val="ka-GE"/>
        </w:rPr>
        <w:t>მნიშვნელობის</w:t>
      </w:r>
      <w:r w:rsidRPr="00CD64B5">
        <w:rPr>
          <w:lang w:val="ka-GE"/>
        </w:rPr>
        <w:t>.</w:t>
      </w:r>
    </w:p>
    <w:p w14:paraId="0792396D" w14:textId="77777777" w:rsidR="00CD64B5" w:rsidRPr="00CD64B5" w:rsidRDefault="00CD64B5" w:rsidP="000E38C6">
      <w:pPr>
        <w:spacing w:before="120" w:after="120"/>
        <w:rPr>
          <w:lang w:val="ka-GE"/>
        </w:rPr>
      </w:pPr>
    </w:p>
    <w:p w14:paraId="0FB1C5A5" w14:textId="77777777" w:rsidR="00CD64B5" w:rsidRPr="000E38C6" w:rsidRDefault="00CD64B5" w:rsidP="000E38C6">
      <w:pPr>
        <w:spacing w:before="120" w:after="120"/>
        <w:rPr>
          <w:b/>
          <w:lang w:val="ka-GE"/>
        </w:rPr>
      </w:pPr>
      <w:r w:rsidRPr="000E38C6">
        <w:rPr>
          <w:rFonts w:ascii="Sylfaen" w:hAnsi="Sylfaen" w:cs="Sylfaen"/>
          <w:b/>
          <w:lang w:val="ka-GE"/>
        </w:rPr>
        <w:t>ექსპლუატაციის</w:t>
      </w:r>
      <w:r w:rsidRPr="000E38C6">
        <w:rPr>
          <w:b/>
          <w:lang w:val="ka-GE"/>
        </w:rPr>
        <w:t xml:space="preserve"> </w:t>
      </w:r>
      <w:r w:rsidRPr="000E38C6">
        <w:rPr>
          <w:rFonts w:ascii="Sylfaen" w:hAnsi="Sylfaen" w:cs="Sylfaen"/>
          <w:b/>
          <w:lang w:val="ka-GE"/>
        </w:rPr>
        <w:t>ფაზა</w:t>
      </w:r>
    </w:p>
    <w:p w14:paraId="31F80383" w14:textId="77777777" w:rsidR="00CD64B5" w:rsidRPr="00CD64B5" w:rsidRDefault="00CD64B5" w:rsidP="000E38C6">
      <w:pPr>
        <w:spacing w:before="120" w:after="120"/>
        <w:rPr>
          <w:lang w:val="ka-GE"/>
        </w:rPr>
      </w:pPr>
      <w:r w:rsidRPr="00CD64B5">
        <w:rPr>
          <w:rFonts w:ascii="Sylfaen" w:hAnsi="Sylfaen" w:cs="Sylfaen"/>
          <w:lang w:val="ka-GE"/>
        </w:rPr>
        <w:t>ექსპლუატაციის</w:t>
      </w:r>
      <w:r w:rsidRPr="00CD64B5">
        <w:rPr>
          <w:lang w:val="ka-GE"/>
        </w:rPr>
        <w:t xml:space="preserve"> </w:t>
      </w:r>
      <w:r w:rsidRPr="00CD64B5">
        <w:rPr>
          <w:rFonts w:ascii="Sylfaen" w:hAnsi="Sylfaen" w:cs="Sylfaen"/>
          <w:lang w:val="ka-GE"/>
        </w:rPr>
        <w:t>ეტაპზე</w:t>
      </w:r>
      <w:r w:rsidRPr="00CD64B5">
        <w:rPr>
          <w:lang w:val="ka-GE"/>
        </w:rPr>
        <w:t xml:space="preserve"> </w:t>
      </w:r>
      <w:r w:rsidRPr="00CD64B5">
        <w:rPr>
          <w:rFonts w:ascii="Sylfaen" w:hAnsi="Sylfaen" w:cs="Sylfaen"/>
          <w:lang w:val="ka-GE"/>
        </w:rPr>
        <w:t>ვიზუალურ</w:t>
      </w:r>
      <w:r w:rsidRPr="00CD64B5">
        <w:rPr>
          <w:lang w:val="ka-GE"/>
        </w:rPr>
        <w:t>-</w:t>
      </w:r>
      <w:r w:rsidRPr="00CD64B5">
        <w:rPr>
          <w:rFonts w:ascii="Sylfaen" w:hAnsi="Sylfaen" w:cs="Sylfaen"/>
          <w:lang w:val="ka-GE"/>
        </w:rPr>
        <w:t>ლანდშაფტური</w:t>
      </w:r>
      <w:r w:rsidRPr="00CD64B5">
        <w:rPr>
          <w:lang w:val="ka-GE"/>
        </w:rPr>
        <w:t xml:space="preserve"> </w:t>
      </w:r>
      <w:r w:rsidRPr="00CD64B5">
        <w:rPr>
          <w:rFonts w:ascii="Sylfaen" w:hAnsi="Sylfaen" w:cs="Sylfaen"/>
          <w:lang w:val="ka-GE"/>
        </w:rPr>
        <w:t>ზემოქმედების</w:t>
      </w:r>
      <w:r w:rsidRPr="00CD64B5">
        <w:rPr>
          <w:lang w:val="ka-GE"/>
        </w:rPr>
        <w:t xml:space="preserve"> </w:t>
      </w:r>
      <w:r w:rsidRPr="00CD64B5">
        <w:rPr>
          <w:rFonts w:ascii="Sylfaen" w:hAnsi="Sylfaen" w:cs="Sylfaen"/>
          <w:lang w:val="ka-GE"/>
        </w:rPr>
        <w:t>შერბილების</w:t>
      </w:r>
      <w:r w:rsidRPr="00CD64B5">
        <w:rPr>
          <w:lang w:val="ka-GE"/>
        </w:rPr>
        <w:t xml:space="preserve"> </w:t>
      </w:r>
      <w:r w:rsidRPr="00CD64B5">
        <w:rPr>
          <w:rFonts w:ascii="Sylfaen" w:hAnsi="Sylfaen" w:cs="Sylfaen"/>
          <w:lang w:val="ka-GE"/>
        </w:rPr>
        <w:t>მნიშვნელოვანი</w:t>
      </w:r>
      <w:r w:rsidRPr="00CD64B5">
        <w:rPr>
          <w:lang w:val="ka-GE"/>
        </w:rPr>
        <w:t xml:space="preserve"> </w:t>
      </w:r>
      <w:r w:rsidRPr="00CD64B5">
        <w:rPr>
          <w:rFonts w:ascii="Sylfaen" w:hAnsi="Sylfaen" w:cs="Sylfaen"/>
          <w:lang w:val="ka-GE"/>
        </w:rPr>
        <w:t>ღონისძიებაა</w:t>
      </w:r>
      <w:r w:rsidRPr="00CD64B5">
        <w:rPr>
          <w:lang w:val="ka-GE"/>
        </w:rPr>
        <w:t xml:space="preserve"> </w:t>
      </w:r>
      <w:r w:rsidRPr="00CD64B5">
        <w:rPr>
          <w:rFonts w:ascii="Sylfaen" w:hAnsi="Sylfaen" w:cs="Sylfaen"/>
          <w:lang w:val="ka-GE"/>
        </w:rPr>
        <w:t>საპროექტო</w:t>
      </w:r>
      <w:r w:rsidRPr="00CD64B5">
        <w:rPr>
          <w:lang w:val="ka-GE"/>
        </w:rPr>
        <w:t xml:space="preserve"> </w:t>
      </w:r>
      <w:r w:rsidRPr="00CD64B5">
        <w:rPr>
          <w:rFonts w:ascii="Sylfaen" w:hAnsi="Sylfaen" w:cs="Sylfaen"/>
          <w:lang w:val="ka-GE"/>
        </w:rPr>
        <w:t>დერეფნის</w:t>
      </w:r>
      <w:r w:rsidRPr="00CD64B5">
        <w:rPr>
          <w:lang w:val="ka-GE"/>
        </w:rPr>
        <w:t xml:space="preserve"> </w:t>
      </w:r>
      <w:r w:rsidRPr="00CD64B5">
        <w:rPr>
          <w:rFonts w:ascii="Sylfaen" w:hAnsi="Sylfaen" w:cs="Sylfaen"/>
          <w:lang w:val="ka-GE"/>
        </w:rPr>
        <w:t>მომიჯნავე</w:t>
      </w:r>
      <w:r w:rsidRPr="00CD64B5">
        <w:rPr>
          <w:lang w:val="ka-GE"/>
        </w:rPr>
        <w:t xml:space="preserve"> </w:t>
      </w:r>
      <w:r w:rsidRPr="00CD64B5">
        <w:rPr>
          <w:rFonts w:ascii="Sylfaen" w:hAnsi="Sylfaen" w:cs="Sylfaen"/>
          <w:lang w:val="ka-GE"/>
        </w:rPr>
        <w:t>ადგილების</w:t>
      </w:r>
      <w:r w:rsidRPr="00CD64B5">
        <w:rPr>
          <w:lang w:val="ka-GE"/>
        </w:rPr>
        <w:t xml:space="preserve"> </w:t>
      </w:r>
      <w:r w:rsidRPr="00CD64B5">
        <w:rPr>
          <w:rFonts w:ascii="Sylfaen" w:hAnsi="Sylfaen" w:cs="Sylfaen"/>
          <w:lang w:val="ka-GE"/>
        </w:rPr>
        <w:t>გამწვანება</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მათი</w:t>
      </w:r>
      <w:r w:rsidRPr="00CD64B5">
        <w:rPr>
          <w:lang w:val="ka-GE"/>
        </w:rPr>
        <w:t xml:space="preserve"> </w:t>
      </w:r>
      <w:r w:rsidRPr="00CD64B5">
        <w:rPr>
          <w:rFonts w:ascii="Sylfaen" w:hAnsi="Sylfaen" w:cs="Sylfaen"/>
          <w:lang w:val="ka-GE"/>
        </w:rPr>
        <w:t>მოვლა</w:t>
      </w:r>
      <w:r w:rsidRPr="00CD64B5">
        <w:rPr>
          <w:lang w:val="ka-GE"/>
        </w:rPr>
        <w:t>-</w:t>
      </w:r>
      <w:r w:rsidRPr="00CD64B5">
        <w:rPr>
          <w:rFonts w:ascii="Sylfaen" w:hAnsi="Sylfaen" w:cs="Sylfaen"/>
          <w:lang w:val="ka-GE"/>
        </w:rPr>
        <w:t>პატრონობა</w:t>
      </w:r>
      <w:r w:rsidRPr="00CD64B5">
        <w:rPr>
          <w:lang w:val="ka-GE"/>
        </w:rPr>
        <w:t>.</w:t>
      </w:r>
    </w:p>
    <w:p w14:paraId="12AB97C0" w14:textId="77777777" w:rsidR="00CD64B5" w:rsidRPr="00CD64B5" w:rsidRDefault="00CD64B5" w:rsidP="000E38C6">
      <w:pPr>
        <w:spacing w:before="120" w:after="120"/>
        <w:rPr>
          <w:lang w:val="ka-GE"/>
        </w:rPr>
      </w:pPr>
    </w:p>
    <w:p w14:paraId="5BE96E73" w14:textId="77777777" w:rsidR="00CD64B5" w:rsidRPr="00CD64B5" w:rsidRDefault="00CD64B5" w:rsidP="000E38C6">
      <w:pPr>
        <w:pStyle w:val="EIAheading2"/>
        <w:rPr>
          <w:lang w:val="ka-GE"/>
        </w:rPr>
      </w:pPr>
      <w:bookmarkStart w:id="430" w:name="_Toc529977418"/>
      <w:bookmarkStart w:id="431" w:name="_Toc495314405"/>
      <w:bookmarkStart w:id="432" w:name="_Toc479166537"/>
      <w:bookmarkStart w:id="433" w:name="_Toc479164807"/>
      <w:bookmarkStart w:id="434" w:name="_Toc1581580"/>
      <w:r w:rsidRPr="00CD64B5">
        <w:rPr>
          <w:lang w:val="ka-GE"/>
        </w:rPr>
        <w:t xml:space="preserve">7.9 </w:t>
      </w:r>
      <w:r w:rsidRPr="00CD64B5">
        <w:rPr>
          <w:rFonts w:ascii="Sylfaen" w:hAnsi="Sylfaen" w:cs="Sylfaen"/>
          <w:lang w:val="ka-GE"/>
        </w:rPr>
        <w:t>სამშენებლო</w:t>
      </w:r>
      <w:r w:rsidRPr="00CD64B5">
        <w:rPr>
          <w:lang w:val="ka-GE"/>
        </w:rPr>
        <w:t xml:space="preserve"> </w:t>
      </w:r>
      <w:r w:rsidRPr="00CD64B5">
        <w:rPr>
          <w:rFonts w:ascii="Sylfaen" w:hAnsi="Sylfaen" w:cs="Sylfaen"/>
          <w:lang w:val="ka-GE"/>
        </w:rPr>
        <w:t>ბანაკები</w:t>
      </w:r>
      <w:bookmarkEnd w:id="430"/>
      <w:bookmarkEnd w:id="431"/>
      <w:bookmarkEnd w:id="432"/>
      <w:bookmarkEnd w:id="433"/>
      <w:bookmarkEnd w:id="434"/>
    </w:p>
    <w:p w14:paraId="253F197B" w14:textId="77777777" w:rsidR="00CD64B5" w:rsidRPr="00CD64B5" w:rsidRDefault="00CD64B5" w:rsidP="000E38C6">
      <w:pPr>
        <w:spacing w:before="120" w:after="120"/>
        <w:rPr>
          <w:lang w:val="ka-GE"/>
        </w:rPr>
      </w:pPr>
      <w:r w:rsidRPr="00CD64B5">
        <w:rPr>
          <w:rFonts w:ascii="Sylfaen" w:hAnsi="Sylfaen" w:cs="Sylfaen"/>
          <w:lang w:val="ka-GE"/>
        </w:rPr>
        <w:t>სამშენებლო</w:t>
      </w:r>
      <w:r w:rsidRPr="00CD64B5">
        <w:rPr>
          <w:lang w:val="ka-GE"/>
        </w:rPr>
        <w:t xml:space="preserve"> </w:t>
      </w:r>
      <w:r w:rsidRPr="00CD64B5">
        <w:rPr>
          <w:rFonts w:ascii="Sylfaen" w:hAnsi="Sylfaen" w:cs="Sylfaen"/>
          <w:lang w:val="ka-GE"/>
        </w:rPr>
        <w:t>ბანაკისთვის</w:t>
      </w:r>
      <w:r w:rsidRPr="00CD64B5">
        <w:rPr>
          <w:lang w:val="ka-GE"/>
        </w:rPr>
        <w:t xml:space="preserve"> </w:t>
      </w:r>
      <w:r w:rsidRPr="00CD64B5">
        <w:rPr>
          <w:rFonts w:ascii="Sylfaen" w:hAnsi="Sylfaen" w:cs="Sylfaen"/>
          <w:lang w:val="ka-GE"/>
        </w:rPr>
        <w:t>ადგილის</w:t>
      </w:r>
      <w:r w:rsidRPr="00CD64B5">
        <w:rPr>
          <w:lang w:val="ka-GE"/>
        </w:rPr>
        <w:t xml:space="preserve"> </w:t>
      </w:r>
      <w:r w:rsidRPr="00CD64B5">
        <w:rPr>
          <w:rFonts w:ascii="Sylfaen" w:hAnsi="Sylfaen" w:cs="Sylfaen"/>
          <w:lang w:val="ka-GE"/>
        </w:rPr>
        <w:t>შერჩევა</w:t>
      </w:r>
      <w:r w:rsidRPr="00CD64B5">
        <w:rPr>
          <w:lang w:val="ka-GE"/>
        </w:rPr>
        <w:t xml:space="preserve"> </w:t>
      </w:r>
      <w:r w:rsidRPr="00CD64B5">
        <w:rPr>
          <w:rFonts w:ascii="Sylfaen" w:hAnsi="Sylfaen" w:cs="Sylfaen"/>
          <w:lang w:val="ka-GE"/>
        </w:rPr>
        <w:t>მოხდება</w:t>
      </w:r>
      <w:r w:rsidRPr="00CD64B5">
        <w:rPr>
          <w:lang w:val="ka-GE"/>
        </w:rPr>
        <w:t xml:space="preserve"> </w:t>
      </w:r>
      <w:r w:rsidRPr="00CD64B5">
        <w:rPr>
          <w:rFonts w:ascii="Sylfaen" w:hAnsi="Sylfaen" w:cs="Sylfaen"/>
          <w:lang w:val="ka-GE"/>
        </w:rPr>
        <w:t>შესაბამისი</w:t>
      </w:r>
      <w:r w:rsidRPr="00CD64B5">
        <w:rPr>
          <w:lang w:val="ka-GE"/>
        </w:rPr>
        <w:t xml:space="preserve"> </w:t>
      </w:r>
      <w:r w:rsidRPr="00CD64B5">
        <w:rPr>
          <w:rFonts w:ascii="Sylfaen" w:hAnsi="Sylfaen" w:cs="Sylfaen"/>
          <w:lang w:val="ka-GE"/>
        </w:rPr>
        <w:t>ტერიტორიის</w:t>
      </w:r>
      <w:r w:rsidRPr="00CD64B5">
        <w:rPr>
          <w:lang w:val="ka-GE"/>
        </w:rPr>
        <w:t xml:space="preserve"> </w:t>
      </w:r>
      <w:r w:rsidRPr="00CD64B5">
        <w:rPr>
          <w:rFonts w:ascii="Sylfaen" w:hAnsi="Sylfaen" w:cs="Sylfaen"/>
          <w:lang w:val="ka-GE"/>
        </w:rPr>
        <w:t>არსებობის</w:t>
      </w:r>
      <w:r w:rsidRPr="00CD64B5">
        <w:rPr>
          <w:lang w:val="ka-GE"/>
        </w:rPr>
        <w:t xml:space="preserve"> </w:t>
      </w:r>
      <w:r w:rsidRPr="00CD64B5">
        <w:rPr>
          <w:rFonts w:ascii="Sylfaen" w:hAnsi="Sylfaen" w:cs="Sylfaen"/>
          <w:lang w:val="ka-GE"/>
        </w:rPr>
        <w:t>გათვალისწინებით</w:t>
      </w:r>
      <w:r w:rsidRPr="00CD64B5">
        <w:rPr>
          <w:lang w:val="ka-GE"/>
        </w:rPr>
        <w:t xml:space="preserve">, </w:t>
      </w:r>
      <w:r w:rsidRPr="00CD64B5">
        <w:rPr>
          <w:rFonts w:ascii="Sylfaen" w:hAnsi="Sylfaen" w:cs="Sylfaen"/>
          <w:lang w:val="ka-GE"/>
        </w:rPr>
        <w:t>რომელიც</w:t>
      </w:r>
      <w:r w:rsidRPr="00CD64B5">
        <w:rPr>
          <w:lang w:val="ka-GE"/>
        </w:rPr>
        <w:t xml:space="preserve"> </w:t>
      </w:r>
      <w:r w:rsidRPr="00CD64B5">
        <w:rPr>
          <w:rFonts w:ascii="Sylfaen" w:hAnsi="Sylfaen" w:cs="Sylfaen"/>
          <w:lang w:val="ka-GE"/>
        </w:rPr>
        <w:t>მოიცავს</w:t>
      </w:r>
      <w:r w:rsidRPr="00CD64B5">
        <w:rPr>
          <w:lang w:val="ka-GE"/>
        </w:rPr>
        <w:t xml:space="preserve"> </w:t>
      </w:r>
      <w:r w:rsidRPr="00CD64B5">
        <w:rPr>
          <w:rFonts w:ascii="Sylfaen" w:hAnsi="Sylfaen" w:cs="Sylfaen"/>
          <w:lang w:val="ka-GE"/>
        </w:rPr>
        <w:t>მძიმე</w:t>
      </w:r>
      <w:r w:rsidRPr="00CD64B5">
        <w:rPr>
          <w:lang w:val="ka-GE"/>
        </w:rPr>
        <w:t xml:space="preserve"> </w:t>
      </w:r>
      <w:r w:rsidRPr="00CD64B5">
        <w:rPr>
          <w:rFonts w:ascii="Sylfaen" w:hAnsi="Sylfaen" w:cs="Sylfaen"/>
          <w:lang w:val="ka-GE"/>
        </w:rPr>
        <w:t>ტექნიკის</w:t>
      </w:r>
      <w:r w:rsidRPr="00CD64B5">
        <w:rPr>
          <w:lang w:val="ka-GE"/>
        </w:rPr>
        <w:t xml:space="preserve"> </w:t>
      </w:r>
      <w:r w:rsidRPr="00CD64B5">
        <w:rPr>
          <w:rFonts w:ascii="Sylfaen" w:hAnsi="Sylfaen" w:cs="Sylfaen"/>
          <w:lang w:val="ka-GE"/>
        </w:rPr>
        <w:t>გასაჩერებელ</w:t>
      </w:r>
      <w:r w:rsidRPr="00CD64B5">
        <w:rPr>
          <w:lang w:val="ka-GE"/>
        </w:rPr>
        <w:t xml:space="preserve"> </w:t>
      </w:r>
      <w:r w:rsidRPr="00CD64B5">
        <w:rPr>
          <w:rFonts w:ascii="Sylfaen" w:hAnsi="Sylfaen" w:cs="Sylfaen"/>
          <w:lang w:val="ka-GE"/>
        </w:rPr>
        <w:t>ადგილს</w:t>
      </w:r>
      <w:r w:rsidRPr="00CD64B5">
        <w:rPr>
          <w:lang w:val="ka-GE"/>
        </w:rPr>
        <w:t xml:space="preserve">, </w:t>
      </w:r>
      <w:r w:rsidRPr="00CD64B5">
        <w:rPr>
          <w:rFonts w:ascii="Sylfaen" w:hAnsi="Sylfaen" w:cs="Sylfaen"/>
          <w:lang w:val="ka-GE"/>
        </w:rPr>
        <w:t>საწყობებს</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სახელოსნოებს</w:t>
      </w:r>
      <w:r w:rsidRPr="00CD64B5">
        <w:rPr>
          <w:lang w:val="ka-GE"/>
        </w:rPr>
        <w:t xml:space="preserve">, </w:t>
      </w:r>
      <w:r w:rsidRPr="00CD64B5">
        <w:rPr>
          <w:rFonts w:ascii="Sylfaen" w:hAnsi="Sylfaen" w:cs="Sylfaen"/>
          <w:lang w:val="ka-GE"/>
        </w:rPr>
        <w:t>კომუნიკაციების</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მაღაზიების</w:t>
      </w:r>
      <w:r w:rsidRPr="00CD64B5">
        <w:rPr>
          <w:lang w:val="ka-GE"/>
        </w:rPr>
        <w:t xml:space="preserve"> </w:t>
      </w:r>
      <w:r w:rsidRPr="00CD64B5">
        <w:rPr>
          <w:rFonts w:ascii="Sylfaen" w:hAnsi="Sylfaen" w:cs="Sylfaen"/>
          <w:lang w:val="ka-GE"/>
        </w:rPr>
        <w:t>ხელმისაწვდომობას</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სენსიტიური</w:t>
      </w:r>
      <w:r w:rsidRPr="00CD64B5">
        <w:rPr>
          <w:lang w:val="ka-GE"/>
        </w:rPr>
        <w:t xml:space="preserve"> </w:t>
      </w:r>
      <w:r w:rsidRPr="00CD64B5">
        <w:rPr>
          <w:rFonts w:ascii="Sylfaen" w:hAnsi="Sylfaen" w:cs="Sylfaen"/>
          <w:lang w:val="ka-GE"/>
        </w:rPr>
        <w:t>ადგილებიდან</w:t>
      </w:r>
      <w:r w:rsidRPr="00CD64B5">
        <w:rPr>
          <w:lang w:val="ka-GE"/>
        </w:rPr>
        <w:t xml:space="preserve"> </w:t>
      </w:r>
      <w:r w:rsidRPr="00CD64B5">
        <w:rPr>
          <w:rFonts w:ascii="Sylfaen" w:hAnsi="Sylfaen" w:cs="Sylfaen"/>
          <w:lang w:val="ka-GE"/>
        </w:rPr>
        <w:t>დაშორების</w:t>
      </w:r>
      <w:r w:rsidRPr="00CD64B5">
        <w:rPr>
          <w:lang w:val="ka-GE"/>
        </w:rPr>
        <w:t xml:space="preserve">. </w:t>
      </w:r>
      <w:r w:rsidRPr="00CD64B5">
        <w:rPr>
          <w:rFonts w:ascii="Sylfaen" w:hAnsi="Sylfaen" w:cs="Sylfaen"/>
          <w:lang w:val="ka-GE"/>
        </w:rPr>
        <w:t>სამშენებლო</w:t>
      </w:r>
      <w:r w:rsidRPr="00CD64B5">
        <w:rPr>
          <w:lang w:val="ka-GE"/>
        </w:rPr>
        <w:t xml:space="preserve"> </w:t>
      </w:r>
      <w:r w:rsidRPr="00CD64B5">
        <w:rPr>
          <w:rFonts w:ascii="Sylfaen" w:hAnsi="Sylfaen" w:cs="Sylfaen"/>
          <w:lang w:val="ka-GE"/>
        </w:rPr>
        <w:t>ბანაკის</w:t>
      </w:r>
      <w:r w:rsidRPr="00CD64B5">
        <w:rPr>
          <w:lang w:val="ka-GE"/>
        </w:rPr>
        <w:t xml:space="preserve"> </w:t>
      </w:r>
      <w:r w:rsidRPr="00CD64B5">
        <w:rPr>
          <w:rFonts w:ascii="Sylfaen" w:hAnsi="Sylfaen" w:cs="Sylfaen"/>
          <w:lang w:val="ka-GE"/>
        </w:rPr>
        <w:t>საბოლოო</w:t>
      </w:r>
      <w:r w:rsidRPr="00CD64B5">
        <w:rPr>
          <w:lang w:val="ka-GE"/>
        </w:rPr>
        <w:t xml:space="preserve"> </w:t>
      </w:r>
      <w:r w:rsidRPr="00CD64B5">
        <w:rPr>
          <w:rFonts w:ascii="Sylfaen" w:hAnsi="Sylfaen" w:cs="Sylfaen"/>
          <w:lang w:val="ka-GE"/>
        </w:rPr>
        <w:t>ადგილს</w:t>
      </w:r>
      <w:r w:rsidRPr="00CD64B5">
        <w:rPr>
          <w:lang w:val="ka-GE"/>
        </w:rPr>
        <w:t xml:space="preserve"> </w:t>
      </w:r>
      <w:r w:rsidRPr="00CD64B5">
        <w:rPr>
          <w:rFonts w:ascii="Sylfaen" w:hAnsi="Sylfaen" w:cs="Sylfaen"/>
          <w:lang w:val="ka-GE"/>
        </w:rPr>
        <w:t>სამშენებლო</w:t>
      </w:r>
      <w:r w:rsidRPr="00CD64B5">
        <w:rPr>
          <w:lang w:val="ka-GE"/>
        </w:rPr>
        <w:t xml:space="preserve"> </w:t>
      </w:r>
      <w:r w:rsidRPr="00CD64B5">
        <w:rPr>
          <w:rFonts w:ascii="Sylfaen" w:hAnsi="Sylfaen" w:cs="Sylfaen"/>
          <w:lang w:val="ka-GE"/>
        </w:rPr>
        <w:t>კონტრაქტორი</w:t>
      </w:r>
      <w:r w:rsidRPr="00CD64B5">
        <w:rPr>
          <w:lang w:val="ka-GE"/>
        </w:rPr>
        <w:t xml:space="preserve"> </w:t>
      </w:r>
      <w:r w:rsidRPr="00CD64B5">
        <w:rPr>
          <w:rFonts w:ascii="Sylfaen" w:hAnsi="Sylfaen" w:cs="Sylfaen"/>
          <w:lang w:val="ka-GE"/>
        </w:rPr>
        <w:t>შეარჩევს</w:t>
      </w:r>
      <w:r w:rsidRPr="00CD64B5">
        <w:rPr>
          <w:lang w:val="ka-GE"/>
        </w:rPr>
        <w:t xml:space="preserve">, </w:t>
      </w:r>
      <w:r w:rsidRPr="00CD64B5">
        <w:rPr>
          <w:rFonts w:ascii="Sylfaen" w:hAnsi="Sylfaen" w:cs="Sylfaen"/>
          <w:lang w:val="ka-GE"/>
        </w:rPr>
        <w:t>საგზაო</w:t>
      </w:r>
      <w:r w:rsidRPr="00CD64B5">
        <w:rPr>
          <w:lang w:val="ka-GE"/>
        </w:rPr>
        <w:t xml:space="preserve"> </w:t>
      </w:r>
      <w:r w:rsidRPr="00CD64B5">
        <w:rPr>
          <w:rFonts w:ascii="Sylfaen" w:hAnsi="Sylfaen" w:cs="Sylfaen"/>
          <w:lang w:val="ka-GE"/>
        </w:rPr>
        <w:lastRenderedPageBreak/>
        <w:t>დეპარტამენტის</w:t>
      </w:r>
      <w:r w:rsidRPr="00CD64B5">
        <w:rPr>
          <w:lang w:val="ka-GE"/>
        </w:rPr>
        <w:t xml:space="preserve"> </w:t>
      </w:r>
      <w:r w:rsidRPr="00CD64B5">
        <w:rPr>
          <w:rFonts w:ascii="Sylfaen" w:hAnsi="Sylfaen" w:cs="Sylfaen"/>
          <w:lang w:val="ka-GE"/>
        </w:rPr>
        <w:t>თანხმობით</w:t>
      </w:r>
      <w:r w:rsidRPr="00CD64B5">
        <w:rPr>
          <w:lang w:val="ka-GE"/>
        </w:rPr>
        <w:t xml:space="preserve">. </w:t>
      </w:r>
      <w:r w:rsidRPr="00CD64B5">
        <w:rPr>
          <w:rFonts w:ascii="Sylfaen" w:hAnsi="Sylfaen" w:cs="Sylfaen"/>
          <w:lang w:val="ka-GE"/>
        </w:rPr>
        <w:t>სამშენებლო</w:t>
      </w:r>
      <w:r w:rsidRPr="00CD64B5">
        <w:rPr>
          <w:lang w:val="ka-GE"/>
        </w:rPr>
        <w:t xml:space="preserve"> </w:t>
      </w:r>
      <w:r w:rsidRPr="00CD64B5">
        <w:rPr>
          <w:rFonts w:ascii="Sylfaen" w:hAnsi="Sylfaen" w:cs="Sylfaen"/>
          <w:lang w:val="ka-GE"/>
        </w:rPr>
        <w:t>ბანაკების</w:t>
      </w:r>
      <w:r w:rsidRPr="00CD64B5">
        <w:rPr>
          <w:lang w:val="ka-GE"/>
        </w:rPr>
        <w:t xml:space="preserve"> </w:t>
      </w:r>
      <w:r w:rsidRPr="00CD64B5">
        <w:rPr>
          <w:rFonts w:ascii="Sylfaen" w:hAnsi="Sylfaen" w:cs="Sylfaen"/>
          <w:lang w:val="ka-GE"/>
        </w:rPr>
        <w:t>ტერიტორიას</w:t>
      </w:r>
      <w:r w:rsidRPr="00CD64B5">
        <w:rPr>
          <w:lang w:val="ka-GE"/>
        </w:rPr>
        <w:t xml:space="preserve"> </w:t>
      </w:r>
      <w:r w:rsidRPr="00CD64B5">
        <w:rPr>
          <w:rFonts w:ascii="Sylfaen" w:hAnsi="Sylfaen" w:cs="Sylfaen"/>
          <w:lang w:val="ka-GE"/>
        </w:rPr>
        <w:t>მშენებელი</w:t>
      </w:r>
      <w:r w:rsidRPr="00CD64B5">
        <w:rPr>
          <w:lang w:val="ka-GE"/>
        </w:rPr>
        <w:t xml:space="preserve"> </w:t>
      </w:r>
      <w:r w:rsidRPr="00CD64B5">
        <w:rPr>
          <w:rFonts w:ascii="Sylfaen" w:hAnsi="Sylfaen" w:cs="Sylfaen"/>
          <w:lang w:val="ka-GE"/>
        </w:rPr>
        <w:t>კონტრაქტორი</w:t>
      </w:r>
      <w:r w:rsidRPr="00CD64B5">
        <w:rPr>
          <w:lang w:val="ka-GE"/>
        </w:rPr>
        <w:t xml:space="preserve"> </w:t>
      </w:r>
      <w:r w:rsidRPr="00CD64B5">
        <w:rPr>
          <w:rFonts w:ascii="Sylfaen" w:hAnsi="Sylfaen" w:cs="Sylfaen"/>
          <w:lang w:val="ka-GE"/>
        </w:rPr>
        <w:t>ან</w:t>
      </w:r>
      <w:r w:rsidRPr="00CD64B5">
        <w:rPr>
          <w:lang w:val="ka-GE"/>
        </w:rPr>
        <w:t xml:space="preserve"> </w:t>
      </w:r>
      <w:r w:rsidRPr="00CD64B5">
        <w:rPr>
          <w:rFonts w:ascii="Sylfaen" w:hAnsi="Sylfaen" w:cs="Sylfaen"/>
          <w:lang w:val="ka-GE"/>
        </w:rPr>
        <w:t>აიღებს</w:t>
      </w:r>
      <w:r w:rsidRPr="00CD64B5">
        <w:rPr>
          <w:lang w:val="ka-GE"/>
        </w:rPr>
        <w:t xml:space="preserve"> </w:t>
      </w:r>
      <w:r w:rsidRPr="00CD64B5">
        <w:rPr>
          <w:rFonts w:ascii="Sylfaen" w:hAnsi="Sylfaen" w:cs="Sylfaen"/>
          <w:lang w:val="ka-GE"/>
        </w:rPr>
        <w:t>იჯარით</w:t>
      </w:r>
      <w:r w:rsidRPr="00CD64B5">
        <w:rPr>
          <w:lang w:val="ka-GE"/>
        </w:rPr>
        <w:t xml:space="preserve"> </w:t>
      </w:r>
      <w:r w:rsidRPr="00CD64B5">
        <w:rPr>
          <w:rFonts w:ascii="Sylfaen" w:hAnsi="Sylfaen" w:cs="Sylfaen"/>
          <w:lang w:val="ka-GE"/>
        </w:rPr>
        <w:t>სახელმწიფოსგან</w:t>
      </w:r>
      <w:r w:rsidRPr="00CD64B5">
        <w:rPr>
          <w:lang w:val="ka-GE"/>
        </w:rPr>
        <w:t xml:space="preserve">, </w:t>
      </w:r>
      <w:r w:rsidRPr="00CD64B5">
        <w:rPr>
          <w:rFonts w:ascii="Sylfaen" w:hAnsi="Sylfaen" w:cs="Sylfaen"/>
          <w:lang w:val="ka-GE"/>
        </w:rPr>
        <w:t>ან</w:t>
      </w:r>
      <w:r w:rsidRPr="00CD64B5">
        <w:rPr>
          <w:lang w:val="ka-GE"/>
        </w:rPr>
        <w:t xml:space="preserve"> </w:t>
      </w:r>
      <w:r w:rsidRPr="00CD64B5">
        <w:rPr>
          <w:rFonts w:ascii="Sylfaen" w:hAnsi="Sylfaen" w:cs="Sylfaen"/>
          <w:lang w:val="ka-GE"/>
        </w:rPr>
        <w:t>შეიძენს</w:t>
      </w:r>
      <w:r w:rsidRPr="00CD64B5">
        <w:rPr>
          <w:lang w:val="ka-GE"/>
        </w:rPr>
        <w:t xml:space="preserve"> </w:t>
      </w:r>
      <w:r w:rsidRPr="00CD64B5">
        <w:rPr>
          <w:rFonts w:ascii="Sylfaen" w:hAnsi="Sylfaen" w:cs="Sylfaen"/>
          <w:lang w:val="ka-GE"/>
        </w:rPr>
        <w:t>ან</w:t>
      </w:r>
      <w:r w:rsidRPr="00CD64B5">
        <w:rPr>
          <w:lang w:val="ka-GE"/>
        </w:rPr>
        <w:t xml:space="preserve">  </w:t>
      </w:r>
      <w:r w:rsidRPr="00CD64B5">
        <w:rPr>
          <w:rFonts w:ascii="Sylfaen" w:hAnsi="Sylfaen" w:cs="Sylfaen"/>
          <w:lang w:val="ka-GE"/>
        </w:rPr>
        <w:t>ასევე</w:t>
      </w:r>
      <w:r w:rsidRPr="00CD64B5">
        <w:rPr>
          <w:lang w:val="ka-GE"/>
        </w:rPr>
        <w:t xml:space="preserve"> </w:t>
      </w:r>
      <w:r w:rsidRPr="00CD64B5">
        <w:rPr>
          <w:rFonts w:ascii="Sylfaen" w:hAnsi="Sylfaen" w:cs="Sylfaen"/>
          <w:lang w:val="ka-GE"/>
        </w:rPr>
        <w:t>იჯარით</w:t>
      </w:r>
      <w:r w:rsidRPr="00CD64B5">
        <w:rPr>
          <w:lang w:val="ka-GE"/>
        </w:rPr>
        <w:t xml:space="preserve"> </w:t>
      </w:r>
      <w:r w:rsidRPr="00CD64B5">
        <w:rPr>
          <w:rFonts w:ascii="Sylfaen" w:hAnsi="Sylfaen" w:cs="Sylfaen"/>
          <w:lang w:val="ka-GE"/>
        </w:rPr>
        <w:t>არებს</w:t>
      </w:r>
      <w:r w:rsidRPr="00CD64B5">
        <w:rPr>
          <w:lang w:val="ka-GE"/>
        </w:rPr>
        <w:t xml:space="preserve"> </w:t>
      </w:r>
      <w:r w:rsidRPr="00CD64B5">
        <w:rPr>
          <w:rFonts w:ascii="Sylfaen" w:hAnsi="Sylfaen" w:cs="Sylfaen"/>
          <w:lang w:val="ka-GE"/>
        </w:rPr>
        <w:t>კერძო</w:t>
      </w:r>
      <w:r w:rsidRPr="00CD64B5">
        <w:rPr>
          <w:lang w:val="ka-GE"/>
        </w:rPr>
        <w:t xml:space="preserve"> </w:t>
      </w:r>
      <w:r w:rsidRPr="00CD64B5">
        <w:rPr>
          <w:rFonts w:ascii="Sylfaen" w:hAnsi="Sylfaen" w:cs="Sylfaen"/>
          <w:lang w:val="ka-GE"/>
        </w:rPr>
        <w:t>პირისგან</w:t>
      </w:r>
      <w:r w:rsidRPr="00CD64B5">
        <w:rPr>
          <w:lang w:val="ka-GE"/>
        </w:rPr>
        <w:t xml:space="preserve">, </w:t>
      </w:r>
      <w:r w:rsidRPr="00CD64B5">
        <w:rPr>
          <w:rFonts w:ascii="Sylfaen" w:hAnsi="Sylfaen" w:cs="Sylfaen"/>
          <w:lang w:val="ka-GE"/>
        </w:rPr>
        <w:t>მიწის</w:t>
      </w:r>
      <w:r w:rsidRPr="00CD64B5">
        <w:rPr>
          <w:lang w:val="ka-GE"/>
        </w:rPr>
        <w:t xml:space="preserve"> </w:t>
      </w:r>
      <w:r w:rsidRPr="00CD64B5">
        <w:rPr>
          <w:rFonts w:ascii="Sylfaen" w:hAnsi="Sylfaen" w:cs="Sylfaen"/>
          <w:lang w:val="ka-GE"/>
        </w:rPr>
        <w:t>ექსპროპრიაცია</w:t>
      </w:r>
      <w:r w:rsidRPr="00CD64B5">
        <w:rPr>
          <w:lang w:val="ka-GE"/>
        </w:rPr>
        <w:t xml:space="preserve"> </w:t>
      </w:r>
      <w:r w:rsidRPr="00CD64B5">
        <w:rPr>
          <w:rFonts w:ascii="Sylfaen" w:hAnsi="Sylfaen" w:cs="Sylfaen"/>
          <w:lang w:val="ka-GE"/>
        </w:rPr>
        <w:t>ასეთ</w:t>
      </w:r>
      <w:r w:rsidRPr="00CD64B5">
        <w:rPr>
          <w:lang w:val="ka-GE"/>
        </w:rPr>
        <w:t xml:space="preserve"> </w:t>
      </w:r>
      <w:r w:rsidRPr="00CD64B5">
        <w:rPr>
          <w:rFonts w:ascii="Sylfaen" w:hAnsi="Sylfaen" w:cs="Sylfaen"/>
          <w:lang w:val="ka-GE"/>
        </w:rPr>
        <w:t>შემთხვევებში</w:t>
      </w:r>
      <w:r w:rsidRPr="00CD64B5">
        <w:rPr>
          <w:lang w:val="ka-GE"/>
        </w:rPr>
        <w:t xml:space="preserve"> </w:t>
      </w:r>
      <w:r w:rsidRPr="00CD64B5">
        <w:rPr>
          <w:rFonts w:ascii="Sylfaen" w:hAnsi="Sylfaen" w:cs="Sylfaen"/>
          <w:lang w:val="ka-GE"/>
        </w:rPr>
        <w:t>დაუშვებელია</w:t>
      </w:r>
      <w:r w:rsidRPr="00CD64B5">
        <w:rPr>
          <w:lang w:val="ka-GE"/>
        </w:rPr>
        <w:t>.</w:t>
      </w:r>
    </w:p>
    <w:p w14:paraId="00C14626" w14:textId="77777777" w:rsidR="00CD64B5" w:rsidRPr="00CD64B5" w:rsidRDefault="00CD64B5" w:rsidP="000E38C6">
      <w:pPr>
        <w:spacing w:before="120" w:after="120"/>
        <w:rPr>
          <w:lang w:val="ka-GE" w:eastAsia="en-US"/>
        </w:rPr>
      </w:pPr>
      <w:r w:rsidRPr="00CD64B5">
        <w:rPr>
          <w:rFonts w:ascii="Sylfaen" w:hAnsi="Sylfaen" w:cs="Sylfaen"/>
          <w:lang w:val="ka-GE"/>
        </w:rPr>
        <w:t>სამშენებლო</w:t>
      </w:r>
      <w:r w:rsidRPr="00CD64B5">
        <w:rPr>
          <w:lang w:val="ka-GE"/>
        </w:rPr>
        <w:t xml:space="preserve"> </w:t>
      </w:r>
      <w:r w:rsidRPr="00CD64B5">
        <w:rPr>
          <w:rFonts w:ascii="Sylfaen" w:hAnsi="Sylfaen" w:cs="Sylfaen"/>
          <w:lang w:val="ka-GE"/>
        </w:rPr>
        <w:t>ბანაკებისათვის</w:t>
      </w:r>
      <w:r w:rsidRPr="00CD64B5">
        <w:rPr>
          <w:lang w:val="ka-GE"/>
        </w:rPr>
        <w:t xml:space="preserve"> </w:t>
      </w:r>
      <w:r w:rsidRPr="00CD64B5">
        <w:rPr>
          <w:rFonts w:ascii="Sylfaen" w:hAnsi="Sylfaen" w:cs="Sylfaen"/>
          <w:lang w:val="ka-GE"/>
        </w:rPr>
        <w:t>განკუთვნილი</w:t>
      </w:r>
      <w:r w:rsidRPr="00CD64B5">
        <w:rPr>
          <w:lang w:val="ka-GE"/>
        </w:rPr>
        <w:t xml:space="preserve"> </w:t>
      </w:r>
      <w:r w:rsidRPr="00CD64B5">
        <w:rPr>
          <w:rFonts w:ascii="Sylfaen" w:hAnsi="Sylfaen" w:cs="Sylfaen"/>
          <w:lang w:val="ka-GE"/>
        </w:rPr>
        <w:t>ტერიტორიის</w:t>
      </w:r>
      <w:r w:rsidRPr="00CD64B5">
        <w:rPr>
          <w:lang w:val="ka-GE"/>
        </w:rPr>
        <w:t xml:space="preserve"> </w:t>
      </w:r>
      <w:r w:rsidRPr="00CD64B5">
        <w:rPr>
          <w:rFonts w:ascii="Sylfaen" w:hAnsi="Sylfaen" w:cs="Sylfaen"/>
          <w:lang w:val="ka-GE"/>
        </w:rPr>
        <w:t>შერჩევისათვის</w:t>
      </w:r>
      <w:r w:rsidRPr="00CD64B5">
        <w:rPr>
          <w:lang w:val="ka-GE"/>
        </w:rPr>
        <w:t xml:space="preserve"> </w:t>
      </w:r>
      <w:r w:rsidRPr="00CD64B5">
        <w:rPr>
          <w:rFonts w:ascii="Sylfaen" w:hAnsi="Sylfaen" w:cs="Sylfaen"/>
          <w:lang w:val="ka-GE"/>
        </w:rPr>
        <w:t>საჭირო</w:t>
      </w:r>
      <w:r w:rsidRPr="00CD64B5">
        <w:rPr>
          <w:lang w:val="ka-GE"/>
        </w:rPr>
        <w:t xml:space="preserve"> </w:t>
      </w:r>
      <w:r w:rsidRPr="00CD64B5">
        <w:rPr>
          <w:rFonts w:ascii="Sylfaen" w:hAnsi="Sylfaen" w:cs="Sylfaen"/>
          <w:lang w:val="ka-GE"/>
        </w:rPr>
        <w:t>მოთხოვნები</w:t>
      </w:r>
      <w:r w:rsidRPr="00CD64B5">
        <w:rPr>
          <w:lang w:val="ka-GE"/>
        </w:rPr>
        <w:t xml:space="preserve"> </w:t>
      </w:r>
      <w:r w:rsidRPr="00CD64B5">
        <w:rPr>
          <w:rFonts w:ascii="Sylfaen" w:hAnsi="Sylfaen" w:cs="Sylfaen"/>
          <w:lang w:val="ka-GE"/>
        </w:rPr>
        <w:t>დამოკიდებული</w:t>
      </w:r>
      <w:r w:rsidRPr="00CD64B5">
        <w:rPr>
          <w:lang w:val="ka-GE"/>
        </w:rPr>
        <w:t xml:space="preserve"> </w:t>
      </w:r>
      <w:r w:rsidRPr="00CD64B5">
        <w:rPr>
          <w:rFonts w:ascii="Sylfaen" w:hAnsi="Sylfaen" w:cs="Sylfaen"/>
          <w:lang w:val="ka-GE"/>
        </w:rPr>
        <w:t>იქნება</w:t>
      </w:r>
      <w:r w:rsidRPr="00CD64B5">
        <w:rPr>
          <w:lang w:val="ka-GE"/>
        </w:rPr>
        <w:t xml:space="preserve"> </w:t>
      </w:r>
      <w:r w:rsidRPr="00CD64B5">
        <w:rPr>
          <w:rFonts w:ascii="Sylfaen" w:hAnsi="Sylfaen" w:cs="Sylfaen"/>
          <w:lang w:val="ka-GE"/>
        </w:rPr>
        <w:t>ადგილზე</w:t>
      </w:r>
      <w:r w:rsidRPr="00CD64B5">
        <w:rPr>
          <w:lang w:val="ka-GE"/>
        </w:rPr>
        <w:t xml:space="preserve"> </w:t>
      </w:r>
      <w:r w:rsidRPr="00CD64B5">
        <w:rPr>
          <w:rFonts w:ascii="Sylfaen" w:hAnsi="Sylfaen" w:cs="Sylfaen"/>
          <w:lang w:val="ka-GE"/>
        </w:rPr>
        <w:t>გაგზავნილ</w:t>
      </w:r>
      <w:r w:rsidRPr="00CD64B5">
        <w:rPr>
          <w:lang w:val="ka-GE"/>
        </w:rPr>
        <w:t xml:space="preserve"> </w:t>
      </w:r>
      <w:r w:rsidRPr="00CD64B5">
        <w:rPr>
          <w:rFonts w:ascii="Sylfaen" w:hAnsi="Sylfaen" w:cs="Sylfaen"/>
          <w:lang w:val="ka-GE"/>
        </w:rPr>
        <w:t>სამუშაო</w:t>
      </w:r>
      <w:r w:rsidRPr="00CD64B5">
        <w:rPr>
          <w:lang w:val="ka-GE"/>
        </w:rPr>
        <w:t xml:space="preserve"> </w:t>
      </w:r>
      <w:r w:rsidRPr="00CD64B5">
        <w:rPr>
          <w:rFonts w:ascii="Sylfaen" w:hAnsi="Sylfaen" w:cs="Sylfaen"/>
          <w:lang w:val="ka-GE"/>
        </w:rPr>
        <w:t>ძალასა</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მობილიზებული</w:t>
      </w:r>
      <w:r w:rsidRPr="00CD64B5">
        <w:rPr>
          <w:lang w:val="ka-GE"/>
        </w:rPr>
        <w:t xml:space="preserve"> </w:t>
      </w:r>
      <w:r w:rsidRPr="00CD64B5">
        <w:rPr>
          <w:rFonts w:ascii="Sylfaen" w:hAnsi="Sylfaen" w:cs="Sylfaen"/>
          <w:lang w:val="ka-GE"/>
        </w:rPr>
        <w:t>ტექნიკის</w:t>
      </w:r>
      <w:r w:rsidRPr="00CD64B5">
        <w:rPr>
          <w:lang w:val="ka-GE"/>
        </w:rPr>
        <w:t xml:space="preserve"> </w:t>
      </w:r>
      <w:r w:rsidRPr="00CD64B5">
        <w:rPr>
          <w:rFonts w:ascii="Sylfaen" w:hAnsi="Sylfaen" w:cs="Sylfaen"/>
          <w:lang w:val="ka-GE"/>
        </w:rPr>
        <w:t>ოდენობაზე</w:t>
      </w:r>
      <w:r w:rsidRPr="00CD64B5">
        <w:rPr>
          <w:lang w:val="ka-GE"/>
        </w:rPr>
        <w:t xml:space="preserve">. </w:t>
      </w:r>
      <w:r w:rsidRPr="00CD64B5">
        <w:rPr>
          <w:rFonts w:ascii="Sylfaen" w:hAnsi="Sylfaen" w:cs="Sylfaen"/>
          <w:lang w:val="ka-GE"/>
        </w:rPr>
        <w:t>გასხვისების</w:t>
      </w:r>
      <w:r w:rsidRPr="00CD64B5">
        <w:rPr>
          <w:lang w:val="ka-GE"/>
        </w:rPr>
        <w:t xml:space="preserve"> </w:t>
      </w:r>
      <w:r w:rsidRPr="00CD64B5">
        <w:rPr>
          <w:rFonts w:ascii="Sylfaen" w:hAnsi="Sylfaen" w:cs="Sylfaen"/>
          <w:lang w:val="ka-GE"/>
        </w:rPr>
        <w:t>დერეფნის</w:t>
      </w:r>
      <w:r w:rsidRPr="00CD64B5">
        <w:rPr>
          <w:lang w:val="ka-GE"/>
        </w:rPr>
        <w:t xml:space="preserve"> </w:t>
      </w:r>
      <w:r w:rsidRPr="00CD64B5">
        <w:rPr>
          <w:rFonts w:ascii="Sylfaen" w:hAnsi="Sylfaen" w:cs="Sylfaen"/>
          <w:lang w:val="ka-GE"/>
        </w:rPr>
        <w:t>საზღვრებში</w:t>
      </w:r>
      <w:r w:rsidRPr="00CD64B5">
        <w:rPr>
          <w:lang w:val="ka-GE"/>
        </w:rPr>
        <w:t xml:space="preserve"> </w:t>
      </w:r>
      <w:r w:rsidRPr="00CD64B5">
        <w:rPr>
          <w:rFonts w:ascii="Sylfaen" w:hAnsi="Sylfaen" w:cs="Sylfaen"/>
          <w:lang w:val="ka-GE"/>
        </w:rPr>
        <w:t>ბანაკის</w:t>
      </w:r>
      <w:r w:rsidRPr="00CD64B5">
        <w:rPr>
          <w:lang w:val="ka-GE"/>
        </w:rPr>
        <w:t xml:space="preserve"> </w:t>
      </w:r>
      <w:r w:rsidRPr="00CD64B5">
        <w:rPr>
          <w:rFonts w:ascii="Sylfaen" w:hAnsi="Sylfaen" w:cs="Sylfaen"/>
          <w:lang w:val="ka-GE"/>
        </w:rPr>
        <w:t>განთავსებისთვის</w:t>
      </w:r>
      <w:r w:rsidRPr="00CD64B5">
        <w:rPr>
          <w:lang w:val="ka-GE"/>
        </w:rPr>
        <w:t xml:space="preserve"> </w:t>
      </w:r>
      <w:r w:rsidRPr="00CD64B5">
        <w:rPr>
          <w:rFonts w:ascii="Sylfaen" w:hAnsi="Sylfaen" w:cs="Sylfaen"/>
          <w:lang w:val="ka-GE"/>
        </w:rPr>
        <w:t>საჭირო</w:t>
      </w:r>
      <w:r w:rsidRPr="00CD64B5">
        <w:rPr>
          <w:lang w:val="ka-GE"/>
        </w:rPr>
        <w:t xml:space="preserve"> </w:t>
      </w:r>
      <w:r w:rsidRPr="00CD64B5">
        <w:rPr>
          <w:rFonts w:ascii="Sylfaen" w:hAnsi="Sylfaen" w:cs="Sylfaen"/>
          <w:lang w:val="ka-GE"/>
        </w:rPr>
        <w:t>ტერიტორია</w:t>
      </w:r>
      <w:r w:rsidRPr="00CD64B5">
        <w:rPr>
          <w:lang w:val="ka-GE"/>
        </w:rPr>
        <w:t xml:space="preserve"> </w:t>
      </w:r>
      <w:r w:rsidRPr="00CD64B5">
        <w:rPr>
          <w:rFonts w:ascii="Sylfaen" w:hAnsi="Sylfaen" w:cs="Sylfaen"/>
          <w:lang w:val="ka-GE"/>
        </w:rPr>
        <w:t>ვერ</w:t>
      </w:r>
      <w:r w:rsidRPr="00CD64B5">
        <w:rPr>
          <w:lang w:val="ka-GE"/>
        </w:rPr>
        <w:t xml:space="preserve"> </w:t>
      </w:r>
      <w:r w:rsidRPr="00CD64B5">
        <w:rPr>
          <w:rFonts w:ascii="Sylfaen" w:hAnsi="Sylfaen" w:cs="Sylfaen"/>
          <w:lang w:val="ka-GE"/>
        </w:rPr>
        <w:t>მოიძებნება</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კონტრაქტორი</w:t>
      </w:r>
      <w:r w:rsidRPr="00CD64B5">
        <w:rPr>
          <w:lang w:val="ka-GE"/>
        </w:rPr>
        <w:t xml:space="preserve"> </w:t>
      </w:r>
      <w:r w:rsidRPr="00CD64B5">
        <w:rPr>
          <w:rFonts w:ascii="Sylfaen" w:hAnsi="Sylfaen" w:cs="Sylfaen"/>
          <w:lang w:val="ka-GE"/>
        </w:rPr>
        <w:t>იძულებული</w:t>
      </w:r>
      <w:r w:rsidRPr="00CD64B5">
        <w:rPr>
          <w:lang w:val="ka-GE"/>
        </w:rPr>
        <w:t xml:space="preserve"> </w:t>
      </w:r>
      <w:r w:rsidRPr="00CD64B5">
        <w:rPr>
          <w:rFonts w:ascii="Sylfaen" w:hAnsi="Sylfaen" w:cs="Sylfaen"/>
          <w:lang w:val="ka-GE"/>
        </w:rPr>
        <w:t>იქნება</w:t>
      </w:r>
      <w:r w:rsidRPr="00CD64B5">
        <w:rPr>
          <w:lang w:val="ka-GE"/>
        </w:rPr>
        <w:t xml:space="preserve"> </w:t>
      </w:r>
      <w:r w:rsidRPr="00CD64B5">
        <w:rPr>
          <w:rFonts w:ascii="Sylfaen" w:hAnsi="Sylfaen" w:cs="Sylfaen"/>
          <w:lang w:val="ka-GE"/>
        </w:rPr>
        <w:t>იჯარით</w:t>
      </w:r>
      <w:r w:rsidRPr="00CD64B5">
        <w:rPr>
          <w:lang w:val="ka-GE"/>
        </w:rPr>
        <w:t xml:space="preserve"> </w:t>
      </w:r>
      <w:r w:rsidRPr="00CD64B5">
        <w:rPr>
          <w:rFonts w:ascii="Sylfaen" w:hAnsi="Sylfaen" w:cs="Sylfaen"/>
          <w:lang w:val="ka-GE"/>
        </w:rPr>
        <w:t>შეისყიდოს</w:t>
      </w:r>
      <w:r w:rsidRPr="00CD64B5">
        <w:rPr>
          <w:lang w:val="ka-GE"/>
        </w:rPr>
        <w:t xml:space="preserve"> </w:t>
      </w:r>
      <w:r w:rsidRPr="00CD64B5">
        <w:rPr>
          <w:rFonts w:ascii="Sylfaen" w:hAnsi="Sylfaen" w:cs="Sylfaen"/>
          <w:lang w:val="ka-GE"/>
        </w:rPr>
        <w:t>მიწა</w:t>
      </w:r>
      <w:r w:rsidRPr="00CD64B5">
        <w:rPr>
          <w:lang w:val="ka-GE"/>
        </w:rPr>
        <w:t xml:space="preserve"> </w:t>
      </w:r>
      <w:r w:rsidRPr="00CD64B5">
        <w:rPr>
          <w:rFonts w:ascii="Sylfaen" w:hAnsi="Sylfaen" w:cs="Sylfaen"/>
          <w:lang w:val="ka-GE"/>
        </w:rPr>
        <w:t>კერძო</w:t>
      </w:r>
      <w:r w:rsidRPr="00CD64B5">
        <w:rPr>
          <w:lang w:val="ka-GE"/>
        </w:rPr>
        <w:t xml:space="preserve"> </w:t>
      </w:r>
      <w:r w:rsidRPr="00CD64B5">
        <w:rPr>
          <w:rFonts w:ascii="Sylfaen" w:hAnsi="Sylfaen" w:cs="Sylfaen"/>
          <w:lang w:val="ka-GE"/>
        </w:rPr>
        <w:t>მიწამთმფლობელებისგან</w:t>
      </w:r>
      <w:r w:rsidRPr="00CD64B5">
        <w:rPr>
          <w:lang w:val="ka-GE"/>
        </w:rPr>
        <w:t xml:space="preserve">. </w:t>
      </w:r>
    </w:p>
    <w:p w14:paraId="11ACD7B4" w14:textId="77777777" w:rsidR="00CD64B5" w:rsidRPr="00CD64B5" w:rsidRDefault="00CD64B5" w:rsidP="000E38C6">
      <w:pPr>
        <w:spacing w:before="120" w:after="120"/>
        <w:rPr>
          <w:lang w:val="ka-GE"/>
        </w:rPr>
      </w:pPr>
      <w:r w:rsidRPr="00CD64B5">
        <w:rPr>
          <w:rFonts w:ascii="Sylfaen" w:hAnsi="Sylfaen" w:cs="Sylfaen"/>
          <w:lang w:val="ka-GE"/>
        </w:rPr>
        <w:t>სამშენებლო</w:t>
      </w:r>
      <w:r w:rsidRPr="00CD64B5">
        <w:rPr>
          <w:lang w:val="ka-GE"/>
        </w:rPr>
        <w:t xml:space="preserve"> </w:t>
      </w:r>
      <w:r w:rsidRPr="00CD64B5">
        <w:rPr>
          <w:rFonts w:ascii="Sylfaen" w:hAnsi="Sylfaen" w:cs="Sylfaen"/>
          <w:lang w:val="ka-GE"/>
        </w:rPr>
        <w:t>ბანაკის</w:t>
      </w:r>
      <w:r w:rsidRPr="00CD64B5">
        <w:rPr>
          <w:lang w:val="ka-GE"/>
        </w:rPr>
        <w:t xml:space="preserve"> </w:t>
      </w:r>
      <w:r w:rsidRPr="00CD64B5">
        <w:rPr>
          <w:rFonts w:ascii="Sylfaen" w:hAnsi="Sylfaen" w:cs="Sylfaen"/>
          <w:lang w:val="ka-GE"/>
        </w:rPr>
        <w:t>ტერიტორიაზე</w:t>
      </w:r>
      <w:r w:rsidRPr="00CD64B5">
        <w:rPr>
          <w:lang w:val="ka-GE"/>
        </w:rPr>
        <w:t xml:space="preserve"> </w:t>
      </w:r>
      <w:r w:rsidRPr="00CD64B5">
        <w:rPr>
          <w:rFonts w:ascii="Sylfaen" w:hAnsi="Sylfaen" w:cs="Sylfaen"/>
          <w:lang w:val="ka-GE"/>
        </w:rPr>
        <w:t>განთავსებული</w:t>
      </w:r>
      <w:r w:rsidRPr="00CD64B5">
        <w:rPr>
          <w:lang w:val="ka-GE"/>
        </w:rPr>
        <w:t xml:space="preserve"> </w:t>
      </w:r>
      <w:r w:rsidRPr="00CD64B5">
        <w:rPr>
          <w:rFonts w:ascii="Sylfaen" w:hAnsi="Sylfaen" w:cs="Sylfaen"/>
          <w:lang w:val="ka-GE"/>
        </w:rPr>
        <w:t>იქნება</w:t>
      </w:r>
      <w:r w:rsidRPr="00CD64B5">
        <w:rPr>
          <w:lang w:val="ka-GE"/>
        </w:rPr>
        <w:t xml:space="preserve"> </w:t>
      </w:r>
      <w:r w:rsidRPr="00CD64B5">
        <w:rPr>
          <w:rFonts w:ascii="Sylfaen" w:hAnsi="Sylfaen" w:cs="Sylfaen"/>
          <w:lang w:val="ka-GE"/>
        </w:rPr>
        <w:t>ოფისები</w:t>
      </w:r>
      <w:r w:rsidRPr="00CD64B5">
        <w:rPr>
          <w:lang w:val="ka-GE"/>
        </w:rPr>
        <w:t xml:space="preserve">, </w:t>
      </w:r>
      <w:r w:rsidRPr="00CD64B5">
        <w:rPr>
          <w:rFonts w:ascii="Sylfaen" w:hAnsi="Sylfaen" w:cs="Sylfaen"/>
          <w:lang w:val="ka-GE"/>
        </w:rPr>
        <w:t>სახელოსნოები</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სასაწყობე</w:t>
      </w:r>
      <w:r w:rsidRPr="00CD64B5">
        <w:rPr>
          <w:lang w:val="ka-GE"/>
        </w:rPr>
        <w:t xml:space="preserve"> </w:t>
      </w:r>
      <w:r w:rsidRPr="00CD64B5">
        <w:rPr>
          <w:rFonts w:ascii="Sylfaen" w:hAnsi="Sylfaen" w:cs="Sylfaen"/>
          <w:lang w:val="ka-GE"/>
        </w:rPr>
        <w:t>ეზო</w:t>
      </w:r>
      <w:r w:rsidRPr="00CD64B5">
        <w:rPr>
          <w:lang w:val="ka-GE"/>
        </w:rPr>
        <w:t xml:space="preserve">, </w:t>
      </w:r>
      <w:r w:rsidRPr="00CD64B5">
        <w:rPr>
          <w:rFonts w:ascii="Sylfaen" w:hAnsi="Sylfaen" w:cs="Sylfaen"/>
          <w:lang w:val="ka-GE"/>
        </w:rPr>
        <w:t>აგრეთვე</w:t>
      </w:r>
      <w:r w:rsidRPr="00CD64B5">
        <w:rPr>
          <w:lang w:val="ka-GE"/>
        </w:rPr>
        <w:t xml:space="preserve"> </w:t>
      </w:r>
      <w:r w:rsidRPr="00CD64B5">
        <w:rPr>
          <w:rFonts w:ascii="Sylfaen" w:hAnsi="Sylfaen" w:cs="Sylfaen"/>
          <w:lang w:val="ka-GE"/>
        </w:rPr>
        <w:t>სხვა</w:t>
      </w:r>
      <w:r w:rsidRPr="00CD64B5">
        <w:rPr>
          <w:lang w:val="ka-GE"/>
        </w:rPr>
        <w:t xml:space="preserve"> </w:t>
      </w:r>
      <w:r w:rsidRPr="00CD64B5">
        <w:rPr>
          <w:rFonts w:ascii="Sylfaen" w:hAnsi="Sylfaen" w:cs="Sylfaen"/>
          <w:lang w:val="ka-GE"/>
        </w:rPr>
        <w:t>სახის</w:t>
      </w:r>
      <w:r w:rsidRPr="00CD64B5">
        <w:rPr>
          <w:lang w:val="ka-GE"/>
        </w:rPr>
        <w:t xml:space="preserve"> </w:t>
      </w:r>
      <w:r w:rsidRPr="00CD64B5">
        <w:rPr>
          <w:rFonts w:ascii="Sylfaen" w:hAnsi="Sylfaen" w:cs="Sylfaen"/>
          <w:lang w:val="ka-GE"/>
        </w:rPr>
        <w:t>დაწესებულებები</w:t>
      </w:r>
      <w:r w:rsidRPr="00CD64B5">
        <w:rPr>
          <w:lang w:val="ka-GE"/>
        </w:rPr>
        <w:t xml:space="preserve">, </w:t>
      </w:r>
      <w:r w:rsidRPr="00CD64B5">
        <w:rPr>
          <w:rFonts w:ascii="Sylfaen" w:hAnsi="Sylfaen" w:cs="Sylfaen"/>
          <w:lang w:val="ka-GE"/>
        </w:rPr>
        <w:t>მათ</w:t>
      </w:r>
      <w:r w:rsidRPr="00CD64B5">
        <w:rPr>
          <w:lang w:val="ka-GE"/>
        </w:rPr>
        <w:t xml:space="preserve"> </w:t>
      </w:r>
      <w:r w:rsidRPr="00CD64B5">
        <w:rPr>
          <w:rFonts w:ascii="Sylfaen" w:hAnsi="Sylfaen" w:cs="Sylfaen"/>
          <w:lang w:val="ka-GE"/>
        </w:rPr>
        <w:t>შორის</w:t>
      </w:r>
      <w:r w:rsidRPr="00CD64B5">
        <w:rPr>
          <w:lang w:val="ka-GE"/>
        </w:rPr>
        <w:t xml:space="preserve"> </w:t>
      </w:r>
      <w:r w:rsidRPr="00CD64B5">
        <w:rPr>
          <w:rFonts w:ascii="Sylfaen" w:hAnsi="Sylfaen" w:cs="Sylfaen"/>
          <w:lang w:val="ka-GE"/>
        </w:rPr>
        <w:t>ნავთობის</w:t>
      </w:r>
      <w:r w:rsidRPr="00CD64B5">
        <w:rPr>
          <w:lang w:val="ka-GE"/>
        </w:rPr>
        <w:t xml:space="preserve"> </w:t>
      </w:r>
      <w:r w:rsidRPr="00CD64B5">
        <w:rPr>
          <w:rFonts w:ascii="Sylfaen" w:hAnsi="Sylfaen" w:cs="Sylfaen"/>
          <w:lang w:val="ka-GE"/>
        </w:rPr>
        <w:t>შენახვისათვის</w:t>
      </w:r>
      <w:r w:rsidRPr="00CD64B5">
        <w:rPr>
          <w:lang w:val="ka-GE"/>
        </w:rPr>
        <w:t xml:space="preserve"> </w:t>
      </w:r>
      <w:r w:rsidRPr="00CD64B5">
        <w:rPr>
          <w:rFonts w:ascii="Sylfaen" w:hAnsi="Sylfaen" w:cs="Sylfaen"/>
          <w:lang w:val="ka-GE"/>
        </w:rPr>
        <w:t>საჭირო</w:t>
      </w:r>
      <w:r w:rsidRPr="00CD64B5">
        <w:rPr>
          <w:lang w:val="ka-GE"/>
        </w:rPr>
        <w:t xml:space="preserve"> </w:t>
      </w:r>
      <w:r w:rsidRPr="00CD64B5">
        <w:rPr>
          <w:rFonts w:ascii="Sylfaen" w:hAnsi="Sylfaen" w:cs="Sylfaen"/>
          <w:lang w:val="ka-GE"/>
        </w:rPr>
        <w:t>ტერიტორია</w:t>
      </w:r>
      <w:r w:rsidRPr="00CD64B5">
        <w:rPr>
          <w:lang w:val="ka-GE"/>
        </w:rPr>
        <w:t xml:space="preserve">. </w:t>
      </w:r>
      <w:r w:rsidRPr="00CD64B5">
        <w:rPr>
          <w:rFonts w:ascii="Sylfaen" w:hAnsi="Sylfaen" w:cs="Sylfaen"/>
          <w:lang w:val="ka-GE"/>
        </w:rPr>
        <w:t>სამშენებლო</w:t>
      </w:r>
      <w:r w:rsidRPr="00CD64B5">
        <w:rPr>
          <w:lang w:val="ka-GE"/>
        </w:rPr>
        <w:t xml:space="preserve"> </w:t>
      </w:r>
      <w:r w:rsidRPr="00CD64B5">
        <w:rPr>
          <w:rFonts w:ascii="Sylfaen" w:hAnsi="Sylfaen" w:cs="Sylfaen"/>
          <w:lang w:val="ka-GE"/>
        </w:rPr>
        <w:t>ბანაკის</w:t>
      </w:r>
      <w:r w:rsidRPr="00CD64B5">
        <w:rPr>
          <w:lang w:val="ka-GE"/>
        </w:rPr>
        <w:t xml:space="preserve"> </w:t>
      </w:r>
      <w:r w:rsidRPr="00CD64B5">
        <w:rPr>
          <w:rFonts w:ascii="Sylfaen" w:hAnsi="Sylfaen" w:cs="Sylfaen"/>
          <w:lang w:val="ka-GE"/>
        </w:rPr>
        <w:t>განთავსებისათვის</w:t>
      </w:r>
      <w:r w:rsidRPr="00CD64B5">
        <w:rPr>
          <w:lang w:val="ka-GE"/>
        </w:rPr>
        <w:t xml:space="preserve"> </w:t>
      </w:r>
      <w:r w:rsidRPr="00CD64B5">
        <w:rPr>
          <w:rFonts w:ascii="Sylfaen" w:hAnsi="Sylfaen" w:cs="Sylfaen"/>
          <w:lang w:val="ka-GE"/>
        </w:rPr>
        <w:t>ტერიტორიის</w:t>
      </w:r>
      <w:r w:rsidRPr="00CD64B5">
        <w:rPr>
          <w:lang w:val="ka-GE"/>
        </w:rPr>
        <w:t xml:space="preserve"> </w:t>
      </w:r>
      <w:r w:rsidRPr="00CD64B5">
        <w:rPr>
          <w:rFonts w:ascii="Sylfaen" w:hAnsi="Sylfaen" w:cs="Sylfaen"/>
          <w:lang w:val="ka-GE"/>
        </w:rPr>
        <w:t>შერჩევა</w:t>
      </w:r>
      <w:r w:rsidRPr="00CD64B5">
        <w:rPr>
          <w:lang w:val="ka-GE"/>
        </w:rPr>
        <w:t xml:space="preserve"> </w:t>
      </w:r>
      <w:r w:rsidRPr="00CD64B5">
        <w:rPr>
          <w:rFonts w:ascii="Sylfaen" w:hAnsi="Sylfaen" w:cs="Sylfaen"/>
          <w:lang w:val="ka-GE"/>
        </w:rPr>
        <w:t>ჯერ</w:t>
      </w:r>
      <w:r w:rsidRPr="00CD64B5">
        <w:rPr>
          <w:lang w:val="ka-GE"/>
        </w:rPr>
        <w:t xml:space="preserve"> </w:t>
      </w:r>
      <w:r w:rsidRPr="00CD64B5">
        <w:rPr>
          <w:rFonts w:ascii="Sylfaen" w:hAnsi="Sylfaen" w:cs="Sylfaen"/>
          <w:lang w:val="ka-GE"/>
        </w:rPr>
        <w:t>არ</w:t>
      </w:r>
      <w:r w:rsidRPr="00CD64B5">
        <w:rPr>
          <w:lang w:val="ka-GE"/>
        </w:rPr>
        <w:t xml:space="preserve"> </w:t>
      </w:r>
      <w:r w:rsidRPr="00CD64B5">
        <w:rPr>
          <w:rFonts w:ascii="Sylfaen" w:hAnsi="Sylfaen" w:cs="Sylfaen"/>
          <w:lang w:val="ka-GE"/>
        </w:rPr>
        <w:t>დასრულებულა</w:t>
      </w:r>
      <w:r w:rsidRPr="00CD64B5">
        <w:rPr>
          <w:lang w:val="ka-GE"/>
        </w:rPr>
        <w:t xml:space="preserve">.  </w:t>
      </w:r>
    </w:p>
    <w:p w14:paraId="2EDBDB33" w14:textId="77777777" w:rsidR="00CD64B5" w:rsidRPr="00CD64B5" w:rsidRDefault="00CD64B5" w:rsidP="000E38C6">
      <w:pPr>
        <w:spacing w:before="120" w:after="120"/>
        <w:rPr>
          <w:lang w:val="ka-GE"/>
        </w:rPr>
      </w:pPr>
      <w:r w:rsidRPr="00CD64B5">
        <w:rPr>
          <w:rFonts w:ascii="Sylfaen" w:hAnsi="Sylfaen" w:cs="Sylfaen"/>
          <w:lang w:val="ka-GE"/>
        </w:rPr>
        <w:t>პოტენციური</w:t>
      </w:r>
      <w:r w:rsidRPr="00CD64B5">
        <w:rPr>
          <w:lang w:val="ka-GE"/>
        </w:rPr>
        <w:t xml:space="preserve"> </w:t>
      </w:r>
      <w:r w:rsidRPr="00CD64B5">
        <w:rPr>
          <w:rFonts w:ascii="Sylfaen" w:hAnsi="Sylfaen" w:cs="Sylfaen"/>
          <w:lang w:val="ka-GE"/>
        </w:rPr>
        <w:t>ზემოქმედების</w:t>
      </w:r>
      <w:r w:rsidRPr="00CD64B5">
        <w:rPr>
          <w:lang w:val="ka-GE"/>
        </w:rPr>
        <w:t xml:space="preserve"> </w:t>
      </w:r>
      <w:r w:rsidRPr="00CD64B5">
        <w:rPr>
          <w:rFonts w:ascii="Sylfaen" w:hAnsi="Sylfaen" w:cs="Sylfaen"/>
          <w:lang w:val="ka-GE"/>
        </w:rPr>
        <w:t>მინიმუმამდე</w:t>
      </w:r>
      <w:r w:rsidRPr="00CD64B5">
        <w:rPr>
          <w:lang w:val="ka-GE"/>
        </w:rPr>
        <w:t xml:space="preserve"> </w:t>
      </w:r>
      <w:r w:rsidRPr="00CD64B5">
        <w:rPr>
          <w:rFonts w:ascii="Sylfaen" w:hAnsi="Sylfaen" w:cs="Sylfaen"/>
          <w:lang w:val="ka-GE"/>
        </w:rPr>
        <w:t>დასაყვანად</w:t>
      </w:r>
      <w:r w:rsidRPr="00CD64B5">
        <w:rPr>
          <w:lang w:val="ka-GE"/>
        </w:rPr>
        <w:t xml:space="preserve"> </w:t>
      </w:r>
      <w:r w:rsidRPr="00CD64B5">
        <w:rPr>
          <w:rFonts w:ascii="Sylfaen" w:hAnsi="Sylfaen" w:cs="Sylfaen"/>
          <w:lang w:val="ka-GE"/>
        </w:rPr>
        <w:t>კონტრაქტორს</w:t>
      </w:r>
      <w:r w:rsidRPr="00CD64B5">
        <w:rPr>
          <w:lang w:val="ka-GE"/>
        </w:rPr>
        <w:t xml:space="preserve"> </w:t>
      </w:r>
      <w:r w:rsidRPr="00CD64B5">
        <w:rPr>
          <w:rFonts w:ascii="Sylfaen" w:hAnsi="Sylfaen" w:cs="Sylfaen"/>
          <w:lang w:val="ka-GE"/>
        </w:rPr>
        <w:t>მოეთხოვება</w:t>
      </w:r>
      <w:r w:rsidRPr="00CD64B5">
        <w:rPr>
          <w:lang w:val="ka-GE"/>
        </w:rPr>
        <w:t xml:space="preserve"> </w:t>
      </w:r>
      <w:r w:rsidRPr="00CD64B5">
        <w:rPr>
          <w:rFonts w:ascii="Sylfaen" w:hAnsi="Sylfaen" w:cs="Sylfaen"/>
          <w:lang w:val="ka-GE"/>
        </w:rPr>
        <w:t>შემდეგი</w:t>
      </w:r>
      <w:r w:rsidRPr="00CD64B5">
        <w:rPr>
          <w:lang w:val="ka-GE"/>
        </w:rPr>
        <w:t xml:space="preserve"> </w:t>
      </w:r>
      <w:r w:rsidRPr="00CD64B5">
        <w:rPr>
          <w:rFonts w:ascii="Sylfaen" w:hAnsi="Sylfaen" w:cs="Sylfaen"/>
          <w:lang w:val="ka-GE"/>
        </w:rPr>
        <w:t>გეგმების</w:t>
      </w:r>
      <w:r w:rsidRPr="00CD64B5">
        <w:rPr>
          <w:lang w:val="ka-GE"/>
        </w:rPr>
        <w:t xml:space="preserve"> </w:t>
      </w:r>
      <w:r w:rsidRPr="00CD64B5">
        <w:rPr>
          <w:rFonts w:ascii="Sylfaen" w:hAnsi="Sylfaen" w:cs="Sylfaen"/>
          <w:lang w:val="ka-GE"/>
        </w:rPr>
        <w:t>ანუ</w:t>
      </w:r>
      <w:r w:rsidRPr="00CD64B5">
        <w:rPr>
          <w:lang w:val="ka-GE"/>
        </w:rPr>
        <w:t xml:space="preserve"> </w:t>
      </w:r>
      <w:r w:rsidRPr="00CD64B5">
        <w:rPr>
          <w:rFonts w:ascii="Sylfaen" w:hAnsi="Sylfaen" w:cs="Sylfaen"/>
          <w:lang w:val="ka-GE"/>
        </w:rPr>
        <w:t>სამუშაოების</w:t>
      </w:r>
      <w:r w:rsidRPr="00CD64B5">
        <w:rPr>
          <w:lang w:val="ka-GE"/>
        </w:rPr>
        <w:t xml:space="preserve"> </w:t>
      </w:r>
      <w:r w:rsidRPr="00CD64B5">
        <w:rPr>
          <w:rFonts w:ascii="Sylfaen" w:hAnsi="Sylfaen" w:cs="Sylfaen"/>
          <w:lang w:val="ka-GE"/>
        </w:rPr>
        <w:t>წარმოების</w:t>
      </w:r>
      <w:r w:rsidRPr="00CD64B5">
        <w:rPr>
          <w:lang w:val="ka-GE"/>
        </w:rPr>
        <w:t xml:space="preserve"> </w:t>
      </w:r>
      <w:r w:rsidRPr="00CD64B5">
        <w:rPr>
          <w:rFonts w:ascii="Sylfaen" w:hAnsi="Sylfaen" w:cs="Sylfaen"/>
          <w:lang w:val="ka-GE"/>
        </w:rPr>
        <w:t>გეგმების</w:t>
      </w:r>
      <w:r w:rsidRPr="00CD64B5">
        <w:rPr>
          <w:lang w:val="ka-GE"/>
        </w:rPr>
        <w:t xml:space="preserve"> </w:t>
      </w:r>
      <w:r w:rsidRPr="00CD64B5">
        <w:rPr>
          <w:rFonts w:ascii="Sylfaen" w:hAnsi="Sylfaen" w:cs="Sylfaen"/>
          <w:lang w:val="ka-GE"/>
        </w:rPr>
        <w:t>მომზადება</w:t>
      </w:r>
      <w:r w:rsidRPr="00CD64B5">
        <w:rPr>
          <w:lang w:val="ka-GE"/>
        </w:rPr>
        <w:t>:</w:t>
      </w:r>
    </w:p>
    <w:p w14:paraId="43750B75" w14:textId="77777777" w:rsidR="00CD64B5" w:rsidRPr="00CD64B5" w:rsidRDefault="00CD64B5" w:rsidP="000E38C6">
      <w:pPr>
        <w:spacing w:before="120" w:after="120"/>
        <w:rPr>
          <w:lang w:val="ka-GE"/>
        </w:rPr>
      </w:pPr>
      <w:r w:rsidRPr="00CD64B5">
        <w:rPr>
          <w:rFonts w:ascii="Sylfaen" w:hAnsi="Sylfaen" w:cs="Sylfaen"/>
          <w:lang w:val="ka-GE"/>
        </w:rPr>
        <w:t>საქართველოს</w:t>
      </w:r>
      <w:r w:rsidRPr="00CD64B5">
        <w:rPr>
          <w:lang w:val="ka-GE"/>
        </w:rPr>
        <w:t xml:space="preserve"> </w:t>
      </w:r>
      <w:r w:rsidRPr="00CD64B5">
        <w:rPr>
          <w:rFonts w:ascii="Sylfaen" w:hAnsi="Sylfaen" w:cs="Sylfaen"/>
          <w:lang w:val="ka-GE"/>
        </w:rPr>
        <w:t>კანონმდებლობით</w:t>
      </w:r>
      <w:r w:rsidRPr="00CD64B5">
        <w:rPr>
          <w:lang w:val="ka-GE"/>
        </w:rPr>
        <w:t xml:space="preserve"> </w:t>
      </w:r>
      <w:r w:rsidRPr="00CD64B5">
        <w:rPr>
          <w:rFonts w:ascii="Sylfaen" w:hAnsi="Sylfaen" w:cs="Sylfaen"/>
          <w:lang w:val="ka-GE"/>
        </w:rPr>
        <w:t>არ</w:t>
      </w:r>
      <w:r w:rsidRPr="00CD64B5">
        <w:rPr>
          <w:lang w:val="ka-GE"/>
        </w:rPr>
        <w:t xml:space="preserve"> </w:t>
      </w:r>
      <w:r w:rsidRPr="00CD64B5">
        <w:rPr>
          <w:rFonts w:ascii="Sylfaen" w:hAnsi="Sylfaen" w:cs="Sylfaen"/>
          <w:lang w:val="ka-GE"/>
        </w:rPr>
        <w:t>არის</w:t>
      </w:r>
      <w:r w:rsidRPr="00CD64B5">
        <w:rPr>
          <w:lang w:val="ka-GE"/>
        </w:rPr>
        <w:t xml:space="preserve"> </w:t>
      </w:r>
      <w:r w:rsidRPr="00CD64B5">
        <w:rPr>
          <w:rFonts w:ascii="Sylfaen" w:hAnsi="Sylfaen" w:cs="Sylfaen"/>
          <w:lang w:val="ka-GE"/>
        </w:rPr>
        <w:t>განსაზღვრული</w:t>
      </w:r>
      <w:r w:rsidRPr="00CD64B5">
        <w:rPr>
          <w:lang w:val="ka-GE"/>
        </w:rPr>
        <w:t xml:space="preserve"> </w:t>
      </w:r>
      <w:r w:rsidRPr="00CD64B5">
        <w:rPr>
          <w:rFonts w:ascii="Sylfaen" w:hAnsi="Sylfaen" w:cs="Sylfaen"/>
          <w:lang w:val="ka-GE"/>
        </w:rPr>
        <w:t>მუშათა</w:t>
      </w:r>
      <w:r w:rsidRPr="00CD64B5">
        <w:rPr>
          <w:lang w:val="ka-GE"/>
        </w:rPr>
        <w:t xml:space="preserve"> </w:t>
      </w:r>
      <w:r w:rsidRPr="00CD64B5">
        <w:rPr>
          <w:rFonts w:ascii="Sylfaen" w:hAnsi="Sylfaen" w:cs="Sylfaen"/>
          <w:lang w:val="ka-GE"/>
        </w:rPr>
        <w:t>ბანაკების</w:t>
      </w:r>
      <w:r w:rsidRPr="00CD64B5">
        <w:rPr>
          <w:lang w:val="ka-GE"/>
        </w:rPr>
        <w:t xml:space="preserve"> </w:t>
      </w:r>
      <w:r w:rsidRPr="00CD64B5">
        <w:rPr>
          <w:rFonts w:ascii="Sylfaen" w:hAnsi="Sylfaen" w:cs="Sylfaen"/>
          <w:lang w:val="ka-GE"/>
        </w:rPr>
        <w:t>მოწყობისა</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ოპერირების</w:t>
      </w:r>
      <w:r w:rsidRPr="00CD64B5">
        <w:rPr>
          <w:lang w:val="ka-GE"/>
        </w:rPr>
        <w:t xml:space="preserve"> </w:t>
      </w:r>
      <w:r w:rsidRPr="00CD64B5">
        <w:rPr>
          <w:rFonts w:ascii="Sylfaen" w:hAnsi="Sylfaen" w:cs="Sylfaen"/>
          <w:lang w:val="ka-GE"/>
        </w:rPr>
        <w:t>სტანდარტები</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ნორმატიული</w:t>
      </w:r>
      <w:r w:rsidRPr="00CD64B5">
        <w:rPr>
          <w:lang w:val="ka-GE"/>
        </w:rPr>
        <w:t xml:space="preserve"> </w:t>
      </w:r>
      <w:r w:rsidRPr="00CD64B5">
        <w:rPr>
          <w:rFonts w:ascii="Sylfaen" w:hAnsi="Sylfaen" w:cs="Sylfaen"/>
          <w:lang w:val="ka-GE"/>
        </w:rPr>
        <w:t>აქტები</w:t>
      </w:r>
      <w:r w:rsidRPr="00CD64B5">
        <w:rPr>
          <w:lang w:val="ka-GE"/>
        </w:rPr>
        <w:t>.</w:t>
      </w:r>
      <w:r w:rsidRPr="00CD64B5">
        <w:rPr>
          <w:rFonts w:cs="Arial"/>
          <w:lang w:val="ka-GE"/>
        </w:rPr>
        <w:t> </w:t>
      </w:r>
      <w:r w:rsidRPr="00CD64B5">
        <w:rPr>
          <w:lang w:val="ka-GE"/>
        </w:rPr>
        <w:t xml:space="preserve">IFC </w:t>
      </w:r>
      <w:r w:rsidRPr="00CD64B5">
        <w:rPr>
          <w:rFonts w:cs="Arial"/>
          <w:lang w:val="ka-GE"/>
        </w:rPr>
        <w:t> </w:t>
      </w:r>
      <w:r w:rsidRPr="00CD64B5">
        <w:rPr>
          <w:rFonts w:ascii="Sylfaen" w:hAnsi="Sylfaen" w:cs="Sylfaen"/>
          <w:lang w:val="ka-GE"/>
        </w:rPr>
        <w:t>სამუშაო</w:t>
      </w:r>
      <w:r w:rsidRPr="00CD64B5">
        <w:rPr>
          <w:lang w:val="ka-GE"/>
        </w:rPr>
        <w:t xml:space="preserve"> </w:t>
      </w:r>
      <w:r w:rsidRPr="00CD64B5">
        <w:rPr>
          <w:rFonts w:ascii="Sylfaen" w:hAnsi="Sylfaen" w:cs="Sylfaen"/>
          <w:lang w:val="ka-GE"/>
        </w:rPr>
        <w:t>სტანდარტები</w:t>
      </w:r>
      <w:r w:rsidRPr="00CD64B5">
        <w:rPr>
          <w:lang w:val="ka-GE"/>
        </w:rPr>
        <w:t xml:space="preserve"> 2</w:t>
      </w:r>
      <w:r w:rsidRPr="00CD64B5">
        <w:rPr>
          <w:rFonts w:cs="Arial"/>
          <w:lang w:val="ka-GE"/>
        </w:rPr>
        <w:t> </w:t>
      </w:r>
      <w:r w:rsidRPr="00CD64B5">
        <w:rPr>
          <w:lang w:val="ka-GE"/>
        </w:rPr>
        <w:t xml:space="preserve">(PS2) </w:t>
      </w:r>
      <w:r w:rsidRPr="00CD64B5">
        <w:rPr>
          <w:rFonts w:ascii="Sylfaen" w:hAnsi="Sylfaen" w:cs="Sylfaen"/>
          <w:lang w:val="ka-GE"/>
        </w:rPr>
        <w:t>სამუშაო</w:t>
      </w:r>
      <w:r w:rsidRPr="00CD64B5">
        <w:rPr>
          <w:lang w:val="ka-GE"/>
        </w:rPr>
        <w:t xml:space="preserve"> </w:t>
      </w:r>
      <w:r w:rsidRPr="00CD64B5">
        <w:rPr>
          <w:rFonts w:ascii="Sylfaen" w:hAnsi="Sylfaen" w:cs="Sylfaen"/>
          <w:lang w:val="ka-GE"/>
        </w:rPr>
        <w:t>ძალისა</w:t>
      </w:r>
      <w:r w:rsidRPr="00CD64B5">
        <w:rPr>
          <w:lang w:val="ka-GE"/>
        </w:rPr>
        <w:t xml:space="preserve"> </w:t>
      </w:r>
      <w:r w:rsidRPr="00CD64B5">
        <w:rPr>
          <w:rFonts w:ascii="Sylfaen" w:hAnsi="Sylfaen" w:cs="Sylfaen"/>
          <w:lang w:val="ka-GE"/>
        </w:rPr>
        <w:t>და</w:t>
      </w:r>
      <w:r w:rsidRPr="00CD64B5">
        <w:rPr>
          <w:lang w:val="ka-GE"/>
        </w:rPr>
        <w:t xml:space="preserve"> </w:t>
      </w:r>
      <w:r w:rsidRPr="00CD64B5">
        <w:rPr>
          <w:rFonts w:ascii="Sylfaen" w:hAnsi="Sylfaen" w:cs="Sylfaen"/>
          <w:lang w:val="ka-GE"/>
        </w:rPr>
        <w:t>სამუშაო</w:t>
      </w:r>
      <w:r w:rsidRPr="00CD64B5">
        <w:rPr>
          <w:lang w:val="ka-GE"/>
        </w:rPr>
        <w:t xml:space="preserve"> </w:t>
      </w:r>
      <w:r w:rsidRPr="00CD64B5">
        <w:rPr>
          <w:rFonts w:ascii="Sylfaen" w:hAnsi="Sylfaen" w:cs="Sylfaen"/>
          <w:lang w:val="ka-GE"/>
        </w:rPr>
        <w:t>პირობების</w:t>
      </w:r>
      <w:r w:rsidRPr="00CD64B5">
        <w:rPr>
          <w:lang w:val="ka-GE"/>
        </w:rPr>
        <w:t xml:space="preserve"> </w:t>
      </w:r>
      <w:r w:rsidRPr="00CD64B5">
        <w:rPr>
          <w:rFonts w:ascii="Sylfaen" w:hAnsi="Sylfaen" w:cs="Sylfaen"/>
          <w:lang w:val="ka-GE"/>
        </w:rPr>
        <w:t>შესახებ</w:t>
      </w:r>
      <w:r w:rsidRPr="00CD64B5">
        <w:rPr>
          <w:lang w:val="ka-GE"/>
        </w:rPr>
        <w:t xml:space="preserve"> </w:t>
      </w:r>
      <w:r w:rsidRPr="00CD64B5">
        <w:rPr>
          <w:rFonts w:ascii="Sylfaen" w:hAnsi="Sylfaen" w:cs="Sylfaen"/>
          <w:lang w:val="ka-GE"/>
        </w:rPr>
        <w:t>როგორც</w:t>
      </w:r>
      <w:r w:rsidRPr="00CD64B5">
        <w:rPr>
          <w:lang w:val="ka-GE"/>
        </w:rPr>
        <w:t xml:space="preserve"> </w:t>
      </w:r>
      <w:r w:rsidRPr="00CD64B5">
        <w:rPr>
          <w:rFonts w:ascii="Sylfaen" w:hAnsi="Sylfaen" w:cs="Sylfaen"/>
          <w:lang w:val="ka-GE"/>
        </w:rPr>
        <w:t>მინიმუმ</w:t>
      </w:r>
      <w:r w:rsidRPr="00CD64B5">
        <w:rPr>
          <w:lang w:val="ka-GE"/>
        </w:rPr>
        <w:t xml:space="preserve">, </w:t>
      </w:r>
      <w:r w:rsidRPr="00CD64B5">
        <w:rPr>
          <w:rFonts w:ascii="Sylfaen" w:hAnsi="Sylfaen" w:cs="Sylfaen"/>
          <w:lang w:val="ka-GE"/>
        </w:rPr>
        <w:t>ითვალისწინებს</w:t>
      </w:r>
      <w:r w:rsidRPr="00CD64B5">
        <w:rPr>
          <w:lang w:val="ka-GE"/>
        </w:rPr>
        <w:t xml:space="preserve"> </w:t>
      </w:r>
      <w:r w:rsidRPr="00CD64B5">
        <w:rPr>
          <w:rFonts w:ascii="Sylfaen" w:hAnsi="Sylfaen" w:cs="Sylfaen"/>
          <w:lang w:val="ka-GE"/>
        </w:rPr>
        <w:t>მუშების</w:t>
      </w:r>
      <w:r w:rsidRPr="00CD64B5">
        <w:rPr>
          <w:lang w:val="ka-GE"/>
        </w:rPr>
        <w:t xml:space="preserve"> </w:t>
      </w:r>
      <w:r w:rsidRPr="00CD64B5">
        <w:rPr>
          <w:rFonts w:ascii="Sylfaen" w:hAnsi="Sylfaen" w:cs="Sylfaen"/>
          <w:lang w:val="ka-GE"/>
        </w:rPr>
        <w:t>ძირითადი</w:t>
      </w:r>
      <w:r w:rsidRPr="00CD64B5">
        <w:rPr>
          <w:lang w:val="ka-GE"/>
        </w:rPr>
        <w:t xml:space="preserve"> </w:t>
      </w:r>
      <w:r w:rsidRPr="00CD64B5">
        <w:rPr>
          <w:rFonts w:ascii="Sylfaen" w:hAnsi="Sylfaen" w:cs="Sylfaen"/>
          <w:lang w:val="ka-GE"/>
        </w:rPr>
        <w:t>მოთხოვნების</w:t>
      </w:r>
      <w:r w:rsidRPr="00CD64B5">
        <w:rPr>
          <w:lang w:val="ka-GE"/>
        </w:rPr>
        <w:t xml:space="preserve"> </w:t>
      </w:r>
      <w:r w:rsidRPr="00CD64B5">
        <w:rPr>
          <w:rFonts w:ascii="Sylfaen" w:hAnsi="Sylfaen" w:cs="Sylfaen"/>
          <w:lang w:val="ka-GE"/>
        </w:rPr>
        <w:t>დაკმაყოფილებას</w:t>
      </w:r>
      <w:r w:rsidRPr="00CD64B5">
        <w:rPr>
          <w:lang w:val="ka-GE"/>
        </w:rPr>
        <w:t>.</w:t>
      </w:r>
    </w:p>
    <w:p w14:paraId="7C45541D" w14:textId="77777777" w:rsidR="00CD64B5" w:rsidRPr="001352AB" w:rsidRDefault="00CD64B5" w:rsidP="000E38C6">
      <w:pPr>
        <w:spacing w:before="120" w:after="120"/>
      </w:pPr>
      <w:r w:rsidRPr="001352AB">
        <w:rPr>
          <w:rFonts w:ascii="Sylfaen" w:hAnsi="Sylfaen" w:cs="Sylfaen"/>
        </w:rPr>
        <w:t>სამუშაო</w:t>
      </w:r>
      <w:r w:rsidRPr="001352AB">
        <w:t xml:space="preserve"> </w:t>
      </w:r>
      <w:r w:rsidRPr="001352AB">
        <w:rPr>
          <w:rFonts w:ascii="Sylfaen" w:hAnsi="Sylfaen" w:cs="Sylfaen"/>
        </w:rPr>
        <w:t>ბანაკის</w:t>
      </w:r>
      <w:r w:rsidRPr="001352AB">
        <w:t xml:space="preserve"> </w:t>
      </w:r>
      <w:r w:rsidRPr="001352AB">
        <w:rPr>
          <w:rFonts w:ascii="Sylfaen" w:hAnsi="Sylfaen" w:cs="Sylfaen"/>
        </w:rPr>
        <w:t>განლაგების</w:t>
      </w:r>
      <w:r w:rsidRPr="001352AB">
        <w:t xml:space="preserve"> </w:t>
      </w:r>
      <w:r w:rsidRPr="001352AB">
        <w:rPr>
          <w:rFonts w:ascii="Sylfaen" w:hAnsi="Sylfaen" w:cs="Sylfaen"/>
        </w:rPr>
        <w:t>გეგმა</w:t>
      </w:r>
      <w:r w:rsidRPr="001352AB">
        <w:t xml:space="preserve"> </w:t>
      </w:r>
      <w:r w:rsidRPr="001352AB">
        <w:rPr>
          <w:rFonts w:ascii="Sylfaen" w:hAnsi="Sylfaen" w:cs="Sylfaen"/>
        </w:rPr>
        <w:t>უსაფრთხოების</w:t>
      </w:r>
      <w:r w:rsidRPr="001352AB">
        <w:t xml:space="preserve"> </w:t>
      </w:r>
      <w:r w:rsidRPr="001352AB">
        <w:rPr>
          <w:rFonts w:ascii="Sylfaen" w:hAnsi="Sylfaen" w:cs="Sylfaen"/>
        </w:rPr>
        <w:t>ყველა</w:t>
      </w:r>
      <w:r w:rsidRPr="001352AB">
        <w:t xml:space="preserve"> </w:t>
      </w:r>
      <w:r w:rsidRPr="001352AB">
        <w:rPr>
          <w:rFonts w:ascii="Sylfaen" w:hAnsi="Sylfaen" w:cs="Sylfaen"/>
        </w:rPr>
        <w:t>იმ</w:t>
      </w:r>
      <w:r w:rsidRPr="001352AB">
        <w:t xml:space="preserve"> </w:t>
      </w:r>
      <w:r w:rsidRPr="001352AB">
        <w:rPr>
          <w:rFonts w:ascii="Sylfaen" w:hAnsi="Sylfaen" w:cs="Sylfaen"/>
        </w:rPr>
        <w:t>ზომის</w:t>
      </w:r>
      <w:r w:rsidRPr="001352AB">
        <w:t xml:space="preserve"> </w:t>
      </w:r>
      <w:r w:rsidRPr="001352AB">
        <w:rPr>
          <w:rFonts w:ascii="Sylfaen" w:hAnsi="Sylfaen" w:cs="Sylfaen"/>
        </w:rPr>
        <w:t>აღწერის</w:t>
      </w:r>
      <w:r w:rsidRPr="001352AB">
        <w:t xml:space="preserve"> </w:t>
      </w:r>
      <w:r w:rsidRPr="001352AB">
        <w:rPr>
          <w:rFonts w:ascii="Sylfaen" w:hAnsi="Sylfaen" w:cs="Sylfaen"/>
        </w:rPr>
        <w:t>ჩათვლით</w:t>
      </w:r>
      <w:r w:rsidRPr="001352AB">
        <w:t xml:space="preserve">, </w:t>
      </w:r>
      <w:r w:rsidRPr="001352AB">
        <w:rPr>
          <w:rFonts w:ascii="Sylfaen" w:hAnsi="Sylfaen" w:cs="Sylfaen"/>
        </w:rPr>
        <w:t>რომელიც</w:t>
      </w:r>
      <w:r w:rsidRPr="001352AB">
        <w:t xml:space="preserve"> </w:t>
      </w:r>
      <w:r w:rsidRPr="001352AB">
        <w:rPr>
          <w:rFonts w:ascii="Sylfaen" w:hAnsi="Sylfaen" w:cs="Sylfaen"/>
        </w:rPr>
        <w:t>შემოთავაზებულია</w:t>
      </w:r>
      <w:r w:rsidRPr="001352AB">
        <w:t xml:space="preserve"> </w:t>
      </w:r>
      <w:r w:rsidRPr="001352AB">
        <w:rPr>
          <w:rFonts w:ascii="Sylfaen" w:hAnsi="Sylfaen" w:cs="Sylfaen"/>
        </w:rPr>
        <w:t>მიმღებ</w:t>
      </w:r>
      <w:r w:rsidRPr="001352AB">
        <w:t xml:space="preserve"> </w:t>
      </w:r>
      <w:r w:rsidRPr="001352AB">
        <w:rPr>
          <w:rFonts w:ascii="Sylfaen" w:hAnsi="Sylfaen" w:cs="Sylfaen"/>
        </w:rPr>
        <w:t>გარემოზე</w:t>
      </w:r>
      <w:r w:rsidRPr="001352AB">
        <w:t xml:space="preserve"> (</w:t>
      </w:r>
      <w:r w:rsidRPr="001352AB">
        <w:rPr>
          <w:rFonts w:ascii="Sylfaen" w:hAnsi="Sylfaen" w:cs="Sylfaen"/>
        </w:rPr>
        <w:t>ზედაპირულ</w:t>
      </w:r>
      <w:r w:rsidRPr="001352AB">
        <w:t xml:space="preserve"> </w:t>
      </w:r>
      <w:r w:rsidRPr="001352AB">
        <w:rPr>
          <w:rFonts w:ascii="Sylfaen" w:hAnsi="Sylfaen" w:cs="Sylfaen"/>
        </w:rPr>
        <w:t>და</w:t>
      </w:r>
      <w:r w:rsidRPr="001352AB">
        <w:t xml:space="preserve"> </w:t>
      </w:r>
      <w:r w:rsidRPr="001352AB">
        <w:rPr>
          <w:rFonts w:ascii="Sylfaen" w:hAnsi="Sylfaen" w:cs="Sylfaen"/>
        </w:rPr>
        <w:t>გრუნტის</w:t>
      </w:r>
      <w:r w:rsidRPr="001352AB">
        <w:t xml:space="preserve"> </w:t>
      </w:r>
      <w:r w:rsidRPr="001352AB">
        <w:rPr>
          <w:rFonts w:ascii="Sylfaen" w:hAnsi="Sylfaen" w:cs="Sylfaen"/>
        </w:rPr>
        <w:t>წყლებზე</w:t>
      </w:r>
      <w:r w:rsidRPr="001352AB">
        <w:t xml:space="preserve">, </w:t>
      </w:r>
      <w:r w:rsidRPr="001352AB">
        <w:rPr>
          <w:rFonts w:ascii="Sylfaen" w:hAnsi="Sylfaen" w:cs="Sylfaen"/>
        </w:rPr>
        <w:t>ნიადაგებზე</w:t>
      </w:r>
      <w:r w:rsidRPr="001352AB">
        <w:t xml:space="preserve">, </w:t>
      </w:r>
      <w:r w:rsidRPr="001352AB">
        <w:rPr>
          <w:rFonts w:ascii="Sylfaen" w:hAnsi="Sylfaen" w:cs="Sylfaen"/>
        </w:rPr>
        <w:t>ატმოსფერულ</w:t>
      </w:r>
      <w:r w:rsidRPr="001352AB">
        <w:t xml:space="preserve"> </w:t>
      </w:r>
      <w:r w:rsidRPr="001352AB">
        <w:rPr>
          <w:rFonts w:ascii="Sylfaen" w:hAnsi="Sylfaen" w:cs="Sylfaen"/>
        </w:rPr>
        <w:t>ჰაერზე</w:t>
      </w:r>
      <w:r w:rsidRPr="001352AB">
        <w:t xml:space="preserve">, </w:t>
      </w:r>
      <w:r w:rsidRPr="001352AB">
        <w:rPr>
          <w:rFonts w:ascii="Sylfaen" w:hAnsi="Sylfaen" w:cs="Sylfaen"/>
        </w:rPr>
        <w:t>ადამიანების</w:t>
      </w:r>
      <w:r w:rsidRPr="001352AB">
        <w:t xml:space="preserve"> </w:t>
      </w:r>
      <w:r w:rsidRPr="001352AB">
        <w:rPr>
          <w:rFonts w:ascii="Sylfaen" w:hAnsi="Sylfaen" w:cs="Sylfaen"/>
        </w:rPr>
        <w:t>დასახლებებზე</w:t>
      </w:r>
      <w:r w:rsidRPr="001352AB">
        <w:t xml:space="preserve">) </w:t>
      </w:r>
      <w:r w:rsidRPr="001352AB">
        <w:rPr>
          <w:rFonts w:ascii="Sylfaen" w:hAnsi="Sylfaen" w:cs="Sylfaen"/>
        </w:rPr>
        <w:t>პოტენციური</w:t>
      </w:r>
      <w:r w:rsidRPr="001352AB">
        <w:t xml:space="preserve"> </w:t>
      </w:r>
      <w:r w:rsidRPr="001352AB">
        <w:rPr>
          <w:rFonts w:ascii="Sylfaen" w:hAnsi="Sylfaen" w:cs="Sylfaen"/>
        </w:rPr>
        <w:t>საზიანო</w:t>
      </w:r>
      <w:r w:rsidRPr="001352AB">
        <w:t xml:space="preserve"> </w:t>
      </w:r>
      <w:r w:rsidRPr="001352AB">
        <w:rPr>
          <w:rFonts w:ascii="Sylfaen" w:hAnsi="Sylfaen" w:cs="Sylfaen"/>
        </w:rPr>
        <w:t>ზემოქმედების</w:t>
      </w:r>
      <w:r w:rsidRPr="001352AB">
        <w:t xml:space="preserve"> </w:t>
      </w:r>
      <w:r w:rsidRPr="001352AB">
        <w:rPr>
          <w:rFonts w:ascii="Sylfaen" w:hAnsi="Sylfaen" w:cs="Sylfaen"/>
        </w:rPr>
        <w:t>თავიდან</w:t>
      </w:r>
      <w:r w:rsidRPr="001352AB">
        <w:t xml:space="preserve"> </w:t>
      </w:r>
      <w:r w:rsidRPr="001352AB">
        <w:rPr>
          <w:rFonts w:ascii="Sylfaen" w:hAnsi="Sylfaen" w:cs="Sylfaen"/>
        </w:rPr>
        <w:t>ასაცილებლად</w:t>
      </w:r>
      <w:r w:rsidRPr="001352AB">
        <w:t>;</w:t>
      </w:r>
    </w:p>
    <w:p w14:paraId="0AB8E582" w14:textId="77777777" w:rsidR="00CD64B5" w:rsidRPr="001352AB" w:rsidRDefault="00CD64B5" w:rsidP="000E38C6">
      <w:pPr>
        <w:spacing w:before="120" w:after="120"/>
      </w:pPr>
      <w:r w:rsidRPr="001352AB">
        <w:rPr>
          <w:rFonts w:ascii="Sylfaen" w:hAnsi="Sylfaen" w:cs="Sylfaen"/>
        </w:rPr>
        <w:t>ნარჩენების</w:t>
      </w:r>
      <w:r w:rsidRPr="001352AB">
        <w:t xml:space="preserve"> </w:t>
      </w:r>
      <w:r w:rsidRPr="001352AB">
        <w:rPr>
          <w:rFonts w:ascii="Sylfaen" w:hAnsi="Sylfaen" w:cs="Sylfaen"/>
        </w:rPr>
        <w:t>მართვის</w:t>
      </w:r>
      <w:r w:rsidRPr="001352AB">
        <w:t xml:space="preserve"> </w:t>
      </w:r>
      <w:r w:rsidRPr="001352AB">
        <w:rPr>
          <w:rFonts w:ascii="Sylfaen" w:hAnsi="Sylfaen" w:cs="Sylfaen"/>
        </w:rPr>
        <w:t>გეგმა</w:t>
      </w:r>
      <w:r w:rsidRPr="001352AB">
        <w:t xml:space="preserve">, </w:t>
      </w:r>
      <w:r w:rsidRPr="001352AB">
        <w:rPr>
          <w:rFonts w:ascii="Sylfaen" w:hAnsi="Sylfaen" w:cs="Sylfaen"/>
        </w:rPr>
        <w:t>რომელშიც</w:t>
      </w:r>
      <w:r w:rsidRPr="001352AB">
        <w:t xml:space="preserve"> </w:t>
      </w:r>
      <w:r w:rsidRPr="001352AB">
        <w:rPr>
          <w:rFonts w:ascii="Sylfaen" w:hAnsi="Sylfaen" w:cs="Sylfaen"/>
        </w:rPr>
        <w:t>შედის</w:t>
      </w:r>
      <w:r w:rsidRPr="001352AB">
        <w:t xml:space="preserve"> </w:t>
      </w:r>
      <w:r w:rsidRPr="001352AB">
        <w:rPr>
          <w:rFonts w:ascii="Sylfaen" w:hAnsi="Sylfaen" w:cs="Sylfaen"/>
        </w:rPr>
        <w:t>სანაგვე</w:t>
      </w:r>
      <w:r w:rsidRPr="001352AB">
        <w:t xml:space="preserve"> </w:t>
      </w:r>
      <w:r w:rsidRPr="001352AB">
        <w:rPr>
          <w:rFonts w:ascii="Sylfaen" w:hAnsi="Sylfaen" w:cs="Sylfaen"/>
        </w:rPr>
        <w:t>ურნების</w:t>
      </w:r>
      <w:r w:rsidRPr="001352AB">
        <w:t xml:space="preserve"> </w:t>
      </w:r>
      <w:r w:rsidRPr="001352AB">
        <w:rPr>
          <w:rFonts w:ascii="Sylfaen" w:hAnsi="Sylfaen" w:cs="Sylfaen"/>
        </w:rPr>
        <w:t>უზრუნველყოფა</w:t>
      </w:r>
      <w:r w:rsidRPr="001352AB">
        <w:t xml:space="preserve">, </w:t>
      </w:r>
      <w:r w:rsidRPr="001352AB">
        <w:rPr>
          <w:rFonts w:ascii="Sylfaen" w:hAnsi="Sylfaen" w:cs="Sylfaen"/>
        </w:rPr>
        <w:t>ნარჩენების</w:t>
      </w:r>
      <w:r w:rsidRPr="001352AB">
        <w:t xml:space="preserve"> </w:t>
      </w:r>
      <w:r w:rsidRPr="001352AB">
        <w:rPr>
          <w:rFonts w:ascii="Sylfaen" w:hAnsi="Sylfaen" w:cs="Sylfaen"/>
        </w:rPr>
        <w:t>რეგულარულად</w:t>
      </w:r>
      <w:r w:rsidRPr="001352AB">
        <w:t xml:space="preserve"> </w:t>
      </w:r>
      <w:r w:rsidRPr="001352AB">
        <w:rPr>
          <w:rFonts w:ascii="Sylfaen" w:hAnsi="Sylfaen" w:cs="Sylfaen"/>
        </w:rPr>
        <w:t>შეგროვება</w:t>
      </w:r>
      <w:r w:rsidRPr="001352AB">
        <w:t xml:space="preserve"> </w:t>
      </w:r>
      <w:r w:rsidRPr="001352AB">
        <w:rPr>
          <w:rFonts w:ascii="Sylfaen" w:hAnsi="Sylfaen" w:cs="Sylfaen"/>
        </w:rPr>
        <w:t>და</w:t>
      </w:r>
      <w:r w:rsidRPr="001352AB">
        <w:t xml:space="preserve"> </w:t>
      </w:r>
      <w:r w:rsidRPr="001352AB">
        <w:rPr>
          <w:rFonts w:ascii="Sylfaen" w:hAnsi="Sylfaen" w:cs="Sylfaen"/>
        </w:rPr>
        <w:t>გადაყრა</w:t>
      </w:r>
      <w:r w:rsidRPr="001352AB">
        <w:t xml:space="preserve"> </w:t>
      </w:r>
      <w:r w:rsidRPr="001352AB">
        <w:rPr>
          <w:rFonts w:ascii="Sylfaen" w:hAnsi="Sylfaen" w:cs="Sylfaen"/>
        </w:rPr>
        <w:t>ჰიგიენური</w:t>
      </w:r>
      <w:r w:rsidRPr="001352AB">
        <w:t xml:space="preserve"> </w:t>
      </w:r>
      <w:r w:rsidRPr="001352AB">
        <w:rPr>
          <w:rFonts w:ascii="Sylfaen" w:hAnsi="Sylfaen" w:cs="Sylfaen"/>
        </w:rPr>
        <w:t>ნორმების</w:t>
      </w:r>
      <w:r w:rsidRPr="001352AB">
        <w:t xml:space="preserve"> </w:t>
      </w:r>
      <w:r w:rsidRPr="001352AB">
        <w:rPr>
          <w:rFonts w:ascii="Sylfaen" w:hAnsi="Sylfaen" w:cs="Sylfaen"/>
        </w:rPr>
        <w:t>დაცვით</w:t>
      </w:r>
      <w:r w:rsidRPr="001352AB">
        <w:t xml:space="preserve">, </w:t>
      </w:r>
      <w:r w:rsidRPr="001352AB">
        <w:rPr>
          <w:rFonts w:ascii="Sylfaen" w:hAnsi="Sylfaen" w:cs="Sylfaen"/>
        </w:rPr>
        <w:t>ასევე</w:t>
      </w:r>
      <w:r w:rsidRPr="001352AB">
        <w:t xml:space="preserve"> </w:t>
      </w:r>
      <w:r w:rsidRPr="001352AB">
        <w:rPr>
          <w:rFonts w:ascii="Sylfaen" w:hAnsi="Sylfaen" w:cs="Sylfaen"/>
        </w:rPr>
        <w:t>იმის</w:t>
      </w:r>
      <w:r w:rsidRPr="001352AB">
        <w:t xml:space="preserve"> </w:t>
      </w:r>
      <w:r w:rsidRPr="001352AB">
        <w:rPr>
          <w:rFonts w:ascii="Sylfaen" w:hAnsi="Sylfaen" w:cs="Sylfaen"/>
        </w:rPr>
        <w:t>უზრუნველყოფა</w:t>
      </w:r>
      <w:r w:rsidRPr="001352AB">
        <w:t xml:space="preserve">, </w:t>
      </w:r>
      <w:r w:rsidRPr="001352AB">
        <w:rPr>
          <w:rFonts w:ascii="Sylfaen" w:hAnsi="Sylfaen" w:cs="Sylfaen"/>
        </w:rPr>
        <w:t>რომ</w:t>
      </w:r>
      <w:r w:rsidRPr="001352AB">
        <w:t xml:space="preserve"> </w:t>
      </w:r>
      <w:r w:rsidRPr="001352AB">
        <w:rPr>
          <w:rFonts w:ascii="Sylfaen" w:hAnsi="Sylfaen" w:cs="Sylfaen"/>
        </w:rPr>
        <w:t>სხვადასხვა</w:t>
      </w:r>
      <w:r w:rsidRPr="001352AB">
        <w:t xml:space="preserve"> </w:t>
      </w:r>
      <w:r w:rsidRPr="001352AB">
        <w:rPr>
          <w:rFonts w:ascii="Sylfaen" w:hAnsi="Sylfaen" w:cs="Sylfaen"/>
        </w:rPr>
        <w:t>ტიპის</w:t>
      </w:r>
      <w:r w:rsidRPr="001352AB">
        <w:t xml:space="preserve"> </w:t>
      </w:r>
      <w:r w:rsidRPr="001352AB">
        <w:rPr>
          <w:rFonts w:ascii="Sylfaen" w:hAnsi="Sylfaen" w:cs="Sylfaen"/>
        </w:rPr>
        <w:t>ნარჩენების</w:t>
      </w:r>
      <w:r w:rsidRPr="001352AB">
        <w:t xml:space="preserve"> (</w:t>
      </w:r>
      <w:r w:rsidRPr="001352AB">
        <w:rPr>
          <w:rFonts w:ascii="Sylfaen" w:hAnsi="Sylfaen" w:cs="Sylfaen"/>
        </w:rPr>
        <w:t>მაგ</w:t>
      </w:r>
      <w:r w:rsidRPr="001352AB">
        <w:t xml:space="preserve">., </w:t>
      </w:r>
      <w:r w:rsidRPr="001352AB">
        <w:rPr>
          <w:rFonts w:ascii="Sylfaen" w:hAnsi="Sylfaen" w:cs="Sylfaen"/>
        </w:rPr>
        <w:t>საყოფაცხოვრებო</w:t>
      </w:r>
      <w:r w:rsidRPr="001352AB">
        <w:t xml:space="preserve"> </w:t>
      </w:r>
      <w:r w:rsidRPr="001352AB">
        <w:rPr>
          <w:rFonts w:ascii="Sylfaen" w:hAnsi="Sylfaen" w:cs="Sylfaen"/>
        </w:rPr>
        <w:t>ნარჩენი</w:t>
      </w:r>
      <w:r w:rsidRPr="001352AB">
        <w:t xml:space="preserve">, </w:t>
      </w:r>
      <w:r w:rsidRPr="001352AB">
        <w:rPr>
          <w:rFonts w:ascii="Sylfaen" w:hAnsi="Sylfaen" w:cs="Sylfaen"/>
        </w:rPr>
        <w:t>ნახმარი</w:t>
      </w:r>
      <w:r w:rsidRPr="001352AB">
        <w:t xml:space="preserve"> </w:t>
      </w:r>
      <w:r w:rsidRPr="001352AB">
        <w:rPr>
          <w:rFonts w:ascii="Sylfaen" w:hAnsi="Sylfaen" w:cs="Sylfaen"/>
        </w:rPr>
        <w:t>საბურავები</w:t>
      </w:r>
      <w:r w:rsidRPr="001352AB">
        <w:t xml:space="preserve"> </w:t>
      </w:r>
      <w:r w:rsidRPr="001352AB">
        <w:rPr>
          <w:rFonts w:ascii="Sylfaen" w:hAnsi="Sylfaen" w:cs="Sylfaen"/>
        </w:rPr>
        <w:t>და</w:t>
      </w:r>
      <w:r w:rsidRPr="001352AB">
        <w:t xml:space="preserve"> </w:t>
      </w:r>
      <w:r w:rsidRPr="001352AB">
        <w:rPr>
          <w:rFonts w:ascii="Sylfaen" w:hAnsi="Sylfaen" w:cs="Sylfaen"/>
        </w:rPr>
        <w:t>სხვ</w:t>
      </w:r>
      <w:r w:rsidRPr="001352AB">
        <w:t xml:space="preserve">.) </w:t>
      </w:r>
      <w:r w:rsidRPr="001352AB">
        <w:rPr>
          <w:rFonts w:ascii="Sylfaen" w:hAnsi="Sylfaen" w:cs="Sylfaen"/>
        </w:rPr>
        <w:t>განთავსების</w:t>
      </w:r>
      <w:r w:rsidRPr="001352AB">
        <w:t xml:space="preserve"> </w:t>
      </w:r>
      <w:r w:rsidRPr="001352AB">
        <w:rPr>
          <w:rFonts w:ascii="Sylfaen" w:hAnsi="Sylfaen" w:cs="Sylfaen"/>
        </w:rPr>
        <w:t>შემოთავაზებული</w:t>
      </w:r>
      <w:r w:rsidRPr="001352AB">
        <w:t xml:space="preserve"> </w:t>
      </w:r>
      <w:r w:rsidRPr="001352AB">
        <w:rPr>
          <w:rFonts w:ascii="Sylfaen" w:hAnsi="Sylfaen" w:cs="Sylfaen"/>
        </w:rPr>
        <w:t>უბნები</w:t>
      </w:r>
      <w:r w:rsidRPr="001352AB">
        <w:t xml:space="preserve"> </w:t>
      </w:r>
      <w:r w:rsidRPr="001352AB">
        <w:rPr>
          <w:rFonts w:ascii="Sylfaen" w:hAnsi="Sylfaen" w:cs="Sylfaen"/>
        </w:rPr>
        <w:t>აკმაყოფილებდეს</w:t>
      </w:r>
      <w:r w:rsidRPr="001352AB">
        <w:t xml:space="preserve"> </w:t>
      </w:r>
      <w:r w:rsidRPr="001352AB">
        <w:rPr>
          <w:rFonts w:ascii="Sylfaen" w:hAnsi="Sylfaen" w:cs="Sylfaen"/>
        </w:rPr>
        <w:t>მოქმედ</w:t>
      </w:r>
      <w:r w:rsidRPr="001352AB">
        <w:t xml:space="preserve"> </w:t>
      </w:r>
      <w:r w:rsidRPr="001352AB">
        <w:rPr>
          <w:rFonts w:ascii="Sylfaen" w:hAnsi="Sylfaen" w:cs="Sylfaen"/>
        </w:rPr>
        <w:t>ეროვნულ</w:t>
      </w:r>
      <w:r w:rsidRPr="001352AB">
        <w:t xml:space="preserve"> </w:t>
      </w:r>
      <w:r w:rsidRPr="001352AB">
        <w:rPr>
          <w:rFonts w:ascii="Sylfaen" w:hAnsi="Sylfaen" w:cs="Sylfaen"/>
        </w:rPr>
        <w:t>რეგულაციებს</w:t>
      </w:r>
      <w:r w:rsidRPr="001352AB">
        <w:t xml:space="preserve"> </w:t>
      </w:r>
      <w:r w:rsidRPr="001352AB">
        <w:rPr>
          <w:rFonts w:ascii="Sylfaen" w:hAnsi="Sylfaen" w:cs="Sylfaen"/>
        </w:rPr>
        <w:t>და</w:t>
      </w:r>
      <w:r w:rsidRPr="001352AB">
        <w:t xml:space="preserve"> </w:t>
      </w:r>
    </w:p>
    <w:p w14:paraId="72496133" w14:textId="77777777" w:rsidR="00CD64B5" w:rsidRPr="001352AB" w:rsidRDefault="00CD64B5" w:rsidP="000E38C6">
      <w:pPr>
        <w:spacing w:before="120" w:after="120"/>
      </w:pPr>
      <w:r w:rsidRPr="001352AB">
        <w:rPr>
          <w:rFonts w:ascii="Sylfaen" w:hAnsi="Sylfaen" w:cs="Sylfaen"/>
        </w:rPr>
        <w:t>აღჭურვილობის</w:t>
      </w:r>
      <w:r w:rsidRPr="001352AB">
        <w:t xml:space="preserve"> </w:t>
      </w:r>
      <w:r w:rsidRPr="001352AB">
        <w:rPr>
          <w:rFonts w:ascii="Sylfaen" w:hAnsi="Sylfaen" w:cs="Sylfaen"/>
        </w:rPr>
        <w:t>ტექნიკური</w:t>
      </w:r>
      <w:r w:rsidRPr="001352AB">
        <w:t xml:space="preserve"> </w:t>
      </w:r>
      <w:r w:rsidRPr="001352AB">
        <w:rPr>
          <w:rFonts w:ascii="Sylfaen" w:hAnsi="Sylfaen" w:cs="Sylfaen"/>
        </w:rPr>
        <w:t>მომსახურების</w:t>
      </w:r>
      <w:r w:rsidRPr="001352AB">
        <w:t xml:space="preserve"> </w:t>
      </w:r>
      <w:r w:rsidRPr="001352AB">
        <w:rPr>
          <w:rFonts w:ascii="Sylfaen" w:hAnsi="Sylfaen" w:cs="Sylfaen"/>
        </w:rPr>
        <w:t>უბნებისა</w:t>
      </w:r>
      <w:r w:rsidRPr="001352AB">
        <w:t xml:space="preserve"> </w:t>
      </w:r>
      <w:r w:rsidRPr="001352AB">
        <w:rPr>
          <w:rFonts w:ascii="Sylfaen" w:hAnsi="Sylfaen" w:cs="Sylfaen"/>
        </w:rPr>
        <w:t>და</w:t>
      </w:r>
      <w:r w:rsidRPr="001352AB">
        <w:t xml:space="preserve"> </w:t>
      </w:r>
      <w:r w:rsidRPr="001352AB">
        <w:rPr>
          <w:rFonts w:ascii="Sylfaen" w:hAnsi="Sylfaen" w:cs="Sylfaen"/>
        </w:rPr>
        <w:t>ზეთებისა</w:t>
      </w:r>
      <w:r w:rsidRPr="001352AB">
        <w:t xml:space="preserve"> </w:t>
      </w:r>
      <w:r w:rsidRPr="001352AB">
        <w:rPr>
          <w:rFonts w:ascii="Sylfaen" w:hAnsi="Sylfaen" w:cs="Sylfaen"/>
        </w:rPr>
        <w:t>და</w:t>
      </w:r>
      <w:r w:rsidRPr="001352AB">
        <w:t xml:space="preserve"> </w:t>
      </w:r>
      <w:r w:rsidRPr="001352AB">
        <w:rPr>
          <w:rFonts w:ascii="Sylfaen" w:hAnsi="Sylfaen" w:cs="Sylfaen"/>
        </w:rPr>
        <w:t>საზეთ</w:t>
      </w:r>
      <w:r w:rsidRPr="001352AB">
        <w:t>-</w:t>
      </w:r>
      <w:r w:rsidRPr="001352AB">
        <w:rPr>
          <w:rFonts w:ascii="Sylfaen" w:hAnsi="Sylfaen" w:cs="Sylfaen"/>
        </w:rPr>
        <w:t>საპოხი</w:t>
      </w:r>
      <w:r w:rsidRPr="001352AB">
        <w:t xml:space="preserve">  </w:t>
      </w:r>
      <w:r w:rsidRPr="001352AB">
        <w:rPr>
          <w:rFonts w:ascii="Sylfaen" w:hAnsi="Sylfaen" w:cs="Sylfaen"/>
        </w:rPr>
        <w:t>მასალების</w:t>
      </w:r>
      <w:r w:rsidRPr="001352AB">
        <w:t xml:space="preserve"> </w:t>
      </w:r>
      <w:r w:rsidRPr="001352AB">
        <w:rPr>
          <w:rFonts w:ascii="Sylfaen" w:hAnsi="Sylfaen" w:cs="Sylfaen"/>
        </w:rPr>
        <w:t>დასაწყობების</w:t>
      </w:r>
      <w:r w:rsidRPr="001352AB">
        <w:t xml:space="preserve"> </w:t>
      </w:r>
      <w:r w:rsidRPr="001352AB">
        <w:rPr>
          <w:rFonts w:ascii="Sylfaen" w:hAnsi="Sylfaen" w:cs="Sylfaen"/>
        </w:rPr>
        <w:t>უბნების</w:t>
      </w:r>
      <w:r w:rsidRPr="001352AB">
        <w:t xml:space="preserve"> </w:t>
      </w:r>
      <w:r w:rsidRPr="001352AB">
        <w:rPr>
          <w:rFonts w:ascii="Sylfaen" w:hAnsi="Sylfaen" w:cs="Sylfaen"/>
        </w:rPr>
        <w:t>აღწერილობა</w:t>
      </w:r>
      <w:r w:rsidRPr="001352AB">
        <w:t xml:space="preserve"> </w:t>
      </w:r>
      <w:r w:rsidRPr="001352AB">
        <w:rPr>
          <w:rFonts w:ascii="Sylfaen" w:hAnsi="Sylfaen" w:cs="Sylfaen"/>
        </w:rPr>
        <w:t>და</w:t>
      </w:r>
      <w:r w:rsidRPr="001352AB">
        <w:t xml:space="preserve"> </w:t>
      </w:r>
      <w:r w:rsidRPr="001352AB">
        <w:rPr>
          <w:rFonts w:ascii="Sylfaen" w:hAnsi="Sylfaen" w:cs="Sylfaen"/>
        </w:rPr>
        <w:t>გეგმა</w:t>
      </w:r>
      <w:r w:rsidRPr="001352AB">
        <w:t xml:space="preserve">, </w:t>
      </w:r>
      <w:r w:rsidRPr="001352AB">
        <w:rPr>
          <w:rFonts w:ascii="Sylfaen" w:hAnsi="Sylfaen" w:cs="Sylfaen"/>
        </w:rPr>
        <w:t>უახლოეს</w:t>
      </w:r>
      <w:r w:rsidRPr="001352AB">
        <w:t xml:space="preserve"> </w:t>
      </w:r>
      <w:r w:rsidRPr="001352AB">
        <w:rPr>
          <w:rFonts w:ascii="Sylfaen" w:hAnsi="Sylfaen" w:cs="Sylfaen"/>
        </w:rPr>
        <w:t>წყალსატევამდე</w:t>
      </w:r>
      <w:r w:rsidRPr="001352AB">
        <w:t xml:space="preserve"> </w:t>
      </w:r>
      <w:r w:rsidRPr="001352AB">
        <w:rPr>
          <w:rFonts w:ascii="Sylfaen" w:hAnsi="Sylfaen" w:cs="Sylfaen"/>
        </w:rPr>
        <w:t>მანძილის</w:t>
      </w:r>
      <w:r w:rsidRPr="001352AB">
        <w:t xml:space="preserve"> </w:t>
      </w:r>
      <w:r w:rsidRPr="001352AB">
        <w:rPr>
          <w:rFonts w:ascii="Sylfaen" w:hAnsi="Sylfaen" w:cs="Sylfaen"/>
        </w:rPr>
        <w:t>მითითებით</w:t>
      </w:r>
      <w:r w:rsidRPr="001352AB">
        <w:t xml:space="preserve">. </w:t>
      </w:r>
      <w:r w:rsidRPr="001352AB">
        <w:rPr>
          <w:rFonts w:ascii="Sylfaen" w:hAnsi="Sylfaen" w:cs="Sylfaen"/>
        </w:rPr>
        <w:t>საწვავისა</w:t>
      </w:r>
      <w:r w:rsidRPr="001352AB">
        <w:t xml:space="preserve"> </w:t>
      </w:r>
      <w:r w:rsidRPr="001352AB">
        <w:rPr>
          <w:rFonts w:ascii="Sylfaen" w:hAnsi="Sylfaen" w:cs="Sylfaen"/>
        </w:rPr>
        <w:t>და</w:t>
      </w:r>
      <w:r w:rsidRPr="001352AB">
        <w:t xml:space="preserve"> </w:t>
      </w:r>
      <w:r w:rsidRPr="001352AB">
        <w:rPr>
          <w:rFonts w:ascii="Sylfaen" w:hAnsi="Sylfaen" w:cs="Sylfaen"/>
        </w:rPr>
        <w:t>ქიმიური</w:t>
      </w:r>
      <w:r w:rsidRPr="001352AB">
        <w:t xml:space="preserve"> </w:t>
      </w:r>
      <w:r w:rsidRPr="001352AB">
        <w:rPr>
          <w:rFonts w:ascii="Sylfaen" w:hAnsi="Sylfaen" w:cs="Sylfaen"/>
        </w:rPr>
        <w:t>ნივთიერებების</w:t>
      </w:r>
      <w:r w:rsidRPr="001352AB">
        <w:t xml:space="preserve"> </w:t>
      </w:r>
      <w:r w:rsidRPr="001352AB">
        <w:rPr>
          <w:rFonts w:ascii="Sylfaen" w:hAnsi="Sylfaen" w:cs="Sylfaen"/>
        </w:rPr>
        <w:t>დასაწყობების</w:t>
      </w:r>
      <w:r w:rsidRPr="001352AB">
        <w:t xml:space="preserve"> </w:t>
      </w:r>
      <w:r w:rsidRPr="001352AB">
        <w:rPr>
          <w:rFonts w:ascii="Sylfaen" w:hAnsi="Sylfaen" w:cs="Sylfaen"/>
        </w:rPr>
        <w:t>უბნები</w:t>
      </w:r>
      <w:r w:rsidRPr="001352AB">
        <w:t xml:space="preserve"> </w:t>
      </w:r>
      <w:r w:rsidRPr="001352AB">
        <w:rPr>
          <w:rFonts w:ascii="Sylfaen" w:hAnsi="Sylfaen" w:cs="Sylfaen"/>
        </w:rPr>
        <w:t>წყალსატევებიდან</w:t>
      </w:r>
      <w:r w:rsidRPr="001352AB">
        <w:t xml:space="preserve"> </w:t>
      </w:r>
      <w:r w:rsidRPr="001352AB">
        <w:rPr>
          <w:rFonts w:ascii="Sylfaen" w:hAnsi="Sylfaen" w:cs="Sylfaen"/>
        </w:rPr>
        <w:t>უსაფრთხო</w:t>
      </w:r>
      <w:r w:rsidRPr="001352AB">
        <w:t xml:space="preserve"> </w:t>
      </w:r>
      <w:r w:rsidRPr="001352AB">
        <w:rPr>
          <w:rFonts w:ascii="Sylfaen" w:hAnsi="Sylfaen" w:cs="Sylfaen"/>
        </w:rPr>
        <w:t>მანძილზე</w:t>
      </w:r>
      <w:r w:rsidRPr="001352AB">
        <w:t xml:space="preserve"> </w:t>
      </w:r>
      <w:r w:rsidRPr="001352AB">
        <w:rPr>
          <w:rFonts w:ascii="Sylfaen" w:hAnsi="Sylfaen" w:cs="Sylfaen"/>
        </w:rPr>
        <w:t>უნდა</w:t>
      </w:r>
      <w:r w:rsidRPr="001352AB">
        <w:t xml:space="preserve"> </w:t>
      </w:r>
      <w:r w:rsidRPr="001352AB">
        <w:rPr>
          <w:rFonts w:ascii="Sylfaen" w:hAnsi="Sylfaen" w:cs="Sylfaen"/>
        </w:rPr>
        <w:t>მდებარეობდეს</w:t>
      </w:r>
      <w:r w:rsidRPr="001352AB">
        <w:t xml:space="preserve">. </w:t>
      </w:r>
      <w:r w:rsidRPr="001352AB">
        <w:rPr>
          <w:rFonts w:ascii="Sylfaen" w:hAnsi="Sylfaen" w:cs="Sylfaen"/>
        </w:rPr>
        <w:t>ეს</w:t>
      </w:r>
      <w:r w:rsidRPr="001352AB">
        <w:t xml:space="preserve"> </w:t>
      </w:r>
      <w:r w:rsidRPr="001352AB">
        <w:rPr>
          <w:rFonts w:ascii="Sylfaen" w:hAnsi="Sylfaen" w:cs="Sylfaen"/>
        </w:rPr>
        <w:t>უბნები</w:t>
      </w:r>
      <w:r w:rsidRPr="001352AB">
        <w:t xml:space="preserve"> </w:t>
      </w:r>
      <w:r w:rsidRPr="001352AB">
        <w:rPr>
          <w:rFonts w:ascii="Sylfaen" w:hAnsi="Sylfaen" w:cs="Sylfaen"/>
        </w:rPr>
        <w:t>უნდა</w:t>
      </w:r>
      <w:r w:rsidRPr="001352AB">
        <w:t xml:space="preserve"> </w:t>
      </w:r>
      <w:r w:rsidRPr="001352AB">
        <w:rPr>
          <w:rFonts w:ascii="Sylfaen" w:hAnsi="Sylfaen" w:cs="Sylfaen"/>
        </w:rPr>
        <w:t>იყოს</w:t>
      </w:r>
      <w:r w:rsidRPr="001352AB">
        <w:t xml:space="preserve"> </w:t>
      </w:r>
      <w:r w:rsidRPr="001352AB">
        <w:rPr>
          <w:rFonts w:ascii="Sylfaen" w:hAnsi="Sylfaen" w:cs="Sylfaen"/>
        </w:rPr>
        <w:t>შემოფარგლული</w:t>
      </w:r>
      <w:r w:rsidRPr="001352AB">
        <w:t xml:space="preserve"> </w:t>
      </w:r>
      <w:r w:rsidRPr="001352AB">
        <w:rPr>
          <w:rFonts w:ascii="Sylfaen" w:hAnsi="Sylfaen" w:cs="Sylfaen"/>
        </w:rPr>
        <w:t>და</w:t>
      </w:r>
      <w:r w:rsidRPr="001352AB">
        <w:t xml:space="preserve"> </w:t>
      </w:r>
      <w:r w:rsidRPr="001352AB">
        <w:rPr>
          <w:rFonts w:ascii="Sylfaen" w:hAnsi="Sylfaen" w:cs="Sylfaen"/>
        </w:rPr>
        <w:t>უნდა</w:t>
      </w:r>
      <w:r w:rsidRPr="001352AB">
        <w:t xml:space="preserve"> </w:t>
      </w:r>
      <w:r w:rsidRPr="001352AB">
        <w:rPr>
          <w:rFonts w:ascii="Sylfaen" w:hAnsi="Sylfaen" w:cs="Sylfaen"/>
        </w:rPr>
        <w:t>ჰქონდეთ</w:t>
      </w:r>
      <w:r w:rsidRPr="001352AB">
        <w:t xml:space="preserve"> </w:t>
      </w:r>
      <w:r w:rsidRPr="001352AB">
        <w:rPr>
          <w:rFonts w:ascii="Sylfaen" w:hAnsi="Sylfaen" w:cs="Sylfaen"/>
        </w:rPr>
        <w:t>ჰერმეტული</w:t>
      </w:r>
      <w:r w:rsidRPr="001352AB">
        <w:t xml:space="preserve"> </w:t>
      </w:r>
      <w:r w:rsidRPr="001352AB">
        <w:rPr>
          <w:rFonts w:ascii="Sylfaen" w:hAnsi="Sylfaen" w:cs="Sylfaen"/>
        </w:rPr>
        <w:t>იზოლაცია</w:t>
      </w:r>
      <w:r w:rsidRPr="001352AB">
        <w:t xml:space="preserve"> </w:t>
      </w:r>
      <w:r w:rsidRPr="001352AB">
        <w:rPr>
          <w:rFonts w:ascii="Sylfaen" w:hAnsi="Sylfaen" w:cs="Sylfaen"/>
        </w:rPr>
        <w:t>დაღვრილი</w:t>
      </w:r>
      <w:r w:rsidRPr="001352AB">
        <w:t xml:space="preserve"> </w:t>
      </w:r>
      <w:r w:rsidRPr="001352AB">
        <w:rPr>
          <w:rFonts w:ascii="Sylfaen" w:hAnsi="Sylfaen" w:cs="Sylfaen"/>
        </w:rPr>
        <w:t>მასალის</w:t>
      </w:r>
      <w:r w:rsidRPr="001352AB">
        <w:t xml:space="preserve"> </w:t>
      </w:r>
      <w:r w:rsidRPr="001352AB">
        <w:rPr>
          <w:rFonts w:ascii="Sylfaen" w:hAnsi="Sylfaen" w:cs="Sylfaen"/>
        </w:rPr>
        <w:t>შესაკავებლად</w:t>
      </w:r>
      <w:r w:rsidRPr="001352AB">
        <w:t xml:space="preserve"> </w:t>
      </w:r>
      <w:r w:rsidRPr="001352AB">
        <w:rPr>
          <w:rFonts w:ascii="Sylfaen" w:hAnsi="Sylfaen" w:cs="Sylfaen"/>
        </w:rPr>
        <w:t>და</w:t>
      </w:r>
      <w:r w:rsidRPr="001352AB">
        <w:t xml:space="preserve"> </w:t>
      </w:r>
      <w:r w:rsidRPr="001352AB">
        <w:rPr>
          <w:rFonts w:ascii="Sylfaen" w:hAnsi="Sylfaen" w:cs="Sylfaen"/>
        </w:rPr>
        <w:t>ნიადაგისა</w:t>
      </w:r>
      <w:r w:rsidRPr="001352AB">
        <w:t xml:space="preserve"> </w:t>
      </w:r>
      <w:r w:rsidRPr="001352AB">
        <w:rPr>
          <w:rFonts w:ascii="Sylfaen" w:hAnsi="Sylfaen" w:cs="Sylfaen"/>
        </w:rPr>
        <w:t>და</w:t>
      </w:r>
      <w:r w:rsidRPr="001352AB">
        <w:t xml:space="preserve"> </w:t>
      </w:r>
      <w:r w:rsidRPr="001352AB">
        <w:rPr>
          <w:rFonts w:ascii="Sylfaen" w:hAnsi="Sylfaen" w:cs="Sylfaen"/>
        </w:rPr>
        <w:t>წყლის</w:t>
      </w:r>
      <w:r w:rsidRPr="001352AB">
        <w:t xml:space="preserve"> </w:t>
      </w:r>
      <w:r w:rsidRPr="001352AB">
        <w:rPr>
          <w:rFonts w:ascii="Sylfaen" w:hAnsi="Sylfaen" w:cs="Sylfaen"/>
        </w:rPr>
        <w:t>დაბინძურებისგან</w:t>
      </w:r>
      <w:r w:rsidRPr="001352AB">
        <w:t xml:space="preserve"> </w:t>
      </w:r>
      <w:r w:rsidRPr="001352AB">
        <w:rPr>
          <w:rFonts w:ascii="Sylfaen" w:hAnsi="Sylfaen" w:cs="Sylfaen"/>
        </w:rPr>
        <w:t>დასაცავად</w:t>
      </w:r>
      <w:r w:rsidRPr="001352AB">
        <w:t xml:space="preserve">; </w:t>
      </w:r>
    </w:p>
    <w:p w14:paraId="0422CB7B" w14:textId="77777777" w:rsidR="00CD64B5" w:rsidRPr="001352AB" w:rsidRDefault="00CD64B5" w:rsidP="000E38C6">
      <w:pPr>
        <w:spacing w:before="120" w:after="120"/>
      </w:pPr>
      <w:r w:rsidRPr="001352AB">
        <w:rPr>
          <w:rFonts w:ascii="Sylfaen" w:hAnsi="Sylfaen" w:cs="Sylfaen"/>
        </w:rPr>
        <w:t>თემის</w:t>
      </w:r>
      <w:r w:rsidRPr="001352AB">
        <w:t xml:space="preserve"> </w:t>
      </w:r>
      <w:r w:rsidRPr="001352AB">
        <w:rPr>
          <w:rFonts w:ascii="Sylfaen" w:hAnsi="Sylfaen" w:cs="Sylfaen"/>
        </w:rPr>
        <w:t>განვითარება</w:t>
      </w:r>
      <w:r w:rsidRPr="001352AB">
        <w:t xml:space="preserve"> - </w:t>
      </w:r>
      <w:r w:rsidRPr="001352AB">
        <w:rPr>
          <w:rFonts w:ascii="Sylfaen" w:hAnsi="Sylfaen" w:cs="Sylfaen"/>
        </w:rPr>
        <w:t>მუშების</w:t>
      </w:r>
      <w:r w:rsidRPr="001352AB">
        <w:t xml:space="preserve"> </w:t>
      </w:r>
      <w:r w:rsidRPr="001352AB">
        <w:rPr>
          <w:rFonts w:ascii="Sylfaen" w:hAnsi="Sylfaen" w:cs="Sylfaen"/>
        </w:rPr>
        <w:t>ბანაკის</w:t>
      </w:r>
      <w:r w:rsidRPr="001352AB">
        <w:t xml:space="preserve"> </w:t>
      </w:r>
      <w:r w:rsidRPr="001352AB">
        <w:rPr>
          <w:rFonts w:ascii="Sylfaen" w:hAnsi="Sylfaen" w:cs="Sylfaen"/>
        </w:rPr>
        <w:t>ზემოქმედება</w:t>
      </w:r>
      <w:r w:rsidRPr="001352AB">
        <w:t xml:space="preserve"> </w:t>
      </w:r>
      <w:r w:rsidRPr="001352AB">
        <w:rPr>
          <w:rFonts w:ascii="Sylfaen" w:hAnsi="Sylfaen" w:cs="Sylfaen"/>
        </w:rPr>
        <w:t>ადგილობრივ</w:t>
      </w:r>
      <w:r w:rsidRPr="001352AB">
        <w:t xml:space="preserve"> </w:t>
      </w:r>
      <w:r w:rsidRPr="001352AB">
        <w:rPr>
          <w:rFonts w:ascii="Sylfaen" w:hAnsi="Sylfaen" w:cs="Sylfaen"/>
        </w:rPr>
        <w:t>დასაქმებაზე</w:t>
      </w:r>
      <w:r w:rsidRPr="001352AB">
        <w:t xml:space="preserve">, </w:t>
      </w:r>
      <w:r w:rsidRPr="001352AB">
        <w:rPr>
          <w:rFonts w:ascii="Sylfaen" w:hAnsi="Sylfaen" w:cs="Sylfaen"/>
        </w:rPr>
        <w:t>ადგილობრივი</w:t>
      </w:r>
      <w:r w:rsidRPr="001352AB">
        <w:t xml:space="preserve"> </w:t>
      </w:r>
      <w:r w:rsidRPr="001352AB">
        <w:rPr>
          <w:rFonts w:ascii="Sylfaen" w:hAnsi="Sylfaen" w:cs="Sylfaen"/>
        </w:rPr>
        <w:t>დასაქმებისა</w:t>
      </w:r>
      <w:r w:rsidRPr="001352AB">
        <w:t xml:space="preserve"> </w:t>
      </w:r>
      <w:r w:rsidRPr="001352AB">
        <w:rPr>
          <w:rFonts w:ascii="Sylfaen" w:hAnsi="Sylfaen" w:cs="Sylfaen"/>
        </w:rPr>
        <w:t>და</w:t>
      </w:r>
      <w:r w:rsidRPr="001352AB">
        <w:t xml:space="preserve"> </w:t>
      </w:r>
      <w:r w:rsidRPr="001352AB">
        <w:rPr>
          <w:rFonts w:ascii="Sylfaen" w:hAnsi="Sylfaen" w:cs="Sylfaen"/>
        </w:rPr>
        <w:t>შემოსავლების</w:t>
      </w:r>
      <w:r w:rsidRPr="001352AB">
        <w:t xml:space="preserve"> </w:t>
      </w:r>
      <w:r w:rsidRPr="001352AB">
        <w:rPr>
          <w:rFonts w:ascii="Sylfaen" w:hAnsi="Sylfaen" w:cs="Sylfaen"/>
        </w:rPr>
        <w:t>გაზრდის</w:t>
      </w:r>
      <w:r w:rsidRPr="001352AB">
        <w:t xml:space="preserve"> </w:t>
      </w:r>
      <w:r w:rsidRPr="001352AB">
        <w:rPr>
          <w:rFonts w:ascii="Sylfaen" w:hAnsi="Sylfaen" w:cs="Sylfaen"/>
        </w:rPr>
        <w:t>შესაძლებლობა</w:t>
      </w:r>
      <w:r w:rsidRPr="001352AB">
        <w:t xml:space="preserve"> </w:t>
      </w:r>
      <w:r w:rsidRPr="001352AB">
        <w:rPr>
          <w:rFonts w:ascii="Sylfaen" w:hAnsi="Sylfaen" w:cs="Sylfaen"/>
        </w:rPr>
        <w:t>საქონლისა</w:t>
      </w:r>
      <w:r w:rsidRPr="001352AB">
        <w:t xml:space="preserve"> </w:t>
      </w:r>
      <w:r w:rsidRPr="001352AB">
        <w:rPr>
          <w:rFonts w:ascii="Sylfaen" w:hAnsi="Sylfaen" w:cs="Sylfaen"/>
        </w:rPr>
        <w:t>და</w:t>
      </w:r>
      <w:r w:rsidRPr="001352AB">
        <w:t xml:space="preserve"> </w:t>
      </w:r>
      <w:r w:rsidRPr="001352AB">
        <w:rPr>
          <w:rFonts w:ascii="Sylfaen" w:hAnsi="Sylfaen" w:cs="Sylfaen"/>
        </w:rPr>
        <w:t>მომსახურების</w:t>
      </w:r>
      <w:r w:rsidRPr="001352AB">
        <w:t xml:space="preserve"> </w:t>
      </w:r>
      <w:r w:rsidRPr="001352AB">
        <w:rPr>
          <w:rFonts w:ascii="Sylfaen" w:hAnsi="Sylfaen" w:cs="Sylfaen"/>
        </w:rPr>
        <w:t>ადგილზე</w:t>
      </w:r>
      <w:r w:rsidRPr="001352AB">
        <w:t xml:space="preserve"> </w:t>
      </w:r>
      <w:r w:rsidRPr="001352AB">
        <w:rPr>
          <w:rFonts w:ascii="Sylfaen" w:hAnsi="Sylfaen" w:cs="Sylfaen"/>
        </w:rPr>
        <w:t>უზრუნველყოფით</w:t>
      </w:r>
      <w:r w:rsidRPr="001352AB">
        <w:t xml:space="preserve">; </w:t>
      </w:r>
    </w:p>
    <w:p w14:paraId="45E4DB2A" w14:textId="77777777" w:rsidR="00CD64B5" w:rsidRPr="001352AB" w:rsidRDefault="00CD64B5" w:rsidP="000E38C6">
      <w:pPr>
        <w:spacing w:before="120" w:after="120"/>
      </w:pPr>
      <w:r w:rsidRPr="001352AB">
        <w:rPr>
          <w:rFonts w:ascii="Sylfaen" w:hAnsi="Sylfaen" w:cs="Sylfaen"/>
        </w:rPr>
        <w:t>საზოგადოების</w:t>
      </w:r>
      <w:r w:rsidRPr="001352AB">
        <w:t xml:space="preserve"> </w:t>
      </w:r>
      <w:r w:rsidRPr="001352AB">
        <w:rPr>
          <w:rFonts w:ascii="Sylfaen" w:hAnsi="Sylfaen" w:cs="Sylfaen"/>
        </w:rPr>
        <w:t>საჭიროებები</w:t>
      </w:r>
      <w:r w:rsidRPr="001352AB">
        <w:t xml:space="preserve"> - </w:t>
      </w:r>
      <w:r w:rsidRPr="001352AB">
        <w:rPr>
          <w:rFonts w:ascii="Sylfaen" w:hAnsi="Sylfaen" w:cs="Sylfaen"/>
        </w:rPr>
        <w:t>საზოგადოების</w:t>
      </w:r>
      <w:r w:rsidRPr="001352AB">
        <w:t xml:space="preserve"> </w:t>
      </w:r>
      <w:r w:rsidRPr="001352AB">
        <w:rPr>
          <w:rFonts w:ascii="Sylfaen" w:hAnsi="Sylfaen" w:cs="Sylfaen"/>
        </w:rPr>
        <w:t>საჭიროებების</w:t>
      </w:r>
      <w:r w:rsidRPr="001352AB">
        <w:t xml:space="preserve"> </w:t>
      </w:r>
      <w:r w:rsidRPr="001352AB">
        <w:rPr>
          <w:rFonts w:ascii="Sylfaen" w:hAnsi="Sylfaen" w:cs="Sylfaen"/>
        </w:rPr>
        <w:t>გამოვლენისა</w:t>
      </w:r>
      <w:r w:rsidRPr="001352AB">
        <w:t xml:space="preserve"> </w:t>
      </w:r>
      <w:r w:rsidRPr="001352AB">
        <w:rPr>
          <w:rFonts w:ascii="Sylfaen" w:hAnsi="Sylfaen" w:cs="Sylfaen"/>
        </w:rPr>
        <w:t>და</w:t>
      </w:r>
      <w:r w:rsidRPr="001352AB">
        <w:t xml:space="preserve"> </w:t>
      </w:r>
      <w:r w:rsidRPr="001352AB">
        <w:rPr>
          <w:rFonts w:ascii="Sylfaen" w:hAnsi="Sylfaen" w:cs="Sylfaen"/>
        </w:rPr>
        <w:t>დაკმაყოფილების</w:t>
      </w:r>
      <w:r w:rsidRPr="001352AB">
        <w:t xml:space="preserve"> </w:t>
      </w:r>
      <w:r w:rsidRPr="001352AB">
        <w:rPr>
          <w:rFonts w:ascii="Sylfaen" w:hAnsi="Sylfaen" w:cs="Sylfaen"/>
        </w:rPr>
        <w:t>გზები</w:t>
      </w:r>
      <w:r w:rsidRPr="001352AB">
        <w:t xml:space="preserve"> </w:t>
      </w:r>
      <w:r w:rsidRPr="001352AB">
        <w:rPr>
          <w:rFonts w:ascii="Sylfaen" w:hAnsi="Sylfaen" w:cs="Sylfaen"/>
        </w:rPr>
        <w:t>ისეთი</w:t>
      </w:r>
      <w:r w:rsidRPr="001352AB">
        <w:t xml:space="preserve"> </w:t>
      </w:r>
      <w:r w:rsidRPr="001352AB">
        <w:rPr>
          <w:rFonts w:ascii="Sylfaen" w:hAnsi="Sylfaen" w:cs="Sylfaen"/>
        </w:rPr>
        <w:t>სპეციფიური</w:t>
      </w:r>
      <w:r w:rsidRPr="001352AB">
        <w:t xml:space="preserve"> </w:t>
      </w:r>
      <w:r w:rsidRPr="001352AB">
        <w:rPr>
          <w:rFonts w:ascii="Sylfaen" w:hAnsi="Sylfaen" w:cs="Sylfaen"/>
        </w:rPr>
        <w:t>ინფრასტუქტურის</w:t>
      </w:r>
      <w:r w:rsidRPr="001352AB">
        <w:t xml:space="preserve"> </w:t>
      </w:r>
      <w:r w:rsidRPr="001352AB">
        <w:rPr>
          <w:rFonts w:ascii="Sylfaen" w:hAnsi="Sylfaen" w:cs="Sylfaen"/>
        </w:rPr>
        <w:t>გამოჩენასთან</w:t>
      </w:r>
      <w:r w:rsidRPr="001352AB">
        <w:t xml:space="preserve"> </w:t>
      </w:r>
      <w:r w:rsidRPr="001352AB">
        <w:rPr>
          <w:rFonts w:ascii="Sylfaen" w:hAnsi="Sylfaen" w:cs="Sylfaen"/>
        </w:rPr>
        <w:t>დაკავშირებით</w:t>
      </w:r>
      <w:r w:rsidRPr="001352AB">
        <w:t xml:space="preserve">, </w:t>
      </w:r>
      <w:r w:rsidRPr="001352AB">
        <w:rPr>
          <w:rFonts w:ascii="Sylfaen" w:hAnsi="Sylfaen" w:cs="Sylfaen"/>
        </w:rPr>
        <w:t>როგორიცაა</w:t>
      </w:r>
      <w:r w:rsidRPr="001352AB">
        <w:t xml:space="preserve"> </w:t>
      </w:r>
      <w:r w:rsidRPr="001352AB">
        <w:rPr>
          <w:rFonts w:ascii="Sylfaen" w:hAnsi="Sylfaen" w:cs="Sylfaen"/>
        </w:rPr>
        <w:t>ტელეკომუნიკაცია</w:t>
      </w:r>
      <w:r w:rsidRPr="001352AB">
        <w:t xml:space="preserve">, </w:t>
      </w:r>
      <w:r w:rsidRPr="001352AB">
        <w:rPr>
          <w:rFonts w:ascii="Sylfaen" w:hAnsi="Sylfaen" w:cs="Sylfaen"/>
        </w:rPr>
        <w:t>წყლის</w:t>
      </w:r>
      <w:r w:rsidRPr="001352AB">
        <w:t xml:space="preserve"> </w:t>
      </w:r>
      <w:r w:rsidRPr="001352AB">
        <w:rPr>
          <w:rFonts w:ascii="Sylfaen" w:hAnsi="Sylfaen" w:cs="Sylfaen"/>
        </w:rPr>
        <w:t>სანიტარული</w:t>
      </w:r>
      <w:r w:rsidRPr="001352AB">
        <w:t xml:space="preserve"> </w:t>
      </w:r>
      <w:r w:rsidRPr="001352AB">
        <w:rPr>
          <w:rFonts w:ascii="Sylfaen" w:hAnsi="Sylfaen" w:cs="Sylfaen"/>
        </w:rPr>
        <w:t>ნორმები</w:t>
      </w:r>
      <w:r w:rsidRPr="001352AB">
        <w:t xml:space="preserve">, </w:t>
      </w:r>
      <w:r w:rsidRPr="001352AB">
        <w:rPr>
          <w:rFonts w:ascii="Sylfaen" w:hAnsi="Sylfaen" w:cs="Sylfaen"/>
        </w:rPr>
        <w:t>საავტომობილო</w:t>
      </w:r>
      <w:r w:rsidRPr="001352AB">
        <w:t xml:space="preserve"> </w:t>
      </w:r>
      <w:r w:rsidRPr="001352AB">
        <w:rPr>
          <w:rFonts w:ascii="Sylfaen" w:hAnsi="Sylfaen" w:cs="Sylfaen"/>
        </w:rPr>
        <w:t>გზები</w:t>
      </w:r>
      <w:r w:rsidRPr="001352AB">
        <w:t xml:space="preserve">, </w:t>
      </w:r>
      <w:r w:rsidRPr="001352AB">
        <w:rPr>
          <w:rFonts w:ascii="Sylfaen" w:hAnsi="Sylfaen" w:cs="Sylfaen"/>
        </w:rPr>
        <w:t>ჯანდაცვა</w:t>
      </w:r>
      <w:r w:rsidRPr="001352AB">
        <w:t xml:space="preserve">, </w:t>
      </w:r>
      <w:r w:rsidRPr="001352AB">
        <w:rPr>
          <w:rFonts w:ascii="Sylfaen" w:hAnsi="Sylfaen" w:cs="Sylfaen"/>
        </w:rPr>
        <w:t>განათლება</w:t>
      </w:r>
      <w:r w:rsidRPr="001352AB">
        <w:t xml:space="preserve">, </w:t>
      </w:r>
      <w:r w:rsidRPr="001352AB">
        <w:rPr>
          <w:rFonts w:ascii="Sylfaen" w:hAnsi="Sylfaen" w:cs="Sylfaen"/>
        </w:rPr>
        <w:t>სახლის</w:t>
      </w:r>
      <w:r w:rsidRPr="001352AB">
        <w:t xml:space="preserve"> </w:t>
      </w:r>
      <w:r w:rsidRPr="001352AB">
        <w:rPr>
          <w:rFonts w:ascii="Sylfaen" w:hAnsi="Sylfaen" w:cs="Sylfaen"/>
        </w:rPr>
        <w:t>მოწყობა</w:t>
      </w:r>
      <w:r w:rsidRPr="001352AB">
        <w:t xml:space="preserve">, </w:t>
      </w:r>
      <w:r w:rsidRPr="001352AB">
        <w:rPr>
          <w:rFonts w:ascii="Sylfaen" w:hAnsi="Sylfaen" w:cs="Sylfaen"/>
        </w:rPr>
        <w:t>საზოგადოებრივი</w:t>
      </w:r>
      <w:r w:rsidRPr="001352AB">
        <w:t xml:space="preserve"> </w:t>
      </w:r>
      <w:r w:rsidRPr="001352AB">
        <w:rPr>
          <w:rFonts w:ascii="Sylfaen" w:hAnsi="Sylfaen" w:cs="Sylfaen"/>
        </w:rPr>
        <w:t>ჯანდაცვა</w:t>
      </w:r>
      <w:r w:rsidRPr="001352AB">
        <w:t xml:space="preserve"> </w:t>
      </w:r>
      <w:r w:rsidRPr="001352AB">
        <w:rPr>
          <w:rFonts w:ascii="Sylfaen" w:hAnsi="Sylfaen" w:cs="Sylfaen"/>
        </w:rPr>
        <w:t>და</w:t>
      </w:r>
      <w:r w:rsidRPr="001352AB">
        <w:t xml:space="preserve"> </w:t>
      </w:r>
      <w:r w:rsidRPr="001352AB">
        <w:rPr>
          <w:rFonts w:ascii="Sylfaen" w:hAnsi="Sylfaen" w:cs="Sylfaen"/>
        </w:rPr>
        <w:t>უსაფრთხოება</w:t>
      </w:r>
      <w:r w:rsidRPr="001352AB">
        <w:t xml:space="preserve"> - </w:t>
      </w:r>
      <w:r w:rsidRPr="001352AB">
        <w:rPr>
          <w:rFonts w:ascii="Sylfaen" w:hAnsi="Sylfaen" w:cs="Sylfaen"/>
        </w:rPr>
        <w:t>გადამდები</w:t>
      </w:r>
      <w:r w:rsidRPr="001352AB">
        <w:t xml:space="preserve"> </w:t>
      </w:r>
      <w:r w:rsidRPr="001352AB">
        <w:rPr>
          <w:rFonts w:ascii="Sylfaen" w:hAnsi="Sylfaen" w:cs="Sylfaen"/>
        </w:rPr>
        <w:t>დაავადებების</w:t>
      </w:r>
      <w:r w:rsidRPr="001352AB">
        <w:t xml:space="preserve"> </w:t>
      </w:r>
      <w:r w:rsidRPr="001352AB">
        <w:rPr>
          <w:rFonts w:ascii="Sylfaen" w:hAnsi="Sylfaen" w:cs="Sylfaen"/>
        </w:rPr>
        <w:t>გაზრდის</w:t>
      </w:r>
      <w:r w:rsidRPr="001352AB">
        <w:t xml:space="preserve"> </w:t>
      </w:r>
      <w:r w:rsidRPr="001352AB">
        <w:rPr>
          <w:rFonts w:ascii="Sylfaen" w:hAnsi="Sylfaen" w:cs="Sylfaen"/>
        </w:rPr>
        <w:t>რისკი</w:t>
      </w:r>
      <w:r w:rsidRPr="001352AB">
        <w:t xml:space="preserve">, </w:t>
      </w:r>
      <w:r w:rsidRPr="001352AB">
        <w:rPr>
          <w:rFonts w:ascii="Sylfaen" w:hAnsi="Sylfaen" w:cs="Sylfaen"/>
        </w:rPr>
        <w:t>კორუფცია</w:t>
      </w:r>
      <w:r w:rsidRPr="001352AB">
        <w:t xml:space="preserve">, </w:t>
      </w:r>
      <w:r w:rsidRPr="001352AB">
        <w:rPr>
          <w:rFonts w:ascii="Sylfaen" w:hAnsi="Sylfaen" w:cs="Sylfaen"/>
        </w:rPr>
        <w:t>აკრძალული</w:t>
      </w:r>
      <w:r w:rsidRPr="001352AB">
        <w:t xml:space="preserve"> </w:t>
      </w:r>
      <w:r w:rsidRPr="001352AB">
        <w:rPr>
          <w:rFonts w:ascii="Sylfaen" w:hAnsi="Sylfaen" w:cs="Sylfaen"/>
        </w:rPr>
        <w:t>ნივთიერებებით</w:t>
      </w:r>
      <w:r w:rsidRPr="001352AB">
        <w:t xml:space="preserve"> (</w:t>
      </w:r>
      <w:r w:rsidRPr="001352AB">
        <w:rPr>
          <w:rFonts w:ascii="Sylfaen" w:hAnsi="Sylfaen" w:cs="Sylfaen"/>
        </w:rPr>
        <w:t>ნარკოტიკებით</w:t>
      </w:r>
      <w:r w:rsidRPr="001352AB">
        <w:t xml:space="preserve">, </w:t>
      </w:r>
      <w:r w:rsidRPr="001352AB">
        <w:rPr>
          <w:rFonts w:ascii="Sylfaen" w:hAnsi="Sylfaen" w:cs="Sylfaen"/>
        </w:rPr>
        <w:t>ალკოჰოლით</w:t>
      </w:r>
      <w:r w:rsidRPr="001352AB">
        <w:t xml:space="preserve"> - </w:t>
      </w:r>
      <w:r w:rsidRPr="001352AB">
        <w:rPr>
          <w:rFonts w:ascii="Sylfaen" w:hAnsi="Sylfaen" w:cs="Sylfaen"/>
        </w:rPr>
        <w:t>მუსულმანების</w:t>
      </w:r>
      <w:r w:rsidRPr="001352AB">
        <w:t xml:space="preserve"> </w:t>
      </w:r>
      <w:r w:rsidRPr="001352AB">
        <w:rPr>
          <w:rFonts w:ascii="Sylfaen" w:hAnsi="Sylfaen" w:cs="Sylfaen"/>
        </w:rPr>
        <w:t>შემთხვევაში</w:t>
      </w:r>
      <w:r w:rsidRPr="001352AB">
        <w:t xml:space="preserve">) </w:t>
      </w:r>
      <w:r w:rsidRPr="001352AB">
        <w:rPr>
          <w:rFonts w:ascii="Sylfaen" w:hAnsi="Sylfaen" w:cs="Sylfaen"/>
        </w:rPr>
        <w:t>ვაჭრობა</w:t>
      </w:r>
      <w:r w:rsidRPr="001352AB">
        <w:t xml:space="preserve">, </w:t>
      </w:r>
      <w:r w:rsidRPr="001352AB">
        <w:rPr>
          <w:rFonts w:ascii="Sylfaen" w:hAnsi="Sylfaen" w:cs="Sylfaen"/>
        </w:rPr>
        <w:t>წვრილმანი</w:t>
      </w:r>
      <w:r w:rsidRPr="001352AB">
        <w:t xml:space="preserve"> </w:t>
      </w:r>
      <w:r w:rsidRPr="001352AB">
        <w:rPr>
          <w:rFonts w:ascii="Sylfaen" w:hAnsi="Sylfaen" w:cs="Sylfaen"/>
        </w:rPr>
        <w:t>დანაშაული</w:t>
      </w:r>
      <w:r w:rsidRPr="001352AB">
        <w:t xml:space="preserve"> </w:t>
      </w:r>
      <w:r w:rsidRPr="001352AB">
        <w:rPr>
          <w:rFonts w:ascii="Sylfaen" w:hAnsi="Sylfaen" w:cs="Sylfaen"/>
        </w:rPr>
        <w:t>და</w:t>
      </w:r>
      <w:r w:rsidRPr="001352AB">
        <w:t xml:space="preserve"> </w:t>
      </w:r>
      <w:r w:rsidRPr="001352AB">
        <w:rPr>
          <w:rFonts w:ascii="Sylfaen" w:hAnsi="Sylfaen" w:cs="Sylfaen"/>
        </w:rPr>
        <w:t>სხვა</w:t>
      </w:r>
      <w:r w:rsidRPr="001352AB">
        <w:t xml:space="preserve"> </w:t>
      </w:r>
      <w:r w:rsidRPr="001352AB">
        <w:rPr>
          <w:rFonts w:ascii="Sylfaen" w:hAnsi="Sylfaen" w:cs="Sylfaen"/>
        </w:rPr>
        <w:t>სახის</w:t>
      </w:r>
      <w:r w:rsidRPr="001352AB">
        <w:t xml:space="preserve"> </w:t>
      </w:r>
      <w:r w:rsidRPr="001352AB">
        <w:rPr>
          <w:rFonts w:ascii="Sylfaen" w:hAnsi="Sylfaen" w:cs="Sylfaen"/>
        </w:rPr>
        <w:t>კანონდარღვევები</w:t>
      </w:r>
      <w:r w:rsidRPr="001352AB">
        <w:t xml:space="preserve">, </w:t>
      </w:r>
      <w:r w:rsidRPr="001352AB">
        <w:rPr>
          <w:rFonts w:ascii="Sylfaen" w:hAnsi="Sylfaen" w:cs="Sylfaen"/>
        </w:rPr>
        <w:t>საგზაო</w:t>
      </w:r>
      <w:r w:rsidRPr="001352AB">
        <w:t xml:space="preserve"> </w:t>
      </w:r>
      <w:r w:rsidRPr="001352AB">
        <w:rPr>
          <w:rFonts w:ascii="Sylfaen" w:hAnsi="Sylfaen" w:cs="Sylfaen"/>
        </w:rPr>
        <w:t>შემთხვევები</w:t>
      </w:r>
      <w:r w:rsidRPr="001352AB">
        <w:t xml:space="preserve">; </w:t>
      </w:r>
    </w:p>
    <w:p w14:paraId="77B8BDE9" w14:textId="77777777" w:rsidR="00CD64B5" w:rsidRPr="001352AB" w:rsidRDefault="00CD64B5" w:rsidP="000E38C6">
      <w:pPr>
        <w:spacing w:before="120" w:after="120"/>
      </w:pPr>
      <w:r w:rsidRPr="001352AB">
        <w:rPr>
          <w:rFonts w:ascii="Sylfaen" w:hAnsi="Sylfaen" w:cs="Sylfaen"/>
        </w:rPr>
        <w:t>საზოგადოების</w:t>
      </w:r>
      <w:r w:rsidRPr="001352AB">
        <w:t xml:space="preserve"> </w:t>
      </w:r>
      <w:r w:rsidRPr="001352AB">
        <w:rPr>
          <w:rFonts w:ascii="Sylfaen" w:hAnsi="Sylfaen" w:cs="Sylfaen"/>
        </w:rPr>
        <w:t>სოციალური</w:t>
      </w:r>
      <w:r w:rsidRPr="001352AB">
        <w:t xml:space="preserve"> </w:t>
      </w:r>
      <w:r w:rsidRPr="001352AB">
        <w:rPr>
          <w:rFonts w:ascii="Sylfaen" w:hAnsi="Sylfaen" w:cs="Sylfaen"/>
        </w:rPr>
        <w:t>და</w:t>
      </w:r>
      <w:r w:rsidRPr="001352AB">
        <w:t xml:space="preserve"> </w:t>
      </w:r>
      <w:r w:rsidRPr="001352AB">
        <w:rPr>
          <w:rFonts w:ascii="Sylfaen" w:hAnsi="Sylfaen" w:cs="Sylfaen"/>
        </w:rPr>
        <w:t>კულტურული</w:t>
      </w:r>
      <w:r w:rsidRPr="001352AB">
        <w:t xml:space="preserve"> </w:t>
      </w:r>
      <w:r w:rsidRPr="001352AB">
        <w:rPr>
          <w:rFonts w:ascii="Sylfaen" w:hAnsi="Sylfaen" w:cs="Sylfaen"/>
        </w:rPr>
        <w:t>ერთიანობა</w:t>
      </w:r>
      <w:r w:rsidRPr="001352AB">
        <w:t xml:space="preserve"> - </w:t>
      </w:r>
      <w:r w:rsidRPr="001352AB">
        <w:rPr>
          <w:rFonts w:ascii="Sylfaen" w:hAnsi="Sylfaen" w:cs="Sylfaen"/>
        </w:rPr>
        <w:t>ტერიტორიაზე</w:t>
      </w:r>
      <w:r w:rsidRPr="001352AB">
        <w:t xml:space="preserve"> </w:t>
      </w:r>
      <w:r w:rsidRPr="001352AB">
        <w:rPr>
          <w:rFonts w:ascii="Sylfaen" w:hAnsi="Sylfaen" w:cs="Sylfaen"/>
        </w:rPr>
        <w:t>სხვადასხვა</w:t>
      </w:r>
      <w:r w:rsidRPr="001352AB">
        <w:t xml:space="preserve"> </w:t>
      </w:r>
      <w:r w:rsidRPr="001352AB">
        <w:rPr>
          <w:rFonts w:ascii="Sylfaen" w:hAnsi="Sylfaen" w:cs="Sylfaen"/>
        </w:rPr>
        <w:t>კულტურული</w:t>
      </w:r>
      <w:r w:rsidRPr="001352AB">
        <w:t xml:space="preserve"> </w:t>
      </w:r>
      <w:r w:rsidRPr="001352AB">
        <w:rPr>
          <w:rFonts w:ascii="Sylfaen" w:hAnsi="Sylfaen" w:cs="Sylfaen"/>
        </w:rPr>
        <w:t>და</w:t>
      </w:r>
      <w:r w:rsidRPr="001352AB">
        <w:t xml:space="preserve"> </w:t>
      </w:r>
      <w:r w:rsidRPr="001352AB">
        <w:rPr>
          <w:rFonts w:ascii="Sylfaen" w:hAnsi="Sylfaen" w:cs="Sylfaen"/>
        </w:rPr>
        <w:t>რელიგიური</w:t>
      </w:r>
      <w:r w:rsidRPr="001352AB">
        <w:t xml:space="preserve"> </w:t>
      </w:r>
      <w:r w:rsidRPr="001352AB">
        <w:rPr>
          <w:rFonts w:ascii="Sylfaen" w:hAnsi="Sylfaen" w:cs="Sylfaen"/>
        </w:rPr>
        <w:t>მიმდინარეობების</w:t>
      </w:r>
      <w:r w:rsidRPr="001352AB">
        <w:t xml:space="preserve"> </w:t>
      </w:r>
      <w:r w:rsidRPr="001352AB">
        <w:rPr>
          <w:rFonts w:ascii="Sylfaen" w:hAnsi="Sylfaen" w:cs="Sylfaen"/>
        </w:rPr>
        <w:t>მრავალრიცხოვანი</w:t>
      </w:r>
      <w:r w:rsidRPr="001352AB">
        <w:t xml:space="preserve"> </w:t>
      </w:r>
      <w:r w:rsidRPr="001352AB">
        <w:rPr>
          <w:rFonts w:ascii="Sylfaen" w:hAnsi="Sylfaen" w:cs="Sylfaen"/>
        </w:rPr>
        <w:t>უცხოელი</w:t>
      </w:r>
      <w:r w:rsidRPr="001352AB">
        <w:t xml:space="preserve"> </w:t>
      </w:r>
      <w:r w:rsidRPr="001352AB">
        <w:rPr>
          <w:rFonts w:ascii="Sylfaen" w:hAnsi="Sylfaen" w:cs="Sylfaen"/>
        </w:rPr>
        <w:t>მუშების</w:t>
      </w:r>
      <w:r w:rsidRPr="001352AB">
        <w:t xml:space="preserve">, </w:t>
      </w:r>
      <w:r w:rsidRPr="001352AB">
        <w:rPr>
          <w:rFonts w:ascii="Sylfaen" w:hAnsi="Sylfaen" w:cs="Sylfaen"/>
        </w:rPr>
        <w:t>ხშირად</w:t>
      </w:r>
      <w:r w:rsidRPr="001352AB">
        <w:t xml:space="preserve"> - </w:t>
      </w:r>
      <w:r w:rsidRPr="001352AB">
        <w:rPr>
          <w:rFonts w:ascii="Sylfaen" w:hAnsi="Sylfaen" w:cs="Sylfaen"/>
        </w:rPr>
        <w:t>მამაკაცების</w:t>
      </w:r>
      <w:r w:rsidRPr="001352AB">
        <w:t xml:space="preserve"> - </w:t>
      </w:r>
      <w:r w:rsidRPr="001352AB">
        <w:rPr>
          <w:rFonts w:ascii="Sylfaen" w:hAnsi="Sylfaen" w:cs="Sylfaen"/>
        </w:rPr>
        <w:t>არსებობით</w:t>
      </w:r>
      <w:r w:rsidRPr="001352AB">
        <w:t xml:space="preserve"> </w:t>
      </w:r>
      <w:r w:rsidRPr="001352AB">
        <w:rPr>
          <w:rFonts w:ascii="Sylfaen" w:hAnsi="Sylfaen" w:cs="Sylfaen"/>
        </w:rPr>
        <w:t>გამოწვეული</w:t>
      </w:r>
      <w:r w:rsidRPr="001352AB">
        <w:t xml:space="preserve"> </w:t>
      </w:r>
      <w:r w:rsidRPr="001352AB">
        <w:rPr>
          <w:rFonts w:ascii="Sylfaen" w:hAnsi="Sylfaen" w:cs="Sylfaen"/>
        </w:rPr>
        <w:t>ზემოქმედების</w:t>
      </w:r>
      <w:r w:rsidRPr="001352AB">
        <w:t xml:space="preserve"> </w:t>
      </w:r>
      <w:r w:rsidRPr="001352AB">
        <w:rPr>
          <w:rFonts w:ascii="Sylfaen" w:hAnsi="Sylfaen" w:cs="Sylfaen"/>
        </w:rPr>
        <w:t>შერბილების</w:t>
      </w:r>
      <w:r w:rsidRPr="001352AB">
        <w:t xml:space="preserve"> </w:t>
      </w:r>
      <w:r w:rsidRPr="001352AB">
        <w:rPr>
          <w:rFonts w:ascii="Sylfaen" w:hAnsi="Sylfaen" w:cs="Sylfaen"/>
        </w:rPr>
        <w:t>მეთოდები</w:t>
      </w:r>
      <w:r w:rsidRPr="001352AB">
        <w:t xml:space="preserve">, </w:t>
      </w:r>
      <w:r w:rsidRPr="001352AB">
        <w:rPr>
          <w:rFonts w:ascii="Sylfaen" w:hAnsi="Sylfaen" w:cs="Sylfaen"/>
        </w:rPr>
        <w:t>შემოსავლის</w:t>
      </w:r>
      <w:r w:rsidRPr="001352AB">
        <w:t xml:space="preserve"> </w:t>
      </w:r>
      <w:r w:rsidRPr="001352AB">
        <w:rPr>
          <w:rFonts w:ascii="Sylfaen" w:hAnsi="Sylfaen" w:cs="Sylfaen"/>
        </w:rPr>
        <w:t>მიღების</w:t>
      </w:r>
      <w:r w:rsidRPr="001352AB">
        <w:t xml:space="preserve"> </w:t>
      </w:r>
      <w:r w:rsidRPr="001352AB">
        <w:rPr>
          <w:rFonts w:ascii="Sylfaen" w:hAnsi="Sylfaen" w:cs="Sylfaen"/>
        </w:rPr>
        <w:lastRenderedPageBreak/>
        <w:t>შესაძლებლობებზე</w:t>
      </w:r>
      <w:r w:rsidRPr="001352AB">
        <w:t xml:space="preserve"> </w:t>
      </w:r>
      <w:r w:rsidRPr="001352AB">
        <w:rPr>
          <w:rFonts w:ascii="Sylfaen" w:hAnsi="Sylfaen" w:cs="Sylfaen"/>
        </w:rPr>
        <w:t>წვდომის</w:t>
      </w:r>
      <w:r w:rsidRPr="001352AB">
        <w:t xml:space="preserve"> </w:t>
      </w:r>
      <w:r w:rsidRPr="001352AB">
        <w:rPr>
          <w:rFonts w:ascii="Sylfaen" w:hAnsi="Sylfaen" w:cs="Sylfaen"/>
        </w:rPr>
        <w:t>შეცვლის</w:t>
      </w:r>
      <w:r w:rsidRPr="001352AB">
        <w:t xml:space="preserve"> </w:t>
      </w:r>
      <w:r w:rsidRPr="001352AB">
        <w:rPr>
          <w:rFonts w:ascii="Sylfaen" w:hAnsi="Sylfaen" w:cs="Sylfaen"/>
        </w:rPr>
        <w:t>გამო</w:t>
      </w:r>
      <w:r w:rsidRPr="001352AB">
        <w:t xml:space="preserve"> </w:t>
      </w:r>
      <w:r w:rsidRPr="001352AB">
        <w:rPr>
          <w:rFonts w:ascii="Sylfaen" w:hAnsi="Sylfaen" w:cs="Sylfaen"/>
        </w:rPr>
        <w:t>სოციალურ</w:t>
      </w:r>
      <w:r w:rsidRPr="001352AB">
        <w:t xml:space="preserve">, </w:t>
      </w:r>
      <w:r w:rsidRPr="001352AB">
        <w:rPr>
          <w:rFonts w:ascii="Sylfaen" w:hAnsi="Sylfaen" w:cs="Sylfaen"/>
        </w:rPr>
        <w:t>ეკონომიკურ</w:t>
      </w:r>
      <w:r w:rsidRPr="001352AB">
        <w:t xml:space="preserve"> </w:t>
      </w:r>
      <w:r w:rsidRPr="001352AB">
        <w:rPr>
          <w:rFonts w:ascii="Sylfaen" w:hAnsi="Sylfaen" w:cs="Sylfaen"/>
        </w:rPr>
        <w:t>და</w:t>
      </w:r>
      <w:r w:rsidRPr="001352AB">
        <w:t xml:space="preserve"> </w:t>
      </w:r>
      <w:r w:rsidRPr="001352AB">
        <w:rPr>
          <w:rFonts w:ascii="Sylfaen" w:hAnsi="Sylfaen" w:cs="Sylfaen"/>
        </w:rPr>
        <w:t>პოლიტიკურ</w:t>
      </w:r>
      <w:r w:rsidRPr="001352AB">
        <w:t xml:space="preserve"> </w:t>
      </w:r>
      <w:r w:rsidRPr="001352AB">
        <w:rPr>
          <w:rFonts w:ascii="Sylfaen" w:hAnsi="Sylfaen" w:cs="Sylfaen"/>
        </w:rPr>
        <w:t>სტრუქტურებში</w:t>
      </w:r>
      <w:r w:rsidRPr="001352AB">
        <w:t xml:space="preserve"> </w:t>
      </w:r>
      <w:r w:rsidRPr="001352AB">
        <w:rPr>
          <w:rFonts w:ascii="Sylfaen" w:hAnsi="Sylfaen" w:cs="Sylfaen"/>
        </w:rPr>
        <w:t>შესაძლო</w:t>
      </w:r>
      <w:r w:rsidRPr="001352AB">
        <w:t xml:space="preserve"> </w:t>
      </w:r>
      <w:r w:rsidRPr="001352AB">
        <w:rPr>
          <w:rFonts w:ascii="Sylfaen" w:hAnsi="Sylfaen" w:cs="Sylfaen"/>
        </w:rPr>
        <w:t>ცვლილების</w:t>
      </w:r>
      <w:r w:rsidRPr="001352AB">
        <w:t xml:space="preserve"> </w:t>
      </w:r>
      <w:r w:rsidRPr="001352AB">
        <w:rPr>
          <w:rFonts w:ascii="Sylfaen" w:hAnsi="Sylfaen" w:cs="Sylfaen"/>
        </w:rPr>
        <w:t>შერბილების</w:t>
      </w:r>
      <w:r w:rsidRPr="001352AB">
        <w:t xml:space="preserve"> </w:t>
      </w:r>
      <w:r w:rsidRPr="001352AB">
        <w:rPr>
          <w:rFonts w:ascii="Sylfaen" w:hAnsi="Sylfaen" w:cs="Sylfaen"/>
        </w:rPr>
        <w:t>გზები</w:t>
      </w:r>
      <w:r w:rsidRPr="001352AB">
        <w:t>;</w:t>
      </w:r>
    </w:p>
    <w:p w14:paraId="055A83D1" w14:textId="77777777" w:rsidR="00CD64B5" w:rsidRPr="001352AB" w:rsidRDefault="00CD64B5" w:rsidP="000E38C6">
      <w:pPr>
        <w:spacing w:before="120" w:after="120"/>
      </w:pPr>
      <w:r w:rsidRPr="001352AB">
        <w:rPr>
          <w:rFonts w:ascii="Sylfaen" w:hAnsi="Sylfaen" w:cs="Sylfaen"/>
        </w:rPr>
        <w:t>ამ</w:t>
      </w:r>
      <w:r w:rsidRPr="001352AB">
        <w:t xml:space="preserve"> </w:t>
      </w:r>
      <w:r w:rsidRPr="001352AB">
        <w:rPr>
          <w:rFonts w:ascii="Sylfaen" w:hAnsi="Sylfaen" w:cs="Sylfaen"/>
        </w:rPr>
        <w:t>გეგმებს</w:t>
      </w:r>
      <w:r w:rsidRPr="001352AB">
        <w:t xml:space="preserve"> </w:t>
      </w:r>
      <w:r w:rsidRPr="001352AB">
        <w:rPr>
          <w:rFonts w:ascii="Sylfaen" w:hAnsi="Sylfaen" w:cs="Sylfaen"/>
        </w:rPr>
        <w:t>დაამტკიცებს</w:t>
      </w:r>
      <w:r w:rsidRPr="001352AB">
        <w:t xml:space="preserve"> </w:t>
      </w:r>
      <w:r w:rsidRPr="001352AB">
        <w:rPr>
          <w:rFonts w:ascii="Sylfaen" w:hAnsi="Sylfaen" w:cs="Sylfaen"/>
        </w:rPr>
        <w:t>ინჟინერი</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სამუშაოების</w:t>
      </w:r>
      <w:r w:rsidRPr="001352AB">
        <w:t xml:space="preserve"> </w:t>
      </w:r>
      <w:r w:rsidRPr="001352AB">
        <w:rPr>
          <w:rFonts w:ascii="Sylfaen" w:hAnsi="Sylfaen" w:cs="Sylfaen"/>
        </w:rPr>
        <w:t>დაწყებამდე</w:t>
      </w:r>
      <w:r w:rsidRPr="001352AB">
        <w:t xml:space="preserve">. </w:t>
      </w:r>
    </w:p>
    <w:p w14:paraId="7C7F9940" w14:textId="77777777" w:rsidR="00CD64B5" w:rsidRPr="001352AB" w:rsidRDefault="00CD64B5" w:rsidP="000E38C6">
      <w:pPr>
        <w:spacing w:before="120" w:after="120"/>
      </w:pPr>
      <w:r w:rsidRPr="001352AB">
        <w:rPr>
          <w:rFonts w:ascii="Sylfaen" w:hAnsi="Sylfaen" w:cs="Sylfaen"/>
        </w:rPr>
        <w:t>მუშებისა</w:t>
      </w:r>
      <w:r w:rsidRPr="001352AB">
        <w:t xml:space="preserve"> </w:t>
      </w:r>
      <w:r w:rsidRPr="001352AB">
        <w:rPr>
          <w:rFonts w:ascii="Sylfaen" w:hAnsi="Sylfaen" w:cs="Sylfaen"/>
        </w:rPr>
        <w:t>და</w:t>
      </w:r>
      <w:r w:rsidRPr="001352AB">
        <w:t xml:space="preserve"> </w:t>
      </w:r>
      <w:r w:rsidRPr="001352AB">
        <w:rPr>
          <w:rFonts w:ascii="Sylfaen" w:hAnsi="Sylfaen" w:cs="Sylfaen"/>
        </w:rPr>
        <w:t>ადგილობრივი</w:t>
      </w:r>
      <w:r w:rsidRPr="001352AB">
        <w:t xml:space="preserve"> </w:t>
      </w:r>
      <w:r w:rsidRPr="001352AB">
        <w:rPr>
          <w:rFonts w:ascii="Sylfaen" w:hAnsi="Sylfaen" w:cs="Sylfaen"/>
        </w:rPr>
        <w:t>თემებისთვის</w:t>
      </w:r>
      <w:r w:rsidRPr="001352AB">
        <w:t xml:space="preserve"> </w:t>
      </w:r>
      <w:r w:rsidRPr="001352AB">
        <w:rPr>
          <w:rFonts w:ascii="Sylfaen" w:hAnsi="Sylfaen" w:cs="Sylfaen"/>
        </w:rPr>
        <w:t>განხორციელდება</w:t>
      </w:r>
      <w:r w:rsidRPr="001352AB">
        <w:t xml:space="preserve"> </w:t>
      </w:r>
      <w:r w:rsidRPr="001352AB">
        <w:rPr>
          <w:rFonts w:ascii="Sylfaen" w:hAnsi="Sylfaen" w:cs="Sylfaen"/>
        </w:rPr>
        <w:t>ინფორმირებულობისა</w:t>
      </w:r>
      <w:r w:rsidRPr="001352AB">
        <w:t xml:space="preserve"> </w:t>
      </w:r>
      <w:r w:rsidRPr="001352AB">
        <w:rPr>
          <w:rFonts w:ascii="Sylfaen" w:hAnsi="Sylfaen" w:cs="Sylfaen"/>
        </w:rPr>
        <w:t>და</w:t>
      </w:r>
      <w:r w:rsidRPr="001352AB">
        <w:t xml:space="preserve"> </w:t>
      </w:r>
      <w:r w:rsidRPr="001352AB">
        <w:rPr>
          <w:rFonts w:ascii="Sylfaen" w:hAnsi="Sylfaen" w:cs="Sylfaen"/>
        </w:rPr>
        <w:t>ჯანდაცვის</w:t>
      </w:r>
      <w:r w:rsidRPr="001352AB">
        <w:t xml:space="preserve"> </w:t>
      </w:r>
      <w:r w:rsidRPr="001352AB">
        <w:rPr>
          <w:rFonts w:ascii="Sylfaen" w:hAnsi="Sylfaen" w:cs="Sylfaen"/>
        </w:rPr>
        <w:t>საგანმანათლებლო</w:t>
      </w:r>
      <w:r w:rsidRPr="001352AB">
        <w:t xml:space="preserve"> </w:t>
      </w:r>
      <w:r w:rsidRPr="001352AB">
        <w:rPr>
          <w:rFonts w:ascii="Sylfaen" w:hAnsi="Sylfaen" w:cs="Sylfaen"/>
        </w:rPr>
        <w:t>პროგრამები</w:t>
      </w:r>
      <w:r w:rsidRPr="001352AB">
        <w:t xml:space="preserve">. </w:t>
      </w:r>
      <w:r w:rsidRPr="001352AB">
        <w:rPr>
          <w:rFonts w:ascii="Sylfaen" w:hAnsi="Sylfaen" w:cs="Sylfaen"/>
        </w:rPr>
        <w:t>პროგრამები</w:t>
      </w:r>
      <w:r w:rsidRPr="001352AB">
        <w:t xml:space="preserve"> </w:t>
      </w:r>
      <w:r w:rsidRPr="001352AB">
        <w:rPr>
          <w:rFonts w:ascii="Sylfaen" w:hAnsi="Sylfaen" w:cs="Sylfaen"/>
        </w:rPr>
        <w:t>მოიცავს</w:t>
      </w:r>
      <w:r w:rsidRPr="001352AB">
        <w:t xml:space="preserve"> </w:t>
      </w:r>
      <w:r w:rsidRPr="001352AB">
        <w:rPr>
          <w:rFonts w:ascii="Sylfaen" w:hAnsi="Sylfaen" w:cs="Sylfaen"/>
        </w:rPr>
        <w:t>ინფორმაციას</w:t>
      </w:r>
      <w:r w:rsidRPr="001352AB">
        <w:t xml:space="preserve"> </w:t>
      </w:r>
      <w:r w:rsidRPr="001352AB">
        <w:rPr>
          <w:rFonts w:ascii="Sylfaen" w:hAnsi="Sylfaen" w:cs="Sylfaen"/>
        </w:rPr>
        <w:t>სანიტარული</w:t>
      </w:r>
      <w:r w:rsidRPr="001352AB">
        <w:t xml:space="preserve"> </w:t>
      </w:r>
      <w:r w:rsidRPr="001352AB">
        <w:rPr>
          <w:rFonts w:ascii="Sylfaen" w:hAnsi="Sylfaen" w:cs="Sylfaen"/>
        </w:rPr>
        <w:t>ნორმების</w:t>
      </w:r>
      <w:r w:rsidRPr="001352AB">
        <w:t xml:space="preserve">, </w:t>
      </w:r>
      <w:r w:rsidRPr="001352AB">
        <w:rPr>
          <w:rFonts w:ascii="Sylfaen" w:hAnsi="Sylfaen" w:cs="Sylfaen"/>
        </w:rPr>
        <w:t>ჯანმრთელობის</w:t>
      </w:r>
      <w:r w:rsidRPr="001352AB">
        <w:t xml:space="preserve"> </w:t>
      </w:r>
      <w:r w:rsidRPr="001352AB">
        <w:rPr>
          <w:rFonts w:ascii="Sylfaen" w:hAnsi="Sylfaen" w:cs="Sylfaen"/>
        </w:rPr>
        <w:t>რისკების</w:t>
      </w:r>
      <w:r w:rsidRPr="001352AB">
        <w:t xml:space="preserve">, </w:t>
      </w:r>
      <w:r w:rsidRPr="001352AB">
        <w:rPr>
          <w:rFonts w:ascii="Sylfaen" w:hAnsi="Sylfaen" w:cs="Sylfaen"/>
        </w:rPr>
        <w:t>შიდსის</w:t>
      </w:r>
      <w:r w:rsidRPr="001352AB">
        <w:t xml:space="preserve"> </w:t>
      </w:r>
      <w:r w:rsidRPr="001352AB">
        <w:rPr>
          <w:rFonts w:ascii="Sylfaen" w:hAnsi="Sylfaen" w:cs="Sylfaen"/>
        </w:rPr>
        <w:t>პრევენციის</w:t>
      </w:r>
      <w:r w:rsidRPr="001352AB">
        <w:t xml:space="preserve"> </w:t>
      </w:r>
      <w:r w:rsidRPr="001352AB">
        <w:rPr>
          <w:rFonts w:ascii="Sylfaen" w:hAnsi="Sylfaen" w:cs="Sylfaen"/>
        </w:rPr>
        <w:t>და</w:t>
      </w:r>
      <w:r w:rsidRPr="001352AB">
        <w:t xml:space="preserve"> </w:t>
      </w:r>
      <w:r w:rsidRPr="001352AB">
        <w:rPr>
          <w:rFonts w:ascii="Sylfaen" w:hAnsi="Sylfaen" w:cs="Sylfaen"/>
        </w:rPr>
        <w:t>სამუშაოს</w:t>
      </w:r>
      <w:r w:rsidRPr="001352AB">
        <w:t xml:space="preserve"> </w:t>
      </w:r>
      <w:r w:rsidRPr="001352AB">
        <w:rPr>
          <w:rFonts w:ascii="Sylfaen" w:hAnsi="Sylfaen" w:cs="Sylfaen"/>
        </w:rPr>
        <w:t>უსაფრთხოების</w:t>
      </w:r>
      <w:r w:rsidRPr="001352AB">
        <w:t xml:space="preserve"> </w:t>
      </w:r>
      <w:r w:rsidRPr="001352AB">
        <w:rPr>
          <w:rFonts w:ascii="Sylfaen" w:hAnsi="Sylfaen" w:cs="Sylfaen"/>
        </w:rPr>
        <w:t>ზომების</w:t>
      </w:r>
      <w:r w:rsidRPr="001352AB">
        <w:t xml:space="preserve"> </w:t>
      </w:r>
      <w:r w:rsidRPr="001352AB">
        <w:rPr>
          <w:rFonts w:ascii="Sylfaen" w:hAnsi="Sylfaen" w:cs="Sylfaen"/>
        </w:rPr>
        <w:t>შესახებ</w:t>
      </w:r>
      <w:r w:rsidRPr="001352AB">
        <w:t xml:space="preserve">. </w:t>
      </w:r>
      <w:r w:rsidRPr="001352AB">
        <w:rPr>
          <w:rFonts w:ascii="Sylfaen" w:hAnsi="Sylfaen" w:cs="Sylfaen"/>
        </w:rPr>
        <w:t>ზედამხედველი</w:t>
      </w:r>
      <w:r w:rsidRPr="001352AB">
        <w:t xml:space="preserve"> </w:t>
      </w:r>
      <w:r w:rsidRPr="001352AB">
        <w:rPr>
          <w:rFonts w:ascii="Sylfaen" w:hAnsi="Sylfaen" w:cs="Sylfaen"/>
        </w:rPr>
        <w:t>და</w:t>
      </w:r>
      <w:r w:rsidRPr="001352AB">
        <w:t xml:space="preserve"> </w:t>
      </w:r>
      <w:r w:rsidRPr="001352AB">
        <w:rPr>
          <w:rFonts w:ascii="Sylfaen" w:hAnsi="Sylfaen" w:cs="Sylfaen"/>
        </w:rPr>
        <w:t>საგზაო</w:t>
      </w:r>
      <w:r w:rsidRPr="001352AB">
        <w:t xml:space="preserve"> </w:t>
      </w:r>
      <w:r w:rsidRPr="001352AB">
        <w:rPr>
          <w:rFonts w:ascii="Sylfaen" w:hAnsi="Sylfaen" w:cs="Sylfaen"/>
        </w:rPr>
        <w:t>დეპარტამენტი</w:t>
      </w:r>
      <w:r w:rsidRPr="001352AB">
        <w:t xml:space="preserve"> </w:t>
      </w:r>
      <w:r w:rsidRPr="001352AB">
        <w:rPr>
          <w:rFonts w:ascii="Sylfaen" w:hAnsi="Sylfaen" w:cs="Sylfaen"/>
        </w:rPr>
        <w:t>ზედმიწევნით</w:t>
      </w:r>
      <w:r w:rsidRPr="001352AB">
        <w:t xml:space="preserve"> </w:t>
      </w:r>
      <w:r w:rsidRPr="001352AB">
        <w:rPr>
          <w:rFonts w:ascii="Sylfaen" w:hAnsi="Sylfaen" w:cs="Sylfaen"/>
        </w:rPr>
        <w:t>მონიტორინგს</w:t>
      </w:r>
      <w:r w:rsidRPr="001352AB">
        <w:t xml:space="preserve"> </w:t>
      </w:r>
      <w:r w:rsidRPr="001352AB">
        <w:rPr>
          <w:rFonts w:ascii="Sylfaen" w:hAnsi="Sylfaen" w:cs="Sylfaen"/>
        </w:rPr>
        <w:t>გაუწევს</w:t>
      </w:r>
      <w:r w:rsidRPr="001352AB">
        <w:t xml:space="preserve"> </w:t>
      </w:r>
      <w:r w:rsidRPr="001352AB">
        <w:rPr>
          <w:rFonts w:ascii="Sylfaen" w:hAnsi="Sylfaen" w:cs="Sylfaen"/>
        </w:rPr>
        <w:t>აღნიშნულის</w:t>
      </w:r>
      <w:r w:rsidRPr="001352AB">
        <w:t xml:space="preserve"> </w:t>
      </w:r>
      <w:r w:rsidRPr="001352AB">
        <w:rPr>
          <w:rFonts w:ascii="Sylfaen" w:hAnsi="Sylfaen" w:cs="Sylfaen"/>
        </w:rPr>
        <w:t>განხორციელებას</w:t>
      </w:r>
      <w:r w:rsidRPr="001352AB">
        <w:t xml:space="preserve"> </w:t>
      </w:r>
      <w:r w:rsidRPr="001352AB">
        <w:rPr>
          <w:rFonts w:ascii="Sylfaen" w:hAnsi="Sylfaen" w:cs="Sylfaen"/>
        </w:rPr>
        <w:t>სამშენებლო</w:t>
      </w:r>
      <w:r w:rsidRPr="001352AB">
        <w:t xml:space="preserve"> </w:t>
      </w:r>
      <w:r w:rsidRPr="001352AB">
        <w:rPr>
          <w:rFonts w:ascii="Sylfaen" w:hAnsi="Sylfaen" w:cs="Sylfaen"/>
        </w:rPr>
        <w:t>კომპანიის</w:t>
      </w:r>
      <w:r w:rsidRPr="001352AB">
        <w:t xml:space="preserve"> </w:t>
      </w:r>
      <w:r w:rsidRPr="001352AB">
        <w:rPr>
          <w:rFonts w:ascii="Sylfaen" w:hAnsi="Sylfaen" w:cs="Sylfaen"/>
        </w:rPr>
        <w:t>მიერ</w:t>
      </w:r>
      <w:r w:rsidRPr="001352AB">
        <w:t>.</w:t>
      </w:r>
    </w:p>
    <w:p w14:paraId="46273285" w14:textId="77777777" w:rsidR="00CD64B5" w:rsidRPr="001352AB" w:rsidRDefault="00CD64B5" w:rsidP="000E38C6">
      <w:pPr>
        <w:spacing w:before="120" w:after="120"/>
      </w:pPr>
    </w:p>
    <w:p w14:paraId="68CA0556" w14:textId="77777777" w:rsidR="00CD64B5" w:rsidRPr="001352AB" w:rsidRDefault="00CD64B5" w:rsidP="000E38C6">
      <w:pPr>
        <w:spacing w:before="120" w:after="120"/>
      </w:pPr>
    </w:p>
    <w:p w14:paraId="05308DCA" w14:textId="77777777" w:rsidR="00692F2E" w:rsidRPr="002405D4" w:rsidRDefault="00692F2E" w:rsidP="002405D4">
      <w:pPr>
        <w:pStyle w:val="EIAheading2"/>
      </w:pPr>
      <w:bookmarkStart w:id="435" w:name="_Toc1581581"/>
      <w:bookmarkEnd w:id="225"/>
      <w:bookmarkEnd w:id="226"/>
      <w:bookmarkEnd w:id="227"/>
      <w:bookmarkEnd w:id="228"/>
      <w:r>
        <w:rPr>
          <w:rFonts w:ascii="Sylfaen" w:eastAsia="Arial" w:hAnsi="Sylfaen"/>
          <w:sz w:val="22"/>
          <w:szCs w:val="22"/>
          <w:lang w:val="ka-GE"/>
        </w:rPr>
        <w:t xml:space="preserve">7.10 </w:t>
      </w:r>
      <w:bookmarkStart w:id="436" w:name="_Toc464212209"/>
      <w:bookmarkStart w:id="437" w:name="_Toc479164808"/>
      <w:bookmarkStart w:id="438" w:name="_Toc479166538"/>
      <w:bookmarkStart w:id="439" w:name="_Toc495314406"/>
      <w:r w:rsidR="00BA71D2" w:rsidRPr="007B3E93">
        <w:rPr>
          <w:rFonts w:ascii="Sylfaen" w:hAnsi="Sylfaen" w:cs="Sylfaen"/>
        </w:rPr>
        <w:t>ზემოქმედება</w:t>
      </w:r>
      <w:r w:rsidR="00BA71D2" w:rsidRPr="007B3E93">
        <w:t xml:space="preserve"> </w:t>
      </w:r>
      <w:r w:rsidR="00BA71D2" w:rsidRPr="007B3E93">
        <w:rPr>
          <w:rFonts w:ascii="Sylfaen" w:hAnsi="Sylfaen" w:cs="Sylfaen"/>
        </w:rPr>
        <w:t>სოციალურ</w:t>
      </w:r>
      <w:r w:rsidR="00BA71D2" w:rsidRPr="007B3E93">
        <w:t>-</w:t>
      </w:r>
      <w:r w:rsidR="00BA71D2" w:rsidRPr="007B3E93">
        <w:rPr>
          <w:rFonts w:ascii="Sylfaen" w:hAnsi="Sylfaen" w:cs="Sylfaen"/>
        </w:rPr>
        <w:t>ეკონომიკურ</w:t>
      </w:r>
      <w:r w:rsidR="00BA71D2" w:rsidRPr="007B3E93">
        <w:t xml:space="preserve"> </w:t>
      </w:r>
      <w:r w:rsidR="00BA71D2" w:rsidRPr="007B3E93">
        <w:rPr>
          <w:rFonts w:ascii="Sylfaen" w:hAnsi="Sylfaen" w:cs="Sylfaen"/>
        </w:rPr>
        <w:t>გარემოზე</w:t>
      </w:r>
      <w:bookmarkEnd w:id="435"/>
      <w:bookmarkEnd w:id="436"/>
      <w:bookmarkEnd w:id="437"/>
      <w:bookmarkEnd w:id="438"/>
      <w:bookmarkEnd w:id="439"/>
    </w:p>
    <w:p w14:paraId="7947714A" w14:textId="77777777" w:rsidR="009F08E4" w:rsidRPr="00F80CCF" w:rsidRDefault="009F08E4" w:rsidP="009F08E4">
      <w:pPr>
        <w:spacing w:before="200" w:after="200"/>
        <w:ind w:right="-90"/>
        <w:rPr>
          <w:rFonts w:ascii="Sylfaen" w:hAnsi="Sylfaen"/>
          <w:color w:val="FF0000"/>
          <w:lang w:val="ka-GE"/>
        </w:rPr>
      </w:pPr>
      <w:r w:rsidRPr="00F80CCF">
        <w:rPr>
          <w:rFonts w:ascii="Sylfaen" w:hAnsi="Sylfaen" w:cs="Sylfaen"/>
          <w:lang w:val="ka-GE"/>
        </w:rPr>
        <w:t>გურჯაანი (ჩუმლაყი) - თელავის</w:t>
      </w:r>
      <w:r w:rsidRPr="00F80CCF">
        <w:rPr>
          <w:rFonts w:ascii="Sylfaen" w:hAnsi="Sylfaen"/>
          <w:lang w:val="ka-GE"/>
        </w:rPr>
        <w:t xml:space="preserve"> ასაქცევი გზის საპროექტო </w:t>
      </w:r>
      <w:r w:rsidRPr="00F80CCF">
        <w:rPr>
          <w:rFonts w:ascii="Sylfaen" w:hAnsi="Sylfaen" w:cs="Sylfaen"/>
          <w:lang w:val="ka-GE"/>
        </w:rPr>
        <w:t>მონაკვეთი</w:t>
      </w:r>
      <w:r w:rsidRPr="00F80CCF">
        <w:rPr>
          <w:rFonts w:ascii="Sylfaen" w:hAnsi="Sylfaen"/>
          <w:lang w:val="ka-GE"/>
        </w:rPr>
        <w:t xml:space="preserve"> </w:t>
      </w:r>
      <w:r w:rsidRPr="00F80CCF">
        <w:rPr>
          <w:rFonts w:ascii="Sylfaen" w:hAnsi="Sylfaen" w:cs="Sylfaen"/>
          <w:lang w:val="ka-GE"/>
        </w:rPr>
        <w:t>ტერიტორიულად</w:t>
      </w:r>
      <w:r w:rsidRPr="00F80CCF">
        <w:rPr>
          <w:rFonts w:ascii="Sylfaen" w:hAnsi="Sylfaen"/>
          <w:lang w:val="ka-GE"/>
        </w:rPr>
        <w:t xml:space="preserve"> </w:t>
      </w:r>
      <w:r w:rsidRPr="00F80CCF">
        <w:rPr>
          <w:rFonts w:ascii="Sylfaen" w:hAnsi="Sylfaen" w:cs="Sylfaen"/>
          <w:lang w:val="ka-GE"/>
        </w:rPr>
        <w:t>მდებარეობს</w:t>
      </w:r>
      <w:r w:rsidRPr="00F80CCF">
        <w:rPr>
          <w:rFonts w:ascii="Sylfaen" w:hAnsi="Sylfaen"/>
          <w:lang w:val="ka-GE"/>
        </w:rPr>
        <w:t xml:space="preserve"> თელავისა და გურჯაანის მუნიციპალიტეტებში. </w:t>
      </w:r>
      <w:r w:rsidRPr="00F80CCF">
        <w:rPr>
          <w:rFonts w:ascii="Sylfaen" w:hAnsi="Sylfaen" w:cs="Sylfaen"/>
          <w:lang w:val="ka-GE"/>
        </w:rPr>
        <w:t>მონაკვეთი</w:t>
      </w:r>
      <w:r w:rsidRPr="00F80CCF">
        <w:rPr>
          <w:rFonts w:ascii="Sylfaen" w:hAnsi="Sylfaen"/>
          <w:lang w:val="ka-GE"/>
        </w:rPr>
        <w:t xml:space="preserve"> </w:t>
      </w:r>
      <w:r w:rsidRPr="00F80CCF">
        <w:rPr>
          <w:rFonts w:ascii="Sylfaen" w:hAnsi="Sylfaen" w:cs="Sylfaen"/>
          <w:lang w:val="ka-GE"/>
        </w:rPr>
        <w:t>იწყება</w:t>
      </w:r>
      <w:r w:rsidRPr="00F80CCF">
        <w:rPr>
          <w:rFonts w:ascii="Sylfaen" w:hAnsi="Sylfaen"/>
          <w:lang w:val="ka-GE"/>
        </w:rPr>
        <w:t xml:space="preserve"> სოფ. ჩუმლაყიდან</w:t>
      </w:r>
      <w:r w:rsidRPr="00F80CCF">
        <w:rPr>
          <w:rFonts w:ascii="Sylfaen" w:hAnsi="Sylfaen"/>
          <w:color w:val="FF0000"/>
          <w:lang w:val="ka-GE"/>
        </w:rPr>
        <w:t xml:space="preserve"> </w:t>
      </w:r>
      <w:r w:rsidRPr="00F80CCF">
        <w:rPr>
          <w:rFonts w:ascii="Sylfaen" w:hAnsi="Sylfaen"/>
          <w:lang w:val="ka-GE"/>
        </w:rPr>
        <w:t xml:space="preserve">გაივლის გურჯაანის მუნიციპალიტეტის ტერიტორიას, გრძელდება თელავის მუნიციპალიტეტის ტერიტორიაზე და მთავრდება </w:t>
      </w:r>
      <w:r>
        <w:rPr>
          <w:rFonts w:ascii="Sylfaen" w:hAnsi="Sylfaen"/>
          <w:lang w:val="ka-GE"/>
        </w:rPr>
        <w:t>თელავში.</w:t>
      </w:r>
      <w:r w:rsidRPr="00F80CCF">
        <w:rPr>
          <w:rFonts w:ascii="Sylfaen" w:hAnsi="Sylfaen"/>
          <w:color w:val="FF0000"/>
          <w:lang w:val="ka-GE"/>
        </w:rPr>
        <w:t xml:space="preserve"> </w:t>
      </w:r>
    </w:p>
    <w:p w14:paraId="44D21420" w14:textId="77777777" w:rsidR="009F08E4" w:rsidRPr="00F80CCF" w:rsidRDefault="009F08E4" w:rsidP="009F08E4">
      <w:pPr>
        <w:spacing w:before="200" w:after="200"/>
        <w:ind w:right="-90"/>
        <w:rPr>
          <w:rFonts w:ascii="Sylfaen" w:hAnsi="Sylfaen"/>
          <w:lang w:val="ka-GE"/>
        </w:rPr>
      </w:pPr>
      <w:r w:rsidRPr="00F80CCF">
        <w:rPr>
          <w:rFonts w:ascii="Sylfaen" w:hAnsi="Sylfaen" w:cs="Sylfaen"/>
          <w:lang w:val="ka-GE"/>
        </w:rPr>
        <w:t>არსებული</w:t>
      </w:r>
      <w:r w:rsidRPr="00F80CCF">
        <w:rPr>
          <w:rFonts w:ascii="Sylfaen" w:hAnsi="Sylfaen"/>
          <w:lang w:val="ka-GE"/>
        </w:rPr>
        <w:t xml:space="preserve"> </w:t>
      </w:r>
      <w:r w:rsidRPr="00F80CCF">
        <w:rPr>
          <w:rFonts w:ascii="Sylfaen" w:hAnsi="Sylfaen" w:cs="Sylfaen"/>
          <w:lang w:val="ka-GE"/>
        </w:rPr>
        <w:t>წინასწარი</w:t>
      </w:r>
      <w:r w:rsidRPr="00F80CCF">
        <w:rPr>
          <w:rFonts w:ascii="Sylfaen" w:hAnsi="Sylfaen"/>
          <w:lang w:val="ka-GE"/>
        </w:rPr>
        <w:t xml:space="preserve"> </w:t>
      </w:r>
      <w:r w:rsidRPr="00F80CCF">
        <w:rPr>
          <w:rFonts w:ascii="Sylfaen" w:hAnsi="Sylfaen" w:cs="Sylfaen"/>
          <w:lang w:val="ka-GE"/>
        </w:rPr>
        <w:t>პროექტის</w:t>
      </w:r>
      <w:r w:rsidRPr="00F80CCF">
        <w:rPr>
          <w:rFonts w:ascii="Sylfaen" w:hAnsi="Sylfaen"/>
          <w:lang w:val="ka-GE"/>
        </w:rPr>
        <w:t xml:space="preserve"> </w:t>
      </w:r>
      <w:r w:rsidRPr="00F80CCF">
        <w:rPr>
          <w:rFonts w:ascii="Sylfaen" w:hAnsi="Sylfaen" w:cs="Sylfaen"/>
          <w:lang w:val="ka-GE"/>
        </w:rPr>
        <w:t>მიხედვით</w:t>
      </w:r>
      <w:r w:rsidRPr="00F80CCF">
        <w:rPr>
          <w:rFonts w:ascii="Sylfaen" w:hAnsi="Sylfaen"/>
          <w:lang w:val="ka-GE"/>
        </w:rPr>
        <w:t xml:space="preserve">, საპროექტო ზონაში არ არის განლაგებული ბევრი ობიექტი და </w:t>
      </w:r>
      <w:r w:rsidRPr="00F80CCF">
        <w:rPr>
          <w:rFonts w:ascii="Sylfaen" w:hAnsi="Sylfaen" w:cs="Sylfaen"/>
          <w:lang w:val="ka-GE"/>
        </w:rPr>
        <w:t>ინფრასტრუქტურული</w:t>
      </w:r>
      <w:r w:rsidRPr="00F80CCF">
        <w:rPr>
          <w:rFonts w:ascii="Sylfaen" w:hAnsi="Sylfaen"/>
          <w:lang w:val="ka-GE"/>
        </w:rPr>
        <w:t xml:space="preserve"> </w:t>
      </w:r>
      <w:r w:rsidRPr="00F80CCF">
        <w:rPr>
          <w:rFonts w:ascii="Sylfaen" w:hAnsi="Sylfaen" w:cs="Sylfaen"/>
          <w:lang w:val="ka-GE"/>
        </w:rPr>
        <w:t>შენობა</w:t>
      </w:r>
      <w:r w:rsidRPr="00F80CCF">
        <w:rPr>
          <w:rFonts w:ascii="Sylfaen" w:hAnsi="Sylfaen"/>
          <w:lang w:val="ka-GE"/>
        </w:rPr>
        <w:t>-</w:t>
      </w:r>
      <w:r w:rsidRPr="00F80CCF">
        <w:rPr>
          <w:rFonts w:ascii="Sylfaen" w:hAnsi="Sylfaen" w:cs="Sylfaen"/>
          <w:lang w:val="ka-GE"/>
        </w:rPr>
        <w:t>ნაგებობებზე</w:t>
      </w:r>
      <w:r w:rsidRPr="00F80CCF">
        <w:rPr>
          <w:rFonts w:ascii="Sylfaen" w:hAnsi="Sylfaen"/>
          <w:lang w:val="ka-GE"/>
        </w:rPr>
        <w:t xml:space="preserve">. აქედან გამომდინარე პროექტს პირდაპირი ზეგავლენა არ ექნება არცერთ მნიშვნელოვან ობიექტზე, მისი საპროექტო ზონაში არარსებობის გამო. რაც შეეხება სასოფლო-სამეურნეო მიწის ნაკვეთებსა და ზოგიერთი მონაკვეთის სიახლოვეს განლაგებულ კერძო მფლობელობაში არსებულ შენობა-ნაგებობებს (საცხოვრებელ სახლებს), პროექტის დაზუსტების დროს დადგინდება თუ რა სახის ზემოქმედებას განიცდიან ისინი და გახდება თუ არა საჭირო გამოსყიდვის პროცედურები. </w:t>
      </w:r>
    </w:p>
    <w:p w14:paraId="4A5AED5C" w14:textId="77777777" w:rsidR="009F08E4" w:rsidRPr="00F80CCF" w:rsidRDefault="009F08E4" w:rsidP="009F08E4">
      <w:pPr>
        <w:spacing w:before="200" w:after="200"/>
        <w:ind w:right="-90"/>
        <w:rPr>
          <w:rFonts w:ascii="Sylfaen" w:hAnsi="Sylfaen"/>
          <w:lang w:val="ka-GE"/>
        </w:rPr>
      </w:pPr>
      <w:r>
        <w:rPr>
          <w:rFonts w:ascii="Sylfaen" w:hAnsi="Sylfaen" w:cs="Sylfaen"/>
          <w:lang w:val="ka-GE"/>
        </w:rPr>
        <w:t>ა</w:t>
      </w:r>
      <w:r w:rsidRPr="00F80CCF">
        <w:rPr>
          <w:rFonts w:ascii="Sylfaen" w:hAnsi="Sylfaen" w:cs="Sylfaen"/>
          <w:lang w:val="ka-GE"/>
        </w:rPr>
        <w:t>ღნიშნულ</w:t>
      </w:r>
      <w:r w:rsidRPr="00F80CCF">
        <w:rPr>
          <w:rFonts w:ascii="Sylfaen" w:hAnsi="Sylfaen"/>
          <w:lang w:val="ka-GE"/>
        </w:rPr>
        <w:t xml:space="preserve"> </w:t>
      </w:r>
      <w:r w:rsidRPr="00F80CCF">
        <w:rPr>
          <w:rFonts w:ascii="Sylfaen" w:hAnsi="Sylfaen" w:cs="Sylfaen"/>
          <w:lang w:val="ka-GE"/>
        </w:rPr>
        <w:t>მონაკვეთზე</w:t>
      </w:r>
      <w:r w:rsidRPr="00F80CCF">
        <w:rPr>
          <w:rFonts w:ascii="Sylfaen" w:hAnsi="Sylfaen"/>
          <w:lang w:val="ka-GE"/>
        </w:rPr>
        <w:t xml:space="preserve"> არსებული </w:t>
      </w:r>
      <w:r w:rsidRPr="00F80CCF">
        <w:rPr>
          <w:rFonts w:ascii="Sylfaen" w:hAnsi="Sylfaen" w:cs="Sylfaen"/>
          <w:lang w:val="ka-GE"/>
        </w:rPr>
        <w:t>ავტომაგისტრალის</w:t>
      </w:r>
      <w:r w:rsidRPr="00F80CCF">
        <w:rPr>
          <w:rFonts w:ascii="Sylfaen" w:hAnsi="Sylfaen"/>
          <w:lang w:val="ka-GE"/>
        </w:rPr>
        <w:t xml:space="preserve"> </w:t>
      </w:r>
      <w:r w:rsidRPr="00F80CCF">
        <w:rPr>
          <w:rFonts w:ascii="Sylfaen" w:hAnsi="Sylfaen" w:cs="Sylfaen"/>
          <w:lang w:val="ka-GE"/>
        </w:rPr>
        <w:t>მიმდებარე</w:t>
      </w:r>
      <w:r w:rsidRPr="00F80CCF">
        <w:rPr>
          <w:rFonts w:ascii="Sylfaen" w:hAnsi="Sylfaen"/>
          <w:lang w:val="ka-GE"/>
        </w:rPr>
        <w:t xml:space="preserve"> </w:t>
      </w:r>
      <w:r w:rsidRPr="00F80CCF">
        <w:rPr>
          <w:rFonts w:ascii="Sylfaen" w:hAnsi="Sylfaen" w:cs="Sylfaen"/>
          <w:lang w:val="ka-GE"/>
        </w:rPr>
        <w:t>ტერიტორიაზე განთავსებულია</w:t>
      </w:r>
      <w:r w:rsidRPr="00F80CCF">
        <w:rPr>
          <w:rFonts w:ascii="Sylfaen" w:hAnsi="Sylfaen"/>
          <w:lang w:val="ka-GE"/>
        </w:rPr>
        <w:t xml:space="preserve"> რამდენიმე </w:t>
      </w:r>
      <w:r w:rsidRPr="00F80CCF">
        <w:rPr>
          <w:rFonts w:ascii="Sylfaen" w:hAnsi="Sylfaen" w:cs="Sylfaen"/>
          <w:lang w:val="ka-GE"/>
        </w:rPr>
        <w:t>კვების</w:t>
      </w:r>
      <w:r w:rsidRPr="00F80CCF">
        <w:rPr>
          <w:rFonts w:ascii="Sylfaen" w:hAnsi="Sylfaen"/>
          <w:lang w:val="ka-GE"/>
        </w:rPr>
        <w:t xml:space="preserve"> </w:t>
      </w:r>
      <w:r w:rsidRPr="00F80CCF">
        <w:rPr>
          <w:rFonts w:ascii="Sylfaen" w:hAnsi="Sylfaen" w:cs="Sylfaen"/>
          <w:lang w:val="ka-GE"/>
        </w:rPr>
        <w:t>ობიექტი, პატარა მაღაზიები (მცენარეთა მოვლის საშუალებების და საკვები პროდუქტების) და</w:t>
      </w:r>
      <w:r w:rsidRPr="00F80CCF">
        <w:rPr>
          <w:rFonts w:ascii="Sylfaen" w:hAnsi="Sylfaen"/>
          <w:lang w:val="ka-GE"/>
        </w:rPr>
        <w:t xml:space="preserve"> </w:t>
      </w:r>
      <w:r w:rsidRPr="00F80CCF">
        <w:rPr>
          <w:rFonts w:ascii="Sylfaen" w:hAnsi="Sylfaen" w:cs="Sylfaen"/>
          <w:lang w:val="ka-GE"/>
        </w:rPr>
        <w:t>ინდივიდუალური</w:t>
      </w:r>
      <w:r w:rsidRPr="00F80CCF">
        <w:rPr>
          <w:rFonts w:ascii="Sylfaen" w:hAnsi="Sylfaen"/>
          <w:lang w:val="ka-GE"/>
        </w:rPr>
        <w:t xml:space="preserve"> </w:t>
      </w:r>
      <w:r w:rsidRPr="00F80CCF">
        <w:rPr>
          <w:rFonts w:ascii="Sylfaen" w:hAnsi="Sylfaen" w:cs="Sylfaen"/>
          <w:lang w:val="ka-GE"/>
        </w:rPr>
        <w:t>მოვაჭრეები</w:t>
      </w:r>
      <w:r w:rsidRPr="00F80CCF">
        <w:rPr>
          <w:rFonts w:ascii="Sylfaen" w:hAnsi="Sylfaen"/>
          <w:lang w:val="ka-GE"/>
        </w:rPr>
        <w:t xml:space="preserve"> - </w:t>
      </w:r>
      <w:r w:rsidRPr="00F80CCF">
        <w:rPr>
          <w:rFonts w:ascii="Sylfaen" w:hAnsi="Sylfaen" w:cs="Sylfaen"/>
          <w:lang w:val="ka-GE"/>
        </w:rPr>
        <w:t>ისინი</w:t>
      </w:r>
      <w:r w:rsidRPr="00F80CCF">
        <w:rPr>
          <w:rFonts w:ascii="Sylfaen" w:hAnsi="Sylfaen"/>
          <w:lang w:val="ka-GE"/>
        </w:rPr>
        <w:t xml:space="preserve"> </w:t>
      </w:r>
      <w:r w:rsidRPr="00F80CCF">
        <w:rPr>
          <w:rFonts w:ascii="Sylfaen" w:hAnsi="Sylfaen" w:cs="Sylfaen"/>
          <w:lang w:val="ka-GE"/>
        </w:rPr>
        <w:t>წარმოადგენენ</w:t>
      </w:r>
      <w:r w:rsidRPr="00F80CCF">
        <w:rPr>
          <w:rFonts w:ascii="Sylfaen" w:hAnsi="Sylfaen"/>
          <w:lang w:val="ka-GE"/>
        </w:rPr>
        <w:t xml:space="preserve"> </w:t>
      </w:r>
      <w:r w:rsidRPr="00F80CCF">
        <w:rPr>
          <w:rFonts w:ascii="Sylfaen" w:hAnsi="Sylfaen" w:cs="Sylfaen"/>
          <w:lang w:val="ka-GE"/>
        </w:rPr>
        <w:t>ადგილობრივ</w:t>
      </w:r>
      <w:r w:rsidRPr="00F80CCF">
        <w:rPr>
          <w:rFonts w:ascii="Sylfaen" w:hAnsi="Sylfaen"/>
          <w:lang w:val="ka-GE"/>
        </w:rPr>
        <w:t xml:space="preserve"> </w:t>
      </w:r>
      <w:r w:rsidRPr="00F80CCF">
        <w:rPr>
          <w:rFonts w:ascii="Sylfaen" w:hAnsi="Sylfaen" w:cs="Sylfaen"/>
          <w:lang w:val="ka-GE"/>
        </w:rPr>
        <w:t>მოსახლეობას</w:t>
      </w:r>
      <w:r w:rsidRPr="00F80CCF">
        <w:rPr>
          <w:rFonts w:ascii="Sylfaen" w:hAnsi="Sylfaen"/>
          <w:lang w:val="ka-GE"/>
        </w:rPr>
        <w:t xml:space="preserve">,  </w:t>
      </w:r>
      <w:r w:rsidRPr="00F80CCF">
        <w:rPr>
          <w:rFonts w:ascii="Sylfaen" w:hAnsi="Sylfaen" w:cs="Sylfaen"/>
          <w:lang w:val="ka-GE"/>
        </w:rPr>
        <w:t>რომლებიც</w:t>
      </w:r>
      <w:r w:rsidRPr="00F80CCF">
        <w:rPr>
          <w:rFonts w:ascii="Sylfaen" w:hAnsi="Sylfaen"/>
          <w:lang w:val="ka-GE"/>
        </w:rPr>
        <w:t xml:space="preserve"> </w:t>
      </w:r>
      <w:r w:rsidRPr="00F80CCF">
        <w:rPr>
          <w:rFonts w:ascii="Sylfaen" w:hAnsi="Sylfaen" w:cs="Sylfaen"/>
          <w:lang w:val="ka-GE"/>
        </w:rPr>
        <w:t>სეზონურად</w:t>
      </w:r>
      <w:r w:rsidRPr="00F80CCF">
        <w:rPr>
          <w:rFonts w:ascii="Sylfaen" w:hAnsi="Sylfaen"/>
          <w:lang w:val="ka-GE"/>
        </w:rPr>
        <w:t xml:space="preserve"> </w:t>
      </w:r>
      <w:r w:rsidRPr="00F80CCF">
        <w:rPr>
          <w:rFonts w:ascii="Sylfaen" w:hAnsi="Sylfaen" w:cs="Sylfaen"/>
          <w:lang w:val="ka-GE"/>
        </w:rPr>
        <w:t>ვაჭრობენ</w:t>
      </w:r>
      <w:r w:rsidRPr="00F80CCF">
        <w:rPr>
          <w:rFonts w:ascii="Sylfaen" w:hAnsi="Sylfaen"/>
          <w:lang w:val="ka-GE"/>
        </w:rPr>
        <w:t xml:space="preserve"> </w:t>
      </w:r>
      <w:r w:rsidRPr="00F80CCF">
        <w:rPr>
          <w:rFonts w:ascii="Sylfaen" w:hAnsi="Sylfaen" w:cs="Sylfaen"/>
          <w:lang w:val="ka-GE"/>
        </w:rPr>
        <w:t>მათ</w:t>
      </w:r>
      <w:r w:rsidRPr="00F80CCF">
        <w:rPr>
          <w:rFonts w:ascii="Sylfaen" w:hAnsi="Sylfaen"/>
          <w:lang w:val="ka-GE"/>
        </w:rPr>
        <w:t xml:space="preserve"> </w:t>
      </w:r>
      <w:r w:rsidRPr="00F80CCF">
        <w:rPr>
          <w:rFonts w:ascii="Sylfaen" w:hAnsi="Sylfaen" w:cs="Sylfaen"/>
          <w:lang w:val="ka-GE"/>
        </w:rPr>
        <w:t>მიერ</w:t>
      </w:r>
      <w:r w:rsidRPr="00F80CCF">
        <w:rPr>
          <w:rFonts w:ascii="Sylfaen" w:hAnsi="Sylfaen"/>
          <w:lang w:val="ka-GE"/>
        </w:rPr>
        <w:t xml:space="preserve"> </w:t>
      </w:r>
      <w:r w:rsidRPr="00F80CCF">
        <w:rPr>
          <w:rFonts w:ascii="Sylfaen" w:hAnsi="Sylfaen" w:cs="Sylfaen"/>
          <w:lang w:val="ka-GE"/>
        </w:rPr>
        <w:t>მოყვანილი</w:t>
      </w:r>
      <w:r w:rsidRPr="00F80CCF">
        <w:rPr>
          <w:rFonts w:ascii="Sylfaen" w:hAnsi="Sylfaen"/>
          <w:lang w:val="ka-GE"/>
        </w:rPr>
        <w:t xml:space="preserve"> </w:t>
      </w:r>
      <w:r w:rsidRPr="00F80CCF">
        <w:rPr>
          <w:rFonts w:ascii="Sylfaen" w:hAnsi="Sylfaen" w:cs="Sylfaen"/>
          <w:lang w:val="ka-GE"/>
        </w:rPr>
        <w:t>მოსავლით</w:t>
      </w:r>
      <w:r w:rsidRPr="00F80CCF">
        <w:rPr>
          <w:rFonts w:ascii="Sylfaen" w:hAnsi="Sylfaen"/>
          <w:lang w:val="ka-GE"/>
        </w:rPr>
        <w:t>. სწორედ ეს მოვაჭრეები განიცდიან ზეგავლენას ახალი ასაქცევი გზის მშენებლობის დასრულების შემდეგ, ვინაიდან არსებულ გზაზე აღარ იქნება ინტენსიური მოძრაობა, გზა განიტვირთება და ის სეგმენტი, რომელზეც გათვლილია მათ მიერ წარმოებული პროდუქციის გასაღება ნაკლებად იმოძრავებს არსებულ გზაზე.</w:t>
      </w:r>
      <w:r w:rsidRPr="00F80CCF">
        <w:rPr>
          <w:rFonts w:ascii="Sylfaen" w:hAnsi="Sylfaen"/>
          <w:color w:val="FF0000"/>
          <w:lang w:val="ka-GE"/>
        </w:rPr>
        <w:t xml:space="preserve"> </w:t>
      </w:r>
      <w:r w:rsidRPr="00F80CCF">
        <w:rPr>
          <w:rFonts w:ascii="Sylfaen" w:hAnsi="Sylfaen" w:cs="Sylfaen"/>
          <w:lang w:val="ka-GE"/>
        </w:rPr>
        <w:t>პროექტის</w:t>
      </w:r>
      <w:r w:rsidRPr="00F80CCF">
        <w:rPr>
          <w:rFonts w:ascii="Sylfaen" w:hAnsi="Sylfaen"/>
          <w:lang w:val="ka-GE"/>
        </w:rPr>
        <w:t xml:space="preserve"> </w:t>
      </w:r>
      <w:r w:rsidRPr="00F80CCF">
        <w:rPr>
          <w:rFonts w:ascii="Sylfaen" w:hAnsi="Sylfaen" w:cs="Sylfaen"/>
          <w:lang w:val="ka-GE"/>
        </w:rPr>
        <w:t>განხორციელების</w:t>
      </w:r>
      <w:r w:rsidRPr="00F80CCF">
        <w:rPr>
          <w:rFonts w:ascii="Sylfaen" w:hAnsi="Sylfaen"/>
          <w:lang w:val="ka-GE"/>
        </w:rPr>
        <w:t xml:space="preserve"> </w:t>
      </w:r>
      <w:r w:rsidRPr="00F80CCF">
        <w:rPr>
          <w:rFonts w:ascii="Sylfaen" w:hAnsi="Sylfaen" w:cs="Sylfaen"/>
          <w:lang w:val="ka-GE"/>
        </w:rPr>
        <w:t>შედეგად</w:t>
      </w:r>
      <w:r w:rsidRPr="00F80CCF">
        <w:rPr>
          <w:rFonts w:ascii="Sylfaen" w:hAnsi="Sylfaen"/>
          <w:lang w:val="ka-GE"/>
        </w:rPr>
        <w:t xml:space="preserve"> მნიშვნელოვნად არ </w:t>
      </w:r>
      <w:r w:rsidRPr="00F80CCF">
        <w:rPr>
          <w:rFonts w:ascii="Sylfaen" w:hAnsi="Sylfaen" w:cs="Sylfaen"/>
          <w:lang w:val="ka-GE"/>
        </w:rPr>
        <w:t>შემცირდება</w:t>
      </w:r>
      <w:r w:rsidRPr="00F80CCF">
        <w:rPr>
          <w:rFonts w:ascii="Sylfaen" w:hAnsi="Sylfaen"/>
          <w:lang w:val="ka-GE"/>
        </w:rPr>
        <w:t xml:space="preserve"> </w:t>
      </w:r>
      <w:r w:rsidRPr="00F80CCF">
        <w:rPr>
          <w:rFonts w:ascii="Sylfaen" w:hAnsi="Sylfaen" w:cs="Sylfaen"/>
          <w:lang w:val="ka-GE"/>
        </w:rPr>
        <w:t>კერძო</w:t>
      </w:r>
      <w:r w:rsidRPr="00F80CCF">
        <w:rPr>
          <w:rFonts w:ascii="Sylfaen" w:hAnsi="Sylfaen"/>
          <w:lang w:val="ka-GE"/>
        </w:rPr>
        <w:t xml:space="preserve"> </w:t>
      </w:r>
      <w:r w:rsidRPr="00F80CCF">
        <w:rPr>
          <w:rFonts w:ascii="Sylfaen" w:hAnsi="Sylfaen" w:cs="Sylfaen"/>
          <w:lang w:val="ka-GE"/>
        </w:rPr>
        <w:t>სახლებთან</w:t>
      </w:r>
      <w:r w:rsidRPr="00F80CCF">
        <w:rPr>
          <w:rFonts w:ascii="Sylfaen" w:hAnsi="Sylfaen"/>
          <w:lang w:val="ka-GE"/>
        </w:rPr>
        <w:t xml:space="preserve"> </w:t>
      </w:r>
      <w:r w:rsidRPr="00F80CCF">
        <w:rPr>
          <w:rFonts w:ascii="Sylfaen" w:hAnsi="Sylfaen" w:cs="Sylfaen"/>
          <w:lang w:val="ka-GE"/>
        </w:rPr>
        <w:t>არსებული</w:t>
      </w:r>
      <w:r w:rsidRPr="00F80CCF">
        <w:rPr>
          <w:rFonts w:ascii="Sylfaen" w:hAnsi="Sylfaen"/>
          <w:lang w:val="ka-GE"/>
        </w:rPr>
        <w:t xml:space="preserve"> </w:t>
      </w:r>
      <w:r w:rsidRPr="00F80CCF">
        <w:rPr>
          <w:rFonts w:ascii="Sylfaen" w:hAnsi="Sylfaen" w:cs="Sylfaen"/>
          <w:lang w:val="ka-GE"/>
        </w:rPr>
        <w:t>მისასვლელი</w:t>
      </w:r>
      <w:r w:rsidRPr="00F80CCF">
        <w:rPr>
          <w:rFonts w:ascii="Sylfaen" w:hAnsi="Sylfaen"/>
          <w:lang w:val="ka-GE"/>
        </w:rPr>
        <w:t xml:space="preserve"> </w:t>
      </w:r>
      <w:r w:rsidRPr="00F80CCF">
        <w:rPr>
          <w:rFonts w:ascii="Sylfaen" w:hAnsi="Sylfaen" w:cs="Sylfaen"/>
          <w:lang w:val="ka-GE"/>
        </w:rPr>
        <w:t>გზების</w:t>
      </w:r>
      <w:r w:rsidRPr="00F80CCF">
        <w:rPr>
          <w:rFonts w:ascii="Sylfaen" w:hAnsi="Sylfaen"/>
          <w:lang w:val="ka-GE"/>
        </w:rPr>
        <w:t xml:space="preserve"> </w:t>
      </w:r>
      <w:r w:rsidRPr="00F80CCF">
        <w:rPr>
          <w:rFonts w:ascii="Sylfaen" w:hAnsi="Sylfaen" w:cs="Sylfaen"/>
          <w:lang w:val="ka-GE"/>
        </w:rPr>
        <w:t>რაოდენობა</w:t>
      </w:r>
      <w:r w:rsidRPr="00F80CCF">
        <w:rPr>
          <w:rFonts w:ascii="Sylfaen" w:hAnsi="Sylfaen"/>
          <w:lang w:val="ka-GE"/>
        </w:rPr>
        <w:t xml:space="preserve">. </w:t>
      </w:r>
      <w:r w:rsidRPr="00F80CCF">
        <w:rPr>
          <w:rFonts w:ascii="Sylfaen" w:hAnsi="Sylfaen" w:cs="Sylfaen"/>
          <w:lang w:val="ka-GE"/>
        </w:rPr>
        <w:t>ძირითადი</w:t>
      </w:r>
      <w:r w:rsidRPr="00F80CCF">
        <w:rPr>
          <w:rFonts w:ascii="Sylfaen" w:hAnsi="Sylfaen"/>
          <w:lang w:val="ka-GE"/>
        </w:rPr>
        <w:t xml:space="preserve"> </w:t>
      </w:r>
      <w:r w:rsidRPr="00F80CCF">
        <w:rPr>
          <w:rFonts w:ascii="Sylfaen" w:hAnsi="Sylfaen" w:cs="Sylfaen"/>
          <w:lang w:val="ka-GE"/>
        </w:rPr>
        <w:t>სოციალური</w:t>
      </w:r>
      <w:r w:rsidRPr="00F80CCF">
        <w:rPr>
          <w:rFonts w:ascii="Sylfaen" w:hAnsi="Sylfaen"/>
          <w:lang w:val="ka-GE"/>
        </w:rPr>
        <w:t xml:space="preserve"> </w:t>
      </w:r>
      <w:r w:rsidRPr="00F80CCF">
        <w:rPr>
          <w:rFonts w:ascii="Sylfaen" w:hAnsi="Sylfaen" w:cs="Sylfaen"/>
          <w:lang w:val="ka-GE"/>
        </w:rPr>
        <w:t>საკითხები</w:t>
      </w:r>
      <w:r w:rsidRPr="00F80CCF">
        <w:rPr>
          <w:rFonts w:ascii="Sylfaen" w:hAnsi="Sylfaen"/>
          <w:lang w:val="ka-GE"/>
        </w:rPr>
        <w:t xml:space="preserve">, </w:t>
      </w:r>
      <w:r w:rsidRPr="00F80CCF">
        <w:rPr>
          <w:rFonts w:ascii="Sylfaen" w:hAnsi="Sylfaen" w:cs="Sylfaen"/>
          <w:lang w:val="ka-GE"/>
        </w:rPr>
        <w:t>რომლებიც</w:t>
      </w:r>
      <w:r w:rsidRPr="00F80CCF">
        <w:rPr>
          <w:rFonts w:ascii="Sylfaen" w:hAnsi="Sylfaen"/>
          <w:lang w:val="ka-GE"/>
        </w:rPr>
        <w:t xml:space="preserve"> </w:t>
      </w:r>
      <w:r w:rsidRPr="00F80CCF">
        <w:rPr>
          <w:rFonts w:ascii="Sylfaen" w:hAnsi="Sylfaen" w:cs="Sylfaen"/>
          <w:lang w:val="ka-GE"/>
        </w:rPr>
        <w:t>უნდა</w:t>
      </w:r>
      <w:r w:rsidRPr="00F80CCF">
        <w:rPr>
          <w:rFonts w:ascii="Sylfaen" w:hAnsi="Sylfaen"/>
          <w:lang w:val="ka-GE"/>
        </w:rPr>
        <w:t xml:space="preserve"> </w:t>
      </w:r>
      <w:r w:rsidRPr="00F80CCF">
        <w:rPr>
          <w:rFonts w:ascii="Sylfaen" w:hAnsi="Sylfaen" w:cs="Sylfaen"/>
          <w:lang w:val="ka-GE"/>
        </w:rPr>
        <w:t>იქნეს</w:t>
      </w:r>
      <w:r w:rsidRPr="00F80CCF">
        <w:rPr>
          <w:rFonts w:ascii="Sylfaen" w:hAnsi="Sylfaen"/>
          <w:lang w:val="ka-GE"/>
        </w:rPr>
        <w:t xml:space="preserve"> </w:t>
      </w:r>
      <w:r w:rsidRPr="00F80CCF">
        <w:rPr>
          <w:rFonts w:ascii="Sylfaen" w:hAnsi="Sylfaen" w:cs="Sylfaen"/>
          <w:lang w:val="ka-GE"/>
        </w:rPr>
        <w:t>განხილული</w:t>
      </w:r>
      <w:r w:rsidRPr="00F80CCF">
        <w:rPr>
          <w:rFonts w:ascii="Sylfaen" w:hAnsi="Sylfaen"/>
          <w:lang w:val="ka-GE"/>
        </w:rPr>
        <w:t xml:space="preserve"> </w:t>
      </w:r>
      <w:r w:rsidRPr="00F80CCF">
        <w:rPr>
          <w:rFonts w:ascii="Sylfaen" w:hAnsi="Sylfaen" w:cs="Sylfaen"/>
          <w:lang w:val="ka-GE"/>
        </w:rPr>
        <w:t>პროექტის</w:t>
      </w:r>
      <w:r w:rsidRPr="00F80CCF">
        <w:rPr>
          <w:rFonts w:ascii="Sylfaen" w:hAnsi="Sylfaen"/>
          <w:lang w:val="ka-GE"/>
        </w:rPr>
        <w:t xml:space="preserve"> </w:t>
      </w:r>
      <w:r w:rsidRPr="00F80CCF">
        <w:rPr>
          <w:rFonts w:ascii="Sylfaen" w:hAnsi="Sylfaen" w:cs="Sylfaen"/>
          <w:lang w:val="ka-GE"/>
        </w:rPr>
        <w:t>დეტალური</w:t>
      </w:r>
      <w:r w:rsidRPr="00F80CCF">
        <w:rPr>
          <w:rFonts w:ascii="Sylfaen" w:hAnsi="Sylfaen"/>
          <w:lang w:val="ka-GE"/>
        </w:rPr>
        <w:t xml:space="preserve"> </w:t>
      </w:r>
      <w:r w:rsidRPr="00F80CCF">
        <w:rPr>
          <w:rFonts w:ascii="Sylfaen" w:hAnsi="Sylfaen" w:cs="Sylfaen"/>
          <w:lang w:val="ka-GE"/>
        </w:rPr>
        <w:t>დიზაინის</w:t>
      </w:r>
      <w:r w:rsidRPr="00F80CCF">
        <w:rPr>
          <w:rFonts w:ascii="Sylfaen" w:hAnsi="Sylfaen"/>
          <w:lang w:val="ka-GE"/>
        </w:rPr>
        <w:t xml:space="preserve"> </w:t>
      </w:r>
      <w:r w:rsidRPr="00F80CCF">
        <w:rPr>
          <w:rFonts w:ascii="Sylfaen" w:hAnsi="Sylfaen" w:cs="Sylfaen"/>
          <w:lang w:val="ka-GE"/>
        </w:rPr>
        <w:t>შემუშავების</w:t>
      </w:r>
      <w:r w:rsidRPr="00F80CCF">
        <w:rPr>
          <w:rFonts w:ascii="Sylfaen" w:hAnsi="Sylfaen"/>
          <w:lang w:val="ka-GE"/>
        </w:rPr>
        <w:t xml:space="preserve"> </w:t>
      </w:r>
      <w:r w:rsidRPr="00F80CCF">
        <w:rPr>
          <w:rFonts w:ascii="Sylfaen" w:hAnsi="Sylfaen" w:cs="Sylfaen"/>
          <w:lang w:val="ka-GE"/>
        </w:rPr>
        <w:t>ეტაპზე</w:t>
      </w:r>
      <w:r w:rsidRPr="00F80CCF">
        <w:rPr>
          <w:rFonts w:ascii="Sylfaen" w:hAnsi="Sylfaen"/>
          <w:lang w:val="ka-GE"/>
        </w:rPr>
        <w:t xml:space="preserve">, </w:t>
      </w:r>
      <w:r w:rsidRPr="00F80CCF">
        <w:rPr>
          <w:rFonts w:ascii="Sylfaen" w:hAnsi="Sylfaen" w:cs="Sylfaen"/>
          <w:lang w:val="ka-GE"/>
        </w:rPr>
        <w:t>შემდეგია</w:t>
      </w:r>
      <w:r w:rsidRPr="00F80CCF">
        <w:rPr>
          <w:rFonts w:ascii="Sylfaen" w:hAnsi="Sylfaen"/>
          <w:lang w:val="ka-GE"/>
        </w:rPr>
        <w:t>: (</w:t>
      </w:r>
      <w:r w:rsidRPr="00F80CCF">
        <w:rPr>
          <w:rFonts w:ascii="Sylfaen" w:hAnsi="Sylfaen" w:cs="Sylfaen"/>
          <w:lang w:val="ka-GE"/>
        </w:rPr>
        <w:t>ა</w:t>
      </w:r>
      <w:r w:rsidRPr="00F80CCF">
        <w:rPr>
          <w:rFonts w:ascii="Sylfaen" w:hAnsi="Sylfaen"/>
          <w:lang w:val="ka-GE"/>
        </w:rPr>
        <w:t xml:space="preserve">) </w:t>
      </w:r>
      <w:r w:rsidRPr="00F80CCF">
        <w:rPr>
          <w:rFonts w:ascii="Sylfaen" w:hAnsi="Sylfaen" w:cs="Sylfaen"/>
          <w:lang w:val="ka-GE"/>
        </w:rPr>
        <w:t>მცირე</w:t>
      </w:r>
      <w:r w:rsidRPr="00F80CCF">
        <w:rPr>
          <w:rFonts w:ascii="Sylfaen" w:hAnsi="Sylfaen"/>
          <w:lang w:val="ka-GE"/>
        </w:rPr>
        <w:t xml:space="preserve"> </w:t>
      </w:r>
      <w:r w:rsidRPr="00F80CCF">
        <w:rPr>
          <w:rFonts w:ascii="Sylfaen" w:hAnsi="Sylfaen" w:cs="Sylfaen"/>
          <w:lang w:val="ka-GE"/>
        </w:rPr>
        <w:t>და</w:t>
      </w:r>
      <w:r w:rsidRPr="00F80CCF">
        <w:rPr>
          <w:rFonts w:ascii="Sylfaen" w:hAnsi="Sylfaen"/>
          <w:lang w:val="ka-GE"/>
        </w:rPr>
        <w:t xml:space="preserve"> </w:t>
      </w:r>
      <w:r w:rsidRPr="00F80CCF">
        <w:rPr>
          <w:rFonts w:ascii="Sylfaen" w:hAnsi="Sylfaen" w:cs="Sylfaen"/>
          <w:lang w:val="ka-GE"/>
        </w:rPr>
        <w:t>კერძო</w:t>
      </w:r>
      <w:r w:rsidRPr="00F80CCF">
        <w:rPr>
          <w:rFonts w:ascii="Sylfaen" w:hAnsi="Sylfaen"/>
          <w:lang w:val="ka-GE"/>
        </w:rPr>
        <w:t xml:space="preserve"> </w:t>
      </w:r>
      <w:r w:rsidRPr="00F80CCF">
        <w:rPr>
          <w:rFonts w:ascii="Sylfaen" w:hAnsi="Sylfaen" w:cs="Sylfaen"/>
          <w:lang w:val="ka-GE"/>
        </w:rPr>
        <w:t>ბიზნესი</w:t>
      </w:r>
      <w:r w:rsidRPr="00F80CCF">
        <w:rPr>
          <w:rFonts w:ascii="Sylfaen" w:hAnsi="Sylfaen"/>
          <w:lang w:val="ka-GE"/>
        </w:rPr>
        <w:t xml:space="preserve"> (</w:t>
      </w:r>
      <w:r w:rsidRPr="00F80CCF">
        <w:rPr>
          <w:rFonts w:ascii="Sylfaen" w:hAnsi="Sylfaen" w:cs="Sylfaen"/>
          <w:lang w:val="ka-GE"/>
        </w:rPr>
        <w:t>ბ</w:t>
      </w:r>
      <w:r w:rsidRPr="00F80CCF">
        <w:rPr>
          <w:rFonts w:ascii="Sylfaen" w:hAnsi="Sylfaen"/>
          <w:lang w:val="ka-GE"/>
        </w:rPr>
        <w:t xml:space="preserve">) </w:t>
      </w:r>
      <w:r w:rsidRPr="00F80CCF">
        <w:rPr>
          <w:rFonts w:ascii="Sylfaen" w:hAnsi="Sylfaen" w:cs="Sylfaen"/>
          <w:lang w:val="ka-GE"/>
        </w:rPr>
        <w:t>მისასვლელი</w:t>
      </w:r>
      <w:r w:rsidRPr="00F80CCF">
        <w:rPr>
          <w:rFonts w:ascii="Sylfaen" w:hAnsi="Sylfaen"/>
          <w:lang w:val="ka-GE"/>
        </w:rPr>
        <w:t xml:space="preserve"> </w:t>
      </w:r>
      <w:r w:rsidRPr="00F80CCF">
        <w:rPr>
          <w:rFonts w:ascii="Sylfaen" w:hAnsi="Sylfaen" w:cs="Sylfaen"/>
          <w:lang w:val="ka-GE"/>
        </w:rPr>
        <w:t>გზები</w:t>
      </w:r>
      <w:r w:rsidRPr="00F80CCF">
        <w:rPr>
          <w:rFonts w:ascii="Sylfaen" w:hAnsi="Sylfaen"/>
          <w:lang w:val="ka-GE"/>
        </w:rPr>
        <w:t xml:space="preserve"> (</w:t>
      </w:r>
      <w:r w:rsidRPr="00F80CCF">
        <w:rPr>
          <w:rFonts w:ascii="Sylfaen" w:hAnsi="Sylfaen" w:cs="Sylfaen"/>
          <w:lang w:val="ka-GE"/>
        </w:rPr>
        <w:t>გ</w:t>
      </w:r>
      <w:r w:rsidRPr="00F80CCF">
        <w:rPr>
          <w:rFonts w:ascii="Sylfaen" w:hAnsi="Sylfaen"/>
          <w:lang w:val="ka-GE"/>
        </w:rPr>
        <w:t xml:space="preserve">) </w:t>
      </w:r>
      <w:r w:rsidRPr="00F80CCF">
        <w:rPr>
          <w:rFonts w:ascii="Sylfaen" w:hAnsi="Sylfaen" w:cs="Sylfaen"/>
          <w:lang w:val="ka-GE"/>
        </w:rPr>
        <w:t>საცხოვრებელი სახლები და სასოფლო-სამეურნეო მიწის ნაკვეთები</w:t>
      </w:r>
      <w:r w:rsidRPr="00F80CCF">
        <w:rPr>
          <w:rFonts w:ascii="Sylfaen" w:hAnsi="Sylfaen"/>
          <w:lang w:val="ka-GE"/>
        </w:rPr>
        <w:t xml:space="preserve">. </w:t>
      </w:r>
    </w:p>
    <w:p w14:paraId="53878909" w14:textId="77777777" w:rsidR="009F08E4" w:rsidRPr="00A96EA4" w:rsidRDefault="009F08E4" w:rsidP="00692F2E">
      <w:pPr>
        <w:ind w:right="-90" w:firstLine="720"/>
        <w:rPr>
          <w:rFonts w:ascii="Sylfaen" w:hAnsi="Sylfaen"/>
          <w:color w:val="FF0000"/>
          <w:sz w:val="24"/>
          <w:lang w:val="ka-GE"/>
        </w:rPr>
      </w:pPr>
    </w:p>
    <w:p w14:paraId="11A11363" w14:textId="77777777" w:rsidR="00692F2E" w:rsidRPr="00A439D7" w:rsidRDefault="00692F2E" w:rsidP="005556B3">
      <w:pPr>
        <w:ind w:right="-90"/>
        <w:rPr>
          <w:rFonts w:ascii="Sylfaen" w:hAnsi="Sylfaen"/>
          <w:b/>
          <w:sz w:val="24"/>
          <w:lang w:val="ka-GE"/>
        </w:rPr>
      </w:pPr>
      <w:r w:rsidRPr="00A439D7">
        <w:rPr>
          <w:rFonts w:ascii="Sylfaen" w:hAnsi="Sylfaen" w:cs="Sylfaen"/>
          <w:b/>
          <w:sz w:val="24"/>
          <w:lang w:val="ka-GE"/>
        </w:rPr>
        <w:t>მცირე</w:t>
      </w:r>
      <w:r w:rsidRPr="00A439D7">
        <w:rPr>
          <w:rFonts w:ascii="Sylfaen" w:hAnsi="Sylfaen"/>
          <w:b/>
          <w:sz w:val="24"/>
          <w:lang w:val="ka-GE"/>
        </w:rPr>
        <w:t xml:space="preserve"> </w:t>
      </w:r>
      <w:r w:rsidRPr="00A439D7">
        <w:rPr>
          <w:rFonts w:ascii="Sylfaen" w:hAnsi="Sylfaen" w:cs="Sylfaen"/>
          <w:b/>
          <w:sz w:val="24"/>
          <w:lang w:val="ka-GE"/>
        </w:rPr>
        <w:t>და</w:t>
      </w:r>
      <w:r w:rsidRPr="00A439D7">
        <w:rPr>
          <w:rFonts w:ascii="Sylfaen" w:hAnsi="Sylfaen"/>
          <w:b/>
          <w:sz w:val="24"/>
          <w:lang w:val="ka-GE"/>
        </w:rPr>
        <w:t xml:space="preserve"> </w:t>
      </w:r>
      <w:r w:rsidRPr="00A439D7">
        <w:rPr>
          <w:rFonts w:ascii="Sylfaen" w:hAnsi="Sylfaen" w:cs="Sylfaen"/>
          <w:b/>
          <w:sz w:val="24"/>
          <w:lang w:val="ka-GE"/>
        </w:rPr>
        <w:t>კერძო</w:t>
      </w:r>
      <w:r w:rsidRPr="00A439D7">
        <w:rPr>
          <w:rFonts w:ascii="Sylfaen" w:hAnsi="Sylfaen"/>
          <w:b/>
          <w:sz w:val="24"/>
          <w:lang w:val="ka-GE"/>
        </w:rPr>
        <w:t xml:space="preserve"> </w:t>
      </w:r>
      <w:r w:rsidRPr="00A439D7">
        <w:rPr>
          <w:rFonts w:ascii="Sylfaen" w:hAnsi="Sylfaen" w:cs="Sylfaen"/>
          <w:b/>
          <w:sz w:val="24"/>
          <w:lang w:val="ka-GE"/>
        </w:rPr>
        <w:t>ბიზნესი</w:t>
      </w:r>
    </w:p>
    <w:p w14:paraId="6B716CC4" w14:textId="77777777" w:rsidR="00692F2E" w:rsidRPr="005556B3" w:rsidRDefault="00692F2E" w:rsidP="00B74656">
      <w:pPr>
        <w:spacing w:before="120" w:after="120"/>
        <w:ind w:right="-90"/>
        <w:rPr>
          <w:rFonts w:ascii="Sylfaen" w:hAnsi="Sylfaen"/>
          <w:color w:val="FF0000"/>
          <w:lang w:val="ka-GE"/>
        </w:rPr>
      </w:pPr>
      <w:r w:rsidRPr="005556B3">
        <w:rPr>
          <w:rFonts w:ascii="Sylfaen" w:hAnsi="Sylfaen" w:cs="Sylfaen"/>
          <w:lang w:val="ka-GE"/>
        </w:rPr>
        <w:t>პროექტის</w:t>
      </w:r>
      <w:r w:rsidRPr="005556B3">
        <w:rPr>
          <w:rFonts w:ascii="Sylfaen" w:hAnsi="Sylfaen"/>
          <w:lang w:val="ka-GE"/>
        </w:rPr>
        <w:t xml:space="preserve"> </w:t>
      </w:r>
      <w:r w:rsidRPr="005556B3">
        <w:rPr>
          <w:rFonts w:ascii="Sylfaen" w:hAnsi="Sylfaen" w:cs="Sylfaen"/>
          <w:lang w:val="ka-GE"/>
        </w:rPr>
        <w:t>განხორციელებას</w:t>
      </w:r>
      <w:r w:rsidRPr="005556B3">
        <w:rPr>
          <w:rFonts w:ascii="Sylfaen" w:hAnsi="Sylfaen"/>
          <w:lang w:val="ka-GE"/>
        </w:rPr>
        <w:t xml:space="preserve"> </w:t>
      </w:r>
      <w:r w:rsidRPr="005556B3">
        <w:rPr>
          <w:rFonts w:ascii="Sylfaen" w:hAnsi="Sylfaen" w:cs="Sylfaen"/>
          <w:lang w:val="ka-GE"/>
        </w:rPr>
        <w:t>პირდაპირი</w:t>
      </w:r>
      <w:r w:rsidRPr="005556B3">
        <w:rPr>
          <w:rFonts w:ascii="Sylfaen" w:hAnsi="Sylfaen"/>
          <w:lang w:val="ka-GE"/>
        </w:rPr>
        <w:t xml:space="preserve"> </w:t>
      </w:r>
      <w:r w:rsidRPr="005556B3">
        <w:rPr>
          <w:rFonts w:ascii="Sylfaen" w:hAnsi="Sylfaen" w:cs="Sylfaen"/>
          <w:lang w:val="ka-GE"/>
        </w:rPr>
        <w:t>ზეგავლენა</w:t>
      </w:r>
      <w:r w:rsidRPr="005556B3">
        <w:rPr>
          <w:rFonts w:ascii="Sylfaen" w:hAnsi="Sylfaen"/>
          <w:lang w:val="ka-GE"/>
        </w:rPr>
        <w:t xml:space="preserve"> </w:t>
      </w:r>
      <w:r w:rsidRPr="005556B3">
        <w:rPr>
          <w:rFonts w:ascii="Sylfaen" w:hAnsi="Sylfaen" w:cs="Sylfaen"/>
          <w:lang w:val="ka-GE"/>
        </w:rPr>
        <w:t>ექნება</w:t>
      </w:r>
      <w:r w:rsidRPr="005556B3">
        <w:rPr>
          <w:rFonts w:ascii="Sylfaen" w:hAnsi="Sylfaen"/>
          <w:lang w:val="ka-GE"/>
        </w:rPr>
        <w:t xml:space="preserve"> </w:t>
      </w:r>
      <w:r w:rsidRPr="005556B3">
        <w:rPr>
          <w:rFonts w:ascii="Sylfaen" w:hAnsi="Sylfaen" w:cs="Sylfaen"/>
          <w:lang w:val="ka-GE"/>
        </w:rPr>
        <w:t>მაგისტრალის</w:t>
      </w:r>
      <w:r w:rsidRPr="005556B3">
        <w:rPr>
          <w:rFonts w:ascii="Sylfaen" w:hAnsi="Sylfaen"/>
          <w:lang w:val="ka-GE"/>
        </w:rPr>
        <w:t xml:space="preserve"> </w:t>
      </w:r>
      <w:r w:rsidRPr="005556B3">
        <w:rPr>
          <w:rFonts w:ascii="Sylfaen" w:hAnsi="Sylfaen" w:cs="Sylfaen"/>
          <w:lang w:val="ka-GE"/>
        </w:rPr>
        <w:t>მიმდებარედ</w:t>
      </w:r>
      <w:r w:rsidRPr="005556B3">
        <w:rPr>
          <w:rFonts w:ascii="Sylfaen" w:hAnsi="Sylfaen"/>
          <w:lang w:val="ka-GE"/>
        </w:rPr>
        <w:t xml:space="preserve"> </w:t>
      </w:r>
      <w:r w:rsidRPr="005556B3">
        <w:rPr>
          <w:rFonts w:ascii="Sylfaen" w:hAnsi="Sylfaen" w:cs="Sylfaen"/>
          <w:lang w:val="ka-GE"/>
        </w:rPr>
        <w:t>განთავსებულ</w:t>
      </w:r>
      <w:r w:rsidRPr="005556B3">
        <w:rPr>
          <w:rFonts w:ascii="Sylfaen" w:hAnsi="Sylfaen"/>
          <w:lang w:val="ka-GE"/>
        </w:rPr>
        <w:t xml:space="preserve"> </w:t>
      </w:r>
      <w:r w:rsidRPr="005556B3">
        <w:rPr>
          <w:rFonts w:ascii="Sylfaen" w:hAnsi="Sylfaen" w:cs="Sylfaen"/>
          <w:lang w:val="ka-GE"/>
        </w:rPr>
        <w:t>კვების</w:t>
      </w:r>
      <w:r w:rsidRPr="005556B3">
        <w:rPr>
          <w:rFonts w:ascii="Sylfaen" w:hAnsi="Sylfaen"/>
          <w:lang w:val="ka-GE"/>
        </w:rPr>
        <w:t xml:space="preserve"> </w:t>
      </w:r>
      <w:r w:rsidRPr="005556B3">
        <w:rPr>
          <w:rFonts w:ascii="Sylfaen" w:hAnsi="Sylfaen" w:cs="Sylfaen"/>
          <w:lang w:val="ka-GE"/>
        </w:rPr>
        <w:t>ობიექტებზე</w:t>
      </w:r>
      <w:r w:rsidRPr="005556B3">
        <w:rPr>
          <w:rFonts w:ascii="Sylfaen" w:hAnsi="Sylfaen"/>
          <w:lang w:val="ka-GE"/>
        </w:rPr>
        <w:t xml:space="preserve">, </w:t>
      </w:r>
      <w:r w:rsidRPr="005556B3">
        <w:rPr>
          <w:rFonts w:ascii="Sylfaen" w:hAnsi="Sylfaen" w:cs="Sylfaen"/>
          <w:lang w:val="ka-GE"/>
        </w:rPr>
        <w:t>ბენზოგასამართ</w:t>
      </w:r>
      <w:r w:rsidRPr="005556B3">
        <w:rPr>
          <w:rFonts w:ascii="Sylfaen" w:hAnsi="Sylfaen"/>
          <w:lang w:val="ka-GE"/>
        </w:rPr>
        <w:t xml:space="preserve"> </w:t>
      </w:r>
      <w:r w:rsidRPr="005556B3">
        <w:rPr>
          <w:rFonts w:ascii="Sylfaen" w:hAnsi="Sylfaen" w:cs="Sylfaen"/>
          <w:lang w:val="ka-GE"/>
        </w:rPr>
        <w:t>სადგურებზე</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ინდივიდუალურ</w:t>
      </w:r>
      <w:r w:rsidRPr="005556B3">
        <w:rPr>
          <w:rFonts w:ascii="Sylfaen" w:hAnsi="Sylfaen"/>
          <w:lang w:val="ka-GE"/>
        </w:rPr>
        <w:t xml:space="preserve"> </w:t>
      </w:r>
      <w:r w:rsidRPr="005556B3">
        <w:rPr>
          <w:rFonts w:ascii="Sylfaen" w:hAnsi="Sylfaen" w:cs="Sylfaen"/>
          <w:lang w:val="ka-GE"/>
        </w:rPr>
        <w:t>მოვაჭრეებზე</w:t>
      </w:r>
      <w:r w:rsidRPr="005556B3">
        <w:rPr>
          <w:rFonts w:ascii="Sylfaen" w:hAnsi="Sylfaen"/>
          <w:lang w:val="ka-GE"/>
        </w:rPr>
        <w:t xml:space="preserve">, </w:t>
      </w:r>
      <w:r w:rsidRPr="005556B3">
        <w:rPr>
          <w:rFonts w:ascii="Sylfaen" w:hAnsi="Sylfaen" w:cs="Sylfaen"/>
          <w:lang w:val="ka-GE"/>
        </w:rPr>
        <w:t>რომელთა</w:t>
      </w:r>
      <w:r w:rsidRPr="005556B3">
        <w:rPr>
          <w:rFonts w:ascii="Sylfaen" w:hAnsi="Sylfaen"/>
          <w:lang w:val="ka-GE"/>
        </w:rPr>
        <w:t xml:space="preserve"> </w:t>
      </w:r>
      <w:r w:rsidRPr="005556B3">
        <w:rPr>
          <w:rFonts w:ascii="Sylfaen" w:hAnsi="Sylfaen" w:cs="Sylfaen"/>
          <w:lang w:val="ka-GE"/>
        </w:rPr>
        <w:t>სამუშაო</w:t>
      </w:r>
      <w:r w:rsidRPr="005556B3">
        <w:rPr>
          <w:rFonts w:ascii="Sylfaen" w:hAnsi="Sylfaen"/>
          <w:lang w:val="ka-GE"/>
        </w:rPr>
        <w:t xml:space="preserve"> </w:t>
      </w:r>
      <w:r w:rsidRPr="005556B3">
        <w:rPr>
          <w:rFonts w:ascii="Sylfaen" w:hAnsi="Sylfaen" w:cs="Sylfaen"/>
          <w:lang w:val="ka-GE"/>
        </w:rPr>
        <w:t>სეზონურია</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შეადგენს</w:t>
      </w:r>
      <w:r w:rsidRPr="005556B3">
        <w:rPr>
          <w:rFonts w:ascii="Sylfaen" w:hAnsi="Sylfaen"/>
          <w:lang w:val="ka-GE"/>
        </w:rPr>
        <w:t xml:space="preserve"> </w:t>
      </w:r>
      <w:r w:rsidRPr="005556B3">
        <w:rPr>
          <w:rFonts w:ascii="Sylfaen" w:hAnsi="Sylfaen" w:cs="Sylfaen"/>
          <w:lang w:val="ka-GE"/>
        </w:rPr>
        <w:t>წელიწადში</w:t>
      </w:r>
      <w:r w:rsidRPr="005556B3">
        <w:rPr>
          <w:rFonts w:ascii="Sylfaen" w:hAnsi="Sylfaen"/>
          <w:lang w:val="ka-GE"/>
        </w:rPr>
        <w:t xml:space="preserve"> 3-4 </w:t>
      </w:r>
      <w:r w:rsidRPr="005556B3">
        <w:rPr>
          <w:rFonts w:ascii="Sylfaen" w:hAnsi="Sylfaen" w:cs="Sylfaen"/>
          <w:lang w:val="ka-GE"/>
        </w:rPr>
        <w:t>თვეს</w:t>
      </w:r>
      <w:r w:rsidRPr="005556B3">
        <w:rPr>
          <w:rFonts w:ascii="Sylfaen" w:hAnsi="Sylfaen"/>
          <w:lang w:val="ka-GE"/>
        </w:rPr>
        <w:t xml:space="preserve">, რა დროსაც ისინი ყიდიან მათ მიერ მოყვანის პროდუქციას, ხოლო დანარჩენ თვეებში ცდილობენ სეზონური ხილის ან/და სხვა პროდუქტის რეალიზაციას. </w:t>
      </w:r>
      <w:r w:rsidRPr="005556B3">
        <w:rPr>
          <w:rFonts w:ascii="Sylfaen" w:hAnsi="Sylfaen" w:cs="Sylfaen"/>
          <w:lang w:val="ka-GE"/>
        </w:rPr>
        <w:t>ნოემბერში</w:t>
      </w:r>
      <w:r w:rsidRPr="005556B3">
        <w:rPr>
          <w:rFonts w:ascii="Sylfaen" w:hAnsi="Sylfaen"/>
          <w:lang w:val="ka-GE"/>
        </w:rPr>
        <w:t xml:space="preserve"> </w:t>
      </w:r>
      <w:r w:rsidRPr="005556B3">
        <w:rPr>
          <w:rFonts w:ascii="Sylfaen" w:hAnsi="Sylfaen" w:cs="Sylfaen"/>
          <w:lang w:val="ka-GE"/>
        </w:rPr>
        <w:t>საპროექტო</w:t>
      </w:r>
      <w:r w:rsidRPr="005556B3">
        <w:rPr>
          <w:rFonts w:ascii="Sylfaen" w:hAnsi="Sylfaen"/>
          <w:lang w:val="ka-GE"/>
        </w:rPr>
        <w:t xml:space="preserve"> </w:t>
      </w:r>
      <w:r w:rsidRPr="005556B3">
        <w:rPr>
          <w:rFonts w:ascii="Sylfaen" w:hAnsi="Sylfaen" w:cs="Sylfaen"/>
          <w:lang w:val="ka-GE"/>
        </w:rPr>
        <w:t>მონაკვეთის</w:t>
      </w:r>
      <w:r w:rsidRPr="005556B3">
        <w:rPr>
          <w:rFonts w:ascii="Sylfaen" w:hAnsi="Sylfaen"/>
          <w:lang w:val="ka-GE"/>
        </w:rPr>
        <w:t xml:space="preserve"> </w:t>
      </w:r>
      <w:r w:rsidRPr="005556B3">
        <w:rPr>
          <w:rFonts w:ascii="Sylfaen" w:hAnsi="Sylfaen" w:cs="Sylfaen"/>
          <w:lang w:val="ka-GE"/>
        </w:rPr>
        <w:t>მიმდებარედ</w:t>
      </w:r>
      <w:r w:rsidRPr="005556B3">
        <w:rPr>
          <w:rFonts w:ascii="Sylfaen" w:hAnsi="Sylfaen"/>
          <w:lang w:val="ka-GE"/>
        </w:rPr>
        <w:t xml:space="preserve"> </w:t>
      </w:r>
      <w:r w:rsidRPr="005556B3">
        <w:rPr>
          <w:rFonts w:ascii="Sylfaen" w:hAnsi="Sylfaen" w:cs="Sylfaen"/>
          <w:lang w:val="ka-GE"/>
        </w:rPr>
        <w:t>დაფიქსირდა</w:t>
      </w:r>
      <w:r w:rsidRPr="005556B3">
        <w:rPr>
          <w:rFonts w:ascii="Sylfaen" w:hAnsi="Sylfaen"/>
          <w:lang w:val="ka-GE"/>
        </w:rPr>
        <w:t xml:space="preserve">  30 </w:t>
      </w:r>
      <w:r w:rsidRPr="005556B3">
        <w:rPr>
          <w:rFonts w:ascii="Sylfaen" w:hAnsi="Sylfaen" w:cs="Sylfaen"/>
          <w:lang w:val="ka-GE"/>
        </w:rPr>
        <w:t>ინდივიდუალური</w:t>
      </w:r>
      <w:r w:rsidRPr="005556B3">
        <w:rPr>
          <w:rFonts w:ascii="Sylfaen" w:hAnsi="Sylfaen"/>
          <w:lang w:val="ka-GE"/>
        </w:rPr>
        <w:t xml:space="preserve"> </w:t>
      </w:r>
      <w:r w:rsidRPr="005556B3">
        <w:rPr>
          <w:rFonts w:ascii="Sylfaen" w:hAnsi="Sylfaen" w:cs="Sylfaen"/>
          <w:lang w:val="ka-GE"/>
        </w:rPr>
        <w:lastRenderedPageBreak/>
        <w:t>მოვაჭრე</w:t>
      </w:r>
      <w:r w:rsidRPr="005556B3">
        <w:rPr>
          <w:rFonts w:ascii="Sylfaen" w:hAnsi="Sylfaen"/>
          <w:lang w:val="ka-GE"/>
        </w:rPr>
        <w:t xml:space="preserve">, </w:t>
      </w:r>
      <w:r w:rsidRPr="005556B3">
        <w:rPr>
          <w:rFonts w:ascii="Sylfaen" w:hAnsi="Sylfaen" w:cs="Sylfaen"/>
          <w:lang w:val="ka-GE"/>
        </w:rPr>
        <w:t>რომელთაგანაც</w:t>
      </w:r>
      <w:r w:rsidRPr="005556B3">
        <w:rPr>
          <w:rFonts w:ascii="Sylfaen" w:hAnsi="Sylfaen"/>
          <w:lang w:val="ka-GE"/>
        </w:rPr>
        <w:t xml:space="preserve"> </w:t>
      </w:r>
      <w:r w:rsidRPr="005556B3">
        <w:rPr>
          <w:rFonts w:ascii="Sylfaen" w:hAnsi="Sylfaen" w:cs="Sylfaen"/>
          <w:lang w:val="ka-GE"/>
        </w:rPr>
        <w:t>გამოკითხვაში</w:t>
      </w:r>
      <w:r w:rsidRPr="005556B3">
        <w:rPr>
          <w:rFonts w:ascii="Sylfaen" w:hAnsi="Sylfaen"/>
          <w:lang w:val="ka-GE"/>
        </w:rPr>
        <w:t xml:space="preserve"> </w:t>
      </w:r>
      <w:r w:rsidRPr="005556B3">
        <w:rPr>
          <w:rFonts w:ascii="Sylfaen" w:hAnsi="Sylfaen" w:cs="Sylfaen"/>
          <w:lang w:val="ka-GE"/>
        </w:rPr>
        <w:t>მონაწილეობა</w:t>
      </w:r>
      <w:r w:rsidRPr="005556B3">
        <w:rPr>
          <w:rFonts w:ascii="Sylfaen" w:hAnsi="Sylfaen"/>
          <w:lang w:val="ka-GE"/>
        </w:rPr>
        <w:t xml:space="preserve"> მიიღო </w:t>
      </w:r>
      <w:r w:rsidRPr="005556B3">
        <w:rPr>
          <w:rFonts w:ascii="Sylfaen" w:hAnsi="Sylfaen" w:cs="Sylfaen"/>
          <w:lang w:val="ka-GE"/>
        </w:rPr>
        <w:t>26-მა საკუთარი სურვილის შესაბამისმა, ხოლო ოთხმა უარი განაცხადა ნებისმიერ შეკითხვაზე</w:t>
      </w:r>
      <w:r w:rsidRPr="005556B3">
        <w:rPr>
          <w:rFonts w:ascii="Sylfaen" w:hAnsi="Sylfaen"/>
          <w:lang w:val="ka-GE"/>
        </w:rPr>
        <w:t>.</w:t>
      </w:r>
      <w:r w:rsidRPr="005556B3">
        <w:rPr>
          <w:rFonts w:ascii="Sylfaen" w:hAnsi="Sylfaen"/>
          <w:color w:val="FF0000"/>
          <w:lang w:val="ka-GE"/>
        </w:rPr>
        <w:t xml:space="preserve"> </w:t>
      </w:r>
    </w:p>
    <w:p w14:paraId="7966970E" w14:textId="5DFB62C1" w:rsidR="00692F2E" w:rsidRDefault="00692F2E" w:rsidP="00B74656">
      <w:pPr>
        <w:spacing w:before="120" w:after="120"/>
        <w:ind w:right="-90"/>
        <w:rPr>
          <w:rFonts w:ascii="Sylfaen" w:hAnsi="Sylfaen"/>
          <w:lang w:val="ka-GE"/>
        </w:rPr>
      </w:pPr>
      <w:r w:rsidRPr="005556B3">
        <w:rPr>
          <w:rFonts w:ascii="Sylfaen" w:hAnsi="Sylfaen"/>
          <w:lang w:val="ka-GE"/>
        </w:rPr>
        <w:t xml:space="preserve">გამოკითხვით დადგინდა, რომ მათი რაოდენობა ბევრად მეტია (დაახლოებით 2-3 ჯერ). ისინი ძირითადად მიმდებარე სოფლების მაცხოვრებლები არიან და ვაჭრობენ მათ მიერ მოყვანილი მოსავლით და სანოვაგით (ხილი, ჩურჩხელა, გოგრა, ნიორი და სხვ.). </w:t>
      </w:r>
    </w:p>
    <w:p w14:paraId="10087A7B" w14:textId="0C6754EE" w:rsidR="00B74656" w:rsidRDefault="00B74656" w:rsidP="00B74656">
      <w:pPr>
        <w:spacing w:before="120" w:after="120"/>
        <w:ind w:right="-90"/>
        <w:rPr>
          <w:rFonts w:ascii="Sylfaen" w:hAnsi="Sylfaen"/>
          <w:lang w:val="ka-GE"/>
        </w:rPr>
      </w:pPr>
    </w:p>
    <w:p w14:paraId="7331D665" w14:textId="12B725BA" w:rsidR="00B74656" w:rsidRDefault="00B74656" w:rsidP="00B74656">
      <w:pPr>
        <w:spacing w:before="120" w:after="120"/>
        <w:ind w:right="-90"/>
        <w:rPr>
          <w:rFonts w:ascii="Sylfaen" w:hAnsi="Sylfaen"/>
          <w:lang w:val="ka-GE"/>
        </w:rPr>
      </w:pPr>
    </w:p>
    <w:p w14:paraId="172F1B47" w14:textId="382809EA" w:rsidR="00B74656" w:rsidRDefault="00B74656" w:rsidP="00B74656">
      <w:pPr>
        <w:spacing w:before="120" w:after="120"/>
        <w:ind w:right="-90"/>
        <w:rPr>
          <w:rFonts w:ascii="Sylfaen" w:hAnsi="Sylfaen"/>
          <w:lang w:val="ka-GE"/>
        </w:rPr>
      </w:pPr>
    </w:p>
    <w:p w14:paraId="73111FA9" w14:textId="2483D162" w:rsidR="00B74656" w:rsidRDefault="00B74656" w:rsidP="00B74656">
      <w:pPr>
        <w:spacing w:before="120" w:after="120"/>
        <w:ind w:right="-90"/>
        <w:rPr>
          <w:rFonts w:ascii="Sylfaen" w:hAnsi="Sylfaen"/>
          <w:lang w:val="ka-GE"/>
        </w:rPr>
      </w:pPr>
    </w:p>
    <w:p w14:paraId="700453D2" w14:textId="6CE5AD1A" w:rsidR="00B74656" w:rsidRDefault="00B74656" w:rsidP="00B74656">
      <w:pPr>
        <w:spacing w:before="120" w:after="120"/>
        <w:ind w:right="-90"/>
        <w:rPr>
          <w:rFonts w:ascii="Sylfaen" w:hAnsi="Sylfaen"/>
          <w:lang w:val="ka-GE"/>
        </w:rPr>
      </w:pPr>
    </w:p>
    <w:p w14:paraId="422EB415" w14:textId="77777777" w:rsidR="00B74656" w:rsidRPr="005556B3" w:rsidRDefault="00B74656" w:rsidP="00B74656">
      <w:pPr>
        <w:spacing w:before="120" w:after="120"/>
        <w:ind w:right="-90"/>
        <w:rPr>
          <w:rFonts w:ascii="Sylfaen" w:hAnsi="Sylfaen"/>
          <w:lang w:val="ka-GE"/>
        </w:rPr>
      </w:pPr>
    </w:p>
    <w:p w14:paraId="6FBDFE07" w14:textId="77777777" w:rsidR="00692F2E" w:rsidRPr="007F5B16" w:rsidRDefault="00692F2E" w:rsidP="00B74656">
      <w:pPr>
        <w:spacing w:before="120" w:after="120"/>
        <w:ind w:right="-90" w:firstLine="720"/>
        <w:rPr>
          <w:rFonts w:ascii="Sylfaen" w:hAnsi="Sylfaen"/>
          <w:sz w:val="20"/>
          <w:szCs w:val="20"/>
          <w:lang w:val="ka-GE"/>
        </w:rPr>
      </w:pPr>
      <w:r w:rsidRPr="007F5B16">
        <w:rPr>
          <w:rFonts w:ascii="Sylfaen" w:hAnsi="Sylfaen"/>
          <w:sz w:val="20"/>
          <w:szCs w:val="20"/>
          <w:lang w:val="ka-GE"/>
        </w:rPr>
        <w:t>სურ</w:t>
      </w:r>
      <w:r>
        <w:rPr>
          <w:rFonts w:ascii="Sylfaen" w:hAnsi="Sylfaen"/>
          <w:sz w:val="20"/>
          <w:szCs w:val="20"/>
          <w:lang w:val="ka-GE"/>
        </w:rPr>
        <w:t>. N1.</w:t>
      </w:r>
      <w:r w:rsidRPr="007F5B16">
        <w:rPr>
          <w:rFonts w:ascii="Sylfaen" w:hAnsi="Sylfaen"/>
          <w:sz w:val="20"/>
          <w:szCs w:val="20"/>
          <w:lang w:val="ka-GE"/>
        </w:rPr>
        <w:t xml:space="preserve"> </w:t>
      </w:r>
      <w:r w:rsidRPr="007F5B16">
        <w:rPr>
          <w:rFonts w:ascii="Sylfaen" w:hAnsi="Sylfaen" w:cs="Sylfaen"/>
          <w:sz w:val="20"/>
          <w:szCs w:val="20"/>
          <w:lang w:val="ka-GE"/>
        </w:rPr>
        <w:t>შეხვედრები</w:t>
      </w:r>
      <w:r w:rsidRPr="007F5B16">
        <w:rPr>
          <w:rFonts w:ascii="Sylfaen" w:hAnsi="Sylfaen"/>
          <w:sz w:val="20"/>
          <w:szCs w:val="20"/>
          <w:lang w:val="ka-GE"/>
        </w:rPr>
        <w:t xml:space="preserve"> </w:t>
      </w:r>
      <w:r w:rsidRPr="007F5B16">
        <w:rPr>
          <w:rFonts w:ascii="Sylfaen" w:hAnsi="Sylfaen" w:cs="Sylfaen"/>
          <w:sz w:val="20"/>
          <w:szCs w:val="20"/>
          <w:lang w:val="ka-GE"/>
        </w:rPr>
        <w:t>გარე</w:t>
      </w:r>
      <w:r w:rsidRPr="007F5B16">
        <w:rPr>
          <w:rFonts w:ascii="Sylfaen" w:hAnsi="Sylfaen"/>
          <w:sz w:val="20"/>
          <w:szCs w:val="20"/>
          <w:lang w:val="ka-GE"/>
        </w:rPr>
        <w:t xml:space="preserve"> </w:t>
      </w:r>
      <w:r w:rsidRPr="007F5B16">
        <w:rPr>
          <w:rFonts w:ascii="Sylfaen" w:hAnsi="Sylfaen" w:cs="Sylfaen"/>
          <w:sz w:val="20"/>
          <w:szCs w:val="20"/>
          <w:lang w:val="ka-GE"/>
        </w:rPr>
        <w:t>მოვაჭრეებთან</w:t>
      </w:r>
    </w:p>
    <w:p w14:paraId="66C73BD1" w14:textId="77777777" w:rsidR="00692F2E" w:rsidRPr="00D01EE2" w:rsidRDefault="009F08E4" w:rsidP="00B74656">
      <w:pPr>
        <w:spacing w:before="120" w:after="120"/>
        <w:ind w:right="-90"/>
        <w:jc w:val="center"/>
        <w:rPr>
          <w:rFonts w:ascii="Sylfaen" w:hAnsi="Sylfaen"/>
          <w:color w:val="FF0000"/>
          <w:sz w:val="24"/>
          <w:lang w:val="ka-GE"/>
        </w:rPr>
      </w:pPr>
      <w:r w:rsidRPr="00F80CCF">
        <w:rPr>
          <w:rFonts w:ascii="Sylfaen" w:hAnsi="Sylfaen"/>
          <w:noProof/>
          <w:color w:val="FF0000"/>
          <w:lang w:val="en-US" w:eastAsia="en-US"/>
        </w:rPr>
        <w:drawing>
          <wp:inline distT="0" distB="0" distL="0" distR="0" wp14:anchorId="42EB89AD" wp14:editId="40D3001D">
            <wp:extent cx="2857500" cy="2143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83637491EDEEEAF7B8B110322427ACD6161CB5586F3387DE9^pimgpsh_fullsize_distr.jpg"/>
                    <pic:cNvPicPr/>
                  </pic:nvPicPr>
                  <pic:blipFill>
                    <a:blip r:embed="rId188" cstate="email">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p>
    <w:p w14:paraId="044EA2B6"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გარე მოვაჭრეთა უმრავლესობა ფიქრობს, რომ მათ მნიშვნელოვანი ზიანი მიადგებათ ალტერნატიული გზის მშენებლობის შემდეგ, თუმცა ახალი და კარგი გზის არსებობის წინააღმდეგი არავინ არის. ვინაიდან არსებულ გზაზე შემცირდება ავტოტრანსპორტის ნაკადი და მნიშვნელოვნად განიტვირთება მოძრაობა, გარე მოვაჭრეებს, რა თქმა უნდა „კლიენტურა“ შემცირდებათ. მათთვის აზრს დაკარგავს ასევე ახალი გზის პირას გადანაცვლებას სავაჭროდ, ვინაიდან იგი მნიშვნელოვნად არის დაშორებული მათი სახლებიდან და იქაც იგივე რაოდენობის ტრანსპორტი იმოძრავებს, რაც არსებულ გზაზე, აქედან გამომდინარე, მათთვის ზარალის მიყენება გარდაუვალია.</w:t>
      </w:r>
    </w:p>
    <w:p w14:paraId="57C4D52A" w14:textId="77777777" w:rsidR="00692F2E" w:rsidRDefault="00692F2E" w:rsidP="00B74656">
      <w:pPr>
        <w:spacing w:before="120" w:after="120"/>
        <w:ind w:right="-90"/>
        <w:rPr>
          <w:rFonts w:ascii="Sylfaen" w:hAnsi="Sylfaen"/>
          <w:color w:val="FF0000"/>
          <w:lang w:val="ka-GE"/>
        </w:rPr>
      </w:pPr>
      <w:r w:rsidRPr="005556B3">
        <w:rPr>
          <w:rFonts w:ascii="Sylfaen" w:hAnsi="Sylfaen" w:cs="Sylfaen"/>
          <w:lang w:val="ka-GE"/>
        </w:rPr>
        <w:t>გამოკითხვა</w:t>
      </w:r>
      <w:r w:rsidRPr="005556B3">
        <w:rPr>
          <w:rFonts w:ascii="Sylfaen" w:hAnsi="Sylfaen"/>
          <w:lang w:val="ka-GE"/>
        </w:rPr>
        <w:t xml:space="preserve"> </w:t>
      </w:r>
      <w:r w:rsidRPr="005556B3">
        <w:rPr>
          <w:rFonts w:ascii="Sylfaen" w:hAnsi="Sylfaen" w:cs="Sylfaen"/>
          <w:lang w:val="ka-GE"/>
        </w:rPr>
        <w:t>ასევე</w:t>
      </w:r>
      <w:r w:rsidRPr="005556B3">
        <w:rPr>
          <w:rFonts w:ascii="Sylfaen" w:hAnsi="Sylfaen"/>
          <w:lang w:val="ka-GE"/>
        </w:rPr>
        <w:t xml:space="preserve"> </w:t>
      </w:r>
      <w:r w:rsidRPr="005556B3">
        <w:rPr>
          <w:rFonts w:ascii="Sylfaen" w:hAnsi="Sylfaen" w:cs="Sylfaen"/>
          <w:lang w:val="ka-GE"/>
        </w:rPr>
        <w:t>ჩატარდა</w:t>
      </w:r>
      <w:r w:rsidRPr="005556B3">
        <w:rPr>
          <w:rFonts w:ascii="Sylfaen" w:hAnsi="Sylfaen"/>
          <w:lang w:val="ka-GE"/>
        </w:rPr>
        <w:t xml:space="preserve"> </w:t>
      </w:r>
      <w:r w:rsidRPr="005556B3">
        <w:rPr>
          <w:rFonts w:ascii="Sylfaen" w:hAnsi="Sylfaen" w:cs="Sylfaen"/>
          <w:lang w:val="ka-GE"/>
        </w:rPr>
        <w:t>სავაჭრო</w:t>
      </w:r>
      <w:r w:rsidRPr="005556B3">
        <w:rPr>
          <w:rFonts w:ascii="Sylfaen" w:hAnsi="Sylfaen"/>
          <w:lang w:val="ka-GE"/>
        </w:rPr>
        <w:t xml:space="preserve"> </w:t>
      </w:r>
      <w:r w:rsidRPr="005556B3">
        <w:rPr>
          <w:rFonts w:ascii="Sylfaen" w:hAnsi="Sylfaen" w:cs="Sylfaen"/>
          <w:lang w:val="ka-GE"/>
        </w:rPr>
        <w:t>ობიექტების</w:t>
      </w:r>
      <w:r w:rsidRPr="005556B3">
        <w:rPr>
          <w:rFonts w:ascii="Sylfaen" w:hAnsi="Sylfaen"/>
          <w:lang w:val="ka-GE"/>
        </w:rPr>
        <w:t xml:space="preserve"> </w:t>
      </w:r>
      <w:r w:rsidRPr="005556B3">
        <w:rPr>
          <w:rFonts w:ascii="Sylfaen" w:hAnsi="Sylfaen" w:cs="Sylfaen"/>
          <w:lang w:val="ka-GE"/>
        </w:rPr>
        <w:t>მფლობელებთან</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მათ</w:t>
      </w:r>
      <w:r w:rsidRPr="005556B3">
        <w:rPr>
          <w:rFonts w:ascii="Sylfaen" w:hAnsi="Sylfaen"/>
          <w:lang w:val="ka-GE"/>
        </w:rPr>
        <w:t xml:space="preserve"> </w:t>
      </w:r>
      <w:r w:rsidRPr="005556B3">
        <w:rPr>
          <w:rFonts w:ascii="Sylfaen" w:hAnsi="Sylfaen" w:cs="Sylfaen"/>
          <w:lang w:val="ka-GE"/>
        </w:rPr>
        <w:t>თანამშრომლებთან</w:t>
      </w:r>
      <w:r w:rsidRPr="005556B3">
        <w:rPr>
          <w:rFonts w:ascii="Sylfaen" w:hAnsi="Sylfaen"/>
          <w:lang w:val="ka-GE"/>
        </w:rPr>
        <w:t xml:space="preserve">. </w:t>
      </w:r>
      <w:r w:rsidRPr="005556B3">
        <w:rPr>
          <w:rFonts w:ascii="Sylfaen" w:hAnsi="Sylfaen" w:cs="Sylfaen"/>
          <w:lang w:val="ka-GE"/>
        </w:rPr>
        <w:t>გამოკითხვის</w:t>
      </w:r>
      <w:r w:rsidRPr="005556B3">
        <w:rPr>
          <w:rFonts w:ascii="Sylfaen" w:hAnsi="Sylfaen"/>
          <w:lang w:val="ka-GE"/>
        </w:rPr>
        <w:t xml:space="preserve"> </w:t>
      </w:r>
      <w:r w:rsidRPr="005556B3">
        <w:rPr>
          <w:rFonts w:ascii="Sylfaen" w:hAnsi="Sylfaen" w:cs="Sylfaen"/>
          <w:lang w:val="ka-GE"/>
        </w:rPr>
        <w:t>ეტაპზე</w:t>
      </w:r>
      <w:r w:rsidRPr="005556B3">
        <w:rPr>
          <w:rFonts w:ascii="Sylfaen" w:hAnsi="Sylfaen"/>
          <w:lang w:val="ka-GE"/>
        </w:rPr>
        <w:t xml:space="preserve"> </w:t>
      </w:r>
      <w:r w:rsidRPr="005556B3">
        <w:rPr>
          <w:rFonts w:ascii="Sylfaen" w:hAnsi="Sylfaen" w:cs="Sylfaen"/>
          <w:lang w:val="ka-GE"/>
        </w:rPr>
        <w:t>ასევე</w:t>
      </w:r>
      <w:r w:rsidRPr="005556B3">
        <w:rPr>
          <w:rFonts w:ascii="Sylfaen" w:hAnsi="Sylfaen"/>
          <w:lang w:val="ka-GE"/>
        </w:rPr>
        <w:t xml:space="preserve"> </w:t>
      </w:r>
      <w:r w:rsidRPr="005556B3">
        <w:rPr>
          <w:rFonts w:ascii="Sylfaen" w:hAnsi="Sylfaen" w:cs="Sylfaen"/>
          <w:lang w:val="ka-GE"/>
        </w:rPr>
        <w:t>ყველა</w:t>
      </w:r>
      <w:r w:rsidRPr="005556B3">
        <w:rPr>
          <w:rFonts w:ascii="Sylfaen" w:hAnsi="Sylfaen"/>
          <w:lang w:val="ka-GE"/>
        </w:rPr>
        <w:t xml:space="preserve"> </w:t>
      </w:r>
      <w:r w:rsidRPr="005556B3">
        <w:rPr>
          <w:rFonts w:ascii="Sylfaen" w:hAnsi="Sylfaen" w:cs="Sylfaen"/>
          <w:lang w:val="ka-GE"/>
        </w:rPr>
        <w:t>დაინტერესებულ</w:t>
      </w:r>
      <w:r w:rsidRPr="005556B3">
        <w:rPr>
          <w:rFonts w:ascii="Sylfaen" w:hAnsi="Sylfaen"/>
          <w:lang w:val="ka-GE"/>
        </w:rPr>
        <w:t xml:space="preserve"> </w:t>
      </w:r>
      <w:r w:rsidRPr="005556B3">
        <w:rPr>
          <w:rFonts w:ascii="Sylfaen" w:hAnsi="Sylfaen" w:cs="Sylfaen"/>
          <w:lang w:val="ka-GE"/>
        </w:rPr>
        <w:t>პირს</w:t>
      </w:r>
      <w:r w:rsidRPr="005556B3">
        <w:rPr>
          <w:rFonts w:ascii="Sylfaen" w:hAnsi="Sylfaen"/>
          <w:lang w:val="ka-GE"/>
        </w:rPr>
        <w:t xml:space="preserve"> </w:t>
      </w:r>
      <w:r w:rsidRPr="005556B3">
        <w:rPr>
          <w:rFonts w:ascii="Sylfaen" w:hAnsi="Sylfaen" w:cs="Sylfaen"/>
          <w:lang w:val="ka-GE"/>
        </w:rPr>
        <w:t>მიეცა</w:t>
      </w:r>
      <w:r w:rsidRPr="005556B3">
        <w:rPr>
          <w:rFonts w:ascii="Sylfaen" w:hAnsi="Sylfaen"/>
          <w:lang w:val="ka-GE"/>
        </w:rPr>
        <w:t xml:space="preserve"> </w:t>
      </w:r>
      <w:r w:rsidRPr="005556B3">
        <w:rPr>
          <w:rFonts w:ascii="Sylfaen" w:hAnsi="Sylfaen" w:cs="Sylfaen"/>
          <w:lang w:val="ka-GE"/>
        </w:rPr>
        <w:t>ინფორმაცია</w:t>
      </w:r>
      <w:r w:rsidRPr="005556B3">
        <w:rPr>
          <w:rFonts w:ascii="Sylfaen" w:hAnsi="Sylfaen"/>
          <w:lang w:val="ka-GE"/>
        </w:rPr>
        <w:t xml:space="preserve"> </w:t>
      </w:r>
      <w:r w:rsidRPr="005556B3">
        <w:rPr>
          <w:rFonts w:ascii="Sylfaen" w:hAnsi="Sylfaen" w:cs="Sylfaen"/>
          <w:lang w:val="ka-GE"/>
        </w:rPr>
        <w:t>დაგეგმილი</w:t>
      </w:r>
      <w:r w:rsidRPr="005556B3">
        <w:rPr>
          <w:rFonts w:ascii="Sylfaen" w:hAnsi="Sylfaen"/>
          <w:lang w:val="ka-GE"/>
        </w:rPr>
        <w:t xml:space="preserve"> </w:t>
      </w:r>
      <w:r w:rsidRPr="005556B3">
        <w:rPr>
          <w:rFonts w:ascii="Sylfaen" w:hAnsi="Sylfaen" w:cs="Sylfaen"/>
          <w:lang w:val="ka-GE"/>
        </w:rPr>
        <w:t>პროექტის</w:t>
      </w:r>
      <w:r w:rsidRPr="005556B3">
        <w:rPr>
          <w:rFonts w:ascii="Sylfaen" w:hAnsi="Sylfaen"/>
          <w:lang w:val="ka-GE"/>
        </w:rPr>
        <w:t xml:space="preserve"> </w:t>
      </w:r>
      <w:r w:rsidRPr="005556B3">
        <w:rPr>
          <w:rFonts w:ascii="Sylfaen" w:hAnsi="Sylfaen" w:cs="Sylfaen"/>
          <w:lang w:val="ka-GE"/>
        </w:rPr>
        <w:t>შესახებ</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გაეცა</w:t>
      </w:r>
      <w:r w:rsidRPr="005556B3">
        <w:rPr>
          <w:rFonts w:ascii="Sylfaen" w:hAnsi="Sylfaen"/>
          <w:lang w:val="ka-GE"/>
        </w:rPr>
        <w:t xml:space="preserve"> </w:t>
      </w:r>
      <w:r w:rsidRPr="005556B3">
        <w:rPr>
          <w:rFonts w:ascii="Sylfaen" w:hAnsi="Sylfaen" w:cs="Sylfaen"/>
          <w:lang w:val="ka-GE"/>
        </w:rPr>
        <w:t>პასუხები</w:t>
      </w:r>
      <w:r w:rsidRPr="005556B3">
        <w:rPr>
          <w:rFonts w:ascii="Sylfaen" w:hAnsi="Sylfaen"/>
          <w:lang w:val="ka-GE"/>
        </w:rPr>
        <w:t xml:space="preserve"> </w:t>
      </w:r>
      <w:r w:rsidRPr="005556B3">
        <w:rPr>
          <w:rFonts w:ascii="Sylfaen" w:hAnsi="Sylfaen" w:cs="Sylfaen"/>
          <w:lang w:val="ka-GE"/>
        </w:rPr>
        <w:t>მათთვის</w:t>
      </w:r>
      <w:r w:rsidRPr="005556B3">
        <w:rPr>
          <w:rFonts w:ascii="Sylfaen" w:hAnsi="Sylfaen"/>
          <w:lang w:val="ka-GE"/>
        </w:rPr>
        <w:t xml:space="preserve"> </w:t>
      </w:r>
      <w:r w:rsidRPr="005556B3">
        <w:rPr>
          <w:rFonts w:ascii="Sylfaen" w:hAnsi="Sylfaen" w:cs="Sylfaen"/>
          <w:lang w:val="ka-GE"/>
        </w:rPr>
        <w:t>საინტერესო</w:t>
      </w:r>
      <w:r w:rsidRPr="005556B3">
        <w:rPr>
          <w:rFonts w:ascii="Sylfaen" w:hAnsi="Sylfaen"/>
          <w:lang w:val="ka-GE"/>
        </w:rPr>
        <w:t xml:space="preserve"> </w:t>
      </w:r>
      <w:r w:rsidRPr="005556B3">
        <w:rPr>
          <w:rFonts w:ascii="Sylfaen" w:hAnsi="Sylfaen" w:cs="Sylfaen"/>
          <w:lang w:val="ka-GE"/>
        </w:rPr>
        <w:t>კითხვებზე. იმ სავაჭრო ობიქტების მესაკუთრეები, რომლებიც განთავსებულია სოფლების შუაგულში მოხარულები არიან ახალი პროექტით, ვინაიდან სოფლის გზაზე მოძრავი სატვირთო მანქანები და ინტენსიური მოძრაობა აზიანებს მათ საცხოვრებელ სახლებს და ისინი ძირითადად მუშაობენ ადგილობრივ მოსახლეობაზე და გამვლელი ავტოტრანსპორტის მძღოლები იშვიათად სარგებლობენ მათი მომსახურებით.</w:t>
      </w:r>
      <w:r w:rsidRPr="005556B3">
        <w:rPr>
          <w:rFonts w:ascii="Sylfaen" w:hAnsi="Sylfaen" w:cs="Sylfaen"/>
          <w:color w:val="FF0000"/>
          <w:lang w:val="ka-GE"/>
        </w:rPr>
        <w:t xml:space="preserve"> </w:t>
      </w:r>
      <w:r w:rsidRPr="005556B3">
        <w:rPr>
          <w:rFonts w:ascii="Sylfaen" w:hAnsi="Sylfaen"/>
          <w:color w:val="FF0000"/>
          <w:lang w:val="ka-GE"/>
        </w:rPr>
        <w:t xml:space="preserve"> </w:t>
      </w:r>
    </w:p>
    <w:p w14:paraId="0358E09F" w14:textId="77777777" w:rsidR="00692F2E" w:rsidRPr="007F5B16" w:rsidRDefault="00692F2E" w:rsidP="00B74656">
      <w:pPr>
        <w:spacing w:before="120" w:after="120"/>
        <w:ind w:right="-90" w:firstLine="720"/>
        <w:rPr>
          <w:rFonts w:ascii="Sylfaen" w:hAnsi="Sylfaen"/>
          <w:sz w:val="20"/>
          <w:szCs w:val="20"/>
          <w:lang w:val="ka-GE"/>
        </w:rPr>
      </w:pPr>
      <w:r w:rsidRPr="007F5B16">
        <w:rPr>
          <w:rFonts w:ascii="Sylfaen" w:hAnsi="Sylfaen"/>
          <w:sz w:val="20"/>
          <w:szCs w:val="20"/>
          <w:lang w:val="ka-GE"/>
        </w:rPr>
        <w:t>(</w:t>
      </w:r>
      <w:r w:rsidRPr="007F5B16">
        <w:rPr>
          <w:rFonts w:ascii="Sylfaen" w:hAnsi="Sylfaen" w:cs="Sylfaen"/>
          <w:sz w:val="20"/>
          <w:szCs w:val="20"/>
          <w:lang w:val="ka-GE"/>
        </w:rPr>
        <w:t>სურ</w:t>
      </w:r>
      <w:r>
        <w:rPr>
          <w:rFonts w:ascii="Sylfaen" w:hAnsi="Sylfaen"/>
          <w:sz w:val="20"/>
          <w:szCs w:val="20"/>
          <w:lang w:val="ka-GE"/>
        </w:rPr>
        <w:t>. N2.3.4.</w:t>
      </w:r>
      <w:r w:rsidRPr="007F5B16">
        <w:rPr>
          <w:rFonts w:ascii="Sylfaen" w:hAnsi="Sylfaen"/>
          <w:sz w:val="20"/>
          <w:szCs w:val="20"/>
          <w:lang w:val="ka-GE"/>
        </w:rPr>
        <w:t xml:space="preserve"> შეხვედრები მაღაზიების მფლობელებთან) </w:t>
      </w:r>
    </w:p>
    <w:p w14:paraId="03ADD5A2" w14:textId="77777777" w:rsidR="009F08E4" w:rsidRDefault="009F08E4" w:rsidP="00B74656">
      <w:pPr>
        <w:spacing w:before="120" w:after="120"/>
        <w:ind w:right="-90"/>
        <w:rPr>
          <w:rFonts w:ascii="Sylfaen" w:hAnsi="Sylfaen"/>
          <w:noProof/>
          <w:sz w:val="24"/>
          <w:lang w:val="ka-GE"/>
        </w:rPr>
      </w:pPr>
      <w:r w:rsidRPr="00F80CCF">
        <w:rPr>
          <w:rFonts w:ascii="Sylfaen" w:hAnsi="Sylfaen"/>
          <w:noProof/>
          <w:lang w:val="en-US" w:eastAsia="en-US"/>
        </w:rPr>
        <w:lastRenderedPageBreak/>
        <w:drawing>
          <wp:anchor distT="0" distB="0" distL="114300" distR="114300" simplePos="0" relativeHeight="251652608" behindDoc="0" locked="0" layoutInCell="1" allowOverlap="1" wp14:anchorId="5DD1C656" wp14:editId="313FE023">
            <wp:simplePos x="0" y="0"/>
            <wp:positionH relativeFrom="margin">
              <wp:posOffset>-5715</wp:posOffset>
            </wp:positionH>
            <wp:positionV relativeFrom="paragraph">
              <wp:posOffset>38100</wp:posOffset>
            </wp:positionV>
            <wp:extent cx="3251835" cy="2456180"/>
            <wp:effectExtent l="0" t="0" r="5715"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5D3970752DA7CB78D3B4BB019969690BC9B3756FEAD2FCFFC^pimgpsh_fullsize_distr.jpg"/>
                    <pic:cNvPicPr/>
                  </pic:nvPicPr>
                  <pic:blipFill>
                    <a:blip r:embed="rId189" cstate="email">
                      <a:extLst>
                        <a:ext uri="{28A0092B-C50C-407E-A947-70E740481C1C}">
                          <a14:useLocalDpi xmlns:a14="http://schemas.microsoft.com/office/drawing/2010/main"/>
                        </a:ext>
                      </a:extLst>
                    </a:blip>
                    <a:stretch>
                      <a:fillRect/>
                    </a:stretch>
                  </pic:blipFill>
                  <pic:spPr>
                    <a:xfrm>
                      <a:off x="0" y="0"/>
                      <a:ext cx="3251835" cy="2456180"/>
                    </a:xfrm>
                    <a:prstGeom prst="rect">
                      <a:avLst/>
                    </a:prstGeom>
                  </pic:spPr>
                </pic:pic>
              </a:graphicData>
            </a:graphic>
            <wp14:sizeRelH relativeFrom="margin">
              <wp14:pctWidth>0</wp14:pctWidth>
            </wp14:sizeRelH>
            <wp14:sizeRelV relativeFrom="margin">
              <wp14:pctHeight>0</wp14:pctHeight>
            </wp14:sizeRelV>
          </wp:anchor>
        </w:drawing>
      </w:r>
      <w:r w:rsidRPr="00F80CCF">
        <w:rPr>
          <w:rFonts w:ascii="Sylfaen" w:hAnsi="Sylfaen"/>
          <w:noProof/>
          <w:lang w:val="en-US" w:eastAsia="en-US"/>
        </w:rPr>
        <w:drawing>
          <wp:inline distT="0" distB="0" distL="0" distR="0" wp14:anchorId="088DD3FA" wp14:editId="5DFF675A">
            <wp:extent cx="3269411" cy="250507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66673A59E26ECAD0D92C008FFF70728E80CFDE1EF053ECEEC^pimgpsh_fullsize_distr.jpg"/>
                    <pic:cNvPicPr/>
                  </pic:nvPicPr>
                  <pic:blipFill>
                    <a:blip r:embed="rId190" cstate="email">
                      <a:extLst>
                        <a:ext uri="{28A0092B-C50C-407E-A947-70E740481C1C}">
                          <a14:useLocalDpi xmlns:a14="http://schemas.microsoft.com/office/drawing/2010/main"/>
                        </a:ext>
                      </a:extLst>
                    </a:blip>
                    <a:stretch>
                      <a:fillRect/>
                    </a:stretch>
                  </pic:blipFill>
                  <pic:spPr>
                    <a:xfrm>
                      <a:off x="0" y="0"/>
                      <a:ext cx="3277269" cy="2511096"/>
                    </a:xfrm>
                    <a:prstGeom prst="rect">
                      <a:avLst/>
                    </a:prstGeom>
                  </pic:spPr>
                </pic:pic>
              </a:graphicData>
            </a:graphic>
          </wp:inline>
        </w:drawing>
      </w:r>
    </w:p>
    <w:p w14:paraId="3EE95F39" w14:textId="77777777" w:rsidR="00692F2E" w:rsidRPr="009F08E4" w:rsidRDefault="00692F2E" w:rsidP="00B74656">
      <w:pPr>
        <w:spacing w:before="120" w:after="120"/>
        <w:ind w:right="-90"/>
        <w:jc w:val="center"/>
        <w:rPr>
          <w:rFonts w:ascii="Sylfaen" w:hAnsi="Sylfaen"/>
          <w:noProof/>
          <w:sz w:val="24"/>
          <w:lang w:val="ka-GE"/>
        </w:rPr>
      </w:pPr>
      <w:r>
        <w:rPr>
          <w:rFonts w:ascii="Sylfaen" w:hAnsi="Sylfaen"/>
          <w:sz w:val="24"/>
          <w:lang w:val="ka-GE"/>
        </w:rPr>
        <w:br w:type="textWrapping" w:clear="all"/>
      </w:r>
      <w:r w:rsidR="009F08E4">
        <w:rPr>
          <w:rFonts w:ascii="Sylfaen" w:hAnsi="Sylfaen"/>
          <w:noProof/>
          <w:sz w:val="24"/>
          <w:lang w:val="ka-GE"/>
        </w:rPr>
        <w:t xml:space="preserve"> </w:t>
      </w:r>
      <w:r w:rsidR="009F08E4" w:rsidRPr="00F80CCF">
        <w:rPr>
          <w:rFonts w:ascii="Sylfaen" w:hAnsi="Sylfaen"/>
          <w:noProof/>
          <w:lang w:val="en-US" w:eastAsia="en-US"/>
        </w:rPr>
        <w:drawing>
          <wp:inline distT="0" distB="0" distL="0" distR="0" wp14:anchorId="47FF9EA9" wp14:editId="028EA0EC">
            <wp:extent cx="2924175" cy="23431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4DB5AC01837188444FF01C0CA520E46CC95534727B66AA66A^pimgpsh_fullsize_distr.jpg"/>
                    <pic:cNvPicPr/>
                  </pic:nvPicPr>
                  <pic:blipFill>
                    <a:blip r:embed="rId191" cstate="email">
                      <a:extLst>
                        <a:ext uri="{28A0092B-C50C-407E-A947-70E740481C1C}">
                          <a14:useLocalDpi xmlns:a14="http://schemas.microsoft.com/office/drawing/2010/main"/>
                        </a:ext>
                      </a:extLst>
                    </a:blip>
                    <a:stretch>
                      <a:fillRect/>
                    </a:stretch>
                  </pic:blipFill>
                  <pic:spPr>
                    <a:xfrm>
                      <a:off x="0" y="0"/>
                      <a:ext cx="2925730" cy="2344396"/>
                    </a:xfrm>
                    <a:prstGeom prst="rect">
                      <a:avLst/>
                    </a:prstGeom>
                  </pic:spPr>
                </pic:pic>
              </a:graphicData>
            </a:graphic>
          </wp:inline>
        </w:drawing>
      </w:r>
    </w:p>
    <w:p w14:paraId="19F6F077" w14:textId="77777777" w:rsidR="00692F2E" w:rsidRDefault="00692F2E" w:rsidP="00B74656">
      <w:pPr>
        <w:spacing w:before="120" w:after="120"/>
        <w:ind w:right="-90"/>
        <w:jc w:val="center"/>
        <w:rPr>
          <w:rFonts w:ascii="Sylfaen" w:hAnsi="Sylfaen"/>
          <w:sz w:val="24"/>
          <w:lang w:val="ka-GE"/>
        </w:rPr>
      </w:pPr>
    </w:p>
    <w:p w14:paraId="41D1EEC9" w14:textId="77777777" w:rsidR="00692F2E" w:rsidRDefault="00692F2E" w:rsidP="00B74656">
      <w:pPr>
        <w:spacing w:before="120" w:after="120"/>
        <w:ind w:right="-90"/>
        <w:rPr>
          <w:rFonts w:ascii="Sylfaen" w:hAnsi="Sylfaen"/>
          <w:sz w:val="20"/>
          <w:szCs w:val="20"/>
          <w:lang w:val="ka-GE"/>
        </w:rPr>
      </w:pPr>
      <w:r w:rsidRPr="00023C6F">
        <w:rPr>
          <w:rFonts w:ascii="Sylfaen" w:hAnsi="Sylfaen"/>
          <w:b/>
          <w:sz w:val="20"/>
          <w:szCs w:val="20"/>
          <w:lang w:val="ka-GE"/>
        </w:rPr>
        <w:t>შენიშვნა:</w:t>
      </w:r>
      <w:r w:rsidRPr="00023C6F">
        <w:rPr>
          <w:rFonts w:ascii="Sylfaen" w:hAnsi="Sylfaen"/>
          <w:sz w:val="20"/>
          <w:szCs w:val="20"/>
          <w:lang w:val="ka-GE"/>
        </w:rPr>
        <w:t xml:space="preserve"> კერძო ბიზნესის მფლობელთა უმრავლესობამ უარი განაცხადა როგორც ბიზნეს საქმიანობის, ასევე პირად ფოტო გადაღებაზე. </w:t>
      </w:r>
    </w:p>
    <w:p w14:paraId="1654C8E8"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არიან ისეთებიც (ძირითადად თონეების მესაკუთრეები), რომლებიც საერთოდ არ არიან დააინტერესებული ახალი პროექტით. მათი აზრით არანაირი მნიშვნელობა არ ექნება ახალ გზას, როგორი მუშაობაც ქონდათ, ისევ ისეთი ექნებათ.</w:t>
      </w:r>
    </w:p>
    <w:p w14:paraId="4DAC3B7B"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რაც შეეხება ბენზინგასამართ სადგურებზე მომუშავეთა და მცირე ბიზნესის მფლობელთა აზრს (ავეჯის მაღაზიები, საყოფაცხოვრებო მაღაზიები) - ისინი, ფიქრობენ, რომ მათი ბიზნესი დაზარალდება არსებულ გზაზე მოძრაობის ინტენსივობის შემცირების გამო.</w:t>
      </w:r>
    </w:p>
    <w:p w14:paraId="6372B74C" w14:textId="77777777" w:rsidR="00692F2E" w:rsidRDefault="00692F2E" w:rsidP="00B74656">
      <w:pPr>
        <w:spacing w:before="120" w:after="120"/>
        <w:ind w:right="-90" w:firstLine="720"/>
        <w:rPr>
          <w:rFonts w:ascii="Sylfaen" w:hAnsi="Sylfaen"/>
          <w:color w:val="FF0000"/>
          <w:sz w:val="24"/>
          <w:lang w:val="ka-GE"/>
        </w:rPr>
      </w:pPr>
      <w:r w:rsidRPr="00A96EA4">
        <w:rPr>
          <w:rFonts w:ascii="Sylfaen" w:hAnsi="Sylfaen"/>
          <w:color w:val="FF0000"/>
          <w:sz w:val="24"/>
          <w:lang w:val="ka-GE"/>
        </w:rPr>
        <w:t xml:space="preserve">     </w:t>
      </w:r>
    </w:p>
    <w:p w14:paraId="5C8B5569" w14:textId="77777777" w:rsidR="005556B3" w:rsidRDefault="005556B3" w:rsidP="00B74656">
      <w:pPr>
        <w:spacing w:before="120" w:after="120"/>
        <w:ind w:right="-90"/>
        <w:rPr>
          <w:rFonts w:ascii="Sylfaen" w:hAnsi="Sylfaen"/>
          <w:color w:val="FF0000"/>
          <w:sz w:val="24"/>
          <w:lang w:val="ka-GE"/>
        </w:rPr>
      </w:pPr>
    </w:p>
    <w:p w14:paraId="6858909B" w14:textId="77777777" w:rsidR="00692F2E" w:rsidRPr="000B7D04" w:rsidRDefault="00692F2E" w:rsidP="00B74656">
      <w:pPr>
        <w:spacing w:before="120" w:after="120"/>
        <w:ind w:right="-90"/>
        <w:rPr>
          <w:rFonts w:ascii="Sylfaen" w:hAnsi="Sylfaen"/>
          <w:b/>
          <w:color w:val="FF0000"/>
          <w:sz w:val="24"/>
          <w:lang w:val="ka-GE"/>
        </w:rPr>
      </w:pPr>
      <w:r w:rsidRPr="000B7D04">
        <w:rPr>
          <w:rFonts w:ascii="Sylfaen" w:hAnsi="Sylfaen" w:cs="Sylfaen"/>
          <w:b/>
          <w:sz w:val="24"/>
          <w:lang w:val="ka-GE"/>
        </w:rPr>
        <w:t>სოციალური</w:t>
      </w:r>
      <w:r w:rsidRPr="000B7D04">
        <w:rPr>
          <w:rFonts w:ascii="Sylfaen" w:hAnsi="Sylfaen"/>
          <w:b/>
          <w:sz w:val="24"/>
          <w:lang w:val="ka-GE"/>
        </w:rPr>
        <w:t xml:space="preserve"> </w:t>
      </w:r>
      <w:r w:rsidRPr="000B7D04">
        <w:rPr>
          <w:rFonts w:ascii="Sylfaen" w:hAnsi="Sylfaen" w:cs="Sylfaen"/>
          <w:b/>
          <w:sz w:val="24"/>
          <w:lang w:val="ka-GE"/>
        </w:rPr>
        <w:t>კვლევის</w:t>
      </w:r>
      <w:r w:rsidRPr="000B7D04">
        <w:rPr>
          <w:rFonts w:ascii="Sylfaen" w:hAnsi="Sylfaen"/>
          <w:b/>
          <w:sz w:val="24"/>
          <w:lang w:val="ka-GE"/>
        </w:rPr>
        <w:t xml:space="preserve"> </w:t>
      </w:r>
      <w:r w:rsidRPr="000B7D04">
        <w:rPr>
          <w:rFonts w:ascii="Sylfaen" w:hAnsi="Sylfaen" w:cs="Sylfaen"/>
          <w:b/>
          <w:sz w:val="24"/>
          <w:lang w:val="ka-GE"/>
        </w:rPr>
        <w:t>მოკლე</w:t>
      </w:r>
      <w:r w:rsidRPr="000B7D04">
        <w:rPr>
          <w:rFonts w:ascii="Sylfaen" w:hAnsi="Sylfaen"/>
          <w:b/>
          <w:sz w:val="24"/>
          <w:lang w:val="ka-GE"/>
        </w:rPr>
        <w:t xml:space="preserve"> </w:t>
      </w:r>
      <w:r w:rsidRPr="000B7D04">
        <w:rPr>
          <w:rFonts w:ascii="Sylfaen" w:hAnsi="Sylfaen" w:cs="Sylfaen"/>
          <w:b/>
          <w:sz w:val="24"/>
          <w:lang w:val="ka-GE"/>
        </w:rPr>
        <w:t>ანალიზი</w:t>
      </w:r>
    </w:p>
    <w:p w14:paraId="28B086FE" w14:textId="77777777" w:rsidR="00692F2E" w:rsidRPr="005556B3" w:rsidRDefault="00692F2E" w:rsidP="00B74656">
      <w:pPr>
        <w:spacing w:before="120" w:after="120"/>
        <w:ind w:right="-90"/>
        <w:rPr>
          <w:rFonts w:ascii="Sylfaen" w:hAnsi="Sylfaen"/>
          <w:lang w:val="ka-GE"/>
        </w:rPr>
      </w:pPr>
      <w:r w:rsidRPr="005556B3">
        <w:rPr>
          <w:rFonts w:ascii="Sylfaen" w:hAnsi="Sylfaen" w:cs="Sylfaen"/>
          <w:lang w:val="ka-GE"/>
        </w:rPr>
        <w:t>ჩატარებული</w:t>
      </w:r>
      <w:r w:rsidRPr="005556B3">
        <w:rPr>
          <w:rFonts w:ascii="Sylfaen" w:hAnsi="Sylfaen"/>
          <w:lang w:val="ka-GE"/>
        </w:rPr>
        <w:t xml:space="preserve"> </w:t>
      </w:r>
      <w:r w:rsidRPr="005556B3">
        <w:rPr>
          <w:rFonts w:ascii="Sylfaen" w:hAnsi="Sylfaen" w:cs="Sylfaen"/>
          <w:lang w:val="ka-GE"/>
        </w:rPr>
        <w:t>წინასწარი</w:t>
      </w:r>
      <w:r w:rsidRPr="005556B3">
        <w:rPr>
          <w:rFonts w:ascii="Sylfaen" w:hAnsi="Sylfaen"/>
          <w:lang w:val="ka-GE"/>
        </w:rPr>
        <w:t xml:space="preserve"> </w:t>
      </w:r>
      <w:r w:rsidRPr="005556B3">
        <w:rPr>
          <w:rFonts w:ascii="Sylfaen" w:hAnsi="Sylfaen" w:cs="Sylfaen"/>
          <w:lang w:val="ka-GE"/>
        </w:rPr>
        <w:t>სოციაური</w:t>
      </w:r>
      <w:r w:rsidRPr="005556B3">
        <w:rPr>
          <w:rFonts w:ascii="Sylfaen" w:hAnsi="Sylfaen"/>
          <w:lang w:val="ka-GE"/>
        </w:rPr>
        <w:t xml:space="preserve"> </w:t>
      </w:r>
      <w:r w:rsidRPr="005556B3">
        <w:rPr>
          <w:rFonts w:ascii="Sylfaen" w:hAnsi="Sylfaen" w:cs="Sylfaen"/>
          <w:lang w:val="ka-GE"/>
        </w:rPr>
        <w:t>კვლევის</w:t>
      </w:r>
      <w:r w:rsidRPr="005556B3">
        <w:rPr>
          <w:rFonts w:ascii="Sylfaen" w:hAnsi="Sylfaen"/>
          <w:lang w:val="ka-GE"/>
        </w:rPr>
        <w:t xml:space="preserve"> </w:t>
      </w:r>
      <w:r w:rsidRPr="005556B3">
        <w:rPr>
          <w:rFonts w:ascii="Sylfaen" w:hAnsi="Sylfaen" w:cs="Sylfaen"/>
          <w:lang w:val="ka-GE"/>
        </w:rPr>
        <w:t>ეტაპზე</w:t>
      </w:r>
      <w:r w:rsidRPr="005556B3">
        <w:rPr>
          <w:rFonts w:ascii="Sylfaen" w:hAnsi="Sylfaen"/>
          <w:lang w:val="ka-GE"/>
        </w:rPr>
        <w:t xml:space="preserve"> </w:t>
      </w:r>
      <w:r w:rsidRPr="005556B3">
        <w:rPr>
          <w:rFonts w:ascii="Sylfaen" w:hAnsi="Sylfaen" w:cs="Sylfaen"/>
          <w:lang w:val="ka-GE"/>
        </w:rPr>
        <w:t>გამოიკითხა</w:t>
      </w:r>
      <w:r w:rsidRPr="005556B3">
        <w:rPr>
          <w:rFonts w:ascii="Sylfaen" w:hAnsi="Sylfaen"/>
          <w:lang w:val="ka-GE"/>
        </w:rPr>
        <w:t xml:space="preserve"> 28 </w:t>
      </w:r>
      <w:r w:rsidRPr="005556B3">
        <w:rPr>
          <w:rFonts w:ascii="Sylfaen" w:hAnsi="Sylfaen" w:cs="Sylfaen"/>
          <w:lang w:val="ka-GE"/>
        </w:rPr>
        <w:t>კერძო</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იურიდიული</w:t>
      </w:r>
      <w:r w:rsidRPr="005556B3">
        <w:rPr>
          <w:rFonts w:ascii="Sylfaen" w:hAnsi="Sylfaen"/>
          <w:lang w:val="ka-GE"/>
        </w:rPr>
        <w:t xml:space="preserve"> </w:t>
      </w:r>
      <w:r w:rsidRPr="005556B3">
        <w:rPr>
          <w:rFonts w:ascii="Sylfaen" w:hAnsi="Sylfaen" w:cs="Sylfaen"/>
          <w:lang w:val="ka-GE"/>
        </w:rPr>
        <w:t>პირი</w:t>
      </w:r>
      <w:r w:rsidRPr="005556B3">
        <w:rPr>
          <w:rFonts w:ascii="Sylfaen" w:hAnsi="Sylfaen"/>
          <w:lang w:val="ka-GE"/>
        </w:rPr>
        <w:t xml:space="preserve">, </w:t>
      </w:r>
      <w:r w:rsidRPr="005556B3">
        <w:rPr>
          <w:rFonts w:ascii="Sylfaen" w:hAnsi="Sylfaen" w:cs="Sylfaen"/>
          <w:lang w:val="ka-GE"/>
        </w:rPr>
        <w:t>რომელეთაც</w:t>
      </w:r>
      <w:r w:rsidRPr="005556B3">
        <w:rPr>
          <w:rFonts w:ascii="Sylfaen" w:hAnsi="Sylfaen"/>
          <w:lang w:val="ka-GE"/>
        </w:rPr>
        <w:t xml:space="preserve"> </w:t>
      </w:r>
      <w:r w:rsidRPr="005556B3">
        <w:rPr>
          <w:rFonts w:ascii="Sylfaen" w:hAnsi="Sylfaen" w:cs="Sylfaen"/>
          <w:lang w:val="ka-GE"/>
        </w:rPr>
        <w:t>აქვთ</w:t>
      </w:r>
      <w:r w:rsidRPr="005556B3">
        <w:rPr>
          <w:rFonts w:ascii="Sylfaen" w:hAnsi="Sylfaen"/>
          <w:lang w:val="ka-GE"/>
        </w:rPr>
        <w:t xml:space="preserve"> </w:t>
      </w:r>
      <w:r w:rsidRPr="005556B3">
        <w:rPr>
          <w:rFonts w:ascii="Sylfaen" w:hAnsi="Sylfaen" w:cs="Sylfaen"/>
          <w:lang w:val="ka-GE"/>
        </w:rPr>
        <w:t>ბიზნესი</w:t>
      </w:r>
      <w:r w:rsidRPr="005556B3">
        <w:rPr>
          <w:rFonts w:ascii="Sylfaen" w:hAnsi="Sylfaen"/>
          <w:lang w:val="ka-GE"/>
        </w:rPr>
        <w:t xml:space="preserve"> </w:t>
      </w:r>
      <w:r w:rsidRPr="005556B3">
        <w:rPr>
          <w:rFonts w:ascii="Sylfaen" w:hAnsi="Sylfaen" w:cs="Sylfaen"/>
          <w:lang w:val="ka-GE"/>
        </w:rPr>
        <w:t>არსებული საავტომობილო გზის მიმდებარედ</w:t>
      </w:r>
      <w:r w:rsidRPr="005556B3">
        <w:rPr>
          <w:rFonts w:ascii="Sylfaen" w:hAnsi="Sylfaen"/>
          <w:lang w:val="ka-GE"/>
        </w:rPr>
        <w:t>, 28-</w:t>
      </w:r>
      <w:r w:rsidRPr="005556B3">
        <w:rPr>
          <w:rFonts w:ascii="Sylfaen" w:hAnsi="Sylfaen" w:cs="Sylfaen"/>
          <w:lang w:val="ka-GE"/>
        </w:rPr>
        <w:t>დან</w:t>
      </w:r>
      <w:r w:rsidRPr="005556B3">
        <w:rPr>
          <w:rFonts w:ascii="Sylfaen" w:hAnsi="Sylfaen"/>
          <w:lang w:val="ka-GE"/>
        </w:rPr>
        <w:t xml:space="preserve"> 2 </w:t>
      </w:r>
      <w:r w:rsidRPr="005556B3">
        <w:rPr>
          <w:rFonts w:ascii="Sylfaen" w:hAnsi="Sylfaen" w:cs="Sylfaen"/>
          <w:lang w:val="ka-GE"/>
        </w:rPr>
        <w:t>პირი</w:t>
      </w:r>
      <w:r w:rsidRPr="005556B3">
        <w:rPr>
          <w:rFonts w:ascii="Sylfaen" w:hAnsi="Sylfaen"/>
          <w:lang w:val="ka-GE"/>
        </w:rPr>
        <w:t xml:space="preserve"> (7%) </w:t>
      </w:r>
      <w:r w:rsidRPr="005556B3">
        <w:rPr>
          <w:rFonts w:ascii="Sylfaen" w:hAnsi="Sylfaen" w:cs="Sylfaen"/>
          <w:lang w:val="ka-GE"/>
        </w:rPr>
        <w:t>წარმოადგენს</w:t>
      </w:r>
      <w:r w:rsidRPr="005556B3">
        <w:rPr>
          <w:rFonts w:ascii="Sylfaen" w:hAnsi="Sylfaen"/>
          <w:lang w:val="ka-GE"/>
        </w:rPr>
        <w:t xml:space="preserve"> </w:t>
      </w:r>
      <w:r w:rsidRPr="005556B3">
        <w:rPr>
          <w:rFonts w:ascii="Sylfaen" w:hAnsi="Sylfaen" w:cs="Sylfaen"/>
          <w:lang w:val="ka-GE"/>
        </w:rPr>
        <w:t>იურიდიულ</w:t>
      </w:r>
      <w:r w:rsidRPr="005556B3">
        <w:rPr>
          <w:rFonts w:ascii="Sylfaen" w:hAnsi="Sylfaen"/>
          <w:lang w:val="ka-GE"/>
        </w:rPr>
        <w:t xml:space="preserve"> </w:t>
      </w:r>
      <w:r w:rsidRPr="005556B3">
        <w:rPr>
          <w:rFonts w:ascii="Sylfaen" w:hAnsi="Sylfaen" w:cs="Sylfaen"/>
          <w:lang w:val="ka-GE"/>
        </w:rPr>
        <w:t>პირს</w:t>
      </w:r>
      <w:r w:rsidRPr="005556B3">
        <w:rPr>
          <w:rFonts w:ascii="Sylfaen" w:hAnsi="Sylfaen"/>
          <w:lang w:val="ka-GE"/>
        </w:rPr>
        <w:t xml:space="preserve">, </w:t>
      </w:r>
      <w:r w:rsidRPr="005556B3">
        <w:rPr>
          <w:rFonts w:ascii="Sylfaen" w:hAnsi="Sylfaen" w:cs="Sylfaen"/>
          <w:lang w:val="ka-GE"/>
        </w:rPr>
        <w:t>ხოლო</w:t>
      </w:r>
      <w:r w:rsidRPr="005556B3">
        <w:rPr>
          <w:rFonts w:ascii="Sylfaen" w:hAnsi="Sylfaen"/>
          <w:lang w:val="ka-GE"/>
        </w:rPr>
        <w:t xml:space="preserve"> 26 (98%) </w:t>
      </w:r>
      <w:r w:rsidRPr="005556B3">
        <w:rPr>
          <w:rFonts w:ascii="Sylfaen" w:hAnsi="Sylfaen" w:cs="Sylfaen"/>
          <w:lang w:val="ka-GE"/>
        </w:rPr>
        <w:t>კერძო</w:t>
      </w:r>
      <w:r w:rsidRPr="005556B3">
        <w:rPr>
          <w:rFonts w:ascii="Sylfaen" w:hAnsi="Sylfaen"/>
          <w:lang w:val="ka-GE"/>
        </w:rPr>
        <w:t xml:space="preserve"> </w:t>
      </w:r>
      <w:r w:rsidRPr="005556B3">
        <w:rPr>
          <w:rFonts w:ascii="Sylfaen" w:hAnsi="Sylfaen" w:cs="Sylfaen"/>
          <w:lang w:val="ka-GE"/>
        </w:rPr>
        <w:t>პირს</w:t>
      </w:r>
      <w:r w:rsidRPr="005556B3">
        <w:rPr>
          <w:rFonts w:ascii="Sylfaen" w:hAnsi="Sylfaen"/>
          <w:lang w:val="ka-GE"/>
        </w:rPr>
        <w:t xml:space="preserve">. </w:t>
      </w:r>
      <w:r w:rsidRPr="005556B3">
        <w:rPr>
          <w:rFonts w:ascii="Sylfaen" w:hAnsi="Sylfaen" w:cs="Sylfaen"/>
          <w:lang w:val="ka-GE"/>
        </w:rPr>
        <w:t>გამოკითხულთა</w:t>
      </w:r>
      <w:r w:rsidRPr="005556B3">
        <w:rPr>
          <w:rFonts w:ascii="Sylfaen" w:hAnsi="Sylfaen"/>
          <w:lang w:val="ka-GE"/>
        </w:rPr>
        <w:t xml:space="preserve"> </w:t>
      </w:r>
      <w:r w:rsidRPr="005556B3">
        <w:rPr>
          <w:rFonts w:ascii="Sylfaen" w:hAnsi="Sylfaen" w:cs="Sylfaen"/>
          <w:lang w:val="ka-GE"/>
        </w:rPr>
        <w:t>რაოდენობა</w:t>
      </w:r>
      <w:r w:rsidRPr="005556B3">
        <w:rPr>
          <w:rFonts w:ascii="Sylfaen" w:hAnsi="Sylfaen"/>
          <w:lang w:val="ka-GE"/>
        </w:rPr>
        <w:t xml:space="preserve"> </w:t>
      </w:r>
      <w:r w:rsidRPr="005556B3">
        <w:rPr>
          <w:rFonts w:ascii="Sylfaen" w:hAnsi="Sylfaen" w:cs="Sylfaen"/>
          <w:lang w:val="ka-GE"/>
        </w:rPr>
        <w:t>სავარაუდოდ</w:t>
      </w:r>
      <w:r w:rsidRPr="005556B3">
        <w:rPr>
          <w:rFonts w:ascii="Sylfaen" w:hAnsi="Sylfaen"/>
          <w:lang w:val="ka-GE"/>
        </w:rPr>
        <w:t xml:space="preserve">, </w:t>
      </w:r>
      <w:r w:rsidRPr="005556B3">
        <w:rPr>
          <w:rFonts w:ascii="Sylfaen" w:hAnsi="Sylfaen" w:cs="Sylfaen"/>
          <w:lang w:val="ka-GE"/>
        </w:rPr>
        <w:lastRenderedPageBreak/>
        <w:t>გურჯაანისა და სიღნაღის მუნიციპალიტეტებში</w:t>
      </w:r>
      <w:r w:rsidRPr="005556B3">
        <w:rPr>
          <w:rFonts w:ascii="Sylfaen" w:hAnsi="Sylfaen"/>
          <w:lang w:val="ka-GE"/>
        </w:rPr>
        <w:t xml:space="preserve"> </w:t>
      </w:r>
      <w:r w:rsidRPr="005556B3">
        <w:rPr>
          <w:rFonts w:ascii="Sylfaen" w:hAnsi="Sylfaen" w:cs="Sylfaen"/>
          <w:lang w:val="ka-GE"/>
        </w:rPr>
        <w:t>არსებული</w:t>
      </w:r>
      <w:r w:rsidRPr="005556B3">
        <w:rPr>
          <w:rFonts w:ascii="Sylfaen" w:hAnsi="Sylfaen"/>
          <w:lang w:val="ka-GE"/>
        </w:rPr>
        <w:t xml:space="preserve"> </w:t>
      </w:r>
      <w:r w:rsidRPr="005556B3">
        <w:rPr>
          <w:rFonts w:ascii="Sylfaen" w:hAnsi="Sylfaen" w:cs="Sylfaen"/>
          <w:lang w:val="ka-GE"/>
        </w:rPr>
        <w:t>ბიზნესის</w:t>
      </w:r>
      <w:r w:rsidRPr="005556B3">
        <w:rPr>
          <w:rFonts w:ascii="Sylfaen" w:hAnsi="Sylfaen"/>
          <w:lang w:val="ka-GE"/>
        </w:rPr>
        <w:t xml:space="preserve"> </w:t>
      </w:r>
      <w:r w:rsidRPr="005556B3">
        <w:rPr>
          <w:rFonts w:ascii="Sylfaen" w:hAnsi="Sylfaen" w:cs="Sylfaen"/>
          <w:lang w:val="ka-GE"/>
        </w:rPr>
        <w:t>მწარმოებლების</w:t>
      </w:r>
      <w:r w:rsidRPr="005556B3">
        <w:rPr>
          <w:rFonts w:ascii="Sylfaen" w:hAnsi="Sylfaen"/>
          <w:lang w:val="ka-GE"/>
        </w:rPr>
        <w:t xml:space="preserve"> 20%-</w:t>
      </w:r>
      <w:r w:rsidRPr="005556B3">
        <w:rPr>
          <w:rFonts w:ascii="Sylfaen" w:hAnsi="Sylfaen" w:cs="Sylfaen"/>
          <w:lang w:val="ka-GE"/>
        </w:rPr>
        <w:t>ია</w:t>
      </w:r>
      <w:r w:rsidRPr="005556B3">
        <w:rPr>
          <w:rFonts w:ascii="Sylfaen" w:hAnsi="Sylfaen"/>
          <w:lang w:val="ka-GE"/>
        </w:rPr>
        <w:t xml:space="preserve">. გამოკითხულ </w:t>
      </w:r>
      <w:r w:rsidRPr="005556B3">
        <w:rPr>
          <w:rFonts w:ascii="Sylfaen" w:hAnsi="Sylfaen" w:cs="Sylfaen"/>
          <w:lang w:val="ka-GE"/>
        </w:rPr>
        <w:t>იურიდიული</w:t>
      </w:r>
      <w:r w:rsidRPr="005556B3">
        <w:rPr>
          <w:rFonts w:ascii="Sylfaen" w:hAnsi="Sylfaen"/>
          <w:lang w:val="ka-GE"/>
        </w:rPr>
        <w:t xml:space="preserve"> </w:t>
      </w:r>
      <w:r w:rsidRPr="005556B3">
        <w:rPr>
          <w:rFonts w:ascii="Sylfaen" w:hAnsi="Sylfaen" w:cs="Sylfaen"/>
          <w:lang w:val="ka-GE"/>
        </w:rPr>
        <w:t>პირები</w:t>
      </w:r>
      <w:r w:rsidRPr="005556B3">
        <w:rPr>
          <w:rFonts w:ascii="Sylfaen" w:hAnsi="Sylfaen"/>
          <w:lang w:val="ka-GE"/>
        </w:rPr>
        <w:t xml:space="preserve"> </w:t>
      </w:r>
      <w:r w:rsidRPr="005556B3">
        <w:rPr>
          <w:rFonts w:ascii="Sylfaen" w:hAnsi="Sylfaen" w:cs="Sylfaen"/>
          <w:lang w:val="ka-GE"/>
        </w:rPr>
        <w:t>ფლობენ</w:t>
      </w:r>
      <w:r w:rsidRPr="005556B3">
        <w:rPr>
          <w:rFonts w:ascii="Sylfaen" w:hAnsi="Sylfaen"/>
          <w:lang w:val="ka-GE"/>
        </w:rPr>
        <w:t xml:space="preserve"> </w:t>
      </w:r>
      <w:r w:rsidRPr="005556B3">
        <w:rPr>
          <w:rFonts w:ascii="Sylfaen" w:hAnsi="Sylfaen" w:cs="Sylfaen"/>
          <w:lang w:val="ka-GE"/>
        </w:rPr>
        <w:t>ავეჯის მაღაზას და კვების პროდუქტების მაღაზიას.</w:t>
      </w:r>
      <w:r w:rsidRPr="005556B3">
        <w:rPr>
          <w:rFonts w:ascii="Sylfaen" w:hAnsi="Sylfaen"/>
          <w:lang w:val="ka-GE"/>
        </w:rPr>
        <w:t xml:space="preserve">  </w:t>
      </w:r>
      <w:r w:rsidRPr="005556B3">
        <w:rPr>
          <w:rFonts w:ascii="Sylfaen" w:hAnsi="Sylfaen" w:cs="Sylfaen"/>
          <w:lang w:val="ka-GE"/>
        </w:rPr>
        <w:t>რაც</w:t>
      </w:r>
      <w:r w:rsidRPr="005556B3">
        <w:rPr>
          <w:rFonts w:ascii="Sylfaen" w:hAnsi="Sylfaen"/>
          <w:lang w:val="ka-GE"/>
        </w:rPr>
        <w:t xml:space="preserve"> </w:t>
      </w:r>
      <w:r w:rsidRPr="005556B3">
        <w:rPr>
          <w:rFonts w:ascii="Sylfaen" w:hAnsi="Sylfaen" w:cs="Sylfaen"/>
          <w:lang w:val="ka-GE"/>
        </w:rPr>
        <w:t>შეეხება</w:t>
      </w:r>
      <w:r w:rsidRPr="005556B3">
        <w:rPr>
          <w:rFonts w:ascii="Sylfaen" w:hAnsi="Sylfaen"/>
          <w:lang w:val="ka-GE"/>
        </w:rPr>
        <w:t xml:space="preserve"> </w:t>
      </w:r>
      <w:r w:rsidRPr="005556B3">
        <w:rPr>
          <w:rFonts w:ascii="Sylfaen" w:hAnsi="Sylfaen" w:cs="Sylfaen"/>
          <w:lang w:val="ka-GE"/>
        </w:rPr>
        <w:t>ინდივიდუალურ</w:t>
      </w:r>
      <w:r w:rsidRPr="005556B3">
        <w:rPr>
          <w:rFonts w:ascii="Sylfaen" w:hAnsi="Sylfaen"/>
          <w:lang w:val="ka-GE"/>
        </w:rPr>
        <w:t xml:space="preserve"> </w:t>
      </w:r>
      <w:r w:rsidRPr="005556B3">
        <w:rPr>
          <w:rFonts w:ascii="Sylfaen" w:hAnsi="Sylfaen" w:cs="Sylfaen"/>
          <w:lang w:val="ka-GE"/>
        </w:rPr>
        <w:t>მოვაჭრეებს</w:t>
      </w:r>
      <w:r w:rsidRPr="005556B3">
        <w:rPr>
          <w:rFonts w:ascii="Sylfaen" w:hAnsi="Sylfaen"/>
          <w:lang w:val="ka-GE"/>
        </w:rPr>
        <w:t xml:space="preserve">, </w:t>
      </w:r>
      <w:r w:rsidRPr="005556B3">
        <w:rPr>
          <w:rFonts w:ascii="Sylfaen" w:hAnsi="Sylfaen" w:cs="Sylfaen"/>
          <w:lang w:val="ka-GE"/>
        </w:rPr>
        <w:t>მათგან</w:t>
      </w:r>
      <w:r w:rsidRPr="005556B3">
        <w:rPr>
          <w:rFonts w:ascii="Sylfaen" w:hAnsi="Sylfaen"/>
          <w:lang w:val="ka-GE"/>
        </w:rPr>
        <w:t xml:space="preserve"> 4 </w:t>
      </w:r>
      <w:r w:rsidRPr="005556B3">
        <w:rPr>
          <w:rFonts w:ascii="Sylfaen" w:hAnsi="Sylfaen" w:cs="Sylfaen"/>
          <w:lang w:val="ka-GE"/>
        </w:rPr>
        <w:t>ვაჭრობს</w:t>
      </w:r>
      <w:r w:rsidRPr="005556B3">
        <w:rPr>
          <w:rFonts w:ascii="Sylfaen" w:hAnsi="Sylfaen"/>
          <w:lang w:val="ka-GE"/>
        </w:rPr>
        <w:t xml:space="preserve"> </w:t>
      </w:r>
      <w:r w:rsidRPr="005556B3">
        <w:rPr>
          <w:rFonts w:ascii="Sylfaen" w:hAnsi="Sylfaen" w:cs="Sylfaen"/>
          <w:lang w:val="ka-GE"/>
        </w:rPr>
        <w:t>ხორცით</w:t>
      </w:r>
      <w:r w:rsidRPr="005556B3">
        <w:rPr>
          <w:rFonts w:ascii="Sylfaen" w:hAnsi="Sylfaen"/>
          <w:lang w:val="ka-GE"/>
        </w:rPr>
        <w:t xml:space="preserve">, </w:t>
      </w:r>
      <w:r w:rsidRPr="005556B3">
        <w:rPr>
          <w:rFonts w:ascii="Sylfaen" w:hAnsi="Sylfaen" w:cs="Sylfaen"/>
          <w:lang w:val="ka-GE"/>
        </w:rPr>
        <w:t>ხოლო</w:t>
      </w:r>
      <w:r w:rsidRPr="005556B3">
        <w:rPr>
          <w:rFonts w:ascii="Sylfaen" w:hAnsi="Sylfaen"/>
          <w:lang w:val="ka-GE"/>
        </w:rPr>
        <w:t xml:space="preserve"> </w:t>
      </w:r>
      <w:r w:rsidRPr="005556B3">
        <w:rPr>
          <w:rFonts w:ascii="Sylfaen" w:hAnsi="Sylfaen" w:cs="Sylfaen"/>
          <w:lang w:val="ka-GE"/>
        </w:rPr>
        <w:t>დანარჩენი</w:t>
      </w:r>
      <w:r w:rsidRPr="005556B3">
        <w:rPr>
          <w:rFonts w:ascii="Sylfaen" w:hAnsi="Sylfaen"/>
          <w:lang w:val="ka-GE"/>
        </w:rPr>
        <w:t xml:space="preserve">  - </w:t>
      </w:r>
      <w:r w:rsidRPr="005556B3">
        <w:rPr>
          <w:rFonts w:ascii="Sylfaen" w:hAnsi="Sylfaen" w:cs="Sylfaen"/>
          <w:lang w:val="ka-GE"/>
        </w:rPr>
        <w:t>მათ</w:t>
      </w:r>
      <w:r w:rsidRPr="005556B3">
        <w:rPr>
          <w:rFonts w:ascii="Sylfaen" w:hAnsi="Sylfaen"/>
          <w:lang w:val="ka-GE"/>
        </w:rPr>
        <w:t xml:space="preserve"> </w:t>
      </w:r>
      <w:r w:rsidRPr="005556B3">
        <w:rPr>
          <w:rFonts w:ascii="Sylfaen" w:hAnsi="Sylfaen" w:cs="Sylfaen"/>
          <w:lang w:val="ka-GE"/>
        </w:rPr>
        <w:t>მიერ</w:t>
      </w:r>
      <w:r w:rsidRPr="005556B3">
        <w:rPr>
          <w:rFonts w:ascii="Sylfaen" w:hAnsi="Sylfaen"/>
          <w:lang w:val="ka-GE"/>
        </w:rPr>
        <w:t xml:space="preserve"> </w:t>
      </w:r>
      <w:r w:rsidRPr="005556B3">
        <w:rPr>
          <w:rFonts w:ascii="Sylfaen" w:hAnsi="Sylfaen" w:cs="Sylfaen"/>
          <w:lang w:val="ka-GE"/>
        </w:rPr>
        <w:t>მოყვანილი</w:t>
      </w:r>
      <w:r w:rsidRPr="005556B3">
        <w:rPr>
          <w:rFonts w:ascii="Sylfaen" w:hAnsi="Sylfaen"/>
          <w:lang w:val="ka-GE"/>
        </w:rPr>
        <w:t xml:space="preserve"> </w:t>
      </w:r>
      <w:r w:rsidRPr="005556B3">
        <w:rPr>
          <w:rFonts w:ascii="Sylfaen" w:hAnsi="Sylfaen" w:cs="Sylfaen"/>
          <w:lang w:val="ka-GE"/>
        </w:rPr>
        <w:t>სოფლის</w:t>
      </w:r>
      <w:r w:rsidRPr="005556B3">
        <w:rPr>
          <w:rFonts w:ascii="Sylfaen" w:hAnsi="Sylfaen"/>
          <w:lang w:val="ka-GE"/>
        </w:rPr>
        <w:t xml:space="preserve"> </w:t>
      </w:r>
      <w:r w:rsidRPr="005556B3">
        <w:rPr>
          <w:rFonts w:ascii="Sylfaen" w:hAnsi="Sylfaen" w:cs="Sylfaen"/>
          <w:lang w:val="ka-GE"/>
        </w:rPr>
        <w:t>მეურნეობის</w:t>
      </w:r>
      <w:r w:rsidRPr="005556B3">
        <w:rPr>
          <w:rFonts w:ascii="Sylfaen" w:hAnsi="Sylfaen"/>
          <w:lang w:val="ka-GE"/>
        </w:rPr>
        <w:t xml:space="preserve"> </w:t>
      </w:r>
      <w:r w:rsidRPr="005556B3">
        <w:rPr>
          <w:rFonts w:ascii="Sylfaen" w:hAnsi="Sylfaen" w:cs="Sylfaen"/>
          <w:lang w:val="ka-GE"/>
        </w:rPr>
        <w:t>პროდუქციით და სანოვაგით</w:t>
      </w:r>
      <w:r w:rsidRPr="005556B3">
        <w:rPr>
          <w:rFonts w:ascii="Sylfaen" w:hAnsi="Sylfaen"/>
          <w:lang w:val="ka-GE"/>
        </w:rPr>
        <w:t xml:space="preserve"> (</w:t>
      </w:r>
      <w:r w:rsidRPr="005556B3">
        <w:rPr>
          <w:rFonts w:ascii="Sylfaen" w:hAnsi="Sylfaen" w:cs="Sylfaen"/>
          <w:lang w:val="ka-GE"/>
        </w:rPr>
        <w:t>გოგრა</w:t>
      </w:r>
      <w:r w:rsidRPr="005556B3">
        <w:rPr>
          <w:rFonts w:ascii="Sylfaen" w:hAnsi="Sylfaen"/>
          <w:lang w:val="ka-GE"/>
        </w:rPr>
        <w:t xml:space="preserve">, ნიორი, ხილი, ჩურჩხელა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სხვა</w:t>
      </w:r>
      <w:r w:rsidRPr="005556B3">
        <w:rPr>
          <w:rFonts w:ascii="Sylfaen" w:hAnsi="Sylfaen"/>
          <w:lang w:val="ka-GE"/>
        </w:rPr>
        <w:t xml:space="preserve">). </w:t>
      </w:r>
      <w:r w:rsidRPr="005556B3">
        <w:rPr>
          <w:rFonts w:ascii="Sylfaen" w:hAnsi="Sylfaen" w:cs="Sylfaen"/>
          <w:lang w:val="ka-GE"/>
        </w:rPr>
        <w:t>დეტალური</w:t>
      </w:r>
      <w:r w:rsidRPr="005556B3">
        <w:rPr>
          <w:rFonts w:ascii="Sylfaen" w:hAnsi="Sylfaen"/>
          <w:lang w:val="ka-GE"/>
        </w:rPr>
        <w:t xml:space="preserve"> </w:t>
      </w:r>
      <w:r w:rsidRPr="005556B3">
        <w:rPr>
          <w:rFonts w:ascii="Sylfaen" w:hAnsi="Sylfaen" w:cs="Sylfaen"/>
          <w:lang w:val="ka-GE"/>
        </w:rPr>
        <w:t>სოციალური</w:t>
      </w:r>
      <w:r w:rsidRPr="005556B3">
        <w:rPr>
          <w:rFonts w:ascii="Sylfaen" w:hAnsi="Sylfaen"/>
          <w:lang w:val="ka-GE"/>
        </w:rPr>
        <w:t xml:space="preserve"> </w:t>
      </w:r>
      <w:r w:rsidRPr="005556B3">
        <w:rPr>
          <w:rFonts w:ascii="Sylfaen" w:hAnsi="Sylfaen" w:cs="Sylfaen"/>
          <w:lang w:val="ka-GE"/>
        </w:rPr>
        <w:t>კვლევა</w:t>
      </w:r>
      <w:r w:rsidRPr="005556B3">
        <w:rPr>
          <w:rFonts w:ascii="Sylfaen" w:hAnsi="Sylfaen"/>
          <w:lang w:val="ka-GE"/>
        </w:rPr>
        <w:t xml:space="preserve"> </w:t>
      </w:r>
      <w:r w:rsidRPr="005556B3">
        <w:rPr>
          <w:rFonts w:ascii="Sylfaen" w:hAnsi="Sylfaen" w:cs="Sylfaen"/>
          <w:lang w:val="ka-GE"/>
        </w:rPr>
        <w:t>ჩატარდება</w:t>
      </w:r>
      <w:r w:rsidRPr="005556B3">
        <w:rPr>
          <w:rFonts w:ascii="Sylfaen" w:hAnsi="Sylfaen"/>
          <w:lang w:val="ka-GE"/>
        </w:rPr>
        <w:t xml:space="preserve">, </w:t>
      </w:r>
      <w:r w:rsidRPr="005556B3">
        <w:rPr>
          <w:rFonts w:ascii="Sylfaen" w:hAnsi="Sylfaen" w:cs="Sylfaen"/>
          <w:lang w:val="ka-GE"/>
        </w:rPr>
        <w:t>პროექტის</w:t>
      </w:r>
      <w:r w:rsidRPr="005556B3">
        <w:rPr>
          <w:rFonts w:ascii="Sylfaen" w:hAnsi="Sylfaen"/>
          <w:lang w:val="ka-GE"/>
        </w:rPr>
        <w:t xml:space="preserve"> </w:t>
      </w:r>
      <w:r w:rsidRPr="005556B3">
        <w:rPr>
          <w:rFonts w:ascii="Sylfaen" w:hAnsi="Sylfaen" w:cs="Sylfaen"/>
          <w:lang w:val="ka-GE"/>
        </w:rPr>
        <w:t>განსახლების</w:t>
      </w:r>
      <w:r w:rsidRPr="005556B3">
        <w:rPr>
          <w:rFonts w:ascii="Sylfaen" w:hAnsi="Sylfaen"/>
          <w:lang w:val="ka-GE"/>
        </w:rPr>
        <w:t xml:space="preserve"> </w:t>
      </w:r>
      <w:r w:rsidRPr="005556B3">
        <w:rPr>
          <w:rFonts w:ascii="Sylfaen" w:hAnsi="Sylfaen" w:cs="Sylfaen"/>
          <w:lang w:val="ka-GE"/>
        </w:rPr>
        <w:t>სამოქმედო</w:t>
      </w:r>
      <w:r w:rsidRPr="005556B3">
        <w:rPr>
          <w:rFonts w:ascii="Sylfaen" w:hAnsi="Sylfaen"/>
          <w:lang w:val="ka-GE"/>
        </w:rPr>
        <w:t xml:space="preserve"> </w:t>
      </w:r>
      <w:r w:rsidRPr="005556B3">
        <w:rPr>
          <w:rFonts w:ascii="Sylfaen" w:hAnsi="Sylfaen" w:cs="Sylfaen"/>
          <w:lang w:val="ka-GE"/>
        </w:rPr>
        <w:t>გეგმის</w:t>
      </w:r>
      <w:r w:rsidRPr="005556B3">
        <w:rPr>
          <w:rFonts w:ascii="Sylfaen" w:hAnsi="Sylfaen"/>
          <w:lang w:val="ka-GE"/>
        </w:rPr>
        <w:t xml:space="preserve"> </w:t>
      </w:r>
      <w:r w:rsidRPr="005556B3">
        <w:rPr>
          <w:rFonts w:ascii="Sylfaen" w:hAnsi="Sylfaen" w:cs="Sylfaen"/>
          <w:lang w:val="ka-GE"/>
        </w:rPr>
        <w:t>შემუშავების</w:t>
      </w:r>
      <w:r w:rsidRPr="005556B3">
        <w:rPr>
          <w:rFonts w:ascii="Sylfaen" w:hAnsi="Sylfaen"/>
          <w:lang w:val="ka-GE"/>
        </w:rPr>
        <w:t xml:space="preserve"> </w:t>
      </w:r>
      <w:r w:rsidRPr="005556B3">
        <w:rPr>
          <w:rFonts w:ascii="Sylfaen" w:hAnsi="Sylfaen" w:cs="Sylfaen"/>
          <w:lang w:val="ka-GE"/>
        </w:rPr>
        <w:t>ეტაპზე</w:t>
      </w:r>
      <w:r w:rsidRPr="005556B3">
        <w:rPr>
          <w:rFonts w:ascii="Sylfaen" w:hAnsi="Sylfaen"/>
          <w:lang w:val="ka-GE"/>
        </w:rPr>
        <w:t xml:space="preserve">. </w:t>
      </w:r>
    </w:p>
    <w:p w14:paraId="17377B58" w14:textId="77777777" w:rsidR="00692F2E" w:rsidRPr="005556B3" w:rsidRDefault="00692F2E" w:rsidP="00B74656">
      <w:pPr>
        <w:spacing w:before="120" w:after="120"/>
        <w:ind w:right="-90"/>
        <w:rPr>
          <w:rFonts w:ascii="Sylfaen" w:hAnsi="Sylfaen"/>
          <w:lang w:val="ka-GE"/>
        </w:rPr>
      </w:pPr>
      <w:r w:rsidRPr="005556B3">
        <w:rPr>
          <w:rFonts w:ascii="Sylfaen" w:hAnsi="Sylfaen" w:cs="Sylfaen"/>
          <w:lang w:val="ka-GE"/>
        </w:rPr>
        <w:t>გამოკითხული</w:t>
      </w:r>
      <w:r w:rsidRPr="005556B3">
        <w:rPr>
          <w:rFonts w:ascii="Sylfaen" w:hAnsi="Sylfaen"/>
          <w:lang w:val="ka-GE"/>
        </w:rPr>
        <w:t xml:space="preserve"> </w:t>
      </w:r>
      <w:r w:rsidRPr="005556B3">
        <w:rPr>
          <w:rFonts w:ascii="Sylfaen" w:hAnsi="Sylfaen" w:cs="Sylfaen"/>
          <w:lang w:val="ka-GE"/>
        </w:rPr>
        <w:t>პირების</w:t>
      </w:r>
      <w:r w:rsidRPr="005556B3">
        <w:rPr>
          <w:rFonts w:ascii="Sylfaen" w:hAnsi="Sylfaen"/>
          <w:lang w:val="ka-GE"/>
        </w:rPr>
        <w:t xml:space="preserve"> 100% </w:t>
      </w:r>
      <w:r w:rsidRPr="005556B3">
        <w:rPr>
          <w:rFonts w:ascii="Sylfaen" w:hAnsi="Sylfaen" w:cs="Sylfaen"/>
          <w:lang w:val="ka-GE"/>
        </w:rPr>
        <w:t>ეთნიკურად</w:t>
      </w:r>
      <w:r w:rsidRPr="005556B3">
        <w:rPr>
          <w:rFonts w:ascii="Sylfaen" w:hAnsi="Sylfaen"/>
          <w:lang w:val="ka-GE"/>
        </w:rPr>
        <w:t xml:space="preserve"> </w:t>
      </w:r>
      <w:r w:rsidRPr="005556B3">
        <w:rPr>
          <w:rFonts w:ascii="Sylfaen" w:hAnsi="Sylfaen" w:cs="Sylfaen"/>
          <w:lang w:val="ka-GE"/>
        </w:rPr>
        <w:t>ქართველია</w:t>
      </w:r>
      <w:r w:rsidRPr="005556B3">
        <w:rPr>
          <w:rFonts w:ascii="Sylfaen" w:hAnsi="Sylfaen"/>
          <w:lang w:val="ka-GE"/>
        </w:rPr>
        <w:t xml:space="preserve"> და </w:t>
      </w:r>
      <w:r w:rsidRPr="005556B3">
        <w:rPr>
          <w:rFonts w:ascii="Sylfaen" w:hAnsi="Sylfaen" w:cs="Sylfaen"/>
          <w:lang w:val="ka-GE"/>
        </w:rPr>
        <w:t>ცხოვრობს</w:t>
      </w:r>
      <w:r w:rsidRPr="005556B3">
        <w:rPr>
          <w:rFonts w:ascii="Sylfaen" w:hAnsi="Sylfaen"/>
          <w:lang w:val="ka-GE"/>
        </w:rPr>
        <w:t xml:space="preserve"> </w:t>
      </w:r>
      <w:r w:rsidRPr="005556B3">
        <w:rPr>
          <w:rFonts w:ascii="Sylfaen" w:hAnsi="Sylfaen" w:cs="Sylfaen"/>
          <w:lang w:val="ka-GE"/>
        </w:rPr>
        <w:t>მიმდებარე</w:t>
      </w:r>
      <w:r w:rsidRPr="005556B3">
        <w:rPr>
          <w:rFonts w:ascii="Sylfaen" w:hAnsi="Sylfaen"/>
          <w:lang w:val="ka-GE"/>
        </w:rPr>
        <w:t xml:space="preserve"> </w:t>
      </w:r>
      <w:r w:rsidRPr="005556B3">
        <w:rPr>
          <w:rFonts w:ascii="Sylfaen" w:hAnsi="Sylfaen" w:cs="Sylfaen"/>
          <w:lang w:val="ka-GE"/>
        </w:rPr>
        <w:t>სოფლებში.</w:t>
      </w:r>
      <w:r w:rsidRPr="005556B3">
        <w:rPr>
          <w:rFonts w:ascii="Sylfaen" w:hAnsi="Sylfaen"/>
          <w:lang w:val="ka-GE"/>
        </w:rPr>
        <w:t xml:space="preserve"> </w:t>
      </w:r>
    </w:p>
    <w:p w14:paraId="468393DE" w14:textId="77777777" w:rsidR="00692F2E" w:rsidRPr="005556B3" w:rsidRDefault="00692F2E" w:rsidP="00B74656">
      <w:pPr>
        <w:spacing w:before="120" w:after="120"/>
        <w:ind w:right="-90"/>
        <w:rPr>
          <w:rFonts w:ascii="Sylfaen" w:hAnsi="Sylfaen"/>
          <w:lang w:val="ka-GE"/>
        </w:rPr>
      </w:pPr>
      <w:r w:rsidRPr="005556B3">
        <w:rPr>
          <w:rFonts w:ascii="Sylfaen" w:hAnsi="Sylfaen" w:cs="Sylfaen"/>
          <w:lang w:val="ka-GE"/>
        </w:rPr>
        <w:t>გამოკითხული</w:t>
      </w:r>
      <w:r w:rsidRPr="005556B3">
        <w:rPr>
          <w:rFonts w:ascii="Sylfaen" w:hAnsi="Sylfaen"/>
          <w:lang w:val="ka-GE"/>
        </w:rPr>
        <w:t xml:space="preserve"> 26 </w:t>
      </w:r>
      <w:r w:rsidRPr="005556B3">
        <w:rPr>
          <w:rFonts w:ascii="Sylfaen" w:hAnsi="Sylfaen" w:cs="Sylfaen"/>
          <w:lang w:val="ka-GE"/>
        </w:rPr>
        <w:t>კერძო</w:t>
      </w:r>
      <w:r w:rsidRPr="005556B3">
        <w:rPr>
          <w:rFonts w:ascii="Sylfaen" w:hAnsi="Sylfaen"/>
          <w:lang w:val="ka-GE"/>
        </w:rPr>
        <w:t xml:space="preserve"> </w:t>
      </w:r>
      <w:r w:rsidRPr="005556B3">
        <w:rPr>
          <w:rFonts w:ascii="Sylfaen" w:hAnsi="Sylfaen" w:cs="Sylfaen"/>
          <w:lang w:val="ka-GE"/>
        </w:rPr>
        <w:t>მოვაჭრიდან</w:t>
      </w:r>
      <w:r w:rsidRPr="005556B3">
        <w:rPr>
          <w:rFonts w:ascii="Sylfaen" w:hAnsi="Sylfaen"/>
          <w:lang w:val="ka-GE"/>
        </w:rPr>
        <w:t xml:space="preserve"> 4 </w:t>
      </w:r>
      <w:r w:rsidRPr="005556B3">
        <w:rPr>
          <w:rFonts w:ascii="Sylfaen" w:hAnsi="Sylfaen" w:cs="Sylfaen"/>
          <w:lang w:val="ka-GE"/>
        </w:rPr>
        <w:t>მოვაჭრისთვის</w:t>
      </w:r>
      <w:r w:rsidRPr="005556B3">
        <w:rPr>
          <w:rFonts w:ascii="Sylfaen" w:hAnsi="Sylfaen"/>
          <w:lang w:val="ka-GE"/>
        </w:rPr>
        <w:t xml:space="preserve"> (15%) </w:t>
      </w:r>
      <w:r w:rsidRPr="005556B3">
        <w:rPr>
          <w:rFonts w:ascii="Sylfaen" w:hAnsi="Sylfaen" w:cs="Sylfaen"/>
          <w:lang w:val="ka-GE"/>
        </w:rPr>
        <w:t>აღნიშნული</w:t>
      </w:r>
      <w:r w:rsidRPr="005556B3">
        <w:rPr>
          <w:rFonts w:ascii="Sylfaen" w:hAnsi="Sylfaen"/>
          <w:lang w:val="ka-GE"/>
        </w:rPr>
        <w:t xml:space="preserve"> </w:t>
      </w:r>
      <w:r w:rsidRPr="005556B3">
        <w:rPr>
          <w:rFonts w:ascii="Sylfaen" w:hAnsi="Sylfaen" w:cs="Sylfaen"/>
          <w:lang w:val="ka-GE"/>
        </w:rPr>
        <w:t>ბიზნესი</w:t>
      </w:r>
      <w:r w:rsidRPr="005556B3">
        <w:rPr>
          <w:rFonts w:ascii="Sylfaen" w:hAnsi="Sylfaen"/>
          <w:lang w:val="ka-GE"/>
        </w:rPr>
        <w:t xml:space="preserve"> </w:t>
      </w:r>
      <w:r w:rsidRPr="005556B3">
        <w:rPr>
          <w:rFonts w:ascii="Sylfaen" w:hAnsi="Sylfaen" w:cs="Sylfaen"/>
          <w:lang w:val="ka-GE"/>
        </w:rPr>
        <w:t>წარმოადგენს</w:t>
      </w:r>
      <w:r w:rsidRPr="005556B3">
        <w:rPr>
          <w:rFonts w:ascii="Sylfaen" w:hAnsi="Sylfaen"/>
          <w:lang w:val="ka-GE"/>
        </w:rPr>
        <w:t xml:space="preserve"> </w:t>
      </w:r>
      <w:r w:rsidRPr="005556B3">
        <w:rPr>
          <w:rFonts w:ascii="Sylfaen" w:hAnsi="Sylfaen" w:cs="Sylfaen"/>
          <w:lang w:val="ka-GE"/>
        </w:rPr>
        <w:t>შემოსავლის</w:t>
      </w:r>
      <w:r w:rsidRPr="005556B3">
        <w:rPr>
          <w:rFonts w:ascii="Sylfaen" w:hAnsi="Sylfaen"/>
          <w:lang w:val="ka-GE"/>
        </w:rPr>
        <w:t xml:space="preserve"> </w:t>
      </w:r>
      <w:r w:rsidRPr="005556B3">
        <w:rPr>
          <w:rFonts w:ascii="Sylfaen" w:hAnsi="Sylfaen" w:cs="Sylfaen"/>
          <w:lang w:val="ka-GE"/>
        </w:rPr>
        <w:t>ერთადერთ</w:t>
      </w:r>
      <w:r w:rsidRPr="005556B3">
        <w:rPr>
          <w:rFonts w:ascii="Sylfaen" w:hAnsi="Sylfaen"/>
          <w:lang w:val="ka-GE"/>
        </w:rPr>
        <w:t xml:space="preserve"> </w:t>
      </w:r>
      <w:r w:rsidRPr="005556B3">
        <w:rPr>
          <w:rFonts w:ascii="Sylfaen" w:hAnsi="Sylfaen" w:cs="Sylfaen"/>
          <w:lang w:val="ka-GE"/>
        </w:rPr>
        <w:t>წყაროს</w:t>
      </w:r>
      <w:r w:rsidRPr="005556B3">
        <w:rPr>
          <w:rFonts w:ascii="Sylfaen" w:hAnsi="Sylfaen"/>
          <w:lang w:val="ka-GE"/>
        </w:rPr>
        <w:t xml:space="preserve">. 20 </w:t>
      </w:r>
      <w:r w:rsidRPr="005556B3">
        <w:rPr>
          <w:rFonts w:ascii="Sylfaen" w:hAnsi="Sylfaen" w:cs="Sylfaen"/>
          <w:lang w:val="ka-GE"/>
        </w:rPr>
        <w:t>მათგანი</w:t>
      </w:r>
      <w:r w:rsidRPr="005556B3">
        <w:rPr>
          <w:rFonts w:ascii="Sylfaen" w:hAnsi="Sylfaen"/>
          <w:lang w:val="ka-GE"/>
        </w:rPr>
        <w:t xml:space="preserve"> (77%) </w:t>
      </w:r>
      <w:r w:rsidRPr="005556B3">
        <w:rPr>
          <w:rFonts w:ascii="Sylfaen" w:hAnsi="Sylfaen" w:cs="Sylfaen"/>
          <w:lang w:val="ka-GE"/>
        </w:rPr>
        <w:t>დამატებით</w:t>
      </w:r>
      <w:r w:rsidRPr="005556B3">
        <w:rPr>
          <w:rFonts w:ascii="Sylfaen" w:hAnsi="Sylfaen"/>
          <w:lang w:val="ka-GE"/>
        </w:rPr>
        <w:t xml:space="preserve"> </w:t>
      </w:r>
      <w:r w:rsidRPr="005556B3">
        <w:rPr>
          <w:rFonts w:ascii="Sylfaen" w:hAnsi="Sylfaen" w:cs="Sylfaen"/>
          <w:lang w:val="ka-GE"/>
        </w:rPr>
        <w:t>იღებს</w:t>
      </w:r>
      <w:r w:rsidRPr="005556B3">
        <w:rPr>
          <w:rFonts w:ascii="Sylfaen" w:hAnsi="Sylfaen"/>
          <w:lang w:val="ka-GE"/>
        </w:rPr>
        <w:t xml:space="preserve"> </w:t>
      </w:r>
      <w:r w:rsidRPr="005556B3">
        <w:rPr>
          <w:rFonts w:ascii="Sylfaen" w:hAnsi="Sylfaen" w:cs="Sylfaen"/>
          <w:lang w:val="ka-GE"/>
        </w:rPr>
        <w:t>პენსიას</w:t>
      </w:r>
      <w:r w:rsidRPr="005556B3">
        <w:rPr>
          <w:rFonts w:ascii="Sylfaen" w:hAnsi="Sylfaen"/>
          <w:lang w:val="ka-GE"/>
        </w:rPr>
        <w:t xml:space="preserve">, </w:t>
      </w:r>
      <w:r w:rsidRPr="005556B3">
        <w:rPr>
          <w:rFonts w:ascii="Sylfaen" w:hAnsi="Sylfaen" w:cs="Sylfaen"/>
          <w:lang w:val="ka-GE"/>
        </w:rPr>
        <w:t>ხოლო</w:t>
      </w:r>
      <w:r w:rsidRPr="005556B3">
        <w:rPr>
          <w:rFonts w:ascii="Sylfaen" w:hAnsi="Sylfaen"/>
          <w:lang w:val="ka-GE"/>
        </w:rPr>
        <w:t xml:space="preserve"> </w:t>
      </w:r>
      <w:r w:rsidRPr="005556B3">
        <w:rPr>
          <w:rFonts w:ascii="Sylfaen" w:hAnsi="Sylfaen" w:cs="Sylfaen"/>
          <w:lang w:val="ka-GE"/>
        </w:rPr>
        <w:t>დანარჩენ</w:t>
      </w:r>
      <w:r w:rsidRPr="005556B3">
        <w:rPr>
          <w:rFonts w:ascii="Sylfaen" w:hAnsi="Sylfaen"/>
          <w:lang w:val="ka-GE"/>
        </w:rPr>
        <w:t xml:space="preserve"> 2 </w:t>
      </w:r>
      <w:r w:rsidRPr="005556B3">
        <w:rPr>
          <w:rFonts w:ascii="Sylfaen" w:hAnsi="Sylfaen" w:cs="Sylfaen"/>
          <w:lang w:val="ka-GE"/>
        </w:rPr>
        <w:t>მოვაჭრეს</w:t>
      </w:r>
      <w:r w:rsidRPr="005556B3">
        <w:rPr>
          <w:rFonts w:ascii="Sylfaen" w:hAnsi="Sylfaen"/>
          <w:lang w:val="ka-GE"/>
        </w:rPr>
        <w:t xml:space="preserve"> (8%) </w:t>
      </w:r>
      <w:r w:rsidRPr="005556B3">
        <w:rPr>
          <w:rFonts w:ascii="Sylfaen" w:hAnsi="Sylfaen" w:cs="Sylfaen"/>
          <w:lang w:val="ka-GE"/>
        </w:rPr>
        <w:t>გააჩნია</w:t>
      </w:r>
      <w:r w:rsidRPr="005556B3">
        <w:rPr>
          <w:rFonts w:ascii="Sylfaen" w:hAnsi="Sylfaen"/>
          <w:lang w:val="ka-GE"/>
        </w:rPr>
        <w:t xml:space="preserve"> </w:t>
      </w:r>
      <w:r w:rsidRPr="005556B3">
        <w:rPr>
          <w:rFonts w:ascii="Sylfaen" w:hAnsi="Sylfaen" w:cs="Sylfaen"/>
          <w:lang w:val="ka-GE"/>
        </w:rPr>
        <w:t>შემოსავლის</w:t>
      </w:r>
      <w:r w:rsidRPr="005556B3">
        <w:rPr>
          <w:rFonts w:ascii="Sylfaen" w:hAnsi="Sylfaen"/>
          <w:lang w:val="ka-GE"/>
        </w:rPr>
        <w:t xml:space="preserve"> </w:t>
      </w:r>
      <w:r w:rsidRPr="005556B3">
        <w:rPr>
          <w:rFonts w:ascii="Sylfaen" w:hAnsi="Sylfaen" w:cs="Sylfaen"/>
          <w:lang w:val="ka-GE"/>
        </w:rPr>
        <w:t>სხვა</w:t>
      </w:r>
      <w:r w:rsidRPr="005556B3">
        <w:rPr>
          <w:rFonts w:ascii="Sylfaen" w:hAnsi="Sylfaen"/>
          <w:lang w:val="ka-GE"/>
        </w:rPr>
        <w:t xml:space="preserve"> </w:t>
      </w:r>
      <w:r w:rsidRPr="005556B3">
        <w:rPr>
          <w:rFonts w:ascii="Sylfaen" w:hAnsi="Sylfaen" w:cs="Sylfaen"/>
          <w:lang w:val="ka-GE"/>
        </w:rPr>
        <w:t>წყაროც</w:t>
      </w:r>
      <w:r w:rsidRPr="005556B3">
        <w:rPr>
          <w:rFonts w:ascii="Sylfaen" w:hAnsi="Sylfaen"/>
          <w:lang w:val="ka-GE"/>
        </w:rPr>
        <w:t xml:space="preserve">. </w:t>
      </w:r>
    </w:p>
    <w:p w14:paraId="40CC8EA1" w14:textId="77777777" w:rsidR="00692F2E" w:rsidRPr="005556B3" w:rsidRDefault="00692F2E" w:rsidP="00B74656">
      <w:pPr>
        <w:spacing w:before="120" w:after="120"/>
        <w:ind w:right="-90"/>
        <w:rPr>
          <w:rFonts w:ascii="Sylfaen" w:hAnsi="Sylfaen"/>
          <w:lang w:val="ka-GE"/>
        </w:rPr>
      </w:pPr>
      <w:r w:rsidRPr="005556B3">
        <w:rPr>
          <w:rFonts w:ascii="Sylfaen" w:hAnsi="Sylfaen" w:cs="Sylfaen"/>
          <w:lang w:val="ka-GE"/>
        </w:rPr>
        <w:t>რაც</w:t>
      </w:r>
      <w:r w:rsidRPr="005556B3">
        <w:rPr>
          <w:rFonts w:ascii="Sylfaen" w:hAnsi="Sylfaen"/>
          <w:lang w:val="ka-GE"/>
        </w:rPr>
        <w:t xml:space="preserve"> </w:t>
      </w:r>
      <w:r w:rsidRPr="005556B3">
        <w:rPr>
          <w:rFonts w:ascii="Sylfaen" w:hAnsi="Sylfaen" w:cs="Sylfaen"/>
          <w:lang w:val="ka-GE"/>
        </w:rPr>
        <w:t>შეეხება</w:t>
      </w:r>
      <w:r w:rsidRPr="005556B3">
        <w:rPr>
          <w:rFonts w:ascii="Sylfaen" w:hAnsi="Sylfaen"/>
          <w:lang w:val="ka-GE"/>
        </w:rPr>
        <w:t xml:space="preserve"> 2 </w:t>
      </w:r>
      <w:r w:rsidRPr="005556B3">
        <w:rPr>
          <w:rFonts w:ascii="Sylfaen" w:hAnsi="Sylfaen" w:cs="Sylfaen"/>
          <w:lang w:val="ka-GE"/>
        </w:rPr>
        <w:t>იურიდიულ</w:t>
      </w:r>
      <w:r w:rsidRPr="005556B3">
        <w:rPr>
          <w:rFonts w:ascii="Sylfaen" w:hAnsi="Sylfaen"/>
          <w:lang w:val="ka-GE"/>
        </w:rPr>
        <w:t xml:space="preserve"> </w:t>
      </w:r>
      <w:r w:rsidRPr="005556B3">
        <w:rPr>
          <w:rFonts w:ascii="Sylfaen" w:hAnsi="Sylfaen" w:cs="Sylfaen"/>
          <w:lang w:val="ka-GE"/>
        </w:rPr>
        <w:t>პირს</w:t>
      </w:r>
      <w:r w:rsidRPr="005556B3">
        <w:rPr>
          <w:rFonts w:ascii="Sylfaen" w:hAnsi="Sylfaen"/>
          <w:lang w:val="ka-GE"/>
        </w:rPr>
        <w:t xml:space="preserve">, ორივესთვის მათი ბიზნესი წარმოადგენს </w:t>
      </w:r>
      <w:r w:rsidRPr="005556B3">
        <w:rPr>
          <w:rFonts w:ascii="Sylfaen" w:hAnsi="Sylfaen" w:cs="Sylfaen"/>
          <w:lang w:val="ka-GE"/>
        </w:rPr>
        <w:t>შემოსავლის</w:t>
      </w:r>
      <w:r w:rsidRPr="005556B3">
        <w:rPr>
          <w:rFonts w:ascii="Sylfaen" w:hAnsi="Sylfaen"/>
          <w:lang w:val="ka-GE"/>
        </w:rPr>
        <w:t xml:space="preserve"> </w:t>
      </w:r>
      <w:r w:rsidRPr="005556B3">
        <w:rPr>
          <w:rFonts w:ascii="Sylfaen" w:hAnsi="Sylfaen" w:cs="Sylfaen"/>
          <w:lang w:val="ka-GE"/>
        </w:rPr>
        <w:t>ერთადერთი</w:t>
      </w:r>
      <w:r w:rsidRPr="005556B3">
        <w:rPr>
          <w:rFonts w:ascii="Sylfaen" w:hAnsi="Sylfaen"/>
          <w:lang w:val="ka-GE"/>
        </w:rPr>
        <w:t xml:space="preserve"> </w:t>
      </w:r>
      <w:r w:rsidRPr="005556B3">
        <w:rPr>
          <w:rFonts w:ascii="Sylfaen" w:hAnsi="Sylfaen" w:cs="Sylfaen"/>
          <w:lang w:val="ka-GE"/>
        </w:rPr>
        <w:t>წყარო</w:t>
      </w:r>
      <w:r w:rsidRPr="005556B3">
        <w:rPr>
          <w:rFonts w:ascii="Sylfaen" w:hAnsi="Sylfaen"/>
          <w:lang w:val="ka-GE"/>
        </w:rPr>
        <w:t>ს.</w:t>
      </w:r>
    </w:p>
    <w:p w14:paraId="02888E4F" w14:textId="77777777" w:rsidR="00692F2E" w:rsidRPr="005556B3" w:rsidRDefault="00692F2E" w:rsidP="00B74656">
      <w:pPr>
        <w:spacing w:before="120" w:after="120"/>
        <w:ind w:right="-90"/>
        <w:rPr>
          <w:rFonts w:ascii="Sylfaen" w:hAnsi="Sylfaen"/>
          <w:lang w:val="ka-GE"/>
        </w:rPr>
      </w:pPr>
      <w:r w:rsidRPr="005556B3">
        <w:rPr>
          <w:rFonts w:ascii="Sylfaen" w:hAnsi="Sylfaen" w:cs="Sylfaen"/>
          <w:lang w:val="ka-GE"/>
        </w:rPr>
        <w:t>პროექტის</w:t>
      </w:r>
      <w:r w:rsidRPr="005556B3">
        <w:rPr>
          <w:rFonts w:ascii="Sylfaen" w:hAnsi="Sylfaen"/>
          <w:lang w:val="ka-GE"/>
        </w:rPr>
        <w:t xml:space="preserve"> </w:t>
      </w:r>
      <w:r w:rsidRPr="005556B3">
        <w:rPr>
          <w:rFonts w:ascii="Sylfaen" w:hAnsi="Sylfaen" w:cs="Sylfaen"/>
          <w:lang w:val="ka-GE"/>
        </w:rPr>
        <w:t>საერთო</w:t>
      </w:r>
      <w:r w:rsidRPr="005556B3">
        <w:rPr>
          <w:rFonts w:ascii="Sylfaen" w:hAnsi="Sylfaen"/>
          <w:lang w:val="ka-GE"/>
        </w:rPr>
        <w:t xml:space="preserve"> </w:t>
      </w:r>
      <w:r w:rsidRPr="005556B3">
        <w:rPr>
          <w:rFonts w:ascii="Sylfaen" w:hAnsi="Sylfaen" w:cs="Sylfaen"/>
          <w:lang w:val="ka-GE"/>
        </w:rPr>
        <w:t>მიზანს</w:t>
      </w:r>
      <w:r w:rsidRPr="005556B3">
        <w:rPr>
          <w:rFonts w:ascii="Sylfaen" w:hAnsi="Sylfaen"/>
          <w:lang w:val="ka-GE"/>
        </w:rPr>
        <w:t xml:space="preserve"> </w:t>
      </w:r>
      <w:r w:rsidRPr="005556B3">
        <w:rPr>
          <w:rFonts w:ascii="Sylfaen" w:hAnsi="Sylfaen" w:cs="Sylfaen"/>
          <w:lang w:val="ka-GE"/>
        </w:rPr>
        <w:t>მიწისა</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აქტივების</w:t>
      </w:r>
      <w:r w:rsidRPr="005556B3">
        <w:rPr>
          <w:rFonts w:ascii="Sylfaen" w:hAnsi="Sylfaen"/>
          <w:lang w:val="ka-GE"/>
        </w:rPr>
        <w:t xml:space="preserve"> </w:t>
      </w:r>
      <w:r w:rsidRPr="005556B3">
        <w:rPr>
          <w:rFonts w:ascii="Sylfaen" w:hAnsi="Sylfaen" w:cs="Sylfaen"/>
          <w:lang w:val="ka-GE"/>
        </w:rPr>
        <w:t>შესყიდვასთან</w:t>
      </w:r>
      <w:r w:rsidRPr="005556B3">
        <w:rPr>
          <w:rFonts w:ascii="Sylfaen" w:hAnsi="Sylfaen"/>
          <w:lang w:val="ka-GE"/>
        </w:rPr>
        <w:t xml:space="preserve"> </w:t>
      </w:r>
      <w:r w:rsidRPr="005556B3">
        <w:rPr>
          <w:rFonts w:ascii="Sylfaen" w:hAnsi="Sylfaen" w:cs="Sylfaen"/>
          <w:lang w:val="ka-GE"/>
        </w:rPr>
        <w:t>დაკავშირებით</w:t>
      </w:r>
      <w:r w:rsidRPr="005556B3">
        <w:rPr>
          <w:rFonts w:ascii="Sylfaen" w:hAnsi="Sylfaen"/>
          <w:lang w:val="ka-GE"/>
        </w:rPr>
        <w:t xml:space="preserve"> </w:t>
      </w:r>
      <w:r w:rsidRPr="005556B3">
        <w:rPr>
          <w:rFonts w:ascii="Sylfaen" w:hAnsi="Sylfaen" w:cs="Sylfaen"/>
          <w:lang w:val="ka-GE"/>
        </w:rPr>
        <w:t>წარმოადგენს</w:t>
      </w:r>
      <w:r w:rsidRPr="005556B3">
        <w:rPr>
          <w:rFonts w:ascii="Sylfaen" w:hAnsi="Sylfaen"/>
          <w:lang w:val="ka-GE"/>
        </w:rPr>
        <w:t xml:space="preserve"> </w:t>
      </w:r>
      <w:r w:rsidRPr="005556B3">
        <w:rPr>
          <w:rFonts w:ascii="Sylfaen" w:hAnsi="Sylfaen" w:cs="Sylfaen"/>
          <w:lang w:val="ka-GE"/>
        </w:rPr>
        <w:t>პროექტის</w:t>
      </w:r>
      <w:r w:rsidRPr="005556B3">
        <w:rPr>
          <w:rFonts w:ascii="Sylfaen" w:hAnsi="Sylfaen"/>
          <w:lang w:val="ka-GE"/>
        </w:rPr>
        <w:t xml:space="preserve"> </w:t>
      </w:r>
      <w:r w:rsidRPr="005556B3">
        <w:rPr>
          <w:rFonts w:ascii="Sylfaen" w:hAnsi="Sylfaen" w:cs="Sylfaen"/>
          <w:lang w:val="ka-GE"/>
        </w:rPr>
        <w:t>ზემოქმედების</w:t>
      </w:r>
      <w:r w:rsidRPr="005556B3">
        <w:rPr>
          <w:rFonts w:ascii="Sylfaen" w:hAnsi="Sylfaen"/>
          <w:lang w:val="ka-GE"/>
        </w:rPr>
        <w:t xml:space="preserve"> </w:t>
      </w:r>
      <w:r w:rsidRPr="005556B3">
        <w:rPr>
          <w:rFonts w:ascii="Sylfaen" w:hAnsi="Sylfaen" w:cs="Sylfaen"/>
          <w:lang w:val="ka-GE"/>
        </w:rPr>
        <w:t>ქვეშ</w:t>
      </w:r>
      <w:r w:rsidRPr="005556B3">
        <w:rPr>
          <w:rFonts w:ascii="Sylfaen" w:hAnsi="Sylfaen"/>
          <w:lang w:val="ka-GE"/>
        </w:rPr>
        <w:t xml:space="preserve"> </w:t>
      </w:r>
      <w:r w:rsidRPr="005556B3">
        <w:rPr>
          <w:rFonts w:ascii="Sylfaen" w:hAnsi="Sylfaen" w:cs="Sylfaen"/>
          <w:lang w:val="ka-GE"/>
        </w:rPr>
        <w:t>მოქცეული</w:t>
      </w:r>
      <w:r w:rsidRPr="005556B3">
        <w:rPr>
          <w:rFonts w:ascii="Sylfaen" w:hAnsi="Sylfaen"/>
          <w:lang w:val="ka-GE"/>
        </w:rPr>
        <w:t xml:space="preserve"> </w:t>
      </w:r>
      <w:r w:rsidRPr="005556B3">
        <w:rPr>
          <w:rFonts w:ascii="Sylfaen" w:hAnsi="Sylfaen" w:cs="Sylfaen"/>
          <w:lang w:val="ka-GE"/>
        </w:rPr>
        <w:t>მოსახლეობისთვის</w:t>
      </w:r>
      <w:r w:rsidRPr="005556B3">
        <w:rPr>
          <w:rFonts w:ascii="Sylfaen" w:hAnsi="Sylfaen"/>
          <w:lang w:val="ka-GE"/>
        </w:rPr>
        <w:t xml:space="preserve"> (</w:t>
      </w:r>
      <w:r w:rsidRPr="005556B3">
        <w:rPr>
          <w:rFonts w:ascii="Sylfaen" w:hAnsi="Sylfaen" w:cs="Sylfaen"/>
          <w:lang w:val="ka-GE"/>
        </w:rPr>
        <w:t>ზმქ</w:t>
      </w:r>
      <w:r w:rsidRPr="005556B3">
        <w:rPr>
          <w:rFonts w:ascii="Sylfaen" w:hAnsi="Sylfaen"/>
          <w:lang w:val="ka-GE"/>
        </w:rPr>
        <w:t xml:space="preserve"> </w:t>
      </w:r>
      <w:r w:rsidRPr="005556B3">
        <w:rPr>
          <w:rFonts w:ascii="Sylfaen" w:hAnsi="Sylfaen" w:cs="Sylfaen"/>
          <w:lang w:val="ka-GE"/>
        </w:rPr>
        <w:t>პირებისთვის</w:t>
      </w:r>
      <w:r w:rsidRPr="005556B3">
        <w:rPr>
          <w:rFonts w:ascii="Sylfaen" w:hAnsi="Sylfaen"/>
          <w:lang w:val="ka-GE"/>
        </w:rPr>
        <w:t xml:space="preserve">) </w:t>
      </w:r>
      <w:r w:rsidRPr="005556B3">
        <w:rPr>
          <w:rFonts w:ascii="Sylfaen" w:hAnsi="Sylfaen" w:cs="Sylfaen"/>
          <w:lang w:val="ka-GE"/>
        </w:rPr>
        <w:t>დახმარების</w:t>
      </w:r>
      <w:r w:rsidRPr="005556B3">
        <w:rPr>
          <w:rFonts w:ascii="Sylfaen" w:hAnsi="Sylfaen"/>
          <w:lang w:val="ka-GE"/>
        </w:rPr>
        <w:t xml:space="preserve"> </w:t>
      </w:r>
      <w:r w:rsidRPr="005556B3">
        <w:rPr>
          <w:rFonts w:ascii="Sylfaen" w:hAnsi="Sylfaen" w:cs="Sylfaen"/>
          <w:lang w:val="ka-GE"/>
        </w:rPr>
        <w:t>გაწევა</w:t>
      </w:r>
      <w:r w:rsidRPr="005556B3">
        <w:rPr>
          <w:rFonts w:ascii="Sylfaen" w:hAnsi="Sylfaen"/>
          <w:lang w:val="ka-GE"/>
        </w:rPr>
        <w:t xml:space="preserve">, </w:t>
      </w:r>
      <w:r w:rsidRPr="005556B3">
        <w:rPr>
          <w:rFonts w:ascii="Sylfaen" w:hAnsi="Sylfaen" w:cs="Sylfaen"/>
          <w:lang w:val="ka-GE"/>
        </w:rPr>
        <w:t>რათა</w:t>
      </w:r>
      <w:r w:rsidRPr="005556B3">
        <w:rPr>
          <w:rFonts w:ascii="Sylfaen" w:hAnsi="Sylfaen"/>
          <w:lang w:val="ka-GE"/>
        </w:rPr>
        <w:t xml:space="preserve"> </w:t>
      </w:r>
      <w:r w:rsidRPr="005556B3">
        <w:rPr>
          <w:rFonts w:ascii="Sylfaen" w:hAnsi="Sylfaen" w:cs="Sylfaen"/>
          <w:lang w:val="ka-GE"/>
        </w:rPr>
        <w:t>უზრუნველყოფილი</w:t>
      </w:r>
      <w:r w:rsidRPr="005556B3">
        <w:rPr>
          <w:rFonts w:ascii="Sylfaen" w:hAnsi="Sylfaen"/>
          <w:lang w:val="ka-GE"/>
        </w:rPr>
        <w:t xml:space="preserve"> </w:t>
      </w:r>
      <w:r w:rsidRPr="005556B3">
        <w:rPr>
          <w:rFonts w:ascii="Sylfaen" w:hAnsi="Sylfaen" w:cs="Sylfaen"/>
          <w:lang w:val="ka-GE"/>
        </w:rPr>
        <w:t>იყოს</w:t>
      </w:r>
      <w:r w:rsidRPr="005556B3">
        <w:rPr>
          <w:rFonts w:ascii="Sylfaen" w:hAnsi="Sylfaen"/>
          <w:lang w:val="ka-GE"/>
        </w:rPr>
        <w:t xml:space="preserve"> </w:t>
      </w:r>
      <w:r w:rsidRPr="005556B3">
        <w:rPr>
          <w:rFonts w:ascii="Sylfaen" w:hAnsi="Sylfaen" w:cs="Sylfaen"/>
          <w:lang w:val="ka-GE"/>
        </w:rPr>
        <w:t>მათი</w:t>
      </w:r>
      <w:r w:rsidRPr="005556B3">
        <w:rPr>
          <w:rFonts w:ascii="Sylfaen" w:hAnsi="Sylfaen"/>
          <w:lang w:val="ka-GE"/>
        </w:rPr>
        <w:t xml:space="preserve"> </w:t>
      </w:r>
      <w:r w:rsidRPr="005556B3">
        <w:rPr>
          <w:rFonts w:ascii="Sylfaen" w:hAnsi="Sylfaen" w:cs="Sylfaen"/>
          <w:lang w:val="ka-GE"/>
        </w:rPr>
        <w:t>საცხოვრებელი</w:t>
      </w:r>
      <w:r w:rsidRPr="005556B3">
        <w:rPr>
          <w:rFonts w:ascii="Sylfaen" w:hAnsi="Sylfaen"/>
          <w:lang w:val="ka-GE"/>
        </w:rPr>
        <w:t xml:space="preserve"> </w:t>
      </w:r>
      <w:r w:rsidRPr="005556B3">
        <w:rPr>
          <w:rFonts w:ascii="Sylfaen" w:hAnsi="Sylfaen" w:cs="Sylfaen"/>
          <w:lang w:val="ka-GE"/>
        </w:rPr>
        <w:t>პირობები</w:t>
      </w:r>
      <w:r w:rsidRPr="005556B3">
        <w:rPr>
          <w:rFonts w:ascii="Sylfaen" w:hAnsi="Sylfaen"/>
          <w:lang w:val="ka-GE"/>
        </w:rPr>
        <w:t xml:space="preserve"> </w:t>
      </w:r>
      <w:r w:rsidRPr="005556B3">
        <w:rPr>
          <w:rFonts w:ascii="Sylfaen" w:hAnsi="Sylfaen" w:cs="Sylfaen"/>
          <w:lang w:val="ka-GE"/>
        </w:rPr>
        <w:t>მინიმუმ</w:t>
      </w:r>
      <w:r w:rsidRPr="005556B3">
        <w:rPr>
          <w:rFonts w:ascii="Sylfaen" w:hAnsi="Sylfaen"/>
          <w:lang w:val="ka-GE"/>
        </w:rPr>
        <w:t xml:space="preserve"> </w:t>
      </w:r>
      <w:r w:rsidRPr="005556B3">
        <w:rPr>
          <w:rFonts w:ascii="Sylfaen" w:hAnsi="Sylfaen" w:cs="Sylfaen"/>
          <w:lang w:val="ka-GE"/>
        </w:rPr>
        <w:t>პროექტის</w:t>
      </w:r>
      <w:r w:rsidRPr="005556B3">
        <w:rPr>
          <w:rFonts w:ascii="Sylfaen" w:hAnsi="Sylfaen"/>
          <w:lang w:val="ka-GE"/>
        </w:rPr>
        <w:t xml:space="preserve"> </w:t>
      </w:r>
      <w:r w:rsidRPr="005556B3">
        <w:rPr>
          <w:rFonts w:ascii="Sylfaen" w:hAnsi="Sylfaen" w:cs="Sylfaen"/>
          <w:lang w:val="ka-GE"/>
        </w:rPr>
        <w:t>განხორციელების</w:t>
      </w:r>
      <w:r w:rsidRPr="005556B3">
        <w:rPr>
          <w:rFonts w:ascii="Sylfaen" w:hAnsi="Sylfaen"/>
          <w:lang w:val="ka-GE"/>
        </w:rPr>
        <w:t xml:space="preserve"> </w:t>
      </w:r>
      <w:r w:rsidRPr="005556B3">
        <w:rPr>
          <w:rFonts w:ascii="Sylfaen" w:hAnsi="Sylfaen" w:cs="Sylfaen"/>
          <w:lang w:val="ka-GE"/>
        </w:rPr>
        <w:t>არსებულ</w:t>
      </w:r>
      <w:r w:rsidRPr="005556B3">
        <w:rPr>
          <w:rFonts w:ascii="Sylfaen" w:hAnsi="Sylfaen"/>
          <w:lang w:val="ka-GE"/>
        </w:rPr>
        <w:t xml:space="preserve"> </w:t>
      </w:r>
      <w:r w:rsidRPr="005556B3">
        <w:rPr>
          <w:rFonts w:ascii="Sylfaen" w:hAnsi="Sylfaen" w:cs="Sylfaen"/>
          <w:lang w:val="ka-GE"/>
        </w:rPr>
        <w:t>დონეზე</w:t>
      </w:r>
      <w:r w:rsidRPr="005556B3">
        <w:rPr>
          <w:rFonts w:ascii="Sylfaen" w:hAnsi="Sylfaen"/>
          <w:lang w:val="ka-GE"/>
        </w:rPr>
        <w:t xml:space="preserve">. </w:t>
      </w:r>
    </w:p>
    <w:p w14:paraId="4BC81BAE" w14:textId="77777777" w:rsidR="00692F2E" w:rsidRPr="005556B3" w:rsidRDefault="00692F2E" w:rsidP="00B74656">
      <w:pPr>
        <w:spacing w:before="120" w:after="120"/>
        <w:ind w:right="-90"/>
        <w:rPr>
          <w:rFonts w:ascii="Sylfaen" w:hAnsi="Sylfaen"/>
          <w:lang w:val="ka-GE"/>
        </w:rPr>
      </w:pPr>
      <w:r w:rsidRPr="005556B3">
        <w:rPr>
          <w:rFonts w:ascii="Sylfaen" w:hAnsi="Sylfaen" w:cs="Sylfaen"/>
          <w:lang w:val="ka-GE"/>
        </w:rPr>
        <w:t>კარგი პრაქტიკის დანერგვა იქნება, თუ გარე მოვაჭრეებს ექნებათ საშუალება შევიდნენ მათთვის სპეციალურად გამოყოფილ ფართებში და ორგანიზებულად, არა ღია ცის ქვეშ შეძლონ თავიანთი პროდუქციის რეალიზაცია. აღნიშნულ ღონისძიებას სასარგებლო დატვირთვა ასევე მიეცემა, თუ გარე მოვაჭრეთათვის სპეციალურად მოწყობილი ობიექტი განთავსდება არსებულ საავტომობილო გზასა და საპროექტო გზას შორის, ვინაიდან ამ შემთხვევაში მოძრაობის ინტენსივობის შემცირებას აღარ ექნება ზემოქმედება მათი „კლიენტურის“ შემცირებაზე. მათი პროდუქცია ხელმისაწვდომი იქნება როგორც არსებულ გზაზე მოძრავი ავტომანქანებისთვის, ასევე ახალ გზაზე მოძრავი ავტომობილებისთვის.</w:t>
      </w:r>
    </w:p>
    <w:p w14:paraId="56DAB7C8" w14:textId="77777777" w:rsidR="00692F2E" w:rsidRPr="005556B3" w:rsidRDefault="00692F2E" w:rsidP="00B74656">
      <w:pPr>
        <w:spacing w:before="120" w:after="120"/>
        <w:ind w:right="-90"/>
        <w:rPr>
          <w:rFonts w:ascii="Sylfaen" w:hAnsi="Sylfaen"/>
          <w:lang w:val="ka-GE"/>
        </w:rPr>
      </w:pPr>
      <w:r w:rsidRPr="005556B3">
        <w:rPr>
          <w:rFonts w:ascii="Sylfaen" w:hAnsi="Sylfaen" w:cs="Sylfaen"/>
          <w:lang w:val="ka-GE"/>
        </w:rPr>
        <w:t>გარდა</w:t>
      </w:r>
      <w:r w:rsidRPr="005556B3">
        <w:rPr>
          <w:rFonts w:ascii="Sylfaen" w:hAnsi="Sylfaen"/>
          <w:lang w:val="ka-GE"/>
        </w:rPr>
        <w:t xml:space="preserve"> </w:t>
      </w:r>
      <w:r w:rsidRPr="005556B3">
        <w:rPr>
          <w:rFonts w:ascii="Sylfaen" w:hAnsi="Sylfaen" w:cs="Sylfaen"/>
          <w:lang w:val="ka-GE"/>
        </w:rPr>
        <w:t>ამისა</w:t>
      </w:r>
      <w:r w:rsidRPr="005556B3">
        <w:rPr>
          <w:rFonts w:ascii="Sylfaen" w:hAnsi="Sylfaen"/>
          <w:lang w:val="ka-GE"/>
        </w:rPr>
        <w:t xml:space="preserve">, </w:t>
      </w:r>
      <w:r w:rsidRPr="005556B3">
        <w:rPr>
          <w:rFonts w:ascii="Sylfaen" w:hAnsi="Sylfaen" w:cs="Sylfaen"/>
          <w:lang w:val="ka-GE"/>
        </w:rPr>
        <w:t>აუცილებელია კონკრეტული პრინციპების გათვალისწინება, ისეთების, როგორიცაა:</w:t>
      </w:r>
    </w:p>
    <w:p w14:paraId="1FC94EC5"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w:t>
      </w:r>
      <w:r w:rsidRPr="005556B3">
        <w:rPr>
          <w:rFonts w:ascii="Sylfaen" w:hAnsi="Sylfaen" w:cs="Sylfaen"/>
          <w:lang w:val="ka-GE"/>
        </w:rPr>
        <w:t>გზის</w:t>
      </w:r>
      <w:r w:rsidRPr="005556B3">
        <w:rPr>
          <w:rFonts w:ascii="Sylfaen" w:hAnsi="Sylfaen"/>
          <w:lang w:val="ka-GE"/>
        </w:rPr>
        <w:t xml:space="preserve"> </w:t>
      </w:r>
      <w:r w:rsidRPr="005556B3">
        <w:rPr>
          <w:rFonts w:ascii="Sylfaen" w:hAnsi="Sylfaen" w:cs="Sylfaen"/>
          <w:lang w:val="ka-GE"/>
        </w:rPr>
        <w:t>მშენებლობის განხორციელება</w:t>
      </w:r>
      <w:r w:rsidRPr="005556B3">
        <w:rPr>
          <w:rFonts w:ascii="Sylfaen" w:hAnsi="Sylfaen"/>
          <w:lang w:val="ka-GE"/>
        </w:rPr>
        <w:t xml:space="preserve"> </w:t>
      </w:r>
      <w:r w:rsidRPr="005556B3">
        <w:rPr>
          <w:rFonts w:ascii="Sylfaen" w:hAnsi="Sylfaen" w:cs="Sylfaen"/>
          <w:lang w:val="ka-GE"/>
        </w:rPr>
        <w:t>საცხოვრებელი</w:t>
      </w:r>
      <w:r w:rsidRPr="005556B3">
        <w:rPr>
          <w:rFonts w:ascii="Sylfaen" w:hAnsi="Sylfaen"/>
          <w:lang w:val="ka-GE"/>
        </w:rPr>
        <w:t xml:space="preserve"> </w:t>
      </w:r>
      <w:r w:rsidRPr="005556B3">
        <w:rPr>
          <w:rFonts w:ascii="Sylfaen" w:hAnsi="Sylfaen" w:cs="Sylfaen"/>
          <w:lang w:val="ka-GE"/>
        </w:rPr>
        <w:t>უბნებიდან</w:t>
      </w:r>
      <w:r w:rsidRPr="005556B3">
        <w:rPr>
          <w:rFonts w:ascii="Sylfaen" w:hAnsi="Sylfaen"/>
          <w:lang w:val="ka-GE"/>
        </w:rPr>
        <w:t xml:space="preserve"> </w:t>
      </w:r>
      <w:r w:rsidRPr="005556B3">
        <w:rPr>
          <w:rFonts w:ascii="Sylfaen" w:hAnsi="Sylfaen" w:cs="Sylfaen"/>
          <w:lang w:val="ka-GE"/>
        </w:rPr>
        <w:t>მაქსიმალურად</w:t>
      </w:r>
      <w:r w:rsidRPr="005556B3">
        <w:rPr>
          <w:rFonts w:ascii="Sylfaen" w:hAnsi="Sylfaen"/>
          <w:lang w:val="ka-GE"/>
        </w:rPr>
        <w:t xml:space="preserve"> </w:t>
      </w:r>
      <w:r w:rsidRPr="005556B3">
        <w:rPr>
          <w:rFonts w:ascii="Sylfaen" w:hAnsi="Sylfaen" w:cs="Sylfaen"/>
          <w:lang w:val="ka-GE"/>
        </w:rPr>
        <w:t>მოშორებით,</w:t>
      </w:r>
      <w:r w:rsidRPr="005556B3">
        <w:rPr>
          <w:rFonts w:ascii="Sylfaen" w:hAnsi="Sylfaen"/>
          <w:lang w:val="ka-GE"/>
        </w:rPr>
        <w:t xml:space="preserve"> </w:t>
      </w:r>
      <w:r w:rsidRPr="005556B3">
        <w:rPr>
          <w:rFonts w:ascii="Sylfaen" w:hAnsi="Sylfaen" w:cs="Sylfaen"/>
          <w:lang w:val="ka-GE"/>
        </w:rPr>
        <w:t>ადამიანების</w:t>
      </w:r>
      <w:r w:rsidRPr="005556B3">
        <w:rPr>
          <w:rFonts w:ascii="Sylfaen" w:hAnsi="Sylfaen"/>
          <w:lang w:val="ka-GE"/>
        </w:rPr>
        <w:t xml:space="preserve"> </w:t>
      </w:r>
      <w:r w:rsidRPr="005556B3">
        <w:rPr>
          <w:rFonts w:ascii="Sylfaen" w:hAnsi="Sylfaen" w:cs="Sylfaen"/>
          <w:lang w:val="ka-GE"/>
        </w:rPr>
        <w:t>ფიზიკური</w:t>
      </w:r>
      <w:r w:rsidRPr="005556B3">
        <w:rPr>
          <w:rFonts w:ascii="Sylfaen" w:hAnsi="Sylfaen"/>
          <w:lang w:val="ka-GE"/>
        </w:rPr>
        <w:t xml:space="preserve"> </w:t>
      </w:r>
      <w:r w:rsidRPr="005556B3">
        <w:rPr>
          <w:rFonts w:ascii="Sylfaen" w:hAnsi="Sylfaen" w:cs="Sylfaen"/>
          <w:lang w:val="ka-GE"/>
        </w:rPr>
        <w:t>გადაადგილების</w:t>
      </w:r>
      <w:r w:rsidRPr="005556B3">
        <w:rPr>
          <w:rFonts w:ascii="Sylfaen" w:hAnsi="Sylfaen"/>
          <w:lang w:val="ka-GE"/>
        </w:rPr>
        <w:t xml:space="preserve"> </w:t>
      </w:r>
      <w:r w:rsidRPr="005556B3">
        <w:rPr>
          <w:rFonts w:ascii="Sylfaen" w:hAnsi="Sylfaen" w:cs="Sylfaen"/>
          <w:lang w:val="ka-GE"/>
        </w:rPr>
        <w:t>შეძლებისდაგვარად</w:t>
      </w:r>
      <w:r w:rsidRPr="005556B3">
        <w:rPr>
          <w:rFonts w:ascii="Sylfaen" w:hAnsi="Sylfaen"/>
          <w:lang w:val="ka-GE"/>
        </w:rPr>
        <w:t xml:space="preserve"> </w:t>
      </w:r>
      <w:r w:rsidRPr="005556B3">
        <w:rPr>
          <w:rFonts w:ascii="Sylfaen" w:hAnsi="Sylfaen" w:cs="Sylfaen"/>
          <w:lang w:val="ka-GE"/>
        </w:rPr>
        <w:t>მინიმუმამდე</w:t>
      </w:r>
      <w:r w:rsidRPr="005556B3">
        <w:rPr>
          <w:rFonts w:ascii="Sylfaen" w:hAnsi="Sylfaen"/>
          <w:lang w:val="ka-GE"/>
        </w:rPr>
        <w:t xml:space="preserve"> </w:t>
      </w:r>
      <w:r w:rsidRPr="005556B3">
        <w:rPr>
          <w:rFonts w:ascii="Sylfaen" w:hAnsi="Sylfaen" w:cs="Sylfaen"/>
          <w:lang w:val="ka-GE"/>
        </w:rPr>
        <w:t>შემცირების</w:t>
      </w:r>
      <w:r w:rsidRPr="005556B3">
        <w:rPr>
          <w:rFonts w:ascii="Sylfaen" w:hAnsi="Sylfaen"/>
          <w:lang w:val="ka-GE"/>
        </w:rPr>
        <w:t xml:space="preserve"> </w:t>
      </w:r>
      <w:r w:rsidRPr="005556B3">
        <w:rPr>
          <w:rFonts w:ascii="Sylfaen" w:hAnsi="Sylfaen" w:cs="Sylfaen"/>
          <w:lang w:val="ka-GE"/>
        </w:rPr>
        <w:t>მიზნით</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ისეთი</w:t>
      </w:r>
      <w:r w:rsidRPr="005556B3">
        <w:rPr>
          <w:rFonts w:ascii="Sylfaen" w:hAnsi="Sylfaen"/>
          <w:lang w:val="ka-GE"/>
        </w:rPr>
        <w:t xml:space="preserve"> </w:t>
      </w:r>
      <w:r w:rsidRPr="005556B3">
        <w:rPr>
          <w:rFonts w:ascii="Sylfaen" w:hAnsi="Sylfaen" w:cs="Sylfaen"/>
          <w:lang w:val="ka-GE"/>
        </w:rPr>
        <w:t>მარშრუტების</w:t>
      </w:r>
      <w:r w:rsidRPr="005556B3">
        <w:rPr>
          <w:rFonts w:ascii="Sylfaen" w:hAnsi="Sylfaen"/>
          <w:lang w:val="ka-GE"/>
        </w:rPr>
        <w:t xml:space="preserve"> </w:t>
      </w:r>
      <w:r w:rsidRPr="005556B3">
        <w:rPr>
          <w:rFonts w:ascii="Sylfaen" w:hAnsi="Sylfaen" w:cs="Sylfaen"/>
          <w:lang w:val="ka-GE"/>
        </w:rPr>
        <w:t>შერჩევა</w:t>
      </w:r>
      <w:r w:rsidRPr="005556B3">
        <w:rPr>
          <w:rFonts w:ascii="Sylfaen" w:hAnsi="Sylfaen"/>
          <w:lang w:val="ka-GE"/>
        </w:rPr>
        <w:t xml:space="preserve">, </w:t>
      </w:r>
      <w:r w:rsidRPr="005556B3">
        <w:rPr>
          <w:rFonts w:ascii="Sylfaen" w:hAnsi="Sylfaen" w:cs="Sylfaen"/>
          <w:lang w:val="ka-GE"/>
        </w:rPr>
        <w:t>რომლის</w:t>
      </w:r>
      <w:r w:rsidRPr="005556B3">
        <w:rPr>
          <w:rFonts w:ascii="Sylfaen" w:hAnsi="Sylfaen"/>
          <w:lang w:val="ka-GE"/>
        </w:rPr>
        <w:t xml:space="preserve"> </w:t>
      </w:r>
      <w:r w:rsidRPr="005556B3">
        <w:rPr>
          <w:rFonts w:ascii="Sylfaen" w:hAnsi="Sylfaen" w:cs="Sylfaen"/>
          <w:lang w:val="ka-GE"/>
        </w:rPr>
        <w:t>განხორციელებაც</w:t>
      </w:r>
      <w:r w:rsidRPr="005556B3">
        <w:rPr>
          <w:rFonts w:ascii="Sylfaen" w:hAnsi="Sylfaen"/>
          <w:lang w:val="ka-GE"/>
        </w:rPr>
        <w:t xml:space="preserve"> </w:t>
      </w:r>
      <w:r w:rsidRPr="005556B3">
        <w:rPr>
          <w:rFonts w:ascii="Sylfaen" w:hAnsi="Sylfaen" w:cs="Sylfaen"/>
          <w:lang w:val="ka-GE"/>
        </w:rPr>
        <w:t>საჭიროებს</w:t>
      </w:r>
      <w:r w:rsidRPr="005556B3">
        <w:rPr>
          <w:rFonts w:ascii="Sylfaen" w:hAnsi="Sylfaen"/>
          <w:lang w:val="ka-GE"/>
        </w:rPr>
        <w:t xml:space="preserve"> </w:t>
      </w:r>
      <w:r w:rsidRPr="005556B3">
        <w:rPr>
          <w:rFonts w:ascii="Sylfaen" w:hAnsi="Sylfaen" w:cs="Sylfaen"/>
          <w:lang w:val="ka-GE"/>
        </w:rPr>
        <w:t>კერძო</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საზოგადოების</w:t>
      </w:r>
      <w:r w:rsidRPr="005556B3">
        <w:rPr>
          <w:rFonts w:ascii="Sylfaen" w:hAnsi="Sylfaen"/>
          <w:lang w:val="ka-GE"/>
        </w:rPr>
        <w:t xml:space="preserve"> </w:t>
      </w:r>
      <w:r w:rsidRPr="005556B3">
        <w:rPr>
          <w:rFonts w:ascii="Sylfaen" w:hAnsi="Sylfaen" w:cs="Sylfaen"/>
          <w:lang w:val="ka-GE"/>
        </w:rPr>
        <w:t>საკუთრებაში</w:t>
      </w:r>
      <w:r w:rsidRPr="005556B3">
        <w:rPr>
          <w:rFonts w:ascii="Sylfaen" w:hAnsi="Sylfaen"/>
          <w:lang w:val="ka-GE"/>
        </w:rPr>
        <w:t xml:space="preserve"> </w:t>
      </w:r>
      <w:r w:rsidRPr="005556B3">
        <w:rPr>
          <w:rFonts w:ascii="Sylfaen" w:hAnsi="Sylfaen" w:cs="Sylfaen"/>
          <w:lang w:val="ka-GE"/>
        </w:rPr>
        <w:t>არსებული</w:t>
      </w:r>
      <w:r w:rsidRPr="005556B3">
        <w:rPr>
          <w:rFonts w:ascii="Sylfaen" w:hAnsi="Sylfaen"/>
          <w:lang w:val="ka-GE"/>
        </w:rPr>
        <w:t xml:space="preserve"> </w:t>
      </w:r>
      <w:r w:rsidRPr="005556B3">
        <w:rPr>
          <w:rFonts w:ascii="Sylfaen" w:hAnsi="Sylfaen" w:cs="Sylfaen"/>
          <w:lang w:val="ka-GE"/>
        </w:rPr>
        <w:t>პროდუქტიული</w:t>
      </w:r>
      <w:r w:rsidRPr="005556B3">
        <w:rPr>
          <w:rFonts w:ascii="Sylfaen" w:hAnsi="Sylfaen"/>
          <w:lang w:val="ka-GE"/>
        </w:rPr>
        <w:t xml:space="preserve"> </w:t>
      </w:r>
      <w:r w:rsidRPr="005556B3">
        <w:rPr>
          <w:rFonts w:ascii="Sylfaen" w:hAnsi="Sylfaen" w:cs="Sylfaen"/>
          <w:lang w:val="ka-GE"/>
        </w:rPr>
        <w:t>სასოფლო</w:t>
      </w:r>
      <w:r w:rsidRPr="005556B3">
        <w:rPr>
          <w:rFonts w:ascii="Sylfaen" w:hAnsi="Sylfaen"/>
          <w:lang w:val="ka-GE"/>
        </w:rPr>
        <w:t>-</w:t>
      </w:r>
      <w:r w:rsidRPr="005556B3">
        <w:rPr>
          <w:rFonts w:ascii="Sylfaen" w:hAnsi="Sylfaen" w:cs="Sylfaen"/>
          <w:lang w:val="ka-GE"/>
        </w:rPr>
        <w:t>სამეურნეო</w:t>
      </w:r>
      <w:r w:rsidRPr="005556B3">
        <w:rPr>
          <w:rFonts w:ascii="Sylfaen" w:hAnsi="Sylfaen"/>
          <w:lang w:val="ka-GE"/>
        </w:rPr>
        <w:t xml:space="preserve"> </w:t>
      </w:r>
      <w:r w:rsidRPr="005556B3">
        <w:rPr>
          <w:rFonts w:ascii="Sylfaen" w:hAnsi="Sylfaen" w:cs="Sylfaen"/>
          <w:lang w:val="ka-GE"/>
        </w:rPr>
        <w:t>მიწების</w:t>
      </w:r>
      <w:r w:rsidRPr="005556B3">
        <w:rPr>
          <w:rFonts w:ascii="Sylfaen" w:hAnsi="Sylfaen"/>
          <w:lang w:val="ka-GE"/>
        </w:rPr>
        <w:t xml:space="preserve"> </w:t>
      </w:r>
      <w:r w:rsidRPr="005556B3">
        <w:rPr>
          <w:rFonts w:ascii="Sylfaen" w:hAnsi="Sylfaen" w:cs="Sylfaen"/>
          <w:lang w:val="ka-GE"/>
        </w:rPr>
        <w:t>მინიმალური</w:t>
      </w:r>
      <w:r w:rsidRPr="005556B3">
        <w:rPr>
          <w:rFonts w:ascii="Sylfaen" w:hAnsi="Sylfaen"/>
          <w:lang w:val="ka-GE"/>
        </w:rPr>
        <w:t xml:space="preserve"> </w:t>
      </w:r>
      <w:r w:rsidRPr="005556B3">
        <w:rPr>
          <w:rFonts w:ascii="Sylfaen" w:hAnsi="Sylfaen" w:cs="Sylfaen"/>
          <w:lang w:val="ka-GE"/>
        </w:rPr>
        <w:t>მასშტაბით</w:t>
      </w:r>
      <w:r w:rsidRPr="005556B3">
        <w:rPr>
          <w:rFonts w:ascii="Sylfaen" w:hAnsi="Sylfaen"/>
          <w:lang w:val="ka-GE"/>
        </w:rPr>
        <w:t xml:space="preserve"> </w:t>
      </w:r>
      <w:r w:rsidRPr="005556B3">
        <w:rPr>
          <w:rFonts w:ascii="Sylfaen" w:hAnsi="Sylfaen" w:cs="Sylfaen"/>
          <w:lang w:val="ka-GE"/>
        </w:rPr>
        <w:t>შეძენას</w:t>
      </w:r>
      <w:r w:rsidRPr="005556B3">
        <w:rPr>
          <w:rFonts w:ascii="Sylfaen" w:hAnsi="Sylfaen"/>
          <w:lang w:val="ka-GE"/>
        </w:rPr>
        <w:t>;</w:t>
      </w:r>
    </w:p>
    <w:p w14:paraId="08DFB09D"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w:t>
      </w:r>
      <w:r w:rsidRPr="005556B3">
        <w:rPr>
          <w:rFonts w:ascii="Sylfaen" w:hAnsi="Sylfaen" w:cs="Sylfaen"/>
          <w:lang w:val="ka-GE"/>
        </w:rPr>
        <w:t>ისეთი</w:t>
      </w:r>
      <w:r w:rsidRPr="005556B3">
        <w:rPr>
          <w:rFonts w:ascii="Sylfaen" w:hAnsi="Sylfaen"/>
          <w:lang w:val="ka-GE"/>
        </w:rPr>
        <w:t xml:space="preserve"> </w:t>
      </w:r>
      <w:r w:rsidRPr="005556B3">
        <w:rPr>
          <w:rFonts w:ascii="Sylfaen" w:hAnsi="Sylfaen" w:cs="Sylfaen"/>
          <w:lang w:val="ka-GE"/>
        </w:rPr>
        <w:t>საპროექტო</w:t>
      </w:r>
      <w:r w:rsidRPr="005556B3">
        <w:rPr>
          <w:rFonts w:ascii="Sylfaen" w:hAnsi="Sylfaen"/>
          <w:lang w:val="ka-GE"/>
        </w:rPr>
        <w:t xml:space="preserve"> </w:t>
      </w:r>
      <w:r w:rsidRPr="005556B3">
        <w:rPr>
          <w:rFonts w:ascii="Sylfaen" w:hAnsi="Sylfaen" w:cs="Sylfaen"/>
          <w:lang w:val="ka-GE"/>
        </w:rPr>
        <w:t>სტანდარტების</w:t>
      </w:r>
      <w:r w:rsidRPr="005556B3">
        <w:rPr>
          <w:rFonts w:ascii="Sylfaen" w:hAnsi="Sylfaen"/>
          <w:lang w:val="ka-GE"/>
        </w:rPr>
        <w:t xml:space="preserve"> </w:t>
      </w:r>
      <w:r w:rsidRPr="005556B3">
        <w:rPr>
          <w:rFonts w:ascii="Sylfaen" w:hAnsi="Sylfaen" w:cs="Sylfaen"/>
          <w:lang w:val="ka-GE"/>
        </w:rPr>
        <w:t>შემუშავება</w:t>
      </w:r>
      <w:r w:rsidRPr="005556B3">
        <w:rPr>
          <w:rFonts w:ascii="Sylfaen" w:hAnsi="Sylfaen"/>
          <w:lang w:val="ka-GE"/>
        </w:rPr>
        <w:t xml:space="preserve">, </w:t>
      </w:r>
      <w:r w:rsidRPr="005556B3">
        <w:rPr>
          <w:rFonts w:ascii="Sylfaen" w:hAnsi="Sylfaen" w:cs="Sylfaen"/>
          <w:lang w:val="ka-GE"/>
        </w:rPr>
        <w:t>რომელთა</w:t>
      </w:r>
      <w:r w:rsidRPr="005556B3">
        <w:rPr>
          <w:rFonts w:ascii="Sylfaen" w:hAnsi="Sylfaen"/>
          <w:lang w:val="ka-GE"/>
        </w:rPr>
        <w:t xml:space="preserve"> </w:t>
      </w:r>
      <w:r w:rsidRPr="005556B3">
        <w:rPr>
          <w:rFonts w:ascii="Sylfaen" w:hAnsi="Sylfaen" w:cs="Sylfaen"/>
          <w:lang w:val="ka-GE"/>
        </w:rPr>
        <w:t>შედეგადაც</w:t>
      </w:r>
      <w:r w:rsidRPr="005556B3">
        <w:rPr>
          <w:rFonts w:ascii="Sylfaen" w:hAnsi="Sylfaen"/>
          <w:lang w:val="ka-GE"/>
        </w:rPr>
        <w:t xml:space="preserve"> </w:t>
      </w:r>
      <w:r w:rsidRPr="005556B3">
        <w:rPr>
          <w:rFonts w:ascii="Sylfaen" w:hAnsi="Sylfaen" w:cs="Sylfaen"/>
          <w:lang w:val="ka-GE"/>
        </w:rPr>
        <w:t>მინიმუმამდე</w:t>
      </w:r>
      <w:r w:rsidRPr="005556B3">
        <w:rPr>
          <w:rFonts w:ascii="Sylfaen" w:hAnsi="Sylfaen"/>
          <w:lang w:val="ka-GE"/>
        </w:rPr>
        <w:t xml:space="preserve"> </w:t>
      </w:r>
      <w:r w:rsidRPr="005556B3">
        <w:rPr>
          <w:rFonts w:ascii="Sylfaen" w:hAnsi="Sylfaen" w:cs="Sylfaen"/>
          <w:lang w:val="ka-GE"/>
        </w:rPr>
        <w:t>შემცირდება</w:t>
      </w:r>
      <w:r w:rsidRPr="005556B3">
        <w:rPr>
          <w:rFonts w:ascii="Sylfaen" w:hAnsi="Sylfaen"/>
          <w:lang w:val="ka-GE"/>
        </w:rPr>
        <w:t xml:space="preserve"> </w:t>
      </w:r>
      <w:r w:rsidRPr="005556B3">
        <w:rPr>
          <w:rFonts w:ascii="Sylfaen" w:hAnsi="Sylfaen" w:cs="Sylfaen"/>
          <w:lang w:val="ka-GE"/>
        </w:rPr>
        <w:t>შეზღუდვები</w:t>
      </w:r>
      <w:r w:rsidRPr="005556B3">
        <w:rPr>
          <w:rFonts w:ascii="Sylfaen" w:hAnsi="Sylfaen"/>
          <w:lang w:val="ka-GE"/>
        </w:rPr>
        <w:t xml:space="preserve"> </w:t>
      </w:r>
      <w:r w:rsidRPr="005556B3">
        <w:rPr>
          <w:rFonts w:ascii="Sylfaen" w:hAnsi="Sylfaen" w:cs="Sylfaen"/>
          <w:lang w:val="ka-GE"/>
        </w:rPr>
        <w:t>მიმდებარე</w:t>
      </w:r>
      <w:r w:rsidRPr="005556B3">
        <w:rPr>
          <w:rFonts w:ascii="Sylfaen" w:hAnsi="Sylfaen"/>
          <w:lang w:val="ka-GE"/>
        </w:rPr>
        <w:t xml:space="preserve"> </w:t>
      </w:r>
      <w:r w:rsidRPr="005556B3">
        <w:rPr>
          <w:rFonts w:ascii="Sylfaen" w:hAnsi="Sylfaen" w:cs="Sylfaen"/>
          <w:lang w:val="ka-GE"/>
        </w:rPr>
        <w:t>ტერიტორიის</w:t>
      </w:r>
      <w:r w:rsidRPr="005556B3">
        <w:rPr>
          <w:rFonts w:ascii="Sylfaen" w:hAnsi="Sylfaen"/>
          <w:lang w:val="ka-GE"/>
        </w:rPr>
        <w:t xml:space="preserve"> </w:t>
      </w:r>
      <w:r w:rsidRPr="005556B3">
        <w:rPr>
          <w:rFonts w:ascii="Sylfaen" w:hAnsi="Sylfaen" w:cs="Sylfaen"/>
          <w:lang w:val="ka-GE"/>
        </w:rPr>
        <w:t>მიწათსარგებლობაზე</w:t>
      </w:r>
      <w:r w:rsidRPr="005556B3">
        <w:rPr>
          <w:rFonts w:ascii="Sylfaen" w:hAnsi="Sylfaen"/>
          <w:lang w:val="ka-GE"/>
        </w:rPr>
        <w:t>;</w:t>
      </w:r>
    </w:p>
    <w:p w14:paraId="088730BC"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w:t>
      </w:r>
      <w:r w:rsidRPr="005556B3">
        <w:rPr>
          <w:rFonts w:ascii="Sylfaen" w:hAnsi="Sylfaen" w:cs="Sylfaen"/>
          <w:lang w:val="ka-GE"/>
        </w:rPr>
        <w:t>სამართლიანი</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გამჭვირვალე</w:t>
      </w:r>
      <w:r w:rsidRPr="005556B3">
        <w:rPr>
          <w:rFonts w:ascii="Sylfaen" w:hAnsi="Sylfaen"/>
          <w:lang w:val="ka-GE"/>
        </w:rPr>
        <w:t xml:space="preserve"> </w:t>
      </w:r>
      <w:r w:rsidRPr="005556B3">
        <w:rPr>
          <w:rFonts w:ascii="Sylfaen" w:hAnsi="Sylfaen" w:cs="Sylfaen"/>
          <w:lang w:val="ka-GE"/>
        </w:rPr>
        <w:t>პროცედურების</w:t>
      </w:r>
      <w:r w:rsidRPr="005556B3">
        <w:rPr>
          <w:rFonts w:ascii="Sylfaen" w:hAnsi="Sylfaen"/>
          <w:lang w:val="ka-GE"/>
        </w:rPr>
        <w:t xml:space="preserve"> </w:t>
      </w:r>
      <w:r w:rsidRPr="005556B3">
        <w:rPr>
          <w:rFonts w:ascii="Sylfaen" w:hAnsi="Sylfaen" w:cs="Sylfaen"/>
          <w:lang w:val="ka-GE"/>
        </w:rPr>
        <w:t>შემუშავება</w:t>
      </w:r>
      <w:r w:rsidRPr="005556B3">
        <w:rPr>
          <w:rFonts w:ascii="Sylfaen" w:hAnsi="Sylfaen"/>
          <w:lang w:val="ka-GE"/>
        </w:rPr>
        <w:t xml:space="preserve">, </w:t>
      </w:r>
      <w:r w:rsidRPr="005556B3">
        <w:rPr>
          <w:rFonts w:ascii="Sylfaen" w:hAnsi="Sylfaen" w:cs="Sylfaen"/>
          <w:lang w:val="ka-GE"/>
        </w:rPr>
        <w:t>წინამდებარე</w:t>
      </w:r>
      <w:r w:rsidRPr="005556B3">
        <w:rPr>
          <w:rFonts w:ascii="Sylfaen" w:hAnsi="Sylfaen"/>
          <w:lang w:val="ka-GE"/>
        </w:rPr>
        <w:t xml:space="preserve"> </w:t>
      </w:r>
      <w:r w:rsidRPr="005556B3">
        <w:rPr>
          <w:rFonts w:ascii="Sylfaen" w:hAnsi="Sylfaen" w:cs="Sylfaen"/>
          <w:lang w:val="ka-GE"/>
        </w:rPr>
        <w:t>განსახლების</w:t>
      </w:r>
      <w:r w:rsidRPr="005556B3">
        <w:rPr>
          <w:rFonts w:ascii="Sylfaen" w:hAnsi="Sylfaen"/>
          <w:lang w:val="ka-GE"/>
        </w:rPr>
        <w:t xml:space="preserve"> </w:t>
      </w:r>
      <w:r w:rsidRPr="005556B3">
        <w:rPr>
          <w:rFonts w:ascii="Sylfaen" w:hAnsi="Sylfaen" w:cs="Sylfaen"/>
          <w:lang w:val="ka-GE"/>
        </w:rPr>
        <w:t>პოლიტიკის</w:t>
      </w:r>
      <w:r w:rsidRPr="005556B3">
        <w:rPr>
          <w:rFonts w:ascii="Sylfaen" w:hAnsi="Sylfaen"/>
          <w:lang w:val="ka-GE"/>
        </w:rPr>
        <w:t xml:space="preserve"> </w:t>
      </w:r>
      <w:r w:rsidRPr="005556B3">
        <w:rPr>
          <w:rFonts w:ascii="Sylfaen" w:hAnsi="Sylfaen" w:cs="Sylfaen"/>
          <w:lang w:val="ka-GE"/>
        </w:rPr>
        <w:t>ჩარჩოთი</w:t>
      </w:r>
      <w:r w:rsidRPr="005556B3">
        <w:rPr>
          <w:rFonts w:ascii="Sylfaen" w:hAnsi="Sylfaen"/>
          <w:lang w:val="ka-GE"/>
        </w:rPr>
        <w:t xml:space="preserve"> </w:t>
      </w:r>
      <w:r w:rsidRPr="005556B3">
        <w:rPr>
          <w:rFonts w:ascii="Sylfaen" w:hAnsi="Sylfaen" w:cs="Sylfaen"/>
          <w:lang w:val="ka-GE"/>
        </w:rPr>
        <w:t>მოცემული</w:t>
      </w:r>
      <w:r w:rsidRPr="005556B3">
        <w:rPr>
          <w:rFonts w:ascii="Sylfaen" w:hAnsi="Sylfaen"/>
          <w:lang w:val="ka-GE"/>
        </w:rPr>
        <w:t xml:space="preserve"> </w:t>
      </w:r>
      <w:r w:rsidRPr="005556B3">
        <w:rPr>
          <w:rFonts w:ascii="Sylfaen" w:hAnsi="Sylfaen" w:cs="Sylfaen"/>
          <w:lang w:val="ka-GE"/>
        </w:rPr>
        <w:t>უფლებამოსილების</w:t>
      </w:r>
      <w:r w:rsidRPr="005556B3">
        <w:rPr>
          <w:rFonts w:ascii="Sylfaen" w:hAnsi="Sylfaen"/>
          <w:lang w:val="ka-GE"/>
        </w:rPr>
        <w:t xml:space="preserve"> </w:t>
      </w:r>
      <w:r w:rsidRPr="005556B3">
        <w:rPr>
          <w:rFonts w:ascii="Sylfaen" w:hAnsi="Sylfaen" w:cs="Sylfaen"/>
          <w:lang w:val="ka-GE"/>
        </w:rPr>
        <w:t>მატრიცის</w:t>
      </w:r>
      <w:r w:rsidRPr="005556B3">
        <w:rPr>
          <w:rFonts w:ascii="Sylfaen" w:hAnsi="Sylfaen"/>
          <w:lang w:val="ka-GE"/>
        </w:rPr>
        <w:t xml:space="preserve"> </w:t>
      </w:r>
      <w:r w:rsidRPr="005556B3">
        <w:rPr>
          <w:rFonts w:ascii="Sylfaen" w:hAnsi="Sylfaen" w:cs="Sylfaen"/>
          <w:lang w:val="ka-GE"/>
        </w:rPr>
        <w:t>თანახმად</w:t>
      </w:r>
      <w:r w:rsidRPr="005556B3">
        <w:rPr>
          <w:rFonts w:ascii="Sylfaen" w:hAnsi="Sylfaen"/>
          <w:lang w:val="ka-GE"/>
        </w:rPr>
        <w:t xml:space="preserve">, </w:t>
      </w:r>
      <w:r w:rsidRPr="005556B3">
        <w:rPr>
          <w:rFonts w:ascii="Sylfaen" w:hAnsi="Sylfaen" w:cs="Sylfaen"/>
          <w:lang w:val="ka-GE"/>
        </w:rPr>
        <w:t>კომპენსაციის</w:t>
      </w:r>
      <w:r w:rsidRPr="005556B3">
        <w:rPr>
          <w:rFonts w:ascii="Sylfaen" w:hAnsi="Sylfaen"/>
          <w:lang w:val="ka-GE"/>
        </w:rPr>
        <w:t xml:space="preserve"> </w:t>
      </w:r>
      <w:r w:rsidRPr="005556B3">
        <w:rPr>
          <w:rFonts w:ascii="Sylfaen" w:hAnsi="Sylfaen" w:cs="Sylfaen"/>
          <w:lang w:val="ka-GE"/>
        </w:rPr>
        <w:t>გასაცემად</w:t>
      </w:r>
      <w:r w:rsidRPr="005556B3">
        <w:rPr>
          <w:rFonts w:ascii="Sylfaen" w:hAnsi="Sylfaen"/>
          <w:lang w:val="ka-GE"/>
        </w:rPr>
        <w:t xml:space="preserve">:  </w:t>
      </w:r>
      <w:r w:rsidRPr="005556B3">
        <w:rPr>
          <w:rFonts w:ascii="Sylfaen" w:hAnsi="Sylfaen" w:cs="Sylfaen"/>
          <w:lang w:val="ka-GE"/>
        </w:rPr>
        <w:t>შენებლობის</w:t>
      </w:r>
      <w:r w:rsidRPr="005556B3">
        <w:rPr>
          <w:rFonts w:ascii="Sylfaen" w:hAnsi="Sylfaen"/>
          <w:lang w:val="ka-GE"/>
        </w:rPr>
        <w:t xml:space="preserve"> </w:t>
      </w:r>
      <w:r w:rsidRPr="005556B3">
        <w:rPr>
          <w:rFonts w:ascii="Sylfaen" w:hAnsi="Sylfaen" w:cs="Sylfaen"/>
          <w:lang w:val="ka-GE"/>
        </w:rPr>
        <w:t>პერიოდში</w:t>
      </w:r>
      <w:r w:rsidRPr="005556B3">
        <w:rPr>
          <w:rFonts w:ascii="Sylfaen" w:hAnsi="Sylfaen"/>
          <w:lang w:val="ka-GE"/>
        </w:rPr>
        <w:t xml:space="preserve"> </w:t>
      </w:r>
      <w:r w:rsidRPr="005556B3">
        <w:rPr>
          <w:rFonts w:ascii="Sylfaen" w:hAnsi="Sylfaen" w:cs="Sylfaen"/>
          <w:lang w:val="ka-GE"/>
        </w:rPr>
        <w:t>მიწის</w:t>
      </w:r>
      <w:r w:rsidRPr="005556B3">
        <w:rPr>
          <w:rFonts w:ascii="Sylfaen" w:hAnsi="Sylfaen"/>
          <w:lang w:val="ka-GE"/>
        </w:rPr>
        <w:t>/</w:t>
      </w:r>
      <w:r w:rsidRPr="005556B3">
        <w:rPr>
          <w:rFonts w:ascii="Sylfaen" w:hAnsi="Sylfaen" w:cs="Sylfaen"/>
          <w:lang w:val="ka-GE"/>
        </w:rPr>
        <w:t>ქონების</w:t>
      </w:r>
      <w:r w:rsidRPr="005556B3">
        <w:rPr>
          <w:rFonts w:ascii="Sylfaen" w:hAnsi="Sylfaen"/>
          <w:lang w:val="ka-GE"/>
        </w:rPr>
        <w:t xml:space="preserve"> </w:t>
      </w:r>
      <w:r w:rsidRPr="005556B3">
        <w:rPr>
          <w:rFonts w:ascii="Sylfaen" w:hAnsi="Sylfaen" w:cs="Sylfaen"/>
          <w:lang w:val="ka-GE"/>
        </w:rPr>
        <w:t>დროებითი</w:t>
      </w:r>
      <w:r w:rsidRPr="005556B3">
        <w:rPr>
          <w:rFonts w:ascii="Sylfaen" w:hAnsi="Sylfaen"/>
          <w:lang w:val="ka-GE"/>
        </w:rPr>
        <w:t xml:space="preserve"> </w:t>
      </w:r>
      <w:r w:rsidRPr="005556B3">
        <w:rPr>
          <w:rFonts w:ascii="Sylfaen" w:hAnsi="Sylfaen" w:cs="Sylfaen"/>
          <w:lang w:val="ka-GE"/>
        </w:rPr>
        <w:t>დაკარგვის</w:t>
      </w:r>
      <w:r w:rsidRPr="005556B3">
        <w:rPr>
          <w:rFonts w:ascii="Sylfaen" w:hAnsi="Sylfaen"/>
          <w:lang w:val="ka-GE"/>
        </w:rPr>
        <w:t xml:space="preserve"> </w:t>
      </w:r>
      <w:r w:rsidRPr="005556B3">
        <w:rPr>
          <w:rFonts w:ascii="Sylfaen" w:hAnsi="Sylfaen" w:cs="Sylfaen"/>
          <w:lang w:val="ka-GE"/>
        </w:rPr>
        <w:t>შემთხვევაში</w:t>
      </w:r>
      <w:r w:rsidRPr="005556B3">
        <w:rPr>
          <w:rFonts w:ascii="Sylfaen" w:hAnsi="Sylfaen"/>
          <w:lang w:val="ka-GE"/>
        </w:rPr>
        <w:t xml:space="preserve">, </w:t>
      </w:r>
      <w:r w:rsidRPr="005556B3">
        <w:rPr>
          <w:rFonts w:ascii="Sylfaen" w:hAnsi="Sylfaen" w:cs="Sylfaen"/>
          <w:lang w:val="ka-GE"/>
        </w:rPr>
        <w:t>მიწისა</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ქონების</w:t>
      </w:r>
      <w:r w:rsidRPr="005556B3">
        <w:rPr>
          <w:rFonts w:ascii="Sylfaen" w:hAnsi="Sylfaen"/>
          <w:lang w:val="ka-GE"/>
        </w:rPr>
        <w:t xml:space="preserve"> </w:t>
      </w:r>
      <w:r w:rsidRPr="005556B3">
        <w:rPr>
          <w:rFonts w:ascii="Sylfaen" w:hAnsi="Sylfaen" w:cs="Sylfaen"/>
          <w:lang w:val="ka-GE"/>
        </w:rPr>
        <w:t>მუდმივი</w:t>
      </w:r>
      <w:r w:rsidRPr="005556B3">
        <w:rPr>
          <w:rFonts w:ascii="Sylfaen" w:hAnsi="Sylfaen"/>
          <w:lang w:val="ka-GE"/>
        </w:rPr>
        <w:t xml:space="preserve"> </w:t>
      </w:r>
      <w:r w:rsidRPr="005556B3">
        <w:rPr>
          <w:rFonts w:ascii="Sylfaen" w:hAnsi="Sylfaen" w:cs="Sylfaen"/>
          <w:lang w:val="ka-GE"/>
        </w:rPr>
        <w:t>შეძენის</w:t>
      </w:r>
      <w:r w:rsidRPr="005556B3">
        <w:rPr>
          <w:rFonts w:ascii="Sylfaen" w:hAnsi="Sylfaen"/>
          <w:lang w:val="ka-GE"/>
        </w:rPr>
        <w:t xml:space="preserve"> </w:t>
      </w:r>
      <w:r w:rsidRPr="005556B3">
        <w:rPr>
          <w:rFonts w:ascii="Sylfaen" w:hAnsi="Sylfaen" w:cs="Sylfaen"/>
          <w:lang w:val="ka-GE"/>
        </w:rPr>
        <w:t>შემთხვევაში</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დერეფნის</w:t>
      </w:r>
      <w:r w:rsidRPr="005556B3">
        <w:rPr>
          <w:rFonts w:ascii="Sylfaen" w:hAnsi="Sylfaen"/>
          <w:lang w:val="ka-GE"/>
        </w:rPr>
        <w:t xml:space="preserve"> </w:t>
      </w:r>
      <w:r w:rsidRPr="005556B3">
        <w:rPr>
          <w:rFonts w:ascii="Sylfaen" w:hAnsi="Sylfaen" w:cs="Sylfaen"/>
          <w:lang w:val="ka-GE"/>
        </w:rPr>
        <w:t>მიმდებარე</w:t>
      </w:r>
      <w:r w:rsidRPr="005556B3">
        <w:rPr>
          <w:rFonts w:ascii="Sylfaen" w:hAnsi="Sylfaen"/>
          <w:lang w:val="ka-GE"/>
        </w:rPr>
        <w:t xml:space="preserve"> </w:t>
      </w:r>
      <w:r w:rsidRPr="005556B3">
        <w:rPr>
          <w:rFonts w:ascii="Sylfaen" w:hAnsi="Sylfaen" w:cs="Sylfaen"/>
          <w:lang w:val="ka-GE"/>
        </w:rPr>
        <w:t>უბანზე</w:t>
      </w:r>
      <w:r w:rsidRPr="005556B3">
        <w:rPr>
          <w:rFonts w:ascii="Sylfaen" w:hAnsi="Sylfaen"/>
          <w:lang w:val="ka-GE"/>
        </w:rPr>
        <w:t xml:space="preserve">  </w:t>
      </w:r>
      <w:r w:rsidRPr="005556B3">
        <w:rPr>
          <w:rFonts w:ascii="Sylfaen" w:hAnsi="Sylfaen" w:cs="Sylfaen"/>
          <w:lang w:val="ka-GE"/>
        </w:rPr>
        <w:t>მიწათსარგებლობის</w:t>
      </w:r>
      <w:r w:rsidRPr="005556B3">
        <w:rPr>
          <w:rFonts w:ascii="Sylfaen" w:hAnsi="Sylfaen"/>
          <w:lang w:val="ka-GE"/>
        </w:rPr>
        <w:t xml:space="preserve"> </w:t>
      </w:r>
      <w:r w:rsidRPr="005556B3">
        <w:rPr>
          <w:rFonts w:ascii="Sylfaen" w:hAnsi="Sylfaen" w:cs="Sylfaen"/>
          <w:lang w:val="ka-GE"/>
        </w:rPr>
        <w:t>შესაძლო</w:t>
      </w:r>
      <w:r w:rsidRPr="005556B3">
        <w:rPr>
          <w:rFonts w:ascii="Sylfaen" w:hAnsi="Sylfaen"/>
          <w:lang w:val="ka-GE"/>
        </w:rPr>
        <w:t xml:space="preserve"> </w:t>
      </w:r>
      <w:r w:rsidRPr="005556B3">
        <w:rPr>
          <w:rFonts w:ascii="Sylfaen" w:hAnsi="Sylfaen" w:cs="Sylfaen"/>
          <w:lang w:val="ka-GE"/>
        </w:rPr>
        <w:t>აკრძალვის</w:t>
      </w:r>
      <w:r w:rsidRPr="005556B3">
        <w:rPr>
          <w:rFonts w:ascii="Sylfaen" w:hAnsi="Sylfaen"/>
          <w:lang w:val="ka-GE"/>
        </w:rPr>
        <w:t xml:space="preserve"> </w:t>
      </w:r>
      <w:r w:rsidRPr="005556B3">
        <w:rPr>
          <w:rFonts w:ascii="Sylfaen" w:hAnsi="Sylfaen" w:cs="Sylfaen"/>
          <w:lang w:val="ka-GE"/>
        </w:rPr>
        <w:t>შემთხვევაში</w:t>
      </w:r>
      <w:r w:rsidRPr="005556B3">
        <w:rPr>
          <w:rFonts w:ascii="Sylfaen" w:hAnsi="Sylfaen"/>
          <w:lang w:val="ka-GE"/>
        </w:rPr>
        <w:t>;</w:t>
      </w:r>
    </w:p>
    <w:p w14:paraId="45654A87"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w:t>
      </w:r>
      <w:r w:rsidRPr="005556B3">
        <w:rPr>
          <w:rFonts w:ascii="Sylfaen" w:hAnsi="Sylfaen" w:cs="Sylfaen"/>
          <w:lang w:val="ka-GE"/>
        </w:rPr>
        <w:t>მიწის</w:t>
      </w:r>
      <w:r w:rsidRPr="005556B3">
        <w:rPr>
          <w:rFonts w:ascii="Sylfaen" w:hAnsi="Sylfaen"/>
          <w:lang w:val="ka-GE"/>
        </w:rPr>
        <w:t xml:space="preserve"> (</w:t>
      </w:r>
      <w:r w:rsidRPr="005556B3">
        <w:rPr>
          <w:rFonts w:ascii="Sylfaen" w:hAnsi="Sylfaen" w:cs="Sylfaen"/>
          <w:lang w:val="ka-GE"/>
        </w:rPr>
        <w:t>ან</w:t>
      </w:r>
      <w:r w:rsidRPr="005556B3">
        <w:rPr>
          <w:rFonts w:ascii="Sylfaen" w:hAnsi="Sylfaen"/>
          <w:lang w:val="ka-GE"/>
        </w:rPr>
        <w:t xml:space="preserve"> </w:t>
      </w:r>
      <w:r w:rsidRPr="005556B3">
        <w:rPr>
          <w:rFonts w:ascii="Sylfaen" w:hAnsi="Sylfaen" w:cs="Sylfaen"/>
          <w:lang w:val="ka-GE"/>
        </w:rPr>
        <w:t>მიწის</w:t>
      </w:r>
      <w:r w:rsidRPr="005556B3">
        <w:rPr>
          <w:rFonts w:ascii="Sylfaen" w:hAnsi="Sylfaen"/>
          <w:lang w:val="ka-GE"/>
        </w:rPr>
        <w:t xml:space="preserve"> </w:t>
      </w:r>
      <w:r w:rsidRPr="005556B3">
        <w:rPr>
          <w:rFonts w:ascii="Sylfaen" w:hAnsi="Sylfaen" w:cs="Sylfaen"/>
          <w:lang w:val="ka-GE"/>
        </w:rPr>
        <w:t>სარგებლობის</w:t>
      </w:r>
      <w:r w:rsidRPr="005556B3">
        <w:rPr>
          <w:rFonts w:ascii="Sylfaen" w:hAnsi="Sylfaen"/>
          <w:lang w:val="ka-GE"/>
        </w:rPr>
        <w:t xml:space="preserve"> </w:t>
      </w:r>
      <w:r w:rsidRPr="005556B3">
        <w:rPr>
          <w:rFonts w:ascii="Sylfaen" w:hAnsi="Sylfaen" w:cs="Sylfaen"/>
          <w:lang w:val="ka-GE"/>
        </w:rPr>
        <w:t>უფლების</w:t>
      </w:r>
      <w:r w:rsidRPr="005556B3">
        <w:rPr>
          <w:rFonts w:ascii="Sylfaen" w:hAnsi="Sylfaen"/>
          <w:lang w:val="ka-GE"/>
        </w:rPr>
        <w:t xml:space="preserve">) </w:t>
      </w:r>
      <w:r w:rsidRPr="005556B3">
        <w:rPr>
          <w:rFonts w:ascii="Sylfaen" w:hAnsi="Sylfaen" w:cs="Sylfaen"/>
          <w:lang w:val="ka-GE"/>
        </w:rPr>
        <w:t>შეძენა</w:t>
      </w:r>
      <w:r w:rsidRPr="005556B3">
        <w:rPr>
          <w:rFonts w:ascii="Sylfaen" w:hAnsi="Sylfaen"/>
          <w:lang w:val="ka-GE"/>
        </w:rPr>
        <w:t xml:space="preserve"> </w:t>
      </w:r>
      <w:r w:rsidRPr="005556B3">
        <w:rPr>
          <w:rFonts w:ascii="Sylfaen" w:hAnsi="Sylfaen" w:cs="Sylfaen"/>
          <w:lang w:val="ka-GE"/>
        </w:rPr>
        <w:t>ორმხრივი</w:t>
      </w:r>
      <w:r w:rsidRPr="005556B3">
        <w:rPr>
          <w:rFonts w:ascii="Sylfaen" w:hAnsi="Sylfaen"/>
          <w:lang w:val="ka-GE"/>
        </w:rPr>
        <w:t xml:space="preserve"> </w:t>
      </w:r>
      <w:r w:rsidRPr="005556B3">
        <w:rPr>
          <w:rFonts w:ascii="Sylfaen" w:hAnsi="Sylfaen" w:cs="Sylfaen"/>
          <w:lang w:val="ka-GE"/>
        </w:rPr>
        <w:t>ხელშეკრულების</w:t>
      </w:r>
      <w:r w:rsidRPr="005556B3">
        <w:rPr>
          <w:rFonts w:ascii="Sylfaen" w:hAnsi="Sylfaen"/>
          <w:lang w:val="ka-GE"/>
        </w:rPr>
        <w:t xml:space="preserve"> </w:t>
      </w:r>
      <w:r w:rsidRPr="005556B3">
        <w:rPr>
          <w:rFonts w:ascii="Sylfaen" w:hAnsi="Sylfaen" w:cs="Sylfaen"/>
          <w:lang w:val="ka-GE"/>
        </w:rPr>
        <w:t>საფუძველზე</w:t>
      </w:r>
      <w:r w:rsidRPr="005556B3">
        <w:rPr>
          <w:rFonts w:ascii="Sylfaen" w:hAnsi="Sylfaen"/>
          <w:lang w:val="ka-GE"/>
        </w:rPr>
        <w:t xml:space="preserve">, </w:t>
      </w:r>
      <w:r w:rsidRPr="005556B3">
        <w:rPr>
          <w:rFonts w:ascii="Sylfaen" w:hAnsi="Sylfaen" w:cs="Sylfaen"/>
          <w:lang w:val="ka-GE"/>
        </w:rPr>
        <w:t>ხოლო</w:t>
      </w:r>
      <w:r w:rsidRPr="005556B3">
        <w:rPr>
          <w:rFonts w:ascii="Sylfaen" w:hAnsi="Sylfaen"/>
          <w:lang w:val="ka-GE"/>
        </w:rPr>
        <w:t xml:space="preserve"> </w:t>
      </w:r>
      <w:r w:rsidRPr="005556B3">
        <w:rPr>
          <w:rFonts w:ascii="Sylfaen" w:hAnsi="Sylfaen" w:cs="Sylfaen"/>
          <w:lang w:val="ka-GE"/>
        </w:rPr>
        <w:t>რაც</w:t>
      </w:r>
      <w:r w:rsidRPr="005556B3">
        <w:rPr>
          <w:rFonts w:ascii="Sylfaen" w:hAnsi="Sylfaen"/>
          <w:lang w:val="ka-GE"/>
        </w:rPr>
        <w:t xml:space="preserve"> </w:t>
      </w:r>
      <w:r w:rsidRPr="005556B3">
        <w:rPr>
          <w:rFonts w:ascii="Sylfaen" w:hAnsi="Sylfaen" w:cs="Sylfaen"/>
          <w:lang w:val="ka-GE"/>
        </w:rPr>
        <w:t>შეეხება</w:t>
      </w:r>
      <w:r w:rsidRPr="005556B3">
        <w:rPr>
          <w:rFonts w:ascii="Sylfaen" w:hAnsi="Sylfaen"/>
          <w:lang w:val="ka-GE"/>
        </w:rPr>
        <w:t xml:space="preserve"> </w:t>
      </w:r>
      <w:r w:rsidRPr="005556B3">
        <w:rPr>
          <w:rFonts w:ascii="Sylfaen" w:hAnsi="Sylfaen" w:cs="Sylfaen"/>
          <w:lang w:val="ka-GE"/>
        </w:rPr>
        <w:t>სახელმწიფოს</w:t>
      </w:r>
      <w:r w:rsidRPr="005556B3">
        <w:rPr>
          <w:rFonts w:ascii="Sylfaen" w:hAnsi="Sylfaen"/>
          <w:lang w:val="ka-GE"/>
        </w:rPr>
        <w:t xml:space="preserve"> </w:t>
      </w:r>
      <w:r w:rsidRPr="005556B3">
        <w:rPr>
          <w:rFonts w:ascii="Sylfaen" w:hAnsi="Sylfaen" w:cs="Sylfaen"/>
          <w:lang w:val="ka-GE"/>
        </w:rPr>
        <w:t>უფლებას</w:t>
      </w:r>
      <w:r w:rsidRPr="005556B3">
        <w:rPr>
          <w:rFonts w:ascii="Sylfaen" w:hAnsi="Sylfaen"/>
          <w:lang w:val="ka-GE"/>
        </w:rPr>
        <w:t xml:space="preserve"> გამოიყენოს აუცილებელი საზოგადოებრივი საჭოროებისთვის ექსპროპრიაციის პროცედურები - აღნიშნული უნდა მოხდეს, მხოლოდ მესაკუთრეებთან (მფლობელებთან) ყველა მედიაციის საშუალების ამოწურვის შემდგომ, მხოლოდ უკიდურეს შემთხვევაში. </w:t>
      </w:r>
    </w:p>
    <w:p w14:paraId="59E8F9A7"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lastRenderedPageBreak/>
        <w:t xml:space="preserve">- </w:t>
      </w:r>
      <w:r w:rsidRPr="005556B3">
        <w:rPr>
          <w:rFonts w:ascii="Sylfaen" w:hAnsi="Sylfaen" w:cs="Sylfaen"/>
          <w:lang w:val="ka-GE"/>
        </w:rPr>
        <w:t>მშენებლობის</w:t>
      </w:r>
      <w:r w:rsidRPr="005556B3">
        <w:rPr>
          <w:rFonts w:ascii="Sylfaen" w:hAnsi="Sylfaen"/>
          <w:lang w:val="ka-GE"/>
        </w:rPr>
        <w:t xml:space="preserve"> </w:t>
      </w:r>
      <w:r w:rsidRPr="005556B3">
        <w:rPr>
          <w:rFonts w:ascii="Sylfaen" w:hAnsi="Sylfaen" w:cs="Sylfaen"/>
          <w:lang w:val="ka-GE"/>
        </w:rPr>
        <w:t>დასრულების</w:t>
      </w:r>
      <w:r w:rsidRPr="005556B3">
        <w:rPr>
          <w:rFonts w:ascii="Sylfaen" w:hAnsi="Sylfaen"/>
          <w:lang w:val="ka-GE"/>
        </w:rPr>
        <w:t xml:space="preserve"> </w:t>
      </w:r>
      <w:r w:rsidRPr="005556B3">
        <w:rPr>
          <w:rFonts w:ascii="Sylfaen" w:hAnsi="Sylfaen" w:cs="Sylfaen"/>
          <w:lang w:val="ka-GE"/>
        </w:rPr>
        <w:t>შემდეგ</w:t>
      </w:r>
      <w:r w:rsidRPr="005556B3">
        <w:rPr>
          <w:rFonts w:ascii="Sylfaen" w:hAnsi="Sylfaen"/>
          <w:lang w:val="ka-GE"/>
        </w:rPr>
        <w:t xml:space="preserve"> </w:t>
      </w:r>
      <w:r w:rsidRPr="005556B3">
        <w:rPr>
          <w:rFonts w:ascii="Sylfaen" w:hAnsi="Sylfaen" w:cs="Sylfaen"/>
          <w:lang w:val="ka-GE"/>
        </w:rPr>
        <w:t>მიწის</w:t>
      </w:r>
      <w:r w:rsidRPr="005556B3">
        <w:rPr>
          <w:rFonts w:ascii="Sylfaen" w:hAnsi="Sylfaen"/>
          <w:lang w:val="ka-GE"/>
        </w:rPr>
        <w:t xml:space="preserve"> </w:t>
      </w:r>
      <w:r w:rsidRPr="005556B3">
        <w:rPr>
          <w:rFonts w:ascii="Sylfaen" w:hAnsi="Sylfaen" w:cs="Sylfaen"/>
          <w:lang w:val="ka-GE"/>
        </w:rPr>
        <w:t>პირვანდელი</w:t>
      </w:r>
      <w:r w:rsidRPr="005556B3">
        <w:rPr>
          <w:rFonts w:ascii="Sylfaen" w:hAnsi="Sylfaen"/>
          <w:lang w:val="ka-GE"/>
        </w:rPr>
        <w:t xml:space="preserve"> </w:t>
      </w:r>
      <w:r w:rsidRPr="005556B3">
        <w:rPr>
          <w:rFonts w:ascii="Sylfaen" w:hAnsi="Sylfaen" w:cs="Sylfaen"/>
          <w:lang w:val="ka-GE"/>
        </w:rPr>
        <w:t>მდგომარეობის</w:t>
      </w:r>
      <w:r w:rsidRPr="005556B3">
        <w:rPr>
          <w:rFonts w:ascii="Sylfaen" w:hAnsi="Sylfaen"/>
          <w:lang w:val="ka-GE"/>
        </w:rPr>
        <w:t xml:space="preserve"> </w:t>
      </w:r>
      <w:r w:rsidRPr="005556B3">
        <w:rPr>
          <w:rFonts w:ascii="Sylfaen" w:hAnsi="Sylfaen" w:cs="Sylfaen"/>
          <w:lang w:val="ka-GE"/>
        </w:rPr>
        <w:t>მაქსიმალურად</w:t>
      </w:r>
      <w:r w:rsidRPr="005556B3">
        <w:rPr>
          <w:rFonts w:ascii="Sylfaen" w:hAnsi="Sylfaen"/>
          <w:lang w:val="ka-GE"/>
        </w:rPr>
        <w:t xml:space="preserve"> </w:t>
      </w:r>
      <w:r w:rsidRPr="005556B3">
        <w:rPr>
          <w:rFonts w:ascii="Sylfaen" w:hAnsi="Sylfaen" w:cs="Sylfaen"/>
          <w:lang w:val="ka-GE"/>
        </w:rPr>
        <w:t>აღდგენა</w:t>
      </w:r>
      <w:r w:rsidRPr="005556B3">
        <w:rPr>
          <w:rFonts w:ascii="Sylfaen" w:hAnsi="Sylfaen"/>
          <w:lang w:val="ka-GE"/>
        </w:rPr>
        <w:t xml:space="preserve">, </w:t>
      </w:r>
      <w:r w:rsidRPr="005556B3">
        <w:rPr>
          <w:rFonts w:ascii="Sylfaen" w:hAnsi="Sylfaen" w:cs="Sylfaen"/>
          <w:lang w:val="ka-GE"/>
        </w:rPr>
        <w:t>რათა</w:t>
      </w:r>
      <w:r w:rsidRPr="005556B3">
        <w:rPr>
          <w:rFonts w:ascii="Sylfaen" w:hAnsi="Sylfaen"/>
          <w:lang w:val="ka-GE"/>
        </w:rPr>
        <w:t xml:space="preserve"> </w:t>
      </w:r>
      <w:r w:rsidRPr="005556B3">
        <w:rPr>
          <w:rFonts w:ascii="Sylfaen" w:hAnsi="Sylfaen" w:cs="Sylfaen"/>
          <w:lang w:val="ka-GE"/>
        </w:rPr>
        <w:t>მიწის</w:t>
      </w:r>
      <w:r w:rsidRPr="005556B3">
        <w:rPr>
          <w:rFonts w:ascii="Sylfaen" w:hAnsi="Sylfaen"/>
          <w:lang w:val="ka-GE"/>
        </w:rPr>
        <w:t xml:space="preserve"> </w:t>
      </w:r>
      <w:r w:rsidRPr="005556B3">
        <w:rPr>
          <w:rFonts w:ascii="Sylfaen" w:hAnsi="Sylfaen" w:cs="Sylfaen"/>
          <w:lang w:val="ka-GE"/>
        </w:rPr>
        <w:t>მფლობელებს</w:t>
      </w:r>
      <w:r w:rsidRPr="005556B3">
        <w:rPr>
          <w:rFonts w:ascii="Sylfaen" w:hAnsi="Sylfaen"/>
          <w:lang w:val="ka-GE"/>
        </w:rPr>
        <w:t>/</w:t>
      </w:r>
      <w:r w:rsidRPr="005556B3">
        <w:rPr>
          <w:rFonts w:ascii="Sylfaen" w:hAnsi="Sylfaen" w:cs="Sylfaen"/>
          <w:lang w:val="ka-GE"/>
        </w:rPr>
        <w:t>მოსარგებლეებს</w:t>
      </w:r>
      <w:r w:rsidRPr="005556B3">
        <w:rPr>
          <w:rFonts w:ascii="Sylfaen" w:hAnsi="Sylfaen"/>
          <w:lang w:val="ka-GE"/>
        </w:rPr>
        <w:t>/</w:t>
      </w:r>
      <w:r w:rsidRPr="005556B3">
        <w:rPr>
          <w:rFonts w:ascii="Sylfaen" w:hAnsi="Sylfaen" w:cs="Sylfaen"/>
          <w:lang w:val="ka-GE"/>
        </w:rPr>
        <w:t>მოქირავნეებს</w:t>
      </w:r>
      <w:r w:rsidRPr="005556B3">
        <w:rPr>
          <w:rFonts w:ascii="Sylfaen" w:hAnsi="Sylfaen"/>
          <w:lang w:val="ka-GE"/>
        </w:rPr>
        <w:t xml:space="preserve"> </w:t>
      </w:r>
      <w:r w:rsidRPr="005556B3">
        <w:rPr>
          <w:rFonts w:ascii="Sylfaen" w:hAnsi="Sylfaen" w:cs="Sylfaen"/>
          <w:lang w:val="ka-GE"/>
        </w:rPr>
        <w:t>მიეცეთ</w:t>
      </w:r>
      <w:r w:rsidRPr="005556B3">
        <w:rPr>
          <w:rFonts w:ascii="Sylfaen" w:hAnsi="Sylfaen"/>
          <w:lang w:val="ka-GE"/>
        </w:rPr>
        <w:t xml:space="preserve"> </w:t>
      </w:r>
      <w:r w:rsidRPr="005556B3">
        <w:rPr>
          <w:rFonts w:ascii="Sylfaen" w:hAnsi="Sylfaen" w:cs="Sylfaen"/>
          <w:lang w:val="ka-GE"/>
        </w:rPr>
        <w:t>იმ</w:t>
      </w:r>
      <w:r w:rsidRPr="005556B3">
        <w:rPr>
          <w:rFonts w:ascii="Sylfaen" w:hAnsi="Sylfaen"/>
          <w:lang w:val="ka-GE"/>
        </w:rPr>
        <w:t xml:space="preserve"> </w:t>
      </w:r>
      <w:r w:rsidRPr="005556B3">
        <w:rPr>
          <w:rFonts w:ascii="Sylfaen" w:hAnsi="Sylfaen" w:cs="Sylfaen"/>
          <w:lang w:val="ka-GE"/>
        </w:rPr>
        <w:t>საქმიანობის</w:t>
      </w:r>
      <w:r w:rsidRPr="005556B3">
        <w:rPr>
          <w:rFonts w:ascii="Sylfaen" w:hAnsi="Sylfaen"/>
          <w:lang w:val="ka-GE"/>
        </w:rPr>
        <w:t xml:space="preserve"> </w:t>
      </w:r>
      <w:r w:rsidRPr="005556B3">
        <w:rPr>
          <w:rFonts w:ascii="Sylfaen" w:hAnsi="Sylfaen" w:cs="Sylfaen"/>
          <w:lang w:val="ka-GE"/>
        </w:rPr>
        <w:t>განახლების</w:t>
      </w:r>
      <w:r w:rsidRPr="005556B3">
        <w:rPr>
          <w:rFonts w:ascii="Sylfaen" w:hAnsi="Sylfaen"/>
          <w:lang w:val="ka-GE"/>
        </w:rPr>
        <w:t xml:space="preserve"> </w:t>
      </w:r>
      <w:r w:rsidRPr="005556B3">
        <w:rPr>
          <w:rFonts w:ascii="Sylfaen" w:hAnsi="Sylfaen" w:cs="Sylfaen"/>
          <w:lang w:val="ka-GE"/>
        </w:rPr>
        <w:t>საშუალება</w:t>
      </w:r>
      <w:r w:rsidRPr="005556B3">
        <w:rPr>
          <w:rFonts w:ascii="Sylfaen" w:hAnsi="Sylfaen"/>
          <w:lang w:val="ka-GE"/>
        </w:rPr>
        <w:t xml:space="preserve">, </w:t>
      </w:r>
      <w:r w:rsidRPr="005556B3">
        <w:rPr>
          <w:rFonts w:ascii="Sylfaen" w:hAnsi="Sylfaen" w:cs="Sylfaen"/>
          <w:lang w:val="ka-GE"/>
        </w:rPr>
        <w:t>რომლითაც</w:t>
      </w:r>
      <w:r w:rsidRPr="005556B3">
        <w:rPr>
          <w:rFonts w:ascii="Sylfaen" w:hAnsi="Sylfaen"/>
          <w:lang w:val="ka-GE"/>
        </w:rPr>
        <w:t xml:space="preserve"> </w:t>
      </w:r>
      <w:r w:rsidRPr="005556B3">
        <w:rPr>
          <w:rFonts w:ascii="Sylfaen" w:hAnsi="Sylfaen" w:cs="Sylfaen"/>
          <w:lang w:val="ka-GE"/>
        </w:rPr>
        <w:t>პროექტის</w:t>
      </w:r>
      <w:r w:rsidRPr="005556B3">
        <w:rPr>
          <w:rFonts w:ascii="Sylfaen" w:hAnsi="Sylfaen"/>
          <w:lang w:val="ka-GE"/>
        </w:rPr>
        <w:t xml:space="preserve"> </w:t>
      </w:r>
      <w:r w:rsidRPr="005556B3">
        <w:rPr>
          <w:rFonts w:ascii="Sylfaen" w:hAnsi="Sylfaen" w:cs="Sylfaen"/>
          <w:lang w:val="ka-GE"/>
        </w:rPr>
        <w:t>დაწყებამდე</w:t>
      </w:r>
      <w:r w:rsidRPr="005556B3">
        <w:rPr>
          <w:rFonts w:ascii="Sylfaen" w:hAnsi="Sylfaen"/>
          <w:lang w:val="ka-GE"/>
        </w:rPr>
        <w:t xml:space="preserve"> </w:t>
      </w:r>
      <w:r w:rsidRPr="005556B3">
        <w:rPr>
          <w:rFonts w:ascii="Sylfaen" w:hAnsi="Sylfaen" w:cs="Sylfaen"/>
          <w:lang w:val="ka-GE"/>
        </w:rPr>
        <w:t>იყვნენ</w:t>
      </w:r>
      <w:r w:rsidRPr="005556B3">
        <w:rPr>
          <w:rFonts w:ascii="Sylfaen" w:hAnsi="Sylfaen"/>
          <w:lang w:val="ka-GE"/>
        </w:rPr>
        <w:t xml:space="preserve"> </w:t>
      </w:r>
      <w:r w:rsidRPr="005556B3">
        <w:rPr>
          <w:rFonts w:ascii="Sylfaen" w:hAnsi="Sylfaen" w:cs="Sylfaen"/>
          <w:lang w:val="ka-GE"/>
        </w:rPr>
        <w:t>დაკავებულნი</w:t>
      </w:r>
      <w:r w:rsidRPr="005556B3">
        <w:rPr>
          <w:rFonts w:ascii="Sylfaen" w:hAnsi="Sylfaen"/>
          <w:lang w:val="ka-GE"/>
        </w:rPr>
        <w:t>;</w:t>
      </w:r>
    </w:p>
    <w:p w14:paraId="59BE68FD"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w:t>
      </w:r>
      <w:r w:rsidRPr="005556B3">
        <w:rPr>
          <w:rFonts w:ascii="Sylfaen" w:hAnsi="Sylfaen" w:cs="Sylfaen"/>
          <w:lang w:val="ka-GE"/>
        </w:rPr>
        <w:t>პროექტის</w:t>
      </w:r>
      <w:r w:rsidRPr="005556B3">
        <w:rPr>
          <w:rFonts w:ascii="Sylfaen" w:hAnsi="Sylfaen"/>
          <w:lang w:val="ka-GE"/>
        </w:rPr>
        <w:t xml:space="preserve"> </w:t>
      </w:r>
      <w:r w:rsidRPr="005556B3">
        <w:rPr>
          <w:rFonts w:ascii="Sylfaen" w:hAnsi="Sylfaen" w:cs="Sylfaen"/>
          <w:lang w:val="ka-GE"/>
        </w:rPr>
        <w:t>ზემოქმედების</w:t>
      </w:r>
      <w:r w:rsidRPr="005556B3">
        <w:rPr>
          <w:rFonts w:ascii="Sylfaen" w:hAnsi="Sylfaen"/>
          <w:lang w:val="ka-GE"/>
        </w:rPr>
        <w:t xml:space="preserve"> </w:t>
      </w:r>
      <w:r w:rsidRPr="005556B3">
        <w:rPr>
          <w:rFonts w:ascii="Sylfaen" w:hAnsi="Sylfaen" w:cs="Sylfaen"/>
          <w:lang w:val="ka-GE"/>
        </w:rPr>
        <w:t>ქვეშ</w:t>
      </w:r>
      <w:r w:rsidRPr="005556B3">
        <w:rPr>
          <w:rFonts w:ascii="Sylfaen" w:hAnsi="Sylfaen"/>
          <w:lang w:val="ka-GE"/>
        </w:rPr>
        <w:t xml:space="preserve"> </w:t>
      </w:r>
      <w:r w:rsidRPr="005556B3">
        <w:rPr>
          <w:rFonts w:ascii="Sylfaen" w:hAnsi="Sylfaen" w:cs="Sylfaen"/>
          <w:lang w:val="ka-GE"/>
        </w:rPr>
        <w:t>მყოფი</w:t>
      </w:r>
      <w:r w:rsidRPr="005556B3">
        <w:rPr>
          <w:rFonts w:ascii="Sylfaen" w:hAnsi="Sylfaen"/>
          <w:lang w:val="ka-GE"/>
        </w:rPr>
        <w:t xml:space="preserve"> </w:t>
      </w:r>
      <w:r w:rsidRPr="005556B3">
        <w:rPr>
          <w:rFonts w:ascii="Sylfaen" w:hAnsi="Sylfaen" w:cs="Sylfaen"/>
          <w:lang w:val="ka-GE"/>
        </w:rPr>
        <w:t>ადამიანებისა</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საზოგადოებების</w:t>
      </w:r>
      <w:r w:rsidRPr="005556B3">
        <w:rPr>
          <w:rFonts w:ascii="Sylfaen" w:hAnsi="Sylfaen"/>
          <w:lang w:val="ka-GE"/>
        </w:rPr>
        <w:t xml:space="preserve"> </w:t>
      </w:r>
      <w:r w:rsidRPr="005556B3">
        <w:rPr>
          <w:rFonts w:ascii="Sylfaen" w:hAnsi="Sylfaen" w:cs="Sylfaen"/>
          <w:lang w:val="ka-GE"/>
        </w:rPr>
        <w:t>სრული</w:t>
      </w:r>
      <w:r w:rsidRPr="005556B3">
        <w:rPr>
          <w:rFonts w:ascii="Sylfaen" w:hAnsi="Sylfaen"/>
          <w:lang w:val="ka-GE"/>
        </w:rPr>
        <w:t xml:space="preserve"> </w:t>
      </w:r>
      <w:r w:rsidRPr="005556B3">
        <w:rPr>
          <w:rFonts w:ascii="Sylfaen" w:hAnsi="Sylfaen" w:cs="Sylfaen"/>
          <w:lang w:val="ka-GE"/>
        </w:rPr>
        <w:t>ინფორმირება პროექტის</w:t>
      </w:r>
      <w:r w:rsidRPr="005556B3">
        <w:rPr>
          <w:rFonts w:ascii="Sylfaen" w:hAnsi="Sylfaen"/>
          <w:lang w:val="ka-GE"/>
        </w:rPr>
        <w:t xml:space="preserve">, </w:t>
      </w:r>
      <w:r w:rsidRPr="005556B3">
        <w:rPr>
          <w:rFonts w:ascii="Sylfaen" w:hAnsi="Sylfaen" w:cs="Sylfaen"/>
          <w:lang w:val="ka-GE"/>
        </w:rPr>
        <w:t>მიწის</w:t>
      </w:r>
      <w:r w:rsidRPr="005556B3">
        <w:rPr>
          <w:rFonts w:ascii="Sylfaen" w:hAnsi="Sylfaen"/>
          <w:lang w:val="ka-GE"/>
        </w:rPr>
        <w:t xml:space="preserve"> </w:t>
      </w:r>
      <w:r w:rsidRPr="005556B3">
        <w:rPr>
          <w:rFonts w:ascii="Sylfaen" w:hAnsi="Sylfaen" w:cs="Sylfaen"/>
          <w:lang w:val="ka-GE"/>
        </w:rPr>
        <w:t>შეძენისა</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კომპენსაციის</w:t>
      </w:r>
      <w:r w:rsidRPr="005556B3">
        <w:rPr>
          <w:rFonts w:ascii="Sylfaen" w:hAnsi="Sylfaen"/>
          <w:lang w:val="ka-GE"/>
        </w:rPr>
        <w:t xml:space="preserve"> </w:t>
      </w:r>
      <w:r w:rsidRPr="005556B3">
        <w:rPr>
          <w:rFonts w:ascii="Sylfaen" w:hAnsi="Sylfaen" w:cs="Sylfaen"/>
          <w:lang w:val="ka-GE"/>
        </w:rPr>
        <w:t>გაცემის</w:t>
      </w:r>
      <w:r w:rsidRPr="005556B3">
        <w:rPr>
          <w:rFonts w:ascii="Sylfaen" w:hAnsi="Sylfaen"/>
          <w:lang w:val="ka-GE"/>
        </w:rPr>
        <w:t xml:space="preserve"> </w:t>
      </w:r>
      <w:r w:rsidRPr="005556B3">
        <w:rPr>
          <w:rFonts w:ascii="Sylfaen" w:hAnsi="Sylfaen" w:cs="Sylfaen"/>
          <w:lang w:val="ka-GE"/>
        </w:rPr>
        <w:t>შემდგომი</w:t>
      </w:r>
      <w:r w:rsidRPr="005556B3">
        <w:rPr>
          <w:rFonts w:ascii="Sylfaen" w:hAnsi="Sylfaen"/>
          <w:lang w:val="ka-GE"/>
        </w:rPr>
        <w:t xml:space="preserve"> </w:t>
      </w:r>
      <w:r w:rsidRPr="005556B3">
        <w:rPr>
          <w:rFonts w:ascii="Sylfaen" w:hAnsi="Sylfaen" w:cs="Sylfaen"/>
          <w:lang w:val="ka-GE"/>
        </w:rPr>
        <w:t>პროცედურების</w:t>
      </w:r>
      <w:r w:rsidRPr="005556B3">
        <w:rPr>
          <w:rFonts w:ascii="Sylfaen" w:hAnsi="Sylfaen"/>
          <w:lang w:val="ka-GE"/>
        </w:rPr>
        <w:t xml:space="preserve"> </w:t>
      </w:r>
      <w:r w:rsidRPr="005556B3">
        <w:rPr>
          <w:rFonts w:ascii="Sylfaen" w:hAnsi="Sylfaen" w:cs="Sylfaen"/>
          <w:lang w:val="ka-GE"/>
        </w:rPr>
        <w:t>შესახებ</w:t>
      </w:r>
      <w:r w:rsidRPr="005556B3">
        <w:rPr>
          <w:rFonts w:ascii="Sylfaen" w:hAnsi="Sylfaen"/>
          <w:lang w:val="ka-GE"/>
        </w:rPr>
        <w:t xml:space="preserve">; </w:t>
      </w:r>
      <w:r w:rsidRPr="005556B3">
        <w:rPr>
          <w:rFonts w:ascii="Sylfaen" w:hAnsi="Sylfaen" w:cs="Sylfaen"/>
          <w:lang w:val="ka-GE"/>
        </w:rPr>
        <w:t>ასევე</w:t>
      </w:r>
      <w:r w:rsidRPr="005556B3">
        <w:rPr>
          <w:rFonts w:ascii="Sylfaen" w:hAnsi="Sylfaen"/>
          <w:lang w:val="ka-GE"/>
        </w:rPr>
        <w:t xml:space="preserve">, </w:t>
      </w:r>
      <w:r w:rsidRPr="005556B3">
        <w:rPr>
          <w:rFonts w:ascii="Sylfaen" w:hAnsi="Sylfaen" w:cs="Sylfaen"/>
          <w:lang w:val="ka-GE"/>
        </w:rPr>
        <w:t>მათი</w:t>
      </w:r>
      <w:r w:rsidRPr="005556B3">
        <w:rPr>
          <w:rFonts w:ascii="Sylfaen" w:hAnsi="Sylfaen"/>
          <w:lang w:val="ka-GE"/>
        </w:rPr>
        <w:t xml:space="preserve"> </w:t>
      </w:r>
      <w:r w:rsidRPr="005556B3">
        <w:rPr>
          <w:rFonts w:ascii="Sylfaen" w:hAnsi="Sylfaen" w:cs="Sylfaen"/>
          <w:lang w:val="ka-GE"/>
        </w:rPr>
        <w:t>ინფორმირება</w:t>
      </w:r>
      <w:r w:rsidRPr="005556B3">
        <w:rPr>
          <w:rFonts w:ascii="Sylfaen" w:hAnsi="Sylfaen"/>
          <w:lang w:val="ka-GE"/>
        </w:rPr>
        <w:t xml:space="preserve"> </w:t>
      </w:r>
      <w:r w:rsidRPr="005556B3">
        <w:rPr>
          <w:rFonts w:ascii="Sylfaen" w:hAnsi="Sylfaen" w:cs="Sylfaen"/>
          <w:lang w:val="ka-GE"/>
        </w:rPr>
        <w:t>მიწის ნაკვეთებთან</w:t>
      </w:r>
      <w:r w:rsidRPr="005556B3">
        <w:rPr>
          <w:rFonts w:ascii="Sylfaen" w:hAnsi="Sylfaen"/>
          <w:lang w:val="ka-GE"/>
        </w:rPr>
        <w:t xml:space="preserve"> </w:t>
      </w:r>
      <w:r w:rsidRPr="005556B3">
        <w:rPr>
          <w:rFonts w:ascii="Sylfaen" w:hAnsi="Sylfaen" w:cs="Sylfaen"/>
          <w:lang w:val="ka-GE"/>
        </w:rPr>
        <w:t>დაკავშირებული</w:t>
      </w:r>
      <w:r w:rsidRPr="005556B3">
        <w:rPr>
          <w:rFonts w:ascii="Sylfaen" w:hAnsi="Sylfaen"/>
          <w:lang w:val="ka-GE"/>
        </w:rPr>
        <w:t xml:space="preserve"> </w:t>
      </w:r>
      <w:r w:rsidRPr="005556B3">
        <w:rPr>
          <w:rFonts w:ascii="Sylfaen" w:hAnsi="Sylfaen" w:cs="Sylfaen"/>
          <w:lang w:val="ka-GE"/>
        </w:rPr>
        <w:t>უფლებებისა</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გასაჩივრების</w:t>
      </w:r>
      <w:r w:rsidRPr="005556B3">
        <w:rPr>
          <w:rFonts w:ascii="Sylfaen" w:hAnsi="Sylfaen"/>
          <w:lang w:val="ka-GE"/>
        </w:rPr>
        <w:t xml:space="preserve"> </w:t>
      </w:r>
      <w:r w:rsidRPr="005556B3">
        <w:rPr>
          <w:rFonts w:ascii="Sylfaen" w:hAnsi="Sylfaen" w:cs="Sylfaen"/>
          <w:lang w:val="ka-GE"/>
        </w:rPr>
        <w:t>მექანიზმების</w:t>
      </w:r>
      <w:r w:rsidRPr="005556B3">
        <w:rPr>
          <w:rFonts w:ascii="Sylfaen" w:hAnsi="Sylfaen"/>
          <w:lang w:val="ka-GE"/>
        </w:rPr>
        <w:t xml:space="preserve"> </w:t>
      </w:r>
      <w:r w:rsidRPr="005556B3">
        <w:rPr>
          <w:rFonts w:ascii="Sylfaen" w:hAnsi="Sylfaen" w:cs="Sylfaen"/>
          <w:lang w:val="ka-GE"/>
        </w:rPr>
        <w:t>შესახებ</w:t>
      </w:r>
      <w:r w:rsidRPr="005556B3">
        <w:rPr>
          <w:rFonts w:ascii="Sylfaen" w:hAnsi="Sylfaen"/>
          <w:lang w:val="ka-GE"/>
        </w:rPr>
        <w:t>.</w:t>
      </w:r>
    </w:p>
    <w:p w14:paraId="78CE8C45"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w:t>
      </w:r>
      <w:r w:rsidRPr="005556B3">
        <w:rPr>
          <w:rFonts w:ascii="Sylfaen" w:hAnsi="Sylfaen" w:cs="Sylfaen"/>
          <w:lang w:val="ka-GE"/>
        </w:rPr>
        <w:t>ზემოქმედების</w:t>
      </w:r>
      <w:r w:rsidRPr="005556B3">
        <w:rPr>
          <w:rFonts w:ascii="Sylfaen" w:hAnsi="Sylfaen"/>
          <w:lang w:val="ka-GE"/>
        </w:rPr>
        <w:t xml:space="preserve"> </w:t>
      </w:r>
      <w:r w:rsidRPr="005556B3">
        <w:rPr>
          <w:rFonts w:ascii="Sylfaen" w:hAnsi="Sylfaen" w:cs="Sylfaen"/>
          <w:lang w:val="ka-GE"/>
        </w:rPr>
        <w:t>ქვეშ</w:t>
      </w:r>
      <w:r w:rsidRPr="005556B3">
        <w:rPr>
          <w:rFonts w:ascii="Sylfaen" w:hAnsi="Sylfaen"/>
          <w:lang w:val="ka-GE"/>
        </w:rPr>
        <w:t xml:space="preserve"> </w:t>
      </w:r>
      <w:r w:rsidRPr="005556B3">
        <w:rPr>
          <w:rFonts w:ascii="Sylfaen" w:hAnsi="Sylfaen" w:cs="Sylfaen"/>
          <w:lang w:val="ka-GE"/>
        </w:rPr>
        <w:t>მყოფი</w:t>
      </w:r>
      <w:r w:rsidRPr="005556B3">
        <w:rPr>
          <w:rFonts w:ascii="Sylfaen" w:hAnsi="Sylfaen"/>
          <w:lang w:val="ka-GE"/>
        </w:rPr>
        <w:t xml:space="preserve"> </w:t>
      </w:r>
      <w:r w:rsidRPr="005556B3">
        <w:rPr>
          <w:rFonts w:ascii="Sylfaen" w:hAnsi="Sylfaen" w:cs="Sylfaen"/>
          <w:lang w:val="ka-GE"/>
        </w:rPr>
        <w:t>პირების</w:t>
      </w:r>
      <w:r w:rsidRPr="005556B3">
        <w:rPr>
          <w:rFonts w:ascii="Sylfaen" w:hAnsi="Sylfaen"/>
          <w:lang w:val="ka-GE"/>
        </w:rPr>
        <w:t xml:space="preserve"> </w:t>
      </w:r>
      <w:r w:rsidRPr="005556B3">
        <w:rPr>
          <w:rFonts w:ascii="Sylfaen" w:hAnsi="Sylfaen" w:cs="Sylfaen"/>
          <w:lang w:val="ka-GE"/>
        </w:rPr>
        <w:t>საჩივრების</w:t>
      </w:r>
      <w:r w:rsidRPr="005556B3">
        <w:rPr>
          <w:rFonts w:ascii="Sylfaen" w:hAnsi="Sylfaen"/>
          <w:lang w:val="ka-GE"/>
        </w:rPr>
        <w:t xml:space="preserve"> განხილვა, გადაწყვეტილების მიღება და </w:t>
      </w:r>
      <w:r w:rsidRPr="005556B3">
        <w:rPr>
          <w:rFonts w:ascii="Sylfaen" w:hAnsi="Sylfaen" w:cs="Sylfaen"/>
          <w:lang w:val="ka-GE"/>
        </w:rPr>
        <w:t>დაკმაყოფილება</w:t>
      </w:r>
      <w:r w:rsidRPr="005556B3">
        <w:rPr>
          <w:rFonts w:ascii="Sylfaen" w:hAnsi="Sylfaen"/>
          <w:lang w:val="ka-GE"/>
        </w:rPr>
        <w:t xml:space="preserve"> </w:t>
      </w:r>
      <w:r w:rsidRPr="005556B3">
        <w:rPr>
          <w:rFonts w:ascii="Sylfaen" w:hAnsi="Sylfaen" w:cs="Sylfaen"/>
          <w:lang w:val="ka-GE"/>
        </w:rPr>
        <w:t>მოხდეს</w:t>
      </w:r>
      <w:r w:rsidRPr="005556B3">
        <w:rPr>
          <w:rFonts w:ascii="Sylfaen" w:hAnsi="Sylfaen"/>
          <w:lang w:val="ka-GE"/>
        </w:rPr>
        <w:t xml:space="preserve"> </w:t>
      </w:r>
      <w:r w:rsidRPr="005556B3">
        <w:rPr>
          <w:rFonts w:ascii="Sylfaen" w:hAnsi="Sylfaen" w:cs="Sylfaen"/>
          <w:lang w:val="ka-GE"/>
        </w:rPr>
        <w:t>სამართლიანად</w:t>
      </w:r>
      <w:r w:rsidRPr="005556B3">
        <w:rPr>
          <w:rFonts w:ascii="Sylfaen" w:hAnsi="Sylfaen"/>
          <w:lang w:val="ka-GE"/>
        </w:rPr>
        <w:t xml:space="preserve"> </w:t>
      </w:r>
      <w:r w:rsidRPr="005556B3">
        <w:rPr>
          <w:rFonts w:ascii="Sylfaen" w:hAnsi="Sylfaen" w:cs="Sylfaen"/>
          <w:lang w:val="ka-GE"/>
        </w:rPr>
        <w:t>განსახლების</w:t>
      </w:r>
      <w:r w:rsidRPr="005556B3">
        <w:rPr>
          <w:rFonts w:ascii="Sylfaen" w:hAnsi="Sylfaen"/>
          <w:lang w:val="ka-GE"/>
        </w:rPr>
        <w:t xml:space="preserve"> </w:t>
      </w:r>
      <w:r w:rsidRPr="005556B3">
        <w:rPr>
          <w:rFonts w:ascii="Sylfaen" w:hAnsi="Sylfaen" w:cs="Sylfaen"/>
          <w:lang w:val="ka-GE"/>
        </w:rPr>
        <w:t>პოლიტიკის</w:t>
      </w:r>
      <w:r w:rsidRPr="005556B3">
        <w:rPr>
          <w:rFonts w:ascii="Sylfaen" w:hAnsi="Sylfaen"/>
          <w:lang w:val="ka-GE"/>
        </w:rPr>
        <w:t xml:space="preserve"> </w:t>
      </w:r>
      <w:r w:rsidRPr="005556B3">
        <w:rPr>
          <w:rFonts w:ascii="Sylfaen" w:hAnsi="Sylfaen" w:cs="Sylfaen"/>
          <w:lang w:val="ka-GE"/>
        </w:rPr>
        <w:t>წინამდებარე</w:t>
      </w:r>
      <w:r w:rsidRPr="005556B3">
        <w:rPr>
          <w:rFonts w:ascii="Sylfaen" w:hAnsi="Sylfaen"/>
          <w:lang w:val="ka-GE"/>
        </w:rPr>
        <w:t xml:space="preserve"> </w:t>
      </w:r>
      <w:r w:rsidRPr="005556B3">
        <w:rPr>
          <w:rFonts w:ascii="Sylfaen" w:hAnsi="Sylfaen" w:cs="Sylfaen"/>
          <w:lang w:val="ka-GE"/>
        </w:rPr>
        <w:t>ჩარჩოს</w:t>
      </w:r>
      <w:r w:rsidRPr="005556B3">
        <w:rPr>
          <w:rFonts w:ascii="Sylfaen" w:hAnsi="Sylfaen"/>
          <w:lang w:val="ka-GE"/>
        </w:rPr>
        <w:t xml:space="preserve"> </w:t>
      </w:r>
      <w:r w:rsidRPr="005556B3">
        <w:rPr>
          <w:rFonts w:ascii="Sylfaen" w:hAnsi="Sylfaen" w:cs="Sylfaen"/>
          <w:lang w:val="ka-GE"/>
        </w:rPr>
        <w:t>პრინციპების</w:t>
      </w:r>
      <w:r w:rsidRPr="005556B3">
        <w:rPr>
          <w:rFonts w:ascii="Sylfaen" w:hAnsi="Sylfaen"/>
          <w:lang w:val="ka-GE"/>
        </w:rPr>
        <w:t xml:space="preserve"> </w:t>
      </w:r>
      <w:r w:rsidRPr="005556B3">
        <w:rPr>
          <w:rFonts w:ascii="Sylfaen" w:hAnsi="Sylfaen" w:cs="Sylfaen"/>
          <w:lang w:val="ka-GE"/>
        </w:rPr>
        <w:t xml:space="preserve">დაცვით. </w:t>
      </w:r>
    </w:p>
    <w:p w14:paraId="26E83585"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w:t>
      </w:r>
      <w:r w:rsidRPr="005556B3">
        <w:rPr>
          <w:rFonts w:ascii="Sylfaen" w:hAnsi="Sylfaen" w:cs="Sylfaen"/>
          <w:lang w:val="ka-GE"/>
        </w:rPr>
        <w:t>ზემოქმედების</w:t>
      </w:r>
      <w:r w:rsidRPr="005556B3">
        <w:rPr>
          <w:rFonts w:ascii="Sylfaen" w:hAnsi="Sylfaen"/>
          <w:lang w:val="ka-GE"/>
        </w:rPr>
        <w:t xml:space="preserve"> </w:t>
      </w:r>
      <w:r w:rsidRPr="005556B3">
        <w:rPr>
          <w:rFonts w:ascii="Sylfaen" w:hAnsi="Sylfaen" w:cs="Sylfaen"/>
          <w:lang w:val="ka-GE"/>
        </w:rPr>
        <w:t>ქვეშ</w:t>
      </w:r>
      <w:r w:rsidRPr="005556B3">
        <w:rPr>
          <w:rFonts w:ascii="Sylfaen" w:hAnsi="Sylfaen"/>
          <w:lang w:val="ka-GE"/>
        </w:rPr>
        <w:t xml:space="preserve"> </w:t>
      </w:r>
      <w:r w:rsidRPr="005556B3">
        <w:rPr>
          <w:rFonts w:ascii="Sylfaen" w:hAnsi="Sylfaen" w:cs="Sylfaen"/>
          <w:lang w:val="ka-GE"/>
        </w:rPr>
        <w:t>მყოფმა</w:t>
      </w:r>
      <w:r w:rsidRPr="005556B3">
        <w:rPr>
          <w:rFonts w:ascii="Sylfaen" w:hAnsi="Sylfaen"/>
          <w:lang w:val="ka-GE"/>
        </w:rPr>
        <w:t xml:space="preserve"> </w:t>
      </w:r>
      <w:r w:rsidRPr="005556B3">
        <w:rPr>
          <w:rFonts w:ascii="Sylfaen" w:hAnsi="Sylfaen" w:cs="Sylfaen"/>
          <w:lang w:val="ka-GE"/>
        </w:rPr>
        <w:t>ყველა</w:t>
      </w:r>
      <w:r w:rsidRPr="005556B3">
        <w:rPr>
          <w:rFonts w:ascii="Sylfaen" w:hAnsi="Sylfaen"/>
          <w:lang w:val="ka-GE"/>
        </w:rPr>
        <w:t xml:space="preserve"> </w:t>
      </w:r>
      <w:r w:rsidRPr="005556B3">
        <w:rPr>
          <w:rFonts w:ascii="Sylfaen" w:hAnsi="Sylfaen" w:cs="Sylfaen"/>
          <w:lang w:val="ka-GE"/>
        </w:rPr>
        <w:t>პირმა</w:t>
      </w:r>
      <w:r w:rsidRPr="005556B3">
        <w:rPr>
          <w:rFonts w:ascii="Sylfaen" w:hAnsi="Sylfaen"/>
          <w:lang w:val="ka-GE"/>
        </w:rPr>
        <w:t xml:space="preserve">, </w:t>
      </w:r>
      <w:r w:rsidRPr="005556B3">
        <w:rPr>
          <w:rFonts w:ascii="Sylfaen" w:hAnsi="Sylfaen" w:cs="Sylfaen"/>
          <w:lang w:val="ka-GE"/>
        </w:rPr>
        <w:t>მიუხედავად</w:t>
      </w:r>
      <w:r w:rsidRPr="005556B3">
        <w:rPr>
          <w:rFonts w:ascii="Sylfaen" w:hAnsi="Sylfaen"/>
          <w:lang w:val="ka-GE"/>
        </w:rPr>
        <w:t xml:space="preserve"> </w:t>
      </w:r>
      <w:r w:rsidRPr="005556B3">
        <w:rPr>
          <w:rFonts w:ascii="Sylfaen" w:hAnsi="Sylfaen" w:cs="Sylfaen"/>
          <w:lang w:val="ka-GE"/>
        </w:rPr>
        <w:t>მისი</w:t>
      </w:r>
      <w:r w:rsidRPr="005556B3">
        <w:rPr>
          <w:rFonts w:ascii="Sylfaen" w:hAnsi="Sylfaen"/>
          <w:lang w:val="ka-GE"/>
        </w:rPr>
        <w:t xml:space="preserve"> </w:t>
      </w:r>
      <w:r w:rsidRPr="005556B3">
        <w:rPr>
          <w:rFonts w:ascii="Sylfaen" w:hAnsi="Sylfaen" w:cs="Sylfaen"/>
          <w:lang w:val="ka-GE"/>
        </w:rPr>
        <w:t>ქონების</w:t>
      </w:r>
      <w:r w:rsidRPr="005556B3">
        <w:rPr>
          <w:rFonts w:ascii="Sylfaen" w:hAnsi="Sylfaen"/>
          <w:lang w:val="ka-GE"/>
        </w:rPr>
        <w:t xml:space="preserve"> </w:t>
      </w:r>
      <w:r w:rsidRPr="005556B3">
        <w:rPr>
          <w:rFonts w:ascii="Sylfaen" w:hAnsi="Sylfaen" w:cs="Sylfaen"/>
          <w:lang w:val="ka-GE"/>
        </w:rPr>
        <w:t>იურიდიული</w:t>
      </w:r>
      <w:r w:rsidRPr="005556B3">
        <w:rPr>
          <w:rFonts w:ascii="Sylfaen" w:hAnsi="Sylfaen"/>
          <w:lang w:val="ka-GE"/>
        </w:rPr>
        <w:t xml:space="preserve"> </w:t>
      </w:r>
      <w:r w:rsidRPr="005556B3">
        <w:rPr>
          <w:rFonts w:ascii="Sylfaen" w:hAnsi="Sylfaen" w:cs="Sylfaen"/>
          <w:lang w:val="ka-GE"/>
        </w:rPr>
        <w:t>სტატუსისა</w:t>
      </w:r>
      <w:r w:rsidRPr="005556B3">
        <w:rPr>
          <w:rFonts w:ascii="Sylfaen" w:hAnsi="Sylfaen"/>
          <w:lang w:val="ka-GE"/>
        </w:rPr>
        <w:t xml:space="preserve">, უნდა </w:t>
      </w:r>
      <w:r w:rsidRPr="005556B3">
        <w:rPr>
          <w:rFonts w:ascii="Sylfaen" w:hAnsi="Sylfaen" w:cs="Sylfaen"/>
          <w:lang w:val="ka-GE"/>
        </w:rPr>
        <w:t>მიიღოს შესაბამისი კომპენსაცია,</w:t>
      </w:r>
      <w:r w:rsidRPr="005556B3">
        <w:rPr>
          <w:rFonts w:ascii="Sylfaen" w:hAnsi="Sylfaen"/>
          <w:lang w:val="ka-GE"/>
        </w:rPr>
        <w:t xml:space="preserve"> </w:t>
      </w:r>
      <w:r w:rsidRPr="005556B3">
        <w:rPr>
          <w:rFonts w:ascii="Sylfaen" w:hAnsi="Sylfaen" w:cs="Sylfaen"/>
          <w:lang w:val="ka-GE"/>
        </w:rPr>
        <w:t>რათა</w:t>
      </w:r>
      <w:r w:rsidRPr="005556B3">
        <w:rPr>
          <w:rFonts w:ascii="Sylfaen" w:hAnsi="Sylfaen"/>
          <w:lang w:val="ka-GE"/>
        </w:rPr>
        <w:t xml:space="preserve"> </w:t>
      </w:r>
      <w:r w:rsidRPr="005556B3">
        <w:rPr>
          <w:rFonts w:ascii="Sylfaen" w:hAnsi="Sylfaen" w:cs="Sylfaen"/>
          <w:lang w:val="ka-GE"/>
        </w:rPr>
        <w:t>შეძლოს</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შეინარჩუნოს</w:t>
      </w:r>
      <w:r w:rsidRPr="005556B3">
        <w:rPr>
          <w:rFonts w:ascii="Sylfaen" w:hAnsi="Sylfaen"/>
          <w:lang w:val="ka-GE"/>
        </w:rPr>
        <w:t xml:space="preserve"> </w:t>
      </w:r>
      <w:r w:rsidRPr="005556B3">
        <w:rPr>
          <w:rFonts w:ascii="Sylfaen" w:hAnsi="Sylfaen" w:cs="Sylfaen"/>
          <w:lang w:val="ka-GE"/>
        </w:rPr>
        <w:t>საარსებო</w:t>
      </w:r>
      <w:r w:rsidRPr="005556B3">
        <w:rPr>
          <w:rFonts w:ascii="Sylfaen" w:hAnsi="Sylfaen"/>
          <w:lang w:val="ka-GE"/>
        </w:rPr>
        <w:t xml:space="preserve"> </w:t>
      </w:r>
      <w:r w:rsidRPr="005556B3">
        <w:rPr>
          <w:rFonts w:ascii="Sylfaen" w:hAnsi="Sylfaen" w:cs="Sylfaen"/>
          <w:lang w:val="ka-GE"/>
        </w:rPr>
        <w:t>სახსრები</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უზრუნველყოს</w:t>
      </w:r>
      <w:r w:rsidRPr="005556B3">
        <w:rPr>
          <w:rFonts w:ascii="Sylfaen" w:hAnsi="Sylfaen"/>
          <w:lang w:val="ka-GE"/>
        </w:rPr>
        <w:t xml:space="preserve"> </w:t>
      </w:r>
      <w:r w:rsidRPr="005556B3">
        <w:rPr>
          <w:rFonts w:ascii="Sylfaen" w:hAnsi="Sylfaen" w:cs="Sylfaen"/>
          <w:lang w:val="ka-GE"/>
        </w:rPr>
        <w:t>უკეთესი</w:t>
      </w:r>
      <w:r w:rsidRPr="005556B3">
        <w:rPr>
          <w:rFonts w:ascii="Sylfaen" w:hAnsi="Sylfaen"/>
          <w:lang w:val="ka-GE"/>
        </w:rPr>
        <w:t xml:space="preserve"> </w:t>
      </w:r>
      <w:r w:rsidRPr="005556B3">
        <w:rPr>
          <w:rFonts w:ascii="Sylfaen" w:hAnsi="Sylfaen" w:cs="Sylfaen"/>
          <w:lang w:val="ka-GE"/>
        </w:rPr>
        <w:t>ცხოვრების</w:t>
      </w:r>
      <w:r w:rsidRPr="005556B3">
        <w:rPr>
          <w:rFonts w:ascii="Sylfaen" w:hAnsi="Sylfaen"/>
          <w:lang w:val="ka-GE"/>
        </w:rPr>
        <w:t xml:space="preserve"> </w:t>
      </w:r>
      <w:r w:rsidRPr="005556B3">
        <w:rPr>
          <w:rFonts w:ascii="Sylfaen" w:hAnsi="Sylfaen" w:cs="Sylfaen"/>
          <w:lang w:val="ka-GE"/>
        </w:rPr>
        <w:t>დონე</w:t>
      </w:r>
      <w:r w:rsidRPr="005556B3">
        <w:rPr>
          <w:rFonts w:ascii="Sylfaen" w:hAnsi="Sylfaen"/>
          <w:lang w:val="ka-GE"/>
        </w:rPr>
        <w:t xml:space="preserve">, </w:t>
      </w:r>
      <w:r w:rsidRPr="005556B3">
        <w:rPr>
          <w:rFonts w:ascii="Sylfaen" w:hAnsi="Sylfaen" w:cs="Sylfaen"/>
          <w:lang w:val="ka-GE"/>
        </w:rPr>
        <w:t>ვიდრე</w:t>
      </w:r>
      <w:r w:rsidRPr="005556B3">
        <w:rPr>
          <w:rFonts w:ascii="Sylfaen" w:hAnsi="Sylfaen"/>
          <w:lang w:val="ka-GE"/>
        </w:rPr>
        <w:t xml:space="preserve"> </w:t>
      </w:r>
      <w:r w:rsidRPr="005556B3">
        <w:rPr>
          <w:rFonts w:ascii="Sylfaen" w:hAnsi="Sylfaen" w:cs="Sylfaen"/>
          <w:lang w:val="ka-GE"/>
        </w:rPr>
        <w:t>მას</w:t>
      </w:r>
      <w:r w:rsidRPr="005556B3">
        <w:rPr>
          <w:rFonts w:ascii="Sylfaen" w:hAnsi="Sylfaen"/>
          <w:lang w:val="ka-GE"/>
        </w:rPr>
        <w:t xml:space="preserve"> </w:t>
      </w:r>
      <w:r w:rsidRPr="005556B3">
        <w:rPr>
          <w:rFonts w:ascii="Sylfaen" w:hAnsi="Sylfaen" w:cs="Sylfaen"/>
          <w:lang w:val="ka-GE"/>
        </w:rPr>
        <w:t>ჰქონდა</w:t>
      </w:r>
      <w:r w:rsidRPr="005556B3">
        <w:rPr>
          <w:rFonts w:ascii="Sylfaen" w:hAnsi="Sylfaen"/>
          <w:lang w:val="ka-GE"/>
        </w:rPr>
        <w:t xml:space="preserve"> </w:t>
      </w:r>
      <w:r w:rsidRPr="005556B3">
        <w:rPr>
          <w:rFonts w:ascii="Sylfaen" w:hAnsi="Sylfaen" w:cs="Sylfaen"/>
          <w:lang w:val="ka-GE"/>
        </w:rPr>
        <w:t>პროექტის</w:t>
      </w:r>
      <w:r w:rsidRPr="005556B3">
        <w:rPr>
          <w:rFonts w:ascii="Sylfaen" w:hAnsi="Sylfaen"/>
          <w:lang w:val="ka-GE"/>
        </w:rPr>
        <w:t xml:space="preserve"> </w:t>
      </w:r>
      <w:r w:rsidRPr="005556B3">
        <w:rPr>
          <w:rFonts w:ascii="Sylfaen" w:hAnsi="Sylfaen" w:cs="Sylfaen"/>
          <w:lang w:val="ka-GE"/>
        </w:rPr>
        <w:t>განხორციელებამდე</w:t>
      </w:r>
      <w:r w:rsidRPr="005556B3">
        <w:rPr>
          <w:rFonts w:ascii="Sylfaen" w:hAnsi="Sylfaen"/>
          <w:lang w:val="ka-GE"/>
        </w:rPr>
        <w:t xml:space="preserve">. </w:t>
      </w:r>
      <w:r w:rsidRPr="005556B3">
        <w:rPr>
          <w:rFonts w:ascii="Sylfaen" w:hAnsi="Sylfaen" w:cs="Sylfaen"/>
          <w:lang w:val="ka-GE"/>
        </w:rPr>
        <w:t>პირებზე</w:t>
      </w:r>
      <w:r w:rsidRPr="005556B3">
        <w:rPr>
          <w:rFonts w:ascii="Sylfaen" w:hAnsi="Sylfaen"/>
          <w:lang w:val="ka-GE"/>
        </w:rPr>
        <w:t xml:space="preserve">, </w:t>
      </w:r>
      <w:r w:rsidRPr="005556B3">
        <w:rPr>
          <w:rFonts w:ascii="Sylfaen" w:hAnsi="Sylfaen" w:cs="Sylfaen"/>
          <w:lang w:val="ka-GE"/>
        </w:rPr>
        <w:t>რომლებიც</w:t>
      </w:r>
      <w:r w:rsidRPr="005556B3">
        <w:rPr>
          <w:rFonts w:ascii="Sylfaen" w:hAnsi="Sylfaen"/>
          <w:lang w:val="ka-GE"/>
        </w:rPr>
        <w:t xml:space="preserve"> </w:t>
      </w:r>
      <w:r w:rsidRPr="005556B3">
        <w:rPr>
          <w:rFonts w:ascii="Sylfaen" w:hAnsi="Sylfaen" w:cs="Sylfaen"/>
          <w:lang w:val="ka-GE"/>
        </w:rPr>
        <w:t>უკანონოდ</w:t>
      </w:r>
      <w:r w:rsidRPr="005556B3">
        <w:rPr>
          <w:rFonts w:ascii="Sylfaen" w:hAnsi="Sylfaen"/>
          <w:lang w:val="ka-GE"/>
        </w:rPr>
        <w:t xml:space="preserve"> </w:t>
      </w:r>
      <w:r w:rsidRPr="005556B3">
        <w:rPr>
          <w:rFonts w:ascii="Sylfaen" w:hAnsi="Sylfaen" w:cs="Sylfaen"/>
          <w:lang w:val="ka-GE"/>
        </w:rPr>
        <w:t>ფლობენ</w:t>
      </w:r>
      <w:r w:rsidRPr="005556B3">
        <w:rPr>
          <w:rFonts w:ascii="Sylfaen" w:hAnsi="Sylfaen"/>
          <w:lang w:val="ka-GE"/>
        </w:rPr>
        <w:t xml:space="preserve"> </w:t>
      </w:r>
      <w:r w:rsidRPr="005556B3">
        <w:rPr>
          <w:rFonts w:ascii="Sylfaen" w:hAnsi="Sylfaen" w:cs="Sylfaen"/>
          <w:lang w:val="ka-GE"/>
        </w:rPr>
        <w:t>მიწის</w:t>
      </w:r>
      <w:r w:rsidRPr="005556B3">
        <w:rPr>
          <w:rFonts w:ascii="Sylfaen" w:hAnsi="Sylfaen"/>
          <w:lang w:val="ka-GE"/>
        </w:rPr>
        <w:t xml:space="preserve"> </w:t>
      </w:r>
      <w:r w:rsidRPr="005556B3">
        <w:rPr>
          <w:rFonts w:ascii="Sylfaen" w:hAnsi="Sylfaen" w:cs="Sylfaen"/>
          <w:lang w:val="ka-GE"/>
        </w:rPr>
        <w:t>ნაკვეთებს</w:t>
      </w:r>
      <w:r w:rsidRPr="005556B3">
        <w:rPr>
          <w:rFonts w:ascii="Sylfaen" w:hAnsi="Sylfaen"/>
          <w:lang w:val="ka-GE"/>
        </w:rPr>
        <w:t xml:space="preserve">, </w:t>
      </w:r>
      <w:r w:rsidRPr="005556B3">
        <w:rPr>
          <w:rFonts w:ascii="Sylfaen" w:hAnsi="Sylfaen" w:cs="Sylfaen"/>
          <w:lang w:val="ka-GE"/>
        </w:rPr>
        <w:t>არ</w:t>
      </w:r>
      <w:r w:rsidRPr="005556B3">
        <w:rPr>
          <w:rFonts w:ascii="Sylfaen" w:hAnsi="Sylfaen"/>
          <w:lang w:val="ka-GE"/>
        </w:rPr>
        <w:t xml:space="preserve"> </w:t>
      </w:r>
      <w:r w:rsidRPr="005556B3">
        <w:rPr>
          <w:rFonts w:ascii="Sylfaen" w:hAnsi="Sylfaen" w:cs="Sylfaen"/>
          <w:lang w:val="ka-GE"/>
        </w:rPr>
        <w:t>გაიცემა</w:t>
      </w:r>
      <w:r w:rsidRPr="005556B3">
        <w:rPr>
          <w:rFonts w:ascii="Sylfaen" w:hAnsi="Sylfaen"/>
          <w:lang w:val="ka-GE"/>
        </w:rPr>
        <w:t xml:space="preserve"> </w:t>
      </w:r>
      <w:r w:rsidRPr="005556B3">
        <w:rPr>
          <w:rFonts w:ascii="Sylfaen" w:hAnsi="Sylfaen" w:cs="Sylfaen"/>
          <w:lang w:val="ka-GE"/>
        </w:rPr>
        <w:t>კომპენსაცია</w:t>
      </w:r>
      <w:r w:rsidRPr="005556B3">
        <w:rPr>
          <w:rFonts w:ascii="Sylfaen" w:hAnsi="Sylfaen"/>
          <w:lang w:val="ka-GE"/>
        </w:rPr>
        <w:t xml:space="preserve"> </w:t>
      </w:r>
      <w:r w:rsidRPr="005556B3">
        <w:rPr>
          <w:rFonts w:ascii="Sylfaen" w:hAnsi="Sylfaen" w:cs="Sylfaen"/>
          <w:lang w:val="ka-GE"/>
        </w:rPr>
        <w:t>მიწის</w:t>
      </w:r>
      <w:r w:rsidRPr="005556B3">
        <w:rPr>
          <w:rFonts w:ascii="Sylfaen" w:hAnsi="Sylfaen"/>
          <w:lang w:val="ka-GE"/>
        </w:rPr>
        <w:t xml:space="preserve"> </w:t>
      </w:r>
      <w:r w:rsidRPr="005556B3">
        <w:rPr>
          <w:rFonts w:ascii="Sylfaen" w:hAnsi="Sylfaen" w:cs="Sylfaen"/>
          <w:lang w:val="ka-GE"/>
        </w:rPr>
        <w:t>დაკარგვის</w:t>
      </w:r>
      <w:r w:rsidRPr="005556B3">
        <w:rPr>
          <w:rFonts w:ascii="Sylfaen" w:hAnsi="Sylfaen"/>
          <w:lang w:val="ka-GE"/>
        </w:rPr>
        <w:t xml:space="preserve"> </w:t>
      </w:r>
      <w:r w:rsidRPr="005556B3">
        <w:rPr>
          <w:rFonts w:ascii="Sylfaen" w:hAnsi="Sylfaen" w:cs="Sylfaen"/>
          <w:lang w:val="ka-GE"/>
        </w:rPr>
        <w:t>გამო</w:t>
      </w:r>
      <w:r w:rsidRPr="005556B3">
        <w:rPr>
          <w:rFonts w:ascii="Sylfaen" w:hAnsi="Sylfaen"/>
          <w:lang w:val="ka-GE"/>
        </w:rPr>
        <w:t xml:space="preserve">, </w:t>
      </w:r>
      <w:r w:rsidRPr="005556B3">
        <w:rPr>
          <w:rFonts w:ascii="Sylfaen" w:hAnsi="Sylfaen" w:cs="Sylfaen"/>
          <w:lang w:val="ka-GE"/>
        </w:rPr>
        <w:t>მაგრამ</w:t>
      </w:r>
      <w:r w:rsidRPr="005556B3">
        <w:rPr>
          <w:rFonts w:ascii="Sylfaen" w:hAnsi="Sylfaen"/>
          <w:lang w:val="ka-GE"/>
        </w:rPr>
        <w:t xml:space="preserve"> </w:t>
      </w:r>
      <w:r w:rsidRPr="005556B3">
        <w:rPr>
          <w:rFonts w:ascii="Sylfaen" w:hAnsi="Sylfaen" w:cs="Sylfaen"/>
          <w:lang w:val="ka-GE"/>
        </w:rPr>
        <w:t>ისინი</w:t>
      </w:r>
      <w:r w:rsidRPr="005556B3">
        <w:rPr>
          <w:rFonts w:ascii="Sylfaen" w:hAnsi="Sylfaen"/>
          <w:lang w:val="ka-GE"/>
        </w:rPr>
        <w:t xml:space="preserve"> </w:t>
      </w:r>
      <w:r w:rsidRPr="005556B3">
        <w:rPr>
          <w:rFonts w:ascii="Sylfaen" w:hAnsi="Sylfaen" w:cs="Sylfaen"/>
          <w:lang w:val="ka-GE"/>
        </w:rPr>
        <w:t>მიიღებენ</w:t>
      </w:r>
      <w:r w:rsidRPr="005556B3">
        <w:rPr>
          <w:rFonts w:ascii="Sylfaen" w:hAnsi="Sylfaen"/>
          <w:lang w:val="ka-GE"/>
        </w:rPr>
        <w:t xml:space="preserve"> </w:t>
      </w:r>
      <w:r w:rsidRPr="005556B3">
        <w:rPr>
          <w:rFonts w:ascii="Sylfaen" w:hAnsi="Sylfaen" w:cs="Sylfaen"/>
          <w:lang w:val="ka-GE"/>
        </w:rPr>
        <w:t>კომპენსაციას</w:t>
      </w:r>
      <w:r w:rsidRPr="005556B3">
        <w:rPr>
          <w:rFonts w:ascii="Sylfaen" w:hAnsi="Sylfaen"/>
          <w:lang w:val="ka-GE"/>
        </w:rPr>
        <w:t xml:space="preserve"> </w:t>
      </w:r>
      <w:r w:rsidRPr="005556B3">
        <w:rPr>
          <w:rFonts w:ascii="Sylfaen" w:hAnsi="Sylfaen" w:cs="Sylfaen"/>
          <w:lang w:val="ka-GE"/>
        </w:rPr>
        <w:t>ისეთი</w:t>
      </w:r>
      <w:r w:rsidRPr="005556B3">
        <w:rPr>
          <w:rFonts w:ascii="Sylfaen" w:hAnsi="Sylfaen"/>
          <w:lang w:val="ka-GE"/>
        </w:rPr>
        <w:t xml:space="preserve"> </w:t>
      </w:r>
      <w:r w:rsidRPr="005556B3">
        <w:rPr>
          <w:rFonts w:ascii="Sylfaen" w:hAnsi="Sylfaen" w:cs="Sylfaen"/>
          <w:lang w:val="ka-GE"/>
        </w:rPr>
        <w:t>ქონების</w:t>
      </w:r>
      <w:r w:rsidRPr="005556B3">
        <w:rPr>
          <w:rFonts w:ascii="Sylfaen" w:hAnsi="Sylfaen"/>
          <w:lang w:val="ka-GE"/>
        </w:rPr>
        <w:t xml:space="preserve"> </w:t>
      </w:r>
      <w:r w:rsidRPr="005556B3">
        <w:rPr>
          <w:rFonts w:ascii="Sylfaen" w:hAnsi="Sylfaen" w:cs="Sylfaen"/>
          <w:lang w:val="ka-GE"/>
        </w:rPr>
        <w:t>დაკარგვის</w:t>
      </w:r>
      <w:r w:rsidRPr="005556B3">
        <w:rPr>
          <w:rFonts w:ascii="Sylfaen" w:hAnsi="Sylfaen"/>
          <w:lang w:val="ka-GE"/>
        </w:rPr>
        <w:t xml:space="preserve"> </w:t>
      </w:r>
      <w:r w:rsidRPr="005556B3">
        <w:rPr>
          <w:rFonts w:ascii="Sylfaen" w:hAnsi="Sylfaen" w:cs="Sylfaen"/>
          <w:lang w:val="ka-GE"/>
        </w:rPr>
        <w:t>გამო</w:t>
      </w:r>
      <w:r w:rsidRPr="005556B3">
        <w:rPr>
          <w:rFonts w:ascii="Sylfaen" w:hAnsi="Sylfaen"/>
          <w:lang w:val="ka-GE"/>
        </w:rPr>
        <w:t xml:space="preserve">, </w:t>
      </w:r>
      <w:r w:rsidRPr="005556B3">
        <w:rPr>
          <w:rFonts w:ascii="Sylfaen" w:hAnsi="Sylfaen" w:cs="Sylfaen"/>
          <w:lang w:val="ka-GE"/>
        </w:rPr>
        <w:t>რომელიც</w:t>
      </w:r>
      <w:r w:rsidRPr="005556B3">
        <w:rPr>
          <w:rFonts w:ascii="Sylfaen" w:hAnsi="Sylfaen"/>
          <w:lang w:val="ka-GE"/>
        </w:rPr>
        <w:t xml:space="preserve"> </w:t>
      </w:r>
      <w:r w:rsidRPr="005556B3">
        <w:rPr>
          <w:rFonts w:ascii="Sylfaen" w:hAnsi="Sylfaen" w:cs="Sylfaen"/>
          <w:lang w:val="ka-GE"/>
        </w:rPr>
        <w:t>მათ</w:t>
      </w:r>
      <w:r w:rsidRPr="005556B3">
        <w:rPr>
          <w:rFonts w:ascii="Sylfaen" w:hAnsi="Sylfaen"/>
          <w:lang w:val="ka-GE"/>
        </w:rPr>
        <w:t xml:space="preserve"> </w:t>
      </w:r>
      <w:r w:rsidRPr="005556B3">
        <w:rPr>
          <w:rFonts w:ascii="Sylfaen" w:hAnsi="Sylfaen" w:cs="Sylfaen"/>
          <w:lang w:val="ka-GE"/>
        </w:rPr>
        <w:t>შექმნეს</w:t>
      </w:r>
      <w:r w:rsidRPr="005556B3">
        <w:rPr>
          <w:rFonts w:ascii="Sylfaen" w:hAnsi="Sylfaen"/>
          <w:lang w:val="ka-GE"/>
        </w:rPr>
        <w:t xml:space="preserve"> </w:t>
      </w:r>
      <w:r w:rsidRPr="005556B3">
        <w:rPr>
          <w:rFonts w:ascii="Sylfaen" w:hAnsi="Sylfaen" w:cs="Sylfaen"/>
          <w:lang w:val="ka-GE"/>
        </w:rPr>
        <w:t>საკუთარი</w:t>
      </w:r>
      <w:r w:rsidRPr="005556B3">
        <w:rPr>
          <w:rFonts w:ascii="Sylfaen" w:hAnsi="Sylfaen"/>
          <w:lang w:val="ka-GE"/>
        </w:rPr>
        <w:t xml:space="preserve"> </w:t>
      </w:r>
      <w:r w:rsidRPr="005556B3">
        <w:rPr>
          <w:rFonts w:ascii="Sylfaen" w:hAnsi="Sylfaen" w:cs="Sylfaen"/>
          <w:lang w:val="ka-GE"/>
        </w:rPr>
        <w:t>სახსრებით</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ასევე</w:t>
      </w:r>
      <w:r w:rsidRPr="005556B3">
        <w:rPr>
          <w:rFonts w:ascii="Sylfaen" w:hAnsi="Sylfaen"/>
          <w:lang w:val="ka-GE"/>
        </w:rPr>
        <w:t xml:space="preserve">, </w:t>
      </w:r>
      <w:r w:rsidRPr="005556B3">
        <w:rPr>
          <w:rFonts w:ascii="Sylfaen" w:hAnsi="Sylfaen" w:cs="Sylfaen"/>
          <w:lang w:val="ka-GE"/>
        </w:rPr>
        <w:t>შემოსავლის</w:t>
      </w:r>
      <w:r w:rsidRPr="005556B3">
        <w:rPr>
          <w:rFonts w:ascii="Sylfaen" w:hAnsi="Sylfaen"/>
          <w:lang w:val="ka-GE"/>
        </w:rPr>
        <w:t xml:space="preserve"> </w:t>
      </w:r>
      <w:r w:rsidRPr="005556B3">
        <w:rPr>
          <w:rFonts w:ascii="Sylfaen" w:hAnsi="Sylfaen" w:cs="Sylfaen"/>
          <w:lang w:val="ka-GE"/>
        </w:rPr>
        <w:t>დაკარგვის</w:t>
      </w:r>
      <w:r w:rsidRPr="005556B3">
        <w:rPr>
          <w:rFonts w:ascii="Sylfaen" w:hAnsi="Sylfaen"/>
          <w:lang w:val="ka-GE"/>
        </w:rPr>
        <w:t xml:space="preserve"> </w:t>
      </w:r>
      <w:r w:rsidRPr="005556B3">
        <w:rPr>
          <w:rFonts w:ascii="Sylfaen" w:hAnsi="Sylfaen" w:cs="Sylfaen"/>
          <w:lang w:val="ka-GE"/>
        </w:rPr>
        <w:t>გამო</w:t>
      </w:r>
      <w:r w:rsidRPr="005556B3">
        <w:rPr>
          <w:rFonts w:ascii="Sylfaen" w:hAnsi="Sylfaen"/>
          <w:lang w:val="ka-GE"/>
        </w:rPr>
        <w:t xml:space="preserve"> </w:t>
      </w:r>
      <w:r w:rsidRPr="005556B3">
        <w:rPr>
          <w:rFonts w:ascii="Sylfaen" w:hAnsi="Sylfaen" w:cs="Sylfaen"/>
          <w:lang w:val="ka-GE"/>
        </w:rPr>
        <w:t>იმგვარად</w:t>
      </w:r>
      <w:r w:rsidRPr="005556B3">
        <w:rPr>
          <w:rFonts w:ascii="Sylfaen" w:hAnsi="Sylfaen"/>
          <w:lang w:val="ka-GE"/>
        </w:rPr>
        <w:t xml:space="preserve">, </w:t>
      </w:r>
      <w:r w:rsidRPr="005556B3">
        <w:rPr>
          <w:rFonts w:ascii="Sylfaen" w:hAnsi="Sylfaen" w:cs="Sylfaen"/>
          <w:lang w:val="ka-GE"/>
        </w:rPr>
        <w:t>რომ</w:t>
      </w:r>
      <w:r w:rsidRPr="005556B3">
        <w:rPr>
          <w:rFonts w:ascii="Sylfaen" w:hAnsi="Sylfaen"/>
          <w:lang w:val="ka-GE"/>
        </w:rPr>
        <w:t xml:space="preserve"> </w:t>
      </w:r>
      <w:r w:rsidRPr="005556B3">
        <w:rPr>
          <w:rFonts w:ascii="Sylfaen" w:hAnsi="Sylfaen" w:cs="Sylfaen"/>
          <w:lang w:val="ka-GE"/>
        </w:rPr>
        <w:t>მათ</w:t>
      </w:r>
      <w:r w:rsidRPr="005556B3">
        <w:rPr>
          <w:rFonts w:ascii="Sylfaen" w:hAnsi="Sylfaen"/>
          <w:lang w:val="ka-GE"/>
        </w:rPr>
        <w:t xml:space="preserve"> </w:t>
      </w:r>
      <w:r w:rsidRPr="005556B3">
        <w:rPr>
          <w:rFonts w:ascii="Sylfaen" w:hAnsi="Sylfaen" w:cs="Sylfaen"/>
          <w:lang w:val="ka-GE"/>
        </w:rPr>
        <w:t>გაეწიოთ</w:t>
      </w:r>
      <w:r w:rsidRPr="005556B3">
        <w:rPr>
          <w:rFonts w:ascii="Sylfaen" w:hAnsi="Sylfaen"/>
          <w:lang w:val="ka-GE"/>
        </w:rPr>
        <w:t xml:space="preserve"> </w:t>
      </w:r>
      <w:r w:rsidRPr="005556B3">
        <w:rPr>
          <w:rFonts w:ascii="Sylfaen" w:hAnsi="Sylfaen" w:cs="Sylfaen"/>
          <w:lang w:val="ka-GE"/>
        </w:rPr>
        <w:t>დახმარება</w:t>
      </w:r>
      <w:r w:rsidRPr="005556B3">
        <w:rPr>
          <w:rFonts w:ascii="Sylfaen" w:hAnsi="Sylfaen"/>
          <w:lang w:val="ka-GE"/>
        </w:rPr>
        <w:t xml:space="preserve">, </w:t>
      </w:r>
      <w:r w:rsidRPr="005556B3">
        <w:rPr>
          <w:rFonts w:ascii="Sylfaen" w:hAnsi="Sylfaen" w:cs="Sylfaen"/>
          <w:lang w:val="ka-GE"/>
        </w:rPr>
        <w:t>შეინარჩუნონ</w:t>
      </w:r>
      <w:r w:rsidRPr="005556B3">
        <w:rPr>
          <w:rFonts w:ascii="Sylfaen" w:hAnsi="Sylfaen"/>
          <w:lang w:val="ka-GE"/>
        </w:rPr>
        <w:t xml:space="preserve"> </w:t>
      </w:r>
      <w:r w:rsidRPr="005556B3">
        <w:rPr>
          <w:rFonts w:ascii="Sylfaen" w:hAnsi="Sylfaen" w:cs="Sylfaen"/>
          <w:lang w:val="ka-GE"/>
        </w:rPr>
        <w:t>საარსებო</w:t>
      </w:r>
      <w:r w:rsidRPr="005556B3">
        <w:rPr>
          <w:rFonts w:ascii="Sylfaen" w:hAnsi="Sylfaen"/>
          <w:lang w:val="ka-GE"/>
        </w:rPr>
        <w:t xml:space="preserve"> </w:t>
      </w:r>
      <w:r w:rsidRPr="005556B3">
        <w:rPr>
          <w:rFonts w:ascii="Sylfaen" w:hAnsi="Sylfaen" w:cs="Sylfaen"/>
          <w:lang w:val="ka-GE"/>
        </w:rPr>
        <w:t>სახსრები</w:t>
      </w:r>
      <w:r w:rsidRPr="005556B3">
        <w:rPr>
          <w:rFonts w:ascii="Sylfaen" w:hAnsi="Sylfaen"/>
          <w:lang w:val="ka-GE"/>
        </w:rPr>
        <w:t xml:space="preserve">. </w:t>
      </w:r>
      <w:r w:rsidRPr="005556B3">
        <w:rPr>
          <w:rFonts w:ascii="Sylfaen" w:hAnsi="Sylfaen" w:cs="Sylfaen"/>
          <w:lang w:val="ka-GE"/>
        </w:rPr>
        <w:t>განსახორციელებელი</w:t>
      </w:r>
      <w:r w:rsidRPr="005556B3">
        <w:rPr>
          <w:rFonts w:ascii="Sylfaen" w:hAnsi="Sylfaen"/>
          <w:lang w:val="ka-GE"/>
        </w:rPr>
        <w:t xml:space="preserve"> </w:t>
      </w:r>
      <w:r w:rsidRPr="005556B3">
        <w:rPr>
          <w:rFonts w:ascii="Sylfaen" w:hAnsi="Sylfaen" w:cs="Sylfaen"/>
          <w:lang w:val="ka-GE"/>
        </w:rPr>
        <w:t>დეტალური</w:t>
      </w:r>
      <w:r w:rsidRPr="005556B3">
        <w:rPr>
          <w:rFonts w:ascii="Sylfaen" w:hAnsi="Sylfaen"/>
          <w:lang w:val="ka-GE"/>
        </w:rPr>
        <w:t xml:space="preserve"> </w:t>
      </w:r>
      <w:r w:rsidRPr="005556B3">
        <w:rPr>
          <w:rFonts w:ascii="Sylfaen" w:hAnsi="Sylfaen" w:cs="Sylfaen"/>
          <w:lang w:val="ka-GE"/>
        </w:rPr>
        <w:t>ზომები</w:t>
      </w:r>
      <w:r w:rsidRPr="005556B3">
        <w:rPr>
          <w:rFonts w:ascii="Sylfaen" w:hAnsi="Sylfaen"/>
          <w:lang w:val="ka-GE"/>
        </w:rPr>
        <w:t xml:space="preserve"> </w:t>
      </w:r>
      <w:r w:rsidRPr="005556B3">
        <w:rPr>
          <w:rFonts w:ascii="Sylfaen" w:hAnsi="Sylfaen" w:cs="Sylfaen"/>
          <w:lang w:val="ka-GE"/>
        </w:rPr>
        <w:t>განისაზღვრება</w:t>
      </w:r>
      <w:r w:rsidRPr="005556B3">
        <w:rPr>
          <w:rFonts w:ascii="Sylfaen" w:hAnsi="Sylfaen"/>
          <w:lang w:val="ka-GE"/>
        </w:rPr>
        <w:t xml:space="preserve"> </w:t>
      </w:r>
      <w:r w:rsidRPr="005556B3">
        <w:rPr>
          <w:rFonts w:ascii="Sylfaen" w:hAnsi="Sylfaen" w:cs="Sylfaen"/>
          <w:lang w:val="ka-GE"/>
        </w:rPr>
        <w:t>აღწერსა</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სოციალურ</w:t>
      </w:r>
      <w:r w:rsidRPr="005556B3">
        <w:rPr>
          <w:rFonts w:ascii="Sylfaen" w:hAnsi="Sylfaen"/>
          <w:lang w:val="ka-GE"/>
        </w:rPr>
        <w:t>-</w:t>
      </w:r>
      <w:r w:rsidRPr="005556B3">
        <w:rPr>
          <w:rFonts w:ascii="Sylfaen" w:hAnsi="Sylfaen" w:cs="Sylfaen"/>
          <w:lang w:val="ka-GE"/>
        </w:rPr>
        <w:t>ეკონომიკური</w:t>
      </w:r>
      <w:r w:rsidRPr="005556B3">
        <w:rPr>
          <w:rFonts w:ascii="Sylfaen" w:hAnsi="Sylfaen"/>
          <w:lang w:val="ka-GE"/>
        </w:rPr>
        <w:t xml:space="preserve"> </w:t>
      </w:r>
      <w:r w:rsidRPr="005556B3">
        <w:rPr>
          <w:rFonts w:ascii="Sylfaen" w:hAnsi="Sylfaen" w:cs="Sylfaen"/>
          <w:lang w:val="ka-GE"/>
        </w:rPr>
        <w:t>კვლევის</w:t>
      </w:r>
      <w:r w:rsidRPr="005556B3">
        <w:rPr>
          <w:rFonts w:ascii="Sylfaen" w:hAnsi="Sylfaen"/>
          <w:lang w:val="ka-GE"/>
        </w:rPr>
        <w:t xml:space="preserve"> </w:t>
      </w:r>
      <w:r w:rsidRPr="005556B3">
        <w:rPr>
          <w:rFonts w:ascii="Sylfaen" w:hAnsi="Sylfaen" w:cs="Sylfaen"/>
          <w:lang w:val="ka-GE"/>
        </w:rPr>
        <w:t>საფუძველზე</w:t>
      </w:r>
      <w:r w:rsidRPr="005556B3">
        <w:rPr>
          <w:rFonts w:ascii="Sylfaen" w:hAnsi="Sylfaen"/>
          <w:lang w:val="ka-GE"/>
        </w:rPr>
        <w:t xml:space="preserve">, </w:t>
      </w:r>
      <w:r w:rsidRPr="005556B3">
        <w:rPr>
          <w:rFonts w:ascii="Sylfaen" w:hAnsi="Sylfaen" w:cs="Sylfaen"/>
          <w:lang w:val="ka-GE"/>
        </w:rPr>
        <w:t>რომელიც</w:t>
      </w:r>
      <w:r w:rsidRPr="005556B3">
        <w:rPr>
          <w:rFonts w:ascii="Sylfaen" w:hAnsi="Sylfaen"/>
          <w:lang w:val="ka-GE"/>
        </w:rPr>
        <w:t xml:space="preserve"> </w:t>
      </w:r>
      <w:r w:rsidRPr="005556B3">
        <w:rPr>
          <w:rFonts w:ascii="Sylfaen" w:hAnsi="Sylfaen" w:cs="Sylfaen"/>
          <w:lang w:val="ka-GE"/>
        </w:rPr>
        <w:t>ჩატარდება</w:t>
      </w:r>
      <w:r w:rsidRPr="005556B3">
        <w:rPr>
          <w:rFonts w:ascii="Sylfaen" w:hAnsi="Sylfaen"/>
          <w:lang w:val="ka-GE"/>
        </w:rPr>
        <w:t xml:space="preserve"> </w:t>
      </w:r>
      <w:r w:rsidRPr="005556B3">
        <w:rPr>
          <w:rFonts w:ascii="Sylfaen" w:hAnsi="Sylfaen" w:cs="Sylfaen"/>
          <w:lang w:val="ka-GE"/>
        </w:rPr>
        <w:t>განსახლების</w:t>
      </w:r>
      <w:r w:rsidRPr="005556B3">
        <w:rPr>
          <w:rFonts w:ascii="Sylfaen" w:hAnsi="Sylfaen"/>
          <w:lang w:val="ka-GE"/>
        </w:rPr>
        <w:t xml:space="preserve"> </w:t>
      </w:r>
      <w:r w:rsidRPr="005556B3">
        <w:rPr>
          <w:rFonts w:ascii="Sylfaen" w:hAnsi="Sylfaen" w:cs="Sylfaen"/>
          <w:lang w:val="ka-GE"/>
        </w:rPr>
        <w:t>სამოქმედო</w:t>
      </w:r>
      <w:r w:rsidRPr="005556B3">
        <w:rPr>
          <w:rFonts w:ascii="Sylfaen" w:hAnsi="Sylfaen"/>
          <w:lang w:val="ka-GE"/>
        </w:rPr>
        <w:t xml:space="preserve"> </w:t>
      </w:r>
      <w:r w:rsidRPr="005556B3">
        <w:rPr>
          <w:rFonts w:ascii="Sylfaen" w:hAnsi="Sylfaen" w:cs="Sylfaen"/>
          <w:lang w:val="ka-GE"/>
        </w:rPr>
        <w:t>გეგმის</w:t>
      </w:r>
      <w:r w:rsidRPr="005556B3">
        <w:rPr>
          <w:rFonts w:ascii="Sylfaen" w:hAnsi="Sylfaen"/>
          <w:lang w:val="ka-GE"/>
        </w:rPr>
        <w:t xml:space="preserve"> </w:t>
      </w:r>
      <w:r w:rsidRPr="005556B3">
        <w:rPr>
          <w:rFonts w:ascii="Sylfaen" w:hAnsi="Sylfaen" w:cs="Sylfaen"/>
          <w:lang w:val="ka-GE"/>
        </w:rPr>
        <w:t>მომზადების</w:t>
      </w:r>
      <w:r w:rsidRPr="005556B3">
        <w:rPr>
          <w:rFonts w:ascii="Sylfaen" w:hAnsi="Sylfaen"/>
          <w:lang w:val="ka-GE"/>
        </w:rPr>
        <w:t xml:space="preserve"> </w:t>
      </w:r>
      <w:r w:rsidRPr="005556B3">
        <w:rPr>
          <w:rFonts w:ascii="Sylfaen" w:hAnsi="Sylfaen" w:cs="Sylfaen"/>
          <w:lang w:val="ka-GE"/>
        </w:rPr>
        <w:t>პროცესში</w:t>
      </w:r>
      <w:r w:rsidRPr="005556B3">
        <w:rPr>
          <w:rFonts w:ascii="Sylfaen" w:hAnsi="Sylfaen"/>
          <w:lang w:val="ka-GE"/>
        </w:rPr>
        <w:t xml:space="preserve">. </w:t>
      </w:r>
    </w:p>
    <w:p w14:paraId="3559EBEF"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w:t>
      </w:r>
      <w:r w:rsidRPr="005556B3">
        <w:rPr>
          <w:rFonts w:ascii="Sylfaen" w:hAnsi="Sylfaen" w:cs="Sylfaen"/>
          <w:lang w:val="ka-GE"/>
        </w:rPr>
        <w:t>ზმქ</w:t>
      </w:r>
      <w:r w:rsidRPr="005556B3">
        <w:rPr>
          <w:rFonts w:ascii="Sylfaen" w:hAnsi="Sylfaen"/>
          <w:lang w:val="ka-GE"/>
        </w:rPr>
        <w:t xml:space="preserve"> </w:t>
      </w:r>
      <w:r w:rsidRPr="005556B3">
        <w:rPr>
          <w:rFonts w:ascii="Sylfaen" w:hAnsi="Sylfaen" w:cs="Sylfaen"/>
          <w:lang w:val="ka-GE"/>
        </w:rPr>
        <w:t>პირს</w:t>
      </w:r>
      <w:r w:rsidRPr="005556B3">
        <w:rPr>
          <w:rFonts w:ascii="Sylfaen" w:hAnsi="Sylfaen"/>
          <w:lang w:val="ka-GE"/>
        </w:rPr>
        <w:t xml:space="preserve"> </w:t>
      </w:r>
      <w:r w:rsidRPr="005556B3">
        <w:rPr>
          <w:rFonts w:ascii="Sylfaen" w:hAnsi="Sylfaen" w:cs="Sylfaen"/>
          <w:lang w:val="ka-GE"/>
        </w:rPr>
        <w:t>ეცნობება</w:t>
      </w:r>
      <w:r w:rsidRPr="005556B3">
        <w:rPr>
          <w:rFonts w:ascii="Sylfaen" w:hAnsi="Sylfaen"/>
          <w:lang w:val="ka-GE"/>
        </w:rPr>
        <w:t xml:space="preserve"> </w:t>
      </w:r>
      <w:r w:rsidRPr="005556B3">
        <w:rPr>
          <w:rFonts w:ascii="Sylfaen" w:hAnsi="Sylfaen" w:cs="Sylfaen"/>
          <w:lang w:val="ka-GE"/>
        </w:rPr>
        <w:t>პროექტის</w:t>
      </w:r>
      <w:r w:rsidRPr="005556B3">
        <w:rPr>
          <w:rFonts w:ascii="Sylfaen" w:hAnsi="Sylfaen"/>
          <w:lang w:val="ka-GE"/>
        </w:rPr>
        <w:t xml:space="preserve"> </w:t>
      </w:r>
      <w:r w:rsidRPr="005556B3">
        <w:rPr>
          <w:rFonts w:ascii="Sylfaen" w:hAnsi="Sylfaen" w:cs="Sylfaen"/>
          <w:lang w:val="ka-GE"/>
        </w:rPr>
        <w:t>განხორციელების</w:t>
      </w:r>
      <w:r w:rsidRPr="005556B3">
        <w:rPr>
          <w:rFonts w:ascii="Sylfaen" w:hAnsi="Sylfaen"/>
          <w:lang w:val="ka-GE"/>
        </w:rPr>
        <w:t xml:space="preserve"> </w:t>
      </w:r>
      <w:r w:rsidRPr="005556B3">
        <w:rPr>
          <w:rFonts w:ascii="Sylfaen" w:hAnsi="Sylfaen" w:cs="Sylfaen"/>
          <w:lang w:val="ka-GE"/>
        </w:rPr>
        <w:t>გრაფიკი</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გაეწევა</w:t>
      </w:r>
      <w:r w:rsidRPr="005556B3">
        <w:rPr>
          <w:rFonts w:ascii="Sylfaen" w:hAnsi="Sylfaen"/>
          <w:lang w:val="ka-GE"/>
        </w:rPr>
        <w:t xml:space="preserve"> </w:t>
      </w:r>
      <w:r w:rsidRPr="005556B3">
        <w:rPr>
          <w:rFonts w:ascii="Sylfaen" w:hAnsi="Sylfaen" w:cs="Sylfaen"/>
          <w:lang w:val="ka-GE"/>
        </w:rPr>
        <w:t>კონსულტაცია</w:t>
      </w:r>
      <w:r w:rsidRPr="005556B3">
        <w:rPr>
          <w:rFonts w:ascii="Sylfaen" w:hAnsi="Sylfaen"/>
          <w:lang w:val="ka-GE"/>
        </w:rPr>
        <w:t xml:space="preserve"> </w:t>
      </w:r>
      <w:r w:rsidRPr="005556B3">
        <w:rPr>
          <w:rFonts w:ascii="Sylfaen" w:hAnsi="Sylfaen" w:cs="Sylfaen"/>
          <w:lang w:val="ka-GE"/>
        </w:rPr>
        <w:t>მიწის</w:t>
      </w:r>
      <w:r w:rsidRPr="005556B3">
        <w:rPr>
          <w:rFonts w:ascii="Sylfaen" w:hAnsi="Sylfaen"/>
          <w:lang w:val="ka-GE"/>
        </w:rPr>
        <w:t xml:space="preserve"> </w:t>
      </w:r>
      <w:r w:rsidRPr="005556B3">
        <w:rPr>
          <w:rFonts w:ascii="Sylfaen" w:hAnsi="Sylfaen" w:cs="Sylfaen"/>
          <w:lang w:val="ka-GE"/>
        </w:rPr>
        <w:t>შესყიდვასთან</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აქტივების</w:t>
      </w:r>
      <w:r w:rsidRPr="005556B3">
        <w:rPr>
          <w:rFonts w:ascii="Sylfaen" w:hAnsi="Sylfaen"/>
          <w:lang w:val="ka-GE"/>
        </w:rPr>
        <w:t xml:space="preserve"> </w:t>
      </w:r>
      <w:r w:rsidRPr="005556B3">
        <w:rPr>
          <w:rFonts w:ascii="Sylfaen" w:hAnsi="Sylfaen" w:cs="Sylfaen"/>
          <w:lang w:val="ka-GE"/>
        </w:rPr>
        <w:t>დაკარგვასა</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დაზიანებასთან</w:t>
      </w:r>
      <w:r w:rsidRPr="005556B3">
        <w:rPr>
          <w:rFonts w:ascii="Sylfaen" w:hAnsi="Sylfaen"/>
          <w:lang w:val="ka-GE"/>
        </w:rPr>
        <w:t xml:space="preserve"> </w:t>
      </w:r>
      <w:r w:rsidRPr="005556B3">
        <w:rPr>
          <w:rFonts w:ascii="Sylfaen" w:hAnsi="Sylfaen" w:cs="Sylfaen"/>
          <w:lang w:val="ka-GE"/>
        </w:rPr>
        <w:t>დაკავშირებულ</w:t>
      </w:r>
      <w:r w:rsidRPr="005556B3">
        <w:rPr>
          <w:rFonts w:ascii="Sylfaen" w:hAnsi="Sylfaen"/>
          <w:lang w:val="ka-GE"/>
        </w:rPr>
        <w:t xml:space="preserve"> </w:t>
      </w:r>
      <w:r w:rsidRPr="005556B3">
        <w:rPr>
          <w:rFonts w:ascii="Sylfaen" w:hAnsi="Sylfaen" w:cs="Sylfaen"/>
          <w:lang w:val="ka-GE"/>
        </w:rPr>
        <w:t>საკითხებზე</w:t>
      </w:r>
      <w:r w:rsidRPr="005556B3">
        <w:rPr>
          <w:rFonts w:ascii="Sylfaen" w:hAnsi="Sylfaen"/>
          <w:lang w:val="ka-GE"/>
        </w:rPr>
        <w:t xml:space="preserve">. </w:t>
      </w:r>
    </w:p>
    <w:p w14:paraId="55BD07A4"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w:t>
      </w:r>
      <w:r w:rsidRPr="005556B3">
        <w:rPr>
          <w:rFonts w:ascii="Sylfaen" w:hAnsi="Sylfaen" w:cs="Sylfaen"/>
          <w:lang w:val="ka-GE"/>
        </w:rPr>
        <w:t>ისეთი</w:t>
      </w:r>
      <w:r w:rsidRPr="005556B3">
        <w:rPr>
          <w:rFonts w:ascii="Sylfaen" w:hAnsi="Sylfaen"/>
          <w:lang w:val="ka-GE"/>
        </w:rPr>
        <w:t xml:space="preserve"> </w:t>
      </w:r>
      <w:r w:rsidRPr="005556B3">
        <w:rPr>
          <w:rFonts w:ascii="Sylfaen" w:hAnsi="Sylfaen" w:cs="Sylfaen"/>
          <w:lang w:val="ka-GE"/>
        </w:rPr>
        <w:t>აქტივების</w:t>
      </w:r>
      <w:r w:rsidRPr="005556B3">
        <w:rPr>
          <w:rFonts w:ascii="Sylfaen" w:hAnsi="Sylfaen"/>
          <w:lang w:val="ka-GE"/>
        </w:rPr>
        <w:t xml:space="preserve"> </w:t>
      </w:r>
      <w:r w:rsidRPr="005556B3">
        <w:rPr>
          <w:rFonts w:ascii="Sylfaen" w:hAnsi="Sylfaen" w:cs="Sylfaen"/>
          <w:lang w:val="ka-GE"/>
        </w:rPr>
        <w:t>ზარალი</w:t>
      </w:r>
      <w:r w:rsidRPr="005556B3">
        <w:rPr>
          <w:rFonts w:ascii="Sylfaen" w:hAnsi="Sylfaen"/>
          <w:lang w:val="ka-GE"/>
        </w:rPr>
        <w:t xml:space="preserve">, </w:t>
      </w:r>
      <w:r w:rsidRPr="005556B3">
        <w:rPr>
          <w:rFonts w:ascii="Sylfaen" w:hAnsi="Sylfaen" w:cs="Sylfaen"/>
          <w:lang w:val="ka-GE"/>
        </w:rPr>
        <w:t>როგორიცაა</w:t>
      </w:r>
      <w:r w:rsidRPr="005556B3">
        <w:rPr>
          <w:rFonts w:ascii="Sylfaen" w:hAnsi="Sylfaen"/>
          <w:lang w:val="ka-GE"/>
        </w:rPr>
        <w:t xml:space="preserve"> </w:t>
      </w:r>
      <w:r w:rsidRPr="005556B3">
        <w:rPr>
          <w:rFonts w:ascii="Sylfaen" w:hAnsi="Sylfaen" w:cs="Sylfaen"/>
          <w:lang w:val="ka-GE"/>
        </w:rPr>
        <w:t>მაგალითად</w:t>
      </w:r>
      <w:r w:rsidRPr="005556B3">
        <w:rPr>
          <w:rFonts w:ascii="Sylfaen" w:hAnsi="Sylfaen"/>
          <w:lang w:val="ka-GE"/>
        </w:rPr>
        <w:t xml:space="preserve">, </w:t>
      </w:r>
      <w:r w:rsidRPr="005556B3">
        <w:rPr>
          <w:rFonts w:ascii="Sylfaen" w:hAnsi="Sylfaen" w:cs="Sylfaen"/>
          <w:lang w:val="ka-GE"/>
        </w:rPr>
        <w:t>მსხმოიარე</w:t>
      </w:r>
      <w:r w:rsidRPr="005556B3">
        <w:rPr>
          <w:rFonts w:ascii="Sylfaen" w:hAnsi="Sylfaen"/>
          <w:lang w:val="ka-GE"/>
        </w:rPr>
        <w:t xml:space="preserve"> </w:t>
      </w:r>
      <w:r w:rsidRPr="005556B3">
        <w:rPr>
          <w:rFonts w:ascii="Sylfaen" w:hAnsi="Sylfaen" w:cs="Sylfaen"/>
          <w:lang w:val="ka-GE"/>
        </w:rPr>
        <w:t>სასოფლო</w:t>
      </w:r>
      <w:r w:rsidRPr="005556B3">
        <w:rPr>
          <w:rFonts w:ascii="Sylfaen" w:hAnsi="Sylfaen"/>
          <w:lang w:val="ka-GE"/>
        </w:rPr>
        <w:t>-</w:t>
      </w:r>
      <w:r w:rsidRPr="005556B3">
        <w:rPr>
          <w:rFonts w:ascii="Sylfaen" w:hAnsi="Sylfaen" w:cs="Sylfaen"/>
          <w:lang w:val="ka-GE"/>
        </w:rPr>
        <w:t>სამეურნეო</w:t>
      </w:r>
      <w:r w:rsidRPr="005556B3">
        <w:rPr>
          <w:rFonts w:ascii="Sylfaen" w:hAnsi="Sylfaen"/>
          <w:lang w:val="ka-GE"/>
        </w:rPr>
        <w:t xml:space="preserve"> </w:t>
      </w:r>
      <w:r w:rsidRPr="005556B3">
        <w:rPr>
          <w:rFonts w:ascii="Sylfaen" w:hAnsi="Sylfaen" w:cs="Sylfaen"/>
          <w:lang w:val="ka-GE"/>
        </w:rPr>
        <w:t>კულტურები</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ხეები</w:t>
      </w:r>
      <w:r w:rsidRPr="005556B3">
        <w:rPr>
          <w:rFonts w:ascii="Sylfaen" w:hAnsi="Sylfaen"/>
          <w:lang w:val="ka-GE"/>
        </w:rPr>
        <w:t xml:space="preserve">, </w:t>
      </w:r>
      <w:r w:rsidRPr="005556B3">
        <w:rPr>
          <w:rFonts w:ascii="Sylfaen" w:hAnsi="Sylfaen" w:cs="Sylfaen"/>
          <w:lang w:val="ka-GE"/>
        </w:rPr>
        <w:t>ღობეები</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ჯიხურები</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შემოსავლის</w:t>
      </w:r>
      <w:r w:rsidRPr="005556B3">
        <w:rPr>
          <w:rFonts w:ascii="Sylfaen" w:hAnsi="Sylfaen"/>
          <w:lang w:val="ka-GE"/>
        </w:rPr>
        <w:t xml:space="preserve"> </w:t>
      </w:r>
      <w:r w:rsidRPr="005556B3">
        <w:rPr>
          <w:rFonts w:ascii="Sylfaen" w:hAnsi="Sylfaen" w:cs="Sylfaen"/>
          <w:lang w:val="ka-GE"/>
        </w:rPr>
        <w:t>დაკარგვა</w:t>
      </w:r>
      <w:r w:rsidRPr="005556B3">
        <w:rPr>
          <w:rFonts w:ascii="Sylfaen" w:hAnsi="Sylfaen"/>
          <w:lang w:val="ka-GE"/>
        </w:rPr>
        <w:t xml:space="preserve">, </w:t>
      </w:r>
      <w:r w:rsidRPr="005556B3">
        <w:rPr>
          <w:rFonts w:ascii="Sylfaen" w:hAnsi="Sylfaen" w:cs="Sylfaen"/>
          <w:lang w:val="ka-GE"/>
        </w:rPr>
        <w:t>მათ</w:t>
      </w:r>
      <w:r w:rsidRPr="005556B3">
        <w:rPr>
          <w:rFonts w:ascii="Sylfaen" w:hAnsi="Sylfaen"/>
          <w:lang w:val="ka-GE"/>
        </w:rPr>
        <w:t xml:space="preserve"> </w:t>
      </w:r>
      <w:r w:rsidRPr="005556B3">
        <w:rPr>
          <w:rFonts w:ascii="Sylfaen" w:hAnsi="Sylfaen" w:cs="Sylfaen"/>
          <w:lang w:val="ka-GE"/>
        </w:rPr>
        <w:t>შორის</w:t>
      </w:r>
      <w:r w:rsidRPr="005556B3">
        <w:rPr>
          <w:rFonts w:ascii="Sylfaen" w:hAnsi="Sylfaen"/>
          <w:lang w:val="ka-GE"/>
        </w:rPr>
        <w:t xml:space="preserve"> </w:t>
      </w:r>
      <w:r w:rsidRPr="005556B3">
        <w:rPr>
          <w:rFonts w:ascii="Sylfaen" w:hAnsi="Sylfaen" w:cs="Sylfaen"/>
          <w:lang w:val="ka-GE"/>
        </w:rPr>
        <w:t>მოსავლის</w:t>
      </w:r>
      <w:r w:rsidRPr="005556B3">
        <w:rPr>
          <w:rFonts w:ascii="Sylfaen" w:hAnsi="Sylfaen"/>
          <w:lang w:val="ka-GE"/>
        </w:rPr>
        <w:t xml:space="preserve"> </w:t>
      </w:r>
      <w:r w:rsidRPr="005556B3">
        <w:rPr>
          <w:rFonts w:ascii="Sylfaen" w:hAnsi="Sylfaen" w:cs="Sylfaen"/>
          <w:lang w:val="ka-GE"/>
        </w:rPr>
        <w:t>დაკარგვა</w:t>
      </w:r>
      <w:r w:rsidRPr="005556B3">
        <w:rPr>
          <w:rFonts w:ascii="Sylfaen" w:hAnsi="Sylfaen"/>
          <w:lang w:val="ka-GE"/>
        </w:rPr>
        <w:t xml:space="preserve">, </w:t>
      </w:r>
      <w:r w:rsidRPr="005556B3">
        <w:rPr>
          <w:rFonts w:ascii="Sylfaen" w:hAnsi="Sylfaen" w:cs="Sylfaen"/>
          <w:lang w:val="ka-GE"/>
        </w:rPr>
        <w:t>მინიმუმამდე</w:t>
      </w:r>
      <w:r w:rsidRPr="005556B3">
        <w:rPr>
          <w:rFonts w:ascii="Sylfaen" w:hAnsi="Sylfaen"/>
          <w:lang w:val="ka-GE"/>
        </w:rPr>
        <w:t xml:space="preserve"> </w:t>
      </w:r>
      <w:r w:rsidRPr="005556B3">
        <w:rPr>
          <w:rFonts w:ascii="Sylfaen" w:hAnsi="Sylfaen" w:cs="Sylfaen"/>
          <w:lang w:val="ka-GE"/>
        </w:rPr>
        <w:t>იქნება</w:t>
      </w:r>
      <w:r w:rsidRPr="005556B3">
        <w:rPr>
          <w:rFonts w:ascii="Sylfaen" w:hAnsi="Sylfaen"/>
          <w:lang w:val="ka-GE"/>
        </w:rPr>
        <w:t xml:space="preserve"> </w:t>
      </w:r>
      <w:r w:rsidRPr="005556B3">
        <w:rPr>
          <w:rFonts w:ascii="Sylfaen" w:hAnsi="Sylfaen" w:cs="Sylfaen"/>
          <w:lang w:val="ka-GE"/>
        </w:rPr>
        <w:t>დაყვანილი</w:t>
      </w:r>
      <w:r w:rsidRPr="005556B3">
        <w:rPr>
          <w:rFonts w:ascii="Sylfaen" w:hAnsi="Sylfaen"/>
          <w:lang w:val="ka-GE"/>
        </w:rPr>
        <w:t xml:space="preserve">, </w:t>
      </w:r>
      <w:r w:rsidRPr="005556B3">
        <w:rPr>
          <w:rFonts w:ascii="Sylfaen" w:hAnsi="Sylfaen" w:cs="Sylfaen"/>
          <w:lang w:val="ka-GE"/>
        </w:rPr>
        <w:t>ხოლო</w:t>
      </w:r>
      <w:r w:rsidRPr="005556B3">
        <w:rPr>
          <w:rFonts w:ascii="Sylfaen" w:hAnsi="Sylfaen"/>
          <w:lang w:val="ka-GE"/>
        </w:rPr>
        <w:t xml:space="preserve"> </w:t>
      </w:r>
      <w:r w:rsidRPr="005556B3">
        <w:rPr>
          <w:rFonts w:ascii="Sylfaen" w:hAnsi="Sylfaen" w:cs="Sylfaen"/>
          <w:lang w:val="ka-GE"/>
        </w:rPr>
        <w:t>თუ</w:t>
      </w:r>
      <w:r w:rsidRPr="005556B3">
        <w:rPr>
          <w:rFonts w:ascii="Sylfaen" w:hAnsi="Sylfaen"/>
          <w:lang w:val="ka-GE"/>
        </w:rPr>
        <w:t xml:space="preserve"> </w:t>
      </w:r>
      <w:r w:rsidRPr="005556B3">
        <w:rPr>
          <w:rFonts w:ascii="Sylfaen" w:hAnsi="Sylfaen" w:cs="Sylfaen"/>
          <w:lang w:val="ka-GE"/>
        </w:rPr>
        <w:t>ასეთი</w:t>
      </w:r>
      <w:r w:rsidRPr="005556B3">
        <w:rPr>
          <w:rFonts w:ascii="Sylfaen" w:hAnsi="Sylfaen"/>
          <w:lang w:val="ka-GE"/>
        </w:rPr>
        <w:t xml:space="preserve"> </w:t>
      </w:r>
      <w:r w:rsidRPr="005556B3">
        <w:rPr>
          <w:rFonts w:ascii="Sylfaen" w:hAnsi="Sylfaen" w:cs="Sylfaen"/>
          <w:lang w:val="ka-GE"/>
        </w:rPr>
        <w:t>ზარალი</w:t>
      </w:r>
      <w:r w:rsidRPr="005556B3">
        <w:rPr>
          <w:rFonts w:ascii="Sylfaen" w:hAnsi="Sylfaen"/>
          <w:lang w:val="ka-GE"/>
        </w:rPr>
        <w:t xml:space="preserve"> </w:t>
      </w:r>
      <w:r w:rsidRPr="005556B3">
        <w:rPr>
          <w:rFonts w:ascii="Sylfaen" w:hAnsi="Sylfaen" w:cs="Sylfaen"/>
          <w:lang w:val="ka-GE"/>
        </w:rPr>
        <w:t>გარდაუვალია</w:t>
      </w:r>
      <w:r w:rsidRPr="005556B3">
        <w:rPr>
          <w:rFonts w:ascii="Sylfaen" w:hAnsi="Sylfaen"/>
          <w:lang w:val="ka-GE"/>
        </w:rPr>
        <w:t xml:space="preserve">, </w:t>
      </w:r>
      <w:r w:rsidRPr="005556B3">
        <w:rPr>
          <w:rFonts w:ascii="Sylfaen" w:hAnsi="Sylfaen" w:cs="Sylfaen"/>
          <w:lang w:val="ka-GE"/>
        </w:rPr>
        <w:t>მოხდება</w:t>
      </w:r>
      <w:r w:rsidRPr="005556B3">
        <w:rPr>
          <w:rFonts w:ascii="Sylfaen" w:hAnsi="Sylfaen"/>
          <w:lang w:val="ka-GE"/>
        </w:rPr>
        <w:t xml:space="preserve"> </w:t>
      </w:r>
      <w:r w:rsidRPr="005556B3">
        <w:rPr>
          <w:rFonts w:ascii="Sylfaen" w:hAnsi="Sylfaen" w:cs="Sylfaen"/>
          <w:lang w:val="ka-GE"/>
        </w:rPr>
        <w:t>მისი</w:t>
      </w:r>
      <w:r w:rsidRPr="005556B3">
        <w:rPr>
          <w:rFonts w:ascii="Sylfaen" w:hAnsi="Sylfaen"/>
          <w:lang w:val="ka-GE"/>
        </w:rPr>
        <w:t xml:space="preserve"> </w:t>
      </w:r>
      <w:r w:rsidRPr="005556B3">
        <w:rPr>
          <w:rFonts w:ascii="Sylfaen" w:hAnsi="Sylfaen" w:cs="Sylfaen"/>
          <w:lang w:val="ka-GE"/>
        </w:rPr>
        <w:t>კომპენსაცია</w:t>
      </w:r>
      <w:r w:rsidRPr="005556B3">
        <w:rPr>
          <w:rFonts w:ascii="Sylfaen" w:hAnsi="Sylfaen"/>
          <w:lang w:val="ka-GE"/>
        </w:rPr>
        <w:t xml:space="preserve"> </w:t>
      </w:r>
      <w:r w:rsidRPr="005556B3">
        <w:rPr>
          <w:rFonts w:ascii="Sylfaen" w:hAnsi="Sylfaen" w:cs="Sylfaen"/>
          <w:lang w:val="ka-GE"/>
        </w:rPr>
        <w:t>საკუთრების</w:t>
      </w:r>
      <w:r w:rsidRPr="005556B3">
        <w:rPr>
          <w:rFonts w:ascii="Sylfaen" w:hAnsi="Sylfaen"/>
          <w:lang w:val="ka-GE"/>
        </w:rPr>
        <w:t xml:space="preserve"> </w:t>
      </w:r>
      <w:r w:rsidRPr="005556B3">
        <w:rPr>
          <w:rFonts w:ascii="Sylfaen" w:hAnsi="Sylfaen" w:cs="Sylfaen"/>
          <w:lang w:val="ka-GE"/>
        </w:rPr>
        <w:t>იურიდიული</w:t>
      </w:r>
      <w:r w:rsidRPr="005556B3">
        <w:rPr>
          <w:rFonts w:ascii="Sylfaen" w:hAnsi="Sylfaen"/>
          <w:lang w:val="ka-GE"/>
        </w:rPr>
        <w:t xml:space="preserve"> </w:t>
      </w:r>
      <w:r w:rsidRPr="005556B3">
        <w:rPr>
          <w:rFonts w:ascii="Sylfaen" w:hAnsi="Sylfaen" w:cs="Sylfaen"/>
          <w:lang w:val="ka-GE"/>
        </w:rPr>
        <w:t>სტატუსის</w:t>
      </w:r>
      <w:r w:rsidRPr="005556B3">
        <w:rPr>
          <w:rFonts w:ascii="Sylfaen" w:hAnsi="Sylfaen"/>
          <w:lang w:val="ka-GE"/>
        </w:rPr>
        <w:t xml:space="preserve"> </w:t>
      </w:r>
      <w:r w:rsidRPr="005556B3">
        <w:rPr>
          <w:rFonts w:ascii="Sylfaen" w:hAnsi="Sylfaen" w:cs="Sylfaen"/>
          <w:lang w:val="ka-GE"/>
        </w:rPr>
        <w:t>მიუხედავად</w:t>
      </w:r>
      <w:r w:rsidRPr="005556B3">
        <w:rPr>
          <w:rFonts w:ascii="Sylfaen" w:hAnsi="Sylfaen"/>
          <w:lang w:val="ka-GE"/>
        </w:rPr>
        <w:t xml:space="preserve">, RPF  </w:t>
      </w:r>
      <w:r w:rsidRPr="005556B3">
        <w:rPr>
          <w:rFonts w:ascii="Sylfaen" w:hAnsi="Sylfaen" w:cs="Sylfaen"/>
          <w:lang w:val="ka-GE"/>
        </w:rPr>
        <w:t>დოკუმენტით</w:t>
      </w:r>
      <w:r w:rsidRPr="005556B3">
        <w:rPr>
          <w:rFonts w:ascii="Sylfaen" w:hAnsi="Sylfaen"/>
          <w:lang w:val="ka-GE"/>
        </w:rPr>
        <w:t xml:space="preserve"> </w:t>
      </w:r>
      <w:r w:rsidRPr="005556B3">
        <w:rPr>
          <w:rFonts w:ascii="Sylfaen" w:hAnsi="Sylfaen" w:cs="Sylfaen"/>
          <w:lang w:val="ka-GE"/>
        </w:rPr>
        <w:t>მოცემული</w:t>
      </w:r>
      <w:r w:rsidRPr="005556B3">
        <w:rPr>
          <w:rFonts w:ascii="Sylfaen" w:hAnsi="Sylfaen"/>
          <w:lang w:val="ka-GE"/>
        </w:rPr>
        <w:t xml:space="preserve"> </w:t>
      </w:r>
      <w:r w:rsidRPr="005556B3">
        <w:rPr>
          <w:rFonts w:ascii="Sylfaen" w:hAnsi="Sylfaen" w:cs="Sylfaen"/>
          <w:lang w:val="ka-GE"/>
        </w:rPr>
        <w:t>უფლებამოსილების</w:t>
      </w:r>
      <w:r w:rsidRPr="005556B3">
        <w:rPr>
          <w:rFonts w:ascii="Sylfaen" w:hAnsi="Sylfaen"/>
          <w:lang w:val="ka-GE"/>
        </w:rPr>
        <w:t xml:space="preserve"> </w:t>
      </w:r>
      <w:r w:rsidRPr="005556B3">
        <w:rPr>
          <w:rFonts w:ascii="Sylfaen" w:hAnsi="Sylfaen" w:cs="Sylfaen"/>
          <w:lang w:val="ka-GE"/>
        </w:rPr>
        <w:t>მატრიცის</w:t>
      </w:r>
      <w:r w:rsidRPr="005556B3">
        <w:rPr>
          <w:rFonts w:ascii="Sylfaen" w:hAnsi="Sylfaen"/>
          <w:lang w:val="ka-GE"/>
        </w:rPr>
        <w:t xml:space="preserve"> </w:t>
      </w:r>
      <w:r w:rsidRPr="005556B3">
        <w:rPr>
          <w:rFonts w:ascii="Sylfaen" w:hAnsi="Sylfaen" w:cs="Sylfaen"/>
          <w:lang w:val="ka-GE"/>
        </w:rPr>
        <w:t>თანახმად</w:t>
      </w:r>
      <w:r w:rsidRPr="005556B3">
        <w:rPr>
          <w:rFonts w:ascii="Sylfaen" w:hAnsi="Sylfaen"/>
          <w:lang w:val="ka-GE"/>
        </w:rPr>
        <w:t>.</w:t>
      </w:r>
    </w:p>
    <w:p w14:paraId="4FDAF3EC"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w:t>
      </w:r>
      <w:r w:rsidRPr="005556B3">
        <w:rPr>
          <w:rFonts w:ascii="Sylfaen" w:hAnsi="Sylfaen" w:cs="Sylfaen"/>
          <w:lang w:val="ka-GE"/>
        </w:rPr>
        <w:t>განსახლების</w:t>
      </w:r>
      <w:r w:rsidRPr="005556B3">
        <w:rPr>
          <w:rFonts w:ascii="Sylfaen" w:hAnsi="Sylfaen"/>
          <w:lang w:val="ka-GE"/>
        </w:rPr>
        <w:t xml:space="preserve"> </w:t>
      </w:r>
      <w:r w:rsidRPr="00F27843">
        <w:rPr>
          <w:rFonts w:ascii="Sylfaen" w:hAnsi="Sylfaen" w:cs="Sylfaen"/>
          <w:lang w:val="ka-GE"/>
        </w:rPr>
        <w:t>სამოქმედო</w:t>
      </w:r>
      <w:r w:rsidRPr="00F27843">
        <w:rPr>
          <w:rFonts w:ascii="Sylfaen" w:hAnsi="Sylfaen"/>
          <w:lang w:val="ka-GE"/>
        </w:rPr>
        <w:t xml:space="preserve"> </w:t>
      </w:r>
      <w:r w:rsidRPr="00F27843">
        <w:rPr>
          <w:rFonts w:ascii="Sylfaen" w:hAnsi="Sylfaen" w:cs="Sylfaen"/>
          <w:lang w:val="ka-GE"/>
        </w:rPr>
        <w:t>გეგმის</w:t>
      </w:r>
      <w:r w:rsidRPr="00F27843">
        <w:rPr>
          <w:rFonts w:ascii="Sylfaen" w:hAnsi="Sylfaen"/>
          <w:lang w:val="ka-GE"/>
        </w:rPr>
        <w:t xml:space="preserve"> </w:t>
      </w:r>
      <w:r w:rsidRPr="00F27843">
        <w:rPr>
          <w:rFonts w:ascii="Sylfaen" w:hAnsi="Sylfaen" w:cs="Sylfaen"/>
          <w:lang w:val="ka-GE"/>
        </w:rPr>
        <w:t>შემუშავება</w:t>
      </w:r>
      <w:r w:rsidRPr="00F27843">
        <w:rPr>
          <w:rFonts w:ascii="Sylfaen" w:hAnsi="Sylfaen"/>
          <w:lang w:val="ka-GE"/>
        </w:rPr>
        <w:t xml:space="preserve"> </w:t>
      </w:r>
      <w:r w:rsidRPr="00F27843">
        <w:rPr>
          <w:rFonts w:ascii="Sylfaen" w:hAnsi="Sylfaen" w:cs="Sylfaen"/>
          <w:lang w:val="ka-GE"/>
        </w:rPr>
        <w:t>მოხდება</w:t>
      </w:r>
      <w:r w:rsidRPr="00F27843">
        <w:rPr>
          <w:rFonts w:ascii="Sylfaen" w:hAnsi="Sylfaen"/>
          <w:lang w:val="ka-GE"/>
        </w:rPr>
        <w:t xml:space="preserve"> </w:t>
      </w:r>
      <w:r w:rsidRPr="00F27843">
        <w:rPr>
          <w:rFonts w:ascii="Sylfaen" w:hAnsi="Sylfaen" w:cs="Sylfaen"/>
          <w:lang w:val="ka-GE"/>
        </w:rPr>
        <w:t>წინამდებარე</w:t>
      </w:r>
      <w:r w:rsidRPr="00F27843">
        <w:rPr>
          <w:rFonts w:ascii="Sylfaen" w:hAnsi="Sylfaen"/>
          <w:lang w:val="ka-GE"/>
        </w:rPr>
        <w:t xml:space="preserve"> </w:t>
      </w:r>
      <w:r w:rsidRPr="00F27843">
        <w:rPr>
          <w:rFonts w:ascii="Sylfaen" w:hAnsi="Sylfaen" w:cs="Sylfaen"/>
          <w:lang w:val="ka-GE"/>
        </w:rPr>
        <w:t>განსახლების</w:t>
      </w:r>
      <w:r w:rsidRPr="00F27843">
        <w:rPr>
          <w:rFonts w:ascii="Sylfaen" w:hAnsi="Sylfaen"/>
          <w:lang w:val="ka-GE"/>
        </w:rPr>
        <w:t xml:space="preserve"> </w:t>
      </w:r>
      <w:r w:rsidRPr="00F27843">
        <w:rPr>
          <w:rFonts w:ascii="Sylfaen" w:hAnsi="Sylfaen" w:cs="Sylfaen"/>
          <w:lang w:val="ka-GE"/>
        </w:rPr>
        <w:t>პოლიტიკის</w:t>
      </w:r>
      <w:r w:rsidRPr="00F27843">
        <w:rPr>
          <w:rFonts w:ascii="Sylfaen" w:hAnsi="Sylfaen"/>
          <w:lang w:val="ka-GE"/>
        </w:rPr>
        <w:t xml:space="preserve"> </w:t>
      </w:r>
      <w:r w:rsidRPr="00F27843">
        <w:rPr>
          <w:rFonts w:ascii="Sylfaen" w:hAnsi="Sylfaen" w:cs="Sylfaen"/>
          <w:lang w:val="ka-GE"/>
        </w:rPr>
        <w:t>ჩარჩოს</w:t>
      </w:r>
      <w:r w:rsidRPr="00F27843">
        <w:rPr>
          <w:rFonts w:ascii="Sylfaen" w:hAnsi="Sylfaen"/>
          <w:lang w:val="ka-GE"/>
        </w:rPr>
        <w:t xml:space="preserve">, </w:t>
      </w:r>
      <w:r w:rsidRPr="00F27843">
        <w:rPr>
          <w:rFonts w:ascii="Sylfaen" w:hAnsi="Sylfaen" w:cs="Sylfaen"/>
          <w:lang w:val="ka-GE"/>
        </w:rPr>
        <w:t>მსოფლიო</w:t>
      </w:r>
      <w:r w:rsidRPr="00F27843">
        <w:rPr>
          <w:rFonts w:ascii="Sylfaen" w:hAnsi="Sylfaen"/>
          <w:lang w:val="ka-GE"/>
        </w:rPr>
        <w:t xml:space="preserve"> </w:t>
      </w:r>
      <w:r w:rsidRPr="00F27843">
        <w:rPr>
          <w:rFonts w:ascii="Sylfaen" w:hAnsi="Sylfaen" w:cs="Sylfaen"/>
          <w:lang w:val="ka-GE"/>
        </w:rPr>
        <w:t>ბანკის</w:t>
      </w:r>
      <w:r w:rsidRPr="00F27843">
        <w:rPr>
          <w:rFonts w:ascii="Sylfaen" w:hAnsi="Sylfaen"/>
          <w:lang w:val="ka-GE"/>
        </w:rPr>
        <w:t xml:space="preserve"> OP 4.12 </w:t>
      </w:r>
      <w:r w:rsidRPr="00F27843">
        <w:rPr>
          <w:rFonts w:ascii="Sylfaen" w:hAnsi="Sylfaen" w:cs="Sylfaen"/>
          <w:lang w:val="ka-GE"/>
        </w:rPr>
        <w:t>და</w:t>
      </w:r>
      <w:r w:rsidRPr="00F27843">
        <w:rPr>
          <w:rFonts w:ascii="Sylfaen" w:hAnsi="Sylfaen"/>
          <w:lang w:val="ka-GE"/>
        </w:rPr>
        <w:t xml:space="preserve"> </w:t>
      </w:r>
      <w:r w:rsidRPr="00F27843">
        <w:rPr>
          <w:rFonts w:ascii="Sylfaen" w:hAnsi="Sylfaen" w:cs="Sylfaen"/>
          <w:lang w:val="ka-GE"/>
        </w:rPr>
        <w:t>საქართველოს</w:t>
      </w:r>
      <w:r w:rsidRPr="00F27843">
        <w:rPr>
          <w:rFonts w:ascii="Sylfaen" w:hAnsi="Sylfaen"/>
          <w:lang w:val="ka-GE"/>
        </w:rPr>
        <w:t xml:space="preserve"> </w:t>
      </w:r>
      <w:r w:rsidRPr="00F27843">
        <w:rPr>
          <w:rFonts w:ascii="Sylfaen" w:hAnsi="Sylfaen" w:cs="Sylfaen"/>
          <w:lang w:val="ka-GE"/>
        </w:rPr>
        <w:t>კანონმდებლობის</w:t>
      </w:r>
      <w:r w:rsidRPr="00F27843">
        <w:rPr>
          <w:rFonts w:ascii="Sylfaen" w:hAnsi="Sylfaen"/>
          <w:lang w:val="ka-GE"/>
        </w:rPr>
        <w:t xml:space="preserve"> </w:t>
      </w:r>
      <w:r w:rsidRPr="00F27843">
        <w:rPr>
          <w:rFonts w:ascii="Sylfaen" w:hAnsi="Sylfaen" w:cs="Sylfaen"/>
          <w:lang w:val="ka-GE"/>
        </w:rPr>
        <w:t>შესაბამისად</w:t>
      </w:r>
      <w:r w:rsidRPr="00F27843">
        <w:rPr>
          <w:rFonts w:ascii="Sylfaen" w:hAnsi="Sylfaen"/>
          <w:lang w:val="ka-GE"/>
        </w:rPr>
        <w:t xml:space="preserve"> </w:t>
      </w:r>
      <w:r w:rsidRPr="00F27843">
        <w:rPr>
          <w:rFonts w:ascii="Sylfaen" w:hAnsi="Sylfaen" w:cs="Sylfaen"/>
          <w:lang w:val="ka-GE"/>
        </w:rPr>
        <w:t>პროექტის</w:t>
      </w:r>
      <w:r w:rsidRPr="00F27843">
        <w:rPr>
          <w:rFonts w:ascii="Sylfaen" w:hAnsi="Sylfaen"/>
          <w:lang w:val="ka-GE"/>
        </w:rPr>
        <w:t xml:space="preserve"> </w:t>
      </w:r>
      <w:r w:rsidRPr="00F27843">
        <w:rPr>
          <w:rFonts w:ascii="Sylfaen" w:hAnsi="Sylfaen" w:cs="Sylfaen"/>
          <w:lang w:val="ka-GE"/>
        </w:rPr>
        <w:t>მარშრუტის</w:t>
      </w:r>
      <w:r w:rsidRPr="00F27843">
        <w:rPr>
          <w:rFonts w:ascii="Sylfaen" w:hAnsi="Sylfaen"/>
          <w:lang w:val="ka-GE"/>
        </w:rPr>
        <w:t xml:space="preserve"> </w:t>
      </w:r>
      <w:r w:rsidRPr="00F27843">
        <w:rPr>
          <w:rFonts w:ascii="Sylfaen" w:hAnsi="Sylfaen" w:cs="Sylfaen"/>
          <w:lang w:val="ka-GE"/>
        </w:rPr>
        <w:t>ყოველ</w:t>
      </w:r>
      <w:r w:rsidRPr="00F27843">
        <w:rPr>
          <w:rFonts w:ascii="Sylfaen" w:hAnsi="Sylfaen"/>
          <w:lang w:val="ka-GE"/>
        </w:rPr>
        <w:t xml:space="preserve"> </w:t>
      </w:r>
      <w:r w:rsidRPr="00F27843">
        <w:rPr>
          <w:rFonts w:ascii="Sylfaen" w:hAnsi="Sylfaen" w:cs="Sylfaen"/>
          <w:lang w:val="ka-GE"/>
        </w:rPr>
        <w:t>მონაკვეთზე</w:t>
      </w:r>
      <w:r w:rsidRPr="00F27843">
        <w:rPr>
          <w:rFonts w:ascii="Sylfaen" w:hAnsi="Sylfaen"/>
          <w:lang w:val="ka-GE"/>
        </w:rPr>
        <w:t xml:space="preserve"> </w:t>
      </w:r>
      <w:r w:rsidRPr="00F27843">
        <w:rPr>
          <w:rFonts w:ascii="Sylfaen" w:hAnsi="Sylfaen" w:cs="Sylfaen"/>
          <w:lang w:val="ka-GE"/>
        </w:rPr>
        <w:t>და</w:t>
      </w:r>
      <w:r w:rsidRPr="00F27843">
        <w:rPr>
          <w:rFonts w:ascii="Sylfaen" w:hAnsi="Sylfaen"/>
          <w:lang w:val="ka-GE"/>
        </w:rPr>
        <w:t xml:space="preserve"> </w:t>
      </w:r>
      <w:r w:rsidRPr="00F27843">
        <w:rPr>
          <w:rFonts w:ascii="Sylfaen" w:hAnsi="Sylfaen" w:cs="Sylfaen"/>
          <w:lang w:val="ka-GE"/>
        </w:rPr>
        <w:t>გეგმით</w:t>
      </w:r>
      <w:r w:rsidRPr="00F27843">
        <w:rPr>
          <w:rFonts w:ascii="Sylfaen" w:hAnsi="Sylfaen"/>
          <w:lang w:val="ka-GE"/>
        </w:rPr>
        <w:t xml:space="preserve"> </w:t>
      </w:r>
      <w:r w:rsidRPr="00F27843">
        <w:rPr>
          <w:rFonts w:ascii="Sylfaen" w:hAnsi="Sylfaen" w:cs="Sylfaen"/>
          <w:lang w:val="ka-GE"/>
        </w:rPr>
        <w:t>დეტალურად</w:t>
      </w:r>
      <w:r w:rsidRPr="00F27843">
        <w:rPr>
          <w:rFonts w:ascii="Sylfaen" w:hAnsi="Sylfaen"/>
          <w:lang w:val="ka-GE"/>
        </w:rPr>
        <w:t xml:space="preserve"> </w:t>
      </w:r>
      <w:r w:rsidRPr="00F27843">
        <w:rPr>
          <w:rFonts w:ascii="Sylfaen" w:hAnsi="Sylfaen" w:cs="Sylfaen"/>
          <w:lang w:val="ka-GE"/>
        </w:rPr>
        <w:t>იქნება</w:t>
      </w:r>
      <w:r w:rsidRPr="00F27843">
        <w:rPr>
          <w:rFonts w:ascii="Sylfaen" w:hAnsi="Sylfaen"/>
          <w:lang w:val="ka-GE"/>
        </w:rPr>
        <w:t xml:space="preserve"> </w:t>
      </w:r>
      <w:r w:rsidRPr="00F27843">
        <w:rPr>
          <w:rFonts w:ascii="Sylfaen" w:hAnsi="Sylfaen" w:cs="Sylfaen"/>
          <w:lang w:val="ka-GE"/>
        </w:rPr>
        <w:t>განსაზღვრული</w:t>
      </w:r>
      <w:r w:rsidRPr="00F27843">
        <w:rPr>
          <w:rFonts w:ascii="Sylfaen" w:hAnsi="Sylfaen"/>
          <w:lang w:val="ka-GE"/>
        </w:rPr>
        <w:t xml:space="preserve"> </w:t>
      </w:r>
      <w:r w:rsidRPr="00F27843">
        <w:rPr>
          <w:rFonts w:ascii="Sylfaen" w:hAnsi="Sylfaen" w:cs="Sylfaen"/>
          <w:lang w:val="ka-GE"/>
        </w:rPr>
        <w:t>კომპენსაციის</w:t>
      </w:r>
      <w:r w:rsidRPr="00F27843">
        <w:rPr>
          <w:rFonts w:ascii="Sylfaen" w:hAnsi="Sylfaen"/>
          <w:lang w:val="ka-GE"/>
        </w:rPr>
        <w:t xml:space="preserve"> </w:t>
      </w:r>
      <w:r w:rsidRPr="00F27843">
        <w:rPr>
          <w:rFonts w:ascii="Sylfaen" w:hAnsi="Sylfaen" w:cs="Sylfaen"/>
          <w:lang w:val="ka-GE"/>
        </w:rPr>
        <w:t>პაკეტები</w:t>
      </w:r>
      <w:r w:rsidRPr="00F27843">
        <w:rPr>
          <w:rFonts w:ascii="Sylfaen" w:hAnsi="Sylfaen"/>
          <w:lang w:val="ka-GE"/>
        </w:rPr>
        <w:t xml:space="preserve"> </w:t>
      </w:r>
      <w:r w:rsidRPr="00F27843">
        <w:rPr>
          <w:rFonts w:ascii="Sylfaen" w:hAnsi="Sylfaen" w:cs="Sylfaen"/>
          <w:lang w:val="ka-GE"/>
        </w:rPr>
        <w:t>და</w:t>
      </w:r>
      <w:r w:rsidRPr="00F27843">
        <w:rPr>
          <w:rFonts w:ascii="Sylfaen" w:hAnsi="Sylfaen"/>
          <w:lang w:val="ka-GE"/>
        </w:rPr>
        <w:t xml:space="preserve"> </w:t>
      </w:r>
      <w:r w:rsidRPr="00F27843">
        <w:rPr>
          <w:rFonts w:ascii="Sylfaen" w:hAnsi="Sylfaen" w:cs="Sylfaen"/>
          <w:lang w:val="ka-GE"/>
        </w:rPr>
        <w:t>პროექტის</w:t>
      </w:r>
      <w:r w:rsidRPr="00F27843">
        <w:rPr>
          <w:rFonts w:ascii="Sylfaen" w:hAnsi="Sylfaen"/>
          <w:lang w:val="ka-GE"/>
        </w:rPr>
        <w:t xml:space="preserve"> </w:t>
      </w:r>
      <w:r w:rsidRPr="00F27843">
        <w:rPr>
          <w:rFonts w:ascii="Sylfaen" w:hAnsi="Sylfaen" w:cs="Sylfaen"/>
          <w:lang w:val="ka-GE"/>
        </w:rPr>
        <w:t>განხორციელების</w:t>
      </w:r>
      <w:r w:rsidRPr="00F27843">
        <w:rPr>
          <w:rFonts w:ascii="Sylfaen" w:hAnsi="Sylfaen"/>
          <w:lang w:val="ka-GE"/>
        </w:rPr>
        <w:t xml:space="preserve"> </w:t>
      </w:r>
      <w:r w:rsidRPr="00F27843">
        <w:rPr>
          <w:rFonts w:ascii="Sylfaen" w:hAnsi="Sylfaen" w:cs="Sylfaen"/>
          <w:lang w:val="ka-GE"/>
        </w:rPr>
        <w:t>გრაფიკი</w:t>
      </w:r>
      <w:r w:rsidRPr="00F27843">
        <w:rPr>
          <w:rFonts w:ascii="Sylfaen" w:hAnsi="Sylfaen"/>
          <w:lang w:val="ka-GE"/>
        </w:rPr>
        <w:t xml:space="preserve">.  </w:t>
      </w:r>
      <w:r w:rsidRPr="00F27843">
        <w:rPr>
          <w:rFonts w:ascii="Sylfaen" w:hAnsi="Sylfaen" w:cs="Sylfaen"/>
          <w:lang w:val="ka-GE"/>
        </w:rPr>
        <w:t>რამდენადაც</w:t>
      </w:r>
      <w:r w:rsidRPr="00F27843">
        <w:rPr>
          <w:rFonts w:ascii="Sylfaen" w:hAnsi="Sylfaen"/>
          <w:lang w:val="ka-GE"/>
        </w:rPr>
        <w:t xml:space="preserve">, </w:t>
      </w:r>
      <w:r w:rsidRPr="00F27843">
        <w:rPr>
          <w:rFonts w:ascii="Sylfaen" w:hAnsi="Sylfaen" w:cs="Sylfaen"/>
          <w:lang w:val="ka-GE"/>
        </w:rPr>
        <w:t>როგორც</w:t>
      </w:r>
      <w:r w:rsidRPr="00F27843">
        <w:rPr>
          <w:rFonts w:ascii="Sylfaen" w:hAnsi="Sylfaen"/>
          <w:lang w:val="ka-GE"/>
        </w:rPr>
        <w:t xml:space="preserve"> </w:t>
      </w:r>
      <w:r w:rsidRPr="00F27843">
        <w:rPr>
          <w:rFonts w:ascii="Sylfaen" w:hAnsi="Sylfaen" w:cs="Sylfaen"/>
          <w:lang w:val="ka-GE"/>
        </w:rPr>
        <w:t>ზემოთ</w:t>
      </w:r>
      <w:r w:rsidRPr="00F27843">
        <w:rPr>
          <w:rFonts w:ascii="Sylfaen" w:hAnsi="Sylfaen"/>
          <w:lang w:val="ka-GE"/>
        </w:rPr>
        <w:t xml:space="preserve"> </w:t>
      </w:r>
      <w:r w:rsidRPr="00F27843">
        <w:rPr>
          <w:rFonts w:ascii="Sylfaen" w:hAnsi="Sylfaen" w:cs="Sylfaen"/>
          <w:lang w:val="ka-GE"/>
        </w:rPr>
        <w:t>აღინიშნა</w:t>
      </w:r>
      <w:r w:rsidRPr="00F27843">
        <w:rPr>
          <w:rFonts w:ascii="Sylfaen" w:hAnsi="Sylfaen"/>
          <w:lang w:val="ka-GE"/>
        </w:rPr>
        <w:t xml:space="preserve">, </w:t>
      </w:r>
      <w:r w:rsidRPr="00F27843">
        <w:rPr>
          <w:rFonts w:ascii="Sylfaen" w:hAnsi="Sylfaen" w:cs="Sylfaen"/>
          <w:lang w:val="ka-GE"/>
        </w:rPr>
        <w:t>არსებობს</w:t>
      </w:r>
      <w:r w:rsidRPr="00F27843">
        <w:rPr>
          <w:rFonts w:ascii="Sylfaen" w:hAnsi="Sylfaen"/>
          <w:lang w:val="ka-GE"/>
        </w:rPr>
        <w:t xml:space="preserve"> </w:t>
      </w:r>
      <w:r w:rsidRPr="00F27843">
        <w:rPr>
          <w:rFonts w:ascii="Sylfaen" w:hAnsi="Sylfaen" w:cs="Sylfaen"/>
          <w:lang w:val="ka-GE"/>
        </w:rPr>
        <w:t>განსხვავებები</w:t>
      </w:r>
      <w:r w:rsidRPr="00F27843">
        <w:rPr>
          <w:rFonts w:ascii="Sylfaen" w:hAnsi="Sylfaen"/>
          <w:lang w:val="ka-GE"/>
        </w:rPr>
        <w:t xml:space="preserve">  </w:t>
      </w:r>
      <w:r w:rsidRPr="00F27843">
        <w:rPr>
          <w:rFonts w:ascii="Sylfaen" w:hAnsi="Sylfaen" w:cs="Sylfaen"/>
          <w:lang w:val="ka-GE"/>
        </w:rPr>
        <w:t>ბანკის</w:t>
      </w:r>
      <w:r w:rsidRPr="00F27843">
        <w:rPr>
          <w:rFonts w:ascii="Sylfaen" w:hAnsi="Sylfaen"/>
          <w:lang w:val="ka-GE"/>
        </w:rPr>
        <w:t xml:space="preserve"> OP 4.12 </w:t>
      </w:r>
      <w:r w:rsidRPr="00F27843">
        <w:rPr>
          <w:rFonts w:ascii="Sylfaen" w:hAnsi="Sylfaen" w:cs="Sylfaen"/>
          <w:lang w:val="ka-GE"/>
        </w:rPr>
        <w:t>პოლიტიკასა</w:t>
      </w:r>
      <w:r w:rsidRPr="00F27843">
        <w:rPr>
          <w:rFonts w:ascii="Sylfaen" w:hAnsi="Sylfaen"/>
          <w:lang w:val="ka-GE"/>
        </w:rPr>
        <w:t xml:space="preserve"> </w:t>
      </w:r>
      <w:r w:rsidRPr="00F27843">
        <w:rPr>
          <w:rFonts w:ascii="Sylfaen" w:hAnsi="Sylfaen" w:cs="Sylfaen"/>
          <w:lang w:val="ka-GE"/>
        </w:rPr>
        <w:t>და</w:t>
      </w:r>
      <w:r w:rsidRPr="00F27843">
        <w:rPr>
          <w:rFonts w:ascii="Sylfaen" w:hAnsi="Sylfaen"/>
          <w:lang w:val="ka-GE"/>
        </w:rPr>
        <w:t xml:space="preserve"> </w:t>
      </w:r>
      <w:r w:rsidRPr="00F27843">
        <w:rPr>
          <w:rFonts w:ascii="Sylfaen" w:hAnsi="Sylfaen" w:cs="Sylfaen"/>
          <w:lang w:val="ka-GE"/>
        </w:rPr>
        <w:t>საქართველოს</w:t>
      </w:r>
      <w:r w:rsidRPr="00F27843">
        <w:rPr>
          <w:rFonts w:ascii="Sylfaen" w:hAnsi="Sylfaen"/>
          <w:lang w:val="ka-GE"/>
        </w:rPr>
        <w:t xml:space="preserve"> </w:t>
      </w:r>
      <w:r w:rsidRPr="00F27843">
        <w:rPr>
          <w:rFonts w:ascii="Sylfaen" w:hAnsi="Sylfaen" w:cs="Sylfaen"/>
          <w:lang w:val="ka-GE"/>
        </w:rPr>
        <w:t>კანონმდებლობას</w:t>
      </w:r>
      <w:r w:rsidRPr="00F27843">
        <w:rPr>
          <w:rFonts w:ascii="Sylfaen" w:hAnsi="Sylfaen"/>
          <w:lang w:val="ka-GE"/>
        </w:rPr>
        <w:t xml:space="preserve"> </w:t>
      </w:r>
      <w:r w:rsidRPr="00F27843">
        <w:rPr>
          <w:rFonts w:ascii="Sylfaen" w:hAnsi="Sylfaen" w:cs="Sylfaen"/>
          <w:lang w:val="ka-GE"/>
        </w:rPr>
        <w:t>შორის</w:t>
      </w:r>
      <w:r w:rsidRPr="00F27843">
        <w:rPr>
          <w:rFonts w:ascii="Sylfaen" w:hAnsi="Sylfaen"/>
          <w:lang w:val="ka-GE"/>
        </w:rPr>
        <w:t xml:space="preserve"> </w:t>
      </w:r>
      <w:r w:rsidRPr="00F27843">
        <w:rPr>
          <w:rFonts w:ascii="Sylfaen" w:hAnsi="Sylfaen" w:cs="Sylfaen"/>
          <w:lang w:val="ka-GE"/>
        </w:rPr>
        <w:t>ექსპროპორიაციის</w:t>
      </w:r>
      <w:r w:rsidRPr="00F27843">
        <w:rPr>
          <w:rFonts w:ascii="Sylfaen" w:hAnsi="Sylfaen"/>
          <w:lang w:val="ka-GE"/>
        </w:rPr>
        <w:t xml:space="preserve"> </w:t>
      </w:r>
      <w:r w:rsidRPr="00F27843">
        <w:rPr>
          <w:rFonts w:ascii="Sylfaen" w:hAnsi="Sylfaen" w:cs="Sylfaen"/>
          <w:lang w:val="ka-GE"/>
        </w:rPr>
        <w:t>მეთოდებთან</w:t>
      </w:r>
      <w:r w:rsidRPr="00F27843">
        <w:rPr>
          <w:rFonts w:ascii="Sylfaen" w:hAnsi="Sylfaen"/>
          <w:lang w:val="ka-GE"/>
        </w:rPr>
        <w:t xml:space="preserve"> </w:t>
      </w:r>
      <w:r w:rsidRPr="00F27843">
        <w:rPr>
          <w:rFonts w:ascii="Sylfaen" w:hAnsi="Sylfaen" w:cs="Sylfaen"/>
          <w:lang w:val="ka-GE"/>
        </w:rPr>
        <w:t>დაკავშირებით</w:t>
      </w:r>
      <w:r w:rsidRPr="00F27843">
        <w:rPr>
          <w:rFonts w:ascii="Sylfaen" w:hAnsi="Sylfaen"/>
          <w:lang w:val="ka-GE"/>
        </w:rPr>
        <w:t xml:space="preserve">, </w:t>
      </w:r>
      <w:r w:rsidRPr="00F27843">
        <w:rPr>
          <w:rFonts w:ascii="Sylfaen" w:hAnsi="Sylfaen" w:cs="Sylfaen"/>
          <w:lang w:val="ka-GE"/>
        </w:rPr>
        <w:t>პროექტისთვის</w:t>
      </w:r>
      <w:r w:rsidRPr="00F27843">
        <w:rPr>
          <w:rFonts w:ascii="Sylfaen" w:hAnsi="Sylfaen"/>
          <w:lang w:val="ka-GE"/>
        </w:rPr>
        <w:t xml:space="preserve"> </w:t>
      </w:r>
      <w:r w:rsidRPr="00F27843">
        <w:rPr>
          <w:rFonts w:ascii="Sylfaen" w:hAnsi="Sylfaen" w:cs="Sylfaen"/>
          <w:lang w:val="ka-GE"/>
        </w:rPr>
        <w:t>საჭირო</w:t>
      </w:r>
      <w:r w:rsidRPr="00F27843">
        <w:rPr>
          <w:rFonts w:ascii="Sylfaen" w:hAnsi="Sylfaen"/>
          <w:lang w:val="ka-GE"/>
        </w:rPr>
        <w:t xml:space="preserve"> </w:t>
      </w:r>
      <w:r w:rsidRPr="00F27843">
        <w:rPr>
          <w:rFonts w:ascii="Sylfaen" w:hAnsi="Sylfaen" w:cs="Sylfaen"/>
          <w:lang w:val="ka-GE"/>
        </w:rPr>
        <w:t>მიწის</w:t>
      </w:r>
      <w:r w:rsidRPr="00F27843">
        <w:rPr>
          <w:rFonts w:ascii="Sylfaen" w:hAnsi="Sylfaen"/>
          <w:lang w:val="ka-GE"/>
        </w:rPr>
        <w:t xml:space="preserve"> </w:t>
      </w:r>
      <w:r w:rsidRPr="00F27843">
        <w:rPr>
          <w:rFonts w:ascii="Sylfaen" w:hAnsi="Sylfaen" w:cs="Sylfaen"/>
          <w:lang w:val="ka-GE"/>
        </w:rPr>
        <w:t>ფართობის</w:t>
      </w:r>
      <w:r w:rsidRPr="00F27843">
        <w:rPr>
          <w:rFonts w:ascii="Sylfaen" w:hAnsi="Sylfaen"/>
          <w:lang w:val="ka-GE"/>
        </w:rPr>
        <w:t xml:space="preserve">   </w:t>
      </w:r>
      <w:r w:rsidRPr="00F27843">
        <w:rPr>
          <w:rFonts w:ascii="Sylfaen" w:hAnsi="Sylfaen" w:cs="Sylfaen"/>
          <w:lang w:val="ka-GE"/>
        </w:rPr>
        <w:t>შეძენა</w:t>
      </w:r>
      <w:r w:rsidRPr="00F27843">
        <w:rPr>
          <w:rFonts w:ascii="Sylfaen" w:hAnsi="Sylfaen"/>
          <w:lang w:val="ka-GE"/>
        </w:rPr>
        <w:t xml:space="preserve"> </w:t>
      </w:r>
      <w:r w:rsidRPr="00F27843">
        <w:rPr>
          <w:rFonts w:ascii="Sylfaen" w:hAnsi="Sylfaen" w:cs="Sylfaen"/>
          <w:lang w:val="ka-GE"/>
        </w:rPr>
        <w:t>მოხდება</w:t>
      </w:r>
      <w:r w:rsidRPr="00F27843">
        <w:rPr>
          <w:rFonts w:ascii="Sylfaen" w:hAnsi="Sylfaen"/>
          <w:lang w:val="ka-GE"/>
        </w:rPr>
        <w:t xml:space="preserve"> </w:t>
      </w:r>
      <w:r w:rsidRPr="00F27843">
        <w:rPr>
          <w:rFonts w:ascii="Sylfaen" w:hAnsi="Sylfaen" w:cs="Sylfaen"/>
          <w:lang w:val="ka-GE"/>
        </w:rPr>
        <w:t>მოცემული</w:t>
      </w:r>
      <w:r w:rsidRPr="00F27843">
        <w:rPr>
          <w:rFonts w:ascii="Sylfaen" w:hAnsi="Sylfaen"/>
          <w:lang w:val="ka-GE"/>
        </w:rPr>
        <w:t xml:space="preserve"> </w:t>
      </w:r>
      <w:r w:rsidR="00F27843" w:rsidRPr="00F27843">
        <w:rPr>
          <w:rFonts w:ascii="Sylfaen" w:hAnsi="Sylfaen"/>
          <w:lang w:val="ka-GE"/>
        </w:rPr>
        <w:t>განსახლების ჩარჩო</w:t>
      </w:r>
      <w:r w:rsidRPr="00F27843">
        <w:rPr>
          <w:rFonts w:ascii="Sylfaen" w:hAnsi="Sylfaen"/>
          <w:lang w:val="ka-GE"/>
        </w:rPr>
        <w:t xml:space="preserve">  </w:t>
      </w:r>
      <w:r w:rsidRPr="00F27843">
        <w:rPr>
          <w:rFonts w:ascii="Sylfaen" w:hAnsi="Sylfaen" w:cs="Sylfaen"/>
          <w:lang w:val="ka-GE"/>
        </w:rPr>
        <w:t>დოკუმენტით</w:t>
      </w:r>
      <w:r w:rsidRPr="005556B3">
        <w:rPr>
          <w:rFonts w:ascii="Sylfaen" w:hAnsi="Sylfaen"/>
          <w:color w:val="FF0000"/>
          <w:lang w:val="ka-GE"/>
        </w:rPr>
        <w:t xml:space="preserve"> </w:t>
      </w:r>
      <w:r w:rsidRPr="005556B3">
        <w:rPr>
          <w:rFonts w:ascii="Sylfaen" w:hAnsi="Sylfaen" w:cs="Sylfaen"/>
          <w:lang w:val="ka-GE"/>
        </w:rPr>
        <w:t>გათვალისწინებული</w:t>
      </w:r>
      <w:r w:rsidRPr="005556B3">
        <w:rPr>
          <w:rFonts w:ascii="Sylfaen" w:hAnsi="Sylfaen"/>
          <w:lang w:val="ka-GE"/>
        </w:rPr>
        <w:t xml:space="preserve"> </w:t>
      </w:r>
      <w:r w:rsidRPr="005556B3">
        <w:rPr>
          <w:rFonts w:ascii="Sylfaen" w:hAnsi="Sylfaen" w:cs="Sylfaen"/>
          <w:lang w:val="ka-GE"/>
        </w:rPr>
        <w:t>პრინციპებიტა</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პროცედურებით</w:t>
      </w:r>
      <w:r w:rsidRPr="005556B3">
        <w:rPr>
          <w:rFonts w:ascii="Sylfaen" w:hAnsi="Sylfaen"/>
          <w:lang w:val="ka-GE"/>
        </w:rPr>
        <w:t xml:space="preserve">. </w:t>
      </w:r>
    </w:p>
    <w:p w14:paraId="1DCC7A4E"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w:t>
      </w:r>
      <w:r w:rsidRPr="005556B3">
        <w:rPr>
          <w:rFonts w:ascii="Sylfaen" w:hAnsi="Sylfaen" w:cs="Sylfaen"/>
          <w:lang w:val="ka-GE"/>
        </w:rPr>
        <w:t>შესწავლილ</w:t>
      </w:r>
      <w:r w:rsidRPr="005556B3">
        <w:rPr>
          <w:rFonts w:ascii="Sylfaen" w:hAnsi="Sylfaen"/>
          <w:lang w:val="ka-GE"/>
        </w:rPr>
        <w:t xml:space="preserve"> </w:t>
      </w:r>
      <w:r w:rsidRPr="005556B3">
        <w:rPr>
          <w:rFonts w:ascii="Sylfaen" w:hAnsi="Sylfaen" w:cs="Sylfaen"/>
          <w:lang w:val="ka-GE"/>
        </w:rPr>
        <w:t>იქნება</w:t>
      </w:r>
      <w:r w:rsidRPr="005556B3">
        <w:rPr>
          <w:rFonts w:ascii="Sylfaen" w:hAnsi="Sylfaen"/>
          <w:lang w:val="ka-GE"/>
        </w:rPr>
        <w:t xml:space="preserve"> </w:t>
      </w:r>
      <w:r w:rsidRPr="005556B3">
        <w:rPr>
          <w:rFonts w:ascii="Sylfaen" w:hAnsi="Sylfaen" w:cs="Sylfaen"/>
          <w:lang w:val="ka-GE"/>
        </w:rPr>
        <w:t>ბაზარი</w:t>
      </w:r>
      <w:r w:rsidRPr="005556B3">
        <w:rPr>
          <w:rFonts w:ascii="Sylfaen" w:hAnsi="Sylfaen"/>
          <w:lang w:val="ka-GE"/>
        </w:rPr>
        <w:t xml:space="preserve"> </w:t>
      </w:r>
      <w:r w:rsidRPr="005556B3">
        <w:rPr>
          <w:rFonts w:ascii="Sylfaen" w:hAnsi="Sylfaen" w:cs="Sylfaen"/>
          <w:lang w:val="ka-GE"/>
        </w:rPr>
        <w:t>მიწის</w:t>
      </w:r>
      <w:r w:rsidRPr="005556B3">
        <w:rPr>
          <w:rFonts w:ascii="Sylfaen" w:hAnsi="Sylfaen"/>
          <w:lang w:val="ka-GE"/>
        </w:rPr>
        <w:t xml:space="preserve">, </w:t>
      </w:r>
      <w:r w:rsidRPr="005556B3">
        <w:rPr>
          <w:rFonts w:ascii="Sylfaen" w:hAnsi="Sylfaen" w:cs="Sylfaen"/>
          <w:lang w:val="ka-GE"/>
        </w:rPr>
        <w:t>ზემოქმედების</w:t>
      </w:r>
      <w:r w:rsidRPr="005556B3">
        <w:rPr>
          <w:rFonts w:ascii="Sylfaen" w:hAnsi="Sylfaen"/>
          <w:lang w:val="ka-GE"/>
        </w:rPr>
        <w:t xml:space="preserve"> </w:t>
      </w:r>
      <w:r w:rsidRPr="005556B3">
        <w:rPr>
          <w:rFonts w:ascii="Sylfaen" w:hAnsi="Sylfaen" w:cs="Sylfaen"/>
          <w:lang w:val="ka-GE"/>
        </w:rPr>
        <w:t>ქვეშ</w:t>
      </w:r>
      <w:r w:rsidRPr="005556B3">
        <w:rPr>
          <w:rFonts w:ascii="Sylfaen" w:hAnsi="Sylfaen"/>
          <w:lang w:val="ka-GE"/>
        </w:rPr>
        <w:t xml:space="preserve"> </w:t>
      </w:r>
      <w:r w:rsidRPr="005556B3">
        <w:rPr>
          <w:rFonts w:ascii="Sylfaen" w:hAnsi="Sylfaen" w:cs="Sylfaen"/>
          <w:lang w:val="ka-GE"/>
        </w:rPr>
        <w:t>მყოფი</w:t>
      </w:r>
      <w:r w:rsidRPr="005556B3">
        <w:rPr>
          <w:rFonts w:ascii="Sylfaen" w:hAnsi="Sylfaen"/>
          <w:lang w:val="ka-GE"/>
        </w:rPr>
        <w:t xml:space="preserve"> </w:t>
      </w:r>
      <w:r w:rsidRPr="005556B3">
        <w:rPr>
          <w:rFonts w:ascii="Sylfaen" w:hAnsi="Sylfaen" w:cs="Sylfaen"/>
          <w:lang w:val="ka-GE"/>
        </w:rPr>
        <w:t>შენობების</w:t>
      </w:r>
      <w:r w:rsidRPr="005556B3">
        <w:rPr>
          <w:rFonts w:ascii="Sylfaen" w:hAnsi="Sylfaen"/>
          <w:lang w:val="ka-GE"/>
        </w:rPr>
        <w:t xml:space="preserve"> </w:t>
      </w:r>
      <w:r w:rsidRPr="005556B3">
        <w:rPr>
          <w:rFonts w:ascii="Sylfaen" w:hAnsi="Sylfaen" w:cs="Sylfaen"/>
          <w:lang w:val="ka-GE"/>
        </w:rPr>
        <w:t>სამშენებლო</w:t>
      </w:r>
      <w:r w:rsidRPr="005556B3">
        <w:rPr>
          <w:rFonts w:ascii="Sylfaen" w:hAnsi="Sylfaen"/>
          <w:lang w:val="ka-GE"/>
        </w:rPr>
        <w:t xml:space="preserve"> </w:t>
      </w:r>
      <w:r w:rsidRPr="005556B3">
        <w:rPr>
          <w:rFonts w:ascii="Sylfaen" w:hAnsi="Sylfaen" w:cs="Sylfaen"/>
          <w:lang w:val="ka-GE"/>
        </w:rPr>
        <w:t>მასალების</w:t>
      </w:r>
      <w:r w:rsidRPr="005556B3">
        <w:rPr>
          <w:rFonts w:ascii="Sylfaen" w:hAnsi="Sylfaen"/>
          <w:lang w:val="ka-GE"/>
        </w:rPr>
        <w:t xml:space="preserve">, </w:t>
      </w:r>
      <w:r w:rsidRPr="005556B3">
        <w:rPr>
          <w:rFonts w:ascii="Sylfaen" w:hAnsi="Sylfaen" w:cs="Sylfaen"/>
          <w:lang w:val="ka-GE"/>
        </w:rPr>
        <w:t>სასოფლო</w:t>
      </w:r>
      <w:r w:rsidRPr="005556B3">
        <w:rPr>
          <w:rFonts w:ascii="Sylfaen" w:hAnsi="Sylfaen"/>
          <w:lang w:val="ka-GE"/>
        </w:rPr>
        <w:t>-</w:t>
      </w:r>
      <w:r w:rsidRPr="005556B3">
        <w:rPr>
          <w:rFonts w:ascii="Sylfaen" w:hAnsi="Sylfaen" w:cs="Sylfaen"/>
          <w:lang w:val="ka-GE"/>
        </w:rPr>
        <w:t>სამეურნეო</w:t>
      </w:r>
      <w:r w:rsidRPr="005556B3">
        <w:rPr>
          <w:rFonts w:ascii="Sylfaen" w:hAnsi="Sylfaen"/>
          <w:lang w:val="ka-GE"/>
        </w:rPr>
        <w:t xml:space="preserve"> </w:t>
      </w:r>
      <w:r w:rsidRPr="005556B3">
        <w:rPr>
          <w:rFonts w:ascii="Sylfaen" w:hAnsi="Sylfaen" w:cs="Sylfaen"/>
          <w:lang w:val="ka-GE"/>
        </w:rPr>
        <w:t>კულტურებისა</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სხვა</w:t>
      </w:r>
      <w:r w:rsidRPr="005556B3">
        <w:rPr>
          <w:rFonts w:ascii="Sylfaen" w:hAnsi="Sylfaen"/>
          <w:lang w:val="ka-GE"/>
        </w:rPr>
        <w:t xml:space="preserve"> </w:t>
      </w:r>
      <w:r w:rsidRPr="005556B3">
        <w:rPr>
          <w:rFonts w:ascii="Sylfaen" w:hAnsi="Sylfaen" w:cs="Sylfaen"/>
          <w:lang w:val="ka-GE"/>
        </w:rPr>
        <w:t>საჭირო</w:t>
      </w:r>
      <w:r w:rsidRPr="005556B3">
        <w:rPr>
          <w:rFonts w:ascii="Sylfaen" w:hAnsi="Sylfaen"/>
          <w:lang w:val="ka-GE"/>
        </w:rPr>
        <w:t xml:space="preserve"> </w:t>
      </w:r>
      <w:r w:rsidRPr="005556B3">
        <w:rPr>
          <w:rFonts w:ascii="Sylfaen" w:hAnsi="Sylfaen" w:cs="Sylfaen"/>
          <w:lang w:val="ka-GE"/>
        </w:rPr>
        <w:t>პროდუქტის</w:t>
      </w:r>
      <w:r w:rsidRPr="005556B3">
        <w:rPr>
          <w:rFonts w:ascii="Sylfaen" w:hAnsi="Sylfaen"/>
          <w:lang w:val="ka-GE"/>
        </w:rPr>
        <w:t xml:space="preserve"> </w:t>
      </w:r>
      <w:r w:rsidRPr="005556B3">
        <w:rPr>
          <w:rFonts w:ascii="Sylfaen" w:hAnsi="Sylfaen" w:cs="Sylfaen"/>
          <w:lang w:val="ka-GE"/>
        </w:rPr>
        <w:t>საბაზრო</w:t>
      </w:r>
      <w:r w:rsidRPr="005556B3">
        <w:rPr>
          <w:rFonts w:ascii="Sylfaen" w:hAnsi="Sylfaen"/>
          <w:lang w:val="ka-GE"/>
        </w:rPr>
        <w:t xml:space="preserve"> </w:t>
      </w:r>
      <w:r w:rsidRPr="005556B3">
        <w:rPr>
          <w:rFonts w:ascii="Sylfaen" w:hAnsi="Sylfaen" w:cs="Sylfaen"/>
          <w:lang w:val="ka-GE"/>
        </w:rPr>
        <w:t>ფასების</w:t>
      </w:r>
      <w:r w:rsidRPr="005556B3">
        <w:rPr>
          <w:rFonts w:ascii="Sylfaen" w:hAnsi="Sylfaen"/>
          <w:lang w:val="ka-GE"/>
        </w:rPr>
        <w:t xml:space="preserve"> </w:t>
      </w:r>
      <w:r w:rsidRPr="005556B3">
        <w:rPr>
          <w:rFonts w:ascii="Sylfaen" w:hAnsi="Sylfaen" w:cs="Sylfaen"/>
          <w:lang w:val="ka-GE"/>
        </w:rPr>
        <w:t>დასადგენად</w:t>
      </w:r>
      <w:r w:rsidRPr="005556B3">
        <w:rPr>
          <w:rFonts w:ascii="Sylfaen" w:hAnsi="Sylfaen"/>
          <w:lang w:val="ka-GE"/>
        </w:rPr>
        <w:t xml:space="preserve">. </w:t>
      </w:r>
      <w:r w:rsidRPr="005556B3">
        <w:rPr>
          <w:rFonts w:ascii="Sylfaen" w:hAnsi="Sylfaen" w:cs="Sylfaen"/>
          <w:lang w:val="ka-GE"/>
        </w:rPr>
        <w:t>დადგენილი</w:t>
      </w:r>
      <w:r w:rsidRPr="005556B3">
        <w:rPr>
          <w:rFonts w:ascii="Sylfaen" w:hAnsi="Sylfaen"/>
          <w:lang w:val="ka-GE"/>
        </w:rPr>
        <w:t xml:space="preserve"> </w:t>
      </w:r>
      <w:r w:rsidRPr="005556B3">
        <w:rPr>
          <w:rFonts w:ascii="Sylfaen" w:hAnsi="Sylfaen" w:cs="Sylfaen"/>
          <w:lang w:val="ka-GE"/>
        </w:rPr>
        <w:t>ფასები</w:t>
      </w:r>
      <w:r w:rsidRPr="005556B3">
        <w:rPr>
          <w:rFonts w:ascii="Sylfaen" w:hAnsi="Sylfaen"/>
          <w:lang w:val="ka-GE"/>
        </w:rPr>
        <w:t xml:space="preserve"> </w:t>
      </w:r>
      <w:r w:rsidRPr="005556B3">
        <w:rPr>
          <w:rFonts w:ascii="Sylfaen" w:hAnsi="Sylfaen" w:cs="Sylfaen"/>
          <w:lang w:val="ka-GE"/>
        </w:rPr>
        <w:t>გამოყენებული</w:t>
      </w:r>
      <w:r w:rsidRPr="005556B3">
        <w:rPr>
          <w:rFonts w:ascii="Sylfaen" w:hAnsi="Sylfaen"/>
          <w:lang w:val="ka-GE"/>
        </w:rPr>
        <w:t xml:space="preserve"> </w:t>
      </w:r>
      <w:r w:rsidRPr="005556B3">
        <w:rPr>
          <w:rFonts w:ascii="Sylfaen" w:hAnsi="Sylfaen" w:cs="Sylfaen"/>
          <w:lang w:val="ka-GE"/>
        </w:rPr>
        <w:t>იქნება</w:t>
      </w:r>
      <w:r w:rsidRPr="005556B3">
        <w:rPr>
          <w:rFonts w:ascii="Sylfaen" w:hAnsi="Sylfaen"/>
          <w:lang w:val="ka-GE"/>
        </w:rPr>
        <w:t xml:space="preserve">, </w:t>
      </w:r>
      <w:r w:rsidRPr="005556B3">
        <w:rPr>
          <w:rFonts w:ascii="Sylfaen" w:hAnsi="Sylfaen" w:cs="Sylfaen"/>
          <w:lang w:val="ka-GE"/>
        </w:rPr>
        <w:t>როგორც</w:t>
      </w:r>
      <w:r w:rsidRPr="005556B3">
        <w:rPr>
          <w:rFonts w:ascii="Sylfaen" w:hAnsi="Sylfaen"/>
          <w:lang w:val="ka-GE"/>
        </w:rPr>
        <w:t xml:space="preserve"> </w:t>
      </w:r>
      <w:r w:rsidRPr="005556B3">
        <w:rPr>
          <w:rFonts w:ascii="Sylfaen" w:hAnsi="Sylfaen" w:cs="Sylfaen"/>
          <w:lang w:val="ka-GE"/>
        </w:rPr>
        <w:t>ერთეული</w:t>
      </w:r>
      <w:r w:rsidRPr="005556B3">
        <w:rPr>
          <w:rFonts w:ascii="Sylfaen" w:hAnsi="Sylfaen"/>
          <w:lang w:val="ka-GE"/>
        </w:rPr>
        <w:t xml:space="preserve"> </w:t>
      </w:r>
      <w:r w:rsidRPr="005556B3">
        <w:rPr>
          <w:rFonts w:ascii="Sylfaen" w:hAnsi="Sylfaen" w:cs="Sylfaen"/>
          <w:lang w:val="ka-GE"/>
        </w:rPr>
        <w:t>ფასები</w:t>
      </w:r>
      <w:r w:rsidRPr="005556B3">
        <w:rPr>
          <w:rFonts w:ascii="Sylfaen" w:hAnsi="Sylfaen"/>
          <w:lang w:val="ka-GE"/>
        </w:rPr>
        <w:t xml:space="preserve"> </w:t>
      </w:r>
      <w:r w:rsidRPr="005556B3">
        <w:rPr>
          <w:rFonts w:ascii="Sylfaen" w:hAnsi="Sylfaen" w:cs="Sylfaen"/>
          <w:lang w:val="ka-GE"/>
        </w:rPr>
        <w:t>კომპენსაციის</w:t>
      </w:r>
      <w:r w:rsidRPr="005556B3">
        <w:rPr>
          <w:rFonts w:ascii="Sylfaen" w:hAnsi="Sylfaen"/>
          <w:lang w:val="ka-GE"/>
        </w:rPr>
        <w:t xml:space="preserve"> </w:t>
      </w:r>
      <w:r w:rsidRPr="005556B3">
        <w:rPr>
          <w:rFonts w:ascii="Sylfaen" w:hAnsi="Sylfaen" w:cs="Sylfaen"/>
          <w:lang w:val="ka-GE"/>
        </w:rPr>
        <w:t>მოცულობის</w:t>
      </w:r>
      <w:r w:rsidRPr="005556B3">
        <w:rPr>
          <w:rFonts w:ascii="Sylfaen" w:hAnsi="Sylfaen"/>
          <w:lang w:val="ka-GE"/>
        </w:rPr>
        <w:t xml:space="preserve"> </w:t>
      </w:r>
      <w:r w:rsidRPr="005556B3">
        <w:rPr>
          <w:rFonts w:ascii="Sylfaen" w:hAnsi="Sylfaen" w:cs="Sylfaen"/>
          <w:lang w:val="ka-GE"/>
        </w:rPr>
        <w:t>დასადგენად</w:t>
      </w:r>
      <w:r w:rsidRPr="005556B3">
        <w:rPr>
          <w:rFonts w:ascii="Sylfaen" w:hAnsi="Sylfaen"/>
          <w:lang w:val="ka-GE"/>
        </w:rPr>
        <w:t xml:space="preserve">. </w:t>
      </w:r>
      <w:r w:rsidRPr="005556B3">
        <w:rPr>
          <w:rFonts w:ascii="Sylfaen" w:hAnsi="Sylfaen" w:cs="Sylfaen"/>
          <w:lang w:val="ka-GE"/>
        </w:rPr>
        <w:t>აღნიშნული</w:t>
      </w:r>
      <w:r w:rsidRPr="005556B3">
        <w:rPr>
          <w:rFonts w:ascii="Sylfaen" w:hAnsi="Sylfaen"/>
          <w:lang w:val="ka-GE"/>
        </w:rPr>
        <w:t xml:space="preserve"> </w:t>
      </w:r>
      <w:r w:rsidRPr="005556B3">
        <w:rPr>
          <w:rFonts w:ascii="Sylfaen" w:hAnsi="Sylfaen" w:cs="Sylfaen"/>
          <w:lang w:val="ka-GE"/>
        </w:rPr>
        <w:t>ღონისძიება</w:t>
      </w:r>
      <w:r w:rsidRPr="005556B3">
        <w:rPr>
          <w:rFonts w:ascii="Sylfaen" w:hAnsi="Sylfaen"/>
          <w:lang w:val="ka-GE"/>
        </w:rPr>
        <w:t xml:space="preserve"> </w:t>
      </w:r>
      <w:r w:rsidRPr="005556B3">
        <w:rPr>
          <w:rFonts w:ascii="Sylfaen" w:hAnsi="Sylfaen" w:cs="Sylfaen"/>
          <w:lang w:val="ka-GE"/>
        </w:rPr>
        <w:t>საჭიროა</w:t>
      </w:r>
      <w:r w:rsidRPr="005556B3">
        <w:rPr>
          <w:rFonts w:ascii="Sylfaen" w:hAnsi="Sylfaen"/>
          <w:lang w:val="ka-GE"/>
        </w:rPr>
        <w:t xml:space="preserve"> </w:t>
      </w:r>
      <w:r w:rsidRPr="005556B3">
        <w:rPr>
          <w:rFonts w:ascii="Sylfaen" w:hAnsi="Sylfaen" w:cs="Sylfaen"/>
          <w:lang w:val="ka-GE"/>
        </w:rPr>
        <w:t>იმისთვის</w:t>
      </w:r>
      <w:r w:rsidRPr="005556B3">
        <w:rPr>
          <w:rFonts w:ascii="Sylfaen" w:hAnsi="Sylfaen"/>
          <w:lang w:val="ka-GE"/>
        </w:rPr>
        <w:t xml:space="preserve">, </w:t>
      </w:r>
      <w:r w:rsidRPr="005556B3">
        <w:rPr>
          <w:rFonts w:ascii="Sylfaen" w:hAnsi="Sylfaen" w:cs="Sylfaen"/>
          <w:lang w:val="ka-GE"/>
        </w:rPr>
        <w:t>რათა</w:t>
      </w:r>
      <w:r w:rsidRPr="005556B3">
        <w:rPr>
          <w:rFonts w:ascii="Sylfaen" w:hAnsi="Sylfaen"/>
          <w:lang w:val="ka-GE"/>
        </w:rPr>
        <w:t xml:space="preserve"> </w:t>
      </w:r>
      <w:r w:rsidRPr="005556B3">
        <w:rPr>
          <w:rFonts w:ascii="Sylfaen" w:hAnsi="Sylfaen" w:cs="Sylfaen"/>
          <w:lang w:val="ka-GE"/>
        </w:rPr>
        <w:t>საბაზრო</w:t>
      </w:r>
      <w:r w:rsidRPr="005556B3">
        <w:rPr>
          <w:rFonts w:ascii="Sylfaen" w:hAnsi="Sylfaen"/>
          <w:lang w:val="ka-GE"/>
        </w:rPr>
        <w:t xml:space="preserve"> </w:t>
      </w:r>
      <w:r w:rsidRPr="005556B3">
        <w:rPr>
          <w:rFonts w:ascii="Sylfaen" w:hAnsi="Sylfaen" w:cs="Sylfaen"/>
          <w:lang w:val="ka-GE"/>
        </w:rPr>
        <w:t>ფასები</w:t>
      </w:r>
      <w:r w:rsidRPr="005556B3">
        <w:rPr>
          <w:rFonts w:ascii="Sylfaen" w:hAnsi="Sylfaen"/>
          <w:lang w:val="ka-GE"/>
        </w:rPr>
        <w:t xml:space="preserve"> </w:t>
      </w:r>
      <w:r w:rsidRPr="005556B3">
        <w:rPr>
          <w:rFonts w:ascii="Sylfaen" w:hAnsi="Sylfaen" w:cs="Sylfaen"/>
          <w:lang w:val="ka-GE"/>
        </w:rPr>
        <w:t>საშუალებას</w:t>
      </w:r>
      <w:r w:rsidRPr="005556B3">
        <w:rPr>
          <w:rFonts w:ascii="Sylfaen" w:hAnsi="Sylfaen"/>
          <w:lang w:val="ka-GE"/>
        </w:rPr>
        <w:t xml:space="preserve"> </w:t>
      </w:r>
      <w:r w:rsidRPr="005556B3">
        <w:rPr>
          <w:rFonts w:ascii="Sylfaen" w:hAnsi="Sylfaen" w:cs="Sylfaen"/>
          <w:lang w:val="ka-GE"/>
        </w:rPr>
        <w:t>აძლევდეს</w:t>
      </w:r>
      <w:r w:rsidRPr="005556B3">
        <w:rPr>
          <w:rFonts w:ascii="Sylfaen" w:hAnsi="Sylfaen"/>
          <w:lang w:val="ka-GE"/>
        </w:rPr>
        <w:t xml:space="preserve"> </w:t>
      </w:r>
      <w:r w:rsidRPr="005556B3">
        <w:rPr>
          <w:rFonts w:ascii="Sylfaen" w:hAnsi="Sylfaen" w:cs="Sylfaen"/>
          <w:lang w:val="ka-GE"/>
        </w:rPr>
        <w:t>ზემოქმედების</w:t>
      </w:r>
      <w:r w:rsidRPr="005556B3">
        <w:rPr>
          <w:rFonts w:ascii="Sylfaen" w:hAnsi="Sylfaen"/>
          <w:lang w:val="ka-GE"/>
        </w:rPr>
        <w:t xml:space="preserve"> </w:t>
      </w:r>
      <w:r w:rsidRPr="005556B3">
        <w:rPr>
          <w:rFonts w:ascii="Sylfaen" w:hAnsi="Sylfaen" w:cs="Sylfaen"/>
          <w:lang w:val="ka-GE"/>
        </w:rPr>
        <w:t>ქვეშ</w:t>
      </w:r>
      <w:r w:rsidRPr="005556B3">
        <w:rPr>
          <w:rFonts w:ascii="Sylfaen" w:hAnsi="Sylfaen"/>
          <w:lang w:val="ka-GE"/>
        </w:rPr>
        <w:t xml:space="preserve"> </w:t>
      </w:r>
      <w:r w:rsidRPr="005556B3">
        <w:rPr>
          <w:rFonts w:ascii="Sylfaen" w:hAnsi="Sylfaen" w:cs="Sylfaen"/>
          <w:lang w:val="ka-GE"/>
        </w:rPr>
        <w:t>მყოფ</w:t>
      </w:r>
      <w:r w:rsidRPr="005556B3">
        <w:rPr>
          <w:rFonts w:ascii="Sylfaen" w:hAnsi="Sylfaen"/>
          <w:lang w:val="ka-GE"/>
        </w:rPr>
        <w:t xml:space="preserve"> </w:t>
      </w:r>
      <w:r w:rsidRPr="005556B3">
        <w:rPr>
          <w:rFonts w:ascii="Sylfaen" w:hAnsi="Sylfaen" w:cs="Sylfaen"/>
          <w:lang w:val="ka-GE"/>
        </w:rPr>
        <w:t>პირებს</w:t>
      </w:r>
      <w:r w:rsidRPr="005556B3">
        <w:rPr>
          <w:rFonts w:ascii="Sylfaen" w:hAnsi="Sylfaen"/>
          <w:lang w:val="ka-GE"/>
        </w:rPr>
        <w:t xml:space="preserve">, </w:t>
      </w:r>
      <w:r w:rsidRPr="005556B3">
        <w:rPr>
          <w:rFonts w:ascii="Sylfaen" w:hAnsi="Sylfaen" w:cs="Sylfaen"/>
          <w:lang w:val="ka-GE"/>
        </w:rPr>
        <w:t>შეიძინონ</w:t>
      </w:r>
      <w:r w:rsidRPr="005556B3">
        <w:rPr>
          <w:rFonts w:ascii="Sylfaen" w:hAnsi="Sylfaen"/>
          <w:lang w:val="ka-GE"/>
        </w:rPr>
        <w:t xml:space="preserve"> </w:t>
      </w:r>
      <w:r w:rsidRPr="005556B3">
        <w:rPr>
          <w:rFonts w:ascii="Sylfaen" w:hAnsi="Sylfaen" w:cs="Sylfaen"/>
          <w:lang w:val="ka-GE"/>
        </w:rPr>
        <w:t>სანაცვლო</w:t>
      </w:r>
      <w:r w:rsidRPr="005556B3">
        <w:rPr>
          <w:rFonts w:ascii="Sylfaen" w:hAnsi="Sylfaen"/>
          <w:lang w:val="ka-GE"/>
        </w:rPr>
        <w:t xml:space="preserve"> </w:t>
      </w:r>
      <w:r w:rsidRPr="005556B3">
        <w:rPr>
          <w:rFonts w:ascii="Sylfaen" w:hAnsi="Sylfaen" w:cs="Sylfaen"/>
          <w:lang w:val="ka-GE"/>
        </w:rPr>
        <w:t>მიწა</w:t>
      </w:r>
      <w:r w:rsidRPr="005556B3">
        <w:rPr>
          <w:rFonts w:ascii="Sylfaen" w:hAnsi="Sylfaen"/>
          <w:lang w:val="ka-GE"/>
        </w:rPr>
        <w:t>.</w:t>
      </w:r>
    </w:p>
    <w:p w14:paraId="487CC672"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w:t>
      </w:r>
      <w:r w:rsidRPr="005556B3">
        <w:rPr>
          <w:rFonts w:ascii="Sylfaen" w:hAnsi="Sylfaen" w:cs="Sylfaen"/>
          <w:lang w:val="ka-GE"/>
        </w:rPr>
        <w:t>შემოსავლისა</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აქტივების</w:t>
      </w:r>
      <w:r w:rsidRPr="005556B3">
        <w:rPr>
          <w:rFonts w:ascii="Sylfaen" w:hAnsi="Sylfaen"/>
          <w:lang w:val="ka-GE"/>
        </w:rPr>
        <w:t xml:space="preserve"> </w:t>
      </w:r>
      <w:r w:rsidRPr="005556B3">
        <w:rPr>
          <w:rFonts w:ascii="Sylfaen" w:hAnsi="Sylfaen" w:cs="Sylfaen"/>
          <w:lang w:val="ka-GE"/>
        </w:rPr>
        <w:t>დაკარგვა</w:t>
      </w:r>
      <w:r w:rsidRPr="005556B3">
        <w:rPr>
          <w:rFonts w:ascii="Sylfaen" w:hAnsi="Sylfaen"/>
          <w:lang w:val="ka-GE"/>
        </w:rPr>
        <w:t xml:space="preserve"> </w:t>
      </w:r>
      <w:r w:rsidRPr="005556B3">
        <w:rPr>
          <w:rFonts w:ascii="Sylfaen" w:hAnsi="Sylfaen" w:cs="Sylfaen"/>
          <w:lang w:val="ka-GE"/>
        </w:rPr>
        <w:t>ანაზღაურება</w:t>
      </w:r>
      <w:r w:rsidRPr="005556B3">
        <w:rPr>
          <w:rFonts w:ascii="Sylfaen" w:hAnsi="Sylfaen"/>
          <w:lang w:val="ka-GE"/>
        </w:rPr>
        <w:t xml:space="preserve"> </w:t>
      </w:r>
      <w:r w:rsidRPr="005556B3">
        <w:rPr>
          <w:rFonts w:ascii="Sylfaen" w:hAnsi="Sylfaen" w:cs="Sylfaen"/>
          <w:lang w:val="ka-GE"/>
        </w:rPr>
        <w:t>წმინდა</w:t>
      </w:r>
      <w:r w:rsidRPr="005556B3">
        <w:rPr>
          <w:rFonts w:ascii="Sylfaen" w:hAnsi="Sylfaen"/>
          <w:lang w:val="ka-GE"/>
        </w:rPr>
        <w:t xml:space="preserve"> </w:t>
      </w:r>
      <w:r w:rsidRPr="005556B3">
        <w:rPr>
          <w:rFonts w:ascii="Sylfaen" w:hAnsi="Sylfaen" w:cs="Sylfaen"/>
          <w:lang w:val="ka-GE"/>
        </w:rPr>
        <w:t>გაანგარიშებით</w:t>
      </w:r>
      <w:r w:rsidRPr="005556B3">
        <w:rPr>
          <w:rFonts w:ascii="Sylfaen" w:hAnsi="Sylfaen"/>
          <w:lang w:val="ka-GE"/>
        </w:rPr>
        <w:t xml:space="preserve"> </w:t>
      </w:r>
      <w:r w:rsidRPr="005556B3">
        <w:rPr>
          <w:rFonts w:ascii="Sylfaen" w:hAnsi="Sylfaen" w:cs="Sylfaen"/>
          <w:lang w:val="ka-GE"/>
        </w:rPr>
        <w:t>გადასახადების</w:t>
      </w:r>
      <w:r w:rsidRPr="005556B3">
        <w:rPr>
          <w:rFonts w:ascii="Sylfaen" w:hAnsi="Sylfaen"/>
          <w:lang w:val="ka-GE"/>
        </w:rPr>
        <w:t xml:space="preserve">, </w:t>
      </w:r>
      <w:r w:rsidRPr="005556B3">
        <w:rPr>
          <w:rFonts w:ascii="Sylfaen" w:hAnsi="Sylfaen" w:cs="Sylfaen"/>
          <w:lang w:val="ka-GE"/>
        </w:rPr>
        <w:t>ცვეთისა</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სხვა</w:t>
      </w:r>
      <w:r w:rsidRPr="005556B3">
        <w:rPr>
          <w:rFonts w:ascii="Sylfaen" w:hAnsi="Sylfaen"/>
          <w:lang w:val="ka-GE"/>
        </w:rPr>
        <w:t xml:space="preserve"> </w:t>
      </w:r>
      <w:r w:rsidRPr="005556B3">
        <w:rPr>
          <w:rFonts w:ascii="Sylfaen" w:hAnsi="Sylfaen" w:cs="Sylfaen"/>
          <w:lang w:val="ka-GE"/>
        </w:rPr>
        <w:t>გამოქვითვების</w:t>
      </w:r>
      <w:r w:rsidRPr="005556B3">
        <w:rPr>
          <w:rFonts w:ascii="Sylfaen" w:hAnsi="Sylfaen"/>
          <w:lang w:val="ka-GE"/>
        </w:rPr>
        <w:t xml:space="preserve"> </w:t>
      </w:r>
      <w:r w:rsidRPr="005556B3">
        <w:rPr>
          <w:rFonts w:ascii="Sylfaen" w:hAnsi="Sylfaen" w:cs="Sylfaen"/>
          <w:lang w:val="ka-GE"/>
        </w:rPr>
        <w:t>გარეშე</w:t>
      </w:r>
      <w:r w:rsidRPr="005556B3">
        <w:rPr>
          <w:rFonts w:ascii="Sylfaen" w:hAnsi="Sylfaen"/>
          <w:lang w:val="ka-GE"/>
        </w:rPr>
        <w:t>.</w:t>
      </w:r>
    </w:p>
    <w:p w14:paraId="75D5E185"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w:t>
      </w:r>
      <w:r w:rsidRPr="005556B3">
        <w:rPr>
          <w:rFonts w:ascii="Sylfaen" w:hAnsi="Sylfaen" w:cs="Sylfaen"/>
          <w:lang w:val="ka-GE"/>
        </w:rPr>
        <w:t>განსახლების</w:t>
      </w:r>
      <w:r w:rsidRPr="005556B3">
        <w:rPr>
          <w:rFonts w:ascii="Sylfaen" w:hAnsi="Sylfaen"/>
          <w:lang w:val="ka-GE"/>
        </w:rPr>
        <w:t xml:space="preserve"> </w:t>
      </w:r>
      <w:r w:rsidRPr="005556B3">
        <w:rPr>
          <w:rFonts w:ascii="Sylfaen" w:hAnsi="Sylfaen" w:cs="Sylfaen"/>
          <w:lang w:val="ka-GE"/>
        </w:rPr>
        <w:t>სამოქმედო</w:t>
      </w:r>
      <w:r w:rsidRPr="005556B3">
        <w:rPr>
          <w:rFonts w:ascii="Sylfaen" w:hAnsi="Sylfaen"/>
          <w:lang w:val="ka-GE"/>
        </w:rPr>
        <w:t xml:space="preserve"> </w:t>
      </w:r>
      <w:r w:rsidRPr="005556B3">
        <w:rPr>
          <w:rFonts w:ascii="Sylfaen" w:hAnsi="Sylfaen" w:cs="Sylfaen"/>
          <w:lang w:val="ka-GE"/>
        </w:rPr>
        <w:t>გეგმის</w:t>
      </w:r>
      <w:r w:rsidRPr="005556B3">
        <w:rPr>
          <w:rFonts w:ascii="Sylfaen" w:hAnsi="Sylfaen"/>
          <w:lang w:val="ka-GE"/>
        </w:rPr>
        <w:t xml:space="preserve"> </w:t>
      </w:r>
      <w:r w:rsidRPr="005556B3">
        <w:rPr>
          <w:rFonts w:ascii="Sylfaen" w:hAnsi="Sylfaen" w:cs="Sylfaen"/>
          <w:lang w:val="ka-GE"/>
        </w:rPr>
        <w:t>საბოლოო</w:t>
      </w:r>
      <w:r w:rsidRPr="005556B3">
        <w:rPr>
          <w:rFonts w:ascii="Sylfaen" w:hAnsi="Sylfaen"/>
          <w:lang w:val="ka-GE"/>
        </w:rPr>
        <w:t xml:space="preserve"> </w:t>
      </w:r>
      <w:r w:rsidRPr="005556B3">
        <w:rPr>
          <w:rFonts w:ascii="Sylfaen" w:hAnsi="Sylfaen" w:cs="Sylfaen"/>
          <w:lang w:val="ka-GE"/>
        </w:rPr>
        <w:t>პროექტი</w:t>
      </w:r>
      <w:r w:rsidRPr="005556B3">
        <w:rPr>
          <w:rFonts w:ascii="Sylfaen" w:hAnsi="Sylfaen"/>
          <w:lang w:val="ka-GE"/>
        </w:rPr>
        <w:t xml:space="preserve"> </w:t>
      </w:r>
      <w:r w:rsidRPr="005556B3">
        <w:rPr>
          <w:rFonts w:ascii="Sylfaen" w:hAnsi="Sylfaen" w:cs="Sylfaen"/>
          <w:lang w:val="ka-GE"/>
        </w:rPr>
        <w:t>წარედგინება</w:t>
      </w:r>
      <w:r w:rsidRPr="005556B3">
        <w:rPr>
          <w:rFonts w:ascii="Sylfaen" w:hAnsi="Sylfaen"/>
          <w:lang w:val="ka-GE"/>
        </w:rPr>
        <w:t xml:space="preserve"> </w:t>
      </w:r>
      <w:r w:rsidRPr="005556B3">
        <w:rPr>
          <w:rFonts w:ascii="Sylfaen" w:hAnsi="Sylfaen" w:cs="Sylfaen"/>
          <w:lang w:val="ka-GE"/>
        </w:rPr>
        <w:t>ბანკს</w:t>
      </w:r>
      <w:r w:rsidRPr="005556B3">
        <w:rPr>
          <w:rFonts w:ascii="Sylfaen" w:hAnsi="Sylfaen"/>
          <w:lang w:val="ka-GE"/>
        </w:rPr>
        <w:t xml:space="preserve">, </w:t>
      </w:r>
      <w:r w:rsidRPr="005556B3">
        <w:rPr>
          <w:rFonts w:ascii="Sylfaen" w:hAnsi="Sylfaen" w:cs="Sylfaen"/>
          <w:lang w:val="ka-GE"/>
        </w:rPr>
        <w:t>რომელიც</w:t>
      </w:r>
      <w:r w:rsidRPr="005556B3">
        <w:rPr>
          <w:rFonts w:ascii="Sylfaen" w:hAnsi="Sylfaen"/>
          <w:lang w:val="ka-GE"/>
        </w:rPr>
        <w:t xml:space="preserve"> </w:t>
      </w:r>
      <w:r w:rsidRPr="005556B3">
        <w:rPr>
          <w:rFonts w:ascii="Sylfaen" w:hAnsi="Sylfaen" w:cs="Sylfaen"/>
          <w:lang w:val="ka-GE"/>
        </w:rPr>
        <w:t>დაამტკიცებს</w:t>
      </w:r>
      <w:r w:rsidRPr="005556B3">
        <w:rPr>
          <w:rFonts w:ascii="Sylfaen" w:hAnsi="Sylfaen"/>
          <w:lang w:val="ka-GE"/>
        </w:rPr>
        <w:t xml:space="preserve"> </w:t>
      </w:r>
      <w:r w:rsidRPr="005556B3">
        <w:rPr>
          <w:rFonts w:ascii="Sylfaen" w:hAnsi="Sylfaen" w:cs="Sylfaen"/>
          <w:lang w:val="ka-GE"/>
        </w:rPr>
        <w:t>მას</w:t>
      </w:r>
      <w:r w:rsidRPr="005556B3">
        <w:rPr>
          <w:rFonts w:ascii="Sylfaen" w:hAnsi="Sylfaen"/>
          <w:lang w:val="ka-GE"/>
        </w:rPr>
        <w:t xml:space="preserve"> </w:t>
      </w:r>
      <w:r w:rsidRPr="005556B3">
        <w:rPr>
          <w:rFonts w:ascii="Sylfaen" w:hAnsi="Sylfaen" w:cs="Sylfaen"/>
          <w:lang w:val="ka-GE"/>
        </w:rPr>
        <w:t>შესაბამის</w:t>
      </w:r>
      <w:r w:rsidRPr="005556B3">
        <w:rPr>
          <w:rFonts w:ascii="Sylfaen" w:hAnsi="Sylfaen"/>
          <w:lang w:val="ka-GE"/>
        </w:rPr>
        <w:t xml:space="preserve"> </w:t>
      </w:r>
      <w:r w:rsidRPr="005556B3">
        <w:rPr>
          <w:rFonts w:ascii="Sylfaen" w:hAnsi="Sylfaen" w:cs="Sylfaen"/>
          <w:lang w:val="ka-GE"/>
        </w:rPr>
        <w:t>მონაკვეთებზე</w:t>
      </w:r>
      <w:r w:rsidRPr="005556B3">
        <w:rPr>
          <w:rFonts w:ascii="Sylfaen" w:hAnsi="Sylfaen"/>
          <w:lang w:val="ka-GE"/>
        </w:rPr>
        <w:t xml:space="preserve"> </w:t>
      </w:r>
      <w:r w:rsidRPr="005556B3">
        <w:rPr>
          <w:rFonts w:ascii="Sylfaen" w:hAnsi="Sylfaen" w:cs="Sylfaen"/>
          <w:lang w:val="ka-GE"/>
        </w:rPr>
        <w:t>სამშენებლო</w:t>
      </w:r>
      <w:r w:rsidRPr="005556B3">
        <w:rPr>
          <w:rFonts w:ascii="Sylfaen" w:hAnsi="Sylfaen"/>
          <w:lang w:val="ka-GE"/>
        </w:rPr>
        <w:t xml:space="preserve"> </w:t>
      </w:r>
      <w:r w:rsidRPr="005556B3">
        <w:rPr>
          <w:rFonts w:ascii="Sylfaen" w:hAnsi="Sylfaen" w:cs="Sylfaen"/>
          <w:lang w:val="ka-GE"/>
        </w:rPr>
        <w:t>სამუშაოების</w:t>
      </w:r>
      <w:r w:rsidRPr="005556B3">
        <w:rPr>
          <w:rFonts w:ascii="Sylfaen" w:hAnsi="Sylfaen"/>
          <w:lang w:val="ka-GE"/>
        </w:rPr>
        <w:t xml:space="preserve"> </w:t>
      </w:r>
      <w:r w:rsidRPr="005556B3">
        <w:rPr>
          <w:rFonts w:ascii="Sylfaen" w:hAnsi="Sylfaen" w:cs="Sylfaen"/>
          <w:lang w:val="ka-GE"/>
        </w:rPr>
        <w:t>დაწყებამდე</w:t>
      </w:r>
      <w:r w:rsidRPr="005556B3">
        <w:rPr>
          <w:rFonts w:ascii="Sylfaen" w:hAnsi="Sylfaen"/>
          <w:lang w:val="ka-GE"/>
        </w:rPr>
        <w:t>.</w:t>
      </w:r>
    </w:p>
    <w:p w14:paraId="2939B0EA" w14:textId="77777777" w:rsidR="00692F2E" w:rsidRPr="005556B3" w:rsidRDefault="00692F2E" w:rsidP="00B74656">
      <w:pPr>
        <w:spacing w:before="120" w:after="120"/>
        <w:ind w:right="-90"/>
        <w:rPr>
          <w:rFonts w:ascii="Sylfaen" w:hAnsi="Sylfaen"/>
          <w:lang w:val="ka-GE"/>
        </w:rPr>
      </w:pPr>
      <w:r w:rsidRPr="005556B3">
        <w:rPr>
          <w:rFonts w:ascii="Sylfaen" w:hAnsi="Sylfaen" w:cs="Sylfaen"/>
          <w:lang w:val="ka-GE"/>
        </w:rPr>
        <w:lastRenderedPageBreak/>
        <w:t>მიწის</w:t>
      </w:r>
      <w:r w:rsidRPr="005556B3">
        <w:rPr>
          <w:rFonts w:ascii="Sylfaen" w:hAnsi="Sylfaen"/>
          <w:lang w:val="ka-GE"/>
        </w:rPr>
        <w:t xml:space="preserve"> </w:t>
      </w:r>
      <w:r w:rsidRPr="005556B3">
        <w:rPr>
          <w:rFonts w:ascii="Sylfaen" w:hAnsi="Sylfaen" w:cs="Sylfaen"/>
          <w:lang w:val="ka-GE"/>
        </w:rPr>
        <w:t>შეძენის</w:t>
      </w:r>
      <w:r w:rsidRPr="005556B3">
        <w:rPr>
          <w:rFonts w:ascii="Sylfaen" w:hAnsi="Sylfaen"/>
          <w:lang w:val="ka-GE"/>
        </w:rPr>
        <w:t xml:space="preserve"> </w:t>
      </w:r>
      <w:r w:rsidRPr="005556B3">
        <w:rPr>
          <w:rFonts w:ascii="Sylfaen" w:hAnsi="Sylfaen" w:cs="Sylfaen"/>
          <w:lang w:val="ka-GE"/>
        </w:rPr>
        <w:t>პროცედურის</w:t>
      </w:r>
      <w:r w:rsidRPr="005556B3">
        <w:rPr>
          <w:rFonts w:ascii="Sylfaen" w:hAnsi="Sylfaen"/>
          <w:lang w:val="ka-GE"/>
        </w:rPr>
        <w:t xml:space="preserve"> </w:t>
      </w:r>
      <w:r w:rsidRPr="005556B3">
        <w:rPr>
          <w:rFonts w:ascii="Sylfaen" w:hAnsi="Sylfaen" w:cs="Sylfaen"/>
          <w:lang w:val="ka-GE"/>
        </w:rPr>
        <w:t>დეტალები</w:t>
      </w:r>
      <w:r w:rsidRPr="005556B3">
        <w:rPr>
          <w:rFonts w:ascii="Sylfaen" w:hAnsi="Sylfaen"/>
          <w:lang w:val="ka-GE"/>
        </w:rPr>
        <w:t xml:space="preserve"> </w:t>
      </w:r>
      <w:r w:rsidRPr="005556B3">
        <w:rPr>
          <w:rFonts w:ascii="Sylfaen" w:hAnsi="Sylfaen" w:cs="Sylfaen"/>
          <w:lang w:val="ka-GE"/>
        </w:rPr>
        <w:t>მოცემული</w:t>
      </w:r>
      <w:r w:rsidRPr="005556B3">
        <w:rPr>
          <w:rFonts w:ascii="Sylfaen" w:hAnsi="Sylfaen"/>
          <w:lang w:val="ka-GE"/>
        </w:rPr>
        <w:t xml:space="preserve"> </w:t>
      </w:r>
      <w:r w:rsidRPr="005556B3">
        <w:rPr>
          <w:rFonts w:ascii="Sylfaen" w:hAnsi="Sylfaen" w:cs="Sylfaen"/>
          <w:lang w:val="ka-GE"/>
        </w:rPr>
        <w:t>იქნება</w:t>
      </w:r>
      <w:r w:rsidRPr="005556B3">
        <w:rPr>
          <w:rFonts w:ascii="Sylfaen" w:hAnsi="Sylfaen"/>
          <w:lang w:val="ka-GE"/>
        </w:rPr>
        <w:t xml:space="preserve"> </w:t>
      </w:r>
      <w:r w:rsidRPr="005556B3">
        <w:rPr>
          <w:rFonts w:ascii="Sylfaen" w:hAnsi="Sylfaen" w:cs="Sylfaen"/>
          <w:lang w:val="ka-GE"/>
        </w:rPr>
        <w:t>განსახლების</w:t>
      </w:r>
      <w:r w:rsidRPr="005556B3">
        <w:rPr>
          <w:rFonts w:ascii="Sylfaen" w:hAnsi="Sylfaen"/>
          <w:lang w:val="ka-GE"/>
        </w:rPr>
        <w:t xml:space="preserve"> </w:t>
      </w:r>
      <w:r w:rsidRPr="005556B3">
        <w:rPr>
          <w:rFonts w:ascii="Sylfaen" w:hAnsi="Sylfaen" w:cs="Sylfaen"/>
          <w:lang w:val="ka-GE"/>
        </w:rPr>
        <w:t>სამოქმედო</w:t>
      </w:r>
      <w:r w:rsidRPr="005556B3">
        <w:rPr>
          <w:rFonts w:ascii="Sylfaen" w:hAnsi="Sylfaen"/>
          <w:lang w:val="ka-GE"/>
        </w:rPr>
        <w:t xml:space="preserve"> </w:t>
      </w:r>
      <w:r w:rsidRPr="005556B3">
        <w:rPr>
          <w:rFonts w:ascii="Sylfaen" w:hAnsi="Sylfaen" w:cs="Sylfaen"/>
          <w:lang w:val="ka-GE"/>
        </w:rPr>
        <w:t>გეგმაში</w:t>
      </w:r>
      <w:r w:rsidRPr="005556B3">
        <w:rPr>
          <w:rFonts w:ascii="Sylfaen" w:hAnsi="Sylfaen"/>
          <w:lang w:val="ka-GE"/>
        </w:rPr>
        <w:t xml:space="preserve">. </w:t>
      </w:r>
      <w:r w:rsidRPr="005556B3">
        <w:rPr>
          <w:rFonts w:ascii="Sylfaen" w:hAnsi="Sylfaen" w:cs="Sylfaen"/>
          <w:lang w:val="ka-GE"/>
        </w:rPr>
        <w:t>თუმცა</w:t>
      </w:r>
      <w:r w:rsidRPr="005556B3">
        <w:rPr>
          <w:rFonts w:ascii="Sylfaen" w:hAnsi="Sylfaen"/>
          <w:lang w:val="ka-GE"/>
        </w:rPr>
        <w:t xml:space="preserve">, </w:t>
      </w:r>
      <w:r w:rsidRPr="005556B3">
        <w:rPr>
          <w:rFonts w:ascii="Sylfaen" w:hAnsi="Sylfaen" w:cs="Sylfaen"/>
          <w:lang w:val="ka-GE"/>
        </w:rPr>
        <w:t>უნდა</w:t>
      </w:r>
      <w:r w:rsidRPr="005556B3">
        <w:rPr>
          <w:rFonts w:ascii="Sylfaen" w:hAnsi="Sylfaen"/>
          <w:lang w:val="ka-GE"/>
        </w:rPr>
        <w:t xml:space="preserve"> </w:t>
      </w:r>
      <w:r w:rsidRPr="005556B3">
        <w:rPr>
          <w:rFonts w:ascii="Sylfaen" w:hAnsi="Sylfaen" w:cs="Sylfaen"/>
          <w:lang w:val="ka-GE"/>
        </w:rPr>
        <w:t>აღინიშნოს</w:t>
      </w:r>
      <w:r w:rsidRPr="005556B3">
        <w:rPr>
          <w:rFonts w:ascii="Sylfaen" w:hAnsi="Sylfaen"/>
          <w:lang w:val="ka-GE"/>
        </w:rPr>
        <w:t xml:space="preserve"> </w:t>
      </w:r>
      <w:r w:rsidRPr="005556B3">
        <w:rPr>
          <w:rFonts w:ascii="Sylfaen" w:hAnsi="Sylfaen" w:cs="Sylfaen"/>
          <w:lang w:val="ka-GE"/>
        </w:rPr>
        <w:t>მათში</w:t>
      </w:r>
      <w:r w:rsidRPr="005556B3">
        <w:rPr>
          <w:rFonts w:ascii="Sylfaen" w:hAnsi="Sylfaen"/>
          <w:lang w:val="ka-GE"/>
        </w:rPr>
        <w:t xml:space="preserve"> </w:t>
      </w:r>
      <w:r w:rsidRPr="005556B3">
        <w:rPr>
          <w:rFonts w:ascii="Sylfaen" w:hAnsi="Sylfaen" w:cs="Sylfaen"/>
          <w:lang w:val="ka-GE"/>
        </w:rPr>
        <w:t>შემავალი</w:t>
      </w:r>
      <w:r w:rsidRPr="005556B3">
        <w:rPr>
          <w:rFonts w:ascii="Sylfaen" w:hAnsi="Sylfaen"/>
          <w:lang w:val="ka-GE"/>
        </w:rPr>
        <w:t xml:space="preserve"> </w:t>
      </w:r>
      <w:r w:rsidRPr="005556B3">
        <w:rPr>
          <w:rFonts w:ascii="Sylfaen" w:hAnsi="Sylfaen" w:cs="Sylfaen"/>
          <w:lang w:val="ka-GE"/>
        </w:rPr>
        <w:t>შემდეგი</w:t>
      </w:r>
      <w:r w:rsidRPr="005556B3">
        <w:rPr>
          <w:rFonts w:ascii="Sylfaen" w:hAnsi="Sylfaen"/>
          <w:lang w:val="ka-GE"/>
        </w:rPr>
        <w:t xml:space="preserve"> </w:t>
      </w:r>
      <w:r w:rsidRPr="005556B3">
        <w:rPr>
          <w:rFonts w:ascii="Sylfaen" w:hAnsi="Sylfaen" w:cs="Sylfaen"/>
          <w:lang w:val="ka-GE"/>
        </w:rPr>
        <w:t>ასპექტები</w:t>
      </w:r>
      <w:r w:rsidRPr="005556B3">
        <w:rPr>
          <w:rFonts w:ascii="Sylfaen" w:hAnsi="Sylfaen"/>
          <w:lang w:val="ka-GE"/>
        </w:rPr>
        <w:t xml:space="preserve">: </w:t>
      </w:r>
    </w:p>
    <w:p w14:paraId="2544D5C1"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w:t>
      </w:r>
      <w:r w:rsidRPr="005556B3">
        <w:rPr>
          <w:rFonts w:ascii="Sylfaen" w:hAnsi="Sylfaen" w:cs="Sylfaen"/>
          <w:lang w:val="ka-GE"/>
        </w:rPr>
        <w:t>კონსულტაცია</w:t>
      </w:r>
      <w:r w:rsidRPr="005556B3">
        <w:rPr>
          <w:rFonts w:ascii="Sylfaen" w:hAnsi="Sylfaen"/>
          <w:lang w:val="ka-GE"/>
        </w:rPr>
        <w:t xml:space="preserve">  </w:t>
      </w:r>
      <w:r w:rsidRPr="005556B3">
        <w:rPr>
          <w:rFonts w:ascii="Sylfaen" w:hAnsi="Sylfaen" w:cs="Sylfaen"/>
          <w:lang w:val="ka-GE"/>
        </w:rPr>
        <w:t>საწყის</w:t>
      </w:r>
      <w:r w:rsidRPr="005556B3">
        <w:rPr>
          <w:rFonts w:ascii="Sylfaen" w:hAnsi="Sylfaen"/>
          <w:lang w:val="ka-GE"/>
        </w:rPr>
        <w:t xml:space="preserve"> </w:t>
      </w:r>
      <w:r w:rsidRPr="005556B3">
        <w:rPr>
          <w:rFonts w:ascii="Sylfaen" w:hAnsi="Sylfaen" w:cs="Sylfaen"/>
          <w:lang w:val="ka-GE"/>
        </w:rPr>
        <w:t>ეტაპზე</w:t>
      </w:r>
      <w:r w:rsidRPr="005556B3">
        <w:rPr>
          <w:rFonts w:ascii="Sylfaen" w:hAnsi="Sylfaen"/>
          <w:lang w:val="ka-GE"/>
        </w:rPr>
        <w:t xml:space="preserve"> </w:t>
      </w:r>
      <w:r w:rsidRPr="005556B3">
        <w:rPr>
          <w:rFonts w:ascii="Sylfaen" w:hAnsi="Sylfaen" w:cs="Sylfaen"/>
          <w:lang w:val="ka-GE"/>
        </w:rPr>
        <w:t>ზმქ</w:t>
      </w:r>
      <w:r w:rsidRPr="005556B3">
        <w:rPr>
          <w:rFonts w:ascii="Sylfaen" w:hAnsi="Sylfaen"/>
          <w:lang w:val="ka-GE"/>
        </w:rPr>
        <w:t xml:space="preserve"> </w:t>
      </w:r>
      <w:r w:rsidRPr="005556B3">
        <w:rPr>
          <w:rFonts w:ascii="Sylfaen" w:hAnsi="Sylfaen" w:cs="Sylfaen"/>
          <w:lang w:val="ka-GE"/>
        </w:rPr>
        <w:t>პირებთან</w:t>
      </w:r>
      <w:r w:rsidRPr="005556B3">
        <w:rPr>
          <w:rFonts w:ascii="Sylfaen" w:hAnsi="Sylfaen"/>
          <w:lang w:val="ka-GE"/>
        </w:rPr>
        <w:t xml:space="preserve"> </w:t>
      </w:r>
      <w:r w:rsidRPr="005556B3">
        <w:rPr>
          <w:rFonts w:ascii="Sylfaen" w:hAnsi="Sylfaen" w:cs="Sylfaen"/>
          <w:lang w:val="ka-GE"/>
        </w:rPr>
        <w:t>პროექტისა</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ზემოქმედების</w:t>
      </w:r>
      <w:r w:rsidRPr="005556B3">
        <w:rPr>
          <w:rFonts w:ascii="Sylfaen" w:hAnsi="Sylfaen"/>
          <w:lang w:val="ka-GE"/>
        </w:rPr>
        <w:t xml:space="preserve"> </w:t>
      </w:r>
      <w:r w:rsidRPr="005556B3">
        <w:rPr>
          <w:rFonts w:ascii="Sylfaen" w:hAnsi="Sylfaen" w:cs="Sylfaen"/>
          <w:lang w:val="ka-GE"/>
        </w:rPr>
        <w:t>გასაცნობად</w:t>
      </w:r>
      <w:r w:rsidRPr="005556B3">
        <w:rPr>
          <w:rFonts w:ascii="Sylfaen" w:hAnsi="Sylfaen"/>
          <w:lang w:val="ka-GE"/>
        </w:rPr>
        <w:t xml:space="preserve"> </w:t>
      </w:r>
    </w:p>
    <w:p w14:paraId="5CC9114C"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w:t>
      </w:r>
      <w:r w:rsidRPr="005556B3">
        <w:rPr>
          <w:rFonts w:ascii="Sylfaen" w:hAnsi="Sylfaen" w:cs="Sylfaen"/>
          <w:lang w:val="ka-GE"/>
        </w:rPr>
        <w:t>ზმქ</w:t>
      </w:r>
      <w:r w:rsidRPr="005556B3">
        <w:rPr>
          <w:rFonts w:ascii="Sylfaen" w:hAnsi="Sylfaen"/>
          <w:lang w:val="ka-GE"/>
        </w:rPr>
        <w:t xml:space="preserve"> </w:t>
      </w:r>
      <w:r w:rsidRPr="005556B3">
        <w:rPr>
          <w:rFonts w:ascii="Sylfaen" w:hAnsi="Sylfaen" w:cs="Sylfaen"/>
          <w:lang w:val="ka-GE"/>
        </w:rPr>
        <w:t>პირების</w:t>
      </w:r>
      <w:r w:rsidRPr="005556B3">
        <w:rPr>
          <w:rFonts w:ascii="Sylfaen" w:hAnsi="Sylfaen"/>
          <w:lang w:val="ka-GE"/>
        </w:rPr>
        <w:t xml:space="preserve"> </w:t>
      </w:r>
      <w:r w:rsidRPr="005556B3">
        <w:rPr>
          <w:rFonts w:ascii="Sylfaen" w:hAnsi="Sylfaen" w:cs="Sylfaen"/>
          <w:lang w:val="ka-GE"/>
        </w:rPr>
        <w:t>აღწერა</w:t>
      </w:r>
      <w:r w:rsidRPr="005556B3">
        <w:rPr>
          <w:rFonts w:ascii="Sylfaen" w:hAnsi="Sylfaen"/>
          <w:lang w:val="ka-GE"/>
        </w:rPr>
        <w:t xml:space="preserve">, </w:t>
      </w:r>
      <w:r w:rsidRPr="005556B3">
        <w:rPr>
          <w:rFonts w:ascii="Sylfaen" w:hAnsi="Sylfaen" w:cs="Sylfaen"/>
          <w:lang w:val="ka-GE"/>
        </w:rPr>
        <w:t>გეოგრაფიული</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სოციალურ</w:t>
      </w:r>
      <w:r w:rsidRPr="005556B3">
        <w:rPr>
          <w:rFonts w:ascii="Sylfaen" w:hAnsi="Sylfaen"/>
          <w:lang w:val="ka-GE"/>
        </w:rPr>
        <w:t>-</w:t>
      </w:r>
      <w:r w:rsidRPr="005556B3">
        <w:rPr>
          <w:rFonts w:ascii="Sylfaen" w:hAnsi="Sylfaen" w:cs="Sylfaen"/>
          <w:lang w:val="ka-GE"/>
        </w:rPr>
        <w:t>ეკონომიკური</w:t>
      </w:r>
      <w:r w:rsidRPr="005556B3">
        <w:rPr>
          <w:rFonts w:ascii="Sylfaen" w:hAnsi="Sylfaen"/>
          <w:lang w:val="ka-GE"/>
        </w:rPr>
        <w:t xml:space="preserve"> </w:t>
      </w:r>
      <w:r w:rsidRPr="005556B3">
        <w:rPr>
          <w:rFonts w:ascii="Sylfaen" w:hAnsi="Sylfaen" w:cs="Sylfaen"/>
          <w:lang w:val="ka-GE"/>
        </w:rPr>
        <w:t>კვლევა</w:t>
      </w:r>
    </w:p>
    <w:p w14:paraId="28A975B0"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 </w:t>
      </w:r>
      <w:r w:rsidRPr="005556B3">
        <w:rPr>
          <w:rFonts w:ascii="Sylfaen" w:hAnsi="Sylfaen" w:cs="Sylfaen"/>
          <w:lang w:val="ka-GE"/>
        </w:rPr>
        <w:t>ზმქ</w:t>
      </w:r>
      <w:r w:rsidRPr="005556B3">
        <w:rPr>
          <w:rFonts w:ascii="Sylfaen" w:hAnsi="Sylfaen"/>
          <w:lang w:val="ka-GE"/>
        </w:rPr>
        <w:t xml:space="preserve"> </w:t>
      </w:r>
      <w:r w:rsidRPr="005556B3">
        <w:rPr>
          <w:rFonts w:ascii="Sylfaen" w:hAnsi="Sylfaen" w:cs="Sylfaen"/>
          <w:lang w:val="ka-GE"/>
        </w:rPr>
        <w:t>პირების</w:t>
      </w:r>
      <w:r w:rsidRPr="005556B3">
        <w:rPr>
          <w:rFonts w:ascii="Sylfaen" w:hAnsi="Sylfaen"/>
          <w:lang w:val="ka-GE"/>
        </w:rPr>
        <w:t xml:space="preserve"> </w:t>
      </w:r>
      <w:r w:rsidRPr="005556B3">
        <w:rPr>
          <w:rFonts w:ascii="Sylfaen" w:hAnsi="Sylfaen" w:cs="Sylfaen"/>
          <w:lang w:val="ka-GE"/>
        </w:rPr>
        <w:t>დადგენა</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ზემოქმედების</w:t>
      </w:r>
      <w:r w:rsidRPr="005556B3">
        <w:rPr>
          <w:rFonts w:ascii="Sylfaen" w:hAnsi="Sylfaen"/>
          <w:lang w:val="ka-GE"/>
        </w:rPr>
        <w:t xml:space="preserve"> </w:t>
      </w:r>
      <w:r w:rsidRPr="005556B3">
        <w:rPr>
          <w:rFonts w:ascii="Sylfaen" w:hAnsi="Sylfaen" w:cs="Sylfaen"/>
          <w:lang w:val="ka-GE"/>
        </w:rPr>
        <w:t>სახეების</w:t>
      </w:r>
      <w:r w:rsidRPr="005556B3">
        <w:rPr>
          <w:rFonts w:ascii="Sylfaen" w:hAnsi="Sylfaen"/>
          <w:lang w:val="ka-GE"/>
        </w:rPr>
        <w:t>/</w:t>
      </w:r>
      <w:r w:rsidRPr="005556B3">
        <w:rPr>
          <w:rFonts w:ascii="Sylfaen" w:hAnsi="Sylfaen" w:cs="Sylfaen"/>
          <w:lang w:val="ka-GE"/>
        </w:rPr>
        <w:t>მასშტაბის</w:t>
      </w:r>
      <w:r w:rsidRPr="005556B3">
        <w:rPr>
          <w:rFonts w:ascii="Sylfaen" w:hAnsi="Sylfaen"/>
          <w:lang w:val="ka-GE"/>
        </w:rPr>
        <w:t xml:space="preserve"> </w:t>
      </w:r>
      <w:r w:rsidRPr="005556B3">
        <w:rPr>
          <w:rFonts w:ascii="Sylfaen" w:hAnsi="Sylfaen" w:cs="Sylfaen"/>
          <w:lang w:val="ka-GE"/>
        </w:rPr>
        <w:t>გამოვლენა</w:t>
      </w:r>
      <w:r w:rsidRPr="005556B3">
        <w:rPr>
          <w:rFonts w:ascii="Sylfaen" w:hAnsi="Sylfaen"/>
          <w:lang w:val="ka-GE"/>
        </w:rPr>
        <w:t xml:space="preserve"> </w:t>
      </w:r>
    </w:p>
    <w:p w14:paraId="0814BC0E"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w:t>
      </w:r>
      <w:r w:rsidRPr="005556B3">
        <w:rPr>
          <w:rFonts w:ascii="Sylfaen" w:hAnsi="Sylfaen" w:cs="Sylfaen"/>
          <w:lang w:val="ka-GE"/>
        </w:rPr>
        <w:t>საკომპენსაციო</w:t>
      </w:r>
      <w:r w:rsidRPr="005556B3">
        <w:rPr>
          <w:rFonts w:ascii="Sylfaen" w:hAnsi="Sylfaen"/>
          <w:lang w:val="ka-GE"/>
        </w:rPr>
        <w:t xml:space="preserve"> </w:t>
      </w:r>
      <w:r w:rsidRPr="005556B3">
        <w:rPr>
          <w:rFonts w:ascii="Sylfaen" w:hAnsi="Sylfaen" w:cs="Sylfaen"/>
          <w:lang w:val="ka-GE"/>
        </w:rPr>
        <w:t>პაკეტის</w:t>
      </w:r>
      <w:r w:rsidRPr="005556B3">
        <w:rPr>
          <w:rFonts w:ascii="Sylfaen" w:hAnsi="Sylfaen"/>
          <w:lang w:val="ka-GE"/>
        </w:rPr>
        <w:t xml:space="preserve"> </w:t>
      </w:r>
      <w:r w:rsidRPr="005556B3">
        <w:rPr>
          <w:rFonts w:ascii="Sylfaen" w:hAnsi="Sylfaen" w:cs="Sylfaen"/>
          <w:lang w:val="ka-GE"/>
        </w:rPr>
        <w:t>მომზადება</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განსახლების</w:t>
      </w:r>
      <w:r w:rsidRPr="005556B3">
        <w:rPr>
          <w:rFonts w:ascii="Sylfaen" w:hAnsi="Sylfaen"/>
          <w:lang w:val="ka-GE"/>
        </w:rPr>
        <w:t xml:space="preserve"> </w:t>
      </w:r>
      <w:r w:rsidRPr="005556B3">
        <w:rPr>
          <w:rFonts w:ascii="Sylfaen" w:hAnsi="Sylfaen" w:cs="Sylfaen"/>
          <w:lang w:val="ka-GE"/>
        </w:rPr>
        <w:t>სამოქმედო</w:t>
      </w:r>
      <w:r w:rsidRPr="005556B3">
        <w:rPr>
          <w:rFonts w:ascii="Sylfaen" w:hAnsi="Sylfaen"/>
          <w:lang w:val="ka-GE"/>
        </w:rPr>
        <w:t xml:space="preserve"> </w:t>
      </w:r>
      <w:r w:rsidRPr="005556B3">
        <w:rPr>
          <w:rFonts w:ascii="Sylfaen" w:hAnsi="Sylfaen" w:cs="Sylfaen"/>
          <w:lang w:val="ka-GE"/>
        </w:rPr>
        <w:t>გეგმის</w:t>
      </w:r>
      <w:r w:rsidRPr="005556B3">
        <w:rPr>
          <w:rFonts w:ascii="Sylfaen" w:hAnsi="Sylfaen"/>
          <w:lang w:val="ka-GE"/>
        </w:rPr>
        <w:t xml:space="preserve"> </w:t>
      </w:r>
      <w:r w:rsidRPr="005556B3">
        <w:rPr>
          <w:rFonts w:ascii="Sylfaen" w:hAnsi="Sylfaen" w:cs="Sylfaen"/>
          <w:lang w:val="ka-GE"/>
        </w:rPr>
        <w:t>შედგენა</w:t>
      </w:r>
    </w:p>
    <w:p w14:paraId="1E7F13C5"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w:t>
      </w:r>
      <w:r w:rsidRPr="005556B3">
        <w:rPr>
          <w:rFonts w:ascii="Sylfaen" w:hAnsi="Sylfaen" w:cs="Sylfaen"/>
          <w:lang w:val="ka-GE"/>
        </w:rPr>
        <w:t>ზმქ</w:t>
      </w:r>
      <w:r w:rsidRPr="005556B3">
        <w:rPr>
          <w:rFonts w:ascii="Sylfaen" w:hAnsi="Sylfaen"/>
          <w:lang w:val="ka-GE"/>
        </w:rPr>
        <w:t xml:space="preserve"> </w:t>
      </w:r>
      <w:r w:rsidRPr="005556B3">
        <w:rPr>
          <w:rFonts w:ascii="Sylfaen" w:hAnsi="Sylfaen" w:cs="Sylfaen"/>
          <w:lang w:val="ka-GE"/>
        </w:rPr>
        <w:t>პირებთან</w:t>
      </w:r>
      <w:r w:rsidRPr="005556B3">
        <w:rPr>
          <w:rFonts w:ascii="Sylfaen" w:hAnsi="Sylfaen"/>
          <w:lang w:val="ka-GE"/>
        </w:rPr>
        <w:t xml:space="preserve"> </w:t>
      </w:r>
      <w:r w:rsidRPr="005556B3">
        <w:rPr>
          <w:rFonts w:ascii="Sylfaen" w:hAnsi="Sylfaen" w:cs="Sylfaen"/>
          <w:lang w:val="ka-GE"/>
        </w:rPr>
        <w:t>კონსულტაცია</w:t>
      </w:r>
    </w:p>
    <w:p w14:paraId="0C262644"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w:t>
      </w:r>
      <w:r w:rsidRPr="005556B3">
        <w:rPr>
          <w:rFonts w:ascii="Sylfaen" w:hAnsi="Sylfaen" w:cs="Sylfaen"/>
          <w:lang w:val="ka-GE"/>
        </w:rPr>
        <w:t>მოლაპარაკება</w:t>
      </w:r>
      <w:r w:rsidRPr="005556B3">
        <w:rPr>
          <w:rFonts w:ascii="Sylfaen" w:hAnsi="Sylfaen"/>
          <w:lang w:val="ka-GE"/>
        </w:rPr>
        <w:t xml:space="preserve"> </w:t>
      </w:r>
      <w:r w:rsidRPr="005556B3">
        <w:rPr>
          <w:rFonts w:ascii="Sylfaen" w:hAnsi="Sylfaen" w:cs="Sylfaen"/>
          <w:lang w:val="ka-GE"/>
        </w:rPr>
        <w:t>ზმქ</w:t>
      </w:r>
      <w:r w:rsidRPr="005556B3">
        <w:rPr>
          <w:rFonts w:ascii="Sylfaen" w:hAnsi="Sylfaen"/>
          <w:lang w:val="ka-GE"/>
        </w:rPr>
        <w:t xml:space="preserve"> </w:t>
      </w:r>
      <w:r w:rsidRPr="005556B3">
        <w:rPr>
          <w:rFonts w:ascii="Sylfaen" w:hAnsi="Sylfaen" w:cs="Sylfaen"/>
          <w:lang w:val="ka-GE"/>
        </w:rPr>
        <w:t>პირებთან</w:t>
      </w:r>
      <w:r w:rsidRPr="005556B3">
        <w:rPr>
          <w:rFonts w:ascii="Sylfaen" w:hAnsi="Sylfaen"/>
          <w:lang w:val="ka-GE"/>
        </w:rPr>
        <w:t xml:space="preserve"> </w:t>
      </w:r>
      <w:r w:rsidRPr="005556B3">
        <w:rPr>
          <w:rFonts w:ascii="Sylfaen" w:hAnsi="Sylfaen" w:cs="Sylfaen"/>
          <w:lang w:val="ka-GE"/>
        </w:rPr>
        <w:t>და</w:t>
      </w:r>
      <w:r w:rsidRPr="005556B3">
        <w:rPr>
          <w:rFonts w:ascii="Sylfaen" w:hAnsi="Sylfaen"/>
          <w:lang w:val="ka-GE"/>
        </w:rPr>
        <w:t xml:space="preserve"> </w:t>
      </w:r>
      <w:r w:rsidRPr="005556B3">
        <w:rPr>
          <w:rFonts w:ascii="Sylfaen" w:hAnsi="Sylfaen" w:cs="Sylfaen"/>
          <w:lang w:val="ka-GE"/>
        </w:rPr>
        <w:t>კომპენსაციის</w:t>
      </w:r>
      <w:r w:rsidRPr="005556B3">
        <w:rPr>
          <w:rFonts w:ascii="Sylfaen" w:hAnsi="Sylfaen"/>
          <w:lang w:val="ka-GE"/>
        </w:rPr>
        <w:t xml:space="preserve"> </w:t>
      </w:r>
      <w:r w:rsidRPr="005556B3">
        <w:rPr>
          <w:rFonts w:ascii="Sylfaen" w:hAnsi="Sylfaen" w:cs="Sylfaen"/>
          <w:lang w:val="ka-GE"/>
        </w:rPr>
        <w:t>გადახდა</w:t>
      </w:r>
      <w:r w:rsidRPr="005556B3">
        <w:rPr>
          <w:rFonts w:ascii="Sylfaen" w:hAnsi="Sylfaen"/>
          <w:lang w:val="ka-GE"/>
        </w:rPr>
        <w:t xml:space="preserve"> </w:t>
      </w:r>
    </w:p>
    <w:p w14:paraId="2E96ACEF" w14:textId="77777777" w:rsidR="00692F2E" w:rsidRPr="005556B3" w:rsidRDefault="00692F2E" w:rsidP="00B74656">
      <w:pPr>
        <w:spacing w:before="120" w:after="120"/>
        <w:ind w:right="-90"/>
        <w:rPr>
          <w:rFonts w:ascii="Sylfaen" w:hAnsi="Sylfaen"/>
          <w:lang w:val="ka-GE"/>
        </w:rPr>
      </w:pPr>
      <w:r w:rsidRPr="005556B3">
        <w:rPr>
          <w:rFonts w:ascii="Sylfaen" w:hAnsi="Sylfaen"/>
          <w:lang w:val="ka-GE"/>
        </w:rPr>
        <w:t xml:space="preserve">- </w:t>
      </w:r>
      <w:r w:rsidRPr="005556B3">
        <w:rPr>
          <w:rFonts w:ascii="Sylfaen" w:hAnsi="Sylfaen" w:cs="Sylfaen"/>
          <w:lang w:val="ka-GE"/>
        </w:rPr>
        <w:t>გასხვისების</w:t>
      </w:r>
      <w:r w:rsidRPr="005556B3">
        <w:rPr>
          <w:rFonts w:ascii="Sylfaen" w:hAnsi="Sylfaen"/>
          <w:lang w:val="ka-GE"/>
        </w:rPr>
        <w:t xml:space="preserve"> </w:t>
      </w:r>
      <w:r w:rsidRPr="005556B3">
        <w:rPr>
          <w:rFonts w:ascii="Sylfaen" w:hAnsi="Sylfaen" w:cs="Sylfaen"/>
          <w:lang w:val="ka-GE"/>
        </w:rPr>
        <w:t>პროცესი</w:t>
      </w:r>
      <w:r w:rsidRPr="005556B3">
        <w:rPr>
          <w:rFonts w:ascii="Sylfaen" w:hAnsi="Sylfaen"/>
          <w:lang w:val="ka-GE"/>
        </w:rPr>
        <w:t xml:space="preserve"> </w:t>
      </w:r>
      <w:r w:rsidRPr="005556B3">
        <w:rPr>
          <w:rFonts w:ascii="Sylfaen" w:hAnsi="Sylfaen" w:cs="Sylfaen"/>
          <w:lang w:val="ka-GE"/>
        </w:rPr>
        <w:t>უნაყოფო</w:t>
      </w:r>
      <w:r w:rsidRPr="005556B3">
        <w:rPr>
          <w:rFonts w:ascii="Sylfaen" w:hAnsi="Sylfaen"/>
          <w:lang w:val="ka-GE"/>
        </w:rPr>
        <w:t xml:space="preserve"> </w:t>
      </w:r>
      <w:r w:rsidRPr="005556B3">
        <w:rPr>
          <w:rFonts w:ascii="Sylfaen" w:hAnsi="Sylfaen" w:cs="Sylfaen"/>
          <w:lang w:val="ka-GE"/>
        </w:rPr>
        <w:t>მოლაპარაკების</w:t>
      </w:r>
      <w:r w:rsidRPr="005556B3">
        <w:rPr>
          <w:rFonts w:ascii="Sylfaen" w:hAnsi="Sylfaen"/>
          <w:lang w:val="ka-GE"/>
        </w:rPr>
        <w:t xml:space="preserve"> </w:t>
      </w:r>
      <w:r w:rsidRPr="005556B3">
        <w:rPr>
          <w:rFonts w:ascii="Sylfaen" w:hAnsi="Sylfaen" w:cs="Sylfaen"/>
          <w:lang w:val="ka-GE"/>
        </w:rPr>
        <w:t>შემთხვევაში</w:t>
      </w:r>
      <w:r w:rsidRPr="005556B3">
        <w:rPr>
          <w:rFonts w:ascii="Sylfaen" w:hAnsi="Sylfaen"/>
          <w:lang w:val="ka-GE"/>
        </w:rPr>
        <w:t>.</w:t>
      </w:r>
    </w:p>
    <w:p w14:paraId="6575296F" w14:textId="77777777" w:rsidR="00692F2E" w:rsidRPr="00561F0B" w:rsidRDefault="00692F2E" w:rsidP="00B74656">
      <w:pPr>
        <w:spacing w:before="120" w:after="120"/>
        <w:ind w:right="-90"/>
        <w:rPr>
          <w:b/>
          <w:sz w:val="24"/>
          <w:lang w:val="ka-GE"/>
        </w:rPr>
      </w:pPr>
      <w:r w:rsidRPr="00561F0B">
        <w:rPr>
          <w:rFonts w:ascii="Sylfaen" w:hAnsi="Sylfaen"/>
          <w:b/>
          <w:sz w:val="24"/>
          <w:lang w:val="ka-GE"/>
        </w:rPr>
        <w:t>მისასვლელი</w:t>
      </w:r>
      <w:r w:rsidRPr="00561F0B">
        <w:rPr>
          <w:b/>
          <w:sz w:val="24"/>
          <w:lang w:val="ka-GE"/>
        </w:rPr>
        <w:t xml:space="preserve"> </w:t>
      </w:r>
      <w:r w:rsidRPr="00561F0B">
        <w:rPr>
          <w:rFonts w:ascii="Sylfaen" w:hAnsi="Sylfaen"/>
          <w:b/>
          <w:sz w:val="24"/>
          <w:lang w:val="ka-GE"/>
        </w:rPr>
        <w:t>გზები</w:t>
      </w:r>
    </w:p>
    <w:p w14:paraId="5AC374A5" w14:textId="77777777" w:rsidR="00B602A3" w:rsidRPr="00F80CCF" w:rsidRDefault="00B602A3" w:rsidP="00B74656">
      <w:pPr>
        <w:spacing w:before="120" w:after="120"/>
        <w:ind w:right="-90"/>
        <w:rPr>
          <w:rFonts w:ascii="Sylfaen" w:hAnsi="Sylfaen"/>
          <w:lang w:val="ka-GE"/>
        </w:rPr>
      </w:pPr>
      <w:r w:rsidRPr="00F80CCF">
        <w:rPr>
          <w:rFonts w:ascii="Sylfaen" w:hAnsi="Sylfaen"/>
          <w:lang w:val="ka-GE"/>
        </w:rPr>
        <w:t xml:space="preserve">როგორც აღვნიშნეთ, საპროექტო არეალში განთავსებულ სოფლებს არ შეეზღუდებათ მისასვლელი გზები არსებული პროექტის შესაბამისად, ვიანიდან არსებული საავტომობილო გზის თითქმის პარალელურად (არსებული რკინიგზის პარლელურად) მოხდება პროექტის განხორციელება, რა დროსაც გზა გაივლის ორ სოფელზე - აკურა და კონდოლი (მათ მხოლოდ მცირე ნაწილზე), სადაც განლაგებულია რამდენიმე საცხოვრებელი სახლი და სასოფლო-სამეურნეო მიწის ნაკვეთები. არსებული ავტომაგისტრალის ტექნიკური პარამეტრებიდან გამომდინარე ფეხით მოსიარულეებისათვის ავტომაგისტრალის გადაკვეთა ნებისმიერ წერტილშია შესაძლებელი. აღნიშნული აადვილებს სოფლის მოსახლეობისათვის სოფლის ერთი ნაწილიდან მეორე ნაწილში მოხვედრის შესაძლებლობას. პროექტის განხორციელების შემდეგ სოფლის მოსახლეობას ავტომობილით ავტომაგისტრალზე მოხვედრის საშუალება ექნება </w:t>
      </w:r>
      <w:r w:rsidRPr="00B602A3">
        <w:rPr>
          <w:rFonts w:ascii="Sylfaen" w:hAnsi="Sylfaen"/>
          <w:lang w:val="ka-GE"/>
        </w:rPr>
        <w:t xml:space="preserve">მასთან მისასვლელი მცირე გზების მეშვეობით და ცენტრში დაგეგმილი კვანძის მეშვეობით. </w:t>
      </w:r>
      <w:r w:rsidRPr="00F80CCF">
        <w:rPr>
          <w:rFonts w:ascii="Sylfaen" w:hAnsi="Sylfaen"/>
          <w:lang w:val="ka-GE"/>
        </w:rPr>
        <w:t>წინასწარი პროექტიდან გამომდინარე, მოსახლეობა ისევე ისარგებლებს არსებული გზით, როგორც პროექტის განხორციელებამდე სარგებლობა. ამ მხრივ არანაირი შეზღუდვა არ იქნება.</w:t>
      </w:r>
    </w:p>
    <w:p w14:paraId="175EB84F" w14:textId="77777777" w:rsidR="00B602A3" w:rsidRPr="00F80CCF" w:rsidRDefault="00B602A3" w:rsidP="00B74656">
      <w:pPr>
        <w:spacing w:before="120" w:after="120"/>
        <w:ind w:right="-90"/>
        <w:rPr>
          <w:rFonts w:ascii="Sylfaen" w:hAnsi="Sylfaen"/>
          <w:lang w:val="ka-GE"/>
        </w:rPr>
      </w:pPr>
      <w:r w:rsidRPr="00F80CCF">
        <w:rPr>
          <w:rFonts w:ascii="Sylfaen" w:hAnsi="Sylfaen"/>
          <w:lang w:val="ka-GE"/>
        </w:rPr>
        <w:t>დეტალური პროეტირების ეტაპზე შესაძლოა (როგორც უკვე აღვნიშნეთ) საჭირო გახდეს შემარბილებელი ღონისძიებების განხორციელება ზემოქმედების ქვეშ მოფი მოსახლეობის საცხოვრებელი პირობების გაუარესების თავიდან აცილების მიზნით.</w:t>
      </w:r>
    </w:p>
    <w:p w14:paraId="27066624" w14:textId="77777777" w:rsidR="00B602A3" w:rsidRPr="00F80CCF" w:rsidRDefault="00B602A3" w:rsidP="00B74656">
      <w:pPr>
        <w:spacing w:before="120" w:after="120"/>
        <w:ind w:right="-90"/>
        <w:rPr>
          <w:rFonts w:ascii="Sylfaen" w:hAnsi="Sylfaen"/>
          <w:b/>
          <w:lang w:val="ka-GE"/>
        </w:rPr>
      </w:pPr>
      <w:r w:rsidRPr="00F80CCF">
        <w:rPr>
          <w:rFonts w:ascii="Sylfaen" w:hAnsi="Sylfaen"/>
          <w:b/>
          <w:lang w:val="ka-GE"/>
        </w:rPr>
        <w:t>სოფელ კონდოლში და სოფელ აკურაში ზეგავლენის ქვეშ მოყოლილი შენობა-ნაგებობები და სასოფლო-სამეურნეო მიწის ნაკვეთები.</w:t>
      </w:r>
    </w:p>
    <w:p w14:paraId="3B8943ED" w14:textId="77777777" w:rsidR="00B602A3" w:rsidRPr="00F80CCF" w:rsidRDefault="00B602A3" w:rsidP="00B74656">
      <w:pPr>
        <w:spacing w:before="120" w:after="120"/>
        <w:ind w:right="-90"/>
        <w:rPr>
          <w:rFonts w:ascii="Sylfaen" w:hAnsi="Sylfaen"/>
          <w:b/>
          <w:lang w:val="ka-GE"/>
        </w:rPr>
      </w:pPr>
      <w:r w:rsidRPr="00F80CCF">
        <w:rPr>
          <w:rFonts w:ascii="Sylfaen" w:hAnsi="Sylfaen"/>
          <w:b/>
          <w:lang w:val="ka-GE"/>
        </w:rPr>
        <w:t xml:space="preserve">ზემოქმედება ინფრასტრუქტურაზე - თავისუფალი გადაადგილების შეზღუდვა </w:t>
      </w:r>
    </w:p>
    <w:p w14:paraId="1BFFB491" w14:textId="77777777" w:rsidR="00B602A3" w:rsidRPr="00F80CCF" w:rsidRDefault="00B602A3" w:rsidP="00B74656">
      <w:pPr>
        <w:spacing w:before="120" w:after="120"/>
        <w:ind w:right="-90"/>
        <w:rPr>
          <w:rFonts w:ascii="Sylfaen" w:hAnsi="Sylfaen"/>
          <w:lang w:val="ka-GE"/>
        </w:rPr>
      </w:pPr>
      <w:r w:rsidRPr="00F80CCF">
        <w:rPr>
          <w:rFonts w:ascii="Sylfaen" w:hAnsi="Sylfaen"/>
          <w:lang w:val="ka-GE"/>
        </w:rPr>
        <w:t xml:space="preserve">არსებული პროექტის შესაბამისად, შესაძლებელია რამდენიმე მცირე (ხე-ტყის გადასამუშავებელ)  საწარმოს შეეზღუდოს მისასვლელი გზა. მართალია ისინი არ სარგებლობენ არსებული საავტომობილო გზით და მათი მდგომარეობა შესაძლებელია გაუმჯობესდეს კიდეც, ვინაიდან საწარმოებთან მისასვლელი ასფალტირებული გზა არ არსებობს, ისინი სარგებლობენ მოხრეშილი, სოფლის გზებით ან/და საცალფეხო ბილიკებით. </w:t>
      </w:r>
    </w:p>
    <w:p w14:paraId="3BBECD82" w14:textId="77777777" w:rsidR="00B602A3" w:rsidRPr="00F80CCF" w:rsidRDefault="00B602A3" w:rsidP="00B74656">
      <w:pPr>
        <w:spacing w:before="120" w:after="120"/>
        <w:ind w:right="-90"/>
        <w:rPr>
          <w:rFonts w:ascii="Sylfaen" w:hAnsi="Sylfaen"/>
          <w:b/>
          <w:lang w:val="ka-GE"/>
        </w:rPr>
      </w:pPr>
      <w:r w:rsidRPr="00F80CCF">
        <w:rPr>
          <w:rFonts w:ascii="Sylfaen" w:hAnsi="Sylfaen"/>
          <w:b/>
          <w:lang w:val="ka-GE"/>
        </w:rPr>
        <w:t xml:space="preserve">წვდომის შეზღუდვა ადგილობრივ ბუნებრივ რესურსებზე </w:t>
      </w:r>
    </w:p>
    <w:p w14:paraId="21DEBBDC" w14:textId="77777777" w:rsidR="00B602A3" w:rsidRPr="00F80CCF" w:rsidRDefault="00B602A3" w:rsidP="00B74656">
      <w:pPr>
        <w:spacing w:before="120" w:after="120"/>
        <w:ind w:right="-90"/>
        <w:rPr>
          <w:rFonts w:ascii="Sylfaen" w:hAnsi="Sylfaen"/>
          <w:lang w:val="ka-GE"/>
        </w:rPr>
      </w:pPr>
      <w:r w:rsidRPr="00F80CCF">
        <w:rPr>
          <w:rFonts w:ascii="Sylfaen" w:hAnsi="Sylfaen"/>
          <w:lang w:val="ka-GE"/>
        </w:rPr>
        <w:t>გზის მოდერნიზაციის პროცესში შესაძლებელია ადგილობრივი ბუნებრივი რესურსების გამოყენება (მაგალითად კარიერების), თუმცა, საპროექტო უბანზე არ მოიპოვება სასმელი წყალი. საპროექტო დერეფანს მიყვება არხი, რომელიც არ არის უხვწყლიანი და შეულებელი იქნება ასევე, მისი გამოყენებაც. შესაძლებელია რეგიონში გამავალი მდინარეების წყლების გამოყენება, მაგალითად საპროექტო დერეფანთან მდებარე მდ. აკურისხევი და ვანთისხევი. ზოგადად მოსალოდნელი ზემოქმედება ბუნებრივ რესურსებზე უმნიშვნელო იქნება.</w:t>
      </w:r>
    </w:p>
    <w:p w14:paraId="78D9B345" w14:textId="77777777" w:rsidR="00B602A3" w:rsidRPr="00F80CCF" w:rsidRDefault="00B602A3" w:rsidP="00B74656">
      <w:pPr>
        <w:spacing w:before="120" w:after="120"/>
        <w:ind w:right="-90"/>
        <w:rPr>
          <w:rFonts w:ascii="Sylfaen" w:hAnsi="Sylfaen"/>
          <w:lang w:val="ka-GE"/>
        </w:rPr>
      </w:pPr>
      <w:r w:rsidRPr="00F80CCF">
        <w:rPr>
          <w:rFonts w:ascii="Sylfaen" w:hAnsi="Sylfaen"/>
          <w:lang w:val="ka-GE"/>
        </w:rPr>
        <w:lastRenderedPageBreak/>
        <w:t xml:space="preserve">სატრანსპორტო მოძრაობის შეფერხება პროექტის განხორციელებისას არ არის მოსალოდნელი, აქედან გამომდინარე, ადგილობრივი მოსახლეობის წვდომა  რესურსებზე არ შეიზღუდება, გარდა იმ მცირე მოსახლეობისა, რომლებიც შეიძლება მოხვდნენ საპროექტო არეალში. თუმცა ამ შემთხვევაში, მშენებლობის დაწყებამდე საჭირო იქნება ამ მოსახლეებისგან განსახლების პროცედურების გავლა, ან/და განსახლების განხორციელების საჭიროების არარსებობისას საჭირო იქნება სატრანსპორტო ნაკადების სათანადო მართვა. </w:t>
      </w:r>
    </w:p>
    <w:p w14:paraId="131768D0" w14:textId="519A3BDA" w:rsidR="00692F2E" w:rsidRPr="00F27843" w:rsidRDefault="00692F2E" w:rsidP="00B74656">
      <w:pPr>
        <w:spacing w:before="120" w:after="120"/>
        <w:ind w:right="-90"/>
        <w:rPr>
          <w:rFonts w:ascii="Sylfaen" w:hAnsi="Sylfaen"/>
          <w:b/>
          <w:lang w:val="ka-GE"/>
        </w:rPr>
      </w:pPr>
      <w:r w:rsidRPr="00F27843">
        <w:rPr>
          <w:lang w:val="ka-GE"/>
        </w:rPr>
        <w:t> </w:t>
      </w:r>
      <w:r w:rsidRPr="00F27843">
        <w:rPr>
          <w:rFonts w:ascii="Sylfaen" w:hAnsi="Sylfaen"/>
          <w:lang w:val="ka-GE"/>
        </w:rPr>
        <w:t xml:space="preserve"> </w:t>
      </w:r>
      <w:r w:rsidRPr="00F27843">
        <w:rPr>
          <w:rFonts w:ascii="Sylfaen" w:hAnsi="Sylfaen"/>
          <w:b/>
          <w:lang w:val="ka-GE"/>
        </w:rPr>
        <w:t>უსაფრთხოება და ჯანდაცვა</w:t>
      </w:r>
    </w:p>
    <w:p w14:paraId="041CB2A8" w14:textId="77777777" w:rsidR="00692F2E" w:rsidRPr="00F27843" w:rsidRDefault="00692F2E" w:rsidP="00B74656">
      <w:pPr>
        <w:spacing w:before="120" w:after="120"/>
        <w:ind w:right="-90"/>
        <w:rPr>
          <w:rFonts w:ascii="Sylfaen" w:hAnsi="Sylfaen"/>
          <w:lang w:val="ka-GE"/>
        </w:rPr>
      </w:pPr>
      <w:r w:rsidRPr="00F27843">
        <w:rPr>
          <w:rFonts w:ascii="Sylfaen" w:hAnsi="Sylfaen"/>
          <w:lang w:val="ka-GE"/>
        </w:rPr>
        <w:t>გზის გაუმჯობესების პროცესში  პერსონალისა და ადგილობრივი მოსახლეობის ჯანმრთელობის მდგომარეობასა და უსაფრთხოებაზე ზემოქმეედების რისკები შეიძლება უკავშირდებოდეს გაუთვალისწინებელ შემთხვევებს. სხვა სახის ზემოქმედება, როგორიცაა ხმაური, ჰაერის ხარისხის გაუარესება და სხვ., შესაბამისი შემარბილებელი ღონისძიებების გატარების შემთხვევაში მნიშვნელოვანი არ იქნება.</w:t>
      </w:r>
    </w:p>
    <w:p w14:paraId="5BFE8842" w14:textId="77777777" w:rsidR="00692F2E" w:rsidRPr="00F27843" w:rsidRDefault="00692F2E" w:rsidP="00B74656">
      <w:pPr>
        <w:spacing w:before="120" w:after="120"/>
        <w:ind w:right="-90"/>
        <w:rPr>
          <w:rFonts w:ascii="Sylfaen" w:hAnsi="Sylfaen"/>
          <w:lang w:val="ka-GE"/>
        </w:rPr>
      </w:pPr>
      <w:r w:rsidRPr="00F27843">
        <w:rPr>
          <w:rFonts w:ascii="Sylfaen" w:hAnsi="Sylfaen"/>
          <w:lang w:val="ka-GE"/>
        </w:rPr>
        <w:t xml:space="preserve">გაუთვალისწინებელ შემთხვევებში შედის: ავარია, სიმაღლიდან ჩამოვარდნა, ინციდენტები მანქანა-დანადგარების დამონტაჟებისას და სხვ. ასეთი რისკების თავიდან ასაცილებლად უსაფრთხოების წესების განხორციელებას დიდი ყურადღება უნდა მიექცეს.  </w:t>
      </w:r>
    </w:p>
    <w:p w14:paraId="71AEDE39" w14:textId="77777777" w:rsidR="00692F2E" w:rsidRPr="00F27843" w:rsidRDefault="00692F2E" w:rsidP="00B74656">
      <w:pPr>
        <w:spacing w:before="120" w:after="120"/>
        <w:ind w:right="-90"/>
        <w:rPr>
          <w:rFonts w:ascii="Sylfaen" w:hAnsi="Sylfaen"/>
          <w:b/>
          <w:lang w:val="ka-GE"/>
        </w:rPr>
      </w:pPr>
      <w:r w:rsidRPr="00F27843">
        <w:rPr>
          <w:rFonts w:ascii="Sylfaen" w:hAnsi="Sylfaen"/>
          <w:b/>
          <w:lang w:val="ka-GE"/>
        </w:rPr>
        <w:t>დადებითი სოციალურ-ეკონომიკური ეფექტი</w:t>
      </w:r>
    </w:p>
    <w:p w14:paraId="5C901A0E" w14:textId="77777777" w:rsidR="00692F2E" w:rsidRPr="00F27843" w:rsidRDefault="00692F2E" w:rsidP="00B74656">
      <w:pPr>
        <w:spacing w:before="120" w:after="120"/>
        <w:ind w:right="-90"/>
        <w:rPr>
          <w:rFonts w:ascii="Sylfaen" w:hAnsi="Sylfaen"/>
          <w:lang w:val="ka-GE"/>
        </w:rPr>
      </w:pPr>
      <w:r w:rsidRPr="00F27843">
        <w:rPr>
          <w:rFonts w:ascii="Sylfaen" w:hAnsi="Sylfaen"/>
          <w:lang w:val="ka-GE"/>
        </w:rPr>
        <w:t xml:space="preserve">პროექტის განხორციელებით მიღებული სარგებელი გავრცელდება ქვეყნის მთელ მოსახლეობაზე. ადგილი ექნება სატრანსპორტო ნაკადების (მათ შორის სატრანზიტო გადაზიდვების) ზრდას (არსებულ საავტომობილო გზაზე - შემცირებას) და გადაადგილების გამარტივებას, მკვეთრად დაიკლებს უბედური შემთხვევების რისკები. გაიზრდება რეგიონის მოსახლეობის დასაქმების შესაძლებლობა. ამასთან ერთად შემცირდება გზის სხვა მონაკვეთებზე დასაქმებულთა უკმაყოფილება სამუშაოების დაკარვის გამო. </w:t>
      </w:r>
    </w:p>
    <w:p w14:paraId="1F4473EA" w14:textId="77777777" w:rsidR="00692F2E" w:rsidRPr="00F27843" w:rsidRDefault="00692F2E" w:rsidP="00B74656">
      <w:pPr>
        <w:spacing w:before="120" w:after="120"/>
        <w:ind w:right="-90"/>
        <w:rPr>
          <w:rFonts w:ascii="Sylfaen" w:hAnsi="Sylfaen"/>
          <w:lang w:val="ka-GE"/>
        </w:rPr>
      </w:pPr>
      <w:r w:rsidRPr="00F27843">
        <w:rPr>
          <w:rFonts w:ascii="Sylfaen" w:hAnsi="Sylfaen"/>
          <w:lang w:val="ka-GE"/>
        </w:rPr>
        <w:t xml:space="preserve">პროექტს დადებითი ზეგავლენა ექნება ადგილობრივი მოსახლეობის დასაქმებაზე. საქართველოში არსებული საუკეთესო პრაქტიკის თანახმად, იგეგმება 70% ადგილობრივი მუშახელის დაქირევება. </w:t>
      </w:r>
    </w:p>
    <w:p w14:paraId="201F8FE8" w14:textId="77777777" w:rsidR="00692F2E" w:rsidRPr="00F27843" w:rsidRDefault="00692F2E" w:rsidP="00B74656">
      <w:pPr>
        <w:spacing w:before="120" w:after="120"/>
        <w:ind w:right="-90"/>
        <w:rPr>
          <w:rFonts w:ascii="Sylfaen" w:hAnsi="Sylfaen"/>
          <w:lang w:val="ka-GE"/>
        </w:rPr>
      </w:pPr>
      <w:r w:rsidRPr="00F27843">
        <w:rPr>
          <w:rFonts w:ascii="Sylfaen" w:hAnsi="Sylfaen"/>
          <w:lang w:val="ka-GE"/>
        </w:rPr>
        <w:t>ყოველივე აღნიშნულის გათვალისწინებით, სოციალურ-ეკონომიკურ გარემოზე ზემოქმედება უნდა ჩაითვალოს როგორც დადებითი და საკმაოდ მაღალი მნიშვნელობის.</w:t>
      </w:r>
    </w:p>
    <w:p w14:paraId="405204C8" w14:textId="77777777" w:rsidR="00216E02" w:rsidRPr="0070114D" w:rsidRDefault="00216E02" w:rsidP="00821E4D">
      <w:pPr>
        <w:pStyle w:val="Heading2"/>
        <w:numPr>
          <w:ilvl w:val="1"/>
          <w:numId w:val="28"/>
        </w:numPr>
        <w:suppressAutoHyphens/>
        <w:spacing w:before="0"/>
        <w:rPr>
          <w:rFonts w:ascii="Sylfaen" w:hAnsi="Sylfaen"/>
          <w:sz w:val="22"/>
          <w:szCs w:val="22"/>
          <w:lang w:val="ka-GE"/>
        </w:rPr>
      </w:pPr>
      <w:bookmarkStart w:id="440" w:name="_Toc295313151"/>
      <w:bookmarkStart w:id="441" w:name="_Toc295313315"/>
      <w:bookmarkStart w:id="442" w:name="_Toc295313461"/>
      <w:bookmarkStart w:id="443" w:name="_Toc296763610"/>
      <w:bookmarkStart w:id="444" w:name="_Toc296789053"/>
      <w:bookmarkStart w:id="445" w:name="_Toc296935348"/>
      <w:bookmarkStart w:id="446" w:name="_Toc297111581"/>
      <w:bookmarkStart w:id="447" w:name="_Toc297112359"/>
      <w:bookmarkStart w:id="448" w:name="_Toc297117798"/>
      <w:bookmarkStart w:id="449" w:name="_Toc297296103"/>
      <w:bookmarkStart w:id="450" w:name="_Toc297563107"/>
      <w:bookmarkStart w:id="451" w:name="_Toc297638830"/>
      <w:bookmarkStart w:id="452" w:name="_Toc298092008"/>
      <w:bookmarkStart w:id="453" w:name="_Toc298092302"/>
      <w:bookmarkStart w:id="454" w:name="_Toc304400203"/>
      <w:bookmarkStart w:id="455" w:name="_Toc304881811"/>
      <w:bookmarkStart w:id="456" w:name="_Toc304882235"/>
      <w:bookmarkStart w:id="457" w:name="_Toc304882504"/>
      <w:bookmarkStart w:id="458" w:name="_Toc304882679"/>
      <w:bookmarkStart w:id="459" w:name="_Toc304882897"/>
      <w:bookmarkStart w:id="460" w:name="_Toc304883177"/>
      <w:bookmarkStart w:id="461" w:name="_Toc305394237"/>
      <w:bookmarkStart w:id="462" w:name="_Toc309627032"/>
      <w:bookmarkStart w:id="463" w:name="_Toc309627395"/>
      <w:bookmarkStart w:id="464" w:name="_Toc310597700"/>
      <w:bookmarkStart w:id="465" w:name="_Toc312401221"/>
      <w:bookmarkStart w:id="466" w:name="_Toc315084882"/>
      <w:bookmarkStart w:id="467" w:name="_Toc347603054"/>
      <w:bookmarkStart w:id="468" w:name="_Toc350864362"/>
      <w:bookmarkStart w:id="469" w:name="_Toc436594003"/>
      <w:bookmarkStart w:id="470" w:name="_Toc1581582"/>
      <w:r w:rsidRPr="0070114D">
        <w:rPr>
          <w:rFonts w:ascii="Sylfaen" w:hAnsi="Sylfaen"/>
          <w:sz w:val="22"/>
          <w:szCs w:val="22"/>
          <w:lang w:val="ka-GE"/>
        </w:rPr>
        <w:t>ზემოქმედება დაცულ ტერიტორიებზე და კრიტიკულ ჰაბიტატებზე</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258E50FD" w14:textId="77777777" w:rsidR="00216E02" w:rsidRDefault="00216E02" w:rsidP="00216E02">
      <w:pPr>
        <w:pStyle w:val="BodyText"/>
        <w:spacing w:after="0" w:line="240" w:lineRule="auto"/>
        <w:jc w:val="both"/>
        <w:rPr>
          <w:rFonts w:ascii="Sylfaen" w:hAnsi="Sylfaen"/>
          <w:sz w:val="22"/>
          <w:szCs w:val="22"/>
          <w:lang w:val="ka-GE"/>
        </w:rPr>
      </w:pPr>
      <w:r w:rsidRPr="00216E02">
        <w:rPr>
          <w:rFonts w:ascii="Sylfaen" w:hAnsi="Sylfaen" w:cs="Sylfaen"/>
          <w:sz w:val="22"/>
          <w:szCs w:val="22"/>
          <w:lang w:val="ka-GE" w:eastAsia="da-DK"/>
        </w:rPr>
        <w:t>პროექტის განხორციელების არეალში დაცული ტერიტორიები არ არის.</w:t>
      </w:r>
      <w:r w:rsidRPr="00216E02">
        <w:rPr>
          <w:rFonts w:ascii="Sylfaen" w:hAnsi="Sylfaen"/>
          <w:sz w:val="22"/>
          <w:szCs w:val="22"/>
          <w:lang w:val="ka-GE"/>
        </w:rPr>
        <w:t xml:space="preserve"> ბიომრავალფეროვნების კვლევების შედეგად პროექტის უშუალო ზემოქმედების ზონაში რაიმე კრიტიკული ჰაბიტატი არ გამოვლენილა. </w:t>
      </w:r>
    </w:p>
    <w:p w14:paraId="1570B079" w14:textId="77777777" w:rsidR="00216E02" w:rsidRPr="008A073D" w:rsidRDefault="008A073D" w:rsidP="008A073D">
      <w:pPr>
        <w:pStyle w:val="EIAheading2"/>
        <w:rPr>
          <w:b w:val="0"/>
          <w:sz w:val="24"/>
          <w:lang w:val="ka-GE"/>
        </w:rPr>
      </w:pPr>
      <w:bookmarkStart w:id="471" w:name="_Toc295313150"/>
      <w:bookmarkStart w:id="472" w:name="_Toc295313314"/>
      <w:bookmarkStart w:id="473" w:name="_Toc295313460"/>
      <w:bookmarkStart w:id="474" w:name="_Toc296763609"/>
      <w:bookmarkStart w:id="475" w:name="_Toc296789052"/>
      <w:bookmarkStart w:id="476" w:name="_Toc296935347"/>
      <w:bookmarkStart w:id="477" w:name="_Toc297111580"/>
      <w:bookmarkStart w:id="478" w:name="_Toc297112358"/>
      <w:bookmarkStart w:id="479" w:name="_Toc297117797"/>
      <w:bookmarkStart w:id="480" w:name="_Toc297296102"/>
      <w:bookmarkStart w:id="481" w:name="_Toc297563106"/>
      <w:bookmarkStart w:id="482" w:name="_Toc297638829"/>
      <w:bookmarkStart w:id="483" w:name="_Toc298092007"/>
      <w:bookmarkStart w:id="484" w:name="_Toc298092301"/>
      <w:bookmarkStart w:id="485" w:name="_Toc304400202"/>
      <w:bookmarkStart w:id="486" w:name="_Toc304881810"/>
      <w:bookmarkStart w:id="487" w:name="_Toc304882234"/>
      <w:bookmarkStart w:id="488" w:name="_Toc304882503"/>
      <w:bookmarkStart w:id="489" w:name="_Toc304882678"/>
      <w:bookmarkStart w:id="490" w:name="_Toc304882896"/>
      <w:bookmarkStart w:id="491" w:name="_Toc304883176"/>
      <w:bookmarkStart w:id="492" w:name="_Toc305394236"/>
      <w:bookmarkStart w:id="493" w:name="_Toc309627031"/>
      <w:bookmarkStart w:id="494" w:name="_Toc309627394"/>
      <w:bookmarkStart w:id="495" w:name="_Toc310597699"/>
      <w:bookmarkStart w:id="496" w:name="_Toc312401220"/>
      <w:bookmarkStart w:id="497" w:name="_Toc315084881"/>
      <w:bookmarkStart w:id="498" w:name="_Toc347603053"/>
      <w:bookmarkStart w:id="499" w:name="_Toc350864361"/>
      <w:bookmarkStart w:id="500" w:name="_Toc409164568"/>
      <w:bookmarkStart w:id="501" w:name="_Toc436594002"/>
      <w:bookmarkStart w:id="502" w:name="_Toc1581583"/>
      <w:r w:rsidRPr="008A073D">
        <w:rPr>
          <w:rFonts w:ascii="Sylfaen" w:hAnsi="Sylfaen" w:cs="Sylfaen"/>
          <w:b w:val="0"/>
          <w:sz w:val="24"/>
          <w:lang w:val="ka-GE"/>
        </w:rPr>
        <w:t xml:space="preserve">7.12 </w:t>
      </w:r>
      <w:r w:rsidR="00216E02" w:rsidRPr="008A073D">
        <w:rPr>
          <w:rFonts w:ascii="Sylfaen" w:hAnsi="Sylfaen" w:cs="Sylfaen"/>
          <w:b w:val="0"/>
          <w:sz w:val="24"/>
          <w:lang w:val="ka-GE"/>
        </w:rPr>
        <w:t>ზემოქმედება</w:t>
      </w:r>
      <w:r w:rsidR="00216E02" w:rsidRPr="008A073D">
        <w:rPr>
          <w:b w:val="0"/>
          <w:sz w:val="24"/>
          <w:lang w:val="ka-GE"/>
        </w:rPr>
        <w:t xml:space="preserve"> </w:t>
      </w:r>
      <w:r w:rsidR="00216E02" w:rsidRPr="008A073D">
        <w:rPr>
          <w:rFonts w:ascii="Sylfaen" w:hAnsi="Sylfaen" w:cs="Sylfaen"/>
          <w:b w:val="0"/>
          <w:sz w:val="24"/>
          <w:lang w:val="ka-GE"/>
        </w:rPr>
        <w:t>ისტორიულ</w:t>
      </w:r>
      <w:r w:rsidR="00216E02" w:rsidRPr="008A073D">
        <w:rPr>
          <w:b w:val="0"/>
          <w:sz w:val="24"/>
          <w:lang w:val="ka-GE"/>
        </w:rPr>
        <w:t>-</w:t>
      </w:r>
      <w:r w:rsidR="00216E02" w:rsidRPr="008A073D">
        <w:rPr>
          <w:rFonts w:ascii="Sylfaen" w:hAnsi="Sylfaen" w:cs="Sylfaen"/>
          <w:b w:val="0"/>
          <w:sz w:val="24"/>
          <w:lang w:val="ka-GE"/>
        </w:rPr>
        <w:t>კულტურულ</w:t>
      </w:r>
      <w:r w:rsidR="00216E02" w:rsidRPr="008A073D">
        <w:rPr>
          <w:b w:val="0"/>
          <w:sz w:val="24"/>
          <w:lang w:val="ka-GE"/>
        </w:rPr>
        <w:t xml:space="preserve"> </w:t>
      </w:r>
      <w:r w:rsidR="00216E02" w:rsidRPr="008A073D">
        <w:rPr>
          <w:rFonts w:ascii="Sylfaen" w:hAnsi="Sylfaen" w:cs="Sylfaen"/>
          <w:b w:val="0"/>
          <w:sz w:val="24"/>
          <w:lang w:val="ka-GE"/>
        </w:rPr>
        <w:t>გარემოზე</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14:paraId="1F2EBD0B" w14:textId="77777777" w:rsidR="00216E02" w:rsidRPr="00216E02" w:rsidRDefault="00216E02" w:rsidP="00216E02">
      <w:pPr>
        <w:pStyle w:val="BodyText"/>
        <w:spacing w:after="0" w:line="240" w:lineRule="auto"/>
        <w:jc w:val="both"/>
        <w:rPr>
          <w:rFonts w:ascii="Sylfaen" w:hAnsi="Sylfaen"/>
          <w:sz w:val="22"/>
          <w:szCs w:val="22"/>
          <w:lang w:val="ka-GE"/>
        </w:rPr>
      </w:pPr>
      <w:r w:rsidRPr="00216E02">
        <w:rPr>
          <w:rFonts w:ascii="Sylfaen" w:hAnsi="Sylfaen"/>
          <w:sz w:val="22"/>
          <w:szCs w:val="22"/>
          <w:lang w:val="ka-GE"/>
        </w:rPr>
        <w:t xml:space="preserve">შერჩეული ალტერნატივა გვერდს უვლის კულტურული მემკვიდრეობის ძეგლებს, სასაფლაოებსა და საკულტო ნაგებობებს. </w:t>
      </w:r>
    </w:p>
    <w:p w14:paraId="13533046" w14:textId="77777777" w:rsidR="00216E02" w:rsidRPr="00216E02" w:rsidRDefault="00216E02" w:rsidP="00216E02">
      <w:pPr>
        <w:pStyle w:val="BodyText"/>
        <w:spacing w:after="0" w:line="240" w:lineRule="auto"/>
        <w:jc w:val="both"/>
        <w:rPr>
          <w:rFonts w:ascii="Sylfaen" w:hAnsi="Sylfaen"/>
          <w:sz w:val="22"/>
          <w:szCs w:val="22"/>
          <w:lang w:val="ka-GE"/>
        </w:rPr>
      </w:pPr>
      <w:r w:rsidRPr="00216E02">
        <w:rPr>
          <w:rFonts w:ascii="Sylfaen" w:hAnsi="Sylfaen"/>
          <w:sz w:val="22"/>
          <w:szCs w:val="22"/>
          <w:lang w:val="ka-GE"/>
        </w:rPr>
        <w:t>სამშენებლო ნებართვის ფარგლებში მოპოვებულ იქნება თანხმობა/ნებართვა კულტურული მემკვიდრეობის და</w:t>
      </w:r>
      <w:r>
        <w:rPr>
          <w:rFonts w:ascii="Sylfaen" w:hAnsi="Sylfaen"/>
          <w:sz w:val="22"/>
          <w:szCs w:val="22"/>
          <w:lang w:val="ka-GE"/>
        </w:rPr>
        <w:t>ც</w:t>
      </w:r>
      <w:r w:rsidRPr="00216E02">
        <w:rPr>
          <w:rFonts w:ascii="Sylfaen" w:hAnsi="Sylfaen"/>
          <w:sz w:val="22"/>
          <w:szCs w:val="22"/>
          <w:lang w:val="ka-GE"/>
        </w:rPr>
        <w:t>ვის უწყებიდან. შესაძლოა მიზანშეწონილი იყოს არქეოლოგის მიერ სამშენებლო სამუშაოების ზედამხედველობა. თუ გავითვალისწინებთ იმ ფაქტს, რომ რეგიონს მდიდარი არქეოლოგიური მემკვიდრეობა გააჩნია, შემთხვევითი არქეოლოგიური აღმოჩენის შემთხვევაში ამოქმედდება შესაბამისი პროცედუ</w:t>
      </w:r>
      <w:r>
        <w:rPr>
          <w:rFonts w:ascii="Sylfaen" w:hAnsi="Sylfaen"/>
          <w:sz w:val="22"/>
          <w:szCs w:val="22"/>
          <w:lang w:val="ka-GE"/>
        </w:rPr>
        <w:t>რები</w:t>
      </w:r>
      <w:r w:rsidRPr="00216E02">
        <w:rPr>
          <w:rFonts w:ascii="Sylfaen" w:hAnsi="Sylfaen"/>
          <w:sz w:val="22"/>
          <w:szCs w:val="22"/>
          <w:lang w:val="ka-GE"/>
        </w:rPr>
        <w:t>.</w:t>
      </w:r>
    </w:p>
    <w:p w14:paraId="796FB80E" w14:textId="77777777" w:rsidR="00216E02" w:rsidRPr="00216E02" w:rsidRDefault="00216E02" w:rsidP="00216E02">
      <w:pPr>
        <w:pStyle w:val="BodyText"/>
        <w:spacing w:after="0" w:line="240" w:lineRule="auto"/>
        <w:jc w:val="both"/>
        <w:rPr>
          <w:rFonts w:ascii="Sylfaen" w:hAnsi="Sylfaen"/>
          <w:sz w:val="22"/>
          <w:szCs w:val="22"/>
          <w:lang w:val="ka-GE"/>
        </w:rPr>
      </w:pPr>
    </w:p>
    <w:p w14:paraId="4DF4EDFE" w14:textId="77777777" w:rsidR="00216E02" w:rsidRPr="00216E02" w:rsidRDefault="00216E02" w:rsidP="00216E02">
      <w:pPr>
        <w:pStyle w:val="BodyText"/>
        <w:spacing w:after="0" w:line="240" w:lineRule="auto"/>
        <w:jc w:val="both"/>
        <w:rPr>
          <w:rFonts w:ascii="Sylfaen" w:hAnsi="Sylfaen"/>
          <w:sz w:val="22"/>
          <w:szCs w:val="22"/>
          <w:lang w:val="ka-GE"/>
        </w:rPr>
      </w:pPr>
      <w:r w:rsidRPr="00216E02">
        <w:rPr>
          <w:rFonts w:ascii="Sylfaen" w:hAnsi="Sylfaen"/>
          <w:sz w:val="22"/>
          <w:szCs w:val="22"/>
          <w:lang w:val="ka-GE"/>
        </w:rPr>
        <w:t xml:space="preserve">ექსპლუატაციის ფაზის დროს რაიმე სახის რისკი არ არსებობს. </w:t>
      </w:r>
    </w:p>
    <w:p w14:paraId="485AFB52" w14:textId="77777777" w:rsidR="00216E02" w:rsidRPr="00216E02" w:rsidRDefault="00216E02" w:rsidP="00216E02">
      <w:pPr>
        <w:pStyle w:val="BodyText"/>
        <w:spacing w:after="0" w:line="240" w:lineRule="auto"/>
        <w:jc w:val="both"/>
        <w:rPr>
          <w:rFonts w:ascii="Sylfaen" w:hAnsi="Sylfaen"/>
          <w:sz w:val="22"/>
          <w:szCs w:val="22"/>
          <w:lang w:val="ka-GE"/>
        </w:rPr>
      </w:pPr>
    </w:p>
    <w:p w14:paraId="762C60A5" w14:textId="77777777" w:rsidR="0017641F" w:rsidRPr="002B616A" w:rsidRDefault="0017641F" w:rsidP="004D56CC">
      <w:pPr>
        <w:pStyle w:val="EIAH1"/>
        <w:numPr>
          <w:ilvl w:val="0"/>
          <w:numId w:val="0"/>
        </w:numPr>
        <w:ind w:left="720" w:hanging="720"/>
      </w:pPr>
      <w:bookmarkStart w:id="503" w:name="_Toc496611109"/>
      <w:bookmarkStart w:id="504" w:name="_Toc1581584"/>
      <w:r w:rsidRPr="002B616A">
        <w:lastRenderedPageBreak/>
        <w:t xml:space="preserve">8. </w:t>
      </w:r>
      <w:bookmarkEnd w:id="503"/>
      <w:r w:rsidR="0066761D">
        <w:rPr>
          <w:rStyle w:val="shorttext"/>
          <w:rFonts w:cs="Sylfaen"/>
          <w:lang w:val="ka-GE"/>
        </w:rPr>
        <w:t xml:space="preserve">ბუნებრივი და სოციალური გარემოს </w:t>
      </w:r>
      <w:r w:rsidR="009E48A4" w:rsidRPr="002B616A">
        <w:rPr>
          <w:rStyle w:val="shorttext"/>
          <w:lang w:val="ka-GE"/>
        </w:rPr>
        <w:t xml:space="preserve"> </w:t>
      </w:r>
      <w:r w:rsidR="0066761D">
        <w:rPr>
          <w:rStyle w:val="shorttext"/>
          <w:lang w:val="ka-GE"/>
        </w:rPr>
        <w:t xml:space="preserve">მართვის </w:t>
      </w:r>
      <w:r w:rsidR="009E48A4" w:rsidRPr="002B616A">
        <w:rPr>
          <w:rStyle w:val="shorttext"/>
          <w:rFonts w:cs="Sylfaen"/>
          <w:lang w:val="ka-GE"/>
        </w:rPr>
        <w:t>გეგმა</w:t>
      </w:r>
      <w:bookmarkEnd w:id="504"/>
    </w:p>
    <w:p w14:paraId="1F8494FA" w14:textId="77777777" w:rsidR="00C2593F" w:rsidRPr="004207DB" w:rsidRDefault="0017641F" w:rsidP="004207DB">
      <w:pPr>
        <w:pStyle w:val="EIAheading2"/>
        <w:rPr>
          <w:b w:val="0"/>
          <w:lang w:val="ka-GE"/>
        </w:rPr>
      </w:pPr>
      <w:bookmarkStart w:id="505" w:name="_Toc471745469"/>
      <w:bookmarkStart w:id="506" w:name="_Toc471745814"/>
      <w:bookmarkStart w:id="507" w:name="_Toc473478807"/>
      <w:bookmarkStart w:id="508" w:name="_Toc496611110"/>
      <w:r w:rsidRPr="004207DB">
        <w:rPr>
          <w:rFonts w:ascii="Sylfaen" w:hAnsi="Sylfaen" w:cs="Sylfaen"/>
          <w:lang w:val="ka-GE"/>
        </w:rPr>
        <w:t xml:space="preserve"> </w:t>
      </w:r>
      <w:bookmarkStart w:id="509" w:name="_Toc1581585"/>
      <w:bookmarkEnd w:id="505"/>
      <w:bookmarkEnd w:id="506"/>
      <w:bookmarkEnd w:id="507"/>
      <w:bookmarkEnd w:id="508"/>
      <w:r w:rsidR="004207DB" w:rsidRPr="004207DB">
        <w:rPr>
          <w:rFonts w:ascii="Sylfaen" w:hAnsi="Sylfaen" w:cs="Sylfaen"/>
          <w:b w:val="0"/>
          <w:lang w:val="ka-GE"/>
        </w:rPr>
        <w:t>8.1</w:t>
      </w:r>
      <w:r w:rsidR="004207DB" w:rsidRPr="004207DB">
        <w:rPr>
          <w:rFonts w:ascii="Sylfaen" w:hAnsi="Sylfaen"/>
          <w:b w:val="0"/>
          <w:color w:val="auto"/>
          <w:sz w:val="24"/>
          <w:szCs w:val="24"/>
          <w:lang w:val="ka-GE"/>
        </w:rPr>
        <w:t xml:space="preserve"> </w:t>
      </w:r>
      <w:r w:rsidR="0066761D" w:rsidRPr="004207DB">
        <w:rPr>
          <w:rFonts w:ascii="Sylfaen" w:hAnsi="Sylfaen" w:cs="Sylfaen"/>
          <w:b w:val="0"/>
          <w:lang w:val="ka-GE"/>
        </w:rPr>
        <w:t>ბუნებრივი</w:t>
      </w:r>
      <w:r w:rsidR="0066761D" w:rsidRPr="004207DB">
        <w:rPr>
          <w:b w:val="0"/>
          <w:lang w:val="ka-GE"/>
        </w:rPr>
        <w:t xml:space="preserve"> </w:t>
      </w:r>
      <w:r w:rsidR="0066761D" w:rsidRPr="004207DB">
        <w:rPr>
          <w:rFonts w:ascii="Sylfaen" w:hAnsi="Sylfaen" w:cs="Sylfaen"/>
          <w:b w:val="0"/>
          <w:lang w:val="ka-GE"/>
        </w:rPr>
        <w:t>და</w:t>
      </w:r>
      <w:r w:rsidR="0066761D" w:rsidRPr="004207DB">
        <w:rPr>
          <w:b w:val="0"/>
          <w:lang w:val="ka-GE"/>
        </w:rPr>
        <w:t xml:space="preserve"> </w:t>
      </w:r>
      <w:r w:rsidR="0066761D" w:rsidRPr="004207DB">
        <w:rPr>
          <w:rFonts w:ascii="Sylfaen" w:hAnsi="Sylfaen" w:cs="Sylfaen"/>
          <w:b w:val="0"/>
          <w:lang w:val="ka-GE"/>
        </w:rPr>
        <w:t>სოციალური</w:t>
      </w:r>
      <w:r w:rsidR="0066761D" w:rsidRPr="004207DB">
        <w:rPr>
          <w:b w:val="0"/>
          <w:spacing w:val="-2"/>
          <w:lang w:val="ka-GE"/>
        </w:rPr>
        <w:t xml:space="preserve"> </w:t>
      </w:r>
      <w:r w:rsidR="0066761D" w:rsidRPr="004207DB">
        <w:rPr>
          <w:rFonts w:ascii="Sylfaen" w:hAnsi="Sylfaen" w:cs="Sylfaen"/>
          <w:b w:val="0"/>
          <w:spacing w:val="-2"/>
          <w:lang w:val="ka-GE"/>
        </w:rPr>
        <w:t>გარემოს</w:t>
      </w:r>
      <w:r w:rsidR="0066761D" w:rsidRPr="004207DB">
        <w:rPr>
          <w:b w:val="0"/>
          <w:spacing w:val="-2"/>
          <w:lang w:val="ka-GE"/>
        </w:rPr>
        <w:t xml:space="preserve"> </w:t>
      </w:r>
      <w:r w:rsidR="0066761D" w:rsidRPr="004207DB">
        <w:rPr>
          <w:rFonts w:ascii="Sylfaen" w:hAnsi="Sylfaen" w:cs="Sylfaen"/>
          <w:b w:val="0"/>
          <w:spacing w:val="-2"/>
          <w:lang w:val="ka-GE"/>
        </w:rPr>
        <w:t>მართვის</w:t>
      </w:r>
      <w:r w:rsidR="0066761D" w:rsidRPr="004207DB">
        <w:rPr>
          <w:b w:val="0"/>
          <w:spacing w:val="-2"/>
          <w:lang w:val="ka-GE"/>
        </w:rPr>
        <w:t xml:space="preserve"> </w:t>
      </w:r>
      <w:r w:rsidR="0066761D" w:rsidRPr="004207DB">
        <w:rPr>
          <w:rFonts w:ascii="Sylfaen" w:hAnsi="Sylfaen" w:cs="Sylfaen"/>
          <w:b w:val="0"/>
          <w:lang w:val="ka-GE"/>
        </w:rPr>
        <w:t>გეგმა</w:t>
      </w:r>
      <w:r w:rsidR="0066761D" w:rsidRPr="004207DB">
        <w:rPr>
          <w:b w:val="0"/>
          <w:lang w:val="ka-GE"/>
        </w:rPr>
        <w:t xml:space="preserve"> (</w:t>
      </w:r>
      <w:r w:rsidR="0066761D" w:rsidRPr="004207DB">
        <w:rPr>
          <w:rFonts w:ascii="Sylfaen" w:hAnsi="Sylfaen" w:cs="Sylfaen"/>
          <w:b w:val="0"/>
          <w:lang w:val="ka-GE"/>
        </w:rPr>
        <w:t>ბსგმგ</w:t>
      </w:r>
      <w:r w:rsidR="0066761D" w:rsidRPr="004207DB">
        <w:rPr>
          <w:b w:val="0"/>
          <w:lang w:val="ka-GE"/>
        </w:rPr>
        <w:t>)</w:t>
      </w:r>
      <w:bookmarkEnd w:id="509"/>
      <w:r w:rsidR="0066761D" w:rsidRPr="004207DB">
        <w:rPr>
          <w:b w:val="0"/>
          <w:lang w:val="ka-GE"/>
        </w:rPr>
        <w:t xml:space="preserve"> </w:t>
      </w:r>
    </w:p>
    <w:p w14:paraId="2CE8368D" w14:textId="77777777" w:rsidR="00B74656" w:rsidRDefault="00B74656" w:rsidP="00B74656">
      <w:pPr>
        <w:rPr>
          <w:rFonts w:ascii="Sylfaen" w:hAnsi="Sylfaen"/>
          <w:lang w:val="ka-GE"/>
        </w:rPr>
      </w:pPr>
      <w:bookmarkStart w:id="510" w:name="_Toc431386064"/>
      <w:r>
        <w:rPr>
          <w:rFonts w:ascii="Sylfaen" w:hAnsi="Sylfaen"/>
          <w:lang w:val="ka-GE"/>
        </w:rPr>
        <w:t xml:space="preserve">ბსგმგ-ს შესრულების მნიშვნელოვან და შეიძლება ითქვას აუცილებელ მექანიზმს წარმოადგენს სათანადო გარემოსდაცვითი დოკუმენტების წესრიგში მოყვანა და მუდმივი განახლება. </w:t>
      </w:r>
    </w:p>
    <w:p w14:paraId="63818966" w14:textId="77777777" w:rsidR="00B74656" w:rsidRDefault="00B74656" w:rsidP="00B74656">
      <w:pPr>
        <w:rPr>
          <w:rFonts w:ascii="Sylfaen" w:hAnsi="Sylfaen"/>
          <w:lang w:val="ka-GE"/>
        </w:rPr>
      </w:pPr>
      <w:r>
        <w:rPr>
          <w:rFonts w:ascii="Sylfaen" w:hAnsi="Sylfaen"/>
          <w:lang w:val="ka-GE"/>
        </w:rPr>
        <w:t xml:space="preserve">მშენებელი კონტრაქტორის გამოვლენის და მშენებლობის ორგანიზაციის საკითების განსაზღვრის შემდგომ საქართველოს საავტომობილო გზების დეპარტამენტი ეროვნული კანონმდებლობის შესაბამისად ვალდებულია მოამზადოს და შესათანხმებლად საქართველოს </w:t>
      </w:r>
      <w:r>
        <w:rPr>
          <w:rFonts w:ascii="Sylfaen" w:eastAsia="Sylfaen" w:hAnsi="Sylfaen" w:cs="Sylfaen"/>
          <w:spacing w:val="-2"/>
          <w:lang w:val="ka-GE"/>
        </w:rPr>
        <w:t>გარემოს დაცვისა და სოფლის მეურნეობის</w:t>
      </w:r>
      <w:r>
        <w:rPr>
          <w:rFonts w:ascii="Sylfaen" w:hAnsi="Sylfaen"/>
          <w:lang w:val="ka-GE"/>
        </w:rPr>
        <w:t xml:space="preserve"> სამინისტროს წარუდგინოს შემდეგი გარემოსდაცვითი დოკუმენტები:</w:t>
      </w:r>
    </w:p>
    <w:p w14:paraId="7B810783" w14:textId="77777777" w:rsidR="00B74656" w:rsidRDefault="00B74656" w:rsidP="00821E4D">
      <w:pPr>
        <w:numPr>
          <w:ilvl w:val="0"/>
          <w:numId w:val="35"/>
        </w:numPr>
        <w:spacing w:after="120"/>
        <w:contextualSpacing/>
        <w:rPr>
          <w:rFonts w:ascii="Sylfaen" w:hAnsi="Sylfaen"/>
          <w:lang w:val="ka-GE"/>
        </w:rPr>
      </w:pPr>
      <w:r>
        <w:rPr>
          <w:rFonts w:ascii="Sylfaen" w:hAnsi="Sylfaen"/>
          <w:lang w:val="ka-GE"/>
        </w:rPr>
        <w:t>ზედაპირულ წყლებში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პროექტი (საჭიროების შემთხვევაში);</w:t>
      </w:r>
    </w:p>
    <w:p w14:paraId="200A174A" w14:textId="77777777" w:rsidR="00B74656" w:rsidRDefault="00B74656" w:rsidP="00821E4D">
      <w:pPr>
        <w:numPr>
          <w:ilvl w:val="0"/>
          <w:numId w:val="35"/>
        </w:numPr>
        <w:spacing w:after="120"/>
        <w:contextualSpacing/>
        <w:rPr>
          <w:rFonts w:ascii="Sylfaen" w:hAnsi="Sylfaen"/>
          <w:lang w:val="ka-GE"/>
        </w:rPr>
      </w:pPr>
      <w:r>
        <w:rPr>
          <w:rFonts w:ascii="Sylfaen" w:hAnsi="Sylfaen"/>
          <w:lang w:val="ka-GE"/>
        </w:rPr>
        <w:t>ატმოსფერულ ჰაერში გაფრქვეულ მავნე ნივთიერებათა სტაციონალური წყაროების ინვენტარიზაციის ტექნიკური ანგარიში (საჭიროების შემთხვევაში);</w:t>
      </w:r>
    </w:p>
    <w:p w14:paraId="3E2C3E89" w14:textId="77777777" w:rsidR="00B74656" w:rsidRDefault="00B74656" w:rsidP="00821E4D">
      <w:pPr>
        <w:numPr>
          <w:ilvl w:val="0"/>
          <w:numId w:val="35"/>
        </w:numPr>
        <w:spacing w:after="120"/>
        <w:contextualSpacing/>
        <w:rPr>
          <w:rFonts w:ascii="Sylfaen" w:hAnsi="Sylfaen"/>
          <w:lang w:val="ka-GE"/>
        </w:rPr>
      </w:pPr>
      <w:r>
        <w:rPr>
          <w:rFonts w:ascii="Sylfaen" w:hAnsi="Sylfaen"/>
          <w:lang w:val="ka-GE"/>
        </w:rPr>
        <w:t>ნარჩენების მართვის დეტალური გეგმა;</w:t>
      </w:r>
    </w:p>
    <w:p w14:paraId="4267E0A4" w14:textId="77777777" w:rsidR="00B74656" w:rsidRDefault="00B74656" w:rsidP="00821E4D">
      <w:pPr>
        <w:numPr>
          <w:ilvl w:val="0"/>
          <w:numId w:val="35"/>
        </w:numPr>
        <w:spacing w:after="120"/>
        <w:contextualSpacing/>
        <w:rPr>
          <w:rFonts w:ascii="Sylfaen" w:hAnsi="Sylfaen"/>
          <w:lang w:val="ka-GE"/>
        </w:rPr>
      </w:pPr>
      <w:r>
        <w:rPr>
          <w:rFonts w:ascii="Sylfaen" w:hAnsi="Sylfaen"/>
          <w:lang w:val="ka-GE"/>
        </w:rPr>
        <w:t>საპროექტო დერეფანში მცენარეული საფარის ტაქსაციის შედეგები;</w:t>
      </w:r>
    </w:p>
    <w:p w14:paraId="2621C95F" w14:textId="77777777" w:rsidR="00B74656" w:rsidRDefault="00B74656" w:rsidP="00821E4D">
      <w:pPr>
        <w:numPr>
          <w:ilvl w:val="0"/>
          <w:numId w:val="35"/>
        </w:numPr>
        <w:spacing w:after="120"/>
        <w:rPr>
          <w:rFonts w:ascii="Sylfaen" w:hAnsi="Sylfaen"/>
          <w:lang w:val="ka-GE"/>
        </w:rPr>
      </w:pPr>
      <w:r>
        <w:rPr>
          <w:rFonts w:ascii="Sylfaen" w:hAnsi="Sylfaen"/>
          <w:lang w:val="ka-GE"/>
        </w:rPr>
        <w:t>ეკოლოგიური ექსპერტიზის დასკვნით გაცემული სანებართვო პირობებით განსაზღვრული დოკუმენტაცია (აქ შეიძლება იგულისხმებოდეს გარემოსდაცვითი მონიტორინგის ყოველკვარტლური ანგარიშები და სხვ.).</w:t>
      </w:r>
    </w:p>
    <w:p w14:paraId="79371A86" w14:textId="77777777" w:rsidR="00B74656" w:rsidRDefault="00B74656" w:rsidP="00B74656">
      <w:pPr>
        <w:rPr>
          <w:rFonts w:ascii="Sylfaen" w:hAnsi="Sylfaen"/>
          <w:lang w:val="ka-GE"/>
        </w:rPr>
      </w:pPr>
      <w:r>
        <w:rPr>
          <w:rFonts w:ascii="Sylfaen" w:hAnsi="Sylfaen"/>
          <w:lang w:val="ka-GE"/>
        </w:rPr>
        <w:t xml:space="preserve">ყველა ჩამოთვლილი დოკუმენტაციის მომზადებისას კონსულტაციებში ჩართული უნდა იყოს მშენებელი კონტრაქტორი. </w:t>
      </w:r>
    </w:p>
    <w:p w14:paraId="52017ECA" w14:textId="77777777" w:rsidR="00B74656" w:rsidRDefault="00B74656" w:rsidP="00B74656">
      <w:pPr>
        <w:spacing w:before="120"/>
        <w:rPr>
          <w:rFonts w:ascii="Sylfaen" w:hAnsi="Sylfaen"/>
          <w:lang w:val="ka-GE"/>
        </w:rPr>
      </w:pPr>
      <w:r>
        <w:rPr>
          <w:rFonts w:ascii="Sylfaen" w:hAnsi="Sylfaen"/>
          <w:lang w:val="ka-GE"/>
        </w:rPr>
        <w:t>თავის მხრივ მშენებელთან გაფორმებულ კონტრაქტში ასახული უნდა იყოს, რომ იგი ვალდებულია მშენებლობის დაწყებამდე დამკვეთს წარუდგინოს და შეუთანხმოს შემდეგი სახის დოკუმენტაცია და ჩანაწერები:</w:t>
      </w:r>
    </w:p>
    <w:p w14:paraId="1E69EBD1" w14:textId="77777777" w:rsidR="00B74656" w:rsidRDefault="00B74656" w:rsidP="00821E4D">
      <w:pPr>
        <w:pStyle w:val="ListParagraph"/>
        <w:numPr>
          <w:ilvl w:val="0"/>
          <w:numId w:val="36"/>
        </w:numPr>
        <w:spacing w:after="0" w:line="240" w:lineRule="auto"/>
        <w:ind w:left="714" w:hanging="357"/>
        <w:rPr>
          <w:lang w:val="ka-GE"/>
        </w:rPr>
      </w:pPr>
      <w:r>
        <w:rPr>
          <w:lang w:val="ka-GE"/>
        </w:rPr>
        <w:t>სატრანსპორტო ნაკადების მართვის გეგმა;</w:t>
      </w:r>
    </w:p>
    <w:p w14:paraId="608881FF" w14:textId="77777777" w:rsidR="00B74656" w:rsidRDefault="00B74656" w:rsidP="00821E4D">
      <w:pPr>
        <w:pStyle w:val="ListParagraph"/>
        <w:numPr>
          <w:ilvl w:val="0"/>
          <w:numId w:val="36"/>
        </w:numPr>
        <w:spacing w:after="0" w:line="240" w:lineRule="auto"/>
        <w:ind w:left="714" w:hanging="357"/>
        <w:rPr>
          <w:lang w:val="ka-GE"/>
        </w:rPr>
      </w:pPr>
      <w:r>
        <w:rPr>
          <w:lang w:val="ka-GE"/>
        </w:rPr>
        <w:t>ჯანდაცვისა და უსაფრთხოების მართვის გეგმა;</w:t>
      </w:r>
    </w:p>
    <w:p w14:paraId="6FF00201" w14:textId="77777777" w:rsidR="00B74656" w:rsidRDefault="00B74656" w:rsidP="00821E4D">
      <w:pPr>
        <w:pStyle w:val="ListParagraph"/>
        <w:numPr>
          <w:ilvl w:val="0"/>
          <w:numId w:val="36"/>
        </w:numPr>
        <w:spacing w:before="120" w:after="0" w:line="240" w:lineRule="auto"/>
        <w:rPr>
          <w:lang w:val="ka-GE"/>
        </w:rPr>
      </w:pPr>
      <w:r>
        <w:rPr>
          <w:lang w:val="ka-GE"/>
        </w:rPr>
        <w:t>ავარიულ სიტუაციებზე რეაგირების გეგმა;</w:t>
      </w:r>
    </w:p>
    <w:p w14:paraId="6589CF8E" w14:textId="77777777" w:rsidR="00B74656" w:rsidRDefault="00B74656" w:rsidP="00B74656">
      <w:pPr>
        <w:spacing w:before="120"/>
        <w:rPr>
          <w:rFonts w:ascii="Sylfaen" w:hAnsi="Sylfaen"/>
          <w:lang w:val="ka-GE"/>
        </w:rPr>
      </w:pPr>
      <w:r>
        <w:rPr>
          <w:rFonts w:ascii="Sylfaen" w:hAnsi="Sylfaen"/>
          <w:lang w:val="ka-GE"/>
        </w:rPr>
        <w:t>გარდა ამისა, საქმიანობის განმახორციელებელი (და მისი დავალებით მშენებელი კონტრაქტორი) მშენებლობის პროცესში აწარმოებს და პრაქტიკაში გამოიყენებს შემდეგი სახის ჩანაწერებს:</w:t>
      </w:r>
    </w:p>
    <w:p w14:paraId="72EC69B4" w14:textId="77777777" w:rsidR="00B74656" w:rsidRDefault="00B74656" w:rsidP="00821E4D">
      <w:pPr>
        <w:numPr>
          <w:ilvl w:val="0"/>
          <w:numId w:val="37"/>
        </w:numPr>
        <w:spacing w:after="120"/>
        <w:contextualSpacing/>
        <w:rPr>
          <w:rFonts w:ascii="Sylfaen" w:hAnsi="Sylfaen"/>
          <w:lang w:val="ka-GE"/>
        </w:rPr>
      </w:pPr>
      <w:r>
        <w:rPr>
          <w:rFonts w:ascii="Sylfaen" w:hAnsi="Sylfaen"/>
          <w:lang w:val="ka-GE"/>
        </w:rPr>
        <w:t>შესასრულებელი სამუშაოების პროგრამა და გრაფიკი;</w:t>
      </w:r>
    </w:p>
    <w:p w14:paraId="72A0068A" w14:textId="77777777" w:rsidR="00B74656" w:rsidRDefault="00B74656" w:rsidP="00821E4D">
      <w:pPr>
        <w:numPr>
          <w:ilvl w:val="0"/>
          <w:numId w:val="37"/>
        </w:numPr>
        <w:spacing w:after="120"/>
        <w:contextualSpacing/>
        <w:rPr>
          <w:rFonts w:ascii="Sylfaen" w:hAnsi="Sylfaen"/>
          <w:lang w:val="ka-GE"/>
        </w:rPr>
      </w:pPr>
      <w:r>
        <w:rPr>
          <w:rFonts w:ascii="Sylfaen" w:hAnsi="Sylfaen"/>
          <w:lang w:val="ka-GE"/>
        </w:rPr>
        <w:t>მშენებლობისთვის საჭირო დანადგარ-მექანიზმების და აღჭურვილობის სია;</w:t>
      </w:r>
    </w:p>
    <w:p w14:paraId="0027C88F" w14:textId="77777777" w:rsidR="00B74656" w:rsidRDefault="00B74656" w:rsidP="00821E4D">
      <w:pPr>
        <w:numPr>
          <w:ilvl w:val="0"/>
          <w:numId w:val="37"/>
        </w:numPr>
        <w:spacing w:after="120"/>
        <w:contextualSpacing/>
        <w:rPr>
          <w:rFonts w:ascii="Sylfaen" w:hAnsi="Sylfaen"/>
          <w:lang w:val="ka-GE"/>
        </w:rPr>
      </w:pPr>
      <w:r>
        <w:rPr>
          <w:rFonts w:ascii="Sylfaen" w:hAnsi="Sylfaen"/>
          <w:lang w:val="ka-GE"/>
        </w:rPr>
        <w:t>წამოჭრილ გარემოსდაცვით პრობლემებთან დაკავშირებული ჩანაწერები;</w:t>
      </w:r>
    </w:p>
    <w:p w14:paraId="1145C322" w14:textId="77777777" w:rsidR="00B74656" w:rsidRDefault="00B74656" w:rsidP="00821E4D">
      <w:pPr>
        <w:numPr>
          <w:ilvl w:val="0"/>
          <w:numId w:val="37"/>
        </w:numPr>
        <w:spacing w:after="120"/>
        <w:contextualSpacing/>
        <w:rPr>
          <w:rFonts w:ascii="Sylfaen" w:hAnsi="Sylfaen"/>
          <w:lang w:val="ka-GE"/>
        </w:rPr>
      </w:pPr>
      <w:r>
        <w:rPr>
          <w:rFonts w:ascii="Sylfaen" w:hAnsi="Sylfaen"/>
          <w:lang w:val="ka-GE"/>
        </w:rPr>
        <w:t>ჩანაწერები ნარჩენების მართვის საკითხებთან;</w:t>
      </w:r>
    </w:p>
    <w:p w14:paraId="3C5BB723" w14:textId="77777777" w:rsidR="00B74656" w:rsidRDefault="00B74656" w:rsidP="00821E4D">
      <w:pPr>
        <w:numPr>
          <w:ilvl w:val="0"/>
          <w:numId w:val="37"/>
        </w:numPr>
        <w:spacing w:after="120"/>
        <w:contextualSpacing/>
        <w:rPr>
          <w:rFonts w:ascii="Sylfaen" w:hAnsi="Sylfaen"/>
          <w:lang w:val="ka-GE"/>
        </w:rPr>
      </w:pPr>
      <w:r>
        <w:rPr>
          <w:rFonts w:ascii="Sylfaen" w:hAnsi="Sylfaen"/>
          <w:lang w:val="ka-GE"/>
        </w:rPr>
        <w:t>ნარჩენების განთავსების ადგილების წერილობითი აღნიშვნები და ადგილობრივი ხელისუფლების მიერ გაცემული ნარჩენების ტრანსპორტირების ინსტრუქციები;</w:t>
      </w:r>
    </w:p>
    <w:p w14:paraId="258D7C02" w14:textId="77777777" w:rsidR="00B74656" w:rsidRDefault="00B74656" w:rsidP="00821E4D">
      <w:pPr>
        <w:numPr>
          <w:ilvl w:val="0"/>
          <w:numId w:val="37"/>
        </w:numPr>
        <w:spacing w:after="120"/>
        <w:contextualSpacing/>
        <w:rPr>
          <w:rFonts w:ascii="Sylfaen" w:hAnsi="Sylfaen"/>
          <w:lang w:val="ka-GE"/>
        </w:rPr>
      </w:pPr>
      <w:r>
        <w:rPr>
          <w:rFonts w:ascii="Sylfaen" w:hAnsi="Sylfaen"/>
          <w:lang w:val="ka-GE"/>
        </w:rPr>
        <w:t>ჩანაწერები საჭირო მასალების მარაგებისა და მოხმარების შესახებ;</w:t>
      </w:r>
    </w:p>
    <w:p w14:paraId="3FDB30EB" w14:textId="77777777" w:rsidR="00B74656" w:rsidRDefault="00B74656" w:rsidP="00821E4D">
      <w:pPr>
        <w:numPr>
          <w:ilvl w:val="0"/>
          <w:numId w:val="37"/>
        </w:numPr>
        <w:spacing w:after="120"/>
        <w:contextualSpacing/>
        <w:rPr>
          <w:rFonts w:ascii="Sylfaen" w:hAnsi="Sylfaen"/>
          <w:lang w:val="ka-GE"/>
        </w:rPr>
      </w:pPr>
      <w:r>
        <w:rPr>
          <w:rFonts w:ascii="Sylfaen" w:hAnsi="Sylfaen"/>
          <w:lang w:val="ka-GE"/>
        </w:rPr>
        <w:t>საჩივრების რეგისტრაციის ჟურნალები;</w:t>
      </w:r>
    </w:p>
    <w:p w14:paraId="56F07931" w14:textId="77777777" w:rsidR="00B74656" w:rsidRDefault="00B74656" w:rsidP="00821E4D">
      <w:pPr>
        <w:numPr>
          <w:ilvl w:val="0"/>
          <w:numId w:val="37"/>
        </w:numPr>
        <w:spacing w:after="120"/>
        <w:contextualSpacing/>
        <w:rPr>
          <w:rFonts w:ascii="Sylfaen" w:hAnsi="Sylfaen"/>
          <w:lang w:val="ka-GE"/>
        </w:rPr>
      </w:pPr>
      <w:r>
        <w:rPr>
          <w:rFonts w:ascii="Sylfaen" w:hAnsi="Sylfaen"/>
          <w:lang w:val="ka-GE"/>
        </w:rPr>
        <w:t>ინციდენტების რეგისტრაციის ჟურნალები;</w:t>
      </w:r>
    </w:p>
    <w:p w14:paraId="62663420" w14:textId="77777777" w:rsidR="00B74656" w:rsidRDefault="00B74656" w:rsidP="00821E4D">
      <w:pPr>
        <w:numPr>
          <w:ilvl w:val="0"/>
          <w:numId w:val="37"/>
        </w:numPr>
        <w:spacing w:after="120"/>
        <w:contextualSpacing/>
        <w:rPr>
          <w:rFonts w:ascii="Sylfaen" w:hAnsi="Sylfaen"/>
          <w:lang w:val="ka-GE"/>
        </w:rPr>
      </w:pPr>
      <w:r>
        <w:rPr>
          <w:rFonts w:ascii="Sylfaen" w:hAnsi="Sylfaen"/>
          <w:lang w:val="ka-GE"/>
        </w:rPr>
        <w:t>ანგარიშები მაკორექტირებელი ღონისძიებების შესახებ;</w:t>
      </w:r>
    </w:p>
    <w:p w14:paraId="05EA9BFA" w14:textId="77777777" w:rsidR="00B74656" w:rsidRDefault="00B74656" w:rsidP="00821E4D">
      <w:pPr>
        <w:numPr>
          <w:ilvl w:val="0"/>
          <w:numId w:val="37"/>
        </w:numPr>
        <w:spacing w:after="120"/>
        <w:contextualSpacing/>
        <w:rPr>
          <w:rFonts w:ascii="Sylfaen" w:hAnsi="Sylfaen"/>
          <w:lang w:val="ka-GE"/>
        </w:rPr>
      </w:pPr>
      <w:r>
        <w:rPr>
          <w:rFonts w:ascii="Sylfaen" w:hAnsi="Sylfaen"/>
          <w:lang w:val="ka-GE"/>
        </w:rPr>
        <w:t>აღჭურვილობის კონტროლის და ტექნიკური მომსახურების ჟურნალები;</w:t>
      </w:r>
    </w:p>
    <w:p w14:paraId="146E6BF6" w14:textId="77777777" w:rsidR="00B74656" w:rsidRDefault="00B74656" w:rsidP="00821E4D">
      <w:pPr>
        <w:numPr>
          <w:ilvl w:val="0"/>
          <w:numId w:val="37"/>
        </w:numPr>
        <w:spacing w:after="120"/>
        <w:ind w:left="714" w:hanging="357"/>
        <w:rPr>
          <w:rFonts w:ascii="Sylfaen" w:hAnsi="Sylfaen"/>
          <w:lang w:val="ka-GE"/>
        </w:rPr>
      </w:pPr>
      <w:r>
        <w:rPr>
          <w:rFonts w:ascii="Sylfaen" w:hAnsi="Sylfaen"/>
          <w:lang w:val="ka-GE"/>
        </w:rPr>
        <w:t>ჩანაწერები მომსახურე პერსონალის ტრენინგების შესახებ.</w:t>
      </w:r>
    </w:p>
    <w:p w14:paraId="6B30814D" w14:textId="77777777" w:rsidR="00B74656" w:rsidRDefault="00B74656" w:rsidP="00B74656">
      <w:pPr>
        <w:rPr>
          <w:rFonts w:ascii="Sylfaen" w:eastAsia="Calibri" w:hAnsi="Sylfaen"/>
          <w:lang w:val="ka-GE"/>
        </w:rPr>
      </w:pPr>
      <w:r>
        <w:rPr>
          <w:rFonts w:ascii="Sylfaen" w:eastAsia="Calibri" w:hAnsi="Sylfaen"/>
          <w:lang w:val="ka-GE"/>
        </w:rPr>
        <w:t>შემდგომ პარაგრაფებში მოცემულია გმგ პროექტის თითოეული ეტაპისათვის.</w:t>
      </w:r>
    </w:p>
    <w:p w14:paraId="3EDD4502" w14:textId="77777777" w:rsidR="00B74656" w:rsidRDefault="00B74656" w:rsidP="00B74656">
      <w:pPr>
        <w:jc w:val="left"/>
        <w:rPr>
          <w:rFonts w:eastAsia="Calibri"/>
          <w:b/>
          <w:lang w:val="ka-GE"/>
        </w:rPr>
      </w:pPr>
    </w:p>
    <w:p w14:paraId="3F0A2200" w14:textId="77777777" w:rsidR="0066761D" w:rsidRPr="007C708F" w:rsidRDefault="00C2593F" w:rsidP="004207DB">
      <w:pPr>
        <w:pStyle w:val="EIAH3"/>
      </w:pPr>
      <w:bookmarkStart w:id="511" w:name="_Toc1581586"/>
      <w:r>
        <w:lastRenderedPageBreak/>
        <w:t>8</w:t>
      </w:r>
      <w:r w:rsidR="0066761D" w:rsidRPr="007C708F">
        <w:t>.1.</w:t>
      </w:r>
      <w:r w:rsidR="004207DB">
        <w:t>1</w:t>
      </w:r>
      <w:r w:rsidR="0066761D" w:rsidRPr="007C708F">
        <w:t xml:space="preserve"> </w:t>
      </w:r>
      <w:r w:rsidR="0066761D" w:rsidRPr="007C708F">
        <w:rPr>
          <w:rFonts w:ascii="Sylfaen" w:hAnsi="Sylfaen" w:cs="Sylfaen"/>
        </w:rPr>
        <w:t>ინსტიტუციონალური</w:t>
      </w:r>
      <w:r w:rsidR="0066761D" w:rsidRPr="007C708F">
        <w:t xml:space="preserve"> </w:t>
      </w:r>
      <w:r w:rsidR="0066761D" w:rsidRPr="007C708F">
        <w:rPr>
          <w:rFonts w:ascii="Sylfaen" w:hAnsi="Sylfaen" w:cs="Sylfaen"/>
        </w:rPr>
        <w:t>ჩარჩო</w:t>
      </w:r>
      <w:r w:rsidR="0066761D" w:rsidRPr="007C708F">
        <w:t xml:space="preserve"> </w:t>
      </w:r>
      <w:r w:rsidR="0066761D" w:rsidRPr="007C708F">
        <w:rPr>
          <w:rFonts w:ascii="Sylfaen" w:hAnsi="Sylfaen" w:cs="Sylfaen"/>
        </w:rPr>
        <w:t>და</w:t>
      </w:r>
      <w:r w:rsidR="0066761D" w:rsidRPr="007C708F">
        <w:t xml:space="preserve"> </w:t>
      </w:r>
      <w:r w:rsidR="0066761D" w:rsidRPr="007C708F">
        <w:rPr>
          <w:rFonts w:ascii="Sylfaen" w:hAnsi="Sylfaen" w:cs="Sylfaen"/>
        </w:rPr>
        <w:t>გარემოსდაცვითი</w:t>
      </w:r>
      <w:r w:rsidR="0066761D" w:rsidRPr="007C708F">
        <w:t xml:space="preserve"> </w:t>
      </w:r>
      <w:r w:rsidR="0066761D" w:rsidRPr="007C708F">
        <w:rPr>
          <w:rFonts w:ascii="Sylfaen" w:hAnsi="Sylfaen" w:cs="Sylfaen"/>
        </w:rPr>
        <w:t>ადმინისტრირება</w:t>
      </w:r>
      <w:bookmarkEnd w:id="510"/>
      <w:bookmarkEnd w:id="511"/>
      <w:r w:rsidR="004207DB">
        <w:tab/>
      </w:r>
    </w:p>
    <w:p w14:paraId="02C73844" w14:textId="77777777" w:rsidR="0066761D" w:rsidRPr="005F7025" w:rsidRDefault="0066761D" w:rsidP="0066761D">
      <w:pPr>
        <w:pStyle w:val="BodyText"/>
        <w:spacing w:before="120"/>
        <w:ind w:right="99"/>
        <w:jc w:val="both"/>
        <w:rPr>
          <w:sz w:val="22"/>
          <w:szCs w:val="22"/>
          <w:lang w:val="ka-GE"/>
        </w:rPr>
      </w:pPr>
      <w:r w:rsidRPr="005F7025">
        <w:rPr>
          <w:rFonts w:ascii="Sylfaen" w:hAnsi="Sylfaen" w:cs="Sylfaen"/>
          <w:spacing w:val="-1"/>
          <w:sz w:val="22"/>
          <w:szCs w:val="22"/>
          <w:lang w:val="ka-GE"/>
        </w:rPr>
        <w:t xml:space="preserve">რეგიონალური განვითარების </w:t>
      </w:r>
      <w:r w:rsidRPr="005F7025">
        <w:rPr>
          <w:rFonts w:ascii="Sylfaen" w:hAnsi="Sylfaen" w:cs="Sylfaen"/>
          <w:sz w:val="22"/>
          <w:szCs w:val="22"/>
          <w:lang w:val="ka-GE"/>
        </w:rPr>
        <w:t xml:space="preserve">და </w:t>
      </w:r>
      <w:r w:rsidRPr="005F7025">
        <w:rPr>
          <w:rFonts w:ascii="Sylfaen" w:hAnsi="Sylfaen" w:cs="Sylfaen"/>
          <w:spacing w:val="-1"/>
          <w:sz w:val="22"/>
          <w:szCs w:val="22"/>
          <w:lang w:val="ka-GE"/>
        </w:rPr>
        <w:t xml:space="preserve">ინფრასტრუქტურის სამინისტროს საავტომობილო გზების დეპარტამენტი </w:t>
      </w:r>
      <w:r w:rsidRPr="005F7025">
        <w:rPr>
          <w:spacing w:val="-1"/>
          <w:sz w:val="22"/>
          <w:szCs w:val="22"/>
          <w:lang w:val="ka-GE"/>
        </w:rPr>
        <w:t xml:space="preserve">(RD) </w:t>
      </w:r>
      <w:r w:rsidRPr="005F7025">
        <w:rPr>
          <w:rFonts w:ascii="Sylfaen" w:hAnsi="Sylfaen" w:cs="Sylfaen"/>
          <w:spacing w:val="-1"/>
          <w:sz w:val="22"/>
          <w:szCs w:val="22"/>
          <w:lang w:val="ka-GE"/>
        </w:rPr>
        <w:t>პასუხისმგებელია წარმოებული სამუშაოების გარემოსდაცვით ნორმებთან შესაბამისობის ზოგად კონტროლზე კონტრაქტორის ტექნიკური ზედამხედველის  ხარისხიანი მუშაობის უზრუნველყოფი</w:t>
      </w:r>
      <w:r w:rsidRPr="007C708F">
        <w:rPr>
          <w:rFonts w:ascii="Sylfaen" w:hAnsi="Sylfaen" w:cs="Sylfaen"/>
          <w:spacing w:val="-1"/>
          <w:sz w:val="22"/>
          <w:szCs w:val="22"/>
          <w:lang w:val="ka-GE"/>
        </w:rPr>
        <w:t>ს</w:t>
      </w:r>
      <w:r w:rsidRPr="005F7025">
        <w:rPr>
          <w:rFonts w:ascii="Sylfaen" w:hAnsi="Sylfaen" w:cs="Sylfaen"/>
          <w:spacing w:val="-1"/>
          <w:sz w:val="22"/>
          <w:szCs w:val="22"/>
          <w:lang w:val="ka-GE"/>
        </w:rPr>
        <w:t xml:space="preserve"> გზით</w:t>
      </w:r>
      <w:r w:rsidRPr="005F7025">
        <w:rPr>
          <w:spacing w:val="-1"/>
          <w:sz w:val="22"/>
          <w:szCs w:val="22"/>
          <w:lang w:val="ka-GE"/>
        </w:rPr>
        <w:t>.</w:t>
      </w:r>
      <w:r w:rsidRPr="007C708F">
        <w:rPr>
          <w:rFonts w:ascii="Sylfaen" w:hAnsi="Sylfaen"/>
          <w:spacing w:val="-1"/>
          <w:sz w:val="22"/>
          <w:szCs w:val="22"/>
          <w:lang w:val="ka-GE"/>
        </w:rPr>
        <w:t xml:space="preserve"> </w:t>
      </w:r>
      <w:r w:rsidRPr="005F7025">
        <w:rPr>
          <w:rFonts w:ascii="Sylfaen" w:hAnsi="Sylfaen" w:cs="Sylfaen"/>
          <w:spacing w:val="-1"/>
          <w:sz w:val="22"/>
          <w:szCs w:val="22"/>
          <w:lang w:val="ka-GE"/>
        </w:rPr>
        <w:t>ამ</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მიზნის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მისაღწევად</w:t>
      </w:r>
      <w:r w:rsidRPr="007C708F">
        <w:rPr>
          <w:rFonts w:ascii="Sylfaen" w:hAnsi="Sylfaen" w:cs="Sylfaen"/>
          <w:spacing w:val="-1"/>
          <w:sz w:val="22"/>
          <w:szCs w:val="22"/>
          <w:lang w:val="ka-GE"/>
        </w:rPr>
        <w:t xml:space="preserve"> </w:t>
      </w:r>
      <w:r w:rsidRPr="005F7025">
        <w:rPr>
          <w:spacing w:val="-1"/>
          <w:sz w:val="22"/>
          <w:szCs w:val="22"/>
          <w:lang w:val="ka-GE"/>
        </w:rPr>
        <w:t>RD</w:t>
      </w:r>
      <w:r w:rsidRPr="007C708F">
        <w:rPr>
          <w:rFonts w:ascii="Sylfaen" w:hAnsi="Sylfaen"/>
          <w:spacing w:val="-1"/>
          <w:sz w:val="22"/>
          <w:szCs w:val="22"/>
          <w:lang w:val="ka-GE"/>
        </w:rPr>
        <w:t xml:space="preserve"> </w:t>
      </w:r>
      <w:r w:rsidRPr="005F7025">
        <w:rPr>
          <w:rFonts w:ascii="Sylfaen" w:hAnsi="Sylfaen" w:cs="Sylfaen"/>
          <w:spacing w:val="-1"/>
          <w:sz w:val="22"/>
          <w:szCs w:val="22"/>
          <w:lang w:val="ka-GE"/>
        </w:rPr>
        <w:t>თანამშრომლობს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მსოფლიო</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ბანკთან</w:t>
      </w:r>
      <w:r w:rsidRPr="005F7025">
        <w:rPr>
          <w:spacing w:val="-1"/>
          <w:sz w:val="22"/>
          <w:szCs w:val="22"/>
          <w:lang w:val="ka-GE"/>
        </w:rPr>
        <w:t>,</w:t>
      </w:r>
      <w:r w:rsidRPr="007C708F">
        <w:rPr>
          <w:rFonts w:ascii="Sylfaen" w:hAnsi="Sylfaen"/>
          <w:spacing w:val="-1"/>
          <w:sz w:val="22"/>
          <w:szCs w:val="22"/>
          <w:lang w:val="ka-GE"/>
        </w:rPr>
        <w:t xml:space="preserve"> </w:t>
      </w:r>
      <w:r w:rsidRPr="005F7025">
        <w:rPr>
          <w:rFonts w:ascii="Sylfaen" w:hAnsi="Sylfaen" w:cs="Sylfaen"/>
          <w:spacing w:val="-1"/>
          <w:sz w:val="22"/>
          <w:szCs w:val="22"/>
          <w:lang w:val="ka-GE"/>
        </w:rPr>
        <w:t>უზრუნველყოფს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გარემოსდაცვითი</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ინფორმაციის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ხელმისაწვდომობას</w:t>
      </w:r>
      <w:r w:rsidRPr="007C708F">
        <w:rPr>
          <w:rFonts w:ascii="Sylfaen" w:hAnsi="Sylfaen" w:cs="Sylfaen"/>
          <w:spacing w:val="-1"/>
          <w:sz w:val="22"/>
          <w:szCs w:val="22"/>
          <w:lang w:val="ka-GE"/>
        </w:rPr>
        <w:t xml:space="preserve"> </w:t>
      </w:r>
      <w:r w:rsidRPr="005F7025">
        <w:rPr>
          <w:rFonts w:ascii="Sylfaen" w:hAnsi="Sylfaen" w:cs="Sylfaen"/>
          <w:sz w:val="22"/>
          <w:szCs w:val="22"/>
          <w:lang w:val="ka-GE"/>
        </w:rPr>
        <w:t>და</w:t>
      </w:r>
      <w:r w:rsidRPr="007C708F">
        <w:rPr>
          <w:rFonts w:ascii="Sylfaen" w:hAnsi="Sylfaen" w:cs="Sylfaen"/>
          <w:sz w:val="22"/>
          <w:szCs w:val="22"/>
          <w:lang w:val="ka-GE"/>
        </w:rPr>
        <w:t xml:space="preserve"> </w:t>
      </w:r>
      <w:r w:rsidRPr="005F7025">
        <w:rPr>
          <w:rFonts w:ascii="Sylfaen" w:hAnsi="Sylfaen" w:cs="Sylfaen"/>
          <w:spacing w:val="-1"/>
          <w:sz w:val="22"/>
          <w:szCs w:val="22"/>
          <w:lang w:val="ka-GE"/>
        </w:rPr>
        <w:t>ხელს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უწყობს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პროექტის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გარემოსდაცვით</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ზედამხედველობას</w:t>
      </w:r>
      <w:r w:rsidRPr="005F7025">
        <w:rPr>
          <w:spacing w:val="-1"/>
          <w:sz w:val="22"/>
          <w:szCs w:val="22"/>
          <w:lang w:val="ka-GE"/>
        </w:rPr>
        <w:t>.</w:t>
      </w:r>
    </w:p>
    <w:p w14:paraId="2FC62926" w14:textId="77777777" w:rsidR="0066761D" w:rsidRPr="005F7025" w:rsidRDefault="0066761D" w:rsidP="0066761D">
      <w:pPr>
        <w:pStyle w:val="BodyText"/>
        <w:spacing w:before="120"/>
        <w:ind w:right="98"/>
        <w:jc w:val="both"/>
        <w:rPr>
          <w:sz w:val="22"/>
          <w:szCs w:val="22"/>
          <w:lang w:val="ka-GE"/>
        </w:rPr>
      </w:pPr>
      <w:r w:rsidRPr="005F7025">
        <w:rPr>
          <w:rFonts w:ascii="Sylfaen" w:hAnsi="Sylfaen" w:cs="Sylfaen"/>
          <w:spacing w:val="-1"/>
          <w:sz w:val="22"/>
          <w:szCs w:val="22"/>
          <w:lang w:val="ka-GE"/>
        </w:rPr>
        <w:t>დეპარტამენტის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მიერ</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განსაზღვრული</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მონიტორი</w:t>
      </w:r>
      <w:r w:rsidR="00C2593F">
        <w:rPr>
          <w:rFonts w:ascii="Sylfaen" w:hAnsi="Sylfaen" w:cs="Sylfaen"/>
          <w:spacing w:val="-1"/>
          <w:sz w:val="22"/>
          <w:szCs w:val="22"/>
          <w:lang w:val="ka-GE"/>
        </w:rPr>
        <w:t>ნგზე</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პასუხისმგებელია</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სამუშაოს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ზედამხედველობაზე</w:t>
      </w:r>
      <w:r w:rsidRPr="005F7025">
        <w:rPr>
          <w:spacing w:val="-1"/>
          <w:sz w:val="22"/>
          <w:szCs w:val="22"/>
          <w:lang w:val="ka-GE"/>
        </w:rPr>
        <w:t>.</w:t>
      </w:r>
      <w:r w:rsidRPr="007C708F">
        <w:rPr>
          <w:rFonts w:ascii="Sylfaen" w:hAnsi="Sylfaen"/>
          <w:spacing w:val="-1"/>
          <w:sz w:val="22"/>
          <w:szCs w:val="22"/>
          <w:lang w:val="ka-GE"/>
        </w:rPr>
        <w:t xml:space="preserve"> </w:t>
      </w:r>
      <w:r w:rsidRPr="005F7025">
        <w:rPr>
          <w:rFonts w:ascii="Sylfaen" w:hAnsi="Sylfaen" w:cs="Sylfaen"/>
          <w:spacing w:val="-1"/>
          <w:sz w:val="22"/>
          <w:szCs w:val="22"/>
          <w:lang w:val="ka-GE"/>
        </w:rPr>
        <w:t>პროექტთან</w:t>
      </w:r>
      <w:r w:rsidRPr="007C708F">
        <w:rPr>
          <w:rFonts w:ascii="Sylfaen" w:hAnsi="Sylfaen" w:cs="Sylfaen"/>
          <w:spacing w:val="-1"/>
          <w:sz w:val="22"/>
          <w:szCs w:val="22"/>
          <w:lang w:val="ka-GE"/>
        </w:rPr>
        <w:t xml:space="preserve"> </w:t>
      </w:r>
      <w:r w:rsidRPr="005F7025">
        <w:rPr>
          <w:rFonts w:ascii="Sylfaen" w:hAnsi="Sylfaen" w:cs="Sylfaen"/>
          <w:sz w:val="22"/>
          <w:szCs w:val="22"/>
          <w:lang w:val="ka-GE"/>
        </w:rPr>
        <w:t>და</w:t>
      </w:r>
      <w:r w:rsidRPr="007C708F">
        <w:rPr>
          <w:rFonts w:ascii="Sylfaen" w:hAnsi="Sylfaen" w:cs="Sylfaen"/>
          <w:sz w:val="22"/>
          <w:szCs w:val="22"/>
          <w:lang w:val="ka-GE"/>
        </w:rPr>
        <w:t xml:space="preserve"> </w:t>
      </w:r>
      <w:r w:rsidRPr="005F7025">
        <w:rPr>
          <w:rFonts w:ascii="Sylfaen" w:hAnsi="Sylfaen" w:cs="Sylfaen"/>
          <w:spacing w:val="-1"/>
          <w:sz w:val="22"/>
          <w:szCs w:val="22"/>
          <w:lang w:val="ka-GE"/>
        </w:rPr>
        <w:t>სამუშაოს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ხარისხთან</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შესაბამისობის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უზრუნველყოფის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გარდა</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მონიტორს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ევალება</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კონტრაქტორის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მიერ</w:t>
      </w:r>
      <w:r w:rsidRPr="007C708F">
        <w:rPr>
          <w:rFonts w:ascii="Sylfaen" w:hAnsi="Sylfaen" w:cs="Sylfaen"/>
          <w:spacing w:val="-1"/>
          <w:sz w:val="22"/>
          <w:szCs w:val="22"/>
          <w:lang w:val="ka-GE"/>
        </w:rPr>
        <w:t xml:space="preserve"> </w:t>
      </w:r>
      <w:r w:rsidR="008A1213">
        <w:rPr>
          <w:rFonts w:ascii="Sylfaen" w:hAnsi="Sylfaen" w:cs="Sylfaen"/>
          <w:spacing w:val="-1"/>
          <w:sz w:val="22"/>
          <w:szCs w:val="22"/>
          <w:lang w:val="ka-GE"/>
        </w:rPr>
        <w:t>ბს</w:t>
      </w:r>
      <w:r w:rsidRPr="005F7025">
        <w:rPr>
          <w:rFonts w:ascii="Sylfaen" w:hAnsi="Sylfaen" w:cs="Sylfaen"/>
          <w:spacing w:val="-1"/>
          <w:sz w:val="22"/>
          <w:szCs w:val="22"/>
          <w:lang w:val="ka-GE"/>
        </w:rPr>
        <w:t>გმგ</w:t>
      </w:r>
      <w:r w:rsidRPr="005F7025">
        <w:rPr>
          <w:spacing w:val="-1"/>
          <w:sz w:val="22"/>
          <w:szCs w:val="22"/>
          <w:lang w:val="ka-GE"/>
        </w:rPr>
        <w:t>-</w:t>
      </w:r>
      <w:r w:rsidRPr="005F7025">
        <w:rPr>
          <w:rFonts w:ascii="Sylfaen" w:hAnsi="Sylfaen" w:cs="Sylfaen"/>
          <w:spacing w:val="-1"/>
          <w:sz w:val="22"/>
          <w:szCs w:val="22"/>
          <w:lang w:val="ka-GE"/>
        </w:rPr>
        <w:t>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შესრულებაზე</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თვალის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გადევნება</w:t>
      </w:r>
      <w:r w:rsidRPr="005F7025">
        <w:rPr>
          <w:spacing w:val="-1"/>
          <w:sz w:val="22"/>
          <w:szCs w:val="22"/>
          <w:lang w:val="ka-GE"/>
        </w:rPr>
        <w:t>,</w:t>
      </w:r>
      <w:r w:rsidRPr="007C708F">
        <w:rPr>
          <w:rFonts w:ascii="Sylfaen" w:hAnsi="Sylfaen"/>
          <w:spacing w:val="-1"/>
          <w:sz w:val="22"/>
          <w:szCs w:val="22"/>
          <w:lang w:val="ka-GE"/>
        </w:rPr>
        <w:t xml:space="preserve"> </w:t>
      </w:r>
      <w:r w:rsidRPr="005F7025">
        <w:rPr>
          <w:rFonts w:ascii="Sylfaen" w:hAnsi="Sylfaen" w:cs="Sylfaen"/>
          <w:sz w:val="22"/>
          <w:szCs w:val="22"/>
          <w:lang w:val="ka-GE"/>
        </w:rPr>
        <w:t>და</w:t>
      </w:r>
      <w:r w:rsidRPr="007C708F">
        <w:rPr>
          <w:rFonts w:ascii="Sylfaen" w:hAnsi="Sylfaen" w:cs="Sylfaen"/>
          <w:sz w:val="22"/>
          <w:szCs w:val="22"/>
          <w:lang w:val="ka-GE"/>
        </w:rPr>
        <w:t xml:space="preserve"> </w:t>
      </w:r>
      <w:r w:rsidRPr="005F7025">
        <w:rPr>
          <w:rFonts w:ascii="Sylfaen" w:hAnsi="Sylfaen" w:cs="Sylfaen"/>
          <w:spacing w:val="-1"/>
          <w:sz w:val="22"/>
          <w:szCs w:val="22"/>
          <w:lang w:val="ka-GE"/>
        </w:rPr>
        <w:t>დაგეგმილი</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ქმედებებისგან</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გადახრის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გამოვლენა</w:t>
      </w:r>
      <w:r w:rsidRPr="005F7025">
        <w:rPr>
          <w:spacing w:val="-1"/>
          <w:sz w:val="22"/>
          <w:szCs w:val="22"/>
          <w:lang w:val="ka-GE"/>
        </w:rPr>
        <w:t>,</w:t>
      </w:r>
      <w:r w:rsidRPr="007C708F">
        <w:rPr>
          <w:rFonts w:ascii="Sylfaen" w:hAnsi="Sylfaen"/>
          <w:spacing w:val="-1"/>
          <w:sz w:val="22"/>
          <w:szCs w:val="22"/>
          <w:lang w:val="ka-GE"/>
        </w:rPr>
        <w:t xml:space="preserve"> </w:t>
      </w:r>
      <w:r w:rsidRPr="005F7025">
        <w:rPr>
          <w:rFonts w:ascii="Sylfaen" w:hAnsi="Sylfaen" w:cs="Sylfaen"/>
          <w:spacing w:val="-1"/>
          <w:sz w:val="22"/>
          <w:szCs w:val="22"/>
          <w:lang w:val="ka-GE"/>
        </w:rPr>
        <w:t>იმ</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გარემისდაცვითი</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პრობლემის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განსაზღვრა</w:t>
      </w:r>
      <w:r w:rsidRPr="005F7025">
        <w:rPr>
          <w:spacing w:val="-1"/>
          <w:sz w:val="22"/>
          <w:szCs w:val="22"/>
          <w:lang w:val="ka-GE"/>
        </w:rPr>
        <w:t>,</w:t>
      </w:r>
      <w:r w:rsidRPr="007C708F">
        <w:rPr>
          <w:rFonts w:ascii="Sylfaen" w:hAnsi="Sylfaen"/>
          <w:spacing w:val="-1"/>
          <w:sz w:val="22"/>
          <w:szCs w:val="22"/>
          <w:lang w:val="ka-GE"/>
        </w:rPr>
        <w:t xml:space="preserve"> </w:t>
      </w:r>
      <w:r w:rsidRPr="005F7025">
        <w:rPr>
          <w:rFonts w:ascii="Sylfaen" w:hAnsi="Sylfaen" w:cs="Sylfaen"/>
          <w:spacing w:val="-1"/>
          <w:sz w:val="22"/>
          <w:szCs w:val="22"/>
          <w:lang w:val="ka-GE"/>
        </w:rPr>
        <w:t>რომელიც</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შეიძლება</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გამოვლინდეს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სამუშაოს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ნებისმიერ</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საფეხურზე</w:t>
      </w:r>
      <w:r w:rsidRPr="005F7025">
        <w:rPr>
          <w:spacing w:val="-1"/>
          <w:sz w:val="22"/>
          <w:szCs w:val="22"/>
          <w:lang w:val="ka-GE"/>
        </w:rPr>
        <w:t>.</w:t>
      </w:r>
    </w:p>
    <w:p w14:paraId="6025633B" w14:textId="77777777" w:rsidR="0066761D" w:rsidRPr="005F7025" w:rsidRDefault="0066761D" w:rsidP="0066761D">
      <w:pPr>
        <w:pStyle w:val="BodyText"/>
        <w:tabs>
          <w:tab w:val="left" w:pos="6625"/>
        </w:tabs>
        <w:spacing w:before="120"/>
        <w:ind w:right="100"/>
        <w:jc w:val="both"/>
        <w:rPr>
          <w:sz w:val="22"/>
          <w:szCs w:val="22"/>
          <w:lang w:val="ka-GE"/>
        </w:rPr>
      </w:pPr>
      <w:r w:rsidRPr="005F7025">
        <w:rPr>
          <w:rFonts w:ascii="Sylfaen" w:hAnsi="Sylfaen" w:cs="Sylfaen"/>
          <w:spacing w:val="-1"/>
          <w:sz w:val="22"/>
          <w:szCs w:val="22"/>
          <w:lang w:val="ka-GE"/>
        </w:rPr>
        <w:t>მშენებელი</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კონტრაქტორი</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ვალდებულია</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დაიცვას</w:t>
      </w:r>
      <w:r w:rsidRPr="007C708F">
        <w:rPr>
          <w:rFonts w:ascii="Sylfaen" w:hAnsi="Sylfaen" w:cs="Sylfaen"/>
          <w:spacing w:val="-1"/>
          <w:sz w:val="22"/>
          <w:szCs w:val="22"/>
          <w:lang w:val="ka-GE"/>
        </w:rPr>
        <w:t xml:space="preserve"> </w:t>
      </w:r>
      <w:r w:rsidR="004207DB">
        <w:rPr>
          <w:rFonts w:ascii="Sylfaen" w:hAnsi="Sylfaen" w:cs="Sylfaen"/>
          <w:spacing w:val="-1"/>
          <w:sz w:val="22"/>
          <w:szCs w:val="22"/>
          <w:lang w:val="ka-GE"/>
        </w:rPr>
        <w:t>ბს</w:t>
      </w:r>
      <w:r w:rsidRPr="005F7025">
        <w:rPr>
          <w:rFonts w:ascii="Sylfaen" w:hAnsi="Sylfaen" w:cs="Sylfaen"/>
          <w:spacing w:val="-1"/>
          <w:sz w:val="22"/>
          <w:szCs w:val="22"/>
          <w:lang w:val="ka-GE"/>
        </w:rPr>
        <w:t>გმგ</w:t>
      </w:r>
      <w:r w:rsidRPr="007C708F">
        <w:rPr>
          <w:rFonts w:ascii="Sylfaen" w:hAnsi="Sylfaen" w:cs="Sylfaen"/>
          <w:spacing w:val="-1"/>
          <w:sz w:val="22"/>
          <w:szCs w:val="22"/>
          <w:lang w:val="ka-GE"/>
        </w:rPr>
        <w:t xml:space="preserve"> </w:t>
      </w:r>
      <w:r w:rsidRPr="005F7025">
        <w:rPr>
          <w:rFonts w:ascii="Sylfaen" w:hAnsi="Sylfaen" w:cs="Sylfaen"/>
          <w:sz w:val="22"/>
          <w:szCs w:val="22"/>
          <w:lang w:val="ka-GE"/>
        </w:rPr>
        <w:t>და</w:t>
      </w:r>
      <w:r w:rsidRPr="007C708F">
        <w:rPr>
          <w:rFonts w:ascii="Sylfaen" w:hAnsi="Sylfaen" w:cs="Sylfaen"/>
          <w:sz w:val="22"/>
          <w:szCs w:val="22"/>
          <w:lang w:val="ka-GE"/>
        </w:rPr>
        <w:t xml:space="preserve"> </w:t>
      </w:r>
      <w:r w:rsidRPr="005F7025">
        <w:rPr>
          <w:rFonts w:ascii="Sylfaen" w:hAnsi="Sylfaen" w:cs="Sylfaen"/>
          <w:spacing w:val="-1"/>
          <w:sz w:val="22"/>
          <w:szCs w:val="22"/>
          <w:lang w:val="ka-GE"/>
        </w:rPr>
        <w:t>მშენებლობის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წესები</w:t>
      </w:r>
      <w:r w:rsidRPr="007C708F">
        <w:rPr>
          <w:rFonts w:ascii="Sylfaen" w:hAnsi="Sylfaen" w:cs="Sylfaen"/>
          <w:spacing w:val="-1"/>
          <w:sz w:val="22"/>
          <w:szCs w:val="22"/>
          <w:lang w:val="ka-GE"/>
        </w:rPr>
        <w:t xml:space="preserve"> </w:t>
      </w:r>
      <w:r w:rsidRPr="005F7025">
        <w:rPr>
          <w:rFonts w:ascii="Sylfaen" w:hAnsi="Sylfaen" w:cs="Sylfaen"/>
          <w:sz w:val="22"/>
          <w:szCs w:val="22"/>
          <w:lang w:val="ka-GE"/>
        </w:rPr>
        <w:t>და</w:t>
      </w:r>
      <w:r w:rsidRPr="007C708F">
        <w:rPr>
          <w:rFonts w:ascii="Sylfaen" w:hAnsi="Sylfaen" w:cs="Sylfaen"/>
          <w:sz w:val="22"/>
          <w:szCs w:val="22"/>
          <w:lang w:val="ka-GE"/>
        </w:rPr>
        <w:t xml:space="preserve"> </w:t>
      </w:r>
      <w:r w:rsidRPr="005F7025">
        <w:rPr>
          <w:rFonts w:ascii="Sylfaen" w:hAnsi="Sylfaen" w:cs="Sylfaen"/>
          <w:spacing w:val="-1"/>
          <w:sz w:val="22"/>
          <w:szCs w:val="22"/>
          <w:lang w:val="ka-GE"/>
        </w:rPr>
        <w:t>ნორმები</w:t>
      </w:r>
      <w:r w:rsidRPr="005F7025">
        <w:rPr>
          <w:spacing w:val="-1"/>
          <w:sz w:val="22"/>
          <w:szCs w:val="22"/>
          <w:lang w:val="ka-GE"/>
        </w:rPr>
        <w:t>.</w:t>
      </w:r>
      <w:r w:rsidRPr="007C708F">
        <w:rPr>
          <w:rFonts w:ascii="Sylfaen" w:hAnsi="Sylfaen"/>
          <w:spacing w:val="-1"/>
          <w:sz w:val="22"/>
          <w:szCs w:val="22"/>
          <w:lang w:val="ka-GE"/>
        </w:rPr>
        <w:t xml:space="preserve"> </w:t>
      </w:r>
      <w:r w:rsidRPr="005F7025">
        <w:rPr>
          <w:rFonts w:ascii="Sylfaen" w:hAnsi="Sylfaen" w:cs="Sylfaen"/>
          <w:spacing w:val="-1"/>
          <w:sz w:val="22"/>
          <w:szCs w:val="22"/>
          <w:lang w:val="ka-GE"/>
        </w:rPr>
        <w:t>კონტრაქტორს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შტატში</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უნდა</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ჰყავდეს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ერთი</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გარემოსდაცვითი</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სპეციალისტი</w:t>
      </w:r>
      <w:r w:rsidRPr="007C708F">
        <w:rPr>
          <w:rFonts w:ascii="Sylfaen" w:hAnsi="Sylfaen" w:cs="Sylfaen"/>
          <w:spacing w:val="-1"/>
          <w:sz w:val="22"/>
          <w:szCs w:val="22"/>
          <w:lang w:val="ka-GE"/>
        </w:rPr>
        <w:t xml:space="preserve"> </w:t>
      </w:r>
      <w:r w:rsidR="004207DB">
        <w:rPr>
          <w:rFonts w:ascii="Sylfaen" w:hAnsi="Sylfaen" w:cs="Sylfaen"/>
          <w:spacing w:val="-1"/>
          <w:sz w:val="22"/>
          <w:szCs w:val="22"/>
          <w:lang w:val="ka-GE"/>
        </w:rPr>
        <w:t>ბს</w:t>
      </w:r>
      <w:r w:rsidRPr="005F7025">
        <w:rPr>
          <w:rFonts w:ascii="Sylfaen" w:hAnsi="Sylfaen" w:cs="Sylfaen"/>
          <w:spacing w:val="-1"/>
          <w:sz w:val="22"/>
          <w:szCs w:val="22"/>
          <w:lang w:val="ka-GE"/>
        </w:rPr>
        <w:t>გმგ</w:t>
      </w:r>
      <w:r w:rsidRPr="005F7025">
        <w:rPr>
          <w:spacing w:val="-1"/>
          <w:sz w:val="22"/>
          <w:szCs w:val="22"/>
          <w:lang w:val="ka-GE"/>
        </w:rPr>
        <w:t>-</w:t>
      </w:r>
      <w:r w:rsidRPr="005F7025">
        <w:rPr>
          <w:rFonts w:ascii="Sylfaen" w:hAnsi="Sylfaen" w:cs="Sylfaen"/>
          <w:spacing w:val="-1"/>
          <w:sz w:val="22"/>
          <w:szCs w:val="22"/>
          <w:lang w:val="ka-GE"/>
        </w:rPr>
        <w:t>თან</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შესაბამისობის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უზრუნველსაყოფად</w:t>
      </w:r>
      <w:r w:rsidRPr="005F7025">
        <w:rPr>
          <w:spacing w:val="-1"/>
          <w:sz w:val="22"/>
          <w:szCs w:val="22"/>
          <w:lang w:val="ka-GE"/>
        </w:rPr>
        <w:t>,</w:t>
      </w:r>
      <w:r w:rsidRPr="007C708F">
        <w:rPr>
          <w:rFonts w:ascii="Sylfaen" w:hAnsi="Sylfaen"/>
          <w:spacing w:val="-1"/>
          <w:sz w:val="22"/>
          <w:szCs w:val="22"/>
          <w:lang w:val="ka-GE"/>
        </w:rPr>
        <w:t xml:space="preserve"> </w:t>
      </w:r>
      <w:r w:rsidRPr="005F7025">
        <w:rPr>
          <w:rFonts w:ascii="Sylfaen" w:hAnsi="Sylfaen" w:cs="Sylfaen"/>
          <w:spacing w:val="-1"/>
          <w:sz w:val="22"/>
          <w:szCs w:val="22"/>
          <w:lang w:val="ka-GE"/>
        </w:rPr>
        <w:t>რომელსაც</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ეს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მის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რეკომენდაციების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არსი</w:t>
      </w:r>
      <w:r w:rsidRPr="007C708F">
        <w:rPr>
          <w:rFonts w:ascii="Sylfaen" w:hAnsi="Sylfaen" w:cs="Sylfaen"/>
          <w:spacing w:val="-1"/>
          <w:sz w:val="22"/>
          <w:szCs w:val="22"/>
          <w:lang w:val="ka-GE"/>
        </w:rPr>
        <w:t xml:space="preserve"> </w:t>
      </w:r>
      <w:r w:rsidRPr="005F7025">
        <w:rPr>
          <w:rFonts w:ascii="Sylfaen" w:hAnsi="Sylfaen" w:cs="Sylfaen"/>
          <w:sz w:val="22"/>
          <w:szCs w:val="22"/>
          <w:lang w:val="ka-GE"/>
        </w:rPr>
        <w:t>და</w:t>
      </w:r>
      <w:r w:rsidRPr="007C708F">
        <w:rPr>
          <w:rFonts w:ascii="Sylfaen" w:hAnsi="Sylfaen" w:cs="Sylfaen"/>
          <w:sz w:val="22"/>
          <w:szCs w:val="22"/>
          <w:lang w:val="ka-GE"/>
        </w:rPr>
        <w:t xml:space="preserve"> </w:t>
      </w:r>
      <w:r w:rsidRPr="005F7025">
        <w:rPr>
          <w:rFonts w:ascii="Sylfaen" w:hAnsi="Sylfaen" w:cs="Sylfaen"/>
          <w:spacing w:val="-1"/>
          <w:sz w:val="22"/>
          <w:szCs w:val="22"/>
          <w:lang w:val="ka-GE"/>
        </w:rPr>
        <w:t>პროფესიულად</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იყენებს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შემარბილებელ</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ღონისძიებებ</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სკონტრაქტორის</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ყოველდღიურ</w:t>
      </w:r>
      <w:r w:rsidRPr="007C708F">
        <w:rPr>
          <w:rFonts w:ascii="Sylfaen" w:hAnsi="Sylfaen" w:cs="Sylfaen"/>
          <w:spacing w:val="-1"/>
          <w:sz w:val="22"/>
          <w:szCs w:val="22"/>
          <w:lang w:val="ka-GE"/>
        </w:rPr>
        <w:t xml:space="preserve"> </w:t>
      </w:r>
      <w:r w:rsidRPr="005F7025">
        <w:rPr>
          <w:rFonts w:ascii="Sylfaen" w:hAnsi="Sylfaen" w:cs="Sylfaen"/>
          <w:spacing w:val="-1"/>
          <w:sz w:val="22"/>
          <w:szCs w:val="22"/>
          <w:lang w:val="ka-GE"/>
        </w:rPr>
        <w:t>საქმიანობაში</w:t>
      </w:r>
      <w:r w:rsidRPr="005F7025">
        <w:rPr>
          <w:spacing w:val="-1"/>
          <w:sz w:val="22"/>
          <w:szCs w:val="22"/>
          <w:lang w:val="ka-GE"/>
        </w:rPr>
        <w:t>.</w:t>
      </w:r>
    </w:p>
    <w:p w14:paraId="23B53D4B" w14:textId="77777777" w:rsidR="0066761D" w:rsidRPr="007C708F" w:rsidRDefault="0066761D" w:rsidP="0066761D">
      <w:pPr>
        <w:pStyle w:val="B0AbsatzBlock"/>
        <w:tabs>
          <w:tab w:val="clear" w:pos="9356"/>
          <w:tab w:val="left" w:pos="2520"/>
        </w:tabs>
        <w:spacing w:before="120" w:after="120" w:line="240" w:lineRule="auto"/>
        <w:rPr>
          <w:rFonts w:ascii="AcadNusx" w:hAnsi="AcadNusx"/>
          <w:szCs w:val="22"/>
          <w:lang w:val="de-DE"/>
        </w:rPr>
      </w:pPr>
    </w:p>
    <w:p w14:paraId="7AFD3EF5" w14:textId="5CC0553E" w:rsidR="00955D8A" w:rsidRPr="00955D8A" w:rsidRDefault="00955D8A" w:rsidP="00955D8A">
      <w:pPr>
        <w:pStyle w:val="EIAheading2"/>
        <w:rPr>
          <w:b w:val="0"/>
        </w:rPr>
      </w:pPr>
      <w:bookmarkStart w:id="512" w:name="_Toc496611112"/>
      <w:bookmarkStart w:id="513" w:name="_Toc1581587"/>
      <w:r w:rsidRPr="00955D8A">
        <w:rPr>
          <w:b w:val="0"/>
        </w:rPr>
        <w:t>8.</w:t>
      </w:r>
      <w:r w:rsidR="00FD0772">
        <w:rPr>
          <w:rFonts w:ascii="Sylfaen" w:hAnsi="Sylfaen"/>
          <w:b w:val="0"/>
          <w:lang w:val="ka-GE"/>
        </w:rPr>
        <w:t>2</w:t>
      </w:r>
      <w:r w:rsidRPr="00955D8A">
        <w:rPr>
          <w:b w:val="0"/>
        </w:rPr>
        <w:t xml:space="preserve"> </w:t>
      </w:r>
      <w:r w:rsidRPr="00955D8A">
        <w:rPr>
          <w:rFonts w:ascii="Sylfaen" w:hAnsi="Sylfaen" w:cs="Sylfaen"/>
          <w:b w:val="0"/>
        </w:rPr>
        <w:t>ბსგმგ</w:t>
      </w:r>
      <w:r w:rsidRPr="00955D8A">
        <w:rPr>
          <w:b w:val="0"/>
        </w:rPr>
        <w:t>-</w:t>
      </w:r>
      <w:r w:rsidRPr="00955D8A">
        <w:rPr>
          <w:rFonts w:ascii="Sylfaen" w:hAnsi="Sylfaen" w:cs="Sylfaen"/>
          <w:b w:val="0"/>
        </w:rPr>
        <w:t>ს</w:t>
      </w:r>
      <w:r w:rsidRPr="00955D8A">
        <w:rPr>
          <w:b w:val="0"/>
        </w:rPr>
        <w:t xml:space="preserve"> </w:t>
      </w:r>
      <w:bookmarkEnd w:id="512"/>
      <w:r w:rsidRPr="00955D8A">
        <w:rPr>
          <w:rFonts w:ascii="Sylfaen" w:hAnsi="Sylfaen" w:cs="Sylfaen"/>
          <w:b w:val="0"/>
        </w:rPr>
        <w:t>განხორციელების</w:t>
      </w:r>
      <w:r w:rsidRPr="00955D8A">
        <w:rPr>
          <w:b w:val="0"/>
        </w:rPr>
        <w:t xml:space="preserve"> </w:t>
      </w:r>
      <w:r w:rsidRPr="00955D8A">
        <w:rPr>
          <w:rFonts w:ascii="Sylfaen" w:hAnsi="Sylfaen" w:cs="Sylfaen"/>
          <w:b w:val="0"/>
        </w:rPr>
        <w:t>ხარჯები</w:t>
      </w:r>
      <w:bookmarkEnd w:id="513"/>
    </w:p>
    <w:p w14:paraId="60653F9A" w14:textId="3FED2A2C" w:rsidR="00850703" w:rsidRPr="00850703" w:rsidRDefault="00850703" w:rsidP="006B2E2A">
      <w:pPr>
        <w:pStyle w:val="EIAH3"/>
      </w:pPr>
      <w:bookmarkStart w:id="514" w:name="_Toc1581588"/>
      <w:r w:rsidRPr="00850703">
        <w:t>8.</w:t>
      </w:r>
      <w:r w:rsidR="000A07C0">
        <w:t>2</w:t>
      </w:r>
      <w:r w:rsidRPr="00850703">
        <w:t xml:space="preserve">.1 </w:t>
      </w:r>
      <w:r w:rsidRPr="00850703">
        <w:rPr>
          <w:rFonts w:ascii="Sylfaen" w:hAnsi="Sylfaen" w:cs="Sylfaen"/>
        </w:rPr>
        <w:t>გარემოსდაცვითი</w:t>
      </w:r>
      <w:r w:rsidRPr="00850703">
        <w:t xml:space="preserve"> </w:t>
      </w:r>
      <w:r w:rsidRPr="00850703">
        <w:rPr>
          <w:rFonts w:ascii="Sylfaen" w:hAnsi="Sylfaen" w:cs="Sylfaen"/>
        </w:rPr>
        <w:t>შემარბილებელი</w:t>
      </w:r>
      <w:r w:rsidRPr="00850703">
        <w:t xml:space="preserve"> </w:t>
      </w:r>
      <w:r w:rsidRPr="00850703">
        <w:rPr>
          <w:rFonts w:ascii="Sylfaen" w:hAnsi="Sylfaen" w:cs="Sylfaen"/>
        </w:rPr>
        <w:t>ზომების</w:t>
      </w:r>
      <w:r w:rsidRPr="00850703">
        <w:t xml:space="preserve"> </w:t>
      </w:r>
      <w:r w:rsidRPr="00850703">
        <w:rPr>
          <w:rFonts w:ascii="Sylfaen" w:hAnsi="Sylfaen" w:cs="Sylfaen"/>
        </w:rPr>
        <w:t>ხარჯთაღრიცხვა</w:t>
      </w:r>
      <w:bookmarkEnd w:id="514"/>
      <w:r w:rsidRPr="00850703">
        <w:t xml:space="preserve"> </w:t>
      </w:r>
    </w:p>
    <w:p w14:paraId="2745E7DD" w14:textId="77777777" w:rsidR="00850703" w:rsidRPr="00850703" w:rsidRDefault="00850703" w:rsidP="00850703">
      <w:pPr>
        <w:widowControl w:val="0"/>
        <w:autoSpaceDE w:val="0"/>
        <w:autoSpaceDN w:val="0"/>
        <w:adjustRightInd w:val="0"/>
        <w:ind w:right="156"/>
        <w:rPr>
          <w:rFonts w:ascii="Sylfaen" w:hAnsi="Sylfaen"/>
          <w:szCs w:val="22"/>
          <w:lang w:val="ka-GE"/>
        </w:rPr>
      </w:pPr>
      <w:r w:rsidRPr="00850703">
        <w:rPr>
          <w:rFonts w:ascii="Sylfaen" w:hAnsi="Sylfaen"/>
          <w:szCs w:val="22"/>
          <w:lang w:val="ka-GE"/>
        </w:rPr>
        <w:t xml:space="preserve">ანალოგიური პროექტისთვის ერთეულის ღირებულების საფუძველზე მომზადებული შემარბილებელი ღონისძიებების მიახლოებითი ხარჯთაღრიცხვა წარმოდგენილია ქვემოთ მოყვანილ ცხრილში. სრულფასოვანი ხარჯთაღრიცხვა მოცემული იქნება პროექტის სამუშაოების მოცულობის უწყისებში (BoQ). </w:t>
      </w:r>
    </w:p>
    <w:p w14:paraId="3FDCD8DC" w14:textId="77777777" w:rsidR="00850703" w:rsidRPr="006B5AE7" w:rsidRDefault="00850703" w:rsidP="00850703">
      <w:pPr>
        <w:rPr>
          <w:rFonts w:ascii="Sylfaen" w:hAnsi="Sylfaen"/>
          <w:b/>
          <w:bCs/>
          <w:i/>
          <w:snapToGrid w:val="0"/>
          <w:szCs w:val="22"/>
          <w:lang w:val="ka-GE" w:eastAsia="en-US"/>
        </w:rPr>
      </w:pPr>
    </w:p>
    <w:p w14:paraId="16784604" w14:textId="77777777" w:rsidR="00850703" w:rsidRPr="00850703" w:rsidRDefault="00850703" w:rsidP="00850703">
      <w:pPr>
        <w:widowControl w:val="0"/>
        <w:autoSpaceDE w:val="0"/>
        <w:autoSpaceDN w:val="0"/>
        <w:adjustRightInd w:val="0"/>
        <w:ind w:right="156"/>
        <w:rPr>
          <w:rFonts w:ascii="Sylfaen" w:hAnsi="Sylfaen"/>
          <w:spacing w:val="3"/>
          <w:szCs w:val="22"/>
          <w:lang w:val="ka-GE"/>
        </w:rPr>
      </w:pPr>
      <w:r w:rsidRPr="00850703">
        <w:rPr>
          <w:rFonts w:ascii="Sylfaen" w:hAnsi="Sylfaen"/>
          <w:spacing w:val="3"/>
          <w:szCs w:val="22"/>
          <w:lang w:val="ka-GE"/>
        </w:rPr>
        <w:t xml:space="preserve">მონიტორინგის გეგმით გათვალისწინებული ვიზუალური დაკვირვების და კონტროლის ხარჯები დაიფარება კონტრაქტორის გარემოსდაცვითი, ჯანდაცვისა და უსაფრთხოების მენეჯერის  ანაზღაურებით. გაზომვებთან (წყლის, ნიადაგის და ჰაერის ხარისხი) დაკავშირებული ხარჯები დამოკიდებულია სამუშაოს შემსრულებელთან დადებული ხელშეკრულების პირობებზე. </w:t>
      </w:r>
    </w:p>
    <w:p w14:paraId="1F22D5FB" w14:textId="77777777" w:rsidR="00850703" w:rsidRPr="00850703" w:rsidRDefault="00850703" w:rsidP="00850703">
      <w:pPr>
        <w:rPr>
          <w:rFonts w:ascii="Sylfaen" w:hAnsi="Sylfaen"/>
          <w:i/>
          <w:szCs w:val="22"/>
          <w:lang w:val="ka-GE" w:eastAsia="en-US"/>
        </w:rPr>
        <w:sectPr w:rsidR="00850703" w:rsidRPr="00850703" w:rsidSect="00CD64B5">
          <w:footerReference w:type="default" r:id="rId192"/>
          <w:pgSz w:w="11907" w:h="16840"/>
          <w:pgMar w:top="1134" w:right="657" w:bottom="1134" w:left="851" w:header="1219" w:footer="369" w:gutter="0"/>
          <w:cols w:space="720"/>
          <w:titlePg/>
          <w:docGrid w:linePitch="299"/>
        </w:sectPr>
      </w:pPr>
    </w:p>
    <w:p w14:paraId="1677BF73" w14:textId="77777777" w:rsidR="0066761D" w:rsidRPr="008A1213" w:rsidRDefault="0066761D" w:rsidP="0066761D">
      <w:pPr>
        <w:pStyle w:val="Caption"/>
        <w:tabs>
          <w:tab w:val="left" w:pos="2520"/>
        </w:tabs>
        <w:rPr>
          <w:rFonts w:ascii="Times New Roman" w:hAnsi="Times New Roman"/>
          <w:lang w:val="ka-GE"/>
        </w:rPr>
      </w:pPr>
      <w:bookmarkStart w:id="515" w:name="_Ref266203017"/>
      <w:bookmarkStart w:id="516" w:name="_Toc267146245"/>
      <w:bookmarkStart w:id="517" w:name="_Toc268765787"/>
      <w:r w:rsidRPr="008A1213">
        <w:rPr>
          <w:rFonts w:ascii="AcadNusx" w:hAnsi="AcadNusx"/>
          <w:lang w:val="ka-GE"/>
        </w:rPr>
        <w:lastRenderedPageBreak/>
        <w:t>cxrili</w:t>
      </w:r>
      <w:bookmarkEnd w:id="515"/>
      <w:r w:rsidR="008A1213" w:rsidRPr="008A1213">
        <w:rPr>
          <w:rFonts w:ascii="Sylfaen" w:hAnsi="Sylfaen"/>
          <w:lang w:val="ka-GE"/>
        </w:rPr>
        <w:t xml:space="preserve"> 8</w:t>
      </w:r>
      <w:r w:rsidRPr="008A1213">
        <w:rPr>
          <w:rFonts w:ascii="AcadNusx" w:hAnsi="AcadNusx"/>
          <w:lang w:val="ka-GE"/>
        </w:rPr>
        <w:t>-1</w:t>
      </w:r>
      <w:r w:rsidRPr="008A1213">
        <w:rPr>
          <w:rFonts w:ascii="Times New Roman" w:hAnsi="Times New Roman"/>
          <w:lang w:val="ka-GE"/>
        </w:rPr>
        <w:t xml:space="preserve">: </w:t>
      </w:r>
      <w:bookmarkEnd w:id="516"/>
      <w:r w:rsidR="008A1213">
        <w:rPr>
          <w:rFonts w:ascii="Sylfaen" w:hAnsi="Sylfaen"/>
          <w:lang w:val="ka-GE"/>
        </w:rPr>
        <w:t>ბუნებრივი გარემოს მართვის გეგმა</w:t>
      </w:r>
      <w:bookmarkEnd w:id="517"/>
    </w:p>
    <w:p w14:paraId="0AF85A46" w14:textId="77777777" w:rsidR="0066761D" w:rsidRPr="005F7025" w:rsidRDefault="0066761D" w:rsidP="0066761D">
      <w:pPr>
        <w:spacing w:before="120" w:after="120"/>
        <w:rPr>
          <w:rFonts w:ascii="Sylfaen" w:eastAsia="Sylfaen" w:hAnsi="Sylfaen" w:cs="Sylfaen"/>
          <w:b/>
          <w:sz w:val="21"/>
          <w:szCs w:val="21"/>
        </w:rPr>
      </w:pPr>
      <w:r w:rsidRPr="005F7025">
        <w:rPr>
          <w:rFonts w:ascii="Sylfaen" w:eastAsia="Sylfaen" w:hAnsi="Sylfaen" w:cs="Sylfaen"/>
          <w:b/>
          <w:i/>
          <w:w w:val="95"/>
          <w:sz w:val="21"/>
          <w:szCs w:val="21"/>
        </w:rPr>
        <w:t>მშენებლობის</w:t>
      </w:r>
      <w:r w:rsidRPr="005F7025">
        <w:rPr>
          <w:rFonts w:ascii="Sylfaen" w:eastAsia="Sylfaen" w:hAnsi="Sylfaen" w:cs="Sylfaen"/>
          <w:b/>
          <w:i/>
          <w:spacing w:val="-7"/>
          <w:w w:val="95"/>
          <w:sz w:val="21"/>
          <w:szCs w:val="21"/>
        </w:rPr>
        <w:t xml:space="preserve"> </w:t>
      </w:r>
      <w:r w:rsidRPr="005F7025">
        <w:rPr>
          <w:rFonts w:ascii="Sylfaen" w:eastAsia="Sylfaen" w:hAnsi="Sylfaen" w:cs="Sylfaen"/>
          <w:b/>
          <w:i/>
          <w:spacing w:val="-1"/>
          <w:w w:val="95"/>
          <w:sz w:val="21"/>
          <w:szCs w:val="21"/>
          <w:lang w:val="ka-GE"/>
        </w:rPr>
        <w:t>ფ</w:t>
      </w:r>
      <w:r w:rsidRPr="005F7025">
        <w:rPr>
          <w:rFonts w:ascii="Sylfaen" w:eastAsia="Sylfaen" w:hAnsi="Sylfaen" w:cs="Sylfaen"/>
          <w:b/>
          <w:i/>
          <w:spacing w:val="-1"/>
          <w:w w:val="95"/>
          <w:sz w:val="21"/>
          <w:szCs w:val="21"/>
        </w:rPr>
        <w:t>აზა</w:t>
      </w:r>
    </w:p>
    <w:tbl>
      <w:tblPr>
        <w:tblW w:w="15556" w:type="dxa"/>
        <w:tblInd w:w="-354" w:type="dxa"/>
        <w:tblLayout w:type="fixed"/>
        <w:tblCellMar>
          <w:left w:w="0" w:type="dxa"/>
          <w:right w:w="0" w:type="dxa"/>
        </w:tblCellMar>
        <w:tblLook w:val="01E0" w:firstRow="1" w:lastRow="1" w:firstColumn="1" w:lastColumn="1" w:noHBand="0" w:noVBand="0"/>
      </w:tblPr>
      <w:tblGrid>
        <w:gridCol w:w="1800"/>
        <w:gridCol w:w="1788"/>
        <w:gridCol w:w="6838"/>
        <w:gridCol w:w="2340"/>
        <w:gridCol w:w="1204"/>
        <w:gridCol w:w="1574"/>
        <w:gridCol w:w="12"/>
      </w:tblGrid>
      <w:tr w:rsidR="00092B73" w:rsidRPr="00092B73" w14:paraId="53E9ADDD" w14:textId="77777777" w:rsidTr="00C6605E">
        <w:trPr>
          <w:gridAfter w:val="1"/>
          <w:wAfter w:w="12" w:type="dxa"/>
          <w:trHeight w:val="963"/>
        </w:trPr>
        <w:tc>
          <w:tcPr>
            <w:tcW w:w="1800" w:type="dxa"/>
            <w:tcBorders>
              <w:top w:val="single" w:sz="6" w:space="0" w:color="000000"/>
              <w:left w:val="single" w:sz="6" w:space="0" w:color="000000"/>
              <w:bottom w:val="nil"/>
              <w:right w:val="single" w:sz="6" w:space="0" w:color="000000"/>
            </w:tcBorders>
            <w:shd w:val="clear" w:color="auto" w:fill="BFBFBF"/>
            <w:hideMark/>
          </w:tcPr>
          <w:p w14:paraId="5618B6BA" w14:textId="77777777" w:rsidR="00092B73" w:rsidRPr="00092B73" w:rsidRDefault="00092B73" w:rsidP="00092B73">
            <w:pPr>
              <w:jc w:val="center"/>
              <w:rPr>
                <w:b/>
                <w:sz w:val="16"/>
                <w:lang w:val="ka-GE"/>
              </w:rPr>
            </w:pPr>
            <w:r w:rsidRPr="00092B73">
              <w:rPr>
                <w:rFonts w:ascii="Sylfaen" w:eastAsia="Sylfaen" w:hAnsi="Sylfaen" w:cs="Sylfaen"/>
                <w:b/>
                <w:sz w:val="16"/>
              </w:rPr>
              <w:t>ქმედება</w:t>
            </w:r>
          </w:p>
        </w:tc>
        <w:tc>
          <w:tcPr>
            <w:tcW w:w="1788" w:type="dxa"/>
            <w:tcBorders>
              <w:top w:val="single" w:sz="6" w:space="0" w:color="000000"/>
              <w:left w:val="single" w:sz="6" w:space="0" w:color="000000"/>
              <w:bottom w:val="nil"/>
              <w:right w:val="single" w:sz="6" w:space="0" w:color="000000"/>
            </w:tcBorders>
            <w:shd w:val="clear" w:color="auto" w:fill="BFBFBF"/>
            <w:hideMark/>
          </w:tcPr>
          <w:p w14:paraId="0D26EE1E" w14:textId="77777777" w:rsidR="00092B73" w:rsidRPr="00092B73" w:rsidRDefault="00092B73" w:rsidP="00092B73">
            <w:pPr>
              <w:jc w:val="center"/>
              <w:rPr>
                <w:rFonts w:eastAsia="Sylfaen"/>
                <w:b/>
                <w:sz w:val="16"/>
                <w:lang w:val="en-US"/>
              </w:rPr>
            </w:pPr>
            <w:r w:rsidRPr="00092B73">
              <w:rPr>
                <w:rFonts w:ascii="Sylfaen" w:eastAsia="Sylfaen" w:hAnsi="Sylfaen" w:cs="Sylfaen"/>
                <w:b/>
                <w:sz w:val="16"/>
              </w:rPr>
              <w:t>გარემოსდაცვითი</w:t>
            </w:r>
            <w:r w:rsidRPr="00092B73">
              <w:rPr>
                <w:rFonts w:eastAsia="Sylfaen"/>
                <w:b/>
                <w:sz w:val="16"/>
              </w:rPr>
              <w:t xml:space="preserve"> </w:t>
            </w:r>
            <w:r w:rsidRPr="00092B73">
              <w:rPr>
                <w:rFonts w:ascii="Sylfaen" w:eastAsia="Sylfaen" w:hAnsi="Sylfaen" w:cs="Sylfaen"/>
                <w:b/>
                <w:sz w:val="16"/>
              </w:rPr>
              <w:t>პრობლემა</w:t>
            </w:r>
          </w:p>
        </w:tc>
        <w:tc>
          <w:tcPr>
            <w:tcW w:w="6838" w:type="dxa"/>
            <w:tcBorders>
              <w:top w:val="single" w:sz="6" w:space="0" w:color="000000"/>
              <w:left w:val="single" w:sz="6" w:space="0" w:color="000000"/>
              <w:bottom w:val="nil"/>
              <w:right w:val="single" w:sz="6" w:space="0" w:color="000000"/>
            </w:tcBorders>
            <w:shd w:val="clear" w:color="auto" w:fill="BFBFBF"/>
            <w:hideMark/>
          </w:tcPr>
          <w:p w14:paraId="2989A1A2" w14:textId="77777777" w:rsidR="00092B73" w:rsidRPr="00092B73" w:rsidRDefault="00092B73" w:rsidP="00092B73">
            <w:pPr>
              <w:jc w:val="center"/>
              <w:rPr>
                <w:rFonts w:eastAsia="Sylfaen"/>
                <w:b/>
                <w:sz w:val="16"/>
              </w:rPr>
            </w:pPr>
            <w:r w:rsidRPr="00092B73">
              <w:rPr>
                <w:rFonts w:ascii="Sylfaen" w:eastAsia="Sylfaen" w:hAnsi="Sylfaen" w:cs="Sylfaen"/>
                <w:b/>
                <w:sz w:val="16"/>
              </w:rPr>
              <w:t>შემარბილებელი</w:t>
            </w:r>
            <w:r w:rsidRPr="00092B73">
              <w:rPr>
                <w:rFonts w:eastAsia="Sylfaen"/>
                <w:b/>
                <w:sz w:val="16"/>
              </w:rPr>
              <w:t xml:space="preserve"> </w:t>
            </w:r>
            <w:r w:rsidRPr="00092B73">
              <w:rPr>
                <w:rFonts w:ascii="Sylfaen" w:eastAsia="Sylfaen" w:hAnsi="Sylfaen" w:cs="Sylfaen"/>
                <w:b/>
                <w:sz w:val="16"/>
              </w:rPr>
              <w:t>ღონისძიება</w:t>
            </w:r>
          </w:p>
        </w:tc>
        <w:tc>
          <w:tcPr>
            <w:tcW w:w="2340" w:type="dxa"/>
            <w:tcBorders>
              <w:top w:val="single" w:sz="6" w:space="0" w:color="000000"/>
              <w:left w:val="single" w:sz="6" w:space="0" w:color="000000"/>
              <w:bottom w:val="nil"/>
              <w:right w:val="single" w:sz="6" w:space="0" w:color="000000"/>
            </w:tcBorders>
            <w:shd w:val="clear" w:color="auto" w:fill="BFBFBF"/>
            <w:hideMark/>
          </w:tcPr>
          <w:p w14:paraId="200A8830" w14:textId="77777777" w:rsidR="00092B73" w:rsidRPr="00092B73" w:rsidRDefault="00092B73" w:rsidP="00092B73">
            <w:pPr>
              <w:jc w:val="center"/>
              <w:rPr>
                <w:rFonts w:eastAsia="Sylfaen"/>
                <w:b/>
                <w:sz w:val="16"/>
              </w:rPr>
            </w:pPr>
            <w:r w:rsidRPr="00092B73">
              <w:rPr>
                <w:rFonts w:ascii="Sylfaen" w:eastAsia="Sylfaen" w:hAnsi="Sylfaen" w:cs="Sylfaen"/>
                <w:b/>
                <w:sz w:val="16"/>
              </w:rPr>
              <w:t>მიახლოებითი</w:t>
            </w:r>
            <w:r w:rsidRPr="00092B73">
              <w:rPr>
                <w:rFonts w:eastAsia="Sylfaen"/>
                <w:b/>
                <w:sz w:val="16"/>
              </w:rPr>
              <w:t xml:space="preserve"> </w:t>
            </w:r>
            <w:r w:rsidRPr="00092B73">
              <w:rPr>
                <w:rFonts w:ascii="Sylfaen" w:eastAsia="Sylfaen" w:hAnsi="Sylfaen" w:cs="Sylfaen"/>
                <w:b/>
                <w:sz w:val="16"/>
              </w:rPr>
              <w:t>ღირებულება</w:t>
            </w:r>
            <w:r w:rsidRPr="00092B73">
              <w:rPr>
                <w:rFonts w:eastAsia="Sylfaen"/>
                <w:b/>
                <w:sz w:val="16"/>
              </w:rPr>
              <w:t xml:space="preserve"> (</w:t>
            </w:r>
            <w:r w:rsidRPr="00092B73">
              <w:rPr>
                <w:rFonts w:ascii="Sylfaen" w:eastAsia="Sylfaen" w:hAnsi="Sylfaen" w:cs="Sylfaen"/>
                <w:b/>
                <w:sz w:val="16"/>
              </w:rPr>
              <w:t>ლარი</w:t>
            </w:r>
            <w:r w:rsidRPr="00092B73">
              <w:rPr>
                <w:rFonts w:eastAsia="Sylfaen"/>
                <w:b/>
                <w:sz w:val="16"/>
              </w:rPr>
              <w:t>)</w:t>
            </w:r>
          </w:p>
        </w:tc>
        <w:tc>
          <w:tcPr>
            <w:tcW w:w="1204" w:type="dxa"/>
            <w:tcBorders>
              <w:top w:val="single" w:sz="6" w:space="0" w:color="000000"/>
              <w:left w:val="single" w:sz="6" w:space="0" w:color="000000"/>
              <w:bottom w:val="nil"/>
              <w:right w:val="single" w:sz="6" w:space="0" w:color="000000"/>
            </w:tcBorders>
            <w:shd w:val="clear" w:color="auto" w:fill="BFBFBF"/>
            <w:hideMark/>
          </w:tcPr>
          <w:p w14:paraId="4F176617" w14:textId="77777777" w:rsidR="00092B73" w:rsidRPr="00092B73" w:rsidRDefault="00092B73" w:rsidP="00092B73">
            <w:pPr>
              <w:jc w:val="center"/>
              <w:rPr>
                <w:rFonts w:eastAsia="Sylfaen"/>
                <w:b/>
                <w:sz w:val="16"/>
                <w:lang w:val="ka-GE"/>
              </w:rPr>
            </w:pPr>
            <w:r w:rsidRPr="00092B73">
              <w:rPr>
                <w:rFonts w:ascii="Sylfaen" w:eastAsia="Sylfaen" w:hAnsi="Sylfaen" w:cs="Sylfaen"/>
                <w:b/>
                <w:sz w:val="16"/>
              </w:rPr>
              <w:t>შემარბილებელი</w:t>
            </w:r>
            <w:r w:rsidRPr="00092B73">
              <w:rPr>
                <w:rFonts w:eastAsia="Sylfaen"/>
                <w:b/>
                <w:sz w:val="16"/>
              </w:rPr>
              <w:t xml:space="preserve"> </w:t>
            </w:r>
            <w:r w:rsidRPr="00092B73">
              <w:rPr>
                <w:rFonts w:ascii="Sylfaen" w:eastAsia="Sylfaen" w:hAnsi="Sylfaen" w:cs="Sylfaen"/>
                <w:b/>
                <w:sz w:val="16"/>
              </w:rPr>
              <w:t>ღონისძიებების</w:t>
            </w:r>
            <w:r w:rsidRPr="00092B73">
              <w:rPr>
                <w:rFonts w:eastAsia="Sylfaen"/>
                <w:b/>
                <w:sz w:val="16"/>
              </w:rPr>
              <w:t xml:space="preserve"> </w:t>
            </w:r>
            <w:r w:rsidRPr="00092B73">
              <w:rPr>
                <w:rFonts w:ascii="Sylfaen" w:eastAsia="Sylfaen" w:hAnsi="Sylfaen" w:cs="Sylfaen"/>
                <w:b/>
                <w:sz w:val="16"/>
              </w:rPr>
              <w:t>განხორციელებაზე</w:t>
            </w:r>
            <w:r w:rsidRPr="00092B73">
              <w:rPr>
                <w:rFonts w:eastAsia="Sylfaen"/>
                <w:b/>
                <w:sz w:val="16"/>
              </w:rPr>
              <w:t xml:space="preserve"> </w:t>
            </w:r>
            <w:r w:rsidRPr="00092B73">
              <w:rPr>
                <w:rFonts w:ascii="Sylfaen" w:eastAsia="Sylfaen" w:hAnsi="Sylfaen" w:cs="Sylfaen"/>
                <w:b/>
                <w:sz w:val="16"/>
              </w:rPr>
              <w:t>პასუხისმგებელი</w:t>
            </w:r>
          </w:p>
        </w:tc>
        <w:tc>
          <w:tcPr>
            <w:tcW w:w="1574" w:type="dxa"/>
            <w:tcBorders>
              <w:top w:val="single" w:sz="6" w:space="0" w:color="000000"/>
              <w:left w:val="single" w:sz="6" w:space="0" w:color="000000"/>
              <w:bottom w:val="nil"/>
              <w:right w:val="single" w:sz="6" w:space="0" w:color="000000"/>
            </w:tcBorders>
            <w:shd w:val="clear" w:color="auto" w:fill="BFBFBF"/>
            <w:hideMark/>
          </w:tcPr>
          <w:p w14:paraId="4FB4533A" w14:textId="77777777" w:rsidR="00092B73" w:rsidRPr="00092B73" w:rsidRDefault="00092B73" w:rsidP="00092B73">
            <w:pPr>
              <w:jc w:val="center"/>
              <w:rPr>
                <w:rFonts w:eastAsia="Sylfaen"/>
                <w:b/>
                <w:sz w:val="16"/>
                <w:lang w:val="en-US"/>
              </w:rPr>
            </w:pPr>
            <w:r w:rsidRPr="00092B73">
              <w:rPr>
                <w:rFonts w:ascii="Sylfaen" w:eastAsia="Sylfaen" w:hAnsi="Sylfaen" w:cs="Sylfaen"/>
                <w:b/>
                <w:sz w:val="16"/>
              </w:rPr>
              <w:t>მონიტორინგის</w:t>
            </w:r>
            <w:r w:rsidRPr="00092B73">
              <w:rPr>
                <w:rFonts w:eastAsia="Sylfaen"/>
                <w:b/>
                <w:sz w:val="16"/>
              </w:rPr>
              <w:t xml:space="preserve"> </w:t>
            </w:r>
            <w:r w:rsidRPr="00092B73">
              <w:rPr>
                <w:rFonts w:ascii="Sylfaen" w:eastAsia="Sylfaen" w:hAnsi="Sylfaen" w:cs="Sylfaen"/>
                <w:b/>
                <w:sz w:val="16"/>
              </w:rPr>
              <w:t>განხორცილებაზე</w:t>
            </w:r>
            <w:r w:rsidRPr="00092B73">
              <w:rPr>
                <w:rFonts w:eastAsia="Sylfaen"/>
                <w:b/>
                <w:sz w:val="16"/>
              </w:rPr>
              <w:t xml:space="preserve"> </w:t>
            </w:r>
            <w:r w:rsidRPr="00092B73">
              <w:rPr>
                <w:rFonts w:ascii="Sylfaen" w:eastAsia="Sylfaen" w:hAnsi="Sylfaen" w:cs="Sylfaen"/>
                <w:b/>
                <w:sz w:val="16"/>
              </w:rPr>
              <w:t>პასუხისმგებელი</w:t>
            </w:r>
          </w:p>
        </w:tc>
      </w:tr>
      <w:tr w:rsidR="00092B73" w:rsidRPr="00092B73" w14:paraId="6BC87164" w14:textId="77777777" w:rsidTr="00C6605E">
        <w:trPr>
          <w:gridAfter w:val="1"/>
          <w:wAfter w:w="12" w:type="dxa"/>
          <w:trHeight w:hRule="exact" w:val="1697"/>
        </w:trPr>
        <w:tc>
          <w:tcPr>
            <w:tcW w:w="1800" w:type="dxa"/>
            <w:tcBorders>
              <w:top w:val="single" w:sz="8" w:space="0" w:color="000000"/>
              <w:left w:val="single" w:sz="6" w:space="0" w:color="000000"/>
              <w:bottom w:val="single" w:sz="6" w:space="0" w:color="000000"/>
              <w:right w:val="single" w:sz="6" w:space="0" w:color="000000"/>
            </w:tcBorders>
            <w:hideMark/>
          </w:tcPr>
          <w:p w14:paraId="46BFD04D" w14:textId="77777777" w:rsidR="00092B73" w:rsidRPr="00092B73" w:rsidRDefault="00092B73" w:rsidP="000321C7">
            <w:pPr>
              <w:rPr>
                <w:sz w:val="16"/>
                <w:lang w:val="ka-GE"/>
              </w:rPr>
            </w:pPr>
            <w:r w:rsidRPr="00092B73">
              <w:rPr>
                <w:rFonts w:ascii="Sylfaen" w:eastAsia="Sylfaen" w:hAnsi="Sylfaen" w:cs="Sylfaen"/>
                <w:sz w:val="16"/>
              </w:rPr>
              <w:t>ტერიტორიის</w:t>
            </w:r>
            <w:r w:rsidRPr="00092B73">
              <w:rPr>
                <w:rFonts w:eastAsia="Sylfaen"/>
                <w:sz w:val="16"/>
              </w:rPr>
              <w:t xml:space="preserve"> </w:t>
            </w:r>
            <w:r w:rsidRPr="00092B73">
              <w:rPr>
                <w:rFonts w:ascii="Sylfaen" w:eastAsia="Sylfaen" w:hAnsi="Sylfaen" w:cs="Sylfaen"/>
                <w:sz w:val="16"/>
              </w:rPr>
              <w:t>გასუფთავება</w:t>
            </w:r>
          </w:p>
        </w:tc>
        <w:tc>
          <w:tcPr>
            <w:tcW w:w="1788" w:type="dxa"/>
            <w:tcBorders>
              <w:top w:val="single" w:sz="8" w:space="0" w:color="000000"/>
              <w:left w:val="single" w:sz="6" w:space="0" w:color="000000"/>
              <w:bottom w:val="single" w:sz="6" w:space="0" w:color="000000"/>
              <w:right w:val="single" w:sz="6" w:space="0" w:color="000000"/>
            </w:tcBorders>
            <w:hideMark/>
          </w:tcPr>
          <w:p w14:paraId="47A6EBB8" w14:textId="77777777" w:rsidR="00092B73" w:rsidRPr="00092B73" w:rsidRDefault="00092B73" w:rsidP="000321C7">
            <w:pPr>
              <w:rPr>
                <w:rFonts w:eastAsia="Sylfaen"/>
                <w:sz w:val="16"/>
                <w:lang w:val="en-US"/>
              </w:rPr>
            </w:pPr>
            <w:r w:rsidRPr="00092B73">
              <w:rPr>
                <w:rFonts w:ascii="Sylfaen" w:eastAsia="Sylfaen" w:hAnsi="Sylfaen" w:cs="Sylfaen"/>
                <w:sz w:val="16"/>
              </w:rPr>
              <w:t>ბალახის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სხვა</w:t>
            </w:r>
            <w:r w:rsidRPr="00092B73">
              <w:rPr>
                <w:rFonts w:eastAsia="Sylfaen"/>
                <w:sz w:val="16"/>
              </w:rPr>
              <w:t xml:space="preserve"> </w:t>
            </w:r>
            <w:r w:rsidRPr="00092B73">
              <w:rPr>
                <w:rFonts w:ascii="Sylfaen" w:eastAsia="Sylfaen" w:hAnsi="Sylfaen" w:cs="Sylfaen"/>
                <w:sz w:val="16"/>
              </w:rPr>
              <w:t>მცენარეული</w:t>
            </w:r>
            <w:r w:rsidRPr="00092B73">
              <w:rPr>
                <w:rFonts w:eastAsia="Sylfaen"/>
                <w:sz w:val="16"/>
              </w:rPr>
              <w:t xml:space="preserve"> </w:t>
            </w:r>
            <w:r w:rsidRPr="00092B73">
              <w:rPr>
                <w:rFonts w:ascii="Sylfaen" w:eastAsia="Sylfaen" w:hAnsi="Sylfaen" w:cs="Sylfaen"/>
                <w:sz w:val="16"/>
              </w:rPr>
              <w:t>საფარის</w:t>
            </w:r>
            <w:r w:rsidRPr="00092B73">
              <w:rPr>
                <w:rFonts w:eastAsia="Sylfaen"/>
                <w:sz w:val="16"/>
              </w:rPr>
              <w:t xml:space="preserve"> </w:t>
            </w:r>
            <w:r w:rsidRPr="00092B73">
              <w:rPr>
                <w:rFonts w:ascii="Sylfaen" w:eastAsia="Sylfaen" w:hAnsi="Sylfaen" w:cs="Sylfaen"/>
                <w:sz w:val="16"/>
              </w:rPr>
              <w:t>მოცილება</w:t>
            </w:r>
            <w:r w:rsidRPr="00092B73">
              <w:rPr>
                <w:rFonts w:eastAsia="Sylfaen"/>
                <w:sz w:val="16"/>
              </w:rPr>
              <w:t xml:space="preserve">, </w:t>
            </w:r>
            <w:r w:rsidRPr="00092B73">
              <w:rPr>
                <w:rFonts w:ascii="Sylfaen" w:eastAsia="Sylfaen" w:hAnsi="Sylfaen" w:cs="Sylfaen"/>
                <w:sz w:val="16"/>
              </w:rPr>
              <w:t>ბუჩქების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ხეების</w:t>
            </w:r>
            <w:r w:rsidRPr="00092B73">
              <w:rPr>
                <w:rFonts w:eastAsia="Sylfaen"/>
                <w:sz w:val="16"/>
              </w:rPr>
              <w:t xml:space="preserve"> </w:t>
            </w:r>
            <w:r w:rsidRPr="00092B73">
              <w:rPr>
                <w:rFonts w:ascii="Sylfaen" w:eastAsia="Sylfaen" w:hAnsi="Sylfaen" w:cs="Sylfaen"/>
                <w:sz w:val="16"/>
              </w:rPr>
              <w:t>მოჭრა</w:t>
            </w:r>
          </w:p>
        </w:tc>
        <w:tc>
          <w:tcPr>
            <w:tcW w:w="6838" w:type="dxa"/>
            <w:tcBorders>
              <w:top w:val="single" w:sz="8" w:space="0" w:color="000000"/>
              <w:left w:val="single" w:sz="6" w:space="0" w:color="000000"/>
              <w:bottom w:val="single" w:sz="6" w:space="0" w:color="000000"/>
              <w:right w:val="single" w:sz="6" w:space="0" w:color="000000"/>
            </w:tcBorders>
            <w:hideMark/>
          </w:tcPr>
          <w:p w14:paraId="69ADD233"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გადასარგავი</w:t>
            </w:r>
            <w:r w:rsidRPr="00092B73">
              <w:rPr>
                <w:rFonts w:eastAsia="Sylfaen"/>
                <w:sz w:val="16"/>
              </w:rPr>
              <w:t xml:space="preserve"> </w:t>
            </w:r>
            <w:r w:rsidRPr="00092B73">
              <w:rPr>
                <w:rFonts w:ascii="Sylfaen" w:eastAsia="Sylfaen" w:hAnsi="Sylfaen" w:cs="Sylfaen"/>
                <w:sz w:val="16"/>
              </w:rPr>
              <w:t>ან</w:t>
            </w:r>
            <w:r w:rsidRPr="00092B73">
              <w:rPr>
                <w:rFonts w:eastAsia="Sylfaen"/>
                <w:sz w:val="16"/>
              </w:rPr>
              <w:t xml:space="preserve"> </w:t>
            </w:r>
            <w:r w:rsidRPr="00092B73">
              <w:rPr>
                <w:rFonts w:ascii="Sylfaen" w:eastAsia="Sylfaen" w:hAnsi="Sylfaen" w:cs="Sylfaen"/>
                <w:sz w:val="16"/>
              </w:rPr>
              <w:t>მოსაჭრელი</w:t>
            </w:r>
            <w:r w:rsidRPr="00092B73">
              <w:rPr>
                <w:rFonts w:eastAsia="Sylfaen"/>
                <w:sz w:val="16"/>
              </w:rPr>
              <w:t xml:space="preserve"> </w:t>
            </w:r>
            <w:r w:rsidRPr="00092B73">
              <w:rPr>
                <w:rFonts w:ascii="Sylfaen" w:eastAsia="Sylfaen" w:hAnsi="Sylfaen" w:cs="Sylfaen"/>
                <w:sz w:val="16"/>
              </w:rPr>
              <w:t>ხეების</w:t>
            </w:r>
            <w:r w:rsidRPr="00092B73">
              <w:rPr>
                <w:rFonts w:eastAsia="Sylfaen"/>
                <w:sz w:val="16"/>
              </w:rPr>
              <w:t xml:space="preserve"> </w:t>
            </w:r>
            <w:r w:rsidRPr="00092B73">
              <w:rPr>
                <w:rFonts w:ascii="Sylfaen" w:eastAsia="Sylfaen" w:hAnsi="Sylfaen" w:cs="Sylfaen"/>
                <w:sz w:val="16"/>
              </w:rPr>
              <w:t>იდენტიფიკაცია</w:t>
            </w:r>
            <w:r w:rsidRPr="00092B73">
              <w:rPr>
                <w:rFonts w:eastAsia="Sylfaen"/>
                <w:sz w:val="16"/>
              </w:rPr>
              <w:t xml:space="preserve">. </w:t>
            </w:r>
            <w:r w:rsidRPr="00092B73">
              <w:rPr>
                <w:rFonts w:ascii="Sylfaen" w:eastAsia="Sylfaen" w:hAnsi="Sylfaen" w:cs="Sylfaen"/>
                <w:sz w:val="16"/>
              </w:rPr>
              <w:t>ხიდების</w:t>
            </w:r>
            <w:r w:rsidRPr="00092B73">
              <w:rPr>
                <w:rFonts w:eastAsia="Sylfaen"/>
                <w:sz w:val="16"/>
              </w:rPr>
              <w:t xml:space="preserve"> </w:t>
            </w:r>
            <w:r w:rsidRPr="00092B73">
              <w:rPr>
                <w:rFonts w:ascii="Sylfaen" w:eastAsia="Sylfaen" w:hAnsi="Sylfaen" w:cs="Sylfaen"/>
                <w:sz w:val="16"/>
              </w:rPr>
              <w:t>მშენებლობის</w:t>
            </w:r>
            <w:r w:rsidRPr="00092B73">
              <w:rPr>
                <w:rFonts w:eastAsia="Sylfaen"/>
                <w:sz w:val="16"/>
              </w:rPr>
              <w:t xml:space="preserve"> </w:t>
            </w:r>
            <w:r w:rsidRPr="00092B73">
              <w:rPr>
                <w:rFonts w:ascii="Sylfaen" w:eastAsia="Sylfaen" w:hAnsi="Sylfaen" w:cs="Sylfaen"/>
                <w:sz w:val="16"/>
              </w:rPr>
              <w:t>დროს</w:t>
            </w:r>
            <w:r w:rsidRPr="00092B73">
              <w:rPr>
                <w:rFonts w:eastAsia="Sylfaen"/>
                <w:sz w:val="16"/>
              </w:rPr>
              <w:t xml:space="preserve"> </w:t>
            </w:r>
            <w:r w:rsidRPr="00092B73">
              <w:rPr>
                <w:rFonts w:ascii="Sylfaen" w:eastAsia="Sylfaen" w:hAnsi="Sylfaen" w:cs="Sylfaen"/>
                <w:sz w:val="16"/>
              </w:rPr>
              <w:t>განსაკუთრებული</w:t>
            </w:r>
            <w:r w:rsidRPr="00092B73">
              <w:rPr>
                <w:rFonts w:eastAsia="Sylfaen"/>
                <w:sz w:val="16"/>
              </w:rPr>
              <w:t xml:space="preserve"> </w:t>
            </w:r>
            <w:r w:rsidRPr="00092B73">
              <w:rPr>
                <w:rFonts w:ascii="Sylfaen" w:eastAsia="Sylfaen" w:hAnsi="Sylfaen" w:cs="Sylfaen"/>
                <w:sz w:val="16"/>
              </w:rPr>
              <w:t>ყურადღება</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მიექცეს</w:t>
            </w:r>
            <w:r w:rsidRPr="00092B73">
              <w:rPr>
                <w:rFonts w:eastAsia="Sylfaen"/>
                <w:sz w:val="16"/>
              </w:rPr>
              <w:t xml:space="preserve"> </w:t>
            </w:r>
            <w:r w:rsidRPr="00092B73">
              <w:rPr>
                <w:rFonts w:ascii="Sylfaen" w:eastAsia="Sylfaen" w:hAnsi="Sylfaen" w:cs="Sylfaen"/>
                <w:sz w:val="16"/>
              </w:rPr>
              <w:t>მდინარის</w:t>
            </w:r>
            <w:r w:rsidRPr="00092B73">
              <w:rPr>
                <w:rFonts w:eastAsia="Sylfaen"/>
                <w:sz w:val="16"/>
              </w:rPr>
              <w:t xml:space="preserve"> </w:t>
            </w:r>
            <w:r w:rsidRPr="00092B73">
              <w:rPr>
                <w:rFonts w:ascii="Sylfaen" w:eastAsia="Sylfaen" w:hAnsi="Sylfaen" w:cs="Sylfaen"/>
                <w:sz w:val="16"/>
              </w:rPr>
              <w:t>ჭალის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ფერდობების</w:t>
            </w:r>
            <w:r w:rsidRPr="00092B73">
              <w:rPr>
                <w:rFonts w:eastAsia="Sylfaen"/>
                <w:sz w:val="16"/>
              </w:rPr>
              <w:t xml:space="preserve"> </w:t>
            </w:r>
            <w:r w:rsidRPr="00092B73">
              <w:rPr>
                <w:rFonts w:ascii="Sylfaen" w:eastAsia="Sylfaen" w:hAnsi="Sylfaen" w:cs="Sylfaen"/>
                <w:sz w:val="16"/>
              </w:rPr>
              <w:t>მცენარეების</w:t>
            </w:r>
            <w:r w:rsidRPr="00092B73">
              <w:rPr>
                <w:rFonts w:eastAsia="Sylfaen"/>
                <w:sz w:val="16"/>
              </w:rPr>
              <w:t xml:space="preserve"> </w:t>
            </w:r>
            <w:r w:rsidRPr="00092B73">
              <w:rPr>
                <w:rFonts w:ascii="Sylfaen" w:eastAsia="Sylfaen" w:hAnsi="Sylfaen" w:cs="Sylfaen"/>
                <w:sz w:val="16"/>
              </w:rPr>
              <w:t>დაცვას</w:t>
            </w:r>
            <w:r w:rsidRPr="00092B73">
              <w:rPr>
                <w:rFonts w:eastAsia="Sylfaen"/>
                <w:sz w:val="16"/>
              </w:rPr>
              <w:t>.</w:t>
            </w:r>
          </w:p>
          <w:p w14:paraId="4C65DEFF"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აუცილებლობის</w:t>
            </w:r>
            <w:r w:rsidRPr="00092B73">
              <w:rPr>
                <w:rFonts w:eastAsia="Sylfaen"/>
                <w:sz w:val="16"/>
              </w:rPr>
              <w:t xml:space="preserve"> </w:t>
            </w:r>
            <w:r w:rsidRPr="00092B73">
              <w:rPr>
                <w:rFonts w:ascii="Sylfaen" w:eastAsia="Sylfaen" w:hAnsi="Sylfaen" w:cs="Sylfaen"/>
                <w:sz w:val="16"/>
              </w:rPr>
              <w:t>გარეშე</w:t>
            </w:r>
            <w:r w:rsidRPr="00092B73">
              <w:rPr>
                <w:rFonts w:eastAsia="Sylfaen"/>
                <w:sz w:val="16"/>
              </w:rPr>
              <w:t xml:space="preserve"> </w:t>
            </w:r>
            <w:r w:rsidRPr="00092B73">
              <w:rPr>
                <w:rFonts w:ascii="Sylfaen" w:eastAsia="Sylfaen" w:hAnsi="Sylfaen" w:cs="Sylfaen"/>
                <w:sz w:val="16"/>
              </w:rPr>
              <w:t>ხის</w:t>
            </w:r>
            <w:r w:rsidRPr="00092B73">
              <w:rPr>
                <w:rFonts w:eastAsia="Sylfaen"/>
                <w:sz w:val="16"/>
              </w:rPr>
              <w:t xml:space="preserve"> </w:t>
            </w:r>
            <w:r w:rsidRPr="00092B73">
              <w:rPr>
                <w:rFonts w:ascii="Sylfaen" w:eastAsia="Sylfaen" w:hAnsi="Sylfaen" w:cs="Sylfaen"/>
                <w:sz w:val="16"/>
              </w:rPr>
              <w:t>მოჭრის</w:t>
            </w:r>
            <w:r w:rsidRPr="00092B73">
              <w:rPr>
                <w:rFonts w:eastAsia="Sylfaen"/>
                <w:sz w:val="16"/>
              </w:rPr>
              <w:t xml:space="preserve"> </w:t>
            </w:r>
            <w:r w:rsidRPr="00092B73">
              <w:rPr>
                <w:rFonts w:ascii="Sylfaen" w:eastAsia="Sylfaen" w:hAnsi="Sylfaen" w:cs="Sylfaen"/>
                <w:sz w:val="16"/>
              </w:rPr>
              <w:t>ან</w:t>
            </w:r>
            <w:r w:rsidRPr="00092B73">
              <w:rPr>
                <w:rFonts w:eastAsia="Sylfaen"/>
                <w:sz w:val="16"/>
              </w:rPr>
              <w:t xml:space="preserve"> </w:t>
            </w:r>
            <w:r w:rsidRPr="00092B73">
              <w:rPr>
                <w:rFonts w:ascii="Sylfaen" w:eastAsia="Sylfaen" w:hAnsi="Sylfaen" w:cs="Sylfaen"/>
                <w:sz w:val="16"/>
              </w:rPr>
              <w:t>დაზიანების</w:t>
            </w:r>
            <w:r w:rsidRPr="00092B73">
              <w:rPr>
                <w:rFonts w:eastAsia="Sylfaen"/>
                <w:sz w:val="16"/>
              </w:rPr>
              <w:t xml:space="preserve"> </w:t>
            </w:r>
            <w:r w:rsidRPr="00092B73">
              <w:rPr>
                <w:rFonts w:ascii="Sylfaen" w:eastAsia="Sylfaen" w:hAnsi="Sylfaen" w:cs="Sylfaen"/>
                <w:sz w:val="16"/>
              </w:rPr>
              <w:t>დაუშვებლობა</w:t>
            </w:r>
            <w:r w:rsidRPr="00092B73">
              <w:rPr>
                <w:rFonts w:eastAsia="Sylfaen"/>
                <w:sz w:val="16"/>
              </w:rPr>
              <w:t xml:space="preserve">. </w:t>
            </w:r>
            <w:r w:rsidRPr="00092B73">
              <w:rPr>
                <w:rFonts w:ascii="Sylfaen" w:eastAsia="Sylfaen" w:hAnsi="Sylfaen" w:cs="Sylfaen"/>
                <w:sz w:val="16"/>
              </w:rPr>
              <w:t>მცენარეული</w:t>
            </w:r>
            <w:r w:rsidRPr="00092B73">
              <w:rPr>
                <w:rFonts w:eastAsia="Sylfaen"/>
                <w:sz w:val="16"/>
              </w:rPr>
              <w:t xml:space="preserve"> </w:t>
            </w:r>
            <w:r w:rsidRPr="00092B73">
              <w:rPr>
                <w:rFonts w:ascii="Sylfaen" w:eastAsia="Sylfaen" w:hAnsi="Sylfaen" w:cs="Sylfaen"/>
                <w:sz w:val="16"/>
              </w:rPr>
              <w:t>საფარის</w:t>
            </w:r>
            <w:r w:rsidRPr="00092B73">
              <w:rPr>
                <w:rFonts w:eastAsia="Sylfaen"/>
                <w:sz w:val="16"/>
              </w:rPr>
              <w:t xml:space="preserve"> </w:t>
            </w:r>
            <w:r w:rsidRPr="00092B73">
              <w:rPr>
                <w:rFonts w:ascii="Sylfaen" w:eastAsia="Sylfaen" w:hAnsi="Sylfaen" w:cs="Sylfaen"/>
                <w:sz w:val="16"/>
              </w:rPr>
              <w:t>შესაძლებლობისდაგვარად</w:t>
            </w:r>
            <w:r w:rsidRPr="00092B73">
              <w:rPr>
                <w:rFonts w:eastAsia="Sylfaen"/>
                <w:sz w:val="16"/>
              </w:rPr>
              <w:t xml:space="preserve"> </w:t>
            </w:r>
            <w:r w:rsidRPr="00092B73">
              <w:rPr>
                <w:rFonts w:ascii="Sylfaen" w:eastAsia="Sylfaen" w:hAnsi="Sylfaen" w:cs="Sylfaen"/>
                <w:sz w:val="16"/>
              </w:rPr>
              <w:t>მაქსიმა</w:t>
            </w:r>
            <w:r w:rsidRPr="00092B73">
              <w:rPr>
                <w:rFonts w:eastAsia="Sylfaen"/>
                <w:sz w:val="16"/>
              </w:rPr>
              <w:t xml:space="preserve">- </w:t>
            </w:r>
            <w:r w:rsidRPr="00092B73">
              <w:rPr>
                <w:rFonts w:ascii="Sylfaen" w:eastAsia="Sylfaen" w:hAnsi="Sylfaen" w:cs="Sylfaen"/>
                <w:sz w:val="16"/>
              </w:rPr>
              <w:t>ლური</w:t>
            </w:r>
            <w:r w:rsidRPr="00092B73">
              <w:rPr>
                <w:rFonts w:eastAsia="Sylfaen"/>
                <w:sz w:val="16"/>
              </w:rPr>
              <w:t xml:space="preserve"> </w:t>
            </w:r>
            <w:r w:rsidRPr="00092B73">
              <w:rPr>
                <w:rFonts w:ascii="Sylfaen" w:eastAsia="Sylfaen" w:hAnsi="Sylfaen" w:cs="Sylfaen"/>
                <w:sz w:val="16"/>
              </w:rPr>
              <w:t>შენარჩუნება</w:t>
            </w:r>
            <w:r w:rsidRPr="00092B73">
              <w:rPr>
                <w:rFonts w:eastAsia="Sylfaen"/>
                <w:sz w:val="16"/>
              </w:rPr>
              <w:t>.</w:t>
            </w:r>
          </w:p>
          <w:p w14:paraId="7B28A8C3"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ყოველი</w:t>
            </w:r>
            <w:r w:rsidRPr="00092B73">
              <w:rPr>
                <w:rFonts w:eastAsia="Sylfaen"/>
                <w:sz w:val="16"/>
              </w:rPr>
              <w:t xml:space="preserve"> </w:t>
            </w:r>
            <w:r w:rsidRPr="00092B73">
              <w:rPr>
                <w:rFonts w:ascii="Sylfaen" w:eastAsia="Sylfaen" w:hAnsi="Sylfaen" w:cs="Sylfaen"/>
                <w:sz w:val="16"/>
              </w:rPr>
              <w:t>მოჭრილი</w:t>
            </w:r>
            <w:r w:rsidRPr="00092B73">
              <w:rPr>
                <w:rFonts w:eastAsia="Sylfaen"/>
                <w:sz w:val="16"/>
              </w:rPr>
              <w:t xml:space="preserve"> </w:t>
            </w:r>
            <w:r w:rsidRPr="00092B73">
              <w:rPr>
                <w:rFonts w:ascii="Sylfaen" w:eastAsia="Sylfaen" w:hAnsi="Sylfaen" w:cs="Sylfaen"/>
                <w:sz w:val="16"/>
              </w:rPr>
              <w:t>ხე</w:t>
            </w:r>
            <w:r w:rsidRPr="00092B73">
              <w:rPr>
                <w:rFonts w:eastAsia="Sylfaen"/>
                <w:sz w:val="16"/>
              </w:rPr>
              <w:t xml:space="preserve"> </w:t>
            </w:r>
            <w:r w:rsidRPr="00092B73">
              <w:rPr>
                <w:rFonts w:ascii="Sylfaen" w:eastAsia="Sylfaen" w:hAnsi="Sylfaen" w:cs="Sylfaen"/>
                <w:sz w:val="16"/>
              </w:rPr>
              <w:t>კომპენსირებული</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იყოს</w:t>
            </w:r>
            <w:r w:rsidRPr="00092B73">
              <w:rPr>
                <w:rFonts w:eastAsia="Sylfaen"/>
                <w:sz w:val="16"/>
              </w:rPr>
              <w:t xml:space="preserve"> 3 </w:t>
            </w:r>
            <w:r w:rsidRPr="00092B73">
              <w:rPr>
                <w:rFonts w:ascii="Sylfaen" w:eastAsia="Sylfaen" w:hAnsi="Sylfaen" w:cs="Sylfaen"/>
                <w:sz w:val="16"/>
              </w:rPr>
              <w:t>იგივე</w:t>
            </w:r>
            <w:r w:rsidRPr="00092B73">
              <w:rPr>
                <w:rFonts w:eastAsia="Sylfaen"/>
                <w:sz w:val="16"/>
              </w:rPr>
              <w:t xml:space="preserve"> </w:t>
            </w:r>
            <w:r w:rsidRPr="00092B73">
              <w:rPr>
                <w:rFonts w:ascii="Sylfaen" w:eastAsia="Sylfaen" w:hAnsi="Sylfaen" w:cs="Sylfaen"/>
                <w:sz w:val="16"/>
              </w:rPr>
              <w:t>სახეობის</w:t>
            </w:r>
            <w:r w:rsidRPr="00092B73">
              <w:rPr>
                <w:rFonts w:eastAsia="Sylfaen"/>
                <w:sz w:val="16"/>
              </w:rPr>
              <w:t xml:space="preserve"> </w:t>
            </w:r>
            <w:r w:rsidRPr="00092B73">
              <w:rPr>
                <w:rFonts w:ascii="Sylfaen" w:eastAsia="Sylfaen" w:hAnsi="Sylfaen" w:cs="Sylfaen"/>
                <w:sz w:val="16"/>
              </w:rPr>
              <w:t>მცენარის</w:t>
            </w:r>
            <w:r w:rsidRPr="00092B73">
              <w:rPr>
                <w:rFonts w:eastAsia="Sylfaen"/>
                <w:sz w:val="16"/>
              </w:rPr>
              <w:t xml:space="preserve"> </w:t>
            </w:r>
            <w:r w:rsidRPr="00092B73">
              <w:rPr>
                <w:rFonts w:ascii="Sylfaen" w:eastAsia="Sylfaen" w:hAnsi="Sylfaen" w:cs="Sylfaen"/>
                <w:sz w:val="16"/>
              </w:rPr>
              <w:t>დარგვით</w:t>
            </w:r>
            <w:r w:rsidRPr="00092B73">
              <w:rPr>
                <w:rFonts w:eastAsia="Sylfaen"/>
                <w:sz w:val="16"/>
              </w:rPr>
              <w:t>.</w:t>
            </w:r>
          </w:p>
          <w:p w14:paraId="61DF2FA8"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სამუშაოს</w:t>
            </w:r>
            <w:r w:rsidRPr="00092B73">
              <w:rPr>
                <w:rFonts w:eastAsia="Sylfaen"/>
                <w:sz w:val="16"/>
              </w:rPr>
              <w:t xml:space="preserve"> </w:t>
            </w:r>
            <w:r w:rsidRPr="00092B73">
              <w:rPr>
                <w:rFonts w:ascii="Sylfaen" w:eastAsia="Sylfaen" w:hAnsi="Sylfaen" w:cs="Sylfaen"/>
                <w:sz w:val="16"/>
              </w:rPr>
              <w:t>დასრულების</w:t>
            </w:r>
            <w:r w:rsidRPr="00092B73">
              <w:rPr>
                <w:rFonts w:eastAsia="Sylfaen"/>
                <w:sz w:val="16"/>
              </w:rPr>
              <w:t xml:space="preserve"> </w:t>
            </w:r>
            <w:r w:rsidRPr="00092B73">
              <w:rPr>
                <w:rFonts w:ascii="Sylfaen" w:eastAsia="Sylfaen" w:hAnsi="Sylfaen" w:cs="Sylfaen"/>
                <w:sz w:val="16"/>
              </w:rPr>
              <w:t>შემდეგ</w:t>
            </w:r>
            <w:r w:rsidRPr="00092B73">
              <w:rPr>
                <w:rFonts w:eastAsia="Sylfaen"/>
                <w:sz w:val="16"/>
              </w:rPr>
              <w:t xml:space="preserve"> </w:t>
            </w:r>
            <w:r w:rsidRPr="00092B73">
              <w:rPr>
                <w:rFonts w:ascii="Sylfaen" w:eastAsia="Sylfaen" w:hAnsi="Sylfaen" w:cs="Sylfaen"/>
                <w:sz w:val="16"/>
              </w:rPr>
              <w:t>ტერიტორიის</w:t>
            </w:r>
            <w:r w:rsidRPr="00092B73">
              <w:rPr>
                <w:rFonts w:eastAsia="Sylfaen"/>
                <w:sz w:val="16"/>
              </w:rPr>
              <w:t xml:space="preserve"> </w:t>
            </w:r>
            <w:r w:rsidRPr="00092B73">
              <w:rPr>
                <w:rFonts w:ascii="Sylfaen" w:eastAsia="Sylfaen" w:hAnsi="Sylfaen" w:cs="Sylfaen"/>
                <w:sz w:val="16"/>
              </w:rPr>
              <w:t>რეკულტივაცია</w:t>
            </w:r>
            <w:r w:rsidRPr="00092B73">
              <w:rPr>
                <w:rFonts w:eastAsia="Sylfaen"/>
                <w:sz w:val="16"/>
              </w:rPr>
              <w:t>.</w:t>
            </w:r>
          </w:p>
        </w:tc>
        <w:tc>
          <w:tcPr>
            <w:tcW w:w="2340" w:type="dxa"/>
            <w:tcBorders>
              <w:top w:val="single" w:sz="8" w:space="0" w:color="000000"/>
              <w:left w:val="single" w:sz="6" w:space="0" w:color="000000"/>
              <w:bottom w:val="single" w:sz="6" w:space="0" w:color="000000"/>
              <w:right w:val="single" w:sz="6" w:space="0" w:color="000000"/>
            </w:tcBorders>
          </w:tcPr>
          <w:p w14:paraId="4A3432BF" w14:textId="77777777" w:rsidR="00092B73" w:rsidRPr="00092B73" w:rsidRDefault="00092B73" w:rsidP="000321C7">
            <w:pPr>
              <w:rPr>
                <w:rFonts w:eastAsia="Sylfaen"/>
                <w:sz w:val="16"/>
              </w:rPr>
            </w:pPr>
            <w:r w:rsidRPr="00092B73">
              <w:rPr>
                <w:rFonts w:ascii="Sylfaen" w:eastAsia="Sylfaen" w:hAnsi="Sylfaen" w:cs="Sylfaen"/>
                <w:sz w:val="16"/>
              </w:rPr>
              <w:t>ღირებულება</w:t>
            </w:r>
            <w:r w:rsidRPr="00092B73">
              <w:rPr>
                <w:rFonts w:eastAsia="Sylfaen"/>
                <w:sz w:val="16"/>
              </w:rPr>
              <w:t xml:space="preserve"> </w:t>
            </w:r>
            <w:r w:rsidRPr="00092B73">
              <w:rPr>
                <w:rFonts w:ascii="Sylfaen" w:eastAsia="Sylfaen" w:hAnsi="Sylfaen" w:cs="Sylfaen"/>
                <w:sz w:val="16"/>
              </w:rPr>
              <w:t>განისაზღვრება</w:t>
            </w:r>
            <w:r w:rsidRPr="00092B73">
              <w:rPr>
                <w:rFonts w:eastAsia="Sylfaen"/>
                <w:sz w:val="16"/>
              </w:rPr>
              <w:t xml:space="preserve"> </w:t>
            </w:r>
            <w:r w:rsidRPr="00092B73">
              <w:rPr>
                <w:rFonts w:ascii="Sylfaen" w:eastAsia="Sylfaen" w:hAnsi="Sylfaen" w:cs="Sylfaen"/>
                <w:sz w:val="16"/>
              </w:rPr>
              <w:t>ყველა</w:t>
            </w:r>
            <w:r w:rsidRPr="00092B73">
              <w:rPr>
                <w:rFonts w:eastAsia="Sylfaen"/>
                <w:sz w:val="16"/>
              </w:rPr>
              <w:t xml:space="preserve"> </w:t>
            </w:r>
            <w:r w:rsidRPr="00092B73">
              <w:rPr>
                <w:rFonts w:ascii="Sylfaen" w:eastAsia="Sylfaen" w:hAnsi="Sylfaen" w:cs="Sylfaen"/>
                <w:sz w:val="16"/>
              </w:rPr>
              <w:t>კონკრეტულ</w:t>
            </w:r>
            <w:r w:rsidRPr="00092B73">
              <w:rPr>
                <w:rFonts w:eastAsia="Sylfaen"/>
                <w:sz w:val="16"/>
              </w:rPr>
              <w:t xml:space="preserve"> </w:t>
            </w:r>
            <w:r w:rsidRPr="00092B73">
              <w:rPr>
                <w:rFonts w:ascii="Sylfaen" w:eastAsia="Sylfaen" w:hAnsi="Sylfaen" w:cs="Sylfaen"/>
                <w:sz w:val="16"/>
              </w:rPr>
              <w:t>შემთხვევაში</w:t>
            </w:r>
            <w:r w:rsidRPr="00092B73">
              <w:rPr>
                <w:rFonts w:eastAsia="Sylfaen"/>
                <w:sz w:val="16"/>
              </w:rPr>
              <w:t xml:space="preserve"> </w:t>
            </w:r>
            <w:r w:rsidRPr="00092B73">
              <w:rPr>
                <w:rFonts w:ascii="Sylfaen" w:eastAsia="Sylfaen" w:hAnsi="Sylfaen" w:cs="Sylfaen"/>
                <w:sz w:val="16"/>
              </w:rPr>
              <w:t>მოჭრილი</w:t>
            </w:r>
            <w:r w:rsidRPr="00092B73">
              <w:rPr>
                <w:rFonts w:eastAsia="Sylfaen"/>
                <w:sz w:val="16"/>
              </w:rPr>
              <w:t xml:space="preserve"> </w:t>
            </w:r>
            <w:r w:rsidRPr="00092B73">
              <w:rPr>
                <w:rFonts w:ascii="Sylfaen" w:eastAsia="Sylfaen" w:hAnsi="Sylfaen" w:cs="Sylfaen"/>
                <w:sz w:val="16"/>
              </w:rPr>
              <w:t>ხის</w:t>
            </w:r>
            <w:r w:rsidRPr="00092B73">
              <w:rPr>
                <w:rFonts w:eastAsia="Sylfaen"/>
                <w:sz w:val="16"/>
              </w:rPr>
              <w:t xml:space="preserve"> </w:t>
            </w:r>
            <w:r w:rsidRPr="00092B73">
              <w:rPr>
                <w:rFonts w:ascii="Sylfaen" w:eastAsia="Sylfaen" w:hAnsi="Sylfaen" w:cs="Sylfaen"/>
                <w:sz w:val="16"/>
              </w:rPr>
              <w:t>ტიპის</w:t>
            </w:r>
            <w:r w:rsidRPr="00092B73">
              <w:rPr>
                <w:rFonts w:eastAsia="Sylfaen"/>
                <w:sz w:val="16"/>
              </w:rPr>
              <w:t xml:space="preserve"> </w:t>
            </w:r>
            <w:r w:rsidRPr="00092B73">
              <w:rPr>
                <w:rFonts w:ascii="Sylfaen" w:eastAsia="Sylfaen" w:hAnsi="Sylfaen" w:cs="Sylfaen"/>
                <w:sz w:val="16"/>
              </w:rPr>
              <w:t>მიხედვით</w:t>
            </w:r>
            <w:r w:rsidRPr="00092B73">
              <w:rPr>
                <w:rFonts w:eastAsia="Sylfaen"/>
                <w:sz w:val="16"/>
              </w:rPr>
              <w:t>.</w:t>
            </w:r>
          </w:p>
          <w:p w14:paraId="4F8BA6BF" w14:textId="77777777" w:rsidR="00092B73" w:rsidRPr="00092B73" w:rsidRDefault="00092B73" w:rsidP="000321C7">
            <w:pPr>
              <w:rPr>
                <w:rFonts w:eastAsia="Sylfaen"/>
                <w:sz w:val="16"/>
              </w:rPr>
            </w:pPr>
          </w:p>
        </w:tc>
        <w:tc>
          <w:tcPr>
            <w:tcW w:w="1204" w:type="dxa"/>
            <w:tcBorders>
              <w:top w:val="single" w:sz="8" w:space="0" w:color="000000"/>
              <w:left w:val="single" w:sz="6" w:space="0" w:color="000000"/>
              <w:bottom w:val="single" w:sz="6" w:space="0" w:color="000000"/>
              <w:right w:val="single" w:sz="6" w:space="0" w:color="000000"/>
            </w:tcBorders>
            <w:hideMark/>
          </w:tcPr>
          <w:p w14:paraId="3B88D3AA" w14:textId="77777777" w:rsidR="00092B73" w:rsidRPr="00092B73" w:rsidRDefault="00092B73" w:rsidP="000321C7">
            <w:pPr>
              <w:rPr>
                <w:rFonts w:eastAsia="Sylfaen"/>
                <w:sz w:val="16"/>
              </w:rPr>
            </w:pPr>
            <w:r w:rsidRPr="00092B73">
              <w:rPr>
                <w:rFonts w:ascii="Sylfaen" w:eastAsia="Sylfaen" w:hAnsi="Sylfaen" w:cs="Sylfaen"/>
                <w:sz w:val="16"/>
              </w:rPr>
              <w:t>მშენებელი</w:t>
            </w:r>
            <w:r w:rsidRPr="00092B73">
              <w:rPr>
                <w:rFonts w:eastAsia="Sylfaen"/>
                <w:sz w:val="16"/>
              </w:rPr>
              <w:t xml:space="preserve"> </w:t>
            </w:r>
            <w:r w:rsidRPr="00092B73">
              <w:rPr>
                <w:rFonts w:ascii="Sylfaen" w:eastAsia="Sylfaen" w:hAnsi="Sylfaen" w:cs="Sylfaen"/>
                <w:sz w:val="16"/>
              </w:rPr>
              <w:t>კონტრაქტორი</w:t>
            </w:r>
          </w:p>
        </w:tc>
        <w:tc>
          <w:tcPr>
            <w:tcW w:w="1574" w:type="dxa"/>
            <w:tcBorders>
              <w:top w:val="single" w:sz="8" w:space="0" w:color="000000"/>
              <w:left w:val="single" w:sz="6" w:space="0" w:color="000000"/>
              <w:bottom w:val="single" w:sz="6" w:space="0" w:color="000000"/>
              <w:right w:val="single" w:sz="6" w:space="0" w:color="000000"/>
            </w:tcBorders>
            <w:hideMark/>
          </w:tcPr>
          <w:p w14:paraId="0B2CF847" w14:textId="77777777" w:rsidR="00092B73" w:rsidRPr="00092B73" w:rsidRDefault="00092B73" w:rsidP="000321C7">
            <w:pPr>
              <w:rPr>
                <w:rFonts w:eastAsia="Sylfaen"/>
                <w:sz w:val="16"/>
                <w:lang w:val="ka-GE"/>
              </w:rPr>
            </w:pPr>
            <w:r w:rsidRPr="00092B73">
              <w:rPr>
                <w:rFonts w:ascii="Sylfaen" w:eastAsia="Sylfaen" w:hAnsi="Sylfaen" w:cs="Sylfaen"/>
                <w:sz w:val="16"/>
              </w:rPr>
              <w:t>საგზაო</w:t>
            </w:r>
            <w:r w:rsidRPr="00092B73">
              <w:rPr>
                <w:rFonts w:eastAsia="Sylfaen"/>
                <w:sz w:val="16"/>
              </w:rPr>
              <w:t xml:space="preserve"> </w:t>
            </w:r>
            <w:r w:rsidRPr="00092B73">
              <w:rPr>
                <w:rFonts w:ascii="Sylfaen" w:eastAsia="Sylfaen" w:hAnsi="Sylfaen" w:cs="Sylfaen"/>
                <w:sz w:val="16"/>
              </w:rPr>
              <w:t>დეპარტამენტი</w:t>
            </w:r>
          </w:p>
          <w:p w14:paraId="573D7543" w14:textId="77777777" w:rsidR="00092B73" w:rsidRPr="00092B73" w:rsidRDefault="00092B73" w:rsidP="000321C7">
            <w:pPr>
              <w:rPr>
                <w:rFonts w:eastAsia="Sylfaen"/>
                <w:sz w:val="16"/>
              </w:rPr>
            </w:pPr>
            <w:r w:rsidRPr="00092B73">
              <w:rPr>
                <w:rFonts w:ascii="Sylfaen" w:eastAsia="Sylfaen" w:hAnsi="Sylfaen" w:cs="Sylfaen"/>
                <w:sz w:val="16"/>
              </w:rPr>
              <w:t>საზედამხედველო</w:t>
            </w:r>
            <w:r w:rsidRPr="00092B73">
              <w:rPr>
                <w:rFonts w:eastAsia="Sylfaen"/>
                <w:sz w:val="16"/>
              </w:rPr>
              <w:t xml:space="preserve"> </w:t>
            </w:r>
            <w:r w:rsidRPr="00092B73">
              <w:rPr>
                <w:rFonts w:ascii="Sylfaen" w:eastAsia="Sylfaen" w:hAnsi="Sylfaen" w:cs="Sylfaen"/>
                <w:sz w:val="16"/>
              </w:rPr>
              <w:t>კომპანია</w:t>
            </w:r>
          </w:p>
        </w:tc>
      </w:tr>
      <w:tr w:rsidR="00092B73" w:rsidRPr="00092B73" w14:paraId="6C74DFB1" w14:textId="77777777" w:rsidTr="00C6605E">
        <w:trPr>
          <w:gridAfter w:val="1"/>
          <w:wAfter w:w="12" w:type="dxa"/>
          <w:trHeight w:hRule="exact" w:val="927"/>
        </w:trPr>
        <w:tc>
          <w:tcPr>
            <w:tcW w:w="1800" w:type="dxa"/>
            <w:tcBorders>
              <w:top w:val="single" w:sz="6" w:space="0" w:color="000000"/>
              <w:left w:val="single" w:sz="6" w:space="0" w:color="000000"/>
              <w:bottom w:val="single" w:sz="6" w:space="0" w:color="000000"/>
              <w:right w:val="single" w:sz="6" w:space="0" w:color="000000"/>
            </w:tcBorders>
            <w:hideMark/>
          </w:tcPr>
          <w:p w14:paraId="03B2F24F" w14:textId="77777777" w:rsidR="00092B73" w:rsidRPr="00092B73" w:rsidRDefault="00092B73" w:rsidP="000321C7">
            <w:pPr>
              <w:rPr>
                <w:sz w:val="16"/>
              </w:rPr>
            </w:pPr>
            <w:r w:rsidRPr="00092B73">
              <w:rPr>
                <w:rFonts w:ascii="Sylfaen" w:eastAsia="Sylfaen" w:hAnsi="Sylfaen" w:cs="Sylfaen"/>
                <w:sz w:val="16"/>
              </w:rPr>
              <w:t>ტერიტორიის</w:t>
            </w:r>
            <w:r w:rsidRPr="00092B73">
              <w:rPr>
                <w:rFonts w:eastAsia="Sylfaen"/>
                <w:sz w:val="16"/>
              </w:rPr>
              <w:t xml:space="preserve"> </w:t>
            </w:r>
            <w:r w:rsidRPr="00092B73">
              <w:rPr>
                <w:rFonts w:ascii="Sylfaen" w:eastAsia="Sylfaen" w:hAnsi="Sylfaen" w:cs="Sylfaen"/>
                <w:sz w:val="16"/>
              </w:rPr>
              <w:t>გარეთ</w:t>
            </w:r>
            <w:r w:rsidRPr="00092B73">
              <w:rPr>
                <w:rFonts w:eastAsia="Sylfaen"/>
                <w:sz w:val="16"/>
              </w:rPr>
              <w:t xml:space="preserve"> </w:t>
            </w:r>
            <w:r w:rsidRPr="00092B73">
              <w:rPr>
                <w:rFonts w:ascii="Sylfaen" w:eastAsia="Sylfaen" w:hAnsi="Sylfaen" w:cs="Sylfaen"/>
                <w:sz w:val="16"/>
              </w:rPr>
              <w:t>მოძრაობა</w:t>
            </w:r>
          </w:p>
        </w:tc>
        <w:tc>
          <w:tcPr>
            <w:tcW w:w="1788" w:type="dxa"/>
            <w:tcBorders>
              <w:top w:val="single" w:sz="6" w:space="0" w:color="000000"/>
              <w:left w:val="single" w:sz="6" w:space="0" w:color="000000"/>
              <w:bottom w:val="single" w:sz="6" w:space="0" w:color="000000"/>
              <w:right w:val="single" w:sz="6" w:space="0" w:color="000000"/>
            </w:tcBorders>
            <w:hideMark/>
          </w:tcPr>
          <w:p w14:paraId="03066040" w14:textId="77777777" w:rsidR="00092B73" w:rsidRPr="00092B73" w:rsidRDefault="00092B73" w:rsidP="000321C7">
            <w:pPr>
              <w:rPr>
                <w:rFonts w:eastAsia="Sylfaen"/>
                <w:sz w:val="16"/>
              </w:rPr>
            </w:pPr>
            <w:r w:rsidRPr="00092B73">
              <w:rPr>
                <w:rFonts w:ascii="Sylfaen" w:eastAsia="Sylfaen" w:hAnsi="Sylfaen" w:cs="Sylfaen"/>
                <w:sz w:val="16"/>
              </w:rPr>
              <w:t>ზემოქმედება</w:t>
            </w:r>
            <w:r w:rsidRPr="00092B73">
              <w:rPr>
                <w:rFonts w:eastAsia="Sylfaen"/>
                <w:sz w:val="16"/>
              </w:rPr>
              <w:t xml:space="preserve"> </w:t>
            </w:r>
            <w:r w:rsidRPr="00092B73">
              <w:rPr>
                <w:rFonts w:ascii="Sylfaen" w:eastAsia="Sylfaen" w:hAnsi="Sylfaen" w:cs="Sylfaen"/>
                <w:sz w:val="16"/>
              </w:rPr>
              <w:t>მცენარეულ</w:t>
            </w:r>
            <w:r w:rsidRPr="00092B73">
              <w:rPr>
                <w:rFonts w:eastAsia="Sylfaen"/>
                <w:sz w:val="16"/>
              </w:rPr>
              <w:t xml:space="preserve"> </w:t>
            </w:r>
            <w:r w:rsidRPr="00092B73">
              <w:rPr>
                <w:rFonts w:ascii="Sylfaen" w:eastAsia="Sylfaen" w:hAnsi="Sylfaen" w:cs="Sylfaen"/>
                <w:sz w:val="16"/>
              </w:rPr>
              <w:t>საფარზე</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ნიადაგზე</w:t>
            </w:r>
          </w:p>
        </w:tc>
        <w:tc>
          <w:tcPr>
            <w:tcW w:w="6838" w:type="dxa"/>
            <w:tcBorders>
              <w:top w:val="single" w:sz="6" w:space="0" w:color="000000"/>
              <w:left w:val="single" w:sz="6" w:space="0" w:color="000000"/>
              <w:bottom w:val="single" w:sz="6" w:space="0" w:color="000000"/>
              <w:right w:val="single" w:sz="6" w:space="0" w:color="000000"/>
            </w:tcBorders>
            <w:hideMark/>
          </w:tcPr>
          <w:p w14:paraId="26A7166C"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გზის</w:t>
            </w:r>
            <w:r w:rsidRPr="00092B73">
              <w:rPr>
                <w:rFonts w:eastAsia="Sylfaen"/>
                <w:sz w:val="16"/>
              </w:rPr>
              <w:t xml:space="preserve"> </w:t>
            </w:r>
            <w:r w:rsidRPr="00092B73">
              <w:rPr>
                <w:rFonts w:ascii="Sylfaen" w:eastAsia="Sylfaen" w:hAnsi="Sylfaen" w:cs="Sylfaen"/>
                <w:sz w:val="16"/>
              </w:rPr>
              <w:t>საზღვრების</w:t>
            </w:r>
            <w:r w:rsidRPr="00092B73">
              <w:rPr>
                <w:rFonts w:eastAsia="Sylfaen"/>
                <w:sz w:val="16"/>
              </w:rPr>
              <w:t xml:space="preserve"> </w:t>
            </w:r>
            <w:r w:rsidRPr="00092B73">
              <w:rPr>
                <w:rFonts w:ascii="Sylfaen" w:eastAsia="Sylfaen" w:hAnsi="Sylfaen" w:cs="Sylfaen"/>
                <w:sz w:val="16"/>
              </w:rPr>
              <w:t>მკაცრი</w:t>
            </w:r>
            <w:r w:rsidRPr="00092B73">
              <w:rPr>
                <w:rFonts w:eastAsia="Sylfaen"/>
                <w:sz w:val="16"/>
              </w:rPr>
              <w:t xml:space="preserve"> </w:t>
            </w:r>
            <w:r w:rsidRPr="00092B73">
              <w:rPr>
                <w:rFonts w:ascii="Sylfaen" w:eastAsia="Sylfaen" w:hAnsi="Sylfaen" w:cs="Sylfaen"/>
                <w:sz w:val="16"/>
              </w:rPr>
              <w:t>დაცვა</w:t>
            </w:r>
            <w:r w:rsidRPr="00092B73">
              <w:rPr>
                <w:rFonts w:eastAsia="Sylfaen"/>
                <w:sz w:val="16"/>
              </w:rPr>
              <w:t xml:space="preserve"> </w:t>
            </w:r>
            <w:r w:rsidRPr="00092B73">
              <w:rPr>
                <w:rFonts w:ascii="Sylfaen" w:eastAsia="Sylfaen" w:hAnsi="Sylfaen" w:cs="Sylfaen"/>
                <w:sz w:val="16"/>
              </w:rPr>
              <w:t>მცენარეული</w:t>
            </w:r>
            <w:r w:rsidRPr="00092B73">
              <w:rPr>
                <w:rFonts w:eastAsia="Sylfaen"/>
                <w:sz w:val="16"/>
              </w:rPr>
              <w:t xml:space="preserve"> </w:t>
            </w:r>
            <w:r w:rsidRPr="00092B73">
              <w:rPr>
                <w:rFonts w:ascii="Sylfaen" w:eastAsia="Sylfaen" w:hAnsi="Sylfaen" w:cs="Sylfaen"/>
                <w:sz w:val="16"/>
              </w:rPr>
              <w:t>საფარის</w:t>
            </w:r>
            <w:r w:rsidRPr="00092B73">
              <w:rPr>
                <w:rFonts w:eastAsia="Sylfaen"/>
                <w:sz w:val="16"/>
              </w:rPr>
              <w:t xml:space="preserve"> ‘</w:t>
            </w:r>
            <w:r w:rsidRPr="00092B73">
              <w:rPr>
                <w:rFonts w:ascii="Sylfaen" w:eastAsia="Sylfaen" w:hAnsi="Sylfaen" w:cs="Sylfaen"/>
                <w:sz w:val="16"/>
              </w:rPr>
              <w:t>ზედმეტი</w:t>
            </w:r>
            <w:r w:rsidRPr="00092B73">
              <w:rPr>
                <w:rFonts w:eastAsia="Sylfaen"/>
                <w:sz w:val="16"/>
              </w:rPr>
              <w:t xml:space="preserve">’ </w:t>
            </w:r>
            <w:r w:rsidRPr="00092B73">
              <w:rPr>
                <w:rFonts w:ascii="Sylfaen" w:eastAsia="Sylfaen" w:hAnsi="Sylfaen" w:cs="Sylfaen"/>
                <w:sz w:val="16"/>
              </w:rPr>
              <w:t>დაზიანების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ნიადაგის</w:t>
            </w:r>
            <w:r w:rsidRPr="00092B73">
              <w:rPr>
                <w:rFonts w:eastAsia="Sylfaen"/>
                <w:sz w:val="16"/>
              </w:rPr>
              <w:t xml:space="preserve"> </w:t>
            </w:r>
            <w:r w:rsidRPr="00092B73">
              <w:rPr>
                <w:rFonts w:ascii="Sylfaen" w:eastAsia="Sylfaen" w:hAnsi="Sylfaen" w:cs="Sylfaen"/>
                <w:sz w:val="16"/>
              </w:rPr>
              <w:t>დატკეპნის</w:t>
            </w:r>
            <w:r w:rsidRPr="00092B73">
              <w:rPr>
                <w:rFonts w:eastAsia="Sylfaen"/>
                <w:sz w:val="16"/>
              </w:rPr>
              <w:t xml:space="preserve"> </w:t>
            </w:r>
            <w:r w:rsidRPr="00092B73">
              <w:rPr>
                <w:rFonts w:ascii="Sylfaen" w:eastAsia="Sylfaen" w:hAnsi="Sylfaen" w:cs="Sylfaen"/>
                <w:sz w:val="16"/>
              </w:rPr>
              <w:t>თავიდან</w:t>
            </w:r>
            <w:r w:rsidRPr="00092B73">
              <w:rPr>
                <w:rFonts w:eastAsia="Sylfaen"/>
                <w:sz w:val="16"/>
              </w:rPr>
              <w:t xml:space="preserve"> </w:t>
            </w:r>
            <w:r w:rsidRPr="00092B73">
              <w:rPr>
                <w:rFonts w:ascii="Sylfaen" w:eastAsia="Sylfaen" w:hAnsi="Sylfaen" w:cs="Sylfaen"/>
                <w:sz w:val="16"/>
              </w:rPr>
              <w:t>ასაცილებლად</w:t>
            </w:r>
          </w:p>
        </w:tc>
        <w:tc>
          <w:tcPr>
            <w:tcW w:w="2340" w:type="dxa"/>
            <w:tcBorders>
              <w:top w:val="single" w:sz="6" w:space="0" w:color="000000"/>
              <w:left w:val="single" w:sz="6" w:space="0" w:color="000000"/>
              <w:bottom w:val="single" w:sz="6" w:space="0" w:color="000000"/>
              <w:right w:val="single" w:sz="6" w:space="0" w:color="000000"/>
            </w:tcBorders>
            <w:hideMark/>
          </w:tcPr>
          <w:p w14:paraId="7313F64A" w14:textId="77777777" w:rsidR="00092B73" w:rsidRPr="00092B73" w:rsidRDefault="00092B73" w:rsidP="000321C7">
            <w:pPr>
              <w:rPr>
                <w:rFonts w:eastAsia="Sylfaen"/>
                <w:sz w:val="16"/>
              </w:rPr>
            </w:pPr>
            <w:r w:rsidRPr="00092B73">
              <w:rPr>
                <w:rFonts w:ascii="Sylfaen" w:eastAsia="Sylfaen" w:hAnsi="Sylfaen" w:cs="Sylfaen"/>
                <w:sz w:val="16"/>
              </w:rPr>
              <w:t>დამატებით</w:t>
            </w:r>
            <w:r w:rsidRPr="00092B73">
              <w:rPr>
                <w:rFonts w:eastAsia="Sylfaen"/>
                <w:sz w:val="16"/>
              </w:rPr>
              <w:t xml:space="preserve"> </w:t>
            </w:r>
            <w:r w:rsidRPr="00092B73">
              <w:rPr>
                <w:rFonts w:ascii="Sylfaen" w:eastAsia="Sylfaen" w:hAnsi="Sylfaen" w:cs="Sylfaen"/>
                <w:sz w:val="16"/>
              </w:rPr>
              <w:t>ხარჯებს</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მოითხოვს</w:t>
            </w:r>
          </w:p>
        </w:tc>
        <w:tc>
          <w:tcPr>
            <w:tcW w:w="1204" w:type="dxa"/>
            <w:tcBorders>
              <w:top w:val="single" w:sz="6" w:space="0" w:color="000000"/>
              <w:left w:val="single" w:sz="6" w:space="0" w:color="000000"/>
              <w:bottom w:val="single" w:sz="6" w:space="0" w:color="000000"/>
              <w:right w:val="single" w:sz="6" w:space="0" w:color="000000"/>
            </w:tcBorders>
            <w:hideMark/>
          </w:tcPr>
          <w:p w14:paraId="5FDC698B" w14:textId="77777777" w:rsidR="00092B73" w:rsidRPr="00092B73" w:rsidRDefault="00092B73" w:rsidP="000321C7">
            <w:pPr>
              <w:rPr>
                <w:rFonts w:eastAsia="Sylfaen"/>
                <w:sz w:val="16"/>
              </w:rPr>
            </w:pPr>
            <w:r w:rsidRPr="00092B73">
              <w:rPr>
                <w:rFonts w:ascii="Sylfaen" w:eastAsia="Sylfaen" w:hAnsi="Sylfaen" w:cs="Sylfaen"/>
                <w:sz w:val="16"/>
              </w:rPr>
              <w:t>მშენებელი</w:t>
            </w:r>
            <w:r w:rsidRPr="00092B73">
              <w:rPr>
                <w:rFonts w:eastAsia="Sylfaen"/>
                <w:sz w:val="16"/>
              </w:rPr>
              <w:t xml:space="preserve"> </w:t>
            </w:r>
            <w:r w:rsidRPr="00092B73">
              <w:rPr>
                <w:rFonts w:ascii="Sylfaen" w:eastAsia="Sylfaen" w:hAnsi="Sylfaen" w:cs="Sylfaen"/>
                <w:sz w:val="16"/>
              </w:rPr>
              <w:t>კონტრაქტორი</w:t>
            </w:r>
          </w:p>
        </w:tc>
        <w:tc>
          <w:tcPr>
            <w:tcW w:w="1574" w:type="dxa"/>
            <w:tcBorders>
              <w:top w:val="single" w:sz="6" w:space="0" w:color="000000"/>
              <w:left w:val="single" w:sz="6" w:space="0" w:color="000000"/>
              <w:bottom w:val="single" w:sz="6" w:space="0" w:color="000000"/>
              <w:right w:val="single" w:sz="6" w:space="0" w:color="000000"/>
            </w:tcBorders>
            <w:hideMark/>
          </w:tcPr>
          <w:p w14:paraId="25C9F2A8" w14:textId="77777777" w:rsidR="00092B73" w:rsidRPr="00092B73" w:rsidRDefault="00092B73" w:rsidP="000321C7">
            <w:pPr>
              <w:rPr>
                <w:rFonts w:eastAsia="Sylfaen"/>
                <w:sz w:val="16"/>
                <w:lang w:val="ka-GE"/>
              </w:rPr>
            </w:pPr>
            <w:r w:rsidRPr="00092B73">
              <w:rPr>
                <w:rFonts w:ascii="Sylfaen" w:eastAsia="Sylfaen" w:hAnsi="Sylfaen" w:cs="Sylfaen"/>
                <w:sz w:val="16"/>
              </w:rPr>
              <w:t>საგზაო</w:t>
            </w:r>
            <w:r w:rsidRPr="00092B73">
              <w:rPr>
                <w:rFonts w:eastAsia="Sylfaen"/>
                <w:sz w:val="16"/>
              </w:rPr>
              <w:t xml:space="preserve"> </w:t>
            </w:r>
            <w:r w:rsidRPr="00092B73">
              <w:rPr>
                <w:rFonts w:ascii="Sylfaen" w:eastAsia="Sylfaen" w:hAnsi="Sylfaen" w:cs="Sylfaen"/>
                <w:sz w:val="16"/>
              </w:rPr>
              <w:t>დეპარტამენტი</w:t>
            </w:r>
          </w:p>
          <w:p w14:paraId="4F6EE5DB" w14:textId="77777777" w:rsidR="00092B73" w:rsidRPr="00092B73" w:rsidRDefault="00092B73" w:rsidP="000321C7">
            <w:pPr>
              <w:rPr>
                <w:rFonts w:eastAsia="Sylfaen"/>
                <w:sz w:val="16"/>
                <w:lang w:val="en-US"/>
              </w:rPr>
            </w:pPr>
            <w:r w:rsidRPr="00092B73">
              <w:rPr>
                <w:rFonts w:ascii="Sylfaen" w:eastAsia="Sylfaen" w:hAnsi="Sylfaen" w:cs="Sylfaen"/>
                <w:sz w:val="16"/>
              </w:rPr>
              <w:t>საზედამხედველო</w:t>
            </w:r>
            <w:r w:rsidRPr="00092B73">
              <w:rPr>
                <w:rFonts w:eastAsia="Sylfaen"/>
                <w:sz w:val="16"/>
              </w:rPr>
              <w:t xml:space="preserve"> </w:t>
            </w:r>
            <w:r w:rsidRPr="00092B73">
              <w:rPr>
                <w:rFonts w:ascii="Sylfaen" w:eastAsia="Sylfaen" w:hAnsi="Sylfaen" w:cs="Sylfaen"/>
                <w:sz w:val="16"/>
              </w:rPr>
              <w:t>კომპანია</w:t>
            </w:r>
          </w:p>
        </w:tc>
      </w:tr>
      <w:tr w:rsidR="00092B73" w:rsidRPr="00092B73" w14:paraId="6035F66E" w14:textId="77777777" w:rsidTr="00C6605E">
        <w:trPr>
          <w:gridAfter w:val="1"/>
          <w:wAfter w:w="12" w:type="dxa"/>
          <w:trHeight w:hRule="exact" w:val="2145"/>
        </w:trPr>
        <w:tc>
          <w:tcPr>
            <w:tcW w:w="1800" w:type="dxa"/>
            <w:tcBorders>
              <w:top w:val="single" w:sz="6" w:space="0" w:color="000000"/>
              <w:left w:val="single" w:sz="6" w:space="0" w:color="000000"/>
              <w:bottom w:val="single" w:sz="6" w:space="0" w:color="000000"/>
              <w:right w:val="single" w:sz="6" w:space="0" w:color="000000"/>
            </w:tcBorders>
            <w:hideMark/>
          </w:tcPr>
          <w:p w14:paraId="5AB68109" w14:textId="77777777" w:rsidR="00092B73" w:rsidRPr="00092B73" w:rsidRDefault="00092B73" w:rsidP="000321C7">
            <w:pPr>
              <w:rPr>
                <w:sz w:val="16"/>
              </w:rPr>
            </w:pPr>
            <w:r w:rsidRPr="00092B73">
              <w:rPr>
                <w:rFonts w:ascii="Sylfaen" w:eastAsia="Sylfaen" w:hAnsi="Sylfaen" w:cs="Sylfaen"/>
                <w:sz w:val="16"/>
              </w:rPr>
              <w:t>კონტრაქტორის</w:t>
            </w:r>
            <w:r w:rsidRPr="00092B73">
              <w:rPr>
                <w:rFonts w:eastAsia="Sylfaen"/>
                <w:sz w:val="16"/>
              </w:rPr>
              <w:t xml:space="preserve"> </w:t>
            </w:r>
            <w:r w:rsidRPr="00092B73">
              <w:rPr>
                <w:rFonts w:ascii="Sylfaen" w:eastAsia="Sylfaen" w:hAnsi="Sylfaen" w:cs="Sylfaen"/>
                <w:sz w:val="16"/>
              </w:rPr>
              <w:t>ბანაკის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ტექნიკის</w:t>
            </w:r>
            <w:r w:rsidRPr="00092B73">
              <w:rPr>
                <w:rFonts w:eastAsia="Sylfaen"/>
                <w:sz w:val="16"/>
              </w:rPr>
              <w:t xml:space="preserve"> </w:t>
            </w:r>
            <w:r w:rsidRPr="00092B73">
              <w:rPr>
                <w:rFonts w:ascii="Sylfaen" w:eastAsia="Sylfaen" w:hAnsi="Sylfaen" w:cs="Sylfaen"/>
                <w:sz w:val="16"/>
              </w:rPr>
              <w:t>განთავსების</w:t>
            </w:r>
            <w:r w:rsidRPr="00092B73">
              <w:rPr>
                <w:rFonts w:eastAsia="Sylfaen"/>
                <w:sz w:val="16"/>
              </w:rPr>
              <w:t xml:space="preserve"> </w:t>
            </w:r>
            <w:r w:rsidRPr="00092B73">
              <w:rPr>
                <w:rFonts w:ascii="Sylfaen" w:eastAsia="Sylfaen" w:hAnsi="Sylfaen" w:cs="Sylfaen"/>
                <w:sz w:val="16"/>
              </w:rPr>
              <w:t>მოედნების</w:t>
            </w:r>
            <w:r w:rsidRPr="00092B73">
              <w:rPr>
                <w:rFonts w:eastAsia="Sylfaen"/>
                <w:sz w:val="16"/>
              </w:rPr>
              <w:t xml:space="preserve"> </w:t>
            </w:r>
            <w:r w:rsidRPr="00092B73">
              <w:rPr>
                <w:rFonts w:ascii="Sylfaen" w:eastAsia="Sylfaen" w:hAnsi="Sylfaen" w:cs="Sylfaen"/>
                <w:sz w:val="16"/>
              </w:rPr>
              <w:t>მოწყობა</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ოპერირება</w:t>
            </w:r>
          </w:p>
        </w:tc>
        <w:tc>
          <w:tcPr>
            <w:tcW w:w="1788" w:type="dxa"/>
            <w:tcBorders>
              <w:top w:val="single" w:sz="6" w:space="0" w:color="000000"/>
              <w:left w:val="single" w:sz="6" w:space="0" w:color="000000"/>
              <w:bottom w:val="single" w:sz="6" w:space="0" w:color="000000"/>
              <w:right w:val="single" w:sz="6" w:space="0" w:color="000000"/>
            </w:tcBorders>
            <w:hideMark/>
          </w:tcPr>
          <w:p w14:paraId="26811A4D" w14:textId="77777777" w:rsidR="00092B73" w:rsidRPr="00092B73" w:rsidRDefault="00092B73" w:rsidP="000321C7">
            <w:pPr>
              <w:rPr>
                <w:rFonts w:eastAsia="Sylfaen"/>
                <w:sz w:val="16"/>
              </w:rPr>
            </w:pPr>
            <w:r w:rsidRPr="00092B73">
              <w:rPr>
                <w:rFonts w:ascii="Sylfaen" w:eastAsia="Sylfaen" w:hAnsi="Sylfaen" w:cs="Sylfaen"/>
                <w:sz w:val="16"/>
              </w:rPr>
              <w:t>ზემოქმედება</w:t>
            </w:r>
            <w:r w:rsidRPr="00092B73">
              <w:rPr>
                <w:rFonts w:eastAsia="Sylfaen"/>
                <w:sz w:val="16"/>
              </w:rPr>
              <w:t xml:space="preserve"> </w:t>
            </w:r>
            <w:r w:rsidRPr="00092B73">
              <w:rPr>
                <w:rFonts w:ascii="Sylfaen" w:eastAsia="Sylfaen" w:hAnsi="Sylfaen" w:cs="Sylfaen"/>
                <w:sz w:val="16"/>
              </w:rPr>
              <w:t>მცენარეულ</w:t>
            </w:r>
            <w:r w:rsidRPr="00092B73">
              <w:rPr>
                <w:rFonts w:eastAsia="Sylfaen"/>
                <w:sz w:val="16"/>
              </w:rPr>
              <w:t xml:space="preserve"> </w:t>
            </w:r>
            <w:r w:rsidRPr="00092B73">
              <w:rPr>
                <w:rFonts w:ascii="Sylfaen" w:eastAsia="Sylfaen" w:hAnsi="Sylfaen" w:cs="Sylfaen"/>
                <w:sz w:val="16"/>
              </w:rPr>
              <w:t>საფარზე</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მიწის</w:t>
            </w:r>
            <w:r w:rsidRPr="00092B73">
              <w:rPr>
                <w:rFonts w:eastAsia="Sylfaen"/>
                <w:sz w:val="16"/>
              </w:rPr>
              <w:t xml:space="preserve"> </w:t>
            </w:r>
            <w:r w:rsidRPr="00092B73">
              <w:rPr>
                <w:rFonts w:ascii="Sylfaen" w:eastAsia="Sylfaen" w:hAnsi="Sylfaen" w:cs="Sylfaen"/>
                <w:sz w:val="16"/>
              </w:rPr>
              <w:t>რესურსების</w:t>
            </w:r>
            <w:r w:rsidRPr="00092B73">
              <w:rPr>
                <w:rFonts w:eastAsia="Sylfaen"/>
                <w:sz w:val="16"/>
              </w:rPr>
              <w:t xml:space="preserve"> </w:t>
            </w:r>
            <w:r w:rsidRPr="00092B73">
              <w:rPr>
                <w:rFonts w:ascii="Sylfaen" w:eastAsia="Sylfaen" w:hAnsi="Sylfaen" w:cs="Sylfaen"/>
                <w:sz w:val="16"/>
              </w:rPr>
              <w:t>არაადექვატური</w:t>
            </w:r>
            <w:r w:rsidRPr="00092B73">
              <w:rPr>
                <w:rFonts w:eastAsia="Sylfaen"/>
                <w:sz w:val="16"/>
              </w:rPr>
              <w:t xml:space="preserve"> </w:t>
            </w:r>
            <w:r w:rsidRPr="00092B73">
              <w:rPr>
                <w:rFonts w:ascii="Sylfaen" w:eastAsia="Sylfaen" w:hAnsi="Sylfaen" w:cs="Sylfaen"/>
                <w:sz w:val="16"/>
              </w:rPr>
              <w:t>გამოყენება</w:t>
            </w:r>
          </w:p>
        </w:tc>
        <w:tc>
          <w:tcPr>
            <w:tcW w:w="6838" w:type="dxa"/>
            <w:tcBorders>
              <w:top w:val="single" w:sz="6" w:space="0" w:color="000000"/>
              <w:left w:val="single" w:sz="6" w:space="0" w:color="000000"/>
              <w:bottom w:val="single" w:sz="6" w:space="0" w:color="000000"/>
              <w:right w:val="single" w:sz="6" w:space="0" w:color="000000"/>
            </w:tcBorders>
            <w:hideMark/>
          </w:tcPr>
          <w:p w14:paraId="41DAC241" w14:textId="77777777" w:rsidR="00092B73" w:rsidRPr="00092B73" w:rsidRDefault="00092B73" w:rsidP="000321C7">
            <w:pPr>
              <w:rPr>
                <w:rFonts w:eastAsia="Sylfaen"/>
                <w:sz w:val="16"/>
              </w:rPr>
            </w:pPr>
            <w:r w:rsidRPr="00092B73">
              <w:rPr>
                <w:rFonts w:ascii="Sylfaen" w:eastAsia="Sylfaen" w:hAnsi="Sylfaen" w:cs="Sylfaen"/>
                <w:sz w:val="16"/>
              </w:rPr>
              <w:t>პროექტისთვის</w:t>
            </w:r>
            <w:r w:rsidRPr="00092B73">
              <w:rPr>
                <w:rFonts w:eastAsia="Sylfaen"/>
                <w:sz w:val="16"/>
              </w:rPr>
              <w:t xml:space="preserve"> </w:t>
            </w:r>
            <w:r w:rsidRPr="00092B73">
              <w:rPr>
                <w:rFonts w:ascii="Sylfaen" w:eastAsia="Sylfaen" w:hAnsi="Sylfaen" w:cs="Sylfaen"/>
                <w:sz w:val="16"/>
              </w:rPr>
              <w:t>განკუთვნილი</w:t>
            </w:r>
            <w:r w:rsidRPr="00092B73">
              <w:rPr>
                <w:rFonts w:eastAsia="Sylfaen"/>
                <w:sz w:val="16"/>
              </w:rPr>
              <w:t xml:space="preserve"> </w:t>
            </w:r>
            <w:r w:rsidRPr="00092B73">
              <w:rPr>
                <w:rFonts w:ascii="Sylfaen" w:eastAsia="Sylfaen" w:hAnsi="Sylfaen" w:cs="Sylfaen"/>
                <w:sz w:val="16"/>
              </w:rPr>
              <w:t>ტერიტორიის</w:t>
            </w:r>
            <w:r w:rsidRPr="00092B73">
              <w:rPr>
                <w:rFonts w:eastAsia="Sylfaen"/>
                <w:sz w:val="16"/>
              </w:rPr>
              <w:t xml:space="preserve"> </w:t>
            </w:r>
            <w:r w:rsidRPr="00092B73">
              <w:rPr>
                <w:rFonts w:ascii="Sylfaen" w:eastAsia="Sylfaen" w:hAnsi="Sylfaen" w:cs="Sylfaen"/>
                <w:sz w:val="16"/>
              </w:rPr>
              <w:t>საზღვრების</w:t>
            </w:r>
            <w:r w:rsidRPr="00092B73">
              <w:rPr>
                <w:rFonts w:eastAsia="Sylfaen"/>
                <w:sz w:val="16"/>
              </w:rPr>
              <w:t xml:space="preserve"> </w:t>
            </w:r>
            <w:r w:rsidRPr="00092B73">
              <w:rPr>
                <w:rFonts w:ascii="Sylfaen" w:eastAsia="Sylfaen" w:hAnsi="Sylfaen" w:cs="Sylfaen"/>
                <w:sz w:val="16"/>
              </w:rPr>
              <w:t>დაცვა</w:t>
            </w:r>
            <w:r w:rsidRPr="00092B73">
              <w:rPr>
                <w:rFonts w:eastAsia="Sylfaen"/>
                <w:sz w:val="16"/>
              </w:rPr>
              <w:t>.</w:t>
            </w:r>
          </w:p>
          <w:p w14:paraId="005B1FFE" w14:textId="77777777" w:rsidR="00092B73" w:rsidRPr="00092B73" w:rsidRDefault="00092B73" w:rsidP="000321C7">
            <w:pPr>
              <w:rPr>
                <w:rFonts w:eastAsia="Sylfaen"/>
                <w:sz w:val="16"/>
              </w:rPr>
            </w:pPr>
            <w:r w:rsidRPr="00092B73">
              <w:rPr>
                <w:rFonts w:ascii="Sylfaen" w:eastAsia="Sylfaen" w:hAnsi="Sylfaen" w:cs="Sylfaen"/>
                <w:sz w:val="16"/>
              </w:rPr>
              <w:t>სამშენებლო</w:t>
            </w:r>
            <w:r w:rsidRPr="00092B73">
              <w:rPr>
                <w:rFonts w:eastAsia="Sylfaen"/>
                <w:sz w:val="16"/>
              </w:rPr>
              <w:t xml:space="preserve"> </w:t>
            </w:r>
            <w:r w:rsidRPr="00092B73">
              <w:rPr>
                <w:rFonts w:ascii="Sylfaen" w:eastAsia="Sylfaen" w:hAnsi="Sylfaen" w:cs="Sylfaen"/>
                <w:sz w:val="16"/>
              </w:rPr>
              <w:t>ბანაკის</w:t>
            </w:r>
            <w:r w:rsidRPr="00092B73">
              <w:rPr>
                <w:rFonts w:eastAsia="Sylfaen"/>
                <w:sz w:val="16"/>
              </w:rPr>
              <w:t xml:space="preserve"> </w:t>
            </w:r>
            <w:r w:rsidRPr="00092B73">
              <w:rPr>
                <w:rFonts w:ascii="Sylfaen" w:eastAsia="Sylfaen" w:hAnsi="Sylfaen" w:cs="Sylfaen"/>
                <w:sz w:val="16"/>
              </w:rPr>
              <w:t>მოწყობა</w:t>
            </w:r>
            <w:r w:rsidRPr="00092B73">
              <w:rPr>
                <w:rFonts w:eastAsia="Sylfaen"/>
                <w:sz w:val="16"/>
              </w:rPr>
              <w:t xml:space="preserve"> </w:t>
            </w:r>
            <w:r w:rsidRPr="00092B73">
              <w:rPr>
                <w:rFonts w:ascii="Sylfaen" w:eastAsia="Sylfaen" w:hAnsi="Sylfaen" w:cs="Sylfaen"/>
                <w:sz w:val="16"/>
              </w:rPr>
              <w:t>გარემოსდაცვითი</w:t>
            </w:r>
            <w:r w:rsidRPr="00092B73">
              <w:rPr>
                <w:rFonts w:eastAsia="Sylfaen"/>
                <w:sz w:val="16"/>
              </w:rPr>
              <w:t xml:space="preserve"> </w:t>
            </w:r>
            <w:r w:rsidRPr="00092B73">
              <w:rPr>
                <w:rFonts w:ascii="Sylfaen" w:eastAsia="Sylfaen" w:hAnsi="Sylfaen" w:cs="Sylfaen"/>
                <w:sz w:val="16"/>
              </w:rPr>
              <w:t>მოთხოვნების</w:t>
            </w:r>
            <w:r w:rsidRPr="00092B73">
              <w:rPr>
                <w:rFonts w:eastAsia="Sylfaen"/>
                <w:sz w:val="16"/>
              </w:rPr>
              <w:t xml:space="preserve"> </w:t>
            </w:r>
            <w:r w:rsidRPr="00092B73">
              <w:rPr>
                <w:rFonts w:ascii="Sylfaen" w:eastAsia="Sylfaen" w:hAnsi="Sylfaen" w:cs="Sylfaen"/>
                <w:sz w:val="16"/>
              </w:rPr>
              <w:t>გათვალისწინებით</w:t>
            </w:r>
          </w:p>
          <w:p w14:paraId="42E707B9" w14:textId="77777777" w:rsidR="00092B73" w:rsidRPr="00092B73" w:rsidRDefault="00092B73" w:rsidP="000321C7">
            <w:pPr>
              <w:rPr>
                <w:rFonts w:eastAsia="Sylfaen"/>
                <w:sz w:val="16"/>
              </w:rPr>
            </w:pPr>
            <w:r w:rsidRPr="00092B73">
              <w:rPr>
                <w:rFonts w:ascii="Sylfaen" w:eastAsia="Sylfaen" w:hAnsi="Sylfaen" w:cs="Sylfaen"/>
                <w:sz w:val="16"/>
              </w:rPr>
              <w:t>სამუშაოს</w:t>
            </w:r>
            <w:r w:rsidRPr="00092B73">
              <w:rPr>
                <w:rFonts w:eastAsia="Sylfaen"/>
                <w:sz w:val="16"/>
              </w:rPr>
              <w:t xml:space="preserve"> </w:t>
            </w:r>
            <w:r w:rsidRPr="00092B73">
              <w:rPr>
                <w:rFonts w:ascii="Sylfaen" w:eastAsia="Sylfaen" w:hAnsi="Sylfaen" w:cs="Sylfaen"/>
                <w:sz w:val="16"/>
              </w:rPr>
              <w:t>დასრულების</w:t>
            </w:r>
            <w:r w:rsidRPr="00092B73">
              <w:rPr>
                <w:rFonts w:eastAsia="Sylfaen"/>
                <w:sz w:val="16"/>
              </w:rPr>
              <w:t xml:space="preserve"> </w:t>
            </w:r>
            <w:r w:rsidRPr="00092B73">
              <w:rPr>
                <w:rFonts w:ascii="Sylfaen" w:eastAsia="Sylfaen" w:hAnsi="Sylfaen" w:cs="Sylfaen"/>
                <w:sz w:val="16"/>
              </w:rPr>
              <w:t>შემდეგ</w:t>
            </w:r>
            <w:r w:rsidRPr="00092B73">
              <w:rPr>
                <w:rFonts w:eastAsia="Sylfaen"/>
                <w:sz w:val="16"/>
              </w:rPr>
              <w:t xml:space="preserve"> </w:t>
            </w:r>
            <w:r w:rsidRPr="00092B73">
              <w:rPr>
                <w:rFonts w:ascii="Sylfaen" w:eastAsia="Sylfaen" w:hAnsi="Sylfaen" w:cs="Sylfaen"/>
                <w:sz w:val="16"/>
              </w:rPr>
              <w:t>დროებითი</w:t>
            </w:r>
            <w:r w:rsidRPr="00092B73">
              <w:rPr>
                <w:rFonts w:eastAsia="Sylfaen"/>
                <w:sz w:val="16"/>
              </w:rPr>
              <w:t xml:space="preserve"> </w:t>
            </w:r>
            <w:r w:rsidRPr="00092B73">
              <w:rPr>
                <w:rFonts w:ascii="Sylfaen" w:eastAsia="Sylfaen" w:hAnsi="Sylfaen" w:cs="Sylfaen"/>
                <w:sz w:val="16"/>
              </w:rPr>
              <w:t>სარგებლობის</w:t>
            </w:r>
            <w:r w:rsidRPr="00092B73">
              <w:rPr>
                <w:rFonts w:eastAsia="Sylfaen"/>
                <w:sz w:val="16"/>
              </w:rPr>
              <w:t xml:space="preserve"> </w:t>
            </w:r>
            <w:r w:rsidRPr="00092B73">
              <w:rPr>
                <w:rFonts w:ascii="Sylfaen" w:eastAsia="Sylfaen" w:hAnsi="Sylfaen" w:cs="Sylfaen"/>
                <w:sz w:val="16"/>
              </w:rPr>
              <w:t>ტერიტორიების</w:t>
            </w:r>
            <w:r w:rsidRPr="00092B73">
              <w:rPr>
                <w:rFonts w:eastAsia="Sylfaen"/>
                <w:sz w:val="16"/>
              </w:rPr>
              <w:t xml:space="preserve"> </w:t>
            </w:r>
            <w:r w:rsidRPr="00092B73">
              <w:rPr>
                <w:rFonts w:ascii="Sylfaen" w:eastAsia="Sylfaen" w:hAnsi="Sylfaen" w:cs="Sylfaen"/>
                <w:sz w:val="16"/>
              </w:rPr>
              <w:t>საწყისთან</w:t>
            </w:r>
            <w:r w:rsidRPr="00092B73">
              <w:rPr>
                <w:rFonts w:eastAsia="Sylfaen"/>
                <w:sz w:val="16"/>
              </w:rPr>
              <w:t xml:space="preserve"> </w:t>
            </w:r>
            <w:r w:rsidRPr="00092B73">
              <w:rPr>
                <w:rFonts w:ascii="Sylfaen" w:eastAsia="Sylfaen" w:hAnsi="Sylfaen" w:cs="Sylfaen"/>
                <w:sz w:val="16"/>
              </w:rPr>
              <w:t>მიახლოებულ</w:t>
            </w:r>
            <w:r w:rsidRPr="00092B73">
              <w:rPr>
                <w:rFonts w:eastAsia="Sylfaen"/>
                <w:sz w:val="16"/>
              </w:rPr>
              <w:t xml:space="preserve"> </w:t>
            </w:r>
            <w:r w:rsidRPr="00092B73">
              <w:rPr>
                <w:rFonts w:ascii="Sylfaen" w:eastAsia="Sylfaen" w:hAnsi="Sylfaen" w:cs="Sylfaen"/>
                <w:sz w:val="16"/>
              </w:rPr>
              <w:t>მდგომარეობამდე</w:t>
            </w:r>
            <w:r w:rsidRPr="00092B73">
              <w:rPr>
                <w:rFonts w:eastAsia="Sylfaen"/>
                <w:sz w:val="16"/>
              </w:rPr>
              <w:t xml:space="preserve"> </w:t>
            </w:r>
            <w:r w:rsidRPr="00092B73">
              <w:rPr>
                <w:rFonts w:ascii="Sylfaen" w:eastAsia="Sylfaen" w:hAnsi="Sylfaen" w:cs="Sylfaen"/>
                <w:sz w:val="16"/>
              </w:rPr>
              <w:t>აღდგენა</w:t>
            </w:r>
            <w:r w:rsidRPr="00092B73">
              <w:rPr>
                <w:rFonts w:eastAsia="Sylfaen"/>
                <w:sz w:val="16"/>
              </w:rPr>
              <w:t xml:space="preserve">. </w:t>
            </w:r>
            <w:r w:rsidRPr="00092B73">
              <w:rPr>
                <w:rFonts w:ascii="Sylfaen" w:eastAsia="Sylfaen" w:hAnsi="Sylfaen" w:cs="Sylfaen"/>
                <w:sz w:val="16"/>
              </w:rPr>
              <w:t>ადგილობრივი</w:t>
            </w:r>
            <w:r w:rsidRPr="00092B73">
              <w:rPr>
                <w:rFonts w:eastAsia="Sylfaen"/>
                <w:sz w:val="16"/>
              </w:rPr>
              <w:t xml:space="preserve"> </w:t>
            </w:r>
            <w:r w:rsidRPr="00092B73">
              <w:rPr>
                <w:rFonts w:ascii="Sylfaen" w:eastAsia="Sylfaen" w:hAnsi="Sylfaen" w:cs="Sylfaen"/>
                <w:sz w:val="16"/>
              </w:rPr>
              <w:t>ხელისუფლების</w:t>
            </w:r>
            <w:r w:rsidRPr="00092B73">
              <w:rPr>
                <w:rFonts w:eastAsia="Sylfaen"/>
                <w:sz w:val="16"/>
              </w:rPr>
              <w:t xml:space="preserve"> </w:t>
            </w:r>
            <w:r w:rsidRPr="00092B73">
              <w:rPr>
                <w:rFonts w:ascii="Sylfaen" w:eastAsia="Sylfaen" w:hAnsi="Sylfaen" w:cs="Sylfaen"/>
                <w:sz w:val="16"/>
              </w:rPr>
              <w:t>თანხმობით</w:t>
            </w:r>
            <w:r w:rsidRPr="00092B73">
              <w:rPr>
                <w:rFonts w:eastAsia="Sylfaen"/>
                <w:sz w:val="16"/>
              </w:rPr>
              <w:t xml:space="preserve">, </w:t>
            </w:r>
            <w:r w:rsidRPr="00092B73">
              <w:rPr>
                <w:rFonts w:ascii="Sylfaen" w:eastAsia="Sylfaen" w:hAnsi="Sylfaen" w:cs="Sylfaen"/>
                <w:sz w:val="16"/>
              </w:rPr>
              <w:t>დროებითი</w:t>
            </w:r>
            <w:r w:rsidRPr="00092B73">
              <w:rPr>
                <w:rFonts w:eastAsia="Sylfaen"/>
                <w:sz w:val="16"/>
              </w:rPr>
              <w:t xml:space="preserve"> </w:t>
            </w:r>
            <w:r w:rsidRPr="00092B73">
              <w:rPr>
                <w:rFonts w:ascii="Sylfaen" w:eastAsia="Sylfaen" w:hAnsi="Sylfaen" w:cs="Sylfaen"/>
                <w:sz w:val="16"/>
              </w:rPr>
              <w:t>გზები</w:t>
            </w:r>
            <w:r w:rsidRPr="00092B73">
              <w:rPr>
                <w:rFonts w:eastAsia="Sylfaen"/>
                <w:sz w:val="16"/>
              </w:rPr>
              <w:t xml:space="preserve"> </w:t>
            </w:r>
            <w:r w:rsidRPr="00092B73">
              <w:rPr>
                <w:rFonts w:ascii="Sylfaen" w:eastAsia="Sylfaen" w:hAnsi="Sylfaen" w:cs="Sylfaen"/>
                <w:sz w:val="16"/>
              </w:rPr>
              <w:t>შეიძლება</w:t>
            </w:r>
            <w:r w:rsidRPr="00092B73">
              <w:rPr>
                <w:rFonts w:eastAsia="Sylfaen"/>
                <w:sz w:val="16"/>
              </w:rPr>
              <w:t xml:space="preserve"> </w:t>
            </w:r>
            <w:r w:rsidRPr="00092B73">
              <w:rPr>
                <w:rFonts w:ascii="Sylfaen" w:eastAsia="Sylfaen" w:hAnsi="Sylfaen" w:cs="Sylfaen"/>
                <w:sz w:val="16"/>
              </w:rPr>
              <w:t>დარჩეს</w:t>
            </w:r>
            <w:r w:rsidRPr="00092B73">
              <w:rPr>
                <w:rFonts w:eastAsia="Sylfaen"/>
                <w:sz w:val="16"/>
              </w:rPr>
              <w:t xml:space="preserve"> </w:t>
            </w:r>
            <w:r w:rsidRPr="00092B73">
              <w:rPr>
                <w:rFonts w:ascii="Sylfaen" w:eastAsia="Sylfaen" w:hAnsi="Sylfaen" w:cs="Sylfaen"/>
                <w:sz w:val="16"/>
              </w:rPr>
              <w:t>ადგილობრივი</w:t>
            </w:r>
            <w:r w:rsidRPr="00092B73">
              <w:rPr>
                <w:rFonts w:eastAsia="Sylfaen"/>
                <w:sz w:val="16"/>
              </w:rPr>
              <w:t xml:space="preserve"> </w:t>
            </w:r>
            <w:r w:rsidRPr="00092B73">
              <w:rPr>
                <w:rFonts w:ascii="Sylfaen" w:eastAsia="Sylfaen" w:hAnsi="Sylfaen" w:cs="Sylfaen"/>
                <w:sz w:val="16"/>
              </w:rPr>
              <w:t>თემების</w:t>
            </w:r>
            <w:r w:rsidRPr="00092B73">
              <w:rPr>
                <w:rFonts w:eastAsia="Sylfaen"/>
                <w:sz w:val="16"/>
              </w:rPr>
              <w:t xml:space="preserve"> </w:t>
            </w:r>
            <w:r w:rsidRPr="00092B73">
              <w:rPr>
                <w:rFonts w:ascii="Sylfaen" w:eastAsia="Sylfaen" w:hAnsi="Sylfaen" w:cs="Sylfaen"/>
                <w:sz w:val="16"/>
              </w:rPr>
              <w:t>სარგებლობაში</w:t>
            </w:r>
            <w:r w:rsidRPr="00092B73">
              <w:rPr>
                <w:rFonts w:eastAsia="Sylfaen"/>
                <w:sz w:val="16"/>
              </w:rPr>
              <w:t>.</w:t>
            </w:r>
          </w:p>
        </w:tc>
        <w:tc>
          <w:tcPr>
            <w:tcW w:w="2340" w:type="dxa"/>
            <w:tcBorders>
              <w:top w:val="single" w:sz="6" w:space="0" w:color="000000"/>
              <w:left w:val="single" w:sz="6" w:space="0" w:color="000000"/>
              <w:bottom w:val="single" w:sz="6" w:space="0" w:color="000000"/>
              <w:right w:val="single" w:sz="6" w:space="0" w:color="000000"/>
            </w:tcBorders>
            <w:hideMark/>
          </w:tcPr>
          <w:p w14:paraId="342023BE" w14:textId="77777777" w:rsidR="00092B73" w:rsidRPr="00092B73" w:rsidRDefault="00092B73" w:rsidP="000321C7">
            <w:pPr>
              <w:rPr>
                <w:rFonts w:eastAsia="Sylfaen"/>
                <w:sz w:val="16"/>
              </w:rPr>
            </w:pPr>
            <w:r w:rsidRPr="00092B73">
              <w:rPr>
                <w:rFonts w:ascii="Sylfaen" w:eastAsia="Sylfaen" w:hAnsi="Sylfaen" w:cs="Sylfaen"/>
                <w:sz w:val="16"/>
              </w:rPr>
              <w:t>მცენარეული</w:t>
            </w:r>
            <w:r w:rsidRPr="00092B73">
              <w:rPr>
                <w:rFonts w:eastAsia="Sylfaen"/>
                <w:sz w:val="16"/>
              </w:rPr>
              <w:t xml:space="preserve"> </w:t>
            </w:r>
            <w:r w:rsidRPr="00092B73">
              <w:rPr>
                <w:rFonts w:ascii="Sylfaen" w:eastAsia="Sylfaen" w:hAnsi="Sylfaen" w:cs="Sylfaen"/>
                <w:sz w:val="16"/>
              </w:rPr>
              <w:t>საფარის</w:t>
            </w:r>
            <w:r w:rsidRPr="00092B73">
              <w:rPr>
                <w:rFonts w:eastAsia="Sylfaen"/>
                <w:sz w:val="16"/>
              </w:rPr>
              <w:t xml:space="preserve"> </w:t>
            </w:r>
            <w:r w:rsidRPr="00092B73">
              <w:rPr>
                <w:rFonts w:ascii="Sylfaen" w:eastAsia="Sylfaen" w:hAnsi="Sylfaen" w:cs="Sylfaen"/>
                <w:sz w:val="16"/>
              </w:rPr>
              <w:t>აღდგენის</w:t>
            </w:r>
            <w:r w:rsidRPr="00092B73">
              <w:rPr>
                <w:rFonts w:eastAsia="Sylfaen"/>
                <w:sz w:val="16"/>
              </w:rPr>
              <w:t xml:space="preserve"> </w:t>
            </w:r>
            <w:r w:rsidRPr="00092B73">
              <w:rPr>
                <w:rFonts w:ascii="Sylfaen" w:eastAsia="Sylfaen" w:hAnsi="Sylfaen" w:cs="Sylfaen"/>
                <w:sz w:val="16"/>
              </w:rPr>
              <w:t>ღირებულება</w:t>
            </w:r>
            <w:r w:rsidRPr="00092B73">
              <w:rPr>
                <w:rFonts w:eastAsia="Sylfaen"/>
                <w:sz w:val="16"/>
              </w:rPr>
              <w:t xml:space="preserve"> </w:t>
            </w:r>
            <w:r w:rsidRPr="00092B73">
              <w:rPr>
                <w:rFonts w:ascii="Sylfaen" w:eastAsia="Sylfaen" w:hAnsi="Sylfaen" w:cs="Sylfaen"/>
                <w:sz w:val="16"/>
              </w:rPr>
              <w:t>დამოკიდებულია</w:t>
            </w:r>
            <w:r w:rsidRPr="00092B73">
              <w:rPr>
                <w:rFonts w:eastAsia="Sylfaen"/>
                <w:sz w:val="16"/>
              </w:rPr>
              <w:t xml:space="preserve"> </w:t>
            </w:r>
            <w:r w:rsidRPr="00092B73">
              <w:rPr>
                <w:rFonts w:ascii="Sylfaen" w:eastAsia="Sylfaen" w:hAnsi="Sylfaen" w:cs="Sylfaen"/>
                <w:sz w:val="16"/>
              </w:rPr>
              <w:t>ბანაკის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დამხმარე</w:t>
            </w:r>
            <w:r w:rsidRPr="00092B73">
              <w:rPr>
                <w:rFonts w:eastAsia="Sylfaen"/>
                <w:sz w:val="16"/>
              </w:rPr>
              <w:t xml:space="preserve"> </w:t>
            </w:r>
            <w:r w:rsidRPr="00092B73">
              <w:rPr>
                <w:rFonts w:ascii="Sylfaen" w:eastAsia="Sylfaen" w:hAnsi="Sylfaen" w:cs="Sylfaen"/>
                <w:sz w:val="16"/>
              </w:rPr>
              <w:t>ინფრასტრუქტურის</w:t>
            </w:r>
            <w:r w:rsidRPr="00092B73">
              <w:rPr>
                <w:rFonts w:eastAsia="Sylfaen"/>
                <w:sz w:val="16"/>
              </w:rPr>
              <w:t xml:space="preserve"> </w:t>
            </w:r>
            <w:r w:rsidRPr="00092B73">
              <w:rPr>
                <w:rFonts w:ascii="Sylfaen" w:eastAsia="Sylfaen" w:hAnsi="Sylfaen" w:cs="Sylfaen"/>
                <w:sz w:val="16"/>
              </w:rPr>
              <w:t>განთავსების</w:t>
            </w:r>
            <w:r w:rsidRPr="00092B73">
              <w:rPr>
                <w:rFonts w:eastAsia="Sylfaen"/>
                <w:sz w:val="16"/>
              </w:rPr>
              <w:t xml:space="preserve"> </w:t>
            </w:r>
            <w:r w:rsidRPr="00092B73">
              <w:rPr>
                <w:rFonts w:ascii="Sylfaen" w:eastAsia="Sylfaen" w:hAnsi="Sylfaen" w:cs="Sylfaen"/>
                <w:sz w:val="16"/>
              </w:rPr>
              <w:t>ადგილზე</w:t>
            </w:r>
            <w:r w:rsidRPr="00092B73">
              <w:rPr>
                <w:rFonts w:eastAsia="Sylfaen"/>
                <w:sz w:val="16"/>
              </w:rPr>
              <w:t xml:space="preserve">. </w:t>
            </w:r>
            <w:r w:rsidRPr="00092B73">
              <w:rPr>
                <w:rFonts w:ascii="Sylfaen" w:eastAsia="Sylfaen" w:hAnsi="Sylfaen" w:cs="Sylfaen"/>
                <w:sz w:val="16"/>
              </w:rPr>
              <w:t>ერთი</w:t>
            </w:r>
            <w:r w:rsidRPr="00092B73">
              <w:rPr>
                <w:rFonts w:eastAsia="Sylfaen"/>
                <w:sz w:val="16"/>
              </w:rPr>
              <w:t xml:space="preserve"> </w:t>
            </w:r>
            <w:r w:rsidRPr="00092B73">
              <w:rPr>
                <w:rFonts w:ascii="Sylfaen" w:eastAsia="Sylfaen" w:hAnsi="Sylfaen" w:cs="Sylfaen"/>
                <w:sz w:val="16"/>
              </w:rPr>
              <w:t>ხის</w:t>
            </w:r>
            <w:r w:rsidRPr="00092B73">
              <w:rPr>
                <w:rFonts w:eastAsia="Sylfaen"/>
                <w:sz w:val="16"/>
              </w:rPr>
              <w:t xml:space="preserve"> </w:t>
            </w:r>
            <w:r w:rsidRPr="00092B73">
              <w:rPr>
                <w:rFonts w:ascii="Sylfaen" w:eastAsia="Sylfaen" w:hAnsi="Sylfaen" w:cs="Sylfaen"/>
                <w:sz w:val="16"/>
              </w:rPr>
              <w:t>დარგვის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მოვლის</w:t>
            </w:r>
            <w:r w:rsidRPr="00092B73">
              <w:rPr>
                <w:rFonts w:eastAsia="Sylfaen"/>
                <w:sz w:val="16"/>
              </w:rPr>
              <w:t xml:space="preserve"> </w:t>
            </w:r>
            <w:r w:rsidRPr="00092B73">
              <w:rPr>
                <w:rFonts w:ascii="Sylfaen" w:eastAsia="Sylfaen" w:hAnsi="Sylfaen" w:cs="Sylfaen"/>
                <w:sz w:val="16"/>
              </w:rPr>
              <w:t>ღირებულება</w:t>
            </w:r>
            <w:r w:rsidRPr="00092B73">
              <w:rPr>
                <w:rFonts w:eastAsia="Sylfaen"/>
                <w:sz w:val="16"/>
              </w:rPr>
              <w:t xml:space="preserve"> </w:t>
            </w:r>
            <w:r w:rsidRPr="00092B73">
              <w:rPr>
                <w:rFonts w:ascii="Sylfaen" w:eastAsia="Sylfaen" w:hAnsi="Sylfaen" w:cs="Sylfaen"/>
                <w:sz w:val="16"/>
              </w:rPr>
              <w:t>განისაზღვრა</w:t>
            </w:r>
            <w:r w:rsidRPr="00092B73">
              <w:rPr>
                <w:rFonts w:eastAsia="Sylfaen"/>
                <w:sz w:val="16"/>
              </w:rPr>
              <w:t xml:space="preserve"> 7$</w:t>
            </w:r>
          </w:p>
        </w:tc>
        <w:tc>
          <w:tcPr>
            <w:tcW w:w="1204" w:type="dxa"/>
            <w:tcBorders>
              <w:top w:val="single" w:sz="6" w:space="0" w:color="000000"/>
              <w:left w:val="single" w:sz="6" w:space="0" w:color="000000"/>
              <w:bottom w:val="single" w:sz="6" w:space="0" w:color="000000"/>
              <w:right w:val="single" w:sz="6" w:space="0" w:color="000000"/>
            </w:tcBorders>
          </w:tcPr>
          <w:p w14:paraId="50080897" w14:textId="77777777" w:rsidR="00092B73" w:rsidRPr="00092B73" w:rsidRDefault="00092B73" w:rsidP="000321C7">
            <w:pPr>
              <w:rPr>
                <w:rFonts w:eastAsia="Sylfaen"/>
                <w:sz w:val="16"/>
              </w:rPr>
            </w:pPr>
            <w:r w:rsidRPr="00092B73">
              <w:rPr>
                <w:rFonts w:ascii="Sylfaen" w:eastAsia="Sylfaen" w:hAnsi="Sylfaen" w:cs="Sylfaen"/>
                <w:sz w:val="16"/>
              </w:rPr>
              <w:t>მშენებელი</w:t>
            </w:r>
            <w:r w:rsidRPr="00092B73">
              <w:rPr>
                <w:rFonts w:eastAsia="Sylfaen"/>
                <w:sz w:val="16"/>
              </w:rPr>
              <w:t xml:space="preserve"> </w:t>
            </w:r>
            <w:r w:rsidRPr="00092B73">
              <w:rPr>
                <w:rFonts w:ascii="Sylfaen" w:eastAsia="Sylfaen" w:hAnsi="Sylfaen" w:cs="Sylfaen"/>
                <w:sz w:val="16"/>
              </w:rPr>
              <w:t>კონტრაქტორი</w:t>
            </w:r>
          </w:p>
          <w:p w14:paraId="2EAC6DF0" w14:textId="0C9C6901" w:rsidR="00092B73" w:rsidRPr="00092B73" w:rsidRDefault="00092B73" w:rsidP="000321C7">
            <w:pPr>
              <w:rPr>
                <w:rFonts w:eastAsia="Sylfaen"/>
                <w:sz w:val="16"/>
              </w:rPr>
            </w:pPr>
          </w:p>
          <w:p w14:paraId="2802556D" w14:textId="77777777" w:rsidR="00092B73" w:rsidRPr="00092B73" w:rsidRDefault="00092B73" w:rsidP="000321C7">
            <w:pPr>
              <w:rPr>
                <w:rFonts w:eastAsia="Sylfaen"/>
                <w:sz w:val="16"/>
              </w:rPr>
            </w:pPr>
          </w:p>
          <w:p w14:paraId="7C93FAC7" w14:textId="77777777" w:rsidR="00092B73" w:rsidRPr="00092B73" w:rsidRDefault="00092B73" w:rsidP="000321C7">
            <w:pPr>
              <w:rPr>
                <w:rFonts w:eastAsia="Sylfaen"/>
                <w:sz w:val="16"/>
              </w:rPr>
            </w:pPr>
          </w:p>
          <w:p w14:paraId="5408AFBC" w14:textId="77777777" w:rsidR="00092B73" w:rsidRPr="00092B73" w:rsidRDefault="00092B73" w:rsidP="000321C7">
            <w:pPr>
              <w:rPr>
                <w:rFonts w:eastAsia="Sylfaen"/>
                <w:sz w:val="16"/>
              </w:rPr>
            </w:pPr>
          </w:p>
          <w:p w14:paraId="6C4A9A7B" w14:textId="77777777" w:rsidR="00092B73" w:rsidRPr="00092B73" w:rsidRDefault="00092B73" w:rsidP="000321C7">
            <w:pPr>
              <w:rPr>
                <w:rFonts w:eastAsia="Sylfaen"/>
                <w:sz w:val="16"/>
              </w:rPr>
            </w:pPr>
          </w:p>
          <w:p w14:paraId="05156310" w14:textId="77777777" w:rsidR="00092B73" w:rsidRPr="00092B73" w:rsidRDefault="00092B73" w:rsidP="000321C7">
            <w:pPr>
              <w:rPr>
                <w:rFonts w:eastAsia="Sylfaen"/>
                <w:sz w:val="16"/>
              </w:rPr>
            </w:pPr>
          </w:p>
          <w:p w14:paraId="20861263" w14:textId="77777777" w:rsidR="00092B73" w:rsidRPr="00092B73" w:rsidRDefault="00092B73" w:rsidP="000321C7">
            <w:pPr>
              <w:rPr>
                <w:rFonts w:eastAsia="Sylfaen"/>
                <w:sz w:val="16"/>
              </w:rPr>
            </w:pPr>
          </w:p>
          <w:p w14:paraId="527C34EF" w14:textId="77777777" w:rsidR="00092B73" w:rsidRPr="00092B73" w:rsidRDefault="00092B73" w:rsidP="000321C7">
            <w:pPr>
              <w:rPr>
                <w:rFonts w:eastAsia="Sylfaen"/>
                <w:sz w:val="16"/>
              </w:rPr>
            </w:pPr>
          </w:p>
          <w:p w14:paraId="02078DEB" w14:textId="77777777" w:rsidR="00092B73" w:rsidRPr="00092B73" w:rsidRDefault="00092B73" w:rsidP="000321C7">
            <w:pPr>
              <w:rPr>
                <w:rFonts w:eastAsia="Sylfaen"/>
                <w:sz w:val="16"/>
              </w:rPr>
            </w:pPr>
          </w:p>
          <w:p w14:paraId="76DC22B8" w14:textId="77777777" w:rsidR="00092B73" w:rsidRPr="00092B73" w:rsidRDefault="00092B73" w:rsidP="000321C7">
            <w:pPr>
              <w:rPr>
                <w:rFonts w:eastAsia="Sylfaen"/>
                <w:sz w:val="16"/>
              </w:rPr>
            </w:pPr>
          </w:p>
          <w:p w14:paraId="762CEF71" w14:textId="77777777" w:rsidR="00092B73" w:rsidRPr="00092B73" w:rsidRDefault="00092B73" w:rsidP="000321C7">
            <w:pPr>
              <w:rPr>
                <w:rFonts w:eastAsia="Sylfaen"/>
                <w:sz w:val="16"/>
              </w:rPr>
            </w:pPr>
          </w:p>
          <w:p w14:paraId="34EAC9E6" w14:textId="77777777" w:rsidR="00092B73" w:rsidRPr="00092B73" w:rsidRDefault="00092B73" w:rsidP="000321C7">
            <w:pPr>
              <w:rPr>
                <w:rFonts w:eastAsia="Sylfaen"/>
                <w:sz w:val="16"/>
              </w:rPr>
            </w:pPr>
          </w:p>
          <w:p w14:paraId="2E503C2C" w14:textId="77777777" w:rsidR="00092B73" w:rsidRPr="00092B73" w:rsidRDefault="00092B73" w:rsidP="000321C7">
            <w:pPr>
              <w:rPr>
                <w:rFonts w:eastAsia="Sylfaen"/>
                <w:sz w:val="16"/>
              </w:rPr>
            </w:pPr>
          </w:p>
        </w:tc>
        <w:tc>
          <w:tcPr>
            <w:tcW w:w="1574" w:type="dxa"/>
            <w:tcBorders>
              <w:top w:val="single" w:sz="6" w:space="0" w:color="000000"/>
              <w:left w:val="single" w:sz="6" w:space="0" w:color="000000"/>
              <w:bottom w:val="single" w:sz="6" w:space="0" w:color="000000"/>
              <w:right w:val="single" w:sz="6" w:space="0" w:color="000000"/>
            </w:tcBorders>
          </w:tcPr>
          <w:p w14:paraId="57211FA0" w14:textId="77777777" w:rsidR="00092B73" w:rsidRPr="00092B73" w:rsidRDefault="00092B73" w:rsidP="000321C7">
            <w:pPr>
              <w:rPr>
                <w:rFonts w:eastAsia="Sylfaen"/>
                <w:sz w:val="16"/>
                <w:lang w:val="ka-GE"/>
              </w:rPr>
            </w:pPr>
            <w:r w:rsidRPr="00092B73">
              <w:rPr>
                <w:rFonts w:ascii="Sylfaen" w:eastAsia="Sylfaen" w:hAnsi="Sylfaen" w:cs="Sylfaen"/>
                <w:sz w:val="16"/>
              </w:rPr>
              <w:t>საგზაო</w:t>
            </w:r>
            <w:r w:rsidRPr="00092B73">
              <w:rPr>
                <w:rFonts w:eastAsia="Sylfaen"/>
                <w:sz w:val="16"/>
              </w:rPr>
              <w:t xml:space="preserve"> </w:t>
            </w:r>
            <w:r w:rsidRPr="00092B73">
              <w:rPr>
                <w:rFonts w:ascii="Sylfaen" w:eastAsia="Sylfaen" w:hAnsi="Sylfaen" w:cs="Sylfaen"/>
                <w:sz w:val="16"/>
              </w:rPr>
              <w:t>დეპარტამენტი</w:t>
            </w:r>
          </w:p>
          <w:p w14:paraId="1F886D7F" w14:textId="20B12822" w:rsidR="00092B73" w:rsidRPr="00C6605E" w:rsidRDefault="00092B73" w:rsidP="000321C7">
            <w:pPr>
              <w:rPr>
                <w:rFonts w:eastAsia="Sylfaen"/>
                <w:sz w:val="16"/>
                <w:lang w:val="en-US"/>
              </w:rPr>
            </w:pPr>
            <w:r w:rsidRPr="00092B73">
              <w:rPr>
                <w:rFonts w:ascii="Sylfaen" w:eastAsia="Sylfaen" w:hAnsi="Sylfaen" w:cs="Sylfaen"/>
                <w:sz w:val="16"/>
              </w:rPr>
              <w:t>საზედამხედველო</w:t>
            </w:r>
            <w:r w:rsidRPr="00092B73">
              <w:rPr>
                <w:rFonts w:eastAsia="Sylfaen"/>
                <w:sz w:val="16"/>
              </w:rPr>
              <w:t xml:space="preserve"> </w:t>
            </w:r>
            <w:r w:rsidRPr="00092B73">
              <w:rPr>
                <w:rFonts w:ascii="Sylfaen" w:eastAsia="Sylfaen" w:hAnsi="Sylfaen" w:cs="Sylfaen"/>
                <w:sz w:val="16"/>
              </w:rPr>
              <w:t>კომპანია</w:t>
            </w:r>
          </w:p>
          <w:p w14:paraId="4FDD74E8" w14:textId="77777777" w:rsidR="00092B73" w:rsidRPr="00092B73" w:rsidRDefault="00092B73" w:rsidP="000321C7">
            <w:pPr>
              <w:rPr>
                <w:rFonts w:eastAsia="Sylfaen"/>
                <w:sz w:val="16"/>
              </w:rPr>
            </w:pPr>
          </w:p>
          <w:p w14:paraId="7DDAC4F7" w14:textId="77777777" w:rsidR="00092B73" w:rsidRPr="00092B73" w:rsidRDefault="00092B73" w:rsidP="000321C7">
            <w:pPr>
              <w:rPr>
                <w:rFonts w:eastAsia="Sylfaen"/>
                <w:sz w:val="16"/>
              </w:rPr>
            </w:pPr>
          </w:p>
          <w:p w14:paraId="4CC32C05" w14:textId="77777777" w:rsidR="00092B73" w:rsidRPr="00092B73" w:rsidRDefault="00092B73" w:rsidP="000321C7">
            <w:pPr>
              <w:rPr>
                <w:rFonts w:eastAsia="Sylfaen"/>
                <w:sz w:val="16"/>
              </w:rPr>
            </w:pPr>
          </w:p>
          <w:p w14:paraId="767C920E" w14:textId="77777777" w:rsidR="00092B73" w:rsidRPr="00092B73" w:rsidRDefault="00092B73" w:rsidP="000321C7">
            <w:pPr>
              <w:rPr>
                <w:rFonts w:eastAsia="Sylfaen"/>
                <w:sz w:val="16"/>
              </w:rPr>
            </w:pPr>
          </w:p>
          <w:p w14:paraId="23FC25EA" w14:textId="77777777" w:rsidR="00092B73" w:rsidRPr="00092B73" w:rsidRDefault="00092B73" w:rsidP="000321C7">
            <w:pPr>
              <w:rPr>
                <w:rFonts w:eastAsia="Sylfaen"/>
                <w:sz w:val="16"/>
              </w:rPr>
            </w:pPr>
          </w:p>
          <w:p w14:paraId="1B473B2E" w14:textId="77777777" w:rsidR="00092B73" w:rsidRPr="00092B73" w:rsidRDefault="00092B73" w:rsidP="000321C7">
            <w:pPr>
              <w:rPr>
                <w:rFonts w:eastAsia="Sylfaen"/>
                <w:sz w:val="16"/>
              </w:rPr>
            </w:pPr>
          </w:p>
          <w:p w14:paraId="16B61DE5" w14:textId="77777777" w:rsidR="00092B73" w:rsidRPr="00092B73" w:rsidRDefault="00092B73" w:rsidP="000321C7">
            <w:pPr>
              <w:rPr>
                <w:rFonts w:eastAsia="Sylfaen"/>
                <w:sz w:val="16"/>
              </w:rPr>
            </w:pPr>
          </w:p>
          <w:p w14:paraId="63A586EC" w14:textId="77777777" w:rsidR="00092B73" w:rsidRPr="00092B73" w:rsidRDefault="00092B73" w:rsidP="000321C7">
            <w:pPr>
              <w:rPr>
                <w:rFonts w:eastAsia="Sylfaen"/>
                <w:sz w:val="16"/>
              </w:rPr>
            </w:pPr>
          </w:p>
        </w:tc>
      </w:tr>
      <w:tr w:rsidR="00092B73" w:rsidRPr="00092B73" w14:paraId="01B691F0" w14:textId="77777777" w:rsidTr="00C6605E">
        <w:trPr>
          <w:gridAfter w:val="1"/>
          <w:wAfter w:w="12" w:type="dxa"/>
          <w:trHeight w:hRule="exact" w:val="8475"/>
        </w:trPr>
        <w:tc>
          <w:tcPr>
            <w:tcW w:w="1800" w:type="dxa"/>
            <w:tcBorders>
              <w:top w:val="single" w:sz="6" w:space="0" w:color="000000"/>
              <w:left w:val="single" w:sz="6" w:space="0" w:color="000000"/>
              <w:bottom w:val="single" w:sz="6" w:space="0" w:color="000000"/>
              <w:right w:val="single" w:sz="6" w:space="0" w:color="000000"/>
            </w:tcBorders>
            <w:hideMark/>
          </w:tcPr>
          <w:p w14:paraId="113BCCFB" w14:textId="77777777" w:rsidR="00092B73" w:rsidRPr="00092B73" w:rsidRDefault="00092B73" w:rsidP="000321C7">
            <w:pPr>
              <w:rPr>
                <w:sz w:val="16"/>
              </w:rPr>
            </w:pPr>
            <w:r w:rsidRPr="00092B73">
              <w:rPr>
                <w:rFonts w:ascii="Sylfaen" w:eastAsia="Sylfaen" w:hAnsi="Sylfaen" w:cs="Sylfaen"/>
                <w:sz w:val="16"/>
              </w:rPr>
              <w:lastRenderedPageBreak/>
              <w:t>ბანაკის</w:t>
            </w:r>
            <w:r w:rsidRPr="00092B73">
              <w:rPr>
                <w:rFonts w:eastAsia="Sylfaen"/>
                <w:sz w:val="16"/>
              </w:rPr>
              <w:t xml:space="preserve"> </w:t>
            </w:r>
            <w:r w:rsidRPr="00092B73">
              <w:rPr>
                <w:rFonts w:ascii="Sylfaen" w:eastAsia="Sylfaen" w:hAnsi="Sylfaen" w:cs="Sylfaen"/>
                <w:sz w:val="16"/>
              </w:rPr>
              <w:t>მოწყობა</w:t>
            </w:r>
          </w:p>
          <w:p w14:paraId="3E3365B1" w14:textId="77777777" w:rsidR="00092B73" w:rsidRPr="00092B73" w:rsidRDefault="00092B73" w:rsidP="000321C7">
            <w:pPr>
              <w:rPr>
                <w:rFonts w:eastAsia="Sylfaen"/>
                <w:sz w:val="16"/>
              </w:rPr>
            </w:pP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ოპერირება</w:t>
            </w:r>
          </w:p>
        </w:tc>
        <w:tc>
          <w:tcPr>
            <w:tcW w:w="1788" w:type="dxa"/>
            <w:tcBorders>
              <w:top w:val="single" w:sz="6" w:space="0" w:color="000000"/>
              <w:left w:val="single" w:sz="6" w:space="0" w:color="000000"/>
              <w:bottom w:val="single" w:sz="6" w:space="0" w:color="000000"/>
              <w:right w:val="single" w:sz="6" w:space="0" w:color="000000"/>
            </w:tcBorders>
            <w:hideMark/>
          </w:tcPr>
          <w:p w14:paraId="54D10D18" w14:textId="77777777" w:rsidR="00092B73" w:rsidRPr="00092B73" w:rsidRDefault="00092B73" w:rsidP="000321C7">
            <w:pPr>
              <w:rPr>
                <w:rFonts w:eastAsia="Sylfaen"/>
                <w:sz w:val="16"/>
              </w:rPr>
            </w:pPr>
            <w:r w:rsidRPr="00092B73">
              <w:rPr>
                <w:rFonts w:ascii="Sylfaen" w:eastAsia="Sylfaen" w:hAnsi="Sylfaen" w:cs="Sylfaen"/>
                <w:sz w:val="16"/>
              </w:rPr>
              <w:t>წყლის</w:t>
            </w:r>
            <w:r w:rsidRPr="00092B73">
              <w:rPr>
                <w:rFonts w:eastAsia="Sylfaen"/>
                <w:sz w:val="16"/>
              </w:rPr>
              <w:t xml:space="preserve"> </w:t>
            </w:r>
            <w:r w:rsidRPr="00092B73">
              <w:rPr>
                <w:rFonts w:ascii="Sylfaen" w:eastAsia="Sylfaen" w:hAnsi="Sylfaen" w:cs="Sylfaen"/>
                <w:sz w:val="16"/>
              </w:rPr>
              <w:t>და</w:t>
            </w:r>
          </w:p>
          <w:p w14:paraId="72F02ABB" w14:textId="77777777" w:rsidR="00092B73" w:rsidRPr="00092B73" w:rsidRDefault="00092B73" w:rsidP="000321C7">
            <w:pPr>
              <w:rPr>
                <w:rFonts w:eastAsia="Sylfaen"/>
                <w:sz w:val="16"/>
              </w:rPr>
            </w:pPr>
            <w:r w:rsidRPr="00092B73">
              <w:rPr>
                <w:rFonts w:ascii="Sylfaen" w:eastAsia="Sylfaen" w:hAnsi="Sylfaen" w:cs="Sylfaen"/>
                <w:sz w:val="16"/>
              </w:rPr>
              <w:t>ნიადაგის</w:t>
            </w:r>
          </w:p>
          <w:p w14:paraId="02A4400C" w14:textId="77777777" w:rsidR="00092B73" w:rsidRPr="00092B73" w:rsidRDefault="00092B73" w:rsidP="000321C7">
            <w:pPr>
              <w:rPr>
                <w:rFonts w:eastAsia="Sylfaen"/>
                <w:sz w:val="16"/>
              </w:rPr>
            </w:pPr>
            <w:r w:rsidRPr="00092B73">
              <w:rPr>
                <w:rFonts w:ascii="Sylfaen" w:eastAsia="Sylfaen" w:hAnsi="Sylfaen" w:cs="Sylfaen"/>
                <w:sz w:val="16"/>
              </w:rPr>
              <w:t>დაბინძურება</w:t>
            </w:r>
          </w:p>
          <w:p w14:paraId="7239C66D" w14:textId="77777777" w:rsidR="00092B73" w:rsidRPr="00092B73" w:rsidRDefault="00092B73" w:rsidP="000321C7">
            <w:pPr>
              <w:rPr>
                <w:rFonts w:eastAsia="Sylfaen"/>
                <w:sz w:val="16"/>
              </w:rPr>
            </w:pPr>
            <w:r w:rsidRPr="00092B73">
              <w:rPr>
                <w:rFonts w:ascii="Sylfaen" w:eastAsia="Sylfaen" w:hAnsi="Sylfaen" w:cs="Sylfaen"/>
                <w:sz w:val="16"/>
              </w:rPr>
              <w:t>დაღვრის</w:t>
            </w:r>
            <w:r w:rsidRPr="00092B73">
              <w:rPr>
                <w:rFonts w:eastAsia="Sylfaen"/>
                <w:sz w:val="16"/>
              </w:rPr>
              <w:t xml:space="preserve"> </w:t>
            </w:r>
            <w:r w:rsidRPr="00092B73">
              <w:rPr>
                <w:rFonts w:ascii="Sylfaen" w:eastAsia="Sylfaen" w:hAnsi="Sylfaen" w:cs="Sylfaen"/>
                <w:sz w:val="16"/>
              </w:rPr>
              <w:t>შედეგად</w:t>
            </w:r>
          </w:p>
        </w:tc>
        <w:tc>
          <w:tcPr>
            <w:tcW w:w="6838" w:type="dxa"/>
            <w:tcBorders>
              <w:top w:val="single" w:sz="6" w:space="0" w:color="000000"/>
              <w:left w:val="single" w:sz="6" w:space="0" w:color="000000"/>
              <w:bottom w:val="single" w:sz="6" w:space="0" w:color="000000"/>
              <w:right w:val="single" w:sz="6" w:space="0" w:color="000000"/>
            </w:tcBorders>
            <w:hideMark/>
          </w:tcPr>
          <w:p w14:paraId="2D7E3B0A" w14:textId="77777777" w:rsidR="00092B73" w:rsidRPr="00092B73" w:rsidRDefault="00092B73" w:rsidP="000321C7">
            <w:pPr>
              <w:rPr>
                <w:rFonts w:eastAsia="Sylfaen"/>
                <w:sz w:val="16"/>
              </w:rPr>
            </w:pPr>
            <w:r w:rsidRPr="00092B73">
              <w:rPr>
                <w:rFonts w:ascii="Sylfaen" w:eastAsia="Sylfaen" w:hAnsi="Sylfaen" w:cs="Sylfaen"/>
                <w:sz w:val="16"/>
              </w:rPr>
              <w:t>ჩამდინარე</w:t>
            </w:r>
            <w:r w:rsidRPr="00092B73">
              <w:rPr>
                <w:rFonts w:eastAsia="Sylfaen"/>
                <w:sz w:val="16"/>
              </w:rPr>
              <w:t xml:space="preserve">  </w:t>
            </w:r>
            <w:r w:rsidRPr="00092B73">
              <w:rPr>
                <w:rFonts w:ascii="Sylfaen" w:eastAsia="Sylfaen" w:hAnsi="Sylfaen" w:cs="Sylfaen"/>
                <w:sz w:val="16"/>
              </w:rPr>
              <w:t>წყლების</w:t>
            </w:r>
            <w:r w:rsidRPr="00092B73">
              <w:rPr>
                <w:rFonts w:eastAsia="Sylfaen"/>
                <w:sz w:val="16"/>
              </w:rPr>
              <w:t xml:space="preserve"> </w:t>
            </w:r>
            <w:r w:rsidRPr="00092B73">
              <w:rPr>
                <w:rFonts w:ascii="Sylfaen" w:eastAsia="Sylfaen" w:hAnsi="Sylfaen" w:cs="Sylfaen"/>
                <w:sz w:val="16"/>
              </w:rPr>
              <w:t>კონტროლი</w:t>
            </w:r>
            <w:r w:rsidRPr="00092B73">
              <w:rPr>
                <w:rFonts w:eastAsia="Sylfaen"/>
                <w:sz w:val="16"/>
              </w:rPr>
              <w:t xml:space="preserve"> </w:t>
            </w:r>
            <w:r w:rsidRPr="00092B73">
              <w:rPr>
                <w:rFonts w:ascii="Sylfaen" w:eastAsia="Sylfaen" w:hAnsi="Sylfaen" w:cs="Sylfaen"/>
                <w:sz w:val="16"/>
              </w:rPr>
              <w:t>ჩამდინარე</w:t>
            </w:r>
            <w:r w:rsidRPr="00092B73">
              <w:rPr>
                <w:rFonts w:eastAsia="Sylfaen"/>
                <w:sz w:val="16"/>
              </w:rPr>
              <w:t xml:space="preserve"> </w:t>
            </w:r>
            <w:r w:rsidRPr="00092B73">
              <w:rPr>
                <w:rFonts w:ascii="Sylfaen" w:eastAsia="Sylfaen" w:hAnsi="Sylfaen" w:cs="Sylfaen"/>
                <w:sz w:val="16"/>
              </w:rPr>
              <w:t>წყალი</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შეგროვდეს</w:t>
            </w:r>
            <w:r w:rsidRPr="00092B73">
              <w:rPr>
                <w:rFonts w:eastAsia="Sylfaen"/>
                <w:sz w:val="16"/>
              </w:rPr>
              <w:t xml:space="preserve"> </w:t>
            </w:r>
            <w:r w:rsidRPr="00092B73">
              <w:rPr>
                <w:rFonts w:ascii="Sylfaen" w:eastAsia="Sylfaen" w:hAnsi="Sylfaen" w:cs="Sylfaen"/>
                <w:sz w:val="16"/>
              </w:rPr>
              <w:t>სეპტიკურ</w:t>
            </w:r>
            <w:r w:rsidRPr="00092B73">
              <w:rPr>
                <w:rFonts w:eastAsia="Sylfaen"/>
                <w:sz w:val="16"/>
              </w:rPr>
              <w:t xml:space="preserve"> </w:t>
            </w:r>
            <w:r w:rsidRPr="00092B73">
              <w:rPr>
                <w:rFonts w:ascii="Sylfaen" w:eastAsia="Sylfaen" w:hAnsi="Sylfaen" w:cs="Sylfaen"/>
                <w:sz w:val="16"/>
              </w:rPr>
              <w:t>ორმოში</w:t>
            </w:r>
            <w:r w:rsidRPr="00092B73">
              <w:rPr>
                <w:rFonts w:eastAsia="Sylfaen"/>
                <w:sz w:val="16"/>
              </w:rPr>
              <w:t xml:space="preserve"> </w:t>
            </w:r>
            <w:r w:rsidRPr="00092B73">
              <w:rPr>
                <w:rFonts w:ascii="Sylfaen" w:eastAsia="Sylfaen" w:hAnsi="Sylfaen" w:cs="Sylfaen"/>
                <w:sz w:val="16"/>
              </w:rPr>
              <w:t>ორმო</w:t>
            </w:r>
            <w:r w:rsidRPr="00092B73">
              <w:rPr>
                <w:rFonts w:eastAsia="Sylfaen"/>
                <w:sz w:val="16"/>
              </w:rPr>
              <w:t xml:space="preserve"> </w:t>
            </w:r>
            <w:r w:rsidRPr="00092B73">
              <w:rPr>
                <w:rFonts w:ascii="Sylfaen" w:eastAsia="Sylfaen" w:hAnsi="Sylfaen" w:cs="Sylfaen"/>
                <w:sz w:val="16"/>
              </w:rPr>
              <w:t>პერიოდულად</w:t>
            </w:r>
            <w:r w:rsidRPr="00092B73">
              <w:rPr>
                <w:rFonts w:eastAsia="Sylfaen"/>
                <w:sz w:val="16"/>
              </w:rPr>
              <w:t xml:space="preserve"> </w:t>
            </w:r>
            <w:r w:rsidRPr="00092B73">
              <w:rPr>
                <w:rFonts w:ascii="Sylfaen" w:eastAsia="Sylfaen" w:hAnsi="Sylfaen" w:cs="Sylfaen"/>
                <w:sz w:val="16"/>
              </w:rPr>
              <w:t>დაიცლება</w:t>
            </w:r>
            <w:r w:rsidRPr="00092B73">
              <w:rPr>
                <w:rFonts w:eastAsia="Sylfaen"/>
                <w:sz w:val="16"/>
              </w:rPr>
              <w:t xml:space="preserve"> </w:t>
            </w:r>
            <w:r w:rsidRPr="00092B73">
              <w:rPr>
                <w:rFonts w:ascii="Sylfaen" w:eastAsia="Sylfaen" w:hAnsi="Sylfaen" w:cs="Sylfaen"/>
                <w:sz w:val="16"/>
              </w:rPr>
              <w:t>ადგილობრივ</w:t>
            </w:r>
            <w:r w:rsidRPr="00092B73">
              <w:rPr>
                <w:rFonts w:eastAsia="Sylfaen"/>
                <w:sz w:val="16"/>
              </w:rPr>
              <w:t xml:space="preserve"> </w:t>
            </w:r>
            <w:r w:rsidRPr="00092B73">
              <w:rPr>
                <w:rFonts w:ascii="Sylfaen" w:eastAsia="Sylfaen" w:hAnsi="Sylfaen" w:cs="Sylfaen"/>
                <w:sz w:val="16"/>
              </w:rPr>
              <w:t>მუნიციპალიტატთან</w:t>
            </w:r>
            <w:r w:rsidRPr="00092B73">
              <w:rPr>
                <w:rFonts w:eastAsia="Sylfaen"/>
                <w:sz w:val="16"/>
              </w:rPr>
              <w:t xml:space="preserve"> </w:t>
            </w:r>
            <w:r w:rsidRPr="00092B73">
              <w:rPr>
                <w:rFonts w:ascii="Sylfaen" w:eastAsia="Sylfaen" w:hAnsi="Sylfaen" w:cs="Sylfaen"/>
                <w:sz w:val="16"/>
              </w:rPr>
              <w:t>დადებული</w:t>
            </w:r>
            <w:r w:rsidRPr="00092B73">
              <w:rPr>
                <w:rFonts w:eastAsia="Sylfaen"/>
                <w:sz w:val="16"/>
              </w:rPr>
              <w:t xml:space="preserve"> </w:t>
            </w:r>
            <w:r w:rsidRPr="00092B73">
              <w:rPr>
                <w:rFonts w:ascii="Sylfaen" w:eastAsia="Sylfaen" w:hAnsi="Sylfaen" w:cs="Sylfaen"/>
                <w:sz w:val="16"/>
              </w:rPr>
              <w:t>შეთანხმე</w:t>
            </w:r>
            <w:r w:rsidRPr="00092B73">
              <w:rPr>
                <w:rFonts w:eastAsia="Sylfaen"/>
                <w:sz w:val="16"/>
              </w:rPr>
              <w:t xml:space="preserve"> </w:t>
            </w:r>
            <w:r w:rsidRPr="00092B73">
              <w:rPr>
                <w:rFonts w:ascii="Sylfaen" w:eastAsia="Sylfaen" w:hAnsi="Sylfaen" w:cs="Sylfaen"/>
                <w:sz w:val="16"/>
              </w:rPr>
              <w:t>ბით</w:t>
            </w:r>
            <w:r w:rsidRPr="00092B73">
              <w:rPr>
                <w:rFonts w:eastAsia="Sylfaen"/>
                <w:sz w:val="16"/>
              </w:rPr>
              <w:t xml:space="preserve"> </w:t>
            </w:r>
            <w:r w:rsidRPr="00092B73">
              <w:rPr>
                <w:rFonts w:ascii="Sylfaen" w:eastAsia="Sylfaen" w:hAnsi="Sylfaen" w:cs="Sylfaen"/>
                <w:sz w:val="16"/>
              </w:rPr>
              <w:t>უახლოეს</w:t>
            </w:r>
            <w:r w:rsidRPr="00092B73">
              <w:rPr>
                <w:rFonts w:eastAsia="Sylfaen"/>
                <w:sz w:val="16"/>
              </w:rPr>
              <w:t xml:space="preserve"> </w:t>
            </w:r>
            <w:r w:rsidRPr="00092B73">
              <w:rPr>
                <w:rFonts w:ascii="Sylfaen" w:eastAsia="Sylfaen" w:hAnsi="Sylfaen" w:cs="Sylfaen"/>
                <w:sz w:val="16"/>
              </w:rPr>
              <w:t>გამწმენდზე</w:t>
            </w:r>
            <w:r w:rsidRPr="00092B73">
              <w:rPr>
                <w:rFonts w:eastAsia="Sylfaen"/>
                <w:sz w:val="16"/>
              </w:rPr>
              <w:t xml:space="preserve"> </w:t>
            </w:r>
            <w:r w:rsidRPr="00092B73">
              <w:rPr>
                <w:rFonts w:ascii="Sylfaen" w:eastAsia="Sylfaen" w:hAnsi="Sylfaen" w:cs="Sylfaen"/>
                <w:sz w:val="16"/>
              </w:rPr>
              <w:t>გატანით</w:t>
            </w:r>
            <w:r w:rsidRPr="00092B73">
              <w:rPr>
                <w:rFonts w:eastAsia="Sylfaen"/>
                <w:sz w:val="16"/>
              </w:rPr>
              <w:t>).</w:t>
            </w:r>
          </w:p>
          <w:p w14:paraId="5EABA75A" w14:textId="77777777" w:rsidR="00092B73" w:rsidRPr="00092B73" w:rsidRDefault="00092B73" w:rsidP="000321C7">
            <w:pPr>
              <w:rPr>
                <w:rFonts w:eastAsia="Sylfaen"/>
                <w:sz w:val="16"/>
              </w:rPr>
            </w:pPr>
            <w:r w:rsidRPr="00092B73">
              <w:rPr>
                <w:rFonts w:ascii="Sylfaen" w:eastAsia="Sylfaen" w:hAnsi="Sylfaen" w:cs="Sylfaen"/>
                <w:sz w:val="16"/>
              </w:rPr>
              <w:t>საწვავის</w:t>
            </w:r>
            <w:r w:rsidRPr="00092B73">
              <w:rPr>
                <w:rFonts w:eastAsia="Sylfaen"/>
                <w:sz w:val="16"/>
              </w:rPr>
              <w:t>/</w:t>
            </w:r>
            <w:r w:rsidRPr="00092B73">
              <w:rPr>
                <w:rFonts w:ascii="Sylfaen" w:eastAsia="Sylfaen" w:hAnsi="Sylfaen" w:cs="Sylfaen"/>
                <w:sz w:val="16"/>
              </w:rPr>
              <w:t>ზეთის</w:t>
            </w:r>
            <w:r w:rsidRPr="00092B73">
              <w:rPr>
                <w:rFonts w:eastAsia="Sylfaen"/>
                <w:sz w:val="16"/>
              </w:rPr>
              <w:t xml:space="preserve"> </w:t>
            </w:r>
            <w:r w:rsidRPr="00092B73">
              <w:rPr>
                <w:rFonts w:ascii="Sylfaen" w:eastAsia="Sylfaen" w:hAnsi="Sylfaen" w:cs="Sylfaen"/>
                <w:sz w:val="16"/>
              </w:rPr>
              <w:t>ავზი</w:t>
            </w:r>
            <w:r w:rsidRPr="00092B73">
              <w:rPr>
                <w:rFonts w:eastAsia="Sylfaen"/>
                <w:sz w:val="16"/>
              </w:rPr>
              <w:t xml:space="preserve"> </w:t>
            </w:r>
            <w:r w:rsidRPr="00092B73">
              <w:rPr>
                <w:rFonts w:ascii="Sylfaen" w:eastAsia="Sylfaen" w:hAnsi="Sylfaen" w:cs="Sylfaen"/>
                <w:sz w:val="16"/>
              </w:rPr>
              <w:t>დაცული</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იყოს</w:t>
            </w:r>
            <w:r w:rsidRPr="00092B73">
              <w:rPr>
                <w:rFonts w:eastAsia="Sylfaen"/>
                <w:sz w:val="16"/>
              </w:rPr>
              <w:t xml:space="preserve"> </w:t>
            </w:r>
            <w:r w:rsidRPr="00092B73">
              <w:rPr>
                <w:rFonts w:ascii="Sylfaen" w:eastAsia="Sylfaen" w:hAnsi="Sylfaen" w:cs="Sylfaen"/>
                <w:sz w:val="16"/>
              </w:rPr>
              <w:t>წყალგაუმტარი</w:t>
            </w:r>
            <w:r w:rsidRPr="00092B73">
              <w:rPr>
                <w:rFonts w:eastAsia="Sylfaen"/>
                <w:sz w:val="16"/>
              </w:rPr>
              <w:t xml:space="preserve"> </w:t>
            </w:r>
            <w:r w:rsidRPr="00092B73">
              <w:rPr>
                <w:rFonts w:ascii="Sylfaen" w:eastAsia="Sylfaen" w:hAnsi="Sylfaen" w:cs="Sylfaen"/>
                <w:sz w:val="16"/>
              </w:rPr>
              <w:t>მეორადი</w:t>
            </w:r>
            <w:r w:rsidRPr="00092B73">
              <w:rPr>
                <w:rFonts w:eastAsia="Sylfaen"/>
                <w:sz w:val="16"/>
              </w:rPr>
              <w:t xml:space="preserve"> </w:t>
            </w:r>
            <w:r w:rsidRPr="00092B73">
              <w:rPr>
                <w:rFonts w:ascii="Sylfaen" w:eastAsia="Sylfaen" w:hAnsi="Sylfaen" w:cs="Sylfaen"/>
                <w:sz w:val="16"/>
              </w:rPr>
              <w:t>შემოღობვით</w:t>
            </w:r>
            <w:r w:rsidRPr="00092B73">
              <w:rPr>
                <w:rFonts w:eastAsia="Sylfaen"/>
                <w:sz w:val="16"/>
              </w:rPr>
              <w:t xml:space="preserve"> (</w:t>
            </w:r>
            <w:r w:rsidRPr="00092B73">
              <w:rPr>
                <w:rFonts w:ascii="Sylfaen" w:eastAsia="Sylfaen" w:hAnsi="Sylfaen" w:cs="Sylfaen"/>
                <w:sz w:val="16"/>
              </w:rPr>
              <w:t>მაგ</w:t>
            </w:r>
            <w:r w:rsidRPr="00092B73">
              <w:rPr>
                <w:rFonts w:eastAsia="Sylfaen"/>
                <w:sz w:val="16"/>
              </w:rPr>
              <w:t xml:space="preserve">. </w:t>
            </w:r>
            <w:r w:rsidRPr="00092B73">
              <w:rPr>
                <w:rFonts w:ascii="Sylfaen" w:eastAsia="Sylfaen" w:hAnsi="Sylfaen" w:cs="Sylfaen"/>
                <w:sz w:val="16"/>
              </w:rPr>
              <w:t>თიხის</w:t>
            </w:r>
            <w:r w:rsidRPr="00092B73">
              <w:rPr>
                <w:rFonts w:eastAsia="Sylfaen"/>
                <w:sz w:val="16"/>
              </w:rPr>
              <w:t xml:space="preserve"> </w:t>
            </w:r>
            <w:r w:rsidRPr="00092B73">
              <w:rPr>
                <w:rFonts w:ascii="Sylfaen" w:eastAsia="Sylfaen" w:hAnsi="Sylfaen" w:cs="Sylfaen"/>
                <w:sz w:val="16"/>
              </w:rPr>
              <w:t>მერმით</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ჰქონდეს</w:t>
            </w:r>
            <w:r w:rsidRPr="00092B73">
              <w:rPr>
                <w:rFonts w:eastAsia="Sylfaen"/>
                <w:sz w:val="16"/>
              </w:rPr>
              <w:t xml:space="preserve"> </w:t>
            </w:r>
            <w:r w:rsidRPr="00092B73">
              <w:rPr>
                <w:rFonts w:ascii="Sylfaen" w:eastAsia="Sylfaen" w:hAnsi="Sylfaen" w:cs="Sylfaen"/>
                <w:sz w:val="16"/>
              </w:rPr>
              <w:t>გაუმტარი</w:t>
            </w:r>
            <w:r w:rsidRPr="00092B73">
              <w:rPr>
                <w:rFonts w:eastAsia="Sylfaen"/>
                <w:sz w:val="16"/>
              </w:rPr>
              <w:t xml:space="preserve"> </w:t>
            </w:r>
            <w:r w:rsidRPr="00092B73">
              <w:rPr>
                <w:rFonts w:ascii="Sylfaen" w:eastAsia="Sylfaen" w:hAnsi="Sylfaen" w:cs="Sylfaen"/>
                <w:sz w:val="16"/>
              </w:rPr>
              <w:t>საფარი</w:t>
            </w:r>
            <w:r w:rsidRPr="00092B73">
              <w:rPr>
                <w:rFonts w:eastAsia="Sylfaen"/>
                <w:sz w:val="16"/>
              </w:rPr>
              <w:t xml:space="preserve">. </w:t>
            </w:r>
            <w:r w:rsidRPr="00092B73">
              <w:rPr>
                <w:rFonts w:ascii="Sylfaen" w:eastAsia="Sylfaen" w:hAnsi="Sylfaen" w:cs="Sylfaen"/>
                <w:sz w:val="16"/>
              </w:rPr>
              <w:t>საცავი</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განთავსდეს</w:t>
            </w:r>
            <w:r w:rsidRPr="00092B73">
              <w:rPr>
                <w:rFonts w:eastAsia="Sylfaen"/>
                <w:sz w:val="16"/>
              </w:rPr>
              <w:t xml:space="preserve"> </w:t>
            </w:r>
            <w:r w:rsidRPr="00092B73">
              <w:rPr>
                <w:rFonts w:ascii="Sylfaen" w:eastAsia="Sylfaen" w:hAnsi="Sylfaen" w:cs="Sylfaen"/>
                <w:sz w:val="16"/>
              </w:rPr>
              <w:t>წყლის</w:t>
            </w:r>
            <w:r w:rsidRPr="00092B73">
              <w:rPr>
                <w:rFonts w:eastAsia="Sylfaen"/>
                <w:sz w:val="16"/>
              </w:rPr>
              <w:t xml:space="preserve"> </w:t>
            </w:r>
            <w:r w:rsidRPr="00092B73">
              <w:rPr>
                <w:rFonts w:ascii="Sylfaen" w:eastAsia="Sylfaen" w:hAnsi="Sylfaen" w:cs="Sylfaen"/>
                <w:sz w:val="16"/>
              </w:rPr>
              <w:t>ობიექტიდან</w:t>
            </w:r>
            <w:r w:rsidRPr="00092B73">
              <w:rPr>
                <w:rFonts w:eastAsia="Sylfaen"/>
                <w:sz w:val="16"/>
              </w:rPr>
              <w:t xml:space="preserve"> 100</w:t>
            </w:r>
            <w:r w:rsidRPr="00092B73">
              <w:rPr>
                <w:rFonts w:ascii="Sylfaen" w:eastAsia="Sylfaen" w:hAnsi="Sylfaen" w:cs="Sylfaen"/>
                <w:sz w:val="16"/>
              </w:rPr>
              <w:t>მ</w:t>
            </w:r>
            <w:r w:rsidRPr="00092B73">
              <w:rPr>
                <w:rFonts w:eastAsia="Sylfaen"/>
                <w:sz w:val="16"/>
              </w:rPr>
              <w:t>-</w:t>
            </w:r>
            <w:r w:rsidRPr="00092B73">
              <w:rPr>
                <w:rFonts w:ascii="Sylfaen" w:eastAsia="Sylfaen" w:hAnsi="Sylfaen" w:cs="Sylfaen"/>
                <w:sz w:val="16"/>
              </w:rPr>
              <w:t>ზე</w:t>
            </w:r>
            <w:r w:rsidRPr="00092B73">
              <w:rPr>
                <w:rFonts w:eastAsia="Sylfaen"/>
                <w:sz w:val="16"/>
              </w:rPr>
              <w:t xml:space="preserve"> </w:t>
            </w:r>
            <w:r w:rsidRPr="00092B73">
              <w:rPr>
                <w:rFonts w:ascii="Sylfaen" w:eastAsia="Sylfaen" w:hAnsi="Sylfaen" w:cs="Sylfaen"/>
                <w:sz w:val="16"/>
              </w:rPr>
              <w:t>ნაკლები</w:t>
            </w:r>
            <w:r w:rsidRPr="00092B73">
              <w:rPr>
                <w:rFonts w:eastAsia="Sylfaen"/>
                <w:sz w:val="16"/>
              </w:rPr>
              <w:t xml:space="preserve"> </w:t>
            </w:r>
            <w:r w:rsidRPr="00092B73">
              <w:rPr>
                <w:rFonts w:ascii="Sylfaen" w:eastAsia="Sylfaen" w:hAnsi="Sylfaen" w:cs="Sylfaen"/>
                <w:sz w:val="16"/>
              </w:rPr>
              <w:t>მანძილზე</w:t>
            </w:r>
            <w:r w:rsidRPr="00092B73">
              <w:rPr>
                <w:rFonts w:eastAsia="Sylfaen"/>
                <w:sz w:val="16"/>
              </w:rPr>
              <w:t xml:space="preserve">. </w:t>
            </w:r>
            <w:r w:rsidRPr="00092B73">
              <w:rPr>
                <w:rFonts w:ascii="Sylfaen" w:eastAsia="Sylfaen" w:hAnsi="Sylfaen" w:cs="Sylfaen"/>
                <w:sz w:val="16"/>
              </w:rPr>
              <w:t>დაღვრილი</w:t>
            </w:r>
            <w:r w:rsidRPr="00092B73">
              <w:rPr>
                <w:rFonts w:eastAsia="Sylfaen"/>
                <w:sz w:val="16"/>
              </w:rPr>
              <w:t xml:space="preserve">  </w:t>
            </w:r>
            <w:r w:rsidRPr="00092B73">
              <w:rPr>
                <w:rFonts w:ascii="Sylfaen" w:eastAsia="Sylfaen" w:hAnsi="Sylfaen" w:cs="Sylfaen"/>
                <w:sz w:val="16"/>
              </w:rPr>
              <w:t>ნივთიერება</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შეკავდეს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გაიწმინდოს</w:t>
            </w:r>
            <w:r w:rsidRPr="00092B73">
              <w:rPr>
                <w:rFonts w:eastAsia="Sylfaen"/>
                <w:sz w:val="16"/>
              </w:rPr>
              <w:t xml:space="preserve"> </w:t>
            </w:r>
            <w:r w:rsidRPr="00092B73">
              <w:rPr>
                <w:rFonts w:ascii="Sylfaen" w:eastAsia="Sylfaen" w:hAnsi="Sylfaen" w:cs="Sylfaen"/>
                <w:sz w:val="16"/>
              </w:rPr>
              <w:t>აბსორბენტის</w:t>
            </w:r>
            <w:r w:rsidRPr="00092B73">
              <w:rPr>
                <w:rFonts w:eastAsia="Sylfaen"/>
                <w:sz w:val="16"/>
              </w:rPr>
              <w:t xml:space="preserve"> </w:t>
            </w:r>
            <w:r w:rsidRPr="00092B73">
              <w:rPr>
                <w:rFonts w:ascii="Sylfaen" w:eastAsia="Sylfaen" w:hAnsi="Sylfaen" w:cs="Sylfaen"/>
                <w:sz w:val="16"/>
              </w:rPr>
              <w:t>გამოყენებით</w:t>
            </w:r>
            <w:r w:rsidRPr="00092B73">
              <w:rPr>
                <w:rFonts w:eastAsia="Sylfaen"/>
                <w:sz w:val="16"/>
              </w:rPr>
              <w:t>.</w:t>
            </w:r>
          </w:p>
          <w:p w14:paraId="7A4014CA" w14:textId="77777777" w:rsidR="00092B73" w:rsidRPr="00092B73" w:rsidRDefault="00092B73" w:rsidP="000321C7">
            <w:pPr>
              <w:rPr>
                <w:rFonts w:eastAsia="Sylfaen"/>
                <w:sz w:val="16"/>
              </w:rPr>
            </w:pPr>
            <w:r w:rsidRPr="00092B73">
              <w:rPr>
                <w:rFonts w:ascii="Sylfaen" w:eastAsia="Sylfaen" w:hAnsi="Sylfaen" w:cs="Sylfaen"/>
                <w:sz w:val="16"/>
              </w:rPr>
              <w:t>ადგილზე</w:t>
            </w:r>
            <w:r w:rsidRPr="00092B73">
              <w:rPr>
                <w:rFonts w:eastAsia="Sylfaen"/>
                <w:sz w:val="16"/>
              </w:rPr>
              <w:t xml:space="preserve"> </w:t>
            </w:r>
            <w:r w:rsidRPr="00092B73">
              <w:rPr>
                <w:rFonts w:ascii="Sylfaen" w:eastAsia="Sylfaen" w:hAnsi="Sylfaen" w:cs="Sylfaen"/>
                <w:sz w:val="16"/>
              </w:rPr>
              <w:t>საწვავით</w:t>
            </w:r>
            <w:r w:rsidRPr="00092B73">
              <w:rPr>
                <w:rFonts w:eastAsia="Sylfaen"/>
                <w:sz w:val="16"/>
              </w:rPr>
              <w:t xml:space="preserve"> </w:t>
            </w:r>
            <w:r w:rsidRPr="00092B73">
              <w:rPr>
                <w:rFonts w:ascii="Sylfaen" w:eastAsia="Sylfaen" w:hAnsi="Sylfaen" w:cs="Sylfaen"/>
                <w:sz w:val="16"/>
              </w:rPr>
              <w:t>გამართვა</w:t>
            </w:r>
            <w:r w:rsidRPr="00092B73">
              <w:rPr>
                <w:rFonts w:eastAsia="Sylfaen"/>
                <w:sz w:val="16"/>
              </w:rPr>
              <w:t xml:space="preserve"> </w:t>
            </w:r>
            <w:r w:rsidRPr="00092B73">
              <w:rPr>
                <w:rFonts w:ascii="Sylfaen" w:eastAsia="Sylfaen" w:hAnsi="Sylfaen" w:cs="Sylfaen"/>
                <w:sz w:val="16"/>
              </w:rPr>
              <w:t>არასასურველი</w:t>
            </w:r>
            <w:r w:rsidRPr="00092B73">
              <w:rPr>
                <w:rFonts w:eastAsia="Sylfaen"/>
                <w:sz w:val="16"/>
              </w:rPr>
              <w:t xml:space="preserve">. </w:t>
            </w:r>
            <w:r w:rsidRPr="00092B73">
              <w:rPr>
                <w:rFonts w:ascii="Sylfaen" w:eastAsia="Sylfaen" w:hAnsi="Sylfaen" w:cs="Sylfaen"/>
                <w:sz w:val="16"/>
              </w:rPr>
              <w:t>თუ</w:t>
            </w:r>
            <w:r w:rsidRPr="00092B73">
              <w:rPr>
                <w:rFonts w:eastAsia="Sylfaen"/>
                <w:sz w:val="16"/>
              </w:rPr>
              <w:t xml:space="preserve"> </w:t>
            </w:r>
            <w:r w:rsidRPr="00092B73">
              <w:rPr>
                <w:rFonts w:ascii="Sylfaen" w:eastAsia="Sylfaen" w:hAnsi="Sylfaen" w:cs="Sylfaen"/>
                <w:sz w:val="16"/>
              </w:rPr>
              <w:t>აუცილებელი</w:t>
            </w:r>
            <w:r w:rsidRPr="00092B73">
              <w:rPr>
                <w:rFonts w:eastAsia="Sylfaen"/>
                <w:sz w:val="16"/>
              </w:rPr>
              <w:t xml:space="preserve"> </w:t>
            </w:r>
            <w:r w:rsidRPr="00092B73">
              <w:rPr>
                <w:rFonts w:ascii="Sylfaen" w:eastAsia="Sylfaen" w:hAnsi="Sylfaen" w:cs="Sylfaen"/>
                <w:sz w:val="16"/>
              </w:rPr>
              <w:t>ეს</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მოხდეს</w:t>
            </w:r>
            <w:r w:rsidRPr="00092B73">
              <w:rPr>
                <w:rFonts w:eastAsia="Sylfaen"/>
                <w:sz w:val="16"/>
              </w:rPr>
              <w:t xml:space="preserve"> </w:t>
            </w:r>
            <w:r w:rsidRPr="00092B73">
              <w:rPr>
                <w:rFonts w:ascii="Sylfaen" w:eastAsia="Sylfaen" w:hAnsi="Sylfaen" w:cs="Sylfaen"/>
                <w:sz w:val="16"/>
              </w:rPr>
              <w:t>სპეციალურად</w:t>
            </w:r>
            <w:r w:rsidRPr="00092B73">
              <w:rPr>
                <w:rFonts w:eastAsia="Sylfaen"/>
                <w:sz w:val="16"/>
              </w:rPr>
              <w:t xml:space="preserve">  </w:t>
            </w:r>
            <w:r w:rsidRPr="00092B73">
              <w:rPr>
                <w:rFonts w:ascii="Sylfaen" w:eastAsia="Sylfaen" w:hAnsi="Sylfaen" w:cs="Sylfaen"/>
                <w:sz w:val="16"/>
              </w:rPr>
              <w:t>მოწყობილ</w:t>
            </w:r>
            <w:r w:rsidRPr="00092B73">
              <w:rPr>
                <w:rFonts w:eastAsia="Sylfaen"/>
                <w:sz w:val="16"/>
              </w:rPr>
              <w:t xml:space="preserve">  </w:t>
            </w:r>
            <w:r w:rsidRPr="00092B73">
              <w:rPr>
                <w:rFonts w:ascii="Sylfaen" w:eastAsia="Sylfaen" w:hAnsi="Sylfaen" w:cs="Sylfaen"/>
                <w:sz w:val="16"/>
              </w:rPr>
              <w:t>უბანზე</w:t>
            </w:r>
            <w:r w:rsidRPr="00092B73">
              <w:rPr>
                <w:rFonts w:eastAsia="Sylfaen"/>
                <w:sz w:val="16"/>
              </w:rPr>
              <w:t xml:space="preserve">  (</w:t>
            </w:r>
            <w:r w:rsidRPr="00092B73">
              <w:rPr>
                <w:rFonts w:ascii="Sylfaen" w:eastAsia="Sylfaen" w:hAnsi="Sylfaen" w:cs="Sylfaen"/>
                <w:sz w:val="16"/>
              </w:rPr>
              <w:t>დაბინძურებისგან</w:t>
            </w:r>
            <w:r w:rsidRPr="00092B73">
              <w:rPr>
                <w:rFonts w:eastAsia="Sylfaen"/>
                <w:sz w:val="16"/>
              </w:rPr>
              <w:t xml:space="preserve"> </w:t>
            </w:r>
            <w:r w:rsidRPr="00092B73">
              <w:rPr>
                <w:rFonts w:ascii="Sylfaen" w:eastAsia="Sylfaen" w:hAnsi="Sylfaen" w:cs="Sylfaen"/>
                <w:sz w:val="16"/>
              </w:rPr>
              <w:t>დაცვის</w:t>
            </w:r>
            <w:r w:rsidRPr="00092B73">
              <w:rPr>
                <w:rFonts w:eastAsia="Sylfaen"/>
                <w:sz w:val="16"/>
              </w:rPr>
              <w:t xml:space="preserve"> </w:t>
            </w:r>
            <w:r w:rsidRPr="00092B73">
              <w:rPr>
                <w:rFonts w:ascii="Sylfaen" w:eastAsia="Sylfaen" w:hAnsi="Sylfaen" w:cs="Sylfaen"/>
                <w:sz w:val="16"/>
              </w:rPr>
              <w:t>გეგმის</w:t>
            </w:r>
            <w:r w:rsidRPr="00092B73">
              <w:rPr>
                <w:rFonts w:eastAsia="Sylfaen"/>
                <w:sz w:val="16"/>
              </w:rPr>
              <w:t xml:space="preserve"> </w:t>
            </w:r>
            <w:r w:rsidRPr="00092B73">
              <w:rPr>
                <w:rFonts w:ascii="Sylfaen" w:eastAsia="Sylfaen" w:hAnsi="Sylfaen" w:cs="Sylfaen"/>
                <w:sz w:val="16"/>
              </w:rPr>
              <w:t>შესაბამისად</w:t>
            </w:r>
            <w:r w:rsidRPr="00092B73">
              <w:rPr>
                <w:rFonts w:eastAsia="Sylfaen"/>
                <w:sz w:val="16"/>
              </w:rPr>
              <w:t xml:space="preserve">) </w:t>
            </w:r>
            <w:r w:rsidRPr="00092B73">
              <w:rPr>
                <w:rFonts w:ascii="Sylfaen" w:eastAsia="Sylfaen" w:hAnsi="Sylfaen" w:cs="Sylfaen"/>
                <w:sz w:val="16"/>
              </w:rPr>
              <w:t>ტერიტორია</w:t>
            </w:r>
            <w:r w:rsidRPr="00092B73">
              <w:rPr>
                <w:rFonts w:eastAsia="Sylfaen"/>
                <w:sz w:val="16"/>
              </w:rPr>
              <w:t xml:space="preserve"> </w:t>
            </w:r>
            <w:r w:rsidRPr="00092B73">
              <w:rPr>
                <w:rFonts w:ascii="Sylfaen" w:eastAsia="Sylfaen" w:hAnsi="Sylfaen" w:cs="Sylfaen"/>
                <w:sz w:val="16"/>
              </w:rPr>
              <w:t>მოშორებით</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იყოს</w:t>
            </w:r>
            <w:r w:rsidRPr="00092B73">
              <w:rPr>
                <w:rFonts w:eastAsia="Sylfaen"/>
                <w:sz w:val="16"/>
              </w:rPr>
              <w:t xml:space="preserve"> </w:t>
            </w:r>
            <w:r w:rsidRPr="00092B73">
              <w:rPr>
                <w:rFonts w:ascii="Sylfaen" w:eastAsia="Sylfaen" w:hAnsi="Sylfaen" w:cs="Sylfaen"/>
                <w:sz w:val="16"/>
              </w:rPr>
              <w:t>არხების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მდინარეებისგან</w:t>
            </w:r>
            <w:r w:rsidRPr="00092B73">
              <w:rPr>
                <w:rFonts w:eastAsia="Sylfaen"/>
                <w:sz w:val="16"/>
              </w:rPr>
              <w:t>.</w:t>
            </w:r>
          </w:p>
          <w:p w14:paraId="076A7535" w14:textId="77777777" w:rsidR="00092B73" w:rsidRPr="00092B73" w:rsidRDefault="00092B73" w:rsidP="000321C7">
            <w:pPr>
              <w:rPr>
                <w:rFonts w:eastAsia="Sylfaen"/>
                <w:sz w:val="16"/>
              </w:rPr>
            </w:pP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ტარდებოდეს</w:t>
            </w:r>
            <w:r w:rsidRPr="00092B73">
              <w:rPr>
                <w:rFonts w:eastAsia="Sylfaen"/>
                <w:sz w:val="16"/>
              </w:rPr>
              <w:t xml:space="preserve">   </w:t>
            </w:r>
            <w:r w:rsidRPr="00092B73">
              <w:rPr>
                <w:rFonts w:ascii="Sylfaen" w:eastAsia="Sylfaen" w:hAnsi="Sylfaen" w:cs="Sylfaen"/>
                <w:sz w:val="16"/>
              </w:rPr>
              <w:t>მანქანების</w:t>
            </w:r>
            <w:r w:rsidRPr="00092B73">
              <w:rPr>
                <w:rFonts w:eastAsia="Sylfaen"/>
                <w:sz w:val="16"/>
              </w:rPr>
              <w:t xml:space="preserve">   </w:t>
            </w:r>
            <w:r w:rsidRPr="00092B73">
              <w:rPr>
                <w:rFonts w:ascii="Sylfaen" w:eastAsia="Sylfaen" w:hAnsi="Sylfaen" w:cs="Sylfaen"/>
                <w:sz w:val="16"/>
              </w:rPr>
              <w:t>ტექნიკური</w:t>
            </w:r>
            <w:r w:rsidRPr="00092B73">
              <w:rPr>
                <w:rFonts w:eastAsia="Sylfaen"/>
                <w:sz w:val="16"/>
              </w:rPr>
              <w:t xml:space="preserve"> </w:t>
            </w:r>
            <w:r w:rsidRPr="00092B73">
              <w:rPr>
                <w:rFonts w:ascii="Sylfaen" w:eastAsia="Sylfaen" w:hAnsi="Sylfaen" w:cs="Sylfaen"/>
                <w:sz w:val="16"/>
              </w:rPr>
              <w:t>მდგომარეობის</w:t>
            </w:r>
            <w:r w:rsidRPr="00092B73">
              <w:rPr>
                <w:rFonts w:eastAsia="Sylfaen"/>
                <w:sz w:val="16"/>
              </w:rPr>
              <w:tab/>
            </w:r>
            <w:r w:rsidRPr="00092B73">
              <w:rPr>
                <w:rFonts w:ascii="Sylfaen" w:eastAsia="Sylfaen" w:hAnsi="Sylfaen" w:cs="Sylfaen"/>
                <w:sz w:val="16"/>
              </w:rPr>
              <w:t>კონტროლი</w:t>
            </w:r>
            <w:r w:rsidRPr="00092B73">
              <w:rPr>
                <w:rFonts w:eastAsia="Sylfaen"/>
                <w:sz w:val="16"/>
              </w:rPr>
              <w:t xml:space="preserve"> </w:t>
            </w:r>
            <w:r w:rsidRPr="00092B73">
              <w:rPr>
                <w:rFonts w:ascii="Sylfaen" w:eastAsia="Sylfaen" w:hAnsi="Sylfaen" w:cs="Sylfaen"/>
                <w:sz w:val="16"/>
              </w:rPr>
              <w:t>გაჟონვის</w:t>
            </w:r>
            <w:r w:rsidRPr="00092B73">
              <w:rPr>
                <w:rFonts w:eastAsia="Sylfaen"/>
                <w:sz w:val="16"/>
              </w:rPr>
              <w:t xml:space="preserve"> </w:t>
            </w:r>
            <w:r w:rsidRPr="00092B73">
              <w:rPr>
                <w:rFonts w:ascii="Sylfaen" w:eastAsia="Sylfaen" w:hAnsi="Sylfaen" w:cs="Sylfaen"/>
                <w:sz w:val="16"/>
              </w:rPr>
              <w:t>დადგენის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დაზიენბის</w:t>
            </w:r>
            <w:r w:rsidRPr="00092B73">
              <w:rPr>
                <w:rFonts w:eastAsia="Sylfaen"/>
                <w:sz w:val="16"/>
              </w:rPr>
              <w:t xml:space="preserve">  </w:t>
            </w:r>
            <w:r w:rsidRPr="00092B73">
              <w:rPr>
                <w:rFonts w:ascii="Sylfaen" w:eastAsia="Sylfaen" w:hAnsi="Sylfaen" w:cs="Sylfaen"/>
                <w:sz w:val="16"/>
              </w:rPr>
              <w:t>დრიულად</w:t>
            </w:r>
            <w:r w:rsidRPr="00092B73">
              <w:rPr>
                <w:rFonts w:eastAsia="Sylfaen"/>
                <w:sz w:val="16"/>
              </w:rPr>
              <w:t xml:space="preserve">  </w:t>
            </w:r>
            <w:r w:rsidRPr="00092B73">
              <w:rPr>
                <w:rFonts w:ascii="Sylfaen" w:eastAsia="Sylfaen" w:hAnsi="Sylfaen" w:cs="Sylfaen"/>
                <w:sz w:val="16"/>
              </w:rPr>
              <w:t>შესაკეთებლად</w:t>
            </w:r>
            <w:r w:rsidRPr="00092B73">
              <w:rPr>
                <w:rFonts w:eastAsia="Sylfaen"/>
                <w:sz w:val="16"/>
              </w:rPr>
              <w:t xml:space="preserve">. </w:t>
            </w:r>
            <w:r w:rsidRPr="00092B73">
              <w:rPr>
                <w:rFonts w:ascii="Sylfaen" w:eastAsia="Sylfaen" w:hAnsi="Sylfaen" w:cs="Sylfaen"/>
                <w:sz w:val="16"/>
              </w:rPr>
              <w:t>დაზიანებული</w:t>
            </w:r>
            <w:r w:rsidRPr="00092B73">
              <w:rPr>
                <w:rFonts w:eastAsia="Sylfaen"/>
                <w:sz w:val="16"/>
              </w:rPr>
              <w:t xml:space="preserve"> </w:t>
            </w:r>
            <w:r w:rsidRPr="00092B73">
              <w:rPr>
                <w:rFonts w:ascii="Sylfaen" w:eastAsia="Sylfaen" w:hAnsi="Sylfaen" w:cs="Sylfaen"/>
                <w:sz w:val="16"/>
              </w:rPr>
              <w:t>მანქანები</w:t>
            </w:r>
            <w:r w:rsidRPr="00092B73">
              <w:rPr>
                <w:rFonts w:eastAsia="Sylfaen"/>
                <w:sz w:val="16"/>
              </w:rPr>
              <w:t xml:space="preserve"> </w:t>
            </w:r>
            <w:r w:rsidRPr="00092B73">
              <w:rPr>
                <w:rFonts w:ascii="Sylfaen" w:eastAsia="Sylfaen" w:hAnsi="Sylfaen" w:cs="Sylfaen"/>
                <w:sz w:val="16"/>
              </w:rPr>
              <w:t>ტერიტორიაზე</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დაიშვება</w:t>
            </w:r>
            <w:r w:rsidRPr="00092B73">
              <w:rPr>
                <w:rFonts w:eastAsia="Sylfaen"/>
                <w:sz w:val="16"/>
              </w:rPr>
              <w:t>.</w:t>
            </w:r>
          </w:p>
          <w:p w14:paraId="1A1F346B" w14:textId="77777777" w:rsidR="00092B73" w:rsidRPr="00092B73" w:rsidRDefault="00092B73" w:rsidP="000321C7">
            <w:pPr>
              <w:rPr>
                <w:rFonts w:eastAsia="Sylfaen"/>
                <w:sz w:val="16"/>
              </w:rPr>
            </w:pP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არსებობდეს</w:t>
            </w:r>
            <w:r w:rsidRPr="00092B73">
              <w:rPr>
                <w:rFonts w:eastAsia="Sylfaen"/>
                <w:sz w:val="16"/>
              </w:rPr>
              <w:t xml:space="preserve"> </w:t>
            </w:r>
            <w:r w:rsidRPr="00092B73">
              <w:rPr>
                <w:rFonts w:ascii="Sylfaen" w:eastAsia="Sylfaen" w:hAnsi="Sylfaen" w:cs="Sylfaen"/>
                <w:sz w:val="16"/>
              </w:rPr>
              <w:t>აბსორბენტი</w:t>
            </w:r>
            <w:r w:rsidRPr="00092B73">
              <w:rPr>
                <w:rFonts w:eastAsia="Sylfaen"/>
                <w:sz w:val="16"/>
              </w:rPr>
              <w:t xml:space="preserve">, </w:t>
            </w:r>
            <w:r w:rsidRPr="00092B73">
              <w:rPr>
                <w:rFonts w:ascii="Sylfaen" w:eastAsia="Sylfaen" w:hAnsi="Sylfaen" w:cs="Sylfaen"/>
                <w:sz w:val="16"/>
              </w:rPr>
              <w:t>ნაწვეთის</w:t>
            </w:r>
            <w:r w:rsidRPr="00092B73">
              <w:rPr>
                <w:rFonts w:eastAsia="Sylfaen"/>
                <w:sz w:val="16"/>
              </w:rPr>
              <w:t xml:space="preserve"> </w:t>
            </w:r>
            <w:r w:rsidRPr="00092B73">
              <w:rPr>
                <w:rFonts w:ascii="Sylfaen" w:eastAsia="Sylfaen" w:hAnsi="Sylfaen" w:cs="Sylfaen"/>
                <w:sz w:val="16"/>
              </w:rPr>
              <w:t>შემკრები</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სხვა</w:t>
            </w:r>
            <w:r w:rsidRPr="00092B73">
              <w:rPr>
                <w:rFonts w:eastAsia="Sylfaen"/>
                <w:sz w:val="16"/>
              </w:rPr>
              <w:t xml:space="preserve"> </w:t>
            </w:r>
            <w:r w:rsidRPr="00092B73">
              <w:rPr>
                <w:rFonts w:ascii="Sylfaen" w:eastAsia="Sylfaen" w:hAnsi="Sylfaen" w:cs="Sylfaen"/>
                <w:sz w:val="16"/>
              </w:rPr>
              <w:t>მასალები</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საშუალებები</w:t>
            </w:r>
            <w:r w:rsidRPr="00092B73">
              <w:rPr>
                <w:rFonts w:eastAsia="Sylfaen"/>
                <w:sz w:val="16"/>
              </w:rPr>
              <w:t xml:space="preserve">. </w:t>
            </w:r>
            <w:r w:rsidRPr="00092B73">
              <w:rPr>
                <w:rFonts w:ascii="Sylfaen" w:eastAsia="Sylfaen" w:hAnsi="Sylfaen" w:cs="Sylfaen"/>
                <w:sz w:val="16"/>
              </w:rPr>
              <w:t>მცირე</w:t>
            </w:r>
            <w:r w:rsidRPr="00092B73">
              <w:rPr>
                <w:rFonts w:eastAsia="Sylfaen"/>
                <w:sz w:val="16"/>
              </w:rPr>
              <w:t xml:space="preserve">  </w:t>
            </w:r>
            <w:r w:rsidRPr="00092B73">
              <w:rPr>
                <w:rFonts w:ascii="Sylfaen" w:eastAsia="Sylfaen" w:hAnsi="Sylfaen" w:cs="Sylfaen"/>
                <w:sz w:val="16"/>
              </w:rPr>
              <w:t>დაღვრის</w:t>
            </w:r>
            <w:r w:rsidRPr="00092B73">
              <w:rPr>
                <w:rFonts w:eastAsia="Sylfaen"/>
                <w:sz w:val="16"/>
              </w:rPr>
              <w:t xml:space="preserve">  </w:t>
            </w:r>
            <w:r w:rsidRPr="00092B73">
              <w:rPr>
                <w:rFonts w:ascii="Sylfaen" w:eastAsia="Sylfaen" w:hAnsi="Sylfaen" w:cs="Sylfaen"/>
                <w:sz w:val="16"/>
              </w:rPr>
              <w:t>შემთხვევაში</w:t>
            </w:r>
            <w:r w:rsidRPr="00092B73">
              <w:rPr>
                <w:rFonts w:eastAsia="Sylfaen"/>
                <w:sz w:val="16"/>
              </w:rPr>
              <w:t xml:space="preserve">  </w:t>
            </w:r>
            <w:r w:rsidRPr="00092B73">
              <w:rPr>
                <w:rFonts w:ascii="Sylfaen" w:eastAsia="Sylfaen" w:hAnsi="Sylfaen" w:cs="Sylfaen"/>
                <w:sz w:val="16"/>
              </w:rPr>
              <w:t>გამოყენებული</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იყოს</w:t>
            </w:r>
            <w:r w:rsidRPr="00092B73">
              <w:rPr>
                <w:rFonts w:eastAsia="Sylfaen"/>
                <w:sz w:val="16"/>
              </w:rPr>
              <w:t xml:space="preserve"> </w:t>
            </w:r>
            <w:r w:rsidRPr="00092B73">
              <w:rPr>
                <w:rFonts w:ascii="Sylfaen" w:eastAsia="Sylfaen" w:hAnsi="Sylfaen" w:cs="Sylfaen"/>
                <w:sz w:val="16"/>
              </w:rPr>
              <w:t>აბსორბენტი</w:t>
            </w:r>
            <w:r w:rsidRPr="00092B73">
              <w:rPr>
                <w:rFonts w:eastAsia="Sylfaen"/>
                <w:sz w:val="16"/>
              </w:rPr>
              <w:t>.</w:t>
            </w:r>
          </w:p>
          <w:p w14:paraId="3A2AAF42" w14:textId="77777777" w:rsidR="00092B73" w:rsidRPr="00092B73" w:rsidRDefault="00092B73" w:rsidP="000321C7">
            <w:pPr>
              <w:rPr>
                <w:rFonts w:eastAsia="Sylfaen"/>
                <w:sz w:val="16"/>
              </w:rPr>
            </w:pPr>
            <w:r w:rsidRPr="00092B73">
              <w:rPr>
                <w:rFonts w:ascii="Sylfaen" w:eastAsia="Sylfaen" w:hAnsi="Sylfaen" w:cs="Sylfaen"/>
                <w:sz w:val="16"/>
              </w:rPr>
              <w:t>მასალა</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ნარჩენები</w:t>
            </w:r>
            <w:r w:rsidRPr="00092B73">
              <w:rPr>
                <w:rFonts w:eastAsia="Sylfaen"/>
                <w:sz w:val="16"/>
              </w:rPr>
              <w:t xml:space="preserve"> </w:t>
            </w:r>
            <w:r w:rsidRPr="00092B73">
              <w:rPr>
                <w:rFonts w:ascii="Sylfaen" w:eastAsia="Sylfaen" w:hAnsi="Sylfaen" w:cs="Sylfaen"/>
                <w:sz w:val="16"/>
              </w:rPr>
              <w:t>ისე</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დასაწყობდეს</w:t>
            </w:r>
            <w:r w:rsidRPr="00092B73">
              <w:rPr>
                <w:rFonts w:eastAsia="Sylfaen"/>
                <w:sz w:val="16"/>
              </w:rPr>
              <w:t xml:space="preserve">, </w:t>
            </w:r>
            <w:r w:rsidRPr="00092B73">
              <w:rPr>
                <w:rFonts w:ascii="Sylfaen" w:eastAsia="Sylfaen" w:hAnsi="Sylfaen" w:cs="Sylfaen"/>
                <w:sz w:val="16"/>
              </w:rPr>
              <w:t>რომ</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მოხდეს</w:t>
            </w:r>
            <w:r w:rsidRPr="00092B73">
              <w:rPr>
                <w:rFonts w:eastAsia="Sylfaen"/>
                <w:sz w:val="16"/>
              </w:rPr>
              <w:t xml:space="preserve"> </w:t>
            </w:r>
            <w:r w:rsidRPr="00092B73">
              <w:rPr>
                <w:rFonts w:ascii="Sylfaen" w:eastAsia="Sylfaen" w:hAnsi="Sylfaen" w:cs="Sylfaen"/>
                <w:sz w:val="16"/>
              </w:rPr>
              <w:t>მათი</w:t>
            </w:r>
            <w:r w:rsidRPr="00092B73">
              <w:rPr>
                <w:rFonts w:eastAsia="Sylfaen"/>
                <w:sz w:val="16"/>
              </w:rPr>
              <w:t xml:space="preserve"> </w:t>
            </w:r>
            <w:r w:rsidRPr="00092B73">
              <w:rPr>
                <w:rFonts w:ascii="Sylfaen" w:eastAsia="Sylfaen" w:hAnsi="Sylfaen" w:cs="Sylfaen"/>
                <w:sz w:val="16"/>
              </w:rPr>
              <w:t>ქარით</w:t>
            </w:r>
            <w:r w:rsidRPr="00092B73">
              <w:rPr>
                <w:rFonts w:eastAsia="Sylfaen"/>
                <w:sz w:val="16"/>
              </w:rPr>
              <w:t xml:space="preserve"> </w:t>
            </w:r>
            <w:r w:rsidRPr="00092B73">
              <w:rPr>
                <w:rFonts w:ascii="Sylfaen" w:eastAsia="Sylfaen" w:hAnsi="Sylfaen" w:cs="Sylfaen"/>
                <w:sz w:val="16"/>
              </w:rPr>
              <w:t>ან</w:t>
            </w:r>
            <w:r w:rsidRPr="00092B73">
              <w:rPr>
                <w:rFonts w:eastAsia="Sylfaen"/>
                <w:sz w:val="16"/>
              </w:rPr>
              <w:t xml:space="preserve"> </w:t>
            </w:r>
            <w:r w:rsidRPr="00092B73">
              <w:rPr>
                <w:rFonts w:ascii="Sylfaen" w:eastAsia="Sylfaen" w:hAnsi="Sylfaen" w:cs="Sylfaen"/>
                <w:sz w:val="16"/>
              </w:rPr>
              <w:t>ზედაპირული</w:t>
            </w:r>
            <w:r w:rsidRPr="00092B73">
              <w:rPr>
                <w:rFonts w:eastAsia="Sylfaen"/>
                <w:sz w:val="16"/>
              </w:rPr>
              <w:t xml:space="preserve"> </w:t>
            </w:r>
            <w:r w:rsidRPr="00092B73">
              <w:rPr>
                <w:rFonts w:ascii="Sylfaen" w:eastAsia="Sylfaen" w:hAnsi="Sylfaen" w:cs="Sylfaen"/>
                <w:sz w:val="16"/>
              </w:rPr>
              <w:t>ჩამონადენით</w:t>
            </w:r>
            <w:r w:rsidRPr="00092B73">
              <w:rPr>
                <w:rFonts w:eastAsia="Sylfaen"/>
                <w:sz w:val="16"/>
              </w:rPr>
              <w:t xml:space="preserve"> </w:t>
            </w:r>
            <w:r w:rsidRPr="00092B73">
              <w:rPr>
                <w:rFonts w:ascii="Sylfaen" w:eastAsia="Sylfaen" w:hAnsi="Sylfaen" w:cs="Sylfaen"/>
                <w:sz w:val="16"/>
              </w:rPr>
              <w:t>გადატანა</w:t>
            </w:r>
            <w:r w:rsidRPr="00092B73">
              <w:rPr>
                <w:rFonts w:eastAsia="Sylfaen"/>
                <w:sz w:val="16"/>
              </w:rPr>
              <w:t xml:space="preserve"> </w:t>
            </w:r>
            <w:r w:rsidRPr="00092B73">
              <w:rPr>
                <w:rFonts w:ascii="Sylfaen" w:eastAsia="Sylfaen" w:hAnsi="Sylfaen" w:cs="Sylfaen"/>
                <w:sz w:val="16"/>
              </w:rPr>
              <w:t>მდინარეში</w:t>
            </w:r>
            <w:r w:rsidRPr="00092B73">
              <w:rPr>
                <w:rFonts w:eastAsia="Sylfaen"/>
                <w:sz w:val="16"/>
              </w:rPr>
              <w:t xml:space="preserve">. </w:t>
            </w:r>
            <w:r w:rsidRPr="00092B73">
              <w:rPr>
                <w:rFonts w:ascii="Sylfaen" w:eastAsia="Sylfaen" w:hAnsi="Sylfaen" w:cs="Sylfaen"/>
                <w:sz w:val="16"/>
              </w:rPr>
              <w:t>ზედაპირული</w:t>
            </w:r>
            <w:r w:rsidRPr="00092B73">
              <w:rPr>
                <w:rFonts w:eastAsia="Sylfaen"/>
                <w:sz w:val="16"/>
              </w:rPr>
              <w:t xml:space="preserve"> </w:t>
            </w:r>
            <w:r w:rsidRPr="00092B73">
              <w:rPr>
                <w:rFonts w:ascii="Sylfaen" w:eastAsia="Sylfaen" w:hAnsi="Sylfaen" w:cs="Sylfaen"/>
                <w:sz w:val="16"/>
              </w:rPr>
              <w:t>ჩამონადენის</w:t>
            </w:r>
            <w:r w:rsidRPr="00092B73">
              <w:rPr>
                <w:rFonts w:eastAsia="Sylfaen"/>
                <w:sz w:val="16"/>
              </w:rPr>
              <w:t xml:space="preserve"> </w:t>
            </w:r>
            <w:r w:rsidRPr="00092B73">
              <w:rPr>
                <w:rFonts w:ascii="Sylfaen" w:eastAsia="Sylfaen" w:hAnsi="Sylfaen" w:cs="Sylfaen"/>
                <w:sz w:val="16"/>
              </w:rPr>
              <w:t>ასარინად</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მოეწყოს</w:t>
            </w:r>
            <w:r w:rsidRPr="00092B73">
              <w:rPr>
                <w:rFonts w:eastAsia="Sylfaen"/>
                <w:sz w:val="16"/>
              </w:rPr>
              <w:t xml:space="preserve"> </w:t>
            </w:r>
            <w:r w:rsidRPr="00092B73">
              <w:rPr>
                <w:rFonts w:ascii="Sylfaen" w:eastAsia="Sylfaen" w:hAnsi="Sylfaen" w:cs="Sylfaen"/>
                <w:sz w:val="16"/>
              </w:rPr>
              <w:t>სადრენაჟე</w:t>
            </w:r>
            <w:r w:rsidRPr="00092B73">
              <w:rPr>
                <w:rFonts w:eastAsia="Sylfaen"/>
                <w:sz w:val="16"/>
              </w:rPr>
              <w:t xml:space="preserve"> </w:t>
            </w:r>
            <w:r w:rsidRPr="00092B73">
              <w:rPr>
                <w:rFonts w:ascii="Sylfaen" w:eastAsia="Sylfaen" w:hAnsi="Sylfaen" w:cs="Sylfaen"/>
                <w:sz w:val="16"/>
              </w:rPr>
              <w:t>არხები</w:t>
            </w:r>
            <w:r w:rsidRPr="00092B73">
              <w:rPr>
                <w:rFonts w:eastAsia="Sylfaen"/>
                <w:sz w:val="16"/>
              </w:rPr>
              <w:t>.</w:t>
            </w:r>
          </w:p>
          <w:p w14:paraId="12924E45" w14:textId="77777777" w:rsidR="00092B73" w:rsidRPr="00092B73" w:rsidRDefault="00092B73" w:rsidP="000321C7">
            <w:pPr>
              <w:rPr>
                <w:rFonts w:eastAsia="Sylfaen"/>
                <w:sz w:val="16"/>
              </w:rPr>
            </w:pPr>
            <w:r w:rsidRPr="00092B73">
              <w:rPr>
                <w:rFonts w:ascii="Sylfaen" w:eastAsia="Sylfaen" w:hAnsi="Sylfaen" w:cs="Sylfaen"/>
                <w:sz w:val="16"/>
              </w:rPr>
              <w:t>ნარჩენების</w:t>
            </w:r>
            <w:r w:rsidRPr="00092B73">
              <w:rPr>
                <w:rFonts w:eastAsia="Sylfaen"/>
                <w:sz w:val="16"/>
              </w:rPr>
              <w:t xml:space="preserve"> </w:t>
            </w:r>
            <w:r w:rsidRPr="00092B73">
              <w:rPr>
                <w:rFonts w:ascii="Sylfaen" w:eastAsia="Sylfaen" w:hAnsi="Sylfaen" w:cs="Sylfaen"/>
                <w:sz w:val="16"/>
              </w:rPr>
              <w:t>განთავსების</w:t>
            </w:r>
            <w:r w:rsidRPr="00092B73">
              <w:rPr>
                <w:rFonts w:eastAsia="Sylfaen"/>
                <w:sz w:val="16"/>
              </w:rPr>
              <w:t xml:space="preserve"> </w:t>
            </w:r>
            <w:r w:rsidRPr="00092B73">
              <w:rPr>
                <w:rFonts w:ascii="Sylfaen" w:eastAsia="Sylfaen" w:hAnsi="Sylfaen" w:cs="Sylfaen"/>
                <w:sz w:val="16"/>
              </w:rPr>
              <w:t>უბანი</w:t>
            </w:r>
            <w:r w:rsidRPr="00092B73">
              <w:rPr>
                <w:rFonts w:eastAsia="Sylfaen"/>
                <w:sz w:val="16"/>
              </w:rPr>
              <w:t xml:space="preserve"> </w:t>
            </w:r>
            <w:r w:rsidRPr="00092B73">
              <w:rPr>
                <w:rFonts w:ascii="Sylfaen" w:eastAsia="Sylfaen" w:hAnsi="Sylfaen" w:cs="Sylfaen"/>
                <w:sz w:val="16"/>
              </w:rPr>
              <w:t>დაცული</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იყოს</w:t>
            </w:r>
            <w:r w:rsidRPr="00092B73">
              <w:rPr>
                <w:rFonts w:eastAsia="Sylfaen"/>
                <w:sz w:val="16"/>
              </w:rPr>
              <w:t xml:space="preserve"> </w:t>
            </w:r>
            <w:r w:rsidRPr="00092B73">
              <w:rPr>
                <w:rFonts w:ascii="Sylfaen" w:eastAsia="Sylfaen" w:hAnsi="Sylfaen" w:cs="Sylfaen"/>
                <w:sz w:val="16"/>
              </w:rPr>
              <w:t>ზედაპირული</w:t>
            </w:r>
            <w:r w:rsidRPr="00092B73">
              <w:rPr>
                <w:rFonts w:eastAsia="Sylfaen"/>
                <w:sz w:val="16"/>
              </w:rPr>
              <w:t xml:space="preserve"> </w:t>
            </w:r>
            <w:r w:rsidRPr="00092B73">
              <w:rPr>
                <w:rFonts w:ascii="Sylfaen" w:eastAsia="Sylfaen" w:hAnsi="Sylfaen" w:cs="Sylfaen"/>
                <w:sz w:val="16"/>
              </w:rPr>
              <w:t>ჩამონადენისგან</w:t>
            </w:r>
            <w:r w:rsidRPr="00092B73">
              <w:rPr>
                <w:rFonts w:eastAsia="Sylfaen"/>
                <w:sz w:val="16"/>
              </w:rPr>
              <w:t>.</w:t>
            </w:r>
          </w:p>
          <w:p w14:paraId="11D177FF" w14:textId="77777777" w:rsidR="00092B73" w:rsidRPr="00092B73" w:rsidRDefault="00092B73" w:rsidP="000321C7">
            <w:pPr>
              <w:rPr>
                <w:rFonts w:eastAsia="Sylfaen"/>
                <w:sz w:val="16"/>
              </w:rPr>
            </w:pPr>
            <w:r w:rsidRPr="00092B73">
              <w:rPr>
                <w:rFonts w:ascii="Sylfaen" w:eastAsia="Sylfaen" w:hAnsi="Sylfaen" w:cs="Sylfaen"/>
                <w:sz w:val="16"/>
              </w:rPr>
              <w:t>თუ</w:t>
            </w:r>
            <w:r w:rsidRPr="00092B73">
              <w:rPr>
                <w:rFonts w:eastAsia="Sylfaen"/>
                <w:sz w:val="16"/>
              </w:rPr>
              <w:t xml:space="preserve"> </w:t>
            </w:r>
            <w:r w:rsidRPr="00092B73">
              <w:rPr>
                <w:rFonts w:ascii="Sylfaen" w:eastAsia="Sylfaen" w:hAnsi="Sylfaen" w:cs="Sylfaen"/>
                <w:sz w:val="16"/>
              </w:rPr>
              <w:t>არსებობს</w:t>
            </w:r>
            <w:r w:rsidRPr="00092B73">
              <w:rPr>
                <w:rFonts w:eastAsia="Sylfaen"/>
                <w:sz w:val="16"/>
              </w:rPr>
              <w:t xml:space="preserve"> </w:t>
            </w:r>
            <w:r w:rsidRPr="00092B73">
              <w:rPr>
                <w:rFonts w:ascii="Sylfaen" w:eastAsia="Sylfaen" w:hAnsi="Sylfaen" w:cs="Sylfaen"/>
                <w:sz w:val="16"/>
              </w:rPr>
              <w:t>ნავთობპროდუქტების</w:t>
            </w:r>
            <w:r w:rsidRPr="00092B73">
              <w:rPr>
                <w:rFonts w:eastAsia="Sylfaen"/>
                <w:sz w:val="16"/>
              </w:rPr>
              <w:t xml:space="preserve"> </w:t>
            </w:r>
            <w:r w:rsidRPr="00092B73">
              <w:rPr>
                <w:rFonts w:ascii="Sylfaen" w:eastAsia="Sylfaen" w:hAnsi="Sylfaen" w:cs="Sylfaen"/>
                <w:sz w:val="16"/>
              </w:rPr>
              <w:t>დაღვრის</w:t>
            </w:r>
            <w:r w:rsidRPr="00092B73">
              <w:rPr>
                <w:rFonts w:eastAsia="Sylfaen"/>
                <w:sz w:val="16"/>
              </w:rPr>
              <w:t xml:space="preserve"> </w:t>
            </w:r>
            <w:r w:rsidRPr="00092B73">
              <w:rPr>
                <w:rFonts w:ascii="Sylfaen" w:eastAsia="Sylfaen" w:hAnsi="Sylfaen" w:cs="Sylfaen"/>
                <w:sz w:val="16"/>
              </w:rPr>
              <w:t>რისკი</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მოეწყოს</w:t>
            </w:r>
            <w:r w:rsidRPr="00092B73">
              <w:rPr>
                <w:rFonts w:eastAsia="Sylfaen"/>
                <w:sz w:val="16"/>
              </w:rPr>
              <w:t xml:space="preserve"> </w:t>
            </w:r>
            <w:r w:rsidRPr="00092B73">
              <w:rPr>
                <w:rFonts w:ascii="Sylfaen" w:eastAsia="Sylfaen" w:hAnsi="Sylfaen" w:cs="Sylfaen"/>
                <w:sz w:val="16"/>
              </w:rPr>
              <w:t>ნავთობდამჭერი</w:t>
            </w:r>
            <w:r w:rsidRPr="00092B73">
              <w:rPr>
                <w:rFonts w:eastAsia="Sylfaen"/>
                <w:sz w:val="16"/>
              </w:rPr>
              <w:t>.</w:t>
            </w:r>
          </w:p>
          <w:p w14:paraId="2BF53DB1" w14:textId="77777777" w:rsidR="00092B73" w:rsidRPr="00092B73" w:rsidRDefault="00092B73" w:rsidP="000321C7">
            <w:pPr>
              <w:rPr>
                <w:rFonts w:eastAsia="Sylfaen"/>
                <w:sz w:val="16"/>
              </w:rPr>
            </w:pPr>
            <w:r w:rsidRPr="00092B73">
              <w:rPr>
                <w:rFonts w:ascii="Sylfaen" w:eastAsia="Sylfaen" w:hAnsi="Sylfaen" w:cs="Sylfaen"/>
                <w:sz w:val="16"/>
              </w:rPr>
              <w:t>ზედაპირული</w:t>
            </w:r>
            <w:r w:rsidRPr="00092B73">
              <w:rPr>
                <w:rFonts w:eastAsia="Sylfaen"/>
                <w:sz w:val="16"/>
              </w:rPr>
              <w:t xml:space="preserve"> </w:t>
            </w:r>
            <w:r w:rsidRPr="00092B73">
              <w:rPr>
                <w:rFonts w:ascii="Sylfaen" w:eastAsia="Sylfaen" w:hAnsi="Sylfaen" w:cs="Sylfaen"/>
                <w:sz w:val="16"/>
              </w:rPr>
              <w:t>ჩამონადენის</w:t>
            </w:r>
            <w:r w:rsidRPr="00092B73">
              <w:rPr>
                <w:rFonts w:eastAsia="Sylfaen"/>
                <w:sz w:val="16"/>
              </w:rPr>
              <w:t xml:space="preserve"> </w:t>
            </w:r>
            <w:r w:rsidRPr="00092B73">
              <w:rPr>
                <w:rFonts w:ascii="Sylfaen" w:eastAsia="Sylfaen" w:hAnsi="Sylfaen" w:cs="Sylfaen"/>
                <w:sz w:val="16"/>
              </w:rPr>
              <w:t>დაბინძურების</w:t>
            </w:r>
            <w:r w:rsidRPr="00092B73">
              <w:rPr>
                <w:rFonts w:eastAsia="Sylfaen"/>
                <w:sz w:val="16"/>
              </w:rPr>
              <w:t xml:space="preserve"> </w:t>
            </w:r>
            <w:r w:rsidRPr="00092B73">
              <w:rPr>
                <w:rFonts w:ascii="Sylfaen" w:eastAsia="Sylfaen" w:hAnsi="Sylfaen" w:cs="Sylfaen"/>
                <w:sz w:val="16"/>
              </w:rPr>
              <w:t>თავიდან</w:t>
            </w:r>
            <w:r w:rsidRPr="00092B73">
              <w:rPr>
                <w:rFonts w:eastAsia="Sylfaen"/>
                <w:sz w:val="16"/>
              </w:rPr>
              <w:t xml:space="preserve"> </w:t>
            </w:r>
            <w:r w:rsidRPr="00092B73">
              <w:rPr>
                <w:rFonts w:ascii="Sylfaen" w:eastAsia="Sylfaen" w:hAnsi="Sylfaen" w:cs="Sylfaen"/>
                <w:sz w:val="16"/>
              </w:rPr>
              <w:t>ასაცილებლად</w:t>
            </w:r>
            <w:r w:rsidRPr="00092B73">
              <w:rPr>
                <w:rFonts w:eastAsia="Sylfaen"/>
                <w:sz w:val="16"/>
              </w:rPr>
              <w:t xml:space="preserve"> </w:t>
            </w:r>
            <w:r w:rsidRPr="00092B73">
              <w:rPr>
                <w:rFonts w:ascii="Sylfaen" w:eastAsia="Sylfaen" w:hAnsi="Sylfaen" w:cs="Sylfaen"/>
                <w:sz w:val="16"/>
              </w:rPr>
              <w:t>გზის</w:t>
            </w:r>
            <w:r w:rsidRPr="00092B73">
              <w:rPr>
                <w:rFonts w:eastAsia="Sylfaen"/>
                <w:sz w:val="16"/>
              </w:rPr>
              <w:t xml:space="preserve">  </w:t>
            </w:r>
            <w:r w:rsidRPr="00092B73">
              <w:rPr>
                <w:rFonts w:ascii="Sylfaen" w:eastAsia="Sylfaen" w:hAnsi="Sylfaen" w:cs="Sylfaen"/>
                <w:sz w:val="16"/>
              </w:rPr>
              <w:t>საფარის</w:t>
            </w:r>
            <w:r w:rsidRPr="00092B73">
              <w:rPr>
                <w:rFonts w:eastAsia="Sylfaen"/>
                <w:sz w:val="16"/>
              </w:rPr>
              <w:t xml:space="preserve"> </w:t>
            </w:r>
            <w:r w:rsidRPr="00092B73">
              <w:rPr>
                <w:rFonts w:ascii="Sylfaen" w:eastAsia="Sylfaen" w:hAnsi="Sylfaen" w:cs="Sylfaen"/>
                <w:sz w:val="16"/>
              </w:rPr>
              <w:t>მოწყობა</w:t>
            </w:r>
            <w:r w:rsidRPr="00092B73">
              <w:rPr>
                <w:rFonts w:eastAsia="Sylfaen"/>
                <w:sz w:val="16"/>
              </w:rPr>
              <w:t xml:space="preserve"> </w:t>
            </w:r>
            <w:r w:rsidRPr="00092B73">
              <w:rPr>
                <w:rFonts w:ascii="Sylfaen" w:eastAsia="Sylfaen" w:hAnsi="Sylfaen" w:cs="Sylfaen"/>
                <w:sz w:val="16"/>
              </w:rPr>
              <w:t>მხოლოდ</w:t>
            </w:r>
            <w:r w:rsidRPr="00092B73">
              <w:rPr>
                <w:rFonts w:eastAsia="Sylfaen"/>
                <w:sz w:val="16"/>
              </w:rPr>
              <w:t xml:space="preserve"> </w:t>
            </w:r>
            <w:r w:rsidRPr="00092B73">
              <w:rPr>
                <w:rFonts w:ascii="Sylfaen" w:eastAsia="Sylfaen" w:hAnsi="Sylfaen" w:cs="Sylfaen"/>
                <w:sz w:val="16"/>
              </w:rPr>
              <w:t>მშრალ</w:t>
            </w:r>
            <w:r w:rsidRPr="00092B73">
              <w:rPr>
                <w:rFonts w:eastAsia="Sylfaen"/>
                <w:sz w:val="16"/>
              </w:rPr>
              <w:t xml:space="preserve"> </w:t>
            </w:r>
            <w:r w:rsidRPr="00092B73">
              <w:rPr>
                <w:rFonts w:ascii="Sylfaen" w:eastAsia="Sylfaen" w:hAnsi="Sylfaen" w:cs="Sylfaen"/>
                <w:sz w:val="16"/>
              </w:rPr>
              <w:t>ამინდში</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წარმოებდეს</w:t>
            </w:r>
          </w:p>
          <w:p w14:paraId="7A4C70C9" w14:textId="77777777" w:rsidR="00092B73" w:rsidRPr="00092B73" w:rsidRDefault="00092B73" w:rsidP="000321C7">
            <w:pPr>
              <w:rPr>
                <w:rFonts w:eastAsia="Sylfaen"/>
                <w:sz w:val="16"/>
              </w:rPr>
            </w:pPr>
            <w:r w:rsidRPr="00092B73">
              <w:rPr>
                <w:rFonts w:ascii="Sylfaen" w:eastAsia="Sylfaen" w:hAnsi="Sylfaen" w:cs="Sylfaen"/>
                <w:sz w:val="16"/>
              </w:rPr>
              <w:t>პერსონალს</w:t>
            </w:r>
            <w:r w:rsidRPr="00092B73">
              <w:rPr>
                <w:rFonts w:eastAsia="Sylfaen"/>
                <w:sz w:val="16"/>
              </w:rPr>
              <w:t xml:space="preserve"> </w:t>
            </w:r>
            <w:r w:rsidRPr="00092B73">
              <w:rPr>
                <w:rFonts w:ascii="Sylfaen" w:eastAsia="Sylfaen" w:hAnsi="Sylfaen" w:cs="Sylfaen"/>
                <w:sz w:val="16"/>
              </w:rPr>
              <w:t>უდნა</w:t>
            </w:r>
            <w:r w:rsidRPr="00092B73">
              <w:rPr>
                <w:rFonts w:eastAsia="Sylfaen"/>
                <w:sz w:val="16"/>
              </w:rPr>
              <w:t xml:space="preserve"> </w:t>
            </w:r>
            <w:r w:rsidRPr="00092B73">
              <w:rPr>
                <w:rFonts w:ascii="Sylfaen" w:eastAsia="Sylfaen" w:hAnsi="Sylfaen" w:cs="Sylfaen"/>
                <w:sz w:val="16"/>
              </w:rPr>
              <w:t>ჩაუტარდეს</w:t>
            </w:r>
            <w:r w:rsidRPr="00092B73">
              <w:rPr>
                <w:rFonts w:eastAsia="Sylfaen"/>
                <w:sz w:val="16"/>
              </w:rPr>
              <w:t xml:space="preserve"> </w:t>
            </w:r>
            <w:r w:rsidRPr="00092B73">
              <w:rPr>
                <w:rFonts w:ascii="Sylfaen" w:eastAsia="Sylfaen" w:hAnsi="Sylfaen" w:cs="Sylfaen"/>
                <w:sz w:val="16"/>
              </w:rPr>
              <w:t>ინსტრუქტაჟი</w:t>
            </w:r>
            <w:r w:rsidRPr="00092B73">
              <w:rPr>
                <w:rFonts w:eastAsia="Sylfaen"/>
                <w:sz w:val="16"/>
              </w:rPr>
              <w:t xml:space="preserve"> </w:t>
            </w:r>
            <w:r w:rsidRPr="00092B73">
              <w:rPr>
                <w:rFonts w:ascii="Sylfaen" w:eastAsia="Sylfaen" w:hAnsi="Sylfaen" w:cs="Sylfaen"/>
                <w:sz w:val="16"/>
              </w:rPr>
              <w:t>მასალის</w:t>
            </w:r>
            <w:r w:rsidRPr="00092B73">
              <w:rPr>
                <w:rFonts w:eastAsia="Sylfaen"/>
                <w:sz w:val="16"/>
              </w:rPr>
              <w:t>/</w:t>
            </w:r>
            <w:r w:rsidRPr="00092B73">
              <w:rPr>
                <w:rFonts w:ascii="Sylfaen" w:eastAsia="Sylfaen" w:hAnsi="Sylfaen" w:cs="Sylfaen"/>
                <w:sz w:val="16"/>
              </w:rPr>
              <w:t>საწვავის</w:t>
            </w:r>
            <w:r w:rsidRPr="00092B73">
              <w:rPr>
                <w:rFonts w:eastAsia="Sylfaen"/>
                <w:sz w:val="16"/>
              </w:rPr>
              <w:t xml:space="preserve"> </w:t>
            </w:r>
            <w:r w:rsidRPr="00092B73">
              <w:rPr>
                <w:rFonts w:ascii="Sylfaen" w:eastAsia="Sylfaen" w:hAnsi="Sylfaen" w:cs="Sylfaen"/>
                <w:sz w:val="16"/>
              </w:rPr>
              <w:t>სათანადო</w:t>
            </w:r>
            <w:r w:rsidRPr="00092B73">
              <w:rPr>
                <w:rFonts w:eastAsia="Sylfaen"/>
                <w:sz w:val="16"/>
              </w:rPr>
              <w:t xml:space="preserve"> </w:t>
            </w:r>
            <w:r w:rsidRPr="00092B73">
              <w:rPr>
                <w:rFonts w:ascii="Sylfaen" w:eastAsia="Sylfaen" w:hAnsi="Sylfaen" w:cs="Sylfaen"/>
                <w:sz w:val="16"/>
              </w:rPr>
              <w:t>მენეჯმენტის</w:t>
            </w:r>
            <w:r w:rsidRPr="00092B73">
              <w:rPr>
                <w:rFonts w:eastAsia="Sylfaen"/>
                <w:sz w:val="16"/>
              </w:rPr>
              <w:t xml:space="preserve"> </w:t>
            </w:r>
            <w:r w:rsidRPr="00092B73">
              <w:rPr>
                <w:rFonts w:ascii="Sylfaen" w:eastAsia="Sylfaen" w:hAnsi="Sylfaen" w:cs="Sylfaen"/>
                <w:sz w:val="16"/>
              </w:rPr>
              <w:t>საკითხებზე</w:t>
            </w:r>
          </w:p>
        </w:tc>
        <w:tc>
          <w:tcPr>
            <w:tcW w:w="2340" w:type="dxa"/>
            <w:tcBorders>
              <w:top w:val="single" w:sz="6" w:space="0" w:color="000000"/>
              <w:left w:val="single" w:sz="6" w:space="0" w:color="000000"/>
              <w:bottom w:val="single" w:sz="6" w:space="0" w:color="000000"/>
              <w:right w:val="single" w:sz="6" w:space="0" w:color="000000"/>
            </w:tcBorders>
            <w:hideMark/>
          </w:tcPr>
          <w:p w14:paraId="618FC5C7" w14:textId="77777777" w:rsidR="00092B73" w:rsidRPr="00092B73" w:rsidRDefault="00092B73" w:rsidP="000321C7">
            <w:pPr>
              <w:rPr>
                <w:rFonts w:eastAsia="Sylfaen"/>
                <w:sz w:val="16"/>
                <w:lang w:val="ka-GE"/>
              </w:rPr>
            </w:pPr>
            <w:r w:rsidRPr="00092B73">
              <w:rPr>
                <w:rFonts w:ascii="Sylfaen" w:eastAsia="Sylfaen" w:hAnsi="Sylfaen" w:cs="Sylfaen"/>
                <w:sz w:val="16"/>
              </w:rPr>
              <w:t>ღირებულება</w:t>
            </w:r>
            <w:r w:rsidRPr="00092B73">
              <w:rPr>
                <w:rFonts w:eastAsia="Sylfaen"/>
                <w:sz w:val="16"/>
              </w:rPr>
              <w:t xml:space="preserve"> </w:t>
            </w:r>
            <w:r w:rsidRPr="00092B73">
              <w:rPr>
                <w:rFonts w:ascii="Sylfaen" w:eastAsia="Sylfaen" w:hAnsi="Sylfaen" w:cs="Sylfaen"/>
                <w:sz w:val="16"/>
              </w:rPr>
              <w:t>განისაზღვრება</w:t>
            </w:r>
            <w:r w:rsidRPr="00092B73">
              <w:rPr>
                <w:rFonts w:eastAsia="Sylfaen"/>
                <w:sz w:val="16"/>
              </w:rPr>
              <w:t xml:space="preserve"> </w:t>
            </w:r>
            <w:r w:rsidRPr="00092B73">
              <w:rPr>
                <w:rFonts w:ascii="Sylfaen" w:eastAsia="Sylfaen" w:hAnsi="Sylfaen" w:cs="Sylfaen"/>
                <w:sz w:val="16"/>
              </w:rPr>
              <w:t>სამშენებლო</w:t>
            </w:r>
          </w:p>
          <w:p w14:paraId="63A35FBF" w14:textId="77777777" w:rsidR="00092B73" w:rsidRPr="00092B73" w:rsidRDefault="00092B73" w:rsidP="000321C7">
            <w:pPr>
              <w:rPr>
                <w:rFonts w:eastAsia="Sylfaen"/>
                <w:sz w:val="16"/>
                <w:lang w:val="en-US"/>
              </w:rPr>
            </w:pPr>
            <w:r w:rsidRPr="00092B73">
              <w:rPr>
                <w:rFonts w:ascii="Sylfaen" w:eastAsia="Sylfaen" w:hAnsi="Sylfaen" w:cs="Sylfaen"/>
                <w:sz w:val="16"/>
              </w:rPr>
              <w:t>კონტრაქტორის</w:t>
            </w:r>
            <w:r w:rsidRPr="00092B73">
              <w:rPr>
                <w:rFonts w:eastAsia="Sylfaen"/>
                <w:sz w:val="16"/>
              </w:rPr>
              <w:t xml:space="preserve"> </w:t>
            </w:r>
            <w:r w:rsidRPr="00092B73">
              <w:rPr>
                <w:rFonts w:ascii="Sylfaen" w:eastAsia="Sylfaen" w:hAnsi="Sylfaen" w:cs="Sylfaen"/>
                <w:sz w:val="16"/>
              </w:rPr>
              <w:t>მიერ</w:t>
            </w:r>
          </w:p>
        </w:tc>
        <w:tc>
          <w:tcPr>
            <w:tcW w:w="1204" w:type="dxa"/>
            <w:tcBorders>
              <w:top w:val="single" w:sz="6" w:space="0" w:color="000000"/>
              <w:left w:val="single" w:sz="6" w:space="0" w:color="000000"/>
              <w:bottom w:val="single" w:sz="6" w:space="0" w:color="000000"/>
              <w:right w:val="single" w:sz="6" w:space="0" w:color="000000"/>
            </w:tcBorders>
            <w:hideMark/>
          </w:tcPr>
          <w:p w14:paraId="0D9D1747" w14:textId="77777777" w:rsidR="00092B73" w:rsidRPr="00092B73" w:rsidRDefault="00092B73" w:rsidP="000321C7">
            <w:pPr>
              <w:rPr>
                <w:rFonts w:eastAsia="Sylfaen"/>
                <w:sz w:val="16"/>
                <w:lang w:val="ka-GE"/>
              </w:rPr>
            </w:pPr>
            <w:r w:rsidRPr="00092B73">
              <w:rPr>
                <w:rFonts w:ascii="Sylfaen" w:eastAsia="Sylfaen" w:hAnsi="Sylfaen" w:cs="Sylfaen"/>
                <w:sz w:val="16"/>
              </w:rPr>
              <w:t>მშენებელი</w:t>
            </w:r>
            <w:r w:rsidRPr="00092B73">
              <w:rPr>
                <w:rFonts w:eastAsia="Sylfaen"/>
                <w:sz w:val="16"/>
              </w:rPr>
              <w:t xml:space="preserve"> </w:t>
            </w:r>
            <w:r w:rsidRPr="00092B73">
              <w:rPr>
                <w:rFonts w:ascii="Sylfaen" w:eastAsia="Sylfaen" w:hAnsi="Sylfaen" w:cs="Sylfaen"/>
                <w:sz w:val="16"/>
              </w:rPr>
              <w:t>კონტრაქტორი</w:t>
            </w:r>
          </w:p>
        </w:tc>
        <w:tc>
          <w:tcPr>
            <w:tcW w:w="1574" w:type="dxa"/>
            <w:tcBorders>
              <w:top w:val="single" w:sz="6" w:space="0" w:color="000000"/>
              <w:left w:val="single" w:sz="6" w:space="0" w:color="000000"/>
              <w:bottom w:val="single" w:sz="6" w:space="0" w:color="000000"/>
              <w:right w:val="single" w:sz="6" w:space="0" w:color="000000"/>
            </w:tcBorders>
            <w:hideMark/>
          </w:tcPr>
          <w:p w14:paraId="5E92C00E" w14:textId="77777777" w:rsidR="00092B73" w:rsidRPr="00092B73" w:rsidRDefault="00092B73" w:rsidP="000321C7">
            <w:pPr>
              <w:rPr>
                <w:rFonts w:eastAsia="Sylfaen"/>
                <w:sz w:val="16"/>
              </w:rPr>
            </w:pPr>
            <w:r w:rsidRPr="00092B73">
              <w:rPr>
                <w:rFonts w:ascii="Sylfaen" w:eastAsia="Sylfaen" w:hAnsi="Sylfaen" w:cs="Sylfaen"/>
                <w:sz w:val="16"/>
              </w:rPr>
              <w:t>საგზაო</w:t>
            </w:r>
            <w:r w:rsidRPr="00092B73">
              <w:rPr>
                <w:rFonts w:eastAsia="Sylfaen"/>
                <w:sz w:val="16"/>
              </w:rPr>
              <w:t xml:space="preserve"> </w:t>
            </w:r>
            <w:r w:rsidRPr="00092B73">
              <w:rPr>
                <w:rFonts w:ascii="Sylfaen" w:eastAsia="Sylfaen" w:hAnsi="Sylfaen" w:cs="Sylfaen"/>
                <w:sz w:val="16"/>
              </w:rPr>
              <w:t>დეპარტამენტი</w:t>
            </w:r>
          </w:p>
          <w:p w14:paraId="3EDEBAF1" w14:textId="77777777" w:rsidR="00092B73" w:rsidRPr="00092B73" w:rsidRDefault="00092B73" w:rsidP="000321C7">
            <w:pPr>
              <w:rPr>
                <w:rFonts w:eastAsia="Sylfaen"/>
                <w:sz w:val="16"/>
              </w:rPr>
            </w:pPr>
            <w:r w:rsidRPr="00092B73">
              <w:rPr>
                <w:rFonts w:ascii="Sylfaen" w:eastAsia="Sylfaen" w:hAnsi="Sylfaen" w:cs="Sylfaen"/>
                <w:sz w:val="16"/>
              </w:rPr>
              <w:t>საზედამხედველო</w:t>
            </w:r>
            <w:r w:rsidRPr="00092B73">
              <w:rPr>
                <w:rFonts w:eastAsia="Sylfaen"/>
                <w:sz w:val="16"/>
              </w:rPr>
              <w:t xml:space="preserve"> </w:t>
            </w:r>
            <w:r w:rsidRPr="00092B73">
              <w:rPr>
                <w:rFonts w:ascii="Sylfaen" w:eastAsia="Sylfaen" w:hAnsi="Sylfaen" w:cs="Sylfaen"/>
                <w:sz w:val="16"/>
              </w:rPr>
              <w:t>კომპანია</w:t>
            </w:r>
          </w:p>
        </w:tc>
      </w:tr>
      <w:tr w:rsidR="00092B73" w:rsidRPr="00092B73" w14:paraId="44F3F87D" w14:textId="77777777" w:rsidTr="00C6605E">
        <w:trPr>
          <w:gridAfter w:val="1"/>
          <w:wAfter w:w="12" w:type="dxa"/>
          <w:trHeight w:hRule="exact" w:val="2040"/>
        </w:trPr>
        <w:tc>
          <w:tcPr>
            <w:tcW w:w="1800" w:type="dxa"/>
            <w:tcBorders>
              <w:top w:val="single" w:sz="4" w:space="0" w:color="auto"/>
              <w:left w:val="single" w:sz="6" w:space="0" w:color="000000"/>
              <w:bottom w:val="single" w:sz="6" w:space="0" w:color="000000"/>
              <w:right w:val="single" w:sz="6" w:space="0" w:color="000000"/>
            </w:tcBorders>
            <w:hideMark/>
          </w:tcPr>
          <w:p w14:paraId="54094442" w14:textId="77777777" w:rsidR="00092B73" w:rsidRPr="00092B73" w:rsidRDefault="00092B73" w:rsidP="000321C7">
            <w:pPr>
              <w:rPr>
                <w:sz w:val="16"/>
              </w:rPr>
            </w:pPr>
            <w:r w:rsidRPr="00092B73">
              <w:rPr>
                <w:rFonts w:ascii="Sylfaen" w:eastAsia="Sylfaen" w:hAnsi="Sylfaen" w:cs="Sylfaen"/>
                <w:sz w:val="16"/>
              </w:rPr>
              <w:lastRenderedPageBreak/>
              <w:t>მიწის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სხვადასხვა</w:t>
            </w:r>
            <w:r w:rsidRPr="00092B73">
              <w:rPr>
                <w:rFonts w:eastAsia="Sylfaen"/>
                <w:sz w:val="16"/>
              </w:rPr>
              <w:t xml:space="preserve"> </w:t>
            </w:r>
            <w:r w:rsidRPr="00092B73">
              <w:rPr>
                <w:rFonts w:ascii="Sylfaen" w:eastAsia="Sylfaen" w:hAnsi="Sylfaen" w:cs="Sylfaen"/>
                <w:sz w:val="16"/>
              </w:rPr>
              <w:t>სამშენებლო</w:t>
            </w:r>
            <w:r w:rsidRPr="00092B73">
              <w:rPr>
                <w:rFonts w:eastAsia="Sylfaen"/>
                <w:sz w:val="16"/>
              </w:rPr>
              <w:t xml:space="preserve"> </w:t>
            </w:r>
            <w:r w:rsidRPr="00092B73">
              <w:rPr>
                <w:rFonts w:ascii="Sylfaen" w:eastAsia="Sylfaen" w:hAnsi="Sylfaen" w:cs="Sylfaen"/>
                <w:sz w:val="16"/>
              </w:rPr>
              <w:t>სამუშაოები</w:t>
            </w:r>
          </w:p>
        </w:tc>
        <w:tc>
          <w:tcPr>
            <w:tcW w:w="1788" w:type="dxa"/>
            <w:tcBorders>
              <w:top w:val="single" w:sz="4" w:space="0" w:color="auto"/>
              <w:left w:val="single" w:sz="6" w:space="0" w:color="000000"/>
              <w:bottom w:val="single" w:sz="6" w:space="0" w:color="000000"/>
              <w:right w:val="single" w:sz="6" w:space="0" w:color="000000"/>
            </w:tcBorders>
            <w:hideMark/>
          </w:tcPr>
          <w:p w14:paraId="028C67EE" w14:textId="77777777" w:rsidR="00092B73" w:rsidRPr="00092B73" w:rsidRDefault="00092B73" w:rsidP="000321C7">
            <w:pPr>
              <w:rPr>
                <w:sz w:val="16"/>
              </w:rPr>
            </w:pPr>
            <w:r w:rsidRPr="00092B73">
              <w:rPr>
                <w:rFonts w:ascii="Sylfaen" w:eastAsia="Sylfaen" w:hAnsi="Sylfaen" w:cs="Sylfaen"/>
                <w:sz w:val="16"/>
              </w:rPr>
              <w:t>ნიადაგის</w:t>
            </w:r>
            <w:r w:rsidRPr="00092B73">
              <w:rPr>
                <w:rFonts w:eastAsia="Sylfaen"/>
                <w:sz w:val="16"/>
              </w:rPr>
              <w:t xml:space="preserve"> </w:t>
            </w:r>
            <w:r w:rsidRPr="00092B73">
              <w:rPr>
                <w:rFonts w:ascii="Sylfaen" w:eastAsia="Sylfaen" w:hAnsi="Sylfaen" w:cs="Sylfaen"/>
                <w:sz w:val="16"/>
              </w:rPr>
              <w:t>სტაბილურობის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ხარისხის</w:t>
            </w:r>
            <w:r w:rsidRPr="00092B73">
              <w:rPr>
                <w:rFonts w:eastAsia="Sylfaen"/>
                <w:sz w:val="16"/>
              </w:rPr>
              <w:t xml:space="preserve"> </w:t>
            </w:r>
            <w:r w:rsidRPr="00092B73">
              <w:rPr>
                <w:rFonts w:ascii="Sylfaen" w:eastAsia="Sylfaen" w:hAnsi="Sylfaen" w:cs="Sylfaen"/>
                <w:sz w:val="16"/>
              </w:rPr>
              <w:t>დეგრადაცია</w:t>
            </w:r>
            <w:r w:rsidRPr="00092B73">
              <w:rPr>
                <w:rFonts w:eastAsia="Sylfaen"/>
                <w:sz w:val="16"/>
              </w:rPr>
              <w:t xml:space="preserve">, </w:t>
            </w:r>
            <w:r w:rsidRPr="00092B73">
              <w:rPr>
                <w:rFonts w:ascii="Sylfaen" w:eastAsia="Sylfaen" w:hAnsi="Sylfaen" w:cs="Sylfaen"/>
                <w:sz w:val="16"/>
              </w:rPr>
              <w:t>ნიადაგის</w:t>
            </w:r>
            <w:r w:rsidRPr="00092B73">
              <w:rPr>
                <w:rFonts w:eastAsia="Sylfaen"/>
                <w:sz w:val="16"/>
              </w:rPr>
              <w:t xml:space="preserve"> </w:t>
            </w:r>
            <w:r w:rsidRPr="00092B73">
              <w:rPr>
                <w:rFonts w:ascii="Sylfaen" w:eastAsia="Sylfaen" w:hAnsi="Sylfaen" w:cs="Sylfaen"/>
                <w:sz w:val="16"/>
              </w:rPr>
              <w:t>სტრუქტურის</w:t>
            </w:r>
            <w:r w:rsidRPr="00092B73">
              <w:rPr>
                <w:rFonts w:eastAsia="Sylfaen"/>
                <w:sz w:val="16"/>
              </w:rPr>
              <w:t xml:space="preserve"> </w:t>
            </w:r>
            <w:r w:rsidRPr="00092B73">
              <w:rPr>
                <w:rFonts w:ascii="Sylfaen" w:eastAsia="Sylfaen" w:hAnsi="Sylfaen" w:cs="Sylfaen"/>
                <w:sz w:val="16"/>
              </w:rPr>
              <w:t>გაუარესება</w:t>
            </w:r>
            <w:r w:rsidRPr="00092B73">
              <w:rPr>
                <w:rFonts w:eastAsia="Sylfaen"/>
                <w:sz w:val="16"/>
              </w:rPr>
              <w:t xml:space="preserve">, </w:t>
            </w:r>
            <w:r w:rsidRPr="00092B73">
              <w:rPr>
                <w:rFonts w:ascii="Sylfaen" w:eastAsia="Sylfaen" w:hAnsi="Sylfaen" w:cs="Sylfaen"/>
                <w:sz w:val="16"/>
              </w:rPr>
              <w:t>პროდუქტიულო</w:t>
            </w:r>
            <w:r w:rsidRPr="00092B73">
              <w:rPr>
                <w:rFonts w:eastAsia="Sylfaen"/>
                <w:sz w:val="16"/>
              </w:rPr>
              <w:t xml:space="preserve">- </w:t>
            </w:r>
            <w:r w:rsidRPr="00092B73">
              <w:rPr>
                <w:rFonts w:ascii="Sylfaen" w:eastAsia="Sylfaen" w:hAnsi="Sylfaen" w:cs="Sylfaen"/>
                <w:sz w:val="16"/>
              </w:rPr>
              <w:t>ბის</w:t>
            </w:r>
            <w:r w:rsidRPr="00092B73">
              <w:rPr>
                <w:rFonts w:eastAsia="Sylfaen"/>
                <w:sz w:val="16"/>
              </w:rPr>
              <w:t xml:space="preserve"> </w:t>
            </w:r>
            <w:r w:rsidRPr="00092B73">
              <w:rPr>
                <w:rFonts w:ascii="Sylfaen" w:eastAsia="Sylfaen" w:hAnsi="Sylfaen" w:cs="Sylfaen"/>
                <w:sz w:val="16"/>
              </w:rPr>
              <w:t>შემცირება</w:t>
            </w:r>
          </w:p>
        </w:tc>
        <w:tc>
          <w:tcPr>
            <w:tcW w:w="6838" w:type="dxa"/>
            <w:tcBorders>
              <w:top w:val="single" w:sz="4" w:space="0" w:color="auto"/>
              <w:left w:val="single" w:sz="6" w:space="0" w:color="000000"/>
              <w:bottom w:val="single" w:sz="6" w:space="0" w:color="000000"/>
              <w:right w:val="single" w:sz="6" w:space="0" w:color="000000"/>
            </w:tcBorders>
            <w:hideMark/>
          </w:tcPr>
          <w:p w14:paraId="5F7BD8AC" w14:textId="77777777" w:rsidR="00092B73" w:rsidRPr="00092B73" w:rsidRDefault="00092B73" w:rsidP="000321C7">
            <w:pPr>
              <w:rPr>
                <w:sz w:val="16"/>
              </w:rPr>
            </w:pPr>
            <w:r w:rsidRPr="00092B73">
              <w:rPr>
                <w:rFonts w:eastAsia="Symbol"/>
                <w:sz w:val="16"/>
              </w:rPr>
              <w:t xml:space="preserve">· </w:t>
            </w:r>
            <w:r w:rsidRPr="00092B73">
              <w:rPr>
                <w:rFonts w:ascii="Sylfaen" w:eastAsia="Sylfaen" w:hAnsi="Sylfaen" w:cs="Sylfaen"/>
                <w:sz w:val="16"/>
              </w:rPr>
              <w:t>ნაყოფიერი</w:t>
            </w:r>
            <w:r w:rsidRPr="00092B73">
              <w:rPr>
                <w:rFonts w:eastAsia="Sylfaen"/>
                <w:sz w:val="16"/>
              </w:rPr>
              <w:t xml:space="preserve"> </w:t>
            </w:r>
            <w:r w:rsidRPr="00092B73">
              <w:rPr>
                <w:rFonts w:ascii="Sylfaen" w:eastAsia="Sylfaen" w:hAnsi="Sylfaen" w:cs="Sylfaen"/>
                <w:sz w:val="16"/>
              </w:rPr>
              <w:t>ფენის</w:t>
            </w:r>
            <w:r w:rsidRPr="00092B73">
              <w:rPr>
                <w:rFonts w:eastAsia="Sylfaen"/>
                <w:sz w:val="16"/>
              </w:rPr>
              <w:t xml:space="preserve"> </w:t>
            </w:r>
            <w:r w:rsidRPr="00092B73">
              <w:rPr>
                <w:rFonts w:ascii="Sylfaen" w:eastAsia="Sylfaen" w:hAnsi="Sylfaen" w:cs="Sylfaen"/>
                <w:sz w:val="16"/>
              </w:rPr>
              <w:t>მოხსნა</w:t>
            </w:r>
            <w:r w:rsidRPr="00092B73">
              <w:rPr>
                <w:rFonts w:eastAsia="Sylfaen"/>
                <w:sz w:val="16"/>
              </w:rPr>
              <w:t xml:space="preserve"> </w:t>
            </w:r>
            <w:r w:rsidRPr="00092B73">
              <w:rPr>
                <w:rFonts w:ascii="Sylfaen" w:eastAsia="Sylfaen" w:hAnsi="Sylfaen" w:cs="Sylfaen"/>
                <w:sz w:val="16"/>
              </w:rPr>
              <w:t>სამუშაოების</w:t>
            </w:r>
            <w:r w:rsidRPr="00092B73">
              <w:rPr>
                <w:rFonts w:eastAsia="Sylfaen"/>
                <w:sz w:val="16"/>
              </w:rPr>
              <w:t xml:space="preserve"> </w:t>
            </w:r>
            <w:r w:rsidRPr="00092B73">
              <w:rPr>
                <w:rFonts w:ascii="Sylfaen" w:eastAsia="Sylfaen" w:hAnsi="Sylfaen" w:cs="Sylfaen"/>
                <w:sz w:val="16"/>
              </w:rPr>
              <w:t>დაწყებამდე</w:t>
            </w:r>
          </w:p>
          <w:p w14:paraId="2D3415B4"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მოხსნილი</w:t>
            </w:r>
            <w:r w:rsidRPr="00092B73">
              <w:rPr>
                <w:rFonts w:eastAsia="Sylfaen"/>
                <w:sz w:val="16"/>
              </w:rPr>
              <w:t xml:space="preserve"> </w:t>
            </w:r>
            <w:r w:rsidRPr="00092B73">
              <w:rPr>
                <w:rFonts w:ascii="Sylfaen" w:eastAsia="Sylfaen" w:hAnsi="Sylfaen" w:cs="Sylfaen"/>
                <w:sz w:val="16"/>
              </w:rPr>
              <w:t>ნიადაგის</w:t>
            </w:r>
            <w:r w:rsidRPr="00092B73">
              <w:rPr>
                <w:rFonts w:eastAsia="Sylfaen"/>
                <w:sz w:val="16"/>
              </w:rPr>
              <w:t xml:space="preserve"> </w:t>
            </w:r>
            <w:r w:rsidRPr="00092B73">
              <w:rPr>
                <w:rFonts w:ascii="Sylfaen" w:eastAsia="Sylfaen" w:hAnsi="Sylfaen" w:cs="Sylfaen"/>
                <w:sz w:val="16"/>
              </w:rPr>
              <w:t>განთავსება</w:t>
            </w:r>
            <w:r w:rsidRPr="00092B73">
              <w:rPr>
                <w:rFonts w:eastAsia="Sylfaen"/>
                <w:sz w:val="16"/>
              </w:rPr>
              <w:t xml:space="preserve"> </w:t>
            </w:r>
            <w:r w:rsidRPr="00092B73">
              <w:rPr>
                <w:rFonts w:ascii="Sylfaen" w:eastAsia="Sylfaen" w:hAnsi="Sylfaen" w:cs="Sylfaen"/>
                <w:sz w:val="16"/>
              </w:rPr>
              <w:t>გასხვისების</w:t>
            </w:r>
            <w:r w:rsidRPr="00092B73">
              <w:rPr>
                <w:rFonts w:eastAsia="Sylfaen"/>
                <w:sz w:val="16"/>
              </w:rPr>
              <w:t xml:space="preserve"> </w:t>
            </w:r>
            <w:r w:rsidRPr="00092B73">
              <w:rPr>
                <w:rFonts w:ascii="Sylfaen" w:eastAsia="Sylfaen" w:hAnsi="Sylfaen" w:cs="Sylfaen"/>
                <w:sz w:val="16"/>
              </w:rPr>
              <w:t>ზოლის</w:t>
            </w:r>
            <w:r w:rsidRPr="00092B73">
              <w:rPr>
                <w:rFonts w:eastAsia="Sylfaen"/>
                <w:sz w:val="16"/>
              </w:rPr>
              <w:t xml:space="preserve"> </w:t>
            </w:r>
            <w:r w:rsidRPr="00092B73">
              <w:rPr>
                <w:rFonts w:ascii="Sylfaen" w:eastAsia="Sylfaen" w:hAnsi="Sylfaen" w:cs="Sylfaen"/>
                <w:sz w:val="16"/>
              </w:rPr>
              <w:t>ფარგლებში</w:t>
            </w:r>
            <w:r w:rsidRPr="00092B73">
              <w:rPr>
                <w:rFonts w:eastAsia="Sylfaen"/>
                <w:sz w:val="16"/>
              </w:rPr>
              <w:t xml:space="preserve">, </w:t>
            </w:r>
            <w:r w:rsidRPr="00092B73">
              <w:rPr>
                <w:rFonts w:ascii="Sylfaen" w:eastAsia="Sylfaen" w:hAnsi="Sylfaen" w:cs="Sylfaen"/>
                <w:sz w:val="16"/>
              </w:rPr>
              <w:t>ხელახლა</w:t>
            </w:r>
            <w:r w:rsidRPr="00092B73">
              <w:rPr>
                <w:rFonts w:eastAsia="Sylfaen"/>
                <w:sz w:val="16"/>
              </w:rPr>
              <w:t xml:space="preserve"> </w:t>
            </w:r>
            <w:r w:rsidRPr="00092B73">
              <w:rPr>
                <w:rFonts w:ascii="Sylfaen" w:eastAsia="Sylfaen" w:hAnsi="Sylfaen" w:cs="Sylfaen"/>
                <w:sz w:val="16"/>
              </w:rPr>
              <w:t>გამოყენებამდე</w:t>
            </w:r>
            <w:r w:rsidRPr="00092B73">
              <w:rPr>
                <w:rFonts w:eastAsia="Sylfaen"/>
                <w:sz w:val="16"/>
              </w:rPr>
              <w:t xml:space="preserve">/ </w:t>
            </w:r>
            <w:r w:rsidRPr="00092B73">
              <w:rPr>
                <w:rFonts w:ascii="Sylfaen" w:eastAsia="Sylfaen" w:hAnsi="Sylfaen" w:cs="Sylfaen"/>
                <w:sz w:val="16"/>
              </w:rPr>
              <w:t>დაბრუნებამდე</w:t>
            </w:r>
            <w:r w:rsidRPr="00092B73">
              <w:rPr>
                <w:rFonts w:eastAsia="Sylfaen"/>
                <w:sz w:val="16"/>
              </w:rPr>
              <w:t>.</w:t>
            </w:r>
          </w:p>
          <w:p w14:paraId="4231755B"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მისასვლელი</w:t>
            </w:r>
            <w:r w:rsidRPr="00092B73">
              <w:rPr>
                <w:rFonts w:eastAsia="Sylfaen"/>
                <w:sz w:val="16"/>
              </w:rPr>
              <w:t xml:space="preserve"> </w:t>
            </w:r>
            <w:r w:rsidRPr="00092B73">
              <w:rPr>
                <w:rFonts w:ascii="Sylfaen" w:eastAsia="Sylfaen" w:hAnsi="Sylfaen" w:cs="Sylfaen"/>
                <w:sz w:val="16"/>
              </w:rPr>
              <w:t>გზების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უბნების</w:t>
            </w:r>
            <w:r w:rsidRPr="00092B73">
              <w:rPr>
                <w:rFonts w:eastAsia="Sylfaen"/>
                <w:sz w:val="16"/>
              </w:rPr>
              <w:t xml:space="preserve"> </w:t>
            </w:r>
            <w:r w:rsidRPr="00092B73">
              <w:rPr>
                <w:rFonts w:ascii="Sylfaen" w:eastAsia="Sylfaen" w:hAnsi="Sylfaen" w:cs="Sylfaen"/>
                <w:sz w:val="16"/>
              </w:rPr>
              <w:t>საზღვრების</w:t>
            </w:r>
            <w:r w:rsidRPr="00092B73">
              <w:rPr>
                <w:rFonts w:eastAsia="Sylfaen"/>
                <w:sz w:val="16"/>
              </w:rPr>
              <w:t xml:space="preserve"> </w:t>
            </w:r>
            <w:r w:rsidRPr="00092B73">
              <w:rPr>
                <w:rFonts w:ascii="Sylfaen" w:eastAsia="Sylfaen" w:hAnsi="Sylfaen" w:cs="Sylfaen"/>
                <w:sz w:val="16"/>
              </w:rPr>
              <w:t>მკაცრი</w:t>
            </w:r>
            <w:r w:rsidRPr="00092B73">
              <w:rPr>
                <w:rFonts w:eastAsia="Sylfaen"/>
                <w:sz w:val="16"/>
              </w:rPr>
              <w:t xml:space="preserve"> </w:t>
            </w:r>
            <w:r w:rsidRPr="00092B73">
              <w:rPr>
                <w:rFonts w:ascii="Sylfaen" w:eastAsia="Sylfaen" w:hAnsi="Sylfaen" w:cs="Sylfaen"/>
                <w:sz w:val="16"/>
              </w:rPr>
              <w:t>დაცვა</w:t>
            </w:r>
            <w:r w:rsidRPr="00092B73">
              <w:rPr>
                <w:rFonts w:eastAsia="Sylfaen"/>
                <w:sz w:val="16"/>
              </w:rPr>
              <w:t xml:space="preserve"> </w:t>
            </w:r>
            <w:r w:rsidRPr="00092B73">
              <w:rPr>
                <w:rFonts w:ascii="Sylfaen" w:eastAsia="Sylfaen" w:hAnsi="Sylfaen" w:cs="Sylfaen"/>
                <w:sz w:val="16"/>
              </w:rPr>
              <w:t>ნიადაგის</w:t>
            </w:r>
            <w:r w:rsidRPr="00092B73">
              <w:rPr>
                <w:rFonts w:eastAsia="Sylfaen"/>
                <w:sz w:val="16"/>
              </w:rPr>
              <w:t xml:space="preserve"> </w:t>
            </w:r>
            <w:r w:rsidRPr="00092B73">
              <w:rPr>
                <w:rFonts w:ascii="Sylfaen" w:eastAsia="Sylfaen" w:hAnsi="Sylfaen" w:cs="Sylfaen"/>
                <w:sz w:val="16"/>
              </w:rPr>
              <w:t>დაბინძურების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დატკეპნისგან</w:t>
            </w:r>
            <w:r w:rsidRPr="00092B73">
              <w:rPr>
                <w:rFonts w:eastAsia="Sylfaen"/>
                <w:sz w:val="16"/>
              </w:rPr>
              <w:t xml:space="preserve"> </w:t>
            </w:r>
            <w:r w:rsidRPr="00092B73">
              <w:rPr>
                <w:rFonts w:ascii="Sylfaen" w:eastAsia="Sylfaen" w:hAnsi="Sylfaen" w:cs="Sylfaen"/>
                <w:sz w:val="16"/>
              </w:rPr>
              <w:t>დასაცავად</w:t>
            </w:r>
            <w:r w:rsidRPr="00092B73">
              <w:rPr>
                <w:rFonts w:eastAsia="Sylfaen"/>
                <w:sz w:val="16"/>
              </w:rPr>
              <w:t>.</w:t>
            </w:r>
          </w:p>
          <w:p w14:paraId="7E6FEB29"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მცენარეული</w:t>
            </w:r>
            <w:r w:rsidRPr="00092B73">
              <w:rPr>
                <w:rFonts w:eastAsia="Sylfaen"/>
                <w:sz w:val="16"/>
              </w:rPr>
              <w:t xml:space="preserve"> </w:t>
            </w:r>
            <w:r w:rsidRPr="00092B73">
              <w:rPr>
                <w:rFonts w:ascii="Sylfaen" w:eastAsia="Sylfaen" w:hAnsi="Sylfaen" w:cs="Sylfaen"/>
                <w:sz w:val="16"/>
              </w:rPr>
              <w:t>საფარის</w:t>
            </w:r>
            <w:r w:rsidRPr="00092B73">
              <w:rPr>
                <w:rFonts w:eastAsia="Sylfaen"/>
                <w:sz w:val="16"/>
              </w:rPr>
              <w:t xml:space="preserve"> </w:t>
            </w:r>
            <w:r w:rsidRPr="00092B73">
              <w:rPr>
                <w:rFonts w:ascii="Sylfaen" w:eastAsia="Sylfaen" w:hAnsi="Sylfaen" w:cs="Sylfaen"/>
                <w:sz w:val="16"/>
              </w:rPr>
              <w:t>მაქს</w:t>
            </w:r>
            <w:r w:rsidRPr="00092B73">
              <w:rPr>
                <w:rFonts w:eastAsia="Sylfaen"/>
                <w:sz w:val="16"/>
              </w:rPr>
              <w:t>.</w:t>
            </w:r>
            <w:r w:rsidRPr="00092B73">
              <w:rPr>
                <w:rFonts w:ascii="Sylfaen" w:eastAsia="Sylfaen" w:hAnsi="Sylfaen" w:cs="Sylfaen"/>
                <w:sz w:val="16"/>
              </w:rPr>
              <w:t>შენარჩუნება</w:t>
            </w:r>
            <w:r w:rsidRPr="00092B73">
              <w:rPr>
                <w:rFonts w:eastAsia="Sylfaen"/>
                <w:sz w:val="16"/>
              </w:rPr>
              <w:t xml:space="preserve"> </w:t>
            </w:r>
            <w:r w:rsidRPr="00092B73">
              <w:rPr>
                <w:rFonts w:ascii="Sylfaen" w:eastAsia="Sylfaen" w:hAnsi="Sylfaen" w:cs="Sylfaen"/>
                <w:sz w:val="16"/>
              </w:rPr>
              <w:t>ეროზი</w:t>
            </w:r>
            <w:r w:rsidRPr="00092B73">
              <w:rPr>
                <w:rFonts w:eastAsia="Sylfaen"/>
                <w:sz w:val="16"/>
              </w:rPr>
              <w:t xml:space="preserve">- </w:t>
            </w:r>
            <w:r w:rsidRPr="00092B73">
              <w:rPr>
                <w:rFonts w:ascii="Sylfaen" w:eastAsia="Sylfaen" w:hAnsi="Sylfaen" w:cs="Sylfaen"/>
                <w:sz w:val="16"/>
              </w:rPr>
              <w:t>ის</w:t>
            </w:r>
            <w:r w:rsidRPr="00092B73">
              <w:rPr>
                <w:rFonts w:eastAsia="Sylfaen"/>
                <w:sz w:val="16"/>
              </w:rPr>
              <w:t xml:space="preserve"> </w:t>
            </w:r>
            <w:r w:rsidRPr="00092B73">
              <w:rPr>
                <w:rFonts w:ascii="Sylfaen" w:eastAsia="Sylfaen" w:hAnsi="Sylfaen" w:cs="Sylfaen"/>
                <w:sz w:val="16"/>
              </w:rPr>
              <w:t>თავიდან</w:t>
            </w:r>
            <w:r w:rsidRPr="00092B73">
              <w:rPr>
                <w:rFonts w:eastAsia="Sylfaen"/>
                <w:sz w:val="16"/>
              </w:rPr>
              <w:t xml:space="preserve"> </w:t>
            </w:r>
            <w:r w:rsidRPr="00092B73">
              <w:rPr>
                <w:rFonts w:ascii="Sylfaen" w:eastAsia="Sylfaen" w:hAnsi="Sylfaen" w:cs="Sylfaen"/>
                <w:sz w:val="16"/>
              </w:rPr>
              <w:t>აცილების</w:t>
            </w:r>
            <w:r w:rsidRPr="00092B73">
              <w:rPr>
                <w:rFonts w:eastAsia="Sylfaen"/>
                <w:sz w:val="16"/>
              </w:rPr>
              <w:t xml:space="preserve"> </w:t>
            </w:r>
            <w:r w:rsidRPr="00092B73">
              <w:rPr>
                <w:rFonts w:ascii="Sylfaen" w:eastAsia="Sylfaen" w:hAnsi="Sylfaen" w:cs="Sylfaen"/>
                <w:sz w:val="16"/>
              </w:rPr>
              <w:t>მიზნით</w:t>
            </w:r>
            <w:r w:rsidRPr="00092B73">
              <w:rPr>
                <w:rFonts w:eastAsia="Sylfaen"/>
                <w:sz w:val="16"/>
              </w:rPr>
              <w:t>.</w:t>
            </w:r>
          </w:p>
          <w:p w14:paraId="269D928F"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საწვავის</w:t>
            </w:r>
            <w:r w:rsidRPr="00092B73">
              <w:rPr>
                <w:rFonts w:eastAsia="Sylfaen"/>
                <w:sz w:val="16"/>
              </w:rPr>
              <w:t>/</w:t>
            </w:r>
            <w:r w:rsidRPr="00092B73">
              <w:rPr>
                <w:rFonts w:ascii="Sylfaen" w:eastAsia="Sylfaen" w:hAnsi="Sylfaen" w:cs="Sylfaen"/>
                <w:sz w:val="16"/>
              </w:rPr>
              <w:t>ზეთს</w:t>
            </w:r>
            <w:r w:rsidRPr="00092B73">
              <w:rPr>
                <w:rFonts w:eastAsia="Sylfaen"/>
                <w:sz w:val="16"/>
              </w:rPr>
              <w:t xml:space="preserve"> </w:t>
            </w:r>
            <w:r w:rsidRPr="00092B73">
              <w:rPr>
                <w:rFonts w:ascii="Sylfaen" w:eastAsia="Sylfaen" w:hAnsi="Sylfaen" w:cs="Sylfaen"/>
                <w:sz w:val="16"/>
              </w:rPr>
              <w:t>დაღვრის</w:t>
            </w:r>
            <w:r w:rsidRPr="00092B73">
              <w:rPr>
                <w:rFonts w:eastAsia="Sylfaen"/>
                <w:sz w:val="16"/>
              </w:rPr>
              <w:t xml:space="preserve"> </w:t>
            </w:r>
            <w:r w:rsidRPr="00092B73">
              <w:rPr>
                <w:rFonts w:ascii="Sylfaen" w:eastAsia="Sylfaen" w:hAnsi="Sylfaen" w:cs="Sylfaen"/>
                <w:sz w:val="16"/>
              </w:rPr>
              <w:t>თავიდან</w:t>
            </w:r>
            <w:r w:rsidRPr="00092B73">
              <w:rPr>
                <w:rFonts w:eastAsia="Sylfaen"/>
                <w:sz w:val="16"/>
              </w:rPr>
              <w:t xml:space="preserve"> </w:t>
            </w:r>
            <w:r w:rsidRPr="00092B73">
              <w:rPr>
                <w:rFonts w:ascii="Sylfaen" w:eastAsia="Sylfaen" w:hAnsi="Sylfaen" w:cs="Sylfaen"/>
                <w:sz w:val="16"/>
              </w:rPr>
              <w:t>აცილება</w:t>
            </w:r>
          </w:p>
          <w:p w14:paraId="060C4BCC"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პერსონალის</w:t>
            </w:r>
            <w:r w:rsidRPr="00092B73">
              <w:rPr>
                <w:rFonts w:eastAsia="Sylfaen"/>
                <w:sz w:val="16"/>
              </w:rPr>
              <w:t xml:space="preserve"> </w:t>
            </w:r>
            <w:r w:rsidRPr="00092B73">
              <w:rPr>
                <w:rFonts w:ascii="Sylfaen" w:eastAsia="Sylfaen" w:hAnsi="Sylfaen" w:cs="Sylfaen"/>
                <w:sz w:val="16"/>
              </w:rPr>
              <w:t>ინსტრუქტაჟი</w:t>
            </w:r>
          </w:p>
          <w:p w14:paraId="20C48E67"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ჰიდროსიდინგი</w:t>
            </w:r>
          </w:p>
        </w:tc>
        <w:tc>
          <w:tcPr>
            <w:tcW w:w="2340" w:type="dxa"/>
            <w:tcBorders>
              <w:top w:val="single" w:sz="4" w:space="0" w:color="auto"/>
              <w:left w:val="single" w:sz="6" w:space="0" w:color="000000"/>
              <w:bottom w:val="single" w:sz="6" w:space="0" w:color="000000"/>
              <w:right w:val="single" w:sz="6" w:space="0" w:color="000000"/>
            </w:tcBorders>
            <w:hideMark/>
          </w:tcPr>
          <w:p w14:paraId="2F97CF39" w14:textId="77777777" w:rsidR="00092B73" w:rsidRPr="00092B73" w:rsidRDefault="00092B73" w:rsidP="000321C7">
            <w:pPr>
              <w:rPr>
                <w:rFonts w:eastAsia="Sylfaen"/>
                <w:sz w:val="16"/>
              </w:rPr>
            </w:pPr>
            <w:r w:rsidRPr="00092B73">
              <w:rPr>
                <w:rFonts w:ascii="Sylfaen" w:eastAsia="Sylfaen" w:hAnsi="Sylfaen" w:cs="Sylfaen"/>
                <w:sz w:val="16"/>
              </w:rPr>
              <w:t>დამატებით</w:t>
            </w:r>
            <w:r w:rsidRPr="00092B73">
              <w:rPr>
                <w:rFonts w:eastAsia="Sylfaen"/>
                <w:sz w:val="16"/>
              </w:rPr>
              <w:t xml:space="preserve"> </w:t>
            </w:r>
            <w:r w:rsidRPr="00092B73">
              <w:rPr>
                <w:rFonts w:ascii="Sylfaen" w:eastAsia="Sylfaen" w:hAnsi="Sylfaen" w:cs="Sylfaen"/>
                <w:sz w:val="16"/>
              </w:rPr>
              <w:t>ხარჯებს</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მოითხოვს</w:t>
            </w:r>
            <w:r w:rsidRPr="00092B73">
              <w:rPr>
                <w:rFonts w:eastAsia="Sylfaen"/>
                <w:sz w:val="16"/>
              </w:rPr>
              <w:t xml:space="preserve"> </w:t>
            </w:r>
            <w:r w:rsidRPr="00092B73">
              <w:rPr>
                <w:rFonts w:ascii="Sylfaen" w:eastAsia="Sylfaen" w:hAnsi="Sylfaen" w:cs="Sylfaen"/>
                <w:sz w:val="16"/>
              </w:rPr>
              <w:t>ჰიდროსიდინ</w:t>
            </w:r>
            <w:r w:rsidRPr="00092B73">
              <w:rPr>
                <w:rFonts w:eastAsia="Sylfaen"/>
                <w:sz w:val="16"/>
              </w:rPr>
              <w:t xml:space="preserve"> </w:t>
            </w:r>
            <w:r w:rsidRPr="00092B73">
              <w:rPr>
                <w:rFonts w:ascii="Sylfaen" w:eastAsia="Sylfaen" w:hAnsi="Sylfaen" w:cs="Sylfaen"/>
                <w:sz w:val="16"/>
              </w:rPr>
              <w:t>გის</w:t>
            </w:r>
            <w:r w:rsidRPr="00092B73">
              <w:rPr>
                <w:rFonts w:eastAsia="Sylfaen"/>
                <w:sz w:val="16"/>
              </w:rPr>
              <w:t xml:space="preserve"> </w:t>
            </w:r>
            <w:r w:rsidRPr="00092B73">
              <w:rPr>
                <w:rFonts w:ascii="Sylfaen" w:eastAsia="Sylfaen" w:hAnsi="Sylfaen" w:cs="Sylfaen"/>
                <w:sz w:val="16"/>
              </w:rPr>
              <w:t>ღირებულება</w:t>
            </w:r>
            <w:r w:rsidRPr="00092B73">
              <w:rPr>
                <w:rFonts w:eastAsia="Sylfaen"/>
                <w:sz w:val="16"/>
              </w:rPr>
              <w:t xml:space="preserve"> </w:t>
            </w:r>
            <w:r w:rsidRPr="00092B73">
              <w:rPr>
                <w:rFonts w:ascii="Sylfaen" w:eastAsia="Sylfaen" w:hAnsi="Sylfaen" w:cs="Sylfaen"/>
                <w:sz w:val="16"/>
              </w:rPr>
              <w:t>განსაზღვრულ</w:t>
            </w:r>
            <w:r w:rsidRPr="00092B73">
              <w:rPr>
                <w:rFonts w:eastAsia="Sylfaen"/>
                <w:sz w:val="16"/>
              </w:rPr>
              <w:t xml:space="preserve"> </w:t>
            </w:r>
            <w:r w:rsidRPr="00092B73">
              <w:rPr>
                <w:rFonts w:ascii="Sylfaen" w:eastAsia="Sylfaen" w:hAnsi="Sylfaen" w:cs="Sylfaen"/>
                <w:sz w:val="16"/>
              </w:rPr>
              <w:t>ია</w:t>
            </w:r>
            <w:r w:rsidRPr="00092B73">
              <w:rPr>
                <w:rFonts w:eastAsia="Sylfaen"/>
                <w:sz w:val="16"/>
              </w:rPr>
              <w:t xml:space="preserve"> </w:t>
            </w:r>
            <w:r w:rsidRPr="00092B73">
              <w:rPr>
                <w:rFonts w:ascii="Sylfaen" w:eastAsia="Sylfaen" w:hAnsi="Sylfaen" w:cs="Sylfaen"/>
                <w:sz w:val="16"/>
              </w:rPr>
              <w:t>პროექტის</w:t>
            </w:r>
            <w:r w:rsidRPr="00092B73">
              <w:rPr>
                <w:rFonts w:eastAsia="Sylfaen"/>
                <w:sz w:val="16"/>
              </w:rPr>
              <w:t xml:space="preserve"> </w:t>
            </w:r>
            <w:r w:rsidRPr="00092B73">
              <w:rPr>
                <w:rFonts w:ascii="Sylfaen" w:eastAsia="Sylfaen" w:hAnsi="Sylfaen" w:cs="Sylfaen"/>
                <w:sz w:val="16"/>
              </w:rPr>
              <w:t>ბიუჯეტში</w:t>
            </w:r>
          </w:p>
        </w:tc>
        <w:tc>
          <w:tcPr>
            <w:tcW w:w="1204" w:type="dxa"/>
            <w:tcBorders>
              <w:top w:val="single" w:sz="4" w:space="0" w:color="auto"/>
              <w:left w:val="single" w:sz="6" w:space="0" w:color="000000"/>
              <w:bottom w:val="single" w:sz="6" w:space="0" w:color="000000"/>
              <w:right w:val="single" w:sz="6" w:space="0" w:color="000000"/>
            </w:tcBorders>
            <w:hideMark/>
          </w:tcPr>
          <w:p w14:paraId="6DF59452" w14:textId="77777777" w:rsidR="00092B73" w:rsidRPr="00092B73" w:rsidRDefault="00092B73" w:rsidP="000321C7">
            <w:pPr>
              <w:rPr>
                <w:sz w:val="16"/>
              </w:rPr>
            </w:pPr>
            <w:r w:rsidRPr="00092B73">
              <w:rPr>
                <w:rFonts w:ascii="Sylfaen" w:eastAsia="Sylfaen" w:hAnsi="Sylfaen" w:cs="Sylfaen"/>
                <w:sz w:val="16"/>
              </w:rPr>
              <w:t>მშენებელი</w:t>
            </w:r>
            <w:r w:rsidRPr="00092B73">
              <w:rPr>
                <w:rFonts w:eastAsia="Sylfaen"/>
                <w:sz w:val="16"/>
              </w:rPr>
              <w:t xml:space="preserve"> </w:t>
            </w:r>
            <w:r w:rsidRPr="00092B73">
              <w:rPr>
                <w:rFonts w:ascii="Sylfaen" w:eastAsia="Sylfaen" w:hAnsi="Sylfaen" w:cs="Sylfaen"/>
                <w:sz w:val="16"/>
              </w:rPr>
              <w:t>კონტრაქტორი</w:t>
            </w:r>
          </w:p>
        </w:tc>
        <w:tc>
          <w:tcPr>
            <w:tcW w:w="1574" w:type="dxa"/>
            <w:tcBorders>
              <w:top w:val="single" w:sz="4" w:space="0" w:color="auto"/>
              <w:left w:val="single" w:sz="6" w:space="0" w:color="000000"/>
              <w:bottom w:val="single" w:sz="6" w:space="0" w:color="000000"/>
              <w:right w:val="single" w:sz="6" w:space="0" w:color="000000"/>
            </w:tcBorders>
            <w:hideMark/>
          </w:tcPr>
          <w:p w14:paraId="01480D19" w14:textId="77777777" w:rsidR="00092B73" w:rsidRPr="00092B73" w:rsidRDefault="00092B73" w:rsidP="000321C7">
            <w:pPr>
              <w:rPr>
                <w:rFonts w:eastAsia="Sylfaen"/>
                <w:sz w:val="16"/>
                <w:lang w:val="ka-GE"/>
              </w:rPr>
            </w:pPr>
            <w:r w:rsidRPr="00092B73">
              <w:rPr>
                <w:rFonts w:ascii="Sylfaen" w:eastAsia="Sylfaen" w:hAnsi="Sylfaen" w:cs="Sylfaen"/>
                <w:sz w:val="16"/>
              </w:rPr>
              <w:t>საგზაო</w:t>
            </w:r>
            <w:r w:rsidRPr="00092B73">
              <w:rPr>
                <w:rFonts w:eastAsia="Sylfaen"/>
                <w:sz w:val="16"/>
              </w:rPr>
              <w:t xml:space="preserve"> </w:t>
            </w:r>
            <w:r w:rsidRPr="00092B73">
              <w:rPr>
                <w:rFonts w:ascii="Sylfaen" w:eastAsia="Sylfaen" w:hAnsi="Sylfaen" w:cs="Sylfaen"/>
                <w:sz w:val="16"/>
              </w:rPr>
              <w:t>დეპარტამენტი</w:t>
            </w:r>
          </w:p>
          <w:p w14:paraId="442B1C92" w14:textId="77777777" w:rsidR="00092B73" w:rsidRPr="00092B73" w:rsidRDefault="00092B73" w:rsidP="000321C7">
            <w:pPr>
              <w:rPr>
                <w:rFonts w:eastAsia="Sylfaen"/>
                <w:sz w:val="16"/>
                <w:lang w:val="en-US"/>
              </w:rPr>
            </w:pPr>
            <w:r w:rsidRPr="00092B73">
              <w:rPr>
                <w:rFonts w:ascii="Sylfaen" w:eastAsia="Sylfaen" w:hAnsi="Sylfaen" w:cs="Sylfaen"/>
                <w:sz w:val="16"/>
              </w:rPr>
              <w:t>საზედამხედველო</w:t>
            </w:r>
            <w:r w:rsidRPr="00092B73">
              <w:rPr>
                <w:rFonts w:eastAsia="Sylfaen"/>
                <w:sz w:val="16"/>
              </w:rPr>
              <w:t xml:space="preserve"> </w:t>
            </w:r>
            <w:r w:rsidRPr="00092B73">
              <w:rPr>
                <w:rFonts w:ascii="Sylfaen" w:eastAsia="Sylfaen" w:hAnsi="Sylfaen" w:cs="Sylfaen"/>
                <w:sz w:val="16"/>
              </w:rPr>
              <w:t>კომპანია</w:t>
            </w:r>
          </w:p>
        </w:tc>
      </w:tr>
      <w:tr w:rsidR="00092B73" w:rsidRPr="00092B73" w14:paraId="1280FC72" w14:textId="77777777" w:rsidTr="00C6605E">
        <w:trPr>
          <w:gridAfter w:val="1"/>
          <w:wAfter w:w="12" w:type="dxa"/>
          <w:trHeight w:hRule="exact" w:val="1617"/>
        </w:trPr>
        <w:tc>
          <w:tcPr>
            <w:tcW w:w="1800" w:type="dxa"/>
            <w:tcBorders>
              <w:top w:val="single" w:sz="6" w:space="0" w:color="000000"/>
              <w:left w:val="single" w:sz="6" w:space="0" w:color="000000"/>
              <w:bottom w:val="single" w:sz="6" w:space="0" w:color="000000"/>
              <w:right w:val="single" w:sz="6" w:space="0" w:color="000000"/>
            </w:tcBorders>
            <w:hideMark/>
          </w:tcPr>
          <w:p w14:paraId="5E90A47B" w14:textId="77777777" w:rsidR="00092B73" w:rsidRPr="00092B73" w:rsidRDefault="00092B73" w:rsidP="000321C7">
            <w:pPr>
              <w:rPr>
                <w:sz w:val="16"/>
              </w:rPr>
            </w:pPr>
            <w:r w:rsidRPr="00092B73">
              <w:rPr>
                <w:rFonts w:ascii="Sylfaen" w:eastAsia="Sylfaen" w:hAnsi="Sylfaen" w:cs="Sylfaen"/>
                <w:sz w:val="16"/>
              </w:rPr>
              <w:t>ბანაკის</w:t>
            </w:r>
            <w:r w:rsidRPr="00092B73">
              <w:rPr>
                <w:rFonts w:eastAsia="Sylfaen"/>
                <w:sz w:val="16"/>
              </w:rPr>
              <w:t xml:space="preserve"> </w:t>
            </w:r>
            <w:r w:rsidRPr="00092B73">
              <w:rPr>
                <w:rFonts w:ascii="Sylfaen" w:eastAsia="Sylfaen" w:hAnsi="Sylfaen" w:cs="Sylfaen"/>
                <w:sz w:val="16"/>
              </w:rPr>
              <w:t>მოწყობა</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ოპერირება</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სხვადასხვა</w:t>
            </w:r>
            <w:r w:rsidRPr="00092B73">
              <w:rPr>
                <w:rFonts w:eastAsia="Sylfaen"/>
                <w:sz w:val="16"/>
              </w:rPr>
              <w:t xml:space="preserve"> </w:t>
            </w:r>
            <w:r w:rsidRPr="00092B73">
              <w:rPr>
                <w:rFonts w:ascii="Sylfaen" w:eastAsia="Sylfaen" w:hAnsi="Sylfaen" w:cs="Sylfaen"/>
                <w:sz w:val="16"/>
              </w:rPr>
              <w:t>სამშენებლო</w:t>
            </w:r>
            <w:r w:rsidRPr="00092B73">
              <w:rPr>
                <w:rFonts w:eastAsia="Sylfaen"/>
                <w:sz w:val="16"/>
              </w:rPr>
              <w:t xml:space="preserve"> </w:t>
            </w:r>
            <w:r w:rsidRPr="00092B73">
              <w:rPr>
                <w:rFonts w:ascii="Sylfaen" w:eastAsia="Sylfaen" w:hAnsi="Sylfaen" w:cs="Sylfaen"/>
                <w:sz w:val="16"/>
              </w:rPr>
              <w:t>სამუშაო</w:t>
            </w:r>
          </w:p>
        </w:tc>
        <w:tc>
          <w:tcPr>
            <w:tcW w:w="1788" w:type="dxa"/>
            <w:tcBorders>
              <w:top w:val="single" w:sz="6" w:space="0" w:color="000000"/>
              <w:left w:val="single" w:sz="6" w:space="0" w:color="000000"/>
              <w:bottom w:val="single" w:sz="6" w:space="0" w:color="000000"/>
              <w:right w:val="single" w:sz="6" w:space="0" w:color="000000"/>
            </w:tcBorders>
            <w:hideMark/>
          </w:tcPr>
          <w:p w14:paraId="6E02F10D" w14:textId="77777777" w:rsidR="00092B73" w:rsidRPr="00092B73" w:rsidRDefault="00092B73" w:rsidP="000321C7">
            <w:pPr>
              <w:rPr>
                <w:rFonts w:eastAsia="Sylfaen"/>
                <w:sz w:val="16"/>
              </w:rPr>
            </w:pPr>
            <w:r w:rsidRPr="00092B73">
              <w:rPr>
                <w:rFonts w:ascii="Sylfaen" w:eastAsia="Sylfaen" w:hAnsi="Sylfaen" w:cs="Sylfaen"/>
                <w:sz w:val="16"/>
              </w:rPr>
              <w:t>მუშახელის</w:t>
            </w:r>
            <w:r w:rsidRPr="00092B73">
              <w:rPr>
                <w:rFonts w:eastAsia="Sylfaen"/>
                <w:sz w:val="16"/>
              </w:rPr>
              <w:t xml:space="preserve"> </w:t>
            </w:r>
            <w:r w:rsidRPr="00092B73">
              <w:rPr>
                <w:rFonts w:ascii="Sylfaen" w:eastAsia="Sylfaen" w:hAnsi="Sylfaen" w:cs="Sylfaen"/>
                <w:sz w:val="16"/>
              </w:rPr>
              <w:t>უსაფრთხოება</w:t>
            </w:r>
            <w:r w:rsidRPr="00092B73">
              <w:rPr>
                <w:rFonts w:eastAsia="Sylfaen"/>
                <w:sz w:val="16"/>
              </w:rPr>
              <w:t xml:space="preserve">, </w:t>
            </w:r>
            <w:r w:rsidRPr="00092B73">
              <w:rPr>
                <w:rFonts w:ascii="Sylfaen" w:eastAsia="Sylfaen" w:hAnsi="Sylfaen" w:cs="Sylfaen"/>
                <w:sz w:val="16"/>
              </w:rPr>
              <w:t>ოპერატორები</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მძღოლები</w:t>
            </w:r>
          </w:p>
        </w:tc>
        <w:tc>
          <w:tcPr>
            <w:tcW w:w="6838" w:type="dxa"/>
            <w:tcBorders>
              <w:top w:val="single" w:sz="6" w:space="0" w:color="000000"/>
              <w:left w:val="single" w:sz="6" w:space="0" w:color="000000"/>
              <w:bottom w:val="single" w:sz="6" w:space="0" w:color="000000"/>
              <w:right w:val="single" w:sz="6" w:space="0" w:color="000000"/>
            </w:tcBorders>
            <w:hideMark/>
          </w:tcPr>
          <w:p w14:paraId="01E66EEC" w14:textId="77777777" w:rsidR="00092B73" w:rsidRPr="00092B73" w:rsidRDefault="00092B73" w:rsidP="000321C7">
            <w:pPr>
              <w:rPr>
                <w:rFonts w:eastAsia="Sylfaen"/>
                <w:sz w:val="16"/>
              </w:rPr>
            </w:pPr>
            <w:r w:rsidRPr="00092B73">
              <w:rPr>
                <w:rFonts w:ascii="Sylfaen" w:eastAsia="Sylfaen" w:hAnsi="Sylfaen" w:cs="Sylfaen"/>
                <w:sz w:val="16"/>
              </w:rPr>
              <w:t>პერსონალისთვის</w:t>
            </w:r>
            <w:r w:rsidRPr="00092B73">
              <w:rPr>
                <w:rFonts w:eastAsia="Sylfaen"/>
                <w:sz w:val="16"/>
              </w:rPr>
              <w:t xml:space="preserve">   </w:t>
            </w:r>
            <w:r w:rsidRPr="00092B73">
              <w:rPr>
                <w:rFonts w:ascii="Sylfaen" w:eastAsia="Sylfaen" w:hAnsi="Sylfaen" w:cs="Sylfaen"/>
                <w:sz w:val="16"/>
              </w:rPr>
              <w:t>პროექტით</w:t>
            </w:r>
            <w:r w:rsidRPr="00092B73">
              <w:rPr>
                <w:rFonts w:eastAsia="Sylfaen"/>
                <w:sz w:val="16"/>
              </w:rPr>
              <w:t xml:space="preserve">   </w:t>
            </w:r>
            <w:r w:rsidRPr="00092B73">
              <w:rPr>
                <w:rFonts w:ascii="Sylfaen" w:eastAsia="Sylfaen" w:hAnsi="Sylfaen" w:cs="Sylfaen"/>
                <w:sz w:val="16"/>
              </w:rPr>
              <w:t>გათვალისწინებული</w:t>
            </w:r>
            <w:r w:rsidRPr="00092B73">
              <w:rPr>
                <w:rFonts w:eastAsia="Sylfaen"/>
                <w:sz w:val="16"/>
              </w:rPr>
              <w:t xml:space="preserve">   </w:t>
            </w:r>
            <w:r w:rsidRPr="00092B73">
              <w:rPr>
                <w:rFonts w:ascii="Sylfaen" w:eastAsia="Sylfaen" w:hAnsi="Sylfaen" w:cs="Sylfaen"/>
                <w:sz w:val="16"/>
              </w:rPr>
              <w:t>ყველა</w:t>
            </w:r>
            <w:r w:rsidRPr="00092B73">
              <w:rPr>
                <w:rFonts w:eastAsia="Sylfaen"/>
                <w:sz w:val="16"/>
              </w:rPr>
              <w:t xml:space="preserve">   </w:t>
            </w:r>
            <w:r w:rsidRPr="00092B73">
              <w:rPr>
                <w:rFonts w:ascii="Sylfaen" w:eastAsia="Sylfaen" w:hAnsi="Sylfaen" w:cs="Sylfaen"/>
                <w:sz w:val="16"/>
              </w:rPr>
              <w:t>სამუშაოს</w:t>
            </w:r>
            <w:r w:rsidRPr="00092B73">
              <w:rPr>
                <w:rFonts w:eastAsia="Sylfaen"/>
                <w:sz w:val="16"/>
              </w:rPr>
              <w:t xml:space="preserve">   </w:t>
            </w:r>
            <w:r w:rsidRPr="00092B73">
              <w:rPr>
                <w:rFonts w:ascii="Sylfaen" w:eastAsia="Sylfaen" w:hAnsi="Sylfaen" w:cs="Sylfaen"/>
                <w:sz w:val="16"/>
              </w:rPr>
              <w:t>შესახებ</w:t>
            </w:r>
            <w:r w:rsidRPr="00092B73">
              <w:rPr>
                <w:rFonts w:eastAsia="Sylfaen"/>
                <w:sz w:val="16"/>
              </w:rPr>
              <w:t xml:space="preserve">   </w:t>
            </w:r>
            <w:r w:rsidRPr="00092B73">
              <w:rPr>
                <w:rFonts w:ascii="Sylfaen" w:eastAsia="Sylfaen" w:hAnsi="Sylfaen" w:cs="Sylfaen"/>
                <w:sz w:val="16"/>
              </w:rPr>
              <w:t>დეტალური</w:t>
            </w:r>
            <w:r w:rsidRPr="00092B73">
              <w:rPr>
                <w:rFonts w:eastAsia="Sylfaen"/>
                <w:sz w:val="16"/>
              </w:rPr>
              <w:t xml:space="preserve"> </w:t>
            </w:r>
            <w:r w:rsidRPr="00092B73">
              <w:rPr>
                <w:rFonts w:ascii="Sylfaen" w:eastAsia="Sylfaen" w:hAnsi="Sylfaen" w:cs="Sylfaen"/>
                <w:sz w:val="16"/>
              </w:rPr>
              <w:t>ინფორმაციის</w:t>
            </w:r>
            <w:r w:rsidRPr="00092B73">
              <w:rPr>
                <w:rFonts w:eastAsia="Sylfaen"/>
                <w:sz w:val="16"/>
              </w:rPr>
              <w:t xml:space="preserve"> </w:t>
            </w:r>
            <w:r w:rsidRPr="00092B73">
              <w:rPr>
                <w:rFonts w:ascii="Sylfaen" w:eastAsia="Sylfaen" w:hAnsi="Sylfaen" w:cs="Sylfaen"/>
                <w:sz w:val="16"/>
              </w:rPr>
              <w:t>მიწოდება</w:t>
            </w:r>
            <w:r w:rsidRPr="00092B73">
              <w:rPr>
                <w:rFonts w:eastAsia="Sylfaen"/>
                <w:sz w:val="16"/>
              </w:rPr>
              <w:t>.</w:t>
            </w:r>
          </w:p>
          <w:p w14:paraId="0039F621" w14:textId="77777777" w:rsidR="00092B73" w:rsidRPr="00092B73" w:rsidRDefault="00092B73" w:rsidP="000321C7">
            <w:pPr>
              <w:rPr>
                <w:rFonts w:eastAsia="Sylfaen"/>
                <w:sz w:val="16"/>
              </w:rPr>
            </w:pPr>
            <w:r w:rsidRPr="00092B73">
              <w:rPr>
                <w:rFonts w:ascii="Sylfaen" w:eastAsia="Sylfaen" w:hAnsi="Sylfaen" w:cs="Sylfaen"/>
                <w:sz w:val="16"/>
              </w:rPr>
              <w:t>უსაფრთხოების</w:t>
            </w:r>
            <w:r w:rsidRPr="00092B73">
              <w:rPr>
                <w:rFonts w:eastAsia="Sylfaen"/>
                <w:sz w:val="16"/>
              </w:rPr>
              <w:tab/>
            </w:r>
            <w:r w:rsidRPr="00092B73">
              <w:rPr>
                <w:rFonts w:ascii="Sylfaen" w:eastAsia="Sylfaen" w:hAnsi="Sylfaen" w:cs="Sylfaen"/>
                <w:sz w:val="16"/>
              </w:rPr>
              <w:t>საკითხებზე</w:t>
            </w:r>
            <w:r w:rsidRPr="00092B73">
              <w:rPr>
                <w:rFonts w:eastAsia="Sylfaen"/>
                <w:sz w:val="16"/>
              </w:rPr>
              <w:tab/>
            </w:r>
            <w:r w:rsidRPr="00092B73">
              <w:rPr>
                <w:rFonts w:ascii="Sylfaen" w:eastAsia="Sylfaen" w:hAnsi="Sylfaen" w:cs="Sylfaen"/>
                <w:sz w:val="16"/>
              </w:rPr>
              <w:t>ტრეინინგის</w:t>
            </w:r>
            <w:r w:rsidRPr="00092B73">
              <w:rPr>
                <w:rFonts w:eastAsia="Sylfaen"/>
                <w:sz w:val="16"/>
              </w:rPr>
              <w:t xml:space="preserve">  </w:t>
            </w:r>
            <w:r w:rsidRPr="00092B73">
              <w:rPr>
                <w:rFonts w:ascii="Sylfaen" w:eastAsia="Sylfaen" w:hAnsi="Sylfaen" w:cs="Sylfaen"/>
                <w:sz w:val="16"/>
              </w:rPr>
              <w:t>ჩატარება</w:t>
            </w:r>
            <w:r w:rsidRPr="00092B73">
              <w:rPr>
                <w:rFonts w:eastAsia="Sylfaen"/>
                <w:sz w:val="16"/>
              </w:rPr>
              <w:t>.</w:t>
            </w:r>
          </w:p>
          <w:p w14:paraId="4AA411C7" w14:textId="77777777" w:rsidR="00092B73" w:rsidRPr="00C6605E" w:rsidRDefault="00092B73" w:rsidP="00821E4D">
            <w:pPr>
              <w:pStyle w:val="ListParagraph"/>
              <w:numPr>
                <w:ilvl w:val="0"/>
                <w:numId w:val="50"/>
              </w:numPr>
              <w:rPr>
                <w:rFonts w:eastAsia="Sylfaen"/>
                <w:sz w:val="16"/>
              </w:rPr>
            </w:pPr>
            <w:r w:rsidRPr="00C6605E">
              <w:rPr>
                <w:rFonts w:eastAsia="Sylfaen" w:cs="Sylfaen"/>
                <w:sz w:val="16"/>
              </w:rPr>
              <w:t>ახალი</w:t>
            </w:r>
            <w:r w:rsidRPr="00C6605E">
              <w:rPr>
                <w:rFonts w:eastAsia="Sylfaen"/>
                <w:sz w:val="16"/>
              </w:rPr>
              <w:t xml:space="preserve"> </w:t>
            </w:r>
            <w:r w:rsidRPr="00C6605E">
              <w:rPr>
                <w:rFonts w:eastAsia="Sylfaen" w:cs="Sylfaen"/>
                <w:sz w:val="16"/>
              </w:rPr>
              <w:t>პერსონალის</w:t>
            </w:r>
            <w:r w:rsidRPr="00C6605E">
              <w:rPr>
                <w:rFonts w:eastAsia="Sylfaen"/>
                <w:sz w:val="16"/>
              </w:rPr>
              <w:t xml:space="preserve"> </w:t>
            </w:r>
            <w:r w:rsidRPr="00C6605E">
              <w:rPr>
                <w:rFonts w:eastAsia="Sylfaen" w:cs="Sylfaen"/>
                <w:sz w:val="16"/>
              </w:rPr>
              <w:t>ინსტრუქტაჟი</w:t>
            </w:r>
          </w:p>
          <w:p w14:paraId="134ADC34" w14:textId="77777777" w:rsidR="00092B73" w:rsidRPr="00C6605E" w:rsidRDefault="00092B73" w:rsidP="00821E4D">
            <w:pPr>
              <w:pStyle w:val="ListParagraph"/>
              <w:numPr>
                <w:ilvl w:val="0"/>
                <w:numId w:val="50"/>
              </w:numPr>
              <w:rPr>
                <w:rFonts w:eastAsia="Sylfaen"/>
                <w:sz w:val="16"/>
              </w:rPr>
            </w:pPr>
            <w:r w:rsidRPr="00C6605E">
              <w:rPr>
                <w:rFonts w:eastAsia="Sylfaen" w:cs="Sylfaen"/>
                <w:sz w:val="16"/>
              </w:rPr>
              <w:t>ცვლის</w:t>
            </w:r>
            <w:r w:rsidRPr="00C6605E">
              <w:rPr>
                <w:rFonts w:eastAsia="Sylfaen"/>
                <w:sz w:val="16"/>
              </w:rPr>
              <w:t xml:space="preserve">  </w:t>
            </w:r>
            <w:r w:rsidRPr="00C6605E">
              <w:rPr>
                <w:rFonts w:eastAsia="Sylfaen" w:cs="Sylfaen"/>
                <w:sz w:val="16"/>
              </w:rPr>
              <w:t>დაწყებამდე</w:t>
            </w:r>
            <w:r w:rsidRPr="00C6605E">
              <w:rPr>
                <w:rFonts w:eastAsia="Sylfaen"/>
                <w:sz w:val="16"/>
              </w:rPr>
              <w:t xml:space="preserve">  </w:t>
            </w:r>
            <w:r w:rsidRPr="00C6605E">
              <w:rPr>
                <w:rFonts w:eastAsia="Sylfaen" w:cs="Sylfaen"/>
                <w:sz w:val="16"/>
              </w:rPr>
              <w:t>უსაფრთხოების</w:t>
            </w:r>
            <w:r w:rsidRPr="00C6605E">
              <w:rPr>
                <w:rFonts w:eastAsia="Sylfaen"/>
                <w:sz w:val="16"/>
              </w:rPr>
              <w:t xml:space="preserve">  </w:t>
            </w:r>
            <w:r w:rsidRPr="00C6605E">
              <w:rPr>
                <w:rFonts w:eastAsia="Sylfaen" w:cs="Sylfaen"/>
                <w:sz w:val="16"/>
              </w:rPr>
              <w:t>ინსტრუქტაჟი</w:t>
            </w:r>
            <w:r w:rsidRPr="00C6605E">
              <w:rPr>
                <w:rFonts w:eastAsia="Sylfaen"/>
                <w:sz w:val="16"/>
              </w:rPr>
              <w:t>.</w:t>
            </w:r>
          </w:p>
          <w:p w14:paraId="39EE6319" w14:textId="77777777" w:rsidR="00092B73" w:rsidRPr="00C6605E" w:rsidRDefault="00092B73" w:rsidP="00821E4D">
            <w:pPr>
              <w:pStyle w:val="ListParagraph"/>
              <w:numPr>
                <w:ilvl w:val="0"/>
                <w:numId w:val="50"/>
              </w:numPr>
              <w:rPr>
                <w:rFonts w:eastAsia="Sylfaen"/>
                <w:sz w:val="16"/>
              </w:rPr>
            </w:pPr>
            <w:r w:rsidRPr="00C6605E">
              <w:rPr>
                <w:rFonts w:eastAsia="Sylfaen" w:cs="Sylfaen"/>
                <w:sz w:val="16"/>
              </w:rPr>
              <w:t>პირადი</w:t>
            </w:r>
            <w:r w:rsidRPr="00C6605E">
              <w:rPr>
                <w:rFonts w:eastAsia="Sylfaen"/>
                <w:sz w:val="16"/>
              </w:rPr>
              <w:t xml:space="preserve">   </w:t>
            </w:r>
            <w:r w:rsidRPr="00C6605E">
              <w:rPr>
                <w:rFonts w:eastAsia="Sylfaen" w:cs="Sylfaen"/>
                <w:sz w:val="16"/>
              </w:rPr>
              <w:t>დაცვის</w:t>
            </w:r>
            <w:r w:rsidRPr="00C6605E">
              <w:rPr>
                <w:rFonts w:eastAsia="Sylfaen"/>
                <w:sz w:val="16"/>
              </w:rPr>
              <w:t xml:space="preserve">   </w:t>
            </w:r>
            <w:r w:rsidRPr="00C6605E">
              <w:rPr>
                <w:rFonts w:eastAsia="Sylfaen" w:cs="Sylfaen"/>
                <w:sz w:val="16"/>
              </w:rPr>
              <w:t>საშუალებებით</w:t>
            </w:r>
            <w:r w:rsidRPr="00C6605E">
              <w:rPr>
                <w:rFonts w:eastAsia="Sylfaen"/>
                <w:sz w:val="16"/>
              </w:rPr>
              <w:t xml:space="preserve">   </w:t>
            </w:r>
            <w:r w:rsidRPr="00C6605E">
              <w:rPr>
                <w:rFonts w:eastAsia="Sylfaen" w:cs="Sylfaen"/>
                <w:sz w:val="16"/>
              </w:rPr>
              <w:t>უზრუნველყოფა</w:t>
            </w:r>
            <w:r w:rsidRPr="00C6605E">
              <w:rPr>
                <w:rFonts w:eastAsia="Sylfaen"/>
                <w:sz w:val="16"/>
              </w:rPr>
              <w:t>.</w:t>
            </w:r>
          </w:p>
          <w:p w14:paraId="095C965E" w14:textId="77777777" w:rsidR="00092B73" w:rsidRPr="00C6605E" w:rsidRDefault="00092B73" w:rsidP="00821E4D">
            <w:pPr>
              <w:pStyle w:val="ListParagraph"/>
              <w:numPr>
                <w:ilvl w:val="0"/>
                <w:numId w:val="50"/>
              </w:numPr>
              <w:rPr>
                <w:rFonts w:eastAsia="Sylfaen"/>
                <w:sz w:val="16"/>
                <w:lang w:val="ka-GE"/>
              </w:rPr>
            </w:pPr>
            <w:r w:rsidRPr="00C6605E">
              <w:rPr>
                <w:rFonts w:eastAsia="Sylfaen" w:cs="Sylfaen"/>
                <w:sz w:val="16"/>
              </w:rPr>
              <w:t>ტექნიკური</w:t>
            </w:r>
            <w:r w:rsidRPr="00C6605E">
              <w:rPr>
                <w:rFonts w:eastAsia="Sylfaen"/>
                <w:sz w:val="16"/>
              </w:rPr>
              <w:t xml:space="preserve"> </w:t>
            </w:r>
            <w:r w:rsidRPr="00C6605E">
              <w:rPr>
                <w:rFonts w:eastAsia="Sylfaen" w:cs="Sylfaen"/>
                <w:sz w:val="16"/>
              </w:rPr>
              <w:t>პერსონალის</w:t>
            </w:r>
            <w:r w:rsidRPr="00C6605E">
              <w:rPr>
                <w:rFonts w:eastAsia="Sylfaen"/>
                <w:sz w:val="16"/>
              </w:rPr>
              <w:t xml:space="preserve"> (</w:t>
            </w:r>
            <w:r w:rsidRPr="00C6605E">
              <w:rPr>
                <w:rFonts w:eastAsia="Sylfaen" w:cs="Sylfaen"/>
                <w:sz w:val="16"/>
              </w:rPr>
              <w:t>მაგ</w:t>
            </w:r>
            <w:r w:rsidRPr="00C6605E">
              <w:rPr>
                <w:rFonts w:eastAsia="Sylfaen"/>
                <w:sz w:val="16"/>
              </w:rPr>
              <w:t>.</w:t>
            </w:r>
            <w:r w:rsidRPr="00C6605E">
              <w:rPr>
                <w:rFonts w:eastAsia="Sylfaen" w:cs="Sylfaen"/>
                <w:sz w:val="16"/>
              </w:rPr>
              <w:t>მძღოლები</w:t>
            </w:r>
            <w:r w:rsidRPr="00C6605E">
              <w:rPr>
                <w:rFonts w:eastAsia="Sylfaen"/>
                <w:sz w:val="16"/>
              </w:rPr>
              <w:t xml:space="preserve">) </w:t>
            </w:r>
          </w:p>
        </w:tc>
        <w:tc>
          <w:tcPr>
            <w:tcW w:w="2340" w:type="dxa"/>
            <w:tcBorders>
              <w:top w:val="single" w:sz="6" w:space="0" w:color="000000"/>
              <w:left w:val="single" w:sz="6" w:space="0" w:color="000000"/>
              <w:bottom w:val="single" w:sz="6" w:space="0" w:color="000000"/>
              <w:right w:val="single" w:sz="6" w:space="0" w:color="000000"/>
            </w:tcBorders>
            <w:hideMark/>
          </w:tcPr>
          <w:p w14:paraId="40015749" w14:textId="77777777" w:rsidR="00092B73" w:rsidRPr="00092B73" w:rsidRDefault="00092B73" w:rsidP="000321C7">
            <w:pPr>
              <w:rPr>
                <w:rFonts w:eastAsia="Symbol"/>
                <w:sz w:val="16"/>
                <w:lang w:val="en-US"/>
              </w:rPr>
            </w:pPr>
            <w:r w:rsidRPr="00092B73">
              <w:rPr>
                <w:rFonts w:ascii="Sylfaen" w:eastAsia="Sylfaen" w:hAnsi="Sylfaen" w:cs="Sylfaen"/>
                <w:sz w:val="16"/>
              </w:rPr>
              <w:t>დამატებით</w:t>
            </w:r>
            <w:r w:rsidRPr="00092B73">
              <w:rPr>
                <w:rFonts w:eastAsia="Sylfaen"/>
                <w:sz w:val="16"/>
              </w:rPr>
              <w:t xml:space="preserve"> </w:t>
            </w:r>
            <w:r w:rsidRPr="00092B73">
              <w:rPr>
                <w:rFonts w:ascii="Sylfaen" w:eastAsia="Sylfaen" w:hAnsi="Sylfaen" w:cs="Sylfaen"/>
                <w:sz w:val="16"/>
              </w:rPr>
              <w:t>ხარჯებს</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მოითხოვს</w:t>
            </w:r>
          </w:p>
        </w:tc>
        <w:tc>
          <w:tcPr>
            <w:tcW w:w="1204" w:type="dxa"/>
            <w:tcBorders>
              <w:top w:val="single" w:sz="6" w:space="0" w:color="000000"/>
              <w:left w:val="single" w:sz="6" w:space="0" w:color="000000"/>
              <w:bottom w:val="single" w:sz="6" w:space="0" w:color="000000"/>
              <w:right w:val="single" w:sz="6" w:space="0" w:color="000000"/>
            </w:tcBorders>
            <w:hideMark/>
          </w:tcPr>
          <w:p w14:paraId="0E7E5BC5" w14:textId="77777777" w:rsidR="00092B73" w:rsidRPr="00092B73" w:rsidRDefault="00092B73" w:rsidP="000321C7">
            <w:pPr>
              <w:rPr>
                <w:rFonts w:eastAsia="Sylfaen"/>
                <w:sz w:val="16"/>
              </w:rPr>
            </w:pPr>
            <w:r w:rsidRPr="00092B73">
              <w:rPr>
                <w:rFonts w:ascii="Sylfaen" w:eastAsia="Sylfaen" w:hAnsi="Sylfaen" w:cs="Sylfaen"/>
                <w:sz w:val="16"/>
              </w:rPr>
              <w:t>მშენებელი</w:t>
            </w:r>
            <w:r w:rsidRPr="00092B73">
              <w:rPr>
                <w:rFonts w:eastAsia="Sylfaen"/>
                <w:sz w:val="16"/>
              </w:rPr>
              <w:t xml:space="preserve"> </w:t>
            </w:r>
            <w:r w:rsidRPr="00092B73">
              <w:rPr>
                <w:rFonts w:ascii="Sylfaen" w:eastAsia="Sylfaen" w:hAnsi="Sylfaen" w:cs="Sylfaen"/>
                <w:sz w:val="16"/>
              </w:rPr>
              <w:t>კონტრაქტორი</w:t>
            </w:r>
          </w:p>
        </w:tc>
        <w:tc>
          <w:tcPr>
            <w:tcW w:w="1574" w:type="dxa"/>
            <w:tcBorders>
              <w:top w:val="single" w:sz="6" w:space="0" w:color="000000"/>
              <w:left w:val="single" w:sz="6" w:space="0" w:color="000000"/>
              <w:bottom w:val="single" w:sz="6" w:space="0" w:color="000000"/>
              <w:right w:val="single" w:sz="6" w:space="0" w:color="000000"/>
            </w:tcBorders>
            <w:hideMark/>
          </w:tcPr>
          <w:p w14:paraId="20935CA6" w14:textId="77777777" w:rsidR="00092B73" w:rsidRPr="00092B73" w:rsidRDefault="00092B73" w:rsidP="000321C7">
            <w:pPr>
              <w:rPr>
                <w:rFonts w:eastAsia="Sylfaen"/>
                <w:sz w:val="16"/>
                <w:lang w:val="ka-GE"/>
              </w:rPr>
            </w:pPr>
            <w:r w:rsidRPr="00092B73">
              <w:rPr>
                <w:rFonts w:ascii="Sylfaen" w:eastAsia="Sylfaen" w:hAnsi="Sylfaen" w:cs="Sylfaen"/>
                <w:sz w:val="16"/>
              </w:rPr>
              <w:t>საგზაო</w:t>
            </w:r>
            <w:r w:rsidRPr="00092B73">
              <w:rPr>
                <w:rFonts w:eastAsia="Sylfaen"/>
                <w:sz w:val="16"/>
              </w:rPr>
              <w:t xml:space="preserve"> </w:t>
            </w:r>
            <w:r w:rsidRPr="00092B73">
              <w:rPr>
                <w:rFonts w:ascii="Sylfaen" w:eastAsia="Sylfaen" w:hAnsi="Sylfaen" w:cs="Sylfaen"/>
                <w:sz w:val="16"/>
              </w:rPr>
              <w:t>დეპარტამენტი</w:t>
            </w:r>
          </w:p>
          <w:p w14:paraId="50561C1A" w14:textId="77777777" w:rsidR="00092B73" w:rsidRPr="00092B73" w:rsidRDefault="00092B73" w:rsidP="000321C7">
            <w:pPr>
              <w:rPr>
                <w:rFonts w:eastAsia="Sylfaen"/>
                <w:sz w:val="16"/>
                <w:lang w:val="en-US"/>
              </w:rPr>
            </w:pPr>
            <w:r w:rsidRPr="00092B73">
              <w:rPr>
                <w:rFonts w:ascii="Sylfaen" w:eastAsia="Sylfaen" w:hAnsi="Sylfaen" w:cs="Sylfaen"/>
                <w:sz w:val="16"/>
              </w:rPr>
              <w:t>საზედამხედველო</w:t>
            </w:r>
            <w:r w:rsidRPr="00092B73">
              <w:rPr>
                <w:rFonts w:eastAsia="Sylfaen"/>
                <w:sz w:val="16"/>
              </w:rPr>
              <w:t xml:space="preserve"> </w:t>
            </w:r>
            <w:r w:rsidRPr="00092B73">
              <w:rPr>
                <w:rFonts w:ascii="Sylfaen" w:eastAsia="Sylfaen" w:hAnsi="Sylfaen" w:cs="Sylfaen"/>
                <w:sz w:val="16"/>
              </w:rPr>
              <w:t>კომპანია</w:t>
            </w:r>
          </w:p>
        </w:tc>
      </w:tr>
      <w:tr w:rsidR="00092B73" w:rsidRPr="00092B73" w14:paraId="753D07EE" w14:textId="77777777" w:rsidTr="00C6605E">
        <w:trPr>
          <w:gridAfter w:val="1"/>
          <w:wAfter w:w="12" w:type="dxa"/>
          <w:trHeight w:hRule="exact" w:val="5862"/>
        </w:trPr>
        <w:tc>
          <w:tcPr>
            <w:tcW w:w="1800" w:type="dxa"/>
            <w:tcBorders>
              <w:top w:val="single" w:sz="6" w:space="0" w:color="000000"/>
              <w:left w:val="single" w:sz="6" w:space="0" w:color="000000"/>
              <w:bottom w:val="single" w:sz="6" w:space="0" w:color="000000"/>
              <w:right w:val="single" w:sz="6" w:space="0" w:color="000000"/>
            </w:tcBorders>
            <w:hideMark/>
          </w:tcPr>
          <w:p w14:paraId="79616393" w14:textId="77777777" w:rsidR="00092B73" w:rsidRPr="00092B73" w:rsidRDefault="00092B73" w:rsidP="000321C7">
            <w:pPr>
              <w:rPr>
                <w:sz w:val="16"/>
              </w:rPr>
            </w:pPr>
            <w:r w:rsidRPr="00092B73">
              <w:rPr>
                <w:rFonts w:ascii="Sylfaen" w:eastAsia="Sylfaen" w:hAnsi="Sylfaen" w:cs="Sylfaen"/>
                <w:sz w:val="16"/>
              </w:rPr>
              <w:lastRenderedPageBreak/>
              <w:t>ხიდის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კიუვეტის</w:t>
            </w:r>
            <w:r w:rsidRPr="00092B73">
              <w:rPr>
                <w:rFonts w:eastAsia="Sylfaen"/>
                <w:sz w:val="16"/>
              </w:rPr>
              <w:t xml:space="preserve"> </w:t>
            </w:r>
            <w:r w:rsidRPr="00092B73">
              <w:rPr>
                <w:rFonts w:ascii="Sylfaen" w:eastAsia="Sylfaen" w:hAnsi="Sylfaen" w:cs="Sylfaen"/>
                <w:sz w:val="16"/>
              </w:rPr>
              <w:t>მშენებლობა</w:t>
            </w:r>
          </w:p>
        </w:tc>
        <w:tc>
          <w:tcPr>
            <w:tcW w:w="1788" w:type="dxa"/>
            <w:tcBorders>
              <w:top w:val="single" w:sz="6" w:space="0" w:color="000000"/>
              <w:left w:val="single" w:sz="6" w:space="0" w:color="000000"/>
              <w:bottom w:val="single" w:sz="6" w:space="0" w:color="000000"/>
              <w:right w:val="single" w:sz="6" w:space="0" w:color="000000"/>
            </w:tcBorders>
            <w:hideMark/>
          </w:tcPr>
          <w:p w14:paraId="2835E727" w14:textId="77777777" w:rsidR="00092B73" w:rsidRPr="00092B73" w:rsidRDefault="00092B73" w:rsidP="000321C7">
            <w:pPr>
              <w:rPr>
                <w:rFonts w:eastAsia="Sylfaen"/>
                <w:sz w:val="16"/>
              </w:rPr>
            </w:pPr>
            <w:r w:rsidRPr="00092B73">
              <w:rPr>
                <w:rFonts w:ascii="Sylfaen" w:eastAsia="Sylfaen" w:hAnsi="Sylfaen" w:cs="Sylfaen"/>
                <w:sz w:val="16"/>
              </w:rPr>
              <w:t>წყლის</w:t>
            </w:r>
            <w:r w:rsidRPr="00092B73">
              <w:rPr>
                <w:rFonts w:eastAsia="Sylfaen"/>
                <w:sz w:val="16"/>
              </w:rPr>
              <w:t xml:space="preserve"> </w:t>
            </w:r>
            <w:r w:rsidRPr="00092B73">
              <w:rPr>
                <w:rFonts w:ascii="Sylfaen" w:eastAsia="Sylfaen" w:hAnsi="Sylfaen" w:cs="Sylfaen"/>
                <w:sz w:val="16"/>
              </w:rPr>
              <w:t>ხარისხის</w:t>
            </w:r>
            <w:r w:rsidRPr="00092B73">
              <w:rPr>
                <w:rFonts w:eastAsia="Sylfaen"/>
                <w:sz w:val="16"/>
              </w:rPr>
              <w:t xml:space="preserve"> </w:t>
            </w:r>
            <w:r w:rsidRPr="00092B73">
              <w:rPr>
                <w:rFonts w:ascii="Sylfaen" w:eastAsia="Sylfaen" w:hAnsi="Sylfaen" w:cs="Sylfaen"/>
                <w:sz w:val="16"/>
              </w:rPr>
              <w:t>შესაძლო</w:t>
            </w:r>
            <w:r w:rsidRPr="00092B73">
              <w:rPr>
                <w:rFonts w:eastAsia="Sylfaen"/>
                <w:sz w:val="16"/>
              </w:rPr>
              <w:t xml:space="preserve"> </w:t>
            </w:r>
            <w:r w:rsidRPr="00092B73">
              <w:rPr>
                <w:rFonts w:ascii="Sylfaen" w:eastAsia="Sylfaen" w:hAnsi="Sylfaen" w:cs="Sylfaen"/>
                <w:sz w:val="16"/>
              </w:rPr>
              <w:t>გაუარესება</w:t>
            </w:r>
            <w:r w:rsidRPr="00092B73">
              <w:rPr>
                <w:rFonts w:eastAsia="Sylfaen"/>
                <w:sz w:val="16"/>
              </w:rPr>
              <w:t xml:space="preserve">, </w:t>
            </w:r>
            <w:r w:rsidRPr="00092B73">
              <w:rPr>
                <w:rFonts w:ascii="Sylfaen" w:eastAsia="Sylfaen" w:hAnsi="Sylfaen" w:cs="Sylfaen"/>
                <w:sz w:val="16"/>
              </w:rPr>
              <w:t>მდინარის</w:t>
            </w:r>
            <w:r w:rsidRPr="00092B73">
              <w:rPr>
                <w:rFonts w:eastAsia="Sylfaen"/>
                <w:sz w:val="16"/>
              </w:rPr>
              <w:t xml:space="preserve"> </w:t>
            </w:r>
            <w:r w:rsidRPr="00092B73">
              <w:rPr>
                <w:rFonts w:ascii="Sylfaen" w:eastAsia="Sylfaen" w:hAnsi="Sylfaen" w:cs="Sylfaen"/>
                <w:sz w:val="16"/>
              </w:rPr>
              <w:t>კალაპოტში</w:t>
            </w:r>
            <w:r w:rsidRPr="00092B73">
              <w:rPr>
                <w:rFonts w:eastAsia="Sylfaen"/>
                <w:sz w:val="16"/>
              </w:rPr>
              <w:t xml:space="preserve"> </w:t>
            </w:r>
            <w:r w:rsidRPr="00092B73">
              <w:rPr>
                <w:rFonts w:ascii="Sylfaen" w:eastAsia="Sylfaen" w:hAnsi="Sylfaen" w:cs="Sylfaen"/>
                <w:sz w:val="16"/>
              </w:rPr>
              <w:t>სამუშაოს</w:t>
            </w:r>
            <w:r w:rsidRPr="00092B73">
              <w:rPr>
                <w:rFonts w:eastAsia="Sylfaen"/>
                <w:sz w:val="16"/>
              </w:rPr>
              <w:t xml:space="preserve">  </w:t>
            </w:r>
            <w:r w:rsidRPr="00092B73">
              <w:rPr>
                <w:rFonts w:ascii="Sylfaen" w:eastAsia="Sylfaen" w:hAnsi="Sylfaen" w:cs="Sylfaen"/>
                <w:sz w:val="16"/>
              </w:rPr>
              <w:t>წარმოების</w:t>
            </w:r>
            <w:r w:rsidRPr="00092B73">
              <w:rPr>
                <w:rFonts w:eastAsia="Sylfaen"/>
                <w:sz w:val="16"/>
              </w:rPr>
              <w:t xml:space="preserve"> </w:t>
            </w:r>
            <w:r w:rsidRPr="00092B73">
              <w:rPr>
                <w:rFonts w:ascii="Sylfaen" w:eastAsia="Sylfaen" w:hAnsi="Sylfaen" w:cs="Sylfaen"/>
                <w:sz w:val="16"/>
              </w:rPr>
              <w:t>დროს</w:t>
            </w:r>
            <w:r w:rsidRPr="00092B73">
              <w:rPr>
                <w:rFonts w:eastAsia="Sylfaen"/>
                <w:sz w:val="16"/>
              </w:rPr>
              <w:t xml:space="preserve"> </w:t>
            </w:r>
            <w:r w:rsidRPr="00092B73">
              <w:rPr>
                <w:rFonts w:ascii="Sylfaen" w:eastAsia="Sylfaen" w:hAnsi="Sylfaen" w:cs="Sylfaen"/>
                <w:sz w:val="16"/>
              </w:rPr>
              <w:t>ზემოქმედება</w:t>
            </w:r>
          </w:p>
          <w:p w14:paraId="36F19A9C" w14:textId="77777777" w:rsidR="00092B73" w:rsidRPr="00092B73" w:rsidRDefault="00092B73" w:rsidP="000321C7">
            <w:pPr>
              <w:rPr>
                <w:rFonts w:eastAsia="Sylfaen"/>
                <w:sz w:val="16"/>
              </w:rPr>
            </w:pPr>
            <w:r w:rsidRPr="00092B73">
              <w:rPr>
                <w:rFonts w:ascii="Sylfaen" w:eastAsia="Sylfaen" w:hAnsi="Sylfaen" w:cs="Sylfaen"/>
                <w:sz w:val="16"/>
              </w:rPr>
              <w:t>წყლის</w:t>
            </w:r>
            <w:r w:rsidRPr="00092B73">
              <w:rPr>
                <w:rFonts w:eastAsia="Sylfaen"/>
                <w:sz w:val="16"/>
              </w:rPr>
              <w:t xml:space="preserve"> </w:t>
            </w:r>
            <w:r w:rsidRPr="00092B73">
              <w:rPr>
                <w:rFonts w:ascii="Sylfaen" w:eastAsia="Sylfaen" w:hAnsi="Sylfaen" w:cs="Sylfaen"/>
                <w:sz w:val="16"/>
              </w:rPr>
              <w:t>ჰაბიტატებზე</w:t>
            </w:r>
            <w:r w:rsidRPr="00092B73">
              <w:rPr>
                <w:rFonts w:eastAsia="Sylfaen"/>
                <w:sz w:val="16"/>
              </w:rPr>
              <w:t>.</w:t>
            </w:r>
          </w:p>
          <w:p w14:paraId="6DC52B89" w14:textId="77777777" w:rsidR="00092B73" w:rsidRPr="00092B73" w:rsidRDefault="00092B73" w:rsidP="000321C7">
            <w:pPr>
              <w:rPr>
                <w:rFonts w:eastAsia="Sylfaen"/>
                <w:sz w:val="16"/>
              </w:rPr>
            </w:pPr>
            <w:r w:rsidRPr="00092B73">
              <w:rPr>
                <w:rFonts w:ascii="Sylfaen" w:eastAsia="Sylfaen" w:hAnsi="Sylfaen" w:cs="Sylfaen"/>
                <w:sz w:val="16"/>
              </w:rPr>
              <w:t>ზემოქმედება</w:t>
            </w:r>
            <w:r w:rsidRPr="00092B73">
              <w:rPr>
                <w:rFonts w:eastAsia="Sylfaen"/>
                <w:sz w:val="16"/>
              </w:rPr>
              <w:t xml:space="preserve"> </w:t>
            </w:r>
            <w:r w:rsidRPr="00092B73">
              <w:rPr>
                <w:rFonts w:ascii="Sylfaen" w:eastAsia="Sylfaen" w:hAnsi="Sylfaen" w:cs="Sylfaen"/>
                <w:sz w:val="16"/>
              </w:rPr>
              <w:t>ნაპირებზე</w:t>
            </w:r>
            <w:r w:rsidRPr="00092B73">
              <w:rPr>
                <w:rFonts w:eastAsia="Sylfaen"/>
                <w:sz w:val="16"/>
              </w:rPr>
              <w:t xml:space="preserve"> </w:t>
            </w:r>
            <w:r w:rsidRPr="00092B73">
              <w:rPr>
                <w:rFonts w:ascii="Sylfaen" w:eastAsia="Sylfaen" w:hAnsi="Sylfaen" w:cs="Sylfaen"/>
                <w:sz w:val="16"/>
              </w:rPr>
              <w:t>ეროზიის</w:t>
            </w:r>
          </w:p>
          <w:p w14:paraId="402410F1" w14:textId="77777777" w:rsidR="00092B73" w:rsidRPr="00092B73" w:rsidRDefault="00092B73" w:rsidP="000321C7">
            <w:pPr>
              <w:rPr>
                <w:rFonts w:eastAsia="Sylfaen"/>
                <w:sz w:val="16"/>
              </w:rPr>
            </w:pPr>
            <w:r w:rsidRPr="00092B73">
              <w:rPr>
                <w:rFonts w:ascii="Sylfaen" w:eastAsia="Sylfaen" w:hAnsi="Sylfaen" w:cs="Sylfaen"/>
                <w:sz w:val="16"/>
              </w:rPr>
              <w:t>პროცესების</w:t>
            </w:r>
            <w:r w:rsidRPr="00092B73">
              <w:rPr>
                <w:rFonts w:eastAsia="Sylfaen"/>
                <w:sz w:val="16"/>
              </w:rPr>
              <w:t xml:space="preserve"> </w:t>
            </w:r>
            <w:r w:rsidRPr="00092B73">
              <w:rPr>
                <w:rFonts w:ascii="Sylfaen" w:eastAsia="Sylfaen" w:hAnsi="Sylfaen" w:cs="Sylfaen"/>
                <w:sz w:val="16"/>
              </w:rPr>
              <w:t>აქტივირების</w:t>
            </w:r>
            <w:r w:rsidRPr="00092B73">
              <w:rPr>
                <w:rFonts w:eastAsia="Sylfaen"/>
                <w:sz w:val="16"/>
              </w:rPr>
              <w:t xml:space="preserve"> </w:t>
            </w:r>
            <w:r w:rsidRPr="00092B73">
              <w:rPr>
                <w:rFonts w:ascii="Sylfaen" w:eastAsia="Sylfaen" w:hAnsi="Sylfaen" w:cs="Sylfaen"/>
                <w:sz w:val="16"/>
              </w:rPr>
              <w:t>შედეგად</w:t>
            </w:r>
          </w:p>
        </w:tc>
        <w:tc>
          <w:tcPr>
            <w:tcW w:w="6838" w:type="dxa"/>
            <w:tcBorders>
              <w:top w:val="single" w:sz="6" w:space="0" w:color="000000"/>
              <w:left w:val="single" w:sz="6" w:space="0" w:color="000000"/>
              <w:bottom w:val="single" w:sz="6" w:space="0" w:color="000000"/>
              <w:right w:val="single" w:sz="6" w:space="0" w:color="000000"/>
            </w:tcBorders>
            <w:hideMark/>
          </w:tcPr>
          <w:p w14:paraId="42AAD63A" w14:textId="21637FD6" w:rsidR="00092B73" w:rsidRPr="00C6605E" w:rsidRDefault="00092B73" w:rsidP="00821E4D">
            <w:pPr>
              <w:pStyle w:val="ListParagraph"/>
              <w:numPr>
                <w:ilvl w:val="1"/>
                <w:numId w:val="36"/>
              </w:numPr>
              <w:ind w:left="360"/>
              <w:rPr>
                <w:rFonts w:eastAsia="Sylfaen"/>
                <w:sz w:val="16"/>
              </w:rPr>
            </w:pPr>
            <w:r w:rsidRPr="00C6605E">
              <w:rPr>
                <w:rFonts w:eastAsia="Sylfaen" w:cs="Sylfaen"/>
                <w:sz w:val="16"/>
              </w:rPr>
              <w:t>ხიდის</w:t>
            </w:r>
            <w:r w:rsidRPr="00C6605E">
              <w:rPr>
                <w:rFonts w:eastAsia="Sylfaen"/>
                <w:sz w:val="16"/>
              </w:rPr>
              <w:t xml:space="preserve"> </w:t>
            </w:r>
            <w:r w:rsidRPr="00C6605E">
              <w:rPr>
                <w:rFonts w:eastAsia="Sylfaen" w:cs="Sylfaen"/>
                <w:sz w:val="16"/>
              </w:rPr>
              <w:t>საყრდენების</w:t>
            </w:r>
            <w:r w:rsidRPr="00C6605E">
              <w:rPr>
                <w:rFonts w:eastAsia="Sylfaen"/>
                <w:sz w:val="16"/>
              </w:rPr>
              <w:t xml:space="preserve"> </w:t>
            </w:r>
            <w:r w:rsidRPr="00C6605E">
              <w:rPr>
                <w:rFonts w:eastAsia="Sylfaen" w:cs="Sylfaen"/>
                <w:sz w:val="16"/>
              </w:rPr>
              <w:t>და</w:t>
            </w:r>
            <w:r w:rsidRPr="00C6605E">
              <w:rPr>
                <w:rFonts w:eastAsia="Sylfaen"/>
                <w:sz w:val="16"/>
              </w:rPr>
              <w:t xml:space="preserve"> </w:t>
            </w:r>
            <w:r w:rsidRPr="00C6605E">
              <w:rPr>
                <w:rFonts w:eastAsia="Sylfaen" w:cs="Sylfaen"/>
                <w:sz w:val="16"/>
              </w:rPr>
              <w:t>სხვა</w:t>
            </w:r>
            <w:r w:rsidRPr="00C6605E">
              <w:rPr>
                <w:rFonts w:eastAsia="Sylfaen"/>
                <w:sz w:val="16"/>
              </w:rPr>
              <w:t xml:space="preserve"> </w:t>
            </w:r>
            <w:r w:rsidRPr="00C6605E">
              <w:rPr>
                <w:rFonts w:eastAsia="Sylfaen" w:cs="Sylfaen"/>
                <w:sz w:val="16"/>
              </w:rPr>
              <w:t>სამუშაოების</w:t>
            </w:r>
            <w:r w:rsidRPr="00C6605E">
              <w:rPr>
                <w:rFonts w:eastAsia="Sylfaen"/>
                <w:sz w:val="16"/>
              </w:rPr>
              <w:t xml:space="preserve"> </w:t>
            </w:r>
            <w:r w:rsidRPr="00C6605E">
              <w:rPr>
                <w:rFonts w:eastAsia="Sylfaen" w:cs="Sylfaen"/>
                <w:sz w:val="16"/>
              </w:rPr>
              <w:t>დროს</w:t>
            </w:r>
            <w:r w:rsidRPr="00C6605E">
              <w:rPr>
                <w:rFonts w:eastAsia="Sylfaen"/>
                <w:sz w:val="16"/>
              </w:rPr>
              <w:t xml:space="preserve"> </w:t>
            </w:r>
            <w:r w:rsidRPr="00C6605E">
              <w:rPr>
                <w:rFonts w:eastAsia="Sylfaen" w:cs="Sylfaen"/>
                <w:sz w:val="16"/>
              </w:rPr>
              <w:t>მიწის</w:t>
            </w:r>
            <w:r w:rsidRPr="00C6605E">
              <w:rPr>
                <w:rFonts w:eastAsia="Sylfaen"/>
                <w:sz w:val="16"/>
              </w:rPr>
              <w:t xml:space="preserve"> </w:t>
            </w:r>
            <w:r w:rsidRPr="00C6605E">
              <w:rPr>
                <w:rFonts w:eastAsia="Sylfaen" w:cs="Sylfaen"/>
                <w:sz w:val="16"/>
              </w:rPr>
              <w:t>სამუშაოების</w:t>
            </w:r>
            <w:r w:rsidRPr="00C6605E">
              <w:rPr>
                <w:rFonts w:eastAsia="Sylfaen"/>
                <w:sz w:val="16"/>
              </w:rPr>
              <w:t xml:space="preserve"> </w:t>
            </w:r>
            <w:r w:rsidRPr="00C6605E">
              <w:rPr>
                <w:rFonts w:eastAsia="Sylfaen" w:cs="Sylfaen"/>
                <w:sz w:val="16"/>
              </w:rPr>
              <w:t>მოცულობა</w:t>
            </w:r>
            <w:r w:rsidRPr="00C6605E">
              <w:rPr>
                <w:rFonts w:eastAsia="Sylfaen"/>
                <w:sz w:val="16"/>
              </w:rPr>
              <w:t xml:space="preserve"> </w:t>
            </w:r>
            <w:r w:rsidRPr="00C6605E">
              <w:rPr>
                <w:rFonts w:eastAsia="Sylfaen" w:cs="Sylfaen"/>
                <w:sz w:val="16"/>
              </w:rPr>
              <w:t>მინიმალურ</w:t>
            </w:r>
            <w:r w:rsidRPr="00C6605E">
              <w:rPr>
                <w:rFonts w:eastAsia="Sylfaen"/>
                <w:sz w:val="16"/>
              </w:rPr>
              <w:t xml:space="preserve">, </w:t>
            </w:r>
            <w:r w:rsidRPr="00C6605E">
              <w:rPr>
                <w:rFonts w:eastAsia="Sylfaen" w:cs="Sylfaen"/>
                <w:sz w:val="16"/>
              </w:rPr>
              <w:t>პროექტით</w:t>
            </w:r>
            <w:r w:rsidRPr="00C6605E">
              <w:rPr>
                <w:rFonts w:eastAsia="Sylfaen"/>
                <w:sz w:val="16"/>
              </w:rPr>
              <w:t xml:space="preserve"> </w:t>
            </w:r>
            <w:r w:rsidRPr="00C6605E">
              <w:rPr>
                <w:rFonts w:eastAsia="Sylfaen" w:cs="Sylfaen"/>
                <w:sz w:val="16"/>
              </w:rPr>
              <w:t>განსაზღვრულს</w:t>
            </w:r>
            <w:r w:rsidRPr="00C6605E">
              <w:rPr>
                <w:rFonts w:eastAsia="Sylfaen"/>
                <w:sz w:val="16"/>
              </w:rPr>
              <w:t xml:space="preserve"> </w:t>
            </w:r>
            <w:r w:rsidRPr="00C6605E">
              <w:rPr>
                <w:rFonts w:eastAsia="Sylfaen" w:cs="Sylfaen"/>
                <w:sz w:val="16"/>
              </w:rPr>
              <w:t>არ</w:t>
            </w:r>
            <w:r w:rsidRPr="00C6605E">
              <w:rPr>
                <w:rFonts w:eastAsia="Sylfaen"/>
                <w:sz w:val="16"/>
              </w:rPr>
              <w:t xml:space="preserve"> </w:t>
            </w:r>
            <w:r w:rsidRPr="00C6605E">
              <w:rPr>
                <w:rFonts w:eastAsia="Sylfaen" w:cs="Sylfaen"/>
                <w:sz w:val="16"/>
              </w:rPr>
              <w:t>უნდა</w:t>
            </w:r>
            <w:r w:rsidRPr="00C6605E">
              <w:rPr>
                <w:rFonts w:eastAsia="Sylfaen"/>
                <w:sz w:val="16"/>
              </w:rPr>
              <w:t xml:space="preserve"> </w:t>
            </w:r>
            <w:r w:rsidRPr="00C6605E">
              <w:rPr>
                <w:rFonts w:eastAsia="Sylfaen" w:cs="Sylfaen"/>
                <w:sz w:val="16"/>
              </w:rPr>
              <w:t>აღემატებოდეს</w:t>
            </w:r>
            <w:r w:rsidRPr="00C6605E">
              <w:rPr>
                <w:rFonts w:eastAsia="Sylfaen"/>
                <w:sz w:val="16"/>
              </w:rPr>
              <w:t xml:space="preserve"> </w:t>
            </w:r>
            <w:r w:rsidRPr="00C6605E">
              <w:rPr>
                <w:rFonts w:eastAsia="Sylfaen" w:cs="Sylfaen"/>
                <w:sz w:val="16"/>
              </w:rPr>
              <w:t>ეროზიის</w:t>
            </w:r>
            <w:r w:rsidRPr="00C6605E">
              <w:rPr>
                <w:rFonts w:eastAsia="Sylfaen"/>
                <w:sz w:val="16"/>
              </w:rPr>
              <w:t xml:space="preserve"> </w:t>
            </w:r>
            <w:r w:rsidRPr="00C6605E">
              <w:rPr>
                <w:rFonts w:eastAsia="Sylfaen" w:cs="Sylfaen"/>
                <w:sz w:val="16"/>
              </w:rPr>
              <w:t>თავიდან</w:t>
            </w:r>
            <w:r w:rsidRPr="00C6605E">
              <w:rPr>
                <w:rFonts w:eastAsia="Sylfaen"/>
                <w:sz w:val="16"/>
              </w:rPr>
              <w:t xml:space="preserve"> </w:t>
            </w:r>
            <w:r w:rsidRPr="00C6605E">
              <w:rPr>
                <w:rFonts w:eastAsia="Sylfaen" w:cs="Sylfaen"/>
                <w:sz w:val="16"/>
              </w:rPr>
              <w:t>ასაცი</w:t>
            </w:r>
            <w:r w:rsidRPr="00C6605E">
              <w:rPr>
                <w:rFonts w:eastAsia="Sylfaen"/>
                <w:sz w:val="16"/>
              </w:rPr>
              <w:t xml:space="preserve">- </w:t>
            </w:r>
            <w:r w:rsidRPr="00C6605E">
              <w:rPr>
                <w:rFonts w:eastAsia="Sylfaen" w:cs="Sylfaen"/>
                <w:sz w:val="16"/>
              </w:rPr>
              <w:t>ლებლად</w:t>
            </w:r>
            <w:r w:rsidRPr="00C6605E">
              <w:rPr>
                <w:rFonts w:eastAsia="Sylfaen"/>
                <w:sz w:val="16"/>
              </w:rPr>
              <w:t>.</w:t>
            </w:r>
          </w:p>
          <w:p w14:paraId="2EE93F65" w14:textId="2293BB08" w:rsidR="00092B73" w:rsidRPr="00C6605E" w:rsidRDefault="00092B73" w:rsidP="00821E4D">
            <w:pPr>
              <w:pStyle w:val="ListParagraph"/>
              <w:numPr>
                <w:ilvl w:val="1"/>
                <w:numId w:val="36"/>
              </w:numPr>
              <w:ind w:left="360"/>
              <w:rPr>
                <w:rFonts w:eastAsia="Sylfaen"/>
                <w:sz w:val="16"/>
              </w:rPr>
            </w:pPr>
            <w:r w:rsidRPr="00C6605E">
              <w:rPr>
                <w:rFonts w:eastAsia="Sylfaen" w:cs="Sylfaen"/>
                <w:sz w:val="16"/>
              </w:rPr>
              <w:t>მისასვლელი</w:t>
            </w:r>
            <w:r w:rsidRPr="00C6605E">
              <w:rPr>
                <w:rFonts w:eastAsia="Sylfaen"/>
                <w:sz w:val="16"/>
              </w:rPr>
              <w:t xml:space="preserve"> </w:t>
            </w:r>
            <w:r w:rsidRPr="00C6605E">
              <w:rPr>
                <w:rFonts w:eastAsia="Sylfaen" w:cs="Sylfaen"/>
                <w:sz w:val="16"/>
              </w:rPr>
              <w:t>გზების</w:t>
            </w:r>
            <w:r w:rsidRPr="00C6605E">
              <w:rPr>
                <w:rFonts w:eastAsia="Sylfaen"/>
                <w:sz w:val="16"/>
              </w:rPr>
              <w:t xml:space="preserve"> </w:t>
            </w:r>
            <w:r w:rsidRPr="00C6605E">
              <w:rPr>
                <w:rFonts w:eastAsia="Sylfaen" w:cs="Sylfaen"/>
                <w:sz w:val="16"/>
              </w:rPr>
              <w:t>მოწყობისას</w:t>
            </w:r>
            <w:r w:rsidRPr="00C6605E">
              <w:rPr>
                <w:rFonts w:eastAsia="Sylfaen"/>
                <w:sz w:val="16"/>
              </w:rPr>
              <w:t xml:space="preserve"> </w:t>
            </w:r>
            <w:r w:rsidRPr="00C6605E">
              <w:rPr>
                <w:rFonts w:eastAsia="Sylfaen" w:cs="Sylfaen"/>
                <w:sz w:val="16"/>
              </w:rPr>
              <w:t>გათვა</w:t>
            </w:r>
            <w:r w:rsidRPr="00C6605E">
              <w:rPr>
                <w:rFonts w:eastAsia="Sylfaen"/>
                <w:sz w:val="16"/>
              </w:rPr>
              <w:t xml:space="preserve">  </w:t>
            </w:r>
            <w:r w:rsidRPr="00C6605E">
              <w:rPr>
                <w:rFonts w:eastAsia="Sylfaen" w:cs="Sylfaen"/>
                <w:sz w:val="16"/>
              </w:rPr>
              <w:t>ლისწინებული</w:t>
            </w:r>
            <w:r w:rsidRPr="00C6605E">
              <w:rPr>
                <w:rFonts w:eastAsia="Sylfaen"/>
                <w:sz w:val="16"/>
              </w:rPr>
              <w:t xml:space="preserve"> </w:t>
            </w:r>
            <w:r w:rsidRPr="00C6605E">
              <w:rPr>
                <w:rFonts w:eastAsia="Sylfaen" w:cs="Sylfaen"/>
                <w:sz w:val="16"/>
              </w:rPr>
              <w:t>უნდა</w:t>
            </w:r>
            <w:r w:rsidRPr="00C6605E">
              <w:rPr>
                <w:rFonts w:eastAsia="Sylfaen"/>
                <w:sz w:val="16"/>
              </w:rPr>
              <w:t xml:space="preserve"> </w:t>
            </w:r>
            <w:r w:rsidRPr="00C6605E">
              <w:rPr>
                <w:rFonts w:eastAsia="Sylfaen" w:cs="Sylfaen"/>
                <w:sz w:val="16"/>
              </w:rPr>
              <w:t>იყოს</w:t>
            </w:r>
            <w:r w:rsidRPr="00C6605E">
              <w:rPr>
                <w:rFonts w:eastAsia="Sylfaen"/>
                <w:sz w:val="16"/>
              </w:rPr>
              <w:t xml:space="preserve"> </w:t>
            </w:r>
            <w:r w:rsidRPr="00C6605E">
              <w:rPr>
                <w:rFonts w:eastAsia="Sylfaen" w:cs="Sylfaen"/>
                <w:sz w:val="16"/>
              </w:rPr>
              <w:t>ეროზიის</w:t>
            </w:r>
            <w:r w:rsidRPr="00C6605E">
              <w:rPr>
                <w:rFonts w:eastAsia="Sylfaen"/>
                <w:sz w:val="16"/>
              </w:rPr>
              <w:t xml:space="preserve"> </w:t>
            </w:r>
            <w:r w:rsidRPr="00C6605E">
              <w:rPr>
                <w:rFonts w:eastAsia="Sylfaen" w:cs="Sylfaen"/>
                <w:sz w:val="16"/>
              </w:rPr>
              <w:t>საკითხები</w:t>
            </w:r>
            <w:r w:rsidRPr="00C6605E">
              <w:rPr>
                <w:rFonts w:eastAsia="Sylfaen"/>
                <w:sz w:val="16"/>
              </w:rPr>
              <w:t xml:space="preserve">. </w:t>
            </w:r>
            <w:r w:rsidRPr="00C6605E">
              <w:rPr>
                <w:rFonts w:eastAsia="Symbol"/>
                <w:sz w:val="16"/>
              </w:rPr>
              <w:t xml:space="preserve">·  </w:t>
            </w:r>
            <w:r w:rsidRPr="00C6605E">
              <w:rPr>
                <w:rFonts w:eastAsia="Sylfaen" w:cs="Sylfaen"/>
                <w:sz w:val="16"/>
              </w:rPr>
              <w:t>მდინარის</w:t>
            </w:r>
            <w:r w:rsidRPr="00C6605E">
              <w:rPr>
                <w:rFonts w:eastAsia="Sylfaen"/>
                <w:sz w:val="16"/>
              </w:rPr>
              <w:t xml:space="preserve"> </w:t>
            </w:r>
            <w:r w:rsidRPr="00C6605E">
              <w:rPr>
                <w:rFonts w:eastAsia="Sylfaen" w:cs="Sylfaen"/>
                <w:sz w:val="16"/>
              </w:rPr>
              <w:t>ნაპირების</w:t>
            </w:r>
            <w:r w:rsidRPr="00C6605E">
              <w:rPr>
                <w:rFonts w:eastAsia="Sylfaen"/>
                <w:sz w:val="16"/>
              </w:rPr>
              <w:t xml:space="preserve"> </w:t>
            </w:r>
            <w:r w:rsidRPr="00C6605E">
              <w:rPr>
                <w:rFonts w:eastAsia="Sylfaen" w:cs="Sylfaen"/>
                <w:sz w:val="16"/>
              </w:rPr>
              <w:t>და</w:t>
            </w:r>
            <w:r w:rsidRPr="00C6605E">
              <w:rPr>
                <w:rFonts w:eastAsia="Sylfaen"/>
                <w:sz w:val="16"/>
              </w:rPr>
              <w:t xml:space="preserve"> </w:t>
            </w:r>
            <w:r w:rsidRPr="00C6605E">
              <w:rPr>
                <w:rFonts w:eastAsia="Sylfaen" w:cs="Sylfaen"/>
                <w:sz w:val="16"/>
              </w:rPr>
              <w:t>მიმდებარე</w:t>
            </w:r>
            <w:r w:rsidRPr="00C6605E">
              <w:rPr>
                <w:rFonts w:eastAsia="Sylfaen"/>
                <w:sz w:val="16"/>
              </w:rPr>
              <w:t xml:space="preserve"> </w:t>
            </w:r>
            <w:r w:rsidRPr="00C6605E">
              <w:rPr>
                <w:rFonts w:eastAsia="Sylfaen" w:cs="Sylfaen"/>
                <w:sz w:val="16"/>
              </w:rPr>
              <w:t>უბნების</w:t>
            </w:r>
            <w:r w:rsidRPr="00C6605E">
              <w:rPr>
                <w:rFonts w:eastAsia="Sylfaen"/>
                <w:sz w:val="16"/>
              </w:rPr>
              <w:t xml:space="preserve"> </w:t>
            </w:r>
            <w:r w:rsidRPr="00C6605E">
              <w:rPr>
                <w:rFonts w:eastAsia="Sylfaen" w:cs="Sylfaen"/>
                <w:sz w:val="16"/>
              </w:rPr>
              <w:t>შემოწმება</w:t>
            </w:r>
            <w:r w:rsidRPr="00C6605E">
              <w:rPr>
                <w:rFonts w:eastAsia="Sylfaen"/>
                <w:sz w:val="16"/>
              </w:rPr>
              <w:t xml:space="preserve"> </w:t>
            </w:r>
            <w:r w:rsidRPr="00C6605E">
              <w:rPr>
                <w:rFonts w:eastAsia="Sylfaen" w:cs="Sylfaen"/>
                <w:sz w:val="16"/>
              </w:rPr>
              <w:t>პრობლემების</w:t>
            </w:r>
            <w:r w:rsidRPr="00C6605E">
              <w:rPr>
                <w:rFonts w:eastAsia="Sylfaen"/>
                <w:sz w:val="16"/>
              </w:rPr>
              <w:t xml:space="preserve"> </w:t>
            </w:r>
            <w:r w:rsidRPr="00C6605E">
              <w:rPr>
                <w:rFonts w:eastAsia="Sylfaen" w:cs="Sylfaen"/>
                <w:sz w:val="16"/>
              </w:rPr>
              <w:t>დროულად</w:t>
            </w:r>
            <w:r w:rsidRPr="00C6605E">
              <w:rPr>
                <w:rFonts w:eastAsia="Sylfaen"/>
                <w:sz w:val="16"/>
              </w:rPr>
              <w:t xml:space="preserve"> </w:t>
            </w:r>
            <w:r w:rsidRPr="00C6605E">
              <w:rPr>
                <w:rFonts w:eastAsia="Sylfaen" w:cs="Sylfaen"/>
                <w:sz w:val="16"/>
              </w:rPr>
              <w:t>გამოსავლენად</w:t>
            </w:r>
            <w:r w:rsidRPr="00C6605E">
              <w:rPr>
                <w:rFonts w:eastAsia="Sylfaen"/>
                <w:sz w:val="16"/>
              </w:rPr>
              <w:t xml:space="preserve"> </w:t>
            </w:r>
            <w:r w:rsidRPr="00C6605E">
              <w:rPr>
                <w:rFonts w:eastAsia="Sylfaen" w:cs="Sylfaen"/>
                <w:sz w:val="16"/>
              </w:rPr>
              <w:t>და</w:t>
            </w:r>
            <w:r w:rsidRPr="00C6605E">
              <w:rPr>
                <w:rFonts w:eastAsia="Sylfaen"/>
                <w:sz w:val="16"/>
              </w:rPr>
              <w:t xml:space="preserve"> </w:t>
            </w:r>
            <w:r w:rsidRPr="00C6605E">
              <w:rPr>
                <w:rFonts w:eastAsia="Sylfaen" w:cs="Sylfaen"/>
                <w:sz w:val="16"/>
              </w:rPr>
              <w:t>რეაგირებისთვის</w:t>
            </w:r>
            <w:r w:rsidRPr="00C6605E">
              <w:rPr>
                <w:rFonts w:eastAsia="Sylfaen"/>
                <w:sz w:val="16"/>
              </w:rPr>
              <w:t xml:space="preserve">. </w:t>
            </w:r>
            <w:r w:rsidRPr="00C6605E">
              <w:rPr>
                <w:rFonts w:eastAsia="Sylfaen" w:cs="Sylfaen"/>
                <w:sz w:val="16"/>
              </w:rPr>
              <w:t>მდინარის</w:t>
            </w:r>
            <w:r w:rsidRPr="00C6605E">
              <w:rPr>
                <w:rFonts w:eastAsia="Sylfaen"/>
                <w:sz w:val="16"/>
              </w:rPr>
              <w:t xml:space="preserve"> </w:t>
            </w:r>
            <w:r w:rsidRPr="00C6605E">
              <w:rPr>
                <w:rFonts w:eastAsia="Sylfaen" w:cs="Sylfaen"/>
                <w:sz w:val="16"/>
              </w:rPr>
              <w:t>კალაპოტში</w:t>
            </w:r>
            <w:r w:rsidRPr="00C6605E">
              <w:rPr>
                <w:rFonts w:eastAsia="Sylfaen"/>
                <w:sz w:val="16"/>
              </w:rPr>
              <w:t xml:space="preserve"> </w:t>
            </w:r>
            <w:r w:rsidRPr="00C6605E">
              <w:rPr>
                <w:rFonts w:eastAsia="Symbol"/>
                <w:sz w:val="16"/>
              </w:rPr>
              <w:t xml:space="preserve">·  </w:t>
            </w:r>
            <w:r w:rsidRPr="00C6605E">
              <w:rPr>
                <w:rFonts w:eastAsia="Sylfaen" w:cs="Sylfaen"/>
                <w:sz w:val="16"/>
              </w:rPr>
              <w:t>მდინარის</w:t>
            </w:r>
            <w:r w:rsidRPr="00C6605E">
              <w:rPr>
                <w:rFonts w:eastAsia="Sylfaen"/>
                <w:sz w:val="16"/>
              </w:rPr>
              <w:t xml:space="preserve"> </w:t>
            </w:r>
            <w:r w:rsidRPr="00C6605E">
              <w:rPr>
                <w:rFonts w:eastAsia="Sylfaen" w:cs="Sylfaen"/>
                <w:sz w:val="16"/>
              </w:rPr>
              <w:t>კალაპოტში</w:t>
            </w:r>
            <w:r w:rsidRPr="00C6605E">
              <w:rPr>
                <w:rFonts w:eastAsia="Sylfaen"/>
                <w:sz w:val="16"/>
              </w:rPr>
              <w:t xml:space="preserve"> </w:t>
            </w:r>
            <w:r w:rsidRPr="00C6605E">
              <w:rPr>
                <w:rFonts w:eastAsia="Sylfaen" w:cs="Sylfaen"/>
                <w:sz w:val="16"/>
              </w:rPr>
              <w:t>ჩასატარებელი</w:t>
            </w:r>
            <w:r w:rsidRPr="00C6605E">
              <w:rPr>
                <w:rFonts w:eastAsia="Sylfaen"/>
                <w:sz w:val="16"/>
              </w:rPr>
              <w:t xml:space="preserve"> </w:t>
            </w:r>
            <w:r w:rsidRPr="00C6605E">
              <w:rPr>
                <w:rFonts w:eastAsia="Sylfaen" w:cs="Sylfaen"/>
                <w:sz w:val="16"/>
              </w:rPr>
              <w:t>სამუშაოე</w:t>
            </w:r>
            <w:r w:rsidRPr="00C6605E">
              <w:rPr>
                <w:rFonts w:eastAsia="Sylfaen"/>
                <w:sz w:val="16"/>
              </w:rPr>
              <w:t xml:space="preserve"> </w:t>
            </w:r>
            <w:r w:rsidRPr="00C6605E">
              <w:rPr>
                <w:rFonts w:eastAsia="Sylfaen" w:cs="Sylfaen"/>
                <w:sz w:val="16"/>
              </w:rPr>
              <w:t>ბის</w:t>
            </w:r>
            <w:r w:rsidRPr="00C6605E">
              <w:rPr>
                <w:rFonts w:eastAsia="Sylfaen"/>
                <w:sz w:val="16"/>
              </w:rPr>
              <w:t xml:space="preserve"> </w:t>
            </w:r>
            <w:r w:rsidRPr="00C6605E">
              <w:rPr>
                <w:rFonts w:eastAsia="Sylfaen" w:cs="Sylfaen"/>
                <w:sz w:val="16"/>
              </w:rPr>
              <w:t>ხანგრძლივობის</w:t>
            </w:r>
            <w:r w:rsidRPr="00C6605E">
              <w:rPr>
                <w:rFonts w:eastAsia="Sylfaen"/>
                <w:sz w:val="16"/>
              </w:rPr>
              <w:t xml:space="preserve"> </w:t>
            </w:r>
            <w:r w:rsidRPr="00C6605E">
              <w:rPr>
                <w:rFonts w:eastAsia="Sylfaen" w:cs="Sylfaen"/>
                <w:sz w:val="16"/>
              </w:rPr>
              <w:t>ოპტიმალურ</w:t>
            </w:r>
            <w:r w:rsidRPr="00C6605E">
              <w:rPr>
                <w:rFonts w:eastAsia="Sylfaen"/>
                <w:sz w:val="16"/>
              </w:rPr>
              <w:t xml:space="preserve"> </w:t>
            </w:r>
            <w:r w:rsidRPr="00C6605E">
              <w:rPr>
                <w:rFonts w:eastAsia="Sylfaen" w:cs="Sylfaen"/>
                <w:sz w:val="16"/>
              </w:rPr>
              <w:t>მინიმუმამდე</w:t>
            </w:r>
            <w:r w:rsidRPr="00C6605E">
              <w:rPr>
                <w:rFonts w:eastAsia="Sylfaen"/>
                <w:sz w:val="16"/>
              </w:rPr>
              <w:t xml:space="preserve"> </w:t>
            </w:r>
            <w:r w:rsidRPr="00C6605E">
              <w:rPr>
                <w:rFonts w:eastAsia="Sylfaen" w:cs="Sylfaen"/>
                <w:sz w:val="16"/>
              </w:rPr>
              <w:t>დაყვანა</w:t>
            </w:r>
            <w:r w:rsidRPr="00C6605E">
              <w:rPr>
                <w:rFonts w:eastAsia="Sylfaen"/>
                <w:sz w:val="16"/>
              </w:rPr>
              <w:t>.</w:t>
            </w:r>
          </w:p>
          <w:p w14:paraId="4531D4BE" w14:textId="69244F97" w:rsidR="00092B73" w:rsidRPr="00C6605E" w:rsidRDefault="00092B73" w:rsidP="00821E4D">
            <w:pPr>
              <w:pStyle w:val="ListParagraph"/>
              <w:numPr>
                <w:ilvl w:val="1"/>
                <w:numId w:val="36"/>
              </w:numPr>
              <w:ind w:left="360"/>
              <w:rPr>
                <w:rFonts w:eastAsia="Sylfaen"/>
                <w:sz w:val="16"/>
              </w:rPr>
            </w:pPr>
            <w:r w:rsidRPr="00C6605E">
              <w:rPr>
                <w:rFonts w:eastAsia="Sylfaen" w:cs="Sylfaen"/>
                <w:sz w:val="16"/>
              </w:rPr>
              <w:t>მდინარის</w:t>
            </w:r>
            <w:r w:rsidRPr="00C6605E">
              <w:rPr>
                <w:rFonts w:eastAsia="Sylfaen"/>
                <w:sz w:val="16"/>
              </w:rPr>
              <w:t xml:space="preserve">  </w:t>
            </w:r>
            <w:r w:rsidRPr="00C6605E">
              <w:rPr>
                <w:rFonts w:eastAsia="Sylfaen" w:cs="Sylfaen"/>
                <w:sz w:val="16"/>
              </w:rPr>
              <w:t>კალაპოტთან</w:t>
            </w:r>
            <w:r w:rsidRPr="00C6605E">
              <w:rPr>
                <w:rFonts w:eastAsia="Sylfaen"/>
                <w:sz w:val="16"/>
              </w:rPr>
              <w:t xml:space="preserve">  </w:t>
            </w:r>
            <w:r w:rsidRPr="00C6605E">
              <w:rPr>
                <w:rFonts w:eastAsia="Sylfaen" w:cs="Sylfaen"/>
                <w:sz w:val="16"/>
              </w:rPr>
              <w:t>თხრილებიდან</w:t>
            </w:r>
            <w:r w:rsidRPr="00C6605E">
              <w:rPr>
                <w:rFonts w:eastAsia="Sylfaen"/>
                <w:sz w:val="16"/>
              </w:rPr>
              <w:t xml:space="preserve"> </w:t>
            </w:r>
            <w:r w:rsidRPr="00C6605E">
              <w:rPr>
                <w:rFonts w:eastAsia="Sylfaen" w:cs="Sylfaen"/>
                <w:sz w:val="16"/>
              </w:rPr>
              <w:t>ამოღებული</w:t>
            </w:r>
            <w:r w:rsidRPr="00C6605E">
              <w:rPr>
                <w:rFonts w:eastAsia="Sylfaen"/>
                <w:sz w:val="16"/>
              </w:rPr>
              <w:t xml:space="preserve"> </w:t>
            </w:r>
            <w:r w:rsidRPr="00C6605E">
              <w:rPr>
                <w:rFonts w:eastAsia="Sylfaen" w:cs="Sylfaen"/>
                <w:sz w:val="16"/>
              </w:rPr>
              <w:t>მასალის</w:t>
            </w:r>
            <w:r w:rsidRPr="00C6605E">
              <w:rPr>
                <w:rFonts w:eastAsia="Sylfaen"/>
                <w:sz w:val="16"/>
              </w:rPr>
              <w:t xml:space="preserve"> </w:t>
            </w:r>
            <w:r w:rsidRPr="00C6605E">
              <w:rPr>
                <w:rFonts w:eastAsia="Sylfaen" w:cs="Sylfaen"/>
                <w:sz w:val="16"/>
              </w:rPr>
              <w:t>განთავსების</w:t>
            </w:r>
            <w:r w:rsidRPr="00C6605E">
              <w:rPr>
                <w:rFonts w:eastAsia="Sylfaen"/>
                <w:sz w:val="16"/>
              </w:rPr>
              <w:t xml:space="preserve"> </w:t>
            </w:r>
            <w:r w:rsidRPr="00C6605E">
              <w:rPr>
                <w:rFonts w:eastAsia="Sylfaen" w:cs="Sylfaen"/>
                <w:sz w:val="16"/>
              </w:rPr>
              <w:t>თავიდან</w:t>
            </w:r>
            <w:r w:rsidRPr="00C6605E">
              <w:rPr>
                <w:rFonts w:eastAsia="Sylfaen"/>
                <w:sz w:val="16"/>
              </w:rPr>
              <w:t xml:space="preserve"> </w:t>
            </w:r>
            <w:r w:rsidRPr="00C6605E">
              <w:rPr>
                <w:rFonts w:eastAsia="Sylfaen" w:cs="Sylfaen"/>
                <w:sz w:val="16"/>
              </w:rPr>
              <w:t>აცილება</w:t>
            </w:r>
            <w:r w:rsidRPr="00C6605E">
              <w:rPr>
                <w:rFonts w:eastAsia="Sylfaen"/>
                <w:sz w:val="16"/>
              </w:rPr>
              <w:t>.</w:t>
            </w:r>
          </w:p>
          <w:p w14:paraId="23BB48B4" w14:textId="7F8B3A62" w:rsidR="00092B73" w:rsidRPr="00C6605E" w:rsidRDefault="00092B73" w:rsidP="00821E4D">
            <w:pPr>
              <w:pStyle w:val="ListParagraph"/>
              <w:numPr>
                <w:ilvl w:val="1"/>
                <w:numId w:val="36"/>
              </w:numPr>
              <w:ind w:left="360"/>
              <w:rPr>
                <w:rFonts w:eastAsia="Sylfaen"/>
                <w:sz w:val="16"/>
              </w:rPr>
            </w:pPr>
            <w:r w:rsidRPr="00C6605E">
              <w:rPr>
                <w:rFonts w:eastAsia="Sylfaen" w:cs="Sylfaen"/>
                <w:sz w:val="16"/>
              </w:rPr>
              <w:t>მდინარის</w:t>
            </w:r>
            <w:r w:rsidRPr="00C6605E">
              <w:rPr>
                <w:rFonts w:eastAsia="Sylfaen"/>
                <w:sz w:val="16"/>
              </w:rPr>
              <w:t xml:space="preserve"> </w:t>
            </w:r>
            <w:r w:rsidRPr="00C6605E">
              <w:rPr>
                <w:rFonts w:eastAsia="Sylfaen" w:cs="Sylfaen"/>
                <w:sz w:val="16"/>
              </w:rPr>
              <w:t>მახლობლად</w:t>
            </w:r>
            <w:r w:rsidRPr="00C6605E">
              <w:rPr>
                <w:rFonts w:eastAsia="Sylfaen"/>
                <w:sz w:val="16"/>
              </w:rPr>
              <w:t xml:space="preserve"> </w:t>
            </w:r>
            <w:r w:rsidRPr="00C6605E">
              <w:rPr>
                <w:rFonts w:eastAsia="Sylfaen" w:cs="Sylfaen"/>
                <w:sz w:val="16"/>
              </w:rPr>
              <w:t>მანქანების</w:t>
            </w:r>
            <w:r w:rsidRPr="00C6605E">
              <w:rPr>
                <w:rFonts w:eastAsia="Sylfaen"/>
                <w:sz w:val="16"/>
              </w:rPr>
              <w:t xml:space="preserve"> </w:t>
            </w:r>
            <w:r w:rsidRPr="00C6605E">
              <w:rPr>
                <w:rFonts w:eastAsia="Sylfaen" w:cs="Sylfaen"/>
                <w:sz w:val="16"/>
              </w:rPr>
              <w:t>ტექმომსახურების</w:t>
            </w:r>
            <w:r w:rsidRPr="00C6605E">
              <w:rPr>
                <w:rFonts w:eastAsia="Sylfaen"/>
                <w:sz w:val="16"/>
              </w:rPr>
              <w:t xml:space="preserve">,  </w:t>
            </w:r>
            <w:r w:rsidRPr="00C6605E">
              <w:rPr>
                <w:rFonts w:eastAsia="Sylfaen" w:cs="Sylfaen"/>
                <w:sz w:val="16"/>
              </w:rPr>
              <w:t>ადგილზე</w:t>
            </w:r>
            <w:r w:rsidRPr="00C6605E">
              <w:rPr>
                <w:rFonts w:eastAsia="Sylfaen"/>
                <w:sz w:val="16"/>
              </w:rPr>
              <w:t xml:space="preserve">  </w:t>
            </w:r>
            <w:r w:rsidRPr="00C6605E">
              <w:rPr>
                <w:rFonts w:eastAsia="Sylfaen" w:cs="Sylfaen"/>
                <w:sz w:val="16"/>
              </w:rPr>
              <w:t>საწვავით</w:t>
            </w:r>
            <w:r w:rsidRPr="00C6605E">
              <w:rPr>
                <w:rFonts w:eastAsia="Sylfaen"/>
                <w:sz w:val="16"/>
              </w:rPr>
              <w:t xml:space="preserve"> </w:t>
            </w:r>
            <w:r w:rsidRPr="00C6605E">
              <w:rPr>
                <w:rFonts w:eastAsia="Sylfaen" w:cs="Sylfaen"/>
                <w:sz w:val="16"/>
              </w:rPr>
              <w:t>გამართვის</w:t>
            </w:r>
            <w:r w:rsidRPr="00C6605E">
              <w:rPr>
                <w:rFonts w:eastAsia="Sylfaen"/>
                <w:sz w:val="16"/>
              </w:rPr>
              <w:t xml:space="preserve"> </w:t>
            </w:r>
            <w:r w:rsidRPr="00C6605E">
              <w:rPr>
                <w:rFonts w:eastAsia="Sylfaen" w:cs="Sylfaen"/>
                <w:sz w:val="16"/>
              </w:rPr>
              <w:t>აკრძალვა</w:t>
            </w:r>
            <w:r w:rsidRPr="00C6605E">
              <w:rPr>
                <w:rFonts w:eastAsia="Sylfaen"/>
                <w:sz w:val="16"/>
              </w:rPr>
              <w:t>.</w:t>
            </w:r>
          </w:p>
          <w:p w14:paraId="62E0E666" w14:textId="56BEC64E" w:rsidR="00092B73" w:rsidRPr="00C6605E" w:rsidRDefault="00092B73" w:rsidP="00821E4D">
            <w:pPr>
              <w:pStyle w:val="ListParagraph"/>
              <w:numPr>
                <w:ilvl w:val="1"/>
                <w:numId w:val="36"/>
              </w:numPr>
              <w:ind w:left="360"/>
              <w:rPr>
                <w:rFonts w:eastAsia="Sylfaen"/>
                <w:sz w:val="16"/>
              </w:rPr>
            </w:pPr>
            <w:r w:rsidRPr="00C6605E">
              <w:rPr>
                <w:rFonts w:eastAsia="Sylfaen" w:cs="Sylfaen"/>
                <w:sz w:val="16"/>
              </w:rPr>
              <w:t>ნარჩენების</w:t>
            </w:r>
            <w:r w:rsidRPr="00C6605E">
              <w:rPr>
                <w:rFonts w:eastAsia="Sylfaen"/>
                <w:sz w:val="16"/>
              </w:rPr>
              <w:t xml:space="preserve"> </w:t>
            </w:r>
            <w:r w:rsidRPr="00C6605E">
              <w:rPr>
                <w:rFonts w:eastAsia="Sylfaen" w:cs="Sylfaen"/>
                <w:sz w:val="16"/>
              </w:rPr>
              <w:t>სათანადო</w:t>
            </w:r>
            <w:r w:rsidRPr="00C6605E">
              <w:rPr>
                <w:rFonts w:eastAsia="Sylfaen"/>
                <w:sz w:val="16"/>
              </w:rPr>
              <w:t xml:space="preserve"> </w:t>
            </w:r>
            <w:r w:rsidRPr="00C6605E">
              <w:rPr>
                <w:rFonts w:eastAsia="Sylfaen" w:cs="Sylfaen"/>
                <w:sz w:val="16"/>
              </w:rPr>
              <w:t>მართვა</w:t>
            </w:r>
            <w:r w:rsidRPr="00C6605E">
              <w:rPr>
                <w:rFonts w:eastAsia="Symbol"/>
                <w:sz w:val="16"/>
              </w:rPr>
              <w:t xml:space="preserve">·  </w:t>
            </w:r>
            <w:r w:rsidRPr="00C6605E">
              <w:rPr>
                <w:rFonts w:eastAsia="Sylfaen" w:cs="Sylfaen"/>
                <w:sz w:val="16"/>
              </w:rPr>
              <w:t>ფერდობების</w:t>
            </w:r>
            <w:r w:rsidRPr="00C6605E">
              <w:rPr>
                <w:rFonts w:eastAsia="Sylfaen"/>
                <w:sz w:val="16"/>
              </w:rPr>
              <w:t xml:space="preserve"> </w:t>
            </w:r>
            <w:r w:rsidRPr="00C6605E">
              <w:rPr>
                <w:rFonts w:eastAsia="Sylfaen" w:cs="Sylfaen"/>
                <w:sz w:val="16"/>
              </w:rPr>
              <w:t>სტაბილიზაცია</w:t>
            </w:r>
          </w:p>
          <w:p w14:paraId="68F3BC0E" w14:textId="30E0A11C" w:rsidR="00092B73" w:rsidRPr="00C6605E" w:rsidRDefault="00092B73" w:rsidP="00821E4D">
            <w:pPr>
              <w:pStyle w:val="ListParagraph"/>
              <w:numPr>
                <w:ilvl w:val="1"/>
                <w:numId w:val="36"/>
              </w:numPr>
              <w:ind w:left="360"/>
              <w:rPr>
                <w:rFonts w:eastAsia="Sylfaen"/>
                <w:sz w:val="16"/>
              </w:rPr>
            </w:pPr>
            <w:r w:rsidRPr="00C6605E">
              <w:rPr>
                <w:rFonts w:eastAsia="Sylfaen" w:cs="Sylfaen"/>
                <w:sz w:val="16"/>
              </w:rPr>
              <w:t>მდინარის</w:t>
            </w:r>
            <w:r w:rsidRPr="00C6605E">
              <w:rPr>
                <w:rFonts w:eastAsia="Sylfaen"/>
                <w:sz w:val="16"/>
              </w:rPr>
              <w:t xml:space="preserve"> </w:t>
            </w:r>
            <w:r w:rsidRPr="00C6605E">
              <w:rPr>
                <w:rFonts w:eastAsia="Sylfaen" w:cs="Sylfaen"/>
                <w:sz w:val="16"/>
              </w:rPr>
              <w:t>კალაპოტში</w:t>
            </w:r>
            <w:r w:rsidRPr="00C6605E">
              <w:rPr>
                <w:rFonts w:eastAsia="Sylfaen"/>
                <w:sz w:val="16"/>
              </w:rPr>
              <w:t>/</w:t>
            </w:r>
            <w:r w:rsidRPr="00C6605E">
              <w:rPr>
                <w:rFonts w:eastAsia="Sylfaen" w:cs="Sylfaen"/>
                <w:sz w:val="16"/>
              </w:rPr>
              <w:t>კალაპოტთან</w:t>
            </w:r>
            <w:r w:rsidRPr="00C6605E">
              <w:rPr>
                <w:rFonts w:eastAsia="Sylfaen"/>
                <w:sz w:val="16"/>
              </w:rPr>
              <w:t xml:space="preserve"> </w:t>
            </w:r>
            <w:r w:rsidRPr="00C6605E">
              <w:rPr>
                <w:rFonts w:eastAsia="Sylfaen" w:cs="Sylfaen"/>
                <w:sz w:val="16"/>
              </w:rPr>
              <w:t>სამუშაო</w:t>
            </w:r>
            <w:r w:rsidRPr="00C6605E">
              <w:rPr>
                <w:rFonts w:eastAsia="Sylfaen"/>
                <w:sz w:val="16"/>
              </w:rPr>
              <w:t xml:space="preserve"> </w:t>
            </w:r>
            <w:r w:rsidRPr="00C6605E">
              <w:rPr>
                <w:rFonts w:eastAsia="Sylfaen" w:cs="Sylfaen"/>
                <w:sz w:val="16"/>
              </w:rPr>
              <w:t>დაგეგმვა</w:t>
            </w:r>
            <w:r w:rsidRPr="00C6605E">
              <w:rPr>
                <w:rFonts w:eastAsia="Sylfaen"/>
                <w:sz w:val="16"/>
              </w:rPr>
              <w:t xml:space="preserve"> </w:t>
            </w:r>
            <w:r w:rsidRPr="00C6605E">
              <w:rPr>
                <w:rFonts w:eastAsia="Sylfaen" w:cs="Sylfaen"/>
                <w:sz w:val="16"/>
              </w:rPr>
              <w:t>წყლის</w:t>
            </w:r>
            <w:r w:rsidRPr="00C6605E">
              <w:rPr>
                <w:rFonts w:eastAsia="Sylfaen"/>
                <w:sz w:val="16"/>
              </w:rPr>
              <w:t xml:space="preserve"> </w:t>
            </w:r>
            <w:r w:rsidRPr="00C6605E">
              <w:rPr>
                <w:rFonts w:eastAsia="Sylfaen" w:cs="Sylfaen"/>
                <w:sz w:val="16"/>
              </w:rPr>
              <w:t>ფაუნისთვის</w:t>
            </w:r>
            <w:r w:rsidRPr="00C6605E">
              <w:rPr>
                <w:rFonts w:eastAsia="Sylfaen"/>
                <w:sz w:val="16"/>
              </w:rPr>
              <w:t xml:space="preserve"> </w:t>
            </w:r>
            <w:r w:rsidRPr="00C6605E">
              <w:rPr>
                <w:rFonts w:eastAsia="Sylfaen" w:cs="Sylfaen"/>
                <w:sz w:val="16"/>
              </w:rPr>
              <w:t>სენსიტიური</w:t>
            </w:r>
            <w:r w:rsidRPr="00C6605E">
              <w:rPr>
                <w:rFonts w:eastAsia="Sylfaen"/>
                <w:sz w:val="16"/>
              </w:rPr>
              <w:t xml:space="preserve"> </w:t>
            </w:r>
            <w:r w:rsidRPr="00C6605E">
              <w:rPr>
                <w:rFonts w:eastAsia="Sylfaen" w:cs="Sylfaen"/>
                <w:sz w:val="16"/>
              </w:rPr>
              <w:t>პერიოდის</w:t>
            </w:r>
            <w:r w:rsidRPr="00C6605E">
              <w:rPr>
                <w:rFonts w:eastAsia="Sylfaen"/>
                <w:sz w:val="16"/>
              </w:rPr>
              <w:t xml:space="preserve"> </w:t>
            </w:r>
            <w:r w:rsidRPr="00C6605E">
              <w:rPr>
                <w:rFonts w:eastAsia="Sylfaen" w:cs="Sylfaen"/>
                <w:sz w:val="16"/>
              </w:rPr>
              <w:t>გათვალისწინებით</w:t>
            </w:r>
            <w:r w:rsidRPr="00C6605E">
              <w:rPr>
                <w:rFonts w:eastAsia="Sylfaen"/>
                <w:sz w:val="16"/>
              </w:rPr>
              <w:t xml:space="preserve">. </w:t>
            </w:r>
            <w:r w:rsidRPr="00C6605E">
              <w:rPr>
                <w:rFonts w:eastAsia="Sylfaen" w:cs="Sylfaen"/>
                <w:sz w:val="16"/>
              </w:rPr>
              <w:t>სამუშაოები</w:t>
            </w:r>
            <w:r w:rsidRPr="00C6605E">
              <w:rPr>
                <w:rFonts w:eastAsia="Sylfaen"/>
                <w:sz w:val="16"/>
              </w:rPr>
              <w:t xml:space="preserve"> </w:t>
            </w:r>
            <w:r w:rsidRPr="00C6605E">
              <w:rPr>
                <w:rFonts w:eastAsia="Sylfaen" w:cs="Sylfaen"/>
                <w:sz w:val="16"/>
              </w:rPr>
              <w:t>არ</w:t>
            </w:r>
            <w:r w:rsidRPr="00C6605E">
              <w:rPr>
                <w:rFonts w:eastAsia="Sylfaen"/>
                <w:sz w:val="16"/>
              </w:rPr>
              <w:t xml:space="preserve"> </w:t>
            </w:r>
            <w:r w:rsidRPr="00C6605E">
              <w:rPr>
                <w:rFonts w:eastAsia="Sylfaen" w:cs="Sylfaen"/>
                <w:sz w:val="16"/>
              </w:rPr>
              <w:t>უნდაემთხვეოდეს</w:t>
            </w:r>
            <w:r w:rsidRPr="00C6605E">
              <w:rPr>
                <w:rFonts w:eastAsia="Sylfaen"/>
                <w:sz w:val="16"/>
              </w:rPr>
              <w:t xml:space="preserve"> </w:t>
            </w:r>
            <w:r w:rsidRPr="00C6605E">
              <w:rPr>
                <w:rFonts w:eastAsia="Sylfaen" w:cs="Sylfaen"/>
                <w:sz w:val="16"/>
              </w:rPr>
              <w:t>ქვირითობის</w:t>
            </w:r>
            <w:r w:rsidRPr="00C6605E">
              <w:rPr>
                <w:rFonts w:eastAsia="Sylfaen"/>
                <w:sz w:val="16"/>
              </w:rPr>
              <w:t xml:space="preserve"> </w:t>
            </w:r>
            <w:r w:rsidRPr="00C6605E">
              <w:rPr>
                <w:rFonts w:eastAsia="Sylfaen" w:cs="Sylfaen"/>
                <w:sz w:val="16"/>
              </w:rPr>
              <w:t>პერიოდს</w:t>
            </w:r>
            <w:r w:rsidRPr="00C6605E">
              <w:rPr>
                <w:rFonts w:eastAsia="Sylfaen"/>
                <w:sz w:val="16"/>
              </w:rPr>
              <w:t xml:space="preserve"> (</w:t>
            </w:r>
            <w:r w:rsidRPr="00C6605E">
              <w:rPr>
                <w:rFonts w:eastAsia="Sylfaen" w:cs="Sylfaen"/>
                <w:sz w:val="16"/>
              </w:rPr>
              <w:t>ძირითადად</w:t>
            </w:r>
            <w:r w:rsidRPr="00C6605E">
              <w:rPr>
                <w:rFonts w:eastAsia="Sylfaen"/>
                <w:sz w:val="16"/>
              </w:rPr>
              <w:t xml:space="preserve"> </w:t>
            </w:r>
            <w:r w:rsidRPr="00C6605E">
              <w:rPr>
                <w:rFonts w:eastAsia="Sylfaen" w:cs="Sylfaen"/>
                <w:sz w:val="16"/>
              </w:rPr>
              <w:t>შემოდგომა</w:t>
            </w:r>
            <w:r w:rsidRPr="00C6605E">
              <w:rPr>
                <w:rFonts w:eastAsia="Sylfaen"/>
                <w:sz w:val="16"/>
              </w:rPr>
              <w:t>).</w:t>
            </w:r>
          </w:p>
          <w:p w14:paraId="69825F97" w14:textId="5FD4CCD0" w:rsidR="00092B73" w:rsidRPr="00C6605E" w:rsidRDefault="00092B73" w:rsidP="00821E4D">
            <w:pPr>
              <w:pStyle w:val="ListParagraph"/>
              <w:numPr>
                <w:ilvl w:val="1"/>
                <w:numId w:val="36"/>
              </w:numPr>
              <w:ind w:left="360"/>
              <w:rPr>
                <w:rFonts w:eastAsia="Sylfaen"/>
                <w:sz w:val="16"/>
              </w:rPr>
            </w:pPr>
            <w:r w:rsidRPr="00C6605E">
              <w:rPr>
                <w:rFonts w:eastAsia="Sylfaen" w:cs="Sylfaen"/>
                <w:sz w:val="16"/>
              </w:rPr>
              <w:t>მდინარეში</w:t>
            </w:r>
            <w:r w:rsidRPr="00C6605E">
              <w:rPr>
                <w:rFonts w:eastAsia="Sylfaen"/>
                <w:sz w:val="16"/>
              </w:rPr>
              <w:t xml:space="preserve">  </w:t>
            </w:r>
            <w:r w:rsidRPr="00C6605E">
              <w:rPr>
                <w:rFonts w:eastAsia="Sylfaen" w:cs="Sylfaen"/>
                <w:sz w:val="16"/>
              </w:rPr>
              <w:t>დაუმუშავებელი</w:t>
            </w:r>
            <w:r w:rsidRPr="00C6605E">
              <w:rPr>
                <w:rFonts w:eastAsia="Sylfaen"/>
                <w:sz w:val="16"/>
              </w:rPr>
              <w:t xml:space="preserve">  </w:t>
            </w:r>
            <w:r w:rsidRPr="00C6605E">
              <w:rPr>
                <w:rFonts w:eastAsia="Sylfaen" w:cs="Sylfaen"/>
                <w:sz w:val="16"/>
              </w:rPr>
              <w:t>ჩამდინარე</w:t>
            </w:r>
            <w:r w:rsidRPr="00C6605E">
              <w:rPr>
                <w:rFonts w:eastAsia="Sylfaen"/>
                <w:sz w:val="16"/>
              </w:rPr>
              <w:t xml:space="preserve"> </w:t>
            </w:r>
            <w:r w:rsidRPr="00C6605E">
              <w:rPr>
                <w:rFonts w:eastAsia="Sylfaen" w:cs="Sylfaen"/>
                <w:sz w:val="16"/>
              </w:rPr>
              <w:t>წყლის</w:t>
            </w:r>
            <w:r w:rsidRPr="00C6605E">
              <w:rPr>
                <w:rFonts w:eastAsia="Sylfaen"/>
                <w:sz w:val="16"/>
              </w:rPr>
              <w:t xml:space="preserve"> </w:t>
            </w:r>
            <w:r w:rsidRPr="00C6605E">
              <w:rPr>
                <w:rFonts w:eastAsia="Sylfaen" w:cs="Sylfaen"/>
                <w:sz w:val="16"/>
              </w:rPr>
              <w:t>ჩაშვების</w:t>
            </w:r>
            <w:r w:rsidRPr="00C6605E">
              <w:rPr>
                <w:rFonts w:eastAsia="Sylfaen"/>
                <w:sz w:val="16"/>
              </w:rPr>
              <w:t xml:space="preserve"> </w:t>
            </w:r>
            <w:r w:rsidRPr="00C6605E">
              <w:rPr>
                <w:rFonts w:eastAsia="Sylfaen" w:cs="Sylfaen"/>
                <w:sz w:val="16"/>
              </w:rPr>
              <w:t>აკრძალვა</w:t>
            </w:r>
            <w:r w:rsidRPr="00C6605E">
              <w:rPr>
                <w:rFonts w:eastAsia="Sylfaen"/>
                <w:sz w:val="16"/>
              </w:rPr>
              <w:t>.</w:t>
            </w:r>
          </w:p>
          <w:p w14:paraId="535D7336" w14:textId="77777777" w:rsidR="00C6605E" w:rsidRDefault="00092B73" w:rsidP="00821E4D">
            <w:pPr>
              <w:pStyle w:val="ListParagraph"/>
              <w:numPr>
                <w:ilvl w:val="1"/>
                <w:numId w:val="36"/>
              </w:numPr>
              <w:ind w:left="360"/>
              <w:rPr>
                <w:rFonts w:eastAsia="Sylfaen"/>
                <w:sz w:val="16"/>
              </w:rPr>
            </w:pPr>
            <w:r w:rsidRPr="00C6605E">
              <w:rPr>
                <w:rFonts w:eastAsia="Sylfaen" w:cs="Sylfaen"/>
                <w:sz w:val="16"/>
              </w:rPr>
              <w:t>მდინარის</w:t>
            </w:r>
            <w:r w:rsidRPr="00C6605E">
              <w:rPr>
                <w:rFonts w:eastAsia="Sylfaen"/>
                <w:sz w:val="16"/>
              </w:rPr>
              <w:t xml:space="preserve"> </w:t>
            </w:r>
            <w:r w:rsidRPr="00C6605E">
              <w:rPr>
                <w:rFonts w:eastAsia="Sylfaen" w:cs="Sylfaen"/>
                <w:sz w:val="16"/>
              </w:rPr>
              <w:t>კალაპოტში</w:t>
            </w:r>
            <w:r w:rsidRPr="00C6605E">
              <w:rPr>
                <w:rFonts w:eastAsia="Sylfaen"/>
                <w:sz w:val="16"/>
              </w:rPr>
              <w:t xml:space="preserve"> </w:t>
            </w:r>
            <w:r w:rsidRPr="00C6605E">
              <w:rPr>
                <w:rFonts w:eastAsia="Sylfaen" w:cs="Sylfaen"/>
                <w:sz w:val="16"/>
              </w:rPr>
              <w:t>სამუშაოს</w:t>
            </w:r>
            <w:r w:rsidRPr="00C6605E">
              <w:rPr>
                <w:rFonts w:eastAsia="Sylfaen"/>
                <w:sz w:val="16"/>
              </w:rPr>
              <w:t xml:space="preserve"> </w:t>
            </w:r>
            <w:r w:rsidRPr="00C6605E">
              <w:rPr>
                <w:rFonts w:eastAsia="Sylfaen" w:cs="Sylfaen"/>
                <w:sz w:val="16"/>
              </w:rPr>
              <w:t>წარმოებისას</w:t>
            </w:r>
            <w:r w:rsidRPr="00C6605E">
              <w:rPr>
                <w:rFonts w:eastAsia="Sylfaen"/>
                <w:sz w:val="16"/>
              </w:rPr>
              <w:t xml:space="preserve"> </w:t>
            </w:r>
            <w:r w:rsidR="0008581D" w:rsidRPr="00C6605E">
              <w:rPr>
                <w:rFonts w:eastAsia="Sylfaen"/>
                <w:sz w:val="16"/>
                <w:lang w:val="ka-GE"/>
              </w:rPr>
              <w:t xml:space="preserve">საჭიროების შემთხვევაში </w:t>
            </w:r>
            <w:r w:rsidRPr="00C6605E">
              <w:rPr>
                <w:rFonts w:eastAsia="Sylfaen" w:cs="Sylfaen"/>
                <w:sz w:val="16"/>
              </w:rPr>
              <w:t>თევზისთვის</w:t>
            </w:r>
            <w:r w:rsidRPr="00C6605E">
              <w:rPr>
                <w:rFonts w:eastAsia="Sylfaen"/>
                <w:sz w:val="16"/>
              </w:rPr>
              <w:t xml:space="preserve"> </w:t>
            </w:r>
            <w:r w:rsidRPr="00C6605E">
              <w:rPr>
                <w:rFonts w:eastAsia="Sylfaen" w:cs="Sylfaen"/>
                <w:sz w:val="16"/>
              </w:rPr>
              <w:t>თავისუფლად</w:t>
            </w:r>
            <w:r w:rsidRPr="00C6605E">
              <w:rPr>
                <w:rFonts w:eastAsia="Sylfaen"/>
                <w:sz w:val="16"/>
              </w:rPr>
              <w:t xml:space="preserve"> </w:t>
            </w:r>
            <w:r w:rsidRPr="00C6605E">
              <w:rPr>
                <w:rFonts w:eastAsia="Sylfaen" w:cs="Sylfaen"/>
                <w:sz w:val="16"/>
              </w:rPr>
              <w:t>გადაადგილებისთვის</w:t>
            </w:r>
            <w:r w:rsidRPr="00C6605E">
              <w:rPr>
                <w:rFonts w:eastAsia="Sylfaen"/>
                <w:sz w:val="16"/>
              </w:rPr>
              <w:t xml:space="preserve"> ‘</w:t>
            </w:r>
            <w:r w:rsidRPr="00C6605E">
              <w:rPr>
                <w:rFonts w:eastAsia="Sylfaen" w:cs="Sylfaen"/>
                <w:sz w:val="16"/>
              </w:rPr>
              <w:t>გასასვლელების</w:t>
            </w:r>
            <w:r w:rsidRPr="00C6605E">
              <w:rPr>
                <w:rFonts w:eastAsia="Sylfaen"/>
                <w:sz w:val="16"/>
              </w:rPr>
              <w:t xml:space="preserve">’ </w:t>
            </w:r>
            <w:r w:rsidRPr="00C6605E">
              <w:rPr>
                <w:rFonts w:eastAsia="Sylfaen" w:cs="Sylfaen"/>
                <w:sz w:val="16"/>
              </w:rPr>
              <w:t>მოწყობა</w:t>
            </w:r>
            <w:r w:rsidRPr="00C6605E">
              <w:rPr>
                <w:rFonts w:eastAsia="Sylfaen"/>
                <w:sz w:val="16"/>
              </w:rPr>
              <w:t>.</w:t>
            </w:r>
          </w:p>
          <w:p w14:paraId="394C4649" w14:textId="7DE19D53" w:rsidR="00092B73" w:rsidRPr="00C6605E" w:rsidRDefault="00092B73" w:rsidP="00821E4D">
            <w:pPr>
              <w:pStyle w:val="ListParagraph"/>
              <w:numPr>
                <w:ilvl w:val="1"/>
                <w:numId w:val="36"/>
              </w:numPr>
              <w:ind w:left="360"/>
              <w:rPr>
                <w:rFonts w:eastAsia="Sylfaen"/>
                <w:sz w:val="16"/>
              </w:rPr>
            </w:pPr>
            <w:r w:rsidRPr="00C6605E">
              <w:rPr>
                <w:rFonts w:eastAsia="Sylfaen" w:cs="Sylfaen"/>
                <w:sz w:val="16"/>
              </w:rPr>
              <w:t>პერსონალის</w:t>
            </w:r>
            <w:r w:rsidRPr="00C6605E">
              <w:rPr>
                <w:rFonts w:eastAsia="Sylfaen"/>
                <w:sz w:val="16"/>
              </w:rPr>
              <w:t xml:space="preserve"> </w:t>
            </w:r>
            <w:r w:rsidRPr="00C6605E">
              <w:rPr>
                <w:rFonts w:eastAsia="Sylfaen" w:cs="Sylfaen"/>
                <w:sz w:val="16"/>
              </w:rPr>
              <w:t>ინსტრუქტაჟი</w:t>
            </w:r>
            <w:r w:rsidRPr="00C6605E">
              <w:rPr>
                <w:rFonts w:eastAsia="Sylfaen"/>
                <w:sz w:val="16"/>
              </w:rPr>
              <w:t xml:space="preserve"> </w:t>
            </w:r>
            <w:r w:rsidRPr="00C6605E">
              <w:rPr>
                <w:rFonts w:eastAsia="Sylfaen" w:cs="Sylfaen"/>
                <w:sz w:val="16"/>
              </w:rPr>
              <w:t>სამუშაოების</w:t>
            </w:r>
            <w:r w:rsidRPr="00C6605E">
              <w:rPr>
                <w:rFonts w:eastAsia="Sylfaen"/>
                <w:sz w:val="16"/>
              </w:rPr>
              <w:t xml:space="preserve"> </w:t>
            </w:r>
            <w:r w:rsidRPr="00C6605E">
              <w:rPr>
                <w:rFonts w:eastAsia="Sylfaen" w:cs="Sylfaen"/>
                <w:sz w:val="16"/>
              </w:rPr>
              <w:t>წარმოების</w:t>
            </w:r>
            <w:r w:rsidRPr="00C6605E">
              <w:rPr>
                <w:rFonts w:eastAsia="Sylfaen"/>
                <w:sz w:val="16"/>
              </w:rPr>
              <w:t xml:space="preserve"> </w:t>
            </w:r>
            <w:r w:rsidRPr="00C6605E">
              <w:rPr>
                <w:rFonts w:eastAsia="Sylfaen" w:cs="Sylfaen"/>
                <w:sz w:val="16"/>
              </w:rPr>
              <w:t>სათანადო</w:t>
            </w:r>
            <w:r w:rsidRPr="00C6605E">
              <w:rPr>
                <w:rFonts w:eastAsia="Sylfaen"/>
                <w:sz w:val="16"/>
              </w:rPr>
              <w:t xml:space="preserve"> </w:t>
            </w:r>
            <w:r w:rsidRPr="00C6605E">
              <w:rPr>
                <w:rFonts w:eastAsia="Sylfaen" w:cs="Sylfaen"/>
                <w:sz w:val="16"/>
              </w:rPr>
              <w:t>მისაღები</w:t>
            </w:r>
            <w:r w:rsidRPr="00C6605E">
              <w:rPr>
                <w:rFonts w:eastAsia="Sylfaen"/>
                <w:sz w:val="16"/>
              </w:rPr>
              <w:t xml:space="preserve"> </w:t>
            </w:r>
            <w:r w:rsidRPr="00C6605E">
              <w:rPr>
                <w:rFonts w:eastAsia="Sylfaen" w:cs="Sylfaen"/>
                <w:sz w:val="16"/>
              </w:rPr>
              <w:t>პრაქტიკის</w:t>
            </w:r>
            <w:r w:rsidRPr="00C6605E">
              <w:rPr>
                <w:rFonts w:eastAsia="Sylfaen"/>
                <w:sz w:val="16"/>
              </w:rPr>
              <w:t xml:space="preserve"> </w:t>
            </w:r>
            <w:r w:rsidRPr="00C6605E">
              <w:rPr>
                <w:rFonts w:eastAsia="Sylfaen" w:cs="Sylfaen"/>
                <w:sz w:val="16"/>
              </w:rPr>
              <w:t>შესახებ</w:t>
            </w:r>
          </w:p>
        </w:tc>
        <w:tc>
          <w:tcPr>
            <w:tcW w:w="2340" w:type="dxa"/>
            <w:tcBorders>
              <w:top w:val="single" w:sz="6" w:space="0" w:color="000000"/>
              <w:left w:val="single" w:sz="6" w:space="0" w:color="000000"/>
              <w:bottom w:val="single" w:sz="6" w:space="0" w:color="000000"/>
              <w:right w:val="single" w:sz="6" w:space="0" w:color="000000"/>
            </w:tcBorders>
            <w:hideMark/>
          </w:tcPr>
          <w:p w14:paraId="3E3136A3" w14:textId="77777777" w:rsidR="00092B73" w:rsidRPr="00092B73" w:rsidRDefault="00092B73" w:rsidP="0008581D">
            <w:pPr>
              <w:ind w:left="174"/>
              <w:rPr>
                <w:rFonts w:eastAsia="Sylfaen"/>
                <w:sz w:val="16"/>
                <w:lang w:val="ka-GE"/>
              </w:rPr>
            </w:pPr>
            <w:r w:rsidRPr="00092B73">
              <w:rPr>
                <w:rFonts w:ascii="Sylfaen" w:eastAsia="Sylfaen" w:hAnsi="Sylfaen" w:cs="Sylfaen"/>
                <w:sz w:val="16"/>
              </w:rPr>
              <w:t>დამატებით</w:t>
            </w:r>
            <w:r w:rsidRPr="00092B73">
              <w:rPr>
                <w:rFonts w:eastAsia="Sylfaen"/>
                <w:sz w:val="16"/>
              </w:rPr>
              <w:t xml:space="preserve"> </w:t>
            </w:r>
            <w:r w:rsidRPr="00092B73">
              <w:rPr>
                <w:rFonts w:ascii="Sylfaen" w:eastAsia="Sylfaen" w:hAnsi="Sylfaen" w:cs="Sylfaen"/>
                <w:sz w:val="16"/>
              </w:rPr>
              <w:t>ხარჯებს</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მოითხოვს</w:t>
            </w:r>
          </w:p>
        </w:tc>
        <w:tc>
          <w:tcPr>
            <w:tcW w:w="1204" w:type="dxa"/>
            <w:tcBorders>
              <w:top w:val="single" w:sz="6" w:space="0" w:color="000000"/>
              <w:left w:val="single" w:sz="6" w:space="0" w:color="000000"/>
              <w:bottom w:val="single" w:sz="6" w:space="0" w:color="000000"/>
              <w:right w:val="single" w:sz="6" w:space="0" w:color="000000"/>
            </w:tcBorders>
            <w:hideMark/>
          </w:tcPr>
          <w:p w14:paraId="0109D613" w14:textId="77777777" w:rsidR="00092B73" w:rsidRPr="00092B73" w:rsidRDefault="00092B73" w:rsidP="0008581D">
            <w:pPr>
              <w:ind w:left="92"/>
              <w:rPr>
                <w:rFonts w:eastAsia="Sylfaen"/>
                <w:sz w:val="16"/>
                <w:lang w:val="en-US"/>
              </w:rPr>
            </w:pPr>
            <w:r w:rsidRPr="00092B73">
              <w:rPr>
                <w:rFonts w:ascii="Sylfaen" w:eastAsia="Sylfaen" w:hAnsi="Sylfaen" w:cs="Sylfaen"/>
                <w:sz w:val="16"/>
              </w:rPr>
              <w:t>მშენებელი</w:t>
            </w:r>
            <w:r w:rsidRPr="00092B73">
              <w:rPr>
                <w:rFonts w:eastAsia="Sylfaen"/>
                <w:sz w:val="16"/>
              </w:rPr>
              <w:t xml:space="preserve"> </w:t>
            </w:r>
            <w:r w:rsidRPr="00092B73">
              <w:rPr>
                <w:rFonts w:ascii="Sylfaen" w:eastAsia="Sylfaen" w:hAnsi="Sylfaen" w:cs="Sylfaen"/>
                <w:sz w:val="16"/>
              </w:rPr>
              <w:t>კონტრაქტორი</w:t>
            </w:r>
          </w:p>
        </w:tc>
        <w:tc>
          <w:tcPr>
            <w:tcW w:w="1574" w:type="dxa"/>
            <w:tcBorders>
              <w:top w:val="single" w:sz="6" w:space="0" w:color="000000"/>
              <w:left w:val="single" w:sz="6" w:space="0" w:color="000000"/>
              <w:bottom w:val="single" w:sz="6" w:space="0" w:color="000000"/>
              <w:right w:val="single" w:sz="6" w:space="0" w:color="000000"/>
            </w:tcBorders>
            <w:hideMark/>
          </w:tcPr>
          <w:p w14:paraId="7166359F" w14:textId="77777777" w:rsidR="00092B73" w:rsidRPr="00092B73" w:rsidRDefault="00092B73" w:rsidP="0008581D">
            <w:pPr>
              <w:ind w:left="58"/>
              <w:rPr>
                <w:rFonts w:eastAsia="Sylfaen"/>
                <w:sz w:val="16"/>
                <w:lang w:val="ka-GE"/>
              </w:rPr>
            </w:pPr>
            <w:r w:rsidRPr="00092B73">
              <w:rPr>
                <w:rFonts w:ascii="Sylfaen" w:eastAsia="Sylfaen" w:hAnsi="Sylfaen" w:cs="Sylfaen"/>
                <w:sz w:val="16"/>
              </w:rPr>
              <w:t>საგზაო</w:t>
            </w:r>
            <w:r w:rsidRPr="00092B73">
              <w:rPr>
                <w:rFonts w:eastAsia="Sylfaen"/>
                <w:sz w:val="16"/>
              </w:rPr>
              <w:t xml:space="preserve"> </w:t>
            </w:r>
            <w:r w:rsidRPr="00092B73">
              <w:rPr>
                <w:rFonts w:ascii="Sylfaen" w:eastAsia="Sylfaen" w:hAnsi="Sylfaen" w:cs="Sylfaen"/>
                <w:sz w:val="16"/>
              </w:rPr>
              <w:t>დეპარტამენტი</w:t>
            </w:r>
          </w:p>
          <w:p w14:paraId="792400BB" w14:textId="77777777" w:rsidR="00092B73" w:rsidRPr="00092B73" w:rsidRDefault="00092B73" w:rsidP="0008581D">
            <w:pPr>
              <w:ind w:left="58"/>
              <w:rPr>
                <w:rFonts w:eastAsia="Sylfaen"/>
                <w:sz w:val="16"/>
                <w:lang w:val="en-US"/>
              </w:rPr>
            </w:pPr>
            <w:r w:rsidRPr="00092B73">
              <w:rPr>
                <w:rFonts w:ascii="Sylfaen" w:eastAsia="Sylfaen" w:hAnsi="Sylfaen" w:cs="Sylfaen"/>
                <w:sz w:val="16"/>
              </w:rPr>
              <w:t>საზედამხედველო</w:t>
            </w:r>
            <w:r w:rsidRPr="00092B73">
              <w:rPr>
                <w:rFonts w:eastAsia="Sylfaen"/>
                <w:sz w:val="16"/>
              </w:rPr>
              <w:t xml:space="preserve"> </w:t>
            </w:r>
            <w:r w:rsidRPr="00092B73">
              <w:rPr>
                <w:rFonts w:ascii="Sylfaen" w:eastAsia="Sylfaen" w:hAnsi="Sylfaen" w:cs="Sylfaen"/>
                <w:sz w:val="16"/>
              </w:rPr>
              <w:t>კომპანია</w:t>
            </w:r>
          </w:p>
        </w:tc>
      </w:tr>
      <w:tr w:rsidR="00092B73" w:rsidRPr="00092B73" w14:paraId="493404AC" w14:textId="77777777" w:rsidTr="00C6605E">
        <w:trPr>
          <w:gridAfter w:val="1"/>
          <w:wAfter w:w="12" w:type="dxa"/>
          <w:trHeight w:hRule="exact" w:val="4428"/>
        </w:trPr>
        <w:tc>
          <w:tcPr>
            <w:tcW w:w="1800" w:type="dxa"/>
            <w:tcBorders>
              <w:top w:val="single" w:sz="6" w:space="0" w:color="000000"/>
              <w:left w:val="single" w:sz="6" w:space="0" w:color="000000"/>
              <w:bottom w:val="single" w:sz="6" w:space="0" w:color="000000"/>
              <w:right w:val="single" w:sz="6" w:space="0" w:color="000000"/>
            </w:tcBorders>
            <w:hideMark/>
          </w:tcPr>
          <w:p w14:paraId="41663B5C" w14:textId="77777777" w:rsidR="00092B73" w:rsidRPr="00092B73" w:rsidRDefault="00092B73" w:rsidP="000321C7">
            <w:pPr>
              <w:rPr>
                <w:sz w:val="16"/>
              </w:rPr>
            </w:pPr>
            <w:r w:rsidRPr="00092B73">
              <w:rPr>
                <w:rFonts w:ascii="Sylfaen" w:eastAsia="Sylfaen" w:hAnsi="Sylfaen" w:cs="Sylfaen"/>
                <w:sz w:val="16"/>
              </w:rPr>
              <w:lastRenderedPageBreak/>
              <w:t>ტექნიკის</w:t>
            </w:r>
          </w:p>
          <w:p w14:paraId="0A0002AE" w14:textId="77777777" w:rsidR="00092B73" w:rsidRPr="00092B73" w:rsidRDefault="00092B73" w:rsidP="000321C7">
            <w:pPr>
              <w:rPr>
                <w:rFonts w:eastAsia="Sylfaen"/>
                <w:sz w:val="16"/>
              </w:rPr>
            </w:pPr>
            <w:r w:rsidRPr="00092B73">
              <w:rPr>
                <w:rFonts w:ascii="Sylfaen" w:eastAsia="Sylfaen" w:hAnsi="Sylfaen" w:cs="Sylfaen"/>
                <w:sz w:val="16"/>
              </w:rPr>
              <w:t>ტექმომსახურება</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საწვავით</w:t>
            </w:r>
          </w:p>
          <w:p w14:paraId="3D7380E9" w14:textId="77777777" w:rsidR="00092B73" w:rsidRPr="00092B73" w:rsidRDefault="00092B73" w:rsidP="000321C7">
            <w:pPr>
              <w:rPr>
                <w:rFonts w:eastAsia="Sylfaen"/>
                <w:sz w:val="16"/>
              </w:rPr>
            </w:pPr>
            <w:r w:rsidRPr="00092B73">
              <w:rPr>
                <w:rFonts w:ascii="Sylfaen" w:eastAsia="Sylfaen" w:hAnsi="Sylfaen" w:cs="Sylfaen"/>
                <w:sz w:val="16"/>
              </w:rPr>
              <w:t>გამართვა</w:t>
            </w:r>
            <w:r w:rsidRPr="00092B73">
              <w:rPr>
                <w:rFonts w:eastAsia="Sylfaen"/>
                <w:sz w:val="16"/>
              </w:rPr>
              <w:t xml:space="preserve">, </w:t>
            </w:r>
            <w:r w:rsidRPr="00092B73">
              <w:rPr>
                <w:rFonts w:ascii="Sylfaen" w:eastAsia="Sylfaen" w:hAnsi="Sylfaen" w:cs="Sylfaen"/>
                <w:sz w:val="16"/>
              </w:rPr>
              <w:t>საწვავის</w:t>
            </w:r>
            <w:r w:rsidRPr="00092B73">
              <w:rPr>
                <w:rFonts w:eastAsia="Sylfaen"/>
                <w:sz w:val="16"/>
              </w:rPr>
              <w:t xml:space="preserve"> </w:t>
            </w:r>
            <w:r w:rsidRPr="00092B73">
              <w:rPr>
                <w:rFonts w:ascii="Sylfaen" w:eastAsia="Sylfaen" w:hAnsi="Sylfaen" w:cs="Sylfaen"/>
                <w:sz w:val="16"/>
              </w:rPr>
              <w:t>ავზისგანთავსების</w:t>
            </w:r>
            <w:r w:rsidRPr="00092B73">
              <w:rPr>
                <w:rFonts w:eastAsia="Sylfaen"/>
                <w:sz w:val="16"/>
              </w:rPr>
              <w:t xml:space="preserve"> </w:t>
            </w:r>
            <w:r w:rsidRPr="00092B73">
              <w:rPr>
                <w:rFonts w:ascii="Sylfaen" w:eastAsia="Sylfaen" w:hAnsi="Sylfaen" w:cs="Sylfaen"/>
                <w:sz w:val="16"/>
              </w:rPr>
              <w:t>უბნები</w:t>
            </w:r>
          </w:p>
        </w:tc>
        <w:tc>
          <w:tcPr>
            <w:tcW w:w="1788" w:type="dxa"/>
            <w:tcBorders>
              <w:top w:val="single" w:sz="6" w:space="0" w:color="000000"/>
              <w:left w:val="single" w:sz="6" w:space="0" w:color="000000"/>
              <w:bottom w:val="single" w:sz="6" w:space="0" w:color="000000"/>
              <w:right w:val="single" w:sz="6" w:space="0" w:color="000000"/>
            </w:tcBorders>
            <w:hideMark/>
          </w:tcPr>
          <w:p w14:paraId="13255139" w14:textId="77777777" w:rsidR="00092B73" w:rsidRPr="00092B73" w:rsidRDefault="00092B73" w:rsidP="000321C7">
            <w:pPr>
              <w:rPr>
                <w:rFonts w:eastAsia="Sylfaen"/>
                <w:sz w:val="16"/>
              </w:rPr>
            </w:pPr>
            <w:r w:rsidRPr="00092B73">
              <w:rPr>
                <w:rFonts w:ascii="Sylfaen" w:eastAsia="Sylfaen" w:hAnsi="Sylfaen" w:cs="Sylfaen"/>
                <w:sz w:val="16"/>
              </w:rPr>
              <w:t>დაბინძურებული</w:t>
            </w:r>
            <w:r w:rsidRPr="00092B73">
              <w:rPr>
                <w:rFonts w:eastAsia="Sylfaen"/>
                <w:sz w:val="16"/>
              </w:rPr>
              <w:t xml:space="preserve"> </w:t>
            </w:r>
            <w:r w:rsidRPr="00092B73">
              <w:rPr>
                <w:rFonts w:ascii="Sylfaen" w:eastAsia="Sylfaen" w:hAnsi="Sylfaen" w:cs="Sylfaen"/>
                <w:sz w:val="16"/>
              </w:rPr>
              <w:t>წყლის</w:t>
            </w:r>
            <w:r w:rsidRPr="00092B73">
              <w:rPr>
                <w:rFonts w:eastAsia="Sylfaen"/>
                <w:sz w:val="16"/>
              </w:rPr>
              <w:t xml:space="preserve">, </w:t>
            </w:r>
            <w:r w:rsidRPr="00092B73">
              <w:rPr>
                <w:rFonts w:ascii="Sylfaen" w:eastAsia="Sylfaen" w:hAnsi="Sylfaen" w:cs="Sylfaen"/>
                <w:sz w:val="16"/>
              </w:rPr>
              <w:t>ზეთების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სხვა</w:t>
            </w:r>
            <w:r w:rsidRPr="00092B73">
              <w:rPr>
                <w:rFonts w:eastAsia="Sylfaen"/>
                <w:sz w:val="16"/>
              </w:rPr>
              <w:t xml:space="preserve"> </w:t>
            </w:r>
            <w:r w:rsidRPr="00092B73">
              <w:rPr>
                <w:rFonts w:ascii="Sylfaen" w:eastAsia="Sylfaen" w:hAnsi="Sylfaen" w:cs="Sylfaen"/>
                <w:sz w:val="16"/>
              </w:rPr>
              <w:t>დაღვრის</w:t>
            </w:r>
            <w:r w:rsidRPr="00092B73">
              <w:rPr>
                <w:rFonts w:eastAsia="Sylfaen"/>
                <w:sz w:val="16"/>
              </w:rPr>
              <w:t xml:space="preserve"> </w:t>
            </w:r>
            <w:r w:rsidRPr="00092B73">
              <w:rPr>
                <w:rFonts w:ascii="Sylfaen" w:eastAsia="Sylfaen" w:hAnsi="Sylfaen" w:cs="Sylfaen"/>
                <w:sz w:val="16"/>
              </w:rPr>
              <w:t>გამო</w:t>
            </w:r>
            <w:r w:rsidRPr="00092B73">
              <w:rPr>
                <w:rFonts w:eastAsia="Sylfaen"/>
                <w:sz w:val="16"/>
              </w:rPr>
              <w:t xml:space="preserve"> </w:t>
            </w:r>
            <w:r w:rsidRPr="00092B73">
              <w:rPr>
                <w:rFonts w:ascii="Sylfaen" w:eastAsia="Sylfaen" w:hAnsi="Sylfaen" w:cs="Sylfaen"/>
                <w:sz w:val="16"/>
              </w:rPr>
              <w:t>წყლის</w:t>
            </w:r>
            <w:r w:rsidRPr="00092B73">
              <w:rPr>
                <w:rFonts w:eastAsia="Sylfaen"/>
                <w:sz w:val="16"/>
              </w:rPr>
              <w:t>/</w:t>
            </w:r>
            <w:r w:rsidRPr="00092B73">
              <w:rPr>
                <w:rFonts w:ascii="Sylfaen" w:eastAsia="Sylfaen" w:hAnsi="Sylfaen" w:cs="Sylfaen"/>
                <w:sz w:val="16"/>
              </w:rPr>
              <w:t>ნიადაგისხარისხის</w:t>
            </w:r>
            <w:r w:rsidRPr="00092B73">
              <w:rPr>
                <w:rFonts w:eastAsia="Sylfaen"/>
                <w:sz w:val="16"/>
              </w:rPr>
              <w:t xml:space="preserve"> </w:t>
            </w:r>
            <w:r w:rsidRPr="00092B73">
              <w:rPr>
                <w:rFonts w:ascii="Sylfaen" w:eastAsia="Sylfaen" w:hAnsi="Sylfaen" w:cs="Sylfaen"/>
                <w:sz w:val="16"/>
              </w:rPr>
              <w:t>გაუარესება</w:t>
            </w:r>
          </w:p>
        </w:tc>
        <w:tc>
          <w:tcPr>
            <w:tcW w:w="6838" w:type="dxa"/>
            <w:tcBorders>
              <w:top w:val="single" w:sz="6" w:space="0" w:color="000000"/>
              <w:left w:val="single" w:sz="6" w:space="0" w:color="000000"/>
              <w:bottom w:val="single" w:sz="6" w:space="0" w:color="000000"/>
              <w:right w:val="single" w:sz="6" w:space="0" w:color="000000"/>
            </w:tcBorders>
            <w:hideMark/>
          </w:tcPr>
          <w:p w14:paraId="19A9C4BC" w14:textId="0F660C95" w:rsidR="00092B73" w:rsidRPr="00C6605E" w:rsidRDefault="00092B73" w:rsidP="00821E4D">
            <w:pPr>
              <w:pStyle w:val="ListParagraph"/>
              <w:numPr>
                <w:ilvl w:val="1"/>
                <w:numId w:val="36"/>
              </w:numPr>
              <w:ind w:left="360"/>
              <w:rPr>
                <w:rFonts w:eastAsia="Sylfaen"/>
                <w:sz w:val="16"/>
              </w:rPr>
            </w:pPr>
            <w:r w:rsidRPr="00C6605E">
              <w:rPr>
                <w:rFonts w:eastAsia="Sylfaen" w:cs="Sylfaen"/>
                <w:sz w:val="16"/>
              </w:rPr>
              <w:t>კონტროლის</w:t>
            </w:r>
            <w:r w:rsidRPr="00C6605E">
              <w:rPr>
                <w:rFonts w:eastAsia="Sylfaen"/>
                <w:sz w:val="16"/>
              </w:rPr>
              <w:t xml:space="preserve">  </w:t>
            </w:r>
            <w:r w:rsidRPr="00C6605E">
              <w:rPr>
                <w:rFonts w:eastAsia="Sylfaen" w:cs="Sylfaen"/>
                <w:sz w:val="16"/>
              </w:rPr>
              <w:t>დაწესება</w:t>
            </w:r>
            <w:r w:rsidRPr="00C6605E">
              <w:rPr>
                <w:rFonts w:eastAsia="Sylfaen"/>
                <w:sz w:val="16"/>
              </w:rPr>
              <w:t xml:space="preserve">  </w:t>
            </w:r>
            <w:r w:rsidRPr="00C6605E">
              <w:rPr>
                <w:rFonts w:eastAsia="Sylfaen" w:cs="Sylfaen"/>
                <w:sz w:val="16"/>
              </w:rPr>
              <w:t>მშრალი</w:t>
            </w:r>
            <w:r w:rsidRPr="00C6605E">
              <w:rPr>
                <w:rFonts w:eastAsia="Sylfaen"/>
                <w:sz w:val="16"/>
              </w:rPr>
              <w:t xml:space="preserve"> </w:t>
            </w:r>
            <w:r w:rsidRPr="00C6605E">
              <w:rPr>
                <w:rFonts w:eastAsia="Sylfaen" w:cs="Sylfaen"/>
                <w:sz w:val="16"/>
              </w:rPr>
              <w:t>ხევები</w:t>
            </w:r>
            <w:r w:rsidRPr="00C6605E">
              <w:rPr>
                <w:rFonts w:eastAsia="Sylfaen"/>
                <w:sz w:val="16"/>
              </w:rPr>
              <w:t xml:space="preserve">  </w:t>
            </w:r>
            <w:r w:rsidRPr="00C6605E">
              <w:rPr>
                <w:rFonts w:eastAsia="Sylfaen" w:cs="Sylfaen"/>
                <w:sz w:val="16"/>
              </w:rPr>
              <w:t>კალაპოტში</w:t>
            </w:r>
            <w:r w:rsidRPr="00C6605E">
              <w:rPr>
                <w:rFonts w:eastAsia="Sylfaen"/>
                <w:sz w:val="16"/>
              </w:rPr>
              <w:t xml:space="preserve">/ </w:t>
            </w:r>
            <w:r w:rsidRPr="00C6605E">
              <w:rPr>
                <w:rFonts w:eastAsia="Sylfaen" w:cs="Sylfaen"/>
                <w:sz w:val="16"/>
              </w:rPr>
              <w:t>კალაპოტთან</w:t>
            </w:r>
            <w:r w:rsidRPr="00C6605E">
              <w:rPr>
                <w:rFonts w:eastAsia="Sylfaen"/>
                <w:sz w:val="16"/>
              </w:rPr>
              <w:t xml:space="preserve"> </w:t>
            </w:r>
            <w:r w:rsidRPr="00C6605E">
              <w:rPr>
                <w:rFonts w:eastAsia="Sylfaen" w:cs="Sylfaen"/>
                <w:sz w:val="16"/>
              </w:rPr>
              <w:t>ახლოს</w:t>
            </w:r>
            <w:r w:rsidRPr="00C6605E">
              <w:rPr>
                <w:rFonts w:eastAsia="Sylfaen"/>
                <w:sz w:val="16"/>
              </w:rPr>
              <w:t xml:space="preserve"> </w:t>
            </w:r>
            <w:r w:rsidRPr="00C6605E">
              <w:rPr>
                <w:rFonts w:eastAsia="Sylfaen" w:cs="Sylfaen"/>
                <w:sz w:val="16"/>
              </w:rPr>
              <w:t>მანქანების</w:t>
            </w:r>
            <w:r w:rsidRPr="00C6605E">
              <w:rPr>
                <w:rFonts w:eastAsia="Sylfaen"/>
                <w:sz w:val="16"/>
              </w:rPr>
              <w:t xml:space="preserve"> </w:t>
            </w:r>
            <w:r w:rsidRPr="00C6605E">
              <w:rPr>
                <w:rFonts w:eastAsia="Sylfaen" w:cs="Sylfaen"/>
                <w:sz w:val="16"/>
              </w:rPr>
              <w:t>საწვავით</w:t>
            </w:r>
            <w:r w:rsidRPr="00C6605E">
              <w:rPr>
                <w:rFonts w:eastAsia="Sylfaen"/>
                <w:sz w:val="16"/>
              </w:rPr>
              <w:t xml:space="preserve"> </w:t>
            </w:r>
            <w:r w:rsidRPr="00C6605E">
              <w:rPr>
                <w:rFonts w:eastAsia="Sylfaen" w:cs="Sylfaen"/>
                <w:sz w:val="16"/>
              </w:rPr>
              <w:t>გამართვის</w:t>
            </w:r>
            <w:r w:rsidRPr="00C6605E">
              <w:rPr>
                <w:rFonts w:eastAsia="Sylfaen"/>
                <w:sz w:val="16"/>
              </w:rPr>
              <w:t xml:space="preserve">  </w:t>
            </w:r>
            <w:r w:rsidRPr="00C6605E">
              <w:rPr>
                <w:rFonts w:eastAsia="Sylfaen" w:cs="Sylfaen"/>
                <w:sz w:val="16"/>
              </w:rPr>
              <w:t>აკრძალვის</w:t>
            </w:r>
            <w:r w:rsidRPr="00C6605E">
              <w:rPr>
                <w:rFonts w:eastAsia="Sylfaen"/>
                <w:sz w:val="16"/>
              </w:rPr>
              <w:t xml:space="preserve">  </w:t>
            </w:r>
            <w:r w:rsidRPr="00C6605E">
              <w:rPr>
                <w:rFonts w:eastAsia="Sylfaen" w:cs="Sylfaen"/>
                <w:sz w:val="16"/>
              </w:rPr>
              <w:t>მოთხოვნის</w:t>
            </w:r>
            <w:r w:rsidRPr="00C6605E">
              <w:rPr>
                <w:rFonts w:eastAsia="Sylfaen"/>
                <w:sz w:val="16"/>
              </w:rPr>
              <w:t xml:space="preserve">  </w:t>
            </w:r>
            <w:r w:rsidRPr="00C6605E">
              <w:rPr>
                <w:rFonts w:eastAsia="Sylfaen" w:cs="Sylfaen"/>
                <w:sz w:val="16"/>
              </w:rPr>
              <w:t>შესრულებაზე</w:t>
            </w:r>
            <w:r w:rsidRPr="00C6605E">
              <w:rPr>
                <w:rFonts w:eastAsia="Sylfaen"/>
                <w:sz w:val="16"/>
              </w:rPr>
              <w:t xml:space="preserve"> </w:t>
            </w:r>
            <w:r w:rsidRPr="00C6605E">
              <w:rPr>
                <w:rFonts w:eastAsia="Sylfaen" w:cs="Sylfaen"/>
                <w:sz w:val="16"/>
              </w:rPr>
              <w:t>დაღვრის</w:t>
            </w:r>
            <w:r w:rsidRPr="00C6605E">
              <w:rPr>
                <w:rFonts w:eastAsia="Sylfaen"/>
                <w:sz w:val="16"/>
              </w:rPr>
              <w:t xml:space="preserve"> </w:t>
            </w:r>
            <w:r w:rsidRPr="00C6605E">
              <w:rPr>
                <w:rFonts w:eastAsia="Sylfaen" w:cs="Sylfaen"/>
                <w:sz w:val="16"/>
              </w:rPr>
              <w:t>შედეგად</w:t>
            </w:r>
            <w:r w:rsidRPr="00C6605E">
              <w:rPr>
                <w:rFonts w:eastAsia="Sylfaen"/>
                <w:sz w:val="16"/>
              </w:rPr>
              <w:t xml:space="preserve"> </w:t>
            </w:r>
            <w:r w:rsidRPr="00C6605E">
              <w:rPr>
                <w:rFonts w:eastAsia="Sylfaen" w:cs="Sylfaen"/>
                <w:sz w:val="16"/>
              </w:rPr>
              <w:t>წყლის</w:t>
            </w:r>
            <w:r w:rsidRPr="00C6605E">
              <w:rPr>
                <w:rFonts w:eastAsia="Sylfaen"/>
                <w:sz w:val="16"/>
              </w:rPr>
              <w:t xml:space="preserve"> </w:t>
            </w:r>
            <w:r w:rsidRPr="00C6605E">
              <w:rPr>
                <w:rFonts w:eastAsia="Sylfaen" w:cs="Sylfaen"/>
                <w:sz w:val="16"/>
              </w:rPr>
              <w:t>დაბინძურების</w:t>
            </w:r>
            <w:r w:rsidRPr="00C6605E">
              <w:rPr>
                <w:rFonts w:eastAsia="Sylfaen"/>
                <w:sz w:val="16"/>
              </w:rPr>
              <w:t xml:space="preserve"> </w:t>
            </w:r>
            <w:r w:rsidRPr="00C6605E">
              <w:rPr>
                <w:rFonts w:eastAsia="Sylfaen" w:cs="Sylfaen"/>
                <w:sz w:val="16"/>
              </w:rPr>
              <w:t>თავიდან</w:t>
            </w:r>
            <w:r w:rsidRPr="00C6605E">
              <w:rPr>
                <w:rFonts w:eastAsia="Sylfaen"/>
                <w:sz w:val="16"/>
              </w:rPr>
              <w:t xml:space="preserve"> </w:t>
            </w:r>
            <w:r w:rsidRPr="00C6605E">
              <w:rPr>
                <w:rFonts w:eastAsia="Sylfaen" w:cs="Sylfaen"/>
                <w:sz w:val="16"/>
              </w:rPr>
              <w:t>ასაცილებლად</w:t>
            </w:r>
            <w:r w:rsidRPr="00C6605E">
              <w:rPr>
                <w:rFonts w:eastAsia="Sylfaen"/>
                <w:sz w:val="16"/>
              </w:rPr>
              <w:t>.</w:t>
            </w:r>
          </w:p>
          <w:p w14:paraId="20ED2FA6" w14:textId="3CA3C85F" w:rsidR="00092B73" w:rsidRPr="00C6605E" w:rsidRDefault="00092B73" w:rsidP="00821E4D">
            <w:pPr>
              <w:pStyle w:val="ListParagraph"/>
              <w:numPr>
                <w:ilvl w:val="1"/>
                <w:numId w:val="36"/>
              </w:numPr>
              <w:ind w:left="360"/>
              <w:rPr>
                <w:rFonts w:eastAsia="Sylfaen"/>
                <w:sz w:val="16"/>
              </w:rPr>
            </w:pPr>
            <w:r w:rsidRPr="00C6605E">
              <w:rPr>
                <w:rFonts w:eastAsia="Sylfaen" w:cs="Sylfaen"/>
                <w:sz w:val="16"/>
              </w:rPr>
              <w:t>მანქანების</w:t>
            </w:r>
            <w:r w:rsidRPr="00C6605E">
              <w:rPr>
                <w:rFonts w:eastAsia="Sylfaen"/>
                <w:sz w:val="16"/>
              </w:rPr>
              <w:t xml:space="preserve"> </w:t>
            </w:r>
            <w:r w:rsidRPr="00C6605E">
              <w:rPr>
                <w:rFonts w:eastAsia="Sylfaen" w:cs="Sylfaen"/>
                <w:sz w:val="16"/>
              </w:rPr>
              <w:t>და</w:t>
            </w:r>
            <w:r w:rsidRPr="00C6605E">
              <w:rPr>
                <w:rFonts w:eastAsia="Sylfaen"/>
                <w:sz w:val="16"/>
              </w:rPr>
              <w:t xml:space="preserve"> </w:t>
            </w:r>
            <w:r w:rsidRPr="00C6605E">
              <w:rPr>
                <w:rFonts w:eastAsia="Sylfaen" w:cs="Sylfaen"/>
                <w:sz w:val="16"/>
              </w:rPr>
              <w:t>სამშენებლო</w:t>
            </w:r>
            <w:r w:rsidRPr="00C6605E">
              <w:rPr>
                <w:rFonts w:eastAsia="Sylfaen"/>
                <w:sz w:val="16"/>
              </w:rPr>
              <w:t xml:space="preserve"> </w:t>
            </w:r>
            <w:r w:rsidRPr="00C6605E">
              <w:rPr>
                <w:rFonts w:eastAsia="Sylfaen" w:cs="Sylfaen"/>
                <w:sz w:val="16"/>
              </w:rPr>
              <w:t>ტექნიკის</w:t>
            </w:r>
            <w:r w:rsidRPr="00C6605E">
              <w:rPr>
                <w:rFonts w:eastAsia="Sylfaen"/>
                <w:sz w:val="16"/>
              </w:rPr>
              <w:t xml:space="preserve"> </w:t>
            </w:r>
            <w:r w:rsidRPr="00C6605E">
              <w:rPr>
                <w:rFonts w:eastAsia="Sylfaen" w:cs="Sylfaen"/>
                <w:sz w:val="16"/>
              </w:rPr>
              <w:t>ტექნიკური</w:t>
            </w:r>
            <w:r w:rsidRPr="00C6605E">
              <w:rPr>
                <w:rFonts w:eastAsia="Sylfaen"/>
                <w:sz w:val="16"/>
              </w:rPr>
              <w:t xml:space="preserve"> </w:t>
            </w:r>
            <w:r w:rsidRPr="00C6605E">
              <w:rPr>
                <w:rFonts w:eastAsia="Sylfaen" w:cs="Sylfaen"/>
                <w:sz w:val="16"/>
              </w:rPr>
              <w:t>მდგომარეობის</w:t>
            </w:r>
            <w:r w:rsidRPr="00C6605E">
              <w:rPr>
                <w:rFonts w:eastAsia="Sylfaen"/>
                <w:sz w:val="16"/>
              </w:rPr>
              <w:t xml:space="preserve"> (</w:t>
            </w:r>
            <w:r w:rsidRPr="00C6605E">
              <w:rPr>
                <w:rFonts w:eastAsia="Sylfaen" w:cs="Sylfaen"/>
                <w:sz w:val="16"/>
              </w:rPr>
              <w:t>ჰიდრავლიკური</w:t>
            </w:r>
            <w:r w:rsidRPr="00C6605E">
              <w:rPr>
                <w:rFonts w:eastAsia="Sylfaen"/>
                <w:sz w:val="16"/>
              </w:rPr>
              <w:t xml:space="preserve"> </w:t>
            </w:r>
            <w:r w:rsidRPr="00C6605E">
              <w:rPr>
                <w:rFonts w:eastAsia="Sylfaen" w:cs="Sylfaen"/>
                <w:sz w:val="16"/>
              </w:rPr>
              <w:t>სითხე</w:t>
            </w:r>
            <w:r w:rsidRPr="00C6605E">
              <w:rPr>
                <w:rFonts w:eastAsia="Sylfaen"/>
                <w:sz w:val="16"/>
              </w:rPr>
              <w:t xml:space="preserve">, </w:t>
            </w:r>
            <w:r w:rsidRPr="00C6605E">
              <w:rPr>
                <w:rFonts w:eastAsia="Sylfaen" w:cs="Sylfaen"/>
                <w:sz w:val="16"/>
              </w:rPr>
              <w:t>საწვავის</w:t>
            </w:r>
            <w:r w:rsidRPr="00C6605E">
              <w:rPr>
                <w:rFonts w:eastAsia="Sylfaen"/>
                <w:sz w:val="16"/>
              </w:rPr>
              <w:t xml:space="preserve"> </w:t>
            </w:r>
            <w:r w:rsidRPr="00C6605E">
              <w:rPr>
                <w:rFonts w:eastAsia="Sylfaen" w:cs="Sylfaen"/>
                <w:sz w:val="16"/>
              </w:rPr>
              <w:t>ავზი</w:t>
            </w:r>
            <w:r w:rsidRPr="00C6605E">
              <w:rPr>
                <w:rFonts w:eastAsia="Sylfaen"/>
                <w:sz w:val="16"/>
              </w:rPr>
              <w:t xml:space="preserve"> </w:t>
            </w:r>
            <w:r w:rsidRPr="00C6605E">
              <w:rPr>
                <w:rFonts w:eastAsia="Sylfaen" w:cs="Sylfaen"/>
                <w:sz w:val="16"/>
              </w:rPr>
              <w:t>და</w:t>
            </w:r>
            <w:r w:rsidRPr="00C6605E">
              <w:rPr>
                <w:rFonts w:eastAsia="Sylfaen"/>
                <w:sz w:val="16"/>
              </w:rPr>
              <w:t xml:space="preserve"> </w:t>
            </w:r>
            <w:r w:rsidRPr="00C6605E">
              <w:rPr>
                <w:rFonts w:eastAsia="Sylfaen" w:cs="Sylfaen"/>
                <w:sz w:val="16"/>
              </w:rPr>
              <w:t>სხვა</w:t>
            </w:r>
            <w:r w:rsidRPr="00C6605E">
              <w:rPr>
                <w:rFonts w:eastAsia="Sylfaen"/>
                <w:sz w:val="16"/>
              </w:rPr>
              <w:t xml:space="preserve">.) </w:t>
            </w:r>
            <w:r w:rsidRPr="00C6605E">
              <w:rPr>
                <w:rFonts w:eastAsia="Sylfaen" w:cs="Sylfaen"/>
                <w:sz w:val="16"/>
              </w:rPr>
              <w:t>ყოველდღიური</w:t>
            </w:r>
            <w:r w:rsidRPr="00C6605E">
              <w:rPr>
                <w:rFonts w:eastAsia="Sylfaen"/>
                <w:sz w:val="16"/>
              </w:rPr>
              <w:t xml:space="preserve"> </w:t>
            </w:r>
            <w:r w:rsidRPr="00C6605E">
              <w:rPr>
                <w:rFonts w:eastAsia="Sylfaen" w:cs="Sylfaen"/>
                <w:sz w:val="16"/>
              </w:rPr>
              <w:t>კონტროლი</w:t>
            </w:r>
            <w:r w:rsidRPr="00C6605E">
              <w:rPr>
                <w:rFonts w:eastAsia="Sylfaen"/>
                <w:sz w:val="16"/>
              </w:rPr>
              <w:t>.</w:t>
            </w:r>
          </w:p>
          <w:p w14:paraId="4649B47E" w14:textId="68198E37" w:rsidR="00092B73" w:rsidRPr="00C6605E" w:rsidRDefault="00092B73" w:rsidP="00821E4D">
            <w:pPr>
              <w:pStyle w:val="ListParagraph"/>
              <w:numPr>
                <w:ilvl w:val="1"/>
                <w:numId w:val="36"/>
              </w:numPr>
              <w:ind w:left="360"/>
              <w:rPr>
                <w:rFonts w:eastAsia="Sylfaen"/>
                <w:sz w:val="16"/>
              </w:rPr>
            </w:pPr>
            <w:r w:rsidRPr="00C6605E">
              <w:rPr>
                <w:rFonts w:eastAsia="Sylfaen" w:cs="Sylfaen"/>
                <w:sz w:val="16"/>
              </w:rPr>
              <w:t>მანქანის</w:t>
            </w:r>
            <w:r w:rsidRPr="00C6605E">
              <w:rPr>
                <w:rFonts w:eastAsia="Sylfaen"/>
                <w:sz w:val="16"/>
              </w:rPr>
              <w:t xml:space="preserve"> </w:t>
            </w:r>
            <w:r w:rsidRPr="00C6605E">
              <w:rPr>
                <w:rFonts w:eastAsia="Sylfaen" w:cs="Sylfaen"/>
                <w:sz w:val="16"/>
              </w:rPr>
              <w:t>კომერციულ</w:t>
            </w:r>
            <w:r w:rsidRPr="00C6605E">
              <w:rPr>
                <w:rFonts w:eastAsia="Sylfaen"/>
                <w:sz w:val="16"/>
              </w:rPr>
              <w:t xml:space="preserve"> </w:t>
            </w:r>
            <w:r w:rsidRPr="00C6605E">
              <w:rPr>
                <w:rFonts w:eastAsia="Sylfaen" w:cs="Sylfaen"/>
                <w:sz w:val="16"/>
              </w:rPr>
              <w:t>სამრეცხაოში</w:t>
            </w:r>
            <w:r w:rsidRPr="00C6605E">
              <w:rPr>
                <w:rFonts w:eastAsia="Sylfaen"/>
                <w:sz w:val="16"/>
              </w:rPr>
              <w:t xml:space="preserve"> </w:t>
            </w:r>
            <w:r w:rsidRPr="00C6605E">
              <w:rPr>
                <w:rFonts w:eastAsia="Sylfaen" w:cs="Sylfaen"/>
                <w:sz w:val="16"/>
              </w:rPr>
              <w:t>რეცხვის</w:t>
            </w:r>
            <w:r w:rsidRPr="00C6605E">
              <w:rPr>
                <w:rFonts w:eastAsia="Sylfaen"/>
                <w:sz w:val="16"/>
              </w:rPr>
              <w:t xml:space="preserve"> </w:t>
            </w:r>
            <w:r w:rsidRPr="00C6605E">
              <w:rPr>
                <w:rFonts w:eastAsia="Sylfaen" w:cs="Sylfaen"/>
                <w:sz w:val="16"/>
              </w:rPr>
              <w:t>თვის</w:t>
            </w:r>
            <w:r w:rsidRPr="00C6605E">
              <w:rPr>
                <w:rFonts w:eastAsia="Sylfaen"/>
                <w:sz w:val="16"/>
              </w:rPr>
              <w:t xml:space="preserve"> </w:t>
            </w:r>
            <w:r w:rsidRPr="00C6605E">
              <w:rPr>
                <w:rFonts w:eastAsia="Sylfaen" w:cs="Sylfaen"/>
                <w:sz w:val="16"/>
              </w:rPr>
              <w:t>უპირატესობის</w:t>
            </w:r>
            <w:r w:rsidRPr="00C6605E">
              <w:rPr>
                <w:rFonts w:eastAsia="Sylfaen"/>
                <w:sz w:val="16"/>
              </w:rPr>
              <w:t xml:space="preserve"> </w:t>
            </w:r>
            <w:r w:rsidRPr="00C6605E">
              <w:rPr>
                <w:rFonts w:eastAsia="Sylfaen" w:cs="Sylfaen"/>
                <w:sz w:val="16"/>
              </w:rPr>
              <w:t>მინიჭება</w:t>
            </w:r>
            <w:r w:rsidRPr="00C6605E">
              <w:rPr>
                <w:rFonts w:eastAsia="Sylfaen"/>
                <w:sz w:val="16"/>
              </w:rPr>
              <w:t xml:space="preserve">. </w:t>
            </w:r>
            <w:r w:rsidRPr="00C6605E">
              <w:rPr>
                <w:rFonts w:eastAsia="Sylfaen" w:cs="Sylfaen"/>
                <w:sz w:val="16"/>
              </w:rPr>
              <w:t>თუ</w:t>
            </w:r>
            <w:r w:rsidRPr="00C6605E">
              <w:rPr>
                <w:rFonts w:eastAsia="Sylfaen"/>
                <w:sz w:val="16"/>
              </w:rPr>
              <w:t xml:space="preserve"> </w:t>
            </w:r>
            <w:r w:rsidRPr="00C6605E">
              <w:rPr>
                <w:rFonts w:eastAsia="Sylfaen" w:cs="Sylfaen"/>
                <w:sz w:val="16"/>
              </w:rPr>
              <w:t>აუცი</w:t>
            </w:r>
            <w:r w:rsidRPr="00C6605E">
              <w:rPr>
                <w:rFonts w:eastAsia="Sylfaen"/>
                <w:sz w:val="16"/>
              </w:rPr>
              <w:t xml:space="preserve">- </w:t>
            </w:r>
            <w:r w:rsidRPr="00C6605E">
              <w:rPr>
                <w:rFonts w:eastAsia="Sylfaen" w:cs="Sylfaen"/>
                <w:sz w:val="16"/>
              </w:rPr>
              <w:t>ლებელია</w:t>
            </w:r>
            <w:r w:rsidRPr="00C6605E">
              <w:rPr>
                <w:rFonts w:eastAsia="Sylfaen"/>
                <w:sz w:val="16"/>
              </w:rPr>
              <w:t xml:space="preserve"> </w:t>
            </w:r>
            <w:r w:rsidRPr="00C6605E">
              <w:rPr>
                <w:rFonts w:eastAsia="Sylfaen" w:cs="Sylfaen"/>
                <w:sz w:val="16"/>
              </w:rPr>
              <w:t>რეცხვა</w:t>
            </w:r>
            <w:r w:rsidRPr="00C6605E">
              <w:rPr>
                <w:rFonts w:eastAsia="Sylfaen"/>
                <w:sz w:val="16"/>
              </w:rPr>
              <w:t xml:space="preserve"> </w:t>
            </w:r>
            <w:r w:rsidRPr="00C6605E">
              <w:rPr>
                <w:rFonts w:eastAsia="Sylfaen" w:cs="Sylfaen"/>
                <w:sz w:val="16"/>
              </w:rPr>
              <w:t>საკუთარ</w:t>
            </w:r>
            <w:r w:rsidRPr="00C6605E">
              <w:rPr>
                <w:rFonts w:eastAsia="Sylfaen"/>
                <w:sz w:val="16"/>
              </w:rPr>
              <w:t xml:space="preserve"> </w:t>
            </w:r>
            <w:r w:rsidRPr="00C6605E">
              <w:rPr>
                <w:rFonts w:eastAsia="Sylfaen" w:cs="Sylfaen"/>
                <w:sz w:val="16"/>
              </w:rPr>
              <w:t>ტერიტორიაზე</w:t>
            </w:r>
            <w:r w:rsidRPr="00C6605E">
              <w:rPr>
                <w:rFonts w:eastAsia="Sylfaen"/>
                <w:sz w:val="16"/>
              </w:rPr>
              <w:t xml:space="preserve"> </w:t>
            </w:r>
            <w:r w:rsidRPr="00C6605E">
              <w:rPr>
                <w:rFonts w:eastAsia="Sylfaen" w:cs="Sylfaen"/>
                <w:sz w:val="16"/>
              </w:rPr>
              <w:t>ბერმებით</w:t>
            </w:r>
            <w:r w:rsidRPr="00C6605E">
              <w:rPr>
                <w:rFonts w:eastAsia="Sylfaen"/>
                <w:sz w:val="16"/>
              </w:rPr>
              <w:t xml:space="preserve"> </w:t>
            </w:r>
            <w:r w:rsidRPr="00C6605E">
              <w:rPr>
                <w:rFonts w:eastAsia="Sylfaen" w:cs="Sylfaen"/>
                <w:sz w:val="16"/>
              </w:rPr>
              <w:t>დაცული</w:t>
            </w:r>
            <w:r w:rsidRPr="00C6605E">
              <w:rPr>
                <w:rFonts w:eastAsia="Sylfaen"/>
                <w:sz w:val="16"/>
              </w:rPr>
              <w:t xml:space="preserve"> </w:t>
            </w:r>
            <w:r w:rsidRPr="00C6605E">
              <w:rPr>
                <w:rFonts w:eastAsia="Sylfaen" w:cs="Sylfaen"/>
                <w:sz w:val="16"/>
              </w:rPr>
              <w:t>სპეციალური</w:t>
            </w:r>
            <w:r w:rsidRPr="00C6605E">
              <w:rPr>
                <w:rFonts w:eastAsia="Sylfaen"/>
                <w:sz w:val="16"/>
              </w:rPr>
              <w:t xml:space="preserve"> </w:t>
            </w:r>
            <w:r w:rsidRPr="00C6605E">
              <w:rPr>
                <w:rFonts w:eastAsia="Sylfaen" w:cs="Sylfaen"/>
                <w:sz w:val="16"/>
              </w:rPr>
              <w:t>ტერიტორია</w:t>
            </w:r>
            <w:r w:rsidRPr="00C6605E">
              <w:rPr>
                <w:rFonts w:eastAsia="Sylfaen"/>
                <w:sz w:val="16"/>
              </w:rPr>
              <w:t xml:space="preserve"> </w:t>
            </w:r>
            <w:r w:rsidRPr="00C6605E">
              <w:rPr>
                <w:rFonts w:eastAsia="Sylfaen" w:cs="Sylfaen"/>
                <w:sz w:val="16"/>
              </w:rPr>
              <w:t>უნდა</w:t>
            </w:r>
            <w:r w:rsidRPr="00C6605E">
              <w:rPr>
                <w:rFonts w:eastAsia="Sylfaen"/>
                <w:sz w:val="16"/>
              </w:rPr>
              <w:t xml:space="preserve"> </w:t>
            </w:r>
            <w:r w:rsidRPr="00C6605E">
              <w:rPr>
                <w:rFonts w:eastAsia="Sylfaen" w:cs="Sylfaen"/>
                <w:sz w:val="16"/>
              </w:rPr>
              <w:t>მოეწყოს</w:t>
            </w:r>
            <w:r w:rsidRPr="00C6605E">
              <w:rPr>
                <w:rFonts w:eastAsia="Sylfaen"/>
                <w:sz w:val="16"/>
              </w:rPr>
              <w:t xml:space="preserve">. </w:t>
            </w:r>
            <w:r w:rsidRPr="00C6605E">
              <w:rPr>
                <w:rFonts w:eastAsia="Sylfaen" w:cs="Sylfaen"/>
                <w:sz w:val="16"/>
              </w:rPr>
              <w:t>ტერიტორია</w:t>
            </w:r>
            <w:r w:rsidRPr="00C6605E">
              <w:rPr>
                <w:rFonts w:eastAsia="Sylfaen"/>
                <w:sz w:val="16"/>
              </w:rPr>
              <w:t xml:space="preserve"> </w:t>
            </w:r>
            <w:r w:rsidRPr="00C6605E">
              <w:rPr>
                <w:rFonts w:eastAsia="Sylfaen" w:cs="Sylfaen"/>
                <w:sz w:val="16"/>
              </w:rPr>
              <w:t>ოდნავ</w:t>
            </w:r>
            <w:r w:rsidRPr="00C6605E">
              <w:rPr>
                <w:rFonts w:eastAsia="Sylfaen"/>
                <w:sz w:val="16"/>
              </w:rPr>
              <w:t xml:space="preserve"> </w:t>
            </w:r>
            <w:r w:rsidRPr="00C6605E">
              <w:rPr>
                <w:rFonts w:eastAsia="Sylfaen" w:cs="Sylfaen"/>
                <w:sz w:val="16"/>
              </w:rPr>
              <w:t>დამრეცი</w:t>
            </w:r>
            <w:r w:rsidRPr="00C6605E">
              <w:rPr>
                <w:rFonts w:eastAsia="Sylfaen"/>
                <w:sz w:val="16"/>
              </w:rPr>
              <w:t xml:space="preserve"> </w:t>
            </w:r>
            <w:r w:rsidRPr="00C6605E">
              <w:rPr>
                <w:rFonts w:eastAsia="Sylfaen" w:cs="Sylfaen"/>
                <w:sz w:val="16"/>
              </w:rPr>
              <w:t>უნდა</w:t>
            </w:r>
            <w:r w:rsidRPr="00C6605E">
              <w:rPr>
                <w:rFonts w:eastAsia="Sylfaen"/>
                <w:sz w:val="16"/>
              </w:rPr>
              <w:t xml:space="preserve"> </w:t>
            </w:r>
            <w:r w:rsidRPr="00C6605E">
              <w:rPr>
                <w:rFonts w:eastAsia="Sylfaen" w:cs="Sylfaen"/>
                <w:sz w:val="16"/>
              </w:rPr>
              <w:t>იყოს</w:t>
            </w:r>
            <w:r w:rsidRPr="00C6605E">
              <w:rPr>
                <w:rFonts w:eastAsia="Sylfaen"/>
                <w:sz w:val="16"/>
              </w:rPr>
              <w:t xml:space="preserve"> </w:t>
            </w:r>
            <w:r w:rsidRPr="00C6605E">
              <w:rPr>
                <w:rFonts w:eastAsia="Sylfaen" w:cs="Sylfaen"/>
                <w:sz w:val="16"/>
              </w:rPr>
              <w:t>წყლის</w:t>
            </w:r>
            <w:r w:rsidRPr="00C6605E">
              <w:rPr>
                <w:rFonts w:eastAsia="Sylfaen"/>
                <w:sz w:val="16"/>
              </w:rPr>
              <w:t xml:space="preserve"> </w:t>
            </w:r>
            <w:r w:rsidRPr="00C6605E">
              <w:rPr>
                <w:rFonts w:eastAsia="Sylfaen" w:cs="Sylfaen"/>
                <w:sz w:val="16"/>
              </w:rPr>
              <w:t>შეგროვების</w:t>
            </w:r>
            <w:r w:rsidRPr="00C6605E">
              <w:rPr>
                <w:rFonts w:eastAsia="Sylfaen"/>
                <w:sz w:val="16"/>
              </w:rPr>
              <w:t xml:space="preserve"> </w:t>
            </w:r>
            <w:r w:rsidRPr="00C6605E">
              <w:rPr>
                <w:rFonts w:eastAsia="Sylfaen" w:cs="Sylfaen"/>
                <w:sz w:val="16"/>
              </w:rPr>
              <w:t>და</w:t>
            </w:r>
            <w:r w:rsidRPr="00C6605E">
              <w:rPr>
                <w:rFonts w:eastAsia="Sylfaen"/>
                <w:sz w:val="16"/>
              </w:rPr>
              <w:t xml:space="preserve"> </w:t>
            </w:r>
            <w:r w:rsidRPr="00C6605E">
              <w:rPr>
                <w:rFonts w:eastAsia="Sylfaen" w:cs="Sylfaen"/>
                <w:sz w:val="16"/>
              </w:rPr>
              <w:t>აორთქლების</w:t>
            </w:r>
            <w:r w:rsidRPr="00C6605E">
              <w:rPr>
                <w:rFonts w:eastAsia="Sylfaen"/>
                <w:sz w:val="16"/>
              </w:rPr>
              <w:t xml:space="preserve"> </w:t>
            </w:r>
            <w:r w:rsidRPr="00C6605E">
              <w:rPr>
                <w:rFonts w:eastAsia="Sylfaen" w:cs="Sylfaen"/>
                <w:sz w:val="16"/>
              </w:rPr>
              <w:t>გაადვილებისთვის</w:t>
            </w:r>
            <w:r w:rsidRPr="00C6605E">
              <w:rPr>
                <w:rFonts w:eastAsia="Sylfaen"/>
                <w:sz w:val="16"/>
              </w:rPr>
              <w:t>.</w:t>
            </w:r>
          </w:p>
          <w:p w14:paraId="149E20AA" w14:textId="4B16D1C4" w:rsidR="00092B73" w:rsidRPr="00C6605E" w:rsidRDefault="00092B73" w:rsidP="00821E4D">
            <w:pPr>
              <w:pStyle w:val="ListParagraph"/>
              <w:numPr>
                <w:ilvl w:val="1"/>
                <w:numId w:val="36"/>
              </w:numPr>
              <w:ind w:left="360"/>
              <w:rPr>
                <w:rFonts w:eastAsia="Sylfaen"/>
                <w:sz w:val="16"/>
              </w:rPr>
            </w:pPr>
            <w:r w:rsidRPr="00C6605E">
              <w:rPr>
                <w:rFonts w:eastAsia="Sylfaen" w:cs="Sylfaen"/>
                <w:sz w:val="16"/>
              </w:rPr>
              <w:t>მანქანების</w:t>
            </w:r>
            <w:r w:rsidRPr="00C6605E">
              <w:rPr>
                <w:rFonts w:eastAsia="Sylfaen"/>
                <w:sz w:val="16"/>
              </w:rPr>
              <w:t xml:space="preserve"> </w:t>
            </w:r>
            <w:r w:rsidRPr="00C6605E">
              <w:rPr>
                <w:rFonts w:eastAsia="Sylfaen" w:cs="Sylfaen"/>
                <w:sz w:val="16"/>
              </w:rPr>
              <w:t>ადგილზე</w:t>
            </w:r>
            <w:r w:rsidRPr="00C6605E">
              <w:rPr>
                <w:rFonts w:eastAsia="Sylfaen"/>
                <w:sz w:val="16"/>
              </w:rPr>
              <w:t xml:space="preserve"> </w:t>
            </w:r>
            <w:r w:rsidRPr="00C6605E">
              <w:rPr>
                <w:rFonts w:eastAsia="Sylfaen" w:cs="Sylfaen"/>
                <w:sz w:val="16"/>
              </w:rPr>
              <w:t>ტექმომსახურება</w:t>
            </w:r>
            <w:r w:rsidRPr="00C6605E">
              <w:rPr>
                <w:rFonts w:eastAsia="Sylfaen"/>
                <w:sz w:val="16"/>
              </w:rPr>
              <w:t xml:space="preserve"> </w:t>
            </w:r>
            <w:r w:rsidRPr="00C6605E">
              <w:rPr>
                <w:rFonts w:eastAsia="Sylfaen" w:cs="Sylfaen"/>
                <w:sz w:val="16"/>
              </w:rPr>
              <w:t>შეზღუდული</w:t>
            </w:r>
            <w:r w:rsidRPr="00C6605E">
              <w:rPr>
                <w:rFonts w:eastAsia="Sylfaen"/>
                <w:sz w:val="16"/>
              </w:rPr>
              <w:t xml:space="preserve"> </w:t>
            </w:r>
            <w:r w:rsidRPr="00C6605E">
              <w:rPr>
                <w:rFonts w:eastAsia="Sylfaen" w:cs="Sylfaen"/>
                <w:sz w:val="16"/>
              </w:rPr>
              <w:t>უნდა</w:t>
            </w:r>
            <w:r w:rsidRPr="00C6605E">
              <w:rPr>
                <w:rFonts w:eastAsia="Sylfaen"/>
                <w:sz w:val="16"/>
              </w:rPr>
              <w:t xml:space="preserve"> </w:t>
            </w:r>
            <w:r w:rsidRPr="00C6605E">
              <w:rPr>
                <w:rFonts w:eastAsia="Sylfaen" w:cs="Sylfaen"/>
                <w:sz w:val="16"/>
              </w:rPr>
              <w:t>იყოს</w:t>
            </w:r>
            <w:r w:rsidRPr="00C6605E">
              <w:rPr>
                <w:rFonts w:eastAsia="Sylfaen"/>
                <w:sz w:val="16"/>
              </w:rPr>
              <w:t xml:space="preserve">, </w:t>
            </w:r>
            <w:r w:rsidRPr="00C6605E">
              <w:rPr>
                <w:rFonts w:eastAsia="Sylfaen" w:cs="Sylfaen"/>
                <w:sz w:val="16"/>
              </w:rPr>
              <w:t>პრიორიტეტი</w:t>
            </w:r>
            <w:r w:rsidRPr="00C6605E">
              <w:rPr>
                <w:rFonts w:eastAsia="Sylfaen"/>
                <w:sz w:val="16"/>
              </w:rPr>
              <w:t xml:space="preserve"> </w:t>
            </w:r>
            <w:r w:rsidRPr="00C6605E">
              <w:rPr>
                <w:rFonts w:eastAsia="Sylfaen" w:cs="Sylfaen"/>
                <w:sz w:val="16"/>
              </w:rPr>
              <w:t>ტერიტორიის</w:t>
            </w:r>
            <w:r w:rsidRPr="00C6605E">
              <w:rPr>
                <w:rFonts w:eastAsia="Sylfaen"/>
                <w:sz w:val="16"/>
              </w:rPr>
              <w:t xml:space="preserve"> </w:t>
            </w:r>
            <w:r w:rsidRPr="00C6605E">
              <w:rPr>
                <w:rFonts w:eastAsia="Sylfaen" w:cs="Sylfaen"/>
                <w:sz w:val="16"/>
              </w:rPr>
              <w:t>გარეთ</w:t>
            </w:r>
            <w:r w:rsidRPr="00C6605E">
              <w:rPr>
                <w:rFonts w:eastAsia="Sylfaen"/>
                <w:sz w:val="16"/>
              </w:rPr>
              <w:t xml:space="preserve"> </w:t>
            </w:r>
            <w:r w:rsidRPr="00C6605E">
              <w:rPr>
                <w:rFonts w:eastAsia="Sylfaen" w:cs="Sylfaen"/>
                <w:sz w:val="16"/>
              </w:rPr>
              <w:t>მდებარე</w:t>
            </w:r>
            <w:r w:rsidRPr="00C6605E">
              <w:rPr>
                <w:rFonts w:eastAsia="Sylfaen"/>
                <w:sz w:val="16"/>
              </w:rPr>
              <w:t xml:space="preserve"> </w:t>
            </w:r>
            <w:r w:rsidRPr="00C6605E">
              <w:rPr>
                <w:rFonts w:eastAsia="Sylfaen" w:cs="Sylfaen"/>
                <w:sz w:val="16"/>
              </w:rPr>
              <w:t>სახელოსნოებს</w:t>
            </w:r>
            <w:r w:rsidRPr="00C6605E">
              <w:rPr>
                <w:rFonts w:eastAsia="Sylfaen"/>
                <w:sz w:val="16"/>
              </w:rPr>
              <w:t xml:space="preserve"> </w:t>
            </w:r>
            <w:r w:rsidRPr="00C6605E">
              <w:rPr>
                <w:rFonts w:eastAsia="Sylfaen" w:cs="Sylfaen"/>
                <w:sz w:val="16"/>
              </w:rPr>
              <w:t>უნდა</w:t>
            </w:r>
            <w:r w:rsidRPr="00C6605E">
              <w:rPr>
                <w:rFonts w:eastAsia="Sylfaen"/>
                <w:sz w:val="16"/>
              </w:rPr>
              <w:t xml:space="preserve"> </w:t>
            </w:r>
            <w:r w:rsidRPr="00C6605E">
              <w:rPr>
                <w:rFonts w:eastAsia="Sylfaen" w:cs="Sylfaen"/>
                <w:sz w:val="16"/>
              </w:rPr>
              <w:t>მიენიჭოს</w:t>
            </w:r>
            <w:r w:rsidRPr="00C6605E">
              <w:rPr>
                <w:rFonts w:eastAsia="Sylfaen"/>
                <w:sz w:val="16"/>
              </w:rPr>
              <w:t xml:space="preserve">. </w:t>
            </w:r>
            <w:r w:rsidRPr="00C6605E">
              <w:rPr>
                <w:rFonts w:eastAsia="Sylfaen" w:cs="Sylfaen"/>
                <w:sz w:val="16"/>
              </w:rPr>
              <w:t>თუ</w:t>
            </w:r>
            <w:r w:rsidRPr="00C6605E">
              <w:rPr>
                <w:rFonts w:eastAsia="Sylfaen"/>
                <w:sz w:val="16"/>
              </w:rPr>
              <w:t xml:space="preserve"> </w:t>
            </w:r>
            <w:r w:rsidRPr="00C6605E">
              <w:rPr>
                <w:rFonts w:eastAsia="Sylfaen" w:cs="Sylfaen"/>
                <w:sz w:val="16"/>
              </w:rPr>
              <w:t>აუცილებელია</w:t>
            </w:r>
            <w:r w:rsidRPr="00C6605E">
              <w:rPr>
                <w:rFonts w:eastAsia="Sylfaen"/>
                <w:sz w:val="16"/>
              </w:rPr>
              <w:t xml:space="preserve"> </w:t>
            </w:r>
            <w:r w:rsidRPr="00C6605E">
              <w:rPr>
                <w:rFonts w:eastAsia="Sylfaen" w:cs="Sylfaen"/>
                <w:sz w:val="16"/>
              </w:rPr>
              <w:t>ადგილზე</w:t>
            </w:r>
            <w:r w:rsidRPr="00C6605E">
              <w:rPr>
                <w:rFonts w:eastAsia="Sylfaen"/>
                <w:sz w:val="16"/>
              </w:rPr>
              <w:t xml:space="preserve"> </w:t>
            </w:r>
            <w:r w:rsidRPr="00C6605E">
              <w:rPr>
                <w:rFonts w:eastAsia="Sylfaen" w:cs="Sylfaen"/>
                <w:sz w:val="16"/>
              </w:rPr>
              <w:t>მომსახურება</w:t>
            </w:r>
            <w:r w:rsidRPr="00C6605E">
              <w:rPr>
                <w:rFonts w:eastAsia="Sylfaen"/>
                <w:sz w:val="16"/>
              </w:rPr>
              <w:t xml:space="preserve">, </w:t>
            </w:r>
            <w:r w:rsidRPr="00C6605E">
              <w:rPr>
                <w:rFonts w:eastAsia="Sylfaen" w:cs="Sylfaen"/>
                <w:sz w:val="16"/>
              </w:rPr>
              <w:t>ტერიტორია</w:t>
            </w:r>
            <w:r w:rsidRPr="00C6605E">
              <w:rPr>
                <w:rFonts w:eastAsia="Sylfaen"/>
                <w:sz w:val="16"/>
              </w:rPr>
              <w:t xml:space="preserve"> </w:t>
            </w:r>
            <w:r w:rsidRPr="00C6605E">
              <w:rPr>
                <w:rFonts w:eastAsia="Sylfaen" w:cs="Sylfaen"/>
                <w:sz w:val="16"/>
              </w:rPr>
              <w:t>სათანადოდ</w:t>
            </w:r>
            <w:r w:rsidRPr="00C6605E">
              <w:rPr>
                <w:rFonts w:eastAsia="Sylfaen"/>
                <w:sz w:val="16"/>
              </w:rPr>
              <w:t xml:space="preserve"> </w:t>
            </w:r>
            <w:r w:rsidRPr="00C6605E">
              <w:rPr>
                <w:rFonts w:eastAsia="Sylfaen" w:cs="Sylfaen"/>
                <w:sz w:val="16"/>
              </w:rPr>
              <w:t>უნდა</w:t>
            </w:r>
            <w:r w:rsidRPr="00C6605E">
              <w:rPr>
                <w:rFonts w:eastAsia="Sylfaen"/>
                <w:sz w:val="16"/>
              </w:rPr>
              <w:t xml:space="preserve"> </w:t>
            </w:r>
            <w:r w:rsidRPr="00C6605E">
              <w:rPr>
                <w:rFonts w:eastAsia="Sylfaen" w:cs="Sylfaen"/>
                <w:sz w:val="16"/>
              </w:rPr>
              <w:t>იყოს</w:t>
            </w:r>
            <w:r w:rsidRPr="00C6605E">
              <w:rPr>
                <w:rFonts w:eastAsia="Sylfaen"/>
                <w:sz w:val="16"/>
              </w:rPr>
              <w:t xml:space="preserve"> </w:t>
            </w:r>
            <w:r w:rsidRPr="00C6605E">
              <w:rPr>
                <w:rFonts w:eastAsia="Sylfaen" w:cs="Sylfaen"/>
                <w:sz w:val="16"/>
              </w:rPr>
              <w:t>შერჩეული</w:t>
            </w:r>
            <w:r w:rsidRPr="00C6605E">
              <w:rPr>
                <w:rFonts w:eastAsia="Sylfaen"/>
                <w:sz w:val="16"/>
              </w:rPr>
              <w:t>/</w:t>
            </w:r>
            <w:r w:rsidRPr="00C6605E">
              <w:rPr>
                <w:rFonts w:eastAsia="Sylfaen" w:cs="Sylfaen"/>
                <w:sz w:val="16"/>
              </w:rPr>
              <w:t>მოწყობილი</w:t>
            </w:r>
            <w:r w:rsidRPr="00C6605E">
              <w:rPr>
                <w:rFonts w:eastAsia="Sylfaen"/>
                <w:sz w:val="16"/>
              </w:rPr>
              <w:t xml:space="preserve"> </w:t>
            </w:r>
            <w:r w:rsidRPr="00C6605E">
              <w:rPr>
                <w:rFonts w:eastAsia="Sylfaen" w:cs="Sylfaen"/>
                <w:sz w:val="16"/>
              </w:rPr>
              <w:t>გააჩნდეს</w:t>
            </w:r>
            <w:r w:rsidRPr="00C6605E">
              <w:rPr>
                <w:rFonts w:eastAsia="Sylfaen"/>
                <w:sz w:val="16"/>
              </w:rPr>
              <w:t xml:space="preserve"> </w:t>
            </w:r>
            <w:r w:rsidRPr="00C6605E">
              <w:rPr>
                <w:rFonts w:eastAsia="Sylfaen" w:cs="Sylfaen"/>
                <w:sz w:val="16"/>
              </w:rPr>
              <w:t>მეორადიშემოღობვა</w:t>
            </w:r>
            <w:r w:rsidRPr="00C6605E">
              <w:rPr>
                <w:rFonts w:eastAsia="Sylfaen"/>
                <w:sz w:val="16"/>
              </w:rPr>
              <w:t xml:space="preserve">. </w:t>
            </w:r>
            <w:r w:rsidRPr="00C6605E">
              <w:rPr>
                <w:rFonts w:eastAsia="Sylfaen" w:cs="Sylfaen"/>
                <w:sz w:val="16"/>
              </w:rPr>
              <w:t>ტერიტორია</w:t>
            </w:r>
            <w:r w:rsidRPr="00C6605E">
              <w:rPr>
                <w:rFonts w:eastAsia="Sylfaen"/>
                <w:sz w:val="16"/>
              </w:rPr>
              <w:t xml:space="preserve"> </w:t>
            </w:r>
            <w:r w:rsidRPr="00C6605E">
              <w:rPr>
                <w:rFonts w:eastAsia="Sylfaen" w:cs="Sylfaen"/>
                <w:sz w:val="16"/>
              </w:rPr>
              <w:t>მოცილებული</w:t>
            </w:r>
            <w:r w:rsidRPr="00C6605E">
              <w:rPr>
                <w:rFonts w:eastAsia="Sylfaen"/>
                <w:sz w:val="16"/>
              </w:rPr>
              <w:t xml:space="preserve"> </w:t>
            </w:r>
            <w:r w:rsidRPr="00C6605E">
              <w:rPr>
                <w:rFonts w:eastAsia="Sylfaen" w:cs="Sylfaen"/>
                <w:sz w:val="16"/>
              </w:rPr>
              <w:t>უნდა</w:t>
            </w:r>
            <w:r w:rsidRPr="00C6605E">
              <w:rPr>
                <w:rFonts w:eastAsia="Sylfaen"/>
                <w:sz w:val="16"/>
              </w:rPr>
              <w:t xml:space="preserve"> </w:t>
            </w:r>
            <w:r w:rsidRPr="00C6605E">
              <w:rPr>
                <w:rFonts w:eastAsia="Sylfaen" w:cs="Sylfaen"/>
                <w:sz w:val="16"/>
              </w:rPr>
              <w:t>იყოს</w:t>
            </w:r>
            <w:r w:rsidRPr="00C6605E">
              <w:rPr>
                <w:rFonts w:eastAsia="Sylfaen"/>
                <w:sz w:val="16"/>
              </w:rPr>
              <w:t xml:space="preserve"> </w:t>
            </w:r>
            <w:r w:rsidRPr="00C6605E">
              <w:rPr>
                <w:rFonts w:eastAsia="Sylfaen" w:cs="Sylfaen"/>
                <w:sz w:val="16"/>
              </w:rPr>
              <w:t>დრენაჟის</w:t>
            </w:r>
            <w:r w:rsidRPr="00C6605E">
              <w:rPr>
                <w:rFonts w:eastAsia="Sylfaen"/>
                <w:sz w:val="16"/>
              </w:rPr>
              <w:t xml:space="preserve"> </w:t>
            </w:r>
            <w:r w:rsidRPr="00C6605E">
              <w:rPr>
                <w:rFonts w:eastAsia="Sylfaen" w:cs="Sylfaen"/>
                <w:sz w:val="16"/>
              </w:rPr>
              <w:t>წყლისობიექტებიდან</w:t>
            </w:r>
            <w:r w:rsidRPr="00C6605E">
              <w:rPr>
                <w:rFonts w:eastAsia="Sylfaen"/>
                <w:sz w:val="16"/>
              </w:rPr>
              <w:t xml:space="preserve">. </w:t>
            </w:r>
            <w:r w:rsidRPr="00C6605E">
              <w:rPr>
                <w:rFonts w:eastAsia="Symbol"/>
                <w:sz w:val="16"/>
              </w:rPr>
              <w:t xml:space="preserve">· </w:t>
            </w:r>
            <w:r w:rsidRPr="00C6605E">
              <w:rPr>
                <w:rFonts w:eastAsia="Sylfaen" w:cs="Sylfaen"/>
                <w:sz w:val="16"/>
              </w:rPr>
              <w:t>ტექმომსახურება</w:t>
            </w:r>
            <w:r w:rsidRPr="00C6605E">
              <w:rPr>
                <w:rFonts w:eastAsia="Sylfaen"/>
                <w:sz w:val="16"/>
              </w:rPr>
              <w:t xml:space="preserve"> </w:t>
            </w:r>
            <w:r w:rsidRPr="00C6605E">
              <w:rPr>
                <w:rFonts w:eastAsia="Sylfaen" w:cs="Sylfaen"/>
                <w:sz w:val="16"/>
              </w:rPr>
              <w:t>და</w:t>
            </w:r>
            <w:r w:rsidRPr="00C6605E">
              <w:rPr>
                <w:rFonts w:eastAsia="Sylfaen"/>
                <w:sz w:val="16"/>
              </w:rPr>
              <w:t xml:space="preserve"> </w:t>
            </w:r>
            <w:r w:rsidRPr="00C6605E">
              <w:rPr>
                <w:rFonts w:eastAsia="Sylfaen" w:cs="Sylfaen"/>
                <w:sz w:val="16"/>
              </w:rPr>
              <w:t>საწვავით</w:t>
            </w:r>
            <w:r w:rsidRPr="00C6605E">
              <w:rPr>
                <w:rFonts w:eastAsia="Sylfaen"/>
                <w:sz w:val="16"/>
              </w:rPr>
              <w:t xml:space="preserve"> </w:t>
            </w:r>
            <w:r w:rsidRPr="00C6605E">
              <w:rPr>
                <w:rFonts w:eastAsia="Sylfaen" w:cs="Sylfaen"/>
                <w:sz w:val="16"/>
              </w:rPr>
              <w:t>გამართვა</w:t>
            </w:r>
            <w:r w:rsidRPr="00C6605E">
              <w:rPr>
                <w:rFonts w:eastAsia="Sylfaen"/>
                <w:sz w:val="16"/>
              </w:rPr>
              <w:t xml:space="preserve"> </w:t>
            </w:r>
            <w:r w:rsidRPr="00C6605E">
              <w:rPr>
                <w:rFonts w:eastAsia="Sylfaen" w:cs="Sylfaen"/>
                <w:sz w:val="16"/>
              </w:rPr>
              <w:t>უნდა</w:t>
            </w:r>
            <w:r w:rsidRPr="00C6605E">
              <w:rPr>
                <w:rFonts w:eastAsia="Sylfaen"/>
                <w:sz w:val="16"/>
              </w:rPr>
              <w:t xml:space="preserve"> </w:t>
            </w:r>
            <w:r w:rsidRPr="00C6605E">
              <w:rPr>
                <w:rFonts w:eastAsia="Sylfaen" w:cs="Sylfaen"/>
                <w:sz w:val="16"/>
              </w:rPr>
              <w:t>ხდებოდეს</w:t>
            </w:r>
            <w:r w:rsidRPr="00C6605E">
              <w:rPr>
                <w:rFonts w:eastAsia="Sylfaen"/>
                <w:sz w:val="16"/>
              </w:rPr>
              <w:t xml:space="preserve"> </w:t>
            </w:r>
            <w:r w:rsidRPr="00C6605E">
              <w:rPr>
                <w:rFonts w:eastAsia="Sylfaen" w:cs="Sylfaen"/>
                <w:sz w:val="16"/>
              </w:rPr>
              <w:t>მდინარის</w:t>
            </w:r>
            <w:r w:rsidRPr="00C6605E">
              <w:rPr>
                <w:rFonts w:eastAsia="Sylfaen"/>
                <w:sz w:val="16"/>
              </w:rPr>
              <w:t xml:space="preserve"> </w:t>
            </w:r>
            <w:r w:rsidRPr="00C6605E">
              <w:rPr>
                <w:rFonts w:eastAsia="Sylfaen" w:cs="Sylfaen"/>
                <w:sz w:val="16"/>
              </w:rPr>
              <w:t>კალაპოტიდან</w:t>
            </w:r>
            <w:r w:rsidRPr="00C6605E">
              <w:rPr>
                <w:rFonts w:eastAsia="Sylfaen"/>
                <w:sz w:val="16"/>
              </w:rPr>
              <w:t xml:space="preserve"> </w:t>
            </w:r>
            <w:r w:rsidRPr="00C6605E">
              <w:rPr>
                <w:rFonts w:eastAsia="Sylfaen" w:cs="Sylfaen"/>
                <w:sz w:val="16"/>
              </w:rPr>
              <w:t>მინიმუმ</w:t>
            </w:r>
            <w:r w:rsidRPr="00C6605E">
              <w:rPr>
                <w:rFonts w:eastAsia="Sylfaen"/>
                <w:sz w:val="16"/>
              </w:rPr>
              <w:t xml:space="preserve"> 100</w:t>
            </w:r>
            <w:r w:rsidRPr="00C6605E">
              <w:rPr>
                <w:rFonts w:eastAsia="Sylfaen" w:cs="Sylfaen"/>
                <w:sz w:val="16"/>
              </w:rPr>
              <w:t>მ</w:t>
            </w:r>
            <w:r w:rsidRPr="00C6605E">
              <w:rPr>
                <w:rFonts w:eastAsia="Sylfaen"/>
                <w:sz w:val="16"/>
              </w:rPr>
              <w:t xml:space="preserve"> </w:t>
            </w:r>
            <w:r w:rsidRPr="00C6605E">
              <w:rPr>
                <w:rFonts w:eastAsia="Sylfaen" w:cs="Sylfaen"/>
                <w:sz w:val="16"/>
              </w:rPr>
              <w:t>დაშორებით</w:t>
            </w:r>
            <w:r w:rsidRPr="00C6605E">
              <w:rPr>
                <w:rFonts w:eastAsia="Sylfaen"/>
                <w:sz w:val="16"/>
              </w:rPr>
              <w:t>.</w:t>
            </w:r>
          </w:p>
          <w:p w14:paraId="1157D9E6" w14:textId="77777777" w:rsidR="00092B73" w:rsidRPr="00C6605E" w:rsidRDefault="00092B73" w:rsidP="00821E4D">
            <w:pPr>
              <w:pStyle w:val="ListParagraph"/>
              <w:numPr>
                <w:ilvl w:val="0"/>
                <w:numId w:val="51"/>
              </w:numPr>
              <w:ind w:left="360"/>
              <w:rPr>
                <w:rFonts w:eastAsia="Sylfaen"/>
                <w:sz w:val="16"/>
              </w:rPr>
            </w:pPr>
            <w:r w:rsidRPr="00C6605E">
              <w:rPr>
                <w:rFonts w:eastAsia="Symbol"/>
                <w:sz w:val="16"/>
              </w:rPr>
              <w:t xml:space="preserve">· </w:t>
            </w:r>
            <w:r w:rsidRPr="00C6605E">
              <w:rPr>
                <w:rFonts w:eastAsia="Sylfaen" w:cs="Sylfaen"/>
                <w:sz w:val="16"/>
              </w:rPr>
              <w:t>პერსონალის</w:t>
            </w:r>
            <w:r w:rsidRPr="00C6605E">
              <w:rPr>
                <w:rFonts w:eastAsia="Sylfaen"/>
                <w:sz w:val="16"/>
              </w:rPr>
              <w:t xml:space="preserve"> </w:t>
            </w:r>
            <w:r w:rsidRPr="00C6605E">
              <w:rPr>
                <w:rFonts w:eastAsia="Sylfaen" w:cs="Sylfaen"/>
                <w:sz w:val="16"/>
              </w:rPr>
              <w:t>ინფორმირება</w:t>
            </w:r>
            <w:r w:rsidRPr="00C6605E">
              <w:rPr>
                <w:rFonts w:eastAsia="Sylfaen"/>
                <w:sz w:val="16"/>
              </w:rPr>
              <w:t xml:space="preserve"> </w:t>
            </w:r>
            <w:r w:rsidRPr="00C6605E">
              <w:rPr>
                <w:rFonts w:eastAsia="Sylfaen" w:cs="Sylfaen"/>
                <w:sz w:val="16"/>
              </w:rPr>
              <w:t>მოთხოვნების</w:t>
            </w:r>
            <w:r w:rsidRPr="00C6605E">
              <w:rPr>
                <w:rFonts w:eastAsia="Sylfaen"/>
                <w:sz w:val="16"/>
              </w:rPr>
              <w:t xml:space="preserve"> </w:t>
            </w:r>
            <w:r w:rsidRPr="00C6605E">
              <w:rPr>
                <w:rFonts w:eastAsia="Sylfaen" w:cs="Sylfaen"/>
                <w:sz w:val="16"/>
              </w:rPr>
              <w:t>და</w:t>
            </w:r>
            <w:r w:rsidRPr="00C6605E">
              <w:rPr>
                <w:rFonts w:eastAsia="Sylfaen"/>
                <w:sz w:val="16"/>
              </w:rPr>
              <w:t xml:space="preserve"> </w:t>
            </w:r>
            <w:r w:rsidRPr="00C6605E">
              <w:rPr>
                <w:rFonts w:eastAsia="Sylfaen" w:cs="Sylfaen"/>
                <w:sz w:val="16"/>
              </w:rPr>
              <w:t>სამუშაოს</w:t>
            </w:r>
            <w:r w:rsidRPr="00C6605E">
              <w:rPr>
                <w:rFonts w:eastAsia="Sylfaen"/>
                <w:sz w:val="16"/>
              </w:rPr>
              <w:t xml:space="preserve"> </w:t>
            </w:r>
            <w:r w:rsidRPr="00C6605E">
              <w:rPr>
                <w:rFonts w:eastAsia="Sylfaen" w:cs="Sylfaen"/>
                <w:sz w:val="16"/>
              </w:rPr>
              <w:t>წარმოების</w:t>
            </w:r>
            <w:r w:rsidRPr="00C6605E">
              <w:rPr>
                <w:rFonts w:eastAsia="Sylfaen"/>
                <w:sz w:val="16"/>
              </w:rPr>
              <w:t xml:space="preserve"> </w:t>
            </w:r>
            <w:r w:rsidRPr="00C6605E">
              <w:rPr>
                <w:rFonts w:eastAsia="Sylfaen" w:cs="Sylfaen"/>
                <w:sz w:val="16"/>
              </w:rPr>
              <w:t>მიღებული</w:t>
            </w:r>
            <w:r w:rsidRPr="00C6605E">
              <w:rPr>
                <w:rFonts w:eastAsia="Sylfaen"/>
                <w:sz w:val="16"/>
              </w:rPr>
              <w:t xml:space="preserve"> </w:t>
            </w:r>
            <w:r w:rsidRPr="00C6605E">
              <w:rPr>
                <w:rFonts w:eastAsia="Sylfaen" w:cs="Sylfaen"/>
                <w:sz w:val="16"/>
              </w:rPr>
              <w:t>პრაქტიკის</w:t>
            </w:r>
            <w:r w:rsidRPr="00C6605E">
              <w:rPr>
                <w:rFonts w:eastAsia="Sylfaen"/>
                <w:sz w:val="16"/>
              </w:rPr>
              <w:t xml:space="preserve"> </w:t>
            </w:r>
            <w:r w:rsidRPr="00C6605E">
              <w:rPr>
                <w:rFonts w:eastAsia="Sylfaen" w:cs="Sylfaen"/>
                <w:sz w:val="16"/>
              </w:rPr>
              <w:t>შესახებ</w:t>
            </w:r>
          </w:p>
        </w:tc>
        <w:tc>
          <w:tcPr>
            <w:tcW w:w="2340" w:type="dxa"/>
            <w:tcBorders>
              <w:top w:val="single" w:sz="6" w:space="0" w:color="000000"/>
              <w:left w:val="single" w:sz="6" w:space="0" w:color="000000"/>
              <w:bottom w:val="single" w:sz="6" w:space="0" w:color="000000"/>
              <w:right w:val="single" w:sz="6" w:space="0" w:color="000000"/>
            </w:tcBorders>
            <w:hideMark/>
          </w:tcPr>
          <w:p w14:paraId="724F129C" w14:textId="77777777" w:rsidR="00092B73" w:rsidRPr="00092B73" w:rsidRDefault="00092B73" w:rsidP="000321C7">
            <w:pPr>
              <w:rPr>
                <w:rFonts w:eastAsia="Sylfaen"/>
                <w:sz w:val="16"/>
              </w:rPr>
            </w:pPr>
            <w:r w:rsidRPr="00092B73">
              <w:rPr>
                <w:rFonts w:ascii="Sylfaen" w:eastAsia="Sylfaen" w:hAnsi="Sylfaen" w:cs="Sylfaen"/>
                <w:sz w:val="16"/>
              </w:rPr>
              <w:t>დამატებით</w:t>
            </w:r>
            <w:r w:rsidRPr="00092B73">
              <w:rPr>
                <w:rFonts w:eastAsia="Sylfaen"/>
                <w:sz w:val="16"/>
              </w:rPr>
              <w:t xml:space="preserve"> </w:t>
            </w:r>
            <w:r w:rsidRPr="00092B73">
              <w:rPr>
                <w:rFonts w:ascii="Sylfaen" w:eastAsia="Sylfaen" w:hAnsi="Sylfaen" w:cs="Sylfaen"/>
                <w:sz w:val="16"/>
              </w:rPr>
              <w:t>ხარჯებს</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მოითხოვს</w:t>
            </w:r>
            <w:r w:rsidRPr="00092B73">
              <w:rPr>
                <w:rFonts w:eastAsia="Sylfaen"/>
                <w:sz w:val="16"/>
              </w:rPr>
              <w:t xml:space="preserve">. </w:t>
            </w:r>
            <w:r w:rsidRPr="00092B73">
              <w:rPr>
                <w:rFonts w:ascii="Sylfaen" w:eastAsia="Sylfaen" w:hAnsi="Sylfaen" w:cs="Sylfaen"/>
                <w:sz w:val="16"/>
              </w:rPr>
              <w:t>სარეცხი</w:t>
            </w:r>
            <w:r w:rsidRPr="00092B73">
              <w:rPr>
                <w:rFonts w:eastAsia="Sylfaen"/>
                <w:sz w:val="16"/>
              </w:rPr>
              <w:t xml:space="preserve"> </w:t>
            </w:r>
            <w:r w:rsidRPr="00092B73">
              <w:rPr>
                <w:rFonts w:ascii="Sylfaen" w:eastAsia="Sylfaen" w:hAnsi="Sylfaen" w:cs="Sylfaen"/>
                <w:sz w:val="16"/>
              </w:rPr>
              <w:t>უბნის</w:t>
            </w:r>
          </w:p>
        </w:tc>
        <w:tc>
          <w:tcPr>
            <w:tcW w:w="1204" w:type="dxa"/>
            <w:tcBorders>
              <w:top w:val="single" w:sz="6" w:space="0" w:color="000000"/>
              <w:left w:val="single" w:sz="6" w:space="0" w:color="000000"/>
              <w:bottom w:val="single" w:sz="6" w:space="0" w:color="000000"/>
              <w:right w:val="single" w:sz="6" w:space="0" w:color="000000"/>
            </w:tcBorders>
            <w:hideMark/>
          </w:tcPr>
          <w:p w14:paraId="5E89E481" w14:textId="77777777" w:rsidR="00092B73" w:rsidRPr="00092B73" w:rsidRDefault="00092B73" w:rsidP="000321C7">
            <w:pPr>
              <w:rPr>
                <w:rFonts w:eastAsia="Sylfaen"/>
                <w:sz w:val="16"/>
              </w:rPr>
            </w:pPr>
            <w:r w:rsidRPr="00092B73">
              <w:rPr>
                <w:rFonts w:ascii="Sylfaen" w:eastAsia="Sylfaen" w:hAnsi="Sylfaen" w:cs="Sylfaen"/>
                <w:sz w:val="16"/>
              </w:rPr>
              <w:t>მშენებელი</w:t>
            </w:r>
            <w:r w:rsidRPr="00092B73">
              <w:rPr>
                <w:rFonts w:eastAsia="Sylfaen"/>
                <w:sz w:val="16"/>
              </w:rPr>
              <w:t xml:space="preserve"> </w:t>
            </w:r>
            <w:r w:rsidRPr="00092B73">
              <w:rPr>
                <w:rFonts w:ascii="Sylfaen" w:eastAsia="Sylfaen" w:hAnsi="Sylfaen" w:cs="Sylfaen"/>
                <w:sz w:val="16"/>
              </w:rPr>
              <w:t>კონტრაქტორი</w:t>
            </w:r>
          </w:p>
        </w:tc>
        <w:tc>
          <w:tcPr>
            <w:tcW w:w="1574" w:type="dxa"/>
            <w:tcBorders>
              <w:top w:val="single" w:sz="6" w:space="0" w:color="000000"/>
              <w:left w:val="single" w:sz="6" w:space="0" w:color="000000"/>
              <w:bottom w:val="single" w:sz="6" w:space="0" w:color="000000"/>
              <w:right w:val="single" w:sz="6" w:space="0" w:color="000000"/>
            </w:tcBorders>
            <w:hideMark/>
          </w:tcPr>
          <w:p w14:paraId="6B101030" w14:textId="77777777" w:rsidR="00092B73" w:rsidRPr="00092B73" w:rsidRDefault="00092B73" w:rsidP="000321C7">
            <w:pPr>
              <w:rPr>
                <w:rFonts w:eastAsia="Sylfaen"/>
                <w:sz w:val="16"/>
                <w:lang w:val="ka-GE"/>
              </w:rPr>
            </w:pPr>
            <w:r w:rsidRPr="00092B73">
              <w:rPr>
                <w:rFonts w:ascii="Sylfaen" w:eastAsia="Sylfaen" w:hAnsi="Sylfaen" w:cs="Sylfaen"/>
                <w:sz w:val="16"/>
              </w:rPr>
              <w:t>საგზაო</w:t>
            </w:r>
            <w:r w:rsidRPr="00092B73">
              <w:rPr>
                <w:rFonts w:eastAsia="Sylfaen"/>
                <w:sz w:val="16"/>
              </w:rPr>
              <w:t xml:space="preserve"> </w:t>
            </w:r>
            <w:r w:rsidRPr="00092B73">
              <w:rPr>
                <w:rFonts w:ascii="Sylfaen" w:eastAsia="Sylfaen" w:hAnsi="Sylfaen" w:cs="Sylfaen"/>
                <w:sz w:val="16"/>
              </w:rPr>
              <w:t>დეპარტამენტი</w:t>
            </w:r>
          </w:p>
          <w:p w14:paraId="6249EDC8" w14:textId="77777777" w:rsidR="00092B73" w:rsidRPr="00092B73" w:rsidRDefault="00092B73" w:rsidP="000321C7">
            <w:pPr>
              <w:rPr>
                <w:rFonts w:eastAsia="Sylfaen"/>
                <w:sz w:val="16"/>
                <w:lang w:val="en-US"/>
              </w:rPr>
            </w:pPr>
            <w:r w:rsidRPr="00092B73">
              <w:rPr>
                <w:rFonts w:ascii="Sylfaen" w:eastAsia="Sylfaen" w:hAnsi="Sylfaen" w:cs="Sylfaen"/>
                <w:sz w:val="16"/>
              </w:rPr>
              <w:t>საზედამხედველო</w:t>
            </w:r>
            <w:r w:rsidRPr="00092B73">
              <w:rPr>
                <w:rFonts w:eastAsia="Sylfaen"/>
                <w:sz w:val="16"/>
              </w:rPr>
              <w:t xml:space="preserve"> </w:t>
            </w:r>
            <w:r w:rsidRPr="00092B73">
              <w:rPr>
                <w:rFonts w:ascii="Sylfaen" w:eastAsia="Sylfaen" w:hAnsi="Sylfaen" w:cs="Sylfaen"/>
                <w:sz w:val="16"/>
              </w:rPr>
              <w:t>კომპანია</w:t>
            </w:r>
          </w:p>
        </w:tc>
      </w:tr>
      <w:tr w:rsidR="00092B73" w:rsidRPr="00092B73" w14:paraId="06AA7268" w14:textId="77777777" w:rsidTr="00C6605E">
        <w:trPr>
          <w:gridAfter w:val="1"/>
          <w:wAfter w:w="12" w:type="dxa"/>
          <w:trHeight w:hRule="exact" w:val="900"/>
        </w:trPr>
        <w:tc>
          <w:tcPr>
            <w:tcW w:w="1800" w:type="dxa"/>
            <w:tcBorders>
              <w:top w:val="single" w:sz="6" w:space="0" w:color="000000"/>
              <w:left w:val="single" w:sz="6" w:space="0" w:color="000000"/>
              <w:bottom w:val="single" w:sz="6" w:space="0" w:color="000000"/>
              <w:right w:val="single" w:sz="6" w:space="0" w:color="000000"/>
            </w:tcBorders>
            <w:hideMark/>
          </w:tcPr>
          <w:p w14:paraId="6BA40D5A" w14:textId="77777777" w:rsidR="00092B73" w:rsidRPr="00092B73" w:rsidRDefault="00092B73" w:rsidP="000321C7">
            <w:pPr>
              <w:rPr>
                <w:sz w:val="16"/>
              </w:rPr>
            </w:pPr>
            <w:r w:rsidRPr="00092B73">
              <w:rPr>
                <w:rFonts w:ascii="Sylfaen" w:eastAsia="Sylfaen" w:hAnsi="Sylfaen" w:cs="Sylfaen"/>
                <w:sz w:val="16"/>
              </w:rPr>
              <w:t>მიწის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სხვა</w:t>
            </w:r>
          </w:p>
          <w:p w14:paraId="0FA131DB" w14:textId="77777777" w:rsidR="00092B73" w:rsidRPr="00092B73" w:rsidRDefault="00092B73" w:rsidP="000321C7">
            <w:pPr>
              <w:rPr>
                <w:rFonts w:eastAsia="Sylfaen"/>
                <w:sz w:val="16"/>
              </w:rPr>
            </w:pPr>
            <w:r w:rsidRPr="00092B73">
              <w:rPr>
                <w:rFonts w:ascii="Sylfaen" w:eastAsia="Sylfaen" w:hAnsi="Sylfaen" w:cs="Sylfaen"/>
                <w:sz w:val="16"/>
              </w:rPr>
              <w:t>სამშენებლო</w:t>
            </w:r>
          </w:p>
          <w:p w14:paraId="36025149" w14:textId="77777777" w:rsidR="00092B73" w:rsidRPr="00092B73" w:rsidRDefault="00092B73" w:rsidP="000321C7">
            <w:pPr>
              <w:rPr>
                <w:rFonts w:eastAsia="Sylfaen"/>
                <w:sz w:val="16"/>
              </w:rPr>
            </w:pPr>
            <w:r w:rsidRPr="00092B73">
              <w:rPr>
                <w:rFonts w:ascii="Sylfaen" w:eastAsia="Sylfaen" w:hAnsi="Sylfaen" w:cs="Sylfaen"/>
                <w:sz w:val="16"/>
              </w:rPr>
              <w:t>სამუშაოები</w:t>
            </w:r>
          </w:p>
        </w:tc>
        <w:tc>
          <w:tcPr>
            <w:tcW w:w="1788" w:type="dxa"/>
            <w:tcBorders>
              <w:top w:val="single" w:sz="6" w:space="0" w:color="000000"/>
              <w:left w:val="single" w:sz="6" w:space="0" w:color="000000"/>
              <w:bottom w:val="single" w:sz="6" w:space="0" w:color="000000"/>
              <w:right w:val="single" w:sz="6" w:space="0" w:color="000000"/>
            </w:tcBorders>
            <w:hideMark/>
          </w:tcPr>
          <w:p w14:paraId="11F5363D" w14:textId="77777777" w:rsidR="00092B73" w:rsidRPr="00092B73" w:rsidRDefault="00092B73" w:rsidP="000321C7">
            <w:pPr>
              <w:rPr>
                <w:rFonts w:eastAsia="Sylfaen"/>
                <w:sz w:val="16"/>
              </w:rPr>
            </w:pPr>
            <w:r w:rsidRPr="00092B73">
              <w:rPr>
                <w:rFonts w:ascii="Sylfaen" w:eastAsia="Sylfaen" w:hAnsi="Sylfaen" w:cs="Sylfaen"/>
                <w:sz w:val="16"/>
              </w:rPr>
              <w:t>ლანდშაფტის</w:t>
            </w:r>
          </w:p>
          <w:p w14:paraId="072E780A" w14:textId="77777777" w:rsidR="00092B73" w:rsidRPr="00092B73" w:rsidRDefault="00092B73" w:rsidP="000321C7">
            <w:pPr>
              <w:rPr>
                <w:rFonts w:eastAsia="Sylfaen"/>
                <w:sz w:val="16"/>
              </w:rPr>
            </w:pPr>
            <w:r w:rsidRPr="00092B73">
              <w:rPr>
                <w:rFonts w:ascii="Sylfaen" w:eastAsia="Sylfaen" w:hAnsi="Sylfaen" w:cs="Sylfaen"/>
                <w:sz w:val="16"/>
              </w:rPr>
              <w:t>დარღვევა</w:t>
            </w:r>
            <w:r w:rsidRPr="00092B73">
              <w:rPr>
                <w:rFonts w:eastAsia="Sylfaen"/>
                <w:sz w:val="16"/>
              </w:rPr>
              <w:t>.</w:t>
            </w:r>
          </w:p>
        </w:tc>
        <w:tc>
          <w:tcPr>
            <w:tcW w:w="6838" w:type="dxa"/>
            <w:tcBorders>
              <w:top w:val="single" w:sz="6" w:space="0" w:color="000000"/>
              <w:left w:val="single" w:sz="6" w:space="0" w:color="000000"/>
              <w:bottom w:val="single" w:sz="6" w:space="0" w:color="000000"/>
              <w:right w:val="single" w:sz="6" w:space="0" w:color="000000"/>
            </w:tcBorders>
            <w:hideMark/>
          </w:tcPr>
          <w:p w14:paraId="1CBFBBC0"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სამუშაოს</w:t>
            </w:r>
            <w:r w:rsidRPr="00092B73">
              <w:rPr>
                <w:rFonts w:eastAsia="Sylfaen"/>
                <w:sz w:val="16"/>
              </w:rPr>
              <w:t xml:space="preserve">   </w:t>
            </w:r>
            <w:r w:rsidRPr="00092B73">
              <w:rPr>
                <w:rFonts w:ascii="Sylfaen" w:eastAsia="Sylfaen" w:hAnsi="Sylfaen" w:cs="Sylfaen"/>
                <w:sz w:val="16"/>
              </w:rPr>
              <w:t>დაწყებამდე</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შემუშავდეს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დამტკიცდეს</w:t>
            </w:r>
            <w:r w:rsidRPr="00092B73">
              <w:rPr>
                <w:rFonts w:eastAsia="Sylfaen"/>
                <w:sz w:val="16"/>
              </w:rPr>
              <w:tab/>
            </w:r>
            <w:r w:rsidRPr="00092B73">
              <w:rPr>
                <w:rFonts w:ascii="Sylfaen" w:eastAsia="Sylfaen" w:hAnsi="Sylfaen" w:cs="Sylfaen"/>
                <w:sz w:val="16"/>
              </w:rPr>
              <w:t>ლანდშაფტის</w:t>
            </w:r>
            <w:r w:rsidRPr="00092B73">
              <w:rPr>
                <w:rFonts w:eastAsia="Sylfaen"/>
                <w:sz w:val="16"/>
              </w:rPr>
              <w:tab/>
            </w:r>
            <w:r w:rsidRPr="00092B73">
              <w:rPr>
                <w:rFonts w:ascii="Sylfaen" w:eastAsia="Sylfaen" w:hAnsi="Sylfaen" w:cs="Sylfaen"/>
                <w:sz w:val="16"/>
              </w:rPr>
              <w:t>ჰარმონიზაციის</w:t>
            </w:r>
            <w:r w:rsidRPr="00092B73">
              <w:rPr>
                <w:rFonts w:eastAsia="Sylfaen"/>
                <w:sz w:val="16"/>
              </w:rPr>
              <w:t xml:space="preserve"> </w:t>
            </w:r>
            <w:r w:rsidRPr="00092B73">
              <w:rPr>
                <w:rFonts w:ascii="Sylfaen" w:eastAsia="Sylfaen" w:hAnsi="Sylfaen" w:cs="Sylfaen"/>
                <w:sz w:val="16"/>
              </w:rPr>
              <w:t>გეგმა</w:t>
            </w:r>
          </w:p>
        </w:tc>
        <w:tc>
          <w:tcPr>
            <w:tcW w:w="2340" w:type="dxa"/>
            <w:tcBorders>
              <w:top w:val="single" w:sz="6" w:space="0" w:color="000000"/>
              <w:left w:val="single" w:sz="6" w:space="0" w:color="000000"/>
              <w:bottom w:val="single" w:sz="6" w:space="0" w:color="000000"/>
              <w:right w:val="single" w:sz="6" w:space="0" w:color="000000"/>
            </w:tcBorders>
            <w:hideMark/>
          </w:tcPr>
          <w:p w14:paraId="02927D5C" w14:textId="77777777" w:rsidR="00092B73" w:rsidRPr="00092B73" w:rsidRDefault="00092B73" w:rsidP="000321C7">
            <w:pPr>
              <w:rPr>
                <w:rFonts w:eastAsia="Sylfaen"/>
                <w:sz w:val="16"/>
              </w:rPr>
            </w:pPr>
            <w:r w:rsidRPr="00092B73">
              <w:rPr>
                <w:rFonts w:ascii="Sylfaen" w:eastAsia="Sylfaen" w:hAnsi="Sylfaen" w:cs="Sylfaen"/>
                <w:sz w:val="16"/>
              </w:rPr>
              <w:t>დამატებით</w:t>
            </w:r>
            <w:r w:rsidRPr="00092B73">
              <w:rPr>
                <w:rFonts w:eastAsia="Sylfaen"/>
                <w:sz w:val="16"/>
              </w:rPr>
              <w:t xml:space="preserve"> </w:t>
            </w:r>
            <w:r w:rsidRPr="00092B73">
              <w:rPr>
                <w:rFonts w:ascii="Sylfaen" w:eastAsia="Sylfaen" w:hAnsi="Sylfaen" w:cs="Sylfaen"/>
                <w:sz w:val="16"/>
              </w:rPr>
              <w:t>ხარჯებს</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მოითხოვს</w:t>
            </w:r>
            <w:r w:rsidRPr="00092B73">
              <w:rPr>
                <w:rFonts w:eastAsia="Sylfaen"/>
                <w:sz w:val="16"/>
              </w:rPr>
              <w:t>.</w:t>
            </w:r>
          </w:p>
        </w:tc>
        <w:tc>
          <w:tcPr>
            <w:tcW w:w="1204" w:type="dxa"/>
            <w:tcBorders>
              <w:top w:val="single" w:sz="6" w:space="0" w:color="000000"/>
              <w:left w:val="single" w:sz="6" w:space="0" w:color="000000"/>
              <w:bottom w:val="single" w:sz="6" w:space="0" w:color="000000"/>
              <w:right w:val="single" w:sz="6" w:space="0" w:color="000000"/>
            </w:tcBorders>
            <w:hideMark/>
          </w:tcPr>
          <w:p w14:paraId="48DFE646" w14:textId="77777777" w:rsidR="00092B73" w:rsidRPr="00092B73" w:rsidRDefault="00092B73" w:rsidP="000321C7">
            <w:pPr>
              <w:rPr>
                <w:rFonts w:eastAsia="Sylfaen"/>
                <w:sz w:val="16"/>
              </w:rPr>
            </w:pPr>
            <w:r w:rsidRPr="00092B73">
              <w:rPr>
                <w:rFonts w:ascii="Sylfaen" w:eastAsia="Sylfaen" w:hAnsi="Sylfaen" w:cs="Sylfaen"/>
                <w:sz w:val="16"/>
              </w:rPr>
              <w:t>მშენებელი</w:t>
            </w:r>
            <w:r w:rsidRPr="00092B73">
              <w:rPr>
                <w:rFonts w:eastAsia="Sylfaen"/>
                <w:sz w:val="16"/>
              </w:rPr>
              <w:t xml:space="preserve"> </w:t>
            </w:r>
            <w:r w:rsidRPr="00092B73">
              <w:rPr>
                <w:rFonts w:ascii="Sylfaen" w:eastAsia="Sylfaen" w:hAnsi="Sylfaen" w:cs="Sylfaen"/>
                <w:sz w:val="16"/>
              </w:rPr>
              <w:t>კონტრაქტორი</w:t>
            </w:r>
          </w:p>
        </w:tc>
        <w:tc>
          <w:tcPr>
            <w:tcW w:w="1574" w:type="dxa"/>
            <w:tcBorders>
              <w:top w:val="single" w:sz="6" w:space="0" w:color="000000"/>
              <w:left w:val="single" w:sz="6" w:space="0" w:color="000000"/>
              <w:bottom w:val="single" w:sz="6" w:space="0" w:color="000000"/>
              <w:right w:val="single" w:sz="6" w:space="0" w:color="000000"/>
            </w:tcBorders>
            <w:hideMark/>
          </w:tcPr>
          <w:p w14:paraId="5091D995" w14:textId="77777777" w:rsidR="00092B73" w:rsidRPr="00092B73" w:rsidRDefault="00092B73" w:rsidP="000321C7">
            <w:pPr>
              <w:rPr>
                <w:rFonts w:eastAsia="Sylfaen"/>
                <w:sz w:val="16"/>
                <w:lang w:val="ka-GE"/>
              </w:rPr>
            </w:pPr>
            <w:r w:rsidRPr="00092B73">
              <w:rPr>
                <w:rFonts w:ascii="Sylfaen" w:eastAsia="Sylfaen" w:hAnsi="Sylfaen" w:cs="Sylfaen"/>
                <w:sz w:val="16"/>
              </w:rPr>
              <w:t>საგზაო</w:t>
            </w:r>
            <w:r w:rsidRPr="00092B73">
              <w:rPr>
                <w:rFonts w:eastAsia="Sylfaen"/>
                <w:sz w:val="16"/>
              </w:rPr>
              <w:t xml:space="preserve"> </w:t>
            </w:r>
            <w:r w:rsidRPr="00092B73">
              <w:rPr>
                <w:rFonts w:ascii="Sylfaen" w:eastAsia="Sylfaen" w:hAnsi="Sylfaen" w:cs="Sylfaen"/>
                <w:sz w:val="16"/>
              </w:rPr>
              <w:t>დეპარტამენტი</w:t>
            </w:r>
          </w:p>
          <w:p w14:paraId="065504EB" w14:textId="77777777" w:rsidR="00092B73" w:rsidRPr="00092B73" w:rsidRDefault="00092B73" w:rsidP="000321C7">
            <w:pPr>
              <w:rPr>
                <w:rFonts w:eastAsia="Sylfaen"/>
                <w:sz w:val="16"/>
                <w:lang w:val="en-US"/>
              </w:rPr>
            </w:pPr>
            <w:r w:rsidRPr="00092B73">
              <w:rPr>
                <w:rFonts w:ascii="Sylfaen" w:eastAsia="Sylfaen" w:hAnsi="Sylfaen" w:cs="Sylfaen"/>
                <w:sz w:val="16"/>
              </w:rPr>
              <w:t>საზედამხედველო</w:t>
            </w:r>
            <w:r w:rsidRPr="00092B73">
              <w:rPr>
                <w:rFonts w:eastAsia="Sylfaen"/>
                <w:sz w:val="16"/>
              </w:rPr>
              <w:t xml:space="preserve"> </w:t>
            </w:r>
            <w:r w:rsidRPr="00092B73">
              <w:rPr>
                <w:rFonts w:ascii="Sylfaen" w:eastAsia="Sylfaen" w:hAnsi="Sylfaen" w:cs="Sylfaen"/>
                <w:sz w:val="16"/>
              </w:rPr>
              <w:t>კომპანია</w:t>
            </w:r>
          </w:p>
        </w:tc>
      </w:tr>
      <w:tr w:rsidR="00092B73" w:rsidRPr="00092B73" w14:paraId="7A9D33BC" w14:textId="77777777" w:rsidTr="00C6605E">
        <w:trPr>
          <w:gridAfter w:val="1"/>
          <w:wAfter w:w="12" w:type="dxa"/>
          <w:trHeight w:hRule="exact" w:val="1530"/>
        </w:trPr>
        <w:tc>
          <w:tcPr>
            <w:tcW w:w="1800" w:type="dxa"/>
            <w:tcBorders>
              <w:top w:val="single" w:sz="6" w:space="0" w:color="000000"/>
              <w:left w:val="single" w:sz="6" w:space="0" w:color="000000"/>
              <w:bottom w:val="single" w:sz="6" w:space="0" w:color="000000"/>
              <w:right w:val="single" w:sz="6" w:space="0" w:color="000000"/>
            </w:tcBorders>
            <w:hideMark/>
          </w:tcPr>
          <w:p w14:paraId="53F3BAC0" w14:textId="77777777" w:rsidR="00092B73" w:rsidRPr="00092B73" w:rsidRDefault="00092B73" w:rsidP="000321C7">
            <w:pPr>
              <w:rPr>
                <w:sz w:val="16"/>
              </w:rPr>
            </w:pPr>
            <w:r w:rsidRPr="00092B73">
              <w:rPr>
                <w:rFonts w:ascii="Sylfaen" w:eastAsia="Sylfaen" w:hAnsi="Sylfaen" w:cs="Sylfaen"/>
                <w:sz w:val="16"/>
              </w:rPr>
              <w:t>მიწის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სხვა</w:t>
            </w:r>
          </w:p>
          <w:p w14:paraId="48502FB7" w14:textId="77777777" w:rsidR="00092B73" w:rsidRPr="00092B73" w:rsidRDefault="00092B73" w:rsidP="000321C7">
            <w:pPr>
              <w:rPr>
                <w:rFonts w:eastAsia="Sylfaen"/>
                <w:sz w:val="16"/>
              </w:rPr>
            </w:pPr>
            <w:r w:rsidRPr="00092B73">
              <w:rPr>
                <w:rFonts w:ascii="Sylfaen" w:eastAsia="Sylfaen" w:hAnsi="Sylfaen" w:cs="Sylfaen"/>
                <w:sz w:val="16"/>
              </w:rPr>
              <w:t>სამშენებლო</w:t>
            </w:r>
          </w:p>
          <w:p w14:paraId="474362C3" w14:textId="77777777" w:rsidR="00092B73" w:rsidRPr="00092B73" w:rsidRDefault="00092B73" w:rsidP="000321C7">
            <w:pPr>
              <w:rPr>
                <w:rFonts w:eastAsia="Sylfaen"/>
                <w:sz w:val="16"/>
              </w:rPr>
            </w:pPr>
            <w:r w:rsidRPr="00092B73">
              <w:rPr>
                <w:rFonts w:ascii="Sylfaen" w:eastAsia="Sylfaen" w:hAnsi="Sylfaen" w:cs="Sylfaen"/>
                <w:sz w:val="16"/>
              </w:rPr>
              <w:t>სამუშაოები</w:t>
            </w:r>
          </w:p>
        </w:tc>
        <w:tc>
          <w:tcPr>
            <w:tcW w:w="1788" w:type="dxa"/>
            <w:tcBorders>
              <w:top w:val="single" w:sz="6" w:space="0" w:color="000000"/>
              <w:left w:val="single" w:sz="6" w:space="0" w:color="000000"/>
              <w:bottom w:val="single" w:sz="6" w:space="0" w:color="000000"/>
              <w:right w:val="single" w:sz="6" w:space="0" w:color="000000"/>
            </w:tcBorders>
            <w:hideMark/>
          </w:tcPr>
          <w:p w14:paraId="7F30A02A" w14:textId="77777777" w:rsidR="00092B73" w:rsidRPr="00092B73" w:rsidRDefault="00092B73" w:rsidP="000321C7">
            <w:pPr>
              <w:rPr>
                <w:rFonts w:eastAsia="Sylfaen"/>
                <w:sz w:val="16"/>
              </w:rPr>
            </w:pPr>
            <w:r w:rsidRPr="00092B73">
              <w:rPr>
                <w:rFonts w:ascii="Sylfaen" w:eastAsia="Sylfaen" w:hAnsi="Sylfaen" w:cs="Sylfaen"/>
                <w:sz w:val="16"/>
              </w:rPr>
              <w:t>არქეოლოგიური</w:t>
            </w:r>
          </w:p>
          <w:p w14:paraId="077D567C" w14:textId="77777777" w:rsidR="00092B73" w:rsidRPr="00092B73" w:rsidRDefault="00092B73" w:rsidP="000321C7">
            <w:pPr>
              <w:rPr>
                <w:rFonts w:eastAsia="Sylfaen"/>
                <w:sz w:val="16"/>
              </w:rPr>
            </w:pPr>
            <w:r w:rsidRPr="00092B73">
              <w:rPr>
                <w:rFonts w:ascii="Sylfaen" w:eastAsia="Sylfaen" w:hAnsi="Sylfaen" w:cs="Sylfaen"/>
                <w:sz w:val="16"/>
              </w:rPr>
              <w:t>ობიექტის</w:t>
            </w:r>
          </w:p>
          <w:p w14:paraId="6E6B83D3" w14:textId="77777777" w:rsidR="00092B73" w:rsidRPr="00092B73" w:rsidRDefault="00092B73" w:rsidP="000321C7">
            <w:pPr>
              <w:rPr>
                <w:rFonts w:eastAsia="Sylfaen"/>
                <w:sz w:val="16"/>
              </w:rPr>
            </w:pPr>
            <w:r w:rsidRPr="00092B73">
              <w:rPr>
                <w:rFonts w:ascii="Sylfaen" w:eastAsia="Sylfaen" w:hAnsi="Sylfaen" w:cs="Sylfaen"/>
                <w:sz w:val="16"/>
              </w:rPr>
              <w:t>მოულოდნელი</w:t>
            </w:r>
          </w:p>
          <w:p w14:paraId="2DAD1902" w14:textId="77777777" w:rsidR="00092B73" w:rsidRPr="00092B73" w:rsidRDefault="00092B73" w:rsidP="000321C7">
            <w:pPr>
              <w:rPr>
                <w:rFonts w:eastAsia="Sylfaen"/>
                <w:sz w:val="16"/>
              </w:rPr>
            </w:pPr>
            <w:r w:rsidRPr="00092B73">
              <w:rPr>
                <w:rFonts w:ascii="Sylfaen" w:eastAsia="Sylfaen" w:hAnsi="Sylfaen" w:cs="Sylfaen"/>
                <w:sz w:val="16"/>
              </w:rPr>
              <w:t>აღმოჩენა</w:t>
            </w:r>
          </w:p>
        </w:tc>
        <w:tc>
          <w:tcPr>
            <w:tcW w:w="6838" w:type="dxa"/>
            <w:tcBorders>
              <w:top w:val="single" w:sz="6" w:space="0" w:color="000000"/>
              <w:left w:val="single" w:sz="6" w:space="0" w:color="000000"/>
              <w:bottom w:val="single" w:sz="6" w:space="0" w:color="000000"/>
              <w:right w:val="single" w:sz="6" w:space="0" w:color="000000"/>
            </w:tcBorders>
            <w:hideMark/>
          </w:tcPr>
          <w:p w14:paraId="64A5362B"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არქეოლოგის</w:t>
            </w:r>
            <w:r w:rsidRPr="00092B73">
              <w:rPr>
                <w:rFonts w:eastAsia="Sylfaen"/>
                <w:sz w:val="16"/>
              </w:rPr>
              <w:t xml:space="preserve"> </w:t>
            </w:r>
            <w:r w:rsidRPr="00092B73">
              <w:rPr>
                <w:rFonts w:ascii="Sylfaen" w:eastAsia="Sylfaen" w:hAnsi="Sylfaen" w:cs="Sylfaen"/>
                <w:sz w:val="16"/>
              </w:rPr>
              <w:t>მიერ</w:t>
            </w:r>
            <w:r w:rsidRPr="00092B73">
              <w:rPr>
                <w:rFonts w:eastAsia="Sylfaen"/>
                <w:sz w:val="16"/>
              </w:rPr>
              <w:t xml:space="preserve"> </w:t>
            </w:r>
            <w:r w:rsidRPr="00092B73">
              <w:rPr>
                <w:rFonts w:ascii="Sylfaen" w:eastAsia="Sylfaen" w:hAnsi="Sylfaen" w:cs="Sylfaen"/>
                <w:sz w:val="16"/>
              </w:rPr>
              <w:t>ზედამხედველობა</w:t>
            </w:r>
          </w:p>
          <w:p w14:paraId="1AEB9699" w14:textId="4F5D3F72"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არქეოლოგიური</w:t>
            </w:r>
            <w:r w:rsidRPr="00092B73">
              <w:rPr>
                <w:rFonts w:eastAsia="Sylfaen"/>
                <w:sz w:val="16"/>
              </w:rPr>
              <w:t xml:space="preserve"> </w:t>
            </w:r>
            <w:r w:rsidRPr="00092B73">
              <w:rPr>
                <w:rFonts w:ascii="Sylfaen" w:eastAsia="Sylfaen" w:hAnsi="Sylfaen" w:cs="Sylfaen"/>
                <w:sz w:val="16"/>
              </w:rPr>
              <w:t>ობიექტის</w:t>
            </w:r>
            <w:r w:rsidRPr="00092B73">
              <w:rPr>
                <w:rFonts w:eastAsia="Sylfaen"/>
                <w:sz w:val="16"/>
              </w:rPr>
              <w:t xml:space="preserve"> </w:t>
            </w:r>
            <w:r w:rsidRPr="00092B73">
              <w:rPr>
                <w:rFonts w:ascii="Sylfaen" w:eastAsia="Sylfaen" w:hAnsi="Sylfaen" w:cs="Sylfaen"/>
                <w:sz w:val="16"/>
              </w:rPr>
              <w:t>შემთხვევით</w:t>
            </w:r>
            <w:r w:rsidRPr="00092B73">
              <w:rPr>
                <w:rFonts w:eastAsia="Sylfaen"/>
                <w:sz w:val="16"/>
              </w:rPr>
              <w:t xml:space="preserve">  </w:t>
            </w:r>
            <w:r w:rsidRPr="00092B73">
              <w:rPr>
                <w:rFonts w:ascii="Sylfaen" w:eastAsia="Sylfaen" w:hAnsi="Sylfaen" w:cs="Sylfaen"/>
                <w:sz w:val="16"/>
              </w:rPr>
              <w:t>აღმოჩენის</w:t>
            </w:r>
            <w:r w:rsidRPr="00092B73">
              <w:rPr>
                <w:rFonts w:eastAsia="Sylfaen"/>
                <w:sz w:val="16"/>
              </w:rPr>
              <w:t xml:space="preserve"> </w:t>
            </w:r>
            <w:r w:rsidRPr="00092B73">
              <w:rPr>
                <w:rFonts w:ascii="Sylfaen" w:eastAsia="Sylfaen" w:hAnsi="Sylfaen" w:cs="Sylfaen"/>
                <w:sz w:val="16"/>
              </w:rPr>
              <w:t>შემთხვევაში</w:t>
            </w:r>
            <w:r w:rsidRPr="00092B73">
              <w:rPr>
                <w:rFonts w:eastAsia="Sylfaen"/>
                <w:sz w:val="16"/>
              </w:rPr>
              <w:t xml:space="preserve"> </w:t>
            </w:r>
            <w:r w:rsidRPr="00092B73">
              <w:rPr>
                <w:rFonts w:ascii="Sylfaen" w:eastAsia="Sylfaen" w:hAnsi="Sylfaen" w:cs="Sylfaen"/>
                <w:sz w:val="16"/>
              </w:rPr>
              <w:t>კონტრაქტორმა</w:t>
            </w:r>
            <w:r w:rsidRPr="00092B73">
              <w:rPr>
                <w:rFonts w:eastAsia="Sylfaen"/>
                <w:sz w:val="16"/>
              </w:rPr>
              <w:t xml:space="preserve"> </w:t>
            </w:r>
            <w:r w:rsidRPr="00092B73">
              <w:rPr>
                <w:rFonts w:ascii="Sylfaen" w:eastAsia="Sylfaen" w:hAnsi="Sylfaen" w:cs="Sylfaen"/>
                <w:sz w:val="16"/>
              </w:rPr>
              <w:t>დაუყოვნებლივ</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აცნობოს</w:t>
            </w:r>
            <w:r w:rsidRPr="00092B73">
              <w:rPr>
                <w:rFonts w:eastAsia="Sylfaen"/>
                <w:sz w:val="16"/>
              </w:rPr>
              <w:t xml:space="preserve"> </w:t>
            </w:r>
            <w:r w:rsidRPr="00092B73">
              <w:rPr>
                <w:rFonts w:ascii="Sylfaen" w:eastAsia="Sylfaen" w:hAnsi="Sylfaen" w:cs="Sylfaen"/>
                <w:sz w:val="16"/>
              </w:rPr>
              <w:t>დამქირავებელ</w:t>
            </w:r>
            <w:r w:rsidRPr="00092B73">
              <w:rPr>
                <w:rFonts w:eastAsia="Sylfaen"/>
                <w:sz w:val="16"/>
              </w:rPr>
              <w:t xml:space="preserve">, </w:t>
            </w:r>
            <w:r w:rsidRPr="00092B73">
              <w:rPr>
                <w:rFonts w:ascii="Sylfaen" w:eastAsia="Sylfaen" w:hAnsi="Sylfaen" w:cs="Sylfaen"/>
                <w:sz w:val="16"/>
              </w:rPr>
              <w:t>რომელიც</w:t>
            </w:r>
            <w:r w:rsidRPr="00092B73">
              <w:rPr>
                <w:rFonts w:eastAsia="Sylfaen"/>
                <w:sz w:val="16"/>
              </w:rPr>
              <w:t xml:space="preserve"> </w:t>
            </w:r>
            <w:r w:rsidRPr="00092B73">
              <w:rPr>
                <w:rFonts w:ascii="Sylfaen" w:eastAsia="Sylfaen" w:hAnsi="Sylfaen" w:cs="Sylfaen"/>
                <w:sz w:val="16"/>
              </w:rPr>
              <w:t>ატყობინებს</w:t>
            </w:r>
            <w:r w:rsidRPr="00092B73">
              <w:rPr>
                <w:rFonts w:eastAsia="Sylfaen"/>
                <w:sz w:val="16"/>
              </w:rPr>
              <w:t xml:space="preserve"> </w:t>
            </w:r>
            <w:r w:rsidRPr="00092B73">
              <w:rPr>
                <w:rFonts w:ascii="Sylfaen" w:eastAsia="Sylfaen" w:hAnsi="Sylfaen" w:cs="Sylfaen"/>
                <w:sz w:val="16"/>
              </w:rPr>
              <w:t>ამ</w:t>
            </w:r>
            <w:r w:rsidRPr="00092B73">
              <w:rPr>
                <w:rFonts w:eastAsia="Sylfaen"/>
                <w:sz w:val="16"/>
              </w:rPr>
              <w:t xml:space="preserve"> </w:t>
            </w:r>
            <w:r w:rsidRPr="00092B73">
              <w:rPr>
                <w:rFonts w:ascii="Sylfaen" w:eastAsia="Sylfaen" w:hAnsi="Sylfaen" w:cs="Sylfaen"/>
                <w:sz w:val="16"/>
              </w:rPr>
              <w:t>ფაქტს</w:t>
            </w:r>
            <w:r w:rsidRPr="00092B73">
              <w:rPr>
                <w:rFonts w:eastAsia="Sylfaen"/>
                <w:sz w:val="16"/>
              </w:rPr>
              <w:t xml:space="preserve"> </w:t>
            </w:r>
            <w:r w:rsidRPr="00092B73">
              <w:rPr>
                <w:rFonts w:ascii="Sylfaen" w:eastAsia="Sylfaen" w:hAnsi="Sylfaen" w:cs="Sylfaen"/>
                <w:sz w:val="16"/>
              </w:rPr>
              <w:t>კულტურის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ძეგლთა</w:t>
            </w:r>
            <w:r w:rsidRPr="00092B73">
              <w:rPr>
                <w:rFonts w:eastAsia="Sylfaen"/>
                <w:sz w:val="16"/>
              </w:rPr>
              <w:t xml:space="preserve">    </w:t>
            </w:r>
            <w:r w:rsidRPr="00092B73">
              <w:rPr>
                <w:rFonts w:ascii="Sylfaen" w:eastAsia="Sylfaen" w:hAnsi="Sylfaen" w:cs="Sylfaen"/>
                <w:sz w:val="16"/>
              </w:rPr>
              <w:t>დაცვის</w:t>
            </w:r>
            <w:r w:rsidRPr="00092B73">
              <w:rPr>
                <w:rFonts w:eastAsia="Sylfaen"/>
                <w:sz w:val="16"/>
              </w:rPr>
              <w:t xml:space="preserve">    </w:t>
            </w:r>
            <w:r w:rsidRPr="00092B73">
              <w:rPr>
                <w:rFonts w:ascii="Sylfaen" w:eastAsia="Sylfaen" w:hAnsi="Sylfaen" w:cs="Sylfaen"/>
                <w:sz w:val="16"/>
              </w:rPr>
              <w:t>სამინისტროს</w:t>
            </w:r>
            <w:r w:rsidRPr="00092B73">
              <w:rPr>
                <w:rFonts w:eastAsia="Sylfaen"/>
                <w:sz w:val="16"/>
              </w:rPr>
              <w:t xml:space="preserve">.    </w:t>
            </w:r>
            <w:r w:rsidRPr="00092B73">
              <w:rPr>
                <w:rFonts w:ascii="Sylfaen" w:eastAsia="Sylfaen" w:hAnsi="Sylfaen" w:cs="Sylfaen"/>
                <w:sz w:val="16"/>
              </w:rPr>
              <w:t>სამუშაოები</w:t>
            </w:r>
            <w:r w:rsidRPr="00092B73">
              <w:rPr>
                <w:rFonts w:eastAsia="Sylfaen"/>
                <w:sz w:val="16"/>
              </w:rPr>
              <w:t xml:space="preserve"> </w:t>
            </w:r>
            <w:r w:rsidRPr="00092B73">
              <w:rPr>
                <w:rFonts w:ascii="Sylfaen" w:eastAsia="Sylfaen" w:hAnsi="Sylfaen" w:cs="Sylfaen"/>
                <w:sz w:val="16"/>
              </w:rPr>
              <w:t>წყდება</w:t>
            </w:r>
            <w:r w:rsidR="00C6605E">
              <w:rPr>
                <w:rFonts w:ascii="Sylfaen" w:eastAsia="Sylfaen" w:hAnsi="Sylfaen" w:cs="Sylfaen"/>
                <w:sz w:val="16"/>
                <w:lang w:val="ka-GE"/>
              </w:rPr>
              <w:t xml:space="preserve"> </w:t>
            </w:r>
            <w:r w:rsidRPr="00092B73">
              <w:rPr>
                <w:rFonts w:ascii="Sylfaen" w:eastAsia="Sylfaen" w:hAnsi="Sylfaen" w:cs="Sylfaen"/>
                <w:sz w:val="16"/>
              </w:rPr>
              <w:t>სამინისტროს</w:t>
            </w:r>
            <w:r w:rsidR="00C6605E">
              <w:rPr>
                <w:rFonts w:ascii="Sylfaen" w:eastAsia="Sylfaen" w:hAnsi="Sylfaen" w:cs="Sylfaen"/>
                <w:sz w:val="16"/>
                <w:lang w:val="ka-GE"/>
              </w:rPr>
              <w:t xml:space="preserve"> </w:t>
            </w:r>
            <w:r w:rsidRPr="00092B73">
              <w:rPr>
                <w:rFonts w:ascii="Sylfaen" w:eastAsia="Sylfaen" w:hAnsi="Sylfaen" w:cs="Sylfaen"/>
                <w:sz w:val="16"/>
              </w:rPr>
              <w:t>მიერ</w:t>
            </w:r>
            <w:r w:rsidRPr="00092B73">
              <w:rPr>
                <w:rFonts w:eastAsia="Sylfaen"/>
                <w:sz w:val="16"/>
              </w:rPr>
              <w:t xml:space="preserve"> </w:t>
            </w:r>
            <w:r w:rsidRPr="00092B73">
              <w:rPr>
                <w:rFonts w:ascii="Sylfaen" w:eastAsia="Sylfaen" w:hAnsi="Sylfaen" w:cs="Sylfaen"/>
                <w:sz w:val="16"/>
              </w:rPr>
              <w:t>მუშაობის</w:t>
            </w:r>
            <w:r w:rsidR="00C6605E">
              <w:rPr>
                <w:rFonts w:ascii="Sylfaen" w:eastAsia="Sylfaen" w:hAnsi="Sylfaen" w:cs="Sylfaen"/>
                <w:sz w:val="16"/>
                <w:lang w:val="ka-GE"/>
              </w:rPr>
              <w:t xml:space="preserve"> </w:t>
            </w:r>
            <w:r w:rsidRPr="00092B73">
              <w:rPr>
                <w:rFonts w:ascii="Sylfaen" w:eastAsia="Sylfaen" w:hAnsi="Sylfaen" w:cs="Sylfaen"/>
                <w:sz w:val="16"/>
              </w:rPr>
              <w:t>გაგრძელებაზე</w:t>
            </w:r>
            <w:r w:rsidRPr="00092B73">
              <w:rPr>
                <w:rFonts w:eastAsia="Sylfaen"/>
                <w:sz w:val="16"/>
              </w:rPr>
              <w:t xml:space="preserve"> </w:t>
            </w:r>
            <w:r w:rsidRPr="00092B73">
              <w:rPr>
                <w:rFonts w:ascii="Sylfaen" w:eastAsia="Sylfaen" w:hAnsi="Sylfaen" w:cs="Sylfaen"/>
                <w:sz w:val="16"/>
              </w:rPr>
              <w:t>ნებართვის</w:t>
            </w:r>
            <w:r w:rsidRPr="00092B73">
              <w:rPr>
                <w:rFonts w:eastAsia="Sylfaen"/>
                <w:sz w:val="16"/>
              </w:rPr>
              <w:t xml:space="preserve"> </w:t>
            </w:r>
            <w:r w:rsidRPr="00092B73">
              <w:rPr>
                <w:rFonts w:ascii="Sylfaen" w:eastAsia="Sylfaen" w:hAnsi="Sylfaen" w:cs="Sylfaen"/>
                <w:sz w:val="16"/>
              </w:rPr>
              <w:t>მიღების</w:t>
            </w:r>
            <w:r w:rsidRPr="00092B73">
              <w:rPr>
                <w:rFonts w:eastAsia="Sylfaen"/>
                <w:sz w:val="16"/>
              </w:rPr>
              <w:t xml:space="preserve"> </w:t>
            </w:r>
            <w:r w:rsidRPr="00092B73">
              <w:rPr>
                <w:rFonts w:ascii="Sylfaen" w:eastAsia="Sylfaen" w:hAnsi="Sylfaen" w:cs="Sylfaen"/>
                <w:sz w:val="16"/>
              </w:rPr>
              <w:t>შემდეგ</w:t>
            </w:r>
            <w:r w:rsidRPr="00092B73">
              <w:rPr>
                <w:rFonts w:eastAsia="Sylfaen"/>
                <w:sz w:val="16"/>
              </w:rPr>
              <w:t>.</w:t>
            </w:r>
          </w:p>
          <w:p w14:paraId="5AFD1ED5"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პერსონალის</w:t>
            </w:r>
            <w:r w:rsidRPr="00092B73">
              <w:rPr>
                <w:rFonts w:eastAsia="Sylfaen"/>
                <w:sz w:val="16"/>
              </w:rPr>
              <w:tab/>
            </w:r>
            <w:r w:rsidRPr="00092B73">
              <w:rPr>
                <w:rFonts w:ascii="Sylfaen" w:eastAsia="Sylfaen" w:hAnsi="Sylfaen" w:cs="Sylfaen"/>
                <w:sz w:val="16"/>
              </w:rPr>
              <w:t>ინფორმირება</w:t>
            </w:r>
            <w:r w:rsidRPr="00092B73">
              <w:rPr>
                <w:rFonts w:eastAsia="Sylfaen"/>
                <w:sz w:val="16"/>
              </w:rPr>
              <w:tab/>
            </w:r>
            <w:r w:rsidRPr="00092B73">
              <w:rPr>
                <w:rFonts w:ascii="Sylfaen" w:eastAsia="Sylfaen" w:hAnsi="Sylfaen" w:cs="Sylfaen"/>
                <w:sz w:val="16"/>
              </w:rPr>
              <w:t>პროცედურის</w:t>
            </w:r>
            <w:r w:rsidRPr="00092B73">
              <w:rPr>
                <w:rFonts w:eastAsia="Sylfaen"/>
                <w:sz w:val="16"/>
              </w:rPr>
              <w:t xml:space="preserve"> </w:t>
            </w:r>
            <w:r w:rsidRPr="00092B73">
              <w:rPr>
                <w:rFonts w:ascii="Sylfaen" w:eastAsia="Sylfaen" w:hAnsi="Sylfaen" w:cs="Sylfaen"/>
                <w:sz w:val="16"/>
              </w:rPr>
              <w:t>შესახებ</w:t>
            </w:r>
            <w:r w:rsidRPr="00092B73">
              <w:rPr>
                <w:rFonts w:eastAsia="Sylfaen"/>
                <w:sz w:val="16"/>
              </w:rPr>
              <w:t>.</w:t>
            </w:r>
          </w:p>
        </w:tc>
        <w:tc>
          <w:tcPr>
            <w:tcW w:w="2340" w:type="dxa"/>
            <w:tcBorders>
              <w:top w:val="single" w:sz="6" w:space="0" w:color="000000"/>
              <w:left w:val="single" w:sz="6" w:space="0" w:color="000000"/>
              <w:bottom w:val="single" w:sz="6" w:space="0" w:color="000000"/>
              <w:right w:val="single" w:sz="6" w:space="0" w:color="000000"/>
            </w:tcBorders>
            <w:hideMark/>
          </w:tcPr>
          <w:p w14:paraId="3B94B482" w14:textId="77777777" w:rsidR="00092B73" w:rsidRPr="00092B73" w:rsidRDefault="00092B73" w:rsidP="000321C7">
            <w:pPr>
              <w:rPr>
                <w:rFonts w:eastAsia="Sylfaen"/>
                <w:sz w:val="16"/>
              </w:rPr>
            </w:pPr>
            <w:r w:rsidRPr="00092B73">
              <w:rPr>
                <w:rFonts w:ascii="Sylfaen" w:eastAsia="Sylfaen" w:hAnsi="Sylfaen" w:cs="Sylfaen"/>
                <w:sz w:val="16"/>
              </w:rPr>
              <w:t>არქეოლოგიუ</w:t>
            </w:r>
          </w:p>
          <w:p w14:paraId="52DDC4FA" w14:textId="77777777" w:rsidR="00092B73" w:rsidRPr="00092B73" w:rsidRDefault="00092B73" w:rsidP="000321C7">
            <w:pPr>
              <w:rPr>
                <w:rFonts w:eastAsia="Sylfaen"/>
                <w:sz w:val="16"/>
              </w:rPr>
            </w:pPr>
            <w:r w:rsidRPr="00092B73">
              <w:rPr>
                <w:rFonts w:ascii="Sylfaen" w:eastAsia="Sylfaen" w:hAnsi="Sylfaen" w:cs="Sylfaen"/>
                <w:sz w:val="16"/>
              </w:rPr>
              <w:t>რი</w:t>
            </w:r>
            <w:r w:rsidRPr="00092B73">
              <w:rPr>
                <w:rFonts w:eastAsia="Sylfaen"/>
                <w:sz w:val="16"/>
              </w:rPr>
              <w:t xml:space="preserve"> </w:t>
            </w:r>
            <w:r w:rsidRPr="00092B73">
              <w:rPr>
                <w:rFonts w:ascii="Sylfaen" w:eastAsia="Sylfaen" w:hAnsi="Sylfaen" w:cs="Sylfaen"/>
                <w:sz w:val="16"/>
              </w:rPr>
              <w:t>კვლევის</w:t>
            </w:r>
          </w:p>
          <w:p w14:paraId="20DA9E49" w14:textId="77777777" w:rsidR="00092B73" w:rsidRPr="00092B73" w:rsidRDefault="00092B73" w:rsidP="000321C7">
            <w:pPr>
              <w:rPr>
                <w:rFonts w:eastAsia="Sylfaen"/>
                <w:sz w:val="16"/>
              </w:rPr>
            </w:pPr>
            <w:r w:rsidRPr="00092B73">
              <w:rPr>
                <w:rFonts w:ascii="Sylfaen" w:eastAsia="Sylfaen" w:hAnsi="Sylfaen" w:cs="Sylfaen"/>
                <w:sz w:val="16"/>
              </w:rPr>
              <w:t>ღირებულება</w:t>
            </w:r>
          </w:p>
        </w:tc>
        <w:tc>
          <w:tcPr>
            <w:tcW w:w="1204" w:type="dxa"/>
            <w:tcBorders>
              <w:top w:val="single" w:sz="6" w:space="0" w:color="000000"/>
              <w:left w:val="single" w:sz="6" w:space="0" w:color="000000"/>
              <w:bottom w:val="single" w:sz="6" w:space="0" w:color="000000"/>
              <w:right w:val="single" w:sz="6" w:space="0" w:color="000000"/>
            </w:tcBorders>
            <w:hideMark/>
          </w:tcPr>
          <w:p w14:paraId="7DF72CD5" w14:textId="77777777" w:rsidR="00092B73" w:rsidRPr="00092B73" w:rsidRDefault="00092B73" w:rsidP="000321C7">
            <w:pPr>
              <w:rPr>
                <w:rFonts w:eastAsia="Sylfaen"/>
                <w:sz w:val="16"/>
              </w:rPr>
            </w:pPr>
            <w:r w:rsidRPr="00092B73">
              <w:rPr>
                <w:rFonts w:ascii="Sylfaen" w:eastAsia="Sylfaen" w:hAnsi="Sylfaen" w:cs="Sylfaen"/>
                <w:sz w:val="16"/>
              </w:rPr>
              <w:t>მშენებელი</w:t>
            </w:r>
            <w:r w:rsidRPr="00092B73">
              <w:rPr>
                <w:rFonts w:eastAsia="Sylfaen"/>
                <w:sz w:val="16"/>
              </w:rPr>
              <w:t xml:space="preserve"> </w:t>
            </w:r>
            <w:r w:rsidRPr="00092B73">
              <w:rPr>
                <w:rFonts w:ascii="Sylfaen" w:eastAsia="Sylfaen" w:hAnsi="Sylfaen" w:cs="Sylfaen"/>
                <w:sz w:val="16"/>
              </w:rPr>
              <w:t>კონტრაქტორი</w:t>
            </w:r>
          </w:p>
        </w:tc>
        <w:tc>
          <w:tcPr>
            <w:tcW w:w="1574" w:type="dxa"/>
            <w:tcBorders>
              <w:top w:val="single" w:sz="6" w:space="0" w:color="000000"/>
              <w:left w:val="single" w:sz="6" w:space="0" w:color="000000"/>
              <w:bottom w:val="single" w:sz="6" w:space="0" w:color="000000"/>
              <w:right w:val="single" w:sz="6" w:space="0" w:color="000000"/>
            </w:tcBorders>
            <w:hideMark/>
          </w:tcPr>
          <w:p w14:paraId="0E7FF12D" w14:textId="77777777" w:rsidR="00092B73" w:rsidRPr="00092B73" w:rsidRDefault="00092B73" w:rsidP="000321C7">
            <w:pPr>
              <w:rPr>
                <w:rFonts w:eastAsia="Sylfaen"/>
                <w:sz w:val="16"/>
                <w:lang w:val="ka-GE"/>
              </w:rPr>
            </w:pPr>
            <w:r w:rsidRPr="00092B73">
              <w:rPr>
                <w:rFonts w:ascii="Sylfaen" w:eastAsia="Sylfaen" w:hAnsi="Sylfaen" w:cs="Sylfaen"/>
                <w:sz w:val="16"/>
              </w:rPr>
              <w:t>საგზაო</w:t>
            </w:r>
            <w:r w:rsidRPr="00092B73">
              <w:rPr>
                <w:rFonts w:eastAsia="Sylfaen"/>
                <w:sz w:val="16"/>
              </w:rPr>
              <w:t xml:space="preserve"> </w:t>
            </w:r>
            <w:r w:rsidRPr="00092B73">
              <w:rPr>
                <w:rFonts w:ascii="Sylfaen" w:eastAsia="Sylfaen" w:hAnsi="Sylfaen" w:cs="Sylfaen"/>
                <w:sz w:val="16"/>
              </w:rPr>
              <w:t>დეპარტამენტი</w:t>
            </w:r>
          </w:p>
          <w:p w14:paraId="5D540052" w14:textId="77777777" w:rsidR="00092B73" w:rsidRPr="00092B73" w:rsidRDefault="00092B73" w:rsidP="000321C7">
            <w:pPr>
              <w:rPr>
                <w:rFonts w:eastAsia="Sylfaen"/>
                <w:sz w:val="16"/>
                <w:lang w:val="en-US"/>
              </w:rPr>
            </w:pPr>
            <w:r w:rsidRPr="00092B73">
              <w:rPr>
                <w:rFonts w:ascii="Sylfaen" w:eastAsia="Sylfaen" w:hAnsi="Sylfaen" w:cs="Sylfaen"/>
                <w:sz w:val="16"/>
              </w:rPr>
              <w:t>საზედამხედველო</w:t>
            </w:r>
            <w:r w:rsidRPr="00092B73">
              <w:rPr>
                <w:rFonts w:eastAsia="Sylfaen"/>
                <w:sz w:val="16"/>
              </w:rPr>
              <w:t xml:space="preserve"> </w:t>
            </w:r>
            <w:r w:rsidRPr="00092B73">
              <w:rPr>
                <w:rFonts w:ascii="Sylfaen" w:eastAsia="Sylfaen" w:hAnsi="Sylfaen" w:cs="Sylfaen"/>
                <w:sz w:val="16"/>
              </w:rPr>
              <w:t>კომპანია</w:t>
            </w:r>
          </w:p>
        </w:tc>
      </w:tr>
      <w:tr w:rsidR="00092B73" w:rsidRPr="00092B73" w14:paraId="67856134" w14:textId="77777777" w:rsidTr="00C6605E">
        <w:trPr>
          <w:gridAfter w:val="1"/>
          <w:wAfter w:w="12" w:type="dxa"/>
          <w:trHeight w:val="1713"/>
        </w:trPr>
        <w:tc>
          <w:tcPr>
            <w:tcW w:w="1800" w:type="dxa"/>
            <w:vMerge w:val="restart"/>
            <w:tcBorders>
              <w:top w:val="single" w:sz="6" w:space="0" w:color="000000"/>
              <w:left w:val="single" w:sz="6" w:space="0" w:color="000000"/>
              <w:bottom w:val="single" w:sz="6" w:space="0" w:color="000000"/>
              <w:right w:val="single" w:sz="6" w:space="0" w:color="000000"/>
            </w:tcBorders>
            <w:hideMark/>
          </w:tcPr>
          <w:p w14:paraId="7BD6AD5A" w14:textId="77777777" w:rsidR="00092B73" w:rsidRPr="00092B73" w:rsidRDefault="00092B73" w:rsidP="000321C7">
            <w:pPr>
              <w:rPr>
                <w:sz w:val="16"/>
              </w:rPr>
            </w:pPr>
            <w:r w:rsidRPr="00092B73">
              <w:rPr>
                <w:rFonts w:ascii="Sylfaen" w:eastAsia="Sylfaen" w:hAnsi="Sylfaen" w:cs="Sylfaen"/>
                <w:sz w:val="16"/>
              </w:rPr>
              <w:t>მიწის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სხვა</w:t>
            </w:r>
          </w:p>
          <w:p w14:paraId="75C551D9" w14:textId="77777777" w:rsidR="00092B73" w:rsidRPr="00092B73" w:rsidRDefault="00092B73" w:rsidP="000321C7">
            <w:pPr>
              <w:rPr>
                <w:rFonts w:eastAsia="Sylfaen"/>
                <w:sz w:val="16"/>
              </w:rPr>
            </w:pPr>
            <w:r w:rsidRPr="00092B73">
              <w:rPr>
                <w:rFonts w:ascii="Sylfaen" w:eastAsia="Sylfaen" w:hAnsi="Sylfaen" w:cs="Sylfaen"/>
                <w:sz w:val="16"/>
              </w:rPr>
              <w:t>სამშენებლო</w:t>
            </w:r>
          </w:p>
          <w:p w14:paraId="2DE1F149" w14:textId="77777777" w:rsidR="00092B73" w:rsidRPr="00092B73" w:rsidRDefault="00092B73" w:rsidP="000321C7">
            <w:pPr>
              <w:rPr>
                <w:rFonts w:eastAsia="Sylfaen"/>
                <w:sz w:val="16"/>
              </w:rPr>
            </w:pPr>
            <w:r w:rsidRPr="00092B73">
              <w:rPr>
                <w:rFonts w:ascii="Sylfaen" w:eastAsia="Sylfaen" w:hAnsi="Sylfaen" w:cs="Sylfaen"/>
                <w:sz w:val="16"/>
              </w:rPr>
              <w:t>სამუშაოები</w:t>
            </w:r>
          </w:p>
        </w:tc>
        <w:tc>
          <w:tcPr>
            <w:tcW w:w="1788" w:type="dxa"/>
            <w:tcBorders>
              <w:top w:val="single" w:sz="6" w:space="0" w:color="000000"/>
              <w:left w:val="single" w:sz="6" w:space="0" w:color="000000"/>
              <w:bottom w:val="nil"/>
              <w:right w:val="single" w:sz="6" w:space="0" w:color="000000"/>
            </w:tcBorders>
            <w:hideMark/>
          </w:tcPr>
          <w:p w14:paraId="4FF2564F" w14:textId="77777777" w:rsidR="00092B73" w:rsidRPr="00092B73" w:rsidRDefault="00092B73" w:rsidP="000321C7">
            <w:pPr>
              <w:rPr>
                <w:rFonts w:eastAsia="Sylfaen"/>
                <w:sz w:val="16"/>
              </w:rPr>
            </w:pPr>
            <w:r w:rsidRPr="00092B73">
              <w:rPr>
                <w:rFonts w:ascii="Sylfaen" w:eastAsia="Sylfaen" w:hAnsi="Sylfaen" w:cs="Sylfaen"/>
                <w:sz w:val="16"/>
              </w:rPr>
              <w:t>აღჭურვილობის</w:t>
            </w:r>
          </w:p>
          <w:p w14:paraId="1EE5F7E8" w14:textId="77777777" w:rsidR="00092B73" w:rsidRPr="00092B73" w:rsidRDefault="00092B73" w:rsidP="000321C7">
            <w:pPr>
              <w:rPr>
                <w:rFonts w:eastAsia="Sylfaen"/>
                <w:sz w:val="16"/>
              </w:rPr>
            </w:pPr>
            <w:r w:rsidRPr="00092B73">
              <w:rPr>
                <w:rFonts w:ascii="Sylfaen" w:eastAsia="Sylfaen" w:hAnsi="Sylfaen" w:cs="Sylfaen"/>
                <w:sz w:val="16"/>
              </w:rPr>
              <w:t>არასათანადო</w:t>
            </w:r>
          </w:p>
          <w:p w14:paraId="776445A3" w14:textId="77777777" w:rsidR="00092B73" w:rsidRPr="00092B73" w:rsidRDefault="00092B73" w:rsidP="000321C7">
            <w:pPr>
              <w:rPr>
                <w:rFonts w:eastAsia="Sylfaen"/>
                <w:sz w:val="16"/>
              </w:rPr>
            </w:pPr>
            <w:r w:rsidRPr="00092B73">
              <w:rPr>
                <w:rFonts w:ascii="Sylfaen" w:eastAsia="Sylfaen" w:hAnsi="Sylfaen" w:cs="Sylfaen"/>
                <w:sz w:val="16"/>
              </w:rPr>
              <w:t>ტექნიკური</w:t>
            </w:r>
          </w:p>
          <w:p w14:paraId="5CD06D8F" w14:textId="77777777" w:rsidR="00092B73" w:rsidRPr="00092B73" w:rsidRDefault="00092B73" w:rsidP="000321C7">
            <w:pPr>
              <w:rPr>
                <w:rFonts w:eastAsia="Sylfaen"/>
                <w:sz w:val="16"/>
              </w:rPr>
            </w:pPr>
            <w:r w:rsidRPr="00092B73">
              <w:rPr>
                <w:rFonts w:ascii="Sylfaen" w:eastAsia="Sylfaen" w:hAnsi="Sylfaen" w:cs="Sylfaen"/>
                <w:sz w:val="16"/>
              </w:rPr>
              <w:t>გამართულობის</w:t>
            </w:r>
          </w:p>
          <w:p w14:paraId="4307DDCB" w14:textId="77777777" w:rsidR="00092B73" w:rsidRPr="00092B73" w:rsidRDefault="00092B73" w:rsidP="000321C7">
            <w:pPr>
              <w:rPr>
                <w:rFonts w:eastAsia="Sylfaen"/>
                <w:sz w:val="16"/>
                <w:lang w:val="ka-GE"/>
              </w:rPr>
            </w:pPr>
            <w:r w:rsidRPr="00092B73">
              <w:rPr>
                <w:rFonts w:ascii="Sylfaen" w:eastAsia="Sylfaen" w:hAnsi="Sylfaen" w:cs="Sylfaen"/>
                <w:sz w:val="16"/>
              </w:rPr>
              <w:t>გამო</w:t>
            </w:r>
            <w:r w:rsidRPr="00092B73">
              <w:rPr>
                <w:rFonts w:eastAsia="Sylfaen"/>
                <w:sz w:val="16"/>
              </w:rPr>
              <w:t xml:space="preserve"> </w:t>
            </w:r>
            <w:r w:rsidRPr="00092B73">
              <w:rPr>
                <w:rFonts w:ascii="Sylfaen" w:eastAsia="Sylfaen" w:hAnsi="Sylfaen" w:cs="Sylfaen"/>
                <w:sz w:val="16"/>
              </w:rPr>
              <w:t>ჰაერის</w:t>
            </w:r>
            <w:r w:rsidRPr="00092B73">
              <w:rPr>
                <w:rFonts w:eastAsia="Sylfaen"/>
                <w:sz w:val="16"/>
              </w:rPr>
              <w:t xml:space="preserve"> </w:t>
            </w:r>
            <w:r w:rsidRPr="00092B73">
              <w:rPr>
                <w:rFonts w:ascii="Sylfaen" w:eastAsia="Sylfaen" w:hAnsi="Sylfaen" w:cs="Sylfaen"/>
                <w:sz w:val="16"/>
              </w:rPr>
              <w:t>დაბინძურება</w:t>
            </w:r>
          </w:p>
        </w:tc>
        <w:tc>
          <w:tcPr>
            <w:tcW w:w="6838" w:type="dxa"/>
            <w:tcBorders>
              <w:top w:val="single" w:sz="6" w:space="0" w:color="000000"/>
              <w:left w:val="single" w:sz="6" w:space="0" w:color="000000"/>
              <w:bottom w:val="nil"/>
              <w:right w:val="single" w:sz="6" w:space="0" w:color="000000"/>
            </w:tcBorders>
            <w:hideMark/>
          </w:tcPr>
          <w:p w14:paraId="35AEA1DA" w14:textId="230CF9C5"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სამშენებლო</w:t>
            </w:r>
            <w:r w:rsidRPr="00092B73">
              <w:rPr>
                <w:rFonts w:eastAsia="Sylfaen"/>
                <w:sz w:val="16"/>
              </w:rPr>
              <w:t xml:space="preserve">  </w:t>
            </w:r>
            <w:r w:rsidRPr="00092B73">
              <w:rPr>
                <w:rFonts w:ascii="Sylfaen" w:eastAsia="Sylfaen" w:hAnsi="Sylfaen" w:cs="Sylfaen"/>
                <w:sz w:val="16"/>
              </w:rPr>
              <w:t>ტექნიკის</w:t>
            </w:r>
            <w:r w:rsidRPr="00092B73">
              <w:rPr>
                <w:rFonts w:eastAsia="Sylfaen"/>
                <w:sz w:val="16"/>
              </w:rPr>
              <w:t xml:space="preserve">  </w:t>
            </w:r>
            <w:r w:rsidRPr="00092B73">
              <w:rPr>
                <w:rFonts w:ascii="Sylfaen" w:eastAsia="Sylfaen" w:hAnsi="Sylfaen" w:cs="Sylfaen"/>
                <w:sz w:val="16"/>
              </w:rPr>
              <w:t>გამართული</w:t>
            </w:r>
            <w:r w:rsidRPr="00092B73">
              <w:rPr>
                <w:rFonts w:eastAsia="Sylfaen"/>
                <w:sz w:val="16"/>
              </w:rPr>
              <w:t xml:space="preserve">  </w:t>
            </w:r>
            <w:r w:rsidRPr="00092B73">
              <w:rPr>
                <w:rFonts w:ascii="Sylfaen" w:eastAsia="Sylfaen" w:hAnsi="Sylfaen" w:cs="Sylfaen"/>
                <w:sz w:val="16"/>
              </w:rPr>
              <w:t>მდგომარე</w:t>
            </w:r>
            <w:r w:rsidR="00C6605E">
              <w:rPr>
                <w:rFonts w:eastAsia="Sylfaen"/>
                <w:sz w:val="16"/>
              </w:rPr>
              <w:t>ო</w:t>
            </w:r>
            <w:r w:rsidRPr="00092B73">
              <w:rPr>
                <w:rFonts w:ascii="Sylfaen" w:eastAsia="Sylfaen" w:hAnsi="Sylfaen" w:cs="Sylfaen"/>
                <w:sz w:val="16"/>
              </w:rPr>
              <w:t>ბის</w:t>
            </w:r>
            <w:r w:rsidRPr="00092B73">
              <w:rPr>
                <w:rFonts w:eastAsia="Sylfaen"/>
                <w:sz w:val="16"/>
              </w:rPr>
              <w:tab/>
            </w:r>
            <w:r w:rsidRPr="00092B73">
              <w:rPr>
                <w:rFonts w:ascii="Sylfaen" w:eastAsia="Sylfaen" w:hAnsi="Sylfaen" w:cs="Sylfaen"/>
                <w:sz w:val="16"/>
              </w:rPr>
              <w:t>უზრუნველყოფა</w:t>
            </w:r>
            <w:r w:rsidRPr="00092B73">
              <w:rPr>
                <w:rFonts w:eastAsia="Sylfaen"/>
                <w:sz w:val="16"/>
              </w:rPr>
              <w:t>.</w:t>
            </w:r>
            <w:r w:rsidR="00C6605E">
              <w:rPr>
                <w:rFonts w:ascii="Sylfaen" w:eastAsia="Sylfaen" w:hAnsi="Sylfaen"/>
                <w:sz w:val="16"/>
                <w:lang w:val="ka-GE"/>
              </w:rPr>
              <w:t xml:space="preserve"> </w:t>
            </w:r>
            <w:r w:rsidRPr="00092B73">
              <w:rPr>
                <w:rFonts w:ascii="Sylfaen" w:eastAsia="Sylfaen" w:hAnsi="Sylfaen" w:cs="Sylfaen"/>
                <w:sz w:val="16"/>
              </w:rPr>
              <w:t>დაზიანებული</w:t>
            </w:r>
            <w:r w:rsidRPr="00092B73">
              <w:rPr>
                <w:rFonts w:eastAsia="Sylfaen"/>
                <w:sz w:val="16"/>
              </w:rPr>
              <w:t>/</w:t>
            </w:r>
          </w:p>
          <w:p w14:paraId="6A5272DA" w14:textId="289ACB7B" w:rsidR="00092B73" w:rsidRPr="00092B73" w:rsidRDefault="00092B73" w:rsidP="000321C7">
            <w:pPr>
              <w:rPr>
                <w:rFonts w:eastAsia="Sylfaen"/>
                <w:sz w:val="16"/>
              </w:rPr>
            </w:pPr>
            <w:r w:rsidRPr="00092B73">
              <w:rPr>
                <w:rFonts w:ascii="Sylfaen" w:eastAsia="Sylfaen" w:hAnsi="Sylfaen" w:cs="Sylfaen"/>
                <w:sz w:val="16"/>
              </w:rPr>
              <w:t>გაუმართავი</w:t>
            </w:r>
            <w:r w:rsidRPr="00092B73">
              <w:rPr>
                <w:rFonts w:eastAsia="Sylfaen"/>
                <w:sz w:val="16"/>
              </w:rPr>
              <w:t xml:space="preserve">   </w:t>
            </w:r>
            <w:r w:rsidRPr="00092B73">
              <w:rPr>
                <w:rFonts w:ascii="Sylfaen" w:eastAsia="Sylfaen" w:hAnsi="Sylfaen" w:cs="Sylfaen"/>
                <w:sz w:val="16"/>
              </w:rPr>
              <w:t>მანქანების</w:t>
            </w:r>
            <w:r w:rsidRPr="00092B73">
              <w:rPr>
                <w:rFonts w:eastAsia="Sylfaen"/>
                <w:sz w:val="16"/>
              </w:rPr>
              <w:t xml:space="preserve">   </w:t>
            </w:r>
            <w:r w:rsidRPr="00092B73">
              <w:rPr>
                <w:rFonts w:ascii="Sylfaen" w:eastAsia="Sylfaen" w:hAnsi="Sylfaen" w:cs="Sylfaen"/>
                <w:sz w:val="16"/>
              </w:rPr>
              <w:t>სამშენებლო</w:t>
            </w:r>
            <w:r w:rsidRPr="00092B73">
              <w:rPr>
                <w:rFonts w:eastAsia="Sylfaen"/>
                <w:sz w:val="16"/>
              </w:rPr>
              <w:t xml:space="preserve">   </w:t>
            </w:r>
            <w:r w:rsidRPr="00092B73">
              <w:rPr>
                <w:rFonts w:ascii="Sylfaen" w:eastAsia="Sylfaen" w:hAnsi="Sylfaen" w:cs="Sylfaen"/>
                <w:sz w:val="16"/>
              </w:rPr>
              <w:t>უბანზე</w:t>
            </w:r>
            <w:r w:rsidR="00C6605E">
              <w:rPr>
                <w:rFonts w:ascii="Sylfaen" w:eastAsia="Sylfaen" w:hAnsi="Sylfaen" w:cs="Sylfaen"/>
                <w:sz w:val="16"/>
                <w:lang w:val="ka-GE"/>
              </w:rPr>
              <w:t xml:space="preserve"> </w:t>
            </w:r>
            <w:r w:rsidRPr="00092B73">
              <w:rPr>
                <w:rFonts w:ascii="Sylfaen" w:eastAsia="Sylfaen" w:hAnsi="Sylfaen" w:cs="Sylfaen"/>
                <w:sz w:val="16"/>
              </w:rPr>
              <w:t>შესვლის</w:t>
            </w:r>
            <w:r w:rsidRPr="00092B73">
              <w:rPr>
                <w:rFonts w:eastAsia="Sylfaen"/>
                <w:sz w:val="16"/>
              </w:rPr>
              <w:t xml:space="preserve"> </w:t>
            </w:r>
            <w:r w:rsidRPr="00092B73">
              <w:rPr>
                <w:rFonts w:ascii="Sylfaen" w:eastAsia="Sylfaen" w:hAnsi="Sylfaen" w:cs="Sylfaen"/>
                <w:sz w:val="16"/>
              </w:rPr>
              <w:t>აკრძალვა</w:t>
            </w:r>
            <w:r w:rsidRPr="00092B73">
              <w:rPr>
                <w:rFonts w:eastAsia="Sylfaen"/>
                <w:sz w:val="16"/>
              </w:rPr>
              <w:t>.</w:t>
            </w:r>
          </w:p>
          <w:p w14:paraId="780CF3C0"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ტერიტორიის</w:t>
            </w:r>
            <w:r w:rsidRPr="00092B73">
              <w:rPr>
                <w:rFonts w:eastAsia="Sylfaen"/>
                <w:sz w:val="16"/>
              </w:rPr>
              <w:t xml:space="preserve">   </w:t>
            </w:r>
            <w:r w:rsidRPr="00092B73">
              <w:rPr>
                <w:rFonts w:ascii="Sylfaen" w:eastAsia="Sylfaen" w:hAnsi="Sylfaen" w:cs="Sylfaen"/>
                <w:sz w:val="16"/>
              </w:rPr>
              <w:t>გარეთ</w:t>
            </w:r>
            <w:r w:rsidRPr="00092B73">
              <w:rPr>
                <w:rFonts w:eastAsia="Sylfaen"/>
                <w:sz w:val="16"/>
              </w:rPr>
              <w:t xml:space="preserve">   </w:t>
            </w:r>
            <w:r w:rsidRPr="00092B73">
              <w:rPr>
                <w:rFonts w:ascii="Sylfaen" w:eastAsia="Sylfaen" w:hAnsi="Sylfaen" w:cs="Sylfaen"/>
                <w:sz w:val="16"/>
              </w:rPr>
              <w:t>მოძრაობისას</w:t>
            </w:r>
            <w:r w:rsidRPr="00092B73">
              <w:rPr>
                <w:rFonts w:eastAsia="Sylfaen"/>
                <w:sz w:val="16"/>
              </w:rPr>
              <w:t xml:space="preserve">   </w:t>
            </w:r>
            <w:r w:rsidRPr="00092B73">
              <w:rPr>
                <w:rFonts w:ascii="Sylfaen" w:eastAsia="Sylfaen" w:hAnsi="Sylfaen" w:cs="Sylfaen"/>
                <w:sz w:val="16"/>
              </w:rPr>
              <w:t>სიჩქარი</w:t>
            </w:r>
            <w:r w:rsidRPr="00092B73">
              <w:rPr>
                <w:rFonts w:eastAsia="Sylfaen"/>
                <w:sz w:val="16"/>
              </w:rPr>
              <w:t xml:space="preserve"> </w:t>
            </w:r>
            <w:r w:rsidRPr="00092B73">
              <w:rPr>
                <w:rFonts w:ascii="Sylfaen" w:eastAsia="Sylfaen" w:hAnsi="Sylfaen" w:cs="Sylfaen"/>
                <w:sz w:val="16"/>
              </w:rPr>
              <w:t>სზღვრის</w:t>
            </w:r>
            <w:r w:rsidRPr="00092B73">
              <w:rPr>
                <w:rFonts w:eastAsia="Sylfaen"/>
                <w:sz w:val="16"/>
              </w:rPr>
              <w:t xml:space="preserve"> </w:t>
            </w:r>
            <w:r w:rsidRPr="00092B73">
              <w:rPr>
                <w:rFonts w:ascii="Sylfaen" w:eastAsia="Sylfaen" w:hAnsi="Sylfaen" w:cs="Sylfaen"/>
                <w:sz w:val="16"/>
              </w:rPr>
              <w:t>დაწესება</w:t>
            </w:r>
            <w:r w:rsidRPr="00092B73">
              <w:rPr>
                <w:rFonts w:eastAsia="Sylfaen"/>
                <w:sz w:val="16"/>
              </w:rPr>
              <w:t>.</w:t>
            </w:r>
          </w:p>
        </w:tc>
        <w:tc>
          <w:tcPr>
            <w:tcW w:w="2340" w:type="dxa"/>
            <w:vMerge w:val="restart"/>
            <w:tcBorders>
              <w:top w:val="single" w:sz="6" w:space="0" w:color="000000"/>
              <w:left w:val="single" w:sz="6" w:space="0" w:color="000000"/>
              <w:bottom w:val="single" w:sz="6" w:space="0" w:color="000000"/>
              <w:right w:val="single" w:sz="6" w:space="0" w:color="000000"/>
            </w:tcBorders>
            <w:hideMark/>
          </w:tcPr>
          <w:p w14:paraId="23F015CC" w14:textId="77777777" w:rsidR="00092B73" w:rsidRPr="00092B73" w:rsidRDefault="00092B73" w:rsidP="000321C7">
            <w:pPr>
              <w:rPr>
                <w:rFonts w:eastAsia="Sylfaen"/>
                <w:sz w:val="16"/>
              </w:rPr>
            </w:pPr>
            <w:r w:rsidRPr="00092B73">
              <w:rPr>
                <w:rFonts w:ascii="Sylfaen" w:eastAsia="Sylfaen" w:hAnsi="Sylfaen" w:cs="Sylfaen"/>
                <w:sz w:val="16"/>
              </w:rPr>
              <w:t>დამატებით</w:t>
            </w:r>
          </w:p>
          <w:p w14:paraId="4C80EF20" w14:textId="77777777" w:rsidR="00092B73" w:rsidRPr="00092B73" w:rsidRDefault="00092B73" w:rsidP="000321C7">
            <w:pPr>
              <w:rPr>
                <w:rFonts w:eastAsia="Sylfaen"/>
                <w:sz w:val="16"/>
              </w:rPr>
            </w:pPr>
            <w:r w:rsidRPr="00092B73">
              <w:rPr>
                <w:rFonts w:ascii="Sylfaen" w:eastAsia="Sylfaen" w:hAnsi="Sylfaen" w:cs="Sylfaen"/>
                <w:sz w:val="16"/>
              </w:rPr>
              <w:t>ხარჯებს</w:t>
            </w:r>
            <w:r w:rsidRPr="00092B73">
              <w:rPr>
                <w:rFonts w:eastAsia="Sylfaen"/>
                <w:sz w:val="16"/>
              </w:rPr>
              <w:t xml:space="preserve"> </w:t>
            </w:r>
            <w:r w:rsidRPr="00092B73">
              <w:rPr>
                <w:rFonts w:ascii="Sylfaen" w:eastAsia="Sylfaen" w:hAnsi="Sylfaen" w:cs="Sylfaen"/>
                <w:sz w:val="16"/>
              </w:rPr>
              <w:t>არ</w:t>
            </w:r>
          </w:p>
          <w:p w14:paraId="09628B6D" w14:textId="77777777" w:rsidR="00092B73" w:rsidRPr="00092B73" w:rsidRDefault="00092B73" w:rsidP="000321C7">
            <w:pPr>
              <w:rPr>
                <w:rFonts w:eastAsia="Sylfaen"/>
                <w:sz w:val="16"/>
              </w:rPr>
            </w:pPr>
            <w:r w:rsidRPr="00092B73">
              <w:rPr>
                <w:rFonts w:ascii="Sylfaen" w:eastAsia="Sylfaen" w:hAnsi="Sylfaen" w:cs="Sylfaen"/>
                <w:sz w:val="16"/>
              </w:rPr>
              <w:t>მოითხოვს</w:t>
            </w:r>
            <w:r w:rsidRPr="00092B73">
              <w:rPr>
                <w:rFonts w:eastAsia="Sylfaen"/>
                <w:sz w:val="16"/>
              </w:rPr>
              <w:t>.</w:t>
            </w:r>
          </w:p>
        </w:tc>
        <w:tc>
          <w:tcPr>
            <w:tcW w:w="1204" w:type="dxa"/>
            <w:vMerge w:val="restart"/>
            <w:tcBorders>
              <w:top w:val="single" w:sz="6" w:space="0" w:color="000000"/>
              <w:left w:val="single" w:sz="6" w:space="0" w:color="000000"/>
              <w:bottom w:val="single" w:sz="6" w:space="0" w:color="000000"/>
              <w:right w:val="single" w:sz="6" w:space="0" w:color="000000"/>
            </w:tcBorders>
            <w:hideMark/>
          </w:tcPr>
          <w:p w14:paraId="248B7E2F" w14:textId="77777777" w:rsidR="00092B73" w:rsidRPr="00092B73" w:rsidRDefault="00092B73" w:rsidP="000321C7">
            <w:pPr>
              <w:rPr>
                <w:rFonts w:eastAsia="Sylfaen"/>
                <w:sz w:val="16"/>
              </w:rPr>
            </w:pPr>
            <w:r w:rsidRPr="00092B73">
              <w:rPr>
                <w:rFonts w:ascii="Sylfaen" w:eastAsia="Sylfaen" w:hAnsi="Sylfaen" w:cs="Sylfaen"/>
                <w:sz w:val="16"/>
              </w:rPr>
              <w:t>მშენებელი</w:t>
            </w:r>
            <w:r w:rsidRPr="00092B73">
              <w:rPr>
                <w:rFonts w:eastAsia="Sylfaen"/>
                <w:sz w:val="16"/>
              </w:rPr>
              <w:t xml:space="preserve"> </w:t>
            </w:r>
            <w:r w:rsidRPr="00092B73">
              <w:rPr>
                <w:rFonts w:ascii="Sylfaen" w:eastAsia="Sylfaen" w:hAnsi="Sylfaen" w:cs="Sylfaen"/>
                <w:sz w:val="16"/>
              </w:rPr>
              <w:t>კონტრაქტორი</w:t>
            </w:r>
          </w:p>
        </w:tc>
        <w:tc>
          <w:tcPr>
            <w:tcW w:w="1574" w:type="dxa"/>
            <w:vMerge w:val="restart"/>
            <w:tcBorders>
              <w:top w:val="single" w:sz="6" w:space="0" w:color="000000"/>
              <w:left w:val="single" w:sz="6" w:space="0" w:color="000000"/>
              <w:bottom w:val="single" w:sz="6" w:space="0" w:color="000000"/>
              <w:right w:val="single" w:sz="6" w:space="0" w:color="000000"/>
            </w:tcBorders>
            <w:hideMark/>
          </w:tcPr>
          <w:p w14:paraId="1674A3A6" w14:textId="77777777" w:rsidR="00092B73" w:rsidRPr="00092B73" w:rsidRDefault="00092B73" w:rsidP="000321C7">
            <w:pPr>
              <w:rPr>
                <w:rFonts w:eastAsia="Sylfaen"/>
                <w:sz w:val="16"/>
                <w:lang w:val="ka-GE"/>
              </w:rPr>
            </w:pPr>
            <w:r w:rsidRPr="00092B73">
              <w:rPr>
                <w:rFonts w:ascii="Sylfaen" w:eastAsia="Sylfaen" w:hAnsi="Sylfaen" w:cs="Sylfaen"/>
                <w:sz w:val="16"/>
              </w:rPr>
              <w:t>საგზაო</w:t>
            </w:r>
            <w:r w:rsidRPr="00092B73">
              <w:rPr>
                <w:rFonts w:eastAsia="Sylfaen"/>
                <w:sz w:val="16"/>
              </w:rPr>
              <w:t xml:space="preserve"> </w:t>
            </w:r>
            <w:r w:rsidRPr="00092B73">
              <w:rPr>
                <w:rFonts w:ascii="Sylfaen" w:eastAsia="Sylfaen" w:hAnsi="Sylfaen" w:cs="Sylfaen"/>
                <w:sz w:val="16"/>
              </w:rPr>
              <w:t>დეპარტამენტი</w:t>
            </w:r>
          </w:p>
          <w:p w14:paraId="13B6D13A" w14:textId="77777777" w:rsidR="00092B73" w:rsidRPr="00092B73" w:rsidRDefault="00092B73" w:rsidP="000321C7">
            <w:pPr>
              <w:rPr>
                <w:rFonts w:eastAsia="Sylfaen"/>
                <w:sz w:val="16"/>
                <w:lang w:val="en-US"/>
              </w:rPr>
            </w:pPr>
            <w:r w:rsidRPr="00092B73">
              <w:rPr>
                <w:rFonts w:ascii="Sylfaen" w:eastAsia="Sylfaen" w:hAnsi="Sylfaen" w:cs="Sylfaen"/>
                <w:sz w:val="16"/>
              </w:rPr>
              <w:t>საზედამხედველო</w:t>
            </w:r>
            <w:r w:rsidRPr="00092B73">
              <w:rPr>
                <w:rFonts w:eastAsia="Sylfaen"/>
                <w:sz w:val="16"/>
              </w:rPr>
              <w:t xml:space="preserve"> </w:t>
            </w:r>
            <w:r w:rsidRPr="00092B73">
              <w:rPr>
                <w:rFonts w:ascii="Sylfaen" w:eastAsia="Sylfaen" w:hAnsi="Sylfaen" w:cs="Sylfaen"/>
                <w:sz w:val="16"/>
              </w:rPr>
              <w:t>კომპანია</w:t>
            </w:r>
          </w:p>
        </w:tc>
      </w:tr>
      <w:tr w:rsidR="00092B73" w:rsidRPr="00092B73" w14:paraId="58A0D6F5" w14:textId="77777777" w:rsidTr="00C6605E">
        <w:trPr>
          <w:gridAfter w:val="1"/>
          <w:wAfter w:w="12" w:type="dxa"/>
          <w:trHeight w:hRule="exact" w:val="270"/>
        </w:trPr>
        <w:tc>
          <w:tcPr>
            <w:tcW w:w="1800" w:type="dxa"/>
            <w:vMerge/>
            <w:tcBorders>
              <w:top w:val="single" w:sz="6" w:space="0" w:color="000000"/>
              <w:left w:val="single" w:sz="6" w:space="0" w:color="000000"/>
              <w:bottom w:val="single" w:sz="6" w:space="0" w:color="000000"/>
              <w:right w:val="single" w:sz="6" w:space="0" w:color="000000"/>
            </w:tcBorders>
            <w:vAlign w:val="center"/>
            <w:hideMark/>
          </w:tcPr>
          <w:p w14:paraId="02EEFE82" w14:textId="77777777" w:rsidR="00092B73" w:rsidRPr="00092B73" w:rsidRDefault="00092B73" w:rsidP="000321C7">
            <w:pPr>
              <w:rPr>
                <w:rFonts w:eastAsiaTheme="minorHAnsi"/>
                <w:sz w:val="16"/>
              </w:rPr>
            </w:pPr>
          </w:p>
        </w:tc>
        <w:tc>
          <w:tcPr>
            <w:tcW w:w="1788" w:type="dxa"/>
            <w:tcBorders>
              <w:top w:val="nil"/>
              <w:left w:val="single" w:sz="6" w:space="0" w:color="000000"/>
              <w:bottom w:val="single" w:sz="6" w:space="0" w:color="000000"/>
              <w:right w:val="single" w:sz="6" w:space="0" w:color="000000"/>
            </w:tcBorders>
          </w:tcPr>
          <w:p w14:paraId="25A662F2" w14:textId="77777777" w:rsidR="00092B73" w:rsidRPr="00092B73" w:rsidRDefault="00092B73" w:rsidP="000321C7">
            <w:pPr>
              <w:rPr>
                <w:sz w:val="16"/>
              </w:rPr>
            </w:pPr>
          </w:p>
        </w:tc>
        <w:tc>
          <w:tcPr>
            <w:tcW w:w="6838" w:type="dxa"/>
            <w:tcBorders>
              <w:top w:val="nil"/>
              <w:left w:val="single" w:sz="6" w:space="0" w:color="000000"/>
              <w:bottom w:val="single" w:sz="6" w:space="0" w:color="000000"/>
              <w:right w:val="single" w:sz="6" w:space="0" w:color="000000"/>
            </w:tcBorders>
          </w:tcPr>
          <w:p w14:paraId="7B2EADB6" w14:textId="77777777" w:rsidR="00092B73" w:rsidRPr="00092B73" w:rsidRDefault="00092B73" w:rsidP="000321C7">
            <w:pPr>
              <w:rPr>
                <w:rFonts w:eastAsia="Sylfaen"/>
                <w:sz w:val="16"/>
              </w:rPr>
            </w:pPr>
          </w:p>
        </w:tc>
        <w:tc>
          <w:tcPr>
            <w:tcW w:w="2340" w:type="dxa"/>
            <w:vMerge/>
            <w:tcBorders>
              <w:top w:val="single" w:sz="6" w:space="0" w:color="000000"/>
              <w:left w:val="single" w:sz="6" w:space="0" w:color="000000"/>
              <w:bottom w:val="single" w:sz="6" w:space="0" w:color="000000"/>
              <w:right w:val="single" w:sz="6" w:space="0" w:color="000000"/>
            </w:tcBorders>
            <w:vAlign w:val="center"/>
            <w:hideMark/>
          </w:tcPr>
          <w:p w14:paraId="48CB211E" w14:textId="77777777" w:rsidR="00092B73" w:rsidRPr="00092B73" w:rsidRDefault="00092B73" w:rsidP="000321C7">
            <w:pPr>
              <w:rPr>
                <w:rFonts w:eastAsiaTheme="minorHAnsi"/>
                <w:sz w:val="16"/>
              </w:rPr>
            </w:pPr>
          </w:p>
        </w:tc>
        <w:tc>
          <w:tcPr>
            <w:tcW w:w="1204" w:type="dxa"/>
            <w:vMerge/>
            <w:tcBorders>
              <w:top w:val="single" w:sz="6" w:space="0" w:color="000000"/>
              <w:left w:val="single" w:sz="6" w:space="0" w:color="000000"/>
              <w:bottom w:val="single" w:sz="6" w:space="0" w:color="000000"/>
              <w:right w:val="single" w:sz="6" w:space="0" w:color="000000"/>
            </w:tcBorders>
            <w:vAlign w:val="center"/>
            <w:hideMark/>
          </w:tcPr>
          <w:p w14:paraId="33C25B6F" w14:textId="77777777" w:rsidR="00092B73" w:rsidRPr="00092B73" w:rsidRDefault="00092B73" w:rsidP="000321C7">
            <w:pPr>
              <w:rPr>
                <w:rFonts w:eastAsiaTheme="minorHAnsi"/>
                <w:sz w:val="16"/>
              </w:rPr>
            </w:pPr>
          </w:p>
        </w:tc>
        <w:tc>
          <w:tcPr>
            <w:tcW w:w="1574" w:type="dxa"/>
            <w:vMerge/>
            <w:tcBorders>
              <w:top w:val="single" w:sz="6" w:space="0" w:color="000000"/>
              <w:left w:val="single" w:sz="6" w:space="0" w:color="000000"/>
              <w:bottom w:val="single" w:sz="6" w:space="0" w:color="000000"/>
              <w:right w:val="single" w:sz="6" w:space="0" w:color="000000"/>
            </w:tcBorders>
            <w:vAlign w:val="center"/>
            <w:hideMark/>
          </w:tcPr>
          <w:p w14:paraId="423A7B81" w14:textId="77777777" w:rsidR="00092B73" w:rsidRPr="00092B73" w:rsidRDefault="00092B73" w:rsidP="000321C7">
            <w:pPr>
              <w:rPr>
                <w:rFonts w:eastAsiaTheme="minorHAnsi"/>
                <w:sz w:val="16"/>
              </w:rPr>
            </w:pPr>
          </w:p>
        </w:tc>
      </w:tr>
      <w:tr w:rsidR="00092B73" w:rsidRPr="00092B73" w14:paraId="3CD49845" w14:textId="77777777" w:rsidTr="00C6605E">
        <w:trPr>
          <w:gridAfter w:val="1"/>
          <w:wAfter w:w="12" w:type="dxa"/>
          <w:trHeight w:val="1158"/>
        </w:trPr>
        <w:tc>
          <w:tcPr>
            <w:tcW w:w="1800" w:type="dxa"/>
            <w:tcBorders>
              <w:top w:val="single" w:sz="6" w:space="0" w:color="000000"/>
              <w:left w:val="single" w:sz="6" w:space="0" w:color="000000"/>
              <w:bottom w:val="nil"/>
              <w:right w:val="single" w:sz="6" w:space="0" w:color="000000"/>
            </w:tcBorders>
            <w:hideMark/>
          </w:tcPr>
          <w:p w14:paraId="2D635FB4" w14:textId="77777777" w:rsidR="00092B73" w:rsidRPr="00092B73" w:rsidRDefault="00092B73" w:rsidP="000321C7">
            <w:pPr>
              <w:rPr>
                <w:sz w:val="16"/>
              </w:rPr>
            </w:pPr>
            <w:r w:rsidRPr="00092B73">
              <w:rPr>
                <w:rFonts w:ascii="Sylfaen" w:eastAsia="Sylfaen" w:hAnsi="Sylfaen" w:cs="Sylfaen"/>
                <w:sz w:val="16"/>
              </w:rPr>
              <w:lastRenderedPageBreak/>
              <w:t>ბეტონის</w:t>
            </w:r>
          </w:p>
          <w:p w14:paraId="585B490B" w14:textId="77777777" w:rsidR="00092B73" w:rsidRPr="00092B73" w:rsidRDefault="00092B73" w:rsidP="000321C7">
            <w:pPr>
              <w:rPr>
                <w:rFonts w:eastAsia="Sylfaen"/>
                <w:sz w:val="16"/>
              </w:rPr>
            </w:pPr>
            <w:r w:rsidRPr="00092B73">
              <w:rPr>
                <w:rFonts w:ascii="Sylfaen" w:eastAsia="Sylfaen" w:hAnsi="Sylfaen" w:cs="Sylfaen"/>
                <w:sz w:val="16"/>
              </w:rPr>
              <w:t>მომზადება</w:t>
            </w:r>
          </w:p>
        </w:tc>
        <w:tc>
          <w:tcPr>
            <w:tcW w:w="1788" w:type="dxa"/>
            <w:tcBorders>
              <w:top w:val="single" w:sz="6" w:space="0" w:color="000000"/>
              <w:left w:val="single" w:sz="6" w:space="0" w:color="000000"/>
              <w:bottom w:val="nil"/>
              <w:right w:val="single" w:sz="6" w:space="0" w:color="000000"/>
            </w:tcBorders>
            <w:hideMark/>
          </w:tcPr>
          <w:p w14:paraId="410DFDDE" w14:textId="77777777" w:rsidR="00092B73" w:rsidRPr="00092B73" w:rsidRDefault="00092B73" w:rsidP="000321C7">
            <w:pPr>
              <w:rPr>
                <w:rFonts w:eastAsia="Sylfaen"/>
                <w:sz w:val="16"/>
              </w:rPr>
            </w:pPr>
            <w:r w:rsidRPr="00092B73">
              <w:rPr>
                <w:rFonts w:ascii="Sylfaen" w:eastAsia="Sylfaen" w:hAnsi="Sylfaen" w:cs="Sylfaen"/>
                <w:sz w:val="16"/>
              </w:rPr>
              <w:t>მტვერი</w:t>
            </w:r>
            <w:r w:rsidRPr="00092B73">
              <w:rPr>
                <w:rFonts w:eastAsia="Sylfaen"/>
                <w:sz w:val="16"/>
              </w:rPr>
              <w:t>/</w:t>
            </w:r>
            <w:r w:rsidRPr="00092B73">
              <w:rPr>
                <w:rFonts w:ascii="Sylfaen" w:eastAsia="Sylfaen" w:hAnsi="Sylfaen" w:cs="Sylfaen"/>
                <w:sz w:val="16"/>
              </w:rPr>
              <w:t>ჰაერის</w:t>
            </w:r>
          </w:p>
          <w:p w14:paraId="50D10371" w14:textId="77777777" w:rsidR="00092B73" w:rsidRPr="00092B73" w:rsidRDefault="00092B73" w:rsidP="000321C7">
            <w:pPr>
              <w:rPr>
                <w:rFonts w:eastAsia="Sylfaen"/>
                <w:sz w:val="16"/>
              </w:rPr>
            </w:pPr>
            <w:r w:rsidRPr="00092B73">
              <w:rPr>
                <w:rFonts w:ascii="Sylfaen" w:eastAsia="Sylfaen" w:hAnsi="Sylfaen" w:cs="Sylfaen"/>
                <w:sz w:val="16"/>
              </w:rPr>
              <w:t>დაბინძურება</w:t>
            </w:r>
          </w:p>
        </w:tc>
        <w:tc>
          <w:tcPr>
            <w:tcW w:w="6838" w:type="dxa"/>
            <w:tcBorders>
              <w:top w:val="single" w:sz="6" w:space="0" w:color="000000"/>
              <w:left w:val="single" w:sz="6" w:space="0" w:color="000000"/>
              <w:bottom w:val="nil"/>
              <w:right w:val="single" w:sz="6" w:space="0" w:color="000000"/>
            </w:tcBorders>
            <w:hideMark/>
          </w:tcPr>
          <w:p w14:paraId="2A1FEE0A" w14:textId="77777777" w:rsidR="00C6605E"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შემრევი</w:t>
            </w:r>
            <w:r w:rsidRPr="00092B73">
              <w:rPr>
                <w:rFonts w:eastAsia="Sylfaen"/>
                <w:sz w:val="16"/>
              </w:rPr>
              <w:tab/>
            </w:r>
            <w:r w:rsidRPr="00092B73">
              <w:rPr>
                <w:rFonts w:ascii="Sylfaen" w:eastAsia="Sylfaen" w:hAnsi="Sylfaen" w:cs="Sylfaen"/>
                <w:sz w:val="16"/>
              </w:rPr>
              <w:t>ბლოკი</w:t>
            </w:r>
            <w:r w:rsidRPr="00092B73">
              <w:rPr>
                <w:rFonts w:eastAsia="Sylfaen"/>
                <w:sz w:val="16"/>
              </w:rPr>
              <w:tab/>
            </w:r>
            <w:r w:rsidRPr="00092B73">
              <w:rPr>
                <w:rFonts w:ascii="Sylfaen" w:eastAsia="Sylfaen" w:hAnsi="Sylfaen" w:cs="Sylfaen"/>
                <w:sz w:val="16"/>
              </w:rPr>
              <w:t>ჰერმეტული</w:t>
            </w:r>
            <w:r w:rsidRPr="00092B73">
              <w:rPr>
                <w:rFonts w:eastAsia="Sylfaen"/>
                <w:sz w:val="16"/>
              </w:rPr>
              <w:tab/>
            </w:r>
            <w:r w:rsidRPr="00092B73">
              <w:rPr>
                <w:rFonts w:ascii="Sylfaen" w:eastAsia="Sylfaen" w:hAnsi="Sylfaen" w:cs="Sylfaen"/>
                <w:sz w:val="16"/>
              </w:rPr>
              <w:t>უნდა</w:t>
            </w:r>
            <w:r w:rsidRPr="00092B73">
              <w:rPr>
                <w:rFonts w:eastAsia="Sylfaen"/>
                <w:sz w:val="16"/>
              </w:rPr>
              <w:tab/>
            </w:r>
            <w:r w:rsidRPr="00092B73">
              <w:rPr>
                <w:rFonts w:ascii="Sylfaen" w:eastAsia="Sylfaen" w:hAnsi="Sylfaen" w:cs="Sylfaen"/>
                <w:sz w:val="16"/>
              </w:rPr>
              <w:t>იყოს</w:t>
            </w:r>
            <w:r w:rsidRPr="00092B73">
              <w:rPr>
                <w:rFonts w:eastAsia="Sylfaen"/>
                <w:sz w:val="16"/>
              </w:rPr>
              <w:t>;</w:t>
            </w:r>
            <w:r w:rsidR="00C6605E">
              <w:rPr>
                <w:rFonts w:ascii="Sylfaen" w:eastAsia="Sylfaen" w:hAnsi="Sylfaen"/>
                <w:sz w:val="16"/>
                <w:lang w:val="ka-GE"/>
              </w:rPr>
              <w:t xml:space="preserve"> </w:t>
            </w:r>
            <w:r w:rsidRPr="00092B73">
              <w:rPr>
                <w:rFonts w:ascii="Sylfaen" w:eastAsia="Sylfaen" w:hAnsi="Sylfaen" w:cs="Sylfaen"/>
                <w:sz w:val="16"/>
              </w:rPr>
              <w:t>ვიბრაციული</w:t>
            </w:r>
            <w:r w:rsidRPr="00092B73">
              <w:rPr>
                <w:rFonts w:eastAsia="Sylfaen"/>
                <w:sz w:val="16"/>
              </w:rPr>
              <w:t xml:space="preserve">    </w:t>
            </w:r>
            <w:r w:rsidRPr="00092B73">
              <w:rPr>
                <w:rFonts w:ascii="Sylfaen" w:eastAsia="Sylfaen" w:hAnsi="Sylfaen" w:cs="Sylfaen"/>
                <w:sz w:val="16"/>
              </w:rPr>
              <w:t>აღჭურვილობა</w:t>
            </w:r>
            <w:r w:rsidRPr="00092B73">
              <w:rPr>
                <w:rFonts w:eastAsia="Sylfaen"/>
                <w:sz w:val="16"/>
              </w:rPr>
              <w:t xml:space="preserve">   </w:t>
            </w:r>
          </w:p>
          <w:p w14:paraId="0E0A1E2C" w14:textId="48BD883A" w:rsidR="00092B73" w:rsidRPr="00092B73" w:rsidRDefault="00092B73" w:rsidP="000321C7">
            <w:pPr>
              <w:rPr>
                <w:rFonts w:eastAsia="Sylfaen"/>
                <w:sz w:val="16"/>
              </w:rPr>
            </w:pPr>
            <w:r w:rsidRPr="00092B73">
              <w:rPr>
                <w:rFonts w:eastAsia="Sylfaen"/>
                <w:sz w:val="16"/>
              </w:rPr>
              <w:t xml:space="preserve"> -    </w:t>
            </w:r>
            <w:r w:rsidRPr="00092B73">
              <w:rPr>
                <w:rFonts w:ascii="Sylfaen" w:eastAsia="Sylfaen" w:hAnsi="Sylfaen" w:cs="Sylfaen"/>
                <w:sz w:val="16"/>
              </w:rPr>
              <w:t>აღჭურვილი</w:t>
            </w:r>
            <w:r w:rsidR="00C6605E">
              <w:rPr>
                <w:rFonts w:ascii="Sylfaen" w:eastAsia="Sylfaen" w:hAnsi="Sylfaen" w:cs="Sylfaen"/>
                <w:sz w:val="16"/>
                <w:lang w:val="ka-GE"/>
              </w:rPr>
              <w:t xml:space="preserve"> </w:t>
            </w:r>
            <w:r w:rsidRPr="00092B73">
              <w:rPr>
                <w:rFonts w:ascii="Sylfaen" w:eastAsia="Sylfaen" w:hAnsi="Sylfaen" w:cs="Sylfaen"/>
                <w:sz w:val="16"/>
              </w:rPr>
              <w:t>იყოს</w:t>
            </w:r>
            <w:r w:rsidRPr="00092B73">
              <w:rPr>
                <w:rFonts w:eastAsia="Sylfaen"/>
                <w:sz w:val="16"/>
              </w:rPr>
              <w:t xml:space="preserve"> </w:t>
            </w:r>
            <w:r w:rsidRPr="00092B73">
              <w:rPr>
                <w:rFonts w:ascii="Sylfaen" w:eastAsia="Sylfaen" w:hAnsi="Sylfaen" w:cs="Sylfaen"/>
                <w:sz w:val="16"/>
              </w:rPr>
              <w:t>მტვრის</w:t>
            </w:r>
            <w:r w:rsidRPr="00092B73">
              <w:rPr>
                <w:rFonts w:eastAsia="Sylfaen"/>
                <w:sz w:val="16"/>
              </w:rPr>
              <w:t xml:space="preserve"> </w:t>
            </w:r>
            <w:r w:rsidRPr="00092B73">
              <w:rPr>
                <w:rFonts w:ascii="Sylfaen" w:eastAsia="Sylfaen" w:hAnsi="Sylfaen" w:cs="Sylfaen"/>
                <w:sz w:val="16"/>
              </w:rPr>
              <w:t>დამჭერი</w:t>
            </w:r>
            <w:r w:rsidRPr="00092B73">
              <w:rPr>
                <w:rFonts w:eastAsia="Sylfaen"/>
                <w:sz w:val="16"/>
              </w:rPr>
              <w:t xml:space="preserve"> </w:t>
            </w:r>
            <w:r w:rsidRPr="00092B73">
              <w:rPr>
                <w:rFonts w:ascii="Sylfaen" w:eastAsia="Sylfaen" w:hAnsi="Sylfaen" w:cs="Sylfaen"/>
                <w:sz w:val="16"/>
              </w:rPr>
              <w:t>მოწყობილობებით</w:t>
            </w:r>
            <w:r w:rsidRPr="00092B73">
              <w:rPr>
                <w:rFonts w:eastAsia="Sylfaen"/>
                <w:sz w:val="16"/>
              </w:rPr>
              <w:t>.</w:t>
            </w:r>
          </w:p>
          <w:p w14:paraId="732F1B50" w14:textId="49A29195" w:rsidR="00092B73" w:rsidRPr="00092B73" w:rsidRDefault="00092B73" w:rsidP="00C6605E">
            <w:pPr>
              <w:rPr>
                <w:rFonts w:eastAsia="Sylfaen"/>
                <w:sz w:val="16"/>
              </w:rPr>
            </w:pPr>
            <w:r w:rsidRPr="00092B73">
              <w:rPr>
                <w:rFonts w:eastAsia="Symbol"/>
                <w:sz w:val="16"/>
              </w:rPr>
              <w:t xml:space="preserve">·  </w:t>
            </w:r>
            <w:r w:rsidRPr="00092B73">
              <w:rPr>
                <w:rFonts w:ascii="Sylfaen" w:eastAsia="Sylfaen" w:hAnsi="Sylfaen" w:cs="Sylfaen"/>
                <w:sz w:val="16"/>
              </w:rPr>
              <w:t>სასურველია</w:t>
            </w:r>
            <w:r w:rsidRPr="00092B73">
              <w:rPr>
                <w:rFonts w:eastAsia="Sylfaen"/>
                <w:sz w:val="16"/>
              </w:rPr>
              <w:t xml:space="preserve">   </w:t>
            </w:r>
            <w:r w:rsidRPr="00092B73">
              <w:rPr>
                <w:rFonts w:ascii="Sylfaen" w:eastAsia="Sylfaen" w:hAnsi="Sylfaen" w:cs="Sylfaen"/>
                <w:sz w:val="16"/>
              </w:rPr>
              <w:t>ბეტონის</w:t>
            </w:r>
            <w:r w:rsidRPr="00092B73">
              <w:rPr>
                <w:rFonts w:eastAsia="Sylfaen"/>
                <w:sz w:val="16"/>
              </w:rPr>
              <w:t xml:space="preserve"> </w:t>
            </w:r>
            <w:r w:rsidRPr="00092B73">
              <w:rPr>
                <w:rFonts w:ascii="Sylfaen" w:eastAsia="Sylfaen" w:hAnsi="Sylfaen" w:cs="Sylfaen"/>
                <w:sz w:val="16"/>
              </w:rPr>
              <w:t>ქარხნის</w:t>
            </w:r>
            <w:r w:rsidRPr="00092B73">
              <w:rPr>
                <w:rFonts w:eastAsia="Sylfaen"/>
                <w:sz w:val="16"/>
              </w:rPr>
              <w:t xml:space="preserve"> </w:t>
            </w:r>
            <w:r w:rsidRPr="00092B73">
              <w:rPr>
                <w:rFonts w:ascii="Sylfaen" w:eastAsia="Sylfaen" w:hAnsi="Sylfaen" w:cs="Sylfaen"/>
                <w:sz w:val="16"/>
              </w:rPr>
              <w:t>მოსახლეობის</w:t>
            </w:r>
            <w:r w:rsidRPr="00092B73">
              <w:rPr>
                <w:rFonts w:eastAsia="Sylfaen"/>
                <w:sz w:val="16"/>
              </w:rPr>
              <w:t>-</w:t>
            </w:r>
            <w:r w:rsidRPr="00092B73">
              <w:rPr>
                <w:rFonts w:ascii="Sylfaen" w:eastAsia="Sylfaen" w:hAnsi="Sylfaen" w:cs="Sylfaen"/>
                <w:sz w:val="16"/>
              </w:rPr>
              <w:t>გან</w:t>
            </w:r>
            <w:r w:rsidRPr="00092B73">
              <w:rPr>
                <w:rFonts w:eastAsia="Sylfaen"/>
                <w:sz w:val="16"/>
              </w:rPr>
              <w:t xml:space="preserve"> </w:t>
            </w:r>
            <w:r w:rsidRPr="00092B73">
              <w:rPr>
                <w:rFonts w:ascii="Sylfaen" w:eastAsia="Sylfaen" w:hAnsi="Sylfaen" w:cs="Sylfaen"/>
                <w:sz w:val="16"/>
              </w:rPr>
              <w:t>დაშორების</w:t>
            </w:r>
            <w:r w:rsidRPr="00092B73">
              <w:rPr>
                <w:rFonts w:eastAsia="Sylfaen"/>
                <w:sz w:val="16"/>
              </w:rPr>
              <w:t xml:space="preserve"> </w:t>
            </w:r>
            <w:r w:rsidRPr="00092B73">
              <w:rPr>
                <w:rFonts w:ascii="Sylfaen" w:eastAsia="Sylfaen" w:hAnsi="Sylfaen" w:cs="Sylfaen"/>
                <w:sz w:val="16"/>
              </w:rPr>
              <w:t>მანძილი</w:t>
            </w:r>
            <w:r w:rsidRPr="00092B73">
              <w:rPr>
                <w:rFonts w:eastAsia="Sylfaen"/>
                <w:sz w:val="16"/>
              </w:rPr>
              <w:t xml:space="preserve"> </w:t>
            </w:r>
            <w:r w:rsidRPr="00092B73">
              <w:rPr>
                <w:rFonts w:ascii="Sylfaen" w:eastAsia="Sylfaen" w:hAnsi="Sylfaen" w:cs="Sylfaen"/>
                <w:sz w:val="16"/>
              </w:rPr>
              <w:t>ქარის</w:t>
            </w:r>
            <w:r w:rsidRPr="00092B73">
              <w:rPr>
                <w:rFonts w:eastAsia="Sylfaen"/>
                <w:sz w:val="16"/>
              </w:rPr>
              <w:t xml:space="preserve"> </w:t>
            </w:r>
            <w:r w:rsidRPr="00092B73">
              <w:rPr>
                <w:rFonts w:ascii="Sylfaen" w:eastAsia="Sylfaen" w:hAnsi="Sylfaen" w:cs="Sylfaen"/>
                <w:sz w:val="16"/>
              </w:rPr>
              <w:t>მიმართულებით</w:t>
            </w:r>
            <w:r w:rsidR="00C6605E">
              <w:rPr>
                <w:rFonts w:ascii="Sylfaen" w:eastAsia="Sylfaen" w:hAnsi="Sylfaen" w:cs="Sylfaen"/>
                <w:sz w:val="16"/>
                <w:lang w:val="ka-GE"/>
              </w:rPr>
              <w:t xml:space="preserve"> </w:t>
            </w:r>
            <w:r w:rsidRPr="00092B73">
              <w:rPr>
                <w:rFonts w:eastAsia="Sylfaen"/>
                <w:sz w:val="16"/>
              </w:rPr>
              <w:t>300</w:t>
            </w:r>
            <w:r w:rsidRPr="00092B73">
              <w:rPr>
                <w:rFonts w:ascii="Sylfaen" w:eastAsia="Sylfaen" w:hAnsi="Sylfaen" w:cs="Sylfaen"/>
                <w:sz w:val="16"/>
              </w:rPr>
              <w:t>მ</w:t>
            </w:r>
            <w:r w:rsidRPr="00092B73">
              <w:rPr>
                <w:rFonts w:eastAsia="Sylfaen"/>
                <w:sz w:val="16"/>
              </w:rPr>
              <w:t xml:space="preserve"> -</w:t>
            </w:r>
            <w:r w:rsidRPr="00092B73">
              <w:rPr>
                <w:rFonts w:ascii="Sylfaen" w:eastAsia="Sylfaen" w:hAnsi="Sylfaen" w:cs="Sylfaen"/>
                <w:sz w:val="16"/>
              </w:rPr>
              <w:t>ზე</w:t>
            </w:r>
            <w:r w:rsidRPr="00092B73">
              <w:rPr>
                <w:rFonts w:eastAsia="Sylfaen"/>
                <w:sz w:val="16"/>
              </w:rPr>
              <w:t xml:space="preserve"> </w:t>
            </w:r>
            <w:r w:rsidRPr="00092B73">
              <w:rPr>
                <w:rFonts w:ascii="Sylfaen" w:eastAsia="Sylfaen" w:hAnsi="Sylfaen" w:cs="Sylfaen"/>
                <w:sz w:val="16"/>
              </w:rPr>
              <w:t>ნაკლები</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იყოს</w:t>
            </w:r>
            <w:r w:rsidRPr="00092B73">
              <w:rPr>
                <w:rFonts w:eastAsia="Sylfaen"/>
                <w:sz w:val="16"/>
              </w:rPr>
              <w:t>.</w:t>
            </w:r>
          </w:p>
        </w:tc>
        <w:tc>
          <w:tcPr>
            <w:tcW w:w="2340" w:type="dxa"/>
            <w:tcBorders>
              <w:top w:val="single" w:sz="6" w:space="0" w:color="000000"/>
              <w:left w:val="single" w:sz="6" w:space="0" w:color="000000"/>
              <w:bottom w:val="nil"/>
              <w:right w:val="single" w:sz="6" w:space="0" w:color="000000"/>
            </w:tcBorders>
            <w:hideMark/>
          </w:tcPr>
          <w:p w14:paraId="7137BB2E" w14:textId="77777777" w:rsidR="00092B73" w:rsidRPr="00092B73" w:rsidRDefault="00092B73" w:rsidP="000321C7">
            <w:pPr>
              <w:rPr>
                <w:rFonts w:eastAsia="Sylfaen"/>
                <w:sz w:val="16"/>
              </w:rPr>
            </w:pPr>
            <w:r w:rsidRPr="00092B73">
              <w:rPr>
                <w:rFonts w:ascii="Sylfaen" w:eastAsia="Sylfaen" w:hAnsi="Sylfaen" w:cs="Sylfaen"/>
                <w:sz w:val="16"/>
              </w:rPr>
              <w:t>დამატებით</w:t>
            </w:r>
          </w:p>
          <w:p w14:paraId="0214BBF1" w14:textId="77777777" w:rsidR="00092B73" w:rsidRPr="00092B73" w:rsidRDefault="00092B73" w:rsidP="000321C7">
            <w:pPr>
              <w:rPr>
                <w:rFonts w:eastAsia="Sylfaen"/>
                <w:sz w:val="16"/>
              </w:rPr>
            </w:pPr>
            <w:r w:rsidRPr="00092B73">
              <w:rPr>
                <w:rFonts w:ascii="Sylfaen" w:eastAsia="Sylfaen" w:hAnsi="Sylfaen" w:cs="Sylfaen"/>
                <w:sz w:val="16"/>
              </w:rPr>
              <w:t>ხარჯებს</w:t>
            </w:r>
            <w:r w:rsidRPr="00092B73">
              <w:rPr>
                <w:rFonts w:eastAsia="Sylfaen"/>
                <w:sz w:val="16"/>
              </w:rPr>
              <w:t xml:space="preserve"> </w:t>
            </w:r>
            <w:r w:rsidRPr="00092B73">
              <w:rPr>
                <w:rFonts w:ascii="Sylfaen" w:eastAsia="Sylfaen" w:hAnsi="Sylfaen" w:cs="Sylfaen"/>
                <w:sz w:val="16"/>
              </w:rPr>
              <w:t>არ</w:t>
            </w:r>
          </w:p>
          <w:p w14:paraId="707AB323" w14:textId="77777777" w:rsidR="00092B73" w:rsidRPr="00092B73" w:rsidRDefault="00092B73" w:rsidP="000321C7">
            <w:pPr>
              <w:rPr>
                <w:rFonts w:eastAsia="Sylfaen"/>
                <w:sz w:val="16"/>
              </w:rPr>
            </w:pPr>
            <w:r w:rsidRPr="00092B73">
              <w:rPr>
                <w:rFonts w:ascii="Sylfaen" w:eastAsia="Sylfaen" w:hAnsi="Sylfaen" w:cs="Sylfaen"/>
                <w:sz w:val="16"/>
              </w:rPr>
              <w:t>მოითხოვს</w:t>
            </w:r>
            <w:r w:rsidRPr="00092B73">
              <w:rPr>
                <w:rFonts w:eastAsia="Sylfaen"/>
                <w:sz w:val="16"/>
              </w:rPr>
              <w:t>.</w:t>
            </w:r>
          </w:p>
        </w:tc>
        <w:tc>
          <w:tcPr>
            <w:tcW w:w="1204" w:type="dxa"/>
            <w:tcBorders>
              <w:top w:val="single" w:sz="6" w:space="0" w:color="000000"/>
              <w:left w:val="single" w:sz="6" w:space="0" w:color="000000"/>
              <w:bottom w:val="nil"/>
              <w:right w:val="single" w:sz="6" w:space="0" w:color="000000"/>
            </w:tcBorders>
            <w:hideMark/>
          </w:tcPr>
          <w:p w14:paraId="2E373476" w14:textId="77777777" w:rsidR="00092B73" w:rsidRPr="00092B73" w:rsidRDefault="00092B73" w:rsidP="000321C7">
            <w:pPr>
              <w:rPr>
                <w:rFonts w:eastAsia="Sylfaen"/>
                <w:sz w:val="16"/>
              </w:rPr>
            </w:pPr>
            <w:r w:rsidRPr="00092B73">
              <w:rPr>
                <w:rFonts w:ascii="Sylfaen" w:eastAsia="Sylfaen" w:hAnsi="Sylfaen" w:cs="Sylfaen"/>
                <w:sz w:val="16"/>
              </w:rPr>
              <w:t>მშენებელი</w:t>
            </w:r>
            <w:r w:rsidRPr="00092B73">
              <w:rPr>
                <w:rFonts w:eastAsia="Sylfaen"/>
                <w:sz w:val="16"/>
              </w:rPr>
              <w:t xml:space="preserve"> </w:t>
            </w:r>
            <w:r w:rsidRPr="00092B73">
              <w:rPr>
                <w:rFonts w:ascii="Sylfaen" w:eastAsia="Sylfaen" w:hAnsi="Sylfaen" w:cs="Sylfaen"/>
                <w:sz w:val="16"/>
              </w:rPr>
              <w:t>კონტრაქტორი</w:t>
            </w:r>
          </w:p>
        </w:tc>
        <w:tc>
          <w:tcPr>
            <w:tcW w:w="1574" w:type="dxa"/>
            <w:tcBorders>
              <w:top w:val="single" w:sz="6" w:space="0" w:color="000000"/>
              <w:left w:val="single" w:sz="6" w:space="0" w:color="000000"/>
              <w:bottom w:val="nil"/>
              <w:right w:val="single" w:sz="6" w:space="0" w:color="000000"/>
            </w:tcBorders>
            <w:hideMark/>
          </w:tcPr>
          <w:p w14:paraId="16E46F42" w14:textId="77777777" w:rsidR="00092B73" w:rsidRPr="00092B73" w:rsidRDefault="00092B73" w:rsidP="000321C7">
            <w:pPr>
              <w:rPr>
                <w:rFonts w:eastAsia="Sylfaen"/>
                <w:sz w:val="16"/>
                <w:lang w:val="ka-GE"/>
              </w:rPr>
            </w:pPr>
            <w:r w:rsidRPr="00092B73">
              <w:rPr>
                <w:rFonts w:ascii="Sylfaen" w:eastAsia="Sylfaen" w:hAnsi="Sylfaen" w:cs="Sylfaen"/>
                <w:sz w:val="16"/>
              </w:rPr>
              <w:t>საგზაო</w:t>
            </w:r>
            <w:r w:rsidRPr="00092B73">
              <w:rPr>
                <w:rFonts w:eastAsia="Sylfaen"/>
                <w:sz w:val="16"/>
              </w:rPr>
              <w:t xml:space="preserve"> </w:t>
            </w:r>
            <w:r w:rsidRPr="00092B73">
              <w:rPr>
                <w:rFonts w:ascii="Sylfaen" w:eastAsia="Sylfaen" w:hAnsi="Sylfaen" w:cs="Sylfaen"/>
                <w:sz w:val="16"/>
              </w:rPr>
              <w:t>დეპარტამენტი</w:t>
            </w:r>
          </w:p>
          <w:p w14:paraId="548CE907" w14:textId="77777777" w:rsidR="00092B73" w:rsidRPr="00092B73" w:rsidRDefault="00092B73" w:rsidP="000321C7">
            <w:pPr>
              <w:rPr>
                <w:rFonts w:eastAsia="Sylfaen"/>
                <w:sz w:val="16"/>
                <w:lang w:val="en-US"/>
              </w:rPr>
            </w:pPr>
            <w:r w:rsidRPr="00092B73">
              <w:rPr>
                <w:rFonts w:ascii="Sylfaen" w:eastAsia="Sylfaen" w:hAnsi="Sylfaen" w:cs="Sylfaen"/>
                <w:sz w:val="16"/>
              </w:rPr>
              <w:t>საზედამხედველო</w:t>
            </w:r>
            <w:r w:rsidRPr="00092B73">
              <w:rPr>
                <w:rFonts w:eastAsia="Sylfaen"/>
                <w:sz w:val="16"/>
              </w:rPr>
              <w:t xml:space="preserve"> </w:t>
            </w:r>
            <w:r w:rsidRPr="00092B73">
              <w:rPr>
                <w:rFonts w:ascii="Sylfaen" w:eastAsia="Sylfaen" w:hAnsi="Sylfaen" w:cs="Sylfaen"/>
                <w:sz w:val="16"/>
              </w:rPr>
              <w:t>კომპანია</w:t>
            </w:r>
          </w:p>
        </w:tc>
      </w:tr>
      <w:tr w:rsidR="00092B73" w:rsidRPr="00092B73" w14:paraId="3AF42D91" w14:textId="77777777" w:rsidTr="00C6605E">
        <w:trPr>
          <w:gridAfter w:val="1"/>
          <w:wAfter w:w="12" w:type="dxa"/>
          <w:trHeight w:val="1695"/>
        </w:trPr>
        <w:tc>
          <w:tcPr>
            <w:tcW w:w="1800" w:type="dxa"/>
            <w:tcBorders>
              <w:top w:val="single" w:sz="6" w:space="0" w:color="000000"/>
              <w:left w:val="single" w:sz="6" w:space="0" w:color="000000"/>
              <w:bottom w:val="single" w:sz="4" w:space="0" w:color="auto"/>
              <w:right w:val="single" w:sz="6" w:space="0" w:color="000000"/>
            </w:tcBorders>
            <w:hideMark/>
          </w:tcPr>
          <w:p w14:paraId="42E26A08" w14:textId="77777777" w:rsidR="00092B73" w:rsidRPr="00092B73" w:rsidRDefault="00092B73" w:rsidP="000321C7">
            <w:pPr>
              <w:rPr>
                <w:sz w:val="16"/>
              </w:rPr>
            </w:pPr>
            <w:r w:rsidRPr="00092B73">
              <w:rPr>
                <w:rFonts w:ascii="Sylfaen" w:eastAsia="Sylfaen" w:hAnsi="Sylfaen" w:cs="Sylfaen"/>
                <w:sz w:val="16"/>
              </w:rPr>
              <w:t>მიწის</w:t>
            </w:r>
            <w:r w:rsidRPr="00092B73">
              <w:rPr>
                <w:rFonts w:eastAsia="Sylfaen"/>
                <w:sz w:val="16"/>
              </w:rPr>
              <w:t xml:space="preserve"> </w:t>
            </w:r>
            <w:r w:rsidRPr="00092B73">
              <w:rPr>
                <w:rFonts w:ascii="Sylfaen" w:eastAsia="Sylfaen" w:hAnsi="Sylfaen" w:cs="Sylfaen"/>
                <w:sz w:val="16"/>
              </w:rPr>
              <w:t>სამუშაოები</w:t>
            </w:r>
            <w:r w:rsidRPr="00092B73">
              <w:rPr>
                <w:rFonts w:eastAsia="Sylfaen"/>
                <w:sz w:val="16"/>
              </w:rPr>
              <w:t xml:space="preserve">, </w:t>
            </w:r>
            <w:r w:rsidRPr="00092B73">
              <w:rPr>
                <w:rFonts w:ascii="Sylfaen" w:eastAsia="Sylfaen" w:hAnsi="Sylfaen" w:cs="Sylfaen"/>
                <w:sz w:val="16"/>
              </w:rPr>
              <w:t>ფხვიერი</w:t>
            </w:r>
            <w:r w:rsidRPr="00092B73">
              <w:rPr>
                <w:rFonts w:eastAsia="Sylfaen"/>
                <w:sz w:val="16"/>
              </w:rPr>
              <w:t xml:space="preserve"> </w:t>
            </w:r>
            <w:r w:rsidRPr="00092B73">
              <w:rPr>
                <w:rFonts w:ascii="Sylfaen" w:eastAsia="Sylfaen" w:hAnsi="Sylfaen" w:cs="Sylfaen"/>
                <w:sz w:val="16"/>
              </w:rPr>
              <w:t>მასალის</w:t>
            </w:r>
          </w:p>
          <w:p w14:paraId="030A7C04" w14:textId="77777777" w:rsidR="00092B73" w:rsidRPr="00092B73" w:rsidRDefault="00092B73" w:rsidP="000321C7">
            <w:pPr>
              <w:rPr>
                <w:rFonts w:eastAsia="Sylfaen"/>
                <w:sz w:val="16"/>
              </w:rPr>
            </w:pPr>
            <w:r w:rsidRPr="00092B73">
              <w:rPr>
                <w:rFonts w:eastAsia="Sylfaen"/>
                <w:sz w:val="16"/>
              </w:rPr>
              <w:t>(</w:t>
            </w:r>
            <w:r w:rsidRPr="00092B73">
              <w:rPr>
                <w:rFonts w:ascii="Sylfaen" w:eastAsia="Sylfaen" w:hAnsi="Sylfaen" w:cs="Sylfaen"/>
                <w:sz w:val="16"/>
              </w:rPr>
              <w:t>ცემენტი</w:t>
            </w:r>
            <w:r w:rsidRPr="00092B73">
              <w:rPr>
                <w:rFonts w:eastAsia="Sylfaen"/>
                <w:sz w:val="16"/>
              </w:rPr>
              <w:t xml:space="preserve">, </w:t>
            </w:r>
            <w:r w:rsidRPr="00092B73">
              <w:rPr>
                <w:rFonts w:ascii="Sylfaen" w:eastAsia="Sylfaen" w:hAnsi="Sylfaen" w:cs="Sylfaen"/>
                <w:sz w:val="16"/>
              </w:rPr>
              <w:t>ქვიშა</w:t>
            </w:r>
            <w:r w:rsidRPr="00092B73">
              <w:rPr>
                <w:rFonts w:eastAsia="Sylfaen"/>
                <w:sz w:val="16"/>
              </w:rPr>
              <w:t xml:space="preserve">, </w:t>
            </w:r>
            <w:r w:rsidRPr="00092B73">
              <w:rPr>
                <w:rFonts w:ascii="Sylfaen" w:eastAsia="Sylfaen" w:hAnsi="Sylfaen" w:cs="Sylfaen"/>
                <w:sz w:val="16"/>
              </w:rPr>
              <w:t>სხვ</w:t>
            </w:r>
            <w:r w:rsidRPr="00092B73">
              <w:rPr>
                <w:rFonts w:eastAsia="Sylfaen"/>
                <w:sz w:val="16"/>
              </w:rPr>
              <w:t xml:space="preserve">.) </w:t>
            </w:r>
            <w:r w:rsidRPr="00092B73">
              <w:rPr>
                <w:rFonts w:ascii="Sylfaen" w:eastAsia="Sylfaen" w:hAnsi="Sylfaen" w:cs="Sylfaen"/>
                <w:sz w:val="16"/>
              </w:rPr>
              <w:t>ტრანსპორტირე</w:t>
            </w:r>
            <w:r w:rsidRPr="00092B73">
              <w:rPr>
                <w:rFonts w:eastAsia="Sylfaen"/>
                <w:sz w:val="16"/>
              </w:rPr>
              <w:t xml:space="preserve"> </w:t>
            </w:r>
            <w:r w:rsidRPr="00092B73">
              <w:rPr>
                <w:rFonts w:ascii="Sylfaen" w:eastAsia="Sylfaen" w:hAnsi="Sylfaen" w:cs="Sylfaen"/>
                <w:sz w:val="16"/>
              </w:rPr>
              <w:t>ბა</w:t>
            </w:r>
            <w:r w:rsidRPr="00092B73">
              <w:rPr>
                <w:rFonts w:eastAsia="Sylfaen"/>
                <w:sz w:val="16"/>
              </w:rPr>
              <w:t>-</w:t>
            </w:r>
            <w:r w:rsidRPr="00092B73">
              <w:rPr>
                <w:rFonts w:ascii="Sylfaen" w:eastAsia="Sylfaen" w:hAnsi="Sylfaen" w:cs="Sylfaen"/>
                <w:sz w:val="16"/>
              </w:rPr>
              <w:t>შენახვა</w:t>
            </w:r>
            <w:r w:rsidRPr="00092B73">
              <w:rPr>
                <w:rFonts w:eastAsia="Sylfaen"/>
                <w:sz w:val="16"/>
              </w:rPr>
              <w:t xml:space="preserve">, </w:t>
            </w:r>
            <w:r w:rsidRPr="00092B73">
              <w:rPr>
                <w:rFonts w:ascii="Sylfaen" w:eastAsia="Sylfaen" w:hAnsi="Sylfaen" w:cs="Sylfaen"/>
                <w:sz w:val="16"/>
              </w:rPr>
              <w:t>მანქანების</w:t>
            </w:r>
            <w:r w:rsidRPr="00092B73">
              <w:rPr>
                <w:rFonts w:eastAsia="Sylfaen"/>
                <w:sz w:val="16"/>
              </w:rPr>
              <w:t xml:space="preserve"> </w:t>
            </w:r>
            <w:r w:rsidRPr="00092B73">
              <w:rPr>
                <w:rFonts w:ascii="Sylfaen" w:eastAsia="Sylfaen" w:hAnsi="Sylfaen" w:cs="Sylfaen"/>
                <w:sz w:val="16"/>
              </w:rPr>
              <w:t>მოძრაობა</w:t>
            </w:r>
            <w:r w:rsidRPr="00092B73">
              <w:rPr>
                <w:rFonts w:eastAsia="Sylfaen"/>
                <w:sz w:val="16"/>
              </w:rPr>
              <w:t xml:space="preserve"> </w:t>
            </w:r>
            <w:r w:rsidRPr="00092B73">
              <w:rPr>
                <w:rFonts w:ascii="Sylfaen" w:eastAsia="Sylfaen" w:hAnsi="Sylfaen" w:cs="Sylfaen"/>
                <w:sz w:val="16"/>
              </w:rPr>
              <w:t>მოუკირწყლავ</w:t>
            </w:r>
            <w:r w:rsidRPr="00092B73">
              <w:rPr>
                <w:rFonts w:eastAsia="Sylfaen"/>
                <w:sz w:val="16"/>
              </w:rPr>
              <w:t xml:space="preserve"> </w:t>
            </w:r>
            <w:r w:rsidRPr="00092B73">
              <w:rPr>
                <w:rFonts w:ascii="Sylfaen" w:eastAsia="Sylfaen" w:hAnsi="Sylfaen" w:cs="Sylfaen"/>
                <w:sz w:val="16"/>
              </w:rPr>
              <w:t>გზებზე</w:t>
            </w:r>
            <w:r w:rsidRPr="00092B73">
              <w:rPr>
                <w:rFonts w:eastAsia="Sylfaen"/>
                <w:sz w:val="16"/>
              </w:rPr>
              <w:t>.</w:t>
            </w:r>
          </w:p>
        </w:tc>
        <w:tc>
          <w:tcPr>
            <w:tcW w:w="1788" w:type="dxa"/>
            <w:tcBorders>
              <w:top w:val="single" w:sz="6" w:space="0" w:color="000000"/>
              <w:left w:val="single" w:sz="6" w:space="0" w:color="000000"/>
              <w:bottom w:val="single" w:sz="4" w:space="0" w:color="auto"/>
              <w:right w:val="single" w:sz="6" w:space="0" w:color="000000"/>
            </w:tcBorders>
            <w:hideMark/>
          </w:tcPr>
          <w:p w14:paraId="44446764" w14:textId="77777777" w:rsidR="00092B73" w:rsidRPr="00092B73" w:rsidRDefault="00092B73" w:rsidP="000321C7">
            <w:pPr>
              <w:rPr>
                <w:rFonts w:eastAsia="Sylfaen"/>
                <w:sz w:val="16"/>
              </w:rPr>
            </w:pPr>
            <w:r w:rsidRPr="00092B73">
              <w:rPr>
                <w:rFonts w:ascii="Sylfaen" w:eastAsia="Sylfaen" w:hAnsi="Sylfaen" w:cs="Sylfaen"/>
                <w:sz w:val="16"/>
              </w:rPr>
              <w:t>მტვერი</w:t>
            </w:r>
            <w:r w:rsidRPr="00092B73">
              <w:rPr>
                <w:rFonts w:eastAsia="Sylfaen"/>
                <w:sz w:val="16"/>
              </w:rPr>
              <w:t>/</w:t>
            </w:r>
            <w:r w:rsidRPr="00092B73">
              <w:rPr>
                <w:rFonts w:ascii="Sylfaen" w:eastAsia="Sylfaen" w:hAnsi="Sylfaen" w:cs="Sylfaen"/>
                <w:sz w:val="16"/>
              </w:rPr>
              <w:t>ჰაერის</w:t>
            </w:r>
          </w:p>
          <w:p w14:paraId="0F3F3B2E" w14:textId="77777777" w:rsidR="00092B73" w:rsidRPr="00092B73" w:rsidRDefault="00092B73" w:rsidP="000321C7">
            <w:pPr>
              <w:rPr>
                <w:rFonts w:eastAsia="Sylfaen"/>
                <w:sz w:val="16"/>
              </w:rPr>
            </w:pPr>
            <w:r w:rsidRPr="00092B73">
              <w:rPr>
                <w:rFonts w:ascii="Sylfaen" w:eastAsia="Sylfaen" w:hAnsi="Sylfaen" w:cs="Sylfaen"/>
                <w:sz w:val="16"/>
              </w:rPr>
              <w:t>დაბინძურება</w:t>
            </w:r>
          </w:p>
        </w:tc>
        <w:tc>
          <w:tcPr>
            <w:tcW w:w="6838" w:type="dxa"/>
            <w:tcBorders>
              <w:top w:val="single" w:sz="6" w:space="0" w:color="000000"/>
              <w:left w:val="single" w:sz="6" w:space="0" w:color="000000"/>
              <w:bottom w:val="single" w:sz="4" w:space="0" w:color="auto"/>
              <w:right w:val="single" w:sz="6" w:space="0" w:color="000000"/>
            </w:tcBorders>
            <w:hideMark/>
          </w:tcPr>
          <w:p w14:paraId="07CE01A5"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სამუშაო</w:t>
            </w:r>
            <w:r w:rsidRPr="00092B73">
              <w:rPr>
                <w:rFonts w:eastAsia="Sylfaen"/>
                <w:sz w:val="16"/>
              </w:rPr>
              <w:t xml:space="preserve">  </w:t>
            </w:r>
            <w:r w:rsidRPr="00092B73">
              <w:rPr>
                <w:rFonts w:ascii="Sylfaen" w:eastAsia="Sylfaen" w:hAnsi="Sylfaen" w:cs="Sylfaen"/>
                <w:sz w:val="16"/>
              </w:rPr>
              <w:t>დღეებში</w:t>
            </w:r>
            <w:r w:rsidRPr="00092B73">
              <w:rPr>
                <w:rFonts w:eastAsia="Sylfaen"/>
                <w:sz w:val="16"/>
              </w:rPr>
              <w:t xml:space="preserve">  </w:t>
            </w:r>
            <w:r w:rsidRPr="00092B73">
              <w:rPr>
                <w:rFonts w:ascii="Sylfaen" w:eastAsia="Sylfaen" w:hAnsi="Sylfaen" w:cs="Sylfaen"/>
                <w:sz w:val="16"/>
              </w:rPr>
              <w:t>მშრალ</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ქარიან</w:t>
            </w:r>
            <w:r w:rsidRPr="00092B73">
              <w:rPr>
                <w:rFonts w:eastAsia="Sylfaen"/>
                <w:sz w:val="16"/>
              </w:rPr>
              <w:t xml:space="preserve">  </w:t>
            </w:r>
            <w:r w:rsidRPr="00092B73">
              <w:rPr>
                <w:rFonts w:ascii="Sylfaen" w:eastAsia="Sylfaen" w:hAnsi="Sylfaen" w:cs="Sylfaen"/>
                <w:sz w:val="16"/>
              </w:rPr>
              <w:t>ამინდში</w:t>
            </w:r>
            <w:r w:rsidRPr="00092B73">
              <w:rPr>
                <w:rFonts w:eastAsia="Sylfaen"/>
                <w:sz w:val="16"/>
              </w:rPr>
              <w:t xml:space="preserve"> </w:t>
            </w:r>
            <w:r w:rsidRPr="00092B73">
              <w:rPr>
                <w:rFonts w:ascii="Sylfaen" w:eastAsia="Sylfaen" w:hAnsi="Sylfaen" w:cs="Sylfaen"/>
                <w:sz w:val="16"/>
              </w:rPr>
              <w:t>მოუკირწყლავი</w:t>
            </w:r>
            <w:r w:rsidRPr="00092B73">
              <w:rPr>
                <w:rFonts w:eastAsia="Sylfaen"/>
                <w:sz w:val="16"/>
              </w:rPr>
              <w:tab/>
            </w:r>
            <w:r w:rsidRPr="00092B73">
              <w:rPr>
                <w:rFonts w:ascii="Sylfaen" w:eastAsia="Sylfaen" w:hAnsi="Sylfaen" w:cs="Sylfaen"/>
                <w:sz w:val="16"/>
              </w:rPr>
              <w:t>უბნების</w:t>
            </w:r>
            <w:r w:rsidRPr="00092B73">
              <w:rPr>
                <w:rFonts w:eastAsia="Sylfaen"/>
                <w:sz w:val="16"/>
              </w:rPr>
              <w:tab/>
            </w:r>
            <w:r w:rsidRPr="00092B73">
              <w:rPr>
                <w:rFonts w:ascii="Sylfaen" w:eastAsia="Sylfaen" w:hAnsi="Sylfaen" w:cs="Sylfaen"/>
                <w:sz w:val="16"/>
              </w:rPr>
              <w:t>მორწყვა</w:t>
            </w:r>
            <w:r w:rsidRPr="00092B73">
              <w:rPr>
                <w:rFonts w:eastAsia="Sylfaen"/>
                <w:sz w:val="16"/>
              </w:rPr>
              <w:t xml:space="preserve"> (</w:t>
            </w:r>
            <w:r w:rsidRPr="00092B73">
              <w:rPr>
                <w:rFonts w:ascii="Sylfaen" w:eastAsia="Sylfaen" w:hAnsi="Sylfaen" w:cs="Sylfaen"/>
                <w:sz w:val="16"/>
              </w:rPr>
              <w:t>შესაძლებელია</w:t>
            </w:r>
            <w:r w:rsidRPr="00092B73">
              <w:rPr>
                <w:rFonts w:eastAsia="Sylfaen"/>
                <w:sz w:val="16"/>
              </w:rPr>
              <w:t xml:space="preserve"> 4 </w:t>
            </w:r>
            <w:r w:rsidRPr="00092B73">
              <w:rPr>
                <w:rFonts w:ascii="Sylfaen" w:eastAsia="Sylfaen" w:hAnsi="Sylfaen" w:cs="Sylfaen"/>
                <w:sz w:val="16"/>
              </w:rPr>
              <w:t>საათში</w:t>
            </w:r>
            <w:r w:rsidRPr="00092B73">
              <w:rPr>
                <w:rFonts w:eastAsia="Sylfaen"/>
                <w:sz w:val="16"/>
              </w:rPr>
              <w:t xml:space="preserve"> </w:t>
            </w:r>
            <w:r w:rsidRPr="00092B73">
              <w:rPr>
                <w:rFonts w:ascii="Sylfaen" w:eastAsia="Sylfaen" w:hAnsi="Sylfaen" w:cs="Sylfaen"/>
                <w:sz w:val="16"/>
              </w:rPr>
              <w:t>ერთხელ</w:t>
            </w:r>
            <w:r w:rsidRPr="00092B73">
              <w:rPr>
                <w:rFonts w:eastAsia="Sylfaen"/>
                <w:sz w:val="16"/>
              </w:rPr>
              <w:t>).</w:t>
            </w:r>
          </w:p>
          <w:p w14:paraId="0521D7AF" w14:textId="76A9CDC1"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მანქანის</w:t>
            </w:r>
            <w:r w:rsidRPr="00092B73">
              <w:rPr>
                <w:rFonts w:eastAsia="Sylfaen"/>
                <w:sz w:val="16"/>
              </w:rPr>
              <w:t xml:space="preserve"> </w:t>
            </w:r>
            <w:r w:rsidRPr="00092B73">
              <w:rPr>
                <w:rFonts w:ascii="Sylfaen" w:eastAsia="Sylfaen" w:hAnsi="Sylfaen" w:cs="Sylfaen"/>
                <w:sz w:val="16"/>
              </w:rPr>
              <w:t>ბორბლების</w:t>
            </w:r>
            <w:r w:rsidRPr="00092B73">
              <w:rPr>
                <w:rFonts w:eastAsia="Sylfaen"/>
                <w:sz w:val="16"/>
              </w:rPr>
              <w:t xml:space="preserve"> </w:t>
            </w:r>
            <w:r w:rsidRPr="00092B73">
              <w:rPr>
                <w:rFonts w:ascii="Sylfaen" w:eastAsia="Sylfaen" w:hAnsi="Sylfaen" w:cs="Sylfaen"/>
                <w:sz w:val="16"/>
              </w:rPr>
              <w:t>სარეცხი</w:t>
            </w:r>
            <w:r w:rsidRPr="00092B73">
              <w:rPr>
                <w:rFonts w:eastAsia="Sylfaen"/>
                <w:sz w:val="16"/>
              </w:rPr>
              <w:t xml:space="preserve"> </w:t>
            </w:r>
            <w:r w:rsidRPr="00092B73">
              <w:rPr>
                <w:rFonts w:ascii="Sylfaen" w:eastAsia="Sylfaen" w:hAnsi="Sylfaen" w:cs="Sylfaen"/>
                <w:sz w:val="16"/>
              </w:rPr>
              <w:t>ბლოკის</w:t>
            </w:r>
            <w:r w:rsidRPr="00092B73">
              <w:rPr>
                <w:rFonts w:eastAsia="Sylfaen"/>
                <w:sz w:val="16"/>
              </w:rPr>
              <w:t xml:space="preserve"> </w:t>
            </w:r>
            <w:r w:rsidRPr="00092B73">
              <w:rPr>
                <w:rFonts w:ascii="Sylfaen" w:eastAsia="Sylfaen" w:hAnsi="Sylfaen" w:cs="Sylfaen"/>
                <w:sz w:val="16"/>
              </w:rPr>
              <w:t>მოწყობა</w:t>
            </w:r>
            <w:r w:rsidRPr="00092B73">
              <w:rPr>
                <w:rFonts w:eastAsia="Sylfaen"/>
                <w:sz w:val="16"/>
              </w:rPr>
              <w:t xml:space="preserve"> </w:t>
            </w:r>
            <w:r w:rsidRPr="00092B73">
              <w:rPr>
                <w:rFonts w:ascii="Sylfaen" w:eastAsia="Sylfaen" w:hAnsi="Sylfaen" w:cs="Sylfaen"/>
                <w:sz w:val="16"/>
              </w:rPr>
              <w:t>ტერიტორიიდან</w:t>
            </w:r>
            <w:r w:rsidRPr="00092B73">
              <w:rPr>
                <w:rFonts w:eastAsia="Sylfaen"/>
                <w:sz w:val="16"/>
              </w:rPr>
              <w:tab/>
            </w:r>
            <w:r w:rsidRPr="00092B73">
              <w:rPr>
                <w:rFonts w:ascii="Sylfaen" w:eastAsia="Sylfaen" w:hAnsi="Sylfaen" w:cs="Sylfaen"/>
                <w:sz w:val="16"/>
              </w:rPr>
              <w:t>გასვლამდე</w:t>
            </w:r>
            <w:r w:rsidR="00C6605E">
              <w:rPr>
                <w:rFonts w:ascii="Sylfaen" w:eastAsia="Sylfaen" w:hAnsi="Sylfaen" w:cs="Sylfaen"/>
                <w:sz w:val="16"/>
                <w:lang w:val="ka-GE"/>
              </w:rPr>
              <w:t xml:space="preserve"> </w:t>
            </w:r>
            <w:r w:rsidRPr="00092B73">
              <w:rPr>
                <w:rFonts w:ascii="Sylfaen" w:eastAsia="Sylfaen" w:hAnsi="Sylfaen" w:cs="Sylfaen"/>
                <w:sz w:val="16"/>
              </w:rPr>
              <w:t>საბურავების</w:t>
            </w:r>
            <w:r w:rsidRPr="00092B73">
              <w:rPr>
                <w:rFonts w:eastAsia="Sylfaen"/>
                <w:sz w:val="16"/>
              </w:rPr>
              <w:t xml:space="preserve"> </w:t>
            </w:r>
            <w:r w:rsidRPr="00092B73">
              <w:rPr>
                <w:rFonts w:ascii="Sylfaen" w:eastAsia="Sylfaen" w:hAnsi="Sylfaen" w:cs="Sylfaen"/>
                <w:sz w:val="16"/>
              </w:rPr>
              <w:t>გასარეცხად</w:t>
            </w:r>
            <w:r w:rsidRPr="00092B73">
              <w:rPr>
                <w:rFonts w:eastAsia="Sylfaen"/>
                <w:sz w:val="16"/>
              </w:rPr>
              <w:t>.</w:t>
            </w:r>
          </w:p>
          <w:p w14:paraId="7E5C05A6" w14:textId="313F97DE"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ფხვიერი</w:t>
            </w:r>
            <w:r w:rsidR="00C6605E">
              <w:rPr>
                <w:rFonts w:eastAsia="Sylfaen"/>
                <w:sz w:val="16"/>
              </w:rPr>
              <w:t xml:space="preserve"> </w:t>
            </w:r>
            <w:r w:rsidRPr="00092B73">
              <w:rPr>
                <w:rFonts w:ascii="Sylfaen" w:eastAsia="Sylfaen" w:hAnsi="Sylfaen" w:cs="Sylfaen"/>
                <w:sz w:val="16"/>
              </w:rPr>
              <w:t>მასალის</w:t>
            </w:r>
            <w:r w:rsidR="00C6605E">
              <w:rPr>
                <w:rFonts w:eastAsia="Sylfaen"/>
                <w:sz w:val="16"/>
              </w:rPr>
              <w:t xml:space="preserve"> </w:t>
            </w:r>
            <w:r w:rsidRPr="00092B73">
              <w:rPr>
                <w:rFonts w:ascii="Sylfaen" w:eastAsia="Sylfaen" w:hAnsi="Sylfaen" w:cs="Sylfaen"/>
                <w:sz w:val="16"/>
              </w:rPr>
              <w:t>გადატანისას</w:t>
            </w:r>
            <w:r w:rsidR="00C6605E">
              <w:rPr>
                <w:rFonts w:eastAsia="Sylfaen"/>
                <w:sz w:val="16"/>
              </w:rPr>
              <w:t xml:space="preserve"> </w:t>
            </w:r>
            <w:r w:rsidRPr="00092B73">
              <w:rPr>
                <w:rFonts w:ascii="Sylfaen" w:eastAsia="Sylfaen" w:hAnsi="Sylfaen" w:cs="Sylfaen"/>
                <w:sz w:val="16"/>
              </w:rPr>
              <w:t>მასალის</w:t>
            </w:r>
            <w:r w:rsidRPr="00092B73">
              <w:rPr>
                <w:rFonts w:eastAsia="Sylfaen"/>
                <w:sz w:val="16"/>
              </w:rPr>
              <w:t xml:space="preserve"> </w:t>
            </w:r>
            <w:r w:rsidRPr="00092B73">
              <w:rPr>
                <w:rFonts w:ascii="Sylfaen" w:eastAsia="Sylfaen" w:hAnsi="Sylfaen" w:cs="Sylfaen"/>
                <w:sz w:val="16"/>
              </w:rPr>
              <w:t>გადახურვა</w:t>
            </w:r>
            <w:r w:rsidRPr="00092B73">
              <w:rPr>
                <w:rFonts w:eastAsia="Sylfaen"/>
                <w:sz w:val="16"/>
              </w:rPr>
              <w:t>;</w:t>
            </w:r>
          </w:p>
          <w:p w14:paraId="2B51B089"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ნაყარი</w:t>
            </w:r>
            <w:r w:rsidRPr="00092B73">
              <w:rPr>
                <w:rFonts w:eastAsia="Sylfaen"/>
                <w:sz w:val="16"/>
              </w:rPr>
              <w:t xml:space="preserve"> </w:t>
            </w:r>
            <w:r w:rsidRPr="00092B73">
              <w:rPr>
                <w:rFonts w:ascii="Sylfaen" w:eastAsia="Sylfaen" w:hAnsi="Sylfaen" w:cs="Sylfaen"/>
                <w:sz w:val="16"/>
              </w:rPr>
              <w:t>მასალის</w:t>
            </w:r>
            <w:r w:rsidRPr="00092B73">
              <w:rPr>
                <w:rFonts w:eastAsia="Sylfaen"/>
                <w:sz w:val="16"/>
              </w:rPr>
              <w:t xml:space="preserve"> </w:t>
            </w:r>
            <w:r w:rsidRPr="00092B73">
              <w:rPr>
                <w:rFonts w:ascii="Sylfaen" w:eastAsia="Sylfaen" w:hAnsi="Sylfaen" w:cs="Sylfaen"/>
                <w:sz w:val="16"/>
              </w:rPr>
              <w:t>გადახურვა</w:t>
            </w:r>
            <w:r w:rsidRPr="00092B73">
              <w:rPr>
                <w:rFonts w:eastAsia="Sylfaen"/>
                <w:sz w:val="16"/>
              </w:rPr>
              <w:t>.</w:t>
            </w:r>
          </w:p>
        </w:tc>
        <w:tc>
          <w:tcPr>
            <w:tcW w:w="2340" w:type="dxa"/>
            <w:tcBorders>
              <w:top w:val="single" w:sz="6" w:space="0" w:color="000000"/>
              <w:left w:val="single" w:sz="6" w:space="0" w:color="000000"/>
              <w:bottom w:val="single" w:sz="4" w:space="0" w:color="auto"/>
              <w:right w:val="single" w:sz="6" w:space="0" w:color="000000"/>
            </w:tcBorders>
            <w:hideMark/>
          </w:tcPr>
          <w:p w14:paraId="77EE3BBA" w14:textId="77777777" w:rsidR="00092B73" w:rsidRPr="00092B73" w:rsidRDefault="00092B73" w:rsidP="000321C7">
            <w:pPr>
              <w:rPr>
                <w:rFonts w:eastAsia="Sylfaen"/>
                <w:sz w:val="16"/>
              </w:rPr>
            </w:pPr>
            <w:r w:rsidRPr="00092B73">
              <w:rPr>
                <w:rFonts w:ascii="Sylfaen" w:eastAsia="Sylfaen" w:hAnsi="Sylfaen" w:cs="Sylfaen"/>
                <w:sz w:val="16"/>
              </w:rPr>
              <w:t>მანქანის</w:t>
            </w:r>
            <w:r w:rsidRPr="00092B73">
              <w:rPr>
                <w:rFonts w:eastAsia="Sylfaen"/>
                <w:sz w:val="16"/>
              </w:rPr>
              <w:t xml:space="preserve"> </w:t>
            </w:r>
            <w:r w:rsidRPr="00092B73">
              <w:rPr>
                <w:rFonts w:ascii="Sylfaen" w:eastAsia="Sylfaen" w:hAnsi="Sylfaen" w:cs="Sylfaen"/>
                <w:sz w:val="16"/>
              </w:rPr>
              <w:t>საბურავების</w:t>
            </w:r>
          </w:p>
          <w:p w14:paraId="0976451C" w14:textId="77777777" w:rsidR="00092B73" w:rsidRPr="00092B73" w:rsidRDefault="00092B73" w:rsidP="000321C7">
            <w:pPr>
              <w:rPr>
                <w:rFonts w:eastAsia="Sylfaen"/>
                <w:sz w:val="16"/>
              </w:rPr>
            </w:pPr>
            <w:r w:rsidRPr="00092B73">
              <w:rPr>
                <w:rFonts w:ascii="Sylfaen" w:eastAsia="Sylfaen" w:hAnsi="Sylfaen" w:cs="Sylfaen"/>
                <w:sz w:val="16"/>
              </w:rPr>
              <w:t>სარეცხის</w:t>
            </w:r>
            <w:r w:rsidRPr="00092B73">
              <w:rPr>
                <w:rFonts w:eastAsia="Sylfaen"/>
                <w:sz w:val="16"/>
              </w:rPr>
              <w:t xml:space="preserve"> </w:t>
            </w:r>
            <w:r w:rsidRPr="00092B73">
              <w:rPr>
                <w:rFonts w:ascii="Sylfaen" w:eastAsia="Sylfaen" w:hAnsi="Sylfaen" w:cs="Sylfaen"/>
                <w:sz w:val="16"/>
              </w:rPr>
              <w:t>მოწყობა</w:t>
            </w:r>
          </w:p>
          <w:p w14:paraId="19460470" w14:textId="77777777" w:rsidR="00092B73" w:rsidRPr="00092B73" w:rsidRDefault="00092B73" w:rsidP="000321C7">
            <w:pPr>
              <w:rPr>
                <w:rFonts w:eastAsia="Sylfaen"/>
                <w:sz w:val="16"/>
              </w:rPr>
            </w:pPr>
            <w:r w:rsidRPr="00092B73">
              <w:rPr>
                <w:rFonts w:ascii="Sylfaen" w:eastAsia="Sylfaen" w:hAnsi="Sylfaen" w:cs="Sylfaen"/>
                <w:sz w:val="16"/>
              </w:rPr>
              <w:t>განისაზღვრება</w:t>
            </w:r>
          </w:p>
          <w:p w14:paraId="2E24F82F" w14:textId="77777777" w:rsidR="00092B73" w:rsidRPr="00092B73" w:rsidRDefault="00092B73" w:rsidP="000321C7">
            <w:pPr>
              <w:rPr>
                <w:rFonts w:eastAsia="Sylfaen"/>
                <w:sz w:val="16"/>
              </w:rPr>
            </w:pPr>
            <w:r w:rsidRPr="00092B73">
              <w:rPr>
                <w:rFonts w:ascii="Sylfaen" w:eastAsia="Sylfaen" w:hAnsi="Sylfaen" w:cs="Sylfaen"/>
                <w:sz w:val="16"/>
              </w:rPr>
              <w:t>კონტრაქტორის</w:t>
            </w:r>
            <w:r w:rsidRPr="00092B73">
              <w:rPr>
                <w:rFonts w:eastAsia="Sylfaen"/>
                <w:sz w:val="16"/>
              </w:rPr>
              <w:t xml:space="preserve"> </w:t>
            </w:r>
            <w:r w:rsidRPr="00092B73">
              <w:rPr>
                <w:rFonts w:ascii="Sylfaen" w:eastAsia="Sylfaen" w:hAnsi="Sylfaen" w:cs="Sylfaen"/>
                <w:sz w:val="16"/>
              </w:rPr>
              <w:t>მიერ</w:t>
            </w:r>
            <w:r w:rsidRPr="00092B73">
              <w:rPr>
                <w:rFonts w:eastAsia="Sylfaen"/>
                <w:sz w:val="16"/>
              </w:rPr>
              <w:t>,</w:t>
            </w:r>
          </w:p>
          <w:p w14:paraId="5B51DF17" w14:textId="77777777" w:rsidR="00092B73" w:rsidRPr="00092B73" w:rsidRDefault="00092B73" w:rsidP="000321C7">
            <w:pPr>
              <w:rPr>
                <w:rFonts w:eastAsia="Sylfaen"/>
                <w:sz w:val="16"/>
              </w:rPr>
            </w:pPr>
            <w:r w:rsidRPr="00092B73">
              <w:rPr>
                <w:rFonts w:ascii="Sylfaen" w:eastAsia="Sylfaen" w:hAnsi="Sylfaen" w:cs="Sylfaen"/>
                <w:sz w:val="16"/>
              </w:rPr>
              <w:t>სხვა</w:t>
            </w:r>
            <w:r w:rsidRPr="00092B73">
              <w:rPr>
                <w:rFonts w:eastAsia="Sylfaen"/>
                <w:sz w:val="16"/>
              </w:rPr>
              <w:t xml:space="preserve"> </w:t>
            </w:r>
            <w:r w:rsidRPr="00092B73">
              <w:rPr>
                <w:rFonts w:ascii="Sylfaen" w:eastAsia="Sylfaen" w:hAnsi="Sylfaen" w:cs="Sylfaen"/>
                <w:sz w:val="16"/>
              </w:rPr>
              <w:t>დამატებით</w:t>
            </w:r>
          </w:p>
          <w:p w14:paraId="6EE86226" w14:textId="77777777" w:rsidR="00092B73" w:rsidRPr="00092B73" w:rsidRDefault="00092B73" w:rsidP="000321C7">
            <w:pPr>
              <w:rPr>
                <w:rFonts w:eastAsia="Sylfaen"/>
                <w:sz w:val="16"/>
              </w:rPr>
            </w:pPr>
            <w:r w:rsidRPr="00092B73">
              <w:rPr>
                <w:rFonts w:ascii="Sylfaen" w:eastAsia="Sylfaen" w:hAnsi="Sylfaen" w:cs="Sylfaen"/>
                <w:sz w:val="16"/>
              </w:rPr>
              <w:t>ხარჯებს</w:t>
            </w:r>
            <w:r w:rsidRPr="00092B73">
              <w:rPr>
                <w:rFonts w:eastAsia="Sylfaen"/>
                <w:sz w:val="16"/>
              </w:rPr>
              <w:tab/>
            </w:r>
            <w:r w:rsidRPr="00092B73">
              <w:rPr>
                <w:rFonts w:ascii="Sylfaen" w:eastAsia="Sylfaen" w:hAnsi="Sylfaen" w:cs="Sylfaen"/>
                <w:sz w:val="16"/>
              </w:rPr>
              <w:t>არ</w:t>
            </w:r>
          </w:p>
          <w:p w14:paraId="640A421D" w14:textId="77777777" w:rsidR="00092B73" w:rsidRPr="00092B73" w:rsidRDefault="00092B73" w:rsidP="000321C7">
            <w:pPr>
              <w:rPr>
                <w:rFonts w:eastAsia="Sylfaen"/>
                <w:sz w:val="16"/>
              </w:rPr>
            </w:pPr>
            <w:r w:rsidRPr="00092B73">
              <w:rPr>
                <w:rFonts w:ascii="Sylfaen" w:eastAsia="Sylfaen" w:hAnsi="Sylfaen" w:cs="Sylfaen"/>
                <w:sz w:val="16"/>
              </w:rPr>
              <w:t>მოითხოვს</w:t>
            </w:r>
            <w:r w:rsidRPr="00092B73">
              <w:rPr>
                <w:rFonts w:eastAsia="Sylfaen"/>
                <w:sz w:val="16"/>
              </w:rPr>
              <w:t>.</w:t>
            </w:r>
          </w:p>
        </w:tc>
        <w:tc>
          <w:tcPr>
            <w:tcW w:w="1204" w:type="dxa"/>
            <w:tcBorders>
              <w:top w:val="single" w:sz="6" w:space="0" w:color="000000"/>
              <w:left w:val="single" w:sz="6" w:space="0" w:color="000000"/>
              <w:bottom w:val="single" w:sz="4" w:space="0" w:color="auto"/>
              <w:right w:val="single" w:sz="6" w:space="0" w:color="000000"/>
            </w:tcBorders>
            <w:hideMark/>
          </w:tcPr>
          <w:p w14:paraId="78974B8B" w14:textId="77777777" w:rsidR="00092B73" w:rsidRPr="00092B73" w:rsidRDefault="00092B73" w:rsidP="000321C7">
            <w:pPr>
              <w:rPr>
                <w:rFonts w:eastAsia="Sylfaen"/>
                <w:sz w:val="16"/>
              </w:rPr>
            </w:pPr>
            <w:r w:rsidRPr="00092B73">
              <w:rPr>
                <w:rFonts w:ascii="Sylfaen" w:eastAsia="Sylfaen" w:hAnsi="Sylfaen" w:cs="Sylfaen"/>
                <w:sz w:val="16"/>
              </w:rPr>
              <w:t>მშენებელი</w:t>
            </w:r>
            <w:r w:rsidRPr="00092B73">
              <w:rPr>
                <w:rFonts w:eastAsia="Sylfaen"/>
                <w:sz w:val="16"/>
              </w:rPr>
              <w:t xml:space="preserve"> </w:t>
            </w:r>
            <w:r w:rsidRPr="00092B73">
              <w:rPr>
                <w:rFonts w:ascii="Sylfaen" w:eastAsia="Sylfaen" w:hAnsi="Sylfaen" w:cs="Sylfaen"/>
                <w:sz w:val="16"/>
              </w:rPr>
              <w:t>კონტრაქტორი</w:t>
            </w:r>
          </w:p>
        </w:tc>
        <w:tc>
          <w:tcPr>
            <w:tcW w:w="1574" w:type="dxa"/>
            <w:tcBorders>
              <w:top w:val="single" w:sz="6" w:space="0" w:color="000000"/>
              <w:left w:val="single" w:sz="6" w:space="0" w:color="000000"/>
              <w:bottom w:val="single" w:sz="4" w:space="0" w:color="auto"/>
              <w:right w:val="single" w:sz="6" w:space="0" w:color="000000"/>
            </w:tcBorders>
            <w:hideMark/>
          </w:tcPr>
          <w:p w14:paraId="5F39FABF" w14:textId="77777777" w:rsidR="00092B73" w:rsidRPr="00092B73" w:rsidRDefault="00092B73" w:rsidP="000321C7">
            <w:pPr>
              <w:rPr>
                <w:rFonts w:eastAsia="Sylfaen"/>
                <w:sz w:val="16"/>
                <w:lang w:val="ka-GE"/>
              </w:rPr>
            </w:pPr>
            <w:r w:rsidRPr="00092B73">
              <w:rPr>
                <w:rFonts w:ascii="Sylfaen" w:eastAsia="Sylfaen" w:hAnsi="Sylfaen" w:cs="Sylfaen"/>
                <w:sz w:val="16"/>
              </w:rPr>
              <w:t>საგზაო</w:t>
            </w:r>
            <w:r w:rsidRPr="00092B73">
              <w:rPr>
                <w:rFonts w:eastAsia="Sylfaen"/>
                <w:sz w:val="16"/>
              </w:rPr>
              <w:t xml:space="preserve"> </w:t>
            </w:r>
            <w:r w:rsidRPr="00092B73">
              <w:rPr>
                <w:rFonts w:ascii="Sylfaen" w:eastAsia="Sylfaen" w:hAnsi="Sylfaen" w:cs="Sylfaen"/>
                <w:sz w:val="16"/>
              </w:rPr>
              <w:t>დეპარტამენტი</w:t>
            </w:r>
          </w:p>
          <w:p w14:paraId="4E5556EA" w14:textId="77777777" w:rsidR="00092B73" w:rsidRPr="00092B73" w:rsidRDefault="00092B73" w:rsidP="000321C7">
            <w:pPr>
              <w:rPr>
                <w:rFonts w:eastAsia="Sylfaen"/>
                <w:sz w:val="16"/>
                <w:lang w:val="en-US"/>
              </w:rPr>
            </w:pPr>
            <w:r w:rsidRPr="00092B73">
              <w:rPr>
                <w:rFonts w:ascii="Sylfaen" w:eastAsia="Sylfaen" w:hAnsi="Sylfaen" w:cs="Sylfaen"/>
                <w:sz w:val="16"/>
              </w:rPr>
              <w:t>საზედამხედველო</w:t>
            </w:r>
            <w:r w:rsidRPr="00092B73">
              <w:rPr>
                <w:rFonts w:eastAsia="Sylfaen"/>
                <w:sz w:val="16"/>
              </w:rPr>
              <w:t xml:space="preserve"> </w:t>
            </w:r>
            <w:r w:rsidRPr="00092B73">
              <w:rPr>
                <w:rFonts w:ascii="Sylfaen" w:eastAsia="Sylfaen" w:hAnsi="Sylfaen" w:cs="Sylfaen"/>
                <w:sz w:val="16"/>
              </w:rPr>
              <w:t>კომპანია</w:t>
            </w:r>
          </w:p>
        </w:tc>
      </w:tr>
      <w:tr w:rsidR="00092B73" w:rsidRPr="00092B73" w14:paraId="29C203FC" w14:textId="77777777" w:rsidTr="00C6605E">
        <w:trPr>
          <w:gridAfter w:val="1"/>
          <w:wAfter w:w="12" w:type="dxa"/>
          <w:trHeight w:val="4802"/>
        </w:trPr>
        <w:tc>
          <w:tcPr>
            <w:tcW w:w="1800" w:type="dxa"/>
            <w:tcBorders>
              <w:top w:val="single" w:sz="4" w:space="0" w:color="auto"/>
              <w:left w:val="single" w:sz="6" w:space="0" w:color="000000"/>
              <w:bottom w:val="single" w:sz="4" w:space="0" w:color="auto"/>
              <w:right w:val="single" w:sz="6" w:space="0" w:color="000000"/>
            </w:tcBorders>
            <w:hideMark/>
          </w:tcPr>
          <w:p w14:paraId="4484F65B" w14:textId="77777777" w:rsidR="00092B73" w:rsidRPr="00092B73" w:rsidRDefault="00092B73" w:rsidP="000321C7">
            <w:pPr>
              <w:rPr>
                <w:sz w:val="16"/>
              </w:rPr>
            </w:pPr>
            <w:r w:rsidRPr="00092B73">
              <w:rPr>
                <w:rFonts w:ascii="Sylfaen" w:eastAsia="Sylfaen" w:hAnsi="Sylfaen" w:cs="Sylfaen"/>
                <w:sz w:val="16"/>
              </w:rPr>
              <w:t>მიწის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სხვა</w:t>
            </w:r>
          </w:p>
          <w:p w14:paraId="3BEBE35D" w14:textId="77777777" w:rsidR="00092B73" w:rsidRPr="00092B73" w:rsidRDefault="00092B73" w:rsidP="000321C7">
            <w:pPr>
              <w:rPr>
                <w:rFonts w:eastAsia="Sylfaen"/>
                <w:sz w:val="16"/>
              </w:rPr>
            </w:pPr>
            <w:r w:rsidRPr="00092B73">
              <w:rPr>
                <w:rFonts w:ascii="Sylfaen" w:eastAsia="Sylfaen" w:hAnsi="Sylfaen" w:cs="Sylfaen"/>
                <w:sz w:val="16"/>
              </w:rPr>
              <w:t>სამუშაოები</w:t>
            </w:r>
          </w:p>
        </w:tc>
        <w:tc>
          <w:tcPr>
            <w:tcW w:w="1788" w:type="dxa"/>
            <w:tcBorders>
              <w:top w:val="single" w:sz="4" w:space="0" w:color="auto"/>
              <w:left w:val="single" w:sz="6" w:space="0" w:color="000000"/>
              <w:bottom w:val="single" w:sz="4" w:space="0" w:color="auto"/>
              <w:right w:val="single" w:sz="6" w:space="0" w:color="000000"/>
            </w:tcBorders>
            <w:hideMark/>
          </w:tcPr>
          <w:p w14:paraId="637E4C9C" w14:textId="77777777" w:rsidR="00092B73" w:rsidRPr="00092B73" w:rsidRDefault="00092B73" w:rsidP="000321C7">
            <w:pPr>
              <w:rPr>
                <w:rFonts w:eastAsia="Sylfaen"/>
                <w:sz w:val="16"/>
              </w:rPr>
            </w:pPr>
            <w:r w:rsidRPr="00092B73">
              <w:rPr>
                <w:rFonts w:ascii="Sylfaen" w:eastAsia="Sylfaen" w:hAnsi="Sylfaen" w:cs="Sylfaen"/>
                <w:sz w:val="16"/>
              </w:rPr>
              <w:t>ზემოქმედება</w:t>
            </w:r>
          </w:p>
          <w:p w14:paraId="7F4DF71A" w14:textId="77777777" w:rsidR="00092B73" w:rsidRPr="00092B73" w:rsidRDefault="00092B73" w:rsidP="000321C7">
            <w:pPr>
              <w:rPr>
                <w:rFonts w:eastAsia="Sylfaen"/>
                <w:sz w:val="16"/>
              </w:rPr>
            </w:pPr>
            <w:r w:rsidRPr="00092B73">
              <w:rPr>
                <w:rFonts w:ascii="Sylfaen" w:eastAsia="Sylfaen" w:hAnsi="Sylfaen" w:cs="Sylfaen"/>
                <w:sz w:val="16"/>
              </w:rPr>
              <w:t>ადამიანებზე</w:t>
            </w:r>
            <w:r w:rsidRPr="00092B73">
              <w:rPr>
                <w:rFonts w:eastAsia="Sylfaen"/>
                <w:sz w:val="16"/>
              </w:rPr>
              <w:t xml:space="preserve"> </w:t>
            </w:r>
            <w:r w:rsidRPr="00092B73">
              <w:rPr>
                <w:rFonts w:ascii="Sylfaen" w:eastAsia="Sylfaen" w:hAnsi="Sylfaen" w:cs="Sylfaen"/>
                <w:sz w:val="16"/>
              </w:rPr>
              <w:t>და</w:t>
            </w:r>
          </w:p>
          <w:p w14:paraId="6D0D9901" w14:textId="77777777" w:rsidR="00092B73" w:rsidRPr="00092B73" w:rsidRDefault="00092B73" w:rsidP="000321C7">
            <w:pPr>
              <w:rPr>
                <w:rFonts w:eastAsia="Sylfaen"/>
                <w:sz w:val="16"/>
              </w:rPr>
            </w:pPr>
            <w:r w:rsidRPr="00092B73">
              <w:rPr>
                <w:rFonts w:ascii="Sylfaen" w:eastAsia="Sylfaen" w:hAnsi="Sylfaen" w:cs="Sylfaen"/>
                <w:sz w:val="16"/>
              </w:rPr>
              <w:t>ბუნებრივ</w:t>
            </w:r>
          </w:p>
          <w:p w14:paraId="3DB39F3E" w14:textId="77777777" w:rsidR="00092B73" w:rsidRPr="00092B73" w:rsidRDefault="00092B73" w:rsidP="000321C7">
            <w:pPr>
              <w:rPr>
                <w:rFonts w:eastAsia="Sylfaen"/>
                <w:sz w:val="16"/>
              </w:rPr>
            </w:pPr>
            <w:r w:rsidRPr="00092B73">
              <w:rPr>
                <w:rFonts w:ascii="Sylfaen" w:eastAsia="Sylfaen" w:hAnsi="Sylfaen" w:cs="Sylfaen"/>
                <w:sz w:val="16"/>
              </w:rPr>
              <w:t>რეცეპტორებზე</w:t>
            </w:r>
          </w:p>
          <w:p w14:paraId="2EF0EC4F" w14:textId="77777777" w:rsidR="00092B73" w:rsidRPr="00092B73" w:rsidRDefault="00092B73" w:rsidP="000321C7">
            <w:pPr>
              <w:rPr>
                <w:rFonts w:eastAsia="Sylfaen"/>
                <w:sz w:val="16"/>
              </w:rPr>
            </w:pPr>
            <w:r w:rsidRPr="00092B73">
              <w:rPr>
                <w:rFonts w:ascii="Sylfaen" w:eastAsia="Sylfaen" w:hAnsi="Sylfaen" w:cs="Sylfaen"/>
                <w:sz w:val="16"/>
              </w:rPr>
              <w:t>მომატებული</w:t>
            </w:r>
          </w:p>
          <w:p w14:paraId="6BA663EB" w14:textId="77777777" w:rsidR="00092B73" w:rsidRPr="00092B73" w:rsidRDefault="00092B73" w:rsidP="000321C7">
            <w:pPr>
              <w:rPr>
                <w:rFonts w:eastAsia="Sylfaen"/>
                <w:sz w:val="16"/>
              </w:rPr>
            </w:pPr>
            <w:r w:rsidRPr="00092B73">
              <w:rPr>
                <w:rFonts w:ascii="Sylfaen" w:eastAsia="Sylfaen" w:hAnsi="Sylfaen" w:cs="Sylfaen"/>
                <w:sz w:val="16"/>
              </w:rPr>
              <w:t>ხმაურის</w:t>
            </w:r>
            <w:r w:rsidRPr="00092B73">
              <w:rPr>
                <w:rFonts w:eastAsia="Sylfaen"/>
                <w:sz w:val="16"/>
              </w:rPr>
              <w:t xml:space="preserve"> </w:t>
            </w:r>
            <w:r w:rsidRPr="00092B73">
              <w:rPr>
                <w:rFonts w:ascii="Sylfaen" w:eastAsia="Sylfaen" w:hAnsi="Sylfaen" w:cs="Sylfaen"/>
                <w:sz w:val="16"/>
              </w:rPr>
              <w:t>დონის</w:t>
            </w:r>
          </w:p>
          <w:p w14:paraId="69542AAD" w14:textId="77777777" w:rsidR="00092B73" w:rsidRPr="00092B73" w:rsidRDefault="00092B73" w:rsidP="000321C7">
            <w:pPr>
              <w:rPr>
                <w:rFonts w:eastAsia="Sylfaen"/>
                <w:sz w:val="16"/>
              </w:rPr>
            </w:pPr>
            <w:r w:rsidRPr="00092B73">
              <w:rPr>
                <w:rFonts w:ascii="Sylfaen" w:eastAsia="Sylfaen" w:hAnsi="Sylfaen" w:cs="Sylfaen"/>
                <w:sz w:val="16"/>
              </w:rPr>
              <w:t>გამო</w:t>
            </w:r>
            <w:r w:rsidRPr="00092B73">
              <w:rPr>
                <w:rFonts w:eastAsia="Sylfaen"/>
                <w:sz w:val="16"/>
              </w:rPr>
              <w:t>.</w:t>
            </w:r>
          </w:p>
        </w:tc>
        <w:tc>
          <w:tcPr>
            <w:tcW w:w="6838" w:type="dxa"/>
            <w:tcBorders>
              <w:top w:val="single" w:sz="4" w:space="0" w:color="auto"/>
              <w:left w:val="single" w:sz="6" w:space="0" w:color="000000"/>
              <w:bottom w:val="single" w:sz="4" w:space="0" w:color="auto"/>
              <w:right w:val="single" w:sz="6" w:space="0" w:color="000000"/>
            </w:tcBorders>
            <w:hideMark/>
          </w:tcPr>
          <w:p w14:paraId="67B202D9" w14:textId="46D658EE"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დასახლებული</w:t>
            </w:r>
            <w:r w:rsidRPr="00092B73">
              <w:rPr>
                <w:rFonts w:eastAsia="Sylfaen"/>
                <w:sz w:val="16"/>
              </w:rPr>
              <w:t xml:space="preserve"> </w:t>
            </w:r>
            <w:r w:rsidRPr="00092B73">
              <w:rPr>
                <w:rFonts w:ascii="Sylfaen" w:eastAsia="Sylfaen" w:hAnsi="Sylfaen" w:cs="Sylfaen"/>
                <w:sz w:val="16"/>
              </w:rPr>
              <w:t>პუნქტებიდან</w:t>
            </w:r>
            <w:r w:rsidRPr="00092B73">
              <w:rPr>
                <w:rFonts w:eastAsia="Sylfaen"/>
                <w:sz w:val="16"/>
              </w:rPr>
              <w:t xml:space="preserve"> 500</w:t>
            </w:r>
            <w:r w:rsidRPr="00092B73">
              <w:rPr>
                <w:rFonts w:ascii="Sylfaen" w:eastAsia="Sylfaen" w:hAnsi="Sylfaen" w:cs="Sylfaen"/>
                <w:sz w:val="16"/>
              </w:rPr>
              <w:t>მ</w:t>
            </w:r>
            <w:r w:rsidRPr="00092B73">
              <w:rPr>
                <w:rFonts w:eastAsia="Sylfaen"/>
                <w:sz w:val="16"/>
              </w:rPr>
              <w:t xml:space="preserve"> </w:t>
            </w:r>
            <w:r w:rsidRPr="00092B73">
              <w:rPr>
                <w:rFonts w:ascii="Sylfaen" w:eastAsia="Sylfaen" w:hAnsi="Sylfaen" w:cs="Sylfaen"/>
                <w:sz w:val="16"/>
              </w:rPr>
              <w:t>დაშორებულ</w:t>
            </w:r>
            <w:r w:rsidR="00C6605E">
              <w:rPr>
                <w:rFonts w:ascii="Sylfaen" w:eastAsia="Sylfaen" w:hAnsi="Sylfaen" w:cs="Sylfaen"/>
                <w:sz w:val="16"/>
                <w:lang w:val="ka-GE"/>
              </w:rPr>
              <w:t xml:space="preserve"> </w:t>
            </w:r>
            <w:r w:rsidRPr="00092B73">
              <w:rPr>
                <w:rFonts w:ascii="Sylfaen" w:eastAsia="Sylfaen" w:hAnsi="Sylfaen" w:cs="Sylfaen"/>
                <w:sz w:val="16"/>
              </w:rPr>
              <w:t>უბნებზე</w:t>
            </w:r>
            <w:r w:rsidR="00C6605E">
              <w:rPr>
                <w:rFonts w:ascii="Sylfaen" w:eastAsia="Sylfaen" w:hAnsi="Sylfaen" w:cs="Sylfaen"/>
                <w:sz w:val="16"/>
                <w:lang w:val="ka-GE"/>
              </w:rPr>
              <w:t xml:space="preserve"> </w:t>
            </w:r>
            <w:r w:rsidRPr="00092B73">
              <w:rPr>
                <w:rFonts w:ascii="Sylfaen" w:eastAsia="Sylfaen" w:hAnsi="Sylfaen" w:cs="Sylfaen"/>
                <w:sz w:val="16"/>
              </w:rPr>
              <w:t>სამუშაო</w:t>
            </w:r>
            <w:r w:rsidRPr="00092B73">
              <w:rPr>
                <w:rFonts w:eastAsia="Sylfaen"/>
                <w:sz w:val="16"/>
              </w:rPr>
              <w:tab/>
            </w:r>
            <w:r w:rsidRPr="00092B73">
              <w:rPr>
                <w:rFonts w:ascii="Sylfaen" w:eastAsia="Sylfaen" w:hAnsi="Sylfaen" w:cs="Sylfaen"/>
                <w:sz w:val="16"/>
              </w:rPr>
              <w:t>საათები</w:t>
            </w:r>
            <w:r w:rsidR="00C6605E">
              <w:rPr>
                <w:rFonts w:ascii="Sylfaen" w:eastAsia="Sylfaen" w:hAnsi="Sylfaen" w:cs="Sylfaen"/>
                <w:sz w:val="16"/>
                <w:lang w:val="ka-GE"/>
              </w:rPr>
              <w:t xml:space="preserve"> </w:t>
            </w:r>
            <w:r w:rsidRPr="00092B73">
              <w:rPr>
                <w:rFonts w:ascii="Sylfaen" w:eastAsia="Sylfaen" w:hAnsi="Sylfaen" w:cs="Sylfaen"/>
                <w:sz w:val="16"/>
              </w:rPr>
              <w:t>უნდა</w:t>
            </w:r>
          </w:p>
          <w:p w14:paraId="33241BD2" w14:textId="77777777" w:rsidR="00092B73" w:rsidRPr="00092B73" w:rsidRDefault="00092B73" w:rsidP="000321C7">
            <w:pPr>
              <w:rPr>
                <w:rFonts w:eastAsia="Sylfaen"/>
                <w:sz w:val="16"/>
              </w:rPr>
            </w:pPr>
            <w:r w:rsidRPr="00092B73">
              <w:rPr>
                <w:rFonts w:ascii="Sylfaen" w:eastAsia="Sylfaen" w:hAnsi="Sylfaen" w:cs="Sylfaen"/>
                <w:sz w:val="16"/>
              </w:rPr>
              <w:t>შემოისაზღვროს</w:t>
            </w:r>
            <w:r w:rsidRPr="00092B73">
              <w:rPr>
                <w:rFonts w:eastAsia="Sylfaen"/>
                <w:sz w:val="16"/>
              </w:rPr>
              <w:t xml:space="preserve"> 7 - 21 </w:t>
            </w:r>
            <w:r w:rsidRPr="00092B73">
              <w:rPr>
                <w:rFonts w:ascii="Sylfaen" w:eastAsia="Sylfaen" w:hAnsi="Sylfaen" w:cs="Sylfaen"/>
                <w:sz w:val="16"/>
              </w:rPr>
              <w:t>საათამდე</w:t>
            </w:r>
          </w:p>
          <w:p w14:paraId="7F444753" w14:textId="0B38979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ტერიტორიის</w:t>
            </w:r>
            <w:r w:rsidRPr="00092B73">
              <w:rPr>
                <w:rFonts w:eastAsia="Sylfaen"/>
                <w:sz w:val="16"/>
              </w:rPr>
              <w:tab/>
            </w:r>
            <w:r w:rsidRPr="00092B73">
              <w:rPr>
                <w:rFonts w:ascii="Sylfaen" w:eastAsia="Sylfaen" w:hAnsi="Sylfaen" w:cs="Sylfaen"/>
                <w:sz w:val="16"/>
              </w:rPr>
              <w:t>გარეთ</w:t>
            </w:r>
            <w:r w:rsidRPr="00092B73">
              <w:rPr>
                <w:rFonts w:eastAsia="Sylfaen"/>
                <w:sz w:val="16"/>
              </w:rPr>
              <w:tab/>
            </w:r>
            <w:r w:rsidRPr="00092B73">
              <w:rPr>
                <w:rFonts w:ascii="Sylfaen" w:eastAsia="Sylfaen" w:hAnsi="Sylfaen" w:cs="Sylfaen"/>
                <w:sz w:val="16"/>
              </w:rPr>
              <w:t>მოძრაობის</w:t>
            </w:r>
            <w:r w:rsidRPr="00092B73">
              <w:rPr>
                <w:rFonts w:eastAsia="Sylfaen"/>
                <w:sz w:val="16"/>
              </w:rPr>
              <w:tab/>
            </w:r>
            <w:r w:rsidRPr="00092B73">
              <w:rPr>
                <w:rFonts w:ascii="Sylfaen" w:eastAsia="Sylfaen" w:hAnsi="Sylfaen" w:cs="Sylfaen"/>
                <w:sz w:val="16"/>
              </w:rPr>
              <w:t>სიჩქარის</w:t>
            </w:r>
            <w:r w:rsidR="00C6605E">
              <w:rPr>
                <w:rFonts w:ascii="Sylfaen" w:eastAsia="Sylfaen" w:hAnsi="Sylfaen" w:cs="Sylfaen"/>
                <w:sz w:val="16"/>
                <w:lang w:val="ka-GE"/>
              </w:rPr>
              <w:t xml:space="preserve"> </w:t>
            </w:r>
            <w:r w:rsidRPr="00092B73">
              <w:rPr>
                <w:rFonts w:ascii="Sylfaen" w:eastAsia="Sylfaen" w:hAnsi="Sylfaen" w:cs="Sylfaen"/>
                <w:sz w:val="16"/>
              </w:rPr>
              <w:t>ზღვრის</w:t>
            </w:r>
            <w:r w:rsidRPr="00092B73">
              <w:rPr>
                <w:rFonts w:eastAsia="Sylfaen"/>
                <w:sz w:val="16"/>
              </w:rPr>
              <w:t xml:space="preserve"> </w:t>
            </w:r>
            <w:r w:rsidRPr="00092B73">
              <w:rPr>
                <w:rFonts w:ascii="Sylfaen" w:eastAsia="Sylfaen" w:hAnsi="Sylfaen" w:cs="Sylfaen"/>
                <w:sz w:val="16"/>
              </w:rPr>
              <w:t>დაწესება</w:t>
            </w:r>
            <w:r w:rsidRPr="00092B73">
              <w:rPr>
                <w:rFonts w:eastAsia="Sylfaen"/>
                <w:sz w:val="16"/>
              </w:rPr>
              <w:t>.</w:t>
            </w:r>
          </w:p>
          <w:p w14:paraId="0999D621" w14:textId="76A1780F"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ხმაურის</w:t>
            </w:r>
            <w:r w:rsidRPr="00092B73">
              <w:rPr>
                <w:rFonts w:eastAsia="Sylfaen"/>
                <w:sz w:val="16"/>
              </w:rPr>
              <w:t xml:space="preserve">   </w:t>
            </w:r>
            <w:r w:rsidRPr="00092B73">
              <w:rPr>
                <w:rFonts w:ascii="Sylfaen" w:eastAsia="Sylfaen" w:hAnsi="Sylfaen" w:cs="Sylfaen"/>
                <w:sz w:val="16"/>
              </w:rPr>
              <w:t>მოძრავი</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უძრავი</w:t>
            </w:r>
            <w:r w:rsidRPr="00092B73">
              <w:rPr>
                <w:rFonts w:eastAsia="Sylfaen"/>
                <w:sz w:val="16"/>
              </w:rPr>
              <w:tab/>
            </w:r>
            <w:r w:rsidRPr="00092B73">
              <w:rPr>
                <w:rFonts w:ascii="Sylfaen" w:eastAsia="Sylfaen" w:hAnsi="Sylfaen" w:cs="Sylfaen"/>
                <w:sz w:val="16"/>
              </w:rPr>
              <w:t>წყაროების</w:t>
            </w:r>
            <w:r w:rsidR="00C6605E">
              <w:rPr>
                <w:rFonts w:ascii="Sylfaen" w:eastAsia="Sylfaen" w:hAnsi="Sylfaen" w:cs="Sylfaen"/>
                <w:sz w:val="16"/>
                <w:lang w:val="ka-GE"/>
              </w:rPr>
              <w:t xml:space="preserve"> </w:t>
            </w:r>
            <w:r w:rsidRPr="00092B73">
              <w:rPr>
                <w:rFonts w:ascii="Sylfaen" w:eastAsia="Sylfaen" w:hAnsi="Sylfaen" w:cs="Sylfaen"/>
                <w:sz w:val="16"/>
              </w:rPr>
              <w:t>რეგულარული</w:t>
            </w:r>
            <w:r w:rsidRPr="00092B73">
              <w:rPr>
                <w:rFonts w:eastAsia="Sylfaen"/>
                <w:sz w:val="16"/>
              </w:rPr>
              <w:t xml:space="preserve"> </w:t>
            </w:r>
            <w:r w:rsidRPr="00092B73">
              <w:rPr>
                <w:rFonts w:ascii="Sylfaen" w:eastAsia="Sylfaen" w:hAnsi="Sylfaen" w:cs="Sylfaen"/>
                <w:sz w:val="16"/>
              </w:rPr>
              <w:t>ტექნიკური</w:t>
            </w:r>
            <w:r w:rsidRPr="00092B73">
              <w:rPr>
                <w:rFonts w:eastAsia="Sylfaen"/>
                <w:sz w:val="16"/>
              </w:rPr>
              <w:t xml:space="preserve"> </w:t>
            </w:r>
            <w:r w:rsidRPr="00092B73">
              <w:rPr>
                <w:rFonts w:ascii="Sylfaen" w:eastAsia="Sylfaen" w:hAnsi="Sylfaen" w:cs="Sylfaen"/>
                <w:sz w:val="16"/>
              </w:rPr>
              <w:t>კონტროლი</w:t>
            </w:r>
            <w:r w:rsidRPr="00092B73">
              <w:rPr>
                <w:rFonts w:eastAsia="Sylfaen"/>
                <w:sz w:val="16"/>
              </w:rPr>
              <w:t>.</w:t>
            </w:r>
            <w:r w:rsidRPr="00092B73">
              <w:rPr>
                <w:rFonts w:eastAsia="Symbol"/>
                <w:sz w:val="16"/>
              </w:rPr>
              <w:t xml:space="preserve">·  </w:t>
            </w:r>
            <w:r w:rsidRPr="00092B73">
              <w:rPr>
                <w:rFonts w:ascii="Sylfaen" w:eastAsia="Sylfaen" w:hAnsi="Sylfaen" w:cs="Sylfaen"/>
                <w:sz w:val="16"/>
              </w:rPr>
              <w:t>ნარჩენების</w:t>
            </w:r>
            <w:r w:rsidRPr="00092B73">
              <w:rPr>
                <w:rFonts w:eastAsia="Sylfaen"/>
                <w:sz w:val="16"/>
              </w:rPr>
              <w:t xml:space="preserve">   </w:t>
            </w:r>
            <w:r w:rsidRPr="00092B73">
              <w:rPr>
                <w:rFonts w:ascii="Sylfaen" w:eastAsia="Sylfaen" w:hAnsi="Sylfaen" w:cs="Sylfaen"/>
                <w:sz w:val="16"/>
              </w:rPr>
              <w:t>მართვის</w:t>
            </w:r>
            <w:r w:rsidRPr="00092B73">
              <w:rPr>
                <w:rFonts w:eastAsia="Sylfaen"/>
                <w:sz w:val="16"/>
              </w:rPr>
              <w:t xml:space="preserve">   </w:t>
            </w:r>
            <w:r w:rsidRPr="00092B73">
              <w:rPr>
                <w:rFonts w:ascii="Sylfaen" w:eastAsia="Sylfaen" w:hAnsi="Sylfaen" w:cs="Sylfaen"/>
                <w:sz w:val="16"/>
              </w:rPr>
              <w:t>გეგმის</w:t>
            </w:r>
            <w:r w:rsidRPr="00092B73">
              <w:rPr>
                <w:rFonts w:eastAsia="Sylfaen"/>
                <w:sz w:val="16"/>
              </w:rPr>
              <w:t xml:space="preserve">   </w:t>
            </w:r>
            <w:r w:rsidRPr="00092B73">
              <w:rPr>
                <w:rFonts w:ascii="Sylfaen" w:eastAsia="Sylfaen" w:hAnsi="Sylfaen" w:cs="Sylfaen"/>
                <w:sz w:val="16"/>
              </w:rPr>
              <w:t>მომზადება</w:t>
            </w:r>
            <w:r w:rsidRPr="00092B73">
              <w:rPr>
                <w:rFonts w:eastAsia="Sylfaen"/>
                <w:sz w:val="16"/>
              </w:rPr>
              <w:t xml:space="preserve">   </w:t>
            </w:r>
            <w:r w:rsidRPr="00092B73">
              <w:rPr>
                <w:rFonts w:ascii="Sylfaen" w:eastAsia="Sylfaen" w:hAnsi="Sylfaen" w:cs="Sylfaen"/>
                <w:sz w:val="16"/>
              </w:rPr>
              <w:t>და</w:t>
            </w:r>
            <w:r w:rsidR="00C6605E">
              <w:rPr>
                <w:rFonts w:ascii="Sylfaen" w:eastAsia="Sylfaen" w:hAnsi="Sylfaen" w:cs="Sylfaen"/>
                <w:sz w:val="16"/>
                <w:lang w:val="ka-GE"/>
              </w:rPr>
              <w:t xml:space="preserve"> </w:t>
            </w:r>
            <w:r w:rsidRPr="00092B73">
              <w:rPr>
                <w:rFonts w:ascii="Sylfaen" w:eastAsia="Sylfaen" w:hAnsi="Sylfaen" w:cs="Sylfaen"/>
                <w:sz w:val="16"/>
              </w:rPr>
              <w:t>შესრულება</w:t>
            </w:r>
          </w:p>
          <w:p w14:paraId="04271B20" w14:textId="553F929C"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ინერტული</w:t>
            </w:r>
            <w:r w:rsidRPr="00092B73">
              <w:rPr>
                <w:rFonts w:eastAsia="Sylfaen"/>
                <w:sz w:val="16"/>
              </w:rPr>
              <w:t xml:space="preserve"> </w:t>
            </w:r>
            <w:r w:rsidRPr="00092B73">
              <w:rPr>
                <w:rFonts w:ascii="Sylfaen" w:eastAsia="Sylfaen" w:hAnsi="Sylfaen" w:cs="Sylfaen"/>
                <w:sz w:val="16"/>
              </w:rPr>
              <w:t>მასალის</w:t>
            </w:r>
            <w:r w:rsidRPr="00092B73">
              <w:rPr>
                <w:rFonts w:eastAsia="Sylfaen"/>
                <w:sz w:val="16"/>
              </w:rPr>
              <w:t xml:space="preserve"> </w:t>
            </w:r>
            <w:r w:rsidRPr="00092B73">
              <w:rPr>
                <w:rFonts w:ascii="Sylfaen" w:eastAsia="Sylfaen" w:hAnsi="Sylfaen" w:cs="Sylfaen"/>
                <w:sz w:val="16"/>
              </w:rPr>
              <w:t>განსათავსებლად</w:t>
            </w:r>
            <w:r w:rsidRPr="00092B73">
              <w:rPr>
                <w:rFonts w:eastAsia="Sylfaen"/>
                <w:sz w:val="16"/>
              </w:rPr>
              <w:t xml:space="preserve"> </w:t>
            </w:r>
            <w:r w:rsidRPr="00092B73">
              <w:rPr>
                <w:rFonts w:ascii="Sylfaen" w:eastAsia="Sylfaen" w:hAnsi="Sylfaen" w:cs="Sylfaen"/>
                <w:sz w:val="16"/>
              </w:rPr>
              <w:t>სამუშაო</w:t>
            </w:r>
            <w:r w:rsidR="00C6605E">
              <w:rPr>
                <w:rFonts w:ascii="Sylfaen" w:eastAsia="Sylfaen" w:hAnsi="Sylfaen" w:cs="Sylfaen"/>
                <w:sz w:val="16"/>
                <w:lang w:val="ka-GE"/>
              </w:rPr>
              <w:t xml:space="preserve"> </w:t>
            </w:r>
            <w:r w:rsidRPr="00092B73">
              <w:rPr>
                <w:rFonts w:ascii="Sylfaen" w:eastAsia="Sylfaen" w:hAnsi="Sylfaen" w:cs="Sylfaen"/>
                <w:sz w:val="16"/>
              </w:rPr>
              <w:t>უბნის</w:t>
            </w:r>
            <w:r w:rsidRPr="00092B73">
              <w:rPr>
                <w:rFonts w:eastAsia="Sylfaen"/>
                <w:sz w:val="16"/>
              </w:rPr>
              <w:t>/</w:t>
            </w:r>
            <w:r w:rsidRPr="00092B73">
              <w:rPr>
                <w:rFonts w:ascii="Sylfaen" w:eastAsia="Sylfaen" w:hAnsi="Sylfaen" w:cs="Sylfaen"/>
                <w:sz w:val="16"/>
              </w:rPr>
              <w:t>ბანაკის</w:t>
            </w:r>
            <w:r w:rsidRPr="00092B73">
              <w:rPr>
                <w:rFonts w:eastAsia="Sylfaen"/>
                <w:sz w:val="16"/>
              </w:rPr>
              <w:t xml:space="preserve">  </w:t>
            </w:r>
            <w:r w:rsidRPr="00092B73">
              <w:rPr>
                <w:rFonts w:ascii="Sylfaen" w:eastAsia="Sylfaen" w:hAnsi="Sylfaen" w:cs="Sylfaen"/>
                <w:sz w:val="16"/>
              </w:rPr>
              <w:t>ტერიტორიაზე</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გამოიყოს</w:t>
            </w:r>
            <w:r w:rsidR="00C6605E">
              <w:rPr>
                <w:rFonts w:ascii="Sylfaen" w:eastAsia="Sylfaen" w:hAnsi="Sylfaen" w:cs="Sylfaen"/>
                <w:sz w:val="16"/>
                <w:lang w:val="ka-GE"/>
              </w:rPr>
              <w:t xml:space="preserve"> </w:t>
            </w:r>
            <w:r w:rsidRPr="00092B73">
              <w:rPr>
                <w:rFonts w:ascii="Sylfaen" w:eastAsia="Sylfaen" w:hAnsi="Sylfaen" w:cs="Sylfaen"/>
                <w:sz w:val="16"/>
              </w:rPr>
              <w:t>სპეციალური</w:t>
            </w:r>
            <w:r w:rsidRPr="00092B73">
              <w:rPr>
                <w:rFonts w:eastAsia="Sylfaen"/>
                <w:sz w:val="16"/>
              </w:rPr>
              <w:t xml:space="preserve">   </w:t>
            </w:r>
            <w:r w:rsidRPr="00092B73">
              <w:rPr>
                <w:rFonts w:ascii="Sylfaen" w:eastAsia="Sylfaen" w:hAnsi="Sylfaen" w:cs="Sylfaen"/>
                <w:sz w:val="16"/>
              </w:rPr>
              <w:t>უბანი</w:t>
            </w:r>
            <w:r w:rsidRPr="00092B73">
              <w:rPr>
                <w:rFonts w:eastAsia="Sylfaen"/>
                <w:sz w:val="16"/>
              </w:rPr>
              <w:t xml:space="preserve">.   </w:t>
            </w:r>
            <w:r w:rsidRPr="00092B73">
              <w:rPr>
                <w:rFonts w:ascii="Sylfaen" w:eastAsia="Sylfaen" w:hAnsi="Sylfaen" w:cs="Sylfaen"/>
                <w:sz w:val="16"/>
              </w:rPr>
              <w:t>ნარჩენების</w:t>
            </w:r>
            <w:r w:rsidRPr="00092B73">
              <w:rPr>
                <w:rFonts w:eastAsia="Sylfaen"/>
                <w:sz w:val="16"/>
              </w:rPr>
              <w:t xml:space="preserve">   </w:t>
            </w:r>
            <w:r w:rsidRPr="00092B73">
              <w:rPr>
                <w:rFonts w:ascii="Sylfaen" w:eastAsia="Sylfaen" w:hAnsi="Sylfaen" w:cs="Sylfaen"/>
                <w:sz w:val="16"/>
              </w:rPr>
              <w:t>განთავსებისადგილი</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უშლიდეს</w:t>
            </w:r>
            <w:r w:rsidRPr="00092B73">
              <w:rPr>
                <w:rFonts w:eastAsia="Sylfaen"/>
                <w:sz w:val="16"/>
              </w:rPr>
              <w:t xml:space="preserve"> </w:t>
            </w:r>
            <w:r w:rsidRPr="00092B73">
              <w:rPr>
                <w:rFonts w:ascii="Sylfaen" w:eastAsia="Sylfaen" w:hAnsi="Sylfaen" w:cs="Sylfaen"/>
                <w:sz w:val="16"/>
              </w:rPr>
              <w:t>ხელს</w:t>
            </w:r>
            <w:r w:rsidRPr="00092B73">
              <w:rPr>
                <w:rFonts w:eastAsia="Sylfaen"/>
                <w:sz w:val="16"/>
              </w:rPr>
              <w:t xml:space="preserve"> </w:t>
            </w:r>
            <w:r w:rsidRPr="00092B73">
              <w:rPr>
                <w:rFonts w:ascii="Sylfaen" w:eastAsia="Sylfaen" w:hAnsi="Sylfaen" w:cs="Sylfaen"/>
                <w:sz w:val="16"/>
              </w:rPr>
              <w:t>თავისუფალ</w:t>
            </w:r>
            <w:r w:rsidRPr="00092B73">
              <w:rPr>
                <w:rFonts w:eastAsia="Sylfaen"/>
                <w:sz w:val="16"/>
              </w:rPr>
              <w:t xml:space="preserve"> </w:t>
            </w:r>
            <w:r w:rsidRPr="00092B73">
              <w:rPr>
                <w:rFonts w:ascii="Sylfaen" w:eastAsia="Sylfaen" w:hAnsi="Sylfaen" w:cs="Sylfaen"/>
                <w:sz w:val="16"/>
              </w:rPr>
              <w:t>გადაადგილებას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განთავსდეს</w:t>
            </w:r>
            <w:r w:rsidRPr="00092B73">
              <w:rPr>
                <w:rFonts w:eastAsia="Sylfaen"/>
                <w:sz w:val="16"/>
              </w:rPr>
              <w:t xml:space="preserve"> </w:t>
            </w:r>
            <w:r w:rsidRPr="00092B73">
              <w:rPr>
                <w:rFonts w:ascii="Sylfaen" w:eastAsia="Sylfaen" w:hAnsi="Sylfaen" w:cs="Sylfaen"/>
                <w:sz w:val="16"/>
              </w:rPr>
              <w:t>წყლის</w:t>
            </w:r>
            <w:r w:rsidRPr="00092B73">
              <w:rPr>
                <w:rFonts w:eastAsia="Sylfaen"/>
                <w:sz w:val="16"/>
              </w:rPr>
              <w:t xml:space="preserve"> </w:t>
            </w:r>
            <w:r w:rsidRPr="00092B73">
              <w:rPr>
                <w:rFonts w:ascii="Sylfaen" w:eastAsia="Sylfaen" w:hAnsi="Sylfaen" w:cs="Sylfaen"/>
                <w:sz w:val="16"/>
              </w:rPr>
              <w:t>ობიექტიდან</w:t>
            </w:r>
            <w:r w:rsidRPr="00092B73">
              <w:rPr>
                <w:rFonts w:eastAsia="Sylfaen"/>
                <w:sz w:val="16"/>
              </w:rPr>
              <w:t xml:space="preserve"> </w:t>
            </w:r>
            <w:r w:rsidRPr="00092B73">
              <w:rPr>
                <w:rFonts w:ascii="Sylfaen" w:eastAsia="Sylfaen" w:hAnsi="Sylfaen" w:cs="Sylfaen"/>
                <w:sz w:val="16"/>
              </w:rPr>
              <w:t>არანაკლებ</w:t>
            </w:r>
            <w:r w:rsidRPr="00092B73">
              <w:rPr>
                <w:rFonts w:eastAsia="Sylfaen"/>
                <w:sz w:val="16"/>
              </w:rPr>
              <w:t xml:space="preserve"> 100</w:t>
            </w:r>
            <w:r w:rsidRPr="00092B73">
              <w:rPr>
                <w:rFonts w:ascii="Sylfaen" w:eastAsia="Sylfaen" w:hAnsi="Sylfaen" w:cs="Sylfaen"/>
                <w:sz w:val="16"/>
              </w:rPr>
              <w:t>მ</w:t>
            </w:r>
            <w:r w:rsidRPr="00092B73">
              <w:rPr>
                <w:rFonts w:eastAsia="Sylfaen"/>
                <w:sz w:val="16"/>
              </w:rPr>
              <w:t xml:space="preserve"> </w:t>
            </w:r>
            <w:r w:rsidRPr="00092B73">
              <w:rPr>
                <w:rFonts w:ascii="Sylfaen" w:eastAsia="Sylfaen" w:hAnsi="Sylfaen" w:cs="Sylfaen"/>
                <w:sz w:val="16"/>
              </w:rPr>
              <w:t>დაშორებით</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ხდებოდეს</w:t>
            </w:r>
            <w:r w:rsidRPr="00092B73">
              <w:rPr>
                <w:rFonts w:eastAsia="Sylfaen"/>
                <w:sz w:val="16"/>
              </w:rPr>
              <w:t xml:space="preserve"> </w:t>
            </w:r>
            <w:r w:rsidRPr="00092B73">
              <w:rPr>
                <w:rFonts w:ascii="Sylfaen" w:eastAsia="Sylfaen" w:hAnsi="Sylfaen" w:cs="Sylfaen"/>
                <w:sz w:val="16"/>
              </w:rPr>
              <w:t>ნარჩენების</w:t>
            </w:r>
            <w:r w:rsidRPr="00092B73">
              <w:rPr>
                <w:rFonts w:eastAsia="Sylfaen"/>
                <w:sz w:val="16"/>
              </w:rPr>
              <w:t xml:space="preserve"> </w:t>
            </w:r>
            <w:r w:rsidRPr="00092B73">
              <w:rPr>
                <w:rFonts w:ascii="Sylfaen" w:eastAsia="Sylfaen" w:hAnsi="Sylfaen" w:cs="Sylfaen"/>
                <w:sz w:val="16"/>
              </w:rPr>
              <w:t>სეპარაცია</w:t>
            </w:r>
            <w:r w:rsidRPr="00092B73">
              <w:rPr>
                <w:rFonts w:eastAsia="Sylfaen"/>
                <w:sz w:val="16"/>
              </w:rPr>
              <w:t xml:space="preserve"> </w:t>
            </w:r>
            <w:r w:rsidRPr="00092B73">
              <w:rPr>
                <w:rFonts w:ascii="Sylfaen" w:eastAsia="Sylfaen" w:hAnsi="Sylfaen" w:cs="Sylfaen"/>
                <w:sz w:val="16"/>
              </w:rPr>
              <w:t>მათი</w:t>
            </w:r>
            <w:r w:rsidRPr="00092B73">
              <w:rPr>
                <w:rFonts w:eastAsia="Sylfaen"/>
                <w:sz w:val="16"/>
              </w:rPr>
              <w:t xml:space="preserve"> </w:t>
            </w:r>
            <w:r w:rsidRPr="00092B73">
              <w:rPr>
                <w:rFonts w:ascii="Sylfaen" w:eastAsia="Sylfaen" w:hAnsi="Sylfaen" w:cs="Sylfaen"/>
                <w:sz w:val="16"/>
              </w:rPr>
              <w:t>ეფექტური</w:t>
            </w:r>
            <w:r w:rsidRPr="00092B73">
              <w:rPr>
                <w:rFonts w:eastAsia="Sylfaen"/>
                <w:sz w:val="16"/>
              </w:rPr>
              <w:t xml:space="preserve"> </w:t>
            </w:r>
            <w:r w:rsidRPr="00092B73">
              <w:rPr>
                <w:rFonts w:ascii="Sylfaen" w:eastAsia="Sylfaen" w:hAnsi="Sylfaen" w:cs="Sylfaen"/>
                <w:sz w:val="16"/>
              </w:rPr>
              <w:t>მართვის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ხელახლა</w:t>
            </w:r>
            <w:r w:rsidRPr="00092B73">
              <w:rPr>
                <w:rFonts w:eastAsia="Sylfaen"/>
                <w:sz w:val="16"/>
              </w:rPr>
              <w:t xml:space="preserve"> </w:t>
            </w:r>
            <w:r w:rsidRPr="00092B73">
              <w:rPr>
                <w:rFonts w:ascii="Sylfaen" w:eastAsia="Sylfaen" w:hAnsi="Sylfaen" w:cs="Sylfaen"/>
                <w:sz w:val="16"/>
              </w:rPr>
              <w:t>გამოყენებისთვის</w:t>
            </w:r>
            <w:r w:rsidRPr="00092B73">
              <w:rPr>
                <w:rFonts w:eastAsia="Sylfaen"/>
                <w:sz w:val="16"/>
              </w:rPr>
              <w:t>.</w:t>
            </w:r>
          </w:p>
          <w:p w14:paraId="6B4849AD" w14:textId="4E1F1BD9"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გამოსაყენებლად</w:t>
            </w:r>
            <w:r w:rsidRPr="00092B73">
              <w:rPr>
                <w:rFonts w:eastAsia="Sylfaen"/>
                <w:sz w:val="16"/>
              </w:rPr>
              <w:tab/>
            </w:r>
            <w:r w:rsidRPr="00092B73">
              <w:rPr>
                <w:rFonts w:ascii="Sylfaen" w:eastAsia="Sylfaen" w:hAnsi="Sylfaen" w:cs="Sylfaen"/>
                <w:sz w:val="16"/>
              </w:rPr>
              <w:t>ვარგისი</w:t>
            </w:r>
            <w:r w:rsidRPr="00092B73">
              <w:rPr>
                <w:rFonts w:eastAsia="Sylfaen"/>
                <w:sz w:val="16"/>
              </w:rPr>
              <w:tab/>
            </w:r>
            <w:r w:rsidRPr="00092B73">
              <w:rPr>
                <w:rFonts w:ascii="Sylfaen" w:eastAsia="Sylfaen" w:hAnsi="Sylfaen" w:cs="Sylfaen"/>
                <w:sz w:val="16"/>
              </w:rPr>
              <w:t>ნარჩენები</w:t>
            </w:r>
            <w:r w:rsidRPr="00092B73">
              <w:rPr>
                <w:rFonts w:eastAsia="Sylfaen"/>
                <w:sz w:val="16"/>
              </w:rPr>
              <w:t xml:space="preserve"> </w:t>
            </w:r>
            <w:r w:rsidRPr="00092B73">
              <w:rPr>
                <w:rFonts w:ascii="Sylfaen" w:eastAsia="Sylfaen" w:hAnsi="Sylfaen" w:cs="Sylfaen"/>
                <w:sz w:val="16"/>
              </w:rPr>
              <w:t>გამოიყენება</w:t>
            </w:r>
            <w:r w:rsidRPr="00092B73">
              <w:rPr>
                <w:rFonts w:eastAsia="Sylfaen"/>
                <w:sz w:val="16"/>
              </w:rPr>
              <w:t xml:space="preserve"> </w:t>
            </w:r>
            <w:r w:rsidRPr="00092B73">
              <w:rPr>
                <w:rFonts w:ascii="Sylfaen" w:eastAsia="Sylfaen" w:hAnsi="Sylfaen" w:cs="Sylfaen"/>
                <w:sz w:val="16"/>
              </w:rPr>
              <w:t>პროექტის</w:t>
            </w:r>
            <w:r w:rsidRPr="00092B73">
              <w:rPr>
                <w:rFonts w:eastAsia="Sylfaen"/>
                <w:sz w:val="16"/>
              </w:rPr>
              <w:t xml:space="preserve"> </w:t>
            </w:r>
            <w:r w:rsidRPr="00092B73">
              <w:rPr>
                <w:rFonts w:ascii="Sylfaen" w:eastAsia="Sylfaen" w:hAnsi="Sylfaen" w:cs="Sylfaen"/>
                <w:sz w:val="16"/>
              </w:rPr>
              <w:t>მიზნებისთვის</w:t>
            </w:r>
            <w:r w:rsidRPr="00092B73">
              <w:rPr>
                <w:rFonts w:eastAsia="Sylfaen"/>
                <w:sz w:val="16"/>
              </w:rPr>
              <w:t xml:space="preserve">, </w:t>
            </w:r>
            <w:r w:rsidRPr="00092B73">
              <w:rPr>
                <w:rFonts w:ascii="Sylfaen" w:eastAsia="Sylfaen" w:hAnsi="Sylfaen" w:cs="Sylfaen"/>
                <w:sz w:val="16"/>
              </w:rPr>
              <w:t>ან</w:t>
            </w:r>
            <w:r w:rsidRPr="00092B73">
              <w:rPr>
                <w:rFonts w:eastAsia="Sylfaen"/>
                <w:sz w:val="16"/>
              </w:rPr>
              <w:t xml:space="preserve"> </w:t>
            </w:r>
            <w:r w:rsidRPr="00092B73">
              <w:rPr>
                <w:rFonts w:ascii="Sylfaen" w:eastAsia="Sylfaen" w:hAnsi="Sylfaen" w:cs="Sylfaen"/>
                <w:sz w:val="16"/>
              </w:rPr>
              <w:t>ადგილობრივ</w:t>
            </w:r>
            <w:r w:rsidRPr="00092B73">
              <w:rPr>
                <w:rFonts w:eastAsia="Sylfaen"/>
                <w:sz w:val="16"/>
              </w:rPr>
              <w:tab/>
            </w:r>
            <w:r w:rsidRPr="00092B73">
              <w:rPr>
                <w:rFonts w:ascii="Sylfaen" w:eastAsia="Sylfaen" w:hAnsi="Sylfaen" w:cs="Sylfaen"/>
                <w:sz w:val="16"/>
              </w:rPr>
              <w:t>ხელმძღვანელობასთან</w:t>
            </w:r>
            <w:r w:rsidRPr="00092B73">
              <w:rPr>
                <w:rFonts w:eastAsia="Sylfaen"/>
                <w:sz w:val="16"/>
              </w:rPr>
              <w:t xml:space="preserve"> </w:t>
            </w:r>
            <w:r w:rsidRPr="00092B73">
              <w:rPr>
                <w:rFonts w:ascii="Sylfaen" w:eastAsia="Sylfaen" w:hAnsi="Sylfaen" w:cs="Sylfaen"/>
                <w:sz w:val="16"/>
              </w:rPr>
              <w:t>შეთანხმებით</w:t>
            </w:r>
            <w:r w:rsidRPr="00092B73">
              <w:rPr>
                <w:rFonts w:eastAsia="Sylfaen"/>
                <w:sz w:val="16"/>
              </w:rPr>
              <w:t xml:space="preserve"> - </w:t>
            </w:r>
            <w:r w:rsidRPr="00092B73">
              <w:rPr>
                <w:rFonts w:ascii="Sylfaen" w:eastAsia="Sylfaen" w:hAnsi="Sylfaen" w:cs="Sylfaen"/>
                <w:sz w:val="16"/>
              </w:rPr>
              <w:t>რეგიონის</w:t>
            </w:r>
            <w:r w:rsidRPr="00092B73">
              <w:rPr>
                <w:rFonts w:eastAsia="Sylfaen"/>
                <w:sz w:val="16"/>
              </w:rPr>
              <w:t xml:space="preserve"> </w:t>
            </w:r>
            <w:r w:rsidRPr="00092B73">
              <w:rPr>
                <w:rFonts w:ascii="Sylfaen" w:eastAsia="Sylfaen" w:hAnsi="Sylfaen" w:cs="Sylfaen"/>
                <w:sz w:val="16"/>
              </w:rPr>
              <w:t>საჭიროებისთვის</w:t>
            </w:r>
            <w:r w:rsidRPr="00092B73">
              <w:rPr>
                <w:rFonts w:eastAsia="Sylfaen"/>
                <w:sz w:val="16"/>
              </w:rPr>
              <w:t xml:space="preserve">. </w:t>
            </w:r>
            <w:r w:rsidRPr="00092B73">
              <w:rPr>
                <w:rFonts w:ascii="Sylfaen" w:eastAsia="Sylfaen" w:hAnsi="Sylfaen" w:cs="Sylfaen"/>
                <w:sz w:val="16"/>
              </w:rPr>
              <w:t>გამოსაყენებლად</w:t>
            </w:r>
            <w:r w:rsidRPr="00092B73">
              <w:rPr>
                <w:rFonts w:eastAsia="Sylfaen"/>
                <w:sz w:val="16"/>
              </w:rPr>
              <w:t xml:space="preserve"> </w:t>
            </w:r>
            <w:r w:rsidRPr="00092B73">
              <w:rPr>
                <w:rFonts w:ascii="Sylfaen" w:eastAsia="Sylfaen" w:hAnsi="Sylfaen" w:cs="Sylfaen"/>
                <w:sz w:val="16"/>
              </w:rPr>
              <w:t>უვარგისი</w:t>
            </w:r>
            <w:r w:rsidRPr="00092B73">
              <w:rPr>
                <w:rFonts w:eastAsia="Sylfaen"/>
                <w:sz w:val="16"/>
              </w:rPr>
              <w:t xml:space="preserve">- </w:t>
            </w:r>
            <w:r w:rsidRPr="00092B73">
              <w:rPr>
                <w:rFonts w:ascii="Sylfaen" w:eastAsia="Sylfaen" w:hAnsi="Sylfaen" w:cs="Sylfaen"/>
                <w:sz w:val="16"/>
              </w:rPr>
              <w:t>გატანილ</w:t>
            </w:r>
            <w:r w:rsidRPr="00092B73">
              <w:rPr>
                <w:rFonts w:eastAsia="Sylfaen"/>
                <w:sz w:val="16"/>
              </w:rPr>
              <w:t xml:space="preserve"> </w:t>
            </w:r>
            <w:r w:rsidRPr="00092B73">
              <w:rPr>
                <w:rFonts w:ascii="Sylfaen" w:eastAsia="Sylfaen" w:hAnsi="Sylfaen" w:cs="Sylfaen"/>
                <w:sz w:val="16"/>
              </w:rPr>
              <w:t>იქნება</w:t>
            </w:r>
            <w:r w:rsidRPr="00092B73">
              <w:rPr>
                <w:rFonts w:eastAsia="Sylfaen"/>
                <w:sz w:val="16"/>
              </w:rPr>
              <w:t xml:space="preserve"> </w:t>
            </w:r>
            <w:r w:rsidRPr="00092B73">
              <w:rPr>
                <w:rFonts w:ascii="Sylfaen" w:eastAsia="Sylfaen" w:hAnsi="Sylfaen" w:cs="Sylfaen"/>
                <w:sz w:val="16"/>
              </w:rPr>
              <w:t>ნაგავსაყრელზე</w:t>
            </w:r>
            <w:r w:rsidR="00C6605E">
              <w:rPr>
                <w:rFonts w:ascii="Sylfaen" w:eastAsia="Sylfaen" w:hAnsi="Sylfaen" w:cs="Sylfaen"/>
                <w:sz w:val="16"/>
                <w:lang w:val="ka-GE"/>
              </w:rPr>
              <w:t xml:space="preserve"> </w:t>
            </w:r>
            <w:r w:rsidRPr="00092B73">
              <w:rPr>
                <w:rFonts w:ascii="Sylfaen" w:eastAsia="Sylfaen" w:hAnsi="Sylfaen" w:cs="Sylfaen"/>
                <w:sz w:val="16"/>
              </w:rPr>
              <w:t>მუნიციპალიტეტთან</w:t>
            </w:r>
            <w:r w:rsidRPr="00092B73">
              <w:rPr>
                <w:rFonts w:eastAsia="Sylfaen"/>
                <w:sz w:val="16"/>
              </w:rPr>
              <w:t xml:space="preserve"> </w:t>
            </w:r>
            <w:r w:rsidRPr="00092B73">
              <w:rPr>
                <w:rFonts w:ascii="Sylfaen" w:eastAsia="Sylfaen" w:hAnsi="Sylfaen" w:cs="Sylfaen"/>
                <w:sz w:val="16"/>
              </w:rPr>
              <w:t>შეთანხმებით</w:t>
            </w:r>
            <w:r w:rsidRPr="00092B73">
              <w:rPr>
                <w:rFonts w:eastAsia="Sylfaen"/>
                <w:sz w:val="16"/>
              </w:rPr>
              <w:t>.</w:t>
            </w:r>
          </w:p>
          <w:p w14:paraId="4F3F74BF"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პერსონალის</w:t>
            </w:r>
            <w:r w:rsidRPr="00092B73">
              <w:rPr>
                <w:rFonts w:eastAsia="Sylfaen"/>
                <w:sz w:val="16"/>
              </w:rPr>
              <w:t xml:space="preserve"> </w:t>
            </w:r>
            <w:r w:rsidRPr="00092B73">
              <w:rPr>
                <w:rFonts w:ascii="Sylfaen" w:eastAsia="Sylfaen" w:hAnsi="Sylfaen" w:cs="Sylfaen"/>
                <w:sz w:val="16"/>
              </w:rPr>
              <w:t>ინსტრუქტაჟი</w:t>
            </w:r>
          </w:p>
        </w:tc>
        <w:tc>
          <w:tcPr>
            <w:tcW w:w="2340" w:type="dxa"/>
            <w:tcBorders>
              <w:top w:val="single" w:sz="4" w:space="0" w:color="auto"/>
              <w:left w:val="single" w:sz="6" w:space="0" w:color="000000"/>
              <w:bottom w:val="single" w:sz="4" w:space="0" w:color="auto"/>
              <w:right w:val="single" w:sz="6" w:space="0" w:color="000000"/>
            </w:tcBorders>
            <w:hideMark/>
          </w:tcPr>
          <w:p w14:paraId="506EA9D0" w14:textId="77777777" w:rsidR="00092B73" w:rsidRPr="00092B73" w:rsidRDefault="00092B73" w:rsidP="000321C7">
            <w:pPr>
              <w:rPr>
                <w:rFonts w:eastAsia="Sylfaen"/>
                <w:sz w:val="16"/>
              </w:rPr>
            </w:pPr>
            <w:r w:rsidRPr="00092B73">
              <w:rPr>
                <w:rFonts w:ascii="Sylfaen" w:eastAsia="Sylfaen" w:hAnsi="Sylfaen" w:cs="Sylfaen"/>
                <w:sz w:val="16"/>
              </w:rPr>
              <w:t>დამატებით</w:t>
            </w:r>
            <w:r w:rsidRPr="00092B73">
              <w:rPr>
                <w:rFonts w:eastAsia="Sylfaen"/>
                <w:sz w:val="16"/>
              </w:rPr>
              <w:t xml:space="preserve"> </w:t>
            </w:r>
            <w:r w:rsidRPr="00092B73">
              <w:rPr>
                <w:rFonts w:ascii="Sylfaen" w:eastAsia="Sylfaen" w:hAnsi="Sylfaen" w:cs="Sylfaen"/>
                <w:sz w:val="16"/>
              </w:rPr>
              <w:t>ხარჯებს</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მოითხოვს</w:t>
            </w:r>
            <w:r w:rsidRPr="00092B73">
              <w:rPr>
                <w:rFonts w:eastAsia="Sylfaen"/>
                <w:sz w:val="16"/>
              </w:rPr>
              <w:t xml:space="preserve">. </w:t>
            </w:r>
            <w:r w:rsidRPr="00092B73">
              <w:rPr>
                <w:rFonts w:ascii="Sylfaen" w:eastAsia="Sylfaen" w:hAnsi="Sylfaen" w:cs="Sylfaen"/>
                <w:sz w:val="16"/>
              </w:rPr>
              <w:t>გარდა</w:t>
            </w:r>
          </w:p>
          <w:p w14:paraId="40757604" w14:textId="77777777" w:rsidR="00092B73" w:rsidRPr="00092B73" w:rsidRDefault="00092B73" w:rsidP="000321C7">
            <w:pPr>
              <w:rPr>
                <w:rFonts w:eastAsia="Sylfaen"/>
                <w:sz w:val="16"/>
                <w:lang w:val="ka-GE"/>
              </w:rPr>
            </w:pPr>
            <w:r w:rsidRPr="00092B73">
              <w:rPr>
                <w:rFonts w:ascii="Sylfaen" w:eastAsia="Sylfaen" w:hAnsi="Sylfaen" w:cs="Sylfaen"/>
                <w:sz w:val="16"/>
              </w:rPr>
              <w:t>ნარჩენების</w:t>
            </w:r>
            <w:r w:rsidRPr="00092B73">
              <w:rPr>
                <w:rFonts w:eastAsia="Sylfaen"/>
                <w:sz w:val="16"/>
              </w:rPr>
              <w:t xml:space="preserve"> </w:t>
            </w:r>
            <w:r w:rsidRPr="00092B73">
              <w:rPr>
                <w:rFonts w:ascii="Sylfaen" w:eastAsia="Sylfaen" w:hAnsi="Sylfaen" w:cs="Sylfaen"/>
                <w:sz w:val="16"/>
              </w:rPr>
              <w:t>ნაგავსაყრელზე</w:t>
            </w:r>
            <w:r w:rsidRPr="00092B73">
              <w:rPr>
                <w:rFonts w:eastAsia="Sylfaen"/>
                <w:sz w:val="16"/>
              </w:rPr>
              <w:t xml:space="preserve"> </w:t>
            </w:r>
            <w:r w:rsidRPr="00092B73">
              <w:rPr>
                <w:rFonts w:ascii="Sylfaen" w:eastAsia="Sylfaen" w:hAnsi="Sylfaen" w:cs="Sylfaen"/>
                <w:sz w:val="16"/>
              </w:rPr>
              <w:t>გატანისმომსახურების</w:t>
            </w:r>
            <w:r w:rsidRPr="00092B73">
              <w:rPr>
                <w:rFonts w:eastAsia="Sylfaen"/>
                <w:sz w:val="16"/>
              </w:rPr>
              <w:t xml:space="preserve"> </w:t>
            </w:r>
            <w:r w:rsidRPr="00092B73">
              <w:rPr>
                <w:rFonts w:ascii="Sylfaen" w:eastAsia="Sylfaen" w:hAnsi="Sylfaen" w:cs="Sylfaen"/>
                <w:sz w:val="16"/>
              </w:rPr>
              <w:t>თვის</w:t>
            </w:r>
            <w:r w:rsidRPr="00092B73">
              <w:rPr>
                <w:rFonts w:eastAsia="Sylfaen"/>
                <w:sz w:val="16"/>
              </w:rPr>
              <w:t xml:space="preserve"> </w:t>
            </w:r>
            <w:r w:rsidRPr="00092B73">
              <w:rPr>
                <w:rFonts w:ascii="Sylfaen" w:eastAsia="Sylfaen" w:hAnsi="Sylfaen" w:cs="Sylfaen"/>
                <w:sz w:val="16"/>
              </w:rPr>
              <w:t>გასაწევისა</w:t>
            </w:r>
            <w:r w:rsidRPr="00092B73">
              <w:rPr>
                <w:rFonts w:eastAsia="Sylfaen"/>
                <w:sz w:val="16"/>
              </w:rPr>
              <w:t xml:space="preserve"> (</w:t>
            </w:r>
            <w:r w:rsidRPr="00092B73">
              <w:rPr>
                <w:rFonts w:ascii="Sylfaen" w:eastAsia="Sylfaen" w:hAnsi="Sylfaen" w:cs="Sylfaen"/>
                <w:sz w:val="16"/>
              </w:rPr>
              <w:t>კონტრაქტის</w:t>
            </w:r>
            <w:r w:rsidRPr="00092B73">
              <w:rPr>
                <w:rFonts w:eastAsia="Sylfaen"/>
                <w:sz w:val="16"/>
              </w:rPr>
              <w:t xml:space="preserve"> </w:t>
            </w:r>
            <w:r w:rsidRPr="00092B73">
              <w:rPr>
                <w:rFonts w:ascii="Sylfaen" w:eastAsia="Sylfaen" w:hAnsi="Sylfaen" w:cs="Sylfaen"/>
                <w:sz w:val="16"/>
              </w:rPr>
              <w:t>საფუძველზე</w:t>
            </w:r>
            <w:r w:rsidRPr="00092B73">
              <w:rPr>
                <w:rFonts w:eastAsia="Sylfaen"/>
                <w:sz w:val="16"/>
              </w:rPr>
              <w:t xml:space="preserve">) </w:t>
            </w:r>
            <w:r w:rsidRPr="00092B73">
              <w:rPr>
                <w:rFonts w:ascii="Sylfaen" w:eastAsia="Sylfaen" w:hAnsi="Sylfaen" w:cs="Sylfaen"/>
                <w:sz w:val="16"/>
              </w:rPr>
              <w:t>ნავარაუდევი</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არის</w:t>
            </w:r>
            <w:r w:rsidRPr="00092B73">
              <w:rPr>
                <w:rFonts w:eastAsia="Sylfaen"/>
                <w:sz w:val="16"/>
              </w:rPr>
              <w:t>. (</w:t>
            </w:r>
            <w:r w:rsidRPr="00092B73">
              <w:rPr>
                <w:rFonts w:ascii="Sylfaen" w:eastAsia="Sylfaen" w:hAnsi="Sylfaen" w:cs="Sylfaen"/>
                <w:sz w:val="16"/>
              </w:rPr>
              <w:t>გათვალისაწინებულია</w:t>
            </w:r>
            <w:r w:rsidRPr="00092B73">
              <w:rPr>
                <w:rFonts w:eastAsia="Sylfaen"/>
                <w:sz w:val="16"/>
              </w:rPr>
              <w:t xml:space="preserve"> </w:t>
            </w:r>
            <w:r w:rsidRPr="00092B73">
              <w:rPr>
                <w:rFonts w:ascii="Sylfaen" w:eastAsia="Sylfaen" w:hAnsi="Sylfaen" w:cs="Sylfaen"/>
                <w:sz w:val="16"/>
              </w:rPr>
              <w:t>კონტრაქტში</w:t>
            </w:r>
            <w:r w:rsidRPr="00092B73">
              <w:rPr>
                <w:rFonts w:eastAsia="Sylfaen"/>
                <w:sz w:val="16"/>
              </w:rPr>
              <w:t>)</w:t>
            </w:r>
          </w:p>
        </w:tc>
        <w:tc>
          <w:tcPr>
            <w:tcW w:w="1204" w:type="dxa"/>
            <w:tcBorders>
              <w:top w:val="single" w:sz="4" w:space="0" w:color="auto"/>
              <w:left w:val="single" w:sz="6" w:space="0" w:color="000000"/>
              <w:bottom w:val="single" w:sz="4" w:space="0" w:color="auto"/>
              <w:right w:val="single" w:sz="6" w:space="0" w:color="000000"/>
            </w:tcBorders>
            <w:hideMark/>
          </w:tcPr>
          <w:p w14:paraId="753D4F0B" w14:textId="77777777" w:rsidR="00092B73" w:rsidRPr="00092B73" w:rsidRDefault="00092B73" w:rsidP="000321C7">
            <w:pPr>
              <w:rPr>
                <w:rFonts w:eastAsia="Sylfaen"/>
                <w:sz w:val="16"/>
                <w:lang w:val="en-US"/>
              </w:rPr>
            </w:pPr>
            <w:r w:rsidRPr="00092B73">
              <w:rPr>
                <w:rFonts w:ascii="Sylfaen" w:eastAsia="Sylfaen" w:hAnsi="Sylfaen" w:cs="Sylfaen"/>
                <w:sz w:val="16"/>
              </w:rPr>
              <w:t>მშენებელი</w:t>
            </w:r>
            <w:r w:rsidRPr="00092B73">
              <w:rPr>
                <w:rFonts w:eastAsia="Sylfaen"/>
                <w:sz w:val="16"/>
              </w:rPr>
              <w:t xml:space="preserve"> </w:t>
            </w:r>
            <w:r w:rsidRPr="00092B73">
              <w:rPr>
                <w:rFonts w:ascii="Sylfaen" w:eastAsia="Sylfaen" w:hAnsi="Sylfaen" w:cs="Sylfaen"/>
                <w:sz w:val="16"/>
              </w:rPr>
              <w:t>კონტრაქტორი</w:t>
            </w:r>
          </w:p>
        </w:tc>
        <w:tc>
          <w:tcPr>
            <w:tcW w:w="1574" w:type="dxa"/>
            <w:tcBorders>
              <w:top w:val="single" w:sz="4" w:space="0" w:color="auto"/>
              <w:left w:val="single" w:sz="6" w:space="0" w:color="000000"/>
              <w:bottom w:val="single" w:sz="4" w:space="0" w:color="auto"/>
              <w:right w:val="single" w:sz="6" w:space="0" w:color="000000"/>
            </w:tcBorders>
            <w:hideMark/>
          </w:tcPr>
          <w:p w14:paraId="4C0E3FCC" w14:textId="77777777" w:rsidR="00092B73" w:rsidRPr="00092B73" w:rsidRDefault="00092B73" w:rsidP="000321C7">
            <w:pPr>
              <w:rPr>
                <w:rFonts w:eastAsia="Sylfaen"/>
                <w:sz w:val="16"/>
                <w:lang w:val="ka-GE"/>
              </w:rPr>
            </w:pPr>
            <w:r w:rsidRPr="00092B73">
              <w:rPr>
                <w:rFonts w:ascii="Sylfaen" w:eastAsia="Sylfaen" w:hAnsi="Sylfaen" w:cs="Sylfaen"/>
                <w:sz w:val="16"/>
              </w:rPr>
              <w:t>საგზაო</w:t>
            </w:r>
            <w:r w:rsidRPr="00092B73">
              <w:rPr>
                <w:rFonts w:eastAsia="Sylfaen"/>
                <w:sz w:val="16"/>
              </w:rPr>
              <w:t xml:space="preserve"> </w:t>
            </w:r>
            <w:r w:rsidRPr="00092B73">
              <w:rPr>
                <w:rFonts w:ascii="Sylfaen" w:eastAsia="Sylfaen" w:hAnsi="Sylfaen" w:cs="Sylfaen"/>
                <w:sz w:val="16"/>
              </w:rPr>
              <w:t>დეპარტამენტი</w:t>
            </w:r>
          </w:p>
          <w:p w14:paraId="59B2570A" w14:textId="77777777" w:rsidR="00092B73" w:rsidRPr="00092B73" w:rsidRDefault="00092B73" w:rsidP="000321C7">
            <w:pPr>
              <w:rPr>
                <w:rFonts w:eastAsia="Sylfaen"/>
                <w:sz w:val="16"/>
                <w:lang w:val="en-US"/>
              </w:rPr>
            </w:pPr>
            <w:r w:rsidRPr="00092B73">
              <w:rPr>
                <w:rFonts w:ascii="Sylfaen" w:eastAsia="Sylfaen" w:hAnsi="Sylfaen" w:cs="Sylfaen"/>
                <w:sz w:val="16"/>
              </w:rPr>
              <w:t>საზედამხედველო</w:t>
            </w:r>
            <w:r w:rsidRPr="00092B73">
              <w:rPr>
                <w:rFonts w:eastAsia="Sylfaen"/>
                <w:sz w:val="16"/>
              </w:rPr>
              <w:t xml:space="preserve"> </w:t>
            </w:r>
            <w:r w:rsidRPr="00092B73">
              <w:rPr>
                <w:rFonts w:ascii="Sylfaen" w:eastAsia="Sylfaen" w:hAnsi="Sylfaen" w:cs="Sylfaen"/>
                <w:sz w:val="16"/>
              </w:rPr>
              <w:t>კომპანია</w:t>
            </w:r>
          </w:p>
        </w:tc>
      </w:tr>
      <w:tr w:rsidR="00092B73" w:rsidRPr="00092B73" w14:paraId="26060EA3" w14:textId="77777777" w:rsidTr="00C6605E">
        <w:trPr>
          <w:gridAfter w:val="1"/>
          <w:wAfter w:w="12" w:type="dxa"/>
          <w:trHeight w:val="620"/>
        </w:trPr>
        <w:tc>
          <w:tcPr>
            <w:tcW w:w="1800" w:type="dxa"/>
            <w:tcBorders>
              <w:top w:val="single" w:sz="4" w:space="0" w:color="auto"/>
              <w:left w:val="single" w:sz="6" w:space="0" w:color="000000"/>
              <w:bottom w:val="single" w:sz="4" w:space="0" w:color="auto"/>
              <w:right w:val="single" w:sz="6" w:space="0" w:color="000000"/>
            </w:tcBorders>
            <w:hideMark/>
          </w:tcPr>
          <w:p w14:paraId="131F9CDD" w14:textId="77777777" w:rsidR="00092B73" w:rsidRPr="00092B73" w:rsidRDefault="00092B73" w:rsidP="000321C7">
            <w:pPr>
              <w:rPr>
                <w:sz w:val="16"/>
              </w:rPr>
            </w:pPr>
            <w:r w:rsidRPr="00092B73">
              <w:rPr>
                <w:rFonts w:ascii="Sylfaen" w:eastAsia="Sylfaen" w:hAnsi="Sylfaen" w:cs="Sylfaen"/>
                <w:sz w:val="16"/>
              </w:rPr>
              <w:t>გზების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ხიდების</w:t>
            </w:r>
            <w:r w:rsidRPr="00092B73">
              <w:rPr>
                <w:rFonts w:eastAsia="Sylfaen"/>
                <w:sz w:val="16"/>
              </w:rPr>
              <w:t xml:space="preserve"> </w:t>
            </w:r>
            <w:r w:rsidRPr="00092B73">
              <w:rPr>
                <w:rFonts w:ascii="Sylfaen" w:eastAsia="Sylfaen" w:hAnsi="Sylfaen" w:cs="Sylfaen"/>
                <w:sz w:val="16"/>
              </w:rPr>
              <w:t>მშენებლობა</w:t>
            </w:r>
            <w:r w:rsidRPr="00092B73">
              <w:rPr>
                <w:rFonts w:eastAsia="Sylfaen"/>
                <w:sz w:val="16"/>
              </w:rPr>
              <w:t xml:space="preserve">, </w:t>
            </w:r>
            <w:r w:rsidRPr="00092B73">
              <w:rPr>
                <w:rFonts w:ascii="Sylfaen" w:eastAsia="Sylfaen" w:hAnsi="Sylfaen" w:cs="Sylfaen"/>
                <w:sz w:val="16"/>
              </w:rPr>
              <w:t>გზისპირა</w:t>
            </w:r>
            <w:r w:rsidRPr="00092B73">
              <w:rPr>
                <w:rFonts w:eastAsia="Sylfaen"/>
                <w:sz w:val="16"/>
              </w:rPr>
              <w:t xml:space="preserve"> </w:t>
            </w:r>
            <w:r w:rsidRPr="00092B73">
              <w:rPr>
                <w:rFonts w:ascii="Sylfaen" w:eastAsia="Sylfaen" w:hAnsi="Sylfaen" w:cs="Sylfaen"/>
                <w:sz w:val="16"/>
              </w:rPr>
              <w:t>კონსტრუქციების</w:t>
            </w:r>
            <w:r w:rsidRPr="00092B73">
              <w:rPr>
                <w:rFonts w:eastAsia="Sylfaen"/>
                <w:sz w:val="16"/>
              </w:rPr>
              <w:t xml:space="preserve"> </w:t>
            </w:r>
            <w:r w:rsidRPr="00092B73">
              <w:rPr>
                <w:rFonts w:ascii="Sylfaen" w:eastAsia="Sylfaen" w:hAnsi="Sylfaen" w:cs="Sylfaen"/>
                <w:sz w:val="16"/>
              </w:rPr>
              <w:t>დაშლა</w:t>
            </w:r>
          </w:p>
        </w:tc>
        <w:tc>
          <w:tcPr>
            <w:tcW w:w="1788" w:type="dxa"/>
            <w:tcBorders>
              <w:top w:val="single" w:sz="4" w:space="0" w:color="auto"/>
              <w:left w:val="single" w:sz="6" w:space="0" w:color="000000"/>
              <w:bottom w:val="single" w:sz="4" w:space="0" w:color="auto"/>
              <w:right w:val="single" w:sz="6" w:space="0" w:color="000000"/>
            </w:tcBorders>
            <w:hideMark/>
          </w:tcPr>
          <w:p w14:paraId="3ED1743F" w14:textId="77777777" w:rsidR="00092B73" w:rsidRPr="00092B73" w:rsidRDefault="00092B73" w:rsidP="000321C7">
            <w:pPr>
              <w:rPr>
                <w:rFonts w:eastAsia="Sylfaen"/>
                <w:sz w:val="16"/>
              </w:rPr>
            </w:pPr>
            <w:r w:rsidRPr="00092B73">
              <w:rPr>
                <w:rFonts w:ascii="Sylfaen" w:eastAsia="Sylfaen" w:hAnsi="Sylfaen" w:cs="Sylfaen"/>
                <w:sz w:val="16"/>
              </w:rPr>
              <w:t>არასახიფათო</w:t>
            </w:r>
          </w:p>
          <w:p w14:paraId="046563F1" w14:textId="77777777" w:rsidR="00092B73" w:rsidRPr="00092B73" w:rsidRDefault="00092B73" w:rsidP="000321C7">
            <w:pPr>
              <w:rPr>
                <w:rFonts w:eastAsia="Sylfaen"/>
                <w:sz w:val="16"/>
              </w:rPr>
            </w:pPr>
            <w:r w:rsidRPr="00092B73">
              <w:rPr>
                <w:rFonts w:ascii="Sylfaen" w:eastAsia="Sylfaen" w:hAnsi="Sylfaen" w:cs="Sylfaen"/>
                <w:sz w:val="16"/>
              </w:rPr>
              <w:t>ინერტული</w:t>
            </w:r>
          </w:p>
          <w:p w14:paraId="40B7B9DE" w14:textId="77777777" w:rsidR="00092B73" w:rsidRPr="00092B73" w:rsidRDefault="00092B73" w:rsidP="000321C7">
            <w:pPr>
              <w:rPr>
                <w:rFonts w:eastAsia="Sylfaen"/>
                <w:sz w:val="16"/>
              </w:rPr>
            </w:pPr>
            <w:r w:rsidRPr="00092B73">
              <w:rPr>
                <w:rFonts w:ascii="Sylfaen" w:eastAsia="Sylfaen" w:hAnsi="Sylfaen" w:cs="Sylfaen"/>
                <w:sz w:val="16"/>
              </w:rPr>
              <w:t>ნარჩენების</w:t>
            </w:r>
          </w:p>
          <w:p w14:paraId="63623EA8" w14:textId="77777777" w:rsidR="00092B73" w:rsidRPr="00092B73" w:rsidRDefault="00092B73" w:rsidP="000321C7">
            <w:pPr>
              <w:rPr>
                <w:rFonts w:eastAsia="Sylfaen"/>
                <w:sz w:val="16"/>
              </w:rPr>
            </w:pPr>
            <w:r w:rsidRPr="00092B73">
              <w:rPr>
                <w:rFonts w:ascii="Sylfaen" w:eastAsia="Sylfaen" w:hAnsi="Sylfaen" w:cs="Sylfaen"/>
                <w:sz w:val="16"/>
              </w:rPr>
              <w:t>წარმოქმნა</w:t>
            </w:r>
          </w:p>
          <w:p w14:paraId="4B0A9809" w14:textId="77777777" w:rsidR="00092B73" w:rsidRPr="00092B73" w:rsidRDefault="00092B73" w:rsidP="000321C7">
            <w:pPr>
              <w:rPr>
                <w:rFonts w:eastAsia="Sylfaen"/>
                <w:sz w:val="16"/>
              </w:rPr>
            </w:pPr>
            <w:r w:rsidRPr="00092B73">
              <w:rPr>
                <w:rFonts w:ascii="Sylfaen" w:eastAsia="Sylfaen" w:hAnsi="Sylfaen" w:cs="Sylfaen"/>
                <w:sz w:val="16"/>
              </w:rPr>
              <w:t>დემონტაჟის</w:t>
            </w:r>
            <w:r w:rsidRPr="00092B73">
              <w:rPr>
                <w:rFonts w:eastAsia="Sylfaen"/>
                <w:sz w:val="16"/>
              </w:rPr>
              <w:t xml:space="preserve"> </w:t>
            </w:r>
            <w:r w:rsidRPr="00092B73">
              <w:rPr>
                <w:rFonts w:ascii="Sylfaen" w:eastAsia="Sylfaen" w:hAnsi="Sylfaen" w:cs="Sylfaen"/>
                <w:sz w:val="16"/>
              </w:rPr>
              <w:t>დროს</w:t>
            </w:r>
          </w:p>
        </w:tc>
        <w:tc>
          <w:tcPr>
            <w:tcW w:w="6838" w:type="dxa"/>
            <w:tcBorders>
              <w:top w:val="single" w:sz="4" w:space="0" w:color="auto"/>
              <w:left w:val="single" w:sz="6" w:space="0" w:color="000000"/>
              <w:bottom w:val="single" w:sz="4" w:space="0" w:color="auto"/>
              <w:right w:val="single" w:sz="6" w:space="0" w:color="000000"/>
            </w:tcBorders>
            <w:hideMark/>
          </w:tcPr>
          <w:p w14:paraId="2F7A6CAD" w14:textId="637DCF01"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ნარჩენების</w:t>
            </w:r>
            <w:r w:rsidRPr="00092B73">
              <w:rPr>
                <w:rFonts w:eastAsia="Sylfaen"/>
                <w:sz w:val="16"/>
              </w:rPr>
              <w:t xml:space="preserve">   </w:t>
            </w:r>
            <w:r w:rsidRPr="00092B73">
              <w:rPr>
                <w:rFonts w:ascii="Sylfaen" w:eastAsia="Sylfaen" w:hAnsi="Sylfaen" w:cs="Sylfaen"/>
                <w:sz w:val="16"/>
              </w:rPr>
              <w:t>მართვის</w:t>
            </w:r>
            <w:r w:rsidRPr="00092B73">
              <w:rPr>
                <w:rFonts w:eastAsia="Sylfaen"/>
                <w:sz w:val="16"/>
              </w:rPr>
              <w:t xml:space="preserve">   </w:t>
            </w:r>
            <w:r w:rsidRPr="00092B73">
              <w:rPr>
                <w:rFonts w:ascii="Sylfaen" w:eastAsia="Sylfaen" w:hAnsi="Sylfaen" w:cs="Sylfaen"/>
                <w:sz w:val="16"/>
              </w:rPr>
              <w:t>გეგმის</w:t>
            </w:r>
            <w:r w:rsidRPr="00092B73">
              <w:rPr>
                <w:rFonts w:eastAsia="Sylfaen"/>
                <w:sz w:val="16"/>
              </w:rPr>
              <w:t xml:space="preserve">   </w:t>
            </w:r>
            <w:r w:rsidRPr="00092B73">
              <w:rPr>
                <w:rFonts w:ascii="Sylfaen" w:eastAsia="Sylfaen" w:hAnsi="Sylfaen" w:cs="Sylfaen"/>
                <w:sz w:val="16"/>
              </w:rPr>
              <w:t>მომზადება</w:t>
            </w:r>
            <w:r w:rsidRPr="00092B73">
              <w:rPr>
                <w:rFonts w:eastAsia="Sylfaen"/>
                <w:sz w:val="16"/>
              </w:rPr>
              <w:t xml:space="preserve">   </w:t>
            </w:r>
            <w:r w:rsidRPr="00092B73">
              <w:rPr>
                <w:rFonts w:ascii="Sylfaen" w:eastAsia="Sylfaen" w:hAnsi="Sylfaen" w:cs="Sylfaen"/>
                <w:sz w:val="16"/>
              </w:rPr>
              <w:t>და</w:t>
            </w:r>
            <w:r w:rsidR="00C6605E">
              <w:rPr>
                <w:rFonts w:ascii="Sylfaen" w:eastAsia="Sylfaen" w:hAnsi="Sylfaen" w:cs="Sylfaen"/>
                <w:sz w:val="16"/>
                <w:lang w:val="ka-GE"/>
              </w:rPr>
              <w:t xml:space="preserve"> </w:t>
            </w:r>
            <w:r w:rsidRPr="00092B73">
              <w:rPr>
                <w:rFonts w:ascii="Sylfaen" w:eastAsia="Sylfaen" w:hAnsi="Sylfaen" w:cs="Sylfaen"/>
                <w:sz w:val="16"/>
              </w:rPr>
              <w:t>შესრულება</w:t>
            </w:r>
          </w:p>
          <w:p w14:paraId="06A7E252"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ინერტული</w:t>
            </w:r>
            <w:r w:rsidRPr="00092B73">
              <w:rPr>
                <w:rFonts w:eastAsia="Sylfaen"/>
                <w:sz w:val="16"/>
              </w:rPr>
              <w:t xml:space="preserve"> </w:t>
            </w:r>
            <w:r w:rsidRPr="00092B73">
              <w:rPr>
                <w:rFonts w:ascii="Sylfaen" w:eastAsia="Sylfaen" w:hAnsi="Sylfaen" w:cs="Sylfaen"/>
                <w:sz w:val="16"/>
              </w:rPr>
              <w:t>მასალის</w:t>
            </w:r>
            <w:r w:rsidRPr="00092B73">
              <w:rPr>
                <w:rFonts w:eastAsia="Sylfaen"/>
                <w:sz w:val="16"/>
              </w:rPr>
              <w:t xml:space="preserve"> </w:t>
            </w:r>
            <w:r w:rsidRPr="00092B73">
              <w:rPr>
                <w:rFonts w:ascii="Sylfaen" w:eastAsia="Sylfaen" w:hAnsi="Sylfaen" w:cs="Sylfaen"/>
                <w:sz w:val="16"/>
              </w:rPr>
              <w:t>განსათავსებლად</w:t>
            </w:r>
            <w:r w:rsidRPr="00092B73">
              <w:rPr>
                <w:rFonts w:eastAsia="Sylfaen"/>
                <w:sz w:val="16"/>
              </w:rPr>
              <w:t xml:space="preserve"> </w:t>
            </w:r>
            <w:r w:rsidRPr="00092B73">
              <w:rPr>
                <w:rFonts w:ascii="Sylfaen" w:eastAsia="Sylfaen" w:hAnsi="Sylfaen" w:cs="Sylfaen"/>
                <w:sz w:val="16"/>
              </w:rPr>
              <w:t>სამუშაო</w:t>
            </w:r>
            <w:r w:rsidRPr="00092B73">
              <w:rPr>
                <w:rFonts w:eastAsia="Sylfaen"/>
                <w:sz w:val="16"/>
              </w:rPr>
              <w:t xml:space="preserve"> </w:t>
            </w:r>
            <w:r w:rsidRPr="00092B73">
              <w:rPr>
                <w:rFonts w:ascii="Sylfaen" w:eastAsia="Sylfaen" w:hAnsi="Sylfaen" w:cs="Sylfaen"/>
                <w:sz w:val="16"/>
              </w:rPr>
              <w:t>უბნის</w:t>
            </w:r>
            <w:r w:rsidRPr="00092B73">
              <w:rPr>
                <w:rFonts w:eastAsia="Sylfaen"/>
                <w:sz w:val="16"/>
              </w:rPr>
              <w:t>/</w:t>
            </w:r>
            <w:r w:rsidRPr="00092B73">
              <w:rPr>
                <w:rFonts w:ascii="Sylfaen" w:eastAsia="Sylfaen" w:hAnsi="Sylfaen" w:cs="Sylfaen"/>
                <w:sz w:val="16"/>
              </w:rPr>
              <w:t>ბანაკის</w:t>
            </w:r>
            <w:r w:rsidRPr="00092B73">
              <w:rPr>
                <w:rFonts w:eastAsia="Sylfaen"/>
                <w:sz w:val="16"/>
              </w:rPr>
              <w:t xml:space="preserve"> </w:t>
            </w:r>
            <w:r w:rsidRPr="00092B73">
              <w:rPr>
                <w:rFonts w:ascii="Sylfaen" w:eastAsia="Sylfaen" w:hAnsi="Sylfaen" w:cs="Sylfaen"/>
                <w:sz w:val="16"/>
              </w:rPr>
              <w:t>ტერიტორიაზე</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გამოიყოს</w:t>
            </w:r>
            <w:r w:rsidRPr="00092B73">
              <w:rPr>
                <w:rFonts w:eastAsia="Sylfaen"/>
                <w:sz w:val="16"/>
              </w:rPr>
              <w:t xml:space="preserve"> </w:t>
            </w:r>
            <w:r w:rsidRPr="00092B73">
              <w:rPr>
                <w:rFonts w:ascii="Sylfaen" w:eastAsia="Sylfaen" w:hAnsi="Sylfaen" w:cs="Sylfaen"/>
                <w:sz w:val="16"/>
              </w:rPr>
              <w:t>სპეციალური</w:t>
            </w:r>
            <w:r w:rsidRPr="00092B73">
              <w:rPr>
                <w:rFonts w:eastAsia="Sylfaen"/>
                <w:sz w:val="16"/>
              </w:rPr>
              <w:t xml:space="preserve"> </w:t>
            </w:r>
            <w:r w:rsidRPr="00092B73">
              <w:rPr>
                <w:rFonts w:ascii="Sylfaen" w:eastAsia="Sylfaen" w:hAnsi="Sylfaen" w:cs="Sylfaen"/>
                <w:sz w:val="16"/>
              </w:rPr>
              <w:t>უბანი</w:t>
            </w:r>
            <w:r w:rsidRPr="00092B73">
              <w:rPr>
                <w:rFonts w:eastAsia="Sylfaen"/>
                <w:sz w:val="16"/>
              </w:rPr>
              <w:t xml:space="preserve"> </w:t>
            </w:r>
            <w:r w:rsidRPr="00092B73">
              <w:rPr>
                <w:rFonts w:ascii="Sylfaen" w:eastAsia="Sylfaen" w:hAnsi="Sylfaen" w:cs="Sylfaen"/>
                <w:sz w:val="16"/>
              </w:rPr>
              <w:t>ნარჩენების</w:t>
            </w:r>
            <w:r w:rsidRPr="00092B73">
              <w:rPr>
                <w:rFonts w:eastAsia="Sylfaen"/>
                <w:sz w:val="16"/>
              </w:rPr>
              <w:t xml:space="preserve"> </w:t>
            </w:r>
            <w:r w:rsidRPr="00092B73">
              <w:rPr>
                <w:rFonts w:ascii="Sylfaen" w:eastAsia="Sylfaen" w:hAnsi="Sylfaen" w:cs="Sylfaen"/>
                <w:sz w:val="16"/>
              </w:rPr>
              <w:t>განთავსების</w:t>
            </w:r>
            <w:r w:rsidRPr="00092B73">
              <w:rPr>
                <w:rFonts w:eastAsia="Sylfaen"/>
                <w:sz w:val="16"/>
              </w:rPr>
              <w:t xml:space="preserve"> </w:t>
            </w:r>
            <w:r w:rsidRPr="00092B73">
              <w:rPr>
                <w:rFonts w:ascii="Sylfaen" w:eastAsia="Sylfaen" w:hAnsi="Sylfaen" w:cs="Sylfaen"/>
                <w:sz w:val="16"/>
              </w:rPr>
              <w:t>ადგილი</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უშლიდეს</w:t>
            </w:r>
            <w:r w:rsidRPr="00092B73">
              <w:rPr>
                <w:rFonts w:eastAsia="Sylfaen"/>
                <w:sz w:val="16"/>
              </w:rPr>
              <w:t xml:space="preserve"> </w:t>
            </w:r>
            <w:r w:rsidRPr="00092B73">
              <w:rPr>
                <w:rFonts w:ascii="Sylfaen" w:eastAsia="Sylfaen" w:hAnsi="Sylfaen" w:cs="Sylfaen"/>
                <w:sz w:val="16"/>
              </w:rPr>
              <w:t>ხელს</w:t>
            </w:r>
            <w:r w:rsidRPr="00092B73">
              <w:rPr>
                <w:rFonts w:eastAsia="Sylfaen"/>
                <w:sz w:val="16"/>
              </w:rPr>
              <w:t xml:space="preserve"> </w:t>
            </w:r>
            <w:r w:rsidRPr="00092B73">
              <w:rPr>
                <w:rFonts w:ascii="Sylfaen" w:eastAsia="Sylfaen" w:hAnsi="Sylfaen" w:cs="Sylfaen"/>
                <w:sz w:val="16"/>
              </w:rPr>
              <w:t>თავისუფალ</w:t>
            </w:r>
            <w:r w:rsidRPr="00092B73">
              <w:rPr>
                <w:rFonts w:eastAsia="Sylfaen"/>
                <w:sz w:val="16"/>
              </w:rPr>
              <w:t xml:space="preserve"> </w:t>
            </w:r>
            <w:r w:rsidRPr="00092B73">
              <w:rPr>
                <w:rFonts w:ascii="Sylfaen" w:eastAsia="Sylfaen" w:hAnsi="Sylfaen" w:cs="Sylfaen"/>
                <w:sz w:val="16"/>
              </w:rPr>
              <w:t>გადაადგილებას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განთავსდეს</w:t>
            </w:r>
            <w:r w:rsidRPr="00092B73">
              <w:rPr>
                <w:rFonts w:eastAsia="Sylfaen"/>
                <w:sz w:val="16"/>
              </w:rPr>
              <w:t xml:space="preserve"> </w:t>
            </w:r>
            <w:r w:rsidRPr="00092B73">
              <w:rPr>
                <w:rFonts w:ascii="Sylfaen" w:eastAsia="Sylfaen" w:hAnsi="Sylfaen" w:cs="Sylfaen"/>
                <w:sz w:val="16"/>
              </w:rPr>
              <w:t>წყლის</w:t>
            </w:r>
            <w:r w:rsidRPr="00092B73">
              <w:rPr>
                <w:rFonts w:eastAsia="Sylfaen"/>
                <w:sz w:val="16"/>
              </w:rPr>
              <w:t xml:space="preserve"> </w:t>
            </w:r>
            <w:r w:rsidRPr="00092B73">
              <w:rPr>
                <w:rFonts w:ascii="Sylfaen" w:eastAsia="Sylfaen" w:hAnsi="Sylfaen" w:cs="Sylfaen"/>
                <w:sz w:val="16"/>
              </w:rPr>
              <w:t>ობიექტიდან</w:t>
            </w:r>
            <w:r w:rsidRPr="00092B73">
              <w:rPr>
                <w:rFonts w:eastAsia="Sylfaen"/>
                <w:sz w:val="16"/>
              </w:rPr>
              <w:t xml:space="preserve"> </w:t>
            </w:r>
            <w:r w:rsidRPr="00092B73">
              <w:rPr>
                <w:rFonts w:ascii="Sylfaen" w:eastAsia="Sylfaen" w:hAnsi="Sylfaen" w:cs="Sylfaen"/>
                <w:sz w:val="16"/>
              </w:rPr>
              <w:t>არანაკლებ</w:t>
            </w:r>
            <w:r w:rsidRPr="00092B73">
              <w:rPr>
                <w:rFonts w:eastAsia="Sylfaen"/>
                <w:sz w:val="16"/>
              </w:rPr>
              <w:t xml:space="preserve"> 100</w:t>
            </w:r>
            <w:r w:rsidRPr="00092B73">
              <w:rPr>
                <w:rFonts w:ascii="Sylfaen" w:eastAsia="Sylfaen" w:hAnsi="Sylfaen" w:cs="Sylfaen"/>
                <w:sz w:val="16"/>
              </w:rPr>
              <w:t>მ</w:t>
            </w:r>
            <w:r w:rsidRPr="00092B73">
              <w:rPr>
                <w:rFonts w:eastAsia="Sylfaen"/>
                <w:sz w:val="16"/>
              </w:rPr>
              <w:t xml:space="preserve"> </w:t>
            </w:r>
            <w:r w:rsidRPr="00092B73">
              <w:rPr>
                <w:rFonts w:ascii="Sylfaen" w:eastAsia="Sylfaen" w:hAnsi="Sylfaen" w:cs="Sylfaen"/>
                <w:sz w:val="16"/>
              </w:rPr>
              <w:t>დაშორებით</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ხდებოდეს</w:t>
            </w:r>
            <w:r w:rsidRPr="00092B73">
              <w:rPr>
                <w:rFonts w:eastAsia="Sylfaen"/>
                <w:sz w:val="16"/>
              </w:rPr>
              <w:t xml:space="preserve"> </w:t>
            </w:r>
            <w:r w:rsidRPr="00092B73">
              <w:rPr>
                <w:rFonts w:ascii="Sylfaen" w:eastAsia="Sylfaen" w:hAnsi="Sylfaen" w:cs="Sylfaen"/>
                <w:sz w:val="16"/>
              </w:rPr>
              <w:t>ნარჩენების</w:t>
            </w:r>
            <w:r w:rsidRPr="00092B73">
              <w:rPr>
                <w:rFonts w:eastAsia="Sylfaen"/>
                <w:sz w:val="16"/>
              </w:rPr>
              <w:t xml:space="preserve"> </w:t>
            </w:r>
            <w:r w:rsidRPr="00092B73">
              <w:rPr>
                <w:rFonts w:ascii="Sylfaen" w:eastAsia="Sylfaen" w:hAnsi="Sylfaen" w:cs="Sylfaen"/>
                <w:sz w:val="16"/>
              </w:rPr>
              <w:t>სეპარაცია</w:t>
            </w:r>
            <w:r w:rsidRPr="00092B73">
              <w:rPr>
                <w:rFonts w:eastAsia="Sylfaen"/>
                <w:sz w:val="16"/>
              </w:rPr>
              <w:t xml:space="preserve"> </w:t>
            </w:r>
            <w:r w:rsidRPr="00092B73">
              <w:rPr>
                <w:rFonts w:ascii="Sylfaen" w:eastAsia="Sylfaen" w:hAnsi="Sylfaen" w:cs="Sylfaen"/>
                <w:sz w:val="16"/>
              </w:rPr>
              <w:t>მათი</w:t>
            </w:r>
            <w:r w:rsidRPr="00092B73">
              <w:rPr>
                <w:rFonts w:eastAsia="Sylfaen"/>
                <w:sz w:val="16"/>
              </w:rPr>
              <w:t xml:space="preserve"> </w:t>
            </w:r>
            <w:r w:rsidRPr="00092B73">
              <w:rPr>
                <w:rFonts w:ascii="Sylfaen" w:eastAsia="Sylfaen" w:hAnsi="Sylfaen" w:cs="Sylfaen"/>
                <w:sz w:val="16"/>
              </w:rPr>
              <w:t>ეფექტური</w:t>
            </w:r>
            <w:r w:rsidRPr="00092B73">
              <w:rPr>
                <w:rFonts w:eastAsia="Sylfaen"/>
                <w:sz w:val="16"/>
              </w:rPr>
              <w:t xml:space="preserve"> </w:t>
            </w:r>
            <w:r w:rsidRPr="00092B73">
              <w:rPr>
                <w:rFonts w:ascii="Sylfaen" w:eastAsia="Sylfaen" w:hAnsi="Sylfaen" w:cs="Sylfaen"/>
                <w:sz w:val="16"/>
              </w:rPr>
              <w:t>მართვის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ხელახლა</w:t>
            </w:r>
            <w:r w:rsidRPr="00092B73">
              <w:rPr>
                <w:rFonts w:eastAsia="Sylfaen"/>
                <w:sz w:val="16"/>
              </w:rPr>
              <w:t xml:space="preserve"> </w:t>
            </w:r>
            <w:r w:rsidRPr="00092B73">
              <w:rPr>
                <w:rFonts w:ascii="Sylfaen" w:eastAsia="Sylfaen" w:hAnsi="Sylfaen" w:cs="Sylfaen"/>
                <w:sz w:val="16"/>
              </w:rPr>
              <w:t>გამოყენებისთვის</w:t>
            </w:r>
            <w:r w:rsidRPr="00092B73">
              <w:rPr>
                <w:rFonts w:eastAsia="Sylfaen"/>
                <w:sz w:val="16"/>
              </w:rPr>
              <w:t>.</w:t>
            </w:r>
          </w:p>
          <w:p w14:paraId="71A2237A" w14:textId="77777777" w:rsidR="00092B73" w:rsidRPr="00092B73" w:rsidRDefault="00092B73" w:rsidP="000321C7">
            <w:pPr>
              <w:rPr>
                <w:rFonts w:eastAsia="Sylfaen"/>
                <w:sz w:val="16"/>
              </w:rPr>
            </w:pPr>
            <w:r w:rsidRPr="00092B73">
              <w:rPr>
                <w:rFonts w:eastAsia="Symbol"/>
                <w:sz w:val="16"/>
              </w:rPr>
              <w:lastRenderedPageBreak/>
              <w:t xml:space="preserve">·  </w:t>
            </w:r>
            <w:r w:rsidRPr="00092B73">
              <w:rPr>
                <w:rFonts w:ascii="Sylfaen" w:eastAsia="Sylfaen" w:hAnsi="Sylfaen" w:cs="Sylfaen"/>
                <w:sz w:val="16"/>
              </w:rPr>
              <w:t>გამოსაყენებლად</w:t>
            </w:r>
            <w:r w:rsidRPr="00092B73">
              <w:rPr>
                <w:rFonts w:eastAsia="Sylfaen"/>
                <w:sz w:val="16"/>
              </w:rPr>
              <w:tab/>
            </w:r>
            <w:r w:rsidRPr="00092B73">
              <w:rPr>
                <w:rFonts w:ascii="Sylfaen" w:eastAsia="Sylfaen" w:hAnsi="Sylfaen" w:cs="Sylfaen"/>
                <w:sz w:val="16"/>
              </w:rPr>
              <w:t>ვარგისი</w:t>
            </w:r>
            <w:r w:rsidRPr="00092B73">
              <w:rPr>
                <w:rFonts w:eastAsia="Sylfaen"/>
                <w:sz w:val="16"/>
              </w:rPr>
              <w:tab/>
            </w:r>
            <w:r w:rsidRPr="00092B73">
              <w:rPr>
                <w:rFonts w:ascii="Sylfaen" w:eastAsia="Sylfaen" w:hAnsi="Sylfaen" w:cs="Sylfaen"/>
                <w:sz w:val="16"/>
              </w:rPr>
              <w:t>ნარჩენები</w:t>
            </w:r>
            <w:r w:rsidRPr="00092B73">
              <w:rPr>
                <w:rFonts w:eastAsia="Sylfaen"/>
                <w:sz w:val="16"/>
              </w:rPr>
              <w:t xml:space="preserve"> </w:t>
            </w:r>
            <w:r w:rsidRPr="00092B73">
              <w:rPr>
                <w:rFonts w:ascii="Sylfaen" w:eastAsia="Sylfaen" w:hAnsi="Sylfaen" w:cs="Sylfaen"/>
                <w:sz w:val="16"/>
              </w:rPr>
              <w:t>გამოიყენება</w:t>
            </w:r>
            <w:r w:rsidRPr="00092B73">
              <w:rPr>
                <w:rFonts w:eastAsia="Sylfaen"/>
                <w:sz w:val="16"/>
              </w:rPr>
              <w:t xml:space="preserve"> </w:t>
            </w:r>
            <w:r w:rsidRPr="00092B73">
              <w:rPr>
                <w:rFonts w:ascii="Sylfaen" w:eastAsia="Sylfaen" w:hAnsi="Sylfaen" w:cs="Sylfaen"/>
                <w:sz w:val="16"/>
              </w:rPr>
              <w:t>პროექტის</w:t>
            </w:r>
            <w:r w:rsidRPr="00092B73">
              <w:rPr>
                <w:rFonts w:eastAsia="Sylfaen"/>
                <w:sz w:val="16"/>
              </w:rPr>
              <w:t xml:space="preserve"> </w:t>
            </w:r>
            <w:r w:rsidRPr="00092B73">
              <w:rPr>
                <w:rFonts w:ascii="Sylfaen" w:eastAsia="Sylfaen" w:hAnsi="Sylfaen" w:cs="Sylfaen"/>
                <w:sz w:val="16"/>
              </w:rPr>
              <w:t>მიზნებისთვის</w:t>
            </w:r>
            <w:r w:rsidRPr="00092B73">
              <w:rPr>
                <w:rFonts w:eastAsia="Sylfaen"/>
                <w:sz w:val="16"/>
              </w:rPr>
              <w:t xml:space="preserve">, </w:t>
            </w:r>
            <w:r w:rsidRPr="00092B73">
              <w:rPr>
                <w:rFonts w:ascii="Sylfaen" w:eastAsia="Sylfaen" w:hAnsi="Sylfaen" w:cs="Sylfaen"/>
                <w:sz w:val="16"/>
              </w:rPr>
              <w:t>ან</w:t>
            </w:r>
            <w:r w:rsidRPr="00092B73">
              <w:rPr>
                <w:rFonts w:eastAsia="Sylfaen"/>
                <w:sz w:val="16"/>
              </w:rPr>
              <w:t xml:space="preserve"> </w:t>
            </w:r>
            <w:r w:rsidRPr="00092B73">
              <w:rPr>
                <w:rFonts w:ascii="Sylfaen" w:eastAsia="Sylfaen" w:hAnsi="Sylfaen" w:cs="Sylfaen"/>
                <w:sz w:val="16"/>
              </w:rPr>
              <w:t>ადგილობრივ</w:t>
            </w:r>
            <w:r w:rsidRPr="00092B73">
              <w:rPr>
                <w:rFonts w:eastAsia="Sylfaen"/>
                <w:sz w:val="16"/>
              </w:rPr>
              <w:tab/>
            </w:r>
            <w:r w:rsidRPr="00092B73">
              <w:rPr>
                <w:rFonts w:ascii="Sylfaen" w:eastAsia="Sylfaen" w:hAnsi="Sylfaen" w:cs="Sylfaen"/>
                <w:sz w:val="16"/>
              </w:rPr>
              <w:t>ხელმძღვანელობასთან</w:t>
            </w:r>
            <w:r w:rsidRPr="00092B73">
              <w:rPr>
                <w:rFonts w:eastAsia="Sylfaen"/>
                <w:sz w:val="16"/>
              </w:rPr>
              <w:t xml:space="preserve"> </w:t>
            </w:r>
            <w:r w:rsidRPr="00092B73">
              <w:rPr>
                <w:rFonts w:ascii="Sylfaen" w:eastAsia="Sylfaen" w:hAnsi="Sylfaen" w:cs="Sylfaen"/>
                <w:sz w:val="16"/>
              </w:rPr>
              <w:t>შეთანხმებით</w:t>
            </w:r>
            <w:r w:rsidRPr="00092B73">
              <w:rPr>
                <w:rFonts w:eastAsia="Sylfaen"/>
                <w:sz w:val="16"/>
              </w:rPr>
              <w:t xml:space="preserve"> - </w:t>
            </w:r>
            <w:r w:rsidRPr="00092B73">
              <w:rPr>
                <w:rFonts w:ascii="Sylfaen" w:eastAsia="Sylfaen" w:hAnsi="Sylfaen" w:cs="Sylfaen"/>
                <w:sz w:val="16"/>
              </w:rPr>
              <w:t>რეგიონის</w:t>
            </w:r>
            <w:r w:rsidRPr="00092B73">
              <w:rPr>
                <w:rFonts w:eastAsia="Sylfaen"/>
                <w:sz w:val="16"/>
              </w:rPr>
              <w:t xml:space="preserve"> </w:t>
            </w:r>
            <w:r w:rsidRPr="00092B73">
              <w:rPr>
                <w:rFonts w:ascii="Sylfaen" w:eastAsia="Sylfaen" w:hAnsi="Sylfaen" w:cs="Sylfaen"/>
                <w:sz w:val="16"/>
              </w:rPr>
              <w:t>საჭიროებისთვის</w:t>
            </w:r>
            <w:r w:rsidRPr="00092B73">
              <w:rPr>
                <w:rFonts w:eastAsia="Sylfaen"/>
                <w:sz w:val="16"/>
              </w:rPr>
              <w:t xml:space="preserve">. </w:t>
            </w:r>
            <w:r w:rsidRPr="00092B73">
              <w:rPr>
                <w:rFonts w:ascii="Sylfaen" w:eastAsia="Sylfaen" w:hAnsi="Sylfaen" w:cs="Sylfaen"/>
                <w:sz w:val="16"/>
              </w:rPr>
              <w:t>გამოსაყენებლად</w:t>
            </w:r>
            <w:r w:rsidRPr="00092B73">
              <w:rPr>
                <w:rFonts w:eastAsia="Sylfaen"/>
                <w:sz w:val="16"/>
              </w:rPr>
              <w:t xml:space="preserve"> </w:t>
            </w:r>
            <w:r w:rsidRPr="00092B73">
              <w:rPr>
                <w:rFonts w:ascii="Sylfaen" w:eastAsia="Sylfaen" w:hAnsi="Sylfaen" w:cs="Sylfaen"/>
                <w:sz w:val="16"/>
              </w:rPr>
              <w:t>უვარგისი</w:t>
            </w:r>
            <w:r w:rsidRPr="00092B73">
              <w:rPr>
                <w:rFonts w:eastAsia="Sylfaen"/>
                <w:sz w:val="16"/>
              </w:rPr>
              <w:t xml:space="preserve">- </w:t>
            </w:r>
            <w:r w:rsidRPr="00092B73">
              <w:rPr>
                <w:rFonts w:ascii="Sylfaen" w:eastAsia="Sylfaen" w:hAnsi="Sylfaen" w:cs="Sylfaen"/>
                <w:sz w:val="16"/>
              </w:rPr>
              <w:t>გატანილ</w:t>
            </w:r>
            <w:r w:rsidRPr="00092B73">
              <w:rPr>
                <w:rFonts w:eastAsia="Sylfaen"/>
                <w:sz w:val="16"/>
              </w:rPr>
              <w:t xml:space="preserve"> </w:t>
            </w:r>
            <w:r w:rsidRPr="00092B73">
              <w:rPr>
                <w:rFonts w:ascii="Sylfaen" w:eastAsia="Sylfaen" w:hAnsi="Sylfaen" w:cs="Sylfaen"/>
                <w:sz w:val="16"/>
              </w:rPr>
              <w:t>იქნება</w:t>
            </w:r>
            <w:r w:rsidRPr="00092B73">
              <w:rPr>
                <w:rFonts w:eastAsia="Sylfaen"/>
                <w:sz w:val="16"/>
              </w:rPr>
              <w:t xml:space="preserve"> </w:t>
            </w:r>
            <w:r w:rsidRPr="00092B73">
              <w:rPr>
                <w:rFonts w:ascii="Sylfaen" w:eastAsia="Sylfaen" w:hAnsi="Sylfaen" w:cs="Sylfaen"/>
                <w:sz w:val="16"/>
              </w:rPr>
              <w:t>ნაგავსაყრელზე</w:t>
            </w:r>
            <w:r w:rsidRPr="00092B73">
              <w:rPr>
                <w:rFonts w:eastAsia="Sylfaen"/>
                <w:sz w:val="16"/>
              </w:rPr>
              <w:tab/>
            </w:r>
            <w:r w:rsidRPr="00092B73">
              <w:rPr>
                <w:rFonts w:ascii="Sylfaen" w:eastAsia="Sylfaen" w:hAnsi="Sylfaen" w:cs="Sylfaen"/>
                <w:sz w:val="16"/>
              </w:rPr>
              <w:t>მუნიციპალიტეტთან</w:t>
            </w:r>
            <w:r w:rsidRPr="00092B73">
              <w:rPr>
                <w:rFonts w:eastAsia="Sylfaen"/>
                <w:sz w:val="16"/>
              </w:rPr>
              <w:t xml:space="preserve"> </w:t>
            </w:r>
            <w:r w:rsidRPr="00092B73">
              <w:rPr>
                <w:rFonts w:ascii="Sylfaen" w:eastAsia="Sylfaen" w:hAnsi="Sylfaen" w:cs="Sylfaen"/>
                <w:sz w:val="16"/>
              </w:rPr>
              <w:t>შეთანხმებით</w:t>
            </w:r>
            <w:r w:rsidRPr="00092B73">
              <w:rPr>
                <w:rFonts w:eastAsia="Sylfaen"/>
                <w:sz w:val="16"/>
              </w:rPr>
              <w:t>.</w:t>
            </w:r>
          </w:p>
          <w:p w14:paraId="7437E84B"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პერსონალის</w:t>
            </w:r>
            <w:r w:rsidRPr="00092B73">
              <w:rPr>
                <w:rFonts w:eastAsia="Sylfaen"/>
                <w:sz w:val="16"/>
              </w:rPr>
              <w:t xml:space="preserve"> </w:t>
            </w:r>
            <w:r w:rsidRPr="00092B73">
              <w:rPr>
                <w:rFonts w:ascii="Sylfaen" w:eastAsia="Sylfaen" w:hAnsi="Sylfaen" w:cs="Sylfaen"/>
                <w:sz w:val="16"/>
              </w:rPr>
              <w:t>ინსტრუქტაჟი</w:t>
            </w:r>
          </w:p>
        </w:tc>
        <w:tc>
          <w:tcPr>
            <w:tcW w:w="2340" w:type="dxa"/>
            <w:tcBorders>
              <w:top w:val="single" w:sz="4" w:space="0" w:color="auto"/>
              <w:left w:val="single" w:sz="6" w:space="0" w:color="000000"/>
              <w:bottom w:val="single" w:sz="4" w:space="0" w:color="auto"/>
              <w:right w:val="single" w:sz="6" w:space="0" w:color="000000"/>
            </w:tcBorders>
            <w:hideMark/>
          </w:tcPr>
          <w:p w14:paraId="1FD77185" w14:textId="77777777" w:rsidR="00092B73" w:rsidRPr="00092B73" w:rsidRDefault="00092B73" w:rsidP="000321C7">
            <w:pPr>
              <w:rPr>
                <w:rFonts w:eastAsia="Sylfaen"/>
                <w:sz w:val="16"/>
              </w:rPr>
            </w:pPr>
            <w:r w:rsidRPr="00092B73">
              <w:rPr>
                <w:rFonts w:ascii="Sylfaen" w:eastAsia="Sylfaen" w:hAnsi="Sylfaen" w:cs="Sylfaen"/>
                <w:sz w:val="16"/>
              </w:rPr>
              <w:lastRenderedPageBreak/>
              <w:t>სხვა</w:t>
            </w:r>
            <w:r w:rsidRPr="00092B73">
              <w:rPr>
                <w:rFonts w:eastAsia="Sylfaen"/>
                <w:sz w:val="16"/>
              </w:rPr>
              <w:t xml:space="preserve"> </w:t>
            </w:r>
            <w:r w:rsidRPr="00092B73">
              <w:rPr>
                <w:rFonts w:ascii="Sylfaen" w:eastAsia="Sylfaen" w:hAnsi="Sylfaen" w:cs="Sylfaen"/>
                <w:sz w:val="16"/>
              </w:rPr>
              <w:t>ხარჯები</w:t>
            </w:r>
            <w:r w:rsidRPr="00092B73">
              <w:rPr>
                <w:rFonts w:eastAsia="Sylfaen"/>
                <w:sz w:val="16"/>
              </w:rPr>
              <w:t xml:space="preserve"> </w:t>
            </w:r>
            <w:r w:rsidRPr="00092B73">
              <w:rPr>
                <w:rFonts w:ascii="Sylfaen" w:eastAsia="Sylfaen" w:hAnsi="Sylfaen" w:cs="Sylfaen"/>
                <w:sz w:val="16"/>
              </w:rPr>
              <w:t>გარდა</w:t>
            </w:r>
            <w:r w:rsidRPr="00092B73">
              <w:rPr>
                <w:rFonts w:eastAsia="Sylfaen"/>
                <w:sz w:val="16"/>
              </w:rPr>
              <w:t xml:space="preserve"> </w:t>
            </w:r>
            <w:r w:rsidRPr="00092B73">
              <w:rPr>
                <w:rFonts w:ascii="Sylfaen" w:eastAsia="Sylfaen" w:hAnsi="Sylfaen" w:cs="Sylfaen"/>
                <w:sz w:val="16"/>
              </w:rPr>
              <w:t>ნარჩენების</w:t>
            </w:r>
            <w:r w:rsidRPr="00092B73">
              <w:rPr>
                <w:rFonts w:eastAsia="Sylfaen"/>
                <w:sz w:val="16"/>
              </w:rPr>
              <w:t xml:space="preserve"> </w:t>
            </w:r>
            <w:r w:rsidRPr="00092B73">
              <w:rPr>
                <w:rFonts w:ascii="Sylfaen" w:eastAsia="Sylfaen" w:hAnsi="Sylfaen" w:cs="Sylfaen"/>
                <w:sz w:val="16"/>
              </w:rPr>
              <w:t>ნაგავსაყრელზე</w:t>
            </w:r>
            <w:r w:rsidRPr="00092B73">
              <w:rPr>
                <w:rFonts w:eastAsia="Sylfaen"/>
                <w:sz w:val="16"/>
              </w:rPr>
              <w:t xml:space="preserve"> </w:t>
            </w:r>
            <w:r w:rsidRPr="00092B73">
              <w:rPr>
                <w:rFonts w:ascii="Sylfaen" w:eastAsia="Sylfaen" w:hAnsi="Sylfaen" w:cs="Sylfaen"/>
                <w:sz w:val="16"/>
              </w:rPr>
              <w:t>გატანის</w:t>
            </w:r>
            <w:r w:rsidRPr="00092B73">
              <w:rPr>
                <w:rFonts w:eastAsia="Sylfaen"/>
                <w:sz w:val="16"/>
              </w:rPr>
              <w:t xml:space="preserve"> </w:t>
            </w:r>
            <w:r w:rsidRPr="00092B73">
              <w:rPr>
                <w:rFonts w:ascii="Sylfaen" w:eastAsia="Sylfaen" w:hAnsi="Sylfaen" w:cs="Sylfaen"/>
                <w:sz w:val="16"/>
              </w:rPr>
              <w:t>მომსახურებისთვის</w:t>
            </w:r>
            <w:r w:rsidRPr="00092B73">
              <w:rPr>
                <w:rFonts w:eastAsia="Sylfaen"/>
                <w:sz w:val="16"/>
              </w:rPr>
              <w:t xml:space="preserve"> </w:t>
            </w:r>
            <w:r w:rsidRPr="00092B73">
              <w:rPr>
                <w:rFonts w:ascii="Sylfaen" w:eastAsia="Sylfaen" w:hAnsi="Sylfaen" w:cs="Sylfaen"/>
                <w:sz w:val="16"/>
              </w:rPr>
              <w:t>გასაწევისა</w:t>
            </w:r>
            <w:r w:rsidRPr="00092B73">
              <w:rPr>
                <w:rFonts w:eastAsia="Sylfaen"/>
                <w:sz w:val="16"/>
              </w:rPr>
              <w:t xml:space="preserve"> (</w:t>
            </w:r>
            <w:r w:rsidRPr="00092B73">
              <w:rPr>
                <w:rFonts w:ascii="Sylfaen" w:eastAsia="Sylfaen" w:hAnsi="Sylfaen" w:cs="Sylfaen"/>
                <w:sz w:val="16"/>
              </w:rPr>
              <w:t>კონტრაქტის</w:t>
            </w:r>
            <w:r w:rsidRPr="00092B73">
              <w:rPr>
                <w:rFonts w:eastAsia="Sylfaen"/>
                <w:sz w:val="16"/>
              </w:rPr>
              <w:t xml:space="preserve"> </w:t>
            </w:r>
            <w:r w:rsidRPr="00092B73">
              <w:rPr>
                <w:rFonts w:ascii="Sylfaen" w:eastAsia="Sylfaen" w:hAnsi="Sylfaen" w:cs="Sylfaen"/>
                <w:sz w:val="16"/>
              </w:rPr>
              <w:t>საფუძველზე</w:t>
            </w:r>
            <w:r w:rsidRPr="00092B73">
              <w:rPr>
                <w:rFonts w:eastAsia="Sylfaen"/>
                <w:sz w:val="16"/>
              </w:rPr>
              <w:t xml:space="preserve">) </w:t>
            </w:r>
            <w:r w:rsidRPr="00092B73">
              <w:rPr>
                <w:rFonts w:ascii="Sylfaen" w:eastAsia="Sylfaen" w:hAnsi="Sylfaen" w:cs="Sylfaen"/>
                <w:sz w:val="16"/>
              </w:rPr>
              <w:t>ნავარაუდევი</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არის</w:t>
            </w:r>
            <w:r w:rsidRPr="00092B73">
              <w:rPr>
                <w:rFonts w:eastAsia="Sylfaen"/>
                <w:sz w:val="16"/>
              </w:rPr>
              <w:t>.</w:t>
            </w:r>
          </w:p>
        </w:tc>
        <w:tc>
          <w:tcPr>
            <w:tcW w:w="1204" w:type="dxa"/>
            <w:tcBorders>
              <w:top w:val="single" w:sz="4" w:space="0" w:color="auto"/>
              <w:left w:val="single" w:sz="6" w:space="0" w:color="000000"/>
              <w:bottom w:val="single" w:sz="4" w:space="0" w:color="auto"/>
              <w:right w:val="single" w:sz="6" w:space="0" w:color="000000"/>
            </w:tcBorders>
            <w:hideMark/>
          </w:tcPr>
          <w:p w14:paraId="272AC0ED" w14:textId="77777777" w:rsidR="00092B73" w:rsidRPr="00092B73" w:rsidRDefault="00092B73" w:rsidP="000321C7">
            <w:pPr>
              <w:rPr>
                <w:rFonts w:eastAsia="Sylfaen"/>
                <w:sz w:val="16"/>
              </w:rPr>
            </w:pPr>
            <w:r w:rsidRPr="00092B73">
              <w:rPr>
                <w:rFonts w:ascii="Sylfaen" w:eastAsia="Sylfaen" w:hAnsi="Sylfaen" w:cs="Sylfaen"/>
                <w:sz w:val="16"/>
              </w:rPr>
              <w:t>მშენებელი</w:t>
            </w:r>
            <w:r w:rsidRPr="00092B73">
              <w:rPr>
                <w:rFonts w:eastAsia="Sylfaen"/>
                <w:sz w:val="16"/>
              </w:rPr>
              <w:t xml:space="preserve"> </w:t>
            </w:r>
            <w:r w:rsidRPr="00092B73">
              <w:rPr>
                <w:rFonts w:ascii="Sylfaen" w:eastAsia="Sylfaen" w:hAnsi="Sylfaen" w:cs="Sylfaen"/>
                <w:sz w:val="16"/>
              </w:rPr>
              <w:t>კონტრაქტორი</w:t>
            </w:r>
          </w:p>
        </w:tc>
        <w:tc>
          <w:tcPr>
            <w:tcW w:w="1574" w:type="dxa"/>
            <w:tcBorders>
              <w:top w:val="single" w:sz="4" w:space="0" w:color="auto"/>
              <w:left w:val="single" w:sz="6" w:space="0" w:color="000000"/>
              <w:bottom w:val="single" w:sz="4" w:space="0" w:color="auto"/>
              <w:right w:val="single" w:sz="6" w:space="0" w:color="000000"/>
            </w:tcBorders>
            <w:hideMark/>
          </w:tcPr>
          <w:p w14:paraId="2E38141F" w14:textId="77777777" w:rsidR="00092B73" w:rsidRPr="00092B73" w:rsidRDefault="00092B73" w:rsidP="000321C7">
            <w:pPr>
              <w:rPr>
                <w:rFonts w:eastAsia="Sylfaen"/>
                <w:sz w:val="16"/>
                <w:lang w:val="ka-GE"/>
              </w:rPr>
            </w:pPr>
            <w:r w:rsidRPr="00092B73">
              <w:rPr>
                <w:rFonts w:ascii="Sylfaen" w:eastAsia="Sylfaen" w:hAnsi="Sylfaen" w:cs="Sylfaen"/>
                <w:sz w:val="16"/>
              </w:rPr>
              <w:t>საგზაო</w:t>
            </w:r>
            <w:r w:rsidRPr="00092B73">
              <w:rPr>
                <w:rFonts w:eastAsia="Sylfaen"/>
                <w:sz w:val="16"/>
              </w:rPr>
              <w:t xml:space="preserve"> </w:t>
            </w:r>
            <w:r w:rsidRPr="00092B73">
              <w:rPr>
                <w:rFonts w:ascii="Sylfaen" w:eastAsia="Sylfaen" w:hAnsi="Sylfaen" w:cs="Sylfaen"/>
                <w:sz w:val="16"/>
              </w:rPr>
              <w:t>დეპარტამენტი</w:t>
            </w:r>
          </w:p>
          <w:p w14:paraId="3868C2CD" w14:textId="77777777" w:rsidR="00092B73" w:rsidRPr="00092B73" w:rsidRDefault="00092B73" w:rsidP="000321C7">
            <w:pPr>
              <w:rPr>
                <w:rFonts w:eastAsia="Sylfaen"/>
                <w:sz w:val="16"/>
                <w:lang w:val="en-US"/>
              </w:rPr>
            </w:pPr>
            <w:r w:rsidRPr="00092B73">
              <w:rPr>
                <w:rFonts w:ascii="Sylfaen" w:eastAsia="Sylfaen" w:hAnsi="Sylfaen" w:cs="Sylfaen"/>
                <w:sz w:val="16"/>
              </w:rPr>
              <w:t>საზედამხედველო</w:t>
            </w:r>
            <w:r w:rsidRPr="00092B73">
              <w:rPr>
                <w:rFonts w:eastAsia="Sylfaen"/>
                <w:sz w:val="16"/>
              </w:rPr>
              <w:t xml:space="preserve"> </w:t>
            </w:r>
            <w:r w:rsidRPr="00092B73">
              <w:rPr>
                <w:rFonts w:ascii="Sylfaen" w:eastAsia="Sylfaen" w:hAnsi="Sylfaen" w:cs="Sylfaen"/>
                <w:sz w:val="16"/>
              </w:rPr>
              <w:t>კომპანია</w:t>
            </w:r>
          </w:p>
        </w:tc>
      </w:tr>
      <w:tr w:rsidR="00092B73" w:rsidRPr="00092B73" w14:paraId="7741086B" w14:textId="77777777" w:rsidTr="00C6605E">
        <w:trPr>
          <w:gridAfter w:val="1"/>
          <w:wAfter w:w="12" w:type="dxa"/>
          <w:trHeight w:val="3563"/>
        </w:trPr>
        <w:tc>
          <w:tcPr>
            <w:tcW w:w="1800" w:type="dxa"/>
            <w:tcBorders>
              <w:top w:val="single" w:sz="4" w:space="0" w:color="auto"/>
              <w:left w:val="single" w:sz="6" w:space="0" w:color="000000"/>
              <w:bottom w:val="nil"/>
              <w:right w:val="single" w:sz="6" w:space="0" w:color="000000"/>
            </w:tcBorders>
            <w:hideMark/>
          </w:tcPr>
          <w:p w14:paraId="516C46B9" w14:textId="77777777" w:rsidR="00092B73" w:rsidRPr="00092B73" w:rsidRDefault="00092B73" w:rsidP="000321C7">
            <w:pPr>
              <w:rPr>
                <w:sz w:val="16"/>
              </w:rPr>
            </w:pPr>
            <w:r w:rsidRPr="00092B73">
              <w:rPr>
                <w:rFonts w:ascii="Sylfaen" w:eastAsia="Sylfaen" w:hAnsi="Sylfaen" w:cs="Sylfaen"/>
                <w:sz w:val="16"/>
              </w:rPr>
              <w:t>ტექნიკის</w:t>
            </w:r>
          </w:p>
          <w:p w14:paraId="41E21A4C" w14:textId="77777777" w:rsidR="00092B73" w:rsidRPr="00092B73" w:rsidRDefault="00092B73" w:rsidP="000321C7">
            <w:pPr>
              <w:rPr>
                <w:rFonts w:eastAsia="Sylfaen"/>
                <w:sz w:val="16"/>
              </w:rPr>
            </w:pPr>
            <w:r w:rsidRPr="00092B73">
              <w:rPr>
                <w:rFonts w:ascii="Sylfaen" w:eastAsia="Sylfaen" w:hAnsi="Sylfaen" w:cs="Sylfaen"/>
                <w:sz w:val="16"/>
              </w:rPr>
              <w:t>მუშაობა</w:t>
            </w:r>
            <w:r w:rsidRPr="00092B73">
              <w:rPr>
                <w:rFonts w:eastAsia="Sylfaen"/>
                <w:sz w:val="16"/>
              </w:rPr>
              <w:t>,</w:t>
            </w:r>
          </w:p>
          <w:p w14:paraId="1A17AF73" w14:textId="77777777" w:rsidR="00092B73" w:rsidRPr="00092B73" w:rsidRDefault="00092B73" w:rsidP="000321C7">
            <w:pPr>
              <w:rPr>
                <w:rFonts w:eastAsia="Sylfaen"/>
                <w:sz w:val="16"/>
              </w:rPr>
            </w:pPr>
            <w:r w:rsidRPr="00092B73">
              <w:rPr>
                <w:rFonts w:ascii="Sylfaen" w:eastAsia="Sylfaen" w:hAnsi="Sylfaen" w:cs="Sylfaen"/>
                <w:sz w:val="16"/>
              </w:rPr>
              <w:t>ტექმომსახურებ</w:t>
            </w:r>
          </w:p>
          <w:p w14:paraId="19B2A074" w14:textId="77777777" w:rsidR="00092B73" w:rsidRPr="00092B73" w:rsidRDefault="00092B73" w:rsidP="000321C7">
            <w:pPr>
              <w:rPr>
                <w:rFonts w:eastAsia="Sylfaen"/>
                <w:sz w:val="16"/>
              </w:rPr>
            </w:pPr>
            <w:r w:rsidRPr="00092B73">
              <w:rPr>
                <w:rFonts w:ascii="Sylfaen" w:eastAsia="Sylfaen" w:hAnsi="Sylfaen" w:cs="Sylfaen"/>
                <w:sz w:val="16"/>
              </w:rPr>
              <w:t>ა</w:t>
            </w:r>
            <w:r w:rsidRPr="00092B73">
              <w:rPr>
                <w:rFonts w:eastAsia="Sylfaen"/>
                <w:sz w:val="16"/>
              </w:rPr>
              <w:t xml:space="preserve">, </w:t>
            </w:r>
            <w:r w:rsidRPr="00092B73">
              <w:rPr>
                <w:rFonts w:ascii="Sylfaen" w:eastAsia="Sylfaen" w:hAnsi="Sylfaen" w:cs="Sylfaen"/>
                <w:sz w:val="16"/>
              </w:rPr>
              <w:t>საწვავის</w:t>
            </w:r>
          </w:p>
          <w:p w14:paraId="74C2352A" w14:textId="77777777" w:rsidR="00092B73" w:rsidRPr="00092B73" w:rsidRDefault="00092B73" w:rsidP="000321C7">
            <w:pPr>
              <w:rPr>
                <w:rFonts w:eastAsia="Sylfaen"/>
                <w:sz w:val="16"/>
              </w:rPr>
            </w:pPr>
            <w:r w:rsidRPr="00092B73">
              <w:rPr>
                <w:rFonts w:ascii="Sylfaen" w:eastAsia="Sylfaen" w:hAnsi="Sylfaen" w:cs="Sylfaen"/>
                <w:sz w:val="16"/>
              </w:rPr>
              <w:t>ავზის</w:t>
            </w:r>
          </w:p>
          <w:p w14:paraId="597E80D8" w14:textId="77777777" w:rsidR="00092B73" w:rsidRPr="00092B73" w:rsidRDefault="00092B73" w:rsidP="000321C7">
            <w:pPr>
              <w:rPr>
                <w:rFonts w:eastAsia="Sylfaen"/>
                <w:sz w:val="16"/>
              </w:rPr>
            </w:pPr>
            <w:r w:rsidRPr="00092B73">
              <w:rPr>
                <w:rFonts w:ascii="Sylfaen" w:eastAsia="Sylfaen" w:hAnsi="Sylfaen" w:cs="Sylfaen"/>
                <w:sz w:val="16"/>
              </w:rPr>
              <w:t>განთავსების</w:t>
            </w:r>
          </w:p>
          <w:p w14:paraId="6521D095" w14:textId="77777777" w:rsidR="00092B73" w:rsidRPr="00092B73" w:rsidRDefault="00092B73" w:rsidP="000321C7">
            <w:pPr>
              <w:rPr>
                <w:rFonts w:eastAsia="Sylfaen"/>
                <w:sz w:val="16"/>
              </w:rPr>
            </w:pPr>
            <w:r w:rsidRPr="00092B73">
              <w:rPr>
                <w:rFonts w:ascii="Sylfaen" w:eastAsia="Sylfaen" w:hAnsi="Sylfaen" w:cs="Sylfaen"/>
                <w:sz w:val="16"/>
              </w:rPr>
              <w:t>უბანი</w:t>
            </w:r>
            <w:r w:rsidRPr="00092B73">
              <w:rPr>
                <w:rFonts w:eastAsia="Sylfaen"/>
                <w:sz w:val="16"/>
              </w:rPr>
              <w:t>,</w:t>
            </w:r>
          </w:p>
          <w:p w14:paraId="5D4BD678" w14:textId="77777777" w:rsidR="00092B73" w:rsidRPr="00092B73" w:rsidRDefault="00092B73" w:rsidP="000321C7">
            <w:pPr>
              <w:rPr>
                <w:rFonts w:eastAsia="Sylfaen"/>
                <w:sz w:val="16"/>
              </w:rPr>
            </w:pPr>
            <w:r w:rsidRPr="00092B73">
              <w:rPr>
                <w:rFonts w:ascii="Sylfaen" w:eastAsia="Sylfaen" w:hAnsi="Sylfaen" w:cs="Sylfaen"/>
                <w:sz w:val="16"/>
              </w:rPr>
              <w:t>სხვადასხვა</w:t>
            </w:r>
          </w:p>
          <w:p w14:paraId="416F9A7A" w14:textId="77777777" w:rsidR="00092B73" w:rsidRPr="00092B73" w:rsidRDefault="00092B73" w:rsidP="000321C7">
            <w:pPr>
              <w:rPr>
                <w:rFonts w:eastAsia="Sylfaen"/>
                <w:sz w:val="16"/>
              </w:rPr>
            </w:pPr>
            <w:r w:rsidRPr="00092B73">
              <w:rPr>
                <w:rFonts w:ascii="Sylfaen" w:eastAsia="Sylfaen" w:hAnsi="Sylfaen" w:cs="Sylfaen"/>
                <w:sz w:val="16"/>
              </w:rPr>
              <w:t>სამშენებლო</w:t>
            </w:r>
          </w:p>
          <w:p w14:paraId="71860ED6" w14:textId="77777777" w:rsidR="00092B73" w:rsidRPr="00092B73" w:rsidRDefault="00092B73" w:rsidP="000321C7">
            <w:pPr>
              <w:rPr>
                <w:rFonts w:eastAsia="Sylfaen"/>
                <w:sz w:val="16"/>
              </w:rPr>
            </w:pPr>
            <w:r w:rsidRPr="00092B73">
              <w:rPr>
                <w:rFonts w:ascii="Sylfaen" w:eastAsia="Sylfaen" w:hAnsi="Sylfaen" w:cs="Sylfaen"/>
                <w:sz w:val="16"/>
              </w:rPr>
              <w:t>სამუშაოები</w:t>
            </w:r>
          </w:p>
        </w:tc>
        <w:tc>
          <w:tcPr>
            <w:tcW w:w="1788" w:type="dxa"/>
            <w:tcBorders>
              <w:top w:val="single" w:sz="4" w:space="0" w:color="auto"/>
              <w:left w:val="single" w:sz="6" w:space="0" w:color="000000"/>
              <w:bottom w:val="nil"/>
              <w:right w:val="single" w:sz="6" w:space="0" w:color="000000"/>
            </w:tcBorders>
            <w:hideMark/>
          </w:tcPr>
          <w:p w14:paraId="3EF423C0" w14:textId="77777777" w:rsidR="00092B73" w:rsidRPr="00092B73" w:rsidRDefault="00092B73" w:rsidP="000321C7">
            <w:pPr>
              <w:rPr>
                <w:rFonts w:eastAsia="Sylfaen"/>
                <w:sz w:val="16"/>
              </w:rPr>
            </w:pPr>
            <w:r w:rsidRPr="00092B73">
              <w:rPr>
                <w:rFonts w:ascii="Sylfaen" w:eastAsia="Sylfaen" w:hAnsi="Sylfaen" w:cs="Sylfaen"/>
                <w:sz w:val="16"/>
              </w:rPr>
              <w:t>ავარიული</w:t>
            </w:r>
          </w:p>
          <w:p w14:paraId="370C47E7" w14:textId="77777777" w:rsidR="00092B73" w:rsidRPr="00092B73" w:rsidRDefault="00092B73" w:rsidP="000321C7">
            <w:pPr>
              <w:rPr>
                <w:rFonts w:eastAsia="Sylfaen"/>
                <w:sz w:val="16"/>
              </w:rPr>
            </w:pPr>
            <w:r w:rsidRPr="00092B73">
              <w:rPr>
                <w:rFonts w:ascii="Sylfaen" w:eastAsia="Sylfaen" w:hAnsi="Sylfaen" w:cs="Sylfaen"/>
                <w:sz w:val="16"/>
              </w:rPr>
              <w:t>დაღვრების</w:t>
            </w:r>
            <w:r w:rsidRPr="00092B73">
              <w:rPr>
                <w:rFonts w:eastAsia="Sylfaen"/>
                <w:sz w:val="16"/>
              </w:rPr>
              <w:t>,</w:t>
            </w:r>
          </w:p>
          <w:p w14:paraId="6D2F49DF" w14:textId="77777777" w:rsidR="00092B73" w:rsidRPr="00092B73" w:rsidRDefault="00092B73" w:rsidP="000321C7">
            <w:pPr>
              <w:rPr>
                <w:rFonts w:eastAsia="Sylfaen"/>
                <w:sz w:val="16"/>
              </w:rPr>
            </w:pPr>
            <w:r w:rsidRPr="00092B73">
              <w:rPr>
                <w:rFonts w:ascii="Sylfaen" w:eastAsia="Sylfaen" w:hAnsi="Sylfaen" w:cs="Sylfaen"/>
                <w:sz w:val="16"/>
              </w:rPr>
              <w:t>ტექმომსახურების</w:t>
            </w:r>
            <w:r w:rsidRPr="00092B73">
              <w:rPr>
                <w:rFonts w:eastAsia="Sylfaen"/>
                <w:sz w:val="16"/>
              </w:rPr>
              <w:t>,</w:t>
            </w:r>
          </w:p>
          <w:p w14:paraId="4A31F1DD" w14:textId="77777777" w:rsidR="00092B73" w:rsidRPr="00092B73" w:rsidRDefault="00092B73" w:rsidP="000321C7">
            <w:pPr>
              <w:rPr>
                <w:rFonts w:eastAsia="Sylfaen"/>
                <w:sz w:val="16"/>
              </w:rPr>
            </w:pPr>
            <w:r w:rsidRPr="00092B73">
              <w:rPr>
                <w:rFonts w:ascii="Sylfaen" w:eastAsia="Sylfaen" w:hAnsi="Sylfaen" w:cs="Sylfaen"/>
                <w:sz w:val="16"/>
              </w:rPr>
              <w:t>სხვ</w:t>
            </w:r>
            <w:r w:rsidRPr="00092B73">
              <w:rPr>
                <w:rFonts w:eastAsia="Sylfaen"/>
                <w:sz w:val="16"/>
              </w:rPr>
              <w:t xml:space="preserve"> </w:t>
            </w:r>
            <w:r w:rsidRPr="00092B73">
              <w:rPr>
                <w:rFonts w:ascii="Sylfaen" w:eastAsia="Sylfaen" w:hAnsi="Sylfaen" w:cs="Sylfaen"/>
                <w:sz w:val="16"/>
              </w:rPr>
              <w:t>შედეგად</w:t>
            </w:r>
          </w:p>
          <w:p w14:paraId="79187CE1" w14:textId="77777777" w:rsidR="00092B73" w:rsidRPr="00092B73" w:rsidRDefault="00092B73" w:rsidP="000321C7">
            <w:pPr>
              <w:rPr>
                <w:rFonts w:eastAsia="Sylfaen"/>
                <w:sz w:val="16"/>
              </w:rPr>
            </w:pPr>
            <w:r w:rsidRPr="00092B73">
              <w:rPr>
                <w:rFonts w:ascii="Sylfaen" w:eastAsia="Sylfaen" w:hAnsi="Sylfaen" w:cs="Sylfaen"/>
                <w:sz w:val="16"/>
              </w:rPr>
              <w:t>წარმოქმნილი</w:t>
            </w:r>
          </w:p>
          <w:p w14:paraId="3B7BBC86" w14:textId="77777777" w:rsidR="00092B73" w:rsidRPr="00092B73" w:rsidRDefault="00092B73" w:rsidP="000321C7">
            <w:pPr>
              <w:rPr>
                <w:rFonts w:eastAsia="Sylfaen"/>
                <w:sz w:val="16"/>
              </w:rPr>
            </w:pPr>
            <w:r w:rsidRPr="00092B73">
              <w:rPr>
                <w:rFonts w:ascii="Sylfaen" w:eastAsia="Sylfaen" w:hAnsi="Sylfaen" w:cs="Sylfaen"/>
                <w:sz w:val="16"/>
              </w:rPr>
              <w:t>სახიფათო</w:t>
            </w:r>
          </w:p>
          <w:p w14:paraId="14FC3307" w14:textId="77777777" w:rsidR="00092B73" w:rsidRPr="00092B73" w:rsidRDefault="00092B73" w:rsidP="000321C7">
            <w:pPr>
              <w:rPr>
                <w:rFonts w:eastAsia="Sylfaen"/>
                <w:sz w:val="16"/>
              </w:rPr>
            </w:pPr>
            <w:r w:rsidRPr="00092B73">
              <w:rPr>
                <w:rFonts w:ascii="Sylfaen" w:eastAsia="Sylfaen" w:hAnsi="Sylfaen" w:cs="Sylfaen"/>
                <w:sz w:val="16"/>
              </w:rPr>
              <w:t>ნარჩენები</w:t>
            </w:r>
            <w:r w:rsidRPr="00092B73">
              <w:rPr>
                <w:rFonts w:eastAsia="Sylfaen"/>
                <w:sz w:val="16"/>
              </w:rPr>
              <w:t xml:space="preserve"> (</w:t>
            </w:r>
            <w:r w:rsidRPr="00092B73">
              <w:rPr>
                <w:rFonts w:ascii="Sylfaen" w:eastAsia="Sylfaen" w:hAnsi="Sylfaen" w:cs="Sylfaen"/>
                <w:sz w:val="16"/>
              </w:rPr>
              <w:t>ზეთები</w:t>
            </w:r>
            <w:r w:rsidRPr="00092B73">
              <w:rPr>
                <w:rFonts w:eastAsia="Sylfaen"/>
                <w:sz w:val="16"/>
              </w:rPr>
              <w:t>,</w:t>
            </w:r>
          </w:p>
          <w:p w14:paraId="2A3E5EEC" w14:textId="77777777" w:rsidR="00092B73" w:rsidRPr="00092B73" w:rsidRDefault="00092B73" w:rsidP="000321C7">
            <w:pPr>
              <w:rPr>
                <w:rFonts w:eastAsia="Sylfaen"/>
                <w:sz w:val="16"/>
              </w:rPr>
            </w:pPr>
            <w:r w:rsidRPr="00092B73">
              <w:rPr>
                <w:rFonts w:ascii="Sylfaen" w:eastAsia="Sylfaen" w:hAnsi="Sylfaen" w:cs="Sylfaen"/>
                <w:sz w:val="16"/>
              </w:rPr>
              <w:t>გამხსნელები</w:t>
            </w:r>
            <w:r w:rsidRPr="00092B73">
              <w:rPr>
                <w:rFonts w:eastAsia="Sylfaen"/>
                <w:sz w:val="16"/>
              </w:rPr>
              <w:t>,</w:t>
            </w:r>
          </w:p>
          <w:p w14:paraId="35CC533C" w14:textId="77777777" w:rsidR="00092B73" w:rsidRPr="00092B73" w:rsidRDefault="00092B73" w:rsidP="000321C7">
            <w:pPr>
              <w:rPr>
                <w:rFonts w:eastAsia="Sylfaen"/>
                <w:sz w:val="16"/>
              </w:rPr>
            </w:pPr>
            <w:r w:rsidRPr="00092B73">
              <w:rPr>
                <w:rFonts w:ascii="Sylfaen" w:eastAsia="Sylfaen" w:hAnsi="Sylfaen" w:cs="Sylfaen"/>
                <w:sz w:val="16"/>
              </w:rPr>
              <w:t>გამოყენებული</w:t>
            </w:r>
          </w:p>
          <w:p w14:paraId="7AA1F3EB" w14:textId="77777777" w:rsidR="00092B73" w:rsidRPr="00092B73" w:rsidRDefault="00092B73" w:rsidP="000321C7">
            <w:pPr>
              <w:rPr>
                <w:rFonts w:eastAsia="Sylfaen"/>
                <w:sz w:val="16"/>
              </w:rPr>
            </w:pPr>
            <w:r w:rsidRPr="00092B73">
              <w:rPr>
                <w:rFonts w:ascii="Sylfaen" w:eastAsia="Sylfaen" w:hAnsi="Sylfaen" w:cs="Sylfaen"/>
                <w:sz w:val="16"/>
              </w:rPr>
              <w:t>ფილტრები</w:t>
            </w:r>
            <w:r w:rsidRPr="00092B73">
              <w:rPr>
                <w:rFonts w:eastAsia="Sylfaen"/>
                <w:sz w:val="16"/>
              </w:rPr>
              <w:t xml:space="preserve"> </w:t>
            </w:r>
            <w:r w:rsidRPr="00092B73">
              <w:rPr>
                <w:rFonts w:ascii="Sylfaen" w:eastAsia="Sylfaen" w:hAnsi="Sylfaen" w:cs="Sylfaen"/>
                <w:sz w:val="16"/>
              </w:rPr>
              <w:t>და</w:t>
            </w:r>
          </w:p>
          <w:p w14:paraId="32177762" w14:textId="77777777" w:rsidR="00092B73" w:rsidRPr="00092B73" w:rsidRDefault="00092B73" w:rsidP="000321C7">
            <w:pPr>
              <w:rPr>
                <w:rFonts w:eastAsia="Sylfaen"/>
                <w:sz w:val="16"/>
              </w:rPr>
            </w:pPr>
            <w:r w:rsidRPr="00092B73">
              <w:rPr>
                <w:rFonts w:ascii="Sylfaen" w:eastAsia="Sylfaen" w:hAnsi="Sylfaen" w:cs="Sylfaen"/>
                <w:sz w:val="16"/>
              </w:rPr>
              <w:t>სხვ</w:t>
            </w:r>
            <w:r w:rsidRPr="00092B73">
              <w:rPr>
                <w:rFonts w:eastAsia="Sylfaen"/>
                <w:sz w:val="16"/>
              </w:rPr>
              <w:t>.)</w:t>
            </w:r>
          </w:p>
        </w:tc>
        <w:tc>
          <w:tcPr>
            <w:tcW w:w="6838" w:type="dxa"/>
            <w:tcBorders>
              <w:top w:val="single" w:sz="4" w:space="0" w:color="auto"/>
              <w:left w:val="single" w:sz="6" w:space="0" w:color="000000"/>
              <w:bottom w:val="nil"/>
              <w:right w:val="single" w:sz="6" w:space="0" w:color="000000"/>
            </w:tcBorders>
            <w:hideMark/>
          </w:tcPr>
          <w:p w14:paraId="2816E648" w14:textId="77777777" w:rsidR="00C6605E" w:rsidRDefault="00092B73" w:rsidP="000321C7">
            <w:pPr>
              <w:rPr>
                <w:rFonts w:ascii="Sylfaen" w:eastAsia="Sylfaen" w:hAnsi="Sylfaen" w:cs="Sylfaen"/>
                <w:sz w:val="16"/>
                <w:lang w:val="ka-GE"/>
              </w:rPr>
            </w:pPr>
            <w:r w:rsidRPr="00092B73">
              <w:rPr>
                <w:rFonts w:ascii="Sylfaen" w:eastAsia="Sylfaen" w:hAnsi="Sylfaen" w:cs="Sylfaen"/>
                <w:sz w:val="16"/>
              </w:rPr>
              <w:t>ნარჩენების</w:t>
            </w:r>
            <w:r w:rsidRPr="00092B73">
              <w:rPr>
                <w:rFonts w:eastAsia="Sylfaen"/>
                <w:sz w:val="16"/>
              </w:rPr>
              <w:t xml:space="preserve">   </w:t>
            </w:r>
            <w:r w:rsidRPr="00092B73">
              <w:rPr>
                <w:rFonts w:ascii="Sylfaen" w:eastAsia="Sylfaen" w:hAnsi="Sylfaen" w:cs="Sylfaen"/>
                <w:sz w:val="16"/>
              </w:rPr>
              <w:t>მართვის</w:t>
            </w:r>
            <w:r w:rsidRPr="00092B73">
              <w:rPr>
                <w:rFonts w:eastAsia="Sylfaen"/>
                <w:sz w:val="16"/>
              </w:rPr>
              <w:t xml:space="preserve">   </w:t>
            </w:r>
            <w:r w:rsidRPr="00092B73">
              <w:rPr>
                <w:rFonts w:ascii="Sylfaen" w:eastAsia="Sylfaen" w:hAnsi="Sylfaen" w:cs="Sylfaen"/>
                <w:sz w:val="16"/>
              </w:rPr>
              <w:t>გეგმის</w:t>
            </w:r>
            <w:r w:rsidRPr="00092B73">
              <w:rPr>
                <w:rFonts w:eastAsia="Sylfaen"/>
                <w:sz w:val="16"/>
              </w:rPr>
              <w:t xml:space="preserve">   </w:t>
            </w:r>
            <w:r w:rsidRPr="00092B73">
              <w:rPr>
                <w:rFonts w:ascii="Sylfaen" w:eastAsia="Sylfaen" w:hAnsi="Sylfaen" w:cs="Sylfaen"/>
                <w:sz w:val="16"/>
              </w:rPr>
              <w:t>მომზადება</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შესრულება</w:t>
            </w:r>
            <w:r w:rsidR="00C6605E">
              <w:rPr>
                <w:rFonts w:ascii="Sylfaen" w:eastAsia="Sylfaen" w:hAnsi="Sylfaen" w:cs="Sylfaen"/>
                <w:sz w:val="16"/>
                <w:lang w:val="ka-GE"/>
              </w:rPr>
              <w:t xml:space="preserve"> </w:t>
            </w:r>
          </w:p>
          <w:p w14:paraId="77019FA8" w14:textId="0A382CAF" w:rsidR="00092B73" w:rsidRPr="00092B73" w:rsidRDefault="00092B73" w:rsidP="000321C7">
            <w:pPr>
              <w:rPr>
                <w:rFonts w:eastAsia="Sylfaen"/>
                <w:sz w:val="16"/>
              </w:rPr>
            </w:pPr>
            <w:r w:rsidRPr="00092B73">
              <w:rPr>
                <w:rFonts w:ascii="Sylfaen" w:eastAsia="Sylfaen" w:hAnsi="Sylfaen" w:cs="Sylfaen"/>
                <w:sz w:val="16"/>
              </w:rPr>
              <w:t>საქართველოში</w:t>
            </w:r>
            <w:r w:rsidRPr="00092B73">
              <w:rPr>
                <w:rFonts w:eastAsia="Sylfaen"/>
                <w:sz w:val="16"/>
              </w:rPr>
              <w:tab/>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არსებობს</w:t>
            </w:r>
            <w:r w:rsidRPr="00092B73">
              <w:rPr>
                <w:rFonts w:eastAsia="Sylfaen"/>
                <w:sz w:val="16"/>
              </w:rPr>
              <w:t xml:space="preserve"> </w:t>
            </w:r>
            <w:r w:rsidRPr="00092B73">
              <w:rPr>
                <w:rFonts w:ascii="Sylfaen" w:eastAsia="Sylfaen" w:hAnsi="Sylfaen" w:cs="Sylfaen"/>
                <w:sz w:val="16"/>
              </w:rPr>
              <w:t>სახიფათო</w:t>
            </w:r>
            <w:r w:rsidRPr="00092B73">
              <w:rPr>
                <w:rFonts w:eastAsia="Sylfaen"/>
                <w:sz w:val="16"/>
              </w:rPr>
              <w:t xml:space="preserve"> </w:t>
            </w:r>
            <w:r w:rsidRPr="00092B73">
              <w:rPr>
                <w:rFonts w:ascii="Sylfaen" w:eastAsia="Sylfaen" w:hAnsi="Sylfaen" w:cs="Sylfaen"/>
                <w:sz w:val="16"/>
              </w:rPr>
              <w:t>ნარჩენების</w:t>
            </w:r>
            <w:r w:rsidRPr="00092B73">
              <w:rPr>
                <w:rFonts w:eastAsia="Sylfaen"/>
                <w:sz w:val="16"/>
              </w:rPr>
              <w:t xml:space="preserve"> </w:t>
            </w:r>
            <w:r w:rsidRPr="00092B73">
              <w:rPr>
                <w:rFonts w:ascii="Sylfaen" w:eastAsia="Sylfaen" w:hAnsi="Sylfaen" w:cs="Sylfaen"/>
                <w:sz w:val="16"/>
              </w:rPr>
              <w:t>ნაგავსაყრელები</w:t>
            </w:r>
            <w:r w:rsidRPr="00092B73">
              <w:rPr>
                <w:rFonts w:eastAsia="Sylfaen"/>
                <w:sz w:val="16"/>
              </w:rPr>
              <w:t xml:space="preserve">. </w:t>
            </w:r>
            <w:r w:rsidRPr="00092B73">
              <w:rPr>
                <w:rFonts w:ascii="Sylfaen" w:eastAsia="Sylfaen" w:hAnsi="Sylfaen" w:cs="Sylfaen"/>
                <w:sz w:val="16"/>
              </w:rPr>
              <w:t>ნარჩენები</w:t>
            </w:r>
            <w:r w:rsidRPr="00092B73">
              <w:rPr>
                <w:rFonts w:eastAsia="Sylfaen"/>
                <w:sz w:val="16"/>
              </w:rPr>
              <w:t xml:space="preserve"> </w:t>
            </w:r>
            <w:r w:rsidRPr="00092B73">
              <w:rPr>
                <w:rFonts w:ascii="Sylfaen" w:eastAsia="Sylfaen" w:hAnsi="Sylfaen" w:cs="Sylfaen"/>
                <w:sz w:val="16"/>
              </w:rPr>
              <w:t>განთავსდება</w:t>
            </w:r>
            <w:r w:rsidRPr="00092B73">
              <w:rPr>
                <w:rFonts w:eastAsia="Sylfaen"/>
                <w:sz w:val="16"/>
              </w:rPr>
              <w:t xml:space="preserve"> </w:t>
            </w:r>
            <w:r w:rsidRPr="00092B73">
              <w:rPr>
                <w:rFonts w:ascii="Sylfaen" w:eastAsia="Sylfaen" w:hAnsi="Sylfaen" w:cs="Sylfaen"/>
                <w:sz w:val="16"/>
              </w:rPr>
              <w:t>ჩვეულებრივ</w:t>
            </w:r>
            <w:r w:rsidRPr="00092B73">
              <w:rPr>
                <w:rFonts w:eastAsia="Sylfaen"/>
                <w:sz w:val="16"/>
              </w:rPr>
              <w:t xml:space="preserve"> </w:t>
            </w:r>
            <w:r w:rsidRPr="00092B73">
              <w:rPr>
                <w:rFonts w:ascii="Sylfaen" w:eastAsia="Sylfaen" w:hAnsi="Sylfaen" w:cs="Sylfaen"/>
                <w:sz w:val="16"/>
              </w:rPr>
              <w:t>ნაგავსაყრელზე</w:t>
            </w:r>
            <w:r w:rsidRPr="00092B73">
              <w:rPr>
                <w:rFonts w:eastAsia="Sylfaen"/>
                <w:sz w:val="16"/>
              </w:rPr>
              <w:t xml:space="preserve"> </w:t>
            </w:r>
            <w:r w:rsidRPr="00092B73">
              <w:rPr>
                <w:rFonts w:ascii="Sylfaen" w:eastAsia="Sylfaen" w:hAnsi="Sylfaen" w:cs="Sylfaen"/>
                <w:sz w:val="16"/>
              </w:rPr>
              <w:t>ადგილობრივ</w:t>
            </w:r>
            <w:r w:rsidRPr="00092B73">
              <w:rPr>
                <w:rFonts w:eastAsia="Sylfaen"/>
                <w:sz w:val="16"/>
              </w:rPr>
              <w:t xml:space="preserve"> </w:t>
            </w:r>
            <w:r w:rsidRPr="00092B73">
              <w:rPr>
                <w:rFonts w:ascii="Sylfaen" w:eastAsia="Sylfaen" w:hAnsi="Sylfaen" w:cs="Sylfaen"/>
                <w:sz w:val="16"/>
              </w:rPr>
              <w:t>ხელმძღვანელობასთან</w:t>
            </w:r>
            <w:r w:rsidRPr="00092B73">
              <w:rPr>
                <w:rFonts w:eastAsia="Sylfaen"/>
                <w:sz w:val="16"/>
              </w:rPr>
              <w:t xml:space="preserve"> </w:t>
            </w:r>
            <w:r w:rsidRPr="00092B73">
              <w:rPr>
                <w:rFonts w:ascii="Sylfaen" w:eastAsia="Sylfaen" w:hAnsi="Sylfaen" w:cs="Sylfaen"/>
                <w:sz w:val="16"/>
              </w:rPr>
              <w:t>შეთანხმების</w:t>
            </w:r>
            <w:r w:rsidRPr="00092B73">
              <w:rPr>
                <w:rFonts w:eastAsia="Sylfaen"/>
                <w:sz w:val="16"/>
              </w:rPr>
              <w:t xml:space="preserve">  </w:t>
            </w:r>
            <w:r w:rsidRPr="00092B73">
              <w:rPr>
                <w:rFonts w:ascii="Sylfaen" w:eastAsia="Sylfaen" w:hAnsi="Sylfaen" w:cs="Sylfaen"/>
                <w:sz w:val="16"/>
              </w:rPr>
              <w:t>შესაბამისად</w:t>
            </w:r>
            <w:r w:rsidRPr="00092B73">
              <w:rPr>
                <w:rFonts w:eastAsia="Sylfaen"/>
                <w:sz w:val="16"/>
              </w:rPr>
              <w:t xml:space="preserve">.  </w:t>
            </w:r>
            <w:r w:rsidRPr="00092B73">
              <w:rPr>
                <w:rFonts w:ascii="Sylfaen" w:eastAsia="Sylfaen" w:hAnsi="Sylfaen" w:cs="Sylfaen"/>
                <w:sz w:val="16"/>
              </w:rPr>
              <w:t>თუმცა</w:t>
            </w:r>
            <w:r w:rsidRPr="00092B73">
              <w:rPr>
                <w:rFonts w:eastAsia="Sylfaen"/>
                <w:sz w:val="16"/>
              </w:rPr>
              <w:t xml:space="preserve">  </w:t>
            </w:r>
            <w:r w:rsidRPr="00092B73">
              <w:rPr>
                <w:rFonts w:ascii="Sylfaen" w:eastAsia="Sylfaen" w:hAnsi="Sylfaen" w:cs="Sylfaen"/>
                <w:sz w:val="16"/>
              </w:rPr>
              <w:t>ნარჩენების</w:t>
            </w:r>
            <w:r w:rsidRPr="00092B73">
              <w:rPr>
                <w:rFonts w:eastAsia="Sylfaen"/>
                <w:sz w:val="16"/>
              </w:rPr>
              <w:t xml:space="preserve"> </w:t>
            </w:r>
            <w:r w:rsidRPr="00092B73">
              <w:rPr>
                <w:rFonts w:ascii="Sylfaen" w:eastAsia="Sylfaen" w:hAnsi="Sylfaen" w:cs="Sylfaen"/>
                <w:sz w:val="16"/>
              </w:rPr>
              <w:t>დროებითი</w:t>
            </w:r>
            <w:r w:rsidRPr="00092B73">
              <w:rPr>
                <w:rFonts w:eastAsia="Sylfaen"/>
                <w:sz w:val="16"/>
              </w:rPr>
              <w:t xml:space="preserve"> </w:t>
            </w:r>
            <w:r w:rsidRPr="00092B73">
              <w:rPr>
                <w:rFonts w:ascii="Sylfaen" w:eastAsia="Sylfaen" w:hAnsi="Sylfaen" w:cs="Sylfaen"/>
                <w:sz w:val="16"/>
              </w:rPr>
              <w:t>დასაწყობების</w:t>
            </w:r>
            <w:r w:rsidRPr="00092B73">
              <w:rPr>
                <w:rFonts w:eastAsia="Sylfaen"/>
                <w:sz w:val="16"/>
              </w:rPr>
              <w:t xml:space="preserve"> </w:t>
            </w:r>
            <w:r w:rsidRPr="00092B73">
              <w:rPr>
                <w:rFonts w:ascii="Sylfaen" w:eastAsia="Sylfaen" w:hAnsi="Sylfaen" w:cs="Sylfaen"/>
                <w:sz w:val="16"/>
              </w:rPr>
              <w:t>ადგილი</w:t>
            </w:r>
            <w:r w:rsidRPr="00092B73">
              <w:rPr>
                <w:rFonts w:eastAsia="Sylfaen"/>
                <w:sz w:val="16"/>
              </w:rPr>
              <w:t xml:space="preserve"> </w:t>
            </w:r>
            <w:r w:rsidRPr="00092B73">
              <w:rPr>
                <w:rFonts w:ascii="Sylfaen" w:eastAsia="Sylfaen" w:hAnsi="Sylfaen" w:cs="Sylfaen"/>
                <w:sz w:val="16"/>
              </w:rPr>
              <w:t>სათანადოდ</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იყოს</w:t>
            </w:r>
            <w:r w:rsidRPr="00092B73">
              <w:rPr>
                <w:rFonts w:eastAsia="Sylfaen"/>
                <w:sz w:val="16"/>
              </w:rPr>
              <w:t xml:space="preserve"> </w:t>
            </w:r>
            <w:r w:rsidRPr="00092B73">
              <w:rPr>
                <w:rFonts w:ascii="Sylfaen" w:eastAsia="Sylfaen" w:hAnsi="Sylfaen" w:cs="Sylfaen"/>
                <w:sz w:val="16"/>
              </w:rPr>
              <w:t>მოწყობილი</w:t>
            </w:r>
            <w:r w:rsidRPr="00092B73">
              <w:rPr>
                <w:rFonts w:eastAsia="Sylfaen"/>
                <w:sz w:val="16"/>
              </w:rPr>
              <w:t xml:space="preserve">. </w:t>
            </w:r>
            <w:r w:rsidRPr="00092B73">
              <w:rPr>
                <w:rFonts w:ascii="Sylfaen" w:eastAsia="Sylfaen" w:hAnsi="Sylfaen" w:cs="Sylfaen"/>
                <w:sz w:val="16"/>
              </w:rPr>
              <w:t>მაგ</w:t>
            </w:r>
            <w:r w:rsidRPr="00092B73">
              <w:rPr>
                <w:rFonts w:eastAsia="Sylfaen"/>
                <w:sz w:val="16"/>
              </w:rPr>
              <w:t xml:space="preserve">. </w:t>
            </w:r>
            <w:r w:rsidRPr="00092B73">
              <w:rPr>
                <w:rFonts w:ascii="Sylfaen" w:eastAsia="Sylfaen" w:hAnsi="Sylfaen" w:cs="Sylfaen"/>
                <w:sz w:val="16"/>
              </w:rPr>
              <w:t>გააჩნდეს</w:t>
            </w:r>
            <w:r w:rsidRPr="00092B73">
              <w:rPr>
                <w:rFonts w:eastAsia="Sylfaen"/>
                <w:sz w:val="16"/>
              </w:rPr>
              <w:t xml:space="preserve"> </w:t>
            </w:r>
            <w:r w:rsidRPr="00092B73">
              <w:rPr>
                <w:rFonts w:ascii="Sylfaen" w:eastAsia="Sylfaen" w:hAnsi="Sylfaen" w:cs="Sylfaen"/>
                <w:sz w:val="16"/>
              </w:rPr>
              <w:t>მეორადი</w:t>
            </w:r>
            <w:r w:rsidRPr="00092B73">
              <w:rPr>
                <w:rFonts w:eastAsia="Sylfaen"/>
                <w:sz w:val="16"/>
              </w:rPr>
              <w:t xml:space="preserve">  </w:t>
            </w:r>
            <w:r w:rsidRPr="00092B73">
              <w:rPr>
                <w:rFonts w:ascii="Sylfaen" w:eastAsia="Sylfaen" w:hAnsi="Sylfaen" w:cs="Sylfaen"/>
                <w:sz w:val="16"/>
              </w:rPr>
              <w:t>შემოღობვა</w:t>
            </w:r>
            <w:r w:rsidRPr="00092B73">
              <w:rPr>
                <w:rFonts w:eastAsia="Sylfaen"/>
                <w:sz w:val="16"/>
              </w:rPr>
              <w:t>.</w:t>
            </w:r>
          </w:p>
          <w:p w14:paraId="1456E2E6" w14:textId="77777777" w:rsidR="00092B73" w:rsidRPr="00092B73" w:rsidRDefault="00092B73" w:rsidP="000321C7">
            <w:pPr>
              <w:rPr>
                <w:rFonts w:eastAsia="Sylfaen"/>
                <w:sz w:val="16"/>
              </w:rPr>
            </w:pPr>
            <w:r w:rsidRPr="00092B73">
              <w:rPr>
                <w:rFonts w:ascii="Sylfaen" w:eastAsia="Sylfaen" w:hAnsi="Sylfaen" w:cs="Sylfaen"/>
                <w:sz w:val="16"/>
              </w:rPr>
              <w:t>დროებითი</w:t>
            </w:r>
            <w:r w:rsidRPr="00092B73">
              <w:rPr>
                <w:rFonts w:eastAsia="Sylfaen"/>
                <w:sz w:val="16"/>
              </w:rPr>
              <w:t xml:space="preserve"> </w:t>
            </w:r>
            <w:r w:rsidRPr="00092B73">
              <w:rPr>
                <w:rFonts w:ascii="Sylfaen" w:eastAsia="Sylfaen" w:hAnsi="Sylfaen" w:cs="Sylfaen"/>
                <w:sz w:val="16"/>
              </w:rPr>
              <w:t>განთავსების</w:t>
            </w:r>
            <w:r w:rsidRPr="00092B73">
              <w:rPr>
                <w:rFonts w:eastAsia="Sylfaen"/>
                <w:sz w:val="16"/>
              </w:rPr>
              <w:t xml:space="preserve"> </w:t>
            </w:r>
            <w:r w:rsidRPr="00092B73">
              <w:rPr>
                <w:rFonts w:ascii="Sylfaen" w:eastAsia="Sylfaen" w:hAnsi="Sylfaen" w:cs="Sylfaen"/>
                <w:sz w:val="16"/>
              </w:rPr>
              <w:t>ადგილი</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შეთანხმდეს</w:t>
            </w:r>
            <w:r w:rsidRPr="00092B73">
              <w:rPr>
                <w:rFonts w:eastAsia="Sylfaen"/>
                <w:sz w:val="16"/>
              </w:rPr>
              <w:t xml:space="preserve"> </w:t>
            </w:r>
            <w:r w:rsidRPr="00092B73">
              <w:rPr>
                <w:rFonts w:ascii="Sylfaen" w:eastAsia="Sylfaen" w:hAnsi="Sylfaen" w:cs="Sylfaen"/>
                <w:sz w:val="16"/>
              </w:rPr>
              <w:t>შესაბამის</w:t>
            </w:r>
            <w:r w:rsidRPr="00092B73">
              <w:rPr>
                <w:rFonts w:eastAsia="Sylfaen"/>
                <w:sz w:val="16"/>
              </w:rPr>
              <w:t xml:space="preserve"> </w:t>
            </w:r>
            <w:r w:rsidRPr="00092B73">
              <w:rPr>
                <w:rFonts w:ascii="Sylfaen" w:eastAsia="Sylfaen" w:hAnsi="Sylfaen" w:cs="Sylfaen"/>
                <w:sz w:val="16"/>
              </w:rPr>
              <w:t>უწყებასთან</w:t>
            </w:r>
          </w:p>
          <w:p w14:paraId="644B5690" w14:textId="77777777" w:rsidR="00092B73" w:rsidRPr="00092B73" w:rsidRDefault="00092B73" w:rsidP="000321C7">
            <w:pPr>
              <w:rPr>
                <w:rFonts w:eastAsia="Sylfaen"/>
                <w:sz w:val="16"/>
              </w:rPr>
            </w:pPr>
            <w:r w:rsidRPr="00092B73">
              <w:rPr>
                <w:rFonts w:ascii="Sylfaen" w:eastAsia="Sylfaen" w:hAnsi="Sylfaen" w:cs="Sylfaen"/>
                <w:sz w:val="16"/>
              </w:rPr>
              <w:t>გამოყენებული</w:t>
            </w:r>
            <w:r w:rsidRPr="00092B73">
              <w:rPr>
                <w:rFonts w:eastAsia="Sylfaen"/>
                <w:sz w:val="16"/>
              </w:rPr>
              <w:t xml:space="preserve"> </w:t>
            </w:r>
            <w:r w:rsidRPr="00092B73">
              <w:rPr>
                <w:rFonts w:ascii="Sylfaen" w:eastAsia="Sylfaen" w:hAnsi="Sylfaen" w:cs="Sylfaen"/>
                <w:sz w:val="16"/>
              </w:rPr>
              <w:t>ზეთის</w:t>
            </w:r>
            <w:r w:rsidRPr="00092B73">
              <w:rPr>
                <w:rFonts w:eastAsia="Sylfaen"/>
                <w:sz w:val="16"/>
              </w:rPr>
              <w:t xml:space="preserve"> </w:t>
            </w:r>
            <w:r w:rsidRPr="00092B73">
              <w:rPr>
                <w:rFonts w:ascii="Sylfaen" w:eastAsia="Sylfaen" w:hAnsi="Sylfaen" w:cs="Sylfaen"/>
                <w:sz w:val="16"/>
              </w:rPr>
              <w:t>გატანა</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მოხდეს</w:t>
            </w:r>
            <w:r w:rsidRPr="00092B73">
              <w:rPr>
                <w:rFonts w:eastAsia="Sylfaen"/>
                <w:sz w:val="16"/>
              </w:rPr>
              <w:t xml:space="preserve"> </w:t>
            </w:r>
            <w:r w:rsidRPr="00092B73">
              <w:rPr>
                <w:rFonts w:ascii="Sylfaen" w:eastAsia="Sylfaen" w:hAnsi="Sylfaen" w:cs="Sylfaen"/>
                <w:sz w:val="16"/>
              </w:rPr>
              <w:t>უახლოეს</w:t>
            </w:r>
            <w:r w:rsidRPr="00092B73">
              <w:rPr>
                <w:rFonts w:eastAsia="Sylfaen"/>
                <w:sz w:val="16"/>
              </w:rPr>
              <w:t xml:space="preserve"> </w:t>
            </w:r>
            <w:r w:rsidRPr="00092B73">
              <w:rPr>
                <w:rFonts w:ascii="Sylfaen" w:eastAsia="Sylfaen" w:hAnsi="Sylfaen" w:cs="Sylfaen"/>
                <w:sz w:val="16"/>
              </w:rPr>
              <w:t>გადამამუშავებელ</w:t>
            </w:r>
            <w:r w:rsidRPr="00092B73">
              <w:rPr>
                <w:rFonts w:eastAsia="Sylfaen"/>
                <w:sz w:val="16"/>
              </w:rPr>
              <w:t xml:space="preserve">  </w:t>
            </w:r>
            <w:r w:rsidRPr="00092B73">
              <w:rPr>
                <w:rFonts w:ascii="Sylfaen" w:eastAsia="Sylfaen" w:hAnsi="Sylfaen" w:cs="Sylfaen"/>
                <w:sz w:val="16"/>
              </w:rPr>
              <w:t>საწარმოში</w:t>
            </w:r>
            <w:r w:rsidRPr="00092B73">
              <w:rPr>
                <w:rFonts w:eastAsia="Sylfaen"/>
                <w:sz w:val="16"/>
              </w:rPr>
              <w:t xml:space="preserve">  </w:t>
            </w:r>
            <w:r w:rsidRPr="00092B73">
              <w:rPr>
                <w:rFonts w:ascii="Sylfaen" w:eastAsia="Sylfaen" w:hAnsi="Sylfaen" w:cs="Sylfaen"/>
                <w:sz w:val="16"/>
              </w:rPr>
              <w:t>ხელშეკრულების</w:t>
            </w:r>
            <w:r w:rsidRPr="00092B73">
              <w:rPr>
                <w:rFonts w:eastAsia="Sylfaen"/>
                <w:sz w:val="16"/>
              </w:rPr>
              <w:t xml:space="preserve"> </w:t>
            </w:r>
            <w:r w:rsidRPr="00092B73">
              <w:rPr>
                <w:rFonts w:ascii="Sylfaen" w:eastAsia="Sylfaen" w:hAnsi="Sylfaen" w:cs="Sylfaen"/>
                <w:sz w:val="16"/>
              </w:rPr>
              <w:t>შესაბამისად</w:t>
            </w:r>
            <w:r w:rsidRPr="00092B73">
              <w:rPr>
                <w:rFonts w:eastAsia="Sylfaen"/>
                <w:sz w:val="16"/>
              </w:rPr>
              <w:t>.</w:t>
            </w:r>
          </w:p>
          <w:p w14:paraId="3944B751" w14:textId="77777777" w:rsidR="00092B73" w:rsidRPr="00092B73" w:rsidRDefault="00092B73" w:rsidP="000321C7">
            <w:pPr>
              <w:rPr>
                <w:rFonts w:eastAsia="Sylfaen"/>
                <w:sz w:val="16"/>
              </w:rPr>
            </w:pPr>
            <w:r w:rsidRPr="00092B73">
              <w:rPr>
                <w:rFonts w:ascii="Sylfaen" w:eastAsia="Sylfaen" w:hAnsi="Sylfaen" w:cs="Sylfaen"/>
                <w:sz w:val="16"/>
              </w:rPr>
              <w:t>ნარჩენების</w:t>
            </w:r>
            <w:r w:rsidRPr="00092B73">
              <w:rPr>
                <w:rFonts w:eastAsia="Sylfaen"/>
                <w:sz w:val="16"/>
              </w:rPr>
              <w:t>,</w:t>
            </w:r>
            <w:r w:rsidRPr="00092B73">
              <w:rPr>
                <w:rFonts w:eastAsia="Sylfaen"/>
                <w:sz w:val="16"/>
              </w:rPr>
              <w:tab/>
            </w:r>
            <w:r w:rsidRPr="00092B73">
              <w:rPr>
                <w:rFonts w:ascii="Sylfaen" w:eastAsia="Sylfaen" w:hAnsi="Sylfaen" w:cs="Sylfaen"/>
                <w:sz w:val="16"/>
              </w:rPr>
              <w:t>განსაკუთრებით</w:t>
            </w:r>
            <w:r w:rsidRPr="00092B73">
              <w:rPr>
                <w:rFonts w:eastAsia="Sylfaen"/>
                <w:sz w:val="16"/>
              </w:rPr>
              <w:tab/>
            </w:r>
            <w:r w:rsidRPr="00092B73">
              <w:rPr>
                <w:rFonts w:ascii="Sylfaen" w:eastAsia="Sylfaen" w:hAnsi="Sylfaen" w:cs="Sylfaen"/>
                <w:sz w:val="16"/>
              </w:rPr>
              <w:t>სახიფათო</w:t>
            </w:r>
            <w:r w:rsidRPr="00092B73">
              <w:rPr>
                <w:rFonts w:eastAsia="Sylfaen"/>
                <w:sz w:val="16"/>
              </w:rPr>
              <w:t xml:space="preserve"> </w:t>
            </w:r>
            <w:r w:rsidRPr="00092B73">
              <w:rPr>
                <w:rFonts w:ascii="Sylfaen" w:eastAsia="Sylfaen" w:hAnsi="Sylfaen" w:cs="Sylfaen"/>
                <w:sz w:val="16"/>
              </w:rPr>
              <w:t>ნარჩენების</w:t>
            </w:r>
            <w:r w:rsidRPr="00092B73">
              <w:rPr>
                <w:rFonts w:eastAsia="Sylfaen"/>
                <w:sz w:val="16"/>
              </w:rPr>
              <w:t xml:space="preserve">,  </w:t>
            </w:r>
            <w:r w:rsidRPr="00092B73">
              <w:rPr>
                <w:rFonts w:ascii="Sylfaen" w:eastAsia="Sylfaen" w:hAnsi="Sylfaen" w:cs="Sylfaen"/>
                <w:sz w:val="16"/>
              </w:rPr>
              <w:t>მართვაში</w:t>
            </w:r>
            <w:r w:rsidRPr="00092B73">
              <w:rPr>
                <w:rFonts w:eastAsia="Sylfaen"/>
                <w:sz w:val="16"/>
              </w:rPr>
              <w:t xml:space="preserve">  </w:t>
            </w:r>
            <w:r w:rsidRPr="00092B73">
              <w:rPr>
                <w:rFonts w:ascii="Sylfaen" w:eastAsia="Sylfaen" w:hAnsi="Sylfaen" w:cs="Sylfaen"/>
                <w:sz w:val="16"/>
              </w:rPr>
              <w:t>მონაწილე</w:t>
            </w:r>
            <w:r w:rsidRPr="00092B73">
              <w:rPr>
                <w:rFonts w:eastAsia="Sylfaen"/>
                <w:sz w:val="16"/>
              </w:rPr>
              <w:t xml:space="preserve">  </w:t>
            </w:r>
            <w:r w:rsidRPr="00092B73">
              <w:rPr>
                <w:rFonts w:ascii="Sylfaen" w:eastAsia="Sylfaen" w:hAnsi="Sylfaen" w:cs="Sylfaen"/>
                <w:sz w:val="16"/>
              </w:rPr>
              <w:t>პერსონალის</w:t>
            </w:r>
            <w:r w:rsidRPr="00092B73">
              <w:rPr>
                <w:rFonts w:eastAsia="Sylfaen"/>
                <w:sz w:val="16"/>
              </w:rPr>
              <w:t xml:space="preserve"> </w:t>
            </w:r>
            <w:r w:rsidRPr="00092B73">
              <w:rPr>
                <w:rFonts w:ascii="Sylfaen" w:eastAsia="Sylfaen" w:hAnsi="Sylfaen" w:cs="Sylfaen"/>
                <w:sz w:val="16"/>
              </w:rPr>
              <w:t>ინსტრუქტაჟი</w:t>
            </w:r>
            <w:r w:rsidRPr="00092B73">
              <w:rPr>
                <w:rFonts w:eastAsia="Sylfaen"/>
                <w:sz w:val="16"/>
              </w:rPr>
              <w:tab/>
            </w:r>
            <w:r w:rsidRPr="00092B73">
              <w:rPr>
                <w:rFonts w:ascii="Sylfaen" w:eastAsia="Sylfaen" w:hAnsi="Sylfaen" w:cs="Sylfaen"/>
                <w:sz w:val="16"/>
              </w:rPr>
              <w:t>ნარჩენების</w:t>
            </w:r>
            <w:r w:rsidRPr="00092B73">
              <w:rPr>
                <w:rFonts w:eastAsia="Sylfaen"/>
                <w:sz w:val="16"/>
              </w:rPr>
              <w:tab/>
            </w:r>
            <w:r w:rsidRPr="00092B73">
              <w:rPr>
                <w:rFonts w:ascii="Sylfaen" w:eastAsia="Sylfaen" w:hAnsi="Sylfaen" w:cs="Sylfaen"/>
                <w:sz w:val="16"/>
              </w:rPr>
              <w:t>მართვის</w:t>
            </w:r>
            <w:r w:rsidRPr="00092B73">
              <w:rPr>
                <w:rFonts w:eastAsia="Sylfaen"/>
                <w:sz w:val="16"/>
              </w:rPr>
              <w:tab/>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უსაფრთხოებაში</w:t>
            </w:r>
            <w:r w:rsidRPr="00092B73">
              <w:rPr>
                <w:rFonts w:eastAsia="Sylfaen"/>
                <w:sz w:val="16"/>
              </w:rPr>
              <w:t>.</w:t>
            </w:r>
          </w:p>
          <w:p w14:paraId="1C397293" w14:textId="77777777" w:rsidR="00092B73" w:rsidRPr="00092B73" w:rsidRDefault="00092B73" w:rsidP="000321C7">
            <w:pPr>
              <w:rPr>
                <w:rFonts w:eastAsia="Sylfaen"/>
                <w:sz w:val="16"/>
              </w:rPr>
            </w:pPr>
            <w:r w:rsidRPr="00092B73">
              <w:rPr>
                <w:rFonts w:ascii="Sylfaen" w:eastAsia="Sylfaen" w:hAnsi="Sylfaen" w:cs="Sylfaen"/>
                <w:sz w:val="16"/>
              </w:rPr>
              <w:t>გამოყენებული</w:t>
            </w:r>
            <w:r w:rsidRPr="00092B73">
              <w:rPr>
                <w:rFonts w:eastAsia="Sylfaen"/>
                <w:sz w:val="16"/>
              </w:rPr>
              <w:t xml:space="preserve"> </w:t>
            </w:r>
            <w:r w:rsidRPr="00092B73">
              <w:rPr>
                <w:rFonts w:ascii="Sylfaen" w:eastAsia="Sylfaen" w:hAnsi="Sylfaen" w:cs="Sylfaen"/>
                <w:sz w:val="16"/>
              </w:rPr>
              <w:t>საბურავები</w:t>
            </w:r>
            <w:r w:rsidRPr="00092B73">
              <w:rPr>
                <w:rFonts w:eastAsia="Sylfaen"/>
                <w:sz w:val="16"/>
              </w:rPr>
              <w:t xml:space="preserve"> </w:t>
            </w:r>
            <w:r w:rsidRPr="00092B73">
              <w:rPr>
                <w:rFonts w:ascii="Sylfaen" w:eastAsia="Sylfaen" w:hAnsi="Sylfaen" w:cs="Sylfaen"/>
                <w:sz w:val="16"/>
              </w:rPr>
              <w:t>შეიძლება</w:t>
            </w:r>
            <w:r w:rsidRPr="00092B73">
              <w:rPr>
                <w:rFonts w:eastAsia="Sylfaen"/>
                <w:sz w:val="16"/>
              </w:rPr>
              <w:t xml:space="preserve"> </w:t>
            </w:r>
            <w:r w:rsidRPr="00092B73">
              <w:rPr>
                <w:rFonts w:ascii="Sylfaen" w:eastAsia="Sylfaen" w:hAnsi="Sylfaen" w:cs="Sylfaen"/>
                <w:sz w:val="16"/>
              </w:rPr>
              <w:t>იქნას</w:t>
            </w:r>
            <w:r w:rsidRPr="00092B73">
              <w:rPr>
                <w:rFonts w:eastAsia="Sylfaen"/>
                <w:sz w:val="16"/>
              </w:rPr>
              <w:t xml:space="preserve"> </w:t>
            </w:r>
            <w:r w:rsidRPr="00092B73">
              <w:rPr>
                <w:rFonts w:ascii="Sylfaen" w:eastAsia="Sylfaen" w:hAnsi="Sylfaen" w:cs="Sylfaen"/>
                <w:sz w:val="16"/>
              </w:rPr>
              <w:t>გატანილი</w:t>
            </w:r>
            <w:r w:rsidRPr="00092B73">
              <w:rPr>
                <w:rFonts w:eastAsia="Sylfaen"/>
                <w:sz w:val="16"/>
              </w:rPr>
              <w:t xml:space="preserve"> </w:t>
            </w:r>
            <w:r w:rsidRPr="00092B73">
              <w:rPr>
                <w:rFonts w:ascii="Sylfaen" w:eastAsia="Sylfaen" w:hAnsi="Sylfaen" w:cs="Sylfaen"/>
                <w:sz w:val="16"/>
              </w:rPr>
              <w:t>ჰაიდელბერ</w:t>
            </w:r>
            <w:r w:rsidRPr="00092B73">
              <w:rPr>
                <w:rFonts w:eastAsia="Sylfaen"/>
                <w:sz w:val="16"/>
              </w:rPr>
              <w:t xml:space="preserve">   </w:t>
            </w:r>
            <w:r w:rsidRPr="00092B73">
              <w:rPr>
                <w:rFonts w:ascii="Sylfaen" w:eastAsia="Sylfaen" w:hAnsi="Sylfaen" w:cs="Sylfaen"/>
                <w:sz w:val="16"/>
              </w:rPr>
              <w:t>ცემენტის</w:t>
            </w:r>
            <w:r w:rsidRPr="00092B73">
              <w:rPr>
                <w:rFonts w:eastAsia="Sylfaen"/>
                <w:sz w:val="16"/>
              </w:rPr>
              <w:t xml:space="preserve">   </w:t>
            </w:r>
            <w:r w:rsidRPr="00092B73">
              <w:rPr>
                <w:rFonts w:ascii="Sylfaen" w:eastAsia="Sylfaen" w:hAnsi="Sylfaen" w:cs="Sylfaen"/>
                <w:sz w:val="16"/>
              </w:rPr>
              <w:t>საწარმოში</w:t>
            </w:r>
            <w:r w:rsidRPr="00092B73">
              <w:rPr>
                <w:rFonts w:eastAsia="Sylfaen"/>
                <w:sz w:val="16"/>
              </w:rPr>
              <w:t xml:space="preserve">,   </w:t>
            </w:r>
            <w:r w:rsidRPr="00092B73">
              <w:rPr>
                <w:rFonts w:ascii="Sylfaen" w:eastAsia="Sylfaen" w:hAnsi="Sylfaen" w:cs="Sylfaen"/>
                <w:sz w:val="16"/>
              </w:rPr>
              <w:t>რომელიც</w:t>
            </w:r>
            <w:r w:rsidRPr="00092B73">
              <w:rPr>
                <w:rFonts w:eastAsia="Sylfaen"/>
                <w:sz w:val="16"/>
              </w:rPr>
              <w:t xml:space="preserve"> </w:t>
            </w:r>
            <w:r w:rsidRPr="00092B73">
              <w:rPr>
                <w:rFonts w:ascii="Sylfaen" w:eastAsia="Sylfaen" w:hAnsi="Sylfaen" w:cs="Sylfaen"/>
                <w:sz w:val="16"/>
              </w:rPr>
              <w:t>გამოიყენებს</w:t>
            </w:r>
            <w:r w:rsidRPr="00092B73">
              <w:rPr>
                <w:rFonts w:eastAsia="Sylfaen"/>
                <w:sz w:val="16"/>
              </w:rPr>
              <w:t xml:space="preserve">  </w:t>
            </w:r>
            <w:r w:rsidRPr="00092B73">
              <w:rPr>
                <w:rFonts w:ascii="Sylfaen" w:eastAsia="Sylfaen" w:hAnsi="Sylfaen" w:cs="Sylfaen"/>
                <w:sz w:val="16"/>
              </w:rPr>
              <w:t>მათ</w:t>
            </w:r>
            <w:r w:rsidRPr="00092B73">
              <w:rPr>
                <w:rFonts w:eastAsia="Sylfaen"/>
                <w:sz w:val="16"/>
              </w:rPr>
              <w:t xml:space="preserve">  </w:t>
            </w:r>
            <w:r w:rsidRPr="00092B73">
              <w:rPr>
                <w:rFonts w:ascii="Sylfaen" w:eastAsia="Sylfaen" w:hAnsi="Sylfaen" w:cs="Sylfaen"/>
                <w:sz w:val="16"/>
              </w:rPr>
              <w:t>საწვავად</w:t>
            </w:r>
            <w:r w:rsidRPr="00092B73">
              <w:rPr>
                <w:rFonts w:eastAsia="Sylfaen"/>
                <w:sz w:val="16"/>
              </w:rPr>
              <w:t xml:space="preserve">.  </w:t>
            </w:r>
            <w:r w:rsidRPr="00092B73">
              <w:rPr>
                <w:rFonts w:ascii="Sylfaen" w:eastAsia="Sylfaen" w:hAnsi="Sylfaen" w:cs="Sylfaen"/>
                <w:sz w:val="16"/>
              </w:rPr>
              <w:t>ამისთვია</w:t>
            </w:r>
            <w:r w:rsidRPr="00092B73">
              <w:rPr>
                <w:rFonts w:eastAsia="Sylfaen"/>
                <w:sz w:val="16"/>
              </w:rPr>
              <w:t xml:space="preserve">  </w:t>
            </w:r>
            <w:r w:rsidRPr="00092B73">
              <w:rPr>
                <w:rFonts w:ascii="Sylfaen" w:eastAsia="Sylfaen" w:hAnsi="Sylfaen" w:cs="Sylfaen"/>
                <w:sz w:val="16"/>
              </w:rPr>
              <w:t>საჭირო</w:t>
            </w:r>
            <w:r w:rsidRPr="00092B73">
              <w:rPr>
                <w:rFonts w:eastAsia="Sylfaen"/>
                <w:sz w:val="16"/>
              </w:rPr>
              <w:t xml:space="preserve"> </w:t>
            </w:r>
            <w:r w:rsidRPr="00092B73">
              <w:rPr>
                <w:rFonts w:ascii="Sylfaen" w:eastAsia="Sylfaen" w:hAnsi="Sylfaen" w:cs="Sylfaen"/>
                <w:sz w:val="16"/>
              </w:rPr>
              <w:t>იქნება</w:t>
            </w:r>
            <w:r w:rsidRPr="00092B73">
              <w:rPr>
                <w:rFonts w:eastAsia="Sylfaen"/>
                <w:sz w:val="16"/>
              </w:rPr>
              <w:t xml:space="preserve"> </w:t>
            </w:r>
            <w:r w:rsidRPr="00092B73">
              <w:rPr>
                <w:rFonts w:ascii="Sylfaen" w:eastAsia="Sylfaen" w:hAnsi="Sylfaen" w:cs="Sylfaen"/>
                <w:sz w:val="16"/>
              </w:rPr>
              <w:t>საწარნოს</w:t>
            </w:r>
            <w:r w:rsidRPr="00092B73">
              <w:rPr>
                <w:rFonts w:eastAsia="Sylfaen"/>
                <w:sz w:val="16"/>
              </w:rPr>
              <w:t xml:space="preserve"> </w:t>
            </w:r>
            <w:r w:rsidRPr="00092B73">
              <w:rPr>
                <w:rFonts w:ascii="Sylfaen" w:eastAsia="Sylfaen" w:hAnsi="Sylfaen" w:cs="Sylfaen"/>
                <w:sz w:val="16"/>
              </w:rPr>
              <w:t>ხელმძღვანელობასთან</w:t>
            </w:r>
            <w:r w:rsidRPr="00092B73">
              <w:rPr>
                <w:rFonts w:eastAsia="Sylfaen"/>
                <w:sz w:val="16"/>
              </w:rPr>
              <w:t xml:space="preserve"> </w:t>
            </w:r>
            <w:r w:rsidRPr="00092B73">
              <w:rPr>
                <w:rFonts w:ascii="Sylfaen" w:eastAsia="Sylfaen" w:hAnsi="Sylfaen" w:cs="Sylfaen"/>
                <w:sz w:val="16"/>
              </w:rPr>
              <w:t>მოლაპარაკება</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პირობების</w:t>
            </w:r>
            <w:r w:rsidRPr="00092B73">
              <w:rPr>
                <w:rFonts w:eastAsia="Sylfaen"/>
                <w:sz w:val="16"/>
              </w:rPr>
              <w:t xml:space="preserve"> </w:t>
            </w:r>
            <w:r w:rsidRPr="00092B73">
              <w:rPr>
                <w:rFonts w:ascii="Sylfaen" w:eastAsia="Sylfaen" w:hAnsi="Sylfaen" w:cs="Sylfaen"/>
                <w:sz w:val="16"/>
              </w:rPr>
              <w:t>განსაზღვრა</w:t>
            </w:r>
            <w:r w:rsidRPr="00092B73">
              <w:rPr>
                <w:rFonts w:eastAsia="Sylfaen"/>
                <w:sz w:val="16"/>
              </w:rPr>
              <w:t>.</w:t>
            </w:r>
          </w:p>
        </w:tc>
        <w:tc>
          <w:tcPr>
            <w:tcW w:w="2340" w:type="dxa"/>
            <w:tcBorders>
              <w:top w:val="single" w:sz="4" w:space="0" w:color="auto"/>
              <w:left w:val="single" w:sz="6" w:space="0" w:color="000000"/>
              <w:bottom w:val="nil"/>
              <w:right w:val="single" w:sz="6" w:space="0" w:color="000000"/>
            </w:tcBorders>
            <w:hideMark/>
          </w:tcPr>
          <w:p w14:paraId="62ED2434" w14:textId="77777777" w:rsidR="00092B73" w:rsidRPr="00092B73" w:rsidRDefault="00092B73" w:rsidP="000321C7">
            <w:pPr>
              <w:rPr>
                <w:rFonts w:eastAsia="Sylfaen"/>
                <w:sz w:val="16"/>
              </w:rPr>
            </w:pPr>
            <w:r w:rsidRPr="00092B73">
              <w:rPr>
                <w:rFonts w:ascii="Sylfaen" w:eastAsia="Sylfaen" w:hAnsi="Sylfaen" w:cs="Sylfaen"/>
                <w:sz w:val="16"/>
              </w:rPr>
              <w:t>ნაგავსაყრელზ</w:t>
            </w:r>
          </w:p>
          <w:p w14:paraId="3E92BE93" w14:textId="77777777" w:rsidR="00092B73" w:rsidRPr="00092B73" w:rsidRDefault="00092B73" w:rsidP="000321C7">
            <w:pPr>
              <w:rPr>
                <w:rFonts w:eastAsia="Sylfaen"/>
                <w:sz w:val="16"/>
              </w:rPr>
            </w:pPr>
            <w:r w:rsidRPr="00092B73">
              <w:rPr>
                <w:rFonts w:ascii="Sylfaen" w:eastAsia="Sylfaen" w:hAnsi="Sylfaen" w:cs="Sylfaen"/>
                <w:sz w:val="16"/>
              </w:rPr>
              <w:t>ე</w:t>
            </w:r>
            <w:r w:rsidRPr="00092B73">
              <w:rPr>
                <w:rFonts w:eastAsia="Sylfaen"/>
                <w:sz w:val="16"/>
              </w:rPr>
              <w:t xml:space="preserve"> </w:t>
            </w:r>
            <w:r w:rsidRPr="00092B73">
              <w:rPr>
                <w:rFonts w:ascii="Sylfaen" w:eastAsia="Sylfaen" w:hAnsi="Sylfaen" w:cs="Sylfaen"/>
                <w:sz w:val="16"/>
              </w:rPr>
              <w:t>გატანის</w:t>
            </w:r>
          </w:p>
          <w:p w14:paraId="1EA5E585" w14:textId="77777777" w:rsidR="00092B73" w:rsidRPr="00092B73" w:rsidRDefault="00092B73" w:rsidP="000321C7">
            <w:pPr>
              <w:rPr>
                <w:rFonts w:eastAsia="Sylfaen"/>
                <w:sz w:val="16"/>
              </w:rPr>
            </w:pPr>
            <w:r w:rsidRPr="00092B73">
              <w:rPr>
                <w:rFonts w:ascii="Sylfaen" w:eastAsia="Sylfaen" w:hAnsi="Sylfaen" w:cs="Sylfaen"/>
                <w:sz w:val="16"/>
              </w:rPr>
              <w:t>მომსახურების</w:t>
            </w:r>
          </w:p>
          <w:p w14:paraId="5D62EA2B" w14:textId="77777777" w:rsidR="00092B73" w:rsidRPr="00092B73" w:rsidRDefault="00092B73" w:rsidP="000321C7">
            <w:pPr>
              <w:rPr>
                <w:rFonts w:eastAsia="Sylfaen"/>
                <w:sz w:val="16"/>
              </w:rPr>
            </w:pPr>
            <w:r w:rsidRPr="00092B73">
              <w:rPr>
                <w:rFonts w:ascii="Sylfaen" w:eastAsia="Sylfaen" w:hAnsi="Sylfaen" w:cs="Sylfaen"/>
                <w:sz w:val="16"/>
              </w:rPr>
              <w:t>თვის</w:t>
            </w:r>
          </w:p>
          <w:p w14:paraId="36BE5F12" w14:textId="77777777" w:rsidR="00092B73" w:rsidRPr="00092B73" w:rsidRDefault="00092B73" w:rsidP="000321C7">
            <w:pPr>
              <w:rPr>
                <w:rFonts w:eastAsia="Sylfaen"/>
                <w:sz w:val="16"/>
              </w:rPr>
            </w:pPr>
            <w:r w:rsidRPr="00092B73">
              <w:rPr>
                <w:rFonts w:ascii="Sylfaen" w:eastAsia="Sylfaen" w:hAnsi="Sylfaen" w:cs="Sylfaen"/>
                <w:sz w:val="16"/>
              </w:rPr>
              <w:t>გასაწევისა</w:t>
            </w:r>
          </w:p>
          <w:p w14:paraId="4051FB26" w14:textId="77777777" w:rsidR="00092B73" w:rsidRPr="00092B73" w:rsidRDefault="00092B73" w:rsidP="000321C7">
            <w:pPr>
              <w:rPr>
                <w:rFonts w:eastAsia="Sylfaen"/>
                <w:sz w:val="16"/>
              </w:rPr>
            </w:pPr>
            <w:r w:rsidRPr="00092B73">
              <w:rPr>
                <w:rFonts w:eastAsia="Sylfaen"/>
                <w:sz w:val="16"/>
              </w:rPr>
              <w:t>(</w:t>
            </w:r>
            <w:r w:rsidRPr="00092B73">
              <w:rPr>
                <w:rFonts w:ascii="Sylfaen" w:eastAsia="Sylfaen" w:hAnsi="Sylfaen" w:cs="Sylfaen"/>
                <w:sz w:val="16"/>
              </w:rPr>
              <w:t>კონტრაქტის</w:t>
            </w:r>
          </w:p>
          <w:p w14:paraId="241CB0D5" w14:textId="77777777" w:rsidR="00092B73" w:rsidRPr="00092B73" w:rsidRDefault="00092B73" w:rsidP="000321C7">
            <w:pPr>
              <w:rPr>
                <w:rFonts w:eastAsia="Sylfaen"/>
                <w:sz w:val="16"/>
              </w:rPr>
            </w:pPr>
            <w:r w:rsidRPr="00092B73">
              <w:rPr>
                <w:rFonts w:ascii="Sylfaen" w:eastAsia="Sylfaen" w:hAnsi="Sylfaen" w:cs="Sylfaen"/>
                <w:sz w:val="16"/>
              </w:rPr>
              <w:t>საფუძველზე</w:t>
            </w:r>
            <w:r w:rsidRPr="00092B73">
              <w:rPr>
                <w:rFonts w:eastAsia="Sylfaen"/>
                <w:sz w:val="16"/>
              </w:rPr>
              <w:t>)</w:t>
            </w:r>
          </w:p>
          <w:p w14:paraId="7BB88E8D" w14:textId="77777777" w:rsidR="00092B73" w:rsidRPr="00092B73" w:rsidRDefault="00092B73" w:rsidP="000321C7">
            <w:pPr>
              <w:rPr>
                <w:rFonts w:eastAsia="Sylfaen"/>
                <w:sz w:val="16"/>
              </w:rPr>
            </w:pPr>
            <w:r w:rsidRPr="00092B73">
              <w:rPr>
                <w:rFonts w:ascii="Sylfaen" w:eastAsia="Sylfaen" w:hAnsi="Sylfaen" w:cs="Sylfaen"/>
                <w:sz w:val="16"/>
              </w:rPr>
              <w:t>ნავარაუდევი</w:t>
            </w:r>
          </w:p>
          <w:p w14:paraId="7241B9BF" w14:textId="77777777" w:rsidR="00092B73" w:rsidRPr="00092B73" w:rsidRDefault="00092B73" w:rsidP="000321C7">
            <w:pPr>
              <w:rPr>
                <w:rFonts w:eastAsia="Sylfaen"/>
                <w:sz w:val="16"/>
              </w:rPr>
            </w:pP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არის</w:t>
            </w:r>
            <w:r w:rsidRPr="00092B73">
              <w:rPr>
                <w:rFonts w:eastAsia="Sylfaen"/>
                <w:sz w:val="16"/>
              </w:rPr>
              <w:t>.</w:t>
            </w:r>
          </w:p>
        </w:tc>
        <w:tc>
          <w:tcPr>
            <w:tcW w:w="1204" w:type="dxa"/>
            <w:tcBorders>
              <w:top w:val="single" w:sz="4" w:space="0" w:color="auto"/>
              <w:left w:val="single" w:sz="6" w:space="0" w:color="000000"/>
              <w:bottom w:val="nil"/>
              <w:right w:val="single" w:sz="6" w:space="0" w:color="000000"/>
            </w:tcBorders>
            <w:hideMark/>
          </w:tcPr>
          <w:p w14:paraId="5E7FBE69" w14:textId="77777777" w:rsidR="00092B73" w:rsidRPr="00092B73" w:rsidRDefault="00092B73" w:rsidP="000321C7">
            <w:pPr>
              <w:rPr>
                <w:rFonts w:eastAsia="Sylfaen"/>
                <w:sz w:val="16"/>
              </w:rPr>
            </w:pPr>
            <w:r w:rsidRPr="00092B73">
              <w:rPr>
                <w:rFonts w:ascii="Sylfaen" w:eastAsia="Sylfaen" w:hAnsi="Sylfaen" w:cs="Sylfaen"/>
                <w:sz w:val="16"/>
              </w:rPr>
              <w:t>მშენებელი</w:t>
            </w:r>
            <w:r w:rsidRPr="00092B73">
              <w:rPr>
                <w:rFonts w:eastAsia="Sylfaen"/>
                <w:sz w:val="16"/>
              </w:rPr>
              <w:t xml:space="preserve"> </w:t>
            </w:r>
            <w:r w:rsidRPr="00092B73">
              <w:rPr>
                <w:rFonts w:ascii="Sylfaen" w:eastAsia="Sylfaen" w:hAnsi="Sylfaen" w:cs="Sylfaen"/>
                <w:sz w:val="16"/>
              </w:rPr>
              <w:t>კონტრაქტორი</w:t>
            </w:r>
          </w:p>
        </w:tc>
        <w:tc>
          <w:tcPr>
            <w:tcW w:w="1574" w:type="dxa"/>
            <w:tcBorders>
              <w:top w:val="single" w:sz="4" w:space="0" w:color="auto"/>
              <w:left w:val="single" w:sz="6" w:space="0" w:color="000000"/>
              <w:bottom w:val="nil"/>
              <w:right w:val="single" w:sz="6" w:space="0" w:color="000000"/>
            </w:tcBorders>
            <w:hideMark/>
          </w:tcPr>
          <w:p w14:paraId="65B89CE1" w14:textId="77777777" w:rsidR="00092B73" w:rsidRPr="00092B73" w:rsidRDefault="00092B73" w:rsidP="000321C7">
            <w:pPr>
              <w:rPr>
                <w:rFonts w:eastAsia="Sylfaen"/>
                <w:sz w:val="16"/>
                <w:lang w:val="ka-GE"/>
              </w:rPr>
            </w:pPr>
            <w:r w:rsidRPr="00092B73">
              <w:rPr>
                <w:rFonts w:ascii="Sylfaen" w:eastAsia="Sylfaen" w:hAnsi="Sylfaen" w:cs="Sylfaen"/>
                <w:sz w:val="16"/>
              </w:rPr>
              <w:t>საგზაო</w:t>
            </w:r>
            <w:r w:rsidRPr="00092B73">
              <w:rPr>
                <w:rFonts w:eastAsia="Sylfaen"/>
                <w:sz w:val="16"/>
              </w:rPr>
              <w:t xml:space="preserve"> </w:t>
            </w:r>
            <w:r w:rsidRPr="00092B73">
              <w:rPr>
                <w:rFonts w:ascii="Sylfaen" w:eastAsia="Sylfaen" w:hAnsi="Sylfaen" w:cs="Sylfaen"/>
                <w:sz w:val="16"/>
              </w:rPr>
              <w:t>დეპარტამენტი</w:t>
            </w:r>
          </w:p>
          <w:p w14:paraId="766762AA" w14:textId="77777777" w:rsidR="00092B73" w:rsidRPr="00092B73" w:rsidRDefault="00092B73" w:rsidP="000321C7">
            <w:pPr>
              <w:rPr>
                <w:rFonts w:eastAsia="Sylfaen"/>
                <w:sz w:val="16"/>
                <w:lang w:val="en-US"/>
              </w:rPr>
            </w:pPr>
            <w:r w:rsidRPr="00092B73">
              <w:rPr>
                <w:rFonts w:ascii="Sylfaen" w:eastAsia="Sylfaen" w:hAnsi="Sylfaen" w:cs="Sylfaen"/>
                <w:sz w:val="16"/>
              </w:rPr>
              <w:t>საზედამხედველო</w:t>
            </w:r>
            <w:r w:rsidRPr="00092B73">
              <w:rPr>
                <w:rFonts w:eastAsia="Sylfaen"/>
                <w:sz w:val="16"/>
              </w:rPr>
              <w:t xml:space="preserve"> </w:t>
            </w:r>
            <w:r w:rsidRPr="00092B73">
              <w:rPr>
                <w:rFonts w:ascii="Sylfaen" w:eastAsia="Sylfaen" w:hAnsi="Sylfaen" w:cs="Sylfaen"/>
                <w:sz w:val="16"/>
              </w:rPr>
              <w:t>კომპანია</w:t>
            </w:r>
          </w:p>
        </w:tc>
      </w:tr>
      <w:tr w:rsidR="00092B73" w:rsidRPr="00092B73" w14:paraId="301266F8" w14:textId="77777777" w:rsidTr="00C6605E">
        <w:trPr>
          <w:trHeight w:hRule="exact" w:val="1929"/>
        </w:trPr>
        <w:tc>
          <w:tcPr>
            <w:tcW w:w="1800" w:type="dxa"/>
            <w:tcBorders>
              <w:top w:val="single" w:sz="6" w:space="0" w:color="000000"/>
              <w:left w:val="single" w:sz="6" w:space="0" w:color="000000"/>
              <w:bottom w:val="single" w:sz="6" w:space="0" w:color="000000"/>
              <w:right w:val="single" w:sz="6" w:space="0" w:color="000000"/>
            </w:tcBorders>
            <w:hideMark/>
          </w:tcPr>
          <w:p w14:paraId="14ECEA08" w14:textId="77777777" w:rsidR="00092B73" w:rsidRPr="00092B73" w:rsidRDefault="00092B73" w:rsidP="000321C7">
            <w:pPr>
              <w:rPr>
                <w:sz w:val="16"/>
              </w:rPr>
            </w:pPr>
            <w:r w:rsidRPr="00092B73">
              <w:rPr>
                <w:rFonts w:ascii="Sylfaen" w:eastAsia="Sylfaen" w:hAnsi="Sylfaen" w:cs="Sylfaen"/>
                <w:sz w:val="16"/>
              </w:rPr>
              <w:t>სამშენებლო</w:t>
            </w:r>
            <w:r w:rsidRPr="00092B73">
              <w:rPr>
                <w:rFonts w:eastAsia="Sylfaen"/>
                <w:sz w:val="16"/>
              </w:rPr>
              <w:t xml:space="preserve"> </w:t>
            </w:r>
            <w:r w:rsidRPr="00092B73">
              <w:rPr>
                <w:rFonts w:ascii="Sylfaen" w:eastAsia="Sylfaen" w:hAnsi="Sylfaen" w:cs="Sylfaen"/>
                <w:sz w:val="16"/>
              </w:rPr>
              <w:t>უბნების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ბანაკების</w:t>
            </w:r>
            <w:r w:rsidRPr="00092B73">
              <w:rPr>
                <w:rFonts w:eastAsia="Sylfaen"/>
                <w:sz w:val="16"/>
              </w:rPr>
              <w:t xml:space="preserve"> </w:t>
            </w:r>
            <w:r w:rsidRPr="00092B73">
              <w:rPr>
                <w:rFonts w:ascii="Sylfaen" w:eastAsia="Sylfaen" w:hAnsi="Sylfaen" w:cs="Sylfaen"/>
                <w:sz w:val="16"/>
              </w:rPr>
              <w:t>მოწყობა</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ფუნქციონირება</w:t>
            </w:r>
          </w:p>
        </w:tc>
        <w:tc>
          <w:tcPr>
            <w:tcW w:w="1788" w:type="dxa"/>
            <w:tcBorders>
              <w:top w:val="single" w:sz="6" w:space="0" w:color="000000"/>
              <w:left w:val="single" w:sz="6" w:space="0" w:color="000000"/>
              <w:bottom w:val="single" w:sz="6" w:space="0" w:color="000000"/>
              <w:right w:val="single" w:sz="6" w:space="0" w:color="000000"/>
            </w:tcBorders>
            <w:hideMark/>
          </w:tcPr>
          <w:p w14:paraId="5FDB03CE" w14:textId="77777777" w:rsidR="00092B73" w:rsidRPr="00092B73" w:rsidRDefault="00092B73" w:rsidP="000321C7">
            <w:pPr>
              <w:rPr>
                <w:rFonts w:eastAsia="Sylfaen"/>
                <w:sz w:val="16"/>
              </w:rPr>
            </w:pPr>
            <w:r w:rsidRPr="00092B73">
              <w:rPr>
                <w:rFonts w:ascii="Sylfaen" w:eastAsia="Sylfaen" w:hAnsi="Sylfaen" w:cs="Sylfaen"/>
                <w:sz w:val="16"/>
              </w:rPr>
              <w:t>არასახიფათო</w:t>
            </w:r>
            <w:r w:rsidRPr="00092B73">
              <w:rPr>
                <w:rFonts w:eastAsia="Sylfaen"/>
                <w:sz w:val="16"/>
              </w:rPr>
              <w:t xml:space="preserve"> </w:t>
            </w:r>
            <w:r w:rsidRPr="00092B73">
              <w:rPr>
                <w:rFonts w:ascii="Sylfaen" w:eastAsia="Sylfaen" w:hAnsi="Sylfaen" w:cs="Sylfaen"/>
                <w:sz w:val="16"/>
              </w:rPr>
              <w:t>საყოფაცხოვრებო</w:t>
            </w:r>
            <w:r w:rsidRPr="00092B73">
              <w:rPr>
                <w:rFonts w:eastAsia="Sylfaen"/>
                <w:sz w:val="16"/>
              </w:rPr>
              <w:t xml:space="preserve"> </w:t>
            </w:r>
            <w:r w:rsidRPr="00092B73">
              <w:rPr>
                <w:rFonts w:ascii="Sylfaen" w:eastAsia="Sylfaen" w:hAnsi="Sylfaen" w:cs="Sylfaen"/>
                <w:sz w:val="16"/>
              </w:rPr>
              <w:t>ნარჩენების</w:t>
            </w:r>
            <w:r w:rsidRPr="00092B73">
              <w:rPr>
                <w:rFonts w:eastAsia="Sylfaen"/>
                <w:sz w:val="16"/>
              </w:rPr>
              <w:t xml:space="preserve"> </w:t>
            </w:r>
            <w:r w:rsidRPr="00092B73">
              <w:rPr>
                <w:rFonts w:ascii="Sylfaen" w:eastAsia="Sylfaen" w:hAnsi="Sylfaen" w:cs="Sylfaen"/>
                <w:sz w:val="16"/>
              </w:rPr>
              <w:t>წარმოქმნა</w:t>
            </w:r>
            <w:r w:rsidRPr="00092B73">
              <w:rPr>
                <w:rFonts w:eastAsia="Sylfaen"/>
                <w:sz w:val="16"/>
              </w:rPr>
              <w:t xml:space="preserve"> (</w:t>
            </w:r>
            <w:r w:rsidRPr="00092B73">
              <w:rPr>
                <w:rFonts w:ascii="Sylfaen" w:eastAsia="Sylfaen" w:hAnsi="Sylfaen" w:cs="Sylfaen"/>
                <w:sz w:val="16"/>
              </w:rPr>
              <w:t>საკვების</w:t>
            </w:r>
            <w:r w:rsidRPr="00092B73">
              <w:rPr>
                <w:rFonts w:eastAsia="Sylfaen"/>
                <w:sz w:val="16"/>
              </w:rPr>
              <w:t xml:space="preserve"> </w:t>
            </w:r>
            <w:r w:rsidRPr="00092B73">
              <w:rPr>
                <w:rFonts w:ascii="Sylfaen" w:eastAsia="Sylfaen" w:hAnsi="Sylfaen" w:cs="Sylfaen"/>
                <w:sz w:val="16"/>
              </w:rPr>
              <w:t>ნარჩენები</w:t>
            </w:r>
            <w:r w:rsidRPr="00092B73">
              <w:rPr>
                <w:rFonts w:eastAsia="Sylfaen"/>
                <w:sz w:val="16"/>
              </w:rPr>
              <w:t xml:space="preserve">, </w:t>
            </w:r>
            <w:r w:rsidRPr="00092B73">
              <w:rPr>
                <w:rFonts w:ascii="Sylfaen" w:eastAsia="Sylfaen" w:hAnsi="Sylfaen" w:cs="Sylfaen"/>
                <w:sz w:val="16"/>
              </w:rPr>
              <w:t>შესაფუთი</w:t>
            </w:r>
            <w:r w:rsidRPr="00092B73">
              <w:rPr>
                <w:rFonts w:eastAsia="Sylfaen"/>
                <w:sz w:val="16"/>
              </w:rPr>
              <w:t xml:space="preserve"> </w:t>
            </w:r>
            <w:r w:rsidRPr="00092B73">
              <w:rPr>
                <w:rFonts w:ascii="Sylfaen" w:eastAsia="Sylfaen" w:hAnsi="Sylfaen" w:cs="Sylfaen"/>
                <w:sz w:val="16"/>
              </w:rPr>
              <w:t>მასალა</w:t>
            </w:r>
            <w:r w:rsidRPr="00092B73">
              <w:rPr>
                <w:rFonts w:eastAsia="Sylfaen"/>
                <w:sz w:val="16"/>
              </w:rPr>
              <w:t xml:space="preserve">, </w:t>
            </w:r>
            <w:r w:rsidRPr="00092B73">
              <w:rPr>
                <w:rFonts w:ascii="Sylfaen" w:eastAsia="Sylfaen" w:hAnsi="Sylfaen" w:cs="Sylfaen"/>
                <w:sz w:val="16"/>
              </w:rPr>
              <w:t>პლასტმასის</w:t>
            </w:r>
            <w:r w:rsidRPr="00092B73">
              <w:rPr>
                <w:rFonts w:eastAsia="Sylfaen"/>
                <w:sz w:val="16"/>
              </w:rPr>
              <w:t xml:space="preserve"> </w:t>
            </w:r>
            <w:r w:rsidRPr="00092B73">
              <w:rPr>
                <w:rFonts w:ascii="Sylfaen" w:eastAsia="Sylfaen" w:hAnsi="Sylfaen" w:cs="Sylfaen"/>
                <w:sz w:val="16"/>
              </w:rPr>
              <w:t>ბოთლები</w:t>
            </w:r>
            <w:r w:rsidRPr="00092B73">
              <w:rPr>
                <w:rFonts w:eastAsia="Sylfaen"/>
                <w:sz w:val="16"/>
              </w:rPr>
              <w:t xml:space="preserve">, </w:t>
            </w:r>
            <w:r w:rsidRPr="00092B73">
              <w:rPr>
                <w:rFonts w:ascii="Sylfaen" w:eastAsia="Sylfaen" w:hAnsi="Sylfaen" w:cs="Sylfaen"/>
                <w:sz w:val="16"/>
              </w:rPr>
              <w:t>სხვ</w:t>
            </w:r>
            <w:r w:rsidRPr="00092B73">
              <w:rPr>
                <w:rFonts w:eastAsia="Sylfaen"/>
                <w:sz w:val="16"/>
              </w:rPr>
              <w:t>.)</w:t>
            </w:r>
          </w:p>
        </w:tc>
        <w:tc>
          <w:tcPr>
            <w:tcW w:w="6838" w:type="dxa"/>
            <w:tcBorders>
              <w:top w:val="single" w:sz="6" w:space="0" w:color="000000"/>
              <w:left w:val="single" w:sz="6" w:space="0" w:color="000000"/>
              <w:bottom w:val="single" w:sz="6" w:space="0" w:color="000000"/>
              <w:right w:val="single" w:sz="6" w:space="0" w:color="000000"/>
            </w:tcBorders>
            <w:hideMark/>
          </w:tcPr>
          <w:p w14:paraId="702DD9F0"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ნარჩენების</w:t>
            </w:r>
            <w:r w:rsidRPr="00092B73">
              <w:rPr>
                <w:rFonts w:eastAsia="Sylfaen"/>
                <w:sz w:val="16"/>
              </w:rPr>
              <w:t xml:space="preserve"> </w:t>
            </w:r>
            <w:r w:rsidRPr="00092B73">
              <w:rPr>
                <w:rFonts w:ascii="Sylfaen" w:eastAsia="Sylfaen" w:hAnsi="Sylfaen" w:cs="Sylfaen"/>
                <w:sz w:val="16"/>
              </w:rPr>
              <w:t>მართვის</w:t>
            </w:r>
            <w:r w:rsidRPr="00092B73">
              <w:rPr>
                <w:rFonts w:eastAsia="Sylfaen"/>
                <w:sz w:val="16"/>
              </w:rPr>
              <w:t xml:space="preserve"> </w:t>
            </w:r>
            <w:r w:rsidRPr="00092B73">
              <w:rPr>
                <w:rFonts w:ascii="Sylfaen" w:eastAsia="Sylfaen" w:hAnsi="Sylfaen" w:cs="Sylfaen"/>
                <w:sz w:val="16"/>
              </w:rPr>
              <w:t>გეგმის</w:t>
            </w:r>
            <w:r w:rsidRPr="00092B73">
              <w:rPr>
                <w:rFonts w:eastAsia="Sylfaen"/>
                <w:sz w:val="16"/>
              </w:rPr>
              <w:t xml:space="preserve"> </w:t>
            </w:r>
            <w:r w:rsidRPr="00092B73">
              <w:rPr>
                <w:rFonts w:ascii="Sylfaen" w:eastAsia="Sylfaen" w:hAnsi="Sylfaen" w:cs="Sylfaen"/>
                <w:sz w:val="16"/>
              </w:rPr>
              <w:t>მომზადება</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შესრულება</w:t>
            </w:r>
          </w:p>
          <w:p w14:paraId="2A0EBFCE"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ნარჩენები</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მოთავსდეს</w:t>
            </w:r>
            <w:r w:rsidRPr="00092B73">
              <w:rPr>
                <w:rFonts w:eastAsia="Sylfaen"/>
                <w:sz w:val="16"/>
              </w:rPr>
              <w:t xml:space="preserve"> </w:t>
            </w:r>
            <w:r w:rsidRPr="00092B73">
              <w:rPr>
                <w:rFonts w:ascii="Sylfaen" w:eastAsia="Sylfaen" w:hAnsi="Sylfaen" w:cs="Sylfaen"/>
                <w:sz w:val="16"/>
              </w:rPr>
              <w:t>სახურავიან</w:t>
            </w:r>
            <w:r w:rsidRPr="00092B73">
              <w:rPr>
                <w:rFonts w:eastAsia="Sylfaen"/>
                <w:sz w:val="16"/>
              </w:rPr>
              <w:t xml:space="preserve"> </w:t>
            </w:r>
            <w:r w:rsidRPr="00092B73">
              <w:rPr>
                <w:rFonts w:ascii="Sylfaen" w:eastAsia="Sylfaen" w:hAnsi="Sylfaen" w:cs="Sylfaen"/>
                <w:sz w:val="16"/>
              </w:rPr>
              <w:t>კონტეინერებში</w:t>
            </w:r>
            <w:r w:rsidRPr="00092B73">
              <w:rPr>
                <w:rFonts w:eastAsia="Sylfaen"/>
                <w:sz w:val="16"/>
              </w:rPr>
              <w:t xml:space="preserve"> </w:t>
            </w:r>
            <w:r w:rsidRPr="00092B73">
              <w:rPr>
                <w:rFonts w:ascii="Sylfaen" w:eastAsia="Sylfaen" w:hAnsi="Sylfaen" w:cs="Sylfaen"/>
                <w:sz w:val="16"/>
              </w:rPr>
              <w:t>გაფანტვის</w:t>
            </w:r>
            <w:r w:rsidRPr="00092B73">
              <w:rPr>
                <w:rFonts w:eastAsia="Sylfaen"/>
                <w:sz w:val="16"/>
              </w:rPr>
              <w:t xml:space="preserve">, </w:t>
            </w:r>
            <w:r w:rsidRPr="00092B73">
              <w:rPr>
                <w:rFonts w:ascii="Sylfaen" w:eastAsia="Sylfaen" w:hAnsi="Sylfaen" w:cs="Sylfaen"/>
                <w:sz w:val="16"/>
              </w:rPr>
              <w:t>სუნის</w:t>
            </w:r>
            <w:r w:rsidRPr="00092B73">
              <w:rPr>
                <w:rFonts w:eastAsia="Sylfaen"/>
                <w:sz w:val="16"/>
              </w:rPr>
              <w:t xml:space="preserve"> </w:t>
            </w:r>
            <w:r w:rsidRPr="00092B73">
              <w:rPr>
                <w:rFonts w:ascii="Sylfaen" w:eastAsia="Sylfaen" w:hAnsi="Sylfaen" w:cs="Sylfaen"/>
                <w:sz w:val="16"/>
              </w:rPr>
              <w:t>გავრცელების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ცხოველების</w:t>
            </w:r>
            <w:r w:rsidRPr="00092B73">
              <w:rPr>
                <w:rFonts w:eastAsia="Sylfaen"/>
                <w:sz w:val="16"/>
              </w:rPr>
              <w:t xml:space="preserve"> </w:t>
            </w:r>
            <w:r w:rsidRPr="00092B73">
              <w:rPr>
                <w:rFonts w:ascii="Sylfaen" w:eastAsia="Sylfaen" w:hAnsi="Sylfaen" w:cs="Sylfaen"/>
                <w:sz w:val="16"/>
              </w:rPr>
              <w:t>მოზიდვის</w:t>
            </w:r>
            <w:r w:rsidRPr="00092B73">
              <w:rPr>
                <w:rFonts w:eastAsia="Sylfaen"/>
                <w:sz w:val="16"/>
              </w:rPr>
              <w:t xml:space="preserve"> </w:t>
            </w:r>
            <w:r w:rsidRPr="00092B73">
              <w:rPr>
                <w:rFonts w:ascii="Sylfaen" w:eastAsia="Sylfaen" w:hAnsi="Sylfaen" w:cs="Sylfaen"/>
                <w:sz w:val="16"/>
              </w:rPr>
              <w:t>გამოსარიცხად</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წვიმის</w:t>
            </w:r>
            <w:r w:rsidRPr="00092B73">
              <w:rPr>
                <w:rFonts w:eastAsia="Sylfaen"/>
                <w:sz w:val="16"/>
              </w:rPr>
              <w:t>/</w:t>
            </w:r>
            <w:r w:rsidRPr="00092B73">
              <w:rPr>
                <w:rFonts w:ascii="Sylfaen" w:eastAsia="Sylfaen" w:hAnsi="Sylfaen" w:cs="Sylfaen"/>
                <w:sz w:val="16"/>
              </w:rPr>
              <w:t>თოვლისგან</w:t>
            </w:r>
            <w:r w:rsidRPr="00092B73">
              <w:rPr>
                <w:rFonts w:eastAsia="Sylfaen"/>
                <w:sz w:val="16"/>
              </w:rPr>
              <w:t xml:space="preserve"> </w:t>
            </w:r>
            <w:r w:rsidRPr="00092B73">
              <w:rPr>
                <w:rFonts w:ascii="Sylfaen" w:eastAsia="Sylfaen" w:hAnsi="Sylfaen" w:cs="Sylfaen"/>
                <w:sz w:val="16"/>
              </w:rPr>
              <w:t>დაცვის</w:t>
            </w:r>
            <w:r w:rsidRPr="00092B73">
              <w:rPr>
                <w:rFonts w:eastAsia="Sylfaen"/>
                <w:sz w:val="16"/>
              </w:rPr>
              <w:tab/>
            </w:r>
            <w:r w:rsidRPr="00092B73">
              <w:rPr>
                <w:rFonts w:ascii="Sylfaen" w:eastAsia="Sylfaen" w:hAnsi="Sylfaen" w:cs="Sylfaen"/>
                <w:sz w:val="16"/>
              </w:rPr>
              <w:t>მიზნით</w:t>
            </w:r>
            <w:r w:rsidRPr="00092B73">
              <w:rPr>
                <w:rFonts w:eastAsia="Sylfaen"/>
                <w:sz w:val="16"/>
              </w:rPr>
              <w:t xml:space="preserve">. </w:t>
            </w:r>
            <w:r w:rsidRPr="00092B73">
              <w:rPr>
                <w:rFonts w:ascii="Sylfaen" w:eastAsia="Sylfaen" w:hAnsi="Sylfaen" w:cs="Sylfaen"/>
                <w:sz w:val="16"/>
              </w:rPr>
              <w:t>კონტეინერები</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განთავსდეს</w:t>
            </w:r>
            <w:r w:rsidRPr="00092B73">
              <w:rPr>
                <w:rFonts w:eastAsia="Sylfaen"/>
                <w:sz w:val="16"/>
              </w:rPr>
              <w:t xml:space="preserve"> </w:t>
            </w:r>
            <w:r w:rsidRPr="00092B73">
              <w:rPr>
                <w:rFonts w:ascii="Sylfaen" w:eastAsia="Sylfaen" w:hAnsi="Sylfaen" w:cs="Sylfaen"/>
                <w:sz w:val="16"/>
              </w:rPr>
              <w:t>წინასწარ</w:t>
            </w:r>
            <w:r w:rsidRPr="00092B73">
              <w:rPr>
                <w:rFonts w:eastAsia="Sylfaen"/>
                <w:sz w:val="16"/>
              </w:rPr>
              <w:t xml:space="preserve"> </w:t>
            </w:r>
            <w:r w:rsidRPr="00092B73">
              <w:rPr>
                <w:rFonts w:ascii="Sylfaen" w:eastAsia="Sylfaen" w:hAnsi="Sylfaen" w:cs="Sylfaen"/>
                <w:sz w:val="16"/>
              </w:rPr>
              <w:t>განსაზღვრულ</w:t>
            </w:r>
            <w:r w:rsidRPr="00092B73">
              <w:rPr>
                <w:rFonts w:eastAsia="Sylfaen"/>
                <w:sz w:val="16"/>
              </w:rPr>
              <w:t xml:space="preserve"> </w:t>
            </w:r>
            <w:r w:rsidRPr="00092B73">
              <w:rPr>
                <w:rFonts w:ascii="Sylfaen" w:eastAsia="Sylfaen" w:hAnsi="Sylfaen" w:cs="Sylfaen"/>
                <w:sz w:val="16"/>
              </w:rPr>
              <w:t>უბნებზე</w:t>
            </w:r>
            <w:r w:rsidRPr="00092B73">
              <w:rPr>
                <w:rFonts w:eastAsia="Sylfaen"/>
                <w:sz w:val="16"/>
              </w:rPr>
              <w:t xml:space="preserve"> </w:t>
            </w:r>
            <w:r w:rsidRPr="00092B73">
              <w:rPr>
                <w:rFonts w:ascii="Sylfaen" w:eastAsia="Sylfaen" w:hAnsi="Sylfaen" w:cs="Sylfaen"/>
                <w:sz w:val="16"/>
              </w:rPr>
              <w:t>წყლის</w:t>
            </w:r>
            <w:r w:rsidRPr="00092B73">
              <w:rPr>
                <w:rFonts w:eastAsia="Sylfaen"/>
                <w:sz w:val="16"/>
              </w:rPr>
              <w:t xml:space="preserve"> </w:t>
            </w:r>
            <w:r w:rsidRPr="00092B73">
              <w:rPr>
                <w:rFonts w:ascii="Sylfaen" w:eastAsia="Sylfaen" w:hAnsi="Sylfaen" w:cs="Sylfaen"/>
                <w:sz w:val="16"/>
              </w:rPr>
              <w:t>ობიექტებისგან</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სამოძრაო</w:t>
            </w:r>
            <w:r w:rsidRPr="00092B73">
              <w:rPr>
                <w:rFonts w:eastAsia="Sylfaen"/>
                <w:sz w:val="16"/>
              </w:rPr>
              <w:t xml:space="preserve"> </w:t>
            </w:r>
            <w:r w:rsidRPr="00092B73">
              <w:rPr>
                <w:rFonts w:ascii="Sylfaen" w:eastAsia="Sylfaen" w:hAnsi="Sylfaen" w:cs="Sylfaen"/>
                <w:sz w:val="16"/>
              </w:rPr>
              <w:t>გზებისგან</w:t>
            </w:r>
            <w:r w:rsidRPr="00092B73">
              <w:rPr>
                <w:rFonts w:eastAsia="Sylfaen"/>
                <w:sz w:val="16"/>
              </w:rPr>
              <w:t xml:space="preserve"> </w:t>
            </w:r>
            <w:r w:rsidRPr="00092B73">
              <w:rPr>
                <w:rFonts w:ascii="Sylfaen" w:eastAsia="Sylfaen" w:hAnsi="Sylfaen" w:cs="Sylfaen"/>
                <w:sz w:val="16"/>
              </w:rPr>
              <w:t>მოცილებით</w:t>
            </w:r>
            <w:r w:rsidRPr="00092B73">
              <w:rPr>
                <w:rFonts w:eastAsia="Sylfaen"/>
                <w:sz w:val="16"/>
              </w:rPr>
              <w:t>.</w:t>
            </w:r>
          </w:p>
          <w:p w14:paraId="12E0FFCE"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პერსონალის</w:t>
            </w:r>
            <w:r w:rsidRPr="00092B73">
              <w:rPr>
                <w:rFonts w:eastAsia="Sylfaen"/>
                <w:sz w:val="16"/>
              </w:rPr>
              <w:t xml:space="preserve"> </w:t>
            </w:r>
            <w:r w:rsidRPr="00092B73">
              <w:rPr>
                <w:rFonts w:ascii="Sylfaen" w:eastAsia="Sylfaen" w:hAnsi="Sylfaen" w:cs="Sylfaen"/>
                <w:sz w:val="16"/>
              </w:rPr>
              <w:t>ინსტრუქტაჟი</w:t>
            </w:r>
            <w:r w:rsidRPr="00092B73">
              <w:rPr>
                <w:rFonts w:eastAsia="Sylfaen"/>
                <w:sz w:val="16"/>
              </w:rPr>
              <w:t xml:space="preserve"> </w:t>
            </w:r>
            <w:r w:rsidRPr="00092B73">
              <w:rPr>
                <w:rFonts w:ascii="Sylfaen" w:eastAsia="Sylfaen" w:hAnsi="Sylfaen" w:cs="Sylfaen"/>
                <w:sz w:val="16"/>
              </w:rPr>
              <w:t>ნარჩენების</w:t>
            </w:r>
            <w:r w:rsidRPr="00092B73">
              <w:rPr>
                <w:rFonts w:eastAsia="Sylfaen"/>
                <w:sz w:val="16"/>
              </w:rPr>
              <w:t xml:space="preserve"> </w:t>
            </w:r>
            <w:r w:rsidRPr="00092B73">
              <w:rPr>
                <w:rFonts w:ascii="Sylfaen" w:eastAsia="Sylfaen" w:hAnsi="Sylfaen" w:cs="Sylfaen"/>
                <w:sz w:val="16"/>
              </w:rPr>
              <w:t>სწორად</w:t>
            </w:r>
            <w:r w:rsidRPr="00092B73">
              <w:rPr>
                <w:rFonts w:eastAsia="Sylfaen"/>
                <w:sz w:val="16"/>
              </w:rPr>
              <w:t xml:space="preserve"> </w:t>
            </w:r>
            <w:r w:rsidRPr="00092B73">
              <w:rPr>
                <w:rFonts w:ascii="Sylfaen" w:eastAsia="Sylfaen" w:hAnsi="Sylfaen" w:cs="Sylfaen"/>
                <w:sz w:val="16"/>
              </w:rPr>
              <w:t>მენეჯმენტის</w:t>
            </w:r>
            <w:r w:rsidRPr="00092B73">
              <w:rPr>
                <w:rFonts w:eastAsia="Sylfaen"/>
                <w:sz w:val="16"/>
              </w:rPr>
              <w:t xml:space="preserve"> </w:t>
            </w:r>
            <w:r w:rsidRPr="00092B73">
              <w:rPr>
                <w:rFonts w:ascii="Sylfaen" w:eastAsia="Sylfaen" w:hAnsi="Sylfaen" w:cs="Sylfaen"/>
                <w:sz w:val="16"/>
              </w:rPr>
              <w:t>საკითხებში</w:t>
            </w:r>
            <w:r w:rsidRPr="00092B73">
              <w:rPr>
                <w:rFonts w:eastAsia="Sylfaen"/>
                <w:sz w:val="16"/>
              </w:rPr>
              <w:t>.</w:t>
            </w:r>
          </w:p>
        </w:tc>
        <w:tc>
          <w:tcPr>
            <w:tcW w:w="2340" w:type="dxa"/>
            <w:tcBorders>
              <w:top w:val="single" w:sz="6" w:space="0" w:color="000000"/>
              <w:left w:val="single" w:sz="6" w:space="0" w:color="000000"/>
              <w:bottom w:val="single" w:sz="6" w:space="0" w:color="000000"/>
              <w:right w:val="single" w:sz="6" w:space="0" w:color="000000"/>
            </w:tcBorders>
            <w:hideMark/>
          </w:tcPr>
          <w:p w14:paraId="5CC23DA1" w14:textId="77777777" w:rsidR="00092B73" w:rsidRPr="00092B73" w:rsidRDefault="00092B73" w:rsidP="000321C7">
            <w:pPr>
              <w:rPr>
                <w:rFonts w:eastAsia="Sylfaen"/>
                <w:sz w:val="16"/>
              </w:rPr>
            </w:pPr>
            <w:r w:rsidRPr="00092B73">
              <w:rPr>
                <w:rFonts w:ascii="Sylfaen" w:eastAsia="Sylfaen" w:hAnsi="Sylfaen" w:cs="Sylfaen"/>
                <w:sz w:val="16"/>
              </w:rPr>
              <w:t>სხვა</w:t>
            </w:r>
            <w:r w:rsidRPr="00092B73">
              <w:rPr>
                <w:rFonts w:eastAsia="Sylfaen"/>
                <w:sz w:val="16"/>
              </w:rPr>
              <w:t xml:space="preserve"> </w:t>
            </w:r>
            <w:r w:rsidRPr="00092B73">
              <w:rPr>
                <w:rFonts w:ascii="Sylfaen" w:eastAsia="Sylfaen" w:hAnsi="Sylfaen" w:cs="Sylfaen"/>
                <w:sz w:val="16"/>
              </w:rPr>
              <w:t>ხარჯები</w:t>
            </w:r>
            <w:r w:rsidRPr="00092B73">
              <w:rPr>
                <w:rFonts w:eastAsia="Sylfaen"/>
                <w:sz w:val="16"/>
              </w:rPr>
              <w:t xml:space="preserve"> </w:t>
            </w:r>
            <w:r w:rsidRPr="00092B73">
              <w:rPr>
                <w:rFonts w:ascii="Sylfaen" w:eastAsia="Sylfaen" w:hAnsi="Sylfaen" w:cs="Sylfaen"/>
                <w:sz w:val="16"/>
              </w:rPr>
              <w:t>გარდა</w:t>
            </w:r>
            <w:r w:rsidRPr="00092B73">
              <w:rPr>
                <w:rFonts w:eastAsia="Sylfaen"/>
                <w:sz w:val="16"/>
              </w:rPr>
              <w:t xml:space="preserve"> </w:t>
            </w:r>
            <w:r w:rsidRPr="00092B73">
              <w:rPr>
                <w:rFonts w:ascii="Sylfaen" w:eastAsia="Sylfaen" w:hAnsi="Sylfaen" w:cs="Sylfaen"/>
                <w:sz w:val="16"/>
              </w:rPr>
              <w:t>ნარჩენების</w:t>
            </w:r>
            <w:r w:rsidRPr="00092B73">
              <w:rPr>
                <w:rFonts w:eastAsia="Sylfaen"/>
                <w:sz w:val="16"/>
              </w:rPr>
              <w:t xml:space="preserve"> </w:t>
            </w:r>
            <w:r w:rsidRPr="00092B73">
              <w:rPr>
                <w:rFonts w:ascii="Sylfaen" w:eastAsia="Sylfaen" w:hAnsi="Sylfaen" w:cs="Sylfaen"/>
                <w:sz w:val="16"/>
              </w:rPr>
              <w:t>ნაგავსაყრელზ</w:t>
            </w:r>
            <w:r w:rsidRPr="00092B73">
              <w:rPr>
                <w:rFonts w:eastAsia="Sylfaen"/>
                <w:sz w:val="16"/>
              </w:rPr>
              <w:t xml:space="preserve"> </w:t>
            </w:r>
            <w:r w:rsidRPr="00092B73">
              <w:rPr>
                <w:rFonts w:ascii="Sylfaen" w:eastAsia="Sylfaen" w:hAnsi="Sylfaen" w:cs="Sylfaen"/>
                <w:sz w:val="16"/>
              </w:rPr>
              <w:t>ე</w:t>
            </w:r>
            <w:r w:rsidRPr="00092B73">
              <w:rPr>
                <w:rFonts w:eastAsia="Sylfaen"/>
                <w:sz w:val="16"/>
              </w:rPr>
              <w:t xml:space="preserve"> </w:t>
            </w:r>
            <w:r w:rsidRPr="00092B73">
              <w:rPr>
                <w:rFonts w:ascii="Sylfaen" w:eastAsia="Sylfaen" w:hAnsi="Sylfaen" w:cs="Sylfaen"/>
                <w:sz w:val="16"/>
              </w:rPr>
              <w:t>გატანის</w:t>
            </w:r>
            <w:r w:rsidRPr="00092B73">
              <w:rPr>
                <w:rFonts w:eastAsia="Sylfaen"/>
                <w:sz w:val="16"/>
              </w:rPr>
              <w:t xml:space="preserve"> </w:t>
            </w:r>
            <w:r w:rsidRPr="00092B73">
              <w:rPr>
                <w:rFonts w:ascii="Sylfaen" w:eastAsia="Sylfaen" w:hAnsi="Sylfaen" w:cs="Sylfaen"/>
                <w:sz w:val="16"/>
              </w:rPr>
              <w:t>მომსახურების</w:t>
            </w:r>
            <w:r w:rsidRPr="00092B73">
              <w:rPr>
                <w:rFonts w:eastAsia="Sylfaen"/>
                <w:sz w:val="16"/>
              </w:rPr>
              <w:t xml:space="preserve"> </w:t>
            </w:r>
            <w:r w:rsidRPr="00092B73">
              <w:rPr>
                <w:rFonts w:ascii="Sylfaen" w:eastAsia="Sylfaen" w:hAnsi="Sylfaen" w:cs="Sylfaen"/>
                <w:sz w:val="16"/>
              </w:rPr>
              <w:t>თვის</w:t>
            </w:r>
            <w:r w:rsidRPr="00092B73">
              <w:rPr>
                <w:rFonts w:eastAsia="Sylfaen"/>
                <w:sz w:val="16"/>
              </w:rPr>
              <w:t xml:space="preserve"> </w:t>
            </w:r>
            <w:r w:rsidRPr="00092B73">
              <w:rPr>
                <w:rFonts w:ascii="Sylfaen" w:eastAsia="Sylfaen" w:hAnsi="Sylfaen" w:cs="Sylfaen"/>
                <w:sz w:val="16"/>
              </w:rPr>
              <w:t>გასაწევისა</w:t>
            </w:r>
            <w:r w:rsidRPr="00092B73">
              <w:rPr>
                <w:rFonts w:eastAsia="Sylfaen"/>
                <w:sz w:val="16"/>
              </w:rPr>
              <w:t xml:space="preserve"> (</w:t>
            </w:r>
            <w:r w:rsidRPr="00092B73">
              <w:rPr>
                <w:rFonts w:ascii="Sylfaen" w:eastAsia="Sylfaen" w:hAnsi="Sylfaen" w:cs="Sylfaen"/>
                <w:sz w:val="16"/>
              </w:rPr>
              <w:t>კონტრაქტის</w:t>
            </w:r>
            <w:r w:rsidRPr="00092B73">
              <w:rPr>
                <w:rFonts w:eastAsia="Sylfaen"/>
                <w:sz w:val="16"/>
              </w:rPr>
              <w:t xml:space="preserve"> </w:t>
            </w:r>
            <w:r w:rsidRPr="00092B73">
              <w:rPr>
                <w:rFonts w:ascii="Sylfaen" w:eastAsia="Sylfaen" w:hAnsi="Sylfaen" w:cs="Sylfaen"/>
                <w:sz w:val="16"/>
              </w:rPr>
              <w:t>საფუძველზე</w:t>
            </w:r>
            <w:r w:rsidRPr="00092B73">
              <w:rPr>
                <w:rFonts w:eastAsia="Sylfaen"/>
                <w:sz w:val="16"/>
              </w:rPr>
              <w:t xml:space="preserve">) </w:t>
            </w:r>
            <w:r w:rsidRPr="00092B73">
              <w:rPr>
                <w:rFonts w:ascii="Sylfaen" w:eastAsia="Sylfaen" w:hAnsi="Sylfaen" w:cs="Sylfaen"/>
                <w:sz w:val="16"/>
              </w:rPr>
              <w:t>ნავარაუდევი</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არის</w:t>
            </w:r>
            <w:r w:rsidRPr="00092B73">
              <w:rPr>
                <w:rFonts w:eastAsia="Sylfaen"/>
                <w:sz w:val="16"/>
              </w:rPr>
              <w:t>.</w:t>
            </w:r>
          </w:p>
        </w:tc>
        <w:tc>
          <w:tcPr>
            <w:tcW w:w="1204" w:type="dxa"/>
            <w:tcBorders>
              <w:top w:val="single" w:sz="6" w:space="0" w:color="000000"/>
              <w:left w:val="single" w:sz="6" w:space="0" w:color="000000"/>
              <w:bottom w:val="single" w:sz="6" w:space="0" w:color="000000"/>
              <w:right w:val="single" w:sz="6" w:space="0" w:color="000000"/>
            </w:tcBorders>
            <w:hideMark/>
          </w:tcPr>
          <w:p w14:paraId="22C32162" w14:textId="77777777" w:rsidR="00092B73" w:rsidRPr="00092B73" w:rsidRDefault="00092B73" w:rsidP="000321C7">
            <w:pPr>
              <w:rPr>
                <w:rFonts w:eastAsia="Sylfaen"/>
                <w:sz w:val="16"/>
              </w:rPr>
            </w:pPr>
            <w:r w:rsidRPr="00092B73">
              <w:rPr>
                <w:rFonts w:ascii="Sylfaen" w:eastAsia="Sylfaen" w:hAnsi="Sylfaen" w:cs="Sylfaen"/>
                <w:sz w:val="16"/>
              </w:rPr>
              <w:t>მშენებელი</w:t>
            </w:r>
            <w:r w:rsidRPr="00092B73">
              <w:rPr>
                <w:rFonts w:eastAsia="Sylfaen"/>
                <w:sz w:val="16"/>
              </w:rPr>
              <w:t xml:space="preserve"> </w:t>
            </w:r>
            <w:r w:rsidRPr="00092B73">
              <w:rPr>
                <w:rFonts w:ascii="Sylfaen" w:eastAsia="Sylfaen" w:hAnsi="Sylfaen" w:cs="Sylfaen"/>
                <w:sz w:val="16"/>
              </w:rPr>
              <w:t>კონტრაქტორი</w:t>
            </w:r>
          </w:p>
        </w:tc>
        <w:tc>
          <w:tcPr>
            <w:tcW w:w="1586" w:type="dxa"/>
            <w:gridSpan w:val="2"/>
            <w:tcBorders>
              <w:top w:val="single" w:sz="6" w:space="0" w:color="000000"/>
              <w:left w:val="single" w:sz="6" w:space="0" w:color="000000"/>
              <w:bottom w:val="single" w:sz="6" w:space="0" w:color="000000"/>
              <w:right w:val="single" w:sz="6" w:space="0" w:color="000000"/>
            </w:tcBorders>
            <w:hideMark/>
          </w:tcPr>
          <w:p w14:paraId="32E4628D" w14:textId="77777777" w:rsidR="00092B73" w:rsidRPr="00092B73" w:rsidRDefault="00092B73" w:rsidP="000321C7">
            <w:pPr>
              <w:rPr>
                <w:rFonts w:eastAsia="Sylfaen"/>
                <w:sz w:val="16"/>
                <w:lang w:val="ka-GE"/>
              </w:rPr>
            </w:pPr>
            <w:r w:rsidRPr="00092B73">
              <w:rPr>
                <w:rFonts w:ascii="Sylfaen" w:eastAsia="Sylfaen" w:hAnsi="Sylfaen" w:cs="Sylfaen"/>
                <w:sz w:val="16"/>
              </w:rPr>
              <w:t>საგზაო</w:t>
            </w:r>
            <w:r w:rsidRPr="00092B73">
              <w:rPr>
                <w:rFonts w:eastAsia="Sylfaen"/>
                <w:sz w:val="16"/>
              </w:rPr>
              <w:t xml:space="preserve"> </w:t>
            </w:r>
            <w:r w:rsidRPr="00092B73">
              <w:rPr>
                <w:rFonts w:ascii="Sylfaen" w:eastAsia="Sylfaen" w:hAnsi="Sylfaen" w:cs="Sylfaen"/>
                <w:sz w:val="16"/>
              </w:rPr>
              <w:t>დეპარტამენტი</w:t>
            </w:r>
          </w:p>
          <w:p w14:paraId="7EA58CAB" w14:textId="77777777" w:rsidR="00092B73" w:rsidRPr="00092B73" w:rsidRDefault="00092B73" w:rsidP="000321C7">
            <w:pPr>
              <w:rPr>
                <w:rFonts w:eastAsia="Sylfaen"/>
                <w:sz w:val="16"/>
                <w:lang w:val="en-US"/>
              </w:rPr>
            </w:pPr>
            <w:r w:rsidRPr="00092B73">
              <w:rPr>
                <w:rFonts w:ascii="Sylfaen" w:eastAsia="Sylfaen" w:hAnsi="Sylfaen" w:cs="Sylfaen"/>
                <w:sz w:val="16"/>
              </w:rPr>
              <w:t>საზედამხედველო</w:t>
            </w:r>
            <w:r w:rsidRPr="00092B73">
              <w:rPr>
                <w:rFonts w:eastAsia="Sylfaen"/>
                <w:sz w:val="16"/>
              </w:rPr>
              <w:t xml:space="preserve"> </w:t>
            </w:r>
            <w:r w:rsidRPr="00092B73">
              <w:rPr>
                <w:rFonts w:ascii="Sylfaen" w:eastAsia="Sylfaen" w:hAnsi="Sylfaen" w:cs="Sylfaen"/>
                <w:sz w:val="16"/>
              </w:rPr>
              <w:t>კომპანია</w:t>
            </w:r>
          </w:p>
        </w:tc>
      </w:tr>
      <w:tr w:rsidR="00092B73" w:rsidRPr="00092B73" w14:paraId="6EBE74A6" w14:textId="77777777" w:rsidTr="00C6605E">
        <w:trPr>
          <w:trHeight w:hRule="exact" w:val="3369"/>
        </w:trPr>
        <w:tc>
          <w:tcPr>
            <w:tcW w:w="1800" w:type="dxa"/>
            <w:tcBorders>
              <w:top w:val="single" w:sz="6" w:space="0" w:color="000000"/>
              <w:left w:val="single" w:sz="6" w:space="0" w:color="000000"/>
              <w:bottom w:val="single" w:sz="4" w:space="0" w:color="auto"/>
              <w:right w:val="single" w:sz="6" w:space="0" w:color="000000"/>
            </w:tcBorders>
            <w:hideMark/>
          </w:tcPr>
          <w:p w14:paraId="4D0512D5" w14:textId="77777777" w:rsidR="00092B73" w:rsidRPr="00092B73" w:rsidRDefault="00092B73" w:rsidP="000321C7">
            <w:pPr>
              <w:rPr>
                <w:rFonts w:eastAsia="Sylfaen"/>
                <w:sz w:val="16"/>
              </w:rPr>
            </w:pPr>
            <w:r w:rsidRPr="00092B73">
              <w:rPr>
                <w:rFonts w:ascii="Sylfaen" w:eastAsia="Sylfaen" w:hAnsi="Sylfaen" w:cs="Sylfaen"/>
                <w:sz w:val="16"/>
              </w:rPr>
              <w:lastRenderedPageBreak/>
              <w:t>სხვადასხვა</w:t>
            </w:r>
            <w:r w:rsidRPr="00092B73">
              <w:rPr>
                <w:rFonts w:eastAsia="Sylfaen"/>
                <w:sz w:val="16"/>
              </w:rPr>
              <w:t xml:space="preserve"> </w:t>
            </w:r>
            <w:r w:rsidRPr="00092B73">
              <w:rPr>
                <w:rFonts w:ascii="Sylfaen" w:eastAsia="Sylfaen" w:hAnsi="Sylfaen" w:cs="Sylfaen"/>
                <w:sz w:val="16"/>
              </w:rPr>
              <w:t>სამშენებლო</w:t>
            </w:r>
            <w:r w:rsidRPr="00092B73">
              <w:rPr>
                <w:rFonts w:eastAsia="Sylfaen"/>
                <w:sz w:val="16"/>
              </w:rPr>
              <w:t xml:space="preserve"> </w:t>
            </w:r>
            <w:r w:rsidRPr="00092B73">
              <w:rPr>
                <w:rFonts w:ascii="Sylfaen" w:eastAsia="Sylfaen" w:hAnsi="Sylfaen" w:cs="Sylfaen"/>
                <w:sz w:val="16"/>
              </w:rPr>
              <w:t>სამუშაო</w:t>
            </w:r>
          </w:p>
        </w:tc>
        <w:tc>
          <w:tcPr>
            <w:tcW w:w="1788" w:type="dxa"/>
            <w:tcBorders>
              <w:top w:val="single" w:sz="6" w:space="0" w:color="000000"/>
              <w:left w:val="single" w:sz="6" w:space="0" w:color="000000"/>
              <w:bottom w:val="single" w:sz="4" w:space="0" w:color="auto"/>
              <w:right w:val="single" w:sz="6" w:space="0" w:color="000000"/>
            </w:tcBorders>
            <w:hideMark/>
          </w:tcPr>
          <w:p w14:paraId="56B04DF1" w14:textId="77777777" w:rsidR="00092B73" w:rsidRPr="00092B73" w:rsidRDefault="00092B73" w:rsidP="000321C7">
            <w:pPr>
              <w:rPr>
                <w:rFonts w:eastAsia="Sylfaen"/>
                <w:sz w:val="16"/>
              </w:rPr>
            </w:pPr>
            <w:r w:rsidRPr="00092B73">
              <w:rPr>
                <w:rFonts w:ascii="Sylfaen" w:eastAsia="Sylfaen" w:hAnsi="Sylfaen" w:cs="Sylfaen"/>
                <w:sz w:val="16"/>
              </w:rPr>
              <w:t>ზემოქმედება</w:t>
            </w:r>
            <w:r w:rsidRPr="00092B73">
              <w:rPr>
                <w:rFonts w:eastAsia="Sylfaen"/>
                <w:sz w:val="16"/>
              </w:rPr>
              <w:t xml:space="preserve"> </w:t>
            </w:r>
            <w:r w:rsidRPr="00092B73">
              <w:rPr>
                <w:rFonts w:ascii="Sylfaen" w:eastAsia="Sylfaen" w:hAnsi="Sylfaen" w:cs="Sylfaen"/>
                <w:sz w:val="16"/>
              </w:rPr>
              <w:t>ფაუნაზე</w:t>
            </w:r>
            <w:r w:rsidRPr="00092B73">
              <w:rPr>
                <w:rFonts w:eastAsia="Sylfaen"/>
                <w:sz w:val="16"/>
              </w:rPr>
              <w:t xml:space="preserve"> (</w:t>
            </w:r>
            <w:r w:rsidRPr="00092B73">
              <w:rPr>
                <w:rFonts w:ascii="Sylfaen" w:eastAsia="Sylfaen" w:hAnsi="Sylfaen" w:cs="Sylfaen"/>
                <w:sz w:val="16"/>
              </w:rPr>
              <w:t>უბედური</w:t>
            </w:r>
            <w:r w:rsidRPr="00092B73">
              <w:rPr>
                <w:rFonts w:eastAsia="Sylfaen"/>
                <w:sz w:val="16"/>
              </w:rPr>
              <w:t xml:space="preserve"> </w:t>
            </w:r>
            <w:r w:rsidRPr="00092B73">
              <w:rPr>
                <w:rFonts w:ascii="Sylfaen" w:eastAsia="Sylfaen" w:hAnsi="Sylfaen" w:cs="Sylfaen"/>
                <w:sz w:val="16"/>
              </w:rPr>
              <w:t>შემთხვევები</w:t>
            </w:r>
            <w:r w:rsidRPr="00092B73">
              <w:rPr>
                <w:rFonts w:eastAsia="Sylfaen"/>
                <w:sz w:val="16"/>
              </w:rPr>
              <w:t xml:space="preserve">, </w:t>
            </w:r>
            <w:r w:rsidRPr="00092B73">
              <w:rPr>
                <w:rFonts w:ascii="Sylfaen" w:eastAsia="Sylfaen" w:hAnsi="Sylfaen" w:cs="Sylfaen"/>
                <w:sz w:val="16"/>
              </w:rPr>
              <w:t>ჰაბიტატების</w:t>
            </w:r>
            <w:r w:rsidRPr="00092B73">
              <w:rPr>
                <w:rFonts w:eastAsia="Sylfaen"/>
                <w:sz w:val="16"/>
              </w:rPr>
              <w:t xml:space="preserve"> </w:t>
            </w:r>
            <w:r w:rsidRPr="00092B73">
              <w:rPr>
                <w:rFonts w:ascii="Sylfaen" w:eastAsia="Sylfaen" w:hAnsi="Sylfaen" w:cs="Sylfaen"/>
                <w:sz w:val="16"/>
              </w:rPr>
              <w:t>დაკარგვა</w:t>
            </w:r>
            <w:r w:rsidRPr="00092B73">
              <w:rPr>
                <w:rFonts w:eastAsia="Sylfaen"/>
                <w:sz w:val="16"/>
              </w:rPr>
              <w:tab/>
            </w:r>
            <w:r w:rsidRPr="00092B73">
              <w:rPr>
                <w:rFonts w:ascii="Sylfaen" w:eastAsia="Sylfaen" w:hAnsi="Sylfaen" w:cs="Sylfaen"/>
                <w:sz w:val="16"/>
              </w:rPr>
              <w:t>ან</w:t>
            </w:r>
            <w:r w:rsidRPr="00092B73">
              <w:rPr>
                <w:rFonts w:eastAsia="Sylfaen"/>
                <w:sz w:val="16"/>
              </w:rPr>
              <w:t xml:space="preserve"> </w:t>
            </w:r>
            <w:r w:rsidRPr="00092B73">
              <w:rPr>
                <w:rFonts w:ascii="Sylfaen" w:eastAsia="Sylfaen" w:hAnsi="Sylfaen" w:cs="Sylfaen"/>
                <w:sz w:val="16"/>
              </w:rPr>
              <w:t>იზოლაცია</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ა</w:t>
            </w:r>
            <w:r w:rsidRPr="00092B73">
              <w:rPr>
                <w:rFonts w:eastAsia="Sylfaen"/>
                <w:sz w:val="16"/>
              </w:rPr>
              <w:t>.</w:t>
            </w:r>
            <w:r w:rsidRPr="00092B73">
              <w:rPr>
                <w:rFonts w:ascii="Sylfaen" w:eastAsia="Sylfaen" w:hAnsi="Sylfaen" w:cs="Sylfaen"/>
                <w:sz w:val="16"/>
              </w:rPr>
              <w:t>შ</w:t>
            </w:r>
            <w:r w:rsidRPr="00092B73">
              <w:rPr>
                <w:rFonts w:eastAsia="Sylfaen"/>
                <w:sz w:val="16"/>
              </w:rPr>
              <w:t>.)</w:t>
            </w:r>
          </w:p>
        </w:tc>
        <w:tc>
          <w:tcPr>
            <w:tcW w:w="6838" w:type="dxa"/>
            <w:tcBorders>
              <w:top w:val="single" w:sz="6" w:space="0" w:color="000000"/>
              <w:left w:val="single" w:sz="6" w:space="0" w:color="000000"/>
              <w:bottom w:val="single" w:sz="4" w:space="0" w:color="auto"/>
              <w:right w:val="single" w:sz="6" w:space="0" w:color="000000"/>
            </w:tcBorders>
            <w:hideMark/>
          </w:tcPr>
          <w:p w14:paraId="44AB0B37"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თხრილები</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ორმოები</w:t>
            </w:r>
            <w:r w:rsidRPr="00092B73">
              <w:rPr>
                <w:rFonts w:eastAsia="Sylfaen"/>
                <w:sz w:val="16"/>
              </w:rPr>
              <w:t xml:space="preserve"> </w:t>
            </w:r>
            <w:r w:rsidRPr="00092B73">
              <w:rPr>
                <w:rFonts w:ascii="Sylfaen" w:eastAsia="Sylfaen" w:hAnsi="Sylfaen" w:cs="Sylfaen"/>
                <w:sz w:val="16"/>
              </w:rPr>
              <w:t>დაცული</w:t>
            </w:r>
            <w:r w:rsidRPr="00092B73">
              <w:rPr>
                <w:rFonts w:eastAsia="Sylfaen"/>
                <w:sz w:val="16"/>
              </w:rPr>
              <w:t xml:space="preserve"> (</w:t>
            </w:r>
            <w:r w:rsidRPr="00092B73">
              <w:rPr>
                <w:rFonts w:ascii="Sylfaen" w:eastAsia="Sylfaen" w:hAnsi="Sylfaen" w:cs="Sylfaen"/>
                <w:sz w:val="16"/>
              </w:rPr>
              <w:t>მაგ</w:t>
            </w:r>
            <w:r w:rsidRPr="00092B73">
              <w:rPr>
                <w:rFonts w:eastAsia="Sylfaen"/>
                <w:sz w:val="16"/>
              </w:rPr>
              <w:t xml:space="preserve">. </w:t>
            </w:r>
            <w:r w:rsidRPr="00092B73">
              <w:rPr>
                <w:rFonts w:ascii="Sylfaen" w:eastAsia="Sylfaen" w:hAnsi="Sylfaen" w:cs="Sylfaen"/>
                <w:sz w:val="16"/>
              </w:rPr>
              <w:t>შემოღობილი</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იყოს</w:t>
            </w:r>
            <w:r w:rsidRPr="00092B73">
              <w:rPr>
                <w:rFonts w:eastAsia="Sylfaen"/>
                <w:sz w:val="16"/>
              </w:rPr>
              <w:t xml:space="preserve"> </w:t>
            </w:r>
            <w:r w:rsidRPr="00092B73">
              <w:rPr>
                <w:rFonts w:ascii="Sylfaen" w:eastAsia="Sylfaen" w:hAnsi="Sylfaen" w:cs="Sylfaen"/>
                <w:sz w:val="16"/>
              </w:rPr>
              <w:t>ცხოველების</w:t>
            </w:r>
            <w:r w:rsidRPr="00092B73">
              <w:rPr>
                <w:rFonts w:eastAsia="Sylfaen"/>
                <w:sz w:val="16"/>
              </w:rPr>
              <w:t xml:space="preserve"> </w:t>
            </w:r>
            <w:r w:rsidRPr="00092B73">
              <w:rPr>
                <w:rFonts w:ascii="Sylfaen" w:eastAsia="Sylfaen" w:hAnsi="Sylfaen" w:cs="Sylfaen"/>
                <w:sz w:val="16"/>
              </w:rPr>
              <w:t>ჩავარდნისგან</w:t>
            </w:r>
            <w:r w:rsidRPr="00092B73">
              <w:rPr>
                <w:rFonts w:eastAsia="Sylfaen"/>
                <w:sz w:val="16"/>
              </w:rPr>
              <w:t xml:space="preserve"> </w:t>
            </w:r>
            <w:r w:rsidRPr="00092B73">
              <w:rPr>
                <w:rFonts w:ascii="Sylfaen" w:eastAsia="Sylfaen" w:hAnsi="Sylfaen" w:cs="Sylfaen"/>
                <w:sz w:val="16"/>
              </w:rPr>
              <w:t>დასაცავად</w:t>
            </w:r>
            <w:r w:rsidRPr="00092B73">
              <w:rPr>
                <w:rFonts w:eastAsia="Sylfaen"/>
                <w:sz w:val="16"/>
              </w:rPr>
              <w:t xml:space="preserve">. </w:t>
            </w:r>
            <w:r w:rsidRPr="00092B73">
              <w:rPr>
                <w:rFonts w:ascii="Sylfaen" w:eastAsia="Sylfaen" w:hAnsi="Sylfaen" w:cs="Sylfaen"/>
                <w:sz w:val="16"/>
              </w:rPr>
              <w:t>ფერადი</w:t>
            </w:r>
            <w:r w:rsidRPr="00092B73">
              <w:rPr>
                <w:rFonts w:eastAsia="Sylfaen"/>
                <w:sz w:val="16"/>
              </w:rPr>
              <w:t xml:space="preserve"> </w:t>
            </w:r>
            <w:r w:rsidRPr="00092B73">
              <w:rPr>
                <w:rFonts w:ascii="Sylfaen" w:eastAsia="Sylfaen" w:hAnsi="Sylfaen" w:cs="Sylfaen"/>
                <w:sz w:val="16"/>
              </w:rPr>
              <w:t>ლენტის</w:t>
            </w:r>
            <w:r w:rsidRPr="00092B73">
              <w:rPr>
                <w:rFonts w:eastAsia="Sylfaen"/>
                <w:sz w:val="16"/>
              </w:rPr>
              <w:t xml:space="preserve"> (</w:t>
            </w:r>
            <w:r w:rsidRPr="00092B73">
              <w:rPr>
                <w:rFonts w:ascii="Sylfaen" w:eastAsia="Sylfaen" w:hAnsi="Sylfaen" w:cs="Sylfaen"/>
                <w:sz w:val="16"/>
              </w:rPr>
              <w:t>დიდი</w:t>
            </w:r>
            <w:r w:rsidRPr="00092B73">
              <w:rPr>
                <w:rFonts w:eastAsia="Sylfaen"/>
                <w:sz w:val="16"/>
              </w:rPr>
              <w:t xml:space="preserve"> </w:t>
            </w:r>
            <w:r w:rsidRPr="00092B73">
              <w:rPr>
                <w:rFonts w:ascii="Sylfaen" w:eastAsia="Sylfaen" w:hAnsi="Sylfaen" w:cs="Sylfaen"/>
                <w:sz w:val="16"/>
              </w:rPr>
              <w:t>ცხოველებისთვის</w:t>
            </w:r>
            <w:r w:rsidRPr="00092B73">
              <w:rPr>
                <w:rFonts w:eastAsia="Sylfaen"/>
                <w:sz w:val="16"/>
              </w:rPr>
              <w:t xml:space="preserve">); </w:t>
            </w:r>
            <w:r w:rsidRPr="00092B73">
              <w:rPr>
                <w:rFonts w:ascii="Sylfaen" w:eastAsia="Sylfaen" w:hAnsi="Sylfaen" w:cs="Sylfaen"/>
                <w:sz w:val="16"/>
              </w:rPr>
              <w:t>ლითონის</w:t>
            </w:r>
            <w:r w:rsidRPr="00092B73">
              <w:rPr>
                <w:rFonts w:eastAsia="Sylfaen"/>
                <w:sz w:val="16"/>
              </w:rPr>
              <w:t xml:space="preserve"> </w:t>
            </w:r>
            <w:r w:rsidRPr="00092B73">
              <w:rPr>
                <w:rFonts w:ascii="Sylfaen" w:eastAsia="Sylfaen" w:hAnsi="Sylfaen" w:cs="Sylfaen"/>
                <w:sz w:val="16"/>
              </w:rPr>
              <w:t>ან</w:t>
            </w:r>
            <w:r w:rsidRPr="00092B73">
              <w:rPr>
                <w:rFonts w:eastAsia="Sylfaen"/>
                <w:sz w:val="16"/>
              </w:rPr>
              <w:t xml:space="preserve"> </w:t>
            </w:r>
            <w:r w:rsidRPr="00092B73">
              <w:rPr>
                <w:rFonts w:ascii="Sylfaen" w:eastAsia="Sylfaen" w:hAnsi="Sylfaen" w:cs="Sylfaen"/>
                <w:sz w:val="16"/>
              </w:rPr>
              <w:t>პლასტმასის</w:t>
            </w:r>
            <w:r w:rsidRPr="00092B73">
              <w:rPr>
                <w:rFonts w:eastAsia="Sylfaen"/>
                <w:sz w:val="16"/>
              </w:rPr>
              <w:t xml:space="preserve"> </w:t>
            </w:r>
            <w:r w:rsidRPr="00092B73">
              <w:rPr>
                <w:rFonts w:ascii="Sylfaen" w:eastAsia="Sylfaen" w:hAnsi="Sylfaen" w:cs="Sylfaen"/>
                <w:sz w:val="16"/>
              </w:rPr>
              <w:t>ღობეები</w:t>
            </w:r>
            <w:r w:rsidRPr="00092B73">
              <w:rPr>
                <w:rFonts w:eastAsia="Sylfaen"/>
                <w:sz w:val="16"/>
              </w:rPr>
              <w:t>/</w:t>
            </w:r>
            <w:r w:rsidRPr="00092B73">
              <w:rPr>
                <w:rFonts w:ascii="Sylfaen" w:eastAsia="Sylfaen" w:hAnsi="Sylfaen" w:cs="Sylfaen"/>
                <w:sz w:val="16"/>
              </w:rPr>
              <w:t>ფარები</w:t>
            </w:r>
            <w:r w:rsidRPr="00092B73">
              <w:rPr>
                <w:rFonts w:eastAsia="Sylfaen"/>
                <w:sz w:val="16"/>
              </w:rPr>
              <w:t xml:space="preserve"> (</w:t>
            </w:r>
            <w:r w:rsidRPr="00092B73">
              <w:rPr>
                <w:rFonts w:ascii="Sylfaen" w:eastAsia="Sylfaen" w:hAnsi="Sylfaen" w:cs="Sylfaen"/>
                <w:sz w:val="16"/>
              </w:rPr>
              <w:t>მცირე</w:t>
            </w:r>
            <w:r w:rsidRPr="00092B73">
              <w:rPr>
                <w:rFonts w:eastAsia="Sylfaen"/>
                <w:sz w:val="16"/>
              </w:rPr>
              <w:t xml:space="preserve"> </w:t>
            </w:r>
            <w:r w:rsidRPr="00092B73">
              <w:rPr>
                <w:rFonts w:ascii="Sylfaen" w:eastAsia="Sylfaen" w:hAnsi="Sylfaen" w:cs="Sylfaen"/>
                <w:sz w:val="16"/>
              </w:rPr>
              <w:t>ზომის</w:t>
            </w:r>
            <w:r w:rsidRPr="00092B73">
              <w:rPr>
                <w:rFonts w:eastAsia="Sylfaen"/>
                <w:sz w:val="16"/>
              </w:rPr>
              <w:t xml:space="preserve"> </w:t>
            </w:r>
            <w:r w:rsidRPr="00092B73">
              <w:rPr>
                <w:rFonts w:ascii="Sylfaen" w:eastAsia="Sylfaen" w:hAnsi="Sylfaen" w:cs="Sylfaen"/>
                <w:sz w:val="16"/>
              </w:rPr>
              <w:t>ცხოველებისთვის</w:t>
            </w:r>
            <w:r w:rsidRPr="00092B73">
              <w:rPr>
                <w:rFonts w:eastAsia="Sylfaen"/>
                <w:sz w:val="16"/>
              </w:rPr>
              <w:t xml:space="preserve">) </w:t>
            </w:r>
            <w:r w:rsidRPr="00092B73">
              <w:rPr>
                <w:rFonts w:ascii="Sylfaen" w:eastAsia="Sylfaen" w:hAnsi="Sylfaen" w:cs="Sylfaen"/>
                <w:sz w:val="16"/>
              </w:rPr>
              <w:t>შეიძლება</w:t>
            </w:r>
            <w:r w:rsidRPr="00092B73">
              <w:rPr>
                <w:rFonts w:eastAsia="Sylfaen"/>
                <w:sz w:val="16"/>
              </w:rPr>
              <w:t xml:space="preserve"> </w:t>
            </w:r>
            <w:r w:rsidRPr="00092B73">
              <w:rPr>
                <w:rFonts w:ascii="Sylfaen" w:eastAsia="Sylfaen" w:hAnsi="Sylfaen" w:cs="Sylfaen"/>
                <w:sz w:val="16"/>
              </w:rPr>
              <w:t>იყოს</w:t>
            </w:r>
            <w:r w:rsidRPr="00092B73">
              <w:rPr>
                <w:rFonts w:eastAsia="Sylfaen"/>
                <w:sz w:val="16"/>
              </w:rPr>
              <w:t xml:space="preserve"> </w:t>
            </w:r>
            <w:r w:rsidRPr="00092B73">
              <w:rPr>
                <w:rFonts w:ascii="Sylfaen" w:eastAsia="Sylfaen" w:hAnsi="Sylfaen" w:cs="Sylfaen"/>
                <w:sz w:val="16"/>
              </w:rPr>
              <w:t>გამოყენებული</w:t>
            </w:r>
            <w:r w:rsidRPr="00092B73">
              <w:rPr>
                <w:rFonts w:eastAsia="Sylfaen"/>
                <w:sz w:val="16"/>
              </w:rPr>
              <w:t xml:space="preserve">. </w:t>
            </w:r>
            <w:r w:rsidRPr="00092B73">
              <w:rPr>
                <w:rFonts w:ascii="Sylfaen" w:eastAsia="Sylfaen" w:hAnsi="Sylfaen" w:cs="Sylfaen"/>
                <w:sz w:val="16"/>
              </w:rPr>
              <w:t>მიუხედავად</w:t>
            </w:r>
            <w:r w:rsidRPr="00092B73">
              <w:rPr>
                <w:rFonts w:eastAsia="Sylfaen"/>
                <w:sz w:val="16"/>
              </w:rPr>
              <w:t xml:space="preserve"> </w:t>
            </w:r>
            <w:r w:rsidRPr="00092B73">
              <w:rPr>
                <w:rFonts w:ascii="Sylfaen" w:eastAsia="Sylfaen" w:hAnsi="Sylfaen" w:cs="Sylfaen"/>
                <w:sz w:val="16"/>
              </w:rPr>
              <w:t>ამისა</w:t>
            </w:r>
            <w:r w:rsidRPr="00092B73">
              <w:rPr>
                <w:rFonts w:eastAsia="Sylfaen"/>
                <w:sz w:val="16"/>
              </w:rPr>
              <w:t xml:space="preserve">, </w:t>
            </w:r>
            <w:r w:rsidRPr="00092B73">
              <w:rPr>
                <w:rFonts w:ascii="Sylfaen" w:eastAsia="Sylfaen" w:hAnsi="Sylfaen" w:cs="Sylfaen"/>
                <w:sz w:val="16"/>
              </w:rPr>
              <w:t>თხრილში</w:t>
            </w:r>
            <w:r w:rsidRPr="00092B73">
              <w:rPr>
                <w:rFonts w:eastAsia="Sylfaen"/>
                <w:sz w:val="16"/>
              </w:rPr>
              <w:t>/</w:t>
            </w:r>
            <w:r w:rsidRPr="00092B73">
              <w:rPr>
                <w:rFonts w:ascii="Sylfaen" w:eastAsia="Sylfaen" w:hAnsi="Sylfaen" w:cs="Sylfaen"/>
                <w:sz w:val="16"/>
              </w:rPr>
              <w:t>ორმოში</w:t>
            </w:r>
            <w:r w:rsidRPr="00092B73">
              <w:rPr>
                <w:rFonts w:eastAsia="Sylfaen"/>
                <w:sz w:val="16"/>
              </w:rPr>
              <w:t xml:space="preserve"> </w:t>
            </w:r>
            <w:r w:rsidRPr="00092B73">
              <w:rPr>
                <w:rFonts w:ascii="Sylfaen" w:eastAsia="Sylfaen" w:hAnsi="Sylfaen" w:cs="Sylfaen"/>
                <w:sz w:val="16"/>
              </w:rPr>
              <w:t>შემთხვევით</w:t>
            </w:r>
            <w:r w:rsidRPr="00092B73">
              <w:rPr>
                <w:rFonts w:eastAsia="Sylfaen"/>
                <w:sz w:val="16"/>
              </w:rPr>
              <w:t xml:space="preserve"> </w:t>
            </w:r>
            <w:r w:rsidRPr="00092B73">
              <w:rPr>
                <w:rFonts w:ascii="Sylfaen" w:eastAsia="Sylfaen" w:hAnsi="Sylfaen" w:cs="Sylfaen"/>
                <w:sz w:val="16"/>
              </w:rPr>
              <w:t>მოხვედრილი</w:t>
            </w:r>
            <w:r w:rsidRPr="00092B73">
              <w:rPr>
                <w:rFonts w:eastAsia="Sylfaen"/>
                <w:sz w:val="16"/>
              </w:rPr>
              <w:t xml:space="preserve"> </w:t>
            </w:r>
            <w:r w:rsidRPr="00092B73">
              <w:rPr>
                <w:rFonts w:ascii="Sylfaen" w:eastAsia="Sylfaen" w:hAnsi="Sylfaen" w:cs="Sylfaen"/>
                <w:sz w:val="16"/>
              </w:rPr>
              <w:t>ცხოველის</w:t>
            </w:r>
            <w:r w:rsidRPr="00092B73">
              <w:rPr>
                <w:rFonts w:eastAsia="Sylfaen"/>
                <w:sz w:val="16"/>
              </w:rPr>
              <w:t xml:space="preserve"> </w:t>
            </w:r>
            <w:r w:rsidRPr="00092B73">
              <w:rPr>
                <w:rFonts w:ascii="Sylfaen" w:eastAsia="Sylfaen" w:hAnsi="Sylfaen" w:cs="Sylfaen"/>
                <w:sz w:val="16"/>
              </w:rPr>
              <w:t>ჩამწყვდევა</w:t>
            </w:r>
            <w:r w:rsidRPr="00092B73">
              <w:rPr>
                <w:rFonts w:eastAsia="Sylfaen"/>
                <w:sz w:val="16"/>
              </w:rPr>
              <w:t xml:space="preserve"> </w:t>
            </w:r>
            <w:r w:rsidRPr="00092B73">
              <w:rPr>
                <w:rFonts w:ascii="Sylfaen" w:eastAsia="Sylfaen" w:hAnsi="Sylfaen" w:cs="Sylfaen"/>
                <w:sz w:val="16"/>
              </w:rPr>
              <w:t>რომ</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მოხდეს</w:t>
            </w:r>
            <w:r w:rsidRPr="00092B73">
              <w:rPr>
                <w:rFonts w:eastAsia="Sylfaen"/>
                <w:sz w:val="16"/>
              </w:rPr>
              <w:t xml:space="preserve"> </w:t>
            </w:r>
            <w:r w:rsidRPr="00092B73">
              <w:rPr>
                <w:rFonts w:ascii="Sylfaen" w:eastAsia="Sylfaen" w:hAnsi="Sylfaen" w:cs="Sylfaen"/>
                <w:sz w:val="16"/>
              </w:rPr>
              <w:t>სამუშაო</w:t>
            </w:r>
            <w:r w:rsidRPr="00092B73">
              <w:rPr>
                <w:rFonts w:eastAsia="Sylfaen"/>
                <w:sz w:val="16"/>
              </w:rPr>
              <w:t xml:space="preserve"> </w:t>
            </w:r>
            <w:r w:rsidRPr="00092B73">
              <w:rPr>
                <w:rFonts w:ascii="Sylfaen" w:eastAsia="Sylfaen" w:hAnsi="Sylfaen" w:cs="Sylfaen"/>
                <w:sz w:val="16"/>
              </w:rPr>
              <w:t>ცვლის</w:t>
            </w:r>
            <w:r w:rsidRPr="00092B73">
              <w:rPr>
                <w:rFonts w:eastAsia="Sylfaen"/>
                <w:sz w:val="16"/>
              </w:rPr>
              <w:t xml:space="preserve"> </w:t>
            </w:r>
            <w:r w:rsidRPr="00092B73">
              <w:rPr>
                <w:rFonts w:ascii="Sylfaen" w:eastAsia="Sylfaen" w:hAnsi="Sylfaen" w:cs="Sylfaen"/>
                <w:sz w:val="16"/>
              </w:rPr>
              <w:t>დამთავრების</w:t>
            </w:r>
            <w:r w:rsidRPr="00092B73">
              <w:rPr>
                <w:rFonts w:eastAsia="Sylfaen"/>
                <w:sz w:val="16"/>
              </w:rPr>
              <w:t xml:space="preserve"> </w:t>
            </w:r>
            <w:r w:rsidRPr="00092B73">
              <w:rPr>
                <w:rFonts w:ascii="Sylfaen" w:eastAsia="Sylfaen" w:hAnsi="Sylfaen" w:cs="Sylfaen"/>
                <w:sz w:val="16"/>
              </w:rPr>
              <w:t>შემდეგ</w:t>
            </w:r>
            <w:r w:rsidRPr="00092B73">
              <w:rPr>
                <w:rFonts w:eastAsia="Sylfaen"/>
                <w:sz w:val="16"/>
              </w:rPr>
              <w:t xml:space="preserve"> </w:t>
            </w:r>
            <w:r w:rsidRPr="00092B73">
              <w:rPr>
                <w:rFonts w:ascii="Sylfaen" w:eastAsia="Sylfaen" w:hAnsi="Sylfaen" w:cs="Sylfaen"/>
                <w:sz w:val="16"/>
              </w:rPr>
              <w:t>ორმოში</w:t>
            </w:r>
            <w:r w:rsidRPr="00092B73">
              <w:rPr>
                <w:rFonts w:eastAsia="Sylfaen"/>
                <w:sz w:val="16"/>
              </w:rPr>
              <w:t>/</w:t>
            </w:r>
            <w:r w:rsidRPr="00092B73">
              <w:rPr>
                <w:rFonts w:ascii="Sylfaen" w:eastAsia="Sylfaen" w:hAnsi="Sylfaen" w:cs="Sylfaen"/>
                <w:sz w:val="16"/>
              </w:rPr>
              <w:t>თხრილში</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ჩაიდოს</w:t>
            </w:r>
            <w:r w:rsidRPr="00092B73">
              <w:rPr>
                <w:rFonts w:eastAsia="Sylfaen"/>
                <w:sz w:val="16"/>
              </w:rPr>
              <w:t xml:space="preserve"> </w:t>
            </w:r>
            <w:r w:rsidRPr="00092B73">
              <w:rPr>
                <w:rFonts w:ascii="Sylfaen" w:eastAsia="Sylfaen" w:hAnsi="Sylfaen" w:cs="Sylfaen"/>
                <w:sz w:val="16"/>
              </w:rPr>
              <w:t>ფიცრის</w:t>
            </w:r>
            <w:r w:rsidRPr="00092B73">
              <w:rPr>
                <w:rFonts w:eastAsia="Sylfaen"/>
                <w:sz w:val="16"/>
              </w:rPr>
              <w:t xml:space="preserve"> </w:t>
            </w:r>
            <w:r w:rsidRPr="00092B73">
              <w:rPr>
                <w:rFonts w:ascii="Sylfaen" w:eastAsia="Sylfaen" w:hAnsi="Sylfaen" w:cs="Sylfaen"/>
                <w:sz w:val="16"/>
              </w:rPr>
              <w:t>ნაჭერი</w:t>
            </w:r>
            <w:r w:rsidRPr="00092B73">
              <w:rPr>
                <w:rFonts w:eastAsia="Sylfaen"/>
                <w:sz w:val="16"/>
              </w:rPr>
              <w:t xml:space="preserve"> </w:t>
            </w:r>
            <w:r w:rsidRPr="00092B73">
              <w:rPr>
                <w:rFonts w:ascii="Sylfaen" w:eastAsia="Sylfaen" w:hAnsi="Sylfaen" w:cs="Sylfaen"/>
                <w:sz w:val="16"/>
              </w:rPr>
              <w:t>ან</w:t>
            </w:r>
            <w:r w:rsidRPr="00092B73">
              <w:rPr>
                <w:rFonts w:eastAsia="Sylfaen"/>
                <w:sz w:val="16"/>
              </w:rPr>
              <w:t xml:space="preserve"> </w:t>
            </w:r>
            <w:r w:rsidRPr="00092B73">
              <w:rPr>
                <w:rFonts w:ascii="Sylfaen" w:eastAsia="Sylfaen" w:hAnsi="Sylfaen" w:cs="Sylfaen"/>
                <w:sz w:val="16"/>
              </w:rPr>
              <w:t>ტოტები</w:t>
            </w:r>
            <w:r w:rsidRPr="00092B73">
              <w:rPr>
                <w:rFonts w:eastAsia="Sylfaen"/>
                <w:sz w:val="16"/>
              </w:rPr>
              <w:t xml:space="preserve">. </w:t>
            </w:r>
            <w:r w:rsidRPr="00092B73">
              <w:rPr>
                <w:rFonts w:ascii="Sylfaen" w:eastAsia="Sylfaen" w:hAnsi="Sylfaen" w:cs="Sylfaen"/>
                <w:sz w:val="16"/>
              </w:rPr>
              <w:t>შევსებამდე</w:t>
            </w:r>
            <w:r w:rsidRPr="00092B73">
              <w:rPr>
                <w:rFonts w:eastAsia="Sylfaen"/>
                <w:sz w:val="16"/>
              </w:rPr>
              <w:t xml:space="preserve"> </w:t>
            </w:r>
            <w:r w:rsidRPr="00092B73">
              <w:rPr>
                <w:rFonts w:ascii="Sylfaen" w:eastAsia="Sylfaen" w:hAnsi="Sylfaen" w:cs="Sylfaen"/>
                <w:sz w:val="16"/>
              </w:rPr>
              <w:t>ყველა</w:t>
            </w:r>
            <w:r w:rsidRPr="00092B73">
              <w:rPr>
                <w:rFonts w:eastAsia="Sylfaen"/>
                <w:sz w:val="16"/>
              </w:rPr>
              <w:t xml:space="preserve"> </w:t>
            </w:r>
            <w:r w:rsidRPr="00092B73">
              <w:rPr>
                <w:rFonts w:ascii="Sylfaen" w:eastAsia="Sylfaen" w:hAnsi="Sylfaen" w:cs="Sylfaen"/>
                <w:sz w:val="16"/>
              </w:rPr>
              <w:t>თხრილი</w:t>
            </w:r>
            <w:r w:rsidRPr="00092B73">
              <w:rPr>
                <w:rFonts w:eastAsia="Sylfaen"/>
                <w:sz w:val="16"/>
              </w:rPr>
              <w:t>/</w:t>
            </w:r>
            <w:r w:rsidRPr="00092B73">
              <w:rPr>
                <w:rFonts w:ascii="Sylfaen" w:eastAsia="Sylfaen" w:hAnsi="Sylfaen" w:cs="Sylfaen"/>
                <w:sz w:val="16"/>
              </w:rPr>
              <w:t>ორმო</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შემოწმდეს</w:t>
            </w:r>
          </w:p>
          <w:p w14:paraId="70DA0FB3"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მხედველობაში</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იყოს</w:t>
            </w:r>
            <w:r w:rsidRPr="00092B73">
              <w:rPr>
                <w:rFonts w:eastAsia="Sylfaen"/>
                <w:sz w:val="16"/>
              </w:rPr>
              <w:t xml:space="preserve"> </w:t>
            </w:r>
            <w:r w:rsidRPr="00092B73">
              <w:rPr>
                <w:rFonts w:ascii="Sylfaen" w:eastAsia="Sylfaen" w:hAnsi="Sylfaen" w:cs="Sylfaen"/>
                <w:sz w:val="16"/>
              </w:rPr>
              <w:t>მიღებული</w:t>
            </w:r>
            <w:r w:rsidRPr="00092B73">
              <w:rPr>
                <w:rFonts w:eastAsia="Sylfaen"/>
                <w:sz w:val="16"/>
              </w:rPr>
              <w:t xml:space="preserve"> </w:t>
            </w:r>
            <w:r w:rsidRPr="00092B73">
              <w:rPr>
                <w:rFonts w:ascii="Sylfaen" w:eastAsia="Sylfaen" w:hAnsi="Sylfaen" w:cs="Sylfaen"/>
                <w:sz w:val="16"/>
              </w:rPr>
              <w:t>ფრინველებისთვის</w:t>
            </w:r>
            <w:r w:rsidRPr="00092B73">
              <w:rPr>
                <w:rFonts w:eastAsia="Sylfaen"/>
                <w:sz w:val="16"/>
              </w:rPr>
              <w:t xml:space="preserve"> </w:t>
            </w:r>
            <w:r w:rsidRPr="00092B73">
              <w:rPr>
                <w:rFonts w:ascii="Sylfaen" w:eastAsia="Sylfaen" w:hAnsi="Sylfaen" w:cs="Sylfaen"/>
                <w:sz w:val="16"/>
              </w:rPr>
              <w:t>მნიშვნელოვანი</w:t>
            </w:r>
            <w:r w:rsidRPr="00092B73">
              <w:rPr>
                <w:rFonts w:eastAsia="Sylfaen"/>
                <w:sz w:val="16"/>
              </w:rPr>
              <w:t xml:space="preserve"> </w:t>
            </w:r>
            <w:r w:rsidRPr="00092B73">
              <w:rPr>
                <w:rFonts w:ascii="Sylfaen" w:eastAsia="Sylfaen" w:hAnsi="Sylfaen" w:cs="Sylfaen"/>
                <w:sz w:val="16"/>
              </w:rPr>
              <w:t>პერიოდი</w:t>
            </w:r>
            <w:r w:rsidRPr="00092B73">
              <w:rPr>
                <w:rFonts w:eastAsia="Sylfaen"/>
                <w:sz w:val="16"/>
              </w:rPr>
              <w:t xml:space="preserve"> (</w:t>
            </w:r>
            <w:r w:rsidRPr="00092B73">
              <w:rPr>
                <w:rFonts w:ascii="Sylfaen" w:eastAsia="Sylfaen" w:hAnsi="Sylfaen" w:cs="Sylfaen"/>
                <w:sz w:val="16"/>
              </w:rPr>
              <w:t>გაზაფხულ</w:t>
            </w:r>
            <w:r w:rsidRPr="00092B73">
              <w:rPr>
                <w:rFonts w:eastAsia="Sylfaen"/>
                <w:sz w:val="16"/>
              </w:rPr>
              <w:t>-</w:t>
            </w:r>
            <w:r w:rsidRPr="00092B73">
              <w:rPr>
                <w:rFonts w:ascii="Sylfaen" w:eastAsia="Sylfaen" w:hAnsi="Sylfaen" w:cs="Sylfaen"/>
                <w:sz w:val="16"/>
              </w:rPr>
              <w:t>ზაფხულში</w:t>
            </w:r>
            <w:r w:rsidRPr="00092B73">
              <w:rPr>
                <w:rFonts w:eastAsia="Sylfaen"/>
                <w:sz w:val="16"/>
              </w:rPr>
              <w:t>);</w:t>
            </w:r>
          </w:p>
          <w:p w14:paraId="7899343E"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მდინარის</w:t>
            </w:r>
            <w:r w:rsidRPr="00092B73">
              <w:rPr>
                <w:rFonts w:eastAsia="Sylfaen"/>
                <w:sz w:val="16"/>
              </w:rPr>
              <w:t xml:space="preserve"> </w:t>
            </w:r>
            <w:r w:rsidRPr="00092B73">
              <w:rPr>
                <w:rFonts w:ascii="Sylfaen" w:eastAsia="Sylfaen" w:hAnsi="Sylfaen" w:cs="Sylfaen"/>
                <w:sz w:val="16"/>
              </w:rPr>
              <w:t>კალაპოტში</w:t>
            </w:r>
            <w:r w:rsidRPr="00092B73">
              <w:rPr>
                <w:rFonts w:eastAsia="Sylfaen"/>
                <w:sz w:val="16"/>
              </w:rPr>
              <w:t>/</w:t>
            </w:r>
            <w:r w:rsidRPr="00092B73">
              <w:rPr>
                <w:rFonts w:ascii="Sylfaen" w:eastAsia="Sylfaen" w:hAnsi="Sylfaen" w:cs="Sylfaen"/>
                <w:sz w:val="16"/>
              </w:rPr>
              <w:t>მის</w:t>
            </w:r>
            <w:r w:rsidRPr="00092B73">
              <w:rPr>
                <w:rFonts w:eastAsia="Sylfaen"/>
                <w:sz w:val="16"/>
              </w:rPr>
              <w:t xml:space="preserve"> </w:t>
            </w:r>
            <w:r w:rsidRPr="00092B73">
              <w:rPr>
                <w:rFonts w:ascii="Sylfaen" w:eastAsia="Sylfaen" w:hAnsi="Sylfaen" w:cs="Sylfaen"/>
                <w:sz w:val="16"/>
              </w:rPr>
              <w:t>უშუალო</w:t>
            </w:r>
            <w:r w:rsidRPr="00092B73">
              <w:rPr>
                <w:rFonts w:eastAsia="Sylfaen"/>
                <w:sz w:val="16"/>
              </w:rPr>
              <w:t xml:space="preserve"> </w:t>
            </w:r>
            <w:r w:rsidRPr="00092B73">
              <w:rPr>
                <w:rFonts w:ascii="Sylfaen" w:eastAsia="Sylfaen" w:hAnsi="Sylfaen" w:cs="Sylfaen"/>
                <w:sz w:val="16"/>
              </w:rPr>
              <w:t>სიახლოვეს</w:t>
            </w:r>
            <w:r w:rsidRPr="00092B73">
              <w:rPr>
                <w:rFonts w:eastAsia="Sylfaen"/>
                <w:sz w:val="16"/>
              </w:rPr>
              <w:t xml:space="preserve"> </w:t>
            </w:r>
            <w:r w:rsidRPr="00092B73">
              <w:rPr>
                <w:rFonts w:ascii="Sylfaen" w:eastAsia="Sylfaen" w:hAnsi="Sylfaen" w:cs="Sylfaen"/>
                <w:sz w:val="16"/>
              </w:rPr>
              <w:t>სამუშაოები</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უნდა</w:t>
            </w:r>
            <w:r w:rsidRPr="00092B73">
              <w:rPr>
                <w:rFonts w:eastAsia="Sylfaen"/>
                <w:sz w:val="16"/>
              </w:rPr>
              <w:t xml:space="preserve"> </w:t>
            </w:r>
            <w:r w:rsidRPr="00092B73">
              <w:rPr>
                <w:rFonts w:ascii="Sylfaen" w:eastAsia="Sylfaen" w:hAnsi="Sylfaen" w:cs="Sylfaen"/>
                <w:sz w:val="16"/>
              </w:rPr>
              <w:t>წარმოებდეს</w:t>
            </w:r>
            <w:r w:rsidRPr="00092B73">
              <w:rPr>
                <w:rFonts w:eastAsia="Sylfaen"/>
                <w:sz w:val="16"/>
              </w:rPr>
              <w:t xml:space="preserve"> </w:t>
            </w:r>
            <w:r w:rsidRPr="00092B73">
              <w:rPr>
                <w:rFonts w:ascii="Sylfaen" w:eastAsia="Sylfaen" w:hAnsi="Sylfaen" w:cs="Sylfaen"/>
                <w:sz w:val="16"/>
              </w:rPr>
              <w:t>თევზის</w:t>
            </w:r>
            <w:r w:rsidRPr="00092B73">
              <w:rPr>
                <w:rFonts w:eastAsia="Sylfaen"/>
                <w:sz w:val="16"/>
              </w:rPr>
              <w:t xml:space="preserve"> </w:t>
            </w:r>
            <w:r w:rsidRPr="00092B73">
              <w:rPr>
                <w:rFonts w:ascii="Sylfaen" w:eastAsia="Sylfaen" w:hAnsi="Sylfaen" w:cs="Sylfaen"/>
                <w:sz w:val="16"/>
              </w:rPr>
              <w:t>ქვირითობის</w:t>
            </w:r>
            <w:r w:rsidRPr="00092B73">
              <w:rPr>
                <w:rFonts w:eastAsia="Sylfaen"/>
                <w:sz w:val="16"/>
              </w:rPr>
              <w:t xml:space="preserve"> </w:t>
            </w:r>
            <w:r w:rsidRPr="00092B73">
              <w:rPr>
                <w:rFonts w:ascii="Sylfaen" w:eastAsia="Sylfaen" w:hAnsi="Sylfaen" w:cs="Sylfaen"/>
                <w:sz w:val="16"/>
              </w:rPr>
              <w:t>პერიოდში</w:t>
            </w:r>
            <w:r w:rsidRPr="00092B73">
              <w:rPr>
                <w:rFonts w:eastAsia="Sylfaen"/>
                <w:sz w:val="16"/>
              </w:rPr>
              <w:t>. (</w:t>
            </w:r>
            <w:r w:rsidRPr="00092B73">
              <w:rPr>
                <w:rFonts w:ascii="Sylfaen" w:eastAsia="Sylfaen" w:hAnsi="Sylfaen" w:cs="Sylfaen"/>
                <w:sz w:val="16"/>
              </w:rPr>
              <w:t>ჩვეულებრივ</w:t>
            </w:r>
            <w:r w:rsidRPr="00092B73">
              <w:rPr>
                <w:rFonts w:eastAsia="Sylfaen"/>
                <w:sz w:val="16"/>
              </w:rPr>
              <w:t xml:space="preserve"> </w:t>
            </w:r>
            <w:r w:rsidRPr="00092B73">
              <w:rPr>
                <w:rFonts w:ascii="Sylfaen" w:eastAsia="Sylfaen" w:hAnsi="Sylfaen" w:cs="Sylfaen"/>
                <w:sz w:val="16"/>
              </w:rPr>
              <w:t>შემოდგომა</w:t>
            </w:r>
            <w:r w:rsidRPr="00092B73">
              <w:rPr>
                <w:rFonts w:eastAsia="Sylfaen"/>
                <w:sz w:val="16"/>
              </w:rPr>
              <w:t>)</w:t>
            </w:r>
          </w:p>
          <w:p w14:paraId="28763638"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ახალი</w:t>
            </w:r>
            <w:r w:rsidRPr="00092B73">
              <w:rPr>
                <w:rFonts w:eastAsia="Sylfaen"/>
                <w:sz w:val="16"/>
              </w:rPr>
              <w:t xml:space="preserve"> </w:t>
            </w:r>
            <w:r w:rsidRPr="00092B73">
              <w:rPr>
                <w:rFonts w:ascii="Sylfaen" w:eastAsia="Sylfaen" w:hAnsi="Sylfaen" w:cs="Sylfaen"/>
                <w:sz w:val="16"/>
              </w:rPr>
              <w:t>გზის</w:t>
            </w:r>
            <w:r w:rsidRPr="00092B73">
              <w:rPr>
                <w:rFonts w:eastAsia="Sylfaen"/>
                <w:sz w:val="16"/>
              </w:rPr>
              <w:t xml:space="preserve"> </w:t>
            </w:r>
            <w:r w:rsidRPr="00092B73">
              <w:rPr>
                <w:rFonts w:ascii="Sylfaen" w:eastAsia="Sylfaen" w:hAnsi="Sylfaen" w:cs="Sylfaen"/>
                <w:sz w:val="16"/>
              </w:rPr>
              <w:t>მონაკვეთის</w:t>
            </w:r>
            <w:r w:rsidRPr="00092B73">
              <w:rPr>
                <w:rFonts w:eastAsia="Sylfaen"/>
                <w:sz w:val="16"/>
              </w:rPr>
              <w:t xml:space="preserve"> </w:t>
            </w:r>
            <w:r w:rsidRPr="00092B73">
              <w:rPr>
                <w:rFonts w:ascii="Sylfaen" w:eastAsia="Sylfaen" w:hAnsi="Sylfaen" w:cs="Sylfaen"/>
                <w:sz w:val="16"/>
              </w:rPr>
              <w:t>მშენებლობის</w:t>
            </w:r>
            <w:r w:rsidRPr="00092B73">
              <w:rPr>
                <w:rFonts w:eastAsia="Sylfaen"/>
                <w:sz w:val="16"/>
              </w:rPr>
              <w:t xml:space="preserve"> </w:t>
            </w:r>
            <w:r w:rsidRPr="00092B73">
              <w:rPr>
                <w:rFonts w:ascii="Sylfaen" w:eastAsia="Sylfaen" w:hAnsi="Sylfaen" w:cs="Sylfaen"/>
                <w:sz w:val="16"/>
              </w:rPr>
              <w:t>უბანზე</w:t>
            </w:r>
            <w:r w:rsidRPr="00092B73">
              <w:rPr>
                <w:rFonts w:eastAsia="Sylfaen"/>
                <w:sz w:val="16"/>
              </w:rPr>
              <w:t xml:space="preserve"> </w:t>
            </w:r>
            <w:r w:rsidRPr="00092B73">
              <w:rPr>
                <w:rFonts w:ascii="Sylfaen" w:eastAsia="Sylfaen" w:hAnsi="Sylfaen" w:cs="Sylfaen"/>
                <w:sz w:val="16"/>
              </w:rPr>
              <w:t>შესაძლებელია</w:t>
            </w:r>
            <w:r w:rsidRPr="00092B73">
              <w:rPr>
                <w:rFonts w:eastAsia="Sylfaen"/>
                <w:sz w:val="16"/>
              </w:rPr>
              <w:t xml:space="preserve"> </w:t>
            </w:r>
            <w:r w:rsidRPr="00092B73">
              <w:rPr>
                <w:rFonts w:ascii="Sylfaen" w:eastAsia="Sylfaen" w:hAnsi="Sylfaen" w:cs="Sylfaen"/>
                <w:sz w:val="16"/>
              </w:rPr>
              <w:t>მონიტორინგის</w:t>
            </w:r>
            <w:r w:rsidRPr="00092B73">
              <w:rPr>
                <w:rFonts w:eastAsia="Sylfaen"/>
                <w:sz w:val="16"/>
              </w:rPr>
              <w:t xml:space="preserve"> </w:t>
            </w:r>
            <w:r w:rsidRPr="00092B73">
              <w:rPr>
                <w:rFonts w:ascii="Sylfaen" w:eastAsia="Sylfaen" w:hAnsi="Sylfaen" w:cs="Sylfaen"/>
                <w:sz w:val="16"/>
              </w:rPr>
              <w:t>დაწესება</w:t>
            </w:r>
            <w:r w:rsidRPr="00092B73">
              <w:rPr>
                <w:rFonts w:eastAsia="Sylfaen"/>
                <w:sz w:val="16"/>
              </w:rPr>
              <w:t>.</w:t>
            </w:r>
          </w:p>
          <w:p w14:paraId="5A0ADA62"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პერსონალის</w:t>
            </w:r>
            <w:r w:rsidRPr="00092B73">
              <w:rPr>
                <w:rFonts w:eastAsia="Sylfaen"/>
                <w:sz w:val="16"/>
              </w:rPr>
              <w:t xml:space="preserve"> </w:t>
            </w:r>
            <w:r w:rsidRPr="00092B73">
              <w:rPr>
                <w:rFonts w:ascii="Sylfaen" w:eastAsia="Sylfaen" w:hAnsi="Sylfaen" w:cs="Sylfaen"/>
                <w:sz w:val="16"/>
              </w:rPr>
              <w:t>ინსტრუქტაჟი</w:t>
            </w:r>
          </w:p>
        </w:tc>
        <w:tc>
          <w:tcPr>
            <w:tcW w:w="2340" w:type="dxa"/>
            <w:tcBorders>
              <w:top w:val="single" w:sz="6" w:space="0" w:color="000000"/>
              <w:left w:val="single" w:sz="6" w:space="0" w:color="000000"/>
              <w:bottom w:val="single" w:sz="4" w:space="0" w:color="auto"/>
              <w:right w:val="single" w:sz="6" w:space="0" w:color="000000"/>
            </w:tcBorders>
            <w:hideMark/>
          </w:tcPr>
          <w:p w14:paraId="6D68CBD9" w14:textId="77777777" w:rsidR="00092B73" w:rsidRPr="00092B73" w:rsidRDefault="00092B73" w:rsidP="000321C7">
            <w:pPr>
              <w:rPr>
                <w:rFonts w:eastAsia="Sylfaen"/>
                <w:sz w:val="16"/>
              </w:rPr>
            </w:pPr>
            <w:r w:rsidRPr="00092B73">
              <w:rPr>
                <w:rFonts w:ascii="Sylfaen" w:eastAsia="Sylfaen" w:hAnsi="Sylfaen" w:cs="Sylfaen"/>
                <w:sz w:val="16"/>
              </w:rPr>
              <w:t>დამატებით</w:t>
            </w:r>
            <w:r w:rsidRPr="00092B73">
              <w:rPr>
                <w:rFonts w:eastAsia="Sylfaen"/>
                <w:sz w:val="16"/>
              </w:rPr>
              <w:t xml:space="preserve"> </w:t>
            </w:r>
            <w:r w:rsidRPr="00092B73">
              <w:rPr>
                <w:rFonts w:ascii="Sylfaen" w:eastAsia="Sylfaen" w:hAnsi="Sylfaen" w:cs="Sylfaen"/>
                <w:sz w:val="16"/>
              </w:rPr>
              <w:t>ხარჯებს</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მოითხოვს</w:t>
            </w:r>
            <w:r w:rsidRPr="00092B73">
              <w:rPr>
                <w:rFonts w:eastAsia="Sylfaen"/>
                <w:sz w:val="16"/>
              </w:rPr>
              <w:t>..</w:t>
            </w:r>
          </w:p>
        </w:tc>
        <w:tc>
          <w:tcPr>
            <w:tcW w:w="1204" w:type="dxa"/>
            <w:tcBorders>
              <w:top w:val="single" w:sz="6" w:space="0" w:color="000000"/>
              <w:left w:val="single" w:sz="6" w:space="0" w:color="000000"/>
              <w:bottom w:val="single" w:sz="4" w:space="0" w:color="auto"/>
              <w:right w:val="single" w:sz="6" w:space="0" w:color="000000"/>
            </w:tcBorders>
            <w:hideMark/>
          </w:tcPr>
          <w:p w14:paraId="68613366" w14:textId="77777777" w:rsidR="00092B73" w:rsidRPr="00092B73" w:rsidRDefault="00092B73" w:rsidP="000321C7">
            <w:pPr>
              <w:rPr>
                <w:rFonts w:eastAsia="Sylfaen"/>
                <w:sz w:val="16"/>
              </w:rPr>
            </w:pPr>
            <w:r w:rsidRPr="00092B73">
              <w:rPr>
                <w:rFonts w:ascii="Sylfaen" w:eastAsia="Sylfaen" w:hAnsi="Sylfaen" w:cs="Sylfaen"/>
                <w:sz w:val="16"/>
              </w:rPr>
              <w:t>მშენებელი</w:t>
            </w:r>
            <w:r w:rsidRPr="00092B73">
              <w:rPr>
                <w:rFonts w:eastAsia="Sylfaen"/>
                <w:sz w:val="16"/>
              </w:rPr>
              <w:t xml:space="preserve"> </w:t>
            </w:r>
            <w:r w:rsidRPr="00092B73">
              <w:rPr>
                <w:rFonts w:ascii="Sylfaen" w:eastAsia="Sylfaen" w:hAnsi="Sylfaen" w:cs="Sylfaen"/>
                <w:sz w:val="16"/>
              </w:rPr>
              <w:t>კონტრაქტორი</w:t>
            </w:r>
          </w:p>
        </w:tc>
        <w:tc>
          <w:tcPr>
            <w:tcW w:w="1586" w:type="dxa"/>
            <w:gridSpan w:val="2"/>
            <w:tcBorders>
              <w:top w:val="single" w:sz="6" w:space="0" w:color="000000"/>
              <w:left w:val="single" w:sz="6" w:space="0" w:color="000000"/>
              <w:bottom w:val="single" w:sz="4" w:space="0" w:color="auto"/>
              <w:right w:val="single" w:sz="6" w:space="0" w:color="000000"/>
            </w:tcBorders>
            <w:hideMark/>
          </w:tcPr>
          <w:p w14:paraId="73FDBBB9" w14:textId="77777777" w:rsidR="00092B73" w:rsidRPr="00092B73" w:rsidRDefault="00092B73" w:rsidP="000321C7">
            <w:pPr>
              <w:rPr>
                <w:rFonts w:eastAsia="Sylfaen"/>
                <w:sz w:val="16"/>
                <w:lang w:val="ka-GE"/>
              </w:rPr>
            </w:pPr>
            <w:r w:rsidRPr="00092B73">
              <w:rPr>
                <w:rFonts w:ascii="Sylfaen" w:eastAsia="Sylfaen" w:hAnsi="Sylfaen" w:cs="Sylfaen"/>
                <w:sz w:val="16"/>
              </w:rPr>
              <w:t>საგზაო</w:t>
            </w:r>
            <w:r w:rsidRPr="00092B73">
              <w:rPr>
                <w:rFonts w:eastAsia="Sylfaen"/>
                <w:sz w:val="16"/>
              </w:rPr>
              <w:t xml:space="preserve"> </w:t>
            </w:r>
            <w:r w:rsidRPr="00092B73">
              <w:rPr>
                <w:rFonts w:ascii="Sylfaen" w:eastAsia="Sylfaen" w:hAnsi="Sylfaen" w:cs="Sylfaen"/>
                <w:sz w:val="16"/>
              </w:rPr>
              <w:t>დეპარტამენტი</w:t>
            </w:r>
          </w:p>
          <w:p w14:paraId="6817A915" w14:textId="77777777" w:rsidR="00092B73" w:rsidRPr="00092B73" w:rsidRDefault="00092B73" w:rsidP="000321C7">
            <w:pPr>
              <w:rPr>
                <w:rFonts w:eastAsia="Sylfaen"/>
                <w:sz w:val="16"/>
                <w:lang w:val="en-US"/>
              </w:rPr>
            </w:pPr>
            <w:r w:rsidRPr="00092B73">
              <w:rPr>
                <w:rFonts w:ascii="Sylfaen" w:eastAsia="Sylfaen" w:hAnsi="Sylfaen" w:cs="Sylfaen"/>
                <w:sz w:val="16"/>
              </w:rPr>
              <w:t>საზედამხედველო</w:t>
            </w:r>
            <w:r w:rsidRPr="00092B73">
              <w:rPr>
                <w:rFonts w:eastAsia="Sylfaen"/>
                <w:sz w:val="16"/>
              </w:rPr>
              <w:t xml:space="preserve"> </w:t>
            </w:r>
            <w:r w:rsidRPr="00092B73">
              <w:rPr>
                <w:rFonts w:ascii="Sylfaen" w:eastAsia="Sylfaen" w:hAnsi="Sylfaen" w:cs="Sylfaen"/>
                <w:sz w:val="16"/>
              </w:rPr>
              <w:t>კომპანია</w:t>
            </w:r>
          </w:p>
        </w:tc>
      </w:tr>
      <w:tr w:rsidR="00092B73" w:rsidRPr="00092B73" w14:paraId="39878520" w14:textId="77777777" w:rsidTr="00C6605E">
        <w:trPr>
          <w:trHeight w:val="2038"/>
        </w:trPr>
        <w:tc>
          <w:tcPr>
            <w:tcW w:w="1800" w:type="dxa"/>
            <w:tcBorders>
              <w:top w:val="single" w:sz="4" w:space="0" w:color="auto"/>
              <w:left w:val="single" w:sz="4" w:space="0" w:color="auto"/>
              <w:bottom w:val="single" w:sz="4" w:space="0" w:color="auto"/>
              <w:right w:val="single" w:sz="4" w:space="0" w:color="auto"/>
            </w:tcBorders>
            <w:hideMark/>
          </w:tcPr>
          <w:p w14:paraId="1B8E0555" w14:textId="77777777" w:rsidR="00092B73" w:rsidRPr="00092B73" w:rsidRDefault="00092B73" w:rsidP="000321C7">
            <w:pPr>
              <w:rPr>
                <w:rFonts w:eastAsia="Sylfaen"/>
                <w:sz w:val="16"/>
              </w:rPr>
            </w:pPr>
            <w:r w:rsidRPr="00092B73">
              <w:rPr>
                <w:rFonts w:ascii="Sylfaen" w:eastAsia="Sylfaen" w:hAnsi="Sylfaen" w:cs="Sylfaen"/>
                <w:sz w:val="16"/>
              </w:rPr>
              <w:t>მიწის</w:t>
            </w:r>
            <w:r w:rsidRPr="00092B73">
              <w:rPr>
                <w:rFonts w:eastAsia="Sylfaen"/>
                <w:sz w:val="16"/>
              </w:rPr>
              <w:t xml:space="preserve"> </w:t>
            </w:r>
            <w:r w:rsidRPr="00092B73">
              <w:rPr>
                <w:rFonts w:ascii="Sylfaen" w:eastAsia="Sylfaen" w:hAnsi="Sylfaen" w:cs="Sylfaen"/>
                <w:sz w:val="16"/>
              </w:rPr>
              <w:t>და</w:t>
            </w:r>
          </w:p>
          <w:p w14:paraId="326F5FA0" w14:textId="77777777" w:rsidR="00092B73" w:rsidRPr="00092B73" w:rsidRDefault="00092B73" w:rsidP="000321C7">
            <w:pPr>
              <w:rPr>
                <w:rFonts w:eastAsia="Sylfaen"/>
                <w:sz w:val="16"/>
              </w:rPr>
            </w:pPr>
            <w:r w:rsidRPr="00092B73">
              <w:rPr>
                <w:rFonts w:ascii="Sylfaen" w:eastAsia="Sylfaen" w:hAnsi="Sylfaen" w:cs="Sylfaen"/>
                <w:sz w:val="16"/>
              </w:rPr>
              <w:t>სხვადასხვა</w:t>
            </w:r>
          </w:p>
          <w:p w14:paraId="75B45D7B" w14:textId="77777777" w:rsidR="00092B73" w:rsidRPr="00092B73" w:rsidRDefault="00092B73" w:rsidP="000321C7">
            <w:pPr>
              <w:rPr>
                <w:rFonts w:eastAsia="Sylfaen"/>
                <w:sz w:val="16"/>
              </w:rPr>
            </w:pPr>
            <w:r w:rsidRPr="00092B73">
              <w:rPr>
                <w:rFonts w:ascii="Sylfaen" w:eastAsia="Sylfaen" w:hAnsi="Sylfaen" w:cs="Sylfaen"/>
                <w:sz w:val="16"/>
              </w:rPr>
              <w:t>სამშენებლო</w:t>
            </w:r>
          </w:p>
          <w:p w14:paraId="23732827" w14:textId="77777777" w:rsidR="00092B73" w:rsidRPr="00092B73" w:rsidRDefault="00092B73" w:rsidP="000321C7">
            <w:pPr>
              <w:rPr>
                <w:rFonts w:eastAsia="Sylfaen"/>
                <w:sz w:val="16"/>
              </w:rPr>
            </w:pPr>
            <w:r w:rsidRPr="00092B73">
              <w:rPr>
                <w:rFonts w:ascii="Sylfaen" w:eastAsia="Sylfaen" w:hAnsi="Sylfaen" w:cs="Sylfaen"/>
                <w:sz w:val="16"/>
              </w:rPr>
              <w:t>სამუშაოები</w:t>
            </w:r>
          </w:p>
        </w:tc>
        <w:tc>
          <w:tcPr>
            <w:tcW w:w="1788" w:type="dxa"/>
            <w:tcBorders>
              <w:top w:val="single" w:sz="4" w:space="0" w:color="auto"/>
              <w:left w:val="single" w:sz="4" w:space="0" w:color="auto"/>
              <w:bottom w:val="single" w:sz="4" w:space="0" w:color="auto"/>
              <w:right w:val="single" w:sz="4" w:space="0" w:color="auto"/>
            </w:tcBorders>
            <w:hideMark/>
          </w:tcPr>
          <w:p w14:paraId="13D82C60" w14:textId="77777777" w:rsidR="00092B73" w:rsidRPr="00092B73" w:rsidRDefault="00092B73" w:rsidP="000321C7">
            <w:pPr>
              <w:rPr>
                <w:rFonts w:eastAsia="Sylfaen"/>
                <w:sz w:val="16"/>
              </w:rPr>
            </w:pPr>
            <w:r w:rsidRPr="00092B73">
              <w:rPr>
                <w:rFonts w:ascii="Sylfaen" w:eastAsia="Sylfaen" w:hAnsi="Sylfaen" w:cs="Sylfaen"/>
                <w:sz w:val="16"/>
              </w:rPr>
              <w:t>ეროზია</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სხვა</w:t>
            </w:r>
          </w:p>
        </w:tc>
        <w:tc>
          <w:tcPr>
            <w:tcW w:w="6838" w:type="dxa"/>
            <w:tcBorders>
              <w:top w:val="single" w:sz="4" w:space="0" w:color="auto"/>
              <w:left w:val="single" w:sz="4" w:space="0" w:color="auto"/>
              <w:bottom w:val="single" w:sz="4" w:space="0" w:color="auto"/>
              <w:right w:val="single" w:sz="4" w:space="0" w:color="auto"/>
            </w:tcBorders>
            <w:hideMark/>
          </w:tcPr>
          <w:p w14:paraId="672B07EF"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ვაკისის</w:t>
            </w:r>
            <w:r w:rsidRPr="00092B73">
              <w:rPr>
                <w:rFonts w:eastAsia="Sylfaen"/>
                <w:sz w:val="16"/>
              </w:rPr>
              <w:tab/>
            </w:r>
            <w:r w:rsidRPr="00092B73">
              <w:rPr>
                <w:rFonts w:ascii="Sylfaen" w:eastAsia="Sylfaen" w:hAnsi="Sylfaen" w:cs="Sylfaen"/>
                <w:sz w:val="16"/>
              </w:rPr>
              <w:t>ოპტიმალური</w:t>
            </w:r>
            <w:r w:rsidRPr="00092B73">
              <w:rPr>
                <w:rFonts w:eastAsia="Sylfaen"/>
                <w:sz w:val="16"/>
              </w:rPr>
              <w:tab/>
            </w:r>
            <w:r w:rsidRPr="00092B73">
              <w:rPr>
                <w:rFonts w:ascii="Sylfaen" w:eastAsia="Sylfaen" w:hAnsi="Sylfaen" w:cs="Sylfaen"/>
                <w:sz w:val="16"/>
              </w:rPr>
              <w:t>სიმაღლის</w:t>
            </w:r>
            <w:r w:rsidRPr="00092B73">
              <w:rPr>
                <w:rFonts w:eastAsia="Sylfaen"/>
                <w:sz w:val="16"/>
              </w:rPr>
              <w:tab/>
            </w:r>
            <w:r w:rsidRPr="00092B73">
              <w:rPr>
                <w:rFonts w:ascii="Sylfaen" w:eastAsia="Sylfaen" w:hAnsi="Sylfaen" w:cs="Sylfaen"/>
                <w:sz w:val="16"/>
              </w:rPr>
              <w:t>შერჩევა</w:t>
            </w:r>
            <w:r w:rsidRPr="00092B73">
              <w:rPr>
                <w:rFonts w:eastAsia="Sylfaen"/>
                <w:sz w:val="16"/>
              </w:rPr>
              <w:t xml:space="preserve">, </w:t>
            </w:r>
            <w:r w:rsidRPr="00092B73">
              <w:rPr>
                <w:rFonts w:ascii="Sylfaen" w:eastAsia="Sylfaen" w:hAnsi="Sylfaen" w:cs="Sylfaen"/>
                <w:sz w:val="16"/>
              </w:rPr>
              <w:t>ფერდების</w:t>
            </w:r>
            <w:r w:rsidRPr="00092B73">
              <w:rPr>
                <w:rFonts w:eastAsia="Sylfaen"/>
                <w:sz w:val="16"/>
              </w:rPr>
              <w:t xml:space="preserve"> </w:t>
            </w:r>
            <w:r w:rsidRPr="00092B73">
              <w:rPr>
                <w:rFonts w:ascii="Sylfaen" w:eastAsia="Sylfaen" w:hAnsi="Sylfaen" w:cs="Sylfaen"/>
                <w:sz w:val="16"/>
              </w:rPr>
              <w:t>სტაბილიზაცია</w:t>
            </w:r>
            <w:r w:rsidRPr="00092B73">
              <w:rPr>
                <w:rFonts w:eastAsia="Sylfaen"/>
                <w:sz w:val="16"/>
              </w:rPr>
              <w:t xml:space="preserve"> </w:t>
            </w:r>
            <w:r w:rsidRPr="00092B73">
              <w:rPr>
                <w:rFonts w:ascii="Sylfaen" w:eastAsia="Sylfaen" w:hAnsi="Sylfaen" w:cs="Sylfaen"/>
                <w:sz w:val="16"/>
              </w:rPr>
              <w:t>ჰიდროსიდინგით</w:t>
            </w:r>
            <w:r w:rsidRPr="00092B73">
              <w:rPr>
                <w:rFonts w:eastAsia="Sylfaen"/>
                <w:sz w:val="16"/>
              </w:rPr>
              <w:t>;</w:t>
            </w:r>
          </w:p>
          <w:p w14:paraId="78DC4A57"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ღრმა</w:t>
            </w:r>
            <w:r w:rsidRPr="00092B73">
              <w:rPr>
                <w:rFonts w:eastAsia="Sylfaen"/>
                <w:sz w:val="16"/>
              </w:rPr>
              <w:t xml:space="preserve"> </w:t>
            </w:r>
            <w:r w:rsidRPr="00092B73">
              <w:rPr>
                <w:rFonts w:ascii="Sylfaen" w:eastAsia="Sylfaen" w:hAnsi="Sylfaen" w:cs="Sylfaen"/>
                <w:sz w:val="16"/>
              </w:rPr>
              <w:t>თხრილების</w:t>
            </w:r>
            <w:r w:rsidRPr="00092B73">
              <w:rPr>
                <w:rFonts w:eastAsia="Sylfaen"/>
                <w:sz w:val="16"/>
              </w:rPr>
              <w:t xml:space="preserve"> </w:t>
            </w:r>
            <w:r w:rsidRPr="00092B73">
              <w:rPr>
                <w:rFonts w:ascii="Sylfaen" w:eastAsia="Sylfaen" w:hAnsi="Sylfaen" w:cs="Sylfaen"/>
                <w:sz w:val="16"/>
              </w:rPr>
              <w:t>კედლების</w:t>
            </w:r>
            <w:r w:rsidRPr="00092B73">
              <w:rPr>
                <w:rFonts w:eastAsia="Sylfaen"/>
                <w:sz w:val="16"/>
              </w:rPr>
              <w:t xml:space="preserve"> </w:t>
            </w:r>
            <w:r w:rsidRPr="00092B73">
              <w:rPr>
                <w:rFonts w:ascii="Sylfaen" w:eastAsia="Sylfaen" w:hAnsi="Sylfaen" w:cs="Sylfaen"/>
                <w:sz w:val="16"/>
              </w:rPr>
              <w:t>ჩამოშლის</w:t>
            </w:r>
            <w:r w:rsidRPr="00092B73">
              <w:rPr>
                <w:rFonts w:eastAsia="Sylfaen"/>
                <w:sz w:val="16"/>
              </w:rPr>
              <w:t xml:space="preserve"> </w:t>
            </w:r>
            <w:r w:rsidRPr="00092B73">
              <w:rPr>
                <w:rFonts w:ascii="Sylfaen" w:eastAsia="Sylfaen" w:hAnsi="Sylfaen" w:cs="Sylfaen"/>
                <w:sz w:val="16"/>
              </w:rPr>
              <w:t>საშიშროების</w:t>
            </w:r>
            <w:r w:rsidRPr="00092B73">
              <w:rPr>
                <w:rFonts w:eastAsia="Sylfaen"/>
                <w:sz w:val="16"/>
              </w:rPr>
              <w:t xml:space="preserve"> </w:t>
            </w:r>
            <w:r w:rsidRPr="00092B73">
              <w:rPr>
                <w:rFonts w:ascii="Sylfaen" w:eastAsia="Sylfaen" w:hAnsi="Sylfaen" w:cs="Sylfaen"/>
                <w:sz w:val="16"/>
              </w:rPr>
              <w:t>არსებობის</w:t>
            </w:r>
            <w:r w:rsidRPr="00092B73">
              <w:rPr>
                <w:rFonts w:eastAsia="Sylfaen"/>
                <w:sz w:val="16"/>
              </w:rPr>
              <w:tab/>
            </w:r>
            <w:r w:rsidRPr="00092B73">
              <w:rPr>
                <w:rFonts w:ascii="Sylfaen" w:eastAsia="Sylfaen" w:hAnsi="Sylfaen" w:cs="Sylfaen"/>
                <w:sz w:val="16"/>
              </w:rPr>
              <w:t>შემთხვევაში</w:t>
            </w:r>
            <w:r w:rsidRPr="00092B73">
              <w:rPr>
                <w:rFonts w:eastAsia="Sylfaen"/>
                <w:sz w:val="16"/>
              </w:rPr>
              <w:t xml:space="preserve"> </w:t>
            </w:r>
            <w:r w:rsidRPr="00092B73">
              <w:rPr>
                <w:rFonts w:ascii="Sylfaen" w:eastAsia="Sylfaen" w:hAnsi="Sylfaen" w:cs="Sylfaen"/>
                <w:sz w:val="16"/>
              </w:rPr>
              <w:t>ხის</w:t>
            </w:r>
            <w:r w:rsidRPr="00092B73">
              <w:rPr>
                <w:rFonts w:eastAsia="Sylfaen"/>
                <w:sz w:val="16"/>
              </w:rPr>
              <w:t xml:space="preserve"> </w:t>
            </w:r>
            <w:r w:rsidRPr="00092B73">
              <w:rPr>
                <w:rFonts w:ascii="Sylfaen" w:eastAsia="Sylfaen" w:hAnsi="Sylfaen" w:cs="Sylfaen"/>
                <w:sz w:val="16"/>
              </w:rPr>
              <w:t>ეკრანების</w:t>
            </w:r>
            <w:r w:rsidRPr="00092B73">
              <w:rPr>
                <w:rFonts w:eastAsia="Sylfaen"/>
                <w:sz w:val="16"/>
              </w:rPr>
              <w:t xml:space="preserve"> </w:t>
            </w:r>
            <w:r w:rsidRPr="00092B73">
              <w:rPr>
                <w:rFonts w:ascii="Sylfaen" w:eastAsia="Sylfaen" w:hAnsi="Sylfaen" w:cs="Sylfaen"/>
                <w:sz w:val="16"/>
              </w:rPr>
              <w:t>გამოყენება</w:t>
            </w:r>
            <w:r w:rsidRPr="00092B73">
              <w:rPr>
                <w:rFonts w:eastAsia="Sylfaen"/>
                <w:sz w:val="16"/>
              </w:rPr>
              <w:t>;</w:t>
            </w:r>
          </w:p>
          <w:p w14:paraId="361CE8BD" w14:textId="77777777" w:rsidR="00092B73" w:rsidRPr="00092B73" w:rsidRDefault="00092B73" w:rsidP="000321C7">
            <w:pPr>
              <w:rPr>
                <w:rFonts w:eastAsia="Sylfaen"/>
                <w:sz w:val="16"/>
              </w:rPr>
            </w:pPr>
            <w:r w:rsidRPr="00092B73">
              <w:rPr>
                <w:rFonts w:eastAsia="Symbol"/>
                <w:sz w:val="16"/>
              </w:rPr>
              <w:t xml:space="preserve">·  </w:t>
            </w:r>
            <w:r w:rsidRPr="00092B73">
              <w:rPr>
                <w:rFonts w:ascii="Sylfaen" w:eastAsia="Sylfaen" w:hAnsi="Sylfaen" w:cs="Sylfaen"/>
                <w:sz w:val="16"/>
              </w:rPr>
              <w:t>დროებითი</w:t>
            </w:r>
            <w:r w:rsidRPr="00092B73">
              <w:rPr>
                <w:rFonts w:eastAsia="Sylfaen"/>
                <w:sz w:val="16"/>
              </w:rPr>
              <w:t xml:space="preserve"> </w:t>
            </w:r>
            <w:r w:rsidRPr="00092B73">
              <w:rPr>
                <w:rFonts w:ascii="Sylfaen" w:eastAsia="Sylfaen" w:hAnsi="Sylfaen" w:cs="Sylfaen"/>
                <w:sz w:val="16"/>
              </w:rPr>
              <w:t>ბერმების</w:t>
            </w:r>
            <w:r w:rsidRPr="00092B73">
              <w:rPr>
                <w:rFonts w:eastAsia="Sylfaen"/>
                <w:sz w:val="16"/>
              </w:rPr>
              <w:t xml:space="preserve">, </w:t>
            </w:r>
            <w:r w:rsidRPr="00092B73">
              <w:rPr>
                <w:rFonts w:ascii="Sylfaen" w:eastAsia="Sylfaen" w:hAnsi="Sylfaen" w:cs="Sylfaen"/>
                <w:sz w:val="16"/>
              </w:rPr>
              <w:t>ფერდობის</w:t>
            </w:r>
            <w:r w:rsidRPr="00092B73">
              <w:rPr>
                <w:rFonts w:eastAsia="Sylfaen"/>
                <w:sz w:val="16"/>
              </w:rPr>
              <w:t xml:space="preserve"> </w:t>
            </w:r>
            <w:r w:rsidRPr="00092B73">
              <w:rPr>
                <w:rFonts w:ascii="Sylfaen" w:eastAsia="Sylfaen" w:hAnsi="Sylfaen" w:cs="Sylfaen"/>
                <w:sz w:val="16"/>
              </w:rPr>
              <w:t>დრენაჟის</w:t>
            </w:r>
            <w:r w:rsidRPr="00092B73">
              <w:rPr>
                <w:rFonts w:eastAsia="Sylfaen"/>
                <w:sz w:val="16"/>
              </w:rPr>
              <w:t xml:space="preserve">, </w:t>
            </w:r>
            <w:r w:rsidRPr="00092B73">
              <w:rPr>
                <w:rFonts w:ascii="Sylfaen" w:eastAsia="Sylfaen" w:hAnsi="Sylfaen" w:cs="Sylfaen"/>
                <w:sz w:val="16"/>
              </w:rPr>
              <w:t>კონტურული</w:t>
            </w:r>
            <w:r w:rsidRPr="00092B73">
              <w:rPr>
                <w:rFonts w:eastAsia="Sylfaen"/>
                <w:sz w:val="16"/>
              </w:rPr>
              <w:t xml:space="preserve">   </w:t>
            </w:r>
            <w:r w:rsidRPr="00092B73">
              <w:rPr>
                <w:rFonts w:ascii="Sylfaen" w:eastAsia="Sylfaen" w:hAnsi="Sylfaen" w:cs="Sylfaen"/>
                <w:sz w:val="16"/>
              </w:rPr>
              <w:t>თხრილების</w:t>
            </w:r>
            <w:r w:rsidRPr="00092B73">
              <w:rPr>
                <w:rFonts w:eastAsia="Sylfaen"/>
                <w:sz w:val="16"/>
              </w:rPr>
              <w:t xml:space="preserve">,   </w:t>
            </w:r>
            <w:r w:rsidRPr="00092B73">
              <w:rPr>
                <w:rFonts w:ascii="Sylfaen" w:eastAsia="Sylfaen" w:hAnsi="Sylfaen" w:cs="Sylfaen"/>
                <w:sz w:val="16"/>
              </w:rPr>
              <w:t>ნატანის</w:t>
            </w:r>
            <w:r w:rsidRPr="00092B73">
              <w:rPr>
                <w:rFonts w:eastAsia="Sylfaen"/>
                <w:sz w:val="16"/>
              </w:rPr>
              <w:t xml:space="preserve">   </w:t>
            </w:r>
            <w:r w:rsidRPr="00092B73">
              <w:rPr>
                <w:rFonts w:ascii="Sylfaen" w:eastAsia="Sylfaen" w:hAnsi="Sylfaen" w:cs="Sylfaen"/>
                <w:sz w:val="16"/>
              </w:rPr>
              <w:t>ჩამჭერის</w:t>
            </w:r>
            <w:r w:rsidRPr="00092B73">
              <w:rPr>
                <w:rFonts w:eastAsia="Sylfaen"/>
                <w:sz w:val="16"/>
              </w:rPr>
              <w:t xml:space="preserve"> </w:t>
            </w:r>
            <w:r w:rsidRPr="00092B73">
              <w:rPr>
                <w:rFonts w:ascii="Sylfaen" w:eastAsia="Sylfaen" w:hAnsi="Sylfaen" w:cs="Sylfaen"/>
                <w:sz w:val="16"/>
              </w:rPr>
              <w:t>და</w:t>
            </w:r>
            <w:r w:rsidRPr="00092B73">
              <w:rPr>
                <w:rFonts w:eastAsia="Sylfaen"/>
                <w:sz w:val="16"/>
              </w:rPr>
              <w:t xml:space="preserve"> </w:t>
            </w:r>
            <w:r w:rsidRPr="00092B73">
              <w:rPr>
                <w:rFonts w:ascii="Sylfaen" w:eastAsia="Sylfaen" w:hAnsi="Sylfaen" w:cs="Sylfaen"/>
                <w:sz w:val="16"/>
              </w:rPr>
              <w:t>ა</w:t>
            </w:r>
            <w:r w:rsidRPr="00092B73">
              <w:rPr>
                <w:rFonts w:eastAsia="Sylfaen"/>
                <w:sz w:val="16"/>
              </w:rPr>
              <w:t>.</w:t>
            </w:r>
            <w:r w:rsidRPr="00092B73">
              <w:rPr>
                <w:rFonts w:ascii="Sylfaen" w:eastAsia="Sylfaen" w:hAnsi="Sylfaen" w:cs="Sylfaen"/>
                <w:sz w:val="16"/>
              </w:rPr>
              <w:t>შ</w:t>
            </w:r>
            <w:r w:rsidRPr="00092B73">
              <w:rPr>
                <w:rFonts w:eastAsia="Sylfaen"/>
                <w:sz w:val="16"/>
              </w:rPr>
              <w:t xml:space="preserve">. </w:t>
            </w:r>
            <w:r w:rsidRPr="00092B73">
              <w:rPr>
                <w:rFonts w:ascii="Sylfaen" w:eastAsia="Sylfaen" w:hAnsi="Sylfaen" w:cs="Sylfaen"/>
                <w:sz w:val="16"/>
              </w:rPr>
              <w:t>მოწყობა</w:t>
            </w:r>
            <w:r w:rsidRPr="00092B73">
              <w:rPr>
                <w:rFonts w:eastAsia="Sylfaen"/>
                <w:sz w:val="16"/>
              </w:rPr>
              <w:t>.</w:t>
            </w:r>
          </w:p>
          <w:p w14:paraId="0E195B54" w14:textId="77777777" w:rsidR="00092B73" w:rsidRPr="00092B73" w:rsidRDefault="00092B73" w:rsidP="000321C7">
            <w:pPr>
              <w:rPr>
                <w:rFonts w:eastAsia="Sylfaen"/>
                <w:sz w:val="16"/>
                <w:lang w:val="ka-GE"/>
              </w:rPr>
            </w:pPr>
            <w:r w:rsidRPr="00092B73">
              <w:rPr>
                <w:rFonts w:eastAsia="Symbol"/>
                <w:sz w:val="16"/>
              </w:rPr>
              <w:t xml:space="preserve">·  </w:t>
            </w:r>
            <w:r w:rsidRPr="00092B73">
              <w:rPr>
                <w:rFonts w:ascii="Sylfaen" w:eastAsia="Sylfaen" w:hAnsi="Sylfaen" w:cs="Sylfaen"/>
                <w:sz w:val="16"/>
              </w:rPr>
              <w:t>ჰიდროთესვა</w:t>
            </w:r>
          </w:p>
          <w:p w14:paraId="7DD14F9F" w14:textId="77777777" w:rsidR="00092B73" w:rsidRPr="00092B73" w:rsidRDefault="00092B73" w:rsidP="000321C7">
            <w:pPr>
              <w:rPr>
                <w:rFonts w:eastAsia="Sylfaen"/>
                <w:sz w:val="16"/>
                <w:lang w:val="en-US"/>
              </w:rPr>
            </w:pPr>
            <w:r w:rsidRPr="00092B73">
              <w:rPr>
                <w:rFonts w:eastAsia="Symbol"/>
                <w:sz w:val="16"/>
              </w:rPr>
              <w:t xml:space="preserve">·  </w:t>
            </w:r>
            <w:r w:rsidRPr="00092B73">
              <w:rPr>
                <w:rFonts w:ascii="Sylfaen" w:eastAsia="Sylfaen" w:hAnsi="Sylfaen" w:cs="Sylfaen"/>
                <w:sz w:val="16"/>
              </w:rPr>
              <w:t>პერსონალის</w:t>
            </w:r>
            <w:r w:rsidRPr="00092B73">
              <w:rPr>
                <w:rFonts w:eastAsia="Sylfaen"/>
                <w:sz w:val="16"/>
              </w:rPr>
              <w:t xml:space="preserve"> </w:t>
            </w:r>
            <w:r w:rsidRPr="00092B73">
              <w:rPr>
                <w:rFonts w:ascii="Sylfaen" w:eastAsia="Sylfaen" w:hAnsi="Sylfaen" w:cs="Sylfaen"/>
                <w:sz w:val="16"/>
              </w:rPr>
              <w:t>ინსტრუქტაჟი</w:t>
            </w:r>
          </w:p>
        </w:tc>
        <w:tc>
          <w:tcPr>
            <w:tcW w:w="2340" w:type="dxa"/>
            <w:tcBorders>
              <w:top w:val="single" w:sz="4" w:space="0" w:color="auto"/>
              <w:left w:val="single" w:sz="4" w:space="0" w:color="auto"/>
              <w:bottom w:val="single" w:sz="4" w:space="0" w:color="auto"/>
              <w:right w:val="single" w:sz="4" w:space="0" w:color="auto"/>
            </w:tcBorders>
            <w:hideMark/>
          </w:tcPr>
          <w:p w14:paraId="61E88A1C" w14:textId="77777777" w:rsidR="00092B73" w:rsidRPr="00092B73" w:rsidRDefault="00092B73" w:rsidP="000321C7">
            <w:pPr>
              <w:rPr>
                <w:rFonts w:eastAsia="Sylfaen"/>
                <w:sz w:val="16"/>
              </w:rPr>
            </w:pPr>
            <w:r w:rsidRPr="00092B73">
              <w:rPr>
                <w:rFonts w:ascii="Sylfaen" w:eastAsia="Sylfaen" w:hAnsi="Sylfaen" w:cs="Sylfaen"/>
                <w:sz w:val="16"/>
              </w:rPr>
              <w:t>დამატებით</w:t>
            </w:r>
            <w:r w:rsidRPr="00092B73">
              <w:rPr>
                <w:rFonts w:eastAsia="Sylfaen"/>
                <w:sz w:val="16"/>
              </w:rPr>
              <w:t xml:space="preserve"> </w:t>
            </w:r>
            <w:r w:rsidRPr="00092B73">
              <w:rPr>
                <w:rFonts w:ascii="Sylfaen" w:eastAsia="Sylfaen" w:hAnsi="Sylfaen" w:cs="Sylfaen"/>
                <w:sz w:val="16"/>
              </w:rPr>
              <w:t>ხარჯებს</w:t>
            </w:r>
            <w:r w:rsidRPr="00092B73">
              <w:rPr>
                <w:rFonts w:eastAsia="Sylfaen"/>
                <w:sz w:val="16"/>
              </w:rPr>
              <w:t xml:space="preserve"> </w:t>
            </w:r>
            <w:r w:rsidRPr="00092B73">
              <w:rPr>
                <w:rFonts w:ascii="Sylfaen" w:eastAsia="Sylfaen" w:hAnsi="Sylfaen" w:cs="Sylfaen"/>
                <w:sz w:val="16"/>
              </w:rPr>
              <w:t>არ</w:t>
            </w:r>
            <w:r w:rsidRPr="00092B73">
              <w:rPr>
                <w:rFonts w:eastAsia="Sylfaen"/>
                <w:sz w:val="16"/>
              </w:rPr>
              <w:t xml:space="preserve"> </w:t>
            </w:r>
            <w:r w:rsidRPr="00092B73">
              <w:rPr>
                <w:rFonts w:ascii="Sylfaen" w:eastAsia="Sylfaen" w:hAnsi="Sylfaen" w:cs="Sylfaen"/>
                <w:sz w:val="16"/>
              </w:rPr>
              <w:t>მოითხოვს</w:t>
            </w:r>
            <w:r w:rsidRPr="00092B73">
              <w:rPr>
                <w:rFonts w:eastAsia="Sylfaen"/>
                <w:sz w:val="16"/>
              </w:rPr>
              <w:t>.</w:t>
            </w:r>
          </w:p>
        </w:tc>
        <w:tc>
          <w:tcPr>
            <w:tcW w:w="1204" w:type="dxa"/>
            <w:tcBorders>
              <w:top w:val="single" w:sz="4" w:space="0" w:color="auto"/>
              <w:left w:val="single" w:sz="4" w:space="0" w:color="auto"/>
              <w:bottom w:val="single" w:sz="4" w:space="0" w:color="auto"/>
              <w:right w:val="single" w:sz="4" w:space="0" w:color="auto"/>
            </w:tcBorders>
            <w:hideMark/>
          </w:tcPr>
          <w:p w14:paraId="31073E0C" w14:textId="77777777" w:rsidR="00092B73" w:rsidRPr="00092B73" w:rsidRDefault="00092B73" w:rsidP="000321C7">
            <w:pPr>
              <w:rPr>
                <w:rFonts w:eastAsia="Sylfaen"/>
                <w:sz w:val="16"/>
              </w:rPr>
            </w:pPr>
            <w:r w:rsidRPr="00092B73">
              <w:rPr>
                <w:rFonts w:ascii="Sylfaen" w:eastAsia="Sylfaen" w:hAnsi="Sylfaen" w:cs="Sylfaen"/>
                <w:sz w:val="16"/>
              </w:rPr>
              <w:t>მშენებელი</w:t>
            </w:r>
            <w:r w:rsidRPr="00092B73">
              <w:rPr>
                <w:rFonts w:eastAsia="Sylfaen"/>
                <w:sz w:val="16"/>
              </w:rPr>
              <w:t xml:space="preserve"> </w:t>
            </w:r>
            <w:r w:rsidRPr="00092B73">
              <w:rPr>
                <w:rFonts w:ascii="Sylfaen" w:eastAsia="Sylfaen" w:hAnsi="Sylfaen" w:cs="Sylfaen"/>
                <w:sz w:val="16"/>
              </w:rPr>
              <w:t>კონტრაქტორი</w:t>
            </w:r>
          </w:p>
        </w:tc>
        <w:tc>
          <w:tcPr>
            <w:tcW w:w="1586" w:type="dxa"/>
            <w:gridSpan w:val="2"/>
            <w:tcBorders>
              <w:top w:val="single" w:sz="4" w:space="0" w:color="auto"/>
              <w:left w:val="single" w:sz="4" w:space="0" w:color="auto"/>
              <w:bottom w:val="single" w:sz="4" w:space="0" w:color="auto"/>
              <w:right w:val="single" w:sz="4" w:space="0" w:color="auto"/>
            </w:tcBorders>
            <w:hideMark/>
          </w:tcPr>
          <w:p w14:paraId="7DE41F15" w14:textId="77777777" w:rsidR="00092B73" w:rsidRPr="00092B73" w:rsidRDefault="00092B73" w:rsidP="000321C7">
            <w:pPr>
              <w:rPr>
                <w:rFonts w:eastAsia="Sylfaen"/>
                <w:sz w:val="16"/>
                <w:lang w:val="ka-GE"/>
              </w:rPr>
            </w:pPr>
            <w:r w:rsidRPr="00092B73">
              <w:rPr>
                <w:rFonts w:ascii="Sylfaen" w:eastAsia="Sylfaen" w:hAnsi="Sylfaen" w:cs="Sylfaen"/>
                <w:sz w:val="16"/>
              </w:rPr>
              <w:t>საგზაო</w:t>
            </w:r>
            <w:r w:rsidRPr="00092B73">
              <w:rPr>
                <w:rFonts w:eastAsia="Sylfaen"/>
                <w:sz w:val="16"/>
              </w:rPr>
              <w:t xml:space="preserve"> </w:t>
            </w:r>
            <w:r w:rsidRPr="00092B73">
              <w:rPr>
                <w:rFonts w:ascii="Sylfaen" w:eastAsia="Sylfaen" w:hAnsi="Sylfaen" w:cs="Sylfaen"/>
                <w:sz w:val="16"/>
              </w:rPr>
              <w:t>დეპარტამენტი</w:t>
            </w:r>
          </w:p>
          <w:p w14:paraId="338968D5" w14:textId="77777777" w:rsidR="00092B73" w:rsidRPr="00092B73" w:rsidRDefault="00092B73" w:rsidP="000321C7">
            <w:pPr>
              <w:rPr>
                <w:rFonts w:eastAsia="Sylfaen"/>
                <w:sz w:val="16"/>
                <w:lang w:val="en-US"/>
              </w:rPr>
            </w:pPr>
            <w:r w:rsidRPr="00092B73">
              <w:rPr>
                <w:rFonts w:ascii="Sylfaen" w:eastAsia="Sylfaen" w:hAnsi="Sylfaen" w:cs="Sylfaen"/>
                <w:sz w:val="16"/>
              </w:rPr>
              <w:t>საზედამხედველო</w:t>
            </w:r>
            <w:r w:rsidRPr="00092B73">
              <w:rPr>
                <w:rFonts w:eastAsia="Sylfaen"/>
                <w:sz w:val="16"/>
              </w:rPr>
              <w:t xml:space="preserve"> </w:t>
            </w:r>
            <w:r w:rsidRPr="00092B73">
              <w:rPr>
                <w:rFonts w:ascii="Sylfaen" w:eastAsia="Sylfaen" w:hAnsi="Sylfaen" w:cs="Sylfaen"/>
                <w:sz w:val="16"/>
              </w:rPr>
              <w:t>კომპანია</w:t>
            </w:r>
          </w:p>
        </w:tc>
      </w:tr>
    </w:tbl>
    <w:p w14:paraId="743B5C23" w14:textId="150A3109" w:rsidR="0066761D" w:rsidRDefault="0066761D" w:rsidP="0066761D">
      <w:pPr>
        <w:spacing w:before="120" w:after="120"/>
        <w:rPr>
          <w:rFonts w:ascii="Times New Roman" w:hAnsi="Times New Roman"/>
        </w:rPr>
      </w:pPr>
    </w:p>
    <w:p w14:paraId="4307F073" w14:textId="7A492B16" w:rsidR="00FD0772" w:rsidRDefault="00FD0772" w:rsidP="0066761D">
      <w:pPr>
        <w:spacing w:before="120" w:after="120"/>
        <w:rPr>
          <w:rFonts w:ascii="Times New Roman" w:hAnsi="Times New Roman"/>
        </w:rPr>
      </w:pPr>
    </w:p>
    <w:p w14:paraId="6406EF17" w14:textId="057B44BD" w:rsidR="00FD0772" w:rsidRDefault="00FD0772" w:rsidP="0066761D">
      <w:pPr>
        <w:spacing w:before="120" w:after="120"/>
        <w:rPr>
          <w:rFonts w:ascii="Times New Roman" w:hAnsi="Times New Roman"/>
        </w:rPr>
      </w:pPr>
    </w:p>
    <w:p w14:paraId="6508C2FA" w14:textId="643BD0AE" w:rsidR="00FD0772" w:rsidRDefault="00FD0772" w:rsidP="0066761D">
      <w:pPr>
        <w:spacing w:before="120" w:after="120"/>
        <w:rPr>
          <w:rFonts w:ascii="Times New Roman" w:hAnsi="Times New Roman"/>
        </w:rPr>
      </w:pPr>
    </w:p>
    <w:p w14:paraId="65C1873D" w14:textId="3AE26ABF" w:rsidR="00FD0772" w:rsidRDefault="00FD0772" w:rsidP="0066761D">
      <w:pPr>
        <w:spacing w:before="120" w:after="120"/>
        <w:rPr>
          <w:rFonts w:ascii="Times New Roman" w:hAnsi="Times New Roman"/>
        </w:rPr>
      </w:pPr>
    </w:p>
    <w:p w14:paraId="1B2605DE" w14:textId="761E4C10" w:rsidR="00FD0772" w:rsidRDefault="00FD0772" w:rsidP="0066761D">
      <w:pPr>
        <w:spacing w:before="120" w:after="120"/>
        <w:rPr>
          <w:rFonts w:ascii="Times New Roman" w:hAnsi="Times New Roman"/>
        </w:rPr>
      </w:pPr>
    </w:p>
    <w:p w14:paraId="0358E9BE" w14:textId="54C927BE" w:rsidR="00FD0772" w:rsidRDefault="00FD0772" w:rsidP="0066761D">
      <w:pPr>
        <w:spacing w:before="120" w:after="120"/>
        <w:rPr>
          <w:rFonts w:ascii="Times New Roman" w:hAnsi="Times New Roman"/>
        </w:rPr>
      </w:pPr>
    </w:p>
    <w:p w14:paraId="4406850E" w14:textId="005F27AE" w:rsidR="00FD0772" w:rsidRDefault="00FD0772" w:rsidP="0066761D">
      <w:pPr>
        <w:spacing w:before="120" w:after="120"/>
        <w:rPr>
          <w:rFonts w:ascii="Times New Roman" w:hAnsi="Times New Roman"/>
        </w:rPr>
      </w:pPr>
    </w:p>
    <w:p w14:paraId="5D81E938" w14:textId="6A42D947" w:rsidR="00FD0772" w:rsidRDefault="00FD0772" w:rsidP="0066761D">
      <w:pPr>
        <w:spacing w:before="120" w:after="120"/>
        <w:rPr>
          <w:rFonts w:ascii="Times New Roman" w:hAnsi="Times New Roman"/>
        </w:rPr>
      </w:pPr>
    </w:p>
    <w:p w14:paraId="244AA095" w14:textId="77777777" w:rsidR="0066761D" w:rsidRPr="005F7025" w:rsidRDefault="0066761D" w:rsidP="0066761D">
      <w:pPr>
        <w:spacing w:before="120" w:after="120"/>
        <w:rPr>
          <w:rFonts w:ascii="Sylfaen" w:eastAsia="Sylfaen" w:hAnsi="Sylfaen" w:cs="Sylfaen"/>
          <w:b/>
          <w:i/>
          <w:w w:val="95"/>
          <w:sz w:val="21"/>
          <w:szCs w:val="21"/>
        </w:rPr>
      </w:pPr>
      <w:r w:rsidRPr="005F7025">
        <w:rPr>
          <w:rFonts w:ascii="Sylfaen" w:eastAsia="Sylfaen" w:hAnsi="Sylfaen" w:cs="Sylfaen"/>
          <w:b/>
          <w:i/>
          <w:w w:val="95"/>
          <w:sz w:val="21"/>
          <w:szCs w:val="21"/>
        </w:rPr>
        <w:lastRenderedPageBreak/>
        <w:t>ოპერირების</w:t>
      </w:r>
      <w:r w:rsidRPr="005F7025">
        <w:rPr>
          <w:rFonts w:ascii="Sylfaen" w:eastAsia="Sylfaen" w:hAnsi="Sylfaen" w:cs="Sylfaen"/>
          <w:b/>
          <w:i/>
          <w:spacing w:val="-10"/>
          <w:w w:val="95"/>
          <w:sz w:val="21"/>
          <w:szCs w:val="21"/>
        </w:rPr>
        <w:t xml:space="preserve"> </w:t>
      </w:r>
      <w:r w:rsidRPr="005F7025">
        <w:rPr>
          <w:rFonts w:ascii="Sylfaen" w:eastAsia="Sylfaen" w:hAnsi="Sylfaen" w:cs="Sylfaen"/>
          <w:b/>
          <w:i/>
          <w:w w:val="95"/>
          <w:sz w:val="21"/>
          <w:szCs w:val="21"/>
        </w:rPr>
        <w:t>ფაზა</w:t>
      </w:r>
    </w:p>
    <w:tbl>
      <w:tblPr>
        <w:tblW w:w="15736" w:type="dxa"/>
        <w:tblInd w:w="-354" w:type="dxa"/>
        <w:tblLayout w:type="fixed"/>
        <w:tblCellMar>
          <w:left w:w="0" w:type="dxa"/>
          <w:right w:w="0" w:type="dxa"/>
        </w:tblCellMar>
        <w:tblLook w:val="01E0" w:firstRow="1" w:lastRow="1" w:firstColumn="1" w:lastColumn="1" w:noHBand="0" w:noVBand="0"/>
      </w:tblPr>
      <w:tblGrid>
        <w:gridCol w:w="2070"/>
        <w:gridCol w:w="1841"/>
        <w:gridCol w:w="17"/>
        <w:gridCol w:w="6048"/>
        <w:gridCol w:w="1973"/>
        <w:gridCol w:w="2268"/>
        <w:gridCol w:w="1519"/>
      </w:tblGrid>
      <w:tr w:rsidR="00092B73" w14:paraId="5C0F81C3" w14:textId="77777777" w:rsidTr="00C6605E">
        <w:trPr>
          <w:trHeight w:val="963"/>
        </w:trPr>
        <w:tc>
          <w:tcPr>
            <w:tcW w:w="2070" w:type="dxa"/>
            <w:tcBorders>
              <w:top w:val="single" w:sz="6" w:space="0" w:color="000000"/>
              <w:left w:val="single" w:sz="6" w:space="0" w:color="000000"/>
              <w:bottom w:val="nil"/>
              <w:right w:val="single" w:sz="6" w:space="0" w:color="000000"/>
            </w:tcBorders>
            <w:shd w:val="clear" w:color="auto" w:fill="BFBFBF"/>
            <w:hideMark/>
          </w:tcPr>
          <w:p w14:paraId="7567B3DD"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ქმედება</w:t>
            </w:r>
          </w:p>
        </w:tc>
        <w:tc>
          <w:tcPr>
            <w:tcW w:w="1858" w:type="dxa"/>
            <w:gridSpan w:val="2"/>
            <w:tcBorders>
              <w:top w:val="single" w:sz="6" w:space="0" w:color="000000"/>
              <w:left w:val="single" w:sz="6" w:space="0" w:color="000000"/>
              <w:bottom w:val="nil"/>
              <w:right w:val="single" w:sz="6" w:space="0" w:color="000000"/>
            </w:tcBorders>
            <w:shd w:val="clear" w:color="auto" w:fill="BFBFBF"/>
            <w:hideMark/>
          </w:tcPr>
          <w:p w14:paraId="266C1CF3" w14:textId="77777777" w:rsidR="00092B73" w:rsidRDefault="00092B73">
            <w:pPr>
              <w:pStyle w:val="TableParagraph"/>
              <w:spacing w:line="256" w:lineRule="auto"/>
              <w:ind w:left="107" w:right="263"/>
              <w:rPr>
                <w:rFonts w:ascii="Sylfaen" w:eastAsia="Sylfaen" w:hAnsi="Sylfaen" w:cs="Sylfaen"/>
                <w:sz w:val="16"/>
                <w:szCs w:val="18"/>
              </w:rPr>
            </w:pPr>
            <w:r>
              <w:rPr>
                <w:rFonts w:ascii="Sylfaen" w:eastAsia="Sylfaen" w:hAnsi="Sylfaen" w:cs="Sylfaen"/>
                <w:spacing w:val="-1"/>
                <w:sz w:val="16"/>
                <w:szCs w:val="18"/>
              </w:rPr>
              <w:t>გარემოსდაცვითი</w:t>
            </w:r>
            <w:r>
              <w:rPr>
                <w:rFonts w:ascii="Sylfaen" w:eastAsia="Sylfaen" w:hAnsi="Sylfaen" w:cs="Sylfaen"/>
                <w:spacing w:val="29"/>
                <w:sz w:val="16"/>
                <w:szCs w:val="18"/>
              </w:rPr>
              <w:t xml:space="preserve"> </w:t>
            </w:r>
            <w:r>
              <w:rPr>
                <w:rFonts w:ascii="Sylfaen" w:eastAsia="Sylfaen" w:hAnsi="Sylfaen" w:cs="Sylfaen"/>
                <w:spacing w:val="-1"/>
                <w:sz w:val="16"/>
                <w:szCs w:val="18"/>
              </w:rPr>
              <w:t>პრობლემა</w:t>
            </w:r>
          </w:p>
        </w:tc>
        <w:tc>
          <w:tcPr>
            <w:tcW w:w="6048" w:type="dxa"/>
            <w:tcBorders>
              <w:top w:val="single" w:sz="6" w:space="0" w:color="000000"/>
              <w:left w:val="single" w:sz="6" w:space="0" w:color="000000"/>
              <w:bottom w:val="nil"/>
              <w:right w:val="single" w:sz="6" w:space="0" w:color="000000"/>
            </w:tcBorders>
            <w:shd w:val="clear" w:color="auto" w:fill="BFBFBF"/>
            <w:hideMark/>
          </w:tcPr>
          <w:p w14:paraId="1C9F4CE7"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შემარბილებელი</w:t>
            </w:r>
            <w:r>
              <w:rPr>
                <w:rFonts w:ascii="Sylfaen" w:eastAsia="Sylfaen" w:hAnsi="Sylfaen" w:cs="Sylfaen"/>
                <w:spacing w:val="-2"/>
                <w:sz w:val="16"/>
                <w:szCs w:val="18"/>
              </w:rPr>
              <w:t xml:space="preserve"> </w:t>
            </w:r>
            <w:r>
              <w:rPr>
                <w:rFonts w:ascii="Sylfaen" w:eastAsia="Sylfaen" w:hAnsi="Sylfaen" w:cs="Sylfaen"/>
                <w:spacing w:val="-1"/>
                <w:sz w:val="16"/>
                <w:szCs w:val="18"/>
              </w:rPr>
              <w:t>ღონისძიება</w:t>
            </w:r>
          </w:p>
        </w:tc>
        <w:tc>
          <w:tcPr>
            <w:tcW w:w="1973" w:type="dxa"/>
            <w:tcBorders>
              <w:top w:val="single" w:sz="6" w:space="0" w:color="000000"/>
              <w:left w:val="single" w:sz="6" w:space="0" w:color="000000"/>
              <w:bottom w:val="nil"/>
              <w:right w:val="single" w:sz="6" w:space="0" w:color="000000"/>
            </w:tcBorders>
            <w:shd w:val="clear" w:color="auto" w:fill="BFBFBF"/>
            <w:hideMark/>
          </w:tcPr>
          <w:p w14:paraId="2655FD5B" w14:textId="77777777" w:rsidR="00092B73" w:rsidRDefault="00092B73">
            <w:pPr>
              <w:pStyle w:val="TableParagraph"/>
              <w:spacing w:line="256" w:lineRule="auto"/>
              <w:ind w:left="102" w:right="112"/>
              <w:rPr>
                <w:rFonts w:ascii="Sylfaen" w:eastAsia="Sylfaen" w:hAnsi="Sylfaen" w:cs="Sylfaen"/>
                <w:sz w:val="16"/>
                <w:szCs w:val="18"/>
              </w:rPr>
            </w:pPr>
            <w:r>
              <w:rPr>
                <w:rFonts w:ascii="Sylfaen" w:eastAsia="Sylfaen" w:hAnsi="Sylfaen" w:cs="Sylfaen"/>
                <w:spacing w:val="-1"/>
                <w:sz w:val="16"/>
                <w:szCs w:val="18"/>
              </w:rPr>
              <w:t>მიახლოებითი</w:t>
            </w:r>
            <w:r>
              <w:rPr>
                <w:rFonts w:ascii="Sylfaen" w:eastAsia="Sylfaen" w:hAnsi="Sylfaen" w:cs="Sylfaen"/>
                <w:spacing w:val="28"/>
                <w:sz w:val="16"/>
                <w:szCs w:val="18"/>
              </w:rPr>
              <w:t xml:space="preserve"> </w:t>
            </w:r>
            <w:r>
              <w:rPr>
                <w:rFonts w:ascii="Sylfaen" w:eastAsia="Sylfaen" w:hAnsi="Sylfaen" w:cs="Sylfaen"/>
                <w:spacing w:val="-1"/>
                <w:sz w:val="16"/>
                <w:szCs w:val="18"/>
              </w:rPr>
              <w:t>ღირებულება</w:t>
            </w:r>
            <w:r>
              <w:rPr>
                <w:rFonts w:ascii="Sylfaen" w:eastAsia="Sylfaen" w:hAnsi="Sylfaen" w:cs="Sylfaen"/>
                <w:spacing w:val="26"/>
                <w:sz w:val="16"/>
                <w:szCs w:val="18"/>
              </w:rPr>
              <w:t xml:space="preserve"> </w:t>
            </w:r>
            <w:r>
              <w:rPr>
                <w:rFonts w:ascii="Sylfaen" w:eastAsia="Sylfaen" w:hAnsi="Sylfaen" w:cs="Sylfaen"/>
                <w:sz w:val="16"/>
                <w:szCs w:val="18"/>
              </w:rPr>
              <w:t>(ლარი)</w:t>
            </w:r>
          </w:p>
        </w:tc>
        <w:tc>
          <w:tcPr>
            <w:tcW w:w="2268" w:type="dxa"/>
            <w:tcBorders>
              <w:top w:val="single" w:sz="6" w:space="0" w:color="000000"/>
              <w:left w:val="single" w:sz="6" w:space="0" w:color="000000"/>
              <w:bottom w:val="nil"/>
              <w:right w:val="single" w:sz="6" w:space="0" w:color="000000"/>
            </w:tcBorders>
            <w:shd w:val="clear" w:color="auto" w:fill="BFBFBF"/>
            <w:hideMark/>
          </w:tcPr>
          <w:p w14:paraId="4BE551D1" w14:textId="77777777" w:rsidR="00092B73" w:rsidRDefault="00092B73">
            <w:pPr>
              <w:pStyle w:val="TableParagraph"/>
              <w:spacing w:line="256" w:lineRule="auto"/>
              <w:ind w:left="102"/>
              <w:rPr>
                <w:rFonts w:ascii="Sylfaen" w:eastAsia="Sylfaen" w:hAnsi="Sylfaen" w:cs="Sylfaen"/>
                <w:sz w:val="16"/>
                <w:szCs w:val="18"/>
                <w:lang w:val="ka-GE"/>
              </w:rPr>
            </w:pPr>
            <w:r>
              <w:rPr>
                <w:rFonts w:ascii="Sylfaen" w:eastAsia="Sylfaen" w:hAnsi="Sylfaen" w:cs="Sylfaen"/>
                <w:spacing w:val="-1"/>
                <w:sz w:val="16"/>
                <w:szCs w:val="18"/>
                <w:lang w:val="ka-GE"/>
              </w:rPr>
              <w:t>შემარბილებელი ღონისძიებების განხორციელებაზე პასუხისმგებელი</w:t>
            </w:r>
          </w:p>
        </w:tc>
        <w:tc>
          <w:tcPr>
            <w:tcW w:w="1519" w:type="dxa"/>
            <w:tcBorders>
              <w:top w:val="single" w:sz="6" w:space="0" w:color="000000"/>
              <w:left w:val="single" w:sz="6" w:space="0" w:color="000000"/>
              <w:bottom w:val="nil"/>
              <w:right w:val="single" w:sz="6" w:space="0" w:color="000000"/>
            </w:tcBorders>
            <w:shd w:val="clear" w:color="auto" w:fill="BFBFBF"/>
            <w:hideMark/>
          </w:tcPr>
          <w:p w14:paraId="37809CE3"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მონიტორინგის</w:t>
            </w:r>
            <w:r>
              <w:rPr>
                <w:rFonts w:ascii="Sylfaen" w:eastAsia="Sylfaen" w:hAnsi="Sylfaen" w:cs="Sylfaen"/>
                <w:spacing w:val="24"/>
                <w:sz w:val="16"/>
                <w:szCs w:val="18"/>
              </w:rPr>
              <w:t xml:space="preserve"> </w:t>
            </w:r>
            <w:r>
              <w:rPr>
                <w:rFonts w:ascii="Sylfaen" w:eastAsia="Sylfaen" w:hAnsi="Sylfaen" w:cs="Sylfaen"/>
                <w:spacing w:val="-1"/>
                <w:sz w:val="16"/>
                <w:szCs w:val="18"/>
                <w:lang w:val="ka-GE"/>
              </w:rPr>
              <w:t>განხორცილებაზე პასუხისმგებელი</w:t>
            </w:r>
          </w:p>
        </w:tc>
      </w:tr>
      <w:tr w:rsidR="00092B73" w14:paraId="746FD5CD" w14:textId="77777777" w:rsidTr="00C6605E">
        <w:trPr>
          <w:trHeight w:hRule="exact" w:val="1155"/>
        </w:trPr>
        <w:tc>
          <w:tcPr>
            <w:tcW w:w="2070" w:type="dxa"/>
            <w:tcBorders>
              <w:top w:val="single" w:sz="6" w:space="0" w:color="000000"/>
              <w:left w:val="single" w:sz="6" w:space="0" w:color="000000"/>
              <w:bottom w:val="single" w:sz="6" w:space="0" w:color="000000"/>
              <w:right w:val="single" w:sz="6" w:space="0" w:color="000000"/>
            </w:tcBorders>
            <w:hideMark/>
          </w:tcPr>
          <w:p w14:paraId="59F1F2C0" w14:textId="77777777" w:rsidR="00092B73" w:rsidRDefault="00092B73">
            <w:pPr>
              <w:pStyle w:val="TableParagraph"/>
              <w:spacing w:line="256" w:lineRule="auto"/>
              <w:ind w:left="102" w:right="119" w:hanging="1"/>
              <w:rPr>
                <w:rFonts w:ascii="Sylfaen" w:eastAsia="Sylfaen" w:hAnsi="Sylfaen" w:cs="Sylfaen"/>
                <w:sz w:val="16"/>
                <w:szCs w:val="18"/>
              </w:rPr>
            </w:pPr>
            <w:r>
              <w:rPr>
                <w:rFonts w:ascii="Sylfaen" w:eastAsia="Sylfaen" w:hAnsi="Sylfaen" w:cs="Sylfaen"/>
                <w:spacing w:val="-1"/>
                <w:sz w:val="16"/>
                <w:szCs w:val="18"/>
              </w:rPr>
              <w:t>საწვავის/ზეთის</w:t>
            </w:r>
            <w:r>
              <w:rPr>
                <w:rFonts w:ascii="Sylfaen" w:eastAsia="Sylfaen" w:hAnsi="Sylfaen" w:cs="Sylfaen"/>
                <w:spacing w:val="29"/>
                <w:sz w:val="16"/>
                <w:szCs w:val="18"/>
              </w:rPr>
              <w:t xml:space="preserve"> </w:t>
            </w:r>
            <w:r>
              <w:rPr>
                <w:rFonts w:ascii="Sylfaen" w:eastAsia="Sylfaen" w:hAnsi="Sylfaen" w:cs="Sylfaen"/>
                <w:spacing w:val="-1"/>
                <w:sz w:val="16"/>
                <w:szCs w:val="18"/>
              </w:rPr>
              <w:t>ავარიული</w:t>
            </w:r>
            <w:r>
              <w:rPr>
                <w:rFonts w:ascii="Sylfaen" w:eastAsia="Sylfaen" w:hAnsi="Sylfaen" w:cs="Sylfaen"/>
                <w:spacing w:val="27"/>
                <w:sz w:val="16"/>
                <w:szCs w:val="18"/>
              </w:rPr>
              <w:t xml:space="preserve"> </w:t>
            </w:r>
            <w:r>
              <w:rPr>
                <w:rFonts w:ascii="Sylfaen" w:eastAsia="Sylfaen" w:hAnsi="Sylfaen" w:cs="Sylfaen"/>
                <w:spacing w:val="-1"/>
                <w:sz w:val="16"/>
                <w:szCs w:val="18"/>
              </w:rPr>
              <w:t>დაღვრა</w:t>
            </w:r>
            <w:r>
              <w:rPr>
                <w:rFonts w:ascii="Sylfaen" w:eastAsia="Sylfaen" w:hAnsi="Sylfaen" w:cs="Sylfaen"/>
                <w:spacing w:val="-2"/>
                <w:sz w:val="16"/>
                <w:szCs w:val="18"/>
              </w:rPr>
              <w:t xml:space="preserve"> </w:t>
            </w:r>
            <w:r>
              <w:rPr>
                <w:rFonts w:ascii="Sylfaen" w:eastAsia="Sylfaen" w:hAnsi="Sylfaen" w:cs="Sylfaen"/>
                <w:spacing w:val="-1"/>
                <w:sz w:val="16"/>
                <w:szCs w:val="18"/>
              </w:rPr>
              <w:t>და/ან</w:t>
            </w:r>
            <w:r>
              <w:rPr>
                <w:rFonts w:ascii="Sylfaen" w:eastAsia="Sylfaen" w:hAnsi="Sylfaen" w:cs="Sylfaen"/>
                <w:spacing w:val="27"/>
                <w:sz w:val="16"/>
                <w:szCs w:val="18"/>
              </w:rPr>
              <w:t xml:space="preserve"> </w:t>
            </w:r>
            <w:r>
              <w:rPr>
                <w:rFonts w:ascii="Sylfaen" w:eastAsia="Sylfaen" w:hAnsi="Sylfaen" w:cs="Sylfaen"/>
                <w:spacing w:val="-1"/>
                <w:sz w:val="16"/>
                <w:szCs w:val="18"/>
              </w:rPr>
              <w:t>გზისპირა</w:t>
            </w:r>
            <w:r>
              <w:rPr>
                <w:rFonts w:ascii="Sylfaen" w:eastAsia="Sylfaen" w:hAnsi="Sylfaen" w:cs="Sylfaen"/>
                <w:spacing w:val="24"/>
                <w:sz w:val="16"/>
                <w:szCs w:val="18"/>
              </w:rPr>
              <w:t xml:space="preserve"> </w:t>
            </w:r>
            <w:r>
              <w:rPr>
                <w:rFonts w:ascii="Sylfaen" w:eastAsia="Sylfaen" w:hAnsi="Sylfaen" w:cs="Sylfaen"/>
                <w:spacing w:val="-1"/>
                <w:sz w:val="16"/>
                <w:szCs w:val="18"/>
              </w:rPr>
              <w:t>ნაგვის</w:t>
            </w:r>
            <w:r>
              <w:rPr>
                <w:rFonts w:ascii="Sylfaen" w:eastAsia="Sylfaen" w:hAnsi="Sylfaen" w:cs="Sylfaen"/>
                <w:sz w:val="16"/>
                <w:szCs w:val="18"/>
              </w:rPr>
              <w:t xml:space="preserve"> </w:t>
            </w:r>
            <w:r>
              <w:rPr>
                <w:rFonts w:ascii="Sylfaen" w:eastAsia="Sylfaen" w:hAnsi="Sylfaen" w:cs="Sylfaen"/>
                <w:spacing w:val="-1"/>
                <w:sz w:val="16"/>
                <w:szCs w:val="18"/>
              </w:rPr>
              <w:t>ქარით</w:t>
            </w:r>
            <w:r>
              <w:rPr>
                <w:rFonts w:ascii="Sylfaen" w:eastAsia="Sylfaen" w:hAnsi="Sylfaen" w:cs="Sylfaen"/>
                <w:spacing w:val="1"/>
                <w:sz w:val="16"/>
                <w:szCs w:val="18"/>
              </w:rPr>
              <w:t xml:space="preserve"> </w:t>
            </w:r>
            <w:r>
              <w:rPr>
                <w:rFonts w:ascii="Sylfaen" w:eastAsia="Sylfaen" w:hAnsi="Sylfaen" w:cs="Sylfaen"/>
                <w:sz w:val="16"/>
                <w:szCs w:val="18"/>
              </w:rPr>
              <w:t>ან</w:t>
            </w:r>
            <w:r>
              <w:rPr>
                <w:rFonts w:ascii="Sylfaen" w:eastAsia="Sylfaen" w:hAnsi="Sylfaen" w:cs="Sylfaen"/>
                <w:spacing w:val="28"/>
                <w:sz w:val="16"/>
                <w:szCs w:val="18"/>
              </w:rPr>
              <w:t xml:space="preserve"> </w:t>
            </w:r>
            <w:r>
              <w:rPr>
                <w:rFonts w:ascii="Sylfaen" w:eastAsia="Sylfaen" w:hAnsi="Sylfaen" w:cs="Sylfaen"/>
                <w:spacing w:val="-1"/>
                <w:sz w:val="16"/>
                <w:szCs w:val="18"/>
              </w:rPr>
              <w:t>ზედაპირული</w:t>
            </w:r>
            <w:r>
              <w:rPr>
                <w:rFonts w:ascii="Sylfaen" w:eastAsia="Sylfaen" w:hAnsi="Sylfaen" w:cs="Sylfaen"/>
                <w:spacing w:val="25"/>
                <w:sz w:val="16"/>
                <w:szCs w:val="18"/>
              </w:rPr>
              <w:t xml:space="preserve"> </w:t>
            </w:r>
            <w:r>
              <w:rPr>
                <w:rFonts w:ascii="Sylfaen" w:eastAsia="Sylfaen" w:hAnsi="Sylfaen" w:cs="Sylfaen"/>
                <w:spacing w:val="-1"/>
                <w:sz w:val="16"/>
                <w:szCs w:val="18"/>
              </w:rPr>
              <w:t>ჩამონადენით</w:t>
            </w:r>
            <w:r>
              <w:rPr>
                <w:rFonts w:ascii="Sylfaen" w:eastAsia="Sylfaen" w:hAnsi="Sylfaen" w:cs="Sylfaen"/>
                <w:spacing w:val="25"/>
                <w:sz w:val="16"/>
                <w:szCs w:val="18"/>
              </w:rPr>
              <w:t xml:space="preserve"> </w:t>
            </w:r>
            <w:r>
              <w:rPr>
                <w:rFonts w:ascii="Sylfaen" w:eastAsia="Sylfaen" w:hAnsi="Sylfaen" w:cs="Sylfaen"/>
                <w:spacing w:val="-1"/>
                <w:sz w:val="16"/>
                <w:szCs w:val="18"/>
              </w:rPr>
              <w:t>გადატანა</w:t>
            </w:r>
          </w:p>
        </w:tc>
        <w:tc>
          <w:tcPr>
            <w:tcW w:w="1841" w:type="dxa"/>
            <w:tcBorders>
              <w:top w:val="single" w:sz="6" w:space="0" w:color="000000"/>
              <w:left w:val="single" w:sz="6" w:space="0" w:color="000000"/>
              <w:bottom w:val="single" w:sz="6" w:space="0" w:color="000000"/>
              <w:right w:val="single" w:sz="6" w:space="0" w:color="000000"/>
            </w:tcBorders>
            <w:hideMark/>
          </w:tcPr>
          <w:p w14:paraId="31FA9295" w14:textId="77777777" w:rsidR="00092B73" w:rsidRDefault="00092B73">
            <w:pPr>
              <w:pStyle w:val="TableParagraph"/>
              <w:spacing w:line="256" w:lineRule="auto"/>
              <w:ind w:left="102" w:right="611"/>
              <w:rPr>
                <w:rFonts w:ascii="Sylfaen" w:eastAsia="Sylfaen" w:hAnsi="Sylfaen" w:cs="Sylfaen"/>
                <w:sz w:val="16"/>
                <w:szCs w:val="18"/>
              </w:rPr>
            </w:pPr>
            <w:r>
              <w:rPr>
                <w:rFonts w:ascii="Sylfaen" w:eastAsia="Sylfaen" w:hAnsi="Sylfaen" w:cs="Sylfaen"/>
                <w:spacing w:val="-1"/>
                <w:sz w:val="16"/>
                <w:szCs w:val="18"/>
              </w:rPr>
              <w:t>წყლის</w:t>
            </w:r>
            <w:r>
              <w:rPr>
                <w:rFonts w:ascii="Sylfaen" w:eastAsia="Sylfaen" w:hAnsi="Sylfaen" w:cs="Sylfaen"/>
                <w:spacing w:val="24"/>
                <w:sz w:val="16"/>
                <w:szCs w:val="18"/>
              </w:rPr>
              <w:t xml:space="preserve"> </w:t>
            </w:r>
            <w:r>
              <w:rPr>
                <w:rFonts w:ascii="Sylfaen" w:eastAsia="Sylfaen" w:hAnsi="Sylfaen" w:cs="Sylfaen"/>
                <w:spacing w:val="-1"/>
                <w:sz w:val="16"/>
                <w:szCs w:val="18"/>
              </w:rPr>
              <w:t>დაბინძურება</w:t>
            </w:r>
          </w:p>
        </w:tc>
        <w:tc>
          <w:tcPr>
            <w:tcW w:w="6065" w:type="dxa"/>
            <w:gridSpan w:val="2"/>
            <w:tcBorders>
              <w:top w:val="single" w:sz="6" w:space="0" w:color="000000"/>
              <w:left w:val="single" w:sz="6" w:space="0" w:color="000000"/>
              <w:bottom w:val="single" w:sz="6" w:space="0" w:color="000000"/>
              <w:right w:val="single" w:sz="6" w:space="0" w:color="000000"/>
            </w:tcBorders>
            <w:hideMark/>
          </w:tcPr>
          <w:p w14:paraId="74D62801" w14:textId="77777777" w:rsidR="00092B73" w:rsidRDefault="00092B73">
            <w:pPr>
              <w:pStyle w:val="TableParagraph"/>
              <w:spacing w:line="256" w:lineRule="auto"/>
              <w:ind w:left="102"/>
              <w:rPr>
                <w:rFonts w:ascii="Sylfaen" w:eastAsia="Sylfaen" w:hAnsi="Sylfaen" w:cs="Sylfaen"/>
                <w:sz w:val="16"/>
                <w:szCs w:val="18"/>
              </w:rPr>
            </w:pPr>
            <w:r>
              <w:rPr>
                <w:rFonts w:ascii="Symbol" w:eastAsia="Symbol" w:hAnsi="Symbol" w:cs="Symbol"/>
                <w:sz w:val="16"/>
                <w:szCs w:val="18"/>
              </w:rPr>
              <w:t></w:t>
            </w:r>
            <w:r>
              <w:rPr>
                <w:rFonts w:ascii="Symbol" w:eastAsia="Symbol" w:hAnsi="Symbol" w:cs="Symbol"/>
                <w:sz w:val="16"/>
                <w:szCs w:val="18"/>
              </w:rPr>
              <w:t></w:t>
            </w:r>
            <w:r>
              <w:rPr>
                <w:rFonts w:ascii="Symbol" w:eastAsia="Symbol" w:hAnsi="Symbol" w:cs="Symbol"/>
                <w:spacing w:val="26"/>
                <w:sz w:val="16"/>
                <w:szCs w:val="18"/>
              </w:rPr>
              <w:t></w:t>
            </w:r>
            <w:r>
              <w:rPr>
                <w:rFonts w:ascii="Sylfaen" w:eastAsia="Sylfaen" w:hAnsi="Sylfaen" w:cs="Sylfaen"/>
                <w:spacing w:val="-1"/>
                <w:sz w:val="16"/>
                <w:szCs w:val="18"/>
              </w:rPr>
              <w:t>უფრო</w:t>
            </w:r>
            <w:r>
              <w:rPr>
                <w:rFonts w:ascii="Sylfaen" w:eastAsia="Sylfaen" w:hAnsi="Sylfaen" w:cs="Sylfaen"/>
                <w:sz w:val="16"/>
                <w:szCs w:val="18"/>
              </w:rPr>
              <w:t xml:space="preserve"> </w:t>
            </w:r>
            <w:r>
              <w:rPr>
                <w:rFonts w:ascii="Sylfaen" w:eastAsia="Sylfaen" w:hAnsi="Sylfaen" w:cs="Sylfaen"/>
                <w:spacing w:val="-1"/>
                <w:sz w:val="16"/>
                <w:szCs w:val="18"/>
              </w:rPr>
              <w:t>ხშირი</w:t>
            </w:r>
            <w:r>
              <w:rPr>
                <w:rFonts w:ascii="Sylfaen" w:eastAsia="Sylfaen" w:hAnsi="Sylfaen" w:cs="Sylfaen"/>
                <w:sz w:val="16"/>
                <w:szCs w:val="18"/>
              </w:rPr>
              <w:t xml:space="preserve"> </w:t>
            </w:r>
            <w:r>
              <w:rPr>
                <w:rFonts w:ascii="Sylfaen" w:eastAsia="Sylfaen" w:hAnsi="Sylfaen" w:cs="Sylfaen"/>
                <w:spacing w:val="-1"/>
                <w:sz w:val="16"/>
                <w:szCs w:val="18"/>
              </w:rPr>
              <w:t>და</w:t>
            </w:r>
            <w:r>
              <w:rPr>
                <w:rFonts w:ascii="Sylfaen" w:eastAsia="Sylfaen" w:hAnsi="Sylfaen" w:cs="Sylfaen"/>
                <w:sz w:val="16"/>
                <w:szCs w:val="18"/>
              </w:rPr>
              <w:t xml:space="preserve"> </w:t>
            </w:r>
            <w:r>
              <w:rPr>
                <w:rFonts w:ascii="Sylfaen" w:eastAsia="Sylfaen" w:hAnsi="Sylfaen" w:cs="Sylfaen"/>
                <w:spacing w:val="-1"/>
                <w:sz w:val="16"/>
                <w:szCs w:val="18"/>
              </w:rPr>
              <w:t>უკეთესი</w:t>
            </w:r>
            <w:r>
              <w:rPr>
                <w:rFonts w:ascii="Sylfaen" w:eastAsia="Sylfaen" w:hAnsi="Sylfaen" w:cs="Sylfaen"/>
                <w:sz w:val="16"/>
                <w:szCs w:val="18"/>
              </w:rPr>
              <w:t xml:space="preserve"> </w:t>
            </w:r>
            <w:r>
              <w:rPr>
                <w:rFonts w:ascii="Sylfaen" w:eastAsia="Sylfaen" w:hAnsi="Sylfaen" w:cs="Sylfaen"/>
                <w:spacing w:val="-1"/>
                <w:sz w:val="16"/>
                <w:szCs w:val="18"/>
              </w:rPr>
              <w:t>დასუფთავება;</w:t>
            </w:r>
          </w:p>
          <w:p w14:paraId="56C9B250" w14:textId="77777777" w:rsidR="00092B73" w:rsidRDefault="00092B73">
            <w:pPr>
              <w:pStyle w:val="TableParagraph"/>
              <w:spacing w:line="256" w:lineRule="auto"/>
              <w:ind w:left="301" w:right="105" w:hanging="200"/>
              <w:rPr>
                <w:rFonts w:ascii="Sylfaen" w:eastAsia="Sylfaen" w:hAnsi="Sylfaen" w:cs="Sylfaen"/>
                <w:sz w:val="16"/>
                <w:szCs w:val="18"/>
              </w:rPr>
            </w:pPr>
            <w:r>
              <w:rPr>
                <w:rFonts w:ascii="Symbol" w:eastAsia="Symbol" w:hAnsi="Symbol" w:cs="Symbol"/>
                <w:sz w:val="16"/>
                <w:szCs w:val="18"/>
              </w:rPr>
              <w:t></w:t>
            </w:r>
            <w:r>
              <w:rPr>
                <w:rFonts w:ascii="Symbol" w:eastAsia="Symbol" w:hAnsi="Symbol" w:cs="Symbol"/>
                <w:sz w:val="16"/>
                <w:szCs w:val="18"/>
              </w:rPr>
              <w:t></w:t>
            </w:r>
            <w:r>
              <w:rPr>
                <w:rFonts w:ascii="Symbol" w:eastAsia="Symbol" w:hAnsi="Symbol" w:cs="Symbol"/>
                <w:spacing w:val="26"/>
                <w:sz w:val="16"/>
                <w:szCs w:val="18"/>
              </w:rPr>
              <w:t></w:t>
            </w:r>
            <w:r>
              <w:rPr>
                <w:rFonts w:ascii="Sylfaen" w:eastAsia="Sylfaen" w:hAnsi="Sylfaen" w:cs="Sylfaen"/>
                <w:spacing w:val="-1"/>
                <w:sz w:val="16"/>
                <w:szCs w:val="18"/>
              </w:rPr>
              <w:t>კიუვეტები</w:t>
            </w:r>
            <w:r>
              <w:rPr>
                <w:rFonts w:ascii="Sylfaen" w:eastAsia="Sylfaen" w:hAnsi="Sylfaen" w:cs="Sylfaen"/>
                <w:sz w:val="16"/>
                <w:szCs w:val="18"/>
              </w:rPr>
              <w:t xml:space="preserve"> </w:t>
            </w:r>
            <w:r>
              <w:rPr>
                <w:rFonts w:ascii="Sylfaen" w:eastAsia="Sylfaen" w:hAnsi="Sylfaen" w:cs="Sylfaen"/>
                <w:spacing w:val="35"/>
                <w:sz w:val="16"/>
                <w:szCs w:val="18"/>
              </w:rPr>
              <w:t xml:space="preserve"> </w:t>
            </w:r>
            <w:r>
              <w:rPr>
                <w:rFonts w:ascii="Sylfaen" w:eastAsia="Sylfaen" w:hAnsi="Sylfaen" w:cs="Sylfaen"/>
                <w:spacing w:val="-1"/>
                <w:sz w:val="16"/>
                <w:szCs w:val="18"/>
              </w:rPr>
              <w:t>რეგულარულად</w:t>
            </w:r>
            <w:r>
              <w:rPr>
                <w:rFonts w:ascii="Sylfaen" w:eastAsia="Sylfaen" w:hAnsi="Sylfaen" w:cs="Sylfaen"/>
                <w:sz w:val="16"/>
                <w:szCs w:val="18"/>
              </w:rPr>
              <w:t xml:space="preserve"> </w:t>
            </w:r>
            <w:r>
              <w:rPr>
                <w:rFonts w:ascii="Sylfaen" w:eastAsia="Sylfaen" w:hAnsi="Sylfaen" w:cs="Sylfaen"/>
                <w:spacing w:val="33"/>
                <w:sz w:val="16"/>
                <w:szCs w:val="18"/>
              </w:rPr>
              <w:t xml:space="preserve"> </w:t>
            </w:r>
            <w:r>
              <w:rPr>
                <w:rFonts w:ascii="Sylfaen" w:eastAsia="Sylfaen" w:hAnsi="Sylfaen" w:cs="Sylfaen"/>
                <w:spacing w:val="-1"/>
                <w:sz w:val="16"/>
                <w:szCs w:val="18"/>
              </w:rPr>
              <w:t>უნდა</w:t>
            </w:r>
            <w:r>
              <w:rPr>
                <w:rFonts w:ascii="Sylfaen" w:eastAsia="Sylfaen" w:hAnsi="Sylfaen" w:cs="Sylfaen"/>
                <w:sz w:val="16"/>
                <w:szCs w:val="18"/>
              </w:rPr>
              <w:t xml:space="preserve"> </w:t>
            </w:r>
            <w:r>
              <w:rPr>
                <w:rFonts w:ascii="Sylfaen" w:eastAsia="Sylfaen" w:hAnsi="Sylfaen" w:cs="Sylfaen"/>
                <w:spacing w:val="34"/>
                <w:sz w:val="16"/>
                <w:szCs w:val="18"/>
              </w:rPr>
              <w:t xml:space="preserve"> </w:t>
            </w:r>
            <w:r>
              <w:rPr>
                <w:rFonts w:ascii="Sylfaen" w:eastAsia="Sylfaen" w:hAnsi="Sylfaen" w:cs="Sylfaen"/>
                <w:spacing w:val="-1"/>
                <w:sz w:val="16"/>
                <w:szCs w:val="18"/>
              </w:rPr>
              <w:t>შემოწმდეს</w:t>
            </w:r>
            <w:r>
              <w:rPr>
                <w:rFonts w:ascii="Sylfaen" w:eastAsia="Sylfaen" w:hAnsi="Sylfaen" w:cs="Sylfaen"/>
                <w:spacing w:val="33"/>
                <w:sz w:val="16"/>
                <w:szCs w:val="18"/>
              </w:rPr>
              <w:t xml:space="preserve"> </w:t>
            </w:r>
            <w:r>
              <w:rPr>
                <w:rFonts w:ascii="Sylfaen" w:eastAsia="Sylfaen" w:hAnsi="Sylfaen" w:cs="Sylfaen"/>
                <w:spacing w:val="-1"/>
                <w:sz w:val="16"/>
                <w:szCs w:val="18"/>
              </w:rPr>
              <w:t>და</w:t>
            </w:r>
            <w:r>
              <w:rPr>
                <w:rFonts w:ascii="Sylfaen" w:eastAsia="Sylfaen" w:hAnsi="Sylfaen" w:cs="Sylfaen"/>
                <w:sz w:val="16"/>
                <w:szCs w:val="18"/>
              </w:rPr>
              <w:t xml:space="preserve"> </w:t>
            </w:r>
            <w:r>
              <w:rPr>
                <w:rFonts w:ascii="Sylfaen" w:eastAsia="Sylfaen" w:hAnsi="Sylfaen" w:cs="Sylfaen"/>
                <w:spacing w:val="-1"/>
                <w:sz w:val="16"/>
                <w:szCs w:val="18"/>
              </w:rPr>
              <w:t>შეკეთდეს</w:t>
            </w:r>
            <w:r>
              <w:rPr>
                <w:rFonts w:ascii="Sylfaen" w:eastAsia="Sylfaen" w:hAnsi="Sylfaen" w:cs="Sylfaen"/>
                <w:sz w:val="16"/>
                <w:szCs w:val="18"/>
              </w:rPr>
              <w:t xml:space="preserve"> </w:t>
            </w:r>
            <w:r>
              <w:rPr>
                <w:rFonts w:ascii="Sylfaen" w:eastAsia="Sylfaen" w:hAnsi="Sylfaen" w:cs="Sylfaen"/>
                <w:spacing w:val="-1"/>
                <w:sz w:val="16"/>
                <w:szCs w:val="18"/>
              </w:rPr>
              <w:t>საჭიროებისამებრ.</w:t>
            </w:r>
          </w:p>
          <w:p w14:paraId="12CA7BF6" w14:textId="77777777" w:rsidR="00092B73" w:rsidRDefault="00092B73">
            <w:pPr>
              <w:pStyle w:val="TableParagraph"/>
              <w:spacing w:line="256" w:lineRule="auto"/>
              <w:ind w:left="301" w:right="102" w:hanging="200"/>
              <w:rPr>
                <w:rFonts w:ascii="Sylfaen" w:eastAsia="Sylfaen" w:hAnsi="Sylfaen" w:cs="Sylfaen"/>
                <w:sz w:val="16"/>
                <w:szCs w:val="18"/>
              </w:rPr>
            </w:pPr>
            <w:r>
              <w:rPr>
                <w:rFonts w:ascii="Symbol" w:eastAsia="Symbol" w:hAnsi="Symbol" w:cs="Symbol"/>
                <w:sz w:val="16"/>
                <w:szCs w:val="18"/>
              </w:rPr>
              <w:t></w:t>
            </w:r>
            <w:r>
              <w:rPr>
                <w:rFonts w:ascii="Symbol" w:eastAsia="Symbol" w:hAnsi="Symbol" w:cs="Symbol"/>
                <w:sz w:val="16"/>
                <w:szCs w:val="18"/>
              </w:rPr>
              <w:t></w:t>
            </w:r>
            <w:r>
              <w:rPr>
                <w:rFonts w:ascii="Symbol" w:eastAsia="Symbol" w:hAnsi="Symbol" w:cs="Symbol"/>
                <w:spacing w:val="25"/>
                <w:sz w:val="16"/>
                <w:szCs w:val="18"/>
              </w:rPr>
              <w:t></w:t>
            </w:r>
            <w:r>
              <w:rPr>
                <w:rFonts w:ascii="Sylfaen" w:eastAsia="Sylfaen" w:hAnsi="Sylfaen" w:cs="Sylfaen"/>
                <w:spacing w:val="-1"/>
                <w:sz w:val="16"/>
                <w:szCs w:val="18"/>
              </w:rPr>
              <w:t>სატვირთო</w:t>
            </w:r>
            <w:r>
              <w:rPr>
                <w:rFonts w:ascii="Sylfaen" w:eastAsia="Sylfaen" w:hAnsi="Sylfaen" w:cs="Sylfaen"/>
                <w:sz w:val="16"/>
                <w:szCs w:val="18"/>
              </w:rPr>
              <w:t xml:space="preserve">  </w:t>
            </w:r>
            <w:r>
              <w:rPr>
                <w:rFonts w:ascii="Sylfaen" w:eastAsia="Sylfaen" w:hAnsi="Sylfaen" w:cs="Sylfaen"/>
                <w:spacing w:val="18"/>
                <w:sz w:val="16"/>
                <w:szCs w:val="18"/>
              </w:rPr>
              <w:t xml:space="preserve"> </w:t>
            </w:r>
            <w:r>
              <w:rPr>
                <w:rFonts w:ascii="Sylfaen" w:eastAsia="Sylfaen" w:hAnsi="Sylfaen" w:cs="Sylfaen"/>
                <w:spacing w:val="-1"/>
                <w:sz w:val="16"/>
                <w:szCs w:val="18"/>
              </w:rPr>
              <w:t>მოძრაობის</w:t>
            </w:r>
            <w:r>
              <w:rPr>
                <w:rFonts w:ascii="Sylfaen" w:eastAsia="Sylfaen" w:hAnsi="Sylfaen" w:cs="Sylfaen"/>
                <w:sz w:val="16"/>
                <w:szCs w:val="18"/>
              </w:rPr>
              <w:t xml:space="preserve">  </w:t>
            </w:r>
            <w:r>
              <w:rPr>
                <w:rFonts w:ascii="Sylfaen" w:eastAsia="Sylfaen" w:hAnsi="Sylfaen" w:cs="Sylfaen"/>
                <w:spacing w:val="16"/>
                <w:sz w:val="16"/>
                <w:szCs w:val="18"/>
              </w:rPr>
              <w:t xml:space="preserve"> </w:t>
            </w:r>
            <w:r>
              <w:rPr>
                <w:rFonts w:ascii="Sylfaen" w:eastAsia="Sylfaen" w:hAnsi="Sylfaen" w:cs="Sylfaen"/>
                <w:spacing w:val="-1"/>
                <w:sz w:val="16"/>
                <w:szCs w:val="18"/>
              </w:rPr>
              <w:t>კონტროლი</w:t>
            </w:r>
            <w:r>
              <w:rPr>
                <w:rFonts w:ascii="Sylfaen" w:eastAsia="Sylfaen" w:hAnsi="Sylfaen" w:cs="Sylfaen"/>
                <w:sz w:val="16"/>
                <w:szCs w:val="18"/>
              </w:rPr>
              <w:t xml:space="preserve">  </w:t>
            </w:r>
            <w:r>
              <w:rPr>
                <w:rFonts w:ascii="Sylfaen" w:eastAsia="Sylfaen" w:hAnsi="Sylfaen" w:cs="Sylfaen"/>
                <w:spacing w:val="17"/>
                <w:sz w:val="16"/>
                <w:szCs w:val="18"/>
              </w:rPr>
              <w:t xml:space="preserve"> </w:t>
            </w:r>
            <w:r>
              <w:rPr>
                <w:rFonts w:ascii="Sylfaen" w:eastAsia="Sylfaen" w:hAnsi="Sylfaen" w:cs="Sylfaen"/>
                <w:spacing w:val="-1"/>
                <w:sz w:val="16"/>
                <w:szCs w:val="18"/>
              </w:rPr>
              <w:t>დაღვრის</w:t>
            </w:r>
            <w:r>
              <w:rPr>
                <w:rFonts w:ascii="Sylfaen" w:eastAsia="Sylfaen" w:hAnsi="Sylfaen" w:cs="Sylfaen"/>
                <w:spacing w:val="51"/>
                <w:sz w:val="16"/>
                <w:szCs w:val="18"/>
              </w:rPr>
              <w:t xml:space="preserve"> </w:t>
            </w:r>
            <w:r>
              <w:rPr>
                <w:rFonts w:ascii="Sylfaen" w:eastAsia="Sylfaen" w:hAnsi="Sylfaen" w:cs="Sylfaen"/>
                <w:spacing w:val="-1"/>
                <w:sz w:val="16"/>
                <w:szCs w:val="18"/>
              </w:rPr>
              <w:t>მინიმიზაციისთვის;</w:t>
            </w:r>
          </w:p>
        </w:tc>
        <w:tc>
          <w:tcPr>
            <w:tcW w:w="1973" w:type="dxa"/>
            <w:tcBorders>
              <w:top w:val="single" w:sz="6" w:space="0" w:color="000000"/>
              <w:left w:val="single" w:sz="6" w:space="0" w:color="000000"/>
              <w:bottom w:val="single" w:sz="6" w:space="0" w:color="000000"/>
              <w:right w:val="single" w:sz="6" w:space="0" w:color="000000"/>
            </w:tcBorders>
            <w:hideMark/>
          </w:tcPr>
          <w:p w14:paraId="7D02381F" w14:textId="77777777" w:rsidR="00092B73" w:rsidRDefault="00092B73">
            <w:pPr>
              <w:pStyle w:val="TableParagraph"/>
              <w:spacing w:line="256" w:lineRule="auto"/>
              <w:ind w:left="99" w:right="109"/>
              <w:rPr>
                <w:rFonts w:ascii="Sylfaen" w:eastAsia="Sylfaen" w:hAnsi="Sylfaen" w:cs="Sylfaen"/>
                <w:sz w:val="16"/>
                <w:szCs w:val="18"/>
              </w:rPr>
            </w:pPr>
            <w:r>
              <w:rPr>
                <w:rFonts w:ascii="Sylfaen" w:eastAsia="Sylfaen" w:hAnsi="Sylfaen" w:cs="Sylfaen"/>
                <w:spacing w:val="-1"/>
                <w:sz w:val="16"/>
                <w:szCs w:val="18"/>
              </w:rPr>
              <w:t>დამატებით</w:t>
            </w:r>
            <w:r>
              <w:rPr>
                <w:rFonts w:ascii="Sylfaen" w:eastAsia="Sylfaen" w:hAnsi="Sylfaen" w:cs="Sylfaen"/>
                <w:spacing w:val="25"/>
                <w:sz w:val="16"/>
                <w:szCs w:val="18"/>
              </w:rPr>
              <w:t xml:space="preserve"> </w:t>
            </w:r>
            <w:r>
              <w:rPr>
                <w:rFonts w:ascii="Sylfaen" w:eastAsia="Sylfaen" w:hAnsi="Sylfaen" w:cs="Sylfaen"/>
                <w:spacing w:val="-1"/>
                <w:sz w:val="16"/>
                <w:szCs w:val="18"/>
              </w:rPr>
              <w:t>ხარჯებს</w:t>
            </w:r>
            <w:r>
              <w:rPr>
                <w:rFonts w:ascii="Sylfaen" w:eastAsia="Sylfaen" w:hAnsi="Sylfaen" w:cs="Sylfaen"/>
                <w:sz w:val="16"/>
                <w:szCs w:val="18"/>
              </w:rPr>
              <w:t xml:space="preserve"> არ</w:t>
            </w:r>
            <w:r>
              <w:rPr>
                <w:rFonts w:ascii="Sylfaen" w:eastAsia="Sylfaen" w:hAnsi="Sylfaen" w:cs="Sylfaen"/>
                <w:spacing w:val="26"/>
                <w:sz w:val="16"/>
                <w:szCs w:val="18"/>
              </w:rPr>
              <w:t xml:space="preserve"> </w:t>
            </w:r>
            <w:r>
              <w:rPr>
                <w:rFonts w:ascii="Sylfaen" w:eastAsia="Sylfaen" w:hAnsi="Sylfaen" w:cs="Sylfaen"/>
                <w:spacing w:val="-1"/>
                <w:sz w:val="16"/>
                <w:szCs w:val="18"/>
              </w:rPr>
              <w:t>მოითხოვს -იფარება</w:t>
            </w:r>
            <w:r>
              <w:rPr>
                <w:rFonts w:ascii="Sylfaen" w:eastAsia="Sylfaen" w:hAnsi="Sylfaen" w:cs="Sylfaen"/>
                <w:spacing w:val="24"/>
                <w:sz w:val="16"/>
                <w:szCs w:val="18"/>
              </w:rPr>
              <w:t xml:space="preserve"> </w:t>
            </w:r>
            <w:r>
              <w:rPr>
                <w:rFonts w:ascii="Sylfaen" w:eastAsia="Sylfaen" w:hAnsi="Sylfaen" w:cs="Sylfaen"/>
                <w:spacing w:val="-1"/>
                <w:sz w:val="16"/>
                <w:szCs w:val="18"/>
              </w:rPr>
              <w:t>მომსახურების</w:t>
            </w:r>
            <w:r>
              <w:rPr>
                <w:rFonts w:ascii="Sylfaen" w:eastAsia="Sylfaen" w:hAnsi="Sylfaen" w:cs="Sylfaen"/>
                <w:spacing w:val="27"/>
                <w:sz w:val="16"/>
                <w:szCs w:val="18"/>
              </w:rPr>
              <w:t xml:space="preserve"> </w:t>
            </w:r>
            <w:r>
              <w:rPr>
                <w:rFonts w:ascii="Sylfaen" w:eastAsia="Sylfaen" w:hAnsi="Sylfaen" w:cs="Sylfaen"/>
                <w:spacing w:val="-1"/>
                <w:sz w:val="16"/>
                <w:szCs w:val="18"/>
              </w:rPr>
              <w:t>ბიუჯეტით</w:t>
            </w:r>
          </w:p>
        </w:tc>
        <w:tc>
          <w:tcPr>
            <w:tcW w:w="2268" w:type="dxa"/>
            <w:tcBorders>
              <w:top w:val="single" w:sz="6" w:space="0" w:color="000000"/>
              <w:left w:val="single" w:sz="6" w:space="0" w:color="000000"/>
              <w:bottom w:val="single" w:sz="6" w:space="0" w:color="000000"/>
              <w:right w:val="single" w:sz="6" w:space="0" w:color="000000"/>
            </w:tcBorders>
            <w:hideMark/>
          </w:tcPr>
          <w:p w14:paraId="59300076" w14:textId="77777777" w:rsidR="00092B73" w:rsidRDefault="00092B73">
            <w:pPr>
              <w:pStyle w:val="TableParagraph"/>
              <w:spacing w:line="256" w:lineRule="auto"/>
              <w:ind w:left="102"/>
              <w:rPr>
                <w:rFonts w:ascii="Sylfaen" w:eastAsia="Sylfaen" w:hAnsi="Sylfaen" w:cs="Sylfaen"/>
                <w:sz w:val="16"/>
                <w:szCs w:val="18"/>
                <w:lang w:val="ka-GE"/>
              </w:rPr>
            </w:pPr>
            <w:r>
              <w:rPr>
                <w:rFonts w:ascii="Sylfaen" w:eastAsia="Sylfaen" w:hAnsi="Sylfaen" w:cs="Sylfaen"/>
                <w:spacing w:val="-1"/>
                <w:sz w:val="16"/>
                <w:szCs w:val="18"/>
                <w:lang w:val="ka-GE"/>
              </w:rPr>
              <w:t>მოვლა-პატრონობისთვის შერჩეული კონტრაქტორი</w:t>
            </w:r>
          </w:p>
        </w:tc>
        <w:tc>
          <w:tcPr>
            <w:tcW w:w="1519" w:type="dxa"/>
            <w:tcBorders>
              <w:top w:val="single" w:sz="6" w:space="0" w:color="000000"/>
              <w:left w:val="single" w:sz="6" w:space="0" w:color="000000"/>
              <w:bottom w:val="single" w:sz="6" w:space="0" w:color="000000"/>
              <w:right w:val="single" w:sz="6" w:space="0" w:color="000000"/>
            </w:tcBorders>
            <w:hideMark/>
          </w:tcPr>
          <w:p w14:paraId="218E8ACE" w14:textId="77777777" w:rsidR="00092B73" w:rsidRDefault="00092B73">
            <w:pPr>
              <w:pStyle w:val="TableParagraph"/>
              <w:spacing w:line="256" w:lineRule="auto"/>
              <w:ind w:left="102" w:right="423"/>
              <w:rPr>
                <w:rFonts w:ascii="Sylfaen" w:eastAsia="Sylfaen" w:hAnsi="Sylfaen" w:cs="Sylfaen"/>
                <w:sz w:val="16"/>
                <w:szCs w:val="18"/>
                <w:lang w:val="ka-GE"/>
              </w:rPr>
            </w:pPr>
            <w:r>
              <w:rPr>
                <w:rFonts w:ascii="Sylfaen" w:eastAsia="Sylfaen" w:hAnsi="Sylfaen" w:cs="Sylfaen"/>
                <w:sz w:val="16"/>
                <w:szCs w:val="18"/>
                <w:lang w:val="ka-GE"/>
              </w:rPr>
              <w:t>საგზაო დეპარტემენტი</w:t>
            </w:r>
          </w:p>
        </w:tc>
      </w:tr>
      <w:tr w:rsidR="00092B73" w14:paraId="3B02EAC5" w14:textId="77777777" w:rsidTr="00C6605E">
        <w:trPr>
          <w:trHeight w:hRule="exact" w:val="3078"/>
        </w:trPr>
        <w:tc>
          <w:tcPr>
            <w:tcW w:w="2070" w:type="dxa"/>
            <w:tcBorders>
              <w:top w:val="single" w:sz="6" w:space="0" w:color="000000"/>
              <w:left w:val="single" w:sz="6" w:space="0" w:color="000000"/>
              <w:bottom w:val="single" w:sz="6" w:space="0" w:color="000000"/>
              <w:right w:val="single" w:sz="6" w:space="0" w:color="000000"/>
            </w:tcBorders>
            <w:hideMark/>
          </w:tcPr>
          <w:p w14:paraId="016A18EE" w14:textId="77777777" w:rsidR="00092B73" w:rsidRDefault="00092B73">
            <w:pPr>
              <w:pStyle w:val="TableParagraph"/>
              <w:spacing w:line="256" w:lineRule="auto"/>
              <w:ind w:left="102" w:right="438"/>
              <w:rPr>
                <w:rFonts w:ascii="Sylfaen" w:eastAsia="Sylfaen" w:hAnsi="Sylfaen" w:cs="Sylfaen"/>
                <w:sz w:val="16"/>
                <w:szCs w:val="18"/>
              </w:rPr>
            </w:pPr>
            <w:r>
              <w:rPr>
                <w:rFonts w:ascii="Sylfaen" w:eastAsia="Sylfaen" w:hAnsi="Sylfaen" w:cs="Sylfaen"/>
                <w:spacing w:val="-1"/>
                <w:sz w:val="16"/>
                <w:szCs w:val="18"/>
              </w:rPr>
              <w:t>გზის/ხიდის</w:t>
            </w:r>
            <w:r>
              <w:rPr>
                <w:rFonts w:ascii="Sylfaen" w:eastAsia="Sylfaen" w:hAnsi="Sylfaen" w:cs="Sylfaen"/>
                <w:spacing w:val="25"/>
                <w:sz w:val="16"/>
                <w:szCs w:val="18"/>
              </w:rPr>
              <w:t xml:space="preserve"> </w:t>
            </w:r>
            <w:r>
              <w:rPr>
                <w:rFonts w:ascii="Sylfaen" w:eastAsia="Sylfaen" w:hAnsi="Sylfaen" w:cs="Sylfaen"/>
                <w:spacing w:val="-1"/>
                <w:sz w:val="16"/>
                <w:szCs w:val="18"/>
              </w:rPr>
              <w:t>საფარის</w:t>
            </w:r>
            <w:r>
              <w:rPr>
                <w:rFonts w:ascii="Sylfaen" w:eastAsia="Sylfaen" w:hAnsi="Sylfaen" w:cs="Sylfaen"/>
                <w:spacing w:val="25"/>
                <w:sz w:val="16"/>
                <w:szCs w:val="18"/>
              </w:rPr>
              <w:t xml:space="preserve"> </w:t>
            </w:r>
            <w:r>
              <w:rPr>
                <w:rFonts w:ascii="Sylfaen" w:eastAsia="Sylfaen" w:hAnsi="Sylfaen" w:cs="Sylfaen"/>
                <w:spacing w:val="-1"/>
                <w:sz w:val="16"/>
                <w:szCs w:val="18"/>
              </w:rPr>
              <w:t>აღდგენა</w:t>
            </w:r>
          </w:p>
        </w:tc>
        <w:tc>
          <w:tcPr>
            <w:tcW w:w="1841" w:type="dxa"/>
            <w:tcBorders>
              <w:top w:val="single" w:sz="6" w:space="0" w:color="000000"/>
              <w:left w:val="single" w:sz="6" w:space="0" w:color="000000"/>
              <w:bottom w:val="single" w:sz="6" w:space="0" w:color="000000"/>
              <w:right w:val="single" w:sz="6" w:space="0" w:color="000000"/>
            </w:tcBorders>
            <w:hideMark/>
          </w:tcPr>
          <w:p w14:paraId="5E4B14E3" w14:textId="77777777" w:rsidR="00092B73" w:rsidRDefault="00092B73">
            <w:pPr>
              <w:pStyle w:val="TableParagraph"/>
              <w:spacing w:line="256" w:lineRule="auto"/>
              <w:ind w:left="102" w:right="99"/>
              <w:rPr>
                <w:rFonts w:ascii="Sylfaen" w:eastAsia="Sylfaen" w:hAnsi="Sylfaen" w:cs="Sylfaen"/>
                <w:sz w:val="16"/>
                <w:szCs w:val="18"/>
              </w:rPr>
            </w:pPr>
            <w:r>
              <w:rPr>
                <w:rFonts w:ascii="Sylfaen" w:eastAsia="Sylfaen" w:hAnsi="Sylfaen" w:cs="Sylfaen"/>
                <w:spacing w:val="-1"/>
                <w:sz w:val="16"/>
                <w:szCs w:val="18"/>
              </w:rPr>
              <w:t>წყლის</w:t>
            </w:r>
            <w:r>
              <w:rPr>
                <w:rFonts w:ascii="Sylfaen" w:eastAsia="Sylfaen" w:hAnsi="Sylfaen" w:cs="Sylfaen"/>
                <w:spacing w:val="24"/>
                <w:sz w:val="16"/>
                <w:szCs w:val="18"/>
              </w:rPr>
              <w:t xml:space="preserve"> </w:t>
            </w:r>
            <w:r>
              <w:rPr>
                <w:rFonts w:ascii="Sylfaen" w:eastAsia="Sylfaen" w:hAnsi="Sylfaen" w:cs="Sylfaen"/>
                <w:spacing w:val="-1"/>
                <w:sz w:val="16"/>
                <w:szCs w:val="18"/>
              </w:rPr>
              <w:t>დაბინძურება</w:t>
            </w:r>
            <w:r>
              <w:rPr>
                <w:rFonts w:ascii="Sylfaen" w:eastAsia="Sylfaen" w:hAnsi="Sylfaen" w:cs="Sylfaen"/>
                <w:spacing w:val="15"/>
                <w:sz w:val="16"/>
                <w:szCs w:val="18"/>
              </w:rPr>
              <w:t xml:space="preserve"> </w:t>
            </w:r>
            <w:r>
              <w:rPr>
                <w:rFonts w:ascii="Sylfaen" w:eastAsia="Sylfaen" w:hAnsi="Sylfaen" w:cs="Sylfaen"/>
                <w:spacing w:val="-1"/>
                <w:sz w:val="16"/>
                <w:szCs w:val="18"/>
              </w:rPr>
              <w:t>მძიმე</w:t>
            </w:r>
            <w:r>
              <w:rPr>
                <w:rFonts w:ascii="Sylfaen" w:eastAsia="Sylfaen" w:hAnsi="Sylfaen" w:cs="Sylfaen"/>
                <w:spacing w:val="28"/>
                <w:sz w:val="16"/>
                <w:szCs w:val="18"/>
              </w:rPr>
              <w:t xml:space="preserve"> </w:t>
            </w:r>
            <w:r>
              <w:rPr>
                <w:rFonts w:ascii="Sylfaen" w:eastAsia="Sylfaen" w:hAnsi="Sylfaen" w:cs="Sylfaen"/>
                <w:spacing w:val="-1"/>
                <w:sz w:val="16"/>
                <w:szCs w:val="18"/>
              </w:rPr>
              <w:t>მეტალებით,</w:t>
            </w:r>
            <w:r>
              <w:rPr>
                <w:rFonts w:ascii="Sylfaen" w:eastAsia="Sylfaen" w:hAnsi="Sylfaen" w:cs="Sylfaen"/>
                <w:spacing w:val="25"/>
                <w:sz w:val="16"/>
                <w:szCs w:val="18"/>
              </w:rPr>
              <w:t xml:space="preserve"> </w:t>
            </w:r>
            <w:r>
              <w:rPr>
                <w:rFonts w:ascii="Sylfaen" w:eastAsia="Sylfaen" w:hAnsi="Sylfaen" w:cs="Sylfaen"/>
                <w:spacing w:val="-1"/>
                <w:sz w:val="16"/>
                <w:szCs w:val="18"/>
              </w:rPr>
              <w:t>ნახშირწყალბადები</w:t>
            </w:r>
            <w:r>
              <w:rPr>
                <w:rFonts w:ascii="Sylfaen" w:eastAsia="Sylfaen" w:hAnsi="Sylfaen" w:cs="Sylfaen"/>
                <w:spacing w:val="30"/>
                <w:sz w:val="16"/>
                <w:szCs w:val="18"/>
              </w:rPr>
              <w:t xml:space="preserve"> </w:t>
            </w:r>
            <w:r>
              <w:rPr>
                <w:rFonts w:ascii="Sylfaen" w:eastAsia="Sylfaen" w:hAnsi="Sylfaen" w:cs="Sylfaen"/>
                <w:sz w:val="16"/>
                <w:szCs w:val="18"/>
              </w:rPr>
              <w:t>თ</w:t>
            </w:r>
            <w:r>
              <w:rPr>
                <w:rFonts w:ascii="Sylfaen" w:eastAsia="Sylfaen" w:hAnsi="Sylfaen" w:cs="Sylfaen"/>
                <w:spacing w:val="1"/>
                <w:sz w:val="16"/>
                <w:szCs w:val="18"/>
              </w:rPr>
              <w:t xml:space="preserve"> </w:t>
            </w:r>
            <w:r>
              <w:rPr>
                <w:rFonts w:ascii="Sylfaen" w:eastAsia="Sylfaen" w:hAnsi="Sylfaen" w:cs="Sylfaen"/>
                <w:spacing w:val="-1"/>
                <w:sz w:val="16"/>
                <w:szCs w:val="18"/>
              </w:rPr>
              <w:t>და</w:t>
            </w:r>
            <w:r>
              <w:rPr>
                <w:rFonts w:ascii="Sylfaen" w:eastAsia="Sylfaen" w:hAnsi="Sylfaen" w:cs="Sylfaen"/>
                <w:sz w:val="16"/>
                <w:szCs w:val="18"/>
              </w:rPr>
              <w:t xml:space="preserve"> </w:t>
            </w:r>
            <w:r>
              <w:rPr>
                <w:rFonts w:ascii="Sylfaen" w:eastAsia="Sylfaen" w:hAnsi="Sylfaen" w:cs="Sylfaen"/>
                <w:spacing w:val="-1"/>
                <w:sz w:val="16"/>
                <w:szCs w:val="18"/>
              </w:rPr>
              <w:t>ნატანით</w:t>
            </w:r>
          </w:p>
        </w:tc>
        <w:tc>
          <w:tcPr>
            <w:tcW w:w="6065" w:type="dxa"/>
            <w:gridSpan w:val="2"/>
            <w:tcBorders>
              <w:top w:val="single" w:sz="6" w:space="0" w:color="000000"/>
              <w:left w:val="single" w:sz="6" w:space="0" w:color="000000"/>
              <w:bottom w:val="single" w:sz="6" w:space="0" w:color="000000"/>
              <w:right w:val="single" w:sz="6" w:space="0" w:color="000000"/>
            </w:tcBorders>
            <w:hideMark/>
          </w:tcPr>
          <w:p w14:paraId="016D2BAD" w14:textId="77777777" w:rsidR="00092B73" w:rsidRDefault="00092B73">
            <w:pPr>
              <w:pStyle w:val="TableParagraph"/>
              <w:spacing w:line="256" w:lineRule="auto"/>
              <w:ind w:left="301" w:right="105" w:hanging="200"/>
              <w:jc w:val="both"/>
              <w:rPr>
                <w:rFonts w:ascii="Sylfaen" w:eastAsia="Sylfaen" w:hAnsi="Sylfaen" w:cs="Sylfaen"/>
                <w:sz w:val="16"/>
                <w:szCs w:val="18"/>
              </w:rPr>
            </w:pPr>
            <w:r>
              <w:rPr>
                <w:rFonts w:ascii="Symbol" w:eastAsia="Symbol" w:hAnsi="Symbol" w:cs="Symbol"/>
                <w:sz w:val="16"/>
                <w:szCs w:val="18"/>
              </w:rPr>
              <w:t></w:t>
            </w:r>
            <w:r>
              <w:rPr>
                <w:rFonts w:ascii="Symbol" w:eastAsia="Symbol" w:hAnsi="Symbol" w:cs="Symbol"/>
                <w:spacing w:val="25"/>
                <w:sz w:val="16"/>
                <w:szCs w:val="18"/>
              </w:rPr>
              <w:t></w:t>
            </w:r>
            <w:r>
              <w:rPr>
                <w:rFonts w:ascii="Sylfaen" w:eastAsia="Sylfaen" w:hAnsi="Sylfaen" w:cs="Sylfaen"/>
                <w:spacing w:val="-1"/>
                <w:sz w:val="16"/>
                <w:szCs w:val="18"/>
              </w:rPr>
              <w:t>რეაბილიტაცია/საფარის</w:t>
            </w:r>
            <w:r>
              <w:rPr>
                <w:rFonts w:ascii="Sylfaen" w:eastAsia="Sylfaen" w:hAnsi="Sylfaen" w:cs="Sylfaen"/>
                <w:spacing w:val="24"/>
                <w:sz w:val="16"/>
                <w:szCs w:val="18"/>
              </w:rPr>
              <w:t xml:space="preserve"> </w:t>
            </w:r>
            <w:r>
              <w:rPr>
                <w:rFonts w:ascii="Sylfaen" w:eastAsia="Sylfaen" w:hAnsi="Sylfaen" w:cs="Sylfaen"/>
                <w:spacing w:val="-2"/>
                <w:sz w:val="16"/>
                <w:szCs w:val="18"/>
              </w:rPr>
              <w:t>აღდგენა</w:t>
            </w:r>
            <w:r>
              <w:rPr>
                <w:rFonts w:ascii="Sylfaen" w:eastAsia="Sylfaen" w:hAnsi="Sylfaen" w:cs="Sylfaen"/>
                <w:spacing w:val="24"/>
                <w:sz w:val="16"/>
                <w:szCs w:val="18"/>
              </w:rPr>
              <w:t xml:space="preserve"> </w:t>
            </w:r>
            <w:r>
              <w:rPr>
                <w:rFonts w:ascii="Sylfaen" w:eastAsia="Sylfaen" w:hAnsi="Sylfaen" w:cs="Sylfaen"/>
                <w:spacing w:val="-1"/>
                <w:sz w:val="16"/>
                <w:szCs w:val="18"/>
              </w:rPr>
              <w:t>უნდა</w:t>
            </w:r>
            <w:r>
              <w:rPr>
                <w:rFonts w:ascii="Sylfaen" w:eastAsia="Sylfaen" w:hAnsi="Sylfaen" w:cs="Sylfaen"/>
                <w:spacing w:val="23"/>
                <w:sz w:val="16"/>
                <w:szCs w:val="18"/>
              </w:rPr>
              <w:t xml:space="preserve"> </w:t>
            </w:r>
            <w:r>
              <w:rPr>
                <w:rFonts w:ascii="Sylfaen" w:eastAsia="Sylfaen" w:hAnsi="Sylfaen" w:cs="Sylfaen"/>
                <w:spacing w:val="-1"/>
                <w:sz w:val="16"/>
                <w:szCs w:val="18"/>
              </w:rPr>
              <w:t>მოხდეს</w:t>
            </w:r>
            <w:r>
              <w:rPr>
                <w:rFonts w:ascii="Sylfaen" w:eastAsia="Sylfaen" w:hAnsi="Sylfaen" w:cs="Sylfaen"/>
                <w:spacing w:val="49"/>
                <w:sz w:val="16"/>
                <w:szCs w:val="18"/>
              </w:rPr>
              <w:t xml:space="preserve"> </w:t>
            </w:r>
            <w:r>
              <w:rPr>
                <w:rFonts w:ascii="Sylfaen" w:eastAsia="Sylfaen" w:hAnsi="Sylfaen" w:cs="Sylfaen"/>
                <w:spacing w:val="-1"/>
                <w:sz w:val="16"/>
                <w:szCs w:val="18"/>
              </w:rPr>
              <w:t>მხოლოდ</w:t>
            </w:r>
            <w:r>
              <w:rPr>
                <w:rFonts w:ascii="Sylfaen" w:eastAsia="Sylfaen" w:hAnsi="Sylfaen" w:cs="Sylfaen"/>
                <w:spacing w:val="29"/>
                <w:sz w:val="16"/>
                <w:szCs w:val="18"/>
              </w:rPr>
              <w:t xml:space="preserve"> </w:t>
            </w:r>
            <w:r>
              <w:rPr>
                <w:rFonts w:ascii="Sylfaen" w:eastAsia="Sylfaen" w:hAnsi="Sylfaen" w:cs="Sylfaen"/>
                <w:spacing w:val="-1"/>
                <w:sz w:val="16"/>
                <w:szCs w:val="18"/>
              </w:rPr>
              <w:t>მშრალ</w:t>
            </w:r>
            <w:r>
              <w:rPr>
                <w:rFonts w:ascii="Sylfaen" w:eastAsia="Sylfaen" w:hAnsi="Sylfaen" w:cs="Sylfaen"/>
                <w:spacing w:val="30"/>
                <w:sz w:val="16"/>
                <w:szCs w:val="18"/>
              </w:rPr>
              <w:t xml:space="preserve"> </w:t>
            </w:r>
            <w:r>
              <w:rPr>
                <w:rFonts w:ascii="Sylfaen" w:eastAsia="Sylfaen" w:hAnsi="Sylfaen" w:cs="Sylfaen"/>
                <w:spacing w:val="-1"/>
                <w:sz w:val="16"/>
                <w:szCs w:val="18"/>
              </w:rPr>
              <w:t>ამინდში</w:t>
            </w:r>
            <w:r>
              <w:rPr>
                <w:rFonts w:ascii="Sylfaen" w:eastAsia="Sylfaen" w:hAnsi="Sylfaen" w:cs="Sylfaen"/>
                <w:spacing w:val="30"/>
                <w:sz w:val="16"/>
                <w:szCs w:val="18"/>
              </w:rPr>
              <w:t xml:space="preserve"> </w:t>
            </w:r>
            <w:r>
              <w:rPr>
                <w:rFonts w:ascii="Sylfaen" w:eastAsia="Sylfaen" w:hAnsi="Sylfaen" w:cs="Sylfaen"/>
                <w:spacing w:val="-1"/>
                <w:sz w:val="16"/>
                <w:szCs w:val="18"/>
              </w:rPr>
              <w:t>ჩამონადენის</w:t>
            </w:r>
            <w:r>
              <w:rPr>
                <w:rFonts w:ascii="Sylfaen" w:eastAsia="Sylfaen" w:hAnsi="Sylfaen" w:cs="Sylfaen"/>
                <w:spacing w:val="31"/>
                <w:sz w:val="16"/>
                <w:szCs w:val="18"/>
              </w:rPr>
              <w:t xml:space="preserve"> </w:t>
            </w:r>
            <w:r>
              <w:rPr>
                <w:rFonts w:ascii="Sylfaen" w:eastAsia="Sylfaen" w:hAnsi="Sylfaen" w:cs="Sylfaen"/>
                <w:spacing w:val="-1"/>
                <w:sz w:val="16"/>
                <w:szCs w:val="18"/>
              </w:rPr>
              <w:t>დაბინძურების</w:t>
            </w:r>
            <w:r>
              <w:rPr>
                <w:rFonts w:ascii="Sylfaen" w:eastAsia="Sylfaen" w:hAnsi="Sylfaen" w:cs="Sylfaen"/>
                <w:sz w:val="16"/>
                <w:szCs w:val="18"/>
              </w:rPr>
              <w:t xml:space="preserve"> </w:t>
            </w:r>
            <w:r>
              <w:rPr>
                <w:rFonts w:ascii="Sylfaen" w:eastAsia="Sylfaen" w:hAnsi="Sylfaen" w:cs="Sylfaen"/>
                <w:spacing w:val="-1"/>
                <w:sz w:val="16"/>
                <w:szCs w:val="18"/>
              </w:rPr>
              <w:t>თავიდან</w:t>
            </w:r>
            <w:r>
              <w:rPr>
                <w:rFonts w:ascii="Sylfaen" w:eastAsia="Sylfaen" w:hAnsi="Sylfaen" w:cs="Sylfaen"/>
                <w:sz w:val="16"/>
                <w:szCs w:val="18"/>
              </w:rPr>
              <w:t xml:space="preserve"> </w:t>
            </w:r>
            <w:r>
              <w:rPr>
                <w:rFonts w:ascii="Sylfaen" w:eastAsia="Sylfaen" w:hAnsi="Sylfaen" w:cs="Sylfaen"/>
                <w:spacing w:val="-1"/>
                <w:sz w:val="16"/>
                <w:szCs w:val="18"/>
              </w:rPr>
              <w:t>ასაცილებლად.</w:t>
            </w:r>
          </w:p>
          <w:p w14:paraId="5431374E" w14:textId="77777777" w:rsidR="00092B73" w:rsidRDefault="00092B73">
            <w:pPr>
              <w:pStyle w:val="TableParagraph"/>
              <w:tabs>
                <w:tab w:val="left" w:pos="1981"/>
                <w:tab w:val="left" w:pos="3418"/>
              </w:tabs>
              <w:spacing w:line="256" w:lineRule="auto"/>
              <w:ind w:left="301" w:right="100" w:hanging="200"/>
              <w:jc w:val="both"/>
              <w:rPr>
                <w:rFonts w:ascii="Sylfaen" w:eastAsia="Sylfaen" w:hAnsi="Sylfaen" w:cs="Sylfaen"/>
                <w:sz w:val="16"/>
                <w:szCs w:val="18"/>
              </w:rPr>
            </w:pPr>
            <w:r>
              <w:rPr>
                <w:rFonts w:ascii="Symbol" w:eastAsia="Symbol" w:hAnsi="Symbol" w:cs="Symbol"/>
                <w:sz w:val="16"/>
                <w:szCs w:val="18"/>
              </w:rPr>
              <w:t></w:t>
            </w:r>
            <w:r>
              <w:rPr>
                <w:rFonts w:ascii="Symbol" w:eastAsia="Symbol" w:hAnsi="Symbol" w:cs="Symbol"/>
                <w:spacing w:val="26"/>
                <w:sz w:val="16"/>
                <w:szCs w:val="18"/>
              </w:rPr>
              <w:t></w:t>
            </w:r>
            <w:r>
              <w:rPr>
                <w:rFonts w:ascii="Sylfaen" w:eastAsia="Sylfaen" w:hAnsi="Sylfaen" w:cs="Sylfaen"/>
                <w:spacing w:val="-1"/>
                <w:sz w:val="16"/>
                <w:szCs w:val="18"/>
              </w:rPr>
              <w:t>გაცვეთილი</w:t>
            </w:r>
            <w:r>
              <w:rPr>
                <w:rFonts w:ascii="Sylfaen" w:eastAsia="Sylfaen" w:hAnsi="Sylfaen" w:cs="Sylfaen"/>
                <w:spacing w:val="15"/>
                <w:sz w:val="16"/>
                <w:szCs w:val="18"/>
              </w:rPr>
              <w:t xml:space="preserve"> </w:t>
            </w:r>
            <w:r>
              <w:rPr>
                <w:rFonts w:ascii="Sylfaen" w:eastAsia="Sylfaen" w:hAnsi="Sylfaen" w:cs="Sylfaen"/>
                <w:spacing w:val="-1"/>
                <w:sz w:val="16"/>
                <w:szCs w:val="18"/>
              </w:rPr>
              <w:t>საფარის</w:t>
            </w:r>
            <w:r>
              <w:rPr>
                <w:rFonts w:ascii="Sylfaen" w:eastAsia="Sylfaen" w:hAnsi="Sylfaen" w:cs="Sylfaen"/>
                <w:spacing w:val="12"/>
                <w:sz w:val="16"/>
                <w:szCs w:val="18"/>
              </w:rPr>
              <w:t xml:space="preserve"> </w:t>
            </w:r>
            <w:r>
              <w:rPr>
                <w:rFonts w:ascii="Sylfaen" w:eastAsia="Sylfaen" w:hAnsi="Sylfaen" w:cs="Sylfaen"/>
                <w:spacing w:val="-1"/>
                <w:sz w:val="16"/>
                <w:szCs w:val="18"/>
              </w:rPr>
              <w:t>და</w:t>
            </w:r>
            <w:r>
              <w:rPr>
                <w:rFonts w:ascii="Sylfaen" w:eastAsia="Sylfaen" w:hAnsi="Sylfaen" w:cs="Sylfaen"/>
                <w:spacing w:val="15"/>
                <w:sz w:val="16"/>
                <w:szCs w:val="18"/>
              </w:rPr>
              <w:t xml:space="preserve"> </w:t>
            </w:r>
            <w:r>
              <w:rPr>
                <w:rFonts w:ascii="Sylfaen" w:eastAsia="Sylfaen" w:hAnsi="Sylfaen" w:cs="Sylfaen"/>
                <w:spacing w:val="-1"/>
                <w:sz w:val="16"/>
                <w:szCs w:val="18"/>
              </w:rPr>
              <w:t>ორმოების</w:t>
            </w:r>
            <w:r>
              <w:rPr>
                <w:rFonts w:ascii="Sylfaen" w:eastAsia="Sylfaen" w:hAnsi="Sylfaen" w:cs="Sylfaen"/>
                <w:spacing w:val="14"/>
                <w:sz w:val="16"/>
                <w:szCs w:val="18"/>
              </w:rPr>
              <w:t xml:space="preserve"> </w:t>
            </w:r>
            <w:r>
              <w:rPr>
                <w:rFonts w:ascii="Sylfaen" w:eastAsia="Sylfaen" w:hAnsi="Sylfaen" w:cs="Sylfaen"/>
                <w:spacing w:val="-1"/>
                <w:sz w:val="16"/>
                <w:szCs w:val="18"/>
              </w:rPr>
              <w:t>შეკეთებისას</w:t>
            </w:r>
            <w:r>
              <w:rPr>
                <w:rFonts w:ascii="Sylfaen" w:eastAsia="Sylfaen" w:hAnsi="Sylfaen" w:cs="Sylfaen"/>
                <w:spacing w:val="39"/>
                <w:sz w:val="16"/>
                <w:szCs w:val="18"/>
              </w:rPr>
              <w:t xml:space="preserve"> </w:t>
            </w:r>
            <w:r>
              <w:rPr>
                <w:rFonts w:ascii="Sylfaen" w:eastAsia="Sylfaen" w:hAnsi="Sylfaen" w:cs="Sylfaen"/>
                <w:spacing w:val="-1"/>
                <w:sz w:val="16"/>
                <w:szCs w:val="18"/>
              </w:rPr>
              <w:t>გზის</w:t>
            </w:r>
            <w:r>
              <w:rPr>
                <w:rFonts w:ascii="Sylfaen" w:eastAsia="Sylfaen" w:hAnsi="Sylfaen" w:cs="Sylfaen"/>
                <w:spacing w:val="17"/>
                <w:sz w:val="16"/>
                <w:szCs w:val="18"/>
              </w:rPr>
              <w:t xml:space="preserve"> </w:t>
            </w:r>
            <w:r>
              <w:rPr>
                <w:rFonts w:ascii="Sylfaen" w:eastAsia="Sylfaen" w:hAnsi="Sylfaen" w:cs="Sylfaen"/>
                <w:spacing w:val="-1"/>
                <w:sz w:val="16"/>
                <w:szCs w:val="18"/>
              </w:rPr>
              <w:t>საფარი</w:t>
            </w:r>
            <w:r>
              <w:rPr>
                <w:rFonts w:ascii="Sylfaen" w:eastAsia="Sylfaen" w:hAnsi="Sylfaen" w:cs="Sylfaen"/>
                <w:spacing w:val="18"/>
                <w:sz w:val="16"/>
                <w:szCs w:val="18"/>
              </w:rPr>
              <w:t xml:space="preserve"> </w:t>
            </w:r>
            <w:r>
              <w:rPr>
                <w:rFonts w:ascii="Sylfaen" w:eastAsia="Sylfaen" w:hAnsi="Sylfaen" w:cs="Sylfaen"/>
                <w:spacing w:val="-1"/>
                <w:sz w:val="16"/>
                <w:szCs w:val="18"/>
              </w:rPr>
              <w:t>მასალის</w:t>
            </w:r>
            <w:r>
              <w:rPr>
                <w:rFonts w:ascii="Sylfaen" w:eastAsia="Sylfaen" w:hAnsi="Sylfaen" w:cs="Sylfaen"/>
                <w:spacing w:val="17"/>
                <w:sz w:val="16"/>
                <w:szCs w:val="18"/>
              </w:rPr>
              <w:t xml:space="preserve"> </w:t>
            </w:r>
            <w:r>
              <w:rPr>
                <w:rFonts w:ascii="Sylfaen" w:eastAsia="Sylfaen" w:hAnsi="Sylfaen" w:cs="Sylfaen"/>
                <w:spacing w:val="-1"/>
                <w:sz w:val="16"/>
                <w:szCs w:val="18"/>
              </w:rPr>
              <w:t>გაფანტვის</w:t>
            </w:r>
            <w:r>
              <w:rPr>
                <w:rFonts w:ascii="Sylfaen" w:eastAsia="Sylfaen" w:hAnsi="Sylfaen" w:cs="Sylfaen"/>
                <w:spacing w:val="35"/>
                <w:sz w:val="16"/>
                <w:szCs w:val="18"/>
              </w:rPr>
              <w:t xml:space="preserve"> </w:t>
            </w:r>
            <w:r>
              <w:rPr>
                <w:rFonts w:ascii="Sylfaen" w:eastAsia="Sylfaen" w:hAnsi="Sylfaen" w:cs="Sylfaen"/>
                <w:spacing w:val="-1"/>
                <w:sz w:val="16"/>
                <w:szCs w:val="18"/>
              </w:rPr>
              <w:t>შესამცირებლად</w:t>
            </w:r>
            <w:r>
              <w:rPr>
                <w:rFonts w:ascii="Sylfaen" w:eastAsia="Sylfaen" w:hAnsi="Sylfaen" w:cs="Sylfaen"/>
                <w:spacing w:val="37"/>
                <w:sz w:val="16"/>
                <w:szCs w:val="18"/>
              </w:rPr>
              <w:t xml:space="preserve"> </w:t>
            </w:r>
            <w:r>
              <w:rPr>
                <w:rFonts w:ascii="Sylfaen" w:eastAsia="Sylfaen" w:hAnsi="Sylfaen" w:cs="Sylfaen"/>
                <w:spacing w:val="-1"/>
                <w:sz w:val="16"/>
                <w:szCs w:val="18"/>
              </w:rPr>
              <w:t>სათანადო</w:t>
            </w:r>
            <w:r>
              <w:rPr>
                <w:rFonts w:ascii="Sylfaen" w:eastAsia="Sylfaen" w:hAnsi="Sylfaen" w:cs="Sylfaen"/>
                <w:spacing w:val="38"/>
                <w:sz w:val="16"/>
                <w:szCs w:val="18"/>
              </w:rPr>
              <w:t xml:space="preserve"> </w:t>
            </w:r>
            <w:r>
              <w:rPr>
                <w:rFonts w:ascii="Sylfaen" w:eastAsia="Sylfaen" w:hAnsi="Sylfaen" w:cs="Sylfaen"/>
                <w:spacing w:val="-1"/>
                <w:sz w:val="16"/>
                <w:szCs w:val="18"/>
              </w:rPr>
              <w:t>მოსამზადებელი</w:t>
            </w:r>
            <w:r>
              <w:rPr>
                <w:rFonts w:ascii="Sylfaen" w:eastAsia="Sylfaen" w:hAnsi="Sylfaen" w:cs="Sylfaen"/>
                <w:spacing w:val="29"/>
                <w:sz w:val="16"/>
                <w:szCs w:val="18"/>
              </w:rPr>
              <w:t xml:space="preserve"> </w:t>
            </w:r>
            <w:r>
              <w:rPr>
                <w:rFonts w:ascii="Sylfaen" w:eastAsia="Sylfaen" w:hAnsi="Sylfaen" w:cs="Sylfaen"/>
                <w:spacing w:val="-1"/>
                <w:sz w:val="16"/>
                <w:szCs w:val="18"/>
              </w:rPr>
              <w:t>სამუშაოები</w:t>
            </w:r>
            <w:r>
              <w:rPr>
                <w:rFonts w:ascii="Sylfaen" w:eastAsia="Sylfaen" w:hAnsi="Sylfaen" w:cs="Sylfaen"/>
                <w:spacing w:val="39"/>
                <w:sz w:val="16"/>
                <w:szCs w:val="18"/>
              </w:rPr>
              <w:t xml:space="preserve"> </w:t>
            </w:r>
            <w:r>
              <w:rPr>
                <w:rFonts w:ascii="Sylfaen" w:eastAsia="Sylfaen" w:hAnsi="Sylfaen" w:cs="Sylfaen"/>
                <w:spacing w:val="-1"/>
                <w:sz w:val="16"/>
                <w:szCs w:val="18"/>
              </w:rPr>
              <w:t>უნდა</w:t>
            </w:r>
            <w:r>
              <w:rPr>
                <w:rFonts w:ascii="Sylfaen" w:eastAsia="Sylfaen" w:hAnsi="Sylfaen" w:cs="Sylfaen"/>
                <w:spacing w:val="39"/>
                <w:sz w:val="16"/>
                <w:szCs w:val="18"/>
              </w:rPr>
              <w:t xml:space="preserve"> </w:t>
            </w:r>
            <w:r>
              <w:rPr>
                <w:rFonts w:ascii="Sylfaen" w:eastAsia="Sylfaen" w:hAnsi="Sylfaen" w:cs="Sylfaen"/>
                <w:spacing w:val="-1"/>
                <w:sz w:val="16"/>
                <w:szCs w:val="18"/>
              </w:rPr>
              <w:t>შესრულდეს</w:t>
            </w:r>
            <w:r>
              <w:rPr>
                <w:rFonts w:ascii="Sylfaen" w:eastAsia="Sylfaen" w:hAnsi="Sylfaen" w:cs="Sylfaen"/>
                <w:spacing w:val="38"/>
                <w:sz w:val="16"/>
                <w:szCs w:val="18"/>
              </w:rPr>
              <w:t xml:space="preserve"> </w:t>
            </w:r>
            <w:r>
              <w:rPr>
                <w:rFonts w:ascii="Sylfaen" w:eastAsia="Sylfaen" w:hAnsi="Sylfaen" w:cs="Sylfaen"/>
                <w:sz w:val="16"/>
                <w:szCs w:val="18"/>
              </w:rPr>
              <w:t>-</w:t>
            </w:r>
            <w:r>
              <w:rPr>
                <w:rFonts w:ascii="Sylfaen" w:eastAsia="Sylfaen" w:hAnsi="Sylfaen" w:cs="Sylfaen"/>
                <w:spacing w:val="31"/>
                <w:sz w:val="16"/>
                <w:szCs w:val="18"/>
              </w:rPr>
              <w:t xml:space="preserve"> </w:t>
            </w:r>
            <w:r>
              <w:rPr>
                <w:rFonts w:ascii="Sylfaen" w:eastAsia="Sylfaen" w:hAnsi="Sylfaen" w:cs="Sylfaen"/>
                <w:spacing w:val="-1"/>
                <w:sz w:val="16"/>
                <w:szCs w:val="18"/>
              </w:rPr>
              <w:t>ეს</w:t>
            </w:r>
            <w:r>
              <w:rPr>
                <w:rFonts w:ascii="Sylfaen" w:eastAsia="Sylfaen" w:hAnsi="Sylfaen" w:cs="Sylfaen"/>
                <w:spacing w:val="41"/>
                <w:sz w:val="16"/>
                <w:szCs w:val="18"/>
              </w:rPr>
              <w:t xml:space="preserve"> </w:t>
            </w:r>
            <w:r>
              <w:rPr>
                <w:rFonts w:ascii="Sylfaen" w:eastAsia="Sylfaen" w:hAnsi="Sylfaen" w:cs="Sylfaen"/>
                <w:spacing w:val="-1"/>
                <w:sz w:val="16"/>
                <w:szCs w:val="18"/>
              </w:rPr>
              <w:t>შეიძლება</w:t>
            </w:r>
            <w:r>
              <w:rPr>
                <w:rFonts w:ascii="Sylfaen" w:eastAsia="Sylfaen" w:hAnsi="Sylfaen" w:cs="Sylfaen"/>
                <w:spacing w:val="21"/>
                <w:sz w:val="16"/>
                <w:szCs w:val="18"/>
              </w:rPr>
              <w:t xml:space="preserve"> </w:t>
            </w:r>
            <w:r>
              <w:rPr>
                <w:rFonts w:ascii="Sylfaen" w:eastAsia="Sylfaen" w:hAnsi="Sylfaen" w:cs="Sylfaen"/>
                <w:spacing w:val="-1"/>
                <w:sz w:val="16"/>
                <w:szCs w:val="18"/>
              </w:rPr>
              <w:t>მოიცავდეს</w:t>
            </w:r>
            <w:r>
              <w:rPr>
                <w:rFonts w:ascii="Sylfaen" w:eastAsia="Sylfaen" w:hAnsi="Sylfaen" w:cs="Sylfaen"/>
                <w:sz w:val="16"/>
                <w:szCs w:val="18"/>
              </w:rPr>
              <w:t xml:space="preserve"> </w:t>
            </w:r>
            <w:r>
              <w:rPr>
                <w:rFonts w:ascii="Sylfaen" w:eastAsia="Sylfaen" w:hAnsi="Sylfaen" w:cs="Sylfaen"/>
                <w:spacing w:val="-1"/>
                <w:sz w:val="16"/>
                <w:szCs w:val="18"/>
              </w:rPr>
              <w:t>საფარის</w:t>
            </w:r>
            <w:r>
              <w:rPr>
                <w:rFonts w:ascii="Sylfaen" w:eastAsia="Sylfaen" w:hAnsi="Sylfaen" w:cs="Sylfaen"/>
                <w:sz w:val="16"/>
                <w:szCs w:val="18"/>
              </w:rPr>
              <w:t xml:space="preserve"> </w:t>
            </w:r>
            <w:r>
              <w:rPr>
                <w:rFonts w:ascii="Sylfaen" w:eastAsia="Sylfaen" w:hAnsi="Sylfaen" w:cs="Sylfaen"/>
                <w:spacing w:val="-1"/>
                <w:sz w:val="16"/>
                <w:szCs w:val="18"/>
              </w:rPr>
              <w:t>დაგებისას</w:t>
            </w:r>
            <w:r>
              <w:rPr>
                <w:rFonts w:ascii="Sylfaen" w:eastAsia="Sylfaen" w:hAnsi="Sylfaen" w:cs="Sylfaen"/>
                <w:sz w:val="16"/>
                <w:szCs w:val="18"/>
              </w:rPr>
              <w:t xml:space="preserve"> </w:t>
            </w:r>
            <w:r>
              <w:rPr>
                <w:rFonts w:ascii="Sylfaen" w:eastAsia="Sylfaen" w:hAnsi="Sylfaen" w:cs="Sylfaen"/>
                <w:spacing w:val="-1"/>
                <w:sz w:val="16"/>
                <w:szCs w:val="18"/>
              </w:rPr>
              <w:t>წყალსაწრეტების</w:t>
            </w:r>
            <w:r>
              <w:rPr>
                <w:rFonts w:ascii="Sylfaen" w:eastAsia="Sylfaen" w:hAnsi="Sylfaen" w:cs="Sylfaen"/>
                <w:spacing w:val="45"/>
                <w:sz w:val="16"/>
                <w:szCs w:val="18"/>
              </w:rPr>
              <w:t xml:space="preserve"> </w:t>
            </w:r>
            <w:r>
              <w:rPr>
                <w:rFonts w:ascii="Sylfaen" w:eastAsia="Sylfaen" w:hAnsi="Sylfaen" w:cs="Sylfaen"/>
                <w:spacing w:val="-1"/>
                <w:sz w:val="16"/>
                <w:szCs w:val="18"/>
              </w:rPr>
              <w:t>თავების</w:t>
            </w:r>
            <w:r>
              <w:rPr>
                <w:rFonts w:ascii="Sylfaen" w:eastAsia="Sylfaen" w:hAnsi="Sylfaen" w:cs="Sylfaen"/>
                <w:spacing w:val="22"/>
                <w:sz w:val="16"/>
                <w:szCs w:val="18"/>
              </w:rPr>
              <w:t xml:space="preserve"> </w:t>
            </w:r>
            <w:r>
              <w:rPr>
                <w:rFonts w:ascii="Sylfaen" w:eastAsia="Sylfaen" w:hAnsi="Sylfaen" w:cs="Sylfaen"/>
                <w:spacing w:val="-1"/>
                <w:sz w:val="16"/>
                <w:szCs w:val="18"/>
              </w:rPr>
              <w:t>და</w:t>
            </w:r>
            <w:r>
              <w:rPr>
                <w:rFonts w:ascii="Sylfaen" w:eastAsia="Sylfaen" w:hAnsi="Sylfaen" w:cs="Sylfaen"/>
                <w:spacing w:val="22"/>
                <w:sz w:val="16"/>
                <w:szCs w:val="18"/>
              </w:rPr>
              <w:t xml:space="preserve"> </w:t>
            </w:r>
            <w:r>
              <w:rPr>
                <w:rFonts w:ascii="Sylfaen" w:eastAsia="Sylfaen" w:hAnsi="Sylfaen" w:cs="Sylfaen"/>
                <w:spacing w:val="-1"/>
                <w:sz w:val="16"/>
                <w:szCs w:val="18"/>
              </w:rPr>
              <w:t>ლიუკების</w:t>
            </w:r>
            <w:r>
              <w:rPr>
                <w:rFonts w:ascii="Sylfaen" w:eastAsia="Sylfaen" w:hAnsi="Sylfaen" w:cs="Sylfaen"/>
                <w:spacing w:val="22"/>
                <w:sz w:val="16"/>
                <w:szCs w:val="18"/>
              </w:rPr>
              <w:t xml:space="preserve"> </w:t>
            </w:r>
            <w:r>
              <w:rPr>
                <w:rFonts w:ascii="Sylfaen" w:eastAsia="Sylfaen" w:hAnsi="Sylfaen" w:cs="Sylfaen"/>
                <w:spacing w:val="-1"/>
                <w:sz w:val="16"/>
                <w:szCs w:val="18"/>
              </w:rPr>
              <w:t>დახურვას,</w:t>
            </w:r>
            <w:r>
              <w:rPr>
                <w:rFonts w:ascii="Sylfaen" w:eastAsia="Sylfaen" w:hAnsi="Sylfaen" w:cs="Sylfaen"/>
                <w:spacing w:val="22"/>
                <w:sz w:val="16"/>
                <w:szCs w:val="18"/>
              </w:rPr>
              <w:t xml:space="preserve"> </w:t>
            </w:r>
            <w:r>
              <w:rPr>
                <w:rFonts w:ascii="Sylfaen" w:eastAsia="Sylfaen" w:hAnsi="Sylfaen" w:cs="Sylfaen"/>
                <w:spacing w:val="-1"/>
                <w:sz w:val="16"/>
                <w:szCs w:val="18"/>
              </w:rPr>
              <w:t>ეროზიის</w:t>
            </w:r>
            <w:r>
              <w:rPr>
                <w:rFonts w:ascii="Sylfaen" w:eastAsia="Sylfaen" w:hAnsi="Sylfaen" w:cs="Sylfaen"/>
                <w:spacing w:val="22"/>
                <w:sz w:val="16"/>
                <w:szCs w:val="18"/>
              </w:rPr>
              <w:t xml:space="preserve"> </w:t>
            </w:r>
            <w:r>
              <w:rPr>
                <w:rFonts w:ascii="Sylfaen" w:eastAsia="Sylfaen" w:hAnsi="Sylfaen" w:cs="Sylfaen"/>
                <w:spacing w:val="-1"/>
                <w:sz w:val="16"/>
                <w:szCs w:val="18"/>
              </w:rPr>
              <w:t>და</w:t>
            </w:r>
            <w:r>
              <w:rPr>
                <w:rFonts w:ascii="Sylfaen" w:eastAsia="Sylfaen" w:hAnsi="Sylfaen" w:cs="Sylfaen"/>
                <w:spacing w:val="47"/>
                <w:sz w:val="16"/>
                <w:szCs w:val="18"/>
              </w:rPr>
              <w:t xml:space="preserve"> </w:t>
            </w:r>
            <w:r>
              <w:rPr>
                <w:rFonts w:ascii="Sylfaen" w:eastAsia="Sylfaen" w:hAnsi="Sylfaen" w:cs="Sylfaen"/>
                <w:spacing w:val="-1"/>
                <w:sz w:val="16"/>
                <w:szCs w:val="18"/>
              </w:rPr>
              <w:t>სედიმენტების</w:t>
            </w:r>
            <w:r>
              <w:rPr>
                <w:rFonts w:ascii="Sylfaen" w:eastAsia="Sylfaen" w:hAnsi="Sylfaen" w:cs="Sylfaen"/>
                <w:spacing w:val="-1"/>
                <w:sz w:val="16"/>
                <w:szCs w:val="18"/>
              </w:rPr>
              <w:tab/>
            </w:r>
            <w:r>
              <w:rPr>
                <w:rFonts w:ascii="Sylfaen" w:eastAsia="Sylfaen" w:hAnsi="Sylfaen" w:cs="Sylfaen"/>
                <w:sz w:val="16"/>
                <w:szCs w:val="18"/>
              </w:rPr>
              <w:t>კონტროლს</w:t>
            </w:r>
            <w:r>
              <w:rPr>
                <w:rFonts w:ascii="Sylfaen" w:eastAsia="Sylfaen" w:hAnsi="Sylfaen" w:cs="Sylfaen"/>
                <w:sz w:val="16"/>
                <w:szCs w:val="18"/>
              </w:rPr>
              <w:tab/>
            </w:r>
            <w:r>
              <w:rPr>
                <w:rFonts w:ascii="Sylfaen" w:eastAsia="Sylfaen" w:hAnsi="Sylfaen" w:cs="Sylfaen"/>
                <w:spacing w:val="-1"/>
                <w:sz w:val="16"/>
                <w:szCs w:val="18"/>
              </w:rPr>
              <w:t>შეკეთების</w:t>
            </w:r>
            <w:r>
              <w:rPr>
                <w:rFonts w:ascii="Sylfaen" w:eastAsia="Sylfaen" w:hAnsi="Sylfaen" w:cs="Sylfaen"/>
                <w:spacing w:val="28"/>
                <w:sz w:val="16"/>
                <w:szCs w:val="18"/>
              </w:rPr>
              <w:t xml:space="preserve"> </w:t>
            </w:r>
            <w:r>
              <w:rPr>
                <w:rFonts w:ascii="Sylfaen" w:eastAsia="Sylfaen" w:hAnsi="Sylfaen" w:cs="Sylfaen"/>
                <w:spacing w:val="-1"/>
                <w:sz w:val="16"/>
                <w:szCs w:val="18"/>
              </w:rPr>
              <w:t>ადგილებიდან</w:t>
            </w:r>
            <w:r>
              <w:rPr>
                <w:rFonts w:ascii="Sylfaen" w:eastAsia="Sylfaen" w:hAnsi="Sylfaen" w:cs="Sylfaen"/>
                <w:spacing w:val="35"/>
                <w:sz w:val="16"/>
                <w:szCs w:val="18"/>
              </w:rPr>
              <w:t xml:space="preserve"> </w:t>
            </w:r>
            <w:r>
              <w:rPr>
                <w:rFonts w:ascii="Sylfaen" w:eastAsia="Sylfaen" w:hAnsi="Sylfaen" w:cs="Sylfaen"/>
                <w:spacing w:val="-1"/>
                <w:sz w:val="16"/>
                <w:szCs w:val="18"/>
              </w:rPr>
              <w:t>ჩამონადენის</w:t>
            </w:r>
            <w:r>
              <w:rPr>
                <w:rFonts w:ascii="Sylfaen" w:eastAsia="Sylfaen" w:hAnsi="Sylfaen" w:cs="Sylfaen"/>
                <w:spacing w:val="37"/>
                <w:sz w:val="16"/>
                <w:szCs w:val="18"/>
              </w:rPr>
              <w:t xml:space="preserve"> </w:t>
            </w:r>
            <w:r>
              <w:rPr>
                <w:rFonts w:ascii="Sylfaen" w:eastAsia="Sylfaen" w:hAnsi="Sylfaen" w:cs="Sylfaen"/>
                <w:spacing w:val="-1"/>
                <w:sz w:val="16"/>
                <w:szCs w:val="18"/>
              </w:rPr>
              <w:t>შესამცირებლად,</w:t>
            </w:r>
            <w:r>
              <w:rPr>
                <w:rFonts w:ascii="Sylfaen" w:eastAsia="Sylfaen" w:hAnsi="Sylfaen" w:cs="Sylfaen"/>
                <w:spacing w:val="33"/>
                <w:sz w:val="16"/>
                <w:szCs w:val="18"/>
              </w:rPr>
              <w:t xml:space="preserve"> </w:t>
            </w:r>
            <w:r>
              <w:rPr>
                <w:rFonts w:ascii="Sylfaen" w:eastAsia="Sylfaen" w:hAnsi="Sylfaen" w:cs="Sylfaen"/>
                <w:spacing w:val="-1"/>
                <w:sz w:val="16"/>
                <w:szCs w:val="18"/>
              </w:rPr>
              <w:t>საფარი</w:t>
            </w:r>
            <w:r>
              <w:rPr>
                <w:rFonts w:ascii="Sylfaen" w:eastAsia="Sylfaen" w:hAnsi="Sylfaen" w:cs="Sylfaen"/>
                <w:spacing w:val="35"/>
                <w:sz w:val="16"/>
                <w:szCs w:val="18"/>
              </w:rPr>
              <w:t xml:space="preserve"> </w:t>
            </w:r>
            <w:r>
              <w:rPr>
                <w:rFonts w:ascii="Sylfaen" w:eastAsia="Sylfaen" w:hAnsi="Sylfaen" w:cs="Sylfaen"/>
                <w:spacing w:val="-1"/>
                <w:sz w:val="16"/>
                <w:szCs w:val="18"/>
              </w:rPr>
              <w:t>მასალის</w:t>
            </w:r>
            <w:r>
              <w:rPr>
                <w:rFonts w:ascii="Sylfaen" w:eastAsia="Sylfaen" w:hAnsi="Sylfaen" w:cs="Sylfaen"/>
                <w:spacing w:val="35"/>
                <w:sz w:val="16"/>
                <w:szCs w:val="18"/>
              </w:rPr>
              <w:t xml:space="preserve"> </w:t>
            </w:r>
            <w:r>
              <w:rPr>
                <w:rFonts w:ascii="Sylfaen" w:eastAsia="Sylfaen" w:hAnsi="Sylfaen" w:cs="Sylfaen"/>
                <w:spacing w:val="-1"/>
                <w:sz w:val="16"/>
                <w:szCs w:val="18"/>
              </w:rPr>
              <w:t>გაჟონვის</w:t>
            </w:r>
            <w:r>
              <w:rPr>
                <w:rFonts w:ascii="Sylfaen" w:eastAsia="Sylfaen" w:hAnsi="Sylfaen" w:cs="Sylfaen"/>
                <w:spacing w:val="35"/>
                <w:sz w:val="16"/>
                <w:szCs w:val="18"/>
              </w:rPr>
              <w:t xml:space="preserve"> </w:t>
            </w:r>
            <w:r>
              <w:rPr>
                <w:rFonts w:ascii="Sylfaen" w:eastAsia="Sylfaen" w:hAnsi="Sylfaen" w:cs="Sylfaen"/>
                <w:spacing w:val="-1"/>
                <w:sz w:val="16"/>
                <w:szCs w:val="18"/>
              </w:rPr>
              <w:t>და</w:t>
            </w:r>
            <w:r>
              <w:rPr>
                <w:rFonts w:ascii="Sylfaen" w:eastAsia="Sylfaen" w:hAnsi="Sylfaen" w:cs="Sylfaen"/>
                <w:spacing w:val="35"/>
                <w:sz w:val="16"/>
                <w:szCs w:val="18"/>
              </w:rPr>
              <w:t xml:space="preserve"> </w:t>
            </w:r>
            <w:r>
              <w:rPr>
                <w:rFonts w:ascii="Sylfaen" w:eastAsia="Sylfaen" w:hAnsi="Sylfaen" w:cs="Sylfaen"/>
                <w:spacing w:val="-1"/>
                <w:sz w:val="16"/>
                <w:szCs w:val="18"/>
              </w:rPr>
              <w:t>საფარსაგები</w:t>
            </w:r>
            <w:r>
              <w:rPr>
                <w:rFonts w:ascii="Sylfaen" w:eastAsia="Sylfaen" w:hAnsi="Sylfaen" w:cs="Sylfaen"/>
                <w:spacing w:val="45"/>
                <w:sz w:val="16"/>
                <w:szCs w:val="18"/>
              </w:rPr>
              <w:t xml:space="preserve"> </w:t>
            </w:r>
            <w:r>
              <w:rPr>
                <w:rFonts w:ascii="Sylfaen" w:eastAsia="Sylfaen" w:hAnsi="Sylfaen" w:cs="Sylfaen"/>
                <w:spacing w:val="-1"/>
                <w:sz w:val="16"/>
                <w:szCs w:val="18"/>
              </w:rPr>
              <w:t>მანქანიდან</w:t>
            </w:r>
            <w:r>
              <w:rPr>
                <w:rFonts w:ascii="Sylfaen" w:eastAsia="Sylfaen" w:hAnsi="Sylfaen" w:cs="Sylfaen"/>
                <w:spacing w:val="35"/>
                <w:sz w:val="16"/>
                <w:szCs w:val="18"/>
              </w:rPr>
              <w:t xml:space="preserve"> </w:t>
            </w:r>
            <w:r>
              <w:rPr>
                <w:rFonts w:ascii="Sylfaen" w:eastAsia="Sylfaen" w:hAnsi="Sylfaen" w:cs="Sylfaen"/>
                <w:spacing w:val="-1"/>
                <w:sz w:val="16"/>
                <w:szCs w:val="18"/>
              </w:rPr>
              <w:t>ჩამონადენის</w:t>
            </w:r>
            <w:r>
              <w:rPr>
                <w:rFonts w:ascii="Sylfaen" w:eastAsia="Sylfaen" w:hAnsi="Sylfaen" w:cs="Sylfaen"/>
                <w:spacing w:val="37"/>
                <w:sz w:val="16"/>
                <w:szCs w:val="18"/>
              </w:rPr>
              <w:t xml:space="preserve"> </w:t>
            </w:r>
            <w:r>
              <w:rPr>
                <w:rFonts w:ascii="Sylfaen" w:eastAsia="Sylfaen" w:hAnsi="Sylfaen" w:cs="Sylfaen"/>
                <w:spacing w:val="-1"/>
                <w:sz w:val="16"/>
                <w:szCs w:val="18"/>
              </w:rPr>
              <w:t>შესაზღუდად</w:t>
            </w:r>
            <w:r>
              <w:rPr>
                <w:rFonts w:ascii="Sylfaen" w:eastAsia="Sylfaen" w:hAnsi="Sylfaen" w:cs="Sylfaen"/>
                <w:spacing w:val="29"/>
                <w:sz w:val="16"/>
                <w:szCs w:val="18"/>
              </w:rPr>
              <w:t xml:space="preserve"> </w:t>
            </w:r>
            <w:r>
              <w:rPr>
                <w:rFonts w:ascii="Sylfaen" w:eastAsia="Sylfaen" w:hAnsi="Sylfaen" w:cs="Sylfaen"/>
                <w:spacing w:val="-1"/>
                <w:sz w:val="16"/>
                <w:szCs w:val="18"/>
              </w:rPr>
              <w:t>წვეთშემკრების,</w:t>
            </w:r>
            <w:r>
              <w:rPr>
                <w:rFonts w:ascii="Sylfaen" w:eastAsia="Sylfaen" w:hAnsi="Sylfaen" w:cs="Sylfaen"/>
                <w:spacing w:val="8"/>
                <w:sz w:val="16"/>
                <w:szCs w:val="18"/>
              </w:rPr>
              <w:t xml:space="preserve"> </w:t>
            </w:r>
            <w:r>
              <w:rPr>
                <w:rFonts w:ascii="Sylfaen" w:eastAsia="Sylfaen" w:hAnsi="Sylfaen" w:cs="Sylfaen"/>
                <w:spacing w:val="-1"/>
                <w:sz w:val="16"/>
                <w:szCs w:val="18"/>
              </w:rPr>
              <w:t>აბსორბენტი</w:t>
            </w:r>
            <w:r>
              <w:rPr>
                <w:rFonts w:ascii="Sylfaen" w:eastAsia="Sylfaen" w:hAnsi="Sylfaen" w:cs="Sylfaen"/>
                <w:spacing w:val="8"/>
                <w:sz w:val="16"/>
                <w:szCs w:val="18"/>
              </w:rPr>
              <w:t xml:space="preserve"> </w:t>
            </w:r>
            <w:r>
              <w:rPr>
                <w:rFonts w:ascii="Sylfaen" w:eastAsia="Sylfaen" w:hAnsi="Sylfaen" w:cs="Sylfaen"/>
                <w:spacing w:val="-1"/>
                <w:sz w:val="16"/>
                <w:szCs w:val="18"/>
              </w:rPr>
              <w:t>მასალის</w:t>
            </w:r>
            <w:r>
              <w:rPr>
                <w:rFonts w:ascii="Sylfaen" w:eastAsia="Sylfaen" w:hAnsi="Sylfaen" w:cs="Sylfaen"/>
                <w:spacing w:val="8"/>
                <w:sz w:val="16"/>
                <w:szCs w:val="18"/>
              </w:rPr>
              <w:t xml:space="preserve"> </w:t>
            </w:r>
            <w:r>
              <w:rPr>
                <w:rFonts w:ascii="Sylfaen" w:eastAsia="Sylfaen" w:hAnsi="Sylfaen" w:cs="Sylfaen"/>
                <w:spacing w:val="-1"/>
                <w:sz w:val="16"/>
                <w:szCs w:val="18"/>
              </w:rPr>
              <w:t>და</w:t>
            </w:r>
            <w:r>
              <w:rPr>
                <w:rFonts w:ascii="Sylfaen" w:eastAsia="Sylfaen" w:hAnsi="Sylfaen" w:cs="Sylfaen"/>
                <w:spacing w:val="8"/>
                <w:sz w:val="16"/>
                <w:szCs w:val="18"/>
              </w:rPr>
              <w:t xml:space="preserve"> </w:t>
            </w:r>
            <w:r>
              <w:rPr>
                <w:rFonts w:ascii="Sylfaen" w:eastAsia="Sylfaen" w:hAnsi="Sylfaen" w:cs="Sylfaen"/>
                <w:spacing w:val="-1"/>
                <w:sz w:val="16"/>
                <w:szCs w:val="18"/>
              </w:rPr>
              <w:t>სხვა</w:t>
            </w:r>
            <w:r>
              <w:rPr>
                <w:rFonts w:ascii="Sylfaen" w:eastAsia="Sylfaen" w:hAnsi="Sylfaen" w:cs="Sylfaen"/>
                <w:spacing w:val="43"/>
                <w:sz w:val="16"/>
                <w:szCs w:val="18"/>
              </w:rPr>
              <w:t xml:space="preserve"> </w:t>
            </w:r>
            <w:r>
              <w:rPr>
                <w:rFonts w:ascii="Sylfaen" w:eastAsia="Sylfaen" w:hAnsi="Sylfaen" w:cs="Sylfaen"/>
                <w:spacing w:val="-1"/>
                <w:sz w:val="16"/>
                <w:szCs w:val="18"/>
              </w:rPr>
              <w:t>დაბინძურების</w:t>
            </w:r>
            <w:r>
              <w:rPr>
                <w:rFonts w:ascii="Sylfaen" w:eastAsia="Sylfaen" w:hAnsi="Sylfaen" w:cs="Sylfaen"/>
                <w:spacing w:val="26"/>
                <w:sz w:val="16"/>
                <w:szCs w:val="18"/>
              </w:rPr>
              <w:t xml:space="preserve"> </w:t>
            </w:r>
            <w:r>
              <w:rPr>
                <w:rFonts w:ascii="Sylfaen" w:eastAsia="Sylfaen" w:hAnsi="Sylfaen" w:cs="Sylfaen"/>
                <w:spacing w:val="-1"/>
                <w:sz w:val="16"/>
                <w:szCs w:val="18"/>
              </w:rPr>
              <w:t>თავიდან</w:t>
            </w:r>
            <w:r>
              <w:rPr>
                <w:rFonts w:ascii="Sylfaen" w:eastAsia="Sylfaen" w:hAnsi="Sylfaen" w:cs="Sylfaen"/>
                <w:spacing w:val="26"/>
                <w:sz w:val="16"/>
                <w:szCs w:val="18"/>
              </w:rPr>
              <w:t xml:space="preserve"> </w:t>
            </w:r>
            <w:r>
              <w:rPr>
                <w:rFonts w:ascii="Sylfaen" w:eastAsia="Sylfaen" w:hAnsi="Sylfaen" w:cs="Sylfaen"/>
                <w:spacing w:val="-1"/>
                <w:sz w:val="16"/>
                <w:szCs w:val="18"/>
              </w:rPr>
              <w:t>ასაცილებელი</w:t>
            </w:r>
            <w:r>
              <w:rPr>
                <w:rFonts w:ascii="Sylfaen" w:eastAsia="Sylfaen" w:hAnsi="Sylfaen" w:cs="Sylfaen"/>
                <w:spacing w:val="37"/>
                <w:sz w:val="16"/>
                <w:szCs w:val="18"/>
              </w:rPr>
              <w:t xml:space="preserve"> </w:t>
            </w:r>
            <w:r>
              <w:rPr>
                <w:rFonts w:ascii="Sylfaen" w:eastAsia="Sylfaen" w:hAnsi="Sylfaen" w:cs="Sylfaen"/>
                <w:spacing w:val="-1"/>
                <w:sz w:val="16"/>
                <w:szCs w:val="18"/>
              </w:rPr>
              <w:t>მასალების</w:t>
            </w:r>
            <w:r>
              <w:rPr>
                <w:rFonts w:ascii="Sylfaen" w:eastAsia="Sylfaen" w:hAnsi="Sylfaen" w:cs="Sylfaen"/>
                <w:sz w:val="16"/>
                <w:szCs w:val="18"/>
              </w:rPr>
              <w:t xml:space="preserve"> </w:t>
            </w:r>
            <w:r>
              <w:rPr>
                <w:rFonts w:ascii="Sylfaen" w:eastAsia="Sylfaen" w:hAnsi="Sylfaen" w:cs="Sylfaen"/>
                <w:spacing w:val="-1"/>
                <w:sz w:val="16"/>
                <w:szCs w:val="18"/>
              </w:rPr>
              <w:t>გამოყენებას.</w:t>
            </w:r>
          </w:p>
          <w:p w14:paraId="7F2392A9" w14:textId="77777777" w:rsidR="00092B73" w:rsidRDefault="00092B73">
            <w:pPr>
              <w:pStyle w:val="TableParagraph"/>
              <w:tabs>
                <w:tab w:val="left" w:pos="1496"/>
                <w:tab w:val="left" w:pos="2093"/>
                <w:tab w:val="left" w:pos="3217"/>
                <w:tab w:val="left" w:pos="3598"/>
              </w:tabs>
              <w:spacing w:line="256" w:lineRule="auto"/>
              <w:ind w:left="301" w:right="100" w:hanging="200"/>
              <w:jc w:val="both"/>
              <w:rPr>
                <w:rFonts w:ascii="Sylfaen" w:eastAsia="Sylfaen" w:hAnsi="Sylfaen" w:cs="Sylfaen"/>
                <w:sz w:val="16"/>
                <w:szCs w:val="18"/>
              </w:rPr>
            </w:pPr>
            <w:r>
              <w:rPr>
                <w:rFonts w:ascii="Symbol" w:eastAsia="Symbol" w:hAnsi="Symbol" w:cs="Symbol"/>
                <w:sz w:val="16"/>
                <w:szCs w:val="18"/>
              </w:rPr>
              <w:t></w:t>
            </w:r>
            <w:r>
              <w:rPr>
                <w:rFonts w:ascii="Symbol" w:eastAsia="Symbol" w:hAnsi="Symbol" w:cs="Symbol"/>
                <w:sz w:val="16"/>
                <w:szCs w:val="18"/>
              </w:rPr>
              <w:t></w:t>
            </w:r>
            <w:r>
              <w:rPr>
                <w:rFonts w:ascii="Symbol" w:eastAsia="Symbol" w:hAnsi="Symbol" w:cs="Symbol"/>
                <w:spacing w:val="26"/>
                <w:sz w:val="16"/>
                <w:szCs w:val="18"/>
              </w:rPr>
              <w:t></w:t>
            </w:r>
            <w:r>
              <w:rPr>
                <w:rFonts w:ascii="Sylfaen" w:eastAsia="Sylfaen" w:hAnsi="Sylfaen" w:cs="Sylfaen"/>
                <w:spacing w:val="-1"/>
                <w:sz w:val="16"/>
                <w:szCs w:val="18"/>
              </w:rPr>
              <w:t>გზიდან</w:t>
            </w:r>
            <w:r>
              <w:rPr>
                <w:rFonts w:ascii="Sylfaen" w:eastAsia="Sylfaen" w:hAnsi="Sylfaen" w:cs="Sylfaen"/>
                <w:spacing w:val="-1"/>
                <w:sz w:val="16"/>
                <w:szCs w:val="18"/>
                <w:lang w:val="ka-GE"/>
              </w:rPr>
              <w:t xml:space="preserve"> </w:t>
            </w:r>
            <w:r>
              <w:rPr>
                <w:rFonts w:ascii="Sylfaen" w:eastAsia="Sylfaen" w:hAnsi="Sylfaen" w:cs="Sylfaen"/>
                <w:spacing w:val="-1"/>
                <w:w w:val="95"/>
                <w:sz w:val="16"/>
                <w:szCs w:val="18"/>
              </w:rPr>
              <w:t>ზედაპირული</w:t>
            </w:r>
            <w:r>
              <w:rPr>
                <w:rFonts w:ascii="Sylfaen" w:eastAsia="Sylfaen" w:hAnsi="Sylfaen" w:cs="Sylfaen"/>
                <w:spacing w:val="-1"/>
                <w:w w:val="95"/>
                <w:sz w:val="16"/>
                <w:szCs w:val="18"/>
                <w:lang w:val="ka-GE"/>
              </w:rPr>
              <w:t xml:space="preserve"> </w:t>
            </w:r>
            <w:r>
              <w:rPr>
                <w:rFonts w:ascii="Sylfaen" w:eastAsia="Sylfaen" w:hAnsi="Sylfaen" w:cs="Sylfaen"/>
                <w:spacing w:val="-1"/>
                <w:sz w:val="16"/>
                <w:szCs w:val="18"/>
              </w:rPr>
              <w:t>ჩამონადენის</w:t>
            </w:r>
            <w:r>
              <w:rPr>
                <w:rFonts w:ascii="Sylfaen" w:eastAsia="Sylfaen" w:hAnsi="Sylfaen" w:cs="Sylfaen"/>
                <w:spacing w:val="31"/>
                <w:sz w:val="16"/>
                <w:szCs w:val="18"/>
              </w:rPr>
              <w:t xml:space="preserve"> </w:t>
            </w:r>
            <w:r>
              <w:rPr>
                <w:rFonts w:ascii="Sylfaen" w:eastAsia="Sylfaen" w:hAnsi="Sylfaen" w:cs="Sylfaen"/>
                <w:spacing w:val="-1"/>
                <w:sz w:val="16"/>
                <w:szCs w:val="18"/>
              </w:rPr>
              <w:t>რაოდენობის</w:t>
            </w:r>
            <w:r>
              <w:rPr>
                <w:rFonts w:ascii="Sylfaen" w:eastAsia="Sylfaen" w:hAnsi="Sylfaen" w:cs="Sylfaen"/>
                <w:spacing w:val="35"/>
                <w:sz w:val="16"/>
                <w:szCs w:val="18"/>
              </w:rPr>
              <w:t xml:space="preserve"> </w:t>
            </w:r>
            <w:r>
              <w:rPr>
                <w:rFonts w:ascii="Sylfaen" w:eastAsia="Sylfaen" w:hAnsi="Sylfaen" w:cs="Sylfaen"/>
                <w:spacing w:val="-1"/>
                <w:sz w:val="16"/>
                <w:szCs w:val="18"/>
              </w:rPr>
              <w:t>შესამცირებლად</w:t>
            </w:r>
            <w:r>
              <w:rPr>
                <w:rFonts w:ascii="Sylfaen" w:eastAsia="Sylfaen" w:hAnsi="Sylfaen" w:cs="Sylfaen"/>
                <w:spacing w:val="34"/>
                <w:sz w:val="16"/>
                <w:szCs w:val="18"/>
              </w:rPr>
              <w:t xml:space="preserve"> </w:t>
            </w:r>
            <w:r>
              <w:rPr>
                <w:rFonts w:ascii="Sylfaen" w:eastAsia="Sylfaen" w:hAnsi="Sylfaen" w:cs="Sylfaen"/>
                <w:spacing w:val="-1"/>
                <w:sz w:val="16"/>
                <w:szCs w:val="18"/>
              </w:rPr>
              <w:t>ორმოების</w:t>
            </w:r>
            <w:r>
              <w:rPr>
                <w:rFonts w:ascii="Sylfaen" w:eastAsia="Sylfaen" w:hAnsi="Sylfaen" w:cs="Sylfaen"/>
                <w:spacing w:val="35"/>
                <w:sz w:val="16"/>
                <w:szCs w:val="18"/>
              </w:rPr>
              <w:t xml:space="preserve"> </w:t>
            </w:r>
            <w:r>
              <w:rPr>
                <w:rFonts w:ascii="Sylfaen" w:eastAsia="Sylfaen" w:hAnsi="Sylfaen" w:cs="Sylfaen"/>
                <w:spacing w:val="-1"/>
                <w:sz w:val="16"/>
                <w:szCs w:val="18"/>
              </w:rPr>
              <w:t>და</w:t>
            </w:r>
            <w:r>
              <w:rPr>
                <w:rFonts w:ascii="Sylfaen" w:eastAsia="Sylfaen" w:hAnsi="Sylfaen" w:cs="Sylfaen"/>
                <w:spacing w:val="37"/>
                <w:sz w:val="16"/>
                <w:szCs w:val="18"/>
              </w:rPr>
              <w:t xml:space="preserve"> </w:t>
            </w:r>
            <w:r>
              <w:rPr>
                <w:rFonts w:ascii="Sylfaen" w:eastAsia="Sylfaen" w:hAnsi="Sylfaen" w:cs="Sylfaen"/>
                <w:spacing w:val="-1"/>
                <w:sz w:val="16"/>
                <w:szCs w:val="18"/>
              </w:rPr>
              <w:t>გვერდულების</w:t>
            </w:r>
            <w:r>
              <w:rPr>
                <w:rFonts w:ascii="Sylfaen" w:eastAsia="Sylfaen" w:hAnsi="Sylfaen" w:cs="Sylfaen"/>
                <w:spacing w:val="-1"/>
                <w:sz w:val="16"/>
                <w:szCs w:val="18"/>
                <w:lang w:val="ka-GE"/>
              </w:rPr>
              <w:t xml:space="preserve"> </w:t>
            </w:r>
            <w:r>
              <w:rPr>
                <w:rFonts w:ascii="Sylfaen" w:eastAsia="Sylfaen" w:hAnsi="Sylfaen" w:cs="Sylfaen"/>
                <w:spacing w:val="-1"/>
                <w:w w:val="95"/>
                <w:sz w:val="16"/>
                <w:szCs w:val="18"/>
              </w:rPr>
              <w:t>შესავსებად</w:t>
            </w:r>
            <w:r>
              <w:rPr>
                <w:rFonts w:ascii="Sylfaen" w:eastAsia="Sylfaen" w:hAnsi="Sylfaen" w:cs="Sylfaen"/>
                <w:spacing w:val="-1"/>
                <w:w w:val="95"/>
                <w:sz w:val="16"/>
                <w:szCs w:val="18"/>
                <w:lang w:val="ka-GE"/>
              </w:rPr>
              <w:t xml:space="preserve"> </w:t>
            </w:r>
            <w:r>
              <w:rPr>
                <w:rFonts w:ascii="Sylfaen" w:eastAsia="Sylfaen" w:hAnsi="Sylfaen" w:cs="Sylfaen"/>
                <w:spacing w:val="-1"/>
                <w:sz w:val="16"/>
                <w:szCs w:val="18"/>
              </w:rPr>
              <w:t>საფარის</w:t>
            </w:r>
            <w:r>
              <w:rPr>
                <w:rFonts w:ascii="Sylfaen" w:eastAsia="Sylfaen" w:hAnsi="Sylfaen" w:cs="Sylfaen"/>
                <w:spacing w:val="37"/>
                <w:sz w:val="16"/>
                <w:szCs w:val="18"/>
              </w:rPr>
              <w:t xml:space="preserve"> </w:t>
            </w:r>
            <w:r>
              <w:rPr>
                <w:rFonts w:ascii="Sylfaen" w:eastAsia="Sylfaen" w:hAnsi="Sylfaen" w:cs="Sylfaen"/>
                <w:spacing w:val="-1"/>
                <w:sz w:val="16"/>
                <w:szCs w:val="18"/>
              </w:rPr>
              <w:t>განახლებისას</w:t>
            </w:r>
            <w:r>
              <w:rPr>
                <w:rFonts w:ascii="Sylfaen" w:eastAsia="Sylfaen" w:hAnsi="Sylfaen" w:cs="Sylfaen"/>
                <w:spacing w:val="25"/>
                <w:sz w:val="16"/>
                <w:szCs w:val="18"/>
              </w:rPr>
              <w:t xml:space="preserve"> </w:t>
            </w:r>
            <w:r>
              <w:rPr>
                <w:rFonts w:ascii="Sylfaen" w:eastAsia="Sylfaen" w:hAnsi="Sylfaen" w:cs="Sylfaen"/>
                <w:spacing w:val="-1"/>
                <w:sz w:val="16"/>
                <w:szCs w:val="18"/>
              </w:rPr>
              <w:t>შეიძლება</w:t>
            </w:r>
            <w:r>
              <w:rPr>
                <w:rFonts w:ascii="Sylfaen" w:eastAsia="Sylfaen" w:hAnsi="Sylfaen" w:cs="Sylfaen"/>
                <w:spacing w:val="25"/>
                <w:sz w:val="16"/>
                <w:szCs w:val="18"/>
              </w:rPr>
              <w:t xml:space="preserve"> </w:t>
            </w:r>
            <w:r>
              <w:rPr>
                <w:rFonts w:ascii="Sylfaen" w:eastAsia="Sylfaen" w:hAnsi="Sylfaen" w:cs="Sylfaen"/>
                <w:spacing w:val="-1"/>
                <w:sz w:val="16"/>
                <w:szCs w:val="18"/>
              </w:rPr>
              <w:t>გამოყენებულ</w:t>
            </w:r>
            <w:r>
              <w:rPr>
                <w:rFonts w:ascii="Sylfaen" w:eastAsia="Sylfaen" w:hAnsi="Sylfaen" w:cs="Sylfaen"/>
                <w:spacing w:val="26"/>
                <w:sz w:val="16"/>
                <w:szCs w:val="18"/>
              </w:rPr>
              <w:t xml:space="preserve"> </w:t>
            </w:r>
            <w:r>
              <w:rPr>
                <w:rFonts w:ascii="Sylfaen" w:eastAsia="Sylfaen" w:hAnsi="Sylfaen" w:cs="Sylfaen"/>
                <w:spacing w:val="-1"/>
                <w:sz w:val="16"/>
                <w:szCs w:val="18"/>
              </w:rPr>
              <w:t>იქნას</w:t>
            </w:r>
            <w:r>
              <w:rPr>
                <w:rFonts w:ascii="Sylfaen" w:eastAsia="Sylfaen" w:hAnsi="Sylfaen" w:cs="Sylfaen"/>
                <w:spacing w:val="29"/>
                <w:sz w:val="16"/>
                <w:szCs w:val="18"/>
              </w:rPr>
              <w:t xml:space="preserve"> </w:t>
            </w:r>
            <w:r>
              <w:rPr>
                <w:rFonts w:ascii="Sylfaen" w:eastAsia="Sylfaen" w:hAnsi="Sylfaen" w:cs="Sylfaen"/>
                <w:spacing w:val="-1"/>
                <w:sz w:val="16"/>
                <w:szCs w:val="18"/>
              </w:rPr>
              <w:t>ფოროვანი</w:t>
            </w:r>
            <w:r>
              <w:rPr>
                <w:rFonts w:ascii="Sylfaen" w:eastAsia="Sylfaen" w:hAnsi="Sylfaen" w:cs="Sylfaen"/>
                <w:sz w:val="16"/>
                <w:szCs w:val="18"/>
              </w:rPr>
              <w:t xml:space="preserve"> </w:t>
            </w:r>
            <w:r>
              <w:rPr>
                <w:rFonts w:ascii="Sylfaen" w:eastAsia="Sylfaen" w:hAnsi="Sylfaen" w:cs="Sylfaen"/>
                <w:spacing w:val="-1"/>
                <w:sz w:val="16"/>
                <w:szCs w:val="18"/>
              </w:rPr>
              <w:t>ასფალტი.</w:t>
            </w:r>
          </w:p>
        </w:tc>
        <w:tc>
          <w:tcPr>
            <w:tcW w:w="1973" w:type="dxa"/>
            <w:tcBorders>
              <w:top w:val="single" w:sz="6" w:space="0" w:color="000000"/>
              <w:left w:val="single" w:sz="6" w:space="0" w:color="000000"/>
              <w:bottom w:val="single" w:sz="6" w:space="0" w:color="000000"/>
              <w:right w:val="single" w:sz="6" w:space="0" w:color="000000"/>
            </w:tcBorders>
            <w:hideMark/>
          </w:tcPr>
          <w:p w14:paraId="12BE5535" w14:textId="77777777" w:rsidR="00092B73" w:rsidRDefault="00092B73">
            <w:pPr>
              <w:pStyle w:val="TableParagraph"/>
              <w:spacing w:line="256" w:lineRule="auto"/>
              <w:ind w:left="99" w:right="348"/>
              <w:jc w:val="both"/>
              <w:rPr>
                <w:rFonts w:ascii="Sylfaen" w:eastAsia="Sylfaen" w:hAnsi="Sylfaen" w:cs="Sylfaen"/>
                <w:sz w:val="16"/>
                <w:szCs w:val="18"/>
              </w:rPr>
            </w:pPr>
            <w:r>
              <w:rPr>
                <w:rFonts w:ascii="Sylfaen" w:eastAsia="Sylfaen" w:hAnsi="Sylfaen" w:cs="Sylfaen"/>
                <w:spacing w:val="-1"/>
                <w:sz w:val="16"/>
                <w:szCs w:val="18"/>
              </w:rPr>
              <w:t>დამატებით</w:t>
            </w:r>
            <w:r>
              <w:rPr>
                <w:rFonts w:ascii="Sylfaen" w:eastAsia="Sylfaen" w:hAnsi="Sylfaen" w:cs="Sylfaen"/>
                <w:spacing w:val="25"/>
                <w:sz w:val="16"/>
                <w:szCs w:val="18"/>
              </w:rPr>
              <w:t xml:space="preserve"> </w:t>
            </w:r>
            <w:r>
              <w:rPr>
                <w:rFonts w:ascii="Sylfaen" w:eastAsia="Sylfaen" w:hAnsi="Sylfaen" w:cs="Sylfaen"/>
                <w:spacing w:val="-1"/>
                <w:sz w:val="16"/>
                <w:szCs w:val="18"/>
              </w:rPr>
              <w:t>ხარჯებს</w:t>
            </w:r>
            <w:r>
              <w:rPr>
                <w:rFonts w:ascii="Sylfaen" w:eastAsia="Sylfaen" w:hAnsi="Sylfaen" w:cs="Sylfaen"/>
                <w:sz w:val="16"/>
                <w:szCs w:val="18"/>
              </w:rPr>
              <w:t xml:space="preserve"> არ</w:t>
            </w:r>
            <w:r>
              <w:rPr>
                <w:rFonts w:ascii="Sylfaen" w:eastAsia="Sylfaen" w:hAnsi="Sylfaen" w:cs="Sylfaen"/>
                <w:spacing w:val="26"/>
                <w:sz w:val="16"/>
                <w:szCs w:val="18"/>
              </w:rPr>
              <w:t xml:space="preserve"> </w:t>
            </w:r>
            <w:r>
              <w:rPr>
                <w:rFonts w:ascii="Sylfaen" w:eastAsia="Sylfaen" w:hAnsi="Sylfaen" w:cs="Sylfaen"/>
                <w:spacing w:val="-1"/>
                <w:sz w:val="16"/>
                <w:szCs w:val="18"/>
              </w:rPr>
              <w:t>მოითხოვს</w:t>
            </w:r>
          </w:p>
        </w:tc>
        <w:tc>
          <w:tcPr>
            <w:tcW w:w="2268" w:type="dxa"/>
            <w:tcBorders>
              <w:top w:val="single" w:sz="6" w:space="0" w:color="000000"/>
              <w:left w:val="single" w:sz="6" w:space="0" w:color="000000"/>
              <w:bottom w:val="single" w:sz="6" w:space="0" w:color="000000"/>
              <w:right w:val="single" w:sz="6" w:space="0" w:color="000000"/>
            </w:tcBorders>
            <w:hideMark/>
          </w:tcPr>
          <w:p w14:paraId="2AD796D1" w14:textId="77777777" w:rsidR="00092B73" w:rsidRDefault="00092B73">
            <w:pPr>
              <w:pStyle w:val="TableParagraph"/>
              <w:spacing w:line="256" w:lineRule="auto"/>
              <w:ind w:left="102"/>
              <w:rPr>
                <w:rFonts w:ascii="Sylfaen" w:eastAsia="Sylfaen" w:hAnsi="Sylfaen" w:cs="Sylfaen"/>
                <w:sz w:val="16"/>
                <w:szCs w:val="18"/>
                <w:lang w:val="ka-GE"/>
              </w:rPr>
            </w:pPr>
            <w:r>
              <w:rPr>
                <w:rFonts w:ascii="Sylfaen" w:eastAsia="Sylfaen" w:hAnsi="Sylfaen" w:cs="Sylfaen"/>
                <w:spacing w:val="-1"/>
                <w:sz w:val="16"/>
                <w:szCs w:val="18"/>
                <w:lang w:val="ka-GE"/>
              </w:rPr>
              <w:t>მოვლა-პატრონობისთვის შერჩეული კონტრაქტორი</w:t>
            </w:r>
          </w:p>
        </w:tc>
        <w:tc>
          <w:tcPr>
            <w:tcW w:w="1519" w:type="dxa"/>
            <w:tcBorders>
              <w:top w:val="single" w:sz="6" w:space="0" w:color="000000"/>
              <w:left w:val="single" w:sz="6" w:space="0" w:color="000000"/>
              <w:bottom w:val="single" w:sz="6" w:space="0" w:color="000000"/>
              <w:right w:val="single" w:sz="6" w:space="0" w:color="000000"/>
            </w:tcBorders>
            <w:hideMark/>
          </w:tcPr>
          <w:p w14:paraId="2BC18B1F" w14:textId="77777777" w:rsidR="00092B73" w:rsidRDefault="00092B73">
            <w:pPr>
              <w:pStyle w:val="TableParagraph"/>
              <w:spacing w:line="256" w:lineRule="auto"/>
              <w:ind w:left="102" w:right="423"/>
              <w:rPr>
                <w:rFonts w:ascii="Sylfaen" w:eastAsia="Sylfaen" w:hAnsi="Sylfaen" w:cs="Sylfaen"/>
                <w:sz w:val="16"/>
                <w:szCs w:val="18"/>
                <w:lang w:val="ka-GE"/>
              </w:rPr>
            </w:pPr>
            <w:r>
              <w:rPr>
                <w:rFonts w:ascii="Sylfaen" w:eastAsia="Sylfaen" w:hAnsi="Sylfaen" w:cs="Sylfaen"/>
                <w:sz w:val="16"/>
                <w:szCs w:val="18"/>
                <w:lang w:val="ka-GE"/>
              </w:rPr>
              <w:t>საგზაო დეპარტემენტი</w:t>
            </w:r>
          </w:p>
        </w:tc>
      </w:tr>
      <w:tr w:rsidR="00092B73" w14:paraId="1B084D0E" w14:textId="77777777" w:rsidTr="00C6605E">
        <w:trPr>
          <w:trHeight w:val="1993"/>
        </w:trPr>
        <w:tc>
          <w:tcPr>
            <w:tcW w:w="2070" w:type="dxa"/>
            <w:tcBorders>
              <w:top w:val="nil"/>
              <w:left w:val="single" w:sz="6" w:space="0" w:color="000000"/>
              <w:bottom w:val="nil"/>
              <w:right w:val="single" w:sz="6" w:space="0" w:color="000000"/>
            </w:tcBorders>
            <w:hideMark/>
          </w:tcPr>
          <w:p w14:paraId="79F55E7B"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ტრანსპორტის</w:t>
            </w:r>
            <w:r>
              <w:rPr>
                <w:rFonts w:ascii="Sylfaen" w:eastAsia="Sylfaen" w:hAnsi="Sylfaen" w:cs="Sylfaen"/>
                <w:spacing w:val="-1"/>
                <w:sz w:val="16"/>
                <w:szCs w:val="18"/>
                <w:lang w:val="ka-GE"/>
              </w:rPr>
              <w:t xml:space="preserve"> </w:t>
            </w:r>
            <w:r>
              <w:rPr>
                <w:rFonts w:ascii="Sylfaen" w:eastAsia="Sylfaen" w:hAnsi="Sylfaen" w:cs="Sylfaen"/>
                <w:spacing w:val="-1"/>
                <w:sz w:val="16"/>
                <w:szCs w:val="18"/>
              </w:rPr>
              <w:t>ემისია</w:t>
            </w:r>
          </w:p>
        </w:tc>
        <w:tc>
          <w:tcPr>
            <w:tcW w:w="1841" w:type="dxa"/>
            <w:tcBorders>
              <w:top w:val="nil"/>
              <w:left w:val="single" w:sz="6" w:space="0" w:color="000000"/>
              <w:bottom w:val="nil"/>
              <w:right w:val="single" w:sz="6" w:space="0" w:color="000000"/>
            </w:tcBorders>
            <w:hideMark/>
          </w:tcPr>
          <w:p w14:paraId="5536897F"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ჰაერის</w:t>
            </w:r>
            <w:r>
              <w:rPr>
                <w:rFonts w:ascii="Sylfaen" w:eastAsia="Sylfaen" w:hAnsi="Sylfaen" w:cs="Sylfaen"/>
                <w:spacing w:val="-1"/>
                <w:sz w:val="16"/>
                <w:szCs w:val="18"/>
                <w:lang w:val="ka-GE"/>
              </w:rPr>
              <w:t xml:space="preserve"> </w:t>
            </w:r>
            <w:r>
              <w:rPr>
                <w:rFonts w:ascii="Sylfaen" w:eastAsia="Sylfaen" w:hAnsi="Sylfaen" w:cs="Sylfaen"/>
                <w:spacing w:val="-1"/>
                <w:sz w:val="16"/>
                <w:szCs w:val="18"/>
              </w:rPr>
              <w:t>დაბინძურება</w:t>
            </w:r>
          </w:p>
          <w:p w14:paraId="2845ADDF"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ტრანსპორტის</w:t>
            </w:r>
            <w:r>
              <w:rPr>
                <w:rFonts w:ascii="Sylfaen" w:eastAsia="Sylfaen" w:hAnsi="Sylfaen" w:cs="Sylfaen"/>
                <w:spacing w:val="-1"/>
                <w:sz w:val="16"/>
                <w:szCs w:val="18"/>
                <w:lang w:val="ka-GE"/>
              </w:rPr>
              <w:t xml:space="preserve"> </w:t>
            </w:r>
            <w:r>
              <w:rPr>
                <w:rFonts w:ascii="Sylfaen" w:eastAsia="Sylfaen" w:hAnsi="Sylfaen" w:cs="Sylfaen"/>
                <w:spacing w:val="-1"/>
                <w:sz w:val="16"/>
                <w:szCs w:val="18"/>
              </w:rPr>
              <w:t>მიერ</w:t>
            </w:r>
            <w:r>
              <w:rPr>
                <w:rFonts w:ascii="Sylfaen" w:eastAsia="Sylfaen" w:hAnsi="Sylfaen" w:cs="Sylfaen"/>
                <w:sz w:val="16"/>
                <w:szCs w:val="18"/>
              </w:rPr>
              <w:t xml:space="preserve">ი </w:t>
            </w:r>
            <w:r>
              <w:rPr>
                <w:rFonts w:ascii="Sylfaen" w:eastAsia="Sylfaen" w:hAnsi="Sylfaen" w:cs="Sylfaen"/>
                <w:spacing w:val="-1"/>
                <w:sz w:val="16"/>
                <w:szCs w:val="18"/>
              </w:rPr>
              <w:t>გამონაბოლქვით</w:t>
            </w:r>
          </w:p>
        </w:tc>
        <w:tc>
          <w:tcPr>
            <w:tcW w:w="6065" w:type="dxa"/>
            <w:gridSpan w:val="2"/>
            <w:tcBorders>
              <w:top w:val="nil"/>
              <w:left w:val="single" w:sz="6" w:space="0" w:color="000000"/>
              <w:bottom w:val="nil"/>
              <w:right w:val="single" w:sz="6" w:space="0" w:color="000000"/>
            </w:tcBorders>
            <w:hideMark/>
          </w:tcPr>
          <w:p w14:paraId="142C0A99" w14:textId="77777777" w:rsidR="00092B73" w:rsidRDefault="00092B73">
            <w:pPr>
              <w:pStyle w:val="TableParagraph"/>
              <w:spacing w:line="256" w:lineRule="auto"/>
              <w:ind w:left="102"/>
              <w:rPr>
                <w:rFonts w:ascii="Sylfaen" w:eastAsia="Sylfaen" w:hAnsi="Sylfaen" w:cs="Sylfaen"/>
                <w:sz w:val="16"/>
                <w:szCs w:val="18"/>
              </w:rPr>
            </w:pPr>
            <w:r>
              <w:rPr>
                <w:rFonts w:ascii="Symbol" w:eastAsia="Symbol" w:hAnsi="Symbol" w:cs="Symbol"/>
                <w:sz w:val="16"/>
                <w:szCs w:val="18"/>
              </w:rPr>
              <w:t></w:t>
            </w:r>
            <w:r>
              <w:rPr>
                <w:rFonts w:ascii="Symbol" w:eastAsia="Symbol" w:hAnsi="Symbol" w:cs="Symbol"/>
                <w:sz w:val="16"/>
                <w:szCs w:val="18"/>
              </w:rPr>
              <w:t></w:t>
            </w:r>
            <w:r>
              <w:rPr>
                <w:rFonts w:ascii="Symbol" w:eastAsia="Symbol" w:hAnsi="Symbol" w:cs="Symbol"/>
                <w:spacing w:val="26"/>
                <w:sz w:val="16"/>
                <w:szCs w:val="18"/>
              </w:rPr>
              <w:t></w:t>
            </w:r>
            <w:r>
              <w:rPr>
                <w:rFonts w:ascii="Sylfaen" w:eastAsia="Sylfaen" w:hAnsi="Sylfaen" w:cs="Sylfaen"/>
                <w:spacing w:val="-1"/>
                <w:sz w:val="16"/>
                <w:szCs w:val="18"/>
              </w:rPr>
              <w:t>დასახლებული</w:t>
            </w:r>
            <w:r>
              <w:rPr>
                <w:rFonts w:ascii="Sylfaen" w:eastAsia="Sylfaen" w:hAnsi="Sylfaen" w:cs="Sylfaen"/>
                <w:spacing w:val="15"/>
                <w:sz w:val="16"/>
                <w:szCs w:val="18"/>
              </w:rPr>
              <w:t xml:space="preserve"> </w:t>
            </w:r>
            <w:r>
              <w:rPr>
                <w:rFonts w:ascii="Sylfaen" w:eastAsia="Sylfaen" w:hAnsi="Sylfaen" w:cs="Sylfaen"/>
                <w:spacing w:val="-1"/>
                <w:sz w:val="16"/>
                <w:szCs w:val="18"/>
              </w:rPr>
              <w:t>უბნებთან</w:t>
            </w:r>
            <w:r>
              <w:rPr>
                <w:rFonts w:ascii="Sylfaen" w:eastAsia="Sylfaen" w:hAnsi="Sylfaen" w:cs="Sylfaen"/>
                <w:spacing w:val="14"/>
                <w:sz w:val="16"/>
                <w:szCs w:val="18"/>
              </w:rPr>
              <w:t xml:space="preserve"> </w:t>
            </w:r>
            <w:r>
              <w:rPr>
                <w:rFonts w:ascii="Sylfaen" w:eastAsia="Sylfaen" w:hAnsi="Sylfaen" w:cs="Sylfaen"/>
                <w:spacing w:val="-1"/>
                <w:sz w:val="16"/>
                <w:szCs w:val="18"/>
              </w:rPr>
              <w:t>მცენარეული</w:t>
            </w:r>
            <w:r>
              <w:rPr>
                <w:rFonts w:ascii="Sylfaen" w:eastAsia="Sylfaen" w:hAnsi="Sylfaen" w:cs="Sylfaen"/>
                <w:spacing w:val="15"/>
                <w:sz w:val="16"/>
                <w:szCs w:val="18"/>
              </w:rPr>
              <w:t xml:space="preserve"> </w:t>
            </w:r>
            <w:r>
              <w:rPr>
                <w:rFonts w:ascii="Sylfaen" w:eastAsia="Sylfaen" w:hAnsi="Sylfaen" w:cs="Sylfaen"/>
                <w:spacing w:val="-1"/>
                <w:sz w:val="16"/>
                <w:szCs w:val="18"/>
              </w:rPr>
              <w:t>საფარის</w:t>
            </w:r>
            <w:r>
              <w:rPr>
                <w:rFonts w:ascii="Sylfaen" w:eastAsia="Sylfaen" w:hAnsi="Sylfaen" w:cs="Sylfaen"/>
                <w:spacing w:val="-1"/>
                <w:sz w:val="16"/>
                <w:szCs w:val="18"/>
                <w:lang w:val="ka-GE"/>
              </w:rPr>
              <w:t xml:space="preserve"> </w:t>
            </w:r>
            <w:r>
              <w:rPr>
                <w:rFonts w:ascii="Sylfaen" w:eastAsia="Sylfaen" w:hAnsi="Sylfaen" w:cs="Sylfaen"/>
                <w:spacing w:val="-1"/>
                <w:sz w:val="16"/>
                <w:szCs w:val="18"/>
              </w:rPr>
              <w:t>შენარჩუნება;</w:t>
            </w:r>
          </w:p>
        </w:tc>
        <w:tc>
          <w:tcPr>
            <w:tcW w:w="1973" w:type="dxa"/>
            <w:tcBorders>
              <w:top w:val="nil"/>
              <w:left w:val="single" w:sz="6" w:space="0" w:color="000000"/>
              <w:bottom w:val="nil"/>
              <w:right w:val="single" w:sz="6" w:space="0" w:color="000000"/>
            </w:tcBorders>
          </w:tcPr>
          <w:p w14:paraId="789F471A" w14:textId="77777777" w:rsidR="00092B73" w:rsidRDefault="00092B73">
            <w:pPr>
              <w:spacing w:line="256" w:lineRule="auto"/>
              <w:rPr>
                <w:sz w:val="16"/>
              </w:rPr>
            </w:pPr>
          </w:p>
        </w:tc>
        <w:tc>
          <w:tcPr>
            <w:tcW w:w="2268" w:type="dxa"/>
            <w:tcBorders>
              <w:top w:val="nil"/>
              <w:left w:val="single" w:sz="6" w:space="0" w:color="000000"/>
              <w:bottom w:val="nil"/>
              <w:right w:val="single" w:sz="6" w:space="0" w:color="000000"/>
            </w:tcBorders>
            <w:hideMark/>
          </w:tcPr>
          <w:p w14:paraId="1177A124"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მცენარეული</w:t>
            </w:r>
            <w:r>
              <w:rPr>
                <w:rFonts w:ascii="Sylfaen" w:eastAsia="Sylfaen" w:hAnsi="Sylfaen" w:cs="Sylfaen"/>
                <w:spacing w:val="-1"/>
                <w:sz w:val="16"/>
                <w:szCs w:val="18"/>
                <w:lang w:val="ka-GE"/>
              </w:rPr>
              <w:t xml:space="preserve"> </w:t>
            </w:r>
            <w:r>
              <w:rPr>
                <w:rFonts w:ascii="Sylfaen" w:eastAsia="Sylfaen" w:hAnsi="Sylfaen" w:cs="Sylfaen"/>
                <w:spacing w:val="-1"/>
                <w:sz w:val="16"/>
                <w:szCs w:val="18"/>
              </w:rPr>
              <w:t>საფარის</w:t>
            </w:r>
          </w:p>
          <w:p w14:paraId="356D9CBF"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ვიზუალური</w:t>
            </w:r>
            <w:r>
              <w:rPr>
                <w:rFonts w:ascii="Sylfaen" w:eastAsia="Sylfaen" w:hAnsi="Sylfaen" w:cs="Sylfaen"/>
                <w:spacing w:val="-1"/>
                <w:sz w:val="16"/>
                <w:szCs w:val="18"/>
                <w:lang w:val="ka-GE"/>
              </w:rPr>
              <w:t xml:space="preserve"> </w:t>
            </w:r>
            <w:r>
              <w:rPr>
                <w:rFonts w:ascii="Sylfaen" w:eastAsia="Sylfaen" w:hAnsi="Sylfaen" w:cs="Sylfaen"/>
                <w:spacing w:val="-1"/>
                <w:sz w:val="16"/>
                <w:szCs w:val="18"/>
              </w:rPr>
              <w:t>დათვალიერე</w:t>
            </w:r>
            <w:r>
              <w:rPr>
                <w:rFonts w:ascii="Sylfaen" w:eastAsia="Sylfaen" w:hAnsi="Sylfaen" w:cs="Sylfaen"/>
                <w:sz w:val="16"/>
                <w:szCs w:val="18"/>
              </w:rPr>
              <w:t>ბა</w:t>
            </w:r>
          </w:p>
        </w:tc>
        <w:tc>
          <w:tcPr>
            <w:tcW w:w="1519" w:type="dxa"/>
            <w:tcBorders>
              <w:top w:val="nil"/>
              <w:left w:val="single" w:sz="6" w:space="0" w:color="000000"/>
              <w:bottom w:val="nil"/>
              <w:right w:val="single" w:sz="6" w:space="0" w:color="000000"/>
            </w:tcBorders>
            <w:hideMark/>
          </w:tcPr>
          <w:p w14:paraId="49232DD8"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ინსტრუმენტუ</w:t>
            </w:r>
          </w:p>
          <w:p w14:paraId="65A284DE"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z w:val="16"/>
                <w:szCs w:val="18"/>
              </w:rPr>
              <w:t xml:space="preserve">ლი </w:t>
            </w:r>
            <w:r>
              <w:rPr>
                <w:rFonts w:ascii="Sylfaen" w:eastAsia="Sylfaen" w:hAnsi="Sylfaen" w:cs="Sylfaen"/>
                <w:spacing w:val="-1"/>
                <w:sz w:val="16"/>
                <w:szCs w:val="18"/>
              </w:rPr>
              <w:t>გაზომვა,</w:t>
            </w:r>
          </w:p>
          <w:p w14:paraId="26D02AD7"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z w:val="16"/>
                <w:szCs w:val="18"/>
              </w:rPr>
              <w:t>კვარტალურად</w:t>
            </w:r>
          </w:p>
        </w:tc>
      </w:tr>
      <w:tr w:rsidR="00092B73" w14:paraId="1D9A7632" w14:textId="77777777" w:rsidTr="00C6605E">
        <w:trPr>
          <w:trHeight w:val="1680"/>
        </w:trPr>
        <w:tc>
          <w:tcPr>
            <w:tcW w:w="2070" w:type="dxa"/>
            <w:tcBorders>
              <w:top w:val="single" w:sz="6" w:space="0" w:color="000000"/>
              <w:left w:val="single" w:sz="6" w:space="0" w:color="000000"/>
              <w:bottom w:val="single" w:sz="6" w:space="0" w:color="000000"/>
              <w:right w:val="single" w:sz="6" w:space="0" w:color="000000"/>
            </w:tcBorders>
            <w:hideMark/>
          </w:tcPr>
          <w:p w14:paraId="2880C87C"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lastRenderedPageBreak/>
              <w:t>ხმაური</w:t>
            </w:r>
          </w:p>
        </w:tc>
        <w:tc>
          <w:tcPr>
            <w:tcW w:w="1841" w:type="dxa"/>
            <w:tcBorders>
              <w:top w:val="single" w:sz="6" w:space="0" w:color="000000"/>
              <w:left w:val="single" w:sz="6" w:space="0" w:color="000000"/>
              <w:bottom w:val="single" w:sz="6" w:space="0" w:color="000000"/>
              <w:right w:val="single" w:sz="6" w:space="0" w:color="000000"/>
            </w:tcBorders>
            <w:hideMark/>
          </w:tcPr>
          <w:p w14:paraId="6F9811F0"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ადამიანებზე და</w:t>
            </w:r>
          </w:p>
          <w:p w14:paraId="37F51CAC"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ბუნებრივ</w:t>
            </w:r>
          </w:p>
          <w:p w14:paraId="5159CF52"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რეცეპტორებზე</w:t>
            </w:r>
          </w:p>
          <w:p w14:paraId="7D7358A6"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ზემოქმედება</w:t>
            </w:r>
          </w:p>
          <w:p w14:paraId="4D1CCCAB"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ხმაურის</w:t>
            </w:r>
          </w:p>
          <w:p w14:paraId="64E49968"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მომატებული</w:t>
            </w:r>
          </w:p>
          <w:p w14:paraId="30DE0A17"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დონის</w:t>
            </w:r>
            <w:r>
              <w:rPr>
                <w:rFonts w:ascii="Sylfaen" w:eastAsia="Sylfaen" w:hAnsi="Sylfaen" w:cs="Sylfaen"/>
                <w:sz w:val="16"/>
                <w:szCs w:val="18"/>
              </w:rPr>
              <w:t xml:space="preserve"> </w:t>
            </w:r>
            <w:r>
              <w:rPr>
                <w:rFonts w:ascii="Sylfaen" w:eastAsia="Sylfaen" w:hAnsi="Sylfaen" w:cs="Sylfaen"/>
                <w:spacing w:val="-1"/>
                <w:sz w:val="16"/>
                <w:szCs w:val="18"/>
              </w:rPr>
              <w:t>გამო.</w:t>
            </w:r>
          </w:p>
        </w:tc>
        <w:tc>
          <w:tcPr>
            <w:tcW w:w="6065" w:type="dxa"/>
            <w:gridSpan w:val="2"/>
            <w:tcBorders>
              <w:top w:val="single" w:sz="6" w:space="0" w:color="000000"/>
              <w:left w:val="single" w:sz="6" w:space="0" w:color="000000"/>
              <w:bottom w:val="single" w:sz="6" w:space="0" w:color="000000"/>
              <w:right w:val="single" w:sz="6" w:space="0" w:color="000000"/>
            </w:tcBorders>
          </w:tcPr>
          <w:p w14:paraId="5135EFFE" w14:textId="77777777" w:rsidR="00092B73" w:rsidRDefault="00092B73">
            <w:pPr>
              <w:pStyle w:val="TableParagraph"/>
              <w:tabs>
                <w:tab w:val="left" w:pos="1520"/>
                <w:tab w:val="left" w:pos="2878"/>
              </w:tabs>
              <w:spacing w:line="256" w:lineRule="auto"/>
              <w:ind w:left="102"/>
              <w:rPr>
                <w:rFonts w:ascii="Sylfaen" w:eastAsia="Sylfaen" w:hAnsi="Sylfaen" w:cs="Sylfaen"/>
                <w:sz w:val="16"/>
                <w:szCs w:val="18"/>
              </w:rPr>
            </w:pPr>
            <w:r>
              <w:rPr>
                <w:rFonts w:ascii="Symbol" w:eastAsia="Symbol" w:hAnsi="Symbol" w:cs="Symbol"/>
                <w:sz w:val="16"/>
                <w:szCs w:val="18"/>
              </w:rPr>
              <w:t></w:t>
            </w:r>
            <w:r>
              <w:rPr>
                <w:rFonts w:ascii="Symbol" w:eastAsia="Symbol" w:hAnsi="Symbol" w:cs="Symbol"/>
                <w:sz w:val="16"/>
                <w:szCs w:val="18"/>
              </w:rPr>
              <w:t></w:t>
            </w:r>
            <w:r>
              <w:rPr>
                <w:rFonts w:ascii="Symbol" w:eastAsia="Symbol" w:hAnsi="Symbol" w:cs="Symbol"/>
                <w:spacing w:val="26"/>
                <w:sz w:val="16"/>
                <w:szCs w:val="18"/>
              </w:rPr>
              <w:t></w:t>
            </w:r>
            <w:r>
              <w:rPr>
                <w:rFonts w:ascii="Sylfaen" w:eastAsia="Sylfaen" w:hAnsi="Sylfaen" w:cs="Sylfaen"/>
                <w:spacing w:val="-1"/>
                <w:sz w:val="16"/>
                <w:szCs w:val="18"/>
              </w:rPr>
              <w:t>მოსახლეობის</w:t>
            </w:r>
            <w:r>
              <w:rPr>
                <w:rFonts w:ascii="Sylfaen" w:eastAsia="Sylfaen" w:hAnsi="Sylfaen" w:cs="Sylfaen"/>
                <w:sz w:val="16"/>
                <w:szCs w:val="18"/>
              </w:rPr>
              <w:t xml:space="preserve">  </w:t>
            </w:r>
            <w:r>
              <w:rPr>
                <w:rFonts w:ascii="Sylfaen" w:eastAsia="Sylfaen" w:hAnsi="Sylfaen" w:cs="Sylfaen"/>
                <w:spacing w:val="18"/>
                <w:sz w:val="16"/>
                <w:szCs w:val="18"/>
              </w:rPr>
              <w:t xml:space="preserve"> </w:t>
            </w:r>
            <w:r>
              <w:rPr>
                <w:rFonts w:ascii="Sylfaen" w:eastAsia="Sylfaen" w:hAnsi="Sylfaen" w:cs="Sylfaen"/>
                <w:spacing w:val="-1"/>
                <w:sz w:val="16"/>
                <w:szCs w:val="18"/>
              </w:rPr>
              <w:t>ხმაურისგან</w:t>
            </w:r>
            <w:r>
              <w:rPr>
                <w:rFonts w:ascii="Sylfaen" w:eastAsia="Sylfaen" w:hAnsi="Sylfaen" w:cs="Sylfaen"/>
                <w:sz w:val="16"/>
                <w:szCs w:val="18"/>
              </w:rPr>
              <w:t xml:space="preserve">  </w:t>
            </w:r>
            <w:r>
              <w:rPr>
                <w:rFonts w:ascii="Sylfaen" w:eastAsia="Sylfaen" w:hAnsi="Sylfaen" w:cs="Sylfaen"/>
                <w:spacing w:val="18"/>
                <w:sz w:val="16"/>
                <w:szCs w:val="18"/>
              </w:rPr>
              <w:t xml:space="preserve"> </w:t>
            </w:r>
            <w:r>
              <w:rPr>
                <w:rFonts w:ascii="Sylfaen" w:eastAsia="Sylfaen" w:hAnsi="Sylfaen" w:cs="Sylfaen"/>
                <w:spacing w:val="-1"/>
                <w:sz w:val="16"/>
                <w:szCs w:val="18"/>
              </w:rPr>
              <w:t>დასაცავად</w:t>
            </w:r>
          </w:p>
          <w:p w14:paraId="1D44C2BC" w14:textId="77777777" w:rsidR="00092B73" w:rsidRDefault="00092B73">
            <w:pPr>
              <w:pStyle w:val="TableParagraph"/>
              <w:spacing w:line="256" w:lineRule="auto"/>
              <w:ind w:left="301"/>
              <w:rPr>
                <w:rFonts w:ascii="Sylfaen" w:eastAsia="Sylfaen" w:hAnsi="Sylfaen" w:cs="Sylfaen"/>
                <w:sz w:val="16"/>
                <w:szCs w:val="18"/>
              </w:rPr>
            </w:pPr>
            <w:r>
              <w:rPr>
                <w:rFonts w:ascii="Sylfaen" w:eastAsia="Sylfaen" w:hAnsi="Sylfaen" w:cs="Sylfaen"/>
                <w:spacing w:val="-1"/>
                <w:sz w:val="16"/>
                <w:szCs w:val="18"/>
              </w:rPr>
              <w:t>გამოყენებული</w:t>
            </w:r>
            <w:r>
              <w:rPr>
                <w:rFonts w:ascii="Sylfaen" w:eastAsia="Sylfaen" w:hAnsi="Sylfaen" w:cs="Sylfaen"/>
                <w:sz w:val="16"/>
                <w:szCs w:val="18"/>
              </w:rPr>
              <w:t xml:space="preserve">  </w:t>
            </w:r>
            <w:r>
              <w:rPr>
                <w:rFonts w:ascii="Sylfaen" w:eastAsia="Sylfaen" w:hAnsi="Sylfaen" w:cs="Sylfaen"/>
                <w:spacing w:val="40"/>
                <w:sz w:val="16"/>
                <w:szCs w:val="18"/>
              </w:rPr>
              <w:t xml:space="preserve"> </w:t>
            </w:r>
            <w:r>
              <w:rPr>
                <w:rFonts w:ascii="Sylfaen" w:eastAsia="Sylfaen" w:hAnsi="Sylfaen" w:cs="Sylfaen"/>
                <w:spacing w:val="-1"/>
                <w:sz w:val="16"/>
                <w:szCs w:val="18"/>
              </w:rPr>
              <w:t>უნდა</w:t>
            </w:r>
            <w:r>
              <w:rPr>
                <w:rFonts w:ascii="Sylfaen" w:eastAsia="Sylfaen" w:hAnsi="Sylfaen" w:cs="Sylfaen"/>
                <w:sz w:val="16"/>
                <w:szCs w:val="18"/>
              </w:rPr>
              <w:t xml:space="preserve">  </w:t>
            </w:r>
            <w:r>
              <w:rPr>
                <w:rFonts w:ascii="Sylfaen" w:eastAsia="Sylfaen" w:hAnsi="Sylfaen" w:cs="Sylfaen"/>
                <w:spacing w:val="40"/>
                <w:sz w:val="16"/>
                <w:szCs w:val="18"/>
              </w:rPr>
              <w:t xml:space="preserve"> </w:t>
            </w:r>
            <w:r>
              <w:rPr>
                <w:rFonts w:ascii="Sylfaen" w:eastAsia="Sylfaen" w:hAnsi="Sylfaen" w:cs="Sylfaen"/>
                <w:spacing w:val="-1"/>
                <w:sz w:val="16"/>
                <w:szCs w:val="18"/>
              </w:rPr>
              <w:t>იყოს</w:t>
            </w:r>
            <w:r>
              <w:rPr>
                <w:rFonts w:ascii="Sylfaen" w:eastAsia="Sylfaen" w:hAnsi="Sylfaen" w:cs="Sylfaen"/>
                <w:sz w:val="16"/>
                <w:szCs w:val="18"/>
              </w:rPr>
              <w:t xml:space="preserve">  </w:t>
            </w:r>
            <w:r>
              <w:rPr>
                <w:rFonts w:ascii="Sylfaen" w:eastAsia="Sylfaen" w:hAnsi="Sylfaen" w:cs="Sylfaen"/>
                <w:spacing w:val="40"/>
                <w:sz w:val="16"/>
                <w:szCs w:val="18"/>
              </w:rPr>
              <w:t xml:space="preserve"> </w:t>
            </w:r>
            <w:r>
              <w:rPr>
                <w:rFonts w:ascii="Sylfaen" w:eastAsia="Sylfaen" w:hAnsi="Sylfaen" w:cs="Sylfaen"/>
                <w:spacing w:val="-1"/>
                <w:sz w:val="16"/>
                <w:szCs w:val="18"/>
              </w:rPr>
              <w:t>შემარბილებელი</w:t>
            </w:r>
          </w:p>
          <w:p w14:paraId="71EF6981" w14:textId="77777777" w:rsidR="00092B73" w:rsidRDefault="00092B73">
            <w:pPr>
              <w:pStyle w:val="TableParagraph"/>
              <w:tabs>
                <w:tab w:val="left" w:pos="1889"/>
                <w:tab w:val="left" w:pos="2285"/>
                <w:tab w:val="left" w:pos="3531"/>
              </w:tabs>
              <w:spacing w:line="256" w:lineRule="auto"/>
              <w:ind w:left="301"/>
              <w:rPr>
                <w:rFonts w:ascii="Sylfaen" w:eastAsia="Sylfaen" w:hAnsi="Sylfaen" w:cs="Sylfaen"/>
                <w:sz w:val="16"/>
                <w:szCs w:val="18"/>
              </w:rPr>
            </w:pPr>
            <w:r>
              <w:rPr>
                <w:rFonts w:ascii="Sylfaen" w:eastAsia="Sylfaen" w:hAnsi="Sylfaen" w:cs="Sylfaen"/>
                <w:spacing w:val="-1"/>
                <w:w w:val="95"/>
                <w:sz w:val="16"/>
                <w:szCs w:val="18"/>
              </w:rPr>
              <w:t>ღონისძიებების</w:t>
            </w:r>
            <w:r>
              <w:rPr>
                <w:rFonts w:ascii="Sylfaen" w:eastAsia="Sylfaen" w:hAnsi="Sylfaen" w:cs="Sylfaen"/>
                <w:spacing w:val="-1"/>
                <w:w w:val="95"/>
                <w:sz w:val="16"/>
                <w:szCs w:val="18"/>
              </w:rPr>
              <w:tab/>
            </w:r>
            <w:r>
              <w:rPr>
                <w:rFonts w:ascii="Sylfaen" w:eastAsia="Sylfaen" w:hAnsi="Sylfaen" w:cs="Sylfaen"/>
                <w:sz w:val="16"/>
                <w:szCs w:val="18"/>
              </w:rPr>
              <w:t>-</w:t>
            </w:r>
            <w:r>
              <w:rPr>
                <w:rFonts w:ascii="Sylfaen" w:eastAsia="Sylfaen" w:hAnsi="Sylfaen" w:cs="Sylfaen"/>
                <w:sz w:val="16"/>
                <w:szCs w:val="18"/>
              </w:rPr>
              <w:tab/>
              <w:t>მოძრაობის</w:t>
            </w:r>
            <w:r>
              <w:rPr>
                <w:rFonts w:ascii="Sylfaen" w:eastAsia="Sylfaen" w:hAnsi="Sylfaen" w:cs="Sylfaen"/>
                <w:sz w:val="16"/>
                <w:szCs w:val="18"/>
              </w:rPr>
              <w:tab/>
            </w:r>
            <w:r>
              <w:rPr>
                <w:rFonts w:ascii="Sylfaen" w:eastAsia="Sylfaen" w:hAnsi="Sylfaen" w:cs="Sylfaen"/>
                <w:spacing w:val="-1"/>
                <w:sz w:val="16"/>
                <w:szCs w:val="18"/>
              </w:rPr>
              <w:t>სიჩქარის</w:t>
            </w:r>
          </w:p>
          <w:p w14:paraId="08AF7772" w14:textId="77777777" w:rsidR="00092B73" w:rsidRDefault="00092B73">
            <w:pPr>
              <w:pStyle w:val="TableParagraph"/>
              <w:spacing w:line="256" w:lineRule="auto"/>
              <w:ind w:left="301"/>
              <w:rPr>
                <w:rFonts w:ascii="Sylfaen" w:eastAsia="Sylfaen" w:hAnsi="Sylfaen" w:cs="Sylfaen"/>
                <w:sz w:val="16"/>
                <w:szCs w:val="18"/>
              </w:rPr>
            </w:pPr>
            <w:r>
              <w:rPr>
                <w:rFonts w:ascii="Sylfaen" w:eastAsia="Sylfaen" w:hAnsi="Sylfaen" w:cs="Sylfaen"/>
                <w:spacing w:val="-1"/>
                <w:sz w:val="16"/>
                <w:szCs w:val="18"/>
              </w:rPr>
              <w:t>შემცირება</w:t>
            </w:r>
            <w:r>
              <w:rPr>
                <w:rFonts w:ascii="Sylfaen" w:eastAsia="Sylfaen" w:hAnsi="Sylfaen" w:cs="Sylfaen"/>
                <w:sz w:val="16"/>
                <w:szCs w:val="18"/>
              </w:rPr>
              <w:t xml:space="preserve">   </w:t>
            </w:r>
            <w:r>
              <w:rPr>
                <w:rFonts w:ascii="Sylfaen" w:eastAsia="Sylfaen" w:hAnsi="Sylfaen" w:cs="Sylfaen"/>
                <w:spacing w:val="19"/>
                <w:sz w:val="16"/>
                <w:szCs w:val="18"/>
              </w:rPr>
              <w:t xml:space="preserve"> </w:t>
            </w:r>
            <w:r>
              <w:rPr>
                <w:rFonts w:ascii="Sylfaen" w:eastAsia="Sylfaen" w:hAnsi="Sylfaen" w:cs="Sylfaen"/>
                <w:spacing w:val="-1"/>
                <w:sz w:val="16"/>
                <w:szCs w:val="18"/>
              </w:rPr>
              <w:t>გზის</w:t>
            </w:r>
            <w:r>
              <w:rPr>
                <w:rFonts w:ascii="Sylfaen" w:eastAsia="Sylfaen" w:hAnsi="Sylfaen" w:cs="Sylfaen"/>
                <w:sz w:val="16"/>
                <w:szCs w:val="18"/>
              </w:rPr>
              <w:t xml:space="preserve">   </w:t>
            </w:r>
            <w:r>
              <w:rPr>
                <w:rFonts w:ascii="Sylfaen" w:eastAsia="Sylfaen" w:hAnsi="Sylfaen" w:cs="Sylfaen"/>
                <w:spacing w:val="19"/>
                <w:sz w:val="16"/>
                <w:szCs w:val="18"/>
              </w:rPr>
              <w:t xml:space="preserve"> </w:t>
            </w:r>
            <w:r>
              <w:rPr>
                <w:rFonts w:ascii="Sylfaen" w:eastAsia="Sylfaen" w:hAnsi="Sylfaen" w:cs="Sylfaen"/>
                <w:sz w:val="16"/>
                <w:szCs w:val="18"/>
              </w:rPr>
              <w:t xml:space="preserve">იმ   </w:t>
            </w:r>
            <w:r>
              <w:rPr>
                <w:rFonts w:ascii="Sylfaen" w:eastAsia="Sylfaen" w:hAnsi="Sylfaen" w:cs="Sylfaen"/>
                <w:spacing w:val="19"/>
                <w:sz w:val="16"/>
                <w:szCs w:val="18"/>
              </w:rPr>
              <w:t xml:space="preserve"> </w:t>
            </w:r>
            <w:r>
              <w:rPr>
                <w:rFonts w:ascii="Sylfaen" w:eastAsia="Sylfaen" w:hAnsi="Sylfaen" w:cs="Sylfaen"/>
                <w:spacing w:val="-1"/>
                <w:sz w:val="16"/>
                <w:szCs w:val="18"/>
              </w:rPr>
              <w:t>მონაკვეთებზე,</w:t>
            </w:r>
            <w:r>
              <w:rPr>
                <w:rFonts w:ascii="Sylfaen" w:eastAsia="Sylfaen" w:hAnsi="Sylfaen" w:cs="Sylfaen"/>
                <w:sz w:val="16"/>
                <w:szCs w:val="18"/>
              </w:rPr>
              <w:t xml:space="preserve">   </w:t>
            </w:r>
            <w:r>
              <w:rPr>
                <w:rFonts w:ascii="Sylfaen" w:eastAsia="Sylfaen" w:hAnsi="Sylfaen" w:cs="Sylfaen"/>
                <w:spacing w:val="19"/>
                <w:sz w:val="16"/>
                <w:szCs w:val="18"/>
              </w:rPr>
              <w:t xml:space="preserve"> </w:t>
            </w:r>
            <w:r>
              <w:rPr>
                <w:rFonts w:ascii="Sylfaen" w:eastAsia="Sylfaen" w:hAnsi="Sylfaen" w:cs="Sylfaen"/>
                <w:spacing w:val="-1"/>
                <w:sz w:val="16"/>
                <w:szCs w:val="18"/>
              </w:rPr>
              <w:t>სადაც</w:t>
            </w:r>
          </w:p>
          <w:p w14:paraId="4E861460" w14:textId="77777777" w:rsidR="00092B73" w:rsidRDefault="00092B73">
            <w:pPr>
              <w:pStyle w:val="TableParagraph"/>
              <w:spacing w:line="256" w:lineRule="auto"/>
              <w:ind w:left="301"/>
              <w:rPr>
                <w:rFonts w:ascii="Sylfaen" w:eastAsia="Sylfaen" w:hAnsi="Sylfaen" w:cs="Sylfaen"/>
                <w:sz w:val="16"/>
                <w:szCs w:val="18"/>
              </w:rPr>
            </w:pPr>
            <w:r>
              <w:rPr>
                <w:rFonts w:ascii="Sylfaen" w:eastAsia="Sylfaen" w:hAnsi="Sylfaen" w:cs="Sylfaen"/>
                <w:spacing w:val="-1"/>
                <w:sz w:val="16"/>
                <w:szCs w:val="18"/>
              </w:rPr>
              <w:t>ხმაურის</w:t>
            </w:r>
            <w:r>
              <w:rPr>
                <w:rFonts w:ascii="Sylfaen" w:eastAsia="Sylfaen" w:hAnsi="Sylfaen" w:cs="Sylfaen"/>
                <w:spacing w:val="7"/>
                <w:sz w:val="16"/>
                <w:szCs w:val="18"/>
              </w:rPr>
              <w:t xml:space="preserve"> </w:t>
            </w:r>
            <w:r>
              <w:rPr>
                <w:rFonts w:ascii="Sylfaen" w:eastAsia="Sylfaen" w:hAnsi="Sylfaen" w:cs="Sylfaen"/>
                <w:spacing w:val="-1"/>
                <w:sz w:val="16"/>
                <w:szCs w:val="18"/>
              </w:rPr>
              <w:t>დონე</w:t>
            </w:r>
            <w:r>
              <w:rPr>
                <w:rFonts w:ascii="Sylfaen" w:eastAsia="Sylfaen" w:hAnsi="Sylfaen" w:cs="Sylfaen"/>
                <w:spacing w:val="6"/>
                <w:sz w:val="16"/>
                <w:szCs w:val="18"/>
              </w:rPr>
              <w:t xml:space="preserve"> </w:t>
            </w:r>
            <w:r>
              <w:rPr>
                <w:rFonts w:ascii="Sylfaen" w:eastAsia="Sylfaen" w:hAnsi="Sylfaen" w:cs="Sylfaen"/>
                <w:spacing w:val="-1"/>
                <w:sz w:val="16"/>
                <w:szCs w:val="18"/>
              </w:rPr>
              <w:t>გადაჭარბებულია</w:t>
            </w:r>
          </w:p>
          <w:p w14:paraId="08C8770D" w14:textId="77777777" w:rsidR="00092B73" w:rsidRDefault="00092B73">
            <w:pPr>
              <w:pStyle w:val="TableParagraph"/>
              <w:spacing w:line="256" w:lineRule="auto"/>
              <w:ind w:left="301"/>
              <w:rPr>
                <w:rFonts w:ascii="Sylfaen" w:eastAsia="Sylfaen" w:hAnsi="Sylfaen" w:cs="Sylfaen"/>
                <w:sz w:val="16"/>
                <w:szCs w:val="18"/>
              </w:rPr>
            </w:pPr>
          </w:p>
        </w:tc>
        <w:tc>
          <w:tcPr>
            <w:tcW w:w="1973" w:type="dxa"/>
            <w:tcBorders>
              <w:top w:val="single" w:sz="6" w:space="0" w:color="000000"/>
              <w:left w:val="single" w:sz="6" w:space="0" w:color="000000"/>
              <w:bottom w:val="single" w:sz="6" w:space="0" w:color="000000"/>
              <w:right w:val="single" w:sz="6" w:space="0" w:color="000000"/>
            </w:tcBorders>
            <w:hideMark/>
          </w:tcPr>
          <w:p w14:paraId="0D8BEED7" w14:textId="77777777" w:rsidR="00092B73" w:rsidRDefault="00092B73">
            <w:pPr>
              <w:pStyle w:val="TableParagraph"/>
              <w:spacing w:line="256" w:lineRule="auto"/>
              <w:ind w:left="99"/>
              <w:rPr>
                <w:rFonts w:ascii="Sylfaen" w:eastAsia="Sylfaen" w:hAnsi="Sylfaen" w:cs="Sylfaen"/>
                <w:sz w:val="16"/>
                <w:szCs w:val="18"/>
              </w:rPr>
            </w:pPr>
            <w:r>
              <w:rPr>
                <w:rFonts w:ascii="Sylfaen" w:eastAsia="Sylfaen" w:hAnsi="Sylfaen" w:cs="Sylfaen"/>
                <w:spacing w:val="-1"/>
                <w:sz w:val="16"/>
                <w:szCs w:val="18"/>
              </w:rPr>
              <w:t>დამატებით</w:t>
            </w:r>
          </w:p>
          <w:p w14:paraId="4C565BA9" w14:textId="77777777" w:rsidR="00092B73" w:rsidRDefault="00092B73">
            <w:pPr>
              <w:pStyle w:val="TableParagraph"/>
              <w:spacing w:line="256" w:lineRule="auto"/>
              <w:ind w:left="99"/>
              <w:rPr>
                <w:rFonts w:ascii="Sylfaen" w:eastAsia="Sylfaen" w:hAnsi="Sylfaen" w:cs="Sylfaen"/>
                <w:sz w:val="16"/>
                <w:szCs w:val="18"/>
              </w:rPr>
            </w:pPr>
            <w:r>
              <w:rPr>
                <w:rFonts w:ascii="Sylfaen" w:eastAsia="Sylfaen" w:hAnsi="Sylfaen" w:cs="Sylfaen"/>
                <w:spacing w:val="-1"/>
                <w:sz w:val="16"/>
                <w:szCs w:val="18"/>
              </w:rPr>
              <w:t>ხარჯებს</w:t>
            </w:r>
            <w:r>
              <w:rPr>
                <w:rFonts w:ascii="Sylfaen" w:eastAsia="Sylfaen" w:hAnsi="Sylfaen" w:cs="Sylfaen"/>
                <w:sz w:val="16"/>
                <w:szCs w:val="18"/>
              </w:rPr>
              <w:t xml:space="preserve"> არ</w:t>
            </w:r>
          </w:p>
          <w:p w14:paraId="28074D05" w14:textId="77777777" w:rsidR="00092B73" w:rsidRDefault="00092B73">
            <w:pPr>
              <w:pStyle w:val="TableParagraph"/>
              <w:spacing w:line="256" w:lineRule="auto"/>
              <w:ind w:left="99"/>
              <w:rPr>
                <w:rFonts w:ascii="Sylfaen" w:eastAsia="Sylfaen" w:hAnsi="Sylfaen" w:cs="Sylfaen"/>
                <w:sz w:val="16"/>
                <w:szCs w:val="18"/>
              </w:rPr>
            </w:pPr>
            <w:r>
              <w:rPr>
                <w:rFonts w:ascii="Sylfaen" w:eastAsia="Sylfaen" w:hAnsi="Sylfaen" w:cs="Sylfaen"/>
                <w:spacing w:val="-1"/>
                <w:sz w:val="16"/>
                <w:szCs w:val="18"/>
              </w:rPr>
              <w:t>მოითხოვს</w:t>
            </w:r>
          </w:p>
        </w:tc>
        <w:tc>
          <w:tcPr>
            <w:tcW w:w="2268" w:type="dxa"/>
            <w:tcBorders>
              <w:top w:val="single" w:sz="6" w:space="0" w:color="000000"/>
              <w:left w:val="single" w:sz="6" w:space="0" w:color="000000"/>
              <w:bottom w:val="single" w:sz="6" w:space="0" w:color="000000"/>
              <w:right w:val="single" w:sz="6" w:space="0" w:color="000000"/>
            </w:tcBorders>
            <w:hideMark/>
          </w:tcPr>
          <w:p w14:paraId="3B227E80" w14:textId="77777777" w:rsidR="00092B73" w:rsidRDefault="00092B73">
            <w:pPr>
              <w:pStyle w:val="TableParagraph"/>
              <w:spacing w:line="256" w:lineRule="auto"/>
              <w:ind w:left="102"/>
              <w:rPr>
                <w:rFonts w:ascii="Sylfaen" w:eastAsia="Sylfaen" w:hAnsi="Sylfaen" w:cs="Sylfaen"/>
                <w:sz w:val="16"/>
                <w:szCs w:val="18"/>
                <w:lang w:val="ka-GE"/>
              </w:rPr>
            </w:pPr>
            <w:r>
              <w:rPr>
                <w:rFonts w:ascii="Sylfaen" w:eastAsia="Sylfaen" w:hAnsi="Sylfaen" w:cs="Sylfaen"/>
                <w:spacing w:val="-1"/>
                <w:sz w:val="16"/>
                <w:szCs w:val="18"/>
                <w:lang w:val="ka-GE"/>
              </w:rPr>
              <w:t>მოვლა-პატრონობისთვის შერჩეული კონტრაქტორი</w:t>
            </w:r>
          </w:p>
        </w:tc>
        <w:tc>
          <w:tcPr>
            <w:tcW w:w="1519" w:type="dxa"/>
            <w:tcBorders>
              <w:top w:val="single" w:sz="6" w:space="0" w:color="000000"/>
              <w:left w:val="single" w:sz="6" w:space="0" w:color="000000"/>
              <w:bottom w:val="single" w:sz="6" w:space="0" w:color="000000"/>
              <w:right w:val="single" w:sz="6" w:space="0" w:color="000000"/>
            </w:tcBorders>
            <w:hideMark/>
          </w:tcPr>
          <w:p w14:paraId="355BCB7E" w14:textId="77777777" w:rsidR="00092B73" w:rsidRDefault="00092B73">
            <w:pPr>
              <w:pStyle w:val="TableParagraph"/>
              <w:spacing w:line="256" w:lineRule="auto"/>
              <w:ind w:left="102" w:right="423"/>
              <w:rPr>
                <w:rFonts w:ascii="Sylfaen" w:eastAsia="Sylfaen" w:hAnsi="Sylfaen" w:cs="Sylfaen"/>
                <w:sz w:val="16"/>
                <w:szCs w:val="18"/>
                <w:lang w:val="ka-GE"/>
              </w:rPr>
            </w:pPr>
            <w:r>
              <w:rPr>
                <w:rFonts w:ascii="Sylfaen" w:eastAsia="Sylfaen" w:hAnsi="Sylfaen" w:cs="Sylfaen"/>
                <w:sz w:val="16"/>
                <w:szCs w:val="18"/>
                <w:lang w:val="ka-GE"/>
              </w:rPr>
              <w:t>საგზაო დეპარტემენტი</w:t>
            </w:r>
          </w:p>
        </w:tc>
      </w:tr>
      <w:tr w:rsidR="00092B73" w14:paraId="7E57E552" w14:textId="77777777" w:rsidTr="00C6605E">
        <w:trPr>
          <w:trHeight w:val="1797"/>
        </w:trPr>
        <w:tc>
          <w:tcPr>
            <w:tcW w:w="2070" w:type="dxa"/>
            <w:tcBorders>
              <w:top w:val="single" w:sz="6" w:space="0" w:color="000000"/>
              <w:left w:val="single" w:sz="6" w:space="0" w:color="000000"/>
              <w:bottom w:val="single" w:sz="6" w:space="0" w:color="000000"/>
              <w:right w:val="single" w:sz="6" w:space="0" w:color="000000"/>
            </w:tcBorders>
            <w:hideMark/>
          </w:tcPr>
          <w:p w14:paraId="49B51256" w14:textId="77777777" w:rsidR="00092B73" w:rsidRDefault="00092B73">
            <w:pPr>
              <w:pStyle w:val="TableParagraph"/>
              <w:spacing w:line="256" w:lineRule="auto"/>
              <w:ind w:left="102"/>
              <w:rPr>
                <w:rFonts w:ascii="Sylfaen" w:eastAsia="Sylfaen" w:hAnsi="Sylfaen" w:cs="Sylfaen"/>
                <w:spacing w:val="-1"/>
                <w:sz w:val="16"/>
                <w:szCs w:val="18"/>
              </w:rPr>
            </w:pPr>
            <w:r>
              <w:rPr>
                <w:rFonts w:ascii="Sylfaen" w:eastAsia="Sylfaen" w:hAnsi="Sylfaen" w:cs="Sylfaen"/>
                <w:spacing w:val="-1"/>
                <w:sz w:val="16"/>
                <w:szCs w:val="18"/>
              </w:rPr>
              <w:t>ნაგვით</w:t>
            </w:r>
            <w:r>
              <w:rPr>
                <w:rFonts w:ascii="Sylfaen" w:eastAsia="Sylfaen" w:hAnsi="Sylfaen" w:cs="Sylfaen"/>
                <w:spacing w:val="24"/>
                <w:sz w:val="16"/>
                <w:szCs w:val="18"/>
              </w:rPr>
              <w:t xml:space="preserve"> </w:t>
            </w:r>
            <w:r>
              <w:rPr>
                <w:rFonts w:ascii="Sylfaen" w:eastAsia="Sylfaen" w:hAnsi="Sylfaen" w:cs="Sylfaen"/>
                <w:spacing w:val="-1"/>
                <w:sz w:val="16"/>
                <w:szCs w:val="18"/>
              </w:rPr>
              <w:t>დაბინძურება</w:t>
            </w:r>
          </w:p>
        </w:tc>
        <w:tc>
          <w:tcPr>
            <w:tcW w:w="1841" w:type="dxa"/>
            <w:tcBorders>
              <w:top w:val="single" w:sz="6" w:space="0" w:color="000000"/>
              <w:left w:val="single" w:sz="6" w:space="0" w:color="000000"/>
              <w:bottom w:val="single" w:sz="6" w:space="0" w:color="000000"/>
              <w:right w:val="single" w:sz="6" w:space="0" w:color="000000"/>
            </w:tcBorders>
            <w:hideMark/>
          </w:tcPr>
          <w:p w14:paraId="428D5398" w14:textId="77777777" w:rsidR="00092B73" w:rsidRDefault="00092B73">
            <w:pPr>
              <w:pStyle w:val="TableParagraph"/>
              <w:spacing w:line="256" w:lineRule="auto"/>
              <w:ind w:left="102"/>
              <w:rPr>
                <w:rFonts w:ascii="Sylfaen" w:eastAsia="Sylfaen" w:hAnsi="Sylfaen" w:cs="Sylfaen"/>
                <w:spacing w:val="-1"/>
                <w:sz w:val="16"/>
                <w:szCs w:val="18"/>
              </w:rPr>
            </w:pPr>
            <w:r>
              <w:rPr>
                <w:rFonts w:ascii="Sylfaen" w:eastAsia="Sylfaen" w:hAnsi="Sylfaen" w:cs="Sylfaen"/>
                <w:spacing w:val="-1"/>
                <w:sz w:val="16"/>
                <w:szCs w:val="18"/>
              </w:rPr>
              <w:t>შესაძლო</w:t>
            </w:r>
            <w:r>
              <w:rPr>
                <w:rFonts w:ascii="Sylfaen" w:eastAsia="Sylfaen" w:hAnsi="Sylfaen" w:cs="Sylfaen"/>
                <w:spacing w:val="22"/>
                <w:sz w:val="16"/>
                <w:szCs w:val="18"/>
              </w:rPr>
              <w:t xml:space="preserve"> </w:t>
            </w:r>
            <w:r>
              <w:rPr>
                <w:rFonts w:ascii="Sylfaen" w:eastAsia="Sylfaen" w:hAnsi="Sylfaen" w:cs="Sylfaen"/>
                <w:spacing w:val="-1"/>
                <w:sz w:val="16"/>
                <w:szCs w:val="18"/>
              </w:rPr>
              <w:t>ნეგატიური</w:t>
            </w:r>
            <w:r>
              <w:rPr>
                <w:rFonts w:ascii="Sylfaen" w:eastAsia="Sylfaen" w:hAnsi="Sylfaen" w:cs="Sylfaen"/>
                <w:spacing w:val="24"/>
                <w:sz w:val="16"/>
                <w:szCs w:val="18"/>
              </w:rPr>
              <w:t xml:space="preserve"> </w:t>
            </w:r>
            <w:r>
              <w:rPr>
                <w:rFonts w:ascii="Sylfaen" w:eastAsia="Sylfaen" w:hAnsi="Sylfaen" w:cs="Sylfaen"/>
                <w:spacing w:val="-1"/>
                <w:sz w:val="16"/>
                <w:szCs w:val="18"/>
              </w:rPr>
              <w:t>ზემოქმედება</w:t>
            </w:r>
            <w:r>
              <w:rPr>
                <w:rFonts w:ascii="Sylfaen" w:eastAsia="Sylfaen" w:hAnsi="Sylfaen" w:cs="Sylfaen"/>
                <w:spacing w:val="24"/>
                <w:sz w:val="16"/>
                <w:szCs w:val="18"/>
              </w:rPr>
              <w:t xml:space="preserve"> </w:t>
            </w:r>
            <w:r>
              <w:rPr>
                <w:rFonts w:ascii="Sylfaen" w:eastAsia="Sylfaen" w:hAnsi="Sylfaen" w:cs="Sylfaen"/>
                <w:spacing w:val="-1"/>
                <w:sz w:val="16"/>
                <w:szCs w:val="18"/>
              </w:rPr>
              <w:t>ცხოველთა</w:t>
            </w:r>
            <w:r>
              <w:rPr>
                <w:rFonts w:ascii="Sylfaen" w:eastAsia="Sylfaen" w:hAnsi="Sylfaen" w:cs="Sylfaen"/>
                <w:spacing w:val="26"/>
                <w:sz w:val="16"/>
                <w:szCs w:val="18"/>
              </w:rPr>
              <w:t xml:space="preserve"> </w:t>
            </w:r>
            <w:r>
              <w:rPr>
                <w:rFonts w:ascii="Sylfaen" w:eastAsia="Sylfaen" w:hAnsi="Sylfaen" w:cs="Sylfaen"/>
                <w:spacing w:val="-1"/>
                <w:sz w:val="16"/>
                <w:szCs w:val="18"/>
              </w:rPr>
              <w:t>სამყაროზე,</w:t>
            </w:r>
            <w:r>
              <w:rPr>
                <w:rFonts w:ascii="Sylfaen" w:eastAsia="Sylfaen" w:hAnsi="Sylfaen" w:cs="Sylfaen"/>
                <w:sz w:val="16"/>
                <w:szCs w:val="18"/>
              </w:rPr>
              <w:t xml:space="preserve">  </w:t>
            </w:r>
            <w:r>
              <w:rPr>
                <w:rFonts w:ascii="Sylfaen" w:eastAsia="Sylfaen" w:hAnsi="Sylfaen" w:cs="Sylfaen"/>
                <w:spacing w:val="23"/>
                <w:sz w:val="16"/>
                <w:szCs w:val="18"/>
              </w:rPr>
              <w:t xml:space="preserve"> </w:t>
            </w:r>
            <w:r>
              <w:rPr>
                <w:rFonts w:ascii="Sylfaen" w:eastAsia="Sylfaen" w:hAnsi="Sylfaen" w:cs="Sylfaen"/>
                <w:spacing w:val="-1"/>
                <w:sz w:val="16"/>
                <w:szCs w:val="18"/>
              </w:rPr>
              <w:t>წყლის</w:t>
            </w:r>
            <w:r>
              <w:rPr>
                <w:rFonts w:ascii="Sylfaen" w:eastAsia="Sylfaen" w:hAnsi="Sylfaen" w:cs="Sylfaen"/>
                <w:spacing w:val="29"/>
                <w:sz w:val="16"/>
                <w:szCs w:val="18"/>
              </w:rPr>
              <w:t xml:space="preserve"> </w:t>
            </w:r>
            <w:r>
              <w:rPr>
                <w:rFonts w:ascii="Sylfaen" w:eastAsia="Sylfaen" w:hAnsi="Sylfaen" w:cs="Sylfaen"/>
                <w:spacing w:val="-1"/>
                <w:sz w:val="16"/>
                <w:szCs w:val="18"/>
              </w:rPr>
              <w:t>დაბინძურება</w:t>
            </w:r>
          </w:p>
        </w:tc>
        <w:tc>
          <w:tcPr>
            <w:tcW w:w="6065" w:type="dxa"/>
            <w:gridSpan w:val="2"/>
            <w:tcBorders>
              <w:top w:val="single" w:sz="6" w:space="0" w:color="000000"/>
              <w:left w:val="single" w:sz="6" w:space="0" w:color="000000"/>
              <w:bottom w:val="single" w:sz="6" w:space="0" w:color="000000"/>
              <w:right w:val="single" w:sz="6" w:space="0" w:color="000000"/>
            </w:tcBorders>
            <w:hideMark/>
          </w:tcPr>
          <w:p w14:paraId="42CCCCB4" w14:textId="77777777" w:rsidR="00092B73" w:rsidRDefault="00092B73">
            <w:pPr>
              <w:pStyle w:val="TableParagraph"/>
              <w:spacing w:line="256" w:lineRule="auto"/>
              <w:ind w:left="301" w:right="106" w:hanging="200"/>
              <w:jc w:val="both"/>
              <w:rPr>
                <w:rFonts w:ascii="Sylfaen" w:eastAsia="Sylfaen" w:hAnsi="Sylfaen" w:cs="Sylfaen"/>
                <w:sz w:val="16"/>
                <w:szCs w:val="18"/>
              </w:rPr>
            </w:pPr>
            <w:r>
              <w:rPr>
                <w:rFonts w:ascii="Symbol" w:eastAsia="Symbol" w:hAnsi="Symbol" w:cs="Symbol"/>
                <w:sz w:val="16"/>
                <w:szCs w:val="18"/>
              </w:rPr>
              <w:t></w:t>
            </w:r>
            <w:r>
              <w:rPr>
                <w:rFonts w:ascii="Symbol" w:eastAsia="Symbol" w:hAnsi="Symbol" w:cs="Symbol"/>
                <w:spacing w:val="26"/>
                <w:sz w:val="16"/>
                <w:szCs w:val="18"/>
              </w:rPr>
              <w:t></w:t>
            </w:r>
            <w:r>
              <w:rPr>
                <w:rFonts w:ascii="Sylfaen" w:eastAsia="Sylfaen" w:hAnsi="Sylfaen" w:cs="Sylfaen"/>
                <w:spacing w:val="-1"/>
                <w:sz w:val="16"/>
                <w:szCs w:val="18"/>
              </w:rPr>
              <w:t>ნარჩენების</w:t>
            </w:r>
            <w:r>
              <w:rPr>
                <w:rFonts w:ascii="Sylfaen" w:eastAsia="Sylfaen" w:hAnsi="Sylfaen" w:cs="Sylfaen"/>
                <w:spacing w:val="3"/>
                <w:sz w:val="16"/>
                <w:szCs w:val="18"/>
              </w:rPr>
              <w:t xml:space="preserve"> </w:t>
            </w:r>
            <w:r>
              <w:rPr>
                <w:rFonts w:ascii="Sylfaen" w:eastAsia="Sylfaen" w:hAnsi="Sylfaen" w:cs="Sylfaen"/>
                <w:spacing w:val="-1"/>
                <w:sz w:val="16"/>
                <w:szCs w:val="18"/>
              </w:rPr>
              <w:t>განთავსების</w:t>
            </w:r>
            <w:r>
              <w:rPr>
                <w:rFonts w:ascii="Sylfaen" w:eastAsia="Sylfaen" w:hAnsi="Sylfaen" w:cs="Sylfaen"/>
                <w:spacing w:val="3"/>
                <w:sz w:val="16"/>
                <w:szCs w:val="18"/>
              </w:rPr>
              <w:t xml:space="preserve"> </w:t>
            </w:r>
            <w:r>
              <w:rPr>
                <w:rFonts w:ascii="Sylfaen" w:eastAsia="Sylfaen" w:hAnsi="Sylfaen" w:cs="Sylfaen"/>
                <w:spacing w:val="-1"/>
                <w:sz w:val="16"/>
                <w:szCs w:val="18"/>
              </w:rPr>
              <w:t>გზების</w:t>
            </w:r>
            <w:r>
              <w:rPr>
                <w:rFonts w:ascii="Sylfaen" w:eastAsia="Sylfaen" w:hAnsi="Sylfaen" w:cs="Sylfaen"/>
                <w:spacing w:val="3"/>
                <w:sz w:val="16"/>
                <w:szCs w:val="18"/>
              </w:rPr>
              <w:t xml:space="preserve"> </w:t>
            </w:r>
            <w:r>
              <w:rPr>
                <w:rFonts w:ascii="Sylfaen" w:eastAsia="Sylfaen" w:hAnsi="Sylfaen" w:cs="Sylfaen"/>
                <w:spacing w:val="-1"/>
                <w:sz w:val="16"/>
                <w:szCs w:val="18"/>
              </w:rPr>
              <w:t>შესახებ</w:t>
            </w:r>
            <w:r>
              <w:rPr>
                <w:rFonts w:ascii="Sylfaen" w:eastAsia="Sylfaen" w:hAnsi="Sylfaen" w:cs="Sylfaen"/>
                <w:spacing w:val="25"/>
                <w:sz w:val="16"/>
                <w:szCs w:val="18"/>
              </w:rPr>
              <w:t xml:space="preserve"> </w:t>
            </w:r>
            <w:r>
              <w:rPr>
                <w:rFonts w:ascii="Sylfaen" w:eastAsia="Sylfaen" w:hAnsi="Sylfaen" w:cs="Sylfaen"/>
                <w:spacing w:val="-1"/>
                <w:sz w:val="16"/>
                <w:szCs w:val="18"/>
              </w:rPr>
              <w:t>მოსახლეობის</w:t>
            </w:r>
            <w:r>
              <w:rPr>
                <w:rFonts w:ascii="Sylfaen" w:eastAsia="Sylfaen" w:hAnsi="Sylfaen" w:cs="Sylfaen"/>
                <w:sz w:val="16"/>
                <w:szCs w:val="18"/>
              </w:rPr>
              <w:t xml:space="preserve"> </w:t>
            </w:r>
            <w:r>
              <w:rPr>
                <w:rFonts w:ascii="Sylfaen" w:eastAsia="Sylfaen" w:hAnsi="Sylfaen" w:cs="Sylfaen"/>
                <w:spacing w:val="-1"/>
                <w:sz w:val="16"/>
                <w:szCs w:val="18"/>
              </w:rPr>
              <w:t>ინფორმირება;</w:t>
            </w:r>
          </w:p>
          <w:p w14:paraId="45D5F11A" w14:textId="77777777" w:rsidR="00092B73" w:rsidRDefault="00092B73">
            <w:pPr>
              <w:pStyle w:val="TableParagraph"/>
              <w:spacing w:line="256" w:lineRule="auto"/>
              <w:ind w:left="102"/>
              <w:rPr>
                <w:rFonts w:ascii="Sylfaen" w:eastAsia="Sylfaen" w:hAnsi="Sylfaen" w:cs="Sylfaen"/>
                <w:sz w:val="16"/>
                <w:szCs w:val="18"/>
              </w:rPr>
            </w:pPr>
            <w:r>
              <w:rPr>
                <w:rFonts w:ascii="Symbol" w:eastAsia="Symbol" w:hAnsi="Symbol" w:cs="Symbol"/>
                <w:sz w:val="16"/>
                <w:szCs w:val="18"/>
              </w:rPr>
              <w:t></w:t>
            </w:r>
            <w:r>
              <w:rPr>
                <w:rFonts w:ascii="Symbol" w:eastAsia="Symbol" w:hAnsi="Symbol" w:cs="Symbol"/>
                <w:sz w:val="16"/>
                <w:szCs w:val="18"/>
              </w:rPr>
              <w:t></w:t>
            </w:r>
            <w:r>
              <w:rPr>
                <w:rFonts w:ascii="Symbol" w:eastAsia="Symbol" w:hAnsi="Symbol" w:cs="Symbol"/>
                <w:spacing w:val="26"/>
                <w:sz w:val="16"/>
                <w:szCs w:val="18"/>
              </w:rPr>
              <w:t></w:t>
            </w:r>
            <w:r>
              <w:rPr>
                <w:rFonts w:ascii="Sylfaen" w:eastAsia="Sylfaen" w:hAnsi="Sylfaen" w:cs="Sylfaen"/>
                <w:spacing w:val="-1"/>
                <w:sz w:val="16"/>
                <w:szCs w:val="18"/>
              </w:rPr>
              <w:t>მოსახლეობის</w:t>
            </w:r>
            <w:r>
              <w:rPr>
                <w:rFonts w:ascii="Sylfaen" w:eastAsia="Sylfaen" w:hAnsi="Sylfaen" w:cs="Sylfaen"/>
                <w:sz w:val="16"/>
                <w:szCs w:val="18"/>
              </w:rPr>
              <w:t xml:space="preserve"> </w:t>
            </w:r>
            <w:r>
              <w:rPr>
                <w:rFonts w:ascii="Sylfaen" w:eastAsia="Sylfaen" w:hAnsi="Sylfaen" w:cs="Sylfaen"/>
                <w:spacing w:val="-1"/>
                <w:sz w:val="16"/>
                <w:szCs w:val="18"/>
              </w:rPr>
              <w:t>ინფორმირება</w:t>
            </w:r>
            <w:r>
              <w:rPr>
                <w:rFonts w:ascii="Sylfaen" w:eastAsia="Sylfaen" w:hAnsi="Sylfaen" w:cs="Sylfaen"/>
                <w:spacing w:val="-2"/>
                <w:sz w:val="16"/>
                <w:szCs w:val="18"/>
              </w:rPr>
              <w:t xml:space="preserve"> </w:t>
            </w:r>
            <w:r>
              <w:rPr>
                <w:rFonts w:ascii="Sylfaen" w:eastAsia="Sylfaen" w:hAnsi="Sylfaen" w:cs="Sylfaen"/>
                <w:spacing w:val="-1"/>
                <w:sz w:val="16"/>
                <w:szCs w:val="18"/>
              </w:rPr>
              <w:t>ჯარიმების</w:t>
            </w:r>
            <w:r>
              <w:rPr>
                <w:rFonts w:ascii="Sylfaen" w:eastAsia="Sylfaen" w:hAnsi="Sylfaen" w:cs="Sylfaen"/>
                <w:sz w:val="16"/>
                <w:szCs w:val="18"/>
              </w:rPr>
              <w:t xml:space="preserve"> </w:t>
            </w:r>
            <w:r>
              <w:rPr>
                <w:rFonts w:ascii="Sylfaen" w:eastAsia="Sylfaen" w:hAnsi="Sylfaen" w:cs="Sylfaen"/>
                <w:spacing w:val="-1"/>
                <w:sz w:val="16"/>
                <w:szCs w:val="18"/>
              </w:rPr>
              <w:t>შესახებ;</w:t>
            </w:r>
          </w:p>
          <w:p w14:paraId="3B8F58DF" w14:textId="77777777" w:rsidR="00092B73" w:rsidRDefault="00092B73">
            <w:pPr>
              <w:pStyle w:val="TableParagraph"/>
              <w:spacing w:line="256" w:lineRule="auto"/>
              <w:ind w:left="301" w:right="100" w:hanging="200"/>
              <w:jc w:val="both"/>
              <w:rPr>
                <w:rFonts w:ascii="Sylfaen" w:eastAsia="Sylfaen" w:hAnsi="Sylfaen" w:cs="Sylfaen"/>
                <w:sz w:val="16"/>
                <w:szCs w:val="18"/>
              </w:rPr>
            </w:pPr>
            <w:r>
              <w:rPr>
                <w:rFonts w:ascii="Symbol" w:eastAsia="Symbol" w:hAnsi="Symbol" w:cs="Symbol"/>
                <w:sz w:val="16"/>
                <w:szCs w:val="18"/>
              </w:rPr>
              <w:t></w:t>
            </w:r>
            <w:r>
              <w:rPr>
                <w:rFonts w:ascii="Symbol" w:eastAsia="Symbol" w:hAnsi="Symbol" w:cs="Symbol"/>
                <w:spacing w:val="26"/>
                <w:sz w:val="16"/>
                <w:szCs w:val="18"/>
              </w:rPr>
              <w:t></w:t>
            </w:r>
            <w:r>
              <w:rPr>
                <w:rFonts w:ascii="Sylfaen" w:eastAsia="Sylfaen" w:hAnsi="Sylfaen" w:cs="Sylfaen"/>
                <w:spacing w:val="-1"/>
                <w:sz w:val="16"/>
                <w:szCs w:val="18"/>
              </w:rPr>
              <w:t>ბანერების</w:t>
            </w:r>
            <w:r>
              <w:rPr>
                <w:rFonts w:ascii="Sylfaen" w:eastAsia="Sylfaen" w:hAnsi="Sylfaen" w:cs="Sylfaen"/>
                <w:spacing w:val="14"/>
                <w:sz w:val="16"/>
                <w:szCs w:val="18"/>
              </w:rPr>
              <w:t xml:space="preserve"> </w:t>
            </w:r>
            <w:r>
              <w:rPr>
                <w:rFonts w:ascii="Sylfaen" w:eastAsia="Sylfaen" w:hAnsi="Sylfaen" w:cs="Sylfaen"/>
                <w:spacing w:val="-1"/>
                <w:sz w:val="16"/>
                <w:szCs w:val="18"/>
              </w:rPr>
              <w:t>გამოყენება</w:t>
            </w:r>
            <w:r>
              <w:rPr>
                <w:rFonts w:ascii="Sylfaen" w:eastAsia="Sylfaen" w:hAnsi="Sylfaen" w:cs="Sylfaen"/>
                <w:spacing w:val="15"/>
                <w:sz w:val="16"/>
                <w:szCs w:val="18"/>
              </w:rPr>
              <w:t xml:space="preserve"> </w:t>
            </w:r>
            <w:r>
              <w:rPr>
                <w:rFonts w:ascii="Sylfaen" w:eastAsia="Sylfaen" w:hAnsi="Sylfaen" w:cs="Sylfaen"/>
                <w:spacing w:val="-1"/>
                <w:sz w:val="16"/>
                <w:szCs w:val="18"/>
              </w:rPr>
              <w:t>შეიძლება</w:t>
            </w:r>
            <w:r>
              <w:rPr>
                <w:rFonts w:ascii="Sylfaen" w:eastAsia="Sylfaen" w:hAnsi="Sylfaen" w:cs="Sylfaen"/>
                <w:spacing w:val="15"/>
                <w:sz w:val="16"/>
                <w:szCs w:val="18"/>
              </w:rPr>
              <w:t xml:space="preserve"> </w:t>
            </w:r>
            <w:r>
              <w:rPr>
                <w:rFonts w:ascii="Sylfaen" w:eastAsia="Sylfaen" w:hAnsi="Sylfaen" w:cs="Sylfaen"/>
                <w:spacing w:val="-1"/>
                <w:sz w:val="16"/>
                <w:szCs w:val="18"/>
              </w:rPr>
              <w:t>იყოს</w:t>
            </w:r>
            <w:r>
              <w:rPr>
                <w:rFonts w:ascii="Sylfaen" w:eastAsia="Sylfaen" w:hAnsi="Sylfaen" w:cs="Sylfaen"/>
                <w:spacing w:val="14"/>
                <w:sz w:val="16"/>
                <w:szCs w:val="18"/>
              </w:rPr>
              <w:t xml:space="preserve"> </w:t>
            </w:r>
            <w:r>
              <w:rPr>
                <w:rFonts w:ascii="Sylfaen" w:eastAsia="Sylfaen" w:hAnsi="Sylfaen" w:cs="Sylfaen"/>
                <w:spacing w:val="-1"/>
                <w:sz w:val="16"/>
                <w:szCs w:val="18"/>
              </w:rPr>
              <w:t>გზისპირა</w:t>
            </w:r>
            <w:r>
              <w:rPr>
                <w:rFonts w:ascii="Sylfaen" w:eastAsia="Sylfaen" w:hAnsi="Sylfaen" w:cs="Sylfaen"/>
                <w:spacing w:val="41"/>
                <w:sz w:val="16"/>
                <w:szCs w:val="18"/>
              </w:rPr>
              <w:t xml:space="preserve"> </w:t>
            </w:r>
            <w:r>
              <w:rPr>
                <w:rFonts w:ascii="Sylfaen" w:eastAsia="Sylfaen" w:hAnsi="Sylfaen" w:cs="Sylfaen"/>
                <w:spacing w:val="-1"/>
                <w:sz w:val="16"/>
                <w:szCs w:val="18"/>
              </w:rPr>
              <w:t>ნაგვის</w:t>
            </w:r>
            <w:r>
              <w:rPr>
                <w:rFonts w:ascii="Sylfaen" w:eastAsia="Sylfaen" w:hAnsi="Sylfaen" w:cs="Sylfaen"/>
                <w:spacing w:val="29"/>
                <w:sz w:val="16"/>
                <w:szCs w:val="18"/>
              </w:rPr>
              <w:t xml:space="preserve"> </w:t>
            </w:r>
            <w:r>
              <w:rPr>
                <w:rFonts w:ascii="Sylfaen" w:eastAsia="Sylfaen" w:hAnsi="Sylfaen" w:cs="Sylfaen"/>
                <w:spacing w:val="-1"/>
                <w:sz w:val="16"/>
                <w:szCs w:val="18"/>
              </w:rPr>
              <w:t>თავიდან</w:t>
            </w:r>
            <w:r>
              <w:rPr>
                <w:rFonts w:ascii="Sylfaen" w:eastAsia="Sylfaen" w:hAnsi="Sylfaen" w:cs="Sylfaen"/>
                <w:spacing w:val="29"/>
                <w:sz w:val="16"/>
                <w:szCs w:val="18"/>
              </w:rPr>
              <w:t xml:space="preserve"> </w:t>
            </w:r>
            <w:r>
              <w:rPr>
                <w:rFonts w:ascii="Sylfaen" w:eastAsia="Sylfaen" w:hAnsi="Sylfaen" w:cs="Sylfaen"/>
                <w:spacing w:val="-1"/>
                <w:sz w:val="16"/>
                <w:szCs w:val="18"/>
              </w:rPr>
              <w:t>აცილების</w:t>
            </w:r>
            <w:r>
              <w:rPr>
                <w:rFonts w:ascii="Sylfaen" w:eastAsia="Sylfaen" w:hAnsi="Sylfaen" w:cs="Sylfaen"/>
                <w:spacing w:val="29"/>
                <w:sz w:val="16"/>
                <w:szCs w:val="18"/>
              </w:rPr>
              <w:t xml:space="preserve"> </w:t>
            </w:r>
            <w:r>
              <w:rPr>
                <w:rFonts w:ascii="Sylfaen" w:eastAsia="Sylfaen" w:hAnsi="Sylfaen" w:cs="Sylfaen"/>
                <w:spacing w:val="-1"/>
                <w:sz w:val="16"/>
                <w:szCs w:val="18"/>
              </w:rPr>
              <w:t>პროგრამის</w:t>
            </w:r>
            <w:r>
              <w:rPr>
                <w:rFonts w:ascii="Sylfaen" w:eastAsia="Sylfaen" w:hAnsi="Sylfaen" w:cs="Sylfaen"/>
                <w:spacing w:val="29"/>
                <w:sz w:val="16"/>
                <w:szCs w:val="18"/>
              </w:rPr>
              <w:t xml:space="preserve"> </w:t>
            </w:r>
            <w:r>
              <w:rPr>
                <w:rFonts w:ascii="Sylfaen" w:eastAsia="Sylfaen" w:hAnsi="Sylfaen" w:cs="Sylfaen"/>
                <w:spacing w:val="-1"/>
                <w:sz w:val="16"/>
                <w:szCs w:val="18"/>
              </w:rPr>
              <w:t>ნაწილი.</w:t>
            </w:r>
            <w:r>
              <w:rPr>
                <w:rFonts w:ascii="Sylfaen" w:eastAsia="Sylfaen" w:hAnsi="Sylfaen" w:cs="Sylfaen"/>
                <w:spacing w:val="57"/>
                <w:sz w:val="16"/>
                <w:szCs w:val="18"/>
              </w:rPr>
              <w:t xml:space="preserve"> </w:t>
            </w:r>
            <w:r>
              <w:rPr>
                <w:rFonts w:ascii="Sylfaen" w:eastAsia="Sylfaen" w:hAnsi="Sylfaen" w:cs="Sylfaen"/>
                <w:spacing w:val="-1"/>
                <w:sz w:val="16"/>
                <w:szCs w:val="18"/>
              </w:rPr>
              <w:t>ინფორმირების</w:t>
            </w:r>
            <w:r>
              <w:rPr>
                <w:rFonts w:ascii="Sylfaen" w:eastAsia="Sylfaen" w:hAnsi="Sylfaen" w:cs="Sylfaen"/>
                <w:spacing w:val="2"/>
                <w:sz w:val="16"/>
                <w:szCs w:val="18"/>
              </w:rPr>
              <w:t xml:space="preserve"> </w:t>
            </w:r>
            <w:r>
              <w:rPr>
                <w:rFonts w:ascii="Sylfaen" w:eastAsia="Sylfaen" w:hAnsi="Sylfaen" w:cs="Sylfaen"/>
                <w:spacing w:val="-1"/>
                <w:sz w:val="16"/>
                <w:szCs w:val="18"/>
              </w:rPr>
              <w:t>პროგრამა</w:t>
            </w:r>
            <w:r>
              <w:rPr>
                <w:rFonts w:ascii="Sylfaen" w:eastAsia="Sylfaen" w:hAnsi="Sylfaen" w:cs="Sylfaen"/>
                <w:spacing w:val="2"/>
                <w:sz w:val="16"/>
                <w:szCs w:val="18"/>
              </w:rPr>
              <w:t xml:space="preserve"> </w:t>
            </w:r>
            <w:r>
              <w:rPr>
                <w:rFonts w:ascii="Sylfaen" w:eastAsia="Sylfaen" w:hAnsi="Sylfaen" w:cs="Sylfaen"/>
                <w:sz w:val="16"/>
                <w:szCs w:val="18"/>
              </w:rPr>
              <w:t>-</w:t>
            </w:r>
            <w:r>
              <w:rPr>
                <w:rFonts w:ascii="Sylfaen" w:eastAsia="Sylfaen" w:hAnsi="Sylfaen" w:cs="Sylfaen"/>
                <w:spacing w:val="3"/>
                <w:sz w:val="16"/>
                <w:szCs w:val="18"/>
              </w:rPr>
              <w:t xml:space="preserve"> </w:t>
            </w:r>
            <w:r>
              <w:rPr>
                <w:rFonts w:ascii="Sylfaen" w:eastAsia="Sylfaen" w:hAnsi="Sylfaen" w:cs="Sylfaen"/>
                <w:spacing w:val="-1"/>
                <w:sz w:val="16"/>
                <w:szCs w:val="18"/>
              </w:rPr>
              <w:t>ინფორმირება</w:t>
            </w:r>
            <w:r>
              <w:rPr>
                <w:rFonts w:ascii="Sylfaen" w:eastAsia="Sylfaen" w:hAnsi="Sylfaen" w:cs="Sylfaen"/>
                <w:spacing w:val="37"/>
                <w:sz w:val="16"/>
                <w:szCs w:val="18"/>
              </w:rPr>
              <w:t xml:space="preserve"> </w:t>
            </w:r>
            <w:r>
              <w:rPr>
                <w:rFonts w:ascii="Sylfaen" w:eastAsia="Sylfaen" w:hAnsi="Sylfaen" w:cs="Sylfaen"/>
                <w:spacing w:val="-1"/>
                <w:sz w:val="16"/>
                <w:szCs w:val="18"/>
              </w:rPr>
              <w:t>ჯარიმების</w:t>
            </w:r>
            <w:r>
              <w:rPr>
                <w:rFonts w:ascii="Sylfaen" w:eastAsia="Sylfaen" w:hAnsi="Sylfaen" w:cs="Sylfaen"/>
                <w:sz w:val="16"/>
                <w:szCs w:val="18"/>
              </w:rPr>
              <w:t xml:space="preserve"> </w:t>
            </w:r>
            <w:r>
              <w:rPr>
                <w:rFonts w:ascii="Sylfaen" w:eastAsia="Sylfaen" w:hAnsi="Sylfaen" w:cs="Sylfaen"/>
                <w:spacing w:val="-1"/>
                <w:sz w:val="16"/>
                <w:szCs w:val="18"/>
              </w:rPr>
              <w:t>შესახებ,</w:t>
            </w:r>
            <w:r>
              <w:rPr>
                <w:rFonts w:ascii="Sylfaen" w:eastAsia="Sylfaen" w:hAnsi="Sylfaen" w:cs="Sylfaen"/>
                <w:spacing w:val="1"/>
                <w:sz w:val="16"/>
                <w:szCs w:val="18"/>
              </w:rPr>
              <w:t xml:space="preserve"> </w:t>
            </w:r>
            <w:r>
              <w:rPr>
                <w:rFonts w:ascii="Sylfaen" w:eastAsia="Sylfaen" w:hAnsi="Sylfaen" w:cs="Sylfaen"/>
                <w:spacing w:val="-1"/>
                <w:sz w:val="16"/>
                <w:szCs w:val="18"/>
              </w:rPr>
              <w:t>სხვ.</w:t>
            </w:r>
          </w:p>
          <w:p w14:paraId="05514878" w14:textId="77777777" w:rsidR="00092B73" w:rsidRDefault="00092B73">
            <w:pPr>
              <w:pStyle w:val="TableParagraph"/>
              <w:spacing w:line="256" w:lineRule="auto"/>
              <w:ind w:left="301" w:right="100"/>
              <w:jc w:val="both"/>
              <w:rPr>
                <w:rFonts w:ascii="Sylfaen" w:eastAsia="Sylfaen" w:hAnsi="Sylfaen" w:cs="Sylfaen"/>
                <w:sz w:val="16"/>
                <w:szCs w:val="18"/>
              </w:rPr>
            </w:pPr>
            <w:r>
              <w:rPr>
                <w:rFonts w:ascii="Sylfaen" w:eastAsia="Sylfaen" w:hAnsi="Sylfaen" w:cs="Sylfaen"/>
                <w:spacing w:val="-1"/>
                <w:sz w:val="16"/>
                <w:szCs w:val="18"/>
              </w:rPr>
              <w:t>ბანერები</w:t>
            </w:r>
            <w:r>
              <w:rPr>
                <w:rFonts w:ascii="Sylfaen" w:eastAsia="Sylfaen" w:hAnsi="Sylfaen" w:cs="Sylfaen"/>
                <w:spacing w:val="8"/>
                <w:sz w:val="16"/>
                <w:szCs w:val="18"/>
              </w:rPr>
              <w:t xml:space="preserve"> </w:t>
            </w:r>
            <w:r>
              <w:rPr>
                <w:rFonts w:ascii="Sylfaen" w:eastAsia="Sylfaen" w:hAnsi="Sylfaen" w:cs="Sylfaen"/>
                <w:spacing w:val="-1"/>
                <w:sz w:val="16"/>
                <w:szCs w:val="18"/>
              </w:rPr>
              <w:t>შეიძლება</w:t>
            </w:r>
            <w:r>
              <w:rPr>
                <w:rFonts w:ascii="Sylfaen" w:eastAsia="Sylfaen" w:hAnsi="Sylfaen" w:cs="Sylfaen"/>
                <w:spacing w:val="7"/>
                <w:sz w:val="16"/>
                <w:szCs w:val="18"/>
              </w:rPr>
              <w:t xml:space="preserve"> </w:t>
            </w:r>
            <w:r>
              <w:rPr>
                <w:rFonts w:ascii="Sylfaen" w:eastAsia="Sylfaen" w:hAnsi="Sylfaen" w:cs="Sylfaen"/>
                <w:spacing w:val="-1"/>
                <w:sz w:val="16"/>
                <w:szCs w:val="18"/>
              </w:rPr>
              <w:t>განთავსდეს</w:t>
            </w:r>
            <w:r>
              <w:rPr>
                <w:rFonts w:ascii="Sylfaen" w:eastAsia="Sylfaen" w:hAnsi="Sylfaen" w:cs="Sylfaen"/>
                <w:spacing w:val="7"/>
                <w:sz w:val="16"/>
                <w:szCs w:val="18"/>
              </w:rPr>
              <w:t xml:space="preserve"> </w:t>
            </w:r>
            <w:r>
              <w:rPr>
                <w:rFonts w:ascii="Sylfaen" w:eastAsia="Sylfaen" w:hAnsi="Sylfaen" w:cs="Sylfaen"/>
                <w:spacing w:val="-1"/>
                <w:sz w:val="16"/>
                <w:szCs w:val="18"/>
              </w:rPr>
              <w:t>ყოველ</w:t>
            </w:r>
            <w:r>
              <w:rPr>
                <w:rFonts w:ascii="Sylfaen" w:eastAsia="Sylfaen" w:hAnsi="Sylfaen" w:cs="Sylfaen"/>
                <w:spacing w:val="8"/>
                <w:sz w:val="16"/>
                <w:szCs w:val="18"/>
              </w:rPr>
              <w:t xml:space="preserve"> </w:t>
            </w:r>
            <w:r>
              <w:rPr>
                <w:rFonts w:ascii="Sylfaen" w:eastAsia="Sylfaen" w:hAnsi="Sylfaen" w:cs="Sylfaen"/>
                <w:spacing w:val="-1"/>
                <w:sz w:val="16"/>
                <w:szCs w:val="18"/>
              </w:rPr>
              <w:t>10კმ-ზე.</w:t>
            </w:r>
            <w:r>
              <w:rPr>
                <w:rFonts w:ascii="Sylfaen" w:eastAsia="Sylfaen" w:hAnsi="Sylfaen" w:cs="Sylfaen"/>
                <w:spacing w:val="33"/>
                <w:sz w:val="16"/>
                <w:szCs w:val="18"/>
              </w:rPr>
              <w:t xml:space="preserve"> </w:t>
            </w:r>
            <w:r>
              <w:rPr>
                <w:rFonts w:ascii="Sylfaen" w:eastAsia="Sylfaen" w:hAnsi="Sylfaen" w:cs="Sylfaen"/>
                <w:sz w:val="16"/>
                <w:szCs w:val="18"/>
              </w:rPr>
              <w:t>თითო</w:t>
            </w:r>
            <w:r>
              <w:rPr>
                <w:rFonts w:ascii="Sylfaen" w:eastAsia="Sylfaen" w:hAnsi="Sylfaen" w:cs="Sylfaen"/>
                <w:spacing w:val="39"/>
                <w:sz w:val="16"/>
                <w:szCs w:val="18"/>
              </w:rPr>
              <w:t xml:space="preserve"> </w:t>
            </w:r>
            <w:r>
              <w:rPr>
                <w:rFonts w:ascii="Sylfaen" w:eastAsia="Sylfaen" w:hAnsi="Sylfaen" w:cs="Sylfaen"/>
                <w:spacing w:val="-1"/>
                <w:sz w:val="16"/>
                <w:szCs w:val="18"/>
              </w:rPr>
              <w:t>უბანზე</w:t>
            </w:r>
            <w:r>
              <w:rPr>
                <w:rFonts w:ascii="Sylfaen" w:eastAsia="Sylfaen" w:hAnsi="Sylfaen" w:cs="Sylfaen"/>
                <w:spacing w:val="38"/>
                <w:sz w:val="16"/>
                <w:szCs w:val="18"/>
              </w:rPr>
              <w:t xml:space="preserve"> </w:t>
            </w:r>
            <w:r>
              <w:rPr>
                <w:rFonts w:ascii="Sylfaen" w:eastAsia="Sylfaen" w:hAnsi="Sylfaen" w:cs="Sylfaen"/>
                <w:sz w:val="16"/>
                <w:szCs w:val="18"/>
              </w:rPr>
              <w:t>-</w:t>
            </w:r>
            <w:r>
              <w:rPr>
                <w:rFonts w:ascii="Sylfaen" w:eastAsia="Sylfaen" w:hAnsi="Sylfaen" w:cs="Sylfaen"/>
                <w:spacing w:val="40"/>
                <w:sz w:val="16"/>
                <w:szCs w:val="18"/>
              </w:rPr>
              <w:t xml:space="preserve"> </w:t>
            </w:r>
            <w:r>
              <w:rPr>
                <w:rFonts w:ascii="Sylfaen" w:eastAsia="Sylfaen" w:hAnsi="Sylfaen" w:cs="Sylfaen"/>
                <w:sz w:val="16"/>
                <w:szCs w:val="18"/>
              </w:rPr>
              <w:t>2</w:t>
            </w:r>
            <w:r>
              <w:rPr>
                <w:rFonts w:ascii="Sylfaen" w:eastAsia="Sylfaen" w:hAnsi="Sylfaen" w:cs="Sylfaen"/>
                <w:spacing w:val="40"/>
                <w:sz w:val="16"/>
                <w:szCs w:val="18"/>
              </w:rPr>
              <w:t xml:space="preserve"> </w:t>
            </w:r>
            <w:r>
              <w:rPr>
                <w:rFonts w:ascii="Sylfaen" w:eastAsia="Sylfaen" w:hAnsi="Sylfaen" w:cs="Sylfaen"/>
                <w:sz w:val="16"/>
                <w:szCs w:val="18"/>
              </w:rPr>
              <w:t>ან</w:t>
            </w:r>
            <w:r>
              <w:rPr>
                <w:rFonts w:ascii="Sylfaen" w:eastAsia="Sylfaen" w:hAnsi="Sylfaen" w:cs="Sylfaen"/>
                <w:spacing w:val="39"/>
                <w:sz w:val="16"/>
                <w:szCs w:val="18"/>
              </w:rPr>
              <w:t xml:space="preserve"> </w:t>
            </w:r>
            <w:r>
              <w:rPr>
                <w:rFonts w:ascii="Sylfaen" w:eastAsia="Sylfaen" w:hAnsi="Sylfaen" w:cs="Sylfaen"/>
                <w:sz w:val="16"/>
                <w:szCs w:val="18"/>
              </w:rPr>
              <w:t>4</w:t>
            </w:r>
            <w:r>
              <w:rPr>
                <w:rFonts w:ascii="Sylfaen" w:eastAsia="Sylfaen" w:hAnsi="Sylfaen" w:cs="Sylfaen"/>
                <w:spacing w:val="40"/>
                <w:sz w:val="16"/>
                <w:szCs w:val="18"/>
              </w:rPr>
              <w:t xml:space="preserve"> </w:t>
            </w:r>
            <w:r>
              <w:rPr>
                <w:rFonts w:ascii="Sylfaen" w:eastAsia="Sylfaen" w:hAnsi="Sylfaen" w:cs="Sylfaen"/>
                <w:sz w:val="16"/>
                <w:szCs w:val="18"/>
              </w:rPr>
              <w:t>ცალი.</w:t>
            </w:r>
            <w:r>
              <w:rPr>
                <w:rFonts w:ascii="Sylfaen" w:eastAsia="Sylfaen" w:hAnsi="Sylfaen" w:cs="Sylfaen"/>
                <w:spacing w:val="40"/>
                <w:sz w:val="16"/>
                <w:szCs w:val="18"/>
              </w:rPr>
              <w:t xml:space="preserve"> </w:t>
            </w:r>
            <w:r>
              <w:rPr>
                <w:rFonts w:ascii="Sylfaen" w:eastAsia="Sylfaen" w:hAnsi="Sylfaen" w:cs="Sylfaen"/>
                <w:spacing w:val="-1"/>
                <w:sz w:val="16"/>
                <w:szCs w:val="18"/>
              </w:rPr>
              <w:t>ინფორმაცია</w:t>
            </w:r>
            <w:r>
              <w:rPr>
                <w:rFonts w:ascii="Sylfaen" w:eastAsia="Sylfaen" w:hAnsi="Sylfaen" w:cs="Sylfaen"/>
                <w:spacing w:val="25"/>
                <w:sz w:val="16"/>
                <w:szCs w:val="18"/>
              </w:rPr>
              <w:t xml:space="preserve"> </w:t>
            </w:r>
            <w:r>
              <w:rPr>
                <w:rFonts w:ascii="Sylfaen" w:eastAsia="Sylfaen" w:hAnsi="Sylfaen" w:cs="Sylfaen"/>
                <w:spacing w:val="-1"/>
                <w:sz w:val="16"/>
                <w:szCs w:val="18"/>
              </w:rPr>
              <w:t>მიწოდებული</w:t>
            </w:r>
            <w:r>
              <w:rPr>
                <w:rFonts w:ascii="Sylfaen" w:eastAsia="Sylfaen" w:hAnsi="Sylfaen" w:cs="Sylfaen"/>
                <w:sz w:val="16"/>
                <w:szCs w:val="18"/>
              </w:rPr>
              <w:t xml:space="preserve"> </w:t>
            </w:r>
            <w:r>
              <w:rPr>
                <w:rFonts w:ascii="Sylfaen" w:eastAsia="Sylfaen" w:hAnsi="Sylfaen" w:cs="Sylfaen"/>
                <w:spacing w:val="-1"/>
                <w:sz w:val="16"/>
                <w:szCs w:val="18"/>
              </w:rPr>
              <w:t>უნდა</w:t>
            </w:r>
            <w:r>
              <w:rPr>
                <w:rFonts w:ascii="Sylfaen" w:eastAsia="Sylfaen" w:hAnsi="Sylfaen" w:cs="Sylfaen"/>
                <w:sz w:val="16"/>
                <w:szCs w:val="18"/>
              </w:rPr>
              <w:t xml:space="preserve"> </w:t>
            </w:r>
            <w:r>
              <w:rPr>
                <w:rFonts w:ascii="Sylfaen" w:eastAsia="Sylfaen" w:hAnsi="Sylfaen" w:cs="Sylfaen"/>
                <w:spacing w:val="-1"/>
                <w:sz w:val="16"/>
                <w:szCs w:val="18"/>
              </w:rPr>
              <w:t>იყოს</w:t>
            </w:r>
            <w:r>
              <w:rPr>
                <w:rFonts w:ascii="Sylfaen" w:eastAsia="Sylfaen" w:hAnsi="Sylfaen" w:cs="Sylfaen"/>
                <w:sz w:val="16"/>
                <w:szCs w:val="18"/>
              </w:rPr>
              <w:t xml:space="preserve"> </w:t>
            </w:r>
            <w:r>
              <w:rPr>
                <w:rFonts w:ascii="Sylfaen" w:eastAsia="Sylfaen" w:hAnsi="Sylfaen" w:cs="Sylfaen"/>
                <w:spacing w:val="-1"/>
                <w:sz w:val="16"/>
                <w:szCs w:val="18"/>
              </w:rPr>
              <w:t>სხვადასხვა</w:t>
            </w:r>
            <w:r>
              <w:rPr>
                <w:rFonts w:ascii="Sylfaen" w:eastAsia="Sylfaen" w:hAnsi="Sylfaen" w:cs="Sylfaen"/>
                <w:sz w:val="16"/>
                <w:szCs w:val="18"/>
              </w:rPr>
              <w:t xml:space="preserve"> </w:t>
            </w:r>
            <w:r>
              <w:rPr>
                <w:rFonts w:ascii="Sylfaen" w:eastAsia="Sylfaen" w:hAnsi="Sylfaen" w:cs="Sylfaen"/>
                <w:spacing w:val="-1"/>
                <w:sz w:val="16"/>
                <w:szCs w:val="18"/>
              </w:rPr>
              <w:t>ტექსტით.</w:t>
            </w:r>
          </w:p>
          <w:p w14:paraId="1A55D4D3" w14:textId="77777777" w:rsidR="00092B73" w:rsidRDefault="00092B73">
            <w:pPr>
              <w:pStyle w:val="TableParagraph"/>
              <w:tabs>
                <w:tab w:val="left" w:pos="1520"/>
                <w:tab w:val="left" w:pos="2878"/>
              </w:tabs>
              <w:spacing w:line="256" w:lineRule="auto"/>
              <w:ind w:left="102"/>
              <w:rPr>
                <w:rFonts w:ascii="Symbol" w:eastAsia="Symbol" w:hAnsi="Symbol" w:cs="Symbol"/>
                <w:sz w:val="16"/>
                <w:szCs w:val="18"/>
              </w:rPr>
            </w:pPr>
            <w:r>
              <w:rPr>
                <w:rFonts w:ascii="Symbol" w:eastAsia="Symbol" w:hAnsi="Symbol" w:cs="Symbol"/>
                <w:sz w:val="16"/>
                <w:szCs w:val="18"/>
              </w:rPr>
              <w:t></w:t>
            </w:r>
            <w:r>
              <w:rPr>
                <w:rFonts w:ascii="Symbol" w:eastAsia="Symbol" w:hAnsi="Symbol" w:cs="Symbol"/>
                <w:spacing w:val="13"/>
                <w:sz w:val="16"/>
                <w:szCs w:val="18"/>
              </w:rPr>
              <w:t></w:t>
            </w:r>
            <w:r>
              <w:rPr>
                <w:rFonts w:ascii="Sylfaen" w:eastAsia="Sylfaen" w:hAnsi="Sylfaen" w:cs="Sylfaen"/>
                <w:spacing w:val="-1"/>
                <w:sz w:val="16"/>
                <w:szCs w:val="18"/>
              </w:rPr>
              <w:t>დასუფთავება</w:t>
            </w:r>
          </w:p>
        </w:tc>
        <w:tc>
          <w:tcPr>
            <w:tcW w:w="1973" w:type="dxa"/>
            <w:tcBorders>
              <w:top w:val="single" w:sz="6" w:space="0" w:color="000000"/>
              <w:left w:val="single" w:sz="6" w:space="0" w:color="000000"/>
              <w:bottom w:val="single" w:sz="6" w:space="0" w:color="000000"/>
              <w:right w:val="single" w:sz="6" w:space="0" w:color="000000"/>
            </w:tcBorders>
            <w:hideMark/>
          </w:tcPr>
          <w:p w14:paraId="69D26317" w14:textId="77777777" w:rsidR="00092B73" w:rsidRDefault="00092B73">
            <w:pPr>
              <w:pStyle w:val="TableParagraph"/>
              <w:spacing w:line="256" w:lineRule="auto"/>
              <w:ind w:left="99"/>
              <w:rPr>
                <w:rFonts w:ascii="Sylfaen" w:eastAsia="Sylfaen" w:hAnsi="Sylfaen" w:cs="Sylfaen"/>
                <w:spacing w:val="-1"/>
                <w:sz w:val="16"/>
                <w:szCs w:val="18"/>
              </w:rPr>
            </w:pPr>
            <w:r>
              <w:rPr>
                <w:rFonts w:ascii="Sylfaen" w:eastAsia="Sylfaen" w:hAnsi="Sylfaen" w:cs="Sylfaen"/>
                <w:spacing w:val="-1"/>
                <w:sz w:val="16"/>
                <w:szCs w:val="18"/>
              </w:rPr>
              <w:t>დამატებით</w:t>
            </w:r>
            <w:r>
              <w:rPr>
                <w:rFonts w:ascii="Sylfaen" w:eastAsia="Sylfaen" w:hAnsi="Sylfaen" w:cs="Sylfaen"/>
                <w:spacing w:val="25"/>
                <w:sz w:val="16"/>
                <w:szCs w:val="18"/>
              </w:rPr>
              <w:t xml:space="preserve"> </w:t>
            </w:r>
            <w:r>
              <w:rPr>
                <w:rFonts w:ascii="Sylfaen" w:eastAsia="Sylfaen" w:hAnsi="Sylfaen" w:cs="Sylfaen"/>
                <w:spacing w:val="-1"/>
                <w:sz w:val="16"/>
                <w:szCs w:val="18"/>
              </w:rPr>
              <w:t>ხარჯებს</w:t>
            </w:r>
            <w:r>
              <w:rPr>
                <w:rFonts w:ascii="Sylfaen" w:eastAsia="Sylfaen" w:hAnsi="Sylfaen" w:cs="Sylfaen"/>
                <w:sz w:val="16"/>
                <w:szCs w:val="18"/>
              </w:rPr>
              <w:t xml:space="preserve"> არ</w:t>
            </w:r>
            <w:r>
              <w:rPr>
                <w:rFonts w:ascii="Sylfaen" w:eastAsia="Sylfaen" w:hAnsi="Sylfaen" w:cs="Sylfaen"/>
                <w:spacing w:val="26"/>
                <w:sz w:val="16"/>
                <w:szCs w:val="18"/>
              </w:rPr>
              <w:t xml:space="preserve"> </w:t>
            </w:r>
            <w:r>
              <w:rPr>
                <w:rFonts w:ascii="Sylfaen" w:eastAsia="Sylfaen" w:hAnsi="Sylfaen" w:cs="Sylfaen"/>
                <w:spacing w:val="-1"/>
                <w:sz w:val="16"/>
                <w:szCs w:val="18"/>
              </w:rPr>
              <w:t>მოითხოვს</w:t>
            </w:r>
            <w:r>
              <w:rPr>
                <w:rFonts w:ascii="Sylfaen" w:eastAsia="Sylfaen" w:hAnsi="Sylfaen" w:cs="Sylfaen"/>
                <w:sz w:val="16"/>
                <w:szCs w:val="18"/>
              </w:rPr>
              <w:t xml:space="preserve"> -</w:t>
            </w:r>
            <w:r>
              <w:rPr>
                <w:rFonts w:ascii="Sylfaen" w:eastAsia="Sylfaen" w:hAnsi="Sylfaen" w:cs="Sylfaen"/>
                <w:spacing w:val="27"/>
                <w:sz w:val="16"/>
                <w:szCs w:val="18"/>
              </w:rPr>
              <w:t xml:space="preserve"> </w:t>
            </w:r>
            <w:r>
              <w:rPr>
                <w:rFonts w:ascii="Sylfaen" w:eastAsia="Sylfaen" w:hAnsi="Sylfaen" w:cs="Sylfaen"/>
                <w:spacing w:val="-1"/>
                <w:sz w:val="16"/>
                <w:szCs w:val="18"/>
              </w:rPr>
              <w:t>განსაზღვრუ</w:t>
            </w:r>
            <w:r>
              <w:rPr>
                <w:rFonts w:ascii="Sylfaen" w:eastAsia="Sylfaen" w:hAnsi="Sylfaen" w:cs="Sylfaen"/>
                <w:spacing w:val="25"/>
                <w:sz w:val="16"/>
                <w:szCs w:val="18"/>
              </w:rPr>
              <w:t xml:space="preserve"> </w:t>
            </w:r>
            <w:r>
              <w:rPr>
                <w:rFonts w:ascii="Sylfaen" w:eastAsia="Sylfaen" w:hAnsi="Sylfaen" w:cs="Sylfaen"/>
                <w:sz w:val="16"/>
                <w:szCs w:val="18"/>
              </w:rPr>
              <w:t xml:space="preserve">ლია </w:t>
            </w:r>
            <w:r>
              <w:rPr>
                <w:rFonts w:ascii="Sylfaen" w:eastAsia="Sylfaen" w:hAnsi="Sylfaen" w:cs="Sylfaen"/>
                <w:spacing w:val="-1"/>
                <w:sz w:val="16"/>
                <w:szCs w:val="18"/>
              </w:rPr>
              <w:t>შესაბამის</w:t>
            </w:r>
            <w:r>
              <w:rPr>
                <w:rFonts w:ascii="Sylfaen" w:eastAsia="Sylfaen" w:hAnsi="Sylfaen" w:cs="Sylfaen"/>
                <w:spacing w:val="24"/>
                <w:sz w:val="16"/>
                <w:szCs w:val="18"/>
              </w:rPr>
              <w:t xml:space="preserve"> </w:t>
            </w:r>
            <w:r>
              <w:rPr>
                <w:rFonts w:ascii="Sylfaen" w:eastAsia="Sylfaen" w:hAnsi="Sylfaen" w:cs="Sylfaen"/>
                <w:spacing w:val="-1"/>
                <w:sz w:val="16"/>
                <w:szCs w:val="18"/>
              </w:rPr>
              <w:t>კომპანიასთან</w:t>
            </w:r>
            <w:r>
              <w:rPr>
                <w:rFonts w:ascii="Sylfaen" w:eastAsia="Sylfaen" w:hAnsi="Sylfaen" w:cs="Sylfaen"/>
                <w:spacing w:val="29"/>
                <w:sz w:val="16"/>
                <w:szCs w:val="18"/>
              </w:rPr>
              <w:t xml:space="preserve"> </w:t>
            </w:r>
            <w:r>
              <w:rPr>
                <w:rFonts w:ascii="Sylfaen" w:eastAsia="Sylfaen" w:hAnsi="Sylfaen" w:cs="Sylfaen"/>
                <w:spacing w:val="-1"/>
                <w:sz w:val="16"/>
                <w:szCs w:val="18"/>
              </w:rPr>
              <w:t>დადებული</w:t>
            </w:r>
            <w:r>
              <w:rPr>
                <w:rFonts w:ascii="Sylfaen" w:eastAsia="Sylfaen" w:hAnsi="Sylfaen" w:cs="Sylfaen"/>
                <w:spacing w:val="23"/>
                <w:sz w:val="16"/>
                <w:szCs w:val="18"/>
              </w:rPr>
              <w:t xml:space="preserve"> </w:t>
            </w:r>
            <w:r>
              <w:rPr>
                <w:rFonts w:ascii="Sylfaen" w:eastAsia="Sylfaen" w:hAnsi="Sylfaen" w:cs="Sylfaen"/>
                <w:spacing w:val="-1"/>
                <w:sz w:val="16"/>
                <w:szCs w:val="18"/>
              </w:rPr>
              <w:t>ხელშეკრულე</w:t>
            </w:r>
            <w:r>
              <w:rPr>
                <w:rFonts w:ascii="Sylfaen" w:eastAsia="Sylfaen" w:hAnsi="Sylfaen" w:cs="Sylfaen"/>
                <w:spacing w:val="25"/>
                <w:sz w:val="16"/>
                <w:szCs w:val="18"/>
              </w:rPr>
              <w:t xml:space="preserve"> </w:t>
            </w:r>
            <w:r>
              <w:rPr>
                <w:rFonts w:ascii="Sylfaen" w:eastAsia="Sylfaen" w:hAnsi="Sylfaen" w:cs="Sylfaen"/>
                <w:sz w:val="16"/>
                <w:szCs w:val="18"/>
              </w:rPr>
              <w:t xml:space="preserve">ბის </w:t>
            </w:r>
            <w:r>
              <w:rPr>
                <w:rFonts w:ascii="Sylfaen" w:eastAsia="Sylfaen" w:hAnsi="Sylfaen" w:cs="Sylfaen"/>
                <w:spacing w:val="-1"/>
                <w:sz w:val="16"/>
                <w:szCs w:val="18"/>
              </w:rPr>
              <w:t>პირობებში</w:t>
            </w:r>
          </w:p>
        </w:tc>
        <w:tc>
          <w:tcPr>
            <w:tcW w:w="2268" w:type="dxa"/>
            <w:tcBorders>
              <w:top w:val="single" w:sz="6" w:space="0" w:color="000000"/>
              <w:left w:val="single" w:sz="6" w:space="0" w:color="000000"/>
              <w:bottom w:val="single" w:sz="6" w:space="0" w:color="000000"/>
              <w:right w:val="single" w:sz="6" w:space="0" w:color="000000"/>
            </w:tcBorders>
            <w:hideMark/>
          </w:tcPr>
          <w:p w14:paraId="47304B49" w14:textId="77777777" w:rsidR="00092B73" w:rsidRDefault="00092B73">
            <w:pPr>
              <w:pStyle w:val="TableParagraph"/>
              <w:spacing w:line="256" w:lineRule="auto"/>
              <w:ind w:left="102"/>
              <w:rPr>
                <w:rFonts w:ascii="Sylfaen" w:eastAsia="Sylfaen" w:hAnsi="Sylfaen" w:cs="Sylfaen"/>
                <w:sz w:val="16"/>
                <w:szCs w:val="18"/>
                <w:lang w:val="ka-GE"/>
              </w:rPr>
            </w:pPr>
            <w:r>
              <w:rPr>
                <w:rFonts w:ascii="Sylfaen" w:eastAsia="Sylfaen" w:hAnsi="Sylfaen" w:cs="Sylfaen"/>
                <w:spacing w:val="-1"/>
                <w:sz w:val="16"/>
                <w:szCs w:val="18"/>
                <w:lang w:val="ka-GE"/>
              </w:rPr>
              <w:t>მოვლა-პატრონობისთვის შერჩეული კონტრაქტორი</w:t>
            </w:r>
          </w:p>
        </w:tc>
        <w:tc>
          <w:tcPr>
            <w:tcW w:w="1519" w:type="dxa"/>
            <w:tcBorders>
              <w:top w:val="single" w:sz="6" w:space="0" w:color="000000"/>
              <w:left w:val="single" w:sz="6" w:space="0" w:color="000000"/>
              <w:bottom w:val="single" w:sz="6" w:space="0" w:color="000000"/>
              <w:right w:val="single" w:sz="6" w:space="0" w:color="000000"/>
            </w:tcBorders>
            <w:hideMark/>
          </w:tcPr>
          <w:p w14:paraId="22C518DF" w14:textId="77777777" w:rsidR="00092B73" w:rsidRDefault="00092B73">
            <w:pPr>
              <w:pStyle w:val="TableParagraph"/>
              <w:spacing w:line="256" w:lineRule="auto"/>
              <w:ind w:left="102" w:right="423"/>
              <w:rPr>
                <w:rFonts w:ascii="Sylfaen" w:eastAsia="Sylfaen" w:hAnsi="Sylfaen" w:cs="Sylfaen"/>
                <w:sz w:val="16"/>
                <w:szCs w:val="18"/>
                <w:lang w:val="ka-GE"/>
              </w:rPr>
            </w:pPr>
            <w:r>
              <w:rPr>
                <w:rFonts w:ascii="Sylfaen" w:eastAsia="Sylfaen" w:hAnsi="Sylfaen" w:cs="Sylfaen"/>
                <w:sz w:val="16"/>
                <w:szCs w:val="18"/>
                <w:lang w:val="ka-GE"/>
              </w:rPr>
              <w:t>საგზაო დეპარტემენტი</w:t>
            </w:r>
          </w:p>
        </w:tc>
      </w:tr>
      <w:tr w:rsidR="00092B73" w14:paraId="6F95ABF3" w14:textId="77777777" w:rsidTr="00C6605E">
        <w:trPr>
          <w:trHeight w:val="2283"/>
        </w:trPr>
        <w:tc>
          <w:tcPr>
            <w:tcW w:w="2070" w:type="dxa"/>
            <w:tcBorders>
              <w:top w:val="single" w:sz="6" w:space="0" w:color="000000"/>
              <w:left w:val="single" w:sz="6" w:space="0" w:color="000000"/>
              <w:bottom w:val="single" w:sz="6" w:space="0" w:color="000000"/>
              <w:right w:val="single" w:sz="6" w:space="0" w:color="000000"/>
            </w:tcBorders>
            <w:hideMark/>
          </w:tcPr>
          <w:p w14:paraId="0D05717B"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მწვანე</w:t>
            </w:r>
          </w:p>
          <w:p w14:paraId="24DF245F"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ბუფერული</w:t>
            </w:r>
          </w:p>
          <w:p w14:paraId="1F831C31" w14:textId="77777777" w:rsidR="00092B73" w:rsidRDefault="00092B73">
            <w:pPr>
              <w:pStyle w:val="TableParagraph"/>
              <w:spacing w:line="256" w:lineRule="auto"/>
              <w:ind w:left="102"/>
              <w:rPr>
                <w:rFonts w:ascii="Sylfaen" w:eastAsia="Sylfaen" w:hAnsi="Sylfaen" w:cs="Sylfaen"/>
                <w:spacing w:val="-1"/>
                <w:sz w:val="16"/>
                <w:szCs w:val="18"/>
              </w:rPr>
            </w:pPr>
            <w:r>
              <w:rPr>
                <w:rFonts w:ascii="Sylfaen" w:eastAsia="Sylfaen" w:hAnsi="Sylfaen" w:cs="Sylfaen"/>
                <w:spacing w:val="-1"/>
                <w:sz w:val="16"/>
                <w:szCs w:val="18"/>
              </w:rPr>
              <w:t>ზოლის</w:t>
            </w:r>
            <w:r>
              <w:rPr>
                <w:rFonts w:ascii="Sylfaen" w:eastAsia="Sylfaen" w:hAnsi="Sylfaen" w:cs="Sylfaen"/>
                <w:spacing w:val="24"/>
                <w:sz w:val="16"/>
                <w:szCs w:val="18"/>
              </w:rPr>
              <w:t xml:space="preserve"> </w:t>
            </w:r>
            <w:r>
              <w:rPr>
                <w:rFonts w:ascii="Sylfaen" w:eastAsia="Sylfaen" w:hAnsi="Sylfaen" w:cs="Sylfaen"/>
                <w:spacing w:val="-1"/>
                <w:sz w:val="16"/>
                <w:szCs w:val="18"/>
              </w:rPr>
              <w:t>მდგომარეობა</w:t>
            </w:r>
          </w:p>
        </w:tc>
        <w:tc>
          <w:tcPr>
            <w:tcW w:w="1841" w:type="dxa"/>
            <w:tcBorders>
              <w:top w:val="single" w:sz="6" w:space="0" w:color="000000"/>
              <w:left w:val="single" w:sz="6" w:space="0" w:color="000000"/>
              <w:bottom w:val="single" w:sz="6" w:space="0" w:color="000000"/>
              <w:right w:val="single" w:sz="6" w:space="0" w:color="000000"/>
            </w:tcBorders>
            <w:hideMark/>
          </w:tcPr>
          <w:p w14:paraId="03DD48D0"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ზემოქმედება</w:t>
            </w:r>
          </w:p>
          <w:p w14:paraId="5B3F1234"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მცენარეულ</w:t>
            </w:r>
          </w:p>
          <w:p w14:paraId="1DAA290A"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საფარზე</w:t>
            </w:r>
          </w:p>
          <w:p w14:paraId="23F51770"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ცხოველების</w:t>
            </w:r>
          </w:p>
          <w:p w14:paraId="0C90DD03"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დაღუპვა</w:t>
            </w:r>
            <w:r>
              <w:rPr>
                <w:rFonts w:ascii="Sylfaen" w:eastAsia="Sylfaen" w:hAnsi="Sylfaen" w:cs="Sylfaen"/>
                <w:spacing w:val="-2"/>
                <w:sz w:val="16"/>
                <w:szCs w:val="18"/>
              </w:rPr>
              <w:t xml:space="preserve"> </w:t>
            </w:r>
            <w:r>
              <w:rPr>
                <w:rFonts w:ascii="Sylfaen" w:eastAsia="Sylfaen" w:hAnsi="Sylfaen" w:cs="Sylfaen"/>
                <w:spacing w:val="-1"/>
                <w:sz w:val="16"/>
                <w:szCs w:val="18"/>
              </w:rPr>
              <w:t>საგზაო</w:t>
            </w:r>
          </w:p>
          <w:p w14:paraId="2C7B6DD8" w14:textId="77777777" w:rsidR="00092B73" w:rsidRDefault="00092B73">
            <w:pPr>
              <w:pStyle w:val="TableParagraph"/>
              <w:spacing w:line="256" w:lineRule="auto"/>
              <w:ind w:left="102"/>
              <w:rPr>
                <w:rFonts w:ascii="Sylfaen" w:eastAsia="Sylfaen" w:hAnsi="Sylfaen" w:cs="Sylfaen"/>
                <w:spacing w:val="-1"/>
                <w:sz w:val="16"/>
                <w:szCs w:val="18"/>
              </w:rPr>
            </w:pPr>
            <w:r>
              <w:rPr>
                <w:rFonts w:ascii="Sylfaen" w:eastAsia="Sylfaen" w:hAnsi="Sylfaen" w:cs="Sylfaen"/>
                <w:spacing w:val="-1"/>
                <w:sz w:val="16"/>
                <w:szCs w:val="18"/>
              </w:rPr>
              <w:t>ავარიების</w:t>
            </w:r>
            <w:r>
              <w:rPr>
                <w:rFonts w:ascii="Sylfaen" w:eastAsia="Sylfaen" w:hAnsi="Sylfaen" w:cs="Sylfaen"/>
                <w:sz w:val="16"/>
                <w:szCs w:val="18"/>
              </w:rPr>
              <w:t xml:space="preserve"> </w:t>
            </w:r>
            <w:r>
              <w:rPr>
                <w:rFonts w:ascii="Sylfaen" w:eastAsia="Sylfaen" w:hAnsi="Sylfaen" w:cs="Sylfaen"/>
                <w:spacing w:val="-1"/>
                <w:sz w:val="16"/>
                <w:szCs w:val="18"/>
              </w:rPr>
              <w:t>გამო</w:t>
            </w:r>
          </w:p>
        </w:tc>
        <w:tc>
          <w:tcPr>
            <w:tcW w:w="6065" w:type="dxa"/>
            <w:gridSpan w:val="2"/>
            <w:tcBorders>
              <w:top w:val="single" w:sz="6" w:space="0" w:color="000000"/>
              <w:left w:val="single" w:sz="6" w:space="0" w:color="000000"/>
              <w:bottom w:val="single" w:sz="6" w:space="0" w:color="000000"/>
              <w:right w:val="single" w:sz="6" w:space="0" w:color="000000"/>
            </w:tcBorders>
            <w:hideMark/>
          </w:tcPr>
          <w:p w14:paraId="1631C253" w14:textId="77777777" w:rsidR="00092B73" w:rsidRDefault="00092B73">
            <w:pPr>
              <w:pStyle w:val="TableParagraph"/>
              <w:tabs>
                <w:tab w:val="left" w:pos="1736"/>
                <w:tab w:val="left" w:pos="2981"/>
                <w:tab w:val="left" w:pos="4051"/>
              </w:tabs>
              <w:spacing w:line="256" w:lineRule="auto"/>
              <w:ind w:left="102"/>
              <w:rPr>
                <w:rFonts w:ascii="Sylfaen" w:eastAsia="Sylfaen" w:hAnsi="Sylfaen" w:cs="Sylfaen"/>
                <w:sz w:val="16"/>
                <w:szCs w:val="18"/>
              </w:rPr>
            </w:pPr>
            <w:r>
              <w:rPr>
                <w:rFonts w:ascii="Symbol" w:eastAsia="Symbol" w:hAnsi="Symbol" w:cs="Symbol"/>
                <w:sz w:val="16"/>
                <w:szCs w:val="18"/>
              </w:rPr>
              <w:t></w:t>
            </w:r>
            <w:r>
              <w:rPr>
                <w:rFonts w:ascii="Symbol" w:eastAsia="Symbol" w:hAnsi="Symbol" w:cs="Symbol"/>
                <w:sz w:val="16"/>
                <w:szCs w:val="18"/>
              </w:rPr>
              <w:t></w:t>
            </w:r>
            <w:r>
              <w:rPr>
                <w:rFonts w:ascii="Symbol" w:eastAsia="Symbol" w:hAnsi="Symbol" w:cs="Symbol"/>
                <w:spacing w:val="26"/>
                <w:sz w:val="16"/>
                <w:szCs w:val="18"/>
              </w:rPr>
              <w:t></w:t>
            </w:r>
            <w:r>
              <w:rPr>
                <w:rFonts w:ascii="Sylfaen" w:eastAsia="Sylfaen" w:hAnsi="Sylfaen" w:cs="Sylfaen"/>
                <w:spacing w:val="-1"/>
                <w:sz w:val="16"/>
                <w:szCs w:val="18"/>
              </w:rPr>
              <w:t>დაზიანებული</w:t>
            </w:r>
            <w:r>
              <w:rPr>
                <w:rFonts w:ascii="Sylfaen" w:eastAsia="Sylfaen" w:hAnsi="Sylfaen" w:cs="Sylfaen"/>
                <w:spacing w:val="-1"/>
                <w:sz w:val="16"/>
                <w:szCs w:val="18"/>
              </w:rPr>
              <w:tab/>
              <w:t>მცენარეების</w:t>
            </w:r>
            <w:r>
              <w:rPr>
                <w:rFonts w:ascii="Sylfaen" w:eastAsia="Sylfaen" w:hAnsi="Sylfaen" w:cs="Sylfaen"/>
                <w:spacing w:val="-1"/>
                <w:sz w:val="16"/>
                <w:szCs w:val="18"/>
              </w:rPr>
              <w:tab/>
            </w:r>
            <w:r>
              <w:rPr>
                <w:rFonts w:ascii="Sylfaen" w:eastAsia="Sylfaen" w:hAnsi="Sylfaen" w:cs="Sylfaen"/>
                <w:spacing w:val="-1"/>
                <w:w w:val="95"/>
                <w:sz w:val="16"/>
                <w:szCs w:val="18"/>
              </w:rPr>
              <w:t>მოცილება</w:t>
            </w:r>
            <w:r>
              <w:rPr>
                <w:rFonts w:ascii="Sylfaen" w:eastAsia="Sylfaen" w:hAnsi="Sylfaen" w:cs="Sylfaen"/>
                <w:spacing w:val="-1"/>
                <w:w w:val="95"/>
                <w:sz w:val="16"/>
                <w:szCs w:val="18"/>
              </w:rPr>
              <w:tab/>
            </w:r>
            <w:r>
              <w:rPr>
                <w:rFonts w:ascii="Sylfaen" w:eastAsia="Sylfaen" w:hAnsi="Sylfaen" w:cs="Sylfaen"/>
                <w:spacing w:val="-1"/>
                <w:sz w:val="16"/>
                <w:szCs w:val="18"/>
              </w:rPr>
              <w:t>და</w:t>
            </w:r>
          </w:p>
          <w:p w14:paraId="0DF8AF3D" w14:textId="77777777" w:rsidR="00092B73" w:rsidRDefault="00092B73">
            <w:pPr>
              <w:pStyle w:val="TableParagraph"/>
              <w:spacing w:line="256" w:lineRule="auto"/>
              <w:ind w:left="301"/>
              <w:rPr>
                <w:rFonts w:ascii="Sylfaen" w:eastAsia="Sylfaen" w:hAnsi="Sylfaen" w:cs="Sylfaen"/>
                <w:sz w:val="16"/>
                <w:szCs w:val="18"/>
              </w:rPr>
            </w:pPr>
            <w:r>
              <w:rPr>
                <w:rFonts w:ascii="Sylfaen" w:eastAsia="Sylfaen" w:hAnsi="Sylfaen" w:cs="Sylfaen"/>
                <w:sz w:val="16"/>
                <w:szCs w:val="18"/>
              </w:rPr>
              <w:t>ახლით</w:t>
            </w:r>
            <w:r>
              <w:rPr>
                <w:rFonts w:ascii="Sylfaen" w:eastAsia="Sylfaen" w:hAnsi="Sylfaen" w:cs="Sylfaen"/>
                <w:spacing w:val="1"/>
                <w:sz w:val="16"/>
                <w:szCs w:val="18"/>
              </w:rPr>
              <w:t xml:space="preserve"> </w:t>
            </w:r>
            <w:r>
              <w:rPr>
                <w:rFonts w:ascii="Sylfaen" w:eastAsia="Sylfaen" w:hAnsi="Sylfaen" w:cs="Sylfaen"/>
                <w:spacing w:val="-1"/>
                <w:sz w:val="16"/>
                <w:szCs w:val="18"/>
              </w:rPr>
              <w:t>შეცვლა.</w:t>
            </w:r>
          </w:p>
          <w:p w14:paraId="18677CC5" w14:textId="77777777" w:rsidR="00092B73" w:rsidRDefault="00092B73">
            <w:pPr>
              <w:pStyle w:val="TableParagraph"/>
              <w:spacing w:line="256" w:lineRule="auto"/>
              <w:ind w:left="102"/>
              <w:rPr>
                <w:rFonts w:ascii="Sylfaen" w:eastAsia="Sylfaen" w:hAnsi="Sylfaen" w:cs="Sylfaen"/>
                <w:sz w:val="16"/>
                <w:szCs w:val="18"/>
              </w:rPr>
            </w:pPr>
            <w:r>
              <w:rPr>
                <w:rFonts w:ascii="Symbol" w:eastAsia="Symbol" w:hAnsi="Symbol" w:cs="Symbol"/>
                <w:sz w:val="16"/>
                <w:szCs w:val="18"/>
              </w:rPr>
              <w:t></w:t>
            </w:r>
            <w:r>
              <w:rPr>
                <w:rFonts w:ascii="Symbol" w:eastAsia="Symbol" w:hAnsi="Symbol" w:cs="Symbol"/>
                <w:sz w:val="16"/>
                <w:szCs w:val="18"/>
              </w:rPr>
              <w:t></w:t>
            </w:r>
            <w:r>
              <w:rPr>
                <w:rFonts w:ascii="Symbol" w:eastAsia="Symbol" w:hAnsi="Symbol" w:cs="Symbol"/>
                <w:spacing w:val="26"/>
                <w:sz w:val="16"/>
                <w:szCs w:val="18"/>
              </w:rPr>
              <w:t></w:t>
            </w:r>
            <w:r>
              <w:rPr>
                <w:rFonts w:ascii="Sylfaen" w:eastAsia="Sylfaen" w:hAnsi="Sylfaen" w:cs="Sylfaen"/>
                <w:spacing w:val="-1"/>
                <w:sz w:val="16"/>
                <w:szCs w:val="18"/>
              </w:rPr>
              <w:t>მცენარეების</w:t>
            </w:r>
            <w:r>
              <w:rPr>
                <w:rFonts w:ascii="Sylfaen" w:eastAsia="Sylfaen" w:hAnsi="Sylfaen" w:cs="Sylfaen"/>
                <w:sz w:val="16"/>
                <w:szCs w:val="18"/>
              </w:rPr>
              <w:t xml:space="preserve"> </w:t>
            </w:r>
            <w:r>
              <w:rPr>
                <w:rFonts w:ascii="Sylfaen" w:eastAsia="Sylfaen" w:hAnsi="Sylfaen" w:cs="Sylfaen"/>
                <w:spacing w:val="-1"/>
                <w:sz w:val="16"/>
                <w:szCs w:val="18"/>
              </w:rPr>
              <w:t>მდგომარეობა</w:t>
            </w:r>
          </w:p>
          <w:p w14:paraId="552A6197" w14:textId="77777777" w:rsidR="00092B73" w:rsidRDefault="00092B73">
            <w:pPr>
              <w:pStyle w:val="TableParagraph"/>
              <w:spacing w:line="256" w:lineRule="auto"/>
              <w:ind w:left="102"/>
              <w:rPr>
                <w:rFonts w:ascii="Sylfaen" w:eastAsia="Sylfaen" w:hAnsi="Sylfaen" w:cs="Sylfaen"/>
                <w:sz w:val="16"/>
                <w:szCs w:val="18"/>
              </w:rPr>
            </w:pPr>
            <w:r>
              <w:rPr>
                <w:rFonts w:ascii="Symbol" w:eastAsia="Symbol" w:hAnsi="Symbol" w:cs="Symbol"/>
                <w:sz w:val="16"/>
                <w:szCs w:val="18"/>
              </w:rPr>
              <w:t></w:t>
            </w:r>
            <w:r>
              <w:rPr>
                <w:rFonts w:ascii="Symbol" w:eastAsia="Symbol" w:hAnsi="Symbol" w:cs="Symbol"/>
                <w:sz w:val="16"/>
                <w:szCs w:val="18"/>
              </w:rPr>
              <w:t></w:t>
            </w:r>
            <w:r>
              <w:rPr>
                <w:rFonts w:ascii="Symbol" w:eastAsia="Symbol" w:hAnsi="Symbol" w:cs="Symbol"/>
                <w:spacing w:val="25"/>
                <w:sz w:val="16"/>
                <w:szCs w:val="18"/>
              </w:rPr>
              <w:t></w:t>
            </w:r>
            <w:r>
              <w:rPr>
                <w:rFonts w:ascii="Sylfaen" w:eastAsia="Sylfaen" w:hAnsi="Sylfaen" w:cs="Sylfaen"/>
                <w:spacing w:val="-1"/>
                <w:sz w:val="16"/>
                <w:szCs w:val="18"/>
              </w:rPr>
              <w:t>შემთხვევების აღრიცხვა</w:t>
            </w:r>
          </w:p>
          <w:p w14:paraId="55EEB765" w14:textId="77777777" w:rsidR="00092B73" w:rsidRDefault="00092B73">
            <w:pPr>
              <w:pStyle w:val="TableParagraph"/>
              <w:spacing w:line="256" w:lineRule="auto"/>
              <w:ind w:left="102"/>
              <w:rPr>
                <w:rFonts w:ascii="Sylfaen" w:eastAsia="Sylfaen" w:hAnsi="Sylfaen" w:cs="Sylfaen"/>
                <w:sz w:val="16"/>
                <w:szCs w:val="18"/>
              </w:rPr>
            </w:pPr>
            <w:r>
              <w:rPr>
                <w:rFonts w:ascii="Symbol" w:eastAsia="Symbol" w:hAnsi="Symbol" w:cs="Symbol"/>
                <w:sz w:val="16"/>
                <w:szCs w:val="18"/>
              </w:rPr>
              <w:t></w:t>
            </w:r>
            <w:r>
              <w:rPr>
                <w:rFonts w:ascii="Symbol" w:eastAsia="Symbol" w:hAnsi="Symbol" w:cs="Symbol"/>
                <w:sz w:val="16"/>
                <w:szCs w:val="18"/>
              </w:rPr>
              <w:t></w:t>
            </w:r>
            <w:r>
              <w:rPr>
                <w:rFonts w:ascii="Symbol" w:eastAsia="Symbol" w:hAnsi="Symbol" w:cs="Symbol"/>
                <w:spacing w:val="25"/>
                <w:sz w:val="16"/>
                <w:szCs w:val="18"/>
              </w:rPr>
              <w:t></w:t>
            </w:r>
            <w:r>
              <w:rPr>
                <w:rFonts w:ascii="Sylfaen" w:eastAsia="Sylfaen" w:hAnsi="Sylfaen" w:cs="Sylfaen"/>
                <w:sz w:val="16"/>
                <w:szCs w:val="18"/>
              </w:rPr>
              <w:t xml:space="preserve">თუ  </w:t>
            </w:r>
            <w:r>
              <w:rPr>
                <w:rFonts w:ascii="Sylfaen" w:eastAsia="Sylfaen" w:hAnsi="Sylfaen" w:cs="Sylfaen"/>
                <w:spacing w:val="39"/>
                <w:sz w:val="16"/>
                <w:szCs w:val="18"/>
              </w:rPr>
              <w:t xml:space="preserve"> </w:t>
            </w:r>
            <w:r>
              <w:rPr>
                <w:rFonts w:ascii="Sylfaen" w:eastAsia="Sylfaen" w:hAnsi="Sylfaen" w:cs="Sylfaen"/>
                <w:spacing w:val="-1"/>
                <w:sz w:val="16"/>
                <w:szCs w:val="18"/>
              </w:rPr>
              <w:t>განისაზღვრა</w:t>
            </w:r>
            <w:r>
              <w:rPr>
                <w:rFonts w:ascii="Sylfaen" w:eastAsia="Sylfaen" w:hAnsi="Sylfaen" w:cs="Sylfaen"/>
                <w:sz w:val="16"/>
                <w:szCs w:val="18"/>
              </w:rPr>
              <w:t xml:space="preserve">  </w:t>
            </w:r>
            <w:r>
              <w:rPr>
                <w:rFonts w:ascii="Sylfaen" w:eastAsia="Sylfaen" w:hAnsi="Sylfaen" w:cs="Sylfaen"/>
                <w:spacing w:val="40"/>
                <w:sz w:val="16"/>
                <w:szCs w:val="18"/>
              </w:rPr>
              <w:t xml:space="preserve"> </w:t>
            </w:r>
            <w:r>
              <w:rPr>
                <w:rFonts w:ascii="Sylfaen" w:eastAsia="Sylfaen" w:hAnsi="Sylfaen" w:cs="Sylfaen"/>
                <w:spacing w:val="-1"/>
                <w:sz w:val="16"/>
                <w:szCs w:val="18"/>
              </w:rPr>
              <w:t>რაიმე</w:t>
            </w:r>
            <w:r>
              <w:rPr>
                <w:rFonts w:ascii="Sylfaen" w:eastAsia="Sylfaen" w:hAnsi="Sylfaen" w:cs="Sylfaen"/>
                <w:sz w:val="16"/>
                <w:szCs w:val="18"/>
              </w:rPr>
              <w:t xml:space="preserve">  </w:t>
            </w:r>
            <w:r>
              <w:rPr>
                <w:rFonts w:ascii="Sylfaen" w:eastAsia="Sylfaen" w:hAnsi="Sylfaen" w:cs="Sylfaen"/>
                <w:spacing w:val="38"/>
                <w:sz w:val="16"/>
                <w:szCs w:val="18"/>
              </w:rPr>
              <w:t xml:space="preserve"> </w:t>
            </w:r>
            <w:r>
              <w:rPr>
                <w:rFonts w:ascii="Sylfaen" w:eastAsia="Sylfaen" w:hAnsi="Sylfaen" w:cs="Sylfaen"/>
                <w:spacing w:val="-1"/>
                <w:sz w:val="16"/>
                <w:szCs w:val="18"/>
              </w:rPr>
              <w:t>‘ცხელი</w:t>
            </w:r>
            <w:r>
              <w:rPr>
                <w:rFonts w:ascii="Sylfaen" w:eastAsia="Sylfaen" w:hAnsi="Sylfaen" w:cs="Sylfaen"/>
                <w:sz w:val="16"/>
                <w:szCs w:val="18"/>
              </w:rPr>
              <w:t xml:space="preserve">  </w:t>
            </w:r>
            <w:r>
              <w:rPr>
                <w:rFonts w:ascii="Sylfaen" w:eastAsia="Sylfaen" w:hAnsi="Sylfaen" w:cs="Sylfaen"/>
                <w:spacing w:val="39"/>
                <w:sz w:val="16"/>
                <w:szCs w:val="18"/>
              </w:rPr>
              <w:t xml:space="preserve"> </w:t>
            </w:r>
            <w:r>
              <w:rPr>
                <w:rFonts w:ascii="Sylfaen" w:eastAsia="Sylfaen" w:hAnsi="Sylfaen" w:cs="Sylfaen"/>
                <w:spacing w:val="-1"/>
                <w:sz w:val="16"/>
                <w:szCs w:val="18"/>
              </w:rPr>
              <w:t>წერტილი’</w:t>
            </w:r>
          </w:p>
          <w:p w14:paraId="41FE79DA" w14:textId="77777777" w:rsidR="00092B73" w:rsidRDefault="00092B73">
            <w:pPr>
              <w:pStyle w:val="TableParagraph"/>
              <w:tabs>
                <w:tab w:val="left" w:pos="1776"/>
                <w:tab w:val="left" w:pos="2873"/>
              </w:tabs>
              <w:spacing w:line="256" w:lineRule="auto"/>
              <w:ind w:left="301"/>
              <w:rPr>
                <w:rFonts w:ascii="Sylfaen" w:eastAsia="Sylfaen" w:hAnsi="Sylfaen" w:cs="Sylfaen"/>
                <w:sz w:val="16"/>
                <w:szCs w:val="18"/>
              </w:rPr>
            </w:pPr>
            <w:r>
              <w:rPr>
                <w:rFonts w:ascii="Sylfaen" w:eastAsia="Sylfaen" w:hAnsi="Sylfaen" w:cs="Sylfaen"/>
                <w:spacing w:val="-1"/>
                <w:w w:val="95"/>
                <w:sz w:val="16"/>
                <w:szCs w:val="18"/>
              </w:rPr>
              <w:t>(ცხოველებთან</w:t>
            </w:r>
            <w:r>
              <w:rPr>
                <w:rFonts w:ascii="Sylfaen" w:eastAsia="Sylfaen" w:hAnsi="Sylfaen" w:cs="Sylfaen"/>
                <w:spacing w:val="-1"/>
                <w:w w:val="95"/>
                <w:sz w:val="16"/>
                <w:szCs w:val="18"/>
              </w:rPr>
              <w:tab/>
            </w:r>
            <w:r>
              <w:rPr>
                <w:rFonts w:ascii="Sylfaen" w:eastAsia="Sylfaen" w:hAnsi="Sylfaen" w:cs="Sylfaen"/>
                <w:spacing w:val="-1"/>
                <w:sz w:val="16"/>
                <w:szCs w:val="18"/>
              </w:rPr>
              <w:t>შეჯახების</w:t>
            </w:r>
            <w:r>
              <w:rPr>
                <w:rFonts w:ascii="Sylfaen" w:eastAsia="Sylfaen" w:hAnsi="Sylfaen" w:cs="Sylfaen"/>
                <w:spacing w:val="-1"/>
                <w:sz w:val="16"/>
                <w:szCs w:val="18"/>
              </w:rPr>
              <w:tab/>
              <w:t>თვალსაზრისით)</w:t>
            </w:r>
          </w:p>
          <w:p w14:paraId="5A958A11" w14:textId="77777777" w:rsidR="00092B73" w:rsidRDefault="00092B73">
            <w:pPr>
              <w:pStyle w:val="TableParagraph"/>
              <w:tabs>
                <w:tab w:val="left" w:pos="1338"/>
                <w:tab w:val="left" w:pos="2909"/>
              </w:tabs>
              <w:spacing w:line="256" w:lineRule="auto"/>
              <w:ind w:left="301"/>
              <w:rPr>
                <w:rFonts w:ascii="Sylfaen" w:eastAsia="Sylfaen" w:hAnsi="Sylfaen" w:cs="Sylfaen"/>
                <w:sz w:val="16"/>
                <w:szCs w:val="18"/>
              </w:rPr>
            </w:pPr>
            <w:r>
              <w:rPr>
                <w:rFonts w:ascii="Sylfaen" w:eastAsia="Sylfaen" w:hAnsi="Sylfaen" w:cs="Sylfaen"/>
                <w:spacing w:val="-1"/>
                <w:w w:val="95"/>
                <w:sz w:val="16"/>
                <w:szCs w:val="18"/>
              </w:rPr>
              <w:t>უნდა</w:t>
            </w:r>
            <w:r>
              <w:rPr>
                <w:rFonts w:ascii="Sylfaen" w:eastAsia="Sylfaen" w:hAnsi="Sylfaen" w:cs="Sylfaen"/>
                <w:spacing w:val="-1"/>
                <w:w w:val="95"/>
                <w:sz w:val="16"/>
                <w:szCs w:val="18"/>
              </w:rPr>
              <w:tab/>
            </w:r>
            <w:r>
              <w:rPr>
                <w:rFonts w:ascii="Sylfaen" w:eastAsia="Sylfaen" w:hAnsi="Sylfaen" w:cs="Sylfaen"/>
                <w:spacing w:val="-1"/>
                <w:sz w:val="16"/>
                <w:szCs w:val="18"/>
              </w:rPr>
              <w:t>შემუშავდეს</w:t>
            </w:r>
            <w:r>
              <w:rPr>
                <w:rFonts w:ascii="Sylfaen" w:eastAsia="Sylfaen" w:hAnsi="Sylfaen" w:cs="Sylfaen"/>
                <w:spacing w:val="-1"/>
                <w:sz w:val="16"/>
                <w:szCs w:val="18"/>
              </w:rPr>
              <w:tab/>
              <w:t>შემარბილებელი</w:t>
            </w:r>
          </w:p>
          <w:p w14:paraId="35DEA144" w14:textId="77777777" w:rsidR="00092B73" w:rsidRDefault="00092B73">
            <w:pPr>
              <w:pStyle w:val="TableParagraph"/>
              <w:spacing w:line="256" w:lineRule="auto"/>
              <w:ind w:left="301"/>
              <w:rPr>
                <w:rFonts w:ascii="Sylfaen" w:eastAsia="Sylfaen" w:hAnsi="Sylfaen" w:cs="Sylfaen"/>
                <w:sz w:val="16"/>
                <w:szCs w:val="18"/>
              </w:rPr>
            </w:pPr>
            <w:r>
              <w:rPr>
                <w:rFonts w:ascii="Sylfaen" w:eastAsia="Sylfaen" w:hAnsi="Sylfaen" w:cs="Sylfaen"/>
                <w:spacing w:val="-1"/>
                <w:sz w:val="16"/>
                <w:szCs w:val="18"/>
              </w:rPr>
              <w:t>ღონისძიებები</w:t>
            </w:r>
            <w:r>
              <w:rPr>
                <w:rFonts w:ascii="Sylfaen" w:eastAsia="Sylfaen" w:hAnsi="Sylfaen" w:cs="Sylfaen"/>
                <w:spacing w:val="43"/>
                <w:sz w:val="16"/>
                <w:szCs w:val="18"/>
              </w:rPr>
              <w:t xml:space="preserve"> </w:t>
            </w:r>
            <w:r>
              <w:rPr>
                <w:rFonts w:ascii="Sylfaen" w:eastAsia="Sylfaen" w:hAnsi="Sylfaen" w:cs="Sylfaen"/>
                <w:spacing w:val="-1"/>
                <w:sz w:val="16"/>
                <w:szCs w:val="18"/>
              </w:rPr>
              <w:t>(მაგ,</w:t>
            </w:r>
            <w:r>
              <w:rPr>
                <w:rFonts w:ascii="Sylfaen" w:eastAsia="Sylfaen" w:hAnsi="Sylfaen" w:cs="Sylfaen"/>
                <w:spacing w:val="43"/>
                <w:sz w:val="16"/>
                <w:szCs w:val="18"/>
              </w:rPr>
              <w:t xml:space="preserve"> </w:t>
            </w:r>
            <w:r>
              <w:rPr>
                <w:rFonts w:ascii="Sylfaen" w:eastAsia="Sylfaen" w:hAnsi="Sylfaen" w:cs="Sylfaen"/>
                <w:spacing w:val="-1"/>
                <w:sz w:val="16"/>
                <w:szCs w:val="18"/>
              </w:rPr>
              <w:t>ადგილობრივი</w:t>
            </w:r>
            <w:r>
              <w:rPr>
                <w:rFonts w:ascii="Sylfaen" w:eastAsia="Sylfaen" w:hAnsi="Sylfaen" w:cs="Sylfaen"/>
                <w:spacing w:val="43"/>
                <w:sz w:val="16"/>
                <w:szCs w:val="18"/>
              </w:rPr>
              <w:t xml:space="preserve"> </w:t>
            </w:r>
            <w:r>
              <w:rPr>
                <w:rFonts w:ascii="Sylfaen" w:eastAsia="Sylfaen" w:hAnsi="Sylfaen" w:cs="Sylfaen"/>
                <w:spacing w:val="-1"/>
                <w:sz w:val="16"/>
                <w:szCs w:val="18"/>
              </w:rPr>
              <w:t>შემოღობვა,</w:t>
            </w:r>
          </w:p>
          <w:p w14:paraId="38DD878B" w14:textId="77777777" w:rsidR="00092B73" w:rsidRDefault="00092B73">
            <w:pPr>
              <w:pStyle w:val="TableParagraph"/>
              <w:tabs>
                <w:tab w:val="left" w:pos="2388"/>
                <w:tab w:val="left" w:pos="3531"/>
              </w:tabs>
              <w:spacing w:line="256" w:lineRule="auto"/>
              <w:ind w:left="301"/>
              <w:rPr>
                <w:rFonts w:ascii="Sylfaen" w:eastAsia="Sylfaen" w:hAnsi="Sylfaen" w:cs="Sylfaen"/>
                <w:sz w:val="16"/>
                <w:szCs w:val="18"/>
              </w:rPr>
            </w:pPr>
            <w:r>
              <w:rPr>
                <w:rFonts w:ascii="Sylfaen" w:eastAsia="Sylfaen" w:hAnsi="Sylfaen" w:cs="Sylfaen"/>
                <w:spacing w:val="-1"/>
                <w:sz w:val="16"/>
                <w:szCs w:val="18"/>
              </w:rPr>
              <w:t>გამაფრთხილებელი</w:t>
            </w:r>
            <w:r>
              <w:rPr>
                <w:rFonts w:ascii="Sylfaen" w:eastAsia="Sylfaen" w:hAnsi="Sylfaen" w:cs="Sylfaen"/>
                <w:spacing w:val="-1"/>
                <w:sz w:val="16"/>
                <w:szCs w:val="18"/>
              </w:rPr>
              <w:tab/>
              <w:t>ნიშნები,</w:t>
            </w:r>
            <w:r>
              <w:rPr>
                <w:rFonts w:ascii="Sylfaen" w:eastAsia="Sylfaen" w:hAnsi="Sylfaen" w:cs="Sylfaen"/>
                <w:spacing w:val="-1"/>
                <w:sz w:val="16"/>
                <w:szCs w:val="18"/>
              </w:rPr>
              <w:tab/>
              <w:t>სიჩქარის</w:t>
            </w:r>
          </w:p>
          <w:p w14:paraId="25A5B12B" w14:textId="77777777" w:rsidR="00092B73" w:rsidRDefault="00092B73">
            <w:pPr>
              <w:pStyle w:val="TableParagraph"/>
              <w:spacing w:line="256" w:lineRule="auto"/>
              <w:ind w:left="301" w:right="106" w:hanging="200"/>
              <w:jc w:val="both"/>
              <w:rPr>
                <w:rFonts w:ascii="Symbol" w:eastAsia="Symbol" w:hAnsi="Symbol" w:cs="Symbol"/>
                <w:sz w:val="16"/>
                <w:szCs w:val="18"/>
              </w:rPr>
            </w:pPr>
            <w:r>
              <w:rPr>
                <w:rFonts w:ascii="Sylfaen" w:eastAsia="Sylfaen" w:hAnsi="Sylfaen" w:cs="Sylfaen"/>
                <w:spacing w:val="-1"/>
                <w:sz w:val="16"/>
                <w:szCs w:val="18"/>
              </w:rPr>
              <w:t>შეზღუდვა, სხვა.)</w:t>
            </w:r>
          </w:p>
        </w:tc>
        <w:tc>
          <w:tcPr>
            <w:tcW w:w="1973" w:type="dxa"/>
            <w:tcBorders>
              <w:top w:val="single" w:sz="6" w:space="0" w:color="000000"/>
              <w:left w:val="single" w:sz="6" w:space="0" w:color="000000"/>
              <w:bottom w:val="single" w:sz="6" w:space="0" w:color="000000"/>
              <w:right w:val="single" w:sz="6" w:space="0" w:color="000000"/>
            </w:tcBorders>
            <w:hideMark/>
          </w:tcPr>
          <w:p w14:paraId="608A9802" w14:textId="77777777" w:rsidR="00092B73" w:rsidRDefault="00092B73">
            <w:pPr>
              <w:pStyle w:val="TableParagraph"/>
              <w:spacing w:line="256" w:lineRule="auto"/>
              <w:ind w:left="99"/>
              <w:rPr>
                <w:rFonts w:ascii="Sylfaen" w:eastAsia="Sylfaen" w:hAnsi="Sylfaen" w:cs="Sylfaen"/>
                <w:sz w:val="16"/>
                <w:szCs w:val="18"/>
              </w:rPr>
            </w:pPr>
            <w:r>
              <w:rPr>
                <w:rFonts w:ascii="Sylfaen" w:eastAsia="Sylfaen" w:hAnsi="Sylfaen" w:cs="Sylfaen"/>
                <w:spacing w:val="-1"/>
                <w:sz w:val="16"/>
                <w:szCs w:val="18"/>
              </w:rPr>
              <w:t>დამატებით</w:t>
            </w:r>
          </w:p>
          <w:p w14:paraId="3FF67951" w14:textId="77777777" w:rsidR="00092B73" w:rsidRDefault="00092B73">
            <w:pPr>
              <w:pStyle w:val="TableParagraph"/>
              <w:spacing w:line="256" w:lineRule="auto"/>
              <w:ind w:left="99" w:hanging="1"/>
              <w:rPr>
                <w:rFonts w:ascii="Sylfaen" w:eastAsia="Sylfaen" w:hAnsi="Sylfaen" w:cs="Sylfaen"/>
                <w:sz w:val="16"/>
                <w:szCs w:val="18"/>
              </w:rPr>
            </w:pPr>
            <w:r>
              <w:rPr>
                <w:rFonts w:ascii="Sylfaen" w:eastAsia="Sylfaen" w:hAnsi="Sylfaen" w:cs="Sylfaen"/>
                <w:spacing w:val="-1"/>
                <w:sz w:val="16"/>
                <w:szCs w:val="18"/>
              </w:rPr>
              <w:t>ხარჯებს</w:t>
            </w:r>
            <w:r>
              <w:rPr>
                <w:rFonts w:ascii="Sylfaen" w:eastAsia="Sylfaen" w:hAnsi="Sylfaen" w:cs="Sylfaen"/>
                <w:sz w:val="16"/>
                <w:szCs w:val="18"/>
              </w:rPr>
              <w:t xml:space="preserve"> არ</w:t>
            </w:r>
          </w:p>
          <w:p w14:paraId="6D98E42D" w14:textId="77777777" w:rsidR="00092B73" w:rsidRDefault="00092B73">
            <w:pPr>
              <w:pStyle w:val="TableParagraph"/>
              <w:spacing w:line="256" w:lineRule="auto"/>
              <w:ind w:left="99" w:right="300"/>
              <w:rPr>
                <w:rFonts w:ascii="Sylfaen" w:eastAsia="Sylfaen" w:hAnsi="Sylfaen" w:cs="Sylfaen"/>
                <w:sz w:val="16"/>
                <w:szCs w:val="18"/>
              </w:rPr>
            </w:pPr>
            <w:r>
              <w:rPr>
                <w:rFonts w:ascii="Sylfaen" w:eastAsia="Sylfaen" w:hAnsi="Sylfaen" w:cs="Sylfaen"/>
                <w:spacing w:val="-1"/>
                <w:sz w:val="16"/>
                <w:szCs w:val="18"/>
              </w:rPr>
              <w:t>მოითხოვს</w:t>
            </w:r>
            <w:r>
              <w:rPr>
                <w:rFonts w:ascii="Sylfaen" w:eastAsia="Sylfaen" w:hAnsi="Sylfaen" w:cs="Sylfaen"/>
                <w:sz w:val="16"/>
                <w:szCs w:val="18"/>
              </w:rPr>
              <w:t xml:space="preserve"> –</w:t>
            </w:r>
            <w:r>
              <w:rPr>
                <w:rFonts w:ascii="Sylfaen" w:eastAsia="Sylfaen" w:hAnsi="Sylfaen" w:cs="Sylfaen"/>
                <w:spacing w:val="27"/>
                <w:sz w:val="16"/>
                <w:szCs w:val="18"/>
              </w:rPr>
              <w:t xml:space="preserve"> </w:t>
            </w:r>
            <w:r>
              <w:rPr>
                <w:rFonts w:ascii="Sylfaen" w:eastAsia="Sylfaen" w:hAnsi="Sylfaen" w:cs="Sylfaen"/>
                <w:spacing w:val="-1"/>
                <w:sz w:val="16"/>
                <w:szCs w:val="18"/>
              </w:rPr>
              <w:t>იფარება</w:t>
            </w:r>
          </w:p>
          <w:p w14:paraId="1D7684B1" w14:textId="77777777" w:rsidR="00092B73" w:rsidRDefault="00092B73">
            <w:pPr>
              <w:pStyle w:val="TableParagraph"/>
              <w:spacing w:line="256" w:lineRule="auto"/>
              <w:ind w:left="99"/>
              <w:rPr>
                <w:rFonts w:ascii="Sylfaen" w:eastAsia="Sylfaen" w:hAnsi="Sylfaen" w:cs="Sylfaen"/>
                <w:sz w:val="16"/>
                <w:szCs w:val="18"/>
              </w:rPr>
            </w:pPr>
            <w:r>
              <w:rPr>
                <w:rFonts w:ascii="Sylfaen" w:eastAsia="Sylfaen" w:hAnsi="Sylfaen" w:cs="Sylfaen"/>
                <w:spacing w:val="-1"/>
                <w:sz w:val="16"/>
                <w:szCs w:val="18"/>
              </w:rPr>
              <w:t>მომსახურების</w:t>
            </w:r>
          </w:p>
          <w:p w14:paraId="66CD34F8" w14:textId="77777777" w:rsidR="00092B73" w:rsidRDefault="00092B73">
            <w:pPr>
              <w:pStyle w:val="TableParagraph"/>
              <w:spacing w:line="256" w:lineRule="auto"/>
              <w:ind w:left="99"/>
              <w:rPr>
                <w:rFonts w:ascii="Sylfaen" w:eastAsia="Sylfaen" w:hAnsi="Sylfaen" w:cs="Sylfaen"/>
                <w:spacing w:val="-1"/>
                <w:sz w:val="16"/>
                <w:szCs w:val="18"/>
              </w:rPr>
            </w:pPr>
            <w:r>
              <w:rPr>
                <w:rFonts w:ascii="Sylfaen" w:eastAsia="Sylfaen" w:hAnsi="Sylfaen" w:cs="Sylfaen"/>
                <w:spacing w:val="-1"/>
                <w:sz w:val="16"/>
                <w:szCs w:val="18"/>
              </w:rPr>
              <w:t>ბიუჯეტით</w:t>
            </w:r>
          </w:p>
        </w:tc>
        <w:tc>
          <w:tcPr>
            <w:tcW w:w="2268" w:type="dxa"/>
            <w:tcBorders>
              <w:top w:val="single" w:sz="6" w:space="0" w:color="000000"/>
              <w:left w:val="single" w:sz="6" w:space="0" w:color="000000"/>
              <w:bottom w:val="single" w:sz="6" w:space="0" w:color="000000"/>
              <w:right w:val="single" w:sz="6" w:space="0" w:color="000000"/>
            </w:tcBorders>
            <w:hideMark/>
          </w:tcPr>
          <w:p w14:paraId="6975F08C" w14:textId="77777777" w:rsidR="00092B73" w:rsidRDefault="00092B73">
            <w:pPr>
              <w:pStyle w:val="TableParagraph"/>
              <w:spacing w:line="256" w:lineRule="auto"/>
              <w:ind w:left="102"/>
              <w:rPr>
                <w:rFonts w:ascii="Sylfaen" w:eastAsia="Sylfaen" w:hAnsi="Sylfaen" w:cs="Sylfaen"/>
                <w:sz w:val="16"/>
                <w:szCs w:val="18"/>
                <w:lang w:val="ka-GE"/>
              </w:rPr>
            </w:pPr>
            <w:r>
              <w:rPr>
                <w:rFonts w:ascii="Sylfaen" w:eastAsia="Sylfaen" w:hAnsi="Sylfaen" w:cs="Sylfaen"/>
                <w:spacing w:val="-1"/>
                <w:sz w:val="16"/>
                <w:szCs w:val="18"/>
                <w:lang w:val="ka-GE"/>
              </w:rPr>
              <w:t>მოვლა-პატრონობისთვის შერჩეული კონტრაქტორი</w:t>
            </w:r>
          </w:p>
        </w:tc>
        <w:tc>
          <w:tcPr>
            <w:tcW w:w="1519" w:type="dxa"/>
            <w:tcBorders>
              <w:top w:val="single" w:sz="6" w:space="0" w:color="000000"/>
              <w:left w:val="single" w:sz="6" w:space="0" w:color="000000"/>
              <w:bottom w:val="single" w:sz="6" w:space="0" w:color="000000"/>
              <w:right w:val="single" w:sz="6" w:space="0" w:color="000000"/>
            </w:tcBorders>
            <w:hideMark/>
          </w:tcPr>
          <w:p w14:paraId="6C9A1E9F" w14:textId="77777777" w:rsidR="00092B73" w:rsidRDefault="00092B73">
            <w:pPr>
              <w:pStyle w:val="TableParagraph"/>
              <w:spacing w:line="256" w:lineRule="auto"/>
              <w:ind w:left="102" w:right="423"/>
              <w:rPr>
                <w:rFonts w:ascii="Sylfaen" w:eastAsia="Sylfaen" w:hAnsi="Sylfaen" w:cs="Sylfaen"/>
                <w:sz w:val="16"/>
                <w:szCs w:val="18"/>
                <w:lang w:val="ka-GE"/>
              </w:rPr>
            </w:pPr>
            <w:r>
              <w:rPr>
                <w:rFonts w:ascii="Sylfaen" w:eastAsia="Sylfaen" w:hAnsi="Sylfaen" w:cs="Sylfaen"/>
                <w:sz w:val="16"/>
                <w:szCs w:val="18"/>
                <w:lang w:val="ka-GE"/>
              </w:rPr>
              <w:t>საგზაო დეპარტემენტი</w:t>
            </w:r>
          </w:p>
        </w:tc>
      </w:tr>
      <w:tr w:rsidR="00092B73" w14:paraId="3B8AC048" w14:textId="77777777" w:rsidTr="00C6605E">
        <w:trPr>
          <w:trHeight w:val="1110"/>
        </w:trPr>
        <w:tc>
          <w:tcPr>
            <w:tcW w:w="2070" w:type="dxa"/>
            <w:tcBorders>
              <w:top w:val="single" w:sz="6" w:space="0" w:color="000000"/>
              <w:left w:val="single" w:sz="6" w:space="0" w:color="000000"/>
              <w:bottom w:val="single" w:sz="4" w:space="0" w:color="auto"/>
              <w:right w:val="single" w:sz="6" w:space="0" w:color="000000"/>
            </w:tcBorders>
            <w:hideMark/>
          </w:tcPr>
          <w:p w14:paraId="5BF28296"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სატრანსპორტო</w:t>
            </w:r>
          </w:p>
          <w:p w14:paraId="01889155" w14:textId="77777777" w:rsidR="00092B73" w:rsidRDefault="00092B73">
            <w:pPr>
              <w:pStyle w:val="TableParagraph"/>
              <w:spacing w:line="256" w:lineRule="auto"/>
              <w:ind w:left="102"/>
              <w:rPr>
                <w:rFonts w:ascii="Sylfaen" w:eastAsia="Sylfaen" w:hAnsi="Sylfaen" w:cs="Sylfaen"/>
                <w:spacing w:val="-1"/>
                <w:sz w:val="16"/>
                <w:szCs w:val="18"/>
              </w:rPr>
            </w:pPr>
            <w:r>
              <w:rPr>
                <w:rFonts w:ascii="Sylfaen" w:eastAsia="Sylfaen" w:hAnsi="Sylfaen" w:cs="Sylfaen"/>
                <w:spacing w:val="-1"/>
                <w:sz w:val="16"/>
                <w:szCs w:val="18"/>
              </w:rPr>
              <w:t>ნაკადი</w:t>
            </w:r>
          </w:p>
        </w:tc>
        <w:tc>
          <w:tcPr>
            <w:tcW w:w="1841" w:type="dxa"/>
            <w:tcBorders>
              <w:top w:val="single" w:sz="6" w:space="0" w:color="000000"/>
              <w:left w:val="single" w:sz="6" w:space="0" w:color="000000"/>
              <w:bottom w:val="single" w:sz="4" w:space="0" w:color="auto"/>
              <w:right w:val="single" w:sz="6" w:space="0" w:color="000000"/>
            </w:tcBorders>
            <w:hideMark/>
          </w:tcPr>
          <w:p w14:paraId="6F3C1F60"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შემთხვევები</w:t>
            </w:r>
          </w:p>
          <w:p w14:paraId="708C9A3D"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ზამთრის</w:t>
            </w:r>
            <w:r>
              <w:rPr>
                <w:rFonts w:ascii="Sylfaen" w:eastAsia="Sylfaen" w:hAnsi="Sylfaen" w:cs="Sylfaen"/>
                <w:sz w:val="16"/>
                <w:szCs w:val="18"/>
              </w:rPr>
              <w:t xml:space="preserve"> </w:t>
            </w:r>
            <w:r>
              <w:rPr>
                <w:rFonts w:ascii="Sylfaen" w:eastAsia="Sylfaen" w:hAnsi="Sylfaen" w:cs="Sylfaen"/>
                <w:spacing w:val="-1"/>
                <w:sz w:val="16"/>
                <w:szCs w:val="18"/>
              </w:rPr>
              <w:t>ტიპიური</w:t>
            </w:r>
          </w:p>
          <w:p w14:paraId="5D05FEFC"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რისკების</w:t>
            </w:r>
            <w:r>
              <w:rPr>
                <w:rFonts w:ascii="Sylfaen" w:eastAsia="Sylfaen" w:hAnsi="Sylfaen" w:cs="Sylfaen"/>
                <w:sz w:val="16"/>
                <w:szCs w:val="18"/>
              </w:rPr>
              <w:t xml:space="preserve"> </w:t>
            </w:r>
            <w:r>
              <w:rPr>
                <w:rFonts w:ascii="Sylfaen" w:eastAsia="Sylfaen" w:hAnsi="Sylfaen" w:cs="Sylfaen"/>
                <w:spacing w:val="-1"/>
                <w:sz w:val="16"/>
                <w:szCs w:val="18"/>
              </w:rPr>
              <w:t>გამო</w:t>
            </w:r>
          </w:p>
          <w:p w14:paraId="4A13E7E2"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(თოვლი,</w:t>
            </w:r>
            <w:r>
              <w:rPr>
                <w:rFonts w:ascii="Sylfaen" w:eastAsia="Sylfaen" w:hAnsi="Sylfaen" w:cs="Sylfaen"/>
                <w:spacing w:val="1"/>
                <w:sz w:val="16"/>
                <w:szCs w:val="18"/>
              </w:rPr>
              <w:t xml:space="preserve"> </w:t>
            </w:r>
            <w:r>
              <w:rPr>
                <w:rFonts w:ascii="Sylfaen" w:eastAsia="Sylfaen" w:hAnsi="Sylfaen" w:cs="Sylfaen"/>
                <w:spacing w:val="-1"/>
                <w:sz w:val="16"/>
                <w:szCs w:val="18"/>
              </w:rPr>
              <w:t>ყინული,</w:t>
            </w:r>
          </w:p>
          <w:p w14:paraId="78B396E0" w14:textId="77777777" w:rsidR="00092B73" w:rsidRDefault="00092B73">
            <w:pPr>
              <w:pStyle w:val="TableParagraph"/>
              <w:spacing w:line="256" w:lineRule="auto"/>
              <w:ind w:left="102"/>
              <w:rPr>
                <w:rFonts w:ascii="Sylfaen" w:eastAsia="Sylfaen" w:hAnsi="Sylfaen" w:cs="Sylfaen"/>
                <w:spacing w:val="-1"/>
                <w:sz w:val="16"/>
                <w:szCs w:val="18"/>
              </w:rPr>
            </w:pPr>
            <w:r>
              <w:rPr>
                <w:rFonts w:ascii="Sylfaen" w:eastAsia="Sylfaen" w:hAnsi="Sylfaen" w:cs="Sylfaen"/>
                <w:spacing w:val="-1"/>
                <w:sz w:val="16"/>
                <w:szCs w:val="18"/>
              </w:rPr>
              <w:t>ნისლი)</w:t>
            </w:r>
          </w:p>
        </w:tc>
        <w:tc>
          <w:tcPr>
            <w:tcW w:w="6065" w:type="dxa"/>
            <w:gridSpan w:val="2"/>
            <w:tcBorders>
              <w:top w:val="single" w:sz="6" w:space="0" w:color="000000"/>
              <w:left w:val="single" w:sz="6" w:space="0" w:color="000000"/>
              <w:bottom w:val="single" w:sz="4" w:space="0" w:color="auto"/>
              <w:right w:val="single" w:sz="6" w:space="0" w:color="000000"/>
            </w:tcBorders>
            <w:hideMark/>
          </w:tcPr>
          <w:p w14:paraId="1CAFFE0C" w14:textId="77777777" w:rsidR="00092B73" w:rsidRDefault="00092B73">
            <w:pPr>
              <w:pStyle w:val="TableParagraph"/>
              <w:spacing w:line="256" w:lineRule="auto"/>
              <w:ind w:left="102"/>
              <w:rPr>
                <w:rFonts w:ascii="Sylfaen" w:eastAsia="Sylfaen" w:hAnsi="Sylfaen" w:cs="Sylfaen"/>
                <w:sz w:val="16"/>
                <w:szCs w:val="18"/>
              </w:rPr>
            </w:pPr>
            <w:r>
              <w:rPr>
                <w:rFonts w:ascii="Sylfaen" w:eastAsia="Sylfaen" w:hAnsi="Sylfaen" w:cs="Sylfaen"/>
                <w:spacing w:val="-1"/>
                <w:sz w:val="16"/>
                <w:szCs w:val="18"/>
              </w:rPr>
              <w:t>გამაფრთხილებელი</w:t>
            </w:r>
            <w:r>
              <w:rPr>
                <w:rFonts w:ascii="Sylfaen" w:eastAsia="Sylfaen" w:hAnsi="Sylfaen" w:cs="Sylfaen"/>
                <w:sz w:val="16"/>
                <w:szCs w:val="18"/>
              </w:rPr>
              <w:t xml:space="preserve"> </w:t>
            </w:r>
            <w:r>
              <w:rPr>
                <w:rFonts w:ascii="Sylfaen" w:eastAsia="Sylfaen" w:hAnsi="Sylfaen" w:cs="Sylfaen"/>
                <w:spacing w:val="-1"/>
                <w:sz w:val="16"/>
                <w:szCs w:val="18"/>
              </w:rPr>
              <w:t>ნიშნების</w:t>
            </w:r>
            <w:r>
              <w:rPr>
                <w:rFonts w:ascii="Sylfaen" w:eastAsia="Sylfaen" w:hAnsi="Sylfaen" w:cs="Sylfaen"/>
                <w:sz w:val="16"/>
                <w:szCs w:val="18"/>
              </w:rPr>
              <w:t xml:space="preserve"> </w:t>
            </w:r>
            <w:r>
              <w:rPr>
                <w:rFonts w:ascii="Sylfaen" w:eastAsia="Sylfaen" w:hAnsi="Sylfaen" w:cs="Sylfaen"/>
                <w:spacing w:val="-1"/>
                <w:sz w:val="16"/>
                <w:szCs w:val="18"/>
              </w:rPr>
              <w:t>დაყენება</w:t>
            </w:r>
          </w:p>
          <w:p w14:paraId="26B1D0C7" w14:textId="77777777" w:rsidR="00092B73" w:rsidRDefault="00092B73">
            <w:pPr>
              <w:pStyle w:val="TableParagraph"/>
              <w:tabs>
                <w:tab w:val="left" w:pos="1736"/>
                <w:tab w:val="left" w:pos="2981"/>
                <w:tab w:val="left" w:pos="4051"/>
              </w:tabs>
              <w:spacing w:line="256" w:lineRule="auto"/>
              <w:ind w:left="102"/>
              <w:rPr>
                <w:rFonts w:ascii="Symbol" w:eastAsia="Symbol" w:hAnsi="Symbol" w:cs="Symbol"/>
                <w:sz w:val="16"/>
                <w:szCs w:val="18"/>
              </w:rPr>
            </w:pPr>
            <w:r>
              <w:rPr>
                <w:rFonts w:ascii="Sylfaen" w:eastAsia="Sylfaen" w:hAnsi="Sylfaen" w:cs="Sylfaen"/>
                <w:spacing w:val="-1"/>
                <w:sz w:val="16"/>
                <w:szCs w:val="18"/>
              </w:rPr>
              <w:t>ინფორმირება</w:t>
            </w:r>
          </w:p>
        </w:tc>
        <w:tc>
          <w:tcPr>
            <w:tcW w:w="1973" w:type="dxa"/>
            <w:tcBorders>
              <w:top w:val="single" w:sz="6" w:space="0" w:color="000000"/>
              <w:left w:val="single" w:sz="6" w:space="0" w:color="000000"/>
              <w:bottom w:val="single" w:sz="4" w:space="0" w:color="auto"/>
              <w:right w:val="single" w:sz="6" w:space="0" w:color="000000"/>
            </w:tcBorders>
            <w:hideMark/>
          </w:tcPr>
          <w:p w14:paraId="0EA32189" w14:textId="77777777" w:rsidR="00092B73" w:rsidRDefault="00092B73">
            <w:pPr>
              <w:pStyle w:val="TableParagraph"/>
              <w:spacing w:line="256" w:lineRule="auto"/>
              <w:ind w:left="99"/>
              <w:rPr>
                <w:rFonts w:ascii="Sylfaen" w:eastAsia="Sylfaen" w:hAnsi="Sylfaen" w:cs="Sylfaen"/>
                <w:spacing w:val="-1"/>
                <w:sz w:val="16"/>
                <w:szCs w:val="18"/>
              </w:rPr>
            </w:pPr>
            <w:r>
              <w:rPr>
                <w:rFonts w:ascii="Sylfaen" w:eastAsia="Sylfaen" w:hAnsi="Sylfaen" w:cs="Sylfaen"/>
                <w:spacing w:val="-1"/>
                <w:sz w:val="16"/>
                <w:szCs w:val="18"/>
              </w:rPr>
              <w:t xml:space="preserve">მცირე </w:t>
            </w:r>
            <w:r>
              <w:rPr>
                <w:rFonts w:ascii="Sylfaen" w:eastAsia="Sylfaen" w:hAnsi="Sylfaen" w:cs="Sylfaen"/>
                <w:sz w:val="16"/>
                <w:szCs w:val="18"/>
              </w:rPr>
              <w:t>ხარჯი</w:t>
            </w:r>
          </w:p>
        </w:tc>
        <w:tc>
          <w:tcPr>
            <w:tcW w:w="2268" w:type="dxa"/>
            <w:tcBorders>
              <w:top w:val="single" w:sz="6" w:space="0" w:color="000000"/>
              <w:left w:val="single" w:sz="6" w:space="0" w:color="000000"/>
              <w:bottom w:val="single" w:sz="4" w:space="0" w:color="auto"/>
              <w:right w:val="single" w:sz="6" w:space="0" w:color="000000"/>
            </w:tcBorders>
            <w:hideMark/>
          </w:tcPr>
          <w:p w14:paraId="234A43F0" w14:textId="77777777" w:rsidR="00092B73" w:rsidRDefault="00092B73">
            <w:pPr>
              <w:pStyle w:val="TableParagraph"/>
              <w:spacing w:line="256" w:lineRule="auto"/>
              <w:ind w:left="102"/>
              <w:rPr>
                <w:rFonts w:ascii="Sylfaen" w:eastAsia="Sylfaen" w:hAnsi="Sylfaen" w:cs="Sylfaen"/>
                <w:sz w:val="16"/>
                <w:szCs w:val="18"/>
                <w:lang w:val="ka-GE"/>
              </w:rPr>
            </w:pPr>
            <w:r>
              <w:rPr>
                <w:rFonts w:ascii="Sylfaen" w:eastAsia="Sylfaen" w:hAnsi="Sylfaen" w:cs="Sylfaen"/>
                <w:spacing w:val="-1"/>
                <w:sz w:val="16"/>
                <w:szCs w:val="18"/>
                <w:lang w:val="ka-GE"/>
              </w:rPr>
              <w:t>მოვლა-პატრონობისთვის შერჩეული კონტრაქტორი</w:t>
            </w:r>
          </w:p>
        </w:tc>
        <w:tc>
          <w:tcPr>
            <w:tcW w:w="1519" w:type="dxa"/>
            <w:tcBorders>
              <w:top w:val="single" w:sz="6" w:space="0" w:color="000000"/>
              <w:left w:val="single" w:sz="6" w:space="0" w:color="000000"/>
              <w:bottom w:val="single" w:sz="4" w:space="0" w:color="auto"/>
              <w:right w:val="single" w:sz="6" w:space="0" w:color="000000"/>
            </w:tcBorders>
            <w:hideMark/>
          </w:tcPr>
          <w:p w14:paraId="731D0662" w14:textId="77777777" w:rsidR="00092B73" w:rsidRDefault="00092B73">
            <w:pPr>
              <w:pStyle w:val="TableParagraph"/>
              <w:spacing w:line="256" w:lineRule="auto"/>
              <w:ind w:left="102" w:right="423"/>
              <w:rPr>
                <w:rFonts w:ascii="Sylfaen" w:eastAsia="Sylfaen" w:hAnsi="Sylfaen" w:cs="Sylfaen"/>
                <w:sz w:val="16"/>
                <w:szCs w:val="18"/>
                <w:lang w:val="ka-GE"/>
              </w:rPr>
            </w:pPr>
            <w:r>
              <w:rPr>
                <w:rFonts w:ascii="Sylfaen" w:eastAsia="Sylfaen" w:hAnsi="Sylfaen" w:cs="Sylfaen"/>
                <w:sz w:val="16"/>
                <w:szCs w:val="18"/>
                <w:lang w:val="ka-GE"/>
              </w:rPr>
              <w:t>საგზაო დეპარტემენტი</w:t>
            </w:r>
          </w:p>
        </w:tc>
      </w:tr>
    </w:tbl>
    <w:p w14:paraId="27A8EAEB" w14:textId="7494E0E4" w:rsidR="000A07C0" w:rsidRDefault="000A07C0" w:rsidP="0066761D">
      <w:pPr>
        <w:spacing w:before="120" w:after="120" w:line="259" w:lineRule="auto"/>
        <w:rPr>
          <w:rFonts w:ascii="Times New Roman" w:hAnsi="Times New Roman"/>
          <w:sz w:val="20"/>
          <w:szCs w:val="4"/>
        </w:rPr>
      </w:pPr>
    </w:p>
    <w:p w14:paraId="0E846FFC" w14:textId="438A0524" w:rsidR="000A07C0" w:rsidRDefault="000A07C0" w:rsidP="0066761D">
      <w:pPr>
        <w:spacing w:before="120" w:after="120" w:line="259" w:lineRule="auto"/>
        <w:rPr>
          <w:rFonts w:ascii="Times New Roman" w:hAnsi="Times New Roman"/>
          <w:sz w:val="20"/>
          <w:szCs w:val="4"/>
        </w:rPr>
      </w:pPr>
    </w:p>
    <w:p w14:paraId="20F41457" w14:textId="7DFBFF8F" w:rsidR="001F2C5A" w:rsidRDefault="001F2C5A" w:rsidP="0066761D">
      <w:pPr>
        <w:spacing w:before="120" w:after="120" w:line="259" w:lineRule="auto"/>
        <w:rPr>
          <w:rFonts w:ascii="Times New Roman" w:hAnsi="Times New Roman"/>
          <w:sz w:val="20"/>
          <w:szCs w:val="4"/>
        </w:rPr>
      </w:pPr>
    </w:p>
    <w:p w14:paraId="32C847EA" w14:textId="77777777" w:rsidR="00E1053B" w:rsidRPr="002B616A" w:rsidRDefault="00E1053B" w:rsidP="002B56CC">
      <w:pPr>
        <w:spacing w:before="200" w:after="200"/>
        <w:rPr>
          <w:rFonts w:ascii="Sylfaen" w:eastAsia="Calibri" w:hAnsi="Sylfaen"/>
          <w:sz w:val="24"/>
        </w:rPr>
        <w:sectPr w:rsidR="00E1053B" w:rsidRPr="002B616A" w:rsidSect="00430D2A">
          <w:footerReference w:type="default" r:id="rId193"/>
          <w:footerReference w:type="first" r:id="rId194"/>
          <w:pgSz w:w="16840" w:h="11907" w:orient="landscape"/>
          <w:pgMar w:top="1140" w:right="1140" w:bottom="1080" w:left="1140" w:header="720" w:footer="720" w:gutter="0"/>
          <w:cols w:space="720"/>
          <w:titlePg/>
          <w:docGrid w:linePitch="360"/>
        </w:sectPr>
      </w:pPr>
    </w:p>
    <w:p w14:paraId="487B9E65" w14:textId="77777777" w:rsidR="008134CC" w:rsidRPr="0008635E" w:rsidRDefault="008134CC" w:rsidP="0008635E">
      <w:pPr>
        <w:pStyle w:val="EIAH1"/>
        <w:numPr>
          <w:ilvl w:val="0"/>
          <w:numId w:val="0"/>
        </w:numPr>
        <w:ind w:left="720" w:hanging="720"/>
        <w:rPr>
          <w:sz w:val="28"/>
        </w:rPr>
      </w:pPr>
      <w:bookmarkStart w:id="518" w:name="_Toc471745474"/>
      <w:bookmarkStart w:id="519" w:name="_Toc471745819"/>
      <w:bookmarkStart w:id="520" w:name="_Toc473478812"/>
      <w:bookmarkStart w:id="521" w:name="_Toc496611116"/>
      <w:bookmarkStart w:id="522" w:name="_Toc1581589"/>
      <w:r w:rsidRPr="0008635E">
        <w:rPr>
          <w:sz w:val="28"/>
        </w:rPr>
        <w:lastRenderedPageBreak/>
        <w:t>9.</w:t>
      </w:r>
      <w:bookmarkEnd w:id="518"/>
      <w:bookmarkEnd w:id="519"/>
      <w:bookmarkEnd w:id="520"/>
      <w:bookmarkEnd w:id="521"/>
      <w:r w:rsidR="00B007A1" w:rsidRPr="0008635E">
        <w:rPr>
          <w:sz w:val="28"/>
        </w:rPr>
        <w:t xml:space="preserve"> გარემოს მონიტორინგის გეგმა</w:t>
      </w:r>
      <w:bookmarkEnd w:id="522"/>
    </w:p>
    <w:p w14:paraId="49785FFC" w14:textId="77777777" w:rsidR="00362D70" w:rsidRPr="00CD14D3" w:rsidRDefault="00362D70" w:rsidP="0008635E">
      <w:pPr>
        <w:pStyle w:val="EIAheading2"/>
        <w:rPr>
          <w:b w:val="0"/>
          <w:sz w:val="24"/>
          <w:lang w:val="ka-GE"/>
        </w:rPr>
      </w:pPr>
      <w:bookmarkStart w:id="523" w:name="_Toc471745475"/>
      <w:bookmarkStart w:id="524" w:name="_Toc471745820"/>
      <w:bookmarkStart w:id="525" w:name="_Toc473553970"/>
      <w:bookmarkStart w:id="526" w:name="_Toc1581590"/>
      <w:r w:rsidRPr="00CD14D3">
        <w:rPr>
          <w:b w:val="0"/>
          <w:sz w:val="24"/>
        </w:rPr>
        <w:t xml:space="preserve">9.1 </w:t>
      </w:r>
      <w:bookmarkEnd w:id="523"/>
      <w:bookmarkEnd w:id="524"/>
      <w:bookmarkEnd w:id="525"/>
      <w:r w:rsidR="00B007A1" w:rsidRPr="00CD14D3">
        <w:rPr>
          <w:rFonts w:ascii="Sylfaen" w:hAnsi="Sylfaen" w:cs="Sylfaen"/>
          <w:b w:val="0"/>
          <w:sz w:val="24"/>
          <w:lang w:val="ka-GE"/>
        </w:rPr>
        <w:t>შესავალი</w:t>
      </w:r>
      <w:bookmarkEnd w:id="526"/>
    </w:p>
    <w:p w14:paraId="2A07117A" w14:textId="77777777" w:rsidR="008018ED" w:rsidRPr="00CD14D3" w:rsidRDefault="008018ED" w:rsidP="008018ED">
      <w:pPr>
        <w:spacing w:before="120"/>
        <w:rPr>
          <w:rFonts w:ascii="Sylfaen" w:eastAsia="SimSun" w:hAnsi="Sylfaen"/>
          <w:sz w:val="20"/>
          <w:lang w:val="ka-GE" w:eastAsia="zh-CN"/>
        </w:rPr>
      </w:pPr>
      <w:r w:rsidRPr="00CD14D3">
        <w:rPr>
          <w:rFonts w:ascii="Sylfaen" w:eastAsia="SimSun" w:hAnsi="Sylfaen"/>
          <w:sz w:val="20"/>
          <w:lang w:val="ka-GE" w:eastAsia="zh-CN"/>
        </w:rPr>
        <w:t xml:space="preserve">როგორც გზშ-ის ანგარიშის წინა თავებშია აღნიშნული, საქმიანობის  პროცესში არსებობს გარკვეული სახის ზემოქმედების რისკები გარემოს ზოგიერთ რეცეპტორზე. უარყოფითი ზემოქმედებების ხასიათის და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14:paraId="6C36415F" w14:textId="77777777" w:rsidR="008018ED" w:rsidRPr="00CD14D3" w:rsidRDefault="008018ED" w:rsidP="008018ED">
      <w:pPr>
        <w:spacing w:before="120"/>
        <w:rPr>
          <w:rFonts w:ascii="Sylfaen" w:eastAsia="SimSun" w:hAnsi="Sylfaen"/>
          <w:sz w:val="20"/>
          <w:lang w:val="ka-GE" w:eastAsia="zh-CN"/>
        </w:rPr>
      </w:pPr>
      <w:r w:rsidRPr="00CD14D3">
        <w:rPr>
          <w:rFonts w:ascii="Sylfaen" w:eastAsia="SimSun" w:hAnsi="Sylfaen"/>
          <w:sz w:val="20"/>
          <w:lang w:val="ka-GE" w:eastAsia="zh-CN"/>
        </w:rPr>
        <w:t xml:space="preserve">მონიტორინგის მეთოდები მოიცავს ვიზუალურ დაკვირვებას და გაზომვებს (საჭიროების შემთხვევაში). მონიტორინგის პროგრამა აღწერს სამონიტორინგო პარამეტრებს, მონიტორინგის დროს და სიხშირეს, მონიტორინგის მონაცემების შეგროვებას და ანალიზს. მონიტორინგის მოცულობა დამოკიდებულია მოსალოდნელი ზემოქმედების/რისკის მნიშვნელოვნებაზე. </w:t>
      </w:r>
    </w:p>
    <w:p w14:paraId="7876C15C" w14:textId="77777777" w:rsidR="008018ED" w:rsidRPr="00CD14D3" w:rsidRDefault="008018ED" w:rsidP="008018ED">
      <w:pPr>
        <w:rPr>
          <w:rFonts w:ascii="Sylfaen" w:eastAsia="Calibri" w:hAnsi="Sylfaen"/>
          <w:sz w:val="20"/>
          <w:lang w:val="ka-GE" w:eastAsia="zh-CN"/>
        </w:rPr>
      </w:pPr>
      <w:r w:rsidRPr="00CD14D3">
        <w:rPr>
          <w:rFonts w:ascii="Sylfaen" w:eastAsia="Calibri" w:hAnsi="Sylfaen"/>
          <w:sz w:val="20"/>
          <w:lang w:val="ka-GE" w:eastAsia="zh-CN"/>
        </w:rPr>
        <w:t>გარემოსდაცვითი მონიტორინგის სქემა უნდა ითვალისწინებდეს ისეთ საკითხებს, როგორიცაა:</w:t>
      </w:r>
    </w:p>
    <w:p w14:paraId="7EE4DD54" w14:textId="77777777" w:rsidR="008018ED" w:rsidRPr="00CD14D3" w:rsidRDefault="008018ED" w:rsidP="00821E4D">
      <w:pPr>
        <w:numPr>
          <w:ilvl w:val="0"/>
          <w:numId w:val="31"/>
        </w:numPr>
        <w:jc w:val="left"/>
        <w:rPr>
          <w:rFonts w:ascii="Sylfaen" w:eastAsia="Calibri" w:hAnsi="Sylfaen"/>
          <w:sz w:val="20"/>
          <w:lang w:val="ka-GE" w:eastAsia="zh-CN"/>
        </w:rPr>
      </w:pPr>
      <w:r w:rsidRPr="00CD14D3">
        <w:rPr>
          <w:rFonts w:ascii="Sylfaen" w:eastAsia="Calibri" w:hAnsi="Sylfaen"/>
          <w:sz w:val="20"/>
          <w:lang w:val="ka-GE" w:eastAsia="zh-CN"/>
        </w:rPr>
        <w:t>გარემოს მდგომარეობის მაჩვენებლების შეფასება;</w:t>
      </w:r>
    </w:p>
    <w:p w14:paraId="2D0BE9E9" w14:textId="77777777" w:rsidR="008018ED" w:rsidRPr="00CD14D3" w:rsidRDefault="008018ED" w:rsidP="00821E4D">
      <w:pPr>
        <w:numPr>
          <w:ilvl w:val="0"/>
          <w:numId w:val="31"/>
        </w:numPr>
        <w:jc w:val="left"/>
        <w:rPr>
          <w:rFonts w:ascii="Sylfaen" w:eastAsia="Calibri" w:hAnsi="Sylfaen"/>
          <w:sz w:val="20"/>
          <w:lang w:val="ka-GE" w:eastAsia="zh-CN"/>
        </w:rPr>
      </w:pPr>
      <w:r w:rsidRPr="00CD14D3">
        <w:rPr>
          <w:rFonts w:ascii="Sylfaen" w:eastAsia="Calibri" w:hAnsi="Sylfaen"/>
          <w:sz w:val="20"/>
          <w:lang w:val="ka-GE" w:eastAsia="zh-CN"/>
        </w:rPr>
        <w:t>გარემოს მდგომარეობის მაჩვენებლების ცვლილებების მიზეზების გამოვლენა და შედეგების შეფასება</w:t>
      </w:r>
    </w:p>
    <w:p w14:paraId="3D195601" w14:textId="77777777" w:rsidR="008018ED" w:rsidRPr="00CD14D3" w:rsidRDefault="008018ED" w:rsidP="00821E4D">
      <w:pPr>
        <w:numPr>
          <w:ilvl w:val="0"/>
          <w:numId w:val="31"/>
        </w:numPr>
        <w:jc w:val="left"/>
        <w:rPr>
          <w:rFonts w:ascii="Sylfaen" w:eastAsia="Calibri" w:hAnsi="Sylfaen"/>
          <w:sz w:val="20"/>
          <w:lang w:val="ka-GE" w:eastAsia="zh-CN"/>
        </w:rPr>
      </w:pPr>
      <w:r w:rsidRPr="00CD14D3">
        <w:rPr>
          <w:rFonts w:ascii="Sylfaen" w:eastAsia="Calibri" w:hAnsi="Sylfaen"/>
          <w:sz w:val="20"/>
          <w:lang w:val="ka-GE" w:eastAsia="zh-CN"/>
        </w:rPr>
        <w:t>მაკორექტირებელი ღონისძიებების განსაზღვრა, როდესაც მიზნობრივი მაჩვნებლების მიღწევა ვერ ხერხდება;</w:t>
      </w:r>
    </w:p>
    <w:p w14:paraId="10052D59" w14:textId="77777777" w:rsidR="008018ED" w:rsidRPr="00CD14D3" w:rsidRDefault="008018ED" w:rsidP="00821E4D">
      <w:pPr>
        <w:numPr>
          <w:ilvl w:val="0"/>
          <w:numId w:val="31"/>
        </w:numPr>
        <w:jc w:val="left"/>
        <w:rPr>
          <w:rFonts w:ascii="Sylfaen" w:eastAsia="Calibri" w:hAnsi="Sylfaen"/>
          <w:sz w:val="20"/>
          <w:lang w:val="ka-GE" w:eastAsia="zh-CN"/>
        </w:rPr>
      </w:pPr>
      <w:r w:rsidRPr="00CD14D3">
        <w:rPr>
          <w:rFonts w:ascii="Sylfaen" w:eastAsia="Calibri" w:hAnsi="Sylfaen"/>
          <w:sz w:val="20"/>
          <w:lang w:val="ka-GE" w:eastAsia="zh-CN"/>
        </w:rPr>
        <w:t>საქმიანობის გარემოზე ზემოქმედების ხარისხსა და დინამიკაზე სისტემატური ზედამხედველობა;</w:t>
      </w:r>
    </w:p>
    <w:p w14:paraId="31A95FA9" w14:textId="77777777" w:rsidR="008018ED" w:rsidRPr="00CD14D3" w:rsidRDefault="008018ED" w:rsidP="00821E4D">
      <w:pPr>
        <w:numPr>
          <w:ilvl w:val="0"/>
          <w:numId w:val="31"/>
        </w:numPr>
        <w:jc w:val="left"/>
        <w:rPr>
          <w:rFonts w:ascii="Sylfaen" w:eastAsia="Calibri" w:hAnsi="Sylfaen"/>
          <w:sz w:val="20"/>
          <w:lang w:val="ka-GE" w:eastAsia="zh-CN"/>
        </w:rPr>
      </w:pPr>
      <w:r w:rsidRPr="00CD14D3">
        <w:rPr>
          <w:rFonts w:ascii="Sylfaen" w:eastAsia="Calibri" w:hAnsi="Sylfaen"/>
          <w:sz w:val="20"/>
          <w:lang w:val="ka-GE" w:eastAsia="zh-CN"/>
        </w:rPr>
        <w:t>ზემოქმედების ინტენსივობის კანონმდებლობით დადგენილ მოთხოვნებთან შესაბამისობა;</w:t>
      </w:r>
    </w:p>
    <w:p w14:paraId="49C7B64D" w14:textId="77777777" w:rsidR="008018ED" w:rsidRPr="00CD14D3" w:rsidRDefault="008018ED" w:rsidP="00821E4D">
      <w:pPr>
        <w:numPr>
          <w:ilvl w:val="0"/>
          <w:numId w:val="31"/>
        </w:numPr>
        <w:jc w:val="left"/>
        <w:rPr>
          <w:rFonts w:ascii="Sylfaen" w:eastAsia="Calibri" w:hAnsi="Sylfaen"/>
          <w:sz w:val="20"/>
          <w:lang w:val="ka-GE" w:eastAsia="zh-CN"/>
        </w:rPr>
      </w:pPr>
      <w:r w:rsidRPr="00CD14D3">
        <w:rPr>
          <w:rFonts w:ascii="Sylfaen" w:eastAsia="Calibri" w:hAnsi="Sylfaen"/>
          <w:sz w:val="20"/>
          <w:lang w:val="ka-GE"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14:paraId="0DA994FF" w14:textId="77777777" w:rsidR="008018ED" w:rsidRPr="00CD14D3" w:rsidRDefault="008018ED" w:rsidP="00821E4D">
      <w:pPr>
        <w:numPr>
          <w:ilvl w:val="0"/>
          <w:numId w:val="31"/>
        </w:numPr>
        <w:jc w:val="left"/>
        <w:rPr>
          <w:rFonts w:ascii="Sylfaen" w:eastAsia="Calibri" w:hAnsi="Sylfaen"/>
          <w:sz w:val="14"/>
          <w:szCs w:val="16"/>
          <w:lang w:val="ka-GE" w:eastAsia="zh-CN"/>
        </w:rPr>
      </w:pPr>
      <w:r w:rsidRPr="00CD14D3">
        <w:rPr>
          <w:rFonts w:ascii="Sylfaen" w:eastAsia="Calibri" w:hAnsi="Sylfaen"/>
          <w:sz w:val="20"/>
          <w:lang w:val="ka-GE"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14:paraId="3DC5B921" w14:textId="77777777" w:rsidR="008018ED" w:rsidRPr="00CD14D3" w:rsidRDefault="008018ED" w:rsidP="008018ED">
      <w:pPr>
        <w:spacing w:before="120"/>
        <w:ind w:right="-142"/>
        <w:rPr>
          <w:rFonts w:ascii="Sylfaen" w:eastAsia="Calibri" w:hAnsi="Sylfaen" w:cs="Sylfaen"/>
          <w:sz w:val="20"/>
          <w:lang w:val="ka-GE" w:eastAsia="zh-CN"/>
        </w:rPr>
      </w:pPr>
      <w:r w:rsidRPr="00CD14D3">
        <w:rPr>
          <w:rFonts w:ascii="Sylfaen" w:eastAsia="Calibri" w:hAnsi="Sylfaen" w:cs="Sylfaen"/>
          <w:sz w:val="20"/>
          <w:lang w:val="ka-GE" w:eastAsia="zh-CN"/>
        </w:rPr>
        <w:t>გარემოსდაცვითი მონიტორინგის პროცესში სისტემატურ დაკვირვებას და შეფასებას ექვემდებარება:</w:t>
      </w:r>
    </w:p>
    <w:p w14:paraId="655BED32" w14:textId="77777777" w:rsidR="008018ED" w:rsidRPr="00CD14D3" w:rsidRDefault="008018ED" w:rsidP="00821E4D">
      <w:pPr>
        <w:numPr>
          <w:ilvl w:val="0"/>
          <w:numId w:val="32"/>
        </w:numPr>
        <w:ind w:left="714" w:right="-142" w:hanging="357"/>
        <w:jc w:val="left"/>
        <w:rPr>
          <w:rFonts w:ascii="Sylfaen" w:eastAsia="Calibri" w:hAnsi="Sylfaen" w:cs="Sylfaen"/>
          <w:sz w:val="20"/>
          <w:lang w:val="ka-GE" w:eastAsia="zh-CN"/>
        </w:rPr>
      </w:pPr>
      <w:r w:rsidRPr="00CD14D3">
        <w:rPr>
          <w:rFonts w:ascii="Sylfaen" w:eastAsia="Calibri" w:hAnsi="Sylfaen" w:cs="Sylfaen"/>
          <w:sz w:val="20"/>
          <w:lang w:val="ka-GE" w:eastAsia="zh-CN"/>
        </w:rPr>
        <w:t>ატმოსფერული ჰაერი და ხმაური;</w:t>
      </w:r>
    </w:p>
    <w:p w14:paraId="12A77893" w14:textId="77777777" w:rsidR="008018ED" w:rsidRPr="00CD14D3" w:rsidRDefault="008018ED" w:rsidP="00821E4D">
      <w:pPr>
        <w:numPr>
          <w:ilvl w:val="0"/>
          <w:numId w:val="32"/>
        </w:numPr>
        <w:ind w:left="714" w:right="-142" w:hanging="357"/>
        <w:jc w:val="left"/>
        <w:rPr>
          <w:rFonts w:ascii="Sylfaen" w:eastAsia="Calibri" w:hAnsi="Sylfaen" w:cs="Sylfaen"/>
          <w:sz w:val="20"/>
          <w:lang w:val="ka-GE" w:eastAsia="zh-CN"/>
        </w:rPr>
      </w:pPr>
      <w:r w:rsidRPr="00CD14D3">
        <w:rPr>
          <w:rFonts w:ascii="Sylfaen" w:eastAsia="Calibri" w:hAnsi="Sylfaen" w:cs="Sylfaen"/>
          <w:sz w:val="20"/>
          <w:lang w:val="ka-GE" w:eastAsia="zh-CN"/>
        </w:rPr>
        <w:t>წყალი;</w:t>
      </w:r>
    </w:p>
    <w:p w14:paraId="3DC957F9" w14:textId="77777777" w:rsidR="008018ED" w:rsidRPr="00CD14D3" w:rsidRDefault="008018ED" w:rsidP="00821E4D">
      <w:pPr>
        <w:numPr>
          <w:ilvl w:val="0"/>
          <w:numId w:val="32"/>
        </w:numPr>
        <w:ind w:left="714" w:right="-142" w:hanging="357"/>
        <w:jc w:val="left"/>
        <w:rPr>
          <w:rFonts w:ascii="Sylfaen" w:eastAsia="Calibri" w:hAnsi="Sylfaen" w:cs="Sylfaen"/>
          <w:sz w:val="20"/>
          <w:lang w:val="ka-GE" w:eastAsia="zh-CN"/>
        </w:rPr>
      </w:pPr>
      <w:r w:rsidRPr="00CD14D3">
        <w:rPr>
          <w:rFonts w:ascii="Sylfaen" w:eastAsia="Calibri" w:hAnsi="Sylfaen" w:cs="Sylfaen"/>
          <w:sz w:val="20"/>
          <w:lang w:val="ka-GE" w:eastAsia="zh-CN"/>
        </w:rPr>
        <w:t>გეოლოგიური გარემო;</w:t>
      </w:r>
    </w:p>
    <w:p w14:paraId="7040CA9D" w14:textId="77777777" w:rsidR="008018ED" w:rsidRPr="00CD14D3" w:rsidRDefault="008018ED" w:rsidP="00821E4D">
      <w:pPr>
        <w:numPr>
          <w:ilvl w:val="0"/>
          <w:numId w:val="32"/>
        </w:numPr>
        <w:ind w:left="714" w:right="-142" w:hanging="357"/>
        <w:jc w:val="left"/>
        <w:rPr>
          <w:rFonts w:ascii="Sylfaen" w:eastAsia="Calibri" w:hAnsi="Sylfaen" w:cs="Sylfaen"/>
          <w:sz w:val="20"/>
          <w:lang w:val="ka-GE" w:eastAsia="zh-CN"/>
        </w:rPr>
      </w:pPr>
      <w:r w:rsidRPr="00CD14D3">
        <w:rPr>
          <w:rFonts w:ascii="Sylfaen" w:eastAsia="Calibri" w:hAnsi="Sylfaen" w:cs="Sylfaen"/>
          <w:sz w:val="20"/>
          <w:lang w:val="ka-GE" w:eastAsia="zh-CN"/>
        </w:rPr>
        <w:t>ნიადაგი;</w:t>
      </w:r>
    </w:p>
    <w:p w14:paraId="00A9DD1A" w14:textId="77777777" w:rsidR="008018ED" w:rsidRPr="00CD14D3" w:rsidRDefault="008018ED" w:rsidP="00821E4D">
      <w:pPr>
        <w:numPr>
          <w:ilvl w:val="0"/>
          <w:numId w:val="32"/>
        </w:numPr>
        <w:ind w:left="714" w:right="-142" w:hanging="357"/>
        <w:jc w:val="left"/>
        <w:rPr>
          <w:rFonts w:ascii="Sylfaen" w:eastAsia="Calibri" w:hAnsi="Sylfaen" w:cs="Sylfaen"/>
          <w:sz w:val="20"/>
          <w:lang w:val="ka-GE" w:eastAsia="zh-CN"/>
        </w:rPr>
      </w:pPr>
      <w:r w:rsidRPr="00CD14D3">
        <w:rPr>
          <w:rFonts w:ascii="Sylfaen" w:eastAsia="Calibri" w:hAnsi="Sylfaen" w:cs="Sylfaen"/>
          <w:sz w:val="20"/>
          <w:lang w:val="ka-GE" w:eastAsia="zh-CN"/>
        </w:rPr>
        <w:t>ბიოლოგიური გარემო;</w:t>
      </w:r>
    </w:p>
    <w:p w14:paraId="0F93EFDC" w14:textId="77777777" w:rsidR="008018ED" w:rsidRPr="00CD14D3" w:rsidRDefault="008018ED" w:rsidP="00821E4D">
      <w:pPr>
        <w:numPr>
          <w:ilvl w:val="0"/>
          <w:numId w:val="32"/>
        </w:numPr>
        <w:ind w:left="714" w:right="-142" w:hanging="357"/>
        <w:jc w:val="left"/>
        <w:rPr>
          <w:rFonts w:ascii="Sylfaen" w:eastAsia="Calibri" w:hAnsi="Sylfaen" w:cs="Sylfaen"/>
          <w:sz w:val="20"/>
          <w:lang w:val="ka-GE" w:eastAsia="zh-CN"/>
        </w:rPr>
      </w:pPr>
      <w:r w:rsidRPr="00CD14D3">
        <w:rPr>
          <w:rFonts w:ascii="Sylfaen" w:eastAsia="Calibri" w:hAnsi="Sylfaen" w:cs="Sylfaen"/>
          <w:sz w:val="20"/>
          <w:lang w:val="ka-GE" w:eastAsia="zh-CN"/>
        </w:rPr>
        <w:t>შრომის პირობები და უსაფრთხოების ნორმების შესრულება და სხვ.</w:t>
      </w:r>
    </w:p>
    <w:p w14:paraId="3965945A" w14:textId="77777777" w:rsidR="008018ED" w:rsidRPr="00CD14D3" w:rsidRDefault="008018ED" w:rsidP="008018ED">
      <w:pPr>
        <w:rPr>
          <w:sz w:val="20"/>
          <w:lang w:val="ka-GE"/>
        </w:rPr>
      </w:pPr>
    </w:p>
    <w:p w14:paraId="08F92657" w14:textId="77777777" w:rsidR="002F2298" w:rsidRPr="00CD14D3" w:rsidRDefault="002F2298" w:rsidP="008018ED">
      <w:pPr>
        <w:pStyle w:val="EIAheading2"/>
        <w:rPr>
          <w:rStyle w:val="EIAheading2Char"/>
          <w:bCs/>
          <w:sz w:val="24"/>
        </w:rPr>
      </w:pPr>
      <w:bookmarkStart w:id="527" w:name="_Toc414007892"/>
      <w:bookmarkStart w:id="528" w:name="_Toc1581591"/>
      <w:r w:rsidRPr="00CD14D3">
        <w:rPr>
          <w:rStyle w:val="EIAheading2Char"/>
          <w:bCs/>
          <w:sz w:val="24"/>
        </w:rPr>
        <w:t>9.2</w:t>
      </w:r>
      <w:r w:rsidR="00D85ED7" w:rsidRPr="00CD14D3">
        <w:rPr>
          <w:rStyle w:val="EIAheading2Char"/>
          <w:bCs/>
          <w:sz w:val="24"/>
        </w:rPr>
        <w:t xml:space="preserve"> </w:t>
      </w:r>
      <w:bookmarkEnd w:id="527"/>
      <w:r w:rsidR="00D85ED7" w:rsidRPr="00CD14D3">
        <w:rPr>
          <w:rStyle w:val="EIAheading2Char"/>
          <w:rFonts w:ascii="Sylfaen" w:hAnsi="Sylfaen" w:cs="Sylfaen"/>
          <w:bCs/>
          <w:sz w:val="24"/>
        </w:rPr>
        <w:t>ინსტიტუციონალური</w:t>
      </w:r>
      <w:r w:rsidR="00D85ED7" w:rsidRPr="00CD14D3">
        <w:rPr>
          <w:rStyle w:val="EIAheading2Char"/>
          <w:bCs/>
          <w:sz w:val="24"/>
        </w:rPr>
        <w:t xml:space="preserve"> </w:t>
      </w:r>
      <w:r w:rsidR="00D85ED7" w:rsidRPr="00CD14D3">
        <w:rPr>
          <w:rStyle w:val="EIAheading2Char"/>
          <w:rFonts w:ascii="Sylfaen" w:hAnsi="Sylfaen" w:cs="Sylfaen"/>
          <w:bCs/>
          <w:sz w:val="24"/>
        </w:rPr>
        <w:t>ჩარჩო</w:t>
      </w:r>
      <w:bookmarkEnd w:id="528"/>
    </w:p>
    <w:p w14:paraId="5940871C" w14:textId="77777777" w:rsidR="002F2298" w:rsidRPr="00CD14D3" w:rsidRDefault="00D85ED7" w:rsidP="00CD14D3">
      <w:pPr>
        <w:spacing w:before="120" w:after="120"/>
        <w:rPr>
          <w:rFonts w:ascii="Sylfaen" w:hAnsi="Sylfaen"/>
          <w:lang w:val="ka-GE"/>
        </w:rPr>
      </w:pPr>
      <w:r w:rsidRPr="00CD14D3">
        <w:rPr>
          <w:rFonts w:ascii="Sylfaen" w:hAnsi="Sylfaen" w:cs="Arial"/>
          <w:lang w:val="ka-GE"/>
        </w:rPr>
        <w:t xml:space="preserve">საგზაო დეპარტამენტი </w:t>
      </w:r>
      <w:r w:rsidRPr="00CD14D3">
        <w:rPr>
          <w:rFonts w:ascii="Sylfaen" w:hAnsi="Sylfaen" w:cs="Sylfaen"/>
          <w:lang w:val="ka-GE"/>
        </w:rPr>
        <w:t>პასუხისმგებელია</w:t>
      </w:r>
      <w:r w:rsidRPr="00CD14D3">
        <w:rPr>
          <w:rFonts w:ascii="Sylfaen" w:hAnsi="Sylfaen" w:cs="Arial"/>
          <w:lang w:val="ka-GE"/>
        </w:rPr>
        <w:t xml:space="preserve"> </w:t>
      </w:r>
      <w:r w:rsidRPr="00CD14D3">
        <w:rPr>
          <w:rFonts w:ascii="Sylfaen" w:hAnsi="Sylfaen" w:cs="Sylfaen"/>
          <w:lang w:val="ka-GE"/>
        </w:rPr>
        <w:t>ტექნიკური</w:t>
      </w:r>
      <w:r w:rsidRPr="00CD14D3">
        <w:rPr>
          <w:rFonts w:ascii="Sylfaen" w:hAnsi="Sylfaen"/>
          <w:lang w:val="ka-GE"/>
        </w:rPr>
        <w:t xml:space="preserve"> </w:t>
      </w:r>
      <w:r w:rsidRPr="00CD14D3">
        <w:rPr>
          <w:rFonts w:ascii="Sylfaen" w:hAnsi="Sylfaen" w:cs="Sylfaen"/>
          <w:lang w:val="ka-GE"/>
        </w:rPr>
        <w:t>ზედამხედველისა</w:t>
      </w:r>
      <w:r w:rsidRPr="00CD14D3">
        <w:rPr>
          <w:rFonts w:ascii="Sylfaen" w:hAnsi="Sylfaen" w:cs="Arial"/>
          <w:lang w:val="ka-GE"/>
        </w:rPr>
        <w:t xml:space="preserve"> </w:t>
      </w:r>
      <w:r w:rsidRPr="00CD14D3">
        <w:rPr>
          <w:rFonts w:ascii="Sylfaen" w:hAnsi="Sylfaen" w:cs="Sylfaen"/>
          <w:lang w:val="ka-GE"/>
        </w:rPr>
        <w:t>და</w:t>
      </w:r>
      <w:r w:rsidRPr="00CD14D3">
        <w:rPr>
          <w:rFonts w:ascii="Sylfaen" w:hAnsi="Sylfaen" w:cs="Arial"/>
          <w:lang w:val="ka-GE"/>
        </w:rPr>
        <w:t xml:space="preserve"> </w:t>
      </w:r>
      <w:r w:rsidRPr="00CD14D3">
        <w:rPr>
          <w:rFonts w:ascii="Sylfaen" w:hAnsi="Sylfaen" w:cs="Sylfaen"/>
          <w:lang w:val="ka-GE"/>
        </w:rPr>
        <w:t>კონტრაქტორის</w:t>
      </w:r>
      <w:r w:rsidRPr="00CD14D3">
        <w:rPr>
          <w:rFonts w:ascii="Sylfaen" w:hAnsi="Sylfaen" w:cs="Arial"/>
          <w:lang w:val="ka-GE"/>
        </w:rPr>
        <w:t xml:space="preserve"> </w:t>
      </w:r>
      <w:r w:rsidRPr="00CD14D3">
        <w:rPr>
          <w:rFonts w:ascii="Sylfaen" w:hAnsi="Sylfaen" w:cs="Sylfaen"/>
          <w:lang w:val="ka-GE"/>
        </w:rPr>
        <w:t>ხარისხ</w:t>
      </w:r>
      <w:r w:rsidR="00606572" w:rsidRPr="00CD14D3">
        <w:rPr>
          <w:rFonts w:ascii="Sylfaen" w:hAnsi="Sylfaen" w:cs="Sylfaen"/>
          <w:lang w:val="ka-GE"/>
        </w:rPr>
        <w:t>ობლივი</w:t>
      </w:r>
      <w:r w:rsidRPr="00CD14D3">
        <w:rPr>
          <w:rFonts w:ascii="Sylfaen" w:hAnsi="Sylfaen" w:cs="Arial"/>
          <w:lang w:val="ka-GE"/>
        </w:rPr>
        <w:t xml:space="preserve"> </w:t>
      </w:r>
      <w:r w:rsidRPr="00CD14D3">
        <w:rPr>
          <w:rFonts w:ascii="Sylfaen" w:hAnsi="Sylfaen" w:cs="Sylfaen"/>
          <w:lang w:val="ka-GE"/>
        </w:rPr>
        <w:t>შესრულების</w:t>
      </w:r>
      <w:r w:rsidRPr="00CD14D3">
        <w:rPr>
          <w:rFonts w:ascii="Sylfaen" w:hAnsi="Sylfaen" w:cs="Arial"/>
          <w:lang w:val="ka-GE"/>
        </w:rPr>
        <w:t xml:space="preserve"> </w:t>
      </w:r>
      <w:r w:rsidRPr="00CD14D3">
        <w:rPr>
          <w:rFonts w:ascii="Sylfaen" w:hAnsi="Sylfaen" w:cs="Sylfaen"/>
          <w:lang w:val="ka-GE"/>
        </w:rPr>
        <w:t>უზრუნველსაყოფად</w:t>
      </w:r>
      <w:r w:rsidRPr="00CD14D3">
        <w:rPr>
          <w:rFonts w:ascii="Sylfaen" w:hAnsi="Sylfaen"/>
          <w:lang w:val="ka-GE"/>
        </w:rPr>
        <w:t xml:space="preserve"> </w:t>
      </w:r>
      <w:r w:rsidRPr="00CD14D3">
        <w:rPr>
          <w:rFonts w:ascii="Sylfaen" w:hAnsi="Sylfaen" w:cs="Sylfaen"/>
          <w:lang w:val="ka-GE"/>
        </w:rPr>
        <w:t>სამუშაოების</w:t>
      </w:r>
      <w:r w:rsidRPr="00CD14D3">
        <w:rPr>
          <w:rFonts w:ascii="Sylfaen" w:hAnsi="Sylfaen" w:cs="Arial"/>
          <w:lang w:val="ka-GE"/>
        </w:rPr>
        <w:t xml:space="preserve"> </w:t>
      </w:r>
      <w:r w:rsidRPr="00CD14D3">
        <w:rPr>
          <w:rFonts w:ascii="Sylfaen" w:hAnsi="Sylfaen" w:cs="Sylfaen"/>
          <w:lang w:val="ka-GE"/>
        </w:rPr>
        <w:t>გარემოსდაცვითი</w:t>
      </w:r>
      <w:r w:rsidRPr="00CD14D3">
        <w:rPr>
          <w:rFonts w:ascii="Sylfaen" w:hAnsi="Sylfaen" w:cs="Arial"/>
          <w:lang w:val="ka-GE"/>
        </w:rPr>
        <w:t xml:space="preserve"> </w:t>
      </w:r>
      <w:r w:rsidRPr="00CD14D3">
        <w:rPr>
          <w:rFonts w:ascii="Sylfaen" w:hAnsi="Sylfaen" w:cs="Sylfaen"/>
          <w:lang w:val="ka-GE"/>
        </w:rPr>
        <w:t>შესაბამისობის</w:t>
      </w:r>
      <w:r w:rsidRPr="00CD14D3">
        <w:rPr>
          <w:rFonts w:ascii="Sylfaen" w:hAnsi="Sylfaen" w:cs="Arial"/>
          <w:lang w:val="ka-GE"/>
        </w:rPr>
        <w:t xml:space="preserve"> </w:t>
      </w:r>
      <w:r w:rsidRPr="00CD14D3">
        <w:rPr>
          <w:rFonts w:ascii="Sylfaen" w:hAnsi="Sylfaen" w:cs="Sylfaen"/>
          <w:lang w:val="ka-GE"/>
        </w:rPr>
        <w:t>ზოგად</w:t>
      </w:r>
      <w:r w:rsidRPr="00CD14D3">
        <w:rPr>
          <w:rFonts w:ascii="Sylfaen" w:hAnsi="Sylfaen" w:cs="Arial"/>
          <w:lang w:val="ka-GE"/>
        </w:rPr>
        <w:t xml:space="preserve"> </w:t>
      </w:r>
      <w:r w:rsidRPr="00CD14D3">
        <w:rPr>
          <w:rFonts w:ascii="Sylfaen" w:hAnsi="Sylfaen" w:cs="Sylfaen"/>
          <w:lang w:val="ka-GE"/>
        </w:rPr>
        <w:t>ზედამხედველობა</w:t>
      </w:r>
      <w:r w:rsidR="00606572" w:rsidRPr="00CD14D3">
        <w:rPr>
          <w:rFonts w:ascii="Sylfaen" w:hAnsi="Sylfaen" w:cs="Sylfaen"/>
          <w:lang w:val="ka-GE"/>
        </w:rPr>
        <w:t>ზე</w:t>
      </w:r>
      <w:r w:rsidRPr="00CD14D3">
        <w:rPr>
          <w:rFonts w:ascii="Sylfaen" w:hAnsi="Sylfaen"/>
          <w:lang w:val="ka-GE"/>
        </w:rPr>
        <w:t>.</w:t>
      </w:r>
      <w:r w:rsidR="00606572" w:rsidRPr="00CD14D3">
        <w:rPr>
          <w:rFonts w:ascii="Sylfaen" w:hAnsi="Sylfaen"/>
          <w:lang w:val="ka-GE"/>
        </w:rPr>
        <w:t xml:space="preserve"> საგზაო დეპარტამენტი </w:t>
      </w:r>
      <w:r w:rsidR="00606572" w:rsidRPr="00CD14D3">
        <w:rPr>
          <w:rFonts w:ascii="Sylfaen" w:hAnsi="Sylfaen" w:cs="Sylfaen"/>
          <w:lang w:val="ka-GE"/>
        </w:rPr>
        <w:t>შეასრულებს</w:t>
      </w:r>
      <w:r w:rsidR="00606572" w:rsidRPr="00CD14D3">
        <w:rPr>
          <w:rFonts w:ascii="Sylfaen" w:hAnsi="Sylfaen" w:cs="Arial"/>
          <w:lang w:val="ka-GE"/>
        </w:rPr>
        <w:t xml:space="preserve"> </w:t>
      </w:r>
      <w:r w:rsidR="00606572" w:rsidRPr="00CD14D3">
        <w:rPr>
          <w:rFonts w:ascii="Sylfaen" w:hAnsi="Sylfaen" w:cs="Sylfaen"/>
          <w:lang w:val="ka-GE"/>
        </w:rPr>
        <w:t>ამ</w:t>
      </w:r>
      <w:r w:rsidR="00606572" w:rsidRPr="00CD14D3">
        <w:rPr>
          <w:rFonts w:ascii="Sylfaen" w:hAnsi="Sylfaen" w:cs="Arial"/>
          <w:lang w:val="ka-GE"/>
        </w:rPr>
        <w:t xml:space="preserve"> </w:t>
      </w:r>
      <w:r w:rsidR="00606572" w:rsidRPr="00CD14D3">
        <w:rPr>
          <w:rFonts w:ascii="Sylfaen" w:hAnsi="Sylfaen" w:cs="Sylfaen"/>
          <w:lang w:val="ka-GE"/>
        </w:rPr>
        <w:t>ფუნქციებს</w:t>
      </w:r>
      <w:r w:rsidR="00606572" w:rsidRPr="00CD14D3">
        <w:rPr>
          <w:rFonts w:ascii="Sylfaen" w:hAnsi="Sylfaen" w:cs="Arial"/>
          <w:lang w:val="ka-GE"/>
        </w:rPr>
        <w:t xml:space="preserve"> </w:t>
      </w:r>
      <w:r w:rsidR="00606572" w:rsidRPr="00CD14D3">
        <w:rPr>
          <w:rFonts w:ascii="Sylfaen" w:hAnsi="Sylfaen" w:cs="Sylfaen"/>
          <w:lang w:val="ka-GE"/>
        </w:rPr>
        <w:t>განსახლებისა</w:t>
      </w:r>
      <w:r w:rsidR="00606572" w:rsidRPr="00CD14D3">
        <w:rPr>
          <w:rFonts w:ascii="Sylfaen" w:hAnsi="Sylfaen" w:cs="Arial"/>
          <w:lang w:val="ka-GE"/>
        </w:rPr>
        <w:t xml:space="preserve"> </w:t>
      </w:r>
      <w:r w:rsidR="00606572" w:rsidRPr="00CD14D3">
        <w:rPr>
          <w:rFonts w:ascii="Sylfaen" w:hAnsi="Sylfaen" w:cs="Sylfaen"/>
          <w:lang w:val="ka-GE"/>
        </w:rPr>
        <w:t>და</w:t>
      </w:r>
      <w:r w:rsidR="00606572" w:rsidRPr="00CD14D3">
        <w:rPr>
          <w:rFonts w:ascii="Sylfaen" w:hAnsi="Sylfaen" w:cs="Arial"/>
          <w:lang w:val="ka-GE"/>
        </w:rPr>
        <w:t xml:space="preserve"> </w:t>
      </w:r>
      <w:r w:rsidR="00606572" w:rsidRPr="00CD14D3">
        <w:rPr>
          <w:rFonts w:ascii="Sylfaen" w:hAnsi="Sylfaen" w:cs="Sylfaen"/>
          <w:lang w:val="ka-GE"/>
        </w:rPr>
        <w:t>გარემოს</w:t>
      </w:r>
      <w:r w:rsidR="00606572" w:rsidRPr="00CD14D3">
        <w:rPr>
          <w:rFonts w:ascii="Sylfaen" w:hAnsi="Sylfaen" w:cs="Arial"/>
          <w:lang w:val="ka-GE"/>
        </w:rPr>
        <w:t xml:space="preserve"> </w:t>
      </w:r>
      <w:r w:rsidR="00606572" w:rsidRPr="00CD14D3">
        <w:rPr>
          <w:rFonts w:ascii="Sylfaen" w:hAnsi="Sylfaen" w:cs="Sylfaen"/>
          <w:lang w:val="ka-GE"/>
        </w:rPr>
        <w:t>დაცვის</w:t>
      </w:r>
      <w:r w:rsidR="00606572" w:rsidRPr="00CD14D3">
        <w:rPr>
          <w:rFonts w:ascii="Sylfaen" w:hAnsi="Sylfaen" w:cs="Arial"/>
          <w:lang w:val="ka-GE"/>
        </w:rPr>
        <w:t xml:space="preserve"> </w:t>
      </w:r>
      <w:r w:rsidR="00606572" w:rsidRPr="00CD14D3">
        <w:rPr>
          <w:rFonts w:ascii="Sylfaen" w:hAnsi="Sylfaen" w:cs="Sylfaen"/>
          <w:lang w:val="ka-GE"/>
        </w:rPr>
        <w:t>განყოფილების</w:t>
      </w:r>
      <w:r w:rsidR="00606572" w:rsidRPr="00CD14D3">
        <w:rPr>
          <w:rFonts w:ascii="Sylfaen" w:hAnsi="Sylfaen"/>
          <w:lang w:val="ka-GE"/>
        </w:rPr>
        <w:t xml:space="preserve"> </w:t>
      </w:r>
      <w:r w:rsidR="00606572" w:rsidRPr="00CD14D3">
        <w:rPr>
          <w:rFonts w:ascii="Sylfaen" w:hAnsi="Sylfaen" w:cs="Sylfaen"/>
          <w:lang w:val="ka-GE"/>
        </w:rPr>
        <w:t>მეშვეობით</w:t>
      </w:r>
      <w:r w:rsidR="00606572" w:rsidRPr="00CD14D3">
        <w:rPr>
          <w:rFonts w:ascii="Sylfaen" w:hAnsi="Sylfaen" w:cs="Arial"/>
          <w:lang w:val="ka-GE"/>
        </w:rPr>
        <w:t xml:space="preserve">, </w:t>
      </w:r>
      <w:r w:rsidR="00606572" w:rsidRPr="00CD14D3">
        <w:rPr>
          <w:rFonts w:ascii="Sylfaen" w:hAnsi="Sylfaen" w:cs="Sylfaen"/>
          <w:lang w:val="ka-GE"/>
        </w:rPr>
        <w:t>რომელიც</w:t>
      </w:r>
      <w:r w:rsidR="00606572" w:rsidRPr="00CD14D3">
        <w:rPr>
          <w:rFonts w:ascii="Sylfaen" w:hAnsi="Sylfaen" w:cs="Arial"/>
          <w:lang w:val="ka-GE"/>
        </w:rPr>
        <w:t xml:space="preserve"> </w:t>
      </w:r>
      <w:r w:rsidR="00606572" w:rsidRPr="00CD14D3">
        <w:rPr>
          <w:rFonts w:ascii="Sylfaen" w:hAnsi="Sylfaen" w:cs="Sylfaen"/>
          <w:lang w:val="ka-GE"/>
        </w:rPr>
        <w:t>შედგება</w:t>
      </w:r>
      <w:r w:rsidR="00606572" w:rsidRPr="00CD14D3">
        <w:rPr>
          <w:rFonts w:ascii="Sylfaen" w:hAnsi="Sylfaen" w:cs="Arial"/>
          <w:lang w:val="ka-GE"/>
        </w:rPr>
        <w:t xml:space="preserve"> </w:t>
      </w:r>
      <w:r w:rsidR="00606572" w:rsidRPr="00CD14D3">
        <w:rPr>
          <w:rFonts w:ascii="Sylfaen" w:hAnsi="Sylfaen" w:cs="Sylfaen"/>
          <w:lang w:val="ka-GE"/>
        </w:rPr>
        <w:t>შესაბამისი</w:t>
      </w:r>
      <w:r w:rsidR="00606572" w:rsidRPr="00CD14D3">
        <w:rPr>
          <w:rFonts w:ascii="Sylfaen" w:hAnsi="Sylfaen" w:cs="Arial"/>
          <w:lang w:val="ka-GE"/>
        </w:rPr>
        <w:t xml:space="preserve"> </w:t>
      </w:r>
      <w:r w:rsidR="00606572" w:rsidRPr="00CD14D3">
        <w:rPr>
          <w:rFonts w:ascii="Sylfaen" w:hAnsi="Sylfaen" w:cs="Sylfaen"/>
          <w:lang w:val="ka-GE"/>
        </w:rPr>
        <w:t>განათლებისა</w:t>
      </w:r>
      <w:r w:rsidR="00606572" w:rsidRPr="00CD14D3">
        <w:rPr>
          <w:rFonts w:ascii="Sylfaen" w:hAnsi="Sylfaen" w:cs="Arial"/>
          <w:lang w:val="ka-GE"/>
        </w:rPr>
        <w:t xml:space="preserve"> </w:t>
      </w:r>
      <w:r w:rsidR="00606572" w:rsidRPr="00CD14D3">
        <w:rPr>
          <w:rFonts w:ascii="Sylfaen" w:hAnsi="Sylfaen" w:cs="Sylfaen"/>
          <w:lang w:val="ka-GE"/>
        </w:rPr>
        <w:t>და</w:t>
      </w:r>
      <w:r w:rsidR="00606572" w:rsidRPr="00CD14D3">
        <w:rPr>
          <w:rFonts w:ascii="Sylfaen" w:hAnsi="Sylfaen"/>
          <w:lang w:val="ka-GE"/>
        </w:rPr>
        <w:t xml:space="preserve"> </w:t>
      </w:r>
      <w:r w:rsidR="00606572" w:rsidRPr="00CD14D3">
        <w:rPr>
          <w:rFonts w:ascii="Sylfaen" w:hAnsi="Sylfaen" w:cs="Sylfaen"/>
          <w:lang w:val="ka-GE"/>
        </w:rPr>
        <w:t>პროფესიული</w:t>
      </w:r>
      <w:r w:rsidR="00606572" w:rsidRPr="00CD14D3">
        <w:rPr>
          <w:rFonts w:ascii="Sylfaen" w:hAnsi="Sylfaen" w:cs="Arial"/>
          <w:lang w:val="ka-GE"/>
        </w:rPr>
        <w:t xml:space="preserve"> </w:t>
      </w:r>
      <w:r w:rsidR="00606572" w:rsidRPr="00CD14D3">
        <w:rPr>
          <w:rFonts w:ascii="Sylfaen" w:hAnsi="Sylfaen" w:cs="Sylfaen"/>
          <w:lang w:val="ka-GE"/>
        </w:rPr>
        <w:t>უნარების მქონე თორმეტი</w:t>
      </w:r>
      <w:r w:rsidR="00606572" w:rsidRPr="00CD14D3">
        <w:rPr>
          <w:rFonts w:ascii="Sylfaen" w:hAnsi="Sylfaen" w:cs="Arial"/>
          <w:lang w:val="ka-GE"/>
        </w:rPr>
        <w:t xml:space="preserve"> </w:t>
      </w:r>
      <w:r w:rsidR="00606572" w:rsidRPr="00CD14D3">
        <w:rPr>
          <w:rFonts w:ascii="Sylfaen" w:hAnsi="Sylfaen" w:cs="Sylfaen"/>
          <w:lang w:val="ka-GE"/>
        </w:rPr>
        <w:t>პერსონალისგან</w:t>
      </w:r>
      <w:r w:rsidR="002F2298" w:rsidRPr="00CD14D3">
        <w:rPr>
          <w:rFonts w:ascii="Sylfaen" w:hAnsi="Sylfaen"/>
          <w:lang w:val="ka-GE"/>
        </w:rPr>
        <w:t xml:space="preserve">, </w:t>
      </w:r>
      <w:r w:rsidR="00606572" w:rsidRPr="00CD14D3">
        <w:rPr>
          <w:rFonts w:ascii="Sylfaen" w:hAnsi="Sylfaen" w:cs="Sylfaen"/>
          <w:lang w:val="ka-GE"/>
        </w:rPr>
        <w:t>ასევე</w:t>
      </w:r>
      <w:r w:rsidR="00606572" w:rsidRPr="00CD14D3">
        <w:rPr>
          <w:rFonts w:ascii="Sylfaen" w:hAnsi="Sylfaen" w:cs="Arial"/>
          <w:lang w:val="ka-GE"/>
        </w:rPr>
        <w:t xml:space="preserve"> </w:t>
      </w:r>
      <w:r w:rsidR="00606572" w:rsidRPr="00CD14D3">
        <w:rPr>
          <w:rFonts w:ascii="Sylfaen" w:hAnsi="Sylfaen" w:cs="Sylfaen"/>
          <w:lang w:val="ka-GE"/>
        </w:rPr>
        <w:t>საერთაშორისო</w:t>
      </w:r>
      <w:r w:rsidR="00606572" w:rsidRPr="00CD14D3">
        <w:rPr>
          <w:rFonts w:ascii="Sylfaen" w:hAnsi="Sylfaen" w:cs="Arial"/>
          <w:lang w:val="ka-GE"/>
        </w:rPr>
        <w:t xml:space="preserve"> </w:t>
      </w:r>
      <w:r w:rsidR="00606572" w:rsidRPr="00CD14D3">
        <w:rPr>
          <w:rFonts w:ascii="Sylfaen" w:hAnsi="Sylfaen" w:cs="Sylfaen"/>
          <w:lang w:val="ka-GE"/>
        </w:rPr>
        <w:t>გამოცდილების</w:t>
      </w:r>
      <w:r w:rsidR="00606572" w:rsidRPr="00CD14D3">
        <w:rPr>
          <w:rFonts w:ascii="Sylfaen" w:hAnsi="Sylfaen" w:cs="Arial"/>
          <w:lang w:val="ka-GE"/>
        </w:rPr>
        <w:t xml:space="preserve"> </w:t>
      </w:r>
      <w:r w:rsidR="00606572" w:rsidRPr="00CD14D3">
        <w:rPr>
          <w:rFonts w:ascii="Sylfaen" w:hAnsi="Sylfaen" w:cs="Sylfaen"/>
          <w:lang w:val="ka-GE"/>
        </w:rPr>
        <w:t>მქონე</w:t>
      </w:r>
      <w:r w:rsidR="00606572" w:rsidRPr="00CD14D3">
        <w:rPr>
          <w:rFonts w:ascii="Sylfaen" w:hAnsi="Sylfaen" w:cs="Arial"/>
          <w:lang w:val="ka-GE"/>
        </w:rPr>
        <w:t xml:space="preserve"> </w:t>
      </w:r>
      <w:r w:rsidR="00606572" w:rsidRPr="00CD14D3">
        <w:rPr>
          <w:rFonts w:ascii="Sylfaen" w:hAnsi="Sylfaen" w:cs="Sylfaen"/>
          <w:lang w:val="ka-GE"/>
        </w:rPr>
        <w:t>კონსულტანტების</w:t>
      </w:r>
      <w:r w:rsidR="00606572" w:rsidRPr="00CD14D3">
        <w:rPr>
          <w:rFonts w:ascii="Sylfaen" w:hAnsi="Sylfaen" w:cs="Arial"/>
          <w:lang w:val="ka-GE"/>
        </w:rPr>
        <w:t xml:space="preserve">გან, </w:t>
      </w:r>
      <w:r w:rsidR="00606572" w:rsidRPr="00CD14D3">
        <w:rPr>
          <w:rStyle w:val="shorttext"/>
          <w:rFonts w:ascii="Sylfaen" w:hAnsi="Sylfaen" w:cs="Sylfaen"/>
          <w:lang w:val="ka-GE"/>
        </w:rPr>
        <w:t>რომლებიც დაქირავებული არიან</w:t>
      </w:r>
      <w:r w:rsidR="00606572" w:rsidRPr="00CD14D3">
        <w:rPr>
          <w:rStyle w:val="shorttext"/>
          <w:rFonts w:ascii="Sylfaen" w:hAnsi="Sylfaen" w:cs="Arial"/>
          <w:lang w:val="ka-GE"/>
        </w:rPr>
        <w:t xml:space="preserve"> </w:t>
      </w:r>
      <w:r w:rsidR="00606572" w:rsidRPr="00CD14D3">
        <w:rPr>
          <w:rStyle w:val="shorttext"/>
          <w:rFonts w:ascii="Sylfaen" w:hAnsi="Sylfaen" w:cs="Sylfaen"/>
          <w:lang w:val="ka-GE"/>
        </w:rPr>
        <w:t>ოპერაციების</w:t>
      </w:r>
      <w:r w:rsidR="00606572" w:rsidRPr="00CD14D3">
        <w:rPr>
          <w:rStyle w:val="shorttext"/>
          <w:rFonts w:ascii="Sylfaen" w:hAnsi="Sylfaen" w:cs="Arial"/>
          <w:lang w:val="ka-GE"/>
        </w:rPr>
        <w:t xml:space="preserve"> </w:t>
      </w:r>
      <w:r w:rsidR="00606572" w:rsidRPr="00CD14D3">
        <w:rPr>
          <w:rStyle w:val="shorttext"/>
          <w:rFonts w:ascii="Sylfaen" w:hAnsi="Sylfaen" w:cs="Sylfaen"/>
          <w:lang w:val="ka-GE"/>
        </w:rPr>
        <w:t>ტექნიკური</w:t>
      </w:r>
      <w:r w:rsidR="00606572" w:rsidRPr="00CD14D3">
        <w:rPr>
          <w:rStyle w:val="shorttext"/>
          <w:rFonts w:ascii="Sylfaen" w:hAnsi="Sylfaen" w:cs="Arial"/>
          <w:lang w:val="ka-GE"/>
        </w:rPr>
        <w:t xml:space="preserve"> </w:t>
      </w:r>
      <w:r w:rsidR="00606572" w:rsidRPr="00CD14D3">
        <w:rPr>
          <w:rStyle w:val="shorttext"/>
          <w:rFonts w:ascii="Sylfaen" w:hAnsi="Sylfaen" w:cs="Sylfaen"/>
          <w:lang w:val="ka-GE"/>
        </w:rPr>
        <w:t>ზედამხედველობისათვის</w:t>
      </w:r>
      <w:r w:rsidR="00606572" w:rsidRPr="00CD14D3">
        <w:rPr>
          <w:rStyle w:val="shorttext"/>
          <w:rFonts w:ascii="Sylfaen" w:hAnsi="Sylfaen"/>
          <w:lang w:val="ka-GE"/>
        </w:rPr>
        <w:t xml:space="preserve">. </w:t>
      </w:r>
      <w:r w:rsidR="00B13F29" w:rsidRPr="00CD14D3">
        <w:rPr>
          <w:rFonts w:ascii="Sylfaen" w:hAnsi="Sylfaen" w:cs="Sylfaen"/>
          <w:lang w:val="ka-GE"/>
        </w:rPr>
        <w:t>ეს</w:t>
      </w:r>
      <w:r w:rsidR="00B13F29" w:rsidRPr="00CD14D3">
        <w:rPr>
          <w:rFonts w:ascii="Sylfaen" w:hAnsi="Sylfaen" w:cs="Arial"/>
          <w:lang w:val="ka-GE"/>
        </w:rPr>
        <w:t xml:space="preserve"> </w:t>
      </w:r>
      <w:r w:rsidR="00B13F29" w:rsidRPr="00CD14D3">
        <w:rPr>
          <w:rFonts w:ascii="Sylfaen" w:hAnsi="Sylfaen" w:cs="Sylfaen"/>
          <w:lang w:val="ka-GE"/>
        </w:rPr>
        <w:t>შიდა</w:t>
      </w:r>
      <w:r w:rsidR="00B13F29" w:rsidRPr="00CD14D3">
        <w:rPr>
          <w:rFonts w:ascii="Sylfaen" w:hAnsi="Sylfaen" w:cs="Arial"/>
          <w:lang w:val="ka-GE"/>
        </w:rPr>
        <w:t xml:space="preserve"> </w:t>
      </w:r>
      <w:r w:rsidR="00B13F29" w:rsidRPr="00CD14D3">
        <w:rPr>
          <w:rFonts w:ascii="Sylfaen" w:hAnsi="Sylfaen" w:cs="Sylfaen"/>
          <w:lang w:val="ka-GE"/>
        </w:rPr>
        <w:t>პოტენციალი</w:t>
      </w:r>
      <w:r w:rsidR="00B13F29" w:rsidRPr="00CD14D3">
        <w:rPr>
          <w:rFonts w:ascii="Sylfaen" w:hAnsi="Sylfaen" w:cs="Arial"/>
          <w:lang w:val="ka-GE"/>
        </w:rPr>
        <w:t xml:space="preserve"> </w:t>
      </w:r>
      <w:r w:rsidR="00B13F29" w:rsidRPr="00CD14D3">
        <w:rPr>
          <w:rFonts w:ascii="Sylfaen" w:hAnsi="Sylfaen" w:cs="Sylfaen"/>
          <w:lang w:val="ka-GE"/>
        </w:rPr>
        <w:t>მხარდაჭერილი იქნება</w:t>
      </w:r>
      <w:r w:rsidR="00B13F29" w:rsidRPr="00CD14D3">
        <w:rPr>
          <w:rFonts w:ascii="Sylfaen" w:hAnsi="Sylfaen" w:cs="Arial"/>
          <w:lang w:val="ka-GE"/>
        </w:rPr>
        <w:t xml:space="preserve"> </w:t>
      </w:r>
      <w:r w:rsidR="00B13F29" w:rsidRPr="00CD14D3">
        <w:rPr>
          <w:rFonts w:ascii="Sylfaen" w:hAnsi="Sylfaen" w:cs="Sylfaen"/>
          <w:lang w:val="ka-GE"/>
        </w:rPr>
        <w:t>გარე</w:t>
      </w:r>
      <w:r w:rsidR="00B13F29" w:rsidRPr="00CD14D3">
        <w:rPr>
          <w:rFonts w:ascii="Sylfaen" w:hAnsi="Sylfaen" w:cs="Arial"/>
          <w:lang w:val="ka-GE"/>
        </w:rPr>
        <w:t xml:space="preserve"> </w:t>
      </w:r>
      <w:r w:rsidR="00B13F29" w:rsidRPr="00CD14D3">
        <w:rPr>
          <w:rFonts w:ascii="Sylfaen" w:hAnsi="Sylfaen" w:cs="Sylfaen"/>
          <w:lang w:val="ka-GE"/>
        </w:rPr>
        <w:t>ინდივიდუალურ</w:t>
      </w:r>
      <w:r w:rsidR="00B13F29" w:rsidRPr="00CD14D3">
        <w:rPr>
          <w:rFonts w:ascii="Sylfaen" w:hAnsi="Sylfaen" w:cs="Arial"/>
          <w:lang w:val="ka-GE"/>
        </w:rPr>
        <w:t xml:space="preserve"> </w:t>
      </w:r>
      <w:r w:rsidR="00B13F29" w:rsidRPr="00CD14D3">
        <w:rPr>
          <w:rFonts w:ascii="Sylfaen" w:hAnsi="Sylfaen" w:cs="Sylfaen"/>
          <w:lang w:val="ka-GE"/>
        </w:rPr>
        <w:t>კონსულტანტებით</w:t>
      </w:r>
      <w:r w:rsidR="00B13F29" w:rsidRPr="00CD14D3">
        <w:rPr>
          <w:rFonts w:ascii="Sylfaen" w:hAnsi="Sylfaen" w:cs="Arial"/>
          <w:lang w:val="ka-GE"/>
        </w:rPr>
        <w:t xml:space="preserve"> </w:t>
      </w:r>
      <w:r w:rsidR="00B13F29" w:rsidRPr="00CD14D3">
        <w:rPr>
          <w:rFonts w:ascii="Sylfaen" w:hAnsi="Sylfaen" w:cs="Sylfaen"/>
          <w:lang w:val="ka-GE"/>
        </w:rPr>
        <w:t>მოთხოვნის</w:t>
      </w:r>
      <w:r w:rsidR="00B13F29" w:rsidRPr="00CD14D3">
        <w:rPr>
          <w:rFonts w:ascii="Sylfaen" w:hAnsi="Sylfaen" w:cs="Arial"/>
          <w:lang w:val="ka-GE"/>
        </w:rPr>
        <w:t xml:space="preserve"> </w:t>
      </w:r>
      <w:r w:rsidR="00B13F29" w:rsidRPr="00CD14D3">
        <w:rPr>
          <w:rFonts w:ascii="Sylfaen" w:hAnsi="Sylfaen" w:cs="Sylfaen"/>
          <w:lang w:val="ka-GE"/>
        </w:rPr>
        <w:t>საფუძველზე</w:t>
      </w:r>
      <w:r w:rsidR="00B13F29" w:rsidRPr="00CD14D3">
        <w:rPr>
          <w:rFonts w:ascii="Sylfaen" w:hAnsi="Sylfaen"/>
          <w:lang w:val="ka-GE"/>
        </w:rPr>
        <w:t>.</w:t>
      </w:r>
    </w:p>
    <w:p w14:paraId="1B8C1D28" w14:textId="77777777" w:rsidR="006E0CC9" w:rsidRPr="00CD14D3" w:rsidRDefault="00B13F29" w:rsidP="00CD14D3">
      <w:pPr>
        <w:spacing w:before="120" w:after="120"/>
        <w:rPr>
          <w:rFonts w:ascii="Sylfaen" w:hAnsi="Sylfaen"/>
          <w:lang w:val="ka-GE"/>
        </w:rPr>
      </w:pPr>
      <w:r w:rsidRPr="00CD14D3">
        <w:rPr>
          <w:rFonts w:ascii="Sylfaen" w:hAnsi="Sylfaen"/>
          <w:lang w:val="ka-GE"/>
        </w:rPr>
        <w:t>საგზაო დეპარტამენტის მიერ</w:t>
      </w:r>
      <w:r w:rsidRPr="00CD14D3">
        <w:rPr>
          <w:rFonts w:ascii="Sylfaen" w:hAnsi="Sylfaen" w:cs="Arial"/>
          <w:lang w:val="ka-GE"/>
        </w:rPr>
        <w:t xml:space="preserve"> </w:t>
      </w:r>
      <w:r w:rsidRPr="00CD14D3">
        <w:rPr>
          <w:rFonts w:ascii="Sylfaen" w:hAnsi="Sylfaen" w:cs="Sylfaen"/>
          <w:lang w:val="ka-GE"/>
        </w:rPr>
        <w:t>მიერ</w:t>
      </w:r>
      <w:r w:rsidRPr="00CD14D3">
        <w:rPr>
          <w:rFonts w:ascii="Sylfaen" w:hAnsi="Sylfaen" w:cs="Arial"/>
          <w:lang w:val="ka-GE"/>
        </w:rPr>
        <w:t xml:space="preserve"> </w:t>
      </w:r>
      <w:r w:rsidRPr="00CD14D3">
        <w:rPr>
          <w:rFonts w:ascii="Sylfaen" w:hAnsi="Sylfaen" w:cs="Sylfaen"/>
          <w:lang w:val="ka-GE"/>
        </w:rPr>
        <w:t>დაქირავებულ სამუშაოების</w:t>
      </w:r>
      <w:r w:rsidRPr="00CD14D3">
        <w:rPr>
          <w:rFonts w:ascii="Sylfaen" w:hAnsi="Sylfaen" w:cs="Arial"/>
          <w:lang w:val="ka-GE"/>
        </w:rPr>
        <w:t xml:space="preserve"> </w:t>
      </w:r>
      <w:r w:rsidRPr="00CD14D3">
        <w:rPr>
          <w:rFonts w:ascii="Sylfaen" w:hAnsi="Sylfaen" w:cs="Sylfaen"/>
          <w:lang w:val="ka-GE"/>
        </w:rPr>
        <w:t>ზედამხედველს</w:t>
      </w:r>
      <w:r w:rsidRPr="00CD14D3">
        <w:rPr>
          <w:rFonts w:ascii="Sylfaen" w:hAnsi="Sylfaen" w:cs="Arial"/>
          <w:lang w:val="ka-GE"/>
        </w:rPr>
        <w:t xml:space="preserve"> </w:t>
      </w:r>
      <w:r w:rsidRPr="00CD14D3">
        <w:rPr>
          <w:rFonts w:ascii="Sylfaen" w:hAnsi="Sylfaen" w:cs="Sylfaen"/>
          <w:lang w:val="ka-GE"/>
        </w:rPr>
        <w:t>დაეკისრება</w:t>
      </w:r>
      <w:r w:rsidRPr="00CD14D3">
        <w:rPr>
          <w:rFonts w:ascii="Sylfaen" w:hAnsi="Sylfaen" w:cs="Arial"/>
          <w:lang w:val="ka-GE"/>
        </w:rPr>
        <w:t xml:space="preserve"> </w:t>
      </w:r>
      <w:r w:rsidRPr="00CD14D3">
        <w:rPr>
          <w:rFonts w:ascii="Sylfaen" w:hAnsi="Sylfaen" w:cs="Sylfaen"/>
          <w:lang w:val="ka-GE"/>
        </w:rPr>
        <w:t>პასუხისმგებლობა</w:t>
      </w:r>
      <w:r w:rsidRPr="00CD14D3">
        <w:rPr>
          <w:rFonts w:ascii="Sylfaen" w:hAnsi="Sylfaen"/>
          <w:lang w:val="ka-GE"/>
        </w:rPr>
        <w:t xml:space="preserve"> </w:t>
      </w:r>
      <w:r w:rsidRPr="00CD14D3">
        <w:rPr>
          <w:rFonts w:ascii="Sylfaen" w:hAnsi="Sylfaen" w:cs="Sylfaen"/>
          <w:lang w:val="ka-GE"/>
        </w:rPr>
        <w:t>პროექტის</w:t>
      </w:r>
      <w:r w:rsidRPr="00CD14D3">
        <w:rPr>
          <w:rFonts w:ascii="Sylfaen" w:hAnsi="Sylfaen" w:cs="Arial"/>
          <w:lang w:val="ka-GE"/>
        </w:rPr>
        <w:t xml:space="preserve"> </w:t>
      </w:r>
      <w:r w:rsidRPr="00CD14D3">
        <w:rPr>
          <w:rFonts w:ascii="Sylfaen" w:hAnsi="Sylfaen" w:cs="Sylfaen"/>
          <w:lang w:val="ka-GE"/>
        </w:rPr>
        <w:t>ადგილებზე</w:t>
      </w:r>
      <w:r w:rsidRPr="00CD14D3">
        <w:rPr>
          <w:rFonts w:ascii="Sylfaen" w:hAnsi="Sylfaen" w:cs="Arial"/>
          <w:lang w:val="ka-GE"/>
        </w:rPr>
        <w:t xml:space="preserve"> </w:t>
      </w:r>
      <w:r w:rsidRPr="00CD14D3">
        <w:rPr>
          <w:rFonts w:ascii="Sylfaen" w:hAnsi="Sylfaen" w:cs="Sylfaen"/>
          <w:lang w:val="ka-GE"/>
        </w:rPr>
        <w:t xml:space="preserve">ხშირ ყოფნასა </w:t>
      </w:r>
      <w:r w:rsidRPr="00CD14D3">
        <w:rPr>
          <w:rFonts w:ascii="Sylfaen" w:hAnsi="Sylfaen" w:cs="Arial"/>
          <w:lang w:val="ka-GE"/>
        </w:rPr>
        <w:t xml:space="preserve"> </w:t>
      </w:r>
      <w:r w:rsidRPr="00CD14D3">
        <w:rPr>
          <w:rFonts w:ascii="Sylfaen" w:hAnsi="Sylfaen" w:cs="Sylfaen"/>
          <w:lang w:val="ka-GE"/>
        </w:rPr>
        <w:t>და</w:t>
      </w:r>
      <w:r w:rsidRPr="00CD14D3">
        <w:rPr>
          <w:rFonts w:ascii="Sylfaen" w:hAnsi="Sylfaen" w:cs="Arial"/>
          <w:lang w:val="ka-GE"/>
        </w:rPr>
        <w:t xml:space="preserve"> </w:t>
      </w:r>
      <w:r w:rsidRPr="00CD14D3">
        <w:rPr>
          <w:rFonts w:ascii="Sylfaen" w:hAnsi="Sylfaen" w:cs="Sylfaen"/>
          <w:lang w:val="ka-GE"/>
        </w:rPr>
        <w:t>სამუშაოების</w:t>
      </w:r>
      <w:r w:rsidRPr="00CD14D3">
        <w:rPr>
          <w:rFonts w:ascii="Sylfaen" w:hAnsi="Sylfaen"/>
          <w:lang w:val="ka-GE"/>
        </w:rPr>
        <w:t xml:space="preserve"> </w:t>
      </w:r>
      <w:r w:rsidRPr="00CD14D3">
        <w:rPr>
          <w:rFonts w:ascii="Sylfaen" w:hAnsi="Sylfaen" w:cs="Sylfaen"/>
          <w:lang w:val="ka-GE"/>
        </w:rPr>
        <w:t>ზედამხედველობაზე</w:t>
      </w:r>
      <w:r w:rsidRPr="00CD14D3">
        <w:rPr>
          <w:rFonts w:ascii="Sylfaen" w:hAnsi="Sylfaen"/>
          <w:lang w:val="ka-GE"/>
        </w:rPr>
        <w:t xml:space="preserve">. </w:t>
      </w:r>
      <w:r w:rsidR="006E0CC9" w:rsidRPr="00CD14D3">
        <w:rPr>
          <w:rFonts w:ascii="Sylfaen" w:hAnsi="Sylfaen" w:cs="Sylfaen"/>
          <w:lang w:val="ka-GE"/>
        </w:rPr>
        <w:t>სამუშაოების</w:t>
      </w:r>
      <w:r w:rsidR="006E0CC9" w:rsidRPr="00CD14D3">
        <w:rPr>
          <w:rFonts w:ascii="Sylfaen" w:hAnsi="Sylfaen"/>
          <w:lang w:val="ka-GE"/>
        </w:rPr>
        <w:t xml:space="preserve"> </w:t>
      </w:r>
      <w:r w:rsidR="006E0CC9" w:rsidRPr="00CD14D3">
        <w:rPr>
          <w:rFonts w:ascii="Sylfaen" w:hAnsi="Sylfaen" w:cs="Sylfaen"/>
          <w:lang w:val="ka-GE"/>
        </w:rPr>
        <w:t>დიზაინსა</w:t>
      </w:r>
      <w:r w:rsidR="006E0CC9" w:rsidRPr="00CD14D3">
        <w:rPr>
          <w:rFonts w:ascii="Sylfaen" w:hAnsi="Sylfaen" w:cs="Arial"/>
          <w:lang w:val="ka-GE"/>
        </w:rPr>
        <w:t xml:space="preserve"> </w:t>
      </w:r>
      <w:r w:rsidR="006E0CC9" w:rsidRPr="00CD14D3">
        <w:rPr>
          <w:rFonts w:ascii="Sylfaen" w:hAnsi="Sylfaen" w:cs="Sylfaen"/>
          <w:lang w:val="ka-GE"/>
        </w:rPr>
        <w:t>და</w:t>
      </w:r>
      <w:r w:rsidR="006E0CC9" w:rsidRPr="00CD14D3">
        <w:rPr>
          <w:rFonts w:ascii="Sylfaen" w:hAnsi="Sylfaen" w:cs="Arial"/>
          <w:lang w:val="ka-GE"/>
        </w:rPr>
        <w:t xml:space="preserve"> </w:t>
      </w:r>
      <w:r w:rsidR="006E0CC9" w:rsidRPr="00CD14D3">
        <w:rPr>
          <w:rFonts w:ascii="Sylfaen" w:hAnsi="Sylfaen" w:cs="Sylfaen"/>
          <w:lang w:val="ka-GE"/>
        </w:rPr>
        <w:t>ხარისხთან</w:t>
      </w:r>
      <w:r w:rsidR="006E0CC9" w:rsidRPr="00CD14D3">
        <w:rPr>
          <w:rFonts w:ascii="Sylfaen" w:hAnsi="Sylfaen" w:cs="Arial"/>
          <w:lang w:val="ka-GE"/>
        </w:rPr>
        <w:t xml:space="preserve"> </w:t>
      </w:r>
      <w:r w:rsidR="006E0CC9" w:rsidRPr="00CD14D3">
        <w:rPr>
          <w:rFonts w:ascii="Sylfaen" w:hAnsi="Sylfaen" w:cs="Sylfaen"/>
          <w:lang w:val="ka-GE"/>
        </w:rPr>
        <w:t>შესაბამისობის</w:t>
      </w:r>
      <w:r w:rsidR="006E0CC9" w:rsidRPr="00CD14D3">
        <w:rPr>
          <w:rFonts w:ascii="Sylfaen" w:hAnsi="Sylfaen" w:cs="Arial"/>
          <w:lang w:val="ka-GE"/>
        </w:rPr>
        <w:t xml:space="preserve"> </w:t>
      </w:r>
      <w:r w:rsidR="006E0CC9" w:rsidRPr="00CD14D3">
        <w:rPr>
          <w:rFonts w:ascii="Sylfaen" w:hAnsi="Sylfaen" w:cs="Sylfaen"/>
          <w:lang w:val="ka-GE"/>
        </w:rPr>
        <w:t>უზრუნველყოფასთან ერთად</w:t>
      </w:r>
      <w:r w:rsidR="006E0CC9" w:rsidRPr="00CD14D3">
        <w:rPr>
          <w:rFonts w:ascii="Sylfaen" w:hAnsi="Sylfaen" w:cs="Arial"/>
          <w:lang w:val="ka-GE"/>
        </w:rPr>
        <w:t xml:space="preserve"> </w:t>
      </w:r>
      <w:r w:rsidR="006E0CC9" w:rsidRPr="00CD14D3">
        <w:rPr>
          <w:rFonts w:ascii="Sylfaen" w:hAnsi="Sylfaen" w:cs="Sylfaen"/>
          <w:lang w:val="ka-GE"/>
        </w:rPr>
        <w:t>ზედამხედველი</w:t>
      </w:r>
      <w:r w:rsidR="006E0CC9" w:rsidRPr="00CD14D3">
        <w:rPr>
          <w:rFonts w:ascii="Sylfaen" w:hAnsi="Sylfaen"/>
          <w:lang w:val="ka-GE"/>
        </w:rPr>
        <w:t xml:space="preserve"> </w:t>
      </w:r>
      <w:r w:rsidR="006E0CC9" w:rsidRPr="00CD14D3">
        <w:rPr>
          <w:rFonts w:ascii="Sylfaen" w:hAnsi="Sylfaen" w:cs="Sylfaen"/>
          <w:lang w:val="ka-GE"/>
        </w:rPr>
        <w:t>ვალდებულია</w:t>
      </w:r>
      <w:r w:rsidR="006E0CC9" w:rsidRPr="00CD14D3">
        <w:rPr>
          <w:rFonts w:ascii="Sylfaen" w:hAnsi="Sylfaen" w:cs="Arial"/>
          <w:lang w:val="ka-GE"/>
        </w:rPr>
        <w:t xml:space="preserve"> აწარმოოს </w:t>
      </w:r>
      <w:r w:rsidR="006E0CC9" w:rsidRPr="00CD14D3">
        <w:rPr>
          <w:rFonts w:ascii="Sylfaen" w:hAnsi="Sylfaen" w:cs="Sylfaen"/>
          <w:lang w:val="ka-GE"/>
        </w:rPr>
        <w:t>მოიჯარის</w:t>
      </w:r>
      <w:r w:rsidR="006E0CC9" w:rsidRPr="00CD14D3">
        <w:rPr>
          <w:rFonts w:ascii="Sylfaen" w:hAnsi="Sylfaen" w:cs="Arial"/>
          <w:lang w:val="ka-GE"/>
        </w:rPr>
        <w:t xml:space="preserve"> </w:t>
      </w:r>
      <w:r w:rsidR="006E0CC9" w:rsidRPr="00CD14D3">
        <w:rPr>
          <w:rFonts w:ascii="Sylfaen" w:hAnsi="Sylfaen" w:cs="Sylfaen"/>
          <w:lang w:val="ka-GE"/>
        </w:rPr>
        <w:t>მიერ</w:t>
      </w:r>
      <w:r w:rsidR="006E0CC9" w:rsidRPr="00CD14D3">
        <w:rPr>
          <w:rFonts w:ascii="Sylfaen" w:hAnsi="Sylfaen" w:cs="Arial"/>
          <w:lang w:val="ka-GE"/>
        </w:rPr>
        <w:t xml:space="preserve"> EMP-</w:t>
      </w:r>
      <w:r w:rsidR="006E0CC9" w:rsidRPr="00CD14D3">
        <w:rPr>
          <w:rFonts w:ascii="Sylfaen" w:hAnsi="Sylfaen" w:cs="Sylfaen"/>
          <w:lang w:val="ka-GE"/>
        </w:rPr>
        <w:t>ის</w:t>
      </w:r>
      <w:r w:rsidR="006E0CC9" w:rsidRPr="00CD14D3">
        <w:rPr>
          <w:rFonts w:ascii="Sylfaen" w:hAnsi="Sylfaen" w:cs="Arial"/>
          <w:lang w:val="ka-GE"/>
        </w:rPr>
        <w:t xml:space="preserve"> </w:t>
      </w:r>
      <w:r w:rsidR="006E0CC9" w:rsidRPr="00CD14D3">
        <w:rPr>
          <w:rFonts w:ascii="Sylfaen" w:hAnsi="Sylfaen" w:cs="Sylfaen"/>
          <w:lang w:val="ka-GE"/>
        </w:rPr>
        <w:t>განხორციელების</w:t>
      </w:r>
      <w:r w:rsidR="006E0CC9" w:rsidRPr="00CD14D3">
        <w:rPr>
          <w:rFonts w:ascii="Sylfaen" w:hAnsi="Sylfaen" w:cs="Arial"/>
          <w:lang w:val="ka-GE"/>
        </w:rPr>
        <w:t xml:space="preserve"> </w:t>
      </w:r>
      <w:r w:rsidR="006E0CC9" w:rsidRPr="00CD14D3">
        <w:rPr>
          <w:rFonts w:ascii="Sylfaen" w:hAnsi="Sylfaen" w:cs="Sylfaen"/>
          <w:lang w:val="ka-GE"/>
        </w:rPr>
        <w:t>მონიტორინგი</w:t>
      </w:r>
      <w:r w:rsidR="006E0CC9" w:rsidRPr="00CD14D3">
        <w:rPr>
          <w:rFonts w:ascii="Sylfaen" w:hAnsi="Sylfaen" w:cs="Arial"/>
          <w:lang w:val="ka-GE"/>
        </w:rPr>
        <w:t>,</w:t>
      </w:r>
      <w:r w:rsidR="006E0CC9" w:rsidRPr="00CD14D3">
        <w:rPr>
          <w:rFonts w:ascii="Sylfaen" w:hAnsi="Sylfaen"/>
          <w:lang w:val="ka-GE"/>
        </w:rPr>
        <w:t xml:space="preserve"> </w:t>
      </w:r>
      <w:r w:rsidR="006E0CC9" w:rsidRPr="00CD14D3">
        <w:rPr>
          <w:rFonts w:ascii="Sylfaen" w:hAnsi="Sylfaen" w:cs="Sylfaen"/>
          <w:lang w:val="ka-GE"/>
        </w:rPr>
        <w:t>სავალდებულო</w:t>
      </w:r>
      <w:r w:rsidR="006E0CC9" w:rsidRPr="00CD14D3">
        <w:rPr>
          <w:rFonts w:ascii="Sylfaen" w:hAnsi="Sylfaen" w:cs="Arial"/>
          <w:lang w:val="ka-GE"/>
        </w:rPr>
        <w:t xml:space="preserve"> </w:t>
      </w:r>
      <w:r w:rsidR="006E0CC9" w:rsidRPr="00CD14D3">
        <w:rPr>
          <w:rFonts w:ascii="Sylfaen" w:hAnsi="Sylfaen" w:cs="Sylfaen"/>
          <w:lang w:val="ka-GE"/>
        </w:rPr>
        <w:t>ქმედებებიდან</w:t>
      </w:r>
      <w:r w:rsidR="006E0CC9" w:rsidRPr="00CD14D3">
        <w:rPr>
          <w:rFonts w:ascii="Sylfaen" w:hAnsi="Sylfaen" w:cs="Arial"/>
          <w:lang w:val="ka-GE"/>
        </w:rPr>
        <w:t xml:space="preserve"> </w:t>
      </w:r>
      <w:r w:rsidR="006E0CC9" w:rsidRPr="00CD14D3">
        <w:rPr>
          <w:rFonts w:ascii="Sylfaen" w:hAnsi="Sylfaen" w:cs="Sylfaen"/>
          <w:lang w:val="ka-GE"/>
        </w:rPr>
        <w:t>ნებისმიერი</w:t>
      </w:r>
      <w:r w:rsidR="006E0CC9" w:rsidRPr="00CD14D3">
        <w:rPr>
          <w:rFonts w:ascii="Sylfaen" w:hAnsi="Sylfaen" w:cs="Arial"/>
          <w:lang w:val="ka-GE"/>
        </w:rPr>
        <w:t xml:space="preserve"> </w:t>
      </w:r>
      <w:r w:rsidR="006E0CC9" w:rsidRPr="00CD14D3">
        <w:rPr>
          <w:rFonts w:ascii="Sylfaen" w:hAnsi="Sylfaen" w:cs="Sylfaen"/>
          <w:lang w:val="ka-GE"/>
        </w:rPr>
        <w:t>გადახრები</w:t>
      </w:r>
      <w:r w:rsidR="006E0CC9" w:rsidRPr="00CD14D3">
        <w:rPr>
          <w:rFonts w:ascii="Sylfaen" w:hAnsi="Sylfaen" w:cs="Arial"/>
          <w:lang w:val="ka-GE"/>
        </w:rPr>
        <w:t xml:space="preserve"> </w:t>
      </w:r>
      <w:r w:rsidR="006E0CC9" w:rsidRPr="00CD14D3">
        <w:rPr>
          <w:rFonts w:ascii="Sylfaen" w:hAnsi="Sylfaen" w:cs="Sylfaen"/>
          <w:lang w:val="ka-GE"/>
        </w:rPr>
        <w:t>და</w:t>
      </w:r>
      <w:r w:rsidR="006E0CC9" w:rsidRPr="00CD14D3">
        <w:rPr>
          <w:rFonts w:ascii="Sylfaen" w:hAnsi="Sylfaen" w:cs="Arial"/>
          <w:lang w:val="ka-GE"/>
        </w:rPr>
        <w:t xml:space="preserve"> </w:t>
      </w:r>
      <w:r w:rsidR="006E0CC9" w:rsidRPr="00CD14D3">
        <w:rPr>
          <w:rFonts w:ascii="Sylfaen" w:hAnsi="Sylfaen" w:cs="Sylfaen"/>
          <w:lang w:val="ka-GE"/>
        </w:rPr>
        <w:t>გამოავლინოს</w:t>
      </w:r>
      <w:r w:rsidR="006E0CC9" w:rsidRPr="00CD14D3">
        <w:rPr>
          <w:rFonts w:ascii="Sylfaen" w:hAnsi="Sylfaen"/>
          <w:lang w:val="ka-GE"/>
        </w:rPr>
        <w:t xml:space="preserve"> </w:t>
      </w:r>
      <w:r w:rsidR="006E0CC9" w:rsidRPr="00CD14D3">
        <w:rPr>
          <w:rFonts w:ascii="Sylfaen" w:hAnsi="Sylfaen" w:cs="Sylfaen"/>
          <w:lang w:val="ka-GE"/>
        </w:rPr>
        <w:t>გარემოსდაცვითი</w:t>
      </w:r>
      <w:r w:rsidR="006E0CC9" w:rsidRPr="00CD14D3">
        <w:rPr>
          <w:rFonts w:ascii="Sylfaen" w:hAnsi="Sylfaen" w:cs="Arial"/>
          <w:lang w:val="ka-GE"/>
        </w:rPr>
        <w:t>/</w:t>
      </w:r>
      <w:r w:rsidR="006E0CC9" w:rsidRPr="00CD14D3">
        <w:rPr>
          <w:rFonts w:ascii="Sylfaen" w:hAnsi="Sylfaen" w:cs="Sylfaen"/>
          <w:lang w:val="ka-GE"/>
        </w:rPr>
        <w:t>სოციალური</w:t>
      </w:r>
      <w:r w:rsidR="006E0CC9" w:rsidRPr="00CD14D3">
        <w:rPr>
          <w:rFonts w:ascii="Sylfaen" w:hAnsi="Sylfaen" w:cs="Arial"/>
          <w:lang w:val="ka-GE"/>
        </w:rPr>
        <w:t xml:space="preserve"> </w:t>
      </w:r>
      <w:r w:rsidR="006E0CC9" w:rsidRPr="00CD14D3">
        <w:rPr>
          <w:rFonts w:ascii="Sylfaen" w:hAnsi="Sylfaen" w:cs="Sylfaen"/>
          <w:lang w:val="ka-GE"/>
        </w:rPr>
        <w:t>საკითხები</w:t>
      </w:r>
      <w:r w:rsidR="006E0CC9" w:rsidRPr="00CD14D3">
        <w:rPr>
          <w:rFonts w:ascii="Sylfaen" w:hAnsi="Sylfaen" w:cs="Arial"/>
          <w:lang w:val="ka-GE"/>
        </w:rPr>
        <w:t xml:space="preserve">, </w:t>
      </w:r>
      <w:r w:rsidR="006E0CC9" w:rsidRPr="00CD14D3">
        <w:rPr>
          <w:rFonts w:ascii="Sylfaen" w:hAnsi="Sylfaen" w:cs="Sylfaen"/>
          <w:lang w:val="ka-GE"/>
        </w:rPr>
        <w:t>თუ</w:t>
      </w:r>
      <w:r w:rsidR="006E0CC9" w:rsidRPr="00CD14D3">
        <w:rPr>
          <w:rFonts w:ascii="Sylfaen" w:hAnsi="Sylfaen" w:cs="Arial"/>
          <w:lang w:val="ka-GE"/>
        </w:rPr>
        <w:t xml:space="preserve"> </w:t>
      </w:r>
      <w:r w:rsidR="006E0CC9" w:rsidRPr="00CD14D3">
        <w:rPr>
          <w:rFonts w:ascii="Sylfaen" w:hAnsi="Sylfaen" w:cs="Sylfaen"/>
          <w:lang w:val="ka-GE"/>
        </w:rPr>
        <w:t>ისინი</w:t>
      </w:r>
      <w:r w:rsidR="006E0CC9" w:rsidRPr="00CD14D3">
        <w:rPr>
          <w:rFonts w:ascii="Sylfaen" w:hAnsi="Sylfaen" w:cs="Arial"/>
          <w:lang w:val="ka-GE"/>
        </w:rPr>
        <w:t xml:space="preserve"> </w:t>
      </w:r>
      <w:r w:rsidR="006E0CC9" w:rsidRPr="00CD14D3">
        <w:rPr>
          <w:rFonts w:ascii="Sylfaen" w:hAnsi="Sylfaen" w:cs="Sylfaen"/>
          <w:lang w:val="ka-GE"/>
        </w:rPr>
        <w:t>წარმოიქმნება</w:t>
      </w:r>
      <w:r w:rsidR="006E0CC9" w:rsidRPr="00CD14D3">
        <w:rPr>
          <w:rFonts w:ascii="Sylfaen" w:hAnsi="Sylfaen" w:cs="Arial"/>
          <w:lang w:val="ka-GE"/>
        </w:rPr>
        <w:t xml:space="preserve"> </w:t>
      </w:r>
      <w:r w:rsidR="006E0CC9" w:rsidRPr="00CD14D3">
        <w:rPr>
          <w:rFonts w:ascii="Sylfaen" w:hAnsi="Sylfaen" w:cs="Sylfaen"/>
          <w:lang w:val="ka-GE"/>
        </w:rPr>
        <w:t>სამუშაოების ნებისმიერ</w:t>
      </w:r>
      <w:r w:rsidR="006E0CC9" w:rsidRPr="00CD14D3">
        <w:rPr>
          <w:rFonts w:ascii="Sylfaen" w:hAnsi="Sylfaen"/>
          <w:lang w:val="ka-GE"/>
        </w:rPr>
        <w:t xml:space="preserve"> </w:t>
      </w:r>
      <w:r w:rsidR="006E0CC9" w:rsidRPr="00CD14D3">
        <w:rPr>
          <w:rFonts w:ascii="Sylfaen" w:hAnsi="Sylfaen" w:cs="Sylfaen"/>
          <w:lang w:val="ka-GE"/>
        </w:rPr>
        <w:t>ეტაპზე</w:t>
      </w:r>
      <w:r w:rsidR="006E0CC9" w:rsidRPr="00CD14D3">
        <w:rPr>
          <w:rFonts w:ascii="Sylfaen" w:hAnsi="Sylfaen"/>
          <w:lang w:val="ka-GE"/>
        </w:rPr>
        <w:t>.</w:t>
      </w:r>
    </w:p>
    <w:p w14:paraId="69475528" w14:textId="77777777" w:rsidR="002F2298" w:rsidRPr="00CD14D3" w:rsidRDefault="006E0CC9" w:rsidP="00CD14D3">
      <w:pPr>
        <w:spacing w:before="120" w:after="120"/>
        <w:rPr>
          <w:rFonts w:ascii="Sylfaen" w:hAnsi="Sylfaen"/>
          <w:lang w:val="ka-GE"/>
        </w:rPr>
      </w:pPr>
      <w:r w:rsidRPr="00CD14D3">
        <w:rPr>
          <w:rFonts w:ascii="Sylfaen" w:hAnsi="Sylfaen" w:cs="Sylfaen"/>
          <w:lang w:val="ka-GE"/>
        </w:rPr>
        <w:lastRenderedPageBreak/>
        <w:t>მონიტორინგი</w:t>
      </w:r>
      <w:r w:rsidRPr="00CD14D3">
        <w:rPr>
          <w:rFonts w:ascii="Sylfaen" w:hAnsi="Sylfaen" w:cs="Arial"/>
          <w:lang w:val="ka-GE"/>
        </w:rPr>
        <w:t xml:space="preserve"> </w:t>
      </w:r>
      <w:r w:rsidRPr="00CD14D3">
        <w:rPr>
          <w:rFonts w:ascii="Sylfaen" w:hAnsi="Sylfaen" w:cs="Sylfaen"/>
          <w:lang w:val="ka-GE"/>
        </w:rPr>
        <w:t>უნდა</w:t>
      </w:r>
      <w:r w:rsidRPr="00CD14D3">
        <w:rPr>
          <w:rFonts w:ascii="Sylfaen" w:hAnsi="Sylfaen" w:cs="Arial"/>
          <w:lang w:val="ka-GE"/>
        </w:rPr>
        <w:t xml:space="preserve"> </w:t>
      </w:r>
      <w:r w:rsidRPr="00CD14D3">
        <w:rPr>
          <w:rFonts w:ascii="Sylfaen" w:hAnsi="Sylfaen" w:cs="Sylfaen"/>
          <w:lang w:val="ka-GE"/>
        </w:rPr>
        <w:t>მოიცავდეს</w:t>
      </w:r>
      <w:r w:rsidRPr="00CD14D3">
        <w:rPr>
          <w:rFonts w:ascii="Sylfaen" w:hAnsi="Sylfaen" w:cs="Arial"/>
          <w:lang w:val="ka-GE"/>
        </w:rPr>
        <w:t xml:space="preserve"> </w:t>
      </w:r>
      <w:r w:rsidRPr="00CD14D3">
        <w:rPr>
          <w:rFonts w:ascii="Sylfaen" w:hAnsi="Sylfaen" w:cs="Sylfaen"/>
          <w:lang w:val="ka-GE"/>
        </w:rPr>
        <w:t>ვიზუალური</w:t>
      </w:r>
      <w:r w:rsidRPr="00CD14D3">
        <w:rPr>
          <w:rFonts w:ascii="Sylfaen" w:hAnsi="Sylfaen" w:cs="Arial"/>
          <w:lang w:val="ka-GE"/>
        </w:rPr>
        <w:t xml:space="preserve"> </w:t>
      </w:r>
      <w:r w:rsidRPr="00CD14D3">
        <w:rPr>
          <w:rFonts w:ascii="Sylfaen" w:hAnsi="Sylfaen" w:cs="Sylfaen"/>
          <w:lang w:val="ka-GE"/>
        </w:rPr>
        <w:t>დაკვირვებას</w:t>
      </w:r>
      <w:r w:rsidRPr="00CD14D3">
        <w:rPr>
          <w:rFonts w:ascii="Sylfaen" w:hAnsi="Sylfaen" w:cs="Arial"/>
          <w:lang w:val="ka-GE"/>
        </w:rPr>
        <w:t xml:space="preserve"> </w:t>
      </w:r>
      <w:r w:rsidRPr="00CD14D3">
        <w:rPr>
          <w:rFonts w:ascii="Sylfaen" w:hAnsi="Sylfaen" w:cs="Sylfaen"/>
          <w:lang w:val="ka-GE"/>
        </w:rPr>
        <w:t>და</w:t>
      </w:r>
      <w:r w:rsidRPr="00CD14D3">
        <w:rPr>
          <w:rFonts w:ascii="Sylfaen" w:hAnsi="Sylfaen" w:cs="Arial"/>
          <w:lang w:val="ka-GE"/>
        </w:rPr>
        <w:t xml:space="preserve"> </w:t>
      </w:r>
      <w:r w:rsidRPr="00CD14D3">
        <w:rPr>
          <w:rFonts w:ascii="Sylfaen" w:hAnsi="Sylfaen" w:cs="Sylfaen"/>
          <w:lang w:val="ka-GE"/>
        </w:rPr>
        <w:t>გაზომვებს</w:t>
      </w:r>
      <w:r w:rsidRPr="00CD14D3">
        <w:rPr>
          <w:rFonts w:ascii="Sylfaen" w:hAnsi="Sylfaen"/>
          <w:lang w:val="ka-GE"/>
        </w:rPr>
        <w:t xml:space="preserve">. </w:t>
      </w:r>
      <w:r w:rsidRPr="00CD14D3">
        <w:rPr>
          <w:rFonts w:ascii="Sylfaen" w:hAnsi="Sylfaen" w:cs="Sylfaen"/>
          <w:lang w:val="ka-GE"/>
        </w:rPr>
        <w:t>მოკლევადიანი</w:t>
      </w:r>
      <w:r w:rsidRPr="00CD14D3">
        <w:rPr>
          <w:rFonts w:ascii="Sylfaen" w:hAnsi="Sylfaen" w:cs="Arial"/>
          <w:lang w:val="ka-GE"/>
        </w:rPr>
        <w:t xml:space="preserve"> </w:t>
      </w:r>
      <w:r w:rsidRPr="00CD14D3">
        <w:rPr>
          <w:rFonts w:ascii="Sylfaen" w:hAnsi="Sylfaen" w:cs="Sylfaen"/>
          <w:lang w:val="ka-GE"/>
        </w:rPr>
        <w:t>ზემოქმედების</w:t>
      </w:r>
      <w:r w:rsidRPr="00CD14D3">
        <w:rPr>
          <w:rFonts w:ascii="Sylfaen" w:hAnsi="Sylfaen" w:cs="Arial"/>
          <w:lang w:val="ka-GE"/>
        </w:rPr>
        <w:t xml:space="preserve"> </w:t>
      </w:r>
      <w:r w:rsidRPr="00CD14D3">
        <w:rPr>
          <w:rFonts w:ascii="Sylfaen" w:hAnsi="Sylfaen" w:cs="Sylfaen"/>
          <w:lang w:val="ka-GE"/>
        </w:rPr>
        <w:t>მონიტორინგისთვის</w:t>
      </w:r>
      <w:r w:rsidRPr="00CD14D3">
        <w:rPr>
          <w:rFonts w:ascii="Sylfaen" w:hAnsi="Sylfaen" w:cs="Arial"/>
          <w:lang w:val="ka-GE"/>
        </w:rPr>
        <w:t xml:space="preserve"> </w:t>
      </w:r>
      <w:r w:rsidRPr="00CD14D3">
        <w:rPr>
          <w:rFonts w:ascii="Sylfaen" w:hAnsi="Sylfaen" w:cs="Sylfaen"/>
          <w:lang w:val="ka-GE"/>
        </w:rPr>
        <w:t>გამოიყენება</w:t>
      </w:r>
      <w:r w:rsidRPr="00CD14D3">
        <w:rPr>
          <w:rFonts w:ascii="Sylfaen" w:hAnsi="Sylfaen" w:cs="Arial"/>
          <w:lang w:val="ka-GE"/>
        </w:rPr>
        <w:t xml:space="preserve"> </w:t>
      </w:r>
      <w:r w:rsidRPr="00CD14D3">
        <w:rPr>
          <w:rFonts w:ascii="Sylfaen" w:hAnsi="Sylfaen" w:cs="Sylfaen"/>
          <w:lang w:val="ka-GE"/>
        </w:rPr>
        <w:t>საველე</w:t>
      </w:r>
      <w:r w:rsidRPr="00CD14D3">
        <w:rPr>
          <w:rFonts w:ascii="Sylfaen" w:hAnsi="Sylfaen" w:cs="Arial"/>
          <w:lang w:val="ka-GE"/>
        </w:rPr>
        <w:t xml:space="preserve"> </w:t>
      </w:r>
      <w:r w:rsidRPr="00CD14D3">
        <w:rPr>
          <w:rFonts w:ascii="Sylfaen" w:hAnsi="Sylfaen" w:cs="Sylfaen"/>
          <w:lang w:val="ka-GE"/>
        </w:rPr>
        <w:t>ტესტერები</w:t>
      </w:r>
      <w:r w:rsidRPr="00CD14D3">
        <w:rPr>
          <w:rFonts w:ascii="Sylfaen" w:hAnsi="Sylfaen" w:cs="Arial"/>
          <w:lang w:val="ka-GE"/>
        </w:rPr>
        <w:t xml:space="preserve"> </w:t>
      </w:r>
      <w:r w:rsidRPr="00CD14D3">
        <w:rPr>
          <w:rFonts w:ascii="Sylfaen" w:hAnsi="Sylfaen" w:cs="Sylfaen"/>
          <w:lang w:val="ka-GE"/>
        </w:rPr>
        <w:t>და</w:t>
      </w:r>
      <w:r w:rsidRPr="00CD14D3">
        <w:rPr>
          <w:rFonts w:ascii="Sylfaen" w:hAnsi="Sylfaen" w:cs="Arial"/>
          <w:lang w:val="ka-GE"/>
        </w:rPr>
        <w:t xml:space="preserve"> </w:t>
      </w:r>
      <w:r w:rsidRPr="00CD14D3">
        <w:rPr>
          <w:rFonts w:ascii="Sylfaen" w:hAnsi="Sylfaen" w:cs="Sylfaen"/>
          <w:lang w:val="ka-GE"/>
        </w:rPr>
        <w:t>ხელის</w:t>
      </w:r>
      <w:r w:rsidRPr="00CD14D3">
        <w:rPr>
          <w:rFonts w:ascii="Sylfaen" w:hAnsi="Sylfaen"/>
          <w:lang w:val="ka-GE"/>
        </w:rPr>
        <w:t xml:space="preserve"> </w:t>
      </w:r>
      <w:r w:rsidRPr="00CD14D3">
        <w:rPr>
          <w:rFonts w:ascii="Sylfaen" w:hAnsi="Sylfaen" w:cs="Sylfaen"/>
          <w:lang w:val="ka-GE"/>
        </w:rPr>
        <w:t>აღჭურვილობა</w:t>
      </w:r>
      <w:r w:rsidRPr="00CD14D3">
        <w:rPr>
          <w:rFonts w:ascii="Sylfaen" w:hAnsi="Sylfaen"/>
          <w:lang w:val="ka-GE"/>
        </w:rPr>
        <w:t xml:space="preserve">. </w:t>
      </w:r>
      <w:r w:rsidRPr="00CD14D3">
        <w:rPr>
          <w:rFonts w:ascii="Sylfaen" w:hAnsi="Sylfaen" w:cs="Sylfaen"/>
          <w:lang w:val="ka-GE"/>
        </w:rPr>
        <w:t>გამოყენებული უნდა</w:t>
      </w:r>
      <w:r w:rsidRPr="00CD14D3">
        <w:rPr>
          <w:rFonts w:ascii="Sylfaen" w:hAnsi="Sylfaen" w:cs="Arial"/>
          <w:lang w:val="ka-GE"/>
        </w:rPr>
        <w:t xml:space="preserve"> </w:t>
      </w:r>
      <w:r w:rsidRPr="00CD14D3">
        <w:rPr>
          <w:rFonts w:ascii="Sylfaen" w:hAnsi="Sylfaen" w:cs="Sylfaen"/>
          <w:lang w:val="ka-GE"/>
        </w:rPr>
        <w:t>იქნას</w:t>
      </w:r>
      <w:r w:rsidRPr="00CD14D3">
        <w:rPr>
          <w:rFonts w:ascii="Sylfaen" w:hAnsi="Sylfaen" w:cs="Arial"/>
          <w:lang w:val="ka-GE"/>
        </w:rPr>
        <w:t xml:space="preserve"> </w:t>
      </w:r>
      <w:r w:rsidRPr="00CD14D3">
        <w:rPr>
          <w:rFonts w:ascii="Sylfaen" w:hAnsi="Sylfaen" w:cs="Sylfaen"/>
          <w:lang w:val="ka-GE"/>
        </w:rPr>
        <w:t xml:space="preserve"> დაკალიბრებული</w:t>
      </w:r>
      <w:r w:rsidRPr="00CD14D3">
        <w:rPr>
          <w:rFonts w:ascii="Sylfaen" w:hAnsi="Sylfaen" w:cs="Arial"/>
          <w:lang w:val="ka-GE"/>
        </w:rPr>
        <w:t xml:space="preserve"> </w:t>
      </w:r>
      <w:r w:rsidRPr="00CD14D3">
        <w:rPr>
          <w:rFonts w:ascii="Sylfaen" w:hAnsi="Sylfaen" w:cs="Sylfaen"/>
          <w:lang w:val="ka-GE"/>
        </w:rPr>
        <w:t>აღჭურვილობა</w:t>
      </w:r>
      <w:r w:rsidRPr="00CD14D3">
        <w:rPr>
          <w:rFonts w:ascii="Sylfaen" w:hAnsi="Sylfaen" w:cs="Arial"/>
          <w:lang w:val="ka-GE"/>
        </w:rPr>
        <w:t xml:space="preserve"> </w:t>
      </w:r>
      <w:r w:rsidRPr="00CD14D3">
        <w:rPr>
          <w:rFonts w:ascii="Sylfaen" w:hAnsi="Sylfaen" w:cs="Sylfaen"/>
          <w:lang w:val="ka-GE"/>
        </w:rPr>
        <w:t>და</w:t>
      </w:r>
      <w:r w:rsidRPr="00CD14D3">
        <w:rPr>
          <w:rFonts w:ascii="Sylfaen" w:hAnsi="Sylfaen" w:cs="Arial"/>
          <w:lang w:val="ka-GE"/>
        </w:rPr>
        <w:t xml:space="preserve"> </w:t>
      </w:r>
      <w:r w:rsidRPr="00CD14D3">
        <w:rPr>
          <w:rFonts w:ascii="Sylfaen" w:hAnsi="Sylfaen" w:cs="Sylfaen"/>
          <w:lang w:val="ka-GE"/>
        </w:rPr>
        <w:t>მონიტორინგის</w:t>
      </w:r>
      <w:r w:rsidRPr="00CD14D3">
        <w:rPr>
          <w:rFonts w:ascii="Sylfaen" w:hAnsi="Sylfaen" w:cs="Arial"/>
          <w:lang w:val="ka-GE"/>
        </w:rPr>
        <w:t xml:space="preserve"> </w:t>
      </w:r>
      <w:r w:rsidRPr="00CD14D3">
        <w:rPr>
          <w:rFonts w:ascii="Sylfaen" w:hAnsi="Sylfaen" w:cs="Sylfaen"/>
          <w:lang w:val="ka-GE"/>
        </w:rPr>
        <w:t>დამტკიცებული</w:t>
      </w:r>
      <w:r w:rsidRPr="00CD14D3">
        <w:rPr>
          <w:rFonts w:ascii="Sylfaen" w:hAnsi="Sylfaen" w:cs="Arial"/>
          <w:lang w:val="ka-GE"/>
        </w:rPr>
        <w:t xml:space="preserve"> </w:t>
      </w:r>
      <w:r w:rsidRPr="00CD14D3">
        <w:rPr>
          <w:rFonts w:ascii="Sylfaen" w:hAnsi="Sylfaen" w:cs="Sylfaen"/>
          <w:lang w:val="ka-GE"/>
        </w:rPr>
        <w:t>მეთოდები</w:t>
      </w:r>
      <w:r w:rsidR="002F2298" w:rsidRPr="00CD14D3">
        <w:rPr>
          <w:rFonts w:ascii="Sylfaen" w:hAnsi="Sylfaen"/>
          <w:lang w:val="ka-GE"/>
        </w:rPr>
        <w:t xml:space="preserve">. </w:t>
      </w:r>
      <w:r w:rsidRPr="00CD14D3">
        <w:rPr>
          <w:rFonts w:ascii="Sylfaen" w:hAnsi="Sylfaen" w:cs="Sylfaen"/>
          <w:lang w:val="ka-GE"/>
        </w:rPr>
        <w:t>კალიბრაცია</w:t>
      </w:r>
      <w:r w:rsidRPr="00CD14D3">
        <w:rPr>
          <w:rFonts w:ascii="Sylfaen" w:hAnsi="Sylfaen"/>
          <w:lang w:val="ka-GE"/>
        </w:rPr>
        <w:t xml:space="preserve"> </w:t>
      </w:r>
      <w:r w:rsidRPr="00CD14D3">
        <w:rPr>
          <w:rFonts w:ascii="Sylfaen" w:hAnsi="Sylfaen" w:cs="Sylfaen"/>
          <w:lang w:val="ka-GE"/>
        </w:rPr>
        <w:t>უნდა</w:t>
      </w:r>
      <w:r w:rsidRPr="00CD14D3">
        <w:rPr>
          <w:rFonts w:ascii="Sylfaen" w:hAnsi="Sylfaen" w:cs="Arial"/>
          <w:lang w:val="ka-GE"/>
        </w:rPr>
        <w:t xml:space="preserve"> </w:t>
      </w:r>
      <w:r w:rsidRPr="00CD14D3">
        <w:rPr>
          <w:rFonts w:ascii="Sylfaen" w:hAnsi="Sylfaen" w:cs="Sylfaen"/>
          <w:lang w:val="ka-GE"/>
        </w:rPr>
        <w:t>გაკეთდეს</w:t>
      </w:r>
      <w:r w:rsidRPr="00CD14D3">
        <w:rPr>
          <w:rFonts w:ascii="Sylfaen" w:hAnsi="Sylfaen" w:cs="Arial"/>
          <w:lang w:val="ka-GE"/>
        </w:rPr>
        <w:t xml:space="preserve"> </w:t>
      </w:r>
      <w:r w:rsidRPr="00CD14D3">
        <w:rPr>
          <w:rFonts w:ascii="Sylfaen" w:hAnsi="Sylfaen" w:cs="Sylfaen"/>
          <w:lang w:val="ka-GE"/>
        </w:rPr>
        <w:t>რეგულარულად</w:t>
      </w:r>
      <w:r w:rsidRPr="00CD14D3">
        <w:rPr>
          <w:rFonts w:ascii="Sylfaen" w:hAnsi="Sylfaen" w:cs="Arial"/>
          <w:lang w:val="ka-GE"/>
        </w:rPr>
        <w:t xml:space="preserve">, </w:t>
      </w:r>
      <w:r w:rsidR="00FE45AD" w:rsidRPr="00CD14D3">
        <w:rPr>
          <w:rFonts w:ascii="Sylfaen" w:hAnsi="Sylfaen" w:cs="Sylfaen"/>
          <w:lang w:val="ka-GE"/>
        </w:rPr>
        <w:t>ყველა</w:t>
      </w:r>
      <w:r w:rsidR="00FE45AD" w:rsidRPr="00CD14D3">
        <w:rPr>
          <w:rFonts w:ascii="Sylfaen" w:hAnsi="Sylfaen"/>
          <w:lang w:val="ka-GE"/>
        </w:rPr>
        <w:t xml:space="preserve"> </w:t>
      </w:r>
      <w:r w:rsidR="00FE45AD" w:rsidRPr="00CD14D3">
        <w:rPr>
          <w:rFonts w:ascii="Sylfaen" w:hAnsi="Sylfaen" w:cs="Sylfaen"/>
          <w:lang w:val="ka-GE"/>
        </w:rPr>
        <w:t>დაკალიბრების</w:t>
      </w:r>
      <w:r w:rsidR="00FE45AD" w:rsidRPr="00CD14D3">
        <w:rPr>
          <w:rFonts w:ascii="Sylfaen" w:hAnsi="Sylfaen" w:cs="Arial"/>
          <w:lang w:val="ka-GE"/>
        </w:rPr>
        <w:t xml:space="preserve"> </w:t>
      </w:r>
      <w:r w:rsidR="00FE45AD" w:rsidRPr="00CD14D3">
        <w:rPr>
          <w:rFonts w:ascii="Sylfaen" w:hAnsi="Sylfaen" w:cs="Sylfaen"/>
          <w:lang w:val="ka-GE"/>
        </w:rPr>
        <w:t>ჩანაწერი</w:t>
      </w:r>
      <w:r w:rsidR="00FE45AD" w:rsidRPr="00CD14D3">
        <w:rPr>
          <w:rFonts w:ascii="Sylfaen" w:hAnsi="Sylfaen" w:cs="Arial"/>
          <w:lang w:val="ka-GE"/>
        </w:rPr>
        <w:t xml:space="preserve"> </w:t>
      </w:r>
      <w:r w:rsidR="00FE45AD" w:rsidRPr="00CD14D3">
        <w:rPr>
          <w:rFonts w:ascii="Sylfaen" w:hAnsi="Sylfaen" w:cs="Sylfaen"/>
          <w:lang w:val="ka-GE"/>
        </w:rPr>
        <w:t>და</w:t>
      </w:r>
      <w:r w:rsidR="00FE45AD" w:rsidRPr="00CD14D3">
        <w:rPr>
          <w:rFonts w:ascii="Sylfaen" w:hAnsi="Sylfaen" w:cs="Arial"/>
          <w:lang w:val="ka-GE"/>
        </w:rPr>
        <w:t xml:space="preserve"> </w:t>
      </w:r>
      <w:r w:rsidR="00FE45AD" w:rsidRPr="00CD14D3">
        <w:rPr>
          <w:rFonts w:ascii="Sylfaen" w:hAnsi="Sylfaen" w:cs="Sylfaen"/>
          <w:lang w:val="ka-GE"/>
        </w:rPr>
        <w:t>მონიტორინგის</w:t>
      </w:r>
      <w:r w:rsidR="00FE45AD" w:rsidRPr="00CD14D3">
        <w:rPr>
          <w:rFonts w:ascii="Sylfaen" w:hAnsi="Sylfaen" w:cs="Arial"/>
          <w:lang w:val="ka-GE"/>
        </w:rPr>
        <w:t xml:space="preserve"> </w:t>
      </w:r>
      <w:r w:rsidR="00FE45AD" w:rsidRPr="00CD14D3">
        <w:rPr>
          <w:rFonts w:ascii="Sylfaen" w:hAnsi="Sylfaen" w:cs="Sylfaen"/>
          <w:lang w:val="ka-GE"/>
        </w:rPr>
        <w:t>შედეგები</w:t>
      </w:r>
      <w:r w:rsidR="00FE45AD" w:rsidRPr="00CD14D3">
        <w:rPr>
          <w:rFonts w:ascii="Sylfaen" w:hAnsi="Sylfaen" w:cs="Arial"/>
          <w:lang w:val="ka-GE"/>
        </w:rPr>
        <w:t xml:space="preserve">, </w:t>
      </w:r>
      <w:r w:rsidR="00FE45AD" w:rsidRPr="00CD14D3">
        <w:rPr>
          <w:rFonts w:ascii="Sylfaen" w:hAnsi="Sylfaen" w:cs="Sylfaen"/>
          <w:lang w:val="ka-GE"/>
        </w:rPr>
        <w:t>საავტორო</w:t>
      </w:r>
      <w:r w:rsidR="00FE45AD" w:rsidRPr="00CD14D3">
        <w:rPr>
          <w:rFonts w:ascii="Sylfaen" w:hAnsi="Sylfaen" w:cs="Arial"/>
          <w:lang w:val="ka-GE"/>
        </w:rPr>
        <w:t xml:space="preserve"> </w:t>
      </w:r>
      <w:r w:rsidR="00FE45AD" w:rsidRPr="00CD14D3">
        <w:rPr>
          <w:rFonts w:ascii="Sylfaen" w:hAnsi="Sylfaen" w:cs="Sylfaen"/>
          <w:lang w:val="ka-GE"/>
        </w:rPr>
        <w:t>ჩანაწერების</w:t>
      </w:r>
      <w:r w:rsidR="00FE45AD" w:rsidRPr="00CD14D3">
        <w:rPr>
          <w:rFonts w:ascii="Sylfaen" w:hAnsi="Sylfaen"/>
          <w:lang w:val="ka-GE"/>
        </w:rPr>
        <w:t xml:space="preserve"> </w:t>
      </w:r>
      <w:r w:rsidR="00FE45AD" w:rsidRPr="00CD14D3">
        <w:rPr>
          <w:rFonts w:ascii="Sylfaen" w:hAnsi="Sylfaen" w:cs="Sylfaen"/>
          <w:lang w:val="ka-GE"/>
        </w:rPr>
        <w:t>ასლები</w:t>
      </w:r>
      <w:r w:rsidR="00FE45AD" w:rsidRPr="00CD14D3">
        <w:rPr>
          <w:rFonts w:ascii="Sylfaen" w:hAnsi="Sylfaen" w:cs="Arial"/>
          <w:lang w:val="ka-GE"/>
        </w:rPr>
        <w:t xml:space="preserve">, </w:t>
      </w:r>
      <w:r w:rsidR="00FE45AD" w:rsidRPr="00CD14D3">
        <w:rPr>
          <w:rFonts w:ascii="Sylfaen" w:hAnsi="Sylfaen" w:cs="Sylfaen"/>
          <w:lang w:val="ka-GE"/>
        </w:rPr>
        <w:t>სერტიფიკატები</w:t>
      </w:r>
      <w:r w:rsidR="00FE45AD" w:rsidRPr="00CD14D3">
        <w:rPr>
          <w:rFonts w:ascii="Sylfaen" w:hAnsi="Sylfaen" w:cs="Arial"/>
          <w:lang w:val="ka-GE"/>
        </w:rPr>
        <w:t xml:space="preserve">, </w:t>
      </w:r>
      <w:r w:rsidR="00FE45AD" w:rsidRPr="00CD14D3">
        <w:rPr>
          <w:rFonts w:ascii="Sylfaen" w:hAnsi="Sylfaen" w:cs="Sylfaen"/>
          <w:lang w:val="ka-GE"/>
        </w:rPr>
        <w:t>ნებართვები</w:t>
      </w:r>
      <w:r w:rsidR="00FE45AD" w:rsidRPr="00CD14D3">
        <w:rPr>
          <w:rFonts w:ascii="Sylfaen" w:hAnsi="Sylfaen" w:cs="Arial"/>
          <w:lang w:val="ka-GE"/>
        </w:rPr>
        <w:t xml:space="preserve"> </w:t>
      </w:r>
      <w:r w:rsidR="00FE45AD" w:rsidRPr="00CD14D3">
        <w:rPr>
          <w:rFonts w:ascii="Sylfaen" w:hAnsi="Sylfaen" w:cs="Sylfaen"/>
          <w:lang w:val="ka-GE"/>
        </w:rPr>
        <w:t>და</w:t>
      </w:r>
      <w:r w:rsidR="00FE45AD" w:rsidRPr="00CD14D3">
        <w:rPr>
          <w:rFonts w:ascii="Sylfaen" w:hAnsi="Sylfaen" w:cs="Arial"/>
          <w:lang w:val="ka-GE"/>
        </w:rPr>
        <w:t xml:space="preserve"> </w:t>
      </w:r>
      <w:r w:rsidR="00FE45AD" w:rsidRPr="00CD14D3">
        <w:rPr>
          <w:rFonts w:ascii="Sylfaen" w:hAnsi="Sylfaen" w:cs="Sylfaen"/>
          <w:lang w:val="ka-GE"/>
        </w:rPr>
        <w:t>დოკუმენტები</w:t>
      </w:r>
      <w:r w:rsidR="00FE45AD" w:rsidRPr="00CD14D3">
        <w:rPr>
          <w:rFonts w:ascii="Sylfaen" w:hAnsi="Sylfaen" w:cs="Arial"/>
          <w:lang w:val="ka-GE"/>
        </w:rPr>
        <w:t xml:space="preserve"> </w:t>
      </w:r>
      <w:r w:rsidR="00FE45AD" w:rsidRPr="00CD14D3">
        <w:rPr>
          <w:rFonts w:ascii="Sylfaen" w:hAnsi="Sylfaen" w:cs="Sylfaen"/>
          <w:lang w:val="ka-GE"/>
        </w:rPr>
        <w:t>უნდა</w:t>
      </w:r>
      <w:r w:rsidR="00FE45AD" w:rsidRPr="00CD14D3">
        <w:rPr>
          <w:rFonts w:ascii="Sylfaen" w:hAnsi="Sylfaen" w:cs="Arial"/>
          <w:lang w:val="ka-GE"/>
        </w:rPr>
        <w:t xml:space="preserve"> </w:t>
      </w:r>
      <w:r w:rsidR="00FE45AD" w:rsidRPr="00CD14D3">
        <w:rPr>
          <w:rFonts w:ascii="Sylfaen" w:hAnsi="Sylfaen" w:cs="Sylfaen"/>
          <w:lang w:val="ka-GE"/>
        </w:rPr>
        <w:t>წარედგინოს</w:t>
      </w:r>
      <w:r w:rsidR="00FE45AD" w:rsidRPr="00CD14D3">
        <w:rPr>
          <w:rFonts w:ascii="Sylfaen" w:hAnsi="Sylfaen" w:cs="Arial"/>
          <w:lang w:val="ka-GE"/>
        </w:rPr>
        <w:t xml:space="preserve"> </w:t>
      </w:r>
      <w:r w:rsidR="00FE45AD" w:rsidRPr="00CD14D3">
        <w:rPr>
          <w:rFonts w:ascii="Sylfaen" w:hAnsi="Sylfaen" w:cs="Sylfaen"/>
          <w:lang w:val="ka-GE"/>
        </w:rPr>
        <w:t>და</w:t>
      </w:r>
      <w:r w:rsidR="00FE45AD" w:rsidRPr="00CD14D3">
        <w:rPr>
          <w:rFonts w:ascii="Sylfaen" w:hAnsi="Sylfaen"/>
          <w:lang w:val="ka-GE"/>
        </w:rPr>
        <w:t xml:space="preserve"> </w:t>
      </w:r>
      <w:r w:rsidR="00FE45AD" w:rsidRPr="00CD14D3">
        <w:rPr>
          <w:rFonts w:ascii="Sylfaen" w:hAnsi="Sylfaen" w:cs="Sylfaen"/>
          <w:lang w:val="ka-GE"/>
        </w:rPr>
        <w:t>შენახული იქნას</w:t>
      </w:r>
      <w:r w:rsidR="00FE45AD" w:rsidRPr="00CD14D3">
        <w:rPr>
          <w:rFonts w:ascii="Sylfaen" w:hAnsi="Sylfaen" w:cs="Arial"/>
          <w:lang w:val="ka-GE"/>
        </w:rPr>
        <w:t xml:space="preserve"> </w:t>
      </w:r>
      <w:r w:rsidR="00FE45AD" w:rsidRPr="00CD14D3">
        <w:rPr>
          <w:rFonts w:ascii="Sylfaen" w:hAnsi="Sylfaen" w:cs="Sylfaen"/>
          <w:lang w:val="ka-GE"/>
        </w:rPr>
        <w:t>საავტომობილო</w:t>
      </w:r>
      <w:r w:rsidR="00FE45AD" w:rsidRPr="00CD14D3">
        <w:rPr>
          <w:rFonts w:ascii="Sylfaen" w:hAnsi="Sylfaen" w:cs="Arial"/>
          <w:lang w:val="ka-GE"/>
        </w:rPr>
        <w:t xml:space="preserve"> </w:t>
      </w:r>
      <w:r w:rsidR="00FE45AD" w:rsidRPr="00CD14D3">
        <w:rPr>
          <w:rFonts w:ascii="Sylfaen" w:hAnsi="Sylfaen" w:cs="Sylfaen"/>
          <w:lang w:val="ka-GE"/>
        </w:rPr>
        <w:t>გზების</w:t>
      </w:r>
      <w:r w:rsidR="00FE45AD" w:rsidRPr="00CD14D3">
        <w:rPr>
          <w:rFonts w:ascii="Sylfaen" w:hAnsi="Sylfaen" w:cs="Arial"/>
          <w:lang w:val="ka-GE"/>
        </w:rPr>
        <w:t xml:space="preserve"> </w:t>
      </w:r>
      <w:r w:rsidR="00FE45AD" w:rsidRPr="00CD14D3">
        <w:rPr>
          <w:rFonts w:ascii="Sylfaen" w:hAnsi="Sylfaen" w:cs="Sylfaen"/>
          <w:lang w:val="ka-GE"/>
        </w:rPr>
        <w:t>დეპარტამენტში</w:t>
      </w:r>
      <w:r w:rsidR="00FE45AD" w:rsidRPr="00CD14D3">
        <w:rPr>
          <w:rFonts w:ascii="Sylfaen" w:hAnsi="Sylfaen"/>
          <w:lang w:val="ka-GE"/>
        </w:rPr>
        <w:t>.</w:t>
      </w:r>
    </w:p>
    <w:p w14:paraId="709AC043" w14:textId="77777777" w:rsidR="00FE45AD" w:rsidRPr="00CD14D3" w:rsidRDefault="00FE45AD" w:rsidP="00CD14D3">
      <w:pPr>
        <w:spacing w:before="120" w:after="120"/>
        <w:rPr>
          <w:rStyle w:val="shorttext"/>
          <w:rFonts w:ascii="Sylfaen" w:hAnsi="Sylfaen"/>
          <w:lang w:val="en-US"/>
        </w:rPr>
      </w:pPr>
      <w:r w:rsidRPr="00CD14D3">
        <w:rPr>
          <w:rStyle w:val="shorttext"/>
          <w:rFonts w:ascii="Sylfaen" w:hAnsi="Sylfaen" w:cs="Sylfaen"/>
          <w:lang w:val="ka-GE"/>
        </w:rPr>
        <w:t>ჩანაწერთა</w:t>
      </w:r>
      <w:r w:rsidRPr="00CD14D3">
        <w:rPr>
          <w:rStyle w:val="shorttext"/>
          <w:rFonts w:ascii="Sylfaen" w:hAnsi="Sylfaen" w:cs="Arial"/>
          <w:lang w:val="ka-GE"/>
        </w:rPr>
        <w:t xml:space="preserve"> </w:t>
      </w:r>
      <w:r w:rsidRPr="00CD14D3">
        <w:rPr>
          <w:rStyle w:val="shorttext"/>
          <w:rFonts w:ascii="Sylfaen" w:hAnsi="Sylfaen" w:cs="Sylfaen"/>
          <w:lang w:val="ka-GE"/>
        </w:rPr>
        <w:t>სია</w:t>
      </w:r>
      <w:r w:rsidRPr="00CD14D3">
        <w:rPr>
          <w:rStyle w:val="shorttext"/>
          <w:rFonts w:ascii="Sylfaen" w:hAnsi="Sylfaen" w:cs="Arial"/>
          <w:lang w:val="ka-GE"/>
        </w:rPr>
        <w:t xml:space="preserve"> </w:t>
      </w:r>
      <w:r w:rsidRPr="00CD14D3">
        <w:rPr>
          <w:rStyle w:val="shorttext"/>
          <w:rFonts w:ascii="Sylfaen" w:hAnsi="Sylfaen" w:cs="Sylfaen"/>
          <w:lang w:val="ka-GE"/>
        </w:rPr>
        <w:t>უნდა</w:t>
      </w:r>
      <w:r w:rsidRPr="00CD14D3">
        <w:rPr>
          <w:rStyle w:val="shorttext"/>
          <w:rFonts w:ascii="Sylfaen" w:hAnsi="Sylfaen" w:cs="Arial"/>
          <w:lang w:val="ka-GE"/>
        </w:rPr>
        <w:t xml:space="preserve"> </w:t>
      </w:r>
      <w:r w:rsidRPr="00CD14D3">
        <w:rPr>
          <w:rStyle w:val="shorttext"/>
          <w:rFonts w:ascii="Sylfaen" w:hAnsi="Sylfaen" w:cs="Sylfaen"/>
          <w:lang w:val="ka-GE"/>
        </w:rPr>
        <w:t>შეიცავდეს</w:t>
      </w:r>
      <w:r w:rsidRPr="00CD14D3">
        <w:rPr>
          <w:rStyle w:val="shorttext"/>
          <w:rFonts w:ascii="Sylfaen" w:hAnsi="Sylfaen"/>
          <w:lang w:val="ka-GE"/>
        </w:rPr>
        <w:t>:</w:t>
      </w:r>
    </w:p>
    <w:p w14:paraId="7BCEB748" w14:textId="77777777" w:rsidR="002F2298" w:rsidRPr="00CD14D3" w:rsidRDefault="00FE45AD" w:rsidP="00821E4D">
      <w:pPr>
        <w:pStyle w:val="ListParagraph"/>
        <w:numPr>
          <w:ilvl w:val="1"/>
          <w:numId w:val="19"/>
        </w:numPr>
        <w:spacing w:before="120" w:line="240" w:lineRule="auto"/>
        <w:ind w:left="270" w:hanging="180"/>
        <w:rPr>
          <w:szCs w:val="24"/>
        </w:rPr>
      </w:pPr>
      <w:r w:rsidRPr="00CD14D3">
        <w:rPr>
          <w:rStyle w:val="shorttext"/>
          <w:rFonts w:cs="Sylfaen"/>
          <w:szCs w:val="24"/>
          <w:lang w:val="ka-GE"/>
        </w:rPr>
        <w:t>სამუშაო</w:t>
      </w:r>
      <w:r w:rsidRPr="00CD14D3">
        <w:rPr>
          <w:rStyle w:val="shorttext"/>
          <w:rFonts w:cs="Arial"/>
          <w:szCs w:val="24"/>
          <w:lang w:val="ka-GE"/>
        </w:rPr>
        <w:t xml:space="preserve"> </w:t>
      </w:r>
      <w:r w:rsidRPr="00CD14D3">
        <w:rPr>
          <w:rStyle w:val="shorttext"/>
          <w:rFonts w:cs="Sylfaen"/>
          <w:szCs w:val="24"/>
          <w:lang w:val="ka-GE"/>
        </w:rPr>
        <w:t>პროგრამას</w:t>
      </w:r>
      <w:r w:rsidRPr="00CD14D3">
        <w:rPr>
          <w:rStyle w:val="shorttext"/>
          <w:rFonts w:cs="Arial"/>
          <w:szCs w:val="24"/>
          <w:lang w:val="ka-GE"/>
        </w:rPr>
        <w:t xml:space="preserve"> </w:t>
      </w:r>
      <w:r w:rsidRPr="00CD14D3">
        <w:rPr>
          <w:rStyle w:val="shorttext"/>
          <w:rFonts w:cs="Sylfaen"/>
          <w:szCs w:val="24"/>
          <w:lang w:val="ka-GE"/>
        </w:rPr>
        <w:t>და</w:t>
      </w:r>
      <w:r w:rsidRPr="00CD14D3">
        <w:rPr>
          <w:rStyle w:val="shorttext"/>
          <w:rFonts w:cs="Arial"/>
          <w:szCs w:val="24"/>
          <w:lang w:val="ka-GE"/>
        </w:rPr>
        <w:t xml:space="preserve"> </w:t>
      </w:r>
      <w:r w:rsidRPr="00CD14D3">
        <w:rPr>
          <w:rStyle w:val="shorttext"/>
          <w:rFonts w:cs="Sylfaen"/>
          <w:szCs w:val="24"/>
          <w:lang w:val="ka-GE"/>
        </w:rPr>
        <w:t>გრაფიკს</w:t>
      </w:r>
      <w:r w:rsidRPr="00CD14D3">
        <w:rPr>
          <w:rStyle w:val="shorttext"/>
          <w:szCs w:val="24"/>
          <w:lang w:val="ka-GE"/>
        </w:rPr>
        <w:t>;</w:t>
      </w:r>
    </w:p>
    <w:p w14:paraId="445A498E" w14:textId="77777777" w:rsidR="002F2298" w:rsidRPr="00CD14D3" w:rsidRDefault="00FE45AD" w:rsidP="00821E4D">
      <w:pPr>
        <w:pStyle w:val="ListParagraph"/>
        <w:numPr>
          <w:ilvl w:val="1"/>
          <w:numId w:val="19"/>
        </w:numPr>
        <w:spacing w:line="240" w:lineRule="auto"/>
        <w:ind w:left="270" w:hanging="180"/>
        <w:rPr>
          <w:szCs w:val="24"/>
        </w:rPr>
      </w:pPr>
      <w:r w:rsidRPr="00CD14D3">
        <w:rPr>
          <w:rStyle w:val="shorttext"/>
          <w:rFonts w:cs="Sylfaen"/>
          <w:szCs w:val="24"/>
          <w:lang w:val="ka-GE"/>
        </w:rPr>
        <w:t>გარემოსდაცვით</w:t>
      </w:r>
      <w:r w:rsidRPr="00CD14D3">
        <w:rPr>
          <w:rStyle w:val="shorttext"/>
          <w:rFonts w:cs="Arial"/>
          <w:szCs w:val="24"/>
          <w:lang w:val="ka-GE"/>
        </w:rPr>
        <w:t xml:space="preserve"> </w:t>
      </w:r>
      <w:r w:rsidRPr="00CD14D3">
        <w:rPr>
          <w:rStyle w:val="shorttext"/>
          <w:rFonts w:cs="Sylfaen"/>
          <w:szCs w:val="24"/>
          <w:lang w:val="ka-GE"/>
        </w:rPr>
        <w:t>ნებართვებსა</w:t>
      </w:r>
      <w:r w:rsidRPr="00CD14D3">
        <w:rPr>
          <w:rStyle w:val="shorttext"/>
          <w:rFonts w:cs="Arial"/>
          <w:szCs w:val="24"/>
          <w:lang w:val="ka-GE"/>
        </w:rPr>
        <w:t xml:space="preserve"> </w:t>
      </w:r>
      <w:r w:rsidRPr="00CD14D3">
        <w:rPr>
          <w:rStyle w:val="shorttext"/>
          <w:rFonts w:cs="Sylfaen"/>
          <w:szCs w:val="24"/>
          <w:lang w:val="ka-GE"/>
        </w:rPr>
        <w:t>და</w:t>
      </w:r>
      <w:r w:rsidRPr="00CD14D3">
        <w:rPr>
          <w:rStyle w:val="shorttext"/>
          <w:rFonts w:cs="Arial"/>
          <w:szCs w:val="24"/>
          <w:lang w:val="ka-GE"/>
        </w:rPr>
        <w:t xml:space="preserve"> </w:t>
      </w:r>
      <w:r w:rsidRPr="00CD14D3">
        <w:rPr>
          <w:rStyle w:val="shorttext"/>
          <w:rFonts w:cs="Sylfaen"/>
          <w:szCs w:val="24"/>
          <w:lang w:val="ka-GE"/>
        </w:rPr>
        <w:t>ლიცენზიებს</w:t>
      </w:r>
      <w:r w:rsidRPr="00CD14D3">
        <w:rPr>
          <w:rStyle w:val="shorttext"/>
          <w:szCs w:val="24"/>
          <w:lang w:val="ka-GE"/>
        </w:rPr>
        <w:t>;</w:t>
      </w:r>
    </w:p>
    <w:p w14:paraId="56C4A4ED" w14:textId="77777777" w:rsidR="002F2298" w:rsidRPr="00CD14D3" w:rsidRDefault="00FE45AD" w:rsidP="00821E4D">
      <w:pPr>
        <w:pStyle w:val="ListParagraph"/>
        <w:numPr>
          <w:ilvl w:val="1"/>
          <w:numId w:val="19"/>
        </w:numPr>
        <w:spacing w:line="240" w:lineRule="auto"/>
        <w:ind w:left="270" w:hanging="180"/>
        <w:rPr>
          <w:szCs w:val="24"/>
        </w:rPr>
      </w:pPr>
      <w:r w:rsidRPr="00CD14D3">
        <w:rPr>
          <w:rStyle w:val="shorttext"/>
          <w:rFonts w:cs="Sylfaen"/>
          <w:szCs w:val="24"/>
          <w:lang w:val="ka-GE"/>
        </w:rPr>
        <w:t>აღჭურვილობის</w:t>
      </w:r>
      <w:r w:rsidRPr="00CD14D3">
        <w:rPr>
          <w:rStyle w:val="shorttext"/>
          <w:rFonts w:cs="Arial"/>
          <w:szCs w:val="24"/>
          <w:lang w:val="ka-GE"/>
        </w:rPr>
        <w:t xml:space="preserve"> </w:t>
      </w:r>
      <w:r w:rsidRPr="00CD14D3">
        <w:rPr>
          <w:rStyle w:val="shorttext"/>
          <w:rFonts w:cs="Sylfaen"/>
          <w:szCs w:val="24"/>
          <w:lang w:val="ka-GE"/>
        </w:rPr>
        <w:t>ჩამონათვალს</w:t>
      </w:r>
      <w:r w:rsidRPr="00CD14D3">
        <w:rPr>
          <w:rStyle w:val="shorttext"/>
          <w:szCs w:val="24"/>
          <w:lang w:val="ka-GE"/>
        </w:rPr>
        <w:t>;</w:t>
      </w:r>
    </w:p>
    <w:p w14:paraId="50F7F7DB" w14:textId="77777777" w:rsidR="002F2298" w:rsidRPr="00CD14D3" w:rsidRDefault="00FE45AD" w:rsidP="00821E4D">
      <w:pPr>
        <w:pStyle w:val="ListParagraph"/>
        <w:numPr>
          <w:ilvl w:val="1"/>
          <w:numId w:val="19"/>
        </w:numPr>
        <w:spacing w:line="240" w:lineRule="auto"/>
        <w:ind w:left="270" w:hanging="180"/>
        <w:rPr>
          <w:szCs w:val="24"/>
        </w:rPr>
      </w:pPr>
      <w:r w:rsidRPr="00CD14D3">
        <w:rPr>
          <w:rStyle w:val="shorttext"/>
          <w:rFonts w:cs="Sylfaen"/>
          <w:szCs w:val="24"/>
          <w:lang w:val="ka-GE"/>
        </w:rPr>
        <w:t>შემარბილებელი</w:t>
      </w:r>
      <w:r w:rsidRPr="00CD14D3">
        <w:rPr>
          <w:rStyle w:val="shorttext"/>
          <w:rFonts w:cs="Arial"/>
          <w:szCs w:val="24"/>
          <w:lang w:val="ka-GE"/>
        </w:rPr>
        <w:t xml:space="preserve"> </w:t>
      </w:r>
      <w:r w:rsidRPr="00CD14D3">
        <w:rPr>
          <w:rStyle w:val="shorttext"/>
          <w:rFonts w:cs="Sylfaen"/>
          <w:szCs w:val="24"/>
          <w:lang w:val="ka-GE"/>
        </w:rPr>
        <w:t>ღონისძიებების</w:t>
      </w:r>
      <w:r w:rsidRPr="00CD14D3">
        <w:rPr>
          <w:rStyle w:val="shorttext"/>
          <w:rFonts w:cs="Arial"/>
          <w:szCs w:val="24"/>
          <w:lang w:val="ka-GE"/>
        </w:rPr>
        <w:t xml:space="preserve"> </w:t>
      </w:r>
      <w:r w:rsidRPr="00CD14D3">
        <w:rPr>
          <w:rStyle w:val="shorttext"/>
          <w:rFonts w:cs="Sylfaen"/>
          <w:szCs w:val="24"/>
          <w:lang w:val="ka-GE"/>
        </w:rPr>
        <w:t>ჩამონათვალს</w:t>
      </w:r>
      <w:r w:rsidRPr="00CD14D3">
        <w:rPr>
          <w:rStyle w:val="shorttext"/>
          <w:szCs w:val="24"/>
          <w:lang w:val="ka-GE"/>
        </w:rPr>
        <w:t>;</w:t>
      </w:r>
    </w:p>
    <w:p w14:paraId="53EC6BA4" w14:textId="77777777" w:rsidR="002F2298" w:rsidRPr="00CD14D3" w:rsidRDefault="00FE45AD" w:rsidP="00821E4D">
      <w:pPr>
        <w:pStyle w:val="ListParagraph"/>
        <w:numPr>
          <w:ilvl w:val="1"/>
          <w:numId w:val="19"/>
        </w:numPr>
        <w:spacing w:line="240" w:lineRule="auto"/>
        <w:ind w:left="270" w:hanging="180"/>
        <w:rPr>
          <w:szCs w:val="24"/>
        </w:rPr>
      </w:pPr>
      <w:r w:rsidRPr="00CD14D3">
        <w:rPr>
          <w:rFonts w:cs="Sylfaen"/>
          <w:szCs w:val="24"/>
          <w:lang w:val="ka-GE"/>
        </w:rPr>
        <w:t>სამშენებლო</w:t>
      </w:r>
      <w:r w:rsidRPr="00CD14D3">
        <w:rPr>
          <w:rFonts w:cs="Arial"/>
          <w:szCs w:val="24"/>
          <w:lang w:val="ka-GE"/>
        </w:rPr>
        <w:t xml:space="preserve"> </w:t>
      </w:r>
      <w:r w:rsidRPr="00CD14D3">
        <w:rPr>
          <w:rFonts w:cs="Sylfaen"/>
          <w:szCs w:val="24"/>
          <w:lang w:val="ka-GE"/>
        </w:rPr>
        <w:t>მასალების</w:t>
      </w:r>
      <w:r w:rsidRPr="00CD14D3">
        <w:rPr>
          <w:rFonts w:cs="Arial"/>
          <w:szCs w:val="24"/>
          <w:lang w:val="ka-GE"/>
        </w:rPr>
        <w:t xml:space="preserve"> </w:t>
      </w:r>
      <w:r w:rsidRPr="00CD14D3">
        <w:rPr>
          <w:rFonts w:cs="Sylfaen"/>
          <w:szCs w:val="24"/>
          <w:lang w:val="ka-GE"/>
        </w:rPr>
        <w:t>ტრანსპორტირების</w:t>
      </w:r>
      <w:r w:rsidRPr="00CD14D3">
        <w:rPr>
          <w:rFonts w:cs="Arial"/>
          <w:szCs w:val="24"/>
          <w:lang w:val="ka-GE"/>
        </w:rPr>
        <w:t xml:space="preserve"> </w:t>
      </w:r>
      <w:r w:rsidRPr="00CD14D3">
        <w:rPr>
          <w:rFonts w:cs="Sylfaen"/>
          <w:szCs w:val="24"/>
          <w:lang w:val="ka-GE"/>
        </w:rPr>
        <w:t>მარშრუტს</w:t>
      </w:r>
      <w:r w:rsidRPr="00CD14D3">
        <w:rPr>
          <w:rFonts w:cs="Arial"/>
          <w:szCs w:val="24"/>
          <w:lang w:val="ka-GE"/>
        </w:rPr>
        <w:t>/</w:t>
      </w:r>
      <w:r w:rsidRPr="00CD14D3">
        <w:rPr>
          <w:rFonts w:cs="Sylfaen"/>
          <w:szCs w:val="24"/>
          <w:lang w:val="ka-GE"/>
        </w:rPr>
        <w:t>პროგრამას</w:t>
      </w:r>
      <w:r w:rsidRPr="00CD14D3">
        <w:rPr>
          <w:szCs w:val="24"/>
          <w:lang w:val="ka-GE"/>
        </w:rPr>
        <w:t>;</w:t>
      </w:r>
    </w:p>
    <w:p w14:paraId="2FEA5FAD" w14:textId="77777777" w:rsidR="002F2298" w:rsidRPr="00CD14D3" w:rsidRDefault="00FE45AD" w:rsidP="00821E4D">
      <w:pPr>
        <w:pStyle w:val="ListParagraph"/>
        <w:numPr>
          <w:ilvl w:val="1"/>
          <w:numId w:val="19"/>
        </w:numPr>
        <w:spacing w:line="240" w:lineRule="auto"/>
        <w:ind w:left="270" w:hanging="180"/>
        <w:rPr>
          <w:szCs w:val="24"/>
        </w:rPr>
      </w:pPr>
      <w:r w:rsidRPr="00CD14D3">
        <w:rPr>
          <w:rFonts w:cs="Sylfaen"/>
          <w:szCs w:val="24"/>
          <w:lang w:val="ka-GE"/>
        </w:rPr>
        <w:t>ინსპექტირების</w:t>
      </w:r>
      <w:r w:rsidRPr="00CD14D3">
        <w:rPr>
          <w:rFonts w:cs="Arial"/>
          <w:szCs w:val="24"/>
          <w:lang w:val="ka-GE"/>
        </w:rPr>
        <w:t xml:space="preserve"> </w:t>
      </w:r>
      <w:r w:rsidRPr="00CD14D3">
        <w:rPr>
          <w:rFonts w:cs="Sylfaen"/>
          <w:szCs w:val="24"/>
          <w:lang w:val="ka-GE"/>
        </w:rPr>
        <w:t>ჩანაწერებს</w:t>
      </w:r>
      <w:r w:rsidRPr="00CD14D3">
        <w:rPr>
          <w:rFonts w:cs="Arial"/>
          <w:szCs w:val="24"/>
          <w:lang w:val="ka-GE"/>
        </w:rPr>
        <w:t xml:space="preserve"> - </w:t>
      </w:r>
      <w:r w:rsidRPr="00CD14D3">
        <w:rPr>
          <w:rFonts w:cs="Sylfaen"/>
          <w:szCs w:val="24"/>
          <w:lang w:val="ka-GE"/>
        </w:rPr>
        <w:t>ხმაურის</w:t>
      </w:r>
      <w:r w:rsidRPr="00CD14D3">
        <w:rPr>
          <w:rFonts w:cs="Arial"/>
          <w:szCs w:val="24"/>
          <w:lang w:val="ka-GE"/>
        </w:rPr>
        <w:t xml:space="preserve">, </w:t>
      </w:r>
      <w:r w:rsidRPr="00CD14D3">
        <w:rPr>
          <w:rFonts w:cs="Sylfaen"/>
          <w:szCs w:val="24"/>
          <w:lang w:val="ka-GE"/>
        </w:rPr>
        <w:t>წყლის</w:t>
      </w:r>
      <w:r w:rsidRPr="00CD14D3">
        <w:rPr>
          <w:rFonts w:cs="Arial"/>
          <w:szCs w:val="24"/>
          <w:lang w:val="ka-GE"/>
        </w:rPr>
        <w:t xml:space="preserve"> </w:t>
      </w:r>
      <w:r w:rsidRPr="00CD14D3">
        <w:rPr>
          <w:rFonts w:cs="Sylfaen"/>
          <w:szCs w:val="24"/>
          <w:lang w:val="ka-GE"/>
        </w:rPr>
        <w:t>ხარისხის</w:t>
      </w:r>
      <w:r w:rsidRPr="00CD14D3">
        <w:rPr>
          <w:rFonts w:cs="Arial"/>
          <w:szCs w:val="24"/>
          <w:lang w:val="ka-GE"/>
        </w:rPr>
        <w:t xml:space="preserve"> </w:t>
      </w:r>
      <w:r w:rsidRPr="00CD14D3">
        <w:rPr>
          <w:rFonts w:cs="Sylfaen"/>
          <w:szCs w:val="24"/>
          <w:lang w:val="ka-GE"/>
        </w:rPr>
        <w:t>მონიტორინგის</w:t>
      </w:r>
      <w:r w:rsidRPr="00CD14D3">
        <w:rPr>
          <w:rFonts w:cs="Arial"/>
          <w:szCs w:val="24"/>
          <w:lang w:val="ka-GE"/>
        </w:rPr>
        <w:t xml:space="preserve"> </w:t>
      </w:r>
      <w:r w:rsidRPr="00CD14D3">
        <w:rPr>
          <w:rFonts w:cs="Sylfaen"/>
          <w:szCs w:val="24"/>
          <w:lang w:val="ka-GE"/>
        </w:rPr>
        <w:t>მონაცემებს</w:t>
      </w:r>
      <w:r w:rsidRPr="00CD14D3">
        <w:rPr>
          <w:szCs w:val="24"/>
          <w:lang w:val="ka-GE"/>
        </w:rPr>
        <w:t>;</w:t>
      </w:r>
    </w:p>
    <w:p w14:paraId="4D65354E" w14:textId="77777777" w:rsidR="002F2298" w:rsidRPr="00CD14D3" w:rsidRDefault="00FE45AD" w:rsidP="00821E4D">
      <w:pPr>
        <w:pStyle w:val="ListParagraph"/>
        <w:numPr>
          <w:ilvl w:val="1"/>
          <w:numId w:val="19"/>
        </w:numPr>
        <w:spacing w:line="240" w:lineRule="auto"/>
        <w:ind w:left="270" w:hanging="180"/>
        <w:rPr>
          <w:szCs w:val="24"/>
        </w:rPr>
      </w:pPr>
      <w:r w:rsidRPr="00CD14D3">
        <w:rPr>
          <w:rFonts w:cs="Sylfaen"/>
          <w:szCs w:val="24"/>
          <w:lang w:val="ka-GE"/>
        </w:rPr>
        <w:t>გარემოსდაცვით</w:t>
      </w:r>
      <w:r w:rsidRPr="00CD14D3">
        <w:rPr>
          <w:rFonts w:cs="Arial"/>
          <w:szCs w:val="24"/>
          <w:lang w:val="ka-GE"/>
        </w:rPr>
        <w:t xml:space="preserve"> </w:t>
      </w:r>
      <w:r w:rsidRPr="00CD14D3">
        <w:rPr>
          <w:rFonts w:cs="Sylfaen"/>
          <w:szCs w:val="24"/>
          <w:lang w:val="ka-GE"/>
        </w:rPr>
        <w:t>საკითხებთან</w:t>
      </w:r>
      <w:r w:rsidRPr="00CD14D3">
        <w:rPr>
          <w:rFonts w:cs="Arial"/>
          <w:szCs w:val="24"/>
          <w:lang w:val="ka-GE"/>
        </w:rPr>
        <w:t xml:space="preserve"> </w:t>
      </w:r>
      <w:r w:rsidRPr="00CD14D3">
        <w:rPr>
          <w:rFonts w:cs="Sylfaen"/>
          <w:szCs w:val="24"/>
          <w:lang w:val="ka-GE"/>
        </w:rPr>
        <w:t>დაკავშირებულ</w:t>
      </w:r>
      <w:r w:rsidRPr="00CD14D3">
        <w:rPr>
          <w:rFonts w:cs="Arial"/>
          <w:szCs w:val="24"/>
          <w:lang w:val="ka-GE"/>
        </w:rPr>
        <w:t xml:space="preserve"> </w:t>
      </w:r>
      <w:r w:rsidRPr="00CD14D3">
        <w:rPr>
          <w:rFonts w:cs="Sylfaen"/>
          <w:szCs w:val="24"/>
          <w:lang w:val="ka-GE"/>
        </w:rPr>
        <w:t>კორესპონდენციის</w:t>
      </w:r>
      <w:r w:rsidRPr="00CD14D3">
        <w:rPr>
          <w:rFonts w:cs="Arial"/>
          <w:szCs w:val="24"/>
          <w:lang w:val="ka-GE"/>
        </w:rPr>
        <w:t xml:space="preserve"> </w:t>
      </w:r>
      <w:r w:rsidRPr="00CD14D3">
        <w:rPr>
          <w:rFonts w:cs="Sylfaen"/>
          <w:szCs w:val="24"/>
          <w:lang w:val="ka-GE"/>
        </w:rPr>
        <w:t>ასლებს</w:t>
      </w:r>
      <w:r w:rsidRPr="00CD14D3">
        <w:rPr>
          <w:szCs w:val="24"/>
          <w:lang w:val="ka-GE"/>
        </w:rPr>
        <w:t>;</w:t>
      </w:r>
    </w:p>
    <w:p w14:paraId="3EBAD9C9" w14:textId="77777777" w:rsidR="002F2298" w:rsidRPr="00CD14D3" w:rsidRDefault="00FE45AD" w:rsidP="00821E4D">
      <w:pPr>
        <w:pStyle w:val="ListParagraph"/>
        <w:numPr>
          <w:ilvl w:val="1"/>
          <w:numId w:val="19"/>
        </w:numPr>
        <w:spacing w:line="240" w:lineRule="auto"/>
        <w:ind w:left="270" w:hanging="180"/>
        <w:rPr>
          <w:szCs w:val="24"/>
        </w:rPr>
      </w:pPr>
      <w:r w:rsidRPr="00CD14D3">
        <w:rPr>
          <w:rStyle w:val="shorttext"/>
          <w:rFonts w:cs="Arial"/>
          <w:szCs w:val="24"/>
          <w:lang w:val="ka-GE"/>
        </w:rPr>
        <w:t xml:space="preserve">უბნის </w:t>
      </w:r>
      <w:r w:rsidRPr="00CD14D3">
        <w:rPr>
          <w:rStyle w:val="shorttext"/>
          <w:rFonts w:cs="Sylfaen"/>
          <w:szCs w:val="24"/>
          <w:lang w:val="ka-GE"/>
        </w:rPr>
        <w:t>სადრენაჟო</w:t>
      </w:r>
      <w:r w:rsidRPr="00CD14D3">
        <w:rPr>
          <w:rStyle w:val="shorttext"/>
          <w:rFonts w:cs="Arial"/>
          <w:szCs w:val="24"/>
          <w:lang w:val="ka-GE"/>
        </w:rPr>
        <w:t xml:space="preserve"> </w:t>
      </w:r>
      <w:r w:rsidRPr="00CD14D3">
        <w:rPr>
          <w:rStyle w:val="shorttext"/>
          <w:rFonts w:cs="Sylfaen"/>
          <w:szCs w:val="24"/>
          <w:lang w:val="ka-GE"/>
        </w:rPr>
        <w:t>გეგმას</w:t>
      </w:r>
      <w:r w:rsidRPr="00CD14D3">
        <w:rPr>
          <w:rStyle w:val="shorttext"/>
          <w:szCs w:val="24"/>
          <w:lang w:val="ka-GE"/>
        </w:rPr>
        <w:t>;</w:t>
      </w:r>
    </w:p>
    <w:p w14:paraId="2141D5CE" w14:textId="77777777" w:rsidR="002F2298" w:rsidRPr="00CD14D3" w:rsidRDefault="00F83795" w:rsidP="00821E4D">
      <w:pPr>
        <w:pStyle w:val="ListParagraph"/>
        <w:numPr>
          <w:ilvl w:val="1"/>
          <w:numId w:val="19"/>
        </w:numPr>
        <w:spacing w:line="240" w:lineRule="auto"/>
        <w:ind w:left="270" w:hanging="180"/>
        <w:rPr>
          <w:szCs w:val="24"/>
        </w:rPr>
      </w:pPr>
      <w:r w:rsidRPr="00CD14D3">
        <w:rPr>
          <w:rFonts w:cs="Sylfaen"/>
          <w:szCs w:val="24"/>
          <w:lang w:val="ka-GE"/>
        </w:rPr>
        <w:t>ნალექების</w:t>
      </w:r>
      <w:r w:rsidRPr="00CD14D3">
        <w:rPr>
          <w:rFonts w:cs="Arial"/>
          <w:szCs w:val="24"/>
          <w:lang w:val="ka-GE"/>
        </w:rPr>
        <w:t xml:space="preserve"> </w:t>
      </w:r>
      <w:r w:rsidRPr="00CD14D3">
        <w:rPr>
          <w:rFonts w:cs="Sylfaen"/>
          <w:szCs w:val="24"/>
          <w:lang w:val="ka-GE"/>
        </w:rPr>
        <w:t>და</w:t>
      </w:r>
      <w:r w:rsidRPr="00CD14D3">
        <w:rPr>
          <w:rFonts w:cs="Arial"/>
          <w:szCs w:val="24"/>
          <w:lang w:val="ka-GE"/>
        </w:rPr>
        <w:t xml:space="preserve"> </w:t>
      </w:r>
      <w:r w:rsidRPr="00CD14D3">
        <w:rPr>
          <w:rFonts w:cs="Sylfaen"/>
          <w:szCs w:val="24"/>
          <w:lang w:val="ka-GE"/>
        </w:rPr>
        <w:t>ნავთობის</w:t>
      </w:r>
      <w:r w:rsidRPr="00CD14D3">
        <w:rPr>
          <w:rFonts w:cs="Arial"/>
          <w:szCs w:val="24"/>
          <w:lang w:val="ka-GE"/>
        </w:rPr>
        <w:t>/</w:t>
      </w:r>
      <w:r w:rsidR="001D2226" w:rsidRPr="00CD14D3">
        <w:rPr>
          <w:rFonts w:cs="Sylfaen"/>
          <w:szCs w:val="24"/>
          <w:lang w:val="ka-GE"/>
        </w:rPr>
        <w:t>საპოხის</w:t>
      </w:r>
      <w:r w:rsidRPr="00CD14D3">
        <w:rPr>
          <w:rFonts w:cs="Arial"/>
          <w:szCs w:val="24"/>
          <w:lang w:val="ka-GE"/>
        </w:rPr>
        <w:t xml:space="preserve"> </w:t>
      </w:r>
      <w:r w:rsidR="001D2226" w:rsidRPr="00CD14D3">
        <w:rPr>
          <w:rFonts w:cs="Sylfaen"/>
          <w:szCs w:val="24"/>
          <w:lang w:val="ka-GE"/>
        </w:rPr>
        <w:t>ტრაპების</w:t>
      </w:r>
      <w:r w:rsidRPr="00CD14D3">
        <w:rPr>
          <w:rFonts w:cs="Arial"/>
          <w:szCs w:val="24"/>
          <w:lang w:val="ka-GE"/>
        </w:rPr>
        <w:t xml:space="preserve"> </w:t>
      </w:r>
      <w:r w:rsidRPr="00CD14D3">
        <w:rPr>
          <w:rFonts w:cs="Sylfaen"/>
          <w:szCs w:val="24"/>
          <w:lang w:val="ka-GE"/>
        </w:rPr>
        <w:t>სარემონტო</w:t>
      </w:r>
      <w:r w:rsidRPr="00CD14D3">
        <w:rPr>
          <w:rFonts w:cs="Arial"/>
          <w:szCs w:val="24"/>
          <w:lang w:val="ka-GE"/>
        </w:rPr>
        <w:t xml:space="preserve"> </w:t>
      </w:r>
      <w:r w:rsidRPr="00CD14D3">
        <w:rPr>
          <w:rFonts w:cs="Sylfaen"/>
          <w:szCs w:val="24"/>
          <w:lang w:val="ka-GE"/>
        </w:rPr>
        <w:t>და</w:t>
      </w:r>
      <w:r w:rsidRPr="00CD14D3">
        <w:rPr>
          <w:rFonts w:cs="Arial"/>
          <w:szCs w:val="24"/>
          <w:lang w:val="ka-GE"/>
        </w:rPr>
        <w:t xml:space="preserve"> </w:t>
      </w:r>
      <w:r w:rsidRPr="00CD14D3">
        <w:rPr>
          <w:rFonts w:cs="Sylfaen"/>
          <w:szCs w:val="24"/>
          <w:lang w:val="ka-GE"/>
        </w:rPr>
        <w:t>დასუფთავების</w:t>
      </w:r>
      <w:r w:rsidRPr="00CD14D3">
        <w:rPr>
          <w:rFonts w:cs="Arial"/>
          <w:szCs w:val="24"/>
          <w:lang w:val="ka-GE"/>
        </w:rPr>
        <w:t xml:space="preserve"> </w:t>
      </w:r>
      <w:r w:rsidR="001D2226" w:rsidRPr="00CD14D3">
        <w:rPr>
          <w:rFonts w:cs="Sylfaen"/>
          <w:szCs w:val="24"/>
          <w:lang w:val="ka-GE"/>
        </w:rPr>
        <w:t>გრაფიკებს</w:t>
      </w:r>
      <w:r w:rsidRPr="00CD14D3">
        <w:rPr>
          <w:szCs w:val="24"/>
          <w:lang w:val="ka-GE"/>
        </w:rPr>
        <w:t>;</w:t>
      </w:r>
    </w:p>
    <w:p w14:paraId="75B3F4E2" w14:textId="77777777" w:rsidR="002F2298" w:rsidRPr="00CD14D3" w:rsidRDefault="001D2226" w:rsidP="00821E4D">
      <w:pPr>
        <w:pStyle w:val="ListParagraph"/>
        <w:numPr>
          <w:ilvl w:val="1"/>
          <w:numId w:val="19"/>
        </w:numPr>
        <w:spacing w:line="240" w:lineRule="auto"/>
        <w:ind w:left="270" w:hanging="180"/>
        <w:rPr>
          <w:szCs w:val="24"/>
        </w:rPr>
      </w:pPr>
      <w:r w:rsidRPr="00CD14D3">
        <w:rPr>
          <w:rStyle w:val="shorttext"/>
          <w:rFonts w:cs="Sylfaen"/>
          <w:szCs w:val="24"/>
          <w:lang w:val="ka-GE"/>
        </w:rPr>
        <w:t>საკანალიზაციო</w:t>
      </w:r>
      <w:r w:rsidRPr="00CD14D3">
        <w:rPr>
          <w:rStyle w:val="shorttext"/>
          <w:rFonts w:cs="Arial"/>
          <w:szCs w:val="24"/>
          <w:lang w:val="ka-GE"/>
        </w:rPr>
        <w:t xml:space="preserve"> </w:t>
      </w:r>
      <w:r w:rsidRPr="00CD14D3">
        <w:rPr>
          <w:rStyle w:val="shorttext"/>
          <w:rFonts w:cs="Sylfaen"/>
          <w:szCs w:val="24"/>
          <w:lang w:val="ka-GE"/>
        </w:rPr>
        <w:t>განკარგვის</w:t>
      </w:r>
      <w:r w:rsidRPr="00CD14D3">
        <w:rPr>
          <w:rStyle w:val="shorttext"/>
          <w:rFonts w:cs="Arial"/>
          <w:szCs w:val="24"/>
          <w:lang w:val="ka-GE"/>
        </w:rPr>
        <w:t xml:space="preserve"> </w:t>
      </w:r>
      <w:r w:rsidRPr="00CD14D3">
        <w:rPr>
          <w:rStyle w:val="shorttext"/>
          <w:rFonts w:cs="Sylfaen"/>
          <w:szCs w:val="24"/>
          <w:lang w:val="ka-GE"/>
        </w:rPr>
        <w:t>ჩანაწერებს</w:t>
      </w:r>
      <w:r w:rsidRPr="00CD14D3">
        <w:rPr>
          <w:rStyle w:val="shorttext"/>
          <w:szCs w:val="24"/>
          <w:lang w:val="ka-GE"/>
        </w:rPr>
        <w:t>;</w:t>
      </w:r>
    </w:p>
    <w:p w14:paraId="13C67306" w14:textId="77777777" w:rsidR="002F2298" w:rsidRPr="00CD14D3" w:rsidRDefault="001D2226" w:rsidP="00821E4D">
      <w:pPr>
        <w:pStyle w:val="ListParagraph"/>
        <w:numPr>
          <w:ilvl w:val="1"/>
          <w:numId w:val="19"/>
        </w:numPr>
        <w:spacing w:line="240" w:lineRule="auto"/>
        <w:ind w:left="270" w:hanging="180"/>
        <w:rPr>
          <w:szCs w:val="24"/>
        </w:rPr>
      </w:pPr>
      <w:r w:rsidRPr="00CD14D3">
        <w:rPr>
          <w:rFonts w:cs="Sylfaen"/>
          <w:szCs w:val="24"/>
          <w:lang w:val="ka-GE"/>
        </w:rPr>
        <w:t>დამაბინძურებელი</w:t>
      </w:r>
      <w:r w:rsidRPr="00CD14D3">
        <w:rPr>
          <w:rFonts w:cs="Arial"/>
          <w:szCs w:val="24"/>
          <w:lang w:val="ka-GE"/>
        </w:rPr>
        <w:t xml:space="preserve"> </w:t>
      </w:r>
      <w:r w:rsidRPr="00CD14D3">
        <w:rPr>
          <w:rFonts w:cs="Sylfaen"/>
          <w:szCs w:val="24"/>
          <w:lang w:val="ka-GE"/>
        </w:rPr>
        <w:t>ჩამდინარე</w:t>
      </w:r>
      <w:r w:rsidRPr="00CD14D3">
        <w:rPr>
          <w:rFonts w:cs="Arial"/>
          <w:szCs w:val="24"/>
          <w:lang w:val="ka-GE"/>
        </w:rPr>
        <w:t xml:space="preserve"> </w:t>
      </w:r>
      <w:r w:rsidRPr="00CD14D3">
        <w:rPr>
          <w:rFonts w:cs="Sylfaen"/>
          <w:szCs w:val="24"/>
          <w:lang w:val="ka-GE"/>
        </w:rPr>
        <w:t>წყლებისა</w:t>
      </w:r>
      <w:r w:rsidRPr="00CD14D3">
        <w:rPr>
          <w:rFonts w:cs="Arial"/>
          <w:szCs w:val="24"/>
          <w:lang w:val="ka-GE"/>
        </w:rPr>
        <w:t xml:space="preserve"> </w:t>
      </w:r>
      <w:r w:rsidRPr="00CD14D3">
        <w:rPr>
          <w:rFonts w:cs="Sylfaen"/>
          <w:szCs w:val="24"/>
          <w:lang w:val="ka-GE"/>
        </w:rPr>
        <w:t>და</w:t>
      </w:r>
      <w:r w:rsidRPr="00CD14D3">
        <w:rPr>
          <w:rFonts w:cs="Arial"/>
          <w:szCs w:val="24"/>
          <w:lang w:val="ka-GE"/>
        </w:rPr>
        <w:t xml:space="preserve"> </w:t>
      </w:r>
      <w:r w:rsidRPr="00CD14D3">
        <w:rPr>
          <w:rFonts w:cs="Sylfaen"/>
          <w:szCs w:val="24"/>
          <w:lang w:val="ka-GE"/>
        </w:rPr>
        <w:t>დამაბინძურებლების</w:t>
      </w:r>
      <w:r w:rsidRPr="00CD14D3">
        <w:rPr>
          <w:rFonts w:cs="Arial"/>
          <w:szCs w:val="24"/>
          <w:lang w:val="ka-GE"/>
        </w:rPr>
        <w:t xml:space="preserve"> </w:t>
      </w:r>
      <w:r w:rsidRPr="00CD14D3">
        <w:rPr>
          <w:rFonts w:cs="Sylfaen"/>
          <w:szCs w:val="24"/>
          <w:lang w:val="ka-GE"/>
        </w:rPr>
        <w:t>კონცენტრაციის</w:t>
      </w:r>
      <w:r w:rsidRPr="00CD14D3">
        <w:rPr>
          <w:rFonts w:cs="Arial"/>
          <w:szCs w:val="24"/>
          <w:lang w:val="ka-GE"/>
        </w:rPr>
        <w:t xml:space="preserve"> </w:t>
      </w:r>
      <w:r w:rsidRPr="00CD14D3">
        <w:rPr>
          <w:rFonts w:cs="Sylfaen"/>
          <w:szCs w:val="24"/>
          <w:lang w:val="ka-GE"/>
        </w:rPr>
        <w:t>რაოდენობის ჩანაწერებს</w:t>
      </w:r>
      <w:r w:rsidRPr="00CD14D3">
        <w:rPr>
          <w:szCs w:val="24"/>
          <w:lang w:val="ka-GE"/>
        </w:rPr>
        <w:t>;</w:t>
      </w:r>
    </w:p>
    <w:p w14:paraId="3F375677" w14:textId="77777777" w:rsidR="002F2298" w:rsidRPr="00CD14D3" w:rsidRDefault="001D2226" w:rsidP="00821E4D">
      <w:pPr>
        <w:pStyle w:val="ListParagraph"/>
        <w:numPr>
          <w:ilvl w:val="1"/>
          <w:numId w:val="19"/>
        </w:numPr>
        <w:spacing w:line="240" w:lineRule="auto"/>
        <w:ind w:left="270" w:hanging="180"/>
        <w:rPr>
          <w:szCs w:val="24"/>
        </w:rPr>
      </w:pPr>
      <w:r w:rsidRPr="00CD14D3">
        <w:rPr>
          <w:rStyle w:val="shorttext"/>
          <w:rFonts w:cs="Sylfaen"/>
          <w:szCs w:val="24"/>
          <w:lang w:val="ka-GE"/>
        </w:rPr>
        <w:t>ნარჩენების</w:t>
      </w:r>
      <w:r w:rsidRPr="00CD14D3">
        <w:rPr>
          <w:rStyle w:val="shorttext"/>
          <w:rFonts w:cs="Arial"/>
          <w:szCs w:val="24"/>
          <w:lang w:val="ka-GE"/>
        </w:rPr>
        <w:t xml:space="preserve"> </w:t>
      </w:r>
      <w:r w:rsidRPr="00CD14D3">
        <w:rPr>
          <w:rStyle w:val="shorttext"/>
          <w:rFonts w:cs="Sylfaen"/>
          <w:szCs w:val="24"/>
          <w:lang w:val="ka-GE"/>
        </w:rPr>
        <w:t>განკარგვის</w:t>
      </w:r>
      <w:r w:rsidRPr="00CD14D3">
        <w:rPr>
          <w:rStyle w:val="shorttext"/>
          <w:rFonts w:cs="Arial"/>
          <w:szCs w:val="24"/>
          <w:lang w:val="ka-GE"/>
        </w:rPr>
        <w:t xml:space="preserve"> </w:t>
      </w:r>
      <w:r w:rsidRPr="00CD14D3">
        <w:rPr>
          <w:rStyle w:val="shorttext"/>
          <w:rFonts w:cs="Sylfaen"/>
          <w:szCs w:val="24"/>
          <w:lang w:val="ka-GE"/>
        </w:rPr>
        <w:t>ჩანაწერებს;</w:t>
      </w:r>
    </w:p>
    <w:p w14:paraId="48FCF04B" w14:textId="77777777" w:rsidR="002F2298" w:rsidRPr="00CD14D3" w:rsidRDefault="001D2226" w:rsidP="00821E4D">
      <w:pPr>
        <w:pStyle w:val="ListParagraph"/>
        <w:numPr>
          <w:ilvl w:val="1"/>
          <w:numId w:val="19"/>
        </w:numPr>
        <w:spacing w:line="240" w:lineRule="auto"/>
        <w:ind w:left="270" w:hanging="180"/>
        <w:rPr>
          <w:szCs w:val="24"/>
        </w:rPr>
      </w:pPr>
      <w:r w:rsidRPr="00CD14D3">
        <w:rPr>
          <w:rFonts w:cs="Sylfaen"/>
          <w:szCs w:val="24"/>
          <w:lang w:val="ka-GE"/>
        </w:rPr>
        <w:t>ნარჩენების</w:t>
      </w:r>
      <w:r w:rsidRPr="00CD14D3">
        <w:rPr>
          <w:rFonts w:cs="Arial"/>
          <w:szCs w:val="24"/>
          <w:lang w:val="ka-GE"/>
        </w:rPr>
        <w:t xml:space="preserve"> </w:t>
      </w:r>
      <w:r w:rsidRPr="00CD14D3">
        <w:rPr>
          <w:rFonts w:cs="Sylfaen"/>
          <w:szCs w:val="24"/>
          <w:lang w:val="ka-GE"/>
        </w:rPr>
        <w:t>განკარგვის</w:t>
      </w:r>
      <w:r w:rsidRPr="00CD14D3">
        <w:rPr>
          <w:rFonts w:cs="Arial"/>
          <w:szCs w:val="24"/>
          <w:lang w:val="ka-GE"/>
        </w:rPr>
        <w:t xml:space="preserve"> </w:t>
      </w:r>
      <w:r w:rsidRPr="00CD14D3">
        <w:rPr>
          <w:rFonts w:cs="Sylfaen"/>
          <w:szCs w:val="24"/>
          <w:lang w:val="ka-GE"/>
        </w:rPr>
        <w:t>ობიექტების</w:t>
      </w:r>
      <w:r w:rsidRPr="00CD14D3">
        <w:rPr>
          <w:rFonts w:cs="Arial"/>
          <w:szCs w:val="24"/>
          <w:lang w:val="ka-GE"/>
        </w:rPr>
        <w:t xml:space="preserve"> </w:t>
      </w:r>
      <w:r w:rsidRPr="00CD14D3">
        <w:rPr>
          <w:rFonts w:cs="Sylfaen"/>
          <w:szCs w:val="24"/>
          <w:lang w:val="ka-GE"/>
        </w:rPr>
        <w:t>წერილობითი</w:t>
      </w:r>
      <w:r w:rsidRPr="00CD14D3">
        <w:rPr>
          <w:rFonts w:cs="Arial"/>
          <w:szCs w:val="24"/>
          <w:lang w:val="ka-GE"/>
        </w:rPr>
        <w:t xml:space="preserve"> </w:t>
      </w:r>
      <w:r w:rsidRPr="00CD14D3">
        <w:rPr>
          <w:rFonts w:cs="Sylfaen"/>
          <w:szCs w:val="24"/>
          <w:lang w:val="ka-GE"/>
        </w:rPr>
        <w:t>აღნიშვნას</w:t>
      </w:r>
      <w:r w:rsidRPr="00CD14D3">
        <w:rPr>
          <w:rFonts w:cs="Arial"/>
          <w:szCs w:val="24"/>
          <w:lang w:val="ka-GE"/>
        </w:rPr>
        <w:t xml:space="preserve"> </w:t>
      </w:r>
      <w:r w:rsidRPr="00CD14D3">
        <w:rPr>
          <w:rFonts w:cs="Sylfaen"/>
          <w:szCs w:val="24"/>
          <w:lang w:val="ka-GE"/>
        </w:rPr>
        <w:t>და</w:t>
      </w:r>
      <w:r w:rsidRPr="00CD14D3">
        <w:rPr>
          <w:rFonts w:cs="Arial"/>
          <w:szCs w:val="24"/>
          <w:lang w:val="ka-GE"/>
        </w:rPr>
        <w:t xml:space="preserve"> </w:t>
      </w:r>
      <w:r w:rsidRPr="00CD14D3">
        <w:rPr>
          <w:rFonts w:cs="Sylfaen"/>
          <w:szCs w:val="24"/>
          <w:lang w:val="ka-GE"/>
        </w:rPr>
        <w:t>ადგილობრივი</w:t>
      </w:r>
      <w:r w:rsidRPr="00CD14D3">
        <w:rPr>
          <w:szCs w:val="24"/>
          <w:lang w:val="ka-GE"/>
        </w:rPr>
        <w:t xml:space="preserve"> </w:t>
      </w:r>
      <w:r w:rsidRPr="00CD14D3">
        <w:rPr>
          <w:rFonts w:cs="Sylfaen"/>
          <w:szCs w:val="24"/>
          <w:lang w:val="ka-GE"/>
        </w:rPr>
        <w:t>ხელისუფლების</w:t>
      </w:r>
      <w:r w:rsidRPr="00CD14D3">
        <w:rPr>
          <w:rFonts w:cs="Arial"/>
          <w:szCs w:val="24"/>
          <w:lang w:val="ka-GE"/>
        </w:rPr>
        <w:t xml:space="preserve"> </w:t>
      </w:r>
      <w:r w:rsidRPr="00CD14D3">
        <w:rPr>
          <w:rFonts w:cs="Sylfaen"/>
          <w:szCs w:val="24"/>
          <w:lang w:val="ka-GE"/>
        </w:rPr>
        <w:t>ორგანოებისგან</w:t>
      </w:r>
      <w:r w:rsidRPr="00CD14D3">
        <w:rPr>
          <w:rFonts w:cs="Arial"/>
          <w:szCs w:val="24"/>
          <w:lang w:val="ka-GE"/>
        </w:rPr>
        <w:t xml:space="preserve"> </w:t>
      </w:r>
      <w:r w:rsidRPr="00CD14D3">
        <w:rPr>
          <w:rFonts w:cs="Sylfaen"/>
          <w:szCs w:val="24"/>
          <w:lang w:val="ka-GE"/>
        </w:rPr>
        <w:t>ნარჩენების</w:t>
      </w:r>
      <w:r w:rsidRPr="00CD14D3">
        <w:rPr>
          <w:rFonts w:cs="Arial"/>
          <w:szCs w:val="24"/>
          <w:lang w:val="ka-GE"/>
        </w:rPr>
        <w:t xml:space="preserve"> </w:t>
      </w:r>
      <w:r w:rsidRPr="00CD14D3">
        <w:rPr>
          <w:rFonts w:cs="Sylfaen"/>
          <w:szCs w:val="24"/>
          <w:lang w:val="ka-GE"/>
        </w:rPr>
        <w:t>ტრანსპორტირების</w:t>
      </w:r>
      <w:r w:rsidRPr="00CD14D3">
        <w:rPr>
          <w:rFonts w:cs="Arial"/>
          <w:szCs w:val="24"/>
          <w:lang w:val="ka-GE"/>
        </w:rPr>
        <w:t xml:space="preserve"> </w:t>
      </w:r>
      <w:r w:rsidRPr="00CD14D3">
        <w:rPr>
          <w:rFonts w:cs="Sylfaen"/>
          <w:szCs w:val="24"/>
          <w:lang w:val="ka-GE"/>
        </w:rPr>
        <w:t>ინსტრუქციას</w:t>
      </w:r>
      <w:r w:rsidRPr="00CD14D3">
        <w:rPr>
          <w:szCs w:val="24"/>
          <w:lang w:val="ka-GE"/>
        </w:rPr>
        <w:t>;</w:t>
      </w:r>
    </w:p>
    <w:p w14:paraId="2A9B37A7" w14:textId="77777777" w:rsidR="001D2226" w:rsidRPr="00CD14D3" w:rsidRDefault="001D2226" w:rsidP="00821E4D">
      <w:pPr>
        <w:pStyle w:val="ListParagraph"/>
        <w:numPr>
          <w:ilvl w:val="1"/>
          <w:numId w:val="19"/>
        </w:numPr>
        <w:spacing w:line="240" w:lineRule="auto"/>
        <w:ind w:left="270" w:hanging="180"/>
        <w:rPr>
          <w:rStyle w:val="shorttext"/>
          <w:szCs w:val="24"/>
        </w:rPr>
      </w:pPr>
      <w:r w:rsidRPr="00CD14D3">
        <w:rPr>
          <w:rStyle w:val="shorttext"/>
          <w:rFonts w:cs="Sylfaen"/>
          <w:szCs w:val="24"/>
          <w:lang w:val="ka-GE"/>
        </w:rPr>
        <w:t>ჰაერის</w:t>
      </w:r>
      <w:r w:rsidRPr="00CD14D3">
        <w:rPr>
          <w:rStyle w:val="shorttext"/>
          <w:rFonts w:cs="Arial"/>
          <w:szCs w:val="24"/>
          <w:lang w:val="ka-GE"/>
        </w:rPr>
        <w:t xml:space="preserve"> </w:t>
      </w:r>
      <w:r w:rsidRPr="00CD14D3">
        <w:rPr>
          <w:rStyle w:val="shorttext"/>
          <w:rFonts w:cs="Sylfaen"/>
          <w:szCs w:val="24"/>
          <w:lang w:val="ka-GE"/>
        </w:rPr>
        <w:t>ხარისხის</w:t>
      </w:r>
      <w:r w:rsidRPr="00CD14D3">
        <w:rPr>
          <w:rStyle w:val="shorttext"/>
          <w:rFonts w:cs="Arial"/>
          <w:szCs w:val="24"/>
          <w:lang w:val="ka-GE"/>
        </w:rPr>
        <w:t xml:space="preserve"> </w:t>
      </w:r>
      <w:r w:rsidRPr="00CD14D3">
        <w:rPr>
          <w:rStyle w:val="shorttext"/>
          <w:rFonts w:cs="Sylfaen"/>
          <w:szCs w:val="24"/>
          <w:lang w:val="ka-GE"/>
        </w:rPr>
        <w:t>მონიტორინგის</w:t>
      </w:r>
      <w:r w:rsidRPr="00CD14D3">
        <w:rPr>
          <w:rStyle w:val="shorttext"/>
          <w:rFonts w:cs="Arial"/>
          <w:szCs w:val="24"/>
          <w:lang w:val="ka-GE"/>
        </w:rPr>
        <w:t xml:space="preserve"> </w:t>
      </w:r>
      <w:r w:rsidRPr="00CD14D3">
        <w:rPr>
          <w:rStyle w:val="shorttext"/>
          <w:rFonts w:cs="Sylfaen"/>
          <w:szCs w:val="24"/>
          <w:lang w:val="ka-GE"/>
        </w:rPr>
        <w:t>შედეგებს</w:t>
      </w:r>
      <w:r w:rsidRPr="00CD14D3">
        <w:rPr>
          <w:rStyle w:val="shorttext"/>
          <w:szCs w:val="24"/>
          <w:lang w:val="ka-GE"/>
        </w:rPr>
        <w:t>;</w:t>
      </w:r>
    </w:p>
    <w:p w14:paraId="1FB2C34F" w14:textId="77777777" w:rsidR="002F2298" w:rsidRPr="00CD14D3" w:rsidRDefault="001D2226" w:rsidP="00821E4D">
      <w:pPr>
        <w:pStyle w:val="ListParagraph"/>
        <w:numPr>
          <w:ilvl w:val="1"/>
          <w:numId w:val="19"/>
        </w:numPr>
        <w:spacing w:line="240" w:lineRule="auto"/>
        <w:ind w:left="270" w:hanging="180"/>
        <w:rPr>
          <w:szCs w:val="24"/>
        </w:rPr>
      </w:pPr>
      <w:r w:rsidRPr="00CD14D3">
        <w:rPr>
          <w:rStyle w:val="shorttext"/>
          <w:rFonts w:cs="Sylfaen"/>
          <w:szCs w:val="24"/>
          <w:lang w:val="ka-GE"/>
        </w:rPr>
        <w:t>მატერიალური</w:t>
      </w:r>
      <w:r w:rsidRPr="00CD14D3">
        <w:rPr>
          <w:rStyle w:val="shorttext"/>
          <w:rFonts w:cs="Arial"/>
          <w:szCs w:val="24"/>
          <w:lang w:val="ka-GE"/>
        </w:rPr>
        <w:t xml:space="preserve"> </w:t>
      </w:r>
      <w:r w:rsidRPr="00CD14D3">
        <w:rPr>
          <w:rStyle w:val="shorttext"/>
          <w:rFonts w:cs="Sylfaen"/>
          <w:szCs w:val="24"/>
          <w:lang w:val="ka-GE"/>
        </w:rPr>
        <w:t>ინვენტარისა</w:t>
      </w:r>
      <w:r w:rsidRPr="00CD14D3">
        <w:rPr>
          <w:rStyle w:val="shorttext"/>
          <w:rFonts w:cs="Arial"/>
          <w:szCs w:val="24"/>
          <w:lang w:val="ka-GE"/>
        </w:rPr>
        <w:t xml:space="preserve"> </w:t>
      </w:r>
      <w:r w:rsidRPr="00CD14D3">
        <w:rPr>
          <w:rStyle w:val="shorttext"/>
          <w:rFonts w:cs="Sylfaen"/>
          <w:szCs w:val="24"/>
          <w:lang w:val="ka-GE"/>
        </w:rPr>
        <w:t>და</w:t>
      </w:r>
      <w:r w:rsidRPr="00CD14D3">
        <w:rPr>
          <w:rStyle w:val="shorttext"/>
          <w:rFonts w:cs="Arial"/>
          <w:szCs w:val="24"/>
          <w:lang w:val="ka-GE"/>
        </w:rPr>
        <w:t xml:space="preserve"> </w:t>
      </w:r>
      <w:r w:rsidRPr="00CD14D3">
        <w:rPr>
          <w:rStyle w:val="shorttext"/>
          <w:rFonts w:cs="Sylfaen"/>
          <w:szCs w:val="24"/>
          <w:lang w:val="ka-GE"/>
        </w:rPr>
        <w:t>მოხმარების</w:t>
      </w:r>
      <w:r w:rsidRPr="00CD14D3">
        <w:rPr>
          <w:rStyle w:val="shorttext"/>
          <w:rFonts w:cs="Arial"/>
          <w:szCs w:val="24"/>
          <w:lang w:val="ka-GE"/>
        </w:rPr>
        <w:t xml:space="preserve"> </w:t>
      </w:r>
      <w:r w:rsidRPr="00CD14D3">
        <w:rPr>
          <w:rStyle w:val="shorttext"/>
          <w:rFonts w:cs="Sylfaen"/>
          <w:szCs w:val="24"/>
          <w:lang w:val="ka-GE"/>
        </w:rPr>
        <w:t>ჟურნალს</w:t>
      </w:r>
      <w:r w:rsidRPr="00CD14D3">
        <w:rPr>
          <w:rStyle w:val="shorttext"/>
          <w:szCs w:val="24"/>
          <w:lang w:val="ka-GE"/>
        </w:rPr>
        <w:t>;</w:t>
      </w:r>
    </w:p>
    <w:p w14:paraId="27FB65AC" w14:textId="77777777" w:rsidR="002F2298" w:rsidRPr="00CD14D3" w:rsidRDefault="001D2226" w:rsidP="00821E4D">
      <w:pPr>
        <w:pStyle w:val="ListParagraph"/>
        <w:numPr>
          <w:ilvl w:val="1"/>
          <w:numId w:val="19"/>
        </w:numPr>
        <w:spacing w:line="240" w:lineRule="auto"/>
        <w:ind w:left="270" w:hanging="180"/>
        <w:rPr>
          <w:szCs w:val="24"/>
        </w:rPr>
      </w:pPr>
      <w:r w:rsidRPr="00CD14D3">
        <w:rPr>
          <w:rFonts w:cs="Sylfaen"/>
          <w:szCs w:val="24"/>
          <w:lang w:val="ka-GE"/>
        </w:rPr>
        <w:t>შემთხვევითი აღმოჩენების ჩანაწერს</w:t>
      </w:r>
      <w:r w:rsidRPr="00CD14D3">
        <w:rPr>
          <w:rFonts w:cs="Arial"/>
          <w:szCs w:val="24"/>
          <w:lang w:val="ka-GE"/>
        </w:rPr>
        <w:t xml:space="preserve"> (</w:t>
      </w:r>
      <w:r w:rsidRPr="00CD14D3">
        <w:rPr>
          <w:rFonts w:cs="Sylfaen"/>
          <w:szCs w:val="24"/>
          <w:lang w:val="ka-GE"/>
        </w:rPr>
        <w:t>ასეთის</w:t>
      </w:r>
      <w:r w:rsidRPr="00CD14D3">
        <w:rPr>
          <w:rFonts w:cs="Arial"/>
          <w:szCs w:val="24"/>
          <w:lang w:val="ka-GE"/>
        </w:rPr>
        <w:t xml:space="preserve"> </w:t>
      </w:r>
      <w:r w:rsidRPr="00CD14D3">
        <w:rPr>
          <w:rFonts w:cs="Sylfaen"/>
          <w:szCs w:val="24"/>
          <w:lang w:val="ka-GE"/>
        </w:rPr>
        <w:t>არსებობის</w:t>
      </w:r>
      <w:r w:rsidRPr="00CD14D3">
        <w:rPr>
          <w:rFonts w:cs="Arial"/>
          <w:szCs w:val="24"/>
          <w:lang w:val="ka-GE"/>
        </w:rPr>
        <w:t xml:space="preserve"> </w:t>
      </w:r>
      <w:r w:rsidRPr="00CD14D3">
        <w:rPr>
          <w:rFonts w:cs="Sylfaen"/>
          <w:szCs w:val="24"/>
          <w:lang w:val="ka-GE"/>
        </w:rPr>
        <w:t>შემთხვევაში</w:t>
      </w:r>
      <w:r w:rsidRPr="00CD14D3">
        <w:rPr>
          <w:rFonts w:cs="Arial"/>
          <w:szCs w:val="24"/>
          <w:lang w:val="ka-GE"/>
        </w:rPr>
        <w:t>)</w:t>
      </w:r>
      <w:r w:rsidRPr="00CD14D3">
        <w:rPr>
          <w:szCs w:val="24"/>
          <w:lang w:val="ka-GE"/>
        </w:rPr>
        <w:t>;</w:t>
      </w:r>
    </w:p>
    <w:p w14:paraId="72784542" w14:textId="77777777" w:rsidR="001D2226" w:rsidRPr="00CD14D3" w:rsidRDefault="001D2226" w:rsidP="00821E4D">
      <w:pPr>
        <w:pStyle w:val="ListParagraph"/>
        <w:numPr>
          <w:ilvl w:val="1"/>
          <w:numId w:val="19"/>
        </w:numPr>
        <w:spacing w:line="240" w:lineRule="auto"/>
        <w:ind w:left="270" w:hanging="180"/>
        <w:rPr>
          <w:rStyle w:val="shorttext"/>
          <w:szCs w:val="24"/>
        </w:rPr>
      </w:pPr>
      <w:r w:rsidRPr="00CD14D3">
        <w:rPr>
          <w:rStyle w:val="shorttext"/>
          <w:rFonts w:cs="Sylfaen"/>
          <w:szCs w:val="24"/>
          <w:lang w:val="ka-GE"/>
        </w:rPr>
        <w:t>საჩივრების</w:t>
      </w:r>
      <w:r w:rsidRPr="00CD14D3">
        <w:rPr>
          <w:rStyle w:val="shorttext"/>
          <w:rFonts w:cs="Arial"/>
          <w:szCs w:val="24"/>
          <w:lang w:val="ka-GE"/>
        </w:rPr>
        <w:t xml:space="preserve"> </w:t>
      </w:r>
      <w:r w:rsidRPr="00CD14D3">
        <w:rPr>
          <w:rStyle w:val="shorttext"/>
          <w:rFonts w:cs="Sylfaen"/>
          <w:szCs w:val="24"/>
          <w:lang w:val="ka-GE"/>
        </w:rPr>
        <w:t>რეესტრს</w:t>
      </w:r>
      <w:r w:rsidRPr="00CD14D3">
        <w:rPr>
          <w:rStyle w:val="shorttext"/>
          <w:szCs w:val="24"/>
          <w:lang w:val="ka-GE"/>
        </w:rPr>
        <w:t>;</w:t>
      </w:r>
    </w:p>
    <w:p w14:paraId="0B05E3A6" w14:textId="77777777" w:rsidR="002F2298" w:rsidRPr="00CD14D3" w:rsidRDefault="001D2226" w:rsidP="00821E4D">
      <w:pPr>
        <w:pStyle w:val="ListParagraph"/>
        <w:numPr>
          <w:ilvl w:val="1"/>
          <w:numId w:val="19"/>
        </w:numPr>
        <w:spacing w:line="240" w:lineRule="auto"/>
        <w:ind w:left="270" w:hanging="180"/>
        <w:rPr>
          <w:szCs w:val="24"/>
        </w:rPr>
      </w:pPr>
      <w:r w:rsidRPr="00CD14D3">
        <w:rPr>
          <w:rFonts w:cs="Sylfaen"/>
          <w:szCs w:val="24"/>
          <w:lang w:val="ka-GE"/>
        </w:rPr>
        <w:t>დაავადებათა აღრიცხვის რეესტრს</w:t>
      </w:r>
      <w:r w:rsidRPr="00CD14D3">
        <w:rPr>
          <w:rFonts w:cs="Arial"/>
          <w:szCs w:val="24"/>
          <w:lang w:val="ka-GE"/>
        </w:rPr>
        <w:t xml:space="preserve"> (</w:t>
      </w:r>
      <w:r w:rsidRPr="00CD14D3">
        <w:rPr>
          <w:rFonts w:cs="Sylfaen"/>
          <w:szCs w:val="24"/>
          <w:lang w:val="ka-GE"/>
        </w:rPr>
        <w:t>გარემოსდაცვითი</w:t>
      </w:r>
      <w:r w:rsidRPr="00CD14D3">
        <w:rPr>
          <w:rFonts w:cs="Arial"/>
          <w:szCs w:val="24"/>
          <w:lang w:val="ka-GE"/>
        </w:rPr>
        <w:t xml:space="preserve"> </w:t>
      </w:r>
      <w:r w:rsidRPr="00CD14D3">
        <w:rPr>
          <w:rFonts w:cs="Sylfaen"/>
          <w:szCs w:val="24"/>
          <w:lang w:val="ka-GE"/>
        </w:rPr>
        <w:t>ლიმიტების</w:t>
      </w:r>
      <w:r w:rsidRPr="00CD14D3">
        <w:rPr>
          <w:rFonts w:cs="Arial"/>
          <w:szCs w:val="24"/>
          <w:lang w:val="ka-GE"/>
        </w:rPr>
        <w:t xml:space="preserve"> </w:t>
      </w:r>
      <w:r w:rsidRPr="00CD14D3">
        <w:rPr>
          <w:rFonts w:cs="Sylfaen"/>
          <w:szCs w:val="24"/>
          <w:lang w:val="ka-GE"/>
        </w:rPr>
        <w:t>გადაჭარბების</w:t>
      </w:r>
      <w:r w:rsidRPr="00CD14D3">
        <w:rPr>
          <w:rFonts w:cs="Arial"/>
          <w:szCs w:val="24"/>
          <w:lang w:val="ka-GE"/>
        </w:rPr>
        <w:t xml:space="preserve"> </w:t>
      </w:r>
      <w:r w:rsidRPr="00CD14D3">
        <w:rPr>
          <w:rFonts w:cs="Sylfaen"/>
          <w:szCs w:val="24"/>
          <w:lang w:val="ka-GE"/>
        </w:rPr>
        <w:t>ფორმები</w:t>
      </w:r>
      <w:r w:rsidRPr="00CD14D3">
        <w:rPr>
          <w:rFonts w:cs="Arial"/>
          <w:szCs w:val="24"/>
          <w:lang w:val="ka-GE"/>
        </w:rPr>
        <w:t xml:space="preserve">, </w:t>
      </w:r>
      <w:r w:rsidRPr="00CD14D3">
        <w:rPr>
          <w:rFonts w:cs="Sylfaen"/>
          <w:szCs w:val="24"/>
          <w:lang w:val="ka-GE"/>
        </w:rPr>
        <w:t>დაზიანებათა</w:t>
      </w:r>
      <w:r w:rsidRPr="00CD14D3">
        <w:rPr>
          <w:rFonts w:cs="Arial"/>
          <w:szCs w:val="24"/>
          <w:lang w:val="ka-GE"/>
        </w:rPr>
        <w:t xml:space="preserve"> </w:t>
      </w:r>
      <w:r w:rsidRPr="00CD14D3">
        <w:rPr>
          <w:rFonts w:cs="Sylfaen"/>
          <w:szCs w:val="24"/>
          <w:lang w:val="ka-GE"/>
        </w:rPr>
        <w:t>ჩანაწერები</w:t>
      </w:r>
      <w:r w:rsidRPr="00CD14D3">
        <w:rPr>
          <w:rFonts w:cs="Arial"/>
          <w:szCs w:val="24"/>
          <w:lang w:val="ka-GE"/>
        </w:rPr>
        <w:t xml:space="preserve"> </w:t>
      </w:r>
      <w:r w:rsidRPr="00CD14D3">
        <w:rPr>
          <w:rFonts w:cs="Sylfaen"/>
          <w:szCs w:val="24"/>
          <w:lang w:val="ka-GE"/>
        </w:rPr>
        <w:t>და</w:t>
      </w:r>
      <w:r w:rsidRPr="00CD14D3">
        <w:rPr>
          <w:rFonts w:cs="Arial"/>
          <w:szCs w:val="24"/>
          <w:lang w:val="ka-GE"/>
        </w:rPr>
        <w:t xml:space="preserve"> </w:t>
      </w:r>
      <w:r w:rsidRPr="00CD14D3">
        <w:rPr>
          <w:rFonts w:cs="Sylfaen"/>
          <w:szCs w:val="24"/>
          <w:lang w:val="ka-GE"/>
        </w:rPr>
        <w:t>ა</w:t>
      </w:r>
      <w:r w:rsidRPr="00CD14D3">
        <w:rPr>
          <w:rFonts w:cs="Arial"/>
          <w:szCs w:val="24"/>
          <w:lang w:val="ka-GE"/>
        </w:rPr>
        <w:t>.</w:t>
      </w:r>
      <w:r w:rsidRPr="00CD14D3">
        <w:rPr>
          <w:rFonts w:cs="Sylfaen"/>
          <w:szCs w:val="24"/>
          <w:lang w:val="ka-GE"/>
        </w:rPr>
        <w:t>შ</w:t>
      </w:r>
      <w:r w:rsidRPr="00CD14D3">
        <w:rPr>
          <w:rFonts w:cs="Arial"/>
          <w:szCs w:val="24"/>
          <w:lang w:val="ka-GE"/>
        </w:rPr>
        <w:t>.)</w:t>
      </w:r>
      <w:r w:rsidRPr="00CD14D3">
        <w:rPr>
          <w:szCs w:val="24"/>
          <w:lang w:val="ka-GE"/>
        </w:rPr>
        <w:t>;</w:t>
      </w:r>
    </w:p>
    <w:p w14:paraId="7BFB15B7" w14:textId="77777777" w:rsidR="001D2226" w:rsidRPr="00CD14D3" w:rsidRDefault="001D2226" w:rsidP="00821E4D">
      <w:pPr>
        <w:pStyle w:val="ListParagraph"/>
        <w:numPr>
          <w:ilvl w:val="1"/>
          <w:numId w:val="19"/>
        </w:numPr>
        <w:spacing w:line="240" w:lineRule="auto"/>
        <w:ind w:left="270" w:hanging="180"/>
        <w:rPr>
          <w:rStyle w:val="shorttext"/>
          <w:szCs w:val="24"/>
        </w:rPr>
      </w:pPr>
      <w:r w:rsidRPr="00CD14D3">
        <w:rPr>
          <w:rStyle w:val="shorttext"/>
          <w:rFonts w:cs="Sylfaen"/>
          <w:szCs w:val="24"/>
          <w:lang w:val="ka-GE"/>
        </w:rPr>
        <w:t>ჩანაწერებს გამოსასწორებელი</w:t>
      </w:r>
      <w:r w:rsidRPr="00CD14D3">
        <w:rPr>
          <w:rStyle w:val="shorttext"/>
          <w:rFonts w:cs="Arial"/>
          <w:szCs w:val="24"/>
          <w:lang w:val="ka-GE"/>
        </w:rPr>
        <w:t xml:space="preserve"> </w:t>
      </w:r>
      <w:r w:rsidRPr="00CD14D3">
        <w:rPr>
          <w:rStyle w:val="shorttext"/>
          <w:rFonts w:cs="Sylfaen"/>
          <w:szCs w:val="24"/>
          <w:lang w:val="ka-GE"/>
        </w:rPr>
        <w:t>მოქმედებების</w:t>
      </w:r>
      <w:r w:rsidRPr="00CD14D3">
        <w:rPr>
          <w:rStyle w:val="shorttext"/>
          <w:rFonts w:cs="Arial"/>
          <w:szCs w:val="24"/>
          <w:lang w:val="ka-GE"/>
        </w:rPr>
        <w:t xml:space="preserve"> </w:t>
      </w:r>
      <w:r w:rsidRPr="00CD14D3">
        <w:rPr>
          <w:rStyle w:val="shorttext"/>
          <w:rFonts w:cs="Sylfaen"/>
          <w:szCs w:val="24"/>
          <w:lang w:val="ka-GE"/>
        </w:rPr>
        <w:t>შესახებ</w:t>
      </w:r>
      <w:r w:rsidRPr="00CD14D3">
        <w:rPr>
          <w:rStyle w:val="shorttext"/>
          <w:szCs w:val="24"/>
          <w:lang w:val="ka-GE"/>
        </w:rPr>
        <w:t>;</w:t>
      </w:r>
    </w:p>
    <w:p w14:paraId="6A7D1972" w14:textId="77777777" w:rsidR="002F2298" w:rsidRPr="00CD14D3" w:rsidRDefault="001D2226" w:rsidP="00821E4D">
      <w:pPr>
        <w:pStyle w:val="ListParagraph"/>
        <w:numPr>
          <w:ilvl w:val="1"/>
          <w:numId w:val="19"/>
        </w:numPr>
        <w:spacing w:line="240" w:lineRule="auto"/>
        <w:ind w:left="270" w:hanging="180"/>
        <w:rPr>
          <w:szCs w:val="24"/>
        </w:rPr>
      </w:pPr>
      <w:r w:rsidRPr="00CD14D3">
        <w:rPr>
          <w:rFonts w:cs="Sylfaen"/>
          <w:szCs w:val="24"/>
          <w:lang w:val="ka-GE"/>
        </w:rPr>
        <w:t>აღჭურვილობის</w:t>
      </w:r>
      <w:r w:rsidRPr="00CD14D3">
        <w:rPr>
          <w:rFonts w:cs="Arial"/>
          <w:szCs w:val="24"/>
          <w:lang w:val="ka-GE"/>
        </w:rPr>
        <w:t xml:space="preserve"> </w:t>
      </w:r>
      <w:r w:rsidRPr="00CD14D3">
        <w:rPr>
          <w:rFonts w:cs="Sylfaen"/>
          <w:szCs w:val="24"/>
          <w:lang w:val="ka-GE"/>
        </w:rPr>
        <w:t>კონტროლისა</w:t>
      </w:r>
      <w:r w:rsidRPr="00CD14D3">
        <w:rPr>
          <w:rFonts w:cs="Arial"/>
          <w:szCs w:val="24"/>
          <w:lang w:val="ka-GE"/>
        </w:rPr>
        <w:t xml:space="preserve"> </w:t>
      </w:r>
      <w:r w:rsidRPr="00CD14D3">
        <w:rPr>
          <w:rFonts w:cs="Sylfaen"/>
          <w:szCs w:val="24"/>
          <w:lang w:val="ka-GE"/>
        </w:rPr>
        <w:t>და</w:t>
      </w:r>
      <w:r w:rsidRPr="00CD14D3">
        <w:rPr>
          <w:rFonts w:cs="Arial"/>
          <w:szCs w:val="24"/>
          <w:lang w:val="ka-GE"/>
        </w:rPr>
        <w:t xml:space="preserve"> </w:t>
      </w:r>
      <w:r w:rsidRPr="00CD14D3">
        <w:rPr>
          <w:rFonts w:cs="Sylfaen"/>
          <w:szCs w:val="24"/>
          <w:lang w:val="ka-GE"/>
        </w:rPr>
        <w:t>ტექნიკური</w:t>
      </w:r>
      <w:r w:rsidRPr="00CD14D3">
        <w:rPr>
          <w:rFonts w:cs="Arial"/>
          <w:szCs w:val="24"/>
          <w:lang w:val="ka-GE"/>
        </w:rPr>
        <w:t xml:space="preserve"> </w:t>
      </w:r>
      <w:r w:rsidRPr="00CD14D3">
        <w:rPr>
          <w:rFonts w:cs="Sylfaen"/>
          <w:szCs w:val="24"/>
          <w:lang w:val="ka-GE"/>
        </w:rPr>
        <w:t>მომსახურების ჟურნალს</w:t>
      </w:r>
      <w:r w:rsidRPr="00CD14D3">
        <w:rPr>
          <w:szCs w:val="24"/>
          <w:lang w:val="ka-GE"/>
        </w:rPr>
        <w:t>;</w:t>
      </w:r>
    </w:p>
    <w:p w14:paraId="5C460FF1" w14:textId="77777777" w:rsidR="002F2298" w:rsidRPr="00CD14D3" w:rsidRDefault="001D2226" w:rsidP="00821E4D">
      <w:pPr>
        <w:pStyle w:val="ListParagraph"/>
        <w:numPr>
          <w:ilvl w:val="1"/>
          <w:numId w:val="19"/>
        </w:numPr>
        <w:spacing w:line="240" w:lineRule="auto"/>
        <w:ind w:left="270" w:hanging="180"/>
        <w:rPr>
          <w:szCs w:val="24"/>
        </w:rPr>
      </w:pPr>
      <w:r w:rsidRPr="00CD14D3">
        <w:rPr>
          <w:rFonts w:cs="Sylfaen"/>
          <w:szCs w:val="24"/>
          <w:lang w:val="ka-GE"/>
        </w:rPr>
        <w:t>მაკორექტირებელი</w:t>
      </w:r>
      <w:r w:rsidRPr="00CD14D3">
        <w:rPr>
          <w:rFonts w:cs="Arial"/>
          <w:szCs w:val="24"/>
          <w:lang w:val="ka-GE"/>
        </w:rPr>
        <w:t xml:space="preserve"> </w:t>
      </w:r>
      <w:r w:rsidRPr="00CD14D3">
        <w:rPr>
          <w:rFonts w:cs="Sylfaen"/>
          <w:szCs w:val="24"/>
          <w:lang w:val="ka-GE"/>
        </w:rPr>
        <w:t>და</w:t>
      </w:r>
      <w:r w:rsidRPr="00CD14D3">
        <w:rPr>
          <w:rFonts w:cs="Arial"/>
          <w:szCs w:val="24"/>
          <w:lang w:val="ka-GE"/>
        </w:rPr>
        <w:t xml:space="preserve"> </w:t>
      </w:r>
      <w:r w:rsidRPr="00CD14D3">
        <w:rPr>
          <w:rFonts w:cs="Sylfaen"/>
          <w:szCs w:val="24"/>
          <w:lang w:val="ka-GE"/>
        </w:rPr>
        <w:t>პრევენციული</w:t>
      </w:r>
      <w:r w:rsidRPr="00CD14D3">
        <w:rPr>
          <w:rFonts w:cs="Arial"/>
          <w:szCs w:val="24"/>
          <w:lang w:val="ka-GE"/>
        </w:rPr>
        <w:t xml:space="preserve"> </w:t>
      </w:r>
      <w:r w:rsidRPr="00CD14D3">
        <w:rPr>
          <w:rFonts w:cs="Sylfaen"/>
          <w:szCs w:val="24"/>
          <w:lang w:val="ka-GE"/>
        </w:rPr>
        <w:t>ზომების</w:t>
      </w:r>
      <w:r w:rsidRPr="00CD14D3">
        <w:rPr>
          <w:rFonts w:cs="Arial"/>
          <w:szCs w:val="24"/>
          <w:lang w:val="ka-GE"/>
        </w:rPr>
        <w:t xml:space="preserve"> </w:t>
      </w:r>
      <w:r w:rsidRPr="00CD14D3">
        <w:rPr>
          <w:rFonts w:cs="Sylfaen"/>
          <w:szCs w:val="24"/>
          <w:lang w:val="ka-GE"/>
        </w:rPr>
        <w:t>მოთხოვნის</w:t>
      </w:r>
      <w:r w:rsidRPr="00CD14D3">
        <w:rPr>
          <w:rFonts w:cs="Arial"/>
          <w:szCs w:val="24"/>
          <w:lang w:val="ka-GE"/>
        </w:rPr>
        <w:t xml:space="preserve"> </w:t>
      </w:r>
      <w:r w:rsidRPr="00CD14D3">
        <w:rPr>
          <w:rFonts w:cs="Sylfaen"/>
          <w:szCs w:val="24"/>
          <w:lang w:val="ka-GE"/>
        </w:rPr>
        <w:t>ჩანაწერებს</w:t>
      </w:r>
      <w:r w:rsidRPr="00CD14D3">
        <w:rPr>
          <w:szCs w:val="24"/>
          <w:lang w:val="ka-GE"/>
        </w:rPr>
        <w:t>;</w:t>
      </w:r>
    </w:p>
    <w:p w14:paraId="06DE6F1D" w14:textId="77777777" w:rsidR="002F2298" w:rsidRPr="00CD14D3" w:rsidRDefault="001D2226" w:rsidP="00821E4D">
      <w:pPr>
        <w:pStyle w:val="ListParagraph"/>
        <w:numPr>
          <w:ilvl w:val="1"/>
          <w:numId w:val="19"/>
        </w:numPr>
        <w:spacing w:line="240" w:lineRule="auto"/>
        <w:ind w:left="270" w:hanging="180"/>
        <w:rPr>
          <w:szCs w:val="24"/>
        </w:rPr>
      </w:pPr>
      <w:r w:rsidRPr="00CD14D3">
        <w:rPr>
          <w:rStyle w:val="shorttext"/>
          <w:rFonts w:cs="Arial"/>
          <w:szCs w:val="24"/>
          <w:lang w:val="ka-GE"/>
        </w:rPr>
        <w:t xml:space="preserve">ტრენინგის </w:t>
      </w:r>
      <w:r w:rsidRPr="00CD14D3">
        <w:rPr>
          <w:rStyle w:val="shorttext"/>
          <w:rFonts w:cs="Sylfaen"/>
          <w:szCs w:val="24"/>
          <w:lang w:val="ka-GE"/>
        </w:rPr>
        <w:t>ჩანაწერებს</w:t>
      </w:r>
      <w:r w:rsidRPr="00CD14D3">
        <w:rPr>
          <w:rStyle w:val="shorttext"/>
          <w:szCs w:val="24"/>
          <w:lang w:val="ka-GE"/>
        </w:rPr>
        <w:t>.</w:t>
      </w:r>
    </w:p>
    <w:p w14:paraId="66F1F880" w14:textId="07E92BF5" w:rsidR="00362D70" w:rsidRPr="00CD14D3" w:rsidRDefault="00364935" w:rsidP="00092B73">
      <w:pPr>
        <w:rPr>
          <w:rFonts w:ascii="Sylfaen" w:hAnsi="Sylfaen"/>
          <w:sz w:val="20"/>
        </w:rPr>
      </w:pPr>
      <w:r w:rsidRPr="00CD14D3">
        <w:rPr>
          <w:rFonts w:ascii="Sylfaen" w:hAnsi="Sylfaen" w:cs="Sylfaen"/>
          <w:lang w:val="ka-GE"/>
        </w:rPr>
        <w:t>სამუშაოების</w:t>
      </w:r>
      <w:r w:rsidRPr="00CD14D3">
        <w:rPr>
          <w:rFonts w:ascii="Sylfaen" w:hAnsi="Sylfaen"/>
          <w:lang w:val="ka-GE"/>
        </w:rPr>
        <w:t xml:space="preserve"> </w:t>
      </w:r>
      <w:r w:rsidRPr="00CD14D3">
        <w:rPr>
          <w:rFonts w:ascii="Sylfaen" w:hAnsi="Sylfaen" w:cs="Sylfaen"/>
          <w:lang w:val="ka-GE"/>
        </w:rPr>
        <w:t>ზედამხედველი</w:t>
      </w:r>
      <w:r w:rsidRPr="00CD14D3">
        <w:rPr>
          <w:rFonts w:ascii="Sylfaen" w:hAnsi="Sylfaen" w:cs="Arial"/>
          <w:lang w:val="ka-GE"/>
        </w:rPr>
        <w:t xml:space="preserve"> </w:t>
      </w:r>
      <w:r w:rsidRPr="00CD14D3">
        <w:rPr>
          <w:rFonts w:ascii="Sylfaen" w:hAnsi="Sylfaen" w:cs="Sylfaen"/>
          <w:lang w:val="ka-GE"/>
        </w:rPr>
        <w:t>პასუხს</w:t>
      </w:r>
      <w:r w:rsidRPr="00CD14D3">
        <w:rPr>
          <w:rFonts w:ascii="Sylfaen" w:hAnsi="Sylfaen" w:cs="Arial"/>
          <w:lang w:val="ka-GE"/>
        </w:rPr>
        <w:t xml:space="preserve"> </w:t>
      </w:r>
      <w:r w:rsidRPr="00CD14D3">
        <w:rPr>
          <w:rFonts w:ascii="Sylfaen" w:hAnsi="Sylfaen" w:cs="Sylfaen"/>
          <w:lang w:val="ka-GE"/>
        </w:rPr>
        <w:t>აგებს</w:t>
      </w:r>
      <w:r w:rsidRPr="00CD14D3">
        <w:rPr>
          <w:rFonts w:ascii="Sylfaen" w:hAnsi="Sylfaen" w:cs="Arial"/>
          <w:lang w:val="ka-GE"/>
        </w:rPr>
        <w:t xml:space="preserve"> SLRPIII-</w:t>
      </w:r>
      <w:r w:rsidRPr="00CD14D3">
        <w:rPr>
          <w:rFonts w:ascii="Sylfaen" w:hAnsi="Sylfaen" w:cs="Sylfaen"/>
          <w:lang w:val="ka-GE"/>
        </w:rPr>
        <w:t>ს</w:t>
      </w:r>
      <w:r w:rsidRPr="00CD14D3">
        <w:rPr>
          <w:rFonts w:ascii="Sylfaen" w:hAnsi="Sylfaen"/>
          <w:lang w:val="ka-GE"/>
        </w:rPr>
        <w:t xml:space="preserve"> </w:t>
      </w:r>
      <w:r w:rsidRPr="00CD14D3">
        <w:rPr>
          <w:rFonts w:ascii="Sylfaen" w:hAnsi="Sylfaen" w:cs="Sylfaen"/>
          <w:lang w:val="ka-GE"/>
        </w:rPr>
        <w:t>ფარგლებში</w:t>
      </w:r>
      <w:r w:rsidRPr="00CD14D3">
        <w:rPr>
          <w:rFonts w:ascii="Sylfaen" w:hAnsi="Sylfaen" w:cs="Arial"/>
          <w:lang w:val="ka-GE"/>
        </w:rPr>
        <w:t xml:space="preserve"> </w:t>
      </w:r>
      <w:r w:rsidRPr="00CD14D3">
        <w:rPr>
          <w:rFonts w:ascii="Sylfaen" w:hAnsi="Sylfaen" w:cs="Sylfaen"/>
          <w:lang w:val="ka-GE"/>
        </w:rPr>
        <w:t>გარემოსდაცვით</w:t>
      </w:r>
      <w:r w:rsidRPr="00CD14D3">
        <w:rPr>
          <w:rFonts w:ascii="Sylfaen" w:hAnsi="Sylfaen" w:cs="Arial"/>
          <w:lang w:val="ka-GE"/>
        </w:rPr>
        <w:t xml:space="preserve"> </w:t>
      </w:r>
      <w:r w:rsidRPr="00CD14D3">
        <w:rPr>
          <w:rFonts w:ascii="Sylfaen" w:hAnsi="Sylfaen" w:cs="Sylfaen"/>
          <w:lang w:val="ka-GE"/>
        </w:rPr>
        <w:t>და</w:t>
      </w:r>
      <w:r w:rsidRPr="00CD14D3">
        <w:rPr>
          <w:rFonts w:ascii="Sylfaen" w:hAnsi="Sylfaen"/>
          <w:lang w:val="ka-GE"/>
        </w:rPr>
        <w:t xml:space="preserve"> </w:t>
      </w:r>
      <w:r w:rsidRPr="00CD14D3">
        <w:rPr>
          <w:rFonts w:ascii="Sylfaen" w:hAnsi="Sylfaen" w:cs="Sylfaen"/>
          <w:lang w:val="ka-GE"/>
        </w:rPr>
        <w:t>სოციალურ</w:t>
      </w:r>
      <w:r w:rsidRPr="00CD14D3">
        <w:rPr>
          <w:rFonts w:ascii="Sylfaen" w:hAnsi="Sylfaen" w:cs="Arial"/>
          <w:lang w:val="ka-GE"/>
        </w:rPr>
        <w:t xml:space="preserve"> </w:t>
      </w:r>
      <w:r w:rsidRPr="00CD14D3">
        <w:rPr>
          <w:rFonts w:ascii="Sylfaen" w:hAnsi="Sylfaen" w:cs="Sylfaen"/>
          <w:lang w:val="ka-GE"/>
        </w:rPr>
        <w:t>საქმიანობაზე</w:t>
      </w:r>
      <w:r w:rsidRPr="00CD14D3">
        <w:rPr>
          <w:rFonts w:ascii="Sylfaen" w:hAnsi="Sylfaen" w:cs="Arial"/>
          <w:lang w:val="ka-GE"/>
        </w:rPr>
        <w:t xml:space="preserve"> საგზაო დეპარტამენტისთვის </w:t>
      </w:r>
      <w:r w:rsidRPr="00CD14D3">
        <w:rPr>
          <w:rFonts w:ascii="Sylfaen" w:hAnsi="Sylfaen" w:cs="Sylfaen"/>
          <w:lang w:val="ka-GE"/>
        </w:rPr>
        <w:t>ყოველთვიური ანგარიშგებისთვის ზოგად ანგარიშში შესაბამისობის</w:t>
      </w:r>
      <w:r w:rsidRPr="00CD14D3">
        <w:rPr>
          <w:rFonts w:ascii="Sylfaen" w:hAnsi="Sylfaen" w:cs="Arial"/>
          <w:lang w:val="ka-GE"/>
        </w:rPr>
        <w:t xml:space="preserve"> </w:t>
      </w:r>
      <w:r w:rsidRPr="00CD14D3">
        <w:rPr>
          <w:rFonts w:ascii="Sylfaen" w:hAnsi="Sylfaen" w:cs="Sylfaen"/>
          <w:lang w:val="ka-GE"/>
        </w:rPr>
        <w:t>დაცვის სექციის დამატებით</w:t>
      </w:r>
      <w:r w:rsidRPr="00CD14D3">
        <w:rPr>
          <w:rFonts w:ascii="Sylfaen" w:hAnsi="Sylfaen"/>
          <w:lang w:val="ka-GE"/>
        </w:rPr>
        <w:t xml:space="preserve">. </w:t>
      </w:r>
      <w:r w:rsidRPr="00CD14D3">
        <w:rPr>
          <w:rStyle w:val="shorttext"/>
          <w:rFonts w:ascii="Sylfaen" w:hAnsi="Sylfaen" w:cs="Sylfaen"/>
          <w:lang w:val="ka-GE"/>
        </w:rPr>
        <w:t>ასევე</w:t>
      </w:r>
      <w:r w:rsidRPr="00CD14D3">
        <w:rPr>
          <w:rStyle w:val="shorttext"/>
          <w:rFonts w:ascii="Sylfaen" w:hAnsi="Sylfaen" w:cs="Arial"/>
          <w:lang w:val="ka-GE"/>
        </w:rPr>
        <w:t xml:space="preserve"> </w:t>
      </w:r>
      <w:r w:rsidRPr="00CD14D3">
        <w:rPr>
          <w:rStyle w:val="shorttext"/>
          <w:rFonts w:ascii="Sylfaen" w:hAnsi="Sylfaen" w:cs="Sylfaen"/>
          <w:lang w:val="ka-GE"/>
        </w:rPr>
        <w:t>თანდართული უნდა იქნეს</w:t>
      </w:r>
      <w:r w:rsidRPr="00CD14D3">
        <w:rPr>
          <w:rStyle w:val="shorttext"/>
          <w:rFonts w:ascii="Sylfaen" w:hAnsi="Sylfaen" w:cs="Arial"/>
          <w:lang w:val="ka-GE"/>
        </w:rPr>
        <w:t xml:space="preserve"> </w:t>
      </w:r>
      <w:r w:rsidRPr="00CD14D3">
        <w:rPr>
          <w:rStyle w:val="shorttext"/>
          <w:rFonts w:ascii="Sylfaen" w:hAnsi="Sylfaen" w:cs="Sylfaen"/>
          <w:lang w:val="ka-GE"/>
        </w:rPr>
        <w:t>დამხმარე</w:t>
      </w:r>
      <w:r w:rsidRPr="00CD14D3">
        <w:rPr>
          <w:rStyle w:val="shorttext"/>
          <w:rFonts w:ascii="Sylfaen" w:hAnsi="Sylfaen" w:cs="Arial"/>
          <w:lang w:val="ka-GE"/>
        </w:rPr>
        <w:t xml:space="preserve"> ფოტო </w:t>
      </w:r>
      <w:r w:rsidRPr="00CD14D3">
        <w:rPr>
          <w:rStyle w:val="shorttext"/>
          <w:rFonts w:ascii="Sylfaen" w:hAnsi="Sylfaen" w:cs="Sylfaen"/>
          <w:lang w:val="ka-GE"/>
        </w:rPr>
        <w:t>მასალა</w:t>
      </w:r>
      <w:r w:rsidRPr="00CD14D3">
        <w:rPr>
          <w:rStyle w:val="shorttext"/>
          <w:rFonts w:ascii="Sylfaen" w:hAnsi="Sylfaen"/>
          <w:lang w:val="ka-GE"/>
        </w:rPr>
        <w:t>.</w:t>
      </w:r>
      <w:r w:rsidR="002F2298" w:rsidRPr="00CD14D3">
        <w:rPr>
          <w:rFonts w:ascii="Sylfaen" w:hAnsi="Sylfaen"/>
        </w:rPr>
        <w:t xml:space="preserve"> </w:t>
      </w:r>
      <w:r w:rsidRPr="00CD14D3">
        <w:rPr>
          <w:rFonts w:ascii="Sylfaen" w:hAnsi="Sylfaen"/>
          <w:lang w:val="ka-GE"/>
        </w:rPr>
        <w:t xml:space="preserve">საგზაო დეპარტამენტი </w:t>
      </w:r>
      <w:r w:rsidRPr="00CD14D3">
        <w:rPr>
          <w:rFonts w:ascii="Sylfaen" w:hAnsi="Sylfaen" w:cs="Sylfaen"/>
          <w:lang w:val="ka-GE"/>
        </w:rPr>
        <w:t>ყოველთვიურად</w:t>
      </w:r>
      <w:r w:rsidRPr="00CD14D3">
        <w:rPr>
          <w:rFonts w:ascii="Sylfaen" w:hAnsi="Sylfaen" w:cs="Arial"/>
          <w:lang w:val="ka-GE"/>
        </w:rPr>
        <w:t xml:space="preserve"> </w:t>
      </w:r>
      <w:r w:rsidRPr="00CD14D3">
        <w:rPr>
          <w:rFonts w:ascii="Sylfaen" w:hAnsi="Sylfaen" w:cs="Sylfaen"/>
          <w:lang w:val="ka-GE"/>
        </w:rPr>
        <w:t>წარადგენს სამუშაოების</w:t>
      </w:r>
      <w:r w:rsidRPr="00CD14D3">
        <w:rPr>
          <w:rFonts w:ascii="Sylfaen" w:hAnsi="Sylfaen" w:cs="Arial"/>
          <w:lang w:val="ka-GE"/>
        </w:rPr>
        <w:t xml:space="preserve"> </w:t>
      </w:r>
      <w:r w:rsidRPr="00CD14D3">
        <w:rPr>
          <w:rFonts w:ascii="Sylfaen" w:hAnsi="Sylfaen" w:cs="Sylfaen"/>
          <w:lang w:val="ka-GE"/>
        </w:rPr>
        <w:t>ზედამხედველის ანგარიშს</w:t>
      </w:r>
      <w:r w:rsidRPr="00CD14D3">
        <w:rPr>
          <w:rFonts w:ascii="Sylfaen" w:hAnsi="Sylfaen" w:cs="Arial"/>
          <w:lang w:val="ka-GE"/>
        </w:rPr>
        <w:t xml:space="preserve"> </w:t>
      </w:r>
      <w:r w:rsidRPr="00CD14D3">
        <w:rPr>
          <w:rFonts w:ascii="Sylfaen" w:hAnsi="Sylfaen" w:cs="Sylfaen"/>
          <w:lang w:val="ka-GE"/>
        </w:rPr>
        <w:t>მსოფლიო</w:t>
      </w:r>
      <w:r w:rsidRPr="00CD14D3">
        <w:rPr>
          <w:rFonts w:ascii="Sylfaen" w:hAnsi="Sylfaen" w:cs="Arial"/>
          <w:lang w:val="ka-GE"/>
        </w:rPr>
        <w:t xml:space="preserve"> </w:t>
      </w:r>
      <w:r w:rsidRPr="00CD14D3">
        <w:rPr>
          <w:rFonts w:ascii="Sylfaen" w:hAnsi="Sylfaen" w:cs="Sylfaen"/>
          <w:lang w:val="ka-GE"/>
        </w:rPr>
        <w:t>ბანკისთვის</w:t>
      </w:r>
      <w:r w:rsidRPr="00CD14D3">
        <w:rPr>
          <w:rFonts w:ascii="Sylfaen" w:hAnsi="Sylfaen" w:cs="Arial"/>
          <w:lang w:val="ka-GE"/>
        </w:rPr>
        <w:t xml:space="preserve"> </w:t>
      </w:r>
      <w:r w:rsidRPr="00CD14D3">
        <w:rPr>
          <w:rFonts w:ascii="Sylfaen" w:hAnsi="Sylfaen" w:cs="Sylfaen"/>
          <w:lang w:val="ka-GE"/>
        </w:rPr>
        <w:t>მოთხოვნისთანავე</w:t>
      </w:r>
      <w:r w:rsidRPr="00CD14D3">
        <w:rPr>
          <w:rFonts w:ascii="Sylfaen" w:hAnsi="Sylfaen"/>
          <w:lang w:val="ka-GE"/>
        </w:rPr>
        <w:t xml:space="preserve">. </w:t>
      </w:r>
      <w:r w:rsidRPr="00CD14D3">
        <w:rPr>
          <w:rFonts w:ascii="Sylfaen" w:hAnsi="Sylfaen" w:cs="Sylfaen"/>
          <w:lang w:val="ka-GE"/>
        </w:rPr>
        <w:t>ასევე</w:t>
      </w:r>
      <w:r w:rsidRPr="00CD14D3">
        <w:rPr>
          <w:rFonts w:ascii="Sylfaen" w:hAnsi="Sylfaen" w:cs="Arial"/>
          <w:lang w:val="ka-GE"/>
        </w:rPr>
        <w:t xml:space="preserve">, საგზაო დეპარტამენტი </w:t>
      </w:r>
      <w:r w:rsidRPr="00CD14D3">
        <w:rPr>
          <w:rFonts w:ascii="Sylfaen" w:hAnsi="Sylfaen" w:cs="Sylfaen"/>
          <w:lang w:val="ka-GE"/>
        </w:rPr>
        <w:t>დაამატებს</w:t>
      </w:r>
      <w:r w:rsidRPr="00CD14D3">
        <w:rPr>
          <w:rFonts w:ascii="Sylfaen" w:hAnsi="Sylfaen" w:cs="Arial"/>
          <w:lang w:val="ka-GE"/>
        </w:rPr>
        <w:t xml:space="preserve"> E</w:t>
      </w:r>
      <w:r w:rsidR="00CD14D3" w:rsidRPr="00CD14D3">
        <w:rPr>
          <w:rFonts w:ascii="Sylfaen" w:hAnsi="Sylfaen" w:cs="Arial"/>
          <w:lang w:val="en-US"/>
        </w:rPr>
        <w:t>S</w:t>
      </w:r>
      <w:r w:rsidRPr="00CD14D3">
        <w:rPr>
          <w:rFonts w:ascii="Sylfaen" w:hAnsi="Sylfaen" w:cs="Arial"/>
          <w:lang w:val="ka-GE"/>
        </w:rPr>
        <w:t>MP-</w:t>
      </w:r>
      <w:r w:rsidRPr="00CD14D3">
        <w:rPr>
          <w:rFonts w:ascii="Sylfaen" w:hAnsi="Sylfaen" w:cs="Sylfaen"/>
          <w:lang w:val="ka-GE"/>
        </w:rPr>
        <w:t>ის</w:t>
      </w:r>
      <w:r w:rsidRPr="00CD14D3">
        <w:rPr>
          <w:rFonts w:ascii="Sylfaen" w:hAnsi="Sylfaen" w:cs="Arial"/>
          <w:lang w:val="ka-GE"/>
        </w:rPr>
        <w:t xml:space="preserve"> </w:t>
      </w:r>
      <w:r w:rsidRPr="00CD14D3">
        <w:rPr>
          <w:rFonts w:ascii="Sylfaen" w:hAnsi="Sylfaen" w:cs="Sylfaen"/>
          <w:lang w:val="ka-GE"/>
        </w:rPr>
        <w:t>ანალიტიკურ სექციას</w:t>
      </w:r>
      <w:r w:rsidRPr="00CD14D3">
        <w:rPr>
          <w:rFonts w:ascii="Sylfaen" w:hAnsi="Sylfaen" w:cs="Arial"/>
          <w:lang w:val="ka-GE"/>
        </w:rPr>
        <w:t xml:space="preserve"> და </w:t>
      </w:r>
      <w:r w:rsidRPr="00CD14D3">
        <w:rPr>
          <w:rFonts w:ascii="Sylfaen" w:hAnsi="Sylfaen" w:cs="Sylfaen"/>
          <w:lang w:val="ka-GE"/>
        </w:rPr>
        <w:t>გარანტიების ზოგად ეფექტურობას რეგულარულ</w:t>
      </w:r>
      <w:r w:rsidRPr="00CD14D3">
        <w:rPr>
          <w:rFonts w:ascii="Sylfaen" w:hAnsi="Sylfaen" w:cs="Arial"/>
          <w:lang w:val="ka-GE"/>
        </w:rPr>
        <w:t xml:space="preserve">ი </w:t>
      </w:r>
      <w:r w:rsidRPr="00CD14D3">
        <w:rPr>
          <w:rFonts w:ascii="Sylfaen" w:hAnsi="Sylfaen" w:cs="Sylfaen"/>
          <w:lang w:val="ka-GE"/>
        </w:rPr>
        <w:t>ანგარიშგებისას მსოფლიო ბანკისადმი</w:t>
      </w:r>
      <w:r w:rsidRPr="00CD14D3">
        <w:rPr>
          <w:rFonts w:ascii="Sylfaen" w:hAnsi="Sylfaen"/>
          <w:lang w:val="ka-GE"/>
        </w:rPr>
        <w:t xml:space="preserve"> </w:t>
      </w:r>
      <w:r w:rsidRPr="00CD14D3">
        <w:rPr>
          <w:rFonts w:ascii="Sylfaen" w:hAnsi="Sylfaen" w:cs="Sylfaen"/>
          <w:lang w:val="ka-GE"/>
        </w:rPr>
        <w:t>პროექტის განხორციელების შესახებ.</w:t>
      </w:r>
      <w:r w:rsidRPr="00CD14D3">
        <w:rPr>
          <w:rFonts w:ascii="Sylfaen" w:hAnsi="Sylfaen" w:cs="Arial"/>
          <w:lang w:val="ka-GE"/>
        </w:rPr>
        <w:t xml:space="preserve"> </w:t>
      </w:r>
      <w:r w:rsidRPr="00CD14D3">
        <w:rPr>
          <w:rFonts w:ascii="Sylfaen" w:hAnsi="Sylfaen" w:cs="Sylfaen"/>
          <w:lang w:val="ka-GE"/>
        </w:rPr>
        <w:t>ეს</w:t>
      </w:r>
      <w:r w:rsidRPr="00CD14D3">
        <w:rPr>
          <w:rFonts w:ascii="Sylfaen" w:hAnsi="Sylfaen" w:cs="Arial"/>
          <w:lang w:val="ka-GE"/>
        </w:rPr>
        <w:t xml:space="preserve"> </w:t>
      </w:r>
      <w:r w:rsidRPr="00CD14D3">
        <w:rPr>
          <w:rFonts w:ascii="Sylfaen" w:hAnsi="Sylfaen" w:cs="Sylfaen"/>
          <w:lang w:val="ka-GE"/>
        </w:rPr>
        <w:t>ანგარიში</w:t>
      </w:r>
      <w:r w:rsidRPr="00CD14D3">
        <w:rPr>
          <w:rFonts w:ascii="Sylfaen" w:hAnsi="Sylfaen" w:cs="Arial"/>
          <w:lang w:val="ka-GE"/>
        </w:rPr>
        <w:t xml:space="preserve"> </w:t>
      </w:r>
      <w:r w:rsidRPr="00CD14D3">
        <w:rPr>
          <w:rFonts w:ascii="Sylfaen" w:hAnsi="Sylfaen" w:cs="Sylfaen"/>
          <w:lang w:val="ka-GE"/>
        </w:rPr>
        <w:t>დაფუძნებული</w:t>
      </w:r>
      <w:r w:rsidRPr="00CD14D3">
        <w:rPr>
          <w:rFonts w:ascii="Sylfaen" w:hAnsi="Sylfaen" w:cs="Arial"/>
          <w:lang w:val="ka-GE"/>
        </w:rPr>
        <w:t xml:space="preserve"> </w:t>
      </w:r>
      <w:r w:rsidRPr="00CD14D3">
        <w:rPr>
          <w:rFonts w:ascii="Sylfaen" w:hAnsi="Sylfaen" w:cs="Sylfaen"/>
          <w:lang w:val="ka-GE"/>
        </w:rPr>
        <w:t>იქნება</w:t>
      </w:r>
      <w:r w:rsidRPr="00CD14D3">
        <w:rPr>
          <w:rFonts w:ascii="Sylfaen" w:hAnsi="Sylfaen" w:cs="Arial"/>
          <w:lang w:val="ka-GE"/>
        </w:rPr>
        <w:t xml:space="preserve"> </w:t>
      </w:r>
      <w:r w:rsidRPr="00CD14D3">
        <w:rPr>
          <w:rFonts w:ascii="Sylfaen" w:hAnsi="Sylfaen" w:cs="Sylfaen"/>
          <w:lang w:val="ka-GE"/>
        </w:rPr>
        <w:t>სამუშაოების</w:t>
      </w:r>
      <w:r w:rsidRPr="00CD14D3">
        <w:rPr>
          <w:rFonts w:ascii="Sylfaen" w:hAnsi="Sylfaen" w:cs="Arial"/>
          <w:lang w:val="ka-GE"/>
        </w:rPr>
        <w:t xml:space="preserve"> </w:t>
      </w:r>
      <w:r w:rsidRPr="00CD14D3">
        <w:rPr>
          <w:rFonts w:ascii="Sylfaen" w:hAnsi="Sylfaen" w:cs="Sylfaen"/>
          <w:lang w:val="ka-GE"/>
        </w:rPr>
        <w:t>ზედამხედველისაგან</w:t>
      </w:r>
      <w:r w:rsidRPr="00CD14D3">
        <w:rPr>
          <w:rFonts w:ascii="Sylfaen" w:hAnsi="Sylfaen" w:cs="Arial"/>
          <w:lang w:val="ka-GE"/>
        </w:rPr>
        <w:t xml:space="preserve"> </w:t>
      </w:r>
      <w:r w:rsidRPr="00CD14D3">
        <w:rPr>
          <w:rFonts w:ascii="Sylfaen" w:hAnsi="Sylfaen" w:cs="Sylfaen"/>
          <w:lang w:val="ka-GE"/>
        </w:rPr>
        <w:t>მიღებული</w:t>
      </w:r>
      <w:r w:rsidRPr="00CD14D3">
        <w:rPr>
          <w:rFonts w:ascii="Sylfaen" w:hAnsi="Sylfaen" w:cs="Arial"/>
          <w:lang w:val="ka-GE"/>
        </w:rPr>
        <w:t xml:space="preserve"> </w:t>
      </w:r>
      <w:r w:rsidRPr="00CD14D3">
        <w:rPr>
          <w:rFonts w:ascii="Sylfaen" w:hAnsi="Sylfaen" w:cs="Sylfaen"/>
          <w:lang w:val="ka-GE"/>
        </w:rPr>
        <w:t>ინფორმაციის</w:t>
      </w:r>
      <w:r w:rsidRPr="00CD14D3">
        <w:rPr>
          <w:rFonts w:ascii="Sylfaen" w:hAnsi="Sylfaen" w:cs="Arial"/>
          <w:lang w:val="ka-GE"/>
        </w:rPr>
        <w:t xml:space="preserve"> </w:t>
      </w:r>
      <w:r w:rsidRPr="00CD14D3">
        <w:rPr>
          <w:rFonts w:ascii="Sylfaen" w:hAnsi="Sylfaen" w:cs="Sylfaen"/>
          <w:lang w:val="ka-GE"/>
        </w:rPr>
        <w:t>საფუძველზე</w:t>
      </w:r>
      <w:r w:rsidR="002F2298" w:rsidRPr="00CD14D3">
        <w:rPr>
          <w:rFonts w:ascii="Sylfaen" w:hAnsi="Sylfaen"/>
        </w:rPr>
        <w:t xml:space="preserve">, </w:t>
      </w:r>
      <w:r w:rsidRPr="00CD14D3">
        <w:rPr>
          <w:rFonts w:ascii="Sylfaen" w:hAnsi="Sylfaen" w:cs="Sylfaen"/>
          <w:lang w:val="ka-GE"/>
        </w:rPr>
        <w:t>მაგრამ</w:t>
      </w:r>
      <w:r w:rsidRPr="00CD14D3">
        <w:rPr>
          <w:rFonts w:ascii="Sylfaen" w:hAnsi="Sylfaen" w:cs="Arial"/>
          <w:lang w:val="ka-GE"/>
        </w:rPr>
        <w:t xml:space="preserve"> </w:t>
      </w:r>
      <w:r w:rsidRPr="00CD14D3">
        <w:rPr>
          <w:rFonts w:ascii="Sylfaen" w:hAnsi="Sylfaen" w:cs="Sylfaen"/>
          <w:lang w:val="ka-GE"/>
        </w:rPr>
        <w:t>ასევე</w:t>
      </w:r>
      <w:r w:rsidRPr="00CD14D3">
        <w:rPr>
          <w:rFonts w:ascii="Sylfaen" w:hAnsi="Sylfaen" w:cs="Arial"/>
          <w:lang w:val="ka-GE"/>
        </w:rPr>
        <w:t xml:space="preserve"> </w:t>
      </w:r>
      <w:r w:rsidRPr="00CD14D3">
        <w:rPr>
          <w:rFonts w:ascii="Sylfaen" w:hAnsi="Sylfaen" w:cs="Sylfaen"/>
          <w:lang w:val="ka-GE"/>
        </w:rPr>
        <w:t>უნდა</w:t>
      </w:r>
      <w:r w:rsidRPr="00CD14D3">
        <w:rPr>
          <w:rFonts w:ascii="Sylfaen" w:hAnsi="Sylfaen"/>
          <w:lang w:val="ka-GE"/>
        </w:rPr>
        <w:t xml:space="preserve"> </w:t>
      </w:r>
      <w:r w:rsidRPr="00CD14D3">
        <w:rPr>
          <w:rFonts w:ascii="Sylfaen" w:hAnsi="Sylfaen" w:cs="Sylfaen"/>
          <w:lang w:val="ka-GE"/>
        </w:rPr>
        <w:t>ასახავდეს</w:t>
      </w:r>
      <w:r w:rsidRPr="00CD14D3">
        <w:rPr>
          <w:rFonts w:ascii="Sylfaen" w:hAnsi="Sylfaen" w:cs="Arial"/>
          <w:lang w:val="ka-GE"/>
        </w:rPr>
        <w:t xml:space="preserve"> </w:t>
      </w:r>
      <w:r w:rsidR="008F2581" w:rsidRPr="00CD14D3">
        <w:rPr>
          <w:rFonts w:ascii="Sylfaen" w:hAnsi="Sylfaen" w:cs="Arial"/>
          <w:lang w:val="ka-GE"/>
        </w:rPr>
        <w:t>საგზაო დეპარტამენტის</w:t>
      </w:r>
      <w:r w:rsidRPr="00CD14D3">
        <w:rPr>
          <w:rFonts w:ascii="Sylfaen" w:hAnsi="Sylfaen" w:cs="Arial"/>
          <w:lang w:val="ka-GE"/>
        </w:rPr>
        <w:t xml:space="preserve"> </w:t>
      </w:r>
      <w:r w:rsidRPr="00CD14D3">
        <w:rPr>
          <w:rFonts w:ascii="Sylfaen" w:hAnsi="Sylfaen" w:cs="Sylfaen"/>
          <w:lang w:val="ka-GE"/>
        </w:rPr>
        <w:t>საკუთარი</w:t>
      </w:r>
      <w:r w:rsidRPr="00CD14D3">
        <w:rPr>
          <w:rFonts w:ascii="Sylfaen" w:hAnsi="Sylfaen" w:cs="Arial"/>
          <w:lang w:val="ka-GE"/>
        </w:rPr>
        <w:t xml:space="preserve"> </w:t>
      </w:r>
      <w:r w:rsidR="008F2581" w:rsidRPr="00CD14D3">
        <w:rPr>
          <w:rFonts w:ascii="Sylfaen" w:hAnsi="Sylfaen" w:cs="Sylfaen"/>
          <w:lang w:val="ka-GE"/>
        </w:rPr>
        <w:t>შემოწმების</w:t>
      </w:r>
      <w:r w:rsidRPr="00CD14D3">
        <w:rPr>
          <w:rFonts w:ascii="Sylfaen" w:hAnsi="Sylfaen" w:cs="Arial"/>
          <w:lang w:val="ka-GE"/>
        </w:rPr>
        <w:t xml:space="preserve"> </w:t>
      </w:r>
      <w:r w:rsidRPr="00CD14D3">
        <w:rPr>
          <w:rFonts w:ascii="Sylfaen" w:hAnsi="Sylfaen" w:cs="Sylfaen"/>
          <w:lang w:val="ka-GE"/>
        </w:rPr>
        <w:t>შედეგებს</w:t>
      </w:r>
      <w:r w:rsidRPr="00CD14D3">
        <w:rPr>
          <w:rFonts w:ascii="Sylfaen" w:hAnsi="Sylfaen"/>
        </w:rPr>
        <w:t xml:space="preserve"> </w:t>
      </w:r>
      <w:r w:rsidR="002F2298" w:rsidRPr="00CD14D3">
        <w:rPr>
          <w:rFonts w:ascii="Sylfaen" w:hAnsi="Sylfaen"/>
        </w:rPr>
        <w:t>(</w:t>
      </w:r>
      <w:r w:rsidR="008F2581" w:rsidRPr="00CD14D3">
        <w:rPr>
          <w:rStyle w:val="shorttext"/>
          <w:rFonts w:ascii="Sylfaen" w:hAnsi="Sylfaen" w:cs="Sylfaen"/>
          <w:lang w:val="ka-GE"/>
        </w:rPr>
        <w:t>ხარისხის</w:t>
      </w:r>
      <w:r w:rsidR="008F2581" w:rsidRPr="00CD14D3">
        <w:rPr>
          <w:rStyle w:val="shorttext"/>
          <w:rFonts w:ascii="Sylfaen" w:hAnsi="Sylfaen" w:cs="Arial"/>
          <w:lang w:val="ka-GE"/>
        </w:rPr>
        <w:t xml:space="preserve"> </w:t>
      </w:r>
      <w:r w:rsidR="008F2581" w:rsidRPr="00CD14D3">
        <w:rPr>
          <w:rStyle w:val="shorttext"/>
          <w:rFonts w:ascii="Sylfaen" w:hAnsi="Sylfaen" w:cs="Sylfaen"/>
          <w:lang w:val="ka-GE"/>
        </w:rPr>
        <w:t>კონტროლი</w:t>
      </w:r>
      <w:r w:rsidR="008F2581" w:rsidRPr="00CD14D3">
        <w:rPr>
          <w:rStyle w:val="shorttext"/>
          <w:rFonts w:ascii="Sylfaen" w:hAnsi="Sylfaen" w:cs="Arial"/>
          <w:lang w:val="ka-GE"/>
        </w:rPr>
        <w:t xml:space="preserve"> </w:t>
      </w:r>
      <w:r w:rsidR="008F2581" w:rsidRPr="00CD14D3">
        <w:rPr>
          <w:rStyle w:val="shorttext"/>
          <w:rFonts w:ascii="Sylfaen" w:hAnsi="Sylfaen" w:cs="Sylfaen"/>
          <w:lang w:val="ka-GE"/>
        </w:rPr>
        <w:t>ზედამხედველის</w:t>
      </w:r>
      <w:r w:rsidR="008F2581" w:rsidRPr="00CD14D3">
        <w:rPr>
          <w:rStyle w:val="shorttext"/>
          <w:rFonts w:ascii="Sylfaen" w:hAnsi="Sylfaen" w:cs="Arial"/>
          <w:lang w:val="ka-GE"/>
        </w:rPr>
        <w:t xml:space="preserve"> </w:t>
      </w:r>
      <w:r w:rsidR="008F2581" w:rsidRPr="00CD14D3">
        <w:rPr>
          <w:rStyle w:val="shorttext"/>
          <w:rFonts w:ascii="Sylfaen" w:hAnsi="Sylfaen" w:cs="Sylfaen"/>
          <w:lang w:val="ka-GE"/>
        </w:rPr>
        <w:t>მუშაობაზე</w:t>
      </w:r>
      <w:r w:rsidR="002F2298" w:rsidRPr="00CD14D3">
        <w:rPr>
          <w:rFonts w:ascii="Sylfaen" w:hAnsi="Sylfaen"/>
        </w:rPr>
        <w:t xml:space="preserve">) </w:t>
      </w:r>
      <w:r w:rsidR="008F2581" w:rsidRPr="00CD14D3">
        <w:rPr>
          <w:rFonts w:ascii="Sylfaen" w:hAnsi="Sylfaen"/>
          <w:lang w:val="ka-GE"/>
        </w:rPr>
        <w:t>და</w:t>
      </w:r>
      <w:r w:rsidR="002F2298" w:rsidRPr="00CD14D3">
        <w:rPr>
          <w:rFonts w:ascii="Sylfaen" w:hAnsi="Sylfaen"/>
        </w:rPr>
        <w:t xml:space="preserve"> </w:t>
      </w:r>
      <w:bookmarkStart w:id="529" w:name="_Toc471745476"/>
      <w:bookmarkStart w:id="530" w:name="_Toc471745821"/>
      <w:r w:rsidR="008F2581" w:rsidRPr="00CD14D3">
        <w:rPr>
          <w:rStyle w:val="shorttext"/>
          <w:rFonts w:ascii="Sylfaen" w:hAnsi="Sylfaen"/>
          <w:lang w:val="ka-GE"/>
        </w:rPr>
        <w:t>საგზაო დეპარტამენტის</w:t>
      </w:r>
      <w:r w:rsidR="008F2581" w:rsidRPr="00CD14D3">
        <w:rPr>
          <w:rStyle w:val="shorttext"/>
          <w:rFonts w:ascii="Sylfaen" w:hAnsi="Sylfaen" w:cs="Arial"/>
          <w:lang w:val="ka-GE"/>
        </w:rPr>
        <w:t xml:space="preserve"> </w:t>
      </w:r>
      <w:r w:rsidR="008F2581" w:rsidRPr="00CD14D3">
        <w:rPr>
          <w:rStyle w:val="shorttext"/>
          <w:rFonts w:ascii="Sylfaen" w:hAnsi="Sylfaen" w:cs="Sylfaen"/>
          <w:lang w:val="ka-GE"/>
        </w:rPr>
        <w:t>შეფასებას</w:t>
      </w:r>
      <w:r w:rsidR="008F2581" w:rsidRPr="00CD14D3">
        <w:rPr>
          <w:rStyle w:val="shorttext"/>
          <w:rFonts w:ascii="Sylfaen" w:hAnsi="Sylfaen" w:cs="Arial"/>
          <w:lang w:val="ka-GE"/>
        </w:rPr>
        <w:t xml:space="preserve"> </w:t>
      </w:r>
      <w:r w:rsidR="008F2581" w:rsidRPr="00CD14D3">
        <w:rPr>
          <w:rStyle w:val="shorttext"/>
          <w:rFonts w:ascii="Sylfaen" w:hAnsi="Sylfaen" w:cs="Sylfaen"/>
          <w:lang w:val="ka-GE"/>
        </w:rPr>
        <w:t>ზედამხედველის</w:t>
      </w:r>
      <w:r w:rsidR="008F2581" w:rsidRPr="00CD14D3">
        <w:rPr>
          <w:rStyle w:val="shorttext"/>
          <w:rFonts w:ascii="Sylfaen" w:hAnsi="Sylfaen" w:cs="Arial"/>
          <w:lang w:val="ka-GE"/>
        </w:rPr>
        <w:t xml:space="preserve"> </w:t>
      </w:r>
      <w:r w:rsidR="008F2581" w:rsidRPr="00CD14D3">
        <w:rPr>
          <w:rStyle w:val="shorttext"/>
          <w:rFonts w:ascii="Sylfaen" w:hAnsi="Sylfaen" w:cs="Sylfaen"/>
          <w:lang w:val="ka-GE"/>
        </w:rPr>
        <w:t>საქმიანობაზე</w:t>
      </w:r>
      <w:r w:rsidR="008F2581" w:rsidRPr="00CD14D3">
        <w:rPr>
          <w:rStyle w:val="shorttext"/>
          <w:rFonts w:ascii="Sylfaen" w:hAnsi="Sylfaen"/>
          <w:lang w:val="ka-GE"/>
        </w:rPr>
        <w:t>.</w:t>
      </w:r>
    </w:p>
    <w:p w14:paraId="6BD72C53" w14:textId="77777777" w:rsidR="004146C6" w:rsidRPr="00CD14D3" w:rsidRDefault="004146C6" w:rsidP="002B56CC">
      <w:pPr>
        <w:spacing w:before="200" w:after="200"/>
        <w:jc w:val="center"/>
        <w:rPr>
          <w:rFonts w:ascii="Sylfaen" w:hAnsi="Sylfaen"/>
          <w:sz w:val="20"/>
        </w:rPr>
        <w:sectPr w:rsidR="004146C6" w:rsidRPr="00CD14D3" w:rsidSect="00362D70">
          <w:pgSz w:w="11907" w:h="16840"/>
          <w:pgMar w:top="1140" w:right="1140" w:bottom="1140" w:left="1140" w:header="720" w:footer="720" w:gutter="0"/>
          <w:cols w:space="720"/>
          <w:titlePg/>
          <w:docGrid w:linePitch="360"/>
        </w:sectPr>
      </w:pPr>
    </w:p>
    <w:p w14:paraId="38CC6696" w14:textId="53C848C8" w:rsidR="0071033A" w:rsidRPr="00CD14D3" w:rsidRDefault="0071033A" w:rsidP="002B56CC">
      <w:pPr>
        <w:pStyle w:val="Caption"/>
        <w:widowControl w:val="0"/>
        <w:rPr>
          <w:rFonts w:ascii="Sylfaen" w:hAnsi="Sylfaen" w:cs="Arial"/>
        </w:rPr>
      </w:pPr>
      <w:r w:rsidRPr="00CD14D3">
        <w:rPr>
          <w:rFonts w:ascii="Sylfaen" w:hAnsi="Sylfaen" w:cs="Arial"/>
          <w:lang w:val="ka-GE"/>
        </w:rPr>
        <w:lastRenderedPageBreak/>
        <w:t>ცხრილი</w:t>
      </w:r>
      <w:r w:rsidRPr="00CD14D3">
        <w:rPr>
          <w:rFonts w:ascii="Sylfaen" w:hAnsi="Sylfaen" w:cs="Arial"/>
        </w:rPr>
        <w:t xml:space="preserve"> 9.1: გარემოს </w:t>
      </w:r>
      <w:r w:rsidR="00092B73">
        <w:rPr>
          <w:rFonts w:ascii="Sylfaen" w:hAnsi="Sylfaen" w:cs="Arial"/>
          <w:lang w:val="ka-GE"/>
        </w:rPr>
        <w:t>მონიტორინგის</w:t>
      </w:r>
      <w:r w:rsidRPr="00CD14D3">
        <w:rPr>
          <w:rFonts w:ascii="Sylfaen" w:hAnsi="Sylfaen" w:cs="Arial"/>
        </w:rPr>
        <w:t xml:space="preserve"> გეგმა</w:t>
      </w:r>
    </w:p>
    <w:p w14:paraId="4E11B57C" w14:textId="77777777" w:rsidR="00CD14D3" w:rsidRPr="008E0D40" w:rsidRDefault="00CD14D3" w:rsidP="00CD14D3">
      <w:pPr>
        <w:pStyle w:val="Caption"/>
        <w:tabs>
          <w:tab w:val="left" w:pos="2520"/>
        </w:tabs>
        <w:jc w:val="both"/>
        <w:rPr>
          <w:rFonts w:ascii="Sylfaen" w:hAnsi="Sylfaen"/>
          <w:b w:val="0"/>
          <w:lang w:val="ka-GE"/>
        </w:rPr>
      </w:pPr>
      <w:r w:rsidRPr="008E0D40">
        <w:rPr>
          <w:rFonts w:ascii="Sylfaen" w:hAnsi="Sylfaen"/>
          <w:lang w:val="ka-GE"/>
        </w:rPr>
        <w:t>პროექტირების და მოსამზადებელი ეტაპი</w:t>
      </w:r>
    </w:p>
    <w:tbl>
      <w:tblPr>
        <w:tblW w:w="5316"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9361"/>
        <w:gridCol w:w="1840"/>
        <w:gridCol w:w="1882"/>
      </w:tblGrid>
      <w:tr w:rsidR="00CD14D3" w:rsidRPr="008E0D40" w14:paraId="3B17A31A" w14:textId="77777777" w:rsidTr="001F2C5A">
        <w:tc>
          <w:tcPr>
            <w:tcW w:w="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6C258C" w14:textId="77777777" w:rsidR="00CD14D3" w:rsidRPr="001F2C5A" w:rsidRDefault="00CD14D3" w:rsidP="006075CD">
            <w:pPr>
              <w:autoSpaceDE w:val="0"/>
              <w:autoSpaceDN w:val="0"/>
              <w:adjustRightInd w:val="0"/>
              <w:rPr>
                <w:rFonts w:ascii="Sylfaen" w:hAnsi="Sylfaen"/>
                <w:b/>
                <w:sz w:val="18"/>
                <w:szCs w:val="20"/>
                <w:lang w:val="ka-GE"/>
              </w:rPr>
            </w:pPr>
            <w:r w:rsidRPr="001F2C5A">
              <w:rPr>
                <w:rFonts w:ascii="Sylfaen" w:hAnsi="Sylfaen"/>
                <w:b/>
                <w:sz w:val="18"/>
                <w:szCs w:val="20"/>
                <w:lang w:val="ka-GE"/>
              </w:rPr>
              <w:t>პრობლემა</w:t>
            </w:r>
          </w:p>
        </w:tc>
        <w:tc>
          <w:tcPr>
            <w:tcW w:w="316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E93AFD" w14:textId="77777777" w:rsidR="00CD14D3" w:rsidRPr="001F2C5A" w:rsidRDefault="00CD14D3" w:rsidP="006075CD">
            <w:pPr>
              <w:autoSpaceDE w:val="0"/>
              <w:autoSpaceDN w:val="0"/>
              <w:adjustRightInd w:val="0"/>
              <w:rPr>
                <w:rFonts w:ascii="Sylfaen" w:hAnsi="Sylfaen"/>
                <w:b/>
                <w:sz w:val="18"/>
                <w:szCs w:val="20"/>
                <w:lang w:val="ka-GE"/>
              </w:rPr>
            </w:pPr>
            <w:r w:rsidRPr="001F2C5A">
              <w:rPr>
                <w:rFonts w:ascii="Sylfaen" w:hAnsi="Sylfaen" w:cs="Sylfaen"/>
                <w:b/>
                <w:sz w:val="18"/>
                <w:szCs w:val="20"/>
                <w:lang w:val="ka-GE"/>
              </w:rPr>
              <w:t xml:space="preserve">ქმედება </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88A832" w14:textId="77777777" w:rsidR="00CD14D3" w:rsidRPr="001F2C5A" w:rsidRDefault="00CD14D3" w:rsidP="006075CD">
            <w:pPr>
              <w:autoSpaceDE w:val="0"/>
              <w:autoSpaceDN w:val="0"/>
              <w:adjustRightInd w:val="0"/>
              <w:rPr>
                <w:rFonts w:ascii="Sylfaen" w:hAnsi="Sylfaen"/>
                <w:b/>
                <w:sz w:val="18"/>
                <w:szCs w:val="20"/>
                <w:lang w:val="ka-GE"/>
              </w:rPr>
            </w:pPr>
            <w:r w:rsidRPr="001F2C5A">
              <w:rPr>
                <w:rFonts w:ascii="Sylfaen" w:hAnsi="Sylfaen" w:cs="Sylfaen"/>
                <w:b/>
                <w:sz w:val="18"/>
                <w:szCs w:val="20"/>
                <w:lang w:val="ka-GE"/>
              </w:rPr>
              <w:t>შემსრულებელი</w:t>
            </w:r>
          </w:p>
        </w:tc>
        <w:tc>
          <w:tcPr>
            <w:tcW w:w="63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A9470E" w14:textId="77777777" w:rsidR="00CD14D3" w:rsidRPr="001F2C5A" w:rsidRDefault="00CD14D3" w:rsidP="006075CD">
            <w:pPr>
              <w:autoSpaceDE w:val="0"/>
              <w:autoSpaceDN w:val="0"/>
              <w:adjustRightInd w:val="0"/>
              <w:rPr>
                <w:rFonts w:ascii="Sylfaen" w:hAnsi="Sylfaen"/>
                <w:b/>
                <w:sz w:val="18"/>
                <w:szCs w:val="20"/>
                <w:lang w:val="ka-GE"/>
              </w:rPr>
            </w:pPr>
            <w:r w:rsidRPr="001F2C5A">
              <w:rPr>
                <w:rFonts w:ascii="Sylfaen" w:hAnsi="Sylfaen" w:cs="Sylfaen"/>
                <w:b/>
                <w:sz w:val="18"/>
                <w:szCs w:val="20"/>
                <w:lang w:val="ka-GE"/>
              </w:rPr>
              <w:t>პასუხისმგებელი</w:t>
            </w:r>
            <w:r w:rsidRPr="001F2C5A">
              <w:rPr>
                <w:rFonts w:ascii="Sylfaen" w:hAnsi="Sylfaen"/>
                <w:b/>
                <w:sz w:val="18"/>
                <w:szCs w:val="20"/>
                <w:lang w:val="ka-GE"/>
              </w:rPr>
              <w:t xml:space="preserve">- </w:t>
            </w:r>
            <w:r w:rsidRPr="001F2C5A">
              <w:rPr>
                <w:rFonts w:ascii="Sylfaen" w:hAnsi="Sylfaen" w:cs="Sylfaen"/>
                <w:b/>
                <w:sz w:val="18"/>
                <w:szCs w:val="20"/>
                <w:lang w:val="ka-GE"/>
              </w:rPr>
              <w:t>ზედამხედველი</w:t>
            </w:r>
          </w:p>
        </w:tc>
      </w:tr>
      <w:tr w:rsidR="00CD14D3" w:rsidRPr="008E0D40" w14:paraId="06E544EA" w14:textId="77777777" w:rsidTr="001F2C5A">
        <w:trPr>
          <w:trHeight w:val="547"/>
        </w:trPr>
        <w:tc>
          <w:tcPr>
            <w:tcW w:w="578" w:type="pct"/>
            <w:vMerge w:val="restart"/>
            <w:tcBorders>
              <w:top w:val="single" w:sz="4" w:space="0" w:color="auto"/>
              <w:left w:val="single" w:sz="4" w:space="0" w:color="auto"/>
              <w:right w:val="single" w:sz="4" w:space="0" w:color="auto"/>
            </w:tcBorders>
            <w:hideMark/>
          </w:tcPr>
          <w:p w14:paraId="14D8ED12" w14:textId="77777777" w:rsidR="00CD14D3" w:rsidRPr="001F2C5A" w:rsidRDefault="00CD14D3" w:rsidP="006075CD">
            <w:pPr>
              <w:autoSpaceDE w:val="0"/>
              <w:autoSpaceDN w:val="0"/>
              <w:adjustRightInd w:val="0"/>
              <w:rPr>
                <w:rFonts w:ascii="Sylfaen" w:hAnsi="Sylfaen"/>
                <w:sz w:val="18"/>
                <w:szCs w:val="20"/>
                <w:lang w:val="ka-GE"/>
              </w:rPr>
            </w:pPr>
            <w:r w:rsidRPr="001F2C5A">
              <w:rPr>
                <w:rFonts w:ascii="Sylfaen" w:hAnsi="Sylfaen" w:cs="Sylfaen"/>
                <w:sz w:val="18"/>
                <w:szCs w:val="20"/>
                <w:lang w:val="ka-GE"/>
              </w:rPr>
              <w:t>მტვერი</w:t>
            </w:r>
            <w:r w:rsidRPr="001F2C5A">
              <w:rPr>
                <w:rFonts w:ascii="Sylfaen" w:hAnsi="Sylfaen"/>
                <w:sz w:val="18"/>
                <w:szCs w:val="20"/>
                <w:lang w:val="ka-GE"/>
              </w:rPr>
              <w:t xml:space="preserve">/ემისიები </w:t>
            </w:r>
            <w:r w:rsidRPr="001F2C5A">
              <w:rPr>
                <w:rFonts w:ascii="Sylfaen" w:hAnsi="Sylfaen" w:cs="Sylfaen"/>
                <w:sz w:val="18"/>
                <w:szCs w:val="20"/>
                <w:lang w:val="ka-GE"/>
              </w:rPr>
              <w:t>დაბინძურება</w:t>
            </w:r>
          </w:p>
        </w:tc>
        <w:tc>
          <w:tcPr>
            <w:tcW w:w="3164" w:type="pct"/>
            <w:tcBorders>
              <w:top w:val="single" w:sz="4" w:space="0" w:color="auto"/>
              <w:left w:val="single" w:sz="4" w:space="0" w:color="auto"/>
              <w:bottom w:val="single" w:sz="4" w:space="0" w:color="auto"/>
              <w:right w:val="single" w:sz="4" w:space="0" w:color="auto"/>
            </w:tcBorders>
            <w:hideMark/>
          </w:tcPr>
          <w:p w14:paraId="610B9019"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eastAsia="da-DK"/>
              </w:rPr>
            </w:pPr>
            <w:r w:rsidRPr="001F2C5A">
              <w:rPr>
                <w:rFonts w:ascii="Sylfaen" w:hAnsi="Sylfaen" w:cs="Sylfaen"/>
                <w:sz w:val="18"/>
                <w:szCs w:val="20"/>
                <w:lang w:val="ka-GE"/>
              </w:rPr>
              <w:t>მასალის მოპოვების</w:t>
            </w:r>
            <w:r w:rsidRPr="001F2C5A">
              <w:rPr>
                <w:rFonts w:ascii="Sylfaen" w:hAnsi="Sylfaen"/>
                <w:sz w:val="18"/>
                <w:szCs w:val="20"/>
                <w:lang w:val="ka-GE"/>
              </w:rPr>
              <w:t xml:space="preserve">, </w:t>
            </w:r>
            <w:r w:rsidRPr="001F2C5A">
              <w:rPr>
                <w:rFonts w:ascii="Sylfaen" w:hAnsi="Sylfaen" w:cs="Sylfaen"/>
                <w:sz w:val="18"/>
                <w:szCs w:val="20"/>
                <w:lang w:val="ka-GE"/>
              </w:rPr>
              <w:t>ნარჩენების</w:t>
            </w:r>
            <w:r w:rsidRPr="001F2C5A">
              <w:rPr>
                <w:rFonts w:ascii="Sylfaen" w:hAnsi="Sylfaen"/>
                <w:sz w:val="18"/>
                <w:szCs w:val="20"/>
                <w:lang w:val="ka-GE"/>
              </w:rPr>
              <w:t xml:space="preserve"> </w:t>
            </w:r>
            <w:r w:rsidRPr="001F2C5A">
              <w:rPr>
                <w:rFonts w:ascii="Sylfaen" w:hAnsi="Sylfaen" w:cs="Sylfaen"/>
                <w:sz w:val="18"/>
                <w:szCs w:val="20"/>
                <w:lang w:val="ka-GE"/>
              </w:rPr>
              <w:t>განთავსების</w:t>
            </w:r>
            <w:r w:rsidRPr="001F2C5A">
              <w:rPr>
                <w:rFonts w:ascii="Sylfaen" w:hAnsi="Sylfaen"/>
                <w:sz w:val="18"/>
                <w:szCs w:val="20"/>
                <w:lang w:val="ka-GE"/>
              </w:rPr>
              <w:t xml:space="preserve">, </w:t>
            </w:r>
            <w:r w:rsidRPr="001F2C5A">
              <w:rPr>
                <w:rFonts w:ascii="Sylfaen" w:hAnsi="Sylfaen" w:cs="Sylfaen"/>
                <w:sz w:val="18"/>
                <w:szCs w:val="20"/>
                <w:lang w:val="ka-GE"/>
              </w:rPr>
              <w:t>ბეტონის</w:t>
            </w:r>
            <w:r w:rsidRPr="001F2C5A">
              <w:rPr>
                <w:rFonts w:ascii="Sylfaen" w:hAnsi="Sylfaen"/>
                <w:sz w:val="18"/>
                <w:szCs w:val="20"/>
                <w:lang w:val="ka-GE"/>
              </w:rPr>
              <w:t xml:space="preserve"> კვანძის </w:t>
            </w:r>
            <w:r w:rsidRPr="001F2C5A">
              <w:rPr>
                <w:rFonts w:ascii="Sylfaen" w:hAnsi="Sylfaen" w:cs="Sylfaen"/>
                <w:sz w:val="18"/>
                <w:szCs w:val="20"/>
                <w:lang w:val="ka-GE"/>
              </w:rPr>
              <w:t>განთავსების</w:t>
            </w:r>
            <w:r w:rsidRPr="001F2C5A">
              <w:rPr>
                <w:rFonts w:ascii="Sylfaen" w:hAnsi="Sylfaen"/>
                <w:sz w:val="18"/>
                <w:szCs w:val="20"/>
                <w:lang w:val="ka-GE"/>
              </w:rPr>
              <w:t xml:space="preserve"> </w:t>
            </w:r>
            <w:r w:rsidRPr="001F2C5A">
              <w:rPr>
                <w:rFonts w:ascii="Sylfaen" w:hAnsi="Sylfaen" w:cs="Sylfaen"/>
                <w:sz w:val="18"/>
                <w:szCs w:val="20"/>
                <w:lang w:val="ka-GE"/>
              </w:rPr>
              <w:t>ადგილის</w:t>
            </w:r>
            <w:r w:rsidRPr="001F2C5A">
              <w:rPr>
                <w:rFonts w:ascii="Sylfaen" w:hAnsi="Sylfaen"/>
                <w:sz w:val="18"/>
                <w:szCs w:val="20"/>
                <w:lang w:val="ka-GE"/>
              </w:rPr>
              <w:t xml:space="preserve"> განსაზღვრა </w:t>
            </w:r>
            <w:r w:rsidRPr="001F2C5A">
              <w:rPr>
                <w:rFonts w:ascii="Sylfaen" w:hAnsi="Sylfaen" w:cs="Sylfaen"/>
                <w:sz w:val="18"/>
                <w:szCs w:val="20"/>
                <w:lang w:val="ka-GE"/>
              </w:rPr>
              <w:t xml:space="preserve">გარემოს და ჯანდაცვის </w:t>
            </w:r>
            <w:r w:rsidRPr="001F2C5A">
              <w:rPr>
                <w:rFonts w:ascii="Sylfaen" w:hAnsi="Sylfaen"/>
                <w:sz w:val="18"/>
                <w:szCs w:val="20"/>
                <w:lang w:val="ka-GE"/>
              </w:rPr>
              <w:t>ასპექტების (</w:t>
            </w:r>
            <w:r w:rsidRPr="001F2C5A">
              <w:rPr>
                <w:rFonts w:ascii="Sylfaen" w:hAnsi="Sylfaen" w:cs="Sylfaen"/>
                <w:sz w:val="18"/>
                <w:szCs w:val="20"/>
                <w:lang w:val="ka-GE"/>
              </w:rPr>
              <w:t>ადამიანებზე</w:t>
            </w:r>
            <w:r w:rsidRPr="001F2C5A">
              <w:rPr>
                <w:rFonts w:ascii="Sylfaen" w:hAnsi="Sylfaen"/>
                <w:sz w:val="18"/>
                <w:szCs w:val="20"/>
                <w:lang w:val="ka-GE"/>
              </w:rPr>
              <w:t xml:space="preserve"> </w:t>
            </w:r>
            <w:r w:rsidRPr="001F2C5A">
              <w:rPr>
                <w:rFonts w:ascii="Sylfaen" w:hAnsi="Sylfaen" w:cs="Sylfaen"/>
                <w:sz w:val="18"/>
                <w:szCs w:val="20"/>
                <w:lang w:val="ka-GE"/>
              </w:rPr>
              <w:t>და</w:t>
            </w:r>
            <w:r w:rsidRPr="001F2C5A">
              <w:rPr>
                <w:rFonts w:ascii="Sylfaen" w:hAnsi="Sylfaen"/>
                <w:sz w:val="18"/>
                <w:szCs w:val="20"/>
                <w:lang w:val="ka-GE"/>
              </w:rPr>
              <w:t xml:space="preserve"> </w:t>
            </w:r>
            <w:r w:rsidRPr="001F2C5A">
              <w:rPr>
                <w:rFonts w:ascii="Sylfaen" w:hAnsi="Sylfaen" w:cs="Sylfaen"/>
                <w:sz w:val="18"/>
                <w:szCs w:val="20"/>
                <w:lang w:val="ka-GE"/>
              </w:rPr>
              <w:t>ცხოველთა</w:t>
            </w:r>
            <w:r w:rsidRPr="001F2C5A">
              <w:rPr>
                <w:rFonts w:ascii="Sylfaen" w:hAnsi="Sylfaen"/>
                <w:sz w:val="18"/>
                <w:szCs w:val="20"/>
                <w:lang w:val="ka-GE"/>
              </w:rPr>
              <w:t xml:space="preserve"> </w:t>
            </w:r>
            <w:r w:rsidRPr="001F2C5A">
              <w:rPr>
                <w:rFonts w:ascii="Sylfaen" w:hAnsi="Sylfaen" w:cs="Sylfaen"/>
                <w:sz w:val="18"/>
                <w:szCs w:val="20"/>
                <w:lang w:val="ka-GE"/>
              </w:rPr>
              <w:t>სამყაროზე</w:t>
            </w:r>
            <w:r w:rsidRPr="001F2C5A">
              <w:rPr>
                <w:rFonts w:ascii="Sylfaen" w:hAnsi="Sylfaen"/>
                <w:sz w:val="18"/>
                <w:szCs w:val="20"/>
                <w:lang w:val="ka-GE"/>
              </w:rPr>
              <w:t xml:space="preserve"> </w:t>
            </w:r>
            <w:r w:rsidRPr="001F2C5A">
              <w:rPr>
                <w:rFonts w:ascii="Sylfaen" w:hAnsi="Sylfaen" w:cs="Sylfaen"/>
                <w:sz w:val="18"/>
                <w:szCs w:val="20"/>
                <w:lang w:val="ka-GE"/>
              </w:rPr>
              <w:t>ნეგატიური</w:t>
            </w:r>
            <w:r w:rsidRPr="001F2C5A">
              <w:rPr>
                <w:rFonts w:ascii="Sylfaen" w:hAnsi="Sylfaen"/>
                <w:sz w:val="18"/>
                <w:szCs w:val="20"/>
                <w:lang w:val="ka-GE"/>
              </w:rPr>
              <w:t xml:space="preserve"> </w:t>
            </w:r>
            <w:r w:rsidRPr="001F2C5A">
              <w:rPr>
                <w:rFonts w:ascii="Sylfaen" w:hAnsi="Sylfaen" w:cs="Sylfaen"/>
                <w:sz w:val="18"/>
                <w:szCs w:val="20"/>
                <w:lang w:val="ka-GE"/>
              </w:rPr>
              <w:t>ზემოქმედების</w:t>
            </w:r>
            <w:r w:rsidRPr="001F2C5A">
              <w:rPr>
                <w:rFonts w:ascii="Sylfaen" w:hAnsi="Sylfaen"/>
                <w:sz w:val="18"/>
                <w:szCs w:val="20"/>
                <w:lang w:val="ka-GE"/>
              </w:rPr>
              <w:t xml:space="preserve"> </w:t>
            </w:r>
            <w:r w:rsidRPr="001F2C5A">
              <w:rPr>
                <w:rFonts w:ascii="Sylfaen" w:hAnsi="Sylfaen" w:cs="Sylfaen"/>
                <w:sz w:val="18"/>
                <w:szCs w:val="20"/>
                <w:lang w:val="ka-GE"/>
              </w:rPr>
              <w:t>თავიდან</w:t>
            </w:r>
            <w:r w:rsidRPr="001F2C5A">
              <w:rPr>
                <w:rFonts w:ascii="Sylfaen" w:hAnsi="Sylfaen"/>
                <w:sz w:val="18"/>
                <w:szCs w:val="20"/>
                <w:lang w:val="ka-GE"/>
              </w:rPr>
              <w:t xml:space="preserve"> </w:t>
            </w:r>
            <w:r w:rsidRPr="001F2C5A">
              <w:rPr>
                <w:rFonts w:ascii="Sylfaen" w:hAnsi="Sylfaen" w:cs="Sylfaen"/>
                <w:sz w:val="18"/>
                <w:szCs w:val="20"/>
                <w:lang w:val="ka-GE"/>
              </w:rPr>
              <w:t>ასაცილებლად</w:t>
            </w:r>
            <w:r w:rsidRPr="001F2C5A">
              <w:rPr>
                <w:rFonts w:ascii="Sylfaen" w:hAnsi="Sylfaen"/>
                <w:sz w:val="18"/>
                <w:szCs w:val="20"/>
                <w:lang w:val="ka-GE"/>
              </w:rPr>
              <w:t xml:space="preserve">) </w:t>
            </w:r>
            <w:r w:rsidRPr="001F2C5A">
              <w:rPr>
                <w:rFonts w:ascii="Sylfaen" w:hAnsi="Sylfaen" w:cs="Sylfaen"/>
                <w:sz w:val="18"/>
                <w:szCs w:val="20"/>
                <w:lang w:val="ka-GE"/>
              </w:rPr>
              <w:t>გათვალისწინებით</w:t>
            </w:r>
            <w:r w:rsidRPr="001F2C5A">
              <w:rPr>
                <w:rFonts w:ascii="Sylfaen" w:hAnsi="Sylfaen"/>
                <w:sz w:val="18"/>
                <w:szCs w:val="20"/>
                <w:lang w:val="ka-GE"/>
              </w:rPr>
              <w:t>.</w:t>
            </w:r>
          </w:p>
        </w:tc>
        <w:tc>
          <w:tcPr>
            <w:tcW w:w="622" w:type="pct"/>
            <w:tcBorders>
              <w:top w:val="single" w:sz="4" w:space="0" w:color="auto"/>
              <w:left w:val="single" w:sz="4" w:space="0" w:color="auto"/>
              <w:bottom w:val="single" w:sz="4" w:space="0" w:color="auto"/>
              <w:right w:val="single" w:sz="4" w:space="0" w:color="auto"/>
            </w:tcBorders>
            <w:hideMark/>
          </w:tcPr>
          <w:p w14:paraId="13A3F0A4" w14:textId="77777777" w:rsidR="00CD14D3" w:rsidRPr="001F2C5A" w:rsidRDefault="00CD14D3" w:rsidP="006075CD">
            <w:pPr>
              <w:autoSpaceDE w:val="0"/>
              <w:autoSpaceDN w:val="0"/>
              <w:adjustRightInd w:val="0"/>
              <w:rPr>
                <w:rFonts w:ascii="Sylfaen" w:hAnsi="Sylfaen"/>
                <w:sz w:val="18"/>
                <w:szCs w:val="20"/>
                <w:lang w:val="ka-GE"/>
              </w:rPr>
            </w:pPr>
            <w:r w:rsidRPr="001F2C5A">
              <w:rPr>
                <w:rFonts w:ascii="Sylfaen" w:hAnsi="Sylfaen" w:cs="Sylfaen"/>
                <w:sz w:val="18"/>
                <w:szCs w:val="20"/>
                <w:lang w:val="ka-GE"/>
              </w:rPr>
              <w:t xml:space="preserve">კონტრაქტორი, </w:t>
            </w:r>
          </w:p>
        </w:tc>
        <w:tc>
          <w:tcPr>
            <w:tcW w:w="636" w:type="pct"/>
            <w:tcBorders>
              <w:top w:val="single" w:sz="4" w:space="0" w:color="auto"/>
              <w:left w:val="single" w:sz="4" w:space="0" w:color="auto"/>
              <w:bottom w:val="single" w:sz="4" w:space="0" w:color="auto"/>
              <w:right w:val="single" w:sz="4" w:space="0" w:color="auto"/>
            </w:tcBorders>
            <w:hideMark/>
          </w:tcPr>
          <w:p w14:paraId="7DE4467E" w14:textId="0883C328" w:rsidR="00092B73" w:rsidRDefault="00CD14D3" w:rsidP="006075CD">
            <w:pPr>
              <w:autoSpaceDE w:val="0"/>
              <w:autoSpaceDN w:val="0"/>
              <w:adjustRightInd w:val="0"/>
              <w:rPr>
                <w:rFonts w:ascii="Sylfaen" w:hAnsi="Sylfaen"/>
                <w:sz w:val="18"/>
                <w:szCs w:val="20"/>
                <w:lang w:val="ka-GE"/>
              </w:rPr>
            </w:pPr>
            <w:r w:rsidRPr="001F2C5A">
              <w:rPr>
                <w:rFonts w:ascii="Sylfaen" w:hAnsi="Sylfaen"/>
                <w:sz w:val="18"/>
                <w:szCs w:val="20"/>
                <w:lang w:val="ka-GE"/>
              </w:rPr>
              <w:t>საავტომობილო გზების დეპარტამენტი</w:t>
            </w:r>
            <w:r w:rsidRPr="001F2C5A">
              <w:rPr>
                <w:rFonts w:ascii="Sylfaen" w:hAnsi="Sylfaen"/>
                <w:sz w:val="18"/>
                <w:szCs w:val="20"/>
                <w:lang w:val="en-US"/>
              </w:rPr>
              <w:t xml:space="preserve"> (</w:t>
            </w:r>
            <w:r w:rsidRPr="001F2C5A">
              <w:rPr>
                <w:rFonts w:ascii="Sylfaen" w:hAnsi="Sylfaen"/>
                <w:sz w:val="18"/>
                <w:szCs w:val="20"/>
                <w:lang w:val="ka-GE"/>
              </w:rPr>
              <w:t>სგდ</w:t>
            </w:r>
            <w:r w:rsidR="00092B73">
              <w:rPr>
                <w:rFonts w:ascii="Sylfaen" w:hAnsi="Sylfaen"/>
                <w:sz w:val="18"/>
                <w:szCs w:val="20"/>
                <w:lang w:val="ka-GE"/>
              </w:rPr>
              <w:t>)</w:t>
            </w:r>
          </w:p>
          <w:p w14:paraId="13538A17" w14:textId="1DC10A82" w:rsidR="00CD14D3" w:rsidRPr="001F2C5A" w:rsidRDefault="00092B73" w:rsidP="00092B73">
            <w:pPr>
              <w:autoSpaceDE w:val="0"/>
              <w:autoSpaceDN w:val="0"/>
              <w:adjustRightInd w:val="0"/>
              <w:rPr>
                <w:rFonts w:ascii="Sylfaen" w:hAnsi="Sylfaen"/>
                <w:sz w:val="18"/>
                <w:szCs w:val="20"/>
                <w:lang w:val="en-US"/>
              </w:rPr>
            </w:pPr>
            <w:r w:rsidRPr="001F2C5A">
              <w:rPr>
                <w:rFonts w:ascii="Sylfaen" w:hAnsi="Sylfaen"/>
                <w:color w:val="000000"/>
                <w:sz w:val="18"/>
                <w:szCs w:val="20"/>
                <w:lang w:val="ka-GE" w:eastAsia="da-DK"/>
              </w:rPr>
              <w:t>მშენებლობის ზედამხედველი</w:t>
            </w:r>
          </w:p>
        </w:tc>
      </w:tr>
      <w:tr w:rsidR="00CD14D3" w:rsidRPr="008E0D40" w14:paraId="00948FB8" w14:textId="77777777" w:rsidTr="001F2C5A">
        <w:trPr>
          <w:trHeight w:val="547"/>
        </w:trPr>
        <w:tc>
          <w:tcPr>
            <w:tcW w:w="578" w:type="pct"/>
            <w:vMerge/>
            <w:tcBorders>
              <w:left w:val="single" w:sz="4" w:space="0" w:color="auto"/>
              <w:right w:val="single" w:sz="4" w:space="0" w:color="auto"/>
            </w:tcBorders>
          </w:tcPr>
          <w:p w14:paraId="24916D19" w14:textId="77777777" w:rsidR="00CD14D3" w:rsidRPr="001F2C5A" w:rsidRDefault="00CD14D3" w:rsidP="006075CD">
            <w:pPr>
              <w:autoSpaceDE w:val="0"/>
              <w:autoSpaceDN w:val="0"/>
              <w:adjustRightInd w:val="0"/>
              <w:rPr>
                <w:rFonts w:ascii="Sylfaen" w:hAnsi="Sylfaen" w:cs="Sylfaen"/>
                <w:sz w:val="18"/>
                <w:szCs w:val="20"/>
                <w:lang w:val="ka-GE"/>
              </w:rPr>
            </w:pPr>
          </w:p>
        </w:tc>
        <w:tc>
          <w:tcPr>
            <w:tcW w:w="3164" w:type="pct"/>
            <w:tcBorders>
              <w:top w:val="single" w:sz="4" w:space="0" w:color="auto"/>
              <w:left w:val="single" w:sz="4" w:space="0" w:color="auto"/>
              <w:bottom w:val="single" w:sz="4" w:space="0" w:color="auto"/>
              <w:right w:val="single" w:sz="4" w:space="0" w:color="auto"/>
            </w:tcBorders>
          </w:tcPr>
          <w:p w14:paraId="7A13125F"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cs="Sylfaen"/>
                <w:sz w:val="18"/>
                <w:szCs w:val="20"/>
                <w:lang w:val="ka-GE"/>
              </w:rPr>
            </w:pPr>
            <w:r w:rsidRPr="001F2C5A">
              <w:rPr>
                <w:rFonts w:ascii="Sylfaen" w:hAnsi="Sylfaen"/>
                <w:sz w:val="18"/>
                <w:szCs w:val="20"/>
                <w:lang w:val="ka-GE"/>
              </w:rPr>
              <w:t>დაბინძურების წყაროების პარამეტრების გათვალისწინებით ატმოსფერულ ჰაერში მავნე ნივთიერებათა გაფრქვევის ანგარიშის მომზადება და გარემოს და ბუნებრივი რესურსების სამინისტროში დასამტკიცებლად წარდგენა</w:t>
            </w:r>
          </w:p>
        </w:tc>
        <w:tc>
          <w:tcPr>
            <w:tcW w:w="622" w:type="pct"/>
            <w:tcBorders>
              <w:top w:val="single" w:sz="4" w:space="0" w:color="auto"/>
              <w:left w:val="single" w:sz="4" w:space="0" w:color="auto"/>
              <w:bottom w:val="single" w:sz="4" w:space="0" w:color="auto"/>
              <w:right w:val="single" w:sz="4" w:space="0" w:color="auto"/>
            </w:tcBorders>
          </w:tcPr>
          <w:p w14:paraId="48B4D2DA" w14:textId="77777777" w:rsidR="00CD14D3" w:rsidRPr="001F2C5A" w:rsidRDefault="00CD14D3" w:rsidP="006075CD">
            <w:pPr>
              <w:autoSpaceDE w:val="0"/>
              <w:autoSpaceDN w:val="0"/>
              <w:adjustRightInd w:val="0"/>
              <w:rPr>
                <w:rFonts w:ascii="Sylfaen" w:hAnsi="Sylfaen" w:cs="Sylfaen"/>
                <w:sz w:val="18"/>
                <w:szCs w:val="20"/>
                <w:lang w:val="ka-GE"/>
              </w:rPr>
            </w:pPr>
            <w:r w:rsidRPr="001F2C5A">
              <w:rPr>
                <w:rFonts w:ascii="Sylfaen" w:hAnsi="Sylfaen" w:cs="Sylfaen"/>
                <w:sz w:val="18"/>
                <w:szCs w:val="20"/>
                <w:lang w:val="ka-GE"/>
              </w:rPr>
              <w:t xml:space="preserve">კონტრაქტორი, გარემოსდაცვის სპეციალისტთან ერთად </w:t>
            </w:r>
          </w:p>
        </w:tc>
        <w:tc>
          <w:tcPr>
            <w:tcW w:w="636" w:type="pct"/>
            <w:tcBorders>
              <w:top w:val="single" w:sz="4" w:space="0" w:color="auto"/>
              <w:left w:val="single" w:sz="4" w:space="0" w:color="auto"/>
              <w:bottom w:val="single" w:sz="4" w:space="0" w:color="auto"/>
              <w:right w:val="single" w:sz="4" w:space="0" w:color="auto"/>
            </w:tcBorders>
          </w:tcPr>
          <w:p w14:paraId="1865FF8F" w14:textId="77777777" w:rsidR="00CD14D3" w:rsidRDefault="00CD14D3" w:rsidP="00CD14D3">
            <w:pPr>
              <w:autoSpaceDE w:val="0"/>
              <w:autoSpaceDN w:val="0"/>
              <w:adjustRightInd w:val="0"/>
              <w:rPr>
                <w:rFonts w:ascii="Sylfaen" w:hAnsi="Sylfaen"/>
                <w:sz w:val="18"/>
                <w:szCs w:val="20"/>
                <w:lang w:val="ka-GE"/>
              </w:rPr>
            </w:pPr>
            <w:r w:rsidRPr="001F2C5A">
              <w:rPr>
                <w:rFonts w:ascii="Sylfaen" w:hAnsi="Sylfaen"/>
                <w:sz w:val="18"/>
                <w:szCs w:val="20"/>
                <w:lang w:val="ka-GE"/>
              </w:rPr>
              <w:t>სგდ</w:t>
            </w:r>
          </w:p>
          <w:p w14:paraId="5C09D746" w14:textId="40F139E8" w:rsidR="00092B73" w:rsidRPr="001F2C5A" w:rsidRDefault="00092B73" w:rsidP="00CD14D3">
            <w:pPr>
              <w:autoSpaceDE w:val="0"/>
              <w:autoSpaceDN w:val="0"/>
              <w:adjustRightInd w:val="0"/>
              <w:rPr>
                <w:rFonts w:ascii="Sylfaen" w:hAnsi="Sylfaen"/>
                <w:sz w:val="18"/>
                <w:szCs w:val="20"/>
                <w:lang w:val="ka-GE"/>
              </w:rPr>
            </w:pPr>
            <w:r w:rsidRPr="001F2C5A">
              <w:rPr>
                <w:rFonts w:ascii="Sylfaen" w:hAnsi="Sylfaen"/>
                <w:color w:val="000000"/>
                <w:sz w:val="18"/>
                <w:szCs w:val="20"/>
                <w:lang w:val="ka-GE" w:eastAsia="da-DK"/>
              </w:rPr>
              <w:t>მშენებლობის ზედამხედველი</w:t>
            </w:r>
          </w:p>
        </w:tc>
      </w:tr>
      <w:tr w:rsidR="00CD14D3" w:rsidRPr="008E0D40" w14:paraId="1612064E" w14:textId="77777777" w:rsidTr="001F2C5A">
        <w:trPr>
          <w:trHeight w:val="547"/>
        </w:trPr>
        <w:tc>
          <w:tcPr>
            <w:tcW w:w="578" w:type="pct"/>
            <w:vMerge/>
            <w:tcBorders>
              <w:left w:val="single" w:sz="4" w:space="0" w:color="auto"/>
              <w:bottom w:val="single" w:sz="4" w:space="0" w:color="auto"/>
              <w:right w:val="single" w:sz="4" w:space="0" w:color="auto"/>
            </w:tcBorders>
          </w:tcPr>
          <w:p w14:paraId="5E5A3FE9" w14:textId="77777777" w:rsidR="00CD14D3" w:rsidRPr="001F2C5A" w:rsidRDefault="00CD14D3" w:rsidP="006075CD">
            <w:pPr>
              <w:autoSpaceDE w:val="0"/>
              <w:autoSpaceDN w:val="0"/>
              <w:adjustRightInd w:val="0"/>
              <w:rPr>
                <w:rFonts w:ascii="Sylfaen" w:hAnsi="Sylfaen" w:cs="Sylfaen"/>
                <w:sz w:val="18"/>
                <w:szCs w:val="20"/>
                <w:lang w:val="ka-GE"/>
              </w:rPr>
            </w:pPr>
          </w:p>
        </w:tc>
        <w:tc>
          <w:tcPr>
            <w:tcW w:w="3164" w:type="pct"/>
            <w:tcBorders>
              <w:top w:val="single" w:sz="4" w:space="0" w:color="auto"/>
              <w:left w:val="single" w:sz="4" w:space="0" w:color="auto"/>
              <w:bottom w:val="single" w:sz="4" w:space="0" w:color="auto"/>
              <w:right w:val="single" w:sz="4" w:space="0" w:color="auto"/>
            </w:tcBorders>
          </w:tcPr>
          <w:p w14:paraId="4752C515"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rPr>
            </w:pPr>
            <w:r w:rsidRPr="001F2C5A">
              <w:rPr>
                <w:rFonts w:ascii="Sylfaen" w:hAnsi="Sylfaen"/>
                <w:sz w:val="18"/>
                <w:szCs w:val="20"/>
                <w:lang w:val="ka-GE"/>
              </w:rPr>
              <w:t>ტერიტორიის მოსამზადებელი სამუშაოების დროს მტვრის ემისიის შემცირების ღონისძიებების გატარება (ტერიტორიის მორწყვა - საჭიროების შემთხვევაში);</w:t>
            </w:r>
          </w:p>
          <w:p w14:paraId="4D5F8A19"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rPr>
            </w:pPr>
            <w:r w:rsidRPr="001F2C5A">
              <w:rPr>
                <w:rFonts w:ascii="Sylfaen" w:hAnsi="Sylfaen"/>
                <w:sz w:val="18"/>
                <w:szCs w:val="20"/>
                <w:lang w:val="ka-GE"/>
              </w:rPr>
              <w:t>მანქანების და სამშენებლო ტექნიკური გამართულობის კონტროლი და შეკეთების უზრუნველყოფა;</w:t>
            </w:r>
          </w:p>
          <w:p w14:paraId="6541C842"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rPr>
            </w:pPr>
            <w:r w:rsidRPr="001F2C5A">
              <w:rPr>
                <w:rFonts w:ascii="Sylfaen" w:hAnsi="Sylfaen"/>
                <w:sz w:val="18"/>
                <w:szCs w:val="20"/>
                <w:lang w:val="ka-GE"/>
              </w:rPr>
              <w:t>ჩართული ძრავით უქმად გაჩერების და უქმი სვლის აკრძალვა.</w:t>
            </w:r>
          </w:p>
        </w:tc>
        <w:tc>
          <w:tcPr>
            <w:tcW w:w="622" w:type="pct"/>
            <w:tcBorders>
              <w:top w:val="single" w:sz="4" w:space="0" w:color="auto"/>
              <w:left w:val="single" w:sz="4" w:space="0" w:color="auto"/>
              <w:bottom w:val="single" w:sz="4" w:space="0" w:color="auto"/>
              <w:right w:val="single" w:sz="4" w:space="0" w:color="auto"/>
            </w:tcBorders>
          </w:tcPr>
          <w:p w14:paraId="27AC6A63" w14:textId="77777777" w:rsidR="00CD14D3" w:rsidRPr="001F2C5A" w:rsidRDefault="00CD14D3" w:rsidP="006075CD">
            <w:pPr>
              <w:autoSpaceDE w:val="0"/>
              <w:autoSpaceDN w:val="0"/>
              <w:adjustRightInd w:val="0"/>
              <w:rPr>
                <w:rFonts w:ascii="Sylfaen" w:hAnsi="Sylfaen" w:cs="Sylfaen"/>
                <w:sz w:val="18"/>
                <w:szCs w:val="20"/>
                <w:lang w:val="ka-GE"/>
              </w:rPr>
            </w:pPr>
            <w:r w:rsidRPr="001F2C5A">
              <w:rPr>
                <w:rFonts w:ascii="Sylfaen" w:hAnsi="Sylfaen" w:cs="Sylfaen"/>
                <w:sz w:val="18"/>
                <w:szCs w:val="20"/>
                <w:lang w:val="ka-GE"/>
              </w:rPr>
              <w:t>კონტრაქტორი,</w:t>
            </w:r>
          </w:p>
        </w:tc>
        <w:tc>
          <w:tcPr>
            <w:tcW w:w="636" w:type="pct"/>
            <w:tcBorders>
              <w:top w:val="single" w:sz="4" w:space="0" w:color="auto"/>
              <w:left w:val="single" w:sz="4" w:space="0" w:color="auto"/>
              <w:bottom w:val="single" w:sz="4" w:space="0" w:color="auto"/>
              <w:right w:val="single" w:sz="4" w:space="0" w:color="auto"/>
            </w:tcBorders>
          </w:tcPr>
          <w:p w14:paraId="0EFE64BE" w14:textId="77777777" w:rsidR="00CD14D3" w:rsidRDefault="00CD14D3" w:rsidP="006075CD">
            <w:pPr>
              <w:autoSpaceDE w:val="0"/>
              <w:autoSpaceDN w:val="0"/>
              <w:adjustRightInd w:val="0"/>
              <w:rPr>
                <w:rFonts w:ascii="Sylfaen" w:hAnsi="Sylfaen"/>
                <w:sz w:val="18"/>
                <w:szCs w:val="20"/>
                <w:lang w:val="ka-GE"/>
              </w:rPr>
            </w:pPr>
            <w:r w:rsidRPr="001F2C5A">
              <w:rPr>
                <w:rFonts w:ascii="Sylfaen" w:hAnsi="Sylfaen"/>
                <w:sz w:val="18"/>
                <w:szCs w:val="20"/>
                <w:lang w:val="ka-GE"/>
              </w:rPr>
              <w:t>სგდ</w:t>
            </w:r>
          </w:p>
          <w:p w14:paraId="1C7A2CB6" w14:textId="471D2A19" w:rsidR="00092B73" w:rsidRPr="001F2C5A" w:rsidRDefault="00092B73" w:rsidP="006075CD">
            <w:pPr>
              <w:autoSpaceDE w:val="0"/>
              <w:autoSpaceDN w:val="0"/>
              <w:adjustRightInd w:val="0"/>
              <w:rPr>
                <w:rFonts w:ascii="Sylfaen" w:hAnsi="Sylfaen"/>
                <w:sz w:val="18"/>
                <w:szCs w:val="20"/>
                <w:lang w:val="ka-GE"/>
              </w:rPr>
            </w:pPr>
            <w:r w:rsidRPr="001F2C5A">
              <w:rPr>
                <w:rFonts w:ascii="Sylfaen" w:hAnsi="Sylfaen"/>
                <w:color w:val="000000"/>
                <w:sz w:val="18"/>
                <w:szCs w:val="20"/>
                <w:lang w:val="ka-GE" w:eastAsia="da-DK"/>
              </w:rPr>
              <w:t>მშენებლობის ზედამხედველი</w:t>
            </w:r>
          </w:p>
        </w:tc>
      </w:tr>
      <w:tr w:rsidR="00CD14D3" w:rsidRPr="008E0D40" w14:paraId="72B49DE9" w14:textId="77777777" w:rsidTr="001F2C5A">
        <w:tc>
          <w:tcPr>
            <w:tcW w:w="578" w:type="pct"/>
            <w:tcBorders>
              <w:top w:val="single" w:sz="4" w:space="0" w:color="auto"/>
              <w:left w:val="single" w:sz="4" w:space="0" w:color="auto"/>
              <w:bottom w:val="single" w:sz="4" w:space="0" w:color="auto"/>
              <w:right w:val="single" w:sz="4" w:space="0" w:color="auto"/>
            </w:tcBorders>
            <w:hideMark/>
          </w:tcPr>
          <w:p w14:paraId="4C889D0D" w14:textId="77777777" w:rsidR="00CD14D3" w:rsidRPr="001F2C5A" w:rsidRDefault="00CD14D3" w:rsidP="006075CD">
            <w:pPr>
              <w:autoSpaceDE w:val="0"/>
              <w:autoSpaceDN w:val="0"/>
              <w:adjustRightInd w:val="0"/>
              <w:rPr>
                <w:rFonts w:ascii="Sylfaen" w:hAnsi="Sylfaen"/>
                <w:sz w:val="18"/>
                <w:szCs w:val="20"/>
                <w:lang w:val="ka-GE"/>
              </w:rPr>
            </w:pPr>
            <w:r w:rsidRPr="001F2C5A">
              <w:rPr>
                <w:rFonts w:ascii="Sylfaen" w:hAnsi="Sylfaen" w:cs="Sylfaen"/>
                <w:sz w:val="18"/>
                <w:szCs w:val="20"/>
                <w:lang w:val="ka-GE"/>
              </w:rPr>
              <w:t>ხმაური</w:t>
            </w:r>
          </w:p>
        </w:tc>
        <w:tc>
          <w:tcPr>
            <w:tcW w:w="3164" w:type="pct"/>
            <w:tcBorders>
              <w:top w:val="single" w:sz="4" w:space="0" w:color="auto"/>
              <w:left w:val="single" w:sz="4" w:space="0" w:color="auto"/>
              <w:bottom w:val="single" w:sz="4" w:space="0" w:color="auto"/>
              <w:right w:val="single" w:sz="4" w:space="0" w:color="auto"/>
            </w:tcBorders>
            <w:hideMark/>
          </w:tcPr>
          <w:p w14:paraId="2FFDD6D6"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eastAsia="da-DK"/>
              </w:rPr>
            </w:pPr>
            <w:r w:rsidRPr="001F2C5A">
              <w:rPr>
                <w:rFonts w:ascii="Sylfaen" w:hAnsi="Sylfaen" w:cs="Sylfaen"/>
                <w:sz w:val="18"/>
                <w:szCs w:val="20"/>
                <w:lang w:val="ka-GE"/>
              </w:rPr>
              <w:t>დახმარე</w:t>
            </w:r>
            <w:r w:rsidRPr="001F2C5A">
              <w:rPr>
                <w:rFonts w:ascii="Sylfaen" w:hAnsi="Sylfaen"/>
                <w:sz w:val="18"/>
                <w:szCs w:val="20"/>
                <w:lang w:val="ka-GE"/>
              </w:rPr>
              <w:t xml:space="preserve"> </w:t>
            </w:r>
            <w:r w:rsidRPr="001F2C5A">
              <w:rPr>
                <w:rFonts w:ascii="Sylfaen" w:hAnsi="Sylfaen" w:cs="Sylfaen"/>
                <w:sz w:val="18"/>
                <w:szCs w:val="20"/>
                <w:lang w:val="ka-GE"/>
              </w:rPr>
              <w:t>და</w:t>
            </w:r>
            <w:r w:rsidRPr="001F2C5A">
              <w:rPr>
                <w:rFonts w:ascii="Sylfaen" w:hAnsi="Sylfaen"/>
                <w:sz w:val="18"/>
                <w:szCs w:val="20"/>
                <w:lang w:val="ka-GE"/>
              </w:rPr>
              <w:t xml:space="preserve"> </w:t>
            </w:r>
            <w:r w:rsidRPr="001F2C5A">
              <w:rPr>
                <w:rFonts w:ascii="Sylfaen" w:hAnsi="Sylfaen" w:cs="Sylfaen"/>
                <w:sz w:val="18"/>
                <w:szCs w:val="20"/>
                <w:lang w:val="ka-GE"/>
              </w:rPr>
              <w:t>მასალის</w:t>
            </w:r>
            <w:r w:rsidRPr="001F2C5A">
              <w:rPr>
                <w:rFonts w:ascii="Sylfaen" w:hAnsi="Sylfaen"/>
                <w:sz w:val="18"/>
                <w:szCs w:val="20"/>
                <w:lang w:val="ka-GE"/>
              </w:rPr>
              <w:t xml:space="preserve"> </w:t>
            </w:r>
            <w:r w:rsidRPr="001F2C5A">
              <w:rPr>
                <w:rFonts w:ascii="Sylfaen" w:hAnsi="Sylfaen" w:cs="Sylfaen"/>
                <w:sz w:val="18"/>
                <w:szCs w:val="20"/>
                <w:lang w:val="ka-GE"/>
              </w:rPr>
              <w:t>გადაზიდვის</w:t>
            </w:r>
            <w:r w:rsidRPr="001F2C5A">
              <w:rPr>
                <w:rFonts w:ascii="Sylfaen" w:hAnsi="Sylfaen"/>
                <w:sz w:val="18"/>
                <w:szCs w:val="20"/>
                <w:lang w:val="ka-GE"/>
              </w:rPr>
              <w:t xml:space="preserve"> </w:t>
            </w:r>
            <w:r w:rsidRPr="001F2C5A">
              <w:rPr>
                <w:rFonts w:ascii="Sylfaen" w:hAnsi="Sylfaen" w:cs="Sylfaen"/>
                <w:sz w:val="18"/>
                <w:szCs w:val="20"/>
                <w:lang w:val="ka-GE"/>
              </w:rPr>
              <w:t>გზების შერჩევა</w:t>
            </w:r>
            <w:r w:rsidRPr="001F2C5A">
              <w:rPr>
                <w:rFonts w:ascii="Sylfaen" w:hAnsi="Sylfaen"/>
                <w:sz w:val="18"/>
                <w:szCs w:val="20"/>
                <w:lang w:val="ka-GE"/>
              </w:rPr>
              <w:t xml:space="preserve"> </w:t>
            </w:r>
            <w:r w:rsidRPr="001F2C5A">
              <w:rPr>
                <w:rFonts w:ascii="Sylfaen" w:hAnsi="Sylfaen" w:cs="Sylfaen"/>
                <w:sz w:val="18"/>
                <w:szCs w:val="20"/>
                <w:lang w:val="ka-GE"/>
              </w:rPr>
              <w:t>მჭიდროდ</w:t>
            </w:r>
            <w:r w:rsidRPr="001F2C5A">
              <w:rPr>
                <w:rFonts w:ascii="Sylfaen" w:hAnsi="Sylfaen"/>
                <w:sz w:val="18"/>
                <w:szCs w:val="20"/>
                <w:lang w:val="ka-GE"/>
              </w:rPr>
              <w:t xml:space="preserve"> </w:t>
            </w:r>
            <w:r w:rsidRPr="001F2C5A">
              <w:rPr>
                <w:rFonts w:ascii="Sylfaen" w:hAnsi="Sylfaen" w:cs="Sylfaen"/>
                <w:sz w:val="18"/>
                <w:szCs w:val="20"/>
                <w:lang w:val="ka-GE"/>
              </w:rPr>
              <w:t>დასახლებული</w:t>
            </w:r>
            <w:r w:rsidRPr="001F2C5A">
              <w:rPr>
                <w:rFonts w:ascii="Sylfaen" w:hAnsi="Sylfaen"/>
                <w:sz w:val="18"/>
                <w:szCs w:val="20"/>
                <w:lang w:val="ka-GE"/>
              </w:rPr>
              <w:t xml:space="preserve"> </w:t>
            </w:r>
            <w:r w:rsidRPr="001F2C5A">
              <w:rPr>
                <w:rFonts w:ascii="Sylfaen" w:hAnsi="Sylfaen" w:cs="Sylfaen"/>
                <w:sz w:val="18"/>
                <w:szCs w:val="20"/>
                <w:lang w:val="ka-GE"/>
              </w:rPr>
              <w:t>უბნებისგან</w:t>
            </w:r>
            <w:r w:rsidRPr="001F2C5A">
              <w:rPr>
                <w:rFonts w:ascii="Sylfaen" w:hAnsi="Sylfaen"/>
                <w:sz w:val="18"/>
                <w:szCs w:val="20"/>
                <w:lang w:val="ka-GE"/>
              </w:rPr>
              <w:t xml:space="preserve"> </w:t>
            </w:r>
            <w:r w:rsidRPr="001F2C5A">
              <w:rPr>
                <w:rFonts w:ascii="Sylfaen" w:hAnsi="Sylfaen" w:cs="Sylfaen"/>
                <w:sz w:val="18"/>
                <w:szCs w:val="20"/>
                <w:lang w:val="ka-GE"/>
              </w:rPr>
              <w:t>შორს</w:t>
            </w:r>
            <w:r w:rsidRPr="001F2C5A">
              <w:rPr>
                <w:rFonts w:ascii="Sylfaen" w:hAnsi="Sylfaen"/>
                <w:sz w:val="18"/>
                <w:szCs w:val="20"/>
                <w:lang w:val="ka-GE"/>
              </w:rPr>
              <w:t xml:space="preserve"> </w:t>
            </w:r>
            <w:r w:rsidRPr="001F2C5A">
              <w:rPr>
                <w:rFonts w:ascii="Sylfaen" w:hAnsi="Sylfaen" w:cs="Sylfaen"/>
                <w:sz w:val="18"/>
                <w:szCs w:val="20"/>
                <w:lang w:val="ka-GE"/>
              </w:rPr>
              <w:t>ხმაურის</w:t>
            </w:r>
            <w:r w:rsidRPr="001F2C5A">
              <w:rPr>
                <w:rFonts w:ascii="Sylfaen" w:hAnsi="Sylfaen"/>
                <w:sz w:val="18"/>
                <w:szCs w:val="20"/>
                <w:lang w:val="ka-GE"/>
              </w:rPr>
              <w:t xml:space="preserve"> </w:t>
            </w:r>
            <w:r w:rsidRPr="001F2C5A">
              <w:rPr>
                <w:rFonts w:ascii="Sylfaen" w:hAnsi="Sylfaen" w:cs="Sylfaen"/>
                <w:sz w:val="18"/>
                <w:szCs w:val="20"/>
                <w:lang w:val="ka-GE"/>
              </w:rPr>
              <w:t>გაზრდილი</w:t>
            </w:r>
            <w:r w:rsidRPr="001F2C5A">
              <w:rPr>
                <w:rFonts w:ascii="Sylfaen" w:hAnsi="Sylfaen"/>
                <w:sz w:val="18"/>
                <w:szCs w:val="20"/>
                <w:lang w:val="ka-GE"/>
              </w:rPr>
              <w:t xml:space="preserve"> </w:t>
            </w:r>
            <w:r w:rsidRPr="001F2C5A">
              <w:rPr>
                <w:rFonts w:ascii="Sylfaen" w:hAnsi="Sylfaen" w:cs="Sylfaen"/>
                <w:sz w:val="18"/>
                <w:szCs w:val="20"/>
                <w:lang w:val="ka-GE"/>
              </w:rPr>
              <w:t>დონის</w:t>
            </w:r>
            <w:r w:rsidRPr="001F2C5A">
              <w:rPr>
                <w:rFonts w:ascii="Sylfaen" w:hAnsi="Sylfaen"/>
                <w:sz w:val="18"/>
                <w:szCs w:val="20"/>
                <w:lang w:val="ka-GE"/>
              </w:rPr>
              <w:t xml:space="preserve"> </w:t>
            </w:r>
            <w:r w:rsidRPr="001F2C5A">
              <w:rPr>
                <w:rFonts w:ascii="Sylfaen" w:hAnsi="Sylfaen" w:cs="Sylfaen"/>
                <w:sz w:val="18"/>
                <w:szCs w:val="20"/>
                <w:lang w:val="ka-GE"/>
              </w:rPr>
              <w:t>თავიდან</w:t>
            </w:r>
            <w:r w:rsidRPr="001F2C5A">
              <w:rPr>
                <w:rFonts w:ascii="Sylfaen" w:hAnsi="Sylfaen"/>
                <w:sz w:val="18"/>
                <w:szCs w:val="20"/>
                <w:lang w:val="ka-GE"/>
              </w:rPr>
              <w:t xml:space="preserve"> </w:t>
            </w:r>
            <w:r w:rsidRPr="001F2C5A">
              <w:rPr>
                <w:rFonts w:ascii="Sylfaen" w:hAnsi="Sylfaen" w:cs="Sylfaen"/>
                <w:sz w:val="18"/>
                <w:szCs w:val="20"/>
                <w:lang w:val="ka-GE"/>
              </w:rPr>
              <w:t>აცილების</w:t>
            </w:r>
            <w:r w:rsidRPr="001F2C5A">
              <w:rPr>
                <w:rFonts w:ascii="Sylfaen" w:hAnsi="Sylfaen"/>
                <w:sz w:val="18"/>
                <w:szCs w:val="20"/>
                <w:lang w:val="ka-GE"/>
              </w:rPr>
              <w:t xml:space="preserve"> </w:t>
            </w:r>
            <w:r w:rsidRPr="001F2C5A">
              <w:rPr>
                <w:rFonts w:ascii="Sylfaen" w:hAnsi="Sylfaen" w:cs="Sylfaen"/>
                <w:sz w:val="18"/>
                <w:szCs w:val="20"/>
                <w:lang w:val="ka-GE"/>
              </w:rPr>
              <w:t>მიზნით</w:t>
            </w:r>
            <w:r w:rsidRPr="001F2C5A">
              <w:rPr>
                <w:rFonts w:ascii="Sylfaen" w:hAnsi="Sylfaen"/>
                <w:sz w:val="18"/>
                <w:szCs w:val="20"/>
                <w:lang w:val="ka-GE"/>
              </w:rPr>
              <w:t>;</w:t>
            </w:r>
          </w:p>
          <w:p w14:paraId="3827A4C9"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rPr>
            </w:pPr>
            <w:r w:rsidRPr="001F2C5A">
              <w:rPr>
                <w:rFonts w:ascii="Sylfaen" w:hAnsi="Sylfaen"/>
                <w:sz w:val="18"/>
                <w:szCs w:val="20"/>
                <w:lang w:val="ka-GE"/>
              </w:rPr>
              <w:t>მანქანების და სამშენებლო ტექნიკური გამართულობის კონტროლი და შეკეთების უზრუნველყოფა;</w:t>
            </w:r>
          </w:p>
          <w:p w14:paraId="63E99313"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eastAsia="da-DK"/>
              </w:rPr>
            </w:pPr>
            <w:r w:rsidRPr="001F2C5A">
              <w:rPr>
                <w:rFonts w:ascii="Sylfaen" w:hAnsi="Sylfaen"/>
                <w:sz w:val="18"/>
                <w:szCs w:val="20"/>
                <w:lang w:val="ka-GE"/>
              </w:rPr>
              <w:t>ჩართული ძრავით უქმად გაჩერების და უქმი სვლის აკრძალვა;</w:t>
            </w:r>
          </w:p>
          <w:p w14:paraId="12BC3ADD"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eastAsia="da-DK"/>
              </w:rPr>
            </w:pPr>
            <w:r w:rsidRPr="001F2C5A">
              <w:rPr>
                <w:rFonts w:ascii="Sylfaen" w:hAnsi="Sylfaen"/>
                <w:sz w:val="18"/>
                <w:szCs w:val="20"/>
                <w:lang w:val="ka-GE"/>
              </w:rPr>
              <w:t>სიგნალის აკრძალვა, გარდა უსაფრთხოებისთვის აუცილებელი შემთხვევებისა;</w:t>
            </w:r>
          </w:p>
          <w:p w14:paraId="5A2AE688"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eastAsia="da-DK"/>
              </w:rPr>
            </w:pPr>
            <w:r w:rsidRPr="001F2C5A">
              <w:rPr>
                <w:rFonts w:ascii="Sylfaen" w:hAnsi="Sylfaen"/>
                <w:sz w:val="18"/>
                <w:szCs w:val="20"/>
                <w:lang w:val="ka-GE"/>
              </w:rPr>
              <w:t>სამუშაო საათების მკაცრი დაცვა.</w:t>
            </w:r>
          </w:p>
        </w:tc>
        <w:tc>
          <w:tcPr>
            <w:tcW w:w="622" w:type="pct"/>
            <w:tcBorders>
              <w:top w:val="single" w:sz="4" w:space="0" w:color="auto"/>
              <w:left w:val="single" w:sz="4" w:space="0" w:color="auto"/>
              <w:bottom w:val="single" w:sz="4" w:space="0" w:color="auto"/>
              <w:right w:val="single" w:sz="4" w:space="0" w:color="auto"/>
            </w:tcBorders>
            <w:hideMark/>
          </w:tcPr>
          <w:p w14:paraId="3ADADCBA" w14:textId="77777777" w:rsidR="00CD14D3" w:rsidRPr="001F2C5A" w:rsidRDefault="00CD14D3" w:rsidP="006075CD">
            <w:pPr>
              <w:autoSpaceDE w:val="0"/>
              <w:autoSpaceDN w:val="0"/>
              <w:adjustRightInd w:val="0"/>
              <w:rPr>
                <w:rFonts w:ascii="Sylfaen" w:hAnsi="Sylfaen"/>
                <w:sz w:val="18"/>
                <w:szCs w:val="20"/>
                <w:lang w:val="ka-GE"/>
              </w:rPr>
            </w:pPr>
            <w:r w:rsidRPr="001F2C5A">
              <w:rPr>
                <w:rFonts w:ascii="Sylfaen" w:hAnsi="Sylfaen" w:cs="Sylfaen"/>
                <w:sz w:val="18"/>
                <w:szCs w:val="20"/>
                <w:lang w:val="ka-GE"/>
              </w:rPr>
              <w:t>კონტრაქტორი</w:t>
            </w:r>
          </w:p>
        </w:tc>
        <w:tc>
          <w:tcPr>
            <w:tcW w:w="636" w:type="pct"/>
            <w:tcBorders>
              <w:top w:val="single" w:sz="4" w:space="0" w:color="auto"/>
              <w:left w:val="single" w:sz="4" w:space="0" w:color="auto"/>
              <w:bottom w:val="single" w:sz="4" w:space="0" w:color="auto"/>
              <w:right w:val="single" w:sz="4" w:space="0" w:color="auto"/>
            </w:tcBorders>
            <w:hideMark/>
          </w:tcPr>
          <w:p w14:paraId="1E43BEB9" w14:textId="77777777" w:rsidR="00CD14D3" w:rsidRDefault="00CD14D3" w:rsidP="006075CD">
            <w:pPr>
              <w:autoSpaceDE w:val="0"/>
              <w:autoSpaceDN w:val="0"/>
              <w:adjustRightInd w:val="0"/>
              <w:rPr>
                <w:rFonts w:ascii="Sylfaen" w:hAnsi="Sylfaen"/>
                <w:sz w:val="18"/>
                <w:szCs w:val="20"/>
                <w:lang w:val="ka-GE"/>
              </w:rPr>
            </w:pPr>
            <w:r w:rsidRPr="001F2C5A">
              <w:rPr>
                <w:rFonts w:ascii="Sylfaen" w:hAnsi="Sylfaen"/>
                <w:sz w:val="18"/>
                <w:szCs w:val="20"/>
                <w:lang w:val="ka-GE"/>
              </w:rPr>
              <w:t>სგდ</w:t>
            </w:r>
          </w:p>
          <w:p w14:paraId="7952A5EE" w14:textId="6DC8153F" w:rsidR="00092B73" w:rsidRPr="001F2C5A" w:rsidRDefault="00092B73" w:rsidP="006075CD">
            <w:pPr>
              <w:autoSpaceDE w:val="0"/>
              <w:autoSpaceDN w:val="0"/>
              <w:adjustRightInd w:val="0"/>
              <w:rPr>
                <w:rFonts w:ascii="Sylfaen" w:hAnsi="Sylfaen"/>
                <w:sz w:val="18"/>
                <w:szCs w:val="20"/>
                <w:lang w:val="ka-GE"/>
              </w:rPr>
            </w:pPr>
            <w:r w:rsidRPr="001F2C5A">
              <w:rPr>
                <w:rFonts w:ascii="Sylfaen" w:hAnsi="Sylfaen"/>
                <w:color w:val="000000"/>
                <w:sz w:val="18"/>
                <w:szCs w:val="20"/>
                <w:lang w:val="ka-GE" w:eastAsia="da-DK"/>
              </w:rPr>
              <w:t>მშენებლობის ზედამხედველი</w:t>
            </w:r>
          </w:p>
        </w:tc>
      </w:tr>
      <w:tr w:rsidR="00CD14D3" w:rsidRPr="008E0D40" w14:paraId="2E55E827" w14:textId="77777777" w:rsidTr="001F2C5A">
        <w:tc>
          <w:tcPr>
            <w:tcW w:w="578" w:type="pct"/>
            <w:vMerge w:val="restart"/>
            <w:tcBorders>
              <w:top w:val="single" w:sz="4" w:space="0" w:color="auto"/>
              <w:left w:val="single" w:sz="4" w:space="0" w:color="auto"/>
              <w:right w:val="single" w:sz="4" w:space="0" w:color="auto"/>
            </w:tcBorders>
            <w:hideMark/>
          </w:tcPr>
          <w:p w14:paraId="161AD6A1" w14:textId="77777777" w:rsidR="00CD14D3" w:rsidRPr="001F2C5A" w:rsidRDefault="00CD14D3" w:rsidP="006075CD">
            <w:pPr>
              <w:autoSpaceDE w:val="0"/>
              <w:autoSpaceDN w:val="0"/>
              <w:adjustRightInd w:val="0"/>
              <w:rPr>
                <w:rFonts w:ascii="Sylfaen" w:hAnsi="Sylfaen"/>
                <w:sz w:val="18"/>
                <w:szCs w:val="20"/>
                <w:lang w:val="ka-GE"/>
              </w:rPr>
            </w:pPr>
            <w:r w:rsidRPr="001F2C5A">
              <w:rPr>
                <w:rFonts w:ascii="Sylfaen" w:hAnsi="Sylfaen" w:cs="Sylfaen"/>
                <w:sz w:val="18"/>
                <w:szCs w:val="20"/>
                <w:lang w:val="ka-GE"/>
              </w:rPr>
              <w:t>ზედაპირული</w:t>
            </w:r>
            <w:r w:rsidRPr="001F2C5A">
              <w:rPr>
                <w:rFonts w:ascii="Sylfaen" w:hAnsi="Sylfaen"/>
                <w:sz w:val="18"/>
                <w:szCs w:val="20"/>
                <w:lang w:val="ka-GE"/>
              </w:rPr>
              <w:t xml:space="preserve"> </w:t>
            </w:r>
            <w:r w:rsidRPr="001F2C5A">
              <w:rPr>
                <w:rFonts w:ascii="Sylfaen" w:hAnsi="Sylfaen" w:cs="Sylfaen"/>
                <w:sz w:val="18"/>
                <w:szCs w:val="20"/>
                <w:lang w:val="ka-GE"/>
              </w:rPr>
              <w:t>წყლის</w:t>
            </w:r>
            <w:r w:rsidRPr="001F2C5A">
              <w:rPr>
                <w:rFonts w:ascii="Sylfaen" w:hAnsi="Sylfaen"/>
                <w:sz w:val="18"/>
                <w:szCs w:val="20"/>
                <w:lang w:val="ka-GE"/>
              </w:rPr>
              <w:t xml:space="preserve"> </w:t>
            </w:r>
            <w:r w:rsidRPr="001F2C5A">
              <w:rPr>
                <w:rFonts w:ascii="Sylfaen" w:hAnsi="Sylfaen" w:cs="Sylfaen"/>
                <w:sz w:val="18"/>
                <w:szCs w:val="20"/>
                <w:lang w:val="ka-GE"/>
              </w:rPr>
              <w:t>დაბინძურება</w:t>
            </w:r>
          </w:p>
        </w:tc>
        <w:tc>
          <w:tcPr>
            <w:tcW w:w="3164" w:type="pct"/>
            <w:tcBorders>
              <w:top w:val="single" w:sz="4" w:space="0" w:color="auto"/>
              <w:left w:val="single" w:sz="4" w:space="0" w:color="auto"/>
              <w:bottom w:val="single" w:sz="4" w:space="0" w:color="auto"/>
              <w:right w:val="single" w:sz="4" w:space="0" w:color="auto"/>
            </w:tcBorders>
            <w:hideMark/>
          </w:tcPr>
          <w:p w14:paraId="1EA89005"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eastAsia="da-DK"/>
              </w:rPr>
            </w:pPr>
            <w:r w:rsidRPr="001F2C5A">
              <w:rPr>
                <w:rFonts w:ascii="Sylfaen" w:hAnsi="Sylfaen"/>
                <w:sz w:val="18"/>
                <w:szCs w:val="20"/>
                <w:lang w:val="ka-GE"/>
              </w:rPr>
              <w:t xml:space="preserve"> </w:t>
            </w:r>
            <w:r w:rsidRPr="001F2C5A">
              <w:rPr>
                <w:rFonts w:ascii="Sylfaen" w:hAnsi="Sylfaen"/>
                <w:sz w:val="18"/>
                <w:szCs w:val="20"/>
                <w:lang w:val="ka-GE" w:eastAsia="da-DK"/>
              </w:rPr>
              <w:t>მდინარის გადაკვეთის პროექტირება აქტიურ კალაპოტთან მინიმალური შეხებით</w:t>
            </w:r>
          </w:p>
        </w:tc>
        <w:tc>
          <w:tcPr>
            <w:tcW w:w="622" w:type="pct"/>
            <w:tcBorders>
              <w:top w:val="single" w:sz="4" w:space="0" w:color="auto"/>
              <w:left w:val="single" w:sz="4" w:space="0" w:color="auto"/>
              <w:bottom w:val="single" w:sz="4" w:space="0" w:color="auto"/>
              <w:right w:val="single" w:sz="4" w:space="0" w:color="auto"/>
            </w:tcBorders>
            <w:hideMark/>
          </w:tcPr>
          <w:p w14:paraId="43A9C5C4" w14:textId="77777777" w:rsidR="00CD14D3" w:rsidRPr="001F2C5A" w:rsidRDefault="005D37FA" w:rsidP="006075CD">
            <w:pPr>
              <w:autoSpaceDE w:val="0"/>
              <w:autoSpaceDN w:val="0"/>
              <w:adjustRightInd w:val="0"/>
              <w:rPr>
                <w:rFonts w:ascii="Times New Roman" w:hAnsi="Times New Roman"/>
                <w:sz w:val="18"/>
                <w:szCs w:val="20"/>
                <w:lang w:val="ka-GE"/>
              </w:rPr>
            </w:pPr>
            <w:r w:rsidRPr="001F2C5A">
              <w:rPr>
                <w:rFonts w:ascii="Times New Roman" w:hAnsi="Times New Roman"/>
                <w:spacing w:val="-2"/>
                <w:sz w:val="18"/>
              </w:rPr>
              <w:t>Kocks Consult GMBH</w:t>
            </w:r>
          </w:p>
        </w:tc>
        <w:tc>
          <w:tcPr>
            <w:tcW w:w="636" w:type="pct"/>
            <w:tcBorders>
              <w:top w:val="single" w:sz="4" w:space="0" w:color="auto"/>
              <w:left w:val="single" w:sz="4" w:space="0" w:color="auto"/>
              <w:bottom w:val="single" w:sz="4" w:space="0" w:color="auto"/>
              <w:right w:val="single" w:sz="4" w:space="0" w:color="auto"/>
            </w:tcBorders>
            <w:hideMark/>
          </w:tcPr>
          <w:p w14:paraId="76E3E0ED" w14:textId="77777777" w:rsidR="00092B73" w:rsidRDefault="00CD14D3" w:rsidP="006075CD">
            <w:pPr>
              <w:autoSpaceDE w:val="0"/>
              <w:autoSpaceDN w:val="0"/>
              <w:adjustRightInd w:val="0"/>
              <w:rPr>
                <w:rFonts w:ascii="Sylfaen" w:hAnsi="Sylfaen"/>
                <w:sz w:val="18"/>
                <w:szCs w:val="20"/>
                <w:lang w:val="ka-GE"/>
              </w:rPr>
            </w:pPr>
            <w:r w:rsidRPr="001F2C5A">
              <w:rPr>
                <w:rFonts w:ascii="Sylfaen" w:hAnsi="Sylfaen"/>
                <w:sz w:val="18"/>
                <w:szCs w:val="20"/>
                <w:lang w:val="ka-GE"/>
              </w:rPr>
              <w:t>სგდ</w:t>
            </w:r>
          </w:p>
          <w:p w14:paraId="6314C1A6" w14:textId="3B8BA273" w:rsidR="00CD14D3" w:rsidRPr="001F2C5A" w:rsidRDefault="00092B73" w:rsidP="006075CD">
            <w:pPr>
              <w:autoSpaceDE w:val="0"/>
              <w:autoSpaceDN w:val="0"/>
              <w:adjustRightInd w:val="0"/>
              <w:rPr>
                <w:rFonts w:ascii="Sylfaen" w:hAnsi="Sylfaen"/>
                <w:sz w:val="18"/>
                <w:szCs w:val="20"/>
                <w:lang w:val="ka-GE"/>
              </w:rPr>
            </w:pPr>
            <w:r w:rsidRPr="001F2C5A">
              <w:rPr>
                <w:rFonts w:ascii="Sylfaen" w:hAnsi="Sylfaen"/>
                <w:color w:val="000000"/>
                <w:sz w:val="18"/>
                <w:szCs w:val="20"/>
                <w:lang w:val="ka-GE" w:eastAsia="da-DK"/>
              </w:rPr>
              <w:t>მშენებლობის ზედამხედველი</w:t>
            </w:r>
          </w:p>
        </w:tc>
      </w:tr>
      <w:tr w:rsidR="00CD14D3" w:rsidRPr="008E0D40" w14:paraId="619A35B7" w14:textId="77777777" w:rsidTr="001F2C5A">
        <w:tc>
          <w:tcPr>
            <w:tcW w:w="578" w:type="pct"/>
            <w:vMerge/>
            <w:tcBorders>
              <w:left w:val="single" w:sz="4" w:space="0" w:color="auto"/>
              <w:bottom w:val="single" w:sz="4" w:space="0" w:color="auto"/>
              <w:right w:val="single" w:sz="4" w:space="0" w:color="auto"/>
            </w:tcBorders>
          </w:tcPr>
          <w:p w14:paraId="30B7FAC2" w14:textId="77777777" w:rsidR="00CD14D3" w:rsidRPr="001F2C5A" w:rsidRDefault="00CD14D3" w:rsidP="006075CD">
            <w:pPr>
              <w:autoSpaceDE w:val="0"/>
              <w:autoSpaceDN w:val="0"/>
              <w:adjustRightInd w:val="0"/>
              <w:rPr>
                <w:rFonts w:ascii="Sylfaen" w:hAnsi="Sylfaen" w:cs="Sylfaen"/>
                <w:sz w:val="18"/>
                <w:szCs w:val="20"/>
                <w:lang w:val="ka-GE"/>
              </w:rPr>
            </w:pPr>
          </w:p>
        </w:tc>
        <w:tc>
          <w:tcPr>
            <w:tcW w:w="3164" w:type="pct"/>
            <w:tcBorders>
              <w:top w:val="single" w:sz="4" w:space="0" w:color="auto"/>
              <w:left w:val="single" w:sz="4" w:space="0" w:color="auto"/>
              <w:bottom w:val="single" w:sz="4" w:space="0" w:color="auto"/>
              <w:right w:val="single" w:sz="4" w:space="0" w:color="auto"/>
            </w:tcBorders>
          </w:tcPr>
          <w:p w14:paraId="1D1BAF1C"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rPr>
            </w:pPr>
            <w:r w:rsidRPr="001F2C5A">
              <w:rPr>
                <w:rFonts w:ascii="Sylfaen" w:hAnsi="Sylfaen"/>
                <w:sz w:val="18"/>
                <w:szCs w:val="20"/>
                <w:lang w:val="ka-GE" w:eastAsia="da-DK"/>
              </w:rPr>
              <w:t xml:space="preserve">ბანაკის ადგილმდებარეობის, ფართობის შესახებ, ბანაკის სქემის, აღჭურვილობის სარემონტო უბნების (უპირატესობა მიენიჭება ტერიტორიის გარეთ არსებულ შესაბამისი პროფილის მქონე ტექმომსახურების ობიექტებს), საწვავ-საპოხი მასალის საცავის აღწერილობის და განთავსების გეგმის, მომზადება, წყლის ობიექტებიდან დაშორების მანძილის მითითებით. (შენიშვნა: გათვალისწინებული უნდა იყოს შემდეგი მოთხოვნები: საწვავისა და ქიმიური ნივთიერებების სასაწყობე უბნები მოშორებული უნდა იყოს წყლის ობიექტებს. საცავის უნდა ჰქონდეს მეორადი შემოღობვა და გაუმტარი ძირი - ნიადაგის და წყლის დაბინძურების რისკის თავიდან ასაცილებლად); </w:t>
            </w:r>
          </w:p>
          <w:p w14:paraId="4A19755A"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eastAsia="da-DK"/>
              </w:rPr>
            </w:pPr>
            <w:r w:rsidRPr="001F2C5A">
              <w:rPr>
                <w:rFonts w:ascii="Sylfaen" w:hAnsi="Sylfaen" w:cs="Sylfaen"/>
                <w:sz w:val="18"/>
                <w:szCs w:val="20"/>
                <w:lang w:val="ka-GE"/>
              </w:rPr>
              <w:t>ნარჩენების წყალში მოხვედრის თავიდან აცილება ნარჩენების მდინარიდან დაშორებით განთავსების და ტერიტორიიდან დროულად გატანის გზით;</w:t>
            </w:r>
          </w:p>
          <w:p w14:paraId="4DB7CFAB"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eastAsia="da-DK"/>
              </w:rPr>
            </w:pPr>
            <w:r w:rsidRPr="001F2C5A">
              <w:rPr>
                <w:rFonts w:ascii="Sylfaen" w:hAnsi="Sylfaen" w:cs="Sylfaen"/>
                <w:sz w:val="18"/>
                <w:szCs w:val="20"/>
                <w:lang w:val="ka-GE"/>
              </w:rPr>
              <w:t>მდინარეში მანქანების რეცხვის აკრძალვა;</w:t>
            </w:r>
          </w:p>
          <w:p w14:paraId="1FA6A206"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cs="Sylfaen"/>
                <w:sz w:val="18"/>
                <w:szCs w:val="20"/>
                <w:lang w:val="ka-GE"/>
              </w:rPr>
            </w:pPr>
            <w:r w:rsidRPr="001F2C5A">
              <w:rPr>
                <w:rFonts w:ascii="Sylfaen" w:hAnsi="Sylfaen"/>
                <w:sz w:val="18"/>
                <w:szCs w:val="20"/>
                <w:lang w:val="ka-GE"/>
              </w:rPr>
              <w:t>მანქანების და სამშენებლო ტექნიკური გამართულობის კონტროლი და შეკეთების უზრუნველყოფა დაღვრის შედეგად დაბინძურების თავიდან ასაცილებლად;</w:t>
            </w:r>
          </w:p>
          <w:p w14:paraId="56A27DEB"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cs="Sylfaen"/>
                <w:sz w:val="18"/>
                <w:szCs w:val="20"/>
                <w:lang w:val="ka-GE"/>
              </w:rPr>
            </w:pPr>
            <w:r w:rsidRPr="001F2C5A">
              <w:rPr>
                <w:rFonts w:ascii="Sylfaen" w:hAnsi="Sylfaen"/>
                <w:sz w:val="18"/>
                <w:szCs w:val="20"/>
                <w:lang w:val="ka-GE"/>
              </w:rPr>
              <w:t xml:space="preserve">ტერიტორიის გარეთ არსებულ ობიექტებზე მანქანების რეცხვის და ტექმომსახურების/საწვავით შევსების წახალისება. გადაუდებელ შემთხვევაში ტექმომსახურების/საწვავით გამართვისთვის უნდა მოეწყოს </w:t>
            </w:r>
            <w:r w:rsidRPr="001F2C5A">
              <w:rPr>
                <w:rFonts w:ascii="Sylfaen" w:hAnsi="Sylfaen"/>
                <w:sz w:val="18"/>
                <w:szCs w:val="20"/>
                <w:lang w:val="ka-GE"/>
              </w:rPr>
              <w:lastRenderedPageBreak/>
              <w:t>მყარსაფარიანი, დაღვრის შეკავების  შესაძლებლობის მქონე, მდინარიდან არანაკლებ 100მ დაშორებული უბანია.</w:t>
            </w:r>
          </w:p>
          <w:p w14:paraId="32C593FD"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cs="Sylfaen"/>
                <w:sz w:val="18"/>
                <w:szCs w:val="20"/>
                <w:lang w:val="ka-GE"/>
              </w:rPr>
            </w:pPr>
            <w:r w:rsidRPr="001F2C5A">
              <w:rPr>
                <w:rFonts w:ascii="Sylfaen" w:hAnsi="Sylfaen"/>
                <w:sz w:val="18"/>
                <w:szCs w:val="20"/>
                <w:lang w:val="ka-GE"/>
              </w:rPr>
              <w:t>ნარჩენების მართვის გეგმაში განსაზღვრული მოთხოვნების დაცვა;</w:t>
            </w:r>
          </w:p>
          <w:p w14:paraId="60CB0ECD"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cs="Sylfaen"/>
                <w:sz w:val="18"/>
                <w:szCs w:val="20"/>
                <w:lang w:val="ka-GE"/>
              </w:rPr>
            </w:pPr>
            <w:r w:rsidRPr="001F2C5A">
              <w:rPr>
                <w:rFonts w:ascii="Sylfaen" w:hAnsi="Sylfaen"/>
                <w:sz w:val="18"/>
                <w:szCs w:val="20"/>
                <w:lang w:val="ka-GE"/>
              </w:rPr>
              <w:t>ავარიულ სიტუაციებზე რეაგირების (დაღვრის ჩათვლით) გეგმით განსაზღვრული მოთხოვნების შესრულება - ავარიული სიტუაციის შემთხვევაში.</w:t>
            </w:r>
          </w:p>
        </w:tc>
        <w:tc>
          <w:tcPr>
            <w:tcW w:w="622" w:type="pct"/>
            <w:tcBorders>
              <w:top w:val="single" w:sz="4" w:space="0" w:color="auto"/>
              <w:left w:val="single" w:sz="4" w:space="0" w:color="auto"/>
              <w:bottom w:val="single" w:sz="4" w:space="0" w:color="auto"/>
              <w:right w:val="single" w:sz="4" w:space="0" w:color="auto"/>
            </w:tcBorders>
          </w:tcPr>
          <w:p w14:paraId="6903A9A9" w14:textId="77777777" w:rsidR="00CD14D3" w:rsidRPr="001F2C5A" w:rsidRDefault="00CD14D3" w:rsidP="006075CD">
            <w:pPr>
              <w:autoSpaceDE w:val="0"/>
              <w:autoSpaceDN w:val="0"/>
              <w:adjustRightInd w:val="0"/>
              <w:rPr>
                <w:rFonts w:ascii="Sylfaen" w:hAnsi="Sylfaen"/>
                <w:sz w:val="18"/>
                <w:szCs w:val="20"/>
                <w:lang w:val="ka-GE"/>
              </w:rPr>
            </w:pPr>
            <w:r w:rsidRPr="001F2C5A">
              <w:rPr>
                <w:rFonts w:ascii="Sylfaen" w:hAnsi="Sylfaen" w:cs="Sylfaen"/>
                <w:sz w:val="18"/>
                <w:szCs w:val="20"/>
                <w:lang w:val="ka-GE"/>
              </w:rPr>
              <w:lastRenderedPageBreak/>
              <w:t>კონტრაქტორი</w:t>
            </w:r>
          </w:p>
        </w:tc>
        <w:tc>
          <w:tcPr>
            <w:tcW w:w="636" w:type="pct"/>
            <w:tcBorders>
              <w:top w:val="single" w:sz="4" w:space="0" w:color="auto"/>
              <w:left w:val="single" w:sz="4" w:space="0" w:color="auto"/>
              <w:bottom w:val="single" w:sz="4" w:space="0" w:color="auto"/>
              <w:right w:val="single" w:sz="4" w:space="0" w:color="auto"/>
            </w:tcBorders>
          </w:tcPr>
          <w:p w14:paraId="3B635E73" w14:textId="77777777" w:rsidR="00CD14D3" w:rsidRDefault="00CD14D3" w:rsidP="006075CD">
            <w:pPr>
              <w:autoSpaceDE w:val="0"/>
              <w:autoSpaceDN w:val="0"/>
              <w:adjustRightInd w:val="0"/>
              <w:rPr>
                <w:rFonts w:ascii="Sylfaen" w:hAnsi="Sylfaen"/>
                <w:sz w:val="18"/>
                <w:szCs w:val="20"/>
                <w:lang w:val="ka-GE"/>
              </w:rPr>
            </w:pPr>
            <w:r w:rsidRPr="001F2C5A">
              <w:rPr>
                <w:rFonts w:ascii="Sylfaen" w:hAnsi="Sylfaen"/>
                <w:sz w:val="18"/>
                <w:szCs w:val="20"/>
                <w:lang w:val="ka-GE"/>
              </w:rPr>
              <w:t>სგდ</w:t>
            </w:r>
          </w:p>
          <w:p w14:paraId="4C909468" w14:textId="1163161C" w:rsidR="00092B73" w:rsidRPr="001F2C5A" w:rsidRDefault="00092B73" w:rsidP="006075CD">
            <w:pPr>
              <w:autoSpaceDE w:val="0"/>
              <w:autoSpaceDN w:val="0"/>
              <w:adjustRightInd w:val="0"/>
              <w:rPr>
                <w:rFonts w:ascii="Sylfaen" w:hAnsi="Sylfaen"/>
                <w:sz w:val="18"/>
                <w:szCs w:val="20"/>
                <w:lang w:val="ka-GE"/>
              </w:rPr>
            </w:pPr>
            <w:r w:rsidRPr="001F2C5A">
              <w:rPr>
                <w:rFonts w:ascii="Sylfaen" w:hAnsi="Sylfaen"/>
                <w:color w:val="000000"/>
                <w:sz w:val="18"/>
                <w:szCs w:val="20"/>
                <w:lang w:val="ka-GE" w:eastAsia="da-DK"/>
              </w:rPr>
              <w:t>მშენებლობის ზედამხედველი</w:t>
            </w:r>
          </w:p>
        </w:tc>
      </w:tr>
      <w:tr w:rsidR="00CD14D3" w:rsidRPr="008E0D40" w14:paraId="7F9C40F3" w14:textId="77777777" w:rsidTr="001F2C5A">
        <w:tc>
          <w:tcPr>
            <w:tcW w:w="578" w:type="pct"/>
            <w:tcBorders>
              <w:left w:val="single" w:sz="4" w:space="0" w:color="auto"/>
              <w:bottom w:val="single" w:sz="4" w:space="0" w:color="auto"/>
              <w:right w:val="single" w:sz="4" w:space="0" w:color="auto"/>
            </w:tcBorders>
          </w:tcPr>
          <w:p w14:paraId="740BA8CF" w14:textId="77777777" w:rsidR="00CD14D3" w:rsidRPr="001F2C5A" w:rsidRDefault="00CD14D3" w:rsidP="006075CD">
            <w:pPr>
              <w:autoSpaceDE w:val="0"/>
              <w:autoSpaceDN w:val="0"/>
              <w:adjustRightInd w:val="0"/>
              <w:rPr>
                <w:rFonts w:ascii="Sylfaen" w:hAnsi="Sylfaen" w:cs="Sylfaen"/>
                <w:sz w:val="18"/>
                <w:szCs w:val="20"/>
                <w:lang w:val="ka-GE"/>
              </w:rPr>
            </w:pPr>
            <w:r w:rsidRPr="001F2C5A">
              <w:rPr>
                <w:rFonts w:ascii="Sylfaen" w:hAnsi="Sylfaen" w:cs="Sylfaen"/>
                <w:sz w:val="18"/>
                <w:szCs w:val="20"/>
                <w:lang w:val="ka-GE"/>
              </w:rPr>
              <w:t xml:space="preserve">ნიადაგზე ზემოქმედება </w:t>
            </w:r>
          </w:p>
        </w:tc>
        <w:tc>
          <w:tcPr>
            <w:tcW w:w="3164" w:type="pct"/>
            <w:tcBorders>
              <w:top w:val="single" w:sz="4" w:space="0" w:color="auto"/>
              <w:left w:val="single" w:sz="4" w:space="0" w:color="auto"/>
              <w:bottom w:val="single" w:sz="4" w:space="0" w:color="auto"/>
              <w:right w:val="single" w:sz="4" w:space="0" w:color="auto"/>
            </w:tcBorders>
          </w:tcPr>
          <w:p w14:paraId="7E580CA6"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cs="Sylfaen"/>
                <w:sz w:val="18"/>
                <w:szCs w:val="20"/>
                <w:lang w:val="ka-GE"/>
              </w:rPr>
            </w:pPr>
            <w:r w:rsidRPr="001F2C5A">
              <w:rPr>
                <w:rFonts w:ascii="Sylfaen" w:hAnsi="Sylfaen" w:cs="Sylfaen"/>
                <w:sz w:val="18"/>
                <w:szCs w:val="20"/>
                <w:lang w:val="ka-GE"/>
              </w:rPr>
              <w:t>ტრანსპორტის მოძრაობისას წინასწარ შერჩეული მარშრუტის მკაცრად დაცვა სამოძრაო გზის გარეთ ტერიტორიის ნიადაგის დატკეპნის და/ან დაბინძურების თავიდან ასაცილებლად</w:t>
            </w:r>
          </w:p>
          <w:p w14:paraId="12EA3B76"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cs="Sylfaen"/>
                <w:sz w:val="18"/>
                <w:szCs w:val="20"/>
                <w:lang w:val="ka-GE"/>
              </w:rPr>
            </w:pPr>
            <w:r w:rsidRPr="001F2C5A">
              <w:rPr>
                <w:rFonts w:ascii="Sylfaen" w:hAnsi="Sylfaen" w:cs="Sylfaen"/>
                <w:sz w:val="18"/>
                <w:szCs w:val="20"/>
                <w:lang w:val="ka-GE"/>
              </w:rPr>
              <w:t xml:space="preserve">ნაყოფიერი ნიადაგის მოხსნა და დროებით დასაწყობება რეკულტივაციის დროს გამოყენებამდე. ნიადაგის მოხსნა, დასაწყობებისთვის ტერიტორიის შერჩევა, დასაწყობება  და ნაყარის ‘მოვლა’ უნდა მოხდეს შესაბამისი წესების დაცვით; </w:t>
            </w:r>
          </w:p>
          <w:p w14:paraId="3EF7DAC9"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cs="Sylfaen"/>
                <w:sz w:val="18"/>
                <w:szCs w:val="20"/>
                <w:lang w:val="ka-GE"/>
              </w:rPr>
            </w:pPr>
            <w:r w:rsidRPr="001F2C5A">
              <w:rPr>
                <w:rFonts w:ascii="Sylfaen" w:hAnsi="Sylfaen"/>
                <w:sz w:val="18"/>
                <w:szCs w:val="20"/>
                <w:lang w:val="ka-GE"/>
              </w:rPr>
              <w:t>მანქანების და სამშენებლო ტექნიკური გამართულობის კონტროლი და შეკეთების უზრუნველყოფა;</w:t>
            </w:r>
          </w:p>
          <w:p w14:paraId="45911E58"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cs="Sylfaen"/>
                <w:sz w:val="18"/>
                <w:szCs w:val="20"/>
                <w:lang w:val="ka-GE"/>
              </w:rPr>
            </w:pPr>
            <w:r w:rsidRPr="001F2C5A">
              <w:rPr>
                <w:rFonts w:ascii="Sylfaen" w:hAnsi="Sylfaen"/>
                <w:sz w:val="18"/>
                <w:szCs w:val="20"/>
                <w:lang w:val="ka-GE"/>
              </w:rPr>
              <w:t>ტერიტორიის გარეთ არსებულ ობიექტებზე მანქანების რეცხვის და ტექმომსახურების/საწვავით შევსების წახალისება. გადაუდებელ შემთხვევაში ტექმომსახურების/საწვავით გამართვისთვის - მყარსაფარიანი, დაღვრის შეკავების  შესაძლებლობის მწონე, მდინარიდან არანაკლებ 100მ დაშორებული ტერიტორიის შერჩევა.</w:t>
            </w:r>
          </w:p>
          <w:p w14:paraId="6B460130"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cs="Sylfaen"/>
                <w:sz w:val="18"/>
                <w:szCs w:val="20"/>
                <w:lang w:val="ka-GE"/>
              </w:rPr>
            </w:pPr>
            <w:r w:rsidRPr="001F2C5A">
              <w:rPr>
                <w:rFonts w:ascii="Sylfaen" w:hAnsi="Sylfaen"/>
                <w:sz w:val="18"/>
                <w:szCs w:val="20"/>
                <w:lang w:val="ka-GE"/>
              </w:rPr>
              <w:t>ნარჩენების მართვის გეგმაში განსაზღვრული მოთხოვნების დაცვა;.</w:t>
            </w:r>
          </w:p>
          <w:p w14:paraId="77A88BDD"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cs="Sylfaen"/>
                <w:sz w:val="18"/>
                <w:szCs w:val="20"/>
                <w:lang w:val="ka-GE"/>
              </w:rPr>
            </w:pPr>
            <w:r w:rsidRPr="001F2C5A">
              <w:rPr>
                <w:rFonts w:ascii="Sylfaen" w:hAnsi="Sylfaen"/>
                <w:sz w:val="18"/>
                <w:szCs w:val="20"/>
                <w:lang w:val="ka-GE"/>
              </w:rPr>
              <w:t>ავარიულ სიტუაციებზე რეაგირების (დაღვრის ჩათვლით) გეგმით განსაზღვრული მოთხოვნების შესრულება - ავარიული სიტუაციის შემთხვევაში.</w:t>
            </w:r>
          </w:p>
        </w:tc>
        <w:tc>
          <w:tcPr>
            <w:tcW w:w="622" w:type="pct"/>
            <w:tcBorders>
              <w:top w:val="single" w:sz="4" w:space="0" w:color="auto"/>
              <w:left w:val="single" w:sz="4" w:space="0" w:color="auto"/>
              <w:bottom w:val="single" w:sz="4" w:space="0" w:color="auto"/>
              <w:right w:val="single" w:sz="4" w:space="0" w:color="auto"/>
            </w:tcBorders>
          </w:tcPr>
          <w:p w14:paraId="180AA030" w14:textId="77777777" w:rsidR="00CD14D3" w:rsidRPr="001F2C5A" w:rsidRDefault="00CD14D3" w:rsidP="006075CD">
            <w:pPr>
              <w:autoSpaceDE w:val="0"/>
              <w:autoSpaceDN w:val="0"/>
              <w:adjustRightInd w:val="0"/>
              <w:rPr>
                <w:rFonts w:ascii="Sylfaen" w:hAnsi="Sylfaen"/>
                <w:sz w:val="18"/>
                <w:szCs w:val="20"/>
                <w:lang w:val="ka-GE"/>
              </w:rPr>
            </w:pPr>
            <w:r w:rsidRPr="001F2C5A">
              <w:rPr>
                <w:rFonts w:ascii="Sylfaen" w:hAnsi="Sylfaen" w:cs="Sylfaen"/>
                <w:sz w:val="18"/>
                <w:szCs w:val="20"/>
                <w:lang w:val="ka-GE"/>
              </w:rPr>
              <w:t>კონტრაქტორი</w:t>
            </w:r>
          </w:p>
        </w:tc>
        <w:tc>
          <w:tcPr>
            <w:tcW w:w="636" w:type="pct"/>
            <w:tcBorders>
              <w:top w:val="single" w:sz="4" w:space="0" w:color="auto"/>
              <w:left w:val="single" w:sz="4" w:space="0" w:color="auto"/>
              <w:bottom w:val="single" w:sz="4" w:space="0" w:color="auto"/>
              <w:right w:val="single" w:sz="4" w:space="0" w:color="auto"/>
            </w:tcBorders>
          </w:tcPr>
          <w:p w14:paraId="699AB798" w14:textId="77777777" w:rsidR="00CD14D3" w:rsidRDefault="00CD14D3" w:rsidP="006075CD">
            <w:pPr>
              <w:autoSpaceDE w:val="0"/>
              <w:autoSpaceDN w:val="0"/>
              <w:adjustRightInd w:val="0"/>
              <w:rPr>
                <w:rFonts w:ascii="Sylfaen" w:hAnsi="Sylfaen"/>
                <w:sz w:val="18"/>
                <w:szCs w:val="20"/>
                <w:lang w:val="ka-GE"/>
              </w:rPr>
            </w:pPr>
            <w:r w:rsidRPr="001F2C5A">
              <w:rPr>
                <w:rFonts w:ascii="Sylfaen" w:hAnsi="Sylfaen"/>
                <w:sz w:val="18"/>
                <w:szCs w:val="20"/>
                <w:lang w:val="ka-GE"/>
              </w:rPr>
              <w:t>სგდ</w:t>
            </w:r>
          </w:p>
          <w:p w14:paraId="6AB01180" w14:textId="610070D3" w:rsidR="00092B73" w:rsidRPr="001F2C5A" w:rsidRDefault="00092B73" w:rsidP="006075CD">
            <w:pPr>
              <w:autoSpaceDE w:val="0"/>
              <w:autoSpaceDN w:val="0"/>
              <w:adjustRightInd w:val="0"/>
              <w:rPr>
                <w:rFonts w:ascii="Sylfaen" w:hAnsi="Sylfaen"/>
                <w:sz w:val="18"/>
                <w:szCs w:val="20"/>
                <w:lang w:val="ka-GE"/>
              </w:rPr>
            </w:pPr>
            <w:r w:rsidRPr="001F2C5A">
              <w:rPr>
                <w:rFonts w:ascii="Sylfaen" w:hAnsi="Sylfaen"/>
                <w:color w:val="000000"/>
                <w:sz w:val="18"/>
                <w:szCs w:val="20"/>
                <w:lang w:val="ka-GE" w:eastAsia="da-DK"/>
              </w:rPr>
              <w:t>მშენებლობის ზედამხედველი</w:t>
            </w:r>
          </w:p>
        </w:tc>
      </w:tr>
      <w:tr w:rsidR="00CD14D3" w:rsidRPr="008E0D40" w14:paraId="5B9A5C87" w14:textId="77777777" w:rsidTr="001F2C5A">
        <w:tc>
          <w:tcPr>
            <w:tcW w:w="578" w:type="pct"/>
            <w:tcBorders>
              <w:left w:val="single" w:sz="4" w:space="0" w:color="auto"/>
              <w:bottom w:val="single" w:sz="4" w:space="0" w:color="auto"/>
              <w:right w:val="single" w:sz="4" w:space="0" w:color="auto"/>
            </w:tcBorders>
          </w:tcPr>
          <w:p w14:paraId="2874A83C" w14:textId="77777777" w:rsidR="00CD14D3" w:rsidRPr="001F2C5A" w:rsidRDefault="00CD14D3" w:rsidP="006075CD">
            <w:pPr>
              <w:autoSpaceDE w:val="0"/>
              <w:autoSpaceDN w:val="0"/>
              <w:adjustRightInd w:val="0"/>
              <w:rPr>
                <w:rFonts w:ascii="Sylfaen" w:hAnsi="Sylfaen" w:cs="Sylfaen"/>
                <w:sz w:val="18"/>
                <w:szCs w:val="20"/>
                <w:lang w:val="ka-GE"/>
              </w:rPr>
            </w:pPr>
            <w:r w:rsidRPr="001F2C5A">
              <w:rPr>
                <w:rFonts w:ascii="Sylfaen" w:hAnsi="Sylfaen" w:cs="Sylfaen"/>
                <w:sz w:val="18"/>
                <w:szCs w:val="20"/>
                <w:lang w:val="ka-GE"/>
              </w:rPr>
              <w:t>მეწყრული პროცესების გააქტიურება</w:t>
            </w:r>
          </w:p>
        </w:tc>
        <w:tc>
          <w:tcPr>
            <w:tcW w:w="3164" w:type="pct"/>
            <w:tcBorders>
              <w:top w:val="single" w:sz="4" w:space="0" w:color="auto"/>
              <w:left w:val="single" w:sz="4" w:space="0" w:color="auto"/>
              <w:bottom w:val="single" w:sz="4" w:space="0" w:color="auto"/>
              <w:right w:val="single" w:sz="4" w:space="0" w:color="auto"/>
            </w:tcBorders>
          </w:tcPr>
          <w:p w14:paraId="1E66C650"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cs="Sylfaen"/>
                <w:sz w:val="18"/>
                <w:szCs w:val="20"/>
                <w:lang w:val="ka-GE"/>
              </w:rPr>
            </w:pPr>
            <w:r w:rsidRPr="001F2C5A">
              <w:rPr>
                <w:rFonts w:ascii="Sylfaen" w:hAnsi="Sylfaen" w:cs="Sylfaen"/>
                <w:sz w:val="18"/>
                <w:szCs w:val="20"/>
                <w:lang w:val="ka-GE"/>
              </w:rPr>
              <w:t>არასტაბილური უბნების გამაგრების ტექნიკური ღონისძიებების გატარება</w:t>
            </w:r>
          </w:p>
          <w:p w14:paraId="67D2AD99"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cs="Sylfaen"/>
                <w:sz w:val="18"/>
                <w:szCs w:val="20"/>
                <w:lang w:val="ka-GE"/>
              </w:rPr>
            </w:pPr>
            <w:r w:rsidRPr="001F2C5A">
              <w:rPr>
                <w:rFonts w:ascii="Sylfaen" w:hAnsi="Sylfaen" w:cs="Sylfaen"/>
                <w:sz w:val="18"/>
                <w:szCs w:val="20"/>
                <w:lang w:val="ka-GE"/>
              </w:rPr>
              <w:t>მონიტორინგის წარმოება</w:t>
            </w:r>
          </w:p>
        </w:tc>
        <w:tc>
          <w:tcPr>
            <w:tcW w:w="622" w:type="pct"/>
            <w:tcBorders>
              <w:top w:val="single" w:sz="4" w:space="0" w:color="auto"/>
              <w:left w:val="single" w:sz="4" w:space="0" w:color="auto"/>
              <w:bottom w:val="single" w:sz="4" w:space="0" w:color="auto"/>
              <w:right w:val="single" w:sz="4" w:space="0" w:color="auto"/>
            </w:tcBorders>
          </w:tcPr>
          <w:p w14:paraId="185AABD0" w14:textId="77777777" w:rsidR="00CD14D3" w:rsidRPr="001F2C5A" w:rsidRDefault="00CD14D3" w:rsidP="006075CD">
            <w:pPr>
              <w:autoSpaceDE w:val="0"/>
              <w:autoSpaceDN w:val="0"/>
              <w:adjustRightInd w:val="0"/>
              <w:rPr>
                <w:rFonts w:ascii="Sylfaen" w:hAnsi="Sylfaen"/>
                <w:sz w:val="18"/>
                <w:szCs w:val="20"/>
                <w:lang w:val="ka-GE"/>
              </w:rPr>
            </w:pPr>
            <w:r w:rsidRPr="001F2C5A">
              <w:rPr>
                <w:rFonts w:ascii="Sylfaen" w:hAnsi="Sylfaen"/>
                <w:sz w:val="18"/>
                <w:szCs w:val="20"/>
                <w:lang w:val="ka-GE"/>
              </w:rPr>
              <w:t>კონტრაქტორი</w:t>
            </w:r>
          </w:p>
        </w:tc>
        <w:tc>
          <w:tcPr>
            <w:tcW w:w="636" w:type="pct"/>
            <w:tcBorders>
              <w:top w:val="single" w:sz="4" w:space="0" w:color="auto"/>
              <w:left w:val="single" w:sz="4" w:space="0" w:color="auto"/>
              <w:bottom w:val="single" w:sz="4" w:space="0" w:color="auto"/>
              <w:right w:val="single" w:sz="4" w:space="0" w:color="auto"/>
            </w:tcBorders>
          </w:tcPr>
          <w:p w14:paraId="697E0D3F" w14:textId="77777777" w:rsidR="005D37FA" w:rsidRPr="001F2C5A" w:rsidRDefault="005D37FA" w:rsidP="006075CD">
            <w:pPr>
              <w:rPr>
                <w:rFonts w:ascii="Sylfaen" w:hAnsi="Sylfaen"/>
                <w:sz w:val="18"/>
                <w:szCs w:val="20"/>
                <w:lang w:val="ka-GE"/>
              </w:rPr>
            </w:pPr>
            <w:r w:rsidRPr="001F2C5A">
              <w:rPr>
                <w:rFonts w:ascii="Sylfaen" w:hAnsi="Sylfaen"/>
                <w:sz w:val="18"/>
                <w:szCs w:val="20"/>
                <w:lang w:val="ka-GE"/>
              </w:rPr>
              <w:t xml:space="preserve">სგდ </w:t>
            </w:r>
          </w:p>
          <w:p w14:paraId="23CF1D0E" w14:textId="77777777" w:rsidR="00CD14D3" w:rsidRPr="001F2C5A" w:rsidRDefault="00CD14D3" w:rsidP="006075CD">
            <w:pPr>
              <w:rPr>
                <w:rFonts w:ascii="Sylfaen" w:hAnsi="Sylfaen"/>
                <w:sz w:val="18"/>
                <w:szCs w:val="20"/>
                <w:lang w:val="ka-GE"/>
              </w:rPr>
            </w:pPr>
            <w:r w:rsidRPr="001F2C5A">
              <w:rPr>
                <w:rFonts w:ascii="Sylfaen" w:hAnsi="Sylfaen"/>
                <w:color w:val="000000"/>
                <w:sz w:val="18"/>
                <w:szCs w:val="20"/>
                <w:lang w:val="ka-GE" w:eastAsia="da-DK"/>
              </w:rPr>
              <w:t>მშენებლობის ზედამხედველი</w:t>
            </w:r>
          </w:p>
        </w:tc>
      </w:tr>
      <w:tr w:rsidR="00CD14D3" w:rsidRPr="008E0D40" w14:paraId="4B1B8F42" w14:textId="77777777" w:rsidTr="001F2C5A">
        <w:tc>
          <w:tcPr>
            <w:tcW w:w="578" w:type="pct"/>
            <w:tcBorders>
              <w:top w:val="single" w:sz="4" w:space="0" w:color="auto"/>
              <w:left w:val="single" w:sz="4" w:space="0" w:color="auto"/>
              <w:bottom w:val="single" w:sz="4" w:space="0" w:color="auto"/>
              <w:right w:val="single" w:sz="4" w:space="0" w:color="auto"/>
            </w:tcBorders>
            <w:hideMark/>
          </w:tcPr>
          <w:p w14:paraId="4BDC9AF5" w14:textId="77777777" w:rsidR="00CD14D3" w:rsidRPr="001F2C5A" w:rsidRDefault="00CD14D3" w:rsidP="006075CD">
            <w:pPr>
              <w:rPr>
                <w:rFonts w:ascii="Sylfaen" w:hAnsi="Sylfaen"/>
                <w:color w:val="000000"/>
                <w:sz w:val="18"/>
                <w:szCs w:val="20"/>
                <w:lang w:val="ka-GE" w:eastAsia="da-DK"/>
              </w:rPr>
            </w:pPr>
            <w:r w:rsidRPr="001F2C5A">
              <w:rPr>
                <w:rFonts w:ascii="Sylfaen" w:hAnsi="Sylfaen"/>
                <w:color w:val="000000"/>
                <w:sz w:val="18"/>
                <w:szCs w:val="20"/>
                <w:lang w:val="ka-GE" w:eastAsia="da-DK"/>
              </w:rPr>
              <w:t>ნიადაგის ნაყოფიერი ფენის დაკარგვა</w:t>
            </w:r>
          </w:p>
        </w:tc>
        <w:tc>
          <w:tcPr>
            <w:tcW w:w="3164" w:type="pct"/>
            <w:tcBorders>
              <w:top w:val="single" w:sz="4" w:space="0" w:color="auto"/>
              <w:left w:val="single" w:sz="4" w:space="0" w:color="auto"/>
              <w:bottom w:val="single" w:sz="4" w:space="0" w:color="auto"/>
              <w:right w:val="single" w:sz="4" w:space="0" w:color="auto"/>
            </w:tcBorders>
            <w:hideMark/>
          </w:tcPr>
          <w:p w14:paraId="693182C4"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rPr>
            </w:pPr>
            <w:r w:rsidRPr="001F2C5A">
              <w:rPr>
                <w:rFonts w:ascii="Sylfaen" w:hAnsi="Sylfaen"/>
                <w:sz w:val="18"/>
                <w:szCs w:val="20"/>
                <w:lang w:val="ka-GE"/>
              </w:rPr>
              <w:t>ნაყოფიერი ფენის მოხსნა და დასაწყობება ეროზიისგან და ნაყოფიერების დაკარგვისაგან დაცვით  (ნაყოფიერი ფენის მართვის რეკომენდაციები მოცემულია დანართში 3);</w:t>
            </w:r>
          </w:p>
          <w:p w14:paraId="2B728A46"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rPr>
            </w:pPr>
            <w:r w:rsidRPr="001F2C5A">
              <w:rPr>
                <w:rFonts w:ascii="Sylfaen" w:hAnsi="Sylfaen"/>
                <w:sz w:val="18"/>
                <w:szCs w:val="20"/>
                <w:lang w:val="ka-GE"/>
              </w:rPr>
              <w:t xml:space="preserve">ქარის გავლენის და წარეცხვისგან დაცვა - წყალსარინი სისტემის მოწყობა. ნაყარის განთავსება ქარის ნაკლები ზემოქმედების ზონაში; </w:t>
            </w:r>
          </w:p>
          <w:p w14:paraId="642F5693"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rPr>
            </w:pPr>
            <w:r w:rsidRPr="001F2C5A">
              <w:rPr>
                <w:rFonts w:ascii="Sylfaen" w:hAnsi="Sylfaen"/>
                <w:sz w:val="18"/>
                <w:szCs w:val="20"/>
                <w:lang w:val="ka-GE"/>
              </w:rPr>
              <w:t>ექვს თვეზე მეტი ხნის განმავლობაში ნიადაგის ნაყარში ყოფნის შემთხვევაში - ბალახის დარგვით სტაბილიზაცია.</w:t>
            </w:r>
          </w:p>
        </w:tc>
        <w:tc>
          <w:tcPr>
            <w:tcW w:w="622" w:type="pct"/>
            <w:tcBorders>
              <w:top w:val="single" w:sz="4" w:space="0" w:color="auto"/>
              <w:left w:val="single" w:sz="4" w:space="0" w:color="auto"/>
              <w:bottom w:val="single" w:sz="4" w:space="0" w:color="auto"/>
              <w:right w:val="single" w:sz="4" w:space="0" w:color="auto"/>
            </w:tcBorders>
            <w:hideMark/>
          </w:tcPr>
          <w:p w14:paraId="0719399F" w14:textId="77777777" w:rsidR="00CD14D3" w:rsidRPr="001F2C5A" w:rsidRDefault="00CD14D3" w:rsidP="006075CD">
            <w:pPr>
              <w:rPr>
                <w:rFonts w:ascii="Sylfaen" w:hAnsi="Sylfaen"/>
                <w:b/>
                <w:bCs/>
                <w:i/>
                <w:snapToGrid w:val="0"/>
                <w:sz w:val="18"/>
                <w:szCs w:val="20"/>
                <w:lang w:val="ka-GE"/>
              </w:rPr>
            </w:pPr>
            <w:r w:rsidRPr="001F2C5A">
              <w:rPr>
                <w:rFonts w:ascii="Sylfaen" w:hAnsi="Sylfaen"/>
                <w:spacing w:val="-1"/>
                <w:sz w:val="18"/>
                <w:szCs w:val="20"/>
                <w:lang w:val="ka-GE" w:eastAsia="da-DK"/>
              </w:rPr>
              <w:t>კონტრაქტორი</w:t>
            </w:r>
          </w:p>
        </w:tc>
        <w:tc>
          <w:tcPr>
            <w:tcW w:w="636" w:type="pct"/>
            <w:tcBorders>
              <w:top w:val="single" w:sz="4" w:space="0" w:color="auto"/>
              <w:left w:val="single" w:sz="4" w:space="0" w:color="auto"/>
              <w:bottom w:val="single" w:sz="4" w:space="0" w:color="auto"/>
              <w:right w:val="single" w:sz="4" w:space="0" w:color="auto"/>
            </w:tcBorders>
            <w:hideMark/>
          </w:tcPr>
          <w:p w14:paraId="6DC431AC" w14:textId="77777777" w:rsidR="005D37FA" w:rsidRPr="001F2C5A" w:rsidRDefault="005D37FA" w:rsidP="005D37FA">
            <w:pPr>
              <w:rPr>
                <w:rFonts w:ascii="Sylfaen" w:hAnsi="Sylfaen"/>
                <w:sz w:val="18"/>
                <w:szCs w:val="20"/>
                <w:lang w:val="ka-GE"/>
              </w:rPr>
            </w:pPr>
            <w:r w:rsidRPr="001F2C5A">
              <w:rPr>
                <w:rFonts w:ascii="Sylfaen" w:hAnsi="Sylfaen"/>
                <w:sz w:val="18"/>
                <w:szCs w:val="20"/>
                <w:lang w:val="ka-GE"/>
              </w:rPr>
              <w:t xml:space="preserve">სგდ </w:t>
            </w:r>
          </w:p>
          <w:p w14:paraId="1AB27412" w14:textId="77777777" w:rsidR="00CD14D3" w:rsidRPr="001F2C5A" w:rsidRDefault="005D37FA" w:rsidP="005D37FA">
            <w:pPr>
              <w:rPr>
                <w:rFonts w:ascii="Sylfaen" w:hAnsi="Sylfaen"/>
                <w:sz w:val="18"/>
                <w:szCs w:val="20"/>
                <w:lang w:val="ka-GE"/>
              </w:rPr>
            </w:pPr>
            <w:r w:rsidRPr="001F2C5A">
              <w:rPr>
                <w:rFonts w:ascii="Sylfaen" w:hAnsi="Sylfaen"/>
                <w:color w:val="000000"/>
                <w:sz w:val="18"/>
                <w:szCs w:val="20"/>
                <w:lang w:val="ka-GE" w:eastAsia="da-DK"/>
              </w:rPr>
              <w:t>მშენებლობის ზედამხედველი</w:t>
            </w:r>
          </w:p>
        </w:tc>
      </w:tr>
      <w:tr w:rsidR="00CD14D3" w:rsidRPr="008E0D40" w14:paraId="35B6BB98" w14:textId="77777777" w:rsidTr="001F2C5A">
        <w:tc>
          <w:tcPr>
            <w:tcW w:w="578" w:type="pct"/>
            <w:tcBorders>
              <w:left w:val="single" w:sz="4" w:space="0" w:color="auto"/>
              <w:bottom w:val="single" w:sz="4" w:space="0" w:color="auto"/>
              <w:right w:val="single" w:sz="4" w:space="0" w:color="auto"/>
            </w:tcBorders>
          </w:tcPr>
          <w:p w14:paraId="7B53C412" w14:textId="77777777" w:rsidR="00CD14D3" w:rsidRPr="001F2C5A" w:rsidRDefault="00CD14D3" w:rsidP="006075CD">
            <w:pPr>
              <w:autoSpaceDE w:val="0"/>
              <w:autoSpaceDN w:val="0"/>
              <w:adjustRightInd w:val="0"/>
              <w:rPr>
                <w:rFonts w:ascii="Sylfaen" w:hAnsi="Sylfaen" w:cs="Sylfaen"/>
                <w:sz w:val="18"/>
                <w:szCs w:val="20"/>
                <w:lang w:val="ka-GE"/>
              </w:rPr>
            </w:pPr>
            <w:r w:rsidRPr="001F2C5A">
              <w:rPr>
                <w:rFonts w:ascii="Sylfaen" w:hAnsi="Sylfaen" w:cs="Sylfaen"/>
                <w:sz w:val="18"/>
                <w:szCs w:val="20"/>
                <w:lang w:val="ka-GE"/>
              </w:rPr>
              <w:t>ტრავმატიზმის რისკი</w:t>
            </w:r>
          </w:p>
        </w:tc>
        <w:tc>
          <w:tcPr>
            <w:tcW w:w="3164" w:type="pct"/>
            <w:tcBorders>
              <w:top w:val="single" w:sz="4" w:space="0" w:color="auto"/>
              <w:left w:val="single" w:sz="4" w:space="0" w:color="auto"/>
              <w:bottom w:val="single" w:sz="4" w:space="0" w:color="auto"/>
              <w:right w:val="single" w:sz="4" w:space="0" w:color="auto"/>
            </w:tcBorders>
          </w:tcPr>
          <w:p w14:paraId="5795D25C"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rPr>
            </w:pPr>
            <w:r w:rsidRPr="001F2C5A">
              <w:rPr>
                <w:rFonts w:ascii="Sylfaen" w:hAnsi="Sylfaen"/>
                <w:sz w:val="18"/>
                <w:szCs w:val="20"/>
                <w:lang w:val="ka-GE"/>
              </w:rPr>
              <w:t>შრომის უსაფრთხოების ნორმების დაცვა;</w:t>
            </w:r>
          </w:p>
          <w:p w14:paraId="29B3FBF3"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rPr>
            </w:pPr>
            <w:r w:rsidRPr="001F2C5A">
              <w:rPr>
                <w:rFonts w:ascii="Sylfaen" w:hAnsi="Sylfaen"/>
                <w:sz w:val="18"/>
                <w:szCs w:val="20"/>
                <w:lang w:val="ka-GE"/>
              </w:rPr>
              <w:t>ავარიულ სიტუაციებზე რეაგირების გეგმით განსაზღვრული მოთხოვნების შესრულება - ავარიული სიტუაციის შემთხვევაში.</w:t>
            </w:r>
          </w:p>
        </w:tc>
        <w:tc>
          <w:tcPr>
            <w:tcW w:w="622" w:type="pct"/>
            <w:tcBorders>
              <w:top w:val="single" w:sz="4" w:space="0" w:color="auto"/>
              <w:left w:val="single" w:sz="4" w:space="0" w:color="auto"/>
              <w:bottom w:val="single" w:sz="4" w:space="0" w:color="auto"/>
              <w:right w:val="single" w:sz="4" w:space="0" w:color="auto"/>
            </w:tcBorders>
          </w:tcPr>
          <w:p w14:paraId="78D55BA9" w14:textId="77777777" w:rsidR="00CD14D3" w:rsidRPr="001F2C5A" w:rsidRDefault="00CD14D3" w:rsidP="006075CD">
            <w:pPr>
              <w:autoSpaceDE w:val="0"/>
              <w:autoSpaceDN w:val="0"/>
              <w:adjustRightInd w:val="0"/>
              <w:rPr>
                <w:rFonts w:ascii="Sylfaen" w:hAnsi="Sylfaen"/>
                <w:sz w:val="18"/>
                <w:szCs w:val="20"/>
                <w:lang w:val="ka-GE"/>
              </w:rPr>
            </w:pPr>
            <w:r w:rsidRPr="001F2C5A">
              <w:rPr>
                <w:rFonts w:ascii="Sylfaen" w:hAnsi="Sylfaen" w:cs="Sylfaen"/>
                <w:sz w:val="18"/>
                <w:szCs w:val="20"/>
                <w:lang w:val="ka-GE"/>
              </w:rPr>
              <w:t>კონტრაქტორი</w:t>
            </w:r>
          </w:p>
        </w:tc>
        <w:tc>
          <w:tcPr>
            <w:tcW w:w="636" w:type="pct"/>
            <w:tcBorders>
              <w:top w:val="single" w:sz="4" w:space="0" w:color="auto"/>
              <w:left w:val="single" w:sz="4" w:space="0" w:color="auto"/>
              <w:bottom w:val="single" w:sz="4" w:space="0" w:color="auto"/>
              <w:right w:val="single" w:sz="4" w:space="0" w:color="auto"/>
            </w:tcBorders>
          </w:tcPr>
          <w:p w14:paraId="2C2A600D" w14:textId="77777777" w:rsidR="005D37FA" w:rsidRPr="001F2C5A" w:rsidRDefault="005D37FA" w:rsidP="005D37FA">
            <w:pPr>
              <w:rPr>
                <w:rFonts w:ascii="Sylfaen" w:hAnsi="Sylfaen"/>
                <w:sz w:val="18"/>
                <w:szCs w:val="20"/>
                <w:lang w:val="ka-GE"/>
              </w:rPr>
            </w:pPr>
            <w:r w:rsidRPr="001F2C5A">
              <w:rPr>
                <w:rFonts w:ascii="Sylfaen" w:hAnsi="Sylfaen"/>
                <w:sz w:val="18"/>
                <w:szCs w:val="20"/>
                <w:lang w:val="ka-GE"/>
              </w:rPr>
              <w:t xml:space="preserve">სგდ </w:t>
            </w:r>
          </w:p>
          <w:p w14:paraId="70B39DB9" w14:textId="010699FB" w:rsidR="00CD14D3" w:rsidRPr="001F2C5A" w:rsidRDefault="00092B73" w:rsidP="006075CD">
            <w:pPr>
              <w:autoSpaceDE w:val="0"/>
              <w:autoSpaceDN w:val="0"/>
              <w:adjustRightInd w:val="0"/>
              <w:rPr>
                <w:rFonts w:ascii="Sylfaen" w:hAnsi="Sylfaen"/>
                <w:sz w:val="18"/>
                <w:szCs w:val="20"/>
                <w:lang w:val="ka-GE"/>
              </w:rPr>
            </w:pPr>
            <w:r w:rsidRPr="001F2C5A">
              <w:rPr>
                <w:rFonts w:ascii="Sylfaen" w:hAnsi="Sylfaen"/>
                <w:color w:val="000000"/>
                <w:sz w:val="18"/>
                <w:szCs w:val="20"/>
                <w:lang w:val="ka-GE" w:eastAsia="da-DK"/>
              </w:rPr>
              <w:t>მშენებლობის ზედამხედველი</w:t>
            </w:r>
          </w:p>
        </w:tc>
      </w:tr>
      <w:tr w:rsidR="00CD14D3" w:rsidRPr="008E0D40" w14:paraId="1F003408" w14:textId="77777777" w:rsidTr="001F2C5A">
        <w:tc>
          <w:tcPr>
            <w:tcW w:w="578" w:type="pct"/>
            <w:tcBorders>
              <w:top w:val="single" w:sz="4" w:space="0" w:color="auto"/>
              <w:left w:val="single" w:sz="4" w:space="0" w:color="auto"/>
              <w:bottom w:val="single" w:sz="4" w:space="0" w:color="auto"/>
              <w:right w:val="single" w:sz="4" w:space="0" w:color="auto"/>
            </w:tcBorders>
            <w:hideMark/>
          </w:tcPr>
          <w:p w14:paraId="3E477396" w14:textId="77777777" w:rsidR="00CD14D3" w:rsidRPr="001F2C5A" w:rsidRDefault="00CD14D3" w:rsidP="006075CD">
            <w:pPr>
              <w:autoSpaceDE w:val="0"/>
              <w:autoSpaceDN w:val="0"/>
              <w:adjustRightInd w:val="0"/>
              <w:rPr>
                <w:rFonts w:ascii="Sylfaen" w:hAnsi="Sylfaen"/>
                <w:sz w:val="18"/>
                <w:szCs w:val="20"/>
                <w:lang w:val="ka-GE"/>
              </w:rPr>
            </w:pPr>
            <w:r w:rsidRPr="001F2C5A">
              <w:rPr>
                <w:rFonts w:ascii="Sylfaen" w:hAnsi="Sylfaen" w:cs="Sylfaen"/>
                <w:sz w:val="18"/>
                <w:szCs w:val="20"/>
                <w:lang w:val="ka-GE"/>
              </w:rPr>
              <w:t>მიწის</w:t>
            </w:r>
            <w:r w:rsidRPr="001F2C5A">
              <w:rPr>
                <w:rFonts w:ascii="Sylfaen" w:hAnsi="Sylfaen"/>
                <w:sz w:val="18"/>
                <w:szCs w:val="20"/>
                <w:lang w:val="ka-GE"/>
              </w:rPr>
              <w:t>/</w:t>
            </w:r>
            <w:r w:rsidRPr="001F2C5A">
              <w:rPr>
                <w:rFonts w:ascii="Sylfaen" w:hAnsi="Sylfaen" w:cs="Sylfaen"/>
                <w:sz w:val="18"/>
                <w:szCs w:val="20"/>
                <w:lang w:val="ka-GE"/>
              </w:rPr>
              <w:t>მოსავლის</w:t>
            </w:r>
            <w:r w:rsidRPr="001F2C5A">
              <w:rPr>
                <w:rFonts w:ascii="Sylfaen" w:hAnsi="Sylfaen"/>
                <w:sz w:val="18"/>
                <w:szCs w:val="20"/>
                <w:lang w:val="ka-GE"/>
              </w:rPr>
              <w:t xml:space="preserve"> </w:t>
            </w:r>
            <w:r w:rsidRPr="001F2C5A">
              <w:rPr>
                <w:rFonts w:ascii="Sylfaen" w:hAnsi="Sylfaen" w:cs="Sylfaen"/>
                <w:sz w:val="18"/>
                <w:szCs w:val="20"/>
                <w:lang w:val="ka-GE"/>
              </w:rPr>
              <w:t>დაკარგვა</w:t>
            </w:r>
            <w:r w:rsidRPr="001F2C5A">
              <w:rPr>
                <w:rFonts w:ascii="Sylfaen" w:hAnsi="Sylfaen"/>
                <w:sz w:val="18"/>
                <w:szCs w:val="20"/>
                <w:lang w:val="ka-GE"/>
              </w:rPr>
              <w:t xml:space="preserve"> </w:t>
            </w:r>
            <w:r w:rsidRPr="001F2C5A">
              <w:rPr>
                <w:rFonts w:ascii="Sylfaen" w:hAnsi="Sylfaen" w:cs="Sylfaen"/>
                <w:sz w:val="18"/>
                <w:szCs w:val="20"/>
                <w:lang w:val="ka-GE"/>
              </w:rPr>
              <w:t>შემოსავლის</w:t>
            </w:r>
            <w:r w:rsidRPr="001F2C5A">
              <w:rPr>
                <w:rFonts w:ascii="Sylfaen" w:hAnsi="Sylfaen"/>
                <w:sz w:val="18"/>
                <w:szCs w:val="20"/>
                <w:lang w:val="ka-GE"/>
              </w:rPr>
              <w:t xml:space="preserve"> </w:t>
            </w:r>
            <w:r w:rsidRPr="001F2C5A">
              <w:rPr>
                <w:rFonts w:ascii="Sylfaen" w:hAnsi="Sylfaen" w:cs="Sylfaen"/>
                <w:sz w:val="18"/>
                <w:szCs w:val="20"/>
                <w:lang w:val="ka-GE"/>
              </w:rPr>
              <w:t>წყაროს</w:t>
            </w:r>
            <w:r w:rsidRPr="001F2C5A">
              <w:rPr>
                <w:rFonts w:ascii="Sylfaen" w:hAnsi="Sylfaen"/>
                <w:sz w:val="18"/>
                <w:szCs w:val="20"/>
                <w:lang w:val="ka-GE"/>
              </w:rPr>
              <w:t>/</w:t>
            </w:r>
            <w:r w:rsidRPr="001F2C5A">
              <w:rPr>
                <w:rFonts w:ascii="Sylfaen" w:hAnsi="Sylfaen" w:cs="Sylfaen"/>
                <w:sz w:val="18"/>
                <w:szCs w:val="20"/>
                <w:lang w:val="ka-GE"/>
              </w:rPr>
              <w:t>ბიზნესის</w:t>
            </w:r>
            <w:r w:rsidRPr="001F2C5A">
              <w:rPr>
                <w:rFonts w:ascii="Sylfaen" w:hAnsi="Sylfaen"/>
                <w:sz w:val="18"/>
                <w:szCs w:val="20"/>
                <w:lang w:val="ka-GE"/>
              </w:rPr>
              <w:t xml:space="preserve"> </w:t>
            </w:r>
            <w:r w:rsidRPr="001F2C5A">
              <w:rPr>
                <w:rFonts w:ascii="Sylfaen" w:hAnsi="Sylfaen" w:cs="Sylfaen"/>
                <w:sz w:val="18"/>
                <w:szCs w:val="20"/>
                <w:lang w:val="ka-GE"/>
              </w:rPr>
              <w:t>დაკარგვა</w:t>
            </w:r>
          </w:p>
        </w:tc>
        <w:tc>
          <w:tcPr>
            <w:tcW w:w="3164" w:type="pct"/>
            <w:tcBorders>
              <w:top w:val="single" w:sz="4" w:space="0" w:color="auto"/>
              <w:left w:val="single" w:sz="4" w:space="0" w:color="auto"/>
              <w:bottom w:val="single" w:sz="4" w:space="0" w:color="auto"/>
              <w:right w:val="single" w:sz="4" w:space="0" w:color="auto"/>
            </w:tcBorders>
            <w:hideMark/>
          </w:tcPr>
          <w:p w14:paraId="562A1244"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rPr>
            </w:pPr>
            <w:r w:rsidRPr="001F2C5A">
              <w:rPr>
                <w:rFonts w:ascii="Sylfaen" w:hAnsi="Sylfaen"/>
                <w:sz w:val="18"/>
                <w:szCs w:val="20"/>
                <w:lang w:val="ka-GE"/>
              </w:rPr>
              <w:t>სამუშაო უბნების და დროებით გამოსაყენებელი ტერიტორიების ოპტიმალური ფართობის შერჩევა;</w:t>
            </w:r>
          </w:p>
          <w:p w14:paraId="270B8D33"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rPr>
            </w:pPr>
            <w:r w:rsidRPr="001F2C5A">
              <w:rPr>
                <w:rFonts w:ascii="Sylfaen" w:hAnsi="Sylfaen"/>
                <w:sz w:val="18"/>
                <w:szCs w:val="20"/>
                <w:lang w:val="ka-GE"/>
              </w:rPr>
              <w:t xml:space="preserve">განსახლების გეგმის შემუშავება;  </w:t>
            </w:r>
          </w:p>
          <w:p w14:paraId="0134B6D9"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rPr>
            </w:pPr>
            <w:r w:rsidRPr="001F2C5A">
              <w:rPr>
                <w:rFonts w:ascii="Sylfaen" w:hAnsi="Sylfaen"/>
                <w:sz w:val="18"/>
                <w:szCs w:val="20"/>
                <w:lang w:val="ka-GE"/>
              </w:rPr>
              <w:t>ზიანის/ზარალის ანაზღაურება განსახლების სამოქმედო გეგმის (RAP) მიხედვით.</w:t>
            </w:r>
          </w:p>
        </w:tc>
        <w:tc>
          <w:tcPr>
            <w:tcW w:w="622" w:type="pct"/>
            <w:tcBorders>
              <w:top w:val="single" w:sz="4" w:space="0" w:color="auto"/>
              <w:left w:val="single" w:sz="4" w:space="0" w:color="auto"/>
              <w:bottom w:val="single" w:sz="4" w:space="0" w:color="auto"/>
              <w:right w:val="single" w:sz="4" w:space="0" w:color="auto"/>
            </w:tcBorders>
            <w:hideMark/>
          </w:tcPr>
          <w:p w14:paraId="5E5743B9" w14:textId="77777777" w:rsidR="005D37FA" w:rsidRPr="001F2C5A" w:rsidRDefault="00CD14D3" w:rsidP="006075CD">
            <w:pPr>
              <w:autoSpaceDE w:val="0"/>
              <w:autoSpaceDN w:val="0"/>
              <w:adjustRightInd w:val="0"/>
              <w:rPr>
                <w:rFonts w:ascii="Times New Roman" w:hAnsi="Times New Roman"/>
                <w:spacing w:val="-2"/>
                <w:sz w:val="18"/>
              </w:rPr>
            </w:pPr>
            <w:r w:rsidRPr="001F2C5A">
              <w:rPr>
                <w:rFonts w:ascii="Sylfaen" w:hAnsi="Sylfaen"/>
                <w:sz w:val="18"/>
                <w:szCs w:val="20"/>
                <w:lang w:val="ka-GE"/>
              </w:rPr>
              <w:t xml:space="preserve">კონტრაქტორი - გარემოს დაცვის სპეციალისტის მონაწილეობით; </w:t>
            </w:r>
          </w:p>
          <w:p w14:paraId="54CE0672" w14:textId="77777777" w:rsidR="00CD14D3" w:rsidRPr="001F2C5A" w:rsidRDefault="005D37FA" w:rsidP="006075CD">
            <w:pPr>
              <w:autoSpaceDE w:val="0"/>
              <w:autoSpaceDN w:val="0"/>
              <w:adjustRightInd w:val="0"/>
              <w:rPr>
                <w:rFonts w:ascii="Sylfaen" w:hAnsi="Sylfaen"/>
                <w:sz w:val="18"/>
                <w:szCs w:val="20"/>
                <w:lang w:val="ka-GE"/>
              </w:rPr>
            </w:pPr>
            <w:r w:rsidRPr="001F2C5A">
              <w:rPr>
                <w:rFonts w:ascii="Times New Roman" w:hAnsi="Times New Roman"/>
                <w:spacing w:val="-2"/>
                <w:sz w:val="18"/>
              </w:rPr>
              <w:t>Kocks Consult GMBH</w:t>
            </w:r>
            <w:r w:rsidR="00CD14D3" w:rsidRPr="001F2C5A">
              <w:rPr>
                <w:rFonts w:ascii="Sylfaen" w:hAnsi="Sylfaen"/>
                <w:sz w:val="18"/>
                <w:szCs w:val="20"/>
                <w:lang w:val="ka-GE"/>
              </w:rPr>
              <w:t>-ს მიერ დაქირავებული კონტრაქტორი</w:t>
            </w:r>
          </w:p>
        </w:tc>
        <w:tc>
          <w:tcPr>
            <w:tcW w:w="636" w:type="pct"/>
            <w:tcBorders>
              <w:top w:val="single" w:sz="4" w:space="0" w:color="auto"/>
              <w:left w:val="single" w:sz="4" w:space="0" w:color="auto"/>
              <w:bottom w:val="single" w:sz="4" w:space="0" w:color="auto"/>
              <w:right w:val="single" w:sz="4" w:space="0" w:color="auto"/>
            </w:tcBorders>
            <w:hideMark/>
          </w:tcPr>
          <w:p w14:paraId="7EDA1A7A" w14:textId="77777777" w:rsidR="005D37FA" w:rsidRPr="001F2C5A" w:rsidRDefault="005D37FA" w:rsidP="005D37FA">
            <w:pPr>
              <w:rPr>
                <w:rFonts w:ascii="Sylfaen" w:hAnsi="Sylfaen"/>
                <w:sz w:val="18"/>
                <w:szCs w:val="20"/>
                <w:lang w:val="ka-GE"/>
              </w:rPr>
            </w:pPr>
            <w:r w:rsidRPr="001F2C5A">
              <w:rPr>
                <w:rFonts w:ascii="Sylfaen" w:hAnsi="Sylfaen"/>
                <w:sz w:val="18"/>
                <w:szCs w:val="20"/>
                <w:lang w:val="ka-GE"/>
              </w:rPr>
              <w:t xml:space="preserve">სგდ </w:t>
            </w:r>
          </w:p>
          <w:p w14:paraId="1036BD13" w14:textId="149B5192" w:rsidR="00CD14D3" w:rsidRPr="001F2C5A" w:rsidRDefault="00092B73" w:rsidP="006075CD">
            <w:pPr>
              <w:autoSpaceDE w:val="0"/>
              <w:autoSpaceDN w:val="0"/>
              <w:adjustRightInd w:val="0"/>
              <w:rPr>
                <w:rFonts w:ascii="Sylfaen" w:hAnsi="Sylfaen"/>
                <w:sz w:val="18"/>
                <w:szCs w:val="20"/>
                <w:lang w:val="ka-GE"/>
              </w:rPr>
            </w:pPr>
            <w:r w:rsidRPr="001F2C5A">
              <w:rPr>
                <w:rFonts w:ascii="Sylfaen" w:hAnsi="Sylfaen"/>
                <w:color w:val="000000"/>
                <w:sz w:val="18"/>
                <w:szCs w:val="20"/>
                <w:lang w:val="ka-GE" w:eastAsia="da-DK"/>
              </w:rPr>
              <w:t>მშენებლობის ზედამხედველი</w:t>
            </w:r>
          </w:p>
        </w:tc>
      </w:tr>
      <w:tr w:rsidR="00CD14D3" w:rsidRPr="008E0D40" w14:paraId="3E268BF1" w14:textId="77777777" w:rsidTr="001F2C5A">
        <w:tc>
          <w:tcPr>
            <w:tcW w:w="578" w:type="pct"/>
            <w:tcBorders>
              <w:top w:val="single" w:sz="4" w:space="0" w:color="auto"/>
              <w:left w:val="single" w:sz="4" w:space="0" w:color="auto"/>
              <w:bottom w:val="single" w:sz="4" w:space="0" w:color="auto"/>
              <w:right w:val="single" w:sz="4" w:space="0" w:color="auto"/>
            </w:tcBorders>
            <w:hideMark/>
          </w:tcPr>
          <w:p w14:paraId="65D8DE3C" w14:textId="77777777" w:rsidR="00CD14D3" w:rsidRPr="001F2C5A" w:rsidRDefault="00CD14D3" w:rsidP="006075CD">
            <w:pPr>
              <w:autoSpaceDE w:val="0"/>
              <w:autoSpaceDN w:val="0"/>
              <w:adjustRightInd w:val="0"/>
              <w:rPr>
                <w:rFonts w:ascii="Sylfaen" w:hAnsi="Sylfaen"/>
                <w:sz w:val="18"/>
                <w:szCs w:val="20"/>
                <w:lang w:val="ka-GE"/>
              </w:rPr>
            </w:pPr>
            <w:r w:rsidRPr="001F2C5A">
              <w:rPr>
                <w:rFonts w:ascii="Sylfaen" w:hAnsi="Sylfaen"/>
                <w:sz w:val="18"/>
                <w:szCs w:val="20"/>
                <w:lang w:val="ka-GE"/>
              </w:rPr>
              <w:t>ლანდშაფტის ვიზუალური ცვლილება</w:t>
            </w:r>
          </w:p>
        </w:tc>
        <w:tc>
          <w:tcPr>
            <w:tcW w:w="3164" w:type="pct"/>
            <w:tcBorders>
              <w:top w:val="single" w:sz="4" w:space="0" w:color="auto"/>
              <w:left w:val="single" w:sz="4" w:space="0" w:color="auto"/>
              <w:bottom w:val="single" w:sz="4" w:space="0" w:color="auto"/>
              <w:right w:val="single" w:sz="4" w:space="0" w:color="auto"/>
            </w:tcBorders>
            <w:hideMark/>
          </w:tcPr>
          <w:p w14:paraId="4BD2A100" w14:textId="77777777" w:rsidR="00CD14D3" w:rsidRPr="001F2C5A" w:rsidRDefault="00CD14D3" w:rsidP="00821E4D">
            <w:pPr>
              <w:numPr>
                <w:ilvl w:val="0"/>
                <w:numId w:val="33"/>
              </w:numPr>
              <w:autoSpaceDE w:val="0"/>
              <w:autoSpaceDN w:val="0"/>
              <w:adjustRightInd w:val="0"/>
              <w:ind w:left="200" w:hanging="200"/>
              <w:contextualSpacing/>
              <w:rPr>
                <w:rFonts w:ascii="Sylfaen" w:hAnsi="Sylfaen"/>
                <w:sz w:val="18"/>
                <w:szCs w:val="20"/>
                <w:lang w:val="ka-GE"/>
              </w:rPr>
            </w:pPr>
            <w:r w:rsidRPr="001F2C5A">
              <w:rPr>
                <w:rFonts w:ascii="Sylfaen" w:hAnsi="Sylfaen"/>
                <w:sz w:val="18"/>
                <w:szCs w:val="20"/>
                <w:lang w:val="ka-GE"/>
              </w:rPr>
              <w:t xml:space="preserve">დიზაინის, ფერის და ფორმის შერჩევა ლანდშაფტის თავისებურებების გათვალისწინებით. </w:t>
            </w:r>
          </w:p>
        </w:tc>
        <w:tc>
          <w:tcPr>
            <w:tcW w:w="622" w:type="pct"/>
            <w:tcBorders>
              <w:top w:val="single" w:sz="4" w:space="0" w:color="auto"/>
              <w:left w:val="single" w:sz="4" w:space="0" w:color="auto"/>
              <w:bottom w:val="single" w:sz="4" w:space="0" w:color="auto"/>
              <w:right w:val="single" w:sz="4" w:space="0" w:color="auto"/>
            </w:tcBorders>
            <w:hideMark/>
          </w:tcPr>
          <w:p w14:paraId="6A776AD8" w14:textId="77777777" w:rsidR="00CD14D3" w:rsidRPr="001F2C5A" w:rsidRDefault="005D37FA" w:rsidP="006075CD">
            <w:pPr>
              <w:autoSpaceDE w:val="0"/>
              <w:autoSpaceDN w:val="0"/>
              <w:adjustRightInd w:val="0"/>
              <w:rPr>
                <w:rFonts w:ascii="Sylfaen" w:hAnsi="Sylfaen"/>
                <w:sz w:val="18"/>
                <w:szCs w:val="20"/>
                <w:lang w:val="ka-GE"/>
              </w:rPr>
            </w:pPr>
            <w:r w:rsidRPr="001F2C5A">
              <w:rPr>
                <w:rFonts w:ascii="Times New Roman" w:hAnsi="Times New Roman"/>
                <w:spacing w:val="-2"/>
                <w:sz w:val="18"/>
              </w:rPr>
              <w:t>Kocks Consult GMBH</w:t>
            </w:r>
          </w:p>
        </w:tc>
        <w:tc>
          <w:tcPr>
            <w:tcW w:w="636" w:type="pct"/>
            <w:tcBorders>
              <w:top w:val="single" w:sz="4" w:space="0" w:color="auto"/>
              <w:left w:val="single" w:sz="4" w:space="0" w:color="auto"/>
              <w:bottom w:val="single" w:sz="4" w:space="0" w:color="auto"/>
              <w:right w:val="single" w:sz="4" w:space="0" w:color="auto"/>
            </w:tcBorders>
            <w:hideMark/>
          </w:tcPr>
          <w:p w14:paraId="024AC540" w14:textId="77777777" w:rsidR="005D37FA" w:rsidRPr="001F2C5A" w:rsidRDefault="005D37FA" w:rsidP="005D37FA">
            <w:pPr>
              <w:rPr>
                <w:rFonts w:ascii="Sylfaen" w:hAnsi="Sylfaen"/>
                <w:sz w:val="18"/>
                <w:szCs w:val="20"/>
                <w:lang w:val="ka-GE"/>
              </w:rPr>
            </w:pPr>
            <w:r w:rsidRPr="001F2C5A">
              <w:rPr>
                <w:rFonts w:ascii="Sylfaen" w:hAnsi="Sylfaen"/>
                <w:sz w:val="18"/>
                <w:szCs w:val="20"/>
                <w:lang w:val="ka-GE"/>
              </w:rPr>
              <w:t xml:space="preserve">სგდ </w:t>
            </w:r>
          </w:p>
          <w:p w14:paraId="097DE77E" w14:textId="2AD9669F" w:rsidR="00CD14D3" w:rsidRPr="001F2C5A" w:rsidRDefault="00092B73" w:rsidP="006075CD">
            <w:pPr>
              <w:autoSpaceDE w:val="0"/>
              <w:autoSpaceDN w:val="0"/>
              <w:adjustRightInd w:val="0"/>
              <w:rPr>
                <w:rFonts w:ascii="Sylfaen" w:hAnsi="Sylfaen"/>
                <w:sz w:val="18"/>
                <w:szCs w:val="20"/>
                <w:lang w:val="ka-GE"/>
              </w:rPr>
            </w:pPr>
            <w:r w:rsidRPr="001F2C5A">
              <w:rPr>
                <w:rFonts w:ascii="Sylfaen" w:hAnsi="Sylfaen"/>
                <w:color w:val="000000"/>
                <w:sz w:val="18"/>
                <w:szCs w:val="20"/>
                <w:lang w:val="ka-GE" w:eastAsia="da-DK"/>
              </w:rPr>
              <w:t>მშენებლობის ზედამხედველი</w:t>
            </w:r>
          </w:p>
        </w:tc>
      </w:tr>
    </w:tbl>
    <w:p w14:paraId="0907B7BB" w14:textId="4CE38009" w:rsidR="0071033A" w:rsidRPr="001F2C5A" w:rsidRDefault="00CD14D3" w:rsidP="001F2C5A">
      <w:pPr>
        <w:spacing w:after="120"/>
        <w:rPr>
          <w:rFonts w:ascii="Sylfaen" w:hAnsi="Sylfaen" w:cs="Arial"/>
          <w:b/>
          <w:sz w:val="24"/>
          <w:lang w:eastAsia="hr-BA"/>
        </w:rPr>
      </w:pPr>
      <w:r>
        <w:br w:type="page"/>
      </w:r>
      <w:r w:rsidR="0071033A" w:rsidRPr="001F2C5A">
        <w:rPr>
          <w:rFonts w:ascii="Sylfaen" w:hAnsi="Sylfaen" w:cs="Arial"/>
          <w:b/>
          <w:lang w:eastAsia="hr-BA"/>
        </w:rPr>
        <w:lastRenderedPageBreak/>
        <w:t>სამშენებლო ფაზა</w:t>
      </w:r>
    </w:p>
    <w:tbl>
      <w:tblPr>
        <w:tblpPr w:leftFromText="180" w:rightFromText="180" w:vertAnchor="text" w:tblpX="-645" w:tblpY="1"/>
        <w:tblOverlap w:val="never"/>
        <w:tblW w:w="15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620"/>
        <w:gridCol w:w="7200"/>
        <w:gridCol w:w="2070"/>
        <w:gridCol w:w="1260"/>
        <w:gridCol w:w="1350"/>
      </w:tblGrid>
      <w:tr w:rsidR="0071033A" w:rsidRPr="001F2C5A" w14:paraId="526CC843" w14:textId="77777777" w:rsidTr="001F2C5A">
        <w:trPr>
          <w:trHeight w:val="620"/>
          <w:tblHeader/>
        </w:trPr>
        <w:tc>
          <w:tcPr>
            <w:tcW w:w="1525" w:type="dxa"/>
            <w:tcBorders>
              <w:bottom w:val="single" w:sz="4" w:space="0" w:color="auto"/>
            </w:tcBorders>
            <w:shd w:val="clear" w:color="auto" w:fill="D9D9D9" w:themeFill="background1" w:themeFillShade="D9"/>
            <w:vAlign w:val="center"/>
          </w:tcPr>
          <w:p w14:paraId="08203D08" w14:textId="77777777" w:rsidR="0071033A" w:rsidRPr="001F2C5A" w:rsidRDefault="0071033A" w:rsidP="002B56CC">
            <w:pPr>
              <w:contextualSpacing/>
              <w:jc w:val="center"/>
              <w:rPr>
                <w:rFonts w:ascii="Sylfaen" w:hAnsi="Sylfaen" w:cs="Arial"/>
                <w:b/>
                <w:sz w:val="18"/>
                <w:szCs w:val="18"/>
              </w:rPr>
            </w:pPr>
            <w:r w:rsidRPr="001F2C5A">
              <w:rPr>
                <w:rFonts w:ascii="Sylfaen" w:hAnsi="Sylfaen" w:cs="Arial"/>
                <w:b/>
                <w:sz w:val="18"/>
                <w:szCs w:val="18"/>
              </w:rPr>
              <w:t>აქტივობა</w:t>
            </w:r>
          </w:p>
        </w:tc>
        <w:tc>
          <w:tcPr>
            <w:tcW w:w="1620" w:type="dxa"/>
            <w:tcBorders>
              <w:bottom w:val="single" w:sz="4" w:space="0" w:color="auto"/>
            </w:tcBorders>
            <w:shd w:val="clear" w:color="auto" w:fill="D9D9D9" w:themeFill="background1" w:themeFillShade="D9"/>
            <w:vAlign w:val="center"/>
          </w:tcPr>
          <w:p w14:paraId="57D202F1" w14:textId="77777777" w:rsidR="0071033A" w:rsidRPr="001F2C5A" w:rsidRDefault="0071033A" w:rsidP="002B56CC">
            <w:pPr>
              <w:contextualSpacing/>
              <w:jc w:val="center"/>
              <w:rPr>
                <w:rFonts w:ascii="Sylfaen" w:hAnsi="Sylfaen" w:cs="Arial"/>
                <w:b/>
                <w:sz w:val="18"/>
                <w:szCs w:val="18"/>
              </w:rPr>
            </w:pPr>
            <w:r w:rsidRPr="001F2C5A">
              <w:rPr>
                <w:rFonts w:ascii="Sylfaen" w:hAnsi="Sylfaen" w:cs="Arial"/>
                <w:b/>
                <w:sz w:val="18"/>
                <w:szCs w:val="18"/>
              </w:rPr>
              <w:t>პოტენციური ზემოქმედება</w:t>
            </w:r>
          </w:p>
        </w:tc>
        <w:tc>
          <w:tcPr>
            <w:tcW w:w="7200" w:type="dxa"/>
            <w:tcBorders>
              <w:bottom w:val="single" w:sz="4" w:space="0" w:color="auto"/>
            </w:tcBorders>
            <w:shd w:val="clear" w:color="auto" w:fill="D9D9D9" w:themeFill="background1" w:themeFillShade="D9"/>
            <w:vAlign w:val="center"/>
          </w:tcPr>
          <w:p w14:paraId="2EC7C9BE" w14:textId="77777777" w:rsidR="0071033A" w:rsidRPr="001F2C5A" w:rsidRDefault="0071033A" w:rsidP="002B56CC">
            <w:pPr>
              <w:contextualSpacing/>
              <w:jc w:val="center"/>
              <w:rPr>
                <w:rFonts w:ascii="Sylfaen" w:hAnsi="Sylfaen" w:cs="Arial"/>
                <w:b/>
                <w:sz w:val="18"/>
                <w:szCs w:val="18"/>
                <w:lang w:val="ka-GE"/>
              </w:rPr>
            </w:pPr>
            <w:r w:rsidRPr="001F2C5A">
              <w:rPr>
                <w:rFonts w:ascii="Sylfaen" w:hAnsi="Sylfaen" w:cs="Arial"/>
                <w:b/>
                <w:sz w:val="18"/>
                <w:szCs w:val="18"/>
                <w:lang w:val="ka-GE"/>
              </w:rPr>
              <w:t>შემსუბუქების ღონისძიებები</w:t>
            </w:r>
          </w:p>
        </w:tc>
        <w:tc>
          <w:tcPr>
            <w:tcW w:w="2070" w:type="dxa"/>
            <w:tcBorders>
              <w:bottom w:val="single" w:sz="4" w:space="0" w:color="auto"/>
            </w:tcBorders>
            <w:shd w:val="clear" w:color="auto" w:fill="D9D9D9" w:themeFill="background1" w:themeFillShade="D9"/>
            <w:vAlign w:val="center"/>
          </w:tcPr>
          <w:p w14:paraId="419350F8" w14:textId="77777777" w:rsidR="0071033A" w:rsidRPr="001F2C5A" w:rsidRDefault="0071033A" w:rsidP="002B56CC">
            <w:pPr>
              <w:contextualSpacing/>
              <w:jc w:val="center"/>
              <w:rPr>
                <w:rFonts w:ascii="Sylfaen" w:hAnsi="Sylfaen" w:cs="Arial"/>
                <w:b/>
                <w:sz w:val="18"/>
                <w:szCs w:val="18"/>
                <w:lang w:val="ka-GE"/>
              </w:rPr>
            </w:pPr>
            <w:r w:rsidRPr="001F2C5A">
              <w:rPr>
                <w:rFonts w:ascii="Sylfaen" w:hAnsi="Sylfaen" w:cs="Arial"/>
                <w:b/>
                <w:sz w:val="18"/>
                <w:szCs w:val="18"/>
                <w:lang w:val="ka-GE"/>
              </w:rPr>
              <w:t>შემსუბუქების ღირებულება</w:t>
            </w:r>
          </w:p>
        </w:tc>
        <w:tc>
          <w:tcPr>
            <w:tcW w:w="1260" w:type="dxa"/>
            <w:tcBorders>
              <w:bottom w:val="single" w:sz="4" w:space="0" w:color="auto"/>
            </w:tcBorders>
            <w:shd w:val="clear" w:color="auto" w:fill="D9D9D9" w:themeFill="background1" w:themeFillShade="D9"/>
            <w:vAlign w:val="center"/>
          </w:tcPr>
          <w:p w14:paraId="4B9616DB" w14:textId="77777777" w:rsidR="0071033A" w:rsidRPr="001F2C5A" w:rsidRDefault="0071033A" w:rsidP="002B56CC">
            <w:pPr>
              <w:contextualSpacing/>
              <w:jc w:val="center"/>
              <w:rPr>
                <w:rFonts w:ascii="Sylfaen" w:hAnsi="Sylfaen" w:cs="Arial"/>
                <w:b/>
                <w:sz w:val="18"/>
                <w:szCs w:val="18"/>
                <w:lang w:val="ka-GE"/>
              </w:rPr>
            </w:pPr>
            <w:r w:rsidRPr="001F2C5A">
              <w:rPr>
                <w:rFonts w:ascii="Sylfaen" w:hAnsi="Sylfaen" w:cs="Arial"/>
                <w:b/>
                <w:sz w:val="18"/>
                <w:szCs w:val="18"/>
                <w:lang w:val="ka-GE"/>
              </w:rPr>
              <w:t>პასუხისმგებლობა შემსუბუქების ღონისძიებებზე</w:t>
            </w:r>
          </w:p>
        </w:tc>
        <w:tc>
          <w:tcPr>
            <w:tcW w:w="1350" w:type="dxa"/>
            <w:tcBorders>
              <w:bottom w:val="single" w:sz="4" w:space="0" w:color="auto"/>
            </w:tcBorders>
            <w:shd w:val="clear" w:color="auto" w:fill="D9D9D9" w:themeFill="background1" w:themeFillShade="D9"/>
            <w:vAlign w:val="center"/>
          </w:tcPr>
          <w:p w14:paraId="57F7A474" w14:textId="77777777" w:rsidR="0071033A" w:rsidRPr="001F2C5A" w:rsidRDefault="0071033A" w:rsidP="002B56CC">
            <w:pPr>
              <w:contextualSpacing/>
              <w:jc w:val="center"/>
              <w:rPr>
                <w:rFonts w:ascii="Sylfaen" w:hAnsi="Sylfaen" w:cs="Arial"/>
                <w:b/>
                <w:sz w:val="18"/>
                <w:szCs w:val="18"/>
                <w:lang w:val="ka-GE"/>
              </w:rPr>
            </w:pPr>
            <w:r w:rsidRPr="001F2C5A">
              <w:rPr>
                <w:rFonts w:ascii="Sylfaen" w:hAnsi="Sylfaen" w:cs="Arial"/>
                <w:b/>
                <w:sz w:val="18"/>
                <w:szCs w:val="18"/>
                <w:lang w:val="ka-GE"/>
              </w:rPr>
              <w:t>პასუხისმგებლობა მონიტორინგზე</w:t>
            </w:r>
          </w:p>
        </w:tc>
      </w:tr>
      <w:tr w:rsidR="0071033A" w:rsidRPr="001F2C5A" w14:paraId="190F0A3B" w14:textId="77777777" w:rsidTr="001F2C5A">
        <w:trPr>
          <w:trHeight w:val="1793"/>
        </w:trPr>
        <w:tc>
          <w:tcPr>
            <w:tcW w:w="1525" w:type="dxa"/>
            <w:shd w:val="clear" w:color="auto" w:fill="FFFFFF" w:themeFill="background1"/>
          </w:tcPr>
          <w:p w14:paraId="324B8F2D" w14:textId="77777777" w:rsidR="0071033A" w:rsidRPr="001F2C5A" w:rsidRDefault="0071033A" w:rsidP="002B56CC">
            <w:pPr>
              <w:suppressAutoHyphens/>
              <w:rPr>
                <w:rFonts w:ascii="Sylfaen" w:hAnsi="Sylfaen" w:cs="Arial"/>
                <w:sz w:val="18"/>
                <w:szCs w:val="18"/>
                <w:lang w:val="ka-GE"/>
              </w:rPr>
            </w:pPr>
            <w:r w:rsidRPr="001F2C5A">
              <w:rPr>
                <w:rFonts w:ascii="Sylfaen" w:hAnsi="Sylfaen" w:cs="Arial"/>
                <w:spacing w:val="-1"/>
                <w:sz w:val="18"/>
                <w:szCs w:val="18"/>
                <w:lang w:val="ka-GE"/>
              </w:rPr>
              <w:t>მოედნის გაწმენდა</w:t>
            </w:r>
          </w:p>
        </w:tc>
        <w:tc>
          <w:tcPr>
            <w:tcW w:w="1620" w:type="dxa"/>
            <w:shd w:val="clear" w:color="auto" w:fill="FFFFFF" w:themeFill="background1"/>
          </w:tcPr>
          <w:p w14:paraId="17C08D36" w14:textId="77777777" w:rsidR="0071033A" w:rsidRPr="001F2C5A" w:rsidRDefault="0071033A" w:rsidP="002B56CC">
            <w:pPr>
              <w:autoSpaceDE w:val="0"/>
              <w:autoSpaceDN w:val="0"/>
              <w:adjustRightInd w:val="0"/>
              <w:rPr>
                <w:rFonts w:ascii="Sylfaen" w:hAnsi="Sylfaen" w:cs="Arial"/>
                <w:sz w:val="18"/>
                <w:szCs w:val="18"/>
              </w:rPr>
            </w:pPr>
            <w:r w:rsidRPr="001F2C5A">
              <w:rPr>
                <w:rFonts w:ascii="Sylfaen" w:hAnsi="Sylfaen" w:cs="Arial"/>
                <w:spacing w:val="-1"/>
                <w:sz w:val="18"/>
                <w:szCs w:val="18"/>
              </w:rPr>
              <w:t>ბალახისა და სხვა მცენარეული მცენარეების მოშორება (მოჭრა), ბუჩქებისა და ხეების მოჭრის და მოშორების ღონისძიებები.</w:t>
            </w:r>
          </w:p>
        </w:tc>
        <w:tc>
          <w:tcPr>
            <w:tcW w:w="7200" w:type="dxa"/>
            <w:shd w:val="clear" w:color="auto" w:fill="FFFFFF" w:themeFill="background1"/>
          </w:tcPr>
          <w:p w14:paraId="50F61E9E" w14:textId="77777777" w:rsidR="0071033A" w:rsidRPr="001F2C5A" w:rsidRDefault="0071033A" w:rsidP="00821E4D">
            <w:pPr>
              <w:pStyle w:val="ListParagraph"/>
              <w:widowControl w:val="0"/>
              <w:numPr>
                <w:ilvl w:val="0"/>
                <w:numId w:val="25"/>
              </w:numPr>
              <w:tabs>
                <w:tab w:val="left" w:pos="157"/>
              </w:tabs>
              <w:spacing w:after="0" w:line="240" w:lineRule="auto"/>
              <w:ind w:left="166" w:right="330" w:hanging="180"/>
              <w:jc w:val="left"/>
              <w:rPr>
                <w:rFonts w:cs="Arial"/>
                <w:sz w:val="18"/>
                <w:szCs w:val="18"/>
              </w:rPr>
            </w:pPr>
            <w:r w:rsidRPr="001F2C5A">
              <w:rPr>
                <w:rFonts w:cs="Arial"/>
                <w:spacing w:val="-1"/>
                <w:sz w:val="18"/>
                <w:szCs w:val="18"/>
              </w:rPr>
              <w:t>ხეების იდენტიფიცირება მოჭრის ან გადანერგვის მიზნით; ხიდების მშენებლობისას განსაკუთრებული ყურადღება უნდა მიექცეს მდინარეების გასწვრივ მცენარის სახეობების დაცვას.</w:t>
            </w:r>
          </w:p>
          <w:p w14:paraId="0D01709D" w14:textId="77777777" w:rsidR="0071033A" w:rsidRPr="001F2C5A" w:rsidRDefault="0071033A" w:rsidP="00821E4D">
            <w:pPr>
              <w:pStyle w:val="ListParagraph"/>
              <w:widowControl w:val="0"/>
              <w:numPr>
                <w:ilvl w:val="0"/>
                <w:numId w:val="25"/>
              </w:numPr>
              <w:tabs>
                <w:tab w:val="left" w:pos="157"/>
              </w:tabs>
              <w:spacing w:after="0" w:line="240" w:lineRule="auto"/>
              <w:ind w:left="166" w:right="133" w:hanging="180"/>
              <w:jc w:val="left"/>
              <w:rPr>
                <w:rFonts w:cs="Arial"/>
                <w:sz w:val="18"/>
                <w:szCs w:val="18"/>
              </w:rPr>
            </w:pPr>
            <w:r w:rsidRPr="001F2C5A">
              <w:rPr>
                <w:rFonts w:cs="Arial"/>
                <w:spacing w:val="-1"/>
                <w:sz w:val="18"/>
                <w:szCs w:val="18"/>
              </w:rPr>
              <w:t>განსაკუთრებული საჭიროების გარეშე ხეების ჭრის და დაზიანების თავიდან ცილება. მცენარეული საფარის</w:t>
            </w:r>
            <w:r w:rsidRPr="001F2C5A">
              <w:rPr>
                <w:rFonts w:cs="Arial"/>
                <w:spacing w:val="-1"/>
                <w:sz w:val="18"/>
                <w:szCs w:val="18"/>
                <w:lang w:val="ka-GE"/>
              </w:rPr>
              <w:t xml:space="preserve"> შეძლებისდაგვარად </w:t>
            </w:r>
            <w:r w:rsidRPr="001F2C5A">
              <w:rPr>
                <w:rFonts w:cs="Arial"/>
                <w:spacing w:val="-1"/>
                <w:sz w:val="18"/>
                <w:szCs w:val="18"/>
              </w:rPr>
              <w:t>შენარჩუნება.</w:t>
            </w:r>
          </w:p>
          <w:p w14:paraId="0B49E904" w14:textId="77777777" w:rsidR="0071033A" w:rsidRPr="001F2C5A" w:rsidRDefault="0071033A" w:rsidP="00821E4D">
            <w:pPr>
              <w:pStyle w:val="ListParagraph"/>
              <w:numPr>
                <w:ilvl w:val="0"/>
                <w:numId w:val="25"/>
              </w:numPr>
              <w:tabs>
                <w:tab w:val="left" w:pos="157"/>
                <w:tab w:val="num" w:pos="720"/>
              </w:tabs>
              <w:suppressAutoHyphens/>
              <w:spacing w:after="0" w:line="240" w:lineRule="auto"/>
              <w:ind w:left="157" w:hanging="180"/>
              <w:jc w:val="left"/>
              <w:rPr>
                <w:rFonts w:cs="Arial"/>
                <w:sz w:val="18"/>
                <w:szCs w:val="18"/>
              </w:rPr>
            </w:pPr>
            <w:r w:rsidRPr="001F2C5A">
              <w:rPr>
                <w:rFonts w:cs="Segoe UI"/>
                <w:color w:val="000000"/>
                <w:sz w:val="18"/>
                <w:szCs w:val="18"/>
                <w:shd w:val="clear" w:color="auto" w:fill="FFFFFF"/>
              </w:rPr>
              <w:t>ყოველი გატანილი ხე კომპენსირებული უნდა იქნეს იმავე სახეობის 3 ახალი ხის დარგვით და მოვლით მიმდებარედ, ან მშენებლობის დასრულების და დროებით გამოყენებული ადგილების რეკულტივაციის შემდეგ</w:t>
            </w:r>
            <w:r w:rsidRPr="001F2C5A">
              <w:rPr>
                <w:rFonts w:cs="Arial"/>
                <w:spacing w:val="-1"/>
                <w:sz w:val="18"/>
                <w:szCs w:val="18"/>
              </w:rPr>
              <w:t>.</w:t>
            </w:r>
          </w:p>
          <w:p w14:paraId="2D7CF7DA" w14:textId="77777777" w:rsidR="0071033A" w:rsidRPr="001F2C5A" w:rsidRDefault="0071033A" w:rsidP="002B56CC">
            <w:pPr>
              <w:pStyle w:val="ListParagraph"/>
              <w:tabs>
                <w:tab w:val="left" w:pos="157"/>
                <w:tab w:val="num" w:pos="720"/>
              </w:tabs>
              <w:suppressAutoHyphens/>
              <w:spacing w:line="240" w:lineRule="auto"/>
              <w:ind w:left="157"/>
              <w:rPr>
                <w:rFonts w:cs="Arial"/>
                <w:sz w:val="18"/>
                <w:szCs w:val="18"/>
              </w:rPr>
            </w:pPr>
          </w:p>
        </w:tc>
        <w:tc>
          <w:tcPr>
            <w:tcW w:w="2070" w:type="dxa"/>
            <w:shd w:val="clear" w:color="auto" w:fill="FFFFFF" w:themeFill="background1"/>
          </w:tcPr>
          <w:p w14:paraId="2E3D1EEB" w14:textId="77777777" w:rsidR="0071033A" w:rsidRPr="001F2C5A" w:rsidRDefault="0071033A" w:rsidP="002B56CC">
            <w:pPr>
              <w:autoSpaceDE w:val="0"/>
              <w:autoSpaceDN w:val="0"/>
              <w:adjustRightInd w:val="0"/>
              <w:rPr>
                <w:rFonts w:ascii="Sylfaen" w:hAnsi="Sylfaen" w:cs="Arial"/>
                <w:sz w:val="18"/>
                <w:szCs w:val="18"/>
              </w:rPr>
            </w:pPr>
            <w:r w:rsidRPr="001F2C5A">
              <w:rPr>
                <w:rFonts w:ascii="Sylfaen" w:hAnsi="Sylfaen" w:cs="Arial"/>
                <w:spacing w:val="-1"/>
                <w:sz w:val="18"/>
                <w:szCs w:val="18"/>
              </w:rPr>
              <w:t>ღირებულება განისაზღვრება კონკრეტული შემთხვევის საფუძველზე, გატანილი მცენარეთა სახეობების გათვალისწინებით</w:t>
            </w:r>
          </w:p>
        </w:tc>
        <w:tc>
          <w:tcPr>
            <w:tcW w:w="1260" w:type="dxa"/>
            <w:shd w:val="clear" w:color="auto" w:fill="FFFFFF" w:themeFill="background1"/>
            <w:vAlign w:val="center"/>
          </w:tcPr>
          <w:p w14:paraId="79D7E41A" w14:textId="77777777" w:rsidR="0071033A" w:rsidRPr="001F2C5A" w:rsidRDefault="0071033A" w:rsidP="002B56CC">
            <w:pPr>
              <w:autoSpaceDE w:val="0"/>
              <w:autoSpaceDN w:val="0"/>
              <w:adjustRightInd w:val="0"/>
              <w:contextualSpacing/>
              <w:jc w:val="center"/>
              <w:rPr>
                <w:rFonts w:ascii="Sylfaen" w:hAnsi="Sylfaen" w:cs="Arial"/>
                <w:sz w:val="18"/>
                <w:szCs w:val="18"/>
              </w:rPr>
            </w:pPr>
            <w:r w:rsidRPr="001F2C5A">
              <w:rPr>
                <w:rFonts w:ascii="Sylfaen" w:hAnsi="Sylfaen" w:cs="Arial"/>
                <w:sz w:val="18"/>
                <w:szCs w:val="18"/>
              </w:rPr>
              <w:t>სამშენებლო კონტრაქტორი(</w:t>
            </w:r>
            <w:r w:rsidRPr="001F2C5A">
              <w:rPr>
                <w:rFonts w:ascii="Sylfaen" w:hAnsi="Sylfaen" w:cs="Arial"/>
                <w:sz w:val="18"/>
                <w:szCs w:val="18"/>
                <w:lang w:val="ka-GE"/>
              </w:rPr>
              <w:t>სკ</w:t>
            </w:r>
            <w:r w:rsidRPr="001F2C5A">
              <w:rPr>
                <w:rFonts w:ascii="Sylfaen" w:hAnsi="Sylfaen" w:cs="Arial"/>
                <w:sz w:val="18"/>
                <w:szCs w:val="18"/>
              </w:rPr>
              <w:t>)</w:t>
            </w:r>
          </w:p>
        </w:tc>
        <w:tc>
          <w:tcPr>
            <w:tcW w:w="1350" w:type="dxa"/>
            <w:shd w:val="clear" w:color="auto" w:fill="FFFFFF" w:themeFill="background1"/>
            <w:vAlign w:val="center"/>
          </w:tcPr>
          <w:p w14:paraId="6A56A544" w14:textId="77777777" w:rsidR="0071033A" w:rsidRPr="001F2C5A" w:rsidRDefault="0071033A" w:rsidP="002B56CC">
            <w:pPr>
              <w:autoSpaceDE w:val="0"/>
              <w:autoSpaceDN w:val="0"/>
              <w:adjustRightInd w:val="0"/>
              <w:contextualSpacing/>
              <w:jc w:val="center"/>
              <w:rPr>
                <w:rFonts w:ascii="Sylfaen" w:hAnsi="Sylfaen" w:cs="Arial"/>
                <w:sz w:val="18"/>
                <w:szCs w:val="18"/>
              </w:rPr>
            </w:pPr>
            <w:r w:rsidRPr="001F2C5A">
              <w:rPr>
                <w:rFonts w:ascii="Sylfaen" w:hAnsi="Sylfaen"/>
                <w:sz w:val="18"/>
                <w:szCs w:val="18"/>
                <w:lang w:val="ka-GE"/>
              </w:rPr>
              <w:t>საავტომობილო გზების დეპარტამენტი</w:t>
            </w:r>
            <w:r w:rsidRPr="001F2C5A">
              <w:rPr>
                <w:rFonts w:ascii="Sylfaen" w:hAnsi="Sylfaen" w:cs="Arial"/>
                <w:sz w:val="18"/>
                <w:szCs w:val="18"/>
              </w:rPr>
              <w:t>(</w:t>
            </w:r>
            <w:r w:rsidRPr="001F2C5A">
              <w:rPr>
                <w:rFonts w:ascii="Sylfaen" w:hAnsi="Sylfaen" w:cs="Arial"/>
                <w:sz w:val="18"/>
                <w:szCs w:val="18"/>
                <w:lang w:val="ka-GE"/>
              </w:rPr>
              <w:t>სგდ</w:t>
            </w:r>
            <w:r w:rsidRPr="001F2C5A">
              <w:rPr>
                <w:rFonts w:ascii="Sylfaen" w:hAnsi="Sylfaen" w:cs="Arial"/>
                <w:sz w:val="18"/>
                <w:szCs w:val="18"/>
              </w:rPr>
              <w:t>)</w:t>
            </w:r>
          </w:p>
        </w:tc>
      </w:tr>
      <w:tr w:rsidR="0071033A" w:rsidRPr="001F2C5A" w14:paraId="7AD3DC29" w14:textId="77777777" w:rsidTr="001F2C5A">
        <w:trPr>
          <w:trHeight w:val="359"/>
        </w:trPr>
        <w:tc>
          <w:tcPr>
            <w:tcW w:w="1525" w:type="dxa"/>
            <w:shd w:val="clear" w:color="auto" w:fill="FFFFFF" w:themeFill="background1"/>
          </w:tcPr>
          <w:p w14:paraId="71083BD1" w14:textId="77777777" w:rsidR="0071033A" w:rsidRPr="001F2C5A" w:rsidRDefault="0071033A" w:rsidP="002B56CC">
            <w:pPr>
              <w:suppressAutoHyphens/>
              <w:contextualSpacing/>
              <w:rPr>
                <w:rFonts w:ascii="Sylfaen" w:hAnsi="Sylfaen" w:cs="Arial"/>
                <w:sz w:val="18"/>
                <w:szCs w:val="18"/>
                <w:lang w:val="ka-GE" w:eastAsia="ar-SA"/>
              </w:rPr>
            </w:pPr>
            <w:r w:rsidRPr="001F2C5A">
              <w:rPr>
                <w:rFonts w:ascii="Sylfaen" w:hAnsi="Sylfaen" w:cs="Arial"/>
                <w:spacing w:val="-1"/>
                <w:sz w:val="18"/>
                <w:szCs w:val="18"/>
                <w:lang w:val="ka-GE"/>
              </w:rPr>
              <w:t>მოძრაობა მოედნის გარეთ</w:t>
            </w:r>
          </w:p>
        </w:tc>
        <w:tc>
          <w:tcPr>
            <w:tcW w:w="1620" w:type="dxa"/>
            <w:shd w:val="clear" w:color="auto" w:fill="FFFFFF" w:themeFill="background1"/>
          </w:tcPr>
          <w:p w14:paraId="63EBBE94" w14:textId="77777777" w:rsidR="0071033A" w:rsidRPr="001F2C5A" w:rsidRDefault="0071033A" w:rsidP="002B56CC">
            <w:pPr>
              <w:suppressAutoHyphens/>
              <w:contextualSpacing/>
              <w:rPr>
                <w:rFonts w:ascii="Sylfaen" w:hAnsi="Sylfaen" w:cs="Arial"/>
                <w:sz w:val="18"/>
                <w:szCs w:val="18"/>
              </w:rPr>
            </w:pPr>
            <w:r w:rsidRPr="001F2C5A">
              <w:rPr>
                <w:rFonts w:ascii="Sylfaen" w:hAnsi="Sylfaen" w:cs="Arial"/>
                <w:spacing w:val="-1"/>
                <w:sz w:val="18"/>
                <w:szCs w:val="18"/>
              </w:rPr>
              <w:t>ზემოქმედება მცენარეულ საფარზე და ნიადაგზე</w:t>
            </w:r>
          </w:p>
        </w:tc>
        <w:tc>
          <w:tcPr>
            <w:tcW w:w="7200" w:type="dxa"/>
            <w:shd w:val="clear" w:color="auto" w:fill="FFFFFF" w:themeFill="background1"/>
          </w:tcPr>
          <w:p w14:paraId="65FB2521"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z w:val="18"/>
                <w:szCs w:val="18"/>
              </w:rPr>
              <w:t>საგზაო მარშრუტის საზღვრების მკაცრი დაცვა, რათა თავიდან იქნას აცილებული მცენარეული საფარის (ასეთი არსებობის ) დაზიანება და ნიადაგის დატკეპნა</w:t>
            </w:r>
          </w:p>
          <w:p w14:paraId="6ECC5C5F" w14:textId="77777777" w:rsidR="0071033A" w:rsidRPr="001F2C5A" w:rsidRDefault="0071033A" w:rsidP="00821E4D">
            <w:pPr>
              <w:pStyle w:val="ListParagraph"/>
              <w:widowControl w:val="0"/>
              <w:numPr>
                <w:ilvl w:val="0"/>
                <w:numId w:val="23"/>
              </w:numPr>
              <w:tabs>
                <w:tab w:val="left" w:pos="302"/>
              </w:tabs>
              <w:spacing w:after="0" w:line="240" w:lineRule="auto"/>
              <w:ind w:left="0" w:hanging="200"/>
              <w:contextualSpacing w:val="0"/>
              <w:jc w:val="left"/>
              <w:rPr>
                <w:rFonts w:cs="Arial"/>
                <w:sz w:val="18"/>
                <w:szCs w:val="18"/>
              </w:rPr>
            </w:pPr>
          </w:p>
        </w:tc>
        <w:tc>
          <w:tcPr>
            <w:tcW w:w="2070" w:type="dxa"/>
            <w:shd w:val="clear" w:color="auto" w:fill="FFFFFF" w:themeFill="background1"/>
          </w:tcPr>
          <w:p w14:paraId="31008C3E" w14:textId="77777777" w:rsidR="0071033A" w:rsidRPr="001F2C5A" w:rsidRDefault="0071033A" w:rsidP="002B56CC">
            <w:pPr>
              <w:suppressAutoHyphens/>
              <w:contextualSpacing/>
              <w:rPr>
                <w:rFonts w:ascii="Sylfaen" w:hAnsi="Sylfaen" w:cs="Arial"/>
                <w:sz w:val="18"/>
                <w:szCs w:val="18"/>
                <w:lang w:val="ka-GE" w:eastAsia="ar-SA"/>
              </w:rPr>
            </w:pPr>
            <w:r w:rsidRPr="001F2C5A">
              <w:rPr>
                <w:rFonts w:ascii="Sylfaen" w:hAnsi="Sylfaen" w:cs="Arial"/>
                <w:spacing w:val="-1"/>
                <w:sz w:val="18"/>
                <w:szCs w:val="18"/>
                <w:lang w:val="ka-GE"/>
              </w:rPr>
              <w:t>უფასო</w:t>
            </w:r>
          </w:p>
        </w:tc>
        <w:tc>
          <w:tcPr>
            <w:tcW w:w="1260" w:type="dxa"/>
            <w:shd w:val="clear" w:color="auto" w:fill="FFFFFF" w:themeFill="background1"/>
            <w:vAlign w:val="center"/>
          </w:tcPr>
          <w:p w14:paraId="7D10F75E" w14:textId="77777777" w:rsidR="0071033A" w:rsidRPr="001F2C5A" w:rsidRDefault="0071033A" w:rsidP="002B56CC">
            <w:pPr>
              <w:suppressAutoHyphens/>
              <w:contextualSpacing/>
              <w:jc w:val="center"/>
              <w:rPr>
                <w:rFonts w:ascii="Sylfaen" w:hAnsi="Sylfaen" w:cs="Arial"/>
                <w:sz w:val="18"/>
                <w:szCs w:val="18"/>
                <w:lang w:eastAsia="ar-SA"/>
              </w:rPr>
            </w:pPr>
            <w:r w:rsidRPr="001F2C5A">
              <w:rPr>
                <w:rFonts w:ascii="Sylfaen" w:hAnsi="Sylfaen" w:cs="Arial"/>
                <w:sz w:val="18"/>
                <w:szCs w:val="18"/>
                <w:lang w:val="ka-GE"/>
              </w:rPr>
              <w:t>სკ</w:t>
            </w:r>
          </w:p>
        </w:tc>
        <w:tc>
          <w:tcPr>
            <w:tcW w:w="1350" w:type="dxa"/>
            <w:shd w:val="clear" w:color="auto" w:fill="FFFFFF" w:themeFill="background1"/>
            <w:vAlign w:val="center"/>
          </w:tcPr>
          <w:p w14:paraId="0EEED0FB" w14:textId="77777777" w:rsidR="0071033A" w:rsidRPr="001F2C5A" w:rsidRDefault="0071033A" w:rsidP="002B56CC">
            <w:pPr>
              <w:suppressAutoHyphens/>
              <w:contextualSpacing/>
              <w:jc w:val="center"/>
              <w:rPr>
                <w:rFonts w:ascii="Sylfaen" w:hAnsi="Sylfaen" w:cs="Arial"/>
                <w:sz w:val="18"/>
                <w:szCs w:val="18"/>
                <w:lang w:eastAsia="ar-SA"/>
              </w:rPr>
            </w:pPr>
            <w:r w:rsidRPr="001F2C5A">
              <w:rPr>
                <w:rFonts w:ascii="Sylfaen" w:hAnsi="Sylfaen" w:cs="Arial"/>
                <w:sz w:val="18"/>
                <w:szCs w:val="18"/>
                <w:lang w:val="ka-GE"/>
              </w:rPr>
              <w:t>სგდ</w:t>
            </w:r>
          </w:p>
        </w:tc>
      </w:tr>
      <w:tr w:rsidR="0071033A" w:rsidRPr="001F2C5A" w14:paraId="0FD3CA62" w14:textId="77777777" w:rsidTr="001F2C5A">
        <w:trPr>
          <w:trHeight w:val="359"/>
        </w:trPr>
        <w:tc>
          <w:tcPr>
            <w:tcW w:w="1525" w:type="dxa"/>
            <w:tcBorders>
              <w:bottom w:val="single" w:sz="4" w:space="0" w:color="auto"/>
            </w:tcBorders>
            <w:shd w:val="clear" w:color="auto" w:fill="FFFFFF" w:themeFill="background1"/>
          </w:tcPr>
          <w:p w14:paraId="2CB20CD4" w14:textId="77777777" w:rsidR="0071033A" w:rsidRPr="001F2C5A" w:rsidRDefault="00E81445" w:rsidP="002B56CC">
            <w:pPr>
              <w:suppressAutoHyphens/>
              <w:contextualSpacing/>
              <w:rPr>
                <w:rFonts w:ascii="Sylfaen" w:hAnsi="Sylfaen" w:cs="Arial"/>
                <w:sz w:val="18"/>
                <w:szCs w:val="18"/>
                <w:lang w:eastAsia="ar-SA"/>
              </w:rPr>
            </w:pPr>
            <w:r w:rsidRPr="001F2C5A">
              <w:rPr>
                <w:rFonts w:ascii="Sylfaen" w:hAnsi="Sylfaen"/>
                <w:sz w:val="18"/>
                <w:szCs w:val="18"/>
                <w:lang w:val="ka-GE"/>
              </w:rPr>
              <w:t>მოიჯარის</w:t>
            </w:r>
            <w:r w:rsidR="0071033A" w:rsidRPr="001F2C5A">
              <w:rPr>
                <w:rFonts w:ascii="Sylfaen" w:hAnsi="Sylfaen" w:cs="Arial"/>
                <w:spacing w:val="-1"/>
                <w:sz w:val="18"/>
                <w:szCs w:val="18"/>
              </w:rPr>
              <w:t xml:space="preserve"> სამუშაო ბანაკისა და აღჭურვილობის ეზოს მოწყობა და ექსპლუატაცია</w:t>
            </w:r>
          </w:p>
        </w:tc>
        <w:tc>
          <w:tcPr>
            <w:tcW w:w="1620" w:type="dxa"/>
            <w:tcBorders>
              <w:bottom w:val="single" w:sz="4" w:space="0" w:color="auto"/>
            </w:tcBorders>
            <w:shd w:val="clear" w:color="auto" w:fill="FFFFFF" w:themeFill="background1"/>
          </w:tcPr>
          <w:p w14:paraId="45A2E546" w14:textId="77777777" w:rsidR="0071033A" w:rsidRPr="001F2C5A" w:rsidRDefault="0071033A" w:rsidP="002B56CC">
            <w:pPr>
              <w:suppressAutoHyphens/>
              <w:contextualSpacing/>
              <w:rPr>
                <w:rFonts w:ascii="Sylfaen" w:hAnsi="Sylfaen" w:cs="Arial"/>
                <w:sz w:val="18"/>
                <w:szCs w:val="18"/>
              </w:rPr>
            </w:pPr>
            <w:r w:rsidRPr="001F2C5A">
              <w:rPr>
                <w:rFonts w:ascii="Sylfaen" w:hAnsi="Sylfaen" w:cs="Arial"/>
                <w:spacing w:val="-1"/>
                <w:sz w:val="18"/>
                <w:szCs w:val="18"/>
              </w:rPr>
              <w:t>მცენარეულ საფარზე ზემოქმედება და მიწის რესურსების არაადექვატური გამოყენება</w:t>
            </w:r>
          </w:p>
        </w:tc>
        <w:tc>
          <w:tcPr>
            <w:tcW w:w="7200" w:type="dxa"/>
            <w:tcBorders>
              <w:bottom w:val="single" w:sz="4" w:space="0" w:color="auto"/>
            </w:tcBorders>
            <w:shd w:val="clear" w:color="auto" w:fill="FFFFFF" w:themeFill="background1"/>
          </w:tcPr>
          <w:p w14:paraId="15429A7B"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პროექ</w:t>
            </w:r>
            <w:r w:rsidRPr="001F2C5A">
              <w:rPr>
                <w:rFonts w:cs="Arial"/>
                <w:spacing w:val="-1"/>
                <w:sz w:val="18"/>
                <w:szCs w:val="18"/>
                <w:lang w:val="ka-GE"/>
              </w:rPr>
              <w:t>ტის ფარგლებში</w:t>
            </w:r>
            <w:r w:rsidRPr="001F2C5A">
              <w:rPr>
                <w:rFonts w:cs="Arial"/>
                <w:spacing w:val="-1"/>
                <w:sz w:val="18"/>
                <w:szCs w:val="18"/>
              </w:rPr>
              <w:t xml:space="preserve"> გამოყოფილი მიწის ნაკვეთების საზღვრების დაცვა.</w:t>
            </w:r>
          </w:p>
          <w:p w14:paraId="372D1150" w14:textId="77777777" w:rsidR="0071033A" w:rsidRPr="001F2C5A" w:rsidRDefault="0071033A" w:rsidP="00821E4D">
            <w:pPr>
              <w:pStyle w:val="ListParagraph"/>
              <w:widowControl w:val="0"/>
              <w:numPr>
                <w:ilvl w:val="0"/>
                <w:numId w:val="23"/>
              </w:numPr>
              <w:tabs>
                <w:tab w:val="left" w:pos="302"/>
              </w:tabs>
              <w:spacing w:after="0" w:line="240" w:lineRule="auto"/>
              <w:ind w:right="497"/>
              <w:contextualSpacing w:val="0"/>
              <w:jc w:val="left"/>
              <w:rPr>
                <w:rFonts w:cs="Arial"/>
                <w:sz w:val="18"/>
                <w:szCs w:val="18"/>
              </w:rPr>
            </w:pPr>
            <w:r w:rsidRPr="001F2C5A">
              <w:rPr>
                <w:rFonts w:cs="Arial"/>
                <w:spacing w:val="-1"/>
                <w:sz w:val="18"/>
                <w:szCs w:val="18"/>
              </w:rPr>
              <w:t>ბანაკის მოწყობა გარემოსდაცვითი უსაფრთხოების მოთხოვნების გათვალისწინებით</w:t>
            </w:r>
          </w:p>
          <w:p w14:paraId="56FDFF7B" w14:textId="77777777" w:rsidR="0071033A" w:rsidRPr="001F2C5A" w:rsidRDefault="0071033A" w:rsidP="00821E4D">
            <w:pPr>
              <w:pStyle w:val="ListParagraph"/>
              <w:widowControl w:val="0"/>
              <w:numPr>
                <w:ilvl w:val="0"/>
                <w:numId w:val="23"/>
              </w:numPr>
              <w:tabs>
                <w:tab w:val="left" w:pos="302"/>
              </w:tabs>
              <w:spacing w:after="0" w:line="240" w:lineRule="auto"/>
              <w:ind w:right="497"/>
              <w:contextualSpacing w:val="0"/>
              <w:jc w:val="left"/>
              <w:rPr>
                <w:rFonts w:cs="Arial"/>
                <w:sz w:val="18"/>
                <w:szCs w:val="18"/>
              </w:rPr>
            </w:pPr>
            <w:r w:rsidRPr="001F2C5A">
              <w:rPr>
                <w:rFonts w:cs="Arial"/>
                <w:spacing w:val="-1"/>
                <w:sz w:val="18"/>
                <w:szCs w:val="18"/>
              </w:rPr>
              <w:t>სამუშაოების დასრულების შემდეგ, რეაბილიტაციის ღონისძიებები უნდა განხორციელდეს მისასვლელი გზებისა და სხვა ობიექტების (სამშენებლო ბანაკები, შენახვის ტერიტორიები და ა.შ.) აღდგენის მიზნით იმ მდგომარეობამდე, რაც იყო პროექტის დაწყებამდე. ადგილობრივ თვითმმართველობის ორგანოების თანხმობით დროებითი გზები შეიძლება დარჩეს ადგილობრივი მოსახლეობისთვის გამოყენების  მიზნით.</w:t>
            </w:r>
          </w:p>
        </w:tc>
        <w:tc>
          <w:tcPr>
            <w:tcW w:w="2070" w:type="dxa"/>
            <w:tcBorders>
              <w:bottom w:val="single" w:sz="4" w:space="0" w:color="auto"/>
            </w:tcBorders>
            <w:shd w:val="clear" w:color="auto" w:fill="FFFFFF" w:themeFill="background1"/>
          </w:tcPr>
          <w:p w14:paraId="693EEE38" w14:textId="77777777" w:rsidR="0071033A" w:rsidRPr="001F2C5A" w:rsidRDefault="0071033A" w:rsidP="00821E4D">
            <w:pPr>
              <w:pStyle w:val="TableParagraph"/>
              <w:numPr>
                <w:ilvl w:val="0"/>
                <w:numId w:val="26"/>
              </w:numPr>
              <w:ind w:left="5" w:right="178" w:hanging="90"/>
              <w:rPr>
                <w:rFonts w:ascii="Sylfaen" w:hAnsi="Sylfaen" w:cs="Arial"/>
                <w:sz w:val="18"/>
                <w:szCs w:val="18"/>
              </w:rPr>
            </w:pPr>
            <w:r w:rsidRPr="001F2C5A">
              <w:rPr>
                <w:rFonts w:ascii="Sylfaen" w:hAnsi="Sylfaen" w:cs="Arial"/>
                <w:spacing w:val="-1"/>
                <w:sz w:val="18"/>
                <w:szCs w:val="18"/>
              </w:rPr>
              <w:t xml:space="preserve">ხელახალი მცენარეული საფარის ღირებულება დამოკიდებულია გამოყოფილი ბანაკისთვის ადგილის ადგილმდებარეობაზე  და დამხმარე კეთილმოწყობილობაზე. </w:t>
            </w:r>
          </w:p>
          <w:p w14:paraId="2E45C0B2" w14:textId="77777777" w:rsidR="0071033A" w:rsidRPr="001F2C5A" w:rsidRDefault="0071033A" w:rsidP="00821E4D">
            <w:pPr>
              <w:pStyle w:val="ListParagraph"/>
              <w:numPr>
                <w:ilvl w:val="0"/>
                <w:numId w:val="26"/>
              </w:numPr>
              <w:suppressAutoHyphens/>
              <w:spacing w:after="0" w:line="240" w:lineRule="auto"/>
              <w:ind w:left="5" w:hanging="90"/>
              <w:jc w:val="left"/>
              <w:rPr>
                <w:rFonts w:cs="Arial"/>
                <w:sz w:val="18"/>
                <w:szCs w:val="18"/>
                <w:lang w:eastAsia="ar-SA"/>
              </w:rPr>
            </w:pPr>
            <w:r w:rsidRPr="001F2C5A">
              <w:rPr>
                <w:rFonts w:cs="Arial"/>
                <w:sz w:val="18"/>
                <w:szCs w:val="18"/>
              </w:rPr>
              <w:t>ხეების დარგვისა და შენახვის ღირებულება შეფასებულია როგორც $ 7 თითოზე</w:t>
            </w:r>
          </w:p>
        </w:tc>
        <w:tc>
          <w:tcPr>
            <w:tcW w:w="1260" w:type="dxa"/>
            <w:tcBorders>
              <w:bottom w:val="single" w:sz="4" w:space="0" w:color="auto"/>
            </w:tcBorders>
            <w:shd w:val="clear" w:color="auto" w:fill="FFFFFF" w:themeFill="background1"/>
            <w:vAlign w:val="center"/>
          </w:tcPr>
          <w:p w14:paraId="44FE4B26" w14:textId="77777777" w:rsidR="0071033A" w:rsidRPr="001F2C5A" w:rsidRDefault="0071033A" w:rsidP="002B56CC">
            <w:pPr>
              <w:suppressAutoHyphens/>
              <w:contextualSpacing/>
              <w:jc w:val="center"/>
              <w:rPr>
                <w:rFonts w:ascii="Sylfaen" w:hAnsi="Sylfaen" w:cs="Arial"/>
                <w:sz w:val="18"/>
                <w:szCs w:val="18"/>
                <w:lang w:eastAsia="ar-SA"/>
              </w:rPr>
            </w:pPr>
            <w:r w:rsidRPr="001F2C5A">
              <w:rPr>
                <w:rFonts w:ascii="Sylfaen" w:hAnsi="Sylfaen" w:cs="Arial"/>
                <w:sz w:val="18"/>
                <w:szCs w:val="18"/>
                <w:lang w:val="ka-GE"/>
              </w:rPr>
              <w:t>სკ</w:t>
            </w:r>
          </w:p>
        </w:tc>
        <w:tc>
          <w:tcPr>
            <w:tcW w:w="1350" w:type="dxa"/>
            <w:tcBorders>
              <w:bottom w:val="single" w:sz="4" w:space="0" w:color="auto"/>
            </w:tcBorders>
            <w:shd w:val="clear" w:color="auto" w:fill="FFFFFF" w:themeFill="background1"/>
            <w:vAlign w:val="center"/>
          </w:tcPr>
          <w:p w14:paraId="6A95CC84" w14:textId="77777777" w:rsidR="0071033A" w:rsidRPr="001F2C5A" w:rsidRDefault="0071033A" w:rsidP="002B56CC">
            <w:pPr>
              <w:suppressAutoHyphens/>
              <w:contextualSpacing/>
              <w:jc w:val="center"/>
              <w:rPr>
                <w:rFonts w:ascii="Sylfaen" w:hAnsi="Sylfaen" w:cs="Arial"/>
                <w:sz w:val="18"/>
                <w:szCs w:val="18"/>
                <w:lang w:eastAsia="ar-SA"/>
              </w:rPr>
            </w:pPr>
            <w:r w:rsidRPr="001F2C5A">
              <w:rPr>
                <w:rFonts w:ascii="Sylfaen" w:hAnsi="Sylfaen" w:cs="Arial"/>
                <w:sz w:val="18"/>
                <w:szCs w:val="18"/>
                <w:lang w:val="ka-GE"/>
              </w:rPr>
              <w:t>სგდ</w:t>
            </w:r>
          </w:p>
        </w:tc>
      </w:tr>
      <w:tr w:rsidR="0071033A" w:rsidRPr="001F2C5A" w14:paraId="1B7207F7" w14:textId="77777777" w:rsidTr="001F2C5A">
        <w:trPr>
          <w:trHeight w:val="58"/>
        </w:trPr>
        <w:tc>
          <w:tcPr>
            <w:tcW w:w="1525" w:type="dxa"/>
            <w:tcBorders>
              <w:bottom w:val="single" w:sz="4" w:space="0" w:color="auto"/>
            </w:tcBorders>
            <w:shd w:val="clear" w:color="auto" w:fill="FFFFFF" w:themeFill="background1"/>
          </w:tcPr>
          <w:p w14:paraId="4B07D0B1" w14:textId="77777777" w:rsidR="0071033A" w:rsidRPr="001F2C5A" w:rsidRDefault="00E81445" w:rsidP="002B56CC">
            <w:pPr>
              <w:suppressAutoHyphens/>
              <w:contextualSpacing/>
              <w:rPr>
                <w:rFonts w:ascii="Sylfaen" w:hAnsi="Sylfaen" w:cs="Arial"/>
                <w:sz w:val="18"/>
                <w:szCs w:val="18"/>
                <w:lang w:eastAsia="ar-SA"/>
              </w:rPr>
            </w:pPr>
            <w:r w:rsidRPr="001F2C5A">
              <w:rPr>
                <w:rFonts w:ascii="Sylfaen" w:hAnsi="Sylfaen" w:cs="Arial"/>
                <w:spacing w:val="-1"/>
                <w:sz w:val="18"/>
                <w:szCs w:val="18"/>
                <w:lang w:val="ka-GE"/>
              </w:rPr>
              <w:t>მოიჯარის</w:t>
            </w:r>
            <w:r w:rsidR="0071033A" w:rsidRPr="001F2C5A">
              <w:rPr>
                <w:rFonts w:ascii="Sylfaen" w:hAnsi="Sylfaen" w:cs="Arial"/>
                <w:spacing w:val="-1"/>
                <w:sz w:val="18"/>
                <w:szCs w:val="18"/>
              </w:rPr>
              <w:t xml:space="preserve"> სამუშაო ბანაკების </w:t>
            </w:r>
            <w:r w:rsidR="0071033A" w:rsidRPr="001F2C5A">
              <w:rPr>
                <w:rFonts w:ascii="Sylfaen" w:hAnsi="Sylfaen" w:cs="Arial"/>
                <w:spacing w:val="-1"/>
                <w:sz w:val="18"/>
                <w:szCs w:val="18"/>
                <w:lang w:val="ka-GE"/>
              </w:rPr>
              <w:t>მოწყობა</w:t>
            </w:r>
            <w:r w:rsidR="0071033A" w:rsidRPr="001F2C5A">
              <w:rPr>
                <w:rFonts w:ascii="Sylfaen" w:hAnsi="Sylfaen" w:cs="Arial"/>
                <w:spacing w:val="-1"/>
                <w:sz w:val="18"/>
                <w:szCs w:val="18"/>
              </w:rPr>
              <w:t xml:space="preserve"> და ექსპლუატაცია</w:t>
            </w:r>
          </w:p>
        </w:tc>
        <w:tc>
          <w:tcPr>
            <w:tcW w:w="1620" w:type="dxa"/>
            <w:tcBorders>
              <w:bottom w:val="single" w:sz="4" w:space="0" w:color="auto"/>
            </w:tcBorders>
            <w:shd w:val="clear" w:color="auto" w:fill="FFFFFF" w:themeFill="background1"/>
          </w:tcPr>
          <w:p w14:paraId="05DDEDE5"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rPr>
              <w:t xml:space="preserve">წყლის და ნიადაგის დაბინძურება, ნარჩენების წყლის უკონტროლო </w:t>
            </w:r>
            <w:r w:rsidRPr="001F2C5A">
              <w:rPr>
                <w:rFonts w:ascii="Sylfaen" w:hAnsi="Sylfaen" w:cs="Arial"/>
                <w:spacing w:val="-1"/>
                <w:sz w:val="18"/>
                <w:szCs w:val="18"/>
              </w:rPr>
              <w:lastRenderedPageBreak/>
              <w:t>დაღვრა და მინერალური ზეთებით დაბინძურებული წყლები.</w:t>
            </w:r>
          </w:p>
        </w:tc>
        <w:tc>
          <w:tcPr>
            <w:tcW w:w="7200" w:type="dxa"/>
            <w:tcBorders>
              <w:bottom w:val="single" w:sz="4" w:space="0" w:color="auto"/>
            </w:tcBorders>
            <w:shd w:val="clear" w:color="auto" w:fill="FFFFFF" w:themeFill="background1"/>
          </w:tcPr>
          <w:p w14:paraId="2DFC2AA2" w14:textId="77777777" w:rsidR="0071033A" w:rsidRPr="001F2C5A" w:rsidRDefault="0071033A" w:rsidP="00821E4D">
            <w:pPr>
              <w:pStyle w:val="ListParagraph"/>
              <w:widowControl w:val="0"/>
              <w:numPr>
                <w:ilvl w:val="0"/>
                <w:numId w:val="23"/>
              </w:numPr>
              <w:tabs>
                <w:tab w:val="left" w:pos="418"/>
              </w:tabs>
              <w:spacing w:after="0" w:line="240" w:lineRule="auto"/>
              <w:contextualSpacing w:val="0"/>
              <w:jc w:val="left"/>
              <w:rPr>
                <w:rFonts w:cs="Arial"/>
                <w:sz w:val="18"/>
                <w:szCs w:val="18"/>
              </w:rPr>
            </w:pPr>
            <w:r w:rsidRPr="001F2C5A">
              <w:rPr>
                <w:rFonts w:cs="Arial"/>
                <w:sz w:val="18"/>
                <w:szCs w:val="18"/>
              </w:rPr>
              <w:lastRenderedPageBreak/>
              <w:t>დროებითი სამშენებლო დანადგარების ნარჩენების წყლის კონტროლი, რათა თავიდან იქნას აცილებული ზედაპირულ წყალზე ზემოქმედება</w:t>
            </w:r>
            <w:r w:rsidRPr="001F2C5A">
              <w:rPr>
                <w:rFonts w:cs="Arial"/>
                <w:spacing w:val="-1"/>
                <w:sz w:val="18"/>
                <w:szCs w:val="18"/>
              </w:rPr>
              <w:t>.</w:t>
            </w:r>
            <w:r w:rsidR="00E81445" w:rsidRPr="001F2C5A">
              <w:rPr>
                <w:rFonts w:cs="Arial"/>
                <w:spacing w:val="-1"/>
                <w:sz w:val="18"/>
                <w:szCs w:val="18"/>
                <w:lang w:val="ka-GE"/>
              </w:rPr>
              <w:t xml:space="preserve"> </w:t>
            </w:r>
            <w:r w:rsidRPr="001F2C5A">
              <w:rPr>
                <w:rFonts w:cs="Arial"/>
                <w:spacing w:val="-1"/>
                <w:sz w:val="18"/>
                <w:szCs w:val="18"/>
                <w:lang w:val="ka-GE"/>
              </w:rPr>
              <w:t>ჩამდინარე წყლები უნდა შეგროვდეს სეპტიკურ ავზებში/ორმოში. ნარჩენები ავზებიდან/ორმოებიდან უნდა იყოს დაცლილი/განადგურებული ადგილობრივი მუნიციპალიტეტის შეთანხმებით</w:t>
            </w:r>
            <w:r w:rsidRPr="001F2C5A">
              <w:rPr>
                <w:rFonts w:cs="Arial"/>
                <w:spacing w:val="-1"/>
                <w:sz w:val="18"/>
                <w:szCs w:val="18"/>
              </w:rPr>
              <w:t>.</w:t>
            </w:r>
          </w:p>
          <w:p w14:paraId="3DFC446C" w14:textId="77777777" w:rsidR="0071033A" w:rsidRPr="001F2C5A" w:rsidRDefault="0071033A" w:rsidP="00821E4D">
            <w:pPr>
              <w:pStyle w:val="ListParagraph"/>
              <w:widowControl w:val="0"/>
              <w:numPr>
                <w:ilvl w:val="0"/>
                <w:numId w:val="23"/>
              </w:numPr>
              <w:tabs>
                <w:tab w:val="left" w:pos="418"/>
              </w:tabs>
              <w:spacing w:before="1" w:after="0" w:line="240" w:lineRule="auto"/>
              <w:contextualSpacing w:val="0"/>
              <w:jc w:val="left"/>
              <w:rPr>
                <w:rFonts w:cs="Arial"/>
                <w:sz w:val="18"/>
                <w:szCs w:val="18"/>
              </w:rPr>
            </w:pPr>
            <w:r w:rsidRPr="001F2C5A">
              <w:rPr>
                <w:rFonts w:cs="Arial"/>
                <w:spacing w:val="-1"/>
                <w:sz w:val="18"/>
                <w:szCs w:val="18"/>
              </w:rPr>
              <w:t xml:space="preserve">საწვავი/ნავთობის ავზები უნდა იყოს  გარშემორტყმული წყალგაუმტარი </w:t>
            </w:r>
            <w:r w:rsidRPr="001F2C5A">
              <w:rPr>
                <w:rFonts w:cs="Arial"/>
                <w:spacing w:val="-1"/>
                <w:sz w:val="18"/>
                <w:szCs w:val="18"/>
              </w:rPr>
              <w:lastRenderedPageBreak/>
              <w:t>მასალით (შესაძლებელია თიხის გამოყენება ამ მიზნით). შენახვის ადგილი უნდა იყოს მოწყობილი მდინარის კალაპოტისგან 100 მეტრის დაშორებით. წყალსაცავების ქვეშ არსებული ტერიტორია ასევე დაიფარება წყალგაუმტარი მასალით. ნებისმიერი დაღვრა დაუყოვნებლივ უნდა იქნეს იზოლირებული და გაწმენდილი შთამნთქმელი მასალით.</w:t>
            </w:r>
          </w:p>
          <w:p w14:paraId="11D9A639" w14:textId="77777777" w:rsidR="0071033A" w:rsidRPr="001F2C5A" w:rsidRDefault="0071033A" w:rsidP="00821E4D">
            <w:pPr>
              <w:pStyle w:val="ListParagraph"/>
              <w:widowControl w:val="0"/>
              <w:numPr>
                <w:ilvl w:val="0"/>
                <w:numId w:val="23"/>
              </w:numPr>
              <w:tabs>
                <w:tab w:val="left" w:pos="418"/>
              </w:tabs>
              <w:spacing w:before="1" w:after="0" w:line="240" w:lineRule="auto"/>
              <w:contextualSpacing w:val="0"/>
              <w:jc w:val="left"/>
              <w:rPr>
                <w:rFonts w:cs="Arial"/>
                <w:sz w:val="18"/>
                <w:szCs w:val="18"/>
              </w:rPr>
            </w:pPr>
            <w:r w:rsidRPr="001F2C5A">
              <w:rPr>
                <w:rFonts w:cs="Arial"/>
                <w:sz w:val="18"/>
                <w:szCs w:val="18"/>
              </w:rPr>
              <w:t>საწვავი არუნდა იყოს ჩასხმული მოედანზე. საჭიროების შემთხვევაში, ეს უნდა განხორციელდეს პრევენციის გეგმის მოთხოვნების შესაბამისად განკუთვნილ ადგილას. საწვავის ჩასხმის განკუთვნილი ტერიტორიები უნდა განთავსდეს სადრენაჟო არხებიდან მოშორებით.</w:t>
            </w:r>
          </w:p>
          <w:p w14:paraId="65CA9B04" w14:textId="77777777" w:rsidR="0071033A" w:rsidRPr="001F2C5A" w:rsidRDefault="0071033A" w:rsidP="00821E4D">
            <w:pPr>
              <w:pStyle w:val="ListParagraph"/>
              <w:widowControl w:val="0"/>
              <w:numPr>
                <w:ilvl w:val="0"/>
                <w:numId w:val="23"/>
              </w:numPr>
              <w:tabs>
                <w:tab w:val="left" w:pos="418"/>
              </w:tabs>
              <w:spacing w:after="0" w:line="240" w:lineRule="auto"/>
              <w:contextualSpacing w:val="0"/>
              <w:jc w:val="left"/>
              <w:rPr>
                <w:rFonts w:cs="Arial"/>
                <w:sz w:val="18"/>
                <w:szCs w:val="18"/>
              </w:rPr>
            </w:pPr>
            <w:r w:rsidRPr="001F2C5A">
              <w:rPr>
                <w:rFonts w:cs="Arial"/>
                <w:spacing w:val="-1"/>
                <w:sz w:val="18"/>
                <w:szCs w:val="18"/>
              </w:rPr>
              <w:t>უნდა განხორციელდეს სატრასპორტო საშუალებების/ტექნიკის რეგულარული შემოწმება გაჟონვაზე. ყველა გაჟონვა დაუყოვნებლივ უნდა შეკეთდეს. შემომავალი სატრანსპორტო საშუალებები და აღჭურვილობა უნდა შემოწმდეს გაჟონვისთვის. ის მანქანები/ტექნიკა, რომელიც ჟონავს არ დაიშვება ტერიტორიაზე.</w:t>
            </w:r>
          </w:p>
          <w:p w14:paraId="28A9DF24" w14:textId="77777777" w:rsidR="0071033A" w:rsidRPr="001F2C5A" w:rsidRDefault="0071033A" w:rsidP="00821E4D">
            <w:pPr>
              <w:pStyle w:val="ListParagraph"/>
              <w:widowControl w:val="0"/>
              <w:numPr>
                <w:ilvl w:val="0"/>
                <w:numId w:val="23"/>
              </w:numPr>
              <w:tabs>
                <w:tab w:val="left" w:pos="418"/>
              </w:tabs>
              <w:spacing w:before="1" w:after="0" w:line="240" w:lineRule="auto"/>
              <w:contextualSpacing w:val="0"/>
              <w:jc w:val="left"/>
              <w:rPr>
                <w:rFonts w:cs="Arial"/>
                <w:sz w:val="18"/>
                <w:szCs w:val="18"/>
              </w:rPr>
            </w:pPr>
            <w:r w:rsidRPr="001F2C5A">
              <w:rPr>
                <w:rFonts w:cs="Arial"/>
                <w:spacing w:val="-1"/>
                <w:sz w:val="18"/>
                <w:szCs w:val="18"/>
              </w:rPr>
              <w:t>დამხმარე მოწყობილობები/წვეთების შემგროვებელი და შემწოვი მასალები უნდა იყოს უზრუნველყოფილი. შემწოვი მასალები უნდა იქნას გამოყენებული მცირე შხეფებზე.</w:t>
            </w:r>
          </w:p>
          <w:p w14:paraId="17E23721" w14:textId="77777777" w:rsidR="0071033A" w:rsidRPr="001F2C5A" w:rsidRDefault="0071033A" w:rsidP="00821E4D">
            <w:pPr>
              <w:pStyle w:val="ListParagraph"/>
              <w:widowControl w:val="0"/>
              <w:numPr>
                <w:ilvl w:val="0"/>
                <w:numId w:val="23"/>
              </w:numPr>
              <w:tabs>
                <w:tab w:val="left" w:pos="418"/>
              </w:tabs>
              <w:spacing w:after="0" w:line="240" w:lineRule="auto"/>
              <w:contextualSpacing w:val="0"/>
              <w:jc w:val="left"/>
              <w:rPr>
                <w:rFonts w:cs="Arial"/>
                <w:sz w:val="18"/>
                <w:szCs w:val="18"/>
              </w:rPr>
            </w:pPr>
            <w:r w:rsidRPr="001F2C5A">
              <w:rPr>
                <w:rFonts w:cs="Arial"/>
                <w:spacing w:val="-1"/>
                <w:sz w:val="18"/>
                <w:szCs w:val="18"/>
              </w:rPr>
              <w:t>მასალები და ნარჩენები უნდა შეგროვდეს, რათა თავიდან იქნას აცილებული ეროზია და მდინარეში ჩადინება. დრენაჟის თხრილები უნდა განლაგდეს, რათა თავიდან იქნას აცილებული ზედაპირის გადახრა/დაცურება.</w:t>
            </w:r>
          </w:p>
          <w:p w14:paraId="5C69B8AA" w14:textId="77777777" w:rsidR="0071033A" w:rsidRPr="001F2C5A" w:rsidRDefault="0071033A" w:rsidP="00821E4D">
            <w:pPr>
              <w:pStyle w:val="ListParagraph"/>
              <w:widowControl w:val="0"/>
              <w:numPr>
                <w:ilvl w:val="0"/>
                <w:numId w:val="23"/>
              </w:numPr>
              <w:tabs>
                <w:tab w:val="left" w:pos="418"/>
              </w:tabs>
              <w:spacing w:before="1" w:after="0" w:line="240" w:lineRule="auto"/>
              <w:contextualSpacing w:val="0"/>
              <w:jc w:val="left"/>
              <w:rPr>
                <w:rFonts w:cs="Arial"/>
                <w:sz w:val="18"/>
                <w:szCs w:val="18"/>
              </w:rPr>
            </w:pPr>
            <w:r w:rsidRPr="001F2C5A">
              <w:rPr>
                <w:rFonts w:cs="Arial"/>
                <w:sz w:val="18"/>
                <w:szCs w:val="18"/>
              </w:rPr>
              <w:t>ნარჩენების შეგროვების ადგილი უნდა განთავსდეს იმისათვის, რომ თავიდან იქნას აცილებული წყლის ზედაპირზე პირდაპირ სადრენაჟო არეალის ტერიტორიიდან გადინება.</w:t>
            </w:r>
          </w:p>
          <w:p w14:paraId="5EDE3D21" w14:textId="77777777" w:rsidR="0071033A" w:rsidRPr="001F2C5A" w:rsidRDefault="0071033A" w:rsidP="00821E4D">
            <w:pPr>
              <w:pStyle w:val="ListParagraph"/>
              <w:widowControl w:val="0"/>
              <w:numPr>
                <w:ilvl w:val="0"/>
                <w:numId w:val="23"/>
              </w:numPr>
              <w:tabs>
                <w:tab w:val="left" w:pos="418"/>
              </w:tabs>
              <w:spacing w:before="1" w:after="0" w:line="240" w:lineRule="auto"/>
              <w:contextualSpacing w:val="0"/>
              <w:jc w:val="left"/>
              <w:rPr>
                <w:rFonts w:cs="Arial"/>
                <w:sz w:val="18"/>
                <w:szCs w:val="18"/>
              </w:rPr>
            </w:pPr>
            <w:r w:rsidRPr="001F2C5A">
              <w:rPr>
                <w:rStyle w:val="yiv9769571060gmail-"/>
                <w:rFonts w:cs="Segoe UI"/>
                <w:color w:val="000000"/>
                <w:sz w:val="18"/>
                <w:szCs w:val="18"/>
                <w:shd w:val="clear" w:color="auto" w:fill="FFFFFF"/>
                <w:lang w:val="ka-GE"/>
              </w:rPr>
              <w:t>ნარჩენების შეგროვების არეალი უნდა განისაზღვროს, რათა თავიდან იქნას აცილებული მთიანი ადგილებიდან ჩამონადენი წყალსაცავში უშუალო ჩადინების გვერდის ავლით</w:t>
            </w:r>
            <w:r w:rsidRPr="001F2C5A">
              <w:rPr>
                <w:rFonts w:cs="Arial"/>
                <w:sz w:val="18"/>
                <w:szCs w:val="18"/>
              </w:rPr>
              <w:t>.</w:t>
            </w:r>
          </w:p>
          <w:p w14:paraId="0EDBFFFF" w14:textId="77777777" w:rsidR="0071033A" w:rsidRPr="001F2C5A" w:rsidRDefault="0071033A" w:rsidP="00821E4D">
            <w:pPr>
              <w:pStyle w:val="ListParagraph"/>
              <w:widowControl w:val="0"/>
              <w:numPr>
                <w:ilvl w:val="0"/>
                <w:numId w:val="23"/>
              </w:numPr>
              <w:tabs>
                <w:tab w:val="left" w:pos="418"/>
              </w:tabs>
              <w:spacing w:after="0" w:line="240" w:lineRule="auto"/>
              <w:contextualSpacing w:val="0"/>
              <w:jc w:val="left"/>
              <w:rPr>
                <w:rFonts w:cs="Arial"/>
                <w:sz w:val="18"/>
                <w:szCs w:val="18"/>
              </w:rPr>
            </w:pPr>
            <w:r w:rsidRPr="001F2C5A">
              <w:rPr>
                <w:rFonts w:cs="Arial"/>
                <w:sz w:val="18"/>
                <w:szCs w:val="18"/>
              </w:rPr>
              <w:t>თუ საწვავის/ნავთობის დაღვრის რისკი არსებობს, ნავთობის ხაფანგი უნდა იყოს დამატებით უზრუნველყოფილი.</w:t>
            </w:r>
          </w:p>
          <w:p w14:paraId="28F8876B" w14:textId="77777777" w:rsidR="0071033A" w:rsidRPr="001F2C5A" w:rsidRDefault="0071033A" w:rsidP="00821E4D">
            <w:pPr>
              <w:pStyle w:val="ListParagraph"/>
              <w:widowControl w:val="0"/>
              <w:numPr>
                <w:ilvl w:val="0"/>
                <w:numId w:val="23"/>
              </w:numPr>
              <w:tabs>
                <w:tab w:val="left" w:pos="418"/>
              </w:tabs>
              <w:spacing w:after="0" w:line="240" w:lineRule="auto"/>
              <w:contextualSpacing w:val="0"/>
              <w:jc w:val="left"/>
              <w:rPr>
                <w:rFonts w:cs="Arial"/>
                <w:sz w:val="18"/>
                <w:szCs w:val="18"/>
              </w:rPr>
            </w:pPr>
            <w:r w:rsidRPr="001F2C5A">
              <w:rPr>
                <w:rFonts w:cs="Arial"/>
                <w:sz w:val="18"/>
                <w:szCs w:val="18"/>
              </w:rPr>
              <w:t>ატმოსფერული დაბინძურების თავიდან ასაცილებლად, მოკირწყვლა უნდა შესრულდეს მხოლოდ მშრალ ამინდში.</w:t>
            </w:r>
          </w:p>
          <w:p w14:paraId="616FED09" w14:textId="77777777" w:rsidR="0071033A" w:rsidRPr="001F2C5A" w:rsidRDefault="0071033A" w:rsidP="00821E4D">
            <w:pPr>
              <w:pStyle w:val="ListParagraph"/>
              <w:widowControl w:val="0"/>
              <w:numPr>
                <w:ilvl w:val="0"/>
                <w:numId w:val="23"/>
              </w:numPr>
              <w:tabs>
                <w:tab w:val="left" w:pos="418"/>
              </w:tabs>
              <w:spacing w:after="0" w:line="240" w:lineRule="auto"/>
              <w:contextualSpacing w:val="0"/>
              <w:jc w:val="left"/>
              <w:rPr>
                <w:rFonts w:cs="Arial"/>
                <w:sz w:val="18"/>
                <w:szCs w:val="18"/>
              </w:rPr>
            </w:pPr>
            <w:r w:rsidRPr="001F2C5A">
              <w:rPr>
                <w:rFonts w:cs="Arial"/>
                <w:sz w:val="18"/>
                <w:szCs w:val="18"/>
              </w:rPr>
              <w:t>პერსონალი უნდა გაეცნოს მყარი მასალის/საწვავის/ნარჩენების მართვას</w:t>
            </w:r>
          </w:p>
        </w:tc>
        <w:tc>
          <w:tcPr>
            <w:tcW w:w="2070" w:type="dxa"/>
            <w:tcBorders>
              <w:bottom w:val="single" w:sz="4" w:space="0" w:color="auto"/>
            </w:tcBorders>
            <w:shd w:val="clear" w:color="auto" w:fill="FFFFFF" w:themeFill="background1"/>
          </w:tcPr>
          <w:p w14:paraId="1DE551F5" w14:textId="77777777" w:rsidR="0071033A" w:rsidRPr="001F2C5A" w:rsidRDefault="0071033A" w:rsidP="00821E4D">
            <w:pPr>
              <w:pStyle w:val="TableParagraph"/>
              <w:numPr>
                <w:ilvl w:val="0"/>
                <w:numId w:val="26"/>
              </w:numPr>
              <w:ind w:right="178"/>
              <w:rPr>
                <w:rFonts w:ascii="Sylfaen" w:hAnsi="Sylfaen" w:cs="Arial"/>
                <w:spacing w:val="-1"/>
                <w:sz w:val="18"/>
                <w:szCs w:val="18"/>
              </w:rPr>
            </w:pPr>
            <w:r w:rsidRPr="001F2C5A">
              <w:rPr>
                <w:rFonts w:ascii="Sylfaen" w:hAnsi="Sylfaen" w:cs="Arial"/>
                <w:spacing w:val="-1"/>
                <w:sz w:val="18"/>
                <w:szCs w:val="18"/>
              </w:rPr>
              <w:lastRenderedPageBreak/>
              <w:t xml:space="preserve">ტენდერის შედეგად გამოვლენილი კონტრაქტორის </w:t>
            </w:r>
            <w:r w:rsidRPr="001F2C5A">
              <w:rPr>
                <w:rFonts w:ascii="Sylfaen" w:hAnsi="Sylfaen" w:cs="Arial"/>
                <w:spacing w:val="-1"/>
                <w:sz w:val="18"/>
                <w:szCs w:val="18"/>
              </w:rPr>
              <w:lastRenderedPageBreak/>
              <w:t>ხარჯები</w:t>
            </w:r>
            <w:r w:rsidRPr="001F2C5A">
              <w:rPr>
                <w:rFonts w:ascii="Sylfaen" w:hAnsi="Sylfaen" w:cs="Arial"/>
                <w:spacing w:val="-1"/>
                <w:sz w:val="18"/>
                <w:szCs w:val="18"/>
                <w:lang w:val="ka-GE"/>
              </w:rPr>
              <w:t>ს</w:t>
            </w:r>
            <w:r w:rsidRPr="001F2C5A">
              <w:rPr>
                <w:rFonts w:ascii="Sylfaen" w:hAnsi="Sylfaen" w:cs="Arial"/>
                <w:spacing w:val="-1"/>
                <w:sz w:val="18"/>
                <w:szCs w:val="18"/>
              </w:rPr>
              <w:t xml:space="preserve"> შეაფასება.</w:t>
            </w:r>
          </w:p>
        </w:tc>
        <w:tc>
          <w:tcPr>
            <w:tcW w:w="1260" w:type="dxa"/>
            <w:tcBorders>
              <w:bottom w:val="single" w:sz="4" w:space="0" w:color="auto"/>
            </w:tcBorders>
            <w:shd w:val="clear" w:color="auto" w:fill="FFFFFF" w:themeFill="background1"/>
            <w:vAlign w:val="center"/>
          </w:tcPr>
          <w:p w14:paraId="0185D5C3" w14:textId="77777777" w:rsidR="0071033A" w:rsidRPr="001F2C5A" w:rsidRDefault="0071033A" w:rsidP="002B56CC">
            <w:pPr>
              <w:suppressAutoHyphens/>
              <w:contextualSpacing/>
              <w:jc w:val="center"/>
              <w:rPr>
                <w:rFonts w:ascii="Sylfaen" w:hAnsi="Sylfaen" w:cs="Arial"/>
                <w:sz w:val="18"/>
                <w:szCs w:val="18"/>
              </w:rPr>
            </w:pPr>
            <w:r w:rsidRPr="001F2C5A">
              <w:rPr>
                <w:rFonts w:ascii="Sylfaen" w:hAnsi="Sylfaen" w:cs="Arial"/>
                <w:sz w:val="18"/>
                <w:szCs w:val="18"/>
                <w:lang w:val="ka-GE"/>
              </w:rPr>
              <w:lastRenderedPageBreak/>
              <w:t>სკ</w:t>
            </w:r>
          </w:p>
        </w:tc>
        <w:tc>
          <w:tcPr>
            <w:tcW w:w="1350" w:type="dxa"/>
            <w:tcBorders>
              <w:bottom w:val="single" w:sz="4" w:space="0" w:color="auto"/>
            </w:tcBorders>
            <w:shd w:val="clear" w:color="auto" w:fill="FFFFFF" w:themeFill="background1"/>
            <w:vAlign w:val="center"/>
          </w:tcPr>
          <w:p w14:paraId="06663E55" w14:textId="77777777" w:rsidR="0071033A" w:rsidRPr="001F2C5A" w:rsidRDefault="0071033A" w:rsidP="002B56CC">
            <w:pPr>
              <w:suppressAutoHyphens/>
              <w:contextualSpacing/>
              <w:jc w:val="center"/>
              <w:rPr>
                <w:rFonts w:ascii="Sylfaen" w:hAnsi="Sylfaen" w:cs="Arial"/>
                <w:sz w:val="18"/>
                <w:szCs w:val="18"/>
              </w:rPr>
            </w:pPr>
            <w:r w:rsidRPr="001F2C5A">
              <w:rPr>
                <w:rFonts w:ascii="Sylfaen" w:hAnsi="Sylfaen" w:cs="Arial"/>
                <w:sz w:val="18"/>
                <w:szCs w:val="18"/>
                <w:lang w:val="ka-GE"/>
              </w:rPr>
              <w:t>სგდ</w:t>
            </w:r>
          </w:p>
        </w:tc>
      </w:tr>
      <w:tr w:rsidR="0071033A" w:rsidRPr="001F2C5A" w14:paraId="6BD8A794" w14:textId="77777777" w:rsidTr="001F2C5A">
        <w:trPr>
          <w:trHeight w:val="359"/>
        </w:trPr>
        <w:tc>
          <w:tcPr>
            <w:tcW w:w="1525" w:type="dxa"/>
            <w:tcBorders>
              <w:bottom w:val="single" w:sz="4" w:space="0" w:color="auto"/>
            </w:tcBorders>
            <w:shd w:val="clear" w:color="auto" w:fill="FFFFFF" w:themeFill="background1"/>
          </w:tcPr>
          <w:p w14:paraId="00A85FD7"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lang w:val="ka-GE"/>
              </w:rPr>
              <w:t>მ</w:t>
            </w:r>
            <w:r w:rsidRPr="001F2C5A">
              <w:rPr>
                <w:rFonts w:ascii="Sylfaen" w:hAnsi="Sylfaen" w:cs="Arial"/>
                <w:spacing w:val="-1"/>
                <w:sz w:val="18"/>
                <w:szCs w:val="18"/>
              </w:rPr>
              <w:t>იწის სამუშაოები და სხვადასხვა სამშენებლო სამუშაოები</w:t>
            </w:r>
          </w:p>
        </w:tc>
        <w:tc>
          <w:tcPr>
            <w:tcW w:w="1620" w:type="dxa"/>
            <w:tcBorders>
              <w:bottom w:val="single" w:sz="4" w:space="0" w:color="auto"/>
            </w:tcBorders>
            <w:shd w:val="clear" w:color="auto" w:fill="FFFFFF" w:themeFill="background1"/>
          </w:tcPr>
          <w:p w14:paraId="56716BC5"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rPr>
              <w:t>ნიადაგის სტაბილურობა და ხარისხის დეგრადაცია, ნიადაგის სტრუქტურის გაუარესება და პროდუქტიულობის შემცირება.</w:t>
            </w:r>
          </w:p>
        </w:tc>
        <w:tc>
          <w:tcPr>
            <w:tcW w:w="7200" w:type="dxa"/>
            <w:tcBorders>
              <w:bottom w:val="single" w:sz="4" w:space="0" w:color="auto"/>
            </w:tcBorders>
            <w:shd w:val="clear" w:color="auto" w:fill="FFFFFF" w:themeFill="background1"/>
          </w:tcPr>
          <w:p w14:paraId="584050A7"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მშენებლობის დაწყებამდე ნიადაგის ზედა ფენის მოხსნა</w:t>
            </w:r>
          </w:p>
          <w:p w14:paraId="3662E977" w14:textId="77777777" w:rsidR="0071033A" w:rsidRPr="001F2C5A" w:rsidRDefault="0071033A" w:rsidP="00821E4D">
            <w:pPr>
              <w:pStyle w:val="ListParagraph"/>
              <w:widowControl w:val="0"/>
              <w:numPr>
                <w:ilvl w:val="0"/>
                <w:numId w:val="23"/>
              </w:numPr>
              <w:tabs>
                <w:tab w:val="left" w:pos="302"/>
              </w:tabs>
              <w:spacing w:after="0" w:line="240" w:lineRule="auto"/>
              <w:ind w:right="453"/>
              <w:contextualSpacing w:val="0"/>
              <w:jc w:val="left"/>
              <w:rPr>
                <w:rFonts w:cs="Arial"/>
                <w:sz w:val="18"/>
                <w:szCs w:val="18"/>
              </w:rPr>
            </w:pPr>
            <w:r w:rsidRPr="001F2C5A">
              <w:rPr>
                <w:rFonts w:cs="Arial"/>
                <w:spacing w:val="-1"/>
                <w:sz w:val="18"/>
                <w:szCs w:val="18"/>
              </w:rPr>
              <w:t>RoW დერეფნის გასწვრივ განლაგებული ჰუმუსის (შავი მიწის) ზედა ფენის შენარჩუნება სტაბილურ მდგომარეობაში, სანამ ხელახლა გამოიყენება.</w:t>
            </w:r>
          </w:p>
          <w:p w14:paraId="0BA3490F"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ზედა და ქვენიადაგის ცალკეული შეგროვება.</w:t>
            </w:r>
          </w:p>
          <w:p w14:paraId="12367B3A" w14:textId="77777777" w:rsidR="0071033A" w:rsidRPr="001F2C5A" w:rsidRDefault="0071033A" w:rsidP="00821E4D">
            <w:pPr>
              <w:pStyle w:val="ListParagraph"/>
              <w:widowControl w:val="0"/>
              <w:numPr>
                <w:ilvl w:val="0"/>
                <w:numId w:val="23"/>
              </w:numPr>
              <w:tabs>
                <w:tab w:val="left" w:pos="302"/>
              </w:tabs>
              <w:spacing w:after="0" w:line="240" w:lineRule="auto"/>
              <w:ind w:right="778"/>
              <w:contextualSpacing w:val="0"/>
              <w:jc w:val="left"/>
              <w:rPr>
                <w:rFonts w:cs="Arial"/>
                <w:sz w:val="18"/>
                <w:szCs w:val="18"/>
              </w:rPr>
            </w:pPr>
            <w:r w:rsidRPr="001F2C5A">
              <w:rPr>
                <w:rFonts w:cs="Arial"/>
                <w:spacing w:val="-1"/>
                <w:sz w:val="18"/>
                <w:szCs w:val="18"/>
              </w:rPr>
              <w:t>მისასვლელი გზების საზღვრების და მიწის ექსპლუატაციის მკაცრი დაცვა, რათა თავიდან იქნეს აცილებული დაბინძურება, ნიადაგის დატკეპნა.</w:t>
            </w:r>
          </w:p>
          <w:p w14:paraId="4F220B14"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ეროზიის რისკის თავიდან აცილების მიზნით, მცენარეული საფარის შენარჩუნება</w:t>
            </w:r>
            <w:r w:rsidRPr="001F2C5A">
              <w:rPr>
                <w:rFonts w:cs="Arial"/>
                <w:spacing w:val="-1"/>
                <w:sz w:val="18"/>
                <w:szCs w:val="18"/>
                <w:lang w:val="ka-GE"/>
              </w:rPr>
              <w:t>.</w:t>
            </w:r>
          </w:p>
          <w:p w14:paraId="680FE225"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საწვავის/ნავთობის დაღვრის თავიდან აცილება</w:t>
            </w:r>
            <w:r w:rsidRPr="001F2C5A">
              <w:rPr>
                <w:rFonts w:cs="Arial"/>
                <w:spacing w:val="-1"/>
                <w:sz w:val="18"/>
                <w:szCs w:val="18"/>
                <w:lang w:val="ka-GE"/>
              </w:rPr>
              <w:t>.</w:t>
            </w:r>
          </w:p>
          <w:p w14:paraId="44638427" w14:textId="77777777" w:rsidR="0071033A" w:rsidRPr="001F2C5A" w:rsidRDefault="0071033A" w:rsidP="00821E4D">
            <w:pPr>
              <w:pStyle w:val="ListParagraph"/>
              <w:widowControl w:val="0"/>
              <w:numPr>
                <w:ilvl w:val="0"/>
                <w:numId w:val="23"/>
              </w:numPr>
              <w:tabs>
                <w:tab w:val="left" w:pos="418"/>
              </w:tabs>
              <w:spacing w:after="0" w:line="240" w:lineRule="auto"/>
              <w:ind w:right="134"/>
              <w:contextualSpacing w:val="0"/>
              <w:jc w:val="left"/>
              <w:rPr>
                <w:rFonts w:cs="Arial"/>
                <w:sz w:val="18"/>
                <w:szCs w:val="18"/>
              </w:rPr>
            </w:pPr>
            <w:r w:rsidRPr="001F2C5A">
              <w:rPr>
                <w:rFonts w:cs="Arial"/>
                <w:spacing w:val="-1"/>
                <w:sz w:val="18"/>
                <w:szCs w:val="18"/>
              </w:rPr>
              <w:t>კადრების მომზადება კარგი პრაქტიკაში</w:t>
            </w:r>
          </w:p>
          <w:p w14:paraId="38D1966C" w14:textId="77777777" w:rsidR="0071033A" w:rsidRPr="001F2C5A" w:rsidRDefault="0071033A" w:rsidP="00821E4D">
            <w:pPr>
              <w:pStyle w:val="ListParagraph"/>
              <w:widowControl w:val="0"/>
              <w:numPr>
                <w:ilvl w:val="0"/>
                <w:numId w:val="23"/>
              </w:numPr>
              <w:tabs>
                <w:tab w:val="left" w:pos="418"/>
              </w:tabs>
              <w:spacing w:after="0" w:line="240" w:lineRule="auto"/>
              <w:ind w:right="134"/>
              <w:contextualSpacing w:val="0"/>
              <w:jc w:val="left"/>
              <w:rPr>
                <w:rFonts w:cs="Arial"/>
                <w:sz w:val="18"/>
                <w:szCs w:val="18"/>
              </w:rPr>
            </w:pPr>
            <w:r w:rsidRPr="001F2C5A">
              <w:rPr>
                <w:rFonts w:cs="Arial"/>
                <w:spacing w:val="-1"/>
                <w:sz w:val="18"/>
                <w:szCs w:val="18"/>
                <w:lang w:val="ka-GE"/>
              </w:rPr>
              <w:t>ჰიდრო-დათესვა</w:t>
            </w:r>
          </w:p>
        </w:tc>
        <w:tc>
          <w:tcPr>
            <w:tcW w:w="2070" w:type="dxa"/>
            <w:tcBorders>
              <w:bottom w:val="single" w:sz="4" w:space="0" w:color="auto"/>
            </w:tcBorders>
            <w:shd w:val="clear" w:color="auto" w:fill="FFFFFF" w:themeFill="background1"/>
          </w:tcPr>
          <w:p w14:paraId="5B84874C" w14:textId="77777777" w:rsidR="0071033A" w:rsidRPr="001F2C5A" w:rsidRDefault="0071033A" w:rsidP="002B56CC">
            <w:pPr>
              <w:pStyle w:val="TableParagraph"/>
              <w:ind w:right="178"/>
              <w:rPr>
                <w:rFonts w:ascii="Sylfaen" w:hAnsi="Sylfaen" w:cs="Arial"/>
                <w:spacing w:val="-1"/>
                <w:sz w:val="18"/>
                <w:szCs w:val="18"/>
              </w:rPr>
            </w:pPr>
            <w:r w:rsidRPr="001F2C5A">
              <w:rPr>
                <w:rFonts w:ascii="Sylfaen" w:hAnsi="Sylfaen" w:cs="Arial"/>
                <w:spacing w:val="-1"/>
                <w:sz w:val="18"/>
                <w:szCs w:val="18"/>
              </w:rPr>
              <w:t>დამატებითი ხარჯები არ არის საჭირო. შესრულდება სამშენებლო სამუშაოების ბიუჯეტის გათვალისწინებით.</w:t>
            </w:r>
          </w:p>
        </w:tc>
        <w:tc>
          <w:tcPr>
            <w:tcW w:w="1260" w:type="dxa"/>
            <w:tcBorders>
              <w:bottom w:val="single" w:sz="4" w:space="0" w:color="auto"/>
            </w:tcBorders>
            <w:shd w:val="clear" w:color="auto" w:fill="FFFFFF" w:themeFill="background1"/>
            <w:vAlign w:val="center"/>
          </w:tcPr>
          <w:p w14:paraId="06475531" w14:textId="77777777" w:rsidR="0071033A" w:rsidRPr="001F2C5A" w:rsidRDefault="0071033A" w:rsidP="002B56CC">
            <w:pPr>
              <w:suppressAutoHyphens/>
              <w:contextualSpacing/>
              <w:jc w:val="center"/>
              <w:rPr>
                <w:rFonts w:ascii="Sylfaen" w:hAnsi="Sylfaen" w:cs="Arial"/>
                <w:sz w:val="18"/>
                <w:szCs w:val="18"/>
              </w:rPr>
            </w:pPr>
            <w:r w:rsidRPr="001F2C5A">
              <w:rPr>
                <w:rFonts w:ascii="Sylfaen" w:hAnsi="Sylfaen" w:cs="Arial"/>
                <w:sz w:val="18"/>
                <w:szCs w:val="18"/>
                <w:lang w:val="ka-GE"/>
              </w:rPr>
              <w:t>სკ</w:t>
            </w:r>
          </w:p>
        </w:tc>
        <w:tc>
          <w:tcPr>
            <w:tcW w:w="1350" w:type="dxa"/>
            <w:tcBorders>
              <w:bottom w:val="single" w:sz="4" w:space="0" w:color="auto"/>
            </w:tcBorders>
            <w:shd w:val="clear" w:color="auto" w:fill="FFFFFF" w:themeFill="background1"/>
            <w:vAlign w:val="center"/>
          </w:tcPr>
          <w:p w14:paraId="799BDF76" w14:textId="77777777" w:rsidR="0071033A" w:rsidRPr="001F2C5A" w:rsidRDefault="0071033A" w:rsidP="002B56CC">
            <w:pPr>
              <w:suppressAutoHyphens/>
              <w:contextualSpacing/>
              <w:jc w:val="center"/>
              <w:rPr>
                <w:rFonts w:ascii="Sylfaen" w:hAnsi="Sylfaen" w:cs="Arial"/>
                <w:sz w:val="18"/>
                <w:szCs w:val="18"/>
              </w:rPr>
            </w:pPr>
            <w:r w:rsidRPr="001F2C5A">
              <w:rPr>
                <w:rFonts w:ascii="Sylfaen" w:hAnsi="Sylfaen" w:cs="Arial"/>
                <w:sz w:val="18"/>
                <w:szCs w:val="18"/>
                <w:lang w:val="ka-GE"/>
              </w:rPr>
              <w:t>სგდ</w:t>
            </w:r>
          </w:p>
        </w:tc>
      </w:tr>
      <w:tr w:rsidR="0071033A" w:rsidRPr="001F2C5A" w14:paraId="5681CBA2" w14:textId="77777777" w:rsidTr="001F2C5A">
        <w:trPr>
          <w:trHeight w:val="359"/>
        </w:trPr>
        <w:tc>
          <w:tcPr>
            <w:tcW w:w="1525" w:type="dxa"/>
            <w:tcBorders>
              <w:bottom w:val="single" w:sz="4" w:space="0" w:color="auto"/>
            </w:tcBorders>
            <w:shd w:val="clear" w:color="auto" w:fill="FFFFFF" w:themeFill="background1"/>
          </w:tcPr>
          <w:p w14:paraId="71A1C064"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rPr>
              <w:lastRenderedPageBreak/>
              <w:t xml:space="preserve">კონტრაქტორის სამუშაო ბანაკებისა და სამშენებლო სამუშაოების </w:t>
            </w:r>
            <w:r w:rsidRPr="001F2C5A">
              <w:rPr>
                <w:rFonts w:ascii="Sylfaen" w:hAnsi="Sylfaen" w:cs="Arial"/>
                <w:spacing w:val="-1"/>
                <w:sz w:val="18"/>
                <w:szCs w:val="18"/>
                <w:lang w:val="ka-GE"/>
              </w:rPr>
              <w:t>მოწყობა</w:t>
            </w:r>
            <w:r w:rsidRPr="001F2C5A">
              <w:rPr>
                <w:rFonts w:ascii="Sylfaen" w:hAnsi="Sylfaen" w:cs="Arial"/>
                <w:spacing w:val="-1"/>
                <w:sz w:val="18"/>
                <w:szCs w:val="18"/>
              </w:rPr>
              <w:t xml:space="preserve"> და ექსპლუატაცია</w:t>
            </w:r>
          </w:p>
        </w:tc>
        <w:tc>
          <w:tcPr>
            <w:tcW w:w="1620" w:type="dxa"/>
            <w:tcBorders>
              <w:bottom w:val="single" w:sz="4" w:space="0" w:color="auto"/>
            </w:tcBorders>
            <w:shd w:val="clear" w:color="auto" w:fill="FFFFFF" w:themeFill="background1"/>
          </w:tcPr>
          <w:p w14:paraId="655E9E42"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rPr>
              <w:t>მუშაკთა, ოპერატორებისა და მძღოლების უსაფრთხოება.</w:t>
            </w:r>
          </w:p>
        </w:tc>
        <w:tc>
          <w:tcPr>
            <w:tcW w:w="7200" w:type="dxa"/>
            <w:tcBorders>
              <w:bottom w:val="single" w:sz="4" w:space="0" w:color="auto"/>
            </w:tcBorders>
            <w:shd w:val="clear" w:color="auto" w:fill="FFFFFF" w:themeFill="background1"/>
          </w:tcPr>
          <w:p w14:paraId="79EA3366" w14:textId="77777777" w:rsidR="0071033A" w:rsidRPr="001F2C5A" w:rsidRDefault="0071033A" w:rsidP="00821E4D">
            <w:pPr>
              <w:pStyle w:val="ListParagraph"/>
              <w:widowControl w:val="0"/>
              <w:numPr>
                <w:ilvl w:val="0"/>
                <w:numId w:val="23"/>
              </w:numPr>
              <w:tabs>
                <w:tab w:val="left" w:pos="302"/>
              </w:tabs>
              <w:spacing w:before="13" w:after="0" w:line="240" w:lineRule="auto"/>
              <w:ind w:right="226"/>
              <w:contextualSpacing w:val="0"/>
              <w:jc w:val="left"/>
              <w:rPr>
                <w:rFonts w:cs="Arial"/>
                <w:sz w:val="18"/>
                <w:szCs w:val="18"/>
              </w:rPr>
            </w:pPr>
            <w:r w:rsidRPr="001F2C5A">
              <w:rPr>
                <w:rFonts w:cs="Arial"/>
                <w:spacing w:val="-1"/>
                <w:sz w:val="18"/>
                <w:szCs w:val="18"/>
              </w:rPr>
              <w:t>პროექტში გათვალისწინებული საქმიანობის შესახებ პერსონალის დეტალური ინფორმირება.</w:t>
            </w:r>
          </w:p>
          <w:p w14:paraId="28C2BFB3" w14:textId="77777777" w:rsidR="0071033A" w:rsidRPr="001F2C5A" w:rsidRDefault="0071033A" w:rsidP="00821E4D">
            <w:pPr>
              <w:pStyle w:val="ListParagraph"/>
              <w:widowControl w:val="0"/>
              <w:numPr>
                <w:ilvl w:val="0"/>
                <w:numId w:val="23"/>
              </w:numPr>
              <w:tabs>
                <w:tab w:val="left" w:pos="302"/>
              </w:tabs>
              <w:spacing w:before="13" w:after="0" w:line="240" w:lineRule="auto"/>
              <w:ind w:right="113"/>
              <w:contextualSpacing w:val="0"/>
              <w:jc w:val="left"/>
              <w:rPr>
                <w:rFonts w:cs="Arial"/>
                <w:sz w:val="18"/>
                <w:szCs w:val="18"/>
              </w:rPr>
            </w:pPr>
            <w:r w:rsidRPr="001F2C5A">
              <w:rPr>
                <w:rFonts w:cs="Arial"/>
                <w:spacing w:val="-1"/>
                <w:sz w:val="18"/>
                <w:szCs w:val="18"/>
              </w:rPr>
              <w:t xml:space="preserve">სპეციალისტების მიერ  საქმიანობის უსაფრთხოებაზე სხვადასხვა დარგში ტრენინგების ჩატარება  </w:t>
            </w:r>
          </w:p>
          <w:p w14:paraId="52410261"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 xml:space="preserve">ახალი პერსონალის </w:t>
            </w:r>
            <w:r w:rsidRPr="001F2C5A">
              <w:rPr>
                <w:rFonts w:cs="Arial"/>
                <w:spacing w:val="-1"/>
                <w:sz w:val="18"/>
                <w:szCs w:val="18"/>
                <w:lang w:val="ka-GE"/>
              </w:rPr>
              <w:t>ინსტრუქტირება</w:t>
            </w:r>
          </w:p>
          <w:p w14:paraId="2305209A"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ცვლის დაწყებამდე უსაფრთხოების ბრიფინგი</w:t>
            </w:r>
          </w:p>
          <w:p w14:paraId="16C073DD"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ერსონალის უზრუნველყოფა პირადი დაცვის საშუალებით.</w:t>
            </w:r>
          </w:p>
          <w:p w14:paraId="7029966F"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 xml:space="preserve">ტექნიკური პერსონალის უსაფრთხოების </w:t>
            </w:r>
            <w:r w:rsidRPr="001F2C5A">
              <w:rPr>
                <w:rFonts w:cs="Arial"/>
                <w:spacing w:val="-1"/>
                <w:sz w:val="18"/>
                <w:szCs w:val="18"/>
                <w:lang w:val="ka-GE"/>
              </w:rPr>
              <w:t>უნარების</w:t>
            </w:r>
            <w:r w:rsidRPr="001F2C5A">
              <w:rPr>
                <w:rFonts w:cs="Arial"/>
                <w:spacing w:val="-1"/>
                <w:sz w:val="18"/>
                <w:szCs w:val="18"/>
              </w:rPr>
              <w:t xml:space="preserve"> შემოწმება (მძღოლები და ა.შ.)</w:t>
            </w:r>
          </w:p>
          <w:p w14:paraId="067D2686" w14:textId="77777777" w:rsidR="0071033A" w:rsidRPr="001F2C5A" w:rsidRDefault="0071033A" w:rsidP="00821E4D">
            <w:pPr>
              <w:pStyle w:val="ListParagraph"/>
              <w:widowControl w:val="0"/>
              <w:numPr>
                <w:ilvl w:val="0"/>
                <w:numId w:val="23"/>
              </w:numPr>
              <w:tabs>
                <w:tab w:val="left" w:pos="418"/>
              </w:tabs>
              <w:spacing w:after="0" w:line="240" w:lineRule="auto"/>
              <w:ind w:right="134"/>
              <w:contextualSpacing w:val="0"/>
              <w:jc w:val="left"/>
              <w:rPr>
                <w:rFonts w:cs="Arial"/>
                <w:sz w:val="18"/>
                <w:szCs w:val="18"/>
              </w:rPr>
            </w:pPr>
            <w:r w:rsidRPr="001F2C5A">
              <w:rPr>
                <w:rFonts w:cs="Arial"/>
                <w:spacing w:val="-1"/>
                <w:sz w:val="18"/>
                <w:szCs w:val="18"/>
              </w:rPr>
              <w:t xml:space="preserve">ჯანმრთელობისა და უსაფრთხოების გეგმის მომზადება </w:t>
            </w:r>
            <w:r w:rsidRPr="001F2C5A">
              <w:rPr>
                <w:rFonts w:cs="Arial"/>
                <w:spacing w:val="-1"/>
                <w:sz w:val="18"/>
                <w:szCs w:val="18"/>
                <w:lang w:val="ka-GE"/>
              </w:rPr>
              <w:t>ადგილზე</w:t>
            </w:r>
            <w:r w:rsidRPr="001F2C5A">
              <w:rPr>
                <w:rFonts w:cs="Arial"/>
                <w:spacing w:val="-1"/>
                <w:sz w:val="18"/>
                <w:szCs w:val="18"/>
              </w:rPr>
              <w:t xml:space="preserve"> ყველა საქმიანობასთან დაკავშირებით.</w:t>
            </w:r>
          </w:p>
        </w:tc>
        <w:tc>
          <w:tcPr>
            <w:tcW w:w="2070" w:type="dxa"/>
            <w:tcBorders>
              <w:bottom w:val="single" w:sz="4" w:space="0" w:color="auto"/>
            </w:tcBorders>
            <w:shd w:val="clear" w:color="auto" w:fill="FFFFFF" w:themeFill="background1"/>
          </w:tcPr>
          <w:p w14:paraId="0A3BA273" w14:textId="77777777" w:rsidR="0071033A" w:rsidRPr="001F2C5A" w:rsidRDefault="0071033A" w:rsidP="00821E4D">
            <w:pPr>
              <w:pStyle w:val="TableParagraph"/>
              <w:numPr>
                <w:ilvl w:val="0"/>
                <w:numId w:val="26"/>
              </w:numPr>
              <w:ind w:left="162" w:right="178" w:hanging="183"/>
              <w:rPr>
                <w:rFonts w:ascii="Sylfaen" w:hAnsi="Sylfaen" w:cs="Arial"/>
                <w:spacing w:val="-1"/>
                <w:sz w:val="18"/>
                <w:szCs w:val="18"/>
              </w:rPr>
            </w:pPr>
            <w:r w:rsidRPr="001F2C5A">
              <w:rPr>
                <w:rFonts w:ascii="Sylfaen" w:hAnsi="Sylfaen" w:cs="Arial"/>
                <w:spacing w:val="-1"/>
                <w:sz w:val="18"/>
                <w:szCs w:val="18"/>
              </w:rPr>
              <w:t>დამატებითი ხარჯები არ არის საჭირო. შესრულდება სამშენებლო სამუშაოების ბიუჯეტის გათვალისწინებით.</w:t>
            </w:r>
          </w:p>
        </w:tc>
        <w:tc>
          <w:tcPr>
            <w:tcW w:w="1260" w:type="dxa"/>
            <w:tcBorders>
              <w:bottom w:val="single" w:sz="4" w:space="0" w:color="auto"/>
            </w:tcBorders>
            <w:shd w:val="clear" w:color="auto" w:fill="FFFFFF" w:themeFill="background1"/>
            <w:vAlign w:val="center"/>
          </w:tcPr>
          <w:p w14:paraId="2CD3B8FF" w14:textId="77777777" w:rsidR="0071033A" w:rsidRPr="001F2C5A" w:rsidRDefault="0071033A" w:rsidP="002B56CC">
            <w:pPr>
              <w:suppressAutoHyphens/>
              <w:contextualSpacing/>
              <w:jc w:val="center"/>
              <w:rPr>
                <w:rFonts w:ascii="Sylfaen" w:hAnsi="Sylfaen" w:cs="Arial"/>
                <w:sz w:val="18"/>
                <w:szCs w:val="18"/>
              </w:rPr>
            </w:pPr>
            <w:r w:rsidRPr="001F2C5A">
              <w:rPr>
                <w:rFonts w:ascii="Sylfaen" w:hAnsi="Sylfaen" w:cs="Arial"/>
                <w:sz w:val="18"/>
                <w:szCs w:val="18"/>
                <w:lang w:val="ka-GE"/>
              </w:rPr>
              <w:t>სკ</w:t>
            </w:r>
          </w:p>
        </w:tc>
        <w:tc>
          <w:tcPr>
            <w:tcW w:w="1350" w:type="dxa"/>
            <w:tcBorders>
              <w:bottom w:val="single" w:sz="4" w:space="0" w:color="auto"/>
            </w:tcBorders>
            <w:shd w:val="clear" w:color="auto" w:fill="FFFFFF" w:themeFill="background1"/>
          </w:tcPr>
          <w:p w14:paraId="516CD059"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სგდ</w:t>
            </w:r>
          </w:p>
        </w:tc>
      </w:tr>
      <w:tr w:rsidR="0071033A" w:rsidRPr="001F2C5A" w14:paraId="721CD836" w14:textId="77777777" w:rsidTr="001F2C5A">
        <w:trPr>
          <w:trHeight w:val="359"/>
        </w:trPr>
        <w:tc>
          <w:tcPr>
            <w:tcW w:w="1525" w:type="dxa"/>
            <w:tcBorders>
              <w:bottom w:val="single" w:sz="4" w:space="0" w:color="auto"/>
            </w:tcBorders>
            <w:shd w:val="clear" w:color="auto" w:fill="FFFFFF" w:themeFill="background1"/>
          </w:tcPr>
          <w:p w14:paraId="4C6DF5DE"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rPr>
              <w:t>ხიდის, წყალსატევისა და სადრენაჟე სისტემის მშენებლობა; სანაპიროს დაცვის კეთილმოწყობილობის მშენებლობა</w:t>
            </w:r>
          </w:p>
        </w:tc>
        <w:tc>
          <w:tcPr>
            <w:tcW w:w="1620" w:type="dxa"/>
            <w:tcBorders>
              <w:bottom w:val="single" w:sz="4" w:space="0" w:color="auto"/>
            </w:tcBorders>
            <w:shd w:val="clear" w:color="auto" w:fill="FFFFFF" w:themeFill="background1"/>
          </w:tcPr>
          <w:p w14:paraId="317E34B2"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rPr>
              <w:t>წყლის ხარისხის შესაძლო გაუარესება, მდინარის კალაპოტში განხორციელებული სამუშაოების შედეგად გამოწვეული წყლის არეალის ზემოქმედება. ეროზიის პროცესების გააქტიურებით გამოწვეული სანაპიროზე გავლენა</w:t>
            </w:r>
          </w:p>
        </w:tc>
        <w:tc>
          <w:tcPr>
            <w:tcW w:w="7200" w:type="dxa"/>
            <w:tcBorders>
              <w:bottom w:val="single" w:sz="4" w:space="0" w:color="auto"/>
            </w:tcBorders>
            <w:shd w:val="clear" w:color="auto" w:fill="FFFFFF" w:themeFill="background1"/>
          </w:tcPr>
          <w:p w14:paraId="51B84B7B"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ხიდების ბურჯებისა და საყრდენების მშენებლობაში აუცილებელი მიწის სამუშაოები უნდა იყოს დაყვანილი რეალურ მინიმუმამდე პროექტირების მიხედვით, ეროზიის თავიდან აცილების მიზნით.</w:t>
            </w:r>
          </w:p>
          <w:p w14:paraId="26349E14"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z w:val="18"/>
                <w:szCs w:val="18"/>
              </w:rPr>
              <w:t>დროებითი მისასვლელი გზების მშენებლობა, რომელიც გათვალისწინებულია ეროზიის არსებული მოცულობით.</w:t>
            </w:r>
          </w:p>
          <w:p w14:paraId="4BA12A6D"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მდინარის ნაპირებისა და მათი ახლომდებარე ფერდობების შესწავლა ნიადაგის პოტენციური დაცურების თავიდან ასაცილებლად. შემოწმების მიზანია მდინარის ნაპირების დროული რეაბილიტაცია და კონსოლიდაცია.</w:t>
            </w:r>
          </w:p>
          <w:p w14:paraId="00E5642E"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ხიდის ბურჯებისა და საყრდენების მშენებლობისთვის საჭირო დროს შემცირება მისი ოპტიმალური მინიმუმამდე.</w:t>
            </w:r>
          </w:p>
          <w:p w14:paraId="7B40DE3F"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მდინარის კალაპოტში ტხრილებიდან მასალების დაგროვების თავიდან არიდების მიზნით.</w:t>
            </w:r>
          </w:p>
          <w:p w14:paraId="029B172B"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სატრანსპორტო საშუალების/მანქანის რემონტისა და მდინარის კალაპოტიდან ახლო ადგილას საწვავის ჩასხმის აკრძალვა.</w:t>
            </w:r>
          </w:p>
          <w:p w14:paraId="12D48A71"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ნარჩენების სწორად მართვა</w:t>
            </w:r>
          </w:p>
          <w:p w14:paraId="7ECFBEE8"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ფერდობების სტაბილიზაცია</w:t>
            </w:r>
          </w:p>
          <w:p w14:paraId="02DBC16C" w14:textId="77777777" w:rsidR="0071033A" w:rsidRPr="001F2C5A" w:rsidRDefault="0071033A" w:rsidP="00821E4D">
            <w:pPr>
              <w:pStyle w:val="ListParagraph"/>
              <w:widowControl w:val="0"/>
              <w:numPr>
                <w:ilvl w:val="0"/>
                <w:numId w:val="23"/>
              </w:numPr>
              <w:tabs>
                <w:tab w:val="left" w:pos="302"/>
              </w:tabs>
              <w:spacing w:after="0" w:line="240" w:lineRule="auto"/>
              <w:contextualSpacing w:val="0"/>
              <w:rPr>
                <w:rFonts w:cs="Arial"/>
                <w:sz w:val="18"/>
                <w:szCs w:val="18"/>
              </w:rPr>
            </w:pPr>
            <w:r w:rsidRPr="001F2C5A">
              <w:rPr>
                <w:rFonts w:cs="Arial"/>
                <w:spacing w:val="-1"/>
                <w:sz w:val="18"/>
                <w:szCs w:val="18"/>
              </w:rPr>
              <w:t>მდინარის კალაპოტში სამშენებლო სამუშაოების დროის გაანგარიშება წყლის ცოცხალი გარემოს სენსიტიური პერიოდის გათვალისწინებით. მდინარეებში სამშენებლო სამუშაოები არ უნდა ემთხვევოდეს ქვირითის სეზონს (სასურველია შემოდგომაზე).</w:t>
            </w:r>
          </w:p>
          <w:p w14:paraId="4397F884"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მდინარეში ნარჩენების პირდაპირი გადაღვრის აკრძალვა.</w:t>
            </w:r>
          </w:p>
          <w:p w14:paraId="3825C735" w14:textId="77777777" w:rsidR="0071033A" w:rsidRPr="001F2C5A" w:rsidRDefault="0071033A" w:rsidP="00821E4D">
            <w:pPr>
              <w:pStyle w:val="ListParagraph"/>
              <w:widowControl w:val="0"/>
              <w:numPr>
                <w:ilvl w:val="0"/>
                <w:numId w:val="23"/>
              </w:numPr>
              <w:tabs>
                <w:tab w:val="left" w:pos="302"/>
              </w:tabs>
              <w:spacing w:after="0" w:line="240" w:lineRule="auto"/>
              <w:contextualSpacing w:val="0"/>
              <w:rPr>
                <w:rFonts w:cs="Arial"/>
                <w:sz w:val="18"/>
                <w:szCs w:val="18"/>
              </w:rPr>
            </w:pPr>
            <w:r w:rsidRPr="001F2C5A">
              <w:rPr>
                <w:rFonts w:cs="Arial"/>
                <w:spacing w:val="-1"/>
                <w:sz w:val="18"/>
                <w:szCs w:val="18"/>
              </w:rPr>
              <w:t>სამშენებლო სამუშაობის განხორციელებისთვის საჭირო ბუნებრივი კალაპოტის გაადგილების შემთხვევაში თევზისთვის წყლის გზების და გასავლელი არხების მოწყობა.</w:t>
            </w:r>
          </w:p>
          <w:p w14:paraId="1C581246" w14:textId="77777777" w:rsidR="0071033A" w:rsidRPr="001F2C5A" w:rsidRDefault="0071033A" w:rsidP="00821E4D">
            <w:pPr>
              <w:pStyle w:val="ListParagraph"/>
              <w:widowControl w:val="0"/>
              <w:numPr>
                <w:ilvl w:val="0"/>
                <w:numId w:val="23"/>
              </w:numPr>
              <w:tabs>
                <w:tab w:val="left" w:pos="302"/>
              </w:tabs>
              <w:spacing w:before="13" w:after="0" w:line="240" w:lineRule="auto"/>
              <w:ind w:left="157"/>
              <w:contextualSpacing w:val="0"/>
              <w:jc w:val="left"/>
              <w:rPr>
                <w:rFonts w:cs="Arial"/>
                <w:spacing w:val="-1"/>
                <w:sz w:val="18"/>
                <w:szCs w:val="18"/>
              </w:rPr>
            </w:pPr>
            <w:r w:rsidRPr="001F2C5A">
              <w:rPr>
                <w:rFonts w:cs="Arial"/>
                <w:spacing w:val="-1"/>
                <w:sz w:val="18"/>
                <w:szCs w:val="18"/>
              </w:rPr>
              <w:t>კადრების მომზადება კარგი პრაქტიკაში</w:t>
            </w:r>
          </w:p>
        </w:tc>
        <w:tc>
          <w:tcPr>
            <w:tcW w:w="2070" w:type="dxa"/>
            <w:tcBorders>
              <w:bottom w:val="single" w:sz="4" w:space="0" w:color="auto"/>
            </w:tcBorders>
            <w:shd w:val="clear" w:color="auto" w:fill="FFFFFF" w:themeFill="background1"/>
          </w:tcPr>
          <w:p w14:paraId="79C1CEFC" w14:textId="77777777" w:rsidR="0071033A" w:rsidRPr="001F2C5A" w:rsidRDefault="0071033A" w:rsidP="00821E4D">
            <w:pPr>
              <w:pStyle w:val="TableParagraph"/>
              <w:numPr>
                <w:ilvl w:val="0"/>
                <w:numId w:val="26"/>
              </w:numPr>
              <w:ind w:left="162" w:right="178" w:hanging="183"/>
              <w:rPr>
                <w:rFonts w:ascii="Sylfaen" w:hAnsi="Sylfaen" w:cs="Arial"/>
                <w:spacing w:val="-1"/>
                <w:sz w:val="18"/>
                <w:szCs w:val="18"/>
              </w:rPr>
            </w:pPr>
            <w:r w:rsidRPr="001F2C5A">
              <w:rPr>
                <w:rFonts w:ascii="Sylfaen" w:hAnsi="Sylfaen" w:cs="Arial"/>
                <w:spacing w:val="-1"/>
                <w:sz w:val="18"/>
                <w:szCs w:val="18"/>
              </w:rPr>
              <w:t xml:space="preserve">დამატებითი ხარჯები არ არის საჭირო. </w:t>
            </w:r>
          </w:p>
        </w:tc>
        <w:tc>
          <w:tcPr>
            <w:tcW w:w="1260" w:type="dxa"/>
            <w:tcBorders>
              <w:bottom w:val="single" w:sz="4" w:space="0" w:color="auto"/>
            </w:tcBorders>
            <w:shd w:val="clear" w:color="auto" w:fill="FFFFFF" w:themeFill="background1"/>
            <w:vAlign w:val="center"/>
          </w:tcPr>
          <w:p w14:paraId="1B2E854C" w14:textId="77777777" w:rsidR="0071033A" w:rsidRPr="001F2C5A" w:rsidRDefault="0071033A" w:rsidP="002B56CC">
            <w:pPr>
              <w:suppressAutoHyphens/>
              <w:contextualSpacing/>
              <w:jc w:val="center"/>
              <w:rPr>
                <w:rFonts w:ascii="Sylfaen" w:hAnsi="Sylfaen" w:cs="Arial"/>
                <w:sz w:val="18"/>
                <w:szCs w:val="18"/>
              </w:rPr>
            </w:pPr>
            <w:r w:rsidRPr="001F2C5A">
              <w:rPr>
                <w:rFonts w:ascii="Sylfaen" w:hAnsi="Sylfaen" w:cs="Arial"/>
                <w:sz w:val="18"/>
                <w:szCs w:val="18"/>
                <w:lang w:val="ka-GE"/>
              </w:rPr>
              <w:t>სკ</w:t>
            </w:r>
          </w:p>
        </w:tc>
        <w:tc>
          <w:tcPr>
            <w:tcW w:w="1350" w:type="dxa"/>
            <w:tcBorders>
              <w:bottom w:val="single" w:sz="4" w:space="0" w:color="auto"/>
            </w:tcBorders>
            <w:shd w:val="clear" w:color="auto" w:fill="FFFFFF" w:themeFill="background1"/>
          </w:tcPr>
          <w:p w14:paraId="62BC6FE0"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სგდ</w:t>
            </w:r>
          </w:p>
        </w:tc>
      </w:tr>
      <w:tr w:rsidR="0071033A" w:rsidRPr="001F2C5A" w14:paraId="51B58BB4" w14:textId="77777777" w:rsidTr="001F2C5A">
        <w:trPr>
          <w:trHeight w:val="359"/>
        </w:trPr>
        <w:tc>
          <w:tcPr>
            <w:tcW w:w="1525" w:type="dxa"/>
            <w:tcBorders>
              <w:bottom w:val="single" w:sz="4" w:space="0" w:color="auto"/>
            </w:tcBorders>
            <w:shd w:val="clear" w:color="auto" w:fill="FFFFFF" w:themeFill="background1"/>
          </w:tcPr>
          <w:p w14:paraId="579F88C6" w14:textId="77777777" w:rsidR="0071033A" w:rsidRPr="001F2C5A" w:rsidRDefault="0071033A" w:rsidP="002B56CC">
            <w:pPr>
              <w:suppressAutoHyphens/>
              <w:contextualSpacing/>
              <w:rPr>
                <w:rFonts w:ascii="Sylfaen" w:hAnsi="Sylfaen" w:cs="Arial"/>
                <w:spacing w:val="-1"/>
                <w:sz w:val="18"/>
                <w:szCs w:val="18"/>
                <w:lang w:val="ka-GE"/>
              </w:rPr>
            </w:pPr>
            <w:r w:rsidRPr="001F2C5A">
              <w:rPr>
                <w:rFonts w:ascii="Sylfaen" w:hAnsi="Sylfaen" w:cs="Arial"/>
                <w:spacing w:val="-1"/>
                <w:sz w:val="18"/>
                <w:szCs w:val="18"/>
              </w:rPr>
              <w:t xml:space="preserve">აღჭურვილობის მოვლა-შენახვისა და საწვავის შენახვის ზონების </w:t>
            </w:r>
            <w:r w:rsidRPr="001F2C5A">
              <w:rPr>
                <w:rFonts w:ascii="Sylfaen" w:hAnsi="Sylfaen" w:cs="Arial"/>
                <w:spacing w:val="-1"/>
                <w:sz w:val="18"/>
                <w:szCs w:val="18"/>
                <w:lang w:val="ka-GE"/>
              </w:rPr>
              <w:lastRenderedPageBreak/>
              <w:t>ფუნქციონირება</w:t>
            </w:r>
          </w:p>
        </w:tc>
        <w:tc>
          <w:tcPr>
            <w:tcW w:w="1620" w:type="dxa"/>
            <w:tcBorders>
              <w:bottom w:val="single" w:sz="4" w:space="0" w:color="auto"/>
            </w:tcBorders>
            <w:shd w:val="clear" w:color="auto" w:fill="FFFFFF" w:themeFill="background1"/>
          </w:tcPr>
          <w:p w14:paraId="1E4F0932"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rPr>
              <w:lastRenderedPageBreak/>
              <w:t xml:space="preserve">წყლის / ნიადაგის ხარისხის გაუარესება მდინარეებში, რომლებიც გამოწვეულია </w:t>
            </w:r>
            <w:r w:rsidRPr="001F2C5A">
              <w:rPr>
                <w:rFonts w:ascii="Sylfaen" w:hAnsi="Sylfaen" w:cs="Arial"/>
                <w:spacing w:val="-1"/>
                <w:sz w:val="18"/>
                <w:szCs w:val="18"/>
              </w:rPr>
              <w:lastRenderedPageBreak/>
              <w:t>დაბინძურებული წყლების, მინერალური ზეთების ან სხვა დამაბინძურებლების შესაძლო გავრცელებით.</w:t>
            </w:r>
          </w:p>
        </w:tc>
        <w:tc>
          <w:tcPr>
            <w:tcW w:w="7200" w:type="dxa"/>
            <w:tcBorders>
              <w:bottom w:val="single" w:sz="4" w:space="0" w:color="auto"/>
            </w:tcBorders>
            <w:shd w:val="clear" w:color="auto" w:fill="FFFFFF" w:themeFill="background1"/>
          </w:tcPr>
          <w:p w14:paraId="592080E7"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lastRenderedPageBreak/>
              <w:t>მდინარის კალაპოტში, ტერასებზე და მათი უშუალო სიახლოვეს სატრანსპორტო საშუალებაში და ტექნიკურ მოწყობილობებში ხელახალი საწვავის ჩასხმის აცილების მიზნით კონტროლის დაწესება.</w:t>
            </w:r>
          </w:p>
          <w:p w14:paraId="4EFE1188"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სატრანსპორტო საშუალებების/სამშენებლო დანადგარების სათანადო ტექნიკური მდგომარეობის კონტროლი (ჰიდრავლიკური სითხის მილები, საწვავის რეზერვუარები და სხვა უნდა შემოწდეს ყოველდღიურად, სანამ მანქანა მდინარეებში შედის).</w:t>
            </w:r>
          </w:p>
          <w:p w14:paraId="03F372AA"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lastRenderedPageBreak/>
              <w:t>სასურველია ადგილს გარეთ სატრანსპორტო საშუალებების საწმენდი საშუალებების ან კომერციული სარეცხი საშუალებების გამოყენება. თუ ადგილზე გაწმენდა საჭიროა,  უნდა მოეწყოს სპეციალური ადგილი საწმენდი ღონისძიებებისთვის. სამრეცხაო ფართობი შეიძლება იქნეს დახრილი, რათა ხელი შეუწყოს წყლის შეგროვებას და ევაპორატიულ საშრობს.</w:t>
            </w:r>
          </w:p>
          <w:p w14:paraId="2D829895"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ადგილზე რემონტი/ტექნიკური საქმიანობა უნდა იყოს შეზღუდული.</w:t>
            </w:r>
            <w:r w:rsidR="00E81445" w:rsidRPr="001F2C5A">
              <w:rPr>
                <w:rFonts w:cs="Arial"/>
                <w:spacing w:val="-1"/>
                <w:sz w:val="18"/>
                <w:szCs w:val="18"/>
                <w:lang w:val="ka-GE"/>
              </w:rPr>
              <w:t xml:space="preserve"> </w:t>
            </w:r>
            <w:r w:rsidRPr="001F2C5A">
              <w:rPr>
                <w:rFonts w:cs="Arial"/>
                <w:spacing w:val="-1"/>
                <w:sz w:val="18"/>
                <w:szCs w:val="18"/>
                <w:lang w:val="ka-GE"/>
              </w:rPr>
              <w:t>პრიორიტეტი უნდა მიეცეს კომერციულ ობიექტებს მოედნის გარეთ</w:t>
            </w:r>
            <w:r w:rsidRPr="001F2C5A">
              <w:rPr>
                <w:rFonts w:cs="Arial"/>
                <w:spacing w:val="-1"/>
                <w:sz w:val="18"/>
                <w:szCs w:val="18"/>
              </w:rPr>
              <w:t>.</w:t>
            </w:r>
            <w:r w:rsidRPr="001F2C5A">
              <w:rPr>
                <w:rStyle w:val="yiv9769571060gmail-"/>
                <w:rFonts w:cs="Segoe UI"/>
                <w:color w:val="000000"/>
                <w:sz w:val="18"/>
                <w:szCs w:val="18"/>
                <w:shd w:val="clear" w:color="auto" w:fill="FFFFFF"/>
                <w:lang w:val="ka-GE"/>
              </w:rPr>
              <w:t>თუ შეუძლებელია, განსაზღვრული ადგილი ან/და სარემონტო ან ტექნიკური მომსახურების სამუშაოებისთვის უზრუნველყოფილი უნდა იქნეს მეორადი შემკავებელი შესაძლო დაღვრებისთვის.</w:t>
            </w:r>
            <w:r w:rsidRPr="001F2C5A">
              <w:rPr>
                <w:rFonts w:cs="Arial"/>
                <w:spacing w:val="-1"/>
                <w:sz w:val="18"/>
                <w:szCs w:val="18"/>
              </w:rPr>
              <w:t>ეს ადგილები უნდა განთავსდეს სადრენაჟო არხებიდან</w:t>
            </w:r>
            <w:r w:rsidRPr="001F2C5A">
              <w:rPr>
                <w:rFonts w:cs="Arial"/>
                <w:spacing w:val="-1"/>
                <w:sz w:val="18"/>
                <w:szCs w:val="18"/>
                <w:lang w:val="ka-GE"/>
              </w:rPr>
              <w:t xml:space="preserve"> მოშორებით</w:t>
            </w:r>
            <w:r w:rsidRPr="001F2C5A">
              <w:rPr>
                <w:rFonts w:cs="Arial"/>
                <w:spacing w:val="-1"/>
                <w:sz w:val="18"/>
                <w:szCs w:val="18"/>
              </w:rPr>
              <w:t>.</w:t>
            </w:r>
          </w:p>
          <w:p w14:paraId="06246825" w14:textId="77777777" w:rsidR="0071033A" w:rsidRPr="001F2C5A" w:rsidRDefault="0071033A" w:rsidP="00821E4D">
            <w:pPr>
              <w:pStyle w:val="ListParagraph"/>
              <w:widowControl w:val="0"/>
              <w:numPr>
                <w:ilvl w:val="0"/>
                <w:numId w:val="23"/>
              </w:numPr>
              <w:tabs>
                <w:tab w:val="left" w:pos="302"/>
              </w:tabs>
              <w:spacing w:after="0" w:line="240" w:lineRule="auto"/>
              <w:contextualSpacing w:val="0"/>
              <w:jc w:val="left"/>
              <w:rPr>
                <w:rFonts w:cs="Arial"/>
                <w:sz w:val="18"/>
                <w:szCs w:val="18"/>
              </w:rPr>
            </w:pPr>
            <w:r w:rsidRPr="001F2C5A">
              <w:rPr>
                <w:rFonts w:cs="Arial"/>
                <w:spacing w:val="-1"/>
                <w:sz w:val="18"/>
                <w:szCs w:val="18"/>
              </w:rPr>
              <w:t>საწვავის ჩასხმა ან მანქანების/სატრანსპორტო საშუალებების რემონტი არ უნდა მოხდეს მდინარის კალაპოტთან ახლოს (მანძილი მომსახურების ადგილისა და მდინარეს შორის უნდა იყოს მინიმუმ 100 მ).</w:t>
            </w:r>
          </w:p>
          <w:p w14:paraId="3DBC0904" w14:textId="77777777" w:rsidR="0071033A" w:rsidRPr="001F2C5A" w:rsidRDefault="0071033A" w:rsidP="00821E4D">
            <w:pPr>
              <w:pStyle w:val="ListParagraph"/>
              <w:widowControl w:val="0"/>
              <w:numPr>
                <w:ilvl w:val="0"/>
                <w:numId w:val="23"/>
              </w:numPr>
              <w:tabs>
                <w:tab w:val="left" w:pos="302"/>
              </w:tabs>
              <w:spacing w:before="13" w:after="0" w:line="240" w:lineRule="auto"/>
              <w:ind w:left="157"/>
              <w:contextualSpacing w:val="0"/>
              <w:jc w:val="left"/>
              <w:rPr>
                <w:rFonts w:cs="Arial"/>
                <w:spacing w:val="-1"/>
                <w:sz w:val="18"/>
                <w:szCs w:val="18"/>
              </w:rPr>
            </w:pPr>
            <w:r w:rsidRPr="001F2C5A">
              <w:rPr>
                <w:rFonts w:cs="Arial"/>
                <w:spacing w:val="-1"/>
                <w:sz w:val="18"/>
                <w:szCs w:val="18"/>
              </w:rPr>
              <w:t>კადრების მომზადება კარგი პრაქტიკაში</w:t>
            </w:r>
          </w:p>
        </w:tc>
        <w:tc>
          <w:tcPr>
            <w:tcW w:w="2070" w:type="dxa"/>
            <w:tcBorders>
              <w:bottom w:val="single" w:sz="4" w:space="0" w:color="auto"/>
            </w:tcBorders>
            <w:shd w:val="clear" w:color="auto" w:fill="FFFFFF" w:themeFill="background1"/>
          </w:tcPr>
          <w:p w14:paraId="71B2B36B" w14:textId="77777777" w:rsidR="0071033A" w:rsidRPr="001F2C5A" w:rsidRDefault="0071033A" w:rsidP="002B56CC">
            <w:pPr>
              <w:pStyle w:val="TableParagraph"/>
              <w:ind w:left="-18"/>
              <w:rPr>
                <w:rFonts w:ascii="Sylfaen" w:hAnsi="Sylfaen" w:cs="Arial"/>
                <w:spacing w:val="-1"/>
                <w:sz w:val="18"/>
                <w:szCs w:val="18"/>
              </w:rPr>
            </w:pPr>
            <w:r w:rsidRPr="001F2C5A">
              <w:rPr>
                <w:rFonts w:ascii="Sylfaen" w:hAnsi="Sylfaen" w:cs="Arial"/>
                <w:spacing w:val="-1"/>
                <w:sz w:val="18"/>
                <w:szCs w:val="18"/>
              </w:rPr>
              <w:lastRenderedPageBreak/>
              <w:t>დამატებითი ხარჯები არ არის საჭირო.</w:t>
            </w:r>
          </w:p>
          <w:p w14:paraId="6F9A0F52" w14:textId="77777777" w:rsidR="0071033A" w:rsidRPr="001F2C5A" w:rsidRDefault="0071033A" w:rsidP="002B56CC">
            <w:pPr>
              <w:pStyle w:val="TableParagraph"/>
              <w:ind w:left="-18" w:right="72"/>
              <w:rPr>
                <w:rFonts w:ascii="Sylfaen" w:hAnsi="Sylfaen" w:cs="Arial"/>
                <w:sz w:val="18"/>
                <w:szCs w:val="18"/>
              </w:rPr>
            </w:pPr>
            <w:r w:rsidRPr="001F2C5A">
              <w:rPr>
                <w:rFonts w:ascii="Sylfaen" w:hAnsi="Sylfaen" w:cs="Arial"/>
                <w:spacing w:val="-1"/>
                <w:sz w:val="18"/>
                <w:szCs w:val="18"/>
              </w:rPr>
              <w:t xml:space="preserve">გარეცხვის მიზნით ფართობის მოწყობა (საჭიროების შემთხვევაში) შეფასდება </w:t>
            </w:r>
            <w:r w:rsidRPr="001F2C5A">
              <w:rPr>
                <w:rFonts w:ascii="Sylfaen" w:hAnsi="Sylfaen" w:cs="Arial"/>
                <w:spacing w:val="-1"/>
                <w:sz w:val="18"/>
                <w:szCs w:val="18"/>
              </w:rPr>
              <w:lastRenderedPageBreak/>
              <w:t>კონტრაქტორის მიერ</w:t>
            </w:r>
          </w:p>
        </w:tc>
        <w:tc>
          <w:tcPr>
            <w:tcW w:w="1260" w:type="dxa"/>
            <w:tcBorders>
              <w:bottom w:val="single" w:sz="4" w:space="0" w:color="auto"/>
            </w:tcBorders>
            <w:shd w:val="clear" w:color="auto" w:fill="FFFFFF" w:themeFill="background1"/>
            <w:vAlign w:val="center"/>
          </w:tcPr>
          <w:p w14:paraId="044ABBF2" w14:textId="77777777" w:rsidR="0071033A" w:rsidRPr="001F2C5A" w:rsidRDefault="0071033A" w:rsidP="002B56CC">
            <w:pPr>
              <w:suppressAutoHyphens/>
              <w:contextualSpacing/>
              <w:jc w:val="center"/>
              <w:rPr>
                <w:rFonts w:ascii="Sylfaen" w:hAnsi="Sylfaen" w:cs="Arial"/>
                <w:sz w:val="18"/>
                <w:szCs w:val="18"/>
              </w:rPr>
            </w:pPr>
            <w:r w:rsidRPr="001F2C5A">
              <w:rPr>
                <w:rFonts w:ascii="Sylfaen" w:hAnsi="Sylfaen" w:cs="Arial"/>
                <w:sz w:val="18"/>
                <w:szCs w:val="18"/>
                <w:lang w:val="ka-GE"/>
              </w:rPr>
              <w:lastRenderedPageBreak/>
              <w:t>სკ</w:t>
            </w:r>
          </w:p>
        </w:tc>
        <w:tc>
          <w:tcPr>
            <w:tcW w:w="1350" w:type="dxa"/>
            <w:tcBorders>
              <w:bottom w:val="single" w:sz="4" w:space="0" w:color="auto"/>
            </w:tcBorders>
            <w:shd w:val="clear" w:color="auto" w:fill="FFFFFF" w:themeFill="background1"/>
          </w:tcPr>
          <w:p w14:paraId="4218EFD5"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სგდ</w:t>
            </w:r>
          </w:p>
        </w:tc>
      </w:tr>
      <w:tr w:rsidR="0071033A" w:rsidRPr="001F2C5A" w14:paraId="46D3414C" w14:textId="77777777" w:rsidTr="001F2C5A">
        <w:trPr>
          <w:trHeight w:val="572"/>
        </w:trPr>
        <w:tc>
          <w:tcPr>
            <w:tcW w:w="1525" w:type="dxa"/>
            <w:tcBorders>
              <w:bottom w:val="single" w:sz="4" w:space="0" w:color="auto"/>
            </w:tcBorders>
            <w:shd w:val="clear" w:color="auto" w:fill="FFFFFF" w:themeFill="background1"/>
          </w:tcPr>
          <w:p w14:paraId="3CBD639D"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lang w:val="en-US" w:eastAsia="en-US"/>
              </w:rPr>
              <w:t>მიწის სამუშაოები და სხვადასხვა სამშენებლო სამუშაოები</w:t>
            </w:r>
          </w:p>
        </w:tc>
        <w:tc>
          <w:tcPr>
            <w:tcW w:w="1620" w:type="dxa"/>
            <w:tcBorders>
              <w:bottom w:val="single" w:sz="4" w:space="0" w:color="auto"/>
            </w:tcBorders>
            <w:shd w:val="clear" w:color="auto" w:fill="FFFFFF" w:themeFill="background1"/>
          </w:tcPr>
          <w:p w14:paraId="48A3551A" w14:textId="77777777" w:rsidR="0071033A" w:rsidRPr="001F2C5A" w:rsidRDefault="0071033A" w:rsidP="002B56CC">
            <w:pPr>
              <w:suppressAutoHyphens/>
              <w:contextualSpacing/>
              <w:rPr>
                <w:rFonts w:ascii="Sylfaen" w:hAnsi="Sylfaen" w:cs="Arial"/>
                <w:spacing w:val="-1"/>
                <w:sz w:val="18"/>
                <w:szCs w:val="18"/>
                <w:lang w:val="ka-GE"/>
              </w:rPr>
            </w:pPr>
            <w:r w:rsidRPr="001F2C5A">
              <w:rPr>
                <w:rFonts w:ascii="Sylfaen" w:hAnsi="Sylfaen" w:cs="Arial"/>
                <w:spacing w:val="-1"/>
                <w:sz w:val="18"/>
                <w:szCs w:val="18"/>
              </w:rPr>
              <w:t>ლანდშაფტის</w:t>
            </w:r>
            <w:r w:rsidRPr="001F2C5A">
              <w:rPr>
                <w:rFonts w:ascii="Sylfaen" w:hAnsi="Sylfaen" w:cs="Arial"/>
                <w:spacing w:val="-1"/>
                <w:sz w:val="18"/>
                <w:szCs w:val="18"/>
                <w:lang w:val="ka-GE"/>
              </w:rPr>
              <w:t xml:space="preserve"> არეულობა</w:t>
            </w:r>
          </w:p>
        </w:tc>
        <w:tc>
          <w:tcPr>
            <w:tcW w:w="7200" w:type="dxa"/>
            <w:tcBorders>
              <w:bottom w:val="single" w:sz="4" w:space="0" w:color="auto"/>
            </w:tcBorders>
            <w:shd w:val="clear" w:color="auto" w:fill="FFFFFF" w:themeFill="background1"/>
          </w:tcPr>
          <w:p w14:paraId="3D04A2D5" w14:textId="77777777" w:rsidR="0071033A" w:rsidRPr="001F2C5A" w:rsidRDefault="0071033A" w:rsidP="002B56CC">
            <w:pPr>
              <w:widowControl w:val="0"/>
              <w:tabs>
                <w:tab w:val="left" w:pos="302"/>
              </w:tabs>
              <w:ind w:right="245"/>
              <w:rPr>
                <w:rFonts w:ascii="Sylfaen" w:hAnsi="Sylfaen" w:cs="Arial"/>
                <w:sz w:val="18"/>
                <w:szCs w:val="18"/>
              </w:rPr>
            </w:pPr>
            <w:r w:rsidRPr="001F2C5A">
              <w:rPr>
                <w:rFonts w:ascii="Sylfaen" w:hAnsi="Sylfaen" w:cs="Arial"/>
                <w:spacing w:val="-1"/>
                <w:sz w:val="18"/>
                <w:szCs w:val="18"/>
              </w:rPr>
              <w:t>ლანდშაფტის შესაძლო ცვლილებებთან დაკავშირებული სამუშაოების დაწყებამდე ლანდშაფტის ჰარმონიზაციის გეგმა უნდა დამუშავდეს და დამტკიცდეს დამქირავებლის მიერ.</w:t>
            </w:r>
          </w:p>
        </w:tc>
        <w:tc>
          <w:tcPr>
            <w:tcW w:w="2070" w:type="dxa"/>
            <w:tcBorders>
              <w:bottom w:val="single" w:sz="4" w:space="0" w:color="auto"/>
            </w:tcBorders>
            <w:shd w:val="clear" w:color="auto" w:fill="FFFFFF" w:themeFill="background1"/>
          </w:tcPr>
          <w:p w14:paraId="75E79DCB" w14:textId="77777777" w:rsidR="0071033A" w:rsidRPr="001F2C5A" w:rsidRDefault="0071033A" w:rsidP="002B56CC">
            <w:pPr>
              <w:pStyle w:val="TableParagraph"/>
              <w:ind w:left="-18"/>
              <w:rPr>
                <w:rFonts w:ascii="Sylfaen" w:hAnsi="Sylfaen" w:cs="Arial"/>
                <w:spacing w:val="-1"/>
                <w:sz w:val="18"/>
                <w:szCs w:val="18"/>
              </w:rPr>
            </w:pPr>
            <w:r w:rsidRPr="001F2C5A">
              <w:rPr>
                <w:rFonts w:ascii="Sylfaen" w:hAnsi="Sylfaen" w:cs="Arial"/>
                <w:spacing w:val="-1"/>
                <w:sz w:val="18"/>
                <w:szCs w:val="18"/>
              </w:rPr>
              <w:t>დამატებითი ხარჯები არ არის საჭირო.</w:t>
            </w:r>
          </w:p>
          <w:p w14:paraId="519D5B79" w14:textId="77777777" w:rsidR="0071033A" w:rsidRPr="001F2C5A" w:rsidRDefault="0071033A" w:rsidP="002B56CC">
            <w:pPr>
              <w:pStyle w:val="TableParagraph"/>
              <w:ind w:right="178"/>
              <w:rPr>
                <w:rFonts w:ascii="Sylfaen" w:hAnsi="Sylfaen" w:cs="Arial"/>
                <w:spacing w:val="-1"/>
                <w:sz w:val="18"/>
                <w:szCs w:val="18"/>
              </w:rPr>
            </w:pPr>
          </w:p>
        </w:tc>
        <w:tc>
          <w:tcPr>
            <w:tcW w:w="1260" w:type="dxa"/>
            <w:tcBorders>
              <w:bottom w:val="single" w:sz="4" w:space="0" w:color="auto"/>
            </w:tcBorders>
            <w:shd w:val="clear" w:color="auto" w:fill="FFFFFF" w:themeFill="background1"/>
          </w:tcPr>
          <w:p w14:paraId="1CCB0BFF"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სკ</w:t>
            </w:r>
          </w:p>
        </w:tc>
        <w:tc>
          <w:tcPr>
            <w:tcW w:w="1350" w:type="dxa"/>
            <w:tcBorders>
              <w:bottom w:val="single" w:sz="4" w:space="0" w:color="auto"/>
            </w:tcBorders>
            <w:shd w:val="clear" w:color="auto" w:fill="FFFFFF" w:themeFill="background1"/>
          </w:tcPr>
          <w:p w14:paraId="349803B7"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სგდ</w:t>
            </w:r>
          </w:p>
        </w:tc>
      </w:tr>
      <w:tr w:rsidR="0071033A" w:rsidRPr="001F2C5A" w14:paraId="21A4DBEA" w14:textId="77777777" w:rsidTr="001F2C5A">
        <w:trPr>
          <w:trHeight w:val="359"/>
        </w:trPr>
        <w:tc>
          <w:tcPr>
            <w:tcW w:w="1525" w:type="dxa"/>
            <w:tcBorders>
              <w:bottom w:val="single" w:sz="4" w:space="0" w:color="auto"/>
            </w:tcBorders>
            <w:shd w:val="clear" w:color="auto" w:fill="FFFFFF" w:themeFill="background1"/>
          </w:tcPr>
          <w:p w14:paraId="317CD4D4" w14:textId="77777777" w:rsidR="0071033A" w:rsidRPr="001F2C5A" w:rsidRDefault="0071033A" w:rsidP="002B56CC">
            <w:pPr>
              <w:pStyle w:val="TableParagraph"/>
              <w:rPr>
                <w:rFonts w:ascii="Sylfaen" w:hAnsi="Sylfaen" w:cs="Arial"/>
                <w:spacing w:val="-1"/>
                <w:sz w:val="18"/>
                <w:szCs w:val="18"/>
              </w:rPr>
            </w:pPr>
            <w:r w:rsidRPr="001F2C5A">
              <w:rPr>
                <w:rFonts w:ascii="Sylfaen" w:hAnsi="Sylfaen" w:cs="Arial"/>
                <w:spacing w:val="-1"/>
                <w:sz w:val="18"/>
                <w:szCs w:val="18"/>
              </w:rPr>
              <w:t>მიწის სამუშაოები და სხვადასხვა სამშენებლო სამუშაოები</w:t>
            </w:r>
          </w:p>
        </w:tc>
        <w:tc>
          <w:tcPr>
            <w:tcW w:w="1620" w:type="dxa"/>
            <w:tcBorders>
              <w:bottom w:val="single" w:sz="4" w:space="0" w:color="auto"/>
            </w:tcBorders>
            <w:shd w:val="clear" w:color="auto" w:fill="FFFFFF" w:themeFill="background1"/>
          </w:tcPr>
          <w:p w14:paraId="1CFDA927"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rPr>
              <w:t>არქეოლოგიური შემთხვევითი აღმოჩენები</w:t>
            </w:r>
          </w:p>
        </w:tc>
        <w:tc>
          <w:tcPr>
            <w:tcW w:w="7200" w:type="dxa"/>
            <w:tcBorders>
              <w:bottom w:val="single" w:sz="4" w:space="0" w:color="auto"/>
            </w:tcBorders>
            <w:shd w:val="clear" w:color="auto" w:fill="FFFFFF" w:themeFill="background1"/>
          </w:tcPr>
          <w:p w14:paraId="4A4EF25E" w14:textId="77777777" w:rsidR="0071033A" w:rsidRPr="001F2C5A" w:rsidRDefault="00E81445" w:rsidP="00821E4D">
            <w:pPr>
              <w:pStyle w:val="ListParagraph"/>
              <w:widowControl w:val="0"/>
              <w:numPr>
                <w:ilvl w:val="0"/>
                <w:numId w:val="22"/>
              </w:numPr>
              <w:tabs>
                <w:tab w:val="left" w:pos="302"/>
              </w:tabs>
              <w:spacing w:after="0" w:line="240" w:lineRule="auto"/>
              <w:contextualSpacing w:val="0"/>
              <w:jc w:val="left"/>
              <w:rPr>
                <w:rFonts w:cs="Arial"/>
                <w:sz w:val="18"/>
                <w:szCs w:val="18"/>
              </w:rPr>
            </w:pPr>
            <w:r w:rsidRPr="001F2C5A">
              <w:rPr>
                <w:rFonts w:cs="Arial"/>
                <w:spacing w:val="-1"/>
                <w:sz w:val="18"/>
                <w:szCs w:val="18"/>
                <w:lang w:val="ka-GE"/>
              </w:rPr>
              <w:t>ა</w:t>
            </w:r>
            <w:r w:rsidR="0071033A" w:rsidRPr="001F2C5A">
              <w:rPr>
                <w:rFonts w:cs="Arial"/>
                <w:spacing w:val="-1"/>
                <w:sz w:val="18"/>
                <w:szCs w:val="18"/>
              </w:rPr>
              <w:t>რქეოლოგის ზედამხედველობა ზემოქმედების თავიდან აცილების მიზნით</w:t>
            </w:r>
          </w:p>
          <w:p w14:paraId="51B4D8A3" w14:textId="77777777" w:rsidR="0071033A" w:rsidRPr="001F2C5A" w:rsidRDefault="0071033A" w:rsidP="00821E4D">
            <w:pPr>
              <w:pStyle w:val="ListParagraph"/>
              <w:widowControl w:val="0"/>
              <w:numPr>
                <w:ilvl w:val="0"/>
                <w:numId w:val="22"/>
              </w:numPr>
              <w:tabs>
                <w:tab w:val="left" w:pos="302"/>
              </w:tabs>
              <w:spacing w:after="0" w:line="240" w:lineRule="auto"/>
              <w:ind w:right="294"/>
              <w:contextualSpacing w:val="0"/>
              <w:jc w:val="left"/>
              <w:rPr>
                <w:rFonts w:cs="Arial"/>
                <w:sz w:val="18"/>
                <w:szCs w:val="18"/>
              </w:rPr>
            </w:pPr>
            <w:r w:rsidRPr="001F2C5A">
              <w:rPr>
                <w:rFonts w:cs="Arial"/>
                <w:sz w:val="18"/>
                <w:szCs w:val="18"/>
              </w:rPr>
              <w:t xml:space="preserve">სამშენებლო ოპერაციების დროს არქეოლოგიური ობიექტების მოულოდნელი აღმოჩენის შემთხვევაში კონტრაქტორმა უნდა </w:t>
            </w:r>
            <w:r w:rsidRPr="001F2C5A">
              <w:rPr>
                <w:rFonts w:cs="Arial"/>
                <w:sz w:val="18"/>
                <w:szCs w:val="18"/>
                <w:lang w:val="ka-GE"/>
              </w:rPr>
              <w:t>შეაჩეროს</w:t>
            </w:r>
            <w:r w:rsidRPr="001F2C5A">
              <w:rPr>
                <w:rFonts w:cs="Arial"/>
                <w:sz w:val="18"/>
                <w:szCs w:val="18"/>
              </w:rPr>
              <w:t xml:space="preserve"> ყველა აქტივობა და დაუყოვნებლივ შეატყობინოს კლიენტს</w:t>
            </w:r>
            <w:r w:rsidRPr="001F2C5A">
              <w:rPr>
                <w:rFonts w:cs="Arial"/>
                <w:spacing w:val="-1"/>
                <w:sz w:val="18"/>
                <w:szCs w:val="18"/>
              </w:rPr>
              <w:t xml:space="preserve">. </w:t>
            </w:r>
          </w:p>
          <w:p w14:paraId="21E7D2E9" w14:textId="77777777" w:rsidR="0071033A" w:rsidRPr="001F2C5A" w:rsidRDefault="0071033A" w:rsidP="00821E4D">
            <w:pPr>
              <w:pStyle w:val="ListParagraph"/>
              <w:widowControl w:val="0"/>
              <w:numPr>
                <w:ilvl w:val="0"/>
                <w:numId w:val="22"/>
              </w:numPr>
              <w:tabs>
                <w:tab w:val="left" w:pos="302"/>
              </w:tabs>
              <w:spacing w:after="0" w:line="240" w:lineRule="auto"/>
              <w:ind w:right="206"/>
              <w:contextualSpacing w:val="0"/>
              <w:jc w:val="left"/>
              <w:rPr>
                <w:rFonts w:cs="Arial"/>
                <w:sz w:val="18"/>
                <w:szCs w:val="18"/>
              </w:rPr>
            </w:pPr>
            <w:r w:rsidRPr="001F2C5A">
              <w:rPr>
                <w:rFonts w:cs="Arial"/>
                <w:spacing w:val="-1"/>
                <w:sz w:val="18"/>
                <w:szCs w:val="18"/>
              </w:rPr>
              <w:t>მუშაობა განახლდება კლიენტის წერილობითი შეტყობინების საფუძველზე.</w:t>
            </w:r>
          </w:p>
        </w:tc>
        <w:tc>
          <w:tcPr>
            <w:tcW w:w="2070" w:type="dxa"/>
            <w:tcBorders>
              <w:bottom w:val="single" w:sz="4" w:space="0" w:color="auto"/>
            </w:tcBorders>
            <w:shd w:val="clear" w:color="auto" w:fill="FFFFFF" w:themeFill="background1"/>
          </w:tcPr>
          <w:p w14:paraId="55930B7C" w14:textId="77777777" w:rsidR="0071033A" w:rsidRPr="001F2C5A" w:rsidRDefault="0071033A" w:rsidP="00821E4D">
            <w:pPr>
              <w:pStyle w:val="TableParagraph"/>
              <w:numPr>
                <w:ilvl w:val="0"/>
                <w:numId w:val="26"/>
              </w:numPr>
              <w:ind w:left="95" w:right="178" w:hanging="90"/>
              <w:rPr>
                <w:rFonts w:ascii="Sylfaen" w:hAnsi="Sylfaen" w:cs="Arial"/>
                <w:spacing w:val="-1"/>
                <w:sz w:val="18"/>
                <w:szCs w:val="18"/>
              </w:rPr>
            </w:pPr>
            <w:r w:rsidRPr="001F2C5A">
              <w:rPr>
                <w:rFonts w:ascii="Sylfaen" w:hAnsi="Sylfaen" w:cs="Arial"/>
                <w:spacing w:val="-1"/>
                <w:sz w:val="18"/>
                <w:szCs w:val="18"/>
                <w:lang w:val="ka-GE"/>
              </w:rPr>
              <w:t>ა</w:t>
            </w:r>
            <w:r w:rsidRPr="001F2C5A">
              <w:rPr>
                <w:rFonts w:ascii="Sylfaen" w:hAnsi="Sylfaen" w:cs="Arial"/>
                <w:spacing w:val="-1"/>
                <w:sz w:val="18"/>
                <w:szCs w:val="18"/>
              </w:rPr>
              <w:t>რქეოლოგიური გამოკვლევის ღირებულება</w:t>
            </w:r>
          </w:p>
        </w:tc>
        <w:tc>
          <w:tcPr>
            <w:tcW w:w="1260" w:type="dxa"/>
            <w:tcBorders>
              <w:bottom w:val="single" w:sz="4" w:space="0" w:color="auto"/>
            </w:tcBorders>
            <w:shd w:val="clear" w:color="auto" w:fill="FFFFFF" w:themeFill="background1"/>
          </w:tcPr>
          <w:p w14:paraId="052C81E5"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სკ</w:t>
            </w:r>
          </w:p>
        </w:tc>
        <w:tc>
          <w:tcPr>
            <w:tcW w:w="1350" w:type="dxa"/>
            <w:tcBorders>
              <w:bottom w:val="single" w:sz="4" w:space="0" w:color="auto"/>
            </w:tcBorders>
            <w:shd w:val="clear" w:color="auto" w:fill="FFFFFF" w:themeFill="background1"/>
          </w:tcPr>
          <w:p w14:paraId="177FEC9C"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სგდ</w:t>
            </w:r>
          </w:p>
        </w:tc>
      </w:tr>
      <w:tr w:rsidR="0071033A" w:rsidRPr="001F2C5A" w14:paraId="791CEDDE" w14:textId="77777777" w:rsidTr="001F2C5A">
        <w:trPr>
          <w:trHeight w:val="359"/>
        </w:trPr>
        <w:tc>
          <w:tcPr>
            <w:tcW w:w="1525" w:type="dxa"/>
            <w:tcBorders>
              <w:bottom w:val="single" w:sz="4" w:space="0" w:color="auto"/>
            </w:tcBorders>
            <w:shd w:val="clear" w:color="auto" w:fill="FFFFFF" w:themeFill="background1"/>
          </w:tcPr>
          <w:p w14:paraId="4C955F2C" w14:textId="77777777" w:rsidR="0071033A" w:rsidRPr="001F2C5A" w:rsidRDefault="0071033A" w:rsidP="002B56CC">
            <w:pPr>
              <w:pStyle w:val="TableParagraph"/>
              <w:rPr>
                <w:rFonts w:ascii="Sylfaen" w:hAnsi="Sylfaen" w:cs="Arial"/>
                <w:spacing w:val="-1"/>
                <w:sz w:val="18"/>
                <w:szCs w:val="18"/>
              </w:rPr>
            </w:pPr>
            <w:r w:rsidRPr="001F2C5A">
              <w:rPr>
                <w:rFonts w:ascii="Sylfaen" w:hAnsi="Sylfaen" w:cs="Arial"/>
                <w:spacing w:val="-1"/>
                <w:sz w:val="18"/>
                <w:szCs w:val="18"/>
              </w:rPr>
              <w:t>მიწის სამუშაოები და სხვადასხვა სამშენებლო სამუშაოები</w:t>
            </w:r>
          </w:p>
        </w:tc>
        <w:tc>
          <w:tcPr>
            <w:tcW w:w="1620" w:type="dxa"/>
            <w:tcBorders>
              <w:bottom w:val="single" w:sz="4" w:space="0" w:color="auto"/>
            </w:tcBorders>
            <w:shd w:val="clear" w:color="auto" w:fill="FFFFFF" w:themeFill="background1"/>
          </w:tcPr>
          <w:p w14:paraId="1970F98C"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rPr>
              <w:t>ჰაერის დაბინძურება აპარატურის არასათანადო შენახვის გამო</w:t>
            </w:r>
          </w:p>
        </w:tc>
        <w:tc>
          <w:tcPr>
            <w:tcW w:w="7200" w:type="dxa"/>
            <w:tcBorders>
              <w:bottom w:val="single" w:sz="4" w:space="0" w:color="auto"/>
            </w:tcBorders>
            <w:shd w:val="clear" w:color="auto" w:fill="FFFFFF" w:themeFill="background1"/>
          </w:tcPr>
          <w:p w14:paraId="1E222C2E" w14:textId="77777777" w:rsidR="0071033A" w:rsidRPr="001F2C5A" w:rsidRDefault="0071033A" w:rsidP="00821E4D">
            <w:pPr>
              <w:pStyle w:val="ListParagraph"/>
              <w:widowControl w:val="0"/>
              <w:numPr>
                <w:ilvl w:val="0"/>
                <w:numId w:val="21"/>
              </w:numPr>
              <w:tabs>
                <w:tab w:val="left" w:pos="302"/>
              </w:tabs>
              <w:spacing w:after="0" w:line="240" w:lineRule="auto"/>
              <w:ind w:right="168"/>
              <w:contextualSpacing w:val="0"/>
              <w:jc w:val="left"/>
              <w:rPr>
                <w:rFonts w:cs="Arial"/>
                <w:sz w:val="18"/>
                <w:szCs w:val="18"/>
              </w:rPr>
            </w:pPr>
            <w:r w:rsidRPr="001F2C5A">
              <w:rPr>
                <w:rFonts w:cs="Arial"/>
                <w:spacing w:val="-1"/>
                <w:sz w:val="18"/>
                <w:szCs w:val="18"/>
                <w:lang w:val="ka-GE"/>
              </w:rPr>
              <w:t>ტექნიკის შენარჩუნება მაღალი სტანდარტების თანახმად</w:t>
            </w:r>
            <w:r w:rsidRPr="001F2C5A">
              <w:rPr>
                <w:rFonts w:cs="Arial"/>
                <w:spacing w:val="-1"/>
                <w:sz w:val="18"/>
                <w:szCs w:val="18"/>
              </w:rPr>
              <w:t>; გაუმართავი ტექნიკა, რომელიც იწვევს ზედმეტ დაბინძურებას იქნება აკრძალული სამშენებლო ობიექტებზე.</w:t>
            </w:r>
          </w:p>
          <w:p w14:paraId="20059CA8" w14:textId="77777777" w:rsidR="0071033A" w:rsidRPr="001F2C5A" w:rsidRDefault="0071033A" w:rsidP="00821E4D">
            <w:pPr>
              <w:pStyle w:val="ListParagraph"/>
              <w:widowControl w:val="0"/>
              <w:numPr>
                <w:ilvl w:val="0"/>
                <w:numId w:val="21"/>
              </w:numPr>
              <w:tabs>
                <w:tab w:val="left" w:pos="302"/>
              </w:tabs>
              <w:spacing w:after="0" w:line="240" w:lineRule="auto"/>
              <w:ind w:left="157" w:right="168" w:hanging="200"/>
              <w:contextualSpacing w:val="0"/>
              <w:jc w:val="left"/>
              <w:rPr>
                <w:rFonts w:cs="Arial"/>
                <w:sz w:val="18"/>
                <w:szCs w:val="18"/>
              </w:rPr>
            </w:pPr>
            <w:r w:rsidRPr="001F2C5A">
              <w:rPr>
                <w:rFonts w:cs="Arial"/>
                <w:spacing w:val="-1"/>
                <w:sz w:val="18"/>
                <w:szCs w:val="18"/>
                <w:lang w:val="ka-GE"/>
              </w:rPr>
              <w:t>მოედნის გარეთ მოძრაობის სიჩქარის შეზღუდვა</w:t>
            </w:r>
            <w:r w:rsidRPr="001F2C5A">
              <w:rPr>
                <w:rFonts w:cs="Arial"/>
                <w:spacing w:val="-1"/>
                <w:sz w:val="18"/>
                <w:szCs w:val="18"/>
              </w:rPr>
              <w:t>.</w:t>
            </w:r>
          </w:p>
        </w:tc>
        <w:tc>
          <w:tcPr>
            <w:tcW w:w="2070" w:type="dxa"/>
            <w:tcBorders>
              <w:bottom w:val="single" w:sz="4" w:space="0" w:color="auto"/>
            </w:tcBorders>
            <w:shd w:val="clear" w:color="auto" w:fill="FFFFFF" w:themeFill="background1"/>
          </w:tcPr>
          <w:p w14:paraId="12579880" w14:textId="77777777" w:rsidR="0071033A" w:rsidRPr="001F2C5A" w:rsidRDefault="0071033A" w:rsidP="002B56CC">
            <w:pPr>
              <w:pStyle w:val="TableParagraph"/>
              <w:ind w:left="-18"/>
              <w:rPr>
                <w:rFonts w:ascii="Sylfaen" w:hAnsi="Sylfaen" w:cs="Arial"/>
                <w:spacing w:val="-1"/>
                <w:sz w:val="18"/>
                <w:szCs w:val="18"/>
              </w:rPr>
            </w:pPr>
            <w:r w:rsidRPr="001F2C5A">
              <w:rPr>
                <w:rFonts w:ascii="Sylfaen" w:hAnsi="Sylfaen" w:cs="Arial"/>
                <w:spacing w:val="-1"/>
                <w:sz w:val="18"/>
                <w:szCs w:val="18"/>
              </w:rPr>
              <w:t>დამატებითი ხარჯები არ არის საჭირო.</w:t>
            </w:r>
          </w:p>
          <w:p w14:paraId="45821435" w14:textId="77777777" w:rsidR="0071033A" w:rsidRPr="001F2C5A" w:rsidRDefault="0071033A" w:rsidP="002B56CC">
            <w:pPr>
              <w:pStyle w:val="TableParagraph"/>
              <w:ind w:left="162" w:right="178"/>
              <w:rPr>
                <w:rFonts w:ascii="Sylfaen" w:hAnsi="Sylfaen" w:cs="Arial"/>
                <w:spacing w:val="-1"/>
                <w:sz w:val="18"/>
                <w:szCs w:val="18"/>
              </w:rPr>
            </w:pPr>
          </w:p>
        </w:tc>
        <w:tc>
          <w:tcPr>
            <w:tcW w:w="1260" w:type="dxa"/>
            <w:tcBorders>
              <w:bottom w:val="single" w:sz="4" w:space="0" w:color="auto"/>
            </w:tcBorders>
            <w:shd w:val="clear" w:color="auto" w:fill="FFFFFF" w:themeFill="background1"/>
          </w:tcPr>
          <w:p w14:paraId="2A4E0774"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სკ</w:t>
            </w:r>
          </w:p>
        </w:tc>
        <w:tc>
          <w:tcPr>
            <w:tcW w:w="1350" w:type="dxa"/>
            <w:tcBorders>
              <w:bottom w:val="single" w:sz="4" w:space="0" w:color="auto"/>
            </w:tcBorders>
            <w:shd w:val="clear" w:color="auto" w:fill="FFFFFF" w:themeFill="background1"/>
          </w:tcPr>
          <w:p w14:paraId="0E80AA96"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სგდ</w:t>
            </w:r>
          </w:p>
        </w:tc>
      </w:tr>
      <w:tr w:rsidR="0071033A" w:rsidRPr="001F2C5A" w14:paraId="19BE2733" w14:textId="77777777" w:rsidTr="001F2C5A">
        <w:trPr>
          <w:trHeight w:val="359"/>
        </w:trPr>
        <w:tc>
          <w:tcPr>
            <w:tcW w:w="1525" w:type="dxa"/>
            <w:tcBorders>
              <w:bottom w:val="single" w:sz="4" w:space="0" w:color="auto"/>
            </w:tcBorders>
            <w:shd w:val="clear" w:color="auto" w:fill="FFFFFF" w:themeFill="background1"/>
          </w:tcPr>
          <w:p w14:paraId="65DE5262" w14:textId="77777777" w:rsidR="0071033A" w:rsidRPr="001F2C5A" w:rsidRDefault="0071033A" w:rsidP="002B56CC">
            <w:pPr>
              <w:suppressAutoHyphens/>
              <w:contextualSpacing/>
              <w:rPr>
                <w:rFonts w:ascii="Sylfaen" w:hAnsi="Sylfaen" w:cs="Arial"/>
                <w:sz w:val="18"/>
                <w:szCs w:val="18"/>
                <w:lang w:val="ka-GE" w:eastAsia="ar-SA"/>
              </w:rPr>
            </w:pPr>
            <w:r w:rsidRPr="001F2C5A">
              <w:rPr>
                <w:rFonts w:ascii="Sylfaen" w:hAnsi="Sylfaen" w:cs="Arial"/>
                <w:spacing w:val="-1"/>
                <w:sz w:val="18"/>
                <w:szCs w:val="18"/>
              </w:rPr>
              <w:t xml:space="preserve">რკინაბეტონის </w:t>
            </w:r>
            <w:r w:rsidRPr="001F2C5A">
              <w:rPr>
                <w:rFonts w:ascii="Sylfaen" w:hAnsi="Sylfaen" w:cs="Arial"/>
                <w:spacing w:val="-1"/>
                <w:sz w:val="18"/>
                <w:szCs w:val="18"/>
                <w:lang w:val="ka-GE"/>
              </w:rPr>
              <w:t>მორევა</w:t>
            </w:r>
          </w:p>
        </w:tc>
        <w:tc>
          <w:tcPr>
            <w:tcW w:w="1620" w:type="dxa"/>
            <w:tcBorders>
              <w:bottom w:val="single" w:sz="4" w:space="0" w:color="auto"/>
            </w:tcBorders>
            <w:shd w:val="clear" w:color="auto" w:fill="FFFFFF" w:themeFill="background1"/>
          </w:tcPr>
          <w:p w14:paraId="1D0B79CE" w14:textId="77777777" w:rsidR="0071033A" w:rsidRPr="001F2C5A" w:rsidRDefault="0071033A" w:rsidP="002B56CC">
            <w:pPr>
              <w:suppressAutoHyphens/>
              <w:contextualSpacing/>
              <w:rPr>
                <w:rFonts w:ascii="Sylfaen" w:hAnsi="Sylfaen" w:cs="Arial"/>
                <w:sz w:val="18"/>
                <w:szCs w:val="18"/>
              </w:rPr>
            </w:pPr>
            <w:r w:rsidRPr="001F2C5A">
              <w:rPr>
                <w:rFonts w:ascii="Sylfaen" w:hAnsi="Sylfaen" w:cs="Arial"/>
                <w:spacing w:val="-1"/>
                <w:sz w:val="18"/>
                <w:szCs w:val="18"/>
              </w:rPr>
              <w:t>მტვერი/ჰაერის დაბინძურება ბეტონის შერევით</w:t>
            </w:r>
          </w:p>
        </w:tc>
        <w:tc>
          <w:tcPr>
            <w:tcW w:w="7200" w:type="dxa"/>
            <w:tcBorders>
              <w:bottom w:val="single" w:sz="4" w:space="0" w:color="auto"/>
            </w:tcBorders>
            <w:shd w:val="clear" w:color="auto" w:fill="FFFFFF" w:themeFill="background1"/>
          </w:tcPr>
          <w:p w14:paraId="5C4CA582" w14:textId="77777777" w:rsidR="0071033A" w:rsidRPr="001F2C5A" w:rsidRDefault="0071033A" w:rsidP="00821E4D">
            <w:pPr>
              <w:pStyle w:val="ListParagraph"/>
              <w:widowControl w:val="0"/>
              <w:numPr>
                <w:ilvl w:val="0"/>
                <w:numId w:val="20"/>
              </w:numPr>
              <w:tabs>
                <w:tab w:val="left" w:pos="302"/>
              </w:tabs>
              <w:spacing w:before="13" w:after="0" w:line="240" w:lineRule="auto"/>
              <w:ind w:right="223"/>
              <w:contextualSpacing w:val="0"/>
              <w:jc w:val="left"/>
              <w:rPr>
                <w:rFonts w:cs="Arial"/>
                <w:sz w:val="18"/>
                <w:szCs w:val="18"/>
              </w:rPr>
            </w:pPr>
            <w:r w:rsidRPr="001F2C5A">
              <w:rPr>
                <w:rFonts w:cs="Arial"/>
                <w:spacing w:val="-1"/>
                <w:sz w:val="18"/>
                <w:szCs w:val="18"/>
                <w:lang w:val="ka-GE"/>
              </w:rPr>
              <w:t>სარევი დანადგარები</w:t>
            </w:r>
            <w:r w:rsidRPr="001F2C5A">
              <w:rPr>
                <w:rFonts w:cs="Arial"/>
                <w:spacing w:val="-1"/>
                <w:sz w:val="18"/>
                <w:szCs w:val="18"/>
              </w:rPr>
              <w:t xml:space="preserve"> კარგად უნდა იყოს დალუქული;  რხევადი მოწყობილობა აღჭურვილი უნდა იყოს მტვერის მოშორების მოწყობილობით</w:t>
            </w:r>
            <w:r w:rsidRPr="001F2C5A">
              <w:rPr>
                <w:rFonts w:cs="Arial"/>
                <w:spacing w:val="-1"/>
                <w:sz w:val="18"/>
                <w:szCs w:val="18"/>
                <w:lang w:val="ka-GE"/>
              </w:rPr>
              <w:t>.</w:t>
            </w:r>
          </w:p>
          <w:p w14:paraId="0376459F" w14:textId="77777777" w:rsidR="0071033A" w:rsidRPr="001F2C5A" w:rsidRDefault="0071033A" w:rsidP="00821E4D">
            <w:pPr>
              <w:pStyle w:val="ListParagraph"/>
              <w:widowControl w:val="0"/>
              <w:numPr>
                <w:ilvl w:val="0"/>
                <w:numId w:val="20"/>
              </w:numPr>
              <w:tabs>
                <w:tab w:val="left" w:pos="302"/>
              </w:tabs>
              <w:spacing w:before="13" w:after="0" w:line="240" w:lineRule="auto"/>
              <w:ind w:right="223"/>
              <w:contextualSpacing w:val="0"/>
              <w:jc w:val="left"/>
              <w:rPr>
                <w:rFonts w:cs="Arial"/>
                <w:sz w:val="18"/>
                <w:szCs w:val="18"/>
              </w:rPr>
            </w:pPr>
            <w:r w:rsidRPr="001F2C5A">
              <w:rPr>
                <w:rFonts w:cs="Arial"/>
                <w:spacing w:val="-1"/>
                <w:sz w:val="18"/>
                <w:szCs w:val="18"/>
              </w:rPr>
              <w:t>დაიცავით მინიმუმ 300 მეტრი მანძილი ქარის მიმართულების გათვალისწინებით ბეტონის საწარმოო ქარხნიდან.</w:t>
            </w:r>
          </w:p>
        </w:tc>
        <w:tc>
          <w:tcPr>
            <w:tcW w:w="2070" w:type="dxa"/>
            <w:tcBorders>
              <w:bottom w:val="single" w:sz="4" w:space="0" w:color="auto"/>
            </w:tcBorders>
            <w:shd w:val="clear" w:color="auto" w:fill="FFFFFF" w:themeFill="background1"/>
          </w:tcPr>
          <w:p w14:paraId="6B598C9F" w14:textId="77777777" w:rsidR="0071033A" w:rsidRPr="001F2C5A" w:rsidRDefault="0071033A" w:rsidP="002B56CC">
            <w:pPr>
              <w:pStyle w:val="TableParagraph"/>
              <w:ind w:left="-18"/>
              <w:rPr>
                <w:rFonts w:ascii="Sylfaen" w:hAnsi="Sylfaen" w:cs="Arial"/>
                <w:spacing w:val="-1"/>
                <w:sz w:val="18"/>
                <w:szCs w:val="18"/>
              </w:rPr>
            </w:pPr>
            <w:r w:rsidRPr="001F2C5A">
              <w:rPr>
                <w:rFonts w:ascii="Sylfaen" w:hAnsi="Sylfaen" w:cs="Arial"/>
                <w:spacing w:val="-1"/>
                <w:sz w:val="18"/>
                <w:szCs w:val="18"/>
              </w:rPr>
              <w:t>დამატებითი ხარჯები არ არის საჭირო.</w:t>
            </w:r>
          </w:p>
          <w:p w14:paraId="6574A1E0" w14:textId="77777777" w:rsidR="0071033A" w:rsidRPr="001F2C5A" w:rsidRDefault="0071033A" w:rsidP="002B56CC">
            <w:pPr>
              <w:suppressAutoHyphens/>
              <w:contextualSpacing/>
              <w:rPr>
                <w:rFonts w:ascii="Sylfaen" w:hAnsi="Sylfaen" w:cs="Arial"/>
                <w:sz w:val="18"/>
                <w:szCs w:val="18"/>
                <w:lang w:eastAsia="ar-SA"/>
              </w:rPr>
            </w:pPr>
          </w:p>
        </w:tc>
        <w:tc>
          <w:tcPr>
            <w:tcW w:w="1260" w:type="dxa"/>
            <w:tcBorders>
              <w:bottom w:val="single" w:sz="4" w:space="0" w:color="auto"/>
            </w:tcBorders>
            <w:shd w:val="clear" w:color="auto" w:fill="FFFFFF" w:themeFill="background1"/>
          </w:tcPr>
          <w:p w14:paraId="467300CA"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სკ</w:t>
            </w:r>
          </w:p>
        </w:tc>
        <w:tc>
          <w:tcPr>
            <w:tcW w:w="1350" w:type="dxa"/>
            <w:tcBorders>
              <w:bottom w:val="single" w:sz="4" w:space="0" w:color="auto"/>
            </w:tcBorders>
            <w:shd w:val="clear" w:color="auto" w:fill="FFFFFF" w:themeFill="background1"/>
          </w:tcPr>
          <w:p w14:paraId="44F22D3C"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სგდ</w:t>
            </w:r>
          </w:p>
        </w:tc>
      </w:tr>
      <w:tr w:rsidR="0071033A" w:rsidRPr="001F2C5A" w14:paraId="00D23DF0" w14:textId="77777777" w:rsidTr="001F2C5A">
        <w:trPr>
          <w:trHeight w:val="359"/>
        </w:trPr>
        <w:tc>
          <w:tcPr>
            <w:tcW w:w="1525" w:type="dxa"/>
            <w:tcBorders>
              <w:bottom w:val="single" w:sz="4" w:space="0" w:color="auto"/>
            </w:tcBorders>
            <w:shd w:val="clear" w:color="auto" w:fill="FFFFFF" w:themeFill="background1"/>
          </w:tcPr>
          <w:p w14:paraId="2EF27F2F"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rPr>
              <w:t xml:space="preserve">მიწის სამუშაოები, მიწის ან სხვა წვრილმარცვლოვანი მასალების შენახვა და ტრანსპორტირება (ცემენტი, </w:t>
            </w:r>
            <w:r w:rsidRPr="001F2C5A">
              <w:rPr>
                <w:rFonts w:ascii="Sylfaen" w:hAnsi="Sylfaen" w:cs="Arial"/>
                <w:spacing w:val="-1"/>
                <w:sz w:val="18"/>
                <w:szCs w:val="18"/>
              </w:rPr>
              <w:lastRenderedPageBreak/>
              <w:t>ქვიშა და სხვ.), სატრანსპორტო საშუალებების გადაადგილება მტვრიან ან მოუკიწყლავი ზედაირებზე</w:t>
            </w:r>
          </w:p>
        </w:tc>
        <w:tc>
          <w:tcPr>
            <w:tcW w:w="1620" w:type="dxa"/>
            <w:tcBorders>
              <w:bottom w:val="single" w:sz="4" w:space="0" w:color="auto"/>
            </w:tcBorders>
            <w:shd w:val="clear" w:color="auto" w:fill="FFFFFF" w:themeFill="background1"/>
          </w:tcPr>
          <w:p w14:paraId="2805F5A2"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rPr>
              <w:lastRenderedPageBreak/>
              <w:t>მტვერი/ჰაერის დაბინძურება</w:t>
            </w:r>
          </w:p>
        </w:tc>
        <w:tc>
          <w:tcPr>
            <w:tcW w:w="7200" w:type="dxa"/>
            <w:tcBorders>
              <w:bottom w:val="single" w:sz="4" w:space="0" w:color="auto"/>
            </w:tcBorders>
            <w:shd w:val="clear" w:color="auto" w:fill="FFFFFF" w:themeFill="background1"/>
          </w:tcPr>
          <w:p w14:paraId="07AD0D3D" w14:textId="77777777" w:rsidR="0071033A" w:rsidRPr="001F2C5A" w:rsidRDefault="0071033A" w:rsidP="00821E4D">
            <w:pPr>
              <w:pStyle w:val="ListParagraph"/>
              <w:widowControl w:val="0"/>
              <w:numPr>
                <w:ilvl w:val="0"/>
                <w:numId w:val="20"/>
              </w:numPr>
              <w:tabs>
                <w:tab w:val="left" w:pos="302"/>
              </w:tabs>
              <w:spacing w:before="13" w:after="0" w:line="240" w:lineRule="auto"/>
              <w:ind w:right="204"/>
              <w:contextualSpacing w:val="0"/>
              <w:jc w:val="left"/>
              <w:rPr>
                <w:rFonts w:cs="Arial"/>
                <w:sz w:val="18"/>
                <w:szCs w:val="18"/>
              </w:rPr>
            </w:pPr>
            <w:r w:rsidRPr="001F2C5A">
              <w:rPr>
                <w:rFonts w:cs="Arial"/>
                <w:spacing w:val="-1"/>
                <w:sz w:val="18"/>
                <w:szCs w:val="18"/>
              </w:rPr>
              <w:t>მო</w:t>
            </w:r>
            <w:r w:rsidR="00E81445" w:rsidRPr="001F2C5A">
              <w:rPr>
                <w:rFonts w:cs="Arial"/>
                <w:spacing w:val="-1"/>
                <w:sz w:val="18"/>
                <w:szCs w:val="18"/>
                <w:lang w:val="ka-GE"/>
              </w:rPr>
              <w:t>ა</w:t>
            </w:r>
            <w:r w:rsidRPr="001F2C5A">
              <w:rPr>
                <w:rFonts w:cs="Arial"/>
                <w:spacing w:val="-1"/>
                <w:sz w:val="18"/>
                <w:szCs w:val="18"/>
              </w:rPr>
              <w:t>სხურეთ ყველა მოუკიწყლავი გზები და  ღია მნიშვნელოვანი ადგილები წყლით ყოველ ოთხ საათში სამუშაო დღეების განმავლობაში, მშრალ და ქარიან ამინდში;</w:t>
            </w:r>
          </w:p>
          <w:p w14:paraId="14E19848" w14:textId="77777777" w:rsidR="0071033A" w:rsidRPr="001F2C5A" w:rsidRDefault="0071033A" w:rsidP="00821E4D">
            <w:pPr>
              <w:pStyle w:val="ListParagraph"/>
              <w:widowControl w:val="0"/>
              <w:numPr>
                <w:ilvl w:val="0"/>
                <w:numId w:val="20"/>
              </w:numPr>
              <w:tabs>
                <w:tab w:val="left" w:pos="302"/>
              </w:tabs>
              <w:spacing w:before="13" w:after="0" w:line="240" w:lineRule="auto"/>
              <w:ind w:right="155"/>
              <w:contextualSpacing w:val="0"/>
              <w:jc w:val="left"/>
              <w:rPr>
                <w:rFonts w:cs="Arial"/>
                <w:sz w:val="18"/>
                <w:szCs w:val="18"/>
              </w:rPr>
            </w:pPr>
            <w:r w:rsidRPr="001F2C5A">
              <w:rPr>
                <w:rFonts w:cs="Arial"/>
                <w:spacing w:val="-1"/>
                <w:sz w:val="18"/>
                <w:szCs w:val="18"/>
              </w:rPr>
              <w:t>უზრუნველყავით სარეცხი საშუალებებით და გააკონტროლოთ, რომ ის ყველა სატრანსპორტო საშუალებებით სარგებამდე გამოიყენება.</w:t>
            </w:r>
          </w:p>
          <w:p w14:paraId="2D9BC1B2" w14:textId="77777777" w:rsidR="0071033A" w:rsidRPr="001F2C5A" w:rsidRDefault="0071033A" w:rsidP="00821E4D">
            <w:pPr>
              <w:pStyle w:val="ListParagraph"/>
              <w:widowControl w:val="0"/>
              <w:numPr>
                <w:ilvl w:val="0"/>
                <w:numId w:val="20"/>
              </w:numPr>
              <w:tabs>
                <w:tab w:val="left" w:pos="302"/>
              </w:tabs>
              <w:spacing w:before="15" w:after="0" w:line="240" w:lineRule="auto"/>
              <w:ind w:right="547"/>
              <w:contextualSpacing w:val="0"/>
              <w:jc w:val="left"/>
              <w:rPr>
                <w:rFonts w:cs="Arial"/>
                <w:sz w:val="18"/>
                <w:szCs w:val="18"/>
              </w:rPr>
            </w:pPr>
            <w:r w:rsidRPr="001F2C5A">
              <w:rPr>
                <w:rFonts w:cs="Arial"/>
                <w:spacing w:val="-1"/>
                <w:sz w:val="18"/>
                <w:szCs w:val="18"/>
              </w:rPr>
              <w:t>სატვირთო ავტომანქანებში გადატანისას ყველა დაუმაგრებელი მასალა უნდა იყოს დაფარული ბრეზენტით</w:t>
            </w:r>
            <w:r w:rsidRPr="001F2C5A">
              <w:rPr>
                <w:rFonts w:cs="Arial"/>
                <w:spacing w:val="-1"/>
                <w:sz w:val="18"/>
                <w:szCs w:val="18"/>
                <w:lang w:val="ka-GE"/>
              </w:rPr>
              <w:t>.</w:t>
            </w:r>
          </w:p>
          <w:p w14:paraId="4B62A4B4" w14:textId="77777777" w:rsidR="0071033A" w:rsidRPr="001F2C5A" w:rsidRDefault="0071033A" w:rsidP="00821E4D">
            <w:pPr>
              <w:pStyle w:val="ListParagraph"/>
              <w:widowControl w:val="0"/>
              <w:numPr>
                <w:ilvl w:val="0"/>
                <w:numId w:val="20"/>
              </w:numPr>
              <w:tabs>
                <w:tab w:val="left" w:pos="302"/>
              </w:tabs>
              <w:spacing w:before="13" w:after="0" w:line="240" w:lineRule="auto"/>
              <w:ind w:right="223"/>
              <w:contextualSpacing w:val="0"/>
              <w:jc w:val="left"/>
              <w:rPr>
                <w:rFonts w:cs="Arial"/>
                <w:spacing w:val="-1"/>
                <w:sz w:val="18"/>
                <w:szCs w:val="18"/>
              </w:rPr>
            </w:pPr>
            <w:r w:rsidRPr="001F2C5A">
              <w:rPr>
                <w:rFonts w:cs="Arial"/>
                <w:spacing w:val="-1"/>
                <w:sz w:val="18"/>
                <w:szCs w:val="18"/>
              </w:rPr>
              <w:t xml:space="preserve">ადგილზე განთავსებული მთელი მასალა უნდა იყოს მუდმივად დაფარული </w:t>
            </w:r>
            <w:r w:rsidRPr="001F2C5A">
              <w:rPr>
                <w:rFonts w:cs="Arial"/>
                <w:spacing w:val="-1"/>
                <w:sz w:val="18"/>
                <w:szCs w:val="18"/>
              </w:rPr>
              <w:lastRenderedPageBreak/>
              <w:t>საიმედოდ დამაგრებული ბრეზენტით;</w:t>
            </w:r>
          </w:p>
        </w:tc>
        <w:tc>
          <w:tcPr>
            <w:tcW w:w="2070" w:type="dxa"/>
            <w:tcBorders>
              <w:bottom w:val="single" w:sz="4" w:space="0" w:color="auto"/>
            </w:tcBorders>
            <w:shd w:val="clear" w:color="auto" w:fill="FFFFFF" w:themeFill="background1"/>
          </w:tcPr>
          <w:p w14:paraId="22555B78" w14:textId="77777777" w:rsidR="0071033A" w:rsidRPr="001F2C5A" w:rsidRDefault="0071033A" w:rsidP="002B56CC">
            <w:pPr>
              <w:pStyle w:val="TableParagraph"/>
              <w:ind w:left="102" w:right="190"/>
              <w:rPr>
                <w:rFonts w:ascii="Sylfaen" w:hAnsi="Sylfaen" w:cs="Arial"/>
                <w:sz w:val="18"/>
                <w:szCs w:val="18"/>
              </w:rPr>
            </w:pPr>
            <w:r w:rsidRPr="001F2C5A">
              <w:rPr>
                <w:rFonts w:ascii="Sylfaen" w:hAnsi="Sylfaen" w:cs="Arial"/>
                <w:sz w:val="18"/>
                <w:szCs w:val="18"/>
              </w:rPr>
              <w:lastRenderedPageBreak/>
              <w:t xml:space="preserve">ბორბლის-სარეცხი საშუალებების მოწყობის ხარჯები შეფასდება </w:t>
            </w:r>
            <w:r w:rsidR="00E81445" w:rsidRPr="001F2C5A">
              <w:rPr>
                <w:rFonts w:ascii="Sylfaen" w:hAnsi="Sylfaen" w:cs="Arial"/>
                <w:sz w:val="18"/>
                <w:szCs w:val="18"/>
                <w:lang w:val="ka-GE"/>
              </w:rPr>
              <w:t>მოიჯარის</w:t>
            </w:r>
            <w:r w:rsidRPr="001F2C5A">
              <w:rPr>
                <w:rFonts w:ascii="Sylfaen" w:hAnsi="Sylfaen" w:cs="Arial"/>
                <w:sz w:val="18"/>
                <w:szCs w:val="18"/>
              </w:rPr>
              <w:t xml:space="preserve"> მიერ.</w:t>
            </w:r>
          </w:p>
          <w:p w14:paraId="3FA2C869"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z w:val="18"/>
                <w:szCs w:val="18"/>
              </w:rPr>
              <w:t>სხვა ხარჯები არ არის საჭირო.</w:t>
            </w:r>
          </w:p>
        </w:tc>
        <w:tc>
          <w:tcPr>
            <w:tcW w:w="1260" w:type="dxa"/>
            <w:tcBorders>
              <w:bottom w:val="single" w:sz="4" w:space="0" w:color="auto"/>
            </w:tcBorders>
            <w:shd w:val="clear" w:color="auto" w:fill="FFFFFF" w:themeFill="background1"/>
          </w:tcPr>
          <w:p w14:paraId="62EF385D"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სკ</w:t>
            </w:r>
          </w:p>
        </w:tc>
        <w:tc>
          <w:tcPr>
            <w:tcW w:w="1350" w:type="dxa"/>
            <w:tcBorders>
              <w:bottom w:val="single" w:sz="4" w:space="0" w:color="auto"/>
            </w:tcBorders>
            <w:shd w:val="clear" w:color="auto" w:fill="FFFFFF" w:themeFill="background1"/>
          </w:tcPr>
          <w:p w14:paraId="0E5227EC"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სგდ</w:t>
            </w:r>
          </w:p>
        </w:tc>
      </w:tr>
      <w:tr w:rsidR="0071033A" w:rsidRPr="001F2C5A" w14:paraId="21F245B9" w14:textId="77777777" w:rsidTr="001F2C5A">
        <w:trPr>
          <w:trHeight w:val="1292"/>
        </w:trPr>
        <w:tc>
          <w:tcPr>
            <w:tcW w:w="1525" w:type="dxa"/>
            <w:tcBorders>
              <w:bottom w:val="single" w:sz="4" w:space="0" w:color="auto"/>
            </w:tcBorders>
            <w:shd w:val="clear" w:color="auto" w:fill="FFFFFF" w:themeFill="background1"/>
          </w:tcPr>
          <w:p w14:paraId="1C9ED251"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rPr>
              <w:t>მიწის სამუშაოები და სხვადასხვა სამშენებლო სამუშაოები</w:t>
            </w:r>
          </w:p>
        </w:tc>
        <w:tc>
          <w:tcPr>
            <w:tcW w:w="1620" w:type="dxa"/>
            <w:tcBorders>
              <w:bottom w:val="single" w:sz="4" w:space="0" w:color="auto"/>
            </w:tcBorders>
            <w:shd w:val="clear" w:color="auto" w:fill="FFFFFF" w:themeFill="background1"/>
          </w:tcPr>
          <w:p w14:paraId="13F734C3"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rPr>
              <w:t>ხმაურის ზრდით გამოწვეული ზემოქმედება ადამიანისა და ბუნებრივი რეცეპტორების მიმართ.</w:t>
            </w:r>
          </w:p>
        </w:tc>
        <w:tc>
          <w:tcPr>
            <w:tcW w:w="7200" w:type="dxa"/>
            <w:tcBorders>
              <w:bottom w:val="single" w:sz="4" w:space="0" w:color="auto"/>
            </w:tcBorders>
            <w:shd w:val="clear" w:color="auto" w:fill="FFFFFF" w:themeFill="background1"/>
          </w:tcPr>
          <w:p w14:paraId="0DAFD8D3" w14:textId="77777777" w:rsidR="0071033A" w:rsidRPr="001F2C5A" w:rsidRDefault="0071033A" w:rsidP="002B56CC">
            <w:pPr>
              <w:widowControl w:val="0"/>
              <w:tabs>
                <w:tab w:val="left" w:pos="302"/>
              </w:tabs>
              <w:ind w:left="100" w:right="112"/>
              <w:rPr>
                <w:rFonts w:ascii="Sylfaen" w:hAnsi="Sylfaen" w:cs="Arial"/>
                <w:sz w:val="18"/>
                <w:szCs w:val="18"/>
              </w:rPr>
            </w:pPr>
            <w:r w:rsidRPr="001F2C5A">
              <w:rPr>
                <w:rFonts w:ascii="Sylfaen" w:hAnsi="Sylfaen" w:cs="Arial"/>
                <w:spacing w:val="-1"/>
                <w:sz w:val="18"/>
                <w:szCs w:val="18"/>
              </w:rPr>
              <w:t>დასახლებული პუნქტის მიმდებარე ტერიტორიაზე მიმდებარე დასახლებების 500 მ მანძილზე მასალის ტრანსპორტირება და სამუშაო საათები შეზღუდული იქნება 07-დან 21 საათამდე.</w:t>
            </w:r>
          </w:p>
          <w:p w14:paraId="2E1DC66C" w14:textId="77777777" w:rsidR="0071033A" w:rsidRPr="001F2C5A" w:rsidRDefault="0071033A" w:rsidP="00821E4D">
            <w:pPr>
              <w:pStyle w:val="ListParagraph"/>
              <w:widowControl w:val="0"/>
              <w:numPr>
                <w:ilvl w:val="0"/>
                <w:numId w:val="20"/>
              </w:numPr>
              <w:tabs>
                <w:tab w:val="left" w:pos="302"/>
              </w:tabs>
              <w:spacing w:after="0" w:line="240" w:lineRule="auto"/>
              <w:contextualSpacing w:val="0"/>
              <w:jc w:val="left"/>
              <w:rPr>
                <w:rFonts w:cs="Arial"/>
                <w:sz w:val="18"/>
                <w:szCs w:val="18"/>
              </w:rPr>
            </w:pPr>
            <w:r w:rsidRPr="001F2C5A">
              <w:rPr>
                <w:rFonts w:cs="Arial"/>
                <w:spacing w:val="-1"/>
                <w:sz w:val="18"/>
                <w:szCs w:val="18"/>
              </w:rPr>
              <w:t>ავტოტრანსპორტის მოძრაობის სიჩქარის შეზღუდვა.</w:t>
            </w:r>
          </w:p>
          <w:p w14:paraId="4751DC10" w14:textId="77777777" w:rsidR="0071033A" w:rsidRPr="001F2C5A" w:rsidRDefault="0071033A" w:rsidP="00821E4D">
            <w:pPr>
              <w:pStyle w:val="ListParagraph"/>
              <w:widowControl w:val="0"/>
              <w:numPr>
                <w:ilvl w:val="0"/>
                <w:numId w:val="20"/>
              </w:numPr>
              <w:tabs>
                <w:tab w:val="left" w:pos="302"/>
              </w:tabs>
              <w:spacing w:before="13" w:after="0" w:line="240" w:lineRule="auto"/>
              <w:ind w:right="204"/>
              <w:contextualSpacing w:val="0"/>
              <w:jc w:val="left"/>
              <w:rPr>
                <w:rFonts w:cs="Arial"/>
                <w:spacing w:val="-1"/>
                <w:sz w:val="18"/>
                <w:szCs w:val="18"/>
              </w:rPr>
            </w:pPr>
            <w:r w:rsidRPr="001F2C5A">
              <w:rPr>
                <w:rFonts w:cs="Arial"/>
                <w:spacing w:val="-1"/>
                <w:sz w:val="18"/>
                <w:szCs w:val="18"/>
              </w:rPr>
              <w:t>მობილური და სტაციონარული მოწყობილობების რეგულარული ტექნიკური შემოწმების განხორციელება.</w:t>
            </w:r>
          </w:p>
        </w:tc>
        <w:tc>
          <w:tcPr>
            <w:tcW w:w="2070" w:type="dxa"/>
            <w:tcBorders>
              <w:bottom w:val="single" w:sz="4" w:space="0" w:color="auto"/>
            </w:tcBorders>
            <w:shd w:val="clear" w:color="auto" w:fill="FFFFFF" w:themeFill="background1"/>
          </w:tcPr>
          <w:p w14:paraId="2A742433" w14:textId="77777777" w:rsidR="0071033A" w:rsidRPr="001F2C5A" w:rsidRDefault="0071033A" w:rsidP="002B56CC">
            <w:pPr>
              <w:pStyle w:val="TableParagraph"/>
              <w:ind w:left="-18"/>
              <w:rPr>
                <w:rFonts w:ascii="Sylfaen" w:hAnsi="Sylfaen" w:cs="Arial"/>
                <w:spacing w:val="-1"/>
                <w:sz w:val="18"/>
                <w:szCs w:val="18"/>
              </w:rPr>
            </w:pPr>
            <w:r w:rsidRPr="001F2C5A">
              <w:rPr>
                <w:rFonts w:ascii="Sylfaen" w:hAnsi="Sylfaen" w:cs="Arial"/>
                <w:spacing w:val="-1"/>
                <w:sz w:val="18"/>
                <w:szCs w:val="18"/>
              </w:rPr>
              <w:t>დამატებითი ხარჯები არ არის საჭირო.</w:t>
            </w:r>
          </w:p>
          <w:p w14:paraId="449D742C" w14:textId="77777777" w:rsidR="0071033A" w:rsidRPr="001F2C5A" w:rsidRDefault="0071033A" w:rsidP="002B56CC">
            <w:pPr>
              <w:pStyle w:val="TableParagraph"/>
              <w:ind w:left="102" w:right="190"/>
              <w:rPr>
                <w:rFonts w:ascii="Sylfaen" w:hAnsi="Sylfaen" w:cs="Arial"/>
                <w:sz w:val="18"/>
                <w:szCs w:val="18"/>
              </w:rPr>
            </w:pPr>
          </w:p>
        </w:tc>
        <w:tc>
          <w:tcPr>
            <w:tcW w:w="1260" w:type="dxa"/>
            <w:tcBorders>
              <w:bottom w:val="single" w:sz="4" w:space="0" w:color="auto"/>
            </w:tcBorders>
            <w:shd w:val="clear" w:color="auto" w:fill="FFFFFF" w:themeFill="background1"/>
          </w:tcPr>
          <w:p w14:paraId="677E85F0"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სკ</w:t>
            </w:r>
          </w:p>
        </w:tc>
        <w:tc>
          <w:tcPr>
            <w:tcW w:w="1350" w:type="dxa"/>
            <w:tcBorders>
              <w:bottom w:val="single" w:sz="4" w:space="0" w:color="auto"/>
            </w:tcBorders>
            <w:shd w:val="clear" w:color="auto" w:fill="FFFFFF" w:themeFill="background1"/>
          </w:tcPr>
          <w:p w14:paraId="7BE52CBD"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სგდ</w:t>
            </w:r>
          </w:p>
        </w:tc>
      </w:tr>
      <w:tr w:rsidR="0071033A" w:rsidRPr="001F2C5A" w14:paraId="0DE31003" w14:textId="77777777" w:rsidTr="001F2C5A">
        <w:trPr>
          <w:trHeight w:val="359"/>
        </w:trPr>
        <w:tc>
          <w:tcPr>
            <w:tcW w:w="1525" w:type="dxa"/>
            <w:tcBorders>
              <w:bottom w:val="single" w:sz="4" w:space="0" w:color="auto"/>
            </w:tcBorders>
            <w:shd w:val="clear" w:color="auto" w:fill="FFFFFF" w:themeFill="background1"/>
          </w:tcPr>
          <w:p w14:paraId="666995CF"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rPr>
              <w:t>გზისა და ნაგებობების მშენებლობა, გზისპირა ნაგებობების დანგრევა</w:t>
            </w:r>
          </w:p>
        </w:tc>
        <w:tc>
          <w:tcPr>
            <w:tcW w:w="1620" w:type="dxa"/>
            <w:tcBorders>
              <w:bottom w:val="single" w:sz="4" w:space="0" w:color="auto"/>
            </w:tcBorders>
            <w:shd w:val="clear" w:color="auto" w:fill="FFFFFF" w:themeFill="background1"/>
          </w:tcPr>
          <w:p w14:paraId="7BA50A9A" w14:textId="77777777" w:rsidR="0071033A" w:rsidRPr="001F2C5A" w:rsidRDefault="0071033A" w:rsidP="002B56CC">
            <w:pPr>
              <w:pStyle w:val="TableParagraph"/>
              <w:ind w:right="197"/>
              <w:rPr>
                <w:rFonts w:ascii="Sylfaen" w:hAnsi="Sylfaen" w:cs="Arial"/>
                <w:spacing w:val="-1"/>
                <w:sz w:val="18"/>
                <w:szCs w:val="18"/>
              </w:rPr>
            </w:pPr>
            <w:r w:rsidRPr="001F2C5A">
              <w:rPr>
                <w:rFonts w:ascii="Sylfaen" w:hAnsi="Sylfaen" w:cs="Arial"/>
                <w:spacing w:val="-1"/>
                <w:sz w:val="18"/>
                <w:szCs w:val="18"/>
              </w:rPr>
              <w:t>არასახიფათო ნარჩენების წარმოება მშენებლობის და დემონტაჟის გამო</w:t>
            </w:r>
          </w:p>
          <w:p w14:paraId="05949F13" w14:textId="77777777" w:rsidR="0071033A" w:rsidRPr="001F2C5A" w:rsidRDefault="0071033A" w:rsidP="002B56CC">
            <w:pPr>
              <w:pStyle w:val="TableParagraph"/>
              <w:ind w:right="197"/>
              <w:rPr>
                <w:rFonts w:ascii="Sylfaen" w:hAnsi="Sylfaen" w:cs="Arial"/>
                <w:spacing w:val="-1"/>
                <w:sz w:val="18"/>
                <w:szCs w:val="18"/>
              </w:rPr>
            </w:pPr>
          </w:p>
          <w:p w14:paraId="31A74963"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rPr>
              <w:t>სახიფათო ნარჩენები</w:t>
            </w:r>
          </w:p>
        </w:tc>
        <w:tc>
          <w:tcPr>
            <w:tcW w:w="7200" w:type="dxa"/>
            <w:tcBorders>
              <w:bottom w:val="single" w:sz="4" w:space="0" w:color="auto"/>
            </w:tcBorders>
            <w:shd w:val="clear" w:color="auto" w:fill="FFFFFF" w:themeFill="background1"/>
          </w:tcPr>
          <w:p w14:paraId="79B71841" w14:textId="77777777" w:rsidR="0071033A" w:rsidRPr="001F2C5A" w:rsidRDefault="0071033A" w:rsidP="00821E4D">
            <w:pPr>
              <w:pStyle w:val="ListParagraph"/>
              <w:widowControl w:val="0"/>
              <w:numPr>
                <w:ilvl w:val="0"/>
                <w:numId w:val="20"/>
              </w:numPr>
              <w:tabs>
                <w:tab w:val="left" w:pos="302"/>
              </w:tabs>
              <w:spacing w:after="0" w:line="240" w:lineRule="auto"/>
              <w:contextualSpacing w:val="0"/>
              <w:jc w:val="left"/>
              <w:rPr>
                <w:rFonts w:cs="Arial"/>
                <w:sz w:val="18"/>
                <w:szCs w:val="18"/>
              </w:rPr>
            </w:pPr>
            <w:r w:rsidRPr="001F2C5A">
              <w:rPr>
                <w:rFonts w:cs="Arial"/>
                <w:spacing w:val="-1"/>
                <w:sz w:val="18"/>
                <w:szCs w:val="18"/>
              </w:rPr>
              <w:t>ნარჩენების მართვის გეგმის შემუშავება და განხორციელება</w:t>
            </w:r>
          </w:p>
          <w:p w14:paraId="002A65C9" w14:textId="77777777" w:rsidR="0071033A" w:rsidRPr="001F2C5A" w:rsidRDefault="0071033A" w:rsidP="00821E4D">
            <w:pPr>
              <w:pStyle w:val="ListParagraph"/>
              <w:widowControl w:val="0"/>
              <w:numPr>
                <w:ilvl w:val="0"/>
                <w:numId w:val="20"/>
              </w:numPr>
              <w:tabs>
                <w:tab w:val="left" w:pos="302"/>
              </w:tabs>
              <w:spacing w:after="0" w:line="240" w:lineRule="auto"/>
              <w:ind w:right="230"/>
              <w:contextualSpacing w:val="0"/>
              <w:jc w:val="left"/>
              <w:rPr>
                <w:rFonts w:cs="Arial"/>
                <w:sz w:val="18"/>
                <w:szCs w:val="18"/>
              </w:rPr>
            </w:pPr>
            <w:r w:rsidRPr="001F2C5A">
              <w:rPr>
                <w:rFonts w:cs="Arial"/>
                <w:spacing w:val="-1"/>
                <w:sz w:val="18"/>
                <w:szCs w:val="18"/>
              </w:rPr>
              <w:t>ბანაკის/მუშაობის ადგილზე ინერტული ნარჩენების დროებითი განთავსების  ადგილი უნდა იქნეს შერჩეული. ნარჩენები უნდა განთავსდეს ისე, რომ არ შეაფერხოს მანქანებისა და პერსონალის თავისუფალი გადაადგილება; ის ასევე უნდა იყოს შერჩეული წყლის ზედაპირიდან მოშორებით (მინიმუმ 100 მ). ნარჩენები უნდა იყოს გამოყოფილი წყაროების შესაბამისად, ეფექტური მართვის უზრუნველსაყოფად და ხელახლა გამოყენების მიზნით.</w:t>
            </w:r>
          </w:p>
          <w:p w14:paraId="758F8058" w14:textId="77777777" w:rsidR="0071033A" w:rsidRPr="001F2C5A" w:rsidRDefault="00E81445" w:rsidP="00821E4D">
            <w:pPr>
              <w:pStyle w:val="ListParagraph"/>
              <w:widowControl w:val="0"/>
              <w:numPr>
                <w:ilvl w:val="0"/>
                <w:numId w:val="20"/>
              </w:numPr>
              <w:tabs>
                <w:tab w:val="left" w:pos="302"/>
              </w:tabs>
              <w:spacing w:after="0" w:line="240" w:lineRule="auto"/>
              <w:ind w:right="303"/>
              <w:contextualSpacing w:val="0"/>
              <w:jc w:val="left"/>
              <w:rPr>
                <w:rFonts w:cs="Arial"/>
                <w:sz w:val="18"/>
                <w:szCs w:val="18"/>
              </w:rPr>
            </w:pPr>
            <w:r w:rsidRPr="001F2C5A">
              <w:rPr>
                <w:rFonts w:cs="Arial"/>
                <w:sz w:val="18"/>
                <w:szCs w:val="18"/>
              </w:rPr>
              <w:t>ნარჩენ</w:t>
            </w:r>
            <w:r w:rsidR="0071033A" w:rsidRPr="001F2C5A">
              <w:rPr>
                <w:rFonts w:cs="Arial"/>
                <w:sz w:val="18"/>
                <w:szCs w:val="18"/>
              </w:rPr>
              <w:t>ი მასალა, რომელიც შეიძლება გამოყენებული იქნეს პროექტისთვის ან მუნიციპალიტეტის საჭიროებისამ</w:t>
            </w:r>
            <w:r w:rsidRPr="001F2C5A">
              <w:rPr>
                <w:rFonts w:cs="Arial"/>
                <w:sz w:val="18"/>
                <w:szCs w:val="18"/>
                <w:lang w:val="ka-GE"/>
              </w:rPr>
              <w:t>ე</w:t>
            </w:r>
            <w:r w:rsidR="0071033A" w:rsidRPr="001F2C5A">
              <w:rPr>
                <w:rFonts w:cs="Arial"/>
                <w:sz w:val="18"/>
                <w:szCs w:val="18"/>
              </w:rPr>
              <w:t>ბრ უნდა იყოს გამოყენებული ხელშეკრულების საფუძველზე; დანარჩენი უნდა განადგურდეს უახლოეს ნაგავსაყრელზე, ადგილობრივი ხელისუფლების შეთანხმების საფუძველზე.</w:t>
            </w:r>
            <w:r w:rsidR="0071033A" w:rsidRPr="001F2C5A">
              <w:rPr>
                <w:rFonts w:cs="Arial"/>
                <w:spacing w:val="-1"/>
                <w:sz w:val="18"/>
                <w:szCs w:val="18"/>
              </w:rPr>
              <w:t>.</w:t>
            </w:r>
          </w:p>
          <w:p w14:paraId="1D3BB63F" w14:textId="77777777" w:rsidR="0071033A" w:rsidRPr="001F2C5A" w:rsidRDefault="0071033A" w:rsidP="00821E4D">
            <w:pPr>
              <w:pStyle w:val="ListParagraph"/>
              <w:widowControl w:val="0"/>
              <w:numPr>
                <w:ilvl w:val="0"/>
                <w:numId w:val="20"/>
              </w:numPr>
              <w:tabs>
                <w:tab w:val="left" w:pos="302"/>
              </w:tabs>
              <w:spacing w:after="0" w:line="240" w:lineRule="auto"/>
              <w:contextualSpacing w:val="0"/>
              <w:jc w:val="left"/>
              <w:rPr>
                <w:rFonts w:cs="Arial"/>
                <w:sz w:val="18"/>
                <w:szCs w:val="18"/>
              </w:rPr>
            </w:pPr>
            <w:r w:rsidRPr="001F2C5A">
              <w:rPr>
                <w:rFonts w:cs="Arial"/>
                <w:spacing w:val="-1"/>
                <w:sz w:val="18"/>
                <w:szCs w:val="18"/>
              </w:rPr>
              <w:t>კადრების მომზადება კარგი პრაქტიკაში</w:t>
            </w:r>
          </w:p>
          <w:p w14:paraId="16CB3D92" w14:textId="77777777" w:rsidR="0071033A" w:rsidRPr="001F2C5A" w:rsidRDefault="0071033A" w:rsidP="00821E4D">
            <w:pPr>
              <w:pStyle w:val="ListParagraph"/>
              <w:widowControl w:val="0"/>
              <w:numPr>
                <w:ilvl w:val="0"/>
                <w:numId w:val="20"/>
              </w:numPr>
              <w:tabs>
                <w:tab w:val="left" w:pos="302"/>
              </w:tabs>
              <w:spacing w:before="13" w:after="0" w:line="240" w:lineRule="auto"/>
              <w:ind w:right="204"/>
              <w:contextualSpacing w:val="0"/>
              <w:jc w:val="left"/>
              <w:rPr>
                <w:rFonts w:cs="Arial"/>
                <w:spacing w:val="-1"/>
                <w:sz w:val="18"/>
                <w:szCs w:val="18"/>
              </w:rPr>
            </w:pPr>
            <w:r w:rsidRPr="001F2C5A">
              <w:rPr>
                <w:rFonts w:cs="Arial"/>
                <w:sz w:val="18"/>
                <w:szCs w:val="18"/>
              </w:rPr>
              <w:t xml:space="preserve">პერსონალის ბრიფინგი საშიში ნარჩენების </w:t>
            </w:r>
            <w:r w:rsidR="00E81445" w:rsidRPr="001F2C5A">
              <w:rPr>
                <w:rFonts w:cs="Arial"/>
                <w:sz w:val="18"/>
                <w:szCs w:val="18"/>
              </w:rPr>
              <w:t>მართვ</w:t>
            </w:r>
            <w:r w:rsidR="00E81445" w:rsidRPr="001F2C5A">
              <w:rPr>
                <w:rFonts w:cs="Arial"/>
                <w:sz w:val="18"/>
                <w:szCs w:val="18"/>
                <w:lang w:val="ka-GE"/>
              </w:rPr>
              <w:t>ის შესახებ</w:t>
            </w:r>
          </w:p>
        </w:tc>
        <w:tc>
          <w:tcPr>
            <w:tcW w:w="2070" w:type="dxa"/>
            <w:tcBorders>
              <w:bottom w:val="single" w:sz="4" w:space="0" w:color="auto"/>
            </w:tcBorders>
            <w:shd w:val="clear" w:color="auto" w:fill="FFFFFF" w:themeFill="background1"/>
          </w:tcPr>
          <w:p w14:paraId="0E05C3BD" w14:textId="77777777" w:rsidR="0071033A" w:rsidRPr="001F2C5A" w:rsidRDefault="0071033A" w:rsidP="002B56CC">
            <w:pPr>
              <w:pStyle w:val="TableParagraph"/>
              <w:ind w:left="102" w:right="190"/>
              <w:rPr>
                <w:rFonts w:ascii="Sylfaen" w:hAnsi="Sylfaen" w:cs="Arial"/>
                <w:sz w:val="18"/>
                <w:szCs w:val="18"/>
              </w:rPr>
            </w:pPr>
            <w:r w:rsidRPr="001F2C5A">
              <w:rPr>
                <w:rFonts w:ascii="Sylfaen" w:hAnsi="Sylfaen" w:cs="Arial"/>
                <w:sz w:val="18"/>
                <w:szCs w:val="18"/>
              </w:rPr>
              <w:t>ნარჩენების გატანის სერვისით (საკონტრაქტო ხელშეკრულებით) ნარჩენების გატანასთან დაკავშირებული დამატებითი ხარჯები არ არის საჭირო.</w:t>
            </w:r>
          </w:p>
        </w:tc>
        <w:tc>
          <w:tcPr>
            <w:tcW w:w="1260" w:type="dxa"/>
            <w:tcBorders>
              <w:bottom w:val="single" w:sz="4" w:space="0" w:color="auto"/>
            </w:tcBorders>
            <w:shd w:val="clear" w:color="auto" w:fill="FFFFFF" w:themeFill="background1"/>
          </w:tcPr>
          <w:p w14:paraId="0E32D7E5"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სკ</w:t>
            </w:r>
          </w:p>
        </w:tc>
        <w:tc>
          <w:tcPr>
            <w:tcW w:w="1350" w:type="dxa"/>
            <w:tcBorders>
              <w:bottom w:val="single" w:sz="4" w:space="0" w:color="auto"/>
            </w:tcBorders>
            <w:shd w:val="clear" w:color="auto" w:fill="FFFFFF" w:themeFill="background1"/>
          </w:tcPr>
          <w:p w14:paraId="4F912270"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სგდ</w:t>
            </w:r>
          </w:p>
        </w:tc>
      </w:tr>
      <w:tr w:rsidR="0071033A" w:rsidRPr="001F2C5A" w14:paraId="6A909029" w14:textId="77777777" w:rsidTr="001F2C5A">
        <w:trPr>
          <w:trHeight w:val="359"/>
        </w:trPr>
        <w:tc>
          <w:tcPr>
            <w:tcW w:w="1525" w:type="dxa"/>
            <w:tcBorders>
              <w:bottom w:val="single" w:sz="4" w:space="0" w:color="auto"/>
            </w:tcBorders>
            <w:shd w:val="clear" w:color="auto" w:fill="FFFFFF" w:themeFill="background1"/>
          </w:tcPr>
          <w:p w14:paraId="5AE9F717"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rPr>
              <w:t>აღჭურვილობის მოვლა-შენახვა, საწვავის შენახვის ადგილები, სხვადასხვა სამშენებლო სამუშაოები</w:t>
            </w:r>
          </w:p>
        </w:tc>
        <w:tc>
          <w:tcPr>
            <w:tcW w:w="1620" w:type="dxa"/>
            <w:tcBorders>
              <w:bottom w:val="single" w:sz="4" w:space="0" w:color="auto"/>
            </w:tcBorders>
            <w:shd w:val="clear" w:color="auto" w:fill="FFFFFF" w:themeFill="background1"/>
          </w:tcPr>
          <w:p w14:paraId="5CB90971" w14:textId="77777777" w:rsidR="0071033A" w:rsidRPr="001F2C5A" w:rsidRDefault="0071033A" w:rsidP="002B56CC">
            <w:pPr>
              <w:pStyle w:val="TableParagraph"/>
              <w:ind w:left="100" w:right="197"/>
              <w:rPr>
                <w:rFonts w:ascii="Sylfaen" w:hAnsi="Sylfaen" w:cs="Arial"/>
                <w:spacing w:val="-1"/>
                <w:sz w:val="18"/>
                <w:szCs w:val="18"/>
              </w:rPr>
            </w:pPr>
            <w:r w:rsidRPr="001F2C5A">
              <w:rPr>
                <w:rFonts w:ascii="Sylfaen" w:hAnsi="Sylfaen" w:cs="Arial"/>
                <w:sz w:val="18"/>
                <w:szCs w:val="18"/>
              </w:rPr>
              <w:t xml:space="preserve">სახიფათო ნარჩენების წარმოება, გამოწვეული შემთხვევითი დაღვრით, ტექნიკის მომსახურებით და ა.შ. (ზეთები, </w:t>
            </w:r>
            <w:r w:rsidR="00E81445" w:rsidRPr="001F2C5A">
              <w:rPr>
                <w:rFonts w:ascii="Sylfaen" w:hAnsi="Sylfaen" w:cs="Arial"/>
                <w:sz w:val="18"/>
                <w:szCs w:val="18"/>
              </w:rPr>
              <w:t>გამხსნელებ</w:t>
            </w:r>
            <w:r w:rsidR="00E81445" w:rsidRPr="001F2C5A">
              <w:rPr>
                <w:rFonts w:ascii="Sylfaen" w:hAnsi="Sylfaen" w:cs="Arial"/>
                <w:sz w:val="18"/>
                <w:szCs w:val="18"/>
                <w:lang w:val="ka-GE"/>
              </w:rPr>
              <w:t>ი</w:t>
            </w:r>
            <w:r w:rsidRPr="001F2C5A">
              <w:rPr>
                <w:rFonts w:ascii="Sylfaen" w:hAnsi="Sylfaen" w:cs="Arial"/>
                <w:sz w:val="18"/>
                <w:szCs w:val="18"/>
              </w:rPr>
              <w:t>, ზეთოვანი ფარდაგები, ფილტრები და ა.შ.)</w:t>
            </w:r>
          </w:p>
        </w:tc>
        <w:tc>
          <w:tcPr>
            <w:tcW w:w="7200" w:type="dxa"/>
            <w:tcBorders>
              <w:bottom w:val="single" w:sz="4" w:space="0" w:color="auto"/>
            </w:tcBorders>
            <w:shd w:val="clear" w:color="auto" w:fill="FFFFFF" w:themeFill="background1"/>
          </w:tcPr>
          <w:p w14:paraId="41AC16F5" w14:textId="77777777" w:rsidR="0071033A" w:rsidRPr="001F2C5A" w:rsidRDefault="0071033A" w:rsidP="00821E4D">
            <w:pPr>
              <w:pStyle w:val="ListParagraph"/>
              <w:widowControl w:val="0"/>
              <w:numPr>
                <w:ilvl w:val="0"/>
                <w:numId w:val="20"/>
              </w:numPr>
              <w:tabs>
                <w:tab w:val="left" w:pos="302"/>
              </w:tabs>
              <w:spacing w:after="0" w:line="240" w:lineRule="auto"/>
              <w:contextualSpacing w:val="0"/>
              <w:jc w:val="left"/>
              <w:rPr>
                <w:rFonts w:cs="Arial"/>
                <w:sz w:val="18"/>
                <w:szCs w:val="18"/>
              </w:rPr>
            </w:pPr>
            <w:r w:rsidRPr="001F2C5A">
              <w:rPr>
                <w:rFonts w:cs="Arial"/>
                <w:spacing w:val="-1"/>
                <w:sz w:val="18"/>
                <w:szCs w:val="18"/>
              </w:rPr>
              <w:t>ნარჩენების მართვის გეგმის განხორციელება</w:t>
            </w:r>
          </w:p>
          <w:p w14:paraId="01F985DB" w14:textId="77777777" w:rsidR="0071033A" w:rsidRPr="001F2C5A" w:rsidRDefault="0071033A" w:rsidP="00821E4D">
            <w:pPr>
              <w:pStyle w:val="ListParagraph"/>
              <w:widowControl w:val="0"/>
              <w:numPr>
                <w:ilvl w:val="0"/>
                <w:numId w:val="20"/>
              </w:numPr>
              <w:tabs>
                <w:tab w:val="left" w:pos="302"/>
              </w:tabs>
              <w:spacing w:after="0" w:line="240" w:lineRule="auto"/>
              <w:ind w:right="176"/>
              <w:contextualSpacing w:val="0"/>
              <w:jc w:val="left"/>
              <w:rPr>
                <w:rFonts w:cs="Arial"/>
                <w:sz w:val="18"/>
                <w:szCs w:val="18"/>
              </w:rPr>
            </w:pPr>
            <w:r w:rsidRPr="001F2C5A">
              <w:rPr>
                <w:rFonts w:cs="Arial"/>
                <w:sz w:val="18"/>
                <w:szCs w:val="18"/>
              </w:rPr>
              <w:t>სახიფათო ნარჩენების კონტეინერებს უნდა ჰქონდეთ მეორე დასაცავი გარსი და ნარჩენები არ უნდა იქნეს შერეული განმეორებით გამოსაყენებელ ინერტულ მასალასთან.</w:t>
            </w:r>
          </w:p>
          <w:p w14:paraId="5C90D5A9" w14:textId="77777777" w:rsidR="0071033A" w:rsidRPr="001F2C5A" w:rsidRDefault="0071033A" w:rsidP="00821E4D">
            <w:pPr>
              <w:pStyle w:val="ListParagraph"/>
              <w:widowControl w:val="0"/>
              <w:numPr>
                <w:ilvl w:val="0"/>
                <w:numId w:val="20"/>
              </w:numPr>
              <w:tabs>
                <w:tab w:val="left" w:pos="302"/>
              </w:tabs>
              <w:spacing w:after="0" w:line="240" w:lineRule="auto"/>
              <w:contextualSpacing w:val="0"/>
              <w:jc w:val="left"/>
              <w:rPr>
                <w:rFonts w:cs="Arial"/>
                <w:sz w:val="18"/>
                <w:szCs w:val="18"/>
              </w:rPr>
            </w:pPr>
            <w:r w:rsidRPr="001F2C5A">
              <w:rPr>
                <w:rFonts w:cs="Arial"/>
                <w:sz w:val="18"/>
                <w:szCs w:val="18"/>
              </w:rPr>
              <w:t>სახიფათო ნარჩენები ცალკე უნდა იყოს დამუშავებული ინერტული ნარჩენებისგან.</w:t>
            </w:r>
          </w:p>
          <w:p w14:paraId="3B618997" w14:textId="77777777" w:rsidR="0071033A" w:rsidRPr="001F2C5A" w:rsidRDefault="0071033A" w:rsidP="00821E4D">
            <w:pPr>
              <w:pStyle w:val="ListParagraph"/>
              <w:widowControl w:val="0"/>
              <w:numPr>
                <w:ilvl w:val="0"/>
                <w:numId w:val="20"/>
              </w:numPr>
              <w:tabs>
                <w:tab w:val="left" w:pos="302"/>
              </w:tabs>
              <w:spacing w:after="0" w:line="240" w:lineRule="auto"/>
              <w:ind w:right="158"/>
              <w:contextualSpacing w:val="0"/>
              <w:jc w:val="left"/>
              <w:rPr>
                <w:rFonts w:cs="Arial"/>
                <w:sz w:val="18"/>
                <w:szCs w:val="18"/>
              </w:rPr>
            </w:pPr>
            <w:r w:rsidRPr="001F2C5A">
              <w:rPr>
                <w:rFonts w:cs="Arial"/>
                <w:spacing w:val="-1"/>
                <w:sz w:val="18"/>
                <w:szCs w:val="18"/>
              </w:rPr>
              <w:t>განკარგვა უნდა მოხდეს ნარჩენების ტიპის გათვალისწინებით შესაბამისი უსაფრთხოების ზომების დაცვით.</w:t>
            </w:r>
          </w:p>
          <w:p w14:paraId="27E8447E" w14:textId="77777777" w:rsidR="0071033A" w:rsidRPr="001F2C5A" w:rsidRDefault="0071033A" w:rsidP="00821E4D">
            <w:pPr>
              <w:pStyle w:val="ListParagraph"/>
              <w:widowControl w:val="0"/>
              <w:numPr>
                <w:ilvl w:val="0"/>
                <w:numId w:val="20"/>
              </w:numPr>
              <w:tabs>
                <w:tab w:val="left" w:pos="302"/>
              </w:tabs>
              <w:spacing w:after="0" w:line="240" w:lineRule="auto"/>
              <w:contextualSpacing w:val="0"/>
              <w:jc w:val="left"/>
              <w:rPr>
                <w:rFonts w:cs="Arial"/>
                <w:sz w:val="18"/>
                <w:szCs w:val="18"/>
              </w:rPr>
            </w:pPr>
            <w:r w:rsidRPr="001F2C5A">
              <w:rPr>
                <w:rFonts w:cs="Arial"/>
                <w:spacing w:val="-1"/>
                <w:sz w:val="18"/>
                <w:szCs w:val="18"/>
              </w:rPr>
              <w:t>დროებითი განთავსების ტერიტორია შესაბამის ორგანოებთან უნდა იყოს შეთანხმებული</w:t>
            </w:r>
          </w:p>
          <w:p w14:paraId="14985910" w14:textId="77777777" w:rsidR="0071033A" w:rsidRPr="001F2C5A" w:rsidRDefault="0071033A" w:rsidP="00821E4D">
            <w:pPr>
              <w:pStyle w:val="ListParagraph"/>
              <w:widowControl w:val="0"/>
              <w:numPr>
                <w:ilvl w:val="0"/>
                <w:numId w:val="20"/>
              </w:numPr>
              <w:tabs>
                <w:tab w:val="left" w:pos="302"/>
              </w:tabs>
              <w:spacing w:after="0" w:line="240" w:lineRule="auto"/>
              <w:contextualSpacing w:val="0"/>
              <w:jc w:val="left"/>
              <w:rPr>
                <w:rFonts w:cs="Arial"/>
                <w:sz w:val="18"/>
                <w:szCs w:val="18"/>
              </w:rPr>
            </w:pPr>
            <w:r w:rsidRPr="001F2C5A">
              <w:rPr>
                <w:rFonts w:cs="Arial"/>
                <w:sz w:val="18"/>
                <w:szCs w:val="18"/>
              </w:rPr>
              <w:t>ნავთობპროდუქტების ნარჩენების გადატანა გადამუშავების ობიექტში ხორციელდება კონტრაქტის ფარგლებში</w:t>
            </w:r>
          </w:p>
          <w:p w14:paraId="339D72A3" w14:textId="77777777" w:rsidR="0071033A" w:rsidRPr="001F2C5A" w:rsidRDefault="0071033A" w:rsidP="00821E4D">
            <w:pPr>
              <w:pStyle w:val="ListParagraph"/>
              <w:widowControl w:val="0"/>
              <w:numPr>
                <w:ilvl w:val="0"/>
                <w:numId w:val="20"/>
              </w:numPr>
              <w:tabs>
                <w:tab w:val="left" w:pos="302"/>
              </w:tabs>
              <w:spacing w:after="0" w:line="240" w:lineRule="auto"/>
              <w:ind w:right="183"/>
              <w:contextualSpacing w:val="0"/>
              <w:jc w:val="left"/>
              <w:rPr>
                <w:rFonts w:cs="Arial"/>
                <w:sz w:val="18"/>
                <w:szCs w:val="18"/>
              </w:rPr>
            </w:pPr>
            <w:r w:rsidRPr="001F2C5A">
              <w:rPr>
                <w:rFonts w:cs="Arial"/>
                <w:sz w:val="18"/>
                <w:szCs w:val="18"/>
              </w:rPr>
              <w:t>ნარჩენების მართვაში, კერძოდ სახიფათო ნარჩენების მართვაში მყოფი პერსონალი უნდა მიიღოს ადეკვატური ტრენინგი ნარჩენების მართვისა და უსაფრთხოების სფეროში.</w:t>
            </w:r>
          </w:p>
          <w:p w14:paraId="3A43970E" w14:textId="77777777" w:rsidR="0071033A" w:rsidRPr="001F2C5A" w:rsidRDefault="0071033A" w:rsidP="00821E4D">
            <w:pPr>
              <w:pStyle w:val="ListParagraph"/>
              <w:widowControl w:val="0"/>
              <w:numPr>
                <w:ilvl w:val="0"/>
                <w:numId w:val="20"/>
              </w:numPr>
              <w:tabs>
                <w:tab w:val="left" w:pos="302"/>
              </w:tabs>
              <w:spacing w:after="0" w:line="240" w:lineRule="auto"/>
              <w:contextualSpacing w:val="0"/>
              <w:jc w:val="left"/>
              <w:rPr>
                <w:rFonts w:cs="Arial"/>
                <w:spacing w:val="-1"/>
                <w:sz w:val="18"/>
                <w:szCs w:val="18"/>
              </w:rPr>
            </w:pPr>
            <w:r w:rsidRPr="001F2C5A">
              <w:rPr>
                <w:rFonts w:cs="Arial"/>
                <w:spacing w:val="-1"/>
                <w:sz w:val="18"/>
                <w:szCs w:val="18"/>
              </w:rPr>
              <w:lastRenderedPageBreak/>
              <w:t>კომპანიის ხელმძღვანელობასთან ან უფლებამოსილი სხვა კომპანიასთან შეთანხმებით ნარჩენების საბურავების გამოყენების მიზნით გამოყენებული საბურავები ჰეიდელბერგ ცემენტის საწარმოში გადაეცემა.</w:t>
            </w:r>
          </w:p>
        </w:tc>
        <w:tc>
          <w:tcPr>
            <w:tcW w:w="2070" w:type="dxa"/>
            <w:tcBorders>
              <w:bottom w:val="single" w:sz="4" w:space="0" w:color="auto"/>
            </w:tcBorders>
            <w:shd w:val="clear" w:color="auto" w:fill="FFFFFF" w:themeFill="background1"/>
          </w:tcPr>
          <w:p w14:paraId="4E06C4A2" w14:textId="77777777" w:rsidR="0071033A" w:rsidRPr="001F2C5A" w:rsidRDefault="0071033A" w:rsidP="002B56CC">
            <w:pPr>
              <w:pStyle w:val="TableParagraph"/>
              <w:ind w:left="102" w:right="190"/>
              <w:rPr>
                <w:rFonts w:ascii="Sylfaen" w:hAnsi="Sylfaen" w:cs="Arial"/>
                <w:sz w:val="18"/>
                <w:szCs w:val="18"/>
              </w:rPr>
            </w:pPr>
            <w:r w:rsidRPr="001F2C5A">
              <w:rPr>
                <w:rFonts w:ascii="Sylfaen" w:hAnsi="Sylfaen" w:cs="Arial"/>
                <w:sz w:val="18"/>
                <w:szCs w:val="18"/>
              </w:rPr>
              <w:lastRenderedPageBreak/>
              <w:t>ნარჩენების გატანის სერვისით (საკონტრაქტო ხელშეკრულებით) ნარჩენების გატანასთან დაკავშირებული დამატებითი ხარჯები არ არის საჭირო.</w:t>
            </w:r>
          </w:p>
        </w:tc>
        <w:tc>
          <w:tcPr>
            <w:tcW w:w="1260" w:type="dxa"/>
            <w:tcBorders>
              <w:bottom w:val="single" w:sz="4" w:space="0" w:color="auto"/>
            </w:tcBorders>
            <w:shd w:val="clear" w:color="auto" w:fill="FFFFFF" w:themeFill="background1"/>
          </w:tcPr>
          <w:p w14:paraId="74B25ECE"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სკ</w:t>
            </w:r>
          </w:p>
        </w:tc>
        <w:tc>
          <w:tcPr>
            <w:tcW w:w="1350" w:type="dxa"/>
            <w:tcBorders>
              <w:bottom w:val="single" w:sz="4" w:space="0" w:color="auto"/>
            </w:tcBorders>
            <w:shd w:val="clear" w:color="auto" w:fill="FFFFFF" w:themeFill="background1"/>
          </w:tcPr>
          <w:p w14:paraId="79EBEA83"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სგდ</w:t>
            </w:r>
          </w:p>
        </w:tc>
      </w:tr>
      <w:tr w:rsidR="0071033A" w:rsidRPr="001F2C5A" w14:paraId="22EF76FB" w14:textId="77777777" w:rsidTr="001F2C5A">
        <w:trPr>
          <w:trHeight w:val="359"/>
        </w:trPr>
        <w:tc>
          <w:tcPr>
            <w:tcW w:w="1525" w:type="dxa"/>
            <w:tcBorders>
              <w:bottom w:val="single" w:sz="4" w:space="0" w:color="auto"/>
            </w:tcBorders>
            <w:shd w:val="clear" w:color="auto" w:fill="FFFFFF" w:themeFill="background1"/>
          </w:tcPr>
          <w:p w14:paraId="46F75660"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rPr>
              <w:t xml:space="preserve">სამშენებლო </w:t>
            </w:r>
            <w:r w:rsidRPr="001F2C5A">
              <w:rPr>
                <w:rFonts w:ascii="Sylfaen" w:hAnsi="Sylfaen" w:cs="Arial"/>
                <w:spacing w:val="-1"/>
                <w:sz w:val="18"/>
                <w:szCs w:val="18"/>
                <w:lang w:val="ka-GE"/>
              </w:rPr>
              <w:t>მოედნის</w:t>
            </w:r>
            <w:r w:rsidRPr="001F2C5A">
              <w:rPr>
                <w:rFonts w:ascii="Sylfaen" w:hAnsi="Sylfaen" w:cs="Arial"/>
                <w:spacing w:val="-1"/>
                <w:sz w:val="18"/>
                <w:szCs w:val="18"/>
              </w:rPr>
              <w:t>/ბანაკის მოწყობა და ექსპლუატაცია</w:t>
            </w:r>
          </w:p>
        </w:tc>
        <w:tc>
          <w:tcPr>
            <w:tcW w:w="1620" w:type="dxa"/>
            <w:tcBorders>
              <w:bottom w:val="single" w:sz="4" w:space="0" w:color="auto"/>
            </w:tcBorders>
            <w:shd w:val="clear" w:color="auto" w:fill="FFFFFF" w:themeFill="background1"/>
          </w:tcPr>
          <w:p w14:paraId="19B986C8" w14:textId="77777777" w:rsidR="0071033A" w:rsidRPr="001F2C5A" w:rsidRDefault="0071033A" w:rsidP="001F2C5A">
            <w:pPr>
              <w:pStyle w:val="TableParagraph"/>
              <w:tabs>
                <w:tab w:val="left" w:pos="1216"/>
              </w:tabs>
              <w:ind w:left="100" w:right="197"/>
              <w:rPr>
                <w:rFonts w:ascii="Sylfaen" w:hAnsi="Sylfaen" w:cs="Arial"/>
                <w:sz w:val="18"/>
                <w:szCs w:val="18"/>
              </w:rPr>
            </w:pPr>
            <w:r w:rsidRPr="001F2C5A">
              <w:rPr>
                <w:rFonts w:ascii="Sylfaen" w:hAnsi="Sylfaen" w:cs="Arial"/>
                <w:spacing w:val="-1"/>
                <w:sz w:val="18"/>
                <w:szCs w:val="18"/>
              </w:rPr>
              <w:t>არასასურველი საშინაო ნარჩენების წარმოება (საკვები ნარჩენები, შეფუთვა, პლასტმასის ბოთლები და ა.შ.)</w:t>
            </w:r>
          </w:p>
        </w:tc>
        <w:tc>
          <w:tcPr>
            <w:tcW w:w="7200" w:type="dxa"/>
            <w:tcBorders>
              <w:bottom w:val="single" w:sz="4" w:space="0" w:color="auto"/>
            </w:tcBorders>
            <w:shd w:val="clear" w:color="auto" w:fill="FFFFFF" w:themeFill="background1"/>
          </w:tcPr>
          <w:p w14:paraId="7D745B54" w14:textId="77777777" w:rsidR="0071033A" w:rsidRPr="001F2C5A" w:rsidRDefault="0071033A" w:rsidP="00821E4D">
            <w:pPr>
              <w:pStyle w:val="ListParagraph"/>
              <w:widowControl w:val="0"/>
              <w:numPr>
                <w:ilvl w:val="0"/>
                <w:numId w:val="20"/>
              </w:numPr>
              <w:tabs>
                <w:tab w:val="left" w:pos="302"/>
              </w:tabs>
              <w:spacing w:after="0" w:line="240" w:lineRule="auto"/>
              <w:contextualSpacing w:val="0"/>
              <w:jc w:val="left"/>
              <w:rPr>
                <w:rFonts w:cs="Arial"/>
                <w:sz w:val="18"/>
                <w:szCs w:val="18"/>
              </w:rPr>
            </w:pPr>
            <w:r w:rsidRPr="001F2C5A">
              <w:rPr>
                <w:rFonts w:cs="Arial"/>
                <w:spacing w:val="-1"/>
                <w:sz w:val="18"/>
                <w:szCs w:val="18"/>
              </w:rPr>
              <w:t>ნარჩენების მართვის გეგმის შემუშავება და განხორციელება</w:t>
            </w:r>
          </w:p>
          <w:p w14:paraId="73E099F4" w14:textId="77777777" w:rsidR="0071033A" w:rsidRPr="001F2C5A" w:rsidRDefault="0071033A" w:rsidP="00821E4D">
            <w:pPr>
              <w:pStyle w:val="ListParagraph"/>
              <w:widowControl w:val="0"/>
              <w:numPr>
                <w:ilvl w:val="0"/>
                <w:numId w:val="20"/>
              </w:numPr>
              <w:tabs>
                <w:tab w:val="left" w:pos="302"/>
              </w:tabs>
              <w:spacing w:after="0" w:line="240" w:lineRule="auto"/>
              <w:ind w:right="161"/>
              <w:contextualSpacing w:val="0"/>
              <w:jc w:val="left"/>
              <w:rPr>
                <w:rFonts w:cs="Arial"/>
                <w:sz w:val="18"/>
                <w:szCs w:val="18"/>
              </w:rPr>
            </w:pPr>
            <w:r w:rsidRPr="001F2C5A">
              <w:rPr>
                <w:rFonts w:cs="Arial"/>
                <w:spacing w:val="-1"/>
                <w:sz w:val="18"/>
                <w:szCs w:val="18"/>
              </w:rPr>
              <w:t>ნარჩენები უნდა შეგროვდეს ნარჩენების კონტეინერებში, რომლებიც აღჭურვილია ხუფებით, რათა თავიდან იქნას აცილებული გაფანთვა ქარის მიერ, სუნით დაბინძურება და ცხოველების მიზიდვა. ხუფები ასევე დაიცავს მათ წვიმისგან/თოვლისგან. კონტეინერები განლაგებულ უნდა იქნეს წინასწარ განსაზღვრულ ტერიტორიაზე, წყლის ობიექტებიდან და მოძრაობისგან დაშორებით.</w:t>
            </w:r>
          </w:p>
          <w:p w14:paraId="0A7F09F9" w14:textId="77777777" w:rsidR="0071033A" w:rsidRPr="001F2C5A" w:rsidRDefault="0071033A" w:rsidP="00821E4D">
            <w:pPr>
              <w:pStyle w:val="ListParagraph"/>
              <w:widowControl w:val="0"/>
              <w:numPr>
                <w:ilvl w:val="0"/>
                <w:numId w:val="20"/>
              </w:numPr>
              <w:tabs>
                <w:tab w:val="left" w:pos="302"/>
              </w:tabs>
              <w:spacing w:after="0" w:line="240" w:lineRule="auto"/>
              <w:contextualSpacing w:val="0"/>
              <w:jc w:val="left"/>
              <w:rPr>
                <w:rFonts w:cs="Arial"/>
                <w:spacing w:val="-1"/>
                <w:sz w:val="18"/>
                <w:szCs w:val="18"/>
              </w:rPr>
            </w:pPr>
            <w:r w:rsidRPr="001F2C5A">
              <w:rPr>
                <w:rFonts w:cs="Arial"/>
                <w:spacing w:val="-1"/>
                <w:sz w:val="18"/>
                <w:szCs w:val="18"/>
              </w:rPr>
              <w:t>კადრების მომზადება კარგი პრაქტიკაში</w:t>
            </w:r>
          </w:p>
        </w:tc>
        <w:tc>
          <w:tcPr>
            <w:tcW w:w="2070" w:type="dxa"/>
            <w:tcBorders>
              <w:bottom w:val="single" w:sz="4" w:space="0" w:color="auto"/>
            </w:tcBorders>
            <w:shd w:val="clear" w:color="auto" w:fill="FFFFFF" w:themeFill="background1"/>
          </w:tcPr>
          <w:p w14:paraId="46AE5153" w14:textId="77777777" w:rsidR="0071033A" w:rsidRPr="001F2C5A" w:rsidRDefault="0071033A" w:rsidP="002B56CC">
            <w:pPr>
              <w:pStyle w:val="TableParagraph"/>
              <w:ind w:left="102" w:right="190"/>
              <w:rPr>
                <w:rFonts w:ascii="Sylfaen" w:hAnsi="Sylfaen" w:cs="Arial"/>
                <w:sz w:val="18"/>
                <w:szCs w:val="18"/>
              </w:rPr>
            </w:pPr>
            <w:r w:rsidRPr="001F2C5A">
              <w:rPr>
                <w:rFonts w:ascii="Sylfaen" w:hAnsi="Sylfaen" w:cs="Arial"/>
                <w:sz w:val="18"/>
                <w:szCs w:val="18"/>
              </w:rPr>
              <w:t>ნარჩენების გატანის სერვისით (საკონტრაქტო ხელშეკრულებით) ნარჩენების გატანასთან დაკავშირებული დამატებითი ხარჯები არ არის საჭირო.</w:t>
            </w:r>
          </w:p>
        </w:tc>
        <w:tc>
          <w:tcPr>
            <w:tcW w:w="1260" w:type="dxa"/>
            <w:tcBorders>
              <w:bottom w:val="single" w:sz="4" w:space="0" w:color="auto"/>
            </w:tcBorders>
            <w:shd w:val="clear" w:color="auto" w:fill="FFFFFF" w:themeFill="background1"/>
          </w:tcPr>
          <w:p w14:paraId="2872BC03"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სკ</w:t>
            </w:r>
          </w:p>
        </w:tc>
        <w:tc>
          <w:tcPr>
            <w:tcW w:w="1350" w:type="dxa"/>
            <w:tcBorders>
              <w:bottom w:val="single" w:sz="4" w:space="0" w:color="auto"/>
            </w:tcBorders>
            <w:shd w:val="clear" w:color="auto" w:fill="FFFFFF" w:themeFill="background1"/>
          </w:tcPr>
          <w:p w14:paraId="54A39748"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სგდ</w:t>
            </w:r>
          </w:p>
        </w:tc>
      </w:tr>
      <w:tr w:rsidR="0071033A" w:rsidRPr="001F2C5A" w14:paraId="71476E68" w14:textId="77777777" w:rsidTr="001F2C5A">
        <w:trPr>
          <w:trHeight w:val="359"/>
        </w:trPr>
        <w:tc>
          <w:tcPr>
            <w:tcW w:w="1525" w:type="dxa"/>
            <w:tcBorders>
              <w:bottom w:val="single" w:sz="4" w:space="0" w:color="auto"/>
            </w:tcBorders>
            <w:shd w:val="clear" w:color="auto" w:fill="FFFFFF" w:themeFill="background1"/>
          </w:tcPr>
          <w:p w14:paraId="57B43C25"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w w:val="95"/>
                <w:sz w:val="18"/>
                <w:szCs w:val="18"/>
              </w:rPr>
              <w:t>სხვადასხვა სამშენებლო საქმიანობა</w:t>
            </w:r>
          </w:p>
        </w:tc>
        <w:tc>
          <w:tcPr>
            <w:tcW w:w="1620" w:type="dxa"/>
            <w:tcBorders>
              <w:bottom w:val="single" w:sz="4" w:space="0" w:color="auto"/>
            </w:tcBorders>
            <w:shd w:val="clear" w:color="auto" w:fill="FFFFFF" w:themeFill="background1"/>
          </w:tcPr>
          <w:p w14:paraId="387443CA" w14:textId="77777777" w:rsidR="0071033A" w:rsidRPr="001F2C5A" w:rsidRDefault="0071033A" w:rsidP="001F2C5A">
            <w:pPr>
              <w:pStyle w:val="TableParagraph"/>
              <w:ind w:left="100" w:right="77"/>
              <w:rPr>
                <w:rFonts w:ascii="Sylfaen" w:hAnsi="Sylfaen" w:cs="Arial"/>
                <w:spacing w:val="-1"/>
                <w:sz w:val="18"/>
                <w:szCs w:val="18"/>
              </w:rPr>
            </w:pPr>
            <w:r w:rsidRPr="001F2C5A">
              <w:rPr>
                <w:rFonts w:ascii="Sylfaen" w:hAnsi="Sylfaen" w:cs="Arial"/>
                <w:spacing w:val="-1"/>
                <w:sz w:val="18"/>
                <w:szCs w:val="18"/>
              </w:rPr>
              <w:t>ზემოქმედება ფაუნაზე (შემთხვევითი სიკვდილი, შემცირება, დაკარგვა ან საცხოვრებელი ადგილების იზოლაცია და ა.შ.)</w:t>
            </w:r>
          </w:p>
        </w:tc>
        <w:tc>
          <w:tcPr>
            <w:tcW w:w="7200" w:type="dxa"/>
            <w:tcBorders>
              <w:bottom w:val="single" w:sz="4" w:space="0" w:color="auto"/>
            </w:tcBorders>
            <w:shd w:val="clear" w:color="auto" w:fill="FFFFFF" w:themeFill="background1"/>
          </w:tcPr>
          <w:p w14:paraId="5F5968E2" w14:textId="77777777" w:rsidR="0071033A" w:rsidRPr="001F2C5A" w:rsidRDefault="0071033A" w:rsidP="00821E4D">
            <w:pPr>
              <w:pStyle w:val="ListParagraph"/>
              <w:widowControl w:val="0"/>
              <w:numPr>
                <w:ilvl w:val="0"/>
                <w:numId w:val="20"/>
              </w:numPr>
              <w:tabs>
                <w:tab w:val="left" w:pos="302"/>
              </w:tabs>
              <w:spacing w:after="0" w:line="240" w:lineRule="auto"/>
              <w:ind w:right="77"/>
              <w:contextualSpacing w:val="0"/>
              <w:jc w:val="left"/>
              <w:rPr>
                <w:rFonts w:cs="Arial"/>
                <w:sz w:val="18"/>
                <w:szCs w:val="18"/>
              </w:rPr>
            </w:pPr>
            <w:r w:rsidRPr="001F2C5A">
              <w:rPr>
                <w:rFonts w:cs="Arial"/>
                <w:spacing w:val="-1"/>
                <w:sz w:val="18"/>
                <w:szCs w:val="18"/>
              </w:rPr>
              <w:t xml:space="preserve">თხრილები ან ორმოები, ასეთი არსებობის შემთხვევაში, შემოღობილი ან დაცული უნდა იყოს ფაუნის სახეობების ხაფანგში მოხვედრისა და დაზიანების თავიდან ასაცილებლად. თუ აღნიშნული ზომების მიუხედავად, მცირე ზომის ცხოველები მაინც ხვდებიან </w:t>
            </w:r>
            <w:r w:rsidR="00E81445" w:rsidRPr="001F2C5A">
              <w:rPr>
                <w:rFonts w:cs="Arial"/>
                <w:spacing w:val="-1"/>
                <w:sz w:val="18"/>
                <w:szCs w:val="18"/>
                <w:lang w:val="ka-GE"/>
              </w:rPr>
              <w:t>მათში</w:t>
            </w:r>
            <w:r w:rsidRPr="001F2C5A">
              <w:rPr>
                <w:rFonts w:cs="Arial"/>
                <w:spacing w:val="-1"/>
                <w:sz w:val="18"/>
                <w:szCs w:val="18"/>
              </w:rPr>
              <w:t>, ცვლის დასრულების შემდეგ, ფიცრები ან საშუალო ზომის ტოტები უნდა უზრუნველყოფილი იქნას, რათა ცხოველებს მიეცეს გაქცევის საშუალება. ორმოები და თხრილები უნდა შემოწმდეს მანამ სანამ დაიწყება მათი შევსება;</w:t>
            </w:r>
          </w:p>
          <w:p w14:paraId="04199167" w14:textId="77777777" w:rsidR="0071033A" w:rsidRPr="001F2C5A" w:rsidRDefault="0071033A" w:rsidP="00821E4D">
            <w:pPr>
              <w:pStyle w:val="ListParagraph"/>
              <w:widowControl w:val="0"/>
              <w:numPr>
                <w:ilvl w:val="0"/>
                <w:numId w:val="20"/>
              </w:numPr>
              <w:tabs>
                <w:tab w:val="left" w:pos="302"/>
              </w:tabs>
              <w:spacing w:after="0" w:line="240" w:lineRule="auto"/>
              <w:ind w:right="126"/>
              <w:contextualSpacing w:val="0"/>
              <w:jc w:val="left"/>
              <w:rPr>
                <w:rFonts w:cs="Arial"/>
                <w:sz w:val="18"/>
                <w:szCs w:val="18"/>
              </w:rPr>
            </w:pPr>
            <w:r w:rsidRPr="001F2C5A">
              <w:rPr>
                <w:rFonts w:cs="Arial"/>
                <w:spacing w:val="-1"/>
                <w:sz w:val="18"/>
                <w:szCs w:val="18"/>
              </w:rPr>
              <w:t>განსაკუთრებული ყურადღება უნდა მიექცეს ფრინველებს გაზაფხულ-ზაფხულში (აპრილი-ივლისი), ფრინველებისთვის ყველაზე სენსიტიურ სეზონის დროს;</w:t>
            </w:r>
          </w:p>
          <w:p w14:paraId="63EBD416" w14:textId="77777777" w:rsidR="0071033A" w:rsidRPr="001F2C5A" w:rsidRDefault="0071033A" w:rsidP="00821E4D">
            <w:pPr>
              <w:pStyle w:val="ListParagraph"/>
              <w:widowControl w:val="0"/>
              <w:numPr>
                <w:ilvl w:val="0"/>
                <w:numId w:val="20"/>
              </w:numPr>
              <w:tabs>
                <w:tab w:val="left" w:pos="302"/>
              </w:tabs>
              <w:spacing w:after="0" w:line="240" w:lineRule="auto"/>
              <w:ind w:right="199"/>
              <w:contextualSpacing w:val="0"/>
              <w:jc w:val="left"/>
              <w:rPr>
                <w:rFonts w:cs="Arial"/>
                <w:sz w:val="18"/>
                <w:szCs w:val="18"/>
              </w:rPr>
            </w:pPr>
            <w:r w:rsidRPr="001F2C5A">
              <w:rPr>
                <w:rFonts w:cs="Arial"/>
                <w:spacing w:val="-1"/>
                <w:sz w:val="18"/>
                <w:szCs w:val="18"/>
              </w:rPr>
              <w:t>თევზის კვირითის ყრის სეზონის დროს მშენებლობა მდინარის კალაპოტში ან მის მახლობლად უნდა იქნას აცილებული.</w:t>
            </w:r>
          </w:p>
          <w:p w14:paraId="69344E9E" w14:textId="77777777" w:rsidR="0071033A" w:rsidRPr="001F2C5A" w:rsidRDefault="0071033A" w:rsidP="00821E4D">
            <w:pPr>
              <w:pStyle w:val="ListParagraph"/>
              <w:widowControl w:val="0"/>
              <w:numPr>
                <w:ilvl w:val="0"/>
                <w:numId w:val="20"/>
              </w:numPr>
              <w:tabs>
                <w:tab w:val="left" w:pos="302"/>
              </w:tabs>
              <w:spacing w:after="0" w:line="240" w:lineRule="auto"/>
              <w:contextualSpacing w:val="0"/>
              <w:jc w:val="left"/>
              <w:rPr>
                <w:rFonts w:cs="Arial"/>
                <w:spacing w:val="-1"/>
                <w:sz w:val="18"/>
                <w:szCs w:val="18"/>
              </w:rPr>
            </w:pPr>
            <w:r w:rsidRPr="001F2C5A">
              <w:rPr>
                <w:rFonts w:cs="Arial"/>
                <w:spacing w:val="-1"/>
                <w:sz w:val="18"/>
                <w:szCs w:val="18"/>
              </w:rPr>
              <w:t>კადრების მომზადება კარგი პრაქტიკაში</w:t>
            </w:r>
          </w:p>
        </w:tc>
        <w:tc>
          <w:tcPr>
            <w:tcW w:w="2070" w:type="dxa"/>
            <w:tcBorders>
              <w:bottom w:val="single" w:sz="4" w:space="0" w:color="auto"/>
            </w:tcBorders>
            <w:shd w:val="clear" w:color="auto" w:fill="FFFFFF" w:themeFill="background1"/>
          </w:tcPr>
          <w:p w14:paraId="16B9028E" w14:textId="77777777" w:rsidR="0071033A" w:rsidRPr="001F2C5A" w:rsidRDefault="0071033A" w:rsidP="002B56CC">
            <w:pPr>
              <w:pStyle w:val="TableParagraph"/>
              <w:ind w:left="-18"/>
              <w:rPr>
                <w:rFonts w:ascii="Sylfaen" w:hAnsi="Sylfaen" w:cs="Arial"/>
                <w:spacing w:val="-1"/>
                <w:sz w:val="18"/>
                <w:szCs w:val="18"/>
              </w:rPr>
            </w:pPr>
            <w:r w:rsidRPr="001F2C5A">
              <w:rPr>
                <w:rFonts w:ascii="Sylfaen" w:hAnsi="Sylfaen" w:cs="Arial"/>
                <w:spacing w:val="-1"/>
                <w:sz w:val="18"/>
                <w:szCs w:val="18"/>
              </w:rPr>
              <w:t>დამატებითი ხარჯები არ არის საჭირო.</w:t>
            </w:r>
          </w:p>
          <w:p w14:paraId="52A3BE6D" w14:textId="77777777" w:rsidR="0071033A" w:rsidRPr="001F2C5A" w:rsidRDefault="0071033A" w:rsidP="002B56CC">
            <w:pPr>
              <w:pStyle w:val="TableParagraph"/>
              <w:ind w:left="102" w:right="190"/>
              <w:rPr>
                <w:rFonts w:ascii="Sylfaen" w:hAnsi="Sylfaen" w:cs="Arial"/>
                <w:sz w:val="18"/>
                <w:szCs w:val="18"/>
              </w:rPr>
            </w:pPr>
          </w:p>
        </w:tc>
        <w:tc>
          <w:tcPr>
            <w:tcW w:w="1260" w:type="dxa"/>
            <w:tcBorders>
              <w:bottom w:val="single" w:sz="4" w:space="0" w:color="auto"/>
            </w:tcBorders>
            <w:shd w:val="clear" w:color="auto" w:fill="FFFFFF" w:themeFill="background1"/>
          </w:tcPr>
          <w:p w14:paraId="6ECD4851"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სკ</w:t>
            </w:r>
          </w:p>
        </w:tc>
        <w:tc>
          <w:tcPr>
            <w:tcW w:w="1350" w:type="dxa"/>
            <w:tcBorders>
              <w:bottom w:val="single" w:sz="4" w:space="0" w:color="auto"/>
            </w:tcBorders>
            <w:shd w:val="clear" w:color="auto" w:fill="FFFFFF" w:themeFill="background1"/>
          </w:tcPr>
          <w:p w14:paraId="545C3AC5"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სგდ</w:t>
            </w:r>
          </w:p>
        </w:tc>
      </w:tr>
      <w:tr w:rsidR="0071033A" w:rsidRPr="001F2C5A" w14:paraId="5AAAAD7D" w14:textId="77777777" w:rsidTr="001F2C5A">
        <w:trPr>
          <w:trHeight w:val="359"/>
        </w:trPr>
        <w:tc>
          <w:tcPr>
            <w:tcW w:w="1525" w:type="dxa"/>
            <w:tcBorders>
              <w:bottom w:val="single" w:sz="4" w:space="0" w:color="auto"/>
            </w:tcBorders>
            <w:shd w:val="clear" w:color="auto" w:fill="FFFFFF" w:themeFill="background1"/>
          </w:tcPr>
          <w:p w14:paraId="5C6379A0" w14:textId="77777777" w:rsidR="0071033A" w:rsidRPr="001F2C5A" w:rsidRDefault="0071033A" w:rsidP="002B56CC">
            <w:pPr>
              <w:suppressAutoHyphens/>
              <w:contextualSpacing/>
              <w:rPr>
                <w:rFonts w:ascii="Sylfaen" w:hAnsi="Sylfaen" w:cs="Arial"/>
                <w:spacing w:val="-1"/>
                <w:w w:val="95"/>
                <w:sz w:val="18"/>
                <w:szCs w:val="18"/>
              </w:rPr>
            </w:pPr>
            <w:r w:rsidRPr="001F2C5A">
              <w:rPr>
                <w:rFonts w:ascii="Sylfaen" w:hAnsi="Sylfaen" w:cs="Arial"/>
                <w:spacing w:val="-1"/>
                <w:sz w:val="18"/>
                <w:szCs w:val="18"/>
              </w:rPr>
              <w:t>მიწის სამუშაოები და სხვადასხვა სამშენებლო სამუშაოები</w:t>
            </w:r>
          </w:p>
        </w:tc>
        <w:tc>
          <w:tcPr>
            <w:tcW w:w="1620" w:type="dxa"/>
            <w:tcBorders>
              <w:bottom w:val="single" w:sz="4" w:space="0" w:color="auto"/>
            </w:tcBorders>
            <w:shd w:val="clear" w:color="auto" w:fill="FFFFFF" w:themeFill="background1"/>
          </w:tcPr>
          <w:p w14:paraId="6F3DD40D" w14:textId="77777777" w:rsidR="0071033A" w:rsidRPr="001F2C5A" w:rsidRDefault="0071033A" w:rsidP="002B56CC">
            <w:pPr>
              <w:pStyle w:val="TableParagraph"/>
              <w:ind w:left="100" w:right="197"/>
              <w:rPr>
                <w:rFonts w:ascii="Sylfaen" w:hAnsi="Sylfaen" w:cs="Arial"/>
                <w:spacing w:val="-1"/>
                <w:sz w:val="18"/>
                <w:szCs w:val="18"/>
                <w:lang w:val="ka-GE"/>
              </w:rPr>
            </w:pPr>
            <w:r w:rsidRPr="001F2C5A">
              <w:rPr>
                <w:rFonts w:ascii="Sylfaen" w:hAnsi="Sylfaen" w:cs="Arial"/>
                <w:spacing w:val="-1"/>
                <w:sz w:val="18"/>
                <w:szCs w:val="18"/>
                <w:lang w:val="ka-GE"/>
              </w:rPr>
              <w:t xml:space="preserve">ეროზია, </w:t>
            </w:r>
            <w:r w:rsidRPr="001F2C5A">
              <w:rPr>
                <w:rFonts w:ascii="Sylfaen" w:hAnsi="Sylfaen" w:cs="Arial"/>
                <w:spacing w:val="-1"/>
                <w:sz w:val="18"/>
                <w:szCs w:val="18"/>
              </w:rPr>
              <w:t>და ა.შ.</w:t>
            </w:r>
          </w:p>
        </w:tc>
        <w:tc>
          <w:tcPr>
            <w:tcW w:w="7200" w:type="dxa"/>
            <w:tcBorders>
              <w:bottom w:val="single" w:sz="4" w:space="0" w:color="auto"/>
            </w:tcBorders>
            <w:shd w:val="clear" w:color="auto" w:fill="FFFFFF" w:themeFill="background1"/>
          </w:tcPr>
          <w:p w14:paraId="31FCEA43" w14:textId="77777777" w:rsidR="0071033A" w:rsidRPr="001F2C5A" w:rsidRDefault="0071033A" w:rsidP="00821E4D">
            <w:pPr>
              <w:pStyle w:val="ListParagraph"/>
              <w:widowControl w:val="0"/>
              <w:numPr>
                <w:ilvl w:val="0"/>
                <w:numId w:val="20"/>
              </w:numPr>
              <w:tabs>
                <w:tab w:val="left" w:pos="302"/>
              </w:tabs>
              <w:spacing w:before="13" w:after="0" w:line="240" w:lineRule="auto"/>
              <w:ind w:right="100"/>
              <w:contextualSpacing w:val="0"/>
              <w:jc w:val="left"/>
              <w:rPr>
                <w:rFonts w:cs="Arial"/>
                <w:sz w:val="18"/>
                <w:szCs w:val="18"/>
              </w:rPr>
            </w:pPr>
            <w:r w:rsidRPr="001F2C5A">
              <w:rPr>
                <w:rFonts w:cs="Arial"/>
                <w:spacing w:val="-1"/>
                <w:sz w:val="18"/>
                <w:szCs w:val="18"/>
              </w:rPr>
              <w:t>არჩეული სანაპირო ზონის ტერიტორიების შერჩევა და ფერდობების სტაბილიზაცია;</w:t>
            </w:r>
          </w:p>
          <w:p w14:paraId="4EB3E9C6" w14:textId="77777777" w:rsidR="0071033A" w:rsidRPr="001F2C5A" w:rsidRDefault="0071033A" w:rsidP="00821E4D">
            <w:pPr>
              <w:pStyle w:val="ListParagraph"/>
              <w:widowControl w:val="0"/>
              <w:numPr>
                <w:ilvl w:val="0"/>
                <w:numId w:val="20"/>
              </w:numPr>
              <w:tabs>
                <w:tab w:val="left" w:pos="302"/>
              </w:tabs>
              <w:spacing w:before="15" w:after="0" w:line="240" w:lineRule="auto"/>
              <w:ind w:right="103"/>
              <w:contextualSpacing w:val="0"/>
              <w:jc w:val="left"/>
              <w:rPr>
                <w:rFonts w:cs="Arial"/>
                <w:sz w:val="18"/>
                <w:szCs w:val="18"/>
              </w:rPr>
            </w:pPr>
            <w:r w:rsidRPr="001F2C5A">
              <w:rPr>
                <w:rFonts w:cs="Arial"/>
                <w:spacing w:val="-1"/>
                <w:sz w:val="18"/>
                <w:szCs w:val="18"/>
              </w:rPr>
              <w:t>სტაბილურობის შენარჩუნების მიზნით ხის ფარის გამოყენება ძალზედ ღრმა ორმოებზე, მაგალითად ხიდის მშენებლობის დროს;</w:t>
            </w:r>
          </w:p>
          <w:p w14:paraId="671C3E2C" w14:textId="77777777" w:rsidR="0071033A" w:rsidRPr="001F2C5A" w:rsidRDefault="0071033A" w:rsidP="00821E4D">
            <w:pPr>
              <w:pStyle w:val="ListParagraph"/>
              <w:widowControl w:val="0"/>
              <w:numPr>
                <w:ilvl w:val="0"/>
                <w:numId w:val="20"/>
              </w:numPr>
              <w:tabs>
                <w:tab w:val="left" w:pos="302"/>
              </w:tabs>
              <w:spacing w:before="15" w:after="0" w:line="240" w:lineRule="auto"/>
              <w:ind w:right="100"/>
              <w:contextualSpacing w:val="0"/>
              <w:jc w:val="left"/>
              <w:rPr>
                <w:rFonts w:cs="Arial"/>
                <w:sz w:val="18"/>
                <w:szCs w:val="18"/>
              </w:rPr>
            </w:pPr>
            <w:r w:rsidRPr="001F2C5A">
              <w:rPr>
                <w:rFonts w:cs="Arial"/>
                <w:spacing w:val="-1"/>
                <w:sz w:val="18"/>
                <w:szCs w:val="18"/>
              </w:rPr>
              <w:t>დროებითი ბერმების, ფერდობის დრენაჟის, დროებითი მილების, კონფიგურაციული თხრილების, თხრილების ნიშნების, გადახრების, ნალექების ხაფანგის მოწყობა.</w:t>
            </w:r>
          </w:p>
          <w:p w14:paraId="418A17BE" w14:textId="77777777" w:rsidR="0071033A" w:rsidRPr="001F2C5A" w:rsidRDefault="0071033A" w:rsidP="00821E4D">
            <w:pPr>
              <w:pStyle w:val="ListParagraph"/>
              <w:widowControl w:val="0"/>
              <w:numPr>
                <w:ilvl w:val="0"/>
                <w:numId w:val="20"/>
              </w:numPr>
              <w:tabs>
                <w:tab w:val="left" w:pos="302"/>
              </w:tabs>
              <w:spacing w:after="0" w:line="240" w:lineRule="auto"/>
              <w:ind w:right="178"/>
              <w:contextualSpacing w:val="0"/>
              <w:jc w:val="left"/>
              <w:rPr>
                <w:rFonts w:cs="Arial"/>
                <w:spacing w:val="-1"/>
                <w:sz w:val="18"/>
                <w:szCs w:val="18"/>
              </w:rPr>
            </w:pPr>
            <w:r w:rsidRPr="001F2C5A">
              <w:rPr>
                <w:rFonts w:cs="Arial"/>
                <w:spacing w:val="-1"/>
                <w:sz w:val="18"/>
                <w:szCs w:val="18"/>
              </w:rPr>
              <w:t>კადრების მომზადება კარგი პრაქტიკაში</w:t>
            </w:r>
          </w:p>
        </w:tc>
        <w:tc>
          <w:tcPr>
            <w:tcW w:w="2070" w:type="dxa"/>
            <w:tcBorders>
              <w:bottom w:val="single" w:sz="4" w:space="0" w:color="auto"/>
            </w:tcBorders>
            <w:shd w:val="clear" w:color="auto" w:fill="FFFFFF" w:themeFill="background1"/>
          </w:tcPr>
          <w:p w14:paraId="69BDB43B" w14:textId="77777777" w:rsidR="0071033A" w:rsidRPr="001F2C5A" w:rsidRDefault="0071033A" w:rsidP="002B56CC">
            <w:pPr>
              <w:pStyle w:val="TableParagraph"/>
              <w:ind w:left="-18"/>
              <w:rPr>
                <w:rFonts w:ascii="Sylfaen" w:hAnsi="Sylfaen" w:cs="Arial"/>
                <w:spacing w:val="-1"/>
                <w:sz w:val="18"/>
                <w:szCs w:val="18"/>
              </w:rPr>
            </w:pPr>
            <w:r w:rsidRPr="001F2C5A">
              <w:rPr>
                <w:rFonts w:ascii="Sylfaen" w:hAnsi="Sylfaen" w:cs="Arial"/>
                <w:spacing w:val="-1"/>
                <w:sz w:val="18"/>
                <w:szCs w:val="18"/>
              </w:rPr>
              <w:t>დამატებითი ხარჯები არ არის საჭირო.</w:t>
            </w:r>
          </w:p>
          <w:p w14:paraId="2DB81DF7" w14:textId="77777777" w:rsidR="0071033A" w:rsidRPr="001F2C5A" w:rsidRDefault="0071033A" w:rsidP="002B56CC">
            <w:pPr>
              <w:pStyle w:val="TableParagraph"/>
              <w:ind w:left="102" w:right="190"/>
              <w:rPr>
                <w:rFonts w:ascii="Sylfaen" w:hAnsi="Sylfaen" w:cs="Arial"/>
                <w:spacing w:val="-1"/>
                <w:sz w:val="18"/>
                <w:szCs w:val="18"/>
              </w:rPr>
            </w:pPr>
            <w:r w:rsidRPr="001F2C5A">
              <w:rPr>
                <w:rFonts w:ascii="Sylfaen" w:hAnsi="Sylfaen" w:cs="Arial"/>
                <w:spacing w:val="-1"/>
                <w:sz w:val="18"/>
                <w:szCs w:val="18"/>
                <w:lang w:val="ka-GE"/>
              </w:rPr>
              <w:t xml:space="preserve">დაიფარება </w:t>
            </w:r>
            <w:r w:rsidRPr="001F2C5A">
              <w:rPr>
                <w:rFonts w:ascii="Sylfaen" w:hAnsi="Sylfaen" w:cs="Arial"/>
                <w:spacing w:val="-1"/>
                <w:sz w:val="18"/>
                <w:szCs w:val="18"/>
              </w:rPr>
              <w:t>სამშენებლო სამუშაოების ბიუჯეტი</w:t>
            </w:r>
            <w:r w:rsidRPr="001F2C5A">
              <w:rPr>
                <w:rFonts w:ascii="Sylfaen" w:hAnsi="Sylfaen" w:cs="Arial"/>
                <w:spacing w:val="-1"/>
                <w:sz w:val="18"/>
                <w:szCs w:val="18"/>
                <w:lang w:val="ka-GE"/>
              </w:rPr>
              <w:t>ს გათვალისწინებით</w:t>
            </w:r>
            <w:r w:rsidRPr="001F2C5A">
              <w:rPr>
                <w:rFonts w:ascii="Sylfaen" w:hAnsi="Sylfaen" w:cs="Arial"/>
                <w:spacing w:val="-1"/>
                <w:sz w:val="18"/>
                <w:szCs w:val="18"/>
              </w:rPr>
              <w:t>.</w:t>
            </w:r>
          </w:p>
        </w:tc>
        <w:tc>
          <w:tcPr>
            <w:tcW w:w="1260" w:type="dxa"/>
            <w:tcBorders>
              <w:bottom w:val="single" w:sz="4" w:space="0" w:color="auto"/>
            </w:tcBorders>
            <w:shd w:val="clear" w:color="auto" w:fill="FFFFFF" w:themeFill="background1"/>
          </w:tcPr>
          <w:p w14:paraId="0B62611A"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სკ</w:t>
            </w:r>
          </w:p>
        </w:tc>
        <w:tc>
          <w:tcPr>
            <w:tcW w:w="1350" w:type="dxa"/>
            <w:tcBorders>
              <w:bottom w:val="single" w:sz="4" w:space="0" w:color="auto"/>
            </w:tcBorders>
            <w:shd w:val="clear" w:color="auto" w:fill="FFFFFF" w:themeFill="background1"/>
          </w:tcPr>
          <w:p w14:paraId="5833EA27"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სგდ</w:t>
            </w:r>
          </w:p>
        </w:tc>
      </w:tr>
      <w:tr w:rsidR="0071033A" w:rsidRPr="001F2C5A" w14:paraId="4E3D034B" w14:textId="77777777" w:rsidTr="001F2C5A">
        <w:trPr>
          <w:trHeight w:val="359"/>
        </w:trPr>
        <w:tc>
          <w:tcPr>
            <w:tcW w:w="1525" w:type="dxa"/>
            <w:tcBorders>
              <w:bottom w:val="single" w:sz="4" w:space="0" w:color="auto"/>
            </w:tcBorders>
            <w:shd w:val="clear" w:color="auto" w:fill="FFFFFF" w:themeFill="background1"/>
          </w:tcPr>
          <w:p w14:paraId="60CE6DA6" w14:textId="77777777" w:rsidR="0071033A" w:rsidRPr="001F2C5A" w:rsidRDefault="0071033A" w:rsidP="002B56CC">
            <w:pPr>
              <w:suppressAutoHyphens/>
              <w:contextualSpacing/>
              <w:rPr>
                <w:rFonts w:ascii="Sylfaen" w:hAnsi="Sylfaen" w:cs="Arial"/>
                <w:spacing w:val="-1"/>
                <w:sz w:val="18"/>
                <w:szCs w:val="18"/>
              </w:rPr>
            </w:pPr>
            <w:r w:rsidRPr="001F2C5A">
              <w:rPr>
                <w:rFonts w:ascii="Sylfaen" w:hAnsi="Sylfaen" w:cs="Arial"/>
                <w:spacing w:val="-1"/>
                <w:sz w:val="18"/>
                <w:szCs w:val="18"/>
              </w:rPr>
              <w:t>მობილიზაცია, მშენებლობა</w:t>
            </w:r>
          </w:p>
        </w:tc>
        <w:tc>
          <w:tcPr>
            <w:tcW w:w="1620" w:type="dxa"/>
            <w:tcBorders>
              <w:bottom w:val="single" w:sz="4" w:space="0" w:color="auto"/>
            </w:tcBorders>
            <w:shd w:val="clear" w:color="auto" w:fill="FFFFFF" w:themeFill="background1"/>
          </w:tcPr>
          <w:p w14:paraId="6A515FF4" w14:textId="77777777" w:rsidR="0071033A" w:rsidRPr="001F2C5A" w:rsidRDefault="0071033A" w:rsidP="002B56CC">
            <w:pPr>
              <w:pStyle w:val="TableParagraph"/>
              <w:ind w:left="100" w:right="197"/>
              <w:rPr>
                <w:rFonts w:ascii="Sylfaen" w:hAnsi="Sylfaen" w:cs="Arial"/>
                <w:spacing w:val="-1"/>
                <w:sz w:val="18"/>
                <w:szCs w:val="18"/>
                <w:lang w:val="ka-GE"/>
              </w:rPr>
            </w:pPr>
            <w:r w:rsidRPr="001F2C5A">
              <w:rPr>
                <w:rFonts w:ascii="Sylfaen" w:hAnsi="Sylfaen" w:cs="Arial"/>
                <w:sz w:val="18"/>
                <w:szCs w:val="18"/>
              </w:rPr>
              <w:t>მიწის ზიანი, ბიზნესის/შემ</w:t>
            </w:r>
            <w:r w:rsidR="00BA004D" w:rsidRPr="001F2C5A">
              <w:rPr>
                <w:rFonts w:ascii="Sylfaen" w:hAnsi="Sylfaen" w:cs="Arial"/>
                <w:sz w:val="18"/>
                <w:szCs w:val="18"/>
                <w:lang w:val="ka-GE"/>
              </w:rPr>
              <w:t>მ</w:t>
            </w:r>
            <w:r w:rsidRPr="001F2C5A">
              <w:rPr>
                <w:rFonts w:ascii="Sylfaen" w:hAnsi="Sylfaen" w:cs="Arial"/>
                <w:sz w:val="18"/>
                <w:szCs w:val="18"/>
              </w:rPr>
              <w:t>ოსავლის ზარალი, მდინარის ხელმისაწვდომობის შეზღუდვა; უსაფრთხოებ</w:t>
            </w:r>
            <w:r w:rsidRPr="001F2C5A">
              <w:rPr>
                <w:rFonts w:ascii="Sylfaen" w:hAnsi="Sylfaen" w:cs="Arial"/>
                <w:sz w:val="18"/>
                <w:szCs w:val="18"/>
              </w:rPr>
              <w:lastRenderedPageBreak/>
              <w:t>აზე გავლენა, ხმაურისა და მტვრის ზემოქმედება</w:t>
            </w:r>
            <w:r w:rsidR="00BA004D" w:rsidRPr="001F2C5A">
              <w:rPr>
                <w:rFonts w:ascii="Sylfaen" w:hAnsi="Sylfaen" w:cs="Arial"/>
                <w:sz w:val="18"/>
                <w:szCs w:val="18"/>
                <w:lang w:val="ka-GE"/>
              </w:rPr>
              <w:t>.</w:t>
            </w:r>
          </w:p>
        </w:tc>
        <w:tc>
          <w:tcPr>
            <w:tcW w:w="7200" w:type="dxa"/>
            <w:tcBorders>
              <w:bottom w:val="single" w:sz="4" w:space="0" w:color="auto"/>
            </w:tcBorders>
            <w:shd w:val="clear" w:color="auto" w:fill="FFFFFF" w:themeFill="background1"/>
          </w:tcPr>
          <w:p w14:paraId="4EDB0DFF" w14:textId="77777777" w:rsidR="0071033A" w:rsidRPr="001F2C5A" w:rsidRDefault="0071033A" w:rsidP="00821E4D">
            <w:pPr>
              <w:pStyle w:val="ListParagraph"/>
              <w:widowControl w:val="0"/>
              <w:numPr>
                <w:ilvl w:val="0"/>
                <w:numId w:val="20"/>
              </w:numPr>
              <w:tabs>
                <w:tab w:val="left" w:pos="302"/>
              </w:tabs>
              <w:spacing w:before="13" w:after="0" w:line="240" w:lineRule="auto"/>
              <w:ind w:right="100"/>
              <w:contextualSpacing w:val="0"/>
              <w:jc w:val="left"/>
              <w:rPr>
                <w:rFonts w:cs="Arial"/>
                <w:sz w:val="18"/>
                <w:szCs w:val="18"/>
              </w:rPr>
            </w:pPr>
            <w:r w:rsidRPr="001F2C5A">
              <w:rPr>
                <w:rFonts w:cs="Arial"/>
                <w:spacing w:val="-1"/>
                <w:sz w:val="18"/>
                <w:szCs w:val="18"/>
              </w:rPr>
              <w:lastRenderedPageBreak/>
              <w:t>მიწის შესყიდვისა და განსახლების გეგმის შემუშავება და განხორციელება</w:t>
            </w:r>
          </w:p>
          <w:p w14:paraId="44B4E13A" w14:textId="77777777" w:rsidR="0071033A" w:rsidRPr="001F2C5A" w:rsidRDefault="0071033A" w:rsidP="00821E4D">
            <w:pPr>
              <w:pStyle w:val="ListParagraph"/>
              <w:widowControl w:val="0"/>
              <w:numPr>
                <w:ilvl w:val="0"/>
                <w:numId w:val="20"/>
              </w:numPr>
              <w:tabs>
                <w:tab w:val="left" w:pos="302"/>
              </w:tabs>
              <w:spacing w:after="0" w:line="240" w:lineRule="auto"/>
              <w:contextualSpacing w:val="0"/>
              <w:jc w:val="left"/>
              <w:rPr>
                <w:rFonts w:cs="Arial"/>
                <w:sz w:val="18"/>
                <w:szCs w:val="18"/>
              </w:rPr>
            </w:pPr>
            <w:r w:rsidRPr="001F2C5A">
              <w:rPr>
                <w:rFonts w:cs="Arial"/>
                <w:spacing w:val="-1"/>
                <w:sz w:val="18"/>
                <w:szCs w:val="18"/>
              </w:rPr>
              <w:t>ხმაურის, ემისიის შემარბილებელი ღონისძიებების გატარება</w:t>
            </w:r>
          </w:p>
          <w:p w14:paraId="6A3155FE" w14:textId="77777777" w:rsidR="0071033A" w:rsidRPr="001F2C5A" w:rsidRDefault="0071033A" w:rsidP="00821E4D">
            <w:pPr>
              <w:pStyle w:val="ListParagraph"/>
              <w:widowControl w:val="0"/>
              <w:numPr>
                <w:ilvl w:val="0"/>
                <w:numId w:val="20"/>
              </w:numPr>
              <w:tabs>
                <w:tab w:val="left" w:pos="302"/>
              </w:tabs>
              <w:spacing w:before="13" w:after="0" w:line="240" w:lineRule="auto"/>
              <w:ind w:right="100"/>
              <w:contextualSpacing w:val="0"/>
              <w:jc w:val="left"/>
              <w:rPr>
                <w:rFonts w:cs="Arial"/>
                <w:spacing w:val="-1"/>
                <w:sz w:val="18"/>
                <w:szCs w:val="18"/>
              </w:rPr>
            </w:pPr>
            <w:r w:rsidRPr="001F2C5A">
              <w:rPr>
                <w:rFonts w:cs="Arial"/>
                <w:spacing w:val="-1"/>
                <w:sz w:val="18"/>
                <w:szCs w:val="18"/>
                <w:lang w:val="ka-GE"/>
              </w:rPr>
              <w:t>დროებითი დასაქმება</w:t>
            </w:r>
          </w:p>
        </w:tc>
        <w:tc>
          <w:tcPr>
            <w:tcW w:w="2070" w:type="dxa"/>
            <w:tcBorders>
              <w:bottom w:val="single" w:sz="4" w:space="0" w:color="auto"/>
            </w:tcBorders>
            <w:shd w:val="clear" w:color="auto" w:fill="FFFFFF" w:themeFill="background1"/>
          </w:tcPr>
          <w:p w14:paraId="01BCEF02" w14:textId="77777777" w:rsidR="0071033A" w:rsidRPr="001F2C5A" w:rsidRDefault="0071033A" w:rsidP="002B56CC">
            <w:pPr>
              <w:pStyle w:val="TableParagraph"/>
              <w:ind w:left="102" w:right="190"/>
              <w:rPr>
                <w:rFonts w:ascii="Sylfaen" w:hAnsi="Sylfaen" w:cs="Arial"/>
                <w:spacing w:val="-1"/>
                <w:sz w:val="18"/>
                <w:szCs w:val="18"/>
              </w:rPr>
            </w:pPr>
            <w:r w:rsidRPr="001F2C5A">
              <w:rPr>
                <w:rFonts w:ascii="Sylfaen" w:hAnsi="Sylfaen" w:cs="Arial"/>
                <w:spacing w:val="-1"/>
                <w:sz w:val="18"/>
                <w:szCs w:val="18"/>
              </w:rPr>
              <w:t>მიწის შეძენის ხარჯები</w:t>
            </w:r>
          </w:p>
        </w:tc>
        <w:tc>
          <w:tcPr>
            <w:tcW w:w="1260" w:type="dxa"/>
            <w:tcBorders>
              <w:bottom w:val="single" w:sz="4" w:space="0" w:color="auto"/>
            </w:tcBorders>
            <w:shd w:val="clear" w:color="auto" w:fill="FFFFFF" w:themeFill="background1"/>
          </w:tcPr>
          <w:p w14:paraId="4829CB42"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სკ</w:t>
            </w:r>
          </w:p>
        </w:tc>
        <w:tc>
          <w:tcPr>
            <w:tcW w:w="1350" w:type="dxa"/>
            <w:tcBorders>
              <w:bottom w:val="single" w:sz="4" w:space="0" w:color="auto"/>
            </w:tcBorders>
            <w:shd w:val="clear" w:color="auto" w:fill="FFFFFF" w:themeFill="background1"/>
          </w:tcPr>
          <w:p w14:paraId="06679147" w14:textId="77777777" w:rsidR="0071033A" w:rsidRPr="001F2C5A" w:rsidRDefault="0071033A" w:rsidP="002B56CC">
            <w:pPr>
              <w:jc w:val="center"/>
              <w:rPr>
                <w:rFonts w:ascii="Sylfaen" w:hAnsi="Sylfaen"/>
                <w:sz w:val="18"/>
                <w:szCs w:val="18"/>
              </w:rPr>
            </w:pPr>
            <w:r w:rsidRPr="001F2C5A">
              <w:rPr>
                <w:rFonts w:ascii="Sylfaen" w:hAnsi="Sylfaen" w:cs="Arial"/>
                <w:sz w:val="18"/>
                <w:szCs w:val="18"/>
                <w:lang w:val="ka-GE"/>
              </w:rPr>
              <w:t>სგდ</w:t>
            </w:r>
          </w:p>
        </w:tc>
      </w:tr>
    </w:tbl>
    <w:p w14:paraId="15B43E6C" w14:textId="77777777" w:rsidR="0071033A" w:rsidRPr="002B616A" w:rsidRDefault="0071033A" w:rsidP="00821E4D">
      <w:pPr>
        <w:widowControl w:val="0"/>
        <w:numPr>
          <w:ilvl w:val="1"/>
          <w:numId w:val="24"/>
        </w:numPr>
        <w:tabs>
          <w:tab w:val="left" w:pos="457"/>
        </w:tabs>
        <w:spacing w:before="74"/>
        <w:rPr>
          <w:rFonts w:ascii="Sylfaen" w:hAnsi="Sylfaen"/>
          <w:sz w:val="20"/>
          <w:szCs w:val="20"/>
        </w:rPr>
        <w:sectPr w:rsidR="0071033A" w:rsidRPr="002B616A" w:rsidSect="006D60DC">
          <w:headerReference w:type="default" r:id="rId195"/>
          <w:pgSz w:w="15840" w:h="12240" w:orient="landscape" w:code="1"/>
          <w:pgMar w:top="1240" w:right="640" w:bottom="280" w:left="1276" w:header="499" w:footer="0" w:gutter="0"/>
          <w:cols w:space="720"/>
          <w:titlePg/>
          <w:docGrid w:linePitch="299"/>
        </w:sectPr>
      </w:pPr>
    </w:p>
    <w:p w14:paraId="03202024" w14:textId="4E99D211" w:rsidR="0071033A" w:rsidRPr="002B616A" w:rsidRDefault="001F2C5A" w:rsidP="002B56CC">
      <w:pPr>
        <w:pBdr>
          <w:bottom w:val="single" w:sz="24" w:space="2" w:color="0000FF"/>
        </w:pBdr>
        <w:spacing w:after="240"/>
        <w:rPr>
          <w:rFonts w:ascii="Sylfaen" w:hAnsi="Sylfaen"/>
          <w:caps/>
          <w:sz w:val="24"/>
          <w:szCs w:val="28"/>
        </w:rPr>
      </w:pPr>
      <w:r>
        <w:rPr>
          <w:rFonts w:ascii="Sylfaen" w:hAnsi="Sylfaen"/>
          <w:sz w:val="24"/>
          <w:szCs w:val="28"/>
          <w:lang w:val="ka-GE"/>
        </w:rPr>
        <w:lastRenderedPageBreak/>
        <w:t>ოპერირების</w:t>
      </w:r>
      <w:r w:rsidR="0071033A" w:rsidRPr="00430D2A">
        <w:rPr>
          <w:rFonts w:ascii="Sylfaen" w:hAnsi="Sylfaen"/>
          <w:sz w:val="24"/>
          <w:szCs w:val="28"/>
          <w:lang w:val="ka-GE"/>
        </w:rPr>
        <w:t xml:space="preserve"> ფაზა</w:t>
      </w:r>
    </w:p>
    <w:tbl>
      <w:tblPr>
        <w:tblW w:w="5548" w:type="pct"/>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6"/>
        <w:gridCol w:w="2415"/>
        <w:gridCol w:w="2706"/>
        <w:gridCol w:w="2254"/>
        <w:gridCol w:w="2528"/>
        <w:gridCol w:w="2528"/>
        <w:gridCol w:w="1718"/>
      </w:tblGrid>
      <w:tr w:rsidR="0071033A" w:rsidRPr="001F2C5A" w14:paraId="63F4DD1D" w14:textId="77777777" w:rsidTr="0071033A">
        <w:tc>
          <w:tcPr>
            <w:tcW w:w="618" w:type="pct"/>
            <w:shd w:val="clear" w:color="auto" w:fill="F3F3F3"/>
            <w:vAlign w:val="center"/>
          </w:tcPr>
          <w:p w14:paraId="027DC67F" w14:textId="77777777" w:rsidR="0071033A" w:rsidRPr="001F2C5A" w:rsidRDefault="0071033A" w:rsidP="002B56CC">
            <w:pPr>
              <w:jc w:val="center"/>
              <w:rPr>
                <w:rFonts w:ascii="Sylfaen" w:hAnsi="Sylfaen" w:cs="Arial"/>
                <w:sz w:val="18"/>
                <w:szCs w:val="18"/>
                <w:lang w:val="ka-GE"/>
              </w:rPr>
            </w:pPr>
            <w:r w:rsidRPr="001F2C5A">
              <w:rPr>
                <w:rFonts w:ascii="Sylfaen" w:hAnsi="Sylfaen" w:cs="Arial"/>
                <w:sz w:val="18"/>
                <w:szCs w:val="18"/>
                <w:lang w:val="ka-GE"/>
              </w:rPr>
              <w:t>აქტივობა</w:t>
            </w:r>
          </w:p>
          <w:p w14:paraId="2E349935" w14:textId="77777777" w:rsidR="0071033A" w:rsidRPr="001F2C5A" w:rsidRDefault="0071033A" w:rsidP="002B56CC">
            <w:pPr>
              <w:rPr>
                <w:rFonts w:ascii="Sylfaen" w:hAnsi="Sylfaen" w:cs="Arial"/>
                <w:sz w:val="18"/>
                <w:szCs w:val="18"/>
              </w:rPr>
            </w:pPr>
          </w:p>
        </w:tc>
        <w:tc>
          <w:tcPr>
            <w:tcW w:w="748" w:type="pct"/>
            <w:shd w:val="clear" w:color="auto" w:fill="F3F3F3"/>
            <w:vAlign w:val="center"/>
          </w:tcPr>
          <w:p w14:paraId="32E65107" w14:textId="77777777" w:rsidR="0071033A" w:rsidRPr="001F2C5A" w:rsidRDefault="0071033A" w:rsidP="002B56CC">
            <w:pPr>
              <w:spacing w:before="120" w:after="120"/>
              <w:jc w:val="center"/>
              <w:rPr>
                <w:rFonts w:ascii="Sylfaen" w:hAnsi="Sylfaen" w:cs="Arial"/>
                <w:sz w:val="18"/>
                <w:szCs w:val="18"/>
                <w:lang w:val="ka-GE"/>
              </w:rPr>
            </w:pPr>
            <w:r w:rsidRPr="001F2C5A">
              <w:rPr>
                <w:rFonts w:ascii="Sylfaen" w:hAnsi="Sylfaen" w:cs="Arial"/>
                <w:sz w:val="18"/>
                <w:szCs w:val="18"/>
                <w:lang w:val="ka-GE"/>
              </w:rPr>
              <w:t>რა</w:t>
            </w:r>
          </w:p>
          <w:p w14:paraId="48BF5661" w14:textId="77777777" w:rsidR="0071033A" w:rsidRPr="001F2C5A" w:rsidRDefault="0071033A" w:rsidP="002B56CC">
            <w:pPr>
              <w:spacing w:before="120" w:after="120"/>
              <w:jc w:val="center"/>
              <w:rPr>
                <w:rFonts w:ascii="Sylfaen" w:hAnsi="Sylfaen" w:cs="Arial"/>
                <w:sz w:val="18"/>
                <w:szCs w:val="18"/>
              </w:rPr>
            </w:pPr>
            <w:r w:rsidRPr="001F2C5A">
              <w:rPr>
                <w:rFonts w:ascii="Sylfaen" w:hAnsi="Sylfaen" w:cs="Arial"/>
                <w:sz w:val="18"/>
                <w:szCs w:val="18"/>
                <w:lang w:val="ka-GE"/>
              </w:rPr>
              <w:t>(პარამეტრის მონიტორინგი უნდა განხორციელდეს</w:t>
            </w:r>
            <w:r w:rsidRPr="001F2C5A">
              <w:rPr>
                <w:rFonts w:ascii="Sylfaen" w:hAnsi="Sylfaen" w:cs="Arial"/>
                <w:sz w:val="18"/>
                <w:szCs w:val="18"/>
              </w:rPr>
              <w:t>?)</w:t>
            </w:r>
          </w:p>
        </w:tc>
        <w:tc>
          <w:tcPr>
            <w:tcW w:w="838" w:type="pct"/>
            <w:shd w:val="clear" w:color="auto" w:fill="F3F3F3"/>
            <w:vAlign w:val="center"/>
          </w:tcPr>
          <w:p w14:paraId="6F61A319" w14:textId="77777777" w:rsidR="0071033A" w:rsidRPr="001F2C5A" w:rsidRDefault="0071033A" w:rsidP="002B56CC">
            <w:pPr>
              <w:spacing w:before="120" w:after="120"/>
              <w:jc w:val="center"/>
              <w:rPr>
                <w:rFonts w:ascii="Sylfaen" w:hAnsi="Sylfaen" w:cs="Arial"/>
                <w:sz w:val="18"/>
                <w:szCs w:val="18"/>
                <w:lang w:val="ka-GE"/>
              </w:rPr>
            </w:pPr>
            <w:r w:rsidRPr="001F2C5A">
              <w:rPr>
                <w:rFonts w:ascii="Sylfaen" w:hAnsi="Sylfaen" w:cs="Arial"/>
                <w:sz w:val="18"/>
                <w:szCs w:val="18"/>
                <w:lang w:val="ka-GE"/>
              </w:rPr>
              <w:t>სად</w:t>
            </w:r>
          </w:p>
          <w:p w14:paraId="0FBAEA73" w14:textId="77777777" w:rsidR="0071033A" w:rsidRPr="001F2C5A" w:rsidRDefault="0071033A" w:rsidP="002B56CC">
            <w:pPr>
              <w:spacing w:before="120" w:after="120"/>
              <w:jc w:val="center"/>
              <w:rPr>
                <w:rFonts w:ascii="Sylfaen" w:hAnsi="Sylfaen" w:cs="Arial"/>
                <w:sz w:val="18"/>
                <w:szCs w:val="18"/>
              </w:rPr>
            </w:pPr>
            <w:r w:rsidRPr="001F2C5A">
              <w:rPr>
                <w:rFonts w:ascii="Sylfaen" w:hAnsi="Sylfaen" w:cs="Arial"/>
                <w:sz w:val="18"/>
                <w:szCs w:val="18"/>
                <w:lang w:val="ka-GE"/>
              </w:rPr>
              <w:t>(უნდა განხორციელდეს პარამეტრის მონიტორინგი</w:t>
            </w:r>
            <w:r w:rsidRPr="001F2C5A">
              <w:rPr>
                <w:rFonts w:ascii="Sylfaen" w:hAnsi="Sylfaen" w:cs="Arial"/>
                <w:sz w:val="18"/>
                <w:szCs w:val="18"/>
              </w:rPr>
              <w:t>?)</w:t>
            </w:r>
          </w:p>
        </w:tc>
        <w:tc>
          <w:tcPr>
            <w:tcW w:w="698" w:type="pct"/>
            <w:shd w:val="clear" w:color="auto" w:fill="F3F3F3"/>
            <w:vAlign w:val="center"/>
          </w:tcPr>
          <w:p w14:paraId="10C0F4B4" w14:textId="77777777" w:rsidR="0071033A" w:rsidRPr="001F2C5A" w:rsidRDefault="0071033A" w:rsidP="002B56CC">
            <w:pPr>
              <w:spacing w:before="120" w:after="120"/>
              <w:jc w:val="center"/>
              <w:rPr>
                <w:rFonts w:ascii="Sylfaen" w:hAnsi="Sylfaen" w:cs="Arial"/>
                <w:sz w:val="18"/>
                <w:szCs w:val="18"/>
                <w:lang w:val="ka-GE"/>
              </w:rPr>
            </w:pPr>
            <w:r w:rsidRPr="001F2C5A">
              <w:rPr>
                <w:rFonts w:ascii="Sylfaen" w:hAnsi="Sylfaen" w:cs="Arial"/>
                <w:sz w:val="18"/>
                <w:szCs w:val="18"/>
                <w:lang w:val="ka-GE"/>
              </w:rPr>
              <w:t>როგორ</w:t>
            </w:r>
          </w:p>
          <w:p w14:paraId="55785656" w14:textId="77777777" w:rsidR="0071033A" w:rsidRPr="001F2C5A" w:rsidRDefault="0071033A" w:rsidP="002B56CC">
            <w:pPr>
              <w:spacing w:before="120" w:after="120"/>
              <w:jc w:val="center"/>
              <w:rPr>
                <w:rFonts w:ascii="Sylfaen" w:hAnsi="Sylfaen" w:cs="Arial"/>
                <w:sz w:val="18"/>
                <w:szCs w:val="18"/>
              </w:rPr>
            </w:pPr>
            <w:r w:rsidRPr="001F2C5A">
              <w:rPr>
                <w:rFonts w:ascii="Sylfaen" w:hAnsi="Sylfaen" w:cs="Arial"/>
                <w:sz w:val="18"/>
                <w:szCs w:val="18"/>
                <w:lang w:val="ka-GE"/>
              </w:rPr>
              <w:t>(უნდა განხორციელდეს პარამეტრის მონიტორინგი</w:t>
            </w:r>
            <w:r w:rsidRPr="001F2C5A">
              <w:rPr>
                <w:rFonts w:ascii="Sylfaen" w:hAnsi="Sylfaen" w:cs="Arial"/>
                <w:sz w:val="18"/>
                <w:szCs w:val="18"/>
              </w:rPr>
              <w:t>?)</w:t>
            </w:r>
          </w:p>
        </w:tc>
        <w:tc>
          <w:tcPr>
            <w:tcW w:w="783" w:type="pct"/>
            <w:shd w:val="clear" w:color="auto" w:fill="F3F3F3"/>
            <w:vAlign w:val="center"/>
          </w:tcPr>
          <w:p w14:paraId="0494FCE2" w14:textId="77777777" w:rsidR="0071033A" w:rsidRPr="001F2C5A" w:rsidRDefault="0071033A" w:rsidP="002B56CC">
            <w:pPr>
              <w:spacing w:before="120" w:after="120"/>
              <w:jc w:val="center"/>
              <w:rPr>
                <w:rFonts w:ascii="Sylfaen" w:hAnsi="Sylfaen" w:cs="Arial"/>
                <w:sz w:val="18"/>
                <w:szCs w:val="18"/>
                <w:lang w:val="ka-GE"/>
              </w:rPr>
            </w:pPr>
            <w:r w:rsidRPr="001F2C5A">
              <w:rPr>
                <w:rFonts w:ascii="Sylfaen" w:hAnsi="Sylfaen" w:cs="Arial"/>
                <w:sz w:val="18"/>
                <w:szCs w:val="18"/>
                <w:lang w:val="ka-GE"/>
              </w:rPr>
              <w:t>როდის</w:t>
            </w:r>
          </w:p>
          <w:p w14:paraId="62B62332" w14:textId="77777777" w:rsidR="0071033A" w:rsidRPr="001F2C5A" w:rsidRDefault="0071033A" w:rsidP="002B56CC">
            <w:pPr>
              <w:spacing w:before="120" w:after="120"/>
              <w:jc w:val="center"/>
              <w:rPr>
                <w:rFonts w:ascii="Sylfaen" w:hAnsi="Sylfaen" w:cs="Arial"/>
                <w:sz w:val="18"/>
                <w:szCs w:val="18"/>
              </w:rPr>
            </w:pPr>
            <w:r w:rsidRPr="001F2C5A">
              <w:rPr>
                <w:rFonts w:ascii="Sylfaen" w:hAnsi="Sylfaen" w:cs="Arial"/>
                <w:sz w:val="18"/>
                <w:szCs w:val="18"/>
              </w:rPr>
              <w:t>(განსაზღვრეთ სიხშირე</w:t>
            </w:r>
            <w:r w:rsidRPr="001F2C5A">
              <w:rPr>
                <w:rFonts w:ascii="Sylfaen" w:hAnsi="Sylfaen" w:cs="Arial"/>
                <w:sz w:val="18"/>
                <w:szCs w:val="18"/>
                <w:lang w:val="ka-GE"/>
              </w:rPr>
              <w:t>/ხანგრძლივობა</w:t>
            </w:r>
            <w:r w:rsidRPr="001F2C5A">
              <w:rPr>
                <w:rFonts w:ascii="Sylfaen" w:hAnsi="Sylfaen" w:cs="Arial"/>
                <w:sz w:val="18"/>
                <w:szCs w:val="18"/>
              </w:rPr>
              <w:t>?)</w:t>
            </w:r>
          </w:p>
        </w:tc>
        <w:tc>
          <w:tcPr>
            <w:tcW w:w="783" w:type="pct"/>
            <w:shd w:val="clear" w:color="auto" w:fill="F3F3F3"/>
            <w:vAlign w:val="center"/>
          </w:tcPr>
          <w:p w14:paraId="00711EBE" w14:textId="77777777" w:rsidR="0071033A" w:rsidRPr="001F2C5A" w:rsidRDefault="0071033A" w:rsidP="002B56CC">
            <w:pPr>
              <w:spacing w:before="120" w:after="120"/>
              <w:jc w:val="center"/>
              <w:rPr>
                <w:rFonts w:ascii="Sylfaen" w:hAnsi="Sylfaen" w:cs="Arial"/>
                <w:sz w:val="18"/>
                <w:szCs w:val="18"/>
                <w:lang w:val="ka-GE"/>
              </w:rPr>
            </w:pPr>
            <w:r w:rsidRPr="001F2C5A">
              <w:rPr>
                <w:rFonts w:ascii="Sylfaen" w:hAnsi="Sylfaen" w:cs="Arial"/>
                <w:sz w:val="18"/>
                <w:szCs w:val="18"/>
                <w:lang w:val="ka-GE"/>
              </w:rPr>
              <w:t>რატომ</w:t>
            </w:r>
          </w:p>
          <w:p w14:paraId="0EB50FE1" w14:textId="77777777" w:rsidR="0071033A" w:rsidRPr="001F2C5A" w:rsidRDefault="0071033A" w:rsidP="002B56CC">
            <w:pPr>
              <w:spacing w:before="120" w:after="120"/>
              <w:jc w:val="center"/>
              <w:rPr>
                <w:rFonts w:ascii="Sylfaen" w:hAnsi="Sylfaen" w:cs="Arial"/>
                <w:sz w:val="18"/>
                <w:szCs w:val="18"/>
              </w:rPr>
            </w:pPr>
            <w:r w:rsidRPr="001F2C5A">
              <w:rPr>
                <w:rFonts w:ascii="Sylfaen" w:hAnsi="Sylfaen" w:cs="Arial"/>
                <w:sz w:val="18"/>
                <w:szCs w:val="18"/>
              </w:rPr>
              <w:t>(</w:t>
            </w:r>
            <w:r w:rsidRPr="001F2C5A">
              <w:rPr>
                <w:rFonts w:ascii="Sylfaen" w:hAnsi="Sylfaen" w:cs="Arial"/>
                <w:sz w:val="18"/>
                <w:szCs w:val="18"/>
                <w:lang w:val="ka-GE"/>
              </w:rPr>
              <w:t>ხორციელდება პარამეტრის მონიტორინგი</w:t>
            </w:r>
            <w:r w:rsidRPr="001F2C5A">
              <w:rPr>
                <w:rFonts w:ascii="Sylfaen" w:hAnsi="Sylfaen" w:cs="Arial"/>
                <w:sz w:val="18"/>
                <w:szCs w:val="18"/>
              </w:rPr>
              <w:t>?)</w:t>
            </w:r>
          </w:p>
        </w:tc>
        <w:tc>
          <w:tcPr>
            <w:tcW w:w="532" w:type="pct"/>
            <w:shd w:val="clear" w:color="auto" w:fill="F3F3F3"/>
            <w:vAlign w:val="center"/>
          </w:tcPr>
          <w:p w14:paraId="532EEEB3" w14:textId="77777777" w:rsidR="0071033A" w:rsidRPr="001F2C5A" w:rsidRDefault="0071033A" w:rsidP="002B56CC">
            <w:pPr>
              <w:spacing w:before="120" w:after="120"/>
              <w:jc w:val="center"/>
              <w:rPr>
                <w:rFonts w:ascii="Sylfaen" w:hAnsi="Sylfaen" w:cs="Arial"/>
                <w:sz w:val="18"/>
                <w:szCs w:val="18"/>
                <w:lang w:val="ka-GE"/>
              </w:rPr>
            </w:pPr>
            <w:r w:rsidRPr="001F2C5A">
              <w:rPr>
                <w:rFonts w:ascii="Sylfaen" w:hAnsi="Sylfaen" w:cs="Arial"/>
                <w:sz w:val="18"/>
                <w:szCs w:val="18"/>
                <w:lang w:val="ka-GE"/>
              </w:rPr>
              <w:t>ვინ</w:t>
            </w:r>
          </w:p>
          <w:p w14:paraId="4A8824B4" w14:textId="77777777" w:rsidR="0071033A" w:rsidRPr="001F2C5A" w:rsidRDefault="0071033A" w:rsidP="002B56CC">
            <w:pPr>
              <w:spacing w:before="120" w:after="120"/>
              <w:jc w:val="center"/>
              <w:rPr>
                <w:rFonts w:ascii="Sylfaen" w:hAnsi="Sylfaen" w:cs="Arial"/>
                <w:sz w:val="18"/>
                <w:szCs w:val="18"/>
              </w:rPr>
            </w:pPr>
            <w:r w:rsidRPr="001F2C5A">
              <w:rPr>
                <w:rFonts w:ascii="Sylfaen" w:hAnsi="Sylfaen" w:cs="Arial"/>
                <w:sz w:val="18"/>
                <w:szCs w:val="18"/>
              </w:rPr>
              <w:t>(</w:t>
            </w:r>
            <w:r w:rsidRPr="001F2C5A">
              <w:rPr>
                <w:rFonts w:ascii="Sylfaen" w:hAnsi="Sylfaen" w:cs="Arial"/>
                <w:sz w:val="18"/>
                <w:szCs w:val="18"/>
                <w:lang w:val="ka-GE"/>
              </w:rPr>
              <w:t>არის მონიტორინგზე პასუხისმგებელი</w:t>
            </w:r>
            <w:r w:rsidRPr="001F2C5A">
              <w:rPr>
                <w:rFonts w:ascii="Sylfaen" w:hAnsi="Sylfaen" w:cs="Arial"/>
                <w:sz w:val="18"/>
                <w:szCs w:val="18"/>
              </w:rPr>
              <w:t>?)</w:t>
            </w:r>
          </w:p>
        </w:tc>
      </w:tr>
      <w:tr w:rsidR="0071033A" w:rsidRPr="001F2C5A" w14:paraId="20C44E33" w14:textId="77777777" w:rsidTr="0071033A">
        <w:trPr>
          <w:trHeight w:val="773"/>
        </w:trPr>
        <w:tc>
          <w:tcPr>
            <w:tcW w:w="618" w:type="pct"/>
          </w:tcPr>
          <w:p w14:paraId="43D38591" w14:textId="77777777" w:rsidR="0071033A" w:rsidRPr="001F2C5A" w:rsidRDefault="0071033A" w:rsidP="002B56CC">
            <w:pPr>
              <w:autoSpaceDE w:val="0"/>
              <w:autoSpaceDN w:val="0"/>
              <w:adjustRightInd w:val="0"/>
              <w:rPr>
                <w:rFonts w:ascii="Sylfaen" w:hAnsi="Sylfaen" w:cs="Arial"/>
                <w:sz w:val="18"/>
                <w:szCs w:val="18"/>
                <w:lang w:val="nb-NO"/>
              </w:rPr>
            </w:pPr>
            <w:r w:rsidRPr="001F2C5A">
              <w:rPr>
                <w:rFonts w:ascii="Sylfaen" w:hAnsi="Sylfaen" w:cs="Arial"/>
                <w:sz w:val="18"/>
                <w:szCs w:val="18"/>
                <w:lang w:val="nb-NO"/>
              </w:rPr>
              <w:t>საგზაო ზედაპირის ნარჩენებისგან დასუფთავება</w:t>
            </w:r>
          </w:p>
        </w:tc>
        <w:tc>
          <w:tcPr>
            <w:tcW w:w="748" w:type="pct"/>
          </w:tcPr>
          <w:p w14:paraId="24B7D1F6" w14:textId="77777777" w:rsidR="0071033A" w:rsidRPr="001F2C5A" w:rsidRDefault="0071033A" w:rsidP="002B56CC">
            <w:pPr>
              <w:autoSpaceDE w:val="0"/>
              <w:autoSpaceDN w:val="0"/>
              <w:adjustRightInd w:val="0"/>
              <w:rPr>
                <w:rFonts w:ascii="Sylfaen" w:hAnsi="Sylfaen" w:cs="Arial"/>
                <w:sz w:val="18"/>
                <w:szCs w:val="18"/>
                <w:lang w:val="nb-NO"/>
              </w:rPr>
            </w:pPr>
            <w:r w:rsidRPr="001F2C5A">
              <w:rPr>
                <w:rFonts w:ascii="Sylfaen" w:hAnsi="Sylfaen" w:cs="Arial"/>
                <w:sz w:val="18"/>
                <w:szCs w:val="18"/>
                <w:lang w:val="nb-NO"/>
              </w:rPr>
              <w:t>ნაგავი მოძრავი მანქანების გამო დროულად უნდა იქნეს შეგროვებული და გადაყრილი;</w:t>
            </w:r>
          </w:p>
          <w:p w14:paraId="3AFE8C61" w14:textId="77777777" w:rsidR="0071033A" w:rsidRPr="001F2C5A" w:rsidRDefault="0071033A" w:rsidP="002B56CC">
            <w:pPr>
              <w:autoSpaceDE w:val="0"/>
              <w:autoSpaceDN w:val="0"/>
              <w:adjustRightInd w:val="0"/>
              <w:rPr>
                <w:rFonts w:ascii="Sylfaen" w:hAnsi="Sylfaen" w:cs="Arial"/>
                <w:sz w:val="18"/>
                <w:szCs w:val="18"/>
                <w:lang w:val="en-US"/>
              </w:rPr>
            </w:pPr>
            <w:r w:rsidRPr="001F2C5A">
              <w:rPr>
                <w:rFonts w:ascii="Sylfaen" w:hAnsi="Sylfaen" w:cs="Segoe UI"/>
                <w:color w:val="000000"/>
                <w:sz w:val="18"/>
                <w:szCs w:val="18"/>
                <w:shd w:val="clear" w:color="auto" w:fill="FFFFFF"/>
                <w:lang w:val="ka-GE"/>
              </w:rPr>
              <w:t>მოძრავი საშუალებებით</w:t>
            </w:r>
            <w:r w:rsidRPr="001F2C5A">
              <w:rPr>
                <w:rFonts w:ascii="Sylfaen" w:hAnsi="Sylfaen" w:cs="Segoe UI"/>
                <w:color w:val="000000"/>
                <w:sz w:val="18"/>
                <w:szCs w:val="18"/>
                <w:shd w:val="clear" w:color="auto" w:fill="FFFFFF"/>
              </w:rPr>
              <w:t xml:space="preserve"> გაჭყლეტილი ცხოველების სხეულების დროული აღება და გატანა.</w:t>
            </w:r>
          </w:p>
        </w:tc>
        <w:tc>
          <w:tcPr>
            <w:tcW w:w="838" w:type="pct"/>
          </w:tcPr>
          <w:p w14:paraId="525C400D" w14:textId="77777777" w:rsidR="0071033A" w:rsidRPr="001F2C5A" w:rsidRDefault="0071033A" w:rsidP="002B56CC">
            <w:pPr>
              <w:rPr>
                <w:rFonts w:ascii="Sylfaen" w:hAnsi="Sylfaen" w:cs="Arial"/>
                <w:sz w:val="18"/>
                <w:szCs w:val="18"/>
                <w:lang w:val="nb-NO"/>
              </w:rPr>
            </w:pPr>
            <w:r w:rsidRPr="001F2C5A">
              <w:rPr>
                <w:rFonts w:ascii="Sylfaen" w:hAnsi="Sylfaen" w:cs="Arial"/>
                <w:sz w:val="18"/>
                <w:szCs w:val="18"/>
                <w:lang w:val="nb-NO"/>
              </w:rPr>
              <w:t>გზის მონაკვეთი და სავალი ნაწილი</w:t>
            </w:r>
          </w:p>
        </w:tc>
        <w:tc>
          <w:tcPr>
            <w:tcW w:w="698" w:type="pct"/>
          </w:tcPr>
          <w:p w14:paraId="38121242" w14:textId="77777777" w:rsidR="0071033A" w:rsidRPr="001F2C5A" w:rsidRDefault="0071033A" w:rsidP="002B56CC">
            <w:pPr>
              <w:ind w:left="-18"/>
              <w:rPr>
                <w:rFonts w:ascii="Sylfaen" w:hAnsi="Sylfaen" w:cs="Arial"/>
                <w:sz w:val="18"/>
                <w:szCs w:val="18"/>
                <w:lang w:val="ka-GE"/>
              </w:rPr>
            </w:pPr>
            <w:r w:rsidRPr="001F2C5A">
              <w:rPr>
                <w:rFonts w:ascii="Sylfaen" w:hAnsi="Sylfaen" w:cs="Arial"/>
                <w:sz w:val="18"/>
                <w:szCs w:val="18"/>
                <w:lang w:val="ka-GE"/>
              </w:rPr>
              <w:t>ინსპექტირება</w:t>
            </w:r>
          </w:p>
        </w:tc>
        <w:tc>
          <w:tcPr>
            <w:tcW w:w="783" w:type="pct"/>
          </w:tcPr>
          <w:p w14:paraId="28533828" w14:textId="77777777" w:rsidR="0071033A" w:rsidRPr="001F2C5A" w:rsidRDefault="0071033A" w:rsidP="002B56CC">
            <w:pPr>
              <w:rPr>
                <w:rFonts w:ascii="Sylfaen" w:hAnsi="Sylfaen" w:cs="Arial"/>
                <w:sz w:val="18"/>
                <w:szCs w:val="18"/>
                <w:lang w:val="nb-NO"/>
              </w:rPr>
            </w:pPr>
            <w:r w:rsidRPr="001F2C5A">
              <w:rPr>
                <w:rFonts w:ascii="Sylfaen" w:hAnsi="Sylfaen" w:cs="Arial"/>
                <w:sz w:val="18"/>
                <w:szCs w:val="18"/>
                <w:lang w:val="nb-NO"/>
              </w:rPr>
              <w:t>კვარტალში ერთხელ</w:t>
            </w:r>
          </w:p>
        </w:tc>
        <w:tc>
          <w:tcPr>
            <w:tcW w:w="783" w:type="pct"/>
          </w:tcPr>
          <w:p w14:paraId="1B9E29A1" w14:textId="77777777" w:rsidR="0071033A" w:rsidRPr="001F2C5A" w:rsidRDefault="0071033A" w:rsidP="002B56CC">
            <w:pPr>
              <w:rPr>
                <w:rFonts w:ascii="Sylfaen" w:hAnsi="Sylfaen" w:cs="Arial"/>
                <w:sz w:val="18"/>
                <w:szCs w:val="18"/>
                <w:lang w:val="de-DE"/>
              </w:rPr>
            </w:pPr>
            <w:r w:rsidRPr="001F2C5A">
              <w:rPr>
                <w:rFonts w:ascii="Sylfaen" w:hAnsi="Sylfaen" w:cs="Arial"/>
                <w:sz w:val="18"/>
                <w:szCs w:val="18"/>
                <w:lang w:val="de-DE"/>
              </w:rPr>
              <w:t>გზის დანაგვიანების აკრძალვა;</w:t>
            </w:r>
          </w:p>
          <w:p w14:paraId="1DAFC9D3" w14:textId="77777777" w:rsidR="0071033A" w:rsidRPr="001F2C5A" w:rsidRDefault="0071033A" w:rsidP="002B56CC">
            <w:pPr>
              <w:rPr>
                <w:rFonts w:ascii="Sylfaen" w:hAnsi="Sylfaen" w:cs="Arial"/>
                <w:sz w:val="18"/>
                <w:szCs w:val="18"/>
                <w:lang w:val="de-DE"/>
              </w:rPr>
            </w:pPr>
          </w:p>
          <w:p w14:paraId="7BDE704D" w14:textId="77777777" w:rsidR="0071033A" w:rsidRPr="001F2C5A" w:rsidRDefault="0071033A" w:rsidP="002B56CC">
            <w:pPr>
              <w:rPr>
                <w:rFonts w:ascii="Sylfaen" w:hAnsi="Sylfaen" w:cs="Arial"/>
                <w:sz w:val="18"/>
                <w:szCs w:val="18"/>
                <w:lang w:val="de-DE"/>
              </w:rPr>
            </w:pPr>
            <w:r w:rsidRPr="001F2C5A">
              <w:rPr>
                <w:rFonts w:ascii="Sylfaen" w:hAnsi="Sylfaen" w:cs="Arial"/>
                <w:sz w:val="18"/>
                <w:szCs w:val="18"/>
                <w:lang w:val="de-DE"/>
              </w:rPr>
              <w:t>საგზაო უსაფრთხოება</w:t>
            </w:r>
          </w:p>
        </w:tc>
        <w:tc>
          <w:tcPr>
            <w:tcW w:w="532" w:type="pct"/>
          </w:tcPr>
          <w:p w14:paraId="1F873335" w14:textId="6B21892B" w:rsidR="0071033A" w:rsidRPr="001F2C5A" w:rsidRDefault="001F2C5A" w:rsidP="002B56CC">
            <w:pPr>
              <w:rPr>
                <w:rFonts w:ascii="Sylfaen" w:hAnsi="Sylfaen" w:cs="Arial"/>
                <w:sz w:val="18"/>
                <w:szCs w:val="18"/>
                <w:lang w:val="nb-NO"/>
              </w:rPr>
            </w:pPr>
            <w:r>
              <w:rPr>
                <w:rFonts w:ascii="Sylfaen" w:hAnsi="Sylfaen" w:cs="Arial"/>
                <w:sz w:val="18"/>
                <w:szCs w:val="18"/>
                <w:lang w:val="ka-GE"/>
              </w:rPr>
              <w:t xml:space="preserve">საავტომობილო გზების დეპარტამენტი </w:t>
            </w:r>
            <w:r w:rsidR="0071033A" w:rsidRPr="001F2C5A">
              <w:rPr>
                <w:rFonts w:ascii="Sylfaen" w:hAnsi="Sylfaen" w:cs="Arial"/>
                <w:sz w:val="18"/>
                <w:szCs w:val="18"/>
                <w:lang w:val="nb-NO"/>
              </w:rPr>
              <w:t>ადგილობრივი მუნიციპალიტეტი</w:t>
            </w:r>
          </w:p>
        </w:tc>
      </w:tr>
      <w:tr w:rsidR="0071033A" w:rsidRPr="001F2C5A" w14:paraId="318C483C" w14:textId="77777777" w:rsidTr="0071033A">
        <w:trPr>
          <w:trHeight w:val="1143"/>
        </w:trPr>
        <w:tc>
          <w:tcPr>
            <w:tcW w:w="618" w:type="pct"/>
          </w:tcPr>
          <w:p w14:paraId="25F8BB1E" w14:textId="77777777" w:rsidR="0071033A" w:rsidRPr="001F2C5A" w:rsidRDefault="0071033A" w:rsidP="002B56CC">
            <w:pPr>
              <w:autoSpaceDE w:val="0"/>
              <w:autoSpaceDN w:val="0"/>
              <w:adjustRightInd w:val="0"/>
              <w:rPr>
                <w:rFonts w:ascii="Sylfaen" w:hAnsi="Sylfaen" w:cs="Arial"/>
                <w:sz w:val="18"/>
                <w:szCs w:val="18"/>
                <w:lang w:val="nb-NO"/>
              </w:rPr>
            </w:pPr>
            <w:r w:rsidRPr="001F2C5A">
              <w:rPr>
                <w:rFonts w:ascii="Sylfaen" w:hAnsi="Sylfaen" w:cs="Arial"/>
                <w:sz w:val="18"/>
                <w:szCs w:val="18"/>
                <w:lang w:val="nb-NO"/>
              </w:rPr>
              <w:t>გზის სადრენაჟო სისტემის ფუნქციონირება</w:t>
            </w:r>
          </w:p>
        </w:tc>
        <w:tc>
          <w:tcPr>
            <w:tcW w:w="748" w:type="pct"/>
          </w:tcPr>
          <w:p w14:paraId="522F3767" w14:textId="77777777" w:rsidR="0071033A" w:rsidRPr="001F2C5A" w:rsidRDefault="0071033A" w:rsidP="002B56CC">
            <w:pPr>
              <w:autoSpaceDE w:val="0"/>
              <w:autoSpaceDN w:val="0"/>
              <w:adjustRightInd w:val="0"/>
              <w:rPr>
                <w:rFonts w:ascii="Sylfaen" w:hAnsi="Sylfaen" w:cs="Arial"/>
                <w:sz w:val="18"/>
                <w:szCs w:val="18"/>
                <w:lang w:val="nb-NO"/>
              </w:rPr>
            </w:pPr>
            <w:r w:rsidRPr="001F2C5A">
              <w:rPr>
                <w:rFonts w:ascii="Sylfaen" w:hAnsi="Sylfaen" w:cs="Arial"/>
                <w:sz w:val="18"/>
                <w:szCs w:val="18"/>
                <w:lang w:val="nb-NO"/>
              </w:rPr>
              <w:t>სადრენაჟე არხების პერიოდული გაწმენდა შლამისა და ნაგვისგან</w:t>
            </w:r>
          </w:p>
        </w:tc>
        <w:tc>
          <w:tcPr>
            <w:tcW w:w="838" w:type="pct"/>
          </w:tcPr>
          <w:p w14:paraId="786D4B86" w14:textId="77777777" w:rsidR="0071033A" w:rsidRPr="001F2C5A" w:rsidRDefault="0071033A" w:rsidP="002B56CC">
            <w:pPr>
              <w:rPr>
                <w:rFonts w:ascii="Sylfaen" w:hAnsi="Sylfaen" w:cs="Arial"/>
                <w:sz w:val="18"/>
                <w:szCs w:val="18"/>
                <w:lang w:val="nb-NO"/>
              </w:rPr>
            </w:pPr>
            <w:r w:rsidRPr="001F2C5A">
              <w:rPr>
                <w:rFonts w:ascii="Sylfaen" w:hAnsi="Sylfaen" w:cs="Arial"/>
                <w:sz w:val="18"/>
                <w:szCs w:val="18"/>
              </w:rPr>
              <w:t>სადრენაჟო სისტემა გზის მონაკვეთის გასწვრივ</w:t>
            </w:r>
          </w:p>
        </w:tc>
        <w:tc>
          <w:tcPr>
            <w:tcW w:w="698" w:type="pct"/>
          </w:tcPr>
          <w:p w14:paraId="13F73D1B" w14:textId="77777777" w:rsidR="0071033A" w:rsidRPr="001F2C5A" w:rsidRDefault="0071033A" w:rsidP="002B56CC">
            <w:pPr>
              <w:ind w:left="-18"/>
              <w:rPr>
                <w:rFonts w:ascii="Sylfaen" w:hAnsi="Sylfaen" w:cs="Arial"/>
                <w:sz w:val="18"/>
                <w:szCs w:val="18"/>
                <w:lang w:val="nb-NO"/>
              </w:rPr>
            </w:pPr>
            <w:r w:rsidRPr="001F2C5A">
              <w:rPr>
                <w:rFonts w:ascii="Sylfaen" w:hAnsi="Sylfaen" w:cs="Arial"/>
                <w:sz w:val="18"/>
                <w:szCs w:val="18"/>
                <w:lang w:val="ka-GE"/>
              </w:rPr>
              <w:t>ინსპექტირება</w:t>
            </w:r>
          </w:p>
        </w:tc>
        <w:tc>
          <w:tcPr>
            <w:tcW w:w="783" w:type="pct"/>
          </w:tcPr>
          <w:p w14:paraId="0EEFFE2B" w14:textId="77777777" w:rsidR="0071033A" w:rsidRPr="001F2C5A" w:rsidRDefault="0071033A" w:rsidP="002B56CC">
            <w:pPr>
              <w:rPr>
                <w:rFonts w:ascii="Sylfaen" w:hAnsi="Sylfaen" w:cs="Arial"/>
                <w:sz w:val="18"/>
                <w:szCs w:val="18"/>
                <w:lang w:val="nb-NO"/>
              </w:rPr>
            </w:pPr>
            <w:r w:rsidRPr="001F2C5A">
              <w:rPr>
                <w:rFonts w:ascii="Sylfaen" w:hAnsi="Sylfaen" w:cs="Arial"/>
                <w:sz w:val="18"/>
                <w:szCs w:val="18"/>
                <w:lang w:val="nb-NO"/>
              </w:rPr>
              <w:t>კვარტალში ერთხელ</w:t>
            </w:r>
          </w:p>
        </w:tc>
        <w:tc>
          <w:tcPr>
            <w:tcW w:w="783" w:type="pct"/>
          </w:tcPr>
          <w:p w14:paraId="27F6646E" w14:textId="77777777" w:rsidR="0071033A" w:rsidRPr="001F2C5A" w:rsidRDefault="0071033A" w:rsidP="002B56CC">
            <w:pPr>
              <w:rPr>
                <w:rFonts w:ascii="Sylfaen" w:hAnsi="Sylfaen" w:cs="Arial"/>
                <w:sz w:val="18"/>
                <w:szCs w:val="18"/>
                <w:lang w:val="de-DE"/>
              </w:rPr>
            </w:pPr>
            <w:r w:rsidRPr="001F2C5A">
              <w:rPr>
                <w:rFonts w:ascii="Sylfaen" w:hAnsi="Sylfaen" w:cs="Arial"/>
                <w:sz w:val="18"/>
                <w:szCs w:val="18"/>
                <w:lang w:val="de-DE"/>
              </w:rPr>
              <w:t>გზის დატბორვისა და წყლის დაზიანების თავიდან ასაცილებლად სადრენაჟე სისტემების გამართულობის შენარჩუნება</w:t>
            </w:r>
          </w:p>
        </w:tc>
        <w:tc>
          <w:tcPr>
            <w:tcW w:w="532" w:type="pct"/>
          </w:tcPr>
          <w:p w14:paraId="32779B44" w14:textId="113A61E6" w:rsidR="0071033A" w:rsidRPr="001F2C5A" w:rsidRDefault="001F2C5A" w:rsidP="00092B73">
            <w:pPr>
              <w:rPr>
                <w:rFonts w:ascii="Sylfaen" w:hAnsi="Sylfaen" w:cs="Arial"/>
                <w:sz w:val="18"/>
                <w:szCs w:val="18"/>
                <w:lang w:val="nb-NO"/>
              </w:rPr>
            </w:pPr>
            <w:r>
              <w:rPr>
                <w:rFonts w:ascii="Sylfaen" w:hAnsi="Sylfaen" w:cs="Arial"/>
                <w:sz w:val="18"/>
                <w:szCs w:val="18"/>
                <w:lang w:val="ka-GE"/>
              </w:rPr>
              <w:t xml:space="preserve">სგდ </w:t>
            </w:r>
            <w:r w:rsidRPr="001F2C5A">
              <w:rPr>
                <w:rFonts w:ascii="Sylfaen" w:hAnsi="Sylfaen" w:cs="Arial"/>
                <w:sz w:val="18"/>
                <w:szCs w:val="18"/>
                <w:lang w:val="nb-NO"/>
              </w:rPr>
              <w:t>ადგილობრივი მუნიციპალიტეტი</w:t>
            </w:r>
          </w:p>
        </w:tc>
      </w:tr>
      <w:tr w:rsidR="0071033A" w:rsidRPr="001F2C5A" w14:paraId="43DD9409" w14:textId="77777777" w:rsidTr="0071033A">
        <w:trPr>
          <w:trHeight w:val="999"/>
        </w:trPr>
        <w:tc>
          <w:tcPr>
            <w:tcW w:w="618" w:type="pct"/>
          </w:tcPr>
          <w:p w14:paraId="6DBBF90A" w14:textId="77777777" w:rsidR="0071033A" w:rsidRPr="001F2C5A" w:rsidRDefault="0071033A" w:rsidP="002B56CC">
            <w:pPr>
              <w:rPr>
                <w:rFonts w:ascii="Sylfaen" w:hAnsi="Sylfaen" w:cs="Arial"/>
                <w:sz w:val="18"/>
                <w:szCs w:val="18"/>
                <w:lang w:val="it-IT"/>
              </w:rPr>
            </w:pPr>
            <w:r w:rsidRPr="001F2C5A">
              <w:rPr>
                <w:rFonts w:ascii="Sylfaen" w:hAnsi="Sylfaen" w:cs="Arial"/>
                <w:sz w:val="18"/>
                <w:szCs w:val="18"/>
                <w:lang w:val="ka-GE"/>
              </w:rPr>
              <w:t>შემთხვევითი დაღვრის პრევენცია და დასუფთავება</w:t>
            </w:r>
          </w:p>
        </w:tc>
        <w:tc>
          <w:tcPr>
            <w:tcW w:w="748" w:type="pct"/>
          </w:tcPr>
          <w:p w14:paraId="5F4DED44" w14:textId="77777777" w:rsidR="0071033A" w:rsidRPr="001F2C5A" w:rsidRDefault="0071033A" w:rsidP="002B56CC">
            <w:pPr>
              <w:rPr>
                <w:rFonts w:ascii="Sylfaen" w:hAnsi="Sylfaen" w:cs="Arial"/>
                <w:sz w:val="18"/>
                <w:szCs w:val="18"/>
                <w:lang w:val="it-IT"/>
              </w:rPr>
            </w:pPr>
            <w:r w:rsidRPr="001F2C5A">
              <w:rPr>
                <w:rFonts w:ascii="Sylfaen" w:hAnsi="Sylfaen" w:cs="Arial"/>
                <w:sz w:val="18"/>
                <w:szCs w:val="18"/>
                <w:lang w:val="it-IT"/>
              </w:rPr>
              <w:t>ავტოსაგზაო შემთხვევების დროს ტვირთის სითხის ან ფხვნილის დაღვრის დროული შეკავება, დეზაქტივაცია და მოშორება</w:t>
            </w:r>
          </w:p>
        </w:tc>
        <w:tc>
          <w:tcPr>
            <w:tcW w:w="838" w:type="pct"/>
          </w:tcPr>
          <w:p w14:paraId="4B9434A0" w14:textId="77777777" w:rsidR="0071033A" w:rsidRPr="001F2C5A" w:rsidRDefault="0071033A" w:rsidP="002B56CC">
            <w:pPr>
              <w:rPr>
                <w:rFonts w:ascii="Sylfaen" w:hAnsi="Sylfaen" w:cs="Arial"/>
                <w:sz w:val="18"/>
                <w:szCs w:val="18"/>
                <w:lang w:val="it-IT"/>
              </w:rPr>
            </w:pPr>
            <w:r w:rsidRPr="001F2C5A">
              <w:rPr>
                <w:rFonts w:ascii="Sylfaen" w:hAnsi="Sylfaen" w:cs="Arial"/>
                <w:sz w:val="18"/>
                <w:szCs w:val="18"/>
                <w:lang w:val="it-IT"/>
              </w:rPr>
              <w:t>გზაზე და მის შემოგარენში</w:t>
            </w:r>
          </w:p>
        </w:tc>
        <w:tc>
          <w:tcPr>
            <w:tcW w:w="698" w:type="pct"/>
          </w:tcPr>
          <w:p w14:paraId="0FB3BFAF" w14:textId="77777777" w:rsidR="0071033A" w:rsidRPr="001F2C5A" w:rsidRDefault="0071033A" w:rsidP="002B56CC">
            <w:pPr>
              <w:ind w:left="-18"/>
              <w:rPr>
                <w:rFonts w:ascii="Sylfaen" w:hAnsi="Sylfaen" w:cs="Arial"/>
                <w:sz w:val="18"/>
                <w:szCs w:val="18"/>
                <w:lang w:val="it-IT"/>
              </w:rPr>
            </w:pPr>
            <w:r w:rsidRPr="001F2C5A">
              <w:rPr>
                <w:rFonts w:ascii="Sylfaen" w:hAnsi="Sylfaen" w:cs="Arial"/>
                <w:sz w:val="18"/>
                <w:szCs w:val="18"/>
                <w:lang w:val="ka-GE"/>
              </w:rPr>
              <w:t>ინსპექტირება</w:t>
            </w:r>
          </w:p>
        </w:tc>
        <w:tc>
          <w:tcPr>
            <w:tcW w:w="783" w:type="pct"/>
          </w:tcPr>
          <w:p w14:paraId="7DCD6314" w14:textId="77777777" w:rsidR="0071033A" w:rsidRPr="001F2C5A" w:rsidRDefault="0071033A" w:rsidP="002B56CC">
            <w:pPr>
              <w:rPr>
                <w:rFonts w:ascii="Sylfaen" w:hAnsi="Sylfaen" w:cs="Arial"/>
                <w:sz w:val="18"/>
                <w:szCs w:val="18"/>
                <w:lang w:val="nb-NO"/>
              </w:rPr>
            </w:pPr>
            <w:r w:rsidRPr="001F2C5A">
              <w:rPr>
                <w:rFonts w:ascii="Sylfaen" w:hAnsi="Sylfaen" w:cs="Arial"/>
                <w:sz w:val="18"/>
                <w:szCs w:val="18"/>
                <w:lang w:val="ka-GE"/>
              </w:rPr>
              <w:t>უბედური</w:t>
            </w:r>
            <w:r w:rsidRPr="001F2C5A">
              <w:rPr>
                <w:rFonts w:ascii="Sylfaen" w:hAnsi="Sylfaen" w:cs="Arial"/>
                <w:sz w:val="18"/>
                <w:szCs w:val="18"/>
                <w:lang w:val="nb-NO"/>
              </w:rPr>
              <w:t xml:space="preserve"> შემთხვევის შემდეგ, საჭიროების შემთხვევაში</w:t>
            </w:r>
          </w:p>
        </w:tc>
        <w:tc>
          <w:tcPr>
            <w:tcW w:w="783" w:type="pct"/>
          </w:tcPr>
          <w:p w14:paraId="4B5EF38C" w14:textId="77777777" w:rsidR="0071033A" w:rsidRPr="001F2C5A" w:rsidRDefault="0071033A" w:rsidP="002B56CC">
            <w:pPr>
              <w:rPr>
                <w:rFonts w:ascii="Sylfaen" w:hAnsi="Sylfaen" w:cs="Arial"/>
                <w:sz w:val="18"/>
                <w:szCs w:val="18"/>
                <w:lang w:val="nb-NO"/>
              </w:rPr>
            </w:pPr>
            <w:r w:rsidRPr="001F2C5A">
              <w:rPr>
                <w:rFonts w:ascii="Sylfaen" w:hAnsi="Sylfaen" w:cs="Arial"/>
                <w:sz w:val="18"/>
                <w:szCs w:val="18"/>
                <w:lang w:val="nb-NO"/>
              </w:rPr>
              <w:t>ნიადაგისა და წყლის დაბინძურების პრევენცია</w:t>
            </w:r>
          </w:p>
        </w:tc>
        <w:tc>
          <w:tcPr>
            <w:tcW w:w="532" w:type="pct"/>
          </w:tcPr>
          <w:p w14:paraId="0E28875C" w14:textId="244F5ABE" w:rsidR="0071033A" w:rsidRPr="001F2C5A" w:rsidRDefault="00092B73" w:rsidP="002B56CC">
            <w:pPr>
              <w:rPr>
                <w:rFonts w:ascii="Sylfaen" w:hAnsi="Sylfaen" w:cs="Arial"/>
                <w:sz w:val="18"/>
                <w:szCs w:val="18"/>
                <w:lang w:val="nb-NO"/>
              </w:rPr>
            </w:pPr>
            <w:r>
              <w:rPr>
                <w:rFonts w:ascii="Sylfaen" w:hAnsi="Sylfaen" w:cs="Arial"/>
                <w:sz w:val="18"/>
                <w:szCs w:val="18"/>
                <w:lang w:val="ka-GE"/>
              </w:rPr>
              <w:t xml:space="preserve">სგდ </w:t>
            </w:r>
            <w:r w:rsidR="001F2C5A" w:rsidRPr="001F2C5A">
              <w:rPr>
                <w:rFonts w:ascii="Sylfaen" w:hAnsi="Sylfaen" w:cs="Arial"/>
                <w:sz w:val="18"/>
                <w:szCs w:val="18"/>
                <w:lang w:val="nb-NO"/>
              </w:rPr>
              <w:t>ადგილობრივი მუნიციპალიტეტი</w:t>
            </w:r>
          </w:p>
        </w:tc>
      </w:tr>
      <w:tr w:rsidR="0071033A" w:rsidRPr="001F2C5A" w14:paraId="0AC99732" w14:textId="77777777" w:rsidTr="001F2C5A">
        <w:trPr>
          <w:trHeight w:val="1289"/>
        </w:trPr>
        <w:tc>
          <w:tcPr>
            <w:tcW w:w="618" w:type="pct"/>
          </w:tcPr>
          <w:p w14:paraId="2684FF47" w14:textId="77777777" w:rsidR="0071033A" w:rsidRPr="001F2C5A" w:rsidRDefault="0071033A" w:rsidP="002B56CC">
            <w:pPr>
              <w:rPr>
                <w:rFonts w:ascii="Sylfaen" w:hAnsi="Sylfaen" w:cs="Arial"/>
                <w:sz w:val="18"/>
                <w:szCs w:val="18"/>
                <w:lang w:val="nb-NO"/>
              </w:rPr>
            </w:pPr>
            <w:r w:rsidRPr="001F2C5A">
              <w:rPr>
                <w:rFonts w:ascii="Sylfaen" w:hAnsi="Sylfaen" w:cs="Arial"/>
                <w:sz w:val="18"/>
                <w:szCs w:val="18"/>
                <w:lang w:val="nb-NO"/>
              </w:rPr>
              <w:t>გზის სარემონტო სამუშაოებისგან ნარჩენების რეგულარული გაწმენდა</w:t>
            </w:r>
          </w:p>
        </w:tc>
        <w:tc>
          <w:tcPr>
            <w:tcW w:w="748" w:type="pct"/>
          </w:tcPr>
          <w:p w14:paraId="574210BF" w14:textId="77777777" w:rsidR="0071033A" w:rsidRPr="001F2C5A" w:rsidRDefault="0071033A" w:rsidP="002B56CC">
            <w:pPr>
              <w:ind w:left="-19"/>
              <w:rPr>
                <w:rFonts w:ascii="Sylfaen" w:hAnsi="Sylfaen" w:cs="Arial"/>
                <w:sz w:val="18"/>
                <w:szCs w:val="18"/>
                <w:lang w:val="it-IT"/>
              </w:rPr>
            </w:pPr>
            <w:r w:rsidRPr="001F2C5A">
              <w:rPr>
                <w:rFonts w:ascii="Sylfaen" w:hAnsi="Sylfaen" w:cs="Arial"/>
                <w:sz w:val="18"/>
                <w:szCs w:val="18"/>
                <w:lang w:val="it-IT"/>
              </w:rPr>
              <w:t>სარემონტო სამუშაოებისგან ნარჩენების შეგროვება და დროული გადაგდება განსაზღვრულ ნაგავსაყრელზე</w:t>
            </w:r>
          </w:p>
        </w:tc>
        <w:tc>
          <w:tcPr>
            <w:tcW w:w="838" w:type="pct"/>
          </w:tcPr>
          <w:p w14:paraId="1C8953F1" w14:textId="77777777" w:rsidR="0071033A" w:rsidRPr="001F2C5A" w:rsidRDefault="0071033A" w:rsidP="002B56CC">
            <w:pPr>
              <w:rPr>
                <w:rFonts w:ascii="Sylfaen" w:hAnsi="Sylfaen" w:cs="Arial"/>
                <w:sz w:val="18"/>
                <w:szCs w:val="18"/>
                <w:lang w:val="it-IT"/>
              </w:rPr>
            </w:pPr>
            <w:r w:rsidRPr="001F2C5A">
              <w:rPr>
                <w:rFonts w:ascii="Sylfaen" w:hAnsi="Sylfaen" w:cs="Arial"/>
                <w:sz w:val="18"/>
                <w:szCs w:val="18"/>
                <w:lang w:val="it-IT"/>
              </w:rPr>
              <w:t>გზაზე და მის შემოგარენში</w:t>
            </w:r>
          </w:p>
        </w:tc>
        <w:tc>
          <w:tcPr>
            <w:tcW w:w="698" w:type="pct"/>
          </w:tcPr>
          <w:p w14:paraId="5B66153F" w14:textId="77777777" w:rsidR="0071033A" w:rsidRPr="001F2C5A" w:rsidRDefault="0071033A" w:rsidP="002B56CC">
            <w:pPr>
              <w:ind w:left="-18"/>
              <w:rPr>
                <w:rFonts w:ascii="Sylfaen" w:hAnsi="Sylfaen" w:cs="Arial"/>
                <w:sz w:val="18"/>
                <w:szCs w:val="18"/>
                <w:lang w:val="it-IT"/>
              </w:rPr>
            </w:pPr>
            <w:r w:rsidRPr="001F2C5A">
              <w:rPr>
                <w:rFonts w:ascii="Sylfaen" w:hAnsi="Sylfaen" w:cs="Arial"/>
                <w:sz w:val="18"/>
                <w:szCs w:val="18"/>
                <w:lang w:val="ka-GE"/>
              </w:rPr>
              <w:t>ინსპექტირება</w:t>
            </w:r>
          </w:p>
        </w:tc>
        <w:tc>
          <w:tcPr>
            <w:tcW w:w="783" w:type="pct"/>
          </w:tcPr>
          <w:p w14:paraId="764A03C6" w14:textId="77777777" w:rsidR="0071033A" w:rsidRPr="001F2C5A" w:rsidRDefault="0071033A" w:rsidP="002B56CC">
            <w:pPr>
              <w:rPr>
                <w:rFonts w:ascii="Sylfaen" w:hAnsi="Sylfaen" w:cs="Arial"/>
                <w:sz w:val="18"/>
                <w:szCs w:val="18"/>
                <w:lang w:val="nb-NO"/>
              </w:rPr>
            </w:pPr>
            <w:r w:rsidRPr="001F2C5A">
              <w:rPr>
                <w:rFonts w:ascii="Sylfaen" w:hAnsi="Sylfaen" w:cs="Arial"/>
                <w:sz w:val="18"/>
                <w:szCs w:val="18"/>
                <w:lang w:val="nb-NO"/>
              </w:rPr>
              <w:t>დაგეგმილი სარემონტო სამუშაოების დასრულების მიზნით</w:t>
            </w:r>
          </w:p>
        </w:tc>
        <w:tc>
          <w:tcPr>
            <w:tcW w:w="783" w:type="pct"/>
          </w:tcPr>
          <w:p w14:paraId="107FC6BB" w14:textId="77777777" w:rsidR="0071033A" w:rsidRPr="001F2C5A" w:rsidRDefault="0071033A" w:rsidP="002B56CC">
            <w:pPr>
              <w:rPr>
                <w:rFonts w:ascii="Sylfaen" w:hAnsi="Sylfaen" w:cs="Arial"/>
                <w:sz w:val="18"/>
                <w:szCs w:val="18"/>
                <w:lang w:val="nb-NO"/>
              </w:rPr>
            </w:pPr>
            <w:r w:rsidRPr="001F2C5A">
              <w:rPr>
                <w:rFonts w:ascii="Sylfaen" w:hAnsi="Sylfaen" w:cs="Arial"/>
                <w:sz w:val="18"/>
                <w:szCs w:val="18"/>
                <w:lang w:val="nb-NO"/>
              </w:rPr>
              <w:t>გარემოს დაბინძურების პრევენცია</w:t>
            </w:r>
          </w:p>
        </w:tc>
        <w:tc>
          <w:tcPr>
            <w:tcW w:w="532" w:type="pct"/>
          </w:tcPr>
          <w:p w14:paraId="10F7BAE5" w14:textId="732629ED" w:rsidR="0071033A" w:rsidRPr="001F2C5A" w:rsidRDefault="00092B73" w:rsidP="002B56CC">
            <w:pPr>
              <w:rPr>
                <w:rFonts w:ascii="Sylfaen" w:hAnsi="Sylfaen" w:cs="Arial"/>
                <w:sz w:val="18"/>
                <w:szCs w:val="18"/>
                <w:lang w:val="nb-NO"/>
              </w:rPr>
            </w:pPr>
            <w:r>
              <w:rPr>
                <w:rFonts w:ascii="Sylfaen" w:hAnsi="Sylfaen" w:cs="Arial"/>
                <w:sz w:val="18"/>
                <w:szCs w:val="18"/>
                <w:lang w:val="ka-GE"/>
              </w:rPr>
              <w:t xml:space="preserve">სგდ </w:t>
            </w:r>
            <w:r w:rsidR="001F2C5A" w:rsidRPr="001F2C5A">
              <w:rPr>
                <w:rFonts w:ascii="Sylfaen" w:hAnsi="Sylfaen" w:cs="Arial"/>
                <w:sz w:val="18"/>
                <w:szCs w:val="18"/>
                <w:lang w:val="nb-NO"/>
              </w:rPr>
              <w:t>ადგილობრივი მუნიციპალიტეტი</w:t>
            </w:r>
          </w:p>
        </w:tc>
      </w:tr>
    </w:tbl>
    <w:p w14:paraId="72BA0EE3" w14:textId="77777777" w:rsidR="00362D70" w:rsidRPr="002B616A" w:rsidRDefault="002A3C26" w:rsidP="002B56CC">
      <w:pPr>
        <w:spacing w:before="200" w:after="200"/>
        <w:jc w:val="center"/>
        <w:rPr>
          <w:rFonts w:ascii="Sylfaen" w:hAnsi="Sylfaen"/>
        </w:rPr>
      </w:pPr>
      <w:r w:rsidRPr="002B616A">
        <w:rPr>
          <w:rFonts w:ascii="Sylfaen" w:hAnsi="Sylfaen"/>
          <w:sz w:val="18"/>
          <w:szCs w:val="18"/>
        </w:rPr>
        <w:br w:type="page"/>
      </w:r>
    </w:p>
    <w:p w14:paraId="66D9FD5E" w14:textId="77777777" w:rsidR="00362D70" w:rsidRPr="002B616A" w:rsidRDefault="00362D70" w:rsidP="002B56CC">
      <w:pPr>
        <w:spacing w:before="200" w:after="200"/>
        <w:jc w:val="center"/>
        <w:rPr>
          <w:rFonts w:ascii="Sylfaen" w:hAnsi="Sylfaen"/>
        </w:rPr>
        <w:sectPr w:rsidR="00362D70" w:rsidRPr="002B616A" w:rsidSect="003969E6">
          <w:headerReference w:type="default" r:id="rId196"/>
          <w:pgSz w:w="16840" w:h="11907" w:orient="landscape"/>
          <w:pgMar w:top="1140" w:right="1140" w:bottom="1080" w:left="1140" w:header="720" w:footer="720" w:gutter="0"/>
          <w:cols w:space="720"/>
          <w:titlePg/>
          <w:docGrid w:linePitch="360"/>
        </w:sectPr>
      </w:pPr>
    </w:p>
    <w:bookmarkEnd w:id="529"/>
    <w:bookmarkEnd w:id="530"/>
    <w:p w14:paraId="53D9F65C" w14:textId="77777777" w:rsidR="00362D70" w:rsidRPr="002B616A" w:rsidRDefault="00362D70" w:rsidP="002B56CC">
      <w:pPr>
        <w:rPr>
          <w:rFonts w:ascii="Sylfaen" w:hAnsi="Sylfaen"/>
          <w:sz w:val="24"/>
        </w:rPr>
      </w:pPr>
    </w:p>
    <w:p w14:paraId="6BCD00E2" w14:textId="77777777" w:rsidR="008134CC" w:rsidRPr="00430D2A" w:rsidRDefault="00430D2A" w:rsidP="00430D2A">
      <w:pPr>
        <w:pStyle w:val="EIAH1"/>
        <w:numPr>
          <w:ilvl w:val="0"/>
          <w:numId w:val="0"/>
        </w:numPr>
        <w:ind w:left="720" w:hanging="720"/>
        <w:rPr>
          <w:sz w:val="28"/>
        </w:rPr>
      </w:pPr>
      <w:bookmarkStart w:id="531" w:name="_Toc471745478"/>
      <w:bookmarkStart w:id="532" w:name="_Toc471745823"/>
      <w:bookmarkStart w:id="533" w:name="_Toc473478816"/>
      <w:bookmarkStart w:id="534" w:name="_Toc496611120"/>
      <w:bookmarkStart w:id="535" w:name="_Toc1581592"/>
      <w:r w:rsidRPr="00430D2A">
        <w:rPr>
          <w:sz w:val="28"/>
          <w:lang w:val="ka-GE"/>
        </w:rPr>
        <w:t xml:space="preserve">10. </w:t>
      </w:r>
      <w:r w:rsidR="00030933" w:rsidRPr="00430D2A">
        <w:rPr>
          <w:sz w:val="28"/>
        </w:rPr>
        <w:t>საზოგადოებრივი კონსულტაცია და</w:t>
      </w:r>
      <w:r w:rsidR="008134CC" w:rsidRPr="00430D2A">
        <w:rPr>
          <w:sz w:val="28"/>
        </w:rPr>
        <w:t xml:space="preserve"> </w:t>
      </w:r>
      <w:bookmarkEnd w:id="531"/>
      <w:bookmarkEnd w:id="532"/>
      <w:bookmarkEnd w:id="533"/>
      <w:bookmarkEnd w:id="534"/>
      <w:r w:rsidR="00030933" w:rsidRPr="00430D2A">
        <w:rPr>
          <w:sz w:val="28"/>
        </w:rPr>
        <w:t>საჩივრების განხილვის მექანიზმები</w:t>
      </w:r>
      <w:bookmarkEnd w:id="535"/>
    </w:p>
    <w:p w14:paraId="32A7D9A9" w14:textId="77777777" w:rsidR="00362D70" w:rsidRPr="00430D2A" w:rsidRDefault="00362D70" w:rsidP="00430D2A">
      <w:pPr>
        <w:pStyle w:val="EIAheading2"/>
        <w:rPr>
          <w:b w:val="0"/>
          <w:lang w:val="ka-GE"/>
        </w:rPr>
      </w:pPr>
      <w:bookmarkStart w:id="536" w:name="_Toc473553974"/>
      <w:bookmarkStart w:id="537" w:name="_Toc1581593"/>
      <w:r w:rsidRPr="00430D2A">
        <w:rPr>
          <w:b w:val="0"/>
        </w:rPr>
        <w:t xml:space="preserve">10.1 </w:t>
      </w:r>
      <w:bookmarkEnd w:id="536"/>
      <w:r w:rsidR="00030933" w:rsidRPr="00430D2A">
        <w:rPr>
          <w:rFonts w:ascii="Sylfaen" w:hAnsi="Sylfaen" w:cs="Sylfaen"/>
          <w:b w:val="0"/>
          <w:lang w:val="ka-GE"/>
        </w:rPr>
        <w:t>საზოგადოებრივი</w:t>
      </w:r>
      <w:r w:rsidR="00030933" w:rsidRPr="00430D2A">
        <w:rPr>
          <w:b w:val="0"/>
          <w:lang w:val="ka-GE"/>
        </w:rPr>
        <w:t xml:space="preserve"> </w:t>
      </w:r>
      <w:r w:rsidR="00030933" w:rsidRPr="00430D2A">
        <w:rPr>
          <w:rFonts w:ascii="Sylfaen" w:hAnsi="Sylfaen" w:cs="Sylfaen"/>
          <w:b w:val="0"/>
          <w:lang w:val="ka-GE"/>
        </w:rPr>
        <w:t>კონსულტაციები</w:t>
      </w:r>
      <w:bookmarkEnd w:id="537"/>
    </w:p>
    <w:p w14:paraId="147EDF8F" w14:textId="77777777" w:rsidR="00CE1A11" w:rsidRPr="003D733D" w:rsidRDefault="00CE1A11" w:rsidP="00CE1A11">
      <w:pPr>
        <w:rPr>
          <w:lang w:val="ka-GE"/>
        </w:rPr>
      </w:pPr>
      <w:r w:rsidRPr="003D733D">
        <w:rPr>
          <w:rFonts w:ascii="Sylfaen" w:hAnsi="Sylfaen" w:cs="Sylfaen"/>
        </w:rPr>
        <w:t>საზოგადოებასთან</w:t>
      </w:r>
      <w:r w:rsidRPr="003D733D">
        <w:t xml:space="preserve"> </w:t>
      </w:r>
      <w:r w:rsidRPr="003D733D">
        <w:rPr>
          <w:rFonts w:ascii="Sylfaen" w:hAnsi="Sylfaen" w:cs="Sylfaen"/>
        </w:rPr>
        <w:t>კონსულტაციის</w:t>
      </w:r>
      <w:r w:rsidRPr="003D733D">
        <w:t xml:space="preserve"> </w:t>
      </w:r>
      <w:r w:rsidRPr="003D733D">
        <w:rPr>
          <w:rFonts w:ascii="Sylfaen" w:hAnsi="Sylfaen" w:cs="Sylfaen"/>
        </w:rPr>
        <w:t>პროცესი</w:t>
      </w:r>
      <w:r w:rsidRPr="003D733D">
        <w:t xml:space="preserve">, </w:t>
      </w:r>
      <w:r w:rsidRPr="003D733D">
        <w:rPr>
          <w:rFonts w:ascii="Sylfaen" w:hAnsi="Sylfaen" w:cs="Sylfaen"/>
        </w:rPr>
        <w:t>რომელიც</w:t>
      </w:r>
      <w:r w:rsidRPr="003D733D">
        <w:t xml:space="preserve"> </w:t>
      </w:r>
      <w:r w:rsidRPr="003D733D">
        <w:rPr>
          <w:rFonts w:ascii="Sylfaen" w:hAnsi="Sylfaen" w:cs="Sylfaen"/>
        </w:rPr>
        <w:t>უნდა</w:t>
      </w:r>
      <w:r w:rsidRPr="003D733D">
        <w:t xml:space="preserve"> </w:t>
      </w:r>
      <w:r w:rsidRPr="003D733D">
        <w:rPr>
          <w:rFonts w:ascii="Sylfaen" w:hAnsi="Sylfaen" w:cs="Sylfaen"/>
        </w:rPr>
        <w:t>განხორციელდეს</w:t>
      </w:r>
      <w:r w:rsidRPr="003D733D">
        <w:t xml:space="preserve"> SLRP III-</w:t>
      </w:r>
      <w:r w:rsidRPr="003D733D">
        <w:rPr>
          <w:rFonts w:ascii="Sylfaen" w:hAnsi="Sylfaen" w:cs="Sylfaen"/>
        </w:rPr>
        <w:t>ს</w:t>
      </w:r>
      <w:r w:rsidRPr="003D733D">
        <w:t xml:space="preserve"> </w:t>
      </w:r>
      <w:r w:rsidRPr="003D733D">
        <w:rPr>
          <w:rFonts w:ascii="Sylfaen" w:hAnsi="Sylfaen" w:cs="Sylfaen"/>
        </w:rPr>
        <w:t>ფარგლებში</w:t>
      </w:r>
      <w:r w:rsidRPr="003D733D">
        <w:t xml:space="preserve">, </w:t>
      </w:r>
      <w:r w:rsidRPr="003D733D">
        <w:rPr>
          <w:rFonts w:ascii="Sylfaen" w:hAnsi="Sylfaen" w:cs="Sylfaen"/>
        </w:rPr>
        <w:t>უნდა</w:t>
      </w:r>
      <w:r w:rsidRPr="003D733D">
        <w:t xml:space="preserve"> </w:t>
      </w:r>
      <w:r w:rsidRPr="003D733D">
        <w:rPr>
          <w:rFonts w:ascii="Sylfaen" w:hAnsi="Sylfaen" w:cs="Sylfaen"/>
        </w:rPr>
        <w:t>დაიწყოს</w:t>
      </w:r>
      <w:r w:rsidRPr="003D733D">
        <w:t xml:space="preserve"> </w:t>
      </w:r>
      <w:r w:rsidRPr="003D733D">
        <w:rPr>
          <w:rFonts w:ascii="Sylfaen" w:hAnsi="Sylfaen" w:cs="Sylfaen"/>
        </w:rPr>
        <w:t>კონცეპტუალური</w:t>
      </w:r>
      <w:r w:rsidRPr="003D733D">
        <w:t xml:space="preserve"> </w:t>
      </w:r>
      <w:r w:rsidRPr="003D733D">
        <w:rPr>
          <w:rFonts w:ascii="Sylfaen" w:hAnsi="Sylfaen" w:cs="Sylfaen"/>
        </w:rPr>
        <w:t>პროექტირების</w:t>
      </w:r>
      <w:r w:rsidRPr="003D733D">
        <w:t xml:space="preserve"> </w:t>
      </w:r>
      <w:r w:rsidRPr="003D733D">
        <w:rPr>
          <w:rFonts w:ascii="Sylfaen" w:hAnsi="Sylfaen" w:cs="Sylfaen"/>
        </w:rPr>
        <w:t>ადრეულ</w:t>
      </w:r>
      <w:r w:rsidRPr="003D733D">
        <w:t xml:space="preserve"> </w:t>
      </w:r>
      <w:r w:rsidRPr="003D733D">
        <w:rPr>
          <w:rFonts w:ascii="Sylfaen" w:hAnsi="Sylfaen" w:cs="Sylfaen"/>
        </w:rPr>
        <w:t>ეტაპზე</w:t>
      </w:r>
      <w:r w:rsidRPr="003D733D">
        <w:t xml:space="preserve">. </w:t>
      </w:r>
      <w:r w:rsidRPr="003D733D">
        <w:rPr>
          <w:rFonts w:ascii="Sylfaen" w:hAnsi="Sylfaen" w:cs="Sylfaen"/>
        </w:rPr>
        <w:t>მას</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რაც</w:t>
      </w:r>
      <w:r w:rsidRPr="003D733D">
        <w:t xml:space="preserve"> </w:t>
      </w:r>
      <w:r w:rsidRPr="003D733D">
        <w:rPr>
          <w:rFonts w:ascii="Sylfaen" w:hAnsi="Sylfaen" w:cs="Sylfaen"/>
        </w:rPr>
        <w:t>განხორციელდება</w:t>
      </w:r>
      <w:r w:rsidRPr="003D733D">
        <w:t xml:space="preserve"> </w:t>
      </w:r>
      <w:r w:rsidRPr="003D733D">
        <w:rPr>
          <w:rFonts w:ascii="Sylfaen" w:hAnsi="Sylfaen" w:cs="Sylfaen"/>
        </w:rPr>
        <w:t>შემოთავაზებული</w:t>
      </w:r>
      <w:r w:rsidRPr="003D733D">
        <w:t xml:space="preserve"> </w:t>
      </w:r>
      <w:r w:rsidRPr="003D733D">
        <w:rPr>
          <w:rFonts w:ascii="Sylfaen" w:hAnsi="Sylfaen" w:cs="Sylfaen"/>
        </w:rPr>
        <w:t>სამუშაოების</w:t>
      </w:r>
      <w:r w:rsidRPr="003D733D">
        <w:t xml:space="preserve"> </w:t>
      </w:r>
      <w:r w:rsidRPr="003D733D">
        <w:rPr>
          <w:rFonts w:ascii="Sylfaen" w:hAnsi="Sylfaen" w:cs="Sylfaen"/>
        </w:rPr>
        <w:t>გარემოსდაცვითი</w:t>
      </w:r>
      <w:r w:rsidRPr="003D733D">
        <w:t xml:space="preserve"> </w:t>
      </w:r>
      <w:r w:rsidRPr="003D733D">
        <w:rPr>
          <w:rFonts w:ascii="Sylfaen" w:hAnsi="Sylfaen" w:cs="Sylfaen"/>
        </w:rPr>
        <w:t>და</w:t>
      </w:r>
      <w:r w:rsidRPr="003D733D">
        <w:t xml:space="preserve"> </w:t>
      </w:r>
      <w:r w:rsidRPr="003D733D">
        <w:rPr>
          <w:rFonts w:ascii="Sylfaen" w:hAnsi="Sylfaen" w:cs="Sylfaen"/>
        </w:rPr>
        <w:t>სოციალური</w:t>
      </w:r>
      <w:r w:rsidRPr="003D733D">
        <w:t xml:space="preserve"> </w:t>
      </w:r>
      <w:r w:rsidRPr="003D733D">
        <w:rPr>
          <w:rFonts w:ascii="Sylfaen" w:hAnsi="Sylfaen" w:cs="Sylfaen"/>
        </w:rPr>
        <w:t>შემოწმება</w:t>
      </w:r>
      <w:r w:rsidRPr="003D733D">
        <w:t xml:space="preserve"> </w:t>
      </w:r>
      <w:r w:rsidRPr="003D733D">
        <w:rPr>
          <w:rFonts w:ascii="Sylfaen" w:hAnsi="Sylfaen" w:cs="Sylfaen"/>
        </w:rPr>
        <w:t>და</w:t>
      </w:r>
      <w:r w:rsidRPr="003D733D">
        <w:t xml:space="preserve"> </w:t>
      </w:r>
      <w:r w:rsidRPr="003D733D">
        <w:rPr>
          <w:rFonts w:ascii="Sylfaen" w:hAnsi="Sylfaen" w:cs="Sylfaen"/>
        </w:rPr>
        <w:t>მიმოხილვა</w:t>
      </w:r>
      <w:r w:rsidRPr="003D733D">
        <w:t xml:space="preserve">. </w:t>
      </w:r>
      <w:r w:rsidRPr="003D733D">
        <w:rPr>
          <w:rFonts w:ascii="Sylfaen" w:hAnsi="Sylfaen" w:cs="Sylfaen"/>
        </w:rPr>
        <w:t>წინამდებარე</w:t>
      </w:r>
      <w:r w:rsidRPr="003D733D">
        <w:t xml:space="preserve"> </w:t>
      </w:r>
      <w:r w:rsidRPr="003D733D">
        <w:rPr>
          <w:rFonts w:ascii="Sylfaen" w:hAnsi="Sylfaen" w:cs="Sylfaen"/>
        </w:rPr>
        <w:t>დოკუმენტის</w:t>
      </w:r>
      <w:r w:rsidRPr="003D733D">
        <w:t xml:space="preserve"> </w:t>
      </w:r>
      <w:r w:rsidRPr="003D733D">
        <w:rPr>
          <w:rFonts w:ascii="Sylfaen" w:hAnsi="Sylfaen" w:cs="Sylfaen"/>
        </w:rPr>
        <w:t>პროექტი</w:t>
      </w:r>
      <w:r w:rsidRPr="003D733D">
        <w:t xml:space="preserve"> </w:t>
      </w:r>
      <w:r w:rsidRPr="003D733D">
        <w:rPr>
          <w:rFonts w:ascii="Sylfaen" w:hAnsi="Sylfaen" w:cs="Sylfaen"/>
        </w:rPr>
        <w:t>წარედგინება</w:t>
      </w:r>
      <w:r w:rsidRPr="003D733D">
        <w:t xml:space="preserve"> </w:t>
      </w:r>
      <w:r w:rsidRPr="003D733D">
        <w:rPr>
          <w:rFonts w:ascii="Sylfaen" w:hAnsi="Sylfaen" w:cs="Sylfaen"/>
        </w:rPr>
        <w:t>მსოფლიო</w:t>
      </w:r>
      <w:r w:rsidRPr="003D733D">
        <w:t xml:space="preserve"> </w:t>
      </w:r>
      <w:r w:rsidRPr="003D733D">
        <w:rPr>
          <w:rFonts w:ascii="Sylfaen" w:hAnsi="Sylfaen" w:cs="Sylfaen"/>
        </w:rPr>
        <w:t>ბანკს</w:t>
      </w:r>
      <w:r w:rsidRPr="003D733D">
        <w:t xml:space="preserve"> </w:t>
      </w:r>
      <w:r w:rsidRPr="003D733D">
        <w:rPr>
          <w:rFonts w:ascii="Sylfaen" w:hAnsi="Sylfaen" w:cs="Sylfaen"/>
        </w:rPr>
        <w:t>დასამტკიცებლად</w:t>
      </w:r>
      <w:r w:rsidRPr="003D733D">
        <w:t xml:space="preserve">. </w:t>
      </w:r>
      <w:r w:rsidRPr="003D733D">
        <w:rPr>
          <w:rFonts w:ascii="Sylfaen" w:hAnsi="Sylfaen" w:cs="Sylfaen"/>
        </w:rPr>
        <w:t>გზშ</w:t>
      </w:r>
      <w:r w:rsidRPr="003D733D">
        <w:t>-</w:t>
      </w:r>
      <w:r w:rsidRPr="003D733D">
        <w:rPr>
          <w:rFonts w:ascii="Sylfaen" w:hAnsi="Sylfaen" w:cs="Sylfaen"/>
        </w:rPr>
        <w:t>ს</w:t>
      </w:r>
      <w:r w:rsidRPr="003D733D">
        <w:t xml:space="preserve"> </w:t>
      </w:r>
      <w:r w:rsidRPr="003D733D">
        <w:rPr>
          <w:rFonts w:ascii="Sylfaen" w:hAnsi="Sylfaen" w:cs="Sylfaen"/>
        </w:rPr>
        <w:t>ანგარიშის</w:t>
      </w:r>
      <w:r w:rsidRPr="003D733D">
        <w:t xml:space="preserve"> </w:t>
      </w:r>
      <w:r w:rsidRPr="003D733D">
        <w:rPr>
          <w:rFonts w:ascii="Sylfaen" w:hAnsi="Sylfaen" w:cs="Sylfaen"/>
        </w:rPr>
        <w:t>საბოლოო</w:t>
      </w:r>
      <w:r w:rsidRPr="003D733D">
        <w:t xml:space="preserve"> </w:t>
      </w:r>
      <w:r w:rsidRPr="003D733D">
        <w:rPr>
          <w:rFonts w:ascii="Sylfaen" w:hAnsi="Sylfaen" w:cs="Sylfaen"/>
        </w:rPr>
        <w:t>პროექტი</w:t>
      </w:r>
      <w:r w:rsidRPr="003D733D">
        <w:t xml:space="preserve"> </w:t>
      </w:r>
      <w:r w:rsidRPr="003D733D">
        <w:rPr>
          <w:rFonts w:ascii="Sylfaen" w:hAnsi="Sylfaen" w:cs="Sylfaen"/>
        </w:rPr>
        <w:t>გაცხადდება</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დეპარტამენტისა</w:t>
      </w:r>
      <w:r w:rsidRPr="003D733D">
        <w:t xml:space="preserve"> </w:t>
      </w:r>
      <w:r w:rsidRPr="003D733D">
        <w:rPr>
          <w:rFonts w:ascii="Sylfaen" w:hAnsi="Sylfaen" w:cs="Sylfaen"/>
        </w:rPr>
        <w:t>და</w:t>
      </w:r>
      <w:r w:rsidRPr="003D733D">
        <w:t xml:space="preserve"> </w:t>
      </w:r>
      <w:r w:rsidRPr="003D733D">
        <w:rPr>
          <w:rFonts w:ascii="Sylfaen" w:hAnsi="Sylfaen" w:cs="Sylfaen"/>
        </w:rPr>
        <w:t>მსოფლიო</w:t>
      </w:r>
      <w:r w:rsidRPr="003D733D">
        <w:t xml:space="preserve"> </w:t>
      </w:r>
      <w:r w:rsidRPr="003D733D">
        <w:rPr>
          <w:rFonts w:ascii="Sylfaen" w:hAnsi="Sylfaen" w:cs="Sylfaen"/>
        </w:rPr>
        <w:t>ბანკის</w:t>
      </w:r>
      <w:r w:rsidRPr="003D733D">
        <w:t xml:space="preserve"> </w:t>
      </w:r>
      <w:r w:rsidRPr="003D733D">
        <w:rPr>
          <w:rFonts w:ascii="Sylfaen" w:hAnsi="Sylfaen" w:cs="Sylfaen"/>
        </w:rPr>
        <w:t>ვებ</w:t>
      </w:r>
      <w:r w:rsidRPr="003D733D">
        <w:t>-</w:t>
      </w:r>
      <w:r w:rsidRPr="003D733D">
        <w:rPr>
          <w:rFonts w:ascii="Sylfaen" w:hAnsi="Sylfaen" w:cs="Sylfaen"/>
        </w:rPr>
        <w:t>გვერდებზე</w:t>
      </w:r>
      <w:r w:rsidRPr="003D733D">
        <w:t xml:space="preserve">. </w:t>
      </w:r>
      <w:r w:rsidRPr="003D733D">
        <w:rPr>
          <w:rFonts w:ascii="Sylfaen" w:hAnsi="Sylfaen" w:cs="Sylfaen"/>
        </w:rPr>
        <w:t>გზშ</w:t>
      </w:r>
      <w:r w:rsidRPr="003D733D">
        <w:t>-</w:t>
      </w:r>
      <w:r w:rsidRPr="003D733D">
        <w:rPr>
          <w:rFonts w:ascii="Sylfaen" w:hAnsi="Sylfaen" w:cs="Sylfaen"/>
        </w:rPr>
        <w:t>ს</w:t>
      </w:r>
      <w:r w:rsidRPr="003D733D">
        <w:t xml:space="preserve"> </w:t>
      </w:r>
      <w:r w:rsidRPr="003D733D">
        <w:rPr>
          <w:rFonts w:ascii="Sylfaen" w:hAnsi="Sylfaen" w:cs="Sylfaen"/>
        </w:rPr>
        <w:t>მოხსენების</w:t>
      </w:r>
      <w:r w:rsidRPr="003D733D">
        <w:t xml:space="preserve"> </w:t>
      </w:r>
      <w:r w:rsidRPr="003D733D">
        <w:rPr>
          <w:rFonts w:ascii="Sylfaen" w:hAnsi="Sylfaen" w:cs="Sylfaen"/>
        </w:rPr>
        <w:t>დამტკიცების</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დეპარტამენტი</w:t>
      </w:r>
      <w:r w:rsidRPr="003D733D">
        <w:t xml:space="preserve"> </w:t>
      </w:r>
      <w:r w:rsidRPr="003D733D">
        <w:rPr>
          <w:rFonts w:ascii="Sylfaen" w:hAnsi="Sylfaen" w:cs="Sylfaen"/>
        </w:rPr>
        <w:t>ორგანიზებას</w:t>
      </w:r>
      <w:r w:rsidRPr="003D733D">
        <w:t xml:space="preserve"> </w:t>
      </w:r>
      <w:r w:rsidRPr="003D733D">
        <w:rPr>
          <w:rFonts w:ascii="Sylfaen" w:hAnsi="Sylfaen" w:cs="Sylfaen"/>
        </w:rPr>
        <w:t>გაუწევს</w:t>
      </w:r>
      <w:r w:rsidRPr="003D733D">
        <w:t xml:space="preserve"> </w:t>
      </w:r>
      <w:r w:rsidRPr="003D733D">
        <w:rPr>
          <w:rFonts w:ascii="Sylfaen" w:hAnsi="Sylfaen" w:cs="Sylfaen"/>
        </w:rPr>
        <w:t>საზოგადოებრივ</w:t>
      </w:r>
      <w:r w:rsidRPr="003D733D">
        <w:t xml:space="preserve"> </w:t>
      </w:r>
      <w:r w:rsidRPr="003D733D">
        <w:rPr>
          <w:rFonts w:ascii="Sylfaen" w:hAnsi="Sylfaen" w:cs="Sylfaen"/>
        </w:rPr>
        <w:t>საკონსულტაციო</w:t>
      </w:r>
      <w:r w:rsidRPr="003D733D">
        <w:t xml:space="preserve"> </w:t>
      </w:r>
      <w:r w:rsidRPr="003D733D">
        <w:rPr>
          <w:rFonts w:ascii="Sylfaen" w:hAnsi="Sylfaen" w:cs="Sylfaen"/>
        </w:rPr>
        <w:t>შეხვედრას</w:t>
      </w:r>
      <w:r w:rsidRPr="003D733D">
        <w:t xml:space="preserve">. </w:t>
      </w:r>
      <w:r w:rsidRPr="003D733D">
        <w:rPr>
          <w:rFonts w:ascii="Sylfaen" w:hAnsi="Sylfaen" w:cs="Sylfaen"/>
        </w:rPr>
        <w:t>საჯარო</w:t>
      </w:r>
      <w:r w:rsidRPr="003D733D">
        <w:t xml:space="preserve"> </w:t>
      </w:r>
      <w:r w:rsidRPr="003D733D">
        <w:rPr>
          <w:rFonts w:ascii="Sylfaen" w:hAnsi="Sylfaen" w:cs="Sylfaen"/>
        </w:rPr>
        <w:t>საკონსულტაციო</w:t>
      </w:r>
      <w:r w:rsidRPr="003D733D">
        <w:t xml:space="preserve"> </w:t>
      </w:r>
      <w:r w:rsidRPr="003D733D">
        <w:rPr>
          <w:rFonts w:ascii="Sylfaen" w:hAnsi="Sylfaen" w:cs="Sylfaen"/>
        </w:rPr>
        <w:t>შეხვედრის</w:t>
      </w:r>
      <w:r w:rsidRPr="003D733D">
        <w:t xml:space="preserve"> </w:t>
      </w:r>
      <w:r w:rsidRPr="003D733D">
        <w:rPr>
          <w:rFonts w:ascii="Sylfaen" w:hAnsi="Sylfaen" w:cs="Sylfaen"/>
        </w:rPr>
        <w:t>ოქმი</w:t>
      </w:r>
      <w:r w:rsidRPr="003D733D">
        <w:t xml:space="preserve"> </w:t>
      </w:r>
      <w:r w:rsidRPr="003D733D">
        <w:rPr>
          <w:rFonts w:ascii="Sylfaen" w:hAnsi="Sylfaen" w:cs="Sylfaen"/>
        </w:rPr>
        <w:t>დაერთვება</w:t>
      </w:r>
      <w:r w:rsidRPr="003D733D">
        <w:t xml:space="preserve"> </w:t>
      </w:r>
      <w:r w:rsidRPr="003D733D">
        <w:rPr>
          <w:rFonts w:ascii="Sylfaen" w:hAnsi="Sylfaen" w:cs="Sylfaen"/>
        </w:rPr>
        <w:t>ამ</w:t>
      </w:r>
      <w:r w:rsidRPr="003D733D">
        <w:t xml:space="preserve"> </w:t>
      </w:r>
      <w:r w:rsidRPr="003D733D">
        <w:rPr>
          <w:rFonts w:ascii="Sylfaen" w:hAnsi="Sylfaen" w:cs="Sylfaen"/>
        </w:rPr>
        <w:t>დოკუმენტს</w:t>
      </w:r>
      <w:r w:rsidRPr="003D733D">
        <w:t>.</w:t>
      </w:r>
    </w:p>
    <w:p w14:paraId="625333A2" w14:textId="77777777" w:rsidR="00CE1A11" w:rsidRPr="003D733D" w:rsidRDefault="00CE1A11" w:rsidP="00CE1A11">
      <w:r w:rsidRPr="003D733D">
        <w:rPr>
          <w:rFonts w:ascii="Sylfaen" w:hAnsi="Sylfaen" w:cs="Sylfaen"/>
        </w:rPr>
        <w:t>წინამდებარე</w:t>
      </w:r>
      <w:r w:rsidRPr="003D733D">
        <w:t xml:space="preserve"> </w:t>
      </w:r>
      <w:r w:rsidRPr="003D733D">
        <w:rPr>
          <w:rFonts w:ascii="Sylfaen" w:hAnsi="Sylfaen" w:cs="Sylfaen"/>
        </w:rPr>
        <w:t>გზშ</w:t>
      </w:r>
      <w:r w:rsidRPr="003D733D">
        <w:t>-</w:t>
      </w:r>
      <w:r w:rsidRPr="003D733D">
        <w:rPr>
          <w:rFonts w:ascii="Sylfaen" w:hAnsi="Sylfaen" w:cs="Sylfaen"/>
        </w:rPr>
        <w:t>ს</w:t>
      </w:r>
      <w:r w:rsidRPr="003D733D">
        <w:t xml:space="preserve"> </w:t>
      </w:r>
      <w:r w:rsidRPr="003D733D">
        <w:rPr>
          <w:rFonts w:ascii="Sylfaen" w:hAnsi="Sylfaen" w:cs="Sylfaen"/>
        </w:rPr>
        <w:t>ანგარიშის</w:t>
      </w:r>
      <w:r w:rsidRPr="003D733D">
        <w:t xml:space="preserve"> </w:t>
      </w:r>
      <w:r w:rsidRPr="003D733D">
        <w:rPr>
          <w:rFonts w:ascii="Sylfaen" w:hAnsi="Sylfaen" w:cs="Sylfaen"/>
        </w:rPr>
        <w:t>პროექტის</w:t>
      </w:r>
      <w:r w:rsidRPr="003D733D">
        <w:t xml:space="preserve"> </w:t>
      </w:r>
      <w:r w:rsidRPr="003D733D">
        <w:rPr>
          <w:rFonts w:ascii="Sylfaen" w:hAnsi="Sylfaen" w:cs="Sylfaen"/>
        </w:rPr>
        <w:t>მიწოდების</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ის</w:t>
      </w:r>
      <w:r w:rsidRPr="003D733D">
        <w:t xml:space="preserve"> </w:t>
      </w:r>
      <w:r w:rsidRPr="003D733D">
        <w:rPr>
          <w:rFonts w:ascii="Sylfaen" w:hAnsi="Sylfaen" w:cs="Sylfaen"/>
        </w:rPr>
        <w:t>გამოქვეყნდება</w:t>
      </w:r>
      <w:r w:rsidRPr="003D733D">
        <w:t xml:space="preserve"> </w:t>
      </w:r>
      <w:r w:rsidRPr="003D733D">
        <w:rPr>
          <w:rFonts w:ascii="Sylfaen" w:hAnsi="Sylfaen" w:cs="Sylfaen"/>
        </w:rPr>
        <w:t>ქართულ</w:t>
      </w:r>
      <w:r w:rsidRPr="003D733D">
        <w:t xml:space="preserve"> </w:t>
      </w:r>
      <w:r w:rsidRPr="003D733D">
        <w:rPr>
          <w:rFonts w:ascii="Sylfaen" w:hAnsi="Sylfaen" w:cs="Sylfaen"/>
        </w:rPr>
        <w:t>და</w:t>
      </w:r>
      <w:r w:rsidRPr="003D733D">
        <w:t xml:space="preserve"> </w:t>
      </w:r>
      <w:r w:rsidRPr="003D733D">
        <w:rPr>
          <w:rFonts w:ascii="Sylfaen" w:hAnsi="Sylfaen" w:cs="Sylfaen"/>
        </w:rPr>
        <w:t>ინგლისურ</w:t>
      </w:r>
      <w:r w:rsidRPr="003D733D">
        <w:t xml:space="preserve"> </w:t>
      </w:r>
      <w:r w:rsidRPr="003D733D">
        <w:rPr>
          <w:rFonts w:ascii="Sylfaen" w:hAnsi="Sylfaen" w:cs="Sylfaen"/>
        </w:rPr>
        <w:t>ენებზე</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დეპარტამენტის</w:t>
      </w:r>
      <w:r w:rsidRPr="003D733D">
        <w:t xml:space="preserve"> </w:t>
      </w:r>
      <w:r w:rsidRPr="003D733D">
        <w:rPr>
          <w:rFonts w:ascii="Sylfaen" w:hAnsi="Sylfaen" w:cs="Sylfaen"/>
        </w:rPr>
        <w:t>ვებ</w:t>
      </w:r>
      <w:r w:rsidRPr="003D733D">
        <w:t>-</w:t>
      </w:r>
      <w:r w:rsidRPr="003D733D">
        <w:rPr>
          <w:rFonts w:ascii="Sylfaen" w:hAnsi="Sylfaen" w:cs="Sylfaen"/>
        </w:rPr>
        <w:t>გვერდზე</w:t>
      </w:r>
      <w:r w:rsidRPr="003D733D">
        <w:t xml:space="preserve"> </w:t>
      </w:r>
      <w:r w:rsidRPr="003D733D">
        <w:rPr>
          <w:rFonts w:ascii="Sylfaen" w:hAnsi="Sylfaen" w:cs="Sylfaen"/>
        </w:rPr>
        <w:t>და</w:t>
      </w:r>
      <w:r w:rsidRPr="003D733D">
        <w:t xml:space="preserve"> </w:t>
      </w:r>
      <w:r w:rsidRPr="003D733D">
        <w:rPr>
          <w:rFonts w:ascii="Sylfaen" w:hAnsi="Sylfaen" w:cs="Sylfaen"/>
        </w:rPr>
        <w:t>განხილული</w:t>
      </w:r>
      <w:r w:rsidRPr="003D733D">
        <w:t xml:space="preserve"> </w:t>
      </w:r>
      <w:r w:rsidRPr="003D733D">
        <w:rPr>
          <w:rFonts w:ascii="Sylfaen" w:hAnsi="Sylfaen" w:cs="Sylfaen"/>
        </w:rPr>
        <w:t>იქნება</w:t>
      </w:r>
      <w:r w:rsidRPr="003D733D">
        <w:t xml:space="preserve"> </w:t>
      </w:r>
      <w:r w:rsidRPr="003D733D">
        <w:rPr>
          <w:rFonts w:ascii="Sylfaen" w:hAnsi="Sylfaen" w:cs="Sylfaen"/>
        </w:rPr>
        <w:t>დაინტერესებულ</w:t>
      </w:r>
      <w:r w:rsidRPr="003D733D">
        <w:t xml:space="preserve"> </w:t>
      </w:r>
      <w:r w:rsidRPr="003D733D">
        <w:rPr>
          <w:rFonts w:ascii="Sylfaen" w:hAnsi="Sylfaen" w:cs="Sylfaen"/>
        </w:rPr>
        <w:t>მხარეებთან</w:t>
      </w:r>
      <w:r w:rsidRPr="003D733D">
        <w:t xml:space="preserve">. </w:t>
      </w:r>
      <w:r w:rsidRPr="003D733D">
        <w:rPr>
          <w:rFonts w:ascii="Sylfaen" w:hAnsi="Sylfaen" w:cs="Sylfaen"/>
        </w:rPr>
        <w:t>გზშ</w:t>
      </w:r>
      <w:r w:rsidRPr="003D733D">
        <w:t>-</w:t>
      </w:r>
      <w:r w:rsidRPr="003D733D">
        <w:rPr>
          <w:rFonts w:ascii="Sylfaen" w:hAnsi="Sylfaen" w:cs="Sylfaen"/>
        </w:rPr>
        <w:t>ს</w:t>
      </w:r>
      <w:r w:rsidRPr="003D733D">
        <w:t xml:space="preserve"> </w:t>
      </w:r>
      <w:r w:rsidRPr="003D733D">
        <w:rPr>
          <w:rFonts w:ascii="Sylfaen" w:hAnsi="Sylfaen" w:cs="Sylfaen"/>
        </w:rPr>
        <w:t>ანგარიშის</w:t>
      </w:r>
      <w:r w:rsidRPr="003D733D">
        <w:t xml:space="preserve"> </w:t>
      </w:r>
      <w:r w:rsidRPr="003D733D">
        <w:rPr>
          <w:rFonts w:ascii="Sylfaen" w:hAnsi="Sylfaen" w:cs="Sylfaen"/>
        </w:rPr>
        <w:t>საბოლოო</w:t>
      </w:r>
      <w:r w:rsidRPr="003D733D">
        <w:t xml:space="preserve"> </w:t>
      </w:r>
      <w:r w:rsidRPr="003D733D">
        <w:rPr>
          <w:rFonts w:ascii="Sylfaen" w:hAnsi="Sylfaen" w:cs="Sylfaen"/>
        </w:rPr>
        <w:t>დასკვნა</w:t>
      </w:r>
      <w:r w:rsidRPr="003D733D">
        <w:t xml:space="preserve"> </w:t>
      </w:r>
      <w:r w:rsidRPr="003D733D">
        <w:rPr>
          <w:rFonts w:ascii="Sylfaen" w:hAnsi="Sylfaen" w:cs="Sylfaen"/>
        </w:rPr>
        <w:t>დასრულდება</w:t>
      </w:r>
      <w:r w:rsidRPr="003D733D">
        <w:t xml:space="preserve"> </w:t>
      </w:r>
      <w:r w:rsidRPr="003D733D">
        <w:rPr>
          <w:rFonts w:ascii="Sylfaen" w:hAnsi="Sylfaen" w:cs="Sylfaen"/>
        </w:rPr>
        <w:t>საზოგადოებრივი</w:t>
      </w:r>
      <w:r w:rsidRPr="003D733D">
        <w:t xml:space="preserve"> </w:t>
      </w:r>
      <w:r w:rsidRPr="003D733D">
        <w:rPr>
          <w:rFonts w:ascii="Sylfaen" w:hAnsi="Sylfaen" w:cs="Sylfaen"/>
        </w:rPr>
        <w:t>აზრის</w:t>
      </w:r>
      <w:r w:rsidRPr="003D733D">
        <w:t xml:space="preserve"> </w:t>
      </w:r>
      <w:r w:rsidRPr="003D733D">
        <w:rPr>
          <w:rFonts w:ascii="Sylfaen" w:hAnsi="Sylfaen" w:cs="Sylfaen"/>
        </w:rPr>
        <w:t>დამატებით</w:t>
      </w:r>
      <w:r w:rsidRPr="003D733D">
        <w:t xml:space="preserve"> </w:t>
      </w:r>
      <w:r w:rsidRPr="003D733D">
        <w:rPr>
          <w:rFonts w:ascii="Sylfaen" w:hAnsi="Sylfaen" w:cs="Sylfaen"/>
        </w:rPr>
        <w:t>და</w:t>
      </w:r>
      <w:r w:rsidRPr="003D733D">
        <w:t xml:space="preserve"> </w:t>
      </w:r>
      <w:r w:rsidRPr="003D733D">
        <w:rPr>
          <w:rFonts w:ascii="Sylfaen" w:hAnsi="Sylfaen" w:cs="Sylfaen"/>
        </w:rPr>
        <w:t>დაერთვება</w:t>
      </w:r>
      <w:r w:rsidRPr="003D733D">
        <w:t xml:space="preserve"> </w:t>
      </w:r>
      <w:r w:rsidRPr="003D733D">
        <w:rPr>
          <w:rFonts w:ascii="Sylfaen" w:hAnsi="Sylfaen" w:cs="Sylfaen"/>
        </w:rPr>
        <w:t>კონსულტაციის</w:t>
      </w:r>
      <w:r w:rsidRPr="003D733D">
        <w:t xml:space="preserve"> </w:t>
      </w:r>
      <w:r w:rsidRPr="003D733D">
        <w:rPr>
          <w:rFonts w:ascii="Sylfaen" w:hAnsi="Sylfaen" w:cs="Sylfaen"/>
        </w:rPr>
        <w:t>პროცესის</w:t>
      </w:r>
      <w:r w:rsidRPr="003D733D">
        <w:t xml:space="preserve"> </w:t>
      </w:r>
      <w:r w:rsidRPr="003D733D">
        <w:rPr>
          <w:rFonts w:ascii="Sylfaen" w:hAnsi="Sylfaen" w:cs="Sylfaen"/>
        </w:rPr>
        <w:t>სრული</w:t>
      </w:r>
      <w:r w:rsidRPr="003D733D">
        <w:t xml:space="preserve"> </w:t>
      </w:r>
      <w:r w:rsidRPr="003D733D">
        <w:rPr>
          <w:rFonts w:ascii="Sylfaen" w:hAnsi="Sylfaen" w:cs="Sylfaen"/>
        </w:rPr>
        <w:t>ანგარიში</w:t>
      </w:r>
      <w:r w:rsidRPr="003D733D">
        <w:t xml:space="preserve">. </w:t>
      </w:r>
      <w:r w:rsidRPr="003D733D">
        <w:rPr>
          <w:rFonts w:ascii="Sylfaen" w:hAnsi="Sylfaen" w:cs="Sylfaen"/>
        </w:rPr>
        <w:t>გზშ</w:t>
      </w:r>
      <w:r w:rsidRPr="003D733D">
        <w:t>-</w:t>
      </w:r>
      <w:r w:rsidRPr="003D733D">
        <w:rPr>
          <w:rFonts w:ascii="Sylfaen" w:hAnsi="Sylfaen" w:cs="Sylfaen"/>
        </w:rPr>
        <w:t>ს</w:t>
      </w:r>
      <w:r w:rsidRPr="003D733D">
        <w:t xml:space="preserve"> </w:t>
      </w:r>
      <w:r w:rsidRPr="003D733D">
        <w:rPr>
          <w:rFonts w:ascii="Sylfaen" w:hAnsi="Sylfaen" w:cs="Sylfaen"/>
        </w:rPr>
        <w:t>ინფორმაციის</w:t>
      </w:r>
      <w:r w:rsidRPr="003D733D">
        <w:t xml:space="preserve"> </w:t>
      </w:r>
      <w:r w:rsidRPr="003D733D">
        <w:rPr>
          <w:rFonts w:ascii="Sylfaen" w:hAnsi="Sylfaen" w:cs="Sylfaen"/>
        </w:rPr>
        <w:t>გამჟღავნების</w:t>
      </w:r>
      <w:r w:rsidRPr="003D733D">
        <w:t xml:space="preserve"> </w:t>
      </w:r>
      <w:r w:rsidRPr="003D733D">
        <w:rPr>
          <w:rFonts w:ascii="Sylfaen" w:hAnsi="Sylfaen" w:cs="Sylfaen"/>
        </w:rPr>
        <w:t>პერიოდის</w:t>
      </w:r>
      <w:r w:rsidRPr="003D733D">
        <w:t xml:space="preserve"> </w:t>
      </w:r>
      <w:r w:rsidRPr="003D733D">
        <w:rPr>
          <w:rFonts w:ascii="Sylfaen" w:hAnsi="Sylfaen" w:cs="Sylfaen"/>
        </w:rPr>
        <w:t>განმავლობაში</w:t>
      </w:r>
      <w:r w:rsidRPr="003D733D">
        <w:t xml:space="preserve">, </w:t>
      </w:r>
      <w:r w:rsidRPr="003D733D">
        <w:rPr>
          <w:rFonts w:ascii="Sylfaen" w:hAnsi="Sylfaen" w:cs="Sylfaen"/>
        </w:rPr>
        <w:t>ნაბეჭდი</w:t>
      </w:r>
      <w:r w:rsidRPr="003D733D">
        <w:t xml:space="preserve"> </w:t>
      </w:r>
      <w:r w:rsidRPr="003D733D">
        <w:rPr>
          <w:rFonts w:ascii="Sylfaen" w:hAnsi="Sylfaen" w:cs="Sylfaen"/>
        </w:rPr>
        <w:t>ასლები</w:t>
      </w:r>
      <w:r w:rsidRPr="003D733D">
        <w:t xml:space="preserve"> </w:t>
      </w:r>
      <w:r w:rsidRPr="003D733D">
        <w:rPr>
          <w:rFonts w:ascii="Sylfaen" w:hAnsi="Sylfaen" w:cs="Sylfaen"/>
        </w:rPr>
        <w:t>და</w:t>
      </w:r>
      <w:r w:rsidRPr="003D733D">
        <w:t xml:space="preserve"> </w:t>
      </w:r>
      <w:r w:rsidRPr="003D733D">
        <w:rPr>
          <w:rFonts w:ascii="Sylfaen" w:hAnsi="Sylfaen" w:cs="Sylfaen"/>
        </w:rPr>
        <w:t>გზშ</w:t>
      </w:r>
      <w:r w:rsidRPr="003D733D">
        <w:t>-</w:t>
      </w:r>
      <w:r w:rsidRPr="003D733D">
        <w:rPr>
          <w:rFonts w:ascii="Sylfaen" w:hAnsi="Sylfaen" w:cs="Sylfaen"/>
        </w:rPr>
        <w:t>ს</w:t>
      </w:r>
      <w:r w:rsidRPr="003D733D">
        <w:t xml:space="preserve"> </w:t>
      </w:r>
      <w:r w:rsidRPr="003D733D">
        <w:rPr>
          <w:rFonts w:ascii="Sylfaen" w:hAnsi="Sylfaen" w:cs="Sylfaen"/>
        </w:rPr>
        <w:t>არატექნიკური</w:t>
      </w:r>
      <w:r w:rsidRPr="003D733D">
        <w:t xml:space="preserve"> </w:t>
      </w:r>
      <w:r w:rsidRPr="003D733D">
        <w:rPr>
          <w:rFonts w:ascii="Sylfaen" w:hAnsi="Sylfaen" w:cs="Sylfaen"/>
        </w:rPr>
        <w:t>რეზიუმეს</w:t>
      </w:r>
      <w:r w:rsidRPr="003D733D">
        <w:t xml:space="preserve"> </w:t>
      </w:r>
      <w:r w:rsidRPr="003D733D">
        <w:rPr>
          <w:rFonts w:ascii="Sylfaen" w:hAnsi="Sylfaen" w:cs="Sylfaen"/>
        </w:rPr>
        <w:t>ელექტრონული</w:t>
      </w:r>
      <w:r w:rsidRPr="003D733D">
        <w:t xml:space="preserve"> </w:t>
      </w:r>
      <w:r w:rsidRPr="003D733D">
        <w:rPr>
          <w:rFonts w:ascii="Sylfaen" w:hAnsi="Sylfaen" w:cs="Sylfaen"/>
        </w:rPr>
        <w:t>ვერსია</w:t>
      </w:r>
      <w:r w:rsidRPr="003D733D">
        <w:t xml:space="preserve"> </w:t>
      </w:r>
      <w:r w:rsidRPr="003D733D">
        <w:rPr>
          <w:rFonts w:ascii="Sylfaen" w:hAnsi="Sylfaen" w:cs="Sylfaen"/>
        </w:rPr>
        <w:t>ხელმისაწვდომი</w:t>
      </w:r>
      <w:r w:rsidRPr="003D733D">
        <w:t xml:space="preserve"> </w:t>
      </w:r>
      <w:r w:rsidRPr="003D733D">
        <w:rPr>
          <w:rFonts w:ascii="Sylfaen" w:hAnsi="Sylfaen" w:cs="Sylfaen"/>
        </w:rPr>
        <w:t>იქნება</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მისამართებზე</w:t>
      </w:r>
      <w:r w:rsidRPr="003D733D">
        <w:t>:</w:t>
      </w:r>
    </w:p>
    <w:p w14:paraId="2CF0C105" w14:textId="77777777" w:rsidR="00CE1A11" w:rsidRPr="003D733D" w:rsidRDefault="00CE1A11" w:rsidP="00CE1A11">
      <w:pPr>
        <w:rPr>
          <w:lang w:val="en-US"/>
        </w:rPr>
      </w:pPr>
      <w:r w:rsidRPr="003D733D">
        <w:rPr>
          <w:rFonts w:ascii="Sylfaen" w:hAnsi="Sylfaen" w:cs="Sylfaen"/>
        </w:rPr>
        <w:t>გურჯაანის</w:t>
      </w:r>
      <w:r w:rsidRPr="003D733D">
        <w:t xml:space="preserve"> </w:t>
      </w:r>
      <w:r w:rsidRPr="003D733D">
        <w:rPr>
          <w:rFonts w:ascii="Sylfaen" w:hAnsi="Sylfaen" w:cs="Sylfaen"/>
        </w:rPr>
        <w:t>მუნიციპალიტეტის</w:t>
      </w:r>
      <w:r w:rsidRPr="003D733D">
        <w:t xml:space="preserve"> </w:t>
      </w:r>
      <w:r w:rsidRPr="003D733D">
        <w:rPr>
          <w:rFonts w:ascii="Sylfaen" w:hAnsi="Sylfaen" w:cs="Sylfaen"/>
        </w:rPr>
        <w:t>ადგილობრივი</w:t>
      </w:r>
      <w:r w:rsidRPr="003D733D">
        <w:t xml:space="preserve"> </w:t>
      </w:r>
      <w:r w:rsidRPr="003D733D">
        <w:rPr>
          <w:rFonts w:ascii="Sylfaen" w:hAnsi="Sylfaen" w:cs="Sylfaen"/>
        </w:rPr>
        <w:t>თვითმმართველობა</w:t>
      </w:r>
      <w:r w:rsidRPr="003D733D">
        <w:t xml:space="preserve"> – </w:t>
      </w:r>
      <w:r w:rsidRPr="003D733D">
        <w:rPr>
          <w:rFonts w:ascii="Sylfaen" w:hAnsi="Sylfaen" w:cs="Sylfaen"/>
        </w:rPr>
        <w:t>მისამართი</w:t>
      </w:r>
      <w:r w:rsidRPr="003D733D">
        <w:t xml:space="preserve">: </w:t>
      </w:r>
      <w:r w:rsidRPr="003D733D">
        <w:rPr>
          <w:rFonts w:ascii="Sylfaen" w:hAnsi="Sylfaen" w:cs="Sylfaen"/>
        </w:rPr>
        <w:t>ნონეშვილის</w:t>
      </w:r>
      <w:r w:rsidRPr="003D733D">
        <w:t xml:space="preserve"> </w:t>
      </w:r>
      <w:r w:rsidRPr="003D733D">
        <w:rPr>
          <w:rFonts w:ascii="Sylfaen" w:hAnsi="Sylfaen" w:cs="Sylfaen"/>
        </w:rPr>
        <w:t>გამზირის</w:t>
      </w:r>
      <w:r w:rsidRPr="003D733D">
        <w:t xml:space="preserve"> №13;</w:t>
      </w:r>
    </w:p>
    <w:p w14:paraId="2B299743" w14:textId="77777777" w:rsidR="00CE1A11" w:rsidRPr="003D733D" w:rsidRDefault="00CE1A11" w:rsidP="00CE1A11">
      <w:r w:rsidRPr="003D733D">
        <w:rPr>
          <w:rFonts w:ascii="Sylfaen" w:hAnsi="Sylfaen" w:cs="Sylfaen"/>
        </w:rPr>
        <w:t>საქართველოს</w:t>
      </w:r>
      <w:r w:rsidRPr="003D733D">
        <w:t xml:space="preserve"> </w:t>
      </w:r>
      <w:r w:rsidRPr="003D733D">
        <w:rPr>
          <w:rFonts w:ascii="Sylfaen" w:hAnsi="Sylfaen" w:cs="Sylfaen"/>
        </w:rPr>
        <w:t>საავტომობილო</w:t>
      </w:r>
      <w:r w:rsidRPr="003D733D">
        <w:t xml:space="preserve"> </w:t>
      </w:r>
      <w:r w:rsidRPr="003D733D">
        <w:rPr>
          <w:rFonts w:ascii="Sylfaen" w:hAnsi="Sylfaen" w:cs="Sylfaen"/>
        </w:rPr>
        <w:t>გზების</w:t>
      </w:r>
      <w:r w:rsidRPr="003D733D">
        <w:t xml:space="preserve"> </w:t>
      </w:r>
      <w:r w:rsidRPr="003D733D">
        <w:rPr>
          <w:rFonts w:ascii="Sylfaen" w:hAnsi="Sylfaen" w:cs="Sylfaen"/>
        </w:rPr>
        <w:t>დეპარტამენტი</w:t>
      </w:r>
      <w:r w:rsidRPr="003D733D">
        <w:t xml:space="preserve"> – </w:t>
      </w:r>
      <w:r w:rsidRPr="003D733D">
        <w:rPr>
          <w:rFonts w:ascii="Sylfaen" w:hAnsi="Sylfaen" w:cs="Sylfaen"/>
        </w:rPr>
        <w:t>მისამართი</w:t>
      </w:r>
      <w:r w:rsidRPr="003D733D">
        <w:t xml:space="preserve">: </w:t>
      </w:r>
      <w:r w:rsidRPr="003D733D">
        <w:rPr>
          <w:rFonts w:ascii="Sylfaen" w:hAnsi="Sylfaen" w:cs="Sylfaen"/>
        </w:rPr>
        <w:t>ალ</w:t>
      </w:r>
      <w:r w:rsidRPr="003D733D">
        <w:t xml:space="preserve">. </w:t>
      </w:r>
      <w:r w:rsidRPr="003D733D">
        <w:rPr>
          <w:rFonts w:ascii="Sylfaen" w:hAnsi="Sylfaen" w:cs="Sylfaen"/>
        </w:rPr>
        <w:t>ყაზბეგის</w:t>
      </w:r>
      <w:r w:rsidRPr="003D733D">
        <w:t xml:space="preserve"> #12, </w:t>
      </w:r>
      <w:r w:rsidRPr="003D733D">
        <w:rPr>
          <w:rFonts w:ascii="Sylfaen" w:hAnsi="Sylfaen" w:cs="Sylfaen"/>
        </w:rPr>
        <w:t>თბილისი</w:t>
      </w:r>
    </w:p>
    <w:p w14:paraId="759CB2E3" w14:textId="77777777" w:rsidR="00CE1A11" w:rsidRPr="003D733D" w:rsidRDefault="00CE1A11" w:rsidP="00CE1A11">
      <w:r w:rsidRPr="003D733D">
        <w:rPr>
          <w:rFonts w:ascii="Sylfaen" w:hAnsi="Sylfaen" w:cs="Sylfaen"/>
        </w:rPr>
        <w:t>ასევე</w:t>
      </w:r>
      <w:r w:rsidRPr="003D733D">
        <w:t>, ESIA-</w:t>
      </w:r>
      <w:r w:rsidRPr="003D733D">
        <w:rPr>
          <w:rFonts w:ascii="Sylfaen" w:hAnsi="Sylfaen" w:cs="Sylfaen"/>
        </w:rPr>
        <w:t>ს</w:t>
      </w:r>
      <w:r w:rsidRPr="003D733D">
        <w:t xml:space="preserve"> </w:t>
      </w:r>
      <w:r w:rsidRPr="003D733D">
        <w:rPr>
          <w:rFonts w:ascii="Sylfaen" w:hAnsi="Sylfaen" w:cs="Sylfaen"/>
        </w:rPr>
        <w:t>ანგარიშის</w:t>
      </w:r>
      <w:r w:rsidRPr="003D733D">
        <w:t xml:space="preserve"> </w:t>
      </w:r>
      <w:r w:rsidRPr="003D733D">
        <w:rPr>
          <w:rFonts w:ascii="Sylfaen" w:hAnsi="Sylfaen" w:cs="Sylfaen"/>
        </w:rPr>
        <w:t>პროექტი</w:t>
      </w:r>
      <w:r w:rsidRPr="003D733D">
        <w:t xml:space="preserve"> </w:t>
      </w:r>
      <w:r w:rsidRPr="003D733D">
        <w:rPr>
          <w:rFonts w:ascii="Sylfaen" w:hAnsi="Sylfaen" w:cs="Sylfaen"/>
        </w:rPr>
        <w:t>და</w:t>
      </w:r>
      <w:r w:rsidRPr="003D733D">
        <w:t xml:space="preserve"> </w:t>
      </w:r>
      <w:r w:rsidRPr="003D733D">
        <w:rPr>
          <w:rFonts w:ascii="Sylfaen" w:hAnsi="Sylfaen" w:cs="Sylfaen"/>
        </w:rPr>
        <w:t>მოგვიანებით</w:t>
      </w:r>
      <w:r w:rsidRPr="003D733D">
        <w:t xml:space="preserve"> - </w:t>
      </w:r>
      <w:r w:rsidRPr="003D733D">
        <w:rPr>
          <w:rFonts w:ascii="Sylfaen" w:hAnsi="Sylfaen" w:cs="Sylfaen"/>
        </w:rPr>
        <w:t>მისი</w:t>
      </w:r>
      <w:r w:rsidRPr="003D733D">
        <w:t xml:space="preserve"> </w:t>
      </w:r>
      <w:r w:rsidRPr="003D733D">
        <w:rPr>
          <w:rFonts w:ascii="Sylfaen" w:hAnsi="Sylfaen" w:cs="Sylfaen"/>
        </w:rPr>
        <w:t>საბოლოო</w:t>
      </w:r>
      <w:r w:rsidRPr="003D733D">
        <w:t xml:space="preserve"> </w:t>
      </w:r>
      <w:r w:rsidRPr="003D733D">
        <w:rPr>
          <w:rFonts w:ascii="Sylfaen" w:hAnsi="Sylfaen" w:cs="Sylfaen"/>
        </w:rPr>
        <w:t>ვერსია</w:t>
      </w:r>
      <w:r w:rsidRPr="003D733D">
        <w:t xml:space="preserve"> </w:t>
      </w:r>
      <w:r w:rsidRPr="003D733D">
        <w:rPr>
          <w:rFonts w:ascii="Sylfaen" w:hAnsi="Sylfaen" w:cs="Sylfaen"/>
        </w:rPr>
        <w:t>ხელმისაწვდომი</w:t>
      </w:r>
      <w:r w:rsidRPr="003D733D">
        <w:t xml:space="preserve"> </w:t>
      </w:r>
      <w:r w:rsidRPr="003D733D">
        <w:rPr>
          <w:rFonts w:ascii="Sylfaen" w:hAnsi="Sylfaen" w:cs="Sylfaen"/>
        </w:rPr>
        <w:t>იქნება</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ვებ</w:t>
      </w:r>
      <w:r w:rsidRPr="003D733D">
        <w:t>-</w:t>
      </w:r>
      <w:r w:rsidRPr="003D733D">
        <w:rPr>
          <w:rFonts w:ascii="Sylfaen" w:hAnsi="Sylfaen" w:cs="Sylfaen"/>
        </w:rPr>
        <w:t>გვერდებზე</w:t>
      </w:r>
      <w:r w:rsidRPr="003D733D">
        <w:t xml:space="preserve"> </w:t>
      </w:r>
      <w:r w:rsidRPr="003D733D">
        <w:rPr>
          <w:rFonts w:ascii="Sylfaen" w:hAnsi="Sylfaen" w:cs="Sylfaen"/>
        </w:rPr>
        <w:t>ჩამოტვირთვისთვის</w:t>
      </w:r>
      <w:r w:rsidRPr="003D733D">
        <w:t>:</w:t>
      </w:r>
    </w:p>
    <w:p w14:paraId="1787AE98" w14:textId="77777777" w:rsidR="00CE1A11" w:rsidRPr="003D733D" w:rsidRDefault="00CE1A11" w:rsidP="00CE1A11">
      <w:r w:rsidRPr="003D733D">
        <w:rPr>
          <w:rFonts w:ascii="Sylfaen" w:hAnsi="Sylfaen" w:cs="Sylfaen"/>
        </w:rPr>
        <w:t>საქართველოს</w:t>
      </w:r>
      <w:r w:rsidRPr="003D733D">
        <w:t xml:space="preserve"> </w:t>
      </w:r>
      <w:r w:rsidRPr="003D733D">
        <w:rPr>
          <w:rFonts w:ascii="Sylfaen" w:hAnsi="Sylfaen" w:cs="Sylfaen"/>
        </w:rPr>
        <w:t>საავტომობილო</w:t>
      </w:r>
      <w:r w:rsidRPr="003D733D">
        <w:t xml:space="preserve"> </w:t>
      </w:r>
      <w:r w:rsidRPr="003D733D">
        <w:rPr>
          <w:rFonts w:ascii="Sylfaen" w:hAnsi="Sylfaen" w:cs="Sylfaen"/>
        </w:rPr>
        <w:t>გზების</w:t>
      </w:r>
      <w:r w:rsidRPr="003D733D">
        <w:t xml:space="preserve"> </w:t>
      </w:r>
      <w:r w:rsidRPr="003D733D">
        <w:rPr>
          <w:rFonts w:ascii="Sylfaen" w:hAnsi="Sylfaen" w:cs="Sylfaen"/>
        </w:rPr>
        <w:t>დეპარტამენტი</w:t>
      </w:r>
      <w:r w:rsidRPr="003D733D">
        <w:t xml:space="preserve">: </w:t>
      </w:r>
      <w:hyperlink r:id="rId197" w:history="1">
        <w:r w:rsidRPr="003D733D">
          <w:t>www.georoad.ge</w:t>
        </w:r>
      </w:hyperlink>
    </w:p>
    <w:p w14:paraId="4B41C812" w14:textId="7F312D93" w:rsidR="00CE1A11" w:rsidRPr="003D733D" w:rsidRDefault="00CE1A11" w:rsidP="00CE1A11">
      <w:r w:rsidRPr="003D733D">
        <w:t>MoEP</w:t>
      </w:r>
      <w:r w:rsidR="00092B73">
        <w:rPr>
          <w:lang w:val="en-US"/>
        </w:rPr>
        <w:t>A</w:t>
      </w:r>
      <w:r w:rsidRPr="003D733D">
        <w:t xml:space="preserve"> </w:t>
      </w:r>
      <w:r w:rsidRPr="003D733D">
        <w:rPr>
          <w:rFonts w:ascii="Sylfaen" w:hAnsi="Sylfaen" w:cs="Sylfaen"/>
        </w:rPr>
        <w:t>ვებ</w:t>
      </w:r>
      <w:r w:rsidRPr="003D733D">
        <w:t>-</w:t>
      </w:r>
      <w:r w:rsidRPr="003D733D">
        <w:rPr>
          <w:rFonts w:ascii="Sylfaen" w:hAnsi="Sylfaen" w:cs="Sylfaen"/>
        </w:rPr>
        <w:t>გვერდი</w:t>
      </w:r>
      <w:r w:rsidRPr="003D733D">
        <w:t xml:space="preserve">: </w:t>
      </w:r>
      <w:hyperlink r:id="rId198" w:history="1">
        <w:r w:rsidR="00707AE5" w:rsidRPr="00E37A4C">
          <w:rPr>
            <w:rStyle w:val="Hyperlink"/>
          </w:rPr>
          <w:t>www.mapa.gov.ge</w:t>
        </w:r>
      </w:hyperlink>
    </w:p>
    <w:p w14:paraId="35A545FD" w14:textId="77777777" w:rsidR="00CE1A11" w:rsidRPr="003D733D" w:rsidRDefault="00CE1A11" w:rsidP="00CE1A11">
      <w:pPr>
        <w:rPr>
          <w:lang w:val="ka-GE"/>
        </w:rPr>
      </w:pPr>
      <w:r w:rsidRPr="003D733D">
        <w:rPr>
          <w:rFonts w:ascii="Sylfaen" w:hAnsi="Sylfaen" w:cs="Sylfaen"/>
        </w:rPr>
        <w:t>გზშ</w:t>
      </w:r>
      <w:r w:rsidRPr="003D733D">
        <w:t>-</w:t>
      </w:r>
      <w:r w:rsidRPr="003D733D">
        <w:rPr>
          <w:rFonts w:ascii="Sylfaen" w:hAnsi="Sylfaen" w:cs="Sylfaen"/>
        </w:rPr>
        <w:t>ს</w:t>
      </w:r>
      <w:r w:rsidRPr="003D733D">
        <w:t xml:space="preserve"> </w:t>
      </w:r>
      <w:r w:rsidRPr="003D733D">
        <w:rPr>
          <w:rFonts w:ascii="Sylfaen" w:hAnsi="Sylfaen" w:cs="Sylfaen"/>
        </w:rPr>
        <w:t>ინფორმაციის</w:t>
      </w:r>
      <w:r w:rsidRPr="003D733D">
        <w:t xml:space="preserve"> </w:t>
      </w:r>
      <w:r w:rsidRPr="003D733D">
        <w:rPr>
          <w:rFonts w:ascii="Sylfaen" w:hAnsi="Sylfaen" w:cs="Sylfaen"/>
        </w:rPr>
        <w:t>გამჟღავნების</w:t>
      </w:r>
      <w:r w:rsidRPr="003D733D">
        <w:t xml:space="preserve"> </w:t>
      </w:r>
      <w:r w:rsidRPr="003D733D">
        <w:rPr>
          <w:rFonts w:ascii="Sylfaen" w:hAnsi="Sylfaen" w:cs="Sylfaen"/>
        </w:rPr>
        <w:t>პერიოდში</w:t>
      </w:r>
      <w:r w:rsidRPr="003D733D">
        <w:t xml:space="preserve">, </w:t>
      </w:r>
      <w:r w:rsidRPr="003D733D">
        <w:rPr>
          <w:rFonts w:ascii="Sylfaen" w:hAnsi="Sylfaen" w:cs="Sylfaen"/>
        </w:rPr>
        <w:t>დაინტერესებულ</w:t>
      </w:r>
      <w:r w:rsidRPr="003D733D">
        <w:t xml:space="preserve"> </w:t>
      </w:r>
      <w:r w:rsidRPr="003D733D">
        <w:rPr>
          <w:rFonts w:ascii="Sylfaen" w:hAnsi="Sylfaen" w:cs="Sylfaen"/>
        </w:rPr>
        <w:t>მხარეებს</w:t>
      </w:r>
      <w:r w:rsidRPr="003D733D">
        <w:t xml:space="preserve"> </w:t>
      </w:r>
      <w:r w:rsidRPr="003D733D">
        <w:rPr>
          <w:rFonts w:ascii="Sylfaen" w:hAnsi="Sylfaen" w:cs="Sylfaen"/>
        </w:rPr>
        <w:t>შესაძლებლობა</w:t>
      </w:r>
      <w:r w:rsidRPr="003D733D">
        <w:t xml:space="preserve"> </w:t>
      </w:r>
      <w:r w:rsidRPr="003D733D">
        <w:rPr>
          <w:rFonts w:ascii="Sylfaen" w:hAnsi="Sylfaen" w:cs="Sylfaen"/>
        </w:rPr>
        <w:t>ექნებათ</w:t>
      </w:r>
      <w:r w:rsidRPr="003D733D">
        <w:t xml:space="preserve"> </w:t>
      </w:r>
      <w:r w:rsidRPr="003D733D">
        <w:rPr>
          <w:rFonts w:ascii="Sylfaen" w:hAnsi="Sylfaen" w:cs="Sylfaen"/>
        </w:rPr>
        <w:t>გამოაგზავნონ</w:t>
      </w:r>
      <w:r w:rsidRPr="003D733D">
        <w:t xml:space="preserve"> </w:t>
      </w:r>
      <w:r w:rsidRPr="003D733D">
        <w:rPr>
          <w:rFonts w:ascii="Sylfaen" w:hAnsi="Sylfaen" w:cs="Sylfaen"/>
        </w:rPr>
        <w:t>კომენტარები</w:t>
      </w:r>
      <w:r w:rsidRPr="003D733D">
        <w:t xml:space="preserve"> </w:t>
      </w:r>
      <w:r w:rsidRPr="003D733D">
        <w:rPr>
          <w:rFonts w:ascii="Sylfaen" w:hAnsi="Sylfaen" w:cs="Sylfaen"/>
        </w:rPr>
        <w:t>შემდეგი</w:t>
      </w:r>
      <w:r w:rsidRPr="003D733D">
        <w:t xml:space="preserve"> </w:t>
      </w:r>
      <w:r w:rsidRPr="003D733D">
        <w:rPr>
          <w:rFonts w:ascii="Sylfaen" w:hAnsi="Sylfaen" w:cs="Sylfaen"/>
        </w:rPr>
        <w:t>ელექტრონული</w:t>
      </w:r>
      <w:r w:rsidRPr="003D733D">
        <w:t xml:space="preserve"> </w:t>
      </w:r>
      <w:r w:rsidRPr="003D733D">
        <w:rPr>
          <w:rFonts w:ascii="Sylfaen" w:hAnsi="Sylfaen" w:cs="Sylfaen"/>
        </w:rPr>
        <w:t>ფოსტის</w:t>
      </w:r>
      <w:r w:rsidRPr="003D733D">
        <w:t xml:space="preserve"> </w:t>
      </w:r>
      <w:r w:rsidRPr="003D733D">
        <w:rPr>
          <w:rFonts w:ascii="Sylfaen" w:hAnsi="Sylfaen" w:cs="Sylfaen"/>
        </w:rPr>
        <w:t>მისამართებზე</w:t>
      </w:r>
      <w:r w:rsidRPr="003D733D">
        <w:t xml:space="preserve">: </w:t>
      </w:r>
      <w:hyperlink r:id="rId199" w:history="1">
        <w:r w:rsidRPr="003D733D">
          <w:t>maya_vashakidze@yahoo.co.uk</w:t>
        </w:r>
      </w:hyperlink>
    </w:p>
    <w:p w14:paraId="207AC085" w14:textId="77777777" w:rsidR="00CE1A11" w:rsidRPr="003D733D" w:rsidRDefault="00CE1A11" w:rsidP="00CE1A11"/>
    <w:p w14:paraId="20387E58" w14:textId="77777777" w:rsidR="00CE1A11" w:rsidRPr="003D733D" w:rsidRDefault="00CE1A11" w:rsidP="00CE1A11">
      <w:bookmarkStart w:id="538" w:name="_Toc473553975"/>
      <w:bookmarkStart w:id="539" w:name="_Toc471745824"/>
      <w:bookmarkStart w:id="540" w:name="_Toc471745479"/>
      <w:bookmarkStart w:id="541" w:name="_Toc529977435"/>
      <w:r w:rsidRPr="003D733D">
        <w:t xml:space="preserve">10.2 </w:t>
      </w:r>
      <w:bookmarkEnd w:id="538"/>
      <w:bookmarkEnd w:id="539"/>
      <w:bookmarkEnd w:id="540"/>
      <w:r w:rsidRPr="003D733D">
        <w:rPr>
          <w:rFonts w:ascii="Sylfaen" w:hAnsi="Sylfaen" w:cs="Sylfaen"/>
        </w:rPr>
        <w:t>საჩივრების</w:t>
      </w:r>
      <w:r w:rsidRPr="003D733D">
        <w:t xml:space="preserve"> </w:t>
      </w:r>
      <w:r w:rsidRPr="003D733D">
        <w:rPr>
          <w:rFonts w:ascii="Sylfaen" w:hAnsi="Sylfaen" w:cs="Sylfaen"/>
        </w:rPr>
        <w:t>განხილვის</w:t>
      </w:r>
      <w:r w:rsidRPr="003D733D">
        <w:t xml:space="preserve"> </w:t>
      </w:r>
      <w:r w:rsidRPr="003D733D">
        <w:rPr>
          <w:rFonts w:ascii="Sylfaen" w:hAnsi="Sylfaen" w:cs="Sylfaen"/>
        </w:rPr>
        <w:t>მექანიზმი</w:t>
      </w:r>
      <w:bookmarkEnd w:id="541"/>
    </w:p>
    <w:p w14:paraId="3253A925" w14:textId="77777777" w:rsidR="00CE1A11" w:rsidRPr="003D733D" w:rsidRDefault="00CE1A11" w:rsidP="00CE1A11">
      <w:r w:rsidRPr="003D733D">
        <w:rPr>
          <w:rFonts w:ascii="Sylfaen" w:hAnsi="Sylfaen" w:cs="Sylfaen"/>
        </w:rPr>
        <w:t>პროექტის</w:t>
      </w:r>
      <w:r w:rsidRPr="003D733D">
        <w:t xml:space="preserve"> </w:t>
      </w:r>
      <w:r w:rsidRPr="003D733D">
        <w:rPr>
          <w:rFonts w:ascii="Sylfaen" w:hAnsi="Sylfaen" w:cs="Sylfaen"/>
        </w:rPr>
        <w:t>განხორციელებისას</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წარმოიშვას</w:t>
      </w:r>
      <w:r w:rsidRPr="003D733D">
        <w:t xml:space="preserve"> </w:t>
      </w:r>
      <w:r w:rsidRPr="003D733D">
        <w:rPr>
          <w:rFonts w:ascii="Sylfaen" w:hAnsi="Sylfaen" w:cs="Sylfaen"/>
        </w:rPr>
        <w:t>რამდენიმე</w:t>
      </w:r>
      <w:r w:rsidRPr="003D733D">
        <w:t xml:space="preserve"> </w:t>
      </w:r>
      <w:r w:rsidRPr="003D733D">
        <w:rPr>
          <w:rFonts w:ascii="Sylfaen" w:hAnsi="Sylfaen" w:cs="Sylfaen"/>
        </w:rPr>
        <w:t>საკითხი</w:t>
      </w:r>
      <w:r w:rsidRPr="003D733D">
        <w:t xml:space="preserve"> </w:t>
      </w:r>
      <w:r w:rsidRPr="003D733D">
        <w:rPr>
          <w:rFonts w:ascii="Sylfaen" w:hAnsi="Sylfaen" w:cs="Sylfaen"/>
        </w:rPr>
        <w:t>გარემოსდაცვით</w:t>
      </w:r>
      <w:r w:rsidRPr="003D733D">
        <w:t xml:space="preserve"> </w:t>
      </w:r>
      <w:r w:rsidRPr="003D733D">
        <w:rPr>
          <w:rFonts w:ascii="Sylfaen" w:hAnsi="Sylfaen" w:cs="Sylfaen"/>
        </w:rPr>
        <w:t>და</w:t>
      </w:r>
      <w:r w:rsidRPr="003D733D">
        <w:t xml:space="preserve"> </w:t>
      </w:r>
      <w:r w:rsidRPr="003D733D">
        <w:rPr>
          <w:rFonts w:ascii="Sylfaen" w:hAnsi="Sylfaen" w:cs="Sylfaen"/>
        </w:rPr>
        <w:t>სოციალურ</w:t>
      </w:r>
      <w:r w:rsidRPr="003D733D">
        <w:t xml:space="preserve"> </w:t>
      </w:r>
      <w:r w:rsidRPr="003D733D">
        <w:rPr>
          <w:rFonts w:ascii="Sylfaen" w:hAnsi="Sylfaen" w:cs="Sylfaen"/>
        </w:rPr>
        <w:t>რისკებთან</w:t>
      </w:r>
      <w:r w:rsidRPr="003D733D">
        <w:t xml:space="preserve"> </w:t>
      </w:r>
      <w:r w:rsidRPr="003D733D">
        <w:rPr>
          <w:rFonts w:ascii="Sylfaen" w:hAnsi="Sylfaen" w:cs="Sylfaen"/>
        </w:rPr>
        <w:t>დაკავშირებით</w:t>
      </w:r>
      <w:r w:rsidRPr="003D733D">
        <w:t xml:space="preserve"> </w:t>
      </w:r>
      <w:r w:rsidRPr="003D733D">
        <w:rPr>
          <w:rFonts w:ascii="Sylfaen" w:hAnsi="Sylfaen" w:cs="Sylfaen"/>
        </w:rPr>
        <w:t>და</w:t>
      </w:r>
      <w:r w:rsidRPr="003D733D">
        <w:t xml:space="preserve"> </w:t>
      </w:r>
      <w:r w:rsidRPr="003D733D">
        <w:rPr>
          <w:rFonts w:ascii="Sylfaen" w:hAnsi="Sylfaen" w:cs="Sylfaen"/>
        </w:rPr>
        <w:t>უფლებებთან</w:t>
      </w:r>
      <w:r w:rsidRPr="003D733D">
        <w:t xml:space="preserve"> </w:t>
      </w:r>
      <w:r w:rsidRPr="003D733D">
        <w:rPr>
          <w:rFonts w:ascii="Sylfaen" w:hAnsi="Sylfaen" w:cs="Sylfaen"/>
        </w:rPr>
        <w:t>დაკავშირებული</w:t>
      </w:r>
      <w:r w:rsidRPr="003D733D">
        <w:t xml:space="preserve"> </w:t>
      </w:r>
      <w:r w:rsidRPr="003D733D">
        <w:rPr>
          <w:rFonts w:ascii="Sylfaen" w:hAnsi="Sylfaen" w:cs="Sylfaen"/>
        </w:rPr>
        <w:t>დავების</w:t>
      </w:r>
      <w:r w:rsidRPr="003D733D">
        <w:t xml:space="preserve"> </w:t>
      </w:r>
      <w:r w:rsidRPr="003D733D">
        <w:rPr>
          <w:rFonts w:ascii="Sylfaen" w:hAnsi="Sylfaen" w:cs="Sylfaen"/>
        </w:rPr>
        <w:t>პროცესები</w:t>
      </w:r>
      <w:r w:rsidRPr="003D733D">
        <w:t xml:space="preserve"> </w:t>
      </w:r>
      <w:r w:rsidRPr="003D733D">
        <w:rPr>
          <w:rFonts w:ascii="Sylfaen" w:hAnsi="Sylfaen" w:cs="Sylfaen"/>
        </w:rPr>
        <w:t>პროექტის</w:t>
      </w:r>
      <w:r w:rsidRPr="003D733D">
        <w:t xml:space="preserve"> </w:t>
      </w:r>
      <w:r w:rsidRPr="003D733D">
        <w:rPr>
          <w:rFonts w:ascii="Sylfaen" w:hAnsi="Sylfaen" w:cs="Sylfaen"/>
        </w:rPr>
        <w:t>აქტივობებთან</w:t>
      </w:r>
      <w:r w:rsidRPr="003D733D">
        <w:t xml:space="preserve"> </w:t>
      </w:r>
      <w:r w:rsidRPr="003D733D">
        <w:rPr>
          <w:rFonts w:ascii="Sylfaen" w:hAnsi="Sylfaen" w:cs="Sylfaen"/>
        </w:rPr>
        <w:t>დაკავშირებით</w:t>
      </w:r>
      <w:r w:rsidRPr="003D733D">
        <w:t xml:space="preserve">. </w:t>
      </w:r>
      <w:r w:rsidRPr="003D733D">
        <w:rPr>
          <w:rFonts w:ascii="Sylfaen" w:hAnsi="Sylfaen" w:cs="Sylfaen"/>
        </w:rPr>
        <w:t>პროექტისთვის</w:t>
      </w:r>
      <w:r w:rsidRPr="003D733D">
        <w:t xml:space="preserve"> </w:t>
      </w:r>
      <w:r w:rsidRPr="003D733D">
        <w:rPr>
          <w:rFonts w:ascii="Sylfaen" w:hAnsi="Sylfaen" w:cs="Sylfaen"/>
        </w:rPr>
        <w:t>შეიქმნება</w:t>
      </w:r>
      <w:r w:rsidRPr="003D733D">
        <w:t xml:space="preserve"> </w:t>
      </w:r>
      <w:r w:rsidRPr="003D733D">
        <w:rPr>
          <w:rFonts w:ascii="Sylfaen" w:hAnsi="Sylfaen" w:cs="Sylfaen"/>
        </w:rPr>
        <w:t>საჩივრების</w:t>
      </w:r>
      <w:r w:rsidRPr="003D733D">
        <w:t xml:space="preserve"> </w:t>
      </w:r>
      <w:r w:rsidRPr="003D733D">
        <w:rPr>
          <w:rFonts w:ascii="Sylfaen" w:hAnsi="Sylfaen" w:cs="Sylfaen"/>
        </w:rPr>
        <w:t>განხილვის</w:t>
      </w:r>
      <w:r w:rsidRPr="003D733D">
        <w:t xml:space="preserve"> </w:t>
      </w:r>
      <w:r w:rsidRPr="003D733D">
        <w:rPr>
          <w:rFonts w:ascii="Sylfaen" w:hAnsi="Sylfaen" w:cs="Sylfaen"/>
        </w:rPr>
        <w:t>მექანიზმი</w:t>
      </w:r>
      <w:r w:rsidRPr="003D733D">
        <w:t xml:space="preserve"> </w:t>
      </w:r>
      <w:r w:rsidRPr="003D733D">
        <w:rPr>
          <w:rFonts w:ascii="Sylfaen" w:hAnsi="Sylfaen" w:cs="Sylfaen"/>
        </w:rPr>
        <w:t>პროექტის</w:t>
      </w:r>
      <w:r w:rsidRPr="003D733D">
        <w:t xml:space="preserve"> </w:t>
      </w:r>
      <w:r w:rsidRPr="003D733D">
        <w:rPr>
          <w:rFonts w:ascii="Sylfaen" w:hAnsi="Sylfaen" w:cs="Sylfaen"/>
        </w:rPr>
        <w:t>გარემოსდაცვითი</w:t>
      </w:r>
      <w:r w:rsidRPr="003D733D">
        <w:t xml:space="preserve"> </w:t>
      </w:r>
      <w:r w:rsidRPr="003D733D">
        <w:rPr>
          <w:rFonts w:ascii="Sylfaen" w:hAnsi="Sylfaen" w:cs="Sylfaen"/>
        </w:rPr>
        <w:t>და</w:t>
      </w:r>
      <w:r w:rsidRPr="003D733D">
        <w:t xml:space="preserve"> </w:t>
      </w:r>
      <w:r w:rsidRPr="003D733D">
        <w:rPr>
          <w:rFonts w:ascii="Sylfaen" w:hAnsi="Sylfaen" w:cs="Sylfaen"/>
        </w:rPr>
        <w:t>სოციალური</w:t>
      </w:r>
      <w:r w:rsidRPr="003D733D">
        <w:t xml:space="preserve"> </w:t>
      </w:r>
      <w:r w:rsidRPr="003D733D">
        <w:rPr>
          <w:rFonts w:ascii="Sylfaen" w:hAnsi="Sylfaen" w:cs="Sylfaen"/>
        </w:rPr>
        <w:t>საკითხების</w:t>
      </w:r>
      <w:r w:rsidRPr="003D733D">
        <w:t xml:space="preserve"> </w:t>
      </w:r>
      <w:r w:rsidRPr="003D733D">
        <w:rPr>
          <w:rFonts w:ascii="Sylfaen" w:hAnsi="Sylfaen" w:cs="Sylfaen"/>
        </w:rPr>
        <w:t>მოგვარებლად</w:t>
      </w:r>
      <w:r w:rsidRPr="003D733D">
        <w:t>.</w:t>
      </w:r>
    </w:p>
    <w:p w14:paraId="4E8CCC9A" w14:textId="77777777" w:rsidR="00CE1A11" w:rsidRPr="003D733D" w:rsidRDefault="00CE1A11" w:rsidP="00CE1A11">
      <w:r w:rsidRPr="003D733D">
        <w:rPr>
          <w:rFonts w:ascii="Sylfaen" w:hAnsi="Sylfaen" w:cs="Sylfaen"/>
        </w:rPr>
        <w:t>წინამდებარე</w:t>
      </w:r>
      <w:r w:rsidRPr="003D733D">
        <w:t xml:space="preserve"> </w:t>
      </w:r>
      <w:r w:rsidRPr="003D733D">
        <w:rPr>
          <w:rFonts w:ascii="Sylfaen" w:hAnsi="Sylfaen" w:cs="Sylfaen"/>
        </w:rPr>
        <w:t>თავი</w:t>
      </w:r>
      <w:r w:rsidRPr="003D733D">
        <w:t xml:space="preserve"> </w:t>
      </w:r>
      <w:r w:rsidRPr="003D733D">
        <w:rPr>
          <w:rFonts w:ascii="Sylfaen" w:hAnsi="Sylfaen" w:cs="Sylfaen"/>
        </w:rPr>
        <w:t>განსაზღვრავს</w:t>
      </w:r>
      <w:r w:rsidRPr="003D733D">
        <w:t xml:space="preserve"> </w:t>
      </w:r>
      <w:r w:rsidRPr="003D733D">
        <w:rPr>
          <w:rFonts w:ascii="Sylfaen" w:hAnsi="Sylfaen" w:cs="Sylfaen"/>
        </w:rPr>
        <w:t>საჩივრის</w:t>
      </w:r>
      <w:r w:rsidRPr="003D733D">
        <w:t xml:space="preserve"> </w:t>
      </w:r>
      <w:r w:rsidRPr="003D733D">
        <w:rPr>
          <w:rFonts w:ascii="Sylfaen" w:hAnsi="Sylfaen" w:cs="Sylfaen"/>
        </w:rPr>
        <w:t>განხილვის</w:t>
      </w:r>
      <w:r w:rsidRPr="003D733D">
        <w:t xml:space="preserve"> </w:t>
      </w:r>
      <w:r w:rsidRPr="003D733D">
        <w:rPr>
          <w:rFonts w:ascii="Sylfaen" w:hAnsi="Sylfaen" w:cs="Sylfaen"/>
        </w:rPr>
        <w:t>მექანიზმის</w:t>
      </w:r>
      <w:r w:rsidRPr="003D733D">
        <w:t xml:space="preserve"> (GRM) </w:t>
      </w:r>
      <w:r w:rsidRPr="003D733D">
        <w:rPr>
          <w:rFonts w:ascii="Sylfaen" w:hAnsi="Sylfaen" w:cs="Sylfaen"/>
        </w:rPr>
        <w:t>და</w:t>
      </w:r>
      <w:r w:rsidRPr="003D733D">
        <w:t xml:space="preserve"> </w:t>
      </w:r>
      <w:r w:rsidRPr="003D733D">
        <w:rPr>
          <w:rFonts w:ascii="Sylfaen" w:hAnsi="Sylfaen" w:cs="Sylfaen"/>
        </w:rPr>
        <w:t>მისი</w:t>
      </w:r>
      <w:r w:rsidRPr="003D733D">
        <w:t xml:space="preserve"> </w:t>
      </w:r>
      <w:r w:rsidRPr="003D733D">
        <w:rPr>
          <w:rFonts w:ascii="Sylfaen" w:hAnsi="Sylfaen" w:cs="Sylfaen"/>
        </w:rPr>
        <w:t>სტრუქტურისა</w:t>
      </w:r>
      <w:r w:rsidRPr="003D733D">
        <w:t xml:space="preserve"> </w:t>
      </w:r>
      <w:r w:rsidRPr="003D733D">
        <w:rPr>
          <w:rFonts w:ascii="Sylfaen" w:hAnsi="Sylfaen" w:cs="Sylfaen"/>
        </w:rPr>
        <w:t>და</w:t>
      </w:r>
      <w:r w:rsidRPr="003D733D">
        <w:t xml:space="preserve"> </w:t>
      </w:r>
      <w:r w:rsidRPr="003D733D">
        <w:rPr>
          <w:rFonts w:ascii="Sylfaen" w:hAnsi="Sylfaen" w:cs="Sylfaen"/>
        </w:rPr>
        <w:t>შემადგენლობის</w:t>
      </w:r>
      <w:r w:rsidRPr="003D733D">
        <w:t xml:space="preserve"> </w:t>
      </w:r>
      <w:r w:rsidRPr="003D733D">
        <w:rPr>
          <w:rFonts w:ascii="Sylfaen" w:hAnsi="Sylfaen" w:cs="Sylfaen"/>
        </w:rPr>
        <w:t>ჩამოყალიბების</w:t>
      </w:r>
      <w:r w:rsidRPr="003D733D">
        <w:t xml:space="preserve"> </w:t>
      </w:r>
      <w:r w:rsidRPr="003D733D">
        <w:rPr>
          <w:rFonts w:ascii="Sylfaen" w:hAnsi="Sylfaen" w:cs="Sylfaen"/>
        </w:rPr>
        <w:t>პროცედურებს</w:t>
      </w:r>
      <w:r w:rsidRPr="003D733D">
        <w:t>. IA-</w:t>
      </w:r>
      <w:r w:rsidRPr="003D733D">
        <w:rPr>
          <w:rFonts w:ascii="Sylfaen" w:hAnsi="Sylfaen" w:cs="Sylfaen"/>
        </w:rPr>
        <w:t>ს</w:t>
      </w:r>
      <w:r w:rsidRPr="003D733D">
        <w:t xml:space="preserve"> </w:t>
      </w:r>
      <w:r w:rsidRPr="003D733D">
        <w:rPr>
          <w:rFonts w:ascii="Sylfaen" w:hAnsi="Sylfaen" w:cs="Sylfaen"/>
        </w:rPr>
        <w:t>საგარანტიო</w:t>
      </w:r>
      <w:r w:rsidRPr="003D733D">
        <w:t xml:space="preserve"> </w:t>
      </w:r>
      <w:r w:rsidRPr="003D733D">
        <w:rPr>
          <w:rFonts w:ascii="Sylfaen" w:hAnsi="Sylfaen" w:cs="Sylfaen"/>
        </w:rPr>
        <w:t>დანაყოფები</w:t>
      </w:r>
      <w:r w:rsidRPr="003D733D">
        <w:t xml:space="preserve"> </w:t>
      </w:r>
      <w:r w:rsidRPr="003D733D">
        <w:rPr>
          <w:rFonts w:ascii="Sylfaen" w:hAnsi="Sylfaen" w:cs="Sylfaen"/>
        </w:rPr>
        <w:t>მნიშვნელოვან</w:t>
      </w:r>
      <w:r w:rsidRPr="003D733D">
        <w:t xml:space="preserve"> </w:t>
      </w:r>
      <w:r w:rsidRPr="003D733D">
        <w:rPr>
          <w:rFonts w:ascii="Sylfaen" w:hAnsi="Sylfaen" w:cs="Sylfaen"/>
        </w:rPr>
        <w:t>როლს</w:t>
      </w:r>
      <w:r w:rsidRPr="003D733D">
        <w:t xml:space="preserve"> </w:t>
      </w:r>
      <w:r w:rsidRPr="003D733D">
        <w:rPr>
          <w:rFonts w:ascii="Sylfaen" w:hAnsi="Sylfaen" w:cs="Sylfaen"/>
        </w:rPr>
        <w:t>ასრულებენ</w:t>
      </w:r>
      <w:r w:rsidRPr="003D733D">
        <w:t xml:space="preserve"> GRM-</w:t>
      </w:r>
      <w:r w:rsidRPr="003D733D">
        <w:rPr>
          <w:rFonts w:ascii="Sylfaen" w:hAnsi="Sylfaen" w:cs="Sylfaen"/>
        </w:rPr>
        <w:t>ს</w:t>
      </w:r>
      <w:r w:rsidRPr="003D733D">
        <w:t xml:space="preserve"> </w:t>
      </w:r>
      <w:r w:rsidRPr="003D733D">
        <w:rPr>
          <w:rFonts w:ascii="Sylfaen" w:hAnsi="Sylfaen" w:cs="Sylfaen"/>
        </w:rPr>
        <w:t>ჩამოყალიბებაში</w:t>
      </w:r>
      <w:r w:rsidRPr="003D733D">
        <w:t>.</w:t>
      </w:r>
    </w:p>
    <w:p w14:paraId="0A9219D3" w14:textId="77777777" w:rsidR="00CE1A11" w:rsidRPr="003D733D" w:rsidRDefault="00CE1A11" w:rsidP="00CE1A11">
      <w:r w:rsidRPr="003D733D">
        <w:br/>
        <w:t xml:space="preserve">GRM </w:t>
      </w:r>
      <w:r w:rsidRPr="003D733D">
        <w:rPr>
          <w:rFonts w:ascii="Sylfaen" w:hAnsi="Sylfaen" w:cs="Sylfaen"/>
        </w:rPr>
        <w:t>შედგება</w:t>
      </w:r>
      <w:r w:rsidRPr="003D733D">
        <w:t xml:space="preserve"> </w:t>
      </w:r>
      <w:r w:rsidRPr="003D733D">
        <w:rPr>
          <w:rFonts w:ascii="Sylfaen" w:hAnsi="Sylfaen" w:cs="Sylfaen"/>
        </w:rPr>
        <w:t>დროებითი</w:t>
      </w:r>
      <w:r w:rsidRPr="003D733D">
        <w:t xml:space="preserve">, </w:t>
      </w:r>
      <w:r w:rsidRPr="003D733D">
        <w:rPr>
          <w:rFonts w:ascii="Sylfaen" w:hAnsi="Sylfaen" w:cs="Sylfaen"/>
        </w:rPr>
        <w:t>პროექტისათვის</w:t>
      </w:r>
      <w:r w:rsidRPr="003D733D">
        <w:t xml:space="preserve"> </w:t>
      </w:r>
      <w:r w:rsidRPr="003D733D">
        <w:rPr>
          <w:rFonts w:ascii="Sylfaen" w:hAnsi="Sylfaen" w:cs="Sylfaen"/>
        </w:rPr>
        <w:t>სპეციფიკური</w:t>
      </w:r>
      <w:r w:rsidRPr="003D733D">
        <w:t xml:space="preserve"> </w:t>
      </w:r>
      <w:r w:rsidRPr="003D733D">
        <w:rPr>
          <w:rFonts w:ascii="Sylfaen" w:hAnsi="Sylfaen" w:cs="Sylfaen"/>
        </w:rPr>
        <w:t>დანაყოფებისგან</w:t>
      </w:r>
      <w:r w:rsidRPr="003D733D">
        <w:t xml:space="preserve">, </w:t>
      </w:r>
      <w:r w:rsidRPr="003D733D">
        <w:rPr>
          <w:rFonts w:ascii="Sylfaen" w:hAnsi="Sylfaen" w:cs="Sylfaen"/>
        </w:rPr>
        <w:t>შექმნილი</w:t>
      </w:r>
      <w:r w:rsidRPr="003D733D">
        <w:t xml:space="preserve"> </w:t>
      </w:r>
      <w:r w:rsidRPr="003D733D">
        <w:rPr>
          <w:rFonts w:ascii="Sylfaen" w:hAnsi="Sylfaen" w:cs="Sylfaen"/>
        </w:rPr>
        <w:t>მუნიციპალურ</w:t>
      </w:r>
      <w:r w:rsidRPr="003D733D">
        <w:t xml:space="preserve"> </w:t>
      </w:r>
      <w:r w:rsidRPr="003D733D">
        <w:rPr>
          <w:rFonts w:ascii="Sylfaen" w:hAnsi="Sylfaen" w:cs="Sylfaen"/>
        </w:rPr>
        <w:t>დონეზე</w:t>
      </w:r>
      <w:r w:rsidRPr="003D733D">
        <w:t xml:space="preserve"> </w:t>
      </w:r>
      <w:r w:rsidRPr="003D733D">
        <w:rPr>
          <w:rFonts w:ascii="Sylfaen" w:hAnsi="Sylfaen" w:cs="Sylfaen"/>
        </w:rPr>
        <w:t>პროექტთან</w:t>
      </w:r>
      <w:r w:rsidRPr="003D733D">
        <w:t xml:space="preserve"> </w:t>
      </w:r>
      <w:r w:rsidRPr="003D733D">
        <w:rPr>
          <w:rFonts w:ascii="Sylfaen" w:hAnsi="Sylfaen" w:cs="Sylfaen"/>
        </w:rPr>
        <w:t>დაკავშირებულ</w:t>
      </w:r>
      <w:r w:rsidRPr="003D733D">
        <w:t xml:space="preserve"> </w:t>
      </w:r>
      <w:r w:rsidRPr="003D733D">
        <w:rPr>
          <w:rFonts w:ascii="Sylfaen" w:hAnsi="Sylfaen" w:cs="Sylfaen"/>
        </w:rPr>
        <w:t>მუნიციპალიტეტებში</w:t>
      </w:r>
      <w:r w:rsidRPr="003D733D">
        <w:t xml:space="preserve"> </w:t>
      </w:r>
      <w:r w:rsidRPr="003D733D">
        <w:rPr>
          <w:rFonts w:ascii="Sylfaen" w:hAnsi="Sylfaen" w:cs="Sylfaen"/>
        </w:rPr>
        <w:t>და</w:t>
      </w:r>
      <w:r w:rsidRPr="003D733D">
        <w:t xml:space="preserve"> IA-</w:t>
      </w:r>
      <w:r w:rsidRPr="003D733D">
        <w:rPr>
          <w:rFonts w:ascii="Sylfaen" w:hAnsi="Sylfaen" w:cs="Sylfaen"/>
        </w:rPr>
        <w:t>ში</w:t>
      </w:r>
      <w:r w:rsidRPr="003D733D">
        <w:t xml:space="preserve"> </w:t>
      </w:r>
      <w:r w:rsidRPr="003D733D">
        <w:rPr>
          <w:rFonts w:ascii="Sylfaen" w:hAnsi="Sylfaen" w:cs="Sylfaen"/>
        </w:rPr>
        <w:t>ჩამოყალიბებული</w:t>
      </w:r>
      <w:r w:rsidRPr="003D733D">
        <w:t xml:space="preserve"> </w:t>
      </w:r>
      <w:r w:rsidRPr="003D733D">
        <w:rPr>
          <w:rFonts w:ascii="Sylfaen" w:hAnsi="Sylfaen" w:cs="Sylfaen"/>
        </w:rPr>
        <w:t>რეგულარული</w:t>
      </w:r>
      <w:r w:rsidRPr="003D733D">
        <w:t xml:space="preserve"> </w:t>
      </w:r>
      <w:r w:rsidRPr="003D733D">
        <w:rPr>
          <w:rFonts w:ascii="Sylfaen" w:hAnsi="Sylfaen" w:cs="Sylfaen"/>
        </w:rPr>
        <w:t>სისტემისგან</w:t>
      </w:r>
      <w:r w:rsidRPr="003D733D">
        <w:t xml:space="preserve">. </w:t>
      </w:r>
      <w:r w:rsidRPr="003D733D">
        <w:rPr>
          <w:rFonts w:ascii="Sylfaen" w:hAnsi="Sylfaen" w:cs="Sylfaen"/>
        </w:rPr>
        <w:t>საჩივრების</w:t>
      </w:r>
      <w:r w:rsidRPr="003D733D">
        <w:t xml:space="preserve"> </w:t>
      </w:r>
      <w:r w:rsidRPr="003D733D">
        <w:rPr>
          <w:rFonts w:ascii="Sylfaen" w:hAnsi="Sylfaen" w:cs="Sylfaen"/>
        </w:rPr>
        <w:t>განხილვის</w:t>
      </w:r>
      <w:r w:rsidRPr="003D733D">
        <w:t xml:space="preserve"> </w:t>
      </w:r>
      <w:r w:rsidRPr="003D733D">
        <w:rPr>
          <w:rFonts w:ascii="Sylfaen" w:hAnsi="Sylfaen" w:cs="Sylfaen"/>
        </w:rPr>
        <w:t>კომიტეტი</w:t>
      </w:r>
      <w:r w:rsidRPr="003D733D">
        <w:t xml:space="preserve"> (GRCE) </w:t>
      </w:r>
      <w:r w:rsidRPr="003D733D">
        <w:rPr>
          <w:rFonts w:ascii="Sylfaen" w:hAnsi="Sylfaen" w:cs="Sylfaen"/>
        </w:rPr>
        <w:t>შექმნილი</w:t>
      </w:r>
      <w:r w:rsidRPr="003D733D">
        <w:t xml:space="preserve"> </w:t>
      </w:r>
      <w:r w:rsidRPr="003D733D">
        <w:rPr>
          <w:rFonts w:ascii="Sylfaen" w:hAnsi="Sylfaen" w:cs="Sylfaen"/>
        </w:rPr>
        <w:t>მუნიციპალურ</w:t>
      </w:r>
      <w:r w:rsidRPr="003D733D">
        <w:t xml:space="preserve"> </w:t>
      </w:r>
      <w:r w:rsidRPr="003D733D">
        <w:rPr>
          <w:rFonts w:ascii="Sylfaen" w:hAnsi="Sylfaen" w:cs="Sylfaen"/>
        </w:rPr>
        <w:t>დონეზე</w:t>
      </w:r>
      <w:r w:rsidRPr="003D733D">
        <w:t xml:space="preserve"> </w:t>
      </w:r>
      <w:r w:rsidRPr="003D733D">
        <w:rPr>
          <w:rFonts w:ascii="Sylfaen" w:hAnsi="Sylfaen" w:cs="Sylfaen"/>
        </w:rPr>
        <w:t>როგორც</w:t>
      </w:r>
      <w:r w:rsidRPr="003D733D">
        <w:t xml:space="preserve"> </w:t>
      </w:r>
      <w:r w:rsidRPr="003D733D">
        <w:rPr>
          <w:rFonts w:ascii="Sylfaen" w:hAnsi="Sylfaen" w:cs="Sylfaen"/>
        </w:rPr>
        <w:t>პროექტის</w:t>
      </w:r>
      <w:r w:rsidRPr="003D733D">
        <w:t xml:space="preserve"> </w:t>
      </w:r>
      <w:r w:rsidRPr="003D733D">
        <w:rPr>
          <w:rFonts w:ascii="Sylfaen" w:hAnsi="Sylfaen" w:cs="Sylfaen"/>
        </w:rPr>
        <w:t>სპეციფიკური</w:t>
      </w:r>
      <w:r w:rsidRPr="003D733D">
        <w:t xml:space="preserve"> </w:t>
      </w:r>
      <w:r w:rsidRPr="003D733D">
        <w:rPr>
          <w:rFonts w:ascii="Sylfaen" w:hAnsi="Sylfaen" w:cs="Sylfaen"/>
        </w:rPr>
        <w:t>ინსტრუმენტი</w:t>
      </w:r>
      <w:r w:rsidRPr="003D733D">
        <w:t xml:space="preserve">, </w:t>
      </w:r>
      <w:r w:rsidRPr="003D733D">
        <w:rPr>
          <w:rFonts w:ascii="Sylfaen" w:hAnsi="Sylfaen" w:cs="Sylfaen"/>
        </w:rPr>
        <w:t>რომელიც</w:t>
      </w:r>
      <w:r w:rsidRPr="003D733D">
        <w:t xml:space="preserve"> </w:t>
      </w:r>
      <w:r w:rsidRPr="003D733D">
        <w:rPr>
          <w:rFonts w:ascii="Sylfaen" w:hAnsi="Sylfaen" w:cs="Sylfaen"/>
        </w:rPr>
        <w:t>ფუნქციურ</w:t>
      </w:r>
      <w:r w:rsidRPr="003D733D">
        <w:t xml:space="preserve"> </w:t>
      </w:r>
      <w:r w:rsidRPr="003D733D">
        <w:rPr>
          <w:rFonts w:ascii="Sylfaen" w:hAnsi="Sylfaen" w:cs="Sylfaen"/>
        </w:rPr>
        <w:t>ხასიათს</w:t>
      </w:r>
      <w:r w:rsidRPr="003D733D">
        <w:t xml:space="preserve"> </w:t>
      </w:r>
      <w:r w:rsidRPr="003D733D">
        <w:rPr>
          <w:rFonts w:ascii="Sylfaen" w:hAnsi="Sylfaen" w:cs="Sylfaen"/>
        </w:rPr>
        <w:t>ატარებს</w:t>
      </w:r>
      <w:r w:rsidRPr="003D733D">
        <w:t xml:space="preserve"> </w:t>
      </w:r>
      <w:r w:rsidRPr="003D733D">
        <w:rPr>
          <w:rFonts w:ascii="Sylfaen" w:hAnsi="Sylfaen" w:cs="Sylfaen"/>
        </w:rPr>
        <w:t>მხოლოდ</w:t>
      </w:r>
      <w:r w:rsidRPr="003D733D">
        <w:t xml:space="preserve"> </w:t>
      </w:r>
      <w:r w:rsidRPr="003D733D">
        <w:rPr>
          <w:rFonts w:ascii="Sylfaen" w:hAnsi="Sylfaen" w:cs="Sylfaen"/>
        </w:rPr>
        <w:t>პროექტის</w:t>
      </w:r>
      <w:r w:rsidRPr="003D733D">
        <w:t xml:space="preserve"> </w:t>
      </w:r>
      <w:r w:rsidRPr="003D733D">
        <w:rPr>
          <w:rFonts w:ascii="Sylfaen" w:hAnsi="Sylfaen" w:cs="Sylfaen"/>
        </w:rPr>
        <w:t>განხორციელების</w:t>
      </w:r>
      <w:r w:rsidRPr="003D733D">
        <w:t xml:space="preserve"> </w:t>
      </w:r>
      <w:r w:rsidRPr="003D733D">
        <w:rPr>
          <w:rFonts w:ascii="Sylfaen" w:hAnsi="Sylfaen" w:cs="Sylfaen"/>
        </w:rPr>
        <w:t>პერიოდში</w:t>
      </w:r>
      <w:r w:rsidRPr="003D733D">
        <w:t xml:space="preserve">. </w:t>
      </w:r>
      <w:r w:rsidRPr="003D733D">
        <w:rPr>
          <w:rFonts w:ascii="Sylfaen" w:hAnsi="Sylfaen" w:cs="Sylfaen"/>
        </w:rPr>
        <w:t>საჩივრების</w:t>
      </w:r>
      <w:r w:rsidRPr="003D733D">
        <w:t xml:space="preserve"> </w:t>
      </w:r>
      <w:r w:rsidRPr="003D733D">
        <w:rPr>
          <w:rFonts w:ascii="Sylfaen" w:hAnsi="Sylfaen" w:cs="Sylfaen"/>
        </w:rPr>
        <w:t>განხილვის</w:t>
      </w:r>
      <w:r w:rsidRPr="003D733D">
        <w:t xml:space="preserve"> </w:t>
      </w:r>
      <w:r w:rsidRPr="003D733D">
        <w:rPr>
          <w:rFonts w:ascii="Sylfaen" w:hAnsi="Sylfaen" w:cs="Sylfaen"/>
        </w:rPr>
        <w:t>კომიტეტი</w:t>
      </w:r>
      <w:r w:rsidRPr="003D733D">
        <w:t xml:space="preserve"> (GRCN) </w:t>
      </w:r>
      <w:r w:rsidRPr="003D733D">
        <w:rPr>
          <w:rFonts w:ascii="Sylfaen" w:hAnsi="Sylfaen" w:cs="Sylfaen"/>
        </w:rPr>
        <w:t>ჩამოყალიბებულია</w:t>
      </w:r>
      <w:r w:rsidRPr="003D733D">
        <w:t xml:space="preserve"> </w:t>
      </w:r>
      <w:r w:rsidRPr="003D733D">
        <w:rPr>
          <w:rFonts w:ascii="Sylfaen" w:hAnsi="Sylfaen" w:cs="Sylfaen"/>
        </w:rPr>
        <w:t>როგორც</w:t>
      </w:r>
      <w:r w:rsidRPr="003D733D">
        <w:t xml:space="preserve"> </w:t>
      </w:r>
      <w:r w:rsidRPr="003D733D">
        <w:rPr>
          <w:rFonts w:ascii="Sylfaen" w:hAnsi="Sylfaen" w:cs="Sylfaen"/>
        </w:rPr>
        <w:t>მუდმივი</w:t>
      </w:r>
      <w:r w:rsidRPr="003D733D">
        <w:t xml:space="preserve"> </w:t>
      </w:r>
      <w:r w:rsidRPr="003D733D">
        <w:rPr>
          <w:rFonts w:ascii="Sylfaen" w:hAnsi="Sylfaen" w:cs="Sylfaen"/>
        </w:rPr>
        <w:t>ფუნქციური</w:t>
      </w:r>
      <w:r w:rsidRPr="003D733D">
        <w:t xml:space="preserve"> </w:t>
      </w:r>
      <w:r w:rsidRPr="003D733D">
        <w:rPr>
          <w:rFonts w:ascii="Sylfaen" w:hAnsi="Sylfaen" w:cs="Sylfaen"/>
        </w:rPr>
        <w:t>არაფორმალური</w:t>
      </w:r>
      <w:r w:rsidRPr="003D733D">
        <w:t xml:space="preserve"> </w:t>
      </w:r>
      <w:r w:rsidRPr="003D733D">
        <w:rPr>
          <w:rFonts w:ascii="Sylfaen" w:hAnsi="Sylfaen" w:cs="Sylfaen"/>
        </w:rPr>
        <w:t>სტრუქტურა</w:t>
      </w:r>
      <w:r w:rsidRPr="003D733D">
        <w:t xml:space="preserve"> IA-</w:t>
      </w:r>
      <w:r w:rsidRPr="003D733D">
        <w:rPr>
          <w:rFonts w:ascii="Sylfaen" w:hAnsi="Sylfaen" w:cs="Sylfaen"/>
        </w:rPr>
        <w:t>ს</w:t>
      </w:r>
      <w:r w:rsidRPr="003D733D">
        <w:t xml:space="preserve"> </w:t>
      </w:r>
      <w:r w:rsidRPr="003D733D">
        <w:rPr>
          <w:rFonts w:ascii="Sylfaen" w:hAnsi="Sylfaen" w:cs="Sylfaen"/>
        </w:rPr>
        <w:t>ფარგლებში</w:t>
      </w:r>
      <w:r w:rsidRPr="003D733D">
        <w:t xml:space="preserve">, </w:t>
      </w:r>
      <w:r w:rsidRPr="003D733D">
        <w:rPr>
          <w:rFonts w:ascii="Sylfaen" w:hAnsi="Sylfaen" w:cs="Sylfaen"/>
        </w:rPr>
        <w:t>რათა</w:t>
      </w:r>
      <w:r w:rsidRPr="003D733D">
        <w:t xml:space="preserve"> </w:t>
      </w:r>
      <w:r w:rsidRPr="003D733D">
        <w:rPr>
          <w:rFonts w:ascii="Sylfaen" w:hAnsi="Sylfaen" w:cs="Sylfaen"/>
        </w:rPr>
        <w:t>უზრუნველყოს</w:t>
      </w:r>
      <w:r w:rsidRPr="003D733D">
        <w:t xml:space="preserve"> </w:t>
      </w:r>
      <w:r w:rsidRPr="003D733D">
        <w:rPr>
          <w:rFonts w:ascii="Sylfaen" w:hAnsi="Sylfaen" w:cs="Sylfaen"/>
        </w:rPr>
        <w:t>საჩივრების</w:t>
      </w:r>
      <w:r w:rsidRPr="003D733D">
        <w:t xml:space="preserve"> </w:t>
      </w:r>
      <w:r w:rsidRPr="003D733D">
        <w:rPr>
          <w:rFonts w:ascii="Sylfaen" w:hAnsi="Sylfaen" w:cs="Sylfaen"/>
        </w:rPr>
        <w:t>განხილვა</w:t>
      </w:r>
      <w:r w:rsidRPr="003D733D">
        <w:t xml:space="preserve">, </w:t>
      </w:r>
      <w:r w:rsidRPr="003D733D">
        <w:rPr>
          <w:rFonts w:ascii="Sylfaen" w:hAnsi="Sylfaen" w:cs="Sylfaen"/>
        </w:rPr>
        <w:t>გადაწყვეტილებები</w:t>
      </w:r>
      <w:r w:rsidRPr="003D733D">
        <w:t xml:space="preserve"> </w:t>
      </w:r>
      <w:r w:rsidRPr="003D733D">
        <w:rPr>
          <w:rFonts w:ascii="Sylfaen" w:hAnsi="Sylfaen" w:cs="Sylfaen"/>
        </w:rPr>
        <w:t>და</w:t>
      </w:r>
      <w:r w:rsidRPr="003D733D">
        <w:t xml:space="preserve"> </w:t>
      </w:r>
      <w:r w:rsidRPr="003D733D">
        <w:rPr>
          <w:rFonts w:ascii="Sylfaen" w:hAnsi="Sylfaen" w:cs="Sylfaen"/>
        </w:rPr>
        <w:t>ჩანაწერები</w:t>
      </w:r>
      <w:r w:rsidRPr="003D733D">
        <w:t xml:space="preserve">. </w:t>
      </w:r>
    </w:p>
    <w:p w14:paraId="21F55A05" w14:textId="77777777" w:rsidR="00CE1A11" w:rsidRPr="003D733D" w:rsidRDefault="00CE1A11" w:rsidP="00CE1A11">
      <w:r w:rsidRPr="003D733D">
        <w:br/>
      </w:r>
      <w:r w:rsidRPr="003D733D">
        <w:rPr>
          <w:rFonts w:ascii="Sylfaen" w:hAnsi="Sylfaen" w:cs="Sylfaen"/>
        </w:rPr>
        <w:t>საჩივრების</w:t>
      </w:r>
      <w:r w:rsidRPr="003D733D">
        <w:t xml:space="preserve"> </w:t>
      </w:r>
      <w:r w:rsidRPr="003D733D">
        <w:rPr>
          <w:rFonts w:ascii="Sylfaen" w:hAnsi="Sylfaen" w:cs="Sylfaen"/>
        </w:rPr>
        <w:t>განხილვის</w:t>
      </w:r>
      <w:r w:rsidRPr="003D733D">
        <w:t xml:space="preserve"> </w:t>
      </w:r>
      <w:r w:rsidRPr="003D733D">
        <w:rPr>
          <w:rFonts w:ascii="Sylfaen" w:hAnsi="Sylfaen" w:cs="Sylfaen"/>
        </w:rPr>
        <w:t>კომისია</w:t>
      </w:r>
      <w:r w:rsidRPr="003D733D">
        <w:t xml:space="preserve"> </w:t>
      </w:r>
    </w:p>
    <w:p w14:paraId="5C8B254A" w14:textId="77777777" w:rsidR="00CE1A11" w:rsidRPr="003D733D" w:rsidRDefault="00CE1A11" w:rsidP="004B1ED5">
      <w:pPr>
        <w:spacing w:before="120" w:after="120"/>
      </w:pPr>
      <w:r w:rsidRPr="003D733D">
        <w:rPr>
          <w:rFonts w:ascii="Sylfaen" w:hAnsi="Sylfaen" w:cs="Sylfaen"/>
        </w:rPr>
        <w:lastRenderedPageBreak/>
        <w:t>საჩივრების</w:t>
      </w:r>
      <w:r w:rsidRPr="003D733D">
        <w:t xml:space="preserve"> </w:t>
      </w:r>
      <w:r w:rsidRPr="003D733D">
        <w:rPr>
          <w:rFonts w:ascii="Sylfaen" w:hAnsi="Sylfaen" w:cs="Sylfaen"/>
        </w:rPr>
        <w:t>განხილვის</w:t>
      </w:r>
      <w:r w:rsidRPr="003D733D">
        <w:t xml:space="preserve"> </w:t>
      </w:r>
      <w:r w:rsidRPr="003D733D">
        <w:rPr>
          <w:rFonts w:ascii="Sylfaen" w:hAnsi="Sylfaen" w:cs="Sylfaen"/>
        </w:rPr>
        <w:t>კომისია</w:t>
      </w:r>
      <w:r w:rsidRPr="003D733D">
        <w:t xml:space="preserve"> (GRCN) </w:t>
      </w:r>
      <w:r w:rsidRPr="003D733D">
        <w:rPr>
          <w:rFonts w:ascii="Sylfaen" w:hAnsi="Sylfaen" w:cs="Sylfaen"/>
        </w:rPr>
        <w:t>იქმნება</w:t>
      </w:r>
      <w:r w:rsidRPr="003D733D">
        <w:t xml:space="preserve"> RDMRDI </w:t>
      </w:r>
      <w:r w:rsidRPr="003D733D">
        <w:rPr>
          <w:rFonts w:ascii="Sylfaen" w:hAnsi="Sylfaen" w:cs="Sylfaen"/>
        </w:rPr>
        <w:t>ხელმძღვანელის</w:t>
      </w:r>
      <w:r w:rsidRPr="003D733D">
        <w:t xml:space="preserve"> </w:t>
      </w:r>
      <w:r w:rsidRPr="003D733D">
        <w:rPr>
          <w:rFonts w:ascii="Sylfaen" w:hAnsi="Sylfaen" w:cs="Sylfaen"/>
        </w:rPr>
        <w:t>ბრძანებით</w:t>
      </w:r>
      <w:r w:rsidRPr="003D733D">
        <w:t xml:space="preserve"> </w:t>
      </w:r>
      <w:r w:rsidRPr="003D733D">
        <w:rPr>
          <w:rFonts w:ascii="Sylfaen" w:hAnsi="Sylfaen" w:cs="Sylfaen"/>
        </w:rPr>
        <w:t>როგორც</w:t>
      </w:r>
      <w:r w:rsidRPr="003D733D">
        <w:t xml:space="preserve"> </w:t>
      </w:r>
      <w:r w:rsidRPr="003D733D">
        <w:rPr>
          <w:rFonts w:ascii="Sylfaen" w:hAnsi="Sylfaen" w:cs="Sylfaen"/>
        </w:rPr>
        <w:t>მუდმივად</w:t>
      </w:r>
      <w:r w:rsidRPr="003D733D">
        <w:t xml:space="preserve"> </w:t>
      </w:r>
      <w:r w:rsidRPr="003D733D">
        <w:rPr>
          <w:rFonts w:ascii="Sylfaen" w:hAnsi="Sylfaen" w:cs="Sylfaen"/>
        </w:rPr>
        <w:t>ფუნქციონალური</w:t>
      </w:r>
      <w:r w:rsidRPr="003D733D">
        <w:t xml:space="preserve"> </w:t>
      </w:r>
      <w:r w:rsidRPr="003D733D">
        <w:rPr>
          <w:rFonts w:ascii="Sylfaen" w:hAnsi="Sylfaen" w:cs="Sylfaen"/>
        </w:rPr>
        <w:t>არაფორმალური</w:t>
      </w:r>
      <w:r w:rsidRPr="003D733D">
        <w:t xml:space="preserve"> </w:t>
      </w:r>
      <w:r w:rsidRPr="003D733D">
        <w:rPr>
          <w:rFonts w:ascii="Sylfaen" w:hAnsi="Sylfaen" w:cs="Sylfaen"/>
        </w:rPr>
        <w:t>სტრუქტურა</w:t>
      </w:r>
      <w:r w:rsidRPr="003D733D">
        <w:t>, RDMRDI-</w:t>
      </w:r>
      <w:r w:rsidRPr="003D733D">
        <w:rPr>
          <w:rFonts w:ascii="Sylfaen" w:hAnsi="Sylfaen" w:cs="Sylfaen"/>
        </w:rPr>
        <w:t>ს</w:t>
      </w:r>
      <w:r w:rsidRPr="003D733D">
        <w:t xml:space="preserve"> </w:t>
      </w:r>
      <w:r w:rsidRPr="003D733D">
        <w:rPr>
          <w:rFonts w:ascii="Sylfaen" w:hAnsi="Sylfaen" w:cs="Sylfaen"/>
        </w:rPr>
        <w:t>ჩართული</w:t>
      </w:r>
      <w:r w:rsidRPr="003D733D">
        <w:t xml:space="preserve"> </w:t>
      </w:r>
      <w:r w:rsidRPr="003D733D">
        <w:rPr>
          <w:rFonts w:ascii="Sylfaen" w:hAnsi="Sylfaen" w:cs="Sylfaen"/>
        </w:rPr>
        <w:t>პერსონალით</w:t>
      </w:r>
      <w:r w:rsidRPr="003D733D">
        <w:t xml:space="preserve">  </w:t>
      </w:r>
      <w:r w:rsidRPr="003D733D">
        <w:rPr>
          <w:rFonts w:ascii="Sylfaen" w:hAnsi="Sylfaen" w:cs="Sylfaen"/>
        </w:rPr>
        <w:t>გარემოს</w:t>
      </w:r>
      <w:r w:rsidRPr="003D733D">
        <w:t xml:space="preserve"> </w:t>
      </w:r>
      <w:r w:rsidRPr="003D733D">
        <w:rPr>
          <w:rFonts w:ascii="Sylfaen" w:hAnsi="Sylfaen" w:cs="Sylfaen"/>
        </w:rPr>
        <w:t>დაცვისა</w:t>
      </w:r>
      <w:r w:rsidRPr="003D733D">
        <w:t xml:space="preserve"> </w:t>
      </w:r>
      <w:r w:rsidRPr="003D733D">
        <w:rPr>
          <w:rFonts w:ascii="Sylfaen" w:hAnsi="Sylfaen" w:cs="Sylfaen"/>
        </w:rPr>
        <w:t>და</w:t>
      </w:r>
      <w:r w:rsidRPr="003D733D">
        <w:t xml:space="preserve"> </w:t>
      </w:r>
      <w:r w:rsidRPr="003D733D">
        <w:rPr>
          <w:rFonts w:ascii="Sylfaen" w:hAnsi="Sylfaen" w:cs="Sylfaen"/>
        </w:rPr>
        <w:t>განსახლების</w:t>
      </w:r>
      <w:r w:rsidRPr="003D733D">
        <w:t xml:space="preserve"> </w:t>
      </w:r>
      <w:r w:rsidRPr="003D733D">
        <w:rPr>
          <w:rFonts w:ascii="Sylfaen" w:hAnsi="Sylfaen" w:cs="Sylfaen"/>
        </w:rPr>
        <w:t>და</w:t>
      </w:r>
      <w:r w:rsidRPr="003D733D">
        <w:t xml:space="preserve"> </w:t>
      </w:r>
      <w:r w:rsidRPr="003D733D">
        <w:rPr>
          <w:rFonts w:ascii="Sylfaen" w:hAnsi="Sylfaen" w:cs="Sylfaen"/>
        </w:rPr>
        <w:t>საჩივრის</w:t>
      </w:r>
      <w:r w:rsidRPr="003D733D">
        <w:t xml:space="preserve"> </w:t>
      </w:r>
      <w:r w:rsidRPr="003D733D">
        <w:rPr>
          <w:rFonts w:ascii="Sylfaen" w:hAnsi="Sylfaen" w:cs="Sylfaen"/>
        </w:rPr>
        <w:t>გადაწყვეტილების</w:t>
      </w:r>
      <w:r w:rsidRPr="003D733D">
        <w:t xml:space="preserve"> </w:t>
      </w:r>
      <w:r w:rsidRPr="003D733D">
        <w:rPr>
          <w:rFonts w:ascii="Sylfaen" w:hAnsi="Sylfaen" w:cs="Sylfaen"/>
        </w:rPr>
        <w:t>საკითხებთან</w:t>
      </w:r>
      <w:r w:rsidRPr="003D733D">
        <w:t xml:space="preserve"> </w:t>
      </w:r>
      <w:r w:rsidRPr="003D733D">
        <w:rPr>
          <w:rFonts w:ascii="Sylfaen" w:hAnsi="Sylfaen" w:cs="Sylfaen"/>
        </w:rPr>
        <w:t>დაკავშირებული</w:t>
      </w:r>
      <w:r w:rsidRPr="003D733D">
        <w:t xml:space="preserve"> </w:t>
      </w:r>
      <w:r w:rsidRPr="003D733D">
        <w:rPr>
          <w:rFonts w:ascii="Sylfaen" w:hAnsi="Sylfaen" w:cs="Sylfaen"/>
        </w:rPr>
        <w:t>ყველა</w:t>
      </w:r>
      <w:r w:rsidRPr="003D733D">
        <w:t xml:space="preserve"> </w:t>
      </w:r>
      <w:r w:rsidRPr="003D733D">
        <w:rPr>
          <w:rFonts w:ascii="Sylfaen" w:hAnsi="Sylfaen" w:cs="Sylfaen"/>
        </w:rPr>
        <w:t>დეპარტამენტიდან</w:t>
      </w:r>
      <w:r w:rsidRPr="003D733D">
        <w:t xml:space="preserve">. </w:t>
      </w:r>
      <w:r w:rsidRPr="003D733D">
        <w:rPr>
          <w:rFonts w:ascii="Sylfaen" w:hAnsi="Sylfaen" w:cs="Sylfaen"/>
        </w:rPr>
        <w:t>ეს</w:t>
      </w:r>
      <w:r w:rsidRPr="003D733D">
        <w:t xml:space="preserve"> </w:t>
      </w:r>
      <w:r w:rsidRPr="003D733D">
        <w:rPr>
          <w:rFonts w:ascii="Sylfaen" w:hAnsi="Sylfaen" w:cs="Sylfaen"/>
        </w:rPr>
        <w:t>მოიცავს</w:t>
      </w:r>
      <w:r w:rsidRPr="003D733D">
        <w:t xml:space="preserve"> </w:t>
      </w:r>
      <w:r w:rsidRPr="003D733D">
        <w:rPr>
          <w:rFonts w:ascii="Sylfaen" w:hAnsi="Sylfaen" w:cs="Sylfaen"/>
        </w:rPr>
        <w:t>უმაღლეს</w:t>
      </w:r>
      <w:r w:rsidRPr="003D733D">
        <w:t xml:space="preserve"> </w:t>
      </w:r>
      <w:r w:rsidRPr="003D733D">
        <w:rPr>
          <w:rFonts w:ascii="Sylfaen" w:hAnsi="Sylfaen" w:cs="Sylfaen"/>
        </w:rPr>
        <w:t>მმართველობას</w:t>
      </w:r>
      <w:r w:rsidRPr="003D733D">
        <w:t xml:space="preserve">, </w:t>
      </w:r>
      <w:r w:rsidRPr="003D733D">
        <w:rPr>
          <w:rFonts w:ascii="Sylfaen" w:hAnsi="Sylfaen" w:cs="Sylfaen"/>
        </w:rPr>
        <w:t>გარემოსდაცვით</w:t>
      </w:r>
      <w:r w:rsidRPr="003D733D">
        <w:t xml:space="preserve"> </w:t>
      </w:r>
      <w:r w:rsidRPr="003D733D">
        <w:rPr>
          <w:rFonts w:ascii="Sylfaen" w:hAnsi="Sylfaen" w:cs="Sylfaen"/>
        </w:rPr>
        <w:t>და</w:t>
      </w:r>
      <w:r w:rsidRPr="003D733D">
        <w:t xml:space="preserve"> </w:t>
      </w:r>
      <w:r w:rsidRPr="003D733D">
        <w:rPr>
          <w:rFonts w:ascii="Sylfaen" w:hAnsi="Sylfaen" w:cs="Sylfaen"/>
        </w:rPr>
        <w:t>სოციალური</w:t>
      </w:r>
      <w:r w:rsidRPr="003D733D">
        <w:t xml:space="preserve"> </w:t>
      </w:r>
      <w:r w:rsidRPr="003D733D">
        <w:rPr>
          <w:rFonts w:ascii="Sylfaen" w:hAnsi="Sylfaen" w:cs="Sylfaen"/>
        </w:rPr>
        <w:t>დაცვის</w:t>
      </w:r>
      <w:r w:rsidRPr="003D733D">
        <w:t xml:space="preserve"> </w:t>
      </w:r>
      <w:r w:rsidRPr="003D733D">
        <w:rPr>
          <w:rFonts w:ascii="Sylfaen" w:hAnsi="Sylfaen" w:cs="Sylfaen"/>
        </w:rPr>
        <w:t>დანაყოფებს</w:t>
      </w:r>
      <w:r w:rsidRPr="003D733D">
        <w:t xml:space="preserve">, </w:t>
      </w:r>
      <w:r w:rsidRPr="003D733D">
        <w:rPr>
          <w:rFonts w:ascii="Sylfaen" w:hAnsi="Sylfaen" w:cs="Sylfaen"/>
        </w:rPr>
        <w:t>იურიდიულ</w:t>
      </w:r>
      <w:r w:rsidRPr="003D733D">
        <w:t xml:space="preserve"> </w:t>
      </w:r>
      <w:r w:rsidRPr="003D733D">
        <w:rPr>
          <w:rFonts w:ascii="Sylfaen" w:hAnsi="Sylfaen" w:cs="Sylfaen"/>
        </w:rPr>
        <w:t>დეპარტამენტებს</w:t>
      </w:r>
      <w:r w:rsidRPr="003D733D">
        <w:t xml:space="preserve">, </w:t>
      </w:r>
      <w:r w:rsidRPr="003D733D">
        <w:rPr>
          <w:rFonts w:ascii="Sylfaen" w:hAnsi="Sylfaen" w:cs="Sylfaen"/>
        </w:rPr>
        <w:t>საზოგადოებასთან</w:t>
      </w:r>
      <w:r w:rsidRPr="003D733D">
        <w:t xml:space="preserve"> </w:t>
      </w:r>
      <w:r w:rsidRPr="003D733D">
        <w:rPr>
          <w:rFonts w:ascii="Sylfaen" w:hAnsi="Sylfaen" w:cs="Sylfaen"/>
        </w:rPr>
        <w:t>ურთიერთობის</w:t>
      </w:r>
      <w:r w:rsidRPr="003D733D">
        <w:t xml:space="preserve"> </w:t>
      </w:r>
      <w:r w:rsidRPr="003D733D">
        <w:rPr>
          <w:rFonts w:ascii="Sylfaen" w:hAnsi="Sylfaen" w:cs="Sylfaen"/>
        </w:rPr>
        <w:t>დეპარტამენტს</w:t>
      </w:r>
      <w:r w:rsidRPr="003D733D">
        <w:t xml:space="preserve"> </w:t>
      </w:r>
      <w:r w:rsidRPr="003D733D">
        <w:rPr>
          <w:rFonts w:ascii="Sylfaen" w:hAnsi="Sylfaen" w:cs="Sylfaen"/>
        </w:rPr>
        <w:t>და</w:t>
      </w:r>
      <w:r w:rsidRPr="003D733D">
        <w:t xml:space="preserve"> </w:t>
      </w:r>
      <w:r w:rsidRPr="003D733D">
        <w:rPr>
          <w:rFonts w:ascii="Sylfaen" w:hAnsi="Sylfaen" w:cs="Sylfaen"/>
        </w:rPr>
        <w:t>სხვა</w:t>
      </w:r>
      <w:r w:rsidRPr="003D733D">
        <w:t xml:space="preserve"> </w:t>
      </w:r>
      <w:r w:rsidRPr="003D733D">
        <w:rPr>
          <w:rFonts w:ascii="Sylfaen" w:hAnsi="Sylfaen" w:cs="Sylfaen"/>
        </w:rPr>
        <w:t>შესაბამის</w:t>
      </w:r>
      <w:r w:rsidRPr="003D733D">
        <w:t xml:space="preserve"> </w:t>
      </w:r>
      <w:r w:rsidRPr="003D733D">
        <w:rPr>
          <w:rFonts w:ascii="Sylfaen" w:hAnsi="Sylfaen" w:cs="Sylfaen"/>
        </w:rPr>
        <w:t>სამსახურებს</w:t>
      </w:r>
      <w:r w:rsidRPr="003D733D">
        <w:t xml:space="preserve"> (IA-</w:t>
      </w:r>
      <w:r w:rsidRPr="003D733D">
        <w:rPr>
          <w:rFonts w:ascii="Sylfaen" w:hAnsi="Sylfaen" w:cs="Sylfaen"/>
        </w:rPr>
        <w:t>ს</w:t>
      </w:r>
      <w:r w:rsidRPr="003D733D">
        <w:t xml:space="preserve"> </w:t>
      </w:r>
      <w:r w:rsidRPr="003D733D">
        <w:rPr>
          <w:rFonts w:ascii="Sylfaen" w:hAnsi="Sylfaen" w:cs="Sylfaen"/>
        </w:rPr>
        <w:t>კონკრეტული</w:t>
      </w:r>
      <w:r w:rsidRPr="003D733D">
        <w:t xml:space="preserve"> </w:t>
      </w:r>
      <w:r w:rsidRPr="003D733D">
        <w:rPr>
          <w:rFonts w:ascii="Sylfaen" w:hAnsi="Sylfaen" w:cs="Sylfaen"/>
        </w:rPr>
        <w:t>სტრუქტურის</w:t>
      </w:r>
      <w:r w:rsidRPr="003D733D">
        <w:t xml:space="preserve"> </w:t>
      </w:r>
      <w:r w:rsidRPr="003D733D">
        <w:rPr>
          <w:rFonts w:ascii="Sylfaen" w:hAnsi="Sylfaen" w:cs="Sylfaen"/>
        </w:rPr>
        <w:t>მიხედვით</w:t>
      </w:r>
      <w:r w:rsidRPr="003D733D">
        <w:t xml:space="preserve">). GRCN </w:t>
      </w:r>
      <w:r w:rsidRPr="003D733D">
        <w:rPr>
          <w:rFonts w:ascii="Sylfaen" w:hAnsi="Sylfaen" w:cs="Sylfaen"/>
        </w:rPr>
        <w:t>ჩართულია</w:t>
      </w:r>
      <w:r w:rsidRPr="003D733D">
        <w:t xml:space="preserve"> </w:t>
      </w:r>
      <w:r w:rsidRPr="003D733D">
        <w:rPr>
          <w:rFonts w:ascii="Sylfaen" w:hAnsi="Sylfaen" w:cs="Sylfaen"/>
        </w:rPr>
        <w:t>საჩივრის</w:t>
      </w:r>
      <w:r w:rsidRPr="003D733D">
        <w:t xml:space="preserve"> </w:t>
      </w:r>
      <w:r w:rsidRPr="003D733D">
        <w:rPr>
          <w:rFonts w:ascii="Sylfaen" w:hAnsi="Sylfaen" w:cs="Sylfaen"/>
        </w:rPr>
        <w:t>მოგვარების</w:t>
      </w:r>
      <w:r w:rsidRPr="003D733D">
        <w:t xml:space="preserve"> </w:t>
      </w:r>
      <w:r w:rsidRPr="003D733D">
        <w:rPr>
          <w:rFonts w:ascii="Sylfaen" w:hAnsi="Sylfaen" w:cs="Sylfaen"/>
        </w:rPr>
        <w:t>პროცესის</w:t>
      </w:r>
      <w:r w:rsidRPr="003D733D">
        <w:t xml:space="preserve"> </w:t>
      </w:r>
      <w:r w:rsidRPr="003D733D">
        <w:rPr>
          <w:rFonts w:ascii="Sylfaen" w:hAnsi="Sylfaen" w:cs="Sylfaen"/>
        </w:rPr>
        <w:t>მეორე</w:t>
      </w:r>
      <w:r w:rsidRPr="003D733D">
        <w:t xml:space="preserve"> </w:t>
      </w:r>
      <w:r w:rsidRPr="003D733D">
        <w:rPr>
          <w:rFonts w:ascii="Sylfaen" w:hAnsi="Sylfaen" w:cs="Sylfaen"/>
        </w:rPr>
        <w:t>ეტაპზე</w:t>
      </w:r>
      <w:r w:rsidRPr="003D733D">
        <w:t xml:space="preserve">. </w:t>
      </w:r>
      <w:r w:rsidRPr="003D733D">
        <w:rPr>
          <w:rFonts w:ascii="Sylfaen" w:hAnsi="Sylfaen" w:cs="Sylfaen"/>
        </w:rPr>
        <w:t>ბრძანება</w:t>
      </w:r>
      <w:r w:rsidRPr="003D733D">
        <w:t xml:space="preserve"> </w:t>
      </w:r>
      <w:r w:rsidRPr="003D733D">
        <w:rPr>
          <w:rFonts w:ascii="Sylfaen" w:hAnsi="Sylfaen" w:cs="Sylfaen"/>
        </w:rPr>
        <w:t>ასევე</w:t>
      </w:r>
      <w:r w:rsidRPr="003D733D">
        <w:t xml:space="preserve"> </w:t>
      </w:r>
      <w:r w:rsidRPr="003D733D">
        <w:rPr>
          <w:rFonts w:ascii="Sylfaen" w:hAnsi="Sylfaen" w:cs="Sylfaen"/>
        </w:rPr>
        <w:t>უნდა</w:t>
      </w:r>
      <w:r w:rsidRPr="003D733D">
        <w:t xml:space="preserve"> </w:t>
      </w:r>
      <w:r w:rsidRPr="003D733D">
        <w:rPr>
          <w:rFonts w:ascii="Sylfaen" w:hAnsi="Sylfaen" w:cs="Sylfaen"/>
        </w:rPr>
        <w:t>ითვალისწინებდეს</w:t>
      </w:r>
      <w:r w:rsidRPr="003D733D">
        <w:t xml:space="preserve">, </w:t>
      </w:r>
      <w:r w:rsidRPr="003D733D">
        <w:rPr>
          <w:rFonts w:ascii="Sylfaen" w:hAnsi="Sylfaen" w:cs="Sylfaen"/>
        </w:rPr>
        <w:t>რომ</w:t>
      </w:r>
      <w:r w:rsidRPr="003D733D">
        <w:t xml:space="preserve"> </w:t>
      </w:r>
      <w:r w:rsidRPr="003D733D">
        <w:rPr>
          <w:rFonts w:ascii="Sylfaen" w:hAnsi="Sylfaen" w:cs="Sylfaen"/>
        </w:rPr>
        <w:t>საჭიროების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ადგილობრივი</w:t>
      </w:r>
      <w:r w:rsidRPr="003D733D">
        <w:t xml:space="preserve"> </w:t>
      </w:r>
      <w:r w:rsidRPr="003D733D">
        <w:rPr>
          <w:rFonts w:ascii="Sylfaen" w:hAnsi="Sylfaen" w:cs="Sylfaen"/>
        </w:rPr>
        <w:t>ხელისუფლების</w:t>
      </w:r>
      <w:r w:rsidRPr="003D733D">
        <w:t xml:space="preserve">, </w:t>
      </w:r>
      <w:r w:rsidRPr="003D733D">
        <w:rPr>
          <w:rFonts w:ascii="Sylfaen" w:hAnsi="Sylfaen" w:cs="Sylfaen"/>
        </w:rPr>
        <w:t>არასამთავრობო</w:t>
      </w:r>
      <w:r w:rsidRPr="003D733D">
        <w:t xml:space="preserve"> </w:t>
      </w:r>
      <w:r w:rsidRPr="003D733D">
        <w:rPr>
          <w:rFonts w:ascii="Sylfaen" w:hAnsi="Sylfaen" w:cs="Sylfaen"/>
        </w:rPr>
        <w:t>ორგანიზაციების</w:t>
      </w:r>
      <w:r w:rsidRPr="003D733D">
        <w:t xml:space="preserve">, </w:t>
      </w:r>
      <w:r w:rsidRPr="003D733D">
        <w:rPr>
          <w:rFonts w:ascii="Sylfaen" w:hAnsi="Sylfaen" w:cs="Sylfaen"/>
        </w:rPr>
        <w:t>აუდიტორების</w:t>
      </w:r>
      <w:r w:rsidRPr="003D733D">
        <w:t>, AP-</w:t>
      </w:r>
      <w:r w:rsidRPr="003D733D">
        <w:rPr>
          <w:rFonts w:ascii="Sylfaen" w:hAnsi="Sylfaen" w:cs="Sylfaen"/>
        </w:rPr>
        <w:t>ს</w:t>
      </w:r>
      <w:r w:rsidRPr="003D733D">
        <w:t xml:space="preserve"> </w:t>
      </w:r>
      <w:r w:rsidRPr="003D733D">
        <w:rPr>
          <w:rFonts w:ascii="Sylfaen" w:hAnsi="Sylfaen" w:cs="Sylfaen"/>
        </w:rPr>
        <w:t>წარმომადგენლები</w:t>
      </w:r>
      <w:r w:rsidRPr="003D733D">
        <w:t xml:space="preserve"> </w:t>
      </w:r>
      <w:r w:rsidRPr="003D733D">
        <w:rPr>
          <w:rFonts w:ascii="Sylfaen" w:hAnsi="Sylfaen" w:cs="Sylfaen"/>
        </w:rPr>
        <w:t>და</w:t>
      </w:r>
      <w:r w:rsidRPr="003D733D">
        <w:t xml:space="preserve"> </w:t>
      </w:r>
      <w:r w:rsidRPr="003D733D">
        <w:rPr>
          <w:rFonts w:ascii="Sylfaen" w:hAnsi="Sylfaen" w:cs="Sylfaen"/>
        </w:rPr>
        <w:t>სხვა</w:t>
      </w:r>
      <w:r w:rsidRPr="003D733D">
        <w:t xml:space="preserve"> </w:t>
      </w:r>
      <w:r w:rsidRPr="003D733D">
        <w:rPr>
          <w:rFonts w:ascii="Sylfaen" w:hAnsi="Sylfaen" w:cs="Sylfaen"/>
        </w:rPr>
        <w:t>პირები</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ჩაერთონ</w:t>
      </w:r>
      <w:r w:rsidRPr="003D733D">
        <w:t xml:space="preserve"> GRCN- </w:t>
      </w:r>
      <w:r w:rsidRPr="003D733D">
        <w:rPr>
          <w:rFonts w:ascii="Sylfaen" w:hAnsi="Sylfaen" w:cs="Sylfaen"/>
        </w:rPr>
        <w:t>ის</w:t>
      </w:r>
      <w:r w:rsidRPr="003D733D">
        <w:t xml:space="preserve"> </w:t>
      </w:r>
      <w:r w:rsidRPr="003D733D">
        <w:rPr>
          <w:rFonts w:ascii="Sylfaen" w:hAnsi="Sylfaen" w:cs="Sylfaen"/>
        </w:rPr>
        <w:t>მუშაობაში</w:t>
      </w:r>
      <w:r w:rsidRPr="003D733D">
        <w:t>.</w:t>
      </w:r>
    </w:p>
    <w:p w14:paraId="61227FEB" w14:textId="77777777" w:rsidR="00CE1A11" w:rsidRPr="003D733D" w:rsidRDefault="00CE1A11" w:rsidP="004B1ED5">
      <w:pPr>
        <w:spacing w:before="120" w:after="120"/>
      </w:pPr>
      <w:r w:rsidRPr="003D733D">
        <w:rPr>
          <w:rFonts w:ascii="Sylfaen" w:hAnsi="Sylfaen" w:cs="Sylfaen"/>
        </w:rPr>
        <w:t>საჩივრების</w:t>
      </w:r>
      <w:r w:rsidRPr="003D733D">
        <w:t xml:space="preserve"> </w:t>
      </w:r>
      <w:r w:rsidRPr="003D733D">
        <w:rPr>
          <w:rFonts w:ascii="Sylfaen" w:hAnsi="Sylfaen" w:cs="Sylfaen"/>
        </w:rPr>
        <w:t>განხილვის</w:t>
      </w:r>
      <w:r w:rsidRPr="003D733D">
        <w:t xml:space="preserve"> </w:t>
      </w:r>
      <w:r w:rsidRPr="003D733D">
        <w:rPr>
          <w:rFonts w:ascii="Sylfaen" w:hAnsi="Sylfaen" w:cs="Sylfaen"/>
        </w:rPr>
        <w:t>კომიტეტი</w:t>
      </w:r>
    </w:p>
    <w:p w14:paraId="039233C4" w14:textId="77777777" w:rsidR="00CE1A11" w:rsidRPr="003D733D" w:rsidRDefault="00CE1A11" w:rsidP="004B1ED5">
      <w:pPr>
        <w:spacing w:before="120" w:after="120"/>
      </w:pPr>
      <w:r w:rsidRPr="003D733D">
        <w:rPr>
          <w:rFonts w:ascii="Sylfaen" w:hAnsi="Sylfaen" w:cs="Sylfaen"/>
        </w:rPr>
        <w:t>საჩივრების</w:t>
      </w:r>
      <w:r w:rsidRPr="003D733D">
        <w:t xml:space="preserve"> </w:t>
      </w:r>
      <w:r w:rsidRPr="003D733D">
        <w:rPr>
          <w:rFonts w:ascii="Sylfaen" w:hAnsi="Sylfaen" w:cs="Sylfaen"/>
        </w:rPr>
        <w:t>განხილვის</w:t>
      </w:r>
      <w:r w:rsidRPr="003D733D">
        <w:t xml:space="preserve"> </w:t>
      </w:r>
      <w:r w:rsidRPr="003D733D">
        <w:rPr>
          <w:rFonts w:ascii="Sylfaen" w:hAnsi="Sylfaen" w:cs="Sylfaen"/>
        </w:rPr>
        <w:t>კომიტეტი</w:t>
      </w:r>
      <w:r w:rsidRPr="003D733D">
        <w:t xml:space="preserve"> (GRCE) </w:t>
      </w:r>
      <w:r w:rsidRPr="003D733D">
        <w:rPr>
          <w:rFonts w:ascii="Sylfaen" w:hAnsi="Sylfaen" w:cs="Sylfaen"/>
        </w:rPr>
        <w:t>არის</w:t>
      </w:r>
      <w:r w:rsidRPr="003D733D">
        <w:t xml:space="preserve"> </w:t>
      </w:r>
      <w:r w:rsidRPr="003D733D">
        <w:rPr>
          <w:rFonts w:ascii="Sylfaen" w:hAnsi="Sylfaen" w:cs="Sylfaen"/>
        </w:rPr>
        <w:t>არაფორმალური</w:t>
      </w:r>
      <w:r w:rsidRPr="003D733D">
        <w:t xml:space="preserve">, </w:t>
      </w:r>
      <w:r w:rsidRPr="003D733D">
        <w:rPr>
          <w:rFonts w:ascii="Sylfaen" w:hAnsi="Sylfaen" w:cs="Sylfaen"/>
        </w:rPr>
        <w:t>პროექტის</w:t>
      </w:r>
      <w:r w:rsidRPr="003D733D">
        <w:t xml:space="preserve"> </w:t>
      </w:r>
      <w:r w:rsidRPr="003D733D">
        <w:rPr>
          <w:rFonts w:ascii="Sylfaen" w:hAnsi="Sylfaen" w:cs="Sylfaen"/>
        </w:rPr>
        <w:t>სპეციფიური</w:t>
      </w:r>
      <w:r w:rsidRPr="003D733D">
        <w:t xml:space="preserve"> </w:t>
      </w:r>
      <w:r w:rsidRPr="003D733D">
        <w:rPr>
          <w:rFonts w:ascii="Sylfaen" w:hAnsi="Sylfaen" w:cs="Sylfaen"/>
        </w:rPr>
        <w:t>საჩივრის</w:t>
      </w:r>
      <w:r w:rsidRPr="003D733D">
        <w:t xml:space="preserve"> </w:t>
      </w:r>
      <w:r w:rsidRPr="003D733D">
        <w:rPr>
          <w:rFonts w:ascii="Sylfaen" w:hAnsi="Sylfaen" w:cs="Sylfaen"/>
        </w:rPr>
        <w:t>განხილვის</w:t>
      </w:r>
      <w:r w:rsidRPr="003D733D">
        <w:t xml:space="preserve"> </w:t>
      </w:r>
      <w:r w:rsidRPr="003D733D">
        <w:rPr>
          <w:rFonts w:ascii="Sylfaen" w:hAnsi="Sylfaen" w:cs="Sylfaen"/>
        </w:rPr>
        <w:t>მექანიზმი</w:t>
      </w:r>
      <w:r w:rsidRPr="003D733D">
        <w:t xml:space="preserve">, </w:t>
      </w:r>
      <w:r w:rsidRPr="003D733D">
        <w:rPr>
          <w:rFonts w:ascii="Sylfaen" w:hAnsi="Sylfaen" w:cs="Sylfaen"/>
        </w:rPr>
        <w:t>რომელიც</w:t>
      </w:r>
      <w:r w:rsidRPr="003D733D">
        <w:t xml:space="preserve"> </w:t>
      </w:r>
      <w:r w:rsidRPr="003D733D">
        <w:rPr>
          <w:rFonts w:ascii="Sylfaen" w:hAnsi="Sylfaen" w:cs="Sylfaen"/>
        </w:rPr>
        <w:t>განსაზღვრულიუა</w:t>
      </w:r>
      <w:r w:rsidRPr="003D733D">
        <w:t xml:space="preserve"> </w:t>
      </w:r>
      <w:r w:rsidRPr="003D733D">
        <w:rPr>
          <w:rFonts w:ascii="Sylfaen" w:hAnsi="Sylfaen" w:cs="Sylfaen"/>
        </w:rPr>
        <w:t>საჩივრებისთვის</w:t>
      </w:r>
      <w:r w:rsidRPr="003D733D">
        <w:t xml:space="preserve"> 1-</w:t>
      </w:r>
      <w:r w:rsidRPr="003D733D">
        <w:rPr>
          <w:rFonts w:ascii="Sylfaen" w:hAnsi="Sylfaen" w:cs="Sylfaen"/>
        </w:rPr>
        <w:t>ე</w:t>
      </w:r>
      <w:r w:rsidRPr="003D733D">
        <w:t xml:space="preserve"> </w:t>
      </w:r>
      <w:r w:rsidRPr="003D733D">
        <w:rPr>
          <w:rFonts w:ascii="Sylfaen" w:hAnsi="Sylfaen" w:cs="Sylfaen"/>
        </w:rPr>
        <w:t>ეტაპზე</w:t>
      </w:r>
      <w:r w:rsidRPr="003D733D">
        <w:t xml:space="preserve">. </w:t>
      </w:r>
      <w:r w:rsidRPr="003D733D">
        <w:rPr>
          <w:rFonts w:ascii="Sylfaen" w:hAnsi="Sylfaen" w:cs="Sylfaen"/>
        </w:rPr>
        <w:t>ეს</w:t>
      </w:r>
      <w:r w:rsidRPr="003D733D">
        <w:t xml:space="preserve"> </w:t>
      </w:r>
      <w:r w:rsidRPr="003D733D">
        <w:rPr>
          <w:rFonts w:ascii="Sylfaen" w:hAnsi="Sylfaen" w:cs="Sylfaen"/>
        </w:rPr>
        <w:t>არაფორმალური</w:t>
      </w:r>
      <w:r w:rsidRPr="003D733D">
        <w:t xml:space="preserve"> </w:t>
      </w:r>
      <w:r w:rsidRPr="003D733D">
        <w:rPr>
          <w:rFonts w:ascii="Sylfaen" w:hAnsi="Sylfaen" w:cs="Sylfaen"/>
        </w:rPr>
        <w:t>ორგანო</w:t>
      </w:r>
      <w:r w:rsidRPr="003D733D">
        <w:t xml:space="preserve"> </w:t>
      </w:r>
      <w:r w:rsidRPr="003D733D">
        <w:rPr>
          <w:rFonts w:ascii="Sylfaen" w:hAnsi="Sylfaen" w:cs="Sylfaen"/>
        </w:rPr>
        <w:t>შეიქმნება</w:t>
      </w:r>
      <w:r w:rsidRPr="003D733D">
        <w:t xml:space="preserve"> </w:t>
      </w:r>
      <w:r w:rsidRPr="003D733D">
        <w:rPr>
          <w:rFonts w:ascii="Sylfaen" w:hAnsi="Sylfaen" w:cs="Sylfaen"/>
        </w:rPr>
        <w:t>თემის</w:t>
      </w:r>
      <w:r w:rsidRPr="003D733D">
        <w:t xml:space="preserve"> </w:t>
      </w:r>
      <w:r w:rsidRPr="003D733D">
        <w:rPr>
          <w:rFonts w:ascii="Sylfaen" w:hAnsi="Sylfaen" w:cs="Sylfaen"/>
        </w:rPr>
        <w:t>დონეზე</w:t>
      </w:r>
      <w:r w:rsidRPr="003D733D">
        <w:t xml:space="preserve"> </w:t>
      </w:r>
      <w:r w:rsidRPr="003D733D">
        <w:rPr>
          <w:rFonts w:ascii="Sylfaen" w:hAnsi="Sylfaen" w:cs="Sylfaen"/>
        </w:rPr>
        <w:t>დაზარალებულ</w:t>
      </w:r>
      <w:r w:rsidRPr="003D733D">
        <w:t xml:space="preserve"> </w:t>
      </w:r>
      <w:r w:rsidRPr="003D733D">
        <w:rPr>
          <w:rFonts w:ascii="Sylfaen" w:hAnsi="Sylfaen" w:cs="Sylfaen"/>
        </w:rPr>
        <w:t>მუნიციპალიტეტში</w:t>
      </w:r>
      <w:r w:rsidRPr="003D733D">
        <w:t xml:space="preserve"> (</w:t>
      </w:r>
      <w:r w:rsidRPr="003D733D">
        <w:rPr>
          <w:rFonts w:ascii="Sylfaen" w:hAnsi="Sylfaen" w:cs="Sylfaen"/>
        </w:rPr>
        <w:t>სოფელი</w:t>
      </w:r>
      <w:r w:rsidRPr="003D733D">
        <w:t>/</w:t>
      </w:r>
      <w:r w:rsidRPr="003D733D">
        <w:rPr>
          <w:rFonts w:ascii="Sylfaen" w:hAnsi="Sylfaen" w:cs="Sylfaen"/>
        </w:rPr>
        <w:t>თემის</w:t>
      </w:r>
      <w:r w:rsidRPr="003D733D">
        <w:t xml:space="preserve"> </w:t>
      </w:r>
      <w:r w:rsidRPr="003D733D">
        <w:rPr>
          <w:rFonts w:ascii="Sylfaen" w:hAnsi="Sylfaen" w:cs="Sylfaen"/>
        </w:rPr>
        <w:t>ავტორიტეტი</w:t>
      </w:r>
      <w:r w:rsidRPr="003D733D">
        <w:t xml:space="preserve">). GRCE </w:t>
      </w:r>
      <w:r w:rsidRPr="003D733D">
        <w:rPr>
          <w:rFonts w:ascii="Sylfaen" w:hAnsi="Sylfaen" w:cs="Sylfaen"/>
        </w:rPr>
        <w:t>უნდა</w:t>
      </w:r>
      <w:r w:rsidRPr="003D733D">
        <w:t xml:space="preserve"> </w:t>
      </w:r>
      <w:r w:rsidRPr="003D733D">
        <w:rPr>
          <w:rFonts w:ascii="Sylfaen" w:hAnsi="Sylfaen" w:cs="Sylfaen"/>
        </w:rPr>
        <w:t>შეიცავდეს</w:t>
      </w:r>
      <w:r w:rsidRPr="003D733D">
        <w:t xml:space="preserve"> </w:t>
      </w:r>
      <w:r w:rsidRPr="003D733D">
        <w:rPr>
          <w:rFonts w:ascii="Sylfaen" w:hAnsi="Sylfaen" w:cs="Sylfaen"/>
        </w:rPr>
        <w:t>მუნიციპალური</w:t>
      </w:r>
      <w:r w:rsidRPr="003D733D">
        <w:t xml:space="preserve"> LAR </w:t>
      </w:r>
      <w:r w:rsidRPr="003D733D">
        <w:rPr>
          <w:rFonts w:ascii="Sylfaen" w:hAnsi="Sylfaen" w:cs="Sylfaen"/>
        </w:rPr>
        <w:t>ჯგუფის</w:t>
      </w:r>
      <w:r w:rsidRPr="003D733D">
        <w:t xml:space="preserve"> </w:t>
      </w:r>
      <w:r w:rsidRPr="003D733D">
        <w:rPr>
          <w:rFonts w:ascii="Sylfaen" w:hAnsi="Sylfaen" w:cs="Sylfaen"/>
        </w:rPr>
        <w:t>და</w:t>
      </w:r>
      <w:r w:rsidRPr="003D733D">
        <w:t xml:space="preserve"> </w:t>
      </w:r>
      <w:r w:rsidRPr="003D733D">
        <w:rPr>
          <w:rFonts w:ascii="Sylfaen" w:hAnsi="Sylfaen" w:cs="Sylfaen"/>
        </w:rPr>
        <w:t>ადგილობრივი</w:t>
      </w:r>
      <w:r w:rsidRPr="003D733D">
        <w:t xml:space="preserve"> </w:t>
      </w:r>
      <w:r w:rsidRPr="003D733D">
        <w:rPr>
          <w:rFonts w:ascii="Sylfaen" w:hAnsi="Sylfaen" w:cs="Sylfaen"/>
        </w:rPr>
        <w:t>თემების</w:t>
      </w:r>
      <w:r w:rsidRPr="003D733D">
        <w:t xml:space="preserve"> </w:t>
      </w:r>
      <w:r w:rsidRPr="003D733D">
        <w:rPr>
          <w:rFonts w:ascii="Sylfaen" w:hAnsi="Sylfaen" w:cs="Sylfaen"/>
        </w:rPr>
        <w:t>წარმომადგენლებს</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დეპარტამენტის</w:t>
      </w:r>
      <w:r w:rsidRPr="003D733D">
        <w:t xml:space="preserve"> </w:t>
      </w:r>
      <w:r w:rsidRPr="003D733D">
        <w:rPr>
          <w:rFonts w:ascii="Sylfaen" w:hAnsi="Sylfaen" w:cs="Sylfaen"/>
        </w:rPr>
        <w:t>წარმომადგენელი</w:t>
      </w:r>
      <w:r w:rsidRPr="003D733D">
        <w:t xml:space="preserve"> </w:t>
      </w:r>
      <w:r w:rsidRPr="003D733D">
        <w:rPr>
          <w:rFonts w:ascii="Sylfaen" w:hAnsi="Sylfaen" w:cs="Sylfaen"/>
        </w:rPr>
        <w:t>მუნიციპალურ</w:t>
      </w:r>
      <w:r w:rsidRPr="003D733D">
        <w:t xml:space="preserve"> LAR </w:t>
      </w:r>
      <w:r w:rsidRPr="003D733D">
        <w:rPr>
          <w:rFonts w:ascii="Sylfaen" w:hAnsi="Sylfaen" w:cs="Sylfaen"/>
        </w:rPr>
        <w:t>ჯგუფში</w:t>
      </w:r>
      <w:r w:rsidRPr="003D733D">
        <w:t xml:space="preserve"> </w:t>
      </w:r>
      <w:r w:rsidRPr="003D733D">
        <w:rPr>
          <w:rFonts w:ascii="Sylfaen" w:hAnsi="Sylfaen" w:cs="Sylfaen"/>
        </w:rPr>
        <w:t>კოორდინაციას</w:t>
      </w:r>
      <w:r w:rsidRPr="003D733D">
        <w:t xml:space="preserve"> </w:t>
      </w:r>
      <w:r w:rsidRPr="003D733D">
        <w:rPr>
          <w:rFonts w:ascii="Sylfaen" w:hAnsi="Sylfaen" w:cs="Sylfaen"/>
        </w:rPr>
        <w:t>უნდა</w:t>
      </w:r>
      <w:r w:rsidRPr="003D733D">
        <w:t xml:space="preserve"> </w:t>
      </w:r>
      <w:r w:rsidRPr="003D733D">
        <w:rPr>
          <w:rFonts w:ascii="Sylfaen" w:hAnsi="Sylfaen" w:cs="Sylfaen"/>
        </w:rPr>
        <w:t>უწევდეს</w:t>
      </w:r>
      <w:r w:rsidRPr="003D733D">
        <w:t xml:space="preserve"> GRCE-</w:t>
      </w:r>
      <w:r w:rsidRPr="003D733D">
        <w:rPr>
          <w:rFonts w:ascii="Sylfaen" w:hAnsi="Sylfaen" w:cs="Sylfaen"/>
        </w:rPr>
        <w:t>ს</w:t>
      </w:r>
      <w:r w:rsidRPr="003D733D">
        <w:t xml:space="preserve"> </w:t>
      </w:r>
      <w:r w:rsidRPr="003D733D">
        <w:rPr>
          <w:rFonts w:ascii="Sylfaen" w:hAnsi="Sylfaen" w:cs="Sylfaen"/>
        </w:rPr>
        <w:t>ფორმაციას</w:t>
      </w:r>
      <w:r w:rsidRPr="003D733D">
        <w:t xml:space="preserve">. </w:t>
      </w:r>
      <w:r w:rsidRPr="003D733D">
        <w:rPr>
          <w:rFonts w:ascii="Sylfaen" w:hAnsi="Sylfaen" w:cs="Sylfaen"/>
        </w:rPr>
        <w:t>ის</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პასუხისმგებელი</w:t>
      </w:r>
      <w:r w:rsidRPr="003D733D">
        <w:t xml:space="preserve"> </w:t>
      </w:r>
      <w:r w:rsidRPr="003D733D">
        <w:rPr>
          <w:rFonts w:ascii="Sylfaen" w:hAnsi="Sylfaen" w:cs="Sylfaen"/>
        </w:rPr>
        <w:t>იქნება</w:t>
      </w:r>
      <w:r w:rsidRPr="003D733D">
        <w:t xml:space="preserve"> GRC </w:t>
      </w:r>
      <w:r w:rsidRPr="003D733D">
        <w:rPr>
          <w:rFonts w:ascii="Sylfaen" w:hAnsi="Sylfaen" w:cs="Sylfaen"/>
        </w:rPr>
        <w:t>აქტივობების</w:t>
      </w:r>
      <w:r w:rsidRPr="003D733D">
        <w:t xml:space="preserve"> </w:t>
      </w:r>
      <w:r w:rsidRPr="003D733D">
        <w:rPr>
          <w:rFonts w:ascii="Sylfaen" w:hAnsi="Sylfaen" w:cs="Sylfaen"/>
        </w:rPr>
        <w:t>კოორდინაციაზე</w:t>
      </w:r>
      <w:r w:rsidRPr="003D733D">
        <w:t xml:space="preserve"> </w:t>
      </w:r>
      <w:r w:rsidRPr="003D733D">
        <w:rPr>
          <w:rFonts w:ascii="Sylfaen" w:hAnsi="Sylfaen" w:cs="Sylfaen"/>
        </w:rPr>
        <w:t>და</w:t>
      </w:r>
      <w:r w:rsidRPr="003D733D">
        <w:t xml:space="preserve"> </w:t>
      </w:r>
      <w:r w:rsidRPr="003D733D">
        <w:rPr>
          <w:rFonts w:ascii="Sylfaen" w:hAnsi="Sylfaen" w:cs="Sylfaen"/>
        </w:rPr>
        <w:t>შეხვედრების</w:t>
      </w:r>
      <w:r w:rsidRPr="003D733D">
        <w:t xml:space="preserve"> </w:t>
      </w:r>
      <w:r w:rsidRPr="003D733D">
        <w:rPr>
          <w:rFonts w:ascii="Sylfaen" w:hAnsi="Sylfaen" w:cs="Sylfaen"/>
        </w:rPr>
        <w:t>მოწყობაზე</w:t>
      </w:r>
      <w:r w:rsidRPr="003D733D">
        <w:t xml:space="preserve"> (</w:t>
      </w:r>
      <w:r w:rsidRPr="003D733D">
        <w:rPr>
          <w:rFonts w:ascii="Sylfaen" w:hAnsi="Sylfaen" w:cs="Sylfaen"/>
        </w:rPr>
        <w:t>მომწვევი</w:t>
      </w:r>
      <w:r w:rsidRPr="003D733D">
        <w:t xml:space="preserve">). </w:t>
      </w:r>
      <w:r w:rsidRPr="003D733D">
        <w:rPr>
          <w:rFonts w:ascii="Sylfaen" w:hAnsi="Sylfaen" w:cs="Sylfaen"/>
        </w:rPr>
        <w:t>დამატებით</w:t>
      </w:r>
      <w:r w:rsidRPr="003D733D">
        <w:t xml:space="preserve">, GRCE </w:t>
      </w:r>
      <w:r w:rsidRPr="003D733D">
        <w:rPr>
          <w:rFonts w:ascii="Sylfaen" w:hAnsi="Sylfaen" w:cs="Sylfaen"/>
        </w:rPr>
        <w:t>უნდა</w:t>
      </w:r>
      <w:r w:rsidRPr="003D733D">
        <w:t xml:space="preserve"> </w:t>
      </w:r>
      <w:r w:rsidRPr="003D733D">
        <w:rPr>
          <w:rFonts w:ascii="Sylfaen" w:hAnsi="Sylfaen" w:cs="Sylfaen"/>
        </w:rPr>
        <w:t>შეიცავდეს</w:t>
      </w:r>
      <w:r w:rsidRPr="003D733D">
        <w:t xml:space="preserve"> </w:t>
      </w:r>
      <w:r w:rsidRPr="003D733D">
        <w:rPr>
          <w:rFonts w:ascii="Sylfaen" w:hAnsi="Sylfaen" w:cs="Sylfaen"/>
        </w:rPr>
        <w:t>სოფლის</w:t>
      </w:r>
      <w:r w:rsidRPr="003D733D">
        <w:t xml:space="preserve"> </w:t>
      </w:r>
      <w:r w:rsidRPr="003D733D">
        <w:rPr>
          <w:rFonts w:ascii="Sylfaen" w:hAnsi="Sylfaen" w:cs="Sylfaen"/>
        </w:rPr>
        <w:t>რწმუნებულს</w:t>
      </w:r>
      <w:r w:rsidRPr="003D733D">
        <w:t xml:space="preserve"> </w:t>
      </w:r>
      <w:r w:rsidRPr="003D733D">
        <w:rPr>
          <w:rFonts w:ascii="Sylfaen" w:hAnsi="Sylfaen" w:cs="Sylfaen"/>
        </w:rPr>
        <w:t>ან</w:t>
      </w:r>
      <w:r w:rsidRPr="003D733D">
        <w:t xml:space="preserve"> </w:t>
      </w:r>
      <w:r w:rsidRPr="003D733D">
        <w:rPr>
          <w:rFonts w:ascii="Sylfaen" w:hAnsi="Sylfaen" w:cs="Sylfaen"/>
        </w:rPr>
        <w:t>მის</w:t>
      </w:r>
      <w:r w:rsidRPr="003D733D">
        <w:t xml:space="preserve"> </w:t>
      </w:r>
      <w:r w:rsidRPr="003D733D">
        <w:rPr>
          <w:rFonts w:ascii="Sylfaen" w:hAnsi="Sylfaen" w:cs="Sylfaen"/>
        </w:rPr>
        <w:t>წარმომადგენელს</w:t>
      </w:r>
      <w:r w:rsidRPr="003D733D">
        <w:t>, AP-</w:t>
      </w:r>
      <w:r w:rsidRPr="003D733D">
        <w:rPr>
          <w:rFonts w:ascii="Sylfaen" w:hAnsi="Sylfaen" w:cs="Sylfaen"/>
        </w:rPr>
        <w:t>ს</w:t>
      </w:r>
      <w:r w:rsidRPr="003D733D">
        <w:t xml:space="preserve">, </w:t>
      </w:r>
      <w:r w:rsidRPr="003D733D">
        <w:rPr>
          <w:rFonts w:ascii="Sylfaen" w:hAnsi="Sylfaen" w:cs="Sylfaen"/>
        </w:rPr>
        <w:t>ქალ</w:t>
      </w:r>
      <w:r w:rsidRPr="003D733D">
        <w:t xml:space="preserve"> AP-</w:t>
      </w:r>
      <w:r w:rsidRPr="003D733D">
        <w:rPr>
          <w:rFonts w:ascii="Sylfaen" w:hAnsi="Sylfaen" w:cs="Sylfaen"/>
        </w:rPr>
        <w:t>ს</w:t>
      </w:r>
      <w:r w:rsidRPr="003D733D">
        <w:t xml:space="preserve"> (</w:t>
      </w:r>
      <w:r w:rsidRPr="003D733D">
        <w:rPr>
          <w:rFonts w:ascii="Sylfaen" w:hAnsi="Sylfaen" w:cs="Sylfaen"/>
        </w:rPr>
        <w:t>არსებობის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წარმომადგენლებს</w:t>
      </w:r>
      <w:r w:rsidRPr="003D733D">
        <w:t xml:space="preserve">, </w:t>
      </w:r>
      <w:r w:rsidRPr="003D733D">
        <w:rPr>
          <w:rFonts w:ascii="Sylfaen" w:hAnsi="Sylfaen" w:cs="Sylfaen"/>
        </w:rPr>
        <w:t>და</w:t>
      </w:r>
      <w:r w:rsidRPr="003D733D">
        <w:t xml:space="preserve"> </w:t>
      </w:r>
      <w:r w:rsidRPr="003D733D">
        <w:rPr>
          <w:rFonts w:ascii="Sylfaen" w:hAnsi="Sylfaen" w:cs="Sylfaen"/>
        </w:rPr>
        <w:t>შესაბამის</w:t>
      </w:r>
      <w:r w:rsidRPr="003D733D">
        <w:t xml:space="preserve"> </w:t>
      </w:r>
      <w:r w:rsidRPr="003D733D">
        <w:rPr>
          <w:rFonts w:ascii="Sylfaen" w:hAnsi="Sylfaen" w:cs="Sylfaen"/>
        </w:rPr>
        <w:t>ადგილობრივ</w:t>
      </w:r>
      <w:r w:rsidRPr="003D733D">
        <w:t xml:space="preserve"> </w:t>
      </w:r>
      <w:r w:rsidRPr="003D733D">
        <w:rPr>
          <w:rFonts w:ascii="Sylfaen" w:hAnsi="Sylfaen" w:cs="Sylfaen"/>
        </w:rPr>
        <w:t>არასამთავრობო</w:t>
      </w:r>
      <w:r w:rsidRPr="003D733D">
        <w:t xml:space="preserve"> </w:t>
      </w:r>
      <w:r w:rsidRPr="003D733D">
        <w:rPr>
          <w:rFonts w:ascii="Sylfaen" w:hAnsi="Sylfaen" w:cs="Sylfaen"/>
        </w:rPr>
        <w:t>ორგანიზაციებს</w:t>
      </w:r>
      <w:r w:rsidRPr="003D733D">
        <w:t xml:space="preserve">  </w:t>
      </w:r>
      <w:bookmarkStart w:id="542" w:name="page44"/>
      <w:bookmarkEnd w:id="542"/>
      <w:r w:rsidRPr="003D733D">
        <w:rPr>
          <w:rFonts w:ascii="Sylfaen" w:hAnsi="Sylfaen" w:cs="Sylfaen"/>
        </w:rPr>
        <w:t>მოისმინოს</w:t>
      </w:r>
      <w:r w:rsidRPr="003D733D">
        <w:t xml:space="preserve"> </w:t>
      </w:r>
      <w:r w:rsidRPr="003D733D">
        <w:rPr>
          <w:rFonts w:ascii="Sylfaen" w:hAnsi="Sylfaen" w:cs="Sylfaen"/>
        </w:rPr>
        <w:t>დაზარალებულთა</w:t>
      </w:r>
      <w:r w:rsidRPr="003D733D">
        <w:t xml:space="preserve"> </w:t>
      </w:r>
      <w:r w:rsidRPr="003D733D">
        <w:rPr>
          <w:rFonts w:ascii="Sylfaen" w:hAnsi="Sylfaen" w:cs="Sylfaen"/>
        </w:rPr>
        <w:t>ხმები</w:t>
      </w:r>
      <w:r w:rsidRPr="003D733D">
        <w:t xml:space="preserve"> </w:t>
      </w:r>
      <w:r w:rsidRPr="003D733D">
        <w:rPr>
          <w:rFonts w:ascii="Sylfaen" w:hAnsi="Sylfaen" w:cs="Sylfaen"/>
        </w:rPr>
        <w:t>და</w:t>
      </w:r>
      <w:r w:rsidRPr="003D733D">
        <w:t xml:space="preserve"> </w:t>
      </w:r>
      <w:r w:rsidRPr="003D733D">
        <w:rPr>
          <w:rFonts w:ascii="Sylfaen" w:hAnsi="Sylfaen" w:cs="Sylfaen"/>
        </w:rPr>
        <w:t>უზრუნველყოს</w:t>
      </w:r>
      <w:r w:rsidRPr="003D733D">
        <w:t xml:space="preserve"> </w:t>
      </w:r>
      <w:r w:rsidRPr="003D733D">
        <w:rPr>
          <w:rFonts w:ascii="Sylfaen" w:hAnsi="Sylfaen" w:cs="Sylfaen"/>
        </w:rPr>
        <w:t>მონაწილეობითი</w:t>
      </w:r>
      <w:r w:rsidRPr="003D733D">
        <w:t xml:space="preserve"> </w:t>
      </w:r>
      <w:r w:rsidRPr="003D733D">
        <w:rPr>
          <w:rFonts w:ascii="Sylfaen" w:hAnsi="Sylfaen" w:cs="Sylfaen"/>
        </w:rPr>
        <w:t>გადაწყვეტილების</w:t>
      </w:r>
      <w:r w:rsidRPr="003D733D">
        <w:t xml:space="preserve"> </w:t>
      </w:r>
      <w:r w:rsidRPr="003D733D">
        <w:rPr>
          <w:rFonts w:ascii="Sylfaen" w:hAnsi="Sylfaen" w:cs="Sylfaen"/>
        </w:rPr>
        <w:t>მიღების</w:t>
      </w:r>
      <w:r w:rsidRPr="003D733D">
        <w:t xml:space="preserve"> </w:t>
      </w:r>
      <w:r w:rsidRPr="003D733D">
        <w:rPr>
          <w:rFonts w:ascii="Sylfaen" w:hAnsi="Sylfaen" w:cs="Sylfaen"/>
        </w:rPr>
        <w:t>პროცესი</w:t>
      </w:r>
      <w:r w:rsidRPr="003D733D">
        <w:t>.</w:t>
      </w:r>
    </w:p>
    <w:p w14:paraId="1AD88E11" w14:textId="77777777" w:rsidR="00CE1A11" w:rsidRPr="003D733D" w:rsidRDefault="00CE1A11" w:rsidP="004B1ED5">
      <w:pPr>
        <w:spacing w:before="120" w:after="120"/>
      </w:pPr>
      <w:r w:rsidRPr="003D733D">
        <w:rPr>
          <w:rFonts w:ascii="Sylfaen" w:hAnsi="Sylfaen" w:cs="Sylfaen"/>
        </w:rPr>
        <w:t>საგზაო</w:t>
      </w:r>
      <w:r w:rsidRPr="003D733D">
        <w:t xml:space="preserve"> </w:t>
      </w:r>
      <w:r w:rsidRPr="003D733D">
        <w:rPr>
          <w:rFonts w:ascii="Sylfaen" w:hAnsi="Sylfaen" w:cs="Sylfaen"/>
        </w:rPr>
        <w:t>დეპარტამენტის</w:t>
      </w:r>
      <w:r w:rsidRPr="003D733D">
        <w:t xml:space="preserve"> </w:t>
      </w:r>
      <w:r w:rsidRPr="003D733D">
        <w:rPr>
          <w:rFonts w:ascii="Sylfaen" w:hAnsi="Sylfaen" w:cs="Sylfaen"/>
        </w:rPr>
        <w:t>განსახლებისა</w:t>
      </w:r>
      <w:r w:rsidRPr="003D733D">
        <w:t xml:space="preserve"> </w:t>
      </w:r>
      <w:r w:rsidRPr="003D733D">
        <w:rPr>
          <w:rFonts w:ascii="Sylfaen" w:hAnsi="Sylfaen" w:cs="Sylfaen"/>
        </w:rPr>
        <w:t>და</w:t>
      </w:r>
      <w:r w:rsidRPr="003D733D">
        <w:t xml:space="preserve"> </w:t>
      </w:r>
      <w:r w:rsidRPr="003D733D">
        <w:rPr>
          <w:rFonts w:ascii="Sylfaen" w:hAnsi="Sylfaen" w:cs="Sylfaen"/>
        </w:rPr>
        <w:t>გარემოს</w:t>
      </w:r>
      <w:r w:rsidRPr="003D733D">
        <w:t xml:space="preserve"> </w:t>
      </w:r>
      <w:r w:rsidRPr="003D733D">
        <w:rPr>
          <w:rFonts w:ascii="Sylfaen" w:hAnsi="Sylfaen" w:cs="Sylfaen"/>
        </w:rPr>
        <w:t>განყოფილების</w:t>
      </w:r>
      <w:r w:rsidRPr="003D733D">
        <w:t xml:space="preserve"> </w:t>
      </w:r>
      <w:r w:rsidRPr="003D733D">
        <w:rPr>
          <w:rFonts w:ascii="Sylfaen" w:hAnsi="Sylfaen" w:cs="Sylfaen"/>
        </w:rPr>
        <w:t>წარმომადგენელი</w:t>
      </w:r>
      <w:r w:rsidRPr="003D733D">
        <w:t xml:space="preserve"> </w:t>
      </w:r>
      <w:r w:rsidRPr="003D733D">
        <w:rPr>
          <w:rFonts w:ascii="Sylfaen" w:hAnsi="Sylfaen" w:cs="Sylfaen"/>
        </w:rPr>
        <w:t>კოორდინირებას</w:t>
      </w:r>
      <w:r w:rsidRPr="003D733D">
        <w:t xml:space="preserve"> </w:t>
      </w:r>
      <w:r w:rsidRPr="003D733D">
        <w:rPr>
          <w:rFonts w:ascii="Sylfaen" w:hAnsi="Sylfaen" w:cs="Sylfaen"/>
        </w:rPr>
        <w:t>უწევს</w:t>
      </w:r>
      <w:r w:rsidRPr="003D733D">
        <w:t xml:space="preserve"> </w:t>
      </w:r>
      <w:r w:rsidRPr="003D733D">
        <w:rPr>
          <w:rFonts w:ascii="Sylfaen" w:hAnsi="Sylfaen" w:cs="Sylfaen"/>
        </w:rPr>
        <w:t>კომიტეტის</w:t>
      </w:r>
      <w:r w:rsidRPr="003D733D">
        <w:t xml:space="preserve"> </w:t>
      </w:r>
      <w:r w:rsidRPr="003D733D">
        <w:rPr>
          <w:rFonts w:ascii="Sylfaen" w:hAnsi="Sylfaen" w:cs="Sylfaen"/>
        </w:rPr>
        <w:t>მუშაობას</w:t>
      </w:r>
      <w:r w:rsidRPr="003D733D">
        <w:t xml:space="preserve"> </w:t>
      </w:r>
      <w:r w:rsidRPr="003D733D">
        <w:rPr>
          <w:rFonts w:ascii="Sylfaen" w:hAnsi="Sylfaen" w:cs="Sylfaen"/>
        </w:rPr>
        <w:t>და</w:t>
      </w:r>
      <w:r w:rsidRPr="003D733D">
        <w:t xml:space="preserve"> </w:t>
      </w:r>
      <w:r w:rsidRPr="003D733D">
        <w:rPr>
          <w:rFonts w:ascii="Sylfaen" w:hAnsi="Sylfaen" w:cs="Sylfaen"/>
        </w:rPr>
        <w:t>ამავდროულად</w:t>
      </w:r>
      <w:r w:rsidRPr="003D733D">
        <w:t xml:space="preserve"> </w:t>
      </w:r>
      <w:r w:rsidRPr="003D733D">
        <w:rPr>
          <w:rFonts w:ascii="Sylfaen" w:hAnsi="Sylfaen" w:cs="Sylfaen"/>
        </w:rPr>
        <w:t>ის</w:t>
      </w:r>
      <w:r w:rsidRPr="003D733D">
        <w:t xml:space="preserve"> </w:t>
      </w:r>
      <w:r w:rsidRPr="003D733D">
        <w:rPr>
          <w:rFonts w:ascii="Sylfaen" w:hAnsi="Sylfaen" w:cs="Sylfaen"/>
        </w:rPr>
        <w:t>დასახელებულია</w:t>
      </w:r>
      <w:r w:rsidRPr="003D733D">
        <w:t xml:space="preserve">, </w:t>
      </w:r>
      <w:r w:rsidRPr="003D733D">
        <w:rPr>
          <w:rFonts w:ascii="Sylfaen" w:hAnsi="Sylfaen" w:cs="Sylfaen"/>
        </w:rPr>
        <w:t>როგორც</w:t>
      </w:r>
      <w:r w:rsidRPr="003D733D">
        <w:t xml:space="preserve"> </w:t>
      </w:r>
      <w:r w:rsidRPr="003D733D">
        <w:rPr>
          <w:rFonts w:ascii="Sylfaen" w:hAnsi="Sylfaen" w:cs="Sylfaen"/>
        </w:rPr>
        <w:t>საკონტაქტო</w:t>
      </w:r>
      <w:r w:rsidRPr="003D733D">
        <w:t xml:space="preserve"> </w:t>
      </w:r>
      <w:r w:rsidRPr="003D733D">
        <w:rPr>
          <w:rFonts w:ascii="Sylfaen" w:hAnsi="Sylfaen" w:cs="Sylfaen"/>
        </w:rPr>
        <w:t>პირი</w:t>
      </w:r>
      <w:r w:rsidRPr="003D733D">
        <w:t xml:space="preserve">, </w:t>
      </w:r>
      <w:r w:rsidRPr="003D733D">
        <w:rPr>
          <w:rFonts w:ascii="Sylfaen" w:hAnsi="Sylfaen" w:cs="Sylfaen"/>
        </w:rPr>
        <w:t>რათა</w:t>
      </w:r>
      <w:r w:rsidRPr="003D733D">
        <w:t xml:space="preserve"> </w:t>
      </w:r>
      <w:r w:rsidRPr="003D733D">
        <w:rPr>
          <w:rFonts w:ascii="Sylfaen" w:hAnsi="Sylfaen" w:cs="Sylfaen"/>
        </w:rPr>
        <w:t>შეაგროვოს</w:t>
      </w:r>
      <w:r w:rsidRPr="003D733D">
        <w:t xml:space="preserve"> </w:t>
      </w:r>
      <w:r w:rsidRPr="003D733D">
        <w:rPr>
          <w:rFonts w:ascii="Sylfaen" w:hAnsi="Sylfaen" w:cs="Sylfaen"/>
        </w:rPr>
        <w:t>საჩივრები</w:t>
      </w:r>
      <w:r w:rsidRPr="003D733D">
        <w:t xml:space="preserve"> </w:t>
      </w:r>
      <w:r w:rsidRPr="003D733D">
        <w:rPr>
          <w:rFonts w:ascii="Sylfaen" w:hAnsi="Sylfaen" w:cs="Sylfaen"/>
        </w:rPr>
        <w:t>და</w:t>
      </w:r>
      <w:r w:rsidRPr="003D733D">
        <w:t xml:space="preserve"> </w:t>
      </w:r>
      <w:r w:rsidRPr="003D733D">
        <w:rPr>
          <w:rFonts w:ascii="Sylfaen" w:hAnsi="Sylfaen" w:cs="Sylfaen"/>
        </w:rPr>
        <w:t>აწარმოოს</w:t>
      </w:r>
      <w:r w:rsidRPr="003D733D">
        <w:t xml:space="preserve"> </w:t>
      </w:r>
      <w:r w:rsidRPr="003D733D">
        <w:rPr>
          <w:rFonts w:ascii="Sylfaen" w:hAnsi="Sylfaen" w:cs="Sylfaen"/>
        </w:rPr>
        <w:t>საჩივრების</w:t>
      </w:r>
      <w:r w:rsidRPr="003D733D">
        <w:t xml:space="preserve"> </w:t>
      </w:r>
      <w:r w:rsidRPr="003D733D">
        <w:rPr>
          <w:rFonts w:ascii="Sylfaen" w:hAnsi="Sylfaen" w:cs="Sylfaen"/>
        </w:rPr>
        <w:t>ჟურნალი</w:t>
      </w:r>
      <w:r w:rsidRPr="003D733D">
        <w:t xml:space="preserve">. </w:t>
      </w:r>
      <w:r w:rsidRPr="003D733D">
        <w:rPr>
          <w:rFonts w:ascii="Sylfaen" w:hAnsi="Sylfaen" w:cs="Sylfaen"/>
        </w:rPr>
        <w:t>ადგილობრივი</w:t>
      </w:r>
      <w:r w:rsidRPr="003D733D">
        <w:t xml:space="preserve"> </w:t>
      </w:r>
      <w:r w:rsidRPr="003D733D">
        <w:rPr>
          <w:rFonts w:ascii="Sylfaen" w:hAnsi="Sylfaen" w:cs="Sylfaen"/>
        </w:rPr>
        <w:t>თვითმმართველობის</w:t>
      </w:r>
      <w:r w:rsidRPr="003D733D">
        <w:t xml:space="preserve"> </w:t>
      </w:r>
      <w:r w:rsidRPr="003D733D">
        <w:rPr>
          <w:rFonts w:ascii="Sylfaen" w:hAnsi="Sylfaen" w:cs="Sylfaen"/>
        </w:rPr>
        <w:t>ორგანოები</w:t>
      </w:r>
      <w:r w:rsidRPr="003D733D">
        <w:t xml:space="preserve">, </w:t>
      </w:r>
      <w:r w:rsidRPr="003D733D">
        <w:rPr>
          <w:rFonts w:ascii="Sylfaen" w:hAnsi="Sylfaen" w:cs="Sylfaen"/>
        </w:rPr>
        <w:t>სამოქალაქო</w:t>
      </w:r>
      <w:r w:rsidRPr="003D733D">
        <w:t xml:space="preserve"> </w:t>
      </w:r>
      <w:r w:rsidRPr="003D733D">
        <w:rPr>
          <w:rFonts w:ascii="Sylfaen" w:hAnsi="Sylfaen" w:cs="Sylfaen"/>
        </w:rPr>
        <w:t>სამუშაოების</w:t>
      </w:r>
      <w:r w:rsidRPr="003D733D">
        <w:t xml:space="preserve"> </w:t>
      </w:r>
      <w:r w:rsidRPr="003D733D">
        <w:rPr>
          <w:rFonts w:ascii="Sylfaen" w:hAnsi="Sylfaen" w:cs="Sylfaen"/>
        </w:rPr>
        <w:t>მოიჯარე</w:t>
      </w:r>
      <w:r w:rsidRPr="003D733D">
        <w:t xml:space="preserve">, </w:t>
      </w:r>
      <w:r w:rsidRPr="003D733D">
        <w:rPr>
          <w:rFonts w:ascii="Sylfaen" w:hAnsi="Sylfaen" w:cs="Sylfaen"/>
        </w:rPr>
        <w:t>ზედამხედველობის</w:t>
      </w:r>
      <w:r w:rsidRPr="003D733D">
        <w:t xml:space="preserve"> </w:t>
      </w:r>
      <w:r w:rsidRPr="003D733D">
        <w:rPr>
          <w:rFonts w:ascii="Sylfaen" w:hAnsi="Sylfaen" w:cs="Sylfaen"/>
        </w:rPr>
        <w:t>კომპანია</w:t>
      </w:r>
      <w:r w:rsidRPr="003D733D">
        <w:t xml:space="preserve"> (</w:t>
      </w:r>
      <w:r w:rsidRPr="003D733D">
        <w:rPr>
          <w:rFonts w:ascii="Sylfaen" w:hAnsi="Sylfaen" w:cs="Sylfaen"/>
        </w:rPr>
        <w:t>ინჟინერი</w:t>
      </w:r>
      <w:r w:rsidRPr="003D733D">
        <w:t xml:space="preserve">), </w:t>
      </w:r>
      <w:r w:rsidRPr="003D733D">
        <w:rPr>
          <w:rFonts w:ascii="Sylfaen" w:hAnsi="Sylfaen" w:cs="Sylfaen"/>
        </w:rPr>
        <w:t>ისევე</w:t>
      </w:r>
      <w:r w:rsidRPr="003D733D">
        <w:t xml:space="preserve">, </w:t>
      </w:r>
      <w:r w:rsidRPr="003D733D">
        <w:rPr>
          <w:rFonts w:ascii="Sylfaen" w:hAnsi="Sylfaen" w:cs="Sylfaen"/>
        </w:rPr>
        <w:t>როგორც</w:t>
      </w:r>
      <w:r w:rsidRPr="003D733D">
        <w:t xml:space="preserve"> AP-</w:t>
      </w:r>
      <w:r w:rsidRPr="003D733D">
        <w:rPr>
          <w:rFonts w:ascii="Sylfaen" w:hAnsi="Sylfaen" w:cs="Sylfaen"/>
        </w:rPr>
        <w:t>ები</w:t>
      </w:r>
      <w:r w:rsidRPr="003D733D">
        <w:t xml:space="preserve"> (</w:t>
      </w:r>
      <w:r w:rsidRPr="003D733D">
        <w:rPr>
          <w:rFonts w:ascii="Sylfaen" w:hAnsi="Sylfaen" w:cs="Sylfaen"/>
        </w:rPr>
        <w:t>არაფორმალური</w:t>
      </w:r>
      <w:r w:rsidRPr="003D733D">
        <w:t xml:space="preserve"> </w:t>
      </w:r>
      <w:r w:rsidRPr="003D733D">
        <w:rPr>
          <w:rFonts w:ascii="Sylfaen" w:hAnsi="Sylfaen" w:cs="Sylfaen"/>
        </w:rPr>
        <w:t>შეხვედრების</w:t>
      </w:r>
      <w:r w:rsidRPr="003D733D">
        <w:t xml:space="preserve"> </w:t>
      </w:r>
      <w:r w:rsidRPr="003D733D">
        <w:rPr>
          <w:rFonts w:ascii="Sylfaen" w:hAnsi="Sylfaen" w:cs="Sylfaen"/>
        </w:rPr>
        <w:t>გზით</w:t>
      </w:r>
      <w:r w:rsidRPr="003D733D">
        <w:t xml:space="preserve">) </w:t>
      </w:r>
      <w:r w:rsidRPr="003D733D">
        <w:rPr>
          <w:rFonts w:ascii="Sylfaen" w:hAnsi="Sylfaen" w:cs="Sylfaen"/>
        </w:rPr>
        <w:t>ინფორმირებული</w:t>
      </w:r>
      <w:r w:rsidRPr="003D733D">
        <w:t xml:space="preserve"> </w:t>
      </w:r>
      <w:r w:rsidRPr="003D733D">
        <w:rPr>
          <w:rFonts w:ascii="Sylfaen" w:hAnsi="Sylfaen" w:cs="Sylfaen"/>
        </w:rPr>
        <w:t>უნდა</w:t>
      </w:r>
      <w:r w:rsidRPr="003D733D">
        <w:t xml:space="preserve"> </w:t>
      </w:r>
      <w:r w:rsidRPr="003D733D">
        <w:rPr>
          <w:rFonts w:ascii="Sylfaen" w:hAnsi="Sylfaen" w:cs="Sylfaen"/>
        </w:rPr>
        <w:t>იყვნენ</w:t>
      </w:r>
      <w:r w:rsidRPr="003D733D">
        <w:t xml:space="preserve"> </w:t>
      </w:r>
      <w:r w:rsidRPr="003D733D">
        <w:rPr>
          <w:rFonts w:ascii="Sylfaen" w:hAnsi="Sylfaen" w:cs="Sylfaen"/>
        </w:rPr>
        <w:t>საკონტაქტო</w:t>
      </w:r>
      <w:r w:rsidRPr="003D733D">
        <w:t xml:space="preserve"> </w:t>
      </w:r>
      <w:r w:rsidRPr="003D733D">
        <w:rPr>
          <w:rFonts w:ascii="Sylfaen" w:hAnsi="Sylfaen" w:cs="Sylfaen"/>
        </w:rPr>
        <w:t>პირის</w:t>
      </w:r>
      <w:r w:rsidRPr="003D733D">
        <w:t xml:space="preserve"> </w:t>
      </w:r>
      <w:r w:rsidRPr="003D733D">
        <w:rPr>
          <w:rFonts w:ascii="Sylfaen" w:hAnsi="Sylfaen" w:cs="Sylfaen"/>
        </w:rPr>
        <w:t>შესახებ</w:t>
      </w:r>
      <w:r w:rsidRPr="003D733D">
        <w:t xml:space="preserve"> </w:t>
      </w:r>
      <w:r w:rsidRPr="003D733D">
        <w:rPr>
          <w:rFonts w:ascii="Sylfaen" w:hAnsi="Sylfaen" w:cs="Sylfaen"/>
        </w:rPr>
        <w:t>და</w:t>
      </w:r>
      <w:r w:rsidRPr="003D733D">
        <w:t xml:space="preserve"> </w:t>
      </w:r>
      <w:r w:rsidRPr="003D733D">
        <w:rPr>
          <w:rFonts w:ascii="Sylfaen" w:hAnsi="Sylfaen" w:cs="Sylfaen"/>
        </w:rPr>
        <w:t>მისი</w:t>
      </w:r>
      <w:r w:rsidRPr="003D733D">
        <w:t xml:space="preserve"> </w:t>
      </w:r>
      <w:r w:rsidRPr="003D733D">
        <w:rPr>
          <w:rFonts w:ascii="Sylfaen" w:hAnsi="Sylfaen" w:cs="Sylfaen"/>
        </w:rPr>
        <w:t>საკონტაქტო</w:t>
      </w:r>
      <w:r w:rsidRPr="003D733D">
        <w:t xml:space="preserve"> </w:t>
      </w:r>
      <w:r w:rsidRPr="003D733D">
        <w:rPr>
          <w:rFonts w:ascii="Sylfaen" w:hAnsi="Sylfaen" w:cs="Sylfaen"/>
        </w:rPr>
        <w:t>დეტალები</w:t>
      </w:r>
      <w:r w:rsidRPr="003D733D">
        <w:t xml:space="preserve"> </w:t>
      </w:r>
      <w:r w:rsidRPr="003D733D">
        <w:rPr>
          <w:rFonts w:ascii="Sylfaen" w:hAnsi="Sylfaen" w:cs="Sylfaen"/>
        </w:rPr>
        <w:t>ხელმისაწვდომი</w:t>
      </w:r>
      <w:r w:rsidRPr="003D733D">
        <w:t xml:space="preserve"> </w:t>
      </w:r>
      <w:r w:rsidRPr="003D733D">
        <w:rPr>
          <w:rFonts w:ascii="Sylfaen" w:hAnsi="Sylfaen" w:cs="Sylfaen"/>
        </w:rPr>
        <w:t>უნდა</w:t>
      </w:r>
      <w:r w:rsidRPr="003D733D">
        <w:t xml:space="preserve"> </w:t>
      </w:r>
      <w:r w:rsidRPr="003D733D">
        <w:rPr>
          <w:rFonts w:ascii="Sylfaen" w:hAnsi="Sylfaen" w:cs="Sylfaen"/>
        </w:rPr>
        <w:t>იყოს</w:t>
      </w:r>
      <w:r w:rsidRPr="003D733D">
        <w:t xml:space="preserve"> </w:t>
      </w:r>
      <w:r w:rsidRPr="003D733D">
        <w:rPr>
          <w:rFonts w:ascii="Sylfaen" w:hAnsi="Sylfaen" w:cs="Sylfaen"/>
        </w:rPr>
        <w:t>ოფისებში</w:t>
      </w:r>
      <w:r w:rsidRPr="003D733D">
        <w:t xml:space="preserve"> </w:t>
      </w:r>
      <w:r w:rsidRPr="003D733D">
        <w:rPr>
          <w:rFonts w:ascii="Sylfaen" w:hAnsi="Sylfaen" w:cs="Sylfaen"/>
        </w:rPr>
        <w:t>ყველა</w:t>
      </w:r>
      <w:r w:rsidRPr="003D733D">
        <w:t xml:space="preserve"> </w:t>
      </w:r>
      <w:r w:rsidRPr="003D733D">
        <w:rPr>
          <w:rFonts w:ascii="Sylfaen" w:hAnsi="Sylfaen" w:cs="Sylfaen"/>
        </w:rPr>
        <w:t>ზემოხსენებული</w:t>
      </w:r>
      <w:r w:rsidRPr="003D733D">
        <w:t xml:space="preserve"> </w:t>
      </w:r>
      <w:r w:rsidRPr="003D733D">
        <w:rPr>
          <w:rFonts w:ascii="Sylfaen" w:hAnsi="Sylfaen" w:cs="Sylfaen"/>
        </w:rPr>
        <w:t>დაინტერსებული</w:t>
      </w:r>
      <w:r w:rsidRPr="003D733D">
        <w:t xml:space="preserve"> </w:t>
      </w:r>
      <w:r w:rsidRPr="003D733D">
        <w:rPr>
          <w:rFonts w:ascii="Sylfaen" w:hAnsi="Sylfaen" w:cs="Sylfaen"/>
        </w:rPr>
        <w:t>პირისთვის</w:t>
      </w:r>
      <w:r w:rsidRPr="003D733D">
        <w:t xml:space="preserve">.  </w:t>
      </w:r>
    </w:p>
    <w:p w14:paraId="00CEEDEF" w14:textId="77777777" w:rsidR="00CE1A11" w:rsidRPr="003D733D" w:rsidRDefault="00CE1A11" w:rsidP="004B1ED5">
      <w:pPr>
        <w:spacing w:before="120" w:after="120"/>
      </w:pPr>
      <w:r w:rsidRPr="003D733D">
        <w:rPr>
          <w:rFonts w:ascii="Sylfaen" w:hAnsi="Sylfaen" w:cs="Sylfaen"/>
        </w:rPr>
        <w:t>საკონტაქტო</w:t>
      </w:r>
      <w:r w:rsidRPr="003D733D">
        <w:t xml:space="preserve"> </w:t>
      </w:r>
      <w:r w:rsidRPr="003D733D">
        <w:rPr>
          <w:rFonts w:ascii="Sylfaen" w:hAnsi="Sylfaen" w:cs="Sylfaen"/>
        </w:rPr>
        <w:t>პირი</w:t>
      </w:r>
      <w:r w:rsidRPr="003D733D">
        <w:t xml:space="preserve"> </w:t>
      </w:r>
      <w:r w:rsidRPr="003D733D">
        <w:rPr>
          <w:rFonts w:ascii="Sylfaen" w:hAnsi="Sylfaen" w:cs="Sylfaen"/>
        </w:rPr>
        <w:t>აგროვებს</w:t>
      </w:r>
      <w:r w:rsidRPr="003D733D">
        <w:t xml:space="preserve"> </w:t>
      </w:r>
      <w:r w:rsidRPr="003D733D">
        <w:rPr>
          <w:rFonts w:ascii="Sylfaen" w:hAnsi="Sylfaen" w:cs="Sylfaen"/>
        </w:rPr>
        <w:t>და</w:t>
      </w:r>
      <w:r w:rsidRPr="003D733D">
        <w:t xml:space="preserve"> </w:t>
      </w:r>
      <w:r w:rsidRPr="003D733D">
        <w:rPr>
          <w:rFonts w:ascii="Sylfaen" w:hAnsi="Sylfaen" w:cs="Sylfaen"/>
        </w:rPr>
        <w:t>იწერს</w:t>
      </w:r>
      <w:r w:rsidRPr="003D733D">
        <w:t xml:space="preserve"> </w:t>
      </w:r>
      <w:r w:rsidRPr="003D733D">
        <w:rPr>
          <w:rFonts w:ascii="Sylfaen" w:hAnsi="Sylfaen" w:cs="Sylfaen"/>
        </w:rPr>
        <w:t>საჩივრებს</w:t>
      </w:r>
      <w:r w:rsidRPr="003D733D">
        <w:t xml:space="preserve">, </w:t>
      </w:r>
      <w:r w:rsidRPr="003D733D">
        <w:rPr>
          <w:rFonts w:ascii="Sylfaen" w:hAnsi="Sylfaen" w:cs="Sylfaen"/>
        </w:rPr>
        <w:t>აცნობებს</w:t>
      </w:r>
      <w:r w:rsidRPr="003D733D">
        <w:t xml:space="preserve"> </w:t>
      </w:r>
      <w:r w:rsidRPr="003D733D">
        <w:rPr>
          <w:rFonts w:ascii="Sylfaen" w:hAnsi="Sylfaen" w:cs="Sylfaen"/>
        </w:rPr>
        <w:t>კომიტეტის</w:t>
      </w:r>
      <w:r w:rsidRPr="003D733D">
        <w:t xml:space="preserve"> </w:t>
      </w:r>
      <w:r w:rsidRPr="003D733D">
        <w:rPr>
          <w:rFonts w:ascii="Sylfaen" w:hAnsi="Sylfaen" w:cs="Sylfaen"/>
        </w:rPr>
        <w:t>წევრებს</w:t>
      </w:r>
      <w:r w:rsidRPr="003D733D">
        <w:t xml:space="preserve"> </w:t>
      </w:r>
      <w:r w:rsidRPr="003D733D">
        <w:rPr>
          <w:rFonts w:ascii="Sylfaen" w:hAnsi="Sylfaen" w:cs="Sylfaen"/>
        </w:rPr>
        <w:t>და</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დეპარტამენტის</w:t>
      </w:r>
      <w:r w:rsidRPr="003D733D">
        <w:t xml:space="preserve"> </w:t>
      </w:r>
      <w:r w:rsidRPr="003D733D">
        <w:rPr>
          <w:rFonts w:ascii="Sylfaen" w:hAnsi="Sylfaen" w:cs="Sylfaen"/>
        </w:rPr>
        <w:t>ხელმძღვანელობას</w:t>
      </w:r>
      <w:r w:rsidRPr="003D733D">
        <w:t xml:space="preserve"> </w:t>
      </w:r>
      <w:r w:rsidRPr="003D733D">
        <w:rPr>
          <w:rFonts w:ascii="Sylfaen" w:hAnsi="Sylfaen" w:cs="Sylfaen"/>
        </w:rPr>
        <w:t>პრობლემის</w:t>
      </w:r>
      <w:r w:rsidRPr="003D733D">
        <w:t xml:space="preserve"> </w:t>
      </w:r>
      <w:r w:rsidRPr="003D733D">
        <w:rPr>
          <w:rFonts w:ascii="Sylfaen" w:hAnsi="Sylfaen" w:cs="Sylfaen"/>
        </w:rPr>
        <w:t>არსის</w:t>
      </w:r>
      <w:r w:rsidRPr="003D733D">
        <w:t xml:space="preserve"> </w:t>
      </w:r>
      <w:r w:rsidRPr="003D733D">
        <w:rPr>
          <w:rFonts w:ascii="Sylfaen" w:hAnsi="Sylfaen" w:cs="Sylfaen"/>
        </w:rPr>
        <w:t>შესახებ</w:t>
      </w:r>
      <w:r w:rsidRPr="003D733D">
        <w:t xml:space="preserve">, </w:t>
      </w:r>
      <w:r w:rsidRPr="003D733D">
        <w:rPr>
          <w:rFonts w:ascii="Sylfaen" w:hAnsi="Sylfaen" w:cs="Sylfaen"/>
        </w:rPr>
        <w:t>რთავს</w:t>
      </w:r>
      <w:r w:rsidRPr="003D733D">
        <w:t xml:space="preserve"> </w:t>
      </w:r>
      <w:r w:rsidRPr="003D733D">
        <w:rPr>
          <w:rFonts w:ascii="Sylfaen" w:hAnsi="Sylfaen" w:cs="Sylfaen"/>
        </w:rPr>
        <w:t>შესაბამის</w:t>
      </w:r>
      <w:r w:rsidRPr="003D733D">
        <w:t xml:space="preserve"> </w:t>
      </w:r>
      <w:r w:rsidRPr="003D733D">
        <w:rPr>
          <w:rFonts w:ascii="Sylfaen" w:hAnsi="Sylfaen" w:cs="Sylfaen"/>
        </w:rPr>
        <w:t>დაინტერესებულ</w:t>
      </w:r>
      <w:r w:rsidRPr="003D733D">
        <w:t xml:space="preserve"> </w:t>
      </w:r>
      <w:r w:rsidRPr="003D733D">
        <w:rPr>
          <w:rFonts w:ascii="Sylfaen" w:hAnsi="Sylfaen" w:cs="Sylfaen"/>
        </w:rPr>
        <w:t>მხარეებს</w:t>
      </w:r>
      <w:r w:rsidRPr="003D733D">
        <w:t xml:space="preserve"> </w:t>
      </w:r>
      <w:r w:rsidRPr="003D733D">
        <w:rPr>
          <w:rFonts w:ascii="Sylfaen" w:hAnsi="Sylfaen" w:cs="Sylfaen"/>
        </w:rPr>
        <w:t>დისკუსიებში</w:t>
      </w:r>
      <w:r w:rsidRPr="003D733D">
        <w:t xml:space="preserve"> </w:t>
      </w:r>
      <w:r w:rsidRPr="003D733D">
        <w:rPr>
          <w:rFonts w:ascii="Sylfaen" w:hAnsi="Sylfaen" w:cs="Sylfaen"/>
        </w:rPr>
        <w:t>საჩივრის</w:t>
      </w:r>
      <w:r w:rsidRPr="003D733D">
        <w:t xml:space="preserve"> </w:t>
      </w:r>
      <w:r w:rsidRPr="003D733D">
        <w:rPr>
          <w:rFonts w:ascii="Sylfaen" w:hAnsi="Sylfaen" w:cs="Sylfaen"/>
        </w:rPr>
        <w:t>შემომტანთან</w:t>
      </w:r>
      <w:r w:rsidRPr="003D733D">
        <w:t xml:space="preserve">, </w:t>
      </w:r>
      <w:r w:rsidRPr="003D733D">
        <w:rPr>
          <w:rFonts w:ascii="Sylfaen" w:hAnsi="Sylfaen" w:cs="Sylfaen"/>
        </w:rPr>
        <w:t>ხელმძღვანელობს</w:t>
      </w:r>
      <w:r w:rsidRPr="003D733D">
        <w:t xml:space="preserve"> </w:t>
      </w:r>
      <w:r w:rsidRPr="003D733D">
        <w:rPr>
          <w:rFonts w:ascii="Sylfaen" w:hAnsi="Sylfaen" w:cs="Sylfaen"/>
        </w:rPr>
        <w:t>მოლაპარაკების</w:t>
      </w:r>
      <w:r w:rsidRPr="003D733D">
        <w:t xml:space="preserve"> </w:t>
      </w:r>
      <w:r w:rsidRPr="003D733D">
        <w:rPr>
          <w:rFonts w:ascii="Sylfaen" w:hAnsi="Sylfaen" w:cs="Sylfaen"/>
        </w:rPr>
        <w:t>პროცესს</w:t>
      </w:r>
      <w:r w:rsidRPr="003D733D">
        <w:t xml:space="preserve"> AP-</w:t>
      </w:r>
      <w:r w:rsidRPr="003D733D">
        <w:rPr>
          <w:rFonts w:ascii="Sylfaen" w:hAnsi="Sylfaen" w:cs="Sylfaen"/>
        </w:rPr>
        <w:t>სთან</w:t>
      </w:r>
      <w:r w:rsidRPr="003D733D">
        <w:t xml:space="preserve"> </w:t>
      </w:r>
      <w:r w:rsidRPr="003D733D">
        <w:rPr>
          <w:rFonts w:ascii="Sylfaen" w:hAnsi="Sylfaen" w:cs="Sylfaen"/>
        </w:rPr>
        <w:t>საჩივრის</w:t>
      </w:r>
      <w:r w:rsidRPr="003D733D">
        <w:t xml:space="preserve"> </w:t>
      </w:r>
      <w:r w:rsidRPr="003D733D">
        <w:rPr>
          <w:rFonts w:ascii="Sylfaen" w:hAnsi="Sylfaen" w:cs="Sylfaen"/>
        </w:rPr>
        <w:t>გადაწყვერის</w:t>
      </w:r>
      <w:r w:rsidRPr="003D733D">
        <w:t xml:space="preserve"> </w:t>
      </w:r>
      <w:r w:rsidRPr="003D733D">
        <w:rPr>
          <w:rFonts w:ascii="Sylfaen" w:hAnsi="Sylfaen" w:cs="Sylfaen"/>
        </w:rPr>
        <w:t>პირველ</w:t>
      </w:r>
      <w:r w:rsidRPr="003D733D">
        <w:t xml:space="preserve"> </w:t>
      </w:r>
      <w:r w:rsidRPr="003D733D">
        <w:rPr>
          <w:rFonts w:ascii="Sylfaen" w:hAnsi="Sylfaen" w:cs="Sylfaen"/>
        </w:rPr>
        <w:t>ეტაპზე</w:t>
      </w:r>
      <w:r w:rsidRPr="003D733D">
        <w:t xml:space="preserve">. </w:t>
      </w:r>
      <w:r w:rsidRPr="003D733D">
        <w:rPr>
          <w:rFonts w:ascii="Sylfaen" w:hAnsi="Sylfaen" w:cs="Sylfaen"/>
        </w:rPr>
        <w:t>საკონტაქტო</w:t>
      </w:r>
      <w:r w:rsidRPr="003D733D">
        <w:t xml:space="preserve"> </w:t>
      </w:r>
      <w:r w:rsidRPr="003D733D">
        <w:rPr>
          <w:rFonts w:ascii="Sylfaen" w:hAnsi="Sylfaen" w:cs="Sylfaen"/>
        </w:rPr>
        <w:t>პირი</w:t>
      </w:r>
      <w:r w:rsidRPr="003D733D">
        <w:t xml:space="preserve"> </w:t>
      </w:r>
      <w:r w:rsidRPr="003D733D">
        <w:rPr>
          <w:rFonts w:ascii="Sylfaen" w:hAnsi="Sylfaen" w:cs="Sylfaen"/>
        </w:rPr>
        <w:t>ამზადებს</w:t>
      </w:r>
      <w:r w:rsidRPr="003D733D">
        <w:t xml:space="preserve"> </w:t>
      </w:r>
      <w:r w:rsidRPr="003D733D">
        <w:rPr>
          <w:rFonts w:ascii="Sylfaen" w:hAnsi="Sylfaen" w:cs="Sylfaen"/>
        </w:rPr>
        <w:t>შეხვედრების</w:t>
      </w:r>
      <w:r w:rsidRPr="003D733D">
        <w:t xml:space="preserve"> </w:t>
      </w:r>
      <w:r w:rsidRPr="003D733D">
        <w:rPr>
          <w:rFonts w:ascii="Sylfaen" w:hAnsi="Sylfaen" w:cs="Sylfaen"/>
        </w:rPr>
        <w:t>ოქმს</w:t>
      </w:r>
      <w:r w:rsidRPr="003D733D">
        <w:t xml:space="preserve"> </w:t>
      </w:r>
      <w:r w:rsidRPr="003D733D">
        <w:rPr>
          <w:rFonts w:ascii="Sylfaen" w:hAnsi="Sylfaen" w:cs="Sylfaen"/>
        </w:rPr>
        <w:t>და</w:t>
      </w:r>
      <w:r w:rsidRPr="003D733D">
        <w:t xml:space="preserve"> </w:t>
      </w:r>
      <w:r w:rsidRPr="003D733D">
        <w:rPr>
          <w:rFonts w:ascii="Sylfaen" w:hAnsi="Sylfaen" w:cs="Sylfaen"/>
        </w:rPr>
        <w:t>ამტკიცებს</w:t>
      </w:r>
      <w:r w:rsidRPr="003D733D">
        <w:t xml:space="preserve"> </w:t>
      </w:r>
      <w:r w:rsidRPr="003D733D">
        <w:rPr>
          <w:rFonts w:ascii="Sylfaen" w:hAnsi="Sylfaen" w:cs="Sylfaen"/>
        </w:rPr>
        <w:t>ხელმოწერებს</w:t>
      </w:r>
      <w:r w:rsidRPr="003D733D">
        <w:t xml:space="preserve">. </w:t>
      </w:r>
      <w:r w:rsidRPr="003D733D">
        <w:rPr>
          <w:rFonts w:ascii="Sylfaen" w:hAnsi="Sylfaen" w:cs="Sylfaen"/>
        </w:rPr>
        <w:t>თუ</w:t>
      </w:r>
      <w:r w:rsidRPr="003D733D">
        <w:t xml:space="preserve"> </w:t>
      </w:r>
      <w:r w:rsidRPr="003D733D">
        <w:rPr>
          <w:rFonts w:ascii="Sylfaen" w:hAnsi="Sylfaen" w:cs="Sylfaen"/>
        </w:rPr>
        <w:t>საჩივარი</w:t>
      </w:r>
      <w:r w:rsidRPr="003D733D">
        <w:t xml:space="preserve"> </w:t>
      </w:r>
      <w:r w:rsidRPr="003D733D">
        <w:rPr>
          <w:rFonts w:ascii="Sylfaen" w:hAnsi="Sylfaen" w:cs="Sylfaen"/>
        </w:rPr>
        <w:t>გადაწყდება</w:t>
      </w:r>
      <w:r w:rsidRPr="003D733D">
        <w:t xml:space="preserve"> </w:t>
      </w:r>
      <w:r w:rsidRPr="003D733D">
        <w:rPr>
          <w:rFonts w:ascii="Sylfaen" w:hAnsi="Sylfaen" w:cs="Sylfaen"/>
        </w:rPr>
        <w:t>პირველ</w:t>
      </w:r>
      <w:r w:rsidRPr="003D733D">
        <w:t xml:space="preserve"> </w:t>
      </w:r>
      <w:r w:rsidRPr="003D733D">
        <w:rPr>
          <w:rFonts w:ascii="Sylfaen" w:hAnsi="Sylfaen" w:cs="Sylfaen"/>
        </w:rPr>
        <w:t>ეტაპზე</w:t>
      </w:r>
      <w:r w:rsidRPr="003D733D">
        <w:t xml:space="preserve"> </w:t>
      </w:r>
      <w:r w:rsidRPr="003D733D">
        <w:rPr>
          <w:rFonts w:ascii="Sylfaen" w:hAnsi="Sylfaen" w:cs="Sylfaen"/>
        </w:rPr>
        <w:t>საკონტაქტო</w:t>
      </w:r>
      <w:r w:rsidRPr="003D733D">
        <w:t xml:space="preserve"> </w:t>
      </w:r>
      <w:r w:rsidRPr="003D733D">
        <w:rPr>
          <w:rFonts w:ascii="Sylfaen" w:hAnsi="Sylfaen" w:cs="Sylfaen"/>
        </w:rPr>
        <w:t>პირი</w:t>
      </w:r>
      <w:r w:rsidRPr="003D733D">
        <w:t xml:space="preserve"> </w:t>
      </w:r>
      <w:r w:rsidRPr="003D733D">
        <w:rPr>
          <w:rFonts w:ascii="Sylfaen" w:hAnsi="Sylfaen" w:cs="Sylfaen"/>
        </w:rPr>
        <w:t>ჩაიწერს</w:t>
      </w:r>
      <w:r w:rsidRPr="003D733D">
        <w:t xml:space="preserve"> </w:t>
      </w:r>
      <w:r w:rsidRPr="003D733D">
        <w:rPr>
          <w:rFonts w:ascii="Sylfaen" w:hAnsi="Sylfaen" w:cs="Sylfaen"/>
        </w:rPr>
        <w:t>საჩივრის</w:t>
      </w:r>
      <w:r w:rsidRPr="003D733D">
        <w:t xml:space="preserve"> </w:t>
      </w:r>
      <w:r w:rsidRPr="003D733D">
        <w:rPr>
          <w:rFonts w:ascii="Sylfaen" w:hAnsi="Sylfaen" w:cs="Sylfaen"/>
        </w:rPr>
        <w:t>დახურვის</w:t>
      </w:r>
      <w:r w:rsidRPr="003D733D">
        <w:t xml:space="preserve"> </w:t>
      </w:r>
      <w:r w:rsidRPr="003D733D">
        <w:rPr>
          <w:rFonts w:ascii="Sylfaen" w:hAnsi="Sylfaen" w:cs="Sylfaen"/>
        </w:rPr>
        <w:t>ფაქტს</w:t>
      </w:r>
      <w:r w:rsidRPr="003D733D">
        <w:t xml:space="preserve"> </w:t>
      </w:r>
      <w:r w:rsidRPr="003D733D">
        <w:rPr>
          <w:rFonts w:ascii="Sylfaen" w:hAnsi="Sylfaen" w:cs="Sylfaen"/>
        </w:rPr>
        <w:t>საკუთარ</w:t>
      </w:r>
      <w:r w:rsidRPr="003D733D">
        <w:t xml:space="preserve"> </w:t>
      </w:r>
      <w:r w:rsidRPr="003D733D">
        <w:rPr>
          <w:rFonts w:ascii="Sylfaen" w:hAnsi="Sylfaen" w:cs="Sylfaen"/>
        </w:rPr>
        <w:t>ჟურნალში</w:t>
      </w:r>
      <w:r w:rsidRPr="003D733D">
        <w:t xml:space="preserve"> </w:t>
      </w:r>
      <w:r w:rsidRPr="003D733D">
        <w:rPr>
          <w:rFonts w:ascii="Sylfaen" w:hAnsi="Sylfaen" w:cs="Sylfaen"/>
        </w:rPr>
        <w:t>და</w:t>
      </w:r>
      <w:r w:rsidRPr="003D733D">
        <w:t xml:space="preserve"> </w:t>
      </w:r>
      <w:r w:rsidRPr="003D733D">
        <w:rPr>
          <w:rFonts w:ascii="Sylfaen" w:hAnsi="Sylfaen" w:cs="Sylfaen"/>
        </w:rPr>
        <w:t>აცნობებს</w:t>
      </w:r>
      <w:r w:rsidRPr="003D733D">
        <w:t xml:space="preserve"> RDMRDI-</w:t>
      </w:r>
      <w:r w:rsidRPr="003D733D">
        <w:rPr>
          <w:rFonts w:ascii="Sylfaen" w:hAnsi="Sylfaen" w:cs="Sylfaen"/>
        </w:rPr>
        <w:t>ს</w:t>
      </w:r>
      <w:r w:rsidRPr="003D733D">
        <w:t xml:space="preserve"> </w:t>
      </w:r>
      <w:r w:rsidRPr="003D733D">
        <w:rPr>
          <w:rFonts w:ascii="Sylfaen" w:hAnsi="Sylfaen" w:cs="Sylfaen"/>
        </w:rPr>
        <w:t>ხელმძღვანელობას</w:t>
      </w:r>
      <w:r w:rsidRPr="003D733D">
        <w:t xml:space="preserve"> </w:t>
      </w:r>
      <w:r w:rsidRPr="003D733D">
        <w:rPr>
          <w:rFonts w:ascii="Sylfaen" w:hAnsi="Sylfaen" w:cs="Sylfaen"/>
        </w:rPr>
        <w:t>ამის</w:t>
      </w:r>
      <w:r w:rsidRPr="003D733D">
        <w:t xml:space="preserve"> </w:t>
      </w:r>
      <w:r w:rsidRPr="003D733D">
        <w:rPr>
          <w:rFonts w:ascii="Sylfaen" w:hAnsi="Sylfaen" w:cs="Sylfaen"/>
        </w:rPr>
        <w:t>შესახებ</w:t>
      </w:r>
      <w:r w:rsidRPr="003D733D">
        <w:t xml:space="preserve"> </w:t>
      </w:r>
      <w:r w:rsidRPr="003D733D">
        <w:rPr>
          <w:rFonts w:ascii="Sylfaen" w:hAnsi="Sylfaen" w:cs="Sylfaen"/>
        </w:rPr>
        <w:t>წერილობით</w:t>
      </w:r>
      <w:r w:rsidRPr="003D733D">
        <w:t xml:space="preserve">.  </w:t>
      </w:r>
      <w:r w:rsidRPr="003D733D">
        <w:rPr>
          <w:rFonts w:ascii="Sylfaen" w:hAnsi="Sylfaen" w:cs="Sylfaen"/>
        </w:rPr>
        <w:t>თუ</w:t>
      </w:r>
      <w:r w:rsidRPr="003D733D">
        <w:t xml:space="preserve"> </w:t>
      </w:r>
      <w:r w:rsidRPr="003D733D">
        <w:rPr>
          <w:rFonts w:ascii="Sylfaen" w:hAnsi="Sylfaen" w:cs="Sylfaen"/>
        </w:rPr>
        <w:t>მოსარჩელეები</w:t>
      </w:r>
      <w:r w:rsidRPr="003D733D">
        <w:t xml:space="preserve"> </w:t>
      </w:r>
      <w:r w:rsidRPr="003D733D">
        <w:rPr>
          <w:rFonts w:ascii="Sylfaen" w:hAnsi="Sylfaen" w:cs="Sylfaen"/>
        </w:rPr>
        <w:t>არ</w:t>
      </w:r>
      <w:r w:rsidRPr="003D733D">
        <w:t xml:space="preserve"> </w:t>
      </w:r>
      <w:r w:rsidRPr="003D733D">
        <w:rPr>
          <w:rFonts w:ascii="Sylfaen" w:hAnsi="Sylfaen" w:cs="Sylfaen"/>
        </w:rPr>
        <w:t>დაკმაყოფილდებიან</w:t>
      </w:r>
      <w:r w:rsidRPr="003D733D">
        <w:t xml:space="preserve"> GRC </w:t>
      </w:r>
      <w:r w:rsidRPr="003D733D">
        <w:rPr>
          <w:rFonts w:ascii="Sylfaen" w:hAnsi="Sylfaen" w:cs="Sylfaen"/>
        </w:rPr>
        <w:t>გადაწყვეტილებებით</w:t>
      </w:r>
      <w:r w:rsidRPr="003D733D">
        <w:t xml:space="preserve">, </w:t>
      </w:r>
      <w:r w:rsidRPr="003D733D">
        <w:rPr>
          <w:rFonts w:ascii="Sylfaen" w:hAnsi="Sylfaen" w:cs="Sylfaen"/>
        </w:rPr>
        <w:t>მათ</w:t>
      </w:r>
      <w:r w:rsidRPr="003D733D">
        <w:t xml:space="preserve"> </w:t>
      </w:r>
      <w:r w:rsidRPr="003D733D">
        <w:rPr>
          <w:rFonts w:ascii="Sylfaen" w:hAnsi="Sylfaen" w:cs="Sylfaen"/>
        </w:rPr>
        <w:t>ყოველთვის</w:t>
      </w:r>
      <w:r w:rsidRPr="003D733D">
        <w:t xml:space="preserve"> </w:t>
      </w:r>
      <w:r w:rsidRPr="003D733D">
        <w:rPr>
          <w:rFonts w:ascii="Sylfaen" w:hAnsi="Sylfaen" w:cs="Sylfaen"/>
        </w:rPr>
        <w:t>შეუძლიათ</w:t>
      </w:r>
      <w:r w:rsidRPr="003D733D">
        <w:t xml:space="preserve"> </w:t>
      </w:r>
      <w:r w:rsidRPr="003D733D">
        <w:rPr>
          <w:rFonts w:ascii="Sylfaen" w:hAnsi="Sylfaen" w:cs="Sylfaen"/>
        </w:rPr>
        <w:t>გადაწყვეტილების</w:t>
      </w:r>
      <w:r w:rsidRPr="003D733D">
        <w:t xml:space="preserve"> </w:t>
      </w:r>
      <w:r w:rsidRPr="003D733D">
        <w:rPr>
          <w:rFonts w:ascii="Sylfaen" w:hAnsi="Sylfaen" w:cs="Sylfaen"/>
        </w:rPr>
        <w:t>პროცესის</w:t>
      </w:r>
      <w:r w:rsidRPr="003D733D">
        <w:t xml:space="preserve"> </w:t>
      </w:r>
      <w:r w:rsidRPr="003D733D">
        <w:rPr>
          <w:rFonts w:ascii="Sylfaen" w:hAnsi="Sylfaen" w:cs="Sylfaen"/>
        </w:rPr>
        <w:t>მეორე</w:t>
      </w:r>
      <w:r w:rsidRPr="003D733D">
        <w:t xml:space="preserve"> </w:t>
      </w:r>
      <w:r w:rsidRPr="003D733D">
        <w:rPr>
          <w:rFonts w:ascii="Sylfaen" w:hAnsi="Sylfaen" w:cs="Sylfaen"/>
        </w:rPr>
        <w:t>ეტაპის</w:t>
      </w:r>
      <w:r w:rsidRPr="003D733D">
        <w:t xml:space="preserve"> </w:t>
      </w:r>
      <w:r w:rsidRPr="003D733D">
        <w:rPr>
          <w:rFonts w:ascii="Sylfaen" w:hAnsi="Sylfaen" w:cs="Sylfaen"/>
        </w:rPr>
        <w:t>პროცედურების</w:t>
      </w:r>
      <w:r w:rsidRPr="003D733D">
        <w:t xml:space="preserve"> </w:t>
      </w:r>
      <w:r w:rsidRPr="003D733D">
        <w:rPr>
          <w:rFonts w:ascii="Sylfaen" w:hAnsi="Sylfaen" w:cs="Sylfaen"/>
        </w:rPr>
        <w:t>გამოყენება</w:t>
      </w:r>
      <w:r w:rsidRPr="003D733D">
        <w:t xml:space="preserve">. </w:t>
      </w:r>
      <w:r w:rsidRPr="003D733D">
        <w:rPr>
          <w:rFonts w:ascii="Sylfaen" w:hAnsi="Sylfaen" w:cs="Sylfaen"/>
        </w:rPr>
        <w:t>ამ</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საკონტაქტო</w:t>
      </w:r>
      <w:r w:rsidRPr="003D733D">
        <w:t xml:space="preserve"> </w:t>
      </w:r>
      <w:r w:rsidRPr="003D733D">
        <w:rPr>
          <w:rFonts w:ascii="Sylfaen" w:hAnsi="Sylfaen" w:cs="Sylfaen"/>
        </w:rPr>
        <w:t>პირი</w:t>
      </w:r>
      <w:r w:rsidRPr="003D733D">
        <w:t xml:space="preserve"> </w:t>
      </w:r>
      <w:r w:rsidRPr="003D733D">
        <w:rPr>
          <w:rFonts w:ascii="Sylfaen" w:hAnsi="Sylfaen" w:cs="Sylfaen"/>
        </w:rPr>
        <w:t>ეხმარება</w:t>
      </w:r>
      <w:r w:rsidRPr="003D733D">
        <w:t xml:space="preserve"> AP-</w:t>
      </w:r>
      <w:r w:rsidRPr="003D733D">
        <w:rPr>
          <w:rFonts w:ascii="Sylfaen" w:hAnsi="Sylfaen" w:cs="Sylfaen"/>
        </w:rPr>
        <w:t>ს</w:t>
      </w:r>
      <w:r w:rsidRPr="003D733D">
        <w:t xml:space="preserve"> </w:t>
      </w:r>
      <w:r w:rsidRPr="003D733D">
        <w:rPr>
          <w:rFonts w:ascii="Sylfaen" w:hAnsi="Sylfaen" w:cs="Sylfaen"/>
        </w:rPr>
        <w:t>ოფიციალური</w:t>
      </w:r>
      <w:r w:rsidRPr="003D733D">
        <w:t xml:space="preserve"> </w:t>
      </w:r>
      <w:r w:rsidRPr="003D733D">
        <w:rPr>
          <w:rFonts w:ascii="Sylfaen" w:hAnsi="Sylfaen" w:cs="Sylfaen"/>
        </w:rPr>
        <w:t>საჩივრის</w:t>
      </w:r>
      <w:r w:rsidRPr="003D733D">
        <w:t xml:space="preserve"> </w:t>
      </w:r>
      <w:r w:rsidRPr="003D733D">
        <w:rPr>
          <w:rFonts w:ascii="Sylfaen" w:hAnsi="Sylfaen" w:cs="Sylfaen"/>
        </w:rPr>
        <w:t>შეტანაში</w:t>
      </w:r>
      <w:r w:rsidRPr="003D733D">
        <w:t xml:space="preserve"> (</w:t>
      </w:r>
      <w:r w:rsidRPr="003D733D">
        <w:rPr>
          <w:rFonts w:ascii="Sylfaen" w:hAnsi="Sylfaen" w:cs="Sylfaen"/>
        </w:rPr>
        <w:t>მოსარჩელე</w:t>
      </w:r>
      <w:r w:rsidRPr="003D733D">
        <w:t xml:space="preserve"> </w:t>
      </w:r>
      <w:r w:rsidRPr="003D733D">
        <w:rPr>
          <w:rFonts w:ascii="Sylfaen" w:hAnsi="Sylfaen" w:cs="Sylfaen"/>
        </w:rPr>
        <w:t>ინფორმირებული</w:t>
      </w:r>
      <w:r w:rsidRPr="003D733D">
        <w:t xml:space="preserve"> </w:t>
      </w:r>
      <w:r w:rsidRPr="003D733D">
        <w:rPr>
          <w:rFonts w:ascii="Sylfaen" w:hAnsi="Sylfaen" w:cs="Sylfaen"/>
        </w:rPr>
        <w:t>უნდა</w:t>
      </w:r>
      <w:r w:rsidRPr="003D733D">
        <w:t xml:space="preserve"> </w:t>
      </w:r>
      <w:r w:rsidRPr="003D733D">
        <w:rPr>
          <w:rFonts w:ascii="Sylfaen" w:hAnsi="Sylfaen" w:cs="Sylfaen"/>
        </w:rPr>
        <w:t>იყოს</w:t>
      </w:r>
      <w:r w:rsidRPr="003D733D">
        <w:t xml:space="preserve"> </w:t>
      </w:r>
      <w:r w:rsidRPr="003D733D">
        <w:rPr>
          <w:rFonts w:ascii="Sylfaen" w:hAnsi="Sylfaen" w:cs="Sylfaen"/>
        </w:rPr>
        <w:t>მისი</w:t>
      </w:r>
      <w:r w:rsidRPr="003D733D">
        <w:t xml:space="preserve"> </w:t>
      </w:r>
      <w:r w:rsidRPr="003D733D">
        <w:rPr>
          <w:rFonts w:ascii="Sylfaen" w:hAnsi="Sylfaen" w:cs="Sylfaen"/>
        </w:rPr>
        <w:t>უფლებებისა</w:t>
      </w:r>
      <w:r w:rsidRPr="003D733D">
        <w:t xml:space="preserve"> </w:t>
      </w:r>
      <w:r w:rsidRPr="003D733D">
        <w:rPr>
          <w:rFonts w:ascii="Sylfaen" w:hAnsi="Sylfaen" w:cs="Sylfaen"/>
        </w:rPr>
        <w:t>და</w:t>
      </w:r>
      <w:r w:rsidRPr="003D733D">
        <w:t xml:space="preserve"> </w:t>
      </w:r>
      <w:r w:rsidRPr="003D733D">
        <w:rPr>
          <w:rFonts w:ascii="Sylfaen" w:hAnsi="Sylfaen" w:cs="Sylfaen"/>
        </w:rPr>
        <w:t>მოვალეობების</w:t>
      </w:r>
      <w:r w:rsidRPr="003D733D">
        <w:t xml:space="preserve">, </w:t>
      </w:r>
      <w:r w:rsidRPr="003D733D">
        <w:rPr>
          <w:rFonts w:ascii="Sylfaen" w:hAnsi="Sylfaen" w:cs="Sylfaen"/>
        </w:rPr>
        <w:t>საჩივრის</w:t>
      </w:r>
      <w:r w:rsidRPr="003D733D">
        <w:t xml:space="preserve"> </w:t>
      </w:r>
      <w:r w:rsidRPr="003D733D">
        <w:rPr>
          <w:rFonts w:ascii="Sylfaen" w:hAnsi="Sylfaen" w:cs="Sylfaen"/>
        </w:rPr>
        <w:t>შეტანის</w:t>
      </w:r>
      <w:r w:rsidRPr="003D733D">
        <w:t xml:space="preserve"> </w:t>
      </w:r>
      <w:r w:rsidRPr="003D733D">
        <w:rPr>
          <w:rFonts w:ascii="Sylfaen" w:hAnsi="Sylfaen" w:cs="Sylfaen"/>
        </w:rPr>
        <w:t>წესებისა</w:t>
      </w:r>
      <w:r w:rsidRPr="003D733D">
        <w:t xml:space="preserve"> </w:t>
      </w:r>
      <w:r w:rsidRPr="003D733D">
        <w:rPr>
          <w:rFonts w:ascii="Sylfaen" w:hAnsi="Sylfaen" w:cs="Sylfaen"/>
        </w:rPr>
        <w:t>და</w:t>
      </w:r>
      <w:r w:rsidRPr="003D733D">
        <w:t xml:space="preserve"> </w:t>
      </w:r>
      <w:r w:rsidRPr="003D733D">
        <w:rPr>
          <w:rFonts w:ascii="Sylfaen" w:hAnsi="Sylfaen" w:cs="Sylfaen"/>
        </w:rPr>
        <w:t>პროცედურების</w:t>
      </w:r>
      <w:r w:rsidRPr="003D733D">
        <w:t xml:space="preserve">, </w:t>
      </w:r>
      <w:r w:rsidRPr="003D733D">
        <w:rPr>
          <w:rFonts w:ascii="Sylfaen" w:hAnsi="Sylfaen" w:cs="Sylfaen"/>
        </w:rPr>
        <w:t>საჩივრის</w:t>
      </w:r>
      <w:r w:rsidRPr="003D733D">
        <w:t xml:space="preserve"> </w:t>
      </w:r>
      <w:r w:rsidRPr="003D733D">
        <w:rPr>
          <w:rFonts w:ascii="Sylfaen" w:hAnsi="Sylfaen" w:cs="Sylfaen"/>
        </w:rPr>
        <w:t>ფორმის</w:t>
      </w:r>
      <w:r w:rsidRPr="003D733D">
        <w:t xml:space="preserve">, </w:t>
      </w:r>
      <w:r w:rsidRPr="003D733D">
        <w:rPr>
          <w:rFonts w:ascii="Sylfaen" w:hAnsi="Sylfaen" w:cs="Sylfaen"/>
        </w:rPr>
        <w:t>საჩივრის</w:t>
      </w:r>
      <w:r w:rsidRPr="003D733D">
        <w:t xml:space="preserve"> </w:t>
      </w:r>
      <w:r w:rsidRPr="003D733D">
        <w:rPr>
          <w:rFonts w:ascii="Sylfaen" w:hAnsi="Sylfaen" w:cs="Sylfaen"/>
        </w:rPr>
        <w:t>წარდგენის</w:t>
      </w:r>
      <w:r w:rsidRPr="003D733D">
        <w:t xml:space="preserve"> </w:t>
      </w:r>
      <w:r w:rsidRPr="003D733D">
        <w:rPr>
          <w:rFonts w:ascii="Sylfaen" w:hAnsi="Sylfaen" w:cs="Sylfaen"/>
        </w:rPr>
        <w:t>პირობების</w:t>
      </w:r>
      <w:r w:rsidRPr="003D733D">
        <w:t xml:space="preserve"> </w:t>
      </w:r>
      <w:r w:rsidRPr="003D733D">
        <w:rPr>
          <w:rFonts w:ascii="Sylfaen" w:hAnsi="Sylfaen" w:cs="Sylfaen"/>
        </w:rPr>
        <w:t>და</w:t>
      </w:r>
      <w:r w:rsidRPr="003D733D">
        <w:t xml:space="preserve"> </w:t>
      </w:r>
      <w:r w:rsidRPr="003D733D">
        <w:rPr>
          <w:rFonts w:ascii="Sylfaen" w:hAnsi="Sylfaen" w:cs="Sylfaen"/>
        </w:rPr>
        <w:t>სხვა</w:t>
      </w:r>
      <w:r w:rsidRPr="003D733D">
        <w:t xml:space="preserve"> </w:t>
      </w:r>
      <w:r w:rsidRPr="003D733D">
        <w:rPr>
          <w:rFonts w:ascii="Sylfaen" w:hAnsi="Sylfaen" w:cs="Sylfaen"/>
        </w:rPr>
        <w:t>შესახებ</w:t>
      </w:r>
      <w:r w:rsidRPr="003D733D">
        <w:t>).</w:t>
      </w:r>
    </w:p>
    <w:p w14:paraId="1D8A8F71" w14:textId="77777777" w:rsidR="00CE1A11" w:rsidRPr="003D733D" w:rsidRDefault="00CE1A11" w:rsidP="004B1ED5">
      <w:pPr>
        <w:spacing w:before="120" w:after="120"/>
      </w:pPr>
      <w:r w:rsidRPr="003D733D">
        <w:t xml:space="preserve">APs </w:t>
      </w:r>
      <w:r w:rsidRPr="003D733D">
        <w:rPr>
          <w:rFonts w:ascii="Sylfaen" w:hAnsi="Sylfaen" w:cs="Sylfaen"/>
        </w:rPr>
        <w:t>ინფორმირებული</w:t>
      </w:r>
      <w:r w:rsidRPr="003D733D">
        <w:t xml:space="preserve"> </w:t>
      </w:r>
      <w:r w:rsidRPr="003D733D">
        <w:rPr>
          <w:rFonts w:ascii="Sylfaen" w:hAnsi="Sylfaen" w:cs="Sylfaen"/>
        </w:rPr>
        <w:t>უნდა</w:t>
      </w:r>
      <w:r w:rsidRPr="003D733D">
        <w:t xml:space="preserve"> </w:t>
      </w:r>
      <w:r w:rsidRPr="003D733D">
        <w:rPr>
          <w:rFonts w:ascii="Sylfaen" w:hAnsi="Sylfaen" w:cs="Sylfaen"/>
        </w:rPr>
        <w:t>იყოს</w:t>
      </w:r>
      <w:r w:rsidRPr="003D733D">
        <w:t xml:space="preserve"> </w:t>
      </w:r>
      <w:r w:rsidRPr="003D733D">
        <w:rPr>
          <w:rFonts w:ascii="Sylfaen" w:hAnsi="Sylfaen" w:cs="Sylfaen"/>
        </w:rPr>
        <w:t>ხელმისაწვდომი</w:t>
      </w:r>
      <w:r w:rsidRPr="003D733D">
        <w:t xml:space="preserve"> GRM-</w:t>
      </w:r>
      <w:r w:rsidRPr="003D733D">
        <w:rPr>
          <w:rFonts w:ascii="Sylfaen" w:hAnsi="Sylfaen" w:cs="Sylfaen"/>
        </w:rPr>
        <w:t>ს</w:t>
      </w:r>
      <w:r w:rsidRPr="003D733D">
        <w:t xml:space="preserve"> </w:t>
      </w:r>
      <w:r w:rsidRPr="003D733D">
        <w:rPr>
          <w:rFonts w:ascii="Sylfaen" w:hAnsi="Sylfaen" w:cs="Sylfaen"/>
        </w:rPr>
        <w:t>შესახებ</w:t>
      </w:r>
      <w:r w:rsidRPr="003D733D">
        <w:t xml:space="preserve">. </w:t>
      </w:r>
      <w:r w:rsidRPr="003D733D">
        <w:rPr>
          <w:rFonts w:ascii="Sylfaen" w:hAnsi="Sylfaen" w:cs="Sylfaen"/>
        </w:rPr>
        <w:t>ეს</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მიღწეული</w:t>
      </w:r>
      <w:r w:rsidRPr="003D733D">
        <w:t xml:space="preserve"> </w:t>
      </w:r>
      <w:r w:rsidRPr="003D733D">
        <w:rPr>
          <w:rFonts w:ascii="Sylfaen" w:hAnsi="Sylfaen" w:cs="Sylfaen"/>
        </w:rPr>
        <w:t>იქნას</w:t>
      </w:r>
      <w:r w:rsidRPr="003D733D">
        <w:t xml:space="preserve"> </w:t>
      </w:r>
      <w:r w:rsidRPr="003D733D">
        <w:rPr>
          <w:rFonts w:ascii="Sylfaen" w:hAnsi="Sylfaen" w:cs="Sylfaen"/>
        </w:rPr>
        <w:t>საინფორმაციო</w:t>
      </w:r>
      <w:r w:rsidRPr="003D733D">
        <w:t xml:space="preserve"> </w:t>
      </w:r>
      <w:r w:rsidRPr="003D733D">
        <w:rPr>
          <w:rFonts w:ascii="Sylfaen" w:hAnsi="Sylfaen" w:cs="Sylfaen"/>
        </w:rPr>
        <w:t>კამპანიების</w:t>
      </w:r>
      <w:r w:rsidRPr="003D733D">
        <w:t xml:space="preserve"> </w:t>
      </w:r>
      <w:r w:rsidRPr="003D733D">
        <w:rPr>
          <w:rFonts w:ascii="Sylfaen" w:hAnsi="Sylfaen" w:cs="Sylfaen"/>
        </w:rPr>
        <w:t>განხორციელებით</w:t>
      </w:r>
      <w:r w:rsidRPr="003D733D">
        <w:t xml:space="preserve">, </w:t>
      </w:r>
      <w:r w:rsidRPr="003D733D">
        <w:rPr>
          <w:rFonts w:ascii="Sylfaen" w:hAnsi="Sylfaen" w:cs="Sylfaen"/>
        </w:rPr>
        <w:t>ბროშურების</w:t>
      </w:r>
      <w:r w:rsidRPr="003D733D">
        <w:t xml:space="preserve"> </w:t>
      </w:r>
      <w:r w:rsidRPr="003D733D">
        <w:rPr>
          <w:rFonts w:ascii="Sylfaen" w:hAnsi="Sylfaen" w:cs="Sylfaen"/>
        </w:rPr>
        <w:t>გავრცელებით</w:t>
      </w:r>
      <w:r w:rsidRPr="003D733D">
        <w:t xml:space="preserve"> (</w:t>
      </w:r>
      <w:r w:rsidRPr="003D733D">
        <w:rPr>
          <w:rFonts w:ascii="Sylfaen" w:hAnsi="Sylfaen" w:cs="Sylfaen"/>
        </w:rPr>
        <w:t>მაგ</w:t>
      </w:r>
      <w:r w:rsidRPr="003D733D">
        <w:t xml:space="preserve">., </w:t>
      </w:r>
      <w:r w:rsidRPr="003D733D">
        <w:rPr>
          <w:rFonts w:ascii="Sylfaen" w:hAnsi="Sylfaen" w:cs="Sylfaen"/>
        </w:rPr>
        <w:t>საკომუნიკაციო</w:t>
      </w:r>
      <w:r w:rsidRPr="003D733D">
        <w:t xml:space="preserve"> </w:t>
      </w:r>
      <w:r w:rsidRPr="003D733D">
        <w:rPr>
          <w:rFonts w:ascii="Sylfaen" w:hAnsi="Sylfaen" w:cs="Sylfaen"/>
        </w:rPr>
        <w:t>გეგმა</w:t>
      </w:r>
      <w:r w:rsidRPr="003D733D">
        <w:t xml:space="preserve">), </w:t>
      </w:r>
      <w:r w:rsidRPr="003D733D">
        <w:rPr>
          <w:rFonts w:ascii="Sylfaen" w:hAnsi="Sylfaen" w:cs="Sylfaen"/>
        </w:rPr>
        <w:t>ყველა</w:t>
      </w:r>
      <w:r w:rsidRPr="003D733D">
        <w:t xml:space="preserve"> </w:t>
      </w:r>
      <w:r w:rsidRPr="003D733D">
        <w:rPr>
          <w:rFonts w:ascii="Sylfaen" w:hAnsi="Sylfaen" w:cs="Sylfaen"/>
        </w:rPr>
        <w:t>საკოორდინაციო</w:t>
      </w:r>
      <w:r w:rsidRPr="003D733D">
        <w:t xml:space="preserve"> </w:t>
      </w:r>
      <w:r w:rsidRPr="003D733D">
        <w:rPr>
          <w:rFonts w:ascii="Sylfaen" w:hAnsi="Sylfaen" w:cs="Sylfaen"/>
        </w:rPr>
        <w:t>ცენტრების</w:t>
      </w:r>
      <w:r w:rsidRPr="003D733D">
        <w:t xml:space="preserve"> </w:t>
      </w:r>
      <w:r w:rsidRPr="003D733D">
        <w:rPr>
          <w:rFonts w:ascii="Sylfaen" w:hAnsi="Sylfaen" w:cs="Sylfaen"/>
        </w:rPr>
        <w:t>აქტუალობის</w:t>
      </w:r>
      <w:r w:rsidRPr="003D733D">
        <w:t xml:space="preserve"> </w:t>
      </w:r>
      <w:r w:rsidRPr="003D733D">
        <w:rPr>
          <w:rFonts w:ascii="Sylfaen" w:hAnsi="Sylfaen" w:cs="Sylfaen"/>
        </w:rPr>
        <w:t>ხელშეწყობით</w:t>
      </w:r>
      <w:r w:rsidRPr="003D733D">
        <w:t xml:space="preserve"> </w:t>
      </w:r>
      <w:r w:rsidRPr="003D733D">
        <w:rPr>
          <w:rFonts w:ascii="Sylfaen" w:hAnsi="Sylfaen" w:cs="Sylfaen"/>
        </w:rPr>
        <w:t>და</w:t>
      </w:r>
      <w:r w:rsidRPr="003D733D">
        <w:t xml:space="preserve"> </w:t>
      </w:r>
      <w:r w:rsidRPr="003D733D">
        <w:rPr>
          <w:rFonts w:ascii="Sylfaen" w:hAnsi="Sylfaen" w:cs="Sylfaen"/>
        </w:rPr>
        <w:t>მათთან</w:t>
      </w:r>
      <w:r w:rsidRPr="003D733D">
        <w:t xml:space="preserve"> </w:t>
      </w:r>
      <w:r w:rsidRPr="003D733D">
        <w:rPr>
          <w:rFonts w:ascii="Sylfaen" w:hAnsi="Sylfaen" w:cs="Sylfaen"/>
        </w:rPr>
        <w:t>რეგულარული</w:t>
      </w:r>
      <w:r w:rsidRPr="003D733D">
        <w:t xml:space="preserve"> </w:t>
      </w:r>
      <w:r w:rsidRPr="003D733D">
        <w:rPr>
          <w:rFonts w:ascii="Sylfaen" w:hAnsi="Sylfaen" w:cs="Sylfaen"/>
        </w:rPr>
        <w:t>კომუნიკაციით</w:t>
      </w:r>
      <w:r w:rsidRPr="003D733D">
        <w:t xml:space="preserve">, </w:t>
      </w:r>
      <w:r w:rsidRPr="003D733D">
        <w:rPr>
          <w:rFonts w:ascii="Sylfaen" w:hAnsi="Sylfaen" w:cs="Sylfaen"/>
        </w:rPr>
        <w:t>საჩივრისთვის</w:t>
      </w:r>
      <w:r w:rsidRPr="003D733D">
        <w:t xml:space="preserve"> </w:t>
      </w:r>
      <w:r w:rsidRPr="003D733D">
        <w:rPr>
          <w:rFonts w:ascii="Sylfaen" w:hAnsi="Sylfaen" w:cs="Sylfaen"/>
        </w:rPr>
        <w:t>მრავალჯერადი</w:t>
      </w:r>
      <w:r w:rsidRPr="003D733D">
        <w:t xml:space="preserve"> </w:t>
      </w:r>
      <w:r w:rsidRPr="003D733D">
        <w:rPr>
          <w:rFonts w:ascii="Sylfaen" w:hAnsi="Sylfaen" w:cs="Sylfaen"/>
        </w:rPr>
        <w:t>შესვლის</w:t>
      </w:r>
      <w:r w:rsidRPr="003D733D">
        <w:t xml:space="preserve"> </w:t>
      </w:r>
      <w:r w:rsidRPr="003D733D">
        <w:rPr>
          <w:rFonts w:ascii="Sylfaen" w:hAnsi="Sylfaen" w:cs="Sylfaen"/>
        </w:rPr>
        <w:t>პუნქტის</w:t>
      </w:r>
      <w:r w:rsidRPr="003D733D">
        <w:t xml:space="preserve"> </w:t>
      </w:r>
      <w:r w:rsidRPr="003D733D">
        <w:rPr>
          <w:rFonts w:ascii="Sylfaen" w:hAnsi="Sylfaen" w:cs="Sylfaen"/>
        </w:rPr>
        <w:t>დაშვებთ</w:t>
      </w:r>
      <w:r w:rsidRPr="003D733D">
        <w:t xml:space="preserve">, </w:t>
      </w:r>
      <w:r w:rsidRPr="003D733D">
        <w:rPr>
          <w:rFonts w:ascii="Sylfaen" w:hAnsi="Sylfaen" w:cs="Sylfaen"/>
        </w:rPr>
        <w:t>საჩივრების</w:t>
      </w:r>
      <w:r w:rsidRPr="003D733D">
        <w:t xml:space="preserve"> </w:t>
      </w:r>
      <w:r w:rsidRPr="003D733D">
        <w:rPr>
          <w:rFonts w:ascii="Sylfaen" w:hAnsi="Sylfaen" w:cs="Sylfaen"/>
        </w:rPr>
        <w:t>შეტანის</w:t>
      </w:r>
      <w:r w:rsidRPr="003D733D">
        <w:t xml:space="preserve"> </w:t>
      </w:r>
      <w:r w:rsidRPr="003D733D">
        <w:rPr>
          <w:rFonts w:ascii="Sylfaen" w:hAnsi="Sylfaen" w:cs="Sylfaen"/>
        </w:rPr>
        <w:t>იოლი</w:t>
      </w:r>
      <w:r w:rsidRPr="003D733D">
        <w:t xml:space="preserve"> </w:t>
      </w:r>
      <w:r w:rsidRPr="003D733D">
        <w:rPr>
          <w:rFonts w:ascii="Sylfaen" w:hAnsi="Sylfaen" w:cs="Sylfaen"/>
        </w:rPr>
        <w:t>ფორმების</w:t>
      </w:r>
      <w:r w:rsidRPr="003D733D">
        <w:t xml:space="preserve"> </w:t>
      </w:r>
      <w:r w:rsidRPr="003D733D">
        <w:rPr>
          <w:rFonts w:ascii="Sylfaen" w:hAnsi="Sylfaen" w:cs="Sylfaen"/>
        </w:rPr>
        <w:t>შემოღებით</w:t>
      </w:r>
      <w:r w:rsidRPr="003D733D">
        <w:t>.</w:t>
      </w:r>
    </w:p>
    <w:p w14:paraId="67AD9C92" w14:textId="77777777" w:rsidR="00CE1A11" w:rsidRPr="003D733D" w:rsidRDefault="00CE1A11" w:rsidP="00CE1A11"/>
    <w:p w14:paraId="0A5C6D10" w14:textId="77777777" w:rsidR="00CE1A11" w:rsidRPr="003D733D" w:rsidRDefault="00CE1A11" w:rsidP="00CE1A11">
      <w:pPr>
        <w:rPr>
          <w:rFonts w:eastAsiaTheme="majorEastAsia"/>
        </w:rPr>
        <w:sectPr w:rsidR="00CE1A11" w:rsidRPr="003D733D" w:rsidSect="008168A3">
          <w:pgSz w:w="11907" w:h="16840"/>
          <w:pgMar w:top="1140" w:right="747" w:bottom="1140" w:left="1140" w:header="720" w:footer="720" w:gutter="0"/>
          <w:cols w:space="720"/>
        </w:sectPr>
      </w:pPr>
    </w:p>
    <w:p w14:paraId="16D0BCB5" w14:textId="1DE9F3D2" w:rsidR="00CE1A11" w:rsidRPr="003D733D" w:rsidRDefault="004B1ED5" w:rsidP="004B1ED5">
      <w:pPr>
        <w:pStyle w:val="EIAheading2"/>
      </w:pPr>
      <w:bookmarkStart w:id="543" w:name="_Toc473553976"/>
      <w:bookmarkStart w:id="544" w:name="_Toc529977436"/>
      <w:bookmarkStart w:id="545" w:name="_Toc1581594"/>
      <w:r>
        <w:lastRenderedPageBreak/>
        <w:t>10.2</w:t>
      </w:r>
      <w:r w:rsidR="00CE1A11" w:rsidRPr="003D733D">
        <w:t xml:space="preserve"> </w:t>
      </w:r>
      <w:bookmarkEnd w:id="543"/>
      <w:r w:rsidR="00CE1A11" w:rsidRPr="003D733D">
        <w:rPr>
          <w:rFonts w:ascii="Sylfaen" w:hAnsi="Sylfaen" w:cs="Sylfaen"/>
        </w:rPr>
        <w:t>საჩივრების</w:t>
      </w:r>
      <w:r w:rsidR="00CE1A11" w:rsidRPr="003D733D">
        <w:t xml:space="preserve"> </w:t>
      </w:r>
      <w:r w:rsidR="00CE1A11" w:rsidRPr="003D733D">
        <w:rPr>
          <w:rFonts w:ascii="Sylfaen" w:hAnsi="Sylfaen" w:cs="Sylfaen"/>
        </w:rPr>
        <w:t>განხილვის</w:t>
      </w:r>
      <w:r w:rsidR="00CE1A11" w:rsidRPr="003D733D">
        <w:t xml:space="preserve"> </w:t>
      </w:r>
      <w:r w:rsidR="00CE1A11" w:rsidRPr="003D733D">
        <w:rPr>
          <w:rFonts w:ascii="Sylfaen" w:hAnsi="Sylfaen" w:cs="Sylfaen"/>
        </w:rPr>
        <w:t>პროცედურები</w:t>
      </w:r>
      <w:bookmarkEnd w:id="544"/>
      <w:bookmarkEnd w:id="545"/>
    </w:p>
    <w:p w14:paraId="60E42094" w14:textId="167E8FD5" w:rsidR="00CE1A11" w:rsidRPr="003D733D" w:rsidRDefault="00CE1A11" w:rsidP="00CE1A11">
      <w:pPr>
        <w:rPr>
          <w:lang w:val="en-US"/>
        </w:rPr>
      </w:pPr>
      <w:r w:rsidRPr="003D733D">
        <w:rPr>
          <w:rFonts w:ascii="Sylfaen" w:hAnsi="Sylfaen" w:cs="Sylfaen"/>
        </w:rPr>
        <w:t>საჩივრის</w:t>
      </w:r>
      <w:r w:rsidRPr="003D733D">
        <w:t xml:space="preserve"> </w:t>
      </w:r>
      <w:r w:rsidRPr="003D733D">
        <w:rPr>
          <w:rFonts w:ascii="Sylfaen" w:hAnsi="Sylfaen" w:cs="Sylfaen"/>
        </w:rPr>
        <w:t>განხილვის</w:t>
      </w:r>
      <w:r w:rsidRPr="003D733D">
        <w:t xml:space="preserve"> </w:t>
      </w:r>
      <w:r w:rsidRPr="003D733D">
        <w:rPr>
          <w:rFonts w:ascii="Sylfaen" w:hAnsi="Sylfaen" w:cs="Sylfaen"/>
        </w:rPr>
        <w:t>პროცესის</w:t>
      </w:r>
      <w:r w:rsidRPr="003D733D">
        <w:t xml:space="preserve"> </w:t>
      </w:r>
      <w:r w:rsidRPr="003D733D">
        <w:rPr>
          <w:rFonts w:ascii="Sylfaen" w:hAnsi="Sylfaen" w:cs="Sylfaen"/>
        </w:rPr>
        <w:t>ყველა</w:t>
      </w:r>
      <w:r w:rsidRPr="003D733D">
        <w:t xml:space="preserve"> </w:t>
      </w:r>
      <w:r w:rsidRPr="003D733D">
        <w:rPr>
          <w:rFonts w:ascii="Sylfaen" w:hAnsi="Sylfaen" w:cs="Sylfaen"/>
        </w:rPr>
        <w:t>ეტაპის</w:t>
      </w:r>
      <w:r w:rsidRPr="003D733D">
        <w:t xml:space="preserve"> </w:t>
      </w:r>
      <w:r w:rsidRPr="003D733D">
        <w:rPr>
          <w:rFonts w:ascii="Sylfaen" w:hAnsi="Sylfaen" w:cs="Sylfaen"/>
        </w:rPr>
        <w:t>მოკლე</w:t>
      </w:r>
      <w:r w:rsidRPr="003D733D">
        <w:t xml:space="preserve"> </w:t>
      </w:r>
      <w:r w:rsidRPr="003D733D">
        <w:rPr>
          <w:rFonts w:ascii="Sylfaen" w:hAnsi="Sylfaen" w:cs="Sylfaen"/>
        </w:rPr>
        <w:t>აღწერა</w:t>
      </w:r>
      <w:r w:rsidRPr="003D733D">
        <w:t xml:space="preserve"> </w:t>
      </w:r>
      <w:r w:rsidRPr="003D733D">
        <w:rPr>
          <w:rFonts w:ascii="Sylfaen" w:hAnsi="Sylfaen" w:cs="Sylfaen"/>
        </w:rPr>
        <w:t>მოცემულია</w:t>
      </w:r>
      <w:r w:rsidRPr="003D733D">
        <w:t xml:space="preserve"> </w:t>
      </w:r>
      <w:r w:rsidRPr="003D733D">
        <w:rPr>
          <w:rFonts w:ascii="Sylfaen" w:hAnsi="Sylfaen" w:cs="Sylfaen"/>
        </w:rPr>
        <w:t>ცხრილში</w:t>
      </w:r>
      <w:r w:rsidR="004B1ED5">
        <w:t xml:space="preserve"> 10.</w:t>
      </w:r>
      <w:r w:rsidR="004B1ED5">
        <w:rPr>
          <w:rFonts w:ascii="Sylfaen" w:hAnsi="Sylfaen"/>
          <w:lang w:val="ka-GE"/>
        </w:rPr>
        <w:t>2-1</w:t>
      </w:r>
    </w:p>
    <w:p w14:paraId="2AC2A9C7" w14:textId="6A32F123" w:rsidR="00CE1A11" w:rsidRPr="003D733D" w:rsidRDefault="00CE1A11" w:rsidP="00CE1A11">
      <w:r w:rsidRPr="003D733D">
        <w:rPr>
          <w:rFonts w:ascii="Sylfaen" w:hAnsi="Sylfaen" w:cs="Sylfaen"/>
        </w:rPr>
        <w:t>ცხრილი</w:t>
      </w:r>
      <w:r w:rsidRPr="003D733D">
        <w:t xml:space="preserve"> 10.</w:t>
      </w:r>
      <w:r w:rsidR="004B1ED5">
        <w:rPr>
          <w:rFonts w:ascii="Sylfaen" w:hAnsi="Sylfaen"/>
          <w:lang w:val="ka-GE"/>
        </w:rPr>
        <w:t>2</w:t>
      </w:r>
      <w:r w:rsidRPr="003D733D">
        <w:t>.</w:t>
      </w:r>
      <w:r w:rsidR="004B1ED5">
        <w:rPr>
          <w:rFonts w:ascii="Sylfaen" w:hAnsi="Sylfaen"/>
          <w:lang w:val="ka-GE"/>
        </w:rPr>
        <w:t>-1</w:t>
      </w:r>
      <w:r w:rsidRPr="003D733D">
        <w:t xml:space="preserve"> </w:t>
      </w:r>
      <w:r w:rsidRPr="003D733D">
        <w:rPr>
          <w:rFonts w:ascii="Sylfaen" w:hAnsi="Sylfaen" w:cs="Sylfaen"/>
        </w:rPr>
        <w:t>საჩივრის</w:t>
      </w:r>
      <w:r w:rsidRPr="003D733D">
        <w:t xml:space="preserve"> </w:t>
      </w:r>
      <w:r w:rsidRPr="003D733D">
        <w:rPr>
          <w:rFonts w:ascii="Sylfaen" w:hAnsi="Sylfaen" w:cs="Sylfaen"/>
        </w:rPr>
        <w:t>განხილვის</w:t>
      </w:r>
      <w:r w:rsidRPr="003D733D">
        <w:t xml:space="preserve"> </w:t>
      </w:r>
      <w:r w:rsidRPr="003D733D">
        <w:rPr>
          <w:rFonts w:ascii="Sylfaen" w:hAnsi="Sylfaen" w:cs="Sylfaen"/>
        </w:rPr>
        <w:t>პროცესი</w:t>
      </w:r>
    </w:p>
    <w:tbl>
      <w:tblPr>
        <w:tblW w:w="16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4"/>
        <w:gridCol w:w="1935"/>
        <w:gridCol w:w="12556"/>
      </w:tblGrid>
      <w:tr w:rsidR="00CE1A11" w:rsidRPr="008168A3" w14:paraId="63C6E6F1" w14:textId="77777777" w:rsidTr="008168A3">
        <w:trPr>
          <w:tblHeader/>
          <w:jc w:val="center"/>
        </w:trPr>
        <w:tc>
          <w:tcPr>
            <w:tcW w:w="1524" w:type="dxa"/>
            <w:tcBorders>
              <w:top w:val="single" w:sz="4" w:space="0" w:color="auto"/>
              <w:left w:val="single" w:sz="4" w:space="0" w:color="auto"/>
              <w:bottom w:val="single" w:sz="4" w:space="0" w:color="auto"/>
              <w:right w:val="single" w:sz="4" w:space="0" w:color="auto"/>
            </w:tcBorders>
            <w:shd w:val="clear" w:color="auto" w:fill="92CDDC"/>
            <w:hideMark/>
          </w:tcPr>
          <w:p w14:paraId="08F8133C" w14:textId="77777777" w:rsidR="00CE1A11" w:rsidRPr="008168A3" w:rsidRDefault="00CE1A11" w:rsidP="00CE1A11">
            <w:pPr>
              <w:rPr>
                <w:sz w:val="18"/>
              </w:rPr>
            </w:pPr>
            <w:r w:rsidRPr="008168A3">
              <w:rPr>
                <w:rFonts w:ascii="Sylfaen" w:hAnsi="Sylfaen" w:cs="Sylfaen"/>
                <w:sz w:val="18"/>
              </w:rPr>
              <w:t>ნაბიჯები</w:t>
            </w:r>
          </w:p>
        </w:tc>
        <w:tc>
          <w:tcPr>
            <w:tcW w:w="1935" w:type="dxa"/>
            <w:tcBorders>
              <w:top w:val="single" w:sz="4" w:space="0" w:color="auto"/>
              <w:left w:val="single" w:sz="4" w:space="0" w:color="auto"/>
              <w:bottom w:val="single" w:sz="4" w:space="0" w:color="auto"/>
              <w:right w:val="single" w:sz="4" w:space="0" w:color="auto"/>
            </w:tcBorders>
            <w:shd w:val="clear" w:color="auto" w:fill="92CDDC"/>
            <w:hideMark/>
          </w:tcPr>
          <w:p w14:paraId="30069367" w14:textId="77777777" w:rsidR="00CE1A11" w:rsidRPr="008168A3" w:rsidRDefault="00CE1A11" w:rsidP="00CE1A11">
            <w:pPr>
              <w:rPr>
                <w:sz w:val="18"/>
                <w:lang w:val="ka-GE"/>
              </w:rPr>
            </w:pPr>
            <w:r w:rsidRPr="008168A3">
              <w:rPr>
                <w:rFonts w:ascii="Sylfaen" w:hAnsi="Sylfaen" w:cs="Sylfaen"/>
                <w:sz w:val="18"/>
              </w:rPr>
              <w:t>მოქმედების</w:t>
            </w:r>
            <w:r w:rsidRPr="008168A3">
              <w:rPr>
                <w:sz w:val="18"/>
              </w:rPr>
              <w:t xml:space="preserve"> </w:t>
            </w:r>
            <w:r w:rsidRPr="008168A3">
              <w:rPr>
                <w:rFonts w:ascii="Sylfaen" w:hAnsi="Sylfaen" w:cs="Sylfaen"/>
                <w:sz w:val="18"/>
              </w:rPr>
              <w:t>დონე</w:t>
            </w:r>
          </w:p>
        </w:tc>
        <w:tc>
          <w:tcPr>
            <w:tcW w:w="12556" w:type="dxa"/>
            <w:tcBorders>
              <w:top w:val="single" w:sz="4" w:space="0" w:color="auto"/>
              <w:left w:val="single" w:sz="4" w:space="0" w:color="auto"/>
              <w:bottom w:val="single" w:sz="4" w:space="0" w:color="auto"/>
              <w:right w:val="single" w:sz="4" w:space="0" w:color="auto"/>
            </w:tcBorders>
            <w:shd w:val="clear" w:color="auto" w:fill="92CDDC"/>
            <w:hideMark/>
          </w:tcPr>
          <w:p w14:paraId="0751AF83" w14:textId="77777777" w:rsidR="00CE1A11" w:rsidRPr="008168A3" w:rsidRDefault="00CE1A11" w:rsidP="00CE1A11">
            <w:pPr>
              <w:rPr>
                <w:sz w:val="18"/>
              </w:rPr>
            </w:pPr>
            <w:r w:rsidRPr="008168A3">
              <w:rPr>
                <w:rFonts w:ascii="Sylfaen" w:hAnsi="Sylfaen" w:cs="Sylfaen"/>
                <w:sz w:val="18"/>
              </w:rPr>
              <w:t>პროცესი</w:t>
            </w:r>
          </w:p>
        </w:tc>
      </w:tr>
      <w:tr w:rsidR="00CE1A11" w:rsidRPr="008168A3" w14:paraId="467353F4" w14:textId="77777777" w:rsidTr="008168A3">
        <w:trPr>
          <w:trHeight w:val="770"/>
          <w:jc w:val="center"/>
        </w:trPr>
        <w:tc>
          <w:tcPr>
            <w:tcW w:w="1524" w:type="dxa"/>
            <w:vMerge w:val="restart"/>
            <w:tcBorders>
              <w:top w:val="single" w:sz="4" w:space="0" w:color="auto"/>
              <w:left w:val="single" w:sz="4" w:space="0" w:color="auto"/>
              <w:bottom w:val="single" w:sz="4" w:space="0" w:color="auto"/>
              <w:right w:val="single" w:sz="4" w:space="0" w:color="auto"/>
            </w:tcBorders>
          </w:tcPr>
          <w:p w14:paraId="609687C9" w14:textId="77777777" w:rsidR="00CE1A11" w:rsidRPr="008168A3" w:rsidRDefault="00CE1A11" w:rsidP="00CE1A11">
            <w:pPr>
              <w:rPr>
                <w:sz w:val="18"/>
              </w:rPr>
            </w:pPr>
            <w:r w:rsidRPr="008168A3">
              <w:rPr>
                <w:rFonts w:ascii="Sylfaen" w:hAnsi="Sylfaen" w:cs="Sylfaen"/>
                <w:sz w:val="18"/>
              </w:rPr>
              <w:t>ეტაპი</w:t>
            </w:r>
            <w:r w:rsidRPr="008168A3">
              <w:rPr>
                <w:sz w:val="18"/>
              </w:rPr>
              <w:t xml:space="preserve"> 1</w:t>
            </w:r>
          </w:p>
          <w:p w14:paraId="09E41ADD" w14:textId="77777777" w:rsidR="00CE1A11" w:rsidRPr="008168A3" w:rsidRDefault="00CE1A11" w:rsidP="00CE1A11">
            <w:pPr>
              <w:rPr>
                <w:sz w:val="18"/>
              </w:rPr>
            </w:pPr>
            <w:r w:rsidRPr="008168A3">
              <w:rPr>
                <w:sz w:val="18"/>
              </w:rPr>
              <w:t xml:space="preserve">(GRCE </w:t>
            </w:r>
            <w:r w:rsidRPr="008168A3">
              <w:rPr>
                <w:rFonts w:ascii="Sylfaen" w:hAnsi="Sylfaen" w:cs="Sylfaen"/>
                <w:sz w:val="18"/>
              </w:rPr>
              <w:t>დონე</w:t>
            </w:r>
            <w:r w:rsidRPr="008168A3">
              <w:rPr>
                <w:sz w:val="18"/>
              </w:rPr>
              <w:t>)</w:t>
            </w:r>
          </w:p>
          <w:p w14:paraId="0EE758E5" w14:textId="77777777" w:rsidR="00CE1A11" w:rsidRPr="008168A3" w:rsidRDefault="00CE1A11" w:rsidP="00CE1A11">
            <w:pPr>
              <w:rPr>
                <w:sz w:val="18"/>
              </w:rPr>
            </w:pPr>
          </w:p>
        </w:tc>
        <w:tc>
          <w:tcPr>
            <w:tcW w:w="1935" w:type="dxa"/>
            <w:tcBorders>
              <w:top w:val="single" w:sz="4" w:space="0" w:color="auto"/>
              <w:left w:val="single" w:sz="4" w:space="0" w:color="auto"/>
              <w:bottom w:val="single" w:sz="4" w:space="0" w:color="auto"/>
              <w:right w:val="single" w:sz="4" w:space="0" w:color="auto"/>
            </w:tcBorders>
            <w:hideMark/>
          </w:tcPr>
          <w:p w14:paraId="5C49FD0A" w14:textId="77777777" w:rsidR="00CE1A11" w:rsidRPr="008168A3" w:rsidRDefault="00CE1A11" w:rsidP="00CE1A11">
            <w:pPr>
              <w:rPr>
                <w:sz w:val="18"/>
              </w:rPr>
            </w:pPr>
            <w:r w:rsidRPr="008168A3">
              <w:rPr>
                <w:rFonts w:ascii="Sylfaen" w:hAnsi="Sylfaen" w:cs="Sylfaen"/>
                <w:sz w:val="18"/>
              </w:rPr>
              <w:t>ნაბიჯი</w:t>
            </w:r>
            <w:r w:rsidRPr="008168A3">
              <w:rPr>
                <w:sz w:val="18"/>
              </w:rPr>
              <w:t xml:space="preserve"> 1: </w:t>
            </w:r>
          </w:p>
          <w:p w14:paraId="1D7D5D26" w14:textId="77777777" w:rsidR="00CE1A11" w:rsidRPr="008168A3" w:rsidRDefault="00CE1A11" w:rsidP="00CE1A11">
            <w:pPr>
              <w:rPr>
                <w:sz w:val="18"/>
              </w:rPr>
            </w:pPr>
            <w:r w:rsidRPr="008168A3">
              <w:rPr>
                <w:sz w:val="18"/>
              </w:rPr>
              <w:t>AP-</w:t>
            </w:r>
            <w:r w:rsidRPr="008168A3">
              <w:rPr>
                <w:rFonts w:ascii="Sylfaen" w:hAnsi="Sylfaen" w:cs="Sylfaen"/>
                <w:sz w:val="18"/>
              </w:rPr>
              <w:t>თანარაფორმალური</w:t>
            </w:r>
            <w:r w:rsidRPr="008168A3">
              <w:rPr>
                <w:sz w:val="18"/>
              </w:rPr>
              <w:t xml:space="preserve"> </w:t>
            </w:r>
            <w:r w:rsidRPr="008168A3">
              <w:rPr>
                <w:rFonts w:ascii="Sylfaen" w:hAnsi="Sylfaen" w:cs="Sylfaen"/>
                <w:sz w:val="18"/>
              </w:rPr>
              <w:t>მოლაპარაკებები</w:t>
            </w:r>
            <w:r w:rsidRPr="008168A3">
              <w:rPr>
                <w:sz w:val="18"/>
              </w:rPr>
              <w:t xml:space="preserve"> </w:t>
            </w:r>
          </w:p>
        </w:tc>
        <w:tc>
          <w:tcPr>
            <w:tcW w:w="12556" w:type="dxa"/>
            <w:tcBorders>
              <w:top w:val="single" w:sz="4" w:space="0" w:color="auto"/>
              <w:left w:val="single" w:sz="4" w:space="0" w:color="auto"/>
              <w:bottom w:val="single" w:sz="4" w:space="0" w:color="auto"/>
              <w:right w:val="single" w:sz="4" w:space="0" w:color="auto"/>
            </w:tcBorders>
            <w:hideMark/>
          </w:tcPr>
          <w:p w14:paraId="6D6B3F96" w14:textId="77777777" w:rsidR="00CE1A11" w:rsidRPr="008168A3" w:rsidRDefault="00CE1A11" w:rsidP="00CE1A11">
            <w:pPr>
              <w:rPr>
                <w:sz w:val="18"/>
              </w:rPr>
            </w:pPr>
            <w:r w:rsidRPr="008168A3">
              <w:rPr>
                <w:rFonts w:ascii="Sylfaen" w:hAnsi="Sylfaen" w:cs="Sylfaen"/>
                <w:sz w:val="18"/>
              </w:rPr>
              <w:t>საჩივარი</w:t>
            </w:r>
            <w:r w:rsidRPr="008168A3">
              <w:rPr>
                <w:sz w:val="18"/>
              </w:rPr>
              <w:t xml:space="preserve"> </w:t>
            </w:r>
            <w:r w:rsidRPr="008168A3">
              <w:rPr>
                <w:rFonts w:ascii="Sylfaen" w:hAnsi="Sylfaen" w:cs="Sylfaen"/>
                <w:sz w:val="18"/>
              </w:rPr>
              <w:t>არაფორმალურად</w:t>
            </w:r>
            <w:r w:rsidRPr="008168A3">
              <w:rPr>
                <w:sz w:val="18"/>
              </w:rPr>
              <w:t xml:space="preserve"> </w:t>
            </w:r>
            <w:r w:rsidRPr="008168A3">
              <w:rPr>
                <w:rFonts w:ascii="Sylfaen" w:hAnsi="Sylfaen" w:cs="Sylfaen"/>
                <w:sz w:val="18"/>
              </w:rPr>
              <w:t>განხილულია</w:t>
            </w:r>
            <w:r w:rsidRPr="008168A3">
              <w:rPr>
                <w:sz w:val="18"/>
              </w:rPr>
              <w:t xml:space="preserve"> GRCE </w:t>
            </w:r>
            <w:r w:rsidRPr="008168A3">
              <w:rPr>
                <w:rFonts w:ascii="Sylfaen" w:hAnsi="Sylfaen" w:cs="Sylfaen"/>
                <w:sz w:val="18"/>
              </w:rPr>
              <w:t>საკონტაქტო</w:t>
            </w:r>
            <w:r w:rsidRPr="008168A3">
              <w:rPr>
                <w:sz w:val="18"/>
              </w:rPr>
              <w:t xml:space="preserve"> </w:t>
            </w:r>
            <w:r w:rsidRPr="008168A3">
              <w:rPr>
                <w:rFonts w:ascii="Sylfaen" w:hAnsi="Sylfaen" w:cs="Sylfaen"/>
                <w:sz w:val="18"/>
              </w:rPr>
              <w:t>პირის</w:t>
            </w:r>
            <w:r w:rsidRPr="008168A3">
              <w:rPr>
                <w:sz w:val="18"/>
              </w:rPr>
              <w:t xml:space="preserve"> </w:t>
            </w:r>
            <w:r w:rsidRPr="008168A3">
              <w:rPr>
                <w:rFonts w:ascii="Sylfaen" w:hAnsi="Sylfaen" w:cs="Sylfaen"/>
                <w:sz w:val="18"/>
              </w:rPr>
              <w:t>მიერ</w:t>
            </w:r>
            <w:r w:rsidRPr="008168A3">
              <w:rPr>
                <w:sz w:val="18"/>
              </w:rPr>
              <w:t xml:space="preserve"> - IA/PIU-</w:t>
            </w:r>
            <w:r w:rsidRPr="008168A3">
              <w:rPr>
                <w:rFonts w:ascii="Sylfaen" w:hAnsi="Sylfaen" w:cs="Sylfaen"/>
                <w:sz w:val="18"/>
              </w:rPr>
              <w:t>ის</w:t>
            </w:r>
            <w:r w:rsidRPr="008168A3">
              <w:rPr>
                <w:sz w:val="18"/>
              </w:rPr>
              <w:t xml:space="preserve"> </w:t>
            </w:r>
            <w:r w:rsidRPr="008168A3">
              <w:rPr>
                <w:rFonts w:ascii="Sylfaen" w:hAnsi="Sylfaen" w:cs="Sylfaen"/>
                <w:sz w:val="18"/>
              </w:rPr>
              <w:t>გარემოს</w:t>
            </w:r>
            <w:r w:rsidRPr="008168A3">
              <w:rPr>
                <w:sz w:val="18"/>
              </w:rPr>
              <w:t xml:space="preserve"> </w:t>
            </w:r>
            <w:r w:rsidRPr="008168A3">
              <w:rPr>
                <w:rFonts w:ascii="Sylfaen" w:hAnsi="Sylfaen" w:cs="Sylfaen"/>
                <w:sz w:val="18"/>
              </w:rPr>
              <w:t>და</w:t>
            </w:r>
            <w:r w:rsidRPr="008168A3">
              <w:rPr>
                <w:sz w:val="18"/>
              </w:rPr>
              <w:t xml:space="preserve"> </w:t>
            </w:r>
            <w:r w:rsidRPr="008168A3">
              <w:rPr>
                <w:rFonts w:ascii="Sylfaen" w:hAnsi="Sylfaen" w:cs="Sylfaen"/>
                <w:sz w:val="18"/>
              </w:rPr>
              <w:t>განსახლების</w:t>
            </w:r>
            <w:r w:rsidRPr="008168A3">
              <w:rPr>
                <w:sz w:val="18"/>
              </w:rPr>
              <w:t xml:space="preserve"> </w:t>
            </w:r>
            <w:r w:rsidRPr="008168A3">
              <w:rPr>
                <w:rFonts w:ascii="Sylfaen" w:hAnsi="Sylfaen" w:cs="Sylfaen"/>
                <w:sz w:val="18"/>
              </w:rPr>
              <w:t>განყოფილება</w:t>
            </w:r>
            <w:r w:rsidRPr="008168A3">
              <w:rPr>
                <w:sz w:val="18"/>
              </w:rPr>
              <w:t xml:space="preserve">, </w:t>
            </w:r>
            <w:r w:rsidRPr="008168A3">
              <w:rPr>
                <w:rFonts w:ascii="Sylfaen" w:hAnsi="Sylfaen" w:cs="Sylfaen"/>
                <w:sz w:val="18"/>
              </w:rPr>
              <w:t>რომელიც</w:t>
            </w:r>
            <w:r w:rsidRPr="008168A3">
              <w:rPr>
                <w:sz w:val="18"/>
              </w:rPr>
              <w:t xml:space="preserve"> </w:t>
            </w:r>
            <w:r w:rsidRPr="008168A3">
              <w:rPr>
                <w:rFonts w:ascii="Sylfaen" w:hAnsi="Sylfaen" w:cs="Sylfaen"/>
                <w:sz w:val="18"/>
              </w:rPr>
              <w:t>იყენებს</w:t>
            </w:r>
            <w:r w:rsidRPr="008168A3">
              <w:rPr>
                <w:sz w:val="18"/>
              </w:rPr>
              <w:t xml:space="preserve"> </w:t>
            </w:r>
            <w:r w:rsidRPr="008168A3">
              <w:rPr>
                <w:rFonts w:ascii="Sylfaen" w:hAnsi="Sylfaen" w:cs="Sylfaen"/>
                <w:sz w:val="18"/>
              </w:rPr>
              <w:t>ყველა</w:t>
            </w:r>
            <w:r w:rsidRPr="008168A3">
              <w:rPr>
                <w:sz w:val="18"/>
              </w:rPr>
              <w:t xml:space="preserve"> </w:t>
            </w:r>
            <w:r w:rsidRPr="008168A3">
              <w:rPr>
                <w:rFonts w:ascii="Sylfaen" w:hAnsi="Sylfaen" w:cs="Sylfaen"/>
                <w:sz w:val="18"/>
              </w:rPr>
              <w:t>საჭირო</w:t>
            </w:r>
            <w:r w:rsidRPr="008168A3">
              <w:rPr>
                <w:sz w:val="18"/>
              </w:rPr>
              <w:t xml:space="preserve"> </w:t>
            </w:r>
            <w:r w:rsidRPr="008168A3">
              <w:rPr>
                <w:rFonts w:ascii="Sylfaen" w:hAnsi="Sylfaen" w:cs="Sylfaen"/>
                <w:sz w:val="18"/>
              </w:rPr>
              <w:t>ზომას</w:t>
            </w:r>
            <w:r w:rsidRPr="008168A3">
              <w:rPr>
                <w:sz w:val="18"/>
              </w:rPr>
              <w:t xml:space="preserve">, </w:t>
            </w:r>
            <w:r w:rsidRPr="008168A3">
              <w:rPr>
                <w:rFonts w:ascii="Sylfaen" w:hAnsi="Sylfaen" w:cs="Sylfaen"/>
                <w:sz w:val="18"/>
              </w:rPr>
              <w:t>დავის</w:t>
            </w:r>
            <w:r w:rsidRPr="008168A3">
              <w:rPr>
                <w:sz w:val="18"/>
              </w:rPr>
              <w:t xml:space="preserve"> </w:t>
            </w:r>
            <w:r w:rsidRPr="008168A3">
              <w:rPr>
                <w:rFonts w:ascii="Sylfaen" w:hAnsi="Sylfaen" w:cs="Sylfaen"/>
                <w:sz w:val="18"/>
              </w:rPr>
              <w:t>მშვიდობიანად</w:t>
            </w:r>
            <w:r w:rsidRPr="008168A3">
              <w:rPr>
                <w:sz w:val="18"/>
              </w:rPr>
              <w:t xml:space="preserve"> </w:t>
            </w:r>
            <w:r w:rsidRPr="008168A3">
              <w:rPr>
                <w:rFonts w:ascii="Sylfaen" w:hAnsi="Sylfaen" w:cs="Sylfaen"/>
                <w:sz w:val="18"/>
              </w:rPr>
              <w:t>გადაჭრის</w:t>
            </w:r>
            <w:r w:rsidRPr="008168A3">
              <w:rPr>
                <w:sz w:val="18"/>
              </w:rPr>
              <w:t xml:space="preserve"> </w:t>
            </w:r>
            <w:r w:rsidRPr="008168A3">
              <w:rPr>
                <w:rFonts w:ascii="Sylfaen" w:hAnsi="Sylfaen" w:cs="Sylfaen"/>
                <w:sz w:val="18"/>
              </w:rPr>
              <w:t>მიზნით</w:t>
            </w:r>
            <w:r w:rsidRPr="008168A3">
              <w:rPr>
                <w:sz w:val="18"/>
              </w:rPr>
              <w:t xml:space="preserve">. </w:t>
            </w:r>
            <w:r w:rsidRPr="008168A3">
              <w:rPr>
                <w:rFonts w:ascii="Sylfaen" w:hAnsi="Sylfaen" w:cs="Sylfaen"/>
                <w:sz w:val="18"/>
              </w:rPr>
              <w:t>ამ</w:t>
            </w:r>
            <w:r w:rsidRPr="008168A3">
              <w:rPr>
                <w:sz w:val="18"/>
              </w:rPr>
              <w:t xml:space="preserve"> </w:t>
            </w:r>
            <w:r w:rsidRPr="008168A3">
              <w:rPr>
                <w:rFonts w:ascii="Sylfaen" w:hAnsi="Sylfaen" w:cs="Sylfaen"/>
                <w:sz w:val="18"/>
              </w:rPr>
              <w:t>ეტაპზე</w:t>
            </w:r>
            <w:r w:rsidRPr="008168A3">
              <w:rPr>
                <w:sz w:val="18"/>
              </w:rPr>
              <w:t xml:space="preserve"> </w:t>
            </w:r>
            <w:r w:rsidRPr="008168A3">
              <w:rPr>
                <w:rFonts w:ascii="Sylfaen" w:hAnsi="Sylfaen" w:cs="Sylfaen"/>
                <w:sz w:val="18"/>
              </w:rPr>
              <w:t>საკონტაქტო</w:t>
            </w:r>
            <w:r w:rsidRPr="008168A3">
              <w:rPr>
                <w:sz w:val="18"/>
              </w:rPr>
              <w:t xml:space="preserve"> </w:t>
            </w:r>
            <w:r w:rsidRPr="008168A3">
              <w:rPr>
                <w:rFonts w:ascii="Sylfaen" w:hAnsi="Sylfaen" w:cs="Sylfaen"/>
                <w:sz w:val="18"/>
              </w:rPr>
              <w:t>პირი</w:t>
            </w:r>
            <w:r w:rsidRPr="008168A3">
              <w:rPr>
                <w:sz w:val="18"/>
              </w:rPr>
              <w:t xml:space="preserve"> </w:t>
            </w:r>
            <w:r w:rsidRPr="008168A3">
              <w:rPr>
                <w:rFonts w:ascii="Sylfaen" w:hAnsi="Sylfaen" w:cs="Sylfaen"/>
                <w:sz w:val="18"/>
              </w:rPr>
              <w:t>ატარებს</w:t>
            </w:r>
            <w:r w:rsidRPr="008168A3">
              <w:rPr>
                <w:sz w:val="18"/>
              </w:rPr>
              <w:t xml:space="preserve"> </w:t>
            </w:r>
            <w:r w:rsidRPr="008168A3">
              <w:rPr>
                <w:rFonts w:ascii="Sylfaen" w:hAnsi="Sylfaen" w:cs="Sylfaen"/>
                <w:sz w:val="18"/>
              </w:rPr>
              <w:t>დისკუსიას</w:t>
            </w:r>
            <w:r w:rsidRPr="008168A3">
              <w:rPr>
                <w:sz w:val="18"/>
              </w:rPr>
              <w:t xml:space="preserve"> </w:t>
            </w:r>
            <w:r w:rsidRPr="008168A3">
              <w:rPr>
                <w:rFonts w:ascii="Sylfaen" w:hAnsi="Sylfaen" w:cs="Sylfaen"/>
                <w:sz w:val="18"/>
              </w:rPr>
              <w:t>მხოლოდ</w:t>
            </w:r>
            <w:r w:rsidRPr="008168A3">
              <w:rPr>
                <w:sz w:val="18"/>
              </w:rPr>
              <w:t xml:space="preserve"> GRCE-</w:t>
            </w:r>
            <w:r w:rsidRPr="008168A3">
              <w:rPr>
                <w:rFonts w:ascii="Sylfaen" w:hAnsi="Sylfaen" w:cs="Sylfaen"/>
                <w:sz w:val="18"/>
              </w:rPr>
              <w:t>ის</w:t>
            </w:r>
            <w:r w:rsidRPr="008168A3">
              <w:rPr>
                <w:sz w:val="18"/>
              </w:rPr>
              <w:t xml:space="preserve"> </w:t>
            </w:r>
            <w:r w:rsidRPr="008168A3">
              <w:rPr>
                <w:rFonts w:ascii="Sylfaen" w:hAnsi="Sylfaen" w:cs="Sylfaen"/>
                <w:sz w:val="18"/>
              </w:rPr>
              <w:t>იმ</w:t>
            </w:r>
            <w:r w:rsidRPr="008168A3">
              <w:rPr>
                <w:sz w:val="18"/>
              </w:rPr>
              <w:t xml:space="preserve"> </w:t>
            </w:r>
            <w:r w:rsidRPr="008168A3">
              <w:rPr>
                <w:rFonts w:ascii="Sylfaen" w:hAnsi="Sylfaen" w:cs="Sylfaen"/>
                <w:sz w:val="18"/>
              </w:rPr>
              <w:t>წევრებს</w:t>
            </w:r>
            <w:r w:rsidRPr="008168A3">
              <w:rPr>
                <w:sz w:val="18"/>
              </w:rPr>
              <w:t xml:space="preserve"> </w:t>
            </w:r>
            <w:r w:rsidRPr="008168A3">
              <w:rPr>
                <w:rFonts w:ascii="Sylfaen" w:hAnsi="Sylfaen" w:cs="Sylfaen"/>
                <w:sz w:val="18"/>
              </w:rPr>
              <w:t>შორის</w:t>
            </w:r>
            <w:r w:rsidRPr="008168A3">
              <w:rPr>
                <w:sz w:val="18"/>
              </w:rPr>
              <w:t xml:space="preserve">, </w:t>
            </w:r>
            <w:r w:rsidRPr="008168A3">
              <w:rPr>
                <w:rFonts w:ascii="Sylfaen" w:hAnsi="Sylfaen" w:cs="Sylfaen"/>
                <w:sz w:val="18"/>
              </w:rPr>
              <w:t>რომლებსაც</w:t>
            </w:r>
            <w:r w:rsidRPr="008168A3">
              <w:rPr>
                <w:sz w:val="18"/>
              </w:rPr>
              <w:t xml:space="preserve"> </w:t>
            </w:r>
            <w:r w:rsidRPr="008168A3">
              <w:rPr>
                <w:rFonts w:ascii="Sylfaen" w:hAnsi="Sylfaen" w:cs="Sylfaen"/>
                <w:sz w:val="18"/>
              </w:rPr>
              <w:t>აქვთ</w:t>
            </w:r>
            <w:r w:rsidRPr="008168A3">
              <w:rPr>
                <w:sz w:val="18"/>
              </w:rPr>
              <w:t xml:space="preserve"> </w:t>
            </w:r>
            <w:r w:rsidRPr="008168A3">
              <w:rPr>
                <w:rFonts w:ascii="Sylfaen" w:hAnsi="Sylfaen" w:cs="Sylfaen"/>
                <w:sz w:val="18"/>
              </w:rPr>
              <w:t>პირდაპირი</w:t>
            </w:r>
            <w:r w:rsidRPr="008168A3">
              <w:rPr>
                <w:sz w:val="18"/>
              </w:rPr>
              <w:t xml:space="preserve"> </w:t>
            </w:r>
            <w:r w:rsidRPr="008168A3">
              <w:rPr>
                <w:rFonts w:ascii="Sylfaen" w:hAnsi="Sylfaen" w:cs="Sylfaen"/>
                <w:sz w:val="18"/>
              </w:rPr>
              <w:t>ურთიერთობა</w:t>
            </w:r>
            <w:r w:rsidRPr="008168A3">
              <w:rPr>
                <w:sz w:val="18"/>
              </w:rPr>
              <w:t xml:space="preserve"> </w:t>
            </w:r>
            <w:r w:rsidRPr="008168A3">
              <w:rPr>
                <w:rFonts w:ascii="Sylfaen" w:hAnsi="Sylfaen" w:cs="Sylfaen"/>
                <w:sz w:val="18"/>
              </w:rPr>
              <w:t>ამ</w:t>
            </w:r>
            <w:r w:rsidRPr="008168A3">
              <w:rPr>
                <w:sz w:val="18"/>
              </w:rPr>
              <w:t xml:space="preserve"> </w:t>
            </w:r>
            <w:r w:rsidRPr="008168A3">
              <w:rPr>
                <w:rFonts w:ascii="Sylfaen" w:hAnsi="Sylfaen" w:cs="Sylfaen"/>
                <w:sz w:val="18"/>
              </w:rPr>
              <w:t>საკითხთან</w:t>
            </w:r>
            <w:r w:rsidRPr="008168A3">
              <w:rPr>
                <w:sz w:val="18"/>
              </w:rPr>
              <w:t xml:space="preserve"> </w:t>
            </w:r>
            <w:r w:rsidRPr="008168A3">
              <w:rPr>
                <w:rFonts w:ascii="Sylfaen" w:hAnsi="Sylfaen" w:cs="Sylfaen"/>
                <w:sz w:val="18"/>
              </w:rPr>
              <w:t>დაკავშირებით</w:t>
            </w:r>
            <w:r w:rsidRPr="008168A3">
              <w:rPr>
                <w:sz w:val="18"/>
              </w:rPr>
              <w:t>.</w:t>
            </w:r>
          </w:p>
        </w:tc>
      </w:tr>
      <w:tr w:rsidR="00CE1A11" w:rsidRPr="008168A3" w14:paraId="694A7017" w14:textId="77777777" w:rsidTr="008168A3">
        <w:trPr>
          <w:trHeight w:val="2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89839" w14:textId="77777777" w:rsidR="00CE1A11" w:rsidRPr="008168A3" w:rsidRDefault="00CE1A11" w:rsidP="00CE1A11">
            <w:pPr>
              <w:rPr>
                <w:rFonts w:eastAsiaTheme="minorHAnsi"/>
                <w:sz w:val="18"/>
              </w:rPr>
            </w:pPr>
          </w:p>
        </w:tc>
        <w:tc>
          <w:tcPr>
            <w:tcW w:w="1935" w:type="dxa"/>
            <w:tcBorders>
              <w:top w:val="single" w:sz="4" w:space="0" w:color="auto"/>
              <w:left w:val="single" w:sz="4" w:space="0" w:color="auto"/>
              <w:bottom w:val="single" w:sz="4" w:space="0" w:color="auto"/>
              <w:right w:val="single" w:sz="4" w:space="0" w:color="auto"/>
            </w:tcBorders>
            <w:hideMark/>
          </w:tcPr>
          <w:p w14:paraId="34A4A1B8" w14:textId="77777777" w:rsidR="00CE1A11" w:rsidRPr="008168A3" w:rsidRDefault="00CE1A11" w:rsidP="00CE1A11">
            <w:pPr>
              <w:rPr>
                <w:sz w:val="18"/>
              </w:rPr>
            </w:pPr>
            <w:r w:rsidRPr="008168A3">
              <w:rPr>
                <w:rFonts w:ascii="Sylfaen" w:hAnsi="Sylfaen" w:cs="Sylfaen"/>
                <w:sz w:val="18"/>
              </w:rPr>
              <w:t>ნაბიჯი</w:t>
            </w:r>
            <w:r w:rsidRPr="008168A3">
              <w:rPr>
                <w:sz w:val="18"/>
              </w:rPr>
              <w:t xml:space="preserve"> 2:</w:t>
            </w:r>
          </w:p>
          <w:p w14:paraId="2ADCCF9C" w14:textId="77777777" w:rsidR="00CE1A11" w:rsidRPr="008168A3" w:rsidRDefault="00CE1A11" w:rsidP="00CE1A11">
            <w:pPr>
              <w:rPr>
                <w:sz w:val="18"/>
              </w:rPr>
            </w:pPr>
            <w:r w:rsidRPr="008168A3">
              <w:rPr>
                <w:sz w:val="18"/>
              </w:rPr>
              <w:t>AP-</w:t>
            </w:r>
            <w:r w:rsidRPr="008168A3">
              <w:rPr>
                <w:rFonts w:ascii="Sylfaen" w:hAnsi="Sylfaen" w:cs="Sylfaen"/>
                <w:sz w:val="18"/>
              </w:rPr>
              <w:t>თანფორმალური</w:t>
            </w:r>
            <w:r w:rsidRPr="008168A3">
              <w:rPr>
                <w:sz w:val="18"/>
              </w:rPr>
              <w:t xml:space="preserve"> </w:t>
            </w:r>
            <w:r w:rsidRPr="008168A3">
              <w:rPr>
                <w:rFonts w:ascii="Sylfaen" w:hAnsi="Sylfaen" w:cs="Sylfaen"/>
                <w:sz w:val="18"/>
              </w:rPr>
              <w:t>მოლაპარაკებები</w:t>
            </w:r>
            <w:r w:rsidRPr="008168A3">
              <w:rPr>
                <w:sz w:val="18"/>
              </w:rPr>
              <w:t xml:space="preserve"> </w:t>
            </w:r>
          </w:p>
          <w:p w14:paraId="74155D40" w14:textId="77777777" w:rsidR="00CE1A11" w:rsidRPr="008168A3" w:rsidRDefault="00CE1A11" w:rsidP="00CE1A11">
            <w:pPr>
              <w:rPr>
                <w:sz w:val="18"/>
              </w:rPr>
            </w:pPr>
            <w:r w:rsidRPr="008168A3">
              <w:rPr>
                <w:rFonts w:ascii="Sylfaen" w:hAnsi="Sylfaen" w:cs="Sylfaen"/>
                <w:sz w:val="18"/>
              </w:rPr>
              <w:t>საჩივრის</w:t>
            </w:r>
            <w:r w:rsidRPr="008168A3">
              <w:rPr>
                <w:sz w:val="18"/>
              </w:rPr>
              <w:t xml:space="preserve"> </w:t>
            </w:r>
            <w:r w:rsidRPr="008168A3">
              <w:rPr>
                <w:rFonts w:ascii="Sylfaen" w:hAnsi="Sylfaen" w:cs="Sylfaen"/>
                <w:sz w:val="18"/>
              </w:rPr>
              <w:t>მოგვარება</w:t>
            </w:r>
            <w:r w:rsidRPr="008168A3">
              <w:rPr>
                <w:sz w:val="18"/>
              </w:rPr>
              <w:t xml:space="preserve"> GRCE </w:t>
            </w:r>
            <w:r w:rsidRPr="008168A3">
              <w:rPr>
                <w:rFonts w:ascii="Sylfaen" w:hAnsi="Sylfaen" w:cs="Sylfaen"/>
                <w:sz w:val="18"/>
              </w:rPr>
              <w:t>დონეზე</w:t>
            </w:r>
          </w:p>
        </w:tc>
        <w:tc>
          <w:tcPr>
            <w:tcW w:w="12556" w:type="dxa"/>
            <w:tcBorders>
              <w:top w:val="single" w:sz="4" w:space="0" w:color="auto"/>
              <w:left w:val="single" w:sz="4" w:space="0" w:color="auto"/>
              <w:bottom w:val="single" w:sz="4" w:space="0" w:color="auto"/>
              <w:right w:val="single" w:sz="4" w:space="0" w:color="auto"/>
            </w:tcBorders>
            <w:hideMark/>
          </w:tcPr>
          <w:p w14:paraId="72A74853" w14:textId="77777777" w:rsidR="00CE1A11" w:rsidRPr="008168A3" w:rsidRDefault="00CE1A11" w:rsidP="00CE1A11">
            <w:pPr>
              <w:rPr>
                <w:sz w:val="18"/>
              </w:rPr>
            </w:pPr>
            <w:r w:rsidRPr="008168A3">
              <w:rPr>
                <w:rFonts w:ascii="Sylfaen" w:hAnsi="Sylfaen" w:cs="Sylfaen"/>
                <w:sz w:val="18"/>
              </w:rPr>
              <w:t>თუ</w:t>
            </w:r>
            <w:r w:rsidRPr="008168A3">
              <w:rPr>
                <w:sz w:val="18"/>
              </w:rPr>
              <w:t xml:space="preserve"> </w:t>
            </w:r>
            <w:r w:rsidRPr="008168A3">
              <w:rPr>
                <w:rFonts w:ascii="Sylfaen" w:hAnsi="Sylfaen" w:cs="Sylfaen"/>
                <w:sz w:val="18"/>
              </w:rPr>
              <w:t>ზეპირი</w:t>
            </w:r>
            <w:r w:rsidRPr="008168A3">
              <w:rPr>
                <w:sz w:val="18"/>
              </w:rPr>
              <w:t xml:space="preserve"> </w:t>
            </w:r>
            <w:r w:rsidRPr="008168A3">
              <w:rPr>
                <w:rFonts w:ascii="Sylfaen" w:hAnsi="Sylfaen" w:cs="Sylfaen"/>
                <w:sz w:val="18"/>
              </w:rPr>
              <w:t>საჩივარი</w:t>
            </w:r>
            <w:r w:rsidRPr="008168A3">
              <w:rPr>
                <w:sz w:val="18"/>
              </w:rPr>
              <w:t xml:space="preserve"> </w:t>
            </w:r>
            <w:r w:rsidRPr="008168A3">
              <w:rPr>
                <w:rFonts w:ascii="Sylfaen" w:hAnsi="Sylfaen" w:cs="Sylfaen"/>
                <w:sz w:val="18"/>
              </w:rPr>
              <w:t>არ</w:t>
            </w:r>
            <w:r w:rsidRPr="008168A3">
              <w:rPr>
                <w:sz w:val="18"/>
              </w:rPr>
              <w:t xml:space="preserve"> </w:t>
            </w:r>
            <w:r w:rsidRPr="008168A3">
              <w:rPr>
                <w:rFonts w:ascii="Sylfaen" w:hAnsi="Sylfaen" w:cs="Sylfaen"/>
                <w:sz w:val="18"/>
              </w:rPr>
              <w:t>მოგვარდება</w:t>
            </w:r>
            <w:r w:rsidRPr="008168A3">
              <w:rPr>
                <w:sz w:val="18"/>
              </w:rPr>
              <w:t xml:space="preserve"> </w:t>
            </w:r>
            <w:r w:rsidRPr="008168A3">
              <w:rPr>
                <w:rFonts w:ascii="Sylfaen" w:hAnsi="Sylfaen" w:cs="Sylfaen"/>
                <w:sz w:val="18"/>
              </w:rPr>
              <w:t>მოლაპარაკებების</w:t>
            </w:r>
            <w:r w:rsidRPr="008168A3">
              <w:rPr>
                <w:sz w:val="18"/>
              </w:rPr>
              <w:t xml:space="preserve"> </w:t>
            </w:r>
            <w:r w:rsidRPr="008168A3">
              <w:rPr>
                <w:rFonts w:ascii="Sylfaen" w:hAnsi="Sylfaen" w:cs="Sylfaen"/>
                <w:sz w:val="18"/>
              </w:rPr>
              <w:t>დროს</w:t>
            </w:r>
            <w:r w:rsidRPr="008168A3">
              <w:rPr>
                <w:sz w:val="18"/>
              </w:rPr>
              <w:t xml:space="preserve">, GRCE </w:t>
            </w:r>
            <w:r w:rsidRPr="008168A3">
              <w:rPr>
                <w:rFonts w:ascii="Sylfaen" w:hAnsi="Sylfaen" w:cs="Sylfaen"/>
                <w:sz w:val="18"/>
              </w:rPr>
              <w:t>დაეხმარება</w:t>
            </w:r>
            <w:r w:rsidRPr="008168A3">
              <w:rPr>
                <w:sz w:val="18"/>
              </w:rPr>
              <w:t xml:space="preserve"> </w:t>
            </w:r>
            <w:r w:rsidRPr="008168A3">
              <w:rPr>
                <w:rFonts w:ascii="Sylfaen" w:hAnsi="Sylfaen" w:cs="Sylfaen"/>
                <w:sz w:val="18"/>
              </w:rPr>
              <w:t>დაზარალებულ</w:t>
            </w:r>
            <w:r w:rsidRPr="008168A3">
              <w:rPr>
                <w:sz w:val="18"/>
              </w:rPr>
              <w:t xml:space="preserve"> APS-</w:t>
            </w:r>
            <w:r w:rsidRPr="008168A3">
              <w:rPr>
                <w:rFonts w:ascii="Sylfaen" w:hAnsi="Sylfaen" w:cs="Sylfaen"/>
                <w:sz w:val="18"/>
              </w:rPr>
              <w:t>ს</w:t>
            </w:r>
            <w:r w:rsidRPr="008168A3">
              <w:rPr>
                <w:sz w:val="18"/>
              </w:rPr>
              <w:t>, GRCE-</w:t>
            </w:r>
            <w:r w:rsidRPr="008168A3">
              <w:rPr>
                <w:rFonts w:ascii="Sylfaen" w:hAnsi="Sylfaen" w:cs="Sylfaen"/>
                <w:sz w:val="18"/>
              </w:rPr>
              <w:t>თვის</w:t>
            </w:r>
            <w:r w:rsidRPr="008168A3">
              <w:rPr>
                <w:sz w:val="18"/>
              </w:rPr>
              <w:t xml:space="preserve"> </w:t>
            </w:r>
            <w:r w:rsidRPr="008168A3">
              <w:rPr>
                <w:rFonts w:ascii="Sylfaen" w:hAnsi="Sylfaen" w:cs="Sylfaen"/>
                <w:sz w:val="18"/>
              </w:rPr>
              <w:t>საჩივრების</w:t>
            </w:r>
            <w:r w:rsidRPr="008168A3">
              <w:rPr>
                <w:sz w:val="18"/>
              </w:rPr>
              <w:t xml:space="preserve"> </w:t>
            </w:r>
            <w:r w:rsidRPr="008168A3">
              <w:rPr>
                <w:rFonts w:ascii="Sylfaen" w:hAnsi="Sylfaen" w:cs="Sylfaen"/>
                <w:sz w:val="18"/>
              </w:rPr>
              <w:t>ფორმალურ</w:t>
            </w:r>
            <w:r w:rsidRPr="008168A3">
              <w:rPr>
                <w:sz w:val="18"/>
              </w:rPr>
              <w:t xml:space="preserve"> </w:t>
            </w:r>
            <w:r w:rsidRPr="008168A3">
              <w:rPr>
                <w:rFonts w:ascii="Sylfaen" w:hAnsi="Sylfaen" w:cs="Sylfaen"/>
                <w:sz w:val="18"/>
              </w:rPr>
              <w:t>შეტანაში</w:t>
            </w:r>
            <w:r w:rsidRPr="008168A3">
              <w:rPr>
                <w:sz w:val="18"/>
              </w:rPr>
              <w:t>.</w:t>
            </w:r>
          </w:p>
          <w:p w14:paraId="168E7D88" w14:textId="77777777" w:rsidR="00CE1A11" w:rsidRPr="008168A3" w:rsidRDefault="00CE1A11" w:rsidP="00CE1A11">
            <w:pPr>
              <w:rPr>
                <w:sz w:val="18"/>
                <w:lang w:val="ka-GE"/>
              </w:rPr>
            </w:pPr>
            <w:r w:rsidRPr="008168A3">
              <w:rPr>
                <w:rFonts w:ascii="Sylfaen" w:hAnsi="Sylfaen" w:cs="Sylfaen"/>
                <w:sz w:val="18"/>
              </w:rPr>
              <w:t>დაზარალებულმა</w:t>
            </w:r>
            <w:r w:rsidRPr="008168A3">
              <w:rPr>
                <w:sz w:val="18"/>
              </w:rPr>
              <w:t xml:space="preserve"> APS- </w:t>
            </w:r>
            <w:r w:rsidRPr="008168A3">
              <w:rPr>
                <w:rFonts w:ascii="Sylfaen" w:hAnsi="Sylfaen" w:cs="Sylfaen"/>
                <w:sz w:val="18"/>
              </w:rPr>
              <w:t>მა</w:t>
            </w:r>
            <w:r w:rsidRPr="008168A3">
              <w:rPr>
                <w:sz w:val="18"/>
              </w:rPr>
              <w:t xml:space="preserve"> </w:t>
            </w:r>
            <w:r w:rsidRPr="008168A3">
              <w:rPr>
                <w:rFonts w:ascii="Sylfaen" w:hAnsi="Sylfaen" w:cs="Sylfaen"/>
                <w:sz w:val="18"/>
              </w:rPr>
              <w:t>უნდა</w:t>
            </w:r>
            <w:r w:rsidRPr="008168A3">
              <w:rPr>
                <w:sz w:val="18"/>
              </w:rPr>
              <w:t xml:space="preserve"> </w:t>
            </w:r>
            <w:r w:rsidRPr="008168A3">
              <w:rPr>
                <w:rFonts w:ascii="Sylfaen" w:hAnsi="Sylfaen" w:cs="Sylfaen"/>
                <w:sz w:val="18"/>
              </w:rPr>
              <w:t>წარუდგინოს</w:t>
            </w:r>
            <w:r w:rsidRPr="008168A3">
              <w:rPr>
                <w:sz w:val="18"/>
              </w:rPr>
              <w:t xml:space="preserve"> </w:t>
            </w:r>
            <w:r w:rsidRPr="008168A3">
              <w:rPr>
                <w:rFonts w:ascii="Sylfaen" w:hAnsi="Sylfaen" w:cs="Sylfaen"/>
                <w:sz w:val="18"/>
              </w:rPr>
              <w:t>საკუთარი</w:t>
            </w:r>
            <w:r w:rsidRPr="008168A3">
              <w:rPr>
                <w:sz w:val="18"/>
              </w:rPr>
              <w:t xml:space="preserve"> </w:t>
            </w:r>
            <w:r w:rsidRPr="008168A3">
              <w:rPr>
                <w:rFonts w:ascii="Sylfaen" w:hAnsi="Sylfaen" w:cs="Sylfaen"/>
                <w:sz w:val="18"/>
              </w:rPr>
              <w:t>საჩივარი</w:t>
            </w:r>
            <w:r w:rsidRPr="008168A3">
              <w:rPr>
                <w:sz w:val="18"/>
              </w:rPr>
              <w:t xml:space="preserve"> GRCE-</w:t>
            </w:r>
            <w:r w:rsidRPr="008168A3">
              <w:rPr>
                <w:rFonts w:ascii="Sylfaen" w:hAnsi="Sylfaen" w:cs="Sylfaen"/>
                <w:sz w:val="18"/>
              </w:rPr>
              <w:t>ში</w:t>
            </w:r>
            <w:r w:rsidRPr="008168A3">
              <w:rPr>
                <w:sz w:val="18"/>
              </w:rPr>
              <w:t xml:space="preserve"> </w:t>
            </w:r>
            <w:r w:rsidRPr="008168A3">
              <w:rPr>
                <w:rFonts w:ascii="Sylfaen" w:hAnsi="Sylfaen" w:cs="Sylfaen"/>
                <w:sz w:val="18"/>
              </w:rPr>
              <w:t>ჩატარებული</w:t>
            </w:r>
            <w:r w:rsidRPr="008168A3">
              <w:rPr>
                <w:sz w:val="18"/>
              </w:rPr>
              <w:t xml:space="preserve"> </w:t>
            </w:r>
            <w:r w:rsidRPr="008168A3">
              <w:rPr>
                <w:rFonts w:ascii="Sylfaen" w:hAnsi="Sylfaen" w:cs="Sylfaen"/>
                <w:sz w:val="18"/>
              </w:rPr>
              <w:t>მოლაპარაკებების</w:t>
            </w:r>
            <w:r w:rsidRPr="008168A3">
              <w:rPr>
                <w:sz w:val="18"/>
              </w:rPr>
              <w:t xml:space="preserve"> </w:t>
            </w:r>
            <w:r w:rsidRPr="008168A3">
              <w:rPr>
                <w:rFonts w:ascii="Sylfaen" w:hAnsi="Sylfaen" w:cs="Sylfaen"/>
                <w:sz w:val="18"/>
              </w:rPr>
              <w:t>დასრულებიდან</w:t>
            </w:r>
            <w:r w:rsidRPr="008168A3">
              <w:rPr>
                <w:sz w:val="18"/>
              </w:rPr>
              <w:t xml:space="preserve"> 1 </w:t>
            </w:r>
            <w:r w:rsidRPr="008168A3">
              <w:rPr>
                <w:rFonts w:ascii="Sylfaen" w:hAnsi="Sylfaen" w:cs="Sylfaen"/>
                <w:sz w:val="18"/>
              </w:rPr>
              <w:t>კვირის</w:t>
            </w:r>
            <w:r w:rsidRPr="008168A3">
              <w:rPr>
                <w:sz w:val="18"/>
              </w:rPr>
              <w:t xml:space="preserve"> </w:t>
            </w:r>
            <w:r w:rsidRPr="008168A3">
              <w:rPr>
                <w:rFonts w:ascii="Sylfaen" w:hAnsi="Sylfaen" w:cs="Sylfaen"/>
                <w:sz w:val="18"/>
              </w:rPr>
              <w:t>განმავლობაში</w:t>
            </w:r>
            <w:r w:rsidRPr="008168A3">
              <w:rPr>
                <w:sz w:val="18"/>
              </w:rPr>
              <w:t xml:space="preserve"> </w:t>
            </w:r>
            <w:r w:rsidRPr="008168A3">
              <w:rPr>
                <w:rFonts w:ascii="Sylfaen" w:hAnsi="Sylfaen" w:cs="Sylfaen"/>
                <w:sz w:val="18"/>
              </w:rPr>
              <w:t>ან</w:t>
            </w:r>
            <w:r w:rsidRPr="008168A3">
              <w:rPr>
                <w:sz w:val="18"/>
              </w:rPr>
              <w:t xml:space="preserve"> </w:t>
            </w:r>
            <w:r w:rsidRPr="008168A3">
              <w:rPr>
                <w:rFonts w:ascii="Sylfaen" w:hAnsi="Sylfaen" w:cs="Sylfaen"/>
                <w:sz w:val="18"/>
              </w:rPr>
              <w:t>მოგვიანებით</w:t>
            </w:r>
            <w:r w:rsidRPr="008168A3">
              <w:rPr>
                <w:sz w:val="18"/>
              </w:rPr>
              <w:t xml:space="preserve">, </w:t>
            </w:r>
            <w:r w:rsidRPr="008168A3">
              <w:rPr>
                <w:rFonts w:ascii="Sylfaen" w:hAnsi="Sylfaen" w:cs="Sylfaen"/>
                <w:sz w:val="18"/>
              </w:rPr>
              <w:t>მისი</w:t>
            </w:r>
            <w:r w:rsidRPr="008168A3">
              <w:rPr>
                <w:sz w:val="18"/>
              </w:rPr>
              <w:t xml:space="preserve"> </w:t>
            </w:r>
            <w:r w:rsidRPr="008168A3">
              <w:rPr>
                <w:rFonts w:ascii="Sylfaen" w:hAnsi="Sylfaen" w:cs="Sylfaen"/>
                <w:sz w:val="18"/>
              </w:rPr>
              <w:t>სურვილისამებრ</w:t>
            </w:r>
            <w:r w:rsidRPr="008168A3">
              <w:rPr>
                <w:sz w:val="18"/>
              </w:rPr>
              <w:t>.</w:t>
            </w:r>
            <w:r w:rsidRPr="008168A3">
              <w:rPr>
                <w:rFonts w:ascii="Sylfaen" w:hAnsi="Sylfaen" w:cs="Sylfaen"/>
                <w:sz w:val="18"/>
              </w:rPr>
              <w:t>დაზარალებულმა</w:t>
            </w:r>
            <w:r w:rsidRPr="008168A3">
              <w:rPr>
                <w:sz w:val="18"/>
              </w:rPr>
              <w:t xml:space="preserve"> </w:t>
            </w:r>
            <w:r w:rsidRPr="008168A3">
              <w:rPr>
                <w:rFonts w:ascii="Sylfaen" w:hAnsi="Sylfaen" w:cs="Sylfaen"/>
                <w:sz w:val="18"/>
              </w:rPr>
              <w:t>უნდა</w:t>
            </w:r>
            <w:r w:rsidRPr="008168A3">
              <w:rPr>
                <w:sz w:val="18"/>
              </w:rPr>
              <w:t xml:space="preserve"> </w:t>
            </w:r>
            <w:r w:rsidRPr="008168A3">
              <w:rPr>
                <w:rFonts w:ascii="Sylfaen" w:hAnsi="Sylfaen" w:cs="Sylfaen"/>
                <w:sz w:val="18"/>
              </w:rPr>
              <w:t>წარმოადგინოს</w:t>
            </w:r>
            <w:r w:rsidRPr="008168A3">
              <w:rPr>
                <w:sz w:val="18"/>
              </w:rPr>
              <w:t xml:space="preserve"> </w:t>
            </w:r>
            <w:r w:rsidRPr="008168A3">
              <w:rPr>
                <w:rFonts w:ascii="Sylfaen" w:hAnsi="Sylfaen" w:cs="Sylfaen"/>
                <w:sz w:val="18"/>
              </w:rPr>
              <w:t>თავისი</w:t>
            </w:r>
            <w:r w:rsidRPr="008168A3">
              <w:rPr>
                <w:sz w:val="18"/>
              </w:rPr>
              <w:t xml:space="preserve"> </w:t>
            </w:r>
            <w:r w:rsidRPr="008168A3">
              <w:rPr>
                <w:rFonts w:ascii="Sylfaen" w:hAnsi="Sylfaen" w:cs="Sylfaen"/>
                <w:sz w:val="18"/>
              </w:rPr>
              <w:t>საჩივრის</w:t>
            </w:r>
            <w:r w:rsidRPr="008168A3">
              <w:rPr>
                <w:sz w:val="18"/>
              </w:rPr>
              <w:t xml:space="preserve"> </w:t>
            </w:r>
            <w:r w:rsidRPr="008168A3">
              <w:rPr>
                <w:rFonts w:ascii="Sylfaen" w:hAnsi="Sylfaen" w:cs="Sylfaen"/>
                <w:sz w:val="18"/>
              </w:rPr>
              <w:t>მხარდამჭერი</w:t>
            </w:r>
            <w:r w:rsidRPr="008168A3">
              <w:rPr>
                <w:sz w:val="18"/>
              </w:rPr>
              <w:t xml:space="preserve"> </w:t>
            </w:r>
            <w:r w:rsidRPr="008168A3">
              <w:rPr>
                <w:rFonts w:ascii="Sylfaen" w:hAnsi="Sylfaen" w:cs="Sylfaen"/>
                <w:sz w:val="18"/>
              </w:rPr>
              <w:t>დოკუმენტები</w:t>
            </w:r>
            <w:r w:rsidRPr="008168A3">
              <w:rPr>
                <w:sz w:val="18"/>
              </w:rPr>
              <w:t>. GRCE-</w:t>
            </w:r>
            <w:r w:rsidRPr="008168A3">
              <w:rPr>
                <w:rFonts w:ascii="Sylfaen" w:hAnsi="Sylfaen" w:cs="Sylfaen"/>
                <w:sz w:val="18"/>
              </w:rPr>
              <w:t>ს</w:t>
            </w:r>
            <w:r w:rsidRPr="008168A3">
              <w:rPr>
                <w:sz w:val="18"/>
              </w:rPr>
              <w:t xml:space="preserve"> </w:t>
            </w:r>
            <w:r w:rsidRPr="008168A3">
              <w:rPr>
                <w:rFonts w:ascii="Sylfaen" w:hAnsi="Sylfaen" w:cs="Sylfaen"/>
                <w:sz w:val="18"/>
              </w:rPr>
              <w:t>საკონტაქტო</w:t>
            </w:r>
            <w:r w:rsidRPr="008168A3">
              <w:rPr>
                <w:sz w:val="18"/>
              </w:rPr>
              <w:t xml:space="preserve"> </w:t>
            </w:r>
            <w:r w:rsidRPr="008168A3">
              <w:rPr>
                <w:rFonts w:ascii="Sylfaen" w:hAnsi="Sylfaen" w:cs="Sylfaen"/>
                <w:sz w:val="18"/>
              </w:rPr>
              <w:t>პირი</w:t>
            </w:r>
            <w:r w:rsidRPr="008168A3">
              <w:rPr>
                <w:sz w:val="18"/>
              </w:rPr>
              <w:t xml:space="preserve"> </w:t>
            </w:r>
            <w:r w:rsidRPr="008168A3">
              <w:rPr>
                <w:rFonts w:ascii="Sylfaen" w:hAnsi="Sylfaen" w:cs="Sylfaen"/>
                <w:sz w:val="18"/>
              </w:rPr>
              <w:t>განიხილავს</w:t>
            </w:r>
            <w:r w:rsidRPr="008168A3">
              <w:rPr>
                <w:sz w:val="18"/>
              </w:rPr>
              <w:t xml:space="preserve"> </w:t>
            </w:r>
            <w:r w:rsidRPr="008168A3">
              <w:rPr>
                <w:rFonts w:ascii="Sylfaen" w:hAnsi="Sylfaen" w:cs="Sylfaen"/>
                <w:sz w:val="18"/>
              </w:rPr>
              <w:t>საჩივარს</w:t>
            </w:r>
            <w:r w:rsidRPr="008168A3">
              <w:rPr>
                <w:sz w:val="18"/>
              </w:rPr>
              <w:t xml:space="preserve"> </w:t>
            </w:r>
            <w:r w:rsidRPr="008168A3">
              <w:rPr>
                <w:rFonts w:ascii="Sylfaen" w:hAnsi="Sylfaen" w:cs="Sylfaen"/>
                <w:sz w:val="18"/>
              </w:rPr>
              <w:t>და</w:t>
            </w:r>
            <w:r w:rsidRPr="008168A3">
              <w:rPr>
                <w:sz w:val="18"/>
              </w:rPr>
              <w:t xml:space="preserve"> </w:t>
            </w:r>
            <w:r w:rsidRPr="008168A3">
              <w:rPr>
                <w:rFonts w:ascii="Sylfaen" w:hAnsi="Sylfaen" w:cs="Sylfaen"/>
                <w:sz w:val="18"/>
              </w:rPr>
              <w:t>მოამზადებს</w:t>
            </w:r>
            <w:r w:rsidRPr="008168A3">
              <w:rPr>
                <w:sz w:val="18"/>
              </w:rPr>
              <w:t xml:space="preserve"> </w:t>
            </w:r>
            <w:r w:rsidRPr="008168A3">
              <w:rPr>
                <w:rFonts w:ascii="Sylfaen" w:hAnsi="Sylfaen" w:cs="Sylfaen"/>
                <w:sz w:val="18"/>
              </w:rPr>
              <w:t>საქმის</w:t>
            </w:r>
            <w:r w:rsidRPr="008168A3">
              <w:rPr>
                <w:sz w:val="18"/>
              </w:rPr>
              <w:t xml:space="preserve"> </w:t>
            </w:r>
            <w:r w:rsidRPr="008168A3">
              <w:rPr>
                <w:rFonts w:ascii="Sylfaen" w:hAnsi="Sylfaen" w:cs="Sylfaen"/>
                <w:sz w:val="18"/>
              </w:rPr>
              <w:t>მასალებს</w:t>
            </w:r>
            <w:r w:rsidRPr="008168A3">
              <w:rPr>
                <w:sz w:val="18"/>
              </w:rPr>
              <w:t xml:space="preserve"> GRCE-</w:t>
            </w:r>
            <w:r w:rsidRPr="008168A3">
              <w:rPr>
                <w:rFonts w:ascii="Sylfaen" w:hAnsi="Sylfaen" w:cs="Sylfaen"/>
                <w:sz w:val="18"/>
              </w:rPr>
              <w:t>ს</w:t>
            </w:r>
            <w:r w:rsidRPr="008168A3">
              <w:rPr>
                <w:sz w:val="18"/>
              </w:rPr>
              <w:t xml:space="preserve"> </w:t>
            </w:r>
            <w:r w:rsidRPr="008168A3">
              <w:rPr>
                <w:rFonts w:ascii="Sylfaen" w:hAnsi="Sylfaen" w:cs="Sylfaen"/>
                <w:sz w:val="18"/>
              </w:rPr>
              <w:t>მოსმენისთვის</w:t>
            </w:r>
            <w:r w:rsidRPr="008168A3">
              <w:rPr>
                <w:sz w:val="18"/>
              </w:rPr>
              <w:t xml:space="preserve"> </w:t>
            </w:r>
            <w:r w:rsidRPr="008168A3">
              <w:rPr>
                <w:rFonts w:ascii="Sylfaen" w:hAnsi="Sylfaen" w:cs="Sylfaen"/>
                <w:sz w:val="18"/>
              </w:rPr>
              <w:t>და</w:t>
            </w:r>
            <w:r w:rsidRPr="008168A3">
              <w:rPr>
                <w:sz w:val="18"/>
              </w:rPr>
              <w:t xml:space="preserve"> </w:t>
            </w:r>
            <w:r w:rsidRPr="008168A3">
              <w:rPr>
                <w:rFonts w:ascii="Sylfaen" w:hAnsi="Sylfaen" w:cs="Sylfaen"/>
                <w:sz w:val="18"/>
              </w:rPr>
              <w:t>გადაწყვეტილების</w:t>
            </w:r>
            <w:r w:rsidRPr="008168A3">
              <w:rPr>
                <w:sz w:val="18"/>
              </w:rPr>
              <w:t xml:space="preserve"> </w:t>
            </w:r>
            <w:r w:rsidRPr="008168A3">
              <w:rPr>
                <w:rFonts w:ascii="Sylfaen" w:hAnsi="Sylfaen" w:cs="Sylfaen"/>
                <w:sz w:val="18"/>
              </w:rPr>
              <w:t>მიღებისთვის</w:t>
            </w:r>
            <w:r w:rsidRPr="008168A3">
              <w:rPr>
                <w:sz w:val="18"/>
              </w:rPr>
              <w:t>.</w:t>
            </w:r>
            <w:r w:rsidRPr="008168A3">
              <w:rPr>
                <w:rFonts w:ascii="Sylfaen" w:hAnsi="Sylfaen" w:cs="Sylfaen"/>
                <w:sz w:val="18"/>
              </w:rPr>
              <w:t>ფორმალური</w:t>
            </w:r>
            <w:r w:rsidRPr="008168A3">
              <w:rPr>
                <w:sz w:val="18"/>
              </w:rPr>
              <w:t xml:space="preserve"> </w:t>
            </w:r>
            <w:r w:rsidRPr="008168A3">
              <w:rPr>
                <w:rFonts w:ascii="Sylfaen" w:hAnsi="Sylfaen" w:cs="Sylfaen"/>
                <w:sz w:val="18"/>
              </w:rPr>
              <w:t>მოსმენა</w:t>
            </w:r>
            <w:r w:rsidRPr="008168A3">
              <w:rPr>
                <w:sz w:val="18"/>
              </w:rPr>
              <w:t xml:space="preserve"> </w:t>
            </w:r>
            <w:r w:rsidRPr="008168A3">
              <w:rPr>
                <w:rFonts w:ascii="Sylfaen" w:hAnsi="Sylfaen" w:cs="Sylfaen"/>
                <w:sz w:val="18"/>
              </w:rPr>
              <w:t>გაიმართება</w:t>
            </w:r>
            <w:r w:rsidRPr="008168A3">
              <w:rPr>
                <w:sz w:val="18"/>
              </w:rPr>
              <w:t xml:space="preserve"> GRCE-</w:t>
            </w:r>
            <w:r w:rsidRPr="008168A3">
              <w:rPr>
                <w:rFonts w:ascii="Sylfaen" w:hAnsi="Sylfaen" w:cs="Sylfaen"/>
                <w:sz w:val="18"/>
              </w:rPr>
              <w:t>თან</w:t>
            </w:r>
            <w:r w:rsidRPr="008168A3">
              <w:rPr>
                <w:sz w:val="18"/>
              </w:rPr>
              <w:t xml:space="preserve"> </w:t>
            </w:r>
            <w:r w:rsidRPr="008168A3">
              <w:rPr>
                <w:rFonts w:ascii="Sylfaen" w:hAnsi="Sylfaen" w:cs="Sylfaen"/>
                <w:sz w:val="18"/>
              </w:rPr>
              <w:t>ერთად</w:t>
            </w:r>
            <w:r w:rsidRPr="008168A3">
              <w:rPr>
                <w:sz w:val="18"/>
              </w:rPr>
              <w:t xml:space="preserve"> GRCE-</w:t>
            </w:r>
            <w:r w:rsidRPr="008168A3">
              <w:rPr>
                <w:rFonts w:ascii="Sylfaen" w:hAnsi="Sylfaen" w:cs="Sylfaen"/>
                <w:sz w:val="18"/>
              </w:rPr>
              <w:t>ს</w:t>
            </w:r>
            <w:r w:rsidRPr="008168A3">
              <w:rPr>
                <w:sz w:val="18"/>
              </w:rPr>
              <w:t xml:space="preserve"> </w:t>
            </w:r>
            <w:r w:rsidRPr="008168A3">
              <w:rPr>
                <w:rFonts w:ascii="Sylfaen" w:hAnsi="Sylfaen" w:cs="Sylfaen"/>
                <w:sz w:val="18"/>
              </w:rPr>
              <w:t>საკონტაქტო</w:t>
            </w:r>
            <w:r w:rsidRPr="008168A3">
              <w:rPr>
                <w:sz w:val="18"/>
              </w:rPr>
              <w:t xml:space="preserve"> </w:t>
            </w:r>
            <w:r w:rsidRPr="008168A3">
              <w:rPr>
                <w:rFonts w:ascii="Sylfaen" w:hAnsi="Sylfaen" w:cs="Sylfaen"/>
                <w:sz w:val="18"/>
              </w:rPr>
              <w:t>პირის</w:t>
            </w:r>
            <w:r w:rsidRPr="008168A3">
              <w:rPr>
                <w:sz w:val="18"/>
              </w:rPr>
              <w:t xml:space="preserve"> </w:t>
            </w:r>
            <w:r w:rsidRPr="008168A3">
              <w:rPr>
                <w:rFonts w:ascii="Sylfaen" w:hAnsi="Sylfaen" w:cs="Sylfaen"/>
                <w:sz w:val="18"/>
              </w:rPr>
              <w:t>მიერ</w:t>
            </w:r>
            <w:r w:rsidRPr="008168A3">
              <w:rPr>
                <w:sz w:val="18"/>
              </w:rPr>
              <w:t xml:space="preserve"> </w:t>
            </w:r>
            <w:r w:rsidRPr="008168A3">
              <w:rPr>
                <w:rFonts w:ascii="Sylfaen" w:hAnsi="Sylfaen" w:cs="Sylfaen"/>
                <w:sz w:val="18"/>
              </w:rPr>
              <w:t>დადგენილ</w:t>
            </w:r>
            <w:r w:rsidRPr="008168A3">
              <w:rPr>
                <w:sz w:val="18"/>
              </w:rPr>
              <w:t xml:space="preserve"> </w:t>
            </w:r>
            <w:r w:rsidRPr="008168A3">
              <w:rPr>
                <w:rFonts w:ascii="Sylfaen" w:hAnsi="Sylfaen" w:cs="Sylfaen"/>
                <w:sz w:val="18"/>
              </w:rPr>
              <w:t>ვადაში</w:t>
            </w:r>
            <w:r w:rsidRPr="008168A3">
              <w:rPr>
                <w:sz w:val="18"/>
              </w:rPr>
              <w:t>.</w:t>
            </w:r>
          </w:p>
          <w:p w14:paraId="73729B1A" w14:textId="77777777" w:rsidR="00CE1A11" w:rsidRPr="008168A3" w:rsidRDefault="00CE1A11" w:rsidP="00CE1A11">
            <w:pPr>
              <w:rPr>
                <w:sz w:val="18"/>
              </w:rPr>
            </w:pPr>
            <w:r w:rsidRPr="008168A3">
              <w:rPr>
                <w:rFonts w:ascii="Sylfaen" w:hAnsi="Sylfaen" w:cs="Sylfaen"/>
                <w:sz w:val="18"/>
              </w:rPr>
              <w:t>მოსმენის</w:t>
            </w:r>
            <w:r w:rsidRPr="008168A3">
              <w:rPr>
                <w:sz w:val="18"/>
              </w:rPr>
              <w:t xml:space="preserve"> </w:t>
            </w:r>
            <w:r w:rsidRPr="008168A3">
              <w:rPr>
                <w:rFonts w:ascii="Sylfaen" w:hAnsi="Sylfaen" w:cs="Sylfaen"/>
                <w:sz w:val="18"/>
              </w:rPr>
              <w:t>დღეს</w:t>
            </w:r>
            <w:r w:rsidRPr="008168A3">
              <w:rPr>
                <w:sz w:val="18"/>
              </w:rPr>
              <w:t xml:space="preserve">, </w:t>
            </w:r>
            <w:r w:rsidRPr="008168A3">
              <w:rPr>
                <w:rFonts w:ascii="Sylfaen" w:hAnsi="Sylfaen" w:cs="Sylfaen"/>
                <w:sz w:val="18"/>
              </w:rPr>
              <w:t>დაზარალებული</w:t>
            </w:r>
            <w:r w:rsidRPr="008168A3">
              <w:rPr>
                <w:sz w:val="18"/>
              </w:rPr>
              <w:t xml:space="preserve"> AP </w:t>
            </w:r>
            <w:r w:rsidRPr="008168A3">
              <w:rPr>
                <w:rFonts w:ascii="Sylfaen" w:hAnsi="Sylfaen" w:cs="Sylfaen"/>
                <w:sz w:val="18"/>
              </w:rPr>
              <w:t>წარსდგება</w:t>
            </w:r>
            <w:r w:rsidRPr="008168A3">
              <w:rPr>
                <w:sz w:val="18"/>
              </w:rPr>
              <w:t xml:space="preserve"> GRCE-</w:t>
            </w:r>
            <w:r w:rsidRPr="008168A3">
              <w:rPr>
                <w:rFonts w:ascii="Sylfaen" w:hAnsi="Sylfaen" w:cs="Sylfaen"/>
                <w:sz w:val="18"/>
              </w:rPr>
              <w:t>ს</w:t>
            </w:r>
            <w:r w:rsidRPr="008168A3">
              <w:rPr>
                <w:sz w:val="18"/>
              </w:rPr>
              <w:t xml:space="preserve"> </w:t>
            </w:r>
            <w:r w:rsidRPr="008168A3">
              <w:rPr>
                <w:rFonts w:ascii="Sylfaen" w:hAnsi="Sylfaen" w:cs="Sylfaen"/>
                <w:sz w:val="18"/>
              </w:rPr>
              <w:t>წინაშე</w:t>
            </w:r>
            <w:r w:rsidRPr="008168A3">
              <w:rPr>
                <w:sz w:val="18"/>
              </w:rPr>
              <w:t xml:space="preserve"> </w:t>
            </w:r>
            <w:r w:rsidRPr="008168A3">
              <w:rPr>
                <w:rFonts w:ascii="Sylfaen" w:hAnsi="Sylfaen" w:cs="Sylfaen"/>
                <w:sz w:val="18"/>
              </w:rPr>
              <w:t>მუნიციპალიტეტის</w:t>
            </w:r>
            <w:r w:rsidRPr="008168A3">
              <w:rPr>
                <w:sz w:val="18"/>
              </w:rPr>
              <w:t xml:space="preserve"> </w:t>
            </w:r>
            <w:r w:rsidRPr="008168A3">
              <w:rPr>
                <w:rFonts w:ascii="Sylfaen" w:hAnsi="Sylfaen" w:cs="Sylfaen"/>
                <w:sz w:val="18"/>
              </w:rPr>
              <w:t>ოფისში</w:t>
            </w:r>
            <w:r w:rsidRPr="008168A3">
              <w:rPr>
                <w:sz w:val="18"/>
              </w:rPr>
              <w:t xml:space="preserve"> </w:t>
            </w:r>
            <w:r w:rsidRPr="008168A3">
              <w:rPr>
                <w:rFonts w:ascii="Sylfaen" w:hAnsi="Sylfaen" w:cs="Sylfaen"/>
                <w:sz w:val="18"/>
              </w:rPr>
              <w:t>საჩივრის</w:t>
            </w:r>
            <w:r w:rsidRPr="008168A3">
              <w:rPr>
                <w:sz w:val="18"/>
              </w:rPr>
              <w:t xml:space="preserve"> </w:t>
            </w:r>
            <w:r w:rsidRPr="008168A3">
              <w:rPr>
                <w:rFonts w:ascii="Sylfaen" w:hAnsi="Sylfaen" w:cs="Sylfaen"/>
                <w:sz w:val="18"/>
              </w:rPr>
              <w:t>განხილვის</w:t>
            </w:r>
            <w:r w:rsidRPr="008168A3">
              <w:rPr>
                <w:sz w:val="18"/>
              </w:rPr>
              <w:t xml:space="preserve"> </w:t>
            </w:r>
            <w:r w:rsidRPr="008168A3">
              <w:rPr>
                <w:rFonts w:ascii="Sylfaen" w:hAnsi="Sylfaen" w:cs="Sylfaen"/>
                <w:sz w:val="18"/>
              </w:rPr>
              <w:t>მიზნით</w:t>
            </w:r>
            <w:r w:rsidRPr="008168A3">
              <w:rPr>
                <w:sz w:val="18"/>
              </w:rPr>
              <w:t xml:space="preserve">. </w:t>
            </w:r>
            <w:r w:rsidRPr="008168A3">
              <w:rPr>
                <w:rFonts w:ascii="Sylfaen" w:hAnsi="Sylfaen" w:cs="Sylfaen"/>
                <w:sz w:val="18"/>
              </w:rPr>
              <w:t>წევრი</w:t>
            </w:r>
            <w:r w:rsidRPr="008168A3">
              <w:rPr>
                <w:sz w:val="18"/>
              </w:rPr>
              <w:t xml:space="preserve"> </w:t>
            </w:r>
            <w:r w:rsidRPr="008168A3">
              <w:rPr>
                <w:rFonts w:ascii="Sylfaen" w:hAnsi="Sylfaen" w:cs="Sylfaen"/>
                <w:sz w:val="18"/>
              </w:rPr>
              <w:t>მდივანი</w:t>
            </w:r>
            <w:r w:rsidRPr="008168A3">
              <w:rPr>
                <w:sz w:val="18"/>
              </w:rPr>
              <w:t xml:space="preserve"> </w:t>
            </w:r>
            <w:r w:rsidRPr="008168A3">
              <w:rPr>
                <w:rFonts w:ascii="Sylfaen" w:hAnsi="Sylfaen" w:cs="Sylfaen"/>
                <w:sz w:val="18"/>
              </w:rPr>
              <w:t>ჩაიწერს</w:t>
            </w:r>
            <w:r w:rsidRPr="008168A3">
              <w:rPr>
                <w:sz w:val="18"/>
              </w:rPr>
              <w:t xml:space="preserve"> </w:t>
            </w:r>
            <w:r w:rsidRPr="008168A3">
              <w:rPr>
                <w:rFonts w:ascii="Sylfaen" w:hAnsi="Sylfaen" w:cs="Sylfaen"/>
                <w:sz w:val="18"/>
              </w:rPr>
              <w:t>მომჩივნის</w:t>
            </w:r>
            <w:r w:rsidRPr="008168A3">
              <w:rPr>
                <w:sz w:val="18"/>
              </w:rPr>
              <w:t xml:space="preserve"> </w:t>
            </w:r>
            <w:r w:rsidRPr="008168A3">
              <w:rPr>
                <w:rFonts w:ascii="Sylfaen" w:hAnsi="Sylfaen" w:cs="Sylfaen"/>
                <w:sz w:val="18"/>
              </w:rPr>
              <w:t>განცხადებებს</w:t>
            </w:r>
            <w:r w:rsidRPr="008168A3">
              <w:rPr>
                <w:sz w:val="18"/>
              </w:rPr>
              <w:t xml:space="preserve"> </w:t>
            </w:r>
            <w:r w:rsidRPr="008168A3">
              <w:rPr>
                <w:rFonts w:ascii="Sylfaen" w:hAnsi="Sylfaen" w:cs="Sylfaen"/>
                <w:sz w:val="18"/>
              </w:rPr>
              <w:t>და</w:t>
            </w:r>
            <w:r w:rsidRPr="008168A3">
              <w:rPr>
                <w:sz w:val="18"/>
              </w:rPr>
              <w:t xml:space="preserve"> </w:t>
            </w:r>
            <w:r w:rsidRPr="008168A3">
              <w:rPr>
                <w:rFonts w:ascii="Sylfaen" w:hAnsi="Sylfaen" w:cs="Sylfaen"/>
                <w:sz w:val="18"/>
              </w:rPr>
              <w:t>დაარეგისტრირებს</w:t>
            </w:r>
            <w:r w:rsidRPr="008168A3">
              <w:rPr>
                <w:sz w:val="18"/>
              </w:rPr>
              <w:t xml:space="preserve"> </w:t>
            </w:r>
            <w:r w:rsidRPr="008168A3">
              <w:rPr>
                <w:rFonts w:ascii="Sylfaen" w:hAnsi="Sylfaen" w:cs="Sylfaen"/>
                <w:sz w:val="18"/>
              </w:rPr>
              <w:t>საჩივრის</w:t>
            </w:r>
            <w:r w:rsidRPr="008168A3">
              <w:rPr>
                <w:sz w:val="18"/>
              </w:rPr>
              <w:t xml:space="preserve"> </w:t>
            </w:r>
            <w:r w:rsidRPr="008168A3">
              <w:rPr>
                <w:rFonts w:ascii="Sylfaen" w:hAnsi="Sylfaen" w:cs="Sylfaen"/>
                <w:sz w:val="18"/>
              </w:rPr>
              <w:t>ყველა</w:t>
            </w:r>
            <w:r w:rsidRPr="008168A3">
              <w:rPr>
                <w:sz w:val="18"/>
              </w:rPr>
              <w:t xml:space="preserve"> </w:t>
            </w:r>
            <w:r w:rsidRPr="008168A3">
              <w:rPr>
                <w:rFonts w:ascii="Sylfaen" w:hAnsi="Sylfaen" w:cs="Sylfaen"/>
                <w:sz w:val="18"/>
              </w:rPr>
              <w:t>დეტალს</w:t>
            </w:r>
            <w:r w:rsidRPr="008168A3">
              <w:rPr>
                <w:sz w:val="18"/>
              </w:rPr>
              <w:t xml:space="preserve">. </w:t>
            </w:r>
          </w:p>
          <w:p w14:paraId="0EB52657" w14:textId="77777777" w:rsidR="00CE1A11" w:rsidRPr="008168A3" w:rsidRDefault="00CE1A11" w:rsidP="00CE1A11">
            <w:pPr>
              <w:rPr>
                <w:sz w:val="18"/>
              </w:rPr>
            </w:pPr>
            <w:r w:rsidRPr="008168A3">
              <w:rPr>
                <w:rFonts w:ascii="Sylfaen" w:hAnsi="Sylfaen" w:cs="Sylfaen"/>
                <w:sz w:val="18"/>
              </w:rPr>
              <w:t>წევრთა</w:t>
            </w:r>
            <w:r w:rsidRPr="008168A3">
              <w:rPr>
                <w:sz w:val="18"/>
              </w:rPr>
              <w:t xml:space="preserve"> </w:t>
            </w:r>
            <w:r w:rsidRPr="008168A3">
              <w:rPr>
                <w:rFonts w:ascii="Sylfaen" w:hAnsi="Sylfaen" w:cs="Sylfaen"/>
                <w:sz w:val="18"/>
              </w:rPr>
              <w:t>უმრავლესობით</w:t>
            </w:r>
            <w:r w:rsidRPr="008168A3">
              <w:rPr>
                <w:sz w:val="18"/>
              </w:rPr>
              <w:t xml:space="preserve"> </w:t>
            </w:r>
            <w:r w:rsidRPr="008168A3">
              <w:rPr>
                <w:rFonts w:ascii="Sylfaen" w:hAnsi="Sylfaen" w:cs="Sylfaen"/>
                <w:sz w:val="18"/>
              </w:rPr>
              <w:t>მიღებული</w:t>
            </w:r>
            <w:r w:rsidRPr="008168A3">
              <w:rPr>
                <w:sz w:val="18"/>
              </w:rPr>
              <w:t xml:space="preserve"> </w:t>
            </w:r>
            <w:r w:rsidRPr="008168A3">
              <w:rPr>
                <w:rFonts w:ascii="Sylfaen" w:hAnsi="Sylfaen" w:cs="Sylfaen"/>
                <w:sz w:val="18"/>
              </w:rPr>
              <w:t>გადაწყვეტილებები</w:t>
            </w:r>
            <w:r w:rsidRPr="008168A3">
              <w:rPr>
                <w:sz w:val="18"/>
              </w:rPr>
              <w:t xml:space="preserve"> </w:t>
            </w:r>
            <w:r w:rsidRPr="008168A3">
              <w:rPr>
                <w:rFonts w:ascii="Sylfaen" w:hAnsi="Sylfaen" w:cs="Sylfaen"/>
                <w:sz w:val="18"/>
              </w:rPr>
              <w:t>განიხილება</w:t>
            </w:r>
            <w:r w:rsidRPr="008168A3">
              <w:rPr>
                <w:sz w:val="18"/>
              </w:rPr>
              <w:t xml:space="preserve"> </w:t>
            </w:r>
            <w:r w:rsidRPr="008168A3">
              <w:rPr>
                <w:rFonts w:ascii="Sylfaen" w:hAnsi="Sylfaen" w:cs="Sylfaen"/>
                <w:sz w:val="18"/>
              </w:rPr>
              <w:t>როგორც</w:t>
            </w:r>
            <w:r w:rsidRPr="008168A3">
              <w:rPr>
                <w:sz w:val="18"/>
              </w:rPr>
              <w:t xml:space="preserve"> </w:t>
            </w:r>
            <w:r w:rsidRPr="008168A3">
              <w:rPr>
                <w:rFonts w:ascii="Sylfaen" w:hAnsi="Sylfaen" w:cs="Sylfaen"/>
                <w:sz w:val="18"/>
              </w:rPr>
              <w:t>ფინალური</w:t>
            </w:r>
            <w:r w:rsidRPr="008168A3">
              <w:rPr>
                <w:sz w:val="18"/>
              </w:rPr>
              <w:t xml:space="preserve"> GRCE-</w:t>
            </w:r>
            <w:r w:rsidRPr="008168A3">
              <w:rPr>
                <w:rFonts w:ascii="Sylfaen" w:hAnsi="Sylfaen" w:cs="Sylfaen"/>
                <w:sz w:val="18"/>
              </w:rPr>
              <w:t>ს</w:t>
            </w:r>
            <w:r w:rsidRPr="008168A3">
              <w:rPr>
                <w:sz w:val="18"/>
              </w:rPr>
              <w:t xml:space="preserve"> </w:t>
            </w:r>
            <w:r w:rsidRPr="008168A3">
              <w:rPr>
                <w:rFonts w:ascii="Sylfaen" w:hAnsi="Sylfaen" w:cs="Sylfaen"/>
                <w:sz w:val="18"/>
              </w:rPr>
              <w:t>მიერ</w:t>
            </w:r>
            <w:r w:rsidRPr="008168A3">
              <w:rPr>
                <w:sz w:val="18"/>
              </w:rPr>
              <w:t xml:space="preserve"> </w:t>
            </w:r>
            <w:r w:rsidRPr="008168A3">
              <w:rPr>
                <w:rFonts w:ascii="Sylfaen" w:hAnsi="Sylfaen" w:cs="Sylfaen"/>
                <w:sz w:val="18"/>
              </w:rPr>
              <w:t>პირველი</w:t>
            </w:r>
            <w:r w:rsidRPr="008168A3">
              <w:rPr>
                <w:sz w:val="18"/>
              </w:rPr>
              <w:t xml:space="preserve"> </w:t>
            </w:r>
            <w:r w:rsidRPr="008168A3">
              <w:rPr>
                <w:rFonts w:ascii="Sylfaen" w:hAnsi="Sylfaen" w:cs="Sylfaen"/>
                <w:sz w:val="18"/>
              </w:rPr>
              <w:t>ეტაპისთვის</w:t>
            </w:r>
            <w:r w:rsidRPr="008168A3">
              <w:rPr>
                <w:sz w:val="18"/>
              </w:rPr>
              <w:t xml:space="preserve">. </w:t>
            </w:r>
            <w:r w:rsidRPr="008168A3">
              <w:rPr>
                <w:rFonts w:ascii="Sylfaen" w:hAnsi="Sylfaen" w:cs="Sylfaen"/>
                <w:sz w:val="18"/>
              </w:rPr>
              <w:t>გადაწყვეტილებები</w:t>
            </w:r>
            <w:r w:rsidRPr="008168A3">
              <w:rPr>
                <w:sz w:val="18"/>
              </w:rPr>
              <w:t xml:space="preserve"> </w:t>
            </w:r>
            <w:r w:rsidRPr="008168A3">
              <w:rPr>
                <w:rFonts w:ascii="Sylfaen" w:hAnsi="Sylfaen" w:cs="Sylfaen"/>
                <w:sz w:val="18"/>
              </w:rPr>
              <w:t>გაიცემა</w:t>
            </w:r>
            <w:r w:rsidRPr="008168A3">
              <w:rPr>
                <w:sz w:val="18"/>
              </w:rPr>
              <w:t xml:space="preserve"> </w:t>
            </w:r>
            <w:r w:rsidRPr="008168A3">
              <w:rPr>
                <w:rFonts w:ascii="Sylfaen" w:hAnsi="Sylfaen" w:cs="Sylfaen"/>
                <w:sz w:val="18"/>
              </w:rPr>
              <w:t>საკონტაქტო</w:t>
            </w:r>
            <w:r w:rsidRPr="008168A3">
              <w:rPr>
                <w:sz w:val="18"/>
              </w:rPr>
              <w:t xml:space="preserve"> </w:t>
            </w:r>
            <w:r w:rsidRPr="008168A3">
              <w:rPr>
                <w:rFonts w:ascii="Sylfaen" w:hAnsi="Sylfaen" w:cs="Sylfaen"/>
                <w:sz w:val="18"/>
              </w:rPr>
              <w:t>პირის</w:t>
            </w:r>
            <w:r w:rsidRPr="008168A3">
              <w:rPr>
                <w:sz w:val="18"/>
              </w:rPr>
              <w:t>/</w:t>
            </w:r>
            <w:r w:rsidRPr="008168A3">
              <w:rPr>
                <w:rFonts w:ascii="Sylfaen" w:hAnsi="Sylfaen" w:cs="Sylfaen"/>
                <w:sz w:val="18"/>
              </w:rPr>
              <w:t>კონსულტანტის</w:t>
            </w:r>
            <w:r w:rsidRPr="008168A3">
              <w:rPr>
                <w:sz w:val="18"/>
              </w:rPr>
              <w:t xml:space="preserve"> </w:t>
            </w:r>
            <w:r w:rsidRPr="008168A3">
              <w:rPr>
                <w:rFonts w:ascii="Sylfaen" w:hAnsi="Sylfaen" w:cs="Sylfaen"/>
                <w:sz w:val="18"/>
              </w:rPr>
              <w:t>მიერ</w:t>
            </w:r>
            <w:r w:rsidRPr="008168A3">
              <w:rPr>
                <w:sz w:val="18"/>
              </w:rPr>
              <w:t xml:space="preserve"> </w:t>
            </w:r>
            <w:r w:rsidRPr="008168A3">
              <w:rPr>
                <w:rFonts w:ascii="Sylfaen" w:hAnsi="Sylfaen" w:cs="Sylfaen"/>
                <w:sz w:val="18"/>
              </w:rPr>
              <w:t>და</w:t>
            </w:r>
            <w:r w:rsidRPr="008168A3">
              <w:rPr>
                <w:sz w:val="18"/>
              </w:rPr>
              <w:t xml:space="preserve"> GRCE-</w:t>
            </w:r>
            <w:r w:rsidRPr="008168A3">
              <w:rPr>
                <w:rFonts w:ascii="Sylfaen" w:hAnsi="Sylfaen" w:cs="Sylfaen"/>
                <w:sz w:val="18"/>
              </w:rPr>
              <w:t>ს</w:t>
            </w:r>
            <w:r w:rsidRPr="008168A3">
              <w:rPr>
                <w:sz w:val="18"/>
              </w:rPr>
              <w:t xml:space="preserve"> </w:t>
            </w:r>
            <w:r w:rsidRPr="008168A3">
              <w:rPr>
                <w:rFonts w:ascii="Sylfaen" w:hAnsi="Sylfaen" w:cs="Sylfaen"/>
                <w:sz w:val="18"/>
              </w:rPr>
              <w:t>სხვა</w:t>
            </w:r>
            <w:r w:rsidRPr="008168A3">
              <w:rPr>
                <w:sz w:val="18"/>
              </w:rPr>
              <w:t xml:space="preserve"> </w:t>
            </w:r>
            <w:r w:rsidRPr="008168A3">
              <w:rPr>
                <w:rFonts w:ascii="Sylfaen" w:hAnsi="Sylfaen" w:cs="Sylfaen"/>
                <w:sz w:val="18"/>
              </w:rPr>
              <w:t>წევრები</w:t>
            </w:r>
            <w:r w:rsidRPr="008168A3">
              <w:rPr>
                <w:sz w:val="18"/>
              </w:rPr>
              <w:t xml:space="preserve"> </w:t>
            </w:r>
            <w:r w:rsidRPr="008168A3">
              <w:rPr>
                <w:rFonts w:ascii="Sylfaen" w:hAnsi="Sylfaen" w:cs="Sylfaen"/>
                <w:sz w:val="18"/>
              </w:rPr>
              <w:t>მოაწერენ</w:t>
            </w:r>
            <w:r w:rsidRPr="008168A3">
              <w:rPr>
                <w:sz w:val="18"/>
              </w:rPr>
              <w:t xml:space="preserve"> </w:t>
            </w:r>
            <w:r w:rsidRPr="008168A3">
              <w:rPr>
                <w:rFonts w:ascii="Sylfaen" w:hAnsi="Sylfaen" w:cs="Sylfaen"/>
                <w:sz w:val="18"/>
              </w:rPr>
              <w:t>ხელს</w:t>
            </w:r>
            <w:r w:rsidRPr="008168A3">
              <w:rPr>
                <w:sz w:val="18"/>
              </w:rPr>
              <w:t>.</w:t>
            </w:r>
            <w:r w:rsidRPr="008168A3">
              <w:rPr>
                <w:rFonts w:ascii="Sylfaen" w:hAnsi="Sylfaen" w:cs="Sylfaen"/>
                <w:sz w:val="18"/>
              </w:rPr>
              <w:t>საქმის</w:t>
            </w:r>
            <w:r w:rsidRPr="008168A3">
              <w:rPr>
                <w:sz w:val="18"/>
              </w:rPr>
              <w:t xml:space="preserve"> </w:t>
            </w:r>
            <w:r w:rsidRPr="008168A3">
              <w:rPr>
                <w:rFonts w:ascii="Sylfaen" w:hAnsi="Sylfaen" w:cs="Sylfaen"/>
                <w:sz w:val="18"/>
              </w:rPr>
              <w:t>ჩანაწერი</w:t>
            </w:r>
            <w:r w:rsidRPr="008168A3">
              <w:rPr>
                <w:sz w:val="18"/>
              </w:rPr>
              <w:t xml:space="preserve"> </w:t>
            </w:r>
            <w:r w:rsidRPr="008168A3">
              <w:rPr>
                <w:rFonts w:ascii="Sylfaen" w:hAnsi="Sylfaen" w:cs="Sylfaen"/>
                <w:sz w:val="18"/>
              </w:rPr>
              <w:t>განახლდება</w:t>
            </w:r>
            <w:r w:rsidRPr="008168A3">
              <w:rPr>
                <w:sz w:val="18"/>
              </w:rPr>
              <w:t xml:space="preserve"> </w:t>
            </w:r>
            <w:r w:rsidRPr="008168A3">
              <w:rPr>
                <w:rFonts w:ascii="Sylfaen" w:hAnsi="Sylfaen" w:cs="Sylfaen"/>
                <w:sz w:val="18"/>
              </w:rPr>
              <w:t>და</w:t>
            </w:r>
            <w:r w:rsidRPr="008168A3">
              <w:rPr>
                <w:sz w:val="18"/>
              </w:rPr>
              <w:t xml:space="preserve"> AP </w:t>
            </w:r>
            <w:r w:rsidRPr="008168A3">
              <w:rPr>
                <w:rFonts w:ascii="Sylfaen" w:hAnsi="Sylfaen" w:cs="Sylfaen"/>
                <w:sz w:val="18"/>
              </w:rPr>
              <w:t>მომჩივანს</w:t>
            </w:r>
            <w:r w:rsidRPr="008168A3">
              <w:rPr>
                <w:sz w:val="18"/>
              </w:rPr>
              <w:t xml:space="preserve"> </w:t>
            </w:r>
            <w:r w:rsidRPr="008168A3">
              <w:rPr>
                <w:rFonts w:ascii="Sylfaen" w:hAnsi="Sylfaen" w:cs="Sylfaen"/>
                <w:sz w:val="18"/>
              </w:rPr>
              <w:t>აცნობენ</w:t>
            </w:r>
            <w:r w:rsidRPr="008168A3">
              <w:rPr>
                <w:sz w:val="18"/>
              </w:rPr>
              <w:t xml:space="preserve"> </w:t>
            </w:r>
            <w:r w:rsidRPr="008168A3">
              <w:rPr>
                <w:rFonts w:ascii="Sylfaen" w:hAnsi="Sylfaen" w:cs="Sylfaen"/>
                <w:sz w:val="18"/>
              </w:rPr>
              <w:t>გადაწყვეტილების</w:t>
            </w:r>
            <w:r w:rsidRPr="008168A3">
              <w:rPr>
                <w:sz w:val="18"/>
              </w:rPr>
              <w:t xml:space="preserve"> </w:t>
            </w:r>
            <w:r w:rsidRPr="008168A3">
              <w:rPr>
                <w:rFonts w:ascii="Sylfaen" w:hAnsi="Sylfaen" w:cs="Sylfaen"/>
                <w:sz w:val="18"/>
              </w:rPr>
              <w:t>შესახებ</w:t>
            </w:r>
            <w:r w:rsidRPr="008168A3">
              <w:rPr>
                <w:sz w:val="18"/>
              </w:rPr>
              <w:t>.</w:t>
            </w:r>
          </w:p>
          <w:p w14:paraId="568C8EAD" w14:textId="77777777" w:rsidR="00CE1A11" w:rsidRPr="008168A3" w:rsidRDefault="00CE1A11" w:rsidP="00CE1A11">
            <w:pPr>
              <w:rPr>
                <w:sz w:val="18"/>
              </w:rPr>
            </w:pPr>
            <w:r w:rsidRPr="008168A3">
              <w:rPr>
                <w:rFonts w:ascii="Sylfaen" w:hAnsi="Sylfaen" w:cs="Sylfaen"/>
                <w:sz w:val="18"/>
              </w:rPr>
              <w:t>შეთანხმებული</w:t>
            </w:r>
            <w:r w:rsidRPr="008168A3">
              <w:rPr>
                <w:sz w:val="18"/>
              </w:rPr>
              <w:t xml:space="preserve"> </w:t>
            </w:r>
            <w:r w:rsidRPr="008168A3">
              <w:rPr>
                <w:rFonts w:ascii="Sylfaen" w:hAnsi="Sylfaen" w:cs="Sylfaen"/>
                <w:sz w:val="18"/>
              </w:rPr>
              <w:t>ქმედების</w:t>
            </w:r>
            <w:r w:rsidRPr="008168A3">
              <w:rPr>
                <w:sz w:val="18"/>
              </w:rPr>
              <w:t xml:space="preserve"> </w:t>
            </w:r>
            <w:r w:rsidRPr="008168A3">
              <w:rPr>
                <w:rFonts w:ascii="Sylfaen" w:hAnsi="Sylfaen" w:cs="Sylfaen"/>
                <w:sz w:val="18"/>
              </w:rPr>
              <w:t>განხორციელების</w:t>
            </w:r>
            <w:r w:rsidRPr="008168A3">
              <w:rPr>
                <w:sz w:val="18"/>
              </w:rPr>
              <w:t xml:space="preserve"> </w:t>
            </w:r>
            <w:r w:rsidRPr="008168A3">
              <w:rPr>
                <w:rFonts w:ascii="Sylfaen" w:hAnsi="Sylfaen" w:cs="Sylfaen"/>
                <w:sz w:val="18"/>
              </w:rPr>
              <w:t>შემდეგ</w:t>
            </w:r>
            <w:r w:rsidRPr="008168A3">
              <w:rPr>
                <w:sz w:val="18"/>
              </w:rPr>
              <w:t xml:space="preserve">, </w:t>
            </w:r>
            <w:r w:rsidRPr="008168A3">
              <w:rPr>
                <w:rFonts w:ascii="Sylfaen" w:hAnsi="Sylfaen" w:cs="Sylfaen"/>
                <w:sz w:val="18"/>
              </w:rPr>
              <w:t>საჩივრის</w:t>
            </w:r>
            <w:r w:rsidRPr="008168A3">
              <w:rPr>
                <w:sz w:val="18"/>
              </w:rPr>
              <w:t xml:space="preserve"> </w:t>
            </w:r>
            <w:r w:rsidRPr="008168A3">
              <w:rPr>
                <w:rFonts w:ascii="Sylfaen" w:hAnsi="Sylfaen" w:cs="Sylfaen"/>
                <w:sz w:val="18"/>
              </w:rPr>
              <w:t>დახურვის</w:t>
            </w:r>
            <w:r w:rsidRPr="008168A3">
              <w:rPr>
                <w:sz w:val="18"/>
              </w:rPr>
              <w:t xml:space="preserve"> </w:t>
            </w:r>
            <w:r w:rsidRPr="008168A3">
              <w:rPr>
                <w:rFonts w:ascii="Sylfaen" w:hAnsi="Sylfaen" w:cs="Sylfaen"/>
                <w:sz w:val="18"/>
              </w:rPr>
              <w:t>ოქმი</w:t>
            </w:r>
            <w:r w:rsidRPr="008168A3">
              <w:rPr>
                <w:sz w:val="18"/>
              </w:rPr>
              <w:t xml:space="preserve"> </w:t>
            </w:r>
            <w:r w:rsidRPr="008168A3">
              <w:rPr>
                <w:rFonts w:ascii="Sylfaen" w:hAnsi="Sylfaen" w:cs="Sylfaen"/>
                <w:sz w:val="18"/>
              </w:rPr>
              <w:t>მომზადებული</w:t>
            </w:r>
            <w:r w:rsidRPr="008168A3">
              <w:rPr>
                <w:sz w:val="18"/>
              </w:rPr>
              <w:t xml:space="preserve"> </w:t>
            </w:r>
            <w:r w:rsidRPr="008168A3">
              <w:rPr>
                <w:rFonts w:ascii="Sylfaen" w:hAnsi="Sylfaen" w:cs="Sylfaen"/>
                <w:sz w:val="18"/>
              </w:rPr>
              <w:t>იქნება</w:t>
            </w:r>
            <w:r w:rsidRPr="008168A3">
              <w:rPr>
                <w:sz w:val="18"/>
              </w:rPr>
              <w:t xml:space="preserve"> </w:t>
            </w:r>
            <w:r w:rsidRPr="008168A3">
              <w:rPr>
                <w:rFonts w:ascii="Sylfaen" w:hAnsi="Sylfaen" w:cs="Sylfaen"/>
                <w:sz w:val="18"/>
              </w:rPr>
              <w:t>საკონტაქტო</w:t>
            </w:r>
            <w:r w:rsidRPr="008168A3">
              <w:rPr>
                <w:sz w:val="18"/>
              </w:rPr>
              <w:t xml:space="preserve"> </w:t>
            </w:r>
            <w:r w:rsidRPr="008168A3">
              <w:rPr>
                <w:rFonts w:ascii="Sylfaen" w:hAnsi="Sylfaen" w:cs="Sylfaen"/>
                <w:sz w:val="18"/>
              </w:rPr>
              <w:t>პირის</w:t>
            </w:r>
            <w:r w:rsidRPr="008168A3">
              <w:rPr>
                <w:sz w:val="18"/>
              </w:rPr>
              <w:t xml:space="preserve"> </w:t>
            </w:r>
            <w:r w:rsidRPr="008168A3">
              <w:rPr>
                <w:rFonts w:ascii="Sylfaen" w:hAnsi="Sylfaen" w:cs="Sylfaen"/>
                <w:sz w:val="18"/>
              </w:rPr>
              <w:t>მიერ</w:t>
            </w:r>
            <w:r w:rsidRPr="008168A3">
              <w:rPr>
                <w:sz w:val="18"/>
              </w:rPr>
              <w:t xml:space="preserve">. </w:t>
            </w:r>
            <w:r w:rsidRPr="008168A3">
              <w:rPr>
                <w:rFonts w:ascii="Sylfaen" w:hAnsi="Sylfaen" w:cs="Sylfaen"/>
                <w:sz w:val="18"/>
              </w:rPr>
              <w:t>პროტოკოლს</w:t>
            </w:r>
            <w:r w:rsidRPr="008168A3">
              <w:rPr>
                <w:sz w:val="18"/>
              </w:rPr>
              <w:t xml:space="preserve"> </w:t>
            </w:r>
            <w:r w:rsidRPr="008168A3">
              <w:rPr>
                <w:rFonts w:ascii="Sylfaen" w:hAnsi="Sylfaen" w:cs="Sylfaen"/>
                <w:sz w:val="18"/>
              </w:rPr>
              <w:t>ხელს</w:t>
            </w:r>
            <w:r w:rsidRPr="008168A3">
              <w:rPr>
                <w:sz w:val="18"/>
              </w:rPr>
              <w:t xml:space="preserve"> </w:t>
            </w:r>
            <w:r w:rsidRPr="008168A3">
              <w:rPr>
                <w:rFonts w:ascii="Sylfaen" w:hAnsi="Sylfaen" w:cs="Sylfaen"/>
                <w:sz w:val="18"/>
              </w:rPr>
              <w:t>აწერენ</w:t>
            </w:r>
            <w:r w:rsidRPr="008168A3">
              <w:rPr>
                <w:sz w:val="18"/>
              </w:rPr>
              <w:t xml:space="preserve"> GRCE- </w:t>
            </w:r>
            <w:r w:rsidRPr="008168A3">
              <w:rPr>
                <w:rFonts w:ascii="Sylfaen" w:hAnsi="Sylfaen" w:cs="Sylfaen"/>
                <w:sz w:val="18"/>
              </w:rPr>
              <w:t>ის</w:t>
            </w:r>
            <w:r w:rsidRPr="008168A3">
              <w:rPr>
                <w:sz w:val="18"/>
              </w:rPr>
              <w:t xml:space="preserve"> </w:t>
            </w:r>
            <w:r w:rsidRPr="008168A3">
              <w:rPr>
                <w:rFonts w:ascii="Sylfaen" w:hAnsi="Sylfaen" w:cs="Sylfaen"/>
                <w:sz w:val="18"/>
              </w:rPr>
              <w:t>თავმჯდომარე</w:t>
            </w:r>
            <w:r w:rsidRPr="008168A3">
              <w:rPr>
                <w:sz w:val="18"/>
              </w:rPr>
              <w:t xml:space="preserve"> </w:t>
            </w:r>
            <w:r w:rsidRPr="008168A3">
              <w:rPr>
                <w:rFonts w:ascii="Sylfaen" w:hAnsi="Sylfaen" w:cs="Sylfaen"/>
                <w:sz w:val="18"/>
              </w:rPr>
              <w:t>და</w:t>
            </w:r>
            <w:r w:rsidRPr="008168A3">
              <w:rPr>
                <w:sz w:val="18"/>
              </w:rPr>
              <w:t xml:space="preserve"> </w:t>
            </w:r>
            <w:r w:rsidRPr="008168A3">
              <w:rPr>
                <w:rFonts w:ascii="Sylfaen" w:hAnsi="Sylfaen" w:cs="Sylfaen"/>
                <w:sz w:val="18"/>
              </w:rPr>
              <w:t>მოსარჩელე</w:t>
            </w:r>
            <w:r w:rsidRPr="008168A3">
              <w:rPr>
                <w:sz w:val="18"/>
              </w:rPr>
              <w:t>.</w:t>
            </w:r>
          </w:p>
        </w:tc>
      </w:tr>
      <w:tr w:rsidR="00CE1A11" w:rsidRPr="008168A3" w14:paraId="19C8AD28" w14:textId="77777777" w:rsidTr="008168A3">
        <w:trPr>
          <w:jc w:val="center"/>
        </w:trPr>
        <w:tc>
          <w:tcPr>
            <w:tcW w:w="1524" w:type="dxa"/>
            <w:tcBorders>
              <w:top w:val="single" w:sz="4" w:space="0" w:color="auto"/>
              <w:left w:val="single" w:sz="4" w:space="0" w:color="auto"/>
              <w:bottom w:val="single" w:sz="4" w:space="0" w:color="auto"/>
              <w:right w:val="single" w:sz="4" w:space="0" w:color="auto"/>
            </w:tcBorders>
            <w:hideMark/>
          </w:tcPr>
          <w:p w14:paraId="67BB1C1D" w14:textId="77777777" w:rsidR="00CE1A11" w:rsidRPr="008168A3" w:rsidRDefault="00CE1A11" w:rsidP="00CE1A11">
            <w:pPr>
              <w:rPr>
                <w:sz w:val="18"/>
              </w:rPr>
            </w:pPr>
            <w:r w:rsidRPr="008168A3">
              <w:rPr>
                <w:rFonts w:ascii="Sylfaen" w:hAnsi="Sylfaen" w:cs="Sylfaen"/>
                <w:sz w:val="18"/>
              </w:rPr>
              <w:t>ეტაპი</w:t>
            </w:r>
            <w:r w:rsidRPr="008168A3">
              <w:rPr>
                <w:sz w:val="18"/>
              </w:rPr>
              <w:t xml:space="preserve">  2</w:t>
            </w:r>
          </w:p>
        </w:tc>
        <w:tc>
          <w:tcPr>
            <w:tcW w:w="1935" w:type="dxa"/>
            <w:tcBorders>
              <w:top w:val="single" w:sz="4" w:space="0" w:color="auto"/>
              <w:left w:val="single" w:sz="4" w:space="0" w:color="auto"/>
              <w:bottom w:val="single" w:sz="4" w:space="0" w:color="auto"/>
              <w:right w:val="single" w:sz="4" w:space="0" w:color="auto"/>
            </w:tcBorders>
            <w:hideMark/>
          </w:tcPr>
          <w:p w14:paraId="103264BF" w14:textId="77777777" w:rsidR="00CE1A11" w:rsidRPr="008168A3" w:rsidRDefault="00CE1A11" w:rsidP="00CE1A11">
            <w:pPr>
              <w:rPr>
                <w:sz w:val="18"/>
              </w:rPr>
            </w:pPr>
            <w:r w:rsidRPr="008168A3">
              <w:rPr>
                <w:rFonts w:ascii="Sylfaen" w:hAnsi="Sylfaen" w:cs="Sylfaen"/>
                <w:sz w:val="18"/>
              </w:rPr>
              <w:t>ნაბიჯი</w:t>
            </w:r>
            <w:r w:rsidRPr="008168A3">
              <w:rPr>
                <w:sz w:val="18"/>
              </w:rPr>
              <w:t xml:space="preserve"> 3 </w:t>
            </w:r>
          </w:p>
          <w:p w14:paraId="784FAF8D" w14:textId="77777777" w:rsidR="00CE1A11" w:rsidRPr="008168A3" w:rsidRDefault="00CE1A11" w:rsidP="00CE1A11">
            <w:pPr>
              <w:rPr>
                <w:sz w:val="18"/>
              </w:rPr>
            </w:pPr>
            <w:r w:rsidRPr="008168A3">
              <w:rPr>
                <w:rFonts w:ascii="Sylfaen" w:hAnsi="Sylfaen" w:cs="Sylfaen"/>
                <w:sz w:val="18"/>
              </w:rPr>
              <w:t>გადაწყვეტილება</w:t>
            </w:r>
            <w:r w:rsidRPr="008168A3">
              <w:rPr>
                <w:sz w:val="18"/>
              </w:rPr>
              <w:t xml:space="preserve"> </w:t>
            </w:r>
            <w:r w:rsidRPr="008168A3">
              <w:rPr>
                <w:rFonts w:ascii="Sylfaen" w:hAnsi="Sylfaen" w:cs="Sylfaen"/>
                <w:sz w:val="18"/>
              </w:rPr>
              <w:t>ცენტრალური</w:t>
            </w:r>
            <w:r w:rsidRPr="008168A3">
              <w:rPr>
                <w:sz w:val="18"/>
              </w:rPr>
              <w:t xml:space="preserve"> IA/PIU GRCN- </w:t>
            </w:r>
            <w:r w:rsidRPr="008168A3">
              <w:rPr>
                <w:rFonts w:ascii="Sylfaen" w:hAnsi="Sylfaen" w:cs="Sylfaen"/>
                <w:sz w:val="18"/>
              </w:rPr>
              <w:t>დან</w:t>
            </w:r>
          </w:p>
        </w:tc>
        <w:tc>
          <w:tcPr>
            <w:tcW w:w="12556" w:type="dxa"/>
            <w:tcBorders>
              <w:top w:val="single" w:sz="4" w:space="0" w:color="auto"/>
              <w:left w:val="single" w:sz="4" w:space="0" w:color="auto"/>
              <w:bottom w:val="single" w:sz="4" w:space="0" w:color="auto"/>
              <w:right w:val="single" w:sz="4" w:space="0" w:color="auto"/>
            </w:tcBorders>
            <w:hideMark/>
          </w:tcPr>
          <w:p w14:paraId="240EAEF5" w14:textId="77777777" w:rsidR="00CE1A11" w:rsidRPr="008168A3" w:rsidRDefault="00CE1A11" w:rsidP="00CE1A11">
            <w:pPr>
              <w:rPr>
                <w:sz w:val="18"/>
                <w:lang w:val="ka-GE"/>
              </w:rPr>
            </w:pPr>
            <w:r w:rsidRPr="008168A3">
              <w:rPr>
                <w:rFonts w:ascii="Sylfaen" w:hAnsi="Sylfaen" w:cs="Sylfaen"/>
                <w:sz w:val="18"/>
              </w:rPr>
              <w:t>თუ</w:t>
            </w:r>
            <w:r w:rsidRPr="008168A3">
              <w:rPr>
                <w:sz w:val="18"/>
              </w:rPr>
              <w:t xml:space="preserve"> </w:t>
            </w:r>
            <w:r w:rsidRPr="008168A3">
              <w:rPr>
                <w:rFonts w:ascii="Sylfaen" w:hAnsi="Sylfaen" w:cs="Sylfaen"/>
                <w:sz w:val="18"/>
              </w:rPr>
              <w:t>რომელიმე</w:t>
            </w:r>
            <w:r w:rsidRPr="008168A3">
              <w:rPr>
                <w:sz w:val="18"/>
              </w:rPr>
              <w:t xml:space="preserve"> </w:t>
            </w:r>
            <w:r w:rsidRPr="008168A3">
              <w:rPr>
                <w:rFonts w:ascii="Sylfaen" w:hAnsi="Sylfaen" w:cs="Sylfaen"/>
                <w:sz w:val="18"/>
              </w:rPr>
              <w:t>დაზარალებული</w:t>
            </w:r>
            <w:r w:rsidRPr="008168A3">
              <w:rPr>
                <w:sz w:val="18"/>
              </w:rPr>
              <w:t xml:space="preserve"> AP </w:t>
            </w:r>
            <w:r w:rsidRPr="008168A3">
              <w:rPr>
                <w:rFonts w:ascii="Sylfaen" w:hAnsi="Sylfaen" w:cs="Sylfaen"/>
                <w:sz w:val="18"/>
              </w:rPr>
              <w:t>უკმაყოფილო</w:t>
            </w:r>
            <w:r w:rsidRPr="008168A3">
              <w:rPr>
                <w:sz w:val="18"/>
              </w:rPr>
              <w:t xml:space="preserve"> </w:t>
            </w:r>
            <w:r w:rsidRPr="008168A3">
              <w:rPr>
                <w:rFonts w:ascii="Sylfaen" w:hAnsi="Sylfaen" w:cs="Sylfaen"/>
                <w:sz w:val="18"/>
              </w:rPr>
              <w:t>დარჩება</w:t>
            </w:r>
            <w:r w:rsidRPr="008168A3">
              <w:rPr>
                <w:sz w:val="18"/>
              </w:rPr>
              <w:t xml:space="preserve"> GRCE-</w:t>
            </w:r>
            <w:r w:rsidRPr="008168A3">
              <w:rPr>
                <w:rFonts w:ascii="Sylfaen" w:hAnsi="Sylfaen" w:cs="Sylfaen"/>
                <w:sz w:val="18"/>
              </w:rPr>
              <w:t>ს</w:t>
            </w:r>
            <w:r w:rsidRPr="008168A3">
              <w:rPr>
                <w:sz w:val="18"/>
              </w:rPr>
              <w:t xml:space="preserve"> </w:t>
            </w:r>
            <w:r w:rsidRPr="008168A3">
              <w:rPr>
                <w:rFonts w:ascii="Sylfaen" w:hAnsi="Sylfaen" w:cs="Sylfaen"/>
                <w:sz w:val="18"/>
              </w:rPr>
              <w:t>გადაწყვეტილებით</w:t>
            </w:r>
            <w:r w:rsidRPr="008168A3">
              <w:rPr>
                <w:sz w:val="18"/>
              </w:rPr>
              <w:t xml:space="preserve">, </w:t>
            </w:r>
            <w:r w:rsidRPr="008168A3">
              <w:rPr>
                <w:rFonts w:ascii="Sylfaen" w:hAnsi="Sylfaen" w:cs="Sylfaen"/>
                <w:sz w:val="18"/>
              </w:rPr>
              <w:t>შემდეგი</w:t>
            </w:r>
            <w:r w:rsidRPr="008168A3">
              <w:rPr>
                <w:sz w:val="18"/>
              </w:rPr>
              <w:t xml:space="preserve"> </w:t>
            </w:r>
            <w:r w:rsidRPr="008168A3">
              <w:rPr>
                <w:rFonts w:ascii="Sylfaen" w:hAnsi="Sylfaen" w:cs="Sylfaen"/>
                <w:sz w:val="18"/>
              </w:rPr>
              <w:t>ვარიანტი</w:t>
            </w:r>
            <w:r w:rsidRPr="008168A3">
              <w:rPr>
                <w:sz w:val="18"/>
              </w:rPr>
              <w:t xml:space="preserve"> </w:t>
            </w:r>
            <w:r w:rsidRPr="008168A3">
              <w:rPr>
                <w:rFonts w:ascii="Sylfaen" w:hAnsi="Sylfaen" w:cs="Sylfaen"/>
                <w:sz w:val="18"/>
              </w:rPr>
              <w:t>იქნება</w:t>
            </w:r>
            <w:r w:rsidRPr="008168A3">
              <w:rPr>
                <w:sz w:val="18"/>
              </w:rPr>
              <w:t xml:space="preserve"> </w:t>
            </w:r>
            <w:r w:rsidRPr="008168A3">
              <w:rPr>
                <w:rFonts w:ascii="Sylfaen" w:hAnsi="Sylfaen" w:cs="Sylfaen"/>
                <w:sz w:val="18"/>
              </w:rPr>
              <w:t>საჩივრის</w:t>
            </w:r>
            <w:r w:rsidRPr="008168A3">
              <w:rPr>
                <w:sz w:val="18"/>
              </w:rPr>
              <w:t xml:space="preserve"> IA/PIU-</w:t>
            </w:r>
            <w:r w:rsidRPr="008168A3">
              <w:rPr>
                <w:rFonts w:ascii="Sylfaen" w:hAnsi="Sylfaen" w:cs="Sylfaen"/>
                <w:sz w:val="18"/>
              </w:rPr>
              <w:t>ში</w:t>
            </w:r>
            <w:r w:rsidRPr="008168A3">
              <w:rPr>
                <w:sz w:val="18"/>
              </w:rPr>
              <w:t xml:space="preserve"> </w:t>
            </w:r>
            <w:r w:rsidRPr="008168A3">
              <w:rPr>
                <w:rFonts w:ascii="Sylfaen" w:hAnsi="Sylfaen" w:cs="Sylfaen"/>
                <w:sz w:val="18"/>
              </w:rPr>
              <w:t>შეტანა</w:t>
            </w:r>
            <w:r w:rsidRPr="008168A3">
              <w:rPr>
                <w:sz w:val="18"/>
              </w:rPr>
              <w:t xml:space="preserve"> </w:t>
            </w:r>
            <w:r w:rsidRPr="008168A3">
              <w:rPr>
                <w:rFonts w:ascii="Sylfaen" w:hAnsi="Sylfaen" w:cs="Sylfaen"/>
                <w:sz w:val="18"/>
              </w:rPr>
              <w:t>ეროვნულ</w:t>
            </w:r>
            <w:r w:rsidRPr="008168A3">
              <w:rPr>
                <w:sz w:val="18"/>
              </w:rPr>
              <w:t xml:space="preserve"> </w:t>
            </w:r>
            <w:r w:rsidRPr="008168A3">
              <w:rPr>
                <w:rFonts w:ascii="Sylfaen" w:hAnsi="Sylfaen" w:cs="Sylfaen"/>
                <w:sz w:val="18"/>
              </w:rPr>
              <w:t>დონეზე</w:t>
            </w:r>
            <w:r w:rsidRPr="008168A3">
              <w:rPr>
                <w:sz w:val="18"/>
              </w:rPr>
              <w:t xml:space="preserve">.GRCE </w:t>
            </w:r>
            <w:r w:rsidRPr="008168A3">
              <w:rPr>
                <w:rFonts w:ascii="Sylfaen" w:hAnsi="Sylfaen" w:cs="Sylfaen"/>
                <w:sz w:val="18"/>
              </w:rPr>
              <w:t>უნდა</w:t>
            </w:r>
            <w:r w:rsidRPr="008168A3">
              <w:rPr>
                <w:sz w:val="18"/>
              </w:rPr>
              <w:t xml:space="preserve"> </w:t>
            </w:r>
            <w:r w:rsidRPr="008168A3">
              <w:rPr>
                <w:rFonts w:ascii="Sylfaen" w:hAnsi="Sylfaen" w:cs="Sylfaen"/>
                <w:sz w:val="18"/>
              </w:rPr>
              <w:t>დაეხმაროს</w:t>
            </w:r>
            <w:r w:rsidRPr="008168A3">
              <w:rPr>
                <w:sz w:val="18"/>
              </w:rPr>
              <w:t xml:space="preserve"> </w:t>
            </w:r>
            <w:r w:rsidRPr="008168A3">
              <w:rPr>
                <w:rFonts w:ascii="Sylfaen" w:hAnsi="Sylfaen" w:cs="Sylfaen"/>
                <w:sz w:val="18"/>
              </w:rPr>
              <w:t>მომჩივანს</w:t>
            </w:r>
            <w:r w:rsidRPr="008168A3">
              <w:rPr>
                <w:sz w:val="18"/>
              </w:rPr>
              <w:t xml:space="preserve"> GRCN-</w:t>
            </w:r>
            <w:r w:rsidRPr="008168A3">
              <w:rPr>
                <w:rFonts w:ascii="Sylfaen" w:hAnsi="Sylfaen" w:cs="Sylfaen"/>
                <w:sz w:val="18"/>
              </w:rPr>
              <w:t>ში</w:t>
            </w:r>
            <w:r w:rsidRPr="008168A3">
              <w:rPr>
                <w:sz w:val="18"/>
              </w:rPr>
              <w:t xml:space="preserve"> </w:t>
            </w:r>
            <w:r w:rsidRPr="008168A3">
              <w:rPr>
                <w:rFonts w:ascii="Sylfaen" w:hAnsi="Sylfaen" w:cs="Sylfaen"/>
                <w:sz w:val="18"/>
              </w:rPr>
              <w:t>ოფიციალური</w:t>
            </w:r>
            <w:r w:rsidRPr="008168A3">
              <w:rPr>
                <w:sz w:val="18"/>
              </w:rPr>
              <w:t xml:space="preserve"> </w:t>
            </w:r>
            <w:r w:rsidRPr="008168A3">
              <w:rPr>
                <w:rFonts w:ascii="Sylfaen" w:hAnsi="Sylfaen" w:cs="Sylfaen"/>
                <w:sz w:val="18"/>
              </w:rPr>
              <w:t>საჩივრის</w:t>
            </w:r>
            <w:r w:rsidRPr="008168A3">
              <w:rPr>
                <w:sz w:val="18"/>
              </w:rPr>
              <w:t xml:space="preserve"> </w:t>
            </w:r>
            <w:r w:rsidRPr="008168A3">
              <w:rPr>
                <w:rFonts w:ascii="Sylfaen" w:hAnsi="Sylfaen" w:cs="Sylfaen"/>
                <w:sz w:val="18"/>
              </w:rPr>
              <w:t>შეტანაში</w:t>
            </w:r>
            <w:r w:rsidRPr="008168A3">
              <w:rPr>
                <w:sz w:val="18"/>
              </w:rPr>
              <w:t xml:space="preserve"> (</w:t>
            </w:r>
            <w:r w:rsidRPr="008168A3">
              <w:rPr>
                <w:rFonts w:ascii="Sylfaen" w:hAnsi="Sylfaen" w:cs="Sylfaen"/>
                <w:sz w:val="18"/>
              </w:rPr>
              <w:t>მოსარჩელე</w:t>
            </w:r>
            <w:r w:rsidRPr="008168A3">
              <w:rPr>
                <w:sz w:val="18"/>
              </w:rPr>
              <w:t xml:space="preserve"> </w:t>
            </w:r>
            <w:r w:rsidRPr="008168A3">
              <w:rPr>
                <w:rFonts w:ascii="Sylfaen" w:hAnsi="Sylfaen" w:cs="Sylfaen"/>
                <w:sz w:val="18"/>
              </w:rPr>
              <w:t>ინფორმირებული</w:t>
            </w:r>
            <w:r w:rsidRPr="008168A3">
              <w:rPr>
                <w:sz w:val="18"/>
              </w:rPr>
              <w:t xml:space="preserve"> </w:t>
            </w:r>
            <w:r w:rsidRPr="008168A3">
              <w:rPr>
                <w:rFonts w:ascii="Sylfaen" w:hAnsi="Sylfaen" w:cs="Sylfaen"/>
                <w:sz w:val="18"/>
              </w:rPr>
              <w:t>უნდა</w:t>
            </w:r>
            <w:r w:rsidRPr="008168A3">
              <w:rPr>
                <w:sz w:val="18"/>
              </w:rPr>
              <w:t xml:space="preserve"> </w:t>
            </w:r>
            <w:r w:rsidRPr="008168A3">
              <w:rPr>
                <w:rFonts w:ascii="Sylfaen" w:hAnsi="Sylfaen" w:cs="Sylfaen"/>
                <w:sz w:val="18"/>
              </w:rPr>
              <w:t>იყოს</w:t>
            </w:r>
            <w:r w:rsidRPr="008168A3">
              <w:rPr>
                <w:sz w:val="18"/>
              </w:rPr>
              <w:t xml:space="preserve"> </w:t>
            </w:r>
            <w:r w:rsidRPr="008168A3">
              <w:rPr>
                <w:rFonts w:ascii="Sylfaen" w:hAnsi="Sylfaen" w:cs="Sylfaen"/>
                <w:sz w:val="18"/>
              </w:rPr>
              <w:t>მისი</w:t>
            </w:r>
            <w:r w:rsidRPr="008168A3">
              <w:rPr>
                <w:sz w:val="18"/>
              </w:rPr>
              <w:t xml:space="preserve"> </w:t>
            </w:r>
            <w:r w:rsidRPr="008168A3">
              <w:rPr>
                <w:rFonts w:ascii="Sylfaen" w:hAnsi="Sylfaen" w:cs="Sylfaen"/>
                <w:sz w:val="18"/>
              </w:rPr>
              <w:t>უფლებებისა</w:t>
            </w:r>
            <w:r w:rsidRPr="008168A3">
              <w:rPr>
                <w:sz w:val="18"/>
              </w:rPr>
              <w:t xml:space="preserve"> </w:t>
            </w:r>
            <w:r w:rsidRPr="008168A3">
              <w:rPr>
                <w:rFonts w:ascii="Sylfaen" w:hAnsi="Sylfaen" w:cs="Sylfaen"/>
                <w:sz w:val="18"/>
              </w:rPr>
              <w:t>და</w:t>
            </w:r>
            <w:r w:rsidRPr="008168A3">
              <w:rPr>
                <w:sz w:val="18"/>
              </w:rPr>
              <w:t xml:space="preserve"> </w:t>
            </w:r>
            <w:r w:rsidRPr="008168A3">
              <w:rPr>
                <w:rFonts w:ascii="Sylfaen" w:hAnsi="Sylfaen" w:cs="Sylfaen"/>
                <w:sz w:val="18"/>
              </w:rPr>
              <w:t>მოვალეობების</w:t>
            </w:r>
            <w:r w:rsidRPr="008168A3">
              <w:rPr>
                <w:sz w:val="18"/>
              </w:rPr>
              <w:t xml:space="preserve">, </w:t>
            </w:r>
            <w:r w:rsidRPr="008168A3">
              <w:rPr>
                <w:rFonts w:ascii="Sylfaen" w:hAnsi="Sylfaen" w:cs="Sylfaen"/>
                <w:sz w:val="18"/>
              </w:rPr>
              <w:t>საჩივრის</w:t>
            </w:r>
            <w:r w:rsidRPr="008168A3">
              <w:rPr>
                <w:sz w:val="18"/>
              </w:rPr>
              <w:t xml:space="preserve"> </w:t>
            </w:r>
            <w:r w:rsidRPr="008168A3">
              <w:rPr>
                <w:rFonts w:ascii="Sylfaen" w:hAnsi="Sylfaen" w:cs="Sylfaen"/>
                <w:sz w:val="18"/>
              </w:rPr>
              <w:t>მიღების</w:t>
            </w:r>
            <w:r w:rsidRPr="008168A3">
              <w:rPr>
                <w:sz w:val="18"/>
              </w:rPr>
              <w:t xml:space="preserve"> </w:t>
            </w:r>
            <w:r w:rsidRPr="008168A3">
              <w:rPr>
                <w:rFonts w:ascii="Sylfaen" w:hAnsi="Sylfaen" w:cs="Sylfaen"/>
                <w:sz w:val="18"/>
              </w:rPr>
              <w:t>წესებისა</w:t>
            </w:r>
            <w:r w:rsidRPr="008168A3">
              <w:rPr>
                <w:sz w:val="18"/>
              </w:rPr>
              <w:t xml:space="preserve"> </w:t>
            </w:r>
            <w:r w:rsidRPr="008168A3">
              <w:rPr>
                <w:rFonts w:ascii="Sylfaen" w:hAnsi="Sylfaen" w:cs="Sylfaen"/>
                <w:sz w:val="18"/>
              </w:rPr>
              <w:t>და</w:t>
            </w:r>
            <w:r w:rsidRPr="008168A3">
              <w:rPr>
                <w:sz w:val="18"/>
              </w:rPr>
              <w:t xml:space="preserve"> </w:t>
            </w:r>
            <w:r w:rsidRPr="008168A3">
              <w:rPr>
                <w:rFonts w:ascii="Sylfaen" w:hAnsi="Sylfaen" w:cs="Sylfaen"/>
                <w:sz w:val="18"/>
              </w:rPr>
              <w:t>პროცედურების</w:t>
            </w:r>
            <w:r w:rsidRPr="008168A3">
              <w:rPr>
                <w:sz w:val="18"/>
              </w:rPr>
              <w:t xml:space="preserve">, </w:t>
            </w:r>
            <w:r w:rsidRPr="008168A3">
              <w:rPr>
                <w:rFonts w:ascii="Sylfaen" w:hAnsi="Sylfaen" w:cs="Sylfaen"/>
                <w:sz w:val="18"/>
              </w:rPr>
              <w:t>საჩივრის</w:t>
            </w:r>
            <w:r w:rsidRPr="008168A3">
              <w:rPr>
                <w:sz w:val="18"/>
              </w:rPr>
              <w:t xml:space="preserve"> </w:t>
            </w:r>
            <w:r w:rsidRPr="008168A3">
              <w:rPr>
                <w:rFonts w:ascii="Sylfaen" w:hAnsi="Sylfaen" w:cs="Sylfaen"/>
                <w:sz w:val="18"/>
              </w:rPr>
              <w:t>ფორმატის</w:t>
            </w:r>
            <w:r w:rsidRPr="008168A3">
              <w:rPr>
                <w:sz w:val="18"/>
              </w:rPr>
              <w:t xml:space="preserve">, </w:t>
            </w:r>
            <w:r w:rsidRPr="008168A3">
              <w:rPr>
                <w:rFonts w:ascii="Sylfaen" w:hAnsi="Sylfaen" w:cs="Sylfaen"/>
                <w:sz w:val="18"/>
              </w:rPr>
              <w:t>საჩივრის</w:t>
            </w:r>
            <w:r w:rsidRPr="008168A3">
              <w:rPr>
                <w:sz w:val="18"/>
              </w:rPr>
              <w:t xml:space="preserve"> </w:t>
            </w:r>
            <w:r w:rsidRPr="008168A3">
              <w:rPr>
                <w:rFonts w:ascii="Sylfaen" w:hAnsi="Sylfaen" w:cs="Sylfaen"/>
                <w:sz w:val="18"/>
              </w:rPr>
              <w:t>წარდგენის</w:t>
            </w:r>
            <w:r w:rsidRPr="008168A3">
              <w:rPr>
                <w:sz w:val="18"/>
              </w:rPr>
              <w:t xml:space="preserve"> </w:t>
            </w:r>
            <w:r w:rsidRPr="008168A3">
              <w:rPr>
                <w:rFonts w:ascii="Sylfaen" w:hAnsi="Sylfaen" w:cs="Sylfaen"/>
                <w:sz w:val="18"/>
              </w:rPr>
              <w:t>პირობების</w:t>
            </w:r>
            <w:r w:rsidRPr="008168A3">
              <w:rPr>
                <w:sz w:val="18"/>
              </w:rPr>
              <w:t xml:space="preserve">, </w:t>
            </w:r>
            <w:r w:rsidRPr="008168A3">
              <w:rPr>
                <w:rFonts w:ascii="Sylfaen" w:hAnsi="Sylfaen" w:cs="Sylfaen"/>
                <w:sz w:val="18"/>
              </w:rPr>
              <w:t>და</w:t>
            </w:r>
            <w:r w:rsidRPr="008168A3">
              <w:rPr>
                <w:sz w:val="18"/>
              </w:rPr>
              <w:t xml:space="preserve"> </w:t>
            </w:r>
            <w:r w:rsidRPr="008168A3">
              <w:rPr>
                <w:rFonts w:ascii="Sylfaen" w:hAnsi="Sylfaen" w:cs="Sylfaen"/>
                <w:sz w:val="18"/>
              </w:rPr>
              <w:t>ა</w:t>
            </w:r>
            <w:r w:rsidRPr="008168A3">
              <w:rPr>
                <w:sz w:val="18"/>
              </w:rPr>
              <w:t>.</w:t>
            </w:r>
            <w:r w:rsidRPr="008168A3">
              <w:rPr>
                <w:rFonts w:ascii="Sylfaen" w:hAnsi="Sylfaen" w:cs="Sylfaen"/>
                <w:sz w:val="18"/>
              </w:rPr>
              <w:t>შ</w:t>
            </w:r>
            <w:r w:rsidRPr="008168A3">
              <w:rPr>
                <w:sz w:val="18"/>
              </w:rPr>
              <w:t xml:space="preserve">. </w:t>
            </w:r>
            <w:r w:rsidRPr="008168A3">
              <w:rPr>
                <w:rFonts w:ascii="Sylfaen" w:hAnsi="Sylfaen" w:cs="Sylfaen"/>
                <w:sz w:val="18"/>
              </w:rPr>
              <w:t>შესახებ</w:t>
            </w:r>
            <w:r w:rsidRPr="008168A3">
              <w:rPr>
                <w:sz w:val="18"/>
              </w:rPr>
              <w:t>).</w:t>
            </w:r>
            <w:r w:rsidRPr="008168A3">
              <w:rPr>
                <w:rFonts w:ascii="Sylfaen" w:hAnsi="Sylfaen" w:cs="Sylfaen"/>
                <w:sz w:val="18"/>
              </w:rPr>
              <w:t>დაზარალებულმა</w:t>
            </w:r>
            <w:r w:rsidRPr="008168A3">
              <w:rPr>
                <w:sz w:val="18"/>
              </w:rPr>
              <w:t xml:space="preserve"> </w:t>
            </w:r>
            <w:r w:rsidRPr="008168A3">
              <w:rPr>
                <w:rFonts w:ascii="Sylfaen" w:hAnsi="Sylfaen" w:cs="Sylfaen"/>
                <w:sz w:val="18"/>
              </w:rPr>
              <w:t>უნდა</w:t>
            </w:r>
            <w:r w:rsidRPr="008168A3">
              <w:rPr>
                <w:sz w:val="18"/>
              </w:rPr>
              <w:t xml:space="preserve"> </w:t>
            </w:r>
            <w:r w:rsidRPr="008168A3">
              <w:rPr>
                <w:rFonts w:ascii="Sylfaen" w:hAnsi="Sylfaen" w:cs="Sylfaen"/>
                <w:sz w:val="18"/>
              </w:rPr>
              <w:t>წარმოადგინოს</w:t>
            </w:r>
            <w:r w:rsidRPr="008168A3">
              <w:rPr>
                <w:sz w:val="18"/>
              </w:rPr>
              <w:t xml:space="preserve"> </w:t>
            </w:r>
            <w:r w:rsidRPr="008168A3">
              <w:rPr>
                <w:rFonts w:ascii="Sylfaen" w:hAnsi="Sylfaen" w:cs="Sylfaen"/>
                <w:sz w:val="18"/>
              </w:rPr>
              <w:t>თავისი</w:t>
            </w:r>
            <w:r w:rsidRPr="008168A3">
              <w:rPr>
                <w:sz w:val="18"/>
              </w:rPr>
              <w:t xml:space="preserve"> </w:t>
            </w:r>
            <w:r w:rsidRPr="008168A3">
              <w:rPr>
                <w:rFonts w:ascii="Sylfaen" w:hAnsi="Sylfaen" w:cs="Sylfaen"/>
                <w:sz w:val="18"/>
              </w:rPr>
              <w:t>მოთხოვნები</w:t>
            </w:r>
            <w:r w:rsidRPr="008168A3">
              <w:rPr>
                <w:sz w:val="18"/>
              </w:rPr>
              <w:t xml:space="preserve">, </w:t>
            </w:r>
            <w:r w:rsidRPr="008168A3">
              <w:rPr>
                <w:rFonts w:ascii="Sylfaen" w:hAnsi="Sylfaen" w:cs="Sylfaen"/>
                <w:sz w:val="18"/>
              </w:rPr>
              <w:t>რომლებიც</w:t>
            </w:r>
            <w:r w:rsidRPr="008168A3">
              <w:rPr>
                <w:sz w:val="18"/>
              </w:rPr>
              <w:t xml:space="preserve"> </w:t>
            </w:r>
            <w:r w:rsidRPr="008168A3">
              <w:rPr>
                <w:rFonts w:ascii="Sylfaen" w:hAnsi="Sylfaen" w:cs="Sylfaen"/>
                <w:sz w:val="18"/>
              </w:rPr>
              <w:t>შეესაბამება</w:t>
            </w:r>
            <w:r w:rsidRPr="008168A3">
              <w:rPr>
                <w:sz w:val="18"/>
              </w:rPr>
              <w:t xml:space="preserve"> </w:t>
            </w:r>
            <w:r w:rsidRPr="008168A3">
              <w:rPr>
                <w:rFonts w:ascii="Sylfaen" w:hAnsi="Sylfaen" w:cs="Sylfaen"/>
                <w:sz w:val="18"/>
              </w:rPr>
              <w:t>სამართლებრივ</w:t>
            </w:r>
            <w:r w:rsidRPr="008168A3">
              <w:rPr>
                <w:sz w:val="18"/>
              </w:rPr>
              <w:t xml:space="preserve"> </w:t>
            </w:r>
            <w:r w:rsidRPr="008168A3">
              <w:rPr>
                <w:rFonts w:ascii="Sylfaen" w:hAnsi="Sylfaen" w:cs="Sylfaen"/>
                <w:sz w:val="18"/>
              </w:rPr>
              <w:t>მოთხოვნებს</w:t>
            </w:r>
            <w:r w:rsidRPr="008168A3">
              <w:rPr>
                <w:sz w:val="18"/>
              </w:rPr>
              <w:t xml:space="preserve"> (</w:t>
            </w:r>
            <w:r w:rsidRPr="008168A3">
              <w:rPr>
                <w:rFonts w:ascii="Sylfaen" w:hAnsi="Sylfaen" w:cs="Sylfaen"/>
                <w:sz w:val="18"/>
              </w:rPr>
              <w:t>საქართველოს</w:t>
            </w:r>
            <w:r w:rsidRPr="008168A3">
              <w:rPr>
                <w:sz w:val="18"/>
              </w:rPr>
              <w:t xml:space="preserve"> </w:t>
            </w:r>
            <w:r w:rsidRPr="008168A3">
              <w:rPr>
                <w:rFonts w:ascii="Sylfaen" w:hAnsi="Sylfaen" w:cs="Sylfaen"/>
                <w:sz w:val="18"/>
              </w:rPr>
              <w:t>ადმინისტრაციული</w:t>
            </w:r>
            <w:r w:rsidRPr="008168A3">
              <w:rPr>
                <w:sz w:val="18"/>
              </w:rPr>
              <w:t xml:space="preserve"> </w:t>
            </w:r>
            <w:r w:rsidRPr="008168A3">
              <w:rPr>
                <w:rFonts w:ascii="Sylfaen" w:hAnsi="Sylfaen" w:cs="Sylfaen"/>
                <w:sz w:val="18"/>
              </w:rPr>
              <w:t>კოდექსი</w:t>
            </w:r>
            <w:r w:rsidRPr="008168A3">
              <w:rPr>
                <w:sz w:val="18"/>
              </w:rPr>
              <w:t>).</w:t>
            </w:r>
          </w:p>
          <w:p w14:paraId="625AB4DC" w14:textId="77777777" w:rsidR="00CE1A11" w:rsidRPr="008168A3" w:rsidRDefault="00CE1A11" w:rsidP="00CE1A11">
            <w:pPr>
              <w:rPr>
                <w:sz w:val="18"/>
                <w:lang w:val="ka-GE"/>
              </w:rPr>
            </w:pPr>
            <w:r w:rsidRPr="008168A3">
              <w:rPr>
                <w:sz w:val="18"/>
                <w:lang w:val="ka-GE"/>
              </w:rPr>
              <w:t>IA-</w:t>
            </w:r>
            <w:r w:rsidRPr="008168A3">
              <w:rPr>
                <w:rFonts w:ascii="Sylfaen" w:hAnsi="Sylfaen" w:cs="Sylfaen"/>
                <w:sz w:val="18"/>
                <w:lang w:val="ka-GE"/>
              </w:rPr>
              <w:t>ს</w:t>
            </w:r>
            <w:r w:rsidRPr="008168A3">
              <w:rPr>
                <w:sz w:val="18"/>
                <w:lang w:val="ka-GE"/>
              </w:rPr>
              <w:t xml:space="preserve"> GRCN </w:t>
            </w:r>
            <w:r w:rsidRPr="008168A3">
              <w:rPr>
                <w:rFonts w:ascii="Sylfaen" w:hAnsi="Sylfaen" w:cs="Sylfaen"/>
                <w:sz w:val="18"/>
                <w:lang w:val="ka-GE"/>
              </w:rPr>
              <w:t>განიხილავს</w:t>
            </w:r>
            <w:r w:rsidRPr="008168A3">
              <w:rPr>
                <w:sz w:val="18"/>
                <w:lang w:val="ka-GE"/>
              </w:rPr>
              <w:t xml:space="preserve"> </w:t>
            </w:r>
            <w:r w:rsidRPr="008168A3">
              <w:rPr>
                <w:rFonts w:ascii="Sylfaen" w:hAnsi="Sylfaen" w:cs="Sylfaen"/>
                <w:sz w:val="18"/>
                <w:lang w:val="ka-GE"/>
              </w:rPr>
              <w:t>საჩივარს</w:t>
            </w:r>
            <w:r w:rsidRPr="008168A3">
              <w:rPr>
                <w:sz w:val="18"/>
                <w:lang w:val="ka-GE"/>
              </w:rPr>
              <w:t xml:space="preserve"> </w:t>
            </w:r>
            <w:r w:rsidRPr="008168A3">
              <w:rPr>
                <w:rFonts w:ascii="Sylfaen" w:hAnsi="Sylfaen" w:cs="Sylfaen"/>
                <w:sz w:val="18"/>
                <w:lang w:val="ka-GE"/>
              </w:rPr>
              <w:t>საქართველოს</w:t>
            </w:r>
            <w:r w:rsidRPr="008168A3">
              <w:rPr>
                <w:sz w:val="18"/>
                <w:lang w:val="ka-GE"/>
              </w:rPr>
              <w:t xml:space="preserve"> </w:t>
            </w:r>
            <w:r w:rsidRPr="008168A3">
              <w:rPr>
                <w:rFonts w:ascii="Sylfaen" w:hAnsi="Sylfaen" w:cs="Sylfaen"/>
                <w:sz w:val="18"/>
                <w:lang w:val="ka-GE"/>
              </w:rPr>
              <w:t>ადმინისტრაციულ</w:t>
            </w:r>
            <w:r w:rsidRPr="008168A3">
              <w:rPr>
                <w:sz w:val="18"/>
                <w:lang w:val="ka-GE"/>
              </w:rPr>
              <w:t xml:space="preserve"> </w:t>
            </w:r>
            <w:r w:rsidRPr="008168A3">
              <w:rPr>
                <w:rFonts w:ascii="Sylfaen" w:hAnsi="Sylfaen" w:cs="Sylfaen"/>
                <w:sz w:val="18"/>
                <w:lang w:val="ka-GE"/>
              </w:rPr>
              <w:t>სამართალდარღვევათა</w:t>
            </w:r>
            <w:r w:rsidRPr="008168A3">
              <w:rPr>
                <w:sz w:val="18"/>
                <w:lang w:val="ka-GE"/>
              </w:rPr>
              <w:t xml:space="preserve"> </w:t>
            </w:r>
            <w:r w:rsidRPr="008168A3">
              <w:rPr>
                <w:rFonts w:ascii="Sylfaen" w:hAnsi="Sylfaen" w:cs="Sylfaen"/>
                <w:sz w:val="18"/>
                <w:lang w:val="ka-GE"/>
              </w:rPr>
              <w:t>კოდექსში</w:t>
            </w:r>
            <w:r w:rsidRPr="008168A3">
              <w:rPr>
                <w:sz w:val="18"/>
                <w:lang w:val="ka-GE"/>
              </w:rPr>
              <w:t xml:space="preserve"> </w:t>
            </w:r>
            <w:r w:rsidRPr="008168A3">
              <w:rPr>
                <w:rFonts w:ascii="Sylfaen" w:hAnsi="Sylfaen" w:cs="Sylfaen"/>
                <w:sz w:val="18"/>
                <w:lang w:val="ka-GE"/>
              </w:rPr>
              <w:t>მითითებული</w:t>
            </w:r>
            <w:r w:rsidRPr="008168A3">
              <w:rPr>
                <w:sz w:val="18"/>
                <w:lang w:val="ka-GE"/>
              </w:rPr>
              <w:t xml:space="preserve"> </w:t>
            </w:r>
            <w:r w:rsidRPr="008168A3">
              <w:rPr>
                <w:rFonts w:ascii="Sylfaen" w:hAnsi="Sylfaen" w:cs="Sylfaen"/>
                <w:sz w:val="18"/>
                <w:lang w:val="ka-GE"/>
              </w:rPr>
              <w:t>პროცედურების</w:t>
            </w:r>
            <w:r w:rsidRPr="008168A3">
              <w:rPr>
                <w:sz w:val="18"/>
                <w:lang w:val="ka-GE"/>
              </w:rPr>
              <w:t xml:space="preserve"> </w:t>
            </w:r>
            <w:r w:rsidRPr="008168A3">
              <w:rPr>
                <w:rFonts w:ascii="Sylfaen" w:hAnsi="Sylfaen" w:cs="Sylfaen"/>
                <w:sz w:val="18"/>
                <w:lang w:val="ka-GE"/>
              </w:rPr>
              <w:t>დაცვით</w:t>
            </w:r>
            <w:r w:rsidRPr="008168A3">
              <w:rPr>
                <w:sz w:val="18"/>
                <w:lang w:val="ka-GE"/>
              </w:rPr>
              <w:t>.</w:t>
            </w:r>
          </w:p>
          <w:p w14:paraId="4CD93D2E" w14:textId="77777777" w:rsidR="00CE1A11" w:rsidRPr="008168A3" w:rsidRDefault="00CE1A11" w:rsidP="00CE1A11">
            <w:pPr>
              <w:rPr>
                <w:sz w:val="18"/>
                <w:lang w:val="ka-GE"/>
              </w:rPr>
            </w:pPr>
            <w:r w:rsidRPr="008168A3">
              <w:rPr>
                <w:rFonts w:ascii="Sylfaen" w:hAnsi="Sylfaen" w:cs="Sylfaen"/>
                <w:sz w:val="18"/>
                <w:lang w:val="ka-GE"/>
              </w:rPr>
              <w:t>საჭიროების</w:t>
            </w:r>
            <w:r w:rsidRPr="008168A3">
              <w:rPr>
                <w:sz w:val="18"/>
                <w:lang w:val="ka-GE"/>
              </w:rPr>
              <w:t xml:space="preserve"> </w:t>
            </w:r>
            <w:r w:rsidRPr="008168A3">
              <w:rPr>
                <w:rFonts w:ascii="Sylfaen" w:hAnsi="Sylfaen" w:cs="Sylfaen"/>
                <w:sz w:val="18"/>
                <w:lang w:val="ka-GE"/>
              </w:rPr>
              <w:t>შემთხვევაში</w:t>
            </w:r>
            <w:r w:rsidRPr="008168A3">
              <w:rPr>
                <w:sz w:val="18"/>
                <w:lang w:val="ka-GE"/>
              </w:rPr>
              <w:t>, GRCN-</w:t>
            </w:r>
            <w:r w:rsidRPr="008168A3">
              <w:rPr>
                <w:rFonts w:ascii="Sylfaen" w:hAnsi="Sylfaen" w:cs="Sylfaen"/>
                <w:sz w:val="18"/>
                <w:lang w:val="ka-GE"/>
              </w:rPr>
              <w:t>ის</w:t>
            </w:r>
            <w:r w:rsidRPr="008168A3">
              <w:rPr>
                <w:sz w:val="18"/>
                <w:lang w:val="ka-GE"/>
              </w:rPr>
              <w:t xml:space="preserve"> </w:t>
            </w:r>
            <w:r w:rsidRPr="008168A3">
              <w:rPr>
                <w:rFonts w:ascii="Sylfaen" w:hAnsi="Sylfaen" w:cs="Sylfaen"/>
                <w:sz w:val="18"/>
                <w:lang w:val="ka-GE"/>
              </w:rPr>
              <w:t>წევრი</w:t>
            </w:r>
            <w:r w:rsidRPr="008168A3">
              <w:rPr>
                <w:sz w:val="18"/>
                <w:lang w:val="ka-GE"/>
              </w:rPr>
              <w:t xml:space="preserve"> </w:t>
            </w:r>
            <w:r w:rsidRPr="008168A3">
              <w:rPr>
                <w:rFonts w:ascii="Sylfaen" w:hAnsi="Sylfaen" w:cs="Sylfaen"/>
                <w:sz w:val="18"/>
                <w:lang w:val="ka-GE"/>
              </w:rPr>
              <w:t>მდივნის</w:t>
            </w:r>
            <w:r w:rsidRPr="008168A3">
              <w:rPr>
                <w:sz w:val="18"/>
                <w:lang w:val="ka-GE"/>
              </w:rPr>
              <w:t xml:space="preserve"> </w:t>
            </w:r>
            <w:r w:rsidRPr="008168A3">
              <w:rPr>
                <w:rFonts w:ascii="Sylfaen" w:hAnsi="Sylfaen" w:cs="Sylfaen"/>
                <w:sz w:val="18"/>
                <w:lang w:val="ka-GE"/>
              </w:rPr>
              <w:t>მიერ</w:t>
            </w:r>
            <w:r w:rsidRPr="008168A3">
              <w:rPr>
                <w:sz w:val="18"/>
                <w:lang w:val="ka-GE"/>
              </w:rPr>
              <w:t xml:space="preserve"> </w:t>
            </w:r>
            <w:r w:rsidRPr="008168A3">
              <w:rPr>
                <w:rFonts w:ascii="Sylfaen" w:hAnsi="Sylfaen" w:cs="Sylfaen"/>
                <w:sz w:val="18"/>
                <w:lang w:val="ka-GE"/>
              </w:rPr>
              <w:t>დადგენილ</w:t>
            </w:r>
            <w:r w:rsidRPr="008168A3">
              <w:rPr>
                <w:sz w:val="18"/>
                <w:lang w:val="ka-GE"/>
              </w:rPr>
              <w:t xml:space="preserve"> </w:t>
            </w:r>
            <w:r w:rsidRPr="008168A3">
              <w:rPr>
                <w:rFonts w:ascii="Sylfaen" w:hAnsi="Sylfaen" w:cs="Sylfaen"/>
                <w:sz w:val="18"/>
                <w:lang w:val="ka-GE"/>
              </w:rPr>
              <w:t>ვადაში</w:t>
            </w:r>
            <w:r w:rsidRPr="008168A3">
              <w:rPr>
                <w:sz w:val="18"/>
                <w:lang w:val="ka-GE"/>
              </w:rPr>
              <w:t xml:space="preserve"> </w:t>
            </w:r>
            <w:r w:rsidRPr="008168A3">
              <w:rPr>
                <w:rFonts w:ascii="Sylfaen" w:hAnsi="Sylfaen" w:cs="Sylfaen"/>
                <w:sz w:val="18"/>
                <w:lang w:val="ka-GE"/>
              </w:rPr>
              <w:t>გაიმართება</w:t>
            </w:r>
            <w:r w:rsidRPr="008168A3">
              <w:rPr>
                <w:sz w:val="18"/>
                <w:lang w:val="ka-GE"/>
              </w:rPr>
              <w:t xml:space="preserve"> </w:t>
            </w:r>
            <w:r w:rsidRPr="008168A3">
              <w:rPr>
                <w:rFonts w:ascii="Sylfaen" w:hAnsi="Sylfaen" w:cs="Sylfaen"/>
                <w:sz w:val="18"/>
                <w:lang w:val="ka-GE"/>
              </w:rPr>
              <w:t>ოფიციალური</w:t>
            </w:r>
            <w:r w:rsidRPr="008168A3">
              <w:rPr>
                <w:sz w:val="18"/>
                <w:lang w:val="ka-GE"/>
              </w:rPr>
              <w:t xml:space="preserve"> </w:t>
            </w:r>
            <w:r w:rsidRPr="008168A3">
              <w:rPr>
                <w:rFonts w:ascii="Sylfaen" w:hAnsi="Sylfaen" w:cs="Sylfaen"/>
                <w:sz w:val="18"/>
                <w:lang w:val="ka-GE"/>
              </w:rPr>
              <w:t>მოსმენა</w:t>
            </w:r>
            <w:r w:rsidRPr="008168A3">
              <w:rPr>
                <w:sz w:val="18"/>
                <w:lang w:val="ka-GE"/>
              </w:rPr>
              <w:t>.</w:t>
            </w:r>
            <w:r w:rsidRPr="008168A3">
              <w:rPr>
                <w:rFonts w:ascii="Sylfaen" w:hAnsi="Sylfaen" w:cs="Sylfaen"/>
                <w:sz w:val="18"/>
                <w:lang w:val="ka-GE"/>
              </w:rPr>
              <w:t>მოსმენის</w:t>
            </w:r>
            <w:r w:rsidRPr="008168A3">
              <w:rPr>
                <w:sz w:val="18"/>
                <w:lang w:val="ka-GE"/>
              </w:rPr>
              <w:t xml:space="preserve"> </w:t>
            </w:r>
            <w:r w:rsidRPr="008168A3">
              <w:rPr>
                <w:rFonts w:ascii="Sylfaen" w:hAnsi="Sylfaen" w:cs="Sylfaen"/>
                <w:sz w:val="18"/>
                <w:lang w:val="ka-GE"/>
              </w:rPr>
              <w:t>დღეს</w:t>
            </w:r>
            <w:r w:rsidRPr="008168A3">
              <w:rPr>
                <w:sz w:val="18"/>
                <w:lang w:val="ka-GE"/>
              </w:rPr>
              <w:t xml:space="preserve">, </w:t>
            </w:r>
            <w:r w:rsidRPr="008168A3">
              <w:rPr>
                <w:rFonts w:ascii="Sylfaen" w:hAnsi="Sylfaen" w:cs="Sylfaen"/>
                <w:sz w:val="18"/>
                <w:lang w:val="ka-GE"/>
              </w:rPr>
              <w:t>დაზარალებული</w:t>
            </w:r>
            <w:r w:rsidRPr="008168A3">
              <w:rPr>
                <w:sz w:val="18"/>
                <w:lang w:val="ka-GE"/>
              </w:rPr>
              <w:t xml:space="preserve"> AP </w:t>
            </w:r>
            <w:r w:rsidRPr="008168A3">
              <w:rPr>
                <w:rFonts w:ascii="Sylfaen" w:hAnsi="Sylfaen" w:cs="Sylfaen"/>
                <w:sz w:val="18"/>
                <w:lang w:val="ka-GE"/>
              </w:rPr>
              <w:t>წარსდგება</w:t>
            </w:r>
            <w:r w:rsidRPr="008168A3">
              <w:rPr>
                <w:sz w:val="18"/>
                <w:lang w:val="ka-GE"/>
              </w:rPr>
              <w:t xml:space="preserve"> GRCN- </w:t>
            </w:r>
            <w:r w:rsidRPr="008168A3">
              <w:rPr>
                <w:rFonts w:ascii="Sylfaen" w:hAnsi="Sylfaen" w:cs="Sylfaen"/>
                <w:sz w:val="18"/>
                <w:lang w:val="ka-GE"/>
              </w:rPr>
              <w:t>ს</w:t>
            </w:r>
            <w:r w:rsidRPr="008168A3">
              <w:rPr>
                <w:sz w:val="18"/>
                <w:lang w:val="ka-GE"/>
              </w:rPr>
              <w:t xml:space="preserve"> </w:t>
            </w:r>
            <w:r w:rsidRPr="008168A3">
              <w:rPr>
                <w:rFonts w:ascii="Sylfaen" w:hAnsi="Sylfaen" w:cs="Sylfaen"/>
                <w:sz w:val="18"/>
                <w:lang w:val="ka-GE"/>
              </w:rPr>
              <w:t>წინაშე</w:t>
            </w:r>
            <w:r w:rsidRPr="008168A3">
              <w:rPr>
                <w:sz w:val="18"/>
                <w:lang w:val="ka-GE"/>
              </w:rPr>
              <w:t xml:space="preserve"> IA-</w:t>
            </w:r>
            <w:r w:rsidRPr="008168A3">
              <w:rPr>
                <w:rFonts w:ascii="Sylfaen" w:hAnsi="Sylfaen" w:cs="Sylfaen"/>
                <w:sz w:val="18"/>
                <w:lang w:val="ka-GE"/>
              </w:rPr>
              <w:t>ს</w:t>
            </w:r>
            <w:r w:rsidRPr="008168A3">
              <w:rPr>
                <w:sz w:val="18"/>
                <w:lang w:val="ka-GE"/>
              </w:rPr>
              <w:t xml:space="preserve"> </w:t>
            </w:r>
            <w:r w:rsidRPr="008168A3">
              <w:rPr>
                <w:rFonts w:ascii="Sylfaen" w:hAnsi="Sylfaen" w:cs="Sylfaen"/>
                <w:sz w:val="18"/>
                <w:lang w:val="ka-GE"/>
              </w:rPr>
              <w:t>ოფისში</w:t>
            </w:r>
            <w:r w:rsidRPr="008168A3">
              <w:rPr>
                <w:sz w:val="18"/>
                <w:lang w:val="ka-GE"/>
              </w:rPr>
              <w:t xml:space="preserve"> </w:t>
            </w:r>
            <w:r w:rsidRPr="008168A3">
              <w:rPr>
                <w:rFonts w:ascii="Sylfaen" w:hAnsi="Sylfaen" w:cs="Sylfaen"/>
                <w:sz w:val="18"/>
                <w:lang w:val="ka-GE"/>
              </w:rPr>
              <w:t>საჩივრის</w:t>
            </w:r>
            <w:r w:rsidRPr="008168A3">
              <w:rPr>
                <w:sz w:val="18"/>
                <w:lang w:val="ka-GE"/>
              </w:rPr>
              <w:t xml:space="preserve"> </w:t>
            </w:r>
            <w:r w:rsidRPr="008168A3">
              <w:rPr>
                <w:rFonts w:ascii="Sylfaen" w:hAnsi="Sylfaen" w:cs="Sylfaen"/>
                <w:sz w:val="18"/>
                <w:lang w:val="ka-GE"/>
              </w:rPr>
              <w:t>განხილვის</w:t>
            </w:r>
            <w:r w:rsidRPr="008168A3">
              <w:rPr>
                <w:sz w:val="18"/>
                <w:lang w:val="ka-GE"/>
              </w:rPr>
              <w:t xml:space="preserve"> </w:t>
            </w:r>
            <w:r w:rsidRPr="008168A3">
              <w:rPr>
                <w:rFonts w:ascii="Sylfaen" w:hAnsi="Sylfaen" w:cs="Sylfaen"/>
                <w:sz w:val="18"/>
                <w:lang w:val="ka-GE"/>
              </w:rPr>
              <w:t>მიზნით</w:t>
            </w:r>
            <w:r w:rsidRPr="008168A3">
              <w:rPr>
                <w:sz w:val="18"/>
                <w:lang w:val="ka-GE"/>
              </w:rPr>
              <w:t>.</w:t>
            </w:r>
            <w:r w:rsidRPr="008168A3">
              <w:rPr>
                <w:rFonts w:ascii="Sylfaen" w:hAnsi="Sylfaen" w:cs="Sylfaen"/>
                <w:sz w:val="18"/>
                <w:lang w:val="ka-GE"/>
              </w:rPr>
              <w:t>საკონტაქტო</w:t>
            </w:r>
            <w:r w:rsidRPr="008168A3">
              <w:rPr>
                <w:sz w:val="18"/>
                <w:lang w:val="ka-GE"/>
              </w:rPr>
              <w:t xml:space="preserve"> </w:t>
            </w:r>
            <w:r w:rsidRPr="008168A3">
              <w:rPr>
                <w:rFonts w:ascii="Sylfaen" w:hAnsi="Sylfaen" w:cs="Sylfaen"/>
                <w:sz w:val="18"/>
                <w:lang w:val="ka-GE"/>
              </w:rPr>
              <w:t>პირი</w:t>
            </w:r>
            <w:r w:rsidRPr="008168A3">
              <w:rPr>
                <w:sz w:val="18"/>
                <w:lang w:val="ka-GE"/>
              </w:rPr>
              <w:t xml:space="preserve"> </w:t>
            </w:r>
            <w:r w:rsidRPr="008168A3">
              <w:rPr>
                <w:rFonts w:ascii="Sylfaen" w:hAnsi="Sylfaen" w:cs="Sylfaen"/>
                <w:sz w:val="18"/>
                <w:lang w:val="ka-GE"/>
              </w:rPr>
              <w:t>ჩაიწერს</w:t>
            </w:r>
            <w:r w:rsidRPr="008168A3">
              <w:rPr>
                <w:sz w:val="18"/>
                <w:lang w:val="ka-GE"/>
              </w:rPr>
              <w:t xml:space="preserve"> </w:t>
            </w:r>
            <w:r w:rsidRPr="008168A3">
              <w:rPr>
                <w:rFonts w:ascii="Sylfaen" w:hAnsi="Sylfaen" w:cs="Sylfaen"/>
                <w:sz w:val="18"/>
                <w:lang w:val="ka-GE"/>
              </w:rPr>
              <w:t>მომჩივნის</w:t>
            </w:r>
            <w:r w:rsidRPr="008168A3">
              <w:rPr>
                <w:sz w:val="18"/>
                <w:lang w:val="ka-GE"/>
              </w:rPr>
              <w:t xml:space="preserve"> </w:t>
            </w:r>
            <w:r w:rsidRPr="008168A3">
              <w:rPr>
                <w:rFonts w:ascii="Sylfaen" w:hAnsi="Sylfaen" w:cs="Sylfaen"/>
                <w:sz w:val="18"/>
                <w:lang w:val="ka-GE"/>
              </w:rPr>
              <w:t>განცხადებებს</w:t>
            </w:r>
            <w:r w:rsidRPr="008168A3">
              <w:rPr>
                <w:sz w:val="18"/>
                <w:lang w:val="ka-GE"/>
              </w:rPr>
              <w:t xml:space="preserve"> </w:t>
            </w:r>
            <w:r w:rsidRPr="008168A3">
              <w:rPr>
                <w:rFonts w:ascii="Sylfaen" w:hAnsi="Sylfaen" w:cs="Sylfaen"/>
                <w:sz w:val="18"/>
                <w:lang w:val="ka-GE"/>
              </w:rPr>
              <w:t>და</w:t>
            </w:r>
            <w:r w:rsidRPr="008168A3">
              <w:rPr>
                <w:sz w:val="18"/>
                <w:lang w:val="ka-GE"/>
              </w:rPr>
              <w:t xml:space="preserve"> </w:t>
            </w:r>
            <w:r w:rsidRPr="008168A3">
              <w:rPr>
                <w:rFonts w:ascii="Sylfaen" w:hAnsi="Sylfaen" w:cs="Sylfaen"/>
                <w:sz w:val="18"/>
                <w:lang w:val="ka-GE"/>
              </w:rPr>
              <w:t>დაარეგისტრირებს</w:t>
            </w:r>
            <w:r w:rsidRPr="008168A3">
              <w:rPr>
                <w:sz w:val="18"/>
                <w:lang w:val="ka-GE"/>
              </w:rPr>
              <w:t xml:space="preserve"> </w:t>
            </w:r>
            <w:r w:rsidRPr="008168A3">
              <w:rPr>
                <w:rFonts w:ascii="Sylfaen" w:hAnsi="Sylfaen" w:cs="Sylfaen"/>
                <w:sz w:val="18"/>
                <w:lang w:val="ka-GE"/>
              </w:rPr>
              <w:t>საჩივრის</w:t>
            </w:r>
            <w:r w:rsidRPr="008168A3">
              <w:rPr>
                <w:sz w:val="18"/>
                <w:lang w:val="ka-GE"/>
              </w:rPr>
              <w:t xml:space="preserve"> </w:t>
            </w:r>
            <w:r w:rsidRPr="008168A3">
              <w:rPr>
                <w:rFonts w:ascii="Sylfaen" w:hAnsi="Sylfaen" w:cs="Sylfaen"/>
                <w:sz w:val="18"/>
                <w:lang w:val="ka-GE"/>
              </w:rPr>
              <w:t>ყველა</w:t>
            </w:r>
            <w:r w:rsidRPr="008168A3">
              <w:rPr>
                <w:sz w:val="18"/>
                <w:lang w:val="ka-GE"/>
              </w:rPr>
              <w:t xml:space="preserve"> </w:t>
            </w:r>
            <w:r w:rsidRPr="008168A3">
              <w:rPr>
                <w:rFonts w:ascii="Sylfaen" w:hAnsi="Sylfaen" w:cs="Sylfaen"/>
                <w:sz w:val="18"/>
                <w:lang w:val="ka-GE"/>
              </w:rPr>
              <w:t>დეტალს</w:t>
            </w:r>
            <w:r w:rsidRPr="008168A3">
              <w:rPr>
                <w:sz w:val="18"/>
                <w:lang w:val="ka-GE"/>
              </w:rPr>
              <w:t>.</w:t>
            </w:r>
          </w:p>
          <w:p w14:paraId="450CDEB5" w14:textId="77777777" w:rsidR="00CE1A11" w:rsidRPr="008168A3" w:rsidRDefault="00CE1A11" w:rsidP="00CE1A11">
            <w:pPr>
              <w:rPr>
                <w:sz w:val="18"/>
              </w:rPr>
            </w:pPr>
            <w:r w:rsidRPr="008168A3">
              <w:rPr>
                <w:rFonts w:ascii="Sylfaen" w:hAnsi="Sylfaen" w:cs="Sylfaen"/>
                <w:sz w:val="18"/>
              </w:rPr>
              <w:t>მოსარჩელეს</w:t>
            </w:r>
            <w:r w:rsidRPr="008168A3">
              <w:rPr>
                <w:sz w:val="18"/>
              </w:rPr>
              <w:t xml:space="preserve"> </w:t>
            </w:r>
            <w:r w:rsidRPr="008168A3">
              <w:rPr>
                <w:rFonts w:ascii="Sylfaen" w:hAnsi="Sylfaen" w:cs="Sylfaen"/>
                <w:sz w:val="18"/>
              </w:rPr>
              <w:t>გააცნობენ</w:t>
            </w:r>
            <w:r w:rsidRPr="008168A3">
              <w:rPr>
                <w:sz w:val="18"/>
              </w:rPr>
              <w:t xml:space="preserve"> </w:t>
            </w:r>
            <w:r w:rsidRPr="008168A3">
              <w:rPr>
                <w:rFonts w:ascii="Sylfaen" w:hAnsi="Sylfaen" w:cs="Sylfaen"/>
                <w:sz w:val="18"/>
              </w:rPr>
              <w:t>გადაწყვეტილების</w:t>
            </w:r>
            <w:r w:rsidRPr="008168A3">
              <w:rPr>
                <w:sz w:val="18"/>
              </w:rPr>
              <w:t xml:space="preserve"> </w:t>
            </w:r>
            <w:r w:rsidRPr="008168A3">
              <w:rPr>
                <w:rFonts w:ascii="Sylfaen" w:hAnsi="Sylfaen" w:cs="Sylfaen"/>
                <w:sz w:val="18"/>
              </w:rPr>
              <w:t>შესახებ</w:t>
            </w:r>
            <w:r w:rsidRPr="008168A3">
              <w:rPr>
                <w:sz w:val="18"/>
              </w:rPr>
              <w:t>.</w:t>
            </w:r>
          </w:p>
        </w:tc>
      </w:tr>
      <w:tr w:rsidR="00CE1A11" w:rsidRPr="008168A3" w14:paraId="16BA6FF6" w14:textId="77777777" w:rsidTr="008168A3">
        <w:trPr>
          <w:jc w:val="center"/>
        </w:trPr>
        <w:tc>
          <w:tcPr>
            <w:tcW w:w="1524" w:type="dxa"/>
            <w:tcBorders>
              <w:top w:val="single" w:sz="4" w:space="0" w:color="auto"/>
              <w:left w:val="single" w:sz="4" w:space="0" w:color="auto"/>
              <w:bottom w:val="single" w:sz="4" w:space="0" w:color="auto"/>
              <w:right w:val="single" w:sz="4" w:space="0" w:color="auto"/>
            </w:tcBorders>
          </w:tcPr>
          <w:p w14:paraId="42A7A47C" w14:textId="77777777" w:rsidR="00CE1A11" w:rsidRPr="008168A3" w:rsidRDefault="00CE1A11" w:rsidP="00CE1A11">
            <w:pPr>
              <w:rPr>
                <w:sz w:val="18"/>
              </w:rPr>
            </w:pPr>
            <w:r w:rsidRPr="008168A3">
              <w:rPr>
                <w:rFonts w:ascii="Sylfaen" w:hAnsi="Sylfaen" w:cs="Sylfaen"/>
                <w:sz w:val="18"/>
              </w:rPr>
              <w:t>ეტაპი</w:t>
            </w:r>
            <w:r w:rsidRPr="008168A3">
              <w:rPr>
                <w:sz w:val="18"/>
              </w:rPr>
              <w:t xml:space="preserve"> 3</w:t>
            </w:r>
          </w:p>
          <w:p w14:paraId="345DF16E" w14:textId="77777777" w:rsidR="00CE1A11" w:rsidRPr="008168A3" w:rsidRDefault="00CE1A11" w:rsidP="00CE1A11">
            <w:pPr>
              <w:rPr>
                <w:sz w:val="18"/>
              </w:rPr>
            </w:pPr>
          </w:p>
        </w:tc>
        <w:tc>
          <w:tcPr>
            <w:tcW w:w="1935" w:type="dxa"/>
            <w:tcBorders>
              <w:top w:val="single" w:sz="4" w:space="0" w:color="auto"/>
              <w:left w:val="single" w:sz="4" w:space="0" w:color="auto"/>
              <w:bottom w:val="single" w:sz="4" w:space="0" w:color="auto"/>
              <w:right w:val="single" w:sz="4" w:space="0" w:color="auto"/>
            </w:tcBorders>
            <w:hideMark/>
          </w:tcPr>
          <w:p w14:paraId="1303CE46" w14:textId="77777777" w:rsidR="00CE1A11" w:rsidRPr="008168A3" w:rsidRDefault="00CE1A11" w:rsidP="00CE1A11">
            <w:pPr>
              <w:rPr>
                <w:sz w:val="18"/>
              </w:rPr>
            </w:pPr>
            <w:r w:rsidRPr="008168A3">
              <w:rPr>
                <w:rFonts w:ascii="Sylfaen" w:hAnsi="Sylfaen" w:cs="Sylfaen"/>
                <w:sz w:val="18"/>
              </w:rPr>
              <w:t>ნაბიჯი</w:t>
            </w:r>
            <w:r w:rsidRPr="008168A3">
              <w:rPr>
                <w:sz w:val="18"/>
              </w:rPr>
              <w:t xml:space="preserve"> 4 </w:t>
            </w:r>
          </w:p>
          <w:p w14:paraId="140D0795" w14:textId="77777777" w:rsidR="00CE1A11" w:rsidRPr="008168A3" w:rsidRDefault="00CE1A11" w:rsidP="00CE1A11">
            <w:pPr>
              <w:rPr>
                <w:sz w:val="18"/>
              </w:rPr>
            </w:pPr>
            <w:r w:rsidRPr="008168A3">
              <w:rPr>
                <w:rFonts w:ascii="Sylfaen" w:hAnsi="Sylfaen" w:cs="Sylfaen"/>
                <w:sz w:val="18"/>
              </w:rPr>
              <w:t>სასამართლოს</w:t>
            </w:r>
            <w:r w:rsidRPr="008168A3">
              <w:rPr>
                <w:sz w:val="18"/>
              </w:rPr>
              <w:t xml:space="preserve"> </w:t>
            </w:r>
            <w:r w:rsidRPr="008168A3">
              <w:rPr>
                <w:rFonts w:ascii="Sylfaen" w:hAnsi="Sylfaen" w:cs="Sylfaen"/>
                <w:sz w:val="18"/>
              </w:rPr>
              <w:t>გადაწყვეტილება</w:t>
            </w:r>
          </w:p>
        </w:tc>
        <w:tc>
          <w:tcPr>
            <w:tcW w:w="12556" w:type="dxa"/>
            <w:tcBorders>
              <w:top w:val="single" w:sz="4" w:space="0" w:color="auto"/>
              <w:left w:val="single" w:sz="4" w:space="0" w:color="auto"/>
              <w:bottom w:val="single" w:sz="4" w:space="0" w:color="auto"/>
              <w:right w:val="single" w:sz="4" w:space="0" w:color="auto"/>
            </w:tcBorders>
            <w:hideMark/>
          </w:tcPr>
          <w:p w14:paraId="52E8A2CA" w14:textId="77777777" w:rsidR="00CE1A11" w:rsidRPr="008168A3" w:rsidRDefault="00CE1A11" w:rsidP="00CE1A11">
            <w:pPr>
              <w:rPr>
                <w:sz w:val="18"/>
              </w:rPr>
            </w:pPr>
            <w:r w:rsidRPr="008168A3">
              <w:rPr>
                <w:rFonts w:ascii="Sylfaen" w:hAnsi="Sylfaen" w:cs="Sylfaen"/>
                <w:sz w:val="18"/>
              </w:rPr>
              <w:t>თუ</w:t>
            </w:r>
            <w:r w:rsidRPr="008168A3">
              <w:rPr>
                <w:sz w:val="18"/>
              </w:rPr>
              <w:t xml:space="preserve"> IA/PIU-</w:t>
            </w:r>
            <w:r w:rsidRPr="008168A3">
              <w:rPr>
                <w:rFonts w:ascii="Sylfaen" w:hAnsi="Sylfaen" w:cs="Sylfaen"/>
                <w:sz w:val="18"/>
              </w:rPr>
              <w:t>ს</w:t>
            </w:r>
            <w:r w:rsidRPr="008168A3">
              <w:rPr>
                <w:sz w:val="18"/>
              </w:rPr>
              <w:t xml:space="preserve"> </w:t>
            </w:r>
            <w:r w:rsidRPr="008168A3">
              <w:rPr>
                <w:rFonts w:ascii="Sylfaen" w:hAnsi="Sylfaen" w:cs="Sylfaen"/>
                <w:sz w:val="18"/>
              </w:rPr>
              <w:t>გადაწყვეტილება</w:t>
            </w:r>
            <w:r w:rsidRPr="008168A3">
              <w:rPr>
                <w:sz w:val="18"/>
              </w:rPr>
              <w:t xml:space="preserve"> </w:t>
            </w:r>
            <w:r w:rsidRPr="008168A3">
              <w:rPr>
                <w:rFonts w:ascii="Sylfaen" w:hAnsi="Sylfaen" w:cs="Sylfaen"/>
                <w:sz w:val="18"/>
              </w:rPr>
              <w:t>არ</w:t>
            </w:r>
            <w:r w:rsidRPr="008168A3">
              <w:rPr>
                <w:sz w:val="18"/>
              </w:rPr>
              <w:t xml:space="preserve"> </w:t>
            </w:r>
            <w:r w:rsidRPr="008168A3">
              <w:rPr>
                <w:rFonts w:ascii="Sylfaen" w:hAnsi="Sylfaen" w:cs="Sylfaen"/>
                <w:sz w:val="18"/>
              </w:rPr>
              <w:t>დააკმაყოფილებს</w:t>
            </w:r>
            <w:r w:rsidRPr="008168A3">
              <w:rPr>
                <w:sz w:val="18"/>
              </w:rPr>
              <w:t xml:space="preserve"> </w:t>
            </w:r>
            <w:r w:rsidRPr="008168A3">
              <w:rPr>
                <w:rFonts w:ascii="Sylfaen" w:hAnsi="Sylfaen" w:cs="Sylfaen"/>
                <w:sz w:val="18"/>
              </w:rPr>
              <w:t>დაზარალებულ</w:t>
            </w:r>
            <w:r w:rsidRPr="008168A3">
              <w:rPr>
                <w:sz w:val="18"/>
              </w:rPr>
              <w:t xml:space="preserve"> AP-</w:t>
            </w:r>
            <w:r w:rsidRPr="008168A3">
              <w:rPr>
                <w:rFonts w:ascii="Sylfaen" w:hAnsi="Sylfaen" w:cs="Sylfaen"/>
                <w:sz w:val="18"/>
              </w:rPr>
              <w:t>ს</w:t>
            </w:r>
            <w:r w:rsidRPr="008168A3">
              <w:rPr>
                <w:sz w:val="18"/>
              </w:rPr>
              <w:t xml:space="preserve">, </w:t>
            </w:r>
            <w:r w:rsidRPr="008168A3">
              <w:rPr>
                <w:rFonts w:ascii="Sylfaen" w:hAnsi="Sylfaen" w:cs="Sylfaen"/>
                <w:sz w:val="18"/>
              </w:rPr>
              <w:t>მათ</w:t>
            </w:r>
            <w:r w:rsidRPr="008168A3">
              <w:rPr>
                <w:sz w:val="18"/>
              </w:rPr>
              <w:t xml:space="preserve"> </w:t>
            </w:r>
            <w:r w:rsidRPr="008168A3">
              <w:rPr>
                <w:rFonts w:ascii="Sylfaen" w:hAnsi="Sylfaen" w:cs="Sylfaen"/>
                <w:sz w:val="18"/>
              </w:rPr>
              <w:t>შეუძლიათ</w:t>
            </w:r>
            <w:r w:rsidRPr="008168A3">
              <w:rPr>
                <w:sz w:val="18"/>
              </w:rPr>
              <w:t xml:space="preserve"> </w:t>
            </w:r>
            <w:r w:rsidRPr="008168A3">
              <w:rPr>
                <w:rFonts w:ascii="Sylfaen" w:hAnsi="Sylfaen" w:cs="Sylfaen"/>
                <w:sz w:val="18"/>
              </w:rPr>
              <w:t>განახორციელონ</w:t>
            </w:r>
            <w:r w:rsidRPr="008168A3">
              <w:rPr>
                <w:sz w:val="18"/>
              </w:rPr>
              <w:t xml:space="preserve"> </w:t>
            </w:r>
            <w:r w:rsidRPr="008168A3">
              <w:rPr>
                <w:rFonts w:ascii="Sylfaen" w:hAnsi="Sylfaen" w:cs="Sylfaen"/>
                <w:sz w:val="18"/>
              </w:rPr>
              <w:t>შემდგომი</w:t>
            </w:r>
            <w:r w:rsidRPr="008168A3">
              <w:rPr>
                <w:sz w:val="18"/>
              </w:rPr>
              <w:t xml:space="preserve"> </w:t>
            </w:r>
            <w:r w:rsidRPr="008168A3">
              <w:rPr>
                <w:rFonts w:ascii="Sylfaen" w:hAnsi="Sylfaen" w:cs="Sylfaen"/>
                <w:sz w:val="18"/>
              </w:rPr>
              <w:t>ქმედებები</w:t>
            </w:r>
            <w:r w:rsidRPr="008168A3">
              <w:rPr>
                <w:sz w:val="18"/>
              </w:rPr>
              <w:t xml:space="preserve"> - </w:t>
            </w:r>
            <w:r w:rsidRPr="008168A3">
              <w:rPr>
                <w:rFonts w:ascii="Sylfaen" w:hAnsi="Sylfaen" w:cs="Sylfaen"/>
                <w:sz w:val="18"/>
              </w:rPr>
              <w:t>წარადგინონ</w:t>
            </w:r>
            <w:r w:rsidRPr="008168A3">
              <w:rPr>
                <w:sz w:val="18"/>
              </w:rPr>
              <w:t xml:space="preserve"> </w:t>
            </w:r>
            <w:r w:rsidRPr="008168A3">
              <w:rPr>
                <w:rFonts w:ascii="Sylfaen" w:hAnsi="Sylfaen" w:cs="Sylfaen"/>
                <w:sz w:val="18"/>
              </w:rPr>
              <w:t>მათი</w:t>
            </w:r>
            <w:r w:rsidRPr="008168A3">
              <w:rPr>
                <w:sz w:val="18"/>
              </w:rPr>
              <w:t xml:space="preserve"> </w:t>
            </w:r>
            <w:r w:rsidRPr="008168A3">
              <w:rPr>
                <w:rFonts w:ascii="Sylfaen" w:hAnsi="Sylfaen" w:cs="Sylfaen"/>
                <w:sz w:val="18"/>
              </w:rPr>
              <w:t>საქმე</w:t>
            </w:r>
            <w:r w:rsidRPr="008168A3">
              <w:rPr>
                <w:sz w:val="18"/>
              </w:rPr>
              <w:t xml:space="preserve"> </w:t>
            </w:r>
            <w:r w:rsidRPr="008168A3">
              <w:rPr>
                <w:rFonts w:ascii="Sylfaen" w:hAnsi="Sylfaen" w:cs="Sylfaen"/>
                <w:sz w:val="18"/>
              </w:rPr>
              <w:t>შესაბამისი</w:t>
            </w:r>
            <w:r w:rsidRPr="008168A3">
              <w:rPr>
                <w:sz w:val="18"/>
              </w:rPr>
              <w:t xml:space="preserve"> </w:t>
            </w:r>
            <w:r w:rsidRPr="008168A3">
              <w:rPr>
                <w:rFonts w:ascii="Sylfaen" w:hAnsi="Sylfaen" w:cs="Sylfaen"/>
                <w:sz w:val="18"/>
              </w:rPr>
              <w:t>სასამართლოში</w:t>
            </w:r>
            <w:r w:rsidRPr="008168A3">
              <w:rPr>
                <w:sz w:val="18"/>
              </w:rPr>
              <w:t xml:space="preserve"> (</w:t>
            </w:r>
            <w:r w:rsidRPr="008168A3">
              <w:rPr>
                <w:rFonts w:ascii="Sylfaen" w:hAnsi="Sylfaen" w:cs="Sylfaen"/>
                <w:sz w:val="18"/>
              </w:rPr>
              <w:t>რაიონული</w:t>
            </w:r>
            <w:r w:rsidRPr="008168A3">
              <w:rPr>
                <w:sz w:val="18"/>
              </w:rPr>
              <w:t xml:space="preserve"> </w:t>
            </w:r>
            <w:r w:rsidRPr="008168A3">
              <w:rPr>
                <w:rFonts w:ascii="Sylfaen" w:hAnsi="Sylfaen" w:cs="Sylfaen"/>
                <w:sz w:val="18"/>
              </w:rPr>
              <w:t>სასამართლო</w:t>
            </w:r>
            <w:r w:rsidRPr="008168A3">
              <w:rPr>
                <w:sz w:val="18"/>
              </w:rPr>
              <w:t>).</w:t>
            </w:r>
          </w:p>
          <w:p w14:paraId="41B9FA0C" w14:textId="77777777" w:rsidR="00CE1A11" w:rsidRPr="008168A3" w:rsidRDefault="00CE1A11" w:rsidP="00CE1A11">
            <w:pPr>
              <w:rPr>
                <w:sz w:val="18"/>
              </w:rPr>
            </w:pPr>
            <w:r w:rsidRPr="008168A3">
              <w:rPr>
                <w:rFonts w:ascii="Sylfaen" w:hAnsi="Sylfaen" w:cs="Sylfaen"/>
                <w:sz w:val="18"/>
              </w:rPr>
              <w:t>დაზარალებულმა</w:t>
            </w:r>
            <w:r w:rsidRPr="008168A3">
              <w:rPr>
                <w:sz w:val="18"/>
              </w:rPr>
              <w:t xml:space="preserve"> </w:t>
            </w:r>
            <w:r w:rsidRPr="008168A3">
              <w:rPr>
                <w:rFonts w:ascii="Sylfaen" w:hAnsi="Sylfaen" w:cs="Sylfaen"/>
                <w:sz w:val="18"/>
              </w:rPr>
              <w:t>შეიძლება</w:t>
            </w:r>
            <w:r w:rsidRPr="008168A3">
              <w:rPr>
                <w:sz w:val="18"/>
              </w:rPr>
              <w:t xml:space="preserve"> </w:t>
            </w:r>
            <w:r w:rsidRPr="008168A3">
              <w:rPr>
                <w:rFonts w:ascii="Sylfaen" w:hAnsi="Sylfaen" w:cs="Sylfaen"/>
                <w:sz w:val="18"/>
              </w:rPr>
              <w:t>განახორციელოს</w:t>
            </w:r>
            <w:r w:rsidRPr="008168A3">
              <w:rPr>
                <w:sz w:val="18"/>
              </w:rPr>
              <w:t xml:space="preserve"> </w:t>
            </w:r>
            <w:r w:rsidRPr="008168A3">
              <w:rPr>
                <w:rFonts w:ascii="Sylfaen" w:hAnsi="Sylfaen" w:cs="Sylfaen"/>
                <w:sz w:val="18"/>
              </w:rPr>
              <w:t>სამართლებრივი</w:t>
            </w:r>
            <w:r w:rsidRPr="008168A3">
              <w:rPr>
                <w:sz w:val="18"/>
              </w:rPr>
              <w:t xml:space="preserve"> </w:t>
            </w:r>
            <w:r w:rsidRPr="008168A3">
              <w:rPr>
                <w:rFonts w:ascii="Sylfaen" w:hAnsi="Sylfaen" w:cs="Sylfaen"/>
                <w:sz w:val="18"/>
              </w:rPr>
              <w:t>ქმედება</w:t>
            </w:r>
            <w:r w:rsidRPr="008168A3">
              <w:rPr>
                <w:sz w:val="18"/>
              </w:rPr>
              <w:t xml:space="preserve"> </w:t>
            </w:r>
            <w:r w:rsidRPr="008168A3">
              <w:rPr>
                <w:rFonts w:ascii="Sylfaen" w:hAnsi="Sylfaen" w:cs="Sylfaen"/>
                <w:sz w:val="18"/>
              </w:rPr>
              <w:t>არა</w:t>
            </w:r>
            <w:r w:rsidRPr="008168A3">
              <w:rPr>
                <w:sz w:val="18"/>
              </w:rPr>
              <w:t xml:space="preserve"> </w:t>
            </w:r>
            <w:r w:rsidRPr="008168A3">
              <w:rPr>
                <w:rFonts w:ascii="Sylfaen" w:hAnsi="Sylfaen" w:cs="Sylfaen"/>
                <w:sz w:val="18"/>
              </w:rPr>
              <w:t>მხოლოდ</w:t>
            </w:r>
            <w:r w:rsidRPr="008168A3">
              <w:rPr>
                <w:sz w:val="18"/>
              </w:rPr>
              <w:t xml:space="preserve"> </w:t>
            </w:r>
            <w:r w:rsidRPr="008168A3">
              <w:rPr>
                <w:rFonts w:ascii="Sylfaen" w:hAnsi="Sylfaen" w:cs="Sylfaen"/>
                <w:sz w:val="18"/>
              </w:rPr>
              <w:t>კომპენსაციის</w:t>
            </w:r>
            <w:r w:rsidRPr="008168A3">
              <w:rPr>
                <w:sz w:val="18"/>
              </w:rPr>
              <w:t xml:space="preserve"> </w:t>
            </w:r>
            <w:r w:rsidRPr="008168A3">
              <w:rPr>
                <w:rFonts w:ascii="Sylfaen" w:hAnsi="Sylfaen" w:cs="Sylfaen"/>
                <w:sz w:val="18"/>
              </w:rPr>
              <w:t>ოდენობაზე</w:t>
            </w:r>
            <w:r w:rsidRPr="008168A3">
              <w:rPr>
                <w:sz w:val="18"/>
              </w:rPr>
              <w:t xml:space="preserve">, </w:t>
            </w:r>
            <w:r w:rsidRPr="008168A3">
              <w:rPr>
                <w:rFonts w:ascii="Sylfaen" w:hAnsi="Sylfaen" w:cs="Sylfaen"/>
                <w:sz w:val="18"/>
              </w:rPr>
              <w:t>არამედ</w:t>
            </w:r>
            <w:r w:rsidRPr="008168A3">
              <w:rPr>
                <w:sz w:val="18"/>
              </w:rPr>
              <w:t xml:space="preserve"> </w:t>
            </w:r>
            <w:r w:rsidRPr="008168A3">
              <w:rPr>
                <w:rFonts w:ascii="Sylfaen" w:hAnsi="Sylfaen" w:cs="Sylfaen"/>
                <w:sz w:val="18"/>
              </w:rPr>
              <w:t>ნებისმიერ</w:t>
            </w:r>
            <w:r w:rsidRPr="008168A3">
              <w:rPr>
                <w:sz w:val="18"/>
              </w:rPr>
              <w:t xml:space="preserve"> </w:t>
            </w:r>
            <w:r w:rsidRPr="008168A3">
              <w:rPr>
                <w:rFonts w:ascii="Sylfaen" w:hAnsi="Sylfaen" w:cs="Sylfaen"/>
                <w:sz w:val="18"/>
              </w:rPr>
              <w:t>სხვა</w:t>
            </w:r>
            <w:r w:rsidRPr="008168A3">
              <w:rPr>
                <w:sz w:val="18"/>
              </w:rPr>
              <w:t xml:space="preserve"> </w:t>
            </w:r>
            <w:r w:rsidRPr="008168A3">
              <w:rPr>
                <w:rFonts w:ascii="Sylfaen" w:hAnsi="Sylfaen" w:cs="Sylfaen"/>
                <w:sz w:val="18"/>
              </w:rPr>
              <w:t>საკითხზე</w:t>
            </w:r>
            <w:r w:rsidRPr="008168A3">
              <w:rPr>
                <w:sz w:val="18"/>
              </w:rPr>
              <w:t xml:space="preserve">, </w:t>
            </w:r>
            <w:r w:rsidRPr="008168A3">
              <w:rPr>
                <w:rFonts w:ascii="Sylfaen" w:hAnsi="Sylfaen" w:cs="Sylfaen"/>
                <w:sz w:val="18"/>
              </w:rPr>
              <w:t>მაგ</w:t>
            </w:r>
            <w:r w:rsidRPr="008168A3">
              <w:rPr>
                <w:sz w:val="18"/>
              </w:rPr>
              <w:t xml:space="preserve">. </w:t>
            </w:r>
            <w:r w:rsidRPr="008168A3">
              <w:rPr>
                <w:rFonts w:ascii="Sylfaen" w:hAnsi="Sylfaen" w:cs="Sylfaen"/>
                <w:sz w:val="18"/>
              </w:rPr>
              <w:t>კონტრაქტორის</w:t>
            </w:r>
            <w:r w:rsidRPr="008168A3">
              <w:rPr>
                <w:sz w:val="18"/>
              </w:rPr>
              <w:t xml:space="preserve"> </w:t>
            </w:r>
            <w:r w:rsidRPr="008168A3">
              <w:rPr>
                <w:rFonts w:ascii="Sylfaen" w:hAnsi="Sylfaen" w:cs="Sylfaen"/>
                <w:sz w:val="18"/>
              </w:rPr>
              <w:t>მიერ</w:t>
            </w:r>
            <w:r w:rsidRPr="008168A3">
              <w:rPr>
                <w:sz w:val="18"/>
              </w:rPr>
              <w:t xml:space="preserve"> </w:t>
            </w:r>
            <w:r w:rsidRPr="008168A3">
              <w:rPr>
                <w:rFonts w:ascii="Sylfaen" w:hAnsi="Sylfaen" w:cs="Sylfaen"/>
                <w:sz w:val="18"/>
              </w:rPr>
              <w:t>მისი</w:t>
            </w:r>
            <w:r w:rsidRPr="008168A3">
              <w:rPr>
                <w:sz w:val="18"/>
              </w:rPr>
              <w:t xml:space="preserve"> </w:t>
            </w:r>
            <w:r w:rsidRPr="008168A3">
              <w:rPr>
                <w:rFonts w:ascii="Sylfaen" w:hAnsi="Sylfaen" w:cs="Sylfaen"/>
                <w:sz w:val="18"/>
              </w:rPr>
              <w:t>საკუთრების</w:t>
            </w:r>
            <w:r w:rsidRPr="008168A3">
              <w:rPr>
                <w:sz w:val="18"/>
              </w:rPr>
              <w:t xml:space="preserve"> </w:t>
            </w:r>
            <w:r w:rsidRPr="008168A3">
              <w:rPr>
                <w:rFonts w:ascii="Sylfaen" w:hAnsi="Sylfaen" w:cs="Sylfaen"/>
                <w:sz w:val="18"/>
              </w:rPr>
              <w:t>დაზიანება</w:t>
            </w:r>
            <w:r w:rsidRPr="008168A3">
              <w:rPr>
                <w:sz w:val="18"/>
              </w:rPr>
              <w:t xml:space="preserve">, </w:t>
            </w:r>
            <w:r w:rsidRPr="008168A3">
              <w:rPr>
                <w:rFonts w:ascii="Sylfaen" w:hAnsi="Sylfaen" w:cs="Sylfaen"/>
                <w:sz w:val="18"/>
              </w:rPr>
              <w:t>დაკარგვა</w:t>
            </w:r>
            <w:r w:rsidRPr="008168A3">
              <w:rPr>
                <w:sz w:val="18"/>
              </w:rPr>
              <w:t xml:space="preserve"> </w:t>
            </w:r>
            <w:r w:rsidRPr="008168A3">
              <w:rPr>
                <w:rFonts w:ascii="Sylfaen" w:hAnsi="Sylfaen" w:cs="Sylfaen"/>
                <w:sz w:val="18"/>
              </w:rPr>
              <w:t>ან</w:t>
            </w:r>
            <w:r w:rsidRPr="008168A3">
              <w:rPr>
                <w:sz w:val="18"/>
              </w:rPr>
              <w:t xml:space="preserve"> </w:t>
            </w:r>
            <w:r w:rsidRPr="008168A3">
              <w:rPr>
                <w:rFonts w:ascii="Sylfaen" w:hAnsi="Sylfaen" w:cs="Sylfaen"/>
                <w:sz w:val="18"/>
              </w:rPr>
              <w:t>გამოყენება</w:t>
            </w:r>
            <w:r w:rsidRPr="008168A3">
              <w:rPr>
                <w:sz w:val="18"/>
              </w:rPr>
              <w:t xml:space="preserve"> </w:t>
            </w:r>
            <w:r w:rsidRPr="008168A3">
              <w:rPr>
                <w:rFonts w:ascii="Sylfaen" w:hAnsi="Sylfaen" w:cs="Sylfaen"/>
                <w:sz w:val="18"/>
              </w:rPr>
              <w:t>მისი</w:t>
            </w:r>
            <w:r w:rsidRPr="008168A3">
              <w:rPr>
                <w:sz w:val="18"/>
              </w:rPr>
              <w:t xml:space="preserve"> </w:t>
            </w:r>
            <w:r w:rsidRPr="008168A3">
              <w:rPr>
                <w:rFonts w:ascii="Sylfaen" w:hAnsi="Sylfaen" w:cs="Sylfaen"/>
                <w:sz w:val="18"/>
              </w:rPr>
              <w:t>თანხმობის</w:t>
            </w:r>
            <w:r w:rsidRPr="008168A3">
              <w:rPr>
                <w:sz w:val="18"/>
              </w:rPr>
              <w:t xml:space="preserve"> </w:t>
            </w:r>
            <w:r w:rsidRPr="008168A3">
              <w:rPr>
                <w:rFonts w:ascii="Sylfaen" w:hAnsi="Sylfaen" w:cs="Sylfaen"/>
                <w:sz w:val="18"/>
              </w:rPr>
              <w:t>გარეშე</w:t>
            </w:r>
            <w:r w:rsidRPr="008168A3">
              <w:rPr>
                <w:sz w:val="18"/>
              </w:rPr>
              <w:t xml:space="preserve">, </w:t>
            </w:r>
            <w:r w:rsidRPr="008168A3">
              <w:rPr>
                <w:rFonts w:ascii="Sylfaen" w:hAnsi="Sylfaen" w:cs="Sylfaen"/>
                <w:sz w:val="18"/>
              </w:rPr>
              <w:t>მიწის</w:t>
            </w:r>
            <w:r w:rsidRPr="008168A3">
              <w:rPr>
                <w:sz w:val="18"/>
              </w:rPr>
              <w:t>/</w:t>
            </w:r>
            <w:r w:rsidRPr="008168A3">
              <w:rPr>
                <w:rFonts w:ascii="Sylfaen" w:hAnsi="Sylfaen" w:cs="Sylfaen"/>
                <w:sz w:val="18"/>
              </w:rPr>
              <w:t>აქტივების</w:t>
            </w:r>
            <w:r w:rsidRPr="008168A3">
              <w:rPr>
                <w:sz w:val="18"/>
              </w:rPr>
              <w:t xml:space="preserve"> </w:t>
            </w:r>
            <w:r w:rsidRPr="008168A3">
              <w:rPr>
                <w:rFonts w:ascii="Sylfaen" w:hAnsi="Sylfaen" w:cs="Sylfaen"/>
                <w:sz w:val="18"/>
              </w:rPr>
              <w:t>გამოყენების</w:t>
            </w:r>
            <w:r w:rsidRPr="008168A3">
              <w:rPr>
                <w:sz w:val="18"/>
              </w:rPr>
              <w:t xml:space="preserve"> </w:t>
            </w:r>
            <w:r w:rsidRPr="008168A3">
              <w:rPr>
                <w:rFonts w:ascii="Sylfaen" w:hAnsi="Sylfaen" w:cs="Sylfaen"/>
                <w:sz w:val="18"/>
              </w:rPr>
              <w:t>შეზღუდვა</w:t>
            </w:r>
            <w:r w:rsidRPr="008168A3">
              <w:rPr>
                <w:sz w:val="18"/>
              </w:rPr>
              <w:t xml:space="preserve"> </w:t>
            </w:r>
            <w:r w:rsidRPr="008168A3">
              <w:rPr>
                <w:rFonts w:ascii="Sylfaen" w:hAnsi="Sylfaen" w:cs="Sylfaen"/>
                <w:sz w:val="18"/>
              </w:rPr>
              <w:t>და</w:t>
            </w:r>
            <w:r w:rsidRPr="008168A3">
              <w:rPr>
                <w:sz w:val="18"/>
              </w:rPr>
              <w:t xml:space="preserve"> </w:t>
            </w:r>
            <w:r w:rsidRPr="008168A3">
              <w:rPr>
                <w:rFonts w:ascii="Sylfaen" w:hAnsi="Sylfaen" w:cs="Sylfaen"/>
                <w:sz w:val="18"/>
              </w:rPr>
              <w:t>ა</w:t>
            </w:r>
            <w:r w:rsidRPr="008168A3">
              <w:rPr>
                <w:sz w:val="18"/>
              </w:rPr>
              <w:t>.</w:t>
            </w:r>
            <w:r w:rsidRPr="008168A3">
              <w:rPr>
                <w:rFonts w:ascii="Sylfaen" w:hAnsi="Sylfaen" w:cs="Sylfaen"/>
                <w:sz w:val="18"/>
              </w:rPr>
              <w:t>შ</w:t>
            </w:r>
            <w:r w:rsidRPr="008168A3">
              <w:rPr>
                <w:sz w:val="18"/>
              </w:rPr>
              <w:t>.</w:t>
            </w:r>
          </w:p>
        </w:tc>
      </w:tr>
    </w:tbl>
    <w:p w14:paraId="0965DC6E" w14:textId="77777777" w:rsidR="00CE1A11" w:rsidRPr="003D733D" w:rsidRDefault="00CE1A11" w:rsidP="00CE1A11">
      <w:pPr>
        <w:sectPr w:rsidR="00CE1A11" w:rsidRPr="003D733D">
          <w:pgSz w:w="16840" w:h="11907" w:orient="landscape"/>
          <w:pgMar w:top="1140" w:right="1140" w:bottom="1140" w:left="1140" w:header="720" w:footer="720" w:gutter="0"/>
          <w:cols w:space="720"/>
        </w:sectPr>
      </w:pPr>
    </w:p>
    <w:p w14:paraId="23C613F2" w14:textId="11076877" w:rsidR="00CE1A11" w:rsidRPr="003D733D" w:rsidRDefault="00CE1A11" w:rsidP="004B1ED5">
      <w:pPr>
        <w:pStyle w:val="EIAheading2"/>
        <w:rPr>
          <w:lang w:val="ka-GE"/>
        </w:rPr>
      </w:pPr>
      <w:bookmarkStart w:id="546" w:name="_Toc473553977"/>
      <w:bookmarkStart w:id="547" w:name="_Toc529977437"/>
      <w:bookmarkStart w:id="548" w:name="_Toc1581595"/>
      <w:r w:rsidRPr="003D733D">
        <w:lastRenderedPageBreak/>
        <w:t>10.</w:t>
      </w:r>
      <w:r w:rsidR="004B1ED5">
        <w:rPr>
          <w:rFonts w:ascii="Sylfaen" w:hAnsi="Sylfaen"/>
          <w:lang w:val="ka-GE"/>
        </w:rPr>
        <w:t>3</w:t>
      </w:r>
      <w:r w:rsidRPr="003D733D">
        <w:t xml:space="preserve"> </w:t>
      </w:r>
      <w:bookmarkEnd w:id="546"/>
      <w:r w:rsidRPr="003D733D">
        <w:rPr>
          <w:rFonts w:ascii="Sylfaen" w:hAnsi="Sylfaen" w:cs="Sylfaen"/>
        </w:rPr>
        <w:t>საჩივრების</w:t>
      </w:r>
      <w:r w:rsidRPr="003D733D">
        <w:t xml:space="preserve"> </w:t>
      </w:r>
      <w:r w:rsidRPr="003D733D">
        <w:rPr>
          <w:rFonts w:ascii="Sylfaen" w:hAnsi="Sylfaen" w:cs="Sylfaen"/>
        </w:rPr>
        <w:t>ჟურნალი</w:t>
      </w:r>
      <w:bookmarkEnd w:id="547"/>
      <w:bookmarkEnd w:id="548"/>
    </w:p>
    <w:p w14:paraId="00F7F64C" w14:textId="77777777" w:rsidR="00CE1A11" w:rsidRPr="003D733D" w:rsidRDefault="00CE1A11" w:rsidP="004B1ED5">
      <w:pPr>
        <w:spacing w:before="120" w:after="120"/>
      </w:pPr>
      <w:r w:rsidRPr="003D733D">
        <w:rPr>
          <w:rFonts w:ascii="Sylfaen" w:hAnsi="Sylfaen" w:cs="Sylfaen"/>
        </w:rPr>
        <w:t>საჩივრების</w:t>
      </w:r>
      <w:r w:rsidRPr="003D733D">
        <w:t xml:space="preserve"> </w:t>
      </w:r>
      <w:r w:rsidRPr="003D733D">
        <w:rPr>
          <w:rFonts w:ascii="Sylfaen" w:hAnsi="Sylfaen" w:cs="Sylfaen"/>
        </w:rPr>
        <w:t>ჟურნალი</w:t>
      </w:r>
      <w:r w:rsidRPr="003D733D">
        <w:t xml:space="preserve"> </w:t>
      </w:r>
      <w:r w:rsidRPr="003D733D">
        <w:rPr>
          <w:rFonts w:ascii="Sylfaen" w:hAnsi="Sylfaen" w:cs="Sylfaen"/>
        </w:rPr>
        <w:t>შემუშავდება</w:t>
      </w:r>
      <w:r w:rsidRPr="003D733D">
        <w:t xml:space="preserve"> </w:t>
      </w:r>
      <w:r w:rsidRPr="003D733D">
        <w:rPr>
          <w:rFonts w:ascii="Sylfaen" w:hAnsi="Sylfaen" w:cs="Sylfaen"/>
        </w:rPr>
        <w:t>როგორც</w:t>
      </w:r>
      <w:r w:rsidRPr="003D733D">
        <w:t xml:space="preserve"> GRCE </w:t>
      </w:r>
      <w:r w:rsidRPr="003D733D">
        <w:rPr>
          <w:rFonts w:ascii="Sylfaen" w:hAnsi="Sylfaen" w:cs="Sylfaen"/>
        </w:rPr>
        <w:t>ასევე</w:t>
      </w:r>
      <w:r w:rsidRPr="003D733D">
        <w:t xml:space="preserve"> GRCN </w:t>
      </w:r>
      <w:r w:rsidRPr="003D733D">
        <w:rPr>
          <w:rFonts w:ascii="Sylfaen" w:hAnsi="Sylfaen" w:cs="Sylfaen"/>
        </w:rPr>
        <w:t>დონეზე</w:t>
      </w:r>
      <w:r w:rsidRPr="003D733D">
        <w:t>.</w:t>
      </w:r>
    </w:p>
    <w:p w14:paraId="43B06ABF" w14:textId="77777777" w:rsidR="00CE1A11" w:rsidRPr="003D733D" w:rsidRDefault="00CE1A11" w:rsidP="004B1ED5">
      <w:pPr>
        <w:spacing w:before="120" w:after="120"/>
      </w:pPr>
      <w:r w:rsidRPr="003D733D">
        <w:t xml:space="preserve">RD </w:t>
      </w:r>
      <w:r w:rsidRPr="003D733D">
        <w:rPr>
          <w:rFonts w:ascii="Sylfaen" w:hAnsi="Sylfaen" w:cs="Sylfaen"/>
        </w:rPr>
        <w:t>წარმომადგენელი</w:t>
      </w:r>
      <w:r w:rsidRPr="003D733D">
        <w:t xml:space="preserve"> </w:t>
      </w:r>
      <w:r w:rsidRPr="003D733D">
        <w:rPr>
          <w:rFonts w:ascii="Sylfaen" w:hAnsi="Sylfaen" w:cs="Sylfaen"/>
        </w:rPr>
        <w:t>ადგილზე</w:t>
      </w:r>
      <w:r w:rsidRPr="003D733D">
        <w:t xml:space="preserve"> (GRCE </w:t>
      </w:r>
      <w:r w:rsidRPr="003D733D">
        <w:rPr>
          <w:rFonts w:ascii="Sylfaen" w:hAnsi="Sylfaen" w:cs="Sylfaen"/>
        </w:rPr>
        <w:t>საბჭოს</w:t>
      </w:r>
      <w:r w:rsidRPr="003D733D">
        <w:t xml:space="preserve"> </w:t>
      </w:r>
      <w:r w:rsidRPr="003D733D">
        <w:rPr>
          <w:rFonts w:ascii="Sylfaen" w:hAnsi="Sylfaen" w:cs="Sylfaen"/>
        </w:rPr>
        <w:t>თავმჯდომარე</w:t>
      </w:r>
      <w:r w:rsidRPr="003D733D">
        <w:t>/</w:t>
      </w:r>
      <w:r w:rsidRPr="003D733D">
        <w:rPr>
          <w:rFonts w:ascii="Sylfaen" w:hAnsi="Sylfaen" w:cs="Sylfaen"/>
        </w:rPr>
        <w:t>საკონტაქტო</w:t>
      </w:r>
      <w:r w:rsidRPr="003D733D">
        <w:t xml:space="preserve"> </w:t>
      </w:r>
      <w:r w:rsidRPr="003D733D">
        <w:rPr>
          <w:rFonts w:ascii="Sylfaen" w:hAnsi="Sylfaen" w:cs="Sylfaen"/>
        </w:rPr>
        <w:t>პირი</w:t>
      </w:r>
      <w:r w:rsidRPr="003D733D">
        <w:t xml:space="preserve">) </w:t>
      </w:r>
      <w:r w:rsidRPr="003D733D">
        <w:rPr>
          <w:rFonts w:ascii="Sylfaen" w:hAnsi="Sylfaen" w:cs="Sylfaen"/>
        </w:rPr>
        <w:t>შეიმუშავებს</w:t>
      </w:r>
      <w:r w:rsidRPr="003D733D">
        <w:t xml:space="preserve"> </w:t>
      </w:r>
      <w:r w:rsidRPr="003D733D">
        <w:rPr>
          <w:rFonts w:ascii="Sylfaen" w:hAnsi="Sylfaen" w:cs="Sylfaen"/>
        </w:rPr>
        <w:t>და</w:t>
      </w:r>
      <w:r w:rsidRPr="003D733D">
        <w:t xml:space="preserve"> </w:t>
      </w:r>
      <w:r w:rsidRPr="003D733D">
        <w:rPr>
          <w:rFonts w:ascii="Sylfaen" w:hAnsi="Sylfaen" w:cs="Sylfaen"/>
        </w:rPr>
        <w:t>წარმართავს</w:t>
      </w:r>
      <w:r w:rsidRPr="003D733D">
        <w:t xml:space="preserve"> </w:t>
      </w:r>
      <w:r w:rsidRPr="003D733D">
        <w:rPr>
          <w:rFonts w:ascii="Sylfaen" w:hAnsi="Sylfaen" w:cs="Sylfaen"/>
        </w:rPr>
        <w:t>საჩივრების</w:t>
      </w:r>
      <w:r w:rsidRPr="003D733D">
        <w:t xml:space="preserve"> </w:t>
      </w:r>
      <w:r w:rsidRPr="003D733D">
        <w:rPr>
          <w:rFonts w:ascii="Sylfaen" w:hAnsi="Sylfaen" w:cs="Sylfaen"/>
        </w:rPr>
        <w:t>ჟურნალს</w:t>
      </w:r>
      <w:r w:rsidRPr="003D733D">
        <w:t xml:space="preserve">. </w:t>
      </w:r>
      <w:r w:rsidRPr="003D733D">
        <w:rPr>
          <w:rFonts w:ascii="Sylfaen" w:hAnsi="Sylfaen" w:cs="Sylfaen"/>
        </w:rPr>
        <w:t>ჟურნალი</w:t>
      </w:r>
      <w:r w:rsidRPr="003D733D">
        <w:t xml:space="preserve"> </w:t>
      </w:r>
      <w:r w:rsidRPr="003D733D">
        <w:rPr>
          <w:rFonts w:ascii="Sylfaen" w:hAnsi="Sylfaen" w:cs="Sylfaen"/>
        </w:rPr>
        <w:t>შეინახება</w:t>
      </w:r>
      <w:r w:rsidRPr="003D733D">
        <w:t xml:space="preserve"> </w:t>
      </w:r>
      <w:r w:rsidRPr="003D733D">
        <w:rPr>
          <w:rFonts w:ascii="Sylfaen" w:hAnsi="Sylfaen" w:cs="Sylfaen"/>
        </w:rPr>
        <w:t>ადგილზე</w:t>
      </w:r>
      <w:r w:rsidRPr="003D733D">
        <w:t xml:space="preserve"> (IA/PIU-</w:t>
      </w:r>
      <w:r w:rsidRPr="003D733D">
        <w:rPr>
          <w:rFonts w:ascii="Sylfaen" w:hAnsi="Sylfaen" w:cs="Sylfaen"/>
        </w:rPr>
        <w:t>ს</w:t>
      </w:r>
      <w:r w:rsidRPr="003D733D">
        <w:t xml:space="preserve"> </w:t>
      </w:r>
      <w:r w:rsidRPr="003D733D">
        <w:rPr>
          <w:rFonts w:ascii="Sylfaen" w:hAnsi="Sylfaen" w:cs="Sylfaen"/>
        </w:rPr>
        <w:t>ოფისში</w:t>
      </w:r>
      <w:r w:rsidRPr="003D733D">
        <w:t xml:space="preserve"> </w:t>
      </w:r>
      <w:r w:rsidRPr="003D733D">
        <w:rPr>
          <w:rFonts w:ascii="Sylfaen" w:hAnsi="Sylfaen" w:cs="Sylfaen"/>
        </w:rPr>
        <w:t>ან</w:t>
      </w:r>
      <w:r w:rsidRPr="003D733D">
        <w:t xml:space="preserve"> </w:t>
      </w:r>
      <w:r w:rsidRPr="003D733D">
        <w:rPr>
          <w:rFonts w:ascii="Sylfaen" w:hAnsi="Sylfaen" w:cs="Sylfaen"/>
        </w:rPr>
        <w:t>ინჟინრის</w:t>
      </w:r>
      <w:r w:rsidRPr="003D733D">
        <w:t xml:space="preserve"> </w:t>
      </w:r>
      <w:r w:rsidRPr="003D733D">
        <w:rPr>
          <w:rFonts w:ascii="Sylfaen" w:hAnsi="Sylfaen" w:cs="Sylfaen"/>
        </w:rPr>
        <w:t>ოფისში</w:t>
      </w:r>
      <w:r w:rsidRPr="003D733D">
        <w:t>).</w:t>
      </w:r>
    </w:p>
    <w:p w14:paraId="61FBF083" w14:textId="77777777" w:rsidR="00CE1A11" w:rsidRPr="003D733D" w:rsidRDefault="00CE1A11" w:rsidP="004B1ED5">
      <w:pPr>
        <w:spacing w:before="120" w:after="120"/>
      </w:pPr>
      <w:r w:rsidRPr="003D733D">
        <w:rPr>
          <w:rFonts w:ascii="Sylfaen" w:hAnsi="Sylfaen" w:cs="Sylfaen"/>
        </w:rPr>
        <w:t>საჩივრის</w:t>
      </w:r>
      <w:r w:rsidRPr="003D733D">
        <w:t xml:space="preserve"> </w:t>
      </w:r>
      <w:r w:rsidRPr="003D733D">
        <w:rPr>
          <w:rFonts w:ascii="Sylfaen" w:hAnsi="Sylfaen" w:cs="Sylfaen"/>
        </w:rPr>
        <w:t>ჟურნალში</w:t>
      </w:r>
      <w:r w:rsidRPr="003D733D">
        <w:t xml:space="preserve"> </w:t>
      </w:r>
      <w:r w:rsidRPr="003D733D">
        <w:rPr>
          <w:rFonts w:ascii="Sylfaen" w:hAnsi="Sylfaen" w:cs="Sylfaen"/>
        </w:rPr>
        <w:t>ჩანაწერები</w:t>
      </w:r>
      <w:r w:rsidRPr="003D733D">
        <w:t xml:space="preserve"> </w:t>
      </w:r>
      <w:r w:rsidRPr="003D733D">
        <w:rPr>
          <w:rFonts w:ascii="Sylfaen" w:hAnsi="Sylfaen" w:cs="Sylfaen"/>
        </w:rPr>
        <w:t>მოიცავს</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ინფორმაციას</w:t>
      </w:r>
      <w:r w:rsidRPr="003D733D">
        <w:t>:</w:t>
      </w:r>
    </w:p>
    <w:p w14:paraId="1946AFB4" w14:textId="77777777" w:rsidR="00CE1A11" w:rsidRPr="003D733D" w:rsidRDefault="00CE1A11" w:rsidP="004B1ED5">
      <w:pPr>
        <w:spacing w:before="120" w:after="120"/>
      </w:pPr>
      <w:r w:rsidRPr="003D733D">
        <w:rPr>
          <w:rFonts w:ascii="Sylfaen" w:hAnsi="Sylfaen" w:cs="Sylfaen"/>
        </w:rPr>
        <w:t>მოსარჩელეს</w:t>
      </w:r>
      <w:r w:rsidRPr="003D733D">
        <w:t xml:space="preserve"> </w:t>
      </w:r>
      <w:r w:rsidRPr="003D733D">
        <w:rPr>
          <w:rFonts w:ascii="Sylfaen" w:hAnsi="Sylfaen" w:cs="Sylfaen"/>
        </w:rPr>
        <w:t>სახელი</w:t>
      </w:r>
      <w:r w:rsidRPr="003D733D">
        <w:t xml:space="preserve"> </w:t>
      </w:r>
      <w:r w:rsidRPr="003D733D">
        <w:rPr>
          <w:rFonts w:ascii="Sylfaen" w:hAnsi="Sylfaen" w:cs="Sylfaen"/>
        </w:rPr>
        <w:t>და</w:t>
      </w:r>
      <w:r w:rsidRPr="003D733D">
        <w:t xml:space="preserve"> </w:t>
      </w:r>
      <w:r w:rsidRPr="003D733D">
        <w:rPr>
          <w:rFonts w:ascii="Sylfaen" w:hAnsi="Sylfaen" w:cs="Sylfaen"/>
        </w:rPr>
        <w:t>საკონტაქტო</w:t>
      </w:r>
      <w:r w:rsidRPr="003D733D">
        <w:t xml:space="preserve"> </w:t>
      </w:r>
      <w:r w:rsidRPr="003D733D">
        <w:rPr>
          <w:rFonts w:ascii="Sylfaen" w:hAnsi="Sylfaen" w:cs="Sylfaen"/>
        </w:rPr>
        <w:t>ინფორმაციას</w:t>
      </w:r>
    </w:p>
    <w:p w14:paraId="47CF4543" w14:textId="77777777" w:rsidR="00CE1A11" w:rsidRPr="003D733D" w:rsidRDefault="00CE1A11" w:rsidP="004B1ED5">
      <w:pPr>
        <w:spacing w:before="120" w:after="120"/>
      </w:pPr>
      <w:r w:rsidRPr="003D733D">
        <w:rPr>
          <w:rFonts w:ascii="Sylfaen" w:hAnsi="Sylfaen" w:cs="Sylfaen"/>
        </w:rPr>
        <w:t>საჩივრის</w:t>
      </w:r>
      <w:r w:rsidRPr="003D733D">
        <w:t xml:space="preserve"> </w:t>
      </w:r>
      <w:r w:rsidRPr="003D733D">
        <w:rPr>
          <w:rFonts w:ascii="Sylfaen" w:hAnsi="Sylfaen" w:cs="Sylfaen"/>
        </w:rPr>
        <w:t>მიღების</w:t>
      </w:r>
      <w:r w:rsidRPr="003D733D">
        <w:t xml:space="preserve"> </w:t>
      </w:r>
      <w:r w:rsidRPr="003D733D">
        <w:rPr>
          <w:rFonts w:ascii="Sylfaen" w:hAnsi="Sylfaen" w:cs="Sylfaen"/>
        </w:rPr>
        <w:t>თარიღი</w:t>
      </w:r>
    </w:p>
    <w:p w14:paraId="75A0F002" w14:textId="77777777" w:rsidR="00CE1A11" w:rsidRPr="003D733D" w:rsidRDefault="00CE1A11" w:rsidP="004B1ED5">
      <w:pPr>
        <w:spacing w:before="120" w:after="120"/>
      </w:pPr>
      <w:r w:rsidRPr="003D733D">
        <w:rPr>
          <w:rFonts w:ascii="Sylfaen" w:hAnsi="Sylfaen" w:cs="Sylfaen"/>
        </w:rPr>
        <w:t>საჩივრის</w:t>
      </w:r>
      <w:r w:rsidRPr="003D733D">
        <w:t xml:space="preserve"> </w:t>
      </w:r>
      <w:r w:rsidRPr="003D733D">
        <w:rPr>
          <w:rFonts w:ascii="Sylfaen" w:hAnsi="Sylfaen" w:cs="Sylfaen"/>
        </w:rPr>
        <w:t>ფორმა</w:t>
      </w:r>
      <w:r w:rsidRPr="003D733D">
        <w:t xml:space="preserve"> - (</w:t>
      </w:r>
      <w:r w:rsidRPr="003D733D">
        <w:rPr>
          <w:rFonts w:ascii="Sylfaen" w:hAnsi="Sylfaen" w:cs="Sylfaen"/>
        </w:rPr>
        <w:t>ზეპირი</w:t>
      </w:r>
      <w:r w:rsidRPr="003D733D">
        <w:t xml:space="preserve"> </w:t>
      </w:r>
      <w:r w:rsidRPr="003D733D">
        <w:rPr>
          <w:rFonts w:ascii="Sylfaen" w:hAnsi="Sylfaen" w:cs="Sylfaen"/>
        </w:rPr>
        <w:t>ან</w:t>
      </w:r>
      <w:r w:rsidRPr="003D733D">
        <w:t xml:space="preserve"> </w:t>
      </w:r>
      <w:r w:rsidRPr="003D733D">
        <w:rPr>
          <w:rFonts w:ascii="Sylfaen" w:hAnsi="Sylfaen" w:cs="Sylfaen"/>
        </w:rPr>
        <w:t>წერილობითი</w:t>
      </w:r>
      <w:r w:rsidRPr="003D733D">
        <w:t>)</w:t>
      </w:r>
    </w:p>
    <w:p w14:paraId="3A24604F" w14:textId="77777777" w:rsidR="00CE1A11" w:rsidRPr="003D733D" w:rsidRDefault="00CE1A11" w:rsidP="004B1ED5">
      <w:pPr>
        <w:spacing w:before="120" w:after="120"/>
      </w:pPr>
      <w:r w:rsidRPr="003D733D">
        <w:rPr>
          <w:rFonts w:ascii="Sylfaen" w:hAnsi="Sylfaen" w:cs="Sylfaen"/>
        </w:rPr>
        <w:t>ვის</w:t>
      </w:r>
      <w:r w:rsidRPr="003D733D">
        <w:t xml:space="preserve"> </w:t>
      </w:r>
      <w:r w:rsidRPr="003D733D">
        <w:rPr>
          <w:rFonts w:ascii="Sylfaen" w:hAnsi="Sylfaen" w:cs="Sylfaen"/>
        </w:rPr>
        <w:t>ეხებოდა</w:t>
      </w:r>
      <w:r w:rsidRPr="003D733D">
        <w:t xml:space="preserve"> </w:t>
      </w:r>
      <w:r w:rsidRPr="003D733D">
        <w:rPr>
          <w:rFonts w:ascii="Sylfaen" w:hAnsi="Sylfaen" w:cs="Sylfaen"/>
        </w:rPr>
        <w:t>საჩივარი</w:t>
      </w:r>
      <w:r w:rsidRPr="003D733D">
        <w:t xml:space="preserve"> </w:t>
      </w:r>
      <w:r w:rsidRPr="003D733D">
        <w:rPr>
          <w:rFonts w:ascii="Sylfaen" w:hAnsi="Sylfaen" w:cs="Sylfaen"/>
        </w:rPr>
        <w:t>თავდაპირველად</w:t>
      </w:r>
      <w:r w:rsidRPr="003D733D">
        <w:t xml:space="preserve"> (</w:t>
      </w:r>
      <w:r w:rsidRPr="003D733D">
        <w:rPr>
          <w:rFonts w:ascii="Sylfaen" w:hAnsi="Sylfaen" w:cs="Sylfaen"/>
        </w:rPr>
        <w:t>პროცესის</w:t>
      </w:r>
      <w:r w:rsidRPr="003D733D">
        <w:t xml:space="preserve"> </w:t>
      </w:r>
      <w:r w:rsidRPr="003D733D">
        <w:rPr>
          <w:rFonts w:ascii="Sylfaen" w:hAnsi="Sylfaen" w:cs="Sylfaen"/>
        </w:rPr>
        <w:t>დაწყება</w:t>
      </w:r>
      <w:r w:rsidRPr="003D733D">
        <w:t>)</w:t>
      </w:r>
    </w:p>
    <w:p w14:paraId="208F799D" w14:textId="77777777" w:rsidR="00CE1A11" w:rsidRPr="003D733D" w:rsidRDefault="00CE1A11" w:rsidP="004B1ED5">
      <w:pPr>
        <w:spacing w:before="120" w:after="120"/>
      </w:pPr>
      <w:r w:rsidRPr="003D733D">
        <w:rPr>
          <w:rFonts w:ascii="Sylfaen" w:hAnsi="Sylfaen" w:cs="Sylfaen"/>
        </w:rPr>
        <w:t>სარჩელის</w:t>
      </w:r>
      <w:r w:rsidRPr="003D733D">
        <w:t xml:space="preserve"> </w:t>
      </w:r>
      <w:r w:rsidRPr="003D733D">
        <w:rPr>
          <w:rFonts w:ascii="Sylfaen" w:hAnsi="Sylfaen" w:cs="Sylfaen"/>
        </w:rPr>
        <w:t>არსის</w:t>
      </w:r>
      <w:r w:rsidRPr="003D733D">
        <w:t xml:space="preserve"> </w:t>
      </w:r>
      <w:r w:rsidRPr="003D733D">
        <w:rPr>
          <w:rFonts w:ascii="Sylfaen" w:hAnsi="Sylfaen" w:cs="Sylfaen"/>
        </w:rPr>
        <w:t>მოკლე</w:t>
      </w:r>
      <w:r w:rsidRPr="003D733D">
        <w:t xml:space="preserve"> </w:t>
      </w:r>
      <w:r w:rsidRPr="003D733D">
        <w:rPr>
          <w:rFonts w:ascii="Sylfaen" w:hAnsi="Sylfaen" w:cs="Sylfaen"/>
        </w:rPr>
        <w:t>აღწერა</w:t>
      </w:r>
    </w:p>
    <w:p w14:paraId="3B393761" w14:textId="77777777" w:rsidR="00CE1A11" w:rsidRPr="003D733D" w:rsidRDefault="00CE1A11" w:rsidP="004B1ED5">
      <w:pPr>
        <w:spacing w:before="120" w:after="120"/>
      </w:pPr>
      <w:r w:rsidRPr="003D733D">
        <w:t>AP-</w:t>
      </w:r>
      <w:r w:rsidRPr="003D733D">
        <w:rPr>
          <w:rFonts w:ascii="Sylfaen" w:hAnsi="Sylfaen" w:cs="Sylfaen"/>
        </w:rPr>
        <w:t>თან</w:t>
      </w:r>
      <w:r w:rsidRPr="003D733D">
        <w:t xml:space="preserve"> </w:t>
      </w:r>
      <w:r w:rsidRPr="003D733D">
        <w:rPr>
          <w:rFonts w:ascii="Sylfaen" w:hAnsi="Sylfaen" w:cs="Sylfaen"/>
        </w:rPr>
        <w:t>და</w:t>
      </w:r>
      <w:r w:rsidRPr="003D733D">
        <w:t xml:space="preserve"> GRCE-</w:t>
      </w:r>
      <w:r w:rsidRPr="003D733D">
        <w:rPr>
          <w:rFonts w:ascii="Sylfaen" w:hAnsi="Sylfaen" w:cs="Sylfaen"/>
        </w:rPr>
        <w:t>თან</w:t>
      </w:r>
      <w:r w:rsidRPr="003D733D">
        <w:t xml:space="preserve"> </w:t>
      </w:r>
      <w:r w:rsidRPr="003D733D">
        <w:rPr>
          <w:rFonts w:ascii="Sylfaen" w:hAnsi="Sylfaen" w:cs="Sylfaen"/>
        </w:rPr>
        <w:t>მოლაპარაკებების</w:t>
      </w:r>
      <w:r w:rsidRPr="003D733D">
        <w:t xml:space="preserve"> </w:t>
      </w:r>
      <w:r w:rsidRPr="003D733D">
        <w:rPr>
          <w:rFonts w:ascii="Sylfaen" w:hAnsi="Sylfaen" w:cs="Sylfaen"/>
        </w:rPr>
        <w:t>ეტაპები</w:t>
      </w:r>
      <w:r w:rsidRPr="003D733D">
        <w:t xml:space="preserve">, </w:t>
      </w:r>
      <w:r w:rsidRPr="003D733D">
        <w:rPr>
          <w:rFonts w:ascii="Sylfaen" w:hAnsi="Sylfaen" w:cs="Sylfaen"/>
        </w:rPr>
        <w:t>ვადები</w:t>
      </w:r>
      <w:r w:rsidRPr="003D733D">
        <w:t xml:space="preserve"> </w:t>
      </w:r>
      <w:r w:rsidRPr="003D733D">
        <w:rPr>
          <w:rFonts w:ascii="Sylfaen" w:hAnsi="Sylfaen" w:cs="Sylfaen"/>
        </w:rPr>
        <w:t>და</w:t>
      </w:r>
      <w:r w:rsidRPr="003D733D">
        <w:t xml:space="preserve"> </w:t>
      </w:r>
      <w:r w:rsidRPr="003D733D">
        <w:rPr>
          <w:rFonts w:ascii="Sylfaen" w:hAnsi="Sylfaen" w:cs="Sylfaen"/>
        </w:rPr>
        <w:t>მონაწილეები</w:t>
      </w:r>
      <w:r w:rsidRPr="003D733D">
        <w:t xml:space="preserve"> (</w:t>
      </w:r>
      <w:r w:rsidRPr="003D733D">
        <w:rPr>
          <w:rFonts w:ascii="Sylfaen" w:hAnsi="Sylfaen" w:cs="Sylfaen"/>
        </w:rPr>
        <w:t>ეტაპი</w:t>
      </w:r>
      <w:r w:rsidRPr="003D733D">
        <w:t xml:space="preserve"> 1)</w:t>
      </w:r>
    </w:p>
    <w:p w14:paraId="1D0E58AF" w14:textId="77777777" w:rsidR="00CE1A11" w:rsidRPr="003D733D" w:rsidRDefault="00CE1A11" w:rsidP="004B1ED5">
      <w:pPr>
        <w:spacing w:before="120" w:after="120"/>
      </w:pPr>
      <w:r w:rsidRPr="003D733D">
        <w:rPr>
          <w:rFonts w:ascii="Sylfaen" w:hAnsi="Sylfaen" w:cs="Sylfaen"/>
        </w:rPr>
        <w:t>შეხვედრების</w:t>
      </w:r>
      <w:r w:rsidRPr="003D733D">
        <w:t xml:space="preserve"> </w:t>
      </w:r>
      <w:r w:rsidRPr="003D733D">
        <w:rPr>
          <w:rFonts w:ascii="Sylfaen" w:hAnsi="Sylfaen" w:cs="Sylfaen"/>
        </w:rPr>
        <w:t>ოქმი</w:t>
      </w:r>
    </w:p>
    <w:p w14:paraId="4A6D0040" w14:textId="77777777" w:rsidR="00CE1A11" w:rsidRPr="003D733D" w:rsidRDefault="00CE1A11" w:rsidP="004B1ED5">
      <w:pPr>
        <w:spacing w:before="120" w:after="120"/>
      </w:pPr>
      <w:r w:rsidRPr="003D733D">
        <w:t>GRCE-</w:t>
      </w:r>
      <w:r w:rsidRPr="003D733D">
        <w:rPr>
          <w:rFonts w:ascii="Sylfaen" w:hAnsi="Sylfaen" w:cs="Sylfaen"/>
        </w:rPr>
        <w:t>ს</w:t>
      </w:r>
      <w:r w:rsidRPr="003D733D">
        <w:t xml:space="preserve"> </w:t>
      </w:r>
      <w:r w:rsidRPr="003D733D">
        <w:rPr>
          <w:rFonts w:ascii="Sylfaen" w:hAnsi="Sylfaen" w:cs="Sylfaen"/>
        </w:rPr>
        <w:t>საბოლოო</w:t>
      </w:r>
      <w:r w:rsidRPr="003D733D">
        <w:t xml:space="preserve"> </w:t>
      </w:r>
      <w:r w:rsidRPr="003D733D">
        <w:rPr>
          <w:rFonts w:ascii="Sylfaen" w:hAnsi="Sylfaen" w:cs="Sylfaen"/>
        </w:rPr>
        <w:t>გადაწყვეტილება</w:t>
      </w:r>
      <w:r w:rsidRPr="003D733D">
        <w:t xml:space="preserve"> (</w:t>
      </w:r>
      <w:r w:rsidRPr="003D733D">
        <w:rPr>
          <w:rFonts w:ascii="Sylfaen" w:hAnsi="Sylfaen" w:cs="Sylfaen"/>
        </w:rPr>
        <w:t>დავის</w:t>
      </w:r>
      <w:r w:rsidRPr="003D733D">
        <w:t xml:space="preserve"> </w:t>
      </w:r>
      <w:r w:rsidRPr="003D733D">
        <w:rPr>
          <w:rFonts w:ascii="Sylfaen" w:hAnsi="Sylfaen" w:cs="Sylfaen"/>
        </w:rPr>
        <w:t>გადაწყვეტის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გადაწყვეტილება</w:t>
      </w:r>
      <w:r w:rsidRPr="003D733D">
        <w:t xml:space="preserve"> </w:t>
      </w:r>
      <w:r w:rsidRPr="003D733D">
        <w:rPr>
          <w:rFonts w:ascii="Sylfaen" w:hAnsi="Sylfaen" w:cs="Sylfaen"/>
        </w:rPr>
        <w:t>ეხება</w:t>
      </w:r>
      <w:r w:rsidRPr="003D733D">
        <w:t xml:space="preserve"> </w:t>
      </w:r>
      <w:r w:rsidRPr="003D733D">
        <w:rPr>
          <w:rFonts w:ascii="Sylfaen" w:hAnsi="Sylfaen" w:cs="Sylfaen"/>
        </w:rPr>
        <w:t>საკითხის</w:t>
      </w:r>
      <w:r w:rsidRPr="003D733D">
        <w:t xml:space="preserve"> </w:t>
      </w:r>
      <w:r w:rsidRPr="003D733D">
        <w:rPr>
          <w:rFonts w:ascii="Sylfaen" w:hAnsi="Sylfaen" w:cs="Sylfaen"/>
        </w:rPr>
        <w:t>დახურვას</w:t>
      </w:r>
      <w:r w:rsidRPr="003D733D">
        <w:t xml:space="preserve">. </w:t>
      </w:r>
      <w:r w:rsidRPr="003D733D">
        <w:rPr>
          <w:rFonts w:ascii="Sylfaen" w:hAnsi="Sylfaen" w:cs="Sylfaen"/>
        </w:rPr>
        <w:t>ხოლო</w:t>
      </w:r>
      <w:r w:rsidRPr="003D733D">
        <w:t xml:space="preserve"> </w:t>
      </w:r>
      <w:r w:rsidRPr="003D733D">
        <w:rPr>
          <w:rFonts w:ascii="Sylfaen" w:hAnsi="Sylfaen" w:cs="Sylfaen"/>
        </w:rPr>
        <w:t>თუ</w:t>
      </w:r>
      <w:r w:rsidRPr="003D733D">
        <w:t xml:space="preserve"> </w:t>
      </w:r>
      <w:r w:rsidRPr="003D733D">
        <w:rPr>
          <w:rFonts w:ascii="Sylfaen" w:hAnsi="Sylfaen" w:cs="Sylfaen"/>
        </w:rPr>
        <w:t>დავა</w:t>
      </w:r>
      <w:r w:rsidRPr="003D733D">
        <w:t xml:space="preserve"> </w:t>
      </w:r>
      <w:r w:rsidRPr="003D733D">
        <w:rPr>
          <w:rFonts w:ascii="Sylfaen" w:hAnsi="Sylfaen" w:cs="Sylfaen"/>
        </w:rPr>
        <w:t>ვერ</w:t>
      </w:r>
      <w:r w:rsidRPr="003D733D">
        <w:t xml:space="preserve"> </w:t>
      </w:r>
      <w:r w:rsidRPr="003D733D">
        <w:rPr>
          <w:rFonts w:ascii="Sylfaen" w:hAnsi="Sylfaen" w:cs="Sylfaen"/>
        </w:rPr>
        <w:t>გადაწყდა</w:t>
      </w:r>
      <w:r w:rsidRPr="003D733D">
        <w:t xml:space="preserve">, </w:t>
      </w:r>
      <w:r w:rsidRPr="003D733D">
        <w:rPr>
          <w:rFonts w:ascii="Sylfaen" w:hAnsi="Sylfaen" w:cs="Sylfaen"/>
        </w:rPr>
        <w:t>ეს</w:t>
      </w:r>
      <w:r w:rsidRPr="003D733D">
        <w:t xml:space="preserve"> </w:t>
      </w:r>
      <w:r w:rsidRPr="003D733D">
        <w:rPr>
          <w:rFonts w:ascii="Sylfaen" w:hAnsi="Sylfaen" w:cs="Sylfaen"/>
        </w:rPr>
        <w:t>გადაწყვეტილება</w:t>
      </w:r>
      <w:r w:rsidRPr="003D733D">
        <w:t xml:space="preserve"> </w:t>
      </w:r>
      <w:r w:rsidRPr="003D733D">
        <w:rPr>
          <w:rFonts w:ascii="Sylfaen" w:hAnsi="Sylfaen" w:cs="Sylfaen"/>
        </w:rPr>
        <w:t>საჩივრის</w:t>
      </w:r>
      <w:r w:rsidRPr="003D733D">
        <w:t xml:space="preserve"> </w:t>
      </w:r>
      <w:r w:rsidRPr="003D733D">
        <w:rPr>
          <w:rFonts w:ascii="Sylfaen" w:hAnsi="Sylfaen" w:cs="Sylfaen"/>
        </w:rPr>
        <w:t>გადამისამართების</w:t>
      </w:r>
      <w:r w:rsidRPr="003D733D">
        <w:t xml:space="preserve"> </w:t>
      </w:r>
      <w:r w:rsidRPr="003D733D">
        <w:rPr>
          <w:rFonts w:ascii="Sylfaen" w:hAnsi="Sylfaen" w:cs="Sylfaen"/>
        </w:rPr>
        <w:t>პროცესის</w:t>
      </w:r>
      <w:r w:rsidRPr="003D733D">
        <w:t xml:space="preserve"> </w:t>
      </w:r>
      <w:r w:rsidRPr="003D733D">
        <w:rPr>
          <w:rFonts w:ascii="Sylfaen" w:hAnsi="Sylfaen" w:cs="Sylfaen"/>
        </w:rPr>
        <w:t>მეორე</w:t>
      </w:r>
      <w:r w:rsidRPr="003D733D">
        <w:t xml:space="preserve"> </w:t>
      </w:r>
      <w:r w:rsidRPr="003D733D">
        <w:rPr>
          <w:rFonts w:ascii="Sylfaen" w:hAnsi="Sylfaen" w:cs="Sylfaen"/>
        </w:rPr>
        <w:t>ეტაპზე</w:t>
      </w:r>
      <w:r w:rsidRPr="003D733D">
        <w:t xml:space="preserve"> </w:t>
      </w:r>
      <w:r w:rsidRPr="003D733D">
        <w:rPr>
          <w:rFonts w:ascii="Sylfaen" w:hAnsi="Sylfaen" w:cs="Sylfaen"/>
        </w:rPr>
        <w:t>გადადის</w:t>
      </w:r>
      <w:r w:rsidRPr="003D733D">
        <w:t>)</w:t>
      </w:r>
    </w:p>
    <w:p w14:paraId="52AF6673" w14:textId="77777777" w:rsidR="00CE1A11" w:rsidRPr="003D733D" w:rsidRDefault="00CE1A11" w:rsidP="004B1ED5">
      <w:pPr>
        <w:spacing w:before="120" w:after="120"/>
      </w:pPr>
      <w:r w:rsidRPr="003D733D">
        <w:t xml:space="preserve">GRCE </w:t>
      </w:r>
      <w:r w:rsidRPr="003D733D">
        <w:rPr>
          <w:rFonts w:ascii="Sylfaen" w:hAnsi="Sylfaen" w:cs="Sylfaen"/>
        </w:rPr>
        <w:t>მიერ</w:t>
      </w:r>
      <w:r w:rsidRPr="003D733D">
        <w:t xml:space="preserve"> </w:t>
      </w:r>
      <w:r w:rsidRPr="003D733D">
        <w:rPr>
          <w:rFonts w:ascii="Sylfaen" w:hAnsi="Sylfaen" w:cs="Sylfaen"/>
        </w:rPr>
        <w:t>გადაწყვეტილების</w:t>
      </w:r>
      <w:r w:rsidRPr="003D733D">
        <w:t xml:space="preserve"> </w:t>
      </w:r>
      <w:r w:rsidRPr="003D733D">
        <w:rPr>
          <w:rFonts w:ascii="Sylfaen" w:hAnsi="Sylfaen" w:cs="Sylfaen"/>
        </w:rPr>
        <w:t>მიღების</w:t>
      </w:r>
      <w:r w:rsidRPr="003D733D">
        <w:t xml:space="preserve"> </w:t>
      </w:r>
      <w:r w:rsidRPr="003D733D">
        <w:rPr>
          <w:rFonts w:ascii="Sylfaen" w:hAnsi="Sylfaen" w:cs="Sylfaen"/>
        </w:rPr>
        <w:t>თარიღი</w:t>
      </w:r>
    </w:p>
    <w:p w14:paraId="2DFA2365" w14:textId="77777777" w:rsidR="00CE1A11" w:rsidRPr="003D733D" w:rsidRDefault="00CE1A11" w:rsidP="004B1ED5">
      <w:pPr>
        <w:spacing w:before="120" w:after="120"/>
      </w:pPr>
      <w:r w:rsidRPr="003D733D">
        <w:t>GRCE-</w:t>
      </w:r>
      <w:r w:rsidRPr="003D733D">
        <w:rPr>
          <w:rFonts w:ascii="Sylfaen" w:hAnsi="Sylfaen" w:cs="Sylfaen"/>
        </w:rPr>
        <w:t>ის</w:t>
      </w:r>
      <w:r w:rsidRPr="003D733D">
        <w:t xml:space="preserve"> </w:t>
      </w:r>
      <w:r w:rsidRPr="003D733D">
        <w:rPr>
          <w:rFonts w:ascii="Sylfaen" w:hAnsi="Sylfaen" w:cs="Sylfaen"/>
        </w:rPr>
        <w:t>დახმარებით</w:t>
      </w:r>
      <w:r w:rsidRPr="003D733D">
        <w:t xml:space="preserve"> AP-</w:t>
      </w:r>
      <w:r w:rsidRPr="003D733D">
        <w:rPr>
          <w:rFonts w:ascii="Sylfaen" w:hAnsi="Sylfaen" w:cs="Sylfaen"/>
        </w:rPr>
        <w:t>ს</w:t>
      </w:r>
      <w:r w:rsidRPr="003D733D">
        <w:t xml:space="preserve"> </w:t>
      </w:r>
      <w:r w:rsidRPr="003D733D">
        <w:rPr>
          <w:rFonts w:ascii="Sylfaen" w:hAnsi="Sylfaen" w:cs="Sylfaen"/>
        </w:rPr>
        <w:t>მიერ</w:t>
      </w:r>
      <w:r w:rsidRPr="003D733D">
        <w:t xml:space="preserve"> </w:t>
      </w:r>
      <w:r w:rsidRPr="003D733D">
        <w:rPr>
          <w:rFonts w:ascii="Sylfaen" w:hAnsi="Sylfaen" w:cs="Sylfaen"/>
        </w:rPr>
        <w:t>მომზადებული</w:t>
      </w:r>
      <w:r w:rsidRPr="003D733D">
        <w:t xml:space="preserve"> </w:t>
      </w:r>
      <w:r w:rsidRPr="003D733D">
        <w:rPr>
          <w:rFonts w:ascii="Sylfaen" w:hAnsi="Sylfaen" w:cs="Sylfaen"/>
        </w:rPr>
        <w:t>დოკუმენტების</w:t>
      </w:r>
      <w:r w:rsidRPr="003D733D">
        <w:t xml:space="preserve"> </w:t>
      </w:r>
      <w:r w:rsidRPr="003D733D">
        <w:rPr>
          <w:rFonts w:ascii="Sylfaen" w:hAnsi="Sylfaen" w:cs="Sylfaen"/>
        </w:rPr>
        <w:t>გადაცემა</w:t>
      </w:r>
      <w:r w:rsidRPr="003D733D">
        <w:t xml:space="preserve"> GRCN-</w:t>
      </w:r>
      <w:r w:rsidRPr="003D733D">
        <w:rPr>
          <w:rFonts w:ascii="Sylfaen" w:hAnsi="Sylfaen" w:cs="Sylfaen"/>
        </w:rPr>
        <w:t>ისთვის</w:t>
      </w:r>
    </w:p>
    <w:p w14:paraId="702C9675" w14:textId="77777777" w:rsidR="00CE1A11" w:rsidRPr="003D733D" w:rsidRDefault="00CE1A11" w:rsidP="004B1ED5">
      <w:pPr>
        <w:spacing w:before="120" w:after="120"/>
        <w:rPr>
          <w:lang w:val="ka-GE"/>
        </w:rPr>
      </w:pPr>
      <w:r w:rsidRPr="003D733D">
        <w:rPr>
          <w:rFonts w:ascii="Sylfaen" w:hAnsi="Sylfaen" w:cs="Sylfaen"/>
        </w:rPr>
        <w:t>ჩანაწერების</w:t>
      </w:r>
      <w:r w:rsidRPr="003D733D">
        <w:t>/</w:t>
      </w:r>
      <w:r w:rsidRPr="003D733D">
        <w:rPr>
          <w:rFonts w:ascii="Sylfaen" w:hAnsi="Sylfaen" w:cs="Sylfaen"/>
        </w:rPr>
        <w:t>დოკუმენტაციის</w:t>
      </w:r>
      <w:r w:rsidRPr="003D733D">
        <w:t xml:space="preserve"> </w:t>
      </w:r>
      <w:r w:rsidRPr="003D733D">
        <w:rPr>
          <w:rFonts w:ascii="Sylfaen" w:hAnsi="Sylfaen" w:cs="Sylfaen"/>
        </w:rPr>
        <w:t>ასლები</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შენახულ</w:t>
      </w:r>
      <w:r w:rsidRPr="003D733D">
        <w:t xml:space="preserve"> </w:t>
      </w:r>
      <w:r w:rsidRPr="003D733D">
        <w:rPr>
          <w:rFonts w:ascii="Sylfaen" w:hAnsi="Sylfaen" w:cs="Sylfaen"/>
        </w:rPr>
        <w:t>იქნას</w:t>
      </w:r>
      <w:r w:rsidRPr="003D733D">
        <w:t xml:space="preserve"> </w:t>
      </w:r>
      <w:r w:rsidRPr="003D733D">
        <w:rPr>
          <w:rFonts w:ascii="Sylfaen" w:hAnsi="Sylfaen" w:cs="Sylfaen"/>
        </w:rPr>
        <w:t>მუნიციპალიტეტის</w:t>
      </w:r>
      <w:r w:rsidRPr="003D733D">
        <w:t xml:space="preserve"> </w:t>
      </w:r>
      <w:r w:rsidRPr="003D733D">
        <w:rPr>
          <w:rFonts w:ascii="Sylfaen" w:hAnsi="Sylfaen" w:cs="Sylfaen"/>
        </w:rPr>
        <w:t>ოფისში</w:t>
      </w:r>
      <w:r w:rsidRPr="003D733D">
        <w:t>.</w:t>
      </w:r>
    </w:p>
    <w:p w14:paraId="7994EC41" w14:textId="77777777" w:rsidR="00CE1A11" w:rsidRPr="003D733D" w:rsidRDefault="00CE1A11" w:rsidP="004B1ED5">
      <w:pPr>
        <w:spacing w:before="120" w:after="120"/>
      </w:pPr>
      <w:bookmarkStart w:id="549" w:name="_Toc436594012"/>
      <w:bookmarkStart w:id="550" w:name="_Toc350864376"/>
      <w:bookmarkStart w:id="551" w:name="_Toc347603065"/>
      <w:bookmarkStart w:id="552" w:name="_Toc315084894"/>
      <w:bookmarkStart w:id="553" w:name="_Toc312401227"/>
      <w:bookmarkStart w:id="554" w:name="_Toc310597706"/>
      <w:bookmarkStart w:id="555" w:name="_Toc309627401"/>
      <w:bookmarkStart w:id="556" w:name="_Toc309627038"/>
      <w:bookmarkStart w:id="557" w:name="_Toc305394243"/>
      <w:bookmarkStart w:id="558" w:name="_Toc304883183"/>
      <w:bookmarkStart w:id="559" w:name="_Toc304882903"/>
      <w:bookmarkStart w:id="560" w:name="_Toc304882685"/>
      <w:bookmarkStart w:id="561" w:name="_Toc304882510"/>
      <w:bookmarkStart w:id="562" w:name="_Toc304882241"/>
      <w:bookmarkStart w:id="563" w:name="_Toc304881817"/>
      <w:bookmarkStart w:id="564" w:name="_Toc304400209"/>
    </w:p>
    <w:p w14:paraId="61386D3A" w14:textId="77777777" w:rsidR="00CE1A11" w:rsidRPr="003D733D" w:rsidRDefault="00CE1A11" w:rsidP="00CE1A11"/>
    <w:p w14:paraId="4CC32E66" w14:textId="77777777" w:rsidR="00CE1A11" w:rsidRPr="003D733D" w:rsidRDefault="00CE1A11" w:rsidP="00CE1A11"/>
    <w:p w14:paraId="76D7E135" w14:textId="77777777" w:rsidR="00CE1A11" w:rsidRPr="003D733D" w:rsidRDefault="00CE1A11" w:rsidP="00CE1A11"/>
    <w:p w14:paraId="52E7AC82" w14:textId="77777777" w:rsidR="00CE1A11" w:rsidRPr="003D733D" w:rsidRDefault="00CE1A11" w:rsidP="00CE1A11"/>
    <w:p w14:paraId="1CD1D39E" w14:textId="77777777" w:rsidR="00CE1A11" w:rsidRPr="003D733D" w:rsidRDefault="00CE1A11" w:rsidP="00CE1A11"/>
    <w:p w14:paraId="38B00674" w14:textId="77777777" w:rsidR="00CE1A11" w:rsidRPr="003D733D" w:rsidRDefault="00CE1A11" w:rsidP="00CE1A11"/>
    <w:p w14:paraId="53F45081" w14:textId="77777777" w:rsidR="00CE1A11" w:rsidRPr="003D733D" w:rsidRDefault="00CE1A11" w:rsidP="00CE1A11"/>
    <w:p w14:paraId="5EC13FD3" w14:textId="77777777" w:rsidR="00CE1A11" w:rsidRPr="003D733D" w:rsidRDefault="00CE1A11" w:rsidP="00CE1A11"/>
    <w:p w14:paraId="36BA6F20" w14:textId="77777777" w:rsidR="00CE1A11" w:rsidRPr="003D733D" w:rsidRDefault="00CE1A11" w:rsidP="00CE1A11"/>
    <w:p w14:paraId="2945E090" w14:textId="77777777" w:rsidR="00CE1A11" w:rsidRPr="003D733D" w:rsidRDefault="00CE1A11" w:rsidP="00CE1A11"/>
    <w:p w14:paraId="78C4C827" w14:textId="77777777" w:rsidR="00CE1A11" w:rsidRPr="003D733D" w:rsidRDefault="00CE1A11" w:rsidP="00CE1A11"/>
    <w:p w14:paraId="303F8A30" w14:textId="77777777" w:rsidR="00CE1A11" w:rsidRPr="003D733D" w:rsidRDefault="00CE1A11" w:rsidP="00CE1A11"/>
    <w:p w14:paraId="10A51D65" w14:textId="77777777" w:rsidR="00CE1A11" w:rsidRPr="003D733D" w:rsidRDefault="00CE1A11" w:rsidP="00CE1A11"/>
    <w:p w14:paraId="296569E2" w14:textId="77777777" w:rsidR="00CE1A11" w:rsidRPr="003D733D" w:rsidRDefault="00CE1A11" w:rsidP="00CE1A11"/>
    <w:p w14:paraId="329BD3CD" w14:textId="77777777" w:rsidR="00CE1A11" w:rsidRPr="003D733D" w:rsidRDefault="00CE1A11" w:rsidP="00CE1A11"/>
    <w:p w14:paraId="1F192B01" w14:textId="77777777" w:rsidR="00CE1A11" w:rsidRPr="003D733D" w:rsidRDefault="00CE1A11" w:rsidP="00CE1A11"/>
    <w:p w14:paraId="23937C70" w14:textId="77777777" w:rsidR="00CE1A11" w:rsidRPr="003D733D" w:rsidRDefault="00CE1A11" w:rsidP="00CE1A11"/>
    <w:p w14:paraId="6C199B91" w14:textId="77777777" w:rsidR="00CE1A11" w:rsidRPr="003D733D" w:rsidRDefault="00CE1A11" w:rsidP="00CE1A11"/>
    <w:p w14:paraId="2D720370" w14:textId="77777777" w:rsidR="00CE1A11" w:rsidRPr="003D733D" w:rsidRDefault="00CE1A11" w:rsidP="00CE1A11"/>
    <w:p w14:paraId="09FA999C" w14:textId="77777777" w:rsidR="00CE1A11" w:rsidRPr="003D733D" w:rsidRDefault="00CE1A11" w:rsidP="00CE1A11"/>
    <w:p w14:paraId="6DE3B8CE" w14:textId="77777777" w:rsidR="00CE1A11" w:rsidRPr="003D733D" w:rsidRDefault="00CE1A11" w:rsidP="00CE1A11"/>
    <w:p w14:paraId="5435AD72" w14:textId="77777777" w:rsidR="00CE1A11" w:rsidRPr="003D733D" w:rsidRDefault="00CE1A11" w:rsidP="00CE1A11"/>
    <w:p w14:paraId="2A4BDCEF" w14:textId="77777777" w:rsidR="00CE1A11" w:rsidRPr="003D733D" w:rsidRDefault="00CE1A11" w:rsidP="00CE1A11"/>
    <w:p w14:paraId="3B679397" w14:textId="6ED6D888" w:rsidR="00CE1A11" w:rsidRDefault="00CE1A11" w:rsidP="00CE1A11"/>
    <w:p w14:paraId="68129139" w14:textId="77777777" w:rsidR="00CE1A11" w:rsidRPr="003D733D" w:rsidRDefault="00CE1A11" w:rsidP="008168A3">
      <w:pPr>
        <w:pStyle w:val="EIAH1"/>
        <w:numPr>
          <w:ilvl w:val="0"/>
          <w:numId w:val="0"/>
        </w:numPr>
        <w:ind w:left="720" w:hanging="720"/>
      </w:pPr>
      <w:bookmarkStart w:id="565" w:name="_Toc529977438"/>
      <w:bookmarkStart w:id="566" w:name="_Toc499115179"/>
      <w:bookmarkStart w:id="567" w:name="_Toc1581596"/>
      <w:r w:rsidRPr="003D733D">
        <w:lastRenderedPageBreak/>
        <w:t>11 დასკვნები და რეკომენდაციები</w:t>
      </w:r>
      <w:bookmarkEnd w:id="565"/>
      <w:bookmarkEnd w:id="566"/>
      <w:bookmarkEnd w:id="567"/>
    </w:p>
    <w:p w14:paraId="2B5A1884" w14:textId="77777777" w:rsidR="00CE1A11" w:rsidRPr="003D733D" w:rsidRDefault="00CE1A11" w:rsidP="00CE1A11">
      <w:r w:rsidRPr="003D733D">
        <w:rPr>
          <w:rFonts w:ascii="Sylfaen" w:hAnsi="Sylfaen" w:cs="Sylfaen"/>
        </w:rPr>
        <w:t>საავტომობილო</w:t>
      </w:r>
      <w:r w:rsidRPr="003D733D">
        <w:t xml:space="preserve"> </w:t>
      </w:r>
      <w:r w:rsidRPr="003D733D">
        <w:rPr>
          <w:rFonts w:ascii="Sylfaen" w:hAnsi="Sylfaen" w:cs="Sylfaen"/>
        </w:rPr>
        <w:t>გზის</w:t>
      </w:r>
      <w:r w:rsidRPr="003D733D">
        <w:t xml:space="preserve"> </w:t>
      </w:r>
      <w:r w:rsidRPr="003D733D">
        <w:rPr>
          <w:rFonts w:ascii="Sylfaen" w:hAnsi="Sylfaen" w:cs="Sylfaen"/>
        </w:rPr>
        <w:t>მშენებლობის</w:t>
      </w:r>
      <w:r w:rsidRPr="003D733D">
        <w:t xml:space="preserve"> </w:t>
      </w:r>
      <w:r w:rsidRPr="003D733D">
        <w:rPr>
          <w:rFonts w:ascii="Sylfaen" w:hAnsi="Sylfaen" w:cs="Sylfaen"/>
        </w:rPr>
        <w:t>და</w:t>
      </w:r>
      <w:r w:rsidRPr="003D733D">
        <w:t xml:space="preserve"> </w:t>
      </w:r>
      <w:r w:rsidRPr="003D733D">
        <w:rPr>
          <w:rFonts w:ascii="Sylfaen" w:hAnsi="Sylfaen" w:cs="Sylfaen"/>
        </w:rPr>
        <w:t>ექსპლუატაციის</w:t>
      </w:r>
      <w:r w:rsidRPr="003D733D">
        <w:t xml:space="preserve"> </w:t>
      </w:r>
      <w:r w:rsidRPr="003D733D">
        <w:rPr>
          <w:rFonts w:ascii="Sylfaen" w:hAnsi="Sylfaen" w:cs="Sylfaen"/>
        </w:rPr>
        <w:t>გარემოზე</w:t>
      </w:r>
      <w:r w:rsidRPr="003D733D">
        <w:t xml:space="preserve"> </w:t>
      </w:r>
      <w:r w:rsidRPr="003D733D">
        <w:rPr>
          <w:rFonts w:ascii="Sylfaen" w:hAnsi="Sylfaen" w:cs="Sylfaen"/>
        </w:rPr>
        <w:t>ზემოქმედების</w:t>
      </w:r>
      <w:r w:rsidRPr="003D733D">
        <w:t xml:space="preserve"> </w:t>
      </w:r>
      <w:r w:rsidRPr="003D733D">
        <w:rPr>
          <w:rFonts w:ascii="Sylfaen" w:hAnsi="Sylfaen" w:cs="Sylfaen"/>
        </w:rPr>
        <w:t>შეფასების</w:t>
      </w:r>
      <w:r w:rsidRPr="003D733D">
        <w:t xml:space="preserve"> </w:t>
      </w:r>
      <w:r w:rsidRPr="003D733D">
        <w:rPr>
          <w:rFonts w:ascii="Sylfaen" w:hAnsi="Sylfaen" w:cs="Sylfaen"/>
        </w:rPr>
        <w:t>ფარგლებში</w:t>
      </w:r>
      <w:r w:rsidRPr="003D733D">
        <w:t xml:space="preserve"> </w:t>
      </w:r>
      <w:r w:rsidRPr="003D733D">
        <w:rPr>
          <w:rFonts w:ascii="Sylfaen" w:hAnsi="Sylfaen" w:cs="Sylfaen"/>
        </w:rPr>
        <w:t>შემუშავდა</w:t>
      </w:r>
      <w:r w:rsidRPr="003D733D">
        <w:t xml:space="preserve"> </w:t>
      </w:r>
      <w:r w:rsidRPr="003D733D">
        <w:rPr>
          <w:rFonts w:ascii="Sylfaen" w:hAnsi="Sylfaen" w:cs="Sylfaen"/>
        </w:rPr>
        <w:t>შემდეგი</w:t>
      </w:r>
      <w:r w:rsidRPr="003D733D">
        <w:t xml:space="preserve"> </w:t>
      </w:r>
      <w:r w:rsidRPr="003D733D">
        <w:rPr>
          <w:rFonts w:ascii="Sylfaen" w:hAnsi="Sylfaen" w:cs="Sylfaen"/>
        </w:rPr>
        <w:t>დასკვნები</w:t>
      </w:r>
      <w:r w:rsidRPr="003D733D">
        <w:t xml:space="preserve"> </w:t>
      </w:r>
      <w:r w:rsidRPr="003D733D">
        <w:rPr>
          <w:rFonts w:ascii="Sylfaen" w:hAnsi="Sylfaen" w:cs="Sylfaen"/>
        </w:rPr>
        <w:t>და</w:t>
      </w:r>
      <w:r w:rsidRPr="003D733D">
        <w:t xml:space="preserve"> </w:t>
      </w:r>
      <w:r w:rsidRPr="003D733D">
        <w:rPr>
          <w:rFonts w:ascii="Sylfaen" w:hAnsi="Sylfaen" w:cs="Sylfaen"/>
        </w:rPr>
        <w:t>რეკომენდაციები</w:t>
      </w:r>
      <w:r w:rsidRPr="003D733D">
        <w:t>.</w:t>
      </w:r>
    </w:p>
    <w:p w14:paraId="3A6B4D81" w14:textId="77777777" w:rsidR="00CE1A11" w:rsidRPr="003D733D" w:rsidRDefault="00CE1A11" w:rsidP="00CE1A11">
      <w:bookmarkStart w:id="568" w:name="_Toc499115180"/>
      <w:bookmarkStart w:id="569" w:name="_Toc491249028"/>
      <w:r w:rsidRPr="003D733D">
        <w:rPr>
          <w:rFonts w:ascii="Sylfaen" w:hAnsi="Sylfaen" w:cs="Sylfaen"/>
        </w:rPr>
        <w:t>ძირითადი</w:t>
      </w:r>
      <w:r w:rsidRPr="003D733D">
        <w:t xml:space="preserve"> </w:t>
      </w:r>
      <w:r w:rsidRPr="003D733D">
        <w:rPr>
          <w:rFonts w:ascii="Sylfaen" w:hAnsi="Sylfaen" w:cs="Sylfaen"/>
        </w:rPr>
        <w:t>დასკვნები</w:t>
      </w:r>
      <w:r w:rsidRPr="003D733D">
        <w:t>:</w:t>
      </w:r>
      <w:bookmarkEnd w:id="568"/>
      <w:bookmarkEnd w:id="569"/>
    </w:p>
    <w:p w14:paraId="418927A1" w14:textId="77777777" w:rsidR="00CE1A11" w:rsidRPr="003D733D" w:rsidRDefault="00CE1A11" w:rsidP="00CE1A11">
      <w:r w:rsidRPr="003D733D">
        <w:rPr>
          <w:rFonts w:ascii="Sylfaen" w:hAnsi="Sylfaen" w:cs="Sylfaen"/>
        </w:rPr>
        <w:t>საპროექტო</w:t>
      </w:r>
      <w:r w:rsidRPr="003D733D">
        <w:t xml:space="preserve"> </w:t>
      </w:r>
      <w:r w:rsidRPr="003D733D">
        <w:rPr>
          <w:rFonts w:ascii="Sylfaen" w:hAnsi="Sylfaen" w:cs="Sylfaen"/>
        </w:rPr>
        <w:t>გზის</w:t>
      </w:r>
      <w:r w:rsidRPr="003D733D">
        <w:t xml:space="preserve"> </w:t>
      </w:r>
      <w:r w:rsidRPr="003D733D">
        <w:rPr>
          <w:rFonts w:ascii="Sylfaen" w:hAnsi="Sylfaen" w:cs="Sylfaen"/>
        </w:rPr>
        <w:t>დერეფანი</w:t>
      </w:r>
      <w:r w:rsidRPr="003D733D">
        <w:t xml:space="preserve"> </w:t>
      </w:r>
      <w:r w:rsidRPr="003D733D">
        <w:rPr>
          <w:rFonts w:ascii="Sylfaen" w:hAnsi="Sylfaen" w:cs="Sylfaen"/>
        </w:rPr>
        <w:t>გადის</w:t>
      </w:r>
      <w:r w:rsidRPr="003D733D">
        <w:t xml:space="preserve"> </w:t>
      </w:r>
      <w:r w:rsidRPr="003D733D">
        <w:rPr>
          <w:rFonts w:ascii="Sylfaen" w:hAnsi="Sylfaen" w:cs="Sylfaen"/>
        </w:rPr>
        <w:t>დაუსახლებელ</w:t>
      </w:r>
      <w:r w:rsidRPr="003D733D">
        <w:t xml:space="preserve"> </w:t>
      </w:r>
      <w:r w:rsidRPr="003D733D">
        <w:rPr>
          <w:rFonts w:ascii="Sylfaen" w:hAnsi="Sylfaen" w:cs="Sylfaen"/>
        </w:rPr>
        <w:t>ზონაში</w:t>
      </w:r>
      <w:r w:rsidRPr="003D733D">
        <w:t xml:space="preserve">. </w:t>
      </w:r>
      <w:r w:rsidRPr="003D733D">
        <w:rPr>
          <w:rFonts w:ascii="Sylfaen" w:hAnsi="Sylfaen" w:cs="Sylfaen"/>
        </w:rPr>
        <w:t>შესაბამისად</w:t>
      </w:r>
      <w:r w:rsidRPr="003D733D">
        <w:t xml:space="preserve"> </w:t>
      </w:r>
      <w:r w:rsidRPr="003D733D">
        <w:rPr>
          <w:rFonts w:ascii="Sylfaen" w:hAnsi="Sylfaen" w:cs="Sylfaen"/>
        </w:rPr>
        <w:t>პროექტის</w:t>
      </w:r>
      <w:r w:rsidRPr="003D733D">
        <w:t xml:space="preserve"> </w:t>
      </w:r>
      <w:r w:rsidRPr="003D733D">
        <w:rPr>
          <w:rFonts w:ascii="Sylfaen" w:hAnsi="Sylfaen" w:cs="Sylfaen"/>
        </w:rPr>
        <w:t>განხორციელების</w:t>
      </w:r>
      <w:r w:rsidRPr="003D733D">
        <w:t xml:space="preserve"> </w:t>
      </w:r>
      <w:r w:rsidRPr="003D733D">
        <w:rPr>
          <w:rFonts w:ascii="Sylfaen" w:hAnsi="Sylfaen" w:cs="Sylfaen"/>
        </w:rPr>
        <w:t>შედეგად</w:t>
      </w:r>
      <w:r w:rsidRPr="003D733D">
        <w:t xml:space="preserve"> (</w:t>
      </w:r>
      <w:r w:rsidRPr="003D733D">
        <w:rPr>
          <w:rFonts w:ascii="Sylfaen" w:hAnsi="Sylfaen" w:cs="Sylfaen"/>
        </w:rPr>
        <w:t>გზის</w:t>
      </w:r>
      <w:r w:rsidRPr="003D733D">
        <w:t xml:space="preserve"> </w:t>
      </w:r>
      <w:r w:rsidRPr="003D733D">
        <w:rPr>
          <w:rFonts w:ascii="Sylfaen" w:hAnsi="Sylfaen" w:cs="Sylfaen"/>
        </w:rPr>
        <w:t>მშენებლობა</w:t>
      </w:r>
      <w:r w:rsidRPr="003D733D">
        <w:t xml:space="preserve"> </w:t>
      </w:r>
      <w:r w:rsidRPr="003D733D">
        <w:rPr>
          <w:rFonts w:ascii="Sylfaen" w:hAnsi="Sylfaen" w:cs="Sylfaen"/>
        </w:rPr>
        <w:t>და</w:t>
      </w:r>
      <w:r w:rsidRPr="003D733D">
        <w:t xml:space="preserve"> </w:t>
      </w:r>
      <w:r w:rsidRPr="003D733D">
        <w:rPr>
          <w:rFonts w:ascii="Sylfaen" w:hAnsi="Sylfaen" w:cs="Sylfaen"/>
        </w:rPr>
        <w:t>ექსპლუატაცია</w:t>
      </w:r>
      <w:r w:rsidRPr="003D733D">
        <w:t xml:space="preserve">) </w:t>
      </w:r>
      <w:r w:rsidRPr="003D733D">
        <w:rPr>
          <w:rFonts w:ascii="Sylfaen" w:hAnsi="Sylfaen" w:cs="Sylfaen"/>
        </w:rPr>
        <w:t>ატმოსფერულ</w:t>
      </w:r>
      <w:r w:rsidRPr="003D733D">
        <w:t xml:space="preserve"> </w:t>
      </w:r>
      <w:r w:rsidRPr="003D733D">
        <w:rPr>
          <w:rFonts w:ascii="Sylfaen" w:hAnsi="Sylfaen" w:cs="Sylfaen"/>
        </w:rPr>
        <w:t>ჰაერში</w:t>
      </w:r>
      <w:r w:rsidRPr="003D733D">
        <w:t xml:space="preserve"> </w:t>
      </w:r>
      <w:r w:rsidRPr="003D733D">
        <w:rPr>
          <w:rFonts w:ascii="Sylfaen" w:hAnsi="Sylfaen" w:cs="Sylfaen"/>
        </w:rPr>
        <w:t>მავნე</w:t>
      </w:r>
      <w:r w:rsidRPr="003D733D">
        <w:t xml:space="preserve"> </w:t>
      </w:r>
      <w:r w:rsidRPr="003D733D">
        <w:rPr>
          <w:rFonts w:ascii="Sylfaen" w:hAnsi="Sylfaen" w:cs="Sylfaen"/>
        </w:rPr>
        <w:t>ნივთიერებათა</w:t>
      </w:r>
      <w:r w:rsidRPr="003D733D">
        <w:t xml:space="preserve"> </w:t>
      </w:r>
      <w:r w:rsidRPr="003D733D">
        <w:rPr>
          <w:rFonts w:ascii="Sylfaen" w:hAnsi="Sylfaen" w:cs="Sylfaen"/>
        </w:rPr>
        <w:t>ემისიებით</w:t>
      </w:r>
      <w:r w:rsidRPr="003D733D">
        <w:t xml:space="preserve"> </w:t>
      </w:r>
      <w:r w:rsidRPr="003D733D">
        <w:rPr>
          <w:rFonts w:ascii="Sylfaen" w:hAnsi="Sylfaen" w:cs="Sylfaen"/>
        </w:rPr>
        <w:t>და</w:t>
      </w:r>
      <w:r w:rsidRPr="003D733D">
        <w:t xml:space="preserve"> </w:t>
      </w:r>
      <w:r w:rsidRPr="003D733D">
        <w:rPr>
          <w:rFonts w:ascii="Sylfaen" w:hAnsi="Sylfaen" w:cs="Sylfaen"/>
        </w:rPr>
        <w:t>ხმაურის</w:t>
      </w:r>
      <w:r w:rsidRPr="003D733D">
        <w:t xml:space="preserve"> </w:t>
      </w:r>
      <w:r w:rsidRPr="003D733D">
        <w:rPr>
          <w:rFonts w:ascii="Sylfaen" w:hAnsi="Sylfaen" w:cs="Sylfaen"/>
        </w:rPr>
        <w:t>გავრცელებით</w:t>
      </w:r>
      <w:r w:rsidRPr="003D733D">
        <w:t xml:space="preserve"> </w:t>
      </w:r>
      <w:r w:rsidRPr="003D733D">
        <w:rPr>
          <w:rFonts w:ascii="Sylfaen" w:hAnsi="Sylfaen" w:cs="Sylfaen"/>
        </w:rPr>
        <w:t>მოსახლეობის</w:t>
      </w:r>
      <w:r w:rsidRPr="003D733D">
        <w:t xml:space="preserve"> </w:t>
      </w:r>
      <w:r w:rsidRPr="003D733D">
        <w:rPr>
          <w:rFonts w:ascii="Sylfaen" w:hAnsi="Sylfaen" w:cs="Sylfaen"/>
        </w:rPr>
        <w:t>შეწუხების</w:t>
      </w:r>
      <w:r w:rsidRPr="003D733D">
        <w:t xml:space="preserve"> </w:t>
      </w:r>
      <w:r w:rsidRPr="003D733D">
        <w:rPr>
          <w:rFonts w:ascii="Sylfaen" w:hAnsi="Sylfaen" w:cs="Sylfaen"/>
        </w:rPr>
        <w:t>რისკები</w:t>
      </w:r>
      <w:r w:rsidRPr="003D733D">
        <w:t xml:space="preserve"> </w:t>
      </w:r>
      <w:r w:rsidRPr="003D733D">
        <w:rPr>
          <w:rFonts w:ascii="Sylfaen" w:hAnsi="Sylfaen" w:cs="Sylfaen"/>
        </w:rPr>
        <w:t>არ</w:t>
      </w:r>
      <w:r w:rsidRPr="003D733D">
        <w:t xml:space="preserve"> </w:t>
      </w:r>
      <w:r w:rsidRPr="003D733D">
        <w:rPr>
          <w:rFonts w:ascii="Sylfaen" w:hAnsi="Sylfaen" w:cs="Sylfaen"/>
        </w:rPr>
        <w:t>არის</w:t>
      </w:r>
      <w:r w:rsidRPr="003D733D">
        <w:t xml:space="preserve"> </w:t>
      </w:r>
      <w:r w:rsidRPr="003D733D">
        <w:rPr>
          <w:rFonts w:ascii="Sylfaen" w:hAnsi="Sylfaen" w:cs="Sylfaen"/>
        </w:rPr>
        <w:t>მაღალი</w:t>
      </w:r>
      <w:r w:rsidRPr="003D733D">
        <w:t xml:space="preserve">. </w:t>
      </w:r>
      <w:r w:rsidRPr="003D733D">
        <w:rPr>
          <w:rFonts w:ascii="Sylfaen" w:hAnsi="Sylfaen" w:cs="Sylfaen"/>
        </w:rPr>
        <w:t>ზემოქმედება</w:t>
      </w:r>
      <w:r w:rsidRPr="003D733D">
        <w:t xml:space="preserve"> </w:t>
      </w:r>
      <w:r w:rsidRPr="003D733D">
        <w:rPr>
          <w:rFonts w:ascii="Sylfaen" w:hAnsi="Sylfaen" w:cs="Sylfaen"/>
        </w:rPr>
        <w:t>შედარებით</w:t>
      </w:r>
      <w:r w:rsidRPr="003D733D">
        <w:t xml:space="preserve"> </w:t>
      </w:r>
      <w:r w:rsidRPr="003D733D">
        <w:rPr>
          <w:rFonts w:ascii="Sylfaen" w:hAnsi="Sylfaen" w:cs="Sylfaen"/>
        </w:rPr>
        <w:t>საგულისხმო</w:t>
      </w:r>
      <w:r w:rsidRPr="003D733D">
        <w:t xml:space="preserve"> </w:t>
      </w:r>
      <w:r w:rsidRPr="003D733D">
        <w:rPr>
          <w:rFonts w:ascii="Sylfaen" w:hAnsi="Sylfaen" w:cs="Sylfaen"/>
        </w:rPr>
        <w:t>იქნება</w:t>
      </w:r>
      <w:r w:rsidRPr="003D733D">
        <w:t xml:space="preserve"> </w:t>
      </w:r>
      <w:r w:rsidRPr="003D733D">
        <w:rPr>
          <w:rFonts w:ascii="Sylfaen" w:hAnsi="Sylfaen" w:cs="Sylfaen"/>
        </w:rPr>
        <w:t>ველურ</w:t>
      </w:r>
      <w:r w:rsidRPr="003D733D">
        <w:t xml:space="preserve"> </w:t>
      </w:r>
      <w:r w:rsidRPr="003D733D">
        <w:rPr>
          <w:rFonts w:ascii="Sylfaen" w:hAnsi="Sylfaen" w:cs="Sylfaen"/>
        </w:rPr>
        <w:t>ბუნებაზე</w:t>
      </w:r>
      <w:r w:rsidRPr="003D733D">
        <w:t>;</w:t>
      </w:r>
    </w:p>
    <w:p w14:paraId="45C21631" w14:textId="77777777" w:rsidR="00CE1A11" w:rsidRPr="003D733D" w:rsidRDefault="00CE1A11" w:rsidP="00CE1A11">
      <w:r w:rsidRPr="003D733D">
        <w:rPr>
          <w:rFonts w:ascii="Sylfaen" w:hAnsi="Sylfaen" w:cs="Sylfaen"/>
        </w:rPr>
        <w:t>ნიადაგის</w:t>
      </w:r>
      <w:r w:rsidRPr="003D733D">
        <w:t xml:space="preserve"> </w:t>
      </w:r>
      <w:r w:rsidRPr="003D733D">
        <w:rPr>
          <w:rFonts w:ascii="Sylfaen" w:hAnsi="Sylfaen" w:cs="Sylfaen"/>
        </w:rPr>
        <w:t>საფარის</w:t>
      </w:r>
      <w:r w:rsidRPr="003D733D">
        <w:t xml:space="preserve"> </w:t>
      </w:r>
      <w:r w:rsidRPr="003D733D">
        <w:rPr>
          <w:rFonts w:ascii="Sylfaen" w:hAnsi="Sylfaen" w:cs="Sylfaen"/>
        </w:rPr>
        <w:t>მოხსნა</w:t>
      </w:r>
      <w:r w:rsidRPr="003D733D">
        <w:t>-</w:t>
      </w:r>
      <w:r w:rsidRPr="003D733D">
        <w:rPr>
          <w:rFonts w:ascii="Sylfaen" w:hAnsi="Sylfaen" w:cs="Sylfaen"/>
        </w:rPr>
        <w:t>დასაწყობების</w:t>
      </w:r>
      <w:r w:rsidRPr="003D733D">
        <w:t xml:space="preserve"> </w:t>
      </w:r>
      <w:r w:rsidRPr="003D733D">
        <w:rPr>
          <w:rFonts w:ascii="Sylfaen" w:hAnsi="Sylfaen" w:cs="Sylfaen"/>
        </w:rPr>
        <w:t>სამუშაოები</w:t>
      </w:r>
      <w:r w:rsidRPr="003D733D">
        <w:t xml:space="preserve"> </w:t>
      </w:r>
      <w:r w:rsidRPr="003D733D">
        <w:rPr>
          <w:rFonts w:ascii="Sylfaen" w:hAnsi="Sylfaen" w:cs="Sylfaen"/>
        </w:rPr>
        <w:t>შესაძლებელია</w:t>
      </w:r>
      <w:r w:rsidRPr="003D733D">
        <w:t xml:space="preserve"> </w:t>
      </w:r>
      <w:r w:rsidRPr="003D733D">
        <w:rPr>
          <w:rFonts w:ascii="Sylfaen" w:hAnsi="Sylfaen" w:cs="Sylfaen"/>
        </w:rPr>
        <w:t>განხორციელდეს</w:t>
      </w:r>
      <w:r w:rsidRPr="003D733D">
        <w:t xml:space="preserve"> </w:t>
      </w:r>
      <w:r w:rsidRPr="003D733D">
        <w:rPr>
          <w:rFonts w:ascii="Sylfaen" w:hAnsi="Sylfaen" w:cs="Sylfaen"/>
        </w:rPr>
        <w:t>მხოლოდ</w:t>
      </w:r>
      <w:r w:rsidRPr="003D733D">
        <w:t xml:space="preserve"> </w:t>
      </w:r>
      <w:r w:rsidRPr="003D733D">
        <w:rPr>
          <w:rFonts w:ascii="Sylfaen" w:hAnsi="Sylfaen" w:cs="Sylfaen"/>
        </w:rPr>
        <w:t>სამშენებლო</w:t>
      </w:r>
      <w:r w:rsidRPr="003D733D">
        <w:t xml:space="preserve"> </w:t>
      </w:r>
      <w:r w:rsidRPr="003D733D">
        <w:rPr>
          <w:rFonts w:ascii="Sylfaen" w:hAnsi="Sylfaen" w:cs="Sylfaen"/>
        </w:rPr>
        <w:t>ბაზის</w:t>
      </w:r>
      <w:r w:rsidRPr="003D733D">
        <w:t xml:space="preserve"> </w:t>
      </w:r>
      <w:r w:rsidRPr="003D733D">
        <w:rPr>
          <w:rFonts w:ascii="Sylfaen" w:hAnsi="Sylfaen" w:cs="Sylfaen"/>
        </w:rPr>
        <w:t>ტერიტორიაზე</w:t>
      </w:r>
      <w:r w:rsidRPr="003D733D">
        <w:t xml:space="preserve"> </w:t>
      </w:r>
      <w:r w:rsidRPr="003D733D">
        <w:rPr>
          <w:rFonts w:ascii="Sylfaen" w:hAnsi="Sylfaen" w:cs="Sylfaen"/>
        </w:rPr>
        <w:t>და</w:t>
      </w:r>
      <w:r w:rsidRPr="003D733D">
        <w:t xml:space="preserve"> </w:t>
      </w:r>
      <w:r w:rsidRPr="003D733D">
        <w:rPr>
          <w:rFonts w:ascii="Sylfaen" w:hAnsi="Sylfaen" w:cs="Sylfaen"/>
        </w:rPr>
        <w:t>საპროექტო</w:t>
      </w:r>
      <w:r w:rsidRPr="003D733D">
        <w:t xml:space="preserve"> </w:t>
      </w:r>
      <w:r w:rsidRPr="003D733D">
        <w:rPr>
          <w:rFonts w:ascii="Sylfaen" w:hAnsi="Sylfaen" w:cs="Sylfaen"/>
        </w:rPr>
        <w:t>გზის</w:t>
      </w:r>
      <w:r w:rsidRPr="003D733D">
        <w:t xml:space="preserve"> </w:t>
      </w:r>
      <w:r w:rsidRPr="003D733D">
        <w:rPr>
          <w:rFonts w:ascii="Sylfaen" w:hAnsi="Sylfaen" w:cs="Sylfaen"/>
        </w:rPr>
        <w:t>დერეფნის</w:t>
      </w:r>
      <w:r w:rsidRPr="003D733D">
        <w:t xml:space="preserve"> </w:t>
      </w:r>
      <w:r w:rsidRPr="003D733D">
        <w:rPr>
          <w:rFonts w:ascii="Sylfaen" w:hAnsi="Sylfaen" w:cs="Sylfaen"/>
        </w:rPr>
        <w:t>მცირე</w:t>
      </w:r>
      <w:r w:rsidRPr="003D733D">
        <w:t xml:space="preserve"> </w:t>
      </w:r>
      <w:r w:rsidRPr="003D733D">
        <w:rPr>
          <w:rFonts w:ascii="Sylfaen" w:hAnsi="Sylfaen" w:cs="Sylfaen"/>
        </w:rPr>
        <w:t>ნაწილზე</w:t>
      </w:r>
      <w:r w:rsidRPr="003D733D">
        <w:t xml:space="preserve">. </w:t>
      </w:r>
      <w:r w:rsidRPr="003D733D">
        <w:rPr>
          <w:rFonts w:ascii="Sylfaen" w:hAnsi="Sylfaen" w:cs="Sylfaen"/>
        </w:rPr>
        <w:t>ნიადაგზე</w:t>
      </w:r>
      <w:r w:rsidRPr="003D733D">
        <w:t xml:space="preserve"> </w:t>
      </w:r>
      <w:r w:rsidRPr="003D733D">
        <w:rPr>
          <w:rFonts w:ascii="Sylfaen" w:hAnsi="Sylfaen" w:cs="Sylfaen"/>
        </w:rPr>
        <w:t>ზემოქმედების</w:t>
      </w:r>
      <w:r w:rsidRPr="003D733D">
        <w:t xml:space="preserve"> </w:t>
      </w:r>
      <w:r w:rsidRPr="003D733D">
        <w:rPr>
          <w:rFonts w:ascii="Sylfaen" w:hAnsi="Sylfaen" w:cs="Sylfaen"/>
        </w:rPr>
        <w:t>რისკები</w:t>
      </w:r>
      <w:r w:rsidRPr="003D733D">
        <w:t xml:space="preserve"> </w:t>
      </w:r>
      <w:r w:rsidRPr="003D733D">
        <w:rPr>
          <w:rFonts w:ascii="Sylfaen" w:hAnsi="Sylfaen" w:cs="Sylfaen"/>
        </w:rPr>
        <w:t>არ</w:t>
      </w:r>
      <w:r w:rsidRPr="003D733D">
        <w:t xml:space="preserve"> </w:t>
      </w:r>
      <w:r w:rsidRPr="003D733D">
        <w:rPr>
          <w:rFonts w:ascii="Sylfaen" w:hAnsi="Sylfaen" w:cs="Sylfaen"/>
        </w:rPr>
        <w:t>არის</w:t>
      </w:r>
      <w:r w:rsidRPr="003D733D">
        <w:t xml:space="preserve"> </w:t>
      </w:r>
      <w:r w:rsidRPr="003D733D">
        <w:rPr>
          <w:rFonts w:ascii="Sylfaen" w:hAnsi="Sylfaen" w:cs="Sylfaen"/>
        </w:rPr>
        <w:t>მაღალი</w:t>
      </w:r>
      <w:r w:rsidRPr="003D733D">
        <w:t>;</w:t>
      </w:r>
    </w:p>
    <w:p w14:paraId="41DA3350" w14:textId="77777777" w:rsidR="00CE1A11" w:rsidRPr="003D733D" w:rsidRDefault="00CE1A11" w:rsidP="00CE1A11">
      <w:r w:rsidRPr="003D733D">
        <w:rPr>
          <w:rFonts w:ascii="Sylfaen" w:hAnsi="Sylfaen" w:cs="Sylfaen"/>
        </w:rPr>
        <w:t>დაგეგმილი</w:t>
      </w:r>
      <w:r w:rsidRPr="003D733D">
        <w:t xml:space="preserve"> </w:t>
      </w:r>
      <w:r w:rsidRPr="003D733D">
        <w:rPr>
          <w:rFonts w:ascii="Sylfaen" w:hAnsi="Sylfaen" w:cs="Sylfaen"/>
        </w:rPr>
        <w:t>საქმიანობა</w:t>
      </w:r>
      <w:r w:rsidRPr="003D733D">
        <w:t xml:space="preserve"> </w:t>
      </w:r>
      <w:r w:rsidRPr="003D733D">
        <w:rPr>
          <w:rFonts w:ascii="Sylfaen" w:hAnsi="Sylfaen" w:cs="Sylfaen"/>
        </w:rPr>
        <w:t>არ</w:t>
      </w:r>
      <w:r w:rsidRPr="003D733D">
        <w:t xml:space="preserve"> </w:t>
      </w:r>
      <w:r w:rsidRPr="003D733D">
        <w:rPr>
          <w:rFonts w:ascii="Sylfaen" w:hAnsi="Sylfaen" w:cs="Sylfaen"/>
        </w:rPr>
        <w:t>გადის</w:t>
      </w:r>
      <w:r w:rsidRPr="003D733D">
        <w:t xml:space="preserve"> </w:t>
      </w:r>
      <w:r w:rsidRPr="003D733D">
        <w:rPr>
          <w:rFonts w:ascii="Sylfaen" w:hAnsi="Sylfaen" w:cs="Sylfaen"/>
        </w:rPr>
        <w:t>დაცულ</w:t>
      </w:r>
      <w:r w:rsidRPr="003D733D">
        <w:t xml:space="preserve"> </w:t>
      </w:r>
      <w:r w:rsidRPr="003D733D">
        <w:rPr>
          <w:rFonts w:ascii="Sylfaen" w:hAnsi="Sylfaen" w:cs="Sylfaen"/>
        </w:rPr>
        <w:t>ტერიტორიებში</w:t>
      </w:r>
      <w:r w:rsidRPr="003D733D">
        <w:t xml:space="preserve"> </w:t>
      </w:r>
    </w:p>
    <w:p w14:paraId="6AEF51E9" w14:textId="77777777" w:rsidR="00CE1A11" w:rsidRPr="003D733D" w:rsidRDefault="00CE1A11" w:rsidP="00CE1A11">
      <w:r w:rsidRPr="003D733D">
        <w:rPr>
          <w:rFonts w:ascii="Sylfaen" w:hAnsi="Sylfaen" w:cs="Sylfaen"/>
        </w:rPr>
        <w:t>საავტომობილო</w:t>
      </w:r>
      <w:r w:rsidRPr="003D733D">
        <w:t xml:space="preserve"> </w:t>
      </w:r>
      <w:r w:rsidRPr="003D733D">
        <w:rPr>
          <w:rFonts w:ascii="Sylfaen" w:hAnsi="Sylfaen" w:cs="Sylfaen"/>
        </w:rPr>
        <w:t>გზის</w:t>
      </w:r>
      <w:r w:rsidRPr="003D733D">
        <w:t xml:space="preserve"> </w:t>
      </w:r>
      <w:r w:rsidRPr="003D733D">
        <w:rPr>
          <w:rFonts w:ascii="Sylfaen" w:hAnsi="Sylfaen" w:cs="Sylfaen"/>
        </w:rPr>
        <w:t>ბუფერი</w:t>
      </w:r>
      <w:r w:rsidRPr="003D733D">
        <w:t xml:space="preserve"> </w:t>
      </w:r>
      <w:r w:rsidRPr="003D733D">
        <w:rPr>
          <w:rFonts w:ascii="Sylfaen" w:hAnsi="Sylfaen" w:cs="Sylfaen"/>
        </w:rPr>
        <w:t>ძირითადად</w:t>
      </w:r>
      <w:r w:rsidRPr="003D733D">
        <w:t xml:space="preserve"> </w:t>
      </w:r>
      <w:r w:rsidRPr="003D733D">
        <w:rPr>
          <w:rFonts w:ascii="Sylfaen" w:hAnsi="Sylfaen" w:cs="Sylfaen"/>
        </w:rPr>
        <w:t>სასოფლო</w:t>
      </w:r>
      <w:r w:rsidRPr="003D733D">
        <w:t>-</w:t>
      </w:r>
      <w:r w:rsidRPr="003D733D">
        <w:rPr>
          <w:rFonts w:ascii="Sylfaen" w:hAnsi="Sylfaen" w:cs="Sylfaen"/>
        </w:rPr>
        <w:t>სამეურნეო</w:t>
      </w:r>
      <w:r w:rsidRPr="003D733D">
        <w:t xml:space="preserve"> </w:t>
      </w:r>
      <w:r w:rsidRPr="003D733D">
        <w:rPr>
          <w:rFonts w:ascii="Sylfaen" w:hAnsi="Sylfaen" w:cs="Sylfaen"/>
        </w:rPr>
        <w:t>მიწებზე</w:t>
      </w:r>
      <w:r w:rsidRPr="003D733D">
        <w:t xml:space="preserve">, </w:t>
      </w:r>
      <w:r w:rsidRPr="003D733D">
        <w:rPr>
          <w:rFonts w:ascii="Sylfaen" w:hAnsi="Sylfaen" w:cs="Sylfaen"/>
        </w:rPr>
        <w:t>თუმცა</w:t>
      </w:r>
      <w:r w:rsidRPr="003D733D">
        <w:t xml:space="preserve"> </w:t>
      </w:r>
      <w:r w:rsidRPr="003D733D">
        <w:rPr>
          <w:rFonts w:ascii="Sylfaen" w:hAnsi="Sylfaen" w:cs="Sylfaen"/>
        </w:rPr>
        <w:t>ბიოლოგიურ</w:t>
      </w:r>
      <w:r w:rsidRPr="003D733D">
        <w:t xml:space="preserve"> </w:t>
      </w:r>
      <w:r w:rsidRPr="003D733D">
        <w:rPr>
          <w:rFonts w:ascii="Sylfaen" w:hAnsi="Sylfaen" w:cs="Sylfaen"/>
        </w:rPr>
        <w:t>გარემოზე</w:t>
      </w:r>
      <w:r w:rsidRPr="003D733D">
        <w:t xml:space="preserve"> </w:t>
      </w:r>
      <w:r w:rsidRPr="003D733D">
        <w:rPr>
          <w:rFonts w:ascii="Sylfaen" w:hAnsi="Sylfaen" w:cs="Sylfaen"/>
        </w:rPr>
        <w:t>ზემოქმედების</w:t>
      </w:r>
      <w:r w:rsidRPr="003D733D">
        <w:t xml:space="preserve"> </w:t>
      </w:r>
      <w:r w:rsidRPr="003D733D">
        <w:rPr>
          <w:rFonts w:ascii="Sylfaen" w:hAnsi="Sylfaen" w:cs="Sylfaen"/>
        </w:rPr>
        <w:t>რისკი</w:t>
      </w:r>
      <w:r w:rsidRPr="003D733D">
        <w:t xml:space="preserve"> </w:t>
      </w:r>
      <w:r w:rsidRPr="003D733D">
        <w:rPr>
          <w:rFonts w:ascii="Sylfaen" w:hAnsi="Sylfaen" w:cs="Sylfaen"/>
        </w:rPr>
        <w:t>საგულისხმოა</w:t>
      </w:r>
      <w:r w:rsidRPr="003D733D">
        <w:t xml:space="preserve">, </w:t>
      </w:r>
      <w:r w:rsidRPr="003D733D">
        <w:rPr>
          <w:rFonts w:ascii="Sylfaen" w:hAnsi="Sylfaen" w:cs="Sylfaen"/>
        </w:rPr>
        <w:t>რისთვისაც</w:t>
      </w:r>
      <w:r w:rsidRPr="003D733D">
        <w:t xml:space="preserve"> </w:t>
      </w:r>
      <w:r w:rsidRPr="003D733D">
        <w:rPr>
          <w:rFonts w:ascii="Sylfaen" w:hAnsi="Sylfaen" w:cs="Sylfaen"/>
        </w:rPr>
        <w:t>აუცილებელია</w:t>
      </w:r>
      <w:r w:rsidRPr="003D733D">
        <w:t xml:space="preserve"> </w:t>
      </w:r>
      <w:r w:rsidRPr="003D733D">
        <w:rPr>
          <w:rFonts w:ascii="Sylfaen" w:hAnsi="Sylfaen" w:cs="Sylfaen"/>
        </w:rPr>
        <w:t>შესაბამისი</w:t>
      </w:r>
      <w:r w:rsidRPr="003D733D">
        <w:t xml:space="preserve"> </w:t>
      </w:r>
      <w:r w:rsidRPr="003D733D">
        <w:rPr>
          <w:rFonts w:ascii="Sylfaen" w:hAnsi="Sylfaen" w:cs="Sylfaen"/>
        </w:rPr>
        <w:t>შემარბილებელი</w:t>
      </w:r>
      <w:r w:rsidRPr="003D733D">
        <w:t xml:space="preserve"> </w:t>
      </w:r>
      <w:r w:rsidRPr="003D733D">
        <w:rPr>
          <w:rFonts w:ascii="Sylfaen" w:hAnsi="Sylfaen" w:cs="Sylfaen"/>
        </w:rPr>
        <w:t>და</w:t>
      </w:r>
      <w:r w:rsidRPr="003D733D">
        <w:t xml:space="preserve"> </w:t>
      </w:r>
      <w:r w:rsidRPr="003D733D">
        <w:rPr>
          <w:rFonts w:ascii="Sylfaen" w:hAnsi="Sylfaen" w:cs="Sylfaen"/>
        </w:rPr>
        <w:t>საკომპენსაციო</w:t>
      </w:r>
      <w:r w:rsidRPr="003D733D">
        <w:t xml:space="preserve"> </w:t>
      </w:r>
      <w:r w:rsidRPr="003D733D">
        <w:rPr>
          <w:rFonts w:ascii="Sylfaen" w:hAnsi="Sylfaen" w:cs="Sylfaen"/>
        </w:rPr>
        <w:t>ღონისძიებები</w:t>
      </w:r>
      <w:r w:rsidRPr="003D733D">
        <w:t xml:space="preserve"> </w:t>
      </w:r>
      <w:r w:rsidRPr="003D733D">
        <w:rPr>
          <w:rFonts w:ascii="Sylfaen" w:hAnsi="Sylfaen" w:cs="Sylfaen"/>
        </w:rPr>
        <w:t>გატარება</w:t>
      </w:r>
      <w:r w:rsidRPr="003D733D">
        <w:t>;</w:t>
      </w:r>
    </w:p>
    <w:p w14:paraId="7A264D47" w14:textId="77777777" w:rsidR="00CE1A11" w:rsidRPr="003D733D" w:rsidRDefault="00CE1A11" w:rsidP="00CE1A11">
      <w:r w:rsidRPr="003D733D">
        <w:rPr>
          <w:rFonts w:ascii="Sylfaen" w:hAnsi="Sylfaen" w:cs="Sylfaen"/>
        </w:rPr>
        <w:t>პროექტის</w:t>
      </w:r>
      <w:r w:rsidRPr="003D733D">
        <w:t xml:space="preserve"> </w:t>
      </w:r>
      <w:r w:rsidRPr="003D733D">
        <w:rPr>
          <w:rFonts w:ascii="Sylfaen" w:hAnsi="Sylfaen" w:cs="Sylfaen"/>
        </w:rPr>
        <w:t>განხორციელება</w:t>
      </w:r>
      <w:r w:rsidRPr="003D733D">
        <w:t xml:space="preserve"> </w:t>
      </w:r>
      <w:r w:rsidRPr="003D733D">
        <w:rPr>
          <w:rFonts w:ascii="Sylfaen" w:hAnsi="Sylfaen" w:cs="Sylfaen"/>
        </w:rPr>
        <w:t>გარკვეულწილად</w:t>
      </w:r>
      <w:r w:rsidRPr="003D733D">
        <w:t xml:space="preserve"> </w:t>
      </w:r>
      <w:r w:rsidRPr="003D733D">
        <w:rPr>
          <w:rFonts w:ascii="Sylfaen" w:hAnsi="Sylfaen" w:cs="Sylfaen"/>
        </w:rPr>
        <w:t>შეცვლის</w:t>
      </w:r>
      <w:r w:rsidRPr="003D733D">
        <w:t xml:space="preserve"> </w:t>
      </w:r>
      <w:r w:rsidRPr="003D733D">
        <w:rPr>
          <w:rFonts w:ascii="Sylfaen" w:hAnsi="Sylfaen" w:cs="Sylfaen"/>
        </w:rPr>
        <w:t>არსებულ</w:t>
      </w:r>
      <w:r w:rsidRPr="003D733D">
        <w:t xml:space="preserve"> </w:t>
      </w:r>
      <w:r w:rsidRPr="003D733D">
        <w:rPr>
          <w:rFonts w:ascii="Sylfaen" w:hAnsi="Sylfaen" w:cs="Sylfaen"/>
        </w:rPr>
        <w:t>ვიზუალურ</w:t>
      </w:r>
      <w:r w:rsidRPr="003D733D">
        <w:t xml:space="preserve">- </w:t>
      </w:r>
      <w:r w:rsidRPr="003D733D">
        <w:rPr>
          <w:rFonts w:ascii="Sylfaen" w:hAnsi="Sylfaen" w:cs="Sylfaen"/>
        </w:rPr>
        <w:t>ლანდშაფტურ</w:t>
      </w:r>
      <w:r w:rsidRPr="003D733D">
        <w:t xml:space="preserve"> </w:t>
      </w:r>
      <w:r w:rsidRPr="003D733D">
        <w:rPr>
          <w:rFonts w:ascii="Sylfaen" w:hAnsi="Sylfaen" w:cs="Sylfaen"/>
        </w:rPr>
        <w:t>მდგომარეობას</w:t>
      </w:r>
      <w:r w:rsidRPr="003D733D">
        <w:t xml:space="preserve">. </w:t>
      </w:r>
      <w:r w:rsidRPr="003D733D">
        <w:rPr>
          <w:rFonts w:ascii="Sylfaen" w:hAnsi="Sylfaen" w:cs="Sylfaen"/>
        </w:rPr>
        <w:t>ზემოქმედების</w:t>
      </w:r>
      <w:r w:rsidRPr="003D733D">
        <w:t xml:space="preserve"> </w:t>
      </w:r>
      <w:r w:rsidRPr="003D733D">
        <w:rPr>
          <w:rFonts w:ascii="Sylfaen" w:hAnsi="Sylfaen" w:cs="Sylfaen"/>
        </w:rPr>
        <w:t>ძირითადი</w:t>
      </w:r>
      <w:r w:rsidRPr="003D733D">
        <w:t xml:space="preserve"> </w:t>
      </w:r>
      <w:r w:rsidRPr="003D733D">
        <w:rPr>
          <w:rFonts w:ascii="Sylfaen" w:hAnsi="Sylfaen" w:cs="Sylfaen"/>
        </w:rPr>
        <w:t>რეცეპტორებია</w:t>
      </w:r>
      <w:r w:rsidRPr="003D733D">
        <w:t xml:space="preserve"> </w:t>
      </w:r>
      <w:r w:rsidRPr="003D733D">
        <w:rPr>
          <w:rFonts w:ascii="Sylfaen" w:hAnsi="Sylfaen" w:cs="Sylfaen"/>
        </w:rPr>
        <w:t>ცხოველთა</w:t>
      </w:r>
      <w:r w:rsidRPr="003D733D">
        <w:t xml:space="preserve"> </w:t>
      </w:r>
      <w:r w:rsidRPr="003D733D">
        <w:rPr>
          <w:rFonts w:ascii="Sylfaen" w:hAnsi="Sylfaen" w:cs="Sylfaen"/>
        </w:rPr>
        <w:t>სამყარო</w:t>
      </w:r>
      <w:r w:rsidRPr="003D733D">
        <w:t>;</w:t>
      </w:r>
    </w:p>
    <w:p w14:paraId="2A6FA3E4" w14:textId="77777777" w:rsidR="00CE1A11" w:rsidRPr="003D733D" w:rsidRDefault="00CE1A11" w:rsidP="00CE1A11">
      <w:r w:rsidRPr="003D733D">
        <w:rPr>
          <w:rFonts w:ascii="Sylfaen" w:hAnsi="Sylfaen" w:cs="Sylfaen"/>
        </w:rPr>
        <w:t>პროექტს</w:t>
      </w:r>
      <w:r w:rsidRPr="003D733D">
        <w:t xml:space="preserve"> </w:t>
      </w:r>
      <w:r w:rsidRPr="003D733D">
        <w:rPr>
          <w:rFonts w:ascii="Sylfaen" w:hAnsi="Sylfaen" w:cs="Sylfaen"/>
        </w:rPr>
        <w:t>განხორციელების</w:t>
      </w:r>
      <w:r w:rsidRPr="003D733D">
        <w:t xml:space="preserve"> </w:t>
      </w:r>
      <w:r w:rsidRPr="003D733D">
        <w:rPr>
          <w:rFonts w:ascii="Sylfaen" w:hAnsi="Sylfaen" w:cs="Sylfaen"/>
        </w:rPr>
        <w:t>შედეგად</w:t>
      </w:r>
      <w:r w:rsidRPr="003D733D">
        <w:t xml:space="preserve"> </w:t>
      </w:r>
      <w:r w:rsidRPr="003D733D">
        <w:rPr>
          <w:rFonts w:ascii="Sylfaen" w:hAnsi="Sylfaen" w:cs="Sylfaen"/>
        </w:rPr>
        <w:t>ისტორიულ</w:t>
      </w:r>
      <w:r w:rsidRPr="003D733D">
        <w:t>-</w:t>
      </w:r>
      <w:r w:rsidRPr="003D733D">
        <w:rPr>
          <w:rFonts w:ascii="Sylfaen" w:hAnsi="Sylfaen" w:cs="Sylfaen"/>
        </w:rPr>
        <w:t>კულტურულ</w:t>
      </w:r>
      <w:r w:rsidRPr="003D733D">
        <w:t xml:space="preserve"> </w:t>
      </w:r>
      <w:r w:rsidRPr="003D733D">
        <w:rPr>
          <w:rFonts w:ascii="Sylfaen" w:hAnsi="Sylfaen" w:cs="Sylfaen"/>
        </w:rPr>
        <w:t>ძეგლებზე</w:t>
      </w:r>
      <w:r w:rsidRPr="003D733D">
        <w:t xml:space="preserve"> </w:t>
      </w:r>
      <w:r w:rsidRPr="003D733D">
        <w:rPr>
          <w:rFonts w:ascii="Sylfaen" w:hAnsi="Sylfaen" w:cs="Sylfaen"/>
        </w:rPr>
        <w:t>ზემოქმედება</w:t>
      </w:r>
      <w:r w:rsidRPr="003D733D">
        <w:t xml:space="preserve"> </w:t>
      </w:r>
      <w:r w:rsidRPr="003D733D">
        <w:rPr>
          <w:rFonts w:ascii="Sylfaen" w:hAnsi="Sylfaen" w:cs="Sylfaen"/>
        </w:rPr>
        <w:t>მოსალოდნელი</w:t>
      </w:r>
      <w:r w:rsidRPr="003D733D">
        <w:t xml:space="preserve"> </w:t>
      </w:r>
      <w:r w:rsidRPr="003D733D">
        <w:rPr>
          <w:rFonts w:ascii="Sylfaen" w:hAnsi="Sylfaen" w:cs="Sylfaen"/>
        </w:rPr>
        <w:t>არ</w:t>
      </w:r>
      <w:r w:rsidRPr="003D733D">
        <w:t xml:space="preserve"> </w:t>
      </w:r>
      <w:r w:rsidRPr="003D733D">
        <w:rPr>
          <w:rFonts w:ascii="Sylfaen" w:hAnsi="Sylfaen" w:cs="Sylfaen"/>
        </w:rPr>
        <w:t>არის</w:t>
      </w:r>
      <w:r w:rsidRPr="003D733D">
        <w:t>;</w:t>
      </w:r>
    </w:p>
    <w:p w14:paraId="17EF287D" w14:textId="77777777" w:rsidR="00CE1A11" w:rsidRPr="003D733D" w:rsidRDefault="00CE1A11" w:rsidP="00CE1A11">
      <w:r w:rsidRPr="003D733D">
        <w:rPr>
          <w:rFonts w:ascii="Sylfaen" w:hAnsi="Sylfaen" w:cs="Sylfaen"/>
        </w:rPr>
        <w:t>პროექტის</w:t>
      </w:r>
      <w:r w:rsidRPr="003D733D">
        <w:tab/>
      </w:r>
      <w:r w:rsidRPr="003D733D">
        <w:rPr>
          <w:rFonts w:ascii="Sylfaen" w:hAnsi="Sylfaen" w:cs="Sylfaen"/>
        </w:rPr>
        <w:t>განხორციელება</w:t>
      </w:r>
      <w:r w:rsidRPr="003D733D">
        <w:t xml:space="preserve"> </w:t>
      </w:r>
      <w:r w:rsidRPr="003D733D">
        <w:rPr>
          <w:rFonts w:ascii="Sylfaen" w:hAnsi="Sylfaen" w:cs="Sylfaen"/>
        </w:rPr>
        <w:t>მნიშვნელოვან</w:t>
      </w:r>
      <w:r w:rsidRPr="003D733D">
        <w:t xml:space="preserve"> </w:t>
      </w:r>
      <w:r w:rsidRPr="003D733D">
        <w:rPr>
          <w:rFonts w:ascii="Sylfaen" w:hAnsi="Sylfaen" w:cs="Sylfaen"/>
        </w:rPr>
        <w:t>დადებით</w:t>
      </w:r>
      <w:r w:rsidRPr="003D733D">
        <w:t xml:space="preserve"> </w:t>
      </w:r>
      <w:r w:rsidRPr="003D733D">
        <w:rPr>
          <w:rFonts w:ascii="Sylfaen" w:hAnsi="Sylfaen" w:cs="Sylfaen"/>
        </w:rPr>
        <w:t>სოციალურ</w:t>
      </w:r>
      <w:r w:rsidRPr="003D733D">
        <w:t>-</w:t>
      </w:r>
      <w:r w:rsidRPr="003D733D">
        <w:rPr>
          <w:rFonts w:ascii="Sylfaen" w:hAnsi="Sylfaen" w:cs="Sylfaen"/>
        </w:rPr>
        <w:t>ეკონომიკურ</w:t>
      </w:r>
      <w:r w:rsidRPr="003D733D">
        <w:t xml:space="preserve"> </w:t>
      </w:r>
      <w:r w:rsidRPr="003D733D">
        <w:rPr>
          <w:rFonts w:ascii="Sylfaen" w:hAnsi="Sylfaen" w:cs="Sylfaen"/>
        </w:rPr>
        <w:t>სარგებელს</w:t>
      </w:r>
      <w:r w:rsidRPr="003D733D">
        <w:t xml:space="preserve"> </w:t>
      </w:r>
      <w:r w:rsidRPr="003D733D">
        <w:rPr>
          <w:rFonts w:ascii="Sylfaen" w:hAnsi="Sylfaen" w:cs="Sylfaen"/>
        </w:rPr>
        <w:t>გამოიწვევს</w:t>
      </w:r>
      <w:r w:rsidRPr="003D733D">
        <w:t>.</w:t>
      </w:r>
    </w:p>
    <w:p w14:paraId="4CF101E6" w14:textId="77777777" w:rsidR="00CE1A11" w:rsidRPr="003D733D" w:rsidRDefault="00CE1A11" w:rsidP="00CE1A11"/>
    <w:p w14:paraId="54E2C120" w14:textId="77777777" w:rsidR="00CE1A11" w:rsidRPr="003D733D" w:rsidRDefault="00CE1A11" w:rsidP="00CE1A11"/>
    <w:p w14:paraId="1A17CA09" w14:textId="77777777" w:rsidR="00CE1A11" w:rsidRPr="003D733D" w:rsidRDefault="00CE1A11" w:rsidP="00CE1A11"/>
    <w:p w14:paraId="1DAE73D8" w14:textId="77777777" w:rsidR="00CE1A11" w:rsidRPr="003D733D" w:rsidRDefault="00CE1A11" w:rsidP="00CE1A11"/>
    <w:p w14:paraId="489EDE44" w14:textId="77777777" w:rsidR="00CE1A11" w:rsidRPr="003D733D" w:rsidRDefault="00CE1A11" w:rsidP="00CE1A11"/>
    <w:p w14:paraId="11C1A468" w14:textId="77777777" w:rsidR="00CE1A11" w:rsidRPr="003D733D" w:rsidRDefault="00CE1A11" w:rsidP="00CE1A11"/>
    <w:p w14:paraId="4CCCEB1E" w14:textId="77777777" w:rsidR="00CE1A11" w:rsidRPr="003D733D" w:rsidRDefault="00CE1A11" w:rsidP="00CE1A11"/>
    <w:p w14:paraId="6C64C6B9" w14:textId="77777777" w:rsidR="00CE1A11" w:rsidRPr="003D733D" w:rsidRDefault="00CE1A11" w:rsidP="00CE1A11"/>
    <w:p w14:paraId="71288577" w14:textId="77777777" w:rsidR="00CE1A11" w:rsidRPr="003D733D" w:rsidRDefault="00CE1A11" w:rsidP="00CE1A11"/>
    <w:p w14:paraId="3A95138D" w14:textId="77777777" w:rsidR="00CE1A11" w:rsidRPr="003D733D" w:rsidRDefault="00CE1A11" w:rsidP="00CE1A11"/>
    <w:p w14:paraId="041BE2AA" w14:textId="77777777" w:rsidR="00CE1A11" w:rsidRPr="003D733D" w:rsidRDefault="00CE1A11" w:rsidP="00CE1A11"/>
    <w:p w14:paraId="3CD35073" w14:textId="77777777" w:rsidR="00CE1A11" w:rsidRPr="003D733D" w:rsidRDefault="00CE1A11" w:rsidP="00CE1A11"/>
    <w:p w14:paraId="11C22A91" w14:textId="77777777" w:rsidR="00CE1A11" w:rsidRPr="003D733D" w:rsidRDefault="00CE1A11" w:rsidP="00CE1A11"/>
    <w:p w14:paraId="60E7A788" w14:textId="77777777" w:rsidR="00CE1A11" w:rsidRPr="003D733D" w:rsidRDefault="00CE1A11" w:rsidP="00CE1A11"/>
    <w:p w14:paraId="321308B7" w14:textId="77777777" w:rsidR="00CE1A11" w:rsidRPr="003D733D" w:rsidRDefault="00CE1A11" w:rsidP="00CE1A11"/>
    <w:p w14:paraId="1F421512" w14:textId="77777777" w:rsidR="00CE1A11" w:rsidRPr="003D733D" w:rsidRDefault="00CE1A11" w:rsidP="00CE1A11"/>
    <w:p w14:paraId="452F1D0B" w14:textId="77777777" w:rsidR="00CE1A11" w:rsidRPr="003D733D" w:rsidRDefault="00CE1A11" w:rsidP="00CE1A11"/>
    <w:p w14:paraId="3B7A101B" w14:textId="77777777" w:rsidR="00CE1A11" w:rsidRPr="003D733D" w:rsidRDefault="00CE1A11" w:rsidP="00CE1A11"/>
    <w:p w14:paraId="54C89EDE" w14:textId="77777777" w:rsidR="00CE1A11" w:rsidRPr="003D733D" w:rsidRDefault="00CE1A11" w:rsidP="00CE1A11"/>
    <w:p w14:paraId="2F839A4B" w14:textId="77777777" w:rsidR="00CE1A11" w:rsidRPr="003D733D" w:rsidRDefault="00CE1A11" w:rsidP="00CE1A11"/>
    <w:p w14:paraId="66C2FB72" w14:textId="07C4B3EC" w:rsidR="00CE1A11" w:rsidRDefault="00CE1A11" w:rsidP="00CE1A11"/>
    <w:p w14:paraId="20371E0F" w14:textId="6C49CED1" w:rsidR="008168A3" w:rsidRDefault="008168A3" w:rsidP="00CE1A11"/>
    <w:p w14:paraId="66900C2E" w14:textId="31F8331B" w:rsidR="008168A3" w:rsidRDefault="008168A3" w:rsidP="00CE1A11"/>
    <w:p w14:paraId="19CD6070" w14:textId="0797E54D" w:rsidR="008168A3" w:rsidRDefault="008168A3" w:rsidP="00CE1A11"/>
    <w:p w14:paraId="69445DAA" w14:textId="180C4296" w:rsidR="008168A3" w:rsidRDefault="008168A3" w:rsidP="00CE1A11"/>
    <w:p w14:paraId="296332AF" w14:textId="5D2AC82A" w:rsidR="008168A3" w:rsidRDefault="008168A3" w:rsidP="00CE1A11"/>
    <w:p w14:paraId="4D4DE05A" w14:textId="65045D73" w:rsidR="008168A3" w:rsidRDefault="008168A3" w:rsidP="00CE1A11"/>
    <w:p w14:paraId="7381ECDA" w14:textId="77777777" w:rsidR="008168A3" w:rsidRPr="003D733D" w:rsidRDefault="008168A3" w:rsidP="00CE1A11"/>
    <w:p w14:paraId="61353A33" w14:textId="77777777" w:rsidR="00CE1A11" w:rsidRPr="003D733D" w:rsidRDefault="00CE1A11" w:rsidP="00CE1A11"/>
    <w:p w14:paraId="5206A50C" w14:textId="77777777" w:rsidR="00CE1A11" w:rsidRPr="003D733D" w:rsidRDefault="00CE1A11" w:rsidP="00CE1A11"/>
    <w:p w14:paraId="63F69420" w14:textId="77777777" w:rsidR="00CE1A11" w:rsidRPr="003D733D" w:rsidRDefault="00CE1A11" w:rsidP="008168A3">
      <w:pPr>
        <w:pStyle w:val="EIAH1"/>
        <w:numPr>
          <w:ilvl w:val="0"/>
          <w:numId w:val="0"/>
        </w:numPr>
        <w:ind w:left="720" w:hanging="720"/>
      </w:pPr>
      <w:bookmarkStart w:id="570" w:name="_Toc529977439"/>
      <w:bookmarkStart w:id="571" w:name="_Toc1581597"/>
      <w:r w:rsidRPr="003D733D">
        <w:lastRenderedPageBreak/>
        <w:t>12 გამოყენებული ლიტერატურა</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70"/>
      <w:bookmarkEnd w:id="571"/>
    </w:p>
    <w:p w14:paraId="059D7681" w14:textId="77777777" w:rsidR="00CE1A11" w:rsidRPr="003D733D" w:rsidRDefault="00CE1A11" w:rsidP="00CE1A11">
      <w:pPr>
        <w:rPr>
          <w:lang w:val="ka-GE" w:eastAsia="en-US"/>
        </w:rPr>
      </w:pPr>
      <w:r w:rsidRPr="003D733D">
        <w:rPr>
          <w:rFonts w:ascii="Sylfaen" w:eastAsiaTheme="minorEastAsia" w:hAnsi="Sylfaen" w:cs="Sylfaen"/>
        </w:rPr>
        <w:t>საქართველოს</w:t>
      </w:r>
      <w:r w:rsidRPr="003D733D">
        <w:rPr>
          <w:rFonts w:eastAsiaTheme="minorEastAsia"/>
        </w:rPr>
        <w:t xml:space="preserve"> </w:t>
      </w:r>
      <w:r w:rsidRPr="003D733D">
        <w:rPr>
          <w:rFonts w:ascii="Sylfaen" w:eastAsiaTheme="minorEastAsia" w:hAnsi="Sylfaen" w:cs="Sylfaen"/>
        </w:rPr>
        <w:t>კანონი</w:t>
      </w:r>
      <w:r w:rsidRPr="003D733D">
        <w:rPr>
          <w:rFonts w:eastAsiaTheme="minorEastAsia"/>
        </w:rPr>
        <w:t xml:space="preserve"> „</w:t>
      </w:r>
      <w:r w:rsidRPr="003D733D">
        <w:rPr>
          <w:rFonts w:ascii="Sylfaen" w:eastAsiaTheme="minorEastAsia" w:hAnsi="Sylfaen" w:cs="Sylfaen"/>
        </w:rPr>
        <w:t>გარემოზე</w:t>
      </w:r>
      <w:r w:rsidRPr="003D733D">
        <w:rPr>
          <w:rFonts w:eastAsiaTheme="minorEastAsia"/>
        </w:rPr>
        <w:t xml:space="preserve"> </w:t>
      </w:r>
      <w:r w:rsidRPr="003D733D">
        <w:rPr>
          <w:rFonts w:ascii="Sylfaen" w:eastAsiaTheme="minorEastAsia" w:hAnsi="Sylfaen" w:cs="Sylfaen"/>
        </w:rPr>
        <w:t>ზემოქმედების</w:t>
      </w:r>
      <w:r w:rsidRPr="003D733D">
        <w:rPr>
          <w:rFonts w:eastAsiaTheme="minorEastAsia"/>
        </w:rPr>
        <w:t xml:space="preserve"> </w:t>
      </w:r>
      <w:r w:rsidRPr="003D733D">
        <w:rPr>
          <w:rFonts w:ascii="Sylfaen" w:eastAsiaTheme="minorEastAsia" w:hAnsi="Sylfaen" w:cs="Sylfaen"/>
        </w:rPr>
        <w:t>ნებართვის</w:t>
      </w:r>
      <w:r w:rsidRPr="003D733D">
        <w:rPr>
          <w:rFonts w:eastAsiaTheme="minorEastAsia"/>
        </w:rPr>
        <w:t xml:space="preserve"> </w:t>
      </w:r>
      <w:r w:rsidRPr="003D733D">
        <w:rPr>
          <w:rFonts w:ascii="Sylfaen" w:eastAsiaTheme="minorEastAsia" w:hAnsi="Sylfaen" w:cs="Sylfaen"/>
        </w:rPr>
        <w:t>შესახებ</w:t>
      </w:r>
      <w:r w:rsidRPr="003D733D">
        <w:rPr>
          <w:rFonts w:eastAsiaTheme="minorEastAsia"/>
        </w:rPr>
        <w:t>“.</w:t>
      </w:r>
    </w:p>
    <w:p w14:paraId="04D7F567" w14:textId="77777777" w:rsidR="00CE1A11" w:rsidRPr="003D733D" w:rsidRDefault="00CE1A11" w:rsidP="00CE1A11">
      <w:pPr>
        <w:rPr>
          <w:rFonts w:eastAsiaTheme="minorEastAsia"/>
        </w:rPr>
      </w:pPr>
      <w:r w:rsidRPr="003D733D">
        <w:rPr>
          <w:rFonts w:ascii="Sylfaen" w:eastAsiaTheme="minorEastAsia" w:hAnsi="Sylfaen" w:cs="Sylfaen"/>
        </w:rPr>
        <w:t>საქართველოს</w:t>
      </w:r>
      <w:r w:rsidRPr="003D733D">
        <w:rPr>
          <w:rFonts w:eastAsiaTheme="minorEastAsia"/>
        </w:rPr>
        <w:t xml:space="preserve"> </w:t>
      </w:r>
      <w:r w:rsidRPr="003D733D">
        <w:rPr>
          <w:rFonts w:ascii="Sylfaen" w:eastAsiaTheme="minorEastAsia" w:hAnsi="Sylfaen" w:cs="Sylfaen"/>
        </w:rPr>
        <w:t>კანონი</w:t>
      </w:r>
      <w:r w:rsidRPr="003D733D">
        <w:rPr>
          <w:rFonts w:eastAsiaTheme="minorEastAsia"/>
        </w:rPr>
        <w:t xml:space="preserve"> „</w:t>
      </w:r>
      <w:r w:rsidRPr="003D733D">
        <w:rPr>
          <w:rFonts w:ascii="Sylfaen" w:eastAsiaTheme="minorEastAsia" w:hAnsi="Sylfaen" w:cs="Sylfaen"/>
        </w:rPr>
        <w:t>ატმოსფერული</w:t>
      </w:r>
      <w:r w:rsidRPr="003D733D">
        <w:rPr>
          <w:rFonts w:eastAsiaTheme="minorEastAsia"/>
        </w:rPr>
        <w:t xml:space="preserve"> </w:t>
      </w:r>
      <w:r w:rsidRPr="003D733D">
        <w:rPr>
          <w:rFonts w:ascii="Sylfaen" w:eastAsiaTheme="minorEastAsia" w:hAnsi="Sylfaen" w:cs="Sylfaen"/>
        </w:rPr>
        <w:t>ჰაერის</w:t>
      </w:r>
      <w:r w:rsidRPr="003D733D">
        <w:rPr>
          <w:rFonts w:eastAsiaTheme="minorEastAsia"/>
        </w:rPr>
        <w:t xml:space="preserve"> </w:t>
      </w:r>
      <w:r w:rsidRPr="003D733D">
        <w:rPr>
          <w:rFonts w:ascii="Sylfaen" w:eastAsiaTheme="minorEastAsia" w:hAnsi="Sylfaen" w:cs="Sylfaen"/>
        </w:rPr>
        <w:t>დაცვის</w:t>
      </w:r>
      <w:r w:rsidRPr="003D733D">
        <w:rPr>
          <w:rFonts w:eastAsiaTheme="minorEastAsia"/>
        </w:rPr>
        <w:t xml:space="preserve"> </w:t>
      </w:r>
      <w:r w:rsidRPr="003D733D">
        <w:rPr>
          <w:rFonts w:ascii="Sylfaen" w:eastAsiaTheme="minorEastAsia" w:hAnsi="Sylfaen" w:cs="Sylfaen"/>
        </w:rPr>
        <w:t>შესახებ</w:t>
      </w:r>
      <w:r w:rsidRPr="003D733D">
        <w:rPr>
          <w:rFonts w:eastAsiaTheme="minorEastAsia"/>
        </w:rPr>
        <w:t xml:space="preserve">“. </w:t>
      </w:r>
    </w:p>
    <w:p w14:paraId="6BEE2F48" w14:textId="77777777" w:rsidR="00CE1A11" w:rsidRPr="003D733D" w:rsidRDefault="00CE1A11" w:rsidP="00CE1A11">
      <w:pPr>
        <w:rPr>
          <w:rFonts w:eastAsiaTheme="minorEastAsia"/>
        </w:rPr>
      </w:pPr>
      <w:r w:rsidRPr="003D733D">
        <w:rPr>
          <w:rFonts w:ascii="Sylfaen" w:eastAsiaTheme="minorEastAsia" w:hAnsi="Sylfaen" w:cs="Sylfaen"/>
        </w:rPr>
        <w:t>საქართველოს</w:t>
      </w:r>
      <w:r w:rsidRPr="003D733D">
        <w:rPr>
          <w:rFonts w:eastAsiaTheme="minorEastAsia"/>
        </w:rPr>
        <w:t xml:space="preserve"> </w:t>
      </w:r>
      <w:r w:rsidRPr="003D733D">
        <w:rPr>
          <w:rFonts w:ascii="Sylfaen" w:eastAsiaTheme="minorEastAsia" w:hAnsi="Sylfaen" w:cs="Sylfaen"/>
        </w:rPr>
        <w:t>მთავრობის</w:t>
      </w:r>
      <w:r w:rsidRPr="003D733D">
        <w:rPr>
          <w:rFonts w:eastAsiaTheme="minorEastAsia"/>
        </w:rPr>
        <w:t xml:space="preserve"> 2014 </w:t>
      </w:r>
      <w:r w:rsidRPr="003D733D">
        <w:rPr>
          <w:rFonts w:ascii="Sylfaen" w:eastAsiaTheme="minorEastAsia" w:hAnsi="Sylfaen" w:cs="Sylfaen"/>
        </w:rPr>
        <w:t>წლის</w:t>
      </w:r>
      <w:r w:rsidRPr="003D733D">
        <w:rPr>
          <w:rFonts w:eastAsiaTheme="minorEastAsia"/>
        </w:rPr>
        <w:t xml:space="preserve"> 6 </w:t>
      </w:r>
      <w:r w:rsidRPr="003D733D">
        <w:rPr>
          <w:rFonts w:ascii="Sylfaen" w:eastAsiaTheme="minorEastAsia" w:hAnsi="Sylfaen" w:cs="Sylfaen"/>
        </w:rPr>
        <w:t>იანვრის</w:t>
      </w:r>
      <w:r w:rsidRPr="003D733D">
        <w:rPr>
          <w:rFonts w:eastAsiaTheme="minorEastAsia"/>
        </w:rPr>
        <w:t xml:space="preserve"> </w:t>
      </w:r>
      <w:r w:rsidRPr="003D733D">
        <w:rPr>
          <w:rFonts w:ascii="Sylfaen" w:eastAsiaTheme="minorEastAsia" w:hAnsi="Sylfaen" w:cs="Sylfaen"/>
        </w:rPr>
        <w:t>დადგენილება</w:t>
      </w:r>
      <w:r w:rsidRPr="003D733D">
        <w:rPr>
          <w:rFonts w:eastAsiaTheme="minorEastAsia"/>
        </w:rPr>
        <w:t xml:space="preserve"> № 42 „</w:t>
      </w:r>
      <w:r w:rsidRPr="003D733D">
        <w:rPr>
          <w:rFonts w:ascii="Sylfaen" w:eastAsiaTheme="minorEastAsia" w:hAnsi="Sylfaen" w:cs="Sylfaen"/>
        </w:rPr>
        <w:t>ატმოსფერული</w:t>
      </w:r>
      <w:r w:rsidRPr="003D733D">
        <w:rPr>
          <w:rFonts w:eastAsiaTheme="minorEastAsia"/>
        </w:rPr>
        <w:t xml:space="preserve"> </w:t>
      </w:r>
      <w:r w:rsidRPr="003D733D">
        <w:rPr>
          <w:rFonts w:ascii="Sylfaen" w:eastAsiaTheme="minorEastAsia" w:hAnsi="Sylfaen" w:cs="Sylfaen"/>
        </w:rPr>
        <w:t>ჰაერის</w:t>
      </w:r>
      <w:r w:rsidRPr="003D733D">
        <w:rPr>
          <w:rFonts w:eastAsiaTheme="minorEastAsia"/>
        </w:rPr>
        <w:t xml:space="preserve"> </w:t>
      </w:r>
      <w:r w:rsidRPr="003D733D">
        <w:rPr>
          <w:rFonts w:ascii="Sylfaen" w:eastAsiaTheme="minorEastAsia" w:hAnsi="Sylfaen" w:cs="Sylfaen"/>
        </w:rPr>
        <w:t>დაბინძურების</w:t>
      </w:r>
      <w:r w:rsidRPr="003D733D">
        <w:rPr>
          <w:rFonts w:eastAsiaTheme="minorEastAsia"/>
        </w:rPr>
        <w:t xml:space="preserve"> </w:t>
      </w:r>
      <w:r w:rsidRPr="003D733D">
        <w:rPr>
          <w:rFonts w:ascii="Sylfaen" w:eastAsiaTheme="minorEastAsia" w:hAnsi="Sylfaen" w:cs="Sylfaen"/>
        </w:rPr>
        <w:t>სტაციონარული</w:t>
      </w:r>
      <w:r w:rsidRPr="003D733D">
        <w:rPr>
          <w:rFonts w:eastAsiaTheme="minorEastAsia"/>
        </w:rPr>
        <w:t xml:space="preserve"> </w:t>
      </w:r>
      <w:r w:rsidRPr="003D733D">
        <w:rPr>
          <w:rFonts w:ascii="Sylfaen" w:eastAsiaTheme="minorEastAsia" w:hAnsi="Sylfaen" w:cs="Sylfaen"/>
        </w:rPr>
        <w:t>წყაროების</w:t>
      </w:r>
      <w:r w:rsidRPr="003D733D">
        <w:rPr>
          <w:rFonts w:eastAsiaTheme="minorEastAsia"/>
        </w:rPr>
        <w:t xml:space="preserve"> </w:t>
      </w:r>
      <w:r w:rsidRPr="003D733D">
        <w:rPr>
          <w:rFonts w:ascii="Sylfaen" w:eastAsiaTheme="minorEastAsia" w:hAnsi="Sylfaen" w:cs="Sylfaen"/>
        </w:rPr>
        <w:t>ინვენტარიზაციის</w:t>
      </w:r>
      <w:r w:rsidRPr="003D733D">
        <w:rPr>
          <w:rFonts w:eastAsiaTheme="minorEastAsia"/>
        </w:rPr>
        <w:t xml:space="preserve"> </w:t>
      </w:r>
      <w:r w:rsidRPr="003D733D">
        <w:rPr>
          <w:rFonts w:ascii="Sylfaen" w:eastAsiaTheme="minorEastAsia" w:hAnsi="Sylfaen" w:cs="Sylfaen"/>
        </w:rPr>
        <w:t>ტექნიკური</w:t>
      </w:r>
      <w:r w:rsidRPr="003D733D">
        <w:rPr>
          <w:rFonts w:eastAsiaTheme="minorEastAsia"/>
        </w:rPr>
        <w:t xml:space="preserve"> </w:t>
      </w:r>
      <w:r w:rsidRPr="003D733D">
        <w:rPr>
          <w:rFonts w:ascii="Sylfaen" w:eastAsiaTheme="minorEastAsia" w:hAnsi="Sylfaen" w:cs="Sylfaen"/>
        </w:rPr>
        <w:t>რეგლამენტის</w:t>
      </w:r>
      <w:r w:rsidRPr="003D733D">
        <w:rPr>
          <w:rFonts w:eastAsiaTheme="minorEastAsia"/>
        </w:rPr>
        <w:t xml:space="preserve"> </w:t>
      </w:r>
      <w:r w:rsidRPr="003D733D">
        <w:rPr>
          <w:rFonts w:ascii="Sylfaen" w:eastAsiaTheme="minorEastAsia" w:hAnsi="Sylfaen" w:cs="Sylfaen"/>
        </w:rPr>
        <w:t>დამტკიცების</w:t>
      </w:r>
      <w:r w:rsidRPr="003D733D">
        <w:rPr>
          <w:rFonts w:eastAsiaTheme="minorEastAsia"/>
        </w:rPr>
        <w:t xml:space="preserve"> </w:t>
      </w:r>
      <w:r w:rsidRPr="003D733D">
        <w:rPr>
          <w:rFonts w:ascii="Sylfaen" w:eastAsiaTheme="minorEastAsia" w:hAnsi="Sylfaen" w:cs="Sylfaen"/>
        </w:rPr>
        <w:t>შესახებ</w:t>
      </w:r>
      <w:r w:rsidRPr="003D733D">
        <w:rPr>
          <w:rFonts w:eastAsiaTheme="minorEastAsia"/>
        </w:rPr>
        <w:t>“</w:t>
      </w:r>
    </w:p>
    <w:p w14:paraId="2B98C635" w14:textId="77777777" w:rsidR="00CE1A11" w:rsidRPr="003D733D" w:rsidRDefault="00CE1A11" w:rsidP="00CE1A11">
      <w:pPr>
        <w:rPr>
          <w:rFonts w:eastAsiaTheme="minorEastAsia"/>
        </w:rPr>
      </w:pPr>
      <w:r w:rsidRPr="003D733D">
        <w:rPr>
          <w:rFonts w:ascii="Sylfaen" w:eastAsiaTheme="minorEastAsia" w:hAnsi="Sylfaen" w:cs="Sylfaen"/>
        </w:rPr>
        <w:t>საქართველოს</w:t>
      </w:r>
      <w:r w:rsidRPr="003D733D">
        <w:rPr>
          <w:rFonts w:eastAsiaTheme="minorEastAsia"/>
        </w:rPr>
        <w:t xml:space="preserve"> </w:t>
      </w:r>
      <w:r w:rsidRPr="003D733D">
        <w:rPr>
          <w:rFonts w:ascii="Sylfaen" w:eastAsiaTheme="minorEastAsia" w:hAnsi="Sylfaen" w:cs="Sylfaen"/>
        </w:rPr>
        <w:t>მთავრობის</w:t>
      </w:r>
      <w:r w:rsidRPr="003D733D">
        <w:rPr>
          <w:rFonts w:eastAsiaTheme="minorEastAsia"/>
        </w:rPr>
        <w:t xml:space="preserve"> 2013 </w:t>
      </w:r>
      <w:r w:rsidRPr="003D733D">
        <w:rPr>
          <w:rFonts w:ascii="Sylfaen" w:eastAsiaTheme="minorEastAsia" w:hAnsi="Sylfaen" w:cs="Sylfaen"/>
        </w:rPr>
        <w:t>წლის</w:t>
      </w:r>
      <w:r w:rsidRPr="003D733D">
        <w:rPr>
          <w:rFonts w:eastAsiaTheme="minorEastAsia"/>
        </w:rPr>
        <w:t xml:space="preserve"> 31 </w:t>
      </w:r>
      <w:r w:rsidRPr="003D733D">
        <w:rPr>
          <w:rFonts w:ascii="Sylfaen" w:eastAsiaTheme="minorEastAsia" w:hAnsi="Sylfaen" w:cs="Sylfaen"/>
        </w:rPr>
        <w:t>დეკემბრის</w:t>
      </w:r>
      <w:r w:rsidRPr="003D733D">
        <w:rPr>
          <w:rFonts w:eastAsiaTheme="minorEastAsia"/>
        </w:rPr>
        <w:t xml:space="preserve"> №408 </w:t>
      </w:r>
      <w:r w:rsidRPr="003D733D">
        <w:rPr>
          <w:rFonts w:ascii="Sylfaen" w:eastAsiaTheme="minorEastAsia" w:hAnsi="Sylfaen" w:cs="Sylfaen"/>
        </w:rPr>
        <w:t>დადგენილება</w:t>
      </w:r>
      <w:r w:rsidRPr="003D733D">
        <w:rPr>
          <w:rFonts w:eastAsiaTheme="minorEastAsia"/>
        </w:rPr>
        <w:t xml:space="preserve"> „</w:t>
      </w:r>
      <w:r w:rsidRPr="003D733D">
        <w:rPr>
          <w:rFonts w:ascii="Sylfaen" w:eastAsiaTheme="minorEastAsia" w:hAnsi="Sylfaen" w:cs="Sylfaen"/>
        </w:rPr>
        <w:t>ატმოსფერულ</w:t>
      </w:r>
      <w:r w:rsidRPr="003D733D">
        <w:rPr>
          <w:rFonts w:eastAsiaTheme="minorEastAsia"/>
        </w:rPr>
        <w:t xml:space="preserve"> </w:t>
      </w:r>
      <w:r w:rsidRPr="003D733D">
        <w:rPr>
          <w:rFonts w:ascii="Sylfaen" w:eastAsiaTheme="minorEastAsia" w:hAnsi="Sylfaen" w:cs="Sylfaen"/>
        </w:rPr>
        <w:t>ჰაერში</w:t>
      </w:r>
      <w:r w:rsidRPr="003D733D">
        <w:rPr>
          <w:rFonts w:eastAsiaTheme="minorEastAsia"/>
        </w:rPr>
        <w:t xml:space="preserve"> </w:t>
      </w:r>
      <w:r w:rsidRPr="003D733D">
        <w:rPr>
          <w:rFonts w:ascii="Sylfaen" w:eastAsiaTheme="minorEastAsia" w:hAnsi="Sylfaen" w:cs="Sylfaen"/>
        </w:rPr>
        <w:t>მავნე</w:t>
      </w:r>
      <w:r w:rsidRPr="003D733D">
        <w:rPr>
          <w:rFonts w:eastAsiaTheme="minorEastAsia"/>
        </w:rPr>
        <w:t xml:space="preserve"> </w:t>
      </w:r>
      <w:r w:rsidRPr="003D733D">
        <w:rPr>
          <w:rFonts w:ascii="Sylfaen" w:eastAsiaTheme="minorEastAsia" w:hAnsi="Sylfaen" w:cs="Sylfaen"/>
        </w:rPr>
        <w:t>ნივთიერებათა</w:t>
      </w:r>
      <w:r w:rsidRPr="003D733D">
        <w:rPr>
          <w:rFonts w:eastAsiaTheme="minorEastAsia"/>
        </w:rPr>
        <w:t xml:space="preserve"> </w:t>
      </w:r>
      <w:r w:rsidRPr="003D733D">
        <w:rPr>
          <w:rFonts w:ascii="Sylfaen" w:eastAsiaTheme="minorEastAsia" w:hAnsi="Sylfaen" w:cs="Sylfaen"/>
        </w:rPr>
        <w:t>ზღვრულად</w:t>
      </w:r>
      <w:r w:rsidRPr="003D733D">
        <w:rPr>
          <w:rFonts w:eastAsiaTheme="minorEastAsia"/>
        </w:rPr>
        <w:t xml:space="preserve"> </w:t>
      </w:r>
      <w:r w:rsidRPr="003D733D">
        <w:rPr>
          <w:rFonts w:ascii="Sylfaen" w:eastAsiaTheme="minorEastAsia" w:hAnsi="Sylfaen" w:cs="Sylfaen"/>
        </w:rPr>
        <w:t>დასაშვები</w:t>
      </w:r>
      <w:r w:rsidRPr="003D733D">
        <w:rPr>
          <w:rFonts w:eastAsiaTheme="minorEastAsia"/>
        </w:rPr>
        <w:t xml:space="preserve"> </w:t>
      </w:r>
      <w:r w:rsidRPr="003D733D">
        <w:rPr>
          <w:rFonts w:ascii="Sylfaen" w:eastAsiaTheme="minorEastAsia" w:hAnsi="Sylfaen" w:cs="Sylfaen"/>
        </w:rPr>
        <w:t>გაფრქვევის</w:t>
      </w:r>
      <w:r w:rsidRPr="003D733D">
        <w:rPr>
          <w:rFonts w:eastAsiaTheme="minorEastAsia"/>
        </w:rPr>
        <w:t xml:space="preserve"> </w:t>
      </w:r>
      <w:r w:rsidRPr="003D733D">
        <w:rPr>
          <w:rFonts w:ascii="Sylfaen" w:eastAsiaTheme="minorEastAsia" w:hAnsi="Sylfaen" w:cs="Sylfaen"/>
        </w:rPr>
        <w:t>ნორმების</w:t>
      </w:r>
      <w:r w:rsidRPr="003D733D">
        <w:rPr>
          <w:rFonts w:eastAsiaTheme="minorEastAsia"/>
        </w:rPr>
        <w:t xml:space="preserve"> </w:t>
      </w:r>
      <w:r w:rsidRPr="003D733D">
        <w:rPr>
          <w:rFonts w:ascii="Sylfaen" w:eastAsiaTheme="minorEastAsia" w:hAnsi="Sylfaen" w:cs="Sylfaen"/>
        </w:rPr>
        <w:t>გაანგარიშების</w:t>
      </w:r>
      <w:r w:rsidRPr="003D733D">
        <w:rPr>
          <w:rFonts w:eastAsiaTheme="minorEastAsia"/>
        </w:rPr>
        <w:t xml:space="preserve"> </w:t>
      </w:r>
      <w:r w:rsidRPr="003D733D">
        <w:rPr>
          <w:rFonts w:ascii="Sylfaen" w:eastAsiaTheme="minorEastAsia" w:hAnsi="Sylfaen" w:cs="Sylfaen"/>
        </w:rPr>
        <w:t>ტექნიკური</w:t>
      </w:r>
      <w:r w:rsidRPr="003D733D">
        <w:rPr>
          <w:rFonts w:eastAsiaTheme="minorEastAsia"/>
        </w:rPr>
        <w:t xml:space="preserve"> </w:t>
      </w:r>
      <w:r w:rsidRPr="003D733D">
        <w:rPr>
          <w:rFonts w:ascii="Sylfaen" w:eastAsiaTheme="minorEastAsia" w:hAnsi="Sylfaen" w:cs="Sylfaen"/>
        </w:rPr>
        <w:t>რეგლამენტი</w:t>
      </w:r>
      <w:r w:rsidRPr="003D733D">
        <w:rPr>
          <w:rFonts w:ascii="Sylfaen" w:eastAsia="Sylfaen" w:hAnsi="Sylfaen" w:cs="Sylfaen"/>
        </w:rPr>
        <w:t>ს</w:t>
      </w:r>
      <w:r w:rsidRPr="003D733D">
        <w:rPr>
          <w:rFonts w:eastAsia="Sylfaen"/>
        </w:rPr>
        <w:t xml:space="preserve"> </w:t>
      </w:r>
      <w:r w:rsidRPr="003D733D">
        <w:rPr>
          <w:rFonts w:ascii="Sylfaen" w:eastAsia="Sylfaen" w:hAnsi="Sylfaen" w:cs="Sylfaen"/>
        </w:rPr>
        <w:t>დამტკიცების</w:t>
      </w:r>
      <w:r w:rsidRPr="003D733D">
        <w:rPr>
          <w:rFonts w:eastAsia="Sylfaen"/>
        </w:rPr>
        <w:t xml:space="preserve"> </w:t>
      </w:r>
      <w:r w:rsidRPr="003D733D">
        <w:rPr>
          <w:rFonts w:ascii="Sylfaen" w:eastAsia="Sylfaen" w:hAnsi="Sylfaen" w:cs="Sylfaen"/>
        </w:rPr>
        <w:t>თაობაზე</w:t>
      </w:r>
      <w:r w:rsidRPr="003D733D">
        <w:rPr>
          <w:rFonts w:eastAsia="Sylfaen"/>
        </w:rPr>
        <w:t>“.</w:t>
      </w:r>
    </w:p>
    <w:p w14:paraId="1EF8AC35" w14:textId="77777777" w:rsidR="00CE1A11" w:rsidRPr="003D733D" w:rsidRDefault="00CE1A11" w:rsidP="00CE1A11">
      <w:pPr>
        <w:rPr>
          <w:rFonts w:eastAsiaTheme="minorEastAsia"/>
        </w:rPr>
      </w:pPr>
      <w:r w:rsidRPr="003D733D">
        <w:rPr>
          <w:rFonts w:ascii="Sylfaen" w:eastAsiaTheme="minorEastAsia" w:hAnsi="Sylfaen" w:cs="Sylfaen"/>
        </w:rPr>
        <w:t>საქართველოს</w:t>
      </w:r>
      <w:r w:rsidRPr="003D733D">
        <w:rPr>
          <w:rFonts w:eastAsiaTheme="minorEastAsia"/>
        </w:rPr>
        <w:t xml:space="preserve"> </w:t>
      </w:r>
      <w:r w:rsidRPr="003D733D">
        <w:rPr>
          <w:rFonts w:ascii="Sylfaen" w:eastAsiaTheme="minorEastAsia" w:hAnsi="Sylfaen" w:cs="Sylfaen"/>
        </w:rPr>
        <w:t>შრომის</w:t>
      </w:r>
      <w:r w:rsidRPr="003D733D">
        <w:rPr>
          <w:rFonts w:eastAsiaTheme="minorEastAsia"/>
        </w:rPr>
        <w:t xml:space="preserve">, </w:t>
      </w:r>
      <w:r w:rsidRPr="003D733D">
        <w:rPr>
          <w:rFonts w:ascii="Sylfaen" w:eastAsiaTheme="minorEastAsia" w:hAnsi="Sylfaen" w:cs="Sylfaen"/>
        </w:rPr>
        <w:t>ჯანმრთელობისა</w:t>
      </w:r>
      <w:r w:rsidRPr="003D733D">
        <w:rPr>
          <w:rFonts w:eastAsiaTheme="minorEastAsia"/>
        </w:rPr>
        <w:t xml:space="preserve"> </w:t>
      </w:r>
      <w:r w:rsidRPr="003D733D">
        <w:rPr>
          <w:rFonts w:ascii="Sylfaen" w:eastAsiaTheme="minorEastAsia" w:hAnsi="Sylfaen" w:cs="Sylfaen"/>
        </w:rPr>
        <w:t>და</w:t>
      </w:r>
      <w:r w:rsidRPr="003D733D">
        <w:rPr>
          <w:rFonts w:eastAsiaTheme="minorEastAsia"/>
        </w:rPr>
        <w:t xml:space="preserve"> </w:t>
      </w:r>
      <w:r w:rsidRPr="003D733D">
        <w:rPr>
          <w:rFonts w:ascii="Sylfaen" w:eastAsiaTheme="minorEastAsia" w:hAnsi="Sylfaen" w:cs="Sylfaen"/>
        </w:rPr>
        <w:t>სოციალური</w:t>
      </w:r>
      <w:r w:rsidRPr="003D733D">
        <w:rPr>
          <w:rFonts w:eastAsiaTheme="minorEastAsia"/>
        </w:rPr>
        <w:t xml:space="preserve"> </w:t>
      </w:r>
      <w:r w:rsidRPr="003D733D">
        <w:rPr>
          <w:rFonts w:ascii="Sylfaen" w:eastAsiaTheme="minorEastAsia" w:hAnsi="Sylfaen" w:cs="Sylfaen"/>
        </w:rPr>
        <w:t>დაცვის</w:t>
      </w:r>
      <w:r w:rsidRPr="003D733D">
        <w:rPr>
          <w:rFonts w:eastAsiaTheme="minorEastAsia"/>
        </w:rPr>
        <w:t xml:space="preserve"> </w:t>
      </w:r>
      <w:r w:rsidRPr="003D733D">
        <w:rPr>
          <w:rFonts w:ascii="Sylfaen" w:eastAsiaTheme="minorEastAsia" w:hAnsi="Sylfaen" w:cs="Sylfaen"/>
        </w:rPr>
        <w:t>მინისტრის</w:t>
      </w:r>
      <w:r w:rsidRPr="003D733D">
        <w:rPr>
          <w:rFonts w:eastAsiaTheme="minorEastAsia"/>
        </w:rPr>
        <w:t xml:space="preserve"> 2003 </w:t>
      </w:r>
      <w:r w:rsidRPr="003D733D">
        <w:rPr>
          <w:rFonts w:ascii="Sylfaen" w:eastAsiaTheme="minorEastAsia" w:hAnsi="Sylfaen" w:cs="Sylfaen"/>
        </w:rPr>
        <w:t>წლის</w:t>
      </w:r>
      <w:r w:rsidRPr="003D733D">
        <w:rPr>
          <w:rFonts w:eastAsiaTheme="minorEastAsia"/>
        </w:rPr>
        <w:t xml:space="preserve"> 24 </w:t>
      </w:r>
      <w:r w:rsidRPr="003D733D">
        <w:rPr>
          <w:rFonts w:ascii="Sylfaen" w:eastAsiaTheme="minorEastAsia" w:hAnsi="Sylfaen" w:cs="Sylfaen"/>
        </w:rPr>
        <w:t>თებერვლის</w:t>
      </w:r>
      <w:r w:rsidRPr="003D733D">
        <w:rPr>
          <w:rFonts w:eastAsiaTheme="minorEastAsia"/>
        </w:rPr>
        <w:t xml:space="preserve"> </w:t>
      </w:r>
      <w:r w:rsidRPr="003D733D">
        <w:rPr>
          <w:rFonts w:ascii="Sylfaen" w:eastAsiaTheme="minorEastAsia" w:hAnsi="Sylfaen" w:cs="Sylfaen"/>
        </w:rPr>
        <w:t>ბრძანება</w:t>
      </w:r>
      <w:r w:rsidRPr="003D733D">
        <w:rPr>
          <w:rFonts w:eastAsiaTheme="minorEastAsia"/>
        </w:rPr>
        <w:t xml:space="preserve"> №38/</w:t>
      </w:r>
      <w:r w:rsidRPr="003D733D">
        <w:rPr>
          <w:rFonts w:ascii="Sylfaen" w:eastAsiaTheme="minorEastAsia" w:hAnsi="Sylfaen" w:cs="Sylfaen"/>
        </w:rPr>
        <w:t>ნ</w:t>
      </w:r>
      <w:r w:rsidRPr="003D733D">
        <w:rPr>
          <w:rFonts w:eastAsiaTheme="minorEastAsia"/>
        </w:rPr>
        <w:t xml:space="preserve"> «</w:t>
      </w:r>
      <w:r w:rsidRPr="003D733D">
        <w:rPr>
          <w:rFonts w:ascii="Sylfaen" w:eastAsiaTheme="minorEastAsia" w:hAnsi="Sylfaen" w:cs="Sylfaen"/>
        </w:rPr>
        <w:t>გარემოს</w:t>
      </w:r>
      <w:r w:rsidRPr="003D733D">
        <w:rPr>
          <w:rFonts w:eastAsiaTheme="minorEastAsia"/>
        </w:rPr>
        <w:t xml:space="preserve"> </w:t>
      </w:r>
      <w:r w:rsidRPr="003D733D">
        <w:rPr>
          <w:rFonts w:ascii="Sylfaen" w:eastAsiaTheme="minorEastAsia" w:hAnsi="Sylfaen" w:cs="Sylfaen"/>
        </w:rPr>
        <w:t>ხარისხობრივი</w:t>
      </w:r>
      <w:r w:rsidRPr="003D733D">
        <w:rPr>
          <w:rFonts w:eastAsiaTheme="minorEastAsia"/>
        </w:rPr>
        <w:t xml:space="preserve"> </w:t>
      </w:r>
      <w:r w:rsidRPr="003D733D">
        <w:rPr>
          <w:rFonts w:ascii="Sylfaen" w:eastAsiaTheme="minorEastAsia" w:hAnsi="Sylfaen" w:cs="Sylfaen"/>
        </w:rPr>
        <w:t>მდგომარეობის</w:t>
      </w:r>
      <w:r w:rsidRPr="003D733D">
        <w:rPr>
          <w:rFonts w:eastAsiaTheme="minorEastAsia"/>
        </w:rPr>
        <w:t xml:space="preserve"> </w:t>
      </w:r>
      <w:r w:rsidRPr="003D733D">
        <w:rPr>
          <w:rFonts w:ascii="Sylfaen" w:eastAsiaTheme="minorEastAsia" w:hAnsi="Sylfaen" w:cs="Sylfaen"/>
        </w:rPr>
        <w:t>ნორმების</w:t>
      </w:r>
      <w:r w:rsidRPr="003D733D">
        <w:rPr>
          <w:rFonts w:eastAsiaTheme="minorEastAsia"/>
        </w:rPr>
        <w:t xml:space="preserve"> </w:t>
      </w:r>
      <w:r w:rsidRPr="003D733D">
        <w:rPr>
          <w:rFonts w:ascii="Sylfaen" w:eastAsiaTheme="minorEastAsia" w:hAnsi="Sylfaen" w:cs="Sylfaen"/>
        </w:rPr>
        <w:t>დამტკიცების</w:t>
      </w:r>
      <w:r w:rsidRPr="003D733D">
        <w:rPr>
          <w:rFonts w:eastAsiaTheme="minorEastAsia"/>
        </w:rPr>
        <w:t xml:space="preserve"> </w:t>
      </w:r>
      <w:r w:rsidRPr="003D733D">
        <w:rPr>
          <w:rFonts w:ascii="Sylfaen" w:eastAsiaTheme="minorEastAsia" w:hAnsi="Sylfaen" w:cs="Sylfaen"/>
        </w:rPr>
        <w:t>შესახებ</w:t>
      </w:r>
      <w:r w:rsidRPr="003D733D">
        <w:rPr>
          <w:rFonts w:eastAsiaTheme="minorEastAsia"/>
        </w:rPr>
        <w:t>».</w:t>
      </w:r>
    </w:p>
    <w:p w14:paraId="44F335A2" w14:textId="77777777" w:rsidR="00CE1A11" w:rsidRPr="003D733D" w:rsidRDefault="00CE1A11" w:rsidP="00CE1A11">
      <w:pPr>
        <w:rPr>
          <w:rFonts w:eastAsiaTheme="minorEastAsia"/>
        </w:rPr>
      </w:pPr>
      <w:r w:rsidRPr="003D733D">
        <w:rPr>
          <w:rFonts w:ascii="Sylfaen" w:eastAsiaTheme="minorEastAsia" w:hAnsi="Sylfaen" w:cs="Sylfaen"/>
        </w:rPr>
        <w:t>საქართველოს</w:t>
      </w:r>
      <w:r w:rsidRPr="003D733D">
        <w:rPr>
          <w:rFonts w:eastAsiaTheme="minorEastAsia"/>
        </w:rPr>
        <w:t xml:space="preserve"> </w:t>
      </w:r>
      <w:r w:rsidRPr="003D733D">
        <w:rPr>
          <w:rFonts w:ascii="Sylfaen" w:eastAsiaTheme="minorEastAsia" w:hAnsi="Sylfaen" w:cs="Sylfaen"/>
        </w:rPr>
        <w:t>ეკონომიკური</w:t>
      </w:r>
      <w:r w:rsidRPr="003D733D">
        <w:rPr>
          <w:rFonts w:eastAsiaTheme="minorEastAsia"/>
        </w:rPr>
        <w:t xml:space="preserve"> </w:t>
      </w:r>
      <w:r w:rsidRPr="003D733D">
        <w:rPr>
          <w:rFonts w:ascii="Sylfaen" w:eastAsiaTheme="minorEastAsia" w:hAnsi="Sylfaen" w:cs="Sylfaen"/>
        </w:rPr>
        <w:t>განვითარების</w:t>
      </w:r>
      <w:r w:rsidRPr="003D733D">
        <w:rPr>
          <w:rFonts w:eastAsiaTheme="minorEastAsia"/>
        </w:rPr>
        <w:t xml:space="preserve"> </w:t>
      </w:r>
      <w:r w:rsidRPr="003D733D">
        <w:rPr>
          <w:rFonts w:ascii="Sylfaen" w:eastAsiaTheme="minorEastAsia" w:hAnsi="Sylfaen" w:cs="Sylfaen"/>
        </w:rPr>
        <w:t>მინისტრის</w:t>
      </w:r>
      <w:r w:rsidRPr="003D733D">
        <w:rPr>
          <w:rFonts w:eastAsiaTheme="minorEastAsia"/>
        </w:rPr>
        <w:t xml:space="preserve"> 2008 </w:t>
      </w:r>
      <w:r w:rsidRPr="003D733D">
        <w:rPr>
          <w:rFonts w:ascii="Sylfaen" w:eastAsiaTheme="minorEastAsia" w:hAnsi="Sylfaen" w:cs="Sylfaen"/>
        </w:rPr>
        <w:t>წლის</w:t>
      </w:r>
      <w:r w:rsidRPr="003D733D">
        <w:rPr>
          <w:rFonts w:eastAsiaTheme="minorEastAsia"/>
        </w:rPr>
        <w:t xml:space="preserve"> 25 </w:t>
      </w:r>
      <w:r w:rsidRPr="003D733D">
        <w:rPr>
          <w:rFonts w:ascii="Sylfaen" w:eastAsiaTheme="minorEastAsia" w:hAnsi="Sylfaen" w:cs="Sylfaen"/>
        </w:rPr>
        <w:t>აგვისტოს</w:t>
      </w:r>
      <w:r w:rsidRPr="003D733D">
        <w:rPr>
          <w:rFonts w:eastAsiaTheme="minorEastAsia"/>
        </w:rPr>
        <w:t xml:space="preserve"> </w:t>
      </w:r>
      <w:r w:rsidRPr="003D733D">
        <w:rPr>
          <w:rFonts w:ascii="Sylfaen" w:eastAsiaTheme="minorEastAsia" w:hAnsi="Sylfaen" w:cs="Sylfaen"/>
        </w:rPr>
        <w:t>ბრძანება</w:t>
      </w:r>
      <w:r w:rsidRPr="003D733D">
        <w:rPr>
          <w:rFonts w:eastAsiaTheme="minorEastAsia"/>
        </w:rPr>
        <w:t xml:space="preserve"> № 1-1/1743 „</w:t>
      </w:r>
      <w:r w:rsidRPr="003D733D">
        <w:rPr>
          <w:rFonts w:ascii="Sylfaen" w:eastAsiaTheme="minorEastAsia" w:hAnsi="Sylfaen" w:cs="Sylfaen"/>
        </w:rPr>
        <w:t>დაპროექტების</w:t>
      </w:r>
      <w:r w:rsidRPr="003D733D">
        <w:rPr>
          <w:rFonts w:eastAsiaTheme="minorEastAsia"/>
        </w:rPr>
        <w:t xml:space="preserve"> </w:t>
      </w:r>
      <w:r w:rsidRPr="003D733D">
        <w:rPr>
          <w:rFonts w:ascii="Sylfaen" w:eastAsiaTheme="minorEastAsia" w:hAnsi="Sylfaen" w:cs="Sylfaen"/>
        </w:rPr>
        <w:t>ნორმების</w:t>
      </w:r>
      <w:r w:rsidRPr="003D733D">
        <w:rPr>
          <w:rFonts w:eastAsiaTheme="minorEastAsia"/>
        </w:rPr>
        <w:t>-„</w:t>
      </w:r>
      <w:r w:rsidRPr="003D733D">
        <w:rPr>
          <w:rFonts w:ascii="Sylfaen" w:eastAsiaTheme="minorEastAsia" w:hAnsi="Sylfaen" w:cs="Sylfaen"/>
        </w:rPr>
        <w:t>სამშენებლო</w:t>
      </w:r>
      <w:r w:rsidRPr="003D733D">
        <w:rPr>
          <w:rFonts w:eastAsiaTheme="minorEastAsia"/>
        </w:rPr>
        <w:t xml:space="preserve"> </w:t>
      </w:r>
      <w:r w:rsidRPr="003D733D">
        <w:rPr>
          <w:rFonts w:ascii="Sylfaen" w:eastAsiaTheme="minorEastAsia" w:hAnsi="Sylfaen" w:cs="Sylfaen"/>
        </w:rPr>
        <w:t>კლიმატოლოგია</w:t>
      </w:r>
      <w:r w:rsidRPr="003D733D">
        <w:rPr>
          <w:rFonts w:eastAsiaTheme="minorEastAsia"/>
        </w:rPr>
        <w:t>“.</w:t>
      </w:r>
      <w:bookmarkStart w:id="572" w:name="_Toc122754942"/>
      <w:bookmarkStart w:id="573" w:name="_Toc65493075"/>
    </w:p>
    <w:bookmarkEnd w:id="572"/>
    <w:bookmarkEnd w:id="573"/>
    <w:p w14:paraId="415D7386" w14:textId="77777777" w:rsidR="00CE1A11" w:rsidRPr="003D733D" w:rsidRDefault="00CE1A11" w:rsidP="00CE1A11">
      <w:pPr>
        <w:rPr>
          <w:rFonts w:eastAsiaTheme="minorEastAsia"/>
        </w:rPr>
      </w:pPr>
      <w:r w:rsidRPr="003D733D">
        <w:rPr>
          <w:rFonts w:ascii="Sylfaen" w:hAnsi="Sylfaen" w:cs="Sylfaen"/>
        </w:rPr>
        <w:t>საქართველოს</w:t>
      </w:r>
      <w:r w:rsidRPr="003D733D">
        <w:t xml:space="preserve"> </w:t>
      </w:r>
      <w:r w:rsidRPr="003D733D">
        <w:rPr>
          <w:rFonts w:ascii="Sylfaen" w:hAnsi="Sylfaen" w:cs="Sylfaen"/>
        </w:rPr>
        <w:t>მთავრობის</w:t>
      </w:r>
      <w:r w:rsidRPr="003D733D">
        <w:t xml:space="preserve"> 2013 </w:t>
      </w:r>
      <w:r w:rsidRPr="003D733D">
        <w:rPr>
          <w:rFonts w:ascii="Sylfaen" w:hAnsi="Sylfaen" w:cs="Sylfaen"/>
        </w:rPr>
        <w:t>წლის</w:t>
      </w:r>
      <w:r w:rsidRPr="003D733D">
        <w:t xml:space="preserve"> 31 </w:t>
      </w:r>
      <w:r w:rsidRPr="003D733D">
        <w:rPr>
          <w:rFonts w:ascii="Sylfaen" w:hAnsi="Sylfaen" w:cs="Sylfaen"/>
        </w:rPr>
        <w:t>დეკემბრის</w:t>
      </w:r>
      <w:r w:rsidRPr="003D733D">
        <w:t xml:space="preserve"> </w:t>
      </w:r>
      <w:r w:rsidRPr="003D733D">
        <w:rPr>
          <w:rFonts w:ascii="Sylfaen" w:hAnsi="Sylfaen" w:cs="Sylfaen"/>
        </w:rPr>
        <w:t>დადგენილება</w:t>
      </w:r>
      <w:r w:rsidRPr="003D733D">
        <w:t xml:space="preserve"> </w:t>
      </w:r>
      <w:r w:rsidRPr="003D733D">
        <w:rPr>
          <w:rFonts w:cs="Arial"/>
        </w:rPr>
        <w:t>№</w:t>
      </w:r>
      <w:r w:rsidRPr="003D733D">
        <w:t xml:space="preserve"> 435 </w:t>
      </w:r>
      <w:r w:rsidRPr="003D733D">
        <w:rPr>
          <w:rFonts w:cs="Arial"/>
        </w:rPr>
        <w:t>„</w:t>
      </w:r>
      <w:r w:rsidRPr="003D733D">
        <w:rPr>
          <w:rFonts w:ascii="Sylfaen" w:eastAsia="Sylfaen" w:hAnsi="Sylfaen" w:cs="Sylfaen"/>
        </w:rPr>
        <w:t>დაბინძურების</w:t>
      </w:r>
      <w:r w:rsidRPr="003D733D">
        <w:rPr>
          <w:rFonts w:eastAsia="Sylfaen"/>
        </w:rPr>
        <w:t xml:space="preserve"> </w:t>
      </w:r>
      <w:r w:rsidRPr="003D733D">
        <w:rPr>
          <w:rFonts w:ascii="Sylfaen" w:eastAsia="Sylfaen" w:hAnsi="Sylfaen" w:cs="Sylfaen"/>
        </w:rPr>
        <w:t>სტაციონარული</w:t>
      </w:r>
      <w:r w:rsidRPr="003D733D">
        <w:rPr>
          <w:rFonts w:eastAsia="Sylfaen"/>
        </w:rPr>
        <w:t xml:space="preserve"> </w:t>
      </w:r>
      <w:r w:rsidRPr="003D733D">
        <w:rPr>
          <w:rFonts w:ascii="Sylfaen" w:eastAsia="Sylfaen" w:hAnsi="Sylfaen" w:cs="Sylfaen"/>
        </w:rPr>
        <w:t>წყაროებიდან</w:t>
      </w:r>
      <w:r w:rsidRPr="003D733D">
        <w:rPr>
          <w:rFonts w:eastAsia="Sylfaen"/>
        </w:rPr>
        <w:t xml:space="preserve"> </w:t>
      </w:r>
      <w:r w:rsidRPr="003D733D">
        <w:rPr>
          <w:rFonts w:ascii="Sylfaen" w:eastAsia="Sylfaen" w:hAnsi="Sylfaen" w:cs="Sylfaen"/>
        </w:rPr>
        <w:t>ატმოსფერულ</w:t>
      </w:r>
      <w:r w:rsidRPr="003D733D">
        <w:rPr>
          <w:rFonts w:eastAsia="Sylfaen"/>
        </w:rPr>
        <w:t xml:space="preserve"> </w:t>
      </w:r>
      <w:r w:rsidRPr="003D733D">
        <w:rPr>
          <w:rFonts w:ascii="Sylfaen" w:eastAsia="Sylfaen" w:hAnsi="Sylfaen" w:cs="Sylfaen"/>
        </w:rPr>
        <w:t>ჰაერში</w:t>
      </w:r>
      <w:r w:rsidRPr="003D733D">
        <w:rPr>
          <w:rFonts w:eastAsia="Sylfaen"/>
        </w:rPr>
        <w:t xml:space="preserve"> </w:t>
      </w:r>
      <w:r w:rsidRPr="003D733D">
        <w:rPr>
          <w:rFonts w:ascii="Sylfaen" w:eastAsia="Sylfaen" w:hAnsi="Sylfaen" w:cs="Sylfaen"/>
        </w:rPr>
        <w:t>გაფრქვევების</w:t>
      </w:r>
      <w:r w:rsidRPr="003D733D">
        <w:rPr>
          <w:rFonts w:eastAsia="Sylfaen"/>
        </w:rPr>
        <w:t xml:space="preserve"> </w:t>
      </w:r>
      <w:r w:rsidRPr="003D733D">
        <w:rPr>
          <w:rFonts w:ascii="Sylfaen" w:eastAsia="Sylfaen" w:hAnsi="Sylfaen" w:cs="Sylfaen"/>
        </w:rPr>
        <w:t>ფაქტობრივი</w:t>
      </w:r>
      <w:r w:rsidRPr="003D733D">
        <w:rPr>
          <w:rFonts w:eastAsia="Sylfaen"/>
        </w:rPr>
        <w:t xml:space="preserve"> </w:t>
      </w:r>
      <w:r w:rsidRPr="003D733D">
        <w:rPr>
          <w:rFonts w:ascii="Sylfaen" w:eastAsia="Sylfaen" w:hAnsi="Sylfaen" w:cs="Sylfaen"/>
        </w:rPr>
        <w:t>რაოდენობის</w:t>
      </w:r>
      <w:r w:rsidRPr="003D733D">
        <w:rPr>
          <w:rFonts w:eastAsia="Sylfaen"/>
        </w:rPr>
        <w:t xml:space="preserve"> </w:t>
      </w:r>
      <w:r w:rsidRPr="003D733D">
        <w:rPr>
          <w:rFonts w:ascii="Sylfaen" w:eastAsia="Sylfaen" w:hAnsi="Sylfaen" w:cs="Sylfaen"/>
        </w:rPr>
        <w:t>განსაზღვრის</w:t>
      </w:r>
      <w:r w:rsidRPr="003D733D">
        <w:rPr>
          <w:rFonts w:eastAsia="Sylfaen"/>
        </w:rPr>
        <w:t xml:space="preserve"> </w:t>
      </w:r>
      <w:r w:rsidRPr="003D733D">
        <w:rPr>
          <w:rFonts w:ascii="Sylfaen" w:eastAsia="Sylfaen" w:hAnsi="Sylfaen" w:cs="Sylfaen"/>
        </w:rPr>
        <w:t>ინსტრუმენტული</w:t>
      </w:r>
      <w:r w:rsidRPr="003D733D">
        <w:rPr>
          <w:rFonts w:eastAsia="Sylfaen"/>
        </w:rPr>
        <w:t xml:space="preserve"> </w:t>
      </w:r>
      <w:r w:rsidRPr="003D733D">
        <w:rPr>
          <w:rFonts w:ascii="Sylfaen" w:eastAsia="Sylfaen" w:hAnsi="Sylfaen" w:cs="Sylfaen"/>
        </w:rPr>
        <w:t>მეთოდის</w:t>
      </w:r>
      <w:r w:rsidRPr="003D733D">
        <w:rPr>
          <w:rFonts w:eastAsia="Sylfaen"/>
        </w:rPr>
        <w:t xml:space="preserve">, </w:t>
      </w:r>
      <w:r w:rsidRPr="003D733D">
        <w:rPr>
          <w:rFonts w:ascii="Sylfaen" w:eastAsia="Sylfaen" w:hAnsi="Sylfaen" w:cs="Sylfaen"/>
        </w:rPr>
        <w:t>დაბინძურების</w:t>
      </w:r>
      <w:r w:rsidRPr="003D733D">
        <w:rPr>
          <w:rFonts w:eastAsia="Sylfaen"/>
        </w:rPr>
        <w:t xml:space="preserve"> </w:t>
      </w:r>
      <w:r w:rsidRPr="003D733D">
        <w:rPr>
          <w:rFonts w:ascii="Sylfaen" w:eastAsia="Sylfaen" w:hAnsi="Sylfaen" w:cs="Sylfaen"/>
        </w:rPr>
        <w:t>სტაციონარული</w:t>
      </w:r>
      <w:r w:rsidRPr="003D733D">
        <w:rPr>
          <w:rFonts w:eastAsia="Sylfaen"/>
        </w:rPr>
        <w:t xml:space="preserve"> </w:t>
      </w:r>
      <w:r w:rsidRPr="003D733D">
        <w:rPr>
          <w:rFonts w:ascii="Sylfaen" w:eastAsia="Sylfaen" w:hAnsi="Sylfaen" w:cs="Sylfaen"/>
        </w:rPr>
        <w:t>წყაროებიდან</w:t>
      </w:r>
      <w:r w:rsidRPr="003D733D">
        <w:rPr>
          <w:rFonts w:eastAsia="Sylfaen"/>
        </w:rPr>
        <w:t xml:space="preserve"> </w:t>
      </w:r>
      <w:r w:rsidRPr="003D733D">
        <w:rPr>
          <w:rFonts w:ascii="Sylfaen" w:eastAsia="Sylfaen" w:hAnsi="Sylfaen" w:cs="Sylfaen"/>
        </w:rPr>
        <w:t>ატმოსფერულ</w:t>
      </w:r>
      <w:r w:rsidRPr="003D733D">
        <w:rPr>
          <w:rFonts w:eastAsia="Sylfaen"/>
        </w:rPr>
        <w:t xml:space="preserve"> </w:t>
      </w:r>
      <w:r w:rsidRPr="003D733D">
        <w:rPr>
          <w:rFonts w:ascii="Sylfaen" w:eastAsia="Sylfaen" w:hAnsi="Sylfaen" w:cs="Sylfaen"/>
        </w:rPr>
        <w:t>ჰაერში</w:t>
      </w:r>
      <w:r w:rsidRPr="003D733D">
        <w:rPr>
          <w:rFonts w:eastAsia="Sylfaen"/>
        </w:rPr>
        <w:t xml:space="preserve"> </w:t>
      </w:r>
      <w:r w:rsidRPr="003D733D">
        <w:rPr>
          <w:rFonts w:ascii="Sylfaen" w:eastAsia="Sylfaen" w:hAnsi="Sylfaen" w:cs="Sylfaen"/>
        </w:rPr>
        <w:t>გაფრქვევების</w:t>
      </w:r>
      <w:r w:rsidRPr="003D733D">
        <w:rPr>
          <w:rFonts w:eastAsia="Sylfaen"/>
        </w:rPr>
        <w:t xml:space="preserve"> </w:t>
      </w:r>
      <w:r w:rsidRPr="003D733D">
        <w:rPr>
          <w:rFonts w:ascii="Sylfaen" w:eastAsia="Sylfaen" w:hAnsi="Sylfaen" w:cs="Sylfaen"/>
        </w:rPr>
        <w:t>ფაქტობრივი</w:t>
      </w:r>
      <w:r w:rsidRPr="003D733D">
        <w:rPr>
          <w:rFonts w:eastAsia="Sylfaen"/>
        </w:rPr>
        <w:t xml:space="preserve"> </w:t>
      </w:r>
      <w:r w:rsidRPr="003D733D">
        <w:rPr>
          <w:rFonts w:ascii="Sylfaen" w:eastAsia="Sylfaen" w:hAnsi="Sylfaen" w:cs="Sylfaen"/>
        </w:rPr>
        <w:t>რაოდენობის</w:t>
      </w:r>
      <w:r w:rsidRPr="003D733D">
        <w:rPr>
          <w:rFonts w:eastAsia="Sylfaen"/>
        </w:rPr>
        <w:t xml:space="preserve"> </w:t>
      </w:r>
      <w:r w:rsidRPr="003D733D">
        <w:rPr>
          <w:rFonts w:ascii="Sylfaen" w:eastAsia="Sylfaen" w:hAnsi="Sylfaen" w:cs="Sylfaen"/>
        </w:rPr>
        <w:t>დამდგენი</w:t>
      </w:r>
      <w:r w:rsidRPr="003D733D">
        <w:rPr>
          <w:rFonts w:eastAsia="Sylfaen"/>
        </w:rPr>
        <w:t xml:space="preserve"> </w:t>
      </w:r>
      <w:r w:rsidRPr="003D733D">
        <w:rPr>
          <w:rFonts w:ascii="Sylfaen" w:eastAsia="Sylfaen" w:hAnsi="Sylfaen" w:cs="Sylfaen"/>
        </w:rPr>
        <w:t>სპეციალური</w:t>
      </w:r>
      <w:r w:rsidRPr="003D733D">
        <w:rPr>
          <w:rFonts w:eastAsia="Sylfaen"/>
        </w:rPr>
        <w:t xml:space="preserve"> </w:t>
      </w:r>
      <w:r w:rsidRPr="003D733D">
        <w:rPr>
          <w:rFonts w:ascii="Sylfaen" w:eastAsia="Sylfaen" w:hAnsi="Sylfaen" w:cs="Sylfaen"/>
        </w:rPr>
        <w:t>გამზომ</w:t>
      </w:r>
      <w:r w:rsidRPr="003D733D">
        <w:rPr>
          <w:rFonts w:eastAsia="Sylfaen"/>
        </w:rPr>
        <w:t>-</w:t>
      </w:r>
      <w:r w:rsidRPr="003D733D">
        <w:rPr>
          <w:rFonts w:ascii="Sylfaen" w:eastAsia="Sylfaen" w:hAnsi="Sylfaen" w:cs="Sylfaen"/>
        </w:rPr>
        <w:t>საკონტროლო</w:t>
      </w:r>
      <w:r w:rsidRPr="003D733D">
        <w:rPr>
          <w:rFonts w:eastAsia="Sylfaen"/>
        </w:rPr>
        <w:t xml:space="preserve"> </w:t>
      </w:r>
      <w:r w:rsidRPr="003D733D">
        <w:rPr>
          <w:rFonts w:ascii="Sylfaen" w:eastAsia="Sylfaen" w:hAnsi="Sylfaen" w:cs="Sylfaen"/>
        </w:rPr>
        <w:t>აპარატურის</w:t>
      </w:r>
      <w:r w:rsidRPr="003D733D">
        <w:rPr>
          <w:rFonts w:eastAsia="Sylfaen"/>
        </w:rPr>
        <w:t xml:space="preserve"> </w:t>
      </w:r>
      <w:r w:rsidRPr="003D733D">
        <w:rPr>
          <w:rFonts w:ascii="Sylfaen" w:eastAsia="Sylfaen" w:hAnsi="Sylfaen" w:cs="Sylfaen"/>
        </w:rPr>
        <w:t>სტანდარტული</w:t>
      </w:r>
      <w:r w:rsidRPr="003D733D">
        <w:rPr>
          <w:rFonts w:eastAsia="Sylfaen"/>
        </w:rPr>
        <w:t xml:space="preserve"> </w:t>
      </w:r>
      <w:r w:rsidRPr="003D733D">
        <w:rPr>
          <w:rFonts w:ascii="Sylfaen" w:eastAsia="Sylfaen" w:hAnsi="Sylfaen" w:cs="Sylfaen"/>
        </w:rPr>
        <w:t>ჩამონათვალისა</w:t>
      </w:r>
      <w:r w:rsidRPr="003D733D">
        <w:rPr>
          <w:rFonts w:eastAsia="Sylfaen"/>
        </w:rPr>
        <w:t xml:space="preserve"> </w:t>
      </w:r>
      <w:r w:rsidRPr="003D733D">
        <w:rPr>
          <w:rFonts w:ascii="Sylfaen" w:eastAsia="Sylfaen" w:hAnsi="Sylfaen" w:cs="Sylfaen"/>
        </w:rPr>
        <w:t>და</w:t>
      </w:r>
      <w:r w:rsidRPr="003D733D">
        <w:rPr>
          <w:rFonts w:eastAsia="Sylfaen"/>
        </w:rPr>
        <w:t xml:space="preserve"> </w:t>
      </w:r>
      <w:r w:rsidRPr="003D733D">
        <w:rPr>
          <w:rFonts w:ascii="Sylfaen" w:eastAsia="Sylfaen" w:hAnsi="Sylfaen" w:cs="Sylfaen"/>
        </w:rPr>
        <w:t>დაბინძურების</w:t>
      </w:r>
      <w:r w:rsidRPr="003D733D">
        <w:rPr>
          <w:rFonts w:eastAsia="Sylfaen"/>
        </w:rPr>
        <w:t xml:space="preserve"> </w:t>
      </w:r>
      <w:r w:rsidRPr="003D733D">
        <w:rPr>
          <w:rFonts w:ascii="Sylfaen" w:eastAsia="Sylfaen" w:hAnsi="Sylfaen" w:cs="Sylfaen"/>
        </w:rPr>
        <w:t>სტაციონარული</w:t>
      </w:r>
      <w:r w:rsidRPr="003D733D">
        <w:rPr>
          <w:rFonts w:eastAsia="Sylfaen"/>
        </w:rPr>
        <w:t xml:space="preserve"> </w:t>
      </w:r>
      <w:r w:rsidRPr="003D733D">
        <w:rPr>
          <w:rFonts w:ascii="Sylfaen" w:eastAsia="Sylfaen" w:hAnsi="Sylfaen" w:cs="Sylfaen"/>
        </w:rPr>
        <w:t>წყაროებიდან</w:t>
      </w:r>
      <w:r w:rsidRPr="003D733D">
        <w:rPr>
          <w:rFonts w:eastAsia="Sylfaen"/>
        </w:rPr>
        <w:t xml:space="preserve"> </w:t>
      </w:r>
      <w:r w:rsidRPr="003D733D">
        <w:rPr>
          <w:rFonts w:ascii="Sylfaen" w:eastAsia="Sylfaen" w:hAnsi="Sylfaen" w:cs="Sylfaen"/>
        </w:rPr>
        <w:t>ტექნოლოგიური</w:t>
      </w:r>
      <w:r w:rsidRPr="003D733D">
        <w:rPr>
          <w:rFonts w:eastAsia="Sylfaen"/>
        </w:rPr>
        <w:t xml:space="preserve"> </w:t>
      </w:r>
      <w:r w:rsidRPr="003D733D">
        <w:rPr>
          <w:rFonts w:ascii="Sylfaen" w:eastAsia="Sylfaen" w:hAnsi="Sylfaen" w:cs="Sylfaen"/>
        </w:rPr>
        <w:t>პროცესების</w:t>
      </w:r>
      <w:r w:rsidRPr="003D733D">
        <w:rPr>
          <w:rFonts w:eastAsia="Sylfaen"/>
        </w:rPr>
        <w:t xml:space="preserve"> </w:t>
      </w:r>
      <w:r w:rsidRPr="003D733D">
        <w:rPr>
          <w:rFonts w:ascii="Sylfaen" w:eastAsia="Sylfaen" w:hAnsi="Sylfaen" w:cs="Sylfaen"/>
        </w:rPr>
        <w:t>მიხედვით</w:t>
      </w:r>
      <w:r w:rsidRPr="003D733D">
        <w:rPr>
          <w:rFonts w:eastAsia="Sylfaen"/>
        </w:rPr>
        <w:t xml:space="preserve"> </w:t>
      </w:r>
      <w:r w:rsidRPr="003D733D">
        <w:rPr>
          <w:rFonts w:ascii="Sylfaen" w:eastAsia="Sylfaen" w:hAnsi="Sylfaen" w:cs="Sylfaen"/>
        </w:rPr>
        <w:t>ატმოსფერულ</w:t>
      </w:r>
      <w:r w:rsidRPr="003D733D">
        <w:rPr>
          <w:rFonts w:eastAsia="Sylfaen"/>
        </w:rPr>
        <w:t xml:space="preserve"> </w:t>
      </w:r>
      <w:r w:rsidRPr="003D733D">
        <w:rPr>
          <w:rFonts w:ascii="Sylfaen" w:eastAsia="Sylfaen" w:hAnsi="Sylfaen" w:cs="Sylfaen"/>
        </w:rPr>
        <w:t>ჰაერში</w:t>
      </w:r>
      <w:r w:rsidRPr="003D733D">
        <w:rPr>
          <w:rFonts w:eastAsia="Sylfaen"/>
        </w:rPr>
        <w:t xml:space="preserve"> </w:t>
      </w:r>
      <w:r w:rsidRPr="003D733D">
        <w:rPr>
          <w:rFonts w:ascii="Sylfaen" w:eastAsia="Sylfaen" w:hAnsi="Sylfaen" w:cs="Sylfaen"/>
        </w:rPr>
        <w:t>გაფრქვევების</w:t>
      </w:r>
      <w:r w:rsidRPr="003D733D">
        <w:rPr>
          <w:rFonts w:eastAsia="Sylfaen"/>
        </w:rPr>
        <w:t xml:space="preserve"> </w:t>
      </w:r>
      <w:r w:rsidRPr="003D733D">
        <w:rPr>
          <w:rFonts w:ascii="Sylfaen" w:eastAsia="Sylfaen" w:hAnsi="Sylfaen" w:cs="Sylfaen"/>
        </w:rPr>
        <w:t>ფაქტობრივი</w:t>
      </w:r>
      <w:r w:rsidRPr="003D733D">
        <w:rPr>
          <w:rFonts w:eastAsia="Sylfaen"/>
        </w:rPr>
        <w:t xml:space="preserve"> </w:t>
      </w:r>
      <w:r w:rsidRPr="003D733D">
        <w:rPr>
          <w:rFonts w:ascii="Sylfaen" w:eastAsia="Sylfaen" w:hAnsi="Sylfaen" w:cs="Sylfaen"/>
        </w:rPr>
        <w:t>რაოდენობის</w:t>
      </w:r>
      <w:r w:rsidRPr="003D733D">
        <w:rPr>
          <w:rFonts w:eastAsia="Sylfaen"/>
        </w:rPr>
        <w:t xml:space="preserve"> </w:t>
      </w:r>
      <w:r w:rsidRPr="003D733D">
        <w:rPr>
          <w:rFonts w:ascii="Sylfaen" w:eastAsia="Sylfaen" w:hAnsi="Sylfaen" w:cs="Sylfaen"/>
        </w:rPr>
        <w:t>საანგარიშო</w:t>
      </w:r>
      <w:r w:rsidRPr="003D733D">
        <w:rPr>
          <w:rFonts w:eastAsia="Sylfaen"/>
        </w:rPr>
        <w:t xml:space="preserve"> </w:t>
      </w:r>
      <w:r w:rsidRPr="003D733D">
        <w:rPr>
          <w:rFonts w:ascii="Sylfaen" w:eastAsia="Sylfaen" w:hAnsi="Sylfaen" w:cs="Sylfaen"/>
        </w:rPr>
        <w:t>მეთოდიკის</w:t>
      </w:r>
      <w:r w:rsidRPr="003D733D">
        <w:rPr>
          <w:rFonts w:eastAsia="Sylfaen"/>
        </w:rPr>
        <w:t xml:space="preserve"> </w:t>
      </w:r>
      <w:r w:rsidRPr="003D733D">
        <w:rPr>
          <w:rFonts w:ascii="Sylfaen" w:eastAsia="Sylfaen" w:hAnsi="Sylfaen" w:cs="Sylfaen"/>
        </w:rPr>
        <w:t>შესახებ</w:t>
      </w:r>
      <w:r w:rsidRPr="003D733D">
        <w:rPr>
          <w:rFonts w:eastAsia="Sylfaen"/>
        </w:rPr>
        <w:t xml:space="preserve"> </w:t>
      </w:r>
      <w:r w:rsidRPr="003D733D">
        <w:rPr>
          <w:rFonts w:ascii="Sylfaen" w:eastAsia="Sylfaen" w:hAnsi="Sylfaen" w:cs="Sylfaen"/>
        </w:rPr>
        <w:t>ტექნიკური</w:t>
      </w:r>
      <w:r w:rsidRPr="003D733D">
        <w:rPr>
          <w:rFonts w:eastAsia="Sylfaen"/>
        </w:rPr>
        <w:t xml:space="preserve"> </w:t>
      </w:r>
      <w:r w:rsidRPr="003D733D">
        <w:rPr>
          <w:rFonts w:ascii="Sylfaen" w:eastAsia="Sylfaen" w:hAnsi="Sylfaen" w:cs="Sylfaen"/>
        </w:rPr>
        <w:t>რეგლამენტის</w:t>
      </w:r>
      <w:r w:rsidRPr="003D733D">
        <w:rPr>
          <w:rFonts w:eastAsia="Sylfaen"/>
        </w:rPr>
        <w:t xml:space="preserve"> </w:t>
      </w:r>
      <w:r w:rsidRPr="003D733D">
        <w:rPr>
          <w:rFonts w:ascii="Sylfaen" w:eastAsia="Sylfaen" w:hAnsi="Sylfaen" w:cs="Sylfaen"/>
        </w:rPr>
        <w:t>დამტკიცების</w:t>
      </w:r>
      <w:r w:rsidRPr="003D733D">
        <w:rPr>
          <w:rFonts w:eastAsia="Sylfaen"/>
        </w:rPr>
        <w:t xml:space="preserve"> </w:t>
      </w:r>
      <w:r w:rsidRPr="003D733D">
        <w:rPr>
          <w:rFonts w:ascii="Sylfaen" w:eastAsia="Sylfaen" w:hAnsi="Sylfaen" w:cs="Sylfaen"/>
        </w:rPr>
        <w:t>თაობაზე</w:t>
      </w:r>
      <w:r w:rsidRPr="003D733D">
        <w:rPr>
          <w:rFonts w:eastAsia="Sylfaen"/>
        </w:rPr>
        <w:t>“.</w:t>
      </w:r>
    </w:p>
    <w:p w14:paraId="3925B632" w14:textId="77777777" w:rsidR="00CE1A11" w:rsidRPr="004B1ED5" w:rsidRDefault="00CE1A11" w:rsidP="00CE1A11">
      <w:pPr>
        <w:rPr>
          <w:rFonts w:eastAsia="Sylfaen"/>
          <w:lang w:val="ru-RU"/>
        </w:rPr>
      </w:pPr>
      <w:r w:rsidRPr="005C296B">
        <w:rPr>
          <w:rFonts w:eastAsiaTheme="minorEastAsia"/>
          <w:lang w:val="ru-RU"/>
        </w:rPr>
        <w:t>Методическое</w:t>
      </w:r>
      <w:r w:rsidRPr="004B1ED5">
        <w:rPr>
          <w:rFonts w:eastAsiaTheme="minorEastAsia"/>
          <w:lang w:val="ru-RU"/>
        </w:rPr>
        <w:t xml:space="preserve"> </w:t>
      </w:r>
      <w:r w:rsidRPr="005C296B">
        <w:rPr>
          <w:rFonts w:eastAsiaTheme="minorEastAsia"/>
          <w:lang w:val="ru-RU"/>
        </w:rPr>
        <w:t>пособие</w:t>
      </w:r>
      <w:r w:rsidRPr="004B1ED5">
        <w:rPr>
          <w:rFonts w:eastAsiaTheme="minorEastAsia"/>
          <w:lang w:val="ru-RU"/>
        </w:rPr>
        <w:t xml:space="preserve"> </w:t>
      </w:r>
      <w:r w:rsidRPr="005C296B">
        <w:rPr>
          <w:rFonts w:eastAsiaTheme="minorEastAsia"/>
          <w:lang w:val="ru-RU"/>
        </w:rPr>
        <w:t>по</w:t>
      </w:r>
      <w:r w:rsidRPr="004B1ED5">
        <w:rPr>
          <w:rFonts w:eastAsiaTheme="minorEastAsia"/>
          <w:lang w:val="ru-RU"/>
        </w:rPr>
        <w:t xml:space="preserve"> </w:t>
      </w:r>
      <w:r w:rsidRPr="005C296B">
        <w:rPr>
          <w:rFonts w:eastAsiaTheme="minorEastAsia"/>
          <w:lang w:val="ru-RU"/>
        </w:rPr>
        <w:t>расчету</w:t>
      </w:r>
      <w:r w:rsidRPr="004B1ED5">
        <w:rPr>
          <w:rFonts w:eastAsiaTheme="minorEastAsia"/>
          <w:lang w:val="ru-RU"/>
        </w:rPr>
        <w:t xml:space="preserve">, </w:t>
      </w:r>
      <w:r w:rsidRPr="005C296B">
        <w:rPr>
          <w:rFonts w:eastAsiaTheme="minorEastAsia"/>
          <w:lang w:val="ru-RU"/>
        </w:rPr>
        <w:t>нормированию</w:t>
      </w:r>
      <w:r w:rsidRPr="004B1ED5">
        <w:rPr>
          <w:rFonts w:eastAsiaTheme="minorEastAsia"/>
          <w:lang w:val="ru-RU"/>
        </w:rPr>
        <w:t xml:space="preserve"> </w:t>
      </w:r>
      <w:r w:rsidRPr="005C296B">
        <w:rPr>
          <w:rFonts w:eastAsiaTheme="minorEastAsia"/>
          <w:lang w:val="ru-RU"/>
        </w:rPr>
        <w:t>и</w:t>
      </w:r>
      <w:r w:rsidRPr="004B1ED5">
        <w:rPr>
          <w:rFonts w:eastAsiaTheme="minorEastAsia"/>
          <w:lang w:val="ru-RU"/>
        </w:rPr>
        <w:t xml:space="preserve"> </w:t>
      </w:r>
      <w:r w:rsidRPr="005C296B">
        <w:rPr>
          <w:rFonts w:eastAsiaTheme="minorEastAsia"/>
          <w:lang w:val="ru-RU"/>
        </w:rPr>
        <w:t>контролю</w:t>
      </w:r>
      <w:r w:rsidRPr="004B1ED5">
        <w:rPr>
          <w:rFonts w:eastAsiaTheme="minorEastAsia"/>
          <w:lang w:val="ru-RU"/>
        </w:rPr>
        <w:t xml:space="preserve"> </w:t>
      </w:r>
      <w:r w:rsidRPr="005C296B">
        <w:rPr>
          <w:rFonts w:eastAsiaTheme="minorEastAsia"/>
          <w:lang w:val="ru-RU"/>
        </w:rPr>
        <w:t>выбросов</w:t>
      </w:r>
      <w:r w:rsidRPr="004B1ED5">
        <w:rPr>
          <w:rFonts w:eastAsiaTheme="minorEastAsia"/>
          <w:lang w:val="ru-RU"/>
        </w:rPr>
        <w:t xml:space="preserve"> </w:t>
      </w:r>
      <w:r w:rsidRPr="005C296B">
        <w:rPr>
          <w:rFonts w:eastAsiaTheme="minorEastAsia"/>
          <w:lang w:val="ru-RU"/>
        </w:rPr>
        <w:t>загрязняющих</w:t>
      </w:r>
      <w:r w:rsidRPr="004B1ED5">
        <w:rPr>
          <w:rFonts w:eastAsiaTheme="minorEastAsia"/>
          <w:lang w:val="ru-RU"/>
        </w:rPr>
        <w:t xml:space="preserve"> </w:t>
      </w:r>
      <w:r w:rsidRPr="005C296B">
        <w:rPr>
          <w:rFonts w:eastAsiaTheme="minorEastAsia"/>
          <w:lang w:val="ru-RU"/>
        </w:rPr>
        <w:t>веществ</w:t>
      </w:r>
      <w:r w:rsidRPr="004B1ED5">
        <w:rPr>
          <w:rFonts w:eastAsiaTheme="minorEastAsia"/>
          <w:lang w:val="ru-RU"/>
        </w:rPr>
        <w:t xml:space="preserve"> </w:t>
      </w:r>
      <w:r w:rsidRPr="005C296B">
        <w:rPr>
          <w:rFonts w:eastAsiaTheme="minorEastAsia"/>
          <w:lang w:val="ru-RU"/>
        </w:rPr>
        <w:t>в</w:t>
      </w:r>
      <w:r w:rsidRPr="004B1ED5">
        <w:rPr>
          <w:rFonts w:eastAsiaTheme="minorEastAsia"/>
          <w:lang w:val="ru-RU"/>
        </w:rPr>
        <w:t xml:space="preserve"> </w:t>
      </w:r>
      <w:r w:rsidRPr="005C296B">
        <w:rPr>
          <w:rFonts w:eastAsiaTheme="minorEastAsia"/>
          <w:lang w:val="ru-RU"/>
        </w:rPr>
        <w:t>атмосферный</w:t>
      </w:r>
      <w:r w:rsidRPr="004B1ED5">
        <w:rPr>
          <w:rFonts w:eastAsiaTheme="minorEastAsia"/>
          <w:lang w:val="ru-RU"/>
        </w:rPr>
        <w:t xml:space="preserve"> </w:t>
      </w:r>
      <w:r w:rsidRPr="005C296B">
        <w:rPr>
          <w:rFonts w:eastAsiaTheme="minorEastAsia"/>
          <w:lang w:val="ru-RU"/>
        </w:rPr>
        <w:t>воздух</w:t>
      </w:r>
      <w:r w:rsidRPr="004B1ED5">
        <w:rPr>
          <w:rFonts w:eastAsiaTheme="minorEastAsia"/>
          <w:lang w:val="ru-RU"/>
        </w:rPr>
        <w:t xml:space="preserve">», </w:t>
      </w:r>
      <w:r w:rsidRPr="005C296B">
        <w:rPr>
          <w:rFonts w:eastAsiaTheme="minorEastAsia"/>
          <w:lang w:val="ru-RU"/>
        </w:rPr>
        <w:t>СПб</w:t>
      </w:r>
      <w:r w:rsidRPr="004B1ED5">
        <w:rPr>
          <w:rFonts w:eastAsiaTheme="minorEastAsia"/>
          <w:lang w:val="ru-RU"/>
        </w:rPr>
        <w:t>., 2002</w:t>
      </w:r>
    </w:p>
    <w:p w14:paraId="76CB5FD2" w14:textId="77777777" w:rsidR="00CE1A11" w:rsidRPr="005C296B" w:rsidRDefault="00CE1A11" w:rsidP="00CE1A11">
      <w:pPr>
        <w:rPr>
          <w:rFonts w:eastAsiaTheme="minorEastAsia"/>
          <w:lang w:val="ru-RU"/>
        </w:rPr>
      </w:pPr>
      <w:r w:rsidRPr="005C296B">
        <w:rPr>
          <w:rFonts w:eastAsiaTheme="minorEastAsia"/>
          <w:lang w:val="ru-RU"/>
        </w:rPr>
        <w:t>Методика проведения инвентаризации выбросов загрязняющих веществ в атмосферу автотранспортных предприятий (расчетным методом). М, 1998.</w:t>
      </w:r>
    </w:p>
    <w:p w14:paraId="7327FC50" w14:textId="77777777" w:rsidR="00CE1A11" w:rsidRPr="005C296B" w:rsidRDefault="00CE1A11" w:rsidP="00CE1A11">
      <w:pPr>
        <w:rPr>
          <w:rFonts w:eastAsia="Sylfaen"/>
          <w:lang w:val="ru-RU"/>
        </w:rPr>
      </w:pPr>
      <w:r w:rsidRPr="005C296B">
        <w:rPr>
          <w:rFonts w:eastAsiaTheme="minorEastAsia"/>
          <w:lang w:val="ru-RU"/>
        </w:rPr>
        <w:t>Расчет выделений загрязняющих веществ выполнен в соответствии с «Методические указания по определению выбросов загрязняющих веществ в атмосферу из резервуаров». Новополоцк, 1997 (с учетом дополнений НИИ Атмосфера 1999, 2005, 2010 г.г.).</w:t>
      </w:r>
    </w:p>
    <w:p w14:paraId="6007812C" w14:textId="77777777" w:rsidR="00CE1A11" w:rsidRPr="005C296B" w:rsidRDefault="00CE1A11" w:rsidP="00CE1A11">
      <w:pPr>
        <w:rPr>
          <w:rFonts w:eastAsia="Sylfaen"/>
          <w:lang w:val="ru-RU"/>
        </w:rPr>
      </w:pPr>
      <w:r w:rsidRPr="005C296B">
        <w:rPr>
          <w:rFonts w:eastAsiaTheme="minorEastAsia"/>
          <w:lang w:val="ru-RU"/>
        </w:rPr>
        <w:t>Методическим пособием по расчету выбросов от неорганизованных источников в промышленности строительных материалов», Новороссийск, 2001; «Методическим пособием по расчету, нормированию и контролю выбросов загрязняющих веществ в атмосферный воздух», СПб., 2005</w:t>
      </w:r>
    </w:p>
    <w:p w14:paraId="1AF3556B" w14:textId="77777777" w:rsidR="00CE1A11" w:rsidRPr="005C296B" w:rsidRDefault="00CE1A11" w:rsidP="00CE1A11">
      <w:pPr>
        <w:rPr>
          <w:rFonts w:eastAsia="Sylfaen"/>
          <w:lang w:val="ru-RU" w:eastAsia="fr-FR"/>
        </w:rPr>
      </w:pPr>
      <w:r w:rsidRPr="005C296B">
        <w:rPr>
          <w:lang w:val="ru-RU"/>
        </w:rPr>
        <w:t>УПРЗА ЭКОЛОГ, версия 3.00 ФИРМА "ИНТЕГРАЛ" Санкт-Петербург 2001-2005 г.</w:t>
      </w:r>
    </w:p>
    <w:p w14:paraId="0420BAF3" w14:textId="77777777" w:rsidR="00CE1A11" w:rsidRPr="005C296B" w:rsidRDefault="00CE1A11" w:rsidP="00CE1A11">
      <w:pPr>
        <w:rPr>
          <w:lang w:val="ru-RU" w:eastAsia="en-GB"/>
        </w:rPr>
      </w:pPr>
      <w:r w:rsidRPr="003D733D">
        <w:rPr>
          <w:rFonts w:ascii="Sylfaen" w:hAnsi="Sylfaen" w:cs="Sylfaen"/>
        </w:rPr>
        <w:t>ნინო</w:t>
      </w:r>
      <w:r w:rsidRPr="005C296B">
        <w:rPr>
          <w:lang w:val="ru-RU"/>
        </w:rPr>
        <w:t xml:space="preserve"> </w:t>
      </w:r>
      <w:r w:rsidRPr="003D733D">
        <w:rPr>
          <w:rFonts w:ascii="Sylfaen" w:hAnsi="Sylfaen" w:cs="Sylfaen"/>
        </w:rPr>
        <w:t>მრევლიშვილი</w:t>
      </w:r>
      <w:r w:rsidRPr="005C296B">
        <w:rPr>
          <w:lang w:val="ru-RU"/>
        </w:rPr>
        <w:t xml:space="preserve">, </w:t>
      </w:r>
      <w:r w:rsidRPr="003D733D">
        <w:rPr>
          <w:rFonts w:ascii="Sylfaen" w:hAnsi="Sylfaen" w:cs="Sylfaen"/>
        </w:rPr>
        <w:t>საქართველოს</w:t>
      </w:r>
      <w:r w:rsidRPr="005C296B">
        <w:rPr>
          <w:lang w:val="ru-RU"/>
        </w:rPr>
        <w:t xml:space="preserve"> </w:t>
      </w:r>
      <w:r w:rsidRPr="003D733D">
        <w:rPr>
          <w:rFonts w:ascii="Sylfaen" w:hAnsi="Sylfaen" w:cs="Sylfaen"/>
        </w:rPr>
        <w:t>გეოლოგია</w:t>
      </w:r>
      <w:r w:rsidRPr="005C296B">
        <w:rPr>
          <w:lang w:val="ru-RU"/>
        </w:rPr>
        <w:t xml:space="preserve">, </w:t>
      </w:r>
      <w:r w:rsidRPr="003D733D">
        <w:rPr>
          <w:rFonts w:ascii="Sylfaen" w:hAnsi="Sylfaen" w:cs="Sylfaen"/>
        </w:rPr>
        <w:t>თბილისი</w:t>
      </w:r>
      <w:r w:rsidRPr="005C296B">
        <w:rPr>
          <w:lang w:val="ru-RU"/>
        </w:rPr>
        <w:t xml:space="preserve"> 1997;</w:t>
      </w:r>
    </w:p>
    <w:p w14:paraId="76B09DEB" w14:textId="77777777" w:rsidR="00CE1A11" w:rsidRPr="005C296B" w:rsidRDefault="00CE1A11" w:rsidP="00CE1A11">
      <w:pPr>
        <w:rPr>
          <w:lang w:val="ru-RU"/>
        </w:rPr>
      </w:pPr>
      <w:r w:rsidRPr="003D733D">
        <w:rPr>
          <w:rFonts w:ascii="Sylfaen" w:hAnsi="Sylfaen" w:cs="Sylfaen"/>
        </w:rPr>
        <w:t>ლ</w:t>
      </w:r>
      <w:r w:rsidRPr="005C296B">
        <w:rPr>
          <w:lang w:val="ru-RU"/>
        </w:rPr>
        <w:t>.</w:t>
      </w:r>
      <w:r w:rsidRPr="003D733D">
        <w:rPr>
          <w:rFonts w:ascii="Sylfaen" w:hAnsi="Sylfaen" w:cs="Sylfaen"/>
        </w:rPr>
        <w:t>ი</w:t>
      </w:r>
      <w:r w:rsidRPr="005C296B">
        <w:rPr>
          <w:lang w:val="ru-RU"/>
        </w:rPr>
        <w:t>.</w:t>
      </w:r>
      <w:r w:rsidRPr="003D733D">
        <w:rPr>
          <w:rFonts w:ascii="Sylfaen" w:hAnsi="Sylfaen" w:cs="Sylfaen"/>
        </w:rPr>
        <w:t>მარუაშვილი</w:t>
      </w:r>
      <w:r w:rsidRPr="005C296B">
        <w:rPr>
          <w:lang w:val="ru-RU"/>
        </w:rPr>
        <w:t xml:space="preserve">, </w:t>
      </w:r>
      <w:r w:rsidRPr="003D733D">
        <w:rPr>
          <w:rFonts w:ascii="Sylfaen" w:hAnsi="Sylfaen" w:cs="Sylfaen"/>
        </w:rPr>
        <w:t>საქართველოს</w:t>
      </w:r>
      <w:r w:rsidRPr="005C296B">
        <w:rPr>
          <w:lang w:val="ru-RU"/>
        </w:rPr>
        <w:t xml:space="preserve"> </w:t>
      </w:r>
      <w:r w:rsidRPr="003D733D">
        <w:rPr>
          <w:rFonts w:ascii="Sylfaen" w:hAnsi="Sylfaen" w:cs="Sylfaen"/>
        </w:rPr>
        <w:t>ფიზიკური</w:t>
      </w:r>
      <w:r w:rsidRPr="005C296B">
        <w:rPr>
          <w:lang w:val="ru-RU"/>
        </w:rPr>
        <w:t xml:space="preserve"> </w:t>
      </w:r>
      <w:r w:rsidRPr="003D733D">
        <w:rPr>
          <w:rFonts w:ascii="Sylfaen" w:hAnsi="Sylfaen" w:cs="Sylfaen"/>
        </w:rPr>
        <w:t>გეოგრაფია</w:t>
      </w:r>
      <w:r w:rsidRPr="005C296B">
        <w:rPr>
          <w:lang w:val="ru-RU"/>
        </w:rPr>
        <w:t xml:space="preserve">,  </w:t>
      </w:r>
      <w:r w:rsidRPr="003D733D">
        <w:rPr>
          <w:rFonts w:ascii="Sylfaen" w:hAnsi="Sylfaen" w:cs="Sylfaen"/>
        </w:rPr>
        <w:t>თბილისი</w:t>
      </w:r>
      <w:r w:rsidRPr="005C296B">
        <w:rPr>
          <w:lang w:val="ru-RU"/>
        </w:rPr>
        <w:t>1964;</w:t>
      </w:r>
    </w:p>
    <w:p w14:paraId="70A72F90" w14:textId="77777777" w:rsidR="00CE1A11" w:rsidRPr="005C296B" w:rsidRDefault="00CE1A11" w:rsidP="00CE1A11">
      <w:pPr>
        <w:rPr>
          <w:lang w:val="ru-RU"/>
        </w:rPr>
      </w:pPr>
      <w:r w:rsidRPr="003D733D">
        <w:rPr>
          <w:rFonts w:ascii="Sylfaen" w:hAnsi="Sylfaen" w:cs="Sylfaen"/>
        </w:rPr>
        <w:t>საქართველოს</w:t>
      </w:r>
      <w:r w:rsidRPr="005C296B">
        <w:rPr>
          <w:lang w:val="ru-RU"/>
        </w:rPr>
        <w:t xml:space="preserve"> </w:t>
      </w:r>
      <w:r w:rsidRPr="003D733D">
        <w:rPr>
          <w:rFonts w:ascii="Sylfaen" w:hAnsi="Sylfaen" w:cs="Sylfaen"/>
        </w:rPr>
        <w:t>გეოლოგიური</w:t>
      </w:r>
      <w:r w:rsidRPr="005C296B">
        <w:rPr>
          <w:lang w:val="ru-RU"/>
        </w:rPr>
        <w:t xml:space="preserve"> </w:t>
      </w:r>
      <w:r w:rsidRPr="003D733D">
        <w:rPr>
          <w:rFonts w:ascii="Sylfaen" w:hAnsi="Sylfaen" w:cs="Sylfaen"/>
        </w:rPr>
        <w:t>რუკა</w:t>
      </w:r>
      <w:r w:rsidRPr="005C296B">
        <w:rPr>
          <w:lang w:val="ru-RU"/>
        </w:rPr>
        <w:t xml:space="preserve">, </w:t>
      </w:r>
      <w:r w:rsidRPr="003D733D">
        <w:rPr>
          <w:rFonts w:ascii="Sylfaen" w:hAnsi="Sylfaen" w:cs="Sylfaen"/>
        </w:rPr>
        <w:t>გ</w:t>
      </w:r>
      <w:r w:rsidRPr="005C296B">
        <w:rPr>
          <w:lang w:val="ru-RU"/>
        </w:rPr>
        <w:t xml:space="preserve">. </w:t>
      </w:r>
      <w:r w:rsidRPr="003D733D">
        <w:rPr>
          <w:rFonts w:ascii="Sylfaen" w:hAnsi="Sylfaen" w:cs="Sylfaen"/>
        </w:rPr>
        <w:t>გუჯაბიძე</w:t>
      </w:r>
      <w:r w:rsidRPr="005C296B">
        <w:rPr>
          <w:lang w:val="ru-RU"/>
        </w:rPr>
        <w:t xml:space="preserve"> </w:t>
      </w:r>
      <w:r w:rsidRPr="003D733D">
        <w:rPr>
          <w:rFonts w:ascii="Sylfaen" w:hAnsi="Sylfaen" w:cs="Sylfaen"/>
        </w:rPr>
        <w:t>თბილისი</w:t>
      </w:r>
      <w:r w:rsidRPr="005C296B">
        <w:rPr>
          <w:lang w:val="ru-RU"/>
        </w:rPr>
        <w:t xml:space="preserve"> 2003;</w:t>
      </w:r>
    </w:p>
    <w:p w14:paraId="58D8966E" w14:textId="77777777" w:rsidR="00CE1A11" w:rsidRPr="005C296B" w:rsidRDefault="00CE1A11" w:rsidP="00CE1A11">
      <w:pPr>
        <w:rPr>
          <w:lang w:val="ru-RU"/>
        </w:rPr>
      </w:pPr>
      <w:r w:rsidRPr="003D733D">
        <w:rPr>
          <w:rFonts w:ascii="Sylfaen" w:hAnsi="Sylfaen" w:cs="Sylfaen"/>
        </w:rPr>
        <w:t>დ</w:t>
      </w:r>
      <w:r w:rsidRPr="005C296B">
        <w:rPr>
          <w:lang w:val="ru-RU"/>
        </w:rPr>
        <w:t>.</w:t>
      </w:r>
      <w:r w:rsidRPr="003D733D">
        <w:rPr>
          <w:rFonts w:ascii="Sylfaen" w:hAnsi="Sylfaen" w:cs="Sylfaen"/>
        </w:rPr>
        <w:t>უკლება</w:t>
      </w:r>
      <w:r w:rsidRPr="005C296B">
        <w:rPr>
          <w:lang w:val="ru-RU"/>
        </w:rPr>
        <w:t xml:space="preserve">. </w:t>
      </w:r>
      <w:r w:rsidRPr="003D733D">
        <w:rPr>
          <w:rFonts w:ascii="Sylfaen" w:hAnsi="Sylfaen" w:cs="Sylfaen"/>
        </w:rPr>
        <w:t>ფიზიკურ</w:t>
      </w:r>
      <w:r w:rsidRPr="005C296B">
        <w:rPr>
          <w:lang w:val="ru-RU"/>
        </w:rPr>
        <w:t>-</w:t>
      </w:r>
      <w:r w:rsidRPr="003D733D">
        <w:rPr>
          <w:rFonts w:ascii="Sylfaen" w:hAnsi="Sylfaen" w:cs="Sylfaen"/>
        </w:rPr>
        <w:t>გეოგრაფიული</w:t>
      </w:r>
      <w:r w:rsidRPr="005C296B">
        <w:rPr>
          <w:lang w:val="ru-RU"/>
        </w:rPr>
        <w:t xml:space="preserve"> </w:t>
      </w:r>
      <w:r w:rsidRPr="003D733D">
        <w:rPr>
          <w:rFonts w:ascii="Sylfaen" w:hAnsi="Sylfaen" w:cs="Sylfaen"/>
        </w:rPr>
        <w:t>დარაიონება</w:t>
      </w:r>
      <w:r w:rsidRPr="005C296B">
        <w:rPr>
          <w:lang w:val="ru-RU"/>
        </w:rPr>
        <w:t xml:space="preserve">. </w:t>
      </w:r>
      <w:r w:rsidRPr="003D733D">
        <w:rPr>
          <w:rFonts w:ascii="Sylfaen" w:hAnsi="Sylfaen" w:cs="Sylfaen"/>
        </w:rPr>
        <w:t>ქართული</w:t>
      </w:r>
      <w:r w:rsidRPr="005C296B">
        <w:rPr>
          <w:lang w:val="ru-RU"/>
        </w:rPr>
        <w:t xml:space="preserve"> </w:t>
      </w:r>
      <w:r w:rsidRPr="003D733D">
        <w:rPr>
          <w:rFonts w:ascii="Sylfaen" w:hAnsi="Sylfaen" w:cs="Sylfaen"/>
        </w:rPr>
        <w:t>საბჭოთა</w:t>
      </w:r>
      <w:r w:rsidRPr="005C296B">
        <w:rPr>
          <w:lang w:val="ru-RU"/>
        </w:rPr>
        <w:t xml:space="preserve"> </w:t>
      </w:r>
      <w:r w:rsidRPr="003D733D">
        <w:rPr>
          <w:rFonts w:ascii="Sylfaen" w:hAnsi="Sylfaen" w:cs="Sylfaen"/>
        </w:rPr>
        <w:t>ენციკლოპედია</w:t>
      </w:r>
      <w:r w:rsidRPr="005C296B">
        <w:rPr>
          <w:lang w:val="ru-RU"/>
        </w:rPr>
        <w:t xml:space="preserve">. </w:t>
      </w:r>
      <w:r w:rsidRPr="003D733D">
        <w:rPr>
          <w:rFonts w:ascii="Sylfaen" w:hAnsi="Sylfaen" w:cs="Sylfaen"/>
        </w:rPr>
        <w:t>ტ</w:t>
      </w:r>
      <w:r w:rsidRPr="005C296B">
        <w:rPr>
          <w:lang w:val="ru-RU"/>
        </w:rPr>
        <w:t>.</w:t>
      </w:r>
      <w:r w:rsidRPr="003D733D">
        <w:rPr>
          <w:rFonts w:ascii="Sylfaen" w:hAnsi="Sylfaen" w:cs="Sylfaen"/>
        </w:rPr>
        <w:t>საქართველოს</w:t>
      </w:r>
      <w:r w:rsidRPr="005C296B">
        <w:rPr>
          <w:lang w:val="ru-RU"/>
        </w:rPr>
        <w:t xml:space="preserve"> </w:t>
      </w:r>
      <w:r w:rsidRPr="003D733D">
        <w:rPr>
          <w:rFonts w:ascii="Sylfaen" w:hAnsi="Sylfaen" w:cs="Sylfaen"/>
        </w:rPr>
        <w:t>სსრ</w:t>
      </w:r>
      <w:r w:rsidRPr="005C296B">
        <w:rPr>
          <w:lang w:val="ru-RU"/>
        </w:rPr>
        <w:t xml:space="preserve">. </w:t>
      </w:r>
      <w:r w:rsidRPr="003D733D">
        <w:rPr>
          <w:rFonts w:ascii="Sylfaen" w:hAnsi="Sylfaen" w:cs="Sylfaen"/>
        </w:rPr>
        <w:t>თბილისი</w:t>
      </w:r>
      <w:r w:rsidRPr="005C296B">
        <w:rPr>
          <w:lang w:val="ru-RU"/>
        </w:rPr>
        <w:t>, 1981;</w:t>
      </w:r>
    </w:p>
    <w:p w14:paraId="080FE231" w14:textId="77777777" w:rsidR="00CE1A11" w:rsidRPr="005C296B" w:rsidRDefault="00CE1A11" w:rsidP="00CE1A11">
      <w:pPr>
        <w:rPr>
          <w:lang w:val="ru-RU"/>
        </w:rPr>
      </w:pPr>
      <w:r w:rsidRPr="003D733D">
        <w:rPr>
          <w:rFonts w:ascii="Sylfaen" w:hAnsi="Sylfaen" w:cs="Sylfaen"/>
        </w:rPr>
        <w:t>პროექტისთვის</w:t>
      </w:r>
      <w:r w:rsidRPr="005C296B">
        <w:rPr>
          <w:lang w:val="ru-RU"/>
        </w:rPr>
        <w:t xml:space="preserve"> </w:t>
      </w:r>
      <w:r w:rsidRPr="003D733D">
        <w:rPr>
          <w:rFonts w:ascii="Sylfaen" w:hAnsi="Sylfaen" w:cs="Sylfaen"/>
        </w:rPr>
        <w:t>შესრულებული</w:t>
      </w:r>
      <w:r w:rsidRPr="005C296B">
        <w:rPr>
          <w:lang w:val="ru-RU"/>
        </w:rPr>
        <w:t xml:space="preserve"> </w:t>
      </w:r>
      <w:r w:rsidRPr="003D733D">
        <w:rPr>
          <w:rFonts w:ascii="Sylfaen" w:hAnsi="Sylfaen" w:cs="Sylfaen"/>
        </w:rPr>
        <w:t>გეოტექნიკური</w:t>
      </w:r>
      <w:r w:rsidRPr="005C296B">
        <w:rPr>
          <w:lang w:val="ru-RU"/>
        </w:rPr>
        <w:t xml:space="preserve"> </w:t>
      </w:r>
      <w:r w:rsidRPr="003D733D">
        <w:rPr>
          <w:rFonts w:ascii="Sylfaen" w:hAnsi="Sylfaen" w:cs="Sylfaen"/>
        </w:rPr>
        <w:t>კვლევითი</w:t>
      </w:r>
      <w:r w:rsidRPr="005C296B">
        <w:rPr>
          <w:lang w:val="ru-RU"/>
        </w:rPr>
        <w:t xml:space="preserve"> </w:t>
      </w:r>
      <w:r w:rsidRPr="003D733D">
        <w:rPr>
          <w:rFonts w:ascii="Sylfaen" w:hAnsi="Sylfaen" w:cs="Sylfaen"/>
        </w:rPr>
        <w:t>სამუშაოების</w:t>
      </w:r>
      <w:r w:rsidRPr="005C296B">
        <w:rPr>
          <w:lang w:val="ru-RU"/>
        </w:rPr>
        <w:t xml:space="preserve"> </w:t>
      </w:r>
      <w:r w:rsidRPr="003D733D">
        <w:rPr>
          <w:rFonts w:ascii="Sylfaen" w:hAnsi="Sylfaen" w:cs="Sylfaen"/>
        </w:rPr>
        <w:t>ტექნიკური</w:t>
      </w:r>
      <w:r w:rsidRPr="005C296B">
        <w:rPr>
          <w:lang w:val="ru-RU"/>
        </w:rPr>
        <w:t xml:space="preserve"> </w:t>
      </w:r>
      <w:r w:rsidRPr="003D733D">
        <w:rPr>
          <w:rFonts w:ascii="Sylfaen" w:hAnsi="Sylfaen" w:cs="Sylfaen"/>
        </w:rPr>
        <w:t>ანგარიში</w:t>
      </w:r>
      <w:r w:rsidRPr="005C296B">
        <w:rPr>
          <w:lang w:val="ru-RU"/>
        </w:rPr>
        <w:t xml:space="preserve">, </w:t>
      </w:r>
      <w:r w:rsidRPr="003D733D">
        <w:rPr>
          <w:rFonts w:ascii="Sylfaen" w:hAnsi="Sylfaen" w:cs="Sylfaen"/>
        </w:rPr>
        <w:t>შპს</w:t>
      </w:r>
      <w:r w:rsidRPr="005C296B">
        <w:rPr>
          <w:lang w:val="ru-RU"/>
        </w:rPr>
        <w:t xml:space="preserve"> </w:t>
      </w:r>
      <w:r w:rsidRPr="003D733D">
        <w:rPr>
          <w:rFonts w:ascii="Sylfaen" w:hAnsi="Sylfaen" w:cs="Sylfaen"/>
        </w:rPr>
        <w:t>ჯეოინჟინერინგი</w:t>
      </w:r>
      <w:r w:rsidRPr="005C296B">
        <w:rPr>
          <w:lang w:val="ru-RU"/>
        </w:rPr>
        <w:t>, 2015</w:t>
      </w:r>
    </w:p>
    <w:p w14:paraId="64651850" w14:textId="77777777" w:rsidR="00CE1A11" w:rsidRPr="005C296B" w:rsidRDefault="00CE1A11" w:rsidP="00CE1A11">
      <w:pPr>
        <w:rPr>
          <w:lang w:val="ru-RU"/>
        </w:rPr>
      </w:pPr>
      <w:r w:rsidRPr="005C296B">
        <w:rPr>
          <w:lang w:val="ru-RU"/>
        </w:rPr>
        <w:t xml:space="preserve">Девдариани Г.С. 1986. Закавказская депрессия. В кн.: Г. Габриелян (ред.), Физическая География Закавказья. Ереван, изд-во Ереванского гос. Ун-та. </w:t>
      </w:r>
    </w:p>
    <w:p w14:paraId="15629CD7" w14:textId="77777777" w:rsidR="00CE1A11" w:rsidRPr="005C296B" w:rsidRDefault="00CE1A11" w:rsidP="00CE1A11">
      <w:pPr>
        <w:rPr>
          <w:lang w:val="ru-RU"/>
        </w:rPr>
      </w:pPr>
      <w:r w:rsidRPr="005C296B">
        <w:rPr>
          <w:lang w:val="ru-RU"/>
        </w:rPr>
        <w:t>Мусеибов М.А., Назарян Х.Е., Габриелян Г.К., Джакели Х.Г. 1986. Физико-географическое зонирование. В кн.: Г. Габриелян (ред.), Физическая География Закавказья. Ереван, изд-во Ереванского гос. Ун-та.</w:t>
      </w:r>
    </w:p>
    <w:p w14:paraId="0327AD8A" w14:textId="77777777" w:rsidR="00CE1A11" w:rsidRPr="005C296B" w:rsidRDefault="00CE1A11" w:rsidP="00CE1A11">
      <w:pPr>
        <w:rPr>
          <w:lang w:val="ru-RU"/>
        </w:rPr>
      </w:pPr>
      <w:r w:rsidRPr="005C296B">
        <w:rPr>
          <w:lang w:val="ru-RU"/>
        </w:rPr>
        <w:t>Владимиров Л.А. и др.,,Водный баланс Грузии",Тбилиси, изд. Мецниереба, 1974 г.Т изд</w:t>
      </w:r>
    </w:p>
    <w:p w14:paraId="24393AE9" w14:textId="77777777" w:rsidR="00CE1A11" w:rsidRPr="005C296B" w:rsidRDefault="00CE1A11" w:rsidP="00CE1A11">
      <w:pPr>
        <w:rPr>
          <w:lang w:val="ru-RU"/>
        </w:rPr>
      </w:pPr>
      <w:r w:rsidRPr="005C296B">
        <w:rPr>
          <w:lang w:val="ru-RU"/>
        </w:rPr>
        <w:t>Водные ресурсы Закавказья. Под ред. Г.Г. Сванидзе и В.Ш. Цомая- Ленинград,  изд. Гидрометеоиздат. 1988 г.</w:t>
      </w:r>
    </w:p>
    <w:p w14:paraId="4295C3D4" w14:textId="77777777" w:rsidR="00CE1A11" w:rsidRPr="005C296B" w:rsidRDefault="00CE1A11" w:rsidP="00CE1A11">
      <w:pPr>
        <w:rPr>
          <w:lang w:val="ru-RU"/>
        </w:rPr>
      </w:pPr>
      <w:r w:rsidRPr="005C296B">
        <w:rPr>
          <w:lang w:val="ru-RU"/>
        </w:rPr>
        <w:lastRenderedPageBreak/>
        <w:t>Ресурсы поверхностных вод СССР, том 9, Закавказье и Дагестан, выпуск 1, западное Закавказье. Гидрографическое описание  рек, озер  и  водохранилищ. Под ред. Г.Н. Хмаладзе и В.Ш. Цомая - Ленинград, изд. Гидрометеоиздат. 1972 г.</w:t>
      </w:r>
    </w:p>
    <w:p w14:paraId="06867BED" w14:textId="77777777" w:rsidR="00CE1A11" w:rsidRPr="005C296B" w:rsidRDefault="00CE1A11" w:rsidP="00CE1A11">
      <w:pPr>
        <w:rPr>
          <w:lang w:val="ru-RU"/>
        </w:rPr>
      </w:pPr>
      <w:r w:rsidRPr="005C296B">
        <w:rPr>
          <w:lang w:val="ru-RU"/>
        </w:rPr>
        <w:t>Ресурсы поверхностных вод СССР, том 9, Закавказье и Дагестан, выпуск 1, западное Закавказье. Обобщенные  материалы наблюдений  на  реках,  озерах  и водохранилищах.  Под ред. Г.Н. Хмаладзе - Ленинград, изд. Гидрометеоиздат. 1969 г.</w:t>
      </w:r>
    </w:p>
    <w:p w14:paraId="704CF9C1" w14:textId="77777777" w:rsidR="00CE1A11" w:rsidRPr="003D733D" w:rsidRDefault="00CE1A11" w:rsidP="00CE1A11">
      <w:r w:rsidRPr="005C296B">
        <w:rPr>
          <w:lang w:val="ru-RU"/>
        </w:rPr>
        <w:t xml:space="preserve">Хмаладзе Г.Н. К  вопросу  о соотношении  расходов  влекомых  и  взвешенных  наносов. Труды  </w:t>
      </w:r>
      <w:r w:rsidRPr="003D733D">
        <w:t>IV</w:t>
      </w:r>
      <w:r w:rsidRPr="005C296B">
        <w:rPr>
          <w:lang w:val="ru-RU"/>
        </w:rPr>
        <w:t xml:space="preserve">  всесоюзного гидрологического  съезда, том  10.  Русловые  процессы, Ленинград, изд. </w:t>
      </w:r>
      <w:r w:rsidRPr="003D733D">
        <w:t>Гидрометеоиздат. 1976 г, стр. 164-171.</w:t>
      </w:r>
    </w:p>
    <w:p w14:paraId="541645F7" w14:textId="77777777" w:rsidR="00CE1A11" w:rsidRPr="003D733D" w:rsidRDefault="00CE1A11" w:rsidP="00CE1A11">
      <w:r w:rsidRPr="003D733D">
        <w:t>Aarhus Centre Georgia (2008): Guidelines on how to obtain the permit for Environmental Impact Assessment from the Ministry of Environment Protection of Georgia, Updated 7 April, 2008. Tbilisi, Aarhus Centre, Georgia.</w:t>
      </w:r>
    </w:p>
    <w:p w14:paraId="75870173" w14:textId="77777777" w:rsidR="00CE1A11" w:rsidRPr="003D733D" w:rsidRDefault="00CE1A11" w:rsidP="00CE1A11">
      <w:r w:rsidRPr="003D733D">
        <w:t>World Bank (1999a): Public Consultation in the EA Process: A Strategic Approach, EA Update #26. Washington, DC: World Bank.</w:t>
      </w:r>
    </w:p>
    <w:p w14:paraId="574F881F" w14:textId="77777777" w:rsidR="00CE1A11" w:rsidRPr="003D733D" w:rsidRDefault="00CE1A11" w:rsidP="00CE1A11">
      <w:r w:rsidRPr="003D733D">
        <w:t>World Bank (1999): OP 4.01 - Environmental Assessment, updated in February 2011. Washington, DC: World Bank.</w:t>
      </w:r>
    </w:p>
    <w:p w14:paraId="2125E41B" w14:textId="77777777" w:rsidR="00CE1A11" w:rsidRPr="003D733D" w:rsidRDefault="00CE1A11" w:rsidP="00CE1A11">
      <w:r w:rsidRPr="003D733D">
        <w:t>World Bank (2001, updated 2007): Involuntary Resettlement. Operational Policy 4.12. Washington DC: World Bank.</w:t>
      </w:r>
    </w:p>
    <w:p w14:paraId="45ACA74A" w14:textId="77777777" w:rsidR="00CE1A11" w:rsidRPr="003D733D" w:rsidRDefault="00CE1A11" w:rsidP="00CE1A11">
      <w:r w:rsidRPr="003D733D">
        <w:t>European Commission (1985). Environmental Assessment. Council Directive of 27 June 1985 on the assessment of the effects of certain public and private projects on the environment. 85/337/EEC (Reference: Official Journal NO. L 175 , 05/07/1985 P. 0040 - 0048).</w:t>
      </w:r>
    </w:p>
    <w:p w14:paraId="0B9AA6AA" w14:textId="77777777" w:rsidR="00CE1A11" w:rsidRPr="003D733D" w:rsidRDefault="00CE1A11" w:rsidP="00CE1A11">
      <w:r w:rsidRPr="003D733D">
        <w:t xml:space="preserve">Handbook on Roads and Environment. Permanent weblink: </w:t>
      </w:r>
      <w:hyperlink r:id="rId200" w:history="1">
        <w:r w:rsidRPr="003D733D">
          <w:t>http://go.worldbank.org/7989W6YLJ1</w:t>
        </w:r>
      </w:hyperlink>
    </w:p>
    <w:p w14:paraId="46F886FF" w14:textId="77777777" w:rsidR="00CE1A11" w:rsidRPr="003D733D" w:rsidRDefault="00CE1A11" w:rsidP="00CE1A11">
      <w:r w:rsidRPr="003D733D">
        <w:t xml:space="preserve"> Climate and Climatic Resources of Georgia. Transactions of Transcaucasian Research Hydrometeorological Institute. Hydrometeorological Publishing House. Leningrad, 1971.</w:t>
      </w:r>
    </w:p>
    <w:p w14:paraId="475FCA2A" w14:textId="77777777" w:rsidR="00CE1A11" w:rsidRPr="003D733D" w:rsidRDefault="00CE1A11" w:rsidP="00CE1A11">
      <w:r w:rsidRPr="003D733D">
        <w:rPr>
          <w:rFonts w:ascii="Sylfaen" w:hAnsi="Sylfaen" w:cs="Sylfaen"/>
        </w:rPr>
        <w:t>საქართველოს</w:t>
      </w:r>
      <w:r w:rsidRPr="003D733D">
        <w:t xml:space="preserve"> </w:t>
      </w:r>
      <w:r w:rsidRPr="003D733D">
        <w:rPr>
          <w:rFonts w:ascii="Sylfaen" w:hAnsi="Sylfaen" w:cs="Sylfaen"/>
        </w:rPr>
        <w:t>წითელი</w:t>
      </w:r>
      <w:r w:rsidRPr="003D733D">
        <w:t xml:space="preserve"> </w:t>
      </w:r>
      <w:r w:rsidRPr="003D733D">
        <w:rPr>
          <w:rFonts w:ascii="Sylfaen" w:hAnsi="Sylfaen" w:cs="Sylfaen"/>
        </w:rPr>
        <w:t>ნუსხა</w:t>
      </w:r>
      <w:r w:rsidRPr="003D733D">
        <w:t xml:space="preserve">, </w:t>
      </w:r>
      <w:r w:rsidRPr="003D733D">
        <w:rPr>
          <w:rFonts w:ascii="Sylfaen" w:hAnsi="Sylfaen" w:cs="Sylfaen"/>
        </w:rPr>
        <w:t>საქართველოს</w:t>
      </w:r>
      <w:r w:rsidRPr="003D733D">
        <w:t xml:space="preserve"> </w:t>
      </w:r>
      <w:r w:rsidRPr="003D733D">
        <w:rPr>
          <w:rFonts w:ascii="Sylfaen" w:hAnsi="Sylfaen" w:cs="Sylfaen"/>
        </w:rPr>
        <w:t>პრეზიდენტის</w:t>
      </w:r>
      <w:r w:rsidRPr="003D733D">
        <w:t xml:space="preserve"> </w:t>
      </w:r>
      <w:r w:rsidRPr="003D733D">
        <w:rPr>
          <w:rFonts w:ascii="Sylfaen" w:hAnsi="Sylfaen" w:cs="Sylfaen"/>
        </w:rPr>
        <w:t>ბრძანება</w:t>
      </w:r>
      <w:r w:rsidRPr="003D733D">
        <w:t xml:space="preserve"> №303, 2006 </w:t>
      </w:r>
      <w:r w:rsidRPr="003D733D">
        <w:rPr>
          <w:rFonts w:ascii="Sylfaen" w:hAnsi="Sylfaen" w:cs="Sylfaen"/>
        </w:rPr>
        <w:t>წ</w:t>
      </w:r>
      <w:r w:rsidRPr="003D733D">
        <w:t xml:space="preserve">. 2 </w:t>
      </w:r>
      <w:r w:rsidRPr="003D733D">
        <w:rPr>
          <w:rFonts w:ascii="Sylfaen" w:hAnsi="Sylfaen" w:cs="Sylfaen"/>
        </w:rPr>
        <w:t>მაისი</w:t>
      </w:r>
      <w:r w:rsidRPr="003D733D">
        <w:t xml:space="preserve">. </w:t>
      </w:r>
    </w:p>
    <w:p w14:paraId="40DB8BD1" w14:textId="77777777" w:rsidR="00CE1A11" w:rsidRPr="003D733D" w:rsidRDefault="00CE1A11" w:rsidP="00CE1A11">
      <w:r w:rsidRPr="003D733D">
        <w:rPr>
          <w:rFonts w:ascii="Sylfaen" w:hAnsi="Sylfaen" w:cs="Sylfaen"/>
        </w:rPr>
        <w:t>ბუხნიკაშვილია</w:t>
      </w:r>
      <w:r w:rsidRPr="003D733D">
        <w:t xml:space="preserve">. 2004. </w:t>
      </w:r>
      <w:r w:rsidRPr="003D733D">
        <w:rPr>
          <w:rFonts w:ascii="Sylfaen" w:hAnsi="Sylfaen" w:cs="Sylfaen"/>
        </w:rPr>
        <w:t>მასალები</w:t>
      </w:r>
      <w:r w:rsidRPr="003D733D">
        <w:t xml:space="preserve"> </w:t>
      </w:r>
      <w:r w:rsidRPr="003D733D">
        <w:rPr>
          <w:rFonts w:ascii="Sylfaen" w:hAnsi="Sylfaen" w:cs="Sylfaen"/>
        </w:rPr>
        <w:t>საქართველოს</w:t>
      </w:r>
      <w:r w:rsidRPr="003D733D">
        <w:t xml:space="preserve"> </w:t>
      </w:r>
      <w:r w:rsidRPr="003D733D">
        <w:rPr>
          <w:rFonts w:ascii="Sylfaen" w:hAnsi="Sylfaen" w:cs="Sylfaen"/>
        </w:rPr>
        <w:t>წვრილ</w:t>
      </w:r>
      <w:r w:rsidRPr="003D733D">
        <w:t xml:space="preserve"> </w:t>
      </w:r>
      <w:r w:rsidRPr="003D733D">
        <w:rPr>
          <w:rFonts w:ascii="Sylfaen" w:hAnsi="Sylfaen" w:cs="Sylfaen"/>
        </w:rPr>
        <w:t>ძუძუმწოვართა</w:t>
      </w:r>
      <w:r w:rsidRPr="003D733D">
        <w:t xml:space="preserve"> (Insectivora, Chiroptera, Lagomorpha, Rodentia) </w:t>
      </w:r>
      <w:r w:rsidRPr="003D733D">
        <w:rPr>
          <w:rFonts w:ascii="Sylfaen" w:hAnsi="Sylfaen" w:cs="Sylfaen"/>
        </w:rPr>
        <w:t>კადასტრისათვის</w:t>
      </w:r>
      <w:r w:rsidRPr="003D733D">
        <w:t xml:space="preserve">. </w:t>
      </w:r>
      <w:r w:rsidRPr="003D733D">
        <w:rPr>
          <w:rFonts w:ascii="Sylfaen" w:hAnsi="Sylfaen" w:cs="Sylfaen"/>
        </w:rPr>
        <w:t>გამ</w:t>
      </w:r>
      <w:r w:rsidRPr="003D733D">
        <w:t>. “</w:t>
      </w:r>
      <w:r w:rsidRPr="003D733D">
        <w:rPr>
          <w:rFonts w:ascii="Sylfaen" w:hAnsi="Sylfaen" w:cs="Sylfaen"/>
        </w:rPr>
        <w:t>უნივერსალი</w:t>
      </w:r>
      <w:r w:rsidRPr="003D733D">
        <w:t xml:space="preserve">”, </w:t>
      </w:r>
      <w:r w:rsidRPr="003D733D">
        <w:rPr>
          <w:rFonts w:ascii="Sylfaen" w:hAnsi="Sylfaen" w:cs="Sylfaen"/>
        </w:rPr>
        <w:t>თბილისი</w:t>
      </w:r>
      <w:r w:rsidRPr="003D733D">
        <w:t xml:space="preserve">: 144 </w:t>
      </w:r>
      <w:r w:rsidRPr="003D733D">
        <w:rPr>
          <w:rFonts w:ascii="Sylfaen" w:hAnsi="Sylfaen" w:cs="Sylfaen"/>
        </w:rPr>
        <w:t>გვ</w:t>
      </w:r>
      <w:r w:rsidRPr="003D733D">
        <w:t>.</w:t>
      </w:r>
    </w:p>
    <w:p w14:paraId="418FB39B" w14:textId="77777777" w:rsidR="00CE1A11" w:rsidRPr="003D733D" w:rsidRDefault="00CE1A11" w:rsidP="00CE1A11">
      <w:r w:rsidRPr="003D733D">
        <w:rPr>
          <w:rFonts w:ascii="Sylfaen" w:hAnsi="Sylfaen" w:cs="Sylfaen"/>
        </w:rPr>
        <w:t>ზ</w:t>
      </w:r>
      <w:r w:rsidRPr="003D733D">
        <w:t>.</w:t>
      </w:r>
      <w:r w:rsidRPr="003D733D">
        <w:rPr>
          <w:rFonts w:ascii="Sylfaen" w:hAnsi="Sylfaen" w:cs="Sylfaen"/>
        </w:rPr>
        <w:t>გურიელიძე</w:t>
      </w:r>
      <w:r w:rsidRPr="003D733D">
        <w:t xml:space="preserve">, 1996. </w:t>
      </w:r>
      <w:r w:rsidRPr="003D733D">
        <w:rPr>
          <w:rFonts w:ascii="Sylfaen" w:hAnsi="Sylfaen" w:cs="Sylfaen"/>
        </w:rPr>
        <w:t>საშუალო</w:t>
      </w:r>
      <w:r w:rsidRPr="003D733D">
        <w:t xml:space="preserve"> </w:t>
      </w:r>
      <w:r w:rsidRPr="003D733D">
        <w:rPr>
          <w:rFonts w:ascii="Sylfaen" w:hAnsi="Sylfaen" w:cs="Sylfaen"/>
        </w:rPr>
        <w:t>და</w:t>
      </w:r>
      <w:r w:rsidRPr="003D733D">
        <w:t xml:space="preserve"> </w:t>
      </w:r>
      <w:r w:rsidRPr="003D733D">
        <w:rPr>
          <w:rFonts w:ascii="Sylfaen" w:hAnsi="Sylfaen" w:cs="Sylfaen"/>
        </w:rPr>
        <w:t>მსხვილი</w:t>
      </w:r>
      <w:r w:rsidRPr="003D733D">
        <w:t xml:space="preserve"> </w:t>
      </w:r>
      <w:r w:rsidRPr="003D733D">
        <w:rPr>
          <w:rFonts w:ascii="Sylfaen" w:hAnsi="Sylfaen" w:cs="Sylfaen"/>
        </w:rPr>
        <w:t>ძუძუმწოვრები</w:t>
      </w:r>
      <w:r w:rsidRPr="003D733D">
        <w:t xml:space="preserve">. </w:t>
      </w:r>
      <w:r w:rsidRPr="003D733D">
        <w:rPr>
          <w:rFonts w:ascii="Sylfaen" w:hAnsi="Sylfaen" w:cs="Sylfaen"/>
        </w:rPr>
        <w:t>წიგნში</w:t>
      </w:r>
      <w:r w:rsidRPr="003D733D">
        <w:t>: “</w:t>
      </w:r>
      <w:r w:rsidRPr="003D733D">
        <w:rPr>
          <w:rFonts w:ascii="Sylfaen" w:hAnsi="Sylfaen" w:cs="Sylfaen"/>
        </w:rPr>
        <w:t>საქართველოს</w:t>
      </w:r>
      <w:r w:rsidRPr="003D733D">
        <w:t xml:space="preserve"> </w:t>
      </w:r>
      <w:r w:rsidRPr="003D733D">
        <w:rPr>
          <w:rFonts w:ascii="Sylfaen" w:hAnsi="Sylfaen" w:cs="Sylfaen"/>
        </w:rPr>
        <w:t>ბიომრავალფეროვნების</w:t>
      </w:r>
      <w:r w:rsidRPr="003D733D">
        <w:t xml:space="preserve"> </w:t>
      </w:r>
      <w:r w:rsidRPr="003D733D">
        <w:rPr>
          <w:rFonts w:ascii="Sylfaen" w:hAnsi="Sylfaen" w:cs="Sylfaen"/>
        </w:rPr>
        <w:t>პროგრამის</w:t>
      </w:r>
      <w:r w:rsidRPr="003D733D">
        <w:t xml:space="preserve"> </w:t>
      </w:r>
      <w:r w:rsidRPr="003D733D">
        <w:rPr>
          <w:rFonts w:ascii="Sylfaen" w:hAnsi="Sylfaen" w:cs="Sylfaen"/>
        </w:rPr>
        <w:t>მასალები</w:t>
      </w:r>
      <w:r w:rsidRPr="003D733D">
        <w:t xml:space="preserve">”. </w:t>
      </w:r>
      <w:r w:rsidRPr="003D733D">
        <w:rPr>
          <w:rFonts w:ascii="Sylfaen" w:hAnsi="Sylfaen" w:cs="Sylfaen"/>
        </w:rPr>
        <w:t>თბილისი</w:t>
      </w:r>
      <w:r w:rsidRPr="003D733D">
        <w:t>: 74-82.</w:t>
      </w:r>
    </w:p>
    <w:p w14:paraId="40EA239D" w14:textId="77777777" w:rsidR="00CE1A11" w:rsidRPr="003D733D" w:rsidRDefault="00CE1A11" w:rsidP="00CE1A11">
      <w:r w:rsidRPr="003D733D">
        <w:rPr>
          <w:rFonts w:ascii="Sylfaen" w:hAnsi="Sylfaen" w:cs="Sylfaen"/>
        </w:rPr>
        <w:t>კუტუბიძემ</w:t>
      </w:r>
      <w:r w:rsidRPr="003D733D">
        <w:t xml:space="preserve">. 1985. </w:t>
      </w:r>
      <w:r w:rsidRPr="003D733D">
        <w:rPr>
          <w:rFonts w:ascii="Sylfaen" w:hAnsi="Sylfaen" w:cs="Sylfaen"/>
        </w:rPr>
        <w:t>საქართველოს</w:t>
      </w:r>
      <w:r w:rsidRPr="003D733D">
        <w:t xml:space="preserve"> </w:t>
      </w:r>
      <w:r w:rsidRPr="003D733D">
        <w:rPr>
          <w:rFonts w:ascii="Sylfaen" w:hAnsi="Sylfaen" w:cs="Sylfaen"/>
        </w:rPr>
        <w:t>ფრინველების</w:t>
      </w:r>
      <w:r w:rsidRPr="003D733D">
        <w:t xml:space="preserve"> </w:t>
      </w:r>
      <w:r w:rsidRPr="003D733D">
        <w:rPr>
          <w:rFonts w:ascii="Sylfaen" w:hAnsi="Sylfaen" w:cs="Sylfaen"/>
        </w:rPr>
        <w:t>სარკვევი</w:t>
      </w:r>
      <w:r w:rsidRPr="003D733D">
        <w:t xml:space="preserve">. </w:t>
      </w:r>
      <w:r w:rsidRPr="003D733D">
        <w:rPr>
          <w:rFonts w:ascii="Sylfaen" w:hAnsi="Sylfaen" w:cs="Sylfaen"/>
        </w:rPr>
        <w:t>თსუ</w:t>
      </w:r>
      <w:r w:rsidRPr="003D733D">
        <w:t>-</w:t>
      </w:r>
      <w:r w:rsidRPr="003D733D">
        <w:rPr>
          <w:rFonts w:ascii="Sylfaen" w:hAnsi="Sylfaen" w:cs="Sylfaen"/>
        </w:rPr>
        <w:t>ს</w:t>
      </w:r>
      <w:r w:rsidRPr="003D733D">
        <w:t xml:space="preserve"> </w:t>
      </w:r>
      <w:r w:rsidRPr="003D733D">
        <w:rPr>
          <w:rFonts w:ascii="Sylfaen" w:hAnsi="Sylfaen" w:cs="Sylfaen"/>
        </w:rPr>
        <w:t>გამომცემლობა</w:t>
      </w:r>
      <w:r w:rsidRPr="003D733D">
        <w:t xml:space="preserve">, </w:t>
      </w:r>
      <w:r w:rsidRPr="003D733D">
        <w:rPr>
          <w:rFonts w:ascii="Sylfaen" w:hAnsi="Sylfaen" w:cs="Sylfaen"/>
        </w:rPr>
        <w:t>თბილისი</w:t>
      </w:r>
      <w:r w:rsidRPr="003D733D">
        <w:t xml:space="preserve">: 645 </w:t>
      </w:r>
      <w:r w:rsidRPr="003D733D">
        <w:rPr>
          <w:rFonts w:ascii="Sylfaen" w:hAnsi="Sylfaen" w:cs="Sylfaen"/>
        </w:rPr>
        <w:t>გვ</w:t>
      </w:r>
      <w:r w:rsidRPr="003D733D">
        <w:t>.</w:t>
      </w:r>
    </w:p>
    <w:p w14:paraId="716523DC" w14:textId="77777777" w:rsidR="00CE1A11" w:rsidRPr="003D733D" w:rsidRDefault="00CE1A11" w:rsidP="00CE1A11">
      <w:r w:rsidRPr="003D733D">
        <w:rPr>
          <w:rFonts w:ascii="Sylfaen" w:hAnsi="Sylfaen" w:cs="Sylfaen"/>
        </w:rPr>
        <w:t>ჯანაშვილია</w:t>
      </w:r>
      <w:r w:rsidRPr="003D733D">
        <w:t xml:space="preserve">. 1963. </w:t>
      </w:r>
      <w:r w:rsidRPr="003D733D">
        <w:rPr>
          <w:rFonts w:ascii="Sylfaen" w:hAnsi="Sylfaen" w:cs="Sylfaen"/>
        </w:rPr>
        <w:t>საქართველოს</w:t>
      </w:r>
      <w:r w:rsidRPr="003D733D">
        <w:t xml:space="preserve"> </w:t>
      </w:r>
      <w:r w:rsidRPr="003D733D">
        <w:rPr>
          <w:rFonts w:ascii="Sylfaen" w:hAnsi="Sylfaen" w:cs="Sylfaen"/>
        </w:rPr>
        <w:t>ცხოველთა</w:t>
      </w:r>
      <w:r w:rsidRPr="003D733D">
        <w:t xml:space="preserve"> </w:t>
      </w:r>
      <w:r w:rsidRPr="003D733D">
        <w:rPr>
          <w:rFonts w:ascii="Sylfaen" w:hAnsi="Sylfaen" w:cs="Sylfaen"/>
        </w:rPr>
        <w:t>სამყარო</w:t>
      </w:r>
      <w:r w:rsidRPr="003D733D">
        <w:t xml:space="preserve">. </w:t>
      </w:r>
      <w:r w:rsidRPr="003D733D">
        <w:rPr>
          <w:rFonts w:ascii="Sylfaen" w:hAnsi="Sylfaen" w:cs="Sylfaen"/>
        </w:rPr>
        <w:t>ტ</w:t>
      </w:r>
      <w:r w:rsidRPr="003D733D">
        <w:t xml:space="preserve">. III. </w:t>
      </w:r>
      <w:r w:rsidRPr="003D733D">
        <w:rPr>
          <w:rFonts w:ascii="Sylfaen" w:hAnsi="Sylfaen" w:cs="Sylfaen"/>
        </w:rPr>
        <w:t>ხერხემლიანები</w:t>
      </w:r>
      <w:r w:rsidRPr="003D733D">
        <w:t xml:space="preserve">. </w:t>
      </w:r>
      <w:r w:rsidRPr="003D733D">
        <w:rPr>
          <w:rFonts w:ascii="Sylfaen" w:hAnsi="Sylfaen" w:cs="Sylfaen"/>
        </w:rPr>
        <w:t>თსუ</w:t>
      </w:r>
      <w:r w:rsidRPr="003D733D">
        <w:t>-</w:t>
      </w:r>
      <w:r w:rsidRPr="003D733D">
        <w:rPr>
          <w:rFonts w:ascii="Sylfaen" w:hAnsi="Sylfaen" w:cs="Sylfaen"/>
        </w:rPr>
        <w:t>ს</w:t>
      </w:r>
      <w:r w:rsidRPr="003D733D">
        <w:t xml:space="preserve"> </w:t>
      </w:r>
      <w:r w:rsidRPr="003D733D">
        <w:rPr>
          <w:rFonts w:ascii="Sylfaen" w:hAnsi="Sylfaen" w:cs="Sylfaen"/>
        </w:rPr>
        <w:t>გამომცემლობა</w:t>
      </w:r>
      <w:r w:rsidRPr="003D733D">
        <w:t xml:space="preserve">, </w:t>
      </w:r>
      <w:r w:rsidRPr="003D733D">
        <w:rPr>
          <w:rFonts w:ascii="Sylfaen" w:hAnsi="Sylfaen" w:cs="Sylfaen"/>
        </w:rPr>
        <w:t>თბილისი</w:t>
      </w:r>
      <w:r w:rsidRPr="003D733D">
        <w:t xml:space="preserve">: 460 </w:t>
      </w:r>
      <w:r w:rsidRPr="003D733D">
        <w:rPr>
          <w:rFonts w:ascii="Sylfaen" w:hAnsi="Sylfaen" w:cs="Sylfaen"/>
        </w:rPr>
        <w:t>გვ</w:t>
      </w:r>
      <w:r w:rsidRPr="003D733D">
        <w:t>.</w:t>
      </w:r>
    </w:p>
    <w:p w14:paraId="501DA95B" w14:textId="77777777" w:rsidR="00CE1A11" w:rsidRPr="00F8565C" w:rsidRDefault="00CE1A11" w:rsidP="00CE1A11">
      <w:pPr>
        <w:rPr>
          <w:lang w:val="ru-RU"/>
        </w:rPr>
      </w:pPr>
      <w:r w:rsidRPr="003D733D">
        <w:t xml:space="preserve">Гаджиев Ф.А. 1986. </w:t>
      </w:r>
      <w:r w:rsidRPr="005C296B">
        <w:rPr>
          <w:lang w:val="ru-RU"/>
        </w:rPr>
        <w:t>Животный</w:t>
      </w:r>
      <w:r w:rsidRPr="006B2E2A">
        <w:rPr>
          <w:lang w:val="ru-RU"/>
        </w:rPr>
        <w:t xml:space="preserve"> </w:t>
      </w:r>
      <w:r w:rsidRPr="005C296B">
        <w:rPr>
          <w:lang w:val="ru-RU"/>
        </w:rPr>
        <w:t>мир</w:t>
      </w:r>
      <w:r w:rsidRPr="006B2E2A">
        <w:rPr>
          <w:lang w:val="ru-RU"/>
        </w:rPr>
        <w:t xml:space="preserve">. </w:t>
      </w:r>
      <w:r w:rsidRPr="005C296B">
        <w:rPr>
          <w:lang w:val="ru-RU"/>
        </w:rPr>
        <w:t xml:space="preserve">В кн.: Г. Габриелян (ред.), Физическая География Закавказья. </w:t>
      </w:r>
      <w:r w:rsidRPr="00F8565C">
        <w:rPr>
          <w:lang w:val="ru-RU"/>
        </w:rPr>
        <w:t xml:space="preserve">Ереван, изд-во Ереванского гос. Ун-та. </w:t>
      </w:r>
    </w:p>
    <w:p w14:paraId="1CF6DA68" w14:textId="77777777" w:rsidR="00CE1A11" w:rsidRPr="000B61F5" w:rsidRDefault="00CE1A11" w:rsidP="00CE1A11">
      <w:pPr>
        <w:rPr>
          <w:lang w:val="ru-RU"/>
        </w:rPr>
      </w:pPr>
      <w:r w:rsidRPr="000B61F5">
        <w:rPr>
          <w:lang w:val="ru-RU"/>
        </w:rPr>
        <w:t>Верещагин Н.К. 1959. Млекопитающие Кавказа. История формирования фауны // Изд. АН СССР, М.-Л. : 703 с.</w:t>
      </w:r>
    </w:p>
    <w:p w14:paraId="45259329" w14:textId="77777777" w:rsidR="00CE1A11" w:rsidRPr="00F8565C" w:rsidRDefault="00CE1A11" w:rsidP="00CE1A11">
      <w:pPr>
        <w:rPr>
          <w:lang w:val="ru-RU"/>
        </w:rPr>
      </w:pPr>
      <w:r w:rsidRPr="000B61F5">
        <w:rPr>
          <w:lang w:val="ru-RU"/>
        </w:rPr>
        <w:t xml:space="preserve">Мусхелишвили Т.А. 1970. Пресмыкающиеся Восточной Грузии. </w:t>
      </w:r>
      <w:r w:rsidRPr="00F8565C">
        <w:rPr>
          <w:lang w:val="ru-RU"/>
        </w:rPr>
        <w:t>Мецниереба, Тбилиси: 241.</w:t>
      </w:r>
    </w:p>
    <w:p w14:paraId="4D8B5B65" w14:textId="77777777" w:rsidR="00CE1A11" w:rsidRPr="000B61F5" w:rsidRDefault="00CE1A11" w:rsidP="00CE1A11">
      <w:pPr>
        <w:rPr>
          <w:lang w:val="ru-RU"/>
        </w:rPr>
      </w:pPr>
      <w:r w:rsidRPr="000B61F5">
        <w:rPr>
          <w:lang w:val="ru-RU"/>
        </w:rPr>
        <w:t>Яблоков А. В., Остроумов С. А. 1985. Уровни охраны живой природы. М.: Наука: 176 с.</w:t>
      </w:r>
    </w:p>
    <w:p w14:paraId="763E00D0" w14:textId="77777777" w:rsidR="00CE1A11" w:rsidRPr="003D733D" w:rsidRDefault="00CE1A11" w:rsidP="00CE1A11">
      <w:r w:rsidRPr="003D733D">
        <w:rPr>
          <w:rFonts w:ascii="Sylfaen" w:hAnsi="Sylfaen" w:cs="Sylfaen"/>
        </w:rPr>
        <w:t>ნ</w:t>
      </w:r>
      <w:r w:rsidRPr="003D733D">
        <w:t>.</w:t>
      </w:r>
      <w:r w:rsidRPr="003D733D">
        <w:rPr>
          <w:rFonts w:ascii="Sylfaen" w:hAnsi="Sylfaen" w:cs="Sylfaen"/>
        </w:rPr>
        <w:t>კეცხოველი</w:t>
      </w:r>
      <w:r w:rsidRPr="003D733D">
        <w:t xml:space="preserve">, </w:t>
      </w:r>
      <w:r w:rsidRPr="003D733D">
        <w:rPr>
          <w:rFonts w:ascii="Sylfaen" w:hAnsi="Sylfaen" w:cs="Sylfaen"/>
        </w:rPr>
        <w:t>ა</w:t>
      </w:r>
      <w:r w:rsidRPr="003D733D">
        <w:t>.</w:t>
      </w:r>
      <w:r w:rsidRPr="003D733D">
        <w:rPr>
          <w:rFonts w:ascii="Sylfaen" w:hAnsi="Sylfaen" w:cs="Sylfaen"/>
        </w:rPr>
        <w:t>ხარაძე</w:t>
      </w:r>
      <w:r w:rsidRPr="003D733D">
        <w:t xml:space="preserve">, </w:t>
      </w:r>
      <w:r w:rsidRPr="003D733D">
        <w:rPr>
          <w:rFonts w:ascii="Sylfaen" w:hAnsi="Sylfaen" w:cs="Sylfaen"/>
        </w:rPr>
        <w:t>რ</w:t>
      </w:r>
      <w:r w:rsidRPr="003D733D">
        <w:t>.</w:t>
      </w:r>
      <w:r w:rsidRPr="003D733D">
        <w:rPr>
          <w:rFonts w:ascii="Sylfaen" w:hAnsi="Sylfaen" w:cs="Sylfaen"/>
        </w:rPr>
        <w:t>გაგნიძე</w:t>
      </w:r>
      <w:r w:rsidRPr="003D733D">
        <w:t xml:space="preserve"> - ,,</w:t>
      </w:r>
      <w:r w:rsidRPr="003D733D">
        <w:rPr>
          <w:rFonts w:ascii="Sylfaen" w:hAnsi="Sylfaen" w:cs="Sylfaen"/>
        </w:rPr>
        <w:t>საქართველოს</w:t>
      </w:r>
      <w:r w:rsidRPr="003D733D">
        <w:t xml:space="preserve"> </w:t>
      </w:r>
      <w:r w:rsidRPr="003D733D">
        <w:rPr>
          <w:rFonts w:ascii="Sylfaen" w:hAnsi="Sylfaen" w:cs="Sylfaen"/>
        </w:rPr>
        <w:t>ფლორა</w:t>
      </w:r>
      <w:r w:rsidRPr="003D733D">
        <w:t xml:space="preserve">’’, I –XIV </w:t>
      </w:r>
      <w:r w:rsidRPr="003D733D">
        <w:rPr>
          <w:rFonts w:ascii="Sylfaen" w:hAnsi="Sylfaen" w:cs="Sylfaen"/>
        </w:rPr>
        <w:t>ტომი</w:t>
      </w:r>
      <w:r w:rsidRPr="003D733D">
        <w:t xml:space="preserve"> 1987-1996. </w:t>
      </w:r>
    </w:p>
    <w:p w14:paraId="43B22492" w14:textId="77777777" w:rsidR="00CE1A11" w:rsidRPr="003D733D" w:rsidRDefault="00CE1A11" w:rsidP="00CE1A11">
      <w:r w:rsidRPr="003D733D">
        <w:rPr>
          <w:rFonts w:ascii="Sylfaen" w:hAnsi="Sylfaen" w:cs="Sylfaen"/>
        </w:rPr>
        <w:t>რ</w:t>
      </w:r>
      <w:r w:rsidRPr="003D733D">
        <w:t xml:space="preserve">. </w:t>
      </w:r>
      <w:r w:rsidRPr="003D733D">
        <w:rPr>
          <w:rFonts w:ascii="Sylfaen" w:hAnsi="Sylfaen" w:cs="Sylfaen"/>
        </w:rPr>
        <w:t>გაგნიძე</w:t>
      </w:r>
      <w:r w:rsidRPr="003D733D">
        <w:t xml:space="preserve">, </w:t>
      </w:r>
      <w:r w:rsidRPr="003D733D">
        <w:rPr>
          <w:rFonts w:ascii="Sylfaen" w:hAnsi="Sylfaen" w:cs="Sylfaen"/>
        </w:rPr>
        <w:t>მცენარეთა</w:t>
      </w:r>
      <w:r w:rsidRPr="003D733D">
        <w:t xml:space="preserve"> </w:t>
      </w:r>
      <w:r w:rsidRPr="003D733D">
        <w:rPr>
          <w:rFonts w:ascii="Sylfaen" w:hAnsi="Sylfaen" w:cs="Sylfaen"/>
        </w:rPr>
        <w:t>ნომენკლატურული</w:t>
      </w:r>
      <w:r w:rsidRPr="003D733D">
        <w:t xml:space="preserve"> </w:t>
      </w:r>
      <w:r w:rsidRPr="003D733D">
        <w:rPr>
          <w:rFonts w:ascii="Sylfaen" w:hAnsi="Sylfaen" w:cs="Sylfaen"/>
        </w:rPr>
        <w:t>ნუსხა</w:t>
      </w:r>
      <w:r w:rsidRPr="003D733D">
        <w:t>, 2005</w:t>
      </w:r>
      <w:r w:rsidRPr="003D733D">
        <w:rPr>
          <w:rFonts w:ascii="Sylfaen" w:hAnsi="Sylfaen" w:cs="Sylfaen"/>
        </w:rPr>
        <w:t>წ</w:t>
      </w:r>
      <w:r w:rsidRPr="003D733D">
        <w:t xml:space="preserve">. </w:t>
      </w:r>
    </w:p>
    <w:p w14:paraId="1CE8034B" w14:textId="0B545FC5" w:rsidR="006B5AE7" w:rsidRDefault="006B5AE7" w:rsidP="00EA6DAA"/>
    <w:p w14:paraId="3EEACA94" w14:textId="74914726" w:rsidR="00395B6B" w:rsidRDefault="00395B6B" w:rsidP="00EA6DAA"/>
    <w:p w14:paraId="04637644" w14:textId="0BE07449" w:rsidR="00395B6B" w:rsidRDefault="00395B6B" w:rsidP="00EA6DAA"/>
    <w:p w14:paraId="3CD9C453" w14:textId="543F01A5" w:rsidR="00395B6B" w:rsidRDefault="00395B6B" w:rsidP="00EA6DAA"/>
    <w:p w14:paraId="102EF5E1" w14:textId="08517D60" w:rsidR="00395B6B" w:rsidRDefault="00395B6B" w:rsidP="00EA6DAA"/>
    <w:p w14:paraId="39436EF1" w14:textId="0CE26C1B" w:rsidR="00395B6B" w:rsidRDefault="00395B6B" w:rsidP="00EA6DAA"/>
    <w:p w14:paraId="6559FF1B" w14:textId="4E9F265E" w:rsidR="00395B6B" w:rsidRDefault="00395B6B" w:rsidP="00EA6DAA"/>
    <w:p w14:paraId="4A8FBC1D" w14:textId="387CC479" w:rsidR="00395B6B" w:rsidRDefault="00395B6B" w:rsidP="00EA6DAA"/>
    <w:p w14:paraId="258A2D1A" w14:textId="05A0434A" w:rsidR="00395B6B" w:rsidRDefault="00395B6B" w:rsidP="00EA6DAA"/>
    <w:p w14:paraId="70421EF5" w14:textId="16D77BA7" w:rsidR="00395B6B" w:rsidRDefault="00395B6B" w:rsidP="00EA6DAA"/>
    <w:p w14:paraId="63AF76C7" w14:textId="107F363B" w:rsidR="00395B6B" w:rsidRDefault="00395B6B" w:rsidP="00EA6DAA"/>
    <w:p w14:paraId="7B50260F" w14:textId="056B2873" w:rsidR="00395B6B" w:rsidRDefault="00395B6B" w:rsidP="00EA6DAA"/>
    <w:p w14:paraId="1F6EE6A6" w14:textId="77777777" w:rsidR="00A2588D" w:rsidRPr="003D733D" w:rsidRDefault="00395B6B" w:rsidP="00A2588D">
      <w:pPr>
        <w:pStyle w:val="EIAH1"/>
        <w:numPr>
          <w:ilvl w:val="0"/>
          <w:numId w:val="0"/>
        </w:numPr>
        <w:ind w:left="720" w:hanging="720"/>
      </w:pPr>
      <w:bookmarkStart w:id="574" w:name="_Toc529977440"/>
      <w:bookmarkStart w:id="575" w:name="_Toc535240541"/>
      <w:bookmarkStart w:id="576" w:name="_Toc1581598"/>
      <w:r w:rsidRPr="003D733D">
        <w:lastRenderedPageBreak/>
        <w:t xml:space="preserve">დანართი 1: </w:t>
      </w:r>
      <w:r w:rsidR="00A2588D" w:rsidRPr="003D733D">
        <w:t>გზის მშენებლობის პროცესში წარმოქმნილი ნარჩენების მართვის   გეგმა</w:t>
      </w:r>
      <w:bookmarkEnd w:id="576"/>
    </w:p>
    <w:p w14:paraId="7C932F57" w14:textId="77777777" w:rsidR="00A2588D" w:rsidRPr="000B61F5" w:rsidRDefault="00A2588D" w:rsidP="00A2588D">
      <w:pPr>
        <w:rPr>
          <w:b/>
        </w:rPr>
      </w:pPr>
      <w:r>
        <w:rPr>
          <w:rFonts w:ascii="Sylfaen" w:hAnsi="Sylfaen" w:cs="Sylfaen"/>
          <w:b/>
          <w:lang w:val="ka-GE"/>
        </w:rPr>
        <w:t xml:space="preserve">1. </w:t>
      </w:r>
      <w:r w:rsidRPr="000B61F5">
        <w:rPr>
          <w:rFonts w:ascii="Sylfaen" w:hAnsi="Sylfaen" w:cs="Sylfaen"/>
          <w:b/>
        </w:rPr>
        <w:t>საკანონმდებლო</w:t>
      </w:r>
      <w:r w:rsidRPr="000B61F5">
        <w:rPr>
          <w:b/>
        </w:rPr>
        <w:t xml:space="preserve"> </w:t>
      </w:r>
      <w:r w:rsidRPr="000B61F5">
        <w:rPr>
          <w:rFonts w:ascii="Sylfaen" w:hAnsi="Sylfaen" w:cs="Sylfaen"/>
          <w:b/>
        </w:rPr>
        <w:t>საფუძველი</w:t>
      </w:r>
    </w:p>
    <w:p w14:paraId="358C0FEC" w14:textId="77777777" w:rsidR="00A2588D" w:rsidRPr="003D733D" w:rsidRDefault="00A2588D" w:rsidP="00A2588D">
      <w:pPr>
        <w:spacing w:before="120" w:after="120"/>
        <w:rPr>
          <w:lang w:val="en-US" w:eastAsia="en-US"/>
        </w:rPr>
      </w:pPr>
      <w:r w:rsidRPr="003D733D">
        <w:rPr>
          <w:rFonts w:ascii="Sylfaen" w:eastAsia="Helvetica" w:hAnsi="Sylfaen" w:cs="Sylfaen"/>
        </w:rPr>
        <w:t>წინამდებარე</w:t>
      </w:r>
      <w:r w:rsidRPr="003D733D">
        <w:rPr>
          <w:rFonts w:eastAsia="Helvetica"/>
        </w:rPr>
        <w:t xml:space="preserve"> </w:t>
      </w:r>
      <w:r w:rsidRPr="003D733D">
        <w:rPr>
          <w:rFonts w:ascii="Sylfaen" w:eastAsia="Helvetica" w:hAnsi="Sylfaen" w:cs="Sylfaen"/>
        </w:rPr>
        <w:t>დოკუმენტი</w:t>
      </w:r>
      <w:r w:rsidRPr="003D733D">
        <w:rPr>
          <w:rFonts w:eastAsia="Helvetica"/>
        </w:rPr>
        <w:t xml:space="preserve"> </w:t>
      </w:r>
      <w:r w:rsidRPr="003D733D">
        <w:rPr>
          <w:rFonts w:ascii="Sylfaen" w:eastAsia="Helvetica" w:hAnsi="Sylfaen" w:cs="Sylfaen"/>
        </w:rPr>
        <w:t>წარმოადგენს</w:t>
      </w:r>
      <w:r w:rsidRPr="003D733D">
        <w:rPr>
          <w:rFonts w:eastAsia="Helvetica"/>
        </w:rPr>
        <w:t xml:space="preserve"> </w:t>
      </w:r>
      <w:r>
        <w:rPr>
          <w:rFonts w:ascii="Sylfaen" w:hAnsi="Sylfaen"/>
          <w:lang w:val="ka-GE"/>
        </w:rPr>
        <w:t>გურჯაანის (ჩუმლაყი)</w:t>
      </w:r>
      <w:r>
        <w:rPr>
          <w:rFonts w:ascii="Sylfaen" w:hAnsi="Sylfaen"/>
          <w:lang w:val="en-US"/>
        </w:rPr>
        <w:t>-</w:t>
      </w:r>
      <w:r>
        <w:rPr>
          <w:rFonts w:ascii="Sylfaen" w:hAnsi="Sylfaen"/>
          <w:lang w:val="ka-GE"/>
        </w:rPr>
        <w:t xml:space="preserve">თელავის </w:t>
      </w:r>
      <w:r w:rsidRPr="003D733D">
        <w:rPr>
          <w:rFonts w:ascii="Sylfaen" w:eastAsia="Helvetica" w:hAnsi="Sylfaen" w:cs="Sylfaen"/>
        </w:rPr>
        <w:t>გზის</w:t>
      </w:r>
      <w:r w:rsidRPr="003D733D">
        <w:rPr>
          <w:rFonts w:eastAsia="Helvetica"/>
        </w:rPr>
        <w:t xml:space="preserve"> </w:t>
      </w:r>
      <w:r w:rsidRPr="003D733D">
        <w:rPr>
          <w:rFonts w:ascii="Sylfaen" w:eastAsia="Helvetica" w:hAnsi="Sylfaen" w:cs="Sylfaen"/>
        </w:rPr>
        <w:t>მონაკვეთის</w:t>
      </w:r>
      <w:r w:rsidRPr="003D733D">
        <w:rPr>
          <w:rFonts w:eastAsia="Helvetica"/>
        </w:rPr>
        <w:t xml:space="preserve"> </w:t>
      </w:r>
      <w:r w:rsidRPr="003D733D">
        <w:rPr>
          <w:rFonts w:ascii="Sylfaen" w:eastAsia="Helvetica" w:hAnsi="Sylfaen" w:cs="Sylfaen"/>
        </w:rPr>
        <w:t>მშენებლობისა</w:t>
      </w:r>
      <w:r w:rsidRPr="003D733D">
        <w:rPr>
          <w:rFonts w:eastAsia="Helvetica"/>
        </w:rPr>
        <w:t xml:space="preserve"> </w:t>
      </w:r>
      <w:r w:rsidRPr="003D733D">
        <w:rPr>
          <w:rFonts w:ascii="Sylfaen" w:eastAsia="Helvetica" w:hAnsi="Sylfaen" w:cs="Sylfaen"/>
        </w:rPr>
        <w:t>და</w:t>
      </w:r>
      <w:r w:rsidRPr="003D733D">
        <w:rPr>
          <w:rFonts w:eastAsia="Helvetica"/>
        </w:rPr>
        <w:t xml:space="preserve"> </w:t>
      </w:r>
      <w:r w:rsidRPr="003D733D">
        <w:rPr>
          <w:rFonts w:ascii="Sylfaen" w:eastAsia="Helvetica" w:hAnsi="Sylfaen" w:cs="Sylfaen"/>
        </w:rPr>
        <w:t>ექსპლუატაციის</w:t>
      </w:r>
      <w:r w:rsidRPr="003D733D">
        <w:rPr>
          <w:rFonts w:eastAsia="Helvetica"/>
        </w:rPr>
        <w:t xml:space="preserve"> </w:t>
      </w:r>
      <w:r w:rsidRPr="003D733D">
        <w:rPr>
          <w:rFonts w:ascii="Sylfaen" w:eastAsia="Helvetica" w:hAnsi="Sylfaen" w:cs="Sylfaen"/>
        </w:rPr>
        <w:t>პროექტის</w:t>
      </w:r>
      <w:r w:rsidRPr="003D733D">
        <w:rPr>
          <w:rFonts w:eastAsia="Helvetica"/>
        </w:rPr>
        <w:t xml:space="preserve"> </w:t>
      </w:r>
      <w:r w:rsidRPr="003D733D">
        <w:rPr>
          <w:rFonts w:ascii="Sylfaen" w:eastAsia="Helvetica" w:hAnsi="Sylfaen" w:cs="Sylfaen"/>
        </w:rPr>
        <w:t>პროცესში</w:t>
      </w:r>
      <w:r w:rsidRPr="003D733D">
        <w:rPr>
          <w:rFonts w:eastAsia="Helvetica"/>
        </w:rPr>
        <w:t xml:space="preserve"> </w:t>
      </w:r>
      <w:r w:rsidRPr="003D733D">
        <w:rPr>
          <w:rFonts w:ascii="Sylfaen" w:eastAsia="Helvetica" w:hAnsi="Sylfaen" w:cs="Sylfaen"/>
        </w:rPr>
        <w:t>წარმოქმნილი</w:t>
      </w:r>
      <w:r w:rsidRPr="003D733D">
        <w:rPr>
          <w:rFonts w:eastAsia="Helvetica"/>
        </w:rPr>
        <w:t xml:space="preserve"> </w:t>
      </w:r>
      <w:r w:rsidRPr="003D733D">
        <w:rPr>
          <w:rFonts w:ascii="Sylfaen" w:eastAsia="Helvetica" w:hAnsi="Sylfaen" w:cs="Sylfaen"/>
        </w:rPr>
        <w:t>ნარჩენების</w:t>
      </w:r>
      <w:r w:rsidRPr="003D733D">
        <w:rPr>
          <w:rFonts w:eastAsia="Helvetica"/>
        </w:rPr>
        <w:t xml:space="preserve"> </w:t>
      </w:r>
      <w:r w:rsidRPr="003D733D">
        <w:rPr>
          <w:rFonts w:ascii="Sylfaen" w:eastAsia="Helvetica" w:hAnsi="Sylfaen" w:cs="Sylfaen"/>
        </w:rPr>
        <w:t>მართვის</w:t>
      </w:r>
      <w:r w:rsidRPr="003D733D">
        <w:rPr>
          <w:rFonts w:eastAsia="Helvetica"/>
        </w:rPr>
        <w:t xml:space="preserve"> </w:t>
      </w:r>
      <w:r w:rsidRPr="003D733D">
        <w:rPr>
          <w:rFonts w:ascii="Sylfaen" w:eastAsia="Helvetica" w:hAnsi="Sylfaen" w:cs="Sylfaen"/>
        </w:rPr>
        <w:t>გეგმას</w:t>
      </w:r>
      <w:r w:rsidRPr="003D733D">
        <w:rPr>
          <w:rFonts w:eastAsia="Helvetica"/>
        </w:rPr>
        <w:t xml:space="preserve">. </w:t>
      </w:r>
      <w:r w:rsidRPr="003D733D">
        <w:rPr>
          <w:rFonts w:ascii="Sylfaen" w:eastAsia="Helvetica" w:hAnsi="Sylfaen" w:cs="Sylfaen"/>
        </w:rPr>
        <w:t>გეგმა</w:t>
      </w:r>
      <w:r w:rsidRPr="003D733D">
        <w:rPr>
          <w:rFonts w:eastAsia="Helvetica"/>
        </w:rPr>
        <w:t xml:space="preserve"> </w:t>
      </w:r>
      <w:r w:rsidRPr="003D733D">
        <w:rPr>
          <w:rFonts w:ascii="Sylfaen" w:eastAsia="Helvetica" w:hAnsi="Sylfaen" w:cs="Sylfaen"/>
        </w:rPr>
        <w:t>წარმოადგენს</w:t>
      </w:r>
      <w:r w:rsidRPr="003D733D">
        <w:rPr>
          <w:rFonts w:eastAsia="Helvetica"/>
        </w:rPr>
        <w:t xml:space="preserve"> </w:t>
      </w:r>
      <w:r w:rsidRPr="003D733D">
        <w:rPr>
          <w:rFonts w:ascii="Sylfaen" w:eastAsia="Helvetica" w:hAnsi="Sylfaen" w:cs="Sylfaen"/>
        </w:rPr>
        <w:t>ცოცხალ</w:t>
      </w:r>
      <w:r w:rsidRPr="003D733D">
        <w:rPr>
          <w:rFonts w:eastAsia="Helvetica"/>
        </w:rPr>
        <w:t xml:space="preserve"> </w:t>
      </w:r>
      <w:r w:rsidRPr="003D733D">
        <w:rPr>
          <w:rFonts w:ascii="Sylfaen" w:eastAsia="Helvetica" w:hAnsi="Sylfaen" w:cs="Sylfaen"/>
        </w:rPr>
        <w:t>დოკუმენტს</w:t>
      </w:r>
      <w:r w:rsidRPr="003D733D">
        <w:rPr>
          <w:rFonts w:eastAsia="Helvetica"/>
        </w:rPr>
        <w:t xml:space="preserve"> </w:t>
      </w:r>
      <w:r w:rsidRPr="003D733D">
        <w:rPr>
          <w:rFonts w:ascii="Sylfaen" w:eastAsia="Helvetica" w:hAnsi="Sylfaen" w:cs="Sylfaen"/>
        </w:rPr>
        <w:t>და</w:t>
      </w:r>
      <w:r w:rsidRPr="003D733D">
        <w:rPr>
          <w:rFonts w:eastAsia="Helvetica"/>
        </w:rPr>
        <w:t xml:space="preserve"> </w:t>
      </w:r>
      <w:r w:rsidRPr="003D733D">
        <w:rPr>
          <w:rFonts w:ascii="Sylfaen" w:eastAsia="Helvetica" w:hAnsi="Sylfaen" w:cs="Sylfaen"/>
        </w:rPr>
        <w:t>შესაძლებელია</w:t>
      </w:r>
      <w:r w:rsidRPr="003D733D">
        <w:rPr>
          <w:rFonts w:eastAsia="Helvetica"/>
        </w:rPr>
        <w:t xml:space="preserve"> </w:t>
      </w:r>
      <w:r w:rsidRPr="003D733D">
        <w:rPr>
          <w:rFonts w:ascii="Sylfaen" w:eastAsia="Helvetica" w:hAnsi="Sylfaen" w:cs="Sylfaen"/>
        </w:rPr>
        <w:t>საჭიროების</w:t>
      </w:r>
      <w:r w:rsidRPr="003D733D">
        <w:rPr>
          <w:rFonts w:eastAsia="Helvetica"/>
        </w:rPr>
        <w:t xml:space="preserve"> </w:t>
      </w:r>
      <w:r w:rsidRPr="003D733D">
        <w:rPr>
          <w:rFonts w:ascii="Sylfaen" w:eastAsia="Helvetica" w:hAnsi="Sylfaen" w:cs="Sylfaen"/>
        </w:rPr>
        <w:t>მიხედვით</w:t>
      </w:r>
      <w:r w:rsidRPr="003D733D">
        <w:rPr>
          <w:rFonts w:eastAsia="Helvetica"/>
        </w:rPr>
        <w:t xml:space="preserve"> </w:t>
      </w:r>
      <w:r w:rsidRPr="003D733D">
        <w:rPr>
          <w:rFonts w:ascii="Sylfaen" w:eastAsia="Helvetica" w:hAnsi="Sylfaen" w:cs="Sylfaen"/>
        </w:rPr>
        <w:t>მისი</w:t>
      </w:r>
      <w:r w:rsidRPr="003D733D">
        <w:rPr>
          <w:rFonts w:eastAsia="Helvetica"/>
        </w:rPr>
        <w:t xml:space="preserve"> </w:t>
      </w:r>
      <w:r w:rsidRPr="003D733D">
        <w:rPr>
          <w:rFonts w:ascii="Sylfaen" w:eastAsia="Helvetica" w:hAnsi="Sylfaen" w:cs="Sylfaen"/>
        </w:rPr>
        <w:t>კორექტირება</w:t>
      </w:r>
      <w:r w:rsidRPr="003D733D">
        <w:rPr>
          <w:rFonts w:eastAsia="Helvetica"/>
        </w:rPr>
        <w:t xml:space="preserve">. </w:t>
      </w:r>
    </w:p>
    <w:p w14:paraId="594B9930" w14:textId="77777777" w:rsidR="00A2588D" w:rsidRPr="003D733D" w:rsidRDefault="00A2588D" w:rsidP="00A2588D">
      <w:pPr>
        <w:spacing w:before="120" w:after="120"/>
        <w:rPr>
          <w:rFonts w:eastAsia="Helvetica"/>
        </w:rPr>
      </w:pPr>
      <w:r w:rsidRPr="003D733D">
        <w:rPr>
          <w:rFonts w:ascii="Sylfaen" w:eastAsia="Helvetica" w:hAnsi="Sylfaen" w:cs="Sylfaen"/>
        </w:rPr>
        <w:t>დაგეგმილი</w:t>
      </w:r>
      <w:r w:rsidRPr="003D733D">
        <w:rPr>
          <w:rFonts w:eastAsia="Helvetica"/>
        </w:rPr>
        <w:t xml:space="preserve"> </w:t>
      </w:r>
      <w:r w:rsidRPr="003D733D">
        <w:rPr>
          <w:rFonts w:ascii="Sylfaen" w:eastAsia="Helvetica" w:hAnsi="Sylfaen" w:cs="Sylfaen"/>
        </w:rPr>
        <w:t>საქმიანობის</w:t>
      </w:r>
      <w:r w:rsidRPr="003D733D">
        <w:rPr>
          <w:rFonts w:eastAsia="Helvetica"/>
        </w:rPr>
        <w:t xml:space="preserve"> </w:t>
      </w:r>
      <w:r w:rsidRPr="003D733D">
        <w:rPr>
          <w:rFonts w:ascii="Sylfaen" w:eastAsia="Helvetica" w:hAnsi="Sylfaen" w:cs="Sylfaen"/>
        </w:rPr>
        <w:t>განხორციელების</w:t>
      </w:r>
      <w:r w:rsidRPr="003D733D">
        <w:rPr>
          <w:rFonts w:eastAsia="Helvetica"/>
        </w:rPr>
        <w:t xml:space="preserve"> </w:t>
      </w:r>
      <w:r w:rsidRPr="003D733D">
        <w:rPr>
          <w:rFonts w:ascii="Sylfaen" w:eastAsia="Helvetica" w:hAnsi="Sylfaen" w:cs="Sylfaen"/>
        </w:rPr>
        <w:t>პროცესში</w:t>
      </w:r>
      <w:r w:rsidRPr="003D733D">
        <w:rPr>
          <w:rFonts w:eastAsia="Helvetica"/>
        </w:rPr>
        <w:t xml:space="preserve"> </w:t>
      </w:r>
      <w:r w:rsidRPr="003D733D">
        <w:rPr>
          <w:rFonts w:ascii="Sylfaen" w:eastAsia="Helvetica" w:hAnsi="Sylfaen" w:cs="Sylfaen"/>
        </w:rPr>
        <w:t>მოსალოდნელია</w:t>
      </w:r>
      <w:r w:rsidRPr="003D733D">
        <w:rPr>
          <w:rFonts w:eastAsia="Helvetica"/>
        </w:rPr>
        <w:t xml:space="preserve"> </w:t>
      </w:r>
      <w:r w:rsidRPr="003D733D">
        <w:rPr>
          <w:rFonts w:ascii="Sylfaen" w:eastAsia="Helvetica" w:hAnsi="Sylfaen" w:cs="Sylfaen"/>
        </w:rPr>
        <w:t>არასახიფათო</w:t>
      </w:r>
      <w:r w:rsidRPr="003D733D">
        <w:rPr>
          <w:rFonts w:eastAsia="Helvetica"/>
        </w:rPr>
        <w:t xml:space="preserve"> </w:t>
      </w:r>
      <w:r w:rsidRPr="003D733D">
        <w:rPr>
          <w:rFonts w:ascii="Sylfaen" w:eastAsia="Helvetica" w:hAnsi="Sylfaen" w:cs="Sylfaen"/>
        </w:rPr>
        <w:t>და</w:t>
      </w:r>
      <w:r w:rsidRPr="003D733D">
        <w:rPr>
          <w:rFonts w:eastAsia="Helvetica"/>
        </w:rPr>
        <w:t xml:space="preserve"> </w:t>
      </w:r>
      <w:r w:rsidRPr="003D733D">
        <w:rPr>
          <w:rFonts w:ascii="Sylfaen" w:eastAsia="Helvetica" w:hAnsi="Sylfaen" w:cs="Sylfaen"/>
        </w:rPr>
        <w:t>ინერტული</w:t>
      </w:r>
      <w:r w:rsidRPr="003D733D">
        <w:rPr>
          <w:rFonts w:eastAsia="Helvetica"/>
        </w:rPr>
        <w:t xml:space="preserve"> </w:t>
      </w:r>
      <w:r w:rsidRPr="003D733D">
        <w:rPr>
          <w:rFonts w:ascii="Sylfaen" w:eastAsia="Helvetica" w:hAnsi="Sylfaen" w:cs="Sylfaen"/>
        </w:rPr>
        <w:t>ნარჩენების</w:t>
      </w:r>
      <w:r w:rsidRPr="003D733D">
        <w:rPr>
          <w:rFonts w:eastAsia="Helvetica"/>
        </w:rPr>
        <w:t xml:space="preserve">, </w:t>
      </w:r>
      <w:r w:rsidRPr="003D733D">
        <w:rPr>
          <w:rFonts w:ascii="Sylfaen" w:eastAsia="Helvetica" w:hAnsi="Sylfaen" w:cs="Sylfaen"/>
        </w:rPr>
        <w:t>ასევე</w:t>
      </w:r>
      <w:r w:rsidRPr="003D733D">
        <w:rPr>
          <w:rFonts w:eastAsia="Helvetica"/>
        </w:rPr>
        <w:t xml:space="preserve"> </w:t>
      </w:r>
      <w:r w:rsidRPr="003D733D">
        <w:rPr>
          <w:rFonts w:ascii="Sylfaen" w:eastAsia="Helvetica" w:hAnsi="Sylfaen" w:cs="Sylfaen"/>
        </w:rPr>
        <w:t>სახიფათო</w:t>
      </w:r>
      <w:r w:rsidRPr="003D733D">
        <w:rPr>
          <w:rFonts w:eastAsia="Helvetica"/>
        </w:rPr>
        <w:t xml:space="preserve"> </w:t>
      </w:r>
      <w:r w:rsidRPr="003D733D">
        <w:rPr>
          <w:rFonts w:ascii="Sylfaen" w:eastAsia="Helvetica" w:hAnsi="Sylfaen" w:cs="Sylfaen"/>
        </w:rPr>
        <w:t>ნარჩენების</w:t>
      </w:r>
      <w:r w:rsidRPr="003D733D">
        <w:rPr>
          <w:rFonts w:eastAsia="Helvetica"/>
        </w:rPr>
        <w:t xml:space="preserve"> </w:t>
      </w:r>
      <w:r w:rsidRPr="003D733D">
        <w:rPr>
          <w:rFonts w:ascii="Sylfaen" w:eastAsia="Helvetica" w:hAnsi="Sylfaen" w:cs="Sylfaen"/>
        </w:rPr>
        <w:t>წარმოქმნა</w:t>
      </w:r>
      <w:r w:rsidRPr="003D733D">
        <w:rPr>
          <w:rFonts w:eastAsia="Helvetica"/>
        </w:rPr>
        <w:t xml:space="preserve">. </w:t>
      </w:r>
      <w:r w:rsidRPr="003D733D">
        <w:rPr>
          <w:rFonts w:ascii="Sylfaen" w:eastAsia="Helvetica" w:hAnsi="Sylfaen" w:cs="Sylfaen"/>
        </w:rPr>
        <w:t>შესაბამისად</w:t>
      </w:r>
      <w:r w:rsidRPr="003D733D">
        <w:rPr>
          <w:rFonts w:eastAsia="Helvetica"/>
        </w:rPr>
        <w:t xml:space="preserve">, </w:t>
      </w:r>
      <w:r w:rsidRPr="003D733D">
        <w:rPr>
          <w:rFonts w:ascii="Sylfaen" w:eastAsia="Helvetica" w:hAnsi="Sylfaen" w:cs="Sylfaen"/>
        </w:rPr>
        <w:t>შემუშავებულია</w:t>
      </w:r>
      <w:r w:rsidRPr="003D733D">
        <w:rPr>
          <w:rFonts w:eastAsia="Helvetica"/>
        </w:rPr>
        <w:t xml:space="preserve"> </w:t>
      </w:r>
      <w:r>
        <w:rPr>
          <w:rFonts w:ascii="Sylfaen" w:hAnsi="Sylfaen"/>
          <w:lang w:val="ka-GE"/>
        </w:rPr>
        <w:t>გურჯაანის (ჩუმლაყი)</w:t>
      </w:r>
      <w:r>
        <w:rPr>
          <w:rFonts w:ascii="Sylfaen" w:hAnsi="Sylfaen"/>
          <w:lang w:val="en-US"/>
        </w:rPr>
        <w:t>-</w:t>
      </w:r>
      <w:r>
        <w:rPr>
          <w:rFonts w:ascii="Sylfaen" w:hAnsi="Sylfaen"/>
          <w:lang w:val="ka-GE"/>
        </w:rPr>
        <w:t xml:space="preserve">თელავის </w:t>
      </w:r>
      <w:r w:rsidRPr="003D733D">
        <w:rPr>
          <w:rFonts w:ascii="Sylfaen" w:eastAsia="Helvetica" w:hAnsi="Sylfaen" w:cs="Sylfaen"/>
        </w:rPr>
        <w:t>გზის</w:t>
      </w:r>
      <w:r w:rsidRPr="003D733D">
        <w:rPr>
          <w:rFonts w:eastAsia="Helvetica"/>
        </w:rPr>
        <w:t xml:space="preserve"> </w:t>
      </w:r>
      <w:r w:rsidRPr="003D733D">
        <w:rPr>
          <w:rFonts w:ascii="Sylfaen" w:eastAsia="Helvetica" w:hAnsi="Sylfaen" w:cs="Sylfaen"/>
        </w:rPr>
        <w:t>მონაკვეთის</w:t>
      </w:r>
      <w:r w:rsidRPr="003D733D">
        <w:rPr>
          <w:rFonts w:eastAsia="Helvetica"/>
        </w:rPr>
        <w:t xml:space="preserve"> </w:t>
      </w:r>
      <w:r w:rsidRPr="003D733D">
        <w:rPr>
          <w:rFonts w:ascii="Sylfaen" w:eastAsia="Helvetica" w:hAnsi="Sylfaen" w:cs="Sylfaen"/>
        </w:rPr>
        <w:t>პროექტი</w:t>
      </w:r>
      <w:r w:rsidRPr="003D733D">
        <w:rPr>
          <w:rFonts w:eastAsia="Helvetica"/>
        </w:rPr>
        <w:t xml:space="preserve"> </w:t>
      </w:r>
      <w:r w:rsidRPr="003D733D">
        <w:rPr>
          <w:rFonts w:ascii="Sylfaen" w:eastAsia="Helvetica" w:hAnsi="Sylfaen" w:cs="Sylfaen"/>
        </w:rPr>
        <w:t>მშენებლობის</w:t>
      </w:r>
      <w:r w:rsidRPr="003D733D">
        <w:rPr>
          <w:rFonts w:eastAsia="Helvetica"/>
        </w:rPr>
        <w:t xml:space="preserve"> </w:t>
      </w:r>
      <w:r w:rsidRPr="003D733D">
        <w:rPr>
          <w:rFonts w:ascii="Sylfaen" w:eastAsia="Helvetica" w:hAnsi="Sylfaen" w:cs="Sylfaen"/>
        </w:rPr>
        <w:t>და</w:t>
      </w:r>
      <w:r w:rsidRPr="003D733D">
        <w:rPr>
          <w:rFonts w:eastAsia="Helvetica"/>
        </w:rPr>
        <w:t xml:space="preserve"> </w:t>
      </w:r>
      <w:r w:rsidRPr="003D733D">
        <w:rPr>
          <w:rFonts w:ascii="Sylfaen" w:eastAsia="Helvetica" w:hAnsi="Sylfaen" w:cs="Sylfaen"/>
        </w:rPr>
        <w:t>ექსპლუატაციის</w:t>
      </w:r>
      <w:r w:rsidRPr="003D733D">
        <w:rPr>
          <w:rFonts w:eastAsia="Helvetica"/>
        </w:rPr>
        <w:t xml:space="preserve"> </w:t>
      </w:r>
      <w:r w:rsidRPr="003D733D">
        <w:rPr>
          <w:rFonts w:ascii="Sylfaen" w:eastAsia="Helvetica" w:hAnsi="Sylfaen" w:cs="Sylfaen"/>
        </w:rPr>
        <w:t>პროცესში</w:t>
      </w:r>
      <w:r w:rsidRPr="003D733D">
        <w:rPr>
          <w:rFonts w:eastAsia="Helvetica"/>
        </w:rPr>
        <w:t xml:space="preserve"> </w:t>
      </w:r>
      <w:r w:rsidRPr="003D733D">
        <w:rPr>
          <w:rFonts w:ascii="Sylfaen" w:eastAsia="Helvetica" w:hAnsi="Sylfaen" w:cs="Sylfaen"/>
        </w:rPr>
        <w:t>წარმოქმნილი</w:t>
      </w:r>
      <w:r w:rsidRPr="003D733D">
        <w:rPr>
          <w:rFonts w:eastAsia="Helvetica"/>
        </w:rPr>
        <w:t xml:space="preserve"> </w:t>
      </w:r>
      <w:r w:rsidRPr="003D733D">
        <w:rPr>
          <w:rFonts w:ascii="Sylfaen" w:eastAsia="Helvetica" w:hAnsi="Sylfaen" w:cs="Sylfaen"/>
        </w:rPr>
        <w:t>ნარჩენების</w:t>
      </w:r>
      <w:r w:rsidRPr="003D733D">
        <w:rPr>
          <w:rFonts w:eastAsia="Helvetica"/>
        </w:rPr>
        <w:t xml:space="preserve"> </w:t>
      </w:r>
      <w:r w:rsidRPr="003D733D">
        <w:rPr>
          <w:rFonts w:ascii="Sylfaen" w:eastAsia="Helvetica" w:hAnsi="Sylfaen" w:cs="Sylfaen"/>
        </w:rPr>
        <w:t>მართვის</w:t>
      </w:r>
      <w:r w:rsidRPr="003D733D">
        <w:rPr>
          <w:rFonts w:eastAsia="Helvetica"/>
        </w:rPr>
        <w:t xml:space="preserve"> </w:t>
      </w:r>
      <w:r w:rsidRPr="003D733D">
        <w:rPr>
          <w:rFonts w:ascii="Sylfaen" w:eastAsia="Helvetica" w:hAnsi="Sylfaen" w:cs="Sylfaen"/>
        </w:rPr>
        <w:t>გეგმა</w:t>
      </w:r>
      <w:r w:rsidRPr="003D733D">
        <w:rPr>
          <w:rFonts w:eastAsia="Helvetica"/>
        </w:rPr>
        <w:t xml:space="preserve">, </w:t>
      </w:r>
      <w:r w:rsidRPr="003D733D">
        <w:rPr>
          <w:rFonts w:ascii="Sylfaen" w:eastAsia="Helvetica" w:hAnsi="Sylfaen" w:cs="Sylfaen"/>
        </w:rPr>
        <w:t>რომელიც</w:t>
      </w:r>
      <w:r w:rsidRPr="003D733D">
        <w:rPr>
          <w:rFonts w:eastAsia="Helvetica"/>
        </w:rPr>
        <w:t xml:space="preserve"> </w:t>
      </w:r>
      <w:r w:rsidRPr="003D733D">
        <w:rPr>
          <w:rFonts w:ascii="Sylfaen" w:eastAsia="Helvetica" w:hAnsi="Sylfaen" w:cs="Sylfaen"/>
        </w:rPr>
        <w:t>შედგება</w:t>
      </w:r>
      <w:r w:rsidRPr="003D733D">
        <w:rPr>
          <w:rFonts w:eastAsia="Helvetica"/>
        </w:rPr>
        <w:t xml:space="preserve"> </w:t>
      </w:r>
      <w:r w:rsidRPr="003D733D">
        <w:rPr>
          <w:rFonts w:ascii="Sylfaen" w:eastAsia="Helvetica" w:hAnsi="Sylfaen" w:cs="Sylfaen"/>
        </w:rPr>
        <w:t>შემდეგი</w:t>
      </w:r>
      <w:r w:rsidRPr="003D733D">
        <w:rPr>
          <w:rFonts w:eastAsia="Helvetica"/>
        </w:rPr>
        <w:t xml:space="preserve"> </w:t>
      </w:r>
      <w:r w:rsidRPr="003D733D">
        <w:rPr>
          <w:rFonts w:ascii="Sylfaen" w:eastAsia="Helvetica" w:hAnsi="Sylfaen" w:cs="Sylfaen"/>
        </w:rPr>
        <w:t>ნაწილებისაგან</w:t>
      </w:r>
      <w:r w:rsidRPr="003D733D">
        <w:rPr>
          <w:rFonts w:eastAsia="Helvetica"/>
        </w:rPr>
        <w:t>:</w:t>
      </w:r>
    </w:p>
    <w:p w14:paraId="4440B914" w14:textId="77777777" w:rsidR="00A2588D" w:rsidRPr="000B61F5" w:rsidRDefault="00A2588D" w:rsidP="00821E4D">
      <w:pPr>
        <w:pStyle w:val="ListParagraph"/>
        <w:numPr>
          <w:ilvl w:val="0"/>
          <w:numId w:val="26"/>
        </w:numPr>
        <w:rPr>
          <w:rFonts w:eastAsia="Helvetica"/>
        </w:rPr>
      </w:pPr>
      <w:r w:rsidRPr="000B61F5">
        <w:rPr>
          <w:rFonts w:cs="Sylfaen"/>
        </w:rPr>
        <w:t>მიზნები</w:t>
      </w:r>
      <w:r w:rsidRPr="003D733D">
        <w:t xml:space="preserve">, </w:t>
      </w:r>
      <w:r w:rsidRPr="000B61F5">
        <w:rPr>
          <w:rFonts w:cs="Sylfaen"/>
        </w:rPr>
        <w:t>ამოცანები</w:t>
      </w:r>
      <w:r w:rsidRPr="003D733D">
        <w:t xml:space="preserve"> </w:t>
      </w:r>
      <w:r w:rsidRPr="000B61F5">
        <w:rPr>
          <w:rFonts w:cs="Sylfaen"/>
        </w:rPr>
        <w:t>და</w:t>
      </w:r>
      <w:r w:rsidRPr="003D733D">
        <w:t xml:space="preserve"> </w:t>
      </w:r>
      <w:r w:rsidRPr="000B61F5">
        <w:rPr>
          <w:rFonts w:cs="Sylfaen"/>
        </w:rPr>
        <w:t>განხორცილების</w:t>
      </w:r>
      <w:r w:rsidRPr="003D733D">
        <w:t xml:space="preserve"> </w:t>
      </w:r>
      <w:r w:rsidRPr="000B61F5">
        <w:rPr>
          <w:rFonts w:cs="Sylfaen"/>
        </w:rPr>
        <w:t>გზები</w:t>
      </w:r>
      <w:r w:rsidRPr="003D733D">
        <w:t>;</w:t>
      </w:r>
    </w:p>
    <w:p w14:paraId="02090AA9" w14:textId="77777777" w:rsidR="00A2588D" w:rsidRPr="003D733D" w:rsidRDefault="00A2588D" w:rsidP="00821E4D">
      <w:pPr>
        <w:pStyle w:val="ListParagraph"/>
        <w:numPr>
          <w:ilvl w:val="0"/>
          <w:numId w:val="26"/>
        </w:numPr>
      </w:pPr>
      <w:r w:rsidRPr="000B61F5">
        <w:rPr>
          <w:rFonts w:cs="Sylfaen"/>
        </w:rPr>
        <w:t>ნარჩენების</w:t>
      </w:r>
      <w:r w:rsidRPr="003D733D">
        <w:t xml:space="preserve"> </w:t>
      </w:r>
      <w:r w:rsidRPr="000B61F5">
        <w:rPr>
          <w:rFonts w:cs="Sylfaen"/>
        </w:rPr>
        <w:t>მართვის</w:t>
      </w:r>
      <w:r w:rsidRPr="003D733D">
        <w:t xml:space="preserve"> </w:t>
      </w:r>
      <w:r w:rsidRPr="000B61F5">
        <w:rPr>
          <w:rFonts w:cs="Sylfaen"/>
        </w:rPr>
        <w:t>იერარქია</w:t>
      </w:r>
      <w:r w:rsidRPr="003D733D">
        <w:t xml:space="preserve"> </w:t>
      </w:r>
      <w:r w:rsidRPr="000B61F5">
        <w:rPr>
          <w:rFonts w:cs="Sylfaen"/>
        </w:rPr>
        <w:t>და</w:t>
      </w:r>
      <w:r w:rsidRPr="003D733D">
        <w:t xml:space="preserve"> </w:t>
      </w:r>
      <w:r w:rsidRPr="000B61F5">
        <w:rPr>
          <w:rFonts w:cs="Sylfaen"/>
        </w:rPr>
        <w:t>მიდგომები</w:t>
      </w:r>
      <w:r w:rsidRPr="003D733D">
        <w:t>;</w:t>
      </w:r>
    </w:p>
    <w:p w14:paraId="2FEAB96E" w14:textId="77777777" w:rsidR="00A2588D" w:rsidRPr="003D733D" w:rsidRDefault="00A2588D" w:rsidP="00821E4D">
      <w:pPr>
        <w:pStyle w:val="ListParagraph"/>
        <w:numPr>
          <w:ilvl w:val="0"/>
          <w:numId w:val="26"/>
        </w:numPr>
      </w:pPr>
      <w:r w:rsidRPr="000B61F5">
        <w:rPr>
          <w:rFonts w:cs="Sylfaen"/>
        </w:rPr>
        <w:t>ინსტიტუციური</w:t>
      </w:r>
      <w:r w:rsidRPr="003D733D">
        <w:t xml:space="preserve"> </w:t>
      </w:r>
      <w:r w:rsidRPr="000B61F5">
        <w:rPr>
          <w:rFonts w:cs="Sylfaen"/>
        </w:rPr>
        <w:t>სისტემა</w:t>
      </w:r>
      <w:r w:rsidRPr="003D733D">
        <w:t xml:space="preserve"> </w:t>
      </w:r>
      <w:r w:rsidRPr="000B61F5">
        <w:rPr>
          <w:rFonts w:cs="Sylfaen"/>
        </w:rPr>
        <w:t>საქართველოში</w:t>
      </w:r>
      <w:r w:rsidRPr="003D733D">
        <w:t xml:space="preserve">, </w:t>
      </w:r>
      <w:r w:rsidRPr="000B61F5">
        <w:rPr>
          <w:rFonts w:cs="Sylfaen"/>
        </w:rPr>
        <w:t>რომელიც</w:t>
      </w:r>
      <w:r w:rsidRPr="003D733D">
        <w:t xml:space="preserve"> </w:t>
      </w:r>
      <w:r w:rsidRPr="000B61F5">
        <w:rPr>
          <w:rFonts w:cs="Sylfaen"/>
        </w:rPr>
        <w:t>პასუხისმგებელია</w:t>
      </w:r>
      <w:r w:rsidRPr="003D733D">
        <w:t xml:space="preserve"> </w:t>
      </w:r>
      <w:r w:rsidRPr="000B61F5">
        <w:rPr>
          <w:rFonts w:cs="Sylfaen"/>
        </w:rPr>
        <w:t>ნარჩენების</w:t>
      </w:r>
      <w:r w:rsidRPr="003D733D">
        <w:t xml:space="preserve"> </w:t>
      </w:r>
      <w:r w:rsidRPr="000B61F5">
        <w:rPr>
          <w:rFonts w:cs="Sylfaen"/>
        </w:rPr>
        <w:t>მართვაზე</w:t>
      </w:r>
      <w:r w:rsidRPr="003D733D">
        <w:t xml:space="preserve"> </w:t>
      </w:r>
      <w:r w:rsidRPr="000B61F5">
        <w:rPr>
          <w:rFonts w:cs="Sylfaen"/>
        </w:rPr>
        <w:t>და</w:t>
      </w:r>
      <w:r w:rsidRPr="003D733D">
        <w:t xml:space="preserve"> </w:t>
      </w:r>
      <w:r w:rsidRPr="000B61F5">
        <w:rPr>
          <w:rFonts w:cs="Sylfaen"/>
        </w:rPr>
        <w:t>მონიტორინგზე</w:t>
      </w:r>
    </w:p>
    <w:p w14:paraId="5AD8881B" w14:textId="77777777" w:rsidR="00A2588D" w:rsidRPr="003D733D" w:rsidRDefault="00A2588D" w:rsidP="00821E4D">
      <w:pPr>
        <w:pStyle w:val="ListParagraph"/>
        <w:numPr>
          <w:ilvl w:val="0"/>
          <w:numId w:val="26"/>
        </w:numPr>
      </w:pPr>
      <w:r w:rsidRPr="000B61F5">
        <w:rPr>
          <w:rFonts w:cs="Sylfaen"/>
        </w:rPr>
        <w:t>ინფორმაცია</w:t>
      </w:r>
      <w:r w:rsidRPr="003D733D">
        <w:t xml:space="preserve"> </w:t>
      </w:r>
      <w:r w:rsidRPr="000B61F5">
        <w:rPr>
          <w:rFonts w:cs="Sylfaen"/>
        </w:rPr>
        <w:t>წარმოქმნილი</w:t>
      </w:r>
      <w:r w:rsidRPr="003D733D">
        <w:t xml:space="preserve"> </w:t>
      </w:r>
      <w:r w:rsidRPr="000B61F5">
        <w:rPr>
          <w:rFonts w:cs="Sylfaen"/>
        </w:rPr>
        <w:t>ნარჩენების</w:t>
      </w:r>
      <w:r w:rsidRPr="003D733D">
        <w:t xml:space="preserve"> </w:t>
      </w:r>
      <w:r w:rsidRPr="000B61F5">
        <w:rPr>
          <w:rFonts w:cs="Sylfaen"/>
        </w:rPr>
        <w:t>შესახებ</w:t>
      </w:r>
      <w:r w:rsidRPr="003D733D">
        <w:t>;</w:t>
      </w:r>
    </w:p>
    <w:p w14:paraId="3FEA47CE" w14:textId="77777777" w:rsidR="00A2588D" w:rsidRPr="003D733D" w:rsidRDefault="00A2588D" w:rsidP="00821E4D">
      <w:pPr>
        <w:pStyle w:val="ListParagraph"/>
        <w:numPr>
          <w:ilvl w:val="0"/>
          <w:numId w:val="26"/>
        </w:numPr>
      </w:pPr>
      <w:r w:rsidRPr="000B61F5">
        <w:rPr>
          <w:rFonts w:cs="Sylfaen"/>
        </w:rPr>
        <w:t>ინფორმაცია</w:t>
      </w:r>
      <w:r w:rsidRPr="003D733D">
        <w:t xml:space="preserve"> </w:t>
      </w:r>
      <w:r w:rsidRPr="000B61F5">
        <w:rPr>
          <w:rFonts w:cs="Sylfaen"/>
        </w:rPr>
        <w:t>ნარჩენების</w:t>
      </w:r>
      <w:r w:rsidRPr="003D733D">
        <w:t xml:space="preserve"> </w:t>
      </w:r>
      <w:r w:rsidRPr="000B61F5">
        <w:rPr>
          <w:rFonts w:cs="Sylfaen"/>
        </w:rPr>
        <w:t>პრევენციისა</w:t>
      </w:r>
      <w:r w:rsidRPr="003D733D">
        <w:t xml:space="preserve"> </w:t>
      </w:r>
      <w:r w:rsidRPr="000B61F5">
        <w:rPr>
          <w:rFonts w:cs="Sylfaen"/>
        </w:rPr>
        <w:t>და</w:t>
      </w:r>
      <w:r w:rsidRPr="003D733D">
        <w:t xml:space="preserve"> </w:t>
      </w:r>
      <w:r w:rsidRPr="000B61F5">
        <w:rPr>
          <w:rFonts w:cs="Sylfaen"/>
        </w:rPr>
        <w:t>აღდგენისთვის</w:t>
      </w:r>
      <w:r w:rsidRPr="003D733D">
        <w:t xml:space="preserve"> </w:t>
      </w:r>
      <w:r w:rsidRPr="000B61F5">
        <w:rPr>
          <w:rFonts w:cs="Sylfaen"/>
        </w:rPr>
        <w:t>გათვალისწინებული</w:t>
      </w:r>
      <w:r w:rsidRPr="003D733D">
        <w:t xml:space="preserve"> </w:t>
      </w:r>
      <w:r w:rsidRPr="000B61F5">
        <w:rPr>
          <w:rFonts w:cs="Sylfaen"/>
        </w:rPr>
        <w:t>ღონისძიებების</w:t>
      </w:r>
      <w:r w:rsidRPr="003D733D">
        <w:t xml:space="preserve"> </w:t>
      </w:r>
      <w:r w:rsidRPr="000B61F5">
        <w:rPr>
          <w:rFonts w:cs="Sylfaen"/>
        </w:rPr>
        <w:t>შესახებ</w:t>
      </w:r>
      <w:r w:rsidRPr="003D733D">
        <w:t>;</w:t>
      </w:r>
    </w:p>
    <w:p w14:paraId="19D17511" w14:textId="77777777" w:rsidR="00A2588D" w:rsidRPr="003D733D" w:rsidRDefault="00A2588D" w:rsidP="00821E4D">
      <w:pPr>
        <w:pStyle w:val="ListParagraph"/>
        <w:numPr>
          <w:ilvl w:val="0"/>
          <w:numId w:val="26"/>
        </w:numPr>
      </w:pPr>
      <w:r w:rsidRPr="000B61F5">
        <w:rPr>
          <w:rFonts w:cs="Sylfaen"/>
        </w:rPr>
        <w:t>წარმოქმნილი</w:t>
      </w:r>
      <w:r w:rsidRPr="003D733D">
        <w:t xml:space="preserve"> </w:t>
      </w:r>
      <w:r w:rsidRPr="000B61F5">
        <w:rPr>
          <w:rFonts w:cs="Sylfaen"/>
        </w:rPr>
        <w:t>ნარჩენების</w:t>
      </w:r>
      <w:r w:rsidRPr="003D733D">
        <w:t xml:space="preserve"> </w:t>
      </w:r>
      <w:r w:rsidRPr="000B61F5">
        <w:rPr>
          <w:rFonts w:cs="Sylfaen"/>
        </w:rPr>
        <w:t>სეპარირების</w:t>
      </w:r>
      <w:r w:rsidRPr="003D733D">
        <w:t xml:space="preserve"> </w:t>
      </w:r>
      <w:r w:rsidRPr="000B61F5">
        <w:rPr>
          <w:rFonts w:cs="Sylfaen"/>
        </w:rPr>
        <w:t>მეთოდები</w:t>
      </w:r>
      <w:r w:rsidRPr="003D733D">
        <w:t>;</w:t>
      </w:r>
    </w:p>
    <w:p w14:paraId="1384CEBE" w14:textId="77777777" w:rsidR="00A2588D" w:rsidRPr="003D733D" w:rsidRDefault="00A2588D" w:rsidP="00821E4D">
      <w:pPr>
        <w:pStyle w:val="ListParagraph"/>
        <w:numPr>
          <w:ilvl w:val="0"/>
          <w:numId w:val="26"/>
        </w:numPr>
      </w:pPr>
      <w:r w:rsidRPr="000B61F5">
        <w:rPr>
          <w:rFonts w:cs="Sylfaen"/>
        </w:rPr>
        <w:t>ნარჩენების</w:t>
      </w:r>
      <w:r w:rsidRPr="003D733D">
        <w:t xml:space="preserve"> </w:t>
      </w:r>
      <w:r w:rsidRPr="000B61F5">
        <w:rPr>
          <w:rFonts w:cs="Sylfaen"/>
        </w:rPr>
        <w:t>დროებითი</w:t>
      </w:r>
      <w:r w:rsidRPr="003D733D">
        <w:t xml:space="preserve"> </w:t>
      </w:r>
      <w:r w:rsidRPr="000B61F5">
        <w:rPr>
          <w:rFonts w:cs="Sylfaen"/>
        </w:rPr>
        <w:t>განთავსება</w:t>
      </w:r>
      <w:r w:rsidRPr="003D733D">
        <w:t>;</w:t>
      </w:r>
    </w:p>
    <w:p w14:paraId="68FC0006" w14:textId="77777777" w:rsidR="00A2588D" w:rsidRPr="003D733D" w:rsidRDefault="00A2588D" w:rsidP="00821E4D">
      <w:pPr>
        <w:pStyle w:val="ListParagraph"/>
        <w:numPr>
          <w:ilvl w:val="0"/>
          <w:numId w:val="26"/>
        </w:numPr>
      </w:pPr>
      <w:r w:rsidRPr="000B61F5">
        <w:rPr>
          <w:rFonts w:cs="Sylfaen"/>
        </w:rPr>
        <w:t>ნარჩენების</w:t>
      </w:r>
      <w:r w:rsidRPr="003D733D">
        <w:t xml:space="preserve"> </w:t>
      </w:r>
      <w:r w:rsidRPr="000B61F5">
        <w:rPr>
          <w:rFonts w:cs="Sylfaen"/>
        </w:rPr>
        <w:t>ტრანსპორტირება</w:t>
      </w:r>
      <w:r w:rsidRPr="003D733D">
        <w:t>;</w:t>
      </w:r>
    </w:p>
    <w:p w14:paraId="2699DE71" w14:textId="77777777" w:rsidR="00A2588D" w:rsidRPr="003D733D" w:rsidRDefault="00A2588D" w:rsidP="00821E4D">
      <w:pPr>
        <w:pStyle w:val="ListParagraph"/>
        <w:numPr>
          <w:ilvl w:val="0"/>
          <w:numId w:val="26"/>
        </w:numPr>
      </w:pPr>
      <w:r w:rsidRPr="000B61F5">
        <w:rPr>
          <w:rFonts w:cs="Sylfaen"/>
        </w:rPr>
        <w:t>ნარჩენების</w:t>
      </w:r>
      <w:r w:rsidRPr="003D733D">
        <w:t xml:space="preserve"> </w:t>
      </w:r>
      <w:r w:rsidRPr="000B61F5">
        <w:rPr>
          <w:rFonts w:cs="Sylfaen"/>
        </w:rPr>
        <w:t>მეორადი</w:t>
      </w:r>
      <w:r w:rsidRPr="003D733D">
        <w:t xml:space="preserve"> </w:t>
      </w:r>
      <w:r w:rsidRPr="000B61F5">
        <w:rPr>
          <w:rFonts w:cs="Sylfaen"/>
        </w:rPr>
        <w:t>გამოყენების</w:t>
      </w:r>
      <w:r w:rsidRPr="003D733D">
        <w:t xml:space="preserve"> </w:t>
      </w:r>
      <w:r w:rsidRPr="000B61F5">
        <w:rPr>
          <w:rFonts w:cs="Sylfaen"/>
        </w:rPr>
        <w:t>ან</w:t>
      </w:r>
      <w:r w:rsidRPr="003D733D">
        <w:t>/</w:t>
      </w:r>
      <w:r w:rsidRPr="000B61F5">
        <w:rPr>
          <w:rFonts w:cs="Sylfaen"/>
        </w:rPr>
        <w:t>და</w:t>
      </w:r>
      <w:r w:rsidRPr="003D733D">
        <w:t xml:space="preserve"> </w:t>
      </w:r>
      <w:r w:rsidRPr="000B61F5">
        <w:rPr>
          <w:rFonts w:cs="Sylfaen"/>
        </w:rPr>
        <w:t>ნარჩენების</w:t>
      </w:r>
      <w:r w:rsidRPr="003D733D">
        <w:t xml:space="preserve"> </w:t>
      </w:r>
      <w:r w:rsidRPr="000B61F5">
        <w:rPr>
          <w:rFonts w:cs="Sylfaen"/>
        </w:rPr>
        <w:t>დამუშავებისთვის</w:t>
      </w:r>
      <w:r w:rsidRPr="003D733D">
        <w:t xml:space="preserve"> </w:t>
      </w:r>
      <w:r w:rsidRPr="000B61F5">
        <w:rPr>
          <w:rFonts w:cs="Sylfaen"/>
        </w:rPr>
        <w:t>გამოყენებული</w:t>
      </w:r>
      <w:r w:rsidRPr="003D733D">
        <w:t xml:space="preserve"> </w:t>
      </w:r>
      <w:r w:rsidRPr="000B61F5">
        <w:rPr>
          <w:rFonts w:cs="Sylfaen"/>
        </w:rPr>
        <w:t>მეთოდოლოგია</w:t>
      </w:r>
      <w:r w:rsidRPr="003D733D">
        <w:t>;</w:t>
      </w:r>
    </w:p>
    <w:p w14:paraId="77F75CFB" w14:textId="77777777" w:rsidR="00A2588D" w:rsidRPr="003D733D" w:rsidRDefault="00A2588D" w:rsidP="00821E4D">
      <w:pPr>
        <w:pStyle w:val="ListParagraph"/>
        <w:numPr>
          <w:ilvl w:val="0"/>
          <w:numId w:val="26"/>
        </w:numPr>
      </w:pPr>
      <w:r w:rsidRPr="000B61F5">
        <w:rPr>
          <w:rFonts w:cs="Sylfaen"/>
        </w:rPr>
        <w:t>ინფორმაცია</w:t>
      </w:r>
      <w:r w:rsidRPr="003D733D">
        <w:t xml:space="preserve"> </w:t>
      </w:r>
      <w:r w:rsidRPr="000B61F5">
        <w:rPr>
          <w:rFonts w:cs="Sylfaen"/>
        </w:rPr>
        <w:t>შესაძლო</w:t>
      </w:r>
      <w:r w:rsidRPr="003D733D">
        <w:t xml:space="preserve"> </w:t>
      </w:r>
      <w:r w:rsidRPr="000B61F5">
        <w:rPr>
          <w:rFonts w:cs="Sylfaen"/>
        </w:rPr>
        <w:t>ქვეკონტრაქტორების</w:t>
      </w:r>
      <w:r w:rsidRPr="003D733D">
        <w:t xml:space="preserve"> </w:t>
      </w:r>
      <w:r w:rsidRPr="000B61F5">
        <w:rPr>
          <w:rFonts w:cs="Sylfaen"/>
        </w:rPr>
        <w:t>შესახებ</w:t>
      </w:r>
      <w:r w:rsidRPr="003D733D">
        <w:t>;</w:t>
      </w:r>
    </w:p>
    <w:p w14:paraId="67B6F168" w14:textId="77777777" w:rsidR="00A2588D" w:rsidRPr="003D733D" w:rsidRDefault="00A2588D" w:rsidP="00821E4D">
      <w:pPr>
        <w:pStyle w:val="ListParagraph"/>
        <w:numPr>
          <w:ilvl w:val="0"/>
          <w:numId w:val="26"/>
        </w:numPr>
      </w:pPr>
      <w:r w:rsidRPr="000B61F5">
        <w:rPr>
          <w:rFonts w:cs="Sylfaen"/>
        </w:rPr>
        <w:t>ნარჩენებთან</w:t>
      </w:r>
      <w:r w:rsidRPr="003D733D">
        <w:t xml:space="preserve"> </w:t>
      </w:r>
      <w:r w:rsidRPr="000B61F5">
        <w:rPr>
          <w:rFonts w:cs="Sylfaen"/>
        </w:rPr>
        <w:t>მოპყრობა</w:t>
      </w:r>
      <w:r w:rsidRPr="003D733D">
        <w:t>;</w:t>
      </w:r>
    </w:p>
    <w:p w14:paraId="70581618" w14:textId="77777777" w:rsidR="00A2588D" w:rsidRPr="003D733D" w:rsidRDefault="00A2588D" w:rsidP="00821E4D">
      <w:pPr>
        <w:pStyle w:val="ListParagraph"/>
        <w:numPr>
          <w:ilvl w:val="0"/>
          <w:numId w:val="26"/>
        </w:numPr>
      </w:pPr>
      <w:r w:rsidRPr="000B61F5">
        <w:rPr>
          <w:rFonts w:cs="Sylfaen"/>
        </w:rPr>
        <w:t>ნარჩენების</w:t>
      </w:r>
      <w:r w:rsidRPr="003D733D">
        <w:t xml:space="preserve"> </w:t>
      </w:r>
      <w:r w:rsidRPr="000B61F5">
        <w:rPr>
          <w:rFonts w:cs="Sylfaen"/>
        </w:rPr>
        <w:t>მართვის</w:t>
      </w:r>
      <w:r w:rsidRPr="003D733D">
        <w:t xml:space="preserve"> </w:t>
      </w:r>
      <w:r w:rsidRPr="000B61F5">
        <w:rPr>
          <w:rFonts w:cs="Sylfaen"/>
        </w:rPr>
        <w:t>მონიტორინგი</w:t>
      </w:r>
    </w:p>
    <w:p w14:paraId="7E548576" w14:textId="77777777" w:rsidR="00A2588D" w:rsidRPr="003D733D" w:rsidRDefault="00A2588D" w:rsidP="00A2588D">
      <w:pPr>
        <w:rPr>
          <w:lang w:val="ka-GE"/>
        </w:rPr>
      </w:pPr>
      <w:r w:rsidRPr="003D733D">
        <w:rPr>
          <w:rFonts w:ascii="Sylfaen" w:hAnsi="Sylfaen" w:cs="Sylfaen"/>
        </w:rPr>
        <w:t>საქმიანობის</w:t>
      </w:r>
      <w:r w:rsidRPr="003D733D">
        <w:t xml:space="preserve"> </w:t>
      </w:r>
      <w:r w:rsidRPr="003D733D">
        <w:rPr>
          <w:rFonts w:ascii="Sylfaen" w:hAnsi="Sylfaen" w:cs="Sylfaen"/>
        </w:rPr>
        <w:t>განმახორციელებელი</w:t>
      </w:r>
      <w:r w:rsidRPr="003D733D">
        <w:t xml:space="preserve"> </w:t>
      </w:r>
      <w:r w:rsidRPr="003D733D">
        <w:rPr>
          <w:rFonts w:ascii="Sylfaen" w:hAnsi="Sylfaen" w:cs="Sylfaen"/>
        </w:rPr>
        <w:t>კომპანიის</w:t>
      </w:r>
      <w:r w:rsidRPr="003D733D">
        <w:t xml:space="preserve"> </w:t>
      </w:r>
      <w:r w:rsidRPr="003D733D">
        <w:rPr>
          <w:rFonts w:ascii="Sylfaen" w:hAnsi="Sylfaen" w:cs="Sylfaen"/>
        </w:rPr>
        <w:t>შესახებ</w:t>
      </w:r>
      <w:r w:rsidRPr="003D733D">
        <w:t xml:space="preserve"> </w:t>
      </w:r>
      <w:r w:rsidRPr="003D733D">
        <w:rPr>
          <w:rFonts w:ascii="Sylfaen" w:hAnsi="Sylfaen" w:cs="Sylfaen"/>
        </w:rPr>
        <w:t>ინფორმაცია</w:t>
      </w:r>
      <w:r w:rsidRPr="003D733D">
        <w:t xml:space="preserve"> </w:t>
      </w:r>
      <w:r w:rsidRPr="003D733D">
        <w:rPr>
          <w:rFonts w:ascii="Sylfaen" w:hAnsi="Sylfaen" w:cs="Sylfaen"/>
        </w:rPr>
        <w:t>მოცემულია</w:t>
      </w:r>
      <w:r w:rsidRPr="003D733D">
        <w:t xml:space="preserve"> </w:t>
      </w:r>
      <w:r w:rsidRPr="003D733D">
        <w:rPr>
          <w:rFonts w:ascii="Sylfaen" w:hAnsi="Sylfaen" w:cs="Sylfaen"/>
        </w:rPr>
        <w:t>ცხრილში</w:t>
      </w:r>
      <w:r w:rsidRPr="003D733D">
        <w:t xml:space="preserve"> 1.</w:t>
      </w:r>
    </w:p>
    <w:p w14:paraId="0B90EBB1" w14:textId="77777777" w:rsidR="00A2588D" w:rsidRPr="003D733D" w:rsidRDefault="00A2588D" w:rsidP="00A2588D">
      <w:r w:rsidRPr="003D733D">
        <w:rPr>
          <w:rFonts w:ascii="Sylfaen" w:hAnsi="Sylfaen" w:cs="Sylfaen"/>
        </w:rPr>
        <w:t>ცხრილი</w:t>
      </w:r>
      <w:r w:rsidRPr="003D733D">
        <w:t xml:space="preserve"> 1: </w:t>
      </w:r>
      <w:r w:rsidRPr="003D733D">
        <w:rPr>
          <w:rFonts w:ascii="Sylfaen" w:hAnsi="Sylfaen" w:cs="Sylfaen"/>
        </w:rPr>
        <w:t>საქმიანობის</w:t>
      </w:r>
      <w:r w:rsidRPr="003D733D">
        <w:t xml:space="preserve"> </w:t>
      </w:r>
      <w:r w:rsidRPr="003D733D">
        <w:rPr>
          <w:rFonts w:ascii="Sylfaen" w:hAnsi="Sylfaen" w:cs="Sylfaen"/>
        </w:rPr>
        <w:t>განმახორციელებელი</w:t>
      </w:r>
      <w:r w:rsidRPr="003D733D">
        <w:t xml:space="preserve"> </w:t>
      </w:r>
      <w:r w:rsidRPr="003D733D">
        <w:rPr>
          <w:rFonts w:ascii="Sylfaen" w:hAnsi="Sylfaen" w:cs="Sylfaen"/>
        </w:rPr>
        <w:t>კომპანიები</w:t>
      </w:r>
    </w:p>
    <w:tbl>
      <w:tblPr>
        <w:tblW w:w="10620" w:type="dxa"/>
        <w:tblInd w:w="-365" w:type="dxa"/>
        <w:tblLook w:val="04A0" w:firstRow="1" w:lastRow="0" w:firstColumn="1" w:lastColumn="0" w:noHBand="0" w:noVBand="1"/>
      </w:tblPr>
      <w:tblGrid>
        <w:gridCol w:w="2605"/>
        <w:gridCol w:w="8015"/>
      </w:tblGrid>
      <w:tr w:rsidR="00A2588D" w:rsidRPr="000B61F5" w14:paraId="2C177EB1" w14:textId="77777777" w:rsidTr="00A2588D">
        <w:tc>
          <w:tcPr>
            <w:tcW w:w="2605" w:type="dxa"/>
            <w:tcBorders>
              <w:top w:val="single" w:sz="4" w:space="0" w:color="auto"/>
              <w:left w:val="single" w:sz="4" w:space="0" w:color="auto"/>
              <w:bottom w:val="single" w:sz="4" w:space="0" w:color="auto"/>
              <w:right w:val="single" w:sz="4" w:space="0" w:color="auto"/>
            </w:tcBorders>
            <w:hideMark/>
          </w:tcPr>
          <w:p w14:paraId="51AEA776" w14:textId="77777777" w:rsidR="00A2588D" w:rsidRPr="000B61F5" w:rsidRDefault="00A2588D" w:rsidP="00A2588D">
            <w:pPr>
              <w:rPr>
                <w:sz w:val="20"/>
                <w:lang w:val="en-US"/>
              </w:rPr>
            </w:pPr>
            <w:r w:rsidRPr="000B61F5">
              <w:rPr>
                <w:rFonts w:ascii="Sylfaen" w:hAnsi="Sylfaen" w:cs="Sylfaen"/>
                <w:sz w:val="20"/>
              </w:rPr>
              <w:t>საქმიანობის</w:t>
            </w:r>
            <w:r w:rsidRPr="000B61F5">
              <w:rPr>
                <w:sz w:val="20"/>
              </w:rPr>
              <w:t xml:space="preserve"> </w:t>
            </w:r>
            <w:r w:rsidRPr="000B61F5">
              <w:rPr>
                <w:rFonts w:ascii="Sylfaen" w:hAnsi="Sylfaen" w:cs="Sylfaen"/>
                <w:sz w:val="20"/>
              </w:rPr>
              <w:t>განმხორციელებელი</w:t>
            </w:r>
            <w:r w:rsidRPr="000B61F5">
              <w:rPr>
                <w:sz w:val="20"/>
              </w:rPr>
              <w:t xml:space="preserve"> </w:t>
            </w:r>
            <w:r w:rsidRPr="000B61F5">
              <w:rPr>
                <w:rFonts w:ascii="Sylfaen" w:hAnsi="Sylfaen" w:cs="Sylfaen"/>
                <w:sz w:val="20"/>
              </w:rPr>
              <w:t>კომპანია</w:t>
            </w:r>
          </w:p>
        </w:tc>
        <w:tc>
          <w:tcPr>
            <w:tcW w:w="8015" w:type="dxa"/>
            <w:tcBorders>
              <w:top w:val="single" w:sz="4" w:space="0" w:color="auto"/>
              <w:left w:val="single" w:sz="4" w:space="0" w:color="auto"/>
              <w:bottom w:val="single" w:sz="4" w:space="0" w:color="auto"/>
              <w:right w:val="single" w:sz="4" w:space="0" w:color="auto"/>
            </w:tcBorders>
            <w:hideMark/>
          </w:tcPr>
          <w:p w14:paraId="345B429E" w14:textId="77777777" w:rsidR="00A2588D" w:rsidRPr="000B61F5" w:rsidRDefault="00A2588D" w:rsidP="00A2588D">
            <w:pPr>
              <w:rPr>
                <w:sz w:val="20"/>
                <w:lang w:val="ka-GE"/>
              </w:rPr>
            </w:pPr>
            <w:r w:rsidRPr="000B61F5">
              <w:rPr>
                <w:rFonts w:ascii="Sylfaen" w:hAnsi="Sylfaen" w:cs="Sylfaen"/>
                <w:sz w:val="20"/>
              </w:rPr>
              <w:t>საავტომობილო</w:t>
            </w:r>
            <w:r w:rsidRPr="000B61F5">
              <w:rPr>
                <w:sz w:val="20"/>
              </w:rPr>
              <w:t xml:space="preserve"> </w:t>
            </w:r>
            <w:r w:rsidRPr="000B61F5">
              <w:rPr>
                <w:rFonts w:ascii="Sylfaen" w:hAnsi="Sylfaen" w:cs="Sylfaen"/>
                <w:sz w:val="20"/>
              </w:rPr>
              <w:t>გზების</w:t>
            </w:r>
            <w:r w:rsidRPr="000B61F5">
              <w:rPr>
                <w:sz w:val="20"/>
              </w:rPr>
              <w:t xml:space="preserve"> </w:t>
            </w:r>
            <w:r w:rsidRPr="000B61F5">
              <w:rPr>
                <w:rFonts w:ascii="Sylfaen" w:hAnsi="Sylfaen" w:cs="Sylfaen"/>
                <w:sz w:val="20"/>
              </w:rPr>
              <w:t>დეპარტამენტი</w:t>
            </w:r>
          </w:p>
        </w:tc>
      </w:tr>
      <w:tr w:rsidR="00A2588D" w:rsidRPr="000B61F5" w14:paraId="00BEC2E7" w14:textId="77777777" w:rsidTr="00A2588D">
        <w:tc>
          <w:tcPr>
            <w:tcW w:w="2605" w:type="dxa"/>
            <w:tcBorders>
              <w:top w:val="single" w:sz="4" w:space="0" w:color="auto"/>
              <w:left w:val="single" w:sz="4" w:space="0" w:color="auto"/>
              <w:bottom w:val="single" w:sz="4" w:space="0" w:color="auto"/>
              <w:right w:val="single" w:sz="4" w:space="0" w:color="auto"/>
            </w:tcBorders>
            <w:hideMark/>
          </w:tcPr>
          <w:p w14:paraId="1C64173B" w14:textId="77777777" w:rsidR="00A2588D" w:rsidRPr="000B61F5" w:rsidRDefault="00A2588D" w:rsidP="00A2588D">
            <w:pPr>
              <w:rPr>
                <w:sz w:val="20"/>
                <w:lang w:val="en-US"/>
              </w:rPr>
            </w:pPr>
            <w:r w:rsidRPr="000B61F5">
              <w:rPr>
                <w:rFonts w:ascii="Sylfaen" w:hAnsi="Sylfaen" w:cs="Sylfaen"/>
                <w:sz w:val="20"/>
              </w:rPr>
              <w:t>კომპანიის</w:t>
            </w:r>
            <w:r w:rsidRPr="000B61F5">
              <w:rPr>
                <w:sz w:val="20"/>
              </w:rPr>
              <w:t xml:space="preserve"> </w:t>
            </w:r>
            <w:r w:rsidRPr="000B61F5">
              <w:rPr>
                <w:rFonts w:ascii="Sylfaen" w:hAnsi="Sylfaen" w:cs="Sylfaen"/>
                <w:sz w:val="20"/>
              </w:rPr>
              <w:t>იურიდიული</w:t>
            </w:r>
            <w:r w:rsidRPr="000B61F5">
              <w:rPr>
                <w:sz w:val="20"/>
              </w:rPr>
              <w:t xml:space="preserve"> </w:t>
            </w:r>
            <w:r w:rsidRPr="000B61F5">
              <w:rPr>
                <w:rFonts w:ascii="Sylfaen" w:hAnsi="Sylfaen" w:cs="Sylfaen"/>
                <w:sz w:val="20"/>
              </w:rPr>
              <w:t>მისამართი</w:t>
            </w:r>
          </w:p>
        </w:tc>
        <w:tc>
          <w:tcPr>
            <w:tcW w:w="8015" w:type="dxa"/>
            <w:tcBorders>
              <w:top w:val="single" w:sz="4" w:space="0" w:color="auto"/>
              <w:left w:val="single" w:sz="4" w:space="0" w:color="auto"/>
              <w:bottom w:val="single" w:sz="4" w:space="0" w:color="auto"/>
              <w:right w:val="single" w:sz="4" w:space="0" w:color="auto"/>
            </w:tcBorders>
            <w:hideMark/>
          </w:tcPr>
          <w:p w14:paraId="46DBFE7C" w14:textId="77777777" w:rsidR="00A2588D" w:rsidRPr="000B61F5" w:rsidRDefault="00A2588D" w:rsidP="00A2588D">
            <w:pPr>
              <w:rPr>
                <w:sz w:val="20"/>
              </w:rPr>
            </w:pPr>
            <w:r w:rsidRPr="000B61F5">
              <w:rPr>
                <w:rFonts w:ascii="Sylfaen" w:hAnsi="Sylfaen" w:cs="Sylfaen"/>
                <w:sz w:val="20"/>
              </w:rPr>
              <w:t>საქართველო</w:t>
            </w:r>
            <w:r w:rsidRPr="000B61F5">
              <w:rPr>
                <w:sz w:val="20"/>
              </w:rPr>
              <w:t xml:space="preserve"> 0160, </w:t>
            </w:r>
            <w:r w:rsidRPr="000B61F5">
              <w:rPr>
                <w:rFonts w:ascii="Sylfaen" w:hAnsi="Sylfaen" w:cs="Sylfaen"/>
                <w:sz w:val="20"/>
              </w:rPr>
              <w:t>ქ</w:t>
            </w:r>
            <w:r w:rsidRPr="000B61F5">
              <w:rPr>
                <w:sz w:val="20"/>
              </w:rPr>
              <w:t xml:space="preserve">. </w:t>
            </w:r>
            <w:r w:rsidRPr="000B61F5">
              <w:rPr>
                <w:rFonts w:ascii="Sylfaen" w:hAnsi="Sylfaen" w:cs="Sylfaen"/>
                <w:sz w:val="20"/>
              </w:rPr>
              <w:t>თბილისი</w:t>
            </w:r>
            <w:r w:rsidRPr="000B61F5">
              <w:rPr>
                <w:sz w:val="20"/>
              </w:rPr>
              <w:t xml:space="preserve">, </w:t>
            </w:r>
            <w:r w:rsidRPr="000B61F5">
              <w:rPr>
                <w:rFonts w:ascii="Sylfaen" w:hAnsi="Sylfaen" w:cs="Sylfaen"/>
                <w:sz w:val="20"/>
              </w:rPr>
              <w:t>ალ</w:t>
            </w:r>
            <w:r w:rsidRPr="000B61F5">
              <w:rPr>
                <w:sz w:val="20"/>
              </w:rPr>
              <w:t xml:space="preserve"> </w:t>
            </w:r>
            <w:r w:rsidRPr="000B61F5">
              <w:rPr>
                <w:rFonts w:ascii="Sylfaen" w:hAnsi="Sylfaen" w:cs="Sylfaen"/>
                <w:sz w:val="20"/>
              </w:rPr>
              <w:t>ყაზბეგის</w:t>
            </w:r>
            <w:r w:rsidRPr="000B61F5">
              <w:rPr>
                <w:sz w:val="20"/>
              </w:rPr>
              <w:t xml:space="preserve"> №12</w:t>
            </w:r>
          </w:p>
        </w:tc>
      </w:tr>
      <w:tr w:rsidR="00A2588D" w:rsidRPr="000B61F5" w14:paraId="7B0FBD73" w14:textId="77777777" w:rsidTr="00A2588D">
        <w:tc>
          <w:tcPr>
            <w:tcW w:w="2605" w:type="dxa"/>
            <w:tcBorders>
              <w:top w:val="single" w:sz="4" w:space="0" w:color="auto"/>
              <w:left w:val="single" w:sz="4" w:space="0" w:color="auto"/>
              <w:bottom w:val="single" w:sz="4" w:space="0" w:color="auto"/>
              <w:right w:val="single" w:sz="4" w:space="0" w:color="auto"/>
            </w:tcBorders>
            <w:hideMark/>
          </w:tcPr>
          <w:p w14:paraId="3147C1F4" w14:textId="77777777" w:rsidR="00A2588D" w:rsidRPr="000B61F5" w:rsidRDefault="00A2588D" w:rsidP="00A2588D">
            <w:pPr>
              <w:rPr>
                <w:sz w:val="20"/>
              </w:rPr>
            </w:pPr>
            <w:r w:rsidRPr="000B61F5">
              <w:rPr>
                <w:rFonts w:ascii="Sylfaen" w:hAnsi="Sylfaen" w:cs="Sylfaen"/>
                <w:sz w:val="20"/>
              </w:rPr>
              <w:t>რეგისტრაციის</w:t>
            </w:r>
            <w:r w:rsidRPr="000B61F5">
              <w:rPr>
                <w:sz w:val="20"/>
              </w:rPr>
              <w:t xml:space="preserve"> </w:t>
            </w:r>
            <w:r w:rsidRPr="000B61F5">
              <w:rPr>
                <w:rFonts w:ascii="Sylfaen" w:hAnsi="Sylfaen" w:cs="Sylfaen"/>
                <w:sz w:val="20"/>
              </w:rPr>
              <w:t>თარიღი</w:t>
            </w:r>
          </w:p>
        </w:tc>
        <w:tc>
          <w:tcPr>
            <w:tcW w:w="8015" w:type="dxa"/>
            <w:tcBorders>
              <w:top w:val="single" w:sz="4" w:space="0" w:color="auto"/>
              <w:left w:val="single" w:sz="4" w:space="0" w:color="auto"/>
              <w:bottom w:val="single" w:sz="4" w:space="0" w:color="auto"/>
              <w:right w:val="single" w:sz="4" w:space="0" w:color="auto"/>
            </w:tcBorders>
          </w:tcPr>
          <w:p w14:paraId="28E883A9" w14:textId="77777777" w:rsidR="00A2588D" w:rsidRPr="000B61F5" w:rsidRDefault="00A2588D" w:rsidP="00A2588D">
            <w:pPr>
              <w:rPr>
                <w:sz w:val="20"/>
              </w:rPr>
            </w:pPr>
          </w:p>
        </w:tc>
      </w:tr>
      <w:tr w:rsidR="00A2588D" w:rsidRPr="000B61F5" w14:paraId="31C6065C" w14:textId="77777777" w:rsidTr="00A2588D">
        <w:tc>
          <w:tcPr>
            <w:tcW w:w="2605" w:type="dxa"/>
            <w:tcBorders>
              <w:top w:val="single" w:sz="4" w:space="0" w:color="auto"/>
              <w:left w:val="single" w:sz="4" w:space="0" w:color="auto"/>
              <w:bottom w:val="single" w:sz="4" w:space="0" w:color="auto"/>
              <w:right w:val="single" w:sz="4" w:space="0" w:color="auto"/>
            </w:tcBorders>
            <w:hideMark/>
          </w:tcPr>
          <w:p w14:paraId="25E3DF2D" w14:textId="77777777" w:rsidR="00A2588D" w:rsidRPr="000B61F5" w:rsidRDefault="00A2588D" w:rsidP="00A2588D">
            <w:pPr>
              <w:rPr>
                <w:sz w:val="20"/>
              </w:rPr>
            </w:pPr>
            <w:r w:rsidRPr="000B61F5">
              <w:rPr>
                <w:rFonts w:ascii="Sylfaen" w:hAnsi="Sylfaen" w:cs="Sylfaen"/>
                <w:sz w:val="20"/>
              </w:rPr>
              <w:t>საიდენტიფიკაციო</w:t>
            </w:r>
            <w:r w:rsidRPr="000B61F5">
              <w:rPr>
                <w:sz w:val="20"/>
              </w:rPr>
              <w:t xml:space="preserve"> </w:t>
            </w:r>
            <w:r w:rsidRPr="000B61F5">
              <w:rPr>
                <w:rFonts w:ascii="Sylfaen" w:hAnsi="Sylfaen" w:cs="Sylfaen"/>
                <w:sz w:val="20"/>
              </w:rPr>
              <w:t>ნომერი</w:t>
            </w:r>
          </w:p>
        </w:tc>
        <w:tc>
          <w:tcPr>
            <w:tcW w:w="8015" w:type="dxa"/>
            <w:tcBorders>
              <w:top w:val="single" w:sz="4" w:space="0" w:color="auto"/>
              <w:left w:val="single" w:sz="4" w:space="0" w:color="auto"/>
              <w:bottom w:val="single" w:sz="4" w:space="0" w:color="auto"/>
              <w:right w:val="single" w:sz="4" w:space="0" w:color="auto"/>
            </w:tcBorders>
            <w:hideMark/>
          </w:tcPr>
          <w:p w14:paraId="31F57CEB" w14:textId="77777777" w:rsidR="00A2588D" w:rsidRPr="000B61F5" w:rsidRDefault="00A2588D" w:rsidP="00A2588D">
            <w:pPr>
              <w:rPr>
                <w:sz w:val="20"/>
                <w:lang w:val="ka-GE"/>
              </w:rPr>
            </w:pPr>
            <w:r w:rsidRPr="000B61F5">
              <w:rPr>
                <w:sz w:val="20"/>
              </w:rPr>
              <w:t>211343982</w:t>
            </w:r>
          </w:p>
        </w:tc>
      </w:tr>
      <w:tr w:rsidR="00A2588D" w:rsidRPr="000B61F5" w14:paraId="43746FD0" w14:textId="77777777" w:rsidTr="00A2588D">
        <w:tc>
          <w:tcPr>
            <w:tcW w:w="2605" w:type="dxa"/>
            <w:tcBorders>
              <w:top w:val="nil"/>
              <w:left w:val="single" w:sz="4" w:space="0" w:color="auto"/>
              <w:bottom w:val="nil"/>
              <w:right w:val="single" w:sz="4" w:space="0" w:color="auto"/>
            </w:tcBorders>
            <w:hideMark/>
          </w:tcPr>
          <w:p w14:paraId="14EEB9BD" w14:textId="77777777" w:rsidR="00A2588D" w:rsidRPr="000B61F5" w:rsidRDefault="00A2588D" w:rsidP="00A2588D">
            <w:pPr>
              <w:rPr>
                <w:sz w:val="20"/>
                <w:lang w:val="en-US"/>
              </w:rPr>
            </w:pPr>
            <w:r w:rsidRPr="000B61F5">
              <w:rPr>
                <w:rFonts w:ascii="Sylfaen" w:hAnsi="Sylfaen" w:cs="Sylfaen"/>
                <w:sz w:val="20"/>
              </w:rPr>
              <w:t>ელექტრონული</w:t>
            </w:r>
            <w:r w:rsidRPr="000B61F5">
              <w:rPr>
                <w:sz w:val="20"/>
              </w:rPr>
              <w:t xml:space="preserve"> </w:t>
            </w:r>
            <w:r w:rsidRPr="000B61F5">
              <w:rPr>
                <w:rFonts w:ascii="Sylfaen" w:hAnsi="Sylfaen" w:cs="Sylfaen"/>
                <w:sz w:val="20"/>
              </w:rPr>
              <w:t>ფოსტა</w:t>
            </w:r>
          </w:p>
        </w:tc>
        <w:tc>
          <w:tcPr>
            <w:tcW w:w="8015" w:type="dxa"/>
            <w:tcBorders>
              <w:top w:val="nil"/>
              <w:left w:val="single" w:sz="4" w:space="0" w:color="auto"/>
              <w:bottom w:val="nil"/>
              <w:right w:val="single" w:sz="4" w:space="0" w:color="auto"/>
            </w:tcBorders>
            <w:hideMark/>
          </w:tcPr>
          <w:p w14:paraId="2558319F" w14:textId="77777777" w:rsidR="00A2588D" w:rsidRPr="000B61F5" w:rsidRDefault="006A7631" w:rsidP="00A2588D">
            <w:pPr>
              <w:rPr>
                <w:sz w:val="20"/>
              </w:rPr>
            </w:pPr>
            <w:hyperlink r:id="rId201" w:history="1">
              <w:r w:rsidR="00A2588D" w:rsidRPr="000B61F5">
                <w:rPr>
                  <w:sz w:val="20"/>
                </w:rPr>
                <w:t>info@georoad.ge</w:t>
              </w:r>
            </w:hyperlink>
            <w:r w:rsidR="00A2588D" w:rsidRPr="000B61F5">
              <w:rPr>
                <w:sz w:val="20"/>
              </w:rPr>
              <w:t xml:space="preserve"> </w:t>
            </w:r>
          </w:p>
        </w:tc>
      </w:tr>
      <w:tr w:rsidR="00A2588D" w:rsidRPr="000B61F5" w14:paraId="113CD36A" w14:textId="77777777" w:rsidTr="00A2588D">
        <w:tc>
          <w:tcPr>
            <w:tcW w:w="2605" w:type="dxa"/>
            <w:tcBorders>
              <w:top w:val="nil"/>
              <w:left w:val="single" w:sz="4" w:space="0" w:color="auto"/>
              <w:bottom w:val="nil"/>
              <w:right w:val="single" w:sz="4" w:space="0" w:color="auto"/>
            </w:tcBorders>
            <w:hideMark/>
          </w:tcPr>
          <w:p w14:paraId="64F24A3D" w14:textId="77777777" w:rsidR="00A2588D" w:rsidRPr="000B61F5" w:rsidRDefault="00A2588D" w:rsidP="00A2588D">
            <w:pPr>
              <w:rPr>
                <w:sz w:val="20"/>
              </w:rPr>
            </w:pPr>
            <w:r w:rsidRPr="000B61F5">
              <w:rPr>
                <w:rFonts w:ascii="Sylfaen" w:hAnsi="Sylfaen" w:cs="Sylfaen"/>
                <w:sz w:val="20"/>
              </w:rPr>
              <w:t>საკონტაქტო</w:t>
            </w:r>
            <w:r w:rsidRPr="000B61F5">
              <w:rPr>
                <w:sz w:val="20"/>
              </w:rPr>
              <w:t xml:space="preserve"> </w:t>
            </w:r>
            <w:r w:rsidRPr="000B61F5">
              <w:rPr>
                <w:rFonts w:ascii="Sylfaen" w:hAnsi="Sylfaen" w:cs="Sylfaen"/>
                <w:sz w:val="20"/>
              </w:rPr>
              <w:t>პირი</w:t>
            </w:r>
          </w:p>
        </w:tc>
        <w:tc>
          <w:tcPr>
            <w:tcW w:w="8015" w:type="dxa"/>
            <w:tcBorders>
              <w:top w:val="nil"/>
              <w:left w:val="single" w:sz="4" w:space="0" w:color="auto"/>
              <w:bottom w:val="nil"/>
              <w:right w:val="single" w:sz="4" w:space="0" w:color="auto"/>
            </w:tcBorders>
          </w:tcPr>
          <w:p w14:paraId="3E16F188" w14:textId="77777777" w:rsidR="00A2588D" w:rsidRPr="000B61F5" w:rsidRDefault="00A2588D" w:rsidP="00A2588D">
            <w:pPr>
              <w:rPr>
                <w:sz w:val="20"/>
              </w:rPr>
            </w:pPr>
          </w:p>
        </w:tc>
      </w:tr>
      <w:tr w:rsidR="00A2588D" w:rsidRPr="000B61F5" w14:paraId="14260B0C" w14:textId="77777777" w:rsidTr="00A2588D">
        <w:tc>
          <w:tcPr>
            <w:tcW w:w="2605" w:type="dxa"/>
            <w:tcBorders>
              <w:top w:val="nil"/>
              <w:left w:val="single" w:sz="4" w:space="0" w:color="auto"/>
              <w:bottom w:val="nil"/>
              <w:right w:val="single" w:sz="4" w:space="0" w:color="auto"/>
            </w:tcBorders>
            <w:hideMark/>
          </w:tcPr>
          <w:p w14:paraId="65873749" w14:textId="77777777" w:rsidR="00A2588D" w:rsidRPr="000B61F5" w:rsidRDefault="00A2588D" w:rsidP="00A2588D">
            <w:pPr>
              <w:rPr>
                <w:sz w:val="20"/>
              </w:rPr>
            </w:pPr>
            <w:r w:rsidRPr="000B61F5">
              <w:rPr>
                <w:rFonts w:ascii="Sylfaen" w:hAnsi="Sylfaen" w:cs="Sylfaen"/>
                <w:sz w:val="20"/>
              </w:rPr>
              <w:t>საკონტაქტო</w:t>
            </w:r>
            <w:r w:rsidRPr="000B61F5">
              <w:rPr>
                <w:sz w:val="20"/>
              </w:rPr>
              <w:t xml:space="preserve"> </w:t>
            </w:r>
            <w:r w:rsidRPr="000B61F5">
              <w:rPr>
                <w:rFonts w:ascii="Sylfaen" w:hAnsi="Sylfaen" w:cs="Sylfaen"/>
                <w:sz w:val="20"/>
              </w:rPr>
              <w:t>ტელეფონი</w:t>
            </w:r>
          </w:p>
        </w:tc>
        <w:tc>
          <w:tcPr>
            <w:tcW w:w="8015" w:type="dxa"/>
            <w:tcBorders>
              <w:top w:val="nil"/>
              <w:left w:val="single" w:sz="4" w:space="0" w:color="auto"/>
              <w:bottom w:val="nil"/>
              <w:right w:val="single" w:sz="4" w:space="0" w:color="auto"/>
            </w:tcBorders>
            <w:hideMark/>
          </w:tcPr>
          <w:p w14:paraId="0F60EB0D" w14:textId="77777777" w:rsidR="00A2588D" w:rsidRPr="000B61F5" w:rsidRDefault="00A2588D" w:rsidP="00A2588D">
            <w:pPr>
              <w:rPr>
                <w:sz w:val="20"/>
              </w:rPr>
            </w:pPr>
            <w:r w:rsidRPr="000B61F5">
              <w:rPr>
                <w:sz w:val="20"/>
              </w:rPr>
              <w:t>(995 32) 37-05-08</w:t>
            </w:r>
          </w:p>
        </w:tc>
      </w:tr>
      <w:tr w:rsidR="00A2588D" w:rsidRPr="000B61F5" w14:paraId="5F948646" w14:textId="77777777" w:rsidTr="00A2588D">
        <w:tc>
          <w:tcPr>
            <w:tcW w:w="2605" w:type="dxa"/>
            <w:tcBorders>
              <w:top w:val="nil"/>
              <w:left w:val="single" w:sz="4" w:space="0" w:color="auto"/>
              <w:bottom w:val="single" w:sz="4" w:space="0" w:color="auto"/>
              <w:right w:val="single" w:sz="4" w:space="0" w:color="auto"/>
            </w:tcBorders>
            <w:hideMark/>
          </w:tcPr>
          <w:p w14:paraId="12827D1D" w14:textId="77777777" w:rsidR="00A2588D" w:rsidRPr="000B61F5" w:rsidRDefault="00A2588D" w:rsidP="00A2588D">
            <w:pPr>
              <w:rPr>
                <w:sz w:val="20"/>
              </w:rPr>
            </w:pPr>
            <w:r w:rsidRPr="000B61F5">
              <w:rPr>
                <w:rFonts w:ascii="Sylfaen" w:hAnsi="Sylfaen" w:cs="Sylfaen"/>
                <w:sz w:val="20"/>
              </w:rPr>
              <w:t>საქმიანობის</w:t>
            </w:r>
            <w:r w:rsidRPr="000B61F5">
              <w:rPr>
                <w:sz w:val="20"/>
              </w:rPr>
              <w:t xml:space="preserve"> </w:t>
            </w:r>
            <w:r w:rsidRPr="000B61F5">
              <w:rPr>
                <w:rFonts w:ascii="Sylfaen" w:hAnsi="Sylfaen" w:cs="Sylfaen"/>
                <w:sz w:val="20"/>
              </w:rPr>
              <w:t>სახე</w:t>
            </w:r>
          </w:p>
        </w:tc>
        <w:tc>
          <w:tcPr>
            <w:tcW w:w="8015" w:type="dxa"/>
            <w:tcBorders>
              <w:top w:val="nil"/>
              <w:left w:val="single" w:sz="4" w:space="0" w:color="auto"/>
              <w:bottom w:val="single" w:sz="4" w:space="0" w:color="auto"/>
              <w:right w:val="single" w:sz="4" w:space="0" w:color="auto"/>
            </w:tcBorders>
            <w:hideMark/>
          </w:tcPr>
          <w:p w14:paraId="33068C64" w14:textId="77777777" w:rsidR="00A2588D" w:rsidRPr="000B61F5" w:rsidRDefault="00A2588D" w:rsidP="00A2588D">
            <w:pPr>
              <w:rPr>
                <w:sz w:val="20"/>
                <w:lang w:val="ka-GE"/>
              </w:rPr>
            </w:pPr>
            <w:r w:rsidRPr="000B61F5">
              <w:rPr>
                <w:rFonts w:ascii="Sylfaen" w:hAnsi="Sylfaen" w:cs="Sylfaen"/>
                <w:sz w:val="20"/>
              </w:rPr>
              <w:t>საქართველოში</w:t>
            </w:r>
            <w:r w:rsidRPr="000B61F5">
              <w:rPr>
                <w:sz w:val="20"/>
              </w:rPr>
              <w:t xml:space="preserve"> </w:t>
            </w:r>
            <w:r w:rsidRPr="000B61F5">
              <w:rPr>
                <w:rFonts w:ascii="Sylfaen" w:hAnsi="Sylfaen" w:cs="Sylfaen"/>
                <w:sz w:val="20"/>
              </w:rPr>
              <w:t>საავტომობილო</w:t>
            </w:r>
            <w:r w:rsidRPr="000B61F5">
              <w:rPr>
                <w:sz w:val="20"/>
              </w:rPr>
              <w:t xml:space="preserve"> </w:t>
            </w:r>
            <w:r w:rsidRPr="000B61F5">
              <w:rPr>
                <w:rFonts w:ascii="Sylfaen" w:hAnsi="Sylfaen" w:cs="Sylfaen"/>
                <w:sz w:val="20"/>
              </w:rPr>
              <w:t>გზების</w:t>
            </w:r>
            <w:r w:rsidRPr="000B61F5">
              <w:rPr>
                <w:sz w:val="20"/>
              </w:rPr>
              <w:t xml:space="preserve"> </w:t>
            </w:r>
            <w:r w:rsidRPr="000B61F5">
              <w:rPr>
                <w:rFonts w:ascii="Sylfaen" w:hAnsi="Sylfaen" w:cs="Sylfaen"/>
                <w:sz w:val="20"/>
              </w:rPr>
              <w:t>უსაფრთხოების</w:t>
            </w:r>
            <w:r w:rsidRPr="000B61F5">
              <w:rPr>
                <w:sz w:val="20"/>
              </w:rPr>
              <w:t xml:space="preserve"> </w:t>
            </w:r>
            <w:r w:rsidRPr="000B61F5">
              <w:rPr>
                <w:rFonts w:ascii="Sylfaen" w:hAnsi="Sylfaen" w:cs="Sylfaen"/>
                <w:sz w:val="20"/>
              </w:rPr>
              <w:t>ხარისხის</w:t>
            </w:r>
            <w:r w:rsidRPr="000B61F5">
              <w:rPr>
                <w:sz w:val="20"/>
              </w:rPr>
              <w:t xml:space="preserve"> </w:t>
            </w:r>
            <w:r w:rsidRPr="000B61F5">
              <w:rPr>
                <w:rFonts w:ascii="Sylfaen" w:hAnsi="Sylfaen" w:cs="Sylfaen"/>
                <w:sz w:val="20"/>
              </w:rPr>
              <w:t>ამაღლება</w:t>
            </w:r>
            <w:r w:rsidRPr="000B61F5">
              <w:rPr>
                <w:sz w:val="20"/>
              </w:rPr>
              <w:t>;</w:t>
            </w:r>
          </w:p>
          <w:p w14:paraId="1D449D6A" w14:textId="77777777" w:rsidR="00A2588D" w:rsidRPr="000B61F5" w:rsidRDefault="00A2588D" w:rsidP="00A2588D">
            <w:pPr>
              <w:rPr>
                <w:sz w:val="20"/>
              </w:rPr>
            </w:pPr>
            <w:r w:rsidRPr="000B61F5">
              <w:rPr>
                <w:rFonts w:ascii="Sylfaen" w:hAnsi="Sylfaen" w:cs="Sylfaen"/>
                <w:sz w:val="20"/>
              </w:rPr>
              <w:t>მგზავრობის</w:t>
            </w:r>
            <w:r w:rsidRPr="000B61F5">
              <w:rPr>
                <w:sz w:val="20"/>
              </w:rPr>
              <w:t xml:space="preserve"> </w:t>
            </w:r>
            <w:r w:rsidRPr="000B61F5">
              <w:rPr>
                <w:rFonts w:ascii="Sylfaen" w:hAnsi="Sylfaen" w:cs="Sylfaen"/>
                <w:sz w:val="20"/>
              </w:rPr>
              <w:t>დროის</w:t>
            </w:r>
            <w:r w:rsidRPr="000B61F5">
              <w:rPr>
                <w:sz w:val="20"/>
              </w:rPr>
              <w:t xml:space="preserve"> </w:t>
            </w:r>
            <w:r w:rsidRPr="000B61F5">
              <w:rPr>
                <w:rFonts w:ascii="Sylfaen" w:hAnsi="Sylfaen" w:cs="Sylfaen"/>
                <w:sz w:val="20"/>
              </w:rPr>
              <w:t>შემცირება</w:t>
            </w:r>
            <w:r w:rsidRPr="000B61F5">
              <w:rPr>
                <w:sz w:val="20"/>
              </w:rPr>
              <w:t xml:space="preserve"> </w:t>
            </w:r>
            <w:r w:rsidRPr="000B61F5">
              <w:rPr>
                <w:rFonts w:ascii="Sylfaen" w:hAnsi="Sylfaen" w:cs="Sylfaen"/>
                <w:sz w:val="20"/>
              </w:rPr>
              <w:t>სატრანზიტო</w:t>
            </w:r>
            <w:r w:rsidRPr="000B61F5">
              <w:rPr>
                <w:sz w:val="20"/>
              </w:rPr>
              <w:t xml:space="preserve"> </w:t>
            </w:r>
            <w:r w:rsidRPr="000B61F5">
              <w:rPr>
                <w:rFonts w:ascii="Sylfaen" w:hAnsi="Sylfaen" w:cs="Sylfaen"/>
                <w:sz w:val="20"/>
              </w:rPr>
              <w:t>ნაკადის</w:t>
            </w:r>
            <w:r w:rsidRPr="000B61F5">
              <w:rPr>
                <w:sz w:val="20"/>
              </w:rPr>
              <w:t xml:space="preserve"> </w:t>
            </w:r>
            <w:r w:rsidRPr="000B61F5">
              <w:rPr>
                <w:rFonts w:ascii="Sylfaen" w:hAnsi="Sylfaen" w:cs="Sylfaen"/>
                <w:sz w:val="20"/>
              </w:rPr>
              <w:t>გაზრდა</w:t>
            </w:r>
            <w:r w:rsidRPr="000B61F5">
              <w:rPr>
                <w:sz w:val="20"/>
              </w:rPr>
              <w:t>;</w:t>
            </w:r>
          </w:p>
          <w:p w14:paraId="6C57B11D" w14:textId="77777777" w:rsidR="00A2588D" w:rsidRPr="000B61F5" w:rsidRDefault="00A2588D" w:rsidP="00A2588D">
            <w:pPr>
              <w:rPr>
                <w:sz w:val="20"/>
              </w:rPr>
            </w:pPr>
            <w:r w:rsidRPr="000B61F5">
              <w:rPr>
                <w:rFonts w:ascii="Sylfaen" w:hAnsi="Sylfaen" w:cs="Sylfaen"/>
                <w:sz w:val="20"/>
              </w:rPr>
              <w:t>საავტომობილო</w:t>
            </w:r>
            <w:r w:rsidRPr="000B61F5">
              <w:rPr>
                <w:sz w:val="20"/>
              </w:rPr>
              <w:t xml:space="preserve"> </w:t>
            </w:r>
            <w:r w:rsidRPr="000B61F5">
              <w:rPr>
                <w:rFonts w:ascii="Sylfaen" w:hAnsi="Sylfaen" w:cs="Sylfaen"/>
                <w:sz w:val="20"/>
              </w:rPr>
              <w:t>გზების</w:t>
            </w:r>
            <w:r w:rsidRPr="000B61F5">
              <w:rPr>
                <w:sz w:val="20"/>
              </w:rPr>
              <w:t xml:space="preserve"> </w:t>
            </w:r>
            <w:r w:rsidRPr="000B61F5">
              <w:rPr>
                <w:rFonts w:ascii="Sylfaen" w:hAnsi="Sylfaen" w:cs="Sylfaen"/>
                <w:sz w:val="20"/>
              </w:rPr>
              <w:t>ინფრასტრუქტურის</w:t>
            </w:r>
            <w:r w:rsidRPr="000B61F5">
              <w:rPr>
                <w:sz w:val="20"/>
              </w:rPr>
              <w:t xml:space="preserve"> </w:t>
            </w:r>
            <w:r w:rsidRPr="000B61F5">
              <w:rPr>
                <w:rFonts w:ascii="Sylfaen" w:hAnsi="Sylfaen" w:cs="Sylfaen"/>
                <w:sz w:val="20"/>
              </w:rPr>
              <w:t>რაციონალური</w:t>
            </w:r>
            <w:r w:rsidRPr="000B61F5">
              <w:rPr>
                <w:sz w:val="20"/>
              </w:rPr>
              <w:t xml:space="preserve"> </w:t>
            </w:r>
            <w:r w:rsidRPr="000B61F5">
              <w:rPr>
                <w:rFonts w:ascii="Sylfaen" w:hAnsi="Sylfaen" w:cs="Sylfaen"/>
                <w:sz w:val="20"/>
              </w:rPr>
              <w:t>მართვა</w:t>
            </w:r>
            <w:r w:rsidRPr="000B61F5">
              <w:rPr>
                <w:sz w:val="20"/>
              </w:rPr>
              <w:t>/</w:t>
            </w:r>
            <w:r w:rsidRPr="000B61F5">
              <w:rPr>
                <w:rFonts w:ascii="Sylfaen" w:hAnsi="Sylfaen" w:cs="Sylfaen"/>
                <w:sz w:val="20"/>
              </w:rPr>
              <w:t>გაუმჯობესება</w:t>
            </w:r>
            <w:r w:rsidRPr="000B61F5">
              <w:rPr>
                <w:sz w:val="20"/>
              </w:rPr>
              <w:t>;</w:t>
            </w:r>
          </w:p>
          <w:p w14:paraId="7B329BEB" w14:textId="77777777" w:rsidR="00A2588D" w:rsidRPr="000B61F5" w:rsidRDefault="00A2588D" w:rsidP="00A2588D">
            <w:pPr>
              <w:rPr>
                <w:sz w:val="20"/>
              </w:rPr>
            </w:pPr>
            <w:r w:rsidRPr="000B61F5">
              <w:rPr>
                <w:rFonts w:ascii="Sylfaen" w:hAnsi="Sylfaen" w:cs="Sylfaen"/>
                <w:sz w:val="20"/>
              </w:rPr>
              <w:t>საავტომობილო</w:t>
            </w:r>
            <w:r w:rsidRPr="000B61F5">
              <w:rPr>
                <w:sz w:val="20"/>
              </w:rPr>
              <w:t xml:space="preserve"> </w:t>
            </w:r>
            <w:r w:rsidRPr="000B61F5">
              <w:rPr>
                <w:rFonts w:ascii="Sylfaen" w:hAnsi="Sylfaen" w:cs="Sylfaen"/>
                <w:sz w:val="20"/>
              </w:rPr>
              <w:t>გზების</w:t>
            </w:r>
            <w:r w:rsidRPr="000B61F5">
              <w:rPr>
                <w:sz w:val="20"/>
              </w:rPr>
              <w:t xml:space="preserve"> </w:t>
            </w:r>
            <w:r w:rsidRPr="000B61F5">
              <w:rPr>
                <w:rFonts w:ascii="Sylfaen" w:hAnsi="Sylfaen" w:cs="Sylfaen"/>
                <w:sz w:val="20"/>
              </w:rPr>
              <w:t>ინფრასტრუქტურის</w:t>
            </w:r>
            <w:r w:rsidRPr="000B61F5">
              <w:rPr>
                <w:sz w:val="20"/>
              </w:rPr>
              <w:t xml:space="preserve"> </w:t>
            </w:r>
            <w:r w:rsidRPr="000B61F5">
              <w:rPr>
                <w:rFonts w:ascii="Sylfaen" w:hAnsi="Sylfaen" w:cs="Sylfaen"/>
                <w:sz w:val="20"/>
              </w:rPr>
              <w:t>ადმინისტრირების</w:t>
            </w:r>
            <w:r w:rsidRPr="000B61F5">
              <w:rPr>
                <w:sz w:val="20"/>
              </w:rPr>
              <w:t xml:space="preserve"> </w:t>
            </w:r>
            <w:r w:rsidRPr="000B61F5">
              <w:rPr>
                <w:rFonts w:ascii="Sylfaen" w:hAnsi="Sylfaen" w:cs="Sylfaen"/>
                <w:sz w:val="20"/>
              </w:rPr>
              <w:t>გაუმჯობესება</w:t>
            </w:r>
            <w:r w:rsidRPr="000B61F5">
              <w:rPr>
                <w:sz w:val="20"/>
              </w:rPr>
              <w:t>.</w:t>
            </w:r>
          </w:p>
        </w:tc>
      </w:tr>
    </w:tbl>
    <w:p w14:paraId="5FF007AA" w14:textId="77777777" w:rsidR="00A2588D" w:rsidRPr="003D733D" w:rsidRDefault="00A2588D" w:rsidP="00A2588D">
      <w:pPr>
        <w:rPr>
          <w:lang w:val="en-US"/>
        </w:rPr>
      </w:pPr>
    </w:p>
    <w:p w14:paraId="1662F59A" w14:textId="77777777" w:rsidR="00A2588D" w:rsidRPr="000B61F5" w:rsidRDefault="00A2588D" w:rsidP="00A2588D">
      <w:pPr>
        <w:rPr>
          <w:b/>
          <w:lang w:val="ka-GE"/>
        </w:rPr>
      </w:pPr>
      <w:r w:rsidRPr="000B61F5">
        <w:rPr>
          <w:b/>
        </w:rPr>
        <w:t xml:space="preserve">2. </w:t>
      </w:r>
      <w:r w:rsidRPr="000B61F5">
        <w:rPr>
          <w:rFonts w:ascii="Sylfaen" w:hAnsi="Sylfaen" w:cs="Sylfaen"/>
          <w:b/>
        </w:rPr>
        <w:t>მიზნები</w:t>
      </w:r>
      <w:r w:rsidRPr="000B61F5">
        <w:rPr>
          <w:b/>
        </w:rPr>
        <w:t xml:space="preserve">, </w:t>
      </w:r>
      <w:r w:rsidRPr="000B61F5">
        <w:rPr>
          <w:rFonts w:ascii="Sylfaen" w:hAnsi="Sylfaen" w:cs="Sylfaen"/>
          <w:b/>
        </w:rPr>
        <w:t>ამოცანები</w:t>
      </w:r>
      <w:r w:rsidRPr="000B61F5">
        <w:rPr>
          <w:b/>
        </w:rPr>
        <w:t xml:space="preserve"> </w:t>
      </w:r>
      <w:r w:rsidRPr="000B61F5">
        <w:rPr>
          <w:rFonts w:ascii="Sylfaen" w:hAnsi="Sylfaen" w:cs="Sylfaen"/>
          <w:b/>
        </w:rPr>
        <w:t>და</w:t>
      </w:r>
      <w:r w:rsidRPr="000B61F5">
        <w:rPr>
          <w:b/>
        </w:rPr>
        <w:t xml:space="preserve"> </w:t>
      </w:r>
      <w:r w:rsidRPr="000B61F5">
        <w:rPr>
          <w:rFonts w:ascii="Sylfaen" w:hAnsi="Sylfaen" w:cs="Sylfaen"/>
          <w:b/>
        </w:rPr>
        <w:t>განხორციელების</w:t>
      </w:r>
      <w:r w:rsidRPr="000B61F5">
        <w:rPr>
          <w:b/>
        </w:rPr>
        <w:t xml:space="preserve"> </w:t>
      </w:r>
      <w:r w:rsidRPr="000B61F5">
        <w:rPr>
          <w:rFonts w:ascii="Sylfaen" w:hAnsi="Sylfaen" w:cs="Sylfaen"/>
          <w:b/>
        </w:rPr>
        <w:t>გზები</w:t>
      </w:r>
    </w:p>
    <w:p w14:paraId="6D74DD8C" w14:textId="77777777" w:rsidR="00A2588D" w:rsidRPr="003D733D" w:rsidRDefault="00A2588D" w:rsidP="00A2588D">
      <w:pPr>
        <w:spacing w:before="120" w:after="120"/>
      </w:pPr>
      <w:r w:rsidRPr="003D733D">
        <w:rPr>
          <w:rFonts w:ascii="Sylfaen" w:hAnsi="Sylfaen" w:cs="Sylfaen"/>
        </w:rPr>
        <w:lastRenderedPageBreak/>
        <w:t>წარმოდგენილი</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მართვის</w:t>
      </w:r>
      <w:r w:rsidRPr="003D733D">
        <w:t xml:space="preserve"> </w:t>
      </w:r>
      <w:r w:rsidRPr="003D733D">
        <w:rPr>
          <w:rFonts w:ascii="Sylfaen" w:hAnsi="Sylfaen" w:cs="Sylfaen"/>
        </w:rPr>
        <w:t>გეგმის</w:t>
      </w:r>
      <w:r w:rsidRPr="003D733D">
        <w:t xml:space="preserve"> </w:t>
      </w:r>
      <w:r w:rsidRPr="003D733D">
        <w:rPr>
          <w:rFonts w:ascii="Sylfaen" w:hAnsi="Sylfaen" w:cs="Sylfaen"/>
        </w:rPr>
        <w:t>ამოცანაა</w:t>
      </w:r>
      <w:r w:rsidRPr="003D733D">
        <w:t xml:space="preserve"> </w:t>
      </w:r>
      <w:r w:rsidRPr="003D733D">
        <w:rPr>
          <w:rFonts w:ascii="Sylfaen" w:hAnsi="Sylfaen" w:cs="Sylfaen"/>
        </w:rPr>
        <w:t>გარემოს</w:t>
      </w:r>
      <w:r w:rsidRPr="003D733D">
        <w:t xml:space="preserve"> </w:t>
      </w:r>
      <w:r w:rsidRPr="003D733D">
        <w:rPr>
          <w:rFonts w:ascii="Sylfaen" w:hAnsi="Sylfaen" w:cs="Sylfaen"/>
        </w:rPr>
        <w:t>და</w:t>
      </w:r>
      <w:r w:rsidRPr="003D733D">
        <w:t xml:space="preserve"> </w:t>
      </w:r>
      <w:r w:rsidRPr="003D733D">
        <w:rPr>
          <w:rFonts w:ascii="Sylfaen" w:hAnsi="Sylfaen" w:cs="Sylfaen"/>
        </w:rPr>
        <w:t>ადამიანის</w:t>
      </w:r>
      <w:r w:rsidRPr="003D733D">
        <w:t xml:space="preserve"> </w:t>
      </w:r>
      <w:r w:rsidRPr="003D733D">
        <w:rPr>
          <w:rFonts w:ascii="Sylfaen" w:hAnsi="Sylfaen" w:cs="Sylfaen"/>
        </w:rPr>
        <w:t>ჯანმრთელობის</w:t>
      </w:r>
      <w:r w:rsidRPr="003D733D">
        <w:t xml:space="preserve"> </w:t>
      </w:r>
      <w:r w:rsidRPr="003D733D">
        <w:rPr>
          <w:rFonts w:ascii="Sylfaen" w:hAnsi="Sylfaen" w:cs="Sylfaen"/>
        </w:rPr>
        <w:t>დაცვა</w:t>
      </w:r>
      <w:r w:rsidRPr="003D733D">
        <w:t xml:space="preserve">, </w:t>
      </w:r>
      <w:r w:rsidRPr="003D733D">
        <w:rPr>
          <w:rFonts w:ascii="Sylfaen" w:hAnsi="Sylfaen" w:cs="Sylfaen"/>
        </w:rPr>
        <w:t>რომელიც</w:t>
      </w:r>
      <w:r w:rsidRPr="003D733D">
        <w:t xml:space="preserve"> </w:t>
      </w:r>
      <w:r w:rsidRPr="003D733D">
        <w:rPr>
          <w:rFonts w:ascii="Sylfaen" w:hAnsi="Sylfaen" w:cs="Sylfaen"/>
        </w:rPr>
        <w:t>მიიღწევა</w:t>
      </w:r>
      <w:r w:rsidRPr="003D733D">
        <w:t>:</w:t>
      </w:r>
    </w:p>
    <w:p w14:paraId="37644470" w14:textId="77777777" w:rsidR="00A2588D" w:rsidRPr="003D733D" w:rsidRDefault="00A2588D" w:rsidP="00A2588D">
      <w:pPr>
        <w:spacing w:before="120" w:after="120"/>
        <w:rPr>
          <w:lang w:val="en-US"/>
        </w:rPr>
      </w:pP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წარმოქმნის</w:t>
      </w:r>
      <w:r w:rsidRPr="003D733D">
        <w:t xml:space="preserve"> </w:t>
      </w:r>
      <w:r w:rsidRPr="003D733D">
        <w:rPr>
          <w:rFonts w:ascii="Sylfaen" w:hAnsi="Sylfaen" w:cs="Sylfaen"/>
        </w:rPr>
        <w:t>და</w:t>
      </w:r>
      <w:r w:rsidRPr="003D733D">
        <w:t xml:space="preserve"> </w:t>
      </w:r>
      <w:r w:rsidRPr="003D733D">
        <w:rPr>
          <w:rFonts w:ascii="Sylfaen" w:hAnsi="Sylfaen" w:cs="Sylfaen"/>
        </w:rPr>
        <w:t>მათი</w:t>
      </w:r>
      <w:r w:rsidRPr="003D733D">
        <w:t xml:space="preserve"> </w:t>
      </w:r>
      <w:r w:rsidRPr="003D733D">
        <w:rPr>
          <w:rFonts w:ascii="Sylfaen" w:hAnsi="Sylfaen" w:cs="Sylfaen"/>
        </w:rPr>
        <w:t>უარყოფითი</w:t>
      </w:r>
      <w:r w:rsidRPr="003D733D">
        <w:t xml:space="preserve"> </w:t>
      </w:r>
      <w:r w:rsidRPr="003D733D">
        <w:rPr>
          <w:rFonts w:ascii="Sylfaen" w:hAnsi="Sylfaen" w:cs="Sylfaen"/>
        </w:rPr>
        <w:t>გავლენის</w:t>
      </w:r>
      <w:r w:rsidRPr="003D733D">
        <w:t xml:space="preserve"> </w:t>
      </w:r>
      <w:r w:rsidRPr="003D733D">
        <w:rPr>
          <w:rFonts w:ascii="Sylfaen" w:hAnsi="Sylfaen" w:cs="Sylfaen"/>
        </w:rPr>
        <w:t>პრევენციით</w:t>
      </w:r>
      <w:r w:rsidRPr="003D733D">
        <w:t xml:space="preserve"> </w:t>
      </w:r>
      <w:r w:rsidRPr="003D733D">
        <w:rPr>
          <w:rFonts w:ascii="Sylfaen" w:hAnsi="Sylfaen" w:cs="Sylfaen"/>
        </w:rPr>
        <w:t>ან</w:t>
      </w:r>
      <w:r w:rsidRPr="003D733D">
        <w:t xml:space="preserve"> </w:t>
      </w:r>
      <w:r w:rsidRPr="003D733D">
        <w:rPr>
          <w:rFonts w:ascii="Sylfaen" w:hAnsi="Sylfaen" w:cs="Sylfaen"/>
        </w:rPr>
        <w:t>შემცირებით</w:t>
      </w:r>
      <w:r w:rsidRPr="003D733D">
        <w:t>;</w:t>
      </w:r>
    </w:p>
    <w:p w14:paraId="1CA24AD7" w14:textId="77777777" w:rsidR="00A2588D" w:rsidRPr="003D733D" w:rsidRDefault="00A2588D" w:rsidP="00A2588D">
      <w:pPr>
        <w:spacing w:before="120" w:after="120"/>
      </w:pPr>
      <w:r w:rsidRPr="003D733D">
        <w:rPr>
          <w:rFonts w:ascii="Sylfaen" w:hAnsi="Sylfaen" w:cs="Sylfaen"/>
        </w:rPr>
        <w:t>ნარჩენების</w:t>
      </w:r>
      <w:r w:rsidRPr="003D733D">
        <w:t xml:space="preserve"> </w:t>
      </w:r>
      <w:r w:rsidRPr="003D733D">
        <w:rPr>
          <w:rFonts w:ascii="Sylfaen" w:hAnsi="Sylfaen" w:cs="Sylfaen"/>
        </w:rPr>
        <w:t>მართვის</w:t>
      </w:r>
      <w:r w:rsidRPr="003D733D">
        <w:t xml:space="preserve"> </w:t>
      </w:r>
      <w:r w:rsidRPr="003D733D">
        <w:rPr>
          <w:rFonts w:ascii="Sylfaen" w:hAnsi="Sylfaen" w:cs="Sylfaen"/>
        </w:rPr>
        <w:t>ეფექტიანი</w:t>
      </w:r>
      <w:r w:rsidRPr="003D733D">
        <w:t xml:space="preserve"> </w:t>
      </w:r>
      <w:r w:rsidRPr="003D733D">
        <w:rPr>
          <w:rFonts w:ascii="Sylfaen" w:hAnsi="Sylfaen" w:cs="Sylfaen"/>
        </w:rPr>
        <w:t>მექანიზმების</w:t>
      </w:r>
      <w:r w:rsidRPr="003D733D">
        <w:t xml:space="preserve"> </w:t>
      </w:r>
      <w:r w:rsidRPr="003D733D">
        <w:rPr>
          <w:rFonts w:ascii="Sylfaen" w:hAnsi="Sylfaen" w:cs="Sylfaen"/>
        </w:rPr>
        <w:t>შექმნით</w:t>
      </w:r>
      <w:r w:rsidRPr="003D733D">
        <w:t>;</w:t>
      </w:r>
    </w:p>
    <w:p w14:paraId="191DDEE4" w14:textId="77777777" w:rsidR="00A2588D" w:rsidRPr="003D733D" w:rsidRDefault="00A2588D" w:rsidP="00A2588D">
      <w:pPr>
        <w:spacing w:before="120" w:after="120"/>
      </w:pPr>
      <w:r w:rsidRPr="003D733D">
        <w:rPr>
          <w:rFonts w:ascii="Sylfaen" w:hAnsi="Sylfaen" w:cs="Sylfaen"/>
        </w:rPr>
        <w:t>რესურსების</w:t>
      </w:r>
      <w:r w:rsidRPr="003D733D">
        <w:t xml:space="preserve"> </w:t>
      </w:r>
      <w:r w:rsidRPr="003D733D">
        <w:rPr>
          <w:rFonts w:ascii="Sylfaen" w:hAnsi="Sylfaen" w:cs="Sylfaen"/>
        </w:rPr>
        <w:t>მოხმარებით</w:t>
      </w:r>
      <w:r w:rsidRPr="003D733D">
        <w:t xml:space="preserve"> </w:t>
      </w:r>
      <w:r w:rsidRPr="003D733D">
        <w:rPr>
          <w:rFonts w:ascii="Sylfaen" w:hAnsi="Sylfaen" w:cs="Sylfaen"/>
        </w:rPr>
        <w:t>გამოწვეული</w:t>
      </w:r>
      <w:r w:rsidRPr="003D733D">
        <w:t xml:space="preserve"> </w:t>
      </w:r>
      <w:r w:rsidRPr="003D733D">
        <w:rPr>
          <w:rFonts w:ascii="Sylfaen" w:hAnsi="Sylfaen" w:cs="Sylfaen"/>
        </w:rPr>
        <w:t>ზიანის</w:t>
      </w:r>
      <w:r w:rsidRPr="003D733D">
        <w:t xml:space="preserve"> </w:t>
      </w:r>
      <w:r w:rsidRPr="003D733D">
        <w:rPr>
          <w:rFonts w:ascii="Sylfaen" w:hAnsi="Sylfaen" w:cs="Sylfaen"/>
        </w:rPr>
        <w:t>შემცირებით</w:t>
      </w:r>
      <w:r w:rsidRPr="003D733D">
        <w:t xml:space="preserve"> </w:t>
      </w:r>
      <w:r w:rsidRPr="003D733D">
        <w:rPr>
          <w:rFonts w:ascii="Sylfaen" w:hAnsi="Sylfaen" w:cs="Sylfaen"/>
        </w:rPr>
        <w:t>და</w:t>
      </w:r>
      <w:r w:rsidRPr="003D733D">
        <w:t xml:space="preserve"> </w:t>
      </w:r>
      <w:r w:rsidRPr="003D733D">
        <w:rPr>
          <w:rFonts w:ascii="Sylfaen" w:hAnsi="Sylfaen" w:cs="Sylfaen"/>
        </w:rPr>
        <w:t>რესურსების</w:t>
      </w:r>
      <w:r w:rsidRPr="003D733D">
        <w:t xml:space="preserve"> </w:t>
      </w:r>
      <w:r w:rsidRPr="003D733D">
        <w:rPr>
          <w:rFonts w:ascii="Sylfaen" w:hAnsi="Sylfaen" w:cs="Sylfaen"/>
        </w:rPr>
        <w:t>უფრო</w:t>
      </w:r>
      <w:r w:rsidRPr="003D733D">
        <w:t xml:space="preserve"> </w:t>
      </w:r>
      <w:r w:rsidRPr="003D733D">
        <w:rPr>
          <w:rFonts w:ascii="Sylfaen" w:hAnsi="Sylfaen" w:cs="Sylfaen"/>
        </w:rPr>
        <w:t>ეფექტიანი</w:t>
      </w:r>
      <w:r w:rsidRPr="003D733D">
        <w:t xml:space="preserve"> </w:t>
      </w:r>
      <w:r w:rsidRPr="003D733D">
        <w:rPr>
          <w:rFonts w:ascii="Sylfaen" w:hAnsi="Sylfaen" w:cs="Sylfaen"/>
        </w:rPr>
        <w:t>გამოყენებით</w:t>
      </w:r>
      <w:r w:rsidRPr="003D733D">
        <w:t>.</w:t>
      </w:r>
    </w:p>
    <w:p w14:paraId="29FCA0EE" w14:textId="77777777" w:rsidR="00A2588D" w:rsidRPr="003D733D" w:rsidRDefault="00A2588D" w:rsidP="00A2588D">
      <w:pPr>
        <w:spacing w:before="120" w:after="120"/>
        <w:rPr>
          <w:lang w:val="ka-GE"/>
        </w:rPr>
      </w:pPr>
      <w:r w:rsidRPr="003D733D">
        <w:rPr>
          <w:rFonts w:ascii="Sylfaen" w:hAnsi="Sylfaen" w:cs="Sylfaen"/>
        </w:rPr>
        <w:t>აღნიშნული</w:t>
      </w:r>
      <w:r w:rsidRPr="003D733D">
        <w:t xml:space="preserve"> </w:t>
      </w:r>
      <w:r w:rsidRPr="003D733D">
        <w:rPr>
          <w:rFonts w:ascii="Sylfaen" w:hAnsi="Sylfaen" w:cs="Sylfaen"/>
        </w:rPr>
        <w:t>ამოცანები</w:t>
      </w:r>
      <w:r w:rsidRPr="003D733D">
        <w:t xml:space="preserve"> </w:t>
      </w:r>
      <w:r w:rsidRPr="003D733D">
        <w:rPr>
          <w:rFonts w:ascii="Sylfaen" w:hAnsi="Sylfaen" w:cs="Sylfaen"/>
        </w:rPr>
        <w:t>მიიღწევა</w:t>
      </w:r>
      <w:r w:rsidRPr="003D733D">
        <w:t xml:space="preserve"> </w:t>
      </w:r>
      <w:r w:rsidRPr="003D733D">
        <w:rPr>
          <w:rFonts w:ascii="Sylfaen" w:hAnsi="Sylfaen" w:cs="Sylfaen"/>
        </w:rPr>
        <w:t>მშენებელი</w:t>
      </w:r>
      <w:r w:rsidRPr="003D733D">
        <w:t xml:space="preserve"> </w:t>
      </w:r>
      <w:r w:rsidRPr="003D733D">
        <w:rPr>
          <w:rFonts w:ascii="Sylfaen" w:hAnsi="Sylfaen" w:cs="Sylfaen"/>
        </w:rPr>
        <w:t>კონტრაქტორის</w:t>
      </w:r>
      <w:r w:rsidRPr="003D733D">
        <w:t xml:space="preserve"> </w:t>
      </w:r>
      <w:r w:rsidRPr="003D733D">
        <w:rPr>
          <w:rFonts w:ascii="Sylfaen" w:hAnsi="Sylfaen" w:cs="Sylfaen"/>
        </w:rPr>
        <w:t>და</w:t>
      </w:r>
      <w:r w:rsidRPr="003D733D">
        <w:t xml:space="preserve"> </w:t>
      </w:r>
      <w:r w:rsidRPr="003D733D">
        <w:rPr>
          <w:rFonts w:ascii="Sylfaen" w:hAnsi="Sylfaen" w:cs="Sylfaen"/>
        </w:rPr>
        <w:t>პროექტის</w:t>
      </w:r>
      <w:r w:rsidRPr="003D733D">
        <w:t xml:space="preserve"> </w:t>
      </w:r>
      <w:r w:rsidRPr="003D733D">
        <w:rPr>
          <w:rFonts w:ascii="Sylfaen" w:hAnsi="Sylfaen" w:cs="Sylfaen"/>
        </w:rPr>
        <w:t>მფლობელის</w:t>
      </w:r>
      <w:r w:rsidRPr="003D733D">
        <w:t xml:space="preserve"> </w:t>
      </w:r>
      <w:r w:rsidRPr="003D733D">
        <w:rPr>
          <w:rFonts w:ascii="Sylfaen" w:hAnsi="Sylfaen" w:cs="Sylfaen"/>
        </w:rPr>
        <w:t>ხელთ</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რესურსების</w:t>
      </w:r>
      <w:r w:rsidRPr="003D733D">
        <w:t xml:space="preserve"> (</w:t>
      </w:r>
      <w:r w:rsidRPr="003D733D">
        <w:rPr>
          <w:rFonts w:ascii="Sylfaen" w:hAnsi="Sylfaen" w:cs="Sylfaen"/>
        </w:rPr>
        <w:t>ინფრასტრუქტურული</w:t>
      </w:r>
      <w:r w:rsidRPr="003D733D">
        <w:t xml:space="preserve">, </w:t>
      </w:r>
      <w:r w:rsidRPr="003D733D">
        <w:rPr>
          <w:rFonts w:ascii="Sylfaen" w:hAnsi="Sylfaen" w:cs="Sylfaen"/>
        </w:rPr>
        <w:t>ადამიანური</w:t>
      </w:r>
      <w:r w:rsidRPr="003D733D">
        <w:t xml:space="preserve">) </w:t>
      </w:r>
      <w:r w:rsidRPr="003D733D">
        <w:rPr>
          <w:rFonts w:ascii="Sylfaen" w:hAnsi="Sylfaen" w:cs="Sylfaen"/>
        </w:rPr>
        <w:t>სრული</w:t>
      </w:r>
      <w:r w:rsidRPr="003D733D">
        <w:t xml:space="preserve"> </w:t>
      </w:r>
      <w:r w:rsidRPr="003D733D">
        <w:rPr>
          <w:rFonts w:ascii="Sylfaen" w:hAnsi="Sylfaen" w:cs="Sylfaen"/>
        </w:rPr>
        <w:t>მობილიზაციით</w:t>
      </w:r>
      <w:r w:rsidRPr="003D733D">
        <w:t xml:space="preserve">, </w:t>
      </w:r>
      <w:r w:rsidRPr="003D733D">
        <w:rPr>
          <w:rFonts w:ascii="Sylfaen" w:hAnsi="Sylfaen" w:cs="Sylfaen"/>
        </w:rPr>
        <w:t>რომელთაც</w:t>
      </w:r>
      <w:r w:rsidRPr="003D733D">
        <w:t xml:space="preserve"> </w:t>
      </w:r>
      <w:r w:rsidRPr="003D733D">
        <w:rPr>
          <w:rFonts w:ascii="Sylfaen" w:hAnsi="Sylfaen" w:cs="Sylfaen"/>
        </w:rPr>
        <w:t>უნარი</w:t>
      </w:r>
      <w:r w:rsidRPr="003D733D">
        <w:t xml:space="preserve"> </w:t>
      </w:r>
      <w:r w:rsidRPr="003D733D">
        <w:rPr>
          <w:rFonts w:ascii="Sylfaen" w:hAnsi="Sylfaen" w:cs="Sylfaen"/>
        </w:rPr>
        <w:t>შესწევს</w:t>
      </w:r>
      <w:r w:rsidRPr="003D733D">
        <w:t xml:space="preserve"> </w:t>
      </w:r>
      <w:r w:rsidRPr="003D733D">
        <w:rPr>
          <w:rFonts w:ascii="Sylfaen" w:hAnsi="Sylfaen" w:cs="Sylfaen"/>
        </w:rPr>
        <w:t>შეასრულოს</w:t>
      </w:r>
      <w:r w:rsidRPr="003D733D">
        <w:t xml:space="preserve"> </w:t>
      </w:r>
      <w:r w:rsidRPr="003D733D">
        <w:rPr>
          <w:rFonts w:ascii="Sylfaen" w:hAnsi="Sylfaen" w:cs="Sylfaen"/>
        </w:rPr>
        <w:t>შემდეგი</w:t>
      </w:r>
      <w:r w:rsidRPr="003D733D">
        <w:t xml:space="preserve"> </w:t>
      </w:r>
      <w:r w:rsidRPr="003D733D">
        <w:rPr>
          <w:rFonts w:ascii="Sylfaen" w:hAnsi="Sylfaen" w:cs="Sylfaen"/>
        </w:rPr>
        <w:t>დავალებები</w:t>
      </w:r>
      <w:r w:rsidRPr="003D733D">
        <w:t>:</w:t>
      </w:r>
    </w:p>
    <w:p w14:paraId="5BB6849B" w14:textId="77777777" w:rsidR="00A2588D" w:rsidRPr="003D733D" w:rsidRDefault="00A2588D" w:rsidP="00A2588D">
      <w:pPr>
        <w:spacing w:before="120" w:after="120"/>
      </w:pPr>
      <w:r w:rsidRPr="003D733D">
        <w:rPr>
          <w:rFonts w:ascii="Sylfaen" w:hAnsi="Sylfaen" w:cs="Sylfaen"/>
        </w:rPr>
        <w:t>ნარჩენების</w:t>
      </w:r>
      <w:r w:rsidRPr="003D733D">
        <w:t xml:space="preserve"> </w:t>
      </w:r>
      <w:r w:rsidRPr="003D733D">
        <w:rPr>
          <w:rFonts w:ascii="Sylfaen" w:hAnsi="Sylfaen" w:cs="Sylfaen"/>
        </w:rPr>
        <w:t>მართვის</w:t>
      </w:r>
      <w:r w:rsidRPr="003D733D">
        <w:t xml:space="preserve"> </w:t>
      </w:r>
      <w:r w:rsidRPr="003D733D">
        <w:rPr>
          <w:rFonts w:ascii="Sylfaen" w:hAnsi="Sylfaen" w:cs="Sylfaen"/>
        </w:rPr>
        <w:t>სფეროში</w:t>
      </w:r>
      <w:r w:rsidRPr="003D733D">
        <w:t xml:space="preserve"> </w:t>
      </w:r>
      <w:r w:rsidRPr="003D733D">
        <w:rPr>
          <w:rFonts w:ascii="Sylfaen" w:hAnsi="Sylfaen" w:cs="Sylfaen"/>
        </w:rPr>
        <w:t>ყველა</w:t>
      </w:r>
      <w:r w:rsidRPr="003D733D">
        <w:t xml:space="preserve"> </w:t>
      </w:r>
      <w:r w:rsidRPr="003D733D">
        <w:rPr>
          <w:rFonts w:ascii="Sylfaen" w:hAnsi="Sylfaen" w:cs="Sylfaen"/>
        </w:rPr>
        <w:t>ქმედება</w:t>
      </w:r>
      <w:r w:rsidRPr="003D733D">
        <w:t xml:space="preserve"> </w:t>
      </w:r>
      <w:r w:rsidRPr="003D733D">
        <w:rPr>
          <w:rFonts w:ascii="Sylfaen" w:hAnsi="Sylfaen" w:cs="Sylfaen"/>
        </w:rPr>
        <w:t>განახორციელოს</w:t>
      </w:r>
      <w:r w:rsidRPr="003D733D">
        <w:t xml:space="preserve"> </w:t>
      </w:r>
      <w:r w:rsidRPr="003D733D">
        <w:rPr>
          <w:rFonts w:ascii="Sylfaen" w:hAnsi="Sylfaen" w:cs="Sylfaen"/>
        </w:rPr>
        <w:t>საქართველოს</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მართვის</w:t>
      </w:r>
      <w:r w:rsidRPr="003D733D">
        <w:t xml:space="preserve"> </w:t>
      </w:r>
      <w:r w:rsidRPr="003D733D">
        <w:rPr>
          <w:rFonts w:ascii="Sylfaen" w:hAnsi="Sylfaen" w:cs="Sylfaen"/>
        </w:rPr>
        <w:t>პოლიტიკის</w:t>
      </w:r>
      <w:r w:rsidRPr="003D733D">
        <w:t xml:space="preserve"> </w:t>
      </w:r>
      <w:r w:rsidRPr="003D733D">
        <w:rPr>
          <w:rFonts w:ascii="Sylfaen" w:hAnsi="Sylfaen" w:cs="Sylfaen"/>
        </w:rPr>
        <w:t>და</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მართვის</w:t>
      </w:r>
      <w:r w:rsidRPr="003D733D">
        <w:t xml:space="preserve"> </w:t>
      </w:r>
      <w:r w:rsidRPr="003D733D">
        <w:rPr>
          <w:rFonts w:ascii="Sylfaen" w:hAnsi="Sylfaen" w:cs="Sylfaen"/>
        </w:rPr>
        <w:t>კანონმდებლობის</w:t>
      </w:r>
      <w:r w:rsidRPr="003D733D">
        <w:t xml:space="preserve"> </w:t>
      </w:r>
      <w:r w:rsidRPr="003D733D">
        <w:rPr>
          <w:rFonts w:ascii="Sylfaen" w:hAnsi="Sylfaen" w:cs="Sylfaen"/>
        </w:rPr>
        <w:t>მოთხოვნების</w:t>
      </w:r>
      <w:r w:rsidRPr="003D733D">
        <w:t xml:space="preserve"> </w:t>
      </w:r>
      <w:r w:rsidRPr="003D733D">
        <w:rPr>
          <w:rFonts w:ascii="Sylfaen" w:hAnsi="Sylfaen" w:cs="Sylfaen"/>
        </w:rPr>
        <w:t>შესაბამისად</w:t>
      </w:r>
      <w:r w:rsidRPr="003D733D">
        <w:t>;</w:t>
      </w:r>
    </w:p>
    <w:p w14:paraId="040A065A" w14:textId="77777777" w:rsidR="00A2588D" w:rsidRPr="003D733D" w:rsidRDefault="00A2588D" w:rsidP="00A2588D">
      <w:pPr>
        <w:spacing w:before="120" w:after="120"/>
      </w:pPr>
      <w:r w:rsidRPr="003D733D">
        <w:rPr>
          <w:rFonts w:ascii="Sylfaen" w:hAnsi="Sylfaen" w:cs="Sylfaen"/>
        </w:rPr>
        <w:t>როგორც</w:t>
      </w:r>
      <w:r w:rsidRPr="003D733D">
        <w:t xml:space="preserve"> </w:t>
      </w:r>
      <w:r w:rsidRPr="003D733D">
        <w:rPr>
          <w:rFonts w:ascii="Sylfaen" w:hAnsi="Sylfaen" w:cs="Sylfaen"/>
        </w:rPr>
        <w:t>მშენებლობის</w:t>
      </w:r>
      <w:r w:rsidRPr="003D733D">
        <w:t xml:space="preserve">, </w:t>
      </w:r>
      <w:r w:rsidRPr="003D733D">
        <w:rPr>
          <w:rFonts w:ascii="Sylfaen" w:hAnsi="Sylfaen" w:cs="Sylfaen"/>
        </w:rPr>
        <w:t>ასევე</w:t>
      </w:r>
      <w:r w:rsidRPr="003D733D">
        <w:t xml:space="preserve"> </w:t>
      </w:r>
      <w:r w:rsidRPr="003D733D">
        <w:rPr>
          <w:rFonts w:ascii="Sylfaen" w:hAnsi="Sylfaen" w:cs="Sylfaen"/>
        </w:rPr>
        <w:t>ოპერირების</w:t>
      </w:r>
      <w:r w:rsidRPr="003D733D">
        <w:t xml:space="preserve"> </w:t>
      </w:r>
      <w:r w:rsidRPr="003D733D">
        <w:rPr>
          <w:rFonts w:ascii="Sylfaen" w:hAnsi="Sylfaen" w:cs="Sylfaen"/>
        </w:rPr>
        <w:t>ეტაპზე</w:t>
      </w:r>
      <w:r w:rsidRPr="003D733D">
        <w:t xml:space="preserve"> </w:t>
      </w:r>
      <w:r w:rsidRPr="003D733D">
        <w:rPr>
          <w:rFonts w:ascii="Sylfaen" w:hAnsi="Sylfaen" w:cs="Sylfaen"/>
        </w:rPr>
        <w:t>შეძლებისდაგვარად</w:t>
      </w:r>
      <w:r w:rsidRPr="003D733D">
        <w:t xml:space="preserve"> </w:t>
      </w:r>
      <w:r w:rsidRPr="003D733D">
        <w:rPr>
          <w:rFonts w:ascii="Sylfaen" w:hAnsi="Sylfaen" w:cs="Sylfaen"/>
        </w:rPr>
        <w:t>თავიდან</w:t>
      </w:r>
      <w:r w:rsidRPr="003D733D">
        <w:t xml:space="preserve"> </w:t>
      </w:r>
      <w:r w:rsidRPr="003D733D">
        <w:rPr>
          <w:rFonts w:ascii="Sylfaen" w:hAnsi="Sylfaen" w:cs="Sylfaen"/>
        </w:rPr>
        <w:t>აიცილოს</w:t>
      </w:r>
      <w:r w:rsidRPr="003D733D">
        <w:t xml:space="preserve"> </w:t>
      </w:r>
      <w:r w:rsidRPr="003D733D">
        <w:rPr>
          <w:rFonts w:ascii="Sylfaen" w:hAnsi="Sylfaen" w:cs="Sylfaen"/>
        </w:rPr>
        <w:t>ან</w:t>
      </w:r>
      <w:r w:rsidRPr="003D733D">
        <w:t>/</w:t>
      </w:r>
      <w:r w:rsidRPr="003D733D">
        <w:rPr>
          <w:rFonts w:ascii="Sylfaen" w:hAnsi="Sylfaen" w:cs="Sylfaen"/>
        </w:rPr>
        <w:t>და</w:t>
      </w:r>
      <w:r w:rsidRPr="003D733D">
        <w:t xml:space="preserve"> </w:t>
      </w:r>
      <w:r w:rsidRPr="003D733D">
        <w:rPr>
          <w:rFonts w:ascii="Sylfaen" w:hAnsi="Sylfaen" w:cs="Sylfaen"/>
        </w:rPr>
        <w:t>შეამციროს</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წარმოქმნა</w:t>
      </w:r>
    </w:p>
    <w:p w14:paraId="0FA26E95" w14:textId="77777777" w:rsidR="00A2588D" w:rsidRPr="003D733D" w:rsidRDefault="00A2588D" w:rsidP="00A2588D">
      <w:pPr>
        <w:spacing w:before="120" w:after="120"/>
      </w:pPr>
      <w:r w:rsidRPr="003D733D">
        <w:rPr>
          <w:rFonts w:ascii="Sylfaen" w:hAnsi="Sylfaen" w:cs="Sylfaen"/>
        </w:rPr>
        <w:t>მშენებლობის</w:t>
      </w:r>
      <w:r w:rsidRPr="003D733D">
        <w:t xml:space="preserve"> </w:t>
      </w:r>
      <w:r w:rsidRPr="003D733D">
        <w:rPr>
          <w:rFonts w:ascii="Sylfaen" w:hAnsi="Sylfaen" w:cs="Sylfaen"/>
        </w:rPr>
        <w:t>და</w:t>
      </w:r>
      <w:r w:rsidRPr="003D733D">
        <w:t xml:space="preserve"> </w:t>
      </w:r>
      <w:r w:rsidRPr="003D733D">
        <w:rPr>
          <w:rFonts w:ascii="Sylfaen" w:hAnsi="Sylfaen" w:cs="Sylfaen"/>
        </w:rPr>
        <w:t>ოპერირების</w:t>
      </w:r>
      <w:r w:rsidRPr="003D733D">
        <w:t xml:space="preserve"> </w:t>
      </w:r>
      <w:r w:rsidRPr="003D733D">
        <w:rPr>
          <w:rFonts w:ascii="Sylfaen" w:hAnsi="Sylfaen" w:cs="Sylfaen"/>
        </w:rPr>
        <w:t>ეტაპზე</w:t>
      </w:r>
      <w:r w:rsidRPr="003D733D">
        <w:t xml:space="preserve"> </w:t>
      </w:r>
      <w:r w:rsidRPr="003D733D">
        <w:rPr>
          <w:rFonts w:ascii="Sylfaen" w:hAnsi="Sylfaen" w:cs="Sylfaen"/>
        </w:rPr>
        <w:t>წარმოქმნილი</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იდენტიფიცირება</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სახეობების</w:t>
      </w:r>
      <w:r w:rsidRPr="003D733D">
        <w:t xml:space="preserve">, </w:t>
      </w:r>
      <w:r w:rsidRPr="003D733D">
        <w:rPr>
          <w:rFonts w:ascii="Sylfaen" w:hAnsi="Sylfaen" w:cs="Sylfaen"/>
        </w:rPr>
        <w:t>მახასიათებლებისა</w:t>
      </w:r>
      <w:r w:rsidRPr="003D733D">
        <w:t xml:space="preserve"> </w:t>
      </w:r>
      <w:r w:rsidRPr="003D733D">
        <w:rPr>
          <w:rFonts w:ascii="Sylfaen" w:hAnsi="Sylfaen" w:cs="Sylfaen"/>
        </w:rPr>
        <w:t>და</w:t>
      </w:r>
      <w:r w:rsidRPr="003D733D">
        <w:t xml:space="preserve"> </w:t>
      </w:r>
      <w:r w:rsidRPr="003D733D">
        <w:rPr>
          <w:rFonts w:ascii="Sylfaen" w:hAnsi="Sylfaen" w:cs="Sylfaen"/>
        </w:rPr>
        <w:t>შემადგენლობის</w:t>
      </w:r>
      <w:r w:rsidRPr="003D733D">
        <w:t xml:space="preserve"> </w:t>
      </w:r>
      <w:r w:rsidRPr="003D733D">
        <w:rPr>
          <w:rFonts w:ascii="Sylfaen" w:hAnsi="Sylfaen" w:cs="Sylfaen"/>
        </w:rPr>
        <w:t>მიხედვით</w:t>
      </w:r>
      <w:r w:rsidRPr="003D733D">
        <w:t xml:space="preserve"> (</w:t>
      </w:r>
      <w:r w:rsidRPr="003D733D">
        <w:rPr>
          <w:rFonts w:ascii="Sylfaen" w:hAnsi="Sylfaen" w:cs="Sylfaen"/>
        </w:rPr>
        <w:t>ნარჩენი</w:t>
      </w:r>
      <w:r w:rsidRPr="003D733D">
        <w:t xml:space="preserve"> </w:t>
      </w:r>
      <w:r w:rsidRPr="003D733D">
        <w:rPr>
          <w:rFonts w:ascii="Sylfaen" w:hAnsi="Sylfaen" w:cs="Sylfaen"/>
        </w:rPr>
        <w:t>რომლის</w:t>
      </w:r>
      <w:r w:rsidRPr="003D733D">
        <w:t xml:space="preserve"> </w:t>
      </w:r>
      <w:r w:rsidRPr="003D733D">
        <w:rPr>
          <w:rFonts w:ascii="Sylfaen" w:hAnsi="Sylfaen" w:cs="Sylfaen"/>
        </w:rPr>
        <w:t>იდენტიფიცირება</w:t>
      </w:r>
      <w:r w:rsidRPr="003D733D">
        <w:t xml:space="preserve"> </w:t>
      </w:r>
      <w:r w:rsidRPr="003D733D">
        <w:rPr>
          <w:rFonts w:ascii="Sylfaen" w:hAnsi="Sylfaen" w:cs="Sylfaen"/>
        </w:rPr>
        <w:t>ვერ</w:t>
      </w:r>
      <w:r w:rsidRPr="003D733D">
        <w:t xml:space="preserve"> </w:t>
      </w:r>
      <w:r w:rsidRPr="003D733D">
        <w:rPr>
          <w:rFonts w:ascii="Sylfaen" w:hAnsi="Sylfaen" w:cs="Sylfaen"/>
        </w:rPr>
        <w:t>განხორციელდება</w:t>
      </w:r>
      <w:r w:rsidRPr="003D733D">
        <w:t xml:space="preserve"> </w:t>
      </w:r>
      <w:r w:rsidRPr="003D733D">
        <w:rPr>
          <w:rFonts w:ascii="Sylfaen" w:hAnsi="Sylfaen" w:cs="Sylfaen"/>
        </w:rPr>
        <w:t>ჩაითვლება</w:t>
      </w:r>
      <w:r w:rsidRPr="003D733D">
        <w:t xml:space="preserve"> </w:t>
      </w:r>
      <w:r w:rsidRPr="003D733D">
        <w:rPr>
          <w:rFonts w:ascii="Sylfaen" w:hAnsi="Sylfaen" w:cs="Sylfaen"/>
        </w:rPr>
        <w:t>სახიფათო</w:t>
      </w:r>
      <w:r w:rsidRPr="003D733D">
        <w:t xml:space="preserve"> </w:t>
      </w:r>
      <w:r w:rsidRPr="003D733D">
        <w:rPr>
          <w:rFonts w:ascii="Sylfaen" w:hAnsi="Sylfaen" w:cs="Sylfaen"/>
        </w:rPr>
        <w:t>ნარჩენად</w:t>
      </w:r>
      <w:r w:rsidRPr="003D733D">
        <w:t xml:space="preserve">); </w:t>
      </w:r>
    </w:p>
    <w:p w14:paraId="65791355" w14:textId="77777777" w:rsidR="00A2588D" w:rsidRPr="003D733D" w:rsidRDefault="00A2588D" w:rsidP="00A2588D">
      <w:pPr>
        <w:spacing w:before="120" w:after="120"/>
      </w:pPr>
      <w:r w:rsidRPr="003D733D">
        <w:rPr>
          <w:rFonts w:ascii="Sylfaen" w:hAnsi="Sylfaen" w:cs="Sylfaen"/>
        </w:rPr>
        <w:t>ნარჩენების</w:t>
      </w:r>
      <w:r w:rsidRPr="003D733D">
        <w:t xml:space="preserve"> </w:t>
      </w:r>
      <w:r w:rsidRPr="003D733D">
        <w:rPr>
          <w:rFonts w:ascii="Sylfaen" w:hAnsi="Sylfaen" w:cs="Sylfaen"/>
        </w:rPr>
        <w:t>შეგროვების</w:t>
      </w:r>
      <w:r w:rsidRPr="003D733D">
        <w:t xml:space="preserve">, </w:t>
      </w:r>
      <w:r w:rsidRPr="003D733D">
        <w:rPr>
          <w:rFonts w:ascii="Sylfaen" w:hAnsi="Sylfaen" w:cs="Sylfaen"/>
        </w:rPr>
        <w:t>ტრანსპორტირებისა</w:t>
      </w:r>
      <w:r w:rsidRPr="003D733D">
        <w:t xml:space="preserve"> </w:t>
      </w:r>
      <w:r w:rsidRPr="003D733D">
        <w:rPr>
          <w:rFonts w:ascii="Sylfaen" w:hAnsi="Sylfaen" w:cs="Sylfaen"/>
        </w:rPr>
        <w:t>და</w:t>
      </w:r>
      <w:r w:rsidRPr="003D733D">
        <w:t xml:space="preserve"> </w:t>
      </w:r>
      <w:r w:rsidRPr="003D733D">
        <w:rPr>
          <w:rFonts w:ascii="Sylfaen" w:hAnsi="Sylfaen" w:cs="Sylfaen"/>
        </w:rPr>
        <w:t>დამუშავების</w:t>
      </w:r>
      <w:r w:rsidRPr="003D733D">
        <w:t xml:space="preserve"> </w:t>
      </w:r>
      <w:r w:rsidRPr="003D733D">
        <w:rPr>
          <w:rFonts w:ascii="Sylfaen" w:hAnsi="Sylfaen" w:cs="Sylfaen"/>
        </w:rPr>
        <w:t>დროს</w:t>
      </w:r>
      <w:r w:rsidRPr="003D733D">
        <w:t xml:space="preserve"> </w:t>
      </w:r>
      <w:r w:rsidRPr="003D733D">
        <w:rPr>
          <w:rFonts w:ascii="Sylfaen" w:hAnsi="Sylfaen" w:cs="Sylfaen"/>
        </w:rPr>
        <w:t>მაქსიმალურად</w:t>
      </w:r>
      <w:r w:rsidRPr="003D733D">
        <w:t xml:space="preserve"> </w:t>
      </w:r>
      <w:r w:rsidRPr="003D733D">
        <w:rPr>
          <w:rFonts w:ascii="Sylfaen" w:hAnsi="Sylfaen" w:cs="Sylfaen"/>
        </w:rPr>
        <w:t>უნდა</w:t>
      </w:r>
      <w:r w:rsidRPr="003D733D">
        <w:t xml:space="preserve"> </w:t>
      </w:r>
      <w:r w:rsidRPr="003D733D">
        <w:rPr>
          <w:rFonts w:ascii="Sylfaen" w:hAnsi="Sylfaen" w:cs="Sylfaen"/>
        </w:rPr>
        <w:t>გამორიცხოს</w:t>
      </w:r>
      <w:r w:rsidRPr="003D733D">
        <w:t xml:space="preserve"> </w:t>
      </w:r>
      <w:r w:rsidRPr="003D733D">
        <w:rPr>
          <w:rFonts w:ascii="Sylfaen" w:hAnsi="Sylfaen" w:cs="Sylfaen"/>
        </w:rPr>
        <w:t>გარემოს</w:t>
      </w:r>
      <w:r w:rsidRPr="003D733D">
        <w:t xml:space="preserve"> </w:t>
      </w:r>
      <w:r w:rsidRPr="003D733D">
        <w:rPr>
          <w:rFonts w:ascii="Sylfaen" w:hAnsi="Sylfaen" w:cs="Sylfaen"/>
        </w:rPr>
        <w:t>დაბინძურება</w:t>
      </w:r>
      <w:r w:rsidRPr="003D733D">
        <w:t xml:space="preserve">, </w:t>
      </w:r>
      <w:r w:rsidRPr="003D733D">
        <w:rPr>
          <w:rFonts w:ascii="Sylfaen" w:hAnsi="Sylfaen" w:cs="Sylfaen"/>
        </w:rPr>
        <w:t>დანაგვიანება</w:t>
      </w:r>
      <w:r w:rsidRPr="003D733D">
        <w:t xml:space="preserve"> </w:t>
      </w:r>
      <w:r w:rsidRPr="003D733D">
        <w:rPr>
          <w:rFonts w:ascii="Sylfaen" w:hAnsi="Sylfaen" w:cs="Sylfaen"/>
        </w:rPr>
        <w:t>და</w:t>
      </w:r>
      <w:r w:rsidRPr="003D733D">
        <w:t xml:space="preserve"> </w:t>
      </w:r>
      <w:r w:rsidRPr="003D733D">
        <w:rPr>
          <w:rFonts w:ascii="Sylfaen" w:hAnsi="Sylfaen" w:cs="Sylfaen"/>
        </w:rPr>
        <w:t>ადამიანის</w:t>
      </w:r>
      <w:r w:rsidRPr="003D733D">
        <w:t xml:space="preserve"> </w:t>
      </w:r>
      <w:r w:rsidRPr="003D733D">
        <w:rPr>
          <w:rFonts w:ascii="Sylfaen" w:hAnsi="Sylfaen" w:cs="Sylfaen"/>
        </w:rPr>
        <w:t>ჯანმრთელობაზე</w:t>
      </w:r>
      <w:r w:rsidRPr="003D733D">
        <w:t xml:space="preserve"> </w:t>
      </w:r>
      <w:r w:rsidRPr="003D733D">
        <w:rPr>
          <w:rFonts w:ascii="Sylfaen" w:hAnsi="Sylfaen" w:cs="Sylfaen"/>
        </w:rPr>
        <w:t>მავნე</w:t>
      </w:r>
      <w:r w:rsidRPr="003D733D">
        <w:t xml:space="preserve"> </w:t>
      </w:r>
      <w:r w:rsidRPr="003D733D">
        <w:rPr>
          <w:rFonts w:ascii="Sylfaen" w:hAnsi="Sylfaen" w:cs="Sylfaen"/>
        </w:rPr>
        <w:t>ზემოქმედება</w:t>
      </w:r>
      <w:r w:rsidRPr="003D733D">
        <w:t>;</w:t>
      </w:r>
    </w:p>
    <w:p w14:paraId="70E78F79" w14:textId="77777777" w:rsidR="00A2588D" w:rsidRPr="003D733D" w:rsidRDefault="00A2588D" w:rsidP="00A2588D">
      <w:pPr>
        <w:spacing w:before="120" w:after="120"/>
      </w:pPr>
      <w:r w:rsidRPr="003D733D">
        <w:rPr>
          <w:rFonts w:ascii="Sylfaen" w:hAnsi="Sylfaen" w:cs="Sylfaen"/>
        </w:rPr>
        <w:t>ნარჩენების</w:t>
      </w:r>
      <w:r w:rsidRPr="003D733D">
        <w:t xml:space="preserve"> </w:t>
      </w:r>
      <w:r w:rsidRPr="003D733D">
        <w:rPr>
          <w:rFonts w:ascii="Sylfaen" w:hAnsi="Sylfaen" w:cs="Sylfaen"/>
        </w:rPr>
        <w:t>ტრანსპორტირების</w:t>
      </w:r>
      <w:r w:rsidRPr="003D733D">
        <w:t xml:space="preserve"> </w:t>
      </w:r>
      <w:r w:rsidRPr="003D733D">
        <w:rPr>
          <w:rFonts w:ascii="Sylfaen" w:hAnsi="Sylfaen" w:cs="Sylfaen"/>
        </w:rPr>
        <w:t>შედეგად</w:t>
      </w:r>
      <w:r w:rsidRPr="003D733D">
        <w:t xml:space="preserve"> </w:t>
      </w:r>
      <w:r w:rsidRPr="003D733D">
        <w:rPr>
          <w:rFonts w:ascii="Sylfaen" w:hAnsi="Sylfaen" w:cs="Sylfaen"/>
        </w:rPr>
        <w:t>ნარჩენებით</w:t>
      </w:r>
      <w:r w:rsidRPr="003D733D">
        <w:t xml:space="preserve"> </w:t>
      </w:r>
      <w:r w:rsidRPr="003D733D">
        <w:rPr>
          <w:rFonts w:ascii="Sylfaen" w:hAnsi="Sylfaen" w:cs="Sylfaen"/>
        </w:rPr>
        <w:t>გარემოს</w:t>
      </w:r>
      <w:r w:rsidRPr="003D733D">
        <w:t xml:space="preserve"> </w:t>
      </w:r>
      <w:r w:rsidRPr="003D733D">
        <w:rPr>
          <w:rFonts w:ascii="Sylfaen" w:hAnsi="Sylfaen" w:cs="Sylfaen"/>
        </w:rPr>
        <w:t>დაბინძურების</w:t>
      </w:r>
      <w:r w:rsidRPr="003D733D">
        <w:t>/</w:t>
      </w:r>
      <w:r w:rsidRPr="003D733D">
        <w:rPr>
          <w:rFonts w:ascii="Sylfaen" w:hAnsi="Sylfaen" w:cs="Sylfaen"/>
        </w:rPr>
        <w:t>დანაგვიანების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ვალდებულია</w:t>
      </w:r>
      <w:r w:rsidRPr="003D733D">
        <w:t xml:space="preserve"> </w:t>
      </w:r>
      <w:r w:rsidRPr="003D733D">
        <w:rPr>
          <w:rFonts w:ascii="Sylfaen" w:hAnsi="Sylfaen" w:cs="Sylfaen"/>
        </w:rPr>
        <w:t>უზრუნველყოს</w:t>
      </w:r>
      <w:r w:rsidRPr="003D733D">
        <w:t xml:space="preserve"> </w:t>
      </w:r>
      <w:r w:rsidRPr="003D733D">
        <w:rPr>
          <w:rFonts w:ascii="Sylfaen" w:hAnsi="Sylfaen" w:cs="Sylfaen"/>
        </w:rPr>
        <w:t>დასუფთავების</w:t>
      </w:r>
      <w:r w:rsidRPr="003D733D">
        <w:t xml:space="preserve"> </w:t>
      </w:r>
      <w:r w:rsidRPr="003D733D">
        <w:rPr>
          <w:rFonts w:ascii="Sylfaen" w:hAnsi="Sylfaen" w:cs="Sylfaen"/>
        </w:rPr>
        <w:t>ღონისძიებების</w:t>
      </w:r>
      <w:r w:rsidRPr="003D733D">
        <w:t xml:space="preserve"> </w:t>
      </w:r>
      <w:r w:rsidRPr="003D733D">
        <w:rPr>
          <w:rFonts w:ascii="Sylfaen" w:hAnsi="Sylfaen" w:cs="Sylfaen"/>
        </w:rPr>
        <w:t>განხორციელება</w:t>
      </w:r>
      <w:r w:rsidRPr="003D733D">
        <w:t>;</w:t>
      </w:r>
    </w:p>
    <w:p w14:paraId="7E780EDD" w14:textId="77777777" w:rsidR="00A2588D" w:rsidRPr="003D733D" w:rsidRDefault="00A2588D" w:rsidP="00A2588D">
      <w:pPr>
        <w:spacing w:before="120" w:after="120"/>
      </w:pPr>
      <w:r w:rsidRPr="003D733D">
        <w:rPr>
          <w:rFonts w:ascii="Sylfaen" w:hAnsi="Sylfaen" w:cs="Sylfaen"/>
        </w:rPr>
        <w:t>ნარჩენები</w:t>
      </w:r>
      <w:r w:rsidRPr="003D733D">
        <w:t xml:space="preserve"> </w:t>
      </w:r>
      <w:r w:rsidRPr="003D733D">
        <w:rPr>
          <w:rFonts w:ascii="Sylfaen" w:hAnsi="Sylfaen" w:cs="Sylfaen"/>
        </w:rPr>
        <w:t>დასამუშავებლად</w:t>
      </w:r>
      <w:r w:rsidRPr="003D733D">
        <w:t xml:space="preserve"> </w:t>
      </w:r>
      <w:r w:rsidRPr="003D733D">
        <w:rPr>
          <w:rFonts w:ascii="Sylfaen" w:hAnsi="Sylfaen" w:cs="Sylfaen"/>
        </w:rPr>
        <w:t>გადასცეს</w:t>
      </w:r>
      <w:r w:rsidRPr="003D733D">
        <w:t xml:space="preserve"> </w:t>
      </w:r>
      <w:r w:rsidRPr="003D733D">
        <w:rPr>
          <w:rFonts w:ascii="Sylfaen" w:hAnsi="Sylfaen" w:cs="Sylfaen"/>
        </w:rPr>
        <w:t>შესაბამის</w:t>
      </w:r>
      <w:r w:rsidRPr="003D733D">
        <w:t xml:space="preserve"> </w:t>
      </w:r>
      <w:r w:rsidRPr="003D733D">
        <w:rPr>
          <w:rFonts w:ascii="Sylfaen" w:hAnsi="Sylfaen" w:cs="Sylfaen"/>
        </w:rPr>
        <w:t>ობიექტს</w:t>
      </w:r>
      <w:r w:rsidRPr="003D733D">
        <w:t xml:space="preserve">, </w:t>
      </w:r>
      <w:r w:rsidRPr="003D733D">
        <w:rPr>
          <w:rFonts w:ascii="Sylfaen" w:hAnsi="Sylfaen" w:cs="Sylfaen"/>
        </w:rPr>
        <w:t>რომელსაც</w:t>
      </w:r>
      <w:r w:rsidRPr="003D733D">
        <w:t xml:space="preserve"> </w:t>
      </w:r>
      <w:r w:rsidRPr="003D733D">
        <w:rPr>
          <w:rFonts w:ascii="Sylfaen" w:hAnsi="Sylfaen" w:cs="Sylfaen"/>
        </w:rPr>
        <w:t>აქვს</w:t>
      </w:r>
      <w:r w:rsidRPr="003D733D">
        <w:t xml:space="preserve"> </w:t>
      </w:r>
      <w:r w:rsidRPr="003D733D">
        <w:rPr>
          <w:rFonts w:ascii="Sylfaen" w:hAnsi="Sylfaen" w:cs="Sylfaen"/>
        </w:rPr>
        <w:t>სათანადო</w:t>
      </w:r>
      <w:r w:rsidRPr="003D733D">
        <w:t xml:space="preserve"> </w:t>
      </w:r>
      <w:r w:rsidRPr="003D733D">
        <w:rPr>
          <w:rFonts w:ascii="Sylfaen" w:hAnsi="Sylfaen" w:cs="Sylfaen"/>
        </w:rPr>
        <w:t>ნებართვა</w:t>
      </w:r>
      <w:r w:rsidRPr="003D733D">
        <w:t xml:space="preserve"> </w:t>
      </w:r>
      <w:r w:rsidRPr="003D733D">
        <w:rPr>
          <w:rFonts w:ascii="Sylfaen" w:hAnsi="Sylfaen" w:cs="Sylfaen"/>
        </w:rPr>
        <w:t>ან</w:t>
      </w:r>
      <w:r w:rsidRPr="003D733D">
        <w:t xml:space="preserve"> </w:t>
      </w:r>
      <w:r w:rsidRPr="003D733D">
        <w:rPr>
          <w:rFonts w:ascii="Sylfaen" w:hAnsi="Sylfaen" w:cs="Sylfaen"/>
        </w:rPr>
        <w:t>გავლილი</w:t>
      </w:r>
      <w:r w:rsidRPr="003D733D">
        <w:t xml:space="preserve"> </w:t>
      </w:r>
      <w:r w:rsidRPr="003D733D">
        <w:rPr>
          <w:rFonts w:ascii="Sylfaen" w:hAnsi="Sylfaen" w:cs="Sylfaen"/>
        </w:rPr>
        <w:t>აქვს</w:t>
      </w:r>
      <w:r w:rsidRPr="003D733D">
        <w:t xml:space="preserve"> </w:t>
      </w:r>
      <w:r w:rsidRPr="003D733D">
        <w:rPr>
          <w:rFonts w:ascii="Sylfaen" w:hAnsi="Sylfaen" w:cs="Sylfaen"/>
        </w:rPr>
        <w:t>რეგისტრაცია</w:t>
      </w:r>
      <w:r w:rsidRPr="003D733D">
        <w:t>;</w:t>
      </w:r>
    </w:p>
    <w:p w14:paraId="5EDF2281" w14:textId="77777777" w:rsidR="00A2588D" w:rsidRPr="003D733D" w:rsidRDefault="00A2588D" w:rsidP="00A2588D">
      <w:pPr>
        <w:spacing w:before="120" w:after="120"/>
      </w:pPr>
      <w:r w:rsidRPr="003D733D">
        <w:rPr>
          <w:rFonts w:ascii="Sylfaen" w:hAnsi="Sylfaen" w:cs="Sylfaen"/>
        </w:rPr>
        <w:t>აიღოს</w:t>
      </w:r>
      <w:r w:rsidRPr="003D733D">
        <w:t xml:space="preserve"> </w:t>
      </w:r>
      <w:r w:rsidRPr="003D733D">
        <w:rPr>
          <w:rFonts w:ascii="Sylfaen" w:hAnsi="Sylfaen" w:cs="Sylfaen"/>
        </w:rPr>
        <w:t>პასუხისმგებლობა</w:t>
      </w:r>
      <w:r w:rsidRPr="003D733D">
        <w:t xml:space="preserve"> </w:t>
      </w:r>
      <w:r w:rsidRPr="003D733D">
        <w:rPr>
          <w:rFonts w:ascii="Sylfaen" w:hAnsi="Sylfaen" w:cs="Sylfaen"/>
        </w:rPr>
        <w:t>და</w:t>
      </w:r>
      <w:r w:rsidRPr="003D733D">
        <w:t xml:space="preserve"> </w:t>
      </w:r>
      <w:r w:rsidRPr="003D733D">
        <w:rPr>
          <w:rFonts w:ascii="Sylfaen" w:hAnsi="Sylfaen" w:cs="Sylfaen"/>
        </w:rPr>
        <w:t>გააკონტროლოს</w:t>
      </w:r>
      <w:r w:rsidRPr="003D733D">
        <w:t xml:space="preserve"> </w:t>
      </w:r>
      <w:r w:rsidRPr="003D733D">
        <w:rPr>
          <w:rFonts w:ascii="Sylfaen" w:hAnsi="Sylfaen" w:cs="Sylfaen"/>
        </w:rPr>
        <w:t>კონტრაქტორისათვის</w:t>
      </w:r>
      <w:r w:rsidRPr="003D733D">
        <w:t xml:space="preserve"> </w:t>
      </w:r>
      <w:r w:rsidRPr="003D733D">
        <w:rPr>
          <w:rFonts w:ascii="Sylfaen" w:hAnsi="Sylfaen" w:cs="Sylfaen"/>
        </w:rPr>
        <w:t>გადაცემული</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მართვის</w:t>
      </w:r>
      <w:r w:rsidRPr="003D733D">
        <w:t xml:space="preserve"> </w:t>
      </w:r>
      <w:r w:rsidRPr="003D733D">
        <w:rPr>
          <w:rFonts w:ascii="Sylfaen" w:hAnsi="Sylfaen" w:cs="Sylfaen"/>
        </w:rPr>
        <w:t>პროცესი</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სრულ</w:t>
      </w:r>
      <w:r w:rsidRPr="003D733D">
        <w:t xml:space="preserve"> </w:t>
      </w:r>
      <w:r w:rsidRPr="003D733D">
        <w:rPr>
          <w:rFonts w:ascii="Sylfaen" w:hAnsi="Sylfaen" w:cs="Sylfaen"/>
        </w:rPr>
        <w:t>აღდგენამდე</w:t>
      </w:r>
      <w:r w:rsidRPr="003D733D">
        <w:t xml:space="preserve"> </w:t>
      </w:r>
      <w:r w:rsidRPr="003D733D">
        <w:rPr>
          <w:rFonts w:ascii="Sylfaen" w:hAnsi="Sylfaen" w:cs="Sylfaen"/>
        </w:rPr>
        <w:t>ან</w:t>
      </w:r>
      <w:r w:rsidRPr="003D733D">
        <w:t xml:space="preserve"> </w:t>
      </w:r>
      <w:r w:rsidRPr="003D733D">
        <w:rPr>
          <w:rFonts w:ascii="Sylfaen" w:hAnsi="Sylfaen" w:cs="Sylfaen"/>
        </w:rPr>
        <w:t>განთავსებამდე</w:t>
      </w:r>
      <w:r w:rsidRPr="003D733D">
        <w:t>.</w:t>
      </w:r>
    </w:p>
    <w:p w14:paraId="313B9032" w14:textId="77777777" w:rsidR="00A2588D" w:rsidRPr="003D733D" w:rsidRDefault="00A2588D" w:rsidP="00A2588D">
      <w:pPr>
        <w:spacing w:before="120" w:after="120"/>
      </w:pPr>
      <w:r w:rsidRPr="003D733D">
        <w:rPr>
          <w:rFonts w:ascii="Sylfaen" w:hAnsi="Sylfaen" w:cs="Sylfaen"/>
        </w:rPr>
        <w:t>იმ</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თუ</w:t>
      </w:r>
      <w:r w:rsidRPr="003D733D">
        <w:t xml:space="preserve"> </w:t>
      </w:r>
      <w:r w:rsidRPr="003D733D">
        <w:rPr>
          <w:rFonts w:ascii="Sylfaen" w:hAnsi="Sylfaen" w:cs="Sylfaen"/>
        </w:rPr>
        <w:t>მშენებელ</w:t>
      </w:r>
      <w:r w:rsidRPr="003D733D">
        <w:t xml:space="preserve"> </w:t>
      </w:r>
      <w:r w:rsidRPr="003D733D">
        <w:rPr>
          <w:rFonts w:ascii="Sylfaen" w:hAnsi="Sylfaen" w:cs="Sylfaen"/>
        </w:rPr>
        <w:t>კონტრაქტორს</w:t>
      </w:r>
      <w:r w:rsidRPr="003D733D">
        <w:t xml:space="preserve"> </w:t>
      </w:r>
      <w:r w:rsidRPr="003D733D">
        <w:rPr>
          <w:rFonts w:ascii="Sylfaen" w:hAnsi="Sylfaen" w:cs="Sylfaen"/>
        </w:rPr>
        <w:t>ან</w:t>
      </w:r>
      <w:r w:rsidRPr="003D733D">
        <w:t>/</w:t>
      </w:r>
      <w:r w:rsidRPr="003D733D">
        <w:rPr>
          <w:rFonts w:ascii="Sylfaen" w:hAnsi="Sylfaen" w:cs="Sylfaen"/>
        </w:rPr>
        <w:t>და</w:t>
      </w:r>
      <w:r w:rsidRPr="003D733D">
        <w:t xml:space="preserve"> </w:t>
      </w:r>
      <w:r w:rsidRPr="003D733D">
        <w:rPr>
          <w:rFonts w:ascii="Sylfaen" w:hAnsi="Sylfaen" w:cs="Sylfaen"/>
        </w:rPr>
        <w:t>პროექტის</w:t>
      </w:r>
      <w:r w:rsidRPr="003D733D">
        <w:t xml:space="preserve"> </w:t>
      </w:r>
      <w:r w:rsidRPr="003D733D">
        <w:rPr>
          <w:rFonts w:ascii="Sylfaen" w:hAnsi="Sylfaen" w:cs="Sylfaen"/>
        </w:rPr>
        <w:t>მფლობელს</w:t>
      </w:r>
      <w:r w:rsidRPr="003D733D">
        <w:t xml:space="preserve"> </w:t>
      </w:r>
      <w:r w:rsidRPr="003D733D">
        <w:rPr>
          <w:rFonts w:ascii="Sylfaen" w:hAnsi="Sylfaen" w:cs="Sylfaen"/>
        </w:rPr>
        <w:t>არ</w:t>
      </w:r>
      <w:r w:rsidRPr="003D733D">
        <w:t xml:space="preserve"> </w:t>
      </w:r>
      <w:r w:rsidRPr="003D733D">
        <w:rPr>
          <w:rFonts w:ascii="Sylfaen" w:hAnsi="Sylfaen" w:cs="Sylfaen"/>
        </w:rPr>
        <w:t>ყოფნის</w:t>
      </w:r>
      <w:r w:rsidRPr="003D733D">
        <w:t xml:space="preserve"> </w:t>
      </w:r>
      <w:r w:rsidRPr="003D733D">
        <w:rPr>
          <w:rFonts w:ascii="Sylfaen" w:hAnsi="Sylfaen" w:cs="Sylfaen"/>
        </w:rPr>
        <w:t>ან</w:t>
      </w:r>
      <w:r w:rsidRPr="003D733D">
        <w:t xml:space="preserve"> </w:t>
      </w:r>
      <w:r w:rsidRPr="003D733D">
        <w:rPr>
          <w:rFonts w:ascii="Sylfaen" w:hAnsi="Sylfaen" w:cs="Sylfaen"/>
        </w:rPr>
        <w:t>არ</w:t>
      </w:r>
      <w:r w:rsidRPr="003D733D">
        <w:t xml:space="preserve"> </w:t>
      </w:r>
      <w:r w:rsidRPr="003D733D">
        <w:rPr>
          <w:rFonts w:ascii="Sylfaen" w:hAnsi="Sylfaen" w:cs="Sylfaen"/>
        </w:rPr>
        <w:t>გააჩნია</w:t>
      </w:r>
      <w:r w:rsidRPr="003D733D">
        <w:t xml:space="preserve"> </w:t>
      </w:r>
      <w:r w:rsidRPr="003D733D">
        <w:rPr>
          <w:rFonts w:ascii="Sylfaen" w:hAnsi="Sylfaen" w:cs="Sylfaen"/>
        </w:rPr>
        <w:t>რესურსები</w:t>
      </w:r>
      <w:r w:rsidRPr="003D733D">
        <w:t xml:space="preserve"> </w:t>
      </w:r>
      <w:r w:rsidRPr="003D733D">
        <w:rPr>
          <w:rFonts w:ascii="Sylfaen" w:hAnsi="Sylfaen" w:cs="Sylfaen"/>
        </w:rPr>
        <w:t>აღნიშნული</w:t>
      </w:r>
      <w:r w:rsidRPr="003D733D">
        <w:t xml:space="preserve"> </w:t>
      </w:r>
      <w:r w:rsidRPr="003D733D">
        <w:rPr>
          <w:rFonts w:ascii="Sylfaen" w:hAnsi="Sylfaen" w:cs="Sylfaen"/>
        </w:rPr>
        <w:t>მოთხოვნების</w:t>
      </w:r>
      <w:r w:rsidRPr="003D733D">
        <w:t xml:space="preserve"> </w:t>
      </w:r>
      <w:r w:rsidRPr="003D733D">
        <w:rPr>
          <w:rFonts w:ascii="Sylfaen" w:hAnsi="Sylfaen" w:cs="Sylfaen"/>
        </w:rPr>
        <w:t>შესასრულებლად</w:t>
      </w:r>
      <w:r w:rsidRPr="003D733D">
        <w:t xml:space="preserve"> </w:t>
      </w:r>
      <w:r w:rsidRPr="003D733D">
        <w:rPr>
          <w:rFonts w:ascii="Sylfaen" w:hAnsi="Sylfaen" w:cs="Sylfaen"/>
        </w:rPr>
        <w:t>იგი</w:t>
      </w:r>
      <w:r w:rsidRPr="003D733D">
        <w:t xml:space="preserve"> </w:t>
      </w:r>
      <w:r w:rsidRPr="003D733D">
        <w:rPr>
          <w:rFonts w:ascii="Sylfaen" w:hAnsi="Sylfaen" w:cs="Sylfaen"/>
        </w:rPr>
        <w:t>ვალდებულია</w:t>
      </w:r>
      <w:r w:rsidRPr="003D733D">
        <w:t xml:space="preserve"> </w:t>
      </w:r>
      <w:r w:rsidRPr="003D733D">
        <w:rPr>
          <w:rFonts w:ascii="Sylfaen" w:hAnsi="Sylfaen" w:cs="Sylfaen"/>
        </w:rPr>
        <w:t>დამატებით</w:t>
      </w:r>
      <w:r w:rsidRPr="003D733D">
        <w:t xml:space="preserve"> </w:t>
      </w:r>
      <w:r w:rsidRPr="003D733D">
        <w:rPr>
          <w:rFonts w:ascii="Sylfaen" w:hAnsi="Sylfaen" w:cs="Sylfaen"/>
        </w:rPr>
        <w:t>მოიზიდოს</w:t>
      </w:r>
      <w:r w:rsidRPr="003D733D">
        <w:t xml:space="preserve"> </w:t>
      </w:r>
      <w:r w:rsidRPr="003D733D">
        <w:rPr>
          <w:rFonts w:ascii="Sylfaen" w:hAnsi="Sylfaen" w:cs="Sylfaen"/>
        </w:rPr>
        <w:t>ადამიანური</w:t>
      </w:r>
      <w:r w:rsidRPr="003D733D">
        <w:t xml:space="preserve"> </w:t>
      </w:r>
      <w:r w:rsidRPr="003D733D">
        <w:rPr>
          <w:rFonts w:ascii="Sylfaen" w:hAnsi="Sylfaen" w:cs="Sylfaen"/>
        </w:rPr>
        <w:t>რესურსები</w:t>
      </w:r>
      <w:r w:rsidRPr="003D733D">
        <w:t xml:space="preserve"> </w:t>
      </w:r>
      <w:r w:rsidRPr="003D733D">
        <w:rPr>
          <w:rFonts w:ascii="Sylfaen" w:hAnsi="Sylfaen" w:cs="Sylfaen"/>
        </w:rPr>
        <w:t>და</w:t>
      </w:r>
      <w:r w:rsidRPr="003D733D">
        <w:t>/</w:t>
      </w:r>
      <w:r w:rsidRPr="003D733D">
        <w:rPr>
          <w:rFonts w:ascii="Sylfaen" w:hAnsi="Sylfaen" w:cs="Sylfaen"/>
        </w:rPr>
        <w:t>ან</w:t>
      </w:r>
      <w:r w:rsidRPr="003D733D">
        <w:t xml:space="preserve"> </w:t>
      </w:r>
      <w:r w:rsidRPr="003D733D">
        <w:rPr>
          <w:rFonts w:ascii="Sylfaen" w:hAnsi="Sylfaen" w:cs="Sylfaen"/>
        </w:rPr>
        <w:t>განაახლოს</w:t>
      </w:r>
      <w:r w:rsidRPr="003D733D">
        <w:t xml:space="preserve"> </w:t>
      </w:r>
      <w:r w:rsidRPr="003D733D">
        <w:rPr>
          <w:rFonts w:ascii="Sylfaen" w:hAnsi="Sylfaen" w:cs="Sylfaen"/>
        </w:rPr>
        <w:t>ინფრასტრუქტურა</w:t>
      </w:r>
      <w:r w:rsidRPr="003D733D">
        <w:t>.</w:t>
      </w:r>
    </w:p>
    <w:p w14:paraId="5517A621" w14:textId="77777777" w:rsidR="00A2588D" w:rsidRPr="003D733D" w:rsidRDefault="00A2588D" w:rsidP="00A2588D">
      <w:pPr>
        <w:spacing w:before="120" w:after="120"/>
        <w:rPr>
          <w:lang w:val="en-US"/>
        </w:rPr>
      </w:pPr>
      <w:r w:rsidRPr="003D733D">
        <w:rPr>
          <w:rFonts w:ascii="Sylfaen" w:hAnsi="Sylfaen" w:cs="Sylfaen"/>
        </w:rPr>
        <w:t>ინსტიტუციური</w:t>
      </w:r>
      <w:r w:rsidRPr="003D733D">
        <w:t xml:space="preserve"> </w:t>
      </w:r>
      <w:r w:rsidRPr="003D733D">
        <w:rPr>
          <w:rFonts w:ascii="Sylfaen" w:hAnsi="Sylfaen" w:cs="Sylfaen"/>
        </w:rPr>
        <w:t>სისტემა</w:t>
      </w:r>
      <w:r w:rsidRPr="003D733D">
        <w:t xml:space="preserve"> </w:t>
      </w:r>
      <w:r w:rsidRPr="003D733D">
        <w:rPr>
          <w:rFonts w:ascii="Sylfaen" w:hAnsi="Sylfaen" w:cs="Sylfaen"/>
        </w:rPr>
        <w:t>საქართველოში</w:t>
      </w:r>
      <w:r w:rsidRPr="003D733D">
        <w:t xml:space="preserve">, </w:t>
      </w:r>
      <w:r w:rsidRPr="003D733D">
        <w:rPr>
          <w:rFonts w:ascii="Sylfaen" w:hAnsi="Sylfaen" w:cs="Sylfaen"/>
        </w:rPr>
        <w:t>რომელიც</w:t>
      </w:r>
      <w:r w:rsidRPr="003D733D">
        <w:t xml:space="preserve"> </w:t>
      </w:r>
      <w:r w:rsidRPr="003D733D">
        <w:rPr>
          <w:rFonts w:ascii="Sylfaen" w:hAnsi="Sylfaen" w:cs="Sylfaen"/>
        </w:rPr>
        <w:t>პასუხისმგებელია</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მართვაზე</w:t>
      </w:r>
      <w:r w:rsidRPr="003D733D">
        <w:t xml:space="preserve"> </w:t>
      </w:r>
      <w:r w:rsidRPr="003D733D">
        <w:rPr>
          <w:rFonts w:ascii="Sylfaen" w:hAnsi="Sylfaen" w:cs="Sylfaen"/>
        </w:rPr>
        <w:t>და</w:t>
      </w:r>
      <w:r w:rsidRPr="003D733D">
        <w:t xml:space="preserve"> </w:t>
      </w:r>
      <w:r w:rsidRPr="003D733D">
        <w:rPr>
          <w:rFonts w:ascii="Sylfaen" w:hAnsi="Sylfaen" w:cs="Sylfaen"/>
        </w:rPr>
        <w:t>მონიტორინგზე</w:t>
      </w:r>
    </w:p>
    <w:p w14:paraId="074D2346" w14:textId="77777777" w:rsidR="00A2588D" w:rsidRPr="000B61F5" w:rsidRDefault="00A2588D" w:rsidP="00A2588D">
      <w:pPr>
        <w:spacing w:before="120" w:after="120"/>
        <w:rPr>
          <w:b/>
        </w:rPr>
      </w:pPr>
      <w:r w:rsidRPr="000B61F5">
        <w:rPr>
          <w:b/>
        </w:rPr>
        <w:t>3.</w:t>
      </w:r>
      <w:r w:rsidRPr="000B61F5">
        <w:rPr>
          <w:rFonts w:ascii="Sylfaen" w:hAnsi="Sylfaen" w:cs="Sylfaen"/>
          <w:b/>
        </w:rPr>
        <w:t>სახელმწიფო</w:t>
      </w:r>
      <w:r w:rsidRPr="000B61F5">
        <w:rPr>
          <w:b/>
        </w:rPr>
        <w:t xml:space="preserve"> </w:t>
      </w:r>
      <w:r w:rsidRPr="000B61F5">
        <w:rPr>
          <w:rFonts w:ascii="Sylfaen" w:hAnsi="Sylfaen" w:cs="Sylfaen"/>
          <w:b/>
        </w:rPr>
        <w:t>სტრუქტურების</w:t>
      </w:r>
      <w:r w:rsidRPr="000B61F5">
        <w:rPr>
          <w:b/>
        </w:rPr>
        <w:t xml:space="preserve"> </w:t>
      </w:r>
      <w:r w:rsidRPr="000B61F5">
        <w:rPr>
          <w:rFonts w:ascii="Sylfaen" w:hAnsi="Sylfaen" w:cs="Sylfaen"/>
          <w:b/>
        </w:rPr>
        <w:t>პასუხისმგებლობა</w:t>
      </w:r>
    </w:p>
    <w:p w14:paraId="354EDB65" w14:textId="77777777" w:rsidR="00A2588D" w:rsidRPr="003D733D" w:rsidRDefault="00A2588D" w:rsidP="00A2588D">
      <w:pPr>
        <w:spacing w:before="120" w:after="120"/>
      </w:pPr>
      <w:r w:rsidRPr="003D733D">
        <w:rPr>
          <w:rFonts w:ascii="Sylfaen" w:hAnsi="Sylfaen" w:cs="Sylfaen"/>
        </w:rPr>
        <w:t>საქართველოს</w:t>
      </w:r>
      <w:r w:rsidRPr="003D733D">
        <w:t xml:space="preserve"> </w:t>
      </w:r>
      <w:r w:rsidRPr="003D733D">
        <w:rPr>
          <w:rFonts w:ascii="Sylfaen" w:hAnsi="Sylfaen" w:cs="Sylfaen"/>
        </w:rPr>
        <w:t>გარემოს</w:t>
      </w:r>
      <w:r w:rsidRPr="003D733D">
        <w:t xml:space="preserve"> </w:t>
      </w:r>
      <w:r w:rsidRPr="003D733D">
        <w:rPr>
          <w:rFonts w:ascii="Sylfaen" w:hAnsi="Sylfaen" w:cs="Sylfaen"/>
        </w:rPr>
        <w:t>დაცვისა</w:t>
      </w:r>
      <w:r w:rsidRPr="003D733D">
        <w:t xml:space="preserve"> </w:t>
      </w:r>
      <w:r w:rsidRPr="003D733D">
        <w:rPr>
          <w:rFonts w:ascii="Sylfaen" w:hAnsi="Sylfaen" w:cs="Sylfaen"/>
        </w:rPr>
        <w:t>და</w:t>
      </w:r>
      <w:r w:rsidRPr="003D733D">
        <w:t xml:space="preserve"> </w:t>
      </w:r>
      <w:r w:rsidRPr="003D733D">
        <w:rPr>
          <w:rFonts w:ascii="Sylfaen" w:hAnsi="Sylfaen" w:cs="Sylfaen"/>
        </w:rPr>
        <w:t>სოფლის</w:t>
      </w:r>
      <w:r w:rsidRPr="003D733D">
        <w:t xml:space="preserve"> </w:t>
      </w:r>
      <w:r w:rsidRPr="003D733D">
        <w:rPr>
          <w:rFonts w:ascii="Sylfaen" w:hAnsi="Sylfaen" w:cs="Sylfaen"/>
        </w:rPr>
        <w:t>მეურნეობის</w:t>
      </w:r>
      <w:r w:rsidRPr="003D733D">
        <w:t xml:space="preserve"> </w:t>
      </w:r>
      <w:r w:rsidRPr="003D733D">
        <w:rPr>
          <w:rFonts w:ascii="Sylfaen" w:hAnsi="Sylfaen" w:cs="Sylfaen"/>
        </w:rPr>
        <w:t>სამინისტრო</w:t>
      </w:r>
      <w:r w:rsidRPr="003D733D">
        <w:t xml:space="preserve"> </w:t>
      </w:r>
      <w:r w:rsidRPr="003D733D">
        <w:rPr>
          <w:rFonts w:ascii="Sylfaen" w:hAnsi="Sylfaen" w:cs="Sylfaen"/>
        </w:rPr>
        <w:t>წარმოადგენს</w:t>
      </w:r>
      <w:r w:rsidRPr="003D733D">
        <w:t xml:space="preserve"> </w:t>
      </w:r>
      <w:r w:rsidRPr="003D733D">
        <w:rPr>
          <w:rFonts w:ascii="Sylfaen" w:hAnsi="Sylfaen" w:cs="Sylfaen"/>
        </w:rPr>
        <w:t>ძირითად</w:t>
      </w:r>
      <w:r w:rsidRPr="003D733D">
        <w:t xml:space="preserve"> </w:t>
      </w:r>
      <w:r w:rsidRPr="003D733D">
        <w:rPr>
          <w:rFonts w:ascii="Sylfaen" w:hAnsi="Sylfaen" w:cs="Sylfaen"/>
        </w:rPr>
        <w:t>უწყებას</w:t>
      </w:r>
      <w:r w:rsidRPr="003D733D">
        <w:t xml:space="preserve">, </w:t>
      </w:r>
      <w:r w:rsidRPr="003D733D">
        <w:rPr>
          <w:rFonts w:ascii="Sylfaen" w:hAnsi="Sylfaen" w:cs="Sylfaen"/>
        </w:rPr>
        <w:t>რომელსაც</w:t>
      </w:r>
      <w:r w:rsidRPr="003D733D">
        <w:t xml:space="preserve"> </w:t>
      </w:r>
      <w:r w:rsidRPr="003D733D">
        <w:rPr>
          <w:rFonts w:ascii="Sylfaen" w:hAnsi="Sylfaen" w:cs="Sylfaen"/>
        </w:rPr>
        <w:t>ევალება</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მართვის</w:t>
      </w:r>
      <w:r w:rsidRPr="003D733D">
        <w:t xml:space="preserve"> </w:t>
      </w:r>
      <w:r w:rsidRPr="003D733D">
        <w:rPr>
          <w:rFonts w:ascii="Sylfaen" w:hAnsi="Sylfaen" w:cs="Sylfaen"/>
        </w:rPr>
        <w:t>სფეროში</w:t>
      </w:r>
      <w:r w:rsidRPr="003D733D">
        <w:t xml:space="preserve"> </w:t>
      </w:r>
      <w:r w:rsidRPr="003D733D">
        <w:rPr>
          <w:rFonts w:ascii="Sylfaen" w:hAnsi="Sylfaen" w:cs="Sylfaen"/>
        </w:rPr>
        <w:t>სახელმწიფო</w:t>
      </w:r>
      <w:r w:rsidRPr="003D733D">
        <w:t xml:space="preserve"> </w:t>
      </w:r>
      <w:r w:rsidRPr="003D733D">
        <w:rPr>
          <w:rFonts w:ascii="Sylfaen" w:hAnsi="Sylfaen" w:cs="Sylfaen"/>
        </w:rPr>
        <w:t>პოლიტიკის</w:t>
      </w:r>
      <w:r w:rsidRPr="003D733D">
        <w:t xml:space="preserve"> </w:t>
      </w:r>
      <w:r w:rsidRPr="003D733D">
        <w:rPr>
          <w:rFonts w:ascii="Sylfaen" w:hAnsi="Sylfaen" w:cs="Sylfaen"/>
        </w:rPr>
        <w:t>შემუშავება</w:t>
      </w:r>
      <w:r w:rsidRPr="003D733D">
        <w:t xml:space="preserve"> </w:t>
      </w:r>
      <w:r w:rsidRPr="003D733D">
        <w:rPr>
          <w:rFonts w:ascii="Sylfaen" w:hAnsi="Sylfaen" w:cs="Sylfaen"/>
        </w:rPr>
        <w:t>და</w:t>
      </w:r>
      <w:r w:rsidRPr="003D733D">
        <w:t xml:space="preserve"> </w:t>
      </w:r>
      <w:r w:rsidRPr="003D733D">
        <w:rPr>
          <w:rFonts w:ascii="Sylfaen" w:hAnsi="Sylfaen" w:cs="Sylfaen"/>
        </w:rPr>
        <w:t>გატარება</w:t>
      </w:r>
      <w:r w:rsidRPr="003D733D">
        <w:t xml:space="preserve">. </w:t>
      </w:r>
      <w:r w:rsidRPr="003D733D">
        <w:rPr>
          <w:rFonts w:ascii="Sylfaen" w:hAnsi="Sylfaen" w:cs="Sylfaen"/>
        </w:rPr>
        <w:t>გარემოს</w:t>
      </w:r>
      <w:r w:rsidRPr="003D733D">
        <w:t xml:space="preserve"> </w:t>
      </w:r>
      <w:r w:rsidRPr="003D733D">
        <w:rPr>
          <w:rFonts w:ascii="Sylfaen" w:hAnsi="Sylfaen" w:cs="Sylfaen"/>
        </w:rPr>
        <w:t>დაცვისა</w:t>
      </w:r>
      <w:r w:rsidRPr="003D733D">
        <w:t xml:space="preserve"> </w:t>
      </w:r>
      <w:r w:rsidRPr="003D733D">
        <w:rPr>
          <w:rFonts w:ascii="Sylfaen" w:hAnsi="Sylfaen" w:cs="Sylfaen"/>
        </w:rPr>
        <w:t>და</w:t>
      </w:r>
      <w:r w:rsidRPr="003D733D">
        <w:t xml:space="preserve"> </w:t>
      </w:r>
      <w:r w:rsidRPr="003D733D">
        <w:rPr>
          <w:rFonts w:ascii="Sylfaen" w:hAnsi="Sylfaen" w:cs="Sylfaen"/>
        </w:rPr>
        <w:t>სოფლის</w:t>
      </w:r>
      <w:r w:rsidRPr="003D733D">
        <w:t xml:space="preserve"> </w:t>
      </w:r>
      <w:r w:rsidRPr="003D733D">
        <w:rPr>
          <w:rFonts w:ascii="Sylfaen" w:hAnsi="Sylfaen" w:cs="Sylfaen"/>
        </w:rPr>
        <w:t>მეურნეობის</w:t>
      </w:r>
      <w:r w:rsidRPr="003D733D">
        <w:t xml:space="preserve"> </w:t>
      </w:r>
      <w:r w:rsidRPr="003D733D">
        <w:rPr>
          <w:rFonts w:ascii="Sylfaen" w:hAnsi="Sylfaen" w:cs="Sylfaen"/>
        </w:rPr>
        <w:t>სამინისტროკომპეტენციებს</w:t>
      </w:r>
      <w:r w:rsidRPr="003D733D">
        <w:t xml:space="preserve"> </w:t>
      </w:r>
      <w:r w:rsidRPr="003D733D">
        <w:rPr>
          <w:rFonts w:ascii="Sylfaen" w:hAnsi="Sylfaen" w:cs="Sylfaen"/>
        </w:rPr>
        <w:t>განეკუთვნება</w:t>
      </w:r>
      <w:r w:rsidRPr="003D733D">
        <w:t xml:space="preserve">: </w:t>
      </w:r>
    </w:p>
    <w:p w14:paraId="2D43768D" w14:textId="77777777" w:rsidR="00A2588D" w:rsidRPr="003D733D" w:rsidRDefault="00A2588D" w:rsidP="00A2588D">
      <w:pPr>
        <w:spacing w:before="120" w:after="120"/>
      </w:pPr>
      <w:r w:rsidRPr="003D733D">
        <w:rPr>
          <w:rFonts w:ascii="Sylfaen" w:hAnsi="Sylfaen" w:cs="Sylfaen"/>
        </w:rPr>
        <w:t>ა</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მართვის</w:t>
      </w:r>
      <w:r w:rsidRPr="003D733D">
        <w:t xml:space="preserve"> </w:t>
      </w:r>
      <w:r w:rsidRPr="003D733D">
        <w:rPr>
          <w:rFonts w:ascii="Sylfaen" w:hAnsi="Sylfaen" w:cs="Sylfaen"/>
        </w:rPr>
        <w:t>ერთიანი</w:t>
      </w:r>
      <w:r w:rsidRPr="003D733D">
        <w:t xml:space="preserve"> </w:t>
      </w:r>
      <w:r w:rsidRPr="003D733D">
        <w:rPr>
          <w:rFonts w:ascii="Sylfaen" w:hAnsi="Sylfaen" w:cs="Sylfaen"/>
        </w:rPr>
        <w:t>სახელმწიფო</w:t>
      </w:r>
      <w:r w:rsidRPr="003D733D">
        <w:t xml:space="preserve"> </w:t>
      </w:r>
      <w:r w:rsidRPr="003D733D">
        <w:rPr>
          <w:rFonts w:ascii="Sylfaen" w:hAnsi="Sylfaen" w:cs="Sylfaen"/>
        </w:rPr>
        <w:t>პოლიტიკის</w:t>
      </w:r>
      <w:r w:rsidRPr="003D733D">
        <w:t xml:space="preserve"> </w:t>
      </w:r>
      <w:r w:rsidRPr="003D733D">
        <w:rPr>
          <w:rFonts w:ascii="Sylfaen" w:hAnsi="Sylfaen" w:cs="Sylfaen"/>
        </w:rPr>
        <w:t>შემუშავება</w:t>
      </w:r>
      <w:r w:rsidRPr="003D733D">
        <w:t xml:space="preserve"> </w:t>
      </w:r>
      <w:r w:rsidRPr="003D733D">
        <w:rPr>
          <w:rFonts w:ascii="Sylfaen" w:hAnsi="Sylfaen" w:cs="Sylfaen"/>
        </w:rPr>
        <w:t>და</w:t>
      </w:r>
      <w:r w:rsidRPr="003D733D">
        <w:t xml:space="preserve"> </w:t>
      </w:r>
      <w:r w:rsidRPr="003D733D">
        <w:rPr>
          <w:rFonts w:ascii="Sylfaen" w:hAnsi="Sylfaen" w:cs="Sylfaen"/>
        </w:rPr>
        <w:t>განხორციელება</w:t>
      </w:r>
      <w:r w:rsidRPr="003D733D">
        <w:t xml:space="preserve">; </w:t>
      </w:r>
    </w:p>
    <w:p w14:paraId="1027D64B" w14:textId="77777777" w:rsidR="00A2588D" w:rsidRPr="003D733D" w:rsidRDefault="00A2588D" w:rsidP="00A2588D">
      <w:pPr>
        <w:spacing w:before="120" w:after="120"/>
      </w:pPr>
      <w:r w:rsidRPr="003D733D">
        <w:rPr>
          <w:rFonts w:ascii="Sylfaen" w:hAnsi="Sylfaen" w:cs="Sylfaen"/>
        </w:rPr>
        <w:t>ბ</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სახელმწიფო</w:t>
      </w:r>
      <w:r w:rsidRPr="003D733D">
        <w:t xml:space="preserve"> </w:t>
      </w:r>
      <w:r w:rsidRPr="003D733D">
        <w:rPr>
          <w:rFonts w:ascii="Sylfaen" w:hAnsi="Sylfaen" w:cs="Sylfaen"/>
        </w:rPr>
        <w:t>აღრიცხვა</w:t>
      </w:r>
      <w:r w:rsidRPr="003D733D">
        <w:t xml:space="preserve"> </w:t>
      </w:r>
      <w:r w:rsidRPr="003D733D">
        <w:rPr>
          <w:rFonts w:ascii="Sylfaen" w:hAnsi="Sylfaen" w:cs="Sylfaen"/>
        </w:rPr>
        <w:t>და</w:t>
      </w:r>
      <w:r w:rsidRPr="003D733D">
        <w:t xml:space="preserve"> </w:t>
      </w:r>
      <w:r w:rsidRPr="003D733D">
        <w:rPr>
          <w:rFonts w:ascii="Sylfaen" w:hAnsi="Sylfaen" w:cs="Sylfaen"/>
        </w:rPr>
        <w:t>მონაცემთა</w:t>
      </w:r>
      <w:r w:rsidRPr="003D733D">
        <w:t xml:space="preserve"> </w:t>
      </w:r>
      <w:r w:rsidRPr="003D733D">
        <w:rPr>
          <w:rFonts w:ascii="Sylfaen" w:hAnsi="Sylfaen" w:cs="Sylfaen"/>
        </w:rPr>
        <w:t>ბაზის</w:t>
      </w:r>
      <w:r w:rsidRPr="003D733D">
        <w:t xml:space="preserve"> </w:t>
      </w:r>
      <w:r w:rsidRPr="003D733D">
        <w:rPr>
          <w:rFonts w:ascii="Sylfaen" w:hAnsi="Sylfaen" w:cs="Sylfaen"/>
        </w:rPr>
        <w:t>წარმოება</w:t>
      </w:r>
      <w:r w:rsidRPr="003D733D">
        <w:t xml:space="preserve">; </w:t>
      </w:r>
    </w:p>
    <w:p w14:paraId="6354B144" w14:textId="77777777" w:rsidR="00A2588D" w:rsidRPr="003D733D" w:rsidRDefault="00A2588D" w:rsidP="00A2588D">
      <w:pPr>
        <w:spacing w:before="120" w:after="120"/>
      </w:pPr>
      <w:r w:rsidRPr="003D733D">
        <w:rPr>
          <w:rFonts w:ascii="Sylfaen" w:hAnsi="Sylfaen" w:cs="Sylfaen"/>
        </w:rPr>
        <w:t>გ</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მართვის</w:t>
      </w:r>
      <w:r w:rsidRPr="003D733D">
        <w:t xml:space="preserve"> </w:t>
      </w:r>
      <w:r w:rsidRPr="003D733D">
        <w:rPr>
          <w:rFonts w:ascii="Sylfaen" w:hAnsi="Sylfaen" w:cs="Sylfaen"/>
        </w:rPr>
        <w:t>ეროვნული</w:t>
      </w:r>
      <w:r w:rsidRPr="003D733D">
        <w:t xml:space="preserve"> </w:t>
      </w:r>
      <w:r w:rsidRPr="003D733D">
        <w:rPr>
          <w:rFonts w:ascii="Sylfaen" w:hAnsi="Sylfaen" w:cs="Sylfaen"/>
        </w:rPr>
        <w:t>სტრატეგიისა</w:t>
      </w:r>
      <w:r w:rsidRPr="003D733D">
        <w:t xml:space="preserve"> </w:t>
      </w:r>
      <w:r w:rsidRPr="003D733D">
        <w:rPr>
          <w:rFonts w:ascii="Sylfaen" w:hAnsi="Sylfaen" w:cs="Sylfaen"/>
        </w:rPr>
        <w:t>და</w:t>
      </w:r>
      <w:r w:rsidRPr="003D733D">
        <w:t xml:space="preserve"> </w:t>
      </w:r>
      <w:r w:rsidRPr="003D733D">
        <w:rPr>
          <w:rFonts w:ascii="Sylfaen" w:hAnsi="Sylfaen" w:cs="Sylfaen"/>
        </w:rPr>
        <w:t>ბიოდეგრადირებადი</w:t>
      </w:r>
      <w:r w:rsidRPr="003D733D">
        <w:t xml:space="preserve"> </w:t>
      </w:r>
      <w:r w:rsidRPr="003D733D">
        <w:rPr>
          <w:rFonts w:ascii="Sylfaen" w:hAnsi="Sylfaen" w:cs="Sylfaen"/>
        </w:rPr>
        <w:t>მუნიციპალური</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სტრატეგიის</w:t>
      </w:r>
      <w:r w:rsidRPr="003D733D">
        <w:t xml:space="preserve"> </w:t>
      </w:r>
      <w:r w:rsidRPr="003D733D">
        <w:rPr>
          <w:rFonts w:ascii="Sylfaen" w:hAnsi="Sylfaen" w:cs="Sylfaen"/>
        </w:rPr>
        <w:t>შემუშავება</w:t>
      </w:r>
      <w:r w:rsidRPr="003D733D">
        <w:t xml:space="preserve">; </w:t>
      </w:r>
    </w:p>
    <w:p w14:paraId="43217C7B" w14:textId="77777777" w:rsidR="00A2588D" w:rsidRPr="003D733D" w:rsidRDefault="00A2588D" w:rsidP="00A2588D">
      <w:pPr>
        <w:spacing w:before="120" w:after="120"/>
      </w:pPr>
      <w:r w:rsidRPr="003D733D">
        <w:rPr>
          <w:rFonts w:ascii="Sylfaen" w:hAnsi="Sylfaen" w:cs="Sylfaen"/>
        </w:rPr>
        <w:lastRenderedPageBreak/>
        <w:t>დ</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მართვის</w:t>
      </w:r>
      <w:r w:rsidRPr="003D733D">
        <w:t xml:space="preserve"> </w:t>
      </w:r>
      <w:r w:rsidRPr="003D733D">
        <w:rPr>
          <w:rFonts w:ascii="Sylfaen" w:hAnsi="Sylfaen" w:cs="Sylfaen"/>
        </w:rPr>
        <w:t>ეროვნული</w:t>
      </w:r>
      <w:r w:rsidRPr="003D733D">
        <w:t xml:space="preserve"> </w:t>
      </w:r>
      <w:r w:rsidRPr="003D733D">
        <w:rPr>
          <w:rFonts w:ascii="Sylfaen" w:hAnsi="Sylfaen" w:cs="Sylfaen"/>
        </w:rPr>
        <w:t>სამოქმედო</w:t>
      </w:r>
      <w:r w:rsidRPr="003D733D">
        <w:t xml:space="preserve"> </w:t>
      </w:r>
      <w:r w:rsidRPr="003D733D">
        <w:rPr>
          <w:rFonts w:ascii="Sylfaen" w:hAnsi="Sylfaen" w:cs="Sylfaen"/>
        </w:rPr>
        <w:t>გეგმის</w:t>
      </w:r>
      <w:r w:rsidRPr="003D733D">
        <w:t xml:space="preserve"> </w:t>
      </w:r>
      <w:r w:rsidRPr="003D733D">
        <w:rPr>
          <w:rFonts w:ascii="Sylfaen" w:hAnsi="Sylfaen" w:cs="Sylfaen"/>
        </w:rPr>
        <w:t>შემუშავება</w:t>
      </w:r>
      <w:r w:rsidRPr="003D733D">
        <w:t xml:space="preserve">, </w:t>
      </w:r>
      <w:r w:rsidRPr="003D733D">
        <w:rPr>
          <w:rFonts w:ascii="Sylfaen" w:hAnsi="Sylfaen" w:cs="Sylfaen"/>
        </w:rPr>
        <w:t>მისი</w:t>
      </w:r>
      <w:r w:rsidRPr="003D733D">
        <w:t xml:space="preserve"> </w:t>
      </w:r>
      <w:r w:rsidRPr="003D733D">
        <w:rPr>
          <w:rFonts w:ascii="Sylfaen" w:hAnsi="Sylfaen" w:cs="Sylfaen"/>
        </w:rPr>
        <w:t>განხორციელების</w:t>
      </w:r>
      <w:r w:rsidRPr="003D733D">
        <w:t xml:space="preserve"> </w:t>
      </w:r>
      <w:r w:rsidRPr="003D733D">
        <w:rPr>
          <w:rFonts w:ascii="Sylfaen" w:hAnsi="Sylfaen" w:cs="Sylfaen"/>
        </w:rPr>
        <w:t>კოორდინაცია</w:t>
      </w:r>
      <w:r w:rsidRPr="003D733D">
        <w:t xml:space="preserve"> </w:t>
      </w:r>
      <w:r w:rsidRPr="003D733D">
        <w:rPr>
          <w:rFonts w:ascii="Sylfaen" w:hAnsi="Sylfaen" w:cs="Sylfaen"/>
        </w:rPr>
        <w:t>და</w:t>
      </w:r>
      <w:r w:rsidRPr="003D733D">
        <w:t xml:space="preserve"> </w:t>
      </w:r>
      <w:r w:rsidRPr="003D733D">
        <w:rPr>
          <w:rFonts w:ascii="Sylfaen" w:hAnsi="Sylfaen" w:cs="Sylfaen"/>
        </w:rPr>
        <w:t>ანგარიშის</w:t>
      </w:r>
      <w:r w:rsidRPr="003D733D">
        <w:t xml:space="preserve"> </w:t>
      </w:r>
      <w:r w:rsidRPr="003D733D">
        <w:rPr>
          <w:rFonts w:ascii="Sylfaen" w:hAnsi="Sylfaen" w:cs="Sylfaen"/>
        </w:rPr>
        <w:t>წარდგენა</w:t>
      </w:r>
      <w:r w:rsidRPr="003D733D">
        <w:t xml:space="preserve">; </w:t>
      </w:r>
    </w:p>
    <w:p w14:paraId="76B16168" w14:textId="77777777" w:rsidR="00A2588D" w:rsidRPr="003D733D" w:rsidRDefault="00A2588D" w:rsidP="00A2588D">
      <w:pPr>
        <w:spacing w:before="120" w:after="120"/>
      </w:pPr>
      <w:r w:rsidRPr="003D733D">
        <w:rPr>
          <w:rFonts w:ascii="Sylfaen" w:hAnsi="Sylfaen" w:cs="Sylfaen"/>
        </w:rPr>
        <w:t>ე</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მართვასთან</w:t>
      </w:r>
      <w:r w:rsidRPr="003D733D">
        <w:t xml:space="preserve"> </w:t>
      </w:r>
      <w:r w:rsidRPr="003D733D">
        <w:rPr>
          <w:rFonts w:ascii="Sylfaen" w:hAnsi="Sylfaen" w:cs="Sylfaen"/>
        </w:rPr>
        <w:t>დაკავშირებულ</w:t>
      </w:r>
      <w:r w:rsidRPr="003D733D">
        <w:t xml:space="preserve"> </w:t>
      </w:r>
      <w:r w:rsidRPr="003D733D">
        <w:rPr>
          <w:rFonts w:ascii="Sylfaen" w:hAnsi="Sylfaen" w:cs="Sylfaen"/>
        </w:rPr>
        <w:t>საქმიანობებზე</w:t>
      </w:r>
      <w:r w:rsidRPr="003D733D">
        <w:t xml:space="preserve"> </w:t>
      </w:r>
      <w:r w:rsidRPr="003D733D">
        <w:rPr>
          <w:rFonts w:ascii="Sylfaen" w:hAnsi="Sylfaen" w:cs="Sylfaen"/>
        </w:rPr>
        <w:t>ნებართვის</w:t>
      </w:r>
      <w:r w:rsidRPr="003D733D">
        <w:t xml:space="preserve"> </w:t>
      </w:r>
      <w:r w:rsidRPr="003D733D">
        <w:rPr>
          <w:rFonts w:ascii="Sylfaen" w:hAnsi="Sylfaen" w:cs="Sylfaen"/>
        </w:rPr>
        <w:t>გაცემა</w:t>
      </w:r>
      <w:r w:rsidRPr="003D733D">
        <w:t xml:space="preserve"> </w:t>
      </w:r>
      <w:r w:rsidRPr="003D733D">
        <w:rPr>
          <w:rFonts w:ascii="Sylfaen" w:hAnsi="Sylfaen" w:cs="Sylfaen"/>
        </w:rPr>
        <w:t>და</w:t>
      </w:r>
      <w:r w:rsidRPr="003D733D">
        <w:t xml:space="preserve"> </w:t>
      </w:r>
      <w:r w:rsidRPr="003D733D">
        <w:rPr>
          <w:rFonts w:ascii="Sylfaen" w:hAnsi="Sylfaen" w:cs="Sylfaen"/>
        </w:rPr>
        <w:t>რეგისტრაციის</w:t>
      </w:r>
      <w:r w:rsidRPr="003D733D">
        <w:t xml:space="preserve"> </w:t>
      </w:r>
      <w:r w:rsidRPr="003D733D">
        <w:rPr>
          <w:rFonts w:ascii="Sylfaen" w:hAnsi="Sylfaen" w:cs="Sylfaen"/>
        </w:rPr>
        <w:t>წარმოება</w:t>
      </w:r>
      <w:r w:rsidRPr="003D733D">
        <w:t xml:space="preserve">; </w:t>
      </w:r>
    </w:p>
    <w:p w14:paraId="0DF2D41C" w14:textId="77777777" w:rsidR="00A2588D" w:rsidRPr="003D733D" w:rsidRDefault="00A2588D" w:rsidP="00A2588D">
      <w:pPr>
        <w:spacing w:before="120" w:after="120"/>
      </w:pPr>
      <w:r w:rsidRPr="003D733D">
        <w:rPr>
          <w:rFonts w:ascii="Sylfaen" w:hAnsi="Sylfaen" w:cs="Sylfaen"/>
        </w:rPr>
        <w:t>ვ</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პრევენციის</w:t>
      </w:r>
      <w:r w:rsidRPr="003D733D">
        <w:t xml:space="preserve">, </w:t>
      </w:r>
      <w:r w:rsidRPr="003D733D">
        <w:rPr>
          <w:rFonts w:ascii="Sylfaen" w:hAnsi="Sylfaen" w:cs="Sylfaen"/>
        </w:rPr>
        <w:t>სეპარირების</w:t>
      </w:r>
      <w:r w:rsidRPr="003D733D">
        <w:t xml:space="preserve">, </w:t>
      </w:r>
      <w:r w:rsidRPr="003D733D">
        <w:rPr>
          <w:rFonts w:ascii="Sylfaen" w:hAnsi="Sylfaen" w:cs="Sylfaen"/>
        </w:rPr>
        <w:t>ხელახალი</w:t>
      </w:r>
      <w:r w:rsidRPr="003D733D">
        <w:t xml:space="preserve"> </w:t>
      </w:r>
      <w:r w:rsidRPr="003D733D">
        <w:rPr>
          <w:rFonts w:ascii="Sylfaen" w:hAnsi="Sylfaen" w:cs="Sylfaen"/>
        </w:rPr>
        <w:t>გამოყენებისა</w:t>
      </w:r>
      <w:r w:rsidRPr="003D733D">
        <w:t xml:space="preserve"> </w:t>
      </w:r>
      <w:r w:rsidRPr="003D733D">
        <w:rPr>
          <w:rFonts w:ascii="Sylfaen" w:hAnsi="Sylfaen" w:cs="Sylfaen"/>
        </w:rPr>
        <w:t>და</w:t>
      </w:r>
      <w:r w:rsidRPr="003D733D">
        <w:t xml:space="preserve"> </w:t>
      </w:r>
      <w:r w:rsidRPr="003D733D">
        <w:rPr>
          <w:rFonts w:ascii="Sylfaen" w:hAnsi="Sylfaen" w:cs="Sylfaen"/>
        </w:rPr>
        <w:t>რეციკლირების</w:t>
      </w:r>
      <w:r w:rsidRPr="003D733D">
        <w:t xml:space="preserve"> </w:t>
      </w:r>
      <w:r w:rsidRPr="003D733D">
        <w:rPr>
          <w:rFonts w:ascii="Sylfaen" w:hAnsi="Sylfaen" w:cs="Sylfaen"/>
        </w:rPr>
        <w:t>ღონისძიებების</w:t>
      </w:r>
      <w:r w:rsidRPr="003D733D">
        <w:t xml:space="preserve"> </w:t>
      </w:r>
      <w:r w:rsidRPr="003D733D">
        <w:rPr>
          <w:rFonts w:ascii="Sylfaen" w:hAnsi="Sylfaen" w:cs="Sylfaen"/>
        </w:rPr>
        <w:t>ხელშეწყობა</w:t>
      </w:r>
      <w:r w:rsidRPr="003D733D">
        <w:t xml:space="preserve">; </w:t>
      </w:r>
    </w:p>
    <w:p w14:paraId="37BFFD6E" w14:textId="77777777" w:rsidR="00A2588D" w:rsidRPr="003D733D" w:rsidRDefault="00A2588D" w:rsidP="00A2588D">
      <w:pPr>
        <w:spacing w:before="120" w:after="120"/>
      </w:pPr>
      <w:r w:rsidRPr="003D733D">
        <w:rPr>
          <w:rFonts w:ascii="Sylfaen" w:hAnsi="Sylfaen" w:cs="Sylfaen"/>
        </w:rPr>
        <w:t>ზ</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მართვასთან</w:t>
      </w:r>
      <w:r w:rsidRPr="003D733D">
        <w:t xml:space="preserve"> </w:t>
      </w:r>
      <w:r w:rsidRPr="003D733D">
        <w:rPr>
          <w:rFonts w:ascii="Sylfaen" w:hAnsi="Sylfaen" w:cs="Sylfaen"/>
        </w:rPr>
        <w:t>დაკავშირებული</w:t>
      </w:r>
      <w:r w:rsidRPr="003D733D">
        <w:t xml:space="preserve"> </w:t>
      </w:r>
      <w:r w:rsidRPr="003D733D">
        <w:rPr>
          <w:rFonts w:ascii="Sylfaen" w:hAnsi="Sylfaen" w:cs="Sylfaen"/>
        </w:rPr>
        <w:t>სახელმწიფო</w:t>
      </w:r>
      <w:r w:rsidRPr="003D733D">
        <w:t xml:space="preserve"> </w:t>
      </w:r>
      <w:r w:rsidRPr="003D733D">
        <w:rPr>
          <w:rFonts w:ascii="Sylfaen" w:hAnsi="Sylfaen" w:cs="Sylfaen"/>
        </w:rPr>
        <w:t>კონტროლის</w:t>
      </w:r>
      <w:r w:rsidRPr="003D733D">
        <w:t xml:space="preserve"> </w:t>
      </w:r>
      <w:r w:rsidRPr="003D733D">
        <w:rPr>
          <w:rFonts w:ascii="Sylfaen" w:hAnsi="Sylfaen" w:cs="Sylfaen"/>
        </w:rPr>
        <w:t>განხორციელება</w:t>
      </w:r>
      <w:r w:rsidRPr="003D733D">
        <w:t>.</w:t>
      </w:r>
    </w:p>
    <w:p w14:paraId="5B6A34D5" w14:textId="77777777" w:rsidR="00A2588D" w:rsidRPr="003D733D" w:rsidRDefault="00A2588D" w:rsidP="00A2588D">
      <w:pPr>
        <w:spacing w:before="120" w:after="120"/>
      </w:pPr>
      <w:r w:rsidRPr="003D733D">
        <w:rPr>
          <w:rFonts w:ascii="Sylfaen" w:hAnsi="Sylfaen" w:cs="Sylfaen"/>
        </w:rPr>
        <w:t>საქართველოს</w:t>
      </w:r>
      <w:r w:rsidRPr="003D733D">
        <w:t xml:space="preserve"> </w:t>
      </w:r>
      <w:r w:rsidRPr="003D733D">
        <w:rPr>
          <w:rFonts w:ascii="Sylfaen" w:hAnsi="Sylfaen" w:cs="Sylfaen"/>
        </w:rPr>
        <w:t>შრომის</w:t>
      </w:r>
      <w:r w:rsidRPr="003D733D">
        <w:t xml:space="preserve">, </w:t>
      </w:r>
      <w:r w:rsidRPr="003D733D">
        <w:rPr>
          <w:rFonts w:ascii="Sylfaen" w:hAnsi="Sylfaen" w:cs="Sylfaen"/>
        </w:rPr>
        <w:t>ჯანმრთელობისა</w:t>
      </w:r>
      <w:r w:rsidRPr="003D733D">
        <w:t xml:space="preserve"> </w:t>
      </w:r>
      <w:r w:rsidRPr="003D733D">
        <w:rPr>
          <w:rFonts w:ascii="Sylfaen" w:hAnsi="Sylfaen" w:cs="Sylfaen"/>
        </w:rPr>
        <w:t>და</w:t>
      </w:r>
      <w:r w:rsidRPr="003D733D">
        <w:t xml:space="preserve"> </w:t>
      </w:r>
      <w:r w:rsidRPr="003D733D">
        <w:rPr>
          <w:rFonts w:ascii="Sylfaen" w:hAnsi="Sylfaen" w:cs="Sylfaen"/>
        </w:rPr>
        <w:t>სოციალური</w:t>
      </w:r>
      <w:r w:rsidRPr="003D733D">
        <w:t xml:space="preserve"> </w:t>
      </w:r>
      <w:r w:rsidRPr="003D733D">
        <w:rPr>
          <w:rFonts w:ascii="Sylfaen" w:hAnsi="Sylfaen" w:cs="Sylfaen"/>
        </w:rPr>
        <w:t>დაცვის</w:t>
      </w:r>
      <w:r w:rsidRPr="003D733D">
        <w:t xml:space="preserve"> </w:t>
      </w:r>
      <w:r w:rsidRPr="003D733D">
        <w:rPr>
          <w:rFonts w:ascii="Sylfaen" w:hAnsi="Sylfaen" w:cs="Sylfaen"/>
        </w:rPr>
        <w:t>სამინისტრო</w:t>
      </w:r>
      <w:r w:rsidRPr="003D733D">
        <w:t xml:space="preserve">, </w:t>
      </w:r>
      <w:r w:rsidRPr="003D733D">
        <w:rPr>
          <w:rFonts w:ascii="Sylfaen" w:hAnsi="Sylfaen" w:cs="Sylfaen"/>
        </w:rPr>
        <w:t>გარემოს</w:t>
      </w:r>
      <w:r w:rsidRPr="003D733D">
        <w:t xml:space="preserve"> </w:t>
      </w:r>
      <w:r w:rsidRPr="003D733D">
        <w:rPr>
          <w:rFonts w:ascii="Sylfaen" w:hAnsi="Sylfaen" w:cs="Sylfaen"/>
        </w:rPr>
        <w:t>დაცვისა</w:t>
      </w:r>
      <w:r w:rsidRPr="003D733D">
        <w:t xml:space="preserve"> </w:t>
      </w:r>
      <w:r w:rsidRPr="003D733D">
        <w:rPr>
          <w:rFonts w:ascii="Sylfaen" w:hAnsi="Sylfaen" w:cs="Sylfaen"/>
        </w:rPr>
        <w:t>და</w:t>
      </w:r>
      <w:r w:rsidRPr="003D733D">
        <w:t xml:space="preserve"> </w:t>
      </w:r>
      <w:r w:rsidRPr="003D733D">
        <w:rPr>
          <w:rFonts w:ascii="Sylfaen" w:hAnsi="Sylfaen" w:cs="Sylfaen"/>
        </w:rPr>
        <w:t>სოფლის</w:t>
      </w:r>
      <w:r w:rsidRPr="003D733D">
        <w:t xml:space="preserve"> </w:t>
      </w:r>
      <w:r w:rsidRPr="003D733D">
        <w:rPr>
          <w:rFonts w:ascii="Sylfaen" w:hAnsi="Sylfaen" w:cs="Sylfaen"/>
        </w:rPr>
        <w:t>მეურნეობის</w:t>
      </w:r>
      <w:r w:rsidRPr="003D733D">
        <w:t xml:space="preserve"> </w:t>
      </w:r>
      <w:r w:rsidRPr="003D733D">
        <w:rPr>
          <w:rFonts w:ascii="Sylfaen" w:hAnsi="Sylfaen" w:cs="Sylfaen"/>
        </w:rPr>
        <w:t>სამინისტროთან</w:t>
      </w:r>
      <w:r w:rsidRPr="003D733D">
        <w:t xml:space="preserve"> </w:t>
      </w:r>
      <w:r w:rsidRPr="003D733D">
        <w:rPr>
          <w:rFonts w:ascii="Sylfaen" w:hAnsi="Sylfaen" w:cs="Sylfaen"/>
        </w:rPr>
        <w:t>ერთად</w:t>
      </w:r>
      <w:r w:rsidRPr="003D733D">
        <w:t xml:space="preserve">, </w:t>
      </w:r>
      <w:r w:rsidRPr="003D733D">
        <w:rPr>
          <w:rFonts w:ascii="Sylfaen" w:hAnsi="Sylfaen" w:cs="Sylfaen"/>
        </w:rPr>
        <w:t>არეგულირებს</w:t>
      </w:r>
      <w:r w:rsidRPr="003D733D">
        <w:t xml:space="preserve"> </w:t>
      </w:r>
      <w:r w:rsidRPr="003D733D">
        <w:rPr>
          <w:rFonts w:ascii="Sylfaen" w:hAnsi="Sylfaen" w:cs="Sylfaen"/>
        </w:rPr>
        <w:t>და</w:t>
      </w:r>
      <w:r w:rsidRPr="003D733D">
        <w:t xml:space="preserve"> </w:t>
      </w:r>
      <w:r w:rsidRPr="003D733D">
        <w:rPr>
          <w:rFonts w:ascii="Sylfaen" w:hAnsi="Sylfaen" w:cs="Sylfaen"/>
        </w:rPr>
        <w:t>აკონტროლებს</w:t>
      </w:r>
      <w:r w:rsidRPr="003D733D">
        <w:t xml:space="preserve"> </w:t>
      </w:r>
      <w:r w:rsidRPr="003D733D">
        <w:rPr>
          <w:rFonts w:ascii="Sylfaen" w:hAnsi="Sylfaen" w:cs="Sylfaen"/>
        </w:rPr>
        <w:t>სამედიცინო</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მართვას</w:t>
      </w:r>
      <w:r w:rsidRPr="003D733D">
        <w:t xml:space="preserve"> </w:t>
      </w:r>
      <w:r w:rsidRPr="003D733D">
        <w:rPr>
          <w:rFonts w:ascii="Sylfaen" w:hAnsi="Sylfaen" w:cs="Sylfaen"/>
        </w:rPr>
        <w:t>კანონმდებლობით</w:t>
      </w:r>
      <w:r w:rsidRPr="003D733D">
        <w:t xml:space="preserve"> </w:t>
      </w:r>
      <w:r w:rsidRPr="003D733D">
        <w:rPr>
          <w:rFonts w:ascii="Sylfaen" w:hAnsi="Sylfaen" w:cs="Sylfaen"/>
        </w:rPr>
        <w:t>დადგენილი</w:t>
      </w:r>
      <w:r w:rsidRPr="003D733D">
        <w:t xml:space="preserve"> </w:t>
      </w:r>
      <w:r w:rsidRPr="003D733D">
        <w:rPr>
          <w:rFonts w:ascii="Sylfaen" w:hAnsi="Sylfaen" w:cs="Sylfaen"/>
        </w:rPr>
        <w:t>წესით</w:t>
      </w:r>
      <w:r w:rsidRPr="003D733D">
        <w:t>.</w:t>
      </w:r>
    </w:p>
    <w:p w14:paraId="1479C159" w14:textId="77777777" w:rsidR="00A2588D" w:rsidRPr="003D733D" w:rsidRDefault="00A2588D" w:rsidP="00A2588D">
      <w:pPr>
        <w:spacing w:before="120" w:after="120"/>
      </w:pPr>
      <w:r w:rsidRPr="003D733D">
        <w:rPr>
          <w:rFonts w:ascii="Sylfaen" w:hAnsi="Sylfaen" w:cs="Sylfaen"/>
        </w:rPr>
        <w:t>საქართველოს</w:t>
      </w:r>
      <w:r w:rsidRPr="003D733D">
        <w:t xml:space="preserve"> </w:t>
      </w:r>
      <w:r w:rsidRPr="003D733D">
        <w:rPr>
          <w:rFonts w:ascii="Sylfaen" w:hAnsi="Sylfaen" w:cs="Sylfaen"/>
        </w:rPr>
        <w:t>გარემოს</w:t>
      </w:r>
      <w:r w:rsidRPr="003D733D">
        <w:t xml:space="preserve"> </w:t>
      </w:r>
      <w:r w:rsidRPr="003D733D">
        <w:rPr>
          <w:rFonts w:ascii="Sylfaen" w:hAnsi="Sylfaen" w:cs="Sylfaen"/>
        </w:rPr>
        <w:t>დაცვის</w:t>
      </w:r>
      <w:r w:rsidRPr="003D733D">
        <w:t xml:space="preserve"> </w:t>
      </w:r>
      <w:r w:rsidRPr="003D733D">
        <w:rPr>
          <w:rFonts w:ascii="Sylfaen" w:hAnsi="Sylfaen" w:cs="Sylfaen"/>
        </w:rPr>
        <w:t>და</w:t>
      </w:r>
      <w:r w:rsidRPr="003D733D">
        <w:t xml:space="preserve"> </w:t>
      </w:r>
      <w:r w:rsidRPr="003D733D">
        <w:rPr>
          <w:rFonts w:ascii="Sylfaen" w:hAnsi="Sylfaen" w:cs="Sylfaen"/>
        </w:rPr>
        <w:t>სოფლის</w:t>
      </w:r>
      <w:r w:rsidRPr="003D733D">
        <w:t xml:space="preserve"> </w:t>
      </w:r>
      <w:r w:rsidRPr="003D733D">
        <w:rPr>
          <w:rFonts w:ascii="Sylfaen" w:hAnsi="Sylfaen" w:cs="Sylfaen"/>
        </w:rPr>
        <w:t>მეურნეობის</w:t>
      </w:r>
      <w:r w:rsidRPr="003D733D">
        <w:t xml:space="preserve"> </w:t>
      </w:r>
      <w:r w:rsidRPr="003D733D">
        <w:rPr>
          <w:rFonts w:ascii="Sylfaen" w:hAnsi="Sylfaen" w:cs="Sylfaen"/>
        </w:rPr>
        <w:t>სამინისტრო</w:t>
      </w:r>
      <w:r w:rsidRPr="003D733D">
        <w:t xml:space="preserve">,  </w:t>
      </w:r>
      <w:r w:rsidRPr="003D733D">
        <w:rPr>
          <w:rFonts w:ascii="Sylfaen" w:hAnsi="Sylfaen" w:cs="Sylfaen"/>
        </w:rPr>
        <w:t>არეგულირებს</w:t>
      </w:r>
      <w:r w:rsidRPr="003D733D">
        <w:t xml:space="preserve"> </w:t>
      </w:r>
      <w:r w:rsidRPr="003D733D">
        <w:rPr>
          <w:rFonts w:ascii="Sylfaen" w:hAnsi="Sylfaen" w:cs="Sylfaen"/>
        </w:rPr>
        <w:t>და</w:t>
      </w:r>
      <w:r w:rsidRPr="003D733D">
        <w:t xml:space="preserve"> </w:t>
      </w:r>
      <w:r w:rsidRPr="003D733D">
        <w:rPr>
          <w:rFonts w:ascii="Sylfaen" w:hAnsi="Sylfaen" w:cs="Sylfaen"/>
        </w:rPr>
        <w:t>ზედამხედველობას</w:t>
      </w:r>
      <w:r w:rsidRPr="003D733D">
        <w:t xml:space="preserve"> </w:t>
      </w:r>
      <w:r w:rsidRPr="003D733D">
        <w:rPr>
          <w:rFonts w:ascii="Sylfaen" w:hAnsi="Sylfaen" w:cs="Sylfaen"/>
        </w:rPr>
        <w:t>უწევს</w:t>
      </w:r>
      <w:r w:rsidRPr="003D733D">
        <w:t xml:space="preserve"> </w:t>
      </w:r>
      <w:r w:rsidRPr="003D733D">
        <w:rPr>
          <w:rFonts w:ascii="Sylfaen" w:hAnsi="Sylfaen" w:cs="Sylfaen"/>
        </w:rPr>
        <w:t>ცხოველური</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მართვას</w:t>
      </w:r>
      <w:r w:rsidRPr="003D733D">
        <w:t xml:space="preserve"> </w:t>
      </w:r>
      <w:r w:rsidRPr="003D733D">
        <w:rPr>
          <w:rFonts w:ascii="Sylfaen" w:hAnsi="Sylfaen" w:cs="Sylfaen"/>
        </w:rPr>
        <w:t>კანონმდებლობით</w:t>
      </w:r>
      <w:r w:rsidRPr="003D733D">
        <w:t xml:space="preserve"> </w:t>
      </w:r>
      <w:r w:rsidRPr="003D733D">
        <w:rPr>
          <w:rFonts w:ascii="Sylfaen" w:hAnsi="Sylfaen" w:cs="Sylfaen"/>
        </w:rPr>
        <w:t>დადგენილი</w:t>
      </w:r>
      <w:r w:rsidRPr="003D733D">
        <w:t xml:space="preserve"> </w:t>
      </w:r>
      <w:r w:rsidRPr="003D733D">
        <w:rPr>
          <w:rFonts w:ascii="Sylfaen" w:hAnsi="Sylfaen" w:cs="Sylfaen"/>
        </w:rPr>
        <w:t>წესით</w:t>
      </w:r>
      <w:r w:rsidRPr="003D733D">
        <w:t>.</w:t>
      </w:r>
    </w:p>
    <w:p w14:paraId="1DFB3160" w14:textId="77777777" w:rsidR="00A2588D" w:rsidRPr="003D733D" w:rsidRDefault="00A2588D" w:rsidP="00A2588D">
      <w:pPr>
        <w:spacing w:before="120" w:after="120"/>
      </w:pPr>
      <w:r w:rsidRPr="003D733D">
        <w:rPr>
          <w:rFonts w:ascii="Sylfaen" w:hAnsi="Sylfaen" w:cs="Sylfaen"/>
        </w:rPr>
        <w:t>საქართველოს</w:t>
      </w:r>
      <w:r w:rsidRPr="003D733D">
        <w:t xml:space="preserve"> </w:t>
      </w:r>
      <w:r w:rsidRPr="003D733D">
        <w:rPr>
          <w:rFonts w:ascii="Sylfaen" w:hAnsi="Sylfaen" w:cs="Sylfaen"/>
        </w:rPr>
        <w:t>ეკონომიკისა</w:t>
      </w:r>
      <w:r w:rsidRPr="003D733D">
        <w:t xml:space="preserve"> </w:t>
      </w:r>
      <w:r w:rsidRPr="003D733D">
        <w:rPr>
          <w:rFonts w:ascii="Sylfaen" w:hAnsi="Sylfaen" w:cs="Sylfaen"/>
        </w:rPr>
        <w:t>და</w:t>
      </w:r>
      <w:r w:rsidRPr="003D733D">
        <w:t xml:space="preserve"> </w:t>
      </w:r>
      <w:r w:rsidRPr="003D733D">
        <w:rPr>
          <w:rFonts w:ascii="Sylfaen" w:hAnsi="Sylfaen" w:cs="Sylfaen"/>
        </w:rPr>
        <w:t>მდგრადი</w:t>
      </w:r>
      <w:r w:rsidRPr="003D733D">
        <w:t xml:space="preserve"> </w:t>
      </w:r>
      <w:r w:rsidRPr="003D733D">
        <w:rPr>
          <w:rFonts w:ascii="Sylfaen" w:hAnsi="Sylfaen" w:cs="Sylfaen"/>
        </w:rPr>
        <w:t>განვითარების</w:t>
      </w:r>
      <w:r w:rsidRPr="003D733D">
        <w:t xml:space="preserve"> </w:t>
      </w:r>
      <w:r w:rsidRPr="003D733D">
        <w:rPr>
          <w:rFonts w:ascii="Sylfaen" w:hAnsi="Sylfaen" w:cs="Sylfaen"/>
        </w:rPr>
        <w:t>სამინისტროს</w:t>
      </w:r>
      <w:r w:rsidRPr="003D733D">
        <w:t xml:space="preserve"> </w:t>
      </w:r>
      <w:r w:rsidRPr="003D733D">
        <w:rPr>
          <w:rFonts w:ascii="Sylfaen" w:hAnsi="Sylfaen" w:cs="Sylfaen"/>
        </w:rPr>
        <w:t>სისტემაში</w:t>
      </w:r>
      <w:r w:rsidRPr="003D733D">
        <w:t xml:space="preserve"> </w:t>
      </w:r>
      <w:r w:rsidRPr="003D733D">
        <w:rPr>
          <w:rFonts w:ascii="Sylfaen" w:hAnsi="Sylfaen" w:cs="Sylfaen"/>
        </w:rPr>
        <w:t>შემავალი</w:t>
      </w:r>
      <w:r w:rsidRPr="003D733D">
        <w:t xml:space="preserve"> </w:t>
      </w:r>
      <w:r w:rsidRPr="003D733D">
        <w:rPr>
          <w:rFonts w:ascii="Sylfaen" w:hAnsi="Sylfaen" w:cs="Sylfaen"/>
        </w:rPr>
        <w:t>შესაბამისი</w:t>
      </w:r>
      <w:r w:rsidRPr="003D733D">
        <w:t xml:space="preserve"> </w:t>
      </w:r>
      <w:r w:rsidRPr="003D733D">
        <w:rPr>
          <w:rFonts w:ascii="Sylfaen" w:hAnsi="Sylfaen" w:cs="Sylfaen"/>
        </w:rPr>
        <w:t>დაწესებულება</w:t>
      </w:r>
      <w:r w:rsidRPr="003D733D">
        <w:t xml:space="preserve"> </w:t>
      </w:r>
      <w:r w:rsidRPr="003D733D">
        <w:rPr>
          <w:rFonts w:ascii="Sylfaen" w:hAnsi="Sylfaen" w:cs="Sylfaen"/>
        </w:rPr>
        <w:t>გასცემს</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გადაზიდვაზე</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საშუალების</w:t>
      </w:r>
      <w:r w:rsidRPr="003D733D">
        <w:t xml:space="preserve"> </w:t>
      </w:r>
      <w:r w:rsidRPr="003D733D">
        <w:rPr>
          <w:rFonts w:ascii="Sylfaen" w:hAnsi="Sylfaen" w:cs="Sylfaen"/>
        </w:rPr>
        <w:t>დაშვების</w:t>
      </w:r>
      <w:r w:rsidRPr="003D733D">
        <w:t xml:space="preserve"> </w:t>
      </w:r>
      <w:r w:rsidRPr="003D733D">
        <w:rPr>
          <w:rFonts w:ascii="Sylfaen" w:hAnsi="Sylfaen" w:cs="Sylfaen"/>
        </w:rPr>
        <w:t>მოწმობას</w:t>
      </w:r>
      <w:r w:rsidRPr="003D733D">
        <w:t>.</w:t>
      </w:r>
    </w:p>
    <w:p w14:paraId="48A1F2A3" w14:textId="77777777" w:rsidR="00A2588D" w:rsidRPr="003D733D" w:rsidRDefault="00A2588D" w:rsidP="00A2588D">
      <w:pPr>
        <w:spacing w:before="120" w:after="120"/>
      </w:pPr>
      <w:r w:rsidRPr="003D733D">
        <w:rPr>
          <w:rFonts w:ascii="Sylfaen" w:hAnsi="Sylfaen" w:cs="Sylfaen"/>
        </w:rPr>
        <w:t>გარემოს</w:t>
      </w:r>
      <w:r w:rsidRPr="003D733D">
        <w:t xml:space="preserve"> </w:t>
      </w:r>
      <w:r w:rsidRPr="003D733D">
        <w:rPr>
          <w:rFonts w:ascii="Sylfaen" w:hAnsi="Sylfaen" w:cs="Sylfaen"/>
        </w:rPr>
        <w:t>დაცვისა</w:t>
      </w:r>
      <w:r w:rsidRPr="003D733D">
        <w:t xml:space="preserve"> </w:t>
      </w:r>
      <w:r w:rsidRPr="003D733D">
        <w:rPr>
          <w:rFonts w:ascii="Sylfaen" w:hAnsi="Sylfaen" w:cs="Sylfaen"/>
        </w:rPr>
        <w:t>და</w:t>
      </w:r>
      <w:r w:rsidRPr="003D733D">
        <w:t xml:space="preserve"> </w:t>
      </w:r>
      <w:r w:rsidRPr="003D733D">
        <w:rPr>
          <w:rFonts w:ascii="Sylfaen" w:hAnsi="Sylfaen" w:cs="Sylfaen"/>
        </w:rPr>
        <w:t>სოფლის</w:t>
      </w:r>
      <w:r w:rsidRPr="003D733D">
        <w:t xml:space="preserve"> </w:t>
      </w:r>
      <w:r w:rsidRPr="003D733D">
        <w:rPr>
          <w:rFonts w:ascii="Sylfaen" w:hAnsi="Sylfaen" w:cs="Sylfaen"/>
        </w:rPr>
        <w:t>მეურნეობის</w:t>
      </w:r>
      <w:r w:rsidRPr="003D733D">
        <w:t xml:space="preserve"> </w:t>
      </w:r>
      <w:r w:rsidRPr="003D733D">
        <w:rPr>
          <w:rFonts w:ascii="Sylfaen" w:hAnsi="Sylfaen" w:cs="Sylfaen"/>
        </w:rPr>
        <w:t>სამინისტრო</w:t>
      </w:r>
      <w:r w:rsidRPr="003D733D">
        <w:t xml:space="preserve">, </w:t>
      </w:r>
      <w:r w:rsidRPr="003D733D">
        <w:rPr>
          <w:rFonts w:ascii="Sylfaen" w:hAnsi="Sylfaen" w:cs="Sylfaen"/>
        </w:rPr>
        <w:t>საქართველოს</w:t>
      </w:r>
      <w:r w:rsidRPr="003D733D">
        <w:t xml:space="preserve"> </w:t>
      </w:r>
      <w:r w:rsidRPr="003D733D">
        <w:rPr>
          <w:rFonts w:ascii="Sylfaen" w:hAnsi="Sylfaen" w:cs="Sylfaen"/>
        </w:rPr>
        <w:t>ფინანსთა</w:t>
      </w:r>
      <w:r w:rsidRPr="003D733D">
        <w:t xml:space="preserve"> </w:t>
      </w:r>
      <w:r w:rsidRPr="003D733D">
        <w:rPr>
          <w:rFonts w:ascii="Sylfaen" w:hAnsi="Sylfaen" w:cs="Sylfaen"/>
        </w:rPr>
        <w:t>სამინისტროსთან</w:t>
      </w:r>
      <w:r w:rsidRPr="003D733D">
        <w:t xml:space="preserve"> </w:t>
      </w:r>
      <w:r w:rsidRPr="003D733D">
        <w:rPr>
          <w:rFonts w:ascii="Sylfaen" w:hAnsi="Sylfaen" w:cs="Sylfaen"/>
        </w:rPr>
        <w:t>ერთად</w:t>
      </w:r>
      <w:r w:rsidRPr="003D733D">
        <w:t xml:space="preserve"> </w:t>
      </w:r>
      <w:r w:rsidRPr="003D733D">
        <w:rPr>
          <w:rFonts w:ascii="Sylfaen" w:hAnsi="Sylfaen" w:cs="Sylfaen"/>
        </w:rPr>
        <w:t>არეგულირებს</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ტრანსსასაზღვრო</w:t>
      </w:r>
      <w:r w:rsidRPr="003D733D">
        <w:t xml:space="preserve"> </w:t>
      </w:r>
      <w:r w:rsidRPr="003D733D">
        <w:rPr>
          <w:rFonts w:ascii="Sylfaen" w:hAnsi="Sylfaen" w:cs="Sylfaen"/>
        </w:rPr>
        <w:t>გადაზიდვას</w:t>
      </w:r>
      <w:r w:rsidRPr="003D733D">
        <w:t>.</w:t>
      </w:r>
    </w:p>
    <w:p w14:paraId="07E62AFD" w14:textId="77777777" w:rsidR="00A2588D" w:rsidRPr="003D733D" w:rsidRDefault="00A2588D" w:rsidP="00A2588D">
      <w:pPr>
        <w:spacing w:before="120" w:after="120"/>
      </w:pPr>
    </w:p>
    <w:p w14:paraId="240BE23C" w14:textId="77777777" w:rsidR="00A2588D" w:rsidRPr="000B61F5" w:rsidRDefault="00A2588D" w:rsidP="00A2588D">
      <w:pPr>
        <w:spacing w:before="120" w:after="120"/>
        <w:rPr>
          <w:b/>
        </w:rPr>
      </w:pPr>
      <w:r w:rsidRPr="000B61F5">
        <w:rPr>
          <w:b/>
        </w:rPr>
        <w:t>3.</w:t>
      </w:r>
      <w:r>
        <w:rPr>
          <w:rFonts w:ascii="Sylfaen" w:hAnsi="Sylfaen"/>
          <w:b/>
          <w:lang w:val="ka-GE"/>
        </w:rPr>
        <w:t>1</w:t>
      </w:r>
      <w:r w:rsidRPr="000B61F5">
        <w:rPr>
          <w:b/>
        </w:rPr>
        <w:t xml:space="preserve"> </w:t>
      </w:r>
      <w:r w:rsidRPr="000B61F5">
        <w:rPr>
          <w:rFonts w:ascii="Sylfaen" w:hAnsi="Sylfaen" w:cs="Sylfaen"/>
          <w:b/>
        </w:rPr>
        <w:t>შპს</w:t>
      </w:r>
      <w:r w:rsidRPr="000B61F5">
        <w:rPr>
          <w:b/>
        </w:rPr>
        <w:t xml:space="preserve"> „</w:t>
      </w:r>
      <w:r w:rsidRPr="000B61F5">
        <w:rPr>
          <w:rFonts w:ascii="Sylfaen" w:hAnsi="Sylfaen" w:cs="Sylfaen"/>
          <w:b/>
        </w:rPr>
        <w:t>საქართველოს</w:t>
      </w:r>
      <w:r w:rsidRPr="000B61F5">
        <w:rPr>
          <w:b/>
        </w:rPr>
        <w:t xml:space="preserve"> </w:t>
      </w:r>
      <w:r w:rsidRPr="000B61F5">
        <w:rPr>
          <w:rFonts w:ascii="Sylfaen" w:hAnsi="Sylfaen" w:cs="Sylfaen"/>
          <w:b/>
        </w:rPr>
        <w:t>მყარი</w:t>
      </w:r>
      <w:r w:rsidRPr="000B61F5">
        <w:rPr>
          <w:b/>
        </w:rPr>
        <w:t xml:space="preserve"> </w:t>
      </w:r>
      <w:r w:rsidRPr="000B61F5">
        <w:rPr>
          <w:rFonts w:ascii="Sylfaen" w:hAnsi="Sylfaen" w:cs="Sylfaen"/>
          <w:b/>
        </w:rPr>
        <w:t>ნარჩენების</w:t>
      </w:r>
      <w:r w:rsidRPr="000B61F5">
        <w:rPr>
          <w:b/>
        </w:rPr>
        <w:t xml:space="preserve"> </w:t>
      </w:r>
      <w:r w:rsidRPr="000B61F5">
        <w:rPr>
          <w:rFonts w:ascii="Sylfaen" w:hAnsi="Sylfaen" w:cs="Sylfaen"/>
          <w:b/>
        </w:rPr>
        <w:t>მართვის</w:t>
      </w:r>
      <w:r w:rsidRPr="000B61F5">
        <w:rPr>
          <w:b/>
        </w:rPr>
        <w:t xml:space="preserve"> </w:t>
      </w:r>
      <w:r w:rsidRPr="000B61F5">
        <w:rPr>
          <w:rFonts w:ascii="Sylfaen" w:hAnsi="Sylfaen" w:cs="Sylfaen"/>
          <w:b/>
        </w:rPr>
        <w:t>კომპანია</w:t>
      </w:r>
      <w:r w:rsidRPr="000B61F5">
        <w:rPr>
          <w:b/>
        </w:rPr>
        <w:t>“</w:t>
      </w:r>
    </w:p>
    <w:p w14:paraId="76F2E5B8" w14:textId="77777777" w:rsidR="00A2588D" w:rsidRPr="003D733D" w:rsidRDefault="00A2588D" w:rsidP="00A2588D">
      <w:pPr>
        <w:spacing w:before="120" w:after="120"/>
      </w:pPr>
      <w:r w:rsidRPr="003D733D">
        <w:rPr>
          <w:rFonts w:ascii="Sylfaen" w:hAnsi="Sylfaen" w:cs="Sylfaen"/>
        </w:rPr>
        <w:t>მყარი</w:t>
      </w:r>
      <w:r w:rsidRPr="003D733D">
        <w:t xml:space="preserve"> </w:t>
      </w:r>
      <w:r w:rsidRPr="003D733D">
        <w:rPr>
          <w:rFonts w:ascii="Sylfaen" w:hAnsi="Sylfaen" w:cs="Sylfaen"/>
        </w:rPr>
        <w:t>საყოფაცხვრებო</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პოლიგონების</w:t>
      </w:r>
      <w:r w:rsidRPr="003D733D">
        <w:t xml:space="preserve"> </w:t>
      </w:r>
      <w:r w:rsidRPr="003D733D">
        <w:rPr>
          <w:rFonts w:ascii="Sylfaen" w:hAnsi="Sylfaen" w:cs="Sylfaen"/>
        </w:rPr>
        <w:t>მართვა</w:t>
      </w:r>
      <w:r w:rsidRPr="003D733D">
        <w:t xml:space="preserve"> </w:t>
      </w:r>
      <w:r w:rsidRPr="003D733D">
        <w:rPr>
          <w:rFonts w:ascii="Sylfaen" w:hAnsi="Sylfaen" w:cs="Sylfaen"/>
        </w:rPr>
        <w:t>წარმოადგენს</w:t>
      </w:r>
      <w:r w:rsidRPr="003D733D">
        <w:t xml:space="preserve"> </w:t>
      </w:r>
      <w:r w:rsidRPr="003D733D">
        <w:rPr>
          <w:rFonts w:ascii="Sylfaen" w:hAnsi="Sylfaen" w:cs="Sylfaen"/>
        </w:rPr>
        <w:t>საქართველოს</w:t>
      </w:r>
      <w:r w:rsidRPr="003D733D">
        <w:t xml:space="preserve"> </w:t>
      </w:r>
      <w:r w:rsidRPr="003D733D">
        <w:rPr>
          <w:rFonts w:ascii="Sylfaen" w:hAnsi="Sylfaen" w:cs="Sylfaen"/>
        </w:rPr>
        <w:t>ეროვნული</w:t>
      </w:r>
      <w:r w:rsidRPr="003D733D">
        <w:t xml:space="preserve">, </w:t>
      </w:r>
      <w:r w:rsidRPr="003D733D">
        <w:rPr>
          <w:rFonts w:ascii="Sylfaen" w:hAnsi="Sylfaen" w:cs="Sylfaen"/>
        </w:rPr>
        <w:t>რეგიონული</w:t>
      </w:r>
      <w:r w:rsidRPr="003D733D">
        <w:t xml:space="preserve"> </w:t>
      </w:r>
      <w:r w:rsidRPr="003D733D">
        <w:rPr>
          <w:rFonts w:ascii="Sylfaen" w:hAnsi="Sylfaen" w:cs="Sylfaen"/>
        </w:rPr>
        <w:t>და</w:t>
      </w:r>
      <w:r w:rsidRPr="003D733D">
        <w:t xml:space="preserve"> </w:t>
      </w:r>
      <w:r w:rsidRPr="003D733D">
        <w:rPr>
          <w:rFonts w:ascii="Sylfaen" w:hAnsi="Sylfaen" w:cs="Sylfaen"/>
        </w:rPr>
        <w:t>ადგილობრივი</w:t>
      </w:r>
      <w:r w:rsidRPr="003D733D">
        <w:t xml:space="preserve"> </w:t>
      </w:r>
      <w:r w:rsidRPr="003D733D">
        <w:rPr>
          <w:rFonts w:ascii="Sylfaen" w:hAnsi="Sylfaen" w:cs="Sylfaen"/>
        </w:rPr>
        <w:t>მნიშვნელობის</w:t>
      </w:r>
      <w:r w:rsidRPr="003D733D">
        <w:t xml:space="preserve"> </w:t>
      </w:r>
      <w:r w:rsidRPr="003D733D">
        <w:rPr>
          <w:rFonts w:ascii="Sylfaen" w:hAnsi="Sylfaen" w:cs="Sylfaen"/>
        </w:rPr>
        <w:t>საკითხს</w:t>
      </w:r>
      <w:r w:rsidRPr="003D733D">
        <w:t xml:space="preserve">. </w:t>
      </w:r>
      <w:r w:rsidRPr="003D733D">
        <w:rPr>
          <w:rFonts w:ascii="Sylfaen" w:hAnsi="Sylfaen" w:cs="Sylfaen"/>
        </w:rPr>
        <w:t>საქართველოს</w:t>
      </w:r>
      <w:r w:rsidRPr="003D733D">
        <w:t xml:space="preserve"> </w:t>
      </w:r>
      <w:r w:rsidRPr="003D733D">
        <w:rPr>
          <w:rFonts w:ascii="Sylfaen" w:hAnsi="Sylfaen" w:cs="Sylfaen"/>
        </w:rPr>
        <w:t>მთავრობამ</w:t>
      </w:r>
      <w:r w:rsidRPr="003D733D">
        <w:t xml:space="preserve">, </w:t>
      </w:r>
      <w:r w:rsidRPr="003D733D">
        <w:rPr>
          <w:rFonts w:ascii="Sylfaen" w:hAnsi="Sylfaen" w:cs="Sylfaen"/>
        </w:rPr>
        <w:t>მყარი</w:t>
      </w:r>
      <w:r w:rsidRPr="003D733D">
        <w:t xml:space="preserve"> </w:t>
      </w:r>
      <w:r w:rsidRPr="003D733D">
        <w:rPr>
          <w:rFonts w:ascii="Sylfaen" w:hAnsi="Sylfaen" w:cs="Sylfaen"/>
        </w:rPr>
        <w:t>საყოფაცხოვრებო</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პოლიგონების</w:t>
      </w:r>
      <w:r w:rsidRPr="003D733D">
        <w:t xml:space="preserve"> </w:t>
      </w:r>
      <w:r w:rsidRPr="003D733D">
        <w:rPr>
          <w:rFonts w:ascii="Sylfaen" w:hAnsi="Sylfaen" w:cs="Sylfaen"/>
        </w:rPr>
        <w:t>მართვა</w:t>
      </w:r>
      <w:r w:rsidRPr="003D733D">
        <w:t xml:space="preserve"> </w:t>
      </w:r>
      <w:r w:rsidRPr="003D733D">
        <w:rPr>
          <w:rFonts w:ascii="Sylfaen" w:hAnsi="Sylfaen" w:cs="Sylfaen"/>
        </w:rPr>
        <w:t>განსაზღვრა</w:t>
      </w:r>
      <w:r w:rsidRPr="003D733D">
        <w:t xml:space="preserve">, </w:t>
      </w:r>
      <w:r w:rsidRPr="003D733D">
        <w:rPr>
          <w:rFonts w:ascii="Sylfaen" w:hAnsi="Sylfaen" w:cs="Sylfaen"/>
        </w:rPr>
        <w:t>როგორც</w:t>
      </w:r>
      <w:r w:rsidRPr="003D733D">
        <w:t xml:space="preserve"> </w:t>
      </w:r>
      <w:r w:rsidRPr="003D733D">
        <w:rPr>
          <w:rFonts w:ascii="Sylfaen" w:hAnsi="Sylfaen" w:cs="Sylfaen"/>
        </w:rPr>
        <w:t>ერთ</w:t>
      </w:r>
      <w:r w:rsidRPr="003D733D">
        <w:t>-</w:t>
      </w:r>
      <w:r w:rsidRPr="003D733D">
        <w:rPr>
          <w:rFonts w:ascii="Sylfaen" w:hAnsi="Sylfaen" w:cs="Sylfaen"/>
        </w:rPr>
        <w:t>ერთი</w:t>
      </w:r>
      <w:r w:rsidRPr="003D733D">
        <w:t xml:space="preserve"> </w:t>
      </w:r>
      <w:r w:rsidRPr="003D733D">
        <w:rPr>
          <w:rFonts w:ascii="Sylfaen" w:hAnsi="Sylfaen" w:cs="Sylfaen"/>
        </w:rPr>
        <w:t>მწვავე</w:t>
      </w:r>
      <w:r w:rsidRPr="003D733D">
        <w:t xml:space="preserve"> </w:t>
      </w:r>
      <w:r w:rsidRPr="003D733D">
        <w:rPr>
          <w:rFonts w:ascii="Sylfaen" w:hAnsi="Sylfaen" w:cs="Sylfaen"/>
        </w:rPr>
        <w:t>პრობლემა</w:t>
      </w:r>
      <w:r w:rsidRPr="003D733D">
        <w:t xml:space="preserve"> </w:t>
      </w:r>
      <w:r w:rsidRPr="003D733D">
        <w:rPr>
          <w:rFonts w:ascii="Sylfaen" w:hAnsi="Sylfaen" w:cs="Sylfaen"/>
        </w:rPr>
        <w:t>და</w:t>
      </w:r>
      <w:r w:rsidRPr="003D733D">
        <w:t xml:space="preserve"> </w:t>
      </w:r>
      <w:r w:rsidRPr="003D733D">
        <w:rPr>
          <w:rFonts w:ascii="Sylfaen" w:hAnsi="Sylfaen" w:cs="Sylfaen"/>
        </w:rPr>
        <w:t>ამ</w:t>
      </w:r>
      <w:r w:rsidRPr="003D733D">
        <w:t xml:space="preserve"> </w:t>
      </w:r>
      <w:r w:rsidRPr="003D733D">
        <w:rPr>
          <w:rFonts w:ascii="Sylfaen" w:hAnsi="Sylfaen" w:cs="Sylfaen"/>
        </w:rPr>
        <w:t>მიზნით</w:t>
      </w:r>
      <w:r w:rsidRPr="003D733D">
        <w:t xml:space="preserve"> </w:t>
      </w:r>
      <w:r w:rsidRPr="003D733D">
        <w:rPr>
          <w:rFonts w:ascii="Sylfaen" w:hAnsi="Sylfaen" w:cs="Sylfaen"/>
        </w:rPr>
        <w:t>დაიწყო</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სისტემის</w:t>
      </w:r>
      <w:r w:rsidRPr="003D733D">
        <w:t xml:space="preserve"> </w:t>
      </w:r>
      <w:r w:rsidRPr="003D733D">
        <w:rPr>
          <w:rFonts w:ascii="Sylfaen" w:hAnsi="Sylfaen" w:cs="Sylfaen"/>
        </w:rPr>
        <w:t>რეფორმირება</w:t>
      </w:r>
      <w:r w:rsidRPr="003D733D">
        <w:t xml:space="preserve">. </w:t>
      </w:r>
      <w:r w:rsidRPr="003D733D">
        <w:rPr>
          <w:rFonts w:ascii="Sylfaen" w:hAnsi="Sylfaen" w:cs="Sylfaen"/>
        </w:rPr>
        <w:t>ამ</w:t>
      </w:r>
      <w:r w:rsidRPr="003D733D">
        <w:t xml:space="preserve"> </w:t>
      </w:r>
      <w:r w:rsidRPr="003D733D">
        <w:rPr>
          <w:rFonts w:ascii="Sylfaen" w:hAnsi="Sylfaen" w:cs="Sylfaen"/>
        </w:rPr>
        <w:t>რეფორმის</w:t>
      </w:r>
      <w:r w:rsidRPr="003D733D">
        <w:t xml:space="preserve"> </w:t>
      </w:r>
      <w:r w:rsidRPr="003D733D">
        <w:rPr>
          <w:rFonts w:ascii="Sylfaen" w:hAnsi="Sylfaen" w:cs="Sylfaen"/>
        </w:rPr>
        <w:t>ფარგლებში</w:t>
      </w:r>
      <w:r w:rsidRPr="003D733D">
        <w:t xml:space="preserve">,  2012 </w:t>
      </w:r>
      <w:r w:rsidRPr="003D733D">
        <w:rPr>
          <w:rFonts w:ascii="Sylfaen" w:hAnsi="Sylfaen" w:cs="Sylfaen"/>
        </w:rPr>
        <w:t>წლის</w:t>
      </w:r>
      <w:r w:rsidRPr="003D733D">
        <w:t xml:space="preserve"> 24 </w:t>
      </w:r>
      <w:r w:rsidRPr="003D733D">
        <w:rPr>
          <w:rFonts w:ascii="Sylfaen" w:hAnsi="Sylfaen" w:cs="Sylfaen"/>
        </w:rPr>
        <w:t>აპრილს</w:t>
      </w:r>
      <w:r w:rsidRPr="003D733D">
        <w:t xml:space="preserve"> </w:t>
      </w:r>
      <w:r w:rsidRPr="003D733D">
        <w:rPr>
          <w:rFonts w:ascii="Sylfaen" w:hAnsi="Sylfaen" w:cs="Sylfaen"/>
        </w:rPr>
        <w:t>საქართველოს</w:t>
      </w:r>
      <w:r w:rsidRPr="003D733D">
        <w:t xml:space="preserve"> </w:t>
      </w:r>
      <w:r w:rsidRPr="003D733D">
        <w:rPr>
          <w:rFonts w:ascii="Sylfaen" w:hAnsi="Sylfaen" w:cs="Sylfaen"/>
        </w:rPr>
        <w:t>რეგიონული</w:t>
      </w:r>
      <w:r w:rsidRPr="003D733D">
        <w:t xml:space="preserve"> </w:t>
      </w:r>
      <w:r w:rsidRPr="003D733D">
        <w:rPr>
          <w:rFonts w:ascii="Sylfaen" w:hAnsi="Sylfaen" w:cs="Sylfaen"/>
        </w:rPr>
        <w:t>განვითარებისა</w:t>
      </w:r>
      <w:r w:rsidRPr="003D733D">
        <w:t xml:space="preserve"> </w:t>
      </w:r>
      <w:r w:rsidRPr="003D733D">
        <w:rPr>
          <w:rFonts w:ascii="Sylfaen" w:hAnsi="Sylfaen" w:cs="Sylfaen"/>
        </w:rPr>
        <w:t>და</w:t>
      </w:r>
      <w:r w:rsidRPr="003D733D">
        <w:t xml:space="preserve"> </w:t>
      </w:r>
      <w:r w:rsidRPr="003D733D">
        <w:rPr>
          <w:rFonts w:ascii="Sylfaen" w:hAnsi="Sylfaen" w:cs="Sylfaen"/>
        </w:rPr>
        <w:t>ინფრასტრუქტურის</w:t>
      </w:r>
      <w:r w:rsidRPr="003D733D">
        <w:t xml:space="preserve"> </w:t>
      </w:r>
      <w:r w:rsidRPr="003D733D">
        <w:rPr>
          <w:rFonts w:ascii="Sylfaen" w:hAnsi="Sylfaen" w:cs="Sylfaen"/>
        </w:rPr>
        <w:t>სამინისტროს</w:t>
      </w:r>
      <w:r w:rsidRPr="003D733D">
        <w:t xml:space="preserve"> </w:t>
      </w:r>
      <w:r w:rsidRPr="003D733D">
        <w:rPr>
          <w:rFonts w:ascii="Sylfaen" w:hAnsi="Sylfaen" w:cs="Sylfaen"/>
        </w:rPr>
        <w:t>სისტემაში</w:t>
      </w:r>
      <w:r w:rsidRPr="003D733D">
        <w:t xml:space="preserve"> </w:t>
      </w:r>
      <w:r w:rsidRPr="003D733D">
        <w:rPr>
          <w:rFonts w:ascii="Sylfaen" w:hAnsi="Sylfaen" w:cs="Sylfaen"/>
        </w:rPr>
        <w:t>შეიქმნა</w:t>
      </w:r>
      <w:r w:rsidRPr="003D733D">
        <w:t xml:space="preserve"> </w:t>
      </w:r>
      <w:r w:rsidRPr="003D733D">
        <w:rPr>
          <w:rFonts w:ascii="Sylfaen" w:hAnsi="Sylfaen" w:cs="Sylfaen"/>
        </w:rPr>
        <w:t>შპს</w:t>
      </w:r>
      <w:r w:rsidRPr="003D733D">
        <w:t xml:space="preserve"> „</w:t>
      </w:r>
      <w:r w:rsidRPr="003D733D">
        <w:rPr>
          <w:rFonts w:ascii="Sylfaen" w:hAnsi="Sylfaen" w:cs="Sylfaen"/>
        </w:rPr>
        <w:t>საქართველოს</w:t>
      </w:r>
      <w:r w:rsidRPr="003D733D">
        <w:t xml:space="preserve"> </w:t>
      </w:r>
      <w:r w:rsidRPr="003D733D">
        <w:rPr>
          <w:rFonts w:ascii="Sylfaen" w:hAnsi="Sylfaen" w:cs="Sylfaen"/>
        </w:rPr>
        <w:t>მყარი</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მართვის</w:t>
      </w:r>
      <w:r w:rsidRPr="003D733D">
        <w:t xml:space="preserve"> </w:t>
      </w:r>
      <w:r w:rsidRPr="003D733D">
        <w:rPr>
          <w:rFonts w:ascii="Sylfaen" w:hAnsi="Sylfaen" w:cs="Sylfaen"/>
        </w:rPr>
        <w:t>კომპანია</w:t>
      </w:r>
      <w:r w:rsidRPr="003D733D">
        <w:t xml:space="preserve">“. </w:t>
      </w:r>
      <w:r w:rsidRPr="003D733D">
        <w:rPr>
          <w:rFonts w:ascii="Sylfaen" w:hAnsi="Sylfaen" w:cs="Sylfaen"/>
        </w:rPr>
        <w:t>კომპანიის</w:t>
      </w:r>
      <w:r w:rsidRPr="003D733D">
        <w:t xml:space="preserve"> 100%-</w:t>
      </w:r>
      <w:r w:rsidRPr="003D733D">
        <w:rPr>
          <w:rFonts w:ascii="Sylfaen" w:hAnsi="Sylfaen" w:cs="Sylfaen"/>
        </w:rPr>
        <w:t>იანი</w:t>
      </w:r>
      <w:r w:rsidRPr="003D733D">
        <w:t xml:space="preserve"> </w:t>
      </w:r>
      <w:r w:rsidRPr="003D733D">
        <w:rPr>
          <w:rFonts w:ascii="Sylfaen" w:hAnsi="Sylfaen" w:cs="Sylfaen"/>
        </w:rPr>
        <w:t>წილის</w:t>
      </w:r>
      <w:r w:rsidRPr="003D733D">
        <w:t xml:space="preserve"> </w:t>
      </w:r>
      <w:r w:rsidRPr="003D733D">
        <w:rPr>
          <w:rFonts w:ascii="Sylfaen" w:hAnsi="Sylfaen" w:cs="Sylfaen"/>
        </w:rPr>
        <w:t>მფლობელი</w:t>
      </w:r>
      <w:r w:rsidRPr="003D733D">
        <w:t xml:space="preserve"> </w:t>
      </w:r>
      <w:r w:rsidRPr="003D733D">
        <w:rPr>
          <w:rFonts w:ascii="Sylfaen" w:hAnsi="Sylfaen" w:cs="Sylfaen"/>
        </w:rPr>
        <w:t>სახელმწიფოა</w:t>
      </w:r>
      <w:r w:rsidRPr="003D733D">
        <w:t xml:space="preserve">. </w:t>
      </w:r>
      <w:r w:rsidRPr="003D733D">
        <w:rPr>
          <w:rFonts w:ascii="Sylfaen" w:hAnsi="Sylfaen" w:cs="Sylfaen"/>
        </w:rPr>
        <w:t>კომპანია</w:t>
      </w:r>
      <w:r w:rsidRPr="003D733D">
        <w:t xml:space="preserve"> </w:t>
      </w:r>
      <w:r w:rsidRPr="003D733D">
        <w:rPr>
          <w:rFonts w:ascii="Sylfaen" w:hAnsi="Sylfaen" w:cs="Sylfaen"/>
        </w:rPr>
        <w:t>მყარი</w:t>
      </w:r>
      <w:r w:rsidRPr="003D733D">
        <w:t xml:space="preserve"> </w:t>
      </w:r>
      <w:r w:rsidRPr="003D733D">
        <w:rPr>
          <w:rFonts w:ascii="Sylfaen" w:hAnsi="Sylfaen" w:cs="Sylfaen"/>
        </w:rPr>
        <w:t>საყოფაცხოვრებო</w:t>
      </w:r>
      <w:r w:rsidRPr="003D733D">
        <w:t xml:space="preserve"> </w:t>
      </w:r>
      <w:r w:rsidRPr="003D733D">
        <w:rPr>
          <w:rFonts w:ascii="Sylfaen" w:hAnsi="Sylfaen" w:cs="Sylfaen"/>
        </w:rPr>
        <w:t>გადანაყრების</w:t>
      </w:r>
      <w:r w:rsidRPr="003D733D">
        <w:t xml:space="preserve"> </w:t>
      </w:r>
      <w:r w:rsidRPr="003D733D">
        <w:rPr>
          <w:rFonts w:ascii="Sylfaen" w:hAnsi="Sylfaen" w:cs="Sylfaen"/>
        </w:rPr>
        <w:t>პოლიგონების</w:t>
      </w:r>
      <w:r w:rsidRPr="003D733D">
        <w:t xml:space="preserve"> </w:t>
      </w:r>
      <w:r w:rsidRPr="003D733D">
        <w:rPr>
          <w:rFonts w:ascii="Sylfaen" w:hAnsi="Sylfaen" w:cs="Sylfaen"/>
        </w:rPr>
        <w:t>მართვას</w:t>
      </w:r>
      <w:r w:rsidRPr="003D733D">
        <w:t xml:space="preserve"> </w:t>
      </w:r>
      <w:r w:rsidRPr="003D733D">
        <w:rPr>
          <w:rFonts w:ascii="Sylfaen" w:hAnsi="Sylfaen" w:cs="Sylfaen"/>
        </w:rPr>
        <w:t>ახორციელებს</w:t>
      </w:r>
      <w:r w:rsidRPr="003D733D">
        <w:t xml:space="preserve"> </w:t>
      </w:r>
      <w:r w:rsidRPr="003D733D">
        <w:rPr>
          <w:rFonts w:ascii="Sylfaen" w:hAnsi="Sylfaen" w:cs="Sylfaen"/>
        </w:rPr>
        <w:t>მთელი</w:t>
      </w:r>
      <w:r w:rsidRPr="003D733D">
        <w:t xml:space="preserve"> </w:t>
      </w:r>
      <w:r w:rsidRPr="003D733D">
        <w:rPr>
          <w:rFonts w:ascii="Sylfaen" w:hAnsi="Sylfaen" w:cs="Sylfaen"/>
        </w:rPr>
        <w:t>საქართველოს</w:t>
      </w:r>
      <w:r w:rsidRPr="003D733D">
        <w:t xml:space="preserve"> </w:t>
      </w:r>
      <w:r w:rsidRPr="003D733D">
        <w:rPr>
          <w:rFonts w:ascii="Sylfaen" w:hAnsi="Sylfaen" w:cs="Sylfaen"/>
        </w:rPr>
        <w:t>მასშტაბით</w:t>
      </w:r>
      <w:r w:rsidRPr="003D733D">
        <w:t xml:space="preserve">, </w:t>
      </w:r>
      <w:r w:rsidRPr="003D733D">
        <w:rPr>
          <w:rFonts w:ascii="Sylfaen" w:hAnsi="Sylfaen" w:cs="Sylfaen"/>
        </w:rPr>
        <w:t>ქ</w:t>
      </w:r>
      <w:r w:rsidRPr="003D733D">
        <w:t xml:space="preserve">. </w:t>
      </w:r>
      <w:r w:rsidRPr="003D733D">
        <w:rPr>
          <w:rFonts w:ascii="Sylfaen" w:hAnsi="Sylfaen" w:cs="Sylfaen"/>
        </w:rPr>
        <w:t>თბილისისა</w:t>
      </w:r>
      <w:r w:rsidRPr="003D733D">
        <w:t xml:space="preserve"> </w:t>
      </w:r>
      <w:r w:rsidRPr="003D733D">
        <w:rPr>
          <w:rFonts w:ascii="Sylfaen" w:hAnsi="Sylfaen" w:cs="Sylfaen"/>
        </w:rPr>
        <w:t>და</w:t>
      </w:r>
      <w:r w:rsidRPr="003D733D">
        <w:t xml:space="preserve"> </w:t>
      </w:r>
      <w:r w:rsidRPr="003D733D">
        <w:rPr>
          <w:rFonts w:ascii="Sylfaen" w:hAnsi="Sylfaen" w:cs="Sylfaen"/>
        </w:rPr>
        <w:t>აჭარის</w:t>
      </w:r>
      <w:r w:rsidRPr="003D733D">
        <w:t xml:space="preserve"> </w:t>
      </w:r>
      <w:r w:rsidRPr="003D733D">
        <w:rPr>
          <w:rFonts w:ascii="Sylfaen" w:hAnsi="Sylfaen" w:cs="Sylfaen"/>
        </w:rPr>
        <w:t>ავტონომიური</w:t>
      </w:r>
      <w:r w:rsidRPr="003D733D">
        <w:t xml:space="preserve"> </w:t>
      </w:r>
      <w:r w:rsidRPr="003D733D">
        <w:rPr>
          <w:rFonts w:ascii="Sylfaen" w:hAnsi="Sylfaen" w:cs="Sylfaen"/>
        </w:rPr>
        <w:t>რესპუბლიკის</w:t>
      </w:r>
      <w:r w:rsidRPr="003D733D">
        <w:t xml:space="preserve"> </w:t>
      </w:r>
      <w:r w:rsidRPr="003D733D">
        <w:rPr>
          <w:rFonts w:ascii="Sylfaen" w:hAnsi="Sylfaen" w:cs="Sylfaen"/>
        </w:rPr>
        <w:t>გარდა</w:t>
      </w:r>
      <w:r w:rsidRPr="003D733D">
        <w:t>.</w:t>
      </w:r>
    </w:p>
    <w:p w14:paraId="5F63C073" w14:textId="77777777" w:rsidR="00A2588D" w:rsidRPr="003D733D" w:rsidRDefault="00A2588D" w:rsidP="00A2588D">
      <w:pPr>
        <w:spacing w:before="120" w:after="120"/>
      </w:pPr>
      <w:r w:rsidRPr="003D733D">
        <w:rPr>
          <w:rFonts w:ascii="Sylfaen" w:hAnsi="Sylfaen" w:cs="Sylfaen"/>
        </w:rPr>
        <w:t>კომპანიის</w:t>
      </w:r>
      <w:r w:rsidRPr="003D733D">
        <w:t xml:space="preserve"> </w:t>
      </w:r>
      <w:r w:rsidRPr="003D733D">
        <w:rPr>
          <w:rFonts w:ascii="Sylfaen" w:hAnsi="Sylfaen" w:cs="Sylfaen"/>
        </w:rPr>
        <w:t>მიზანს</w:t>
      </w:r>
      <w:r w:rsidRPr="003D733D">
        <w:t xml:space="preserve"> </w:t>
      </w:r>
      <w:r w:rsidRPr="003D733D">
        <w:rPr>
          <w:rFonts w:ascii="Sylfaen" w:hAnsi="Sylfaen" w:cs="Sylfaen"/>
        </w:rPr>
        <w:t>წარმოადგენს</w:t>
      </w:r>
      <w:r w:rsidRPr="003D733D">
        <w:t>:</w:t>
      </w:r>
    </w:p>
    <w:p w14:paraId="10DAD851" w14:textId="77777777" w:rsidR="00A2588D" w:rsidRPr="003D733D" w:rsidRDefault="00A2588D" w:rsidP="00821E4D">
      <w:pPr>
        <w:pStyle w:val="ListParagraph"/>
        <w:numPr>
          <w:ilvl w:val="0"/>
          <w:numId w:val="40"/>
        </w:numPr>
        <w:spacing w:before="120"/>
        <w:ind w:left="360" w:hanging="270"/>
      </w:pPr>
      <w:r w:rsidRPr="000B61F5">
        <w:rPr>
          <w:rFonts w:cs="Sylfaen"/>
        </w:rPr>
        <w:t>ნარჩენების</w:t>
      </w:r>
      <w:r w:rsidRPr="003D733D">
        <w:t xml:space="preserve"> </w:t>
      </w:r>
      <w:r w:rsidRPr="000B61F5">
        <w:rPr>
          <w:rFonts w:cs="Sylfaen"/>
        </w:rPr>
        <w:t>განთავსების</w:t>
      </w:r>
      <w:r w:rsidRPr="003D733D">
        <w:t xml:space="preserve"> </w:t>
      </w:r>
      <w:r w:rsidRPr="000B61F5">
        <w:rPr>
          <w:rFonts w:cs="Sylfaen"/>
        </w:rPr>
        <w:t>და</w:t>
      </w:r>
      <w:r w:rsidRPr="003D733D">
        <w:t xml:space="preserve"> </w:t>
      </w:r>
      <w:r w:rsidRPr="000B61F5">
        <w:rPr>
          <w:rFonts w:cs="Sylfaen"/>
        </w:rPr>
        <w:t>გადამუშავების</w:t>
      </w:r>
      <w:r w:rsidRPr="003D733D">
        <w:t xml:space="preserve"> </w:t>
      </w:r>
      <w:r w:rsidRPr="000B61F5">
        <w:rPr>
          <w:rFonts w:cs="Sylfaen"/>
        </w:rPr>
        <w:t>შედეგად</w:t>
      </w:r>
      <w:r w:rsidRPr="003D733D">
        <w:t xml:space="preserve"> </w:t>
      </w:r>
      <w:r w:rsidRPr="000B61F5">
        <w:rPr>
          <w:rFonts w:cs="Sylfaen"/>
        </w:rPr>
        <w:t>გარემოზე</w:t>
      </w:r>
      <w:r w:rsidRPr="003D733D">
        <w:t xml:space="preserve"> </w:t>
      </w:r>
      <w:r w:rsidRPr="000B61F5">
        <w:rPr>
          <w:rFonts w:cs="Sylfaen"/>
        </w:rPr>
        <w:t>უარყოფითი</w:t>
      </w:r>
      <w:r w:rsidRPr="003D733D">
        <w:t xml:space="preserve"> </w:t>
      </w:r>
      <w:r w:rsidRPr="000B61F5">
        <w:rPr>
          <w:rFonts w:cs="Sylfaen"/>
        </w:rPr>
        <w:t>ზემოქმედების</w:t>
      </w:r>
      <w:r w:rsidRPr="003D733D">
        <w:t xml:space="preserve"> </w:t>
      </w:r>
      <w:r w:rsidRPr="000B61F5">
        <w:rPr>
          <w:rFonts w:cs="Sylfaen"/>
        </w:rPr>
        <w:t>შემცირება</w:t>
      </w:r>
      <w:r w:rsidRPr="003D733D">
        <w:t>;</w:t>
      </w:r>
    </w:p>
    <w:p w14:paraId="36A95B6A" w14:textId="77777777" w:rsidR="00A2588D" w:rsidRPr="003D733D" w:rsidRDefault="00A2588D" w:rsidP="00821E4D">
      <w:pPr>
        <w:pStyle w:val="ListParagraph"/>
        <w:numPr>
          <w:ilvl w:val="0"/>
          <w:numId w:val="40"/>
        </w:numPr>
        <w:spacing w:before="120"/>
        <w:ind w:left="360" w:hanging="270"/>
      </w:pPr>
      <w:r w:rsidRPr="000B61F5">
        <w:rPr>
          <w:rFonts w:cs="Sylfaen"/>
        </w:rPr>
        <w:t>ნარჩენების</w:t>
      </w:r>
      <w:r w:rsidRPr="003D733D">
        <w:t xml:space="preserve"> </w:t>
      </w:r>
      <w:r w:rsidRPr="000B61F5">
        <w:rPr>
          <w:rFonts w:cs="Sylfaen"/>
        </w:rPr>
        <w:t>წარმოშობის</w:t>
      </w:r>
      <w:r w:rsidRPr="003D733D">
        <w:t xml:space="preserve"> </w:t>
      </w:r>
      <w:r w:rsidRPr="000B61F5">
        <w:rPr>
          <w:rFonts w:cs="Sylfaen"/>
        </w:rPr>
        <w:t>თავიდან</w:t>
      </w:r>
      <w:r w:rsidRPr="003D733D">
        <w:t xml:space="preserve"> </w:t>
      </w:r>
      <w:r w:rsidRPr="000B61F5">
        <w:rPr>
          <w:rFonts w:cs="Sylfaen"/>
        </w:rPr>
        <w:t>არიდება</w:t>
      </w:r>
      <w:r w:rsidRPr="003D733D">
        <w:t xml:space="preserve"> </w:t>
      </w:r>
      <w:r w:rsidRPr="000B61F5">
        <w:rPr>
          <w:rFonts w:cs="Sylfaen"/>
        </w:rPr>
        <w:t>და</w:t>
      </w:r>
      <w:r w:rsidRPr="003D733D">
        <w:t xml:space="preserve"> </w:t>
      </w:r>
      <w:r w:rsidRPr="000B61F5">
        <w:rPr>
          <w:rFonts w:cs="Sylfaen"/>
        </w:rPr>
        <w:t>მინიმუმამდე</w:t>
      </w:r>
      <w:r w:rsidRPr="003D733D">
        <w:t xml:space="preserve"> </w:t>
      </w:r>
      <w:r w:rsidRPr="000B61F5">
        <w:rPr>
          <w:rFonts w:cs="Sylfaen"/>
        </w:rPr>
        <w:t>დაყვანა</w:t>
      </w:r>
      <w:r w:rsidRPr="003D733D">
        <w:t>;</w:t>
      </w:r>
    </w:p>
    <w:p w14:paraId="1A24CFFF" w14:textId="77777777" w:rsidR="00A2588D" w:rsidRPr="003D733D" w:rsidRDefault="00A2588D" w:rsidP="00821E4D">
      <w:pPr>
        <w:pStyle w:val="ListParagraph"/>
        <w:numPr>
          <w:ilvl w:val="0"/>
          <w:numId w:val="40"/>
        </w:numPr>
        <w:spacing w:before="120"/>
        <w:ind w:left="360" w:hanging="270"/>
      </w:pPr>
      <w:r w:rsidRPr="000B61F5">
        <w:rPr>
          <w:rFonts w:cs="Sylfaen"/>
        </w:rPr>
        <w:t>პოლიგონებზე</w:t>
      </w:r>
      <w:r w:rsidRPr="003D733D">
        <w:t xml:space="preserve"> </w:t>
      </w:r>
      <w:r w:rsidRPr="000B61F5">
        <w:rPr>
          <w:rFonts w:cs="Sylfaen"/>
        </w:rPr>
        <w:t>ნარჩენების</w:t>
      </w:r>
      <w:r w:rsidRPr="003D733D">
        <w:t xml:space="preserve">, </w:t>
      </w:r>
      <w:r w:rsidRPr="000B61F5">
        <w:rPr>
          <w:rFonts w:cs="Sylfaen"/>
        </w:rPr>
        <w:t>განსაკუთრებით</w:t>
      </w:r>
      <w:r w:rsidRPr="003D733D">
        <w:t xml:space="preserve"> </w:t>
      </w:r>
      <w:r w:rsidRPr="000B61F5">
        <w:rPr>
          <w:rFonts w:cs="Sylfaen"/>
        </w:rPr>
        <w:t>ორგანული</w:t>
      </w:r>
      <w:r w:rsidRPr="003D733D">
        <w:t xml:space="preserve"> </w:t>
      </w:r>
      <w:r w:rsidRPr="000B61F5">
        <w:rPr>
          <w:rFonts w:cs="Sylfaen"/>
        </w:rPr>
        <w:t>და</w:t>
      </w:r>
      <w:r w:rsidRPr="003D733D">
        <w:t xml:space="preserve"> </w:t>
      </w:r>
      <w:r w:rsidRPr="000B61F5">
        <w:rPr>
          <w:rFonts w:cs="Sylfaen"/>
        </w:rPr>
        <w:t>სახიფათო</w:t>
      </w:r>
      <w:r w:rsidRPr="003D733D">
        <w:t xml:space="preserve"> </w:t>
      </w:r>
      <w:r w:rsidRPr="000B61F5">
        <w:rPr>
          <w:rFonts w:cs="Sylfaen"/>
        </w:rPr>
        <w:t>ნარჩენების</w:t>
      </w:r>
      <w:r w:rsidRPr="003D733D">
        <w:t xml:space="preserve"> </w:t>
      </w:r>
      <w:r w:rsidRPr="000B61F5">
        <w:rPr>
          <w:rFonts w:cs="Sylfaen"/>
        </w:rPr>
        <w:t>შემცირება</w:t>
      </w:r>
      <w:r w:rsidRPr="003D733D">
        <w:t>;</w:t>
      </w:r>
    </w:p>
    <w:p w14:paraId="114C1EFD" w14:textId="77777777" w:rsidR="00A2588D" w:rsidRPr="003D733D" w:rsidRDefault="00A2588D" w:rsidP="00821E4D">
      <w:pPr>
        <w:pStyle w:val="ListParagraph"/>
        <w:numPr>
          <w:ilvl w:val="0"/>
          <w:numId w:val="40"/>
        </w:numPr>
        <w:spacing w:before="120"/>
        <w:ind w:left="360" w:hanging="270"/>
      </w:pPr>
      <w:r w:rsidRPr="000B61F5">
        <w:rPr>
          <w:rFonts w:cs="Sylfaen"/>
        </w:rPr>
        <w:t>არსებული</w:t>
      </w:r>
      <w:r w:rsidRPr="003D733D">
        <w:t xml:space="preserve"> </w:t>
      </w:r>
      <w:r w:rsidRPr="000B61F5">
        <w:rPr>
          <w:rFonts w:cs="Sylfaen"/>
        </w:rPr>
        <w:t>პოლიგონების</w:t>
      </w:r>
      <w:r w:rsidRPr="003D733D">
        <w:t xml:space="preserve"> </w:t>
      </w:r>
      <w:r w:rsidRPr="000B61F5">
        <w:rPr>
          <w:rFonts w:cs="Sylfaen"/>
        </w:rPr>
        <w:t>რაოდენობის</w:t>
      </w:r>
      <w:r w:rsidRPr="003D733D">
        <w:t xml:space="preserve"> </w:t>
      </w:r>
      <w:r w:rsidRPr="000B61F5">
        <w:rPr>
          <w:rFonts w:cs="Sylfaen"/>
        </w:rPr>
        <w:t>შემცირება</w:t>
      </w:r>
      <w:r w:rsidRPr="003D733D">
        <w:t xml:space="preserve"> </w:t>
      </w:r>
      <w:r w:rsidRPr="000B61F5">
        <w:rPr>
          <w:rFonts w:cs="Sylfaen"/>
        </w:rPr>
        <w:t>და</w:t>
      </w:r>
      <w:r w:rsidRPr="003D733D">
        <w:t xml:space="preserve"> </w:t>
      </w:r>
      <w:r w:rsidRPr="000B61F5">
        <w:rPr>
          <w:rFonts w:cs="Sylfaen"/>
        </w:rPr>
        <w:t>ეტაპობრივად</w:t>
      </w:r>
      <w:r w:rsidRPr="003D733D">
        <w:t xml:space="preserve"> </w:t>
      </w:r>
      <w:r w:rsidRPr="000B61F5">
        <w:rPr>
          <w:rFonts w:cs="Sylfaen"/>
        </w:rPr>
        <w:t>ყველა</w:t>
      </w:r>
      <w:r w:rsidRPr="003D733D">
        <w:t xml:space="preserve"> </w:t>
      </w:r>
      <w:r w:rsidRPr="000B61F5">
        <w:rPr>
          <w:rFonts w:cs="Sylfaen"/>
        </w:rPr>
        <w:t>პოლიგონის</w:t>
      </w:r>
      <w:r w:rsidRPr="003D733D">
        <w:t xml:space="preserve"> </w:t>
      </w:r>
      <w:r w:rsidRPr="000B61F5">
        <w:rPr>
          <w:rFonts w:cs="Sylfaen"/>
        </w:rPr>
        <w:t>დახურვა</w:t>
      </w:r>
      <w:r w:rsidRPr="003D733D">
        <w:t xml:space="preserve">, </w:t>
      </w:r>
      <w:r w:rsidRPr="000B61F5">
        <w:rPr>
          <w:rFonts w:cs="Sylfaen"/>
        </w:rPr>
        <w:t>რომელიც</w:t>
      </w:r>
      <w:r w:rsidRPr="003D733D">
        <w:t xml:space="preserve"> </w:t>
      </w:r>
      <w:r w:rsidRPr="000B61F5">
        <w:rPr>
          <w:rFonts w:cs="Sylfaen"/>
        </w:rPr>
        <w:t>არ</w:t>
      </w:r>
      <w:r w:rsidRPr="003D733D">
        <w:t xml:space="preserve"> </w:t>
      </w:r>
      <w:r w:rsidRPr="000B61F5">
        <w:rPr>
          <w:rFonts w:cs="Sylfaen"/>
        </w:rPr>
        <w:t>შეესაბამება</w:t>
      </w:r>
      <w:r w:rsidRPr="003D733D">
        <w:t xml:space="preserve"> </w:t>
      </w:r>
      <w:r w:rsidRPr="000B61F5">
        <w:rPr>
          <w:rFonts w:cs="Sylfaen"/>
        </w:rPr>
        <w:t>ევროკავშირის</w:t>
      </w:r>
      <w:r w:rsidRPr="003D733D">
        <w:t xml:space="preserve"> </w:t>
      </w:r>
      <w:r w:rsidRPr="000B61F5">
        <w:rPr>
          <w:rFonts w:cs="Sylfaen"/>
        </w:rPr>
        <w:t>დირექტივას</w:t>
      </w:r>
      <w:r w:rsidRPr="003D733D">
        <w:t>;</w:t>
      </w:r>
    </w:p>
    <w:p w14:paraId="304D8FFA" w14:textId="77777777" w:rsidR="00A2588D" w:rsidRPr="003D733D" w:rsidRDefault="00A2588D" w:rsidP="00821E4D">
      <w:pPr>
        <w:pStyle w:val="ListParagraph"/>
        <w:numPr>
          <w:ilvl w:val="0"/>
          <w:numId w:val="40"/>
        </w:numPr>
        <w:spacing w:before="120"/>
        <w:ind w:left="360" w:hanging="270"/>
      </w:pPr>
      <w:r w:rsidRPr="000B61F5">
        <w:rPr>
          <w:rFonts w:cs="Sylfaen"/>
        </w:rPr>
        <w:t>პოლიგონებზე</w:t>
      </w:r>
      <w:r w:rsidRPr="003D733D">
        <w:t xml:space="preserve"> </w:t>
      </w:r>
      <w:r w:rsidRPr="000B61F5">
        <w:rPr>
          <w:rFonts w:cs="Sylfaen"/>
        </w:rPr>
        <w:t>ნარჩენების</w:t>
      </w:r>
      <w:r w:rsidRPr="003D733D">
        <w:t xml:space="preserve"> </w:t>
      </w:r>
      <w:r w:rsidRPr="000B61F5">
        <w:rPr>
          <w:rFonts w:cs="Sylfaen"/>
        </w:rPr>
        <w:t>მდგრადი</w:t>
      </w:r>
      <w:r w:rsidRPr="003D733D">
        <w:t xml:space="preserve">, </w:t>
      </w:r>
      <w:r w:rsidRPr="000B61F5">
        <w:rPr>
          <w:rFonts w:cs="Sylfaen"/>
        </w:rPr>
        <w:t>გარემოს</w:t>
      </w:r>
      <w:r w:rsidRPr="003D733D">
        <w:t xml:space="preserve"> </w:t>
      </w:r>
      <w:r w:rsidRPr="000B61F5">
        <w:rPr>
          <w:rFonts w:cs="Sylfaen"/>
        </w:rPr>
        <w:t>თვალსაზრისით</w:t>
      </w:r>
      <w:r w:rsidRPr="003D733D">
        <w:t xml:space="preserve"> </w:t>
      </w:r>
      <w:r w:rsidRPr="000B61F5">
        <w:rPr>
          <w:rFonts w:cs="Sylfaen"/>
        </w:rPr>
        <w:t>უსაფრთხო</w:t>
      </w:r>
      <w:r w:rsidRPr="003D733D">
        <w:t xml:space="preserve"> </w:t>
      </w:r>
      <w:r w:rsidRPr="000B61F5">
        <w:rPr>
          <w:rFonts w:cs="Sylfaen"/>
        </w:rPr>
        <w:t>და</w:t>
      </w:r>
      <w:r w:rsidRPr="003D733D">
        <w:t xml:space="preserve"> </w:t>
      </w:r>
      <w:r w:rsidRPr="000B61F5">
        <w:rPr>
          <w:rFonts w:cs="Sylfaen"/>
        </w:rPr>
        <w:t>ეფექტური</w:t>
      </w:r>
      <w:r w:rsidRPr="003D733D">
        <w:t xml:space="preserve"> </w:t>
      </w:r>
      <w:r w:rsidRPr="000B61F5">
        <w:rPr>
          <w:rFonts w:cs="Sylfaen"/>
        </w:rPr>
        <w:t>განთავსება</w:t>
      </w:r>
      <w:r w:rsidRPr="003D733D">
        <w:t>;</w:t>
      </w:r>
    </w:p>
    <w:p w14:paraId="2A9928E9" w14:textId="77777777" w:rsidR="00A2588D" w:rsidRPr="003D733D" w:rsidRDefault="00A2588D" w:rsidP="00821E4D">
      <w:pPr>
        <w:pStyle w:val="ListParagraph"/>
        <w:numPr>
          <w:ilvl w:val="0"/>
          <w:numId w:val="40"/>
        </w:numPr>
        <w:spacing w:before="120"/>
        <w:ind w:left="360" w:hanging="270"/>
      </w:pPr>
      <w:r w:rsidRPr="000B61F5">
        <w:rPr>
          <w:rFonts w:cs="Sylfaen"/>
        </w:rPr>
        <w:t>პოლიგონებზე</w:t>
      </w:r>
      <w:r w:rsidRPr="003D733D">
        <w:t xml:space="preserve"> </w:t>
      </w:r>
      <w:r w:rsidRPr="000B61F5">
        <w:rPr>
          <w:rFonts w:cs="Sylfaen"/>
        </w:rPr>
        <w:t>სეპარაციისა</w:t>
      </w:r>
      <w:r w:rsidRPr="003D733D">
        <w:t xml:space="preserve"> </w:t>
      </w:r>
      <w:r w:rsidRPr="000B61F5">
        <w:rPr>
          <w:rFonts w:cs="Sylfaen"/>
        </w:rPr>
        <w:t>და</w:t>
      </w:r>
      <w:r w:rsidRPr="003D733D">
        <w:t xml:space="preserve"> </w:t>
      </w:r>
      <w:r w:rsidRPr="000B61F5">
        <w:rPr>
          <w:rFonts w:cs="Sylfaen"/>
        </w:rPr>
        <w:t>გადამუშავებისათვის</w:t>
      </w:r>
      <w:r w:rsidRPr="003D733D">
        <w:t xml:space="preserve"> </w:t>
      </w:r>
      <w:r w:rsidRPr="000B61F5">
        <w:rPr>
          <w:rFonts w:cs="Sylfaen"/>
        </w:rPr>
        <w:t>შესაბამისი</w:t>
      </w:r>
      <w:r w:rsidRPr="003D733D">
        <w:t xml:space="preserve"> </w:t>
      </w:r>
      <w:r w:rsidRPr="000B61F5">
        <w:rPr>
          <w:rFonts w:cs="Sylfaen"/>
        </w:rPr>
        <w:t>ინფრასტრუქტურის</w:t>
      </w:r>
      <w:r w:rsidRPr="003D733D">
        <w:t xml:space="preserve"> </w:t>
      </w:r>
      <w:r w:rsidRPr="000B61F5">
        <w:rPr>
          <w:rFonts w:cs="Sylfaen"/>
        </w:rPr>
        <w:t>მოწყობა</w:t>
      </w:r>
      <w:r w:rsidRPr="003D733D">
        <w:t>;</w:t>
      </w:r>
    </w:p>
    <w:p w14:paraId="50C34A3C" w14:textId="77777777" w:rsidR="00A2588D" w:rsidRPr="003D733D" w:rsidRDefault="00A2588D" w:rsidP="00821E4D">
      <w:pPr>
        <w:pStyle w:val="ListParagraph"/>
        <w:numPr>
          <w:ilvl w:val="0"/>
          <w:numId w:val="40"/>
        </w:numPr>
        <w:spacing w:before="120"/>
        <w:ind w:left="360" w:hanging="270"/>
      </w:pPr>
      <w:r w:rsidRPr="000B61F5">
        <w:rPr>
          <w:rFonts w:cs="Sylfaen"/>
        </w:rPr>
        <w:lastRenderedPageBreak/>
        <w:t>თანამშრომლების</w:t>
      </w:r>
      <w:r w:rsidRPr="003D733D">
        <w:t xml:space="preserve"> </w:t>
      </w:r>
      <w:r w:rsidRPr="000B61F5">
        <w:rPr>
          <w:rFonts w:cs="Sylfaen"/>
        </w:rPr>
        <w:t>უსაფრთხოების</w:t>
      </w:r>
      <w:r w:rsidRPr="003D733D">
        <w:t xml:space="preserve"> </w:t>
      </w:r>
      <w:r w:rsidRPr="000B61F5">
        <w:rPr>
          <w:rFonts w:cs="Sylfaen"/>
        </w:rPr>
        <w:t>პირობებით</w:t>
      </w:r>
      <w:r w:rsidRPr="003D733D">
        <w:t xml:space="preserve"> </w:t>
      </w:r>
      <w:r w:rsidRPr="000B61F5">
        <w:rPr>
          <w:rFonts w:cs="Sylfaen"/>
        </w:rPr>
        <w:t>და</w:t>
      </w:r>
      <w:r w:rsidRPr="003D733D">
        <w:t xml:space="preserve"> </w:t>
      </w:r>
      <w:r w:rsidRPr="000B61F5">
        <w:rPr>
          <w:rFonts w:cs="Sylfaen"/>
        </w:rPr>
        <w:t>თანამედროვე</w:t>
      </w:r>
      <w:r w:rsidRPr="003D733D">
        <w:t xml:space="preserve"> </w:t>
      </w:r>
      <w:r w:rsidRPr="000B61F5">
        <w:rPr>
          <w:rFonts w:cs="Sylfaen"/>
        </w:rPr>
        <w:t>სამუშაო</w:t>
      </w:r>
      <w:r w:rsidRPr="003D733D">
        <w:t xml:space="preserve"> </w:t>
      </w:r>
      <w:r w:rsidRPr="000B61F5">
        <w:rPr>
          <w:rFonts w:cs="Sylfaen"/>
        </w:rPr>
        <w:t>გარემოთი</w:t>
      </w:r>
      <w:r w:rsidRPr="003D733D">
        <w:t xml:space="preserve"> </w:t>
      </w:r>
      <w:r w:rsidRPr="000B61F5">
        <w:rPr>
          <w:rFonts w:cs="Sylfaen"/>
        </w:rPr>
        <w:t>უზრუნველყოფა</w:t>
      </w:r>
      <w:r w:rsidRPr="003D733D">
        <w:t>;</w:t>
      </w:r>
    </w:p>
    <w:p w14:paraId="6F03C699" w14:textId="77777777" w:rsidR="00A2588D" w:rsidRPr="003D733D" w:rsidRDefault="00A2588D" w:rsidP="00821E4D">
      <w:pPr>
        <w:pStyle w:val="ListParagraph"/>
        <w:numPr>
          <w:ilvl w:val="0"/>
          <w:numId w:val="40"/>
        </w:numPr>
        <w:spacing w:before="120"/>
        <w:ind w:left="360" w:hanging="270"/>
      </w:pPr>
      <w:r w:rsidRPr="000B61F5">
        <w:rPr>
          <w:rFonts w:cs="Sylfaen"/>
        </w:rPr>
        <w:t>მოსახლეობის</w:t>
      </w:r>
      <w:r w:rsidRPr="003D733D">
        <w:t xml:space="preserve"> </w:t>
      </w:r>
      <w:r w:rsidRPr="000B61F5">
        <w:rPr>
          <w:rFonts w:cs="Sylfaen"/>
        </w:rPr>
        <w:t>ცნობიერების</w:t>
      </w:r>
      <w:r w:rsidRPr="003D733D">
        <w:t xml:space="preserve"> </w:t>
      </w:r>
      <w:r w:rsidRPr="000B61F5">
        <w:rPr>
          <w:rFonts w:cs="Sylfaen"/>
        </w:rPr>
        <w:t>ამაღლების</w:t>
      </w:r>
      <w:r w:rsidRPr="003D733D">
        <w:t xml:space="preserve"> </w:t>
      </w:r>
      <w:r w:rsidRPr="000B61F5">
        <w:rPr>
          <w:rFonts w:cs="Sylfaen"/>
        </w:rPr>
        <w:t>საქმიანობების</w:t>
      </w:r>
      <w:r w:rsidRPr="003D733D">
        <w:t xml:space="preserve"> </w:t>
      </w:r>
      <w:r w:rsidRPr="000B61F5">
        <w:rPr>
          <w:rFonts w:cs="Sylfaen"/>
        </w:rPr>
        <w:t>ხელშეწყობა</w:t>
      </w:r>
      <w:r w:rsidRPr="003D733D">
        <w:t xml:space="preserve"> </w:t>
      </w:r>
      <w:r w:rsidRPr="000B61F5">
        <w:rPr>
          <w:rFonts w:cs="Sylfaen"/>
        </w:rPr>
        <w:t>მყარი</w:t>
      </w:r>
      <w:r w:rsidRPr="003D733D">
        <w:t xml:space="preserve"> </w:t>
      </w:r>
      <w:r w:rsidRPr="000B61F5">
        <w:rPr>
          <w:rFonts w:cs="Sylfaen"/>
        </w:rPr>
        <w:t>ნარჩენების</w:t>
      </w:r>
      <w:r w:rsidRPr="003D733D">
        <w:t xml:space="preserve"> </w:t>
      </w:r>
      <w:r w:rsidRPr="000B61F5">
        <w:rPr>
          <w:rFonts w:cs="Sylfaen"/>
        </w:rPr>
        <w:t>მდგრადი</w:t>
      </w:r>
      <w:r w:rsidRPr="003D733D">
        <w:t xml:space="preserve"> </w:t>
      </w:r>
      <w:r w:rsidRPr="000B61F5">
        <w:rPr>
          <w:rFonts w:cs="Sylfaen"/>
        </w:rPr>
        <w:t>მართვის</w:t>
      </w:r>
      <w:r w:rsidRPr="003D733D">
        <w:t xml:space="preserve"> </w:t>
      </w:r>
      <w:r w:rsidRPr="000B61F5">
        <w:rPr>
          <w:rFonts w:cs="Sylfaen"/>
        </w:rPr>
        <w:t>სისტემის</w:t>
      </w:r>
      <w:r w:rsidRPr="003D733D">
        <w:t xml:space="preserve"> </w:t>
      </w:r>
      <w:r w:rsidRPr="000B61F5">
        <w:rPr>
          <w:rFonts w:cs="Sylfaen"/>
        </w:rPr>
        <w:t>ასპექტებზე</w:t>
      </w:r>
      <w:r w:rsidRPr="003D733D">
        <w:t>;</w:t>
      </w:r>
    </w:p>
    <w:p w14:paraId="7EE6BD83" w14:textId="77777777" w:rsidR="00A2588D" w:rsidRPr="003D733D" w:rsidRDefault="00A2588D" w:rsidP="00821E4D">
      <w:pPr>
        <w:pStyle w:val="ListParagraph"/>
        <w:numPr>
          <w:ilvl w:val="0"/>
          <w:numId w:val="40"/>
        </w:numPr>
        <w:spacing w:before="120"/>
        <w:ind w:left="360" w:hanging="270"/>
      </w:pPr>
      <w:r w:rsidRPr="000B61F5">
        <w:rPr>
          <w:rFonts w:cs="Sylfaen"/>
        </w:rPr>
        <w:t>კომპანიასა</w:t>
      </w:r>
      <w:r w:rsidRPr="003D733D">
        <w:t xml:space="preserve"> </w:t>
      </w:r>
      <w:r w:rsidRPr="000B61F5">
        <w:rPr>
          <w:rFonts w:cs="Sylfaen"/>
        </w:rPr>
        <w:t>და</w:t>
      </w:r>
      <w:r w:rsidRPr="003D733D">
        <w:t xml:space="preserve"> </w:t>
      </w:r>
      <w:r w:rsidRPr="000B61F5">
        <w:rPr>
          <w:rFonts w:cs="Sylfaen"/>
        </w:rPr>
        <w:t>მუნიციპალიტეტებს</w:t>
      </w:r>
      <w:r w:rsidRPr="003D733D">
        <w:t xml:space="preserve"> </w:t>
      </w:r>
      <w:r w:rsidRPr="000B61F5">
        <w:rPr>
          <w:rFonts w:cs="Sylfaen"/>
        </w:rPr>
        <w:t>შორის</w:t>
      </w:r>
      <w:r w:rsidRPr="003D733D">
        <w:t xml:space="preserve"> </w:t>
      </w:r>
      <w:r w:rsidRPr="000B61F5">
        <w:rPr>
          <w:rFonts w:cs="Sylfaen"/>
        </w:rPr>
        <w:t>ეფექტური</w:t>
      </w:r>
      <w:r w:rsidRPr="003D733D">
        <w:t xml:space="preserve"> </w:t>
      </w:r>
      <w:r w:rsidRPr="000B61F5">
        <w:rPr>
          <w:rFonts w:cs="Sylfaen"/>
        </w:rPr>
        <w:t>თანამშრომლობის</w:t>
      </w:r>
      <w:r w:rsidRPr="003D733D">
        <w:t xml:space="preserve"> </w:t>
      </w:r>
      <w:r w:rsidRPr="000B61F5">
        <w:rPr>
          <w:rFonts w:cs="Sylfaen"/>
        </w:rPr>
        <w:t>და</w:t>
      </w:r>
      <w:r w:rsidRPr="003D733D">
        <w:t xml:space="preserve"> </w:t>
      </w:r>
      <w:r w:rsidRPr="000B61F5">
        <w:rPr>
          <w:rFonts w:cs="Sylfaen"/>
        </w:rPr>
        <w:t>გამოცდილების</w:t>
      </w:r>
      <w:r w:rsidRPr="003D733D">
        <w:t xml:space="preserve"> </w:t>
      </w:r>
      <w:r w:rsidRPr="000B61F5">
        <w:rPr>
          <w:rFonts w:cs="Sylfaen"/>
        </w:rPr>
        <w:t>გაზიარების</w:t>
      </w:r>
      <w:r w:rsidRPr="003D733D">
        <w:t xml:space="preserve"> </w:t>
      </w:r>
      <w:r w:rsidRPr="000B61F5">
        <w:rPr>
          <w:rFonts w:cs="Sylfaen"/>
        </w:rPr>
        <w:t>სისტემის</w:t>
      </w:r>
      <w:r w:rsidRPr="003D733D">
        <w:t xml:space="preserve"> </w:t>
      </w:r>
      <w:r w:rsidRPr="000B61F5">
        <w:rPr>
          <w:rFonts w:cs="Sylfaen"/>
        </w:rPr>
        <w:t>უზრუნველყოფა</w:t>
      </w:r>
      <w:r w:rsidRPr="003D733D">
        <w:t>;</w:t>
      </w:r>
    </w:p>
    <w:p w14:paraId="75013403" w14:textId="77777777" w:rsidR="00A2588D" w:rsidRPr="003D733D" w:rsidRDefault="00A2588D" w:rsidP="00821E4D">
      <w:pPr>
        <w:pStyle w:val="ListParagraph"/>
        <w:numPr>
          <w:ilvl w:val="0"/>
          <w:numId w:val="40"/>
        </w:numPr>
        <w:spacing w:before="120"/>
        <w:ind w:left="360" w:hanging="270"/>
      </w:pPr>
      <w:r w:rsidRPr="000B61F5">
        <w:rPr>
          <w:rFonts w:cs="Sylfaen"/>
        </w:rPr>
        <w:t>მჭიდრო</w:t>
      </w:r>
      <w:r w:rsidRPr="003D733D">
        <w:t xml:space="preserve"> </w:t>
      </w:r>
      <w:r w:rsidRPr="000B61F5">
        <w:rPr>
          <w:rFonts w:cs="Sylfaen"/>
        </w:rPr>
        <w:t>თანამშრომლობა</w:t>
      </w:r>
      <w:r w:rsidRPr="003D733D">
        <w:t xml:space="preserve"> </w:t>
      </w:r>
      <w:r w:rsidRPr="000B61F5">
        <w:rPr>
          <w:rFonts w:cs="Sylfaen"/>
        </w:rPr>
        <w:t>სხვადასხვა</w:t>
      </w:r>
      <w:r w:rsidRPr="003D733D">
        <w:t xml:space="preserve"> </w:t>
      </w:r>
      <w:r w:rsidRPr="000B61F5">
        <w:rPr>
          <w:rFonts w:cs="Sylfaen"/>
        </w:rPr>
        <w:t>დაინტერესებულ</w:t>
      </w:r>
      <w:r w:rsidRPr="003D733D">
        <w:t xml:space="preserve"> </w:t>
      </w:r>
      <w:r w:rsidRPr="000B61F5">
        <w:rPr>
          <w:rFonts w:cs="Sylfaen"/>
        </w:rPr>
        <w:t>მხარეებთან</w:t>
      </w:r>
      <w:r w:rsidRPr="003D733D">
        <w:t xml:space="preserve">, </w:t>
      </w:r>
      <w:r w:rsidRPr="000B61F5">
        <w:rPr>
          <w:rFonts w:cs="Sylfaen"/>
        </w:rPr>
        <w:t>მათ</w:t>
      </w:r>
      <w:r w:rsidRPr="003D733D">
        <w:t xml:space="preserve"> </w:t>
      </w:r>
      <w:r w:rsidRPr="000B61F5">
        <w:rPr>
          <w:rFonts w:cs="Sylfaen"/>
        </w:rPr>
        <w:t>შორის</w:t>
      </w:r>
      <w:r w:rsidRPr="003D733D">
        <w:t xml:space="preserve"> </w:t>
      </w:r>
      <w:r w:rsidRPr="000B61F5">
        <w:rPr>
          <w:rFonts w:cs="Sylfaen"/>
        </w:rPr>
        <w:t>სამინისტროებთან</w:t>
      </w:r>
      <w:r w:rsidRPr="003D733D">
        <w:t xml:space="preserve">, </w:t>
      </w:r>
      <w:r w:rsidRPr="000B61F5">
        <w:rPr>
          <w:rFonts w:cs="Sylfaen"/>
        </w:rPr>
        <w:t>ადგილობრივ</w:t>
      </w:r>
      <w:r w:rsidRPr="003D733D">
        <w:t xml:space="preserve"> </w:t>
      </w:r>
      <w:r w:rsidRPr="000B61F5">
        <w:rPr>
          <w:rFonts w:cs="Sylfaen"/>
        </w:rPr>
        <w:t>მუნიციპალიტეტებთან</w:t>
      </w:r>
      <w:r w:rsidRPr="003D733D">
        <w:t xml:space="preserve"> </w:t>
      </w:r>
      <w:r w:rsidRPr="000B61F5">
        <w:rPr>
          <w:rFonts w:cs="Sylfaen"/>
        </w:rPr>
        <w:t>და</w:t>
      </w:r>
      <w:r w:rsidRPr="003D733D">
        <w:t xml:space="preserve"> </w:t>
      </w:r>
      <w:r w:rsidRPr="000B61F5">
        <w:rPr>
          <w:rFonts w:cs="Sylfaen"/>
        </w:rPr>
        <w:t>სხვა</w:t>
      </w:r>
      <w:r w:rsidRPr="003D733D">
        <w:t xml:space="preserve"> </w:t>
      </w:r>
      <w:r w:rsidRPr="000B61F5">
        <w:rPr>
          <w:rFonts w:cs="Sylfaen"/>
        </w:rPr>
        <w:t>უწყებებთან</w:t>
      </w:r>
      <w:r w:rsidRPr="003D733D">
        <w:t xml:space="preserve">, </w:t>
      </w:r>
      <w:r w:rsidRPr="000B61F5">
        <w:rPr>
          <w:rFonts w:cs="Sylfaen"/>
        </w:rPr>
        <w:t>რომლებიც</w:t>
      </w:r>
      <w:r w:rsidRPr="003D733D">
        <w:t xml:space="preserve"> </w:t>
      </w:r>
      <w:r w:rsidRPr="000B61F5">
        <w:rPr>
          <w:rFonts w:cs="Sylfaen"/>
        </w:rPr>
        <w:t>პასუხისმგებლები</w:t>
      </w:r>
      <w:r w:rsidRPr="003D733D">
        <w:t xml:space="preserve"> </w:t>
      </w:r>
      <w:r w:rsidRPr="000B61F5">
        <w:rPr>
          <w:rFonts w:cs="Sylfaen"/>
        </w:rPr>
        <w:t>არიან</w:t>
      </w:r>
      <w:r w:rsidRPr="003D733D">
        <w:t xml:space="preserve"> </w:t>
      </w:r>
      <w:r w:rsidRPr="000B61F5">
        <w:rPr>
          <w:rFonts w:cs="Sylfaen"/>
        </w:rPr>
        <w:t>ნარჩენების</w:t>
      </w:r>
      <w:r w:rsidRPr="003D733D">
        <w:t xml:space="preserve"> </w:t>
      </w:r>
      <w:r w:rsidRPr="000B61F5">
        <w:rPr>
          <w:rFonts w:cs="Sylfaen"/>
        </w:rPr>
        <w:t>მართვის</w:t>
      </w:r>
      <w:r w:rsidRPr="003D733D">
        <w:t xml:space="preserve"> </w:t>
      </w:r>
      <w:r w:rsidRPr="000B61F5">
        <w:rPr>
          <w:rFonts w:cs="Sylfaen"/>
        </w:rPr>
        <w:t>სისტემის</w:t>
      </w:r>
      <w:r w:rsidRPr="003D733D">
        <w:t xml:space="preserve"> </w:t>
      </w:r>
      <w:r w:rsidRPr="000B61F5">
        <w:rPr>
          <w:rFonts w:cs="Sylfaen"/>
        </w:rPr>
        <w:t>სხვადასხვა</w:t>
      </w:r>
      <w:r w:rsidRPr="003D733D">
        <w:t xml:space="preserve"> </w:t>
      </w:r>
      <w:r w:rsidRPr="000B61F5">
        <w:rPr>
          <w:rFonts w:cs="Sylfaen"/>
        </w:rPr>
        <w:t>ასპექტებზე</w:t>
      </w:r>
      <w:r w:rsidRPr="003D733D">
        <w:t>;</w:t>
      </w:r>
    </w:p>
    <w:p w14:paraId="4A3546CF" w14:textId="77777777" w:rsidR="00A2588D" w:rsidRPr="003D733D" w:rsidRDefault="00A2588D" w:rsidP="00821E4D">
      <w:pPr>
        <w:pStyle w:val="ListParagraph"/>
        <w:numPr>
          <w:ilvl w:val="0"/>
          <w:numId w:val="40"/>
        </w:numPr>
        <w:spacing w:before="120"/>
        <w:ind w:left="360" w:hanging="270"/>
      </w:pPr>
      <w:r w:rsidRPr="000B61F5">
        <w:rPr>
          <w:rFonts w:cs="Sylfaen"/>
        </w:rPr>
        <w:t>ევრო</w:t>
      </w:r>
      <w:r w:rsidRPr="003D733D">
        <w:t xml:space="preserve"> </w:t>
      </w:r>
      <w:r w:rsidRPr="000B61F5">
        <w:rPr>
          <w:rFonts w:cs="Sylfaen"/>
        </w:rPr>
        <w:t>კომისიის</w:t>
      </w:r>
      <w:r w:rsidRPr="003D733D">
        <w:t xml:space="preserve"> </w:t>
      </w:r>
      <w:r w:rsidRPr="000B61F5">
        <w:rPr>
          <w:rFonts w:cs="Sylfaen"/>
        </w:rPr>
        <w:t>დირექტივების</w:t>
      </w:r>
      <w:r w:rsidRPr="003D733D">
        <w:t xml:space="preserve"> </w:t>
      </w:r>
      <w:r w:rsidRPr="000B61F5">
        <w:rPr>
          <w:rFonts w:cs="Sylfaen"/>
        </w:rPr>
        <w:t>დაცვა</w:t>
      </w:r>
      <w:r w:rsidRPr="003D733D">
        <w:t xml:space="preserve"> </w:t>
      </w:r>
      <w:r w:rsidRPr="000B61F5">
        <w:rPr>
          <w:rFonts w:cs="Sylfaen"/>
        </w:rPr>
        <w:t>მყარი</w:t>
      </w:r>
      <w:r w:rsidRPr="003D733D">
        <w:t xml:space="preserve"> </w:t>
      </w:r>
      <w:r w:rsidRPr="000B61F5">
        <w:rPr>
          <w:rFonts w:cs="Sylfaen"/>
        </w:rPr>
        <w:t>ნარჩენების</w:t>
      </w:r>
      <w:r w:rsidRPr="003D733D">
        <w:t xml:space="preserve"> </w:t>
      </w:r>
      <w:r w:rsidRPr="000B61F5">
        <w:rPr>
          <w:rFonts w:cs="Sylfaen"/>
        </w:rPr>
        <w:t>მართვის</w:t>
      </w:r>
      <w:r w:rsidRPr="003D733D">
        <w:t xml:space="preserve"> </w:t>
      </w:r>
      <w:r w:rsidRPr="000B61F5">
        <w:rPr>
          <w:rFonts w:cs="Sylfaen"/>
        </w:rPr>
        <w:t>სფეროში</w:t>
      </w:r>
      <w:r w:rsidRPr="003D733D">
        <w:t>.</w:t>
      </w:r>
    </w:p>
    <w:p w14:paraId="78EA4671" w14:textId="77777777" w:rsidR="00A2588D" w:rsidRPr="003D733D" w:rsidRDefault="00A2588D" w:rsidP="00A2588D">
      <w:pPr>
        <w:spacing w:before="120" w:after="120"/>
      </w:pPr>
      <w:r w:rsidRPr="003D733D">
        <w:rPr>
          <w:rFonts w:ascii="Sylfaen" w:hAnsi="Sylfaen" w:cs="Sylfaen"/>
        </w:rPr>
        <w:t>კომპანიის</w:t>
      </w:r>
      <w:r w:rsidRPr="003D733D">
        <w:t xml:space="preserve"> </w:t>
      </w:r>
      <w:r w:rsidRPr="003D733D">
        <w:rPr>
          <w:rFonts w:ascii="Sylfaen" w:hAnsi="Sylfaen" w:cs="Sylfaen"/>
        </w:rPr>
        <w:t>მისია</w:t>
      </w:r>
      <w:r w:rsidRPr="003D733D">
        <w:t>:</w:t>
      </w:r>
    </w:p>
    <w:p w14:paraId="4E9D55AF" w14:textId="77777777" w:rsidR="00A2588D" w:rsidRPr="003D733D" w:rsidRDefault="00A2588D" w:rsidP="00821E4D">
      <w:pPr>
        <w:pStyle w:val="ListParagraph"/>
        <w:numPr>
          <w:ilvl w:val="0"/>
          <w:numId w:val="39"/>
        </w:numPr>
        <w:spacing w:before="120"/>
        <w:ind w:left="270" w:hanging="270"/>
      </w:pPr>
      <w:r w:rsidRPr="000B61F5">
        <w:rPr>
          <w:rFonts w:cs="Sylfaen"/>
        </w:rPr>
        <w:t>არსებულ</w:t>
      </w:r>
      <w:r w:rsidRPr="003D733D">
        <w:t xml:space="preserve">  </w:t>
      </w:r>
      <w:r w:rsidRPr="000B61F5">
        <w:rPr>
          <w:rFonts w:cs="Sylfaen"/>
        </w:rPr>
        <w:t>პოლიგონებზე</w:t>
      </w:r>
      <w:r w:rsidRPr="003D733D">
        <w:t xml:space="preserve"> </w:t>
      </w:r>
      <w:r w:rsidRPr="000B61F5">
        <w:rPr>
          <w:rFonts w:cs="Sylfaen"/>
        </w:rPr>
        <w:t>ნარჩენების</w:t>
      </w:r>
      <w:r w:rsidRPr="003D733D">
        <w:t xml:space="preserve"> </w:t>
      </w:r>
      <w:r w:rsidRPr="000B61F5">
        <w:rPr>
          <w:rFonts w:cs="Sylfaen"/>
        </w:rPr>
        <w:t>მიღების</w:t>
      </w:r>
      <w:r w:rsidRPr="003D733D">
        <w:t xml:space="preserve"> </w:t>
      </w:r>
      <w:r w:rsidRPr="000B61F5">
        <w:rPr>
          <w:rFonts w:cs="Sylfaen"/>
        </w:rPr>
        <w:t>გაუმჯობესება</w:t>
      </w:r>
      <w:r w:rsidRPr="003D733D">
        <w:t>;</w:t>
      </w:r>
    </w:p>
    <w:p w14:paraId="04ED0580" w14:textId="77777777" w:rsidR="00A2588D" w:rsidRPr="003D733D" w:rsidRDefault="00A2588D" w:rsidP="00821E4D">
      <w:pPr>
        <w:pStyle w:val="ListParagraph"/>
        <w:numPr>
          <w:ilvl w:val="0"/>
          <w:numId w:val="39"/>
        </w:numPr>
        <w:spacing w:before="120"/>
        <w:ind w:left="270" w:hanging="270"/>
      </w:pPr>
      <w:r w:rsidRPr="000B61F5">
        <w:rPr>
          <w:rFonts w:cs="Sylfaen"/>
        </w:rPr>
        <w:t>კომპანიის</w:t>
      </w:r>
      <w:r w:rsidRPr="003D733D">
        <w:t xml:space="preserve"> </w:t>
      </w:r>
      <w:r w:rsidRPr="000B61F5">
        <w:rPr>
          <w:rFonts w:cs="Sylfaen"/>
        </w:rPr>
        <w:t>საკუთრებაში</w:t>
      </w:r>
      <w:r w:rsidRPr="003D733D">
        <w:t xml:space="preserve"> </w:t>
      </w:r>
      <w:r w:rsidRPr="000B61F5">
        <w:rPr>
          <w:rFonts w:cs="Sylfaen"/>
        </w:rPr>
        <w:t>არსებული</w:t>
      </w:r>
      <w:r w:rsidRPr="003D733D">
        <w:t xml:space="preserve"> </w:t>
      </w:r>
      <w:r w:rsidRPr="000B61F5">
        <w:rPr>
          <w:rFonts w:cs="Sylfaen"/>
        </w:rPr>
        <w:t>პოლიგონების</w:t>
      </w:r>
      <w:r w:rsidRPr="003D733D">
        <w:t xml:space="preserve"> </w:t>
      </w:r>
      <w:r w:rsidRPr="000B61F5">
        <w:rPr>
          <w:rFonts w:cs="Sylfaen"/>
        </w:rPr>
        <w:t>მოწესრიგება</w:t>
      </w:r>
      <w:r w:rsidRPr="003D733D">
        <w:t xml:space="preserve"> </w:t>
      </w:r>
      <w:r w:rsidRPr="000B61F5">
        <w:rPr>
          <w:rFonts w:cs="Sylfaen"/>
        </w:rPr>
        <w:t>და</w:t>
      </w:r>
      <w:r w:rsidRPr="003D733D">
        <w:t xml:space="preserve"> </w:t>
      </w:r>
      <w:r w:rsidRPr="000B61F5">
        <w:rPr>
          <w:rFonts w:cs="Sylfaen"/>
        </w:rPr>
        <w:t>გამართულ</w:t>
      </w:r>
      <w:r w:rsidRPr="003D733D">
        <w:t xml:space="preserve"> </w:t>
      </w:r>
      <w:r w:rsidRPr="000B61F5">
        <w:rPr>
          <w:rFonts w:cs="Sylfaen"/>
        </w:rPr>
        <w:t>საექსპლუატაციო</w:t>
      </w:r>
      <w:r w:rsidRPr="003D733D">
        <w:t xml:space="preserve"> </w:t>
      </w:r>
      <w:r w:rsidRPr="000B61F5">
        <w:rPr>
          <w:rFonts w:cs="Sylfaen"/>
        </w:rPr>
        <w:t>რეჟიმში</w:t>
      </w:r>
      <w:r w:rsidRPr="003D733D">
        <w:t xml:space="preserve"> </w:t>
      </w:r>
      <w:r w:rsidRPr="000B61F5">
        <w:rPr>
          <w:rFonts w:cs="Sylfaen"/>
        </w:rPr>
        <w:t>მოყვანა</w:t>
      </w:r>
      <w:r w:rsidRPr="003D733D">
        <w:t>;</w:t>
      </w:r>
    </w:p>
    <w:p w14:paraId="13F8BAB2" w14:textId="77777777" w:rsidR="00A2588D" w:rsidRPr="003D733D" w:rsidRDefault="00A2588D" w:rsidP="00821E4D">
      <w:pPr>
        <w:pStyle w:val="ListParagraph"/>
        <w:numPr>
          <w:ilvl w:val="0"/>
          <w:numId w:val="39"/>
        </w:numPr>
        <w:spacing w:before="120"/>
        <w:ind w:left="270" w:hanging="270"/>
      </w:pPr>
      <w:r w:rsidRPr="000B61F5">
        <w:rPr>
          <w:rFonts w:cs="Sylfaen"/>
        </w:rPr>
        <w:t>პოლიგონებზე</w:t>
      </w:r>
      <w:r w:rsidRPr="003D733D">
        <w:t xml:space="preserve"> </w:t>
      </w:r>
      <w:r w:rsidRPr="000B61F5">
        <w:rPr>
          <w:rFonts w:cs="Sylfaen"/>
        </w:rPr>
        <w:t>განსათავსებელი</w:t>
      </w:r>
      <w:r w:rsidRPr="003D733D">
        <w:t xml:space="preserve"> </w:t>
      </w:r>
      <w:r w:rsidRPr="000B61F5">
        <w:rPr>
          <w:rFonts w:cs="Sylfaen"/>
        </w:rPr>
        <w:t>ნარჩენების</w:t>
      </w:r>
      <w:r w:rsidRPr="003D733D">
        <w:t xml:space="preserve"> </w:t>
      </w:r>
      <w:r w:rsidRPr="000B61F5">
        <w:rPr>
          <w:rFonts w:cs="Sylfaen"/>
        </w:rPr>
        <w:t>აღრიცხვის</w:t>
      </w:r>
      <w:r w:rsidRPr="003D733D">
        <w:t xml:space="preserve"> </w:t>
      </w:r>
      <w:r w:rsidRPr="000B61F5">
        <w:rPr>
          <w:rFonts w:cs="Sylfaen"/>
        </w:rPr>
        <w:t>სისტემის</w:t>
      </w:r>
      <w:r w:rsidRPr="003D733D">
        <w:t xml:space="preserve"> </w:t>
      </w:r>
      <w:r w:rsidRPr="000B61F5">
        <w:rPr>
          <w:rFonts w:cs="Sylfaen"/>
        </w:rPr>
        <w:t>სრულყოფა</w:t>
      </w:r>
      <w:r w:rsidRPr="003D733D">
        <w:t>;</w:t>
      </w:r>
    </w:p>
    <w:p w14:paraId="481F052C" w14:textId="77777777" w:rsidR="00A2588D" w:rsidRPr="003D733D" w:rsidRDefault="00A2588D" w:rsidP="00821E4D">
      <w:pPr>
        <w:pStyle w:val="ListParagraph"/>
        <w:numPr>
          <w:ilvl w:val="0"/>
          <w:numId w:val="39"/>
        </w:numPr>
        <w:spacing w:before="120"/>
        <w:ind w:left="270" w:hanging="270"/>
      </w:pPr>
      <w:r w:rsidRPr="000B61F5">
        <w:rPr>
          <w:rFonts w:cs="Sylfaen"/>
        </w:rPr>
        <w:t>პოლიგონების</w:t>
      </w:r>
      <w:r w:rsidRPr="003D733D">
        <w:t xml:space="preserve"> </w:t>
      </w:r>
      <w:r w:rsidRPr="000B61F5">
        <w:rPr>
          <w:rFonts w:cs="Sylfaen"/>
        </w:rPr>
        <w:t>მართვისას</w:t>
      </w:r>
      <w:r w:rsidRPr="003D733D">
        <w:t xml:space="preserve"> </w:t>
      </w:r>
      <w:r w:rsidRPr="000B61F5">
        <w:rPr>
          <w:rFonts w:cs="Sylfaen"/>
        </w:rPr>
        <w:t>გარემოზე</w:t>
      </w:r>
      <w:r w:rsidRPr="003D733D">
        <w:t xml:space="preserve"> </w:t>
      </w:r>
      <w:r w:rsidRPr="000B61F5">
        <w:rPr>
          <w:rFonts w:cs="Sylfaen"/>
        </w:rPr>
        <w:t>ზემოქმედების</w:t>
      </w:r>
      <w:r w:rsidRPr="003D733D">
        <w:t xml:space="preserve">, </w:t>
      </w:r>
      <w:r w:rsidRPr="000B61F5">
        <w:rPr>
          <w:rFonts w:cs="Sylfaen"/>
        </w:rPr>
        <w:t>შრომის</w:t>
      </w:r>
      <w:r w:rsidRPr="003D733D">
        <w:t xml:space="preserve"> </w:t>
      </w:r>
      <w:r w:rsidRPr="000B61F5">
        <w:rPr>
          <w:rFonts w:cs="Sylfaen"/>
        </w:rPr>
        <w:t>უსაფრთხოებისა</w:t>
      </w:r>
      <w:r w:rsidRPr="003D733D">
        <w:t xml:space="preserve"> </w:t>
      </w:r>
      <w:r w:rsidRPr="000B61F5">
        <w:rPr>
          <w:rFonts w:cs="Sylfaen"/>
        </w:rPr>
        <w:t>და</w:t>
      </w:r>
      <w:r w:rsidRPr="003D733D">
        <w:t xml:space="preserve"> </w:t>
      </w:r>
      <w:r w:rsidRPr="000B61F5">
        <w:rPr>
          <w:rFonts w:cs="Sylfaen"/>
        </w:rPr>
        <w:t>ადამიანის</w:t>
      </w:r>
      <w:r w:rsidRPr="003D733D">
        <w:t xml:space="preserve"> </w:t>
      </w:r>
      <w:r w:rsidRPr="000B61F5">
        <w:rPr>
          <w:rFonts w:cs="Sylfaen"/>
        </w:rPr>
        <w:t>ჯანმრთელობის</w:t>
      </w:r>
      <w:r w:rsidRPr="003D733D">
        <w:t xml:space="preserve"> </w:t>
      </w:r>
      <w:r w:rsidRPr="000B61F5">
        <w:rPr>
          <w:rFonts w:cs="Sylfaen"/>
        </w:rPr>
        <w:t>გათვალისწინება</w:t>
      </w:r>
      <w:r w:rsidRPr="003D733D">
        <w:t xml:space="preserve">, </w:t>
      </w:r>
      <w:r w:rsidRPr="000B61F5">
        <w:rPr>
          <w:rFonts w:cs="Sylfaen"/>
        </w:rPr>
        <w:t>ტექნიკური</w:t>
      </w:r>
      <w:r w:rsidRPr="003D733D">
        <w:t xml:space="preserve"> </w:t>
      </w:r>
      <w:r w:rsidRPr="000B61F5">
        <w:rPr>
          <w:rFonts w:cs="Sylfaen"/>
        </w:rPr>
        <w:t>და</w:t>
      </w:r>
      <w:r w:rsidRPr="003D733D">
        <w:t xml:space="preserve"> </w:t>
      </w:r>
      <w:r w:rsidRPr="000B61F5">
        <w:rPr>
          <w:rFonts w:cs="Sylfaen"/>
        </w:rPr>
        <w:t>ინფრასტრუქტურული</w:t>
      </w:r>
      <w:r w:rsidRPr="003D733D">
        <w:t xml:space="preserve"> </w:t>
      </w:r>
      <w:r w:rsidRPr="000B61F5">
        <w:rPr>
          <w:rFonts w:cs="Sylfaen"/>
        </w:rPr>
        <w:t>ზომების</w:t>
      </w:r>
      <w:r w:rsidRPr="003D733D">
        <w:t xml:space="preserve"> </w:t>
      </w:r>
      <w:r w:rsidRPr="000B61F5">
        <w:rPr>
          <w:rFonts w:cs="Sylfaen"/>
        </w:rPr>
        <w:t>ჩათვლით</w:t>
      </w:r>
      <w:r w:rsidRPr="003D733D">
        <w:t>;</w:t>
      </w:r>
    </w:p>
    <w:p w14:paraId="69163FE6" w14:textId="77777777" w:rsidR="00A2588D" w:rsidRPr="003D733D" w:rsidRDefault="00A2588D" w:rsidP="00821E4D">
      <w:pPr>
        <w:pStyle w:val="ListParagraph"/>
        <w:numPr>
          <w:ilvl w:val="0"/>
          <w:numId w:val="39"/>
        </w:numPr>
        <w:spacing w:before="120"/>
        <w:ind w:left="270" w:hanging="270"/>
      </w:pPr>
      <w:r w:rsidRPr="000B61F5">
        <w:rPr>
          <w:rFonts w:cs="Sylfaen"/>
        </w:rPr>
        <w:t>ახალი</w:t>
      </w:r>
      <w:r w:rsidRPr="003D733D">
        <w:t xml:space="preserve"> </w:t>
      </w:r>
      <w:r w:rsidRPr="000B61F5">
        <w:rPr>
          <w:rFonts w:cs="Sylfaen"/>
        </w:rPr>
        <w:t>რეგიონული</w:t>
      </w:r>
      <w:r w:rsidRPr="003D733D">
        <w:t xml:space="preserve"> </w:t>
      </w:r>
      <w:r w:rsidRPr="000B61F5">
        <w:rPr>
          <w:rFonts w:cs="Sylfaen"/>
        </w:rPr>
        <w:t>სანიტარული</w:t>
      </w:r>
      <w:r w:rsidRPr="003D733D">
        <w:t xml:space="preserve"> </w:t>
      </w:r>
      <w:r w:rsidRPr="000B61F5">
        <w:rPr>
          <w:rFonts w:cs="Sylfaen"/>
        </w:rPr>
        <w:t>პოლიგონებისა</w:t>
      </w:r>
      <w:r w:rsidRPr="003D733D">
        <w:t xml:space="preserve"> </w:t>
      </w:r>
      <w:r w:rsidRPr="000B61F5">
        <w:rPr>
          <w:rFonts w:cs="Sylfaen"/>
        </w:rPr>
        <w:t>და</w:t>
      </w:r>
      <w:r w:rsidRPr="003D733D">
        <w:t xml:space="preserve"> </w:t>
      </w:r>
      <w:r w:rsidRPr="000B61F5">
        <w:rPr>
          <w:rFonts w:cs="Sylfaen"/>
        </w:rPr>
        <w:t>გადამტვირთი</w:t>
      </w:r>
      <w:r w:rsidRPr="003D733D">
        <w:t xml:space="preserve"> </w:t>
      </w:r>
      <w:r w:rsidRPr="000B61F5">
        <w:rPr>
          <w:rFonts w:cs="Sylfaen"/>
        </w:rPr>
        <w:t>სადგურების</w:t>
      </w:r>
      <w:r w:rsidRPr="003D733D">
        <w:t xml:space="preserve"> </w:t>
      </w:r>
      <w:r w:rsidRPr="000B61F5">
        <w:rPr>
          <w:rFonts w:cs="Sylfaen"/>
        </w:rPr>
        <w:t>რაოდენობის</w:t>
      </w:r>
      <w:r w:rsidRPr="003D733D">
        <w:t xml:space="preserve"> </w:t>
      </w:r>
      <w:r w:rsidRPr="000B61F5">
        <w:rPr>
          <w:rFonts w:cs="Sylfaen"/>
        </w:rPr>
        <w:t>განსაზღვრა</w:t>
      </w:r>
      <w:r w:rsidRPr="003D733D">
        <w:t>;</w:t>
      </w:r>
    </w:p>
    <w:p w14:paraId="159E4F5F" w14:textId="77777777" w:rsidR="00A2588D" w:rsidRPr="003D733D" w:rsidRDefault="00A2588D" w:rsidP="00821E4D">
      <w:pPr>
        <w:pStyle w:val="ListParagraph"/>
        <w:numPr>
          <w:ilvl w:val="0"/>
          <w:numId w:val="39"/>
        </w:numPr>
        <w:spacing w:before="120"/>
        <w:ind w:left="270" w:hanging="270"/>
      </w:pPr>
      <w:r w:rsidRPr="000B61F5">
        <w:rPr>
          <w:rFonts w:cs="Sylfaen"/>
        </w:rPr>
        <w:t>მაღალი</w:t>
      </w:r>
      <w:r w:rsidRPr="003D733D">
        <w:t xml:space="preserve"> </w:t>
      </w:r>
      <w:r w:rsidRPr="000B61F5">
        <w:rPr>
          <w:rFonts w:cs="Sylfaen"/>
        </w:rPr>
        <w:t>რისკის</w:t>
      </w:r>
      <w:r w:rsidRPr="003D733D">
        <w:t xml:space="preserve"> </w:t>
      </w:r>
      <w:r w:rsidRPr="000B61F5">
        <w:rPr>
          <w:rFonts w:cs="Sylfaen"/>
        </w:rPr>
        <w:t>მქონე</w:t>
      </w:r>
      <w:r w:rsidRPr="003D733D">
        <w:t xml:space="preserve"> </w:t>
      </w:r>
      <w:r w:rsidRPr="000B61F5">
        <w:rPr>
          <w:rFonts w:cs="Sylfaen"/>
        </w:rPr>
        <w:t>პოლიგონების</w:t>
      </w:r>
      <w:r w:rsidRPr="003D733D">
        <w:t xml:space="preserve"> </w:t>
      </w:r>
      <w:r w:rsidRPr="000B61F5">
        <w:rPr>
          <w:rFonts w:cs="Sylfaen"/>
        </w:rPr>
        <w:t>რემედიაცია</w:t>
      </w:r>
      <w:r w:rsidRPr="003D733D">
        <w:t xml:space="preserve"> </w:t>
      </w:r>
      <w:r w:rsidRPr="000B61F5">
        <w:rPr>
          <w:rFonts w:cs="Sylfaen"/>
        </w:rPr>
        <w:t>და</w:t>
      </w:r>
      <w:r w:rsidRPr="003D733D">
        <w:t xml:space="preserve"> </w:t>
      </w:r>
      <w:r w:rsidRPr="000B61F5">
        <w:rPr>
          <w:rFonts w:cs="Sylfaen"/>
        </w:rPr>
        <w:t>დახურვა</w:t>
      </w:r>
      <w:r w:rsidRPr="003D733D">
        <w:t>;</w:t>
      </w:r>
    </w:p>
    <w:p w14:paraId="7557A9CE" w14:textId="77777777" w:rsidR="00A2588D" w:rsidRPr="003D733D" w:rsidRDefault="00A2588D" w:rsidP="00821E4D">
      <w:pPr>
        <w:pStyle w:val="ListParagraph"/>
        <w:numPr>
          <w:ilvl w:val="0"/>
          <w:numId w:val="39"/>
        </w:numPr>
        <w:spacing w:before="120"/>
        <w:ind w:left="270" w:hanging="270"/>
      </w:pPr>
      <w:r w:rsidRPr="000B61F5">
        <w:rPr>
          <w:rFonts w:cs="Sylfaen"/>
        </w:rPr>
        <w:t>კომპანიის</w:t>
      </w:r>
      <w:r w:rsidRPr="003D733D">
        <w:t xml:space="preserve"> </w:t>
      </w:r>
      <w:r w:rsidRPr="000B61F5">
        <w:rPr>
          <w:rFonts w:cs="Sylfaen"/>
        </w:rPr>
        <w:t>თანამშრომლების</w:t>
      </w:r>
      <w:r w:rsidRPr="003D733D">
        <w:t xml:space="preserve"> </w:t>
      </w:r>
      <w:r w:rsidRPr="000B61F5">
        <w:rPr>
          <w:rFonts w:cs="Sylfaen"/>
        </w:rPr>
        <w:t>კვალიფიკაციის</w:t>
      </w:r>
      <w:r w:rsidRPr="003D733D">
        <w:t xml:space="preserve"> </w:t>
      </w:r>
      <w:r w:rsidRPr="000B61F5">
        <w:rPr>
          <w:rFonts w:cs="Sylfaen"/>
        </w:rPr>
        <w:t>ამაღლება</w:t>
      </w:r>
      <w:r w:rsidRPr="003D733D">
        <w:t xml:space="preserve"> </w:t>
      </w:r>
      <w:r w:rsidRPr="000B61F5">
        <w:rPr>
          <w:rFonts w:cs="Sylfaen"/>
        </w:rPr>
        <w:t>ნარჩენების</w:t>
      </w:r>
      <w:r w:rsidRPr="003D733D">
        <w:t xml:space="preserve"> </w:t>
      </w:r>
      <w:r w:rsidRPr="000B61F5">
        <w:rPr>
          <w:rFonts w:cs="Sylfaen"/>
        </w:rPr>
        <w:t>მართვის</w:t>
      </w:r>
      <w:r w:rsidRPr="003D733D">
        <w:t xml:space="preserve"> </w:t>
      </w:r>
      <w:r w:rsidRPr="000B61F5">
        <w:rPr>
          <w:rFonts w:cs="Sylfaen"/>
        </w:rPr>
        <w:t>სხვადასხვა</w:t>
      </w:r>
      <w:r w:rsidRPr="003D733D">
        <w:t xml:space="preserve"> </w:t>
      </w:r>
      <w:r w:rsidRPr="000B61F5">
        <w:rPr>
          <w:rFonts w:cs="Sylfaen"/>
        </w:rPr>
        <w:t>საკითხებზე</w:t>
      </w:r>
      <w:r w:rsidRPr="003D733D">
        <w:t xml:space="preserve">, </w:t>
      </w:r>
      <w:r w:rsidRPr="000B61F5">
        <w:rPr>
          <w:rFonts w:cs="Sylfaen"/>
        </w:rPr>
        <w:t>ტექნიკური</w:t>
      </w:r>
      <w:r w:rsidRPr="003D733D">
        <w:t xml:space="preserve">, </w:t>
      </w:r>
      <w:r w:rsidRPr="000B61F5">
        <w:rPr>
          <w:rFonts w:cs="Sylfaen"/>
        </w:rPr>
        <w:t>ეკონომიკური</w:t>
      </w:r>
      <w:r w:rsidRPr="003D733D">
        <w:t xml:space="preserve">, </w:t>
      </w:r>
      <w:r w:rsidRPr="000B61F5">
        <w:rPr>
          <w:rFonts w:cs="Sylfaen"/>
        </w:rPr>
        <w:t>ადმინისტრატიული</w:t>
      </w:r>
      <w:r w:rsidRPr="003D733D">
        <w:t xml:space="preserve"> </w:t>
      </w:r>
      <w:r w:rsidRPr="000B61F5">
        <w:rPr>
          <w:rFonts w:cs="Sylfaen"/>
        </w:rPr>
        <w:t>და</w:t>
      </w:r>
      <w:r w:rsidRPr="003D733D">
        <w:t xml:space="preserve"> </w:t>
      </w:r>
      <w:r w:rsidRPr="000B61F5">
        <w:rPr>
          <w:rFonts w:cs="Sylfaen"/>
        </w:rPr>
        <w:t>იურიდიული</w:t>
      </w:r>
      <w:r w:rsidRPr="003D733D">
        <w:t xml:space="preserve"> </w:t>
      </w:r>
      <w:r w:rsidRPr="000B61F5">
        <w:rPr>
          <w:rFonts w:cs="Sylfaen"/>
        </w:rPr>
        <w:t>საკითხების</w:t>
      </w:r>
      <w:r w:rsidRPr="003D733D">
        <w:t xml:space="preserve"> </w:t>
      </w:r>
      <w:r w:rsidRPr="000B61F5">
        <w:rPr>
          <w:rFonts w:cs="Sylfaen"/>
        </w:rPr>
        <w:t>ჩართვით</w:t>
      </w:r>
      <w:r w:rsidRPr="003D733D">
        <w:t>;</w:t>
      </w:r>
    </w:p>
    <w:p w14:paraId="3F1A29D0" w14:textId="77777777" w:rsidR="00A2588D" w:rsidRPr="003D733D" w:rsidRDefault="00A2588D" w:rsidP="00821E4D">
      <w:pPr>
        <w:pStyle w:val="ListParagraph"/>
        <w:numPr>
          <w:ilvl w:val="0"/>
          <w:numId w:val="39"/>
        </w:numPr>
        <w:spacing w:before="120"/>
        <w:ind w:left="270" w:hanging="270"/>
      </w:pPr>
      <w:r w:rsidRPr="000B61F5">
        <w:rPr>
          <w:rFonts w:cs="Sylfaen"/>
        </w:rPr>
        <w:t>ხარჯების</w:t>
      </w:r>
      <w:r w:rsidRPr="003D733D">
        <w:t xml:space="preserve"> </w:t>
      </w:r>
      <w:r w:rsidRPr="000B61F5">
        <w:rPr>
          <w:rFonts w:cs="Sylfaen"/>
        </w:rPr>
        <w:t>ამოღების</w:t>
      </w:r>
      <w:r w:rsidRPr="003D733D">
        <w:t xml:space="preserve"> </w:t>
      </w:r>
      <w:r w:rsidRPr="000B61F5">
        <w:rPr>
          <w:rFonts w:cs="Sylfaen"/>
        </w:rPr>
        <w:t>ეფექტური</w:t>
      </w:r>
      <w:r w:rsidRPr="003D733D">
        <w:t xml:space="preserve"> </w:t>
      </w:r>
      <w:r w:rsidRPr="000B61F5">
        <w:rPr>
          <w:rFonts w:cs="Sylfaen"/>
        </w:rPr>
        <w:t>სისტემის</w:t>
      </w:r>
      <w:r w:rsidRPr="003D733D">
        <w:t xml:space="preserve"> </w:t>
      </w:r>
      <w:r w:rsidRPr="000B61F5">
        <w:rPr>
          <w:rFonts w:cs="Sylfaen"/>
        </w:rPr>
        <w:t>შემუშავება</w:t>
      </w:r>
      <w:r w:rsidRPr="003D733D">
        <w:t>;</w:t>
      </w:r>
    </w:p>
    <w:p w14:paraId="69C2F2A4" w14:textId="77777777" w:rsidR="00A2588D" w:rsidRPr="003D733D" w:rsidRDefault="00A2588D" w:rsidP="00821E4D">
      <w:pPr>
        <w:pStyle w:val="ListParagraph"/>
        <w:numPr>
          <w:ilvl w:val="0"/>
          <w:numId w:val="39"/>
        </w:numPr>
        <w:spacing w:before="120"/>
        <w:ind w:left="270" w:hanging="270"/>
      </w:pPr>
      <w:r w:rsidRPr="000B61F5">
        <w:rPr>
          <w:rFonts w:cs="Sylfaen"/>
        </w:rPr>
        <w:t>მუნიციპალიტეტებთან</w:t>
      </w:r>
      <w:r w:rsidRPr="003D733D">
        <w:t xml:space="preserve"> </w:t>
      </w:r>
      <w:r w:rsidRPr="000B61F5">
        <w:rPr>
          <w:rFonts w:cs="Sylfaen"/>
        </w:rPr>
        <w:t>თანამშრომლობის</w:t>
      </w:r>
      <w:r w:rsidRPr="003D733D">
        <w:t xml:space="preserve"> </w:t>
      </w:r>
      <w:r w:rsidRPr="000B61F5">
        <w:rPr>
          <w:rFonts w:cs="Sylfaen"/>
        </w:rPr>
        <w:t>საშუალებით</w:t>
      </w:r>
      <w:r w:rsidRPr="003D733D">
        <w:t xml:space="preserve"> </w:t>
      </w:r>
      <w:r w:rsidRPr="000B61F5">
        <w:rPr>
          <w:rFonts w:cs="Sylfaen"/>
        </w:rPr>
        <w:t>წყაროზე</w:t>
      </w:r>
      <w:r w:rsidRPr="003D733D">
        <w:t xml:space="preserve"> </w:t>
      </w:r>
      <w:r w:rsidRPr="000B61F5">
        <w:rPr>
          <w:rFonts w:cs="Sylfaen"/>
        </w:rPr>
        <w:t>სეპარაციის</w:t>
      </w:r>
      <w:r w:rsidRPr="003D733D">
        <w:t xml:space="preserve">, </w:t>
      </w:r>
      <w:r w:rsidRPr="000B61F5">
        <w:rPr>
          <w:rFonts w:cs="Sylfaen"/>
        </w:rPr>
        <w:t>გადამუშავებისა</w:t>
      </w:r>
      <w:r w:rsidRPr="003D733D">
        <w:t xml:space="preserve"> </w:t>
      </w:r>
      <w:r w:rsidRPr="000B61F5">
        <w:rPr>
          <w:rFonts w:cs="Sylfaen"/>
        </w:rPr>
        <w:t>და</w:t>
      </w:r>
      <w:r w:rsidRPr="003D733D">
        <w:t xml:space="preserve"> </w:t>
      </w:r>
      <w:r w:rsidRPr="000B61F5">
        <w:rPr>
          <w:rFonts w:cs="Sylfaen"/>
        </w:rPr>
        <w:t>მეორადი</w:t>
      </w:r>
      <w:r w:rsidRPr="003D733D">
        <w:t xml:space="preserve"> </w:t>
      </w:r>
      <w:r w:rsidRPr="000B61F5">
        <w:rPr>
          <w:rFonts w:cs="Sylfaen"/>
        </w:rPr>
        <w:t>გამოყენების</w:t>
      </w:r>
      <w:r w:rsidRPr="003D733D">
        <w:t xml:space="preserve"> </w:t>
      </w:r>
      <w:r w:rsidRPr="000B61F5">
        <w:rPr>
          <w:rFonts w:cs="Sylfaen"/>
        </w:rPr>
        <w:t>მექანიზმების</w:t>
      </w:r>
      <w:r w:rsidRPr="003D733D">
        <w:t xml:space="preserve"> </w:t>
      </w:r>
      <w:r w:rsidRPr="000B61F5">
        <w:rPr>
          <w:rFonts w:cs="Sylfaen"/>
        </w:rPr>
        <w:t>დანერგვის</w:t>
      </w:r>
      <w:r w:rsidRPr="003D733D">
        <w:t xml:space="preserve"> </w:t>
      </w:r>
      <w:r w:rsidRPr="000B61F5">
        <w:rPr>
          <w:rFonts w:cs="Sylfaen"/>
        </w:rPr>
        <w:t>უზრუნველყოფა</w:t>
      </w:r>
      <w:r w:rsidRPr="003D733D">
        <w:t>.</w:t>
      </w:r>
    </w:p>
    <w:p w14:paraId="76E374DC" w14:textId="77777777" w:rsidR="00A2588D" w:rsidRPr="000B61F5" w:rsidRDefault="00A2588D" w:rsidP="00A2588D">
      <w:pPr>
        <w:spacing w:before="120" w:after="120"/>
        <w:rPr>
          <w:b/>
        </w:rPr>
      </w:pPr>
      <w:r w:rsidRPr="000B61F5">
        <w:rPr>
          <w:b/>
        </w:rPr>
        <w:t>3.</w:t>
      </w:r>
      <w:r>
        <w:rPr>
          <w:rFonts w:ascii="Sylfaen" w:hAnsi="Sylfaen"/>
          <w:b/>
          <w:lang w:val="ka-GE"/>
        </w:rPr>
        <w:t>2</w:t>
      </w:r>
      <w:r w:rsidRPr="000B61F5">
        <w:rPr>
          <w:b/>
        </w:rPr>
        <w:t xml:space="preserve"> </w:t>
      </w:r>
      <w:r w:rsidRPr="000B61F5">
        <w:rPr>
          <w:rFonts w:ascii="Sylfaen" w:hAnsi="Sylfaen" w:cs="Sylfaen"/>
          <w:b/>
        </w:rPr>
        <w:t>კერძო</w:t>
      </w:r>
      <w:r w:rsidRPr="000B61F5">
        <w:rPr>
          <w:b/>
        </w:rPr>
        <w:t xml:space="preserve"> </w:t>
      </w:r>
      <w:r w:rsidRPr="000B61F5">
        <w:rPr>
          <w:rFonts w:ascii="Sylfaen" w:hAnsi="Sylfaen" w:cs="Sylfaen"/>
          <w:b/>
        </w:rPr>
        <w:t>სექტორის</w:t>
      </w:r>
      <w:r w:rsidRPr="000B61F5">
        <w:rPr>
          <w:b/>
        </w:rPr>
        <w:t xml:space="preserve"> </w:t>
      </w:r>
      <w:r w:rsidRPr="000B61F5">
        <w:rPr>
          <w:rFonts w:ascii="Sylfaen" w:hAnsi="Sylfaen" w:cs="Sylfaen"/>
          <w:b/>
        </w:rPr>
        <w:t>მონაწილეობა</w:t>
      </w:r>
      <w:r w:rsidRPr="000B61F5">
        <w:rPr>
          <w:b/>
        </w:rPr>
        <w:t xml:space="preserve"> </w:t>
      </w:r>
      <w:r w:rsidRPr="000B61F5">
        <w:rPr>
          <w:rFonts w:ascii="Sylfaen" w:hAnsi="Sylfaen" w:cs="Sylfaen"/>
          <w:b/>
        </w:rPr>
        <w:t>ნარჩენების</w:t>
      </w:r>
      <w:r w:rsidRPr="000B61F5">
        <w:rPr>
          <w:b/>
        </w:rPr>
        <w:t xml:space="preserve"> </w:t>
      </w:r>
      <w:r w:rsidRPr="000B61F5">
        <w:rPr>
          <w:rFonts w:ascii="Sylfaen" w:hAnsi="Sylfaen" w:cs="Sylfaen"/>
          <w:b/>
        </w:rPr>
        <w:t>მართვაში</w:t>
      </w:r>
    </w:p>
    <w:p w14:paraId="0F0722B9" w14:textId="77777777" w:rsidR="00A2588D" w:rsidRDefault="00A2588D" w:rsidP="00A2588D">
      <w:pPr>
        <w:spacing w:before="120" w:after="120"/>
      </w:pPr>
      <w:r w:rsidRPr="003D733D">
        <w:rPr>
          <w:rFonts w:ascii="Sylfaen" w:hAnsi="Sylfaen" w:cs="Sylfaen"/>
        </w:rPr>
        <w:t>ნარჩენების</w:t>
      </w:r>
      <w:r w:rsidRPr="003D733D">
        <w:t xml:space="preserve"> </w:t>
      </w:r>
      <w:r w:rsidRPr="003D733D">
        <w:rPr>
          <w:rFonts w:ascii="Sylfaen" w:hAnsi="Sylfaen" w:cs="Sylfaen"/>
        </w:rPr>
        <w:t>მართვის</w:t>
      </w:r>
      <w:r w:rsidRPr="003D733D">
        <w:t xml:space="preserve"> </w:t>
      </w:r>
      <w:r w:rsidRPr="003D733D">
        <w:rPr>
          <w:rFonts w:ascii="Sylfaen" w:hAnsi="Sylfaen" w:cs="Sylfaen"/>
        </w:rPr>
        <w:t>სფეროში</w:t>
      </w:r>
      <w:r w:rsidRPr="003D733D">
        <w:t xml:space="preserve"> </w:t>
      </w:r>
      <w:r w:rsidRPr="003D733D">
        <w:rPr>
          <w:rFonts w:ascii="Sylfaen" w:hAnsi="Sylfaen" w:cs="Sylfaen"/>
        </w:rPr>
        <w:t>სახელმწიფო</w:t>
      </w:r>
      <w:r w:rsidRPr="003D733D">
        <w:t xml:space="preserve"> </w:t>
      </w:r>
      <w:r w:rsidRPr="003D733D">
        <w:rPr>
          <w:rFonts w:ascii="Sylfaen" w:hAnsi="Sylfaen" w:cs="Sylfaen"/>
        </w:rPr>
        <w:t>სტრატეგიის</w:t>
      </w:r>
      <w:r w:rsidRPr="003D733D">
        <w:t xml:space="preserve"> </w:t>
      </w:r>
      <w:r w:rsidRPr="003D733D">
        <w:rPr>
          <w:rFonts w:ascii="Sylfaen" w:hAnsi="Sylfaen" w:cs="Sylfaen"/>
        </w:rPr>
        <w:t>შესაბამისად</w:t>
      </w:r>
      <w:r w:rsidRPr="003D733D">
        <w:t xml:space="preserve">, </w:t>
      </w:r>
      <w:r w:rsidRPr="003D733D">
        <w:rPr>
          <w:rFonts w:ascii="Sylfaen" w:hAnsi="Sylfaen" w:cs="Sylfaen"/>
        </w:rPr>
        <w:t>სახელმწიფო</w:t>
      </w:r>
      <w:r w:rsidRPr="003D733D">
        <w:t xml:space="preserve"> </w:t>
      </w:r>
      <w:r w:rsidRPr="003D733D">
        <w:rPr>
          <w:rFonts w:ascii="Sylfaen" w:hAnsi="Sylfaen" w:cs="Sylfaen"/>
        </w:rPr>
        <w:t>ბიუჯეტის</w:t>
      </w:r>
      <w:r w:rsidRPr="003D733D">
        <w:t xml:space="preserve"> </w:t>
      </w:r>
      <w:r w:rsidRPr="003D733D">
        <w:rPr>
          <w:rFonts w:ascii="Sylfaen" w:hAnsi="Sylfaen" w:cs="Sylfaen"/>
        </w:rPr>
        <w:t>სახსრები</w:t>
      </w:r>
      <w:r w:rsidRPr="003D733D">
        <w:t xml:space="preserve"> </w:t>
      </w:r>
      <w:r w:rsidRPr="003D733D">
        <w:rPr>
          <w:rFonts w:ascii="Sylfaen" w:hAnsi="Sylfaen" w:cs="Sylfaen"/>
        </w:rPr>
        <w:t>ძირითადად</w:t>
      </w:r>
      <w:r w:rsidRPr="003D733D">
        <w:t xml:space="preserve"> </w:t>
      </w:r>
      <w:r w:rsidRPr="003D733D">
        <w:rPr>
          <w:rFonts w:ascii="Sylfaen" w:hAnsi="Sylfaen" w:cs="Sylfaen"/>
        </w:rPr>
        <w:t>უნდა</w:t>
      </w:r>
      <w:r w:rsidRPr="003D733D">
        <w:t xml:space="preserve"> </w:t>
      </w:r>
      <w:r w:rsidRPr="003D733D">
        <w:rPr>
          <w:rFonts w:ascii="Sylfaen" w:hAnsi="Sylfaen" w:cs="Sylfaen"/>
        </w:rPr>
        <w:t>მოხმარდეს</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ნაგავსაყრელების</w:t>
      </w:r>
      <w:r w:rsidRPr="003D733D">
        <w:t xml:space="preserve"> </w:t>
      </w:r>
      <w:r w:rsidRPr="003D733D">
        <w:rPr>
          <w:rFonts w:ascii="Sylfaen" w:hAnsi="Sylfaen" w:cs="Sylfaen"/>
        </w:rPr>
        <w:t>რეაბილიტაცია</w:t>
      </w:r>
      <w:r w:rsidRPr="003D733D">
        <w:t>/</w:t>
      </w:r>
      <w:r w:rsidRPr="003D733D">
        <w:rPr>
          <w:rFonts w:ascii="Sylfaen" w:hAnsi="Sylfaen" w:cs="Sylfaen"/>
        </w:rPr>
        <w:t>კონსერვაციას</w:t>
      </w:r>
      <w:r w:rsidRPr="003D733D">
        <w:t xml:space="preserve">, </w:t>
      </w:r>
      <w:r w:rsidRPr="003D733D">
        <w:rPr>
          <w:rFonts w:ascii="Sylfaen" w:hAnsi="Sylfaen" w:cs="Sylfaen"/>
        </w:rPr>
        <w:t>ხოლო</w:t>
      </w:r>
      <w:r w:rsidRPr="003D733D">
        <w:t xml:space="preserve"> </w:t>
      </w:r>
      <w:r w:rsidRPr="003D733D">
        <w:rPr>
          <w:rFonts w:ascii="Sylfaen" w:hAnsi="Sylfaen" w:cs="Sylfaen"/>
        </w:rPr>
        <w:t>ახალ</w:t>
      </w:r>
      <w:r w:rsidRPr="003D733D">
        <w:t xml:space="preserve"> </w:t>
      </w:r>
      <w:r w:rsidRPr="003D733D">
        <w:rPr>
          <w:rFonts w:ascii="Sylfaen" w:hAnsi="Sylfaen" w:cs="Sylfaen"/>
        </w:rPr>
        <w:t>პოლიგონებზე</w:t>
      </w:r>
      <w:r w:rsidRPr="003D733D">
        <w:t xml:space="preserve"> </w:t>
      </w:r>
      <w:r w:rsidRPr="003D733D">
        <w:rPr>
          <w:rFonts w:ascii="Sylfaen" w:hAnsi="Sylfaen" w:cs="Sylfaen"/>
        </w:rPr>
        <w:t>და</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გადამამუშავებელი</w:t>
      </w:r>
      <w:r w:rsidRPr="003D733D">
        <w:t xml:space="preserve"> </w:t>
      </w:r>
      <w:r w:rsidRPr="003D733D">
        <w:rPr>
          <w:rFonts w:ascii="Sylfaen" w:hAnsi="Sylfaen" w:cs="Sylfaen"/>
        </w:rPr>
        <w:t>საწარმოების</w:t>
      </w:r>
      <w:r w:rsidRPr="003D733D">
        <w:t xml:space="preserve"> </w:t>
      </w:r>
      <w:r w:rsidRPr="003D733D">
        <w:rPr>
          <w:rFonts w:ascii="Sylfaen" w:hAnsi="Sylfaen" w:cs="Sylfaen"/>
        </w:rPr>
        <w:t>შექმნაზე</w:t>
      </w:r>
      <w:r w:rsidRPr="003D733D">
        <w:t xml:space="preserve"> </w:t>
      </w:r>
      <w:r w:rsidRPr="003D733D">
        <w:rPr>
          <w:rFonts w:ascii="Sylfaen" w:hAnsi="Sylfaen" w:cs="Sylfaen"/>
        </w:rPr>
        <w:t>უნდა</w:t>
      </w:r>
      <w:r w:rsidRPr="003D733D">
        <w:t xml:space="preserve"> </w:t>
      </w:r>
      <w:r w:rsidRPr="003D733D">
        <w:rPr>
          <w:rFonts w:ascii="Sylfaen" w:hAnsi="Sylfaen" w:cs="Sylfaen"/>
        </w:rPr>
        <w:t>იზრუნოს</w:t>
      </w:r>
      <w:r w:rsidRPr="003D733D">
        <w:t xml:space="preserve"> </w:t>
      </w:r>
      <w:r w:rsidRPr="003D733D">
        <w:rPr>
          <w:rFonts w:ascii="Sylfaen" w:hAnsi="Sylfaen" w:cs="Sylfaen"/>
        </w:rPr>
        <w:t>კერძო</w:t>
      </w:r>
      <w:r w:rsidRPr="003D733D">
        <w:t xml:space="preserve"> </w:t>
      </w:r>
      <w:r w:rsidRPr="003D733D">
        <w:rPr>
          <w:rFonts w:ascii="Sylfaen" w:hAnsi="Sylfaen" w:cs="Sylfaen"/>
        </w:rPr>
        <w:t>სექტორმა</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მართვის</w:t>
      </w:r>
      <w:r w:rsidRPr="003D733D">
        <w:t xml:space="preserve"> </w:t>
      </w:r>
      <w:r w:rsidRPr="003D733D">
        <w:rPr>
          <w:rFonts w:ascii="Sylfaen" w:hAnsi="Sylfaen" w:cs="Sylfaen"/>
        </w:rPr>
        <w:t>კოდექსის</w:t>
      </w:r>
      <w:r w:rsidRPr="003D733D">
        <w:t xml:space="preserve"> </w:t>
      </w:r>
      <w:r w:rsidRPr="003D733D">
        <w:rPr>
          <w:rFonts w:ascii="Sylfaen" w:hAnsi="Sylfaen" w:cs="Sylfaen"/>
        </w:rPr>
        <w:t>ძალაში</w:t>
      </w:r>
      <w:r w:rsidRPr="003D733D">
        <w:t xml:space="preserve"> </w:t>
      </w:r>
      <w:r w:rsidRPr="003D733D">
        <w:rPr>
          <w:rFonts w:ascii="Sylfaen" w:hAnsi="Sylfaen" w:cs="Sylfaen"/>
        </w:rPr>
        <w:t>შესვლის</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ქვეყანაში</w:t>
      </w:r>
      <w:r w:rsidRPr="003D733D">
        <w:t xml:space="preserve"> </w:t>
      </w:r>
      <w:r w:rsidRPr="003D733D">
        <w:rPr>
          <w:rFonts w:ascii="Sylfaen" w:hAnsi="Sylfaen" w:cs="Sylfaen"/>
        </w:rPr>
        <w:t>მკვეთრად</w:t>
      </w:r>
      <w:r w:rsidRPr="003D733D">
        <w:t xml:space="preserve"> </w:t>
      </w:r>
      <w:r w:rsidRPr="003D733D">
        <w:rPr>
          <w:rFonts w:ascii="Sylfaen" w:hAnsi="Sylfaen" w:cs="Sylfaen"/>
        </w:rPr>
        <w:t>გაიზარდა</w:t>
      </w:r>
      <w:r w:rsidRPr="003D733D">
        <w:t xml:space="preserve"> </w:t>
      </w:r>
      <w:r w:rsidRPr="003D733D">
        <w:rPr>
          <w:rFonts w:ascii="Sylfaen" w:hAnsi="Sylfaen" w:cs="Sylfaen"/>
        </w:rPr>
        <w:t>იმ</w:t>
      </w:r>
      <w:r w:rsidRPr="003D733D">
        <w:t xml:space="preserve"> </w:t>
      </w:r>
      <w:r w:rsidRPr="003D733D">
        <w:rPr>
          <w:rFonts w:ascii="Sylfaen" w:hAnsi="Sylfaen" w:cs="Sylfaen"/>
        </w:rPr>
        <w:t>კერძო</w:t>
      </w:r>
      <w:r w:rsidRPr="003D733D">
        <w:t xml:space="preserve"> </w:t>
      </w:r>
      <w:r w:rsidRPr="003D733D">
        <w:rPr>
          <w:rFonts w:ascii="Sylfaen" w:hAnsi="Sylfaen" w:cs="Sylfaen"/>
        </w:rPr>
        <w:t>კომპანიაების</w:t>
      </w:r>
      <w:r w:rsidRPr="003D733D">
        <w:t xml:space="preserve"> </w:t>
      </w:r>
      <w:r w:rsidRPr="003D733D">
        <w:rPr>
          <w:rFonts w:ascii="Sylfaen" w:hAnsi="Sylfaen" w:cs="Sylfaen"/>
        </w:rPr>
        <w:t>რიცხვი</w:t>
      </w:r>
      <w:r w:rsidRPr="003D733D">
        <w:t xml:space="preserve">, </w:t>
      </w:r>
      <w:r w:rsidRPr="003D733D">
        <w:rPr>
          <w:rFonts w:ascii="Sylfaen" w:hAnsi="Sylfaen" w:cs="Sylfaen"/>
        </w:rPr>
        <w:t>რომელთაც</w:t>
      </w:r>
      <w:r w:rsidRPr="003D733D">
        <w:t xml:space="preserve"> </w:t>
      </w:r>
      <w:r w:rsidRPr="003D733D">
        <w:rPr>
          <w:rFonts w:ascii="Sylfaen" w:hAnsi="Sylfaen" w:cs="Sylfaen"/>
        </w:rPr>
        <w:t>გააჩნიათ</w:t>
      </w:r>
      <w:r w:rsidRPr="003D733D">
        <w:t xml:space="preserve"> </w:t>
      </w:r>
      <w:r w:rsidRPr="003D733D">
        <w:rPr>
          <w:rFonts w:ascii="Sylfaen" w:hAnsi="Sylfaen" w:cs="Sylfaen"/>
        </w:rPr>
        <w:t>სხვადასხვა</w:t>
      </w:r>
      <w:r w:rsidRPr="003D733D">
        <w:t xml:space="preserve"> </w:t>
      </w:r>
      <w:r w:rsidRPr="003D733D">
        <w:rPr>
          <w:rFonts w:ascii="Sylfaen" w:hAnsi="Sylfaen" w:cs="Sylfaen"/>
        </w:rPr>
        <w:t>სახის</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მართვის</w:t>
      </w:r>
      <w:r w:rsidRPr="003D733D">
        <w:t xml:space="preserve"> </w:t>
      </w:r>
      <w:r w:rsidRPr="003D733D">
        <w:rPr>
          <w:rFonts w:ascii="Sylfaen" w:hAnsi="Sylfaen" w:cs="Sylfaen"/>
        </w:rPr>
        <w:t>ლიცენზია</w:t>
      </w:r>
      <w:r w:rsidRPr="003D733D">
        <w:t xml:space="preserve">.  </w:t>
      </w:r>
    </w:p>
    <w:p w14:paraId="1FCBBDFE" w14:textId="77777777" w:rsidR="00A2588D" w:rsidRPr="000B61F5" w:rsidRDefault="00A2588D" w:rsidP="00A2588D">
      <w:pPr>
        <w:spacing w:before="120" w:after="120"/>
        <w:rPr>
          <w:b/>
          <w:lang w:val="ka-GE"/>
        </w:rPr>
      </w:pPr>
      <w:r w:rsidRPr="000B61F5">
        <w:rPr>
          <w:b/>
        </w:rPr>
        <w:t xml:space="preserve">4. </w:t>
      </w:r>
      <w:r w:rsidRPr="000B61F5">
        <w:rPr>
          <w:rFonts w:ascii="Sylfaen" w:hAnsi="Sylfaen" w:cs="Sylfaen"/>
          <w:b/>
        </w:rPr>
        <w:t>ნარჩენების</w:t>
      </w:r>
      <w:r w:rsidRPr="000B61F5">
        <w:rPr>
          <w:b/>
        </w:rPr>
        <w:t xml:space="preserve"> </w:t>
      </w:r>
      <w:r w:rsidRPr="000B61F5">
        <w:rPr>
          <w:rFonts w:ascii="Sylfaen" w:hAnsi="Sylfaen" w:cs="Sylfaen"/>
          <w:b/>
        </w:rPr>
        <w:t>მართვის</w:t>
      </w:r>
      <w:r w:rsidRPr="000B61F5">
        <w:rPr>
          <w:b/>
        </w:rPr>
        <w:t xml:space="preserve"> </w:t>
      </w:r>
      <w:r w:rsidRPr="000B61F5">
        <w:rPr>
          <w:rFonts w:ascii="Sylfaen" w:hAnsi="Sylfaen" w:cs="Sylfaen"/>
          <w:b/>
        </w:rPr>
        <w:t>იერარქია</w:t>
      </w:r>
      <w:r w:rsidRPr="000B61F5">
        <w:rPr>
          <w:b/>
        </w:rPr>
        <w:t xml:space="preserve"> </w:t>
      </w:r>
      <w:r w:rsidRPr="000B61F5">
        <w:rPr>
          <w:rFonts w:ascii="Sylfaen" w:hAnsi="Sylfaen" w:cs="Sylfaen"/>
          <w:b/>
        </w:rPr>
        <w:t>და</w:t>
      </w:r>
      <w:r w:rsidRPr="000B61F5">
        <w:rPr>
          <w:b/>
        </w:rPr>
        <w:t xml:space="preserve"> </w:t>
      </w:r>
      <w:r w:rsidRPr="000B61F5">
        <w:rPr>
          <w:rFonts w:ascii="Sylfaen" w:hAnsi="Sylfaen" w:cs="Sylfaen"/>
          <w:b/>
        </w:rPr>
        <w:t>პრინციპები</w:t>
      </w:r>
    </w:p>
    <w:p w14:paraId="6644883F" w14:textId="77777777" w:rsidR="00A2588D" w:rsidRPr="003D733D" w:rsidRDefault="00A2588D" w:rsidP="00A2588D">
      <w:pPr>
        <w:spacing w:before="120" w:after="120"/>
      </w:pPr>
      <w:r w:rsidRPr="003D733D">
        <w:rPr>
          <w:rFonts w:ascii="Sylfaen" w:hAnsi="Sylfaen" w:cs="Sylfaen"/>
        </w:rPr>
        <w:t>საქართველოში</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მართვის</w:t>
      </w:r>
      <w:r w:rsidRPr="003D733D">
        <w:t xml:space="preserve"> </w:t>
      </w:r>
      <w:r w:rsidRPr="003D733D">
        <w:rPr>
          <w:rFonts w:ascii="Sylfaen" w:hAnsi="Sylfaen" w:cs="Sylfaen"/>
        </w:rPr>
        <w:t>პოლიტიკა</w:t>
      </w:r>
      <w:r w:rsidRPr="003D733D">
        <w:t xml:space="preserve"> </w:t>
      </w:r>
      <w:r w:rsidRPr="003D733D">
        <w:rPr>
          <w:rFonts w:ascii="Sylfaen" w:hAnsi="Sylfaen" w:cs="Sylfaen"/>
        </w:rPr>
        <w:t>და</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მართვის</w:t>
      </w:r>
      <w:r w:rsidRPr="003D733D">
        <w:t xml:space="preserve"> </w:t>
      </w:r>
      <w:r w:rsidRPr="003D733D">
        <w:rPr>
          <w:rFonts w:ascii="Sylfaen" w:hAnsi="Sylfaen" w:cs="Sylfaen"/>
        </w:rPr>
        <w:t>სფეროში</w:t>
      </w:r>
      <w:r w:rsidRPr="003D733D">
        <w:t xml:space="preserve"> </w:t>
      </w:r>
      <w:r w:rsidRPr="003D733D">
        <w:rPr>
          <w:rFonts w:ascii="Sylfaen" w:hAnsi="Sylfaen" w:cs="Sylfaen"/>
        </w:rPr>
        <w:t>საქართველოს</w:t>
      </w:r>
      <w:r w:rsidRPr="003D733D">
        <w:t xml:space="preserve"> </w:t>
      </w:r>
      <w:r w:rsidRPr="003D733D">
        <w:rPr>
          <w:rFonts w:ascii="Sylfaen" w:hAnsi="Sylfaen" w:cs="Sylfaen"/>
        </w:rPr>
        <w:t>კანონმდებლობა</w:t>
      </w:r>
      <w:r w:rsidRPr="003D733D">
        <w:t xml:space="preserve">, </w:t>
      </w:r>
      <w:r w:rsidRPr="003D733D">
        <w:rPr>
          <w:rFonts w:ascii="Sylfaen" w:hAnsi="Sylfaen" w:cs="Sylfaen"/>
        </w:rPr>
        <w:t>ეფუძნება</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მართვის</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იერარქიას</w:t>
      </w:r>
      <w:r w:rsidRPr="003D733D">
        <w:t>:</w:t>
      </w:r>
    </w:p>
    <w:p w14:paraId="6E2BC3F5" w14:textId="77777777" w:rsidR="00A2588D" w:rsidRPr="003D733D" w:rsidRDefault="00A2588D" w:rsidP="00821E4D">
      <w:pPr>
        <w:pStyle w:val="ListParagraph"/>
        <w:numPr>
          <w:ilvl w:val="0"/>
          <w:numId w:val="38"/>
        </w:numPr>
        <w:spacing w:before="120"/>
      </w:pPr>
      <w:r w:rsidRPr="000B61F5">
        <w:rPr>
          <w:rFonts w:cs="Sylfaen"/>
        </w:rPr>
        <w:t>პრევენცია</w:t>
      </w:r>
      <w:r w:rsidRPr="003D733D">
        <w:t>;</w:t>
      </w:r>
    </w:p>
    <w:p w14:paraId="20097D80" w14:textId="77777777" w:rsidR="00A2588D" w:rsidRPr="003D733D" w:rsidRDefault="00A2588D" w:rsidP="00821E4D">
      <w:pPr>
        <w:pStyle w:val="ListParagraph"/>
        <w:numPr>
          <w:ilvl w:val="0"/>
          <w:numId w:val="38"/>
        </w:numPr>
        <w:spacing w:before="120"/>
      </w:pPr>
      <w:r w:rsidRPr="000B61F5">
        <w:rPr>
          <w:rFonts w:cs="Sylfaen"/>
        </w:rPr>
        <w:t>ხელახალი</w:t>
      </w:r>
      <w:r w:rsidRPr="003D733D">
        <w:t xml:space="preserve"> </w:t>
      </w:r>
      <w:r w:rsidRPr="000B61F5">
        <w:rPr>
          <w:rFonts w:cs="Sylfaen"/>
        </w:rPr>
        <w:t>გამოყენებისთვის</w:t>
      </w:r>
      <w:r w:rsidRPr="003D733D">
        <w:t xml:space="preserve"> </w:t>
      </w:r>
      <w:r w:rsidRPr="000B61F5">
        <w:rPr>
          <w:rFonts w:cs="Sylfaen"/>
        </w:rPr>
        <w:t>მომზადება</w:t>
      </w:r>
      <w:r w:rsidRPr="003D733D">
        <w:t>;</w:t>
      </w:r>
    </w:p>
    <w:p w14:paraId="272055C4" w14:textId="77777777" w:rsidR="00A2588D" w:rsidRPr="003D733D" w:rsidRDefault="00A2588D" w:rsidP="00821E4D">
      <w:pPr>
        <w:pStyle w:val="ListParagraph"/>
        <w:numPr>
          <w:ilvl w:val="0"/>
          <w:numId w:val="38"/>
        </w:numPr>
        <w:spacing w:before="120"/>
      </w:pPr>
      <w:r w:rsidRPr="000B61F5">
        <w:rPr>
          <w:rFonts w:cs="Sylfaen"/>
        </w:rPr>
        <w:t>რეციკლირება</w:t>
      </w:r>
      <w:r w:rsidRPr="003D733D">
        <w:t>;</w:t>
      </w:r>
    </w:p>
    <w:p w14:paraId="1E8717DF" w14:textId="77777777" w:rsidR="00A2588D" w:rsidRPr="003D733D" w:rsidRDefault="00A2588D" w:rsidP="00821E4D">
      <w:pPr>
        <w:pStyle w:val="ListParagraph"/>
        <w:numPr>
          <w:ilvl w:val="0"/>
          <w:numId w:val="38"/>
        </w:numPr>
        <w:spacing w:before="120"/>
      </w:pPr>
      <w:r w:rsidRPr="000B61F5">
        <w:rPr>
          <w:rFonts w:cs="Sylfaen"/>
        </w:rPr>
        <w:lastRenderedPageBreak/>
        <w:t>სხვა</w:t>
      </w:r>
      <w:r w:rsidRPr="003D733D">
        <w:t xml:space="preserve"> </w:t>
      </w:r>
      <w:r w:rsidRPr="000B61F5">
        <w:rPr>
          <w:rFonts w:cs="Sylfaen"/>
        </w:rPr>
        <w:t>სახის</w:t>
      </w:r>
      <w:r w:rsidRPr="003D733D">
        <w:t xml:space="preserve"> </w:t>
      </w:r>
      <w:r w:rsidRPr="000B61F5">
        <w:rPr>
          <w:rFonts w:cs="Sylfaen"/>
        </w:rPr>
        <w:t>აღდგენა</w:t>
      </w:r>
      <w:r w:rsidRPr="003D733D">
        <w:t xml:space="preserve">, </w:t>
      </w:r>
      <w:r w:rsidRPr="000B61F5">
        <w:rPr>
          <w:rFonts w:cs="Sylfaen"/>
        </w:rPr>
        <w:t>მათ</w:t>
      </w:r>
      <w:r w:rsidRPr="003D733D">
        <w:t xml:space="preserve"> </w:t>
      </w:r>
      <w:r w:rsidRPr="000B61F5">
        <w:rPr>
          <w:rFonts w:cs="Sylfaen"/>
        </w:rPr>
        <w:t>შორის</w:t>
      </w:r>
      <w:r w:rsidRPr="003D733D">
        <w:t xml:space="preserve">, </w:t>
      </w:r>
      <w:r w:rsidRPr="000B61F5">
        <w:rPr>
          <w:rFonts w:cs="Sylfaen"/>
        </w:rPr>
        <w:t>ენერგიის</w:t>
      </w:r>
      <w:r w:rsidRPr="003D733D">
        <w:t xml:space="preserve"> </w:t>
      </w:r>
      <w:r w:rsidRPr="000B61F5">
        <w:rPr>
          <w:rFonts w:cs="Sylfaen"/>
        </w:rPr>
        <w:t>აღდგენა</w:t>
      </w:r>
      <w:r w:rsidRPr="003D733D">
        <w:t>;</w:t>
      </w:r>
    </w:p>
    <w:p w14:paraId="3FAB8D6B" w14:textId="77777777" w:rsidR="00A2588D" w:rsidRPr="003D733D" w:rsidRDefault="00A2588D" w:rsidP="00821E4D">
      <w:pPr>
        <w:pStyle w:val="ListParagraph"/>
        <w:numPr>
          <w:ilvl w:val="0"/>
          <w:numId w:val="38"/>
        </w:numPr>
        <w:spacing w:before="120"/>
      </w:pPr>
      <w:r w:rsidRPr="000B61F5">
        <w:rPr>
          <w:rFonts w:cs="Sylfaen"/>
        </w:rPr>
        <w:t>განთავსება</w:t>
      </w:r>
      <w:r w:rsidRPr="003D733D">
        <w:t>.</w:t>
      </w:r>
    </w:p>
    <w:p w14:paraId="335D1FAF" w14:textId="77777777" w:rsidR="00A2588D" w:rsidRPr="003D733D" w:rsidRDefault="00A2588D" w:rsidP="00821E4D">
      <w:pPr>
        <w:pStyle w:val="ListParagraph"/>
        <w:numPr>
          <w:ilvl w:val="0"/>
          <w:numId w:val="38"/>
        </w:numPr>
        <w:spacing w:before="120"/>
      </w:pPr>
      <w:r w:rsidRPr="000B61F5">
        <w:rPr>
          <w:rFonts w:cs="Sylfaen"/>
        </w:rPr>
        <w:t>ნარჩენების</w:t>
      </w:r>
      <w:r w:rsidRPr="003D733D">
        <w:t xml:space="preserve"> </w:t>
      </w:r>
      <w:r w:rsidRPr="000B61F5">
        <w:rPr>
          <w:rFonts w:cs="Sylfaen"/>
        </w:rPr>
        <w:t>მართვის</w:t>
      </w:r>
      <w:r w:rsidRPr="003D733D">
        <w:t xml:space="preserve"> </w:t>
      </w:r>
      <w:r w:rsidRPr="000B61F5">
        <w:rPr>
          <w:rFonts w:cs="Sylfaen"/>
        </w:rPr>
        <w:t>იერარქიასთან</w:t>
      </w:r>
      <w:r w:rsidRPr="003D733D">
        <w:t xml:space="preserve"> </w:t>
      </w:r>
      <w:r w:rsidRPr="000B61F5">
        <w:rPr>
          <w:rFonts w:cs="Sylfaen"/>
        </w:rPr>
        <w:t>მიმართებით</w:t>
      </w:r>
      <w:r w:rsidRPr="003D733D">
        <w:t xml:space="preserve"> </w:t>
      </w:r>
      <w:r w:rsidRPr="000B61F5">
        <w:rPr>
          <w:rFonts w:cs="Sylfaen"/>
        </w:rPr>
        <w:t>კონკრეტული</w:t>
      </w:r>
      <w:r w:rsidRPr="003D733D">
        <w:t xml:space="preserve"> </w:t>
      </w:r>
      <w:r w:rsidRPr="000B61F5">
        <w:rPr>
          <w:rFonts w:cs="Sylfaen"/>
        </w:rPr>
        <w:t>ვალდებულებების</w:t>
      </w:r>
      <w:r w:rsidRPr="003D733D">
        <w:t xml:space="preserve"> </w:t>
      </w:r>
      <w:r w:rsidRPr="000B61F5">
        <w:rPr>
          <w:rFonts w:cs="Sylfaen"/>
        </w:rPr>
        <w:t>განსაზღვრისას</w:t>
      </w:r>
      <w:r w:rsidRPr="003D733D">
        <w:t xml:space="preserve"> </w:t>
      </w:r>
      <w:r w:rsidRPr="000B61F5">
        <w:rPr>
          <w:rFonts w:cs="Sylfaen"/>
        </w:rPr>
        <w:t>მხედველობაში</w:t>
      </w:r>
      <w:r w:rsidRPr="003D733D">
        <w:t xml:space="preserve"> </w:t>
      </w:r>
      <w:r w:rsidRPr="000B61F5">
        <w:rPr>
          <w:rFonts w:cs="Sylfaen"/>
        </w:rPr>
        <w:t>უნდა</w:t>
      </w:r>
      <w:r w:rsidRPr="003D733D">
        <w:t xml:space="preserve"> </w:t>
      </w:r>
      <w:r w:rsidRPr="000B61F5">
        <w:rPr>
          <w:rFonts w:cs="Sylfaen"/>
        </w:rPr>
        <w:t>იქნას</w:t>
      </w:r>
      <w:r w:rsidRPr="003D733D">
        <w:t xml:space="preserve"> </w:t>
      </w:r>
      <w:r w:rsidRPr="000B61F5">
        <w:rPr>
          <w:rFonts w:cs="Sylfaen"/>
        </w:rPr>
        <w:t>მიღებული</w:t>
      </w:r>
      <w:r w:rsidRPr="003D733D">
        <w:t>:</w:t>
      </w:r>
    </w:p>
    <w:p w14:paraId="16953FF0" w14:textId="77777777" w:rsidR="00A2588D" w:rsidRPr="003D733D" w:rsidRDefault="00A2588D" w:rsidP="00821E4D">
      <w:pPr>
        <w:pStyle w:val="ListParagraph"/>
        <w:numPr>
          <w:ilvl w:val="0"/>
          <w:numId w:val="38"/>
        </w:numPr>
        <w:spacing w:before="120"/>
      </w:pPr>
      <w:r w:rsidRPr="000B61F5">
        <w:rPr>
          <w:rFonts w:cs="Sylfaen"/>
        </w:rPr>
        <w:t>ეკოლოგიური</w:t>
      </w:r>
      <w:r w:rsidRPr="003D733D">
        <w:t xml:space="preserve"> </w:t>
      </w:r>
      <w:r w:rsidRPr="000B61F5">
        <w:rPr>
          <w:rFonts w:cs="Sylfaen"/>
        </w:rPr>
        <w:t>სარგებელი</w:t>
      </w:r>
      <w:r w:rsidRPr="003D733D">
        <w:t>;</w:t>
      </w:r>
    </w:p>
    <w:p w14:paraId="76C298F9" w14:textId="77777777" w:rsidR="00A2588D" w:rsidRPr="003D733D" w:rsidRDefault="00A2588D" w:rsidP="00821E4D">
      <w:pPr>
        <w:pStyle w:val="ListParagraph"/>
        <w:numPr>
          <w:ilvl w:val="0"/>
          <w:numId w:val="38"/>
        </w:numPr>
        <w:spacing w:before="120"/>
      </w:pPr>
      <w:r w:rsidRPr="000B61F5">
        <w:rPr>
          <w:rFonts w:cs="Sylfaen"/>
        </w:rPr>
        <w:t>შესაბამისი</w:t>
      </w:r>
      <w:r w:rsidRPr="003D733D">
        <w:t xml:space="preserve"> </w:t>
      </w:r>
      <w:r w:rsidRPr="000B61F5">
        <w:rPr>
          <w:rFonts w:cs="Sylfaen"/>
        </w:rPr>
        <w:t>საუკეთესო</w:t>
      </w:r>
      <w:r w:rsidRPr="003D733D">
        <w:t xml:space="preserve"> </w:t>
      </w:r>
      <w:r w:rsidRPr="000B61F5">
        <w:rPr>
          <w:rFonts w:cs="Sylfaen"/>
        </w:rPr>
        <w:t>ხელმისაწვდომი</w:t>
      </w:r>
      <w:r w:rsidRPr="003D733D">
        <w:t xml:space="preserve"> </w:t>
      </w:r>
      <w:r w:rsidRPr="000B61F5">
        <w:rPr>
          <w:rFonts w:cs="Sylfaen"/>
        </w:rPr>
        <w:t>ტექნიკის</w:t>
      </w:r>
      <w:r w:rsidRPr="003D733D">
        <w:t xml:space="preserve"> </w:t>
      </w:r>
      <w:r w:rsidRPr="000B61F5">
        <w:rPr>
          <w:rFonts w:cs="Sylfaen"/>
        </w:rPr>
        <w:t>გამოყენების</w:t>
      </w:r>
      <w:r w:rsidRPr="003D733D">
        <w:t xml:space="preserve"> </w:t>
      </w:r>
      <w:r w:rsidRPr="000B61F5">
        <w:rPr>
          <w:rFonts w:cs="Sylfaen"/>
        </w:rPr>
        <w:t>ტექნიკური</w:t>
      </w:r>
      <w:r w:rsidRPr="003D733D">
        <w:t xml:space="preserve"> </w:t>
      </w:r>
      <w:r w:rsidRPr="000B61F5">
        <w:rPr>
          <w:rFonts w:cs="Sylfaen"/>
        </w:rPr>
        <w:t>განხორციელებადობა</w:t>
      </w:r>
      <w:r w:rsidRPr="003D733D">
        <w:t>;</w:t>
      </w:r>
    </w:p>
    <w:p w14:paraId="227390E7" w14:textId="77777777" w:rsidR="00A2588D" w:rsidRPr="003D733D" w:rsidRDefault="00A2588D" w:rsidP="00821E4D">
      <w:pPr>
        <w:pStyle w:val="ListParagraph"/>
        <w:numPr>
          <w:ilvl w:val="0"/>
          <w:numId w:val="38"/>
        </w:numPr>
        <w:spacing w:before="120"/>
      </w:pPr>
      <w:r w:rsidRPr="000B61F5">
        <w:rPr>
          <w:rFonts w:cs="Sylfaen"/>
        </w:rPr>
        <w:t>ეკონომიკური</w:t>
      </w:r>
      <w:r w:rsidRPr="003D733D">
        <w:t xml:space="preserve"> </w:t>
      </w:r>
      <w:r w:rsidRPr="000B61F5">
        <w:rPr>
          <w:rFonts w:cs="Sylfaen"/>
        </w:rPr>
        <w:t>მიზანშეწონილობა</w:t>
      </w:r>
      <w:r w:rsidRPr="003D733D">
        <w:t>.</w:t>
      </w:r>
    </w:p>
    <w:p w14:paraId="468ABEEA" w14:textId="77777777" w:rsidR="00A2588D" w:rsidRPr="003D733D" w:rsidRDefault="00A2588D" w:rsidP="00821E4D">
      <w:pPr>
        <w:pStyle w:val="ListParagraph"/>
        <w:numPr>
          <w:ilvl w:val="0"/>
          <w:numId w:val="38"/>
        </w:numPr>
        <w:spacing w:before="120"/>
      </w:pPr>
      <w:r w:rsidRPr="000B61F5">
        <w:rPr>
          <w:rFonts w:cs="Sylfaen"/>
        </w:rPr>
        <w:t>ნარჩენების</w:t>
      </w:r>
      <w:r w:rsidRPr="003D733D">
        <w:t xml:space="preserve"> </w:t>
      </w:r>
      <w:r w:rsidRPr="000B61F5">
        <w:rPr>
          <w:rFonts w:cs="Sylfaen"/>
        </w:rPr>
        <w:t>მართვა</w:t>
      </w:r>
      <w:r w:rsidRPr="003D733D">
        <w:t xml:space="preserve"> </w:t>
      </w:r>
      <w:r w:rsidRPr="000B61F5">
        <w:rPr>
          <w:rFonts w:cs="Sylfaen"/>
        </w:rPr>
        <w:t>უნდა</w:t>
      </w:r>
      <w:r w:rsidRPr="003D733D">
        <w:t xml:space="preserve"> </w:t>
      </w:r>
      <w:r w:rsidRPr="000B61F5">
        <w:rPr>
          <w:rFonts w:cs="Sylfaen"/>
        </w:rPr>
        <w:t>განხორციელდეს</w:t>
      </w:r>
      <w:r w:rsidRPr="003D733D">
        <w:t xml:space="preserve"> </w:t>
      </w:r>
      <w:r w:rsidRPr="000B61F5">
        <w:rPr>
          <w:rFonts w:cs="Sylfaen"/>
        </w:rPr>
        <w:t>გარემოსა</w:t>
      </w:r>
      <w:r w:rsidRPr="003D733D">
        <w:t xml:space="preserve"> </w:t>
      </w:r>
      <w:r w:rsidRPr="000B61F5">
        <w:rPr>
          <w:rFonts w:cs="Sylfaen"/>
        </w:rPr>
        <w:t>და</w:t>
      </w:r>
      <w:r w:rsidRPr="003D733D">
        <w:t xml:space="preserve"> </w:t>
      </w:r>
      <w:r w:rsidRPr="000B61F5">
        <w:rPr>
          <w:rFonts w:cs="Sylfaen"/>
        </w:rPr>
        <w:t>ადამიანის</w:t>
      </w:r>
      <w:r w:rsidRPr="003D733D">
        <w:t xml:space="preserve"> </w:t>
      </w:r>
      <w:r w:rsidRPr="000B61F5">
        <w:rPr>
          <w:rFonts w:cs="Sylfaen"/>
        </w:rPr>
        <w:t>ჯანმრთელობისათვის</w:t>
      </w:r>
      <w:r w:rsidRPr="003D733D">
        <w:t xml:space="preserve"> </w:t>
      </w:r>
      <w:r w:rsidRPr="000B61F5">
        <w:rPr>
          <w:rFonts w:cs="Sylfaen"/>
        </w:rPr>
        <w:t>საფრთხის</w:t>
      </w:r>
      <w:r w:rsidRPr="003D733D">
        <w:t xml:space="preserve"> </w:t>
      </w:r>
      <w:r w:rsidRPr="000B61F5">
        <w:rPr>
          <w:rFonts w:cs="Sylfaen"/>
        </w:rPr>
        <w:t>შექმნის</w:t>
      </w:r>
      <w:r w:rsidRPr="003D733D">
        <w:t xml:space="preserve"> </w:t>
      </w:r>
      <w:r w:rsidRPr="000B61F5">
        <w:rPr>
          <w:rFonts w:cs="Sylfaen"/>
        </w:rPr>
        <w:t>გარეშე</w:t>
      </w:r>
      <w:r w:rsidRPr="003D733D">
        <w:t xml:space="preserve">, </w:t>
      </w:r>
      <w:r w:rsidRPr="000B61F5">
        <w:rPr>
          <w:rFonts w:cs="Sylfaen"/>
        </w:rPr>
        <w:t>კერძოდ</w:t>
      </w:r>
      <w:r w:rsidRPr="003D733D">
        <w:t xml:space="preserve">, </w:t>
      </w:r>
      <w:r w:rsidRPr="000B61F5">
        <w:rPr>
          <w:rFonts w:cs="Sylfaen"/>
        </w:rPr>
        <w:t>ისე</w:t>
      </w:r>
      <w:r w:rsidRPr="003D733D">
        <w:t xml:space="preserve">, </w:t>
      </w:r>
      <w:r w:rsidRPr="000B61F5">
        <w:rPr>
          <w:rFonts w:cs="Sylfaen"/>
        </w:rPr>
        <w:t>რომ</w:t>
      </w:r>
      <w:r w:rsidRPr="003D733D">
        <w:t xml:space="preserve"> </w:t>
      </w:r>
      <w:r w:rsidRPr="000B61F5">
        <w:rPr>
          <w:rFonts w:cs="Sylfaen"/>
        </w:rPr>
        <w:t>ნარჩენების</w:t>
      </w:r>
      <w:r w:rsidRPr="003D733D">
        <w:t xml:space="preserve"> </w:t>
      </w:r>
      <w:r w:rsidRPr="000B61F5">
        <w:rPr>
          <w:rFonts w:cs="Sylfaen"/>
        </w:rPr>
        <w:t>მართვამ</w:t>
      </w:r>
      <w:r w:rsidRPr="003D733D">
        <w:t>:</w:t>
      </w:r>
    </w:p>
    <w:p w14:paraId="53CAFE68" w14:textId="77777777" w:rsidR="00A2588D" w:rsidRPr="003D733D" w:rsidRDefault="00A2588D" w:rsidP="00821E4D">
      <w:pPr>
        <w:pStyle w:val="ListParagraph"/>
        <w:numPr>
          <w:ilvl w:val="0"/>
          <w:numId w:val="38"/>
        </w:numPr>
        <w:spacing w:before="120"/>
      </w:pPr>
      <w:r w:rsidRPr="000B61F5">
        <w:rPr>
          <w:rFonts w:cs="Sylfaen"/>
        </w:rPr>
        <w:t>საფრთხე</w:t>
      </w:r>
      <w:r w:rsidRPr="003D733D">
        <w:t xml:space="preserve"> </w:t>
      </w:r>
      <w:r w:rsidRPr="000B61F5">
        <w:rPr>
          <w:rFonts w:cs="Sylfaen"/>
        </w:rPr>
        <w:t>არ</w:t>
      </w:r>
      <w:r w:rsidRPr="003D733D">
        <w:t xml:space="preserve"> </w:t>
      </w:r>
      <w:r w:rsidRPr="000B61F5">
        <w:rPr>
          <w:rFonts w:cs="Sylfaen"/>
        </w:rPr>
        <w:t>შეუქმნას</w:t>
      </w:r>
      <w:r w:rsidRPr="003D733D">
        <w:t xml:space="preserve"> </w:t>
      </w:r>
      <w:r w:rsidRPr="000B61F5">
        <w:rPr>
          <w:rFonts w:cs="Sylfaen"/>
        </w:rPr>
        <w:t>წყალს</w:t>
      </w:r>
      <w:r w:rsidRPr="003D733D">
        <w:t xml:space="preserve">, </w:t>
      </w:r>
      <w:r w:rsidRPr="000B61F5">
        <w:rPr>
          <w:rFonts w:cs="Sylfaen"/>
        </w:rPr>
        <w:t>ჰაერს</w:t>
      </w:r>
      <w:r w:rsidRPr="003D733D">
        <w:t xml:space="preserve">, </w:t>
      </w:r>
      <w:r w:rsidRPr="000B61F5">
        <w:rPr>
          <w:rFonts w:cs="Sylfaen"/>
        </w:rPr>
        <w:t>ნიადაგს</w:t>
      </w:r>
      <w:r w:rsidRPr="003D733D">
        <w:t xml:space="preserve">, </w:t>
      </w:r>
      <w:r w:rsidRPr="000B61F5">
        <w:rPr>
          <w:rFonts w:cs="Sylfaen"/>
        </w:rPr>
        <w:t>ფლორას</w:t>
      </w:r>
      <w:r w:rsidRPr="003D733D">
        <w:t xml:space="preserve"> </w:t>
      </w:r>
      <w:r w:rsidRPr="000B61F5">
        <w:rPr>
          <w:rFonts w:cs="Sylfaen"/>
        </w:rPr>
        <w:t>და</w:t>
      </w:r>
      <w:r w:rsidRPr="003D733D">
        <w:t xml:space="preserve"> </w:t>
      </w:r>
      <w:r w:rsidRPr="000B61F5">
        <w:rPr>
          <w:rFonts w:cs="Sylfaen"/>
        </w:rPr>
        <w:t>ფაუნას</w:t>
      </w:r>
      <w:r w:rsidRPr="003D733D">
        <w:t>;</w:t>
      </w:r>
    </w:p>
    <w:p w14:paraId="2D8ECF19" w14:textId="77777777" w:rsidR="00A2588D" w:rsidRPr="003D733D" w:rsidRDefault="00A2588D" w:rsidP="00821E4D">
      <w:pPr>
        <w:pStyle w:val="ListParagraph"/>
        <w:numPr>
          <w:ilvl w:val="0"/>
          <w:numId w:val="38"/>
        </w:numPr>
        <w:spacing w:before="120"/>
      </w:pPr>
      <w:r w:rsidRPr="000B61F5">
        <w:rPr>
          <w:rFonts w:cs="Sylfaen"/>
        </w:rPr>
        <w:t>არ</w:t>
      </w:r>
      <w:r w:rsidRPr="003D733D">
        <w:t xml:space="preserve"> </w:t>
      </w:r>
      <w:r w:rsidRPr="000B61F5">
        <w:rPr>
          <w:rFonts w:cs="Sylfaen"/>
        </w:rPr>
        <w:t>გამოიწვიოს</w:t>
      </w:r>
      <w:r w:rsidRPr="003D733D">
        <w:t xml:space="preserve"> </w:t>
      </w:r>
      <w:r w:rsidRPr="000B61F5">
        <w:rPr>
          <w:rFonts w:cs="Sylfaen"/>
        </w:rPr>
        <w:t>ზიანი</w:t>
      </w:r>
      <w:r w:rsidRPr="003D733D">
        <w:t xml:space="preserve"> </w:t>
      </w:r>
      <w:r w:rsidRPr="000B61F5">
        <w:rPr>
          <w:rFonts w:cs="Sylfaen"/>
        </w:rPr>
        <w:t>ხმაურითა</w:t>
      </w:r>
      <w:r w:rsidRPr="003D733D">
        <w:t xml:space="preserve"> </w:t>
      </w:r>
      <w:r w:rsidRPr="000B61F5">
        <w:rPr>
          <w:rFonts w:cs="Sylfaen"/>
        </w:rPr>
        <w:t>და</w:t>
      </w:r>
      <w:r w:rsidRPr="003D733D">
        <w:t xml:space="preserve"> </w:t>
      </w:r>
      <w:r w:rsidRPr="000B61F5">
        <w:rPr>
          <w:rFonts w:cs="Sylfaen"/>
        </w:rPr>
        <w:t>სუნით</w:t>
      </w:r>
      <w:r w:rsidRPr="003D733D">
        <w:t>;</w:t>
      </w:r>
    </w:p>
    <w:p w14:paraId="5AABBA76" w14:textId="77777777" w:rsidR="00A2588D" w:rsidRPr="003D733D" w:rsidRDefault="00A2588D" w:rsidP="00821E4D">
      <w:pPr>
        <w:pStyle w:val="ListParagraph"/>
        <w:numPr>
          <w:ilvl w:val="0"/>
          <w:numId w:val="38"/>
        </w:numPr>
        <w:spacing w:before="120"/>
      </w:pPr>
      <w:r w:rsidRPr="000B61F5">
        <w:rPr>
          <w:rFonts w:cs="Sylfaen"/>
        </w:rPr>
        <w:t>არ</w:t>
      </w:r>
      <w:r w:rsidRPr="003D733D">
        <w:t xml:space="preserve"> </w:t>
      </w:r>
      <w:r w:rsidRPr="000B61F5">
        <w:rPr>
          <w:rFonts w:cs="Sylfaen"/>
        </w:rPr>
        <w:t>მოახდინოს</w:t>
      </w:r>
      <w:r w:rsidRPr="003D733D">
        <w:t xml:space="preserve"> </w:t>
      </w:r>
      <w:r w:rsidRPr="000B61F5">
        <w:rPr>
          <w:rFonts w:cs="Sylfaen"/>
        </w:rPr>
        <w:t>უარყოფითი</w:t>
      </w:r>
      <w:r w:rsidRPr="003D733D">
        <w:t xml:space="preserve"> </w:t>
      </w:r>
      <w:r w:rsidRPr="000B61F5">
        <w:rPr>
          <w:rFonts w:cs="Sylfaen"/>
        </w:rPr>
        <w:t>გავლენა</w:t>
      </w:r>
      <w:r w:rsidRPr="003D733D">
        <w:t xml:space="preserve"> </w:t>
      </w:r>
      <w:r w:rsidRPr="000B61F5">
        <w:rPr>
          <w:rFonts w:cs="Sylfaen"/>
        </w:rPr>
        <w:t>ქვეყნის</w:t>
      </w:r>
      <w:r w:rsidRPr="003D733D">
        <w:t xml:space="preserve"> </w:t>
      </w:r>
      <w:r w:rsidRPr="000B61F5">
        <w:rPr>
          <w:rFonts w:cs="Sylfaen"/>
        </w:rPr>
        <w:t>მთელ</w:t>
      </w:r>
      <w:r w:rsidRPr="003D733D">
        <w:t xml:space="preserve"> </w:t>
      </w:r>
      <w:r w:rsidRPr="000B61F5">
        <w:rPr>
          <w:rFonts w:cs="Sylfaen"/>
        </w:rPr>
        <w:t>ტერიტორიაზე</w:t>
      </w:r>
      <w:r w:rsidRPr="003D733D">
        <w:t xml:space="preserve">, </w:t>
      </w:r>
      <w:r w:rsidRPr="000B61F5">
        <w:rPr>
          <w:rFonts w:cs="Sylfaen"/>
        </w:rPr>
        <w:t>განსაკუთრებით</w:t>
      </w:r>
      <w:r w:rsidRPr="003D733D">
        <w:t xml:space="preserve"> – </w:t>
      </w:r>
      <w:r w:rsidRPr="000B61F5">
        <w:rPr>
          <w:rFonts w:cs="Sylfaen"/>
        </w:rPr>
        <w:t>დაცულ</w:t>
      </w:r>
      <w:r w:rsidRPr="003D733D">
        <w:t xml:space="preserve"> </w:t>
      </w:r>
      <w:r w:rsidRPr="000B61F5">
        <w:rPr>
          <w:rFonts w:cs="Sylfaen"/>
        </w:rPr>
        <w:t>ტერიტორიებზე</w:t>
      </w:r>
      <w:r w:rsidRPr="003D733D">
        <w:t xml:space="preserve"> </w:t>
      </w:r>
      <w:r w:rsidRPr="000B61F5">
        <w:rPr>
          <w:rFonts w:cs="Sylfaen"/>
        </w:rPr>
        <w:t>და</w:t>
      </w:r>
      <w:r w:rsidRPr="003D733D">
        <w:t xml:space="preserve"> </w:t>
      </w:r>
      <w:r w:rsidRPr="000B61F5">
        <w:rPr>
          <w:rFonts w:cs="Sylfaen"/>
        </w:rPr>
        <w:t>კულტურულ</w:t>
      </w:r>
      <w:r w:rsidRPr="003D733D">
        <w:t xml:space="preserve"> </w:t>
      </w:r>
      <w:r w:rsidRPr="000B61F5">
        <w:rPr>
          <w:rFonts w:cs="Sylfaen"/>
        </w:rPr>
        <w:t>მემკვიდრეობაზე</w:t>
      </w:r>
      <w:r w:rsidRPr="003D733D">
        <w:t xml:space="preserve">. </w:t>
      </w:r>
    </w:p>
    <w:p w14:paraId="091D2C8B" w14:textId="77777777" w:rsidR="00A2588D" w:rsidRPr="003D733D" w:rsidRDefault="00A2588D" w:rsidP="00821E4D">
      <w:pPr>
        <w:pStyle w:val="ListParagraph"/>
        <w:numPr>
          <w:ilvl w:val="0"/>
          <w:numId w:val="38"/>
        </w:numPr>
        <w:spacing w:before="120"/>
      </w:pPr>
      <w:r w:rsidRPr="000B61F5">
        <w:rPr>
          <w:rFonts w:cs="Sylfaen"/>
        </w:rPr>
        <w:t>ნარჩენების</w:t>
      </w:r>
      <w:r w:rsidRPr="003D733D">
        <w:t xml:space="preserve"> </w:t>
      </w:r>
      <w:r w:rsidRPr="000B61F5">
        <w:rPr>
          <w:rFonts w:cs="Sylfaen"/>
        </w:rPr>
        <w:t>მართვა</w:t>
      </w:r>
      <w:r w:rsidRPr="003D733D">
        <w:t xml:space="preserve"> </w:t>
      </w:r>
      <w:r w:rsidRPr="000B61F5">
        <w:rPr>
          <w:rFonts w:cs="Sylfaen"/>
        </w:rPr>
        <w:t>ხორციელდება</w:t>
      </w:r>
      <w:r w:rsidRPr="003D733D">
        <w:t xml:space="preserve"> </w:t>
      </w:r>
      <w:r w:rsidRPr="000B61F5">
        <w:rPr>
          <w:rFonts w:cs="Sylfaen"/>
        </w:rPr>
        <w:t>შემდეგი</w:t>
      </w:r>
      <w:r w:rsidRPr="003D733D">
        <w:t xml:space="preserve"> </w:t>
      </w:r>
      <w:r w:rsidRPr="000B61F5">
        <w:rPr>
          <w:rFonts w:cs="Sylfaen"/>
        </w:rPr>
        <w:t>პრინციპების</w:t>
      </w:r>
      <w:r w:rsidRPr="003D733D">
        <w:t xml:space="preserve"> </w:t>
      </w:r>
      <w:r w:rsidRPr="000B61F5">
        <w:rPr>
          <w:rFonts w:cs="Sylfaen"/>
        </w:rPr>
        <w:t>გათვალისწინებით</w:t>
      </w:r>
      <w:r w:rsidRPr="003D733D">
        <w:t>:</w:t>
      </w:r>
    </w:p>
    <w:p w14:paraId="3F4284A6" w14:textId="77777777" w:rsidR="00A2588D" w:rsidRPr="003D733D" w:rsidRDefault="00A2588D" w:rsidP="00821E4D">
      <w:pPr>
        <w:pStyle w:val="ListParagraph"/>
        <w:numPr>
          <w:ilvl w:val="0"/>
          <w:numId w:val="38"/>
        </w:numPr>
        <w:spacing w:before="120"/>
      </w:pPr>
      <w:r w:rsidRPr="003D733D">
        <w:t>„</w:t>
      </w:r>
      <w:r w:rsidRPr="000B61F5">
        <w:rPr>
          <w:rFonts w:cs="Sylfaen"/>
        </w:rPr>
        <w:t>უსაფრთხოების</w:t>
      </w:r>
      <w:r w:rsidRPr="003D733D">
        <w:t xml:space="preserve"> </w:t>
      </w:r>
      <w:r w:rsidRPr="000B61F5">
        <w:rPr>
          <w:rFonts w:cs="Sylfaen"/>
        </w:rPr>
        <w:t>წინასწარი</w:t>
      </w:r>
      <w:r w:rsidRPr="003D733D">
        <w:t xml:space="preserve"> </w:t>
      </w:r>
      <w:r w:rsidRPr="000B61F5">
        <w:rPr>
          <w:rFonts w:cs="Sylfaen"/>
        </w:rPr>
        <w:t>ზომების</w:t>
      </w:r>
      <w:r w:rsidRPr="003D733D">
        <w:t xml:space="preserve"> </w:t>
      </w:r>
      <w:r w:rsidRPr="000B61F5">
        <w:rPr>
          <w:rFonts w:cs="Sylfaen"/>
        </w:rPr>
        <w:t>მიღების</w:t>
      </w:r>
      <w:r w:rsidRPr="003D733D">
        <w:t xml:space="preserve"> </w:t>
      </w:r>
      <w:r w:rsidRPr="000B61F5">
        <w:rPr>
          <w:rFonts w:cs="Sylfaen"/>
        </w:rPr>
        <w:t>პრინციპი</w:t>
      </w:r>
      <w:r w:rsidRPr="000B61F5">
        <w:rPr>
          <w:rFonts w:cs="Arial"/>
        </w:rPr>
        <w:t>“</w:t>
      </w:r>
      <w:r w:rsidRPr="003D733D">
        <w:t xml:space="preserve"> – </w:t>
      </w:r>
      <w:r w:rsidRPr="000B61F5">
        <w:rPr>
          <w:rFonts w:cs="Sylfaen"/>
        </w:rPr>
        <w:t>მიღებული</w:t>
      </w:r>
      <w:r w:rsidRPr="003D733D">
        <w:t xml:space="preserve"> </w:t>
      </w:r>
      <w:r w:rsidRPr="000B61F5">
        <w:rPr>
          <w:rFonts w:cs="Sylfaen"/>
        </w:rPr>
        <w:t>უნდა</w:t>
      </w:r>
      <w:r w:rsidRPr="003D733D">
        <w:t xml:space="preserve"> </w:t>
      </w:r>
      <w:r w:rsidRPr="000B61F5">
        <w:rPr>
          <w:rFonts w:cs="Sylfaen"/>
        </w:rPr>
        <w:t>იქნეს</w:t>
      </w:r>
      <w:r w:rsidRPr="003D733D">
        <w:t xml:space="preserve"> </w:t>
      </w:r>
      <w:r w:rsidRPr="000B61F5">
        <w:rPr>
          <w:rFonts w:cs="Sylfaen"/>
        </w:rPr>
        <w:t>ზომები</w:t>
      </w:r>
      <w:r w:rsidRPr="003D733D">
        <w:t xml:space="preserve"> </w:t>
      </w:r>
      <w:r w:rsidRPr="000B61F5">
        <w:rPr>
          <w:rFonts w:cs="Sylfaen"/>
        </w:rPr>
        <w:t>გარემოსთვის</w:t>
      </w:r>
      <w:r w:rsidRPr="003D733D">
        <w:t xml:space="preserve"> </w:t>
      </w:r>
      <w:r w:rsidRPr="000B61F5">
        <w:rPr>
          <w:rFonts w:cs="Sylfaen"/>
        </w:rPr>
        <w:t>ნარჩენებით</w:t>
      </w:r>
      <w:r w:rsidRPr="003D733D">
        <w:t xml:space="preserve"> </w:t>
      </w:r>
      <w:r w:rsidRPr="000B61F5">
        <w:rPr>
          <w:rFonts w:cs="Sylfaen"/>
        </w:rPr>
        <w:t>გამოწვეული</w:t>
      </w:r>
      <w:r w:rsidRPr="003D733D">
        <w:t xml:space="preserve"> </w:t>
      </w:r>
      <w:r w:rsidRPr="000B61F5">
        <w:rPr>
          <w:rFonts w:cs="Sylfaen"/>
        </w:rPr>
        <w:t>საფრთხის</w:t>
      </w:r>
      <w:r w:rsidRPr="003D733D">
        <w:t xml:space="preserve"> </w:t>
      </w:r>
      <w:r w:rsidRPr="000B61F5">
        <w:rPr>
          <w:rFonts w:cs="Sylfaen"/>
        </w:rPr>
        <w:t>თავიდან</w:t>
      </w:r>
      <w:r w:rsidRPr="003D733D">
        <w:t xml:space="preserve"> </w:t>
      </w:r>
      <w:r w:rsidRPr="000B61F5">
        <w:rPr>
          <w:rFonts w:cs="Sylfaen"/>
        </w:rPr>
        <w:t>ასაცილებლად</w:t>
      </w:r>
      <w:r w:rsidRPr="003D733D">
        <w:t xml:space="preserve">, </w:t>
      </w:r>
      <w:r w:rsidRPr="000B61F5">
        <w:rPr>
          <w:rFonts w:cs="Sylfaen"/>
        </w:rPr>
        <w:t>მაშინაც</w:t>
      </w:r>
      <w:r w:rsidRPr="003D733D">
        <w:t xml:space="preserve"> </w:t>
      </w:r>
      <w:r w:rsidRPr="000B61F5">
        <w:rPr>
          <w:rFonts w:cs="Sylfaen"/>
        </w:rPr>
        <w:t>კი</w:t>
      </w:r>
      <w:r w:rsidRPr="003D733D">
        <w:t xml:space="preserve">, </w:t>
      </w:r>
      <w:r w:rsidRPr="000B61F5">
        <w:rPr>
          <w:rFonts w:cs="Sylfaen"/>
        </w:rPr>
        <w:t>თუ</w:t>
      </w:r>
      <w:r w:rsidRPr="003D733D">
        <w:t xml:space="preserve"> </w:t>
      </w:r>
      <w:r w:rsidRPr="000B61F5">
        <w:rPr>
          <w:rFonts w:cs="Sylfaen"/>
        </w:rPr>
        <w:t>არ</w:t>
      </w:r>
      <w:r w:rsidRPr="003D733D">
        <w:t xml:space="preserve"> </w:t>
      </w:r>
      <w:r w:rsidRPr="000B61F5">
        <w:rPr>
          <w:rFonts w:cs="Sylfaen"/>
        </w:rPr>
        <w:t>არსებობს</w:t>
      </w:r>
      <w:r w:rsidRPr="003D733D">
        <w:t xml:space="preserve"> </w:t>
      </w:r>
      <w:r w:rsidRPr="000B61F5">
        <w:rPr>
          <w:rFonts w:cs="Sylfaen"/>
        </w:rPr>
        <w:t>მეცნიერულად</w:t>
      </w:r>
      <w:r w:rsidRPr="003D733D">
        <w:t xml:space="preserve"> </w:t>
      </w:r>
      <w:r w:rsidRPr="000B61F5">
        <w:rPr>
          <w:rFonts w:cs="Sylfaen"/>
        </w:rPr>
        <w:t>დადასტურებული</w:t>
      </w:r>
      <w:r w:rsidRPr="003D733D">
        <w:t xml:space="preserve"> </w:t>
      </w:r>
      <w:r w:rsidRPr="000B61F5">
        <w:rPr>
          <w:rFonts w:cs="Sylfaen"/>
        </w:rPr>
        <w:t>მონაცემები</w:t>
      </w:r>
      <w:r w:rsidRPr="003D733D">
        <w:t>;</w:t>
      </w:r>
    </w:p>
    <w:p w14:paraId="75E797F6" w14:textId="77777777" w:rsidR="00A2588D" w:rsidRPr="003D733D" w:rsidRDefault="00A2588D" w:rsidP="00821E4D">
      <w:pPr>
        <w:pStyle w:val="ListParagraph"/>
        <w:numPr>
          <w:ilvl w:val="0"/>
          <w:numId w:val="38"/>
        </w:numPr>
        <w:spacing w:before="120"/>
      </w:pPr>
      <w:r w:rsidRPr="000B61F5">
        <w:rPr>
          <w:rFonts w:cs="Sylfaen"/>
        </w:rPr>
        <w:t>პრინციპი</w:t>
      </w:r>
      <w:r w:rsidRPr="003D733D">
        <w:t xml:space="preserve"> „</w:t>
      </w:r>
      <w:r w:rsidRPr="000B61F5">
        <w:rPr>
          <w:rFonts w:cs="Sylfaen"/>
        </w:rPr>
        <w:t>დამბინძურებელი</w:t>
      </w:r>
      <w:r w:rsidRPr="003D733D">
        <w:t xml:space="preserve"> </w:t>
      </w:r>
      <w:r w:rsidRPr="000B61F5">
        <w:rPr>
          <w:rFonts w:cs="Sylfaen"/>
        </w:rPr>
        <w:t>იხდის</w:t>
      </w:r>
      <w:r w:rsidRPr="000B61F5">
        <w:rPr>
          <w:rFonts w:cs="Arial"/>
        </w:rPr>
        <w:t>“</w:t>
      </w:r>
      <w:r w:rsidRPr="003D733D">
        <w:t xml:space="preserve"> – </w:t>
      </w:r>
      <w:r w:rsidRPr="000B61F5">
        <w:rPr>
          <w:rFonts w:cs="Sylfaen"/>
        </w:rPr>
        <w:t>ნარჩენების</w:t>
      </w:r>
      <w:r w:rsidRPr="003D733D">
        <w:t xml:space="preserve"> </w:t>
      </w:r>
      <w:r w:rsidRPr="000B61F5">
        <w:rPr>
          <w:rFonts w:cs="Sylfaen"/>
        </w:rPr>
        <w:t>წარმომქმნელი</w:t>
      </w:r>
      <w:r w:rsidRPr="003D733D">
        <w:t xml:space="preserve"> </w:t>
      </w:r>
      <w:r w:rsidRPr="000B61F5">
        <w:rPr>
          <w:rFonts w:cs="Sylfaen"/>
        </w:rPr>
        <w:t>ან</w:t>
      </w:r>
      <w:r w:rsidRPr="003D733D">
        <w:t xml:space="preserve"> </w:t>
      </w:r>
      <w:r w:rsidRPr="000B61F5">
        <w:rPr>
          <w:rFonts w:cs="Sylfaen"/>
        </w:rPr>
        <w:t>ნარჩენების</w:t>
      </w:r>
    </w:p>
    <w:p w14:paraId="50BDB965" w14:textId="77777777" w:rsidR="00A2588D" w:rsidRPr="003D733D" w:rsidRDefault="00A2588D" w:rsidP="00821E4D">
      <w:pPr>
        <w:pStyle w:val="ListParagraph"/>
        <w:numPr>
          <w:ilvl w:val="0"/>
          <w:numId w:val="38"/>
        </w:numPr>
        <w:spacing w:before="120"/>
      </w:pPr>
      <w:r w:rsidRPr="000B61F5">
        <w:rPr>
          <w:rFonts w:cs="Sylfaen"/>
        </w:rPr>
        <w:t>მფლობელი</w:t>
      </w:r>
      <w:r w:rsidRPr="003D733D">
        <w:t xml:space="preserve"> </w:t>
      </w:r>
      <w:r w:rsidRPr="000B61F5">
        <w:rPr>
          <w:rFonts w:cs="Sylfaen"/>
        </w:rPr>
        <w:t>ვალდებულია</w:t>
      </w:r>
      <w:r w:rsidRPr="003D733D">
        <w:t xml:space="preserve"> </w:t>
      </w:r>
      <w:r w:rsidRPr="000B61F5">
        <w:rPr>
          <w:rFonts w:cs="Sylfaen"/>
        </w:rPr>
        <w:t>გაიღოს</w:t>
      </w:r>
      <w:r w:rsidRPr="003D733D">
        <w:t xml:space="preserve"> </w:t>
      </w:r>
      <w:r w:rsidRPr="000B61F5">
        <w:rPr>
          <w:rFonts w:cs="Sylfaen"/>
        </w:rPr>
        <w:t>ნარჩენების</w:t>
      </w:r>
      <w:r w:rsidRPr="003D733D">
        <w:t xml:space="preserve"> </w:t>
      </w:r>
      <w:r w:rsidRPr="000B61F5">
        <w:rPr>
          <w:rFonts w:cs="Sylfaen"/>
        </w:rPr>
        <w:t>მართვასთან</w:t>
      </w:r>
      <w:r w:rsidRPr="003D733D">
        <w:t xml:space="preserve"> </w:t>
      </w:r>
      <w:r w:rsidRPr="000B61F5">
        <w:rPr>
          <w:rFonts w:cs="Sylfaen"/>
        </w:rPr>
        <w:t>დაკავშირებული</w:t>
      </w:r>
      <w:r w:rsidRPr="003D733D">
        <w:t xml:space="preserve"> </w:t>
      </w:r>
      <w:r w:rsidRPr="000B61F5">
        <w:rPr>
          <w:rFonts w:cs="Sylfaen"/>
        </w:rPr>
        <w:t>ხარჯები</w:t>
      </w:r>
      <w:r w:rsidRPr="003D733D">
        <w:t>;</w:t>
      </w:r>
    </w:p>
    <w:p w14:paraId="197E2971" w14:textId="77777777" w:rsidR="00A2588D" w:rsidRPr="003D733D" w:rsidRDefault="00A2588D" w:rsidP="00821E4D">
      <w:pPr>
        <w:pStyle w:val="ListParagraph"/>
        <w:numPr>
          <w:ilvl w:val="0"/>
          <w:numId w:val="38"/>
        </w:numPr>
        <w:spacing w:before="120"/>
      </w:pPr>
      <w:r w:rsidRPr="003D733D">
        <w:t>„</w:t>
      </w:r>
      <w:r w:rsidRPr="000B61F5">
        <w:rPr>
          <w:rFonts w:cs="Sylfaen"/>
        </w:rPr>
        <w:t>სიახლოვის</w:t>
      </w:r>
      <w:r w:rsidRPr="003D733D">
        <w:t xml:space="preserve"> </w:t>
      </w:r>
      <w:r w:rsidRPr="000B61F5">
        <w:rPr>
          <w:rFonts w:cs="Sylfaen"/>
        </w:rPr>
        <w:t>პრინციპი</w:t>
      </w:r>
      <w:r w:rsidRPr="000B61F5">
        <w:rPr>
          <w:rFonts w:cs="Arial"/>
        </w:rPr>
        <w:t>“</w:t>
      </w:r>
      <w:r w:rsidRPr="003D733D">
        <w:t xml:space="preserve"> – </w:t>
      </w:r>
      <w:r w:rsidRPr="000B61F5">
        <w:rPr>
          <w:rFonts w:cs="Sylfaen"/>
        </w:rPr>
        <w:t>ნარჩენები</w:t>
      </w:r>
      <w:r w:rsidRPr="003D733D">
        <w:t xml:space="preserve"> </w:t>
      </w:r>
      <w:r w:rsidRPr="000B61F5">
        <w:rPr>
          <w:rFonts w:cs="Sylfaen"/>
        </w:rPr>
        <w:t>უნდა</w:t>
      </w:r>
      <w:r w:rsidRPr="003D733D">
        <w:t xml:space="preserve"> </w:t>
      </w:r>
      <w:r w:rsidRPr="000B61F5">
        <w:rPr>
          <w:rFonts w:cs="Sylfaen"/>
        </w:rPr>
        <w:t>დამუშავდეს</w:t>
      </w:r>
      <w:r w:rsidRPr="003D733D">
        <w:t xml:space="preserve"> </w:t>
      </w:r>
      <w:r w:rsidRPr="000B61F5">
        <w:rPr>
          <w:rFonts w:cs="Sylfaen"/>
        </w:rPr>
        <w:t>ყველაზე</w:t>
      </w:r>
      <w:r w:rsidRPr="003D733D">
        <w:t xml:space="preserve"> </w:t>
      </w:r>
      <w:r w:rsidRPr="000B61F5">
        <w:rPr>
          <w:rFonts w:cs="Sylfaen"/>
        </w:rPr>
        <w:t>ახლოს</w:t>
      </w:r>
      <w:r w:rsidRPr="003D733D">
        <w:t xml:space="preserve"> </w:t>
      </w:r>
      <w:r w:rsidRPr="000B61F5">
        <w:rPr>
          <w:rFonts w:cs="Sylfaen"/>
        </w:rPr>
        <w:t>მდებარე</w:t>
      </w:r>
    </w:p>
    <w:p w14:paraId="18088E0C" w14:textId="77777777" w:rsidR="00A2588D" w:rsidRPr="003D733D" w:rsidRDefault="00A2588D" w:rsidP="00821E4D">
      <w:pPr>
        <w:pStyle w:val="ListParagraph"/>
        <w:numPr>
          <w:ilvl w:val="0"/>
          <w:numId w:val="38"/>
        </w:numPr>
        <w:spacing w:before="120"/>
      </w:pPr>
      <w:r w:rsidRPr="000B61F5">
        <w:rPr>
          <w:rFonts w:cs="Sylfaen"/>
        </w:rPr>
        <w:t>ნარჩენების</w:t>
      </w:r>
      <w:r w:rsidRPr="003D733D">
        <w:t xml:space="preserve"> </w:t>
      </w:r>
      <w:r w:rsidRPr="000B61F5">
        <w:rPr>
          <w:rFonts w:cs="Sylfaen"/>
        </w:rPr>
        <w:t>დამუშავების</w:t>
      </w:r>
      <w:r w:rsidRPr="003D733D">
        <w:t xml:space="preserve"> </w:t>
      </w:r>
      <w:r w:rsidRPr="000B61F5">
        <w:rPr>
          <w:rFonts w:cs="Sylfaen"/>
        </w:rPr>
        <w:t>ობიექტზე</w:t>
      </w:r>
      <w:r w:rsidRPr="003D733D">
        <w:t xml:space="preserve">, </w:t>
      </w:r>
      <w:r w:rsidRPr="000B61F5">
        <w:rPr>
          <w:rFonts w:cs="Sylfaen"/>
        </w:rPr>
        <w:t>გარემოსდაცვითი</w:t>
      </w:r>
      <w:r w:rsidRPr="003D733D">
        <w:t xml:space="preserve"> </w:t>
      </w:r>
      <w:r w:rsidRPr="000B61F5">
        <w:rPr>
          <w:rFonts w:cs="Sylfaen"/>
        </w:rPr>
        <w:t>და</w:t>
      </w:r>
      <w:r w:rsidRPr="003D733D">
        <w:t xml:space="preserve"> </w:t>
      </w:r>
      <w:r w:rsidRPr="000B61F5">
        <w:rPr>
          <w:rFonts w:cs="Sylfaen"/>
        </w:rPr>
        <w:t>ეკონომიკური</w:t>
      </w:r>
      <w:r w:rsidRPr="003D733D">
        <w:t xml:space="preserve"> </w:t>
      </w:r>
      <w:r w:rsidRPr="000B61F5">
        <w:rPr>
          <w:rFonts w:cs="Sylfaen"/>
        </w:rPr>
        <w:t>ეფექტიანობის</w:t>
      </w:r>
      <w:r w:rsidRPr="003D733D">
        <w:t xml:space="preserve"> </w:t>
      </w:r>
      <w:r w:rsidRPr="000B61F5">
        <w:rPr>
          <w:rFonts w:cs="Sylfaen"/>
        </w:rPr>
        <w:t>გათვალისწინებით</w:t>
      </w:r>
      <w:r w:rsidRPr="003D733D">
        <w:t>;</w:t>
      </w:r>
    </w:p>
    <w:p w14:paraId="1B3E2C77" w14:textId="77777777" w:rsidR="00A2588D" w:rsidRPr="003D733D" w:rsidRDefault="00A2588D" w:rsidP="00821E4D">
      <w:pPr>
        <w:pStyle w:val="ListParagraph"/>
        <w:numPr>
          <w:ilvl w:val="0"/>
          <w:numId w:val="38"/>
        </w:numPr>
        <w:spacing w:before="120"/>
      </w:pPr>
      <w:r w:rsidRPr="003D733D">
        <w:t>„</w:t>
      </w:r>
      <w:r w:rsidRPr="000B61F5">
        <w:rPr>
          <w:rFonts w:cs="Sylfaen"/>
        </w:rPr>
        <w:t>თვითუზრუნველყოფის</w:t>
      </w:r>
      <w:r w:rsidRPr="003D733D">
        <w:t xml:space="preserve"> </w:t>
      </w:r>
      <w:r w:rsidRPr="000B61F5">
        <w:rPr>
          <w:rFonts w:cs="Sylfaen"/>
        </w:rPr>
        <w:t>პრინციპი</w:t>
      </w:r>
      <w:r w:rsidRPr="000B61F5">
        <w:rPr>
          <w:rFonts w:cs="Arial"/>
        </w:rPr>
        <w:t>“</w:t>
      </w:r>
      <w:r w:rsidRPr="003D733D">
        <w:t xml:space="preserve"> – </w:t>
      </w:r>
      <w:r w:rsidRPr="000B61F5">
        <w:rPr>
          <w:rFonts w:cs="Sylfaen"/>
        </w:rPr>
        <w:t>უნდა</w:t>
      </w:r>
      <w:r w:rsidRPr="003D733D">
        <w:t xml:space="preserve"> </w:t>
      </w:r>
      <w:r w:rsidRPr="000B61F5">
        <w:rPr>
          <w:rFonts w:cs="Sylfaen"/>
        </w:rPr>
        <w:t>ჩამოყალიბდეს</w:t>
      </w:r>
      <w:r w:rsidRPr="003D733D">
        <w:t xml:space="preserve"> </w:t>
      </w:r>
      <w:r w:rsidRPr="000B61F5">
        <w:rPr>
          <w:rFonts w:cs="Sylfaen"/>
        </w:rPr>
        <w:t>და</w:t>
      </w:r>
      <w:r w:rsidRPr="003D733D">
        <w:t xml:space="preserve"> </w:t>
      </w:r>
      <w:r w:rsidRPr="000B61F5">
        <w:rPr>
          <w:rFonts w:cs="Sylfaen"/>
        </w:rPr>
        <w:t>ფუნქციონირებდეს</w:t>
      </w:r>
      <w:r w:rsidRPr="003D733D">
        <w:t xml:space="preserve"> </w:t>
      </w:r>
      <w:r w:rsidRPr="000B61F5">
        <w:rPr>
          <w:rFonts w:cs="Sylfaen"/>
        </w:rPr>
        <w:t>მუნიციპალური</w:t>
      </w:r>
      <w:r w:rsidRPr="003D733D">
        <w:t xml:space="preserve"> </w:t>
      </w:r>
      <w:r w:rsidRPr="000B61F5">
        <w:rPr>
          <w:rFonts w:cs="Sylfaen"/>
        </w:rPr>
        <w:t>ნარჩენების</w:t>
      </w:r>
      <w:r w:rsidRPr="003D733D">
        <w:t xml:space="preserve"> </w:t>
      </w:r>
      <w:r w:rsidRPr="000B61F5">
        <w:rPr>
          <w:rFonts w:cs="Sylfaen"/>
        </w:rPr>
        <w:t>განთავსებისა</w:t>
      </w:r>
      <w:r w:rsidRPr="003D733D">
        <w:t xml:space="preserve"> </w:t>
      </w:r>
      <w:r w:rsidRPr="000B61F5">
        <w:rPr>
          <w:rFonts w:cs="Sylfaen"/>
        </w:rPr>
        <w:t>და</w:t>
      </w:r>
      <w:r w:rsidRPr="003D733D">
        <w:t xml:space="preserve"> </w:t>
      </w:r>
      <w:r w:rsidRPr="000B61F5">
        <w:rPr>
          <w:rFonts w:cs="Sylfaen"/>
        </w:rPr>
        <w:t>აღდგენის</w:t>
      </w:r>
      <w:r w:rsidRPr="003D733D">
        <w:t xml:space="preserve"> </w:t>
      </w:r>
      <w:r w:rsidRPr="000B61F5">
        <w:rPr>
          <w:rFonts w:cs="Sylfaen"/>
        </w:rPr>
        <w:t>ობიექტების</w:t>
      </w:r>
      <w:r w:rsidRPr="003D733D">
        <w:t xml:space="preserve"> </w:t>
      </w:r>
      <w:r w:rsidRPr="000B61F5">
        <w:rPr>
          <w:rFonts w:cs="Sylfaen"/>
        </w:rPr>
        <w:t>ინტეგრირებული</w:t>
      </w:r>
      <w:r w:rsidRPr="003D733D">
        <w:t xml:space="preserve"> </w:t>
      </w:r>
      <w:r w:rsidRPr="000B61F5">
        <w:rPr>
          <w:rFonts w:cs="Sylfaen"/>
        </w:rPr>
        <w:t>და</w:t>
      </w:r>
      <w:r w:rsidRPr="003D733D">
        <w:t xml:space="preserve"> </w:t>
      </w:r>
      <w:r w:rsidRPr="000B61F5">
        <w:rPr>
          <w:rFonts w:cs="Sylfaen"/>
        </w:rPr>
        <w:t>ადეკვატური</w:t>
      </w:r>
      <w:r w:rsidRPr="003D733D">
        <w:t xml:space="preserve"> </w:t>
      </w:r>
      <w:r w:rsidRPr="000B61F5">
        <w:rPr>
          <w:rFonts w:cs="Sylfaen"/>
        </w:rPr>
        <w:t>ქსელი</w:t>
      </w:r>
      <w:r w:rsidRPr="003D733D">
        <w:t>.</w:t>
      </w:r>
    </w:p>
    <w:p w14:paraId="3B3C9D5C" w14:textId="77777777" w:rsidR="00A2588D" w:rsidRPr="000B61F5" w:rsidRDefault="00A2588D" w:rsidP="00A2588D">
      <w:pPr>
        <w:spacing w:before="120" w:after="120"/>
        <w:rPr>
          <w:b/>
        </w:rPr>
      </w:pPr>
      <w:r w:rsidRPr="000B61F5">
        <w:rPr>
          <w:b/>
        </w:rPr>
        <w:t xml:space="preserve">5. </w:t>
      </w:r>
      <w:r w:rsidRPr="000B61F5">
        <w:rPr>
          <w:rFonts w:ascii="Sylfaen" w:hAnsi="Sylfaen" w:cs="Sylfaen"/>
          <w:b/>
        </w:rPr>
        <w:t>საქმიანობის</w:t>
      </w:r>
      <w:r w:rsidRPr="000B61F5">
        <w:rPr>
          <w:b/>
        </w:rPr>
        <w:t xml:space="preserve"> </w:t>
      </w:r>
      <w:r w:rsidRPr="000B61F5">
        <w:rPr>
          <w:rFonts w:ascii="Sylfaen" w:hAnsi="Sylfaen" w:cs="Sylfaen"/>
          <w:b/>
        </w:rPr>
        <w:t>განხორციელების</w:t>
      </w:r>
      <w:r w:rsidRPr="000B61F5">
        <w:rPr>
          <w:b/>
        </w:rPr>
        <w:t xml:space="preserve"> </w:t>
      </w:r>
      <w:r w:rsidRPr="000B61F5">
        <w:rPr>
          <w:rFonts w:ascii="Sylfaen" w:hAnsi="Sylfaen" w:cs="Sylfaen"/>
          <w:b/>
        </w:rPr>
        <w:t>პროცესში</w:t>
      </w:r>
      <w:r w:rsidRPr="000B61F5">
        <w:rPr>
          <w:b/>
        </w:rPr>
        <w:t xml:space="preserve"> </w:t>
      </w:r>
      <w:r w:rsidRPr="000B61F5">
        <w:rPr>
          <w:rFonts w:ascii="Sylfaen" w:hAnsi="Sylfaen" w:cs="Sylfaen"/>
          <w:b/>
        </w:rPr>
        <w:t>წარმოქმნილი</w:t>
      </w:r>
      <w:r w:rsidRPr="000B61F5">
        <w:rPr>
          <w:b/>
        </w:rPr>
        <w:t xml:space="preserve"> </w:t>
      </w:r>
      <w:r w:rsidRPr="000B61F5">
        <w:rPr>
          <w:rFonts w:ascii="Sylfaen" w:hAnsi="Sylfaen" w:cs="Sylfaen"/>
          <w:b/>
        </w:rPr>
        <w:t>ნარჩენების</w:t>
      </w:r>
      <w:r w:rsidRPr="000B61F5">
        <w:rPr>
          <w:b/>
        </w:rPr>
        <w:t xml:space="preserve"> </w:t>
      </w:r>
      <w:r w:rsidRPr="000B61F5">
        <w:rPr>
          <w:rFonts w:ascii="Sylfaen" w:hAnsi="Sylfaen" w:cs="Sylfaen"/>
          <w:b/>
        </w:rPr>
        <w:t>სახეობები</w:t>
      </w:r>
      <w:r w:rsidRPr="000B61F5">
        <w:rPr>
          <w:b/>
        </w:rPr>
        <w:t xml:space="preserve"> </w:t>
      </w:r>
      <w:r w:rsidRPr="000B61F5">
        <w:rPr>
          <w:rFonts w:ascii="Sylfaen" w:hAnsi="Sylfaen" w:cs="Sylfaen"/>
          <w:b/>
        </w:rPr>
        <w:t>და</w:t>
      </w:r>
      <w:r w:rsidRPr="000B61F5">
        <w:rPr>
          <w:b/>
        </w:rPr>
        <w:t xml:space="preserve"> </w:t>
      </w:r>
      <w:r w:rsidRPr="000B61F5">
        <w:rPr>
          <w:rFonts w:ascii="Sylfaen" w:hAnsi="Sylfaen" w:cs="Sylfaen"/>
          <w:b/>
        </w:rPr>
        <w:t>მიახლოებითი</w:t>
      </w:r>
      <w:r w:rsidRPr="000B61F5">
        <w:rPr>
          <w:b/>
        </w:rPr>
        <w:t xml:space="preserve"> </w:t>
      </w:r>
      <w:r w:rsidRPr="000B61F5">
        <w:rPr>
          <w:rFonts w:ascii="Sylfaen" w:hAnsi="Sylfaen" w:cs="Sylfaen"/>
          <w:b/>
        </w:rPr>
        <w:t>რაოდენობები</w:t>
      </w:r>
    </w:p>
    <w:p w14:paraId="1F6D9AE1" w14:textId="77777777" w:rsidR="00A2588D" w:rsidRPr="003D733D" w:rsidRDefault="00A2588D" w:rsidP="00A2588D">
      <w:pPr>
        <w:spacing w:before="120" w:after="120"/>
      </w:pPr>
      <w:r w:rsidRPr="003D733D">
        <w:rPr>
          <w:rFonts w:ascii="Sylfaen" w:hAnsi="Sylfaen" w:cs="Sylfaen"/>
        </w:rPr>
        <w:t>დაგეგმილი</w:t>
      </w:r>
      <w:r w:rsidRPr="003D733D">
        <w:t xml:space="preserve"> </w:t>
      </w:r>
      <w:r w:rsidRPr="003D733D">
        <w:rPr>
          <w:rFonts w:ascii="Sylfaen" w:hAnsi="Sylfaen" w:cs="Sylfaen"/>
        </w:rPr>
        <w:t>საქმიანობის</w:t>
      </w:r>
      <w:r w:rsidRPr="003D733D">
        <w:t xml:space="preserve"> </w:t>
      </w:r>
      <w:r w:rsidRPr="003D733D">
        <w:rPr>
          <w:rFonts w:ascii="Sylfaen" w:hAnsi="Sylfaen" w:cs="Sylfaen"/>
        </w:rPr>
        <w:t>განხორციელების</w:t>
      </w:r>
      <w:r w:rsidRPr="003D733D">
        <w:t xml:space="preserve"> </w:t>
      </w:r>
      <w:r w:rsidRPr="003D733D">
        <w:rPr>
          <w:rFonts w:ascii="Sylfaen" w:hAnsi="Sylfaen" w:cs="Sylfaen"/>
        </w:rPr>
        <w:t>პროცესში</w:t>
      </w:r>
      <w:r w:rsidRPr="003D733D">
        <w:t xml:space="preserve"> </w:t>
      </w:r>
      <w:r w:rsidRPr="003D733D">
        <w:rPr>
          <w:rFonts w:ascii="Sylfaen" w:hAnsi="Sylfaen" w:cs="Sylfaen"/>
        </w:rPr>
        <w:t>მოსალოდნელი</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სახეები</w:t>
      </w:r>
      <w:r w:rsidRPr="003D733D">
        <w:t xml:space="preserve"> </w:t>
      </w:r>
      <w:r w:rsidRPr="003D733D">
        <w:rPr>
          <w:rFonts w:ascii="Sylfaen" w:hAnsi="Sylfaen" w:cs="Sylfaen"/>
        </w:rPr>
        <w:t>და</w:t>
      </w:r>
      <w:r w:rsidRPr="003D733D">
        <w:t xml:space="preserve"> </w:t>
      </w:r>
      <w:r w:rsidRPr="003D733D">
        <w:rPr>
          <w:rFonts w:ascii="Sylfaen" w:hAnsi="Sylfaen" w:cs="Sylfaen"/>
        </w:rPr>
        <w:t>მიახლოებითი</w:t>
      </w:r>
      <w:r w:rsidRPr="003D733D">
        <w:t xml:space="preserve"> </w:t>
      </w:r>
      <w:r w:rsidRPr="003D733D">
        <w:rPr>
          <w:rFonts w:ascii="Sylfaen" w:hAnsi="Sylfaen" w:cs="Sylfaen"/>
        </w:rPr>
        <w:t>რაოდენობები</w:t>
      </w:r>
      <w:r w:rsidRPr="003D733D">
        <w:t xml:space="preserve"> </w:t>
      </w:r>
      <w:r w:rsidRPr="003D733D">
        <w:rPr>
          <w:rFonts w:ascii="Sylfaen" w:hAnsi="Sylfaen" w:cs="Sylfaen"/>
        </w:rPr>
        <w:t>მოცემულია</w:t>
      </w:r>
      <w:r w:rsidRPr="003D733D">
        <w:t xml:space="preserve"> </w:t>
      </w:r>
      <w:r w:rsidRPr="003D733D">
        <w:rPr>
          <w:rFonts w:ascii="Sylfaen" w:hAnsi="Sylfaen" w:cs="Sylfaen"/>
        </w:rPr>
        <w:t>ცხრილში</w:t>
      </w:r>
      <w:r w:rsidRPr="003D733D">
        <w:t xml:space="preserve"> 2. </w:t>
      </w:r>
      <w:r w:rsidRPr="003D733D">
        <w:rPr>
          <w:rFonts w:ascii="Sylfaen" w:hAnsi="Sylfaen" w:cs="Sylfaen"/>
        </w:rPr>
        <w:t>აღსანიშნავია</w:t>
      </w:r>
      <w:r w:rsidRPr="003D733D">
        <w:t xml:space="preserve">, </w:t>
      </w:r>
      <w:r w:rsidRPr="003D733D">
        <w:rPr>
          <w:rFonts w:ascii="Sylfaen" w:hAnsi="Sylfaen" w:cs="Sylfaen"/>
        </w:rPr>
        <w:t>რომ</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მოცემული</w:t>
      </w:r>
      <w:r w:rsidRPr="003D733D">
        <w:t xml:space="preserve"> </w:t>
      </w:r>
      <w:r w:rsidRPr="003D733D">
        <w:rPr>
          <w:rFonts w:ascii="Sylfaen" w:hAnsi="Sylfaen" w:cs="Sylfaen"/>
        </w:rPr>
        <w:t>რაოდენობა</w:t>
      </w:r>
      <w:r w:rsidRPr="003D733D">
        <w:t xml:space="preserve"> </w:t>
      </w:r>
      <w:r w:rsidRPr="003D733D">
        <w:rPr>
          <w:rFonts w:ascii="Sylfaen" w:hAnsi="Sylfaen" w:cs="Sylfaen"/>
        </w:rPr>
        <w:t>მიახლოებითია</w:t>
      </w:r>
      <w:r w:rsidRPr="003D733D">
        <w:t xml:space="preserve">. </w:t>
      </w:r>
      <w:r w:rsidRPr="003D733D">
        <w:rPr>
          <w:rFonts w:ascii="Sylfaen" w:hAnsi="Sylfaen" w:cs="Sylfaen"/>
        </w:rPr>
        <w:t>ოპერირების</w:t>
      </w:r>
      <w:r w:rsidRPr="003D733D">
        <w:t xml:space="preserve"> </w:t>
      </w:r>
      <w:r w:rsidRPr="003D733D">
        <w:rPr>
          <w:rFonts w:ascii="Sylfaen" w:hAnsi="Sylfaen" w:cs="Sylfaen"/>
        </w:rPr>
        <w:t>ეტაპზე</w:t>
      </w:r>
      <w:r w:rsidRPr="003D733D">
        <w:t xml:space="preserve"> </w:t>
      </w:r>
      <w:r w:rsidRPr="003D733D">
        <w:rPr>
          <w:rFonts w:ascii="Sylfaen" w:hAnsi="Sylfaen" w:cs="Sylfaen"/>
        </w:rPr>
        <w:t>აღნიშნული</w:t>
      </w:r>
      <w:r w:rsidRPr="003D733D">
        <w:t xml:space="preserve"> </w:t>
      </w:r>
      <w:r w:rsidRPr="003D733D">
        <w:rPr>
          <w:rFonts w:ascii="Sylfaen" w:hAnsi="Sylfaen" w:cs="Sylfaen"/>
        </w:rPr>
        <w:t>ნარჩენების</w:t>
      </w:r>
      <w:r w:rsidRPr="003D733D">
        <w:t xml:space="preserve"> </w:t>
      </w:r>
      <w:r w:rsidRPr="003D733D">
        <w:rPr>
          <w:rFonts w:ascii="Sylfaen" w:hAnsi="Sylfaen" w:cs="Sylfaen"/>
        </w:rPr>
        <w:t>რაოდენობა</w:t>
      </w:r>
      <w:r w:rsidRPr="003D733D">
        <w:t xml:space="preserve">, </w:t>
      </w:r>
      <w:r w:rsidRPr="003D733D">
        <w:rPr>
          <w:rFonts w:ascii="Sylfaen" w:hAnsi="Sylfaen" w:cs="Sylfaen"/>
        </w:rPr>
        <w:t>უმეტეს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მჭიდროდაა</w:t>
      </w:r>
      <w:r w:rsidRPr="003D733D">
        <w:t xml:space="preserve"> </w:t>
      </w:r>
      <w:r w:rsidRPr="003D733D">
        <w:rPr>
          <w:rFonts w:ascii="Sylfaen" w:hAnsi="Sylfaen" w:cs="Sylfaen"/>
        </w:rPr>
        <w:t>დაკავშირებული</w:t>
      </w:r>
      <w:r w:rsidRPr="003D733D">
        <w:t xml:space="preserve"> </w:t>
      </w:r>
      <w:r w:rsidRPr="003D733D">
        <w:rPr>
          <w:rFonts w:ascii="Sylfaen" w:hAnsi="Sylfaen" w:cs="Sylfaen"/>
        </w:rPr>
        <w:t>სხვადასხვა</w:t>
      </w:r>
      <w:r w:rsidRPr="003D733D">
        <w:t xml:space="preserve"> </w:t>
      </w:r>
      <w:r w:rsidRPr="003D733D">
        <w:rPr>
          <w:rFonts w:ascii="Sylfaen" w:hAnsi="Sylfaen" w:cs="Sylfaen"/>
        </w:rPr>
        <w:t>სარემონტო</w:t>
      </w:r>
      <w:r w:rsidRPr="003D733D">
        <w:t xml:space="preserve">, </w:t>
      </w:r>
      <w:r w:rsidRPr="003D733D">
        <w:rPr>
          <w:rFonts w:ascii="Sylfaen" w:hAnsi="Sylfaen" w:cs="Sylfaen"/>
        </w:rPr>
        <w:t>პროფილაქტიკური</w:t>
      </w:r>
      <w:r w:rsidRPr="003D733D">
        <w:t xml:space="preserve"> </w:t>
      </w:r>
      <w:r w:rsidRPr="003D733D">
        <w:rPr>
          <w:rFonts w:ascii="Sylfaen" w:hAnsi="Sylfaen" w:cs="Sylfaen"/>
        </w:rPr>
        <w:t>და</w:t>
      </w:r>
      <w:r w:rsidRPr="003D733D">
        <w:t xml:space="preserve"> </w:t>
      </w:r>
      <w:r w:rsidRPr="003D733D">
        <w:rPr>
          <w:rFonts w:ascii="Sylfaen" w:hAnsi="Sylfaen" w:cs="Sylfaen"/>
        </w:rPr>
        <w:t>გაწმენდითი</w:t>
      </w:r>
      <w:r w:rsidRPr="003D733D">
        <w:t xml:space="preserve"> </w:t>
      </w:r>
      <w:r w:rsidRPr="003D733D">
        <w:rPr>
          <w:rFonts w:ascii="Sylfaen" w:hAnsi="Sylfaen" w:cs="Sylfaen"/>
        </w:rPr>
        <w:t>სამუშაოების</w:t>
      </w:r>
      <w:r w:rsidRPr="003D733D">
        <w:t xml:space="preserve"> </w:t>
      </w:r>
      <w:r w:rsidRPr="003D733D">
        <w:rPr>
          <w:rFonts w:ascii="Sylfaen" w:hAnsi="Sylfaen" w:cs="Sylfaen"/>
        </w:rPr>
        <w:t>ინტენსივობაზე</w:t>
      </w:r>
      <w:r w:rsidRPr="003D733D">
        <w:t xml:space="preserve">. </w:t>
      </w:r>
    </w:p>
    <w:p w14:paraId="4ADB7604" w14:textId="77777777" w:rsidR="00A2588D" w:rsidRPr="003D733D" w:rsidRDefault="00A2588D" w:rsidP="00A2588D">
      <w:pPr>
        <w:sectPr w:rsidR="00A2588D" w:rsidRPr="003D733D">
          <w:pgSz w:w="11900" w:h="16840"/>
          <w:pgMar w:top="1440" w:right="740" w:bottom="1440" w:left="1440" w:header="708" w:footer="708" w:gutter="0"/>
          <w:cols w:space="720"/>
        </w:sectPr>
      </w:pPr>
    </w:p>
    <w:tbl>
      <w:tblPr>
        <w:tblpPr w:leftFromText="180" w:rightFromText="180" w:vertAnchor="page" w:horzAnchor="margin" w:tblpY="1"/>
        <w:tblW w:w="15205" w:type="dxa"/>
        <w:tblLayout w:type="fixed"/>
        <w:tblLook w:val="04A0" w:firstRow="1" w:lastRow="0" w:firstColumn="1" w:lastColumn="0" w:noHBand="0" w:noVBand="1"/>
      </w:tblPr>
      <w:tblGrid>
        <w:gridCol w:w="1075"/>
        <w:gridCol w:w="2790"/>
        <w:gridCol w:w="1014"/>
        <w:gridCol w:w="966"/>
        <w:gridCol w:w="1530"/>
        <w:gridCol w:w="1620"/>
        <w:gridCol w:w="5040"/>
        <w:gridCol w:w="1170"/>
      </w:tblGrid>
      <w:tr w:rsidR="00A2588D" w:rsidRPr="003D733D" w14:paraId="1546EA03" w14:textId="77777777" w:rsidTr="00A2588D">
        <w:trPr>
          <w:cantSplit/>
          <w:trHeight w:val="3500"/>
        </w:trPr>
        <w:tc>
          <w:tcPr>
            <w:tcW w:w="1075" w:type="dxa"/>
            <w:tcBorders>
              <w:top w:val="single" w:sz="4" w:space="0" w:color="auto"/>
              <w:left w:val="single" w:sz="4" w:space="0" w:color="auto"/>
              <w:bottom w:val="single" w:sz="4" w:space="0" w:color="auto"/>
              <w:right w:val="single" w:sz="4" w:space="0" w:color="auto"/>
            </w:tcBorders>
            <w:vAlign w:val="center"/>
            <w:hideMark/>
          </w:tcPr>
          <w:p w14:paraId="604B4DD8" w14:textId="77777777" w:rsidR="00A2588D" w:rsidRPr="000B61F5" w:rsidRDefault="00A2588D" w:rsidP="00A2588D">
            <w:pPr>
              <w:rPr>
                <w:sz w:val="18"/>
              </w:rPr>
            </w:pPr>
            <w:r w:rsidRPr="000B61F5">
              <w:rPr>
                <w:rFonts w:ascii="Sylfaen" w:hAnsi="Sylfaen" w:cs="Sylfaen"/>
                <w:sz w:val="18"/>
              </w:rPr>
              <w:lastRenderedPageBreak/>
              <w:t>ნარჩენის</w:t>
            </w:r>
          </w:p>
          <w:p w14:paraId="43F641DE" w14:textId="77777777" w:rsidR="00A2588D" w:rsidRPr="000B61F5" w:rsidRDefault="00A2588D" w:rsidP="00A2588D">
            <w:pPr>
              <w:rPr>
                <w:sz w:val="18"/>
              </w:rPr>
            </w:pPr>
            <w:r w:rsidRPr="000B61F5">
              <w:rPr>
                <w:rFonts w:ascii="Sylfaen" w:hAnsi="Sylfaen" w:cs="Sylfaen"/>
                <w:sz w:val="18"/>
              </w:rPr>
              <w:t>კოდი</w:t>
            </w:r>
          </w:p>
        </w:tc>
        <w:tc>
          <w:tcPr>
            <w:tcW w:w="2790" w:type="dxa"/>
            <w:tcBorders>
              <w:top w:val="single" w:sz="4" w:space="0" w:color="auto"/>
              <w:left w:val="single" w:sz="4" w:space="0" w:color="auto"/>
              <w:bottom w:val="single" w:sz="4" w:space="0" w:color="auto"/>
              <w:right w:val="single" w:sz="4" w:space="0" w:color="auto"/>
            </w:tcBorders>
            <w:vAlign w:val="center"/>
            <w:hideMark/>
          </w:tcPr>
          <w:p w14:paraId="5949B8CA" w14:textId="77777777" w:rsidR="00A2588D" w:rsidRPr="000B61F5" w:rsidRDefault="00A2588D" w:rsidP="00A2588D">
            <w:pPr>
              <w:rPr>
                <w:sz w:val="18"/>
              </w:rPr>
            </w:pPr>
            <w:r w:rsidRPr="000B61F5">
              <w:rPr>
                <w:rFonts w:ascii="Sylfaen" w:hAnsi="Sylfaen" w:cs="Sylfaen"/>
                <w:sz w:val="18"/>
              </w:rPr>
              <w:t>ნარჩენის</w:t>
            </w:r>
          </w:p>
          <w:p w14:paraId="7C4300BC" w14:textId="77777777" w:rsidR="00A2588D" w:rsidRPr="000B61F5" w:rsidRDefault="00A2588D" w:rsidP="00A2588D">
            <w:pPr>
              <w:rPr>
                <w:sz w:val="18"/>
              </w:rPr>
            </w:pPr>
            <w:r w:rsidRPr="000B61F5">
              <w:rPr>
                <w:rFonts w:ascii="Sylfaen" w:hAnsi="Sylfaen" w:cs="Sylfaen"/>
                <w:sz w:val="18"/>
              </w:rPr>
              <w:t>დასახელება</w:t>
            </w:r>
          </w:p>
        </w:tc>
        <w:tc>
          <w:tcPr>
            <w:tcW w:w="1014" w:type="dxa"/>
            <w:tcBorders>
              <w:top w:val="single" w:sz="4" w:space="0" w:color="auto"/>
              <w:left w:val="single" w:sz="4" w:space="0" w:color="auto"/>
              <w:bottom w:val="single" w:sz="4" w:space="0" w:color="auto"/>
              <w:right w:val="single" w:sz="4" w:space="0" w:color="auto"/>
            </w:tcBorders>
            <w:vAlign w:val="center"/>
            <w:hideMark/>
          </w:tcPr>
          <w:p w14:paraId="318026F5" w14:textId="77777777" w:rsidR="00A2588D" w:rsidRPr="000B61F5" w:rsidRDefault="00A2588D" w:rsidP="00A2588D">
            <w:pPr>
              <w:rPr>
                <w:sz w:val="18"/>
              </w:rPr>
            </w:pPr>
            <w:r w:rsidRPr="000B61F5">
              <w:rPr>
                <w:rFonts w:ascii="Sylfaen" w:hAnsi="Sylfaen" w:cs="Sylfaen"/>
                <w:sz w:val="18"/>
              </w:rPr>
              <w:t>სახიფათო</w:t>
            </w:r>
          </w:p>
          <w:p w14:paraId="1C6345D2" w14:textId="77777777" w:rsidR="00A2588D" w:rsidRPr="000B61F5" w:rsidRDefault="00A2588D" w:rsidP="00A2588D">
            <w:pPr>
              <w:rPr>
                <w:sz w:val="18"/>
              </w:rPr>
            </w:pPr>
            <w:r w:rsidRPr="000B61F5">
              <w:rPr>
                <w:sz w:val="18"/>
              </w:rPr>
              <w:t>(</w:t>
            </w:r>
            <w:r w:rsidRPr="000B61F5">
              <w:rPr>
                <w:rFonts w:ascii="Sylfaen" w:hAnsi="Sylfaen" w:cs="Sylfaen"/>
                <w:sz w:val="18"/>
              </w:rPr>
              <w:t>დიახ</w:t>
            </w:r>
            <w:r w:rsidRPr="000B61F5">
              <w:rPr>
                <w:sz w:val="18"/>
              </w:rPr>
              <w:t>/</w:t>
            </w:r>
            <w:r w:rsidRPr="000B61F5">
              <w:rPr>
                <w:rFonts w:ascii="Sylfaen" w:hAnsi="Sylfaen" w:cs="Sylfaen"/>
                <w:sz w:val="18"/>
              </w:rPr>
              <w:t>არა</w:t>
            </w:r>
            <w:r w:rsidRPr="000B61F5">
              <w:rPr>
                <w:sz w:val="18"/>
              </w:rPr>
              <w:t>)</w:t>
            </w:r>
          </w:p>
        </w:tc>
        <w:tc>
          <w:tcPr>
            <w:tcW w:w="966" w:type="dxa"/>
            <w:tcBorders>
              <w:top w:val="single" w:sz="4" w:space="0" w:color="auto"/>
              <w:left w:val="single" w:sz="4" w:space="0" w:color="auto"/>
              <w:bottom w:val="single" w:sz="4" w:space="0" w:color="auto"/>
              <w:right w:val="single" w:sz="4" w:space="0" w:color="auto"/>
            </w:tcBorders>
            <w:vAlign w:val="center"/>
            <w:hideMark/>
          </w:tcPr>
          <w:p w14:paraId="277A4156" w14:textId="77777777" w:rsidR="00A2588D" w:rsidRPr="000B61F5" w:rsidRDefault="00A2588D" w:rsidP="00A2588D">
            <w:pPr>
              <w:rPr>
                <w:sz w:val="18"/>
              </w:rPr>
            </w:pPr>
            <w:r w:rsidRPr="000B61F5">
              <w:rPr>
                <w:rFonts w:ascii="Sylfaen" w:hAnsi="Sylfaen" w:cs="Sylfaen"/>
                <w:sz w:val="18"/>
              </w:rPr>
              <w:t>სახიფათოობის</w:t>
            </w:r>
          </w:p>
          <w:p w14:paraId="182954FD" w14:textId="77777777" w:rsidR="00A2588D" w:rsidRPr="000B61F5" w:rsidRDefault="00A2588D" w:rsidP="00A2588D">
            <w:pPr>
              <w:rPr>
                <w:sz w:val="18"/>
              </w:rPr>
            </w:pPr>
            <w:r w:rsidRPr="000B61F5">
              <w:rPr>
                <w:rFonts w:ascii="Sylfaen" w:hAnsi="Sylfaen" w:cs="Sylfaen"/>
                <w:sz w:val="18"/>
              </w:rPr>
              <w:t>მახასიათებელი</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4AE3219" w14:textId="77777777" w:rsidR="00A2588D" w:rsidRPr="000B61F5" w:rsidRDefault="00A2588D" w:rsidP="00A2588D">
            <w:pPr>
              <w:rPr>
                <w:sz w:val="18"/>
              </w:rPr>
            </w:pPr>
            <w:r w:rsidRPr="000B61F5">
              <w:rPr>
                <w:rFonts w:ascii="Sylfaen" w:hAnsi="Sylfaen" w:cs="Sylfaen"/>
                <w:sz w:val="18"/>
              </w:rPr>
              <w:t>მშენებლობის</w:t>
            </w:r>
            <w:r w:rsidRPr="000B61F5">
              <w:rPr>
                <w:sz w:val="18"/>
              </w:rPr>
              <w:t xml:space="preserve"> </w:t>
            </w:r>
            <w:r w:rsidRPr="000B61F5">
              <w:rPr>
                <w:rFonts w:ascii="Sylfaen" w:hAnsi="Sylfaen" w:cs="Sylfaen"/>
                <w:sz w:val="18"/>
              </w:rPr>
              <w:t>პერიოდში</w:t>
            </w:r>
          </w:p>
          <w:p w14:paraId="29C4A7CC" w14:textId="77777777" w:rsidR="00A2588D" w:rsidRPr="000B61F5" w:rsidRDefault="00A2588D" w:rsidP="00A2588D">
            <w:pPr>
              <w:rPr>
                <w:sz w:val="18"/>
              </w:rPr>
            </w:pPr>
            <w:r w:rsidRPr="000B61F5">
              <w:rPr>
                <w:rFonts w:ascii="Sylfaen" w:hAnsi="Sylfaen" w:cs="Sylfaen"/>
                <w:sz w:val="18"/>
              </w:rPr>
              <w:t>წარმოქმნილი</w:t>
            </w:r>
            <w:r w:rsidRPr="000B61F5">
              <w:rPr>
                <w:sz w:val="18"/>
              </w:rPr>
              <w:t xml:space="preserve"> </w:t>
            </w:r>
            <w:r w:rsidRPr="000B61F5">
              <w:rPr>
                <w:rFonts w:ascii="Sylfaen" w:hAnsi="Sylfaen" w:cs="Sylfaen"/>
                <w:sz w:val="18"/>
              </w:rPr>
              <w:t>ნარჩენების</w:t>
            </w:r>
          </w:p>
          <w:p w14:paraId="78661838" w14:textId="77777777" w:rsidR="00A2588D" w:rsidRPr="000B61F5" w:rsidRDefault="00A2588D" w:rsidP="00A2588D">
            <w:pPr>
              <w:rPr>
                <w:sz w:val="18"/>
              </w:rPr>
            </w:pPr>
            <w:r w:rsidRPr="000B61F5">
              <w:rPr>
                <w:rFonts w:ascii="Sylfaen" w:hAnsi="Sylfaen" w:cs="Sylfaen"/>
                <w:sz w:val="18"/>
              </w:rPr>
              <w:t>მიახლოებითი</w:t>
            </w:r>
            <w:r w:rsidRPr="000B61F5">
              <w:rPr>
                <w:sz w:val="18"/>
              </w:rPr>
              <w:t xml:space="preserve"> </w:t>
            </w:r>
            <w:r w:rsidRPr="000B61F5">
              <w:rPr>
                <w:rFonts w:ascii="Sylfaen" w:hAnsi="Sylfaen" w:cs="Sylfaen"/>
                <w:sz w:val="18"/>
              </w:rPr>
              <w:t>რაოდენობა</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FBC17BF" w14:textId="77777777" w:rsidR="00A2588D" w:rsidRPr="000B61F5" w:rsidRDefault="00A2588D" w:rsidP="00A2588D">
            <w:pPr>
              <w:rPr>
                <w:sz w:val="18"/>
              </w:rPr>
            </w:pPr>
            <w:r w:rsidRPr="000B61F5">
              <w:rPr>
                <w:rFonts w:ascii="Sylfaen" w:hAnsi="Sylfaen" w:cs="Sylfaen"/>
                <w:sz w:val="18"/>
              </w:rPr>
              <w:t>ექსპლუატაციის</w:t>
            </w:r>
            <w:r w:rsidRPr="000B61F5">
              <w:rPr>
                <w:sz w:val="18"/>
              </w:rPr>
              <w:t xml:space="preserve"> </w:t>
            </w:r>
            <w:r w:rsidRPr="000B61F5">
              <w:rPr>
                <w:rFonts w:ascii="Sylfaen" w:hAnsi="Sylfaen" w:cs="Sylfaen"/>
                <w:sz w:val="18"/>
              </w:rPr>
              <w:t>პერიოდში</w:t>
            </w:r>
            <w:r w:rsidRPr="000B61F5">
              <w:rPr>
                <w:sz w:val="18"/>
              </w:rPr>
              <w:t xml:space="preserve"> </w:t>
            </w:r>
            <w:r w:rsidRPr="000B61F5">
              <w:rPr>
                <w:rFonts w:ascii="Sylfaen" w:hAnsi="Sylfaen" w:cs="Sylfaen"/>
                <w:sz w:val="18"/>
              </w:rPr>
              <w:t>ტექნიკური</w:t>
            </w:r>
            <w:r w:rsidRPr="000B61F5">
              <w:rPr>
                <w:sz w:val="18"/>
              </w:rPr>
              <w:t xml:space="preserve"> </w:t>
            </w:r>
            <w:r w:rsidRPr="000B61F5">
              <w:rPr>
                <w:rFonts w:ascii="Sylfaen" w:hAnsi="Sylfaen" w:cs="Sylfaen"/>
                <w:sz w:val="18"/>
              </w:rPr>
              <w:t>მომსახურების</w:t>
            </w:r>
            <w:r w:rsidRPr="000B61F5">
              <w:rPr>
                <w:sz w:val="18"/>
              </w:rPr>
              <w:t xml:space="preserve"> </w:t>
            </w:r>
            <w:r w:rsidRPr="000B61F5">
              <w:rPr>
                <w:rFonts w:ascii="Sylfaen" w:hAnsi="Sylfaen" w:cs="Sylfaen"/>
                <w:sz w:val="18"/>
              </w:rPr>
              <w:t>პროცესში</w:t>
            </w:r>
            <w:r w:rsidRPr="000B61F5">
              <w:rPr>
                <w:sz w:val="18"/>
              </w:rPr>
              <w:t xml:space="preserve"> </w:t>
            </w:r>
            <w:r w:rsidRPr="000B61F5">
              <w:rPr>
                <w:rFonts w:ascii="Sylfaen" w:hAnsi="Sylfaen" w:cs="Sylfaen"/>
                <w:sz w:val="18"/>
              </w:rPr>
              <w:t>წარმოქმნილი</w:t>
            </w:r>
          </w:p>
          <w:p w14:paraId="6DE800E1" w14:textId="77777777" w:rsidR="00A2588D" w:rsidRPr="000B61F5" w:rsidRDefault="00A2588D" w:rsidP="00A2588D">
            <w:pPr>
              <w:rPr>
                <w:sz w:val="18"/>
              </w:rPr>
            </w:pPr>
            <w:r w:rsidRPr="000B61F5">
              <w:rPr>
                <w:rFonts w:ascii="Sylfaen" w:hAnsi="Sylfaen" w:cs="Sylfaen"/>
                <w:sz w:val="18"/>
              </w:rPr>
              <w:t>ნარჩენების</w:t>
            </w:r>
            <w:r w:rsidRPr="000B61F5">
              <w:rPr>
                <w:sz w:val="18"/>
              </w:rPr>
              <w:t xml:space="preserve"> </w:t>
            </w:r>
            <w:r w:rsidRPr="000B61F5">
              <w:rPr>
                <w:rFonts w:ascii="Sylfaen" w:hAnsi="Sylfaen" w:cs="Sylfaen"/>
                <w:sz w:val="18"/>
              </w:rPr>
              <w:t>მიახლოებითი</w:t>
            </w:r>
            <w:r w:rsidRPr="000B61F5">
              <w:rPr>
                <w:sz w:val="18"/>
              </w:rPr>
              <w:t xml:space="preserve"> </w:t>
            </w:r>
            <w:r w:rsidRPr="000B61F5">
              <w:rPr>
                <w:rFonts w:ascii="Sylfaen" w:hAnsi="Sylfaen" w:cs="Sylfaen"/>
                <w:sz w:val="18"/>
              </w:rPr>
              <w:t>რაოდენობა</w:t>
            </w:r>
            <w:r w:rsidRPr="000B61F5">
              <w:rPr>
                <w:sz w:val="18"/>
              </w:rPr>
              <w:t xml:space="preserve"> (</w:t>
            </w:r>
            <w:r w:rsidRPr="000B61F5">
              <w:rPr>
                <w:rFonts w:ascii="Sylfaen" w:hAnsi="Sylfaen" w:cs="Sylfaen"/>
                <w:sz w:val="18"/>
              </w:rPr>
              <w:t>წლიურად</w:t>
            </w:r>
            <w:r w:rsidRPr="000B61F5">
              <w:rPr>
                <w:sz w:val="18"/>
              </w:rPr>
              <w:t>)</w:t>
            </w:r>
          </w:p>
        </w:tc>
        <w:tc>
          <w:tcPr>
            <w:tcW w:w="5040" w:type="dxa"/>
            <w:tcBorders>
              <w:top w:val="single" w:sz="4" w:space="0" w:color="auto"/>
              <w:left w:val="single" w:sz="4" w:space="0" w:color="auto"/>
              <w:bottom w:val="single" w:sz="4" w:space="0" w:color="auto"/>
              <w:right w:val="single" w:sz="4" w:space="0" w:color="auto"/>
            </w:tcBorders>
            <w:vAlign w:val="center"/>
            <w:hideMark/>
          </w:tcPr>
          <w:p w14:paraId="7876B9BC" w14:textId="77777777" w:rsidR="00A2588D" w:rsidRPr="000B61F5" w:rsidRDefault="00A2588D" w:rsidP="00A2588D">
            <w:pPr>
              <w:rPr>
                <w:sz w:val="18"/>
              </w:rPr>
            </w:pPr>
            <w:r w:rsidRPr="000B61F5">
              <w:rPr>
                <w:rFonts w:ascii="Sylfaen" w:hAnsi="Sylfaen" w:cs="Sylfaen"/>
                <w:sz w:val="18"/>
              </w:rPr>
              <w:t>განთავსების</w:t>
            </w:r>
            <w:r w:rsidRPr="000B61F5">
              <w:rPr>
                <w:sz w:val="18"/>
              </w:rPr>
              <w:t>/</w:t>
            </w:r>
            <w:r w:rsidRPr="000B61F5">
              <w:rPr>
                <w:rFonts w:ascii="Sylfaen" w:hAnsi="Sylfaen" w:cs="Sylfaen"/>
                <w:sz w:val="18"/>
              </w:rPr>
              <w:t>აღდგენის</w:t>
            </w:r>
            <w:r w:rsidRPr="000B61F5">
              <w:rPr>
                <w:sz w:val="18"/>
              </w:rPr>
              <w:t xml:space="preserve"> </w:t>
            </w:r>
            <w:r w:rsidRPr="000B61F5">
              <w:rPr>
                <w:rFonts w:ascii="Sylfaen" w:hAnsi="Sylfaen" w:cs="Sylfaen"/>
                <w:sz w:val="18"/>
              </w:rPr>
              <w:t>ოპერაციები</w:t>
            </w:r>
          </w:p>
        </w:tc>
        <w:tc>
          <w:tcPr>
            <w:tcW w:w="1170" w:type="dxa"/>
            <w:tcBorders>
              <w:top w:val="single" w:sz="4" w:space="0" w:color="auto"/>
              <w:left w:val="single" w:sz="4" w:space="0" w:color="auto"/>
              <w:bottom w:val="single" w:sz="4" w:space="0" w:color="auto"/>
              <w:right w:val="single" w:sz="4" w:space="0" w:color="auto"/>
            </w:tcBorders>
            <w:vAlign w:val="center"/>
            <w:hideMark/>
          </w:tcPr>
          <w:p w14:paraId="7DC06731" w14:textId="77777777" w:rsidR="00A2588D" w:rsidRPr="000B61F5" w:rsidRDefault="00A2588D" w:rsidP="00A2588D">
            <w:pPr>
              <w:rPr>
                <w:sz w:val="18"/>
              </w:rPr>
            </w:pPr>
            <w:r w:rsidRPr="000B61F5">
              <w:rPr>
                <w:rFonts w:ascii="Sylfaen" w:hAnsi="Sylfaen" w:cs="Sylfaen"/>
                <w:sz w:val="18"/>
              </w:rPr>
              <w:t>ბაზელის</w:t>
            </w:r>
          </w:p>
          <w:p w14:paraId="5943B36B" w14:textId="77777777" w:rsidR="00A2588D" w:rsidRPr="000B61F5" w:rsidRDefault="00A2588D" w:rsidP="00A2588D">
            <w:pPr>
              <w:rPr>
                <w:sz w:val="18"/>
              </w:rPr>
            </w:pPr>
            <w:r w:rsidRPr="000B61F5">
              <w:rPr>
                <w:rFonts w:ascii="Sylfaen" w:hAnsi="Sylfaen" w:cs="Sylfaen"/>
                <w:sz w:val="18"/>
              </w:rPr>
              <w:t>კონვენციის</w:t>
            </w:r>
            <w:r w:rsidRPr="000B61F5">
              <w:rPr>
                <w:sz w:val="18"/>
              </w:rPr>
              <w:t xml:space="preserve"> </w:t>
            </w:r>
            <w:r w:rsidRPr="000B61F5">
              <w:rPr>
                <w:rFonts w:ascii="Sylfaen" w:hAnsi="Sylfaen" w:cs="Sylfaen"/>
                <w:sz w:val="18"/>
              </w:rPr>
              <w:t>კოდი</w:t>
            </w:r>
          </w:p>
        </w:tc>
      </w:tr>
      <w:tr w:rsidR="00A2588D" w:rsidRPr="003D733D" w14:paraId="5F7A01EC" w14:textId="77777777" w:rsidTr="00A2588D">
        <w:trPr>
          <w:trHeight w:val="20"/>
        </w:trPr>
        <w:tc>
          <w:tcPr>
            <w:tcW w:w="1075" w:type="dxa"/>
            <w:tcBorders>
              <w:top w:val="single" w:sz="4" w:space="0" w:color="auto"/>
              <w:left w:val="single" w:sz="4" w:space="0" w:color="auto"/>
              <w:bottom w:val="single" w:sz="4" w:space="0" w:color="auto"/>
              <w:right w:val="single" w:sz="4" w:space="0" w:color="auto"/>
            </w:tcBorders>
            <w:hideMark/>
          </w:tcPr>
          <w:p w14:paraId="5C8C3C45" w14:textId="77777777" w:rsidR="00A2588D" w:rsidRPr="000B61F5" w:rsidRDefault="00A2588D" w:rsidP="00A2588D">
            <w:pPr>
              <w:rPr>
                <w:sz w:val="18"/>
              </w:rPr>
            </w:pPr>
            <w:r w:rsidRPr="000B61F5">
              <w:rPr>
                <w:sz w:val="18"/>
              </w:rPr>
              <w:t>08 01 11*</w:t>
            </w:r>
          </w:p>
        </w:tc>
        <w:tc>
          <w:tcPr>
            <w:tcW w:w="2790" w:type="dxa"/>
            <w:tcBorders>
              <w:top w:val="single" w:sz="4" w:space="0" w:color="auto"/>
              <w:left w:val="single" w:sz="4" w:space="0" w:color="auto"/>
              <w:bottom w:val="single" w:sz="4" w:space="0" w:color="auto"/>
              <w:right w:val="single" w:sz="4" w:space="0" w:color="auto"/>
            </w:tcBorders>
            <w:hideMark/>
          </w:tcPr>
          <w:p w14:paraId="0AF11257" w14:textId="77777777" w:rsidR="00A2588D" w:rsidRPr="000B61F5" w:rsidRDefault="00A2588D" w:rsidP="00A2588D">
            <w:pPr>
              <w:rPr>
                <w:sz w:val="18"/>
              </w:rPr>
            </w:pPr>
            <w:r w:rsidRPr="000B61F5">
              <w:rPr>
                <w:rFonts w:ascii="Sylfaen" w:hAnsi="Sylfaen" w:cs="Sylfaen"/>
                <w:sz w:val="18"/>
              </w:rPr>
              <w:t>ნარჩენი</w:t>
            </w:r>
            <w:r w:rsidRPr="000B61F5">
              <w:rPr>
                <w:sz w:val="18"/>
              </w:rPr>
              <w:t xml:space="preserve"> </w:t>
            </w:r>
            <w:r w:rsidRPr="000B61F5">
              <w:rPr>
                <w:rFonts w:ascii="Sylfaen" w:hAnsi="Sylfaen" w:cs="Sylfaen"/>
                <w:sz w:val="18"/>
              </w:rPr>
              <w:t>საღებავი</w:t>
            </w:r>
            <w:r w:rsidRPr="000B61F5">
              <w:rPr>
                <w:sz w:val="18"/>
              </w:rPr>
              <w:t xml:space="preserve"> </w:t>
            </w:r>
            <w:r w:rsidRPr="000B61F5">
              <w:rPr>
                <w:rFonts w:ascii="Sylfaen" w:hAnsi="Sylfaen" w:cs="Sylfaen"/>
                <w:sz w:val="18"/>
              </w:rPr>
              <w:t>და</w:t>
            </w:r>
            <w:r w:rsidRPr="000B61F5">
              <w:rPr>
                <w:rFonts w:ascii="Sylfaen" w:hAnsi="Sylfaen" w:cs="Sylfaen"/>
                <w:sz w:val="18"/>
                <w:lang w:val="ka-GE"/>
              </w:rPr>
              <w:t xml:space="preserve"> </w:t>
            </w:r>
            <w:r w:rsidRPr="000B61F5">
              <w:rPr>
                <w:rFonts w:ascii="Sylfaen" w:hAnsi="Sylfaen" w:cs="Sylfaen"/>
                <w:sz w:val="18"/>
              </w:rPr>
              <w:t>ლაქი</w:t>
            </w:r>
            <w:r w:rsidRPr="000B61F5">
              <w:rPr>
                <w:sz w:val="18"/>
              </w:rPr>
              <w:t xml:space="preserve">, </w:t>
            </w:r>
            <w:r w:rsidRPr="000B61F5">
              <w:rPr>
                <w:rFonts w:ascii="Sylfaen" w:hAnsi="Sylfaen" w:cs="Sylfaen"/>
                <w:sz w:val="18"/>
              </w:rPr>
              <w:t>რომელიც</w:t>
            </w:r>
            <w:r w:rsidRPr="000B61F5">
              <w:rPr>
                <w:rFonts w:ascii="Sylfaen" w:hAnsi="Sylfaen" w:cs="Sylfaen"/>
                <w:sz w:val="18"/>
                <w:lang w:val="ka-GE"/>
              </w:rPr>
              <w:t xml:space="preserve"> </w:t>
            </w:r>
            <w:r w:rsidRPr="000B61F5">
              <w:rPr>
                <w:rFonts w:ascii="Sylfaen" w:hAnsi="Sylfaen" w:cs="Sylfaen"/>
                <w:sz w:val="18"/>
              </w:rPr>
              <w:t>შეიცავს</w:t>
            </w:r>
            <w:r w:rsidRPr="000B61F5">
              <w:rPr>
                <w:sz w:val="18"/>
              </w:rPr>
              <w:t xml:space="preserve"> </w:t>
            </w:r>
            <w:r w:rsidRPr="000B61F5">
              <w:rPr>
                <w:rFonts w:ascii="Sylfaen" w:hAnsi="Sylfaen" w:cs="Sylfaen"/>
                <w:sz w:val="18"/>
              </w:rPr>
              <w:t>ორგანულ</w:t>
            </w:r>
            <w:r w:rsidRPr="000B61F5">
              <w:rPr>
                <w:rFonts w:ascii="Sylfaen" w:hAnsi="Sylfaen" w:cs="Sylfaen"/>
                <w:sz w:val="18"/>
                <w:lang w:val="ka-GE"/>
              </w:rPr>
              <w:t xml:space="preserve"> </w:t>
            </w:r>
            <w:r w:rsidRPr="000B61F5">
              <w:rPr>
                <w:rFonts w:ascii="Sylfaen" w:hAnsi="Sylfaen" w:cs="Sylfaen"/>
                <w:sz w:val="18"/>
              </w:rPr>
              <w:t>გამხსნელებს</w:t>
            </w:r>
            <w:r w:rsidRPr="000B61F5">
              <w:rPr>
                <w:sz w:val="18"/>
              </w:rPr>
              <w:t xml:space="preserve"> </w:t>
            </w:r>
            <w:r w:rsidRPr="000B61F5">
              <w:rPr>
                <w:rFonts w:ascii="Sylfaen" w:hAnsi="Sylfaen" w:cs="Sylfaen"/>
                <w:sz w:val="18"/>
              </w:rPr>
              <w:t>ან</w:t>
            </w:r>
            <w:r w:rsidRPr="000B61F5">
              <w:rPr>
                <w:sz w:val="18"/>
              </w:rPr>
              <w:t xml:space="preserve"> </w:t>
            </w:r>
            <w:r w:rsidRPr="000B61F5">
              <w:rPr>
                <w:rFonts w:ascii="Sylfaen" w:hAnsi="Sylfaen" w:cs="Sylfaen"/>
                <w:sz w:val="18"/>
              </w:rPr>
              <w:t>სხვა</w:t>
            </w:r>
            <w:r w:rsidRPr="000B61F5">
              <w:rPr>
                <w:rFonts w:ascii="Sylfaen" w:hAnsi="Sylfaen" w:cs="Sylfaen"/>
                <w:sz w:val="18"/>
                <w:lang w:val="ka-GE"/>
              </w:rPr>
              <w:t xml:space="preserve"> </w:t>
            </w:r>
            <w:r w:rsidRPr="000B61F5">
              <w:rPr>
                <w:rFonts w:ascii="Sylfaen" w:hAnsi="Sylfaen" w:cs="Sylfaen"/>
                <w:sz w:val="18"/>
              </w:rPr>
              <w:t>საშიშ</w:t>
            </w:r>
            <w:r w:rsidRPr="000B61F5">
              <w:rPr>
                <w:sz w:val="18"/>
              </w:rPr>
              <w:t xml:space="preserve"> </w:t>
            </w:r>
            <w:r w:rsidRPr="000B61F5">
              <w:rPr>
                <w:rFonts w:ascii="Sylfaen" w:hAnsi="Sylfaen" w:cs="Sylfaen"/>
                <w:sz w:val="18"/>
              </w:rPr>
              <w:t>ქიმიურ</w:t>
            </w:r>
            <w:r w:rsidRPr="000B61F5">
              <w:rPr>
                <w:rFonts w:ascii="Sylfaen" w:hAnsi="Sylfaen" w:cs="Sylfaen"/>
                <w:sz w:val="18"/>
                <w:lang w:val="ka-GE"/>
              </w:rPr>
              <w:t xml:space="preserve"> </w:t>
            </w:r>
            <w:r w:rsidRPr="000B61F5">
              <w:rPr>
                <w:rFonts w:ascii="Sylfaen" w:hAnsi="Sylfaen" w:cs="Sylfaen"/>
                <w:sz w:val="18"/>
              </w:rPr>
              <w:t>ნივთიერებებს</w:t>
            </w:r>
          </w:p>
        </w:tc>
        <w:tc>
          <w:tcPr>
            <w:tcW w:w="1014" w:type="dxa"/>
            <w:tcBorders>
              <w:top w:val="single" w:sz="4" w:space="0" w:color="auto"/>
              <w:left w:val="single" w:sz="4" w:space="0" w:color="auto"/>
              <w:bottom w:val="single" w:sz="4" w:space="0" w:color="auto"/>
              <w:right w:val="single" w:sz="4" w:space="0" w:color="auto"/>
            </w:tcBorders>
            <w:hideMark/>
          </w:tcPr>
          <w:p w14:paraId="5D593CF7" w14:textId="77777777" w:rsidR="00A2588D" w:rsidRPr="000B61F5" w:rsidRDefault="00A2588D" w:rsidP="00A2588D">
            <w:pPr>
              <w:rPr>
                <w:sz w:val="18"/>
              </w:rPr>
            </w:pPr>
            <w:r w:rsidRPr="000B61F5">
              <w:rPr>
                <w:rFonts w:ascii="Sylfaen" w:hAnsi="Sylfaen" w:cs="Sylfaen"/>
                <w:sz w:val="18"/>
              </w:rPr>
              <w:t>დიახ</w:t>
            </w:r>
          </w:p>
        </w:tc>
        <w:tc>
          <w:tcPr>
            <w:tcW w:w="966" w:type="dxa"/>
            <w:tcBorders>
              <w:top w:val="single" w:sz="4" w:space="0" w:color="auto"/>
              <w:left w:val="single" w:sz="4" w:space="0" w:color="auto"/>
              <w:bottom w:val="single" w:sz="4" w:space="0" w:color="auto"/>
              <w:right w:val="single" w:sz="4" w:space="0" w:color="auto"/>
            </w:tcBorders>
            <w:hideMark/>
          </w:tcPr>
          <w:p w14:paraId="4384B3C3" w14:textId="77777777" w:rsidR="00A2588D" w:rsidRPr="000B61F5" w:rsidRDefault="00A2588D" w:rsidP="00A2588D">
            <w:pPr>
              <w:rPr>
                <w:sz w:val="18"/>
              </w:rPr>
            </w:pPr>
            <w:r w:rsidRPr="000B61F5">
              <w:rPr>
                <w:sz w:val="18"/>
              </w:rPr>
              <w:t>H 6</w:t>
            </w:r>
          </w:p>
        </w:tc>
        <w:tc>
          <w:tcPr>
            <w:tcW w:w="1530" w:type="dxa"/>
            <w:tcBorders>
              <w:top w:val="single" w:sz="4" w:space="0" w:color="auto"/>
              <w:left w:val="single" w:sz="4" w:space="0" w:color="auto"/>
              <w:bottom w:val="single" w:sz="4" w:space="0" w:color="auto"/>
              <w:right w:val="single" w:sz="4" w:space="0" w:color="auto"/>
            </w:tcBorders>
            <w:hideMark/>
          </w:tcPr>
          <w:p w14:paraId="54F1061F" w14:textId="77777777" w:rsidR="00A2588D" w:rsidRPr="000B61F5" w:rsidRDefault="00A2588D" w:rsidP="00A2588D">
            <w:pPr>
              <w:rPr>
                <w:sz w:val="18"/>
              </w:rPr>
            </w:pPr>
            <w:r w:rsidRPr="000B61F5">
              <w:rPr>
                <w:sz w:val="18"/>
              </w:rPr>
              <w:t xml:space="preserve">100-200 </w:t>
            </w:r>
            <w:r w:rsidRPr="000B61F5">
              <w:rPr>
                <w:rFonts w:ascii="Sylfaen" w:hAnsi="Sylfaen" w:cs="Sylfaen"/>
                <w:sz w:val="18"/>
              </w:rPr>
              <w:t>კგ</w:t>
            </w:r>
          </w:p>
        </w:tc>
        <w:tc>
          <w:tcPr>
            <w:tcW w:w="1620" w:type="dxa"/>
            <w:tcBorders>
              <w:top w:val="single" w:sz="4" w:space="0" w:color="auto"/>
              <w:left w:val="single" w:sz="4" w:space="0" w:color="auto"/>
              <w:bottom w:val="single" w:sz="4" w:space="0" w:color="auto"/>
              <w:right w:val="single" w:sz="4" w:space="0" w:color="auto"/>
            </w:tcBorders>
            <w:hideMark/>
          </w:tcPr>
          <w:p w14:paraId="3D84BBA3" w14:textId="77777777" w:rsidR="00A2588D" w:rsidRPr="000B61F5" w:rsidRDefault="00A2588D" w:rsidP="00A2588D">
            <w:pPr>
              <w:rPr>
                <w:sz w:val="18"/>
              </w:rPr>
            </w:pPr>
            <w:r w:rsidRPr="000B61F5">
              <w:rPr>
                <w:sz w:val="18"/>
              </w:rPr>
              <w:t xml:space="preserve">&lt;10 </w:t>
            </w:r>
            <w:r w:rsidRPr="000B61F5">
              <w:rPr>
                <w:rFonts w:ascii="Sylfaen" w:hAnsi="Sylfaen" w:cs="Sylfaen"/>
                <w:sz w:val="18"/>
              </w:rPr>
              <w:t>კგ</w:t>
            </w:r>
          </w:p>
        </w:tc>
        <w:tc>
          <w:tcPr>
            <w:tcW w:w="5040" w:type="dxa"/>
            <w:tcBorders>
              <w:top w:val="single" w:sz="4" w:space="0" w:color="auto"/>
              <w:left w:val="single" w:sz="4" w:space="0" w:color="auto"/>
              <w:bottom w:val="single" w:sz="4" w:space="0" w:color="auto"/>
              <w:right w:val="single" w:sz="4" w:space="0" w:color="auto"/>
            </w:tcBorders>
          </w:tcPr>
          <w:p w14:paraId="281F3708" w14:textId="77777777" w:rsidR="00A2588D" w:rsidRPr="000B61F5" w:rsidRDefault="00A2588D" w:rsidP="00A2588D">
            <w:pPr>
              <w:rPr>
                <w:sz w:val="18"/>
              </w:rPr>
            </w:pPr>
            <w:r w:rsidRPr="000B61F5">
              <w:rPr>
                <w:sz w:val="18"/>
              </w:rPr>
              <w:t xml:space="preserve">1. </w:t>
            </w:r>
            <w:r w:rsidRPr="000B61F5">
              <w:rPr>
                <w:rFonts w:ascii="Sylfaen" w:hAnsi="Sylfaen" w:cs="Sylfaen"/>
                <w:sz w:val="18"/>
              </w:rPr>
              <w:t>საუკეთესო</w:t>
            </w:r>
            <w:r w:rsidRPr="000B61F5">
              <w:rPr>
                <w:sz w:val="18"/>
              </w:rPr>
              <w:t xml:space="preserve"> </w:t>
            </w:r>
            <w:r w:rsidRPr="000B61F5">
              <w:rPr>
                <w:rFonts w:ascii="Sylfaen" w:hAnsi="Sylfaen" w:cs="Sylfaen"/>
                <w:sz w:val="18"/>
              </w:rPr>
              <w:t>პრაქტიკა</w:t>
            </w:r>
            <w:r w:rsidRPr="000B61F5">
              <w:rPr>
                <w:sz w:val="18"/>
              </w:rPr>
              <w:t xml:space="preserve">: </w:t>
            </w:r>
            <w:r w:rsidRPr="000B61F5">
              <w:rPr>
                <w:rFonts w:ascii="Sylfaen" w:hAnsi="Sylfaen" w:cs="Sylfaen"/>
                <w:sz w:val="18"/>
              </w:rPr>
              <w:t>ნარჩენები</w:t>
            </w:r>
            <w:r w:rsidRPr="000B61F5">
              <w:rPr>
                <w:sz w:val="18"/>
              </w:rPr>
              <w:t xml:space="preserve"> </w:t>
            </w:r>
            <w:r w:rsidRPr="000B61F5">
              <w:rPr>
                <w:rFonts w:ascii="Sylfaen" w:hAnsi="Sylfaen" w:cs="Sylfaen"/>
                <w:sz w:val="18"/>
              </w:rPr>
              <w:t>ხელშეკრულების</w:t>
            </w:r>
            <w:r w:rsidRPr="000B61F5">
              <w:rPr>
                <w:sz w:val="18"/>
              </w:rPr>
              <w:t xml:space="preserve"> </w:t>
            </w:r>
            <w:r w:rsidRPr="000B61F5">
              <w:rPr>
                <w:rFonts w:ascii="Sylfaen" w:hAnsi="Sylfaen" w:cs="Sylfaen"/>
                <w:sz w:val="18"/>
              </w:rPr>
              <w:t>საფუძველზე</w:t>
            </w:r>
            <w:r w:rsidRPr="000B61F5">
              <w:rPr>
                <w:sz w:val="18"/>
              </w:rPr>
              <w:t xml:space="preserve"> </w:t>
            </w:r>
            <w:r w:rsidRPr="000B61F5">
              <w:rPr>
                <w:rFonts w:ascii="Sylfaen" w:hAnsi="Sylfaen" w:cs="Sylfaen"/>
                <w:sz w:val="18"/>
              </w:rPr>
              <w:t>უბრუნდება</w:t>
            </w:r>
            <w:r w:rsidRPr="000B61F5">
              <w:rPr>
                <w:sz w:val="18"/>
              </w:rPr>
              <w:t xml:space="preserve"> </w:t>
            </w:r>
            <w:r w:rsidRPr="000B61F5">
              <w:rPr>
                <w:rFonts w:ascii="Sylfaen" w:hAnsi="Sylfaen" w:cs="Sylfaen"/>
                <w:sz w:val="18"/>
              </w:rPr>
              <w:t>მწარმოებელს</w:t>
            </w:r>
            <w:r w:rsidRPr="000B61F5">
              <w:rPr>
                <w:sz w:val="18"/>
              </w:rPr>
              <w:t>.</w:t>
            </w:r>
          </w:p>
          <w:p w14:paraId="508EE713" w14:textId="77777777" w:rsidR="00A2588D" w:rsidRPr="000B61F5" w:rsidRDefault="00A2588D" w:rsidP="00A2588D">
            <w:pPr>
              <w:rPr>
                <w:sz w:val="18"/>
              </w:rPr>
            </w:pPr>
          </w:p>
          <w:p w14:paraId="1543B473" w14:textId="77777777" w:rsidR="00A2588D" w:rsidRPr="000B61F5" w:rsidRDefault="00A2588D" w:rsidP="00A2588D">
            <w:pPr>
              <w:rPr>
                <w:sz w:val="18"/>
              </w:rPr>
            </w:pPr>
            <w:r w:rsidRPr="000B61F5">
              <w:rPr>
                <w:sz w:val="18"/>
              </w:rPr>
              <w:t xml:space="preserve">2. </w:t>
            </w:r>
            <w:r w:rsidRPr="000B61F5">
              <w:rPr>
                <w:rFonts w:ascii="Sylfaen" w:hAnsi="Sylfaen" w:cs="Sylfaen"/>
                <w:sz w:val="18"/>
              </w:rPr>
              <w:t>ნარჩენები</w:t>
            </w:r>
            <w:r w:rsidRPr="000B61F5">
              <w:rPr>
                <w:sz w:val="18"/>
              </w:rPr>
              <w:t xml:space="preserve"> </w:t>
            </w:r>
            <w:r w:rsidRPr="000B61F5">
              <w:rPr>
                <w:rFonts w:ascii="Sylfaen" w:hAnsi="Sylfaen" w:cs="Sylfaen"/>
                <w:sz w:val="18"/>
              </w:rPr>
              <w:t>გადაეცემა</w:t>
            </w:r>
            <w:r w:rsidRPr="000B61F5">
              <w:rPr>
                <w:sz w:val="18"/>
              </w:rPr>
              <w:t xml:space="preserve"> </w:t>
            </w:r>
            <w:r w:rsidRPr="000B61F5">
              <w:rPr>
                <w:rFonts w:ascii="Sylfaen" w:hAnsi="Sylfaen" w:cs="Sylfaen"/>
                <w:sz w:val="18"/>
              </w:rPr>
              <w:t>შესაბამისი</w:t>
            </w:r>
            <w:r w:rsidRPr="000B61F5">
              <w:rPr>
                <w:sz w:val="18"/>
              </w:rPr>
              <w:t xml:space="preserve"> </w:t>
            </w:r>
            <w:r w:rsidRPr="000B61F5">
              <w:rPr>
                <w:rFonts w:ascii="Sylfaen" w:hAnsi="Sylfaen" w:cs="Sylfaen"/>
                <w:sz w:val="18"/>
              </w:rPr>
              <w:t>ნებართვის</w:t>
            </w:r>
            <w:r w:rsidRPr="000B61F5">
              <w:rPr>
                <w:sz w:val="18"/>
              </w:rPr>
              <w:t xml:space="preserve"> </w:t>
            </w:r>
            <w:r w:rsidRPr="000B61F5">
              <w:rPr>
                <w:rFonts w:ascii="Sylfaen" w:hAnsi="Sylfaen" w:cs="Sylfaen"/>
                <w:sz w:val="18"/>
              </w:rPr>
              <w:t>მქონე</w:t>
            </w:r>
            <w:r w:rsidRPr="000B61F5">
              <w:rPr>
                <w:sz w:val="18"/>
              </w:rPr>
              <w:t xml:space="preserve"> </w:t>
            </w:r>
            <w:r w:rsidRPr="000B61F5">
              <w:rPr>
                <w:rFonts w:ascii="Sylfaen" w:hAnsi="Sylfaen" w:cs="Sylfaen"/>
                <w:sz w:val="18"/>
              </w:rPr>
              <w:t>კომპანიას</w:t>
            </w:r>
            <w:r w:rsidRPr="000B61F5">
              <w:rPr>
                <w:sz w:val="18"/>
              </w:rPr>
              <w:t>.</w:t>
            </w:r>
          </w:p>
        </w:tc>
        <w:tc>
          <w:tcPr>
            <w:tcW w:w="1170" w:type="dxa"/>
            <w:tcBorders>
              <w:top w:val="single" w:sz="4" w:space="0" w:color="auto"/>
              <w:left w:val="single" w:sz="4" w:space="0" w:color="auto"/>
              <w:bottom w:val="single" w:sz="4" w:space="0" w:color="auto"/>
              <w:right w:val="single" w:sz="4" w:space="0" w:color="auto"/>
            </w:tcBorders>
            <w:hideMark/>
          </w:tcPr>
          <w:p w14:paraId="616E4C82" w14:textId="77777777" w:rsidR="00A2588D" w:rsidRPr="000B61F5" w:rsidRDefault="00A2588D" w:rsidP="00A2588D">
            <w:pPr>
              <w:rPr>
                <w:sz w:val="18"/>
              </w:rPr>
            </w:pPr>
            <w:r w:rsidRPr="000B61F5">
              <w:rPr>
                <w:sz w:val="18"/>
              </w:rPr>
              <w:t>Y9</w:t>
            </w:r>
          </w:p>
        </w:tc>
      </w:tr>
      <w:tr w:rsidR="00A2588D" w:rsidRPr="003D733D" w14:paraId="0E24E39A" w14:textId="77777777" w:rsidTr="00A2588D">
        <w:trPr>
          <w:trHeight w:val="20"/>
        </w:trPr>
        <w:tc>
          <w:tcPr>
            <w:tcW w:w="1075" w:type="dxa"/>
            <w:tcBorders>
              <w:top w:val="single" w:sz="4" w:space="0" w:color="auto"/>
              <w:left w:val="single" w:sz="4" w:space="0" w:color="auto"/>
              <w:bottom w:val="single" w:sz="4" w:space="0" w:color="auto"/>
              <w:right w:val="single" w:sz="4" w:space="0" w:color="auto"/>
            </w:tcBorders>
            <w:hideMark/>
          </w:tcPr>
          <w:p w14:paraId="66A8ADBF" w14:textId="77777777" w:rsidR="00A2588D" w:rsidRPr="000B61F5" w:rsidRDefault="00A2588D" w:rsidP="00A2588D">
            <w:pPr>
              <w:rPr>
                <w:sz w:val="18"/>
              </w:rPr>
            </w:pPr>
            <w:r w:rsidRPr="000B61F5">
              <w:rPr>
                <w:sz w:val="18"/>
              </w:rPr>
              <w:t>16 06 01*</w:t>
            </w:r>
          </w:p>
        </w:tc>
        <w:tc>
          <w:tcPr>
            <w:tcW w:w="2790" w:type="dxa"/>
            <w:tcBorders>
              <w:top w:val="single" w:sz="4" w:space="0" w:color="auto"/>
              <w:left w:val="single" w:sz="4" w:space="0" w:color="auto"/>
              <w:bottom w:val="single" w:sz="4" w:space="0" w:color="auto"/>
              <w:right w:val="single" w:sz="4" w:space="0" w:color="auto"/>
            </w:tcBorders>
            <w:hideMark/>
          </w:tcPr>
          <w:p w14:paraId="701E719E" w14:textId="77777777" w:rsidR="00A2588D" w:rsidRPr="000B61F5" w:rsidRDefault="00A2588D" w:rsidP="00A2588D">
            <w:pPr>
              <w:rPr>
                <w:sz w:val="18"/>
              </w:rPr>
            </w:pPr>
            <w:r w:rsidRPr="000B61F5">
              <w:rPr>
                <w:rFonts w:ascii="Sylfaen" w:hAnsi="Sylfaen" w:cs="Sylfaen"/>
                <w:sz w:val="18"/>
              </w:rPr>
              <w:t>ტყვიის</w:t>
            </w:r>
            <w:r w:rsidRPr="000B61F5">
              <w:rPr>
                <w:sz w:val="18"/>
              </w:rPr>
              <w:t xml:space="preserve"> </w:t>
            </w:r>
            <w:r w:rsidRPr="000B61F5">
              <w:rPr>
                <w:rFonts w:ascii="Sylfaen" w:hAnsi="Sylfaen" w:cs="Sylfaen"/>
                <w:sz w:val="18"/>
              </w:rPr>
              <w:t>შემცველი</w:t>
            </w:r>
            <w:r w:rsidRPr="000B61F5">
              <w:rPr>
                <w:rFonts w:ascii="Sylfaen" w:hAnsi="Sylfaen" w:cs="Sylfaen"/>
                <w:sz w:val="18"/>
                <w:lang w:val="ka-GE"/>
              </w:rPr>
              <w:t xml:space="preserve"> </w:t>
            </w:r>
            <w:r w:rsidRPr="000B61F5">
              <w:rPr>
                <w:rFonts w:ascii="Sylfaen" w:hAnsi="Sylfaen" w:cs="Sylfaen"/>
                <w:sz w:val="18"/>
              </w:rPr>
              <w:t>ბატარეები</w:t>
            </w:r>
          </w:p>
          <w:p w14:paraId="5AF9B68E" w14:textId="77777777" w:rsidR="00A2588D" w:rsidRPr="000B61F5" w:rsidRDefault="00A2588D" w:rsidP="00A2588D">
            <w:pPr>
              <w:rPr>
                <w:sz w:val="18"/>
              </w:rPr>
            </w:pPr>
            <w:r w:rsidRPr="000B61F5">
              <w:rPr>
                <w:rFonts w:ascii="Sylfaen" w:hAnsi="Sylfaen" w:cs="Sylfaen"/>
                <w:sz w:val="18"/>
              </w:rPr>
              <w:t>აკუმულატორები</w:t>
            </w:r>
          </w:p>
        </w:tc>
        <w:tc>
          <w:tcPr>
            <w:tcW w:w="1014" w:type="dxa"/>
            <w:tcBorders>
              <w:top w:val="single" w:sz="4" w:space="0" w:color="auto"/>
              <w:left w:val="single" w:sz="4" w:space="0" w:color="auto"/>
              <w:bottom w:val="single" w:sz="4" w:space="0" w:color="auto"/>
              <w:right w:val="single" w:sz="4" w:space="0" w:color="auto"/>
            </w:tcBorders>
            <w:hideMark/>
          </w:tcPr>
          <w:p w14:paraId="38DD3EAD" w14:textId="77777777" w:rsidR="00A2588D" w:rsidRPr="000B61F5" w:rsidRDefault="00A2588D" w:rsidP="00A2588D">
            <w:pPr>
              <w:rPr>
                <w:sz w:val="18"/>
              </w:rPr>
            </w:pPr>
            <w:r w:rsidRPr="000B61F5">
              <w:rPr>
                <w:rFonts w:ascii="Sylfaen" w:hAnsi="Sylfaen" w:cs="Sylfaen"/>
                <w:sz w:val="18"/>
              </w:rPr>
              <w:t>დიახ</w:t>
            </w:r>
          </w:p>
        </w:tc>
        <w:tc>
          <w:tcPr>
            <w:tcW w:w="966" w:type="dxa"/>
            <w:tcBorders>
              <w:top w:val="single" w:sz="4" w:space="0" w:color="auto"/>
              <w:left w:val="single" w:sz="4" w:space="0" w:color="auto"/>
              <w:bottom w:val="single" w:sz="4" w:space="0" w:color="auto"/>
              <w:right w:val="single" w:sz="4" w:space="0" w:color="auto"/>
            </w:tcBorders>
            <w:hideMark/>
          </w:tcPr>
          <w:p w14:paraId="1ABA4B91" w14:textId="77777777" w:rsidR="00A2588D" w:rsidRPr="000B61F5" w:rsidRDefault="00A2588D" w:rsidP="00A2588D">
            <w:pPr>
              <w:rPr>
                <w:sz w:val="18"/>
              </w:rPr>
            </w:pPr>
            <w:r w:rsidRPr="000B61F5">
              <w:rPr>
                <w:sz w:val="18"/>
              </w:rPr>
              <w:t>H 15</w:t>
            </w:r>
          </w:p>
        </w:tc>
        <w:tc>
          <w:tcPr>
            <w:tcW w:w="1530" w:type="dxa"/>
            <w:tcBorders>
              <w:top w:val="single" w:sz="4" w:space="0" w:color="auto"/>
              <w:left w:val="single" w:sz="4" w:space="0" w:color="auto"/>
              <w:bottom w:val="single" w:sz="4" w:space="0" w:color="auto"/>
              <w:right w:val="single" w:sz="4" w:space="0" w:color="auto"/>
            </w:tcBorders>
            <w:hideMark/>
          </w:tcPr>
          <w:p w14:paraId="77F1AF8C" w14:textId="77777777" w:rsidR="00A2588D" w:rsidRPr="000B61F5" w:rsidRDefault="00A2588D" w:rsidP="00A2588D">
            <w:pPr>
              <w:rPr>
                <w:sz w:val="18"/>
              </w:rPr>
            </w:pPr>
            <w:r w:rsidRPr="000B61F5">
              <w:rPr>
                <w:sz w:val="18"/>
              </w:rPr>
              <w:t xml:space="preserve">20-30 </w:t>
            </w:r>
            <w:r w:rsidRPr="000B61F5">
              <w:rPr>
                <w:rFonts w:ascii="Sylfaen" w:hAnsi="Sylfaen" w:cs="Sylfaen"/>
                <w:sz w:val="18"/>
              </w:rPr>
              <w:t>ერთ</w:t>
            </w:r>
          </w:p>
        </w:tc>
        <w:tc>
          <w:tcPr>
            <w:tcW w:w="1620" w:type="dxa"/>
            <w:tcBorders>
              <w:top w:val="single" w:sz="4" w:space="0" w:color="auto"/>
              <w:left w:val="single" w:sz="4" w:space="0" w:color="auto"/>
              <w:bottom w:val="single" w:sz="4" w:space="0" w:color="auto"/>
              <w:right w:val="single" w:sz="4" w:space="0" w:color="auto"/>
            </w:tcBorders>
            <w:hideMark/>
          </w:tcPr>
          <w:p w14:paraId="0DE87EB4" w14:textId="77777777" w:rsidR="00A2588D" w:rsidRPr="000B61F5" w:rsidRDefault="00A2588D" w:rsidP="00A2588D">
            <w:pPr>
              <w:rPr>
                <w:sz w:val="18"/>
              </w:rPr>
            </w:pPr>
            <w:r w:rsidRPr="000B61F5">
              <w:rPr>
                <w:sz w:val="18"/>
              </w:rPr>
              <w:t>-</w:t>
            </w:r>
          </w:p>
        </w:tc>
        <w:tc>
          <w:tcPr>
            <w:tcW w:w="5040" w:type="dxa"/>
            <w:tcBorders>
              <w:top w:val="single" w:sz="4" w:space="0" w:color="auto"/>
              <w:left w:val="single" w:sz="4" w:space="0" w:color="auto"/>
              <w:bottom w:val="single" w:sz="4" w:space="0" w:color="auto"/>
              <w:right w:val="single" w:sz="4" w:space="0" w:color="auto"/>
            </w:tcBorders>
          </w:tcPr>
          <w:p w14:paraId="2B518826" w14:textId="77777777" w:rsidR="00A2588D" w:rsidRPr="000B61F5" w:rsidRDefault="00A2588D" w:rsidP="00A2588D">
            <w:pPr>
              <w:rPr>
                <w:sz w:val="18"/>
              </w:rPr>
            </w:pPr>
            <w:r w:rsidRPr="000B61F5">
              <w:rPr>
                <w:rFonts w:ascii="Sylfaen" w:hAnsi="Sylfaen" w:cs="Sylfaen"/>
                <w:sz w:val="18"/>
              </w:rPr>
              <w:t>ნარჩენები</w:t>
            </w:r>
            <w:r w:rsidRPr="000B61F5">
              <w:rPr>
                <w:sz w:val="18"/>
              </w:rPr>
              <w:t xml:space="preserve"> </w:t>
            </w:r>
            <w:r w:rsidRPr="000B61F5">
              <w:rPr>
                <w:rFonts w:ascii="Sylfaen" w:hAnsi="Sylfaen" w:cs="Sylfaen"/>
                <w:sz w:val="18"/>
              </w:rPr>
              <w:t>გადაეცემა</w:t>
            </w:r>
            <w:r w:rsidRPr="000B61F5">
              <w:rPr>
                <w:sz w:val="18"/>
              </w:rPr>
              <w:t xml:space="preserve"> </w:t>
            </w:r>
            <w:r w:rsidRPr="000B61F5">
              <w:rPr>
                <w:rFonts w:ascii="Sylfaen" w:hAnsi="Sylfaen" w:cs="Sylfaen"/>
                <w:sz w:val="18"/>
              </w:rPr>
              <w:t>შესაბამისი</w:t>
            </w:r>
            <w:r w:rsidRPr="000B61F5">
              <w:rPr>
                <w:sz w:val="18"/>
              </w:rPr>
              <w:t xml:space="preserve"> </w:t>
            </w:r>
            <w:r w:rsidRPr="000B61F5">
              <w:rPr>
                <w:rFonts w:ascii="Sylfaen" w:hAnsi="Sylfaen" w:cs="Sylfaen"/>
                <w:sz w:val="18"/>
              </w:rPr>
              <w:t>ნებართვის</w:t>
            </w:r>
            <w:r w:rsidRPr="000B61F5">
              <w:rPr>
                <w:sz w:val="18"/>
              </w:rPr>
              <w:t xml:space="preserve"> </w:t>
            </w:r>
            <w:r w:rsidRPr="000B61F5">
              <w:rPr>
                <w:rFonts w:ascii="Sylfaen" w:hAnsi="Sylfaen" w:cs="Sylfaen"/>
                <w:sz w:val="18"/>
              </w:rPr>
              <w:t>მქონე</w:t>
            </w:r>
            <w:r w:rsidRPr="000B61F5">
              <w:rPr>
                <w:sz w:val="18"/>
              </w:rPr>
              <w:t xml:space="preserve"> </w:t>
            </w:r>
            <w:r w:rsidRPr="000B61F5">
              <w:rPr>
                <w:rFonts w:ascii="Sylfaen" w:hAnsi="Sylfaen" w:cs="Sylfaen"/>
                <w:sz w:val="18"/>
              </w:rPr>
              <w:t>კომპანიას</w:t>
            </w:r>
            <w:r w:rsidRPr="000B61F5">
              <w:rPr>
                <w:sz w:val="18"/>
              </w:rPr>
              <w:t>.</w:t>
            </w:r>
          </w:p>
          <w:p w14:paraId="71E0DB97" w14:textId="77777777" w:rsidR="00A2588D" w:rsidRPr="000B61F5" w:rsidRDefault="00A2588D" w:rsidP="00A2588D">
            <w:pPr>
              <w:rPr>
                <w:sz w:val="18"/>
              </w:rPr>
            </w:pPr>
          </w:p>
        </w:tc>
        <w:tc>
          <w:tcPr>
            <w:tcW w:w="1170" w:type="dxa"/>
            <w:tcBorders>
              <w:top w:val="single" w:sz="4" w:space="0" w:color="auto"/>
              <w:left w:val="single" w:sz="4" w:space="0" w:color="auto"/>
              <w:bottom w:val="single" w:sz="4" w:space="0" w:color="auto"/>
              <w:right w:val="single" w:sz="4" w:space="0" w:color="auto"/>
            </w:tcBorders>
            <w:hideMark/>
          </w:tcPr>
          <w:p w14:paraId="5A551C20" w14:textId="77777777" w:rsidR="00A2588D" w:rsidRPr="000B61F5" w:rsidRDefault="00A2588D" w:rsidP="00A2588D">
            <w:pPr>
              <w:rPr>
                <w:sz w:val="18"/>
              </w:rPr>
            </w:pPr>
            <w:r w:rsidRPr="000B61F5">
              <w:rPr>
                <w:sz w:val="18"/>
              </w:rPr>
              <w:t>Y31</w:t>
            </w:r>
          </w:p>
        </w:tc>
      </w:tr>
      <w:tr w:rsidR="00A2588D" w:rsidRPr="003D733D" w14:paraId="6792372D" w14:textId="77777777" w:rsidTr="00A2588D">
        <w:trPr>
          <w:trHeight w:val="20"/>
        </w:trPr>
        <w:tc>
          <w:tcPr>
            <w:tcW w:w="1075" w:type="dxa"/>
            <w:tcBorders>
              <w:top w:val="single" w:sz="4" w:space="0" w:color="auto"/>
              <w:left w:val="single" w:sz="4" w:space="0" w:color="auto"/>
              <w:bottom w:val="single" w:sz="4" w:space="0" w:color="auto"/>
              <w:right w:val="single" w:sz="4" w:space="0" w:color="auto"/>
            </w:tcBorders>
          </w:tcPr>
          <w:p w14:paraId="383C349B" w14:textId="77777777" w:rsidR="00A2588D" w:rsidRPr="000B61F5" w:rsidRDefault="00A2588D" w:rsidP="00A2588D">
            <w:pPr>
              <w:rPr>
                <w:sz w:val="18"/>
              </w:rPr>
            </w:pPr>
            <w:r w:rsidRPr="000B61F5">
              <w:rPr>
                <w:sz w:val="18"/>
              </w:rPr>
              <w:t>16 01 03</w:t>
            </w:r>
          </w:p>
          <w:p w14:paraId="78BAF7D8" w14:textId="77777777" w:rsidR="00A2588D" w:rsidRPr="000B61F5" w:rsidRDefault="00A2588D" w:rsidP="00A2588D">
            <w:pPr>
              <w:rPr>
                <w:sz w:val="18"/>
              </w:rPr>
            </w:pPr>
          </w:p>
        </w:tc>
        <w:tc>
          <w:tcPr>
            <w:tcW w:w="2790" w:type="dxa"/>
            <w:tcBorders>
              <w:top w:val="single" w:sz="4" w:space="0" w:color="auto"/>
              <w:left w:val="single" w:sz="4" w:space="0" w:color="auto"/>
              <w:bottom w:val="single" w:sz="4" w:space="0" w:color="auto"/>
              <w:right w:val="single" w:sz="4" w:space="0" w:color="auto"/>
            </w:tcBorders>
            <w:hideMark/>
          </w:tcPr>
          <w:p w14:paraId="37C31BFF" w14:textId="77777777" w:rsidR="00A2588D" w:rsidRPr="000B61F5" w:rsidRDefault="00A2588D" w:rsidP="00A2588D">
            <w:pPr>
              <w:rPr>
                <w:sz w:val="18"/>
              </w:rPr>
            </w:pPr>
            <w:r w:rsidRPr="000B61F5">
              <w:rPr>
                <w:rFonts w:ascii="Sylfaen" w:hAnsi="Sylfaen" w:cs="Sylfaen"/>
                <w:sz w:val="18"/>
              </w:rPr>
              <w:t>განადგურებას</w:t>
            </w:r>
            <w:r w:rsidRPr="000B61F5">
              <w:rPr>
                <w:rFonts w:ascii="Sylfaen" w:hAnsi="Sylfaen" w:cs="Sylfaen"/>
                <w:sz w:val="18"/>
                <w:lang w:val="ka-GE"/>
              </w:rPr>
              <w:t xml:space="preserve"> </w:t>
            </w:r>
            <w:r w:rsidRPr="000B61F5">
              <w:rPr>
                <w:rFonts w:ascii="Sylfaen" w:hAnsi="Sylfaen" w:cs="Sylfaen"/>
                <w:sz w:val="18"/>
              </w:rPr>
              <w:t>დაქვემდებარებული</w:t>
            </w:r>
          </w:p>
          <w:p w14:paraId="5315C94C" w14:textId="77777777" w:rsidR="00A2588D" w:rsidRPr="000B61F5" w:rsidRDefault="00A2588D" w:rsidP="00A2588D">
            <w:pPr>
              <w:rPr>
                <w:sz w:val="18"/>
              </w:rPr>
            </w:pPr>
            <w:r w:rsidRPr="000B61F5">
              <w:rPr>
                <w:rFonts w:ascii="Sylfaen" w:hAnsi="Sylfaen" w:cs="Sylfaen"/>
                <w:sz w:val="18"/>
              </w:rPr>
              <w:t>საბურავები</w:t>
            </w:r>
          </w:p>
        </w:tc>
        <w:tc>
          <w:tcPr>
            <w:tcW w:w="1014" w:type="dxa"/>
            <w:tcBorders>
              <w:top w:val="single" w:sz="4" w:space="0" w:color="auto"/>
              <w:left w:val="single" w:sz="4" w:space="0" w:color="auto"/>
              <w:bottom w:val="single" w:sz="4" w:space="0" w:color="auto"/>
              <w:right w:val="single" w:sz="4" w:space="0" w:color="auto"/>
            </w:tcBorders>
            <w:hideMark/>
          </w:tcPr>
          <w:p w14:paraId="05D84347" w14:textId="77777777" w:rsidR="00A2588D" w:rsidRPr="000B61F5" w:rsidRDefault="00A2588D" w:rsidP="00A2588D">
            <w:pPr>
              <w:rPr>
                <w:sz w:val="18"/>
              </w:rPr>
            </w:pPr>
            <w:r w:rsidRPr="000B61F5">
              <w:rPr>
                <w:rFonts w:ascii="Sylfaen" w:hAnsi="Sylfaen" w:cs="Sylfaen"/>
                <w:sz w:val="18"/>
              </w:rPr>
              <w:t>არა</w:t>
            </w:r>
            <w:r w:rsidRPr="000B61F5">
              <w:rPr>
                <w:sz w:val="18"/>
              </w:rPr>
              <w:t xml:space="preserve">  </w:t>
            </w:r>
          </w:p>
        </w:tc>
        <w:tc>
          <w:tcPr>
            <w:tcW w:w="966" w:type="dxa"/>
            <w:tcBorders>
              <w:top w:val="single" w:sz="4" w:space="0" w:color="auto"/>
              <w:left w:val="single" w:sz="4" w:space="0" w:color="auto"/>
              <w:bottom w:val="single" w:sz="4" w:space="0" w:color="auto"/>
              <w:right w:val="single" w:sz="4" w:space="0" w:color="auto"/>
            </w:tcBorders>
            <w:hideMark/>
          </w:tcPr>
          <w:p w14:paraId="5499A607" w14:textId="77777777" w:rsidR="00A2588D" w:rsidRPr="000B61F5" w:rsidRDefault="00A2588D" w:rsidP="00A2588D">
            <w:pPr>
              <w:rPr>
                <w:sz w:val="18"/>
              </w:rPr>
            </w:pPr>
            <w:r w:rsidRPr="000B61F5">
              <w:rPr>
                <w:sz w:val="18"/>
              </w:rPr>
              <w:t>-</w:t>
            </w:r>
          </w:p>
        </w:tc>
        <w:tc>
          <w:tcPr>
            <w:tcW w:w="1530" w:type="dxa"/>
            <w:tcBorders>
              <w:top w:val="single" w:sz="4" w:space="0" w:color="auto"/>
              <w:left w:val="single" w:sz="4" w:space="0" w:color="auto"/>
              <w:bottom w:val="single" w:sz="4" w:space="0" w:color="auto"/>
              <w:right w:val="single" w:sz="4" w:space="0" w:color="auto"/>
            </w:tcBorders>
            <w:hideMark/>
          </w:tcPr>
          <w:p w14:paraId="25832CF7" w14:textId="77777777" w:rsidR="00A2588D" w:rsidRPr="000B61F5" w:rsidRDefault="00A2588D" w:rsidP="00A2588D">
            <w:pPr>
              <w:rPr>
                <w:sz w:val="18"/>
              </w:rPr>
            </w:pPr>
            <w:r w:rsidRPr="000B61F5">
              <w:rPr>
                <w:sz w:val="18"/>
              </w:rPr>
              <w:t xml:space="preserve">40-50 </w:t>
            </w:r>
            <w:r w:rsidRPr="000B61F5">
              <w:rPr>
                <w:rFonts w:ascii="Sylfaen" w:hAnsi="Sylfaen" w:cs="Sylfaen"/>
                <w:sz w:val="18"/>
              </w:rPr>
              <w:t>ერთ</w:t>
            </w:r>
          </w:p>
        </w:tc>
        <w:tc>
          <w:tcPr>
            <w:tcW w:w="1620" w:type="dxa"/>
            <w:tcBorders>
              <w:top w:val="single" w:sz="4" w:space="0" w:color="auto"/>
              <w:left w:val="single" w:sz="4" w:space="0" w:color="auto"/>
              <w:bottom w:val="single" w:sz="4" w:space="0" w:color="auto"/>
              <w:right w:val="single" w:sz="4" w:space="0" w:color="auto"/>
            </w:tcBorders>
            <w:hideMark/>
          </w:tcPr>
          <w:p w14:paraId="3460D214" w14:textId="77777777" w:rsidR="00A2588D" w:rsidRPr="000B61F5" w:rsidRDefault="00A2588D" w:rsidP="00A2588D">
            <w:pPr>
              <w:rPr>
                <w:sz w:val="18"/>
              </w:rPr>
            </w:pPr>
            <w:r w:rsidRPr="000B61F5">
              <w:rPr>
                <w:sz w:val="18"/>
              </w:rPr>
              <w:t>-</w:t>
            </w:r>
          </w:p>
        </w:tc>
        <w:tc>
          <w:tcPr>
            <w:tcW w:w="5040" w:type="dxa"/>
            <w:tcBorders>
              <w:top w:val="single" w:sz="4" w:space="0" w:color="auto"/>
              <w:left w:val="single" w:sz="4" w:space="0" w:color="auto"/>
              <w:bottom w:val="single" w:sz="4" w:space="0" w:color="auto"/>
              <w:right w:val="single" w:sz="4" w:space="0" w:color="auto"/>
            </w:tcBorders>
            <w:hideMark/>
          </w:tcPr>
          <w:p w14:paraId="016814A6" w14:textId="77777777" w:rsidR="00A2588D" w:rsidRPr="000B61F5" w:rsidRDefault="00A2588D" w:rsidP="00A2588D">
            <w:pPr>
              <w:rPr>
                <w:sz w:val="18"/>
              </w:rPr>
            </w:pPr>
            <w:r w:rsidRPr="000B61F5">
              <w:rPr>
                <w:rFonts w:ascii="Sylfaen" w:hAnsi="Sylfaen" w:cs="Sylfaen"/>
                <w:sz w:val="18"/>
              </w:rPr>
              <w:t>ნარჩენები</w:t>
            </w:r>
            <w:r w:rsidRPr="000B61F5">
              <w:rPr>
                <w:sz w:val="18"/>
              </w:rPr>
              <w:t xml:space="preserve"> </w:t>
            </w:r>
            <w:r w:rsidRPr="000B61F5">
              <w:rPr>
                <w:rFonts w:ascii="Sylfaen" w:hAnsi="Sylfaen" w:cs="Sylfaen"/>
                <w:sz w:val="18"/>
              </w:rPr>
              <w:t>გადაეცემა</w:t>
            </w:r>
            <w:r w:rsidRPr="000B61F5">
              <w:rPr>
                <w:sz w:val="18"/>
              </w:rPr>
              <w:t xml:space="preserve"> </w:t>
            </w:r>
            <w:r w:rsidRPr="000B61F5">
              <w:rPr>
                <w:rFonts w:ascii="Sylfaen" w:hAnsi="Sylfaen" w:cs="Sylfaen"/>
                <w:sz w:val="18"/>
              </w:rPr>
              <w:t>შესაბამისი</w:t>
            </w:r>
            <w:r w:rsidRPr="000B61F5">
              <w:rPr>
                <w:sz w:val="18"/>
              </w:rPr>
              <w:t xml:space="preserve"> </w:t>
            </w:r>
            <w:r w:rsidRPr="000B61F5">
              <w:rPr>
                <w:rFonts w:ascii="Sylfaen" w:hAnsi="Sylfaen" w:cs="Sylfaen"/>
                <w:sz w:val="18"/>
              </w:rPr>
              <w:t>ნებართვის</w:t>
            </w:r>
            <w:r w:rsidRPr="000B61F5">
              <w:rPr>
                <w:sz w:val="18"/>
              </w:rPr>
              <w:t xml:space="preserve"> </w:t>
            </w:r>
            <w:r w:rsidRPr="000B61F5">
              <w:rPr>
                <w:rFonts w:ascii="Sylfaen" w:hAnsi="Sylfaen" w:cs="Sylfaen"/>
                <w:sz w:val="18"/>
              </w:rPr>
              <w:t>მქონე</w:t>
            </w:r>
            <w:r w:rsidRPr="000B61F5">
              <w:rPr>
                <w:sz w:val="18"/>
              </w:rPr>
              <w:t xml:space="preserve"> </w:t>
            </w:r>
            <w:r w:rsidRPr="000B61F5">
              <w:rPr>
                <w:rFonts w:ascii="Sylfaen" w:hAnsi="Sylfaen" w:cs="Sylfaen"/>
                <w:sz w:val="18"/>
              </w:rPr>
              <w:t>კომპანიას</w:t>
            </w:r>
            <w:r w:rsidRPr="000B61F5">
              <w:rPr>
                <w:sz w:val="18"/>
              </w:rPr>
              <w:t>.</w:t>
            </w:r>
          </w:p>
        </w:tc>
        <w:tc>
          <w:tcPr>
            <w:tcW w:w="1170" w:type="dxa"/>
            <w:tcBorders>
              <w:top w:val="single" w:sz="4" w:space="0" w:color="auto"/>
              <w:left w:val="single" w:sz="4" w:space="0" w:color="auto"/>
              <w:bottom w:val="single" w:sz="4" w:space="0" w:color="auto"/>
              <w:right w:val="single" w:sz="4" w:space="0" w:color="auto"/>
            </w:tcBorders>
          </w:tcPr>
          <w:p w14:paraId="10ECCD72" w14:textId="77777777" w:rsidR="00A2588D" w:rsidRPr="000B61F5" w:rsidRDefault="00A2588D" w:rsidP="00A2588D">
            <w:pPr>
              <w:rPr>
                <w:sz w:val="18"/>
              </w:rPr>
            </w:pPr>
          </w:p>
        </w:tc>
      </w:tr>
      <w:tr w:rsidR="00A2588D" w:rsidRPr="003D733D" w14:paraId="44760433" w14:textId="77777777" w:rsidTr="00A2588D">
        <w:trPr>
          <w:trHeight w:val="20"/>
        </w:trPr>
        <w:tc>
          <w:tcPr>
            <w:tcW w:w="1075" w:type="dxa"/>
            <w:tcBorders>
              <w:top w:val="single" w:sz="4" w:space="0" w:color="auto"/>
              <w:left w:val="single" w:sz="4" w:space="0" w:color="auto"/>
              <w:bottom w:val="single" w:sz="4" w:space="0" w:color="auto"/>
              <w:right w:val="single" w:sz="4" w:space="0" w:color="auto"/>
            </w:tcBorders>
            <w:hideMark/>
          </w:tcPr>
          <w:p w14:paraId="6F5B977E" w14:textId="77777777" w:rsidR="00A2588D" w:rsidRPr="000B61F5" w:rsidRDefault="00A2588D" w:rsidP="00A2588D">
            <w:pPr>
              <w:rPr>
                <w:sz w:val="18"/>
              </w:rPr>
            </w:pPr>
            <w:r w:rsidRPr="000B61F5">
              <w:rPr>
                <w:sz w:val="18"/>
              </w:rPr>
              <w:t xml:space="preserve">16 01 07* </w:t>
            </w:r>
          </w:p>
        </w:tc>
        <w:tc>
          <w:tcPr>
            <w:tcW w:w="2790" w:type="dxa"/>
            <w:tcBorders>
              <w:top w:val="single" w:sz="4" w:space="0" w:color="auto"/>
              <w:left w:val="single" w:sz="4" w:space="0" w:color="auto"/>
              <w:bottom w:val="single" w:sz="4" w:space="0" w:color="auto"/>
              <w:right w:val="single" w:sz="4" w:space="0" w:color="auto"/>
            </w:tcBorders>
            <w:hideMark/>
          </w:tcPr>
          <w:p w14:paraId="27CFB2B6" w14:textId="77777777" w:rsidR="00A2588D" w:rsidRPr="000B61F5" w:rsidRDefault="00A2588D" w:rsidP="00A2588D">
            <w:pPr>
              <w:rPr>
                <w:sz w:val="18"/>
              </w:rPr>
            </w:pPr>
            <w:r w:rsidRPr="000B61F5">
              <w:rPr>
                <w:rFonts w:ascii="Sylfaen" w:hAnsi="Sylfaen" w:cs="Sylfaen"/>
                <w:sz w:val="18"/>
              </w:rPr>
              <w:t>ზეთის</w:t>
            </w:r>
            <w:r w:rsidRPr="000B61F5">
              <w:rPr>
                <w:sz w:val="18"/>
              </w:rPr>
              <w:t xml:space="preserve"> </w:t>
            </w:r>
            <w:r w:rsidRPr="000B61F5">
              <w:rPr>
                <w:rFonts w:ascii="Sylfaen" w:hAnsi="Sylfaen" w:cs="Sylfaen"/>
                <w:sz w:val="18"/>
              </w:rPr>
              <w:t>ფილტრები</w:t>
            </w:r>
          </w:p>
        </w:tc>
        <w:tc>
          <w:tcPr>
            <w:tcW w:w="1014" w:type="dxa"/>
            <w:tcBorders>
              <w:top w:val="single" w:sz="4" w:space="0" w:color="auto"/>
              <w:left w:val="single" w:sz="4" w:space="0" w:color="auto"/>
              <w:bottom w:val="single" w:sz="4" w:space="0" w:color="auto"/>
              <w:right w:val="single" w:sz="4" w:space="0" w:color="auto"/>
            </w:tcBorders>
          </w:tcPr>
          <w:p w14:paraId="6607C65C" w14:textId="77777777" w:rsidR="00A2588D" w:rsidRPr="000B61F5" w:rsidRDefault="00A2588D" w:rsidP="00A2588D">
            <w:pPr>
              <w:rPr>
                <w:sz w:val="18"/>
              </w:rPr>
            </w:pPr>
            <w:r w:rsidRPr="000B61F5">
              <w:rPr>
                <w:rFonts w:ascii="Sylfaen" w:hAnsi="Sylfaen" w:cs="Sylfaen"/>
                <w:sz w:val="18"/>
              </w:rPr>
              <w:t>დიახ</w:t>
            </w:r>
          </w:p>
          <w:p w14:paraId="535193E2" w14:textId="77777777" w:rsidR="00A2588D" w:rsidRPr="000B61F5" w:rsidRDefault="00A2588D" w:rsidP="00A2588D">
            <w:pPr>
              <w:rPr>
                <w:sz w:val="18"/>
              </w:rPr>
            </w:pPr>
          </w:p>
        </w:tc>
        <w:tc>
          <w:tcPr>
            <w:tcW w:w="966" w:type="dxa"/>
            <w:tcBorders>
              <w:top w:val="single" w:sz="4" w:space="0" w:color="auto"/>
              <w:left w:val="single" w:sz="4" w:space="0" w:color="auto"/>
              <w:bottom w:val="single" w:sz="4" w:space="0" w:color="auto"/>
              <w:right w:val="single" w:sz="4" w:space="0" w:color="auto"/>
            </w:tcBorders>
            <w:hideMark/>
          </w:tcPr>
          <w:p w14:paraId="7BA3247B" w14:textId="77777777" w:rsidR="00A2588D" w:rsidRPr="000B61F5" w:rsidRDefault="00A2588D" w:rsidP="00A2588D">
            <w:pPr>
              <w:rPr>
                <w:sz w:val="18"/>
              </w:rPr>
            </w:pPr>
            <w:r w:rsidRPr="000B61F5">
              <w:rPr>
                <w:sz w:val="18"/>
              </w:rPr>
              <w:t>H 15</w:t>
            </w:r>
          </w:p>
        </w:tc>
        <w:tc>
          <w:tcPr>
            <w:tcW w:w="1530" w:type="dxa"/>
            <w:tcBorders>
              <w:top w:val="single" w:sz="4" w:space="0" w:color="auto"/>
              <w:left w:val="single" w:sz="4" w:space="0" w:color="auto"/>
              <w:bottom w:val="single" w:sz="4" w:space="0" w:color="auto"/>
              <w:right w:val="single" w:sz="4" w:space="0" w:color="auto"/>
            </w:tcBorders>
            <w:hideMark/>
          </w:tcPr>
          <w:p w14:paraId="3CBB8BA7" w14:textId="77777777" w:rsidR="00A2588D" w:rsidRPr="000B61F5" w:rsidRDefault="00A2588D" w:rsidP="00A2588D">
            <w:pPr>
              <w:rPr>
                <w:sz w:val="18"/>
              </w:rPr>
            </w:pPr>
            <w:r w:rsidRPr="000B61F5">
              <w:rPr>
                <w:sz w:val="18"/>
              </w:rPr>
              <w:t xml:space="preserve">50-60 </w:t>
            </w:r>
            <w:r w:rsidRPr="000B61F5">
              <w:rPr>
                <w:rFonts w:ascii="Sylfaen" w:hAnsi="Sylfaen" w:cs="Sylfaen"/>
                <w:sz w:val="18"/>
              </w:rPr>
              <w:t>ერთ</w:t>
            </w:r>
          </w:p>
        </w:tc>
        <w:tc>
          <w:tcPr>
            <w:tcW w:w="1620" w:type="dxa"/>
            <w:tcBorders>
              <w:top w:val="single" w:sz="4" w:space="0" w:color="auto"/>
              <w:left w:val="single" w:sz="4" w:space="0" w:color="auto"/>
              <w:bottom w:val="single" w:sz="4" w:space="0" w:color="auto"/>
              <w:right w:val="single" w:sz="4" w:space="0" w:color="auto"/>
            </w:tcBorders>
            <w:hideMark/>
          </w:tcPr>
          <w:p w14:paraId="01E96102" w14:textId="77777777" w:rsidR="00A2588D" w:rsidRPr="000B61F5" w:rsidRDefault="00A2588D" w:rsidP="00A2588D">
            <w:pPr>
              <w:rPr>
                <w:sz w:val="18"/>
              </w:rPr>
            </w:pPr>
            <w:r w:rsidRPr="000B61F5">
              <w:rPr>
                <w:sz w:val="18"/>
              </w:rPr>
              <w:t>-</w:t>
            </w:r>
          </w:p>
        </w:tc>
        <w:tc>
          <w:tcPr>
            <w:tcW w:w="5040" w:type="dxa"/>
            <w:tcBorders>
              <w:top w:val="single" w:sz="4" w:space="0" w:color="auto"/>
              <w:left w:val="single" w:sz="4" w:space="0" w:color="auto"/>
              <w:bottom w:val="single" w:sz="4" w:space="0" w:color="auto"/>
              <w:right w:val="single" w:sz="4" w:space="0" w:color="auto"/>
            </w:tcBorders>
            <w:hideMark/>
          </w:tcPr>
          <w:p w14:paraId="713B4D4F" w14:textId="77777777" w:rsidR="00A2588D" w:rsidRPr="000B61F5" w:rsidRDefault="00A2588D" w:rsidP="00A2588D">
            <w:pPr>
              <w:rPr>
                <w:sz w:val="18"/>
              </w:rPr>
            </w:pPr>
            <w:r w:rsidRPr="000B61F5">
              <w:rPr>
                <w:rFonts w:ascii="Sylfaen" w:hAnsi="Sylfaen" w:cs="Sylfaen"/>
                <w:sz w:val="18"/>
              </w:rPr>
              <w:t>ნარჩენები</w:t>
            </w:r>
            <w:r w:rsidRPr="000B61F5">
              <w:rPr>
                <w:sz w:val="18"/>
              </w:rPr>
              <w:t xml:space="preserve"> </w:t>
            </w:r>
            <w:r w:rsidRPr="000B61F5">
              <w:rPr>
                <w:rFonts w:ascii="Sylfaen" w:hAnsi="Sylfaen" w:cs="Sylfaen"/>
                <w:sz w:val="18"/>
              </w:rPr>
              <w:t>გადაეცემა</w:t>
            </w:r>
            <w:r w:rsidRPr="000B61F5">
              <w:rPr>
                <w:sz w:val="18"/>
              </w:rPr>
              <w:t xml:space="preserve"> </w:t>
            </w:r>
            <w:r w:rsidRPr="000B61F5">
              <w:rPr>
                <w:rFonts w:ascii="Sylfaen" w:hAnsi="Sylfaen" w:cs="Sylfaen"/>
                <w:sz w:val="18"/>
              </w:rPr>
              <w:t>შესაბამისი</w:t>
            </w:r>
            <w:r w:rsidRPr="000B61F5">
              <w:rPr>
                <w:sz w:val="18"/>
              </w:rPr>
              <w:t xml:space="preserve"> </w:t>
            </w:r>
            <w:r w:rsidRPr="000B61F5">
              <w:rPr>
                <w:rFonts w:ascii="Sylfaen" w:hAnsi="Sylfaen" w:cs="Sylfaen"/>
                <w:sz w:val="18"/>
              </w:rPr>
              <w:t>ნებართვის</w:t>
            </w:r>
            <w:r w:rsidRPr="000B61F5">
              <w:rPr>
                <w:sz w:val="18"/>
              </w:rPr>
              <w:t xml:space="preserve"> </w:t>
            </w:r>
            <w:r w:rsidRPr="000B61F5">
              <w:rPr>
                <w:rFonts w:ascii="Sylfaen" w:hAnsi="Sylfaen" w:cs="Sylfaen"/>
                <w:sz w:val="18"/>
              </w:rPr>
              <w:t>მქონე</w:t>
            </w:r>
            <w:r w:rsidRPr="000B61F5">
              <w:rPr>
                <w:sz w:val="18"/>
              </w:rPr>
              <w:t xml:space="preserve"> </w:t>
            </w:r>
            <w:r w:rsidRPr="000B61F5">
              <w:rPr>
                <w:rFonts w:ascii="Sylfaen" w:hAnsi="Sylfaen" w:cs="Sylfaen"/>
                <w:sz w:val="18"/>
              </w:rPr>
              <w:t>კომპანიას</w:t>
            </w:r>
            <w:r w:rsidRPr="000B61F5">
              <w:rPr>
                <w:sz w:val="18"/>
              </w:rPr>
              <w:t>.</w:t>
            </w:r>
          </w:p>
        </w:tc>
        <w:tc>
          <w:tcPr>
            <w:tcW w:w="1170" w:type="dxa"/>
            <w:tcBorders>
              <w:top w:val="single" w:sz="4" w:space="0" w:color="auto"/>
              <w:left w:val="single" w:sz="4" w:space="0" w:color="auto"/>
              <w:bottom w:val="single" w:sz="4" w:space="0" w:color="auto"/>
              <w:right w:val="single" w:sz="4" w:space="0" w:color="auto"/>
            </w:tcBorders>
            <w:hideMark/>
          </w:tcPr>
          <w:p w14:paraId="0B11C9C3" w14:textId="77777777" w:rsidR="00A2588D" w:rsidRPr="000B61F5" w:rsidRDefault="00A2588D" w:rsidP="00A2588D">
            <w:pPr>
              <w:rPr>
                <w:sz w:val="18"/>
              </w:rPr>
            </w:pPr>
            <w:r w:rsidRPr="000B61F5">
              <w:rPr>
                <w:sz w:val="18"/>
              </w:rPr>
              <w:t>Y31</w:t>
            </w:r>
          </w:p>
        </w:tc>
      </w:tr>
      <w:tr w:rsidR="00A2588D" w:rsidRPr="003D733D" w14:paraId="75C6729A" w14:textId="77777777" w:rsidTr="00A2588D">
        <w:trPr>
          <w:trHeight w:val="20"/>
        </w:trPr>
        <w:tc>
          <w:tcPr>
            <w:tcW w:w="1075" w:type="dxa"/>
            <w:tcBorders>
              <w:top w:val="single" w:sz="4" w:space="0" w:color="auto"/>
              <w:left w:val="single" w:sz="4" w:space="0" w:color="auto"/>
              <w:bottom w:val="single" w:sz="4" w:space="0" w:color="auto"/>
              <w:right w:val="single" w:sz="4" w:space="0" w:color="auto"/>
            </w:tcBorders>
            <w:hideMark/>
          </w:tcPr>
          <w:p w14:paraId="7E8BE181" w14:textId="77777777" w:rsidR="00A2588D" w:rsidRPr="000B61F5" w:rsidRDefault="00A2588D" w:rsidP="00A2588D">
            <w:pPr>
              <w:rPr>
                <w:sz w:val="18"/>
              </w:rPr>
            </w:pPr>
            <w:r w:rsidRPr="000B61F5">
              <w:rPr>
                <w:sz w:val="18"/>
              </w:rPr>
              <w:t>16 01 17</w:t>
            </w:r>
          </w:p>
          <w:p w14:paraId="57570EEB" w14:textId="77777777" w:rsidR="00A2588D" w:rsidRPr="000B61F5" w:rsidRDefault="00A2588D" w:rsidP="00A2588D">
            <w:pPr>
              <w:rPr>
                <w:sz w:val="18"/>
              </w:rPr>
            </w:pPr>
            <w:r w:rsidRPr="000B61F5">
              <w:rPr>
                <w:sz w:val="18"/>
              </w:rPr>
              <w:t>16 01 18</w:t>
            </w:r>
          </w:p>
        </w:tc>
        <w:tc>
          <w:tcPr>
            <w:tcW w:w="2790" w:type="dxa"/>
            <w:tcBorders>
              <w:top w:val="single" w:sz="4" w:space="0" w:color="auto"/>
              <w:left w:val="single" w:sz="4" w:space="0" w:color="auto"/>
              <w:bottom w:val="single" w:sz="4" w:space="0" w:color="auto"/>
              <w:right w:val="single" w:sz="4" w:space="0" w:color="auto"/>
            </w:tcBorders>
            <w:hideMark/>
          </w:tcPr>
          <w:p w14:paraId="41E42D5B" w14:textId="77777777" w:rsidR="00A2588D" w:rsidRPr="000B61F5" w:rsidRDefault="00A2588D" w:rsidP="00A2588D">
            <w:pPr>
              <w:rPr>
                <w:sz w:val="18"/>
              </w:rPr>
            </w:pPr>
            <w:r w:rsidRPr="000B61F5">
              <w:rPr>
                <w:rFonts w:ascii="Sylfaen" w:hAnsi="Sylfaen" w:cs="Sylfaen"/>
                <w:sz w:val="18"/>
              </w:rPr>
              <w:t>შავი</w:t>
            </w:r>
            <w:r w:rsidRPr="000B61F5">
              <w:rPr>
                <w:sz w:val="18"/>
              </w:rPr>
              <w:t xml:space="preserve"> </w:t>
            </w:r>
            <w:r w:rsidRPr="000B61F5">
              <w:rPr>
                <w:rFonts w:ascii="Sylfaen" w:hAnsi="Sylfaen" w:cs="Sylfaen"/>
                <w:sz w:val="18"/>
              </w:rPr>
              <w:t>ლითონები</w:t>
            </w:r>
            <w:r w:rsidRPr="000B61F5">
              <w:rPr>
                <w:rFonts w:ascii="Sylfaen" w:hAnsi="Sylfaen" w:cs="Sylfaen"/>
                <w:sz w:val="18"/>
                <w:lang w:val="ka-GE"/>
              </w:rPr>
              <w:t xml:space="preserve"> </w:t>
            </w:r>
            <w:r w:rsidRPr="000B61F5">
              <w:rPr>
                <w:rFonts w:ascii="Sylfaen" w:hAnsi="Sylfaen" w:cs="Sylfaen"/>
                <w:sz w:val="18"/>
              </w:rPr>
              <w:t>ფერადი</w:t>
            </w:r>
            <w:r w:rsidRPr="000B61F5">
              <w:rPr>
                <w:sz w:val="18"/>
              </w:rPr>
              <w:t xml:space="preserve"> </w:t>
            </w:r>
            <w:r w:rsidRPr="000B61F5">
              <w:rPr>
                <w:rFonts w:ascii="Sylfaen" w:hAnsi="Sylfaen" w:cs="Sylfaen"/>
                <w:sz w:val="18"/>
              </w:rPr>
              <w:t>ლითონები</w:t>
            </w:r>
          </w:p>
        </w:tc>
        <w:tc>
          <w:tcPr>
            <w:tcW w:w="1014" w:type="dxa"/>
            <w:tcBorders>
              <w:top w:val="single" w:sz="4" w:space="0" w:color="auto"/>
              <w:left w:val="single" w:sz="4" w:space="0" w:color="auto"/>
              <w:bottom w:val="single" w:sz="4" w:space="0" w:color="auto"/>
              <w:right w:val="single" w:sz="4" w:space="0" w:color="auto"/>
            </w:tcBorders>
            <w:hideMark/>
          </w:tcPr>
          <w:p w14:paraId="69ACC9AF" w14:textId="77777777" w:rsidR="00A2588D" w:rsidRPr="000B61F5" w:rsidRDefault="00A2588D" w:rsidP="00A2588D">
            <w:pPr>
              <w:rPr>
                <w:sz w:val="18"/>
              </w:rPr>
            </w:pPr>
            <w:r w:rsidRPr="000B61F5">
              <w:rPr>
                <w:rFonts w:ascii="Sylfaen" w:hAnsi="Sylfaen" w:cs="Sylfaen"/>
                <w:sz w:val="18"/>
              </w:rPr>
              <w:t>არა</w:t>
            </w:r>
          </w:p>
        </w:tc>
        <w:tc>
          <w:tcPr>
            <w:tcW w:w="966" w:type="dxa"/>
            <w:tcBorders>
              <w:top w:val="single" w:sz="4" w:space="0" w:color="auto"/>
              <w:left w:val="single" w:sz="4" w:space="0" w:color="auto"/>
              <w:bottom w:val="single" w:sz="4" w:space="0" w:color="auto"/>
              <w:right w:val="single" w:sz="4" w:space="0" w:color="auto"/>
            </w:tcBorders>
            <w:hideMark/>
          </w:tcPr>
          <w:p w14:paraId="24C21F4F" w14:textId="77777777" w:rsidR="00A2588D" w:rsidRPr="000B61F5" w:rsidRDefault="00A2588D" w:rsidP="00A2588D">
            <w:pPr>
              <w:rPr>
                <w:sz w:val="18"/>
              </w:rPr>
            </w:pPr>
            <w:r w:rsidRPr="000B61F5">
              <w:rPr>
                <w:sz w:val="18"/>
              </w:rPr>
              <w:t xml:space="preserve">- </w:t>
            </w:r>
          </w:p>
        </w:tc>
        <w:tc>
          <w:tcPr>
            <w:tcW w:w="1530" w:type="dxa"/>
            <w:tcBorders>
              <w:top w:val="single" w:sz="4" w:space="0" w:color="auto"/>
              <w:left w:val="single" w:sz="4" w:space="0" w:color="auto"/>
              <w:bottom w:val="single" w:sz="4" w:space="0" w:color="auto"/>
              <w:right w:val="single" w:sz="4" w:space="0" w:color="auto"/>
            </w:tcBorders>
            <w:hideMark/>
          </w:tcPr>
          <w:p w14:paraId="4637E048" w14:textId="77777777" w:rsidR="00A2588D" w:rsidRPr="000B61F5" w:rsidRDefault="00A2588D" w:rsidP="00A2588D">
            <w:pPr>
              <w:rPr>
                <w:sz w:val="18"/>
              </w:rPr>
            </w:pPr>
            <w:r w:rsidRPr="000B61F5">
              <w:rPr>
                <w:sz w:val="18"/>
              </w:rPr>
              <w:t xml:space="preserve">3-4 </w:t>
            </w:r>
            <w:r w:rsidRPr="000B61F5">
              <w:rPr>
                <w:rFonts w:ascii="Sylfaen" w:hAnsi="Sylfaen" w:cs="Sylfaen"/>
                <w:sz w:val="18"/>
              </w:rPr>
              <w:t>ტ</w:t>
            </w:r>
          </w:p>
        </w:tc>
        <w:tc>
          <w:tcPr>
            <w:tcW w:w="1620" w:type="dxa"/>
            <w:tcBorders>
              <w:top w:val="single" w:sz="4" w:space="0" w:color="auto"/>
              <w:left w:val="single" w:sz="4" w:space="0" w:color="auto"/>
              <w:bottom w:val="single" w:sz="4" w:space="0" w:color="auto"/>
              <w:right w:val="single" w:sz="4" w:space="0" w:color="auto"/>
            </w:tcBorders>
            <w:hideMark/>
          </w:tcPr>
          <w:p w14:paraId="68A4080A" w14:textId="77777777" w:rsidR="00A2588D" w:rsidRPr="000B61F5" w:rsidRDefault="00A2588D" w:rsidP="00A2588D">
            <w:pPr>
              <w:rPr>
                <w:sz w:val="18"/>
              </w:rPr>
            </w:pPr>
            <w:r w:rsidRPr="000B61F5">
              <w:rPr>
                <w:sz w:val="18"/>
              </w:rPr>
              <w:t>-</w:t>
            </w:r>
          </w:p>
        </w:tc>
        <w:tc>
          <w:tcPr>
            <w:tcW w:w="5040" w:type="dxa"/>
            <w:tcBorders>
              <w:top w:val="single" w:sz="4" w:space="0" w:color="auto"/>
              <w:left w:val="single" w:sz="4" w:space="0" w:color="auto"/>
              <w:bottom w:val="single" w:sz="4" w:space="0" w:color="auto"/>
              <w:right w:val="single" w:sz="4" w:space="0" w:color="auto"/>
            </w:tcBorders>
            <w:hideMark/>
          </w:tcPr>
          <w:p w14:paraId="77D55852" w14:textId="77777777" w:rsidR="00A2588D" w:rsidRPr="000B61F5" w:rsidRDefault="00A2588D" w:rsidP="00A2588D">
            <w:pPr>
              <w:rPr>
                <w:sz w:val="18"/>
              </w:rPr>
            </w:pPr>
            <w:r w:rsidRPr="000B61F5">
              <w:rPr>
                <w:rFonts w:ascii="Sylfaen" w:hAnsi="Sylfaen" w:cs="Sylfaen"/>
                <w:sz w:val="18"/>
              </w:rPr>
              <w:t>ჩაბარდება</w:t>
            </w:r>
            <w:r w:rsidRPr="000B61F5">
              <w:rPr>
                <w:sz w:val="18"/>
              </w:rPr>
              <w:t xml:space="preserve"> </w:t>
            </w:r>
            <w:r w:rsidRPr="000B61F5">
              <w:rPr>
                <w:rFonts w:ascii="Sylfaen" w:hAnsi="Sylfaen" w:cs="Sylfaen"/>
                <w:sz w:val="18"/>
              </w:rPr>
              <w:t>ჯართის</w:t>
            </w:r>
            <w:r w:rsidRPr="000B61F5">
              <w:rPr>
                <w:sz w:val="18"/>
              </w:rPr>
              <w:t xml:space="preserve"> </w:t>
            </w:r>
            <w:r w:rsidRPr="000B61F5">
              <w:rPr>
                <w:rFonts w:ascii="Sylfaen" w:hAnsi="Sylfaen" w:cs="Sylfaen"/>
                <w:sz w:val="18"/>
              </w:rPr>
              <w:t>მიმღებ</w:t>
            </w:r>
            <w:r w:rsidRPr="000B61F5">
              <w:rPr>
                <w:sz w:val="18"/>
              </w:rPr>
              <w:t xml:space="preserve"> </w:t>
            </w:r>
            <w:r w:rsidRPr="000B61F5">
              <w:rPr>
                <w:rFonts w:ascii="Sylfaen" w:hAnsi="Sylfaen" w:cs="Sylfaen"/>
                <w:sz w:val="18"/>
              </w:rPr>
              <w:t>პუნქტებში</w:t>
            </w:r>
          </w:p>
        </w:tc>
        <w:tc>
          <w:tcPr>
            <w:tcW w:w="1170" w:type="dxa"/>
            <w:tcBorders>
              <w:top w:val="single" w:sz="4" w:space="0" w:color="auto"/>
              <w:left w:val="single" w:sz="4" w:space="0" w:color="auto"/>
              <w:bottom w:val="single" w:sz="4" w:space="0" w:color="auto"/>
              <w:right w:val="single" w:sz="4" w:space="0" w:color="auto"/>
            </w:tcBorders>
            <w:hideMark/>
          </w:tcPr>
          <w:p w14:paraId="4EAA492F" w14:textId="77777777" w:rsidR="00A2588D" w:rsidRPr="000B61F5" w:rsidRDefault="00A2588D" w:rsidP="00A2588D">
            <w:pPr>
              <w:rPr>
                <w:sz w:val="18"/>
              </w:rPr>
            </w:pPr>
            <w:r w:rsidRPr="000B61F5">
              <w:rPr>
                <w:sz w:val="18"/>
              </w:rPr>
              <w:t>Y17</w:t>
            </w:r>
          </w:p>
        </w:tc>
      </w:tr>
      <w:tr w:rsidR="00A2588D" w:rsidRPr="003D733D" w14:paraId="15375201" w14:textId="77777777" w:rsidTr="00A2588D">
        <w:trPr>
          <w:trHeight w:val="20"/>
        </w:trPr>
        <w:tc>
          <w:tcPr>
            <w:tcW w:w="1075" w:type="dxa"/>
            <w:tcBorders>
              <w:top w:val="single" w:sz="4" w:space="0" w:color="auto"/>
              <w:left w:val="single" w:sz="4" w:space="0" w:color="auto"/>
              <w:bottom w:val="single" w:sz="4" w:space="0" w:color="auto"/>
              <w:right w:val="single" w:sz="4" w:space="0" w:color="auto"/>
            </w:tcBorders>
            <w:hideMark/>
          </w:tcPr>
          <w:p w14:paraId="592778AD" w14:textId="77777777" w:rsidR="00A2588D" w:rsidRPr="000B61F5" w:rsidRDefault="00A2588D" w:rsidP="00A2588D">
            <w:pPr>
              <w:rPr>
                <w:sz w:val="18"/>
              </w:rPr>
            </w:pPr>
            <w:r w:rsidRPr="000B61F5">
              <w:rPr>
                <w:sz w:val="18"/>
              </w:rPr>
              <w:t>20 03 01</w:t>
            </w:r>
          </w:p>
        </w:tc>
        <w:tc>
          <w:tcPr>
            <w:tcW w:w="2790" w:type="dxa"/>
            <w:tcBorders>
              <w:top w:val="single" w:sz="4" w:space="0" w:color="auto"/>
              <w:left w:val="single" w:sz="4" w:space="0" w:color="auto"/>
              <w:bottom w:val="single" w:sz="4" w:space="0" w:color="auto"/>
              <w:right w:val="single" w:sz="4" w:space="0" w:color="auto"/>
            </w:tcBorders>
            <w:hideMark/>
          </w:tcPr>
          <w:p w14:paraId="5A4D7311" w14:textId="77777777" w:rsidR="00A2588D" w:rsidRPr="000B61F5" w:rsidRDefault="00A2588D" w:rsidP="00A2588D">
            <w:pPr>
              <w:rPr>
                <w:sz w:val="18"/>
              </w:rPr>
            </w:pPr>
            <w:r w:rsidRPr="000B61F5">
              <w:rPr>
                <w:rFonts w:ascii="Sylfaen" w:hAnsi="Sylfaen" w:cs="Sylfaen"/>
                <w:sz w:val="18"/>
              </w:rPr>
              <w:t>შერეული</w:t>
            </w:r>
            <w:r w:rsidRPr="000B61F5">
              <w:rPr>
                <w:rFonts w:ascii="Sylfaen" w:hAnsi="Sylfaen" w:cs="Sylfaen"/>
                <w:sz w:val="18"/>
                <w:lang w:val="ka-GE"/>
              </w:rPr>
              <w:t xml:space="preserve"> </w:t>
            </w:r>
            <w:r w:rsidRPr="000B61F5">
              <w:rPr>
                <w:rFonts w:ascii="Sylfaen" w:hAnsi="Sylfaen" w:cs="Sylfaen"/>
                <w:sz w:val="18"/>
              </w:rPr>
              <w:t>მუნიციპალური</w:t>
            </w:r>
          </w:p>
          <w:p w14:paraId="6844346E" w14:textId="77777777" w:rsidR="00A2588D" w:rsidRPr="000B61F5" w:rsidRDefault="00A2588D" w:rsidP="00A2588D">
            <w:pPr>
              <w:rPr>
                <w:sz w:val="18"/>
              </w:rPr>
            </w:pPr>
            <w:r w:rsidRPr="000B61F5">
              <w:rPr>
                <w:rFonts w:ascii="Sylfaen" w:hAnsi="Sylfaen" w:cs="Sylfaen"/>
                <w:sz w:val="18"/>
              </w:rPr>
              <w:t>ნარჩენები</w:t>
            </w:r>
          </w:p>
        </w:tc>
        <w:tc>
          <w:tcPr>
            <w:tcW w:w="1014" w:type="dxa"/>
            <w:tcBorders>
              <w:top w:val="single" w:sz="4" w:space="0" w:color="auto"/>
              <w:left w:val="single" w:sz="4" w:space="0" w:color="auto"/>
              <w:bottom w:val="single" w:sz="4" w:space="0" w:color="auto"/>
              <w:right w:val="single" w:sz="4" w:space="0" w:color="auto"/>
            </w:tcBorders>
            <w:hideMark/>
          </w:tcPr>
          <w:p w14:paraId="1B9C5753" w14:textId="77777777" w:rsidR="00A2588D" w:rsidRPr="000B61F5" w:rsidRDefault="00A2588D" w:rsidP="00A2588D">
            <w:pPr>
              <w:rPr>
                <w:sz w:val="18"/>
              </w:rPr>
            </w:pPr>
            <w:r w:rsidRPr="000B61F5">
              <w:rPr>
                <w:rFonts w:ascii="Sylfaen" w:hAnsi="Sylfaen" w:cs="Sylfaen"/>
                <w:sz w:val="18"/>
              </w:rPr>
              <w:t>არა</w:t>
            </w:r>
            <w:r w:rsidRPr="000B61F5">
              <w:rPr>
                <w:sz w:val="18"/>
              </w:rPr>
              <w:t xml:space="preserve"> </w:t>
            </w:r>
          </w:p>
        </w:tc>
        <w:tc>
          <w:tcPr>
            <w:tcW w:w="966" w:type="dxa"/>
            <w:tcBorders>
              <w:top w:val="single" w:sz="4" w:space="0" w:color="auto"/>
              <w:left w:val="single" w:sz="4" w:space="0" w:color="auto"/>
              <w:bottom w:val="single" w:sz="4" w:space="0" w:color="auto"/>
              <w:right w:val="single" w:sz="4" w:space="0" w:color="auto"/>
            </w:tcBorders>
            <w:hideMark/>
          </w:tcPr>
          <w:p w14:paraId="57CECC30" w14:textId="77777777" w:rsidR="00A2588D" w:rsidRPr="000B61F5" w:rsidRDefault="00A2588D" w:rsidP="00A2588D">
            <w:pPr>
              <w:rPr>
                <w:sz w:val="18"/>
              </w:rPr>
            </w:pPr>
            <w:r w:rsidRPr="000B61F5">
              <w:rPr>
                <w:sz w:val="18"/>
              </w:rPr>
              <w:t>-</w:t>
            </w:r>
          </w:p>
        </w:tc>
        <w:tc>
          <w:tcPr>
            <w:tcW w:w="1530" w:type="dxa"/>
            <w:tcBorders>
              <w:top w:val="single" w:sz="4" w:space="0" w:color="auto"/>
              <w:left w:val="single" w:sz="4" w:space="0" w:color="auto"/>
              <w:bottom w:val="single" w:sz="4" w:space="0" w:color="auto"/>
              <w:right w:val="single" w:sz="4" w:space="0" w:color="auto"/>
            </w:tcBorders>
            <w:hideMark/>
          </w:tcPr>
          <w:p w14:paraId="337C40C1" w14:textId="77777777" w:rsidR="00A2588D" w:rsidRPr="000B61F5" w:rsidRDefault="00A2588D" w:rsidP="00A2588D">
            <w:pPr>
              <w:rPr>
                <w:sz w:val="18"/>
              </w:rPr>
            </w:pPr>
            <w:r w:rsidRPr="000B61F5">
              <w:rPr>
                <w:sz w:val="18"/>
              </w:rPr>
              <w:t xml:space="preserve">200 </w:t>
            </w:r>
            <w:r w:rsidRPr="000B61F5">
              <w:rPr>
                <w:rFonts w:ascii="Sylfaen" w:hAnsi="Sylfaen" w:cs="Sylfaen"/>
                <w:sz w:val="18"/>
              </w:rPr>
              <w:t>მ</w:t>
            </w:r>
            <w:r w:rsidRPr="000B61F5">
              <w:rPr>
                <w:sz w:val="18"/>
              </w:rPr>
              <w:t>3</w:t>
            </w:r>
          </w:p>
        </w:tc>
        <w:tc>
          <w:tcPr>
            <w:tcW w:w="1620" w:type="dxa"/>
            <w:tcBorders>
              <w:top w:val="single" w:sz="4" w:space="0" w:color="auto"/>
              <w:left w:val="single" w:sz="4" w:space="0" w:color="auto"/>
              <w:bottom w:val="single" w:sz="4" w:space="0" w:color="auto"/>
              <w:right w:val="single" w:sz="4" w:space="0" w:color="auto"/>
            </w:tcBorders>
            <w:hideMark/>
          </w:tcPr>
          <w:p w14:paraId="40CCF47F" w14:textId="77777777" w:rsidR="00A2588D" w:rsidRPr="000B61F5" w:rsidRDefault="00A2588D" w:rsidP="00A2588D">
            <w:pPr>
              <w:rPr>
                <w:sz w:val="18"/>
              </w:rPr>
            </w:pPr>
            <w:r w:rsidRPr="000B61F5">
              <w:rPr>
                <w:sz w:val="18"/>
              </w:rPr>
              <w:t>-</w:t>
            </w:r>
          </w:p>
        </w:tc>
        <w:tc>
          <w:tcPr>
            <w:tcW w:w="5040" w:type="dxa"/>
            <w:tcBorders>
              <w:top w:val="single" w:sz="4" w:space="0" w:color="auto"/>
              <w:left w:val="single" w:sz="4" w:space="0" w:color="auto"/>
              <w:bottom w:val="single" w:sz="4" w:space="0" w:color="auto"/>
              <w:right w:val="single" w:sz="4" w:space="0" w:color="auto"/>
            </w:tcBorders>
            <w:hideMark/>
          </w:tcPr>
          <w:p w14:paraId="11CC7173" w14:textId="77777777" w:rsidR="00A2588D" w:rsidRPr="000B61F5" w:rsidRDefault="00A2588D" w:rsidP="00A2588D">
            <w:pPr>
              <w:rPr>
                <w:sz w:val="18"/>
              </w:rPr>
            </w:pPr>
            <w:r w:rsidRPr="000B61F5">
              <w:rPr>
                <w:rFonts w:ascii="Sylfaen" w:hAnsi="Sylfaen" w:cs="Sylfaen"/>
                <w:sz w:val="18"/>
              </w:rPr>
              <w:t>საყოფაცხოვრებო</w:t>
            </w:r>
            <w:r w:rsidRPr="000B61F5">
              <w:rPr>
                <w:sz w:val="18"/>
              </w:rPr>
              <w:t xml:space="preserve"> </w:t>
            </w:r>
            <w:r w:rsidRPr="000B61F5">
              <w:rPr>
                <w:rFonts w:ascii="Sylfaen" w:hAnsi="Sylfaen" w:cs="Sylfaen"/>
                <w:sz w:val="18"/>
              </w:rPr>
              <w:t>ნარჩენები</w:t>
            </w:r>
            <w:r w:rsidRPr="000B61F5">
              <w:rPr>
                <w:sz w:val="18"/>
              </w:rPr>
              <w:t xml:space="preserve"> </w:t>
            </w:r>
            <w:r w:rsidRPr="000B61F5">
              <w:rPr>
                <w:rFonts w:ascii="Sylfaen" w:hAnsi="Sylfaen" w:cs="Sylfaen"/>
                <w:sz w:val="18"/>
              </w:rPr>
              <w:t>შეგროვდება</w:t>
            </w:r>
            <w:r w:rsidRPr="000B61F5">
              <w:rPr>
                <w:sz w:val="18"/>
              </w:rPr>
              <w:t xml:space="preserve"> </w:t>
            </w:r>
            <w:r w:rsidRPr="000B61F5">
              <w:rPr>
                <w:rFonts w:ascii="Sylfaen" w:hAnsi="Sylfaen" w:cs="Sylfaen"/>
                <w:sz w:val="18"/>
              </w:rPr>
              <w:t>ამისათვის</w:t>
            </w:r>
            <w:r w:rsidRPr="000B61F5">
              <w:rPr>
                <w:sz w:val="18"/>
              </w:rPr>
              <w:t xml:space="preserve"> </w:t>
            </w:r>
            <w:r w:rsidRPr="000B61F5">
              <w:rPr>
                <w:rFonts w:ascii="Sylfaen" w:hAnsi="Sylfaen" w:cs="Sylfaen"/>
                <w:sz w:val="18"/>
              </w:rPr>
              <w:t>სპეციალური</w:t>
            </w:r>
            <w:r w:rsidRPr="000B61F5">
              <w:rPr>
                <w:sz w:val="18"/>
              </w:rPr>
              <w:t xml:space="preserve"> </w:t>
            </w:r>
            <w:r w:rsidRPr="000B61F5">
              <w:rPr>
                <w:rFonts w:ascii="Sylfaen" w:hAnsi="Sylfaen" w:cs="Sylfaen"/>
                <w:sz w:val="18"/>
              </w:rPr>
              <w:t>მარკირების</w:t>
            </w:r>
            <w:r w:rsidRPr="000B61F5">
              <w:rPr>
                <w:sz w:val="18"/>
              </w:rPr>
              <w:t xml:space="preserve"> </w:t>
            </w:r>
            <w:r w:rsidRPr="000B61F5">
              <w:rPr>
                <w:rFonts w:ascii="Sylfaen" w:hAnsi="Sylfaen" w:cs="Sylfaen"/>
                <w:sz w:val="18"/>
              </w:rPr>
              <w:t>მქონე</w:t>
            </w:r>
            <w:r w:rsidRPr="000B61F5">
              <w:rPr>
                <w:sz w:val="18"/>
              </w:rPr>
              <w:t xml:space="preserve"> </w:t>
            </w:r>
            <w:r w:rsidRPr="000B61F5">
              <w:rPr>
                <w:rFonts w:ascii="Sylfaen" w:hAnsi="Sylfaen" w:cs="Sylfaen"/>
                <w:sz w:val="18"/>
              </w:rPr>
              <w:t>დახურულ</w:t>
            </w:r>
            <w:r w:rsidRPr="000B61F5">
              <w:rPr>
                <w:sz w:val="18"/>
              </w:rPr>
              <w:t xml:space="preserve"> </w:t>
            </w:r>
            <w:r w:rsidRPr="000B61F5">
              <w:rPr>
                <w:rFonts w:ascii="Sylfaen" w:hAnsi="Sylfaen" w:cs="Sylfaen"/>
                <w:sz w:val="18"/>
              </w:rPr>
              <w:t>კონტეინერებში</w:t>
            </w:r>
            <w:r w:rsidRPr="000B61F5">
              <w:rPr>
                <w:sz w:val="18"/>
              </w:rPr>
              <w:t>.</w:t>
            </w:r>
          </w:p>
          <w:p w14:paraId="6B28FCED" w14:textId="77777777" w:rsidR="00A2588D" w:rsidRPr="000B61F5" w:rsidRDefault="00A2588D" w:rsidP="00A2588D">
            <w:pPr>
              <w:rPr>
                <w:sz w:val="18"/>
              </w:rPr>
            </w:pPr>
            <w:r w:rsidRPr="000B61F5">
              <w:rPr>
                <w:rFonts w:ascii="Sylfaen" w:hAnsi="Sylfaen" w:cs="Sylfaen"/>
                <w:sz w:val="18"/>
              </w:rPr>
              <w:t>სამშენებლო</w:t>
            </w:r>
            <w:r w:rsidRPr="000B61F5">
              <w:rPr>
                <w:sz w:val="18"/>
              </w:rPr>
              <w:t xml:space="preserve"> </w:t>
            </w:r>
            <w:r w:rsidRPr="000B61F5">
              <w:rPr>
                <w:rFonts w:ascii="Sylfaen" w:hAnsi="Sylfaen" w:cs="Sylfaen"/>
                <w:sz w:val="18"/>
              </w:rPr>
              <w:t>მოედნებზე</w:t>
            </w:r>
            <w:r w:rsidRPr="000B61F5">
              <w:rPr>
                <w:sz w:val="18"/>
              </w:rPr>
              <w:t xml:space="preserve"> </w:t>
            </w:r>
            <w:r w:rsidRPr="000B61F5">
              <w:rPr>
                <w:rFonts w:ascii="Sylfaen" w:hAnsi="Sylfaen" w:cs="Sylfaen"/>
                <w:sz w:val="18"/>
              </w:rPr>
              <w:t>დაგროვილი</w:t>
            </w:r>
            <w:r w:rsidRPr="000B61F5">
              <w:rPr>
                <w:sz w:val="18"/>
              </w:rPr>
              <w:t xml:space="preserve"> </w:t>
            </w:r>
            <w:r w:rsidRPr="000B61F5">
              <w:rPr>
                <w:rFonts w:ascii="Sylfaen" w:hAnsi="Sylfaen" w:cs="Sylfaen"/>
                <w:sz w:val="18"/>
              </w:rPr>
              <w:t>საყოფაცხოვრებო</w:t>
            </w:r>
            <w:r w:rsidRPr="000B61F5">
              <w:rPr>
                <w:sz w:val="18"/>
              </w:rPr>
              <w:t xml:space="preserve"> </w:t>
            </w:r>
            <w:r w:rsidRPr="000B61F5">
              <w:rPr>
                <w:rFonts w:ascii="Sylfaen" w:hAnsi="Sylfaen" w:cs="Sylfaen"/>
                <w:sz w:val="18"/>
              </w:rPr>
              <w:t>ნარჩენების</w:t>
            </w:r>
            <w:r w:rsidRPr="000B61F5">
              <w:rPr>
                <w:sz w:val="18"/>
              </w:rPr>
              <w:t xml:space="preserve"> </w:t>
            </w:r>
            <w:r w:rsidRPr="000B61F5">
              <w:rPr>
                <w:rFonts w:ascii="Sylfaen" w:hAnsi="Sylfaen" w:cs="Sylfaen"/>
                <w:sz w:val="18"/>
              </w:rPr>
              <w:t>გატანა</w:t>
            </w:r>
            <w:r w:rsidRPr="000B61F5">
              <w:rPr>
                <w:sz w:val="18"/>
              </w:rPr>
              <w:t xml:space="preserve"> </w:t>
            </w:r>
            <w:r w:rsidRPr="000B61F5">
              <w:rPr>
                <w:rFonts w:ascii="Sylfaen" w:hAnsi="Sylfaen" w:cs="Sylfaen"/>
                <w:sz w:val="18"/>
              </w:rPr>
              <w:t>მოხდება</w:t>
            </w:r>
            <w:r w:rsidRPr="000B61F5">
              <w:rPr>
                <w:sz w:val="18"/>
              </w:rPr>
              <w:t xml:space="preserve"> </w:t>
            </w:r>
            <w:r w:rsidRPr="000B61F5">
              <w:rPr>
                <w:rFonts w:ascii="Sylfaen" w:hAnsi="Sylfaen" w:cs="Sylfaen"/>
                <w:sz w:val="18"/>
              </w:rPr>
              <w:t>ადგილობრივ</w:t>
            </w:r>
            <w:r w:rsidRPr="000B61F5">
              <w:rPr>
                <w:sz w:val="18"/>
              </w:rPr>
              <w:t xml:space="preserve"> </w:t>
            </w:r>
            <w:r w:rsidRPr="000B61F5">
              <w:rPr>
                <w:rFonts w:ascii="Sylfaen" w:hAnsi="Sylfaen" w:cs="Sylfaen"/>
                <w:sz w:val="18"/>
              </w:rPr>
              <w:t>ნაგავსაყრელზე</w:t>
            </w:r>
            <w:r w:rsidRPr="000B61F5">
              <w:rPr>
                <w:sz w:val="18"/>
              </w:rPr>
              <w:t>.</w:t>
            </w:r>
          </w:p>
        </w:tc>
        <w:tc>
          <w:tcPr>
            <w:tcW w:w="1170" w:type="dxa"/>
            <w:tcBorders>
              <w:top w:val="single" w:sz="4" w:space="0" w:color="auto"/>
              <w:left w:val="single" w:sz="4" w:space="0" w:color="auto"/>
              <w:bottom w:val="single" w:sz="4" w:space="0" w:color="auto"/>
              <w:right w:val="single" w:sz="4" w:space="0" w:color="auto"/>
            </w:tcBorders>
          </w:tcPr>
          <w:p w14:paraId="1E7BFA20" w14:textId="77777777" w:rsidR="00A2588D" w:rsidRPr="000B61F5" w:rsidRDefault="00A2588D" w:rsidP="00A2588D">
            <w:pPr>
              <w:rPr>
                <w:sz w:val="18"/>
              </w:rPr>
            </w:pPr>
          </w:p>
        </w:tc>
      </w:tr>
      <w:tr w:rsidR="00A2588D" w:rsidRPr="003D733D" w14:paraId="258733D1" w14:textId="77777777" w:rsidTr="00A2588D">
        <w:trPr>
          <w:trHeight w:val="20"/>
        </w:trPr>
        <w:tc>
          <w:tcPr>
            <w:tcW w:w="1075" w:type="dxa"/>
            <w:tcBorders>
              <w:top w:val="single" w:sz="4" w:space="0" w:color="auto"/>
              <w:left w:val="single" w:sz="4" w:space="0" w:color="auto"/>
              <w:bottom w:val="single" w:sz="4" w:space="0" w:color="auto"/>
              <w:right w:val="single" w:sz="4" w:space="0" w:color="auto"/>
            </w:tcBorders>
            <w:hideMark/>
          </w:tcPr>
          <w:p w14:paraId="0651A292" w14:textId="77777777" w:rsidR="00A2588D" w:rsidRPr="000B61F5" w:rsidRDefault="00A2588D" w:rsidP="00A2588D">
            <w:pPr>
              <w:rPr>
                <w:sz w:val="18"/>
              </w:rPr>
            </w:pPr>
            <w:r w:rsidRPr="000B61F5">
              <w:rPr>
                <w:sz w:val="18"/>
              </w:rPr>
              <w:t>17 05 05*</w:t>
            </w:r>
          </w:p>
        </w:tc>
        <w:tc>
          <w:tcPr>
            <w:tcW w:w="2790" w:type="dxa"/>
            <w:tcBorders>
              <w:top w:val="single" w:sz="4" w:space="0" w:color="auto"/>
              <w:left w:val="single" w:sz="4" w:space="0" w:color="auto"/>
              <w:bottom w:val="single" w:sz="4" w:space="0" w:color="auto"/>
              <w:right w:val="single" w:sz="4" w:space="0" w:color="auto"/>
            </w:tcBorders>
            <w:hideMark/>
          </w:tcPr>
          <w:p w14:paraId="04D662FB" w14:textId="77777777" w:rsidR="00A2588D" w:rsidRPr="000B61F5" w:rsidRDefault="00A2588D" w:rsidP="00A2588D">
            <w:pPr>
              <w:rPr>
                <w:sz w:val="18"/>
              </w:rPr>
            </w:pPr>
            <w:r w:rsidRPr="000B61F5">
              <w:rPr>
                <w:rFonts w:ascii="Sylfaen" w:hAnsi="Sylfaen" w:cs="Sylfaen"/>
                <w:sz w:val="18"/>
              </w:rPr>
              <w:t>გრუნტი</w:t>
            </w:r>
            <w:r w:rsidRPr="000B61F5">
              <w:rPr>
                <w:sz w:val="18"/>
              </w:rPr>
              <w:t xml:space="preserve">, </w:t>
            </w:r>
            <w:r w:rsidRPr="000B61F5">
              <w:rPr>
                <w:rFonts w:ascii="Sylfaen" w:hAnsi="Sylfaen" w:cs="Sylfaen"/>
                <w:sz w:val="18"/>
              </w:rPr>
              <w:t>რომელიც</w:t>
            </w:r>
            <w:r w:rsidRPr="000B61F5">
              <w:rPr>
                <w:sz w:val="18"/>
              </w:rPr>
              <w:t xml:space="preserve"> </w:t>
            </w:r>
            <w:r w:rsidRPr="000B61F5">
              <w:rPr>
                <w:rFonts w:ascii="Sylfaen" w:hAnsi="Sylfaen" w:cs="Sylfaen"/>
                <w:sz w:val="18"/>
              </w:rPr>
              <w:t>შეიცავს</w:t>
            </w:r>
            <w:r w:rsidRPr="000B61F5">
              <w:rPr>
                <w:sz w:val="18"/>
              </w:rPr>
              <w:t xml:space="preserve"> </w:t>
            </w:r>
            <w:r w:rsidRPr="000B61F5">
              <w:rPr>
                <w:rFonts w:ascii="Sylfaen" w:hAnsi="Sylfaen" w:cs="Sylfaen"/>
                <w:sz w:val="18"/>
              </w:rPr>
              <w:t>საშიშ</w:t>
            </w:r>
            <w:r w:rsidRPr="000B61F5">
              <w:rPr>
                <w:rFonts w:ascii="Sylfaen" w:hAnsi="Sylfaen" w:cs="Sylfaen"/>
                <w:sz w:val="18"/>
                <w:lang w:val="ka-GE"/>
              </w:rPr>
              <w:t xml:space="preserve"> </w:t>
            </w:r>
            <w:r w:rsidRPr="000B61F5">
              <w:rPr>
                <w:rFonts w:ascii="Sylfaen" w:hAnsi="Sylfaen" w:cs="Sylfaen"/>
                <w:sz w:val="18"/>
              </w:rPr>
              <w:t>ნივთიერებებს</w:t>
            </w:r>
            <w:r w:rsidRPr="000B61F5">
              <w:rPr>
                <w:rFonts w:ascii="Sylfaen" w:hAnsi="Sylfaen" w:cs="Sylfaen"/>
                <w:sz w:val="18"/>
                <w:lang w:val="ka-GE"/>
              </w:rPr>
              <w:t xml:space="preserve"> </w:t>
            </w:r>
            <w:r w:rsidRPr="000B61F5">
              <w:rPr>
                <w:sz w:val="18"/>
              </w:rPr>
              <w:t>(</w:t>
            </w:r>
            <w:r w:rsidRPr="000B61F5">
              <w:rPr>
                <w:rFonts w:ascii="Sylfaen" w:hAnsi="Sylfaen" w:cs="Sylfaen"/>
                <w:sz w:val="18"/>
              </w:rPr>
              <w:t>ნავთობის</w:t>
            </w:r>
            <w:r w:rsidRPr="000B61F5">
              <w:rPr>
                <w:rFonts w:ascii="Sylfaen" w:hAnsi="Sylfaen" w:cs="Sylfaen"/>
                <w:sz w:val="18"/>
                <w:lang w:val="ka-GE"/>
              </w:rPr>
              <w:t xml:space="preserve"> </w:t>
            </w:r>
            <w:r w:rsidRPr="000B61F5">
              <w:rPr>
                <w:rFonts w:ascii="Sylfaen" w:hAnsi="Sylfaen" w:cs="Sylfaen"/>
                <w:sz w:val="18"/>
              </w:rPr>
              <w:t>ნახშირწყალბადებით</w:t>
            </w:r>
          </w:p>
          <w:p w14:paraId="2F9FE38B" w14:textId="77777777" w:rsidR="00A2588D" w:rsidRPr="000B61F5" w:rsidRDefault="00A2588D" w:rsidP="00A2588D">
            <w:pPr>
              <w:rPr>
                <w:sz w:val="18"/>
              </w:rPr>
            </w:pPr>
            <w:r w:rsidRPr="000B61F5">
              <w:rPr>
                <w:rFonts w:ascii="Sylfaen" w:hAnsi="Sylfaen" w:cs="Sylfaen"/>
                <w:sz w:val="18"/>
              </w:rPr>
              <w:lastRenderedPageBreak/>
              <w:t>დაბინძურებული</w:t>
            </w:r>
            <w:r w:rsidRPr="000B61F5">
              <w:rPr>
                <w:rFonts w:ascii="Sylfaen" w:hAnsi="Sylfaen" w:cs="Sylfaen"/>
                <w:sz w:val="18"/>
                <w:lang w:val="ka-GE"/>
              </w:rPr>
              <w:t xml:space="preserve"> </w:t>
            </w:r>
            <w:r w:rsidRPr="000B61F5">
              <w:rPr>
                <w:rFonts w:ascii="Sylfaen" w:hAnsi="Sylfaen" w:cs="Sylfaen"/>
                <w:sz w:val="18"/>
              </w:rPr>
              <w:t>ნიადაგი</w:t>
            </w:r>
            <w:r w:rsidRPr="000B61F5">
              <w:rPr>
                <w:sz w:val="18"/>
              </w:rPr>
              <w:t xml:space="preserve"> </w:t>
            </w:r>
            <w:r w:rsidRPr="000B61F5">
              <w:rPr>
                <w:rFonts w:ascii="Sylfaen" w:hAnsi="Sylfaen" w:cs="Sylfaen"/>
                <w:sz w:val="18"/>
              </w:rPr>
              <w:t>და</w:t>
            </w:r>
            <w:r w:rsidRPr="000B61F5">
              <w:rPr>
                <w:sz w:val="18"/>
              </w:rPr>
              <w:t xml:space="preserve"> </w:t>
            </w:r>
            <w:r w:rsidRPr="000B61F5">
              <w:rPr>
                <w:rFonts w:ascii="Sylfaen" w:hAnsi="Sylfaen" w:cs="Sylfaen"/>
                <w:sz w:val="18"/>
              </w:rPr>
              <w:t>გრუნტი</w:t>
            </w:r>
            <w:r w:rsidRPr="000B61F5">
              <w:rPr>
                <w:sz w:val="18"/>
              </w:rPr>
              <w:t>)</w:t>
            </w:r>
          </w:p>
        </w:tc>
        <w:tc>
          <w:tcPr>
            <w:tcW w:w="1014" w:type="dxa"/>
            <w:tcBorders>
              <w:top w:val="single" w:sz="4" w:space="0" w:color="auto"/>
              <w:left w:val="single" w:sz="4" w:space="0" w:color="auto"/>
              <w:bottom w:val="single" w:sz="4" w:space="0" w:color="auto"/>
              <w:right w:val="single" w:sz="4" w:space="0" w:color="auto"/>
            </w:tcBorders>
            <w:hideMark/>
          </w:tcPr>
          <w:p w14:paraId="23E9135B" w14:textId="77777777" w:rsidR="00A2588D" w:rsidRPr="000B61F5" w:rsidRDefault="00A2588D" w:rsidP="00A2588D">
            <w:pPr>
              <w:rPr>
                <w:sz w:val="18"/>
              </w:rPr>
            </w:pPr>
            <w:r w:rsidRPr="000B61F5">
              <w:rPr>
                <w:rFonts w:ascii="Sylfaen" w:hAnsi="Sylfaen" w:cs="Sylfaen"/>
                <w:sz w:val="18"/>
              </w:rPr>
              <w:lastRenderedPageBreak/>
              <w:t>დიახ</w:t>
            </w:r>
          </w:p>
        </w:tc>
        <w:tc>
          <w:tcPr>
            <w:tcW w:w="966" w:type="dxa"/>
            <w:tcBorders>
              <w:top w:val="single" w:sz="4" w:space="0" w:color="auto"/>
              <w:left w:val="single" w:sz="4" w:space="0" w:color="auto"/>
              <w:bottom w:val="single" w:sz="4" w:space="0" w:color="auto"/>
              <w:right w:val="single" w:sz="4" w:space="0" w:color="auto"/>
            </w:tcBorders>
            <w:hideMark/>
          </w:tcPr>
          <w:p w14:paraId="3F9844F4" w14:textId="77777777" w:rsidR="00A2588D" w:rsidRPr="000B61F5" w:rsidRDefault="00A2588D" w:rsidP="00A2588D">
            <w:pPr>
              <w:rPr>
                <w:sz w:val="18"/>
              </w:rPr>
            </w:pPr>
            <w:r w:rsidRPr="000B61F5">
              <w:rPr>
                <w:sz w:val="18"/>
              </w:rPr>
              <w:t>H 15</w:t>
            </w:r>
          </w:p>
        </w:tc>
        <w:tc>
          <w:tcPr>
            <w:tcW w:w="3150" w:type="dxa"/>
            <w:gridSpan w:val="2"/>
            <w:tcBorders>
              <w:top w:val="single" w:sz="4" w:space="0" w:color="auto"/>
              <w:left w:val="single" w:sz="4" w:space="0" w:color="auto"/>
              <w:bottom w:val="single" w:sz="4" w:space="0" w:color="auto"/>
              <w:right w:val="single" w:sz="4" w:space="0" w:color="auto"/>
            </w:tcBorders>
            <w:hideMark/>
          </w:tcPr>
          <w:p w14:paraId="4F9A15A3" w14:textId="77777777" w:rsidR="00A2588D" w:rsidRPr="000B61F5" w:rsidRDefault="00A2588D" w:rsidP="00A2588D">
            <w:pPr>
              <w:rPr>
                <w:sz w:val="18"/>
              </w:rPr>
            </w:pPr>
            <w:r w:rsidRPr="000B61F5">
              <w:rPr>
                <w:rFonts w:ascii="Sylfaen" w:hAnsi="Sylfaen" w:cs="Sylfaen"/>
                <w:sz w:val="18"/>
              </w:rPr>
              <w:t>წინასწარ</w:t>
            </w:r>
            <w:r w:rsidRPr="000B61F5">
              <w:rPr>
                <w:sz w:val="18"/>
              </w:rPr>
              <w:t xml:space="preserve"> </w:t>
            </w:r>
            <w:r w:rsidRPr="000B61F5">
              <w:rPr>
                <w:rFonts w:ascii="Sylfaen" w:hAnsi="Sylfaen" w:cs="Sylfaen"/>
                <w:sz w:val="18"/>
              </w:rPr>
              <w:t>განსაზღვრა</w:t>
            </w:r>
          </w:p>
          <w:p w14:paraId="653CF59D" w14:textId="77777777" w:rsidR="00A2588D" w:rsidRPr="000B61F5" w:rsidRDefault="00A2588D" w:rsidP="00A2588D">
            <w:pPr>
              <w:rPr>
                <w:sz w:val="18"/>
              </w:rPr>
            </w:pPr>
            <w:r w:rsidRPr="000B61F5">
              <w:rPr>
                <w:rFonts w:ascii="Sylfaen" w:hAnsi="Sylfaen" w:cs="Sylfaen"/>
                <w:sz w:val="18"/>
              </w:rPr>
              <w:t>შეუძლებელია</w:t>
            </w:r>
            <w:r w:rsidRPr="000B61F5">
              <w:rPr>
                <w:sz w:val="18"/>
              </w:rPr>
              <w:t>.</w:t>
            </w:r>
          </w:p>
          <w:p w14:paraId="6EA77B59" w14:textId="77777777" w:rsidR="00A2588D" w:rsidRPr="000B61F5" w:rsidRDefault="00A2588D" w:rsidP="00A2588D">
            <w:pPr>
              <w:rPr>
                <w:sz w:val="18"/>
              </w:rPr>
            </w:pPr>
            <w:r w:rsidRPr="000B61F5">
              <w:rPr>
                <w:rFonts w:ascii="Sylfaen" w:hAnsi="Sylfaen" w:cs="Sylfaen"/>
                <w:sz w:val="18"/>
              </w:rPr>
              <w:t>დამოკიდებულია</w:t>
            </w:r>
            <w:r w:rsidRPr="000B61F5">
              <w:rPr>
                <w:sz w:val="18"/>
              </w:rPr>
              <w:t xml:space="preserve"> </w:t>
            </w:r>
            <w:r w:rsidRPr="000B61F5">
              <w:rPr>
                <w:rFonts w:ascii="Sylfaen" w:hAnsi="Sylfaen" w:cs="Sylfaen"/>
                <w:sz w:val="18"/>
              </w:rPr>
              <w:t>დაღვრის</w:t>
            </w:r>
          </w:p>
          <w:p w14:paraId="2A33F414" w14:textId="77777777" w:rsidR="00A2588D" w:rsidRPr="000B61F5" w:rsidRDefault="00A2588D" w:rsidP="00A2588D">
            <w:pPr>
              <w:rPr>
                <w:sz w:val="18"/>
              </w:rPr>
            </w:pPr>
            <w:r w:rsidRPr="000B61F5">
              <w:rPr>
                <w:rFonts w:ascii="Sylfaen" w:hAnsi="Sylfaen" w:cs="Sylfaen"/>
                <w:sz w:val="18"/>
              </w:rPr>
              <w:t>მასშტაბებზე</w:t>
            </w:r>
          </w:p>
        </w:tc>
        <w:tc>
          <w:tcPr>
            <w:tcW w:w="5040" w:type="dxa"/>
            <w:tcBorders>
              <w:top w:val="single" w:sz="4" w:space="0" w:color="auto"/>
              <w:left w:val="single" w:sz="4" w:space="0" w:color="auto"/>
              <w:bottom w:val="single" w:sz="4" w:space="0" w:color="auto"/>
              <w:right w:val="single" w:sz="4" w:space="0" w:color="auto"/>
            </w:tcBorders>
            <w:hideMark/>
          </w:tcPr>
          <w:p w14:paraId="262768BA" w14:textId="77777777" w:rsidR="00A2588D" w:rsidRPr="000B61F5" w:rsidRDefault="00A2588D" w:rsidP="00A2588D">
            <w:pPr>
              <w:rPr>
                <w:sz w:val="18"/>
              </w:rPr>
            </w:pPr>
            <w:r w:rsidRPr="000B61F5">
              <w:rPr>
                <w:rFonts w:ascii="Sylfaen" w:hAnsi="Sylfaen" w:cs="Sylfaen"/>
                <w:sz w:val="18"/>
              </w:rPr>
              <w:t>ნარჩენები</w:t>
            </w:r>
            <w:r w:rsidRPr="000B61F5">
              <w:rPr>
                <w:sz w:val="18"/>
              </w:rPr>
              <w:t xml:space="preserve"> </w:t>
            </w:r>
            <w:r w:rsidRPr="000B61F5">
              <w:rPr>
                <w:rFonts w:ascii="Sylfaen" w:hAnsi="Sylfaen" w:cs="Sylfaen"/>
                <w:sz w:val="18"/>
              </w:rPr>
              <w:t>გადაეცემა</w:t>
            </w:r>
            <w:r w:rsidRPr="000B61F5">
              <w:rPr>
                <w:sz w:val="18"/>
              </w:rPr>
              <w:t xml:space="preserve"> </w:t>
            </w:r>
            <w:r w:rsidRPr="000B61F5">
              <w:rPr>
                <w:rFonts w:ascii="Sylfaen" w:hAnsi="Sylfaen" w:cs="Sylfaen"/>
                <w:sz w:val="18"/>
              </w:rPr>
              <w:t>შესაბამისი</w:t>
            </w:r>
            <w:r w:rsidRPr="000B61F5">
              <w:rPr>
                <w:sz w:val="18"/>
              </w:rPr>
              <w:t xml:space="preserve"> </w:t>
            </w:r>
            <w:r w:rsidRPr="000B61F5">
              <w:rPr>
                <w:rFonts w:ascii="Sylfaen" w:hAnsi="Sylfaen" w:cs="Sylfaen"/>
                <w:sz w:val="18"/>
              </w:rPr>
              <w:t>ნებართვის</w:t>
            </w:r>
            <w:r w:rsidRPr="000B61F5">
              <w:rPr>
                <w:sz w:val="18"/>
              </w:rPr>
              <w:t xml:space="preserve"> </w:t>
            </w:r>
            <w:r w:rsidRPr="000B61F5">
              <w:rPr>
                <w:rFonts w:ascii="Sylfaen" w:hAnsi="Sylfaen" w:cs="Sylfaen"/>
                <w:sz w:val="18"/>
              </w:rPr>
              <w:t>მქონე</w:t>
            </w:r>
            <w:r w:rsidRPr="000B61F5">
              <w:rPr>
                <w:sz w:val="18"/>
              </w:rPr>
              <w:t xml:space="preserve"> </w:t>
            </w:r>
            <w:r w:rsidRPr="000B61F5">
              <w:rPr>
                <w:rFonts w:ascii="Sylfaen" w:hAnsi="Sylfaen" w:cs="Sylfaen"/>
                <w:sz w:val="18"/>
              </w:rPr>
              <w:t>კომპანიას</w:t>
            </w:r>
            <w:r w:rsidRPr="000B61F5">
              <w:rPr>
                <w:sz w:val="18"/>
              </w:rPr>
              <w:t>.</w:t>
            </w:r>
          </w:p>
        </w:tc>
        <w:tc>
          <w:tcPr>
            <w:tcW w:w="1170" w:type="dxa"/>
            <w:tcBorders>
              <w:top w:val="single" w:sz="4" w:space="0" w:color="auto"/>
              <w:left w:val="single" w:sz="4" w:space="0" w:color="auto"/>
              <w:bottom w:val="single" w:sz="4" w:space="0" w:color="auto"/>
              <w:right w:val="single" w:sz="4" w:space="0" w:color="auto"/>
            </w:tcBorders>
            <w:hideMark/>
          </w:tcPr>
          <w:p w14:paraId="50E969A8" w14:textId="77777777" w:rsidR="00A2588D" w:rsidRPr="000B61F5" w:rsidRDefault="00A2588D" w:rsidP="00A2588D">
            <w:pPr>
              <w:rPr>
                <w:sz w:val="18"/>
              </w:rPr>
            </w:pPr>
            <w:r w:rsidRPr="000B61F5">
              <w:rPr>
                <w:sz w:val="18"/>
              </w:rPr>
              <w:t>Y9</w:t>
            </w:r>
          </w:p>
        </w:tc>
      </w:tr>
      <w:tr w:rsidR="00A2588D" w:rsidRPr="003D733D" w14:paraId="0D02D2F6" w14:textId="77777777" w:rsidTr="00A2588D">
        <w:trPr>
          <w:trHeight w:val="20"/>
        </w:trPr>
        <w:tc>
          <w:tcPr>
            <w:tcW w:w="1075" w:type="dxa"/>
            <w:tcBorders>
              <w:top w:val="single" w:sz="4" w:space="0" w:color="auto"/>
              <w:left w:val="single" w:sz="4" w:space="0" w:color="auto"/>
              <w:bottom w:val="single" w:sz="4" w:space="0" w:color="auto"/>
              <w:right w:val="single" w:sz="4" w:space="0" w:color="auto"/>
            </w:tcBorders>
            <w:hideMark/>
          </w:tcPr>
          <w:p w14:paraId="4EDB8DF9" w14:textId="77777777" w:rsidR="00A2588D" w:rsidRPr="000B61F5" w:rsidRDefault="00A2588D" w:rsidP="00A2588D">
            <w:pPr>
              <w:rPr>
                <w:sz w:val="18"/>
              </w:rPr>
            </w:pPr>
            <w:r w:rsidRPr="000B61F5">
              <w:rPr>
                <w:sz w:val="18"/>
              </w:rPr>
              <w:t>11 01 13*</w:t>
            </w:r>
          </w:p>
        </w:tc>
        <w:tc>
          <w:tcPr>
            <w:tcW w:w="2790" w:type="dxa"/>
            <w:tcBorders>
              <w:top w:val="single" w:sz="4" w:space="0" w:color="auto"/>
              <w:left w:val="single" w:sz="4" w:space="0" w:color="auto"/>
              <w:bottom w:val="single" w:sz="4" w:space="0" w:color="auto"/>
              <w:right w:val="single" w:sz="4" w:space="0" w:color="auto"/>
            </w:tcBorders>
            <w:hideMark/>
          </w:tcPr>
          <w:p w14:paraId="57E27A5F" w14:textId="77777777" w:rsidR="00A2588D" w:rsidRPr="000B61F5" w:rsidRDefault="00A2588D" w:rsidP="00A2588D">
            <w:pPr>
              <w:rPr>
                <w:sz w:val="18"/>
              </w:rPr>
            </w:pPr>
            <w:r w:rsidRPr="000B61F5">
              <w:rPr>
                <w:rFonts w:ascii="Sylfaen" w:hAnsi="Sylfaen" w:cs="Sylfaen"/>
                <w:sz w:val="18"/>
              </w:rPr>
              <w:t>გაპოხვის</w:t>
            </w:r>
            <w:r w:rsidRPr="000B61F5">
              <w:rPr>
                <w:sz w:val="18"/>
              </w:rPr>
              <w:t xml:space="preserve"> </w:t>
            </w:r>
            <w:r w:rsidRPr="000B61F5">
              <w:rPr>
                <w:rFonts w:ascii="Sylfaen" w:hAnsi="Sylfaen" w:cs="Sylfaen"/>
                <w:sz w:val="18"/>
              </w:rPr>
              <w:t>შედეგად</w:t>
            </w:r>
            <w:r w:rsidRPr="000B61F5">
              <w:rPr>
                <w:rFonts w:ascii="Sylfaen" w:hAnsi="Sylfaen" w:cs="Sylfaen"/>
                <w:sz w:val="18"/>
                <w:lang w:val="ka-GE"/>
              </w:rPr>
              <w:t xml:space="preserve"> </w:t>
            </w:r>
            <w:r w:rsidRPr="000B61F5">
              <w:rPr>
                <w:rFonts w:ascii="Sylfaen" w:hAnsi="Sylfaen" w:cs="Sylfaen"/>
                <w:sz w:val="18"/>
              </w:rPr>
              <w:t>მიღებული</w:t>
            </w:r>
            <w:r w:rsidRPr="000B61F5">
              <w:rPr>
                <w:sz w:val="18"/>
              </w:rPr>
              <w:t xml:space="preserve"> </w:t>
            </w:r>
            <w:r w:rsidRPr="000B61F5">
              <w:rPr>
                <w:rFonts w:ascii="Sylfaen" w:hAnsi="Sylfaen" w:cs="Sylfaen"/>
                <w:sz w:val="18"/>
              </w:rPr>
              <w:t>ნარჩენები</w:t>
            </w:r>
            <w:r w:rsidRPr="000B61F5">
              <w:rPr>
                <w:sz w:val="18"/>
              </w:rPr>
              <w:t>,</w:t>
            </w:r>
            <w:r w:rsidRPr="000B61F5">
              <w:rPr>
                <w:rFonts w:ascii="Sylfaen" w:hAnsi="Sylfaen"/>
                <w:sz w:val="18"/>
                <w:lang w:val="ka-GE"/>
              </w:rPr>
              <w:t xml:space="preserve"> </w:t>
            </w:r>
            <w:r w:rsidRPr="000B61F5">
              <w:rPr>
                <w:rFonts w:ascii="Sylfaen" w:hAnsi="Sylfaen" w:cs="Sylfaen"/>
                <w:sz w:val="18"/>
              </w:rPr>
              <w:t>რომლებიც</w:t>
            </w:r>
            <w:r w:rsidRPr="000B61F5">
              <w:rPr>
                <w:sz w:val="18"/>
              </w:rPr>
              <w:t xml:space="preserve"> </w:t>
            </w:r>
            <w:r w:rsidRPr="000B61F5">
              <w:rPr>
                <w:rFonts w:ascii="Sylfaen" w:hAnsi="Sylfaen" w:cs="Sylfaen"/>
                <w:sz w:val="18"/>
              </w:rPr>
              <w:t>შეიცავს</w:t>
            </w:r>
            <w:r w:rsidRPr="000B61F5">
              <w:rPr>
                <w:rFonts w:ascii="Sylfaen" w:hAnsi="Sylfaen" w:cs="Sylfaen"/>
                <w:sz w:val="18"/>
                <w:lang w:val="ka-GE"/>
              </w:rPr>
              <w:t xml:space="preserve"> </w:t>
            </w:r>
            <w:r w:rsidRPr="000B61F5">
              <w:rPr>
                <w:rFonts w:ascii="Sylfaen" w:hAnsi="Sylfaen" w:cs="Sylfaen"/>
                <w:sz w:val="18"/>
              </w:rPr>
              <w:t>საშიშ</w:t>
            </w:r>
            <w:r w:rsidRPr="000B61F5">
              <w:rPr>
                <w:sz w:val="18"/>
              </w:rPr>
              <w:t xml:space="preserve"> </w:t>
            </w:r>
            <w:r w:rsidRPr="000B61F5">
              <w:rPr>
                <w:rFonts w:ascii="Sylfaen" w:hAnsi="Sylfaen" w:cs="Sylfaen"/>
                <w:sz w:val="18"/>
              </w:rPr>
              <w:t>ნივთიერებებს</w:t>
            </w:r>
          </w:p>
        </w:tc>
        <w:tc>
          <w:tcPr>
            <w:tcW w:w="1014" w:type="dxa"/>
            <w:tcBorders>
              <w:top w:val="single" w:sz="4" w:space="0" w:color="auto"/>
              <w:left w:val="single" w:sz="4" w:space="0" w:color="auto"/>
              <w:bottom w:val="single" w:sz="4" w:space="0" w:color="auto"/>
              <w:right w:val="single" w:sz="4" w:space="0" w:color="auto"/>
            </w:tcBorders>
            <w:hideMark/>
          </w:tcPr>
          <w:p w14:paraId="267D8473" w14:textId="77777777" w:rsidR="00A2588D" w:rsidRPr="000B61F5" w:rsidRDefault="00A2588D" w:rsidP="00A2588D">
            <w:pPr>
              <w:rPr>
                <w:sz w:val="18"/>
              </w:rPr>
            </w:pPr>
            <w:r w:rsidRPr="000B61F5">
              <w:rPr>
                <w:rFonts w:ascii="Sylfaen" w:hAnsi="Sylfaen" w:cs="Sylfaen"/>
                <w:sz w:val="18"/>
              </w:rPr>
              <w:t>დიახ</w:t>
            </w:r>
            <w:r w:rsidRPr="000B61F5">
              <w:rPr>
                <w:sz w:val="18"/>
              </w:rPr>
              <w:t xml:space="preserve"> </w:t>
            </w:r>
          </w:p>
        </w:tc>
        <w:tc>
          <w:tcPr>
            <w:tcW w:w="966" w:type="dxa"/>
            <w:tcBorders>
              <w:top w:val="single" w:sz="4" w:space="0" w:color="auto"/>
              <w:left w:val="single" w:sz="4" w:space="0" w:color="auto"/>
              <w:bottom w:val="single" w:sz="4" w:space="0" w:color="auto"/>
              <w:right w:val="single" w:sz="4" w:space="0" w:color="auto"/>
            </w:tcBorders>
            <w:hideMark/>
          </w:tcPr>
          <w:p w14:paraId="384F05DF" w14:textId="77777777" w:rsidR="00A2588D" w:rsidRPr="000B61F5" w:rsidRDefault="00A2588D" w:rsidP="00A2588D">
            <w:pPr>
              <w:rPr>
                <w:sz w:val="18"/>
              </w:rPr>
            </w:pPr>
            <w:r w:rsidRPr="000B61F5">
              <w:rPr>
                <w:sz w:val="18"/>
              </w:rPr>
              <w:t>H 6</w:t>
            </w:r>
          </w:p>
        </w:tc>
        <w:tc>
          <w:tcPr>
            <w:tcW w:w="1530" w:type="dxa"/>
            <w:tcBorders>
              <w:top w:val="single" w:sz="4" w:space="0" w:color="auto"/>
              <w:left w:val="single" w:sz="4" w:space="0" w:color="auto"/>
              <w:bottom w:val="single" w:sz="4" w:space="0" w:color="auto"/>
              <w:right w:val="single" w:sz="4" w:space="0" w:color="auto"/>
            </w:tcBorders>
            <w:hideMark/>
          </w:tcPr>
          <w:p w14:paraId="4AA10A89" w14:textId="77777777" w:rsidR="00A2588D" w:rsidRPr="000B61F5" w:rsidRDefault="00A2588D" w:rsidP="00A2588D">
            <w:pPr>
              <w:rPr>
                <w:sz w:val="18"/>
              </w:rPr>
            </w:pPr>
            <w:r w:rsidRPr="000B61F5">
              <w:rPr>
                <w:sz w:val="18"/>
              </w:rPr>
              <w:t xml:space="preserve">30-50 </w:t>
            </w:r>
            <w:r w:rsidRPr="000B61F5">
              <w:rPr>
                <w:rFonts w:ascii="Sylfaen" w:hAnsi="Sylfaen" w:cs="Sylfaen"/>
                <w:sz w:val="18"/>
              </w:rPr>
              <w:t>ლ</w:t>
            </w:r>
          </w:p>
        </w:tc>
        <w:tc>
          <w:tcPr>
            <w:tcW w:w="1620" w:type="dxa"/>
            <w:tcBorders>
              <w:top w:val="single" w:sz="4" w:space="0" w:color="auto"/>
              <w:left w:val="single" w:sz="4" w:space="0" w:color="auto"/>
              <w:bottom w:val="single" w:sz="4" w:space="0" w:color="auto"/>
              <w:right w:val="single" w:sz="4" w:space="0" w:color="auto"/>
            </w:tcBorders>
            <w:hideMark/>
          </w:tcPr>
          <w:p w14:paraId="1F1E1166" w14:textId="77777777" w:rsidR="00A2588D" w:rsidRPr="000B61F5" w:rsidRDefault="00A2588D" w:rsidP="00A2588D">
            <w:pPr>
              <w:rPr>
                <w:sz w:val="18"/>
              </w:rPr>
            </w:pPr>
            <w:r w:rsidRPr="000B61F5">
              <w:rPr>
                <w:sz w:val="18"/>
              </w:rPr>
              <w:t>-</w:t>
            </w:r>
          </w:p>
        </w:tc>
        <w:tc>
          <w:tcPr>
            <w:tcW w:w="5040" w:type="dxa"/>
            <w:tcBorders>
              <w:top w:val="single" w:sz="4" w:space="0" w:color="auto"/>
              <w:left w:val="single" w:sz="4" w:space="0" w:color="auto"/>
              <w:bottom w:val="single" w:sz="4" w:space="0" w:color="auto"/>
              <w:right w:val="single" w:sz="4" w:space="0" w:color="auto"/>
            </w:tcBorders>
            <w:hideMark/>
          </w:tcPr>
          <w:p w14:paraId="5F8E318C" w14:textId="77777777" w:rsidR="00A2588D" w:rsidRPr="000B61F5" w:rsidRDefault="00A2588D" w:rsidP="00A2588D">
            <w:pPr>
              <w:rPr>
                <w:sz w:val="18"/>
              </w:rPr>
            </w:pPr>
            <w:r w:rsidRPr="000B61F5">
              <w:rPr>
                <w:rFonts w:ascii="Sylfaen" w:hAnsi="Sylfaen" w:cs="Sylfaen"/>
                <w:sz w:val="18"/>
              </w:rPr>
              <w:t>ნარჩენები</w:t>
            </w:r>
            <w:r w:rsidRPr="000B61F5">
              <w:rPr>
                <w:sz w:val="18"/>
              </w:rPr>
              <w:t xml:space="preserve"> </w:t>
            </w:r>
            <w:r w:rsidRPr="000B61F5">
              <w:rPr>
                <w:rFonts w:ascii="Sylfaen" w:hAnsi="Sylfaen" w:cs="Sylfaen"/>
                <w:sz w:val="18"/>
              </w:rPr>
              <w:t>გადაეცემა</w:t>
            </w:r>
            <w:r w:rsidRPr="000B61F5">
              <w:rPr>
                <w:sz w:val="18"/>
              </w:rPr>
              <w:t xml:space="preserve"> </w:t>
            </w:r>
            <w:r w:rsidRPr="000B61F5">
              <w:rPr>
                <w:rFonts w:ascii="Sylfaen" w:hAnsi="Sylfaen" w:cs="Sylfaen"/>
                <w:sz w:val="18"/>
              </w:rPr>
              <w:t>შესაბამისი</w:t>
            </w:r>
            <w:r w:rsidRPr="000B61F5">
              <w:rPr>
                <w:sz w:val="18"/>
              </w:rPr>
              <w:t xml:space="preserve"> </w:t>
            </w:r>
            <w:r w:rsidRPr="000B61F5">
              <w:rPr>
                <w:rFonts w:ascii="Sylfaen" w:hAnsi="Sylfaen" w:cs="Sylfaen"/>
                <w:sz w:val="18"/>
              </w:rPr>
              <w:t>ნებართვის</w:t>
            </w:r>
            <w:r w:rsidRPr="000B61F5">
              <w:rPr>
                <w:sz w:val="18"/>
              </w:rPr>
              <w:t xml:space="preserve"> </w:t>
            </w:r>
            <w:r w:rsidRPr="000B61F5">
              <w:rPr>
                <w:rFonts w:ascii="Sylfaen" w:hAnsi="Sylfaen" w:cs="Sylfaen"/>
                <w:sz w:val="18"/>
              </w:rPr>
              <w:t>მქონე</w:t>
            </w:r>
            <w:r w:rsidRPr="000B61F5">
              <w:rPr>
                <w:sz w:val="18"/>
              </w:rPr>
              <w:t xml:space="preserve"> </w:t>
            </w:r>
            <w:r w:rsidRPr="000B61F5">
              <w:rPr>
                <w:rFonts w:ascii="Sylfaen" w:hAnsi="Sylfaen" w:cs="Sylfaen"/>
                <w:sz w:val="18"/>
              </w:rPr>
              <w:t>კომპანიას</w:t>
            </w:r>
            <w:r w:rsidRPr="000B61F5">
              <w:rPr>
                <w:sz w:val="18"/>
              </w:rPr>
              <w:t>.</w:t>
            </w:r>
          </w:p>
        </w:tc>
        <w:tc>
          <w:tcPr>
            <w:tcW w:w="1170" w:type="dxa"/>
            <w:tcBorders>
              <w:top w:val="single" w:sz="4" w:space="0" w:color="auto"/>
              <w:left w:val="single" w:sz="4" w:space="0" w:color="auto"/>
              <w:bottom w:val="single" w:sz="4" w:space="0" w:color="auto"/>
              <w:right w:val="single" w:sz="4" w:space="0" w:color="auto"/>
            </w:tcBorders>
            <w:hideMark/>
          </w:tcPr>
          <w:p w14:paraId="6D0FAA3D" w14:textId="77777777" w:rsidR="00A2588D" w:rsidRPr="000B61F5" w:rsidRDefault="00A2588D" w:rsidP="00A2588D">
            <w:pPr>
              <w:rPr>
                <w:sz w:val="18"/>
              </w:rPr>
            </w:pPr>
            <w:r w:rsidRPr="000B61F5">
              <w:rPr>
                <w:sz w:val="18"/>
              </w:rPr>
              <w:t>Y9</w:t>
            </w:r>
          </w:p>
        </w:tc>
      </w:tr>
      <w:tr w:rsidR="00A2588D" w:rsidRPr="003D733D" w14:paraId="373BFCE3" w14:textId="77777777" w:rsidTr="00A2588D">
        <w:trPr>
          <w:trHeight w:val="20"/>
        </w:trPr>
        <w:tc>
          <w:tcPr>
            <w:tcW w:w="1075" w:type="dxa"/>
            <w:tcBorders>
              <w:top w:val="single" w:sz="4" w:space="0" w:color="auto"/>
              <w:left w:val="single" w:sz="4" w:space="0" w:color="auto"/>
              <w:bottom w:val="single" w:sz="4" w:space="0" w:color="auto"/>
              <w:right w:val="single" w:sz="4" w:space="0" w:color="auto"/>
            </w:tcBorders>
            <w:hideMark/>
          </w:tcPr>
          <w:p w14:paraId="4063D0F4" w14:textId="77777777" w:rsidR="00A2588D" w:rsidRPr="000B61F5" w:rsidRDefault="00A2588D" w:rsidP="00A2588D">
            <w:pPr>
              <w:rPr>
                <w:sz w:val="18"/>
              </w:rPr>
            </w:pPr>
            <w:r w:rsidRPr="000B61F5">
              <w:rPr>
                <w:sz w:val="18"/>
              </w:rPr>
              <w:t>17 02 01</w:t>
            </w:r>
          </w:p>
        </w:tc>
        <w:tc>
          <w:tcPr>
            <w:tcW w:w="2790" w:type="dxa"/>
            <w:tcBorders>
              <w:top w:val="single" w:sz="4" w:space="0" w:color="auto"/>
              <w:left w:val="single" w:sz="4" w:space="0" w:color="auto"/>
              <w:bottom w:val="single" w:sz="4" w:space="0" w:color="auto"/>
              <w:right w:val="single" w:sz="4" w:space="0" w:color="auto"/>
            </w:tcBorders>
            <w:hideMark/>
          </w:tcPr>
          <w:p w14:paraId="5053F336" w14:textId="77777777" w:rsidR="00A2588D" w:rsidRPr="000B61F5" w:rsidRDefault="00A2588D" w:rsidP="00A2588D">
            <w:pPr>
              <w:rPr>
                <w:sz w:val="18"/>
              </w:rPr>
            </w:pPr>
            <w:r w:rsidRPr="000B61F5">
              <w:rPr>
                <w:rFonts w:ascii="Sylfaen" w:hAnsi="Sylfaen" w:cs="Sylfaen"/>
                <w:sz w:val="18"/>
              </w:rPr>
              <w:t>ხე</w:t>
            </w:r>
          </w:p>
        </w:tc>
        <w:tc>
          <w:tcPr>
            <w:tcW w:w="1014" w:type="dxa"/>
            <w:tcBorders>
              <w:top w:val="single" w:sz="4" w:space="0" w:color="auto"/>
              <w:left w:val="single" w:sz="4" w:space="0" w:color="auto"/>
              <w:bottom w:val="single" w:sz="4" w:space="0" w:color="auto"/>
              <w:right w:val="single" w:sz="4" w:space="0" w:color="auto"/>
            </w:tcBorders>
            <w:hideMark/>
          </w:tcPr>
          <w:p w14:paraId="3FA63EE6" w14:textId="77777777" w:rsidR="00A2588D" w:rsidRPr="000B61F5" w:rsidRDefault="00A2588D" w:rsidP="00A2588D">
            <w:pPr>
              <w:rPr>
                <w:sz w:val="18"/>
              </w:rPr>
            </w:pPr>
            <w:r w:rsidRPr="000B61F5">
              <w:rPr>
                <w:rFonts w:ascii="Sylfaen" w:hAnsi="Sylfaen" w:cs="Sylfaen"/>
                <w:sz w:val="18"/>
              </w:rPr>
              <w:t>არა</w:t>
            </w:r>
          </w:p>
        </w:tc>
        <w:tc>
          <w:tcPr>
            <w:tcW w:w="966" w:type="dxa"/>
            <w:tcBorders>
              <w:top w:val="single" w:sz="4" w:space="0" w:color="auto"/>
              <w:left w:val="single" w:sz="4" w:space="0" w:color="auto"/>
              <w:bottom w:val="single" w:sz="4" w:space="0" w:color="auto"/>
              <w:right w:val="single" w:sz="4" w:space="0" w:color="auto"/>
            </w:tcBorders>
          </w:tcPr>
          <w:p w14:paraId="67C7E70D" w14:textId="77777777" w:rsidR="00A2588D" w:rsidRPr="000B61F5" w:rsidRDefault="00A2588D" w:rsidP="00A2588D">
            <w:pPr>
              <w:rPr>
                <w:sz w:val="18"/>
              </w:rPr>
            </w:pPr>
          </w:p>
        </w:tc>
        <w:tc>
          <w:tcPr>
            <w:tcW w:w="1530" w:type="dxa"/>
            <w:tcBorders>
              <w:top w:val="single" w:sz="4" w:space="0" w:color="auto"/>
              <w:left w:val="single" w:sz="4" w:space="0" w:color="auto"/>
              <w:bottom w:val="single" w:sz="4" w:space="0" w:color="auto"/>
              <w:right w:val="single" w:sz="4" w:space="0" w:color="auto"/>
            </w:tcBorders>
            <w:hideMark/>
          </w:tcPr>
          <w:p w14:paraId="7AF7D455" w14:textId="77777777" w:rsidR="00A2588D" w:rsidRPr="000B61F5" w:rsidRDefault="00A2588D" w:rsidP="00A2588D">
            <w:pPr>
              <w:rPr>
                <w:sz w:val="18"/>
              </w:rPr>
            </w:pPr>
            <w:r w:rsidRPr="000B61F5">
              <w:rPr>
                <w:sz w:val="18"/>
              </w:rPr>
              <w:t>&gt;5000 m3</w:t>
            </w:r>
          </w:p>
        </w:tc>
        <w:tc>
          <w:tcPr>
            <w:tcW w:w="1620" w:type="dxa"/>
            <w:tcBorders>
              <w:top w:val="single" w:sz="4" w:space="0" w:color="auto"/>
              <w:left w:val="single" w:sz="4" w:space="0" w:color="auto"/>
              <w:bottom w:val="single" w:sz="4" w:space="0" w:color="auto"/>
              <w:right w:val="single" w:sz="4" w:space="0" w:color="auto"/>
            </w:tcBorders>
            <w:hideMark/>
          </w:tcPr>
          <w:p w14:paraId="1099AF54" w14:textId="77777777" w:rsidR="00A2588D" w:rsidRPr="000B61F5" w:rsidRDefault="00A2588D" w:rsidP="00A2588D">
            <w:pPr>
              <w:rPr>
                <w:sz w:val="18"/>
              </w:rPr>
            </w:pPr>
            <w:r w:rsidRPr="000B61F5">
              <w:rPr>
                <w:sz w:val="18"/>
              </w:rPr>
              <w:t>-</w:t>
            </w:r>
          </w:p>
        </w:tc>
        <w:tc>
          <w:tcPr>
            <w:tcW w:w="5040" w:type="dxa"/>
            <w:tcBorders>
              <w:top w:val="single" w:sz="4" w:space="0" w:color="auto"/>
              <w:left w:val="single" w:sz="4" w:space="0" w:color="auto"/>
              <w:bottom w:val="single" w:sz="4" w:space="0" w:color="auto"/>
              <w:right w:val="single" w:sz="4" w:space="0" w:color="auto"/>
            </w:tcBorders>
            <w:hideMark/>
          </w:tcPr>
          <w:p w14:paraId="72E7D319" w14:textId="77777777" w:rsidR="00A2588D" w:rsidRPr="000B61F5" w:rsidRDefault="00A2588D" w:rsidP="00A2588D">
            <w:pPr>
              <w:rPr>
                <w:sz w:val="18"/>
              </w:rPr>
            </w:pPr>
            <w:r w:rsidRPr="000B61F5">
              <w:rPr>
                <w:rFonts w:ascii="Sylfaen" w:hAnsi="Sylfaen" w:cs="Sylfaen"/>
                <w:sz w:val="18"/>
              </w:rPr>
              <w:t>ნარჩენები</w:t>
            </w:r>
            <w:r w:rsidRPr="000B61F5">
              <w:rPr>
                <w:sz w:val="18"/>
              </w:rPr>
              <w:t xml:space="preserve"> </w:t>
            </w:r>
            <w:r w:rsidRPr="000B61F5">
              <w:rPr>
                <w:rFonts w:ascii="Sylfaen" w:hAnsi="Sylfaen" w:cs="Sylfaen"/>
                <w:sz w:val="18"/>
              </w:rPr>
              <w:t>განთავსდება</w:t>
            </w:r>
            <w:r w:rsidRPr="000B61F5">
              <w:rPr>
                <w:sz w:val="18"/>
              </w:rPr>
              <w:t xml:space="preserve"> </w:t>
            </w:r>
            <w:r w:rsidRPr="000B61F5">
              <w:rPr>
                <w:rFonts w:ascii="Sylfaen" w:hAnsi="Sylfaen" w:cs="Sylfaen"/>
                <w:sz w:val="18"/>
              </w:rPr>
              <w:t>ს</w:t>
            </w:r>
            <w:r w:rsidRPr="000B61F5">
              <w:rPr>
                <w:sz w:val="18"/>
              </w:rPr>
              <w:t>.</w:t>
            </w:r>
            <w:r w:rsidRPr="000B61F5">
              <w:rPr>
                <w:rFonts w:ascii="Sylfaen" w:hAnsi="Sylfaen" w:cs="Sylfaen"/>
                <w:sz w:val="18"/>
              </w:rPr>
              <w:t>ს</w:t>
            </w:r>
            <w:r w:rsidRPr="000B61F5">
              <w:rPr>
                <w:sz w:val="18"/>
              </w:rPr>
              <w:t>.</w:t>
            </w:r>
            <w:r w:rsidRPr="000B61F5">
              <w:rPr>
                <w:rFonts w:ascii="Sylfaen" w:hAnsi="Sylfaen" w:cs="Sylfaen"/>
                <w:sz w:val="18"/>
              </w:rPr>
              <w:t>ი</w:t>
            </w:r>
            <w:r w:rsidRPr="000B61F5">
              <w:rPr>
                <w:sz w:val="18"/>
              </w:rPr>
              <w:t>.</w:t>
            </w:r>
            <w:r w:rsidRPr="000B61F5">
              <w:rPr>
                <w:rFonts w:ascii="Sylfaen" w:hAnsi="Sylfaen" w:cs="Sylfaen"/>
                <w:sz w:val="18"/>
              </w:rPr>
              <w:t>პ</w:t>
            </w:r>
            <w:r w:rsidRPr="000B61F5">
              <w:rPr>
                <w:sz w:val="18"/>
              </w:rPr>
              <w:t>. „</w:t>
            </w:r>
            <w:r w:rsidRPr="000B61F5">
              <w:rPr>
                <w:rFonts w:ascii="Sylfaen" w:hAnsi="Sylfaen" w:cs="Sylfaen"/>
                <w:sz w:val="18"/>
              </w:rPr>
              <w:t>ეროვნულ</w:t>
            </w:r>
            <w:r w:rsidRPr="000B61F5">
              <w:rPr>
                <w:sz w:val="18"/>
              </w:rPr>
              <w:t xml:space="preserve"> </w:t>
            </w:r>
            <w:r w:rsidRPr="000B61F5">
              <w:rPr>
                <w:rFonts w:ascii="Sylfaen" w:hAnsi="Sylfaen" w:cs="Sylfaen"/>
                <w:sz w:val="18"/>
              </w:rPr>
              <w:t>სატყეო</w:t>
            </w:r>
            <w:r w:rsidRPr="000B61F5">
              <w:rPr>
                <w:sz w:val="18"/>
              </w:rPr>
              <w:t xml:space="preserve"> </w:t>
            </w:r>
            <w:r w:rsidRPr="000B61F5">
              <w:rPr>
                <w:rFonts w:ascii="Sylfaen" w:hAnsi="Sylfaen" w:cs="Sylfaen"/>
                <w:sz w:val="18"/>
              </w:rPr>
              <w:t>სააგენტოს</w:t>
            </w:r>
            <w:r w:rsidRPr="000B61F5">
              <w:rPr>
                <w:sz w:val="18"/>
              </w:rPr>
              <w:t xml:space="preserve"> </w:t>
            </w:r>
            <w:r w:rsidRPr="000B61F5">
              <w:rPr>
                <w:rFonts w:ascii="Sylfaen" w:hAnsi="Sylfaen" w:cs="Sylfaen"/>
                <w:sz w:val="18"/>
              </w:rPr>
              <w:t>მიერ</w:t>
            </w:r>
            <w:r w:rsidRPr="000B61F5">
              <w:rPr>
                <w:sz w:val="18"/>
              </w:rPr>
              <w:t xml:space="preserve"> </w:t>
            </w:r>
            <w:r w:rsidRPr="000B61F5">
              <w:rPr>
                <w:rFonts w:ascii="Sylfaen" w:hAnsi="Sylfaen" w:cs="Sylfaen"/>
                <w:sz w:val="18"/>
              </w:rPr>
              <w:t>მითითებულ</w:t>
            </w:r>
            <w:r w:rsidRPr="000B61F5">
              <w:rPr>
                <w:sz w:val="18"/>
              </w:rPr>
              <w:t xml:space="preserve"> </w:t>
            </w:r>
            <w:r w:rsidRPr="000B61F5">
              <w:rPr>
                <w:rFonts w:ascii="Sylfaen" w:hAnsi="Sylfaen" w:cs="Sylfaen"/>
                <w:sz w:val="18"/>
              </w:rPr>
              <w:t>ადგილზე</w:t>
            </w:r>
            <w:r w:rsidRPr="000B61F5">
              <w:rPr>
                <w:sz w:val="18"/>
              </w:rPr>
              <w:t xml:space="preserve"> </w:t>
            </w:r>
            <w:r w:rsidRPr="000B61F5">
              <w:rPr>
                <w:rFonts w:ascii="Sylfaen" w:hAnsi="Sylfaen" w:cs="Sylfaen"/>
                <w:sz w:val="18"/>
              </w:rPr>
              <w:t>და</w:t>
            </w:r>
            <w:r w:rsidRPr="000B61F5">
              <w:rPr>
                <w:sz w:val="18"/>
              </w:rPr>
              <w:t xml:space="preserve"> </w:t>
            </w:r>
            <w:r w:rsidRPr="000B61F5">
              <w:rPr>
                <w:rFonts w:ascii="Sylfaen" w:hAnsi="Sylfaen" w:cs="Sylfaen"/>
                <w:sz w:val="18"/>
              </w:rPr>
              <w:t>გადაეცემა</w:t>
            </w:r>
            <w:r w:rsidRPr="000B61F5">
              <w:rPr>
                <w:sz w:val="18"/>
              </w:rPr>
              <w:t xml:space="preserve"> </w:t>
            </w:r>
            <w:r w:rsidRPr="000B61F5">
              <w:rPr>
                <w:rFonts w:ascii="Sylfaen" w:hAnsi="Sylfaen" w:cs="Sylfaen"/>
                <w:sz w:val="18"/>
              </w:rPr>
              <w:t>სააგენტოს</w:t>
            </w:r>
            <w:r w:rsidRPr="000B61F5">
              <w:rPr>
                <w:sz w:val="18"/>
              </w:rPr>
              <w:t xml:space="preserve"> </w:t>
            </w:r>
            <w:r w:rsidRPr="000B61F5">
              <w:rPr>
                <w:rFonts w:ascii="Sylfaen" w:hAnsi="Sylfaen" w:cs="Sylfaen"/>
                <w:sz w:val="18"/>
              </w:rPr>
              <w:t>შემდგომი</w:t>
            </w:r>
            <w:r w:rsidRPr="000B61F5">
              <w:rPr>
                <w:sz w:val="18"/>
              </w:rPr>
              <w:t xml:space="preserve"> </w:t>
            </w:r>
            <w:r w:rsidRPr="000B61F5">
              <w:rPr>
                <w:rFonts w:ascii="Sylfaen" w:hAnsi="Sylfaen" w:cs="Sylfaen"/>
                <w:sz w:val="18"/>
              </w:rPr>
              <w:t>მართვისათვის</w:t>
            </w:r>
            <w:r w:rsidRPr="000B61F5">
              <w:rPr>
                <w:sz w:val="18"/>
              </w:rPr>
              <w:t>.</w:t>
            </w:r>
          </w:p>
        </w:tc>
        <w:tc>
          <w:tcPr>
            <w:tcW w:w="1170" w:type="dxa"/>
            <w:tcBorders>
              <w:top w:val="single" w:sz="4" w:space="0" w:color="auto"/>
              <w:left w:val="single" w:sz="4" w:space="0" w:color="auto"/>
              <w:bottom w:val="single" w:sz="4" w:space="0" w:color="auto"/>
              <w:right w:val="single" w:sz="4" w:space="0" w:color="auto"/>
            </w:tcBorders>
          </w:tcPr>
          <w:p w14:paraId="429A5F04" w14:textId="77777777" w:rsidR="00A2588D" w:rsidRPr="000B61F5" w:rsidRDefault="00A2588D" w:rsidP="00A2588D">
            <w:pPr>
              <w:rPr>
                <w:sz w:val="18"/>
              </w:rPr>
            </w:pPr>
          </w:p>
        </w:tc>
      </w:tr>
      <w:tr w:rsidR="00A2588D" w:rsidRPr="003D733D" w14:paraId="4A6E1CD4" w14:textId="77777777" w:rsidTr="00A2588D">
        <w:trPr>
          <w:trHeight w:val="20"/>
        </w:trPr>
        <w:tc>
          <w:tcPr>
            <w:tcW w:w="1075" w:type="dxa"/>
            <w:tcBorders>
              <w:top w:val="single" w:sz="4" w:space="0" w:color="auto"/>
              <w:left w:val="single" w:sz="4" w:space="0" w:color="auto"/>
              <w:bottom w:val="single" w:sz="4" w:space="0" w:color="auto"/>
              <w:right w:val="single" w:sz="4" w:space="0" w:color="auto"/>
            </w:tcBorders>
            <w:hideMark/>
          </w:tcPr>
          <w:p w14:paraId="1361618A" w14:textId="77777777" w:rsidR="00A2588D" w:rsidRPr="000B61F5" w:rsidRDefault="00A2588D" w:rsidP="00A2588D">
            <w:pPr>
              <w:rPr>
                <w:sz w:val="18"/>
              </w:rPr>
            </w:pPr>
            <w:r w:rsidRPr="000B61F5">
              <w:rPr>
                <w:sz w:val="18"/>
              </w:rPr>
              <w:t>15 02 02*</w:t>
            </w:r>
          </w:p>
        </w:tc>
        <w:tc>
          <w:tcPr>
            <w:tcW w:w="2790" w:type="dxa"/>
            <w:tcBorders>
              <w:top w:val="single" w:sz="4" w:space="0" w:color="auto"/>
              <w:left w:val="single" w:sz="4" w:space="0" w:color="auto"/>
              <w:bottom w:val="single" w:sz="4" w:space="0" w:color="auto"/>
              <w:right w:val="single" w:sz="4" w:space="0" w:color="auto"/>
            </w:tcBorders>
            <w:hideMark/>
          </w:tcPr>
          <w:p w14:paraId="19E7B324" w14:textId="77777777" w:rsidR="00A2588D" w:rsidRPr="000B61F5" w:rsidRDefault="00A2588D" w:rsidP="00A2588D">
            <w:pPr>
              <w:rPr>
                <w:sz w:val="18"/>
              </w:rPr>
            </w:pPr>
            <w:r w:rsidRPr="000B61F5">
              <w:rPr>
                <w:rFonts w:ascii="Sylfaen" w:hAnsi="Sylfaen" w:cs="Sylfaen"/>
                <w:sz w:val="18"/>
              </w:rPr>
              <w:t>ნავთობპროდუქტებით</w:t>
            </w:r>
            <w:r w:rsidRPr="000B61F5">
              <w:rPr>
                <w:sz w:val="18"/>
              </w:rPr>
              <w:t xml:space="preserve"> </w:t>
            </w:r>
            <w:r w:rsidRPr="000B61F5">
              <w:rPr>
                <w:rFonts w:ascii="Sylfaen" w:hAnsi="Sylfaen" w:cs="Sylfaen"/>
                <w:sz w:val="18"/>
              </w:rPr>
              <w:t>დაბინძურებული</w:t>
            </w:r>
          </w:p>
          <w:p w14:paraId="68D034E8" w14:textId="77777777" w:rsidR="00A2588D" w:rsidRPr="000B61F5" w:rsidRDefault="00A2588D" w:rsidP="00A2588D">
            <w:pPr>
              <w:rPr>
                <w:sz w:val="18"/>
              </w:rPr>
            </w:pPr>
            <w:r w:rsidRPr="000B61F5">
              <w:rPr>
                <w:rFonts w:ascii="Sylfaen" w:hAnsi="Sylfaen" w:cs="Sylfaen"/>
                <w:sz w:val="18"/>
              </w:rPr>
              <w:t>ქსოვილები</w:t>
            </w:r>
            <w:r w:rsidRPr="000B61F5">
              <w:rPr>
                <w:sz w:val="18"/>
              </w:rPr>
              <w:t xml:space="preserve"> (</w:t>
            </w:r>
            <w:r w:rsidRPr="000B61F5">
              <w:rPr>
                <w:rFonts w:ascii="Sylfaen" w:hAnsi="Sylfaen" w:cs="Sylfaen"/>
                <w:sz w:val="18"/>
              </w:rPr>
              <w:t>საწმენდი</w:t>
            </w:r>
          </w:p>
          <w:p w14:paraId="168A9767" w14:textId="77777777" w:rsidR="00A2588D" w:rsidRPr="000B61F5" w:rsidRDefault="00A2588D" w:rsidP="00A2588D">
            <w:pPr>
              <w:rPr>
                <w:sz w:val="18"/>
                <w:lang w:val="ka-GE"/>
              </w:rPr>
            </w:pPr>
            <w:r w:rsidRPr="000B61F5">
              <w:rPr>
                <w:rFonts w:ascii="Sylfaen" w:hAnsi="Sylfaen" w:cs="Sylfaen"/>
                <w:sz w:val="18"/>
              </w:rPr>
              <w:t>ნაჭრები</w:t>
            </w:r>
            <w:r w:rsidRPr="000B61F5">
              <w:rPr>
                <w:sz w:val="18"/>
              </w:rPr>
              <w:t xml:space="preserve"> </w:t>
            </w:r>
            <w:r w:rsidRPr="000B61F5">
              <w:rPr>
                <w:rFonts w:ascii="Sylfaen" w:hAnsi="Sylfaen" w:cs="Sylfaen"/>
                <w:sz w:val="18"/>
              </w:rPr>
              <w:t>და</w:t>
            </w:r>
            <w:r w:rsidRPr="000B61F5">
              <w:rPr>
                <w:sz w:val="18"/>
              </w:rPr>
              <w:t xml:space="preserve"> </w:t>
            </w:r>
            <w:r w:rsidRPr="000B61F5">
              <w:rPr>
                <w:rFonts w:ascii="Sylfaen" w:hAnsi="Sylfaen" w:cs="Sylfaen"/>
                <w:sz w:val="18"/>
              </w:rPr>
              <w:t>დამცავი</w:t>
            </w:r>
            <w:r w:rsidRPr="000B61F5">
              <w:rPr>
                <w:rFonts w:ascii="Sylfaen" w:hAnsi="Sylfaen" w:cs="Sylfaen"/>
                <w:sz w:val="18"/>
                <w:lang w:val="ka-GE"/>
              </w:rPr>
              <w:t xml:space="preserve"> </w:t>
            </w:r>
          </w:p>
          <w:p w14:paraId="5DDF0C34" w14:textId="77777777" w:rsidR="00A2588D" w:rsidRPr="000B61F5" w:rsidRDefault="00A2588D" w:rsidP="00A2588D">
            <w:pPr>
              <w:rPr>
                <w:sz w:val="18"/>
              </w:rPr>
            </w:pPr>
            <w:r w:rsidRPr="000B61F5">
              <w:rPr>
                <w:rFonts w:ascii="Sylfaen" w:hAnsi="Sylfaen" w:cs="Sylfaen"/>
                <w:sz w:val="18"/>
              </w:rPr>
              <w:t>ტანისამოსი</w:t>
            </w:r>
            <w:r w:rsidRPr="000B61F5">
              <w:rPr>
                <w:sz w:val="18"/>
              </w:rPr>
              <w:t>)</w:t>
            </w:r>
          </w:p>
        </w:tc>
        <w:tc>
          <w:tcPr>
            <w:tcW w:w="1014" w:type="dxa"/>
            <w:tcBorders>
              <w:top w:val="single" w:sz="4" w:space="0" w:color="auto"/>
              <w:left w:val="single" w:sz="4" w:space="0" w:color="auto"/>
              <w:bottom w:val="single" w:sz="4" w:space="0" w:color="auto"/>
              <w:right w:val="single" w:sz="4" w:space="0" w:color="auto"/>
            </w:tcBorders>
            <w:hideMark/>
          </w:tcPr>
          <w:p w14:paraId="50E41329" w14:textId="77777777" w:rsidR="00A2588D" w:rsidRPr="000B61F5" w:rsidRDefault="00A2588D" w:rsidP="00A2588D">
            <w:pPr>
              <w:rPr>
                <w:sz w:val="18"/>
              </w:rPr>
            </w:pPr>
            <w:r w:rsidRPr="000B61F5">
              <w:rPr>
                <w:rFonts w:ascii="Sylfaen" w:hAnsi="Sylfaen" w:cs="Sylfaen"/>
                <w:sz w:val="18"/>
              </w:rPr>
              <w:t>დიახ</w:t>
            </w:r>
            <w:r w:rsidRPr="000B61F5">
              <w:rPr>
                <w:sz w:val="18"/>
              </w:rPr>
              <w:t xml:space="preserve"> </w:t>
            </w:r>
          </w:p>
        </w:tc>
        <w:tc>
          <w:tcPr>
            <w:tcW w:w="966" w:type="dxa"/>
            <w:tcBorders>
              <w:top w:val="single" w:sz="4" w:space="0" w:color="auto"/>
              <w:left w:val="single" w:sz="4" w:space="0" w:color="auto"/>
              <w:bottom w:val="single" w:sz="4" w:space="0" w:color="auto"/>
              <w:right w:val="single" w:sz="4" w:space="0" w:color="auto"/>
            </w:tcBorders>
            <w:hideMark/>
          </w:tcPr>
          <w:p w14:paraId="58BFF7CA" w14:textId="77777777" w:rsidR="00A2588D" w:rsidRPr="000B61F5" w:rsidRDefault="00A2588D" w:rsidP="00A2588D">
            <w:pPr>
              <w:rPr>
                <w:sz w:val="18"/>
              </w:rPr>
            </w:pPr>
            <w:r w:rsidRPr="000B61F5">
              <w:rPr>
                <w:sz w:val="18"/>
              </w:rPr>
              <w:t>H 15</w:t>
            </w:r>
          </w:p>
        </w:tc>
        <w:tc>
          <w:tcPr>
            <w:tcW w:w="1530" w:type="dxa"/>
            <w:tcBorders>
              <w:top w:val="single" w:sz="4" w:space="0" w:color="auto"/>
              <w:left w:val="single" w:sz="4" w:space="0" w:color="auto"/>
              <w:bottom w:val="single" w:sz="4" w:space="0" w:color="auto"/>
              <w:right w:val="single" w:sz="4" w:space="0" w:color="auto"/>
            </w:tcBorders>
            <w:hideMark/>
          </w:tcPr>
          <w:p w14:paraId="5791EFCD" w14:textId="77777777" w:rsidR="00A2588D" w:rsidRPr="000B61F5" w:rsidRDefault="00A2588D" w:rsidP="00A2588D">
            <w:pPr>
              <w:rPr>
                <w:sz w:val="18"/>
              </w:rPr>
            </w:pPr>
            <w:r w:rsidRPr="000B61F5">
              <w:rPr>
                <w:sz w:val="18"/>
              </w:rPr>
              <w:t xml:space="preserve">60-70 </w:t>
            </w:r>
            <w:r w:rsidRPr="000B61F5">
              <w:rPr>
                <w:rFonts w:ascii="Sylfaen" w:hAnsi="Sylfaen" w:cs="Sylfaen"/>
                <w:sz w:val="18"/>
              </w:rPr>
              <w:t>კგ</w:t>
            </w:r>
          </w:p>
        </w:tc>
        <w:tc>
          <w:tcPr>
            <w:tcW w:w="1620" w:type="dxa"/>
            <w:tcBorders>
              <w:top w:val="single" w:sz="4" w:space="0" w:color="auto"/>
              <w:left w:val="single" w:sz="4" w:space="0" w:color="auto"/>
              <w:bottom w:val="single" w:sz="4" w:space="0" w:color="auto"/>
              <w:right w:val="single" w:sz="4" w:space="0" w:color="auto"/>
            </w:tcBorders>
            <w:hideMark/>
          </w:tcPr>
          <w:p w14:paraId="14A96923" w14:textId="77777777" w:rsidR="00A2588D" w:rsidRPr="000B61F5" w:rsidRDefault="00A2588D" w:rsidP="00A2588D">
            <w:pPr>
              <w:rPr>
                <w:sz w:val="18"/>
              </w:rPr>
            </w:pPr>
            <w:r w:rsidRPr="000B61F5">
              <w:rPr>
                <w:sz w:val="18"/>
              </w:rPr>
              <w:t>-</w:t>
            </w:r>
          </w:p>
        </w:tc>
        <w:tc>
          <w:tcPr>
            <w:tcW w:w="5040" w:type="dxa"/>
            <w:tcBorders>
              <w:top w:val="single" w:sz="4" w:space="0" w:color="auto"/>
              <w:left w:val="single" w:sz="4" w:space="0" w:color="auto"/>
              <w:bottom w:val="single" w:sz="4" w:space="0" w:color="auto"/>
              <w:right w:val="single" w:sz="4" w:space="0" w:color="auto"/>
            </w:tcBorders>
            <w:hideMark/>
          </w:tcPr>
          <w:p w14:paraId="42331924" w14:textId="77777777" w:rsidR="00A2588D" w:rsidRPr="000B61F5" w:rsidRDefault="00A2588D" w:rsidP="00A2588D">
            <w:pPr>
              <w:rPr>
                <w:sz w:val="18"/>
              </w:rPr>
            </w:pPr>
            <w:r w:rsidRPr="000B61F5">
              <w:rPr>
                <w:rFonts w:ascii="Sylfaen" w:hAnsi="Sylfaen" w:cs="Sylfaen"/>
                <w:sz w:val="18"/>
              </w:rPr>
              <w:t>ნარჩენები</w:t>
            </w:r>
            <w:r w:rsidRPr="000B61F5">
              <w:rPr>
                <w:sz w:val="18"/>
              </w:rPr>
              <w:t xml:space="preserve"> </w:t>
            </w:r>
            <w:r w:rsidRPr="000B61F5">
              <w:rPr>
                <w:rFonts w:ascii="Sylfaen" w:hAnsi="Sylfaen" w:cs="Sylfaen"/>
                <w:sz w:val="18"/>
              </w:rPr>
              <w:t>გადაეცემა</w:t>
            </w:r>
            <w:r w:rsidRPr="000B61F5">
              <w:rPr>
                <w:sz w:val="18"/>
              </w:rPr>
              <w:t xml:space="preserve"> </w:t>
            </w:r>
            <w:r w:rsidRPr="000B61F5">
              <w:rPr>
                <w:rFonts w:ascii="Sylfaen" w:hAnsi="Sylfaen" w:cs="Sylfaen"/>
                <w:sz w:val="18"/>
              </w:rPr>
              <w:t>შესაბამისი</w:t>
            </w:r>
          </w:p>
          <w:p w14:paraId="3D58411C" w14:textId="77777777" w:rsidR="00A2588D" w:rsidRPr="000B61F5" w:rsidRDefault="00A2588D" w:rsidP="00A2588D">
            <w:pPr>
              <w:rPr>
                <w:sz w:val="18"/>
              </w:rPr>
            </w:pPr>
            <w:r w:rsidRPr="000B61F5">
              <w:rPr>
                <w:rFonts w:ascii="Sylfaen" w:hAnsi="Sylfaen" w:cs="Sylfaen"/>
                <w:sz w:val="18"/>
              </w:rPr>
              <w:t>ნებართვის</w:t>
            </w:r>
            <w:r w:rsidRPr="000B61F5">
              <w:rPr>
                <w:sz w:val="18"/>
              </w:rPr>
              <w:t xml:space="preserve"> </w:t>
            </w:r>
            <w:r w:rsidRPr="000B61F5">
              <w:rPr>
                <w:rFonts w:ascii="Sylfaen" w:hAnsi="Sylfaen" w:cs="Sylfaen"/>
                <w:sz w:val="18"/>
              </w:rPr>
              <w:t>მქონე</w:t>
            </w:r>
            <w:r w:rsidRPr="000B61F5">
              <w:rPr>
                <w:sz w:val="18"/>
              </w:rPr>
              <w:t xml:space="preserve"> </w:t>
            </w:r>
            <w:r w:rsidRPr="000B61F5">
              <w:rPr>
                <w:rFonts w:ascii="Sylfaen" w:hAnsi="Sylfaen" w:cs="Sylfaen"/>
                <w:sz w:val="18"/>
              </w:rPr>
              <w:t>კომპანიას</w:t>
            </w:r>
          </w:p>
        </w:tc>
        <w:tc>
          <w:tcPr>
            <w:tcW w:w="1170" w:type="dxa"/>
            <w:tcBorders>
              <w:top w:val="single" w:sz="4" w:space="0" w:color="auto"/>
              <w:left w:val="single" w:sz="4" w:space="0" w:color="auto"/>
              <w:bottom w:val="single" w:sz="4" w:space="0" w:color="auto"/>
              <w:right w:val="single" w:sz="4" w:space="0" w:color="auto"/>
            </w:tcBorders>
            <w:hideMark/>
          </w:tcPr>
          <w:p w14:paraId="7DC6B080" w14:textId="77777777" w:rsidR="00A2588D" w:rsidRPr="000B61F5" w:rsidRDefault="00A2588D" w:rsidP="00A2588D">
            <w:pPr>
              <w:rPr>
                <w:sz w:val="18"/>
              </w:rPr>
            </w:pPr>
            <w:r w:rsidRPr="000B61F5">
              <w:rPr>
                <w:sz w:val="18"/>
              </w:rPr>
              <w:t>Y9</w:t>
            </w:r>
          </w:p>
        </w:tc>
      </w:tr>
      <w:tr w:rsidR="00A2588D" w:rsidRPr="003D733D" w14:paraId="5BA6004F" w14:textId="77777777" w:rsidTr="00A2588D">
        <w:trPr>
          <w:trHeight w:val="20"/>
        </w:trPr>
        <w:tc>
          <w:tcPr>
            <w:tcW w:w="1075" w:type="dxa"/>
            <w:tcBorders>
              <w:top w:val="single" w:sz="4" w:space="0" w:color="auto"/>
              <w:left w:val="single" w:sz="4" w:space="0" w:color="auto"/>
              <w:bottom w:val="single" w:sz="4" w:space="0" w:color="auto"/>
              <w:right w:val="single" w:sz="4" w:space="0" w:color="auto"/>
            </w:tcBorders>
            <w:hideMark/>
          </w:tcPr>
          <w:p w14:paraId="7D54D471" w14:textId="77777777" w:rsidR="00A2588D" w:rsidRPr="000B61F5" w:rsidRDefault="00A2588D" w:rsidP="00A2588D">
            <w:pPr>
              <w:rPr>
                <w:sz w:val="18"/>
              </w:rPr>
            </w:pPr>
            <w:r w:rsidRPr="000B61F5">
              <w:rPr>
                <w:sz w:val="18"/>
              </w:rPr>
              <w:t>16 01 19</w:t>
            </w:r>
          </w:p>
        </w:tc>
        <w:tc>
          <w:tcPr>
            <w:tcW w:w="2790" w:type="dxa"/>
            <w:tcBorders>
              <w:top w:val="single" w:sz="4" w:space="0" w:color="auto"/>
              <w:left w:val="single" w:sz="4" w:space="0" w:color="auto"/>
              <w:bottom w:val="single" w:sz="4" w:space="0" w:color="auto"/>
              <w:right w:val="single" w:sz="4" w:space="0" w:color="auto"/>
            </w:tcBorders>
            <w:hideMark/>
          </w:tcPr>
          <w:p w14:paraId="3A66F4AD" w14:textId="77777777" w:rsidR="00A2588D" w:rsidRPr="000B61F5" w:rsidRDefault="00A2588D" w:rsidP="00A2588D">
            <w:pPr>
              <w:rPr>
                <w:sz w:val="18"/>
              </w:rPr>
            </w:pPr>
            <w:r w:rsidRPr="000B61F5">
              <w:rPr>
                <w:rFonts w:ascii="Sylfaen" w:hAnsi="Sylfaen" w:cs="Sylfaen"/>
                <w:sz w:val="18"/>
              </w:rPr>
              <w:t>პლასტმასი</w:t>
            </w:r>
          </w:p>
        </w:tc>
        <w:tc>
          <w:tcPr>
            <w:tcW w:w="1014" w:type="dxa"/>
            <w:tcBorders>
              <w:top w:val="single" w:sz="4" w:space="0" w:color="auto"/>
              <w:left w:val="single" w:sz="4" w:space="0" w:color="auto"/>
              <w:bottom w:val="single" w:sz="4" w:space="0" w:color="auto"/>
              <w:right w:val="single" w:sz="4" w:space="0" w:color="auto"/>
            </w:tcBorders>
            <w:hideMark/>
          </w:tcPr>
          <w:p w14:paraId="1AC573FB" w14:textId="77777777" w:rsidR="00A2588D" w:rsidRPr="000B61F5" w:rsidRDefault="00A2588D" w:rsidP="00A2588D">
            <w:pPr>
              <w:rPr>
                <w:sz w:val="18"/>
              </w:rPr>
            </w:pPr>
            <w:r w:rsidRPr="000B61F5">
              <w:rPr>
                <w:rFonts w:ascii="Sylfaen" w:hAnsi="Sylfaen" w:cs="Sylfaen"/>
                <w:sz w:val="18"/>
              </w:rPr>
              <w:t>არა</w:t>
            </w:r>
          </w:p>
        </w:tc>
        <w:tc>
          <w:tcPr>
            <w:tcW w:w="966" w:type="dxa"/>
            <w:tcBorders>
              <w:top w:val="single" w:sz="4" w:space="0" w:color="auto"/>
              <w:left w:val="single" w:sz="4" w:space="0" w:color="auto"/>
              <w:bottom w:val="single" w:sz="4" w:space="0" w:color="auto"/>
              <w:right w:val="single" w:sz="4" w:space="0" w:color="auto"/>
            </w:tcBorders>
          </w:tcPr>
          <w:p w14:paraId="23FF2393" w14:textId="77777777" w:rsidR="00A2588D" w:rsidRPr="000B61F5" w:rsidRDefault="00A2588D" w:rsidP="00A2588D">
            <w:pPr>
              <w:rPr>
                <w:sz w:val="18"/>
              </w:rPr>
            </w:pPr>
          </w:p>
        </w:tc>
        <w:tc>
          <w:tcPr>
            <w:tcW w:w="1530" w:type="dxa"/>
            <w:tcBorders>
              <w:top w:val="single" w:sz="4" w:space="0" w:color="auto"/>
              <w:left w:val="single" w:sz="4" w:space="0" w:color="auto"/>
              <w:bottom w:val="single" w:sz="4" w:space="0" w:color="auto"/>
              <w:right w:val="single" w:sz="4" w:space="0" w:color="auto"/>
            </w:tcBorders>
            <w:hideMark/>
          </w:tcPr>
          <w:p w14:paraId="0E048B82" w14:textId="77777777" w:rsidR="00A2588D" w:rsidRPr="000B61F5" w:rsidRDefault="00A2588D" w:rsidP="00A2588D">
            <w:pPr>
              <w:rPr>
                <w:sz w:val="18"/>
              </w:rPr>
            </w:pPr>
            <w:r w:rsidRPr="000B61F5">
              <w:rPr>
                <w:sz w:val="18"/>
              </w:rPr>
              <w:t xml:space="preserve">100 </w:t>
            </w:r>
            <w:r w:rsidRPr="000B61F5">
              <w:rPr>
                <w:rFonts w:ascii="Sylfaen" w:hAnsi="Sylfaen" w:cs="Sylfaen"/>
                <w:sz w:val="18"/>
              </w:rPr>
              <w:t>კგ</w:t>
            </w:r>
          </w:p>
        </w:tc>
        <w:tc>
          <w:tcPr>
            <w:tcW w:w="1620" w:type="dxa"/>
            <w:tcBorders>
              <w:top w:val="single" w:sz="4" w:space="0" w:color="auto"/>
              <w:left w:val="single" w:sz="4" w:space="0" w:color="auto"/>
              <w:bottom w:val="single" w:sz="4" w:space="0" w:color="auto"/>
              <w:right w:val="single" w:sz="4" w:space="0" w:color="auto"/>
            </w:tcBorders>
          </w:tcPr>
          <w:p w14:paraId="5F68AA2E" w14:textId="77777777" w:rsidR="00A2588D" w:rsidRPr="000B61F5" w:rsidRDefault="00A2588D" w:rsidP="00A2588D">
            <w:pPr>
              <w:rPr>
                <w:sz w:val="18"/>
              </w:rPr>
            </w:pPr>
          </w:p>
        </w:tc>
        <w:tc>
          <w:tcPr>
            <w:tcW w:w="5040" w:type="dxa"/>
            <w:tcBorders>
              <w:top w:val="single" w:sz="4" w:space="0" w:color="auto"/>
              <w:left w:val="single" w:sz="4" w:space="0" w:color="auto"/>
              <w:bottom w:val="single" w:sz="4" w:space="0" w:color="auto"/>
              <w:right w:val="single" w:sz="4" w:space="0" w:color="auto"/>
            </w:tcBorders>
            <w:hideMark/>
          </w:tcPr>
          <w:p w14:paraId="4D558A24" w14:textId="77777777" w:rsidR="00A2588D" w:rsidRPr="000B61F5" w:rsidRDefault="00A2588D" w:rsidP="00A2588D">
            <w:pPr>
              <w:rPr>
                <w:sz w:val="18"/>
              </w:rPr>
            </w:pPr>
            <w:r w:rsidRPr="000B61F5">
              <w:rPr>
                <w:rFonts w:ascii="Sylfaen" w:hAnsi="Sylfaen" w:cs="Sylfaen"/>
                <w:sz w:val="18"/>
              </w:rPr>
              <w:t>ნარჩენები</w:t>
            </w:r>
            <w:r w:rsidRPr="000B61F5">
              <w:rPr>
                <w:sz w:val="18"/>
              </w:rPr>
              <w:t xml:space="preserve"> </w:t>
            </w:r>
            <w:r w:rsidRPr="000B61F5">
              <w:rPr>
                <w:rFonts w:ascii="Sylfaen" w:hAnsi="Sylfaen" w:cs="Sylfaen"/>
                <w:sz w:val="18"/>
              </w:rPr>
              <w:t>გადაეცემა</w:t>
            </w:r>
            <w:r w:rsidRPr="000B61F5">
              <w:rPr>
                <w:sz w:val="18"/>
              </w:rPr>
              <w:t xml:space="preserve"> </w:t>
            </w:r>
            <w:r w:rsidRPr="000B61F5">
              <w:rPr>
                <w:rFonts w:ascii="Sylfaen" w:hAnsi="Sylfaen" w:cs="Sylfaen"/>
                <w:sz w:val="18"/>
              </w:rPr>
              <w:t>შესაბამისი</w:t>
            </w:r>
          </w:p>
          <w:p w14:paraId="65A16257" w14:textId="77777777" w:rsidR="00A2588D" w:rsidRPr="000B61F5" w:rsidRDefault="00A2588D" w:rsidP="00A2588D">
            <w:pPr>
              <w:rPr>
                <w:sz w:val="18"/>
              </w:rPr>
            </w:pPr>
            <w:r w:rsidRPr="000B61F5">
              <w:rPr>
                <w:rFonts w:ascii="Sylfaen" w:hAnsi="Sylfaen" w:cs="Sylfaen"/>
                <w:sz w:val="18"/>
              </w:rPr>
              <w:t>ნებართვის</w:t>
            </w:r>
            <w:r w:rsidRPr="000B61F5">
              <w:rPr>
                <w:sz w:val="18"/>
              </w:rPr>
              <w:t xml:space="preserve"> </w:t>
            </w:r>
            <w:r w:rsidRPr="000B61F5">
              <w:rPr>
                <w:rFonts w:ascii="Sylfaen" w:hAnsi="Sylfaen" w:cs="Sylfaen"/>
                <w:sz w:val="18"/>
              </w:rPr>
              <w:t>მქონე</w:t>
            </w:r>
            <w:r w:rsidRPr="000B61F5">
              <w:rPr>
                <w:sz w:val="18"/>
              </w:rPr>
              <w:t xml:space="preserve"> </w:t>
            </w:r>
            <w:r w:rsidRPr="000B61F5">
              <w:rPr>
                <w:rFonts w:ascii="Sylfaen" w:hAnsi="Sylfaen" w:cs="Sylfaen"/>
                <w:sz w:val="18"/>
              </w:rPr>
              <w:t>კომპანიას</w:t>
            </w:r>
            <w:r w:rsidRPr="000B61F5">
              <w:rPr>
                <w:sz w:val="18"/>
              </w:rPr>
              <w:t xml:space="preserve"> </w:t>
            </w:r>
            <w:r w:rsidRPr="000B61F5">
              <w:rPr>
                <w:rFonts w:ascii="Sylfaen" w:hAnsi="Sylfaen" w:cs="Sylfaen"/>
                <w:sz w:val="18"/>
              </w:rPr>
              <w:t>გადამუშავების</w:t>
            </w:r>
            <w:r w:rsidRPr="000B61F5">
              <w:rPr>
                <w:sz w:val="18"/>
              </w:rPr>
              <w:t xml:space="preserve"> </w:t>
            </w:r>
            <w:r w:rsidRPr="000B61F5">
              <w:rPr>
                <w:rFonts w:ascii="Sylfaen" w:hAnsi="Sylfaen" w:cs="Sylfaen"/>
                <w:sz w:val="18"/>
              </w:rPr>
              <w:t>მიზნით</w:t>
            </w:r>
          </w:p>
        </w:tc>
        <w:tc>
          <w:tcPr>
            <w:tcW w:w="1170" w:type="dxa"/>
            <w:tcBorders>
              <w:top w:val="single" w:sz="4" w:space="0" w:color="auto"/>
              <w:left w:val="single" w:sz="4" w:space="0" w:color="auto"/>
              <w:bottom w:val="single" w:sz="4" w:space="0" w:color="auto"/>
              <w:right w:val="single" w:sz="4" w:space="0" w:color="auto"/>
            </w:tcBorders>
            <w:hideMark/>
          </w:tcPr>
          <w:p w14:paraId="7B468695" w14:textId="77777777" w:rsidR="00A2588D" w:rsidRPr="000B61F5" w:rsidRDefault="00A2588D" w:rsidP="00A2588D">
            <w:pPr>
              <w:rPr>
                <w:sz w:val="18"/>
              </w:rPr>
            </w:pPr>
            <w:r w:rsidRPr="000B61F5">
              <w:rPr>
                <w:sz w:val="18"/>
              </w:rPr>
              <w:t>Y17</w:t>
            </w:r>
          </w:p>
        </w:tc>
      </w:tr>
      <w:tr w:rsidR="00A2588D" w:rsidRPr="003D733D" w14:paraId="6E2F168D" w14:textId="77777777" w:rsidTr="00A2588D">
        <w:trPr>
          <w:trHeight w:val="20"/>
        </w:trPr>
        <w:tc>
          <w:tcPr>
            <w:tcW w:w="1075" w:type="dxa"/>
            <w:tcBorders>
              <w:top w:val="single" w:sz="4" w:space="0" w:color="auto"/>
              <w:left w:val="single" w:sz="4" w:space="0" w:color="auto"/>
              <w:bottom w:val="single" w:sz="4" w:space="0" w:color="auto"/>
              <w:right w:val="single" w:sz="4" w:space="0" w:color="auto"/>
            </w:tcBorders>
            <w:hideMark/>
          </w:tcPr>
          <w:p w14:paraId="0A66AC0C" w14:textId="77777777" w:rsidR="00A2588D" w:rsidRPr="000B61F5" w:rsidRDefault="00A2588D" w:rsidP="00A2588D">
            <w:pPr>
              <w:rPr>
                <w:sz w:val="18"/>
              </w:rPr>
            </w:pPr>
            <w:r w:rsidRPr="000B61F5">
              <w:rPr>
                <w:sz w:val="18"/>
              </w:rPr>
              <w:t>08 03 17*</w:t>
            </w:r>
          </w:p>
        </w:tc>
        <w:tc>
          <w:tcPr>
            <w:tcW w:w="2790" w:type="dxa"/>
            <w:tcBorders>
              <w:top w:val="single" w:sz="4" w:space="0" w:color="auto"/>
              <w:left w:val="single" w:sz="4" w:space="0" w:color="auto"/>
              <w:bottom w:val="single" w:sz="4" w:space="0" w:color="auto"/>
              <w:right w:val="single" w:sz="4" w:space="0" w:color="auto"/>
            </w:tcBorders>
            <w:hideMark/>
          </w:tcPr>
          <w:p w14:paraId="1FE2F791" w14:textId="77777777" w:rsidR="00A2588D" w:rsidRPr="000B61F5" w:rsidRDefault="00A2588D" w:rsidP="00A2588D">
            <w:pPr>
              <w:rPr>
                <w:sz w:val="18"/>
              </w:rPr>
            </w:pPr>
            <w:r w:rsidRPr="000B61F5">
              <w:rPr>
                <w:rFonts w:ascii="Sylfaen" w:hAnsi="Sylfaen" w:cs="Sylfaen"/>
                <w:sz w:val="18"/>
              </w:rPr>
              <w:t>პრინტერის</w:t>
            </w:r>
            <w:r w:rsidRPr="000B61F5">
              <w:rPr>
                <w:rFonts w:ascii="Sylfaen" w:hAnsi="Sylfaen" w:cs="Sylfaen"/>
                <w:sz w:val="18"/>
                <w:lang w:val="ka-GE"/>
              </w:rPr>
              <w:t xml:space="preserve"> </w:t>
            </w:r>
            <w:r w:rsidRPr="000B61F5">
              <w:rPr>
                <w:rFonts w:ascii="Sylfaen" w:hAnsi="Sylfaen" w:cs="Sylfaen"/>
                <w:sz w:val="18"/>
              </w:rPr>
              <w:t>ტონერრი</w:t>
            </w:r>
            <w:r w:rsidRPr="000B61F5">
              <w:rPr>
                <w:rFonts w:ascii="Sylfaen" w:hAnsi="Sylfaen" w:cs="Sylfaen"/>
                <w:sz w:val="18"/>
                <w:lang w:val="ka-GE"/>
              </w:rPr>
              <w:t xml:space="preserve"> </w:t>
            </w:r>
            <w:r w:rsidRPr="000B61F5">
              <w:rPr>
                <w:sz w:val="18"/>
              </w:rPr>
              <w:t>/</w:t>
            </w:r>
            <w:r w:rsidRPr="000B61F5">
              <w:rPr>
                <w:rFonts w:ascii="Sylfaen" w:hAnsi="Sylfaen" w:cs="Sylfaen"/>
                <w:sz w:val="18"/>
              </w:rPr>
              <w:t>მელანის</w:t>
            </w:r>
            <w:r w:rsidRPr="000B61F5">
              <w:rPr>
                <w:rFonts w:ascii="Sylfaen" w:hAnsi="Sylfaen" w:cs="Sylfaen"/>
                <w:sz w:val="18"/>
                <w:lang w:val="ka-GE"/>
              </w:rPr>
              <w:t xml:space="preserve"> </w:t>
            </w:r>
            <w:r w:rsidRPr="000B61F5">
              <w:rPr>
                <w:rFonts w:ascii="Sylfaen" w:hAnsi="Sylfaen" w:cs="Sylfaen"/>
                <w:sz w:val="18"/>
              </w:rPr>
              <w:t>ნარჩენები</w:t>
            </w:r>
            <w:r w:rsidRPr="000B61F5">
              <w:rPr>
                <w:sz w:val="18"/>
              </w:rPr>
              <w:t xml:space="preserve">, </w:t>
            </w:r>
            <w:r w:rsidRPr="000B61F5">
              <w:rPr>
                <w:rFonts w:ascii="Sylfaen" w:hAnsi="Sylfaen" w:cs="Sylfaen"/>
                <w:sz w:val="18"/>
              </w:rPr>
              <w:t>რომელიც</w:t>
            </w:r>
            <w:r w:rsidRPr="000B61F5">
              <w:rPr>
                <w:rFonts w:ascii="Sylfaen" w:hAnsi="Sylfaen" w:cs="Sylfaen"/>
                <w:sz w:val="18"/>
                <w:lang w:val="ka-GE"/>
              </w:rPr>
              <w:t xml:space="preserve"> </w:t>
            </w:r>
            <w:r w:rsidRPr="000B61F5">
              <w:rPr>
                <w:rFonts w:ascii="Sylfaen" w:hAnsi="Sylfaen" w:cs="Sylfaen"/>
                <w:sz w:val="18"/>
              </w:rPr>
              <w:t>შეიცავს</w:t>
            </w:r>
            <w:r w:rsidRPr="000B61F5">
              <w:rPr>
                <w:sz w:val="18"/>
              </w:rPr>
              <w:t xml:space="preserve"> </w:t>
            </w:r>
            <w:r w:rsidRPr="000B61F5">
              <w:rPr>
                <w:rFonts w:ascii="Sylfaen" w:hAnsi="Sylfaen" w:cs="Sylfaen"/>
                <w:sz w:val="18"/>
              </w:rPr>
              <w:t>საშიშ</w:t>
            </w:r>
            <w:r w:rsidRPr="000B61F5">
              <w:rPr>
                <w:sz w:val="18"/>
              </w:rPr>
              <w:t xml:space="preserve"> </w:t>
            </w:r>
            <w:r w:rsidRPr="000B61F5">
              <w:rPr>
                <w:rFonts w:ascii="Sylfaen" w:hAnsi="Sylfaen" w:cs="Sylfaen"/>
                <w:sz w:val="18"/>
              </w:rPr>
              <w:t>ნივთიერებებს</w:t>
            </w:r>
          </w:p>
        </w:tc>
        <w:tc>
          <w:tcPr>
            <w:tcW w:w="1014" w:type="dxa"/>
            <w:tcBorders>
              <w:top w:val="single" w:sz="4" w:space="0" w:color="auto"/>
              <w:left w:val="single" w:sz="4" w:space="0" w:color="auto"/>
              <w:bottom w:val="single" w:sz="4" w:space="0" w:color="auto"/>
              <w:right w:val="single" w:sz="4" w:space="0" w:color="auto"/>
            </w:tcBorders>
            <w:hideMark/>
          </w:tcPr>
          <w:p w14:paraId="614039C9" w14:textId="77777777" w:rsidR="00A2588D" w:rsidRPr="000B61F5" w:rsidRDefault="00A2588D" w:rsidP="00A2588D">
            <w:pPr>
              <w:rPr>
                <w:sz w:val="18"/>
              </w:rPr>
            </w:pPr>
            <w:r w:rsidRPr="000B61F5">
              <w:rPr>
                <w:rFonts w:ascii="Sylfaen" w:hAnsi="Sylfaen" w:cs="Sylfaen"/>
                <w:sz w:val="18"/>
              </w:rPr>
              <w:t>დიახ</w:t>
            </w:r>
            <w:r w:rsidRPr="000B61F5">
              <w:rPr>
                <w:sz w:val="18"/>
              </w:rPr>
              <w:t xml:space="preserve"> </w:t>
            </w:r>
          </w:p>
        </w:tc>
        <w:tc>
          <w:tcPr>
            <w:tcW w:w="966" w:type="dxa"/>
            <w:tcBorders>
              <w:top w:val="single" w:sz="4" w:space="0" w:color="auto"/>
              <w:left w:val="single" w:sz="4" w:space="0" w:color="auto"/>
              <w:bottom w:val="single" w:sz="4" w:space="0" w:color="auto"/>
              <w:right w:val="single" w:sz="4" w:space="0" w:color="auto"/>
            </w:tcBorders>
            <w:hideMark/>
          </w:tcPr>
          <w:p w14:paraId="77F5B220" w14:textId="77777777" w:rsidR="00A2588D" w:rsidRPr="000B61F5" w:rsidRDefault="00A2588D" w:rsidP="00A2588D">
            <w:pPr>
              <w:rPr>
                <w:sz w:val="18"/>
              </w:rPr>
            </w:pPr>
            <w:r w:rsidRPr="000B61F5">
              <w:rPr>
                <w:sz w:val="18"/>
              </w:rPr>
              <w:t>H 6</w:t>
            </w:r>
          </w:p>
        </w:tc>
        <w:tc>
          <w:tcPr>
            <w:tcW w:w="1530" w:type="dxa"/>
            <w:tcBorders>
              <w:top w:val="single" w:sz="4" w:space="0" w:color="auto"/>
              <w:left w:val="single" w:sz="4" w:space="0" w:color="auto"/>
              <w:bottom w:val="single" w:sz="4" w:space="0" w:color="auto"/>
              <w:right w:val="single" w:sz="4" w:space="0" w:color="auto"/>
            </w:tcBorders>
            <w:hideMark/>
          </w:tcPr>
          <w:p w14:paraId="27BF7B39" w14:textId="77777777" w:rsidR="00A2588D" w:rsidRPr="000B61F5" w:rsidRDefault="00A2588D" w:rsidP="00A2588D">
            <w:pPr>
              <w:rPr>
                <w:sz w:val="18"/>
              </w:rPr>
            </w:pPr>
            <w:r w:rsidRPr="000B61F5">
              <w:rPr>
                <w:sz w:val="18"/>
              </w:rPr>
              <w:t xml:space="preserve">40-50 </w:t>
            </w:r>
            <w:r w:rsidRPr="000B61F5">
              <w:rPr>
                <w:rFonts w:ascii="Sylfaen" w:hAnsi="Sylfaen" w:cs="Sylfaen"/>
                <w:sz w:val="18"/>
              </w:rPr>
              <w:t>ერთ</w:t>
            </w:r>
          </w:p>
        </w:tc>
        <w:tc>
          <w:tcPr>
            <w:tcW w:w="1620" w:type="dxa"/>
            <w:tcBorders>
              <w:top w:val="single" w:sz="4" w:space="0" w:color="auto"/>
              <w:left w:val="single" w:sz="4" w:space="0" w:color="auto"/>
              <w:bottom w:val="single" w:sz="4" w:space="0" w:color="auto"/>
              <w:right w:val="single" w:sz="4" w:space="0" w:color="auto"/>
            </w:tcBorders>
            <w:hideMark/>
          </w:tcPr>
          <w:p w14:paraId="77E70E73" w14:textId="77777777" w:rsidR="00A2588D" w:rsidRPr="000B61F5" w:rsidRDefault="00A2588D" w:rsidP="00A2588D">
            <w:pPr>
              <w:rPr>
                <w:sz w:val="18"/>
              </w:rPr>
            </w:pPr>
            <w:r w:rsidRPr="000B61F5">
              <w:rPr>
                <w:sz w:val="18"/>
              </w:rPr>
              <w:t>-</w:t>
            </w:r>
          </w:p>
        </w:tc>
        <w:tc>
          <w:tcPr>
            <w:tcW w:w="5040" w:type="dxa"/>
            <w:tcBorders>
              <w:top w:val="single" w:sz="4" w:space="0" w:color="auto"/>
              <w:left w:val="single" w:sz="4" w:space="0" w:color="auto"/>
              <w:bottom w:val="single" w:sz="4" w:space="0" w:color="auto"/>
              <w:right w:val="single" w:sz="4" w:space="0" w:color="auto"/>
            </w:tcBorders>
            <w:hideMark/>
          </w:tcPr>
          <w:p w14:paraId="76223C53" w14:textId="77777777" w:rsidR="00A2588D" w:rsidRPr="000B61F5" w:rsidRDefault="00A2588D" w:rsidP="00A2588D">
            <w:pPr>
              <w:rPr>
                <w:sz w:val="18"/>
              </w:rPr>
            </w:pPr>
            <w:r w:rsidRPr="000B61F5">
              <w:rPr>
                <w:rFonts w:ascii="Sylfaen" w:hAnsi="Sylfaen" w:cs="Sylfaen"/>
                <w:sz w:val="18"/>
              </w:rPr>
              <w:t>ნარჩენები</w:t>
            </w:r>
            <w:r w:rsidRPr="000B61F5">
              <w:rPr>
                <w:sz w:val="18"/>
              </w:rPr>
              <w:t xml:space="preserve"> </w:t>
            </w:r>
            <w:r w:rsidRPr="000B61F5">
              <w:rPr>
                <w:rFonts w:ascii="Sylfaen" w:hAnsi="Sylfaen" w:cs="Sylfaen"/>
                <w:sz w:val="18"/>
              </w:rPr>
              <w:t>გადაეცემა</w:t>
            </w:r>
            <w:r w:rsidRPr="000B61F5">
              <w:rPr>
                <w:sz w:val="18"/>
              </w:rPr>
              <w:t xml:space="preserve"> </w:t>
            </w:r>
            <w:r w:rsidRPr="000B61F5">
              <w:rPr>
                <w:rFonts w:ascii="Sylfaen" w:hAnsi="Sylfaen" w:cs="Sylfaen"/>
                <w:sz w:val="18"/>
              </w:rPr>
              <w:t>მომწოდებელს</w:t>
            </w:r>
            <w:r w:rsidRPr="000B61F5">
              <w:rPr>
                <w:sz w:val="18"/>
              </w:rPr>
              <w:t>,</w:t>
            </w:r>
          </w:p>
          <w:p w14:paraId="1A712162" w14:textId="77777777" w:rsidR="00A2588D" w:rsidRPr="000B61F5" w:rsidRDefault="00A2588D" w:rsidP="00A2588D">
            <w:pPr>
              <w:rPr>
                <w:sz w:val="18"/>
              </w:rPr>
            </w:pPr>
            <w:r w:rsidRPr="000B61F5">
              <w:rPr>
                <w:rFonts w:ascii="Sylfaen" w:hAnsi="Sylfaen" w:cs="Sylfaen"/>
                <w:sz w:val="18"/>
              </w:rPr>
              <w:t>შემდგომი</w:t>
            </w:r>
            <w:r w:rsidRPr="000B61F5">
              <w:rPr>
                <w:sz w:val="18"/>
              </w:rPr>
              <w:t xml:space="preserve"> </w:t>
            </w:r>
            <w:r w:rsidRPr="000B61F5">
              <w:rPr>
                <w:rFonts w:ascii="Sylfaen" w:hAnsi="Sylfaen" w:cs="Sylfaen"/>
                <w:sz w:val="18"/>
              </w:rPr>
              <w:t>დამუშავება</w:t>
            </w:r>
            <w:r w:rsidRPr="000B61F5">
              <w:rPr>
                <w:sz w:val="18"/>
              </w:rPr>
              <w:t>/</w:t>
            </w:r>
            <w:r w:rsidRPr="000B61F5">
              <w:rPr>
                <w:rFonts w:ascii="Sylfaen" w:hAnsi="Sylfaen" w:cs="Sylfaen"/>
                <w:sz w:val="18"/>
              </w:rPr>
              <w:t>აღდგენის</w:t>
            </w:r>
            <w:r w:rsidRPr="000B61F5">
              <w:rPr>
                <w:sz w:val="18"/>
              </w:rPr>
              <w:t xml:space="preserve"> </w:t>
            </w:r>
            <w:r w:rsidRPr="000B61F5">
              <w:rPr>
                <w:rFonts w:ascii="Sylfaen" w:hAnsi="Sylfaen" w:cs="Sylfaen"/>
                <w:sz w:val="18"/>
              </w:rPr>
              <w:t>მიზნით</w:t>
            </w:r>
            <w:r w:rsidRPr="000B61F5">
              <w:rPr>
                <w:sz w:val="18"/>
              </w:rPr>
              <w:t>.</w:t>
            </w:r>
          </w:p>
        </w:tc>
        <w:tc>
          <w:tcPr>
            <w:tcW w:w="1170" w:type="dxa"/>
            <w:tcBorders>
              <w:top w:val="single" w:sz="4" w:space="0" w:color="auto"/>
              <w:left w:val="single" w:sz="4" w:space="0" w:color="auto"/>
              <w:bottom w:val="single" w:sz="4" w:space="0" w:color="auto"/>
              <w:right w:val="single" w:sz="4" w:space="0" w:color="auto"/>
            </w:tcBorders>
            <w:hideMark/>
          </w:tcPr>
          <w:p w14:paraId="011A6F5E" w14:textId="77777777" w:rsidR="00A2588D" w:rsidRPr="000B61F5" w:rsidRDefault="00A2588D" w:rsidP="00A2588D">
            <w:pPr>
              <w:rPr>
                <w:sz w:val="18"/>
              </w:rPr>
            </w:pPr>
            <w:r w:rsidRPr="000B61F5">
              <w:rPr>
                <w:sz w:val="18"/>
              </w:rPr>
              <w:t>Y31</w:t>
            </w:r>
          </w:p>
        </w:tc>
      </w:tr>
    </w:tbl>
    <w:p w14:paraId="1F812247" w14:textId="77777777" w:rsidR="00A2588D" w:rsidRPr="003D733D" w:rsidRDefault="00A2588D" w:rsidP="00A2588D">
      <w:pPr>
        <w:sectPr w:rsidR="00A2588D" w:rsidRPr="003D733D">
          <w:pgSz w:w="16840" w:h="11900" w:orient="landscape"/>
          <w:pgMar w:top="1440" w:right="1440" w:bottom="740" w:left="1440" w:header="708" w:footer="708" w:gutter="0"/>
          <w:cols w:space="720"/>
        </w:sectPr>
      </w:pPr>
    </w:p>
    <w:p w14:paraId="380CB0F8" w14:textId="77777777" w:rsidR="00A2588D" w:rsidRPr="003D733D" w:rsidRDefault="00A2588D" w:rsidP="00A2588D">
      <w:pPr>
        <w:pStyle w:val="EIAH1"/>
        <w:numPr>
          <w:ilvl w:val="0"/>
          <w:numId w:val="0"/>
        </w:numPr>
        <w:ind w:left="720" w:hanging="720"/>
      </w:pPr>
      <w:bookmarkStart w:id="577" w:name="_Toc1581599"/>
      <w:r w:rsidRPr="003D733D">
        <w:lastRenderedPageBreak/>
        <w:t>დანართი 2 – ნიადაგის ზედა ფენის და გრუნტის მენეჯმენტის რეკომენდაციები</w:t>
      </w:r>
      <w:bookmarkEnd w:id="577"/>
    </w:p>
    <w:p w14:paraId="59EDF641" w14:textId="77777777" w:rsidR="00A2588D" w:rsidRPr="003D733D" w:rsidRDefault="00A2588D" w:rsidP="00A2588D">
      <w:pPr>
        <w:rPr>
          <w:lang w:val="ka-GE"/>
        </w:rPr>
      </w:pPr>
      <w:r w:rsidRPr="003D733D">
        <w:rPr>
          <w:noProof/>
          <w:lang w:val="en-US" w:eastAsia="en-US"/>
        </w:rPr>
        <w:drawing>
          <wp:anchor distT="0" distB="0" distL="114300" distR="114300" simplePos="0" relativeHeight="251687936" behindDoc="1" locked="0" layoutInCell="1" allowOverlap="1" wp14:anchorId="084A2415" wp14:editId="1F56FDAB">
            <wp:simplePos x="0" y="0"/>
            <wp:positionH relativeFrom="column">
              <wp:posOffset>4445</wp:posOffset>
            </wp:positionH>
            <wp:positionV relativeFrom="paragraph">
              <wp:posOffset>83820</wp:posOffset>
            </wp:positionV>
            <wp:extent cx="1627505" cy="1614805"/>
            <wp:effectExtent l="0" t="0" r="0" b="4445"/>
            <wp:wrapTight wrapText="bothSides">
              <wp:wrapPolygon edited="0">
                <wp:start x="0" y="0"/>
                <wp:lineTo x="0" y="21405"/>
                <wp:lineTo x="21238" y="21405"/>
                <wp:lineTo x="21238"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2" cstate="email">
                      <a:extLst>
                        <a:ext uri="{28A0092B-C50C-407E-A947-70E740481C1C}">
                          <a14:useLocalDpi xmlns:a14="http://schemas.microsoft.com/office/drawing/2010/main"/>
                        </a:ext>
                      </a:extLst>
                    </a:blip>
                    <a:srcRect/>
                    <a:stretch>
                      <a:fillRect/>
                    </a:stretch>
                  </pic:blipFill>
                  <pic:spPr bwMode="auto">
                    <a:xfrm>
                      <a:off x="0" y="0"/>
                      <a:ext cx="1627505" cy="1614805"/>
                    </a:xfrm>
                    <a:prstGeom prst="rect">
                      <a:avLst/>
                    </a:prstGeom>
                    <a:noFill/>
                  </pic:spPr>
                </pic:pic>
              </a:graphicData>
            </a:graphic>
            <wp14:sizeRelH relativeFrom="page">
              <wp14:pctWidth>0</wp14:pctWidth>
            </wp14:sizeRelH>
            <wp14:sizeRelV relativeFrom="page">
              <wp14:pctHeight>0</wp14:pctHeight>
            </wp14:sizeRelV>
          </wp:anchor>
        </w:drawing>
      </w:r>
      <w:r w:rsidRPr="003D733D">
        <w:rPr>
          <w:rFonts w:ascii="Sylfaen" w:hAnsi="Sylfaen" w:cs="Sylfaen"/>
        </w:rPr>
        <w:t>ნაყოფიერი</w:t>
      </w:r>
      <w:r w:rsidRPr="003D733D">
        <w:t xml:space="preserve"> </w:t>
      </w:r>
      <w:r w:rsidRPr="003D733D">
        <w:rPr>
          <w:rFonts w:ascii="Sylfaen" w:hAnsi="Sylfaen" w:cs="Sylfaen"/>
        </w:rPr>
        <w:t>ნიადაგის</w:t>
      </w:r>
      <w:r w:rsidRPr="003D733D">
        <w:t xml:space="preserve"> </w:t>
      </w:r>
      <w:r w:rsidRPr="003D733D">
        <w:rPr>
          <w:rFonts w:ascii="Sylfaen" w:hAnsi="Sylfaen" w:cs="Sylfaen"/>
        </w:rPr>
        <w:t>ფენა</w:t>
      </w:r>
      <w:r w:rsidRPr="003D733D">
        <w:t xml:space="preserve"> </w:t>
      </w:r>
      <w:r w:rsidRPr="003D733D">
        <w:rPr>
          <w:rFonts w:ascii="Sylfaen" w:hAnsi="Sylfaen" w:cs="Sylfaen"/>
        </w:rPr>
        <w:t>სამუშაოს</w:t>
      </w:r>
      <w:r w:rsidRPr="003D733D">
        <w:t xml:space="preserve"> </w:t>
      </w:r>
      <w:r w:rsidRPr="003D733D">
        <w:rPr>
          <w:rFonts w:ascii="Sylfaen" w:hAnsi="Sylfaen" w:cs="Sylfaen"/>
        </w:rPr>
        <w:t>დაწყებამდე</w:t>
      </w:r>
      <w:r w:rsidRPr="003D733D">
        <w:t xml:space="preserve"> </w:t>
      </w:r>
      <w:r w:rsidRPr="003D733D">
        <w:rPr>
          <w:rFonts w:ascii="Sylfaen" w:hAnsi="Sylfaen" w:cs="Sylfaen"/>
        </w:rPr>
        <w:t>უნდა</w:t>
      </w:r>
      <w:r w:rsidRPr="003D733D">
        <w:t xml:space="preserve"> </w:t>
      </w:r>
      <w:r w:rsidRPr="003D733D">
        <w:rPr>
          <w:rFonts w:ascii="Sylfaen" w:hAnsi="Sylfaen" w:cs="Sylfaen"/>
        </w:rPr>
        <w:t>მოიხსნას</w:t>
      </w:r>
      <w:r w:rsidRPr="003D733D">
        <w:t xml:space="preserve"> </w:t>
      </w:r>
      <w:r w:rsidRPr="003D733D">
        <w:rPr>
          <w:rFonts w:ascii="Sylfaen" w:hAnsi="Sylfaen" w:cs="Sylfaen"/>
        </w:rPr>
        <w:t>და</w:t>
      </w:r>
      <w:r w:rsidRPr="003D733D">
        <w:t xml:space="preserve"> </w:t>
      </w:r>
      <w:r w:rsidRPr="003D733D">
        <w:rPr>
          <w:rFonts w:ascii="Sylfaen" w:hAnsi="Sylfaen" w:cs="Sylfaen"/>
        </w:rPr>
        <w:t>დროებით</w:t>
      </w:r>
      <w:r w:rsidRPr="003D733D">
        <w:t xml:space="preserve"> </w:t>
      </w:r>
      <w:r w:rsidRPr="003D733D">
        <w:rPr>
          <w:rFonts w:ascii="Sylfaen" w:hAnsi="Sylfaen" w:cs="Sylfaen"/>
        </w:rPr>
        <w:t>დასაწყობდეს</w:t>
      </w:r>
      <w:r w:rsidRPr="003D733D">
        <w:t xml:space="preserve"> </w:t>
      </w:r>
      <w:r w:rsidRPr="003D733D">
        <w:rPr>
          <w:rFonts w:ascii="Sylfaen" w:hAnsi="Sylfaen" w:cs="Sylfaen"/>
        </w:rPr>
        <w:t>რეკულტივაციის</w:t>
      </w:r>
      <w:r w:rsidRPr="003D733D">
        <w:t xml:space="preserve"> </w:t>
      </w:r>
      <w:r w:rsidRPr="003D733D">
        <w:rPr>
          <w:rFonts w:ascii="Sylfaen" w:hAnsi="Sylfaen" w:cs="Sylfaen"/>
        </w:rPr>
        <w:t>ეტაპზე</w:t>
      </w:r>
      <w:r w:rsidRPr="003D733D">
        <w:t xml:space="preserve"> </w:t>
      </w:r>
      <w:r w:rsidRPr="003D733D">
        <w:rPr>
          <w:rFonts w:ascii="Sylfaen" w:hAnsi="Sylfaen" w:cs="Sylfaen"/>
        </w:rPr>
        <w:t>გამოყენებამდე</w:t>
      </w:r>
      <w:r w:rsidRPr="003D733D">
        <w:t xml:space="preserve">,  </w:t>
      </w:r>
      <w:r w:rsidRPr="003D733D">
        <w:rPr>
          <w:rFonts w:ascii="Sylfaen" w:hAnsi="Sylfaen" w:cs="Sylfaen"/>
        </w:rPr>
        <w:t>ნაყოფიერი</w:t>
      </w:r>
      <w:r w:rsidRPr="003D733D">
        <w:t xml:space="preserve"> </w:t>
      </w:r>
      <w:r w:rsidRPr="003D733D">
        <w:rPr>
          <w:rFonts w:ascii="Sylfaen" w:hAnsi="Sylfaen" w:cs="Sylfaen"/>
        </w:rPr>
        <w:t>ფენა</w:t>
      </w:r>
      <w:r w:rsidRPr="003D733D">
        <w:t xml:space="preserve"> </w:t>
      </w:r>
      <w:r w:rsidRPr="003D733D">
        <w:rPr>
          <w:rFonts w:ascii="Sylfaen" w:hAnsi="Sylfaen" w:cs="Sylfaen"/>
        </w:rPr>
        <w:t>იხსნება</w:t>
      </w:r>
      <w:r w:rsidRPr="003D733D">
        <w:t xml:space="preserve"> </w:t>
      </w:r>
      <w:r w:rsidRPr="003D733D">
        <w:rPr>
          <w:rFonts w:ascii="Sylfaen" w:hAnsi="Sylfaen" w:cs="Sylfaen"/>
        </w:rPr>
        <w:t>ექსკავატორით</w:t>
      </w:r>
      <w:r w:rsidRPr="003D733D">
        <w:t xml:space="preserve"> (</w:t>
      </w:r>
      <w:r w:rsidRPr="003D733D">
        <w:rPr>
          <w:rFonts w:ascii="Sylfaen" w:hAnsi="Sylfaen" w:cs="Sylfaen"/>
        </w:rPr>
        <w:t>მისი</w:t>
      </w:r>
      <w:r w:rsidRPr="003D733D">
        <w:t xml:space="preserve"> </w:t>
      </w:r>
      <w:r w:rsidRPr="003D733D">
        <w:rPr>
          <w:rFonts w:ascii="Sylfaen" w:hAnsi="Sylfaen" w:cs="Sylfaen"/>
        </w:rPr>
        <w:t>მთლიანი</w:t>
      </w:r>
      <w:r w:rsidRPr="003D733D">
        <w:t xml:space="preserve"> </w:t>
      </w:r>
      <w:r w:rsidRPr="003D733D">
        <w:rPr>
          <w:rFonts w:ascii="Sylfaen" w:hAnsi="Sylfaen" w:cs="Sylfaen"/>
        </w:rPr>
        <w:t>სისქე</w:t>
      </w:r>
      <w:r w:rsidRPr="003D733D">
        <w:t xml:space="preserve">) </w:t>
      </w:r>
      <w:r w:rsidRPr="003D733D">
        <w:rPr>
          <w:rFonts w:ascii="Sylfaen" w:hAnsi="Sylfaen" w:cs="Sylfaen"/>
        </w:rPr>
        <w:t>და</w:t>
      </w:r>
      <w:r w:rsidRPr="003D733D">
        <w:t xml:space="preserve">  </w:t>
      </w:r>
      <w:r w:rsidRPr="003D733D">
        <w:rPr>
          <w:rFonts w:ascii="Sylfaen" w:hAnsi="Sylfaen" w:cs="Sylfaen"/>
        </w:rPr>
        <w:t>იტვირთება</w:t>
      </w:r>
      <w:r w:rsidRPr="003D733D">
        <w:t xml:space="preserve"> </w:t>
      </w:r>
      <w:r w:rsidRPr="003D733D">
        <w:rPr>
          <w:rFonts w:ascii="Sylfaen" w:hAnsi="Sylfaen" w:cs="Sylfaen"/>
        </w:rPr>
        <w:t>თვითმცლელზე</w:t>
      </w:r>
      <w:r w:rsidRPr="003D733D">
        <w:t xml:space="preserve">. </w:t>
      </w:r>
    </w:p>
    <w:p w14:paraId="190D057D" w14:textId="77777777" w:rsidR="00A2588D" w:rsidRPr="003D733D" w:rsidRDefault="00A2588D" w:rsidP="00A2588D">
      <w:r w:rsidRPr="003D733D">
        <w:rPr>
          <w:rFonts w:ascii="Sylfaen" w:hAnsi="Sylfaen" w:cs="Sylfaen"/>
        </w:rPr>
        <w:t>ნაყოფიერი</w:t>
      </w:r>
      <w:r w:rsidRPr="003D733D">
        <w:t xml:space="preserve"> </w:t>
      </w:r>
      <w:r w:rsidRPr="003D733D">
        <w:rPr>
          <w:rFonts w:ascii="Sylfaen" w:hAnsi="Sylfaen" w:cs="Sylfaen"/>
        </w:rPr>
        <w:t>ნიადაგის</w:t>
      </w:r>
      <w:r w:rsidRPr="003D733D">
        <w:t xml:space="preserve"> </w:t>
      </w:r>
      <w:r w:rsidRPr="003D733D">
        <w:rPr>
          <w:rFonts w:ascii="Sylfaen" w:hAnsi="Sylfaen" w:cs="Sylfaen"/>
        </w:rPr>
        <w:t>თვისებების</w:t>
      </w:r>
      <w:r w:rsidRPr="003D733D">
        <w:t xml:space="preserve"> </w:t>
      </w:r>
      <w:r w:rsidRPr="003D733D">
        <w:rPr>
          <w:rFonts w:ascii="Sylfaen" w:hAnsi="Sylfaen" w:cs="Sylfaen"/>
        </w:rPr>
        <w:t>შენარჩუნებისთვის</w:t>
      </w:r>
      <w:r w:rsidRPr="003D733D">
        <w:t xml:space="preserve"> </w:t>
      </w:r>
      <w:r w:rsidRPr="003D733D">
        <w:rPr>
          <w:rFonts w:ascii="Sylfaen" w:hAnsi="Sylfaen" w:cs="Sylfaen"/>
        </w:rPr>
        <w:t>უნდა</w:t>
      </w:r>
      <w:r w:rsidRPr="003D733D">
        <w:t xml:space="preserve"> </w:t>
      </w:r>
      <w:r w:rsidRPr="003D733D">
        <w:rPr>
          <w:rFonts w:ascii="Sylfaen" w:hAnsi="Sylfaen" w:cs="Sylfaen"/>
        </w:rPr>
        <w:t>შეირჩეს</w:t>
      </w:r>
      <w:r w:rsidRPr="003D733D">
        <w:t xml:space="preserve"> </w:t>
      </w:r>
      <w:r w:rsidRPr="003D733D">
        <w:rPr>
          <w:rFonts w:ascii="Sylfaen" w:hAnsi="Sylfaen" w:cs="Sylfaen"/>
        </w:rPr>
        <w:t>სათანადო</w:t>
      </w:r>
      <w:r w:rsidRPr="003D733D">
        <w:t xml:space="preserve"> </w:t>
      </w:r>
      <w:r w:rsidRPr="003D733D">
        <w:rPr>
          <w:rFonts w:ascii="Sylfaen" w:hAnsi="Sylfaen" w:cs="Sylfaen"/>
        </w:rPr>
        <w:t>ტექნიკა</w:t>
      </w:r>
      <w:r w:rsidRPr="003D733D">
        <w:t xml:space="preserve"> </w:t>
      </w:r>
      <w:r w:rsidRPr="003D733D">
        <w:rPr>
          <w:rFonts w:ascii="Sylfaen" w:hAnsi="Sylfaen" w:cs="Sylfaen"/>
        </w:rPr>
        <w:t>და</w:t>
      </w:r>
      <w:r w:rsidRPr="003D733D">
        <w:t xml:space="preserve"> </w:t>
      </w:r>
      <w:r w:rsidRPr="003D733D">
        <w:rPr>
          <w:rFonts w:ascii="Sylfaen" w:hAnsi="Sylfaen" w:cs="Sylfaen"/>
        </w:rPr>
        <w:t>მუშაობის</w:t>
      </w:r>
      <w:r w:rsidRPr="003D733D">
        <w:t xml:space="preserve"> </w:t>
      </w:r>
      <w:r w:rsidRPr="003D733D">
        <w:rPr>
          <w:rFonts w:ascii="Sylfaen" w:hAnsi="Sylfaen" w:cs="Sylfaen"/>
        </w:rPr>
        <w:t>პრაქტიკა</w:t>
      </w:r>
      <w:r w:rsidRPr="003D733D">
        <w:t xml:space="preserve">. </w:t>
      </w:r>
      <w:r w:rsidRPr="003D733D">
        <w:rPr>
          <w:rFonts w:ascii="Sylfaen" w:hAnsi="Sylfaen" w:cs="Sylfaen"/>
        </w:rPr>
        <w:t>უნდა</w:t>
      </w:r>
      <w:r w:rsidRPr="003D733D">
        <w:t xml:space="preserve"> </w:t>
      </w:r>
      <w:r w:rsidRPr="003D733D">
        <w:rPr>
          <w:rFonts w:ascii="Sylfaen" w:hAnsi="Sylfaen" w:cs="Sylfaen"/>
        </w:rPr>
        <w:t>მოიხსნას</w:t>
      </w:r>
      <w:r w:rsidRPr="003D733D">
        <w:t xml:space="preserve"> </w:t>
      </w:r>
      <w:r w:rsidRPr="003D733D">
        <w:rPr>
          <w:rFonts w:ascii="Sylfaen" w:hAnsi="Sylfaen" w:cs="Sylfaen"/>
        </w:rPr>
        <w:t>დადგენილი</w:t>
      </w:r>
      <w:r w:rsidRPr="003D733D">
        <w:t xml:space="preserve"> </w:t>
      </w:r>
      <w:r w:rsidRPr="003D733D">
        <w:rPr>
          <w:rFonts w:ascii="Sylfaen" w:hAnsi="Sylfaen" w:cs="Sylfaen"/>
        </w:rPr>
        <w:t>სისქის</w:t>
      </w:r>
      <w:r w:rsidRPr="003D733D">
        <w:t xml:space="preserve"> </w:t>
      </w:r>
      <w:r w:rsidRPr="003D733D">
        <w:rPr>
          <w:rFonts w:ascii="Sylfaen" w:hAnsi="Sylfaen" w:cs="Sylfaen"/>
        </w:rPr>
        <w:t>ნიადაგის</w:t>
      </w:r>
      <w:r w:rsidRPr="003D733D">
        <w:t xml:space="preserve"> </w:t>
      </w:r>
      <w:r w:rsidRPr="003D733D">
        <w:rPr>
          <w:rFonts w:ascii="Sylfaen" w:hAnsi="Sylfaen" w:cs="Sylfaen"/>
        </w:rPr>
        <w:t>შრე</w:t>
      </w:r>
      <w:r w:rsidRPr="003D733D">
        <w:t xml:space="preserve">. </w:t>
      </w:r>
      <w:r w:rsidRPr="003D733D">
        <w:rPr>
          <w:rFonts w:ascii="Sylfaen" w:hAnsi="Sylfaen" w:cs="Sylfaen"/>
        </w:rPr>
        <w:t>მოსახსნელი</w:t>
      </w:r>
      <w:r w:rsidRPr="003D733D">
        <w:t xml:space="preserve"> </w:t>
      </w:r>
      <w:r w:rsidRPr="003D733D">
        <w:rPr>
          <w:rFonts w:ascii="Sylfaen" w:hAnsi="Sylfaen" w:cs="Sylfaen"/>
        </w:rPr>
        <w:t>ფენის</w:t>
      </w:r>
      <w:r w:rsidRPr="003D733D">
        <w:t xml:space="preserve"> </w:t>
      </w:r>
      <w:r w:rsidRPr="003D733D">
        <w:rPr>
          <w:rFonts w:ascii="Sylfaen" w:hAnsi="Sylfaen" w:cs="Sylfaen"/>
        </w:rPr>
        <w:t>სისქე</w:t>
      </w:r>
      <w:r w:rsidRPr="003D733D">
        <w:t xml:space="preserve"> </w:t>
      </w:r>
      <w:r w:rsidRPr="003D733D">
        <w:rPr>
          <w:rFonts w:ascii="Sylfaen" w:hAnsi="Sylfaen" w:cs="Sylfaen"/>
        </w:rPr>
        <w:t>შესაძლებელია</w:t>
      </w:r>
      <w:r w:rsidRPr="003D733D">
        <w:t xml:space="preserve"> </w:t>
      </w:r>
      <w:r w:rsidRPr="003D733D">
        <w:rPr>
          <w:rFonts w:ascii="Sylfaen" w:hAnsi="Sylfaen" w:cs="Sylfaen"/>
        </w:rPr>
        <w:t>აგრეთვე</w:t>
      </w:r>
      <w:r w:rsidRPr="003D733D">
        <w:t xml:space="preserve"> </w:t>
      </w:r>
      <w:r w:rsidRPr="003D733D">
        <w:rPr>
          <w:rFonts w:ascii="Sylfaen" w:hAnsi="Sylfaen" w:cs="Sylfaen"/>
        </w:rPr>
        <w:t>ვიზუალურად</w:t>
      </w:r>
      <w:r w:rsidRPr="003D733D">
        <w:t xml:space="preserve">, </w:t>
      </w:r>
      <w:r w:rsidRPr="003D733D">
        <w:rPr>
          <w:rFonts w:ascii="Sylfaen" w:hAnsi="Sylfaen" w:cs="Sylfaen"/>
        </w:rPr>
        <w:t>მისი</w:t>
      </w:r>
      <w:r w:rsidRPr="003D733D">
        <w:t xml:space="preserve"> </w:t>
      </w:r>
      <w:r w:rsidRPr="003D733D">
        <w:rPr>
          <w:rFonts w:ascii="Sylfaen" w:hAnsi="Sylfaen" w:cs="Sylfaen"/>
        </w:rPr>
        <w:t>ფერის</w:t>
      </w:r>
      <w:r w:rsidRPr="003D733D">
        <w:t xml:space="preserve"> </w:t>
      </w:r>
      <w:r w:rsidRPr="003D733D">
        <w:rPr>
          <w:rFonts w:ascii="Sylfaen" w:hAnsi="Sylfaen" w:cs="Sylfaen"/>
        </w:rPr>
        <w:t>მიხედვით</w:t>
      </w:r>
      <w:r w:rsidRPr="003D733D">
        <w:t xml:space="preserve">, </w:t>
      </w:r>
      <w:r w:rsidRPr="003D733D">
        <w:rPr>
          <w:rFonts w:ascii="Sylfaen" w:hAnsi="Sylfaen" w:cs="Sylfaen"/>
        </w:rPr>
        <w:t>განისაზღვროს</w:t>
      </w:r>
      <w:r w:rsidRPr="003D733D">
        <w:t xml:space="preserve">. </w:t>
      </w:r>
      <w:r w:rsidRPr="003D733D">
        <w:rPr>
          <w:rFonts w:ascii="Sylfaen" w:hAnsi="Sylfaen" w:cs="Sylfaen"/>
        </w:rPr>
        <w:t>ნაყოფიერი</w:t>
      </w:r>
      <w:r w:rsidRPr="003D733D">
        <w:t xml:space="preserve"> </w:t>
      </w:r>
      <w:r w:rsidRPr="003D733D">
        <w:rPr>
          <w:rFonts w:ascii="Sylfaen" w:hAnsi="Sylfaen" w:cs="Sylfaen"/>
        </w:rPr>
        <w:t>შრის</w:t>
      </w:r>
      <w:r w:rsidRPr="003D733D">
        <w:t xml:space="preserve"> </w:t>
      </w:r>
      <w:r w:rsidRPr="003D733D">
        <w:rPr>
          <w:rFonts w:ascii="Sylfaen" w:hAnsi="Sylfaen" w:cs="Sylfaen"/>
        </w:rPr>
        <w:t>სხვა</w:t>
      </w:r>
      <w:r w:rsidRPr="003D733D">
        <w:t xml:space="preserve"> </w:t>
      </w:r>
      <w:r w:rsidRPr="003D733D">
        <w:rPr>
          <w:rFonts w:ascii="Sylfaen" w:hAnsi="Sylfaen" w:cs="Sylfaen"/>
        </w:rPr>
        <w:t>ნიადაგთან</w:t>
      </w:r>
      <w:r w:rsidRPr="003D733D">
        <w:t xml:space="preserve"> </w:t>
      </w:r>
      <w:r w:rsidRPr="003D733D">
        <w:rPr>
          <w:rFonts w:ascii="Sylfaen" w:hAnsi="Sylfaen" w:cs="Sylfaen"/>
        </w:rPr>
        <w:t>შერევა</w:t>
      </w:r>
      <w:r w:rsidRPr="003D733D">
        <w:t xml:space="preserve"> </w:t>
      </w:r>
      <w:r w:rsidRPr="003D733D">
        <w:rPr>
          <w:rFonts w:ascii="Sylfaen" w:hAnsi="Sylfaen" w:cs="Sylfaen"/>
        </w:rPr>
        <w:t>თავიდან</w:t>
      </w:r>
      <w:r w:rsidRPr="003D733D">
        <w:t xml:space="preserve"> </w:t>
      </w:r>
      <w:r w:rsidRPr="003D733D">
        <w:rPr>
          <w:rFonts w:ascii="Sylfaen" w:hAnsi="Sylfaen" w:cs="Sylfaen"/>
        </w:rPr>
        <w:t>უნდა</w:t>
      </w:r>
      <w:r w:rsidRPr="003D733D">
        <w:t xml:space="preserve"> </w:t>
      </w:r>
      <w:r w:rsidRPr="003D733D">
        <w:rPr>
          <w:rFonts w:ascii="Sylfaen" w:hAnsi="Sylfaen" w:cs="Sylfaen"/>
        </w:rPr>
        <w:t>იყოს</w:t>
      </w:r>
      <w:r w:rsidRPr="003D733D">
        <w:t xml:space="preserve"> </w:t>
      </w:r>
      <w:r w:rsidRPr="003D733D">
        <w:rPr>
          <w:rFonts w:ascii="Sylfaen" w:hAnsi="Sylfaen" w:cs="Sylfaen"/>
        </w:rPr>
        <w:t>აცილებული</w:t>
      </w:r>
      <w:r w:rsidRPr="003D733D">
        <w:t xml:space="preserve">. </w:t>
      </w:r>
      <w:r w:rsidRPr="003D733D">
        <w:rPr>
          <w:rFonts w:ascii="Sylfaen" w:hAnsi="Sylfaen" w:cs="Sylfaen"/>
        </w:rPr>
        <w:t>შერევის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ნაყოფიერი</w:t>
      </w:r>
      <w:r w:rsidRPr="003D733D">
        <w:t xml:space="preserve"> </w:t>
      </w:r>
      <w:r w:rsidRPr="003D733D">
        <w:rPr>
          <w:rFonts w:ascii="Sylfaen" w:hAnsi="Sylfaen" w:cs="Sylfaen"/>
        </w:rPr>
        <w:t>ნიადაგის</w:t>
      </w:r>
      <w:r w:rsidRPr="003D733D">
        <w:t xml:space="preserve"> </w:t>
      </w:r>
      <w:r w:rsidRPr="003D733D">
        <w:rPr>
          <w:rFonts w:ascii="Sylfaen" w:hAnsi="Sylfaen" w:cs="Sylfaen"/>
        </w:rPr>
        <w:t>ხარისხი</w:t>
      </w:r>
      <w:r w:rsidRPr="003D733D">
        <w:t xml:space="preserve"> </w:t>
      </w:r>
      <w:r w:rsidRPr="003D733D">
        <w:rPr>
          <w:rFonts w:ascii="Sylfaen" w:hAnsi="Sylfaen" w:cs="Sylfaen"/>
        </w:rPr>
        <w:t>და</w:t>
      </w:r>
      <w:r w:rsidRPr="003D733D">
        <w:t xml:space="preserve"> </w:t>
      </w:r>
      <w:r w:rsidRPr="003D733D">
        <w:rPr>
          <w:rFonts w:ascii="Sylfaen" w:hAnsi="Sylfaen" w:cs="Sylfaen"/>
        </w:rPr>
        <w:t>ნაყოფიერება</w:t>
      </w:r>
      <w:r w:rsidRPr="003D733D">
        <w:t xml:space="preserve"> </w:t>
      </w:r>
      <w:r w:rsidRPr="003D733D">
        <w:rPr>
          <w:rFonts w:ascii="Sylfaen" w:hAnsi="Sylfaen" w:cs="Sylfaen"/>
        </w:rPr>
        <w:t>მცირდება</w:t>
      </w:r>
      <w:r w:rsidRPr="003D733D">
        <w:t>.</w:t>
      </w:r>
    </w:p>
    <w:p w14:paraId="23985924" w14:textId="77777777" w:rsidR="00A2588D" w:rsidRPr="003D733D" w:rsidRDefault="00A2588D" w:rsidP="00A2588D"/>
    <w:p w14:paraId="26A06D8E" w14:textId="77777777" w:rsidR="00A2588D" w:rsidRPr="003D733D" w:rsidRDefault="00A2588D" w:rsidP="00A2588D"/>
    <w:p w14:paraId="7397B241" w14:textId="77777777" w:rsidR="00A2588D" w:rsidRPr="003D733D" w:rsidRDefault="00A2588D" w:rsidP="00A2588D">
      <w:r w:rsidRPr="003D733D">
        <w:rPr>
          <w:rFonts w:ascii="Sylfaen" w:hAnsi="Sylfaen" w:cs="Sylfaen"/>
        </w:rPr>
        <w:t>განსაკუთრებული</w:t>
      </w:r>
      <w:r w:rsidRPr="003D733D">
        <w:t xml:space="preserve"> </w:t>
      </w:r>
      <w:r w:rsidRPr="003D733D">
        <w:rPr>
          <w:rFonts w:ascii="Sylfaen" w:hAnsi="Sylfaen" w:cs="Sylfaen"/>
        </w:rPr>
        <w:t>ყურადღება</w:t>
      </w:r>
      <w:r w:rsidRPr="003D733D">
        <w:t xml:space="preserve"> </w:t>
      </w:r>
      <w:r w:rsidRPr="003D733D">
        <w:rPr>
          <w:rFonts w:ascii="Sylfaen" w:hAnsi="Sylfaen" w:cs="Sylfaen"/>
        </w:rPr>
        <w:t>უნდა</w:t>
      </w:r>
      <w:r w:rsidRPr="003D733D">
        <w:t xml:space="preserve"> </w:t>
      </w:r>
      <w:r w:rsidRPr="003D733D">
        <w:rPr>
          <w:rFonts w:ascii="Sylfaen" w:hAnsi="Sylfaen" w:cs="Sylfaen"/>
        </w:rPr>
        <w:t>მიექცეს</w:t>
      </w:r>
      <w:r w:rsidRPr="003D733D">
        <w:t xml:space="preserve"> </w:t>
      </w:r>
      <w:r w:rsidRPr="003D733D">
        <w:rPr>
          <w:rFonts w:ascii="Sylfaen" w:hAnsi="Sylfaen" w:cs="Sylfaen"/>
        </w:rPr>
        <w:t>ნაყოფიერი</w:t>
      </w:r>
      <w:r w:rsidRPr="003D733D">
        <w:t xml:space="preserve"> </w:t>
      </w:r>
      <w:r w:rsidRPr="003D733D">
        <w:rPr>
          <w:rFonts w:ascii="Sylfaen" w:hAnsi="Sylfaen" w:cs="Sylfaen"/>
        </w:rPr>
        <w:t>ნიადაგის</w:t>
      </w:r>
      <w:r w:rsidRPr="003D733D">
        <w:t xml:space="preserve"> </w:t>
      </w:r>
      <w:r w:rsidRPr="003D733D">
        <w:rPr>
          <w:rFonts w:ascii="Sylfaen" w:hAnsi="Sylfaen" w:cs="Sylfaen"/>
        </w:rPr>
        <w:t>შენახვას</w:t>
      </w:r>
      <w:r w:rsidRPr="003D733D">
        <w:t xml:space="preserve">. </w:t>
      </w:r>
      <w:r w:rsidRPr="003D733D">
        <w:rPr>
          <w:rFonts w:ascii="Sylfaen" w:hAnsi="Sylfaen" w:cs="Sylfaen"/>
        </w:rPr>
        <w:t>ნაყოფიერი</w:t>
      </w:r>
      <w:r w:rsidRPr="003D733D">
        <w:t xml:space="preserve"> </w:t>
      </w:r>
      <w:r w:rsidRPr="003D733D">
        <w:rPr>
          <w:rFonts w:ascii="Sylfaen" w:hAnsi="Sylfaen" w:cs="Sylfaen"/>
        </w:rPr>
        <w:t>ნიადაგის</w:t>
      </w:r>
      <w:r w:rsidRPr="003D733D">
        <w:t xml:space="preserve"> </w:t>
      </w:r>
      <w:r w:rsidRPr="003D733D">
        <w:rPr>
          <w:rFonts w:ascii="Sylfaen" w:hAnsi="Sylfaen" w:cs="Sylfaen"/>
        </w:rPr>
        <w:t>ხარისხი</w:t>
      </w:r>
      <w:r w:rsidRPr="003D733D">
        <w:t>/</w:t>
      </w:r>
      <w:r w:rsidRPr="003D733D">
        <w:rPr>
          <w:rFonts w:ascii="Sylfaen" w:hAnsi="Sylfaen" w:cs="Sylfaen"/>
        </w:rPr>
        <w:t>მახასიათებლები</w:t>
      </w:r>
      <w:r w:rsidRPr="003D733D">
        <w:t xml:space="preserve"> </w:t>
      </w:r>
      <w:r w:rsidRPr="003D733D">
        <w:rPr>
          <w:rFonts w:ascii="Sylfaen" w:hAnsi="Sylfaen" w:cs="Sylfaen"/>
        </w:rPr>
        <w:t>და</w:t>
      </w:r>
      <w:r w:rsidRPr="003D733D">
        <w:t xml:space="preserve"> </w:t>
      </w:r>
      <w:r w:rsidRPr="003D733D">
        <w:rPr>
          <w:rFonts w:ascii="Sylfaen" w:hAnsi="Sylfaen" w:cs="Sylfaen"/>
        </w:rPr>
        <w:t>რევეგეტაციის</w:t>
      </w:r>
      <w:r w:rsidRPr="003D733D">
        <w:t xml:space="preserve"> </w:t>
      </w:r>
      <w:r w:rsidRPr="003D733D">
        <w:rPr>
          <w:rFonts w:ascii="Sylfaen" w:hAnsi="Sylfaen" w:cs="Sylfaen"/>
        </w:rPr>
        <w:t>თვალსაზრისით</w:t>
      </w:r>
      <w:r w:rsidRPr="003D733D">
        <w:t xml:space="preserve"> </w:t>
      </w:r>
      <w:r w:rsidRPr="003D733D">
        <w:rPr>
          <w:rFonts w:ascii="Sylfaen" w:hAnsi="Sylfaen" w:cs="Sylfaen"/>
        </w:rPr>
        <w:t>ღირებულება</w:t>
      </w:r>
      <w:r w:rsidRPr="003D733D">
        <w:t xml:space="preserve"> </w:t>
      </w:r>
      <w:r w:rsidRPr="003D733D">
        <w:rPr>
          <w:rFonts w:ascii="Sylfaen" w:hAnsi="Sylfaen" w:cs="Sylfaen"/>
        </w:rPr>
        <w:t>დამოკიდებულია</w:t>
      </w:r>
      <w:r w:rsidRPr="003D733D">
        <w:t xml:space="preserve"> </w:t>
      </w:r>
      <w:r w:rsidRPr="003D733D">
        <w:rPr>
          <w:rFonts w:ascii="Sylfaen" w:hAnsi="Sylfaen" w:cs="Sylfaen"/>
        </w:rPr>
        <w:t>ნიადაგის</w:t>
      </w:r>
      <w:r w:rsidRPr="003D733D">
        <w:t xml:space="preserve"> </w:t>
      </w:r>
      <w:r w:rsidRPr="003D733D">
        <w:rPr>
          <w:rFonts w:ascii="Sylfaen" w:hAnsi="Sylfaen" w:cs="Sylfaen"/>
        </w:rPr>
        <w:t>მოხსნის</w:t>
      </w:r>
      <w:r w:rsidRPr="003D733D">
        <w:t xml:space="preserve"> </w:t>
      </w:r>
      <w:r w:rsidRPr="003D733D">
        <w:rPr>
          <w:rFonts w:ascii="Sylfaen" w:hAnsi="Sylfaen" w:cs="Sylfaen"/>
        </w:rPr>
        <w:t>და</w:t>
      </w:r>
      <w:r w:rsidRPr="003D733D">
        <w:t xml:space="preserve"> </w:t>
      </w:r>
      <w:r w:rsidRPr="003D733D">
        <w:rPr>
          <w:rFonts w:ascii="Sylfaen" w:hAnsi="Sylfaen" w:cs="Sylfaen"/>
        </w:rPr>
        <w:t>შენახვის</w:t>
      </w:r>
      <w:r w:rsidRPr="003D733D">
        <w:t xml:space="preserve"> </w:t>
      </w:r>
      <w:r w:rsidRPr="003D733D">
        <w:rPr>
          <w:rFonts w:ascii="Sylfaen" w:hAnsi="Sylfaen" w:cs="Sylfaen"/>
        </w:rPr>
        <w:t>პირობებზე</w:t>
      </w:r>
      <w:r w:rsidRPr="003D733D">
        <w:t xml:space="preserve">. </w:t>
      </w:r>
      <w:r w:rsidRPr="003D733D">
        <w:rPr>
          <w:rFonts w:ascii="Sylfaen" w:hAnsi="Sylfaen" w:cs="Sylfaen"/>
        </w:rPr>
        <w:t>მაგალითად</w:t>
      </w:r>
      <w:r w:rsidRPr="003D733D">
        <w:t xml:space="preserve">, </w:t>
      </w:r>
      <w:r w:rsidRPr="003D733D">
        <w:rPr>
          <w:rFonts w:ascii="Sylfaen" w:hAnsi="Sylfaen" w:cs="Sylfaen"/>
        </w:rPr>
        <w:t>ჟანგბადის</w:t>
      </w:r>
      <w:r w:rsidRPr="003D733D">
        <w:t xml:space="preserve"> </w:t>
      </w:r>
      <w:r w:rsidRPr="003D733D">
        <w:rPr>
          <w:rFonts w:ascii="Sylfaen" w:hAnsi="Sylfaen" w:cs="Sylfaen"/>
        </w:rPr>
        <w:t>შემცირება</w:t>
      </w:r>
      <w:r w:rsidRPr="003D733D">
        <w:t xml:space="preserve"> </w:t>
      </w:r>
      <w:r w:rsidRPr="003D733D">
        <w:rPr>
          <w:rFonts w:ascii="Sylfaen" w:hAnsi="Sylfaen" w:cs="Sylfaen"/>
        </w:rPr>
        <w:t>დასაწყობებულ</w:t>
      </w:r>
      <w:r w:rsidRPr="003D733D">
        <w:t xml:space="preserve"> </w:t>
      </w:r>
      <w:r w:rsidRPr="003D733D">
        <w:rPr>
          <w:rFonts w:ascii="Sylfaen" w:hAnsi="Sylfaen" w:cs="Sylfaen"/>
        </w:rPr>
        <w:t>ნიადაგში</w:t>
      </w:r>
      <w:r w:rsidRPr="003D733D">
        <w:t xml:space="preserve">  </w:t>
      </w:r>
      <w:r w:rsidRPr="003D733D">
        <w:rPr>
          <w:rFonts w:ascii="Sylfaen" w:hAnsi="Sylfaen" w:cs="Sylfaen"/>
        </w:rPr>
        <w:t>აუარესებს</w:t>
      </w:r>
      <w:r w:rsidRPr="003D733D">
        <w:t xml:space="preserve">  </w:t>
      </w:r>
      <w:r w:rsidRPr="003D733D">
        <w:rPr>
          <w:rFonts w:ascii="Sylfaen" w:hAnsi="Sylfaen" w:cs="Sylfaen"/>
        </w:rPr>
        <w:t>მის</w:t>
      </w:r>
      <w:r w:rsidRPr="003D733D">
        <w:t xml:space="preserve"> </w:t>
      </w:r>
      <w:r w:rsidRPr="003D733D">
        <w:rPr>
          <w:rFonts w:ascii="Sylfaen" w:hAnsi="Sylfaen" w:cs="Sylfaen"/>
        </w:rPr>
        <w:t>ხარისხს</w:t>
      </w:r>
      <w:r w:rsidRPr="003D733D">
        <w:t xml:space="preserve"> </w:t>
      </w:r>
      <w:r w:rsidRPr="003D733D">
        <w:rPr>
          <w:rFonts w:ascii="Sylfaen" w:hAnsi="Sylfaen" w:cs="Sylfaen"/>
        </w:rPr>
        <w:t>და</w:t>
      </w:r>
      <w:r w:rsidRPr="003D733D">
        <w:t xml:space="preserve"> </w:t>
      </w:r>
      <w:r w:rsidRPr="003D733D">
        <w:rPr>
          <w:rFonts w:ascii="Sylfaen" w:hAnsi="Sylfaen" w:cs="Sylfaen"/>
        </w:rPr>
        <w:t>ნიადაგის</w:t>
      </w:r>
      <w:r w:rsidRPr="003D733D">
        <w:t xml:space="preserve"> </w:t>
      </w:r>
      <w:r w:rsidRPr="003D733D">
        <w:rPr>
          <w:rFonts w:ascii="Sylfaen" w:hAnsi="Sylfaen" w:cs="Sylfaen"/>
        </w:rPr>
        <w:t>სტრუქტურას</w:t>
      </w:r>
      <w:r w:rsidRPr="003D733D">
        <w:t xml:space="preserve">, </w:t>
      </w:r>
      <w:r w:rsidRPr="003D733D">
        <w:rPr>
          <w:rFonts w:ascii="Sylfaen" w:hAnsi="Sylfaen" w:cs="Sylfaen"/>
        </w:rPr>
        <w:t>თუ</w:t>
      </w:r>
      <w:r w:rsidRPr="003D733D">
        <w:t xml:space="preserve"> </w:t>
      </w:r>
      <w:r w:rsidRPr="003D733D">
        <w:rPr>
          <w:rFonts w:ascii="Sylfaen" w:hAnsi="Sylfaen" w:cs="Sylfaen"/>
        </w:rPr>
        <w:t>მისი</w:t>
      </w:r>
      <w:r w:rsidRPr="003D733D">
        <w:t xml:space="preserve"> </w:t>
      </w:r>
      <w:r w:rsidRPr="003D733D">
        <w:rPr>
          <w:rFonts w:ascii="Sylfaen" w:hAnsi="Sylfaen" w:cs="Sylfaen"/>
        </w:rPr>
        <w:t>მოხსნა</w:t>
      </w:r>
      <w:r w:rsidRPr="003D733D">
        <w:t xml:space="preserve"> </w:t>
      </w:r>
      <w:r w:rsidRPr="003D733D">
        <w:rPr>
          <w:rFonts w:ascii="Sylfaen" w:hAnsi="Sylfaen" w:cs="Sylfaen"/>
        </w:rPr>
        <w:t>მოხდა</w:t>
      </w:r>
      <w:r w:rsidRPr="003D733D">
        <w:t xml:space="preserve"> </w:t>
      </w:r>
      <w:r w:rsidRPr="003D733D">
        <w:rPr>
          <w:rFonts w:ascii="Sylfaen" w:hAnsi="Sylfaen" w:cs="Sylfaen"/>
        </w:rPr>
        <w:t>გაჯერებულ</w:t>
      </w:r>
      <w:r w:rsidRPr="003D733D">
        <w:t xml:space="preserve"> </w:t>
      </w:r>
      <w:r w:rsidRPr="003D733D">
        <w:rPr>
          <w:rFonts w:ascii="Sylfaen" w:hAnsi="Sylfaen" w:cs="Sylfaen"/>
        </w:rPr>
        <w:t>მდგომარეობაში</w:t>
      </w:r>
      <w:r w:rsidRPr="003D733D">
        <w:t xml:space="preserve">, </w:t>
      </w:r>
      <w:r w:rsidRPr="003D733D">
        <w:rPr>
          <w:rFonts w:ascii="Sylfaen" w:hAnsi="Sylfaen" w:cs="Sylfaen"/>
        </w:rPr>
        <w:t>ან</w:t>
      </w:r>
      <w:r w:rsidRPr="003D733D">
        <w:t xml:space="preserve"> </w:t>
      </w:r>
      <w:r w:rsidRPr="003D733D">
        <w:rPr>
          <w:rFonts w:ascii="Sylfaen" w:hAnsi="Sylfaen" w:cs="Sylfaen"/>
        </w:rPr>
        <w:t>თუ</w:t>
      </w:r>
      <w:r w:rsidRPr="003D733D">
        <w:t xml:space="preserve"> </w:t>
      </w:r>
      <w:r w:rsidRPr="003D733D">
        <w:rPr>
          <w:rFonts w:ascii="Sylfaen" w:hAnsi="Sylfaen" w:cs="Sylfaen"/>
        </w:rPr>
        <w:t>ნიადაგი</w:t>
      </w:r>
      <w:r w:rsidRPr="003D733D">
        <w:t xml:space="preserve"> </w:t>
      </w:r>
      <w:r w:rsidRPr="003D733D">
        <w:rPr>
          <w:rFonts w:ascii="Sylfaen" w:hAnsi="Sylfaen" w:cs="Sylfaen"/>
        </w:rPr>
        <w:t>დატკეპნილია</w:t>
      </w:r>
      <w:r w:rsidRPr="003D733D">
        <w:t>.</w:t>
      </w:r>
    </w:p>
    <w:p w14:paraId="1D9E675E" w14:textId="77777777" w:rsidR="00A2588D" w:rsidRPr="003D733D" w:rsidRDefault="00A2588D" w:rsidP="00A2588D"/>
    <w:p w14:paraId="60F04F72" w14:textId="77777777" w:rsidR="00A2588D" w:rsidRPr="003D733D" w:rsidRDefault="00A2588D" w:rsidP="00A2588D">
      <w:r w:rsidRPr="003D733D">
        <w:rPr>
          <w:rFonts w:ascii="Sylfaen" w:hAnsi="Sylfaen" w:cs="Sylfaen"/>
        </w:rPr>
        <w:t>ნაყოფიერი</w:t>
      </w:r>
      <w:r w:rsidRPr="003D733D">
        <w:t xml:space="preserve"> </w:t>
      </w:r>
      <w:r w:rsidRPr="003D733D">
        <w:rPr>
          <w:rFonts w:ascii="Sylfaen" w:hAnsi="Sylfaen" w:cs="Sylfaen"/>
        </w:rPr>
        <w:t>ფენის</w:t>
      </w:r>
      <w:r w:rsidRPr="003D733D">
        <w:t xml:space="preserve"> </w:t>
      </w:r>
      <w:r w:rsidRPr="003D733D">
        <w:rPr>
          <w:rFonts w:ascii="Sylfaen" w:hAnsi="Sylfaen" w:cs="Sylfaen"/>
        </w:rPr>
        <w:t>მართვის</w:t>
      </w:r>
      <w:r w:rsidRPr="003D733D">
        <w:t xml:space="preserve"> </w:t>
      </w:r>
      <w:r w:rsidRPr="003D733D">
        <w:rPr>
          <w:rFonts w:ascii="Sylfaen" w:hAnsi="Sylfaen" w:cs="Sylfaen"/>
        </w:rPr>
        <w:t>უნივერსალური</w:t>
      </w:r>
      <w:r w:rsidRPr="003D733D">
        <w:t xml:space="preserve"> </w:t>
      </w:r>
      <w:r w:rsidRPr="003D733D">
        <w:rPr>
          <w:rFonts w:ascii="Sylfaen" w:hAnsi="Sylfaen" w:cs="Sylfaen"/>
        </w:rPr>
        <w:t>რეკომენდებული</w:t>
      </w:r>
      <w:r w:rsidRPr="003D733D">
        <w:t xml:space="preserve"> </w:t>
      </w:r>
      <w:r w:rsidRPr="003D733D">
        <w:rPr>
          <w:rFonts w:ascii="Sylfaen" w:hAnsi="Sylfaen" w:cs="Sylfaen"/>
        </w:rPr>
        <w:t>პრაქტიკა</w:t>
      </w:r>
      <w:r w:rsidRPr="003D733D">
        <w:t xml:space="preserve">, </w:t>
      </w:r>
      <w:r w:rsidRPr="003D733D">
        <w:rPr>
          <w:rFonts w:ascii="Sylfaen" w:hAnsi="Sylfaen" w:cs="Sylfaen"/>
        </w:rPr>
        <w:t>რომელიც</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ყველა</w:t>
      </w:r>
      <w:r w:rsidRPr="003D733D">
        <w:t xml:space="preserve"> </w:t>
      </w:r>
      <w:r w:rsidRPr="003D733D">
        <w:rPr>
          <w:rFonts w:ascii="Sylfaen" w:hAnsi="Sylfaen" w:cs="Sylfaen"/>
        </w:rPr>
        <w:t>საიტზე</w:t>
      </w:r>
      <w:r w:rsidRPr="003D733D">
        <w:t xml:space="preserve"> </w:t>
      </w:r>
      <w:r w:rsidRPr="003D733D">
        <w:rPr>
          <w:rFonts w:ascii="Sylfaen" w:hAnsi="Sylfaen" w:cs="Sylfaen"/>
        </w:rPr>
        <w:t>გავრცელდეს</w:t>
      </w:r>
      <w:r w:rsidRPr="003D733D">
        <w:t xml:space="preserve"> </w:t>
      </w:r>
      <w:r w:rsidRPr="003D733D">
        <w:rPr>
          <w:rFonts w:ascii="Sylfaen" w:hAnsi="Sylfaen" w:cs="Sylfaen"/>
        </w:rPr>
        <w:t>შემდეგია</w:t>
      </w:r>
      <w:r w:rsidRPr="003D733D">
        <w:t>:</w:t>
      </w:r>
    </w:p>
    <w:p w14:paraId="7E24C17F" w14:textId="77777777" w:rsidR="00A2588D" w:rsidRPr="003D733D" w:rsidRDefault="00A2588D" w:rsidP="00A2588D">
      <w:r w:rsidRPr="003D733D">
        <w:rPr>
          <w:rFonts w:ascii="Sylfaen" w:hAnsi="Sylfaen" w:cs="Sylfaen"/>
        </w:rPr>
        <w:t>წყლით</w:t>
      </w:r>
      <w:r w:rsidRPr="003D733D">
        <w:t xml:space="preserve"> </w:t>
      </w:r>
      <w:r w:rsidRPr="003D733D">
        <w:rPr>
          <w:rFonts w:ascii="Sylfaen" w:hAnsi="Sylfaen" w:cs="Sylfaen"/>
        </w:rPr>
        <w:t>გაჯერებულ</w:t>
      </w:r>
      <w:r w:rsidRPr="003D733D">
        <w:t xml:space="preserve"> </w:t>
      </w:r>
      <w:r w:rsidRPr="003D733D">
        <w:rPr>
          <w:rFonts w:ascii="Sylfaen" w:hAnsi="Sylfaen" w:cs="Sylfaen"/>
        </w:rPr>
        <w:t>ან</w:t>
      </w:r>
      <w:r w:rsidRPr="003D733D">
        <w:t xml:space="preserve"> </w:t>
      </w:r>
      <w:r w:rsidRPr="003D733D">
        <w:rPr>
          <w:rFonts w:ascii="Sylfaen" w:hAnsi="Sylfaen" w:cs="Sylfaen"/>
        </w:rPr>
        <w:t>ძალიან</w:t>
      </w:r>
      <w:r w:rsidRPr="003D733D">
        <w:t xml:space="preserve"> </w:t>
      </w:r>
      <w:r w:rsidRPr="003D733D">
        <w:rPr>
          <w:rFonts w:ascii="Sylfaen" w:hAnsi="Sylfaen" w:cs="Sylfaen"/>
        </w:rPr>
        <w:t>მშრალ</w:t>
      </w:r>
      <w:r w:rsidRPr="003D733D">
        <w:t xml:space="preserve"> </w:t>
      </w:r>
      <w:r w:rsidRPr="003D733D">
        <w:rPr>
          <w:rFonts w:ascii="Sylfaen" w:hAnsi="Sylfaen" w:cs="Sylfaen"/>
        </w:rPr>
        <w:t>მდგომარეობაში</w:t>
      </w:r>
      <w:r w:rsidRPr="003D733D">
        <w:t xml:space="preserve"> </w:t>
      </w:r>
      <w:r w:rsidRPr="003D733D">
        <w:rPr>
          <w:rFonts w:ascii="Sylfaen" w:hAnsi="Sylfaen" w:cs="Sylfaen"/>
        </w:rPr>
        <w:t>მყოფი</w:t>
      </w:r>
      <w:r w:rsidRPr="003D733D">
        <w:t xml:space="preserve"> </w:t>
      </w:r>
      <w:r w:rsidRPr="003D733D">
        <w:rPr>
          <w:rFonts w:ascii="Sylfaen" w:hAnsi="Sylfaen" w:cs="Sylfaen"/>
        </w:rPr>
        <w:t>ნაყოფიერი</w:t>
      </w:r>
      <w:r w:rsidRPr="003D733D">
        <w:t xml:space="preserve"> </w:t>
      </w:r>
      <w:r w:rsidRPr="003D733D">
        <w:rPr>
          <w:rFonts w:ascii="Sylfaen" w:hAnsi="Sylfaen" w:cs="Sylfaen"/>
        </w:rPr>
        <w:t>ფენის</w:t>
      </w:r>
      <w:r w:rsidRPr="003D733D">
        <w:t xml:space="preserve"> </w:t>
      </w:r>
      <w:r w:rsidRPr="003D733D">
        <w:rPr>
          <w:rFonts w:ascii="Sylfaen" w:hAnsi="Sylfaen" w:cs="Sylfaen"/>
        </w:rPr>
        <w:t>მოხსნა</w:t>
      </w:r>
      <w:r w:rsidRPr="003D733D">
        <w:t xml:space="preserve"> </w:t>
      </w:r>
      <w:r w:rsidRPr="003D733D">
        <w:rPr>
          <w:rFonts w:ascii="Sylfaen" w:hAnsi="Sylfaen" w:cs="Sylfaen"/>
        </w:rPr>
        <w:t>არ</w:t>
      </w:r>
      <w:r w:rsidRPr="003D733D">
        <w:t xml:space="preserve"> </w:t>
      </w:r>
      <w:r w:rsidRPr="003D733D">
        <w:rPr>
          <w:rFonts w:ascii="Sylfaen" w:hAnsi="Sylfaen" w:cs="Sylfaen"/>
        </w:rPr>
        <w:t>შეიძლება</w:t>
      </w:r>
      <w:r w:rsidRPr="003D733D">
        <w:t>.</w:t>
      </w:r>
    </w:p>
    <w:p w14:paraId="6320135B" w14:textId="77777777" w:rsidR="00A2588D" w:rsidRPr="003D733D" w:rsidRDefault="00A2588D" w:rsidP="00A2588D">
      <w:r w:rsidRPr="003D733D">
        <w:rPr>
          <w:rFonts w:ascii="Sylfaen" w:hAnsi="Sylfaen" w:cs="Sylfaen"/>
        </w:rPr>
        <w:t>ნაყარის</w:t>
      </w:r>
      <w:r w:rsidRPr="003D733D">
        <w:t xml:space="preserve"> </w:t>
      </w:r>
      <w:r w:rsidRPr="003D733D">
        <w:rPr>
          <w:rFonts w:ascii="Sylfaen" w:hAnsi="Sylfaen" w:cs="Sylfaen"/>
        </w:rPr>
        <w:t>ოპტიმალური</w:t>
      </w:r>
      <w:r w:rsidRPr="003D733D">
        <w:t xml:space="preserve"> </w:t>
      </w:r>
      <w:r w:rsidRPr="003D733D">
        <w:rPr>
          <w:rFonts w:ascii="Sylfaen" w:hAnsi="Sylfaen" w:cs="Sylfaen"/>
        </w:rPr>
        <w:t>სიმაღლე</w:t>
      </w:r>
      <w:r w:rsidRPr="003D733D">
        <w:t xml:space="preserve"> 2</w:t>
      </w:r>
      <w:r w:rsidRPr="003D733D">
        <w:rPr>
          <w:rFonts w:ascii="Sylfaen" w:hAnsi="Sylfaen" w:cs="Sylfaen"/>
        </w:rPr>
        <w:t>მ</w:t>
      </w:r>
      <w:r w:rsidRPr="003D733D">
        <w:t xml:space="preserve"> -</w:t>
      </w:r>
      <w:r w:rsidRPr="003D733D">
        <w:rPr>
          <w:rFonts w:ascii="Sylfaen" w:hAnsi="Sylfaen" w:cs="Sylfaen"/>
        </w:rPr>
        <w:t>ს</w:t>
      </w:r>
      <w:r w:rsidRPr="003D733D">
        <w:t xml:space="preserve"> </w:t>
      </w:r>
      <w:r w:rsidRPr="003D733D">
        <w:rPr>
          <w:rFonts w:ascii="Sylfaen" w:hAnsi="Sylfaen" w:cs="Sylfaen"/>
        </w:rPr>
        <w:t>არ</w:t>
      </w:r>
      <w:r w:rsidRPr="003D733D">
        <w:t xml:space="preserve"> </w:t>
      </w:r>
      <w:r w:rsidRPr="003D733D">
        <w:rPr>
          <w:rFonts w:ascii="Sylfaen" w:hAnsi="Sylfaen" w:cs="Sylfaen"/>
        </w:rPr>
        <w:t>უნდა</w:t>
      </w:r>
      <w:r w:rsidRPr="003D733D">
        <w:t xml:space="preserve"> </w:t>
      </w:r>
      <w:r w:rsidRPr="003D733D">
        <w:rPr>
          <w:rFonts w:ascii="Sylfaen" w:hAnsi="Sylfaen" w:cs="Sylfaen"/>
        </w:rPr>
        <w:t>აღემატებოდეს</w:t>
      </w:r>
      <w:r w:rsidRPr="003D733D">
        <w:t xml:space="preserve"> • </w:t>
      </w:r>
      <w:r w:rsidRPr="003D733D">
        <w:rPr>
          <w:rFonts w:ascii="Sylfaen" w:hAnsi="Sylfaen" w:cs="Sylfaen"/>
        </w:rPr>
        <w:t>ნაყოფიერი</w:t>
      </w:r>
      <w:r w:rsidRPr="003D733D">
        <w:t xml:space="preserve"> </w:t>
      </w:r>
      <w:r w:rsidRPr="003D733D">
        <w:rPr>
          <w:rFonts w:ascii="Sylfaen" w:hAnsi="Sylfaen" w:cs="Sylfaen"/>
        </w:rPr>
        <w:t>ფენის</w:t>
      </w:r>
      <w:r w:rsidRPr="003D733D">
        <w:t xml:space="preserve"> </w:t>
      </w:r>
      <w:r w:rsidRPr="003D733D">
        <w:rPr>
          <w:rFonts w:ascii="Sylfaen" w:hAnsi="Sylfaen" w:cs="Sylfaen"/>
        </w:rPr>
        <w:t>დამუშავება</w:t>
      </w:r>
      <w:r w:rsidRPr="003D733D">
        <w:t xml:space="preserve"> </w:t>
      </w:r>
      <w:r w:rsidRPr="003D733D">
        <w:rPr>
          <w:rFonts w:ascii="Sylfaen" w:hAnsi="Sylfaen" w:cs="Sylfaen"/>
        </w:rPr>
        <w:t>მინიმალური</w:t>
      </w:r>
      <w:r w:rsidRPr="003D733D">
        <w:t xml:space="preserve"> </w:t>
      </w:r>
      <w:r w:rsidRPr="003D733D">
        <w:rPr>
          <w:rFonts w:ascii="Sylfaen" w:hAnsi="Sylfaen" w:cs="Sylfaen"/>
        </w:rPr>
        <w:t>უნდა</w:t>
      </w:r>
      <w:r w:rsidRPr="003D733D">
        <w:t xml:space="preserve"> </w:t>
      </w:r>
      <w:r w:rsidRPr="003D733D">
        <w:rPr>
          <w:rFonts w:ascii="Sylfaen" w:hAnsi="Sylfaen" w:cs="Sylfaen"/>
        </w:rPr>
        <w:t>იყოს</w:t>
      </w:r>
      <w:r w:rsidRPr="003D733D">
        <w:t>.</w:t>
      </w:r>
    </w:p>
    <w:p w14:paraId="60936B64" w14:textId="77777777" w:rsidR="00A2588D" w:rsidRPr="003D733D" w:rsidRDefault="00A2588D" w:rsidP="00A2588D">
      <w:r w:rsidRPr="003D733D">
        <w:rPr>
          <w:rFonts w:ascii="Sylfaen" w:hAnsi="Sylfaen" w:cs="Sylfaen"/>
        </w:rPr>
        <w:t>ნაყოფიერი</w:t>
      </w:r>
      <w:r w:rsidRPr="003D733D">
        <w:t xml:space="preserve"> </w:t>
      </w:r>
      <w:r w:rsidRPr="003D733D">
        <w:rPr>
          <w:rFonts w:ascii="Sylfaen" w:hAnsi="Sylfaen" w:cs="Sylfaen"/>
        </w:rPr>
        <w:t>ფენა</w:t>
      </w:r>
      <w:r w:rsidRPr="003D733D">
        <w:t xml:space="preserve"> </w:t>
      </w:r>
      <w:r w:rsidRPr="003D733D">
        <w:rPr>
          <w:rFonts w:ascii="Sylfaen" w:hAnsi="Sylfaen" w:cs="Sylfaen"/>
        </w:rPr>
        <w:t>არ</w:t>
      </w:r>
      <w:r w:rsidRPr="003D733D">
        <w:t xml:space="preserve"> </w:t>
      </w:r>
      <w:r w:rsidRPr="003D733D">
        <w:rPr>
          <w:rFonts w:ascii="Sylfaen" w:hAnsi="Sylfaen" w:cs="Sylfaen"/>
        </w:rPr>
        <w:t>უნდა</w:t>
      </w:r>
      <w:r w:rsidRPr="003D733D">
        <w:t xml:space="preserve"> </w:t>
      </w:r>
      <w:r w:rsidRPr="003D733D">
        <w:rPr>
          <w:rFonts w:ascii="Sylfaen" w:hAnsi="Sylfaen" w:cs="Sylfaen"/>
        </w:rPr>
        <w:t>იყოს</w:t>
      </w:r>
      <w:r w:rsidRPr="003D733D">
        <w:t xml:space="preserve"> </w:t>
      </w:r>
      <w:r w:rsidRPr="003D733D">
        <w:rPr>
          <w:rFonts w:ascii="Sylfaen" w:hAnsi="Sylfaen" w:cs="Sylfaen"/>
        </w:rPr>
        <w:t>შერეული</w:t>
      </w:r>
      <w:r w:rsidRPr="003D733D">
        <w:t xml:space="preserve"> </w:t>
      </w:r>
      <w:r w:rsidRPr="003D733D">
        <w:rPr>
          <w:rFonts w:ascii="Sylfaen" w:hAnsi="Sylfaen" w:cs="Sylfaen"/>
        </w:rPr>
        <w:t>სხვა</w:t>
      </w:r>
      <w:r w:rsidRPr="003D733D">
        <w:t xml:space="preserve"> </w:t>
      </w:r>
      <w:r w:rsidRPr="003D733D">
        <w:rPr>
          <w:rFonts w:ascii="Sylfaen" w:hAnsi="Sylfaen" w:cs="Sylfaen"/>
        </w:rPr>
        <w:t>მასალასთან</w:t>
      </w:r>
      <w:r w:rsidRPr="003D733D">
        <w:t xml:space="preserve"> (</w:t>
      </w:r>
      <w:r w:rsidRPr="003D733D">
        <w:rPr>
          <w:rFonts w:ascii="Sylfaen" w:hAnsi="Sylfaen" w:cs="Sylfaen"/>
        </w:rPr>
        <w:t>მაგ</w:t>
      </w:r>
      <w:r w:rsidRPr="003D733D">
        <w:t>.</w:t>
      </w:r>
      <w:r w:rsidRPr="003D733D">
        <w:rPr>
          <w:rFonts w:ascii="Sylfaen" w:hAnsi="Sylfaen" w:cs="Sylfaen"/>
        </w:rPr>
        <w:t>ხრეში</w:t>
      </w:r>
      <w:r w:rsidRPr="003D733D">
        <w:t xml:space="preserve">, </w:t>
      </w:r>
      <w:r w:rsidRPr="003D733D">
        <w:rPr>
          <w:rFonts w:ascii="Sylfaen" w:hAnsi="Sylfaen" w:cs="Sylfaen"/>
        </w:rPr>
        <w:t>ქვა</w:t>
      </w:r>
      <w:r w:rsidRPr="003D733D">
        <w:t xml:space="preserve">, </w:t>
      </w:r>
      <w:r w:rsidRPr="003D733D">
        <w:rPr>
          <w:rFonts w:ascii="Sylfaen" w:hAnsi="Sylfaen" w:cs="Sylfaen"/>
        </w:rPr>
        <w:t>სხვ</w:t>
      </w:r>
      <w:r w:rsidRPr="003D733D">
        <w:t>.).</w:t>
      </w:r>
      <w:r w:rsidRPr="003D733D">
        <w:rPr>
          <w:rFonts w:ascii="Sylfaen" w:hAnsi="Sylfaen" w:cs="Sylfaen"/>
        </w:rPr>
        <w:t>ნაყოფიერი</w:t>
      </w:r>
      <w:r w:rsidRPr="003D733D">
        <w:t xml:space="preserve"> </w:t>
      </w:r>
      <w:r w:rsidRPr="003D733D">
        <w:rPr>
          <w:rFonts w:ascii="Sylfaen" w:hAnsi="Sylfaen" w:cs="Sylfaen"/>
        </w:rPr>
        <w:t>ფენა</w:t>
      </w:r>
      <w:r w:rsidRPr="003D733D">
        <w:t xml:space="preserve"> </w:t>
      </w:r>
      <w:r w:rsidRPr="003D733D">
        <w:rPr>
          <w:rFonts w:ascii="Sylfaen" w:hAnsi="Sylfaen" w:cs="Sylfaen"/>
        </w:rPr>
        <w:t>დაცული</w:t>
      </w:r>
      <w:r w:rsidRPr="003D733D">
        <w:t xml:space="preserve"> </w:t>
      </w:r>
      <w:r w:rsidRPr="003D733D">
        <w:rPr>
          <w:rFonts w:ascii="Sylfaen" w:hAnsi="Sylfaen" w:cs="Sylfaen"/>
        </w:rPr>
        <w:t>უნდა</w:t>
      </w:r>
      <w:r w:rsidRPr="003D733D">
        <w:t xml:space="preserve"> </w:t>
      </w:r>
      <w:r w:rsidRPr="003D733D">
        <w:rPr>
          <w:rFonts w:ascii="Sylfaen" w:hAnsi="Sylfaen" w:cs="Sylfaen"/>
        </w:rPr>
        <w:t>იყოს</w:t>
      </w:r>
      <w:r w:rsidRPr="003D733D">
        <w:t xml:space="preserve"> </w:t>
      </w:r>
      <w:r w:rsidRPr="003D733D">
        <w:rPr>
          <w:rFonts w:ascii="Sylfaen" w:hAnsi="Sylfaen" w:cs="Sylfaen"/>
        </w:rPr>
        <w:t>ეროზიისგან</w:t>
      </w:r>
      <w:r w:rsidRPr="003D733D">
        <w:t xml:space="preserve">. • </w:t>
      </w:r>
      <w:r w:rsidRPr="003D733D">
        <w:rPr>
          <w:rFonts w:ascii="Sylfaen" w:hAnsi="Sylfaen" w:cs="Sylfaen"/>
        </w:rPr>
        <w:t>ნაყოფიერი</w:t>
      </w:r>
      <w:r w:rsidRPr="003D733D">
        <w:t xml:space="preserve"> </w:t>
      </w:r>
      <w:r w:rsidRPr="003D733D">
        <w:rPr>
          <w:rFonts w:ascii="Sylfaen" w:hAnsi="Sylfaen" w:cs="Sylfaen"/>
        </w:rPr>
        <w:t>ფენა</w:t>
      </w:r>
      <w:r w:rsidRPr="003D733D">
        <w:t xml:space="preserve"> </w:t>
      </w:r>
      <w:r w:rsidRPr="003D733D">
        <w:rPr>
          <w:rFonts w:ascii="Sylfaen" w:hAnsi="Sylfaen" w:cs="Sylfaen"/>
        </w:rPr>
        <w:t>არ</w:t>
      </w:r>
      <w:r w:rsidRPr="003D733D">
        <w:t xml:space="preserve"> </w:t>
      </w:r>
      <w:r w:rsidRPr="003D733D">
        <w:rPr>
          <w:rFonts w:ascii="Sylfaen" w:hAnsi="Sylfaen" w:cs="Sylfaen"/>
        </w:rPr>
        <w:t>უნდა</w:t>
      </w:r>
      <w:r w:rsidRPr="003D733D">
        <w:t xml:space="preserve"> </w:t>
      </w:r>
      <w:r w:rsidRPr="003D733D">
        <w:rPr>
          <w:rFonts w:cs="Arial"/>
        </w:rPr>
        <w:t>„</w:t>
      </w:r>
      <w:r w:rsidRPr="003D733D">
        <w:rPr>
          <w:rFonts w:ascii="Sylfaen" w:hAnsi="Sylfaen" w:cs="Sylfaen"/>
        </w:rPr>
        <w:t>დაიმარხოს</w:t>
      </w:r>
      <w:r w:rsidRPr="003D733D">
        <w:rPr>
          <w:rFonts w:eastAsia="MS Mincho"/>
        </w:rPr>
        <w:t>‟</w:t>
      </w:r>
      <w:r w:rsidRPr="003D733D">
        <w:t>.</w:t>
      </w:r>
    </w:p>
    <w:p w14:paraId="128BB34C" w14:textId="77777777" w:rsidR="00A2588D" w:rsidRPr="003D733D" w:rsidRDefault="00A2588D" w:rsidP="00A2588D">
      <w:r w:rsidRPr="003D733D">
        <w:rPr>
          <w:rFonts w:ascii="Sylfaen" w:hAnsi="Sylfaen" w:cs="Sylfaen"/>
        </w:rPr>
        <w:t>ნაყოფიერი</w:t>
      </w:r>
      <w:r w:rsidRPr="003D733D">
        <w:t xml:space="preserve"> </w:t>
      </w:r>
      <w:r w:rsidRPr="003D733D">
        <w:rPr>
          <w:rFonts w:ascii="Sylfaen" w:hAnsi="Sylfaen" w:cs="Sylfaen"/>
        </w:rPr>
        <w:t>ფენა</w:t>
      </w:r>
      <w:r w:rsidRPr="003D733D">
        <w:t xml:space="preserve"> </w:t>
      </w:r>
      <w:r w:rsidRPr="003D733D">
        <w:rPr>
          <w:rFonts w:ascii="Sylfaen" w:hAnsi="Sylfaen" w:cs="Sylfaen"/>
        </w:rPr>
        <w:t>უნდა</w:t>
      </w:r>
      <w:r w:rsidRPr="003D733D">
        <w:t xml:space="preserve"> </w:t>
      </w:r>
      <w:r w:rsidRPr="003D733D">
        <w:rPr>
          <w:rFonts w:ascii="Sylfaen" w:hAnsi="Sylfaen" w:cs="Sylfaen"/>
        </w:rPr>
        <w:t>ინახებოდეს</w:t>
      </w:r>
      <w:r w:rsidRPr="003D733D">
        <w:t xml:space="preserve"> </w:t>
      </w:r>
      <w:r w:rsidRPr="003D733D">
        <w:rPr>
          <w:rFonts w:ascii="Sylfaen" w:hAnsi="Sylfaen" w:cs="Sylfaen"/>
        </w:rPr>
        <w:t>მოხსნის</w:t>
      </w:r>
      <w:r w:rsidRPr="003D733D">
        <w:t xml:space="preserve"> </w:t>
      </w:r>
      <w:r w:rsidRPr="003D733D">
        <w:rPr>
          <w:rFonts w:ascii="Sylfaen" w:hAnsi="Sylfaen" w:cs="Sylfaen"/>
        </w:rPr>
        <w:t>ადგილის</w:t>
      </w:r>
      <w:r w:rsidRPr="003D733D">
        <w:t xml:space="preserve"> </w:t>
      </w:r>
      <w:r w:rsidRPr="003D733D">
        <w:rPr>
          <w:rFonts w:ascii="Sylfaen" w:hAnsi="Sylfaen" w:cs="Sylfaen"/>
        </w:rPr>
        <w:t>მახლობლად</w:t>
      </w:r>
      <w:r w:rsidRPr="003D733D">
        <w:t xml:space="preserve">, </w:t>
      </w:r>
      <w:r w:rsidRPr="003D733D">
        <w:rPr>
          <w:rFonts w:ascii="Sylfaen" w:hAnsi="Sylfaen" w:cs="Sylfaen"/>
        </w:rPr>
        <w:t>მიწის</w:t>
      </w:r>
      <w:r w:rsidRPr="003D733D">
        <w:t xml:space="preserve"> </w:t>
      </w:r>
      <w:r w:rsidRPr="003D733D">
        <w:rPr>
          <w:rFonts w:ascii="Sylfaen" w:hAnsi="Sylfaen" w:cs="Sylfaen"/>
        </w:rPr>
        <w:t>სამუშაოების</w:t>
      </w:r>
      <w:r w:rsidRPr="003D733D">
        <w:t xml:space="preserve"> </w:t>
      </w:r>
      <w:r w:rsidRPr="003D733D">
        <w:rPr>
          <w:rFonts w:ascii="Sylfaen" w:hAnsi="Sylfaen" w:cs="Sylfaen"/>
        </w:rPr>
        <w:t>დასრულების</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ზედაპირზე</w:t>
      </w:r>
      <w:r w:rsidRPr="003D733D">
        <w:t xml:space="preserve"> </w:t>
      </w:r>
      <w:r w:rsidRPr="003D733D">
        <w:rPr>
          <w:rFonts w:ascii="Sylfaen" w:hAnsi="Sylfaen" w:cs="Sylfaen"/>
        </w:rPr>
        <w:t>გადანაწილების</w:t>
      </w:r>
      <w:r w:rsidRPr="003D733D">
        <w:t xml:space="preserve"> </w:t>
      </w:r>
      <w:r w:rsidRPr="003D733D">
        <w:rPr>
          <w:rFonts w:ascii="Sylfaen" w:hAnsi="Sylfaen" w:cs="Sylfaen"/>
        </w:rPr>
        <w:t>სიადვილისთვის</w:t>
      </w:r>
      <w:r w:rsidRPr="003D733D">
        <w:t>.</w:t>
      </w:r>
    </w:p>
    <w:p w14:paraId="146A2787" w14:textId="77777777" w:rsidR="00A2588D" w:rsidRPr="003D733D" w:rsidRDefault="00A2588D" w:rsidP="00A2588D">
      <w:r w:rsidRPr="003D733D">
        <w:rPr>
          <w:rFonts w:ascii="Sylfaen" w:hAnsi="Sylfaen" w:cs="Sylfaen"/>
        </w:rPr>
        <w:t>ზედაპირული</w:t>
      </w:r>
      <w:r w:rsidRPr="003D733D">
        <w:t xml:space="preserve"> </w:t>
      </w:r>
      <w:r w:rsidRPr="003D733D">
        <w:rPr>
          <w:rFonts w:ascii="Sylfaen" w:hAnsi="Sylfaen" w:cs="Sylfaen"/>
        </w:rPr>
        <w:t>შრის</w:t>
      </w:r>
      <w:r w:rsidRPr="003D733D">
        <w:t xml:space="preserve"> </w:t>
      </w:r>
      <w:r w:rsidRPr="003D733D">
        <w:rPr>
          <w:rFonts w:ascii="Sylfaen" w:hAnsi="Sylfaen" w:cs="Sylfaen"/>
        </w:rPr>
        <w:t>ხანგრძლივად</w:t>
      </w:r>
      <w:r w:rsidRPr="003D733D">
        <w:t xml:space="preserve"> </w:t>
      </w:r>
      <w:r w:rsidRPr="003D733D">
        <w:rPr>
          <w:rFonts w:ascii="Sylfaen" w:hAnsi="Sylfaen" w:cs="Sylfaen"/>
        </w:rPr>
        <w:t>ნაყარში</w:t>
      </w:r>
      <w:r w:rsidRPr="003D733D">
        <w:t xml:space="preserve"> </w:t>
      </w:r>
      <w:r w:rsidRPr="003D733D">
        <w:rPr>
          <w:rFonts w:ascii="Sylfaen" w:hAnsi="Sylfaen" w:cs="Sylfaen"/>
        </w:rPr>
        <w:t>შენახვა</w:t>
      </w:r>
      <w:r w:rsidRPr="003D733D">
        <w:t xml:space="preserve"> </w:t>
      </w:r>
      <w:r w:rsidRPr="003D733D">
        <w:rPr>
          <w:rFonts w:ascii="Sylfaen" w:hAnsi="Sylfaen" w:cs="Sylfaen"/>
        </w:rPr>
        <w:t>თავიდან</w:t>
      </w:r>
      <w:r w:rsidRPr="003D733D">
        <w:t xml:space="preserve"> </w:t>
      </w:r>
      <w:r w:rsidRPr="003D733D">
        <w:rPr>
          <w:rFonts w:ascii="Sylfaen" w:hAnsi="Sylfaen" w:cs="Sylfaen"/>
        </w:rPr>
        <w:t>უნდა</w:t>
      </w:r>
      <w:r w:rsidRPr="003D733D">
        <w:t xml:space="preserve"> </w:t>
      </w:r>
      <w:r w:rsidRPr="003D733D">
        <w:rPr>
          <w:rFonts w:ascii="Sylfaen" w:hAnsi="Sylfaen" w:cs="Sylfaen"/>
        </w:rPr>
        <w:t>იყოს</w:t>
      </w:r>
      <w:r w:rsidRPr="003D733D">
        <w:t xml:space="preserve"> </w:t>
      </w:r>
      <w:r w:rsidRPr="003D733D">
        <w:rPr>
          <w:rFonts w:ascii="Sylfaen" w:hAnsi="Sylfaen" w:cs="Sylfaen"/>
        </w:rPr>
        <w:t>აცილებული</w:t>
      </w:r>
      <w:r w:rsidRPr="003D733D">
        <w:t>.</w:t>
      </w:r>
    </w:p>
    <w:p w14:paraId="477B335E" w14:textId="77777777" w:rsidR="00A2588D" w:rsidRPr="003D733D" w:rsidRDefault="00A2588D" w:rsidP="00A2588D">
      <w:r w:rsidRPr="003D733D">
        <w:rPr>
          <w:rFonts w:ascii="Sylfaen" w:hAnsi="Sylfaen" w:cs="Sylfaen"/>
        </w:rPr>
        <w:t>ზედაპირის</w:t>
      </w:r>
      <w:r w:rsidRPr="003D733D">
        <w:t xml:space="preserve"> </w:t>
      </w:r>
      <w:r w:rsidRPr="003D733D">
        <w:rPr>
          <w:rFonts w:ascii="Sylfaen" w:hAnsi="Sylfaen" w:cs="Sylfaen"/>
        </w:rPr>
        <w:t>ნაყოფიერი</w:t>
      </w:r>
      <w:r w:rsidRPr="003D733D">
        <w:t xml:space="preserve"> </w:t>
      </w:r>
      <w:r w:rsidRPr="003D733D">
        <w:rPr>
          <w:rFonts w:ascii="Sylfaen" w:hAnsi="Sylfaen" w:cs="Sylfaen"/>
        </w:rPr>
        <w:t>ფენა</w:t>
      </w:r>
      <w:r w:rsidRPr="003D733D">
        <w:t xml:space="preserve"> </w:t>
      </w:r>
      <w:r w:rsidRPr="003D733D">
        <w:rPr>
          <w:rFonts w:ascii="Sylfaen" w:hAnsi="Sylfaen" w:cs="Sylfaen"/>
        </w:rPr>
        <w:t>სამოძრაო</w:t>
      </w:r>
      <w:r w:rsidRPr="003D733D">
        <w:t xml:space="preserve"> </w:t>
      </w:r>
      <w:r w:rsidRPr="003D733D">
        <w:rPr>
          <w:rFonts w:ascii="Sylfaen" w:hAnsi="Sylfaen" w:cs="Sylfaen"/>
        </w:rPr>
        <w:t>გზებისგან</w:t>
      </w:r>
      <w:r w:rsidRPr="003D733D">
        <w:t xml:space="preserve">, </w:t>
      </w:r>
      <w:r w:rsidRPr="003D733D">
        <w:rPr>
          <w:rFonts w:ascii="Sylfaen" w:hAnsi="Sylfaen" w:cs="Sylfaen"/>
        </w:rPr>
        <w:t>წყლის</w:t>
      </w:r>
      <w:r w:rsidRPr="003D733D">
        <w:t xml:space="preserve"> </w:t>
      </w:r>
      <w:r w:rsidRPr="003D733D">
        <w:rPr>
          <w:rFonts w:ascii="Sylfaen" w:hAnsi="Sylfaen" w:cs="Sylfaen"/>
        </w:rPr>
        <w:t>ობიექტებისგან</w:t>
      </w:r>
      <w:r w:rsidRPr="003D733D">
        <w:t xml:space="preserve"> </w:t>
      </w:r>
      <w:r w:rsidRPr="003D733D">
        <w:rPr>
          <w:rFonts w:ascii="Sylfaen" w:hAnsi="Sylfaen" w:cs="Sylfaen"/>
        </w:rPr>
        <w:t>და</w:t>
      </w:r>
      <w:r w:rsidRPr="003D733D">
        <w:t xml:space="preserve"> </w:t>
      </w:r>
      <w:r w:rsidRPr="003D733D">
        <w:rPr>
          <w:rFonts w:ascii="Sylfaen" w:hAnsi="Sylfaen" w:cs="Sylfaen"/>
        </w:rPr>
        <w:t>დაბინძურების</w:t>
      </w:r>
      <w:r w:rsidRPr="003D733D">
        <w:t xml:space="preserve"> </w:t>
      </w:r>
      <w:r w:rsidRPr="003D733D">
        <w:rPr>
          <w:rFonts w:ascii="Sylfaen" w:hAnsi="Sylfaen" w:cs="Sylfaen"/>
        </w:rPr>
        <w:t>წყაროსგან</w:t>
      </w:r>
      <w:r w:rsidRPr="003D733D">
        <w:t xml:space="preserve"> </w:t>
      </w:r>
      <w:r w:rsidRPr="003D733D">
        <w:rPr>
          <w:rFonts w:ascii="Sylfaen" w:hAnsi="Sylfaen" w:cs="Sylfaen"/>
        </w:rPr>
        <w:t>მოშორებით</w:t>
      </w:r>
      <w:r w:rsidRPr="003D733D">
        <w:t xml:space="preserve"> </w:t>
      </w:r>
      <w:r w:rsidRPr="003D733D">
        <w:rPr>
          <w:rFonts w:ascii="Sylfaen" w:hAnsi="Sylfaen" w:cs="Sylfaen"/>
        </w:rPr>
        <w:t>უნდა</w:t>
      </w:r>
      <w:r w:rsidRPr="003D733D">
        <w:t xml:space="preserve"> </w:t>
      </w:r>
      <w:r w:rsidRPr="003D733D">
        <w:rPr>
          <w:rFonts w:ascii="Sylfaen" w:hAnsi="Sylfaen" w:cs="Sylfaen"/>
        </w:rPr>
        <w:t>განთავსდეს</w:t>
      </w:r>
      <w:r w:rsidRPr="003D733D">
        <w:t>.</w:t>
      </w:r>
    </w:p>
    <w:p w14:paraId="5C6E885F" w14:textId="77777777" w:rsidR="00A2588D" w:rsidRPr="003D733D" w:rsidRDefault="00A2588D" w:rsidP="00A2588D">
      <w:r w:rsidRPr="003D733D">
        <w:rPr>
          <w:rFonts w:ascii="Sylfaen" w:hAnsi="Sylfaen" w:cs="Sylfaen"/>
        </w:rPr>
        <w:t>დიდი</w:t>
      </w:r>
      <w:r w:rsidRPr="003D733D">
        <w:t xml:space="preserve"> </w:t>
      </w:r>
      <w:r w:rsidRPr="003D733D">
        <w:rPr>
          <w:rFonts w:ascii="Sylfaen" w:hAnsi="Sylfaen" w:cs="Sylfaen"/>
        </w:rPr>
        <w:t>ნაყარის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ნაყარიდან</w:t>
      </w:r>
      <w:r w:rsidRPr="003D733D">
        <w:t xml:space="preserve"> </w:t>
      </w:r>
      <w:r w:rsidRPr="003D733D">
        <w:rPr>
          <w:rFonts w:ascii="Sylfaen" w:hAnsi="Sylfaen" w:cs="Sylfaen"/>
        </w:rPr>
        <w:t>ან</w:t>
      </w:r>
      <w:r w:rsidRPr="003D733D">
        <w:t xml:space="preserve"> </w:t>
      </w:r>
      <w:r w:rsidRPr="003D733D">
        <w:rPr>
          <w:rFonts w:ascii="Sylfaen" w:hAnsi="Sylfaen" w:cs="Sylfaen"/>
        </w:rPr>
        <w:t>მისი</w:t>
      </w:r>
      <w:r w:rsidRPr="003D733D">
        <w:t xml:space="preserve"> </w:t>
      </w:r>
      <w:r w:rsidRPr="003D733D">
        <w:rPr>
          <w:rFonts w:ascii="Sylfaen" w:hAnsi="Sylfaen" w:cs="Sylfaen"/>
        </w:rPr>
        <w:t>პერიმეტრიდან</w:t>
      </w:r>
      <w:r w:rsidRPr="003D733D">
        <w:t xml:space="preserve"> </w:t>
      </w:r>
      <w:r w:rsidRPr="003D733D">
        <w:rPr>
          <w:rFonts w:ascii="Sylfaen" w:hAnsi="Sylfaen" w:cs="Sylfaen"/>
        </w:rPr>
        <w:t>წყლის</w:t>
      </w:r>
      <w:r w:rsidRPr="003D733D">
        <w:t xml:space="preserve"> </w:t>
      </w:r>
      <w:r w:rsidRPr="003D733D">
        <w:rPr>
          <w:rFonts w:ascii="Sylfaen" w:hAnsi="Sylfaen" w:cs="Sylfaen"/>
        </w:rPr>
        <w:t>არინებისთვის</w:t>
      </w:r>
      <w:r w:rsidRPr="003D733D">
        <w:t xml:space="preserve"> </w:t>
      </w:r>
      <w:r w:rsidRPr="003D733D">
        <w:rPr>
          <w:rFonts w:ascii="Sylfaen" w:hAnsi="Sylfaen" w:cs="Sylfaen"/>
        </w:rPr>
        <w:t>უნდა</w:t>
      </w:r>
      <w:r w:rsidRPr="003D733D">
        <w:t xml:space="preserve"> </w:t>
      </w:r>
      <w:r w:rsidRPr="003D733D">
        <w:rPr>
          <w:rFonts w:ascii="Sylfaen" w:hAnsi="Sylfaen" w:cs="Sylfaen"/>
        </w:rPr>
        <w:t>მოეწყოს</w:t>
      </w:r>
      <w:r w:rsidRPr="003D733D">
        <w:t xml:space="preserve"> </w:t>
      </w:r>
      <w:r w:rsidRPr="003D733D">
        <w:rPr>
          <w:rFonts w:ascii="Sylfaen" w:hAnsi="Sylfaen" w:cs="Sylfaen"/>
        </w:rPr>
        <w:t>დრენაჟი</w:t>
      </w:r>
      <w:r w:rsidRPr="003D733D">
        <w:t xml:space="preserve">. </w:t>
      </w:r>
      <w:r w:rsidRPr="003D733D">
        <w:rPr>
          <w:rFonts w:ascii="Sylfaen" w:hAnsi="Sylfaen" w:cs="Sylfaen"/>
        </w:rPr>
        <w:t>ხანგრძლივად</w:t>
      </w:r>
      <w:r w:rsidRPr="003D733D">
        <w:t xml:space="preserve"> </w:t>
      </w:r>
      <w:r w:rsidRPr="003D733D">
        <w:rPr>
          <w:rFonts w:ascii="Sylfaen" w:hAnsi="Sylfaen" w:cs="Sylfaen"/>
        </w:rPr>
        <w:t>ნაყარში</w:t>
      </w:r>
      <w:r w:rsidRPr="003D733D">
        <w:t xml:space="preserve"> </w:t>
      </w:r>
      <w:r w:rsidRPr="003D733D">
        <w:rPr>
          <w:rFonts w:ascii="Sylfaen" w:hAnsi="Sylfaen" w:cs="Sylfaen"/>
        </w:rPr>
        <w:t>განთავსების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ზვინულზე</w:t>
      </w:r>
      <w:r w:rsidRPr="003D733D">
        <w:t xml:space="preserve"> </w:t>
      </w:r>
      <w:r w:rsidRPr="003D733D">
        <w:rPr>
          <w:rFonts w:ascii="Sylfaen" w:hAnsi="Sylfaen" w:cs="Sylfaen"/>
        </w:rPr>
        <w:t>სასურველია</w:t>
      </w:r>
      <w:r w:rsidRPr="003D733D">
        <w:t xml:space="preserve"> </w:t>
      </w:r>
      <w:r w:rsidRPr="003D733D">
        <w:rPr>
          <w:rFonts w:ascii="Sylfaen" w:hAnsi="Sylfaen" w:cs="Sylfaen"/>
        </w:rPr>
        <w:t>მცენარეული</w:t>
      </w:r>
      <w:r w:rsidRPr="003D733D">
        <w:t xml:space="preserve"> </w:t>
      </w:r>
      <w:r w:rsidRPr="003D733D">
        <w:rPr>
          <w:rFonts w:ascii="Sylfaen" w:hAnsi="Sylfaen" w:cs="Sylfaen"/>
        </w:rPr>
        <w:t>საფარის</w:t>
      </w:r>
      <w:r w:rsidRPr="003D733D">
        <w:t xml:space="preserve"> (</w:t>
      </w:r>
      <w:r w:rsidRPr="003D733D">
        <w:rPr>
          <w:rFonts w:ascii="Sylfaen" w:hAnsi="Sylfaen" w:cs="Sylfaen"/>
        </w:rPr>
        <w:t>ბუჩქები</w:t>
      </w:r>
      <w:r w:rsidRPr="003D733D">
        <w:t xml:space="preserve">, </w:t>
      </w:r>
      <w:r w:rsidRPr="003D733D">
        <w:rPr>
          <w:rFonts w:ascii="Sylfaen" w:hAnsi="Sylfaen" w:cs="Sylfaen"/>
        </w:rPr>
        <w:t>ბალახი</w:t>
      </w:r>
      <w:r w:rsidRPr="003D733D">
        <w:t xml:space="preserve">) </w:t>
      </w:r>
      <w:r w:rsidRPr="003D733D">
        <w:rPr>
          <w:rFonts w:ascii="Sylfaen" w:hAnsi="Sylfaen" w:cs="Sylfaen"/>
        </w:rPr>
        <w:t>მოწყობა</w:t>
      </w:r>
      <w:r w:rsidRPr="003D733D">
        <w:t>.</w:t>
      </w:r>
    </w:p>
    <w:p w14:paraId="17727B95" w14:textId="77777777" w:rsidR="00A2588D" w:rsidRPr="003D733D" w:rsidRDefault="00A2588D" w:rsidP="00A2588D">
      <w:r w:rsidRPr="003D733D">
        <w:rPr>
          <w:rFonts w:ascii="Sylfaen" w:hAnsi="Sylfaen" w:cs="Sylfaen"/>
        </w:rPr>
        <w:t>არასასურველია</w:t>
      </w:r>
      <w:r w:rsidRPr="003D733D">
        <w:t xml:space="preserve"> </w:t>
      </w:r>
      <w:r w:rsidRPr="003D733D">
        <w:rPr>
          <w:rFonts w:ascii="Sylfaen" w:hAnsi="Sylfaen" w:cs="Sylfaen"/>
        </w:rPr>
        <w:t>ნაყარზე</w:t>
      </w:r>
      <w:r w:rsidRPr="003D733D">
        <w:t xml:space="preserve"> </w:t>
      </w:r>
      <w:r w:rsidRPr="003D733D">
        <w:rPr>
          <w:rFonts w:ascii="Sylfaen" w:hAnsi="Sylfaen" w:cs="Sylfaen"/>
        </w:rPr>
        <w:t>ტრანსპორტის</w:t>
      </w:r>
      <w:r w:rsidRPr="003D733D">
        <w:t xml:space="preserve"> </w:t>
      </w:r>
      <w:r w:rsidRPr="003D733D">
        <w:rPr>
          <w:rFonts w:ascii="Sylfaen" w:hAnsi="Sylfaen" w:cs="Sylfaen"/>
        </w:rPr>
        <w:t>მოძრაობა</w:t>
      </w:r>
      <w:r w:rsidRPr="003D733D">
        <w:t xml:space="preserve"> </w:t>
      </w:r>
      <w:r w:rsidRPr="003D733D">
        <w:rPr>
          <w:rFonts w:ascii="Sylfaen" w:hAnsi="Sylfaen" w:cs="Sylfaen"/>
        </w:rPr>
        <w:t>და</w:t>
      </w:r>
      <w:r w:rsidRPr="003D733D">
        <w:t xml:space="preserve"> </w:t>
      </w:r>
      <w:r w:rsidRPr="003D733D">
        <w:rPr>
          <w:rFonts w:ascii="Sylfaen" w:hAnsi="Sylfaen" w:cs="Sylfaen"/>
        </w:rPr>
        <w:t>დატკეპნა</w:t>
      </w:r>
      <w:r w:rsidRPr="003D733D">
        <w:t xml:space="preserve"> (</w:t>
      </w:r>
      <w:r w:rsidRPr="003D733D">
        <w:rPr>
          <w:rFonts w:ascii="Sylfaen" w:hAnsi="Sylfaen" w:cs="Sylfaen"/>
        </w:rPr>
        <w:t>მშრალ</w:t>
      </w:r>
      <w:r w:rsidRPr="003D733D">
        <w:t xml:space="preserve"> </w:t>
      </w:r>
      <w:r w:rsidRPr="003D733D">
        <w:rPr>
          <w:rFonts w:ascii="Sylfaen" w:hAnsi="Sylfaen" w:cs="Sylfaen"/>
        </w:rPr>
        <w:t>და</w:t>
      </w:r>
      <w:r w:rsidRPr="003D733D">
        <w:t xml:space="preserve"> </w:t>
      </w:r>
      <w:r w:rsidRPr="003D733D">
        <w:rPr>
          <w:rFonts w:ascii="Sylfaen" w:hAnsi="Sylfaen" w:cs="Sylfaen"/>
        </w:rPr>
        <w:t>არაპლასტიურ</w:t>
      </w:r>
      <w:r w:rsidRPr="003D733D">
        <w:t xml:space="preserve"> </w:t>
      </w:r>
      <w:r w:rsidRPr="003D733D">
        <w:rPr>
          <w:rFonts w:ascii="Sylfaen" w:hAnsi="Sylfaen" w:cs="Sylfaen"/>
        </w:rPr>
        <w:t>მდგომარეობაში</w:t>
      </w:r>
      <w:r w:rsidRPr="003D733D">
        <w:t xml:space="preserve"> </w:t>
      </w:r>
      <w:r w:rsidRPr="003D733D">
        <w:rPr>
          <w:rFonts w:ascii="Sylfaen" w:hAnsi="Sylfaen" w:cs="Sylfaen"/>
        </w:rPr>
        <w:t>ნიადაგი</w:t>
      </w:r>
      <w:r w:rsidRPr="003D733D">
        <w:t xml:space="preserve"> </w:t>
      </w:r>
      <w:r w:rsidRPr="003D733D">
        <w:rPr>
          <w:rFonts w:ascii="Sylfaen" w:hAnsi="Sylfaen" w:cs="Sylfaen"/>
        </w:rPr>
        <w:t>უფრო</w:t>
      </w:r>
      <w:r w:rsidRPr="003D733D">
        <w:t xml:space="preserve"> </w:t>
      </w:r>
      <w:r w:rsidRPr="003D733D">
        <w:rPr>
          <w:rFonts w:ascii="Sylfaen" w:hAnsi="Sylfaen" w:cs="Sylfaen"/>
        </w:rPr>
        <w:t>მედეგია</w:t>
      </w:r>
      <w:r w:rsidRPr="003D733D">
        <w:t xml:space="preserve"> </w:t>
      </w:r>
      <w:r w:rsidRPr="003D733D">
        <w:rPr>
          <w:rFonts w:ascii="Sylfaen" w:hAnsi="Sylfaen" w:cs="Sylfaen"/>
        </w:rPr>
        <w:t>დატკეპნისადმი</w:t>
      </w:r>
      <w:r w:rsidRPr="003D733D">
        <w:t xml:space="preserve"> </w:t>
      </w:r>
      <w:r w:rsidRPr="003D733D">
        <w:rPr>
          <w:rFonts w:ascii="Sylfaen" w:hAnsi="Sylfaen" w:cs="Sylfaen"/>
        </w:rPr>
        <w:t>და</w:t>
      </w:r>
      <w:r w:rsidRPr="003D733D">
        <w:t xml:space="preserve"> </w:t>
      </w:r>
      <w:r w:rsidRPr="003D733D">
        <w:rPr>
          <w:rFonts w:ascii="Sylfaen" w:hAnsi="Sylfaen" w:cs="Sylfaen"/>
        </w:rPr>
        <w:t>უფრო</w:t>
      </w:r>
      <w:r w:rsidRPr="003D733D">
        <w:t xml:space="preserve"> </w:t>
      </w:r>
      <w:r w:rsidRPr="003D733D">
        <w:rPr>
          <w:rFonts w:ascii="Sylfaen" w:hAnsi="Sylfaen" w:cs="Sylfaen"/>
        </w:rPr>
        <w:t>ინარჩუნებს</w:t>
      </w:r>
      <w:r w:rsidRPr="003D733D">
        <w:t xml:space="preserve"> </w:t>
      </w:r>
      <w:r w:rsidRPr="003D733D">
        <w:rPr>
          <w:rFonts w:ascii="Sylfaen" w:hAnsi="Sylfaen" w:cs="Sylfaen"/>
        </w:rPr>
        <w:t>თავის</w:t>
      </w:r>
      <w:r w:rsidRPr="003D733D">
        <w:t xml:space="preserve"> </w:t>
      </w:r>
      <w:r w:rsidRPr="003D733D">
        <w:rPr>
          <w:rFonts w:ascii="Sylfaen" w:hAnsi="Sylfaen" w:cs="Sylfaen"/>
        </w:rPr>
        <w:t>სტრუქტურას</w:t>
      </w:r>
      <w:r w:rsidRPr="003D733D">
        <w:t>).</w:t>
      </w:r>
    </w:p>
    <w:p w14:paraId="1DFBB928" w14:textId="77777777" w:rsidR="00A2588D" w:rsidRPr="003D733D" w:rsidRDefault="00A2588D" w:rsidP="00A2588D">
      <w:r w:rsidRPr="003D733D">
        <w:rPr>
          <w:rFonts w:ascii="Sylfaen" w:hAnsi="Sylfaen" w:cs="Sylfaen"/>
        </w:rPr>
        <w:t>მშრალ</w:t>
      </w:r>
      <w:r w:rsidRPr="003D733D">
        <w:t xml:space="preserve"> </w:t>
      </w:r>
      <w:r w:rsidRPr="003D733D">
        <w:rPr>
          <w:rFonts w:ascii="Sylfaen" w:hAnsi="Sylfaen" w:cs="Sylfaen"/>
        </w:rPr>
        <w:t>მდგომარეობაში</w:t>
      </w:r>
      <w:r w:rsidRPr="003D733D">
        <w:t xml:space="preserve"> </w:t>
      </w:r>
      <w:r w:rsidRPr="003D733D">
        <w:rPr>
          <w:rFonts w:ascii="Sylfaen" w:hAnsi="Sylfaen" w:cs="Sylfaen"/>
        </w:rPr>
        <w:t>მოხსნილი</w:t>
      </w:r>
      <w:r w:rsidRPr="003D733D">
        <w:t xml:space="preserve"> </w:t>
      </w:r>
      <w:r w:rsidRPr="003D733D">
        <w:rPr>
          <w:rFonts w:ascii="Sylfaen" w:hAnsi="Sylfaen" w:cs="Sylfaen"/>
        </w:rPr>
        <w:t>და</w:t>
      </w:r>
      <w:r w:rsidRPr="003D733D">
        <w:t xml:space="preserve"> </w:t>
      </w:r>
      <w:r w:rsidRPr="003D733D">
        <w:rPr>
          <w:rFonts w:ascii="Sylfaen" w:hAnsi="Sylfaen" w:cs="Sylfaen"/>
        </w:rPr>
        <w:t>დასაწყობებული</w:t>
      </w:r>
      <w:r w:rsidRPr="003D733D">
        <w:t xml:space="preserve"> </w:t>
      </w:r>
      <w:r w:rsidRPr="003D733D">
        <w:rPr>
          <w:rFonts w:ascii="Sylfaen" w:hAnsi="Sylfaen" w:cs="Sylfaen"/>
        </w:rPr>
        <w:t>ნაყოფიერი</w:t>
      </w:r>
      <w:r w:rsidRPr="003D733D">
        <w:t xml:space="preserve"> </w:t>
      </w:r>
      <w:r w:rsidRPr="003D733D">
        <w:rPr>
          <w:rFonts w:ascii="Sylfaen" w:hAnsi="Sylfaen" w:cs="Sylfaen"/>
        </w:rPr>
        <w:t>ფენის</w:t>
      </w:r>
      <w:r w:rsidRPr="003D733D">
        <w:t xml:space="preserve"> </w:t>
      </w:r>
      <w:r w:rsidRPr="003D733D">
        <w:rPr>
          <w:rFonts w:ascii="Sylfaen" w:hAnsi="Sylfaen" w:cs="Sylfaen"/>
        </w:rPr>
        <w:t>ნაყარის</w:t>
      </w:r>
      <w:r w:rsidRPr="003D733D">
        <w:t xml:space="preserve"> </w:t>
      </w:r>
      <w:r w:rsidRPr="003D733D">
        <w:rPr>
          <w:rFonts w:ascii="Sylfaen" w:hAnsi="Sylfaen" w:cs="Sylfaen"/>
        </w:rPr>
        <w:t>სიმაღლე</w:t>
      </w:r>
      <w:r w:rsidRPr="003D733D">
        <w:t xml:space="preserve"> </w:t>
      </w:r>
      <w:r w:rsidRPr="003D733D">
        <w:rPr>
          <w:rFonts w:ascii="Sylfaen" w:hAnsi="Sylfaen" w:cs="Sylfaen"/>
        </w:rPr>
        <w:t>ჩვეულებრივ</w:t>
      </w:r>
      <w:r w:rsidRPr="003D733D">
        <w:t xml:space="preserve"> 2</w:t>
      </w:r>
      <w:r w:rsidRPr="003D733D">
        <w:rPr>
          <w:rFonts w:ascii="Sylfaen" w:hAnsi="Sylfaen" w:cs="Sylfaen"/>
        </w:rPr>
        <w:t>მ</w:t>
      </w:r>
      <w:r w:rsidRPr="003D733D">
        <w:t xml:space="preserve"> </w:t>
      </w:r>
      <w:r w:rsidRPr="003D733D">
        <w:rPr>
          <w:rFonts w:ascii="Sylfaen" w:hAnsi="Sylfaen" w:cs="Sylfaen"/>
        </w:rPr>
        <w:t>აღწევს</w:t>
      </w:r>
      <w:r w:rsidRPr="003D733D">
        <w:t xml:space="preserve">. </w:t>
      </w:r>
      <w:r w:rsidRPr="003D733D">
        <w:rPr>
          <w:rFonts w:ascii="Sylfaen" w:hAnsi="Sylfaen" w:cs="Sylfaen"/>
        </w:rPr>
        <w:t>განთავსებისთვის</w:t>
      </w:r>
      <w:r w:rsidRPr="003D733D">
        <w:t xml:space="preserve"> </w:t>
      </w:r>
      <w:r w:rsidRPr="003D733D">
        <w:rPr>
          <w:rFonts w:ascii="Sylfaen" w:hAnsi="Sylfaen" w:cs="Sylfaen"/>
        </w:rPr>
        <w:t>განკუთვნილი</w:t>
      </w:r>
      <w:r w:rsidRPr="003D733D">
        <w:t xml:space="preserve"> </w:t>
      </w:r>
      <w:r w:rsidRPr="003D733D">
        <w:rPr>
          <w:rFonts w:ascii="Sylfaen" w:hAnsi="Sylfaen" w:cs="Sylfaen"/>
        </w:rPr>
        <w:t>ფართობის</w:t>
      </w:r>
      <w:r w:rsidRPr="003D733D">
        <w:t xml:space="preserve"> </w:t>
      </w:r>
      <w:r w:rsidRPr="003D733D">
        <w:rPr>
          <w:rFonts w:ascii="Sylfaen" w:hAnsi="Sylfaen" w:cs="Sylfaen"/>
        </w:rPr>
        <w:t>სიმცირის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სიმაღლე</w:t>
      </w:r>
      <w:r w:rsidRPr="003D733D">
        <w:t xml:space="preserve"> </w:t>
      </w:r>
      <w:r w:rsidRPr="003D733D">
        <w:rPr>
          <w:rFonts w:ascii="Sylfaen" w:hAnsi="Sylfaen" w:cs="Sylfaen"/>
        </w:rPr>
        <w:t>მეტიც</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იყოს</w:t>
      </w:r>
      <w:r w:rsidRPr="003D733D">
        <w:t xml:space="preserve">. </w:t>
      </w:r>
      <w:r w:rsidRPr="003D733D">
        <w:rPr>
          <w:rFonts w:ascii="Sylfaen" w:hAnsi="Sylfaen" w:cs="Sylfaen"/>
        </w:rPr>
        <w:t>მშრალი</w:t>
      </w:r>
      <w:r w:rsidRPr="003D733D">
        <w:t xml:space="preserve"> </w:t>
      </w:r>
      <w:r w:rsidRPr="003D733D">
        <w:rPr>
          <w:rFonts w:ascii="Sylfaen" w:hAnsi="Sylfaen" w:cs="Sylfaen"/>
        </w:rPr>
        <w:t>არაპლასტიური</w:t>
      </w:r>
      <w:r w:rsidRPr="003D733D">
        <w:t xml:space="preserve"> </w:t>
      </w:r>
      <w:r w:rsidRPr="003D733D">
        <w:rPr>
          <w:rFonts w:ascii="Sylfaen" w:hAnsi="Sylfaen" w:cs="Sylfaen"/>
        </w:rPr>
        <w:t>და</w:t>
      </w:r>
      <w:r w:rsidRPr="003D733D">
        <w:t xml:space="preserve"> </w:t>
      </w:r>
      <w:r w:rsidRPr="003D733D">
        <w:rPr>
          <w:rFonts w:ascii="Sylfaen" w:hAnsi="Sylfaen" w:cs="Sylfaen"/>
        </w:rPr>
        <w:t>სველი</w:t>
      </w:r>
      <w:r w:rsidRPr="003D733D">
        <w:t xml:space="preserve"> </w:t>
      </w:r>
      <w:r w:rsidRPr="003D733D">
        <w:rPr>
          <w:rFonts w:ascii="Sylfaen" w:hAnsi="Sylfaen" w:cs="Sylfaen"/>
        </w:rPr>
        <w:t>პლასტიური</w:t>
      </w:r>
      <w:r w:rsidRPr="003D733D">
        <w:t xml:space="preserve"> </w:t>
      </w:r>
      <w:r w:rsidRPr="003D733D">
        <w:rPr>
          <w:rFonts w:ascii="Sylfaen" w:hAnsi="Sylfaen" w:cs="Sylfaen"/>
        </w:rPr>
        <w:t>ნიადაგის</w:t>
      </w:r>
      <w:r w:rsidRPr="003D733D">
        <w:t xml:space="preserve"> </w:t>
      </w:r>
      <w:r w:rsidRPr="003D733D">
        <w:rPr>
          <w:rFonts w:ascii="Sylfaen" w:hAnsi="Sylfaen" w:cs="Sylfaen"/>
        </w:rPr>
        <w:t>მართვის</w:t>
      </w:r>
      <w:r w:rsidRPr="003D733D">
        <w:t xml:space="preserve"> </w:t>
      </w:r>
      <w:r w:rsidRPr="003D733D">
        <w:rPr>
          <w:rFonts w:ascii="Sylfaen" w:hAnsi="Sylfaen" w:cs="Sylfaen"/>
        </w:rPr>
        <w:t>მეთოდი</w:t>
      </w:r>
      <w:r w:rsidRPr="003D733D">
        <w:t xml:space="preserve"> </w:t>
      </w:r>
      <w:r w:rsidRPr="003D733D">
        <w:rPr>
          <w:rFonts w:ascii="Sylfaen" w:hAnsi="Sylfaen" w:cs="Sylfaen"/>
        </w:rPr>
        <w:t>აღწერილია</w:t>
      </w:r>
      <w:r w:rsidRPr="003D733D">
        <w:t xml:space="preserve"> </w:t>
      </w:r>
      <w:r w:rsidRPr="003D733D">
        <w:rPr>
          <w:rFonts w:ascii="Sylfaen" w:hAnsi="Sylfaen" w:cs="Sylfaen"/>
        </w:rPr>
        <w:t>ქვემოთ</w:t>
      </w:r>
      <w:r w:rsidRPr="003D733D">
        <w:t xml:space="preserve"> </w:t>
      </w:r>
      <w:r w:rsidRPr="003D733D">
        <w:rPr>
          <w:rFonts w:ascii="Sylfaen" w:hAnsi="Sylfaen" w:cs="Sylfaen"/>
        </w:rPr>
        <w:t>მოცემულ</w:t>
      </w:r>
      <w:r w:rsidRPr="003D733D">
        <w:t xml:space="preserve"> </w:t>
      </w:r>
      <w:r w:rsidRPr="003D733D">
        <w:rPr>
          <w:rFonts w:ascii="Sylfaen" w:hAnsi="Sylfaen" w:cs="Sylfaen"/>
        </w:rPr>
        <w:t>ცხრილში</w:t>
      </w:r>
      <w:r w:rsidRPr="003D733D">
        <w:t>.</w:t>
      </w:r>
    </w:p>
    <w:p w14:paraId="5CFAE595" w14:textId="77777777" w:rsidR="00A2588D" w:rsidRPr="003D733D" w:rsidRDefault="00A2588D" w:rsidP="00A2588D"/>
    <w:p w14:paraId="20466BDC" w14:textId="77777777" w:rsidR="00A2588D" w:rsidRDefault="00A2588D" w:rsidP="00A2588D"/>
    <w:p w14:paraId="48A48B85" w14:textId="77777777" w:rsidR="00A2588D" w:rsidRDefault="00A2588D" w:rsidP="00A2588D"/>
    <w:p w14:paraId="6B895AC9" w14:textId="77777777" w:rsidR="00A2588D" w:rsidRDefault="00A2588D" w:rsidP="00A2588D"/>
    <w:p w14:paraId="0F6CB953" w14:textId="77777777" w:rsidR="00A2588D" w:rsidRPr="003D733D" w:rsidRDefault="00A2588D" w:rsidP="00A2588D"/>
    <w:p w14:paraId="590E52A2" w14:textId="77777777" w:rsidR="00A2588D" w:rsidRPr="003D733D" w:rsidRDefault="00A2588D" w:rsidP="00A2588D"/>
    <w:tbl>
      <w:tblPr>
        <w:tblW w:w="10165" w:type="dxa"/>
        <w:tblLook w:val="04A0" w:firstRow="1" w:lastRow="0" w:firstColumn="1" w:lastColumn="0" w:noHBand="0" w:noVBand="1"/>
      </w:tblPr>
      <w:tblGrid>
        <w:gridCol w:w="3865"/>
        <w:gridCol w:w="6300"/>
      </w:tblGrid>
      <w:tr w:rsidR="00A2588D" w:rsidRPr="000B61F5" w14:paraId="28A4E908" w14:textId="77777777" w:rsidTr="00A2588D">
        <w:tc>
          <w:tcPr>
            <w:tcW w:w="10165" w:type="dxa"/>
            <w:gridSpan w:val="2"/>
            <w:tcBorders>
              <w:top w:val="single" w:sz="4" w:space="0" w:color="auto"/>
              <w:left w:val="single" w:sz="4" w:space="0" w:color="auto"/>
              <w:bottom w:val="single" w:sz="4" w:space="0" w:color="auto"/>
              <w:right w:val="single" w:sz="4" w:space="0" w:color="auto"/>
            </w:tcBorders>
            <w:hideMark/>
          </w:tcPr>
          <w:p w14:paraId="1584F482" w14:textId="77777777" w:rsidR="00A2588D" w:rsidRPr="000B61F5" w:rsidRDefault="00A2588D" w:rsidP="00A2588D">
            <w:pPr>
              <w:rPr>
                <w:sz w:val="20"/>
              </w:rPr>
            </w:pPr>
            <w:r w:rsidRPr="000B61F5">
              <w:rPr>
                <w:rFonts w:ascii="Sylfaen" w:hAnsi="Sylfaen" w:cs="Sylfaen"/>
                <w:sz w:val="20"/>
              </w:rPr>
              <w:t>მეთოდი</w:t>
            </w:r>
            <w:r w:rsidRPr="000B61F5">
              <w:rPr>
                <w:sz w:val="20"/>
              </w:rPr>
              <w:t xml:space="preserve"> 1– </w:t>
            </w:r>
            <w:r w:rsidRPr="000B61F5">
              <w:rPr>
                <w:rFonts w:ascii="Sylfaen" w:hAnsi="Sylfaen" w:cs="Sylfaen"/>
                <w:sz w:val="20"/>
              </w:rPr>
              <w:t>მშრალი</w:t>
            </w:r>
            <w:r w:rsidRPr="000B61F5">
              <w:rPr>
                <w:sz w:val="20"/>
              </w:rPr>
              <w:t xml:space="preserve"> </w:t>
            </w:r>
            <w:r w:rsidRPr="000B61F5">
              <w:rPr>
                <w:rFonts w:ascii="Sylfaen" w:hAnsi="Sylfaen" w:cs="Sylfaen"/>
                <w:sz w:val="20"/>
              </w:rPr>
              <w:t>არაპლასტიური</w:t>
            </w:r>
            <w:r w:rsidRPr="000B61F5">
              <w:rPr>
                <w:sz w:val="20"/>
              </w:rPr>
              <w:t xml:space="preserve"> </w:t>
            </w:r>
            <w:r w:rsidRPr="000B61F5">
              <w:rPr>
                <w:rFonts w:ascii="Sylfaen" w:hAnsi="Sylfaen" w:cs="Sylfaen"/>
                <w:sz w:val="20"/>
              </w:rPr>
              <w:t>ნიადაგი</w:t>
            </w:r>
          </w:p>
        </w:tc>
      </w:tr>
      <w:tr w:rsidR="00A2588D" w:rsidRPr="000B61F5" w14:paraId="7832A761" w14:textId="77777777" w:rsidTr="00A2588D">
        <w:tc>
          <w:tcPr>
            <w:tcW w:w="3865" w:type="dxa"/>
            <w:tcBorders>
              <w:top w:val="single" w:sz="4" w:space="0" w:color="auto"/>
              <w:left w:val="single" w:sz="4" w:space="0" w:color="auto"/>
              <w:bottom w:val="single" w:sz="4" w:space="0" w:color="auto"/>
              <w:right w:val="single" w:sz="4" w:space="0" w:color="auto"/>
            </w:tcBorders>
          </w:tcPr>
          <w:p w14:paraId="598CAE86" w14:textId="77777777" w:rsidR="00A2588D" w:rsidRPr="000B61F5" w:rsidRDefault="00A2588D" w:rsidP="00A2588D">
            <w:pPr>
              <w:rPr>
                <w:sz w:val="20"/>
              </w:rPr>
            </w:pPr>
            <w:r w:rsidRPr="000B61F5">
              <w:rPr>
                <w:noProof/>
                <w:sz w:val="20"/>
                <w:lang w:val="en-US" w:eastAsia="en-US"/>
              </w:rPr>
              <w:lastRenderedPageBreak/>
              <w:drawing>
                <wp:anchor distT="0" distB="0" distL="114300" distR="114300" simplePos="0" relativeHeight="251685888" behindDoc="0" locked="0" layoutInCell="1" allowOverlap="1" wp14:anchorId="674E39E6" wp14:editId="3F100FE9">
                  <wp:simplePos x="0" y="0"/>
                  <wp:positionH relativeFrom="column">
                    <wp:posOffset>53544</wp:posOffset>
                  </wp:positionH>
                  <wp:positionV relativeFrom="paragraph">
                    <wp:posOffset>11801</wp:posOffset>
                  </wp:positionV>
                  <wp:extent cx="2286000" cy="1863306"/>
                  <wp:effectExtent l="0" t="0" r="0" b="38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3" cstate="email">
                            <a:extLst>
                              <a:ext uri="{28A0092B-C50C-407E-A947-70E740481C1C}">
                                <a14:useLocalDpi xmlns:a14="http://schemas.microsoft.com/office/drawing/2010/main"/>
                              </a:ext>
                            </a:extLst>
                          </a:blip>
                          <a:srcRect/>
                          <a:stretch>
                            <a:fillRect/>
                          </a:stretch>
                        </pic:blipFill>
                        <pic:spPr bwMode="auto">
                          <a:xfrm>
                            <a:off x="0" y="0"/>
                            <a:ext cx="2289664" cy="1866292"/>
                          </a:xfrm>
                          <a:prstGeom prst="rect">
                            <a:avLst/>
                          </a:prstGeom>
                          <a:noFill/>
                        </pic:spPr>
                      </pic:pic>
                    </a:graphicData>
                  </a:graphic>
                  <wp14:sizeRelH relativeFrom="page">
                    <wp14:pctWidth>0</wp14:pctWidth>
                  </wp14:sizeRelH>
                  <wp14:sizeRelV relativeFrom="page">
                    <wp14:pctHeight>0</wp14:pctHeight>
                  </wp14:sizeRelV>
                </wp:anchor>
              </w:drawing>
            </w:r>
          </w:p>
          <w:p w14:paraId="051023A0" w14:textId="77777777" w:rsidR="00A2588D" w:rsidRPr="000B61F5" w:rsidRDefault="00A2588D" w:rsidP="00A2588D">
            <w:pPr>
              <w:rPr>
                <w:sz w:val="20"/>
              </w:rPr>
            </w:pPr>
          </w:p>
          <w:p w14:paraId="5733558A" w14:textId="77777777" w:rsidR="00A2588D" w:rsidRPr="000B61F5" w:rsidRDefault="00A2588D" w:rsidP="00A2588D">
            <w:pPr>
              <w:rPr>
                <w:sz w:val="20"/>
              </w:rPr>
            </w:pPr>
          </w:p>
        </w:tc>
        <w:tc>
          <w:tcPr>
            <w:tcW w:w="6300" w:type="dxa"/>
            <w:tcBorders>
              <w:top w:val="single" w:sz="4" w:space="0" w:color="auto"/>
              <w:left w:val="single" w:sz="4" w:space="0" w:color="auto"/>
              <w:bottom w:val="single" w:sz="4" w:space="0" w:color="auto"/>
              <w:right w:val="single" w:sz="4" w:space="0" w:color="auto"/>
            </w:tcBorders>
            <w:hideMark/>
          </w:tcPr>
          <w:p w14:paraId="6765739C" w14:textId="77777777" w:rsidR="00A2588D" w:rsidRPr="000B61F5" w:rsidRDefault="00A2588D" w:rsidP="00A2588D">
            <w:pPr>
              <w:rPr>
                <w:sz w:val="20"/>
              </w:rPr>
            </w:pPr>
            <w:r w:rsidRPr="000B61F5">
              <w:rPr>
                <w:sz w:val="20"/>
              </w:rPr>
              <w:t xml:space="preserve">(a) </w:t>
            </w:r>
            <w:r w:rsidRPr="000B61F5">
              <w:rPr>
                <w:rFonts w:ascii="Sylfaen" w:hAnsi="Sylfaen" w:cs="Sylfaen"/>
                <w:sz w:val="20"/>
              </w:rPr>
              <w:t>ნიადაგი</w:t>
            </w:r>
            <w:r w:rsidRPr="000B61F5">
              <w:rPr>
                <w:sz w:val="20"/>
              </w:rPr>
              <w:t xml:space="preserve"> </w:t>
            </w:r>
            <w:r w:rsidRPr="000B61F5">
              <w:rPr>
                <w:rFonts w:ascii="Sylfaen" w:hAnsi="Sylfaen" w:cs="Sylfaen"/>
                <w:sz w:val="20"/>
              </w:rPr>
              <w:t>იყრება</w:t>
            </w:r>
            <w:r w:rsidRPr="000B61F5">
              <w:rPr>
                <w:sz w:val="20"/>
              </w:rPr>
              <w:t xml:space="preserve"> </w:t>
            </w:r>
            <w:r w:rsidRPr="000B61F5">
              <w:rPr>
                <w:rFonts w:cs="Arial"/>
                <w:sz w:val="20"/>
              </w:rPr>
              <w:t>„</w:t>
            </w:r>
            <w:r w:rsidRPr="000B61F5">
              <w:rPr>
                <w:rFonts w:ascii="Sylfaen" w:hAnsi="Sylfaen" w:cs="Sylfaen"/>
                <w:sz w:val="20"/>
              </w:rPr>
              <w:t>გორაკებად</w:t>
            </w:r>
            <w:r w:rsidRPr="000B61F5">
              <w:rPr>
                <w:rFonts w:eastAsia="MS Mincho"/>
                <w:sz w:val="20"/>
              </w:rPr>
              <w:t>‟</w:t>
            </w:r>
            <w:r w:rsidRPr="000B61F5">
              <w:rPr>
                <w:sz w:val="20"/>
              </w:rPr>
              <w:t xml:space="preserve"> </w:t>
            </w:r>
            <w:r w:rsidRPr="000B61F5">
              <w:rPr>
                <w:rFonts w:ascii="Sylfaen" w:hAnsi="Sylfaen" w:cs="Sylfaen"/>
                <w:sz w:val="20"/>
              </w:rPr>
              <w:t>სანაყაროს</w:t>
            </w:r>
            <w:r w:rsidRPr="000B61F5">
              <w:rPr>
                <w:sz w:val="20"/>
              </w:rPr>
              <w:t xml:space="preserve"> </w:t>
            </w:r>
            <w:r w:rsidRPr="000B61F5">
              <w:rPr>
                <w:rFonts w:ascii="Sylfaen" w:hAnsi="Sylfaen" w:cs="Sylfaen"/>
                <w:sz w:val="20"/>
              </w:rPr>
              <w:t>ტერიტორიის</w:t>
            </w:r>
            <w:r w:rsidRPr="000B61F5">
              <w:rPr>
                <w:sz w:val="20"/>
              </w:rPr>
              <w:t xml:space="preserve"> </w:t>
            </w:r>
            <w:r w:rsidRPr="000B61F5">
              <w:rPr>
                <w:rFonts w:ascii="Sylfaen" w:hAnsi="Sylfaen" w:cs="Sylfaen"/>
                <w:sz w:val="20"/>
              </w:rPr>
              <w:t>ბოლო</w:t>
            </w:r>
            <w:r w:rsidRPr="000B61F5">
              <w:rPr>
                <w:sz w:val="20"/>
              </w:rPr>
              <w:t xml:space="preserve"> </w:t>
            </w:r>
            <w:r w:rsidRPr="000B61F5">
              <w:rPr>
                <w:rFonts w:ascii="Sylfaen" w:hAnsi="Sylfaen" w:cs="Sylfaen"/>
                <w:sz w:val="20"/>
              </w:rPr>
              <w:t>წერტილიდან</w:t>
            </w:r>
            <w:r w:rsidRPr="000B61F5">
              <w:rPr>
                <w:sz w:val="20"/>
              </w:rPr>
              <w:t xml:space="preserve"> </w:t>
            </w:r>
            <w:r w:rsidRPr="000B61F5">
              <w:rPr>
                <w:rFonts w:ascii="Sylfaen" w:hAnsi="Sylfaen" w:cs="Sylfaen"/>
                <w:sz w:val="20"/>
              </w:rPr>
              <w:t>მისასვლელისკენ</w:t>
            </w:r>
            <w:r w:rsidRPr="000B61F5">
              <w:rPr>
                <w:sz w:val="20"/>
              </w:rPr>
              <w:t>.</w:t>
            </w:r>
          </w:p>
          <w:p w14:paraId="3A1117C4" w14:textId="77777777" w:rsidR="00A2588D" w:rsidRPr="000B61F5" w:rsidRDefault="00A2588D" w:rsidP="00A2588D">
            <w:pPr>
              <w:rPr>
                <w:sz w:val="20"/>
              </w:rPr>
            </w:pPr>
            <w:r w:rsidRPr="000B61F5">
              <w:rPr>
                <w:sz w:val="20"/>
              </w:rPr>
              <w:t xml:space="preserve">(b) </w:t>
            </w:r>
            <w:r w:rsidRPr="000B61F5">
              <w:rPr>
                <w:rFonts w:ascii="Sylfaen" w:hAnsi="Sylfaen" w:cs="Sylfaen"/>
                <w:sz w:val="20"/>
              </w:rPr>
              <w:t>მთელი</w:t>
            </w:r>
            <w:r w:rsidRPr="000B61F5">
              <w:rPr>
                <w:sz w:val="20"/>
              </w:rPr>
              <w:t xml:space="preserve"> </w:t>
            </w:r>
            <w:r w:rsidRPr="000B61F5">
              <w:rPr>
                <w:rFonts w:ascii="Sylfaen" w:hAnsi="Sylfaen" w:cs="Sylfaen"/>
                <w:sz w:val="20"/>
              </w:rPr>
              <w:t>ტერიტორია</w:t>
            </w:r>
            <w:r w:rsidRPr="000B61F5">
              <w:rPr>
                <w:sz w:val="20"/>
              </w:rPr>
              <w:t xml:space="preserve"> „</w:t>
            </w:r>
            <w:r w:rsidRPr="000B61F5">
              <w:rPr>
                <w:rFonts w:ascii="Sylfaen" w:hAnsi="Sylfaen" w:cs="Sylfaen"/>
                <w:sz w:val="20"/>
              </w:rPr>
              <w:t>შევსების</w:t>
            </w:r>
            <w:r w:rsidRPr="000B61F5">
              <w:rPr>
                <w:rFonts w:eastAsia="MS Mincho"/>
                <w:sz w:val="20"/>
              </w:rPr>
              <w:t xml:space="preserve">‟ </w:t>
            </w:r>
            <w:r w:rsidRPr="000B61F5">
              <w:rPr>
                <w:rFonts w:ascii="Sylfaen" w:hAnsi="Sylfaen" w:cs="Sylfaen"/>
                <w:sz w:val="20"/>
              </w:rPr>
              <w:t>შემდეგ</w:t>
            </w:r>
            <w:r w:rsidRPr="000B61F5">
              <w:rPr>
                <w:sz w:val="20"/>
              </w:rPr>
              <w:t xml:space="preserve"> </w:t>
            </w:r>
            <w:r w:rsidRPr="000B61F5">
              <w:rPr>
                <w:rFonts w:ascii="Sylfaen" w:hAnsi="Sylfaen" w:cs="Sylfaen"/>
                <w:sz w:val="20"/>
              </w:rPr>
              <w:t>მუხლუხიანი</w:t>
            </w:r>
            <w:r w:rsidRPr="000B61F5">
              <w:rPr>
                <w:sz w:val="20"/>
              </w:rPr>
              <w:t xml:space="preserve"> </w:t>
            </w:r>
            <w:r w:rsidRPr="000B61F5">
              <w:rPr>
                <w:rFonts w:ascii="Sylfaen" w:hAnsi="Sylfaen" w:cs="Sylfaen"/>
                <w:sz w:val="20"/>
              </w:rPr>
              <w:t>ტექნიკის</w:t>
            </w:r>
            <w:r w:rsidRPr="000B61F5">
              <w:rPr>
                <w:sz w:val="20"/>
              </w:rPr>
              <w:t xml:space="preserve"> (</w:t>
            </w:r>
            <w:r w:rsidRPr="000B61F5">
              <w:rPr>
                <w:rFonts w:ascii="Sylfaen" w:hAnsi="Sylfaen" w:cs="Sylfaen"/>
                <w:sz w:val="20"/>
              </w:rPr>
              <w:t>ბულდოზერი</w:t>
            </w:r>
            <w:r w:rsidRPr="000B61F5">
              <w:rPr>
                <w:sz w:val="20"/>
              </w:rPr>
              <w:t xml:space="preserve"> </w:t>
            </w:r>
            <w:r w:rsidRPr="000B61F5">
              <w:rPr>
                <w:rFonts w:ascii="Sylfaen" w:hAnsi="Sylfaen" w:cs="Sylfaen"/>
                <w:sz w:val="20"/>
              </w:rPr>
              <w:t>ან</w:t>
            </w:r>
            <w:r w:rsidRPr="000B61F5">
              <w:rPr>
                <w:sz w:val="20"/>
              </w:rPr>
              <w:t xml:space="preserve"> </w:t>
            </w:r>
            <w:r w:rsidRPr="000B61F5">
              <w:rPr>
                <w:rFonts w:ascii="Sylfaen" w:hAnsi="Sylfaen" w:cs="Sylfaen"/>
                <w:sz w:val="20"/>
              </w:rPr>
              <w:t>ექსკავატორი</w:t>
            </w:r>
            <w:r w:rsidRPr="000B61F5">
              <w:rPr>
                <w:sz w:val="20"/>
              </w:rPr>
              <w:t xml:space="preserve">)   </w:t>
            </w:r>
            <w:r w:rsidRPr="000B61F5">
              <w:rPr>
                <w:rFonts w:ascii="Sylfaen" w:hAnsi="Sylfaen" w:cs="Sylfaen"/>
                <w:sz w:val="20"/>
              </w:rPr>
              <w:t>გამოყენებით</w:t>
            </w:r>
            <w:r w:rsidRPr="000B61F5">
              <w:rPr>
                <w:sz w:val="20"/>
              </w:rPr>
              <w:t xml:space="preserve">  </w:t>
            </w:r>
            <w:r w:rsidRPr="000B61F5">
              <w:rPr>
                <w:rFonts w:ascii="Sylfaen" w:hAnsi="Sylfaen" w:cs="Sylfaen"/>
                <w:sz w:val="20"/>
              </w:rPr>
              <w:t>ხდება</w:t>
            </w:r>
            <w:r w:rsidRPr="000B61F5">
              <w:rPr>
                <w:sz w:val="20"/>
              </w:rPr>
              <w:t xml:space="preserve"> </w:t>
            </w:r>
            <w:r w:rsidRPr="000B61F5">
              <w:rPr>
                <w:rFonts w:ascii="Sylfaen" w:hAnsi="Sylfaen" w:cs="Sylfaen"/>
                <w:sz w:val="20"/>
              </w:rPr>
              <w:t>ზვინულების</w:t>
            </w:r>
            <w:r w:rsidRPr="000B61F5">
              <w:rPr>
                <w:sz w:val="20"/>
              </w:rPr>
              <w:t xml:space="preserve">  </w:t>
            </w:r>
            <w:r w:rsidRPr="000B61F5">
              <w:rPr>
                <w:rFonts w:ascii="Sylfaen" w:hAnsi="Sylfaen" w:cs="Sylfaen"/>
                <w:sz w:val="20"/>
              </w:rPr>
              <w:t>პროფილირება</w:t>
            </w:r>
            <w:r w:rsidRPr="000B61F5">
              <w:rPr>
                <w:sz w:val="20"/>
              </w:rPr>
              <w:t xml:space="preserve">. </w:t>
            </w:r>
            <w:r w:rsidRPr="000B61F5">
              <w:rPr>
                <w:rFonts w:ascii="Sylfaen" w:hAnsi="Sylfaen" w:cs="Sylfaen"/>
                <w:sz w:val="20"/>
              </w:rPr>
              <w:t>რაც</w:t>
            </w:r>
            <w:r w:rsidRPr="000B61F5">
              <w:rPr>
                <w:sz w:val="20"/>
              </w:rPr>
              <w:t xml:space="preserve">  </w:t>
            </w:r>
            <w:r w:rsidRPr="000B61F5">
              <w:rPr>
                <w:rFonts w:ascii="Sylfaen" w:hAnsi="Sylfaen" w:cs="Sylfaen"/>
                <w:sz w:val="20"/>
              </w:rPr>
              <w:t>ქმნის</w:t>
            </w:r>
            <w:r w:rsidRPr="000B61F5">
              <w:rPr>
                <w:sz w:val="20"/>
              </w:rPr>
              <w:t xml:space="preserve"> </w:t>
            </w:r>
            <w:r w:rsidRPr="000B61F5">
              <w:rPr>
                <w:rFonts w:ascii="Sylfaen" w:hAnsi="Sylfaen" w:cs="Sylfaen"/>
                <w:sz w:val="20"/>
              </w:rPr>
              <w:t>საფუძველს</w:t>
            </w:r>
            <w:r w:rsidRPr="000B61F5">
              <w:rPr>
                <w:sz w:val="20"/>
              </w:rPr>
              <w:t xml:space="preserve"> </w:t>
            </w:r>
            <w:r w:rsidRPr="000B61F5">
              <w:rPr>
                <w:rFonts w:ascii="Sylfaen" w:hAnsi="Sylfaen" w:cs="Sylfaen"/>
                <w:sz w:val="20"/>
              </w:rPr>
              <w:t>მეორე</w:t>
            </w:r>
            <w:r w:rsidRPr="000B61F5">
              <w:rPr>
                <w:sz w:val="20"/>
              </w:rPr>
              <w:t xml:space="preserve"> </w:t>
            </w:r>
            <w:r w:rsidRPr="000B61F5">
              <w:rPr>
                <w:rFonts w:ascii="Sylfaen" w:hAnsi="Sylfaen" w:cs="Sylfaen"/>
                <w:sz w:val="20"/>
              </w:rPr>
              <w:t>ფენის</w:t>
            </w:r>
            <w:r w:rsidRPr="000B61F5">
              <w:rPr>
                <w:sz w:val="20"/>
              </w:rPr>
              <w:t xml:space="preserve"> </w:t>
            </w:r>
            <w:r w:rsidRPr="000B61F5">
              <w:rPr>
                <w:rFonts w:ascii="Sylfaen" w:hAnsi="Sylfaen" w:cs="Sylfaen"/>
                <w:sz w:val="20"/>
              </w:rPr>
              <w:t>დასაყრელად</w:t>
            </w:r>
            <w:r w:rsidRPr="000B61F5">
              <w:rPr>
                <w:sz w:val="20"/>
              </w:rPr>
              <w:t>.</w:t>
            </w:r>
          </w:p>
          <w:p w14:paraId="3CC989DA" w14:textId="77777777" w:rsidR="00A2588D" w:rsidRPr="000B61F5" w:rsidRDefault="00A2588D" w:rsidP="00A2588D">
            <w:pPr>
              <w:rPr>
                <w:sz w:val="20"/>
              </w:rPr>
            </w:pPr>
            <w:r w:rsidRPr="000B61F5">
              <w:rPr>
                <w:sz w:val="20"/>
              </w:rPr>
              <w:t xml:space="preserve">(c)  </w:t>
            </w:r>
            <w:r w:rsidRPr="000B61F5">
              <w:rPr>
                <w:rFonts w:ascii="Sylfaen" w:hAnsi="Sylfaen" w:cs="Sylfaen"/>
                <w:sz w:val="20"/>
              </w:rPr>
              <w:t>და</w:t>
            </w:r>
            <w:r w:rsidRPr="000B61F5">
              <w:rPr>
                <w:sz w:val="20"/>
              </w:rPr>
              <w:t xml:space="preserve"> (d) </w:t>
            </w:r>
            <w:r w:rsidRPr="000B61F5">
              <w:rPr>
                <w:rFonts w:ascii="Sylfaen" w:hAnsi="Sylfaen" w:cs="Sylfaen"/>
                <w:sz w:val="20"/>
              </w:rPr>
              <w:t>იგივე</w:t>
            </w:r>
            <w:r w:rsidRPr="000B61F5">
              <w:rPr>
                <w:sz w:val="20"/>
              </w:rPr>
              <w:t xml:space="preserve"> </w:t>
            </w:r>
            <w:r w:rsidRPr="000B61F5">
              <w:rPr>
                <w:rFonts w:ascii="Sylfaen" w:hAnsi="Sylfaen" w:cs="Sylfaen"/>
                <w:sz w:val="20"/>
              </w:rPr>
              <w:t>გრძელდება</w:t>
            </w:r>
            <w:r w:rsidRPr="000B61F5">
              <w:rPr>
                <w:sz w:val="20"/>
              </w:rPr>
              <w:t xml:space="preserve"> </w:t>
            </w:r>
            <w:r w:rsidRPr="000B61F5">
              <w:rPr>
                <w:rFonts w:ascii="Sylfaen" w:hAnsi="Sylfaen" w:cs="Sylfaen"/>
                <w:sz w:val="20"/>
              </w:rPr>
              <w:t>ნაყარის</w:t>
            </w:r>
            <w:r w:rsidRPr="000B61F5">
              <w:rPr>
                <w:sz w:val="20"/>
              </w:rPr>
              <w:t xml:space="preserve"> </w:t>
            </w:r>
            <w:r w:rsidRPr="000B61F5">
              <w:rPr>
                <w:rFonts w:ascii="Sylfaen" w:hAnsi="Sylfaen" w:cs="Sylfaen"/>
                <w:sz w:val="20"/>
              </w:rPr>
              <w:t>დაგეგმილი</w:t>
            </w:r>
            <w:r w:rsidRPr="000B61F5">
              <w:rPr>
                <w:sz w:val="20"/>
              </w:rPr>
              <w:t xml:space="preserve"> </w:t>
            </w:r>
            <w:r w:rsidRPr="000B61F5">
              <w:rPr>
                <w:rFonts w:ascii="Sylfaen" w:hAnsi="Sylfaen" w:cs="Sylfaen"/>
                <w:sz w:val="20"/>
              </w:rPr>
              <w:t>სიმაღლის</w:t>
            </w:r>
            <w:r w:rsidRPr="000B61F5">
              <w:rPr>
                <w:sz w:val="20"/>
              </w:rPr>
              <w:t xml:space="preserve"> </w:t>
            </w:r>
            <w:r w:rsidRPr="000B61F5">
              <w:rPr>
                <w:rFonts w:ascii="Sylfaen" w:hAnsi="Sylfaen" w:cs="Sylfaen"/>
                <w:sz w:val="20"/>
              </w:rPr>
              <w:t>მიღწევამდე</w:t>
            </w:r>
            <w:r w:rsidRPr="000B61F5">
              <w:rPr>
                <w:sz w:val="20"/>
              </w:rPr>
              <w:t>.</w:t>
            </w:r>
          </w:p>
          <w:p w14:paraId="1ABA4D42" w14:textId="77777777" w:rsidR="00A2588D" w:rsidRPr="000B61F5" w:rsidRDefault="00A2588D" w:rsidP="00A2588D">
            <w:pPr>
              <w:rPr>
                <w:sz w:val="20"/>
              </w:rPr>
            </w:pPr>
            <w:r w:rsidRPr="000B61F5">
              <w:rPr>
                <w:sz w:val="20"/>
              </w:rPr>
              <w:t xml:space="preserve">(e) </w:t>
            </w:r>
            <w:r w:rsidRPr="000B61F5">
              <w:rPr>
                <w:rFonts w:ascii="Sylfaen" w:hAnsi="Sylfaen" w:cs="Sylfaen"/>
                <w:sz w:val="20"/>
              </w:rPr>
              <w:t>ნაყარზე</w:t>
            </w:r>
            <w:r w:rsidRPr="000B61F5">
              <w:rPr>
                <w:sz w:val="20"/>
              </w:rPr>
              <w:t xml:space="preserve"> </w:t>
            </w:r>
            <w:r w:rsidRPr="000B61F5">
              <w:rPr>
                <w:rFonts w:ascii="Sylfaen" w:hAnsi="Sylfaen" w:cs="Sylfaen"/>
                <w:sz w:val="20"/>
              </w:rPr>
              <w:t>ატმოსფერული</w:t>
            </w:r>
            <w:r w:rsidRPr="000B61F5">
              <w:rPr>
                <w:sz w:val="20"/>
              </w:rPr>
              <w:t xml:space="preserve"> </w:t>
            </w:r>
            <w:r w:rsidRPr="000B61F5">
              <w:rPr>
                <w:rFonts w:ascii="Sylfaen" w:hAnsi="Sylfaen" w:cs="Sylfaen"/>
                <w:sz w:val="20"/>
              </w:rPr>
              <w:t>წყლის</w:t>
            </w:r>
            <w:r w:rsidRPr="000B61F5">
              <w:rPr>
                <w:sz w:val="20"/>
              </w:rPr>
              <w:t xml:space="preserve"> </w:t>
            </w:r>
            <w:r w:rsidRPr="000B61F5">
              <w:rPr>
                <w:rFonts w:ascii="Sylfaen" w:hAnsi="Sylfaen" w:cs="Sylfaen"/>
                <w:sz w:val="20"/>
              </w:rPr>
              <w:t>დაგროვების</w:t>
            </w:r>
            <w:r w:rsidRPr="000B61F5">
              <w:rPr>
                <w:sz w:val="20"/>
              </w:rPr>
              <w:t xml:space="preserve"> </w:t>
            </w:r>
            <w:r w:rsidRPr="000B61F5">
              <w:rPr>
                <w:rFonts w:ascii="Sylfaen" w:hAnsi="Sylfaen" w:cs="Sylfaen"/>
                <w:sz w:val="20"/>
              </w:rPr>
              <w:t>თავიდან</w:t>
            </w:r>
            <w:r w:rsidRPr="000B61F5">
              <w:rPr>
                <w:sz w:val="20"/>
              </w:rPr>
              <w:t xml:space="preserve"> </w:t>
            </w:r>
            <w:r w:rsidRPr="000B61F5">
              <w:rPr>
                <w:rFonts w:ascii="Sylfaen" w:hAnsi="Sylfaen" w:cs="Sylfaen"/>
                <w:sz w:val="20"/>
              </w:rPr>
              <w:t>აცილების</w:t>
            </w:r>
            <w:r w:rsidRPr="000B61F5">
              <w:rPr>
                <w:sz w:val="20"/>
              </w:rPr>
              <w:t xml:space="preserve"> </w:t>
            </w:r>
            <w:r w:rsidRPr="000B61F5">
              <w:rPr>
                <w:rFonts w:ascii="Sylfaen" w:hAnsi="Sylfaen" w:cs="Sylfaen"/>
                <w:sz w:val="20"/>
              </w:rPr>
              <w:t>მიზნით</w:t>
            </w:r>
            <w:r w:rsidRPr="000B61F5">
              <w:rPr>
                <w:sz w:val="20"/>
              </w:rPr>
              <w:t xml:space="preserve"> </w:t>
            </w:r>
            <w:r w:rsidRPr="000B61F5">
              <w:rPr>
                <w:rFonts w:ascii="Sylfaen" w:hAnsi="Sylfaen" w:cs="Sylfaen"/>
                <w:sz w:val="20"/>
              </w:rPr>
              <w:t>მუხლუხიანი</w:t>
            </w:r>
            <w:r w:rsidRPr="000B61F5">
              <w:rPr>
                <w:sz w:val="20"/>
              </w:rPr>
              <w:t xml:space="preserve"> </w:t>
            </w:r>
            <w:r w:rsidRPr="000B61F5">
              <w:rPr>
                <w:rFonts w:ascii="Sylfaen" w:hAnsi="Sylfaen" w:cs="Sylfaen"/>
                <w:sz w:val="20"/>
              </w:rPr>
              <w:t>ტექნიკის</w:t>
            </w:r>
            <w:r w:rsidRPr="000B61F5">
              <w:rPr>
                <w:sz w:val="20"/>
              </w:rPr>
              <w:t xml:space="preserve"> </w:t>
            </w:r>
            <w:r w:rsidRPr="000B61F5">
              <w:rPr>
                <w:rFonts w:ascii="Sylfaen" w:hAnsi="Sylfaen" w:cs="Sylfaen"/>
                <w:sz w:val="20"/>
              </w:rPr>
              <w:t>საშუალებით</w:t>
            </w:r>
            <w:r w:rsidRPr="000B61F5">
              <w:rPr>
                <w:sz w:val="20"/>
              </w:rPr>
              <w:t xml:space="preserve"> </w:t>
            </w:r>
            <w:r w:rsidRPr="000B61F5">
              <w:rPr>
                <w:rFonts w:ascii="Sylfaen" w:hAnsi="Sylfaen" w:cs="Sylfaen"/>
                <w:sz w:val="20"/>
              </w:rPr>
              <w:t>ხდება</w:t>
            </w:r>
            <w:r w:rsidRPr="000B61F5">
              <w:rPr>
                <w:sz w:val="20"/>
              </w:rPr>
              <w:t xml:space="preserve"> </w:t>
            </w:r>
            <w:r w:rsidRPr="000B61F5">
              <w:rPr>
                <w:rFonts w:ascii="Sylfaen" w:hAnsi="Sylfaen" w:cs="Sylfaen"/>
                <w:sz w:val="20"/>
              </w:rPr>
              <w:t>ნაყარის</w:t>
            </w:r>
            <w:r w:rsidRPr="000B61F5">
              <w:rPr>
                <w:sz w:val="20"/>
              </w:rPr>
              <w:t xml:space="preserve"> </w:t>
            </w:r>
            <w:r w:rsidRPr="000B61F5">
              <w:rPr>
                <w:rFonts w:ascii="Sylfaen" w:hAnsi="Sylfaen" w:cs="Sylfaen"/>
                <w:sz w:val="20"/>
              </w:rPr>
              <w:t>დატკეპნა</w:t>
            </w:r>
            <w:r w:rsidRPr="000B61F5">
              <w:rPr>
                <w:sz w:val="20"/>
              </w:rPr>
              <w:t xml:space="preserve"> </w:t>
            </w:r>
            <w:r w:rsidRPr="000B61F5">
              <w:rPr>
                <w:rFonts w:ascii="Sylfaen" w:hAnsi="Sylfaen" w:cs="Sylfaen"/>
                <w:sz w:val="20"/>
              </w:rPr>
              <w:t>და</w:t>
            </w:r>
            <w:r w:rsidRPr="000B61F5">
              <w:rPr>
                <w:sz w:val="20"/>
              </w:rPr>
              <w:t xml:space="preserve"> </w:t>
            </w:r>
            <w:r w:rsidRPr="000B61F5">
              <w:rPr>
                <w:rFonts w:ascii="Sylfaen" w:hAnsi="Sylfaen" w:cs="Sylfaen"/>
                <w:sz w:val="20"/>
              </w:rPr>
              <w:t>ზედაპირის</w:t>
            </w:r>
            <w:r w:rsidRPr="000B61F5">
              <w:rPr>
                <w:sz w:val="20"/>
              </w:rPr>
              <w:t xml:space="preserve"> </w:t>
            </w:r>
            <w:r w:rsidRPr="000B61F5">
              <w:rPr>
                <w:rFonts w:ascii="Sylfaen" w:hAnsi="Sylfaen" w:cs="Sylfaen"/>
                <w:sz w:val="20"/>
              </w:rPr>
              <w:t>და</w:t>
            </w:r>
            <w:r w:rsidRPr="000B61F5">
              <w:rPr>
                <w:sz w:val="20"/>
              </w:rPr>
              <w:t xml:space="preserve"> </w:t>
            </w:r>
            <w:r w:rsidRPr="000B61F5">
              <w:rPr>
                <w:rFonts w:ascii="Sylfaen" w:hAnsi="Sylfaen" w:cs="Sylfaen"/>
                <w:sz w:val="20"/>
              </w:rPr>
              <w:t>ფერდების</w:t>
            </w:r>
            <w:r w:rsidRPr="000B61F5">
              <w:rPr>
                <w:sz w:val="20"/>
              </w:rPr>
              <w:t xml:space="preserve"> </w:t>
            </w:r>
            <w:r w:rsidRPr="000B61F5">
              <w:rPr>
                <w:rFonts w:ascii="Sylfaen" w:hAnsi="Sylfaen" w:cs="Sylfaen"/>
                <w:sz w:val="20"/>
              </w:rPr>
              <w:t>პროფილირება</w:t>
            </w:r>
            <w:r w:rsidRPr="000B61F5">
              <w:rPr>
                <w:sz w:val="20"/>
              </w:rPr>
              <w:t xml:space="preserve"> </w:t>
            </w:r>
            <w:r w:rsidRPr="000B61F5">
              <w:rPr>
                <w:rFonts w:ascii="Sylfaen" w:hAnsi="Sylfaen" w:cs="Sylfaen"/>
                <w:sz w:val="20"/>
              </w:rPr>
              <w:t>თანაბარი</w:t>
            </w:r>
            <w:r w:rsidRPr="000B61F5">
              <w:rPr>
                <w:sz w:val="20"/>
              </w:rPr>
              <w:t xml:space="preserve"> </w:t>
            </w:r>
            <w:r w:rsidRPr="000B61F5">
              <w:rPr>
                <w:rFonts w:ascii="Sylfaen" w:hAnsi="Sylfaen" w:cs="Sylfaen"/>
                <w:sz w:val="20"/>
              </w:rPr>
              <w:t>გრადიენტის</w:t>
            </w:r>
            <w:r w:rsidRPr="000B61F5">
              <w:rPr>
                <w:sz w:val="20"/>
              </w:rPr>
              <w:t xml:space="preserve"> </w:t>
            </w:r>
            <w:r w:rsidRPr="000B61F5">
              <w:rPr>
                <w:rFonts w:ascii="Sylfaen" w:hAnsi="Sylfaen" w:cs="Sylfaen"/>
                <w:sz w:val="20"/>
              </w:rPr>
              <w:t>მისაღებად</w:t>
            </w:r>
            <w:r w:rsidRPr="000B61F5">
              <w:rPr>
                <w:sz w:val="20"/>
              </w:rPr>
              <w:t>.</w:t>
            </w:r>
          </w:p>
        </w:tc>
      </w:tr>
      <w:tr w:rsidR="00A2588D" w:rsidRPr="000B61F5" w14:paraId="64E42E7E" w14:textId="77777777" w:rsidTr="00A2588D">
        <w:tc>
          <w:tcPr>
            <w:tcW w:w="10165" w:type="dxa"/>
            <w:gridSpan w:val="2"/>
            <w:tcBorders>
              <w:top w:val="single" w:sz="4" w:space="0" w:color="auto"/>
              <w:left w:val="single" w:sz="4" w:space="0" w:color="auto"/>
              <w:bottom w:val="single" w:sz="4" w:space="0" w:color="auto"/>
              <w:right w:val="single" w:sz="4" w:space="0" w:color="auto"/>
            </w:tcBorders>
            <w:hideMark/>
          </w:tcPr>
          <w:p w14:paraId="4A4C1C3D" w14:textId="77777777" w:rsidR="00A2588D" w:rsidRPr="000B61F5" w:rsidRDefault="00A2588D" w:rsidP="00A2588D">
            <w:pPr>
              <w:rPr>
                <w:sz w:val="20"/>
              </w:rPr>
            </w:pPr>
            <w:r w:rsidRPr="000B61F5">
              <w:rPr>
                <w:rFonts w:ascii="Sylfaen" w:hAnsi="Sylfaen" w:cs="Sylfaen"/>
                <w:sz w:val="20"/>
              </w:rPr>
              <w:t>მეთოდი</w:t>
            </w:r>
            <w:r w:rsidRPr="000B61F5">
              <w:rPr>
                <w:sz w:val="20"/>
              </w:rPr>
              <w:t xml:space="preserve"> 2 – </w:t>
            </w:r>
            <w:r w:rsidRPr="000B61F5">
              <w:rPr>
                <w:rFonts w:ascii="Sylfaen" w:hAnsi="Sylfaen" w:cs="Sylfaen"/>
                <w:sz w:val="20"/>
              </w:rPr>
              <w:t>სველი</w:t>
            </w:r>
            <w:r w:rsidRPr="000B61F5">
              <w:rPr>
                <w:sz w:val="20"/>
              </w:rPr>
              <w:t xml:space="preserve"> </w:t>
            </w:r>
            <w:r w:rsidRPr="000B61F5">
              <w:rPr>
                <w:rFonts w:ascii="Sylfaen" w:hAnsi="Sylfaen" w:cs="Sylfaen"/>
                <w:sz w:val="20"/>
              </w:rPr>
              <w:t>პლასტიური</w:t>
            </w:r>
            <w:r w:rsidRPr="000B61F5">
              <w:rPr>
                <w:sz w:val="20"/>
              </w:rPr>
              <w:t xml:space="preserve"> </w:t>
            </w:r>
            <w:r w:rsidRPr="000B61F5">
              <w:rPr>
                <w:rFonts w:ascii="Sylfaen" w:hAnsi="Sylfaen" w:cs="Sylfaen"/>
                <w:sz w:val="20"/>
              </w:rPr>
              <w:t>ნიადაგი</w:t>
            </w:r>
          </w:p>
        </w:tc>
      </w:tr>
      <w:tr w:rsidR="00A2588D" w:rsidRPr="000B61F5" w14:paraId="269B9A92" w14:textId="77777777" w:rsidTr="00A2588D">
        <w:tc>
          <w:tcPr>
            <w:tcW w:w="3865" w:type="dxa"/>
            <w:tcBorders>
              <w:top w:val="single" w:sz="4" w:space="0" w:color="auto"/>
              <w:left w:val="single" w:sz="4" w:space="0" w:color="auto"/>
              <w:bottom w:val="single" w:sz="4" w:space="0" w:color="auto"/>
              <w:right w:val="single" w:sz="4" w:space="0" w:color="auto"/>
            </w:tcBorders>
          </w:tcPr>
          <w:p w14:paraId="20D88BEA" w14:textId="77777777" w:rsidR="00A2588D" w:rsidRPr="000B61F5" w:rsidRDefault="00A2588D" w:rsidP="00A2588D">
            <w:pPr>
              <w:rPr>
                <w:sz w:val="20"/>
              </w:rPr>
            </w:pPr>
            <w:r w:rsidRPr="000B61F5">
              <w:rPr>
                <w:noProof/>
                <w:sz w:val="20"/>
                <w:lang w:val="en-US" w:eastAsia="en-US"/>
              </w:rPr>
              <w:drawing>
                <wp:anchor distT="0" distB="0" distL="114300" distR="114300" simplePos="0" relativeHeight="251686912" behindDoc="0" locked="0" layoutInCell="1" allowOverlap="1" wp14:anchorId="663F31F0" wp14:editId="216BAB4B">
                  <wp:simplePos x="0" y="0"/>
                  <wp:positionH relativeFrom="column">
                    <wp:posOffset>53544</wp:posOffset>
                  </wp:positionH>
                  <wp:positionV relativeFrom="paragraph">
                    <wp:posOffset>78680</wp:posOffset>
                  </wp:positionV>
                  <wp:extent cx="2257425" cy="2113472"/>
                  <wp:effectExtent l="0" t="0" r="0" b="127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4" cstate="email">
                            <a:extLst>
                              <a:ext uri="{28A0092B-C50C-407E-A947-70E740481C1C}">
                                <a14:useLocalDpi xmlns:a14="http://schemas.microsoft.com/office/drawing/2010/main"/>
                              </a:ext>
                            </a:extLst>
                          </a:blip>
                          <a:srcRect/>
                          <a:stretch>
                            <a:fillRect/>
                          </a:stretch>
                        </pic:blipFill>
                        <pic:spPr bwMode="auto">
                          <a:xfrm>
                            <a:off x="0" y="0"/>
                            <a:ext cx="2268073" cy="2123441"/>
                          </a:xfrm>
                          <a:prstGeom prst="rect">
                            <a:avLst/>
                          </a:prstGeom>
                          <a:noFill/>
                        </pic:spPr>
                      </pic:pic>
                    </a:graphicData>
                  </a:graphic>
                  <wp14:sizeRelH relativeFrom="page">
                    <wp14:pctWidth>0</wp14:pctWidth>
                  </wp14:sizeRelH>
                  <wp14:sizeRelV relativeFrom="page">
                    <wp14:pctHeight>0</wp14:pctHeight>
                  </wp14:sizeRelV>
                </wp:anchor>
              </w:drawing>
            </w:r>
          </w:p>
          <w:p w14:paraId="2E7C5851" w14:textId="77777777" w:rsidR="00A2588D" w:rsidRPr="000B61F5" w:rsidRDefault="00A2588D" w:rsidP="00A2588D">
            <w:pPr>
              <w:rPr>
                <w:sz w:val="20"/>
              </w:rPr>
            </w:pPr>
          </w:p>
          <w:p w14:paraId="7354D9C3" w14:textId="77777777" w:rsidR="00A2588D" w:rsidRPr="000B61F5" w:rsidRDefault="00A2588D" w:rsidP="00A2588D">
            <w:pPr>
              <w:rPr>
                <w:sz w:val="20"/>
              </w:rPr>
            </w:pPr>
          </w:p>
          <w:p w14:paraId="193312D7" w14:textId="77777777" w:rsidR="00A2588D" w:rsidRPr="000B61F5" w:rsidRDefault="00A2588D" w:rsidP="00A2588D">
            <w:pPr>
              <w:rPr>
                <w:sz w:val="20"/>
              </w:rPr>
            </w:pPr>
          </w:p>
        </w:tc>
        <w:tc>
          <w:tcPr>
            <w:tcW w:w="6300" w:type="dxa"/>
            <w:tcBorders>
              <w:top w:val="single" w:sz="4" w:space="0" w:color="auto"/>
              <w:left w:val="single" w:sz="4" w:space="0" w:color="auto"/>
              <w:bottom w:val="single" w:sz="4" w:space="0" w:color="auto"/>
              <w:right w:val="single" w:sz="4" w:space="0" w:color="auto"/>
            </w:tcBorders>
            <w:hideMark/>
          </w:tcPr>
          <w:p w14:paraId="57668577" w14:textId="77777777" w:rsidR="00A2588D" w:rsidRPr="000B61F5" w:rsidRDefault="00A2588D" w:rsidP="00A2588D">
            <w:pPr>
              <w:rPr>
                <w:sz w:val="20"/>
              </w:rPr>
            </w:pPr>
            <w:r w:rsidRPr="000B61F5">
              <w:rPr>
                <w:sz w:val="20"/>
              </w:rPr>
              <w:t xml:space="preserve">(a) </w:t>
            </w:r>
            <w:r w:rsidRPr="000B61F5">
              <w:rPr>
                <w:rFonts w:ascii="Sylfaen" w:hAnsi="Sylfaen" w:cs="Sylfaen"/>
                <w:sz w:val="20"/>
              </w:rPr>
              <w:t>ნიადაგი</w:t>
            </w:r>
            <w:r w:rsidRPr="000B61F5">
              <w:rPr>
                <w:sz w:val="20"/>
              </w:rPr>
              <w:t xml:space="preserve"> </w:t>
            </w:r>
            <w:r w:rsidRPr="000B61F5">
              <w:rPr>
                <w:rFonts w:ascii="Sylfaen" w:hAnsi="Sylfaen" w:cs="Sylfaen"/>
                <w:sz w:val="20"/>
              </w:rPr>
              <w:t>ზვინულებად</w:t>
            </w:r>
            <w:r w:rsidRPr="000B61F5">
              <w:rPr>
                <w:sz w:val="20"/>
              </w:rPr>
              <w:t xml:space="preserve"> </w:t>
            </w:r>
            <w:r w:rsidRPr="000B61F5">
              <w:rPr>
                <w:rFonts w:ascii="Sylfaen" w:hAnsi="Sylfaen" w:cs="Sylfaen"/>
                <w:sz w:val="20"/>
              </w:rPr>
              <w:t>იყრება</w:t>
            </w:r>
            <w:r w:rsidRPr="000B61F5">
              <w:rPr>
                <w:sz w:val="20"/>
              </w:rPr>
              <w:t xml:space="preserve"> </w:t>
            </w:r>
            <w:r w:rsidRPr="000B61F5">
              <w:rPr>
                <w:rFonts w:ascii="Sylfaen" w:hAnsi="Sylfaen" w:cs="Sylfaen"/>
                <w:sz w:val="20"/>
              </w:rPr>
              <w:t>სანაყაროსთვის</w:t>
            </w:r>
            <w:r w:rsidRPr="000B61F5">
              <w:rPr>
                <w:sz w:val="20"/>
              </w:rPr>
              <w:t xml:space="preserve"> </w:t>
            </w:r>
            <w:r w:rsidRPr="000B61F5">
              <w:rPr>
                <w:rFonts w:ascii="Sylfaen" w:hAnsi="Sylfaen" w:cs="Sylfaen"/>
                <w:sz w:val="20"/>
              </w:rPr>
              <w:t>შერჩეული</w:t>
            </w:r>
            <w:r w:rsidRPr="000B61F5">
              <w:rPr>
                <w:sz w:val="20"/>
              </w:rPr>
              <w:t xml:space="preserve"> </w:t>
            </w:r>
            <w:r w:rsidRPr="000B61F5">
              <w:rPr>
                <w:rFonts w:ascii="Sylfaen" w:hAnsi="Sylfaen" w:cs="Sylfaen"/>
                <w:sz w:val="20"/>
              </w:rPr>
              <w:t>ტერიტორიის</w:t>
            </w:r>
            <w:r w:rsidRPr="000B61F5">
              <w:rPr>
                <w:sz w:val="20"/>
              </w:rPr>
              <w:t xml:space="preserve"> </w:t>
            </w:r>
            <w:r w:rsidRPr="000B61F5">
              <w:rPr>
                <w:rFonts w:cs="Arial"/>
                <w:sz w:val="20"/>
              </w:rPr>
              <w:t>„</w:t>
            </w:r>
            <w:r w:rsidRPr="000B61F5">
              <w:rPr>
                <w:rFonts w:ascii="Sylfaen" w:hAnsi="Sylfaen" w:cs="Sylfaen"/>
                <w:sz w:val="20"/>
              </w:rPr>
              <w:t>ბოლო</w:t>
            </w:r>
            <w:r w:rsidRPr="000B61F5">
              <w:rPr>
                <w:rFonts w:eastAsia="MS Mincho"/>
                <w:sz w:val="20"/>
              </w:rPr>
              <w:t>‟</w:t>
            </w:r>
            <w:r w:rsidRPr="000B61F5">
              <w:rPr>
                <w:sz w:val="20"/>
              </w:rPr>
              <w:t xml:space="preserve"> </w:t>
            </w:r>
            <w:r w:rsidRPr="000B61F5">
              <w:rPr>
                <w:rFonts w:ascii="Sylfaen" w:hAnsi="Sylfaen" w:cs="Sylfaen"/>
                <w:sz w:val="20"/>
              </w:rPr>
              <w:t>წერტილიდან</w:t>
            </w:r>
            <w:r w:rsidRPr="000B61F5">
              <w:rPr>
                <w:sz w:val="20"/>
              </w:rPr>
              <w:t xml:space="preserve"> </w:t>
            </w:r>
            <w:r w:rsidRPr="000B61F5">
              <w:rPr>
                <w:rFonts w:ascii="Sylfaen" w:hAnsi="Sylfaen" w:cs="Sylfaen"/>
                <w:sz w:val="20"/>
              </w:rPr>
              <w:t>მისასვლელისკენ</w:t>
            </w:r>
          </w:p>
          <w:p w14:paraId="131B0B63" w14:textId="77777777" w:rsidR="00A2588D" w:rsidRPr="000B61F5" w:rsidRDefault="00A2588D" w:rsidP="00A2588D">
            <w:pPr>
              <w:rPr>
                <w:sz w:val="20"/>
              </w:rPr>
            </w:pPr>
            <w:r w:rsidRPr="000B61F5">
              <w:rPr>
                <w:sz w:val="20"/>
              </w:rPr>
              <w:t xml:space="preserve">(b) </w:t>
            </w:r>
            <w:r w:rsidRPr="000B61F5">
              <w:rPr>
                <w:rFonts w:ascii="Sylfaen" w:hAnsi="Sylfaen" w:cs="Sylfaen"/>
                <w:sz w:val="20"/>
              </w:rPr>
              <w:t>დაშორება</w:t>
            </w:r>
            <w:r w:rsidRPr="000B61F5">
              <w:rPr>
                <w:sz w:val="20"/>
              </w:rPr>
              <w:t xml:space="preserve"> </w:t>
            </w:r>
            <w:r w:rsidRPr="000B61F5">
              <w:rPr>
                <w:rFonts w:ascii="Sylfaen" w:hAnsi="Sylfaen" w:cs="Sylfaen"/>
                <w:sz w:val="20"/>
              </w:rPr>
              <w:t>ზვინულებს</w:t>
            </w:r>
            <w:r w:rsidRPr="000B61F5">
              <w:rPr>
                <w:sz w:val="20"/>
              </w:rPr>
              <w:t xml:space="preserve"> </w:t>
            </w:r>
            <w:r w:rsidRPr="000B61F5">
              <w:rPr>
                <w:rFonts w:ascii="Sylfaen" w:hAnsi="Sylfaen" w:cs="Sylfaen"/>
                <w:sz w:val="20"/>
              </w:rPr>
              <w:t>შორის</w:t>
            </w:r>
            <w:r w:rsidRPr="000B61F5">
              <w:rPr>
                <w:sz w:val="20"/>
              </w:rPr>
              <w:t xml:space="preserve"> </w:t>
            </w:r>
            <w:r w:rsidRPr="000B61F5">
              <w:rPr>
                <w:rFonts w:ascii="Sylfaen" w:hAnsi="Sylfaen" w:cs="Sylfaen"/>
                <w:sz w:val="20"/>
              </w:rPr>
              <w:t>საკმარისი</w:t>
            </w:r>
            <w:r w:rsidRPr="000B61F5">
              <w:rPr>
                <w:sz w:val="20"/>
              </w:rPr>
              <w:t xml:space="preserve"> </w:t>
            </w:r>
            <w:r w:rsidRPr="000B61F5">
              <w:rPr>
                <w:rFonts w:ascii="Sylfaen" w:hAnsi="Sylfaen" w:cs="Sylfaen"/>
                <w:sz w:val="20"/>
              </w:rPr>
              <w:t>უნდა</w:t>
            </w:r>
            <w:r w:rsidRPr="000B61F5">
              <w:rPr>
                <w:sz w:val="20"/>
              </w:rPr>
              <w:t xml:space="preserve"> </w:t>
            </w:r>
            <w:r w:rsidRPr="000B61F5">
              <w:rPr>
                <w:rFonts w:ascii="Sylfaen" w:hAnsi="Sylfaen" w:cs="Sylfaen"/>
                <w:sz w:val="20"/>
              </w:rPr>
              <w:t>იყოს</w:t>
            </w:r>
            <w:r w:rsidRPr="000B61F5">
              <w:rPr>
                <w:sz w:val="20"/>
              </w:rPr>
              <w:t xml:space="preserve"> </w:t>
            </w:r>
            <w:r w:rsidRPr="000B61F5">
              <w:rPr>
                <w:rFonts w:ascii="Sylfaen" w:hAnsi="Sylfaen" w:cs="Sylfaen"/>
                <w:sz w:val="20"/>
              </w:rPr>
              <w:t>ნაყარის</w:t>
            </w:r>
            <w:r w:rsidRPr="000B61F5">
              <w:rPr>
                <w:sz w:val="20"/>
              </w:rPr>
              <w:t xml:space="preserve"> </w:t>
            </w:r>
            <w:r w:rsidRPr="000B61F5">
              <w:rPr>
                <w:rFonts w:ascii="Sylfaen" w:hAnsi="Sylfaen" w:cs="Sylfaen"/>
                <w:sz w:val="20"/>
              </w:rPr>
              <w:t>დამუშავებისას</w:t>
            </w:r>
            <w:r w:rsidRPr="000B61F5">
              <w:rPr>
                <w:sz w:val="20"/>
              </w:rPr>
              <w:t xml:space="preserve"> </w:t>
            </w:r>
            <w:r w:rsidRPr="000B61F5">
              <w:rPr>
                <w:rFonts w:ascii="Sylfaen" w:hAnsi="Sylfaen" w:cs="Sylfaen"/>
                <w:sz w:val="20"/>
              </w:rPr>
              <w:t>გამოყენებული</w:t>
            </w:r>
            <w:r w:rsidRPr="000B61F5">
              <w:rPr>
                <w:sz w:val="20"/>
              </w:rPr>
              <w:t xml:space="preserve"> </w:t>
            </w:r>
            <w:r w:rsidRPr="000B61F5">
              <w:rPr>
                <w:rFonts w:ascii="Sylfaen" w:hAnsi="Sylfaen" w:cs="Sylfaen"/>
                <w:sz w:val="20"/>
              </w:rPr>
              <w:t>ტექნიკის</w:t>
            </w:r>
            <w:r w:rsidRPr="000B61F5">
              <w:rPr>
                <w:sz w:val="20"/>
              </w:rPr>
              <w:t xml:space="preserve"> </w:t>
            </w:r>
            <w:r w:rsidRPr="000B61F5">
              <w:rPr>
                <w:rFonts w:ascii="Sylfaen" w:hAnsi="Sylfaen" w:cs="Sylfaen"/>
                <w:sz w:val="20"/>
              </w:rPr>
              <w:t>მოძრაობისთვის</w:t>
            </w:r>
            <w:r w:rsidRPr="000B61F5">
              <w:rPr>
                <w:sz w:val="20"/>
              </w:rPr>
              <w:t xml:space="preserve">. </w:t>
            </w:r>
            <w:r w:rsidRPr="000B61F5">
              <w:rPr>
                <w:rFonts w:ascii="Sylfaen" w:hAnsi="Sylfaen" w:cs="Sylfaen"/>
                <w:sz w:val="20"/>
              </w:rPr>
              <w:t>ამ</w:t>
            </w:r>
            <w:r w:rsidRPr="000B61F5">
              <w:rPr>
                <w:sz w:val="20"/>
              </w:rPr>
              <w:t xml:space="preserve"> </w:t>
            </w:r>
            <w:r w:rsidRPr="000B61F5">
              <w:rPr>
                <w:rFonts w:ascii="Sylfaen" w:hAnsi="Sylfaen" w:cs="Sylfaen"/>
                <w:sz w:val="20"/>
              </w:rPr>
              <w:t>ეტაპზე</w:t>
            </w:r>
            <w:r w:rsidRPr="000B61F5">
              <w:rPr>
                <w:sz w:val="20"/>
              </w:rPr>
              <w:t xml:space="preserve"> </w:t>
            </w:r>
            <w:r w:rsidRPr="000B61F5">
              <w:rPr>
                <w:rFonts w:ascii="Sylfaen" w:hAnsi="Sylfaen" w:cs="Sylfaen"/>
                <w:sz w:val="20"/>
              </w:rPr>
              <w:t>ნაყარის</w:t>
            </w:r>
            <w:r w:rsidRPr="000B61F5">
              <w:rPr>
                <w:sz w:val="20"/>
              </w:rPr>
              <w:t xml:space="preserve"> </w:t>
            </w:r>
            <w:r w:rsidRPr="000B61F5">
              <w:rPr>
                <w:rFonts w:ascii="Sylfaen" w:hAnsi="Sylfaen" w:cs="Sylfaen"/>
                <w:sz w:val="20"/>
              </w:rPr>
              <w:t>მაქსიმალური</w:t>
            </w:r>
            <w:r w:rsidRPr="000B61F5">
              <w:rPr>
                <w:sz w:val="20"/>
              </w:rPr>
              <w:t xml:space="preserve"> </w:t>
            </w:r>
            <w:r w:rsidRPr="000B61F5">
              <w:rPr>
                <w:rFonts w:ascii="Sylfaen" w:hAnsi="Sylfaen" w:cs="Sylfaen"/>
                <w:sz w:val="20"/>
              </w:rPr>
              <w:t>სიმაღლე</w:t>
            </w:r>
            <w:r w:rsidRPr="000B61F5">
              <w:rPr>
                <w:sz w:val="20"/>
              </w:rPr>
              <w:t xml:space="preserve"> 2 </w:t>
            </w:r>
            <w:r w:rsidRPr="000B61F5">
              <w:rPr>
                <w:rFonts w:ascii="Sylfaen" w:hAnsi="Sylfaen" w:cs="Sylfaen"/>
                <w:sz w:val="20"/>
              </w:rPr>
              <w:t>მ</w:t>
            </w:r>
            <w:r w:rsidRPr="000B61F5">
              <w:rPr>
                <w:sz w:val="20"/>
              </w:rPr>
              <w:t xml:space="preserve"> </w:t>
            </w:r>
            <w:r w:rsidRPr="000B61F5">
              <w:rPr>
                <w:rFonts w:ascii="Sylfaen" w:hAnsi="Sylfaen" w:cs="Sylfaen"/>
                <w:sz w:val="20"/>
              </w:rPr>
              <w:t>შეიძლება</w:t>
            </w:r>
            <w:r w:rsidRPr="000B61F5">
              <w:rPr>
                <w:sz w:val="20"/>
              </w:rPr>
              <w:t xml:space="preserve"> </w:t>
            </w:r>
            <w:r w:rsidRPr="000B61F5">
              <w:rPr>
                <w:rFonts w:ascii="Sylfaen" w:hAnsi="Sylfaen" w:cs="Sylfaen"/>
                <w:sz w:val="20"/>
              </w:rPr>
              <w:t>იყოს</w:t>
            </w:r>
            <w:r w:rsidRPr="000B61F5">
              <w:rPr>
                <w:sz w:val="20"/>
              </w:rPr>
              <w:t>.</w:t>
            </w:r>
          </w:p>
          <w:p w14:paraId="0F9090B0" w14:textId="77777777" w:rsidR="00A2588D" w:rsidRPr="000B61F5" w:rsidRDefault="00A2588D" w:rsidP="00A2588D">
            <w:pPr>
              <w:rPr>
                <w:sz w:val="20"/>
              </w:rPr>
            </w:pPr>
            <w:r w:rsidRPr="000B61F5">
              <w:rPr>
                <w:sz w:val="20"/>
              </w:rPr>
              <w:t xml:space="preserve">(c) </w:t>
            </w:r>
            <w:r w:rsidRPr="000B61F5">
              <w:rPr>
                <w:rFonts w:ascii="Sylfaen" w:hAnsi="Sylfaen" w:cs="Sylfaen"/>
                <w:sz w:val="20"/>
              </w:rPr>
              <w:t>დატკეპნის</w:t>
            </w:r>
            <w:r w:rsidRPr="000B61F5">
              <w:rPr>
                <w:sz w:val="20"/>
              </w:rPr>
              <w:t xml:space="preserve"> </w:t>
            </w:r>
            <w:r w:rsidRPr="000B61F5">
              <w:rPr>
                <w:rFonts w:ascii="Sylfaen" w:hAnsi="Sylfaen" w:cs="Sylfaen"/>
                <w:sz w:val="20"/>
              </w:rPr>
              <w:t>თავიდან</w:t>
            </w:r>
            <w:r w:rsidRPr="000B61F5">
              <w:rPr>
                <w:sz w:val="20"/>
              </w:rPr>
              <w:t xml:space="preserve"> </w:t>
            </w:r>
            <w:r w:rsidRPr="000B61F5">
              <w:rPr>
                <w:rFonts w:ascii="Sylfaen" w:hAnsi="Sylfaen" w:cs="Sylfaen"/>
                <w:sz w:val="20"/>
              </w:rPr>
              <w:t>ასაცილებლად</w:t>
            </w:r>
            <w:r w:rsidRPr="000B61F5">
              <w:rPr>
                <w:sz w:val="20"/>
              </w:rPr>
              <w:t xml:space="preserve"> </w:t>
            </w:r>
            <w:r w:rsidRPr="000B61F5">
              <w:rPr>
                <w:rFonts w:ascii="Sylfaen" w:hAnsi="Sylfaen" w:cs="Sylfaen"/>
                <w:sz w:val="20"/>
              </w:rPr>
              <w:t>ნაყარზე</w:t>
            </w:r>
            <w:r w:rsidRPr="000B61F5">
              <w:rPr>
                <w:sz w:val="20"/>
              </w:rPr>
              <w:t xml:space="preserve"> </w:t>
            </w:r>
            <w:r w:rsidRPr="000B61F5">
              <w:rPr>
                <w:rFonts w:ascii="Sylfaen" w:hAnsi="Sylfaen" w:cs="Sylfaen"/>
                <w:sz w:val="20"/>
              </w:rPr>
              <w:t>ტექნიკის</w:t>
            </w:r>
            <w:r w:rsidRPr="000B61F5">
              <w:rPr>
                <w:sz w:val="20"/>
              </w:rPr>
              <w:t xml:space="preserve"> </w:t>
            </w:r>
            <w:r w:rsidRPr="000B61F5">
              <w:rPr>
                <w:rFonts w:ascii="Sylfaen" w:hAnsi="Sylfaen" w:cs="Sylfaen"/>
                <w:sz w:val="20"/>
              </w:rPr>
              <w:t>მოძრაობა</w:t>
            </w:r>
            <w:r w:rsidRPr="000B61F5">
              <w:rPr>
                <w:sz w:val="20"/>
              </w:rPr>
              <w:t xml:space="preserve"> </w:t>
            </w:r>
            <w:r w:rsidRPr="000B61F5">
              <w:rPr>
                <w:rFonts w:ascii="Sylfaen" w:hAnsi="Sylfaen" w:cs="Sylfaen"/>
                <w:sz w:val="20"/>
              </w:rPr>
              <w:t>დაუშვებელია</w:t>
            </w:r>
            <w:r w:rsidRPr="000B61F5">
              <w:rPr>
                <w:sz w:val="20"/>
              </w:rPr>
              <w:t xml:space="preserve">. </w:t>
            </w:r>
            <w:r w:rsidRPr="000B61F5">
              <w:rPr>
                <w:rFonts w:ascii="Sylfaen" w:hAnsi="Sylfaen" w:cs="Sylfaen"/>
                <w:sz w:val="20"/>
              </w:rPr>
              <w:t>ნაყარის</w:t>
            </w:r>
            <w:r w:rsidRPr="000B61F5">
              <w:rPr>
                <w:sz w:val="20"/>
              </w:rPr>
              <w:t xml:space="preserve"> </w:t>
            </w:r>
            <w:r w:rsidRPr="000B61F5">
              <w:rPr>
                <w:rFonts w:ascii="Sylfaen" w:hAnsi="Sylfaen" w:cs="Sylfaen"/>
                <w:sz w:val="20"/>
              </w:rPr>
              <w:t>გამოშრობის</w:t>
            </w:r>
            <w:r w:rsidRPr="000B61F5">
              <w:rPr>
                <w:sz w:val="20"/>
              </w:rPr>
              <w:t xml:space="preserve"> </w:t>
            </w:r>
            <w:r w:rsidRPr="000B61F5">
              <w:rPr>
                <w:rFonts w:ascii="Sylfaen" w:hAnsi="Sylfaen" w:cs="Sylfaen"/>
                <w:sz w:val="20"/>
              </w:rPr>
              <w:t>შემდეგ</w:t>
            </w:r>
            <w:r w:rsidRPr="000B61F5">
              <w:rPr>
                <w:sz w:val="20"/>
              </w:rPr>
              <w:t xml:space="preserve"> (</w:t>
            </w:r>
            <w:r w:rsidRPr="000B61F5">
              <w:rPr>
                <w:rFonts w:ascii="Sylfaen" w:hAnsi="Sylfaen" w:cs="Sylfaen"/>
                <w:sz w:val="20"/>
              </w:rPr>
              <w:t>როდესაც</w:t>
            </w:r>
            <w:r w:rsidRPr="000B61F5">
              <w:rPr>
                <w:sz w:val="20"/>
              </w:rPr>
              <w:t xml:space="preserve"> </w:t>
            </w:r>
            <w:r w:rsidRPr="000B61F5">
              <w:rPr>
                <w:rFonts w:ascii="Sylfaen" w:hAnsi="Sylfaen" w:cs="Sylfaen"/>
                <w:sz w:val="20"/>
              </w:rPr>
              <w:t>მიწა</w:t>
            </w:r>
            <w:r w:rsidRPr="000B61F5">
              <w:rPr>
                <w:sz w:val="20"/>
              </w:rPr>
              <w:t xml:space="preserve"> </w:t>
            </w:r>
            <w:r w:rsidRPr="000B61F5">
              <w:rPr>
                <w:rFonts w:ascii="Sylfaen" w:hAnsi="Sylfaen" w:cs="Sylfaen"/>
                <w:sz w:val="20"/>
              </w:rPr>
              <w:t>არაპლასტიური</w:t>
            </w:r>
            <w:r w:rsidRPr="000B61F5">
              <w:rPr>
                <w:sz w:val="20"/>
              </w:rPr>
              <w:t xml:space="preserve"> </w:t>
            </w:r>
            <w:r w:rsidRPr="000B61F5">
              <w:rPr>
                <w:rFonts w:ascii="Sylfaen" w:hAnsi="Sylfaen" w:cs="Sylfaen"/>
                <w:sz w:val="20"/>
              </w:rPr>
              <w:t>ხდება</w:t>
            </w:r>
            <w:r w:rsidRPr="000B61F5">
              <w:rPr>
                <w:sz w:val="20"/>
              </w:rPr>
              <w:t xml:space="preserve">, </w:t>
            </w:r>
            <w:r w:rsidRPr="000B61F5">
              <w:rPr>
                <w:rFonts w:ascii="Sylfaen" w:hAnsi="Sylfaen" w:cs="Sylfaen"/>
                <w:sz w:val="20"/>
              </w:rPr>
              <w:t>რასაც</w:t>
            </w:r>
            <w:r w:rsidRPr="000B61F5">
              <w:rPr>
                <w:sz w:val="20"/>
              </w:rPr>
              <w:t xml:space="preserve"> </w:t>
            </w:r>
            <w:r w:rsidRPr="000B61F5">
              <w:rPr>
                <w:rFonts w:ascii="Sylfaen" w:hAnsi="Sylfaen" w:cs="Sylfaen"/>
                <w:sz w:val="20"/>
              </w:rPr>
              <w:t>მშრალი</w:t>
            </w:r>
            <w:r w:rsidRPr="000B61F5">
              <w:rPr>
                <w:sz w:val="20"/>
              </w:rPr>
              <w:t xml:space="preserve"> </w:t>
            </w:r>
            <w:r w:rsidRPr="000B61F5">
              <w:rPr>
                <w:rFonts w:ascii="Sylfaen" w:hAnsi="Sylfaen" w:cs="Sylfaen"/>
                <w:sz w:val="20"/>
              </w:rPr>
              <w:t>და</w:t>
            </w:r>
            <w:r w:rsidRPr="000B61F5">
              <w:rPr>
                <w:sz w:val="20"/>
              </w:rPr>
              <w:t xml:space="preserve"> </w:t>
            </w:r>
            <w:r w:rsidRPr="000B61F5">
              <w:rPr>
                <w:rFonts w:ascii="Sylfaen" w:hAnsi="Sylfaen" w:cs="Sylfaen"/>
                <w:sz w:val="20"/>
              </w:rPr>
              <w:t>ქარიანი</w:t>
            </w:r>
            <w:r w:rsidRPr="000B61F5">
              <w:rPr>
                <w:sz w:val="20"/>
              </w:rPr>
              <w:t xml:space="preserve"> </w:t>
            </w:r>
            <w:r w:rsidRPr="000B61F5">
              <w:rPr>
                <w:rFonts w:ascii="Sylfaen" w:hAnsi="Sylfaen" w:cs="Sylfaen"/>
                <w:sz w:val="20"/>
              </w:rPr>
              <w:t>ან</w:t>
            </w:r>
            <w:r w:rsidRPr="000B61F5">
              <w:rPr>
                <w:sz w:val="20"/>
              </w:rPr>
              <w:t xml:space="preserve"> </w:t>
            </w:r>
            <w:r w:rsidRPr="000B61F5">
              <w:rPr>
                <w:rFonts w:ascii="Sylfaen" w:hAnsi="Sylfaen" w:cs="Sylfaen"/>
                <w:sz w:val="20"/>
              </w:rPr>
              <w:t>თბილი</w:t>
            </w:r>
            <w:r w:rsidRPr="000B61F5">
              <w:rPr>
                <w:sz w:val="20"/>
              </w:rPr>
              <w:t xml:space="preserve"> </w:t>
            </w:r>
            <w:r w:rsidRPr="000B61F5">
              <w:rPr>
                <w:rFonts w:ascii="Sylfaen" w:hAnsi="Sylfaen" w:cs="Sylfaen"/>
                <w:sz w:val="20"/>
              </w:rPr>
              <w:t>ამინდის</w:t>
            </w:r>
            <w:r w:rsidRPr="000B61F5">
              <w:rPr>
                <w:sz w:val="20"/>
              </w:rPr>
              <w:t xml:space="preserve"> </w:t>
            </w:r>
            <w:r w:rsidRPr="000B61F5">
              <w:rPr>
                <w:rFonts w:ascii="Sylfaen" w:hAnsi="Sylfaen" w:cs="Sylfaen"/>
                <w:sz w:val="20"/>
              </w:rPr>
              <w:t>პირობებში</w:t>
            </w:r>
            <w:r w:rsidRPr="000B61F5">
              <w:rPr>
                <w:sz w:val="20"/>
              </w:rPr>
              <w:t xml:space="preserve"> </w:t>
            </w:r>
            <w:r w:rsidRPr="000B61F5">
              <w:rPr>
                <w:rFonts w:ascii="Sylfaen" w:hAnsi="Sylfaen" w:cs="Sylfaen"/>
                <w:sz w:val="20"/>
              </w:rPr>
              <w:t>ჩვეულებრივ</w:t>
            </w:r>
            <w:r w:rsidRPr="000B61F5">
              <w:rPr>
                <w:sz w:val="20"/>
              </w:rPr>
              <w:t xml:space="preserve"> </w:t>
            </w:r>
            <w:r w:rsidRPr="000B61F5">
              <w:rPr>
                <w:rFonts w:ascii="Sylfaen" w:hAnsi="Sylfaen" w:cs="Sylfaen"/>
                <w:sz w:val="20"/>
              </w:rPr>
              <w:t>რამდენიმე</w:t>
            </w:r>
            <w:r w:rsidRPr="000B61F5">
              <w:rPr>
                <w:sz w:val="20"/>
              </w:rPr>
              <w:t xml:space="preserve"> </w:t>
            </w:r>
            <w:r w:rsidRPr="000B61F5">
              <w:rPr>
                <w:rFonts w:ascii="Sylfaen" w:hAnsi="Sylfaen" w:cs="Sylfaen"/>
                <w:sz w:val="20"/>
              </w:rPr>
              <w:t>კვირა</w:t>
            </w:r>
            <w:r w:rsidRPr="000B61F5">
              <w:rPr>
                <w:sz w:val="20"/>
              </w:rPr>
              <w:t xml:space="preserve"> </w:t>
            </w:r>
            <w:r w:rsidRPr="000B61F5">
              <w:rPr>
                <w:rFonts w:ascii="Sylfaen" w:hAnsi="Sylfaen" w:cs="Sylfaen"/>
                <w:sz w:val="20"/>
              </w:rPr>
              <w:t>სჭირდება</w:t>
            </w:r>
            <w:r w:rsidRPr="000B61F5">
              <w:rPr>
                <w:sz w:val="20"/>
              </w:rPr>
              <w:t xml:space="preserve">) </w:t>
            </w:r>
            <w:r w:rsidRPr="000B61F5">
              <w:rPr>
                <w:rFonts w:ascii="Sylfaen" w:hAnsi="Sylfaen" w:cs="Sylfaen"/>
                <w:sz w:val="20"/>
              </w:rPr>
              <w:t>ზვინულები</w:t>
            </w:r>
            <w:r w:rsidRPr="000B61F5">
              <w:rPr>
                <w:sz w:val="20"/>
              </w:rPr>
              <w:t xml:space="preserve"> </w:t>
            </w:r>
            <w:r w:rsidRPr="000B61F5">
              <w:rPr>
                <w:rFonts w:cs="Arial"/>
                <w:sz w:val="20"/>
              </w:rPr>
              <w:t>„</w:t>
            </w:r>
            <w:r w:rsidRPr="000B61F5">
              <w:rPr>
                <w:rFonts w:ascii="Sylfaen" w:hAnsi="Sylfaen" w:cs="Sylfaen"/>
                <w:sz w:val="20"/>
              </w:rPr>
              <w:t>ერთდება</w:t>
            </w:r>
            <w:r w:rsidRPr="000B61F5">
              <w:rPr>
                <w:rFonts w:eastAsia="MS Mincho"/>
                <w:sz w:val="20"/>
              </w:rPr>
              <w:t xml:space="preserve">‟ </w:t>
            </w:r>
            <w:r w:rsidRPr="000B61F5">
              <w:rPr>
                <w:rFonts w:ascii="Sylfaen" w:hAnsi="Sylfaen" w:cs="Sylfaen"/>
                <w:sz w:val="20"/>
              </w:rPr>
              <w:t>მუხლუხიანი</w:t>
            </w:r>
            <w:r w:rsidRPr="000B61F5">
              <w:rPr>
                <w:sz w:val="20"/>
              </w:rPr>
              <w:t xml:space="preserve"> </w:t>
            </w:r>
            <w:r w:rsidRPr="000B61F5">
              <w:rPr>
                <w:rFonts w:ascii="Sylfaen" w:hAnsi="Sylfaen" w:cs="Sylfaen"/>
                <w:sz w:val="20"/>
              </w:rPr>
              <w:t>ექსკავატორის</w:t>
            </w:r>
            <w:r w:rsidRPr="000B61F5">
              <w:rPr>
                <w:sz w:val="20"/>
              </w:rPr>
              <w:t xml:space="preserve"> </w:t>
            </w:r>
            <w:r w:rsidRPr="000B61F5">
              <w:rPr>
                <w:rFonts w:ascii="Sylfaen" w:hAnsi="Sylfaen" w:cs="Sylfaen"/>
                <w:sz w:val="20"/>
              </w:rPr>
              <w:t>საშუალებით</w:t>
            </w:r>
            <w:r w:rsidRPr="000B61F5">
              <w:rPr>
                <w:sz w:val="20"/>
              </w:rPr>
              <w:t>.</w:t>
            </w:r>
          </w:p>
          <w:p w14:paraId="380B5A7F" w14:textId="77777777" w:rsidR="00A2588D" w:rsidRPr="000B61F5" w:rsidRDefault="00A2588D" w:rsidP="00A2588D">
            <w:pPr>
              <w:rPr>
                <w:sz w:val="20"/>
              </w:rPr>
            </w:pPr>
            <w:r w:rsidRPr="000B61F5">
              <w:rPr>
                <w:sz w:val="20"/>
              </w:rPr>
              <w:t xml:space="preserve">(d) </w:t>
            </w:r>
            <w:r w:rsidRPr="000B61F5">
              <w:rPr>
                <w:rFonts w:ascii="Sylfaen" w:hAnsi="Sylfaen" w:cs="Sylfaen"/>
                <w:sz w:val="20"/>
              </w:rPr>
              <w:t>ხდება</w:t>
            </w:r>
            <w:r w:rsidRPr="000B61F5">
              <w:rPr>
                <w:sz w:val="20"/>
              </w:rPr>
              <w:t xml:space="preserve"> </w:t>
            </w:r>
            <w:r w:rsidRPr="000B61F5">
              <w:rPr>
                <w:rFonts w:ascii="Sylfaen" w:hAnsi="Sylfaen" w:cs="Sylfaen"/>
                <w:sz w:val="20"/>
              </w:rPr>
              <w:t>ნაყარის</w:t>
            </w:r>
            <w:r w:rsidRPr="000B61F5">
              <w:rPr>
                <w:sz w:val="20"/>
              </w:rPr>
              <w:t xml:space="preserve"> </w:t>
            </w:r>
            <w:r w:rsidRPr="000B61F5">
              <w:rPr>
                <w:rFonts w:ascii="Sylfaen" w:hAnsi="Sylfaen" w:cs="Sylfaen"/>
                <w:sz w:val="20"/>
              </w:rPr>
              <w:t>ზედაპირის</w:t>
            </w:r>
            <w:r w:rsidRPr="000B61F5">
              <w:rPr>
                <w:sz w:val="20"/>
              </w:rPr>
              <w:t xml:space="preserve"> </w:t>
            </w:r>
            <w:r w:rsidRPr="000B61F5">
              <w:rPr>
                <w:rFonts w:ascii="Sylfaen" w:hAnsi="Sylfaen" w:cs="Sylfaen"/>
                <w:sz w:val="20"/>
              </w:rPr>
              <w:t>პროფილირება</w:t>
            </w:r>
            <w:r w:rsidRPr="000B61F5">
              <w:rPr>
                <w:sz w:val="20"/>
              </w:rPr>
              <w:t xml:space="preserve"> </w:t>
            </w:r>
            <w:r w:rsidRPr="000B61F5">
              <w:rPr>
                <w:rFonts w:ascii="Sylfaen" w:hAnsi="Sylfaen" w:cs="Sylfaen"/>
                <w:sz w:val="20"/>
              </w:rPr>
              <w:t>და</w:t>
            </w:r>
            <w:r w:rsidRPr="000B61F5">
              <w:rPr>
                <w:sz w:val="20"/>
              </w:rPr>
              <w:t xml:space="preserve"> </w:t>
            </w:r>
            <w:r w:rsidRPr="000B61F5">
              <w:rPr>
                <w:rFonts w:ascii="Sylfaen" w:hAnsi="Sylfaen" w:cs="Sylfaen"/>
                <w:sz w:val="20"/>
              </w:rPr>
              <w:t>დატკეპნა</w:t>
            </w:r>
            <w:r w:rsidRPr="000B61F5">
              <w:rPr>
                <w:sz w:val="20"/>
              </w:rPr>
              <w:t xml:space="preserve"> </w:t>
            </w:r>
            <w:r w:rsidRPr="000B61F5">
              <w:rPr>
                <w:rFonts w:ascii="Sylfaen" w:hAnsi="Sylfaen" w:cs="Sylfaen"/>
                <w:sz w:val="20"/>
              </w:rPr>
              <w:t>მუხლუხიანი</w:t>
            </w:r>
            <w:r w:rsidRPr="000B61F5">
              <w:rPr>
                <w:sz w:val="20"/>
              </w:rPr>
              <w:t xml:space="preserve"> </w:t>
            </w:r>
            <w:r w:rsidRPr="000B61F5">
              <w:rPr>
                <w:rFonts w:ascii="Sylfaen" w:hAnsi="Sylfaen" w:cs="Sylfaen"/>
                <w:sz w:val="20"/>
              </w:rPr>
              <w:t>ტექნიკის</w:t>
            </w:r>
            <w:r w:rsidRPr="000B61F5">
              <w:rPr>
                <w:sz w:val="20"/>
              </w:rPr>
              <w:t xml:space="preserve"> (</w:t>
            </w:r>
            <w:r w:rsidRPr="000B61F5">
              <w:rPr>
                <w:rFonts w:ascii="Sylfaen" w:hAnsi="Sylfaen" w:cs="Sylfaen"/>
                <w:sz w:val="20"/>
              </w:rPr>
              <w:t>ბულდოზერი</w:t>
            </w:r>
            <w:r w:rsidRPr="000B61F5">
              <w:rPr>
                <w:sz w:val="20"/>
              </w:rPr>
              <w:t xml:space="preserve"> </w:t>
            </w:r>
            <w:r w:rsidRPr="000B61F5">
              <w:rPr>
                <w:rFonts w:ascii="Sylfaen" w:hAnsi="Sylfaen" w:cs="Sylfaen"/>
                <w:sz w:val="20"/>
              </w:rPr>
              <w:t>ან</w:t>
            </w:r>
            <w:r w:rsidRPr="000B61F5">
              <w:rPr>
                <w:sz w:val="20"/>
              </w:rPr>
              <w:t xml:space="preserve"> </w:t>
            </w:r>
            <w:r w:rsidRPr="000B61F5">
              <w:rPr>
                <w:rFonts w:ascii="Sylfaen" w:hAnsi="Sylfaen" w:cs="Sylfaen"/>
                <w:sz w:val="20"/>
              </w:rPr>
              <w:t>ექსკავატორი</w:t>
            </w:r>
            <w:r w:rsidRPr="000B61F5">
              <w:rPr>
                <w:sz w:val="20"/>
              </w:rPr>
              <w:t xml:space="preserve">) </w:t>
            </w:r>
            <w:r w:rsidRPr="000B61F5">
              <w:rPr>
                <w:rFonts w:ascii="Sylfaen" w:hAnsi="Sylfaen" w:cs="Sylfaen"/>
                <w:sz w:val="20"/>
              </w:rPr>
              <w:t>საშუალებით</w:t>
            </w:r>
            <w:r w:rsidRPr="000B61F5">
              <w:rPr>
                <w:sz w:val="20"/>
              </w:rPr>
              <w:t xml:space="preserve"> </w:t>
            </w:r>
            <w:r w:rsidRPr="000B61F5">
              <w:rPr>
                <w:rFonts w:ascii="Sylfaen" w:hAnsi="Sylfaen" w:cs="Sylfaen"/>
                <w:sz w:val="20"/>
              </w:rPr>
              <w:t>ატმოსფერული</w:t>
            </w:r>
            <w:r w:rsidRPr="000B61F5">
              <w:rPr>
                <w:sz w:val="20"/>
              </w:rPr>
              <w:t xml:space="preserve"> </w:t>
            </w:r>
            <w:r w:rsidRPr="000B61F5">
              <w:rPr>
                <w:rFonts w:ascii="Sylfaen" w:hAnsi="Sylfaen" w:cs="Sylfaen"/>
                <w:sz w:val="20"/>
              </w:rPr>
              <w:t>წყლის</w:t>
            </w:r>
            <w:r w:rsidRPr="000B61F5">
              <w:rPr>
                <w:sz w:val="20"/>
              </w:rPr>
              <w:t xml:space="preserve"> </w:t>
            </w:r>
            <w:r w:rsidRPr="000B61F5">
              <w:rPr>
                <w:rFonts w:ascii="Sylfaen" w:hAnsi="Sylfaen" w:cs="Sylfaen"/>
                <w:sz w:val="20"/>
              </w:rPr>
              <w:t>ინფილტრაციის</w:t>
            </w:r>
            <w:r w:rsidRPr="000B61F5">
              <w:rPr>
                <w:sz w:val="20"/>
              </w:rPr>
              <w:t xml:space="preserve"> </w:t>
            </w:r>
            <w:r w:rsidRPr="000B61F5">
              <w:rPr>
                <w:rFonts w:ascii="Sylfaen" w:hAnsi="Sylfaen" w:cs="Sylfaen"/>
                <w:sz w:val="20"/>
              </w:rPr>
              <w:t>შესამცირებლად</w:t>
            </w:r>
            <w:r w:rsidRPr="000B61F5">
              <w:rPr>
                <w:sz w:val="20"/>
              </w:rPr>
              <w:t>.</w:t>
            </w:r>
          </w:p>
        </w:tc>
      </w:tr>
    </w:tbl>
    <w:p w14:paraId="3A85A41D" w14:textId="77777777" w:rsidR="00A2588D" w:rsidRPr="003D733D" w:rsidRDefault="00A2588D" w:rsidP="00A2588D">
      <w:pPr>
        <w:rPr>
          <w:lang w:val="ka-GE"/>
        </w:rPr>
      </w:pPr>
    </w:p>
    <w:p w14:paraId="33F5B48B" w14:textId="77777777" w:rsidR="00A2588D" w:rsidRPr="003D733D" w:rsidRDefault="00A2588D" w:rsidP="00A2588D">
      <w:r w:rsidRPr="003D733D">
        <w:rPr>
          <w:rFonts w:ascii="Sylfaen" w:hAnsi="Sylfaen" w:cs="Sylfaen"/>
        </w:rPr>
        <w:t>მოხსნილი</w:t>
      </w:r>
      <w:r w:rsidRPr="003D733D">
        <w:t xml:space="preserve"> </w:t>
      </w:r>
      <w:r w:rsidRPr="003D733D">
        <w:rPr>
          <w:rFonts w:ascii="Sylfaen" w:hAnsi="Sylfaen" w:cs="Sylfaen"/>
        </w:rPr>
        <w:t>ნაყოფიერი</w:t>
      </w:r>
      <w:r w:rsidRPr="003D733D">
        <w:t xml:space="preserve"> </w:t>
      </w:r>
      <w:r w:rsidRPr="003D733D">
        <w:rPr>
          <w:rFonts w:ascii="Sylfaen" w:hAnsi="Sylfaen" w:cs="Sylfaen"/>
        </w:rPr>
        <w:t>შრის</w:t>
      </w:r>
      <w:r w:rsidRPr="003D733D">
        <w:t xml:space="preserve"> </w:t>
      </w:r>
      <w:r w:rsidRPr="003D733D">
        <w:rPr>
          <w:rFonts w:ascii="Sylfaen" w:hAnsi="Sylfaen" w:cs="Sylfaen"/>
        </w:rPr>
        <w:t>და</w:t>
      </w:r>
      <w:r w:rsidRPr="003D733D">
        <w:t xml:space="preserve"> </w:t>
      </w:r>
      <w:r w:rsidRPr="003D733D">
        <w:rPr>
          <w:rFonts w:ascii="Sylfaen" w:hAnsi="Sylfaen" w:cs="Sylfaen"/>
        </w:rPr>
        <w:t>მიწის</w:t>
      </w:r>
      <w:r w:rsidRPr="003D733D">
        <w:t xml:space="preserve"> </w:t>
      </w:r>
      <w:r w:rsidRPr="003D733D">
        <w:rPr>
          <w:rFonts w:ascii="Sylfaen" w:hAnsi="Sylfaen" w:cs="Sylfaen"/>
        </w:rPr>
        <w:t>სამუშაოების</w:t>
      </w:r>
      <w:r w:rsidRPr="003D733D">
        <w:t xml:space="preserve"> </w:t>
      </w:r>
      <w:r w:rsidRPr="003D733D">
        <w:rPr>
          <w:rFonts w:ascii="Sylfaen" w:hAnsi="Sylfaen" w:cs="Sylfaen"/>
        </w:rPr>
        <w:t>დროს</w:t>
      </w:r>
      <w:r w:rsidRPr="003D733D">
        <w:t xml:space="preserve"> </w:t>
      </w:r>
      <w:r w:rsidRPr="003D733D">
        <w:rPr>
          <w:rFonts w:cs="Arial"/>
        </w:rPr>
        <w:t>„</w:t>
      </w:r>
      <w:r w:rsidRPr="003D733D">
        <w:rPr>
          <w:rFonts w:ascii="Sylfaen" w:hAnsi="Sylfaen" w:cs="Sylfaen"/>
        </w:rPr>
        <w:t>ზედმეტი</w:t>
      </w:r>
      <w:r w:rsidRPr="003D733D">
        <w:rPr>
          <w:rFonts w:eastAsia="MS Mincho"/>
        </w:rPr>
        <w:t>‟</w:t>
      </w:r>
      <w:r w:rsidRPr="003D733D">
        <w:t xml:space="preserve"> </w:t>
      </w:r>
      <w:r w:rsidRPr="003D733D">
        <w:rPr>
          <w:rFonts w:ascii="Sylfaen" w:hAnsi="Sylfaen" w:cs="Sylfaen"/>
        </w:rPr>
        <w:t>ნიადაგის</w:t>
      </w:r>
      <w:r w:rsidRPr="003D733D">
        <w:t xml:space="preserve"> </w:t>
      </w:r>
      <w:r w:rsidRPr="003D733D">
        <w:rPr>
          <w:rFonts w:ascii="Sylfaen" w:hAnsi="Sylfaen" w:cs="Sylfaen"/>
        </w:rPr>
        <w:t>დასაწყობების</w:t>
      </w:r>
      <w:r w:rsidRPr="003D733D">
        <w:t xml:space="preserve"> </w:t>
      </w:r>
      <w:r w:rsidRPr="003D733D">
        <w:rPr>
          <w:rFonts w:ascii="Sylfaen" w:hAnsi="Sylfaen" w:cs="Sylfaen"/>
        </w:rPr>
        <w:t>ადგილი</w:t>
      </w:r>
      <w:r w:rsidRPr="003D733D">
        <w:t xml:space="preserve"> </w:t>
      </w:r>
      <w:r w:rsidRPr="003D733D">
        <w:rPr>
          <w:rFonts w:ascii="Sylfaen" w:hAnsi="Sylfaen" w:cs="Sylfaen"/>
        </w:rPr>
        <w:t>გულდასმით</w:t>
      </w:r>
      <w:r w:rsidRPr="003D733D">
        <w:t xml:space="preserve"> </w:t>
      </w:r>
      <w:r w:rsidRPr="003D733D">
        <w:rPr>
          <w:rFonts w:ascii="Sylfaen" w:hAnsi="Sylfaen" w:cs="Sylfaen"/>
        </w:rPr>
        <w:t>უნდა</w:t>
      </w:r>
      <w:r w:rsidRPr="003D733D">
        <w:t xml:space="preserve"> </w:t>
      </w:r>
      <w:r w:rsidRPr="003D733D">
        <w:rPr>
          <w:rFonts w:ascii="Sylfaen" w:hAnsi="Sylfaen" w:cs="Sylfaen"/>
        </w:rPr>
        <w:t>შეირჩეს</w:t>
      </w:r>
      <w:r w:rsidRPr="003D733D">
        <w:t xml:space="preserve">. </w:t>
      </w:r>
      <w:r w:rsidRPr="003D733D">
        <w:rPr>
          <w:rFonts w:ascii="Sylfaen" w:hAnsi="Sylfaen" w:cs="Sylfaen"/>
        </w:rPr>
        <w:t>რეკომენდაციები</w:t>
      </w:r>
      <w:r w:rsidRPr="003D733D">
        <w:t xml:space="preserve"> </w:t>
      </w:r>
      <w:r w:rsidRPr="003D733D">
        <w:rPr>
          <w:rFonts w:ascii="Sylfaen" w:hAnsi="Sylfaen" w:cs="Sylfaen"/>
        </w:rPr>
        <w:t>მოცემულია</w:t>
      </w:r>
      <w:r w:rsidRPr="003D733D">
        <w:t xml:space="preserve"> </w:t>
      </w:r>
      <w:r w:rsidRPr="003D733D">
        <w:rPr>
          <w:rFonts w:ascii="Sylfaen" w:hAnsi="Sylfaen" w:cs="Sylfaen"/>
        </w:rPr>
        <w:t>ქვემოთ</w:t>
      </w:r>
      <w:r w:rsidRPr="003D733D">
        <w:t>:</w:t>
      </w:r>
    </w:p>
    <w:p w14:paraId="741C0153" w14:textId="77777777" w:rsidR="00A2588D" w:rsidRPr="003D733D" w:rsidRDefault="00A2588D" w:rsidP="00A2588D">
      <w:r w:rsidRPr="003D733D">
        <w:rPr>
          <w:rFonts w:ascii="Sylfaen" w:hAnsi="Sylfaen" w:cs="Sylfaen"/>
        </w:rPr>
        <w:t>უნდა</w:t>
      </w:r>
      <w:r w:rsidRPr="003D733D">
        <w:t xml:space="preserve"> </w:t>
      </w:r>
      <w:r w:rsidRPr="003D733D">
        <w:rPr>
          <w:rFonts w:ascii="Sylfaen" w:hAnsi="Sylfaen" w:cs="Sylfaen"/>
        </w:rPr>
        <w:t>მოიძებნოს</w:t>
      </w:r>
      <w:r w:rsidRPr="003D733D">
        <w:t xml:space="preserve"> </w:t>
      </w:r>
      <w:r w:rsidRPr="003D733D">
        <w:rPr>
          <w:rFonts w:ascii="Sylfaen" w:hAnsi="Sylfaen" w:cs="Sylfaen"/>
        </w:rPr>
        <w:t>სტაბილური</w:t>
      </w:r>
      <w:r w:rsidRPr="003D733D">
        <w:t xml:space="preserve"> </w:t>
      </w:r>
      <w:r w:rsidRPr="003D733D">
        <w:rPr>
          <w:rFonts w:ascii="Sylfaen" w:hAnsi="Sylfaen" w:cs="Sylfaen"/>
        </w:rPr>
        <w:t>ტერიტორია</w:t>
      </w:r>
      <w:r w:rsidRPr="003D733D">
        <w:t xml:space="preserve">, </w:t>
      </w:r>
      <w:r w:rsidRPr="003D733D">
        <w:rPr>
          <w:rFonts w:ascii="Sylfaen" w:hAnsi="Sylfaen" w:cs="Sylfaen"/>
        </w:rPr>
        <w:t>რომელიც</w:t>
      </w:r>
      <w:r w:rsidRPr="003D733D">
        <w:t xml:space="preserve"> </w:t>
      </w:r>
      <w:r w:rsidRPr="003D733D">
        <w:rPr>
          <w:rFonts w:ascii="Sylfaen" w:hAnsi="Sylfaen" w:cs="Sylfaen"/>
        </w:rPr>
        <w:t>წყალუხვობის</w:t>
      </w:r>
      <w:r w:rsidRPr="003D733D">
        <w:t xml:space="preserve"> </w:t>
      </w:r>
      <w:r w:rsidRPr="003D733D">
        <w:rPr>
          <w:rFonts w:ascii="Sylfaen" w:hAnsi="Sylfaen" w:cs="Sylfaen"/>
        </w:rPr>
        <w:t>დროს</w:t>
      </w:r>
      <w:r w:rsidRPr="003D733D">
        <w:t xml:space="preserve"> </w:t>
      </w:r>
      <w:r w:rsidRPr="003D733D">
        <w:rPr>
          <w:rFonts w:ascii="Sylfaen" w:hAnsi="Sylfaen" w:cs="Sylfaen"/>
        </w:rPr>
        <w:t>არ</w:t>
      </w:r>
      <w:r w:rsidRPr="003D733D">
        <w:t xml:space="preserve"> </w:t>
      </w:r>
      <w:r w:rsidRPr="003D733D">
        <w:rPr>
          <w:rFonts w:ascii="Sylfaen" w:hAnsi="Sylfaen" w:cs="Sylfaen"/>
        </w:rPr>
        <w:t>ხვდება</w:t>
      </w:r>
      <w:r w:rsidRPr="003D733D">
        <w:t xml:space="preserve"> </w:t>
      </w:r>
      <w:r w:rsidRPr="003D733D">
        <w:rPr>
          <w:rFonts w:ascii="Sylfaen" w:hAnsi="Sylfaen" w:cs="Sylfaen"/>
        </w:rPr>
        <w:t>მდინარის</w:t>
      </w:r>
      <w:r w:rsidRPr="003D733D">
        <w:t xml:space="preserve"> </w:t>
      </w:r>
      <w:r w:rsidRPr="003D733D">
        <w:rPr>
          <w:rFonts w:ascii="Sylfaen" w:hAnsi="Sylfaen" w:cs="Sylfaen"/>
        </w:rPr>
        <w:t>ზემოქმედების</w:t>
      </w:r>
      <w:r w:rsidRPr="003D733D">
        <w:t xml:space="preserve"> </w:t>
      </w:r>
      <w:r w:rsidRPr="003D733D">
        <w:rPr>
          <w:rFonts w:ascii="Sylfaen" w:hAnsi="Sylfaen" w:cs="Sylfaen"/>
        </w:rPr>
        <w:t>რისკის</w:t>
      </w:r>
      <w:r w:rsidRPr="003D733D">
        <w:t xml:space="preserve"> </w:t>
      </w:r>
      <w:r w:rsidRPr="003D733D">
        <w:rPr>
          <w:rFonts w:ascii="Sylfaen" w:hAnsi="Sylfaen" w:cs="Sylfaen"/>
        </w:rPr>
        <w:t>ქვეშ</w:t>
      </w:r>
      <w:r w:rsidRPr="003D733D">
        <w:t>;</w:t>
      </w:r>
    </w:p>
    <w:p w14:paraId="716BBC45" w14:textId="77777777" w:rsidR="00A2588D" w:rsidRPr="003D733D" w:rsidRDefault="00A2588D" w:rsidP="00A2588D">
      <w:r w:rsidRPr="003D733D">
        <w:rPr>
          <w:rFonts w:ascii="Sylfaen" w:hAnsi="Sylfaen" w:cs="Sylfaen"/>
        </w:rPr>
        <w:t>განთავსება</w:t>
      </w:r>
      <w:r w:rsidRPr="003D733D">
        <w:t xml:space="preserve"> </w:t>
      </w:r>
      <w:r w:rsidRPr="003D733D">
        <w:rPr>
          <w:rFonts w:ascii="Sylfaen" w:hAnsi="Sylfaen" w:cs="Sylfaen"/>
        </w:rPr>
        <w:t>არ</w:t>
      </w:r>
      <w:r w:rsidRPr="003D733D">
        <w:t xml:space="preserve"> </w:t>
      </w:r>
      <w:r w:rsidRPr="003D733D">
        <w:rPr>
          <w:rFonts w:ascii="Sylfaen" w:hAnsi="Sylfaen" w:cs="Sylfaen"/>
        </w:rPr>
        <w:t>უნდა</w:t>
      </w:r>
      <w:r w:rsidRPr="003D733D">
        <w:t xml:space="preserve"> </w:t>
      </w:r>
      <w:r w:rsidRPr="003D733D">
        <w:rPr>
          <w:rFonts w:ascii="Sylfaen" w:hAnsi="Sylfaen" w:cs="Sylfaen"/>
        </w:rPr>
        <w:t>მოხდეს</w:t>
      </w:r>
      <w:r w:rsidRPr="003D733D">
        <w:t xml:space="preserve"> </w:t>
      </w:r>
      <w:r w:rsidRPr="003D733D">
        <w:rPr>
          <w:rFonts w:ascii="Sylfaen" w:hAnsi="Sylfaen" w:cs="Sylfaen"/>
        </w:rPr>
        <w:t>ჭალის</w:t>
      </w:r>
      <w:r w:rsidRPr="003D733D">
        <w:t xml:space="preserve"> </w:t>
      </w:r>
      <w:r w:rsidRPr="003D733D">
        <w:rPr>
          <w:rFonts w:ascii="Sylfaen" w:hAnsi="Sylfaen" w:cs="Sylfaen"/>
        </w:rPr>
        <w:t>დერეფანში</w:t>
      </w:r>
      <w:r w:rsidRPr="003D733D">
        <w:t xml:space="preserve"> </w:t>
      </w:r>
      <w:r w:rsidRPr="003D733D">
        <w:rPr>
          <w:rFonts w:ascii="Sylfaen" w:hAnsi="Sylfaen" w:cs="Sylfaen"/>
        </w:rPr>
        <w:t>ან</w:t>
      </w:r>
      <w:r w:rsidRPr="003D733D">
        <w:t xml:space="preserve"> </w:t>
      </w:r>
      <w:r w:rsidRPr="003D733D">
        <w:rPr>
          <w:rFonts w:ascii="Sylfaen" w:hAnsi="Sylfaen" w:cs="Sylfaen"/>
        </w:rPr>
        <w:t>მდინარის</w:t>
      </w:r>
      <w:r w:rsidRPr="003D733D">
        <w:t xml:space="preserve"> 100-</w:t>
      </w:r>
      <w:r w:rsidRPr="003D733D">
        <w:rPr>
          <w:rFonts w:ascii="Sylfaen" w:hAnsi="Sylfaen" w:cs="Sylfaen"/>
        </w:rPr>
        <w:t>წლიან</w:t>
      </w:r>
      <w:r w:rsidRPr="003D733D">
        <w:t xml:space="preserve"> </w:t>
      </w:r>
      <w:r w:rsidRPr="003D733D">
        <w:rPr>
          <w:rFonts w:ascii="Sylfaen" w:hAnsi="Sylfaen" w:cs="Sylfaen"/>
        </w:rPr>
        <w:t>განმეორებადობის</w:t>
      </w:r>
      <w:r w:rsidRPr="003D733D">
        <w:t xml:space="preserve"> </w:t>
      </w:r>
      <w:r w:rsidRPr="003D733D">
        <w:rPr>
          <w:rFonts w:ascii="Sylfaen" w:hAnsi="Sylfaen" w:cs="Sylfaen"/>
        </w:rPr>
        <w:t>ხარჯის</w:t>
      </w:r>
      <w:r w:rsidRPr="003D733D">
        <w:t xml:space="preserve"> </w:t>
      </w:r>
      <w:r w:rsidRPr="003D733D">
        <w:rPr>
          <w:rFonts w:ascii="Sylfaen" w:hAnsi="Sylfaen" w:cs="Sylfaen"/>
        </w:rPr>
        <w:t>კალაპოტის</w:t>
      </w:r>
      <w:r w:rsidRPr="003D733D">
        <w:t xml:space="preserve"> </w:t>
      </w:r>
      <w:r w:rsidRPr="003D733D">
        <w:rPr>
          <w:rFonts w:ascii="Sylfaen" w:hAnsi="Sylfaen" w:cs="Sylfaen"/>
        </w:rPr>
        <w:t>ფარგლებში</w:t>
      </w:r>
      <w:r w:rsidRPr="003D733D">
        <w:t>;</w:t>
      </w:r>
    </w:p>
    <w:p w14:paraId="4D228B4B" w14:textId="77777777" w:rsidR="00A2588D" w:rsidRPr="003D733D" w:rsidRDefault="00A2588D" w:rsidP="00A2588D">
      <w:r w:rsidRPr="003D733D">
        <w:rPr>
          <w:rFonts w:ascii="Sylfaen" w:hAnsi="Sylfaen" w:cs="Sylfaen"/>
        </w:rPr>
        <w:t>განთავსება</w:t>
      </w:r>
      <w:r w:rsidRPr="003D733D">
        <w:t xml:space="preserve"> </w:t>
      </w:r>
      <w:r w:rsidRPr="003D733D">
        <w:rPr>
          <w:rFonts w:ascii="Sylfaen" w:hAnsi="Sylfaen" w:cs="Sylfaen"/>
        </w:rPr>
        <w:t>არ</w:t>
      </w:r>
      <w:r w:rsidRPr="003D733D">
        <w:t xml:space="preserve"> </w:t>
      </w:r>
      <w:r w:rsidRPr="003D733D">
        <w:rPr>
          <w:rFonts w:ascii="Sylfaen" w:hAnsi="Sylfaen" w:cs="Sylfaen"/>
        </w:rPr>
        <w:t>უნდა</w:t>
      </w:r>
      <w:r w:rsidRPr="003D733D">
        <w:t xml:space="preserve"> </w:t>
      </w:r>
      <w:r w:rsidRPr="003D733D">
        <w:rPr>
          <w:rFonts w:ascii="Sylfaen" w:hAnsi="Sylfaen" w:cs="Sylfaen"/>
        </w:rPr>
        <w:t>მოხდეს</w:t>
      </w:r>
      <w:r w:rsidRPr="003D733D">
        <w:t xml:space="preserve"> </w:t>
      </w:r>
      <w:r w:rsidRPr="003D733D">
        <w:rPr>
          <w:rFonts w:ascii="Sylfaen" w:hAnsi="Sylfaen" w:cs="Sylfaen"/>
        </w:rPr>
        <w:t>ჭარბტენიან</w:t>
      </w:r>
      <w:r w:rsidRPr="003D733D">
        <w:t>/</w:t>
      </w:r>
      <w:r w:rsidRPr="003D733D">
        <w:rPr>
          <w:rFonts w:ascii="Sylfaen" w:hAnsi="Sylfaen" w:cs="Sylfaen"/>
        </w:rPr>
        <w:t>ჭაობიან</w:t>
      </w:r>
      <w:r w:rsidRPr="003D733D">
        <w:t xml:space="preserve"> </w:t>
      </w:r>
      <w:r w:rsidRPr="003D733D">
        <w:rPr>
          <w:rFonts w:ascii="Sylfaen" w:hAnsi="Sylfaen" w:cs="Sylfaen"/>
        </w:rPr>
        <w:t>ტერიტორიაზე</w:t>
      </w:r>
      <w:r w:rsidRPr="003D733D">
        <w:t xml:space="preserve">; </w:t>
      </w:r>
    </w:p>
    <w:p w14:paraId="41468933" w14:textId="77777777" w:rsidR="00A2588D" w:rsidRPr="003D733D" w:rsidRDefault="00A2588D" w:rsidP="00A2588D">
      <w:r w:rsidRPr="003D733D">
        <w:rPr>
          <w:rFonts w:ascii="Sylfaen" w:hAnsi="Sylfaen" w:cs="Sylfaen"/>
        </w:rPr>
        <w:t>განთავსება</w:t>
      </w:r>
      <w:r w:rsidRPr="003D733D">
        <w:t xml:space="preserve"> </w:t>
      </w:r>
      <w:r w:rsidRPr="003D733D">
        <w:rPr>
          <w:rFonts w:ascii="Sylfaen" w:hAnsi="Sylfaen" w:cs="Sylfaen"/>
        </w:rPr>
        <w:t>არ</w:t>
      </w:r>
      <w:r w:rsidRPr="003D733D">
        <w:t xml:space="preserve"> </w:t>
      </w:r>
      <w:r w:rsidRPr="003D733D">
        <w:rPr>
          <w:rFonts w:ascii="Sylfaen" w:hAnsi="Sylfaen" w:cs="Sylfaen"/>
        </w:rPr>
        <w:t>უნდა</w:t>
      </w:r>
      <w:r w:rsidRPr="003D733D">
        <w:t xml:space="preserve"> </w:t>
      </w:r>
      <w:r w:rsidRPr="003D733D">
        <w:rPr>
          <w:rFonts w:ascii="Sylfaen" w:hAnsi="Sylfaen" w:cs="Sylfaen"/>
        </w:rPr>
        <w:t>მოხდეს</w:t>
      </w:r>
      <w:r w:rsidRPr="003D733D">
        <w:t xml:space="preserve"> </w:t>
      </w:r>
      <w:r w:rsidRPr="003D733D">
        <w:rPr>
          <w:rFonts w:ascii="Sylfaen" w:hAnsi="Sylfaen" w:cs="Sylfaen"/>
        </w:rPr>
        <w:t>არასტაბილურ</w:t>
      </w:r>
      <w:r w:rsidRPr="003D733D">
        <w:t xml:space="preserve"> </w:t>
      </w:r>
      <w:r w:rsidRPr="003D733D">
        <w:rPr>
          <w:rFonts w:ascii="Sylfaen" w:hAnsi="Sylfaen" w:cs="Sylfaen"/>
        </w:rPr>
        <w:t>ფერდობებზე</w:t>
      </w:r>
      <w:r w:rsidRPr="003D733D">
        <w:t xml:space="preserve">, </w:t>
      </w:r>
      <w:r w:rsidRPr="003D733D">
        <w:rPr>
          <w:rFonts w:ascii="Sylfaen" w:hAnsi="Sylfaen" w:cs="Sylfaen"/>
        </w:rPr>
        <w:t>სადაც</w:t>
      </w:r>
    </w:p>
    <w:p w14:paraId="4A0A31E8" w14:textId="77777777" w:rsidR="00A2588D" w:rsidRPr="003D733D" w:rsidRDefault="00A2588D" w:rsidP="00A2588D">
      <w:r w:rsidRPr="003D733D">
        <w:rPr>
          <w:rFonts w:ascii="Sylfaen" w:hAnsi="Sylfaen" w:cs="Sylfaen"/>
        </w:rPr>
        <w:t>დამატებითმა</w:t>
      </w:r>
      <w:r w:rsidRPr="003D733D">
        <w:t xml:space="preserve"> </w:t>
      </w:r>
      <w:r w:rsidRPr="003D733D">
        <w:rPr>
          <w:rFonts w:ascii="Sylfaen" w:hAnsi="Sylfaen" w:cs="Sylfaen"/>
        </w:rPr>
        <w:t>დატვირთვამ</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მიწის</w:t>
      </w:r>
      <w:r w:rsidRPr="003D733D">
        <w:t xml:space="preserve"> </w:t>
      </w:r>
      <w:r w:rsidRPr="003D733D">
        <w:rPr>
          <w:rFonts w:ascii="Sylfaen" w:hAnsi="Sylfaen" w:cs="Sylfaen"/>
        </w:rPr>
        <w:t>ჩამოშლა</w:t>
      </w:r>
      <w:r w:rsidRPr="003D733D">
        <w:t xml:space="preserve"> </w:t>
      </w:r>
      <w:r w:rsidRPr="003D733D">
        <w:rPr>
          <w:rFonts w:ascii="Sylfaen" w:hAnsi="Sylfaen" w:cs="Sylfaen"/>
        </w:rPr>
        <w:t>გამოიწვიოს</w:t>
      </w:r>
      <w:r w:rsidRPr="003D733D">
        <w:t xml:space="preserve">. </w:t>
      </w:r>
      <w:r w:rsidRPr="003D733D">
        <w:rPr>
          <w:rFonts w:ascii="Sylfaen" w:hAnsi="Sylfaen" w:cs="Sylfaen"/>
        </w:rPr>
        <w:t>თიხოვანი</w:t>
      </w:r>
      <w:r w:rsidRPr="003D733D">
        <w:t xml:space="preserve"> </w:t>
      </w:r>
      <w:r w:rsidRPr="003D733D">
        <w:rPr>
          <w:rFonts w:ascii="Sylfaen" w:hAnsi="Sylfaen" w:cs="Sylfaen"/>
        </w:rPr>
        <w:t>ან</w:t>
      </w:r>
      <w:r w:rsidRPr="003D733D">
        <w:t xml:space="preserve"> </w:t>
      </w:r>
      <w:r w:rsidRPr="003D733D">
        <w:rPr>
          <w:rFonts w:ascii="Sylfaen" w:hAnsi="Sylfaen" w:cs="Sylfaen"/>
        </w:rPr>
        <w:t>ლამიანი</w:t>
      </w:r>
      <w:r w:rsidRPr="003D733D">
        <w:t xml:space="preserve"> </w:t>
      </w:r>
      <w:r w:rsidRPr="003D733D">
        <w:rPr>
          <w:rFonts w:ascii="Sylfaen" w:hAnsi="Sylfaen" w:cs="Sylfaen"/>
        </w:rPr>
        <w:t>ნიადაგის</w:t>
      </w:r>
      <w:r w:rsidRPr="003D733D">
        <w:t xml:space="preserve"> </w:t>
      </w:r>
      <w:r w:rsidRPr="003D733D">
        <w:rPr>
          <w:rFonts w:ascii="Sylfaen" w:hAnsi="Sylfaen" w:cs="Sylfaen"/>
        </w:rPr>
        <w:t>ჭარბმა</w:t>
      </w:r>
      <w:r w:rsidRPr="003D733D">
        <w:t xml:space="preserve"> </w:t>
      </w:r>
      <w:r w:rsidRPr="003D733D">
        <w:rPr>
          <w:rFonts w:ascii="Sylfaen" w:hAnsi="Sylfaen" w:cs="Sylfaen"/>
        </w:rPr>
        <w:t>რაოდენობამ</w:t>
      </w:r>
      <w:r w:rsidRPr="003D733D">
        <w:t xml:space="preserve"> </w:t>
      </w:r>
      <w:r w:rsidRPr="003D733D">
        <w:rPr>
          <w:rFonts w:ascii="Sylfaen" w:hAnsi="Sylfaen" w:cs="Sylfaen"/>
        </w:rPr>
        <w:t>ასევე</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გამოიწვიოს</w:t>
      </w:r>
      <w:r w:rsidRPr="003D733D">
        <w:t xml:space="preserve"> </w:t>
      </w:r>
      <w:r w:rsidRPr="003D733D">
        <w:rPr>
          <w:rFonts w:ascii="Sylfaen" w:hAnsi="Sylfaen" w:cs="Sylfaen"/>
        </w:rPr>
        <w:t>ჩამოშლა</w:t>
      </w:r>
      <w:r w:rsidRPr="003D733D">
        <w:t>;</w:t>
      </w:r>
    </w:p>
    <w:p w14:paraId="04297CF5" w14:textId="77777777" w:rsidR="00A2588D" w:rsidRPr="003D733D" w:rsidRDefault="00A2588D" w:rsidP="00A2588D">
      <w:r w:rsidRPr="003D733D">
        <w:rPr>
          <w:rFonts w:ascii="Sylfaen" w:hAnsi="Sylfaen" w:cs="Sylfaen"/>
        </w:rPr>
        <w:t>გამოყენებული</w:t>
      </w:r>
      <w:r w:rsidRPr="003D733D">
        <w:t xml:space="preserve"> </w:t>
      </w:r>
      <w:r w:rsidRPr="003D733D">
        <w:rPr>
          <w:rFonts w:ascii="Sylfaen" w:hAnsi="Sylfaen" w:cs="Sylfaen"/>
        </w:rPr>
        <w:t>უნდა</w:t>
      </w:r>
      <w:r w:rsidRPr="003D733D">
        <w:t xml:space="preserve"> </w:t>
      </w:r>
      <w:r w:rsidRPr="003D733D">
        <w:rPr>
          <w:rFonts w:ascii="Sylfaen" w:hAnsi="Sylfaen" w:cs="Sylfaen"/>
        </w:rPr>
        <w:t>იყოს</w:t>
      </w:r>
      <w:r w:rsidRPr="003D733D">
        <w:t xml:space="preserve"> </w:t>
      </w:r>
      <w:r w:rsidRPr="003D733D">
        <w:rPr>
          <w:rFonts w:ascii="Sylfaen" w:hAnsi="Sylfaen" w:cs="Sylfaen"/>
        </w:rPr>
        <w:t>ფართე</w:t>
      </w:r>
      <w:r w:rsidRPr="003D733D">
        <w:t xml:space="preserve">, </w:t>
      </w:r>
      <w:r w:rsidRPr="003D733D">
        <w:rPr>
          <w:rFonts w:ascii="Sylfaen" w:hAnsi="Sylfaen" w:cs="Sylfaen"/>
        </w:rPr>
        <w:t>სტაბილური</w:t>
      </w:r>
      <w:r w:rsidRPr="003D733D">
        <w:t xml:space="preserve"> </w:t>
      </w:r>
      <w:r w:rsidRPr="003D733D">
        <w:rPr>
          <w:rFonts w:ascii="Sylfaen" w:hAnsi="Sylfaen" w:cs="Sylfaen"/>
        </w:rPr>
        <w:t>ტერიტორიები</w:t>
      </w:r>
      <w:r w:rsidRPr="003D733D">
        <w:t xml:space="preserve"> (</w:t>
      </w:r>
      <w:r w:rsidRPr="003D733D">
        <w:rPr>
          <w:rFonts w:ascii="Sylfaen" w:hAnsi="Sylfaen" w:cs="Sylfaen"/>
        </w:rPr>
        <w:t>მაგ</w:t>
      </w:r>
      <w:r w:rsidRPr="003D733D">
        <w:t xml:space="preserve">. </w:t>
      </w:r>
      <w:r w:rsidRPr="003D733D">
        <w:rPr>
          <w:rFonts w:ascii="Sylfaen" w:hAnsi="Sylfaen" w:cs="Sylfaen"/>
        </w:rPr>
        <w:t>ქვის</w:t>
      </w:r>
      <w:r w:rsidRPr="003D733D">
        <w:t xml:space="preserve"> </w:t>
      </w:r>
      <w:r w:rsidRPr="003D733D">
        <w:rPr>
          <w:rFonts w:ascii="Sylfaen" w:hAnsi="Sylfaen" w:cs="Sylfaen"/>
        </w:rPr>
        <w:t>კარიერები</w:t>
      </w:r>
      <w:r w:rsidRPr="003D733D">
        <w:t xml:space="preserve">, </w:t>
      </w:r>
      <w:r w:rsidRPr="003D733D">
        <w:rPr>
          <w:rFonts w:ascii="Sylfaen" w:hAnsi="Sylfaen" w:cs="Sylfaen"/>
        </w:rPr>
        <w:t>ტერასები</w:t>
      </w:r>
      <w:r w:rsidRPr="003D733D">
        <w:t>);</w:t>
      </w:r>
    </w:p>
    <w:p w14:paraId="46AB7727" w14:textId="77777777" w:rsidR="00A2588D" w:rsidRPr="003D733D" w:rsidRDefault="00A2588D" w:rsidP="00A2588D">
      <w:r w:rsidRPr="003D733D">
        <w:rPr>
          <w:rFonts w:ascii="Sylfaen" w:hAnsi="Sylfaen" w:cs="Sylfaen"/>
        </w:rPr>
        <w:t>განთავსება</w:t>
      </w:r>
      <w:r w:rsidRPr="003D733D">
        <w:t xml:space="preserve"> </w:t>
      </w:r>
      <w:r w:rsidRPr="003D733D">
        <w:rPr>
          <w:rFonts w:ascii="Sylfaen" w:hAnsi="Sylfaen" w:cs="Sylfaen"/>
        </w:rPr>
        <w:t>არ</w:t>
      </w:r>
      <w:r w:rsidRPr="003D733D">
        <w:t xml:space="preserve"> </w:t>
      </w:r>
      <w:r w:rsidRPr="003D733D">
        <w:rPr>
          <w:rFonts w:ascii="Sylfaen" w:hAnsi="Sylfaen" w:cs="Sylfaen"/>
        </w:rPr>
        <w:t>უნდა</w:t>
      </w:r>
      <w:r w:rsidRPr="003D733D">
        <w:t xml:space="preserve"> </w:t>
      </w:r>
      <w:r w:rsidRPr="003D733D">
        <w:rPr>
          <w:rFonts w:ascii="Sylfaen" w:hAnsi="Sylfaen" w:cs="Sylfaen"/>
        </w:rPr>
        <w:t>მოხდეს</w:t>
      </w:r>
      <w:r w:rsidRPr="003D733D">
        <w:t xml:space="preserve"> </w:t>
      </w:r>
      <w:r w:rsidRPr="003D733D">
        <w:rPr>
          <w:rFonts w:ascii="Sylfaen" w:hAnsi="Sylfaen" w:cs="Sylfaen"/>
        </w:rPr>
        <w:t>გრუნტის</w:t>
      </w:r>
      <w:r w:rsidRPr="003D733D">
        <w:t xml:space="preserve"> </w:t>
      </w:r>
      <w:r w:rsidRPr="003D733D">
        <w:rPr>
          <w:rFonts w:ascii="Sylfaen" w:hAnsi="Sylfaen" w:cs="Sylfaen"/>
        </w:rPr>
        <w:t>წყლის</w:t>
      </w:r>
      <w:r w:rsidRPr="003D733D">
        <w:t xml:space="preserve"> </w:t>
      </w:r>
      <w:r w:rsidRPr="003D733D">
        <w:rPr>
          <w:rFonts w:ascii="Sylfaen" w:hAnsi="Sylfaen" w:cs="Sylfaen"/>
        </w:rPr>
        <w:t>გამოსავლების</w:t>
      </w:r>
      <w:r w:rsidRPr="003D733D">
        <w:t xml:space="preserve"> </w:t>
      </w:r>
      <w:r w:rsidRPr="003D733D">
        <w:rPr>
          <w:rFonts w:ascii="Sylfaen" w:hAnsi="Sylfaen" w:cs="Sylfaen"/>
        </w:rPr>
        <w:t>ან</w:t>
      </w:r>
      <w:r w:rsidRPr="003D733D">
        <w:t xml:space="preserve"> </w:t>
      </w:r>
      <w:r w:rsidRPr="003D733D">
        <w:rPr>
          <w:rFonts w:ascii="Sylfaen" w:hAnsi="Sylfaen" w:cs="Sylfaen"/>
        </w:rPr>
        <w:t>სქელი</w:t>
      </w:r>
      <w:r w:rsidRPr="003D733D">
        <w:t xml:space="preserve"> </w:t>
      </w:r>
      <w:r w:rsidRPr="003D733D">
        <w:rPr>
          <w:rFonts w:ascii="Sylfaen" w:hAnsi="Sylfaen" w:cs="Sylfaen"/>
        </w:rPr>
        <w:t>ორგანული</w:t>
      </w:r>
      <w:r w:rsidRPr="003D733D">
        <w:t xml:space="preserve"> </w:t>
      </w:r>
      <w:r w:rsidRPr="003D733D">
        <w:rPr>
          <w:rFonts w:ascii="Sylfaen" w:hAnsi="Sylfaen" w:cs="Sylfaen"/>
        </w:rPr>
        <w:t>შრის</w:t>
      </w:r>
      <w:r w:rsidRPr="003D733D">
        <w:t xml:space="preserve"> </w:t>
      </w:r>
      <w:r w:rsidRPr="003D733D">
        <w:rPr>
          <w:rFonts w:ascii="Sylfaen" w:hAnsi="Sylfaen" w:cs="Sylfaen"/>
        </w:rPr>
        <w:t>მქონე</w:t>
      </w:r>
      <w:r w:rsidRPr="003D733D">
        <w:t xml:space="preserve"> </w:t>
      </w:r>
      <w:r w:rsidRPr="003D733D">
        <w:rPr>
          <w:rFonts w:ascii="Sylfaen" w:hAnsi="Sylfaen" w:cs="Sylfaen"/>
        </w:rPr>
        <w:t>ტერიტორიებზე</w:t>
      </w:r>
      <w:r w:rsidRPr="003D733D">
        <w:t>;</w:t>
      </w:r>
    </w:p>
    <w:p w14:paraId="3B06FD31" w14:textId="77777777" w:rsidR="00A2588D" w:rsidRPr="003D733D" w:rsidRDefault="00A2588D" w:rsidP="00A2588D">
      <w:r w:rsidRPr="003D733D">
        <w:rPr>
          <w:rFonts w:ascii="Sylfaen" w:hAnsi="Sylfaen" w:cs="Sylfaen"/>
        </w:rPr>
        <w:t>განთავსება</w:t>
      </w:r>
      <w:r w:rsidRPr="003D733D">
        <w:t xml:space="preserve"> </w:t>
      </w:r>
      <w:r w:rsidRPr="003D733D">
        <w:rPr>
          <w:rFonts w:ascii="Sylfaen" w:hAnsi="Sylfaen" w:cs="Sylfaen"/>
        </w:rPr>
        <w:t>არ</w:t>
      </w:r>
      <w:r w:rsidRPr="003D733D">
        <w:t xml:space="preserve"> </w:t>
      </w:r>
      <w:r w:rsidRPr="003D733D">
        <w:rPr>
          <w:rFonts w:ascii="Sylfaen" w:hAnsi="Sylfaen" w:cs="Sylfaen"/>
        </w:rPr>
        <w:t>უნდა</w:t>
      </w:r>
      <w:r w:rsidRPr="003D733D">
        <w:t xml:space="preserve"> </w:t>
      </w:r>
      <w:r w:rsidRPr="003D733D">
        <w:rPr>
          <w:rFonts w:ascii="Sylfaen" w:hAnsi="Sylfaen" w:cs="Sylfaen"/>
        </w:rPr>
        <w:t>მოხდეს</w:t>
      </w:r>
      <w:r w:rsidRPr="003D733D">
        <w:t xml:space="preserve"> </w:t>
      </w:r>
      <w:r w:rsidRPr="003D733D">
        <w:rPr>
          <w:rFonts w:ascii="Sylfaen" w:hAnsi="Sylfaen" w:cs="Sylfaen"/>
        </w:rPr>
        <w:t>არქეოლოგიური</w:t>
      </w:r>
      <w:r w:rsidRPr="003D733D">
        <w:t xml:space="preserve"> </w:t>
      </w:r>
      <w:r w:rsidRPr="003D733D">
        <w:rPr>
          <w:rFonts w:ascii="Sylfaen" w:hAnsi="Sylfaen" w:cs="Sylfaen"/>
        </w:rPr>
        <w:t>მნიშვნელოვნების</w:t>
      </w:r>
      <w:r w:rsidRPr="003D733D">
        <w:t xml:space="preserve"> </w:t>
      </w:r>
      <w:r w:rsidRPr="003D733D">
        <w:rPr>
          <w:rFonts w:ascii="Sylfaen" w:hAnsi="Sylfaen" w:cs="Sylfaen"/>
        </w:rPr>
        <w:t>მქონე</w:t>
      </w:r>
      <w:r w:rsidRPr="003D733D">
        <w:t xml:space="preserve"> </w:t>
      </w:r>
      <w:r w:rsidRPr="003D733D">
        <w:rPr>
          <w:rFonts w:ascii="Sylfaen" w:hAnsi="Sylfaen" w:cs="Sylfaen"/>
        </w:rPr>
        <w:t>და</w:t>
      </w:r>
      <w:r w:rsidRPr="003D733D">
        <w:t xml:space="preserve"> </w:t>
      </w:r>
      <w:r w:rsidRPr="003D733D">
        <w:rPr>
          <w:rFonts w:ascii="Sylfaen" w:hAnsi="Sylfaen" w:cs="Sylfaen"/>
        </w:rPr>
        <w:t>დაცული</w:t>
      </w:r>
      <w:r w:rsidRPr="003D733D">
        <w:t>/</w:t>
      </w:r>
      <w:r w:rsidRPr="003D733D">
        <w:rPr>
          <w:rFonts w:ascii="Sylfaen" w:hAnsi="Sylfaen" w:cs="Sylfaen"/>
        </w:rPr>
        <w:t>გადაშენების</w:t>
      </w:r>
      <w:r w:rsidRPr="003D733D">
        <w:t xml:space="preserve"> </w:t>
      </w:r>
      <w:r w:rsidRPr="003D733D">
        <w:rPr>
          <w:rFonts w:ascii="Sylfaen" w:hAnsi="Sylfaen" w:cs="Sylfaen"/>
        </w:rPr>
        <w:t>პირას</w:t>
      </w:r>
      <w:r w:rsidRPr="003D733D">
        <w:t xml:space="preserve"> </w:t>
      </w:r>
      <w:r w:rsidRPr="003D733D">
        <w:rPr>
          <w:rFonts w:ascii="Sylfaen" w:hAnsi="Sylfaen" w:cs="Sylfaen"/>
        </w:rPr>
        <w:t>მყოფი</w:t>
      </w:r>
      <w:r w:rsidRPr="003D733D">
        <w:t xml:space="preserve"> </w:t>
      </w:r>
      <w:r w:rsidRPr="003D733D">
        <w:rPr>
          <w:rFonts w:ascii="Sylfaen" w:hAnsi="Sylfaen" w:cs="Sylfaen"/>
        </w:rPr>
        <w:t>მცენარეული</w:t>
      </w:r>
      <w:r w:rsidRPr="003D733D">
        <w:t xml:space="preserve"> </w:t>
      </w:r>
      <w:r w:rsidRPr="003D733D">
        <w:rPr>
          <w:rFonts w:ascii="Sylfaen" w:hAnsi="Sylfaen" w:cs="Sylfaen"/>
        </w:rPr>
        <w:t>საფარის</w:t>
      </w:r>
      <w:r w:rsidRPr="003D733D">
        <w:t xml:space="preserve"> </w:t>
      </w:r>
      <w:r w:rsidRPr="003D733D">
        <w:rPr>
          <w:rFonts w:ascii="Sylfaen" w:hAnsi="Sylfaen" w:cs="Sylfaen"/>
        </w:rPr>
        <w:t>მქონე</w:t>
      </w:r>
      <w:r w:rsidRPr="003D733D">
        <w:t xml:space="preserve"> </w:t>
      </w:r>
      <w:r w:rsidRPr="003D733D">
        <w:rPr>
          <w:rFonts w:ascii="Sylfaen" w:hAnsi="Sylfaen" w:cs="Sylfaen"/>
        </w:rPr>
        <w:t>ტერიტორიებზე</w:t>
      </w:r>
      <w:r w:rsidRPr="003D733D">
        <w:t>;</w:t>
      </w:r>
    </w:p>
    <w:p w14:paraId="162C1B78" w14:textId="77777777" w:rsidR="00A2588D" w:rsidRPr="003D733D" w:rsidRDefault="00A2588D" w:rsidP="00A2588D">
      <w:r w:rsidRPr="003D733D">
        <w:rPr>
          <w:rFonts w:ascii="Sylfaen" w:hAnsi="Sylfaen" w:cs="Sylfaen"/>
        </w:rPr>
        <w:t>ადგილის</w:t>
      </w:r>
      <w:r w:rsidRPr="003D733D">
        <w:t xml:space="preserve"> </w:t>
      </w:r>
      <w:r w:rsidRPr="003D733D">
        <w:rPr>
          <w:rFonts w:ascii="Sylfaen" w:hAnsi="Sylfaen" w:cs="Sylfaen"/>
        </w:rPr>
        <w:t>შერჩევამდე</w:t>
      </w:r>
      <w:r w:rsidRPr="003D733D">
        <w:t xml:space="preserve"> </w:t>
      </w:r>
      <w:r w:rsidRPr="003D733D">
        <w:rPr>
          <w:rFonts w:ascii="Sylfaen" w:hAnsi="Sylfaen" w:cs="Sylfaen"/>
        </w:rPr>
        <w:t>საჭიროა</w:t>
      </w:r>
      <w:r w:rsidRPr="003D733D">
        <w:t xml:space="preserve"> </w:t>
      </w:r>
      <w:r w:rsidRPr="003D733D">
        <w:rPr>
          <w:rFonts w:ascii="Sylfaen" w:hAnsi="Sylfaen" w:cs="Sylfaen"/>
        </w:rPr>
        <w:t>კონსულტაციის</w:t>
      </w:r>
      <w:r w:rsidRPr="003D733D">
        <w:t xml:space="preserve"> </w:t>
      </w:r>
      <w:r w:rsidRPr="003D733D">
        <w:rPr>
          <w:rFonts w:ascii="Sylfaen" w:hAnsi="Sylfaen" w:cs="Sylfaen"/>
        </w:rPr>
        <w:t>გავლა</w:t>
      </w:r>
      <w:r w:rsidRPr="003D733D">
        <w:t xml:space="preserve"> </w:t>
      </w:r>
      <w:r w:rsidRPr="003D733D">
        <w:rPr>
          <w:rFonts w:ascii="Sylfaen" w:hAnsi="Sylfaen" w:cs="Sylfaen"/>
        </w:rPr>
        <w:t>ბიოლოგთან</w:t>
      </w:r>
      <w:r w:rsidRPr="003D733D">
        <w:t xml:space="preserve"> </w:t>
      </w:r>
      <w:r w:rsidRPr="003D733D">
        <w:rPr>
          <w:rFonts w:ascii="Sylfaen" w:hAnsi="Sylfaen" w:cs="Sylfaen"/>
        </w:rPr>
        <w:t>და</w:t>
      </w:r>
      <w:r w:rsidRPr="003D733D">
        <w:t xml:space="preserve"> </w:t>
      </w:r>
      <w:r w:rsidRPr="003D733D">
        <w:rPr>
          <w:rFonts w:ascii="Sylfaen" w:hAnsi="Sylfaen" w:cs="Sylfaen"/>
        </w:rPr>
        <w:t>არქეოლოგთან</w:t>
      </w:r>
      <w:r w:rsidRPr="003D733D">
        <w:t>.</w:t>
      </w:r>
    </w:p>
    <w:p w14:paraId="352675D4" w14:textId="77777777" w:rsidR="00A2588D" w:rsidRPr="003D733D" w:rsidRDefault="00A2588D" w:rsidP="00A2588D"/>
    <w:p w14:paraId="1F831870" w14:textId="77777777" w:rsidR="00A2588D" w:rsidRDefault="00A2588D" w:rsidP="00A2588D"/>
    <w:p w14:paraId="034D530A" w14:textId="77777777" w:rsidR="00A2588D" w:rsidRDefault="00A2588D" w:rsidP="00A2588D"/>
    <w:p w14:paraId="48774BA6" w14:textId="77777777" w:rsidR="00A2588D" w:rsidRDefault="00A2588D" w:rsidP="00A2588D"/>
    <w:p w14:paraId="239DEECF" w14:textId="77777777" w:rsidR="00A2588D" w:rsidRDefault="00A2588D" w:rsidP="00A2588D"/>
    <w:p w14:paraId="7CDF3AF6" w14:textId="77777777" w:rsidR="00A2588D" w:rsidRDefault="00A2588D" w:rsidP="00A2588D"/>
    <w:p w14:paraId="1AE5DF50" w14:textId="77777777" w:rsidR="00A2588D" w:rsidRPr="003D733D" w:rsidRDefault="00A2588D" w:rsidP="00A2588D"/>
    <w:p w14:paraId="7FB4C1EC" w14:textId="77777777" w:rsidR="00A2588D" w:rsidRPr="003D733D" w:rsidRDefault="00A2588D" w:rsidP="00A2588D">
      <w:pPr>
        <w:pStyle w:val="EIAH1"/>
        <w:numPr>
          <w:ilvl w:val="0"/>
          <w:numId w:val="0"/>
        </w:numPr>
        <w:ind w:left="720"/>
      </w:pPr>
      <w:bookmarkStart w:id="578" w:name="_Toc1581600"/>
      <w:r w:rsidRPr="003D733D">
        <w:lastRenderedPageBreak/>
        <w:t xml:space="preserve">დანართი 3 </w:t>
      </w:r>
      <w:bookmarkStart w:id="579" w:name="_Toc471745848"/>
      <w:bookmarkStart w:id="580" w:name="_Toc471745503"/>
      <w:r w:rsidRPr="003D733D">
        <w:t>ავარიულ სიტუაციებზე რეაგირების გეგმის მიზნები და ამოცანები</w:t>
      </w:r>
      <w:bookmarkEnd w:id="578"/>
    </w:p>
    <w:p w14:paraId="54806DF9" w14:textId="77777777" w:rsidR="00A2588D" w:rsidRPr="003D733D" w:rsidRDefault="00A2588D" w:rsidP="00A2588D">
      <w:pPr>
        <w:spacing w:before="120" w:after="120"/>
        <w:rPr>
          <w:lang w:val="ka-GE"/>
        </w:rPr>
      </w:pPr>
      <w:r w:rsidRPr="003D733D">
        <w:rPr>
          <w:rFonts w:ascii="Sylfaen" w:hAnsi="Sylfaen" w:cs="Sylfaen"/>
        </w:rPr>
        <w:t>ავარიულ</w:t>
      </w:r>
      <w:r w:rsidRPr="003D733D">
        <w:t xml:space="preserve"> </w:t>
      </w:r>
      <w:r w:rsidRPr="003D733D">
        <w:rPr>
          <w:rFonts w:ascii="Sylfaen" w:hAnsi="Sylfaen" w:cs="Sylfaen"/>
        </w:rPr>
        <w:t>სიტუაციებზე</w:t>
      </w:r>
      <w:r w:rsidRPr="003D733D">
        <w:t xml:space="preserve"> </w:t>
      </w:r>
      <w:r w:rsidRPr="003D733D">
        <w:rPr>
          <w:rFonts w:ascii="Sylfaen" w:hAnsi="Sylfaen" w:cs="Sylfaen"/>
        </w:rPr>
        <w:t>რეაგირების</w:t>
      </w:r>
      <w:r w:rsidRPr="003D733D">
        <w:t xml:space="preserve"> </w:t>
      </w:r>
      <w:r w:rsidRPr="003D733D">
        <w:rPr>
          <w:rFonts w:ascii="Sylfaen" w:hAnsi="Sylfaen" w:cs="Sylfaen"/>
        </w:rPr>
        <w:t>გეგმის</w:t>
      </w:r>
      <w:r w:rsidRPr="003D733D">
        <w:t xml:space="preserve"> </w:t>
      </w:r>
      <w:r w:rsidRPr="003D733D">
        <w:rPr>
          <w:rFonts w:ascii="Sylfaen" w:hAnsi="Sylfaen" w:cs="Sylfaen"/>
        </w:rPr>
        <w:t>მიზანია</w:t>
      </w:r>
      <w:r w:rsidRPr="003D733D">
        <w:t xml:space="preserve"> </w:t>
      </w:r>
      <w:r w:rsidRPr="003D733D">
        <w:rPr>
          <w:rFonts w:ascii="Sylfaen" w:hAnsi="Sylfaen" w:cs="Sylfaen"/>
        </w:rPr>
        <w:t>ჩამოაყალიბოს</w:t>
      </w:r>
      <w:r w:rsidRPr="003D733D">
        <w:t xml:space="preserve"> </w:t>
      </w:r>
      <w:r w:rsidRPr="003D733D">
        <w:rPr>
          <w:rFonts w:ascii="Sylfaen" w:hAnsi="Sylfaen" w:cs="Sylfaen"/>
        </w:rPr>
        <w:t>და</w:t>
      </w:r>
      <w:r w:rsidRPr="003D733D">
        <w:t xml:space="preserve"> </w:t>
      </w:r>
      <w:r w:rsidRPr="003D733D">
        <w:rPr>
          <w:rFonts w:ascii="Sylfaen" w:hAnsi="Sylfaen" w:cs="Sylfaen"/>
        </w:rPr>
        <w:t>განსაზღვროს</w:t>
      </w:r>
      <w:r w:rsidRPr="003D733D">
        <w:t xml:space="preserve"> </w:t>
      </w:r>
      <w:r w:rsidRPr="003D733D">
        <w:rPr>
          <w:rFonts w:ascii="Sylfaen" w:hAnsi="Sylfaen" w:cs="Sylfaen"/>
        </w:rPr>
        <w:t>სახელმძღვანელო</w:t>
      </w:r>
      <w:r w:rsidRPr="003D733D">
        <w:t xml:space="preserve"> </w:t>
      </w:r>
      <w:r w:rsidRPr="003D733D">
        <w:rPr>
          <w:rFonts w:ascii="Sylfaen" w:hAnsi="Sylfaen" w:cs="Sylfaen"/>
        </w:rPr>
        <w:t>მითითებები</w:t>
      </w:r>
      <w:r w:rsidRPr="003D733D">
        <w:t xml:space="preserve"> </w:t>
      </w:r>
      <w:r w:rsidRPr="003D733D">
        <w:rPr>
          <w:rFonts w:ascii="Sylfaen" w:hAnsi="Sylfaen" w:cs="Sylfaen"/>
        </w:rPr>
        <w:t>გზის</w:t>
      </w:r>
      <w:r w:rsidRPr="003D733D">
        <w:t xml:space="preserve"> </w:t>
      </w:r>
      <w:r w:rsidRPr="003D733D">
        <w:rPr>
          <w:rFonts w:ascii="Sylfaen" w:hAnsi="Sylfaen" w:cs="Sylfaen"/>
        </w:rPr>
        <w:t>მშენებლობისას</w:t>
      </w:r>
      <w:r w:rsidRPr="003D733D">
        <w:t xml:space="preserve"> </w:t>
      </w:r>
      <w:r w:rsidRPr="003D733D">
        <w:rPr>
          <w:rFonts w:ascii="Sylfaen" w:hAnsi="Sylfaen" w:cs="Sylfaen"/>
        </w:rPr>
        <w:t>დასაქმებული</w:t>
      </w:r>
      <w:r w:rsidRPr="003D733D">
        <w:t xml:space="preserve"> </w:t>
      </w:r>
      <w:r w:rsidRPr="003D733D">
        <w:rPr>
          <w:rFonts w:ascii="Sylfaen" w:hAnsi="Sylfaen" w:cs="Sylfaen"/>
        </w:rPr>
        <w:t>პერსონალისათვის</w:t>
      </w:r>
      <w:r w:rsidRPr="003D733D">
        <w:t xml:space="preserve">, </w:t>
      </w:r>
      <w:r w:rsidRPr="003D733D">
        <w:rPr>
          <w:rFonts w:ascii="Sylfaen" w:hAnsi="Sylfaen" w:cs="Sylfaen"/>
        </w:rPr>
        <w:t>რათა</w:t>
      </w:r>
      <w:r w:rsidRPr="003D733D">
        <w:t xml:space="preserve"> </w:t>
      </w:r>
      <w:r w:rsidRPr="003D733D">
        <w:rPr>
          <w:rFonts w:ascii="Sylfaen" w:hAnsi="Sylfaen" w:cs="Sylfaen"/>
        </w:rPr>
        <w:t>უზრუნველყოფილი</w:t>
      </w:r>
      <w:r w:rsidRPr="003D733D">
        <w:t xml:space="preserve"> </w:t>
      </w:r>
      <w:r w:rsidRPr="003D733D">
        <w:rPr>
          <w:rFonts w:ascii="Sylfaen" w:hAnsi="Sylfaen" w:cs="Sylfaen"/>
        </w:rPr>
        <w:t>იყოს</w:t>
      </w:r>
      <w:r w:rsidRPr="003D733D">
        <w:t xml:space="preserve"> </w:t>
      </w:r>
      <w:r w:rsidRPr="003D733D">
        <w:rPr>
          <w:rFonts w:ascii="Sylfaen" w:hAnsi="Sylfaen" w:cs="Sylfaen"/>
        </w:rPr>
        <w:t>ტექნოგენურ</w:t>
      </w:r>
      <w:r w:rsidRPr="003D733D">
        <w:t xml:space="preserve"> </w:t>
      </w:r>
      <w:r w:rsidRPr="003D733D">
        <w:rPr>
          <w:rFonts w:ascii="Sylfaen" w:hAnsi="Sylfaen" w:cs="Sylfaen"/>
        </w:rPr>
        <w:t>ავარიებზე</w:t>
      </w:r>
      <w:r w:rsidRPr="003D733D">
        <w:t xml:space="preserve"> </w:t>
      </w:r>
      <w:r w:rsidRPr="003D733D">
        <w:rPr>
          <w:rFonts w:ascii="Sylfaen" w:hAnsi="Sylfaen" w:cs="Sylfaen"/>
        </w:rPr>
        <w:t>და</w:t>
      </w:r>
      <w:r w:rsidRPr="003D733D">
        <w:t xml:space="preserve"> </w:t>
      </w:r>
      <w:r w:rsidRPr="003D733D">
        <w:rPr>
          <w:rFonts w:ascii="Sylfaen" w:hAnsi="Sylfaen" w:cs="Sylfaen"/>
        </w:rPr>
        <w:t>ინციდენტებზე</w:t>
      </w:r>
      <w:r w:rsidRPr="003D733D">
        <w:t xml:space="preserve"> </w:t>
      </w:r>
      <w:r w:rsidRPr="003D733D">
        <w:rPr>
          <w:rFonts w:ascii="Sylfaen" w:hAnsi="Sylfaen" w:cs="Sylfaen"/>
        </w:rPr>
        <w:t>პერსონალის</w:t>
      </w:r>
      <w:r w:rsidRPr="003D733D">
        <w:t xml:space="preserve"> </w:t>
      </w:r>
      <w:r w:rsidRPr="003D733D">
        <w:rPr>
          <w:rFonts w:ascii="Sylfaen" w:hAnsi="Sylfaen" w:cs="Sylfaen"/>
        </w:rPr>
        <w:t>ქმედებების</w:t>
      </w:r>
      <w:r w:rsidRPr="003D733D">
        <w:t xml:space="preserve"> </w:t>
      </w:r>
      <w:r w:rsidRPr="003D733D">
        <w:rPr>
          <w:rFonts w:ascii="Sylfaen" w:hAnsi="Sylfaen" w:cs="Sylfaen"/>
        </w:rPr>
        <w:t>რაციონალურად</w:t>
      </w:r>
      <w:r w:rsidRPr="003D733D">
        <w:t xml:space="preserve">, </w:t>
      </w:r>
      <w:r w:rsidRPr="003D733D">
        <w:rPr>
          <w:rFonts w:ascii="Sylfaen" w:hAnsi="Sylfaen" w:cs="Sylfaen"/>
        </w:rPr>
        <w:t>კოორდინირებულად</w:t>
      </w:r>
      <w:r w:rsidRPr="003D733D">
        <w:t xml:space="preserve"> </w:t>
      </w:r>
      <w:r w:rsidRPr="003D733D">
        <w:rPr>
          <w:rFonts w:ascii="Sylfaen" w:hAnsi="Sylfaen" w:cs="Sylfaen"/>
        </w:rPr>
        <w:t>და</w:t>
      </w:r>
      <w:r w:rsidRPr="003D733D">
        <w:t xml:space="preserve"> </w:t>
      </w:r>
      <w:r w:rsidRPr="003D733D">
        <w:rPr>
          <w:rFonts w:ascii="Sylfaen" w:hAnsi="Sylfaen" w:cs="Sylfaen"/>
        </w:rPr>
        <w:t>ეფექტურად</w:t>
      </w:r>
      <w:r w:rsidRPr="003D733D">
        <w:t xml:space="preserve"> </w:t>
      </w:r>
      <w:r w:rsidRPr="003D733D">
        <w:rPr>
          <w:rFonts w:ascii="Sylfaen" w:hAnsi="Sylfaen" w:cs="Sylfaen"/>
        </w:rPr>
        <w:t>წარმართვა</w:t>
      </w:r>
      <w:r w:rsidRPr="003D733D">
        <w:t xml:space="preserve">, </w:t>
      </w:r>
      <w:r w:rsidRPr="003D733D">
        <w:rPr>
          <w:rFonts w:ascii="Sylfaen" w:hAnsi="Sylfaen" w:cs="Sylfaen"/>
        </w:rPr>
        <w:t>პერსონალის</w:t>
      </w:r>
      <w:r w:rsidRPr="003D733D">
        <w:t xml:space="preserve">, </w:t>
      </w:r>
      <w:r w:rsidRPr="003D733D">
        <w:rPr>
          <w:rFonts w:ascii="Sylfaen" w:hAnsi="Sylfaen" w:cs="Sylfaen"/>
        </w:rPr>
        <w:t>მოსახლეობის</w:t>
      </w:r>
      <w:r w:rsidRPr="003D733D">
        <w:t xml:space="preserve"> </w:t>
      </w:r>
      <w:r w:rsidRPr="003D733D">
        <w:rPr>
          <w:rFonts w:ascii="Sylfaen" w:hAnsi="Sylfaen" w:cs="Sylfaen"/>
        </w:rPr>
        <w:t>და</w:t>
      </w:r>
      <w:r w:rsidRPr="003D733D">
        <w:t xml:space="preserve"> </w:t>
      </w:r>
      <w:r w:rsidRPr="003D733D">
        <w:rPr>
          <w:rFonts w:ascii="Sylfaen" w:hAnsi="Sylfaen" w:cs="Sylfaen"/>
        </w:rPr>
        <w:t>გარემოს</w:t>
      </w:r>
      <w:r w:rsidRPr="003D733D">
        <w:t xml:space="preserve"> </w:t>
      </w:r>
      <w:r w:rsidRPr="003D733D">
        <w:rPr>
          <w:rFonts w:ascii="Sylfaen" w:hAnsi="Sylfaen" w:cs="Sylfaen"/>
        </w:rPr>
        <w:t>უსაფრთხოების</w:t>
      </w:r>
      <w:r w:rsidRPr="003D733D">
        <w:t xml:space="preserve"> </w:t>
      </w:r>
      <w:r w:rsidRPr="003D733D">
        <w:rPr>
          <w:rFonts w:ascii="Sylfaen" w:hAnsi="Sylfaen" w:cs="Sylfaen"/>
        </w:rPr>
        <w:t>დაცვა</w:t>
      </w:r>
      <w:r w:rsidRPr="003D733D">
        <w:t>.</w:t>
      </w:r>
    </w:p>
    <w:p w14:paraId="5E07D162" w14:textId="77777777" w:rsidR="00A2588D" w:rsidRPr="003D733D" w:rsidRDefault="00A2588D" w:rsidP="00A2588D">
      <w:pPr>
        <w:spacing w:before="120" w:after="120"/>
      </w:pPr>
      <w:r w:rsidRPr="003D733D">
        <w:rPr>
          <w:rFonts w:ascii="Sylfaen" w:hAnsi="Sylfaen" w:cs="Sylfaen"/>
        </w:rPr>
        <w:t>ავარიულ</w:t>
      </w:r>
      <w:r w:rsidRPr="003D733D">
        <w:t xml:space="preserve"> </w:t>
      </w:r>
      <w:r w:rsidRPr="003D733D">
        <w:rPr>
          <w:rFonts w:ascii="Sylfaen" w:hAnsi="Sylfaen" w:cs="Sylfaen"/>
        </w:rPr>
        <w:t>სიტუაციებზე</w:t>
      </w:r>
      <w:r w:rsidRPr="003D733D">
        <w:t xml:space="preserve"> </w:t>
      </w:r>
      <w:r w:rsidRPr="003D733D">
        <w:rPr>
          <w:rFonts w:ascii="Sylfaen" w:hAnsi="Sylfaen" w:cs="Sylfaen"/>
        </w:rPr>
        <w:t>რეაგირების</w:t>
      </w:r>
      <w:r w:rsidRPr="003D733D">
        <w:t xml:space="preserve"> </w:t>
      </w:r>
      <w:r w:rsidRPr="003D733D">
        <w:rPr>
          <w:rFonts w:ascii="Sylfaen" w:hAnsi="Sylfaen" w:cs="Sylfaen"/>
        </w:rPr>
        <w:t>გეგმის</w:t>
      </w:r>
      <w:r w:rsidRPr="003D733D">
        <w:t xml:space="preserve"> </w:t>
      </w:r>
      <w:r w:rsidRPr="003D733D">
        <w:rPr>
          <w:rFonts w:ascii="Sylfaen" w:hAnsi="Sylfaen" w:cs="Sylfaen"/>
        </w:rPr>
        <w:t>ამოცანებია</w:t>
      </w:r>
      <w:r w:rsidRPr="003D733D">
        <w:t>:</w:t>
      </w:r>
    </w:p>
    <w:p w14:paraId="6CF873F7" w14:textId="77777777" w:rsidR="00A2588D" w:rsidRPr="003D733D" w:rsidRDefault="00A2588D" w:rsidP="00821E4D">
      <w:pPr>
        <w:pStyle w:val="ListParagraph"/>
        <w:numPr>
          <w:ilvl w:val="0"/>
          <w:numId w:val="42"/>
        </w:numPr>
        <w:spacing w:before="120"/>
      </w:pPr>
      <w:r w:rsidRPr="00631159">
        <w:rPr>
          <w:rFonts w:cs="Sylfaen"/>
        </w:rPr>
        <w:t>გზის</w:t>
      </w:r>
      <w:r w:rsidRPr="003D733D">
        <w:t xml:space="preserve"> </w:t>
      </w:r>
      <w:r w:rsidRPr="00631159">
        <w:rPr>
          <w:rFonts w:cs="Sylfaen"/>
        </w:rPr>
        <w:t>მშენებლობის</w:t>
      </w:r>
      <w:r w:rsidRPr="003D733D">
        <w:t xml:space="preserve"> </w:t>
      </w:r>
      <w:r w:rsidRPr="00631159">
        <w:rPr>
          <w:rFonts w:cs="Sylfaen"/>
        </w:rPr>
        <w:t>დროს</w:t>
      </w:r>
      <w:r w:rsidRPr="003D733D">
        <w:t xml:space="preserve"> </w:t>
      </w:r>
      <w:r w:rsidRPr="00631159">
        <w:rPr>
          <w:rFonts w:cs="Sylfaen"/>
        </w:rPr>
        <w:t>მისი</w:t>
      </w:r>
      <w:r w:rsidRPr="003D733D">
        <w:t xml:space="preserve"> </w:t>
      </w:r>
      <w:r w:rsidRPr="00631159">
        <w:rPr>
          <w:rFonts w:cs="Sylfaen"/>
        </w:rPr>
        <w:t>სპეციფიკის</w:t>
      </w:r>
      <w:r w:rsidRPr="003D733D">
        <w:t xml:space="preserve"> </w:t>
      </w:r>
      <w:r w:rsidRPr="00631159">
        <w:rPr>
          <w:rFonts w:cs="Sylfaen"/>
        </w:rPr>
        <w:t>გათვალისწინებით</w:t>
      </w:r>
      <w:r w:rsidRPr="003D733D">
        <w:t xml:space="preserve"> </w:t>
      </w:r>
      <w:r w:rsidRPr="00631159">
        <w:rPr>
          <w:rFonts w:cs="Sylfaen"/>
        </w:rPr>
        <w:t>მოსალოდნელი</w:t>
      </w:r>
      <w:r w:rsidRPr="003D733D">
        <w:t xml:space="preserve"> </w:t>
      </w:r>
      <w:r w:rsidRPr="00631159">
        <w:rPr>
          <w:rFonts w:cs="Sylfaen"/>
        </w:rPr>
        <w:t>ავარიული</w:t>
      </w:r>
      <w:r w:rsidRPr="003D733D">
        <w:t xml:space="preserve"> </w:t>
      </w:r>
      <w:r w:rsidRPr="00631159">
        <w:rPr>
          <w:rFonts w:cs="Sylfaen"/>
        </w:rPr>
        <w:t>სახეების</w:t>
      </w:r>
      <w:r w:rsidRPr="003D733D">
        <w:t xml:space="preserve"> </w:t>
      </w:r>
      <w:r w:rsidRPr="00631159">
        <w:rPr>
          <w:rFonts w:cs="Sylfaen"/>
        </w:rPr>
        <w:t>განსაზღვრა</w:t>
      </w:r>
      <w:r w:rsidRPr="003D733D">
        <w:t>;</w:t>
      </w:r>
    </w:p>
    <w:p w14:paraId="1285C2FE" w14:textId="77777777" w:rsidR="00A2588D" w:rsidRPr="003D733D" w:rsidRDefault="00A2588D" w:rsidP="00821E4D">
      <w:pPr>
        <w:pStyle w:val="ListParagraph"/>
        <w:numPr>
          <w:ilvl w:val="0"/>
          <w:numId w:val="42"/>
        </w:numPr>
        <w:spacing w:before="120"/>
      </w:pPr>
      <w:r w:rsidRPr="00631159">
        <w:rPr>
          <w:rFonts w:cs="Sylfaen"/>
        </w:rPr>
        <w:t>თითოეული</w:t>
      </w:r>
      <w:r w:rsidRPr="003D733D">
        <w:t xml:space="preserve"> </w:t>
      </w:r>
      <w:r w:rsidRPr="00631159">
        <w:rPr>
          <w:rFonts w:cs="Sylfaen"/>
        </w:rPr>
        <w:t>სახის</w:t>
      </w:r>
      <w:r w:rsidRPr="003D733D">
        <w:t xml:space="preserve"> </w:t>
      </w:r>
      <w:r w:rsidRPr="00631159">
        <w:rPr>
          <w:rFonts w:cs="Sylfaen"/>
        </w:rPr>
        <w:t>ავარიულ</w:t>
      </w:r>
      <w:r w:rsidRPr="003D733D">
        <w:t xml:space="preserve"> </w:t>
      </w:r>
      <w:r w:rsidRPr="00631159">
        <w:rPr>
          <w:rFonts w:cs="Sylfaen"/>
        </w:rPr>
        <w:t>სიტუაციაზე</w:t>
      </w:r>
      <w:r w:rsidRPr="003D733D">
        <w:t xml:space="preserve"> </w:t>
      </w:r>
      <w:r w:rsidRPr="00631159">
        <w:rPr>
          <w:rFonts w:cs="Sylfaen"/>
        </w:rPr>
        <w:t>რეაგირების</w:t>
      </w:r>
      <w:r w:rsidRPr="003D733D">
        <w:t xml:space="preserve"> </w:t>
      </w:r>
      <w:r w:rsidRPr="00631159">
        <w:rPr>
          <w:rFonts w:cs="Sylfaen"/>
        </w:rPr>
        <w:t>ჯგუფების</w:t>
      </w:r>
      <w:r w:rsidRPr="003D733D">
        <w:t xml:space="preserve"> </w:t>
      </w:r>
      <w:r w:rsidRPr="00631159">
        <w:rPr>
          <w:rFonts w:cs="Sylfaen"/>
        </w:rPr>
        <w:t>შემადგენლობის</w:t>
      </w:r>
      <w:r w:rsidRPr="003D733D">
        <w:t xml:space="preserve">, </w:t>
      </w:r>
      <w:r w:rsidRPr="00631159">
        <w:rPr>
          <w:rFonts w:cs="Sylfaen"/>
        </w:rPr>
        <w:t>მათი</w:t>
      </w:r>
      <w:r w:rsidRPr="003D733D">
        <w:t xml:space="preserve"> </w:t>
      </w:r>
      <w:r w:rsidRPr="00631159">
        <w:rPr>
          <w:rFonts w:cs="Sylfaen"/>
        </w:rPr>
        <w:t>აღჭურვილობის</w:t>
      </w:r>
      <w:r w:rsidRPr="003D733D">
        <w:t xml:space="preserve">, </w:t>
      </w:r>
      <w:r w:rsidRPr="00631159">
        <w:rPr>
          <w:rFonts w:cs="Sylfaen"/>
        </w:rPr>
        <w:t>ავარიულ</w:t>
      </w:r>
      <w:r w:rsidRPr="003D733D">
        <w:t xml:space="preserve"> </w:t>
      </w:r>
      <w:r w:rsidRPr="00631159">
        <w:rPr>
          <w:rFonts w:cs="Sylfaen"/>
        </w:rPr>
        <w:t>სიტუაციაში</w:t>
      </w:r>
      <w:r w:rsidRPr="003D733D">
        <w:t xml:space="preserve"> </w:t>
      </w:r>
      <w:r w:rsidRPr="00631159">
        <w:rPr>
          <w:rFonts w:cs="Sylfaen"/>
        </w:rPr>
        <w:t>მოქმედების</w:t>
      </w:r>
      <w:r w:rsidRPr="003D733D">
        <w:t xml:space="preserve"> </w:t>
      </w:r>
      <w:r w:rsidRPr="00631159">
        <w:rPr>
          <w:rFonts w:cs="Sylfaen"/>
        </w:rPr>
        <w:t>გეგმის</w:t>
      </w:r>
      <w:r w:rsidRPr="003D733D">
        <w:t xml:space="preserve"> </w:t>
      </w:r>
      <w:r w:rsidRPr="00631159">
        <w:rPr>
          <w:rFonts w:cs="Sylfaen"/>
        </w:rPr>
        <w:t>და</w:t>
      </w:r>
      <w:r w:rsidRPr="003D733D">
        <w:t xml:space="preserve"> </w:t>
      </w:r>
      <w:r w:rsidRPr="00631159">
        <w:rPr>
          <w:rFonts w:cs="Sylfaen"/>
        </w:rPr>
        <w:t>პასუხისმგებლობების</w:t>
      </w:r>
      <w:r w:rsidRPr="003D733D">
        <w:t xml:space="preserve"> </w:t>
      </w:r>
      <w:r w:rsidRPr="00631159">
        <w:rPr>
          <w:rFonts w:cs="Sylfaen"/>
        </w:rPr>
        <w:t>განსაზღვრა</w:t>
      </w:r>
      <w:r w:rsidRPr="003D733D">
        <w:t>;</w:t>
      </w:r>
    </w:p>
    <w:p w14:paraId="30965248" w14:textId="77777777" w:rsidR="00A2588D" w:rsidRPr="003D733D" w:rsidRDefault="00A2588D" w:rsidP="00821E4D">
      <w:pPr>
        <w:pStyle w:val="ListParagraph"/>
        <w:numPr>
          <w:ilvl w:val="0"/>
          <w:numId w:val="42"/>
        </w:numPr>
        <w:spacing w:before="120"/>
      </w:pPr>
      <w:r w:rsidRPr="00631159">
        <w:rPr>
          <w:rFonts w:cs="Sylfaen"/>
        </w:rPr>
        <w:t>შიდა</w:t>
      </w:r>
      <w:r w:rsidRPr="003D733D">
        <w:t xml:space="preserve"> </w:t>
      </w:r>
      <w:r w:rsidRPr="00631159">
        <w:rPr>
          <w:rFonts w:cs="Sylfaen"/>
        </w:rPr>
        <w:t>და</w:t>
      </w:r>
      <w:r w:rsidRPr="003D733D">
        <w:t xml:space="preserve"> </w:t>
      </w:r>
      <w:r w:rsidRPr="00631159">
        <w:rPr>
          <w:rFonts w:cs="Sylfaen"/>
        </w:rPr>
        <w:t>გარე</w:t>
      </w:r>
      <w:r w:rsidRPr="003D733D">
        <w:t xml:space="preserve"> </w:t>
      </w:r>
      <w:r w:rsidRPr="00631159">
        <w:rPr>
          <w:rFonts w:cs="Sylfaen"/>
        </w:rPr>
        <w:t>შეტყობინებების</w:t>
      </w:r>
      <w:r w:rsidRPr="003D733D">
        <w:t xml:space="preserve"> </w:t>
      </w:r>
      <w:r w:rsidRPr="00631159">
        <w:rPr>
          <w:rFonts w:cs="Sylfaen"/>
        </w:rPr>
        <w:t>სისტემის</w:t>
      </w:r>
      <w:r w:rsidRPr="003D733D">
        <w:t xml:space="preserve">, </w:t>
      </w:r>
      <w:r w:rsidRPr="00631159">
        <w:rPr>
          <w:rFonts w:cs="Sylfaen"/>
        </w:rPr>
        <w:t>მათი</w:t>
      </w:r>
      <w:r w:rsidRPr="003D733D">
        <w:t xml:space="preserve"> </w:t>
      </w:r>
      <w:r w:rsidRPr="00631159">
        <w:rPr>
          <w:rFonts w:cs="Sylfaen"/>
        </w:rPr>
        <w:t>თანმიმდევრობის</w:t>
      </w:r>
      <w:r w:rsidRPr="003D733D">
        <w:t xml:space="preserve">, </w:t>
      </w:r>
      <w:r w:rsidRPr="00631159">
        <w:rPr>
          <w:rFonts w:cs="Sylfaen"/>
        </w:rPr>
        <w:t>შეტყობინების</w:t>
      </w:r>
      <w:r w:rsidRPr="003D733D">
        <w:t xml:space="preserve"> </w:t>
      </w:r>
      <w:r w:rsidRPr="00631159">
        <w:rPr>
          <w:rFonts w:cs="Sylfaen"/>
        </w:rPr>
        <w:t>საშუალებების</w:t>
      </w:r>
      <w:r w:rsidRPr="003D733D">
        <w:t xml:space="preserve"> </w:t>
      </w:r>
      <w:r w:rsidRPr="00631159">
        <w:rPr>
          <w:rFonts w:cs="Sylfaen"/>
        </w:rPr>
        <w:t>და</w:t>
      </w:r>
      <w:r w:rsidRPr="003D733D">
        <w:t xml:space="preserve"> </w:t>
      </w:r>
      <w:r w:rsidRPr="00631159">
        <w:rPr>
          <w:rFonts w:cs="Sylfaen"/>
        </w:rPr>
        <w:t>მეთოდების</w:t>
      </w:r>
      <w:r w:rsidRPr="003D733D">
        <w:t xml:space="preserve"> </w:t>
      </w:r>
      <w:r w:rsidRPr="00631159">
        <w:rPr>
          <w:rFonts w:cs="Sylfaen"/>
        </w:rPr>
        <w:t>განსაზღვრა</w:t>
      </w:r>
      <w:r w:rsidRPr="003D733D">
        <w:t xml:space="preserve"> </w:t>
      </w:r>
      <w:r w:rsidRPr="00631159">
        <w:rPr>
          <w:rFonts w:cs="Sylfaen"/>
        </w:rPr>
        <w:t>და</w:t>
      </w:r>
      <w:r w:rsidRPr="003D733D">
        <w:t xml:space="preserve"> </w:t>
      </w:r>
      <w:r w:rsidRPr="00631159">
        <w:rPr>
          <w:rFonts w:cs="Sylfaen"/>
        </w:rPr>
        <w:t>ავარიული</w:t>
      </w:r>
      <w:r w:rsidRPr="003D733D">
        <w:t xml:space="preserve"> </w:t>
      </w:r>
      <w:r w:rsidRPr="00631159">
        <w:rPr>
          <w:rFonts w:cs="Sylfaen"/>
        </w:rPr>
        <w:t>სიტუციების</w:t>
      </w:r>
      <w:r w:rsidRPr="003D733D">
        <w:t xml:space="preserve"> </w:t>
      </w:r>
      <w:r w:rsidRPr="00631159">
        <w:rPr>
          <w:rFonts w:cs="Sylfaen"/>
        </w:rPr>
        <w:t>შესახებ</w:t>
      </w:r>
      <w:r w:rsidRPr="003D733D">
        <w:t xml:space="preserve"> </w:t>
      </w:r>
      <w:r w:rsidRPr="00631159">
        <w:rPr>
          <w:rFonts w:cs="Sylfaen"/>
        </w:rPr>
        <w:t>შეტყობინების</w:t>
      </w:r>
      <w:r w:rsidRPr="003D733D">
        <w:t xml:space="preserve"> (</w:t>
      </w:r>
      <w:r w:rsidRPr="00631159">
        <w:rPr>
          <w:rFonts w:cs="Sylfaen"/>
        </w:rPr>
        <w:t>ინფორმაციის</w:t>
      </w:r>
      <w:r w:rsidRPr="003D733D">
        <w:t xml:space="preserve">) </w:t>
      </w:r>
      <w:r w:rsidRPr="00631159">
        <w:rPr>
          <w:rFonts w:cs="Sylfaen"/>
        </w:rPr>
        <w:t>გადაცემის</w:t>
      </w:r>
      <w:r w:rsidRPr="003D733D">
        <w:t xml:space="preserve"> </w:t>
      </w:r>
      <w:r w:rsidRPr="00631159">
        <w:rPr>
          <w:rFonts w:cs="Sylfaen"/>
        </w:rPr>
        <w:t>უზრუნველყოფა</w:t>
      </w:r>
      <w:r w:rsidRPr="003D733D">
        <w:t>;</w:t>
      </w:r>
    </w:p>
    <w:p w14:paraId="11DF5CFD" w14:textId="77777777" w:rsidR="00A2588D" w:rsidRPr="003D733D" w:rsidRDefault="00A2588D" w:rsidP="00821E4D">
      <w:pPr>
        <w:pStyle w:val="ListParagraph"/>
        <w:numPr>
          <w:ilvl w:val="0"/>
          <w:numId w:val="42"/>
        </w:numPr>
        <w:spacing w:before="120"/>
      </w:pPr>
      <w:r w:rsidRPr="00631159">
        <w:rPr>
          <w:rFonts w:cs="Sylfaen"/>
        </w:rPr>
        <w:t>შიდა</w:t>
      </w:r>
      <w:r w:rsidRPr="003D733D">
        <w:t xml:space="preserve"> </w:t>
      </w:r>
      <w:r w:rsidRPr="00631159">
        <w:rPr>
          <w:rFonts w:cs="Sylfaen"/>
        </w:rPr>
        <w:t>რესურსების</w:t>
      </w:r>
      <w:r w:rsidRPr="003D733D">
        <w:t xml:space="preserve"> </w:t>
      </w:r>
      <w:r w:rsidRPr="00631159">
        <w:rPr>
          <w:rFonts w:cs="Sylfaen"/>
        </w:rPr>
        <w:t>მყისიერად</w:t>
      </w:r>
      <w:r w:rsidRPr="003D733D">
        <w:t xml:space="preserve"> </w:t>
      </w:r>
      <w:r w:rsidRPr="00631159">
        <w:rPr>
          <w:rFonts w:cs="Sylfaen"/>
        </w:rPr>
        <w:t>ამოქმედება</w:t>
      </w:r>
      <w:r w:rsidRPr="003D733D">
        <w:t xml:space="preserve"> </w:t>
      </w:r>
      <w:r w:rsidRPr="00631159">
        <w:rPr>
          <w:rFonts w:cs="Sylfaen"/>
        </w:rPr>
        <w:t>და</w:t>
      </w:r>
      <w:r w:rsidRPr="003D733D">
        <w:t xml:space="preserve"> </w:t>
      </w:r>
      <w:r w:rsidRPr="00631159">
        <w:rPr>
          <w:rFonts w:cs="Sylfaen"/>
        </w:rPr>
        <w:t>საჭიროების</w:t>
      </w:r>
      <w:r w:rsidRPr="003D733D">
        <w:t xml:space="preserve"> </w:t>
      </w:r>
      <w:r w:rsidRPr="00631159">
        <w:rPr>
          <w:rFonts w:cs="Sylfaen"/>
        </w:rPr>
        <w:t>შემთხვევაში</w:t>
      </w:r>
      <w:r w:rsidRPr="003D733D">
        <w:t xml:space="preserve">, </w:t>
      </w:r>
      <w:r w:rsidRPr="00631159">
        <w:rPr>
          <w:rFonts w:cs="Sylfaen"/>
        </w:rPr>
        <w:t>დამატებითი</w:t>
      </w:r>
      <w:r w:rsidRPr="003D733D">
        <w:t xml:space="preserve"> </w:t>
      </w:r>
      <w:r w:rsidRPr="00631159">
        <w:rPr>
          <w:rFonts w:cs="Sylfaen"/>
        </w:rPr>
        <w:t>რესურსების</w:t>
      </w:r>
      <w:r w:rsidRPr="003D733D">
        <w:t xml:space="preserve"> </w:t>
      </w:r>
      <w:r w:rsidRPr="00631159">
        <w:rPr>
          <w:rFonts w:cs="Sylfaen"/>
        </w:rPr>
        <w:t>დადგენილი</w:t>
      </w:r>
      <w:r w:rsidRPr="003D733D">
        <w:t xml:space="preserve"> </w:t>
      </w:r>
      <w:r w:rsidRPr="00631159">
        <w:rPr>
          <w:rFonts w:cs="Sylfaen"/>
        </w:rPr>
        <w:t>წესით</w:t>
      </w:r>
      <w:r w:rsidRPr="003D733D">
        <w:t xml:space="preserve"> </w:t>
      </w:r>
      <w:r w:rsidRPr="00631159">
        <w:rPr>
          <w:rFonts w:cs="Sylfaen"/>
        </w:rPr>
        <w:t>მობილიზების</w:t>
      </w:r>
      <w:r w:rsidRPr="003D733D">
        <w:t xml:space="preserve"> </w:t>
      </w:r>
      <w:r w:rsidRPr="00631159">
        <w:rPr>
          <w:rFonts w:cs="Sylfaen"/>
        </w:rPr>
        <w:t>უზრუნველყოფა</w:t>
      </w:r>
      <w:r w:rsidRPr="003D733D">
        <w:t xml:space="preserve"> </w:t>
      </w:r>
      <w:r w:rsidRPr="00631159">
        <w:rPr>
          <w:rFonts w:cs="Sylfaen"/>
        </w:rPr>
        <w:t>და</w:t>
      </w:r>
      <w:r w:rsidRPr="003D733D">
        <w:t xml:space="preserve"> </w:t>
      </w:r>
      <w:r w:rsidRPr="00631159">
        <w:rPr>
          <w:rFonts w:cs="Sylfaen"/>
        </w:rPr>
        <w:t>შესაბამისი</w:t>
      </w:r>
      <w:r w:rsidRPr="003D733D">
        <w:t xml:space="preserve"> </w:t>
      </w:r>
      <w:r w:rsidRPr="00631159">
        <w:rPr>
          <w:rFonts w:cs="Sylfaen"/>
        </w:rPr>
        <w:t>პროცედურების</w:t>
      </w:r>
      <w:r w:rsidRPr="003D733D">
        <w:t xml:space="preserve"> </w:t>
      </w:r>
      <w:r w:rsidRPr="00631159">
        <w:rPr>
          <w:rFonts w:cs="Sylfaen"/>
        </w:rPr>
        <w:t>განსაზღვრა</w:t>
      </w:r>
      <w:r w:rsidRPr="003D733D">
        <w:t>;</w:t>
      </w:r>
    </w:p>
    <w:p w14:paraId="40FF1EAA" w14:textId="77777777" w:rsidR="00A2588D" w:rsidRPr="003D733D" w:rsidRDefault="00A2588D" w:rsidP="00821E4D">
      <w:pPr>
        <w:pStyle w:val="ListParagraph"/>
        <w:numPr>
          <w:ilvl w:val="0"/>
          <w:numId w:val="42"/>
        </w:numPr>
        <w:spacing w:before="120"/>
      </w:pPr>
      <w:r w:rsidRPr="00631159">
        <w:rPr>
          <w:rFonts w:cs="Sylfaen"/>
        </w:rPr>
        <w:t>ავარიულ</w:t>
      </w:r>
      <w:r w:rsidRPr="003D733D">
        <w:t xml:space="preserve"> </w:t>
      </w:r>
      <w:r w:rsidRPr="00631159">
        <w:rPr>
          <w:rFonts w:cs="Sylfaen"/>
        </w:rPr>
        <w:t>სიტუაციებზე</w:t>
      </w:r>
      <w:r w:rsidRPr="003D733D">
        <w:t xml:space="preserve"> </w:t>
      </w:r>
      <w:r w:rsidRPr="00631159">
        <w:rPr>
          <w:rFonts w:cs="Sylfaen"/>
        </w:rPr>
        <w:t>რეაგირების</w:t>
      </w:r>
      <w:r w:rsidRPr="003D733D">
        <w:t xml:space="preserve"> </w:t>
      </w:r>
      <w:r w:rsidRPr="00631159">
        <w:rPr>
          <w:rFonts w:cs="Sylfaen"/>
        </w:rPr>
        <w:t>საორგანიზაციო</w:t>
      </w:r>
      <w:r w:rsidRPr="003D733D">
        <w:t xml:space="preserve"> </w:t>
      </w:r>
      <w:r w:rsidRPr="00631159">
        <w:rPr>
          <w:rFonts w:cs="Sylfaen"/>
        </w:rPr>
        <w:t>სისტემის</w:t>
      </w:r>
      <w:r w:rsidRPr="003D733D">
        <w:t xml:space="preserve"> </w:t>
      </w:r>
      <w:r w:rsidRPr="00631159">
        <w:rPr>
          <w:rFonts w:cs="Sylfaen"/>
        </w:rPr>
        <w:t>მოქმედების</w:t>
      </w:r>
      <w:r w:rsidRPr="003D733D">
        <w:t xml:space="preserve"> </w:t>
      </w:r>
      <w:r w:rsidRPr="00631159">
        <w:rPr>
          <w:rFonts w:cs="Sylfaen"/>
        </w:rPr>
        <w:t>უზრუნველყოფა</w:t>
      </w:r>
      <w:r w:rsidRPr="003D733D">
        <w:t>;</w:t>
      </w:r>
    </w:p>
    <w:p w14:paraId="164847E9" w14:textId="77777777" w:rsidR="00A2588D" w:rsidRPr="003D733D" w:rsidRDefault="00A2588D" w:rsidP="00821E4D">
      <w:pPr>
        <w:pStyle w:val="ListParagraph"/>
        <w:numPr>
          <w:ilvl w:val="0"/>
          <w:numId w:val="42"/>
        </w:numPr>
        <w:spacing w:before="120"/>
      </w:pPr>
      <w:r w:rsidRPr="00631159">
        <w:rPr>
          <w:rFonts w:cs="Sylfaen"/>
        </w:rPr>
        <w:t>ავარიულ</w:t>
      </w:r>
      <w:r w:rsidRPr="003D733D">
        <w:t xml:space="preserve"> </w:t>
      </w:r>
      <w:r w:rsidRPr="00631159">
        <w:rPr>
          <w:rFonts w:cs="Sylfaen"/>
        </w:rPr>
        <w:t>სიტუაციებზე</w:t>
      </w:r>
      <w:r w:rsidRPr="003D733D">
        <w:t xml:space="preserve"> </w:t>
      </w:r>
      <w:r w:rsidRPr="00631159">
        <w:rPr>
          <w:rFonts w:cs="Sylfaen"/>
        </w:rPr>
        <w:t>რეაგირების</w:t>
      </w:r>
      <w:r w:rsidRPr="003D733D">
        <w:t xml:space="preserve"> </w:t>
      </w:r>
      <w:r w:rsidRPr="00631159">
        <w:rPr>
          <w:rFonts w:cs="Sylfaen"/>
        </w:rPr>
        <w:t>პროცესში</w:t>
      </w:r>
      <w:r w:rsidRPr="003D733D">
        <w:t xml:space="preserve"> </w:t>
      </w:r>
      <w:r w:rsidRPr="00631159">
        <w:rPr>
          <w:rFonts w:cs="Sylfaen"/>
        </w:rPr>
        <w:t>საკანონმდებლო</w:t>
      </w:r>
      <w:r w:rsidRPr="003D733D">
        <w:t xml:space="preserve">, </w:t>
      </w:r>
      <w:r w:rsidRPr="00631159">
        <w:rPr>
          <w:rFonts w:cs="Sylfaen"/>
        </w:rPr>
        <w:t>ნორმატიულ</w:t>
      </w:r>
      <w:r w:rsidRPr="003D733D">
        <w:t xml:space="preserve"> </w:t>
      </w:r>
      <w:r w:rsidRPr="00631159">
        <w:rPr>
          <w:rFonts w:cs="Sylfaen"/>
        </w:rPr>
        <w:t>და</w:t>
      </w:r>
      <w:r w:rsidRPr="003D733D">
        <w:t xml:space="preserve"> </w:t>
      </w:r>
      <w:r w:rsidRPr="00631159">
        <w:rPr>
          <w:rFonts w:cs="Sylfaen"/>
        </w:rPr>
        <w:t>საწარმოო</w:t>
      </w:r>
      <w:r w:rsidRPr="003D733D">
        <w:t xml:space="preserve"> </w:t>
      </w:r>
      <w:r w:rsidRPr="00631159">
        <w:rPr>
          <w:rFonts w:cs="Sylfaen"/>
        </w:rPr>
        <w:t>უსაფრთხოების</w:t>
      </w:r>
      <w:r w:rsidRPr="003D733D">
        <w:t xml:space="preserve"> </w:t>
      </w:r>
      <w:r w:rsidRPr="00631159">
        <w:rPr>
          <w:rFonts w:cs="Sylfaen"/>
        </w:rPr>
        <w:t>შიდა</w:t>
      </w:r>
      <w:r w:rsidRPr="003D733D">
        <w:t xml:space="preserve"> </w:t>
      </w:r>
      <w:r w:rsidRPr="00631159">
        <w:rPr>
          <w:rFonts w:cs="Sylfaen"/>
        </w:rPr>
        <w:t>განაწესის</w:t>
      </w:r>
      <w:r w:rsidRPr="003D733D">
        <w:t xml:space="preserve"> </w:t>
      </w:r>
      <w:r w:rsidRPr="00631159">
        <w:rPr>
          <w:rFonts w:cs="Sylfaen"/>
        </w:rPr>
        <w:t>მოთხოვნებთან</w:t>
      </w:r>
      <w:r w:rsidRPr="003D733D">
        <w:t xml:space="preserve"> </w:t>
      </w:r>
      <w:r w:rsidRPr="00631159">
        <w:rPr>
          <w:rFonts w:cs="Sylfaen"/>
        </w:rPr>
        <w:t>შესაბამისობის</w:t>
      </w:r>
      <w:r w:rsidRPr="003D733D">
        <w:t xml:space="preserve">  </w:t>
      </w:r>
      <w:r w:rsidRPr="00631159">
        <w:rPr>
          <w:rFonts w:cs="Sylfaen"/>
        </w:rPr>
        <w:t>უზრუნველყოფა</w:t>
      </w:r>
      <w:r w:rsidRPr="003D733D">
        <w:t>.</w:t>
      </w:r>
    </w:p>
    <w:p w14:paraId="6DFB7B8D" w14:textId="77777777" w:rsidR="00A2588D" w:rsidRPr="003D733D" w:rsidRDefault="00A2588D" w:rsidP="00A2588D">
      <w:r w:rsidRPr="003D733D">
        <w:rPr>
          <w:rFonts w:ascii="Sylfaen" w:hAnsi="Sylfaen" w:cs="Sylfaen"/>
        </w:rPr>
        <w:t>მოსალოდნელი</w:t>
      </w:r>
      <w:r w:rsidRPr="003D733D">
        <w:t xml:space="preserve"> </w:t>
      </w:r>
      <w:r w:rsidRPr="003D733D">
        <w:rPr>
          <w:rFonts w:ascii="Sylfaen" w:hAnsi="Sylfaen" w:cs="Sylfaen"/>
        </w:rPr>
        <w:t>ავარიულ</w:t>
      </w:r>
      <w:r w:rsidRPr="003D733D">
        <w:t xml:space="preserve"> </w:t>
      </w:r>
      <w:r w:rsidRPr="003D733D">
        <w:rPr>
          <w:rFonts w:ascii="Sylfaen" w:hAnsi="Sylfaen" w:cs="Sylfaen"/>
        </w:rPr>
        <w:t>სიტუაციებზე</w:t>
      </w:r>
      <w:r w:rsidRPr="003D733D">
        <w:t xml:space="preserve"> </w:t>
      </w:r>
      <w:r w:rsidRPr="003D733D">
        <w:rPr>
          <w:rFonts w:ascii="Sylfaen" w:hAnsi="Sylfaen" w:cs="Sylfaen"/>
        </w:rPr>
        <w:t>რეაგირების</w:t>
      </w:r>
      <w:r w:rsidRPr="003D733D">
        <w:t xml:space="preserve"> </w:t>
      </w:r>
      <w:r w:rsidRPr="003D733D">
        <w:rPr>
          <w:rFonts w:ascii="Sylfaen" w:hAnsi="Sylfaen" w:cs="Sylfaen"/>
        </w:rPr>
        <w:t>გეგმა</w:t>
      </w:r>
      <w:r w:rsidRPr="003D733D">
        <w:t xml:space="preserve"> </w:t>
      </w:r>
      <w:r w:rsidRPr="003D733D">
        <w:rPr>
          <w:rFonts w:ascii="Sylfaen" w:hAnsi="Sylfaen" w:cs="Sylfaen"/>
        </w:rPr>
        <w:t>ითვალისწინებს</w:t>
      </w:r>
      <w:r w:rsidRPr="003D733D">
        <w:t xml:space="preserve"> </w:t>
      </w:r>
      <w:r w:rsidRPr="003D733D">
        <w:rPr>
          <w:rFonts w:ascii="Sylfaen" w:hAnsi="Sylfaen" w:cs="Sylfaen"/>
        </w:rPr>
        <w:t>საქართველოს</w:t>
      </w:r>
      <w:r w:rsidRPr="003D733D">
        <w:t xml:space="preserve"> </w:t>
      </w:r>
      <w:r w:rsidRPr="003D733D">
        <w:rPr>
          <w:rFonts w:ascii="Sylfaen" w:hAnsi="Sylfaen" w:cs="Sylfaen"/>
        </w:rPr>
        <w:t>კანონების</w:t>
      </w:r>
      <w:r w:rsidRPr="003D733D">
        <w:t xml:space="preserve"> </w:t>
      </w:r>
      <w:r w:rsidRPr="003D733D">
        <w:rPr>
          <w:rFonts w:ascii="Sylfaen" w:hAnsi="Sylfaen" w:cs="Sylfaen"/>
        </w:rPr>
        <w:t>და</w:t>
      </w:r>
      <w:r w:rsidRPr="003D733D">
        <w:t xml:space="preserve"> </w:t>
      </w:r>
      <w:r w:rsidRPr="003D733D">
        <w:rPr>
          <w:rFonts w:ascii="Sylfaen" w:hAnsi="Sylfaen" w:cs="Sylfaen"/>
        </w:rPr>
        <w:t>საკანონმდებლო</w:t>
      </w:r>
      <w:r w:rsidRPr="003D733D">
        <w:t xml:space="preserve"> </w:t>
      </w:r>
      <w:r w:rsidRPr="003D733D">
        <w:rPr>
          <w:rFonts w:ascii="Sylfaen" w:hAnsi="Sylfaen" w:cs="Sylfaen"/>
        </w:rPr>
        <w:t>აქტების</w:t>
      </w:r>
      <w:r w:rsidRPr="003D733D">
        <w:t xml:space="preserve"> </w:t>
      </w:r>
      <w:r w:rsidRPr="003D733D">
        <w:rPr>
          <w:rFonts w:ascii="Sylfaen" w:hAnsi="Sylfaen" w:cs="Sylfaen"/>
        </w:rPr>
        <w:t>მოთხოვნებს</w:t>
      </w:r>
      <w:r w:rsidRPr="003D733D">
        <w:t xml:space="preserve">. </w:t>
      </w:r>
    </w:p>
    <w:p w14:paraId="63BFBC1E" w14:textId="77777777" w:rsidR="00A2588D" w:rsidRPr="003D733D" w:rsidRDefault="00A2588D" w:rsidP="00A2588D"/>
    <w:p w14:paraId="4DA0BA51" w14:textId="77777777" w:rsidR="00A2588D" w:rsidRPr="000B61F5" w:rsidRDefault="00A2588D" w:rsidP="00A2588D">
      <w:pPr>
        <w:rPr>
          <w:b/>
          <w:i/>
        </w:rPr>
      </w:pPr>
      <w:bookmarkStart w:id="581" w:name="_Toc479166584"/>
      <w:bookmarkStart w:id="582" w:name="_Toc479164869"/>
      <w:bookmarkStart w:id="583" w:name="_Toc416769142"/>
      <w:bookmarkStart w:id="584" w:name="_Toc407201847"/>
      <w:bookmarkStart w:id="585" w:name="_Toc407139083"/>
      <w:bookmarkStart w:id="586" w:name="_Toc337205839"/>
      <w:bookmarkStart w:id="587" w:name="_Toc326839316"/>
      <w:bookmarkStart w:id="588" w:name="_Toc314150162"/>
      <w:bookmarkEnd w:id="579"/>
      <w:bookmarkEnd w:id="580"/>
      <w:r w:rsidRPr="000B61F5">
        <w:rPr>
          <w:rFonts w:ascii="Sylfaen" w:hAnsi="Sylfaen" w:cs="Sylfaen"/>
          <w:b/>
          <w:i/>
        </w:rPr>
        <w:t>ავარიული</w:t>
      </w:r>
      <w:r w:rsidRPr="000B61F5">
        <w:rPr>
          <w:b/>
          <w:i/>
        </w:rPr>
        <w:t xml:space="preserve"> </w:t>
      </w:r>
      <w:r w:rsidRPr="000B61F5">
        <w:rPr>
          <w:rFonts w:ascii="Sylfaen" w:hAnsi="Sylfaen" w:cs="Sylfaen"/>
          <w:b/>
          <w:i/>
        </w:rPr>
        <w:t>შემთხვევების</w:t>
      </w:r>
      <w:r w:rsidRPr="000B61F5">
        <w:rPr>
          <w:b/>
          <w:i/>
        </w:rPr>
        <w:t xml:space="preserve"> </w:t>
      </w:r>
      <w:r w:rsidRPr="000B61F5">
        <w:rPr>
          <w:rFonts w:ascii="Sylfaen" w:hAnsi="Sylfaen" w:cs="Sylfaen"/>
          <w:b/>
          <w:i/>
        </w:rPr>
        <w:t>სახეები</w:t>
      </w:r>
      <w:bookmarkEnd w:id="581"/>
      <w:bookmarkEnd w:id="582"/>
      <w:bookmarkEnd w:id="583"/>
      <w:bookmarkEnd w:id="584"/>
      <w:bookmarkEnd w:id="585"/>
      <w:bookmarkEnd w:id="586"/>
      <w:bookmarkEnd w:id="587"/>
      <w:bookmarkEnd w:id="588"/>
    </w:p>
    <w:p w14:paraId="2A189316" w14:textId="77777777" w:rsidR="00A2588D" w:rsidRPr="003D733D" w:rsidRDefault="00A2588D" w:rsidP="00A2588D">
      <w:pPr>
        <w:rPr>
          <w:lang w:val="ka-GE"/>
        </w:rPr>
      </w:pPr>
      <w:r w:rsidRPr="003D733D">
        <w:rPr>
          <w:rFonts w:ascii="Sylfaen" w:hAnsi="Sylfaen" w:cs="Sylfaen"/>
        </w:rPr>
        <w:t>გზის</w:t>
      </w:r>
      <w:r w:rsidRPr="003D733D">
        <w:t xml:space="preserve"> </w:t>
      </w:r>
      <w:r w:rsidRPr="003D733D">
        <w:rPr>
          <w:rFonts w:ascii="Sylfaen" w:hAnsi="Sylfaen" w:cs="Sylfaen"/>
        </w:rPr>
        <w:t>რეკონსტრუქცია</w:t>
      </w:r>
      <w:r w:rsidRPr="003D733D">
        <w:t>-</w:t>
      </w:r>
      <w:r w:rsidRPr="003D733D">
        <w:rPr>
          <w:rFonts w:ascii="Sylfaen" w:hAnsi="Sylfaen" w:cs="Sylfaen"/>
        </w:rPr>
        <w:t>მშენებლობის</w:t>
      </w:r>
      <w:r w:rsidRPr="003D733D">
        <w:t xml:space="preserve"> </w:t>
      </w:r>
      <w:r w:rsidRPr="003D733D">
        <w:rPr>
          <w:rFonts w:ascii="Sylfaen" w:hAnsi="Sylfaen" w:cs="Sylfaen"/>
        </w:rPr>
        <w:t>პროცესში</w:t>
      </w:r>
      <w:r w:rsidRPr="003D733D">
        <w:t xml:space="preserve"> </w:t>
      </w:r>
      <w:r w:rsidRPr="003D733D">
        <w:rPr>
          <w:rFonts w:ascii="Sylfaen" w:hAnsi="Sylfaen" w:cs="Sylfaen"/>
        </w:rPr>
        <w:t>მოსალოდნელი</w:t>
      </w:r>
      <w:r w:rsidRPr="003D733D">
        <w:t xml:space="preserve"> </w:t>
      </w:r>
      <w:r w:rsidRPr="003D733D">
        <w:rPr>
          <w:rFonts w:ascii="Sylfaen" w:hAnsi="Sylfaen" w:cs="Sylfaen"/>
        </w:rPr>
        <w:t>ავარიები</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პირობითად</w:t>
      </w:r>
      <w:r w:rsidRPr="003D733D">
        <w:t xml:space="preserve"> </w:t>
      </w:r>
      <w:r w:rsidRPr="003D733D">
        <w:rPr>
          <w:rFonts w:ascii="Sylfaen" w:hAnsi="Sylfaen" w:cs="Sylfaen"/>
        </w:rPr>
        <w:t>რამდენიმე</w:t>
      </w:r>
      <w:r w:rsidRPr="003D733D">
        <w:t xml:space="preserve"> </w:t>
      </w:r>
      <w:r w:rsidRPr="003D733D">
        <w:rPr>
          <w:rFonts w:ascii="Sylfaen" w:hAnsi="Sylfaen" w:cs="Sylfaen"/>
        </w:rPr>
        <w:t>ტიპად</w:t>
      </w:r>
      <w:r w:rsidRPr="003D733D">
        <w:t xml:space="preserve"> </w:t>
      </w:r>
      <w:r w:rsidRPr="003D733D">
        <w:rPr>
          <w:rFonts w:ascii="Sylfaen" w:hAnsi="Sylfaen" w:cs="Sylfaen"/>
        </w:rPr>
        <w:t>დაიყოს</w:t>
      </w:r>
      <w:r w:rsidRPr="003D733D">
        <w:t xml:space="preserve">, </w:t>
      </w:r>
      <w:r w:rsidRPr="003D733D">
        <w:rPr>
          <w:rFonts w:ascii="Sylfaen" w:hAnsi="Sylfaen" w:cs="Sylfaen"/>
        </w:rPr>
        <w:t>ესენია</w:t>
      </w:r>
      <w:r w:rsidRPr="003D733D">
        <w:t xml:space="preserve">: </w:t>
      </w:r>
    </w:p>
    <w:p w14:paraId="0BCF8EC8" w14:textId="77777777" w:rsidR="00A2588D" w:rsidRPr="003D733D" w:rsidRDefault="00A2588D" w:rsidP="00821E4D">
      <w:pPr>
        <w:pStyle w:val="ListParagraph"/>
        <w:numPr>
          <w:ilvl w:val="0"/>
          <w:numId w:val="41"/>
        </w:numPr>
      </w:pPr>
      <w:r w:rsidRPr="000B61F5">
        <w:rPr>
          <w:rFonts w:cs="Sylfaen"/>
        </w:rPr>
        <w:t>საგზაო</w:t>
      </w:r>
      <w:r w:rsidRPr="003D733D">
        <w:t xml:space="preserve"> </w:t>
      </w:r>
      <w:r w:rsidRPr="000B61F5">
        <w:rPr>
          <w:rFonts w:cs="Sylfaen"/>
        </w:rPr>
        <w:t>შემთხვევები</w:t>
      </w:r>
      <w:r w:rsidRPr="003D733D">
        <w:t xml:space="preserve">; </w:t>
      </w:r>
    </w:p>
    <w:p w14:paraId="34A555B0" w14:textId="77777777" w:rsidR="00A2588D" w:rsidRPr="003D733D" w:rsidRDefault="00A2588D" w:rsidP="00821E4D">
      <w:pPr>
        <w:pStyle w:val="ListParagraph"/>
        <w:numPr>
          <w:ilvl w:val="0"/>
          <w:numId w:val="41"/>
        </w:numPr>
      </w:pPr>
      <w:r w:rsidRPr="000B61F5">
        <w:rPr>
          <w:rFonts w:cs="Sylfaen"/>
        </w:rPr>
        <w:t>დამაბინძურებლების</w:t>
      </w:r>
      <w:r w:rsidRPr="003D733D">
        <w:t xml:space="preserve"> </w:t>
      </w:r>
      <w:r w:rsidRPr="000B61F5">
        <w:rPr>
          <w:rFonts w:cs="Sylfaen"/>
        </w:rPr>
        <w:t>ავარიული</w:t>
      </w:r>
      <w:r w:rsidRPr="003D733D">
        <w:t xml:space="preserve"> </w:t>
      </w:r>
      <w:r w:rsidRPr="000B61F5">
        <w:rPr>
          <w:rFonts w:cs="Sylfaen"/>
        </w:rPr>
        <w:t>დაღვრის</w:t>
      </w:r>
      <w:r w:rsidRPr="003D733D">
        <w:t xml:space="preserve"> </w:t>
      </w:r>
      <w:r w:rsidRPr="000B61F5">
        <w:rPr>
          <w:rFonts w:cs="Sylfaen"/>
        </w:rPr>
        <w:t>რისკები</w:t>
      </w:r>
      <w:r w:rsidRPr="003D733D">
        <w:t xml:space="preserve">; </w:t>
      </w:r>
    </w:p>
    <w:p w14:paraId="45D52245" w14:textId="77777777" w:rsidR="00A2588D" w:rsidRPr="003D733D" w:rsidRDefault="00A2588D" w:rsidP="00821E4D">
      <w:pPr>
        <w:pStyle w:val="ListParagraph"/>
        <w:numPr>
          <w:ilvl w:val="0"/>
          <w:numId w:val="41"/>
        </w:numPr>
      </w:pPr>
      <w:r w:rsidRPr="000B61F5">
        <w:rPr>
          <w:rFonts w:cs="Sylfaen"/>
        </w:rPr>
        <w:t>ხანძარი</w:t>
      </w:r>
      <w:r w:rsidRPr="003D733D">
        <w:t xml:space="preserve">; </w:t>
      </w:r>
    </w:p>
    <w:p w14:paraId="1C908909" w14:textId="77777777" w:rsidR="00A2588D" w:rsidRPr="003D733D" w:rsidRDefault="00A2588D" w:rsidP="00821E4D">
      <w:pPr>
        <w:pStyle w:val="ListParagraph"/>
        <w:numPr>
          <w:ilvl w:val="0"/>
          <w:numId w:val="41"/>
        </w:numPr>
      </w:pPr>
      <w:r w:rsidRPr="000B61F5">
        <w:rPr>
          <w:rFonts w:cs="Sylfaen"/>
        </w:rPr>
        <w:t>პერსონალის</w:t>
      </w:r>
      <w:r w:rsidRPr="003D733D">
        <w:t xml:space="preserve"> </w:t>
      </w:r>
      <w:r w:rsidRPr="000B61F5">
        <w:rPr>
          <w:rFonts w:cs="Sylfaen"/>
        </w:rPr>
        <w:t>დაშავება</w:t>
      </w:r>
      <w:r w:rsidRPr="003D733D">
        <w:t xml:space="preserve"> (</w:t>
      </w:r>
      <w:r w:rsidRPr="000B61F5">
        <w:rPr>
          <w:rFonts w:cs="Sylfaen"/>
        </w:rPr>
        <w:t>ტრავმატიზმი</w:t>
      </w:r>
      <w:r w:rsidRPr="003D733D">
        <w:t>).</w:t>
      </w:r>
    </w:p>
    <w:p w14:paraId="6FE5DB2F" w14:textId="77777777" w:rsidR="00A2588D" w:rsidRPr="003D733D" w:rsidRDefault="00A2588D" w:rsidP="00A2588D">
      <w:r w:rsidRPr="003D733D">
        <w:rPr>
          <w:rFonts w:ascii="Sylfaen" w:hAnsi="Sylfaen" w:cs="Sylfaen"/>
        </w:rPr>
        <w:t>უნდა</w:t>
      </w:r>
      <w:r w:rsidRPr="003D733D">
        <w:t xml:space="preserve"> </w:t>
      </w:r>
      <w:r w:rsidRPr="003D733D">
        <w:rPr>
          <w:rFonts w:ascii="Sylfaen" w:hAnsi="Sylfaen" w:cs="Sylfaen"/>
        </w:rPr>
        <w:t>აღინიშნოს</w:t>
      </w:r>
      <w:r w:rsidRPr="003D733D">
        <w:t xml:space="preserve">, </w:t>
      </w:r>
      <w:r w:rsidRPr="003D733D">
        <w:rPr>
          <w:rFonts w:ascii="Sylfaen" w:hAnsi="Sylfaen" w:cs="Sylfaen"/>
        </w:rPr>
        <w:t>რომ</w:t>
      </w:r>
      <w:r w:rsidRPr="003D733D">
        <w:t xml:space="preserve"> </w:t>
      </w:r>
      <w:r w:rsidRPr="003D733D">
        <w:rPr>
          <w:rFonts w:ascii="Sylfaen" w:hAnsi="Sylfaen" w:cs="Sylfaen"/>
        </w:rPr>
        <w:t>ზემოთ</w:t>
      </w:r>
      <w:r w:rsidRPr="003D733D">
        <w:t xml:space="preserve"> </w:t>
      </w:r>
      <w:r w:rsidRPr="003D733D">
        <w:rPr>
          <w:rFonts w:ascii="Sylfaen" w:hAnsi="Sylfaen" w:cs="Sylfaen"/>
        </w:rPr>
        <w:t>ჩამოთვლილი</w:t>
      </w:r>
      <w:r w:rsidRPr="003D733D">
        <w:t xml:space="preserve"> </w:t>
      </w:r>
      <w:r w:rsidRPr="003D733D">
        <w:rPr>
          <w:rFonts w:ascii="Sylfaen" w:hAnsi="Sylfaen" w:cs="Sylfaen"/>
        </w:rPr>
        <w:t>ავარიული</w:t>
      </w:r>
      <w:r w:rsidRPr="003D733D">
        <w:t xml:space="preserve"> </w:t>
      </w:r>
      <w:r w:rsidRPr="003D733D">
        <w:rPr>
          <w:rFonts w:ascii="Sylfaen" w:hAnsi="Sylfaen" w:cs="Sylfaen"/>
        </w:rPr>
        <w:t>სიტუაციები</w:t>
      </w:r>
      <w:r w:rsidRPr="003D733D">
        <w:t xml:space="preserve"> </w:t>
      </w:r>
      <w:r w:rsidRPr="003D733D">
        <w:rPr>
          <w:rFonts w:ascii="Sylfaen" w:hAnsi="Sylfaen" w:cs="Sylfaen"/>
        </w:rPr>
        <w:t>შესაძლოა</w:t>
      </w:r>
      <w:r w:rsidRPr="003D733D">
        <w:t xml:space="preserve"> </w:t>
      </w:r>
      <w:r w:rsidRPr="003D733D">
        <w:rPr>
          <w:rFonts w:ascii="Sylfaen" w:hAnsi="Sylfaen" w:cs="Sylfaen"/>
        </w:rPr>
        <w:t>თანმდევი</w:t>
      </w:r>
      <w:r w:rsidRPr="003D733D">
        <w:t xml:space="preserve"> </w:t>
      </w:r>
      <w:r w:rsidRPr="003D733D">
        <w:rPr>
          <w:rFonts w:ascii="Sylfaen" w:hAnsi="Sylfaen" w:cs="Sylfaen"/>
        </w:rPr>
        <w:t>პროცესი</w:t>
      </w:r>
      <w:r w:rsidRPr="003D733D">
        <w:t xml:space="preserve"> </w:t>
      </w:r>
      <w:r w:rsidRPr="003D733D">
        <w:rPr>
          <w:rFonts w:ascii="Sylfaen" w:hAnsi="Sylfaen" w:cs="Sylfaen"/>
        </w:rPr>
        <w:t>იყოს</w:t>
      </w:r>
      <w:r w:rsidRPr="003D733D">
        <w:t xml:space="preserve"> </w:t>
      </w:r>
      <w:r w:rsidRPr="003D733D">
        <w:rPr>
          <w:rFonts w:ascii="Sylfaen" w:hAnsi="Sylfaen" w:cs="Sylfaen"/>
        </w:rPr>
        <w:t>და</w:t>
      </w:r>
      <w:r w:rsidRPr="003D733D">
        <w:t xml:space="preserve"> </w:t>
      </w:r>
      <w:r w:rsidRPr="003D733D">
        <w:rPr>
          <w:rFonts w:ascii="Sylfaen" w:hAnsi="Sylfaen" w:cs="Sylfaen"/>
        </w:rPr>
        <w:t>ერთი</w:t>
      </w:r>
      <w:r w:rsidRPr="003D733D">
        <w:t xml:space="preserve"> </w:t>
      </w:r>
      <w:r w:rsidRPr="003D733D">
        <w:rPr>
          <w:rFonts w:ascii="Sylfaen" w:hAnsi="Sylfaen" w:cs="Sylfaen"/>
        </w:rPr>
        <w:t>სახის</w:t>
      </w:r>
      <w:r w:rsidRPr="003D733D">
        <w:t xml:space="preserve"> </w:t>
      </w:r>
      <w:r w:rsidRPr="003D733D">
        <w:rPr>
          <w:rFonts w:ascii="Sylfaen" w:hAnsi="Sylfaen" w:cs="Sylfaen"/>
        </w:rPr>
        <w:t>ავარიული</w:t>
      </w:r>
      <w:r w:rsidRPr="003D733D">
        <w:t xml:space="preserve"> </w:t>
      </w:r>
      <w:r w:rsidRPr="003D733D">
        <w:rPr>
          <w:rFonts w:ascii="Sylfaen" w:hAnsi="Sylfaen" w:cs="Sylfaen"/>
        </w:rPr>
        <w:t>სიტუაციის</w:t>
      </w:r>
      <w:r w:rsidRPr="003D733D">
        <w:t xml:space="preserve"> </w:t>
      </w:r>
      <w:r w:rsidRPr="003D733D">
        <w:rPr>
          <w:rFonts w:ascii="Sylfaen" w:hAnsi="Sylfaen" w:cs="Sylfaen"/>
        </w:rPr>
        <w:t>განვითარებამ</w:t>
      </w:r>
      <w:r w:rsidRPr="003D733D">
        <w:t xml:space="preserve"> </w:t>
      </w:r>
      <w:r w:rsidRPr="003D733D">
        <w:rPr>
          <w:rFonts w:ascii="Sylfaen" w:hAnsi="Sylfaen" w:cs="Sylfaen"/>
        </w:rPr>
        <w:t>გამოიწვიოს</w:t>
      </w:r>
      <w:r w:rsidRPr="003D733D">
        <w:t xml:space="preserve"> </w:t>
      </w:r>
      <w:r w:rsidRPr="003D733D">
        <w:rPr>
          <w:rFonts w:ascii="Sylfaen" w:hAnsi="Sylfaen" w:cs="Sylfaen"/>
        </w:rPr>
        <w:t>სხვა</w:t>
      </w:r>
      <w:r w:rsidRPr="003D733D">
        <w:t xml:space="preserve"> </w:t>
      </w:r>
      <w:r w:rsidRPr="003D733D">
        <w:rPr>
          <w:rFonts w:ascii="Sylfaen" w:hAnsi="Sylfaen" w:cs="Sylfaen"/>
        </w:rPr>
        <w:t>სახის</w:t>
      </w:r>
      <w:r w:rsidRPr="003D733D">
        <w:t xml:space="preserve"> </w:t>
      </w:r>
      <w:r w:rsidRPr="003D733D">
        <w:rPr>
          <w:rFonts w:ascii="Sylfaen" w:hAnsi="Sylfaen" w:cs="Sylfaen"/>
        </w:rPr>
        <w:t>ავარიის</w:t>
      </w:r>
      <w:r w:rsidRPr="003D733D">
        <w:t xml:space="preserve"> </w:t>
      </w:r>
      <w:r w:rsidRPr="003D733D">
        <w:rPr>
          <w:rFonts w:ascii="Sylfaen" w:hAnsi="Sylfaen" w:cs="Sylfaen"/>
        </w:rPr>
        <w:t>ინიცირება</w:t>
      </w:r>
      <w:r w:rsidRPr="003D733D">
        <w:t>.</w:t>
      </w:r>
    </w:p>
    <w:p w14:paraId="60168DC3" w14:textId="77777777" w:rsidR="00A2588D" w:rsidRPr="003D733D" w:rsidRDefault="00A2588D" w:rsidP="00A2588D"/>
    <w:p w14:paraId="5C495D10" w14:textId="77777777" w:rsidR="00A2588D" w:rsidRPr="000B61F5" w:rsidRDefault="00A2588D" w:rsidP="00A2588D">
      <w:pPr>
        <w:rPr>
          <w:b/>
          <w:i/>
        </w:rPr>
      </w:pPr>
      <w:bookmarkStart w:id="589" w:name="_Toc479166585"/>
      <w:bookmarkStart w:id="590" w:name="_Toc479164870"/>
      <w:bookmarkStart w:id="591" w:name="_Toc416769143"/>
      <w:bookmarkStart w:id="592" w:name="_Toc407201848"/>
      <w:bookmarkStart w:id="593" w:name="_Toc337205840"/>
      <w:bookmarkStart w:id="594" w:name="_Toc326839317"/>
      <w:bookmarkStart w:id="595" w:name="_Toc314150163"/>
      <w:r w:rsidRPr="000B61F5">
        <w:rPr>
          <w:rFonts w:ascii="Sylfaen" w:hAnsi="Sylfaen" w:cs="Sylfaen"/>
          <w:b/>
          <w:i/>
        </w:rPr>
        <w:t>საგზაო</w:t>
      </w:r>
      <w:r w:rsidRPr="000B61F5">
        <w:rPr>
          <w:b/>
          <w:i/>
        </w:rPr>
        <w:t xml:space="preserve"> </w:t>
      </w:r>
      <w:r w:rsidRPr="000B61F5">
        <w:rPr>
          <w:rFonts w:ascii="Sylfaen" w:hAnsi="Sylfaen" w:cs="Sylfaen"/>
          <w:b/>
          <w:i/>
        </w:rPr>
        <w:t>შემთხვევები</w:t>
      </w:r>
      <w:bookmarkEnd w:id="589"/>
      <w:bookmarkEnd w:id="590"/>
      <w:bookmarkEnd w:id="591"/>
      <w:bookmarkEnd w:id="592"/>
      <w:bookmarkEnd w:id="593"/>
      <w:bookmarkEnd w:id="594"/>
      <w:bookmarkEnd w:id="595"/>
    </w:p>
    <w:p w14:paraId="058405E2" w14:textId="77777777" w:rsidR="00A2588D" w:rsidRPr="003D733D" w:rsidRDefault="00A2588D" w:rsidP="00A2588D">
      <w:pPr>
        <w:rPr>
          <w:lang w:val="ka-GE"/>
        </w:rPr>
      </w:pPr>
      <w:r w:rsidRPr="003D733D">
        <w:rPr>
          <w:rFonts w:ascii="Sylfaen" w:hAnsi="Sylfaen" w:cs="Sylfaen"/>
        </w:rPr>
        <w:t>პროექტის</w:t>
      </w:r>
      <w:r w:rsidRPr="003D733D">
        <w:t xml:space="preserve"> </w:t>
      </w:r>
      <w:r w:rsidRPr="003D733D">
        <w:rPr>
          <w:rFonts w:ascii="Sylfaen" w:hAnsi="Sylfaen" w:cs="Sylfaen"/>
        </w:rPr>
        <w:t>განხორციელებისას</w:t>
      </w:r>
      <w:r w:rsidRPr="003D733D">
        <w:t xml:space="preserve"> </w:t>
      </w:r>
      <w:r w:rsidRPr="003D733D">
        <w:rPr>
          <w:rFonts w:ascii="Sylfaen" w:hAnsi="Sylfaen" w:cs="Sylfaen"/>
        </w:rPr>
        <w:t>გამოყენებული</w:t>
      </w:r>
      <w:r w:rsidRPr="003D733D">
        <w:t xml:space="preserve"> </w:t>
      </w:r>
      <w:r w:rsidRPr="003D733D">
        <w:rPr>
          <w:rFonts w:ascii="Sylfaen" w:hAnsi="Sylfaen" w:cs="Sylfaen"/>
        </w:rPr>
        <w:t>იქნება</w:t>
      </w:r>
      <w:r w:rsidRPr="003D733D">
        <w:t xml:space="preserve"> </w:t>
      </w:r>
      <w:r w:rsidRPr="003D733D">
        <w:rPr>
          <w:rFonts w:ascii="Sylfaen" w:hAnsi="Sylfaen" w:cs="Sylfaen"/>
        </w:rPr>
        <w:t>სატვირთო</w:t>
      </w:r>
      <w:r w:rsidRPr="003D733D">
        <w:t xml:space="preserve"> </w:t>
      </w:r>
      <w:r w:rsidRPr="003D733D">
        <w:rPr>
          <w:rFonts w:ascii="Sylfaen" w:hAnsi="Sylfaen" w:cs="Sylfaen"/>
        </w:rPr>
        <w:t>მანქანები</w:t>
      </w:r>
      <w:r w:rsidRPr="003D733D">
        <w:t xml:space="preserve"> </w:t>
      </w:r>
      <w:r w:rsidRPr="003D733D">
        <w:rPr>
          <w:rFonts w:ascii="Sylfaen" w:hAnsi="Sylfaen" w:cs="Sylfaen"/>
        </w:rPr>
        <w:t>და</w:t>
      </w:r>
      <w:r w:rsidRPr="003D733D">
        <w:t xml:space="preserve"> </w:t>
      </w:r>
      <w:r w:rsidRPr="003D733D">
        <w:rPr>
          <w:rFonts w:ascii="Sylfaen" w:hAnsi="Sylfaen" w:cs="Sylfaen"/>
        </w:rPr>
        <w:t>მძიმე</w:t>
      </w:r>
      <w:r w:rsidRPr="003D733D">
        <w:t xml:space="preserve"> </w:t>
      </w:r>
      <w:r w:rsidRPr="003D733D">
        <w:rPr>
          <w:rFonts w:ascii="Sylfaen" w:hAnsi="Sylfaen" w:cs="Sylfaen"/>
        </w:rPr>
        <w:t>ტექნიკა</w:t>
      </w:r>
      <w:r w:rsidRPr="003D733D">
        <w:t xml:space="preserve">. </w:t>
      </w:r>
      <w:r w:rsidRPr="003D733D">
        <w:rPr>
          <w:rFonts w:ascii="Sylfaen" w:hAnsi="Sylfaen" w:cs="Sylfaen"/>
        </w:rPr>
        <w:t>საზოგადოებრივი</w:t>
      </w:r>
      <w:r w:rsidRPr="003D733D">
        <w:t xml:space="preserve"> </w:t>
      </w:r>
      <w:r w:rsidRPr="003D733D">
        <w:rPr>
          <w:rFonts w:ascii="Sylfaen" w:hAnsi="Sylfaen" w:cs="Sylfaen"/>
        </w:rPr>
        <w:t>სარგებლობის</w:t>
      </w:r>
      <w:r w:rsidRPr="003D733D">
        <w:t xml:space="preserve"> </w:t>
      </w:r>
      <w:r w:rsidRPr="003D733D">
        <w:rPr>
          <w:rFonts w:ascii="Sylfaen" w:hAnsi="Sylfaen" w:cs="Sylfaen"/>
        </w:rPr>
        <w:t>და</w:t>
      </w:r>
      <w:r w:rsidRPr="003D733D">
        <w:t xml:space="preserve"> </w:t>
      </w:r>
      <w:r w:rsidRPr="003D733D">
        <w:rPr>
          <w:rFonts w:ascii="Sylfaen" w:hAnsi="Sylfaen" w:cs="Sylfaen"/>
        </w:rPr>
        <w:t>მისასვლელ</w:t>
      </w:r>
      <w:r w:rsidRPr="003D733D">
        <w:t xml:space="preserve"> </w:t>
      </w:r>
      <w:r w:rsidRPr="003D733D">
        <w:rPr>
          <w:rFonts w:ascii="Sylfaen" w:hAnsi="Sylfaen" w:cs="Sylfaen"/>
        </w:rPr>
        <w:t>გზებზე</w:t>
      </w:r>
      <w:r w:rsidRPr="003D733D">
        <w:t xml:space="preserve"> </w:t>
      </w:r>
      <w:r w:rsidRPr="003D733D">
        <w:rPr>
          <w:rFonts w:ascii="Sylfaen" w:hAnsi="Sylfaen" w:cs="Sylfaen"/>
        </w:rPr>
        <w:t>მათი</w:t>
      </w:r>
      <w:r w:rsidRPr="003D733D">
        <w:t xml:space="preserve"> </w:t>
      </w:r>
      <w:r w:rsidRPr="003D733D">
        <w:rPr>
          <w:rFonts w:ascii="Sylfaen" w:hAnsi="Sylfaen" w:cs="Sylfaen"/>
        </w:rPr>
        <w:t>გადაადგილებისას</w:t>
      </w:r>
      <w:r w:rsidRPr="003D733D">
        <w:t xml:space="preserve"> </w:t>
      </w:r>
      <w:r w:rsidRPr="003D733D">
        <w:rPr>
          <w:rFonts w:ascii="Sylfaen" w:hAnsi="Sylfaen" w:cs="Sylfaen"/>
        </w:rPr>
        <w:t>მოსალოდნელია</w:t>
      </w:r>
      <w:r w:rsidRPr="003D733D">
        <w:t xml:space="preserve">: </w:t>
      </w:r>
    </w:p>
    <w:p w14:paraId="34E26520" w14:textId="77777777" w:rsidR="00A2588D" w:rsidRPr="003D733D" w:rsidRDefault="00A2588D" w:rsidP="00A2588D">
      <w:r w:rsidRPr="003D733D">
        <w:rPr>
          <w:rFonts w:ascii="Sylfaen" w:hAnsi="Sylfaen" w:cs="Sylfaen"/>
        </w:rPr>
        <w:t>შეჯახება</w:t>
      </w:r>
      <w:r w:rsidRPr="003D733D">
        <w:t xml:space="preserve"> </w:t>
      </w:r>
      <w:r w:rsidRPr="003D733D">
        <w:rPr>
          <w:rFonts w:ascii="Sylfaen" w:hAnsi="Sylfaen" w:cs="Sylfaen"/>
        </w:rPr>
        <w:t>გზაზე</w:t>
      </w:r>
      <w:r w:rsidRPr="003D733D">
        <w:t xml:space="preserve"> </w:t>
      </w:r>
      <w:r w:rsidRPr="003D733D">
        <w:rPr>
          <w:rFonts w:ascii="Sylfaen" w:hAnsi="Sylfaen" w:cs="Sylfaen"/>
        </w:rPr>
        <w:t>მოძრავ</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საშუალებებთან</w:t>
      </w:r>
      <w:r w:rsidRPr="003D733D">
        <w:t>;</w:t>
      </w:r>
    </w:p>
    <w:p w14:paraId="6C4E550A" w14:textId="77777777" w:rsidR="00A2588D" w:rsidRPr="003D733D" w:rsidRDefault="00A2588D" w:rsidP="00A2588D">
      <w:r w:rsidRPr="003D733D">
        <w:rPr>
          <w:rFonts w:ascii="Sylfaen" w:hAnsi="Sylfaen" w:cs="Sylfaen"/>
        </w:rPr>
        <w:t>შეჯახება</w:t>
      </w:r>
      <w:r w:rsidRPr="003D733D">
        <w:t xml:space="preserve"> </w:t>
      </w:r>
      <w:r w:rsidRPr="003D733D">
        <w:rPr>
          <w:rFonts w:ascii="Sylfaen" w:hAnsi="Sylfaen" w:cs="Sylfaen"/>
        </w:rPr>
        <w:t>ადგილობრივ</w:t>
      </w:r>
      <w:r w:rsidRPr="003D733D">
        <w:t xml:space="preserve"> </w:t>
      </w:r>
      <w:r w:rsidRPr="003D733D">
        <w:rPr>
          <w:rFonts w:ascii="Sylfaen" w:hAnsi="Sylfaen" w:cs="Sylfaen"/>
        </w:rPr>
        <w:t>მოსახლეობასთან</w:t>
      </w:r>
      <w:r w:rsidRPr="003D733D">
        <w:t xml:space="preserve">; </w:t>
      </w:r>
    </w:p>
    <w:p w14:paraId="1421475D" w14:textId="77777777" w:rsidR="00A2588D" w:rsidRPr="003D733D" w:rsidRDefault="00A2588D" w:rsidP="00A2588D">
      <w:r w:rsidRPr="003D733D">
        <w:rPr>
          <w:rFonts w:ascii="Sylfaen" w:hAnsi="Sylfaen" w:cs="Sylfaen"/>
        </w:rPr>
        <w:t>შეჯახება</w:t>
      </w:r>
      <w:r w:rsidRPr="003D733D">
        <w:t xml:space="preserve"> </w:t>
      </w:r>
      <w:r w:rsidRPr="003D733D">
        <w:rPr>
          <w:rFonts w:ascii="Sylfaen" w:hAnsi="Sylfaen" w:cs="Sylfaen"/>
        </w:rPr>
        <w:t>პროექტის</w:t>
      </w:r>
      <w:r w:rsidRPr="003D733D">
        <w:t xml:space="preserve"> </w:t>
      </w:r>
      <w:r w:rsidRPr="003D733D">
        <w:rPr>
          <w:rFonts w:ascii="Sylfaen" w:hAnsi="Sylfaen" w:cs="Sylfaen"/>
        </w:rPr>
        <w:t>მუშახელთან</w:t>
      </w:r>
      <w:r w:rsidRPr="003D733D">
        <w:t xml:space="preserve">; </w:t>
      </w:r>
    </w:p>
    <w:p w14:paraId="5BBB6F75" w14:textId="77777777" w:rsidR="00A2588D" w:rsidRPr="003D733D" w:rsidRDefault="00A2588D" w:rsidP="00A2588D">
      <w:r w:rsidRPr="003D733D">
        <w:rPr>
          <w:rFonts w:ascii="Sylfaen" w:hAnsi="Sylfaen" w:cs="Sylfaen"/>
        </w:rPr>
        <w:t>შეჯახება</w:t>
      </w:r>
      <w:r w:rsidRPr="003D733D">
        <w:t xml:space="preserve"> </w:t>
      </w:r>
      <w:r w:rsidRPr="003D733D">
        <w:rPr>
          <w:rFonts w:ascii="Sylfaen" w:hAnsi="Sylfaen" w:cs="Sylfaen"/>
        </w:rPr>
        <w:t>პროექტის</w:t>
      </w:r>
      <w:r w:rsidRPr="003D733D">
        <w:t xml:space="preserve"> </w:t>
      </w:r>
      <w:r w:rsidRPr="003D733D">
        <w:rPr>
          <w:rFonts w:ascii="Sylfaen" w:hAnsi="Sylfaen" w:cs="Sylfaen"/>
        </w:rPr>
        <w:t>სხვა</w:t>
      </w:r>
      <w:r w:rsidRPr="003D733D">
        <w:t xml:space="preserve"> </w:t>
      </w:r>
      <w:r w:rsidRPr="003D733D">
        <w:rPr>
          <w:rFonts w:ascii="Sylfaen" w:hAnsi="Sylfaen" w:cs="Sylfaen"/>
        </w:rPr>
        <w:t>ტექნიკასთან</w:t>
      </w:r>
      <w:r w:rsidRPr="003D733D">
        <w:t xml:space="preserve">; </w:t>
      </w:r>
    </w:p>
    <w:p w14:paraId="40AFCFF1" w14:textId="77777777" w:rsidR="00A2588D" w:rsidRPr="003D733D" w:rsidRDefault="00A2588D" w:rsidP="00A2588D">
      <w:r w:rsidRPr="003D733D">
        <w:rPr>
          <w:rFonts w:ascii="Sylfaen" w:hAnsi="Sylfaen" w:cs="Sylfaen"/>
        </w:rPr>
        <w:t>შეჯახება</w:t>
      </w:r>
      <w:r w:rsidRPr="003D733D">
        <w:t xml:space="preserve"> </w:t>
      </w:r>
      <w:r w:rsidRPr="003D733D">
        <w:rPr>
          <w:rFonts w:ascii="Sylfaen" w:hAnsi="Sylfaen" w:cs="Sylfaen"/>
        </w:rPr>
        <w:t>ადგილობრივ</w:t>
      </w:r>
      <w:r w:rsidRPr="003D733D">
        <w:t xml:space="preserve"> </w:t>
      </w:r>
      <w:r w:rsidRPr="003D733D">
        <w:rPr>
          <w:rFonts w:ascii="Sylfaen" w:hAnsi="Sylfaen" w:cs="Sylfaen"/>
        </w:rPr>
        <w:t>ინფრასტრუქტურასთან</w:t>
      </w:r>
      <w:r w:rsidRPr="003D733D">
        <w:t>;</w:t>
      </w:r>
    </w:p>
    <w:p w14:paraId="33C934BB" w14:textId="77777777" w:rsidR="00A2588D" w:rsidRPr="003D733D" w:rsidRDefault="00A2588D" w:rsidP="00A2588D">
      <w:r w:rsidRPr="003D733D">
        <w:rPr>
          <w:rFonts w:ascii="Sylfaen" w:hAnsi="Sylfaen" w:cs="Sylfaen"/>
        </w:rPr>
        <w:lastRenderedPageBreak/>
        <w:t>საგზაო</w:t>
      </w:r>
      <w:r w:rsidRPr="003D733D">
        <w:t xml:space="preserve"> </w:t>
      </w:r>
      <w:r w:rsidRPr="003D733D">
        <w:rPr>
          <w:rFonts w:ascii="Sylfaen" w:hAnsi="Sylfaen" w:cs="Sylfaen"/>
        </w:rPr>
        <w:t>შემთხვევების</w:t>
      </w:r>
      <w:r w:rsidRPr="003D733D">
        <w:t xml:space="preserve"> </w:t>
      </w:r>
      <w:r w:rsidRPr="003D733D">
        <w:rPr>
          <w:rFonts w:ascii="Sylfaen" w:hAnsi="Sylfaen" w:cs="Sylfaen"/>
        </w:rPr>
        <w:t>მაღალი</w:t>
      </w:r>
      <w:r w:rsidRPr="003D733D">
        <w:t xml:space="preserve"> </w:t>
      </w:r>
      <w:r w:rsidRPr="003D733D">
        <w:rPr>
          <w:rFonts w:ascii="Sylfaen" w:hAnsi="Sylfaen" w:cs="Sylfaen"/>
        </w:rPr>
        <w:t>რისკი</w:t>
      </w:r>
      <w:r w:rsidRPr="003D733D">
        <w:t xml:space="preserve"> </w:t>
      </w:r>
      <w:r w:rsidRPr="003D733D">
        <w:rPr>
          <w:rFonts w:ascii="Sylfaen" w:hAnsi="Sylfaen" w:cs="Sylfaen"/>
        </w:rPr>
        <w:t>დაკავშირებული</w:t>
      </w:r>
      <w:r w:rsidRPr="003D733D">
        <w:t xml:space="preserve"> </w:t>
      </w:r>
      <w:r w:rsidRPr="003D733D">
        <w:rPr>
          <w:rFonts w:ascii="Sylfaen" w:hAnsi="Sylfaen" w:cs="Sylfaen"/>
        </w:rPr>
        <w:t>იქნება</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საშუალებების</w:t>
      </w:r>
      <w:r w:rsidRPr="003D733D">
        <w:t xml:space="preserve"> </w:t>
      </w:r>
      <w:r w:rsidRPr="003D733D">
        <w:rPr>
          <w:rFonts w:ascii="Sylfaen" w:hAnsi="Sylfaen" w:cs="Sylfaen"/>
        </w:rPr>
        <w:t>და</w:t>
      </w:r>
      <w:r w:rsidRPr="003D733D">
        <w:t xml:space="preserve"> </w:t>
      </w:r>
      <w:r w:rsidRPr="003D733D">
        <w:rPr>
          <w:rFonts w:ascii="Sylfaen" w:hAnsi="Sylfaen" w:cs="Sylfaen"/>
        </w:rPr>
        <w:t>სამშენებლო</w:t>
      </w:r>
      <w:r w:rsidRPr="003D733D">
        <w:t xml:space="preserve"> </w:t>
      </w:r>
      <w:r w:rsidRPr="003D733D">
        <w:rPr>
          <w:rFonts w:ascii="Sylfaen" w:hAnsi="Sylfaen" w:cs="Sylfaen"/>
        </w:rPr>
        <w:t>ტექნიკის</w:t>
      </w:r>
      <w:r w:rsidRPr="003D733D">
        <w:t xml:space="preserve"> </w:t>
      </w:r>
      <w:r w:rsidRPr="003D733D">
        <w:rPr>
          <w:rFonts w:ascii="Sylfaen" w:hAnsi="Sylfaen" w:cs="Sylfaen"/>
        </w:rPr>
        <w:t>შედარებით</w:t>
      </w:r>
      <w:r w:rsidRPr="003D733D">
        <w:t xml:space="preserve"> </w:t>
      </w:r>
      <w:r w:rsidRPr="003D733D">
        <w:rPr>
          <w:rFonts w:ascii="Sylfaen" w:hAnsi="Sylfaen" w:cs="Sylfaen"/>
        </w:rPr>
        <w:t>ინტენსიურ</w:t>
      </w:r>
      <w:r w:rsidRPr="003D733D">
        <w:t xml:space="preserve"> </w:t>
      </w:r>
      <w:r w:rsidRPr="003D733D">
        <w:rPr>
          <w:rFonts w:ascii="Sylfaen" w:hAnsi="Sylfaen" w:cs="Sylfaen"/>
        </w:rPr>
        <w:t>მოძრაობასთან</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შემთხვევების</w:t>
      </w:r>
      <w:r w:rsidRPr="003D733D">
        <w:t xml:space="preserve"> </w:t>
      </w:r>
      <w:r w:rsidRPr="003D733D">
        <w:rPr>
          <w:rFonts w:ascii="Sylfaen" w:hAnsi="Sylfaen" w:cs="Sylfaen"/>
        </w:rPr>
        <w:t>რისკების</w:t>
      </w:r>
      <w:r w:rsidRPr="003D733D">
        <w:t xml:space="preserve"> </w:t>
      </w:r>
      <w:r w:rsidRPr="003D733D">
        <w:rPr>
          <w:rFonts w:ascii="Sylfaen" w:hAnsi="Sylfaen" w:cs="Sylfaen"/>
        </w:rPr>
        <w:t>მინიმიზაციის</w:t>
      </w:r>
      <w:r w:rsidRPr="003D733D">
        <w:t xml:space="preserve"> </w:t>
      </w:r>
      <w:r w:rsidRPr="003D733D">
        <w:rPr>
          <w:rFonts w:ascii="Sylfaen" w:hAnsi="Sylfaen" w:cs="Sylfaen"/>
        </w:rPr>
        <w:t>მიზნით</w:t>
      </w:r>
      <w:r w:rsidRPr="003D733D">
        <w:t xml:space="preserve"> </w:t>
      </w:r>
      <w:r w:rsidRPr="003D733D">
        <w:rPr>
          <w:rFonts w:ascii="Sylfaen" w:hAnsi="Sylfaen" w:cs="Sylfaen"/>
        </w:rPr>
        <w:t>აუცილებელია</w:t>
      </w:r>
      <w:r w:rsidRPr="003D733D">
        <w:t xml:space="preserve"> </w:t>
      </w:r>
      <w:r w:rsidRPr="003D733D">
        <w:rPr>
          <w:rFonts w:ascii="Sylfaen" w:hAnsi="Sylfaen" w:cs="Sylfaen"/>
        </w:rPr>
        <w:t>რიგი</w:t>
      </w:r>
      <w:r w:rsidRPr="003D733D">
        <w:t xml:space="preserve"> </w:t>
      </w:r>
      <w:r w:rsidRPr="003D733D">
        <w:rPr>
          <w:rFonts w:ascii="Sylfaen" w:hAnsi="Sylfaen" w:cs="Sylfaen"/>
        </w:rPr>
        <w:t>პრევენციული</w:t>
      </w:r>
      <w:r w:rsidRPr="003D733D">
        <w:t xml:space="preserve"> </w:t>
      </w:r>
      <w:r w:rsidRPr="003D733D">
        <w:rPr>
          <w:rFonts w:ascii="Sylfaen" w:hAnsi="Sylfaen" w:cs="Sylfaen"/>
        </w:rPr>
        <w:t>ღონისძიებების</w:t>
      </w:r>
      <w:r w:rsidRPr="003D733D">
        <w:t xml:space="preserve"> </w:t>
      </w:r>
      <w:r w:rsidRPr="003D733D">
        <w:rPr>
          <w:rFonts w:ascii="Sylfaen" w:hAnsi="Sylfaen" w:cs="Sylfaen"/>
        </w:rPr>
        <w:t>გატარება</w:t>
      </w:r>
      <w:r w:rsidRPr="003D733D">
        <w:t xml:space="preserve">, </w:t>
      </w:r>
      <w:r w:rsidRPr="003D733D">
        <w:rPr>
          <w:rFonts w:ascii="Sylfaen" w:hAnsi="Sylfaen" w:cs="Sylfaen"/>
        </w:rPr>
        <w:t>მათ</w:t>
      </w:r>
      <w:r w:rsidRPr="003D733D">
        <w:t xml:space="preserve"> </w:t>
      </w:r>
      <w:r w:rsidRPr="003D733D">
        <w:rPr>
          <w:rFonts w:ascii="Sylfaen" w:hAnsi="Sylfaen" w:cs="Sylfaen"/>
        </w:rPr>
        <w:t>შორის</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სიჩქარეების</w:t>
      </w:r>
      <w:r w:rsidRPr="003D733D">
        <w:t xml:space="preserve"> </w:t>
      </w:r>
      <w:r w:rsidRPr="003D733D">
        <w:rPr>
          <w:rFonts w:ascii="Sylfaen" w:hAnsi="Sylfaen" w:cs="Sylfaen"/>
        </w:rPr>
        <w:t>შეზღუდვა</w:t>
      </w:r>
      <w:r w:rsidRPr="003D733D">
        <w:t xml:space="preserve">, </w:t>
      </w:r>
      <w:r w:rsidRPr="003D733D">
        <w:rPr>
          <w:rFonts w:ascii="Sylfaen" w:hAnsi="Sylfaen" w:cs="Sylfaen"/>
        </w:rPr>
        <w:t>გამაფრთხილებელი</w:t>
      </w:r>
      <w:r w:rsidRPr="003D733D">
        <w:t xml:space="preserve"> </w:t>
      </w:r>
      <w:r w:rsidRPr="003D733D">
        <w:rPr>
          <w:rFonts w:ascii="Sylfaen" w:hAnsi="Sylfaen" w:cs="Sylfaen"/>
        </w:rPr>
        <w:t>ნიშნების</w:t>
      </w:r>
      <w:r w:rsidRPr="003D733D">
        <w:t xml:space="preserve"> </w:t>
      </w:r>
      <w:r w:rsidRPr="003D733D">
        <w:rPr>
          <w:rFonts w:ascii="Sylfaen" w:hAnsi="Sylfaen" w:cs="Sylfaen"/>
        </w:rPr>
        <w:t>განთავსება</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ოპტიმალური</w:t>
      </w:r>
      <w:r w:rsidRPr="003D733D">
        <w:t xml:space="preserve"> </w:t>
      </w:r>
      <w:r w:rsidRPr="003D733D">
        <w:rPr>
          <w:rFonts w:ascii="Sylfaen" w:hAnsi="Sylfaen" w:cs="Sylfaen"/>
        </w:rPr>
        <w:t>მარშრუტების</w:t>
      </w:r>
      <w:r w:rsidRPr="003D733D">
        <w:t xml:space="preserve"> </w:t>
      </w:r>
      <w:r w:rsidRPr="003D733D">
        <w:rPr>
          <w:rFonts w:ascii="Sylfaen" w:hAnsi="Sylfaen" w:cs="Sylfaen"/>
        </w:rPr>
        <w:t>შერჩევა</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რეგულირება</w:t>
      </w:r>
      <w:r w:rsidRPr="003D733D">
        <w:t xml:space="preserve"> </w:t>
      </w:r>
      <w:r w:rsidRPr="003D733D">
        <w:rPr>
          <w:rFonts w:ascii="Sylfaen" w:hAnsi="Sylfaen" w:cs="Sylfaen"/>
        </w:rPr>
        <w:t>მედროშეების</w:t>
      </w:r>
      <w:r w:rsidRPr="003D733D">
        <w:t xml:space="preserve"> </w:t>
      </w:r>
      <w:r w:rsidRPr="003D733D">
        <w:rPr>
          <w:rFonts w:ascii="Sylfaen" w:hAnsi="Sylfaen" w:cs="Sylfaen"/>
        </w:rPr>
        <w:t>გამოყენებით</w:t>
      </w:r>
      <w:r w:rsidRPr="003D733D">
        <w:t xml:space="preserve"> </w:t>
      </w:r>
      <w:r w:rsidRPr="003D733D">
        <w:rPr>
          <w:rFonts w:ascii="Sylfaen" w:hAnsi="Sylfaen" w:cs="Sylfaen"/>
        </w:rPr>
        <w:t>და</w:t>
      </w:r>
      <w:r w:rsidRPr="003D733D">
        <w:t xml:space="preserve"> </w:t>
      </w:r>
      <w:r w:rsidRPr="003D733D">
        <w:rPr>
          <w:rFonts w:ascii="Sylfaen" w:hAnsi="Sylfaen" w:cs="Sylfaen"/>
        </w:rPr>
        <w:t>სხვა</w:t>
      </w:r>
      <w:r w:rsidRPr="003D733D">
        <w:t xml:space="preserve">.  </w:t>
      </w:r>
      <w:r w:rsidRPr="003D733D">
        <w:rPr>
          <w:rFonts w:ascii="Sylfaen" w:hAnsi="Sylfaen" w:cs="Sylfaen"/>
        </w:rPr>
        <w:t>უზრუნველყოფილი</w:t>
      </w:r>
      <w:r w:rsidRPr="003D733D">
        <w:t xml:space="preserve"> </w:t>
      </w:r>
      <w:r w:rsidRPr="003D733D">
        <w:rPr>
          <w:rFonts w:ascii="Sylfaen" w:hAnsi="Sylfaen" w:cs="Sylfaen"/>
        </w:rPr>
        <w:t>უნდა</w:t>
      </w:r>
      <w:r w:rsidRPr="003D733D">
        <w:t xml:space="preserve"> </w:t>
      </w:r>
      <w:r w:rsidRPr="003D733D">
        <w:rPr>
          <w:rFonts w:ascii="Sylfaen" w:hAnsi="Sylfaen" w:cs="Sylfaen"/>
        </w:rPr>
        <w:t>იყოს</w:t>
      </w:r>
      <w:r w:rsidRPr="003D733D">
        <w:t xml:space="preserve"> </w:t>
      </w:r>
      <w:r w:rsidRPr="003D733D">
        <w:rPr>
          <w:rFonts w:ascii="Sylfaen" w:hAnsi="Sylfaen" w:cs="Sylfaen"/>
        </w:rPr>
        <w:t>ტექნიკის</w:t>
      </w:r>
      <w:r w:rsidRPr="003D733D">
        <w:t xml:space="preserve"> </w:t>
      </w:r>
      <w:r w:rsidRPr="003D733D">
        <w:rPr>
          <w:rFonts w:ascii="Sylfaen" w:hAnsi="Sylfaen" w:cs="Sylfaen"/>
        </w:rPr>
        <w:t>გაცილება</w:t>
      </w:r>
      <w:r w:rsidRPr="003D733D">
        <w:t xml:space="preserve"> </w:t>
      </w:r>
      <w:r w:rsidRPr="003D733D">
        <w:rPr>
          <w:rFonts w:ascii="Sylfaen" w:hAnsi="Sylfaen" w:cs="Sylfaen"/>
        </w:rPr>
        <w:t>სპეციალურად</w:t>
      </w:r>
      <w:r w:rsidRPr="003D733D">
        <w:t xml:space="preserve"> </w:t>
      </w:r>
      <w:r w:rsidRPr="003D733D">
        <w:rPr>
          <w:rFonts w:ascii="Sylfaen" w:hAnsi="Sylfaen" w:cs="Sylfaen"/>
        </w:rPr>
        <w:t>აღჭურვილი</w:t>
      </w:r>
      <w:r w:rsidRPr="003D733D">
        <w:t xml:space="preserve"> </w:t>
      </w:r>
      <w:r w:rsidRPr="003D733D">
        <w:rPr>
          <w:rFonts w:ascii="Sylfaen" w:hAnsi="Sylfaen" w:cs="Sylfaen"/>
        </w:rPr>
        <w:t>ტექნიკითა</w:t>
      </w:r>
      <w:r w:rsidRPr="003D733D">
        <w:t xml:space="preserve"> </w:t>
      </w:r>
      <w:r w:rsidRPr="003D733D">
        <w:rPr>
          <w:rFonts w:ascii="Sylfaen" w:hAnsi="Sylfaen" w:cs="Sylfaen"/>
        </w:rPr>
        <w:t>და</w:t>
      </w:r>
      <w:r w:rsidRPr="003D733D">
        <w:t xml:space="preserve"> </w:t>
      </w:r>
      <w:r w:rsidRPr="003D733D">
        <w:rPr>
          <w:rFonts w:ascii="Sylfaen" w:hAnsi="Sylfaen" w:cs="Sylfaen"/>
        </w:rPr>
        <w:t>მომზადებული</w:t>
      </w:r>
      <w:r w:rsidRPr="003D733D">
        <w:t xml:space="preserve"> </w:t>
      </w:r>
      <w:r w:rsidRPr="003D733D">
        <w:rPr>
          <w:rFonts w:ascii="Sylfaen" w:hAnsi="Sylfaen" w:cs="Sylfaen"/>
        </w:rPr>
        <w:t>პროფესიონალური</w:t>
      </w:r>
      <w:r w:rsidRPr="003D733D">
        <w:t xml:space="preserve"> </w:t>
      </w:r>
      <w:r w:rsidRPr="003D733D">
        <w:rPr>
          <w:rFonts w:ascii="Sylfaen" w:hAnsi="Sylfaen" w:cs="Sylfaen"/>
        </w:rPr>
        <w:t>პერსონალით</w:t>
      </w:r>
      <w:r w:rsidRPr="003D733D">
        <w:t xml:space="preserve">, </w:t>
      </w:r>
      <w:r w:rsidRPr="003D733D">
        <w:rPr>
          <w:rFonts w:ascii="Sylfaen" w:hAnsi="Sylfaen" w:cs="Sylfaen"/>
        </w:rPr>
        <w:t>ეს</w:t>
      </w:r>
      <w:r w:rsidRPr="003D733D">
        <w:t xml:space="preserve"> </w:t>
      </w:r>
      <w:r w:rsidRPr="003D733D">
        <w:rPr>
          <w:rFonts w:ascii="Sylfaen" w:hAnsi="Sylfaen" w:cs="Sylfaen"/>
        </w:rPr>
        <w:t>კი</w:t>
      </w:r>
      <w:r w:rsidRPr="003D733D">
        <w:t xml:space="preserve"> </w:t>
      </w:r>
      <w:r w:rsidRPr="003D733D">
        <w:rPr>
          <w:rFonts w:ascii="Sylfaen" w:hAnsi="Sylfaen" w:cs="Sylfaen"/>
        </w:rPr>
        <w:t>მნიშვნელოვნად</w:t>
      </w:r>
      <w:r w:rsidRPr="003D733D">
        <w:t xml:space="preserve"> </w:t>
      </w:r>
      <w:r w:rsidRPr="003D733D">
        <w:rPr>
          <w:rFonts w:ascii="Sylfaen" w:hAnsi="Sylfaen" w:cs="Sylfaen"/>
        </w:rPr>
        <w:t>შეამცირებს</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საშუალებების</w:t>
      </w:r>
      <w:r w:rsidRPr="003D733D">
        <w:t xml:space="preserve"> </w:t>
      </w:r>
      <w:r w:rsidRPr="003D733D">
        <w:rPr>
          <w:rFonts w:ascii="Sylfaen" w:hAnsi="Sylfaen" w:cs="Sylfaen"/>
        </w:rPr>
        <w:t>დაჯახებით</w:t>
      </w:r>
      <w:r w:rsidRPr="003D733D">
        <w:t xml:space="preserve"> </w:t>
      </w:r>
      <w:r w:rsidRPr="003D733D">
        <w:rPr>
          <w:rFonts w:ascii="Sylfaen" w:hAnsi="Sylfaen" w:cs="Sylfaen"/>
        </w:rPr>
        <w:t>ან</w:t>
      </w:r>
      <w:r w:rsidRPr="003D733D">
        <w:t xml:space="preserve"> </w:t>
      </w:r>
      <w:r w:rsidRPr="003D733D">
        <w:rPr>
          <w:rFonts w:ascii="Sylfaen" w:hAnsi="Sylfaen" w:cs="Sylfaen"/>
        </w:rPr>
        <w:t>გზიდან</w:t>
      </w:r>
      <w:r w:rsidRPr="003D733D">
        <w:t xml:space="preserve"> </w:t>
      </w:r>
      <w:r w:rsidRPr="003D733D">
        <w:rPr>
          <w:rFonts w:ascii="Sylfaen" w:hAnsi="Sylfaen" w:cs="Sylfaen"/>
        </w:rPr>
        <w:t>გადასვლით</w:t>
      </w:r>
      <w:r w:rsidRPr="003D733D">
        <w:t xml:space="preserve"> </w:t>
      </w:r>
      <w:r w:rsidRPr="003D733D">
        <w:rPr>
          <w:rFonts w:ascii="Sylfaen" w:hAnsi="Sylfaen" w:cs="Sylfaen"/>
        </w:rPr>
        <w:t>გამოწვეულ</w:t>
      </w:r>
      <w:r w:rsidRPr="003D733D">
        <w:t xml:space="preserve"> </w:t>
      </w:r>
      <w:r w:rsidRPr="003D733D">
        <w:rPr>
          <w:rFonts w:ascii="Sylfaen" w:hAnsi="Sylfaen" w:cs="Sylfaen"/>
        </w:rPr>
        <w:t>რისკს</w:t>
      </w:r>
      <w:r w:rsidRPr="003D733D">
        <w:t xml:space="preserve">. </w:t>
      </w:r>
    </w:p>
    <w:p w14:paraId="48F8BE27" w14:textId="77777777" w:rsidR="00A2588D" w:rsidRPr="003D733D" w:rsidRDefault="00A2588D" w:rsidP="00A2588D"/>
    <w:p w14:paraId="09A3BE4E" w14:textId="77777777" w:rsidR="00A2588D" w:rsidRPr="00631159" w:rsidRDefault="00A2588D" w:rsidP="00A2588D">
      <w:pPr>
        <w:rPr>
          <w:b/>
          <w:i/>
        </w:rPr>
      </w:pPr>
      <w:bookmarkStart w:id="596" w:name="_Toc479166586"/>
      <w:bookmarkStart w:id="597" w:name="_Toc479164871"/>
      <w:bookmarkStart w:id="598" w:name="_Toc416769144"/>
      <w:bookmarkStart w:id="599" w:name="_Toc407201849"/>
      <w:bookmarkStart w:id="600" w:name="_Toc337205841"/>
      <w:bookmarkStart w:id="601" w:name="_Toc326839318"/>
      <w:bookmarkStart w:id="602" w:name="_Toc314150164"/>
      <w:r w:rsidRPr="00631159">
        <w:rPr>
          <w:rFonts w:ascii="Sylfaen" w:hAnsi="Sylfaen" w:cs="Sylfaen"/>
          <w:b/>
          <w:i/>
        </w:rPr>
        <w:t>ნავთობპროდუქტების</w:t>
      </w:r>
      <w:r w:rsidRPr="00631159">
        <w:rPr>
          <w:b/>
          <w:i/>
        </w:rPr>
        <w:t xml:space="preserve"> </w:t>
      </w:r>
      <w:r w:rsidRPr="00631159">
        <w:rPr>
          <w:rFonts w:ascii="Sylfaen" w:hAnsi="Sylfaen" w:cs="Sylfaen"/>
          <w:b/>
          <w:i/>
        </w:rPr>
        <w:t>და</w:t>
      </w:r>
      <w:r w:rsidRPr="00631159">
        <w:rPr>
          <w:b/>
          <w:i/>
        </w:rPr>
        <w:t xml:space="preserve"> </w:t>
      </w:r>
      <w:r w:rsidRPr="00631159">
        <w:rPr>
          <w:rFonts w:ascii="Sylfaen" w:hAnsi="Sylfaen" w:cs="Sylfaen"/>
          <w:b/>
          <w:i/>
        </w:rPr>
        <w:t>ზეთების</w:t>
      </w:r>
      <w:r w:rsidRPr="00631159">
        <w:rPr>
          <w:b/>
          <w:i/>
        </w:rPr>
        <w:t xml:space="preserve"> </w:t>
      </w:r>
      <w:r w:rsidRPr="00631159">
        <w:rPr>
          <w:rFonts w:ascii="Sylfaen" w:hAnsi="Sylfaen" w:cs="Sylfaen"/>
          <w:b/>
          <w:i/>
        </w:rPr>
        <w:t>დაღვრის</w:t>
      </w:r>
      <w:r w:rsidRPr="00631159">
        <w:rPr>
          <w:b/>
          <w:i/>
        </w:rPr>
        <w:t xml:space="preserve"> </w:t>
      </w:r>
      <w:r w:rsidRPr="00631159">
        <w:rPr>
          <w:rFonts w:ascii="Sylfaen" w:hAnsi="Sylfaen" w:cs="Sylfaen"/>
          <w:b/>
          <w:i/>
        </w:rPr>
        <w:t>რისკები</w:t>
      </w:r>
      <w:bookmarkEnd w:id="596"/>
      <w:bookmarkEnd w:id="597"/>
      <w:bookmarkEnd w:id="598"/>
      <w:bookmarkEnd w:id="599"/>
      <w:bookmarkEnd w:id="600"/>
      <w:bookmarkEnd w:id="601"/>
      <w:bookmarkEnd w:id="602"/>
    </w:p>
    <w:p w14:paraId="69C86B88" w14:textId="77777777" w:rsidR="00A2588D" w:rsidRPr="003D733D" w:rsidRDefault="00A2588D" w:rsidP="00A2588D">
      <w:pPr>
        <w:rPr>
          <w:lang w:val="ka-GE"/>
        </w:rPr>
      </w:pPr>
      <w:r w:rsidRPr="003D733D">
        <w:rPr>
          <w:rFonts w:ascii="Sylfaen" w:hAnsi="Sylfaen" w:cs="Sylfaen"/>
        </w:rPr>
        <w:t>ნავთობპროდუქტების</w:t>
      </w:r>
      <w:r w:rsidRPr="003D733D">
        <w:t xml:space="preserve"> </w:t>
      </w:r>
      <w:r w:rsidRPr="003D733D">
        <w:rPr>
          <w:rFonts w:ascii="Sylfaen" w:hAnsi="Sylfaen" w:cs="Sylfaen"/>
        </w:rPr>
        <w:t>და</w:t>
      </w:r>
      <w:r w:rsidRPr="003D733D">
        <w:t xml:space="preserve"> </w:t>
      </w:r>
      <w:r w:rsidRPr="003D733D">
        <w:rPr>
          <w:rFonts w:ascii="Sylfaen" w:hAnsi="Sylfaen" w:cs="Sylfaen"/>
        </w:rPr>
        <w:t>ზეთების</w:t>
      </w:r>
      <w:r w:rsidRPr="003D733D">
        <w:t xml:space="preserve"> </w:t>
      </w:r>
      <w:r w:rsidRPr="003D733D">
        <w:rPr>
          <w:rFonts w:ascii="Sylfaen" w:hAnsi="Sylfaen" w:cs="Sylfaen"/>
        </w:rPr>
        <w:t>დაღვრის</w:t>
      </w:r>
      <w:r w:rsidRPr="003D733D">
        <w:t xml:space="preserve"> </w:t>
      </w:r>
      <w:r w:rsidRPr="003D733D">
        <w:rPr>
          <w:rFonts w:ascii="Sylfaen" w:hAnsi="Sylfaen" w:cs="Sylfaen"/>
        </w:rPr>
        <w:t>რისკი</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დაკავშირებული</w:t>
      </w:r>
      <w:r w:rsidRPr="003D733D">
        <w:t xml:space="preserve"> </w:t>
      </w:r>
      <w:r w:rsidRPr="003D733D">
        <w:rPr>
          <w:rFonts w:ascii="Sylfaen" w:hAnsi="Sylfaen" w:cs="Sylfaen"/>
        </w:rPr>
        <w:t>იყოს</w:t>
      </w:r>
      <w:r w:rsidRPr="003D733D">
        <w:t xml:space="preserve"> </w:t>
      </w:r>
      <w:r w:rsidRPr="003D733D">
        <w:rPr>
          <w:rFonts w:ascii="Sylfaen" w:hAnsi="Sylfaen" w:cs="Sylfaen"/>
        </w:rPr>
        <w:t>მათი</w:t>
      </w:r>
      <w:r w:rsidRPr="003D733D">
        <w:t xml:space="preserve"> </w:t>
      </w:r>
      <w:r w:rsidRPr="003D733D">
        <w:rPr>
          <w:rFonts w:ascii="Sylfaen" w:hAnsi="Sylfaen" w:cs="Sylfaen"/>
        </w:rPr>
        <w:t>შენახვის</w:t>
      </w:r>
      <w:r w:rsidRPr="003D733D">
        <w:t xml:space="preserve"> </w:t>
      </w:r>
      <w:r w:rsidRPr="003D733D">
        <w:rPr>
          <w:rFonts w:ascii="Sylfaen" w:hAnsi="Sylfaen" w:cs="Sylfaen"/>
        </w:rPr>
        <w:t>პირობების</w:t>
      </w:r>
      <w:r w:rsidRPr="003D733D">
        <w:t xml:space="preserve"> </w:t>
      </w:r>
      <w:r w:rsidRPr="003D733D">
        <w:rPr>
          <w:rFonts w:ascii="Sylfaen" w:hAnsi="Sylfaen" w:cs="Sylfaen"/>
        </w:rPr>
        <w:t>დარღვევასთან</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საშუალებებიდან</w:t>
      </w:r>
      <w:r w:rsidRPr="003D733D">
        <w:t xml:space="preserve"> </w:t>
      </w:r>
      <w:r w:rsidRPr="003D733D">
        <w:rPr>
          <w:rFonts w:ascii="Sylfaen" w:hAnsi="Sylfaen" w:cs="Sylfaen"/>
        </w:rPr>
        <w:t>და</w:t>
      </w:r>
      <w:r w:rsidRPr="003D733D">
        <w:t xml:space="preserve"> </w:t>
      </w:r>
      <w:r w:rsidRPr="003D733D">
        <w:rPr>
          <w:rFonts w:ascii="Sylfaen" w:hAnsi="Sylfaen" w:cs="Sylfaen"/>
        </w:rPr>
        <w:t>ტექნიკიდან</w:t>
      </w:r>
      <w:r w:rsidRPr="003D733D">
        <w:t xml:space="preserve"> </w:t>
      </w:r>
      <w:r w:rsidRPr="003D733D">
        <w:rPr>
          <w:rFonts w:ascii="Sylfaen" w:hAnsi="Sylfaen" w:cs="Sylfaen"/>
        </w:rPr>
        <w:t>საწვავისა</w:t>
      </w:r>
      <w:r w:rsidRPr="003D733D">
        <w:t xml:space="preserve"> </w:t>
      </w:r>
      <w:r w:rsidRPr="003D733D">
        <w:rPr>
          <w:rFonts w:ascii="Sylfaen" w:hAnsi="Sylfaen" w:cs="Sylfaen"/>
        </w:rPr>
        <w:t>და</w:t>
      </w:r>
      <w:r w:rsidRPr="003D733D">
        <w:t xml:space="preserve"> </w:t>
      </w:r>
      <w:r w:rsidRPr="003D733D">
        <w:rPr>
          <w:rFonts w:ascii="Sylfaen" w:hAnsi="Sylfaen" w:cs="Sylfaen"/>
        </w:rPr>
        <w:t>ზეთების</w:t>
      </w:r>
      <w:r w:rsidRPr="003D733D">
        <w:t xml:space="preserve"> </w:t>
      </w:r>
      <w:r w:rsidRPr="003D733D">
        <w:rPr>
          <w:rFonts w:ascii="Sylfaen" w:hAnsi="Sylfaen" w:cs="Sylfaen"/>
        </w:rPr>
        <w:t>ჟონვასთან</w:t>
      </w:r>
      <w:r w:rsidRPr="003D733D">
        <w:t xml:space="preserve"> </w:t>
      </w:r>
      <w:r w:rsidRPr="003D733D">
        <w:rPr>
          <w:rFonts w:ascii="Sylfaen" w:hAnsi="Sylfaen" w:cs="Sylfaen"/>
        </w:rPr>
        <w:t>და</w:t>
      </w:r>
      <w:r w:rsidRPr="003D733D">
        <w:t xml:space="preserve"> </w:t>
      </w:r>
      <w:r w:rsidRPr="003D733D">
        <w:rPr>
          <w:rFonts w:ascii="Sylfaen" w:hAnsi="Sylfaen" w:cs="Sylfaen"/>
        </w:rPr>
        <w:t>სხვ</w:t>
      </w:r>
      <w:r w:rsidRPr="003D733D">
        <w:t>.</w:t>
      </w:r>
    </w:p>
    <w:p w14:paraId="48D23F42" w14:textId="77777777" w:rsidR="00A2588D" w:rsidRPr="003D733D" w:rsidRDefault="00A2588D" w:rsidP="00A2588D"/>
    <w:p w14:paraId="44D1B4AC" w14:textId="77777777" w:rsidR="00A2588D" w:rsidRPr="00631159" w:rsidRDefault="00A2588D" w:rsidP="00A2588D">
      <w:pPr>
        <w:rPr>
          <w:b/>
          <w:i/>
        </w:rPr>
      </w:pPr>
      <w:bookmarkStart w:id="603" w:name="_Toc479166587"/>
      <w:bookmarkStart w:id="604" w:name="_Toc479164872"/>
      <w:bookmarkStart w:id="605" w:name="_Toc416769145"/>
      <w:bookmarkStart w:id="606" w:name="_Toc407201850"/>
      <w:bookmarkStart w:id="607" w:name="_Toc337205842"/>
      <w:bookmarkStart w:id="608" w:name="_Toc326839319"/>
      <w:bookmarkStart w:id="609" w:name="_Toc314150165"/>
      <w:r w:rsidRPr="00631159">
        <w:rPr>
          <w:rFonts w:ascii="Sylfaen" w:hAnsi="Sylfaen" w:cs="Sylfaen"/>
          <w:b/>
          <w:i/>
        </w:rPr>
        <w:t>ხანძარი</w:t>
      </w:r>
      <w:bookmarkEnd w:id="603"/>
      <w:bookmarkEnd w:id="604"/>
      <w:bookmarkEnd w:id="605"/>
      <w:bookmarkEnd w:id="606"/>
      <w:bookmarkEnd w:id="607"/>
      <w:bookmarkEnd w:id="608"/>
      <w:bookmarkEnd w:id="609"/>
    </w:p>
    <w:p w14:paraId="3C0D0154" w14:textId="77777777" w:rsidR="00A2588D" w:rsidRPr="003D733D" w:rsidRDefault="00A2588D" w:rsidP="00A2588D">
      <w:pPr>
        <w:rPr>
          <w:lang w:val="ka-GE"/>
        </w:rPr>
      </w:pPr>
      <w:r w:rsidRPr="003D733D">
        <w:rPr>
          <w:rFonts w:ascii="Sylfaen" w:hAnsi="Sylfaen" w:cs="Sylfaen"/>
        </w:rPr>
        <w:t>ხანძრის</w:t>
      </w:r>
      <w:r w:rsidRPr="003D733D">
        <w:t xml:space="preserve"> </w:t>
      </w:r>
      <w:r w:rsidRPr="003D733D">
        <w:rPr>
          <w:rFonts w:ascii="Sylfaen" w:hAnsi="Sylfaen" w:cs="Sylfaen"/>
        </w:rPr>
        <w:t>აღმოცენება</w:t>
      </w:r>
      <w:r w:rsidRPr="003D733D">
        <w:t>-</w:t>
      </w:r>
      <w:r w:rsidRPr="003D733D">
        <w:rPr>
          <w:rFonts w:ascii="Sylfaen" w:hAnsi="Sylfaen" w:cs="Sylfaen"/>
        </w:rPr>
        <w:t>გავრცელების</w:t>
      </w:r>
      <w:r w:rsidRPr="003D733D">
        <w:t xml:space="preserve"> </w:t>
      </w:r>
      <w:r w:rsidRPr="003D733D">
        <w:rPr>
          <w:rFonts w:ascii="Sylfaen" w:hAnsi="Sylfaen" w:cs="Sylfaen"/>
        </w:rPr>
        <w:t>რისკები</w:t>
      </w:r>
      <w:r w:rsidRPr="003D733D">
        <w:t xml:space="preserve"> </w:t>
      </w:r>
      <w:r w:rsidRPr="003D733D">
        <w:rPr>
          <w:rFonts w:ascii="Sylfaen" w:hAnsi="Sylfaen" w:cs="Sylfaen"/>
        </w:rPr>
        <w:t>დაკავშირებულია</w:t>
      </w:r>
      <w:r w:rsidRPr="003D733D">
        <w:t xml:space="preserve"> </w:t>
      </w:r>
      <w:r w:rsidRPr="003D733D">
        <w:rPr>
          <w:rFonts w:ascii="Sylfaen" w:hAnsi="Sylfaen" w:cs="Sylfaen"/>
        </w:rPr>
        <w:t>ნავთობპროდუქტების</w:t>
      </w:r>
      <w:r w:rsidRPr="003D733D">
        <w:t xml:space="preserve"> </w:t>
      </w:r>
      <w:r w:rsidRPr="003D733D">
        <w:rPr>
          <w:rFonts w:ascii="Sylfaen" w:hAnsi="Sylfaen" w:cs="Sylfaen"/>
        </w:rPr>
        <w:t>და</w:t>
      </w:r>
      <w:r w:rsidRPr="003D733D">
        <w:t xml:space="preserve"> </w:t>
      </w:r>
      <w:r w:rsidRPr="003D733D">
        <w:rPr>
          <w:rFonts w:ascii="Sylfaen" w:hAnsi="Sylfaen" w:cs="Sylfaen"/>
        </w:rPr>
        <w:t>ზეთების</w:t>
      </w:r>
      <w:r w:rsidRPr="003D733D">
        <w:t xml:space="preserve"> </w:t>
      </w:r>
      <w:r w:rsidRPr="003D733D">
        <w:rPr>
          <w:rFonts w:ascii="Sylfaen" w:hAnsi="Sylfaen" w:cs="Sylfaen"/>
        </w:rPr>
        <w:t>გამოყენების</w:t>
      </w:r>
      <w:r w:rsidRPr="003D733D">
        <w:t xml:space="preserve"> </w:t>
      </w:r>
      <w:r w:rsidRPr="003D733D">
        <w:rPr>
          <w:rFonts w:ascii="Sylfaen" w:hAnsi="Sylfaen" w:cs="Sylfaen"/>
        </w:rPr>
        <w:t>წესების</w:t>
      </w:r>
      <w:r w:rsidRPr="003D733D">
        <w:t xml:space="preserve"> </w:t>
      </w:r>
      <w:r w:rsidRPr="003D733D">
        <w:rPr>
          <w:rFonts w:ascii="Sylfaen" w:hAnsi="Sylfaen" w:cs="Sylfaen"/>
        </w:rPr>
        <w:t>დარღვევასთან</w:t>
      </w:r>
      <w:r w:rsidRPr="003D733D">
        <w:t xml:space="preserve">, </w:t>
      </w:r>
      <w:r w:rsidRPr="003D733D">
        <w:rPr>
          <w:rFonts w:ascii="Sylfaen" w:hAnsi="Sylfaen" w:cs="Sylfaen"/>
        </w:rPr>
        <w:t>მუშა</w:t>
      </w:r>
      <w:r w:rsidRPr="003D733D">
        <w:t xml:space="preserve"> </w:t>
      </w:r>
      <w:r w:rsidRPr="003D733D">
        <w:rPr>
          <w:rFonts w:ascii="Sylfaen" w:hAnsi="Sylfaen" w:cs="Sylfaen"/>
        </w:rPr>
        <w:t>პერსონალის</w:t>
      </w:r>
      <w:r w:rsidRPr="003D733D">
        <w:t xml:space="preserve"> </w:t>
      </w:r>
      <w:r w:rsidRPr="003D733D">
        <w:rPr>
          <w:rFonts w:ascii="Sylfaen" w:hAnsi="Sylfaen" w:cs="Sylfaen"/>
        </w:rPr>
        <w:t>დაუდევრობასთან</w:t>
      </w:r>
      <w:r w:rsidRPr="003D733D">
        <w:t xml:space="preserve">. </w:t>
      </w:r>
      <w:r w:rsidRPr="003D733D">
        <w:rPr>
          <w:rFonts w:ascii="Sylfaen" w:hAnsi="Sylfaen" w:cs="Sylfaen"/>
        </w:rPr>
        <w:t>ხანძრების</w:t>
      </w:r>
      <w:r w:rsidRPr="003D733D">
        <w:t xml:space="preserve"> </w:t>
      </w:r>
      <w:r w:rsidRPr="003D733D">
        <w:rPr>
          <w:rFonts w:ascii="Sylfaen" w:hAnsi="Sylfaen" w:cs="Sylfaen"/>
        </w:rPr>
        <w:t>აღმოცენება</w:t>
      </w:r>
      <w:r w:rsidRPr="003D733D">
        <w:t>-</w:t>
      </w:r>
      <w:r w:rsidRPr="003D733D">
        <w:rPr>
          <w:rFonts w:ascii="Sylfaen" w:hAnsi="Sylfaen" w:cs="Sylfaen"/>
        </w:rPr>
        <w:t>გავრცელების</w:t>
      </w:r>
      <w:r w:rsidRPr="003D733D">
        <w:t xml:space="preserve"> </w:t>
      </w:r>
      <w:r w:rsidRPr="003D733D">
        <w:rPr>
          <w:rFonts w:ascii="Sylfaen" w:hAnsi="Sylfaen" w:cs="Sylfaen"/>
        </w:rPr>
        <w:t>პრევენციის</w:t>
      </w:r>
      <w:r w:rsidRPr="003D733D">
        <w:t xml:space="preserve"> </w:t>
      </w:r>
      <w:r w:rsidRPr="003D733D">
        <w:rPr>
          <w:rFonts w:ascii="Sylfaen" w:hAnsi="Sylfaen" w:cs="Sylfaen"/>
        </w:rPr>
        <w:t>მიზნით</w:t>
      </w:r>
      <w:r w:rsidRPr="003D733D">
        <w:t xml:space="preserve"> </w:t>
      </w:r>
      <w:r w:rsidRPr="003D733D">
        <w:rPr>
          <w:rFonts w:ascii="Sylfaen" w:hAnsi="Sylfaen" w:cs="Sylfaen"/>
        </w:rPr>
        <w:t>აუცილებელია</w:t>
      </w:r>
      <w:r w:rsidRPr="003D733D">
        <w:t xml:space="preserve"> </w:t>
      </w:r>
      <w:r w:rsidRPr="003D733D">
        <w:rPr>
          <w:rFonts w:ascii="Sylfaen" w:hAnsi="Sylfaen" w:cs="Sylfaen"/>
        </w:rPr>
        <w:t>საწვავ</w:t>
      </w:r>
      <w:r w:rsidRPr="003D733D">
        <w:t>-</w:t>
      </w:r>
      <w:r w:rsidRPr="003D733D">
        <w:rPr>
          <w:rFonts w:ascii="Sylfaen" w:hAnsi="Sylfaen" w:cs="Sylfaen"/>
        </w:rPr>
        <w:t>საპოხი</w:t>
      </w:r>
      <w:r w:rsidRPr="003D733D">
        <w:t xml:space="preserve"> </w:t>
      </w:r>
      <w:r w:rsidRPr="003D733D">
        <w:rPr>
          <w:rFonts w:ascii="Sylfaen" w:hAnsi="Sylfaen" w:cs="Sylfaen"/>
        </w:rPr>
        <w:t>მასალების</w:t>
      </w:r>
      <w:r w:rsidRPr="003D733D">
        <w:t xml:space="preserve"> </w:t>
      </w:r>
      <w:r w:rsidRPr="003D733D">
        <w:rPr>
          <w:rFonts w:ascii="Sylfaen" w:hAnsi="Sylfaen" w:cs="Sylfaen"/>
        </w:rPr>
        <w:t>შენახვის</w:t>
      </w:r>
      <w:r w:rsidRPr="003D733D">
        <w:t xml:space="preserve"> </w:t>
      </w:r>
      <w:r w:rsidRPr="003D733D">
        <w:rPr>
          <w:rFonts w:ascii="Sylfaen" w:hAnsi="Sylfaen" w:cs="Sylfaen"/>
        </w:rPr>
        <w:t>წესების</w:t>
      </w:r>
      <w:r w:rsidRPr="003D733D">
        <w:t xml:space="preserve"> </w:t>
      </w:r>
      <w:r w:rsidRPr="003D733D">
        <w:rPr>
          <w:rFonts w:ascii="Sylfaen" w:hAnsi="Sylfaen" w:cs="Sylfaen"/>
        </w:rPr>
        <w:t>დაცვაზე</w:t>
      </w:r>
      <w:r w:rsidRPr="003D733D">
        <w:t xml:space="preserve"> </w:t>
      </w:r>
      <w:r w:rsidRPr="003D733D">
        <w:rPr>
          <w:rFonts w:ascii="Sylfaen" w:hAnsi="Sylfaen" w:cs="Sylfaen"/>
        </w:rPr>
        <w:t>მკაცრი</w:t>
      </w:r>
      <w:r w:rsidRPr="003D733D">
        <w:t xml:space="preserve"> </w:t>
      </w:r>
      <w:r w:rsidRPr="003D733D">
        <w:rPr>
          <w:rFonts w:ascii="Sylfaen" w:hAnsi="Sylfaen" w:cs="Sylfaen"/>
        </w:rPr>
        <w:t>ზედამხედველობა</w:t>
      </w:r>
      <w:r w:rsidRPr="003D733D">
        <w:t xml:space="preserve">, </w:t>
      </w:r>
      <w:r w:rsidRPr="003D733D">
        <w:rPr>
          <w:rFonts w:ascii="Sylfaen" w:hAnsi="Sylfaen" w:cs="Sylfaen"/>
        </w:rPr>
        <w:t>სამშენებლო</w:t>
      </w:r>
      <w:r w:rsidRPr="003D733D">
        <w:t xml:space="preserve"> </w:t>
      </w:r>
      <w:r w:rsidRPr="003D733D">
        <w:rPr>
          <w:rFonts w:ascii="Sylfaen" w:hAnsi="Sylfaen" w:cs="Sylfaen"/>
        </w:rPr>
        <w:t>ბაზის</w:t>
      </w:r>
      <w:r w:rsidRPr="003D733D">
        <w:t xml:space="preserve"> </w:t>
      </w:r>
      <w:r w:rsidRPr="003D733D">
        <w:rPr>
          <w:rFonts w:ascii="Sylfaen" w:hAnsi="Sylfaen" w:cs="Sylfaen"/>
        </w:rPr>
        <w:t>ხანძარქრობის</w:t>
      </w:r>
      <w:r w:rsidRPr="003D733D">
        <w:t xml:space="preserve"> </w:t>
      </w:r>
      <w:r w:rsidRPr="003D733D">
        <w:rPr>
          <w:rFonts w:ascii="Sylfaen" w:hAnsi="Sylfaen" w:cs="Sylfaen"/>
        </w:rPr>
        <w:t>საშუალებებით</w:t>
      </w:r>
      <w:r w:rsidRPr="003D733D">
        <w:t xml:space="preserve"> </w:t>
      </w:r>
      <w:r w:rsidRPr="003D733D">
        <w:rPr>
          <w:rFonts w:ascii="Sylfaen" w:hAnsi="Sylfaen" w:cs="Sylfaen"/>
        </w:rPr>
        <w:t>უზრუნველყოფა</w:t>
      </w:r>
      <w:r w:rsidRPr="003D733D">
        <w:t xml:space="preserve">, </w:t>
      </w:r>
      <w:r w:rsidRPr="003D733D">
        <w:rPr>
          <w:rFonts w:ascii="Sylfaen" w:hAnsi="Sylfaen" w:cs="Sylfaen"/>
        </w:rPr>
        <w:t>პერსონალის</w:t>
      </w:r>
      <w:r w:rsidRPr="003D733D">
        <w:t xml:space="preserve"> </w:t>
      </w:r>
      <w:r w:rsidRPr="003D733D">
        <w:rPr>
          <w:rFonts w:ascii="Sylfaen" w:hAnsi="Sylfaen" w:cs="Sylfaen"/>
        </w:rPr>
        <w:t>პერიოდული</w:t>
      </w:r>
      <w:r w:rsidRPr="003D733D">
        <w:t xml:space="preserve"> </w:t>
      </w:r>
      <w:r w:rsidRPr="003D733D">
        <w:rPr>
          <w:rFonts w:ascii="Sylfaen" w:hAnsi="Sylfaen" w:cs="Sylfaen"/>
        </w:rPr>
        <w:t>სწავლება</w:t>
      </w:r>
      <w:r w:rsidRPr="003D733D">
        <w:t xml:space="preserve"> </w:t>
      </w:r>
      <w:r w:rsidRPr="003D733D">
        <w:rPr>
          <w:rFonts w:ascii="Sylfaen" w:hAnsi="Sylfaen" w:cs="Sylfaen"/>
        </w:rPr>
        <w:t>და</w:t>
      </w:r>
      <w:r w:rsidRPr="003D733D">
        <w:t xml:space="preserve"> </w:t>
      </w:r>
      <w:r w:rsidRPr="003D733D">
        <w:rPr>
          <w:rFonts w:ascii="Sylfaen" w:hAnsi="Sylfaen" w:cs="Sylfaen"/>
        </w:rPr>
        <w:t>ტესტირება</w:t>
      </w:r>
      <w:r w:rsidRPr="003D733D">
        <w:t xml:space="preserve"> </w:t>
      </w:r>
      <w:r w:rsidRPr="003D733D">
        <w:rPr>
          <w:rFonts w:ascii="Sylfaen" w:hAnsi="Sylfaen" w:cs="Sylfaen"/>
        </w:rPr>
        <w:t>ხანძრის</w:t>
      </w:r>
      <w:r w:rsidRPr="003D733D">
        <w:t xml:space="preserve"> </w:t>
      </w:r>
      <w:r w:rsidRPr="003D733D">
        <w:rPr>
          <w:rFonts w:ascii="Sylfaen" w:hAnsi="Sylfaen" w:cs="Sylfaen"/>
        </w:rPr>
        <w:t>პრევენციის</w:t>
      </w:r>
      <w:r w:rsidRPr="003D733D">
        <w:t xml:space="preserve"> </w:t>
      </w:r>
      <w:r w:rsidRPr="003D733D">
        <w:rPr>
          <w:rFonts w:ascii="Sylfaen" w:hAnsi="Sylfaen" w:cs="Sylfaen"/>
        </w:rPr>
        <w:t>და</w:t>
      </w:r>
      <w:r w:rsidRPr="003D733D">
        <w:t xml:space="preserve"> </w:t>
      </w:r>
      <w:r w:rsidRPr="003D733D">
        <w:rPr>
          <w:rFonts w:ascii="Sylfaen" w:hAnsi="Sylfaen" w:cs="Sylfaen"/>
        </w:rPr>
        <w:t>მისი</w:t>
      </w:r>
      <w:r w:rsidRPr="003D733D">
        <w:t xml:space="preserve"> </w:t>
      </w:r>
      <w:r w:rsidRPr="003D733D">
        <w:rPr>
          <w:rFonts w:ascii="Sylfaen" w:hAnsi="Sylfaen" w:cs="Sylfaen"/>
        </w:rPr>
        <w:t>შედეგების</w:t>
      </w:r>
      <w:r w:rsidRPr="003D733D">
        <w:t xml:space="preserve"> </w:t>
      </w:r>
      <w:r w:rsidRPr="003D733D">
        <w:rPr>
          <w:rFonts w:ascii="Sylfaen" w:hAnsi="Sylfaen" w:cs="Sylfaen"/>
        </w:rPr>
        <w:t>ლიკვიდაციის</w:t>
      </w:r>
      <w:r w:rsidRPr="003D733D">
        <w:t xml:space="preserve"> </w:t>
      </w:r>
      <w:r w:rsidRPr="003D733D">
        <w:rPr>
          <w:rFonts w:ascii="Sylfaen" w:hAnsi="Sylfaen" w:cs="Sylfaen"/>
        </w:rPr>
        <w:t>საკითხებზე</w:t>
      </w:r>
      <w:r w:rsidRPr="003D733D">
        <w:t xml:space="preserve">, </w:t>
      </w:r>
      <w:r w:rsidRPr="003D733D">
        <w:rPr>
          <w:rFonts w:ascii="Sylfaen" w:hAnsi="Sylfaen" w:cs="Sylfaen"/>
        </w:rPr>
        <w:t>ასევე</w:t>
      </w:r>
      <w:r w:rsidRPr="003D733D">
        <w:t xml:space="preserve"> </w:t>
      </w:r>
      <w:r w:rsidRPr="003D733D">
        <w:rPr>
          <w:rFonts w:ascii="Sylfaen" w:hAnsi="Sylfaen" w:cs="Sylfaen"/>
        </w:rPr>
        <w:t>ავარიული</w:t>
      </w:r>
      <w:r w:rsidRPr="003D733D">
        <w:t xml:space="preserve"> </w:t>
      </w:r>
      <w:r w:rsidRPr="003D733D">
        <w:rPr>
          <w:rFonts w:ascii="Sylfaen" w:hAnsi="Sylfaen" w:cs="Sylfaen"/>
        </w:rPr>
        <w:t>სიტუაციის</w:t>
      </w:r>
      <w:r w:rsidRPr="003D733D">
        <w:t xml:space="preserve"> </w:t>
      </w:r>
      <w:r w:rsidRPr="003D733D">
        <w:rPr>
          <w:rFonts w:ascii="Sylfaen" w:hAnsi="Sylfaen" w:cs="Sylfaen"/>
        </w:rPr>
        <w:t>შესახებ</w:t>
      </w:r>
      <w:r w:rsidRPr="003D733D">
        <w:t xml:space="preserve"> </w:t>
      </w:r>
      <w:r w:rsidRPr="003D733D">
        <w:rPr>
          <w:rFonts w:ascii="Sylfaen" w:hAnsi="Sylfaen" w:cs="Sylfaen"/>
        </w:rPr>
        <w:t>შეტყობინების</w:t>
      </w:r>
      <w:r w:rsidRPr="003D733D">
        <w:t xml:space="preserve"> </w:t>
      </w:r>
      <w:r w:rsidRPr="003D733D">
        <w:rPr>
          <w:rFonts w:ascii="Sylfaen" w:hAnsi="Sylfaen" w:cs="Sylfaen"/>
        </w:rPr>
        <w:t>მიწოდების</w:t>
      </w:r>
      <w:r w:rsidRPr="003D733D">
        <w:t xml:space="preserve"> </w:t>
      </w:r>
      <w:r w:rsidRPr="003D733D">
        <w:rPr>
          <w:rFonts w:ascii="Sylfaen" w:hAnsi="Sylfaen" w:cs="Sylfaen"/>
        </w:rPr>
        <w:t>სრულყოფილი</w:t>
      </w:r>
      <w:r w:rsidRPr="003D733D">
        <w:t xml:space="preserve"> </w:t>
      </w:r>
      <w:r w:rsidRPr="003D733D">
        <w:rPr>
          <w:rFonts w:ascii="Sylfaen" w:hAnsi="Sylfaen" w:cs="Sylfaen"/>
        </w:rPr>
        <w:t>სისტემის</w:t>
      </w:r>
      <w:r w:rsidRPr="003D733D">
        <w:t xml:space="preserve"> </w:t>
      </w:r>
      <w:r w:rsidRPr="003D733D">
        <w:rPr>
          <w:rFonts w:ascii="Sylfaen" w:hAnsi="Sylfaen" w:cs="Sylfaen"/>
        </w:rPr>
        <w:t>არსებობა</w:t>
      </w:r>
      <w:r w:rsidRPr="003D733D">
        <w:t xml:space="preserve">.      </w:t>
      </w:r>
    </w:p>
    <w:p w14:paraId="59F8BAFF" w14:textId="77777777" w:rsidR="00A2588D" w:rsidRPr="003D733D" w:rsidRDefault="00A2588D" w:rsidP="00A2588D">
      <w:r w:rsidRPr="003D733D">
        <w:t xml:space="preserve"> </w:t>
      </w:r>
    </w:p>
    <w:p w14:paraId="362AAD6B" w14:textId="77777777" w:rsidR="00A2588D" w:rsidRPr="00631159" w:rsidRDefault="00A2588D" w:rsidP="00A2588D">
      <w:pPr>
        <w:rPr>
          <w:b/>
          <w:i/>
        </w:rPr>
      </w:pPr>
      <w:bookmarkStart w:id="610" w:name="_Toc479166588"/>
      <w:bookmarkStart w:id="611" w:name="_Toc479164873"/>
      <w:bookmarkStart w:id="612" w:name="_Toc416769146"/>
      <w:bookmarkStart w:id="613" w:name="_Toc407201851"/>
      <w:bookmarkStart w:id="614" w:name="_Toc337205843"/>
      <w:bookmarkStart w:id="615" w:name="_Toc326839320"/>
      <w:bookmarkStart w:id="616" w:name="_Toc314150166"/>
      <w:r w:rsidRPr="00631159">
        <w:rPr>
          <w:rFonts w:ascii="Sylfaen" w:hAnsi="Sylfaen" w:cs="Sylfaen"/>
          <w:b/>
          <w:i/>
        </w:rPr>
        <w:t>მუშახელის</w:t>
      </w:r>
      <w:r w:rsidRPr="00631159">
        <w:rPr>
          <w:b/>
          <w:i/>
        </w:rPr>
        <w:t xml:space="preserve"> </w:t>
      </w:r>
      <w:r w:rsidRPr="00631159">
        <w:rPr>
          <w:rFonts w:ascii="Sylfaen" w:hAnsi="Sylfaen" w:cs="Sylfaen"/>
          <w:b/>
          <w:i/>
        </w:rPr>
        <w:t>დაშავება</w:t>
      </w:r>
      <w:bookmarkEnd w:id="610"/>
      <w:bookmarkEnd w:id="611"/>
      <w:bookmarkEnd w:id="612"/>
      <w:bookmarkEnd w:id="613"/>
      <w:bookmarkEnd w:id="614"/>
      <w:bookmarkEnd w:id="615"/>
      <w:bookmarkEnd w:id="616"/>
    </w:p>
    <w:p w14:paraId="1E4BA11D" w14:textId="77777777" w:rsidR="00A2588D" w:rsidRPr="003D733D" w:rsidRDefault="00A2588D" w:rsidP="00A2588D">
      <w:pPr>
        <w:rPr>
          <w:lang w:val="ka-GE"/>
        </w:rPr>
      </w:pPr>
      <w:r w:rsidRPr="003D733D">
        <w:rPr>
          <w:rFonts w:ascii="Sylfaen" w:hAnsi="Sylfaen" w:cs="Sylfaen"/>
        </w:rPr>
        <w:t>გარდა</w:t>
      </w:r>
      <w:r w:rsidRPr="003D733D">
        <w:t xml:space="preserve"> </w:t>
      </w:r>
      <w:r w:rsidRPr="003D733D">
        <w:rPr>
          <w:rFonts w:ascii="Sylfaen" w:hAnsi="Sylfaen" w:cs="Sylfaen"/>
        </w:rPr>
        <w:t>სხვა</w:t>
      </w:r>
      <w:r w:rsidRPr="003D733D">
        <w:t xml:space="preserve"> </w:t>
      </w:r>
      <w:r w:rsidRPr="003D733D">
        <w:rPr>
          <w:rFonts w:ascii="Sylfaen" w:hAnsi="Sylfaen" w:cs="Sylfaen"/>
        </w:rPr>
        <w:t>ავარიულ</w:t>
      </w:r>
      <w:r w:rsidRPr="003D733D">
        <w:t xml:space="preserve"> </w:t>
      </w:r>
      <w:r w:rsidRPr="003D733D">
        <w:rPr>
          <w:rFonts w:ascii="Sylfaen" w:hAnsi="Sylfaen" w:cs="Sylfaen"/>
        </w:rPr>
        <w:t>სიტუაციებთან</w:t>
      </w:r>
      <w:r w:rsidRPr="003D733D">
        <w:t xml:space="preserve"> </w:t>
      </w:r>
      <w:r w:rsidRPr="003D733D">
        <w:rPr>
          <w:rFonts w:ascii="Sylfaen" w:hAnsi="Sylfaen" w:cs="Sylfaen"/>
        </w:rPr>
        <w:t>დაკავშირებული</w:t>
      </w:r>
      <w:r w:rsidRPr="003D733D">
        <w:t xml:space="preserve"> </w:t>
      </w:r>
      <w:r w:rsidRPr="003D733D">
        <w:rPr>
          <w:rFonts w:ascii="Sylfaen" w:hAnsi="Sylfaen" w:cs="Sylfaen"/>
        </w:rPr>
        <w:t>ინციდენტებისა</w:t>
      </w:r>
      <w:r w:rsidRPr="003D733D">
        <w:t xml:space="preserve"> </w:t>
      </w:r>
      <w:r w:rsidRPr="003D733D">
        <w:rPr>
          <w:rFonts w:ascii="Sylfaen" w:hAnsi="Sylfaen" w:cs="Sylfaen"/>
        </w:rPr>
        <w:t>მუშახელის</w:t>
      </w:r>
      <w:r w:rsidRPr="003D733D">
        <w:t xml:space="preserve"> </w:t>
      </w:r>
      <w:r w:rsidRPr="003D733D">
        <w:rPr>
          <w:rFonts w:ascii="Sylfaen" w:hAnsi="Sylfaen" w:cs="Sylfaen"/>
        </w:rPr>
        <w:t>ტრავმატიზმი</w:t>
      </w:r>
      <w:r w:rsidRPr="003D733D">
        <w:t xml:space="preserve"> </w:t>
      </w:r>
      <w:r w:rsidRPr="003D733D">
        <w:rPr>
          <w:rFonts w:ascii="Sylfaen" w:hAnsi="Sylfaen" w:cs="Sylfaen"/>
        </w:rPr>
        <w:t>შესაძლოა</w:t>
      </w:r>
      <w:r w:rsidRPr="003D733D">
        <w:t xml:space="preserve"> </w:t>
      </w:r>
      <w:r w:rsidRPr="003D733D">
        <w:rPr>
          <w:rFonts w:ascii="Sylfaen" w:hAnsi="Sylfaen" w:cs="Sylfaen"/>
        </w:rPr>
        <w:t>უკავშირდებოდეს</w:t>
      </w:r>
      <w:r w:rsidRPr="003D733D">
        <w:t xml:space="preserve">: </w:t>
      </w:r>
    </w:p>
    <w:p w14:paraId="567094B3" w14:textId="77777777" w:rsidR="00A2588D" w:rsidRPr="003D733D" w:rsidRDefault="00A2588D" w:rsidP="00A2588D">
      <w:r w:rsidRPr="003D733D">
        <w:rPr>
          <w:rFonts w:ascii="Sylfaen" w:hAnsi="Sylfaen" w:cs="Sylfaen"/>
        </w:rPr>
        <w:t>პროექტისთვის</w:t>
      </w:r>
      <w:r w:rsidRPr="003D733D">
        <w:t xml:space="preserve"> </w:t>
      </w:r>
      <w:r w:rsidRPr="003D733D">
        <w:rPr>
          <w:rFonts w:ascii="Sylfaen" w:hAnsi="Sylfaen" w:cs="Sylfaen"/>
        </w:rPr>
        <w:t>გამოყენებულ</w:t>
      </w:r>
      <w:r w:rsidRPr="003D733D">
        <w:t xml:space="preserve"> </w:t>
      </w:r>
      <w:r w:rsidRPr="003D733D">
        <w:rPr>
          <w:rFonts w:ascii="Sylfaen" w:hAnsi="Sylfaen" w:cs="Sylfaen"/>
        </w:rPr>
        <w:t>მძიმე</w:t>
      </w:r>
      <w:r w:rsidRPr="003D733D">
        <w:t xml:space="preserve"> </w:t>
      </w:r>
      <w:r w:rsidRPr="003D733D">
        <w:rPr>
          <w:rFonts w:ascii="Sylfaen" w:hAnsi="Sylfaen" w:cs="Sylfaen"/>
        </w:rPr>
        <w:t>ტექნიკასთან</w:t>
      </w:r>
      <w:r w:rsidRPr="003D733D">
        <w:t>/</w:t>
      </w:r>
      <w:r w:rsidRPr="003D733D">
        <w:rPr>
          <w:rFonts w:ascii="Sylfaen" w:hAnsi="Sylfaen" w:cs="Sylfaen"/>
        </w:rPr>
        <w:t>მანქანებთან</w:t>
      </w:r>
      <w:r w:rsidRPr="003D733D">
        <w:t xml:space="preserve"> </w:t>
      </w:r>
      <w:r w:rsidRPr="003D733D">
        <w:rPr>
          <w:rFonts w:ascii="Sylfaen" w:hAnsi="Sylfaen" w:cs="Sylfaen"/>
        </w:rPr>
        <w:t>დაკავშირებულ</w:t>
      </w:r>
      <w:r w:rsidRPr="003D733D">
        <w:t xml:space="preserve"> </w:t>
      </w:r>
      <w:r w:rsidRPr="003D733D">
        <w:rPr>
          <w:rFonts w:ascii="Sylfaen" w:hAnsi="Sylfaen" w:cs="Sylfaen"/>
        </w:rPr>
        <w:t>ინციდენტებს</w:t>
      </w:r>
      <w:r w:rsidRPr="003D733D">
        <w:t xml:space="preserve">; </w:t>
      </w:r>
    </w:p>
    <w:p w14:paraId="38057596" w14:textId="77777777" w:rsidR="00A2588D" w:rsidRPr="003D733D" w:rsidRDefault="00A2588D" w:rsidP="00A2588D">
      <w:r w:rsidRPr="003D733D">
        <w:rPr>
          <w:rFonts w:ascii="Sylfaen" w:hAnsi="Sylfaen" w:cs="Sylfaen"/>
        </w:rPr>
        <w:t>სიმაღლეზე</w:t>
      </w:r>
      <w:r w:rsidRPr="003D733D">
        <w:t xml:space="preserve"> </w:t>
      </w:r>
      <w:r w:rsidRPr="003D733D">
        <w:rPr>
          <w:rFonts w:ascii="Sylfaen" w:hAnsi="Sylfaen" w:cs="Sylfaen"/>
        </w:rPr>
        <w:t>მუშაობას</w:t>
      </w:r>
      <w:r w:rsidRPr="003D733D">
        <w:t xml:space="preserve"> </w:t>
      </w:r>
      <w:r w:rsidRPr="003D733D">
        <w:rPr>
          <w:rFonts w:ascii="Sylfaen" w:hAnsi="Sylfaen" w:cs="Sylfaen"/>
        </w:rPr>
        <w:t>სადემონტაჟო</w:t>
      </w:r>
      <w:r w:rsidRPr="003D733D">
        <w:t xml:space="preserve"> </w:t>
      </w:r>
      <w:r w:rsidRPr="003D733D">
        <w:rPr>
          <w:rFonts w:ascii="Sylfaen" w:hAnsi="Sylfaen" w:cs="Sylfaen"/>
        </w:rPr>
        <w:t>სამუშაოების</w:t>
      </w:r>
      <w:r w:rsidRPr="003D733D">
        <w:t xml:space="preserve"> </w:t>
      </w:r>
      <w:r w:rsidRPr="003D733D">
        <w:rPr>
          <w:rFonts w:ascii="Sylfaen" w:hAnsi="Sylfaen" w:cs="Sylfaen"/>
        </w:rPr>
        <w:t>შესრულებისას</w:t>
      </w:r>
      <w:r w:rsidRPr="003D733D">
        <w:t>;</w:t>
      </w:r>
    </w:p>
    <w:p w14:paraId="447CDE2C" w14:textId="77777777" w:rsidR="00A2588D" w:rsidRPr="003D733D" w:rsidRDefault="00A2588D" w:rsidP="00A2588D">
      <w:r w:rsidRPr="003D733D">
        <w:rPr>
          <w:rFonts w:ascii="Sylfaen" w:hAnsi="Sylfaen" w:cs="Sylfaen"/>
        </w:rPr>
        <w:t>მოხმარებული</w:t>
      </w:r>
      <w:r w:rsidRPr="003D733D">
        <w:t xml:space="preserve"> </w:t>
      </w:r>
      <w:r w:rsidRPr="003D733D">
        <w:rPr>
          <w:rFonts w:ascii="Sylfaen" w:hAnsi="Sylfaen" w:cs="Sylfaen"/>
        </w:rPr>
        <w:t>ქიმიური</w:t>
      </w:r>
      <w:r w:rsidRPr="003D733D">
        <w:t xml:space="preserve"> </w:t>
      </w:r>
      <w:r w:rsidRPr="003D733D">
        <w:rPr>
          <w:rFonts w:ascii="Sylfaen" w:hAnsi="Sylfaen" w:cs="Sylfaen"/>
        </w:rPr>
        <w:t>ნივთიერებებით</w:t>
      </w:r>
      <w:r w:rsidRPr="003D733D">
        <w:t xml:space="preserve"> </w:t>
      </w:r>
      <w:r w:rsidRPr="003D733D">
        <w:rPr>
          <w:rFonts w:ascii="Sylfaen" w:hAnsi="Sylfaen" w:cs="Sylfaen"/>
        </w:rPr>
        <w:t>მოწამვლას</w:t>
      </w:r>
      <w:r w:rsidRPr="003D733D">
        <w:t xml:space="preserve">; </w:t>
      </w:r>
    </w:p>
    <w:p w14:paraId="0564204B" w14:textId="77777777" w:rsidR="00A2588D" w:rsidRPr="003D733D" w:rsidRDefault="00A2588D" w:rsidP="00A2588D">
      <w:r w:rsidRPr="003D733D">
        <w:rPr>
          <w:rFonts w:ascii="Sylfaen" w:hAnsi="Sylfaen" w:cs="Sylfaen"/>
        </w:rPr>
        <w:t>დენის</w:t>
      </w:r>
      <w:r w:rsidRPr="003D733D">
        <w:t xml:space="preserve"> </w:t>
      </w:r>
      <w:r w:rsidRPr="003D733D">
        <w:rPr>
          <w:rFonts w:ascii="Sylfaen" w:hAnsi="Sylfaen" w:cs="Sylfaen"/>
        </w:rPr>
        <w:t>დარტყმას</w:t>
      </w:r>
      <w:r w:rsidRPr="003D733D">
        <w:t xml:space="preserve"> </w:t>
      </w:r>
      <w:r w:rsidRPr="003D733D">
        <w:rPr>
          <w:rFonts w:ascii="Sylfaen" w:hAnsi="Sylfaen" w:cs="Sylfaen"/>
        </w:rPr>
        <w:t>ძაბვის</w:t>
      </w:r>
      <w:r w:rsidRPr="003D733D">
        <w:t xml:space="preserve"> </w:t>
      </w:r>
      <w:r w:rsidRPr="003D733D">
        <w:rPr>
          <w:rFonts w:ascii="Sylfaen" w:hAnsi="Sylfaen" w:cs="Sylfaen"/>
        </w:rPr>
        <w:t>ქვეშ</w:t>
      </w:r>
      <w:r w:rsidRPr="003D733D">
        <w:t xml:space="preserve"> </w:t>
      </w:r>
      <w:r w:rsidRPr="003D733D">
        <w:rPr>
          <w:rFonts w:ascii="Sylfaen" w:hAnsi="Sylfaen" w:cs="Sylfaen"/>
        </w:rPr>
        <w:t>მყოფ</w:t>
      </w:r>
      <w:r w:rsidRPr="003D733D">
        <w:t xml:space="preserve"> </w:t>
      </w:r>
      <w:r w:rsidRPr="003D733D">
        <w:rPr>
          <w:rFonts w:ascii="Sylfaen" w:hAnsi="Sylfaen" w:cs="Sylfaen"/>
        </w:rPr>
        <w:t>დანადგარებთან</w:t>
      </w:r>
      <w:r w:rsidRPr="003D733D">
        <w:t xml:space="preserve"> </w:t>
      </w:r>
      <w:r w:rsidRPr="003D733D">
        <w:rPr>
          <w:rFonts w:ascii="Sylfaen" w:hAnsi="Sylfaen" w:cs="Sylfaen"/>
        </w:rPr>
        <w:t>მუშაობისას</w:t>
      </w:r>
      <w:r w:rsidRPr="003D733D">
        <w:t>.</w:t>
      </w:r>
    </w:p>
    <w:p w14:paraId="6D379CB5" w14:textId="77777777" w:rsidR="00A2588D" w:rsidRPr="003D733D" w:rsidRDefault="00A2588D" w:rsidP="00A2588D"/>
    <w:p w14:paraId="0983C631" w14:textId="77777777" w:rsidR="00A2588D" w:rsidRPr="00631159" w:rsidRDefault="00A2588D" w:rsidP="00A2588D">
      <w:pPr>
        <w:rPr>
          <w:b/>
          <w:i/>
        </w:rPr>
      </w:pPr>
      <w:bookmarkStart w:id="617" w:name="_Toc479166589"/>
      <w:bookmarkStart w:id="618" w:name="_Toc479164874"/>
      <w:bookmarkStart w:id="619" w:name="_Toc416769147"/>
      <w:bookmarkStart w:id="620" w:name="_Toc407201852"/>
      <w:bookmarkStart w:id="621" w:name="_Toc407139084"/>
      <w:bookmarkStart w:id="622" w:name="_Toc337205844"/>
      <w:bookmarkStart w:id="623" w:name="_Toc326839321"/>
      <w:bookmarkStart w:id="624" w:name="_Toc316315664"/>
      <w:r w:rsidRPr="00631159">
        <w:rPr>
          <w:rFonts w:ascii="Sylfaen" w:hAnsi="Sylfaen" w:cs="Sylfaen"/>
          <w:b/>
          <w:i/>
        </w:rPr>
        <w:t>ავარიული</w:t>
      </w:r>
      <w:r w:rsidRPr="00631159">
        <w:rPr>
          <w:b/>
          <w:i/>
        </w:rPr>
        <w:t xml:space="preserve"> </w:t>
      </w:r>
      <w:r w:rsidRPr="00631159">
        <w:rPr>
          <w:rFonts w:ascii="Sylfaen" w:hAnsi="Sylfaen" w:cs="Sylfaen"/>
          <w:b/>
          <w:i/>
        </w:rPr>
        <w:t>სიტუაციების</w:t>
      </w:r>
      <w:r w:rsidRPr="00631159">
        <w:rPr>
          <w:b/>
          <w:i/>
        </w:rPr>
        <w:t xml:space="preserve"> </w:t>
      </w:r>
      <w:r w:rsidRPr="00631159">
        <w:rPr>
          <w:rFonts w:ascii="Sylfaen" w:hAnsi="Sylfaen" w:cs="Sylfaen"/>
          <w:b/>
          <w:i/>
        </w:rPr>
        <w:t>წარმოქმნის</w:t>
      </w:r>
      <w:r w:rsidRPr="00631159">
        <w:rPr>
          <w:b/>
          <w:i/>
        </w:rPr>
        <w:t xml:space="preserve"> </w:t>
      </w:r>
      <w:r w:rsidRPr="00631159">
        <w:rPr>
          <w:rFonts w:ascii="Sylfaen" w:hAnsi="Sylfaen" w:cs="Sylfaen"/>
          <w:b/>
          <w:i/>
        </w:rPr>
        <w:t>ძირითადი</w:t>
      </w:r>
      <w:r w:rsidRPr="00631159">
        <w:rPr>
          <w:b/>
          <w:i/>
        </w:rPr>
        <w:t xml:space="preserve"> </w:t>
      </w:r>
      <w:r w:rsidRPr="00631159">
        <w:rPr>
          <w:rFonts w:ascii="Sylfaen" w:hAnsi="Sylfaen" w:cs="Sylfaen"/>
          <w:b/>
          <w:i/>
        </w:rPr>
        <w:t>პრევენციული</w:t>
      </w:r>
      <w:r w:rsidRPr="00631159">
        <w:rPr>
          <w:b/>
          <w:i/>
        </w:rPr>
        <w:t xml:space="preserve"> </w:t>
      </w:r>
      <w:r w:rsidRPr="00631159">
        <w:rPr>
          <w:rFonts w:ascii="Sylfaen" w:hAnsi="Sylfaen" w:cs="Sylfaen"/>
          <w:b/>
          <w:i/>
        </w:rPr>
        <w:t>ღონისძიებები</w:t>
      </w:r>
      <w:bookmarkEnd w:id="617"/>
      <w:bookmarkEnd w:id="618"/>
      <w:bookmarkEnd w:id="619"/>
      <w:bookmarkEnd w:id="620"/>
      <w:bookmarkEnd w:id="621"/>
      <w:bookmarkEnd w:id="622"/>
      <w:bookmarkEnd w:id="623"/>
      <w:bookmarkEnd w:id="624"/>
    </w:p>
    <w:p w14:paraId="1F56F1C9" w14:textId="77777777" w:rsidR="00A2588D" w:rsidRPr="003D733D" w:rsidRDefault="00A2588D" w:rsidP="00A2588D">
      <w:pPr>
        <w:rPr>
          <w:lang w:val="ka-GE"/>
        </w:rPr>
      </w:pPr>
      <w:r w:rsidRPr="003D733D">
        <w:rPr>
          <w:rFonts w:ascii="Sylfaen" w:hAnsi="Sylfaen" w:cs="Sylfaen"/>
        </w:rPr>
        <w:t>სატრანსპორტო</w:t>
      </w:r>
      <w:r w:rsidRPr="003D733D">
        <w:t xml:space="preserve"> </w:t>
      </w:r>
      <w:r w:rsidRPr="003D733D">
        <w:rPr>
          <w:rFonts w:ascii="Sylfaen" w:hAnsi="Sylfaen" w:cs="Sylfaen"/>
        </w:rPr>
        <w:t>შემთხვევების</w:t>
      </w:r>
      <w:r w:rsidRPr="003D733D">
        <w:t xml:space="preserve"> </w:t>
      </w:r>
      <w:r w:rsidRPr="003D733D">
        <w:rPr>
          <w:rFonts w:ascii="Sylfaen" w:hAnsi="Sylfaen" w:cs="Sylfaen"/>
        </w:rPr>
        <w:t>პრევენციული</w:t>
      </w:r>
      <w:r w:rsidRPr="003D733D">
        <w:t xml:space="preserve"> </w:t>
      </w:r>
      <w:r w:rsidRPr="003D733D">
        <w:rPr>
          <w:rFonts w:ascii="Sylfaen" w:hAnsi="Sylfaen" w:cs="Sylfaen"/>
        </w:rPr>
        <w:t>ღონისძიებები</w:t>
      </w:r>
      <w:r w:rsidRPr="003D733D">
        <w:t>:</w:t>
      </w:r>
    </w:p>
    <w:p w14:paraId="65867765" w14:textId="77777777" w:rsidR="00A2588D" w:rsidRPr="003D733D" w:rsidRDefault="00A2588D" w:rsidP="00A2588D">
      <w:pPr>
        <w:rPr>
          <w:lang w:eastAsia="ru-RU"/>
        </w:rPr>
      </w:pPr>
      <w:r w:rsidRPr="003D733D">
        <w:rPr>
          <w:rFonts w:ascii="Sylfaen" w:hAnsi="Sylfaen" w:cs="Sylfaen"/>
        </w:rPr>
        <w:t>მოძრაობის</w:t>
      </w:r>
      <w:r w:rsidRPr="003D733D">
        <w:t xml:space="preserve"> </w:t>
      </w:r>
      <w:r w:rsidRPr="003D733D">
        <w:rPr>
          <w:rFonts w:ascii="Sylfaen" w:hAnsi="Sylfaen" w:cs="Sylfaen"/>
        </w:rPr>
        <w:t>ოპტიმალური</w:t>
      </w:r>
      <w:r w:rsidRPr="003D733D">
        <w:t xml:space="preserve"> </w:t>
      </w:r>
      <w:r w:rsidRPr="003D733D">
        <w:rPr>
          <w:rFonts w:ascii="Sylfaen" w:hAnsi="Sylfaen" w:cs="Sylfaen"/>
        </w:rPr>
        <w:t>მარშრუტების</w:t>
      </w:r>
      <w:r w:rsidRPr="003D733D">
        <w:t xml:space="preserve"> </w:t>
      </w:r>
      <w:r w:rsidRPr="003D733D">
        <w:rPr>
          <w:rFonts w:ascii="Sylfaen" w:hAnsi="Sylfaen" w:cs="Sylfaen"/>
        </w:rPr>
        <w:t>შერჩევა</w:t>
      </w:r>
      <w:r w:rsidRPr="003D733D">
        <w:t xml:space="preserve"> </w:t>
      </w:r>
      <w:r w:rsidRPr="003D733D">
        <w:rPr>
          <w:rFonts w:ascii="Sylfaen" w:hAnsi="Sylfaen" w:cs="Sylfaen"/>
        </w:rPr>
        <w:t>და</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სიჩქარეების</w:t>
      </w:r>
      <w:r w:rsidRPr="003D733D">
        <w:t xml:space="preserve"> </w:t>
      </w:r>
      <w:r w:rsidRPr="003D733D">
        <w:rPr>
          <w:rFonts w:ascii="Sylfaen" w:hAnsi="Sylfaen" w:cs="Sylfaen"/>
        </w:rPr>
        <w:t>შეზღუდვა</w:t>
      </w:r>
      <w:r w:rsidRPr="003D733D">
        <w:t>;</w:t>
      </w:r>
    </w:p>
    <w:p w14:paraId="729F538D" w14:textId="77777777" w:rsidR="00A2588D" w:rsidRPr="003D733D" w:rsidRDefault="00A2588D" w:rsidP="00A2588D">
      <w:r w:rsidRPr="003D733D">
        <w:rPr>
          <w:rFonts w:ascii="Sylfaen" w:hAnsi="Sylfaen" w:cs="Sylfaen"/>
        </w:rPr>
        <w:t>ტერიტორიაზე</w:t>
      </w:r>
      <w:r w:rsidRPr="003D733D">
        <w:t xml:space="preserve"> </w:t>
      </w:r>
      <w:r w:rsidRPr="003D733D">
        <w:rPr>
          <w:rFonts w:ascii="Sylfaen" w:hAnsi="Sylfaen" w:cs="Sylfaen"/>
        </w:rPr>
        <w:t>გამაფრთხილებელი</w:t>
      </w:r>
      <w:r w:rsidRPr="003D733D">
        <w:t xml:space="preserve">, </w:t>
      </w:r>
      <w:r w:rsidRPr="003D733D">
        <w:rPr>
          <w:rFonts w:ascii="Sylfaen" w:hAnsi="Sylfaen" w:cs="Sylfaen"/>
        </w:rPr>
        <w:t>ამკრძალავი</w:t>
      </w:r>
      <w:r w:rsidRPr="003D733D">
        <w:t xml:space="preserve"> </w:t>
      </w:r>
      <w:r w:rsidRPr="003D733D">
        <w:rPr>
          <w:rFonts w:ascii="Sylfaen" w:hAnsi="Sylfaen" w:cs="Sylfaen"/>
        </w:rPr>
        <w:t>და</w:t>
      </w:r>
      <w:r w:rsidRPr="003D733D">
        <w:t xml:space="preserve"> </w:t>
      </w:r>
      <w:r w:rsidRPr="003D733D">
        <w:rPr>
          <w:rFonts w:ascii="Sylfaen" w:hAnsi="Sylfaen" w:cs="Sylfaen"/>
        </w:rPr>
        <w:t>მიმთითებელი</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ნიშნების</w:t>
      </w:r>
      <w:r w:rsidRPr="003D733D">
        <w:t xml:space="preserve"> </w:t>
      </w:r>
      <w:r w:rsidRPr="003D733D">
        <w:rPr>
          <w:rFonts w:ascii="Sylfaen" w:hAnsi="Sylfaen" w:cs="Sylfaen"/>
        </w:rPr>
        <w:t>მოწყობა</w:t>
      </w:r>
      <w:r w:rsidRPr="003D733D">
        <w:t>;</w:t>
      </w:r>
    </w:p>
    <w:p w14:paraId="65553DB5" w14:textId="77777777" w:rsidR="00A2588D" w:rsidRPr="003D733D" w:rsidRDefault="00A2588D" w:rsidP="00A2588D">
      <w:r w:rsidRPr="003D733D">
        <w:rPr>
          <w:rFonts w:ascii="Sylfaen" w:hAnsi="Sylfaen" w:cs="Sylfaen"/>
        </w:rPr>
        <w:t>სპეციალური</w:t>
      </w:r>
      <w:r w:rsidRPr="003D733D">
        <w:t xml:space="preserve"> </w:t>
      </w:r>
      <w:r w:rsidRPr="003D733D">
        <w:rPr>
          <w:rFonts w:ascii="Sylfaen" w:hAnsi="Sylfaen" w:cs="Sylfaen"/>
        </w:rPr>
        <w:t>და</w:t>
      </w:r>
      <w:r w:rsidRPr="003D733D">
        <w:t xml:space="preserve"> </w:t>
      </w:r>
      <w:r w:rsidRPr="003D733D">
        <w:rPr>
          <w:rFonts w:ascii="Sylfaen" w:hAnsi="Sylfaen" w:cs="Sylfaen"/>
        </w:rPr>
        <w:t>არა</w:t>
      </w:r>
      <w:r w:rsidRPr="003D733D">
        <w:t xml:space="preserve"> </w:t>
      </w:r>
      <w:r w:rsidRPr="003D733D">
        <w:rPr>
          <w:rFonts w:ascii="Sylfaen" w:hAnsi="Sylfaen" w:cs="Sylfaen"/>
        </w:rPr>
        <w:t>გაბარიტული</w:t>
      </w:r>
      <w:r w:rsidRPr="003D733D">
        <w:t xml:space="preserve"> </w:t>
      </w:r>
      <w:r w:rsidRPr="003D733D">
        <w:rPr>
          <w:rFonts w:ascii="Sylfaen" w:hAnsi="Sylfaen" w:cs="Sylfaen"/>
        </w:rPr>
        <w:t>ტექნიკის</w:t>
      </w:r>
      <w:r w:rsidRPr="003D733D">
        <w:t xml:space="preserve"> </w:t>
      </w:r>
      <w:r w:rsidRPr="003D733D">
        <w:rPr>
          <w:rFonts w:ascii="Sylfaen" w:hAnsi="Sylfaen" w:cs="Sylfaen"/>
        </w:rPr>
        <w:t>გადაადგილების</w:t>
      </w:r>
      <w:r w:rsidRPr="003D733D">
        <w:t xml:space="preserve"> </w:t>
      </w:r>
      <w:r w:rsidRPr="003D733D">
        <w:rPr>
          <w:rFonts w:ascii="Sylfaen" w:hAnsi="Sylfaen" w:cs="Sylfaen"/>
        </w:rPr>
        <w:t>დროს</w:t>
      </w:r>
      <w:r w:rsidRPr="003D733D">
        <w:t xml:space="preserve"> </w:t>
      </w:r>
      <w:r w:rsidRPr="003D733D">
        <w:rPr>
          <w:rFonts w:ascii="Sylfaen" w:hAnsi="Sylfaen" w:cs="Sylfaen"/>
        </w:rPr>
        <w:t>უზრუნველყოფილი</w:t>
      </w:r>
      <w:r w:rsidRPr="003D733D">
        <w:t xml:space="preserve"> </w:t>
      </w:r>
      <w:r w:rsidRPr="003D733D">
        <w:rPr>
          <w:rFonts w:ascii="Sylfaen" w:hAnsi="Sylfaen" w:cs="Sylfaen"/>
        </w:rPr>
        <w:t>იქნას</w:t>
      </w:r>
      <w:r w:rsidRPr="003D733D">
        <w:t xml:space="preserve"> </w:t>
      </w:r>
      <w:r w:rsidRPr="003D733D">
        <w:rPr>
          <w:rFonts w:ascii="Sylfaen" w:hAnsi="Sylfaen" w:cs="Sylfaen"/>
        </w:rPr>
        <w:t>ტექნიკის</w:t>
      </w:r>
      <w:r w:rsidRPr="003D733D">
        <w:t xml:space="preserve"> </w:t>
      </w:r>
      <w:r w:rsidRPr="003D733D">
        <w:rPr>
          <w:rFonts w:ascii="Sylfaen" w:hAnsi="Sylfaen" w:cs="Sylfaen"/>
        </w:rPr>
        <w:t>გაცილების</w:t>
      </w:r>
      <w:r w:rsidRPr="003D733D">
        <w:t xml:space="preserve"> </w:t>
      </w:r>
      <w:r w:rsidRPr="003D733D">
        <w:rPr>
          <w:rFonts w:ascii="Sylfaen" w:hAnsi="Sylfaen" w:cs="Sylfaen"/>
        </w:rPr>
        <w:t>უზრუნველყოფა</w:t>
      </w:r>
      <w:r w:rsidRPr="003D733D">
        <w:t xml:space="preserve"> </w:t>
      </w:r>
      <w:r w:rsidRPr="003D733D">
        <w:rPr>
          <w:rFonts w:ascii="Sylfaen" w:hAnsi="Sylfaen" w:cs="Sylfaen"/>
        </w:rPr>
        <w:t>სპეციალურად</w:t>
      </w:r>
      <w:r w:rsidRPr="003D733D">
        <w:t xml:space="preserve"> </w:t>
      </w:r>
      <w:r w:rsidRPr="003D733D">
        <w:rPr>
          <w:rFonts w:ascii="Sylfaen" w:hAnsi="Sylfaen" w:cs="Sylfaen"/>
        </w:rPr>
        <w:t>აღჭურვილი</w:t>
      </w:r>
      <w:r w:rsidRPr="003D733D">
        <w:t xml:space="preserve"> </w:t>
      </w:r>
      <w:r w:rsidRPr="003D733D">
        <w:rPr>
          <w:rFonts w:ascii="Sylfaen" w:hAnsi="Sylfaen" w:cs="Sylfaen"/>
        </w:rPr>
        <w:t>ტექნიკითა</w:t>
      </w:r>
      <w:r w:rsidRPr="003D733D">
        <w:t xml:space="preserve"> </w:t>
      </w:r>
      <w:r w:rsidRPr="003D733D">
        <w:rPr>
          <w:rFonts w:ascii="Sylfaen" w:hAnsi="Sylfaen" w:cs="Sylfaen"/>
        </w:rPr>
        <w:t>და</w:t>
      </w:r>
      <w:r w:rsidRPr="003D733D">
        <w:t xml:space="preserve"> </w:t>
      </w:r>
      <w:r w:rsidRPr="003D733D">
        <w:rPr>
          <w:rFonts w:ascii="Sylfaen" w:hAnsi="Sylfaen" w:cs="Sylfaen"/>
        </w:rPr>
        <w:t>მომზადებული</w:t>
      </w:r>
      <w:r w:rsidRPr="003D733D">
        <w:t xml:space="preserve"> </w:t>
      </w:r>
      <w:r w:rsidRPr="003D733D">
        <w:rPr>
          <w:rFonts w:ascii="Sylfaen" w:hAnsi="Sylfaen" w:cs="Sylfaen"/>
        </w:rPr>
        <w:t>პროფესიონალური</w:t>
      </w:r>
      <w:r w:rsidRPr="003D733D">
        <w:t xml:space="preserve"> </w:t>
      </w:r>
      <w:r w:rsidRPr="003D733D">
        <w:rPr>
          <w:rFonts w:ascii="Sylfaen" w:hAnsi="Sylfaen" w:cs="Sylfaen"/>
        </w:rPr>
        <w:t>პერსონალით</w:t>
      </w:r>
      <w:r w:rsidRPr="003D733D">
        <w:t>.</w:t>
      </w:r>
    </w:p>
    <w:p w14:paraId="122D41C4" w14:textId="77777777" w:rsidR="00A2588D" w:rsidRPr="003D733D" w:rsidRDefault="00A2588D" w:rsidP="00A2588D">
      <w:r w:rsidRPr="003D733D">
        <w:rPr>
          <w:rFonts w:ascii="Sylfaen" w:hAnsi="Sylfaen" w:cs="Sylfaen"/>
        </w:rPr>
        <w:t>ნავთობპროდუქტების</w:t>
      </w:r>
      <w:r w:rsidRPr="003D733D">
        <w:t xml:space="preserve"> </w:t>
      </w:r>
      <w:r w:rsidRPr="003D733D">
        <w:rPr>
          <w:rFonts w:ascii="Sylfaen" w:hAnsi="Sylfaen" w:cs="Sylfaen"/>
        </w:rPr>
        <w:t>ან</w:t>
      </w:r>
      <w:r w:rsidRPr="003D733D">
        <w:t xml:space="preserve"> </w:t>
      </w:r>
      <w:r w:rsidRPr="003D733D">
        <w:rPr>
          <w:rFonts w:ascii="Sylfaen" w:hAnsi="Sylfaen" w:cs="Sylfaen"/>
        </w:rPr>
        <w:t>ზეთების</w:t>
      </w:r>
      <w:r w:rsidRPr="003D733D">
        <w:t xml:space="preserve"> </w:t>
      </w:r>
      <w:r w:rsidRPr="003D733D">
        <w:rPr>
          <w:rFonts w:ascii="Sylfaen" w:hAnsi="Sylfaen" w:cs="Sylfaen"/>
        </w:rPr>
        <w:t>დაღვრის</w:t>
      </w:r>
      <w:r w:rsidRPr="003D733D">
        <w:t xml:space="preserve"> </w:t>
      </w:r>
      <w:r w:rsidRPr="003D733D">
        <w:rPr>
          <w:rFonts w:ascii="Sylfaen" w:hAnsi="Sylfaen" w:cs="Sylfaen"/>
        </w:rPr>
        <w:t>პრევენციული</w:t>
      </w:r>
      <w:r w:rsidRPr="003D733D">
        <w:t xml:space="preserve"> </w:t>
      </w:r>
      <w:r w:rsidRPr="003D733D">
        <w:rPr>
          <w:rFonts w:ascii="Sylfaen" w:hAnsi="Sylfaen" w:cs="Sylfaen"/>
        </w:rPr>
        <w:t>ღონისძიებები</w:t>
      </w:r>
      <w:r w:rsidRPr="003D733D">
        <w:t>:</w:t>
      </w:r>
    </w:p>
    <w:p w14:paraId="6D40BD17" w14:textId="77777777" w:rsidR="00A2588D" w:rsidRPr="003D733D" w:rsidRDefault="00A2588D" w:rsidP="00A2588D">
      <w:r w:rsidRPr="003D733D">
        <w:rPr>
          <w:rFonts w:ascii="Sylfaen" w:hAnsi="Sylfaen" w:cs="Sylfaen"/>
        </w:rPr>
        <w:t>ნავთობპროდუქტების</w:t>
      </w:r>
      <w:r w:rsidRPr="003D733D">
        <w:t xml:space="preserve"> </w:t>
      </w:r>
      <w:r w:rsidRPr="003D733D">
        <w:rPr>
          <w:rFonts w:ascii="Sylfaen" w:hAnsi="Sylfaen" w:cs="Sylfaen"/>
        </w:rPr>
        <w:t>და</w:t>
      </w:r>
      <w:r w:rsidRPr="003D733D">
        <w:t xml:space="preserve"> </w:t>
      </w:r>
      <w:r w:rsidRPr="003D733D">
        <w:rPr>
          <w:rFonts w:ascii="Sylfaen" w:hAnsi="Sylfaen" w:cs="Sylfaen"/>
        </w:rPr>
        <w:t>ზეთების</w:t>
      </w:r>
      <w:r w:rsidRPr="003D733D">
        <w:t xml:space="preserve"> </w:t>
      </w:r>
      <w:r w:rsidRPr="003D733D">
        <w:rPr>
          <w:rFonts w:ascii="Sylfaen" w:hAnsi="Sylfaen" w:cs="Sylfaen"/>
        </w:rPr>
        <w:t>შემოტანის</w:t>
      </w:r>
      <w:r w:rsidRPr="003D733D">
        <w:t xml:space="preserve">, </w:t>
      </w:r>
      <w:r w:rsidRPr="003D733D">
        <w:rPr>
          <w:rFonts w:ascii="Sylfaen" w:hAnsi="Sylfaen" w:cs="Sylfaen"/>
        </w:rPr>
        <w:t>შენახვის</w:t>
      </w:r>
      <w:r w:rsidRPr="003D733D">
        <w:t xml:space="preserve">, </w:t>
      </w:r>
      <w:r w:rsidRPr="003D733D">
        <w:rPr>
          <w:rFonts w:ascii="Sylfaen" w:hAnsi="Sylfaen" w:cs="Sylfaen"/>
        </w:rPr>
        <w:t>გამოყენების</w:t>
      </w:r>
      <w:r w:rsidRPr="003D733D">
        <w:t xml:space="preserve"> </w:t>
      </w:r>
      <w:r w:rsidRPr="003D733D">
        <w:rPr>
          <w:rFonts w:ascii="Sylfaen" w:hAnsi="Sylfaen" w:cs="Sylfaen"/>
        </w:rPr>
        <w:t>და</w:t>
      </w:r>
      <w:r w:rsidRPr="003D733D">
        <w:t xml:space="preserve"> </w:t>
      </w:r>
      <w:r w:rsidRPr="003D733D">
        <w:rPr>
          <w:rFonts w:ascii="Sylfaen" w:hAnsi="Sylfaen" w:cs="Sylfaen"/>
        </w:rPr>
        <w:t>გატანის</w:t>
      </w:r>
      <w:r w:rsidRPr="003D733D">
        <w:t xml:space="preserve"> </w:t>
      </w:r>
      <w:r w:rsidRPr="003D733D">
        <w:rPr>
          <w:rFonts w:ascii="Sylfaen" w:hAnsi="Sylfaen" w:cs="Sylfaen"/>
        </w:rPr>
        <w:t>პროცედურები</w:t>
      </w:r>
      <w:r w:rsidRPr="003D733D">
        <w:t xml:space="preserve"> </w:t>
      </w:r>
      <w:r w:rsidRPr="003D733D">
        <w:rPr>
          <w:rFonts w:ascii="Sylfaen" w:hAnsi="Sylfaen" w:cs="Sylfaen"/>
        </w:rPr>
        <w:t>უნდა</w:t>
      </w:r>
      <w:r w:rsidRPr="003D733D">
        <w:t xml:space="preserve"> </w:t>
      </w:r>
      <w:r w:rsidRPr="003D733D">
        <w:rPr>
          <w:rFonts w:ascii="Sylfaen" w:hAnsi="Sylfaen" w:cs="Sylfaen"/>
        </w:rPr>
        <w:t>ხორციელდებოდეს</w:t>
      </w:r>
      <w:r w:rsidRPr="003D733D">
        <w:t xml:space="preserve"> </w:t>
      </w:r>
      <w:r w:rsidRPr="003D733D">
        <w:rPr>
          <w:rFonts w:ascii="Sylfaen" w:hAnsi="Sylfaen" w:cs="Sylfaen"/>
        </w:rPr>
        <w:t>მკაცრი</w:t>
      </w:r>
      <w:r w:rsidRPr="003D733D">
        <w:t xml:space="preserve"> </w:t>
      </w:r>
      <w:r w:rsidRPr="003D733D">
        <w:rPr>
          <w:rFonts w:ascii="Sylfaen" w:hAnsi="Sylfaen" w:cs="Sylfaen"/>
        </w:rPr>
        <w:t>მონიტორინგის</w:t>
      </w:r>
      <w:r w:rsidRPr="003D733D">
        <w:t xml:space="preserve"> </w:t>
      </w:r>
      <w:r w:rsidRPr="003D733D">
        <w:rPr>
          <w:rFonts w:ascii="Sylfaen" w:hAnsi="Sylfaen" w:cs="Sylfaen"/>
        </w:rPr>
        <w:t>პირობებში</w:t>
      </w:r>
      <w:r w:rsidRPr="003D733D">
        <w:t xml:space="preserve">. </w:t>
      </w:r>
      <w:r w:rsidRPr="003D733D">
        <w:rPr>
          <w:rFonts w:ascii="Sylfaen" w:hAnsi="Sylfaen" w:cs="Sylfaen"/>
        </w:rPr>
        <w:t>მუდმივად</w:t>
      </w:r>
      <w:r w:rsidRPr="003D733D">
        <w:t xml:space="preserve"> </w:t>
      </w:r>
      <w:r w:rsidRPr="003D733D">
        <w:rPr>
          <w:rFonts w:ascii="Sylfaen" w:hAnsi="Sylfaen" w:cs="Sylfaen"/>
        </w:rPr>
        <w:t>უნდა</w:t>
      </w:r>
      <w:r w:rsidRPr="003D733D">
        <w:t xml:space="preserve"> </w:t>
      </w:r>
      <w:r w:rsidRPr="003D733D">
        <w:rPr>
          <w:rFonts w:ascii="Sylfaen" w:hAnsi="Sylfaen" w:cs="Sylfaen"/>
        </w:rPr>
        <w:t>მოწმდებოდეს</w:t>
      </w:r>
      <w:r w:rsidRPr="003D733D">
        <w:t xml:space="preserve"> </w:t>
      </w:r>
      <w:r w:rsidRPr="003D733D">
        <w:rPr>
          <w:rFonts w:ascii="Sylfaen" w:hAnsi="Sylfaen" w:cs="Sylfaen"/>
        </w:rPr>
        <w:t>შესანახი</w:t>
      </w:r>
      <w:r w:rsidRPr="003D733D">
        <w:t xml:space="preserve"> </w:t>
      </w:r>
      <w:r w:rsidRPr="003D733D">
        <w:rPr>
          <w:rFonts w:ascii="Sylfaen" w:hAnsi="Sylfaen" w:cs="Sylfaen"/>
        </w:rPr>
        <w:t>ჭურჭელის</w:t>
      </w:r>
      <w:r w:rsidRPr="003D733D">
        <w:t xml:space="preserve"> </w:t>
      </w:r>
      <w:r w:rsidRPr="003D733D">
        <w:rPr>
          <w:rFonts w:ascii="Sylfaen" w:hAnsi="Sylfaen" w:cs="Sylfaen"/>
        </w:rPr>
        <w:t>ვარგისიანობა</w:t>
      </w:r>
      <w:r w:rsidRPr="003D733D">
        <w:t>;</w:t>
      </w:r>
    </w:p>
    <w:p w14:paraId="67A300BB" w14:textId="77777777" w:rsidR="00A2588D" w:rsidRPr="003D733D" w:rsidRDefault="00A2588D" w:rsidP="00A2588D">
      <w:r w:rsidRPr="003D733D">
        <w:rPr>
          <w:rFonts w:ascii="Sylfaen" w:hAnsi="Sylfaen" w:cs="Sylfaen"/>
        </w:rPr>
        <w:t>პერიოდულად</w:t>
      </w:r>
      <w:r w:rsidRPr="003D733D">
        <w:t xml:space="preserve"> </w:t>
      </w:r>
      <w:r w:rsidRPr="003D733D">
        <w:rPr>
          <w:rFonts w:ascii="Sylfaen" w:hAnsi="Sylfaen" w:cs="Sylfaen"/>
        </w:rPr>
        <w:t>უნდა</w:t>
      </w:r>
      <w:r w:rsidRPr="003D733D">
        <w:t xml:space="preserve"> </w:t>
      </w:r>
      <w:r w:rsidRPr="003D733D">
        <w:rPr>
          <w:rFonts w:ascii="Sylfaen" w:hAnsi="Sylfaen" w:cs="Sylfaen"/>
        </w:rPr>
        <w:t>მოწმდებოდეს</w:t>
      </w:r>
      <w:r w:rsidRPr="003D733D">
        <w:t xml:space="preserve"> </w:t>
      </w:r>
      <w:r w:rsidRPr="003D733D">
        <w:rPr>
          <w:rFonts w:ascii="Sylfaen" w:hAnsi="Sylfaen" w:cs="Sylfaen"/>
        </w:rPr>
        <w:t>ზეთშემცველი</w:t>
      </w:r>
      <w:r w:rsidRPr="003D733D">
        <w:t xml:space="preserve"> </w:t>
      </w:r>
      <w:r w:rsidRPr="003D733D">
        <w:rPr>
          <w:rFonts w:ascii="Sylfaen" w:hAnsi="Sylfaen" w:cs="Sylfaen"/>
        </w:rPr>
        <w:t>დანადგარების</w:t>
      </w:r>
      <w:r w:rsidRPr="003D733D">
        <w:t xml:space="preserve"> </w:t>
      </w:r>
      <w:r w:rsidRPr="003D733D">
        <w:rPr>
          <w:rFonts w:ascii="Sylfaen" w:hAnsi="Sylfaen" w:cs="Sylfaen"/>
        </w:rPr>
        <w:t>ტექნიკური</w:t>
      </w:r>
      <w:r w:rsidRPr="003D733D">
        <w:t xml:space="preserve"> </w:t>
      </w:r>
      <w:r w:rsidRPr="003D733D">
        <w:rPr>
          <w:rFonts w:ascii="Sylfaen" w:hAnsi="Sylfaen" w:cs="Sylfaen"/>
        </w:rPr>
        <w:t>გამართულობა</w:t>
      </w:r>
      <w:r w:rsidRPr="003D733D">
        <w:t>;</w:t>
      </w:r>
    </w:p>
    <w:p w14:paraId="735FFCFE" w14:textId="77777777" w:rsidR="00A2588D" w:rsidRPr="003D733D" w:rsidRDefault="00A2588D" w:rsidP="00A2588D">
      <w:r w:rsidRPr="003D733D">
        <w:rPr>
          <w:rFonts w:ascii="Sylfaen" w:hAnsi="Sylfaen" w:cs="Sylfaen"/>
        </w:rPr>
        <w:t>ნივთიერებების</w:t>
      </w:r>
      <w:r w:rsidRPr="003D733D">
        <w:t xml:space="preserve"> </w:t>
      </w:r>
      <w:r w:rsidRPr="003D733D">
        <w:rPr>
          <w:rFonts w:ascii="Sylfaen" w:hAnsi="Sylfaen" w:cs="Sylfaen"/>
        </w:rPr>
        <w:t>მცირე</w:t>
      </w:r>
      <w:r w:rsidRPr="003D733D">
        <w:t xml:space="preserve"> </w:t>
      </w:r>
      <w:r w:rsidRPr="003D733D">
        <w:rPr>
          <w:rFonts w:ascii="Sylfaen" w:hAnsi="Sylfaen" w:cs="Sylfaen"/>
        </w:rPr>
        <w:t>ჟონვის</w:t>
      </w:r>
      <w:r w:rsidRPr="003D733D">
        <w:t xml:space="preserve"> </w:t>
      </w:r>
      <w:r w:rsidRPr="003D733D">
        <w:rPr>
          <w:rFonts w:ascii="Sylfaen" w:hAnsi="Sylfaen" w:cs="Sylfaen"/>
        </w:rPr>
        <w:t>ფაქტის</w:t>
      </w:r>
      <w:r w:rsidRPr="003D733D">
        <w:t xml:space="preserve"> </w:t>
      </w:r>
      <w:r w:rsidRPr="003D733D">
        <w:rPr>
          <w:rFonts w:ascii="Sylfaen" w:hAnsi="Sylfaen" w:cs="Sylfaen"/>
        </w:rPr>
        <w:t>დაფიქსირებისთანავე</w:t>
      </w:r>
      <w:r w:rsidRPr="003D733D">
        <w:t xml:space="preserve"> </w:t>
      </w:r>
      <w:r w:rsidRPr="003D733D">
        <w:rPr>
          <w:rFonts w:ascii="Sylfaen" w:hAnsi="Sylfaen" w:cs="Sylfaen"/>
        </w:rPr>
        <w:t>სამუშაოების</w:t>
      </w:r>
      <w:r w:rsidRPr="003D733D">
        <w:t xml:space="preserve"> </w:t>
      </w:r>
      <w:r w:rsidRPr="003D733D">
        <w:rPr>
          <w:rFonts w:ascii="Sylfaen" w:hAnsi="Sylfaen" w:cs="Sylfaen"/>
        </w:rPr>
        <w:t>შეწყვეტა</w:t>
      </w:r>
      <w:r w:rsidRPr="003D733D">
        <w:t xml:space="preserve"> </w:t>
      </w:r>
      <w:r w:rsidRPr="003D733D">
        <w:rPr>
          <w:rFonts w:ascii="Sylfaen" w:hAnsi="Sylfaen" w:cs="Sylfaen"/>
        </w:rPr>
        <w:t>რათა</w:t>
      </w:r>
      <w:r w:rsidRPr="003D733D">
        <w:t xml:space="preserve"> </w:t>
      </w:r>
      <w:r w:rsidRPr="003D733D">
        <w:rPr>
          <w:rFonts w:ascii="Sylfaen" w:hAnsi="Sylfaen" w:cs="Sylfaen"/>
        </w:rPr>
        <w:t>ინციდენტმა</w:t>
      </w:r>
      <w:r w:rsidRPr="003D733D">
        <w:t xml:space="preserve"> </w:t>
      </w:r>
      <w:r w:rsidRPr="003D733D">
        <w:rPr>
          <w:rFonts w:ascii="Sylfaen" w:hAnsi="Sylfaen" w:cs="Sylfaen"/>
        </w:rPr>
        <w:t>არ</w:t>
      </w:r>
      <w:r w:rsidRPr="003D733D">
        <w:t xml:space="preserve"> </w:t>
      </w:r>
      <w:r w:rsidRPr="003D733D">
        <w:rPr>
          <w:rFonts w:ascii="Sylfaen" w:hAnsi="Sylfaen" w:cs="Sylfaen"/>
        </w:rPr>
        <w:t>მიიღოს</w:t>
      </w:r>
      <w:r w:rsidRPr="003D733D">
        <w:t xml:space="preserve"> </w:t>
      </w:r>
      <w:r w:rsidRPr="003D733D">
        <w:rPr>
          <w:rFonts w:ascii="Sylfaen" w:hAnsi="Sylfaen" w:cs="Sylfaen"/>
        </w:rPr>
        <w:t>მასშტაბური</w:t>
      </w:r>
      <w:r w:rsidRPr="003D733D">
        <w:t xml:space="preserve"> </w:t>
      </w:r>
      <w:r w:rsidRPr="003D733D">
        <w:rPr>
          <w:rFonts w:ascii="Sylfaen" w:hAnsi="Sylfaen" w:cs="Sylfaen"/>
        </w:rPr>
        <w:t>ხასიათი</w:t>
      </w:r>
      <w:r w:rsidRPr="003D733D">
        <w:t>.</w:t>
      </w:r>
    </w:p>
    <w:p w14:paraId="44798E2A" w14:textId="77777777" w:rsidR="00A2588D" w:rsidRPr="003D733D" w:rsidRDefault="00A2588D" w:rsidP="00A2588D">
      <w:r w:rsidRPr="003D733D">
        <w:rPr>
          <w:rFonts w:ascii="Sylfaen" w:hAnsi="Sylfaen" w:cs="Sylfaen"/>
        </w:rPr>
        <w:t>ხანძრის</w:t>
      </w:r>
      <w:r w:rsidRPr="003D733D">
        <w:t xml:space="preserve"> </w:t>
      </w:r>
      <w:r w:rsidRPr="003D733D">
        <w:rPr>
          <w:rFonts w:ascii="Sylfaen" w:hAnsi="Sylfaen" w:cs="Sylfaen"/>
        </w:rPr>
        <w:t>პრევენციული</w:t>
      </w:r>
      <w:r w:rsidRPr="003D733D">
        <w:t xml:space="preserve"> </w:t>
      </w:r>
      <w:r w:rsidRPr="003D733D">
        <w:rPr>
          <w:rFonts w:ascii="Sylfaen" w:hAnsi="Sylfaen" w:cs="Sylfaen"/>
        </w:rPr>
        <w:t>ღონისძიებები</w:t>
      </w:r>
      <w:r w:rsidRPr="003D733D">
        <w:t>:</w:t>
      </w:r>
    </w:p>
    <w:p w14:paraId="064FBEB2" w14:textId="77777777" w:rsidR="00A2588D" w:rsidRPr="003D733D" w:rsidRDefault="00A2588D" w:rsidP="00A2588D">
      <w:pPr>
        <w:rPr>
          <w:lang w:eastAsia="ru-RU"/>
        </w:rPr>
      </w:pPr>
      <w:r w:rsidRPr="003D733D">
        <w:rPr>
          <w:rFonts w:ascii="Sylfaen" w:hAnsi="Sylfaen" w:cs="Sylfaen"/>
        </w:rPr>
        <w:t>პერსონალის</w:t>
      </w:r>
      <w:r w:rsidRPr="003D733D">
        <w:t xml:space="preserve"> </w:t>
      </w:r>
      <w:r w:rsidRPr="003D733D">
        <w:rPr>
          <w:rFonts w:ascii="Sylfaen" w:hAnsi="Sylfaen" w:cs="Sylfaen"/>
        </w:rPr>
        <w:t>პერიოდული</w:t>
      </w:r>
      <w:r w:rsidRPr="003D733D">
        <w:t xml:space="preserve"> </w:t>
      </w:r>
      <w:r w:rsidRPr="003D733D">
        <w:rPr>
          <w:rFonts w:ascii="Sylfaen" w:hAnsi="Sylfaen" w:cs="Sylfaen"/>
        </w:rPr>
        <w:t>სწავლება</w:t>
      </w:r>
      <w:r w:rsidRPr="003D733D">
        <w:t xml:space="preserve"> </w:t>
      </w:r>
      <w:r w:rsidRPr="003D733D">
        <w:rPr>
          <w:rFonts w:ascii="Sylfaen" w:hAnsi="Sylfaen" w:cs="Sylfaen"/>
        </w:rPr>
        <w:t>და</w:t>
      </w:r>
      <w:r w:rsidRPr="003D733D">
        <w:t xml:space="preserve"> </w:t>
      </w:r>
      <w:r w:rsidRPr="003D733D">
        <w:rPr>
          <w:rFonts w:ascii="Sylfaen" w:hAnsi="Sylfaen" w:cs="Sylfaen"/>
        </w:rPr>
        <w:t>ტესტირება</w:t>
      </w:r>
      <w:r w:rsidRPr="003D733D">
        <w:t xml:space="preserve"> </w:t>
      </w:r>
      <w:r w:rsidRPr="003D733D">
        <w:rPr>
          <w:rFonts w:ascii="Sylfaen" w:hAnsi="Sylfaen" w:cs="Sylfaen"/>
        </w:rPr>
        <w:t>ხანძრის</w:t>
      </w:r>
      <w:r w:rsidRPr="003D733D">
        <w:t xml:space="preserve"> </w:t>
      </w:r>
      <w:r w:rsidRPr="003D733D">
        <w:rPr>
          <w:rFonts w:ascii="Sylfaen" w:hAnsi="Sylfaen" w:cs="Sylfaen"/>
        </w:rPr>
        <w:t>პრევენციის</w:t>
      </w:r>
      <w:r w:rsidRPr="003D733D">
        <w:t xml:space="preserve"> </w:t>
      </w:r>
      <w:r w:rsidRPr="003D733D">
        <w:rPr>
          <w:rFonts w:ascii="Sylfaen" w:hAnsi="Sylfaen" w:cs="Sylfaen"/>
        </w:rPr>
        <w:t>საკითხებზე</w:t>
      </w:r>
      <w:r w:rsidRPr="003D733D">
        <w:t>;</w:t>
      </w:r>
    </w:p>
    <w:p w14:paraId="3C53798C" w14:textId="77777777" w:rsidR="00A2588D" w:rsidRPr="003D733D" w:rsidRDefault="00A2588D" w:rsidP="00A2588D">
      <w:r w:rsidRPr="003D733D">
        <w:rPr>
          <w:rFonts w:ascii="Sylfaen" w:hAnsi="Sylfaen" w:cs="Sylfaen"/>
        </w:rPr>
        <w:t>ადვილად</w:t>
      </w:r>
      <w:r w:rsidRPr="003D733D">
        <w:t xml:space="preserve"> </w:t>
      </w:r>
      <w:r w:rsidRPr="003D733D">
        <w:rPr>
          <w:rFonts w:ascii="Sylfaen" w:hAnsi="Sylfaen" w:cs="Sylfaen"/>
        </w:rPr>
        <w:t>აალებადი</w:t>
      </w:r>
      <w:r w:rsidRPr="003D733D">
        <w:t xml:space="preserve"> </w:t>
      </w:r>
      <w:r w:rsidRPr="003D733D">
        <w:rPr>
          <w:rFonts w:ascii="Sylfaen" w:hAnsi="Sylfaen" w:cs="Sylfaen"/>
        </w:rPr>
        <w:t>და</w:t>
      </w:r>
      <w:r w:rsidRPr="003D733D">
        <w:t xml:space="preserve"> </w:t>
      </w:r>
      <w:r w:rsidRPr="003D733D">
        <w:rPr>
          <w:rFonts w:ascii="Sylfaen" w:hAnsi="Sylfaen" w:cs="Sylfaen"/>
        </w:rPr>
        <w:t>ფეთქებადსაშიში</w:t>
      </w:r>
      <w:r w:rsidRPr="003D733D">
        <w:t xml:space="preserve"> </w:t>
      </w:r>
      <w:r w:rsidRPr="003D733D">
        <w:rPr>
          <w:rFonts w:ascii="Sylfaen" w:hAnsi="Sylfaen" w:cs="Sylfaen"/>
        </w:rPr>
        <w:t>ნივთიერებების</w:t>
      </w:r>
      <w:r w:rsidRPr="003D733D">
        <w:t xml:space="preserve"> </w:t>
      </w:r>
      <w:r w:rsidRPr="003D733D">
        <w:rPr>
          <w:rFonts w:ascii="Sylfaen" w:hAnsi="Sylfaen" w:cs="Sylfaen"/>
        </w:rPr>
        <w:t>დასაწყობება</w:t>
      </w:r>
      <w:r w:rsidRPr="003D733D">
        <w:t xml:space="preserve"> </w:t>
      </w:r>
      <w:r w:rsidRPr="003D733D">
        <w:rPr>
          <w:rFonts w:ascii="Sylfaen" w:hAnsi="Sylfaen" w:cs="Sylfaen"/>
        </w:rPr>
        <w:t>უსაფრთხო</w:t>
      </w:r>
      <w:r w:rsidRPr="003D733D">
        <w:t xml:space="preserve"> </w:t>
      </w:r>
      <w:r w:rsidRPr="003D733D">
        <w:rPr>
          <w:rFonts w:ascii="Sylfaen" w:hAnsi="Sylfaen" w:cs="Sylfaen"/>
        </w:rPr>
        <w:t>ადგილებში</w:t>
      </w:r>
      <w:r w:rsidRPr="003D733D">
        <w:t xml:space="preserve">.  </w:t>
      </w:r>
      <w:r w:rsidRPr="003D733D">
        <w:rPr>
          <w:rFonts w:ascii="Sylfaen" w:hAnsi="Sylfaen" w:cs="Sylfaen"/>
        </w:rPr>
        <w:t>მათი</w:t>
      </w:r>
      <w:r w:rsidRPr="003D733D">
        <w:t xml:space="preserve"> </w:t>
      </w:r>
      <w:r w:rsidRPr="003D733D">
        <w:rPr>
          <w:rFonts w:ascii="Sylfaen" w:hAnsi="Sylfaen" w:cs="Sylfaen"/>
        </w:rPr>
        <w:t>განთავსების</w:t>
      </w:r>
      <w:r w:rsidRPr="003D733D">
        <w:t xml:space="preserve"> </w:t>
      </w:r>
      <w:r w:rsidRPr="003D733D">
        <w:rPr>
          <w:rFonts w:ascii="Sylfaen" w:hAnsi="Sylfaen" w:cs="Sylfaen"/>
        </w:rPr>
        <w:t>ადგილებში</w:t>
      </w:r>
      <w:r w:rsidRPr="003D733D">
        <w:t xml:space="preserve"> </w:t>
      </w:r>
      <w:r w:rsidRPr="003D733D">
        <w:rPr>
          <w:rFonts w:ascii="Sylfaen" w:hAnsi="Sylfaen" w:cs="Sylfaen"/>
        </w:rPr>
        <w:t>შესაბამისი</w:t>
      </w:r>
      <w:r w:rsidRPr="003D733D">
        <w:t xml:space="preserve"> </w:t>
      </w:r>
      <w:r w:rsidRPr="003D733D">
        <w:rPr>
          <w:rFonts w:ascii="Sylfaen" w:hAnsi="Sylfaen" w:cs="Sylfaen"/>
        </w:rPr>
        <w:t>გამაფრთხილებელი</w:t>
      </w:r>
      <w:r w:rsidRPr="003D733D">
        <w:t xml:space="preserve"> </w:t>
      </w:r>
      <w:r w:rsidRPr="003D733D">
        <w:rPr>
          <w:rFonts w:ascii="Sylfaen" w:hAnsi="Sylfaen" w:cs="Sylfaen"/>
        </w:rPr>
        <w:t>ნიშნების</w:t>
      </w:r>
      <w:r w:rsidRPr="003D733D">
        <w:t xml:space="preserve"> </w:t>
      </w:r>
      <w:r w:rsidRPr="003D733D">
        <w:rPr>
          <w:rFonts w:ascii="Sylfaen" w:hAnsi="Sylfaen" w:cs="Sylfaen"/>
        </w:rPr>
        <w:t>მოწყობა</w:t>
      </w:r>
      <w:r w:rsidRPr="003D733D">
        <w:t xml:space="preserve">; </w:t>
      </w:r>
    </w:p>
    <w:p w14:paraId="696AC341" w14:textId="77777777" w:rsidR="00A2588D" w:rsidRPr="003D733D" w:rsidRDefault="00A2588D" w:rsidP="00A2588D">
      <w:r w:rsidRPr="003D733D">
        <w:rPr>
          <w:rFonts w:ascii="Sylfaen" w:hAnsi="Sylfaen" w:cs="Sylfaen"/>
        </w:rPr>
        <w:lastRenderedPageBreak/>
        <w:t>ხანძარსაწინააღმდეგო</w:t>
      </w:r>
      <w:r w:rsidRPr="003D733D">
        <w:t xml:space="preserve"> </w:t>
      </w:r>
      <w:r w:rsidRPr="003D733D">
        <w:rPr>
          <w:rFonts w:ascii="Sylfaen" w:hAnsi="Sylfaen" w:cs="Sylfaen"/>
        </w:rPr>
        <w:t>ნორმების</w:t>
      </w:r>
      <w:r w:rsidRPr="003D733D">
        <w:t xml:space="preserve"> </w:t>
      </w:r>
      <w:r w:rsidRPr="003D733D">
        <w:rPr>
          <w:rFonts w:ascii="Sylfaen" w:hAnsi="Sylfaen" w:cs="Sylfaen"/>
        </w:rPr>
        <w:t>დაცვა</w:t>
      </w:r>
      <w:r w:rsidRPr="003D733D">
        <w:t xml:space="preserve"> </w:t>
      </w:r>
      <w:r w:rsidRPr="003D733D">
        <w:rPr>
          <w:rFonts w:ascii="Sylfaen" w:hAnsi="Sylfaen" w:cs="Sylfaen"/>
        </w:rPr>
        <w:t>და</w:t>
      </w:r>
      <w:r w:rsidRPr="003D733D">
        <w:t xml:space="preserve"> </w:t>
      </w:r>
      <w:r w:rsidRPr="003D733D">
        <w:rPr>
          <w:rFonts w:ascii="Sylfaen" w:hAnsi="Sylfaen" w:cs="Sylfaen"/>
        </w:rPr>
        <w:t>სამშენებლო</w:t>
      </w:r>
      <w:r w:rsidRPr="003D733D">
        <w:t xml:space="preserve"> </w:t>
      </w:r>
      <w:r w:rsidRPr="003D733D">
        <w:rPr>
          <w:rFonts w:ascii="Sylfaen" w:hAnsi="Sylfaen" w:cs="Sylfaen"/>
        </w:rPr>
        <w:t>ბაზის</w:t>
      </w:r>
      <w:r w:rsidRPr="003D733D">
        <w:t xml:space="preserve"> </w:t>
      </w:r>
      <w:r w:rsidRPr="003D733D">
        <w:rPr>
          <w:rFonts w:ascii="Sylfaen" w:hAnsi="Sylfaen" w:cs="Sylfaen"/>
        </w:rPr>
        <w:t>ტერიტორიაზე</w:t>
      </w:r>
      <w:r w:rsidRPr="003D733D">
        <w:t xml:space="preserve"> </w:t>
      </w:r>
      <w:r w:rsidRPr="003D733D">
        <w:rPr>
          <w:rFonts w:ascii="Sylfaen" w:hAnsi="Sylfaen" w:cs="Sylfaen"/>
        </w:rPr>
        <w:t>ქმედითუნარიანი</w:t>
      </w:r>
      <w:r w:rsidRPr="003D733D">
        <w:t xml:space="preserve"> </w:t>
      </w:r>
      <w:r w:rsidRPr="003D733D">
        <w:rPr>
          <w:rFonts w:ascii="Sylfaen" w:hAnsi="Sylfaen" w:cs="Sylfaen"/>
        </w:rPr>
        <w:t>სახანძრო</w:t>
      </w:r>
      <w:r w:rsidRPr="003D733D">
        <w:t xml:space="preserve"> </w:t>
      </w:r>
      <w:r w:rsidRPr="003D733D">
        <w:rPr>
          <w:rFonts w:ascii="Sylfaen" w:hAnsi="Sylfaen" w:cs="Sylfaen"/>
        </w:rPr>
        <w:t>ინვენტარის</w:t>
      </w:r>
      <w:r w:rsidRPr="003D733D">
        <w:t xml:space="preserve"> </w:t>
      </w:r>
      <w:r w:rsidRPr="003D733D">
        <w:rPr>
          <w:rFonts w:ascii="Sylfaen" w:hAnsi="Sylfaen" w:cs="Sylfaen"/>
        </w:rPr>
        <w:t>არსებობა</w:t>
      </w:r>
      <w:r w:rsidRPr="003D733D">
        <w:t>;</w:t>
      </w:r>
    </w:p>
    <w:p w14:paraId="3FD174D2" w14:textId="77777777" w:rsidR="00A2588D" w:rsidRPr="003D733D" w:rsidRDefault="00A2588D" w:rsidP="00A2588D">
      <w:r w:rsidRPr="003D733D">
        <w:rPr>
          <w:rFonts w:ascii="Sylfaen" w:hAnsi="Sylfaen" w:cs="Sylfaen"/>
        </w:rPr>
        <w:t>ადამიანის</w:t>
      </w:r>
      <w:r w:rsidRPr="003D733D">
        <w:t xml:space="preserve"> </w:t>
      </w:r>
      <w:r w:rsidRPr="003D733D">
        <w:rPr>
          <w:rFonts w:ascii="Sylfaen" w:hAnsi="Sylfaen" w:cs="Sylfaen"/>
        </w:rPr>
        <w:t>ტრავმატიზმის</w:t>
      </w:r>
      <w:r w:rsidRPr="003D733D">
        <w:t>/</w:t>
      </w:r>
      <w:r w:rsidRPr="003D733D">
        <w:rPr>
          <w:rFonts w:ascii="Sylfaen" w:hAnsi="Sylfaen" w:cs="Sylfaen"/>
        </w:rPr>
        <w:t>დაზიანების</w:t>
      </w:r>
      <w:r w:rsidRPr="003D733D">
        <w:t xml:space="preserve"> </w:t>
      </w:r>
      <w:r w:rsidRPr="003D733D">
        <w:rPr>
          <w:rFonts w:ascii="Sylfaen" w:hAnsi="Sylfaen" w:cs="Sylfaen"/>
        </w:rPr>
        <w:t>პრევენციული</w:t>
      </w:r>
      <w:r w:rsidRPr="003D733D">
        <w:t xml:space="preserve"> </w:t>
      </w:r>
      <w:r w:rsidRPr="003D733D">
        <w:rPr>
          <w:rFonts w:ascii="Sylfaen" w:hAnsi="Sylfaen" w:cs="Sylfaen"/>
        </w:rPr>
        <w:t>ღონისძიებები</w:t>
      </w:r>
      <w:r w:rsidRPr="003D733D">
        <w:t>:</w:t>
      </w:r>
    </w:p>
    <w:p w14:paraId="617B7ED1" w14:textId="77777777" w:rsidR="00A2588D" w:rsidRPr="003D733D" w:rsidRDefault="00A2588D" w:rsidP="00A2588D">
      <w:pPr>
        <w:rPr>
          <w:lang w:eastAsia="ru-RU"/>
        </w:rPr>
      </w:pPr>
      <w:r w:rsidRPr="003D733D">
        <w:rPr>
          <w:rFonts w:ascii="Sylfaen" w:hAnsi="Sylfaen" w:cs="Sylfaen"/>
        </w:rPr>
        <w:t>პერსონალის</w:t>
      </w:r>
      <w:r w:rsidRPr="003D733D">
        <w:t xml:space="preserve"> </w:t>
      </w:r>
      <w:r w:rsidRPr="003D733D">
        <w:rPr>
          <w:rFonts w:ascii="Sylfaen" w:hAnsi="Sylfaen" w:cs="Sylfaen"/>
        </w:rPr>
        <w:t>პერიოდული</w:t>
      </w:r>
      <w:r w:rsidRPr="003D733D">
        <w:t xml:space="preserve"> </w:t>
      </w:r>
      <w:r w:rsidRPr="003D733D">
        <w:rPr>
          <w:rFonts w:ascii="Sylfaen" w:hAnsi="Sylfaen" w:cs="Sylfaen"/>
        </w:rPr>
        <w:t>სწავლება</w:t>
      </w:r>
      <w:r w:rsidRPr="003D733D">
        <w:t xml:space="preserve"> </w:t>
      </w:r>
      <w:r w:rsidRPr="003D733D">
        <w:rPr>
          <w:rFonts w:ascii="Sylfaen" w:hAnsi="Sylfaen" w:cs="Sylfaen"/>
        </w:rPr>
        <w:t>და</w:t>
      </w:r>
      <w:r w:rsidRPr="003D733D">
        <w:t xml:space="preserve"> </w:t>
      </w:r>
      <w:r w:rsidRPr="003D733D">
        <w:rPr>
          <w:rFonts w:ascii="Sylfaen" w:hAnsi="Sylfaen" w:cs="Sylfaen"/>
        </w:rPr>
        <w:t>ტესტირება</w:t>
      </w:r>
      <w:r w:rsidRPr="003D733D">
        <w:t xml:space="preserve"> </w:t>
      </w:r>
      <w:r w:rsidRPr="003D733D">
        <w:rPr>
          <w:rFonts w:ascii="Sylfaen" w:hAnsi="Sylfaen" w:cs="Sylfaen"/>
        </w:rPr>
        <w:t>შრომის</w:t>
      </w:r>
      <w:r w:rsidRPr="003D733D">
        <w:t xml:space="preserve"> </w:t>
      </w:r>
      <w:r w:rsidRPr="003D733D">
        <w:rPr>
          <w:rFonts w:ascii="Sylfaen" w:hAnsi="Sylfaen" w:cs="Sylfaen"/>
        </w:rPr>
        <w:t>უსაფრთხოების</w:t>
      </w:r>
      <w:r w:rsidRPr="003D733D">
        <w:t xml:space="preserve"> </w:t>
      </w:r>
      <w:r w:rsidRPr="003D733D">
        <w:rPr>
          <w:rFonts w:ascii="Sylfaen" w:hAnsi="Sylfaen" w:cs="Sylfaen"/>
        </w:rPr>
        <w:t>საკითხებზე</w:t>
      </w:r>
      <w:r w:rsidRPr="003D733D">
        <w:t>;</w:t>
      </w:r>
    </w:p>
    <w:p w14:paraId="59BD12A8" w14:textId="77777777" w:rsidR="00A2588D" w:rsidRPr="003D733D" w:rsidRDefault="00A2588D" w:rsidP="00A2588D">
      <w:r w:rsidRPr="003D733D">
        <w:rPr>
          <w:rFonts w:ascii="Sylfaen" w:hAnsi="Sylfaen" w:cs="Sylfaen"/>
        </w:rPr>
        <w:t>პერსონალის</w:t>
      </w:r>
      <w:r w:rsidRPr="003D733D">
        <w:t xml:space="preserve"> </w:t>
      </w:r>
      <w:r w:rsidRPr="003D733D">
        <w:rPr>
          <w:rFonts w:ascii="Sylfaen" w:hAnsi="Sylfaen" w:cs="Sylfaen"/>
        </w:rPr>
        <w:t>აღჭურვა</w:t>
      </w:r>
      <w:r w:rsidRPr="003D733D">
        <w:t xml:space="preserve"> </w:t>
      </w:r>
      <w:r w:rsidRPr="003D733D">
        <w:rPr>
          <w:rFonts w:ascii="Sylfaen" w:hAnsi="Sylfaen" w:cs="Sylfaen"/>
        </w:rPr>
        <w:t>ინდივიდუალური</w:t>
      </w:r>
      <w:r w:rsidRPr="003D733D">
        <w:t xml:space="preserve"> </w:t>
      </w:r>
      <w:r w:rsidRPr="003D733D">
        <w:rPr>
          <w:rFonts w:ascii="Sylfaen" w:hAnsi="Sylfaen" w:cs="Sylfaen"/>
        </w:rPr>
        <w:t>დაცვის</w:t>
      </w:r>
      <w:r w:rsidRPr="003D733D">
        <w:t xml:space="preserve"> </w:t>
      </w:r>
      <w:r w:rsidRPr="003D733D">
        <w:rPr>
          <w:rFonts w:ascii="Sylfaen" w:hAnsi="Sylfaen" w:cs="Sylfaen"/>
        </w:rPr>
        <w:t>საშუალებებით</w:t>
      </w:r>
      <w:r w:rsidRPr="003D733D">
        <w:t>;</w:t>
      </w:r>
    </w:p>
    <w:p w14:paraId="4581A51A" w14:textId="77777777" w:rsidR="00A2588D" w:rsidRPr="003D733D" w:rsidRDefault="00A2588D" w:rsidP="00A2588D">
      <w:r w:rsidRPr="003D733D">
        <w:rPr>
          <w:rFonts w:ascii="Sylfaen" w:hAnsi="Sylfaen" w:cs="Sylfaen"/>
        </w:rPr>
        <w:t>სახიფათო</w:t>
      </w:r>
      <w:r w:rsidRPr="003D733D">
        <w:t xml:space="preserve"> </w:t>
      </w:r>
      <w:r w:rsidRPr="003D733D">
        <w:rPr>
          <w:rFonts w:ascii="Sylfaen" w:hAnsi="Sylfaen" w:cs="Sylfaen"/>
        </w:rPr>
        <w:t>ზონებში</w:t>
      </w:r>
      <w:r w:rsidRPr="003D733D">
        <w:t xml:space="preserve"> </w:t>
      </w:r>
      <w:r w:rsidRPr="003D733D">
        <w:rPr>
          <w:rFonts w:ascii="Sylfaen" w:hAnsi="Sylfaen" w:cs="Sylfaen"/>
        </w:rPr>
        <w:t>შესაბამისი</w:t>
      </w:r>
      <w:r w:rsidRPr="003D733D">
        <w:t xml:space="preserve"> </w:t>
      </w:r>
      <w:r w:rsidRPr="003D733D">
        <w:rPr>
          <w:rFonts w:ascii="Sylfaen" w:hAnsi="Sylfaen" w:cs="Sylfaen"/>
        </w:rPr>
        <w:t>გამაფრთხილებელი</w:t>
      </w:r>
      <w:r w:rsidRPr="003D733D">
        <w:t xml:space="preserve"> </w:t>
      </w:r>
      <w:r w:rsidRPr="003D733D">
        <w:rPr>
          <w:rFonts w:ascii="Sylfaen" w:hAnsi="Sylfaen" w:cs="Sylfaen"/>
        </w:rPr>
        <w:t>ნიშნების</w:t>
      </w:r>
      <w:r w:rsidRPr="003D733D">
        <w:t xml:space="preserve"> </w:t>
      </w:r>
      <w:r w:rsidRPr="003D733D">
        <w:rPr>
          <w:rFonts w:ascii="Sylfaen" w:hAnsi="Sylfaen" w:cs="Sylfaen"/>
        </w:rPr>
        <w:t>მოწყობა</w:t>
      </w:r>
      <w:r w:rsidRPr="003D733D">
        <w:t>;</w:t>
      </w:r>
    </w:p>
    <w:p w14:paraId="19A7A9C5" w14:textId="77777777" w:rsidR="00A2588D" w:rsidRPr="003D733D" w:rsidRDefault="00A2588D" w:rsidP="00A2588D">
      <w:r w:rsidRPr="003D733D">
        <w:rPr>
          <w:rFonts w:ascii="Sylfaen" w:hAnsi="Sylfaen" w:cs="Sylfaen"/>
        </w:rPr>
        <w:t>სპეციალური</w:t>
      </w:r>
      <w:r w:rsidRPr="003D733D">
        <w:t xml:space="preserve"> </w:t>
      </w:r>
      <w:r w:rsidRPr="003D733D">
        <w:rPr>
          <w:rFonts w:ascii="Sylfaen" w:hAnsi="Sylfaen" w:cs="Sylfaen"/>
        </w:rPr>
        <w:t>კადრის</w:t>
      </w:r>
      <w:r w:rsidRPr="003D733D">
        <w:t xml:space="preserve"> </w:t>
      </w:r>
      <w:r w:rsidRPr="003D733D">
        <w:rPr>
          <w:rFonts w:ascii="Sylfaen" w:hAnsi="Sylfaen" w:cs="Sylfaen"/>
        </w:rPr>
        <w:t>გამოყოფა</w:t>
      </w:r>
      <w:r w:rsidRPr="003D733D">
        <w:t xml:space="preserve">, </w:t>
      </w:r>
      <w:r w:rsidRPr="003D733D">
        <w:rPr>
          <w:rFonts w:ascii="Sylfaen" w:hAnsi="Sylfaen" w:cs="Sylfaen"/>
        </w:rPr>
        <w:t>რომლებიც</w:t>
      </w:r>
      <w:r w:rsidRPr="003D733D">
        <w:t xml:space="preserve"> </w:t>
      </w:r>
      <w:r w:rsidRPr="003D733D">
        <w:rPr>
          <w:rFonts w:ascii="Sylfaen" w:hAnsi="Sylfaen" w:cs="Sylfaen"/>
        </w:rPr>
        <w:t>გააკონტროლებს</w:t>
      </w:r>
      <w:r w:rsidRPr="003D733D">
        <w:t xml:space="preserve"> </w:t>
      </w:r>
      <w:r w:rsidRPr="003D733D">
        <w:rPr>
          <w:rFonts w:ascii="Sylfaen" w:hAnsi="Sylfaen" w:cs="Sylfaen"/>
        </w:rPr>
        <w:t>სამუშაო</w:t>
      </w:r>
      <w:r w:rsidRPr="003D733D">
        <w:t xml:space="preserve"> </w:t>
      </w:r>
      <w:r w:rsidRPr="003D733D">
        <w:rPr>
          <w:rFonts w:ascii="Sylfaen" w:hAnsi="Sylfaen" w:cs="Sylfaen"/>
        </w:rPr>
        <w:t>უბნებზე</w:t>
      </w:r>
      <w:r w:rsidRPr="003D733D">
        <w:t xml:space="preserve"> </w:t>
      </w:r>
      <w:r w:rsidRPr="003D733D">
        <w:rPr>
          <w:rFonts w:ascii="Sylfaen" w:hAnsi="Sylfaen" w:cs="Sylfaen"/>
        </w:rPr>
        <w:t>უსაფრთხოების</w:t>
      </w:r>
      <w:r w:rsidRPr="003D733D">
        <w:t xml:space="preserve"> </w:t>
      </w:r>
      <w:r w:rsidRPr="003D733D">
        <w:rPr>
          <w:rFonts w:ascii="Sylfaen" w:hAnsi="Sylfaen" w:cs="Sylfaen"/>
        </w:rPr>
        <w:t>ნორმების</w:t>
      </w:r>
      <w:r w:rsidRPr="003D733D">
        <w:t xml:space="preserve"> </w:t>
      </w:r>
      <w:r w:rsidRPr="003D733D">
        <w:rPr>
          <w:rFonts w:ascii="Sylfaen" w:hAnsi="Sylfaen" w:cs="Sylfaen"/>
        </w:rPr>
        <w:t>შესრულების</w:t>
      </w:r>
      <w:r w:rsidRPr="003D733D">
        <w:t xml:space="preserve"> </w:t>
      </w:r>
      <w:r w:rsidRPr="003D733D">
        <w:rPr>
          <w:rFonts w:ascii="Sylfaen" w:hAnsi="Sylfaen" w:cs="Sylfaen"/>
        </w:rPr>
        <w:t>დონეს</w:t>
      </w:r>
      <w:r w:rsidRPr="003D733D">
        <w:t xml:space="preserve"> </w:t>
      </w:r>
      <w:r w:rsidRPr="003D733D">
        <w:rPr>
          <w:rFonts w:ascii="Sylfaen" w:hAnsi="Sylfaen" w:cs="Sylfaen"/>
        </w:rPr>
        <w:t>და</w:t>
      </w:r>
      <w:r w:rsidRPr="003D733D">
        <w:t xml:space="preserve"> </w:t>
      </w:r>
      <w:r w:rsidRPr="003D733D">
        <w:rPr>
          <w:rFonts w:ascii="Sylfaen" w:hAnsi="Sylfaen" w:cs="Sylfaen"/>
        </w:rPr>
        <w:t>დააფიქსირებს</w:t>
      </w:r>
      <w:r w:rsidRPr="003D733D">
        <w:t xml:space="preserve"> </w:t>
      </w:r>
      <w:r w:rsidRPr="003D733D">
        <w:rPr>
          <w:rFonts w:ascii="Sylfaen" w:hAnsi="Sylfaen" w:cs="Sylfaen"/>
        </w:rPr>
        <w:t>უსაფრთხოების</w:t>
      </w:r>
      <w:r w:rsidRPr="003D733D">
        <w:t xml:space="preserve"> </w:t>
      </w:r>
      <w:r w:rsidRPr="003D733D">
        <w:rPr>
          <w:rFonts w:ascii="Sylfaen" w:hAnsi="Sylfaen" w:cs="Sylfaen"/>
        </w:rPr>
        <w:t>ნორმების</w:t>
      </w:r>
      <w:r w:rsidRPr="003D733D">
        <w:t xml:space="preserve"> </w:t>
      </w:r>
      <w:r w:rsidRPr="003D733D">
        <w:rPr>
          <w:rFonts w:ascii="Sylfaen" w:hAnsi="Sylfaen" w:cs="Sylfaen"/>
        </w:rPr>
        <w:t>დარღვევის</w:t>
      </w:r>
      <w:r w:rsidRPr="003D733D">
        <w:t xml:space="preserve"> </w:t>
      </w:r>
      <w:r w:rsidRPr="003D733D">
        <w:rPr>
          <w:rFonts w:ascii="Sylfaen" w:hAnsi="Sylfaen" w:cs="Sylfaen"/>
        </w:rPr>
        <w:t>ფაქტებს</w:t>
      </w:r>
      <w:r w:rsidRPr="003D733D">
        <w:t>.</w:t>
      </w:r>
    </w:p>
    <w:p w14:paraId="50289D71" w14:textId="77777777" w:rsidR="00A2588D" w:rsidRPr="003D733D" w:rsidRDefault="00A2588D" w:rsidP="00A2588D">
      <w:pPr>
        <w:rPr>
          <w:lang w:eastAsia="en-US"/>
        </w:rPr>
      </w:pPr>
    </w:p>
    <w:p w14:paraId="412CDEB4" w14:textId="77777777" w:rsidR="00A2588D" w:rsidRPr="00631159" w:rsidRDefault="00A2588D" w:rsidP="00A2588D">
      <w:pPr>
        <w:rPr>
          <w:b/>
          <w:i/>
        </w:rPr>
      </w:pPr>
      <w:bookmarkStart w:id="625" w:name="_Toc479166590"/>
      <w:bookmarkStart w:id="626" w:name="_Toc479164875"/>
      <w:bookmarkStart w:id="627" w:name="_Toc416769148"/>
      <w:bookmarkStart w:id="628" w:name="_Toc407201853"/>
      <w:bookmarkStart w:id="629" w:name="_Toc407139085"/>
      <w:bookmarkStart w:id="630" w:name="_Toc337205845"/>
      <w:bookmarkStart w:id="631" w:name="_Toc326839322"/>
      <w:bookmarkStart w:id="632" w:name="_Toc314150167"/>
      <w:r w:rsidRPr="00631159">
        <w:rPr>
          <w:rFonts w:ascii="Sylfaen" w:hAnsi="Sylfaen" w:cs="Sylfaen"/>
          <w:b/>
          <w:i/>
        </w:rPr>
        <w:t>ინციდენტის</w:t>
      </w:r>
      <w:r w:rsidRPr="00631159">
        <w:rPr>
          <w:b/>
          <w:i/>
        </w:rPr>
        <w:t xml:space="preserve"> </w:t>
      </w:r>
      <w:r w:rsidRPr="00631159">
        <w:rPr>
          <w:rFonts w:ascii="Sylfaen" w:hAnsi="Sylfaen" w:cs="Sylfaen"/>
          <w:b/>
          <w:i/>
        </w:rPr>
        <w:t>სავარაუდო</w:t>
      </w:r>
      <w:r w:rsidRPr="00631159">
        <w:rPr>
          <w:b/>
          <w:i/>
        </w:rPr>
        <w:t xml:space="preserve"> </w:t>
      </w:r>
      <w:r w:rsidRPr="00631159">
        <w:rPr>
          <w:rFonts w:ascii="Sylfaen" w:hAnsi="Sylfaen" w:cs="Sylfaen"/>
          <w:b/>
          <w:i/>
        </w:rPr>
        <w:t>მასშტაბი</w:t>
      </w:r>
      <w:bookmarkEnd w:id="625"/>
      <w:bookmarkEnd w:id="626"/>
      <w:bookmarkEnd w:id="627"/>
      <w:bookmarkEnd w:id="628"/>
      <w:bookmarkEnd w:id="629"/>
      <w:bookmarkEnd w:id="630"/>
      <w:bookmarkEnd w:id="631"/>
      <w:bookmarkEnd w:id="632"/>
    </w:p>
    <w:p w14:paraId="71687362" w14:textId="77777777" w:rsidR="00A2588D" w:rsidRPr="003D733D" w:rsidRDefault="00A2588D" w:rsidP="00A2588D">
      <w:pPr>
        <w:rPr>
          <w:lang w:val="ka-GE"/>
        </w:rPr>
      </w:pPr>
      <w:r w:rsidRPr="003D733D">
        <w:rPr>
          <w:rFonts w:ascii="Sylfaen" w:hAnsi="Sylfaen" w:cs="Sylfaen"/>
        </w:rPr>
        <w:t>მოსალოდნელი</w:t>
      </w:r>
      <w:r w:rsidRPr="003D733D">
        <w:t xml:space="preserve"> </w:t>
      </w:r>
      <w:r w:rsidRPr="003D733D">
        <w:rPr>
          <w:rFonts w:ascii="Sylfaen" w:hAnsi="Sylfaen" w:cs="Sylfaen"/>
        </w:rPr>
        <w:t>ავარიის</w:t>
      </w:r>
      <w:r w:rsidRPr="003D733D">
        <w:t xml:space="preserve">, </w:t>
      </w:r>
      <w:r w:rsidRPr="003D733D">
        <w:rPr>
          <w:rFonts w:ascii="Sylfaen" w:hAnsi="Sylfaen" w:cs="Sylfaen"/>
        </w:rPr>
        <w:t>ინციდენტის</w:t>
      </w:r>
      <w:r w:rsidRPr="003D733D">
        <w:t xml:space="preserve"> </w:t>
      </w:r>
      <w:r w:rsidRPr="003D733D">
        <w:rPr>
          <w:rFonts w:ascii="Sylfaen" w:hAnsi="Sylfaen" w:cs="Sylfaen"/>
        </w:rPr>
        <w:t>სალიკვიდაციო</w:t>
      </w:r>
      <w:r w:rsidRPr="003D733D">
        <w:t xml:space="preserve"> </w:t>
      </w:r>
      <w:r w:rsidRPr="003D733D">
        <w:rPr>
          <w:rFonts w:ascii="Sylfaen" w:hAnsi="Sylfaen" w:cs="Sylfaen"/>
        </w:rPr>
        <w:t>რესურსების</w:t>
      </w:r>
      <w:r w:rsidRPr="003D733D">
        <w:t xml:space="preserve"> </w:t>
      </w:r>
      <w:r w:rsidRPr="003D733D">
        <w:rPr>
          <w:rFonts w:ascii="Sylfaen" w:hAnsi="Sylfaen" w:cs="Sylfaen"/>
        </w:rPr>
        <w:t>და</w:t>
      </w:r>
      <w:r w:rsidRPr="003D733D">
        <w:t xml:space="preserve"> </w:t>
      </w:r>
      <w:r w:rsidRPr="003D733D">
        <w:rPr>
          <w:rFonts w:ascii="Sylfaen" w:hAnsi="Sylfaen" w:cs="Sylfaen"/>
        </w:rPr>
        <w:t>საკანონმდებლო</w:t>
      </w:r>
      <w:r w:rsidRPr="003D733D">
        <w:t xml:space="preserve"> </w:t>
      </w:r>
      <w:r w:rsidRPr="003D733D">
        <w:rPr>
          <w:rFonts w:ascii="Sylfaen" w:hAnsi="Sylfaen" w:cs="Sylfaen"/>
        </w:rPr>
        <w:t>მოთხოვნების</w:t>
      </w:r>
      <w:r w:rsidRPr="003D733D">
        <w:t xml:space="preserve"> </w:t>
      </w:r>
      <w:r w:rsidRPr="003D733D">
        <w:rPr>
          <w:rFonts w:ascii="Sylfaen" w:hAnsi="Sylfaen" w:cs="Sylfaen"/>
        </w:rPr>
        <w:t>გათვალისწინებით</w:t>
      </w:r>
      <w:r w:rsidRPr="003D733D">
        <w:t xml:space="preserve">, </w:t>
      </w:r>
      <w:r w:rsidRPr="003D733D">
        <w:rPr>
          <w:rFonts w:ascii="Sylfaen" w:hAnsi="Sylfaen" w:cs="Sylfaen"/>
        </w:rPr>
        <w:t>ავარიები</w:t>
      </w:r>
      <w:r w:rsidRPr="003D733D">
        <w:t xml:space="preserve"> </w:t>
      </w:r>
      <w:r w:rsidRPr="003D733D">
        <w:rPr>
          <w:rFonts w:ascii="Sylfaen" w:hAnsi="Sylfaen" w:cs="Sylfaen"/>
        </w:rPr>
        <w:t>და</w:t>
      </w:r>
      <w:r w:rsidRPr="003D733D">
        <w:t xml:space="preserve"> </w:t>
      </w:r>
      <w:r w:rsidRPr="003D733D">
        <w:rPr>
          <w:rFonts w:ascii="Sylfaen" w:hAnsi="Sylfaen" w:cs="Sylfaen"/>
        </w:rPr>
        <w:t>ავარიული</w:t>
      </w:r>
      <w:r w:rsidRPr="003D733D">
        <w:t xml:space="preserve"> </w:t>
      </w:r>
      <w:r w:rsidRPr="003D733D">
        <w:rPr>
          <w:rFonts w:ascii="Sylfaen" w:hAnsi="Sylfaen" w:cs="Sylfaen"/>
        </w:rPr>
        <w:t>სიტუაციები</w:t>
      </w:r>
      <w:r w:rsidRPr="003D733D">
        <w:t xml:space="preserve"> </w:t>
      </w:r>
      <w:r w:rsidRPr="003D733D">
        <w:rPr>
          <w:rFonts w:ascii="Sylfaen" w:hAnsi="Sylfaen" w:cs="Sylfaen"/>
        </w:rPr>
        <w:t>დაყოფილია</w:t>
      </w:r>
      <w:r w:rsidRPr="003D733D">
        <w:t xml:space="preserve"> </w:t>
      </w:r>
      <w:r w:rsidRPr="003D733D">
        <w:rPr>
          <w:rFonts w:ascii="Sylfaen" w:hAnsi="Sylfaen" w:cs="Sylfaen"/>
        </w:rPr>
        <w:t>რეაგირების</w:t>
      </w:r>
      <w:r w:rsidRPr="003D733D">
        <w:t xml:space="preserve"> 3 </w:t>
      </w:r>
      <w:r w:rsidRPr="003D733D">
        <w:rPr>
          <w:rFonts w:ascii="Sylfaen" w:hAnsi="Sylfaen" w:cs="Sylfaen"/>
        </w:rPr>
        <w:t>ძირითადი</w:t>
      </w:r>
      <w:r w:rsidRPr="003D733D">
        <w:t xml:space="preserve"> </w:t>
      </w:r>
      <w:r w:rsidRPr="003D733D">
        <w:rPr>
          <w:rFonts w:ascii="Sylfaen" w:hAnsi="Sylfaen" w:cs="Sylfaen"/>
        </w:rPr>
        <w:t>დონის</w:t>
      </w:r>
      <w:r w:rsidRPr="003D733D">
        <w:t xml:space="preserve"> </w:t>
      </w:r>
      <w:r w:rsidRPr="003D733D">
        <w:rPr>
          <w:rFonts w:ascii="Sylfaen" w:hAnsi="Sylfaen" w:cs="Sylfaen"/>
        </w:rPr>
        <w:t>მიხედვით</w:t>
      </w:r>
      <w:r w:rsidRPr="003D733D">
        <w:t xml:space="preserve">. </w:t>
      </w:r>
      <w:r w:rsidRPr="003D733D">
        <w:rPr>
          <w:rFonts w:ascii="Sylfaen" w:hAnsi="Sylfaen" w:cs="Sylfaen"/>
        </w:rPr>
        <w:t>ცხრილში</w:t>
      </w:r>
      <w:r w:rsidRPr="003D733D">
        <w:t xml:space="preserve"> 7.1. </w:t>
      </w:r>
      <w:r w:rsidRPr="003D733D">
        <w:rPr>
          <w:rFonts w:ascii="Sylfaen" w:hAnsi="Sylfaen" w:cs="Sylfaen"/>
        </w:rPr>
        <w:t>მოცემულია</w:t>
      </w:r>
      <w:r w:rsidRPr="003D733D">
        <w:t xml:space="preserve"> </w:t>
      </w:r>
      <w:r w:rsidRPr="003D733D">
        <w:rPr>
          <w:rFonts w:ascii="Sylfaen" w:hAnsi="Sylfaen" w:cs="Sylfaen"/>
        </w:rPr>
        <w:t>ავარიული</w:t>
      </w:r>
      <w:r w:rsidRPr="003D733D">
        <w:t xml:space="preserve"> </w:t>
      </w:r>
      <w:r w:rsidRPr="003D733D">
        <w:rPr>
          <w:rFonts w:ascii="Sylfaen" w:hAnsi="Sylfaen" w:cs="Sylfaen"/>
        </w:rPr>
        <w:t>სიტუაციების</w:t>
      </w:r>
      <w:r w:rsidRPr="003D733D">
        <w:t xml:space="preserve"> </w:t>
      </w:r>
      <w:r w:rsidRPr="003D733D">
        <w:rPr>
          <w:rFonts w:ascii="Sylfaen" w:hAnsi="Sylfaen" w:cs="Sylfaen"/>
        </w:rPr>
        <w:t>აღწერა</w:t>
      </w:r>
      <w:r w:rsidRPr="003D733D">
        <w:t xml:space="preserve"> </w:t>
      </w:r>
      <w:r w:rsidRPr="003D733D">
        <w:rPr>
          <w:rFonts w:ascii="Sylfaen" w:hAnsi="Sylfaen" w:cs="Sylfaen"/>
        </w:rPr>
        <w:t>დონეების</w:t>
      </w:r>
      <w:r w:rsidRPr="003D733D">
        <w:t xml:space="preserve"> </w:t>
      </w:r>
      <w:r w:rsidRPr="003D733D">
        <w:rPr>
          <w:rFonts w:ascii="Sylfaen" w:hAnsi="Sylfaen" w:cs="Sylfaen"/>
        </w:rPr>
        <w:t>მიხედვით</w:t>
      </w:r>
      <w:r w:rsidRPr="003D733D">
        <w:t xml:space="preserve">, </w:t>
      </w:r>
      <w:r w:rsidRPr="003D733D">
        <w:rPr>
          <w:rFonts w:ascii="Sylfaen" w:hAnsi="Sylfaen" w:cs="Sylfaen"/>
        </w:rPr>
        <w:t>შესაბამისი</w:t>
      </w:r>
      <w:r w:rsidRPr="003D733D">
        <w:t xml:space="preserve"> </w:t>
      </w:r>
      <w:r w:rsidRPr="003D733D">
        <w:rPr>
          <w:rFonts w:ascii="Sylfaen" w:hAnsi="Sylfaen" w:cs="Sylfaen"/>
        </w:rPr>
        <w:t>რეაგირების</w:t>
      </w:r>
      <w:r w:rsidRPr="003D733D">
        <w:t xml:space="preserve"> </w:t>
      </w:r>
      <w:r w:rsidRPr="003D733D">
        <w:rPr>
          <w:rFonts w:ascii="Sylfaen" w:hAnsi="Sylfaen" w:cs="Sylfaen"/>
        </w:rPr>
        <w:t>მითითებით</w:t>
      </w:r>
      <w:r w:rsidRPr="003D733D">
        <w:t xml:space="preserve">. </w:t>
      </w:r>
    </w:p>
    <w:p w14:paraId="4F1F6831" w14:textId="77777777" w:rsidR="00A2588D" w:rsidRPr="003D733D" w:rsidRDefault="00A2588D" w:rsidP="00A2588D"/>
    <w:p w14:paraId="02ED07BB" w14:textId="77777777" w:rsidR="00A2588D" w:rsidRPr="003D733D" w:rsidRDefault="00A2588D" w:rsidP="00A2588D"/>
    <w:p w14:paraId="5A4E41EF" w14:textId="77777777" w:rsidR="00A2588D" w:rsidRPr="003D733D" w:rsidRDefault="00A2588D" w:rsidP="00A2588D"/>
    <w:p w14:paraId="07446617" w14:textId="77777777" w:rsidR="00A2588D" w:rsidRPr="003D733D" w:rsidRDefault="00A2588D" w:rsidP="00A2588D">
      <w:pPr>
        <w:sectPr w:rsidR="00A2588D" w:rsidRPr="003D733D">
          <w:pgSz w:w="11907" w:h="16839"/>
          <w:pgMar w:top="1134" w:right="837" w:bottom="1134" w:left="1134" w:header="448" w:footer="318" w:gutter="0"/>
          <w:cols w:space="720"/>
        </w:sectPr>
      </w:pPr>
    </w:p>
    <w:p w14:paraId="660D38ED" w14:textId="77777777" w:rsidR="00A2588D" w:rsidRPr="003D733D" w:rsidRDefault="00A2588D" w:rsidP="00A2588D">
      <w:r w:rsidRPr="003D733D">
        <w:rPr>
          <w:rFonts w:ascii="Sylfaen" w:hAnsi="Sylfaen" w:cs="Sylfaen"/>
        </w:rPr>
        <w:lastRenderedPageBreak/>
        <w:t>ცხრილი</w:t>
      </w:r>
      <w:r w:rsidRPr="003D733D">
        <w:t xml:space="preserve"> 7.1. </w:t>
      </w:r>
      <w:r w:rsidRPr="003D733D">
        <w:rPr>
          <w:rFonts w:ascii="Sylfaen" w:hAnsi="Sylfaen" w:cs="Sylfaen"/>
        </w:rPr>
        <w:t>ავარიული</w:t>
      </w:r>
      <w:r w:rsidRPr="003D733D">
        <w:t xml:space="preserve"> </w:t>
      </w:r>
      <w:r w:rsidRPr="003D733D">
        <w:rPr>
          <w:rFonts w:ascii="Sylfaen" w:hAnsi="Sylfaen" w:cs="Sylfaen"/>
        </w:rPr>
        <w:t>სიტუაციების</w:t>
      </w:r>
      <w:r w:rsidRPr="003D733D">
        <w:t xml:space="preserve"> </w:t>
      </w:r>
      <w:r w:rsidRPr="003D733D">
        <w:rPr>
          <w:rFonts w:ascii="Sylfaen" w:hAnsi="Sylfaen" w:cs="Sylfaen"/>
        </w:rPr>
        <w:t>აღწერა</w:t>
      </w:r>
      <w:r w:rsidRPr="003D733D">
        <w:t xml:space="preserve"> </w:t>
      </w:r>
      <w:r w:rsidRPr="003D733D">
        <w:rPr>
          <w:rFonts w:ascii="Sylfaen" w:hAnsi="Sylfaen" w:cs="Sylfaen"/>
        </w:rPr>
        <w:t>დონეების</w:t>
      </w:r>
      <w:r w:rsidRPr="003D733D">
        <w:t xml:space="preserve"> </w:t>
      </w:r>
      <w:r w:rsidRPr="003D733D">
        <w:rPr>
          <w:rFonts w:ascii="Sylfaen" w:hAnsi="Sylfaen" w:cs="Sylfaen"/>
        </w:rPr>
        <w:t>მიხედვით</w:t>
      </w:r>
    </w:p>
    <w:tbl>
      <w:tblPr>
        <w:tblW w:w="15295" w:type="dxa"/>
        <w:jc w:val="center"/>
        <w:tblLook w:val="04A0" w:firstRow="1" w:lastRow="0" w:firstColumn="1" w:lastColumn="0" w:noHBand="0" w:noVBand="1"/>
      </w:tblPr>
      <w:tblGrid>
        <w:gridCol w:w="1537"/>
        <w:gridCol w:w="5017"/>
        <w:gridCol w:w="4346"/>
        <w:gridCol w:w="4395"/>
      </w:tblGrid>
      <w:tr w:rsidR="00A2588D" w:rsidRPr="00631159" w14:paraId="39C1F48D" w14:textId="77777777" w:rsidTr="00A2588D">
        <w:trPr>
          <w:trHeight w:val="313"/>
          <w:jc w:val="center"/>
        </w:trPr>
        <w:tc>
          <w:tcPr>
            <w:tcW w:w="153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4DBB42" w14:textId="77777777" w:rsidR="00A2588D" w:rsidRPr="00631159" w:rsidRDefault="00A2588D" w:rsidP="00A2588D">
            <w:pPr>
              <w:rPr>
                <w:sz w:val="18"/>
              </w:rPr>
            </w:pPr>
            <w:r w:rsidRPr="00631159">
              <w:rPr>
                <w:rFonts w:ascii="Sylfaen" w:hAnsi="Sylfaen" w:cs="Sylfaen"/>
                <w:sz w:val="18"/>
              </w:rPr>
              <w:t>ავარიული</w:t>
            </w:r>
            <w:r w:rsidRPr="00631159">
              <w:rPr>
                <w:sz w:val="18"/>
              </w:rPr>
              <w:t xml:space="preserve"> </w:t>
            </w:r>
            <w:r w:rsidRPr="00631159">
              <w:rPr>
                <w:rFonts w:ascii="Sylfaen" w:hAnsi="Sylfaen" w:cs="Sylfaen"/>
                <w:sz w:val="18"/>
              </w:rPr>
              <w:t>სიტუაცია</w:t>
            </w:r>
          </w:p>
        </w:tc>
        <w:tc>
          <w:tcPr>
            <w:tcW w:w="1375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15A0AD" w14:textId="77777777" w:rsidR="00A2588D" w:rsidRPr="00631159" w:rsidRDefault="00A2588D" w:rsidP="00A2588D">
            <w:pPr>
              <w:rPr>
                <w:sz w:val="18"/>
              </w:rPr>
            </w:pPr>
            <w:r w:rsidRPr="00631159">
              <w:rPr>
                <w:rFonts w:ascii="Sylfaen" w:hAnsi="Sylfaen" w:cs="Sylfaen"/>
                <w:sz w:val="18"/>
              </w:rPr>
              <w:t>დონე</w:t>
            </w:r>
          </w:p>
        </w:tc>
      </w:tr>
      <w:tr w:rsidR="00A2588D" w:rsidRPr="00631159" w14:paraId="08CE1FA3" w14:textId="77777777" w:rsidTr="00A2588D">
        <w:trPr>
          <w:trHeight w:val="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CF87AF" w14:textId="77777777" w:rsidR="00A2588D" w:rsidRPr="00631159" w:rsidRDefault="00A2588D" w:rsidP="00A2588D">
            <w:pPr>
              <w:rPr>
                <w:rFonts w:eastAsiaTheme="minorHAnsi"/>
                <w:sz w:val="18"/>
                <w:lang w:val="ka-GE"/>
              </w:rPr>
            </w:pPr>
          </w:p>
        </w:tc>
        <w:tc>
          <w:tcPr>
            <w:tcW w:w="50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9522D6" w14:textId="77777777" w:rsidR="00A2588D" w:rsidRPr="00631159" w:rsidRDefault="00A2588D" w:rsidP="00A2588D">
            <w:pPr>
              <w:rPr>
                <w:sz w:val="18"/>
              </w:rPr>
            </w:pPr>
            <w:r w:rsidRPr="00631159">
              <w:rPr>
                <w:sz w:val="18"/>
              </w:rPr>
              <w:t xml:space="preserve">I </w:t>
            </w:r>
            <w:r w:rsidRPr="00631159">
              <w:rPr>
                <w:rFonts w:ascii="Sylfaen" w:hAnsi="Sylfaen" w:cs="Sylfaen"/>
                <w:sz w:val="18"/>
              </w:rPr>
              <w:t>დონე</w:t>
            </w:r>
          </w:p>
        </w:tc>
        <w:tc>
          <w:tcPr>
            <w:tcW w:w="43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66328D" w14:textId="77777777" w:rsidR="00A2588D" w:rsidRPr="00631159" w:rsidRDefault="00A2588D" w:rsidP="00A2588D">
            <w:pPr>
              <w:rPr>
                <w:sz w:val="18"/>
              </w:rPr>
            </w:pPr>
            <w:r w:rsidRPr="00631159">
              <w:rPr>
                <w:sz w:val="18"/>
              </w:rPr>
              <w:t xml:space="preserve">II </w:t>
            </w:r>
            <w:r w:rsidRPr="00631159">
              <w:rPr>
                <w:rFonts w:ascii="Sylfaen" w:hAnsi="Sylfaen" w:cs="Sylfaen"/>
                <w:sz w:val="18"/>
              </w:rPr>
              <w:t>დონე</w:t>
            </w:r>
          </w:p>
        </w:tc>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AE17A6" w14:textId="77777777" w:rsidR="00A2588D" w:rsidRPr="00631159" w:rsidRDefault="00A2588D" w:rsidP="00A2588D">
            <w:pPr>
              <w:rPr>
                <w:sz w:val="18"/>
              </w:rPr>
            </w:pPr>
            <w:r w:rsidRPr="00631159">
              <w:rPr>
                <w:sz w:val="18"/>
              </w:rPr>
              <w:t xml:space="preserve">III </w:t>
            </w:r>
            <w:r w:rsidRPr="00631159">
              <w:rPr>
                <w:rFonts w:ascii="Sylfaen" w:hAnsi="Sylfaen" w:cs="Sylfaen"/>
                <w:sz w:val="18"/>
              </w:rPr>
              <w:t>დონე</w:t>
            </w:r>
          </w:p>
        </w:tc>
      </w:tr>
      <w:tr w:rsidR="00A2588D" w:rsidRPr="00631159" w14:paraId="37BF4B3C" w14:textId="77777777" w:rsidTr="00A2588D">
        <w:trPr>
          <w:trHeight w:val="375"/>
          <w:jc w:val="center"/>
        </w:trPr>
        <w:tc>
          <w:tcPr>
            <w:tcW w:w="1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A06C01" w14:textId="77777777" w:rsidR="00A2588D" w:rsidRPr="00631159" w:rsidRDefault="00A2588D" w:rsidP="00A2588D">
            <w:pPr>
              <w:rPr>
                <w:sz w:val="18"/>
              </w:rPr>
            </w:pPr>
            <w:r w:rsidRPr="00631159">
              <w:rPr>
                <w:rFonts w:ascii="Sylfaen" w:hAnsi="Sylfaen" w:cs="Sylfaen"/>
                <w:sz w:val="18"/>
              </w:rPr>
              <w:t>საერთო</w:t>
            </w:r>
          </w:p>
        </w:tc>
        <w:tc>
          <w:tcPr>
            <w:tcW w:w="5017" w:type="dxa"/>
            <w:tcBorders>
              <w:top w:val="single" w:sz="4" w:space="0" w:color="auto"/>
              <w:left w:val="single" w:sz="4" w:space="0" w:color="auto"/>
              <w:bottom w:val="single" w:sz="4" w:space="0" w:color="auto"/>
              <w:right w:val="single" w:sz="4" w:space="0" w:color="auto"/>
            </w:tcBorders>
            <w:vAlign w:val="center"/>
            <w:hideMark/>
          </w:tcPr>
          <w:p w14:paraId="335C609E" w14:textId="77777777" w:rsidR="00A2588D" w:rsidRPr="00631159" w:rsidRDefault="00A2588D" w:rsidP="00A2588D">
            <w:pPr>
              <w:rPr>
                <w:sz w:val="18"/>
              </w:rPr>
            </w:pPr>
            <w:r w:rsidRPr="00631159">
              <w:rPr>
                <w:rFonts w:ascii="Sylfaen" w:hAnsi="Sylfaen" w:cs="Sylfaen"/>
                <w:sz w:val="18"/>
              </w:rPr>
              <w:t>ავარიის</w:t>
            </w:r>
            <w:r w:rsidRPr="00631159">
              <w:rPr>
                <w:sz w:val="18"/>
              </w:rPr>
              <w:t xml:space="preserve"> </w:t>
            </w:r>
            <w:r w:rsidRPr="00631159">
              <w:rPr>
                <w:rFonts w:ascii="Sylfaen" w:hAnsi="Sylfaen" w:cs="Sylfaen"/>
                <w:sz w:val="18"/>
              </w:rPr>
              <w:t>ლიკვიდაციისთვის</w:t>
            </w:r>
            <w:r w:rsidRPr="00631159">
              <w:rPr>
                <w:sz w:val="18"/>
              </w:rPr>
              <w:t xml:space="preserve"> </w:t>
            </w:r>
            <w:r w:rsidRPr="00631159">
              <w:rPr>
                <w:rFonts w:ascii="Sylfaen" w:hAnsi="Sylfaen" w:cs="Sylfaen"/>
                <w:sz w:val="18"/>
              </w:rPr>
              <w:t>საკმარისია</w:t>
            </w:r>
            <w:r w:rsidRPr="00631159">
              <w:rPr>
                <w:sz w:val="18"/>
              </w:rPr>
              <w:t xml:space="preserve"> </w:t>
            </w:r>
            <w:r w:rsidRPr="00631159">
              <w:rPr>
                <w:rFonts w:ascii="Sylfaen" w:hAnsi="Sylfaen" w:cs="Sylfaen"/>
                <w:sz w:val="18"/>
              </w:rPr>
              <w:t>შიდა</w:t>
            </w:r>
            <w:r w:rsidRPr="00631159">
              <w:rPr>
                <w:sz w:val="18"/>
              </w:rPr>
              <w:t xml:space="preserve"> </w:t>
            </w:r>
            <w:r w:rsidRPr="00631159">
              <w:rPr>
                <w:rFonts w:ascii="Sylfaen" w:hAnsi="Sylfaen" w:cs="Sylfaen"/>
                <w:sz w:val="18"/>
              </w:rPr>
              <w:t>რესურსები</w:t>
            </w:r>
          </w:p>
        </w:tc>
        <w:tc>
          <w:tcPr>
            <w:tcW w:w="4346" w:type="dxa"/>
            <w:tcBorders>
              <w:top w:val="single" w:sz="4" w:space="0" w:color="auto"/>
              <w:left w:val="single" w:sz="4" w:space="0" w:color="auto"/>
              <w:bottom w:val="single" w:sz="4" w:space="0" w:color="auto"/>
              <w:right w:val="single" w:sz="4" w:space="0" w:color="auto"/>
            </w:tcBorders>
            <w:vAlign w:val="center"/>
            <w:hideMark/>
          </w:tcPr>
          <w:p w14:paraId="79F369B5" w14:textId="77777777" w:rsidR="00A2588D" w:rsidRPr="00631159" w:rsidRDefault="00A2588D" w:rsidP="00A2588D">
            <w:pPr>
              <w:rPr>
                <w:sz w:val="18"/>
              </w:rPr>
            </w:pPr>
            <w:r w:rsidRPr="00631159">
              <w:rPr>
                <w:rFonts w:ascii="Sylfaen" w:hAnsi="Sylfaen" w:cs="Sylfaen"/>
                <w:sz w:val="18"/>
              </w:rPr>
              <w:t>ავარიის</w:t>
            </w:r>
            <w:r w:rsidRPr="00631159">
              <w:rPr>
                <w:sz w:val="18"/>
              </w:rPr>
              <w:t xml:space="preserve"> </w:t>
            </w:r>
            <w:r w:rsidRPr="00631159">
              <w:rPr>
                <w:rFonts w:ascii="Sylfaen" w:hAnsi="Sylfaen" w:cs="Sylfaen"/>
                <w:sz w:val="18"/>
              </w:rPr>
              <w:t>ლიკვიდაციისთვის</w:t>
            </w:r>
            <w:r w:rsidRPr="00631159">
              <w:rPr>
                <w:sz w:val="18"/>
              </w:rPr>
              <w:t xml:space="preserve"> </w:t>
            </w:r>
            <w:r w:rsidRPr="00631159">
              <w:rPr>
                <w:rFonts w:ascii="Sylfaen" w:hAnsi="Sylfaen" w:cs="Sylfaen"/>
                <w:sz w:val="18"/>
              </w:rPr>
              <w:t>საჭიროა</w:t>
            </w:r>
            <w:r w:rsidRPr="00631159">
              <w:rPr>
                <w:sz w:val="18"/>
              </w:rPr>
              <w:t xml:space="preserve"> </w:t>
            </w:r>
            <w:r w:rsidRPr="00631159">
              <w:rPr>
                <w:rFonts w:ascii="Sylfaen" w:hAnsi="Sylfaen" w:cs="Sylfaen"/>
                <w:sz w:val="18"/>
              </w:rPr>
              <w:t>გარეშე</w:t>
            </w:r>
            <w:r w:rsidRPr="00631159">
              <w:rPr>
                <w:sz w:val="18"/>
              </w:rPr>
              <w:t xml:space="preserve"> </w:t>
            </w:r>
            <w:r w:rsidRPr="00631159">
              <w:rPr>
                <w:rFonts w:ascii="Sylfaen" w:hAnsi="Sylfaen" w:cs="Sylfaen"/>
                <w:sz w:val="18"/>
              </w:rPr>
              <w:t>რესურსები</w:t>
            </w:r>
            <w:r w:rsidRPr="00631159">
              <w:rPr>
                <w:sz w:val="18"/>
              </w:rPr>
              <w:t xml:space="preserve"> </w:t>
            </w:r>
            <w:r w:rsidRPr="00631159">
              <w:rPr>
                <w:rFonts w:ascii="Sylfaen" w:hAnsi="Sylfaen" w:cs="Sylfaen"/>
                <w:sz w:val="18"/>
              </w:rPr>
              <w:t>და</w:t>
            </w:r>
            <w:r w:rsidRPr="00631159">
              <w:rPr>
                <w:sz w:val="18"/>
              </w:rPr>
              <w:t xml:space="preserve"> </w:t>
            </w:r>
            <w:r w:rsidRPr="00631159">
              <w:rPr>
                <w:rFonts w:ascii="Sylfaen" w:hAnsi="Sylfaen" w:cs="Sylfaen"/>
                <w:sz w:val="18"/>
              </w:rPr>
              <w:t>მუშახელი</w:t>
            </w:r>
          </w:p>
        </w:tc>
        <w:tc>
          <w:tcPr>
            <w:tcW w:w="4395" w:type="dxa"/>
            <w:tcBorders>
              <w:top w:val="single" w:sz="4" w:space="0" w:color="auto"/>
              <w:left w:val="single" w:sz="4" w:space="0" w:color="auto"/>
              <w:bottom w:val="single" w:sz="4" w:space="0" w:color="auto"/>
              <w:right w:val="single" w:sz="4" w:space="0" w:color="auto"/>
            </w:tcBorders>
            <w:vAlign w:val="center"/>
            <w:hideMark/>
          </w:tcPr>
          <w:p w14:paraId="0A2B3C91" w14:textId="77777777" w:rsidR="00A2588D" w:rsidRPr="00631159" w:rsidRDefault="00A2588D" w:rsidP="00A2588D">
            <w:pPr>
              <w:rPr>
                <w:sz w:val="18"/>
              </w:rPr>
            </w:pPr>
            <w:r w:rsidRPr="00631159">
              <w:rPr>
                <w:rFonts w:ascii="Sylfaen" w:hAnsi="Sylfaen" w:cs="Sylfaen"/>
                <w:sz w:val="18"/>
              </w:rPr>
              <w:t>ავარიის</w:t>
            </w:r>
            <w:r w:rsidRPr="00631159">
              <w:rPr>
                <w:sz w:val="18"/>
              </w:rPr>
              <w:t xml:space="preserve"> </w:t>
            </w:r>
            <w:r w:rsidRPr="00631159">
              <w:rPr>
                <w:rFonts w:ascii="Sylfaen" w:hAnsi="Sylfaen" w:cs="Sylfaen"/>
                <w:sz w:val="18"/>
              </w:rPr>
              <w:t>ლიკვიდაციისთვის</w:t>
            </w:r>
            <w:r w:rsidRPr="00631159">
              <w:rPr>
                <w:sz w:val="18"/>
              </w:rPr>
              <w:t xml:space="preserve"> </w:t>
            </w:r>
            <w:r w:rsidRPr="00631159">
              <w:rPr>
                <w:rFonts w:ascii="Sylfaen" w:hAnsi="Sylfaen" w:cs="Sylfaen"/>
                <w:sz w:val="18"/>
              </w:rPr>
              <w:t>საჭიროა</w:t>
            </w:r>
            <w:r w:rsidRPr="00631159">
              <w:rPr>
                <w:sz w:val="18"/>
              </w:rPr>
              <w:t xml:space="preserve"> </w:t>
            </w:r>
            <w:r w:rsidRPr="00631159">
              <w:rPr>
                <w:rFonts w:ascii="Sylfaen" w:hAnsi="Sylfaen" w:cs="Sylfaen"/>
                <w:sz w:val="18"/>
              </w:rPr>
              <w:t>რეგიონული</w:t>
            </w:r>
            <w:r w:rsidRPr="00631159">
              <w:rPr>
                <w:sz w:val="18"/>
              </w:rPr>
              <w:t xml:space="preserve"> </w:t>
            </w:r>
            <w:r w:rsidRPr="00631159">
              <w:rPr>
                <w:rFonts w:ascii="Sylfaen" w:hAnsi="Sylfaen" w:cs="Sylfaen"/>
                <w:sz w:val="18"/>
              </w:rPr>
              <w:t>ან</w:t>
            </w:r>
            <w:r w:rsidRPr="00631159">
              <w:rPr>
                <w:sz w:val="18"/>
              </w:rPr>
              <w:t xml:space="preserve"> </w:t>
            </w:r>
            <w:r w:rsidRPr="00631159">
              <w:rPr>
                <w:rFonts w:ascii="Sylfaen" w:hAnsi="Sylfaen" w:cs="Sylfaen"/>
                <w:sz w:val="18"/>
              </w:rPr>
              <w:t>ქვეყნის</w:t>
            </w:r>
            <w:r w:rsidRPr="00631159">
              <w:rPr>
                <w:sz w:val="18"/>
              </w:rPr>
              <w:t xml:space="preserve"> </w:t>
            </w:r>
            <w:r w:rsidRPr="00631159">
              <w:rPr>
                <w:rFonts w:ascii="Sylfaen" w:hAnsi="Sylfaen" w:cs="Sylfaen"/>
                <w:sz w:val="18"/>
              </w:rPr>
              <w:t>რესურსების</w:t>
            </w:r>
            <w:r w:rsidRPr="00631159">
              <w:rPr>
                <w:sz w:val="18"/>
              </w:rPr>
              <w:t xml:space="preserve"> </w:t>
            </w:r>
            <w:r w:rsidRPr="00631159">
              <w:rPr>
                <w:rFonts w:ascii="Sylfaen" w:hAnsi="Sylfaen" w:cs="Sylfaen"/>
                <w:sz w:val="18"/>
              </w:rPr>
              <w:t>მოზიდვა</w:t>
            </w:r>
          </w:p>
        </w:tc>
      </w:tr>
      <w:tr w:rsidR="00A2588D" w:rsidRPr="00631159" w14:paraId="50AF05C7" w14:textId="77777777" w:rsidTr="00A2588D">
        <w:trPr>
          <w:trHeight w:val="375"/>
          <w:jc w:val="center"/>
        </w:trPr>
        <w:tc>
          <w:tcPr>
            <w:tcW w:w="1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B61E5B" w14:textId="77777777" w:rsidR="00A2588D" w:rsidRPr="00631159" w:rsidRDefault="00A2588D" w:rsidP="00A2588D">
            <w:pPr>
              <w:rPr>
                <w:sz w:val="18"/>
              </w:rPr>
            </w:pPr>
            <w:r w:rsidRPr="00631159">
              <w:rPr>
                <w:rFonts w:ascii="Sylfaen" w:hAnsi="Sylfaen" w:cs="Sylfaen"/>
                <w:sz w:val="18"/>
              </w:rPr>
              <w:t>სატრანსპორტო</w:t>
            </w:r>
            <w:r w:rsidRPr="00631159">
              <w:rPr>
                <w:sz w:val="18"/>
              </w:rPr>
              <w:t xml:space="preserve"> </w:t>
            </w:r>
            <w:r w:rsidRPr="00631159">
              <w:rPr>
                <w:rFonts w:ascii="Sylfaen" w:hAnsi="Sylfaen" w:cs="Sylfaen"/>
                <w:sz w:val="18"/>
              </w:rPr>
              <w:t>შემთხვევები</w:t>
            </w:r>
          </w:p>
        </w:tc>
        <w:tc>
          <w:tcPr>
            <w:tcW w:w="5017" w:type="dxa"/>
            <w:tcBorders>
              <w:top w:val="single" w:sz="4" w:space="0" w:color="auto"/>
              <w:left w:val="single" w:sz="4" w:space="0" w:color="auto"/>
              <w:bottom w:val="single" w:sz="4" w:space="0" w:color="auto"/>
              <w:right w:val="single" w:sz="4" w:space="0" w:color="auto"/>
            </w:tcBorders>
            <w:vAlign w:val="center"/>
            <w:hideMark/>
          </w:tcPr>
          <w:p w14:paraId="25B74F91" w14:textId="77777777" w:rsidR="00A2588D" w:rsidRPr="00631159" w:rsidRDefault="00A2588D" w:rsidP="00A2588D">
            <w:pPr>
              <w:rPr>
                <w:sz w:val="18"/>
              </w:rPr>
            </w:pPr>
            <w:r w:rsidRPr="00631159">
              <w:rPr>
                <w:rFonts w:ascii="Sylfaen" w:hAnsi="Sylfaen" w:cs="Sylfaen"/>
                <w:sz w:val="18"/>
              </w:rPr>
              <w:t>ადგილი</w:t>
            </w:r>
            <w:r w:rsidRPr="00631159">
              <w:rPr>
                <w:sz w:val="18"/>
              </w:rPr>
              <w:t xml:space="preserve"> </w:t>
            </w:r>
            <w:r w:rsidRPr="00631159">
              <w:rPr>
                <w:rFonts w:ascii="Sylfaen" w:hAnsi="Sylfaen" w:cs="Sylfaen"/>
                <w:sz w:val="18"/>
              </w:rPr>
              <w:t>აქვს</w:t>
            </w:r>
            <w:r w:rsidRPr="00631159">
              <w:rPr>
                <w:sz w:val="18"/>
              </w:rPr>
              <w:t xml:space="preserve"> </w:t>
            </w:r>
            <w:r w:rsidRPr="00631159">
              <w:rPr>
                <w:rFonts w:ascii="Sylfaen" w:hAnsi="Sylfaen" w:cs="Sylfaen"/>
                <w:sz w:val="18"/>
              </w:rPr>
              <w:t>ტექნიკის</w:t>
            </w:r>
            <w:r w:rsidRPr="00631159">
              <w:rPr>
                <w:sz w:val="18"/>
              </w:rPr>
              <w:t xml:space="preserve">, </w:t>
            </w:r>
            <w:r w:rsidRPr="00631159">
              <w:rPr>
                <w:rFonts w:ascii="Sylfaen" w:hAnsi="Sylfaen" w:cs="Sylfaen"/>
                <w:sz w:val="18"/>
              </w:rPr>
              <w:t>სატრანსპორტო</w:t>
            </w:r>
            <w:r w:rsidRPr="00631159">
              <w:rPr>
                <w:sz w:val="18"/>
              </w:rPr>
              <w:t xml:space="preserve"> </w:t>
            </w:r>
            <w:r w:rsidRPr="00631159">
              <w:rPr>
                <w:rFonts w:ascii="Sylfaen" w:hAnsi="Sylfaen" w:cs="Sylfaen"/>
                <w:sz w:val="18"/>
              </w:rPr>
              <w:t>საშუალებების</w:t>
            </w:r>
            <w:r w:rsidRPr="00631159">
              <w:rPr>
                <w:sz w:val="18"/>
              </w:rPr>
              <w:t xml:space="preserve">, </w:t>
            </w:r>
            <w:r w:rsidRPr="00631159">
              <w:rPr>
                <w:rFonts w:ascii="Sylfaen" w:hAnsi="Sylfaen" w:cs="Sylfaen"/>
                <w:sz w:val="18"/>
              </w:rPr>
              <w:t>ინფრასტრუქტურის</w:t>
            </w:r>
            <w:r w:rsidRPr="00631159">
              <w:rPr>
                <w:sz w:val="18"/>
              </w:rPr>
              <w:t xml:space="preserve"> </w:t>
            </w:r>
            <w:r w:rsidRPr="00631159">
              <w:rPr>
                <w:rFonts w:ascii="Sylfaen" w:hAnsi="Sylfaen" w:cs="Sylfaen"/>
                <w:sz w:val="18"/>
              </w:rPr>
              <w:t>არაღირებული</w:t>
            </w:r>
            <w:r w:rsidRPr="00631159">
              <w:rPr>
                <w:sz w:val="18"/>
              </w:rPr>
              <w:t xml:space="preserve"> </w:t>
            </w:r>
            <w:r w:rsidRPr="00631159">
              <w:rPr>
                <w:rFonts w:ascii="Sylfaen" w:hAnsi="Sylfaen" w:cs="Sylfaen"/>
                <w:sz w:val="18"/>
              </w:rPr>
              <w:t>ობიექტების</w:t>
            </w:r>
            <w:r w:rsidRPr="00631159">
              <w:rPr>
                <w:sz w:val="18"/>
              </w:rPr>
              <w:t xml:space="preserve"> </w:t>
            </w:r>
            <w:r w:rsidRPr="00631159">
              <w:rPr>
                <w:rFonts w:ascii="Sylfaen" w:hAnsi="Sylfaen" w:cs="Sylfaen"/>
                <w:sz w:val="18"/>
              </w:rPr>
              <w:t>დაზიანებას</w:t>
            </w:r>
            <w:r w:rsidRPr="00631159">
              <w:rPr>
                <w:sz w:val="18"/>
              </w:rPr>
              <w:t xml:space="preserve">. </w:t>
            </w:r>
            <w:r w:rsidRPr="00631159">
              <w:rPr>
                <w:rFonts w:ascii="Sylfaen" w:hAnsi="Sylfaen" w:cs="Sylfaen"/>
                <w:sz w:val="18"/>
              </w:rPr>
              <w:t>ადამიანთა</w:t>
            </w:r>
            <w:r w:rsidRPr="00631159">
              <w:rPr>
                <w:sz w:val="18"/>
              </w:rPr>
              <w:t xml:space="preserve"> </w:t>
            </w:r>
            <w:r w:rsidRPr="00631159">
              <w:rPr>
                <w:rFonts w:ascii="Sylfaen" w:hAnsi="Sylfaen" w:cs="Sylfaen"/>
                <w:sz w:val="18"/>
              </w:rPr>
              <w:t>ჯანმრთელობას</w:t>
            </w:r>
            <w:r w:rsidRPr="00631159">
              <w:rPr>
                <w:sz w:val="18"/>
              </w:rPr>
              <w:t xml:space="preserve"> </w:t>
            </w:r>
            <w:r w:rsidRPr="00631159">
              <w:rPr>
                <w:rFonts w:ascii="Sylfaen" w:hAnsi="Sylfaen" w:cs="Sylfaen"/>
                <w:sz w:val="18"/>
              </w:rPr>
              <w:t>საფრთხე</w:t>
            </w:r>
            <w:r w:rsidRPr="00631159">
              <w:rPr>
                <w:sz w:val="18"/>
              </w:rPr>
              <w:t xml:space="preserve"> </w:t>
            </w:r>
            <w:r w:rsidRPr="00631159">
              <w:rPr>
                <w:rFonts w:ascii="Sylfaen" w:hAnsi="Sylfaen" w:cs="Sylfaen"/>
                <w:sz w:val="18"/>
              </w:rPr>
              <w:t>არ</w:t>
            </w:r>
            <w:r w:rsidRPr="00631159">
              <w:rPr>
                <w:sz w:val="18"/>
              </w:rPr>
              <w:t xml:space="preserve"> </w:t>
            </w:r>
            <w:r w:rsidRPr="00631159">
              <w:rPr>
                <w:rFonts w:ascii="Sylfaen" w:hAnsi="Sylfaen" w:cs="Sylfaen"/>
                <w:sz w:val="18"/>
              </w:rPr>
              <w:t>ემუქრება</w:t>
            </w:r>
            <w:r w:rsidRPr="00631159">
              <w:rPr>
                <w:sz w:val="18"/>
              </w:rPr>
              <w:t>.</w:t>
            </w:r>
          </w:p>
        </w:tc>
        <w:tc>
          <w:tcPr>
            <w:tcW w:w="4346" w:type="dxa"/>
            <w:tcBorders>
              <w:top w:val="single" w:sz="4" w:space="0" w:color="auto"/>
              <w:left w:val="single" w:sz="4" w:space="0" w:color="auto"/>
              <w:bottom w:val="single" w:sz="4" w:space="0" w:color="auto"/>
              <w:right w:val="single" w:sz="4" w:space="0" w:color="auto"/>
            </w:tcBorders>
            <w:vAlign w:val="center"/>
            <w:hideMark/>
          </w:tcPr>
          <w:p w14:paraId="04744499" w14:textId="77777777" w:rsidR="00A2588D" w:rsidRPr="00631159" w:rsidRDefault="00A2588D" w:rsidP="00A2588D">
            <w:pPr>
              <w:rPr>
                <w:sz w:val="18"/>
              </w:rPr>
            </w:pPr>
            <w:r w:rsidRPr="00631159">
              <w:rPr>
                <w:rFonts w:ascii="Sylfaen" w:hAnsi="Sylfaen" w:cs="Sylfaen"/>
                <w:sz w:val="18"/>
              </w:rPr>
              <w:t>ადგილი</w:t>
            </w:r>
            <w:r w:rsidRPr="00631159">
              <w:rPr>
                <w:sz w:val="18"/>
              </w:rPr>
              <w:t xml:space="preserve"> </w:t>
            </w:r>
            <w:r w:rsidRPr="00631159">
              <w:rPr>
                <w:rFonts w:ascii="Sylfaen" w:hAnsi="Sylfaen" w:cs="Sylfaen"/>
                <w:sz w:val="18"/>
              </w:rPr>
              <w:t>აქვს</w:t>
            </w:r>
            <w:r w:rsidRPr="00631159">
              <w:rPr>
                <w:sz w:val="18"/>
              </w:rPr>
              <w:t xml:space="preserve"> </w:t>
            </w:r>
            <w:r w:rsidRPr="00631159">
              <w:rPr>
                <w:rFonts w:ascii="Sylfaen" w:hAnsi="Sylfaen" w:cs="Sylfaen"/>
                <w:sz w:val="18"/>
              </w:rPr>
              <w:t>ტექნიკის</w:t>
            </w:r>
            <w:r w:rsidRPr="00631159">
              <w:rPr>
                <w:sz w:val="18"/>
              </w:rPr>
              <w:t xml:space="preserve">, </w:t>
            </w:r>
            <w:r w:rsidRPr="00631159">
              <w:rPr>
                <w:rFonts w:ascii="Sylfaen" w:hAnsi="Sylfaen" w:cs="Sylfaen"/>
                <w:sz w:val="18"/>
              </w:rPr>
              <w:t>სატრანსპორტო</w:t>
            </w:r>
            <w:r w:rsidRPr="00631159">
              <w:rPr>
                <w:sz w:val="18"/>
              </w:rPr>
              <w:t xml:space="preserve"> </w:t>
            </w:r>
            <w:r w:rsidRPr="00631159">
              <w:rPr>
                <w:rFonts w:ascii="Sylfaen" w:hAnsi="Sylfaen" w:cs="Sylfaen"/>
                <w:sz w:val="18"/>
              </w:rPr>
              <w:t>საშუალებების</w:t>
            </w:r>
            <w:r w:rsidRPr="00631159">
              <w:rPr>
                <w:sz w:val="18"/>
              </w:rPr>
              <w:t xml:space="preserve">, </w:t>
            </w:r>
            <w:r w:rsidRPr="00631159">
              <w:rPr>
                <w:rFonts w:ascii="Sylfaen" w:hAnsi="Sylfaen" w:cs="Sylfaen"/>
                <w:sz w:val="18"/>
              </w:rPr>
              <w:t>ინფრასტრუქტურის</w:t>
            </w:r>
            <w:r w:rsidRPr="00631159">
              <w:rPr>
                <w:sz w:val="18"/>
              </w:rPr>
              <w:t xml:space="preserve"> </w:t>
            </w:r>
            <w:r w:rsidRPr="00631159">
              <w:rPr>
                <w:rFonts w:ascii="Sylfaen" w:hAnsi="Sylfaen" w:cs="Sylfaen"/>
                <w:sz w:val="18"/>
              </w:rPr>
              <w:t>ღირებული</w:t>
            </w:r>
            <w:r w:rsidRPr="00631159">
              <w:rPr>
                <w:sz w:val="18"/>
              </w:rPr>
              <w:t xml:space="preserve"> </w:t>
            </w:r>
            <w:r w:rsidRPr="00631159">
              <w:rPr>
                <w:rFonts w:ascii="Sylfaen" w:hAnsi="Sylfaen" w:cs="Sylfaen"/>
                <w:sz w:val="18"/>
              </w:rPr>
              <w:t>ობიექტების</w:t>
            </w:r>
            <w:r w:rsidRPr="00631159">
              <w:rPr>
                <w:sz w:val="18"/>
              </w:rPr>
              <w:t xml:space="preserve"> </w:t>
            </w:r>
            <w:r w:rsidRPr="00631159">
              <w:rPr>
                <w:rFonts w:ascii="Sylfaen" w:hAnsi="Sylfaen" w:cs="Sylfaen"/>
                <w:sz w:val="18"/>
              </w:rPr>
              <w:t>დაზიანებას</w:t>
            </w:r>
            <w:r w:rsidRPr="00631159">
              <w:rPr>
                <w:sz w:val="18"/>
              </w:rPr>
              <w:t xml:space="preserve">. </w:t>
            </w:r>
            <w:r w:rsidRPr="00631159">
              <w:rPr>
                <w:rFonts w:ascii="Sylfaen" w:hAnsi="Sylfaen" w:cs="Sylfaen"/>
                <w:sz w:val="18"/>
              </w:rPr>
              <w:t>საფრთხე</w:t>
            </w:r>
            <w:r w:rsidRPr="00631159">
              <w:rPr>
                <w:sz w:val="18"/>
              </w:rPr>
              <w:t xml:space="preserve"> </w:t>
            </w:r>
            <w:r w:rsidRPr="00631159">
              <w:rPr>
                <w:rFonts w:ascii="Sylfaen" w:hAnsi="Sylfaen" w:cs="Sylfaen"/>
                <w:sz w:val="18"/>
              </w:rPr>
              <w:t>ემუქრება</w:t>
            </w:r>
            <w:r w:rsidRPr="00631159">
              <w:rPr>
                <w:sz w:val="18"/>
              </w:rPr>
              <w:t xml:space="preserve"> </w:t>
            </w:r>
            <w:r w:rsidRPr="00631159">
              <w:rPr>
                <w:rFonts w:ascii="Sylfaen" w:hAnsi="Sylfaen" w:cs="Sylfaen"/>
                <w:sz w:val="18"/>
              </w:rPr>
              <w:t>ადამიანთა</w:t>
            </w:r>
            <w:r w:rsidRPr="00631159">
              <w:rPr>
                <w:sz w:val="18"/>
              </w:rPr>
              <w:t xml:space="preserve"> </w:t>
            </w:r>
            <w:r w:rsidRPr="00631159">
              <w:rPr>
                <w:rFonts w:ascii="Sylfaen" w:hAnsi="Sylfaen" w:cs="Sylfaen"/>
                <w:sz w:val="18"/>
              </w:rPr>
              <w:t>ჯანმრთელობას</w:t>
            </w:r>
            <w:r w:rsidRPr="00631159">
              <w:rPr>
                <w:sz w:val="18"/>
              </w:rPr>
              <w:t>.</w:t>
            </w:r>
          </w:p>
        </w:tc>
        <w:tc>
          <w:tcPr>
            <w:tcW w:w="4395" w:type="dxa"/>
            <w:tcBorders>
              <w:top w:val="single" w:sz="4" w:space="0" w:color="auto"/>
              <w:left w:val="single" w:sz="4" w:space="0" w:color="auto"/>
              <w:bottom w:val="single" w:sz="4" w:space="0" w:color="auto"/>
              <w:right w:val="single" w:sz="4" w:space="0" w:color="auto"/>
            </w:tcBorders>
            <w:vAlign w:val="center"/>
            <w:hideMark/>
          </w:tcPr>
          <w:p w14:paraId="7B7849AA" w14:textId="77777777" w:rsidR="00A2588D" w:rsidRPr="00631159" w:rsidRDefault="00A2588D" w:rsidP="00A2588D">
            <w:pPr>
              <w:rPr>
                <w:sz w:val="18"/>
              </w:rPr>
            </w:pPr>
            <w:r w:rsidRPr="00631159">
              <w:rPr>
                <w:rFonts w:ascii="Sylfaen" w:hAnsi="Sylfaen" w:cs="Sylfaen"/>
                <w:sz w:val="18"/>
              </w:rPr>
              <w:t>ადგილი</w:t>
            </w:r>
            <w:r w:rsidRPr="00631159">
              <w:rPr>
                <w:sz w:val="18"/>
              </w:rPr>
              <w:t xml:space="preserve"> </w:t>
            </w:r>
            <w:r w:rsidRPr="00631159">
              <w:rPr>
                <w:rFonts w:ascii="Sylfaen" w:hAnsi="Sylfaen" w:cs="Sylfaen"/>
                <w:sz w:val="18"/>
              </w:rPr>
              <w:t>აქვს</w:t>
            </w:r>
            <w:r w:rsidRPr="00631159">
              <w:rPr>
                <w:sz w:val="18"/>
              </w:rPr>
              <w:t xml:space="preserve"> </w:t>
            </w:r>
            <w:r w:rsidRPr="00631159">
              <w:rPr>
                <w:rFonts w:ascii="Sylfaen" w:hAnsi="Sylfaen" w:cs="Sylfaen"/>
                <w:sz w:val="18"/>
              </w:rPr>
              <w:t>ტექნიკის</w:t>
            </w:r>
            <w:r w:rsidRPr="00631159">
              <w:rPr>
                <w:sz w:val="18"/>
              </w:rPr>
              <w:t xml:space="preserve">, </w:t>
            </w:r>
            <w:r w:rsidRPr="00631159">
              <w:rPr>
                <w:rFonts w:ascii="Sylfaen" w:hAnsi="Sylfaen" w:cs="Sylfaen"/>
                <w:sz w:val="18"/>
              </w:rPr>
              <w:t>სატრანსპორტო</w:t>
            </w:r>
            <w:r w:rsidRPr="00631159">
              <w:rPr>
                <w:sz w:val="18"/>
              </w:rPr>
              <w:t xml:space="preserve"> </w:t>
            </w:r>
            <w:r w:rsidRPr="00631159">
              <w:rPr>
                <w:rFonts w:ascii="Sylfaen" w:hAnsi="Sylfaen" w:cs="Sylfaen"/>
                <w:sz w:val="18"/>
              </w:rPr>
              <w:t>საშუალებების</w:t>
            </w:r>
            <w:r w:rsidRPr="00631159">
              <w:rPr>
                <w:sz w:val="18"/>
              </w:rPr>
              <w:t xml:space="preserve">, </w:t>
            </w:r>
            <w:r w:rsidRPr="00631159">
              <w:rPr>
                <w:rFonts w:ascii="Sylfaen" w:hAnsi="Sylfaen" w:cs="Sylfaen"/>
                <w:sz w:val="18"/>
              </w:rPr>
              <w:t>განსაკუთრებული</w:t>
            </w:r>
            <w:r w:rsidRPr="00631159">
              <w:rPr>
                <w:sz w:val="18"/>
              </w:rPr>
              <w:t xml:space="preserve"> </w:t>
            </w:r>
            <w:r w:rsidRPr="00631159">
              <w:rPr>
                <w:rFonts w:ascii="Sylfaen" w:hAnsi="Sylfaen" w:cs="Sylfaen"/>
                <w:sz w:val="18"/>
              </w:rPr>
              <w:t>ღირებულების</w:t>
            </w:r>
            <w:r w:rsidRPr="00631159">
              <w:rPr>
                <w:sz w:val="18"/>
              </w:rPr>
              <w:t xml:space="preserve"> </w:t>
            </w:r>
            <w:r w:rsidRPr="00631159">
              <w:rPr>
                <w:rFonts w:ascii="Sylfaen" w:hAnsi="Sylfaen" w:cs="Sylfaen"/>
                <w:sz w:val="18"/>
              </w:rPr>
              <w:t>ინფრასტრუქტურის</w:t>
            </w:r>
            <w:r w:rsidRPr="00631159">
              <w:rPr>
                <w:sz w:val="18"/>
              </w:rPr>
              <w:t xml:space="preserve"> </w:t>
            </w:r>
            <w:r w:rsidRPr="00631159">
              <w:rPr>
                <w:rFonts w:ascii="Sylfaen" w:hAnsi="Sylfaen" w:cs="Sylfaen"/>
                <w:sz w:val="18"/>
              </w:rPr>
              <w:t>ან</w:t>
            </w:r>
            <w:r w:rsidRPr="00631159">
              <w:rPr>
                <w:sz w:val="18"/>
              </w:rPr>
              <w:t xml:space="preserve"> </w:t>
            </w:r>
            <w:r w:rsidRPr="00631159">
              <w:rPr>
                <w:rFonts w:ascii="Sylfaen" w:hAnsi="Sylfaen" w:cs="Sylfaen"/>
                <w:sz w:val="18"/>
              </w:rPr>
              <w:t>სასიცოცხლო</w:t>
            </w:r>
            <w:r w:rsidRPr="00631159">
              <w:rPr>
                <w:sz w:val="18"/>
              </w:rPr>
              <w:t xml:space="preserve"> </w:t>
            </w:r>
            <w:r w:rsidRPr="00631159">
              <w:rPr>
                <w:rFonts w:ascii="Sylfaen" w:hAnsi="Sylfaen" w:cs="Sylfaen"/>
                <w:sz w:val="18"/>
              </w:rPr>
              <w:t>ობიექტების</w:t>
            </w:r>
            <w:r w:rsidRPr="00631159">
              <w:rPr>
                <w:sz w:val="18"/>
              </w:rPr>
              <w:t xml:space="preserve"> </w:t>
            </w:r>
            <w:r w:rsidRPr="00631159">
              <w:rPr>
                <w:rFonts w:ascii="Sylfaen" w:hAnsi="Sylfaen" w:cs="Sylfaen"/>
                <w:sz w:val="18"/>
              </w:rPr>
              <w:t>დაზიანებას</w:t>
            </w:r>
            <w:r w:rsidRPr="00631159">
              <w:rPr>
                <w:sz w:val="18"/>
              </w:rPr>
              <w:t xml:space="preserve">. </w:t>
            </w:r>
            <w:r w:rsidRPr="00631159">
              <w:rPr>
                <w:rFonts w:ascii="Sylfaen" w:hAnsi="Sylfaen" w:cs="Sylfaen"/>
                <w:sz w:val="18"/>
              </w:rPr>
              <w:t>არსებობს</w:t>
            </w:r>
            <w:r w:rsidRPr="00631159">
              <w:rPr>
                <w:sz w:val="18"/>
              </w:rPr>
              <w:t xml:space="preserve"> </w:t>
            </w:r>
            <w:r w:rsidRPr="00631159">
              <w:rPr>
                <w:rFonts w:ascii="Sylfaen" w:hAnsi="Sylfaen" w:cs="Sylfaen"/>
                <w:sz w:val="18"/>
              </w:rPr>
              <w:t>სხვა</w:t>
            </w:r>
            <w:r w:rsidRPr="00631159">
              <w:rPr>
                <w:sz w:val="18"/>
              </w:rPr>
              <w:t xml:space="preserve"> </w:t>
            </w:r>
            <w:r w:rsidRPr="00631159">
              <w:rPr>
                <w:rFonts w:ascii="Sylfaen" w:hAnsi="Sylfaen" w:cs="Sylfaen"/>
                <w:sz w:val="18"/>
              </w:rPr>
              <w:t>სახის</w:t>
            </w:r>
            <w:r w:rsidRPr="00631159">
              <w:rPr>
                <w:sz w:val="18"/>
              </w:rPr>
              <w:t xml:space="preserve"> </w:t>
            </w:r>
            <w:r w:rsidRPr="00631159">
              <w:rPr>
                <w:rFonts w:ascii="Sylfaen" w:hAnsi="Sylfaen" w:cs="Sylfaen"/>
                <w:sz w:val="18"/>
              </w:rPr>
              <w:t>ავარიული</w:t>
            </w:r>
            <w:r w:rsidRPr="00631159">
              <w:rPr>
                <w:sz w:val="18"/>
              </w:rPr>
              <w:t xml:space="preserve"> </w:t>
            </w:r>
            <w:r w:rsidRPr="00631159">
              <w:rPr>
                <w:rFonts w:ascii="Sylfaen" w:hAnsi="Sylfaen" w:cs="Sylfaen"/>
                <w:sz w:val="18"/>
              </w:rPr>
              <w:t>სიტუაციების</w:t>
            </w:r>
            <w:r w:rsidRPr="00631159">
              <w:rPr>
                <w:sz w:val="18"/>
              </w:rPr>
              <w:t xml:space="preserve"> </w:t>
            </w:r>
            <w:r w:rsidRPr="00631159">
              <w:rPr>
                <w:rFonts w:ascii="Sylfaen" w:hAnsi="Sylfaen" w:cs="Sylfaen"/>
                <w:sz w:val="18"/>
              </w:rPr>
              <w:t>პროვოცირების</w:t>
            </w:r>
            <w:r w:rsidRPr="00631159">
              <w:rPr>
                <w:sz w:val="18"/>
              </w:rPr>
              <w:t xml:space="preserve"> </w:t>
            </w:r>
            <w:r w:rsidRPr="00631159">
              <w:rPr>
                <w:rFonts w:ascii="Sylfaen" w:hAnsi="Sylfaen" w:cs="Sylfaen"/>
                <w:sz w:val="18"/>
              </w:rPr>
              <w:t>დიდი</w:t>
            </w:r>
            <w:r w:rsidRPr="00631159">
              <w:rPr>
                <w:sz w:val="18"/>
              </w:rPr>
              <w:t xml:space="preserve"> </w:t>
            </w:r>
            <w:r w:rsidRPr="00631159">
              <w:rPr>
                <w:rFonts w:ascii="Sylfaen" w:hAnsi="Sylfaen" w:cs="Sylfaen"/>
                <w:sz w:val="18"/>
              </w:rPr>
              <w:t>რისკი</w:t>
            </w:r>
            <w:r w:rsidRPr="00631159">
              <w:rPr>
                <w:sz w:val="18"/>
              </w:rPr>
              <w:t xml:space="preserve">. </w:t>
            </w:r>
          </w:p>
        </w:tc>
      </w:tr>
      <w:tr w:rsidR="00A2588D" w:rsidRPr="00631159" w14:paraId="0B0CA224" w14:textId="77777777" w:rsidTr="00A2588D">
        <w:trPr>
          <w:trHeight w:val="375"/>
          <w:jc w:val="center"/>
        </w:trPr>
        <w:tc>
          <w:tcPr>
            <w:tcW w:w="1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7D896B" w14:textId="77777777" w:rsidR="00A2588D" w:rsidRPr="00631159" w:rsidRDefault="00A2588D" w:rsidP="00A2588D">
            <w:pPr>
              <w:rPr>
                <w:sz w:val="18"/>
              </w:rPr>
            </w:pPr>
            <w:r w:rsidRPr="00631159">
              <w:rPr>
                <w:rFonts w:ascii="Sylfaen" w:hAnsi="Sylfaen" w:cs="Sylfaen"/>
                <w:sz w:val="18"/>
              </w:rPr>
              <w:t>საშიში</w:t>
            </w:r>
            <w:r w:rsidRPr="00631159">
              <w:rPr>
                <w:sz w:val="18"/>
              </w:rPr>
              <w:t xml:space="preserve"> </w:t>
            </w:r>
            <w:r w:rsidRPr="00631159">
              <w:rPr>
                <w:rFonts w:ascii="Sylfaen" w:hAnsi="Sylfaen" w:cs="Sylfaen"/>
                <w:sz w:val="18"/>
              </w:rPr>
              <w:t>ნივთიერებების</w:t>
            </w:r>
            <w:r w:rsidRPr="00631159">
              <w:rPr>
                <w:sz w:val="18"/>
              </w:rPr>
              <w:t xml:space="preserve"> </w:t>
            </w:r>
            <w:r w:rsidRPr="00631159">
              <w:rPr>
                <w:rFonts w:ascii="Sylfaen" w:hAnsi="Sylfaen" w:cs="Sylfaen"/>
                <w:sz w:val="18"/>
              </w:rPr>
              <w:t>დაღვრა</w:t>
            </w:r>
          </w:p>
        </w:tc>
        <w:tc>
          <w:tcPr>
            <w:tcW w:w="5017" w:type="dxa"/>
            <w:tcBorders>
              <w:top w:val="single" w:sz="4" w:space="0" w:color="auto"/>
              <w:left w:val="single" w:sz="4" w:space="0" w:color="auto"/>
              <w:bottom w:val="single" w:sz="4" w:space="0" w:color="auto"/>
              <w:right w:val="single" w:sz="4" w:space="0" w:color="auto"/>
            </w:tcBorders>
            <w:vAlign w:val="center"/>
          </w:tcPr>
          <w:p w14:paraId="1C0DBDD1" w14:textId="77777777" w:rsidR="00A2588D" w:rsidRPr="00631159" w:rsidRDefault="00A2588D" w:rsidP="00A2588D">
            <w:pPr>
              <w:rPr>
                <w:sz w:val="18"/>
              </w:rPr>
            </w:pPr>
            <w:r w:rsidRPr="00631159">
              <w:rPr>
                <w:rFonts w:ascii="Sylfaen" w:hAnsi="Sylfaen" w:cs="Sylfaen"/>
                <w:sz w:val="18"/>
              </w:rPr>
              <w:t>ლოკალური</w:t>
            </w:r>
            <w:r w:rsidRPr="00631159">
              <w:rPr>
                <w:sz w:val="18"/>
              </w:rPr>
              <w:t xml:space="preserve"> </w:t>
            </w:r>
            <w:r w:rsidRPr="00631159">
              <w:rPr>
                <w:rFonts w:ascii="Sylfaen" w:hAnsi="Sylfaen" w:cs="Sylfaen"/>
                <w:sz w:val="18"/>
              </w:rPr>
              <w:t>დაღვრა</w:t>
            </w:r>
            <w:r w:rsidRPr="00631159">
              <w:rPr>
                <w:sz w:val="18"/>
              </w:rPr>
              <w:t xml:space="preserve">, </w:t>
            </w:r>
            <w:r w:rsidRPr="00631159">
              <w:rPr>
                <w:rFonts w:ascii="Sylfaen" w:hAnsi="Sylfaen" w:cs="Sylfaen"/>
                <w:sz w:val="18"/>
              </w:rPr>
              <w:t>რომელიც</w:t>
            </w:r>
            <w:r w:rsidRPr="00631159">
              <w:rPr>
                <w:sz w:val="18"/>
              </w:rPr>
              <w:t xml:space="preserve"> </w:t>
            </w:r>
            <w:r w:rsidRPr="00631159">
              <w:rPr>
                <w:rFonts w:ascii="Sylfaen" w:hAnsi="Sylfaen" w:cs="Sylfaen"/>
                <w:sz w:val="18"/>
              </w:rPr>
              <w:t>არ</w:t>
            </w:r>
            <w:r w:rsidRPr="00631159">
              <w:rPr>
                <w:sz w:val="18"/>
              </w:rPr>
              <w:t xml:space="preserve"> </w:t>
            </w:r>
            <w:r w:rsidRPr="00631159">
              <w:rPr>
                <w:rFonts w:ascii="Sylfaen" w:hAnsi="Sylfaen" w:cs="Sylfaen"/>
                <w:sz w:val="18"/>
              </w:rPr>
              <w:t>საჭიროებს</w:t>
            </w:r>
            <w:r w:rsidRPr="00631159">
              <w:rPr>
                <w:sz w:val="18"/>
              </w:rPr>
              <w:t xml:space="preserve"> </w:t>
            </w:r>
            <w:r w:rsidRPr="00631159">
              <w:rPr>
                <w:rFonts w:ascii="Sylfaen" w:hAnsi="Sylfaen" w:cs="Sylfaen"/>
                <w:sz w:val="18"/>
              </w:rPr>
              <w:t>გარეშე</w:t>
            </w:r>
            <w:r w:rsidRPr="00631159">
              <w:rPr>
                <w:sz w:val="18"/>
              </w:rPr>
              <w:t xml:space="preserve"> </w:t>
            </w:r>
            <w:r w:rsidRPr="00631159">
              <w:rPr>
                <w:rFonts w:ascii="Sylfaen" w:hAnsi="Sylfaen" w:cs="Sylfaen"/>
                <w:sz w:val="18"/>
              </w:rPr>
              <w:t>ჩარევას</w:t>
            </w:r>
            <w:r w:rsidRPr="00631159">
              <w:rPr>
                <w:sz w:val="18"/>
              </w:rPr>
              <w:t xml:space="preserve"> </w:t>
            </w:r>
            <w:r w:rsidRPr="00631159">
              <w:rPr>
                <w:rFonts w:ascii="Sylfaen" w:hAnsi="Sylfaen" w:cs="Sylfaen"/>
                <w:sz w:val="18"/>
              </w:rPr>
              <w:t>და</w:t>
            </w:r>
            <w:r w:rsidRPr="00631159">
              <w:rPr>
                <w:sz w:val="18"/>
              </w:rPr>
              <w:t xml:space="preserve"> </w:t>
            </w:r>
            <w:r w:rsidRPr="00631159">
              <w:rPr>
                <w:rFonts w:ascii="Sylfaen" w:hAnsi="Sylfaen" w:cs="Sylfaen"/>
                <w:sz w:val="18"/>
              </w:rPr>
              <w:t>შესაძლებელია</w:t>
            </w:r>
            <w:r w:rsidRPr="00631159">
              <w:rPr>
                <w:sz w:val="18"/>
              </w:rPr>
              <w:t xml:space="preserve"> </w:t>
            </w:r>
            <w:r w:rsidRPr="00631159">
              <w:rPr>
                <w:rFonts w:ascii="Sylfaen" w:hAnsi="Sylfaen" w:cs="Sylfaen"/>
                <w:sz w:val="18"/>
              </w:rPr>
              <w:t>მისი</w:t>
            </w:r>
            <w:r w:rsidRPr="00631159">
              <w:rPr>
                <w:sz w:val="18"/>
              </w:rPr>
              <w:t xml:space="preserve"> </w:t>
            </w:r>
            <w:r w:rsidRPr="00631159">
              <w:rPr>
                <w:rFonts w:ascii="Sylfaen" w:hAnsi="Sylfaen" w:cs="Sylfaen"/>
                <w:sz w:val="18"/>
              </w:rPr>
              <w:t>აღმოფხვრა</w:t>
            </w:r>
            <w:r w:rsidRPr="00631159">
              <w:rPr>
                <w:sz w:val="18"/>
              </w:rPr>
              <w:t xml:space="preserve"> </w:t>
            </w:r>
            <w:r w:rsidRPr="00631159">
              <w:rPr>
                <w:rFonts w:ascii="Sylfaen" w:hAnsi="Sylfaen" w:cs="Sylfaen"/>
                <w:sz w:val="18"/>
              </w:rPr>
              <w:t>შიდა</w:t>
            </w:r>
            <w:r w:rsidRPr="00631159">
              <w:rPr>
                <w:sz w:val="18"/>
              </w:rPr>
              <w:t xml:space="preserve"> </w:t>
            </w:r>
            <w:r w:rsidRPr="00631159">
              <w:rPr>
                <w:rFonts w:ascii="Sylfaen" w:hAnsi="Sylfaen" w:cs="Sylfaen"/>
                <w:sz w:val="18"/>
              </w:rPr>
              <w:t>რესურსებით</w:t>
            </w:r>
            <w:r w:rsidRPr="00631159">
              <w:rPr>
                <w:sz w:val="18"/>
              </w:rPr>
              <w:t xml:space="preserve">. </w:t>
            </w:r>
            <w:r w:rsidRPr="00631159">
              <w:rPr>
                <w:rFonts w:ascii="Sylfaen" w:hAnsi="Sylfaen" w:cs="Sylfaen"/>
                <w:sz w:val="18"/>
              </w:rPr>
              <w:t>არ</w:t>
            </w:r>
            <w:r w:rsidRPr="00631159">
              <w:rPr>
                <w:sz w:val="18"/>
              </w:rPr>
              <w:t xml:space="preserve"> </w:t>
            </w:r>
            <w:r w:rsidRPr="00631159">
              <w:rPr>
                <w:rFonts w:ascii="Sylfaen" w:hAnsi="Sylfaen" w:cs="Sylfaen"/>
                <w:sz w:val="18"/>
              </w:rPr>
              <w:t>არსებობს</w:t>
            </w:r>
            <w:r w:rsidRPr="00631159">
              <w:rPr>
                <w:sz w:val="18"/>
              </w:rPr>
              <w:t xml:space="preserve"> </w:t>
            </w:r>
            <w:r w:rsidRPr="00631159">
              <w:rPr>
                <w:rFonts w:ascii="Sylfaen" w:hAnsi="Sylfaen" w:cs="Sylfaen"/>
                <w:sz w:val="18"/>
              </w:rPr>
              <w:t>ნივთიერებების</w:t>
            </w:r>
            <w:r w:rsidRPr="00631159">
              <w:rPr>
                <w:sz w:val="18"/>
              </w:rPr>
              <w:t xml:space="preserve"> </w:t>
            </w:r>
            <w:r w:rsidRPr="00631159">
              <w:rPr>
                <w:rFonts w:ascii="Sylfaen" w:hAnsi="Sylfaen" w:cs="Sylfaen"/>
                <w:sz w:val="18"/>
              </w:rPr>
              <w:t>დიდ</w:t>
            </w:r>
            <w:r w:rsidRPr="00631159">
              <w:rPr>
                <w:sz w:val="18"/>
              </w:rPr>
              <w:t xml:space="preserve"> </w:t>
            </w:r>
            <w:r w:rsidRPr="00631159">
              <w:rPr>
                <w:rFonts w:ascii="Sylfaen" w:hAnsi="Sylfaen" w:cs="Sylfaen"/>
                <w:sz w:val="18"/>
              </w:rPr>
              <w:t>ფართობზე</w:t>
            </w:r>
            <w:r w:rsidRPr="00631159">
              <w:rPr>
                <w:sz w:val="18"/>
              </w:rPr>
              <w:t xml:space="preserve"> </w:t>
            </w:r>
            <w:r w:rsidRPr="00631159">
              <w:rPr>
                <w:rFonts w:ascii="Sylfaen" w:hAnsi="Sylfaen" w:cs="Sylfaen"/>
                <w:sz w:val="18"/>
              </w:rPr>
              <w:t>გავრცელების</w:t>
            </w:r>
            <w:r w:rsidRPr="00631159">
              <w:rPr>
                <w:sz w:val="18"/>
              </w:rPr>
              <w:t xml:space="preserve"> </w:t>
            </w:r>
            <w:r w:rsidRPr="00631159">
              <w:rPr>
                <w:rFonts w:ascii="Sylfaen" w:hAnsi="Sylfaen" w:cs="Sylfaen"/>
                <w:sz w:val="18"/>
              </w:rPr>
              <w:t>რისკები</w:t>
            </w:r>
            <w:r w:rsidRPr="00631159">
              <w:rPr>
                <w:sz w:val="18"/>
              </w:rPr>
              <w:t>.</w:t>
            </w:r>
          </w:p>
          <w:p w14:paraId="5637BCA3" w14:textId="77777777" w:rsidR="00A2588D" w:rsidRPr="00631159" w:rsidRDefault="00A2588D" w:rsidP="00A2588D">
            <w:pPr>
              <w:rPr>
                <w:sz w:val="18"/>
              </w:rPr>
            </w:pPr>
          </w:p>
        </w:tc>
        <w:tc>
          <w:tcPr>
            <w:tcW w:w="4346" w:type="dxa"/>
            <w:tcBorders>
              <w:top w:val="single" w:sz="4" w:space="0" w:color="auto"/>
              <w:left w:val="single" w:sz="4" w:space="0" w:color="auto"/>
              <w:bottom w:val="single" w:sz="4" w:space="0" w:color="auto"/>
              <w:right w:val="single" w:sz="4" w:space="0" w:color="auto"/>
            </w:tcBorders>
            <w:vAlign w:val="center"/>
            <w:hideMark/>
          </w:tcPr>
          <w:p w14:paraId="334C9E85" w14:textId="77777777" w:rsidR="00A2588D" w:rsidRPr="00631159" w:rsidRDefault="00A2588D" w:rsidP="00A2588D">
            <w:pPr>
              <w:rPr>
                <w:sz w:val="18"/>
              </w:rPr>
            </w:pPr>
            <w:r w:rsidRPr="00631159">
              <w:rPr>
                <w:rFonts w:ascii="Sylfaen" w:hAnsi="Sylfaen" w:cs="Sylfaen"/>
                <w:sz w:val="18"/>
              </w:rPr>
              <w:t>მოზრდილი</w:t>
            </w:r>
            <w:r w:rsidRPr="00631159">
              <w:rPr>
                <w:sz w:val="18"/>
              </w:rPr>
              <w:t xml:space="preserve"> </w:t>
            </w:r>
            <w:r w:rsidRPr="00631159">
              <w:rPr>
                <w:rFonts w:ascii="Sylfaen" w:hAnsi="Sylfaen" w:cs="Sylfaen"/>
                <w:sz w:val="18"/>
              </w:rPr>
              <w:t>დაღვრა</w:t>
            </w:r>
            <w:r w:rsidRPr="00631159">
              <w:rPr>
                <w:sz w:val="18"/>
              </w:rPr>
              <w:t xml:space="preserve"> (</w:t>
            </w:r>
            <w:r w:rsidRPr="00631159">
              <w:rPr>
                <w:rFonts w:ascii="Sylfaen" w:hAnsi="Sylfaen" w:cs="Sylfaen"/>
                <w:sz w:val="18"/>
              </w:rPr>
              <w:t>საშიში</w:t>
            </w:r>
            <w:r w:rsidRPr="00631159">
              <w:rPr>
                <w:sz w:val="18"/>
              </w:rPr>
              <w:t xml:space="preserve"> </w:t>
            </w:r>
            <w:r w:rsidRPr="00631159">
              <w:rPr>
                <w:rFonts w:ascii="Sylfaen" w:hAnsi="Sylfaen" w:cs="Sylfaen"/>
                <w:sz w:val="18"/>
              </w:rPr>
              <w:t>ნივთიერებების</w:t>
            </w:r>
            <w:r w:rsidRPr="00631159">
              <w:rPr>
                <w:sz w:val="18"/>
              </w:rPr>
              <w:t xml:space="preserve"> </w:t>
            </w:r>
            <w:r w:rsidRPr="00631159">
              <w:rPr>
                <w:rFonts w:ascii="Sylfaen" w:hAnsi="Sylfaen" w:cs="Sylfaen"/>
                <w:sz w:val="18"/>
              </w:rPr>
              <w:t>დაღვრა</w:t>
            </w:r>
            <w:r w:rsidRPr="00631159">
              <w:rPr>
                <w:sz w:val="18"/>
              </w:rPr>
              <w:t xml:space="preserve"> 0,3 </w:t>
            </w:r>
            <w:r w:rsidRPr="00631159">
              <w:rPr>
                <w:rFonts w:ascii="Sylfaen" w:hAnsi="Sylfaen" w:cs="Sylfaen"/>
                <w:sz w:val="18"/>
              </w:rPr>
              <w:t>ტ</w:t>
            </w:r>
            <w:r w:rsidRPr="00631159">
              <w:rPr>
                <w:sz w:val="18"/>
              </w:rPr>
              <w:t>-</w:t>
            </w:r>
            <w:r w:rsidRPr="00631159">
              <w:rPr>
                <w:rFonts w:ascii="Sylfaen" w:hAnsi="Sylfaen" w:cs="Sylfaen"/>
                <w:sz w:val="18"/>
              </w:rPr>
              <w:t>დან</w:t>
            </w:r>
            <w:r w:rsidRPr="00631159">
              <w:rPr>
                <w:sz w:val="18"/>
              </w:rPr>
              <w:t xml:space="preserve"> 200 </w:t>
            </w:r>
            <w:r w:rsidRPr="00631159">
              <w:rPr>
                <w:rFonts w:ascii="Sylfaen" w:hAnsi="Sylfaen" w:cs="Sylfaen"/>
                <w:sz w:val="18"/>
              </w:rPr>
              <w:t>ტ</w:t>
            </w:r>
            <w:r w:rsidRPr="00631159">
              <w:rPr>
                <w:sz w:val="18"/>
              </w:rPr>
              <w:t>-</w:t>
            </w:r>
            <w:r w:rsidRPr="00631159">
              <w:rPr>
                <w:rFonts w:ascii="Sylfaen" w:hAnsi="Sylfaen" w:cs="Sylfaen"/>
                <w:sz w:val="18"/>
              </w:rPr>
              <w:t>მდე</w:t>
            </w:r>
            <w:r w:rsidRPr="00631159">
              <w:rPr>
                <w:sz w:val="18"/>
              </w:rPr>
              <w:t xml:space="preserve">).  </w:t>
            </w:r>
            <w:r w:rsidRPr="00631159">
              <w:rPr>
                <w:rFonts w:ascii="Sylfaen" w:hAnsi="Sylfaen" w:cs="Sylfaen"/>
                <w:sz w:val="18"/>
              </w:rPr>
              <w:t>არსებობს</w:t>
            </w:r>
            <w:r w:rsidRPr="00631159">
              <w:rPr>
                <w:sz w:val="18"/>
              </w:rPr>
              <w:t xml:space="preserve"> </w:t>
            </w:r>
            <w:r w:rsidRPr="00631159">
              <w:rPr>
                <w:rFonts w:ascii="Sylfaen" w:hAnsi="Sylfaen" w:cs="Sylfaen"/>
                <w:sz w:val="18"/>
              </w:rPr>
              <w:t>ნივთიერებების</w:t>
            </w:r>
            <w:r w:rsidRPr="00631159">
              <w:rPr>
                <w:sz w:val="18"/>
              </w:rPr>
              <w:t xml:space="preserve"> </w:t>
            </w:r>
            <w:r w:rsidRPr="00631159">
              <w:rPr>
                <w:rFonts w:ascii="Sylfaen" w:hAnsi="Sylfaen" w:cs="Sylfaen"/>
                <w:sz w:val="18"/>
              </w:rPr>
              <w:t>დიდ</w:t>
            </w:r>
            <w:r w:rsidRPr="00631159">
              <w:rPr>
                <w:sz w:val="18"/>
              </w:rPr>
              <w:t xml:space="preserve"> </w:t>
            </w:r>
            <w:r w:rsidRPr="00631159">
              <w:rPr>
                <w:rFonts w:ascii="Sylfaen" w:hAnsi="Sylfaen" w:cs="Sylfaen"/>
                <w:sz w:val="18"/>
              </w:rPr>
              <w:t>ფართობზე</w:t>
            </w:r>
            <w:r w:rsidRPr="00631159">
              <w:rPr>
                <w:sz w:val="18"/>
              </w:rPr>
              <w:t xml:space="preserve"> </w:t>
            </w:r>
            <w:r w:rsidRPr="00631159">
              <w:rPr>
                <w:rFonts w:ascii="Sylfaen" w:hAnsi="Sylfaen" w:cs="Sylfaen"/>
                <w:sz w:val="18"/>
              </w:rPr>
              <w:t>გავრცელების</w:t>
            </w:r>
            <w:r w:rsidRPr="00631159">
              <w:rPr>
                <w:sz w:val="18"/>
              </w:rPr>
              <w:t xml:space="preserve"> </w:t>
            </w:r>
            <w:r w:rsidRPr="00631159">
              <w:rPr>
                <w:rFonts w:ascii="Sylfaen" w:hAnsi="Sylfaen" w:cs="Sylfaen"/>
                <w:sz w:val="18"/>
              </w:rPr>
              <w:t>და</w:t>
            </w:r>
            <w:r w:rsidRPr="00631159">
              <w:rPr>
                <w:sz w:val="18"/>
              </w:rPr>
              <w:t xml:space="preserve"> </w:t>
            </w:r>
            <w:r w:rsidRPr="00631159">
              <w:rPr>
                <w:rFonts w:ascii="Sylfaen" w:hAnsi="Sylfaen" w:cs="Sylfaen"/>
                <w:sz w:val="18"/>
              </w:rPr>
              <w:t>მდინარეების</w:t>
            </w:r>
            <w:r w:rsidRPr="00631159">
              <w:rPr>
                <w:sz w:val="18"/>
              </w:rPr>
              <w:t xml:space="preserve"> </w:t>
            </w:r>
            <w:r w:rsidRPr="00631159">
              <w:rPr>
                <w:rFonts w:ascii="Sylfaen" w:hAnsi="Sylfaen" w:cs="Sylfaen"/>
                <w:sz w:val="18"/>
              </w:rPr>
              <w:t>დაბინძურების</w:t>
            </w:r>
            <w:r w:rsidRPr="00631159">
              <w:rPr>
                <w:sz w:val="18"/>
              </w:rPr>
              <w:t xml:space="preserve"> </w:t>
            </w:r>
            <w:r w:rsidRPr="00631159">
              <w:rPr>
                <w:rFonts w:ascii="Sylfaen" w:hAnsi="Sylfaen" w:cs="Sylfaen"/>
                <w:sz w:val="18"/>
              </w:rPr>
              <w:t>რისკები</w:t>
            </w:r>
            <w:r w:rsidRPr="00631159">
              <w:rPr>
                <w:sz w:val="18"/>
              </w:rPr>
              <w:t>.</w:t>
            </w:r>
          </w:p>
        </w:tc>
        <w:tc>
          <w:tcPr>
            <w:tcW w:w="4395" w:type="dxa"/>
            <w:tcBorders>
              <w:top w:val="single" w:sz="4" w:space="0" w:color="auto"/>
              <w:left w:val="single" w:sz="4" w:space="0" w:color="auto"/>
              <w:bottom w:val="single" w:sz="4" w:space="0" w:color="auto"/>
              <w:right w:val="single" w:sz="4" w:space="0" w:color="auto"/>
            </w:tcBorders>
            <w:vAlign w:val="center"/>
            <w:hideMark/>
          </w:tcPr>
          <w:p w14:paraId="1D6A1DF9" w14:textId="77777777" w:rsidR="00A2588D" w:rsidRPr="00631159" w:rsidRDefault="00A2588D" w:rsidP="00A2588D">
            <w:pPr>
              <w:rPr>
                <w:sz w:val="18"/>
              </w:rPr>
            </w:pPr>
            <w:r w:rsidRPr="00631159">
              <w:rPr>
                <w:rFonts w:ascii="Sylfaen" w:hAnsi="Sylfaen" w:cs="Sylfaen"/>
                <w:sz w:val="18"/>
              </w:rPr>
              <w:t>დიდი</w:t>
            </w:r>
            <w:r w:rsidRPr="00631159">
              <w:rPr>
                <w:sz w:val="18"/>
              </w:rPr>
              <w:t xml:space="preserve"> </w:t>
            </w:r>
            <w:r w:rsidRPr="00631159">
              <w:rPr>
                <w:rFonts w:ascii="Sylfaen" w:hAnsi="Sylfaen" w:cs="Sylfaen"/>
                <w:sz w:val="18"/>
              </w:rPr>
              <w:t>დაღვრა</w:t>
            </w:r>
            <w:r w:rsidRPr="00631159">
              <w:rPr>
                <w:sz w:val="18"/>
              </w:rPr>
              <w:t xml:space="preserve"> (200 </w:t>
            </w:r>
            <w:r w:rsidRPr="00631159">
              <w:rPr>
                <w:rFonts w:ascii="Sylfaen" w:hAnsi="Sylfaen" w:cs="Sylfaen"/>
                <w:sz w:val="18"/>
              </w:rPr>
              <w:t>ტ</w:t>
            </w:r>
            <w:r w:rsidRPr="00631159">
              <w:rPr>
                <w:sz w:val="18"/>
              </w:rPr>
              <w:t>-</w:t>
            </w:r>
            <w:r w:rsidRPr="00631159">
              <w:rPr>
                <w:rFonts w:ascii="Sylfaen" w:hAnsi="Sylfaen" w:cs="Sylfaen"/>
                <w:sz w:val="18"/>
              </w:rPr>
              <w:t>ზე</w:t>
            </w:r>
            <w:r w:rsidRPr="00631159">
              <w:rPr>
                <w:sz w:val="18"/>
              </w:rPr>
              <w:t xml:space="preserve"> </w:t>
            </w:r>
            <w:r w:rsidRPr="00631159">
              <w:rPr>
                <w:rFonts w:ascii="Sylfaen" w:hAnsi="Sylfaen" w:cs="Sylfaen"/>
                <w:sz w:val="18"/>
              </w:rPr>
              <w:t>მეტი</w:t>
            </w:r>
            <w:r w:rsidRPr="00631159">
              <w:rPr>
                <w:sz w:val="18"/>
              </w:rPr>
              <w:t xml:space="preserve">). </w:t>
            </w:r>
            <w:r w:rsidRPr="00631159">
              <w:rPr>
                <w:rFonts w:ascii="Sylfaen" w:hAnsi="Sylfaen" w:cs="Sylfaen"/>
                <w:sz w:val="18"/>
              </w:rPr>
              <w:t>რაც</w:t>
            </w:r>
            <w:r w:rsidRPr="00631159">
              <w:rPr>
                <w:sz w:val="18"/>
              </w:rPr>
              <w:t xml:space="preserve"> </w:t>
            </w:r>
            <w:r w:rsidRPr="00631159">
              <w:rPr>
                <w:rFonts w:ascii="Sylfaen" w:hAnsi="Sylfaen" w:cs="Sylfaen"/>
                <w:sz w:val="18"/>
              </w:rPr>
              <w:t>მოსალოდნელი</w:t>
            </w:r>
            <w:r w:rsidRPr="00631159">
              <w:rPr>
                <w:sz w:val="18"/>
              </w:rPr>
              <w:t xml:space="preserve"> </w:t>
            </w:r>
            <w:r w:rsidRPr="00631159">
              <w:rPr>
                <w:rFonts w:ascii="Sylfaen" w:hAnsi="Sylfaen" w:cs="Sylfaen"/>
                <w:sz w:val="18"/>
              </w:rPr>
              <w:t>არ</w:t>
            </w:r>
            <w:r w:rsidRPr="00631159">
              <w:rPr>
                <w:sz w:val="18"/>
              </w:rPr>
              <w:t xml:space="preserve"> </w:t>
            </w:r>
            <w:r w:rsidRPr="00631159">
              <w:rPr>
                <w:rFonts w:ascii="Sylfaen" w:hAnsi="Sylfaen" w:cs="Sylfaen"/>
                <w:sz w:val="18"/>
              </w:rPr>
              <w:t>არის</w:t>
            </w:r>
          </w:p>
        </w:tc>
      </w:tr>
      <w:tr w:rsidR="00A2588D" w:rsidRPr="00631159" w14:paraId="51FAC8A9" w14:textId="77777777" w:rsidTr="00A2588D">
        <w:trPr>
          <w:trHeight w:val="202"/>
          <w:jc w:val="center"/>
        </w:trPr>
        <w:tc>
          <w:tcPr>
            <w:tcW w:w="1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B4F9E5" w14:textId="77777777" w:rsidR="00A2588D" w:rsidRPr="00631159" w:rsidRDefault="00A2588D" w:rsidP="00A2588D">
            <w:pPr>
              <w:rPr>
                <w:sz w:val="18"/>
              </w:rPr>
            </w:pPr>
            <w:r w:rsidRPr="00631159">
              <w:rPr>
                <w:rFonts w:ascii="Sylfaen" w:hAnsi="Sylfaen" w:cs="Sylfaen"/>
                <w:sz w:val="18"/>
              </w:rPr>
              <w:t>ხანძარი</w:t>
            </w:r>
            <w:r w:rsidRPr="00631159">
              <w:rPr>
                <w:sz w:val="18"/>
              </w:rPr>
              <w:t xml:space="preserve"> </w:t>
            </w:r>
          </w:p>
        </w:tc>
        <w:tc>
          <w:tcPr>
            <w:tcW w:w="5017" w:type="dxa"/>
            <w:tcBorders>
              <w:top w:val="single" w:sz="4" w:space="0" w:color="auto"/>
              <w:left w:val="single" w:sz="4" w:space="0" w:color="auto"/>
              <w:bottom w:val="single" w:sz="4" w:space="0" w:color="auto"/>
              <w:right w:val="single" w:sz="4" w:space="0" w:color="auto"/>
            </w:tcBorders>
            <w:vAlign w:val="center"/>
            <w:hideMark/>
          </w:tcPr>
          <w:p w14:paraId="7FE3B695" w14:textId="77777777" w:rsidR="00A2588D" w:rsidRPr="00631159" w:rsidRDefault="00A2588D" w:rsidP="00A2588D">
            <w:pPr>
              <w:rPr>
                <w:sz w:val="18"/>
              </w:rPr>
            </w:pPr>
            <w:r w:rsidRPr="00631159">
              <w:rPr>
                <w:rFonts w:ascii="Sylfaen" w:hAnsi="Sylfaen" w:cs="Sylfaen"/>
                <w:sz w:val="18"/>
              </w:rPr>
              <w:t>ლოკალური</w:t>
            </w:r>
            <w:r w:rsidRPr="00631159">
              <w:rPr>
                <w:sz w:val="18"/>
              </w:rPr>
              <w:t xml:space="preserve"> </w:t>
            </w:r>
            <w:r w:rsidRPr="00631159">
              <w:rPr>
                <w:rFonts w:ascii="Sylfaen" w:hAnsi="Sylfaen" w:cs="Sylfaen"/>
                <w:sz w:val="18"/>
              </w:rPr>
              <w:t>ხანძარი</w:t>
            </w:r>
            <w:r w:rsidRPr="00631159">
              <w:rPr>
                <w:sz w:val="18"/>
              </w:rPr>
              <w:t xml:space="preserve">, </w:t>
            </w:r>
            <w:r w:rsidRPr="00631159">
              <w:rPr>
                <w:rFonts w:ascii="Sylfaen" w:hAnsi="Sylfaen" w:cs="Sylfaen"/>
                <w:sz w:val="18"/>
              </w:rPr>
              <w:t>რომელიც</w:t>
            </w:r>
            <w:r w:rsidRPr="00631159">
              <w:rPr>
                <w:sz w:val="18"/>
              </w:rPr>
              <w:t xml:space="preserve"> </w:t>
            </w:r>
            <w:r w:rsidRPr="00631159">
              <w:rPr>
                <w:rFonts w:ascii="Sylfaen" w:hAnsi="Sylfaen" w:cs="Sylfaen"/>
                <w:sz w:val="18"/>
              </w:rPr>
              <w:t>არ</w:t>
            </w:r>
            <w:r w:rsidRPr="00631159">
              <w:rPr>
                <w:sz w:val="18"/>
              </w:rPr>
              <w:t xml:space="preserve"> </w:t>
            </w:r>
            <w:r w:rsidRPr="00631159">
              <w:rPr>
                <w:rFonts w:ascii="Sylfaen" w:hAnsi="Sylfaen" w:cs="Sylfaen"/>
                <w:sz w:val="18"/>
              </w:rPr>
              <w:t>საჭიროებს</w:t>
            </w:r>
            <w:r w:rsidRPr="00631159">
              <w:rPr>
                <w:sz w:val="18"/>
              </w:rPr>
              <w:t xml:space="preserve"> </w:t>
            </w:r>
            <w:r w:rsidRPr="00631159">
              <w:rPr>
                <w:rFonts w:ascii="Sylfaen" w:hAnsi="Sylfaen" w:cs="Sylfaen"/>
                <w:sz w:val="18"/>
              </w:rPr>
              <w:t>გარეშე</w:t>
            </w:r>
            <w:r w:rsidRPr="00631159">
              <w:rPr>
                <w:sz w:val="18"/>
              </w:rPr>
              <w:t xml:space="preserve"> </w:t>
            </w:r>
            <w:r w:rsidRPr="00631159">
              <w:rPr>
                <w:rFonts w:ascii="Sylfaen" w:hAnsi="Sylfaen" w:cs="Sylfaen"/>
                <w:sz w:val="18"/>
              </w:rPr>
              <w:t>ჩარევას</w:t>
            </w:r>
            <w:r w:rsidRPr="00631159">
              <w:rPr>
                <w:sz w:val="18"/>
              </w:rPr>
              <w:t xml:space="preserve"> </w:t>
            </w:r>
            <w:r w:rsidRPr="00631159">
              <w:rPr>
                <w:rFonts w:ascii="Sylfaen" w:hAnsi="Sylfaen" w:cs="Sylfaen"/>
                <w:sz w:val="18"/>
              </w:rPr>
              <w:t>და</w:t>
            </w:r>
            <w:r w:rsidRPr="00631159">
              <w:rPr>
                <w:sz w:val="18"/>
              </w:rPr>
              <w:t xml:space="preserve"> </w:t>
            </w:r>
            <w:r w:rsidRPr="00631159">
              <w:rPr>
                <w:rFonts w:ascii="Sylfaen" w:hAnsi="Sylfaen" w:cs="Sylfaen"/>
                <w:sz w:val="18"/>
              </w:rPr>
              <w:t>სწრაფად</w:t>
            </w:r>
            <w:r w:rsidRPr="00631159">
              <w:rPr>
                <w:sz w:val="18"/>
              </w:rPr>
              <w:t xml:space="preserve"> </w:t>
            </w:r>
            <w:r w:rsidRPr="00631159">
              <w:rPr>
                <w:rFonts w:ascii="Sylfaen" w:hAnsi="Sylfaen" w:cs="Sylfaen"/>
                <w:sz w:val="18"/>
              </w:rPr>
              <w:t>კონტროლირებადია</w:t>
            </w:r>
            <w:r w:rsidRPr="00631159">
              <w:rPr>
                <w:sz w:val="18"/>
              </w:rPr>
              <w:t xml:space="preserve">. </w:t>
            </w:r>
            <w:r w:rsidRPr="00631159">
              <w:rPr>
                <w:rFonts w:ascii="Sylfaen" w:hAnsi="Sylfaen" w:cs="Sylfaen"/>
                <w:sz w:val="18"/>
              </w:rPr>
              <w:t>მეტეოროლოგიური</w:t>
            </w:r>
            <w:r w:rsidRPr="00631159">
              <w:rPr>
                <w:sz w:val="18"/>
              </w:rPr>
              <w:t xml:space="preserve"> </w:t>
            </w:r>
            <w:r w:rsidRPr="00631159">
              <w:rPr>
                <w:rFonts w:ascii="Sylfaen" w:hAnsi="Sylfaen" w:cs="Sylfaen"/>
                <w:sz w:val="18"/>
              </w:rPr>
              <w:t>პირობები</w:t>
            </w:r>
            <w:r w:rsidRPr="00631159">
              <w:rPr>
                <w:sz w:val="18"/>
              </w:rPr>
              <w:t xml:space="preserve"> </w:t>
            </w:r>
            <w:r w:rsidRPr="00631159">
              <w:rPr>
                <w:rFonts w:ascii="Sylfaen" w:hAnsi="Sylfaen" w:cs="Sylfaen"/>
                <w:sz w:val="18"/>
              </w:rPr>
              <w:t>ხელს</w:t>
            </w:r>
            <w:r w:rsidRPr="00631159">
              <w:rPr>
                <w:sz w:val="18"/>
              </w:rPr>
              <w:t xml:space="preserve"> </w:t>
            </w:r>
            <w:r w:rsidRPr="00631159">
              <w:rPr>
                <w:rFonts w:ascii="Sylfaen" w:hAnsi="Sylfaen" w:cs="Sylfaen"/>
                <w:sz w:val="18"/>
              </w:rPr>
              <w:t>არ</w:t>
            </w:r>
            <w:r w:rsidRPr="00631159">
              <w:rPr>
                <w:sz w:val="18"/>
              </w:rPr>
              <w:t xml:space="preserve"> </w:t>
            </w:r>
            <w:r w:rsidRPr="00631159">
              <w:rPr>
                <w:rFonts w:ascii="Sylfaen" w:hAnsi="Sylfaen" w:cs="Sylfaen"/>
                <w:sz w:val="18"/>
              </w:rPr>
              <w:t>უწყობს</w:t>
            </w:r>
            <w:r w:rsidRPr="00631159">
              <w:rPr>
                <w:sz w:val="18"/>
              </w:rPr>
              <w:t xml:space="preserve"> </w:t>
            </w:r>
            <w:r w:rsidRPr="00631159">
              <w:rPr>
                <w:rFonts w:ascii="Sylfaen" w:hAnsi="Sylfaen" w:cs="Sylfaen"/>
                <w:sz w:val="18"/>
              </w:rPr>
              <w:t>ხანძრის</w:t>
            </w:r>
            <w:r w:rsidRPr="00631159">
              <w:rPr>
                <w:sz w:val="18"/>
              </w:rPr>
              <w:t xml:space="preserve"> </w:t>
            </w:r>
            <w:r w:rsidRPr="00631159">
              <w:rPr>
                <w:rFonts w:ascii="Sylfaen" w:hAnsi="Sylfaen" w:cs="Sylfaen"/>
                <w:sz w:val="18"/>
              </w:rPr>
              <w:t>სწრაფ</w:t>
            </w:r>
            <w:r w:rsidRPr="00631159">
              <w:rPr>
                <w:sz w:val="18"/>
              </w:rPr>
              <w:t xml:space="preserve"> </w:t>
            </w:r>
            <w:r w:rsidRPr="00631159">
              <w:rPr>
                <w:rFonts w:ascii="Sylfaen" w:hAnsi="Sylfaen" w:cs="Sylfaen"/>
                <w:sz w:val="18"/>
              </w:rPr>
              <w:t>გავრცელებას</w:t>
            </w:r>
            <w:r w:rsidRPr="00631159">
              <w:rPr>
                <w:sz w:val="18"/>
              </w:rPr>
              <w:t xml:space="preserve">. </w:t>
            </w:r>
            <w:r w:rsidRPr="00631159">
              <w:rPr>
                <w:rFonts w:ascii="Sylfaen" w:hAnsi="Sylfaen" w:cs="Sylfaen"/>
                <w:sz w:val="18"/>
              </w:rPr>
              <w:t>მიმდებარედ</w:t>
            </w:r>
            <w:r w:rsidRPr="00631159">
              <w:rPr>
                <w:sz w:val="18"/>
              </w:rPr>
              <w:t xml:space="preserve"> </w:t>
            </w:r>
            <w:r w:rsidRPr="00631159">
              <w:rPr>
                <w:rFonts w:ascii="Sylfaen" w:hAnsi="Sylfaen" w:cs="Sylfaen"/>
                <w:sz w:val="18"/>
              </w:rPr>
              <w:t>არ</w:t>
            </w:r>
            <w:r w:rsidRPr="00631159">
              <w:rPr>
                <w:sz w:val="18"/>
              </w:rPr>
              <w:t xml:space="preserve"> </w:t>
            </w:r>
            <w:r w:rsidRPr="00631159">
              <w:rPr>
                <w:rFonts w:ascii="Sylfaen" w:hAnsi="Sylfaen" w:cs="Sylfaen"/>
                <w:sz w:val="18"/>
              </w:rPr>
              <w:t>არსებობს</w:t>
            </w:r>
            <w:r w:rsidRPr="00631159">
              <w:rPr>
                <w:sz w:val="18"/>
              </w:rPr>
              <w:t xml:space="preserve"> </w:t>
            </w:r>
            <w:r w:rsidRPr="00631159">
              <w:rPr>
                <w:rFonts w:ascii="Sylfaen" w:hAnsi="Sylfaen" w:cs="Sylfaen"/>
                <w:sz w:val="18"/>
              </w:rPr>
              <w:t>სხვა</w:t>
            </w:r>
            <w:r w:rsidRPr="00631159">
              <w:rPr>
                <w:sz w:val="18"/>
              </w:rPr>
              <w:t xml:space="preserve"> </w:t>
            </w:r>
            <w:r w:rsidRPr="00631159">
              <w:rPr>
                <w:rFonts w:ascii="Sylfaen" w:hAnsi="Sylfaen" w:cs="Sylfaen"/>
                <w:sz w:val="18"/>
              </w:rPr>
              <w:t>ხანძარსაშიში</w:t>
            </w:r>
            <w:r w:rsidRPr="00631159">
              <w:rPr>
                <w:sz w:val="18"/>
              </w:rPr>
              <w:t xml:space="preserve"> </w:t>
            </w:r>
            <w:r w:rsidRPr="00631159">
              <w:rPr>
                <w:rFonts w:ascii="Sylfaen" w:hAnsi="Sylfaen" w:cs="Sylfaen"/>
                <w:sz w:val="18"/>
              </w:rPr>
              <w:t>და</w:t>
            </w:r>
            <w:r w:rsidRPr="00631159">
              <w:rPr>
                <w:sz w:val="18"/>
              </w:rPr>
              <w:t xml:space="preserve"> </w:t>
            </w:r>
            <w:r w:rsidRPr="00631159">
              <w:rPr>
                <w:rFonts w:ascii="Sylfaen" w:hAnsi="Sylfaen" w:cs="Sylfaen"/>
                <w:sz w:val="18"/>
              </w:rPr>
              <w:t>ფეთქებადსაშიში</w:t>
            </w:r>
            <w:r w:rsidRPr="00631159">
              <w:rPr>
                <w:sz w:val="18"/>
              </w:rPr>
              <w:t xml:space="preserve"> </w:t>
            </w:r>
            <w:r w:rsidRPr="00631159">
              <w:rPr>
                <w:rFonts w:ascii="Sylfaen" w:hAnsi="Sylfaen" w:cs="Sylfaen"/>
                <w:sz w:val="18"/>
              </w:rPr>
              <w:t>უბნები</w:t>
            </w:r>
            <w:r w:rsidRPr="00631159">
              <w:rPr>
                <w:sz w:val="18"/>
              </w:rPr>
              <w:t>/</w:t>
            </w:r>
            <w:r w:rsidRPr="00631159">
              <w:rPr>
                <w:rFonts w:ascii="Sylfaen" w:hAnsi="Sylfaen" w:cs="Sylfaen"/>
                <w:sz w:val="18"/>
              </w:rPr>
              <w:t>საწყობები</w:t>
            </w:r>
            <w:r w:rsidRPr="00631159">
              <w:rPr>
                <w:sz w:val="18"/>
              </w:rPr>
              <w:t xml:space="preserve"> </w:t>
            </w:r>
            <w:r w:rsidRPr="00631159">
              <w:rPr>
                <w:rFonts w:ascii="Sylfaen" w:hAnsi="Sylfaen" w:cs="Sylfaen"/>
                <w:sz w:val="18"/>
              </w:rPr>
              <w:t>და</w:t>
            </w:r>
            <w:r w:rsidRPr="00631159">
              <w:rPr>
                <w:sz w:val="18"/>
              </w:rPr>
              <w:t xml:space="preserve"> </w:t>
            </w:r>
            <w:r w:rsidRPr="00631159">
              <w:rPr>
                <w:rFonts w:ascii="Sylfaen" w:hAnsi="Sylfaen" w:cs="Sylfaen"/>
                <w:sz w:val="18"/>
              </w:rPr>
              <w:t>მასალები</w:t>
            </w:r>
            <w:r w:rsidRPr="00631159">
              <w:rPr>
                <w:sz w:val="18"/>
              </w:rPr>
              <w:t>.</w:t>
            </w:r>
          </w:p>
        </w:tc>
        <w:tc>
          <w:tcPr>
            <w:tcW w:w="4346" w:type="dxa"/>
            <w:tcBorders>
              <w:top w:val="single" w:sz="4" w:space="0" w:color="auto"/>
              <w:left w:val="single" w:sz="4" w:space="0" w:color="auto"/>
              <w:bottom w:val="single" w:sz="4" w:space="0" w:color="auto"/>
              <w:right w:val="single" w:sz="4" w:space="0" w:color="auto"/>
            </w:tcBorders>
            <w:vAlign w:val="center"/>
            <w:hideMark/>
          </w:tcPr>
          <w:p w14:paraId="5DE05DA6" w14:textId="77777777" w:rsidR="00A2588D" w:rsidRPr="00631159" w:rsidRDefault="00A2588D" w:rsidP="00A2588D">
            <w:pPr>
              <w:rPr>
                <w:sz w:val="18"/>
              </w:rPr>
            </w:pPr>
            <w:r w:rsidRPr="00631159">
              <w:rPr>
                <w:rFonts w:ascii="Sylfaen" w:hAnsi="Sylfaen" w:cs="Sylfaen"/>
                <w:sz w:val="18"/>
              </w:rPr>
              <w:t>მოზრდილი</w:t>
            </w:r>
            <w:r w:rsidRPr="00631159">
              <w:rPr>
                <w:sz w:val="18"/>
              </w:rPr>
              <w:t xml:space="preserve"> </w:t>
            </w:r>
            <w:r w:rsidRPr="00631159">
              <w:rPr>
                <w:rFonts w:ascii="Sylfaen" w:hAnsi="Sylfaen" w:cs="Sylfaen"/>
                <w:sz w:val="18"/>
              </w:rPr>
              <w:t>ხანძარი</w:t>
            </w:r>
            <w:r w:rsidRPr="00631159">
              <w:rPr>
                <w:sz w:val="18"/>
              </w:rPr>
              <w:t xml:space="preserve">, </w:t>
            </w:r>
            <w:r w:rsidRPr="00631159">
              <w:rPr>
                <w:rFonts w:ascii="Sylfaen" w:hAnsi="Sylfaen" w:cs="Sylfaen"/>
                <w:sz w:val="18"/>
              </w:rPr>
              <w:t>რომელიც</w:t>
            </w:r>
            <w:r w:rsidRPr="00631159">
              <w:rPr>
                <w:sz w:val="18"/>
              </w:rPr>
              <w:t xml:space="preserve"> </w:t>
            </w:r>
            <w:r w:rsidRPr="00631159">
              <w:rPr>
                <w:rFonts w:ascii="Sylfaen" w:hAnsi="Sylfaen" w:cs="Sylfaen"/>
                <w:sz w:val="18"/>
              </w:rPr>
              <w:t>მეტეოროლოგიური</w:t>
            </w:r>
            <w:r w:rsidRPr="00631159">
              <w:rPr>
                <w:sz w:val="18"/>
              </w:rPr>
              <w:t xml:space="preserve"> </w:t>
            </w:r>
            <w:r w:rsidRPr="00631159">
              <w:rPr>
                <w:rFonts w:ascii="Sylfaen" w:hAnsi="Sylfaen" w:cs="Sylfaen"/>
                <w:sz w:val="18"/>
              </w:rPr>
              <w:t>პირობების</w:t>
            </w:r>
            <w:r w:rsidRPr="00631159">
              <w:rPr>
                <w:sz w:val="18"/>
              </w:rPr>
              <w:t xml:space="preserve"> </w:t>
            </w:r>
            <w:r w:rsidRPr="00631159">
              <w:rPr>
                <w:rFonts w:ascii="Sylfaen" w:hAnsi="Sylfaen" w:cs="Sylfaen"/>
                <w:sz w:val="18"/>
              </w:rPr>
              <w:t>გამო</w:t>
            </w:r>
            <w:r w:rsidRPr="00631159">
              <w:rPr>
                <w:sz w:val="18"/>
              </w:rPr>
              <w:t xml:space="preserve"> </w:t>
            </w:r>
            <w:r w:rsidRPr="00631159">
              <w:rPr>
                <w:rFonts w:ascii="Sylfaen" w:hAnsi="Sylfaen" w:cs="Sylfaen"/>
                <w:sz w:val="18"/>
              </w:rPr>
              <w:t>შესაძლოა</w:t>
            </w:r>
            <w:r w:rsidRPr="00631159">
              <w:rPr>
                <w:sz w:val="18"/>
              </w:rPr>
              <w:t xml:space="preserve"> </w:t>
            </w:r>
            <w:r w:rsidRPr="00631159">
              <w:rPr>
                <w:rFonts w:ascii="Sylfaen" w:hAnsi="Sylfaen" w:cs="Sylfaen"/>
                <w:sz w:val="18"/>
              </w:rPr>
              <w:t>სწრაფად</w:t>
            </w:r>
            <w:r w:rsidRPr="00631159">
              <w:rPr>
                <w:sz w:val="18"/>
              </w:rPr>
              <w:t xml:space="preserve"> </w:t>
            </w:r>
            <w:r w:rsidRPr="00631159">
              <w:rPr>
                <w:rFonts w:ascii="Sylfaen" w:hAnsi="Sylfaen" w:cs="Sylfaen"/>
                <w:sz w:val="18"/>
              </w:rPr>
              <w:t>გავრცელდეს</w:t>
            </w:r>
            <w:r w:rsidRPr="00631159">
              <w:rPr>
                <w:sz w:val="18"/>
              </w:rPr>
              <w:t xml:space="preserve">. </w:t>
            </w:r>
            <w:r w:rsidRPr="00631159">
              <w:rPr>
                <w:rFonts w:ascii="Sylfaen" w:hAnsi="Sylfaen" w:cs="Sylfaen"/>
                <w:sz w:val="18"/>
              </w:rPr>
              <w:t>მიმდებარედ</w:t>
            </w:r>
            <w:r w:rsidRPr="00631159">
              <w:rPr>
                <w:sz w:val="18"/>
              </w:rPr>
              <w:t xml:space="preserve"> </w:t>
            </w:r>
            <w:r w:rsidRPr="00631159">
              <w:rPr>
                <w:rFonts w:ascii="Sylfaen" w:hAnsi="Sylfaen" w:cs="Sylfaen"/>
                <w:sz w:val="18"/>
              </w:rPr>
              <w:t>არსებობს</w:t>
            </w:r>
            <w:r w:rsidRPr="00631159">
              <w:rPr>
                <w:sz w:val="18"/>
              </w:rPr>
              <w:t xml:space="preserve"> </w:t>
            </w:r>
            <w:r w:rsidRPr="00631159">
              <w:rPr>
                <w:rFonts w:ascii="Sylfaen" w:hAnsi="Sylfaen" w:cs="Sylfaen"/>
                <w:sz w:val="18"/>
              </w:rPr>
              <w:t>სხვა</w:t>
            </w:r>
            <w:r w:rsidRPr="00631159">
              <w:rPr>
                <w:sz w:val="18"/>
              </w:rPr>
              <w:t xml:space="preserve"> </w:t>
            </w:r>
            <w:r w:rsidRPr="00631159">
              <w:rPr>
                <w:rFonts w:ascii="Sylfaen" w:hAnsi="Sylfaen" w:cs="Sylfaen"/>
                <w:sz w:val="18"/>
              </w:rPr>
              <w:t>ხანძარსაშიში</w:t>
            </w:r>
            <w:r w:rsidRPr="00631159">
              <w:rPr>
                <w:sz w:val="18"/>
              </w:rPr>
              <w:t xml:space="preserve"> </w:t>
            </w:r>
            <w:r w:rsidRPr="00631159">
              <w:rPr>
                <w:rFonts w:ascii="Sylfaen" w:hAnsi="Sylfaen" w:cs="Sylfaen"/>
                <w:sz w:val="18"/>
              </w:rPr>
              <w:t>და</w:t>
            </w:r>
            <w:r w:rsidRPr="00631159">
              <w:rPr>
                <w:sz w:val="18"/>
              </w:rPr>
              <w:t xml:space="preserve"> </w:t>
            </w:r>
            <w:r w:rsidRPr="00631159">
              <w:rPr>
                <w:rFonts w:ascii="Sylfaen" w:hAnsi="Sylfaen" w:cs="Sylfaen"/>
                <w:sz w:val="18"/>
              </w:rPr>
              <w:t>ფეთქებადსაშიში</w:t>
            </w:r>
            <w:r w:rsidRPr="00631159">
              <w:rPr>
                <w:sz w:val="18"/>
              </w:rPr>
              <w:t xml:space="preserve"> </w:t>
            </w:r>
            <w:r w:rsidRPr="00631159">
              <w:rPr>
                <w:rFonts w:ascii="Sylfaen" w:hAnsi="Sylfaen" w:cs="Sylfaen"/>
                <w:sz w:val="18"/>
              </w:rPr>
              <w:t>უბნები</w:t>
            </w:r>
            <w:r w:rsidRPr="00631159">
              <w:rPr>
                <w:sz w:val="18"/>
              </w:rPr>
              <w:t>/</w:t>
            </w:r>
            <w:r w:rsidRPr="00631159">
              <w:rPr>
                <w:rFonts w:ascii="Sylfaen" w:hAnsi="Sylfaen" w:cs="Sylfaen"/>
                <w:sz w:val="18"/>
              </w:rPr>
              <w:t>საწყობები</w:t>
            </w:r>
            <w:r w:rsidRPr="00631159">
              <w:rPr>
                <w:sz w:val="18"/>
              </w:rPr>
              <w:t xml:space="preserve"> </w:t>
            </w:r>
            <w:r w:rsidRPr="00631159">
              <w:rPr>
                <w:rFonts w:ascii="Sylfaen" w:hAnsi="Sylfaen" w:cs="Sylfaen"/>
                <w:sz w:val="18"/>
              </w:rPr>
              <w:t>და</w:t>
            </w:r>
            <w:r w:rsidRPr="00631159">
              <w:rPr>
                <w:sz w:val="18"/>
              </w:rPr>
              <w:t xml:space="preserve"> </w:t>
            </w:r>
            <w:r w:rsidRPr="00631159">
              <w:rPr>
                <w:rFonts w:ascii="Sylfaen" w:hAnsi="Sylfaen" w:cs="Sylfaen"/>
                <w:sz w:val="18"/>
              </w:rPr>
              <w:t>მასალები</w:t>
            </w:r>
            <w:r w:rsidRPr="00631159">
              <w:rPr>
                <w:sz w:val="18"/>
              </w:rPr>
              <w:t xml:space="preserve">. </w:t>
            </w:r>
            <w:r w:rsidRPr="00631159">
              <w:rPr>
                <w:rFonts w:ascii="Sylfaen" w:hAnsi="Sylfaen" w:cs="Sylfaen"/>
                <w:sz w:val="18"/>
              </w:rPr>
              <w:t>საჭიროა</w:t>
            </w:r>
            <w:r w:rsidRPr="00631159">
              <w:rPr>
                <w:sz w:val="18"/>
              </w:rPr>
              <w:t xml:space="preserve"> </w:t>
            </w:r>
            <w:r w:rsidRPr="00631159">
              <w:rPr>
                <w:rFonts w:ascii="Sylfaen" w:hAnsi="Sylfaen" w:cs="Sylfaen"/>
                <w:sz w:val="18"/>
              </w:rPr>
              <w:t>ადგილობრივი</w:t>
            </w:r>
            <w:r w:rsidRPr="00631159">
              <w:rPr>
                <w:sz w:val="18"/>
              </w:rPr>
              <w:t xml:space="preserve"> </w:t>
            </w:r>
            <w:r w:rsidRPr="00631159">
              <w:rPr>
                <w:rFonts w:ascii="Sylfaen" w:hAnsi="Sylfaen" w:cs="Sylfaen"/>
                <w:sz w:val="18"/>
              </w:rPr>
              <w:t>სახანძრო</w:t>
            </w:r>
            <w:r w:rsidRPr="00631159">
              <w:rPr>
                <w:sz w:val="18"/>
              </w:rPr>
              <w:t xml:space="preserve"> </w:t>
            </w:r>
            <w:r w:rsidRPr="00631159">
              <w:rPr>
                <w:rFonts w:ascii="Sylfaen" w:hAnsi="Sylfaen" w:cs="Sylfaen"/>
                <w:sz w:val="18"/>
              </w:rPr>
              <w:t>რაზმის</w:t>
            </w:r>
            <w:r w:rsidRPr="00631159">
              <w:rPr>
                <w:sz w:val="18"/>
              </w:rPr>
              <w:t xml:space="preserve"> </w:t>
            </w:r>
            <w:r w:rsidRPr="00631159">
              <w:rPr>
                <w:rFonts w:ascii="Sylfaen" w:hAnsi="Sylfaen" w:cs="Sylfaen"/>
                <w:sz w:val="18"/>
              </w:rPr>
              <w:t>გამოძახება</w:t>
            </w:r>
            <w:r w:rsidRPr="00631159">
              <w:rPr>
                <w:sz w:val="18"/>
              </w:rPr>
              <w:t xml:space="preserve">.  </w:t>
            </w:r>
          </w:p>
        </w:tc>
        <w:tc>
          <w:tcPr>
            <w:tcW w:w="4395" w:type="dxa"/>
            <w:tcBorders>
              <w:top w:val="single" w:sz="4" w:space="0" w:color="auto"/>
              <w:left w:val="single" w:sz="4" w:space="0" w:color="auto"/>
              <w:bottom w:val="single" w:sz="4" w:space="0" w:color="auto"/>
              <w:right w:val="single" w:sz="4" w:space="0" w:color="auto"/>
            </w:tcBorders>
            <w:vAlign w:val="center"/>
            <w:hideMark/>
          </w:tcPr>
          <w:p w14:paraId="03759C53" w14:textId="77777777" w:rsidR="00A2588D" w:rsidRPr="00631159" w:rsidRDefault="00A2588D" w:rsidP="00A2588D">
            <w:pPr>
              <w:rPr>
                <w:sz w:val="18"/>
              </w:rPr>
            </w:pPr>
            <w:r w:rsidRPr="00631159">
              <w:rPr>
                <w:rFonts w:ascii="Sylfaen" w:hAnsi="Sylfaen" w:cs="Sylfaen"/>
                <w:sz w:val="18"/>
              </w:rPr>
              <w:t>დიდი</w:t>
            </w:r>
            <w:r w:rsidRPr="00631159">
              <w:rPr>
                <w:sz w:val="18"/>
              </w:rPr>
              <w:t xml:space="preserve"> </w:t>
            </w:r>
            <w:r w:rsidRPr="00631159">
              <w:rPr>
                <w:rFonts w:ascii="Sylfaen" w:hAnsi="Sylfaen" w:cs="Sylfaen"/>
                <w:sz w:val="18"/>
              </w:rPr>
              <w:t>ხანძარი</w:t>
            </w:r>
            <w:r w:rsidRPr="00631159">
              <w:rPr>
                <w:sz w:val="18"/>
              </w:rPr>
              <w:t xml:space="preserve">, </w:t>
            </w:r>
            <w:r w:rsidRPr="00631159">
              <w:rPr>
                <w:rFonts w:ascii="Sylfaen" w:hAnsi="Sylfaen" w:cs="Sylfaen"/>
                <w:sz w:val="18"/>
              </w:rPr>
              <w:t>რომელიც</w:t>
            </w:r>
            <w:r w:rsidRPr="00631159">
              <w:rPr>
                <w:sz w:val="18"/>
              </w:rPr>
              <w:t xml:space="preserve"> </w:t>
            </w:r>
            <w:r w:rsidRPr="00631159">
              <w:rPr>
                <w:rFonts w:ascii="Sylfaen" w:hAnsi="Sylfaen" w:cs="Sylfaen"/>
                <w:sz w:val="18"/>
              </w:rPr>
              <w:t>სწრაფად</w:t>
            </w:r>
            <w:r w:rsidRPr="00631159">
              <w:rPr>
                <w:sz w:val="18"/>
              </w:rPr>
              <w:t xml:space="preserve"> </w:t>
            </w:r>
            <w:r w:rsidRPr="00631159">
              <w:rPr>
                <w:rFonts w:ascii="Sylfaen" w:hAnsi="Sylfaen" w:cs="Sylfaen"/>
                <w:sz w:val="18"/>
              </w:rPr>
              <w:t>ვრცელდება</w:t>
            </w:r>
            <w:r w:rsidRPr="00631159">
              <w:rPr>
                <w:sz w:val="18"/>
              </w:rPr>
              <w:t xml:space="preserve">. </w:t>
            </w:r>
            <w:r w:rsidRPr="00631159">
              <w:rPr>
                <w:rFonts w:ascii="Sylfaen" w:hAnsi="Sylfaen" w:cs="Sylfaen"/>
                <w:sz w:val="18"/>
              </w:rPr>
              <w:t>არსებობს</w:t>
            </w:r>
            <w:r w:rsidRPr="00631159">
              <w:rPr>
                <w:sz w:val="18"/>
              </w:rPr>
              <w:t xml:space="preserve"> </w:t>
            </w:r>
            <w:r w:rsidRPr="00631159">
              <w:rPr>
                <w:rFonts w:ascii="Sylfaen" w:hAnsi="Sylfaen" w:cs="Sylfaen"/>
                <w:sz w:val="18"/>
              </w:rPr>
              <w:t>მიმდებარე</w:t>
            </w:r>
            <w:r w:rsidRPr="00631159">
              <w:rPr>
                <w:sz w:val="18"/>
              </w:rPr>
              <w:t xml:space="preserve"> </w:t>
            </w:r>
            <w:r w:rsidRPr="00631159">
              <w:rPr>
                <w:rFonts w:ascii="Sylfaen" w:hAnsi="Sylfaen" w:cs="Sylfaen"/>
                <w:sz w:val="18"/>
              </w:rPr>
              <w:t>უბნების</w:t>
            </w:r>
            <w:r w:rsidRPr="00631159">
              <w:rPr>
                <w:sz w:val="18"/>
              </w:rPr>
              <w:t xml:space="preserve"> </w:t>
            </w:r>
            <w:r w:rsidRPr="00631159">
              <w:rPr>
                <w:rFonts w:ascii="Sylfaen" w:hAnsi="Sylfaen" w:cs="Sylfaen"/>
                <w:sz w:val="18"/>
              </w:rPr>
              <w:t>აალების</w:t>
            </w:r>
            <w:r w:rsidRPr="00631159">
              <w:rPr>
                <w:sz w:val="18"/>
              </w:rPr>
              <w:t xml:space="preserve"> </w:t>
            </w:r>
            <w:r w:rsidRPr="00631159">
              <w:rPr>
                <w:rFonts w:ascii="Sylfaen" w:hAnsi="Sylfaen" w:cs="Sylfaen"/>
                <w:sz w:val="18"/>
              </w:rPr>
              <w:t>და</w:t>
            </w:r>
            <w:r w:rsidRPr="00631159">
              <w:rPr>
                <w:sz w:val="18"/>
              </w:rPr>
              <w:t xml:space="preserve"> </w:t>
            </w:r>
            <w:r w:rsidRPr="00631159">
              <w:rPr>
                <w:rFonts w:ascii="Sylfaen" w:hAnsi="Sylfaen" w:cs="Sylfaen"/>
                <w:sz w:val="18"/>
              </w:rPr>
              <w:t>სხვა</w:t>
            </w:r>
            <w:r w:rsidRPr="00631159">
              <w:rPr>
                <w:sz w:val="18"/>
              </w:rPr>
              <w:t xml:space="preserve"> </w:t>
            </w:r>
            <w:r w:rsidRPr="00631159">
              <w:rPr>
                <w:rFonts w:ascii="Sylfaen" w:hAnsi="Sylfaen" w:cs="Sylfaen"/>
                <w:sz w:val="18"/>
              </w:rPr>
              <w:t>სახის</w:t>
            </w:r>
            <w:r w:rsidRPr="00631159">
              <w:rPr>
                <w:sz w:val="18"/>
              </w:rPr>
              <w:t xml:space="preserve"> </w:t>
            </w:r>
            <w:r w:rsidRPr="00631159">
              <w:rPr>
                <w:rFonts w:ascii="Sylfaen" w:hAnsi="Sylfaen" w:cs="Sylfaen"/>
                <w:sz w:val="18"/>
              </w:rPr>
              <w:t>ავარიული</w:t>
            </w:r>
            <w:r w:rsidRPr="00631159">
              <w:rPr>
                <w:sz w:val="18"/>
              </w:rPr>
              <w:t xml:space="preserve"> </w:t>
            </w:r>
            <w:r w:rsidRPr="00631159">
              <w:rPr>
                <w:rFonts w:ascii="Sylfaen" w:hAnsi="Sylfaen" w:cs="Sylfaen"/>
                <w:sz w:val="18"/>
              </w:rPr>
              <w:t>სიტუაციების</w:t>
            </w:r>
            <w:r w:rsidRPr="00631159">
              <w:rPr>
                <w:sz w:val="18"/>
              </w:rPr>
              <w:t xml:space="preserve"> </w:t>
            </w:r>
            <w:r w:rsidRPr="00631159">
              <w:rPr>
                <w:rFonts w:ascii="Sylfaen" w:hAnsi="Sylfaen" w:cs="Sylfaen"/>
                <w:sz w:val="18"/>
              </w:rPr>
              <w:t>პროვოცირების</w:t>
            </w:r>
            <w:r w:rsidRPr="00631159">
              <w:rPr>
                <w:sz w:val="18"/>
              </w:rPr>
              <w:t xml:space="preserve"> </w:t>
            </w:r>
            <w:r w:rsidRPr="00631159">
              <w:rPr>
                <w:rFonts w:ascii="Sylfaen" w:hAnsi="Sylfaen" w:cs="Sylfaen"/>
                <w:sz w:val="18"/>
              </w:rPr>
              <w:t>დიდი</w:t>
            </w:r>
            <w:r w:rsidRPr="00631159">
              <w:rPr>
                <w:sz w:val="18"/>
              </w:rPr>
              <w:t xml:space="preserve"> </w:t>
            </w:r>
            <w:r w:rsidRPr="00631159">
              <w:rPr>
                <w:rFonts w:ascii="Sylfaen" w:hAnsi="Sylfaen" w:cs="Sylfaen"/>
                <w:sz w:val="18"/>
              </w:rPr>
              <w:t>რისკი</w:t>
            </w:r>
            <w:r w:rsidRPr="00631159">
              <w:rPr>
                <w:sz w:val="18"/>
              </w:rPr>
              <w:t xml:space="preserve">. </w:t>
            </w:r>
            <w:r w:rsidRPr="00631159">
              <w:rPr>
                <w:rFonts w:ascii="Sylfaen" w:hAnsi="Sylfaen" w:cs="Sylfaen"/>
                <w:sz w:val="18"/>
              </w:rPr>
              <w:t>საჭიროა</w:t>
            </w:r>
            <w:r w:rsidRPr="00631159">
              <w:rPr>
                <w:sz w:val="18"/>
              </w:rPr>
              <w:t xml:space="preserve"> </w:t>
            </w:r>
            <w:r w:rsidRPr="00631159">
              <w:rPr>
                <w:rFonts w:ascii="Sylfaen" w:hAnsi="Sylfaen" w:cs="Sylfaen"/>
                <w:sz w:val="18"/>
              </w:rPr>
              <w:t>რეგიონალური</w:t>
            </w:r>
            <w:r w:rsidRPr="00631159">
              <w:rPr>
                <w:sz w:val="18"/>
              </w:rPr>
              <w:t xml:space="preserve"> </w:t>
            </w:r>
            <w:r w:rsidRPr="00631159">
              <w:rPr>
                <w:rFonts w:ascii="Sylfaen" w:hAnsi="Sylfaen" w:cs="Sylfaen"/>
                <w:sz w:val="18"/>
              </w:rPr>
              <w:t>სახანძრო</w:t>
            </w:r>
            <w:r w:rsidRPr="00631159">
              <w:rPr>
                <w:sz w:val="18"/>
              </w:rPr>
              <w:t xml:space="preserve"> </w:t>
            </w:r>
            <w:r w:rsidRPr="00631159">
              <w:rPr>
                <w:rFonts w:ascii="Sylfaen" w:hAnsi="Sylfaen" w:cs="Sylfaen"/>
                <w:sz w:val="18"/>
              </w:rPr>
              <w:t>სამსახურის</w:t>
            </w:r>
            <w:r w:rsidRPr="00631159">
              <w:rPr>
                <w:sz w:val="18"/>
              </w:rPr>
              <w:t xml:space="preserve"> </w:t>
            </w:r>
            <w:r w:rsidRPr="00631159">
              <w:rPr>
                <w:rFonts w:ascii="Sylfaen" w:hAnsi="Sylfaen" w:cs="Sylfaen"/>
                <w:sz w:val="18"/>
              </w:rPr>
              <w:t>ჩართვა</w:t>
            </w:r>
            <w:r w:rsidRPr="00631159">
              <w:rPr>
                <w:sz w:val="18"/>
              </w:rPr>
              <w:t xml:space="preserve"> </w:t>
            </w:r>
            <w:r w:rsidRPr="00631159">
              <w:rPr>
                <w:rFonts w:ascii="Sylfaen" w:hAnsi="Sylfaen" w:cs="Sylfaen"/>
                <w:sz w:val="18"/>
              </w:rPr>
              <w:t>ინციდენტის</w:t>
            </w:r>
            <w:r w:rsidRPr="00631159">
              <w:rPr>
                <w:sz w:val="18"/>
              </w:rPr>
              <w:t xml:space="preserve"> </w:t>
            </w:r>
            <w:r w:rsidRPr="00631159">
              <w:rPr>
                <w:rFonts w:ascii="Sylfaen" w:hAnsi="Sylfaen" w:cs="Sylfaen"/>
                <w:sz w:val="18"/>
              </w:rPr>
              <w:t>ლიკვიდაციისთვის</w:t>
            </w:r>
            <w:r w:rsidRPr="00631159">
              <w:rPr>
                <w:sz w:val="18"/>
              </w:rPr>
              <w:t>.</w:t>
            </w:r>
          </w:p>
        </w:tc>
      </w:tr>
      <w:tr w:rsidR="00A2588D" w:rsidRPr="00631159" w14:paraId="74671BB3" w14:textId="77777777" w:rsidTr="00A2588D">
        <w:trPr>
          <w:trHeight w:val="202"/>
          <w:jc w:val="center"/>
        </w:trPr>
        <w:tc>
          <w:tcPr>
            <w:tcW w:w="15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F0D131" w14:textId="77777777" w:rsidR="00A2588D" w:rsidRPr="00631159" w:rsidRDefault="00A2588D" w:rsidP="00A2588D">
            <w:pPr>
              <w:rPr>
                <w:sz w:val="18"/>
              </w:rPr>
            </w:pPr>
            <w:r w:rsidRPr="00631159">
              <w:rPr>
                <w:rFonts w:ascii="Sylfaen" w:hAnsi="Sylfaen" w:cs="Sylfaen"/>
                <w:sz w:val="18"/>
              </w:rPr>
              <w:t>ადამინის</w:t>
            </w:r>
            <w:r w:rsidRPr="00631159">
              <w:rPr>
                <w:sz w:val="18"/>
              </w:rPr>
              <w:t xml:space="preserve"> </w:t>
            </w:r>
            <w:r w:rsidRPr="00631159">
              <w:rPr>
                <w:rFonts w:ascii="Sylfaen" w:hAnsi="Sylfaen" w:cs="Sylfaen"/>
                <w:sz w:val="18"/>
              </w:rPr>
              <w:t>დაშავება</w:t>
            </w:r>
            <w:r w:rsidRPr="00631159">
              <w:rPr>
                <w:sz w:val="18"/>
              </w:rPr>
              <w:t xml:space="preserve"> / </w:t>
            </w:r>
            <w:r w:rsidRPr="00631159">
              <w:rPr>
                <w:rFonts w:ascii="Sylfaen" w:hAnsi="Sylfaen" w:cs="Sylfaen"/>
                <w:sz w:val="18"/>
              </w:rPr>
              <w:t>ტრავმატიზმი</w:t>
            </w:r>
          </w:p>
        </w:tc>
        <w:tc>
          <w:tcPr>
            <w:tcW w:w="5017" w:type="dxa"/>
            <w:tcBorders>
              <w:top w:val="single" w:sz="4" w:space="0" w:color="auto"/>
              <w:left w:val="single" w:sz="4" w:space="0" w:color="auto"/>
              <w:bottom w:val="single" w:sz="4" w:space="0" w:color="auto"/>
              <w:right w:val="single" w:sz="4" w:space="0" w:color="auto"/>
            </w:tcBorders>
            <w:vAlign w:val="center"/>
            <w:hideMark/>
          </w:tcPr>
          <w:p w14:paraId="5D95F773" w14:textId="77777777" w:rsidR="00A2588D" w:rsidRPr="00631159" w:rsidRDefault="00A2588D" w:rsidP="00A2588D">
            <w:pPr>
              <w:rPr>
                <w:sz w:val="18"/>
              </w:rPr>
            </w:pPr>
            <w:r w:rsidRPr="00631159">
              <w:rPr>
                <w:rFonts w:ascii="Sylfaen" w:hAnsi="Sylfaen" w:cs="Sylfaen"/>
                <w:sz w:val="18"/>
              </w:rPr>
              <w:t>ტრავმატიზმის</w:t>
            </w:r>
            <w:r w:rsidRPr="00631159">
              <w:rPr>
                <w:sz w:val="18"/>
              </w:rPr>
              <w:t xml:space="preserve"> </w:t>
            </w:r>
            <w:r w:rsidRPr="00631159">
              <w:rPr>
                <w:rFonts w:ascii="Sylfaen" w:hAnsi="Sylfaen" w:cs="Sylfaen"/>
                <w:sz w:val="18"/>
              </w:rPr>
              <w:t>ერთი</w:t>
            </w:r>
            <w:r w:rsidRPr="00631159">
              <w:rPr>
                <w:sz w:val="18"/>
              </w:rPr>
              <w:t xml:space="preserve"> </w:t>
            </w:r>
            <w:r w:rsidRPr="00631159">
              <w:rPr>
                <w:rFonts w:ascii="Sylfaen" w:hAnsi="Sylfaen" w:cs="Sylfaen"/>
                <w:sz w:val="18"/>
              </w:rPr>
              <w:t>შემთხვევა</w:t>
            </w:r>
            <w:r w:rsidRPr="00631159">
              <w:rPr>
                <w:sz w:val="18"/>
              </w:rPr>
              <w:t>;</w:t>
            </w:r>
          </w:p>
          <w:p w14:paraId="5D42EEE3" w14:textId="77777777" w:rsidR="00A2588D" w:rsidRPr="00631159" w:rsidRDefault="00A2588D" w:rsidP="00A2588D">
            <w:pPr>
              <w:rPr>
                <w:sz w:val="18"/>
              </w:rPr>
            </w:pPr>
            <w:r w:rsidRPr="00631159">
              <w:rPr>
                <w:rFonts w:ascii="Sylfaen" w:hAnsi="Sylfaen" w:cs="Sylfaen"/>
                <w:sz w:val="18"/>
              </w:rPr>
              <w:t>მსუბუქი</w:t>
            </w:r>
            <w:r w:rsidRPr="00631159">
              <w:rPr>
                <w:sz w:val="18"/>
              </w:rPr>
              <w:t xml:space="preserve"> </w:t>
            </w:r>
            <w:r w:rsidRPr="00631159">
              <w:rPr>
                <w:rFonts w:ascii="Sylfaen" w:hAnsi="Sylfaen" w:cs="Sylfaen"/>
                <w:sz w:val="18"/>
              </w:rPr>
              <w:t>მოტეხილობა</w:t>
            </w:r>
            <w:r w:rsidRPr="00631159">
              <w:rPr>
                <w:sz w:val="18"/>
              </w:rPr>
              <w:t xml:space="preserve">, </w:t>
            </w:r>
            <w:r w:rsidRPr="00631159">
              <w:rPr>
                <w:rFonts w:ascii="Sylfaen" w:hAnsi="Sylfaen" w:cs="Sylfaen"/>
                <w:sz w:val="18"/>
              </w:rPr>
              <w:t>დაჟეჟილობა</w:t>
            </w:r>
            <w:r w:rsidRPr="00631159">
              <w:rPr>
                <w:sz w:val="18"/>
              </w:rPr>
              <w:t>;</w:t>
            </w:r>
          </w:p>
          <w:p w14:paraId="6BD35AD2" w14:textId="77777777" w:rsidR="00A2588D" w:rsidRPr="00631159" w:rsidRDefault="00A2588D" w:rsidP="00A2588D">
            <w:pPr>
              <w:rPr>
                <w:sz w:val="18"/>
              </w:rPr>
            </w:pPr>
            <w:r w:rsidRPr="00631159">
              <w:rPr>
                <w:sz w:val="18"/>
              </w:rPr>
              <w:t xml:space="preserve">I  </w:t>
            </w:r>
            <w:r w:rsidRPr="00631159">
              <w:rPr>
                <w:rFonts w:ascii="Sylfaen" w:hAnsi="Sylfaen" w:cs="Sylfaen"/>
                <w:sz w:val="18"/>
              </w:rPr>
              <w:t>ხარისხის</w:t>
            </w:r>
            <w:r w:rsidRPr="00631159">
              <w:rPr>
                <w:sz w:val="18"/>
              </w:rPr>
              <w:t xml:space="preserve"> </w:t>
            </w:r>
            <w:r w:rsidRPr="00631159">
              <w:rPr>
                <w:rFonts w:ascii="Sylfaen" w:hAnsi="Sylfaen" w:cs="Sylfaen"/>
                <w:sz w:val="18"/>
              </w:rPr>
              <w:t>დამწვრობა</w:t>
            </w:r>
            <w:r w:rsidRPr="00631159">
              <w:rPr>
                <w:sz w:val="18"/>
              </w:rPr>
              <w:t xml:space="preserve"> (</w:t>
            </w:r>
            <w:r w:rsidRPr="00631159">
              <w:rPr>
                <w:rFonts w:ascii="Sylfaen" w:hAnsi="Sylfaen" w:cs="Sylfaen"/>
                <w:sz w:val="18"/>
              </w:rPr>
              <w:t>კანის</w:t>
            </w:r>
            <w:r w:rsidRPr="00631159">
              <w:rPr>
                <w:sz w:val="18"/>
              </w:rPr>
              <w:t xml:space="preserve"> </w:t>
            </w:r>
            <w:r w:rsidRPr="00631159">
              <w:rPr>
                <w:rFonts w:ascii="Sylfaen" w:hAnsi="Sylfaen" w:cs="Sylfaen"/>
                <w:sz w:val="18"/>
              </w:rPr>
              <w:t>ზედაპირული</w:t>
            </w:r>
            <w:r w:rsidRPr="00631159">
              <w:rPr>
                <w:sz w:val="18"/>
              </w:rPr>
              <w:t xml:space="preserve"> </w:t>
            </w:r>
            <w:r w:rsidRPr="00631159">
              <w:rPr>
                <w:rFonts w:ascii="Sylfaen" w:hAnsi="Sylfaen" w:cs="Sylfaen"/>
                <w:sz w:val="18"/>
              </w:rPr>
              <w:t>შრის</w:t>
            </w:r>
            <w:r w:rsidRPr="00631159">
              <w:rPr>
                <w:sz w:val="18"/>
              </w:rPr>
              <w:t xml:space="preserve"> </w:t>
            </w:r>
            <w:r w:rsidRPr="00631159">
              <w:rPr>
                <w:rFonts w:ascii="Sylfaen" w:hAnsi="Sylfaen" w:cs="Sylfaen"/>
                <w:sz w:val="18"/>
              </w:rPr>
              <w:t>დაზიანება</w:t>
            </w:r>
            <w:r w:rsidRPr="00631159">
              <w:rPr>
                <w:sz w:val="18"/>
              </w:rPr>
              <w:t>);</w:t>
            </w:r>
          </w:p>
          <w:p w14:paraId="26501AC2" w14:textId="77777777" w:rsidR="00A2588D" w:rsidRPr="00631159" w:rsidRDefault="00A2588D" w:rsidP="00A2588D">
            <w:pPr>
              <w:rPr>
                <w:sz w:val="18"/>
              </w:rPr>
            </w:pPr>
            <w:r w:rsidRPr="00631159">
              <w:rPr>
                <w:rFonts w:ascii="Sylfaen" w:hAnsi="Sylfaen" w:cs="Sylfaen"/>
                <w:sz w:val="18"/>
              </w:rPr>
              <w:t>დაშავებული</w:t>
            </w:r>
            <w:r w:rsidRPr="00631159">
              <w:rPr>
                <w:sz w:val="18"/>
              </w:rPr>
              <w:t xml:space="preserve"> </w:t>
            </w:r>
            <w:r w:rsidRPr="00631159">
              <w:rPr>
                <w:rFonts w:ascii="Sylfaen" w:hAnsi="Sylfaen" w:cs="Sylfaen"/>
                <w:sz w:val="18"/>
              </w:rPr>
              <w:t>პერსონალისთვის</w:t>
            </w:r>
            <w:r w:rsidRPr="00631159">
              <w:rPr>
                <w:sz w:val="18"/>
              </w:rPr>
              <w:t xml:space="preserve"> </w:t>
            </w:r>
            <w:r w:rsidRPr="00631159">
              <w:rPr>
                <w:rFonts w:ascii="Sylfaen" w:hAnsi="Sylfaen" w:cs="Sylfaen"/>
                <w:sz w:val="18"/>
              </w:rPr>
              <w:t>დახმარების</w:t>
            </w:r>
            <w:r w:rsidRPr="00631159">
              <w:rPr>
                <w:sz w:val="18"/>
              </w:rPr>
              <w:t xml:space="preserve"> </w:t>
            </w:r>
            <w:r w:rsidRPr="00631159">
              <w:rPr>
                <w:rFonts w:ascii="Sylfaen" w:hAnsi="Sylfaen" w:cs="Sylfaen"/>
                <w:sz w:val="18"/>
              </w:rPr>
              <w:t>აღმოჩენა</w:t>
            </w:r>
            <w:r w:rsidRPr="00631159">
              <w:rPr>
                <w:sz w:val="18"/>
              </w:rPr>
              <w:t xml:space="preserve"> </w:t>
            </w:r>
            <w:r w:rsidRPr="00631159">
              <w:rPr>
                <w:rFonts w:ascii="Sylfaen" w:hAnsi="Sylfaen" w:cs="Sylfaen"/>
                <w:sz w:val="18"/>
              </w:rPr>
              <w:t>და</w:t>
            </w:r>
            <w:r w:rsidRPr="00631159">
              <w:rPr>
                <w:sz w:val="18"/>
              </w:rPr>
              <w:t xml:space="preserve"> </w:t>
            </w:r>
            <w:r w:rsidRPr="00631159">
              <w:rPr>
                <w:rFonts w:ascii="Sylfaen" w:hAnsi="Sylfaen" w:cs="Sylfaen"/>
                <w:sz w:val="18"/>
              </w:rPr>
              <w:t>ინციდენტის</w:t>
            </w:r>
            <w:r w:rsidRPr="00631159">
              <w:rPr>
                <w:sz w:val="18"/>
              </w:rPr>
              <w:t xml:space="preserve"> </w:t>
            </w:r>
            <w:r w:rsidRPr="00631159">
              <w:rPr>
                <w:rFonts w:ascii="Sylfaen" w:hAnsi="Sylfaen" w:cs="Sylfaen"/>
                <w:sz w:val="18"/>
              </w:rPr>
              <w:t>ლიკვიდაცია</w:t>
            </w:r>
            <w:r w:rsidRPr="00631159">
              <w:rPr>
                <w:sz w:val="18"/>
              </w:rPr>
              <w:t xml:space="preserve">  </w:t>
            </w:r>
            <w:r w:rsidRPr="00631159">
              <w:rPr>
                <w:rFonts w:ascii="Sylfaen" w:hAnsi="Sylfaen" w:cs="Sylfaen"/>
                <w:sz w:val="18"/>
              </w:rPr>
              <w:t>შესაძლებელია</w:t>
            </w:r>
            <w:r w:rsidRPr="00631159">
              <w:rPr>
                <w:sz w:val="18"/>
              </w:rPr>
              <w:t xml:space="preserve"> </w:t>
            </w:r>
            <w:r w:rsidRPr="00631159">
              <w:rPr>
                <w:rFonts w:ascii="Sylfaen" w:hAnsi="Sylfaen" w:cs="Sylfaen"/>
                <w:sz w:val="18"/>
              </w:rPr>
              <w:t>შიდა</w:t>
            </w:r>
            <w:r w:rsidRPr="00631159">
              <w:rPr>
                <w:sz w:val="18"/>
              </w:rPr>
              <w:t xml:space="preserve"> </w:t>
            </w:r>
            <w:r w:rsidRPr="00631159">
              <w:rPr>
                <w:rFonts w:ascii="Sylfaen" w:hAnsi="Sylfaen" w:cs="Sylfaen"/>
                <w:sz w:val="18"/>
              </w:rPr>
              <w:t>სამედიცინო</w:t>
            </w:r>
            <w:r w:rsidRPr="00631159">
              <w:rPr>
                <w:sz w:val="18"/>
              </w:rPr>
              <w:t xml:space="preserve"> </w:t>
            </w:r>
            <w:r w:rsidRPr="00631159">
              <w:rPr>
                <w:rFonts w:ascii="Sylfaen" w:hAnsi="Sylfaen" w:cs="Sylfaen"/>
                <w:sz w:val="18"/>
              </w:rPr>
              <w:t>ინვენტარით</w:t>
            </w:r>
            <w:r w:rsidRPr="00631159">
              <w:rPr>
                <w:sz w:val="18"/>
              </w:rPr>
              <w:t xml:space="preserve">. </w:t>
            </w:r>
          </w:p>
        </w:tc>
        <w:tc>
          <w:tcPr>
            <w:tcW w:w="4346" w:type="dxa"/>
            <w:tcBorders>
              <w:top w:val="single" w:sz="4" w:space="0" w:color="auto"/>
              <w:left w:val="single" w:sz="4" w:space="0" w:color="auto"/>
              <w:bottom w:val="single" w:sz="4" w:space="0" w:color="auto"/>
              <w:right w:val="single" w:sz="4" w:space="0" w:color="auto"/>
            </w:tcBorders>
            <w:vAlign w:val="center"/>
            <w:hideMark/>
          </w:tcPr>
          <w:p w14:paraId="6A1F50AD" w14:textId="77777777" w:rsidR="00A2588D" w:rsidRPr="00631159" w:rsidRDefault="00A2588D" w:rsidP="00A2588D">
            <w:pPr>
              <w:rPr>
                <w:sz w:val="18"/>
              </w:rPr>
            </w:pPr>
            <w:r w:rsidRPr="00631159">
              <w:rPr>
                <w:rFonts w:ascii="Sylfaen" w:hAnsi="Sylfaen" w:cs="Sylfaen"/>
                <w:sz w:val="18"/>
              </w:rPr>
              <w:t>ტრავმატიზმის</w:t>
            </w:r>
            <w:r w:rsidRPr="00631159">
              <w:rPr>
                <w:sz w:val="18"/>
              </w:rPr>
              <w:t xml:space="preserve"> </w:t>
            </w:r>
            <w:r w:rsidRPr="00631159">
              <w:rPr>
                <w:rFonts w:ascii="Sylfaen" w:hAnsi="Sylfaen" w:cs="Sylfaen"/>
                <w:sz w:val="18"/>
              </w:rPr>
              <w:t>ერთეული</w:t>
            </w:r>
            <w:r w:rsidRPr="00631159">
              <w:rPr>
                <w:sz w:val="18"/>
              </w:rPr>
              <w:t xml:space="preserve"> </w:t>
            </w:r>
            <w:r w:rsidRPr="00631159">
              <w:rPr>
                <w:rFonts w:ascii="Sylfaen" w:hAnsi="Sylfaen" w:cs="Sylfaen"/>
                <w:sz w:val="18"/>
              </w:rPr>
              <w:t>შემთხვევები</w:t>
            </w:r>
            <w:r w:rsidRPr="00631159">
              <w:rPr>
                <w:sz w:val="18"/>
              </w:rPr>
              <w:t>;</w:t>
            </w:r>
          </w:p>
          <w:p w14:paraId="4E66F2A2" w14:textId="77777777" w:rsidR="00A2588D" w:rsidRPr="00631159" w:rsidRDefault="00A2588D" w:rsidP="00A2588D">
            <w:pPr>
              <w:rPr>
                <w:sz w:val="18"/>
              </w:rPr>
            </w:pPr>
            <w:r w:rsidRPr="00631159">
              <w:rPr>
                <w:rFonts w:ascii="Sylfaen" w:hAnsi="Sylfaen" w:cs="Sylfaen"/>
                <w:sz w:val="18"/>
              </w:rPr>
              <w:t>ძლიერი</w:t>
            </w:r>
            <w:r w:rsidRPr="00631159">
              <w:rPr>
                <w:sz w:val="18"/>
              </w:rPr>
              <w:t xml:space="preserve"> </w:t>
            </w:r>
            <w:r w:rsidRPr="00631159">
              <w:rPr>
                <w:rFonts w:ascii="Sylfaen" w:hAnsi="Sylfaen" w:cs="Sylfaen"/>
                <w:sz w:val="18"/>
              </w:rPr>
              <w:t>მოტეხილობა</w:t>
            </w:r>
            <w:r w:rsidRPr="00631159">
              <w:rPr>
                <w:sz w:val="18"/>
              </w:rPr>
              <w:t xml:space="preserve"> - </w:t>
            </w:r>
            <w:r w:rsidRPr="00631159">
              <w:rPr>
                <w:rFonts w:ascii="Sylfaen" w:hAnsi="Sylfaen" w:cs="Sylfaen"/>
                <w:sz w:val="18"/>
              </w:rPr>
              <w:t>სახსართან</w:t>
            </w:r>
            <w:r w:rsidRPr="00631159">
              <w:rPr>
                <w:sz w:val="18"/>
              </w:rPr>
              <w:t xml:space="preserve"> </w:t>
            </w:r>
            <w:r w:rsidRPr="00631159">
              <w:rPr>
                <w:rFonts w:ascii="Sylfaen" w:hAnsi="Sylfaen" w:cs="Sylfaen"/>
                <w:sz w:val="18"/>
              </w:rPr>
              <w:t>ახლო</w:t>
            </w:r>
            <w:r w:rsidRPr="00631159">
              <w:rPr>
                <w:sz w:val="18"/>
              </w:rPr>
              <w:t xml:space="preserve"> </w:t>
            </w:r>
            <w:r w:rsidRPr="00631159">
              <w:rPr>
                <w:rFonts w:ascii="Sylfaen" w:hAnsi="Sylfaen" w:cs="Sylfaen"/>
                <w:sz w:val="18"/>
              </w:rPr>
              <w:t>მოტეხილობა</w:t>
            </w:r>
            <w:r w:rsidRPr="00631159">
              <w:rPr>
                <w:sz w:val="18"/>
              </w:rPr>
              <w:t>;</w:t>
            </w:r>
          </w:p>
          <w:p w14:paraId="5E771F5F" w14:textId="77777777" w:rsidR="00A2588D" w:rsidRPr="00631159" w:rsidRDefault="00A2588D" w:rsidP="00A2588D">
            <w:pPr>
              <w:rPr>
                <w:sz w:val="18"/>
              </w:rPr>
            </w:pPr>
            <w:r w:rsidRPr="00631159">
              <w:rPr>
                <w:sz w:val="18"/>
              </w:rPr>
              <w:t xml:space="preserve">II </w:t>
            </w:r>
            <w:r w:rsidRPr="00631159">
              <w:rPr>
                <w:rFonts w:ascii="Sylfaen" w:hAnsi="Sylfaen" w:cs="Sylfaen"/>
                <w:sz w:val="18"/>
              </w:rPr>
              <w:t>ხარისხის</w:t>
            </w:r>
            <w:r w:rsidRPr="00631159">
              <w:rPr>
                <w:sz w:val="18"/>
              </w:rPr>
              <w:t xml:space="preserve"> </w:t>
            </w:r>
            <w:r w:rsidRPr="00631159">
              <w:rPr>
                <w:rFonts w:ascii="Sylfaen" w:hAnsi="Sylfaen" w:cs="Sylfaen"/>
                <w:sz w:val="18"/>
              </w:rPr>
              <w:t>დამწვრობა</w:t>
            </w:r>
            <w:r w:rsidRPr="00631159">
              <w:rPr>
                <w:sz w:val="18"/>
              </w:rPr>
              <w:t xml:space="preserve"> (</w:t>
            </w:r>
            <w:r w:rsidRPr="00631159">
              <w:rPr>
                <w:rFonts w:ascii="Sylfaen" w:hAnsi="Sylfaen" w:cs="Sylfaen"/>
                <w:sz w:val="18"/>
              </w:rPr>
              <w:t>კანის</w:t>
            </w:r>
            <w:r w:rsidRPr="00631159">
              <w:rPr>
                <w:sz w:val="18"/>
              </w:rPr>
              <w:t xml:space="preserve"> </w:t>
            </w:r>
            <w:r w:rsidRPr="00631159">
              <w:rPr>
                <w:rFonts w:ascii="Sylfaen" w:hAnsi="Sylfaen" w:cs="Sylfaen"/>
                <w:sz w:val="18"/>
              </w:rPr>
              <w:t>ღრმა</w:t>
            </w:r>
            <w:r w:rsidRPr="00631159">
              <w:rPr>
                <w:sz w:val="18"/>
              </w:rPr>
              <w:t xml:space="preserve"> </w:t>
            </w:r>
            <w:r w:rsidRPr="00631159">
              <w:rPr>
                <w:rFonts w:ascii="Sylfaen" w:hAnsi="Sylfaen" w:cs="Sylfaen"/>
                <w:sz w:val="18"/>
              </w:rPr>
              <w:t>შრის</w:t>
            </w:r>
            <w:r w:rsidRPr="00631159">
              <w:rPr>
                <w:sz w:val="18"/>
              </w:rPr>
              <w:t xml:space="preserve"> </w:t>
            </w:r>
            <w:r w:rsidRPr="00631159">
              <w:rPr>
                <w:rFonts w:ascii="Sylfaen" w:hAnsi="Sylfaen" w:cs="Sylfaen"/>
                <w:sz w:val="18"/>
              </w:rPr>
              <w:t>დაზიანება</w:t>
            </w:r>
            <w:r w:rsidRPr="00631159">
              <w:rPr>
                <w:sz w:val="18"/>
              </w:rPr>
              <w:t>);</w:t>
            </w:r>
          </w:p>
          <w:p w14:paraId="1AFB5648" w14:textId="77777777" w:rsidR="00A2588D" w:rsidRPr="00631159" w:rsidRDefault="00A2588D" w:rsidP="00A2588D">
            <w:pPr>
              <w:rPr>
                <w:sz w:val="18"/>
              </w:rPr>
            </w:pPr>
            <w:r w:rsidRPr="00631159">
              <w:rPr>
                <w:rFonts w:ascii="Sylfaen" w:hAnsi="Sylfaen" w:cs="Sylfaen"/>
                <w:sz w:val="18"/>
              </w:rPr>
              <w:t>საჭიროა</w:t>
            </w:r>
            <w:r w:rsidRPr="00631159">
              <w:rPr>
                <w:sz w:val="18"/>
              </w:rPr>
              <w:t xml:space="preserve"> </w:t>
            </w:r>
            <w:r w:rsidRPr="00631159">
              <w:rPr>
                <w:rFonts w:ascii="Sylfaen" w:hAnsi="Sylfaen" w:cs="Sylfaen"/>
                <w:sz w:val="18"/>
              </w:rPr>
              <w:t>დაშავებული</w:t>
            </w:r>
            <w:r w:rsidRPr="00631159">
              <w:rPr>
                <w:sz w:val="18"/>
              </w:rPr>
              <w:t xml:space="preserve"> </w:t>
            </w:r>
            <w:r w:rsidRPr="00631159">
              <w:rPr>
                <w:rFonts w:ascii="Sylfaen" w:hAnsi="Sylfaen" w:cs="Sylfaen"/>
                <w:sz w:val="18"/>
              </w:rPr>
              <w:t>პერსონალის</w:t>
            </w:r>
            <w:r w:rsidRPr="00631159">
              <w:rPr>
                <w:sz w:val="18"/>
              </w:rPr>
              <w:t xml:space="preserve"> </w:t>
            </w:r>
            <w:r w:rsidRPr="00631159">
              <w:rPr>
                <w:rFonts w:ascii="Sylfaen" w:hAnsi="Sylfaen" w:cs="Sylfaen"/>
                <w:sz w:val="18"/>
              </w:rPr>
              <w:t>გადაყვანა</w:t>
            </w:r>
            <w:r w:rsidRPr="00631159">
              <w:rPr>
                <w:sz w:val="18"/>
              </w:rPr>
              <w:t xml:space="preserve"> </w:t>
            </w:r>
            <w:r w:rsidRPr="00631159">
              <w:rPr>
                <w:rFonts w:ascii="Sylfaen" w:hAnsi="Sylfaen" w:cs="Sylfaen"/>
                <w:sz w:val="18"/>
              </w:rPr>
              <w:t>სამედიცინო</w:t>
            </w:r>
            <w:r w:rsidRPr="00631159">
              <w:rPr>
                <w:sz w:val="18"/>
              </w:rPr>
              <w:t xml:space="preserve"> </w:t>
            </w:r>
            <w:r w:rsidRPr="00631159">
              <w:rPr>
                <w:rFonts w:ascii="Sylfaen" w:hAnsi="Sylfaen" w:cs="Sylfaen"/>
                <w:sz w:val="18"/>
              </w:rPr>
              <w:t>დაწესებულებაში</w:t>
            </w:r>
          </w:p>
        </w:tc>
        <w:tc>
          <w:tcPr>
            <w:tcW w:w="4395" w:type="dxa"/>
            <w:tcBorders>
              <w:top w:val="single" w:sz="4" w:space="0" w:color="auto"/>
              <w:left w:val="single" w:sz="4" w:space="0" w:color="auto"/>
              <w:bottom w:val="single" w:sz="4" w:space="0" w:color="auto"/>
              <w:right w:val="single" w:sz="4" w:space="0" w:color="auto"/>
            </w:tcBorders>
            <w:vAlign w:val="center"/>
            <w:hideMark/>
          </w:tcPr>
          <w:p w14:paraId="3729C8AC" w14:textId="77777777" w:rsidR="00A2588D" w:rsidRPr="00631159" w:rsidRDefault="00A2588D" w:rsidP="00A2588D">
            <w:pPr>
              <w:rPr>
                <w:sz w:val="18"/>
              </w:rPr>
            </w:pPr>
            <w:r w:rsidRPr="00631159">
              <w:rPr>
                <w:rFonts w:ascii="Sylfaen" w:hAnsi="Sylfaen" w:cs="Sylfaen"/>
                <w:sz w:val="18"/>
              </w:rPr>
              <w:t>ტრავმატიზმის</w:t>
            </w:r>
            <w:r w:rsidRPr="00631159">
              <w:rPr>
                <w:sz w:val="18"/>
              </w:rPr>
              <w:t xml:space="preserve"> </w:t>
            </w:r>
            <w:r w:rsidRPr="00631159">
              <w:rPr>
                <w:rFonts w:ascii="Sylfaen" w:hAnsi="Sylfaen" w:cs="Sylfaen"/>
                <w:sz w:val="18"/>
              </w:rPr>
              <w:t>რამდენიმე</w:t>
            </w:r>
            <w:r w:rsidRPr="00631159">
              <w:rPr>
                <w:sz w:val="18"/>
              </w:rPr>
              <w:t xml:space="preserve"> </w:t>
            </w:r>
            <w:r w:rsidRPr="00631159">
              <w:rPr>
                <w:rFonts w:ascii="Sylfaen" w:hAnsi="Sylfaen" w:cs="Sylfaen"/>
                <w:sz w:val="18"/>
              </w:rPr>
              <w:t>შემთხვევა</w:t>
            </w:r>
            <w:r w:rsidRPr="00631159">
              <w:rPr>
                <w:sz w:val="18"/>
              </w:rPr>
              <w:t>;</w:t>
            </w:r>
          </w:p>
          <w:p w14:paraId="59043105" w14:textId="77777777" w:rsidR="00A2588D" w:rsidRPr="00631159" w:rsidRDefault="00A2588D" w:rsidP="00A2588D">
            <w:pPr>
              <w:rPr>
                <w:sz w:val="18"/>
              </w:rPr>
            </w:pPr>
            <w:r w:rsidRPr="00631159">
              <w:rPr>
                <w:rFonts w:ascii="Sylfaen" w:hAnsi="Sylfaen" w:cs="Sylfaen"/>
                <w:sz w:val="18"/>
              </w:rPr>
              <w:t>მომსახურე</w:t>
            </w:r>
            <w:r w:rsidRPr="00631159">
              <w:rPr>
                <w:sz w:val="18"/>
              </w:rPr>
              <w:t xml:space="preserve"> </w:t>
            </w:r>
            <w:r w:rsidRPr="00631159">
              <w:rPr>
                <w:rFonts w:ascii="Sylfaen" w:hAnsi="Sylfaen" w:cs="Sylfaen"/>
                <w:sz w:val="18"/>
              </w:rPr>
              <w:t>პერსონალის</w:t>
            </w:r>
            <w:r w:rsidRPr="00631159">
              <w:rPr>
                <w:sz w:val="18"/>
              </w:rPr>
              <w:t>;</w:t>
            </w:r>
          </w:p>
          <w:p w14:paraId="10D9720C" w14:textId="77777777" w:rsidR="00A2588D" w:rsidRPr="00631159" w:rsidRDefault="00A2588D" w:rsidP="00A2588D">
            <w:pPr>
              <w:rPr>
                <w:sz w:val="18"/>
              </w:rPr>
            </w:pPr>
            <w:r w:rsidRPr="00631159">
              <w:rPr>
                <w:rFonts w:ascii="Sylfaen" w:hAnsi="Sylfaen" w:cs="Sylfaen"/>
                <w:sz w:val="18"/>
              </w:rPr>
              <w:t>ძლიერი</w:t>
            </w:r>
            <w:r w:rsidRPr="00631159">
              <w:rPr>
                <w:sz w:val="18"/>
              </w:rPr>
              <w:t xml:space="preserve"> </w:t>
            </w:r>
            <w:r w:rsidRPr="00631159">
              <w:rPr>
                <w:rFonts w:ascii="Sylfaen" w:hAnsi="Sylfaen" w:cs="Sylfaen"/>
                <w:sz w:val="18"/>
              </w:rPr>
              <w:t>მოტეხილობა</w:t>
            </w:r>
          </w:p>
          <w:p w14:paraId="00F8F90D" w14:textId="77777777" w:rsidR="00A2588D" w:rsidRPr="00631159" w:rsidRDefault="00A2588D" w:rsidP="00A2588D">
            <w:pPr>
              <w:rPr>
                <w:sz w:val="18"/>
              </w:rPr>
            </w:pPr>
            <w:r w:rsidRPr="00631159">
              <w:rPr>
                <w:sz w:val="18"/>
              </w:rPr>
              <w:t xml:space="preserve">III </w:t>
            </w:r>
            <w:r w:rsidRPr="00631159">
              <w:rPr>
                <w:rFonts w:ascii="Sylfaen" w:hAnsi="Sylfaen" w:cs="Sylfaen"/>
                <w:sz w:val="18"/>
              </w:rPr>
              <w:t>და</w:t>
            </w:r>
            <w:r w:rsidRPr="00631159">
              <w:rPr>
                <w:sz w:val="18"/>
              </w:rPr>
              <w:t xml:space="preserve"> IV </w:t>
            </w:r>
            <w:r w:rsidRPr="00631159">
              <w:rPr>
                <w:rFonts w:ascii="Sylfaen" w:hAnsi="Sylfaen" w:cs="Sylfaen"/>
                <w:sz w:val="18"/>
              </w:rPr>
              <w:t>ხარისხის</w:t>
            </w:r>
            <w:r w:rsidRPr="00631159">
              <w:rPr>
                <w:sz w:val="18"/>
              </w:rPr>
              <w:t xml:space="preserve"> </w:t>
            </w:r>
            <w:r w:rsidRPr="00631159">
              <w:rPr>
                <w:rFonts w:ascii="Sylfaen" w:hAnsi="Sylfaen" w:cs="Sylfaen"/>
                <w:sz w:val="18"/>
              </w:rPr>
              <w:t>დამწვრობა</w:t>
            </w:r>
            <w:r w:rsidRPr="00631159">
              <w:rPr>
                <w:sz w:val="18"/>
              </w:rPr>
              <w:t xml:space="preserve"> (</w:t>
            </w:r>
            <w:r w:rsidRPr="00631159">
              <w:rPr>
                <w:rFonts w:ascii="Sylfaen" w:hAnsi="Sylfaen" w:cs="Sylfaen"/>
                <w:sz w:val="18"/>
              </w:rPr>
              <w:t>კანის</w:t>
            </w:r>
            <w:r w:rsidRPr="00631159">
              <w:rPr>
                <w:sz w:val="18"/>
              </w:rPr>
              <w:t xml:space="preserve">, </w:t>
            </w:r>
            <w:r w:rsidRPr="00631159">
              <w:rPr>
                <w:rFonts w:ascii="Sylfaen" w:hAnsi="Sylfaen" w:cs="Sylfaen"/>
                <w:sz w:val="18"/>
              </w:rPr>
              <w:t>მის</w:t>
            </w:r>
            <w:r w:rsidRPr="00631159">
              <w:rPr>
                <w:sz w:val="18"/>
              </w:rPr>
              <w:t xml:space="preserve"> </w:t>
            </w:r>
            <w:r w:rsidRPr="00631159">
              <w:rPr>
                <w:rFonts w:ascii="Sylfaen" w:hAnsi="Sylfaen" w:cs="Sylfaen"/>
                <w:sz w:val="18"/>
              </w:rPr>
              <w:t>ქვეშ</w:t>
            </w:r>
            <w:r w:rsidRPr="00631159">
              <w:rPr>
                <w:sz w:val="18"/>
              </w:rPr>
              <w:t xml:space="preserve"> </w:t>
            </w:r>
            <w:r w:rsidRPr="00631159">
              <w:rPr>
                <w:rFonts w:ascii="Sylfaen" w:hAnsi="Sylfaen" w:cs="Sylfaen"/>
                <w:sz w:val="18"/>
              </w:rPr>
              <w:t>მდებარე</w:t>
            </w:r>
            <w:r w:rsidRPr="00631159">
              <w:rPr>
                <w:sz w:val="18"/>
              </w:rPr>
              <w:t xml:space="preserve"> </w:t>
            </w:r>
            <w:r w:rsidRPr="00631159">
              <w:rPr>
                <w:rFonts w:ascii="Sylfaen" w:hAnsi="Sylfaen" w:cs="Sylfaen"/>
                <w:sz w:val="18"/>
              </w:rPr>
              <w:t>ქსოვილების</w:t>
            </w:r>
            <w:r w:rsidRPr="00631159">
              <w:rPr>
                <w:sz w:val="18"/>
              </w:rPr>
              <w:t xml:space="preserve"> </w:t>
            </w:r>
            <w:r w:rsidRPr="00631159">
              <w:rPr>
                <w:rFonts w:ascii="Sylfaen" w:hAnsi="Sylfaen" w:cs="Sylfaen"/>
                <w:sz w:val="18"/>
              </w:rPr>
              <w:t>და</w:t>
            </w:r>
            <w:r w:rsidRPr="00631159">
              <w:rPr>
                <w:sz w:val="18"/>
              </w:rPr>
              <w:t xml:space="preserve"> </w:t>
            </w:r>
            <w:r w:rsidRPr="00631159">
              <w:rPr>
                <w:rFonts w:ascii="Sylfaen" w:hAnsi="Sylfaen" w:cs="Sylfaen"/>
                <w:sz w:val="18"/>
              </w:rPr>
              <w:t>კუნთების</w:t>
            </w:r>
            <w:r w:rsidRPr="00631159">
              <w:rPr>
                <w:sz w:val="18"/>
              </w:rPr>
              <w:t xml:space="preserve"> </w:t>
            </w:r>
            <w:r w:rsidRPr="00631159">
              <w:rPr>
                <w:rFonts w:ascii="Sylfaen" w:hAnsi="Sylfaen" w:cs="Sylfaen"/>
                <w:sz w:val="18"/>
              </w:rPr>
              <w:t>დაზიანება</w:t>
            </w:r>
            <w:r w:rsidRPr="00631159">
              <w:rPr>
                <w:sz w:val="18"/>
              </w:rPr>
              <w:t>);</w:t>
            </w:r>
          </w:p>
          <w:p w14:paraId="6A770E29" w14:textId="77777777" w:rsidR="00A2588D" w:rsidRPr="00631159" w:rsidRDefault="00A2588D" w:rsidP="00A2588D">
            <w:pPr>
              <w:rPr>
                <w:sz w:val="18"/>
              </w:rPr>
            </w:pPr>
            <w:r w:rsidRPr="00631159">
              <w:rPr>
                <w:rFonts w:ascii="Sylfaen" w:hAnsi="Sylfaen" w:cs="Sylfaen"/>
                <w:sz w:val="18"/>
              </w:rPr>
              <w:t>საჭიროა</w:t>
            </w:r>
            <w:r w:rsidRPr="00631159">
              <w:rPr>
                <w:sz w:val="18"/>
              </w:rPr>
              <w:t xml:space="preserve"> </w:t>
            </w:r>
            <w:r w:rsidRPr="00631159">
              <w:rPr>
                <w:rFonts w:ascii="Sylfaen" w:hAnsi="Sylfaen" w:cs="Sylfaen"/>
                <w:sz w:val="18"/>
              </w:rPr>
              <w:t>დაშავებული</w:t>
            </w:r>
            <w:r w:rsidRPr="00631159">
              <w:rPr>
                <w:sz w:val="18"/>
              </w:rPr>
              <w:t xml:space="preserve"> </w:t>
            </w:r>
            <w:r w:rsidRPr="00631159">
              <w:rPr>
                <w:rFonts w:ascii="Sylfaen" w:hAnsi="Sylfaen" w:cs="Sylfaen"/>
                <w:sz w:val="18"/>
              </w:rPr>
              <w:t>პერსონალის</w:t>
            </w:r>
            <w:r w:rsidRPr="00631159">
              <w:rPr>
                <w:sz w:val="18"/>
              </w:rPr>
              <w:t xml:space="preserve"> </w:t>
            </w:r>
            <w:r w:rsidRPr="00631159">
              <w:rPr>
                <w:rFonts w:ascii="Sylfaen" w:hAnsi="Sylfaen" w:cs="Sylfaen"/>
                <w:sz w:val="18"/>
              </w:rPr>
              <w:t>გადაყვანა</w:t>
            </w:r>
            <w:r w:rsidRPr="00631159">
              <w:rPr>
                <w:sz w:val="18"/>
              </w:rPr>
              <w:t xml:space="preserve"> </w:t>
            </w:r>
            <w:r w:rsidRPr="00631159">
              <w:rPr>
                <w:rFonts w:ascii="Sylfaen" w:hAnsi="Sylfaen" w:cs="Sylfaen"/>
                <w:sz w:val="18"/>
              </w:rPr>
              <w:t>რეგიონული</w:t>
            </w:r>
            <w:r w:rsidRPr="00631159">
              <w:rPr>
                <w:sz w:val="18"/>
              </w:rPr>
              <w:t xml:space="preserve"> </w:t>
            </w:r>
            <w:r w:rsidRPr="00631159">
              <w:rPr>
                <w:rFonts w:ascii="Sylfaen" w:hAnsi="Sylfaen" w:cs="Sylfaen"/>
                <w:sz w:val="18"/>
              </w:rPr>
              <w:t>ან</w:t>
            </w:r>
            <w:r w:rsidRPr="00631159">
              <w:rPr>
                <w:sz w:val="18"/>
              </w:rPr>
              <w:t xml:space="preserve"> </w:t>
            </w:r>
            <w:r w:rsidRPr="00631159">
              <w:rPr>
                <w:rFonts w:ascii="Sylfaen" w:hAnsi="Sylfaen" w:cs="Sylfaen"/>
                <w:sz w:val="18"/>
              </w:rPr>
              <w:t>თბილისის</w:t>
            </w:r>
            <w:r w:rsidRPr="00631159">
              <w:rPr>
                <w:sz w:val="18"/>
              </w:rPr>
              <w:t xml:space="preserve"> </w:t>
            </w:r>
            <w:r w:rsidRPr="00631159">
              <w:rPr>
                <w:rFonts w:ascii="Sylfaen" w:hAnsi="Sylfaen" w:cs="Sylfaen"/>
                <w:sz w:val="18"/>
              </w:rPr>
              <w:t>შესაბამისი</w:t>
            </w:r>
            <w:r w:rsidRPr="00631159">
              <w:rPr>
                <w:sz w:val="18"/>
              </w:rPr>
              <w:t xml:space="preserve"> </w:t>
            </w:r>
            <w:r w:rsidRPr="00631159">
              <w:rPr>
                <w:rFonts w:ascii="Sylfaen" w:hAnsi="Sylfaen" w:cs="Sylfaen"/>
                <w:sz w:val="18"/>
              </w:rPr>
              <w:t>პროფილის</w:t>
            </w:r>
            <w:r w:rsidRPr="00631159">
              <w:rPr>
                <w:sz w:val="18"/>
              </w:rPr>
              <w:t xml:space="preserve"> </w:t>
            </w:r>
            <w:r w:rsidRPr="00631159">
              <w:rPr>
                <w:rFonts w:ascii="Sylfaen" w:hAnsi="Sylfaen" w:cs="Sylfaen"/>
                <w:sz w:val="18"/>
              </w:rPr>
              <w:t>მქონე</w:t>
            </w:r>
            <w:r w:rsidRPr="00631159">
              <w:rPr>
                <w:sz w:val="18"/>
              </w:rPr>
              <w:t xml:space="preserve"> </w:t>
            </w:r>
            <w:r w:rsidRPr="00631159">
              <w:rPr>
                <w:rFonts w:ascii="Sylfaen" w:hAnsi="Sylfaen" w:cs="Sylfaen"/>
                <w:sz w:val="18"/>
              </w:rPr>
              <w:t>სამედიცინო</w:t>
            </w:r>
            <w:r w:rsidRPr="00631159">
              <w:rPr>
                <w:sz w:val="18"/>
              </w:rPr>
              <w:t xml:space="preserve"> </w:t>
            </w:r>
            <w:r w:rsidRPr="00631159">
              <w:rPr>
                <w:rFonts w:ascii="Sylfaen" w:hAnsi="Sylfaen" w:cs="Sylfaen"/>
                <w:sz w:val="18"/>
              </w:rPr>
              <w:t>პუნქტში</w:t>
            </w:r>
            <w:r w:rsidRPr="00631159">
              <w:rPr>
                <w:sz w:val="18"/>
              </w:rPr>
              <w:t>.</w:t>
            </w:r>
          </w:p>
        </w:tc>
      </w:tr>
    </w:tbl>
    <w:p w14:paraId="329EA168" w14:textId="77777777" w:rsidR="00A2588D" w:rsidRPr="00631159" w:rsidRDefault="00A2588D" w:rsidP="00A2588D">
      <w:pPr>
        <w:rPr>
          <w:sz w:val="18"/>
          <w:lang w:val="ka-GE"/>
        </w:rPr>
      </w:pPr>
      <w:r w:rsidRPr="00631159">
        <w:rPr>
          <w:rFonts w:ascii="Sylfaen" w:hAnsi="Sylfaen" w:cs="Sylfaen"/>
          <w:b/>
          <w:sz w:val="18"/>
        </w:rPr>
        <w:t>შენიშვნა</w:t>
      </w:r>
      <w:r w:rsidRPr="00631159">
        <w:rPr>
          <w:b/>
          <w:sz w:val="18"/>
        </w:rPr>
        <w:t>:</w:t>
      </w:r>
      <w:r w:rsidRPr="00631159">
        <w:rPr>
          <w:sz w:val="18"/>
        </w:rPr>
        <w:t xml:space="preserve"> </w:t>
      </w:r>
      <w:r w:rsidRPr="00631159">
        <w:rPr>
          <w:rFonts w:ascii="Sylfaen" w:hAnsi="Sylfaen" w:cs="Sylfaen"/>
          <w:sz w:val="18"/>
        </w:rPr>
        <w:t>პროექტის</w:t>
      </w:r>
      <w:r w:rsidRPr="00631159">
        <w:rPr>
          <w:sz w:val="18"/>
        </w:rPr>
        <w:t xml:space="preserve"> </w:t>
      </w:r>
      <w:r w:rsidRPr="00631159">
        <w:rPr>
          <w:rFonts w:ascii="Sylfaen" w:hAnsi="Sylfaen" w:cs="Sylfaen"/>
          <w:sz w:val="18"/>
        </w:rPr>
        <w:t>მასშტაბებიდან</w:t>
      </w:r>
      <w:r w:rsidRPr="00631159">
        <w:rPr>
          <w:sz w:val="18"/>
        </w:rPr>
        <w:t xml:space="preserve">, </w:t>
      </w:r>
      <w:r w:rsidRPr="00631159">
        <w:rPr>
          <w:rFonts w:ascii="Sylfaen" w:hAnsi="Sylfaen" w:cs="Sylfaen"/>
          <w:sz w:val="18"/>
        </w:rPr>
        <w:t>მისი</w:t>
      </w:r>
      <w:r w:rsidRPr="00631159">
        <w:rPr>
          <w:sz w:val="18"/>
        </w:rPr>
        <w:t xml:space="preserve"> </w:t>
      </w:r>
      <w:r w:rsidRPr="00631159">
        <w:rPr>
          <w:rFonts w:ascii="Sylfaen" w:hAnsi="Sylfaen" w:cs="Sylfaen"/>
          <w:sz w:val="18"/>
        </w:rPr>
        <w:t>განხორციელების</w:t>
      </w:r>
      <w:r w:rsidRPr="00631159">
        <w:rPr>
          <w:sz w:val="18"/>
        </w:rPr>
        <w:t xml:space="preserve"> </w:t>
      </w:r>
      <w:r w:rsidRPr="00631159">
        <w:rPr>
          <w:rFonts w:ascii="Sylfaen" w:hAnsi="Sylfaen" w:cs="Sylfaen"/>
          <w:sz w:val="18"/>
        </w:rPr>
        <w:t>ხანგრძლივობიდან</w:t>
      </w:r>
      <w:r w:rsidRPr="00631159">
        <w:rPr>
          <w:sz w:val="18"/>
        </w:rPr>
        <w:t xml:space="preserve"> </w:t>
      </w:r>
      <w:r w:rsidRPr="00631159">
        <w:rPr>
          <w:rFonts w:ascii="Sylfaen" w:hAnsi="Sylfaen" w:cs="Sylfaen"/>
          <w:sz w:val="18"/>
        </w:rPr>
        <w:t>და</w:t>
      </w:r>
      <w:r w:rsidRPr="00631159">
        <w:rPr>
          <w:sz w:val="18"/>
        </w:rPr>
        <w:t xml:space="preserve"> </w:t>
      </w:r>
      <w:r w:rsidRPr="00631159">
        <w:rPr>
          <w:rFonts w:ascii="Sylfaen" w:hAnsi="Sylfaen" w:cs="Sylfaen"/>
          <w:sz w:val="18"/>
        </w:rPr>
        <w:t>ადგილმდებარეობის</w:t>
      </w:r>
      <w:r w:rsidRPr="00631159">
        <w:rPr>
          <w:sz w:val="18"/>
        </w:rPr>
        <w:t xml:space="preserve"> </w:t>
      </w:r>
      <w:r w:rsidRPr="00631159">
        <w:rPr>
          <w:rFonts w:ascii="Sylfaen" w:hAnsi="Sylfaen" w:cs="Sylfaen"/>
          <w:sz w:val="18"/>
        </w:rPr>
        <w:t>სპეციფიკიდან</w:t>
      </w:r>
      <w:r w:rsidRPr="00631159">
        <w:rPr>
          <w:sz w:val="18"/>
        </w:rPr>
        <w:t xml:space="preserve"> </w:t>
      </w:r>
      <w:r w:rsidRPr="00631159">
        <w:rPr>
          <w:rFonts w:ascii="Sylfaen" w:hAnsi="Sylfaen" w:cs="Sylfaen"/>
          <w:sz w:val="18"/>
        </w:rPr>
        <w:t>გამომდინარე</w:t>
      </w:r>
      <w:r w:rsidRPr="00631159">
        <w:rPr>
          <w:sz w:val="18"/>
        </w:rPr>
        <w:t xml:space="preserve"> </w:t>
      </w:r>
      <w:r w:rsidRPr="00631159">
        <w:rPr>
          <w:rFonts w:ascii="Sylfaen" w:hAnsi="Sylfaen" w:cs="Sylfaen"/>
          <w:sz w:val="18"/>
        </w:rPr>
        <w:t>საქმიანობის</w:t>
      </w:r>
      <w:r w:rsidRPr="00631159">
        <w:rPr>
          <w:sz w:val="18"/>
        </w:rPr>
        <w:t xml:space="preserve"> </w:t>
      </w:r>
      <w:r w:rsidRPr="00631159">
        <w:rPr>
          <w:rFonts w:ascii="Sylfaen" w:hAnsi="Sylfaen" w:cs="Sylfaen"/>
          <w:sz w:val="18"/>
        </w:rPr>
        <w:t>პროცესში</w:t>
      </w:r>
      <w:r w:rsidRPr="00631159">
        <w:rPr>
          <w:sz w:val="18"/>
        </w:rPr>
        <w:t xml:space="preserve"> </w:t>
      </w:r>
      <w:r w:rsidRPr="00631159">
        <w:rPr>
          <w:rFonts w:ascii="Sylfaen" w:hAnsi="Sylfaen" w:cs="Sylfaen"/>
          <w:sz w:val="18"/>
        </w:rPr>
        <w:t>მოსალოდნელია</w:t>
      </w:r>
      <w:r w:rsidRPr="00631159">
        <w:rPr>
          <w:sz w:val="18"/>
        </w:rPr>
        <w:t xml:space="preserve"> </w:t>
      </w:r>
      <w:r w:rsidRPr="00631159">
        <w:rPr>
          <w:rFonts w:ascii="Sylfaen" w:hAnsi="Sylfaen" w:cs="Sylfaen"/>
          <w:sz w:val="18"/>
        </w:rPr>
        <w:t>ძირითადად</w:t>
      </w:r>
      <w:r w:rsidRPr="00631159">
        <w:rPr>
          <w:sz w:val="18"/>
        </w:rPr>
        <w:t xml:space="preserve"> I </w:t>
      </w:r>
      <w:r w:rsidRPr="00631159">
        <w:rPr>
          <w:rFonts w:ascii="Sylfaen" w:hAnsi="Sylfaen" w:cs="Sylfaen"/>
          <w:sz w:val="18"/>
        </w:rPr>
        <w:t>დონის</w:t>
      </w:r>
      <w:r w:rsidRPr="00631159">
        <w:rPr>
          <w:sz w:val="18"/>
        </w:rPr>
        <w:t xml:space="preserve"> </w:t>
      </w:r>
      <w:r w:rsidRPr="00631159">
        <w:rPr>
          <w:rFonts w:ascii="Sylfaen" w:hAnsi="Sylfaen" w:cs="Sylfaen"/>
          <w:sz w:val="18"/>
        </w:rPr>
        <w:t>და</w:t>
      </w:r>
      <w:r w:rsidRPr="00631159">
        <w:rPr>
          <w:sz w:val="18"/>
        </w:rPr>
        <w:t xml:space="preserve"> </w:t>
      </w:r>
      <w:r w:rsidRPr="00631159">
        <w:rPr>
          <w:rFonts w:ascii="Sylfaen" w:hAnsi="Sylfaen" w:cs="Sylfaen"/>
          <w:sz w:val="18"/>
        </w:rPr>
        <w:t>ნაკლები</w:t>
      </w:r>
      <w:r w:rsidRPr="00631159">
        <w:rPr>
          <w:sz w:val="18"/>
        </w:rPr>
        <w:t xml:space="preserve"> </w:t>
      </w:r>
      <w:r w:rsidRPr="00631159">
        <w:rPr>
          <w:rFonts w:ascii="Sylfaen" w:hAnsi="Sylfaen" w:cs="Sylfaen"/>
          <w:sz w:val="18"/>
        </w:rPr>
        <w:t>ალბათობით</w:t>
      </w:r>
      <w:r w:rsidRPr="00631159">
        <w:rPr>
          <w:sz w:val="18"/>
        </w:rPr>
        <w:t xml:space="preserve"> II </w:t>
      </w:r>
      <w:r w:rsidRPr="00631159">
        <w:rPr>
          <w:rFonts w:ascii="Sylfaen" w:hAnsi="Sylfaen" w:cs="Sylfaen"/>
          <w:sz w:val="18"/>
        </w:rPr>
        <w:t>დონის</w:t>
      </w:r>
      <w:r w:rsidRPr="00631159">
        <w:rPr>
          <w:sz w:val="18"/>
        </w:rPr>
        <w:t xml:space="preserve"> </w:t>
      </w:r>
      <w:r w:rsidRPr="00631159">
        <w:rPr>
          <w:rFonts w:ascii="Sylfaen" w:hAnsi="Sylfaen" w:cs="Sylfaen"/>
          <w:sz w:val="18"/>
        </w:rPr>
        <w:t>ავარიული</w:t>
      </w:r>
      <w:r w:rsidRPr="00631159">
        <w:rPr>
          <w:sz w:val="18"/>
        </w:rPr>
        <w:t xml:space="preserve"> </w:t>
      </w:r>
      <w:r w:rsidRPr="00631159">
        <w:rPr>
          <w:rFonts w:ascii="Sylfaen" w:hAnsi="Sylfaen" w:cs="Sylfaen"/>
          <w:sz w:val="18"/>
        </w:rPr>
        <w:t>სიტუაციები</w:t>
      </w:r>
    </w:p>
    <w:p w14:paraId="0AA2E488" w14:textId="77777777" w:rsidR="00A2588D" w:rsidRPr="003D733D" w:rsidRDefault="00A2588D" w:rsidP="00A2588D">
      <w:pPr>
        <w:rPr>
          <w:rFonts w:eastAsiaTheme="majorEastAsia"/>
        </w:rPr>
        <w:sectPr w:rsidR="00A2588D" w:rsidRPr="003D733D">
          <w:pgSz w:w="16839" w:h="11907" w:orient="landscape"/>
          <w:pgMar w:top="1134" w:right="1134" w:bottom="1134" w:left="1134" w:header="448" w:footer="318" w:gutter="0"/>
          <w:cols w:space="720"/>
        </w:sectPr>
      </w:pPr>
    </w:p>
    <w:p w14:paraId="2625EF67" w14:textId="77777777" w:rsidR="00A2588D" w:rsidRPr="00631159" w:rsidRDefault="00A2588D" w:rsidP="00A2588D">
      <w:pPr>
        <w:rPr>
          <w:b/>
          <w:i/>
        </w:rPr>
      </w:pPr>
      <w:bookmarkStart w:id="633" w:name="_Toc416769149"/>
      <w:bookmarkStart w:id="634" w:name="_Toc407201854"/>
      <w:bookmarkStart w:id="635" w:name="_Toc407139086"/>
      <w:bookmarkStart w:id="636" w:name="_Toc337205846"/>
      <w:bookmarkStart w:id="637" w:name="_Toc326839323"/>
      <w:bookmarkStart w:id="638" w:name="_Toc479166591"/>
      <w:bookmarkStart w:id="639" w:name="_Toc479164876"/>
      <w:r w:rsidRPr="00631159">
        <w:rPr>
          <w:rFonts w:ascii="Sylfaen" w:hAnsi="Sylfaen" w:cs="Sylfaen"/>
          <w:b/>
          <w:i/>
        </w:rPr>
        <w:lastRenderedPageBreak/>
        <w:t>ავარიაზე</w:t>
      </w:r>
      <w:r w:rsidRPr="00631159">
        <w:rPr>
          <w:b/>
          <w:i/>
        </w:rPr>
        <w:t xml:space="preserve"> </w:t>
      </w:r>
      <w:r w:rsidRPr="00631159">
        <w:rPr>
          <w:rFonts w:ascii="Sylfaen" w:hAnsi="Sylfaen" w:cs="Sylfaen"/>
          <w:b/>
          <w:i/>
        </w:rPr>
        <w:t>რეაგირება</w:t>
      </w:r>
      <w:bookmarkEnd w:id="633"/>
      <w:bookmarkEnd w:id="634"/>
      <w:bookmarkEnd w:id="635"/>
      <w:bookmarkEnd w:id="636"/>
      <w:bookmarkEnd w:id="637"/>
      <w:bookmarkEnd w:id="638"/>
      <w:bookmarkEnd w:id="639"/>
    </w:p>
    <w:p w14:paraId="185E0C86" w14:textId="77777777" w:rsidR="00A2588D" w:rsidRPr="003D733D" w:rsidRDefault="00A2588D" w:rsidP="00A2588D">
      <w:pPr>
        <w:rPr>
          <w:lang w:val="ka-GE"/>
        </w:rPr>
      </w:pPr>
      <w:r w:rsidRPr="003D733D">
        <w:rPr>
          <w:rFonts w:ascii="Sylfaen" w:hAnsi="Sylfaen" w:cs="Sylfaen"/>
        </w:rPr>
        <w:t>გეგმაში</w:t>
      </w:r>
      <w:r w:rsidRPr="003D733D">
        <w:t xml:space="preserve"> </w:t>
      </w:r>
      <w:r w:rsidRPr="003D733D">
        <w:rPr>
          <w:rFonts w:ascii="Sylfaen" w:hAnsi="Sylfaen" w:cs="Sylfaen"/>
        </w:rPr>
        <w:t>განსაზღვრულია</w:t>
      </w:r>
      <w:r w:rsidRPr="003D733D">
        <w:t xml:space="preserve"> </w:t>
      </w:r>
      <w:r w:rsidRPr="003D733D">
        <w:rPr>
          <w:rFonts w:ascii="Sylfaen" w:hAnsi="Sylfaen" w:cs="Sylfaen"/>
        </w:rPr>
        <w:t>ავარიულ</w:t>
      </w:r>
      <w:r w:rsidRPr="003D733D">
        <w:t xml:space="preserve"> </w:t>
      </w:r>
      <w:r w:rsidRPr="003D733D">
        <w:rPr>
          <w:rFonts w:ascii="Sylfaen" w:hAnsi="Sylfaen" w:cs="Sylfaen"/>
        </w:rPr>
        <w:t>შემთხვევებზე</w:t>
      </w:r>
      <w:r w:rsidRPr="003D733D">
        <w:t xml:space="preserve"> </w:t>
      </w:r>
      <w:r w:rsidRPr="003D733D">
        <w:rPr>
          <w:rFonts w:ascii="Sylfaen" w:hAnsi="Sylfaen" w:cs="Sylfaen"/>
        </w:rPr>
        <w:t>პასუხისმგებელი</w:t>
      </w:r>
      <w:r w:rsidRPr="003D733D">
        <w:t xml:space="preserve"> </w:t>
      </w:r>
      <w:r w:rsidRPr="003D733D">
        <w:rPr>
          <w:rFonts w:ascii="Sylfaen" w:hAnsi="Sylfaen" w:cs="Sylfaen"/>
        </w:rPr>
        <w:t>და</w:t>
      </w:r>
      <w:r w:rsidRPr="003D733D">
        <w:t xml:space="preserve"> </w:t>
      </w:r>
      <w:r w:rsidRPr="003D733D">
        <w:rPr>
          <w:rFonts w:ascii="Sylfaen" w:hAnsi="Sylfaen" w:cs="Sylfaen"/>
        </w:rPr>
        <w:t>უფლებამოსილი</w:t>
      </w:r>
      <w:r w:rsidRPr="003D733D">
        <w:t xml:space="preserve"> </w:t>
      </w:r>
      <w:r w:rsidRPr="003D733D">
        <w:rPr>
          <w:rFonts w:ascii="Sylfaen" w:hAnsi="Sylfaen" w:cs="Sylfaen"/>
        </w:rPr>
        <w:t>პირები</w:t>
      </w:r>
      <w:r w:rsidRPr="003D733D">
        <w:t xml:space="preserve">, </w:t>
      </w:r>
      <w:r w:rsidRPr="003D733D">
        <w:rPr>
          <w:rFonts w:ascii="Sylfaen" w:hAnsi="Sylfaen" w:cs="Sylfaen"/>
        </w:rPr>
        <w:t>ასევე</w:t>
      </w:r>
      <w:r w:rsidRPr="003D733D">
        <w:t xml:space="preserve"> </w:t>
      </w:r>
      <w:r w:rsidRPr="003D733D">
        <w:rPr>
          <w:rFonts w:ascii="Sylfaen" w:hAnsi="Sylfaen" w:cs="Sylfaen"/>
        </w:rPr>
        <w:t>უფლებამოსილების</w:t>
      </w:r>
      <w:r w:rsidRPr="003D733D">
        <w:t xml:space="preserve"> </w:t>
      </w:r>
      <w:r w:rsidRPr="003D733D">
        <w:rPr>
          <w:rFonts w:ascii="Sylfaen" w:hAnsi="Sylfaen" w:cs="Sylfaen"/>
        </w:rPr>
        <w:t>დელეგირებისა</w:t>
      </w:r>
      <w:r w:rsidRPr="003D733D">
        <w:t xml:space="preserve"> </w:t>
      </w:r>
      <w:r w:rsidRPr="003D733D">
        <w:rPr>
          <w:rFonts w:ascii="Sylfaen" w:hAnsi="Sylfaen" w:cs="Sylfaen"/>
        </w:rPr>
        <w:t>და</w:t>
      </w:r>
      <w:r w:rsidRPr="003D733D">
        <w:t xml:space="preserve"> </w:t>
      </w:r>
      <w:r w:rsidRPr="003D733D">
        <w:rPr>
          <w:rFonts w:ascii="Sylfaen" w:hAnsi="Sylfaen" w:cs="Sylfaen"/>
        </w:rPr>
        <w:t>მინიჭების</w:t>
      </w:r>
      <w:r w:rsidRPr="003D733D">
        <w:t xml:space="preserve"> </w:t>
      </w:r>
      <w:r w:rsidRPr="003D733D">
        <w:rPr>
          <w:rFonts w:ascii="Sylfaen" w:hAnsi="Sylfaen" w:cs="Sylfaen"/>
        </w:rPr>
        <w:t>მეთოდი</w:t>
      </w:r>
      <w:r w:rsidRPr="003D733D">
        <w:t xml:space="preserve">. </w:t>
      </w:r>
      <w:r w:rsidRPr="003D733D">
        <w:rPr>
          <w:rFonts w:ascii="Sylfaen" w:hAnsi="Sylfaen" w:cs="Sylfaen"/>
        </w:rPr>
        <w:t>უბნის</w:t>
      </w:r>
      <w:r w:rsidRPr="003D733D">
        <w:t xml:space="preserve"> </w:t>
      </w:r>
      <w:r w:rsidRPr="003D733D">
        <w:rPr>
          <w:rFonts w:ascii="Sylfaen" w:hAnsi="Sylfaen" w:cs="Sylfaen"/>
        </w:rPr>
        <w:t>მოწყობის</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უნდა</w:t>
      </w:r>
      <w:r w:rsidRPr="003D733D">
        <w:t xml:space="preserve"> </w:t>
      </w:r>
      <w:r w:rsidRPr="003D733D">
        <w:rPr>
          <w:rFonts w:ascii="Sylfaen" w:hAnsi="Sylfaen" w:cs="Sylfaen"/>
        </w:rPr>
        <w:t>განისაზღვროს</w:t>
      </w:r>
      <w:r w:rsidRPr="003D733D">
        <w:t xml:space="preserve"> </w:t>
      </w:r>
      <w:r w:rsidRPr="003D733D">
        <w:rPr>
          <w:rFonts w:ascii="Sylfaen" w:hAnsi="Sylfaen" w:cs="Sylfaen"/>
        </w:rPr>
        <w:t>გეგმის</w:t>
      </w:r>
      <w:r w:rsidRPr="003D733D">
        <w:t xml:space="preserve"> </w:t>
      </w:r>
      <w:r w:rsidRPr="003D733D">
        <w:rPr>
          <w:rFonts w:ascii="Sylfaen" w:hAnsi="Sylfaen" w:cs="Sylfaen"/>
        </w:rPr>
        <w:t>ოპერაციების</w:t>
      </w:r>
      <w:r w:rsidRPr="003D733D">
        <w:t xml:space="preserve"> </w:t>
      </w:r>
      <w:r w:rsidRPr="003D733D">
        <w:rPr>
          <w:rFonts w:ascii="Sylfaen" w:hAnsi="Sylfaen" w:cs="Sylfaen"/>
        </w:rPr>
        <w:t>მიმდევრობის</w:t>
      </w:r>
      <w:r w:rsidRPr="003D733D">
        <w:t xml:space="preserve"> </w:t>
      </w:r>
      <w:r w:rsidRPr="003D733D">
        <w:rPr>
          <w:rFonts w:ascii="Sylfaen" w:hAnsi="Sylfaen" w:cs="Sylfaen"/>
        </w:rPr>
        <w:t>სქემით</w:t>
      </w:r>
      <w:r w:rsidRPr="003D733D">
        <w:t xml:space="preserve"> </w:t>
      </w:r>
      <w:r w:rsidRPr="003D733D">
        <w:rPr>
          <w:rFonts w:ascii="Sylfaen" w:hAnsi="Sylfaen" w:cs="Sylfaen"/>
        </w:rPr>
        <w:t>გათვალისწინებული</w:t>
      </w:r>
      <w:r w:rsidRPr="003D733D">
        <w:t xml:space="preserve"> </w:t>
      </w:r>
      <w:r w:rsidRPr="003D733D">
        <w:rPr>
          <w:rFonts w:ascii="Sylfaen" w:hAnsi="Sylfaen" w:cs="Sylfaen"/>
        </w:rPr>
        <w:t>პასუხისმგებელი</w:t>
      </w:r>
      <w:r w:rsidRPr="003D733D">
        <w:t xml:space="preserve"> </w:t>
      </w:r>
      <w:r w:rsidRPr="003D733D">
        <w:rPr>
          <w:rFonts w:ascii="Sylfaen" w:hAnsi="Sylfaen" w:cs="Sylfaen"/>
        </w:rPr>
        <w:t>პირები</w:t>
      </w:r>
      <w:r w:rsidRPr="003D733D">
        <w:t xml:space="preserve"> </w:t>
      </w:r>
      <w:r w:rsidRPr="003D733D">
        <w:rPr>
          <w:rFonts w:ascii="Sylfaen" w:hAnsi="Sylfaen" w:cs="Sylfaen"/>
        </w:rPr>
        <w:t>და</w:t>
      </w:r>
      <w:r w:rsidRPr="003D733D">
        <w:t xml:space="preserve"> </w:t>
      </w:r>
      <w:r w:rsidRPr="003D733D">
        <w:rPr>
          <w:rFonts w:ascii="Sylfaen" w:hAnsi="Sylfaen" w:cs="Sylfaen"/>
        </w:rPr>
        <w:t>მათი</w:t>
      </w:r>
      <w:r w:rsidRPr="003D733D">
        <w:t xml:space="preserve"> </w:t>
      </w:r>
      <w:r w:rsidRPr="003D733D">
        <w:rPr>
          <w:rFonts w:ascii="Sylfaen" w:hAnsi="Sylfaen" w:cs="Sylfaen"/>
        </w:rPr>
        <w:t>თანამდებობა</w:t>
      </w:r>
      <w:r w:rsidRPr="003D733D">
        <w:t xml:space="preserve">. </w:t>
      </w:r>
      <w:r w:rsidRPr="003D733D">
        <w:rPr>
          <w:rFonts w:ascii="Sylfaen" w:hAnsi="Sylfaen" w:cs="Sylfaen"/>
        </w:rPr>
        <w:t>ეს</w:t>
      </w:r>
      <w:r w:rsidRPr="003D733D">
        <w:t xml:space="preserve"> </w:t>
      </w:r>
      <w:r w:rsidRPr="003D733D">
        <w:rPr>
          <w:rFonts w:ascii="Sylfaen" w:hAnsi="Sylfaen" w:cs="Sylfaen"/>
        </w:rPr>
        <w:t>ინფორმაცია</w:t>
      </w:r>
      <w:r w:rsidRPr="003D733D">
        <w:t xml:space="preserve"> </w:t>
      </w:r>
      <w:r w:rsidRPr="003D733D">
        <w:rPr>
          <w:rFonts w:ascii="Sylfaen" w:hAnsi="Sylfaen" w:cs="Sylfaen"/>
        </w:rPr>
        <w:t>უნდა</w:t>
      </w:r>
      <w:r w:rsidRPr="003D733D">
        <w:t xml:space="preserve"> </w:t>
      </w:r>
      <w:r w:rsidRPr="003D733D">
        <w:rPr>
          <w:rFonts w:ascii="Sylfaen" w:hAnsi="Sylfaen" w:cs="Sylfaen"/>
        </w:rPr>
        <w:t>ეცნობოს</w:t>
      </w:r>
      <w:r w:rsidRPr="003D733D">
        <w:t xml:space="preserve"> </w:t>
      </w:r>
      <w:r w:rsidRPr="003D733D">
        <w:rPr>
          <w:rFonts w:ascii="Sylfaen" w:hAnsi="Sylfaen" w:cs="Sylfaen"/>
        </w:rPr>
        <w:t>მშენებელი</w:t>
      </w:r>
      <w:r w:rsidRPr="003D733D">
        <w:t xml:space="preserve"> </w:t>
      </w:r>
      <w:r w:rsidRPr="003D733D">
        <w:rPr>
          <w:rFonts w:ascii="Sylfaen" w:hAnsi="Sylfaen" w:cs="Sylfaen"/>
        </w:rPr>
        <w:t>კონტრაქტორის</w:t>
      </w:r>
      <w:r w:rsidRPr="003D733D">
        <w:t xml:space="preserve"> </w:t>
      </w:r>
      <w:r w:rsidRPr="003D733D">
        <w:rPr>
          <w:rFonts w:ascii="Sylfaen" w:hAnsi="Sylfaen" w:cs="Sylfaen"/>
        </w:rPr>
        <w:t>მენეჯმენტს</w:t>
      </w:r>
      <w:r w:rsidRPr="003D733D">
        <w:t xml:space="preserve">. </w:t>
      </w:r>
    </w:p>
    <w:p w14:paraId="6B133CCE" w14:textId="77777777" w:rsidR="00A2588D" w:rsidRPr="003D733D" w:rsidRDefault="00A2588D" w:rsidP="00A2588D">
      <w:r w:rsidRPr="003D733D">
        <w:rPr>
          <w:rFonts w:ascii="Sylfaen" w:hAnsi="Sylfaen" w:cs="Sylfaen"/>
        </w:rPr>
        <w:t>კერძოდ</w:t>
      </w:r>
      <w:r w:rsidRPr="003D733D">
        <w:t xml:space="preserve"> </w:t>
      </w:r>
      <w:r w:rsidRPr="003D733D">
        <w:rPr>
          <w:rFonts w:ascii="Sylfaen" w:hAnsi="Sylfaen" w:cs="Sylfaen"/>
        </w:rPr>
        <w:t>კი</w:t>
      </w:r>
      <w:r w:rsidRPr="003D733D">
        <w:t xml:space="preserve">, </w:t>
      </w:r>
      <w:r w:rsidRPr="003D733D">
        <w:rPr>
          <w:rFonts w:ascii="Sylfaen" w:hAnsi="Sylfaen" w:cs="Sylfaen"/>
        </w:rPr>
        <w:t>ავარიაზე</w:t>
      </w:r>
      <w:r w:rsidRPr="003D733D">
        <w:t xml:space="preserve"> </w:t>
      </w:r>
      <w:r w:rsidRPr="003D733D">
        <w:rPr>
          <w:rFonts w:ascii="Sylfaen" w:hAnsi="Sylfaen" w:cs="Sylfaen"/>
        </w:rPr>
        <w:t>რეაგირების</w:t>
      </w:r>
      <w:r w:rsidRPr="003D733D">
        <w:t xml:space="preserve"> </w:t>
      </w:r>
      <w:r w:rsidRPr="003D733D">
        <w:rPr>
          <w:rFonts w:ascii="Sylfaen" w:hAnsi="Sylfaen" w:cs="Sylfaen"/>
        </w:rPr>
        <w:t>ფარგლებში</w:t>
      </w:r>
      <w:r w:rsidRPr="003D733D">
        <w:t xml:space="preserve"> </w:t>
      </w:r>
      <w:r w:rsidRPr="003D733D">
        <w:rPr>
          <w:rFonts w:ascii="Sylfaen" w:hAnsi="Sylfaen" w:cs="Sylfaen"/>
        </w:rPr>
        <w:t>საჭიროა</w:t>
      </w:r>
      <w:r w:rsidRPr="003D733D">
        <w:t xml:space="preserve"> </w:t>
      </w:r>
      <w:r w:rsidRPr="003D733D">
        <w:rPr>
          <w:rFonts w:ascii="Sylfaen" w:hAnsi="Sylfaen" w:cs="Sylfaen"/>
        </w:rPr>
        <w:t>შემდეგი</w:t>
      </w:r>
      <w:r w:rsidRPr="003D733D">
        <w:t xml:space="preserve"> </w:t>
      </w:r>
      <w:r w:rsidRPr="003D733D">
        <w:rPr>
          <w:rFonts w:ascii="Sylfaen" w:hAnsi="Sylfaen" w:cs="Sylfaen"/>
        </w:rPr>
        <w:t>ზომების</w:t>
      </w:r>
      <w:r w:rsidRPr="003D733D">
        <w:t xml:space="preserve"> </w:t>
      </w:r>
      <w:r w:rsidRPr="003D733D">
        <w:rPr>
          <w:rFonts w:ascii="Sylfaen" w:hAnsi="Sylfaen" w:cs="Sylfaen"/>
        </w:rPr>
        <w:t>გატარება</w:t>
      </w:r>
      <w:r w:rsidRPr="003D733D">
        <w:t xml:space="preserve">: </w:t>
      </w:r>
    </w:p>
    <w:p w14:paraId="5C1099A7" w14:textId="77777777" w:rsidR="00A2588D" w:rsidRPr="003D733D" w:rsidRDefault="00A2588D" w:rsidP="00A2588D">
      <w:r w:rsidRPr="003D733D">
        <w:rPr>
          <w:rFonts w:ascii="Sylfaen" w:hAnsi="Sylfaen" w:cs="Sylfaen"/>
        </w:rPr>
        <w:t>ავარიულ</w:t>
      </w:r>
      <w:r w:rsidRPr="003D733D">
        <w:t xml:space="preserve"> </w:t>
      </w:r>
      <w:r w:rsidRPr="003D733D">
        <w:rPr>
          <w:rFonts w:ascii="Sylfaen" w:hAnsi="Sylfaen" w:cs="Sylfaen"/>
        </w:rPr>
        <w:t>შემთხვევებში</w:t>
      </w:r>
      <w:r w:rsidRPr="003D733D">
        <w:t xml:space="preserve"> </w:t>
      </w:r>
      <w:r w:rsidRPr="003D733D">
        <w:rPr>
          <w:rFonts w:ascii="Sylfaen" w:hAnsi="Sylfaen" w:cs="Sylfaen"/>
        </w:rPr>
        <w:t>უნდა</w:t>
      </w:r>
      <w:r w:rsidRPr="003D733D">
        <w:t xml:space="preserve"> </w:t>
      </w:r>
      <w:r w:rsidRPr="003D733D">
        <w:rPr>
          <w:rFonts w:ascii="Sylfaen" w:hAnsi="Sylfaen" w:cs="Sylfaen"/>
        </w:rPr>
        <w:t>შეიქმნას</w:t>
      </w:r>
      <w:r w:rsidRPr="003D733D">
        <w:t xml:space="preserve"> </w:t>
      </w:r>
      <w:r w:rsidRPr="003D733D">
        <w:rPr>
          <w:rFonts w:ascii="Sylfaen" w:hAnsi="Sylfaen" w:cs="Sylfaen"/>
        </w:rPr>
        <w:t>რაზმი</w:t>
      </w:r>
      <w:r w:rsidRPr="003D733D">
        <w:t xml:space="preserve">, </w:t>
      </w:r>
      <w:r w:rsidRPr="003D733D">
        <w:rPr>
          <w:rFonts w:ascii="Sylfaen" w:hAnsi="Sylfaen" w:cs="Sylfaen"/>
        </w:rPr>
        <w:t>რომლის</w:t>
      </w:r>
      <w:r w:rsidRPr="003D733D">
        <w:t xml:space="preserve"> </w:t>
      </w:r>
      <w:r w:rsidRPr="003D733D">
        <w:rPr>
          <w:rFonts w:ascii="Sylfaen" w:hAnsi="Sylfaen" w:cs="Sylfaen"/>
        </w:rPr>
        <w:t>დავალება</w:t>
      </w:r>
      <w:r w:rsidRPr="003D733D">
        <w:t xml:space="preserve"> </w:t>
      </w:r>
      <w:r w:rsidRPr="003D733D">
        <w:rPr>
          <w:rFonts w:ascii="Sylfaen" w:hAnsi="Sylfaen" w:cs="Sylfaen"/>
        </w:rPr>
        <w:t>და</w:t>
      </w:r>
      <w:r w:rsidRPr="003D733D">
        <w:t xml:space="preserve"> </w:t>
      </w:r>
      <w:r w:rsidRPr="003D733D">
        <w:rPr>
          <w:rFonts w:ascii="Sylfaen" w:hAnsi="Sylfaen" w:cs="Sylfaen"/>
        </w:rPr>
        <w:t>დანიშნულება</w:t>
      </w:r>
      <w:r w:rsidRPr="003D733D">
        <w:t xml:space="preserve"> </w:t>
      </w:r>
      <w:r w:rsidRPr="003D733D">
        <w:rPr>
          <w:rFonts w:ascii="Sylfaen" w:hAnsi="Sylfaen" w:cs="Sylfaen"/>
        </w:rPr>
        <w:t>წინასწარაა</w:t>
      </w:r>
      <w:r w:rsidRPr="003D733D">
        <w:t xml:space="preserve"> </w:t>
      </w:r>
      <w:r w:rsidRPr="003D733D">
        <w:rPr>
          <w:rFonts w:ascii="Sylfaen" w:hAnsi="Sylfaen" w:cs="Sylfaen"/>
        </w:rPr>
        <w:t>განსაზღვრული</w:t>
      </w:r>
      <w:r w:rsidRPr="003D733D">
        <w:t xml:space="preserve">. </w:t>
      </w:r>
    </w:p>
    <w:p w14:paraId="03E38E63" w14:textId="77777777" w:rsidR="00A2588D" w:rsidRPr="003D733D" w:rsidRDefault="00A2588D" w:rsidP="00A2588D">
      <w:r w:rsidRPr="003D733D">
        <w:rPr>
          <w:rFonts w:ascii="Sylfaen" w:hAnsi="Sylfaen" w:cs="Sylfaen"/>
        </w:rPr>
        <w:t>ხანძრის</w:t>
      </w:r>
      <w:r w:rsidRPr="003D733D">
        <w:t xml:space="preserve"> </w:t>
      </w:r>
      <w:r w:rsidRPr="003D733D">
        <w:rPr>
          <w:rFonts w:ascii="Sylfaen" w:hAnsi="Sylfaen" w:cs="Sylfaen"/>
        </w:rPr>
        <w:t>ჩაქრობის</w:t>
      </w:r>
      <w:r w:rsidRPr="003D733D">
        <w:t xml:space="preserve"> </w:t>
      </w:r>
      <w:r w:rsidRPr="003D733D">
        <w:rPr>
          <w:rFonts w:ascii="Sylfaen" w:hAnsi="Sylfaen" w:cs="Sylfaen"/>
        </w:rPr>
        <w:t>ოპერაციებისთვის</w:t>
      </w:r>
      <w:r w:rsidRPr="003D733D">
        <w:t xml:space="preserve"> </w:t>
      </w:r>
      <w:r w:rsidRPr="003D733D">
        <w:rPr>
          <w:rFonts w:ascii="Sylfaen" w:hAnsi="Sylfaen" w:cs="Sylfaen"/>
        </w:rPr>
        <w:t>ამოცანები</w:t>
      </w:r>
      <w:r w:rsidRPr="003D733D">
        <w:t xml:space="preserve"> </w:t>
      </w:r>
      <w:r w:rsidRPr="003D733D">
        <w:rPr>
          <w:rFonts w:ascii="Sylfaen" w:hAnsi="Sylfaen" w:cs="Sylfaen"/>
        </w:rPr>
        <w:t>წინასწარ</w:t>
      </w:r>
      <w:r w:rsidRPr="003D733D">
        <w:t xml:space="preserve"> </w:t>
      </w:r>
      <w:r w:rsidRPr="003D733D">
        <w:rPr>
          <w:rFonts w:ascii="Sylfaen" w:hAnsi="Sylfaen" w:cs="Sylfaen"/>
        </w:rPr>
        <w:t>უნდა</w:t>
      </w:r>
      <w:r w:rsidRPr="003D733D">
        <w:t xml:space="preserve"> </w:t>
      </w:r>
      <w:r w:rsidRPr="003D733D">
        <w:rPr>
          <w:rFonts w:ascii="Sylfaen" w:hAnsi="Sylfaen" w:cs="Sylfaen"/>
        </w:rPr>
        <w:t>განისაზღვროს</w:t>
      </w:r>
      <w:r w:rsidRPr="003D733D">
        <w:t xml:space="preserve">. </w:t>
      </w:r>
      <w:r w:rsidRPr="003D733D">
        <w:rPr>
          <w:rFonts w:ascii="Sylfaen" w:hAnsi="Sylfaen" w:cs="Sylfaen"/>
        </w:rPr>
        <w:t>გატარებული</w:t>
      </w:r>
      <w:r w:rsidRPr="003D733D">
        <w:t xml:space="preserve"> </w:t>
      </w:r>
      <w:r w:rsidRPr="003D733D">
        <w:rPr>
          <w:rFonts w:ascii="Sylfaen" w:hAnsi="Sylfaen" w:cs="Sylfaen"/>
        </w:rPr>
        <w:t>ზომების</w:t>
      </w:r>
      <w:r w:rsidRPr="003D733D">
        <w:t xml:space="preserve"> </w:t>
      </w:r>
      <w:r w:rsidRPr="003D733D">
        <w:rPr>
          <w:rFonts w:ascii="Sylfaen" w:hAnsi="Sylfaen" w:cs="Sylfaen"/>
        </w:rPr>
        <w:t>მონიტორინგი</w:t>
      </w:r>
      <w:r w:rsidRPr="003D733D">
        <w:t xml:space="preserve"> </w:t>
      </w:r>
      <w:r w:rsidRPr="003D733D">
        <w:rPr>
          <w:rFonts w:ascii="Sylfaen" w:hAnsi="Sylfaen" w:cs="Sylfaen"/>
        </w:rPr>
        <w:t>უნდა</w:t>
      </w:r>
      <w:r w:rsidRPr="003D733D">
        <w:t xml:space="preserve"> </w:t>
      </w:r>
      <w:r w:rsidRPr="003D733D">
        <w:rPr>
          <w:rFonts w:ascii="Sylfaen" w:hAnsi="Sylfaen" w:cs="Sylfaen"/>
        </w:rPr>
        <w:t>მოხდეს</w:t>
      </w:r>
      <w:r w:rsidRPr="003D733D">
        <w:t xml:space="preserve"> </w:t>
      </w:r>
      <w:r w:rsidRPr="003D733D">
        <w:rPr>
          <w:rFonts w:ascii="Sylfaen" w:hAnsi="Sylfaen" w:cs="Sylfaen"/>
        </w:rPr>
        <w:t>ყოველკვირეულად</w:t>
      </w:r>
      <w:r w:rsidRPr="003D733D">
        <w:t xml:space="preserve">. </w:t>
      </w:r>
    </w:p>
    <w:p w14:paraId="4BDA22F6" w14:textId="77777777" w:rsidR="00A2588D" w:rsidRPr="003D733D" w:rsidRDefault="00A2588D" w:rsidP="00A2588D">
      <w:r w:rsidRPr="003D733D">
        <w:rPr>
          <w:rFonts w:ascii="Sylfaen" w:hAnsi="Sylfaen" w:cs="Sylfaen"/>
        </w:rPr>
        <w:t>უნდა</w:t>
      </w:r>
      <w:r w:rsidRPr="003D733D">
        <w:t xml:space="preserve"> </w:t>
      </w:r>
      <w:r w:rsidRPr="003D733D">
        <w:rPr>
          <w:rFonts w:ascii="Sylfaen" w:hAnsi="Sylfaen" w:cs="Sylfaen"/>
        </w:rPr>
        <w:t>განისაზღვროს</w:t>
      </w:r>
      <w:r w:rsidRPr="003D733D">
        <w:t xml:space="preserve"> </w:t>
      </w:r>
      <w:r w:rsidRPr="003D733D">
        <w:rPr>
          <w:rFonts w:ascii="Sylfaen" w:hAnsi="Sylfaen" w:cs="Sylfaen"/>
        </w:rPr>
        <w:t>ავარიულ</w:t>
      </w:r>
      <w:r w:rsidRPr="003D733D">
        <w:t xml:space="preserve"> </w:t>
      </w:r>
      <w:r w:rsidRPr="003D733D">
        <w:rPr>
          <w:rFonts w:ascii="Sylfaen" w:hAnsi="Sylfaen" w:cs="Sylfaen"/>
        </w:rPr>
        <w:t>შემთხვევებში</w:t>
      </w:r>
      <w:r w:rsidRPr="003D733D">
        <w:t xml:space="preserve"> </w:t>
      </w:r>
      <w:r w:rsidRPr="003D733D">
        <w:rPr>
          <w:rFonts w:ascii="Sylfaen" w:hAnsi="Sylfaen" w:cs="Sylfaen"/>
        </w:rPr>
        <w:t>შესასრულებელი</w:t>
      </w:r>
      <w:r w:rsidRPr="003D733D">
        <w:t xml:space="preserve"> </w:t>
      </w:r>
      <w:r w:rsidRPr="003D733D">
        <w:rPr>
          <w:rFonts w:ascii="Sylfaen" w:hAnsi="Sylfaen" w:cs="Sylfaen"/>
        </w:rPr>
        <w:t>პროცედურები</w:t>
      </w:r>
      <w:r w:rsidRPr="003D733D">
        <w:t xml:space="preserve"> </w:t>
      </w:r>
      <w:r w:rsidRPr="003D733D">
        <w:rPr>
          <w:rFonts w:ascii="Sylfaen" w:hAnsi="Sylfaen" w:cs="Sylfaen"/>
        </w:rPr>
        <w:t>და</w:t>
      </w:r>
      <w:r w:rsidRPr="003D733D">
        <w:t xml:space="preserve"> </w:t>
      </w:r>
      <w:r w:rsidRPr="003D733D">
        <w:rPr>
          <w:rFonts w:ascii="Sylfaen" w:hAnsi="Sylfaen" w:cs="Sylfaen"/>
        </w:rPr>
        <w:t>მათზე</w:t>
      </w:r>
      <w:r w:rsidRPr="003D733D">
        <w:t xml:space="preserve"> </w:t>
      </w:r>
      <w:r w:rsidRPr="003D733D">
        <w:rPr>
          <w:rFonts w:ascii="Sylfaen" w:hAnsi="Sylfaen" w:cs="Sylfaen"/>
        </w:rPr>
        <w:t>პასუხისმგებელი</w:t>
      </w:r>
      <w:r w:rsidRPr="003D733D">
        <w:t xml:space="preserve"> </w:t>
      </w:r>
      <w:r w:rsidRPr="003D733D">
        <w:rPr>
          <w:rFonts w:ascii="Sylfaen" w:hAnsi="Sylfaen" w:cs="Sylfaen"/>
        </w:rPr>
        <w:t>პირები</w:t>
      </w:r>
      <w:r w:rsidRPr="003D733D">
        <w:t xml:space="preserve">. </w:t>
      </w:r>
    </w:p>
    <w:p w14:paraId="0A7C1DA6" w14:textId="77777777" w:rsidR="00A2588D" w:rsidRPr="003D733D" w:rsidRDefault="00A2588D" w:rsidP="00A2588D">
      <w:r w:rsidRPr="003D733D">
        <w:rPr>
          <w:rFonts w:ascii="Sylfaen" w:hAnsi="Sylfaen" w:cs="Sylfaen"/>
        </w:rPr>
        <w:t>უნდა</w:t>
      </w:r>
      <w:r w:rsidRPr="003D733D">
        <w:t xml:space="preserve"> </w:t>
      </w:r>
      <w:r w:rsidRPr="003D733D">
        <w:rPr>
          <w:rFonts w:ascii="Sylfaen" w:hAnsi="Sylfaen" w:cs="Sylfaen"/>
        </w:rPr>
        <w:t>განისაზღვროს</w:t>
      </w:r>
      <w:r w:rsidRPr="003D733D">
        <w:t xml:space="preserve"> </w:t>
      </w:r>
      <w:r w:rsidRPr="003D733D">
        <w:rPr>
          <w:rFonts w:ascii="Sylfaen" w:hAnsi="Sylfaen" w:cs="Sylfaen"/>
        </w:rPr>
        <w:t>ზომები</w:t>
      </w:r>
      <w:r w:rsidRPr="003D733D">
        <w:t xml:space="preserve">, </w:t>
      </w:r>
      <w:r w:rsidRPr="003D733D">
        <w:rPr>
          <w:rFonts w:ascii="Sylfaen" w:hAnsi="Sylfaen" w:cs="Sylfaen"/>
        </w:rPr>
        <w:t>რომელთა</w:t>
      </w:r>
      <w:r w:rsidRPr="003D733D">
        <w:t xml:space="preserve"> </w:t>
      </w:r>
      <w:r w:rsidRPr="003D733D">
        <w:rPr>
          <w:rFonts w:ascii="Sylfaen" w:hAnsi="Sylfaen" w:cs="Sylfaen"/>
        </w:rPr>
        <w:t>საშუალებითაც</w:t>
      </w:r>
      <w:r w:rsidRPr="003D733D">
        <w:t xml:space="preserve"> </w:t>
      </w:r>
      <w:r w:rsidRPr="003D733D">
        <w:rPr>
          <w:rFonts w:ascii="Sylfaen" w:hAnsi="Sylfaen" w:cs="Sylfaen"/>
        </w:rPr>
        <w:t>თავიდან</w:t>
      </w:r>
      <w:r w:rsidRPr="003D733D">
        <w:t xml:space="preserve"> </w:t>
      </w:r>
      <w:r w:rsidRPr="003D733D">
        <w:rPr>
          <w:rFonts w:ascii="Sylfaen" w:hAnsi="Sylfaen" w:cs="Sylfaen"/>
        </w:rPr>
        <w:t>იქნება</w:t>
      </w:r>
      <w:r w:rsidRPr="003D733D">
        <w:t xml:space="preserve"> </w:t>
      </w:r>
      <w:r w:rsidRPr="003D733D">
        <w:rPr>
          <w:rFonts w:ascii="Sylfaen" w:hAnsi="Sylfaen" w:cs="Sylfaen"/>
        </w:rPr>
        <w:t>აცილებული</w:t>
      </w:r>
      <w:r w:rsidRPr="003D733D">
        <w:t xml:space="preserve"> </w:t>
      </w:r>
      <w:r w:rsidRPr="003D733D">
        <w:rPr>
          <w:rFonts w:ascii="Sylfaen" w:hAnsi="Sylfaen" w:cs="Sylfaen"/>
        </w:rPr>
        <w:t>გარემოს</w:t>
      </w:r>
      <w:r w:rsidRPr="003D733D">
        <w:t xml:space="preserve"> </w:t>
      </w:r>
      <w:r w:rsidRPr="003D733D">
        <w:rPr>
          <w:rFonts w:ascii="Sylfaen" w:hAnsi="Sylfaen" w:cs="Sylfaen"/>
        </w:rPr>
        <w:t>დაბინძურება</w:t>
      </w:r>
      <w:r w:rsidRPr="003D733D">
        <w:t xml:space="preserve"> </w:t>
      </w:r>
      <w:r w:rsidRPr="003D733D">
        <w:rPr>
          <w:rFonts w:ascii="Sylfaen" w:hAnsi="Sylfaen" w:cs="Sylfaen"/>
        </w:rPr>
        <w:t>სამშენებლო</w:t>
      </w:r>
      <w:r w:rsidRPr="003D733D">
        <w:t xml:space="preserve"> </w:t>
      </w:r>
      <w:r w:rsidRPr="003D733D">
        <w:rPr>
          <w:rFonts w:ascii="Sylfaen" w:hAnsi="Sylfaen" w:cs="Sylfaen"/>
        </w:rPr>
        <w:t>მასალებით</w:t>
      </w:r>
      <w:r w:rsidRPr="003D733D">
        <w:t xml:space="preserve"> </w:t>
      </w:r>
      <w:r w:rsidRPr="003D733D">
        <w:rPr>
          <w:rFonts w:ascii="Sylfaen" w:hAnsi="Sylfaen" w:cs="Sylfaen"/>
        </w:rPr>
        <w:t>და</w:t>
      </w:r>
      <w:r w:rsidRPr="003D733D">
        <w:t xml:space="preserve"> </w:t>
      </w:r>
      <w:r w:rsidRPr="003D733D">
        <w:rPr>
          <w:rFonts w:ascii="Sylfaen" w:hAnsi="Sylfaen" w:cs="Sylfaen"/>
        </w:rPr>
        <w:t>სხვადასხვა</w:t>
      </w:r>
      <w:r w:rsidRPr="003D733D">
        <w:t xml:space="preserve"> </w:t>
      </w:r>
      <w:r w:rsidRPr="003D733D">
        <w:rPr>
          <w:rFonts w:ascii="Sylfaen" w:hAnsi="Sylfaen" w:cs="Sylfaen"/>
        </w:rPr>
        <w:t>ნივთიერებების</w:t>
      </w:r>
      <w:r w:rsidRPr="003D733D">
        <w:t xml:space="preserve"> </w:t>
      </w:r>
      <w:r w:rsidRPr="003D733D">
        <w:rPr>
          <w:rFonts w:ascii="Sylfaen" w:hAnsi="Sylfaen" w:cs="Sylfaen"/>
        </w:rPr>
        <w:t>შემთხვევითი</w:t>
      </w:r>
      <w:r w:rsidRPr="003D733D">
        <w:t xml:space="preserve"> </w:t>
      </w:r>
      <w:r w:rsidRPr="003D733D">
        <w:rPr>
          <w:rFonts w:ascii="Sylfaen" w:hAnsi="Sylfaen" w:cs="Sylfaen"/>
        </w:rPr>
        <w:t>დაღვრით</w:t>
      </w:r>
      <w:r w:rsidRPr="003D733D">
        <w:t xml:space="preserve">; </w:t>
      </w:r>
      <w:r w:rsidRPr="003D733D">
        <w:rPr>
          <w:rFonts w:ascii="Sylfaen" w:hAnsi="Sylfaen" w:cs="Sylfaen"/>
        </w:rPr>
        <w:t>უნდა</w:t>
      </w:r>
      <w:r w:rsidRPr="003D733D">
        <w:t xml:space="preserve"> </w:t>
      </w:r>
      <w:r w:rsidRPr="003D733D">
        <w:rPr>
          <w:rFonts w:ascii="Sylfaen" w:hAnsi="Sylfaen" w:cs="Sylfaen"/>
        </w:rPr>
        <w:t>წარმოებდეს</w:t>
      </w:r>
      <w:r w:rsidRPr="003D733D">
        <w:t xml:space="preserve"> </w:t>
      </w:r>
      <w:r w:rsidRPr="003D733D">
        <w:rPr>
          <w:rFonts w:ascii="Sylfaen" w:hAnsi="Sylfaen" w:cs="Sylfaen"/>
        </w:rPr>
        <w:t>საშიში</w:t>
      </w:r>
      <w:r w:rsidRPr="003D733D">
        <w:t xml:space="preserve"> </w:t>
      </w:r>
      <w:r w:rsidRPr="003D733D">
        <w:rPr>
          <w:rFonts w:ascii="Sylfaen" w:hAnsi="Sylfaen" w:cs="Sylfaen"/>
        </w:rPr>
        <w:t>მასალების</w:t>
      </w:r>
      <w:r w:rsidRPr="003D733D">
        <w:t xml:space="preserve"> </w:t>
      </w:r>
      <w:r w:rsidRPr="003D733D">
        <w:rPr>
          <w:rFonts w:ascii="Sylfaen" w:hAnsi="Sylfaen" w:cs="Sylfaen"/>
        </w:rPr>
        <w:t>აღრიცხვა</w:t>
      </w:r>
      <w:r w:rsidRPr="003D733D">
        <w:t xml:space="preserve">. </w:t>
      </w:r>
      <w:r w:rsidRPr="003D733D">
        <w:rPr>
          <w:rFonts w:ascii="Sylfaen" w:hAnsi="Sylfaen" w:cs="Sylfaen"/>
        </w:rPr>
        <w:t>ეს</w:t>
      </w:r>
      <w:r w:rsidRPr="003D733D">
        <w:t xml:space="preserve"> </w:t>
      </w:r>
      <w:r w:rsidRPr="003D733D">
        <w:rPr>
          <w:rFonts w:ascii="Sylfaen" w:hAnsi="Sylfaen" w:cs="Sylfaen"/>
        </w:rPr>
        <w:t>ინფორმაცია</w:t>
      </w:r>
      <w:r w:rsidRPr="003D733D">
        <w:t xml:space="preserve"> </w:t>
      </w:r>
      <w:r w:rsidRPr="003D733D">
        <w:rPr>
          <w:rFonts w:ascii="Sylfaen" w:hAnsi="Sylfaen" w:cs="Sylfaen"/>
        </w:rPr>
        <w:t>ხელმისაწვდომი</w:t>
      </w:r>
      <w:r w:rsidRPr="003D733D">
        <w:t xml:space="preserve"> </w:t>
      </w:r>
      <w:r w:rsidRPr="003D733D">
        <w:rPr>
          <w:rFonts w:ascii="Sylfaen" w:hAnsi="Sylfaen" w:cs="Sylfaen"/>
        </w:rPr>
        <w:t>უნდა</w:t>
      </w:r>
      <w:r w:rsidRPr="003D733D">
        <w:t xml:space="preserve"> </w:t>
      </w:r>
      <w:r w:rsidRPr="003D733D">
        <w:rPr>
          <w:rFonts w:ascii="Sylfaen" w:hAnsi="Sylfaen" w:cs="Sylfaen"/>
        </w:rPr>
        <w:t>იყოს</w:t>
      </w:r>
      <w:r w:rsidRPr="003D733D">
        <w:t xml:space="preserve"> </w:t>
      </w:r>
      <w:r w:rsidRPr="003D733D">
        <w:rPr>
          <w:rFonts w:ascii="Sylfaen" w:hAnsi="Sylfaen" w:cs="Sylfaen"/>
        </w:rPr>
        <w:t>ყველა</w:t>
      </w:r>
      <w:r w:rsidRPr="003D733D">
        <w:t xml:space="preserve"> </w:t>
      </w:r>
      <w:r w:rsidRPr="003D733D">
        <w:rPr>
          <w:rFonts w:ascii="Sylfaen" w:hAnsi="Sylfaen" w:cs="Sylfaen"/>
        </w:rPr>
        <w:t>თანამშრომლისათვის</w:t>
      </w:r>
      <w:r w:rsidRPr="003D733D">
        <w:t xml:space="preserve">. </w:t>
      </w:r>
    </w:p>
    <w:p w14:paraId="568A1A75" w14:textId="77777777" w:rsidR="00A2588D" w:rsidRPr="003D733D" w:rsidRDefault="00A2588D" w:rsidP="00A2588D"/>
    <w:p w14:paraId="0B25DA57" w14:textId="77777777" w:rsidR="00A2588D" w:rsidRPr="00631159" w:rsidRDefault="00A2588D" w:rsidP="00A2588D">
      <w:pPr>
        <w:rPr>
          <w:b/>
          <w:i/>
        </w:rPr>
      </w:pPr>
      <w:bookmarkStart w:id="640" w:name="_Toc479166592"/>
      <w:bookmarkStart w:id="641" w:name="_Toc479164877"/>
      <w:bookmarkStart w:id="642" w:name="_Toc416769150"/>
      <w:bookmarkStart w:id="643" w:name="_Toc407201862"/>
      <w:bookmarkStart w:id="644" w:name="_Toc407139087"/>
      <w:bookmarkStart w:id="645" w:name="_Toc337205854"/>
      <w:bookmarkStart w:id="646" w:name="_Toc326839331"/>
      <w:bookmarkStart w:id="647" w:name="_Toc316315677"/>
      <w:r w:rsidRPr="00631159">
        <w:rPr>
          <w:rFonts w:ascii="Sylfaen" w:hAnsi="Sylfaen" w:cs="Sylfaen"/>
          <w:b/>
          <w:i/>
        </w:rPr>
        <w:t>რეაგირება</w:t>
      </w:r>
      <w:r w:rsidRPr="00631159">
        <w:rPr>
          <w:b/>
          <w:i/>
        </w:rPr>
        <w:t xml:space="preserve"> </w:t>
      </w:r>
      <w:r w:rsidRPr="00631159">
        <w:rPr>
          <w:rFonts w:ascii="Sylfaen" w:hAnsi="Sylfaen" w:cs="Sylfaen"/>
          <w:b/>
          <w:i/>
        </w:rPr>
        <w:t>სატრანსპორტო</w:t>
      </w:r>
      <w:r w:rsidRPr="00631159">
        <w:rPr>
          <w:b/>
          <w:i/>
        </w:rPr>
        <w:t xml:space="preserve"> </w:t>
      </w:r>
      <w:r w:rsidRPr="00631159">
        <w:rPr>
          <w:rFonts w:ascii="Sylfaen" w:hAnsi="Sylfaen" w:cs="Sylfaen"/>
          <w:b/>
          <w:i/>
        </w:rPr>
        <w:t>შემთხვევების</w:t>
      </w:r>
      <w:r w:rsidRPr="00631159">
        <w:rPr>
          <w:b/>
          <w:i/>
        </w:rPr>
        <w:t xml:space="preserve"> </w:t>
      </w:r>
      <w:r w:rsidRPr="00631159">
        <w:rPr>
          <w:rFonts w:ascii="Sylfaen" w:hAnsi="Sylfaen" w:cs="Sylfaen"/>
          <w:b/>
          <w:i/>
        </w:rPr>
        <w:t>დროს</w:t>
      </w:r>
      <w:bookmarkEnd w:id="640"/>
      <w:bookmarkEnd w:id="641"/>
      <w:bookmarkEnd w:id="642"/>
      <w:bookmarkEnd w:id="643"/>
      <w:bookmarkEnd w:id="644"/>
      <w:bookmarkEnd w:id="645"/>
      <w:bookmarkEnd w:id="646"/>
      <w:bookmarkEnd w:id="647"/>
    </w:p>
    <w:p w14:paraId="4635FB4B" w14:textId="77777777" w:rsidR="00A2588D" w:rsidRPr="003D733D" w:rsidRDefault="00A2588D" w:rsidP="00A2588D">
      <w:pPr>
        <w:rPr>
          <w:lang w:val="ka-GE" w:eastAsia="ru-RU"/>
        </w:rPr>
      </w:pPr>
      <w:r w:rsidRPr="003D733D">
        <w:rPr>
          <w:rFonts w:ascii="Sylfaen" w:hAnsi="Sylfaen" w:cs="Sylfaen"/>
        </w:rPr>
        <w:t>ავტოსატრანსპორტო</w:t>
      </w:r>
      <w:r w:rsidRPr="003D733D">
        <w:t xml:space="preserve"> </w:t>
      </w:r>
      <w:r w:rsidRPr="003D733D">
        <w:rPr>
          <w:rFonts w:ascii="Sylfaen" w:hAnsi="Sylfaen" w:cs="Sylfaen"/>
        </w:rPr>
        <w:t>შემთხვევის</w:t>
      </w:r>
      <w:r w:rsidRPr="003D733D">
        <w:t xml:space="preserve"> </w:t>
      </w:r>
      <w:r w:rsidRPr="003D733D">
        <w:rPr>
          <w:rFonts w:ascii="Sylfaen" w:hAnsi="Sylfaen" w:cs="Sylfaen"/>
        </w:rPr>
        <w:t>დროს</w:t>
      </w:r>
      <w:r w:rsidRPr="003D733D">
        <w:t xml:space="preserve"> </w:t>
      </w:r>
      <w:r w:rsidRPr="003D733D">
        <w:rPr>
          <w:rFonts w:ascii="Sylfaen" w:hAnsi="Sylfaen" w:cs="Sylfaen"/>
        </w:rPr>
        <w:t>საჭიროა</w:t>
      </w:r>
      <w:r w:rsidRPr="003D733D">
        <w:t xml:space="preserve"> </w:t>
      </w:r>
      <w:r w:rsidRPr="003D733D">
        <w:rPr>
          <w:rFonts w:ascii="Sylfaen" w:hAnsi="Sylfaen" w:cs="Sylfaen"/>
        </w:rPr>
        <w:t>შემდეგი</w:t>
      </w:r>
      <w:r w:rsidRPr="003D733D">
        <w:t xml:space="preserve"> </w:t>
      </w:r>
      <w:r w:rsidRPr="003D733D">
        <w:rPr>
          <w:rFonts w:ascii="Sylfaen" w:hAnsi="Sylfaen" w:cs="Sylfaen"/>
        </w:rPr>
        <w:t>სტრატეგიული</w:t>
      </w:r>
      <w:r w:rsidRPr="003D733D">
        <w:t xml:space="preserve"> </w:t>
      </w:r>
      <w:r w:rsidRPr="003D733D">
        <w:rPr>
          <w:rFonts w:ascii="Sylfaen" w:hAnsi="Sylfaen" w:cs="Sylfaen"/>
        </w:rPr>
        <w:t>ქმედებების</w:t>
      </w:r>
      <w:r w:rsidRPr="003D733D">
        <w:t xml:space="preserve"> </w:t>
      </w:r>
      <w:r w:rsidRPr="003D733D">
        <w:rPr>
          <w:rFonts w:ascii="Sylfaen" w:hAnsi="Sylfaen" w:cs="Sylfaen"/>
        </w:rPr>
        <w:t>განხორციელება</w:t>
      </w:r>
      <w:r w:rsidRPr="003D733D">
        <w:t>:</w:t>
      </w:r>
    </w:p>
    <w:p w14:paraId="1FF65539" w14:textId="77777777" w:rsidR="00A2588D" w:rsidRPr="003D733D" w:rsidRDefault="00A2588D" w:rsidP="00A2588D">
      <w:r w:rsidRPr="003D733D">
        <w:rPr>
          <w:rFonts w:ascii="Sylfaen" w:hAnsi="Sylfaen" w:cs="Sylfaen"/>
        </w:rPr>
        <w:t>სატრანსპორტო</w:t>
      </w:r>
      <w:r w:rsidRPr="003D733D">
        <w:t xml:space="preserve"> </w:t>
      </w:r>
      <w:r w:rsidRPr="003D733D">
        <w:rPr>
          <w:rFonts w:ascii="Sylfaen" w:hAnsi="Sylfaen" w:cs="Sylfaen"/>
        </w:rPr>
        <w:t>საშუალებების</w:t>
      </w:r>
      <w:r w:rsidRPr="003D733D">
        <w:t xml:space="preserve"> / </w:t>
      </w:r>
      <w:r w:rsidRPr="003D733D">
        <w:rPr>
          <w:rFonts w:ascii="Sylfaen" w:hAnsi="Sylfaen" w:cs="Sylfaen"/>
        </w:rPr>
        <w:t>ტექნიკის</w:t>
      </w:r>
      <w:r w:rsidRPr="003D733D">
        <w:t xml:space="preserve"> </w:t>
      </w:r>
      <w:r w:rsidRPr="003D733D">
        <w:rPr>
          <w:rFonts w:ascii="Sylfaen" w:hAnsi="Sylfaen" w:cs="Sylfaen"/>
        </w:rPr>
        <w:t>გაჩერება</w:t>
      </w:r>
      <w:r w:rsidRPr="003D733D">
        <w:t>;</w:t>
      </w:r>
    </w:p>
    <w:p w14:paraId="4830318A" w14:textId="77777777" w:rsidR="00A2588D" w:rsidRPr="003D733D" w:rsidRDefault="00A2588D" w:rsidP="00A2588D">
      <w:r w:rsidRPr="003D733D">
        <w:rPr>
          <w:rFonts w:ascii="Sylfaen" w:hAnsi="Sylfaen" w:cs="Sylfaen"/>
        </w:rPr>
        <w:t>ინფორმაციის</w:t>
      </w:r>
      <w:r w:rsidRPr="003D733D">
        <w:t xml:space="preserve"> </w:t>
      </w:r>
      <w:r w:rsidRPr="003D733D">
        <w:rPr>
          <w:rFonts w:ascii="Sylfaen" w:hAnsi="Sylfaen" w:cs="Sylfaen"/>
        </w:rPr>
        <w:t>გადაცემა</w:t>
      </w:r>
      <w:r w:rsidRPr="003D733D">
        <w:t xml:space="preserve"> </w:t>
      </w:r>
      <w:r w:rsidRPr="003D733D">
        <w:rPr>
          <w:rFonts w:ascii="Sylfaen" w:hAnsi="Sylfaen" w:cs="Sylfaen"/>
        </w:rPr>
        <w:t>შესაბამისი</w:t>
      </w:r>
      <w:r w:rsidRPr="003D733D">
        <w:t xml:space="preserve"> </w:t>
      </w:r>
      <w:r w:rsidRPr="003D733D">
        <w:rPr>
          <w:rFonts w:ascii="Sylfaen" w:hAnsi="Sylfaen" w:cs="Sylfaen"/>
        </w:rPr>
        <w:t>სამსახურებისთვის</w:t>
      </w:r>
      <w:r w:rsidRPr="003D733D">
        <w:t xml:space="preserve"> (</w:t>
      </w:r>
      <w:r w:rsidRPr="003D733D">
        <w:rPr>
          <w:rFonts w:ascii="Sylfaen" w:hAnsi="Sylfaen" w:cs="Sylfaen"/>
        </w:rPr>
        <w:t>საპატრულო</w:t>
      </w:r>
      <w:r w:rsidRPr="003D733D">
        <w:t xml:space="preserve"> </w:t>
      </w:r>
      <w:r w:rsidRPr="003D733D">
        <w:rPr>
          <w:rFonts w:ascii="Sylfaen" w:hAnsi="Sylfaen" w:cs="Sylfaen"/>
        </w:rPr>
        <w:t>პოლიცია</w:t>
      </w:r>
      <w:r w:rsidRPr="003D733D">
        <w:t xml:space="preserve">, </w:t>
      </w:r>
      <w:r w:rsidRPr="003D733D">
        <w:rPr>
          <w:rFonts w:ascii="Sylfaen" w:hAnsi="Sylfaen" w:cs="Sylfaen"/>
        </w:rPr>
        <w:t>სასწრაფო</w:t>
      </w:r>
      <w:r w:rsidRPr="003D733D">
        <w:t xml:space="preserve"> </w:t>
      </w:r>
      <w:r w:rsidRPr="003D733D">
        <w:rPr>
          <w:rFonts w:ascii="Sylfaen" w:hAnsi="Sylfaen" w:cs="Sylfaen"/>
        </w:rPr>
        <w:t>სამედიცინო</w:t>
      </w:r>
      <w:r w:rsidRPr="003D733D">
        <w:t xml:space="preserve"> </w:t>
      </w:r>
      <w:r w:rsidRPr="003D733D">
        <w:rPr>
          <w:rFonts w:ascii="Sylfaen" w:hAnsi="Sylfaen" w:cs="Sylfaen"/>
        </w:rPr>
        <w:t>სამსახური</w:t>
      </w:r>
      <w:r w:rsidRPr="003D733D">
        <w:t>);</w:t>
      </w:r>
    </w:p>
    <w:p w14:paraId="7BE9600F" w14:textId="77777777" w:rsidR="00A2588D" w:rsidRPr="003D733D" w:rsidRDefault="00A2588D" w:rsidP="00A2588D">
      <w:r w:rsidRPr="003D733D">
        <w:rPr>
          <w:rFonts w:ascii="Sylfaen" w:hAnsi="Sylfaen" w:cs="Sylfaen"/>
        </w:rPr>
        <w:t>იმ</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თუ</w:t>
      </w:r>
      <w:r w:rsidRPr="003D733D">
        <w:t xml:space="preserve"> </w:t>
      </w:r>
      <w:r w:rsidRPr="003D733D">
        <w:rPr>
          <w:rFonts w:ascii="Sylfaen" w:hAnsi="Sylfaen" w:cs="Sylfaen"/>
        </w:rPr>
        <w:t>საფრთხე</w:t>
      </w:r>
      <w:r w:rsidRPr="003D733D">
        <w:t xml:space="preserve"> </w:t>
      </w:r>
      <w:r w:rsidRPr="003D733D">
        <w:rPr>
          <w:rFonts w:ascii="Sylfaen" w:hAnsi="Sylfaen" w:cs="Sylfaen"/>
        </w:rPr>
        <w:t>არ</w:t>
      </w:r>
      <w:r w:rsidRPr="003D733D">
        <w:t xml:space="preserve"> </w:t>
      </w:r>
      <w:r w:rsidRPr="003D733D">
        <w:rPr>
          <w:rFonts w:ascii="Sylfaen" w:hAnsi="Sylfaen" w:cs="Sylfaen"/>
        </w:rPr>
        <w:t>ემუქრება</w:t>
      </w:r>
      <w:r w:rsidRPr="003D733D">
        <w:t xml:space="preserve"> </w:t>
      </w:r>
      <w:r w:rsidRPr="003D733D">
        <w:rPr>
          <w:rFonts w:ascii="Sylfaen" w:hAnsi="Sylfaen" w:cs="Sylfaen"/>
        </w:rPr>
        <w:t>ადამიანის</w:t>
      </w:r>
      <w:r w:rsidRPr="003D733D">
        <w:t xml:space="preserve"> </w:t>
      </w:r>
      <w:r w:rsidRPr="003D733D">
        <w:rPr>
          <w:rFonts w:ascii="Sylfaen" w:hAnsi="Sylfaen" w:cs="Sylfaen"/>
        </w:rPr>
        <w:t>ჯანმრთელობას</w:t>
      </w:r>
      <w:r w:rsidRPr="003D733D">
        <w:t xml:space="preserve"> </w:t>
      </w:r>
      <w:r w:rsidRPr="003D733D">
        <w:rPr>
          <w:rFonts w:ascii="Sylfaen" w:hAnsi="Sylfaen" w:cs="Sylfaen"/>
        </w:rPr>
        <w:t>და</w:t>
      </w:r>
      <w:r w:rsidRPr="003D733D">
        <w:t xml:space="preserve"> </w:t>
      </w:r>
      <w:r w:rsidRPr="003D733D">
        <w:rPr>
          <w:rFonts w:ascii="Sylfaen" w:hAnsi="Sylfaen" w:cs="Sylfaen"/>
        </w:rPr>
        <w:t>არ</w:t>
      </w:r>
      <w:r w:rsidRPr="003D733D">
        <w:t xml:space="preserve"> </w:t>
      </w:r>
      <w:r w:rsidRPr="003D733D">
        <w:rPr>
          <w:rFonts w:ascii="Sylfaen" w:hAnsi="Sylfaen" w:cs="Sylfaen"/>
        </w:rPr>
        <w:t>არსებობს</w:t>
      </w:r>
      <w:r w:rsidRPr="003D733D">
        <w:t xml:space="preserve"> </w:t>
      </w:r>
      <w:r w:rsidRPr="003D733D">
        <w:rPr>
          <w:rFonts w:ascii="Sylfaen" w:hAnsi="Sylfaen" w:cs="Sylfaen"/>
        </w:rPr>
        <w:t>სხვა</w:t>
      </w:r>
      <w:r w:rsidRPr="003D733D">
        <w:t xml:space="preserve"> </w:t>
      </w:r>
      <w:r w:rsidRPr="003D733D">
        <w:rPr>
          <w:rFonts w:ascii="Sylfaen" w:hAnsi="Sylfaen" w:cs="Sylfaen"/>
        </w:rPr>
        <w:t>ავარიული</w:t>
      </w:r>
      <w:r w:rsidRPr="003D733D">
        <w:t xml:space="preserve"> </w:t>
      </w:r>
      <w:r w:rsidRPr="003D733D">
        <w:rPr>
          <w:rFonts w:ascii="Sylfaen" w:hAnsi="Sylfaen" w:cs="Sylfaen"/>
        </w:rPr>
        <w:t>სიტუაციების</w:t>
      </w:r>
      <w:r w:rsidRPr="003D733D">
        <w:t xml:space="preserve"> </w:t>
      </w:r>
      <w:r w:rsidRPr="003D733D">
        <w:rPr>
          <w:rFonts w:ascii="Sylfaen" w:hAnsi="Sylfaen" w:cs="Sylfaen"/>
        </w:rPr>
        <w:t>პროვოცირების</w:t>
      </w:r>
      <w:r w:rsidRPr="003D733D">
        <w:t xml:space="preserve"> </w:t>
      </w:r>
      <w:r w:rsidRPr="003D733D">
        <w:rPr>
          <w:rFonts w:ascii="Sylfaen" w:hAnsi="Sylfaen" w:cs="Sylfaen"/>
        </w:rPr>
        <w:t>რისკები</w:t>
      </w:r>
      <w:r w:rsidRPr="003D733D">
        <w:t xml:space="preserve"> (</w:t>
      </w:r>
      <w:r w:rsidRPr="003D733D">
        <w:rPr>
          <w:rFonts w:ascii="Sylfaen" w:hAnsi="Sylfaen" w:cs="Sylfaen"/>
        </w:rPr>
        <w:t>მაგ</w:t>
      </w:r>
      <w:r w:rsidRPr="003D733D">
        <w:t xml:space="preserve">. </w:t>
      </w:r>
      <w:r w:rsidRPr="003D733D">
        <w:rPr>
          <w:rFonts w:ascii="Sylfaen" w:hAnsi="Sylfaen" w:cs="Sylfaen"/>
        </w:rPr>
        <w:t>სხვა</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საშუალებების</w:t>
      </w:r>
      <w:r w:rsidRPr="003D733D">
        <w:t xml:space="preserve"> </w:t>
      </w:r>
      <w:r w:rsidRPr="003D733D">
        <w:rPr>
          <w:rFonts w:ascii="Sylfaen" w:hAnsi="Sylfaen" w:cs="Sylfaen"/>
        </w:rPr>
        <w:t>შეჯახება</w:t>
      </w:r>
      <w:r w:rsidRPr="003D733D">
        <w:t xml:space="preserve">, </w:t>
      </w:r>
      <w:r w:rsidRPr="003D733D">
        <w:rPr>
          <w:rFonts w:ascii="Sylfaen" w:hAnsi="Sylfaen" w:cs="Sylfaen"/>
        </w:rPr>
        <w:t>ხანძარი</w:t>
      </w:r>
      <w:r w:rsidRPr="003D733D">
        <w:t xml:space="preserve">, </w:t>
      </w:r>
      <w:r w:rsidRPr="003D733D">
        <w:rPr>
          <w:rFonts w:ascii="Sylfaen" w:hAnsi="Sylfaen" w:cs="Sylfaen"/>
        </w:rPr>
        <w:t>საწვავის</w:t>
      </w:r>
      <w:r w:rsidRPr="003D733D">
        <w:t xml:space="preserve"> </w:t>
      </w:r>
      <w:r w:rsidRPr="003D733D">
        <w:rPr>
          <w:rFonts w:ascii="Sylfaen" w:hAnsi="Sylfaen" w:cs="Sylfaen"/>
        </w:rPr>
        <w:t>დაღვრა</w:t>
      </w:r>
      <w:r w:rsidRPr="003D733D">
        <w:t xml:space="preserve"> </w:t>
      </w:r>
      <w:r w:rsidRPr="003D733D">
        <w:rPr>
          <w:rFonts w:ascii="Sylfaen" w:hAnsi="Sylfaen" w:cs="Sylfaen"/>
        </w:rPr>
        <w:t>და</w:t>
      </w:r>
      <w:r w:rsidRPr="003D733D">
        <w:t xml:space="preserve"> </w:t>
      </w:r>
      <w:r w:rsidRPr="003D733D">
        <w:rPr>
          <w:rFonts w:ascii="Sylfaen" w:hAnsi="Sylfaen" w:cs="Sylfaen"/>
        </w:rPr>
        <w:t>სხვ</w:t>
      </w:r>
      <w:r w:rsidRPr="003D733D">
        <w:t xml:space="preserve">.), </w:t>
      </w:r>
      <w:r w:rsidRPr="003D733D">
        <w:rPr>
          <w:rFonts w:ascii="Sylfaen" w:hAnsi="Sylfaen" w:cs="Sylfaen"/>
        </w:rPr>
        <w:t>მაშინ</w:t>
      </w:r>
      <w:r w:rsidRPr="003D733D">
        <w:t>:</w:t>
      </w:r>
    </w:p>
    <w:p w14:paraId="431712FD" w14:textId="77777777" w:rsidR="00A2588D" w:rsidRPr="003D733D" w:rsidRDefault="00A2588D" w:rsidP="00A2588D">
      <w:r w:rsidRPr="003D733D">
        <w:rPr>
          <w:rFonts w:ascii="Sylfaen" w:hAnsi="Sylfaen" w:cs="Sylfaen"/>
        </w:rPr>
        <w:t>გადმოდით</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საშუალებიდან</w:t>
      </w:r>
      <w:r w:rsidRPr="003D733D">
        <w:t xml:space="preserve"> / </w:t>
      </w:r>
      <w:r w:rsidRPr="003D733D">
        <w:rPr>
          <w:rFonts w:ascii="Sylfaen" w:hAnsi="Sylfaen" w:cs="Sylfaen"/>
        </w:rPr>
        <w:t>ტექნიკიდან</w:t>
      </w:r>
      <w:r w:rsidRPr="003D733D">
        <w:t xml:space="preserve"> </w:t>
      </w:r>
      <w:r w:rsidRPr="003D733D">
        <w:rPr>
          <w:rFonts w:ascii="Sylfaen" w:hAnsi="Sylfaen" w:cs="Sylfaen"/>
        </w:rPr>
        <w:t>ან</w:t>
      </w:r>
      <w:r w:rsidRPr="003D733D">
        <w:t xml:space="preserve"> </w:t>
      </w:r>
      <w:r w:rsidRPr="003D733D">
        <w:rPr>
          <w:rFonts w:ascii="Sylfaen" w:hAnsi="Sylfaen" w:cs="Sylfaen"/>
        </w:rPr>
        <w:t>მოშორდით</w:t>
      </w:r>
      <w:r w:rsidRPr="003D733D">
        <w:t xml:space="preserve"> </w:t>
      </w:r>
      <w:r w:rsidRPr="003D733D">
        <w:rPr>
          <w:rFonts w:ascii="Sylfaen" w:hAnsi="Sylfaen" w:cs="Sylfaen"/>
        </w:rPr>
        <w:t>ინციდენტის</w:t>
      </w:r>
      <w:r w:rsidRPr="003D733D">
        <w:t xml:space="preserve"> </w:t>
      </w:r>
      <w:r w:rsidRPr="003D733D">
        <w:rPr>
          <w:rFonts w:ascii="Sylfaen" w:hAnsi="Sylfaen" w:cs="Sylfaen"/>
        </w:rPr>
        <w:t>ადგილს</w:t>
      </w:r>
      <w:r w:rsidRPr="003D733D">
        <w:t xml:space="preserve"> </w:t>
      </w:r>
      <w:r w:rsidRPr="003D733D">
        <w:rPr>
          <w:rFonts w:ascii="Sylfaen" w:hAnsi="Sylfaen" w:cs="Sylfaen"/>
        </w:rPr>
        <w:t>და</w:t>
      </w:r>
      <w:r w:rsidRPr="003D733D">
        <w:t xml:space="preserve"> </w:t>
      </w:r>
      <w:r w:rsidRPr="003D733D">
        <w:rPr>
          <w:rFonts w:ascii="Sylfaen" w:hAnsi="Sylfaen" w:cs="Sylfaen"/>
        </w:rPr>
        <w:t>შეინარჩუნეთ</w:t>
      </w:r>
      <w:r w:rsidRPr="003D733D">
        <w:t xml:space="preserve"> </w:t>
      </w:r>
      <w:r w:rsidRPr="003D733D">
        <w:rPr>
          <w:rFonts w:ascii="Sylfaen" w:hAnsi="Sylfaen" w:cs="Sylfaen"/>
        </w:rPr>
        <w:t>უსაფრთხო</w:t>
      </w:r>
      <w:r w:rsidRPr="003D733D">
        <w:t xml:space="preserve"> </w:t>
      </w:r>
      <w:r w:rsidRPr="003D733D">
        <w:rPr>
          <w:rFonts w:ascii="Sylfaen" w:hAnsi="Sylfaen" w:cs="Sylfaen"/>
        </w:rPr>
        <w:t>დისტანცია</w:t>
      </w:r>
      <w:r w:rsidRPr="003D733D">
        <w:t>;</w:t>
      </w:r>
    </w:p>
    <w:p w14:paraId="67405158" w14:textId="77777777" w:rsidR="00A2588D" w:rsidRPr="003D733D" w:rsidRDefault="00A2588D" w:rsidP="00A2588D">
      <w:r w:rsidRPr="003D733D">
        <w:rPr>
          <w:rFonts w:ascii="Sylfaen" w:hAnsi="Sylfaen" w:cs="Sylfaen"/>
        </w:rPr>
        <w:t>დაელოდეთ</w:t>
      </w:r>
      <w:r w:rsidRPr="003D733D">
        <w:t xml:space="preserve"> </w:t>
      </w:r>
      <w:r w:rsidRPr="003D733D">
        <w:rPr>
          <w:rFonts w:ascii="Sylfaen" w:hAnsi="Sylfaen" w:cs="Sylfaen"/>
        </w:rPr>
        <w:t>საპატრულო</w:t>
      </w:r>
      <w:r w:rsidRPr="003D733D">
        <w:t xml:space="preserve"> </w:t>
      </w:r>
      <w:r w:rsidRPr="003D733D">
        <w:rPr>
          <w:rFonts w:ascii="Sylfaen" w:hAnsi="Sylfaen" w:cs="Sylfaen"/>
        </w:rPr>
        <w:t>პოლიციის</w:t>
      </w:r>
      <w:r w:rsidRPr="003D733D">
        <w:t xml:space="preserve"> / </w:t>
      </w:r>
      <w:r w:rsidRPr="003D733D">
        <w:rPr>
          <w:rFonts w:ascii="Sylfaen" w:hAnsi="Sylfaen" w:cs="Sylfaen"/>
        </w:rPr>
        <w:t>სამაშველო</w:t>
      </w:r>
      <w:r w:rsidRPr="003D733D">
        <w:t xml:space="preserve"> </w:t>
      </w:r>
      <w:r w:rsidRPr="003D733D">
        <w:rPr>
          <w:rFonts w:ascii="Sylfaen" w:hAnsi="Sylfaen" w:cs="Sylfaen"/>
        </w:rPr>
        <w:t>რაზმის</w:t>
      </w:r>
      <w:r w:rsidRPr="003D733D">
        <w:t xml:space="preserve"> </w:t>
      </w:r>
      <w:r w:rsidRPr="003D733D">
        <w:rPr>
          <w:rFonts w:ascii="Sylfaen" w:hAnsi="Sylfaen" w:cs="Sylfaen"/>
        </w:rPr>
        <w:t>გამოჩენას</w:t>
      </w:r>
      <w:r w:rsidRPr="003D733D">
        <w:t>.</w:t>
      </w:r>
    </w:p>
    <w:p w14:paraId="297D8A37" w14:textId="77777777" w:rsidR="00A2588D" w:rsidRPr="003D733D" w:rsidRDefault="00A2588D" w:rsidP="00A2588D">
      <w:r w:rsidRPr="003D733D">
        <w:rPr>
          <w:rFonts w:ascii="Sylfaen" w:hAnsi="Sylfaen" w:cs="Sylfaen"/>
        </w:rPr>
        <w:t>დამატებითი</w:t>
      </w:r>
      <w:r w:rsidRPr="003D733D">
        <w:t xml:space="preserve"> </w:t>
      </w:r>
      <w:r w:rsidRPr="003D733D">
        <w:rPr>
          <w:rFonts w:ascii="Sylfaen" w:hAnsi="Sylfaen" w:cs="Sylfaen"/>
        </w:rPr>
        <w:t>საფრთხეების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იმოქმედეთ</w:t>
      </w:r>
      <w:r w:rsidRPr="003D733D">
        <w:t xml:space="preserve"> </w:t>
      </w:r>
      <w:r w:rsidRPr="003D733D">
        <w:rPr>
          <w:rFonts w:ascii="Sylfaen" w:hAnsi="Sylfaen" w:cs="Sylfaen"/>
        </w:rPr>
        <w:t>შემდეგნაირად</w:t>
      </w:r>
      <w:r w:rsidRPr="003D733D">
        <w:t>:</w:t>
      </w:r>
    </w:p>
    <w:p w14:paraId="502C3360" w14:textId="77777777" w:rsidR="00A2588D" w:rsidRPr="003D733D" w:rsidRDefault="00A2588D" w:rsidP="00A2588D">
      <w:r w:rsidRPr="003D733D">
        <w:rPr>
          <w:rFonts w:ascii="Sylfaen" w:hAnsi="Sylfaen" w:cs="Sylfaen"/>
        </w:rPr>
        <w:t>გადმოდით</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საშუალებიდან</w:t>
      </w:r>
      <w:r w:rsidRPr="003D733D">
        <w:t xml:space="preserve"> / </w:t>
      </w:r>
      <w:r w:rsidRPr="003D733D">
        <w:rPr>
          <w:rFonts w:ascii="Sylfaen" w:hAnsi="Sylfaen" w:cs="Sylfaen"/>
        </w:rPr>
        <w:t>ტექნიკიდან</w:t>
      </w:r>
      <w:r w:rsidRPr="003D733D">
        <w:t xml:space="preserve"> </w:t>
      </w:r>
      <w:r w:rsidRPr="003D733D">
        <w:rPr>
          <w:rFonts w:ascii="Sylfaen" w:hAnsi="Sylfaen" w:cs="Sylfaen"/>
        </w:rPr>
        <w:t>ან</w:t>
      </w:r>
      <w:r w:rsidRPr="003D733D">
        <w:t xml:space="preserve"> </w:t>
      </w:r>
      <w:r w:rsidRPr="003D733D">
        <w:rPr>
          <w:rFonts w:ascii="Sylfaen" w:hAnsi="Sylfaen" w:cs="Sylfaen"/>
        </w:rPr>
        <w:t>მოშორდით</w:t>
      </w:r>
      <w:r w:rsidRPr="003D733D">
        <w:t xml:space="preserve"> </w:t>
      </w:r>
      <w:r w:rsidRPr="003D733D">
        <w:rPr>
          <w:rFonts w:ascii="Sylfaen" w:hAnsi="Sylfaen" w:cs="Sylfaen"/>
        </w:rPr>
        <w:t>ინციდენტის</w:t>
      </w:r>
      <w:r w:rsidRPr="003D733D">
        <w:t xml:space="preserve"> </w:t>
      </w:r>
      <w:r w:rsidRPr="003D733D">
        <w:rPr>
          <w:rFonts w:ascii="Sylfaen" w:hAnsi="Sylfaen" w:cs="Sylfaen"/>
        </w:rPr>
        <w:t>ადგილს</w:t>
      </w:r>
      <w:r w:rsidRPr="003D733D">
        <w:t xml:space="preserve"> </w:t>
      </w:r>
      <w:r w:rsidRPr="003D733D">
        <w:rPr>
          <w:rFonts w:ascii="Sylfaen" w:hAnsi="Sylfaen" w:cs="Sylfaen"/>
        </w:rPr>
        <w:t>და</w:t>
      </w:r>
      <w:r w:rsidRPr="003D733D">
        <w:t xml:space="preserve"> </w:t>
      </w:r>
      <w:r w:rsidRPr="003D733D">
        <w:rPr>
          <w:rFonts w:ascii="Sylfaen" w:hAnsi="Sylfaen" w:cs="Sylfaen"/>
        </w:rPr>
        <w:t>შეინარჩუნეთ</w:t>
      </w:r>
      <w:r w:rsidRPr="003D733D">
        <w:t xml:space="preserve"> </w:t>
      </w:r>
      <w:r w:rsidRPr="003D733D">
        <w:rPr>
          <w:rFonts w:ascii="Sylfaen" w:hAnsi="Sylfaen" w:cs="Sylfaen"/>
        </w:rPr>
        <w:t>უსაფრთხო</w:t>
      </w:r>
      <w:r w:rsidRPr="003D733D">
        <w:t xml:space="preserve"> </w:t>
      </w:r>
      <w:r w:rsidRPr="003D733D">
        <w:rPr>
          <w:rFonts w:ascii="Sylfaen" w:hAnsi="Sylfaen" w:cs="Sylfaen"/>
        </w:rPr>
        <w:t>დისტანცია</w:t>
      </w:r>
      <w:r w:rsidRPr="003D733D">
        <w:t>;</w:t>
      </w:r>
    </w:p>
    <w:p w14:paraId="4ABBCA15" w14:textId="77777777" w:rsidR="00A2588D" w:rsidRPr="003D733D" w:rsidRDefault="00A2588D" w:rsidP="00A2588D">
      <w:r w:rsidRPr="003D733D">
        <w:rPr>
          <w:rFonts w:ascii="Sylfaen" w:hAnsi="Sylfaen" w:cs="Sylfaen"/>
        </w:rPr>
        <w:t>ხანძრის</w:t>
      </w:r>
      <w:r w:rsidRPr="003D733D">
        <w:t xml:space="preserve">, </w:t>
      </w:r>
      <w:r w:rsidRPr="003D733D">
        <w:rPr>
          <w:rFonts w:ascii="Sylfaen" w:hAnsi="Sylfaen" w:cs="Sylfaen"/>
        </w:rPr>
        <w:t>საწვავის</w:t>
      </w:r>
      <w:r w:rsidRPr="003D733D">
        <w:t xml:space="preserve"> </w:t>
      </w:r>
      <w:r w:rsidRPr="003D733D">
        <w:rPr>
          <w:rFonts w:ascii="Sylfaen" w:hAnsi="Sylfaen" w:cs="Sylfaen"/>
        </w:rPr>
        <w:t>დაღვრის</w:t>
      </w:r>
      <w:r w:rsidRPr="003D733D">
        <w:t xml:space="preserve"> </w:t>
      </w:r>
      <w:r w:rsidRPr="003D733D">
        <w:rPr>
          <w:rFonts w:ascii="Sylfaen" w:hAnsi="Sylfaen" w:cs="Sylfaen"/>
        </w:rPr>
        <w:t>შემთხევებში</w:t>
      </w:r>
      <w:r w:rsidRPr="003D733D">
        <w:t xml:space="preserve"> </w:t>
      </w:r>
      <w:r w:rsidRPr="003D733D">
        <w:rPr>
          <w:rFonts w:ascii="Sylfaen" w:hAnsi="Sylfaen" w:cs="Sylfaen"/>
        </w:rPr>
        <w:t>იმოქმედეთ</w:t>
      </w:r>
      <w:r w:rsidRPr="003D733D">
        <w:t xml:space="preserve"> </w:t>
      </w:r>
      <w:r w:rsidRPr="003D733D">
        <w:rPr>
          <w:rFonts w:ascii="Sylfaen" w:hAnsi="Sylfaen" w:cs="Sylfaen"/>
        </w:rPr>
        <w:t>შესაბამის</w:t>
      </w:r>
      <w:r w:rsidRPr="003D733D">
        <w:t xml:space="preserve"> </w:t>
      </w:r>
      <w:r w:rsidRPr="003D733D">
        <w:rPr>
          <w:rFonts w:ascii="Sylfaen" w:hAnsi="Sylfaen" w:cs="Sylfaen"/>
        </w:rPr>
        <w:t>ქვეთავებში</w:t>
      </w:r>
      <w:r w:rsidRPr="003D733D">
        <w:t xml:space="preserve"> </w:t>
      </w:r>
      <w:r w:rsidRPr="003D733D">
        <w:rPr>
          <w:rFonts w:ascii="Sylfaen" w:hAnsi="Sylfaen" w:cs="Sylfaen"/>
        </w:rPr>
        <w:t>მოცემული</w:t>
      </w:r>
      <w:r w:rsidRPr="003D733D">
        <w:t xml:space="preserve"> </w:t>
      </w:r>
      <w:r w:rsidRPr="003D733D">
        <w:rPr>
          <w:rFonts w:ascii="Sylfaen" w:hAnsi="Sylfaen" w:cs="Sylfaen"/>
        </w:rPr>
        <w:t>რეაგირების</w:t>
      </w:r>
      <w:r w:rsidRPr="003D733D">
        <w:t xml:space="preserve"> </w:t>
      </w:r>
      <w:r w:rsidRPr="003D733D">
        <w:rPr>
          <w:rFonts w:ascii="Sylfaen" w:hAnsi="Sylfaen" w:cs="Sylfaen"/>
        </w:rPr>
        <w:t>სტრატეგიის</w:t>
      </w:r>
      <w:r w:rsidRPr="003D733D">
        <w:t xml:space="preserve"> </w:t>
      </w:r>
      <w:r w:rsidRPr="003D733D">
        <w:rPr>
          <w:rFonts w:ascii="Sylfaen" w:hAnsi="Sylfaen" w:cs="Sylfaen"/>
        </w:rPr>
        <w:t>მიხედვით</w:t>
      </w:r>
      <w:r w:rsidRPr="003D733D">
        <w:t>;</w:t>
      </w:r>
    </w:p>
    <w:p w14:paraId="21446A29" w14:textId="77777777" w:rsidR="00A2588D" w:rsidRPr="003D733D" w:rsidRDefault="00A2588D" w:rsidP="00A2588D">
      <w:r w:rsidRPr="003D733D">
        <w:rPr>
          <w:rFonts w:ascii="Sylfaen" w:hAnsi="Sylfaen" w:cs="Sylfaen"/>
        </w:rPr>
        <w:t>იმ</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თუ</w:t>
      </w:r>
      <w:r w:rsidRPr="003D733D">
        <w:t xml:space="preserve"> </w:t>
      </w:r>
      <w:r w:rsidRPr="003D733D">
        <w:rPr>
          <w:rFonts w:ascii="Sylfaen" w:hAnsi="Sylfaen" w:cs="Sylfaen"/>
        </w:rPr>
        <w:t>საფრთხე</w:t>
      </w:r>
      <w:r w:rsidRPr="003D733D">
        <w:t xml:space="preserve"> </w:t>
      </w:r>
      <w:r w:rsidRPr="003D733D">
        <w:rPr>
          <w:rFonts w:ascii="Sylfaen" w:hAnsi="Sylfaen" w:cs="Sylfaen"/>
        </w:rPr>
        <w:t>ემუქრება</w:t>
      </w:r>
      <w:r w:rsidRPr="003D733D">
        <w:t xml:space="preserve"> </w:t>
      </w:r>
      <w:r w:rsidRPr="003D733D">
        <w:rPr>
          <w:rFonts w:ascii="Sylfaen" w:hAnsi="Sylfaen" w:cs="Sylfaen"/>
        </w:rPr>
        <w:t>ადამიანის</w:t>
      </w:r>
      <w:r w:rsidRPr="003D733D">
        <w:t xml:space="preserve"> </w:t>
      </w:r>
      <w:r w:rsidRPr="003D733D">
        <w:rPr>
          <w:rFonts w:ascii="Sylfaen" w:hAnsi="Sylfaen" w:cs="Sylfaen"/>
        </w:rPr>
        <w:t>ჯანმრთელობას</w:t>
      </w:r>
      <w:r w:rsidRPr="003D733D">
        <w:t xml:space="preserve"> </w:t>
      </w:r>
      <w:r w:rsidRPr="003D733D">
        <w:rPr>
          <w:rFonts w:ascii="Sylfaen" w:hAnsi="Sylfaen" w:cs="Sylfaen"/>
        </w:rPr>
        <w:t>ნუ</w:t>
      </w:r>
      <w:r w:rsidRPr="003D733D">
        <w:t xml:space="preserve"> </w:t>
      </w:r>
      <w:r w:rsidRPr="003D733D">
        <w:rPr>
          <w:rFonts w:ascii="Sylfaen" w:hAnsi="Sylfaen" w:cs="Sylfaen"/>
        </w:rPr>
        <w:t>შეეცდებით</w:t>
      </w:r>
      <w:r w:rsidRPr="003D733D">
        <w:t xml:space="preserve"> </w:t>
      </w:r>
      <w:r w:rsidRPr="003D733D">
        <w:rPr>
          <w:rFonts w:ascii="Sylfaen" w:hAnsi="Sylfaen" w:cs="Sylfaen"/>
        </w:rPr>
        <w:t>სხეულის</w:t>
      </w:r>
      <w:r w:rsidRPr="003D733D">
        <w:t xml:space="preserve"> </w:t>
      </w:r>
      <w:r w:rsidRPr="003D733D">
        <w:rPr>
          <w:rFonts w:ascii="Sylfaen" w:hAnsi="Sylfaen" w:cs="Sylfaen"/>
        </w:rPr>
        <w:t>გადაადგილებას</w:t>
      </w:r>
      <w:r w:rsidRPr="003D733D">
        <w:t>;</w:t>
      </w:r>
    </w:p>
    <w:p w14:paraId="58A97B43" w14:textId="77777777" w:rsidR="00A2588D" w:rsidRPr="003D733D" w:rsidRDefault="00A2588D" w:rsidP="00A2588D">
      <w:r w:rsidRPr="003D733D">
        <w:rPr>
          <w:rFonts w:ascii="Sylfaen" w:hAnsi="Sylfaen" w:cs="Sylfaen"/>
        </w:rPr>
        <w:t>თუ</w:t>
      </w:r>
      <w:r w:rsidRPr="003D733D">
        <w:t xml:space="preserve"> </w:t>
      </w:r>
      <w:r w:rsidRPr="003D733D">
        <w:rPr>
          <w:rFonts w:ascii="Sylfaen" w:hAnsi="Sylfaen" w:cs="Sylfaen"/>
        </w:rPr>
        <w:t>დაშავებული</w:t>
      </w:r>
      <w:r w:rsidRPr="003D733D">
        <w:t xml:space="preserve"> </w:t>
      </w:r>
      <w:r w:rsidRPr="003D733D">
        <w:rPr>
          <w:rFonts w:ascii="Sylfaen" w:hAnsi="Sylfaen" w:cs="Sylfaen"/>
        </w:rPr>
        <w:t>გზის</w:t>
      </w:r>
      <w:r w:rsidRPr="003D733D">
        <w:t xml:space="preserve"> </w:t>
      </w:r>
      <w:r w:rsidRPr="003D733D">
        <w:rPr>
          <w:rFonts w:ascii="Sylfaen" w:hAnsi="Sylfaen" w:cs="Sylfaen"/>
        </w:rPr>
        <w:t>სავალ</w:t>
      </w:r>
      <w:r w:rsidRPr="003D733D">
        <w:t xml:space="preserve"> </w:t>
      </w:r>
      <w:r w:rsidRPr="003D733D">
        <w:rPr>
          <w:rFonts w:ascii="Sylfaen" w:hAnsi="Sylfaen" w:cs="Sylfaen"/>
        </w:rPr>
        <w:t>ნაწილზე</w:t>
      </w:r>
      <w:r w:rsidRPr="003D733D">
        <w:t xml:space="preserve"> </w:t>
      </w:r>
      <w:r w:rsidRPr="003D733D">
        <w:rPr>
          <w:rFonts w:ascii="Sylfaen" w:hAnsi="Sylfaen" w:cs="Sylfaen"/>
        </w:rPr>
        <w:t>წევს</w:t>
      </w:r>
      <w:r w:rsidRPr="003D733D">
        <w:t xml:space="preserve">, </w:t>
      </w:r>
      <w:r w:rsidRPr="003D733D">
        <w:rPr>
          <w:rFonts w:ascii="Sylfaen" w:hAnsi="Sylfaen" w:cs="Sylfaen"/>
        </w:rPr>
        <w:t>გადააფარეთ</w:t>
      </w:r>
      <w:r w:rsidRPr="003D733D">
        <w:t xml:space="preserve"> </w:t>
      </w:r>
      <w:r w:rsidRPr="003D733D">
        <w:rPr>
          <w:rFonts w:ascii="Sylfaen" w:hAnsi="Sylfaen" w:cs="Sylfaen"/>
        </w:rPr>
        <w:t>რამე</w:t>
      </w:r>
      <w:r w:rsidRPr="003D733D">
        <w:t xml:space="preserve"> </w:t>
      </w:r>
      <w:r w:rsidRPr="003D733D">
        <w:rPr>
          <w:rFonts w:ascii="Sylfaen" w:hAnsi="Sylfaen" w:cs="Sylfaen"/>
        </w:rPr>
        <w:t>და</w:t>
      </w:r>
      <w:r w:rsidRPr="003D733D">
        <w:t xml:space="preserve"> </w:t>
      </w:r>
      <w:r w:rsidRPr="003D733D">
        <w:rPr>
          <w:rFonts w:ascii="Sylfaen" w:hAnsi="Sylfaen" w:cs="Sylfaen"/>
        </w:rPr>
        <w:t>შემოსაზღვრეთ</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შემთხვევის</w:t>
      </w:r>
      <w:r w:rsidRPr="003D733D">
        <w:t xml:space="preserve"> </w:t>
      </w:r>
      <w:r w:rsidRPr="003D733D">
        <w:rPr>
          <w:rFonts w:ascii="Sylfaen" w:hAnsi="Sylfaen" w:cs="Sylfaen"/>
        </w:rPr>
        <w:t>ადგილი</w:t>
      </w:r>
      <w:r w:rsidRPr="003D733D">
        <w:t xml:space="preserve">, </w:t>
      </w:r>
      <w:r w:rsidRPr="003D733D">
        <w:rPr>
          <w:rFonts w:ascii="Sylfaen" w:hAnsi="Sylfaen" w:cs="Sylfaen"/>
        </w:rPr>
        <w:t>რათა</w:t>
      </w:r>
      <w:r w:rsidRPr="003D733D">
        <w:t xml:space="preserve"> </w:t>
      </w:r>
      <w:r w:rsidRPr="003D733D">
        <w:rPr>
          <w:rFonts w:ascii="Sylfaen" w:hAnsi="Sylfaen" w:cs="Sylfaen"/>
        </w:rPr>
        <w:t>იგი</w:t>
      </w:r>
      <w:r w:rsidRPr="003D733D">
        <w:t xml:space="preserve"> </w:t>
      </w:r>
      <w:r w:rsidRPr="003D733D">
        <w:rPr>
          <w:rFonts w:ascii="Sylfaen" w:hAnsi="Sylfaen" w:cs="Sylfaen"/>
        </w:rPr>
        <w:t>შესამჩნევი</w:t>
      </w:r>
      <w:r w:rsidRPr="003D733D">
        <w:t xml:space="preserve"> </w:t>
      </w:r>
      <w:r w:rsidRPr="003D733D">
        <w:rPr>
          <w:rFonts w:ascii="Sylfaen" w:hAnsi="Sylfaen" w:cs="Sylfaen"/>
        </w:rPr>
        <w:t>იყოს</w:t>
      </w:r>
      <w:r w:rsidRPr="003D733D">
        <w:t xml:space="preserve"> </w:t>
      </w:r>
      <w:r w:rsidRPr="003D733D">
        <w:rPr>
          <w:rFonts w:ascii="Sylfaen" w:hAnsi="Sylfaen" w:cs="Sylfaen"/>
        </w:rPr>
        <w:t>შორიდან</w:t>
      </w:r>
      <w:r w:rsidRPr="003D733D">
        <w:t>;</w:t>
      </w:r>
    </w:p>
    <w:p w14:paraId="78EAA768" w14:textId="77777777" w:rsidR="00A2588D" w:rsidRPr="003D733D" w:rsidRDefault="00A2588D" w:rsidP="00A2588D">
      <w:r w:rsidRPr="003D733D">
        <w:rPr>
          <w:rFonts w:ascii="Sylfaen" w:hAnsi="Sylfaen" w:cs="Sylfaen"/>
        </w:rPr>
        <w:t>მოხსენით</w:t>
      </w:r>
      <w:r w:rsidRPr="003D733D">
        <w:t xml:space="preserve"> </w:t>
      </w:r>
      <w:r w:rsidRPr="003D733D">
        <w:rPr>
          <w:rFonts w:ascii="Sylfaen" w:hAnsi="Sylfaen" w:cs="Sylfaen"/>
        </w:rPr>
        <w:t>ყველაფერი</w:t>
      </w:r>
      <w:r w:rsidRPr="003D733D">
        <w:t xml:space="preserve"> </w:t>
      </w:r>
      <w:r w:rsidRPr="003D733D">
        <w:rPr>
          <w:rFonts w:ascii="Sylfaen" w:hAnsi="Sylfaen" w:cs="Sylfaen"/>
        </w:rPr>
        <w:t>რაც</w:t>
      </w:r>
      <w:r w:rsidRPr="003D733D">
        <w:t xml:space="preserve"> </w:t>
      </w:r>
      <w:r w:rsidRPr="003D733D">
        <w:rPr>
          <w:rFonts w:ascii="Sylfaen" w:hAnsi="Sylfaen" w:cs="Sylfaen"/>
        </w:rPr>
        <w:t>შესაძლოა</w:t>
      </w:r>
      <w:r w:rsidRPr="003D733D">
        <w:t xml:space="preserve"> </w:t>
      </w:r>
      <w:r w:rsidRPr="003D733D">
        <w:rPr>
          <w:rFonts w:ascii="Sylfaen" w:hAnsi="Sylfaen" w:cs="Sylfaen"/>
        </w:rPr>
        <w:t>სულს</w:t>
      </w:r>
      <w:r w:rsidRPr="003D733D">
        <w:t xml:space="preserve"> </w:t>
      </w:r>
      <w:r w:rsidRPr="003D733D">
        <w:rPr>
          <w:rFonts w:ascii="Sylfaen" w:hAnsi="Sylfaen" w:cs="Sylfaen"/>
        </w:rPr>
        <w:t>უხუთავდეს</w:t>
      </w:r>
      <w:r w:rsidRPr="003D733D">
        <w:t xml:space="preserve"> (</w:t>
      </w:r>
      <w:r w:rsidRPr="003D733D">
        <w:rPr>
          <w:rFonts w:ascii="Sylfaen" w:hAnsi="Sylfaen" w:cs="Sylfaen"/>
        </w:rPr>
        <w:t>ქამარი</w:t>
      </w:r>
      <w:r w:rsidRPr="003D733D">
        <w:t xml:space="preserve">, </w:t>
      </w:r>
      <w:r w:rsidRPr="003D733D">
        <w:rPr>
          <w:rFonts w:ascii="Sylfaen" w:hAnsi="Sylfaen" w:cs="Sylfaen"/>
        </w:rPr>
        <w:t>ყელსახვევი</w:t>
      </w:r>
      <w:r w:rsidRPr="003D733D">
        <w:t>);</w:t>
      </w:r>
    </w:p>
    <w:p w14:paraId="5D253A77" w14:textId="77777777" w:rsidR="00A2588D" w:rsidRPr="003D733D" w:rsidRDefault="00A2588D" w:rsidP="00A2588D">
      <w:r w:rsidRPr="003D733D">
        <w:rPr>
          <w:rFonts w:ascii="Sylfaen" w:hAnsi="Sylfaen" w:cs="Sylfaen"/>
        </w:rPr>
        <w:t>დაშავებულს</w:t>
      </w:r>
      <w:r w:rsidRPr="003D733D">
        <w:t xml:space="preserve"> </w:t>
      </w:r>
      <w:r w:rsidRPr="003D733D">
        <w:rPr>
          <w:rFonts w:ascii="Sylfaen" w:hAnsi="Sylfaen" w:cs="Sylfaen"/>
        </w:rPr>
        <w:t>პირველადი</w:t>
      </w:r>
      <w:r w:rsidRPr="003D733D">
        <w:t xml:space="preserve"> </w:t>
      </w:r>
      <w:r w:rsidRPr="003D733D">
        <w:rPr>
          <w:rFonts w:ascii="Sylfaen" w:hAnsi="Sylfaen" w:cs="Sylfaen"/>
        </w:rPr>
        <w:t>დახმარება</w:t>
      </w:r>
      <w:r w:rsidRPr="003D733D">
        <w:t xml:space="preserve"> </w:t>
      </w:r>
      <w:r w:rsidRPr="003D733D">
        <w:rPr>
          <w:rFonts w:ascii="Sylfaen" w:hAnsi="Sylfaen" w:cs="Sylfaen"/>
        </w:rPr>
        <w:t>აღმოუჩინეთ</w:t>
      </w:r>
      <w:r w:rsidRPr="003D733D">
        <w:t xml:space="preserve"> </w:t>
      </w:r>
      <w:r w:rsidRPr="003D733D">
        <w:rPr>
          <w:rFonts w:ascii="Sylfaen" w:hAnsi="Sylfaen" w:cs="Sylfaen"/>
        </w:rPr>
        <w:t>შესაბამის</w:t>
      </w:r>
      <w:r w:rsidRPr="003D733D">
        <w:t xml:space="preserve"> </w:t>
      </w:r>
      <w:r w:rsidRPr="003D733D">
        <w:rPr>
          <w:rFonts w:ascii="Sylfaen" w:hAnsi="Sylfaen" w:cs="Sylfaen"/>
        </w:rPr>
        <w:t>ქვეთავებში</w:t>
      </w:r>
      <w:r w:rsidRPr="003D733D">
        <w:t xml:space="preserve"> </w:t>
      </w:r>
      <w:r w:rsidRPr="003D733D">
        <w:rPr>
          <w:rFonts w:ascii="Sylfaen" w:hAnsi="Sylfaen" w:cs="Sylfaen"/>
        </w:rPr>
        <w:t>მოცემული</w:t>
      </w:r>
      <w:r w:rsidRPr="003D733D">
        <w:t xml:space="preserve"> </w:t>
      </w:r>
      <w:r w:rsidRPr="003D733D">
        <w:rPr>
          <w:rFonts w:ascii="Sylfaen" w:hAnsi="Sylfaen" w:cs="Sylfaen"/>
        </w:rPr>
        <w:t>პირველადი</w:t>
      </w:r>
      <w:r w:rsidRPr="003D733D">
        <w:t xml:space="preserve"> </w:t>
      </w:r>
      <w:r w:rsidRPr="003D733D">
        <w:rPr>
          <w:rFonts w:ascii="Sylfaen" w:hAnsi="Sylfaen" w:cs="Sylfaen"/>
        </w:rPr>
        <w:t>დახმარების</w:t>
      </w:r>
      <w:r w:rsidRPr="003D733D">
        <w:t xml:space="preserve"> </w:t>
      </w:r>
      <w:r w:rsidRPr="003D733D">
        <w:rPr>
          <w:rFonts w:ascii="Sylfaen" w:hAnsi="Sylfaen" w:cs="Sylfaen"/>
        </w:rPr>
        <w:t>სტრატეგიის</w:t>
      </w:r>
      <w:r w:rsidRPr="003D733D">
        <w:t xml:space="preserve"> </w:t>
      </w:r>
      <w:r w:rsidRPr="003D733D">
        <w:rPr>
          <w:rFonts w:ascii="Sylfaen" w:hAnsi="Sylfaen" w:cs="Sylfaen"/>
        </w:rPr>
        <w:t>მიხედვით</w:t>
      </w:r>
      <w:r w:rsidRPr="003D733D">
        <w:t xml:space="preserve"> (</w:t>
      </w:r>
      <w:r w:rsidRPr="003D733D">
        <w:rPr>
          <w:rFonts w:ascii="Sylfaen" w:hAnsi="Sylfaen" w:cs="Sylfaen"/>
        </w:rPr>
        <w:t>თუმცა</w:t>
      </w:r>
      <w:r w:rsidRPr="003D733D">
        <w:t xml:space="preserve"> </w:t>
      </w:r>
      <w:r w:rsidRPr="003D733D">
        <w:rPr>
          <w:rFonts w:ascii="Sylfaen" w:hAnsi="Sylfaen" w:cs="Sylfaen"/>
        </w:rPr>
        <w:t>გახსოვდეთ</w:t>
      </w:r>
      <w:r w:rsidRPr="003D733D">
        <w:t xml:space="preserve">, </w:t>
      </w:r>
      <w:r w:rsidRPr="003D733D">
        <w:rPr>
          <w:rFonts w:ascii="Sylfaen" w:hAnsi="Sylfaen" w:cs="Sylfaen"/>
        </w:rPr>
        <w:t>რომ</w:t>
      </w:r>
      <w:r w:rsidRPr="003D733D">
        <w:t xml:space="preserve"> </w:t>
      </w:r>
      <w:r w:rsidRPr="003D733D">
        <w:rPr>
          <w:rFonts w:ascii="Sylfaen" w:hAnsi="Sylfaen" w:cs="Sylfaen"/>
        </w:rPr>
        <w:t>დაშავებულის</w:t>
      </w:r>
      <w:r w:rsidRPr="003D733D">
        <w:t xml:space="preserve"> </w:t>
      </w:r>
      <w:r w:rsidRPr="003D733D">
        <w:rPr>
          <w:rFonts w:ascii="Sylfaen" w:hAnsi="Sylfaen" w:cs="Sylfaen"/>
        </w:rPr>
        <w:t>ზედმეტი</w:t>
      </w:r>
      <w:r w:rsidRPr="003D733D">
        <w:t xml:space="preserve"> </w:t>
      </w:r>
      <w:r w:rsidRPr="003D733D">
        <w:rPr>
          <w:rFonts w:ascii="Sylfaen" w:hAnsi="Sylfaen" w:cs="Sylfaen"/>
        </w:rPr>
        <w:t>გადაადგილებით</w:t>
      </w:r>
      <w:r w:rsidRPr="003D733D">
        <w:t xml:space="preserve"> </w:t>
      </w:r>
      <w:r w:rsidRPr="003D733D">
        <w:rPr>
          <w:rFonts w:ascii="Sylfaen" w:hAnsi="Sylfaen" w:cs="Sylfaen"/>
        </w:rPr>
        <w:t>შესაძლოა</w:t>
      </w:r>
      <w:r w:rsidRPr="003D733D">
        <w:t xml:space="preserve"> </w:t>
      </w:r>
      <w:r w:rsidRPr="003D733D">
        <w:rPr>
          <w:rFonts w:ascii="Sylfaen" w:hAnsi="Sylfaen" w:cs="Sylfaen"/>
        </w:rPr>
        <w:t>დამატებითი</w:t>
      </w:r>
      <w:r w:rsidRPr="003D733D">
        <w:t xml:space="preserve"> </w:t>
      </w:r>
      <w:r w:rsidRPr="003D733D">
        <w:rPr>
          <w:rFonts w:ascii="Sylfaen" w:hAnsi="Sylfaen" w:cs="Sylfaen"/>
        </w:rPr>
        <w:t>საფრთხე</w:t>
      </w:r>
      <w:r w:rsidRPr="003D733D">
        <w:t xml:space="preserve"> </w:t>
      </w:r>
      <w:r w:rsidRPr="003D733D">
        <w:rPr>
          <w:rFonts w:ascii="Sylfaen" w:hAnsi="Sylfaen" w:cs="Sylfaen"/>
        </w:rPr>
        <w:t>შეუქმნათ</w:t>
      </w:r>
      <w:r w:rsidRPr="003D733D">
        <w:t xml:space="preserve"> </w:t>
      </w:r>
      <w:r w:rsidRPr="003D733D">
        <w:rPr>
          <w:rFonts w:ascii="Sylfaen" w:hAnsi="Sylfaen" w:cs="Sylfaen"/>
        </w:rPr>
        <w:t>მის</w:t>
      </w:r>
      <w:r w:rsidRPr="003D733D">
        <w:t xml:space="preserve"> </w:t>
      </w:r>
      <w:r w:rsidRPr="003D733D">
        <w:rPr>
          <w:rFonts w:ascii="Sylfaen" w:hAnsi="Sylfaen" w:cs="Sylfaen"/>
        </w:rPr>
        <w:t>ჯანმრთელობას</w:t>
      </w:r>
      <w:r w:rsidRPr="003D733D">
        <w:t>).</w:t>
      </w:r>
    </w:p>
    <w:p w14:paraId="7840C078" w14:textId="77777777" w:rsidR="00A2588D" w:rsidRPr="003D733D" w:rsidRDefault="00A2588D" w:rsidP="00A2588D"/>
    <w:p w14:paraId="6724A23E" w14:textId="77777777" w:rsidR="00A2588D" w:rsidRPr="00631159" w:rsidRDefault="00A2588D" w:rsidP="00A2588D">
      <w:pPr>
        <w:rPr>
          <w:b/>
          <w:i/>
        </w:rPr>
      </w:pPr>
      <w:bookmarkStart w:id="648" w:name="_Toc479166593"/>
      <w:bookmarkStart w:id="649" w:name="_Toc479164878"/>
      <w:bookmarkStart w:id="650" w:name="_Toc416769151"/>
      <w:bookmarkStart w:id="651" w:name="_Toc407201856"/>
      <w:bookmarkStart w:id="652" w:name="_Toc337205848"/>
      <w:bookmarkStart w:id="653" w:name="_Toc326839325"/>
      <w:bookmarkStart w:id="654" w:name="_Toc316315671"/>
      <w:r w:rsidRPr="00631159">
        <w:rPr>
          <w:rFonts w:ascii="Sylfaen" w:hAnsi="Sylfaen" w:cs="Sylfaen"/>
          <w:b/>
          <w:i/>
        </w:rPr>
        <w:t>რეაგირება</w:t>
      </w:r>
      <w:r w:rsidRPr="00631159">
        <w:rPr>
          <w:b/>
          <w:i/>
        </w:rPr>
        <w:t xml:space="preserve"> </w:t>
      </w:r>
      <w:r w:rsidRPr="00631159">
        <w:rPr>
          <w:rFonts w:ascii="Sylfaen" w:hAnsi="Sylfaen" w:cs="Sylfaen"/>
          <w:b/>
          <w:i/>
        </w:rPr>
        <w:t>საშიში</w:t>
      </w:r>
      <w:r w:rsidRPr="00631159">
        <w:rPr>
          <w:b/>
          <w:i/>
        </w:rPr>
        <w:t xml:space="preserve"> </w:t>
      </w:r>
      <w:r w:rsidRPr="00631159">
        <w:rPr>
          <w:rFonts w:ascii="Sylfaen" w:hAnsi="Sylfaen" w:cs="Sylfaen"/>
          <w:b/>
          <w:i/>
        </w:rPr>
        <w:t>ნივთიერებების</w:t>
      </w:r>
      <w:r w:rsidRPr="00631159">
        <w:rPr>
          <w:b/>
          <w:i/>
        </w:rPr>
        <w:t xml:space="preserve"> </w:t>
      </w:r>
      <w:r w:rsidRPr="00631159">
        <w:rPr>
          <w:rFonts w:ascii="Sylfaen" w:hAnsi="Sylfaen" w:cs="Sylfaen"/>
          <w:b/>
          <w:i/>
        </w:rPr>
        <w:t>დაღვრის</w:t>
      </w:r>
      <w:r w:rsidRPr="00631159">
        <w:rPr>
          <w:b/>
          <w:i/>
        </w:rPr>
        <w:t xml:space="preserve"> </w:t>
      </w:r>
      <w:r w:rsidRPr="00631159">
        <w:rPr>
          <w:rFonts w:ascii="Sylfaen" w:hAnsi="Sylfaen" w:cs="Sylfaen"/>
          <w:b/>
          <w:i/>
        </w:rPr>
        <w:t>შემთხვევაში</w:t>
      </w:r>
      <w:bookmarkEnd w:id="648"/>
      <w:bookmarkEnd w:id="649"/>
      <w:bookmarkEnd w:id="650"/>
      <w:bookmarkEnd w:id="651"/>
      <w:bookmarkEnd w:id="652"/>
      <w:bookmarkEnd w:id="653"/>
      <w:bookmarkEnd w:id="654"/>
    </w:p>
    <w:p w14:paraId="03711F09" w14:textId="77777777" w:rsidR="00A2588D" w:rsidRPr="003D733D" w:rsidRDefault="00A2588D" w:rsidP="00A2588D">
      <w:pPr>
        <w:spacing w:before="120" w:after="120"/>
        <w:rPr>
          <w:lang w:val="ka-GE" w:eastAsia="ru-RU"/>
        </w:rPr>
      </w:pPr>
      <w:r w:rsidRPr="003D733D">
        <w:rPr>
          <w:rFonts w:ascii="Sylfaen" w:hAnsi="Sylfaen" w:cs="Sylfaen"/>
        </w:rPr>
        <w:t>ვინაიდან</w:t>
      </w:r>
      <w:r w:rsidRPr="003D733D">
        <w:t xml:space="preserve"> </w:t>
      </w:r>
      <w:r w:rsidRPr="003D733D">
        <w:rPr>
          <w:rFonts w:ascii="Sylfaen" w:hAnsi="Sylfaen" w:cs="Sylfaen"/>
        </w:rPr>
        <w:t>საქმიანობის</w:t>
      </w:r>
      <w:r w:rsidRPr="003D733D">
        <w:t xml:space="preserve"> </w:t>
      </w:r>
      <w:r w:rsidRPr="003D733D">
        <w:rPr>
          <w:rFonts w:ascii="Sylfaen" w:hAnsi="Sylfaen" w:cs="Sylfaen"/>
        </w:rPr>
        <w:t>განხორციელების</w:t>
      </w:r>
      <w:r w:rsidRPr="003D733D">
        <w:t xml:space="preserve"> </w:t>
      </w:r>
      <w:r w:rsidRPr="003D733D">
        <w:rPr>
          <w:rFonts w:ascii="Sylfaen" w:hAnsi="Sylfaen" w:cs="Sylfaen"/>
        </w:rPr>
        <w:t>დროს</w:t>
      </w:r>
      <w:r w:rsidRPr="003D733D">
        <w:t xml:space="preserve"> </w:t>
      </w:r>
      <w:r w:rsidRPr="003D733D">
        <w:rPr>
          <w:rFonts w:ascii="Sylfaen" w:hAnsi="Sylfaen" w:cs="Sylfaen"/>
        </w:rPr>
        <w:t>დიდი</w:t>
      </w:r>
      <w:r w:rsidRPr="003D733D">
        <w:t xml:space="preserve"> </w:t>
      </w:r>
      <w:r w:rsidRPr="003D733D">
        <w:rPr>
          <w:rFonts w:ascii="Sylfaen" w:hAnsi="Sylfaen" w:cs="Sylfaen"/>
        </w:rPr>
        <w:t>რაოდენობით</w:t>
      </w:r>
      <w:r w:rsidRPr="003D733D">
        <w:t xml:space="preserve"> </w:t>
      </w:r>
      <w:r w:rsidRPr="003D733D">
        <w:rPr>
          <w:rFonts w:ascii="Sylfaen" w:hAnsi="Sylfaen" w:cs="Sylfaen"/>
        </w:rPr>
        <w:t>ნავთობპროდუქტების</w:t>
      </w:r>
      <w:r w:rsidRPr="003D733D">
        <w:t xml:space="preserve"> </w:t>
      </w:r>
      <w:r w:rsidRPr="003D733D">
        <w:rPr>
          <w:rFonts w:ascii="Sylfaen" w:hAnsi="Sylfaen" w:cs="Sylfaen"/>
        </w:rPr>
        <w:t>და</w:t>
      </w:r>
      <w:r w:rsidRPr="003D733D">
        <w:t xml:space="preserve"> </w:t>
      </w:r>
      <w:r w:rsidRPr="003D733D">
        <w:rPr>
          <w:rFonts w:ascii="Sylfaen" w:hAnsi="Sylfaen" w:cs="Sylfaen"/>
        </w:rPr>
        <w:t>სხვა</w:t>
      </w:r>
      <w:r w:rsidRPr="003D733D">
        <w:t xml:space="preserve"> </w:t>
      </w:r>
      <w:r w:rsidRPr="003D733D">
        <w:rPr>
          <w:rFonts w:ascii="Sylfaen" w:hAnsi="Sylfaen" w:cs="Sylfaen"/>
        </w:rPr>
        <w:t>საშიში</w:t>
      </w:r>
      <w:r w:rsidRPr="003D733D">
        <w:t xml:space="preserve"> </w:t>
      </w:r>
      <w:r w:rsidRPr="003D733D">
        <w:rPr>
          <w:rFonts w:ascii="Sylfaen" w:hAnsi="Sylfaen" w:cs="Sylfaen"/>
        </w:rPr>
        <w:t>თხევადი</w:t>
      </w:r>
      <w:r w:rsidRPr="003D733D">
        <w:t xml:space="preserve"> </w:t>
      </w:r>
      <w:r w:rsidRPr="003D733D">
        <w:rPr>
          <w:rFonts w:ascii="Sylfaen" w:hAnsi="Sylfaen" w:cs="Sylfaen"/>
        </w:rPr>
        <w:t>ნივთიერებების</w:t>
      </w:r>
      <w:r w:rsidRPr="003D733D">
        <w:t xml:space="preserve"> </w:t>
      </w:r>
      <w:r w:rsidRPr="003D733D">
        <w:rPr>
          <w:rFonts w:ascii="Sylfaen" w:hAnsi="Sylfaen" w:cs="Sylfaen"/>
        </w:rPr>
        <w:t>შენახვა</w:t>
      </w:r>
      <w:r w:rsidRPr="003D733D">
        <w:t xml:space="preserve"> / </w:t>
      </w:r>
      <w:r w:rsidRPr="003D733D">
        <w:rPr>
          <w:rFonts w:ascii="Sylfaen" w:hAnsi="Sylfaen" w:cs="Sylfaen"/>
        </w:rPr>
        <w:t>დასაწყობება</w:t>
      </w:r>
      <w:r w:rsidRPr="003D733D">
        <w:t xml:space="preserve"> </w:t>
      </w:r>
      <w:r w:rsidRPr="003D733D">
        <w:rPr>
          <w:rFonts w:ascii="Sylfaen" w:hAnsi="Sylfaen" w:cs="Sylfaen"/>
        </w:rPr>
        <w:t>ადგილზე</w:t>
      </w:r>
      <w:r w:rsidRPr="003D733D">
        <w:t xml:space="preserve"> </w:t>
      </w:r>
      <w:r w:rsidRPr="003D733D">
        <w:rPr>
          <w:rFonts w:ascii="Sylfaen" w:hAnsi="Sylfaen" w:cs="Sylfaen"/>
        </w:rPr>
        <w:t>არ</w:t>
      </w:r>
      <w:r w:rsidRPr="003D733D">
        <w:t xml:space="preserve"> </w:t>
      </w:r>
      <w:r w:rsidRPr="003D733D">
        <w:rPr>
          <w:rFonts w:ascii="Sylfaen" w:hAnsi="Sylfaen" w:cs="Sylfaen"/>
        </w:rPr>
        <w:t>მოხდება</w:t>
      </w:r>
      <w:r w:rsidRPr="003D733D">
        <w:t xml:space="preserve">, </w:t>
      </w:r>
      <w:r w:rsidRPr="003D733D">
        <w:rPr>
          <w:rFonts w:ascii="Sylfaen" w:hAnsi="Sylfaen" w:cs="Sylfaen"/>
        </w:rPr>
        <w:t>წინამდებარე</w:t>
      </w:r>
      <w:r w:rsidRPr="003D733D">
        <w:t xml:space="preserve"> </w:t>
      </w:r>
      <w:r w:rsidRPr="003D733D">
        <w:rPr>
          <w:rFonts w:ascii="Sylfaen" w:hAnsi="Sylfaen" w:cs="Sylfaen"/>
        </w:rPr>
        <w:t>ქვეთავში</w:t>
      </w:r>
      <w:r w:rsidRPr="003D733D">
        <w:t xml:space="preserve"> </w:t>
      </w:r>
      <w:r w:rsidRPr="003D733D">
        <w:rPr>
          <w:rFonts w:ascii="Sylfaen" w:hAnsi="Sylfaen" w:cs="Sylfaen"/>
        </w:rPr>
        <w:t>განხილულია</w:t>
      </w:r>
      <w:r w:rsidRPr="003D733D">
        <w:t xml:space="preserve"> </w:t>
      </w:r>
      <w:r w:rsidRPr="003D733D">
        <w:rPr>
          <w:rFonts w:ascii="Sylfaen" w:hAnsi="Sylfaen" w:cs="Sylfaen"/>
        </w:rPr>
        <w:t>მხოლოდ</w:t>
      </w:r>
      <w:r w:rsidRPr="003D733D">
        <w:t xml:space="preserve"> I </w:t>
      </w:r>
      <w:r w:rsidRPr="003D733D">
        <w:rPr>
          <w:rFonts w:ascii="Sylfaen" w:hAnsi="Sylfaen" w:cs="Sylfaen"/>
        </w:rPr>
        <w:t>დონის</w:t>
      </w:r>
      <w:r w:rsidRPr="003D733D">
        <w:t xml:space="preserve"> </w:t>
      </w:r>
      <w:r w:rsidRPr="003D733D">
        <w:rPr>
          <w:rFonts w:ascii="Sylfaen" w:hAnsi="Sylfaen" w:cs="Sylfaen"/>
        </w:rPr>
        <w:t>ავარიული</w:t>
      </w:r>
      <w:r w:rsidRPr="003D733D">
        <w:t xml:space="preserve"> </w:t>
      </w:r>
      <w:r w:rsidRPr="003D733D">
        <w:rPr>
          <w:rFonts w:ascii="Sylfaen" w:hAnsi="Sylfaen" w:cs="Sylfaen"/>
        </w:rPr>
        <w:t>სიტუაციებზე</w:t>
      </w:r>
      <w:r w:rsidRPr="003D733D">
        <w:t xml:space="preserve"> </w:t>
      </w:r>
      <w:r w:rsidRPr="003D733D">
        <w:rPr>
          <w:rFonts w:ascii="Sylfaen" w:hAnsi="Sylfaen" w:cs="Sylfaen"/>
        </w:rPr>
        <w:t>რეაგირების</w:t>
      </w:r>
      <w:r w:rsidRPr="003D733D">
        <w:t xml:space="preserve"> </w:t>
      </w:r>
      <w:r w:rsidRPr="003D733D">
        <w:rPr>
          <w:rFonts w:ascii="Sylfaen" w:hAnsi="Sylfaen" w:cs="Sylfaen"/>
        </w:rPr>
        <w:t>სტრატეგია</w:t>
      </w:r>
      <w:r w:rsidRPr="003D733D">
        <w:t xml:space="preserve">. </w:t>
      </w:r>
      <w:r w:rsidRPr="003D733D">
        <w:rPr>
          <w:rFonts w:ascii="Sylfaen" w:hAnsi="Sylfaen" w:cs="Sylfaen"/>
        </w:rPr>
        <w:t>საშიში</w:t>
      </w:r>
      <w:r w:rsidRPr="003D733D">
        <w:t xml:space="preserve"> </w:t>
      </w:r>
      <w:r w:rsidRPr="003D733D">
        <w:rPr>
          <w:rFonts w:ascii="Sylfaen" w:hAnsi="Sylfaen" w:cs="Sylfaen"/>
        </w:rPr>
        <w:t>ნივთიერებების</w:t>
      </w:r>
      <w:r w:rsidRPr="003D733D">
        <w:t xml:space="preserve"> </w:t>
      </w:r>
      <w:r w:rsidRPr="003D733D">
        <w:rPr>
          <w:rFonts w:ascii="Sylfaen" w:hAnsi="Sylfaen" w:cs="Sylfaen"/>
        </w:rPr>
        <w:t>დაღვრის</w:t>
      </w:r>
      <w:r w:rsidRPr="003D733D">
        <w:t xml:space="preserve"> </w:t>
      </w:r>
      <w:r w:rsidRPr="003D733D">
        <w:rPr>
          <w:rFonts w:ascii="Sylfaen" w:hAnsi="Sylfaen" w:cs="Sylfaen"/>
        </w:rPr>
        <w:t>რეაგირების</w:t>
      </w:r>
      <w:r w:rsidRPr="003D733D">
        <w:t xml:space="preserve"> </w:t>
      </w:r>
      <w:r w:rsidRPr="003D733D">
        <w:rPr>
          <w:rFonts w:ascii="Sylfaen" w:hAnsi="Sylfaen" w:cs="Sylfaen"/>
        </w:rPr>
        <w:t>სახეებს</w:t>
      </w:r>
      <w:r w:rsidRPr="003D733D">
        <w:t xml:space="preserve"> </w:t>
      </w:r>
      <w:r w:rsidRPr="003D733D">
        <w:rPr>
          <w:rFonts w:ascii="Sylfaen" w:hAnsi="Sylfaen" w:cs="Sylfaen"/>
        </w:rPr>
        <w:t>მნიშვნელოვნად</w:t>
      </w:r>
      <w:r w:rsidRPr="003D733D">
        <w:t xml:space="preserve"> </w:t>
      </w:r>
      <w:r w:rsidRPr="003D733D">
        <w:rPr>
          <w:rFonts w:ascii="Sylfaen" w:hAnsi="Sylfaen" w:cs="Sylfaen"/>
        </w:rPr>
        <w:t>განსაზღვრავს</w:t>
      </w:r>
      <w:r w:rsidRPr="003D733D">
        <w:t xml:space="preserve"> </w:t>
      </w:r>
      <w:r w:rsidRPr="003D733D">
        <w:rPr>
          <w:rFonts w:ascii="Sylfaen" w:hAnsi="Sylfaen" w:cs="Sylfaen"/>
        </w:rPr>
        <w:t>მიწის</w:t>
      </w:r>
      <w:r w:rsidRPr="003D733D">
        <w:t xml:space="preserve"> </w:t>
      </w:r>
      <w:r w:rsidRPr="003D733D">
        <w:rPr>
          <w:rFonts w:ascii="Sylfaen" w:hAnsi="Sylfaen" w:cs="Sylfaen"/>
        </w:rPr>
        <w:t>ზედაპირის</w:t>
      </w:r>
      <w:r w:rsidRPr="003D733D">
        <w:t xml:space="preserve"> </w:t>
      </w:r>
      <w:r w:rsidRPr="003D733D">
        <w:rPr>
          <w:rFonts w:ascii="Sylfaen" w:hAnsi="Sylfaen" w:cs="Sylfaen"/>
        </w:rPr>
        <w:t>სახე</w:t>
      </w:r>
      <w:r w:rsidRPr="003D733D">
        <w:t xml:space="preserve">. </w:t>
      </w:r>
      <w:r w:rsidRPr="003D733D">
        <w:rPr>
          <w:rFonts w:ascii="Sylfaen" w:hAnsi="Sylfaen" w:cs="Sylfaen"/>
        </w:rPr>
        <w:t>აგრეთვე</w:t>
      </w:r>
      <w:r w:rsidRPr="003D733D">
        <w:t xml:space="preserve">, </w:t>
      </w:r>
      <w:r w:rsidRPr="003D733D">
        <w:rPr>
          <w:rFonts w:ascii="Sylfaen" w:hAnsi="Sylfaen" w:cs="Sylfaen"/>
        </w:rPr>
        <w:t>მისი</w:t>
      </w:r>
      <w:r w:rsidRPr="003D733D">
        <w:t xml:space="preserve"> </w:t>
      </w:r>
      <w:r w:rsidRPr="003D733D">
        <w:rPr>
          <w:rFonts w:ascii="Sylfaen" w:hAnsi="Sylfaen" w:cs="Sylfaen"/>
        </w:rPr>
        <w:t>პირვანდელი</w:t>
      </w:r>
      <w:r w:rsidRPr="003D733D">
        <w:t xml:space="preserve"> </w:t>
      </w:r>
      <w:r w:rsidRPr="003D733D">
        <w:rPr>
          <w:rFonts w:ascii="Sylfaen" w:hAnsi="Sylfaen" w:cs="Sylfaen"/>
        </w:rPr>
        <w:t>მდგომარეობა</w:t>
      </w:r>
      <w:r w:rsidRPr="003D733D">
        <w:t xml:space="preserve">. </w:t>
      </w:r>
    </w:p>
    <w:p w14:paraId="25C04F13" w14:textId="77777777" w:rsidR="00A2588D" w:rsidRPr="003D733D" w:rsidRDefault="00A2588D" w:rsidP="00A2588D">
      <w:pPr>
        <w:spacing w:before="120" w:after="120"/>
      </w:pPr>
      <w:r w:rsidRPr="003D733D">
        <w:rPr>
          <w:rFonts w:ascii="Sylfaen" w:hAnsi="Sylfaen" w:cs="Sylfaen"/>
        </w:rPr>
        <w:t>შეღწევად</w:t>
      </w:r>
      <w:r w:rsidRPr="003D733D">
        <w:t xml:space="preserve"> </w:t>
      </w:r>
      <w:r w:rsidRPr="003D733D">
        <w:rPr>
          <w:rFonts w:ascii="Sylfaen" w:hAnsi="Sylfaen" w:cs="Sylfaen"/>
        </w:rPr>
        <w:t>ზედაპირზე</w:t>
      </w:r>
      <w:r w:rsidRPr="003D733D">
        <w:t xml:space="preserve"> </w:t>
      </w:r>
      <w:r w:rsidRPr="003D733D">
        <w:rPr>
          <w:rFonts w:ascii="Sylfaen" w:hAnsi="Sylfaen" w:cs="Sylfaen"/>
        </w:rPr>
        <w:t>ნავთობპროდუქტების</w:t>
      </w:r>
      <w:r w:rsidRPr="003D733D">
        <w:t xml:space="preserve"> </w:t>
      </w:r>
      <w:r w:rsidRPr="003D733D">
        <w:rPr>
          <w:rFonts w:ascii="Sylfaen" w:hAnsi="Sylfaen" w:cs="Sylfaen"/>
        </w:rPr>
        <w:t>დაღვრის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საჭიროა</w:t>
      </w:r>
      <w:r w:rsidRPr="003D733D">
        <w:t xml:space="preserve"> </w:t>
      </w:r>
      <w:r w:rsidRPr="003D733D">
        <w:rPr>
          <w:rFonts w:ascii="Sylfaen" w:hAnsi="Sylfaen" w:cs="Sylfaen"/>
        </w:rPr>
        <w:t>შემდეგი</w:t>
      </w:r>
      <w:r w:rsidRPr="003D733D">
        <w:t xml:space="preserve"> </w:t>
      </w:r>
      <w:r w:rsidRPr="003D733D">
        <w:rPr>
          <w:rFonts w:ascii="Sylfaen" w:hAnsi="Sylfaen" w:cs="Sylfaen"/>
        </w:rPr>
        <w:t>სტრატეგიული</w:t>
      </w:r>
      <w:r w:rsidRPr="003D733D">
        <w:t xml:space="preserve"> </w:t>
      </w:r>
      <w:r w:rsidRPr="003D733D">
        <w:rPr>
          <w:rFonts w:ascii="Sylfaen" w:hAnsi="Sylfaen" w:cs="Sylfaen"/>
        </w:rPr>
        <w:t>ქმედებების</w:t>
      </w:r>
      <w:r w:rsidRPr="003D733D">
        <w:t xml:space="preserve"> </w:t>
      </w:r>
      <w:r w:rsidRPr="003D733D">
        <w:rPr>
          <w:rFonts w:ascii="Sylfaen" w:hAnsi="Sylfaen" w:cs="Sylfaen"/>
        </w:rPr>
        <w:t>განხორციელება</w:t>
      </w:r>
      <w:r w:rsidRPr="003D733D">
        <w:t>:</w:t>
      </w:r>
    </w:p>
    <w:p w14:paraId="5DA64539" w14:textId="77777777" w:rsidR="00A2588D" w:rsidRPr="003D733D" w:rsidRDefault="00A2588D" w:rsidP="00A2588D">
      <w:pPr>
        <w:spacing w:before="120" w:after="120"/>
      </w:pPr>
      <w:r w:rsidRPr="003D733D">
        <w:rPr>
          <w:rFonts w:ascii="Sylfaen" w:hAnsi="Sylfaen" w:cs="Sylfaen"/>
        </w:rPr>
        <w:lastRenderedPageBreak/>
        <w:t>ცხელ</w:t>
      </w:r>
      <w:r w:rsidRPr="003D733D">
        <w:t xml:space="preserve"> </w:t>
      </w:r>
      <w:r w:rsidRPr="003D733D">
        <w:rPr>
          <w:rFonts w:ascii="Sylfaen" w:hAnsi="Sylfaen" w:cs="Sylfaen"/>
        </w:rPr>
        <w:t>ხაზზე</w:t>
      </w:r>
      <w:r w:rsidRPr="003D733D">
        <w:t xml:space="preserve"> </w:t>
      </w:r>
      <w:r w:rsidRPr="003D733D">
        <w:rPr>
          <w:rFonts w:ascii="Sylfaen" w:hAnsi="Sylfaen" w:cs="Sylfaen"/>
        </w:rPr>
        <w:t>დარეკვა</w:t>
      </w:r>
      <w:r w:rsidRPr="003D733D">
        <w:t xml:space="preserve"> </w:t>
      </w:r>
      <w:r w:rsidRPr="003D733D">
        <w:rPr>
          <w:rFonts w:ascii="Sylfaen" w:hAnsi="Sylfaen" w:cs="Sylfaen"/>
        </w:rPr>
        <w:t>და</w:t>
      </w:r>
      <w:r w:rsidRPr="003D733D">
        <w:t xml:space="preserve"> H&amp;SE </w:t>
      </w:r>
      <w:r w:rsidRPr="003D733D">
        <w:rPr>
          <w:rFonts w:ascii="Sylfaen" w:hAnsi="Sylfaen" w:cs="Sylfaen"/>
        </w:rPr>
        <w:t>მენეჯერის</w:t>
      </w:r>
      <w:r w:rsidRPr="003D733D">
        <w:t xml:space="preserve"> </w:t>
      </w:r>
      <w:r w:rsidRPr="003D733D">
        <w:rPr>
          <w:rFonts w:ascii="Sylfaen" w:hAnsi="Sylfaen" w:cs="Sylfaen"/>
        </w:rPr>
        <w:t>ინფორმირება</w:t>
      </w:r>
      <w:r w:rsidRPr="003D733D">
        <w:t xml:space="preserve"> </w:t>
      </w:r>
      <w:r w:rsidRPr="003D733D">
        <w:rPr>
          <w:rFonts w:ascii="Sylfaen" w:hAnsi="Sylfaen" w:cs="Sylfaen"/>
        </w:rPr>
        <w:t>ავარიის</w:t>
      </w:r>
      <w:r w:rsidRPr="003D733D">
        <w:t xml:space="preserve"> </w:t>
      </w:r>
      <w:r w:rsidRPr="003D733D">
        <w:rPr>
          <w:rFonts w:ascii="Sylfaen" w:hAnsi="Sylfaen" w:cs="Sylfaen"/>
        </w:rPr>
        <w:t>შესახებ</w:t>
      </w:r>
      <w:r w:rsidRPr="003D733D">
        <w:t>;</w:t>
      </w:r>
    </w:p>
    <w:p w14:paraId="4EBA73D2" w14:textId="77777777" w:rsidR="00A2588D" w:rsidRPr="003D733D" w:rsidRDefault="00A2588D" w:rsidP="00A2588D">
      <w:pPr>
        <w:spacing w:before="120" w:after="120"/>
      </w:pPr>
      <w:r w:rsidRPr="003D733D">
        <w:rPr>
          <w:rFonts w:ascii="Sylfaen" w:hAnsi="Sylfaen" w:cs="Sylfaen"/>
        </w:rPr>
        <w:t>უბანზე</w:t>
      </w:r>
      <w:r w:rsidRPr="003D733D">
        <w:t xml:space="preserve"> </w:t>
      </w:r>
      <w:r w:rsidRPr="003D733D">
        <w:rPr>
          <w:rFonts w:ascii="Sylfaen" w:hAnsi="Sylfaen" w:cs="Sylfaen"/>
        </w:rPr>
        <w:t>მომუშავე</w:t>
      </w:r>
      <w:r w:rsidRPr="003D733D">
        <w:t xml:space="preserve"> </w:t>
      </w:r>
      <w:r w:rsidRPr="003D733D">
        <w:rPr>
          <w:rFonts w:ascii="Sylfaen" w:hAnsi="Sylfaen" w:cs="Sylfaen"/>
        </w:rPr>
        <w:t>ყველა</w:t>
      </w:r>
      <w:r w:rsidRPr="003D733D">
        <w:t xml:space="preserve"> </w:t>
      </w:r>
      <w:r w:rsidRPr="003D733D">
        <w:rPr>
          <w:rFonts w:ascii="Sylfaen" w:hAnsi="Sylfaen" w:cs="Sylfaen"/>
        </w:rPr>
        <w:t>დანადგარ</w:t>
      </w:r>
      <w:r w:rsidRPr="003D733D">
        <w:t>-</w:t>
      </w:r>
      <w:r w:rsidRPr="003D733D">
        <w:rPr>
          <w:rFonts w:ascii="Sylfaen" w:hAnsi="Sylfaen" w:cs="Sylfaen"/>
        </w:rPr>
        <w:t>მექანიზმის</w:t>
      </w:r>
      <w:r w:rsidRPr="003D733D">
        <w:t xml:space="preserve"> </w:t>
      </w:r>
      <w:r w:rsidRPr="003D733D">
        <w:rPr>
          <w:rFonts w:ascii="Sylfaen" w:hAnsi="Sylfaen" w:cs="Sylfaen"/>
        </w:rPr>
        <w:t>გაჩერება</w:t>
      </w:r>
      <w:r w:rsidRPr="003D733D">
        <w:t xml:space="preserve">. </w:t>
      </w:r>
      <w:r w:rsidRPr="003D733D">
        <w:rPr>
          <w:rFonts w:ascii="Sylfaen" w:hAnsi="Sylfaen" w:cs="Sylfaen"/>
        </w:rPr>
        <w:t>აუცილებელ</w:t>
      </w:r>
      <w:r w:rsidRPr="003D733D">
        <w:t xml:space="preserve"> </w:t>
      </w:r>
      <w:r w:rsidRPr="003D733D">
        <w:rPr>
          <w:rFonts w:ascii="Sylfaen" w:hAnsi="Sylfaen" w:cs="Sylfaen"/>
        </w:rPr>
        <w:t>პირობას</w:t>
      </w:r>
      <w:r w:rsidRPr="003D733D">
        <w:t xml:space="preserve"> </w:t>
      </w:r>
      <w:r w:rsidRPr="003D733D">
        <w:rPr>
          <w:rFonts w:ascii="Sylfaen" w:hAnsi="Sylfaen" w:cs="Sylfaen"/>
        </w:rPr>
        <w:t>წარმოადგენს</w:t>
      </w:r>
      <w:r w:rsidRPr="003D733D">
        <w:t xml:space="preserve"> </w:t>
      </w:r>
      <w:r w:rsidRPr="003D733D">
        <w:rPr>
          <w:rFonts w:ascii="Sylfaen" w:hAnsi="Sylfaen" w:cs="Sylfaen"/>
        </w:rPr>
        <w:t>დაღვრის</w:t>
      </w:r>
      <w:r w:rsidRPr="003D733D">
        <w:t xml:space="preserve"> </w:t>
      </w:r>
      <w:r w:rsidRPr="003D733D">
        <w:rPr>
          <w:rFonts w:ascii="Sylfaen" w:hAnsi="Sylfaen" w:cs="Sylfaen"/>
        </w:rPr>
        <w:t>სიახლოვეს</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ყველა</w:t>
      </w:r>
      <w:r w:rsidRPr="003D733D">
        <w:t xml:space="preserve"> </w:t>
      </w:r>
      <w:r w:rsidRPr="003D733D">
        <w:rPr>
          <w:rFonts w:ascii="Sylfaen" w:hAnsi="Sylfaen" w:cs="Sylfaen"/>
        </w:rPr>
        <w:t>ელექტროდანადგარის</w:t>
      </w:r>
      <w:r w:rsidRPr="003D733D">
        <w:t xml:space="preserve"> - </w:t>
      </w:r>
      <w:r w:rsidRPr="003D733D">
        <w:rPr>
          <w:rFonts w:ascii="Sylfaen" w:hAnsi="Sylfaen" w:cs="Sylfaen"/>
        </w:rPr>
        <w:t>ტრანსფორმატორები</w:t>
      </w:r>
      <w:r w:rsidRPr="003D733D">
        <w:t xml:space="preserve">, </w:t>
      </w:r>
      <w:r w:rsidRPr="003D733D">
        <w:rPr>
          <w:rFonts w:ascii="Sylfaen" w:hAnsi="Sylfaen" w:cs="Sylfaen"/>
        </w:rPr>
        <w:t>ამომრთველები</w:t>
      </w:r>
      <w:r w:rsidRPr="003D733D">
        <w:t xml:space="preserve"> </w:t>
      </w:r>
      <w:r w:rsidRPr="003D733D">
        <w:rPr>
          <w:rFonts w:ascii="Sylfaen" w:hAnsi="Sylfaen" w:cs="Sylfaen"/>
        </w:rPr>
        <w:t>და</w:t>
      </w:r>
      <w:r w:rsidRPr="003D733D">
        <w:t xml:space="preserve"> </w:t>
      </w:r>
      <w:r w:rsidRPr="003D733D">
        <w:rPr>
          <w:rFonts w:ascii="Sylfaen" w:hAnsi="Sylfaen" w:cs="Sylfaen"/>
        </w:rPr>
        <w:t>სხვა</w:t>
      </w:r>
      <w:r w:rsidRPr="003D733D">
        <w:t xml:space="preserve"> </w:t>
      </w:r>
      <w:r w:rsidRPr="003D733D">
        <w:rPr>
          <w:rFonts w:ascii="Sylfaen" w:hAnsi="Sylfaen" w:cs="Sylfaen"/>
        </w:rPr>
        <w:t>გათიშვა</w:t>
      </w:r>
      <w:r w:rsidRPr="003D733D">
        <w:t xml:space="preserve"> </w:t>
      </w:r>
      <w:r w:rsidRPr="003D733D">
        <w:rPr>
          <w:rFonts w:ascii="Sylfaen" w:hAnsi="Sylfaen" w:cs="Sylfaen"/>
        </w:rPr>
        <w:t>შესაბამისი</w:t>
      </w:r>
      <w:r w:rsidRPr="003D733D">
        <w:t xml:space="preserve"> </w:t>
      </w:r>
      <w:r w:rsidRPr="003D733D">
        <w:rPr>
          <w:rFonts w:ascii="Sylfaen" w:hAnsi="Sylfaen" w:cs="Sylfaen"/>
        </w:rPr>
        <w:t>თანმიმდევრობით</w:t>
      </w:r>
      <w:r w:rsidRPr="003D733D">
        <w:t>);</w:t>
      </w:r>
    </w:p>
    <w:p w14:paraId="61FA3081" w14:textId="77777777" w:rsidR="00A2588D" w:rsidRPr="003D733D" w:rsidRDefault="00A2588D" w:rsidP="00A2588D">
      <w:pPr>
        <w:spacing w:before="120" w:after="120"/>
      </w:pPr>
      <w:r w:rsidRPr="003D733D">
        <w:rPr>
          <w:rFonts w:ascii="Sylfaen" w:hAnsi="Sylfaen" w:cs="Sylfaen"/>
        </w:rPr>
        <w:t>დაბინძურების</w:t>
      </w:r>
      <w:r w:rsidRPr="003D733D">
        <w:t xml:space="preserve"> </w:t>
      </w:r>
      <w:r w:rsidRPr="003D733D">
        <w:rPr>
          <w:rFonts w:ascii="Sylfaen" w:hAnsi="Sylfaen" w:cs="Sylfaen"/>
        </w:rPr>
        <w:t>წყაროს</w:t>
      </w:r>
      <w:r w:rsidRPr="003D733D">
        <w:t xml:space="preserve"> </w:t>
      </w:r>
      <w:r w:rsidRPr="003D733D">
        <w:rPr>
          <w:rFonts w:ascii="Sylfaen" w:hAnsi="Sylfaen" w:cs="Sylfaen"/>
        </w:rPr>
        <w:t>გადაკეტვა</w:t>
      </w:r>
      <w:r w:rsidRPr="003D733D">
        <w:t xml:space="preserve"> (</w:t>
      </w:r>
      <w:r w:rsidRPr="003D733D">
        <w:rPr>
          <w:rFonts w:ascii="Sylfaen" w:hAnsi="Sylfaen" w:cs="Sylfaen"/>
        </w:rPr>
        <w:t>არსებობის</w:t>
      </w:r>
      <w:r w:rsidRPr="003D733D">
        <w:t xml:space="preserve"> </w:t>
      </w:r>
      <w:r w:rsidRPr="003D733D">
        <w:rPr>
          <w:rFonts w:ascii="Sylfaen" w:hAnsi="Sylfaen" w:cs="Sylfaen"/>
        </w:rPr>
        <w:t>შემთხვევაში</w:t>
      </w:r>
      <w:r w:rsidRPr="003D733D">
        <w:t>);</w:t>
      </w:r>
    </w:p>
    <w:p w14:paraId="5623B04F" w14:textId="77777777" w:rsidR="00A2588D" w:rsidRPr="003D733D" w:rsidRDefault="00A2588D" w:rsidP="00A2588D">
      <w:pPr>
        <w:spacing w:before="120" w:after="120"/>
      </w:pPr>
      <w:r w:rsidRPr="003D733D">
        <w:rPr>
          <w:rFonts w:ascii="Sylfaen" w:hAnsi="Sylfaen" w:cs="Sylfaen"/>
        </w:rPr>
        <w:t>ეთხოვოს</w:t>
      </w:r>
      <w:r w:rsidRPr="003D733D">
        <w:t xml:space="preserve"> </w:t>
      </w:r>
      <w:r w:rsidRPr="003D733D">
        <w:rPr>
          <w:rFonts w:ascii="Sylfaen" w:hAnsi="Sylfaen" w:cs="Sylfaen"/>
        </w:rPr>
        <w:t>პერსონალს</w:t>
      </w:r>
      <w:r w:rsidRPr="003D733D">
        <w:t xml:space="preserve"> </w:t>
      </w:r>
      <w:r w:rsidRPr="003D733D">
        <w:rPr>
          <w:rFonts w:ascii="Sylfaen" w:hAnsi="Sylfaen" w:cs="Sylfaen"/>
        </w:rPr>
        <w:t>ავარიაზე</w:t>
      </w:r>
      <w:r w:rsidRPr="003D733D">
        <w:t xml:space="preserve"> </w:t>
      </w:r>
      <w:r w:rsidRPr="003D733D">
        <w:rPr>
          <w:rFonts w:ascii="Sylfaen" w:hAnsi="Sylfaen" w:cs="Sylfaen"/>
        </w:rPr>
        <w:t>რეაგირებისათვის</w:t>
      </w:r>
      <w:r w:rsidRPr="003D733D">
        <w:t xml:space="preserve"> </w:t>
      </w:r>
      <w:r w:rsidRPr="003D733D">
        <w:rPr>
          <w:rFonts w:ascii="Sylfaen" w:hAnsi="Sylfaen" w:cs="Sylfaen"/>
        </w:rPr>
        <w:t>საჭირო</w:t>
      </w:r>
      <w:r w:rsidRPr="003D733D">
        <w:t xml:space="preserve"> </w:t>
      </w:r>
      <w:r w:rsidRPr="003D733D">
        <w:rPr>
          <w:rFonts w:ascii="Sylfaen" w:hAnsi="Sylfaen" w:cs="Sylfaen"/>
        </w:rPr>
        <w:t>აღჭურვილობის</w:t>
      </w:r>
      <w:r w:rsidRPr="003D733D">
        <w:t xml:space="preserve"> </w:t>
      </w:r>
      <w:r w:rsidRPr="003D733D">
        <w:rPr>
          <w:rFonts w:ascii="Sylfaen" w:hAnsi="Sylfaen" w:cs="Sylfaen"/>
        </w:rPr>
        <w:t>და</w:t>
      </w:r>
      <w:r w:rsidRPr="003D733D">
        <w:t xml:space="preserve"> </w:t>
      </w:r>
      <w:r w:rsidRPr="003D733D">
        <w:rPr>
          <w:rFonts w:ascii="Sylfaen" w:hAnsi="Sylfaen" w:cs="Sylfaen"/>
        </w:rPr>
        <w:t>ინდივიდუალური</w:t>
      </w:r>
      <w:r w:rsidRPr="003D733D">
        <w:t xml:space="preserve"> </w:t>
      </w:r>
      <w:r w:rsidRPr="003D733D">
        <w:rPr>
          <w:rFonts w:ascii="Sylfaen" w:hAnsi="Sylfaen" w:cs="Sylfaen"/>
        </w:rPr>
        <w:t>დაცვის</w:t>
      </w:r>
      <w:r w:rsidRPr="003D733D">
        <w:t xml:space="preserve"> </w:t>
      </w:r>
      <w:r w:rsidRPr="003D733D">
        <w:rPr>
          <w:rFonts w:ascii="Sylfaen" w:hAnsi="Sylfaen" w:cs="Sylfaen"/>
        </w:rPr>
        <w:t>საშუალებების</w:t>
      </w:r>
      <w:r w:rsidRPr="003D733D">
        <w:t xml:space="preserve"> </w:t>
      </w:r>
      <w:r w:rsidRPr="003D733D">
        <w:rPr>
          <w:rFonts w:ascii="Sylfaen" w:hAnsi="Sylfaen" w:cs="Sylfaen"/>
        </w:rPr>
        <w:t>მობილიზება</w:t>
      </w:r>
      <w:r w:rsidRPr="003D733D">
        <w:t>;</w:t>
      </w:r>
    </w:p>
    <w:p w14:paraId="322FB2AC" w14:textId="77777777" w:rsidR="00A2588D" w:rsidRPr="003D733D" w:rsidRDefault="00A2588D" w:rsidP="00A2588D">
      <w:pPr>
        <w:spacing w:before="120" w:after="120"/>
      </w:pPr>
      <w:r w:rsidRPr="003D733D">
        <w:rPr>
          <w:rFonts w:ascii="Sylfaen" w:hAnsi="Sylfaen" w:cs="Sylfaen"/>
        </w:rPr>
        <w:t>მოხდეს</w:t>
      </w:r>
      <w:r w:rsidRPr="003D733D">
        <w:t xml:space="preserve"> </w:t>
      </w:r>
      <w:r w:rsidRPr="003D733D">
        <w:rPr>
          <w:rFonts w:ascii="Sylfaen" w:hAnsi="Sylfaen" w:cs="Sylfaen"/>
        </w:rPr>
        <w:t>სამეურნეო</w:t>
      </w:r>
      <w:r w:rsidRPr="003D733D">
        <w:t>-</w:t>
      </w:r>
      <w:r w:rsidRPr="003D733D">
        <w:rPr>
          <w:rFonts w:ascii="Sylfaen" w:hAnsi="Sylfaen" w:cs="Sylfaen"/>
        </w:rPr>
        <w:t>ფეკალური</w:t>
      </w:r>
      <w:r w:rsidRPr="003D733D">
        <w:t xml:space="preserve"> </w:t>
      </w:r>
      <w:r w:rsidRPr="003D733D">
        <w:rPr>
          <w:rFonts w:ascii="Sylfaen" w:hAnsi="Sylfaen" w:cs="Sylfaen"/>
        </w:rPr>
        <w:t>კანალიზაციის</w:t>
      </w:r>
      <w:r w:rsidRPr="003D733D">
        <w:t xml:space="preserve"> </w:t>
      </w:r>
      <w:r w:rsidRPr="003D733D">
        <w:rPr>
          <w:rFonts w:ascii="Sylfaen" w:hAnsi="Sylfaen" w:cs="Sylfaen"/>
        </w:rPr>
        <w:t>სისტემის</w:t>
      </w:r>
      <w:r w:rsidRPr="003D733D">
        <w:t xml:space="preserve"> </w:t>
      </w:r>
      <w:r w:rsidRPr="003D733D">
        <w:rPr>
          <w:rFonts w:ascii="Sylfaen" w:hAnsi="Sylfaen" w:cs="Sylfaen"/>
        </w:rPr>
        <w:t>შესასვლელების</w:t>
      </w:r>
      <w:r w:rsidRPr="003D733D">
        <w:t xml:space="preserve"> (</w:t>
      </w:r>
      <w:r w:rsidRPr="003D733D">
        <w:rPr>
          <w:rFonts w:ascii="Sylfaen" w:hAnsi="Sylfaen" w:cs="Sylfaen"/>
        </w:rPr>
        <w:t>ჭების</w:t>
      </w:r>
      <w:r w:rsidRPr="003D733D">
        <w:t xml:space="preserve"> </w:t>
      </w:r>
      <w:r w:rsidRPr="003D733D">
        <w:rPr>
          <w:rFonts w:ascii="Sylfaen" w:hAnsi="Sylfaen" w:cs="Sylfaen"/>
        </w:rPr>
        <w:t>ხუფები</w:t>
      </w:r>
      <w:r w:rsidRPr="003D733D">
        <w:t xml:space="preserve">) </w:t>
      </w:r>
      <w:r w:rsidRPr="003D733D">
        <w:rPr>
          <w:rFonts w:ascii="Sylfaen" w:hAnsi="Sylfaen" w:cs="Sylfaen"/>
        </w:rPr>
        <w:t>ბლოკირება</w:t>
      </w:r>
      <w:r w:rsidRPr="003D733D">
        <w:t>;</w:t>
      </w:r>
    </w:p>
    <w:p w14:paraId="6AE64081" w14:textId="77777777" w:rsidR="00A2588D" w:rsidRPr="003D733D" w:rsidRDefault="00A2588D" w:rsidP="00A2588D">
      <w:pPr>
        <w:spacing w:before="120" w:after="120"/>
        <w:rPr>
          <w:lang w:eastAsia="ru-RU"/>
        </w:rPr>
      </w:pPr>
      <w:r w:rsidRPr="003D733D">
        <w:rPr>
          <w:rFonts w:ascii="Sylfaen" w:hAnsi="Sylfaen" w:cs="Sylfaen"/>
        </w:rPr>
        <w:t>შთანმთქმელები</w:t>
      </w:r>
      <w:r w:rsidRPr="003D733D">
        <w:t xml:space="preserve"> </w:t>
      </w:r>
      <w:r w:rsidRPr="003D733D">
        <w:rPr>
          <w:rFonts w:ascii="Sylfaen" w:hAnsi="Sylfaen" w:cs="Sylfaen"/>
        </w:rPr>
        <w:t>უნდა</w:t>
      </w:r>
      <w:r w:rsidRPr="003D733D">
        <w:t xml:space="preserve"> </w:t>
      </w:r>
      <w:r w:rsidRPr="003D733D">
        <w:rPr>
          <w:rFonts w:ascii="Sylfaen" w:hAnsi="Sylfaen" w:cs="Sylfaen"/>
        </w:rPr>
        <w:t>დაეწყოს</w:t>
      </w:r>
      <w:r w:rsidRPr="003D733D">
        <w:t xml:space="preserve"> </w:t>
      </w:r>
      <w:r w:rsidRPr="003D733D">
        <w:rPr>
          <w:rFonts w:ascii="Sylfaen" w:hAnsi="Sylfaen" w:cs="Sylfaen"/>
        </w:rPr>
        <w:t>ერთად</w:t>
      </w:r>
      <w:r w:rsidRPr="003D733D">
        <w:t xml:space="preserve"> </w:t>
      </w:r>
      <w:r w:rsidRPr="003D733D">
        <w:rPr>
          <w:rFonts w:ascii="Sylfaen" w:hAnsi="Sylfaen" w:cs="Sylfaen"/>
        </w:rPr>
        <w:t>ისე</w:t>
      </w:r>
      <w:r w:rsidRPr="003D733D">
        <w:t xml:space="preserve">, </w:t>
      </w:r>
      <w:r w:rsidRPr="003D733D">
        <w:rPr>
          <w:rFonts w:ascii="Sylfaen" w:hAnsi="Sylfaen" w:cs="Sylfaen"/>
        </w:rPr>
        <w:t>რომ</w:t>
      </w:r>
      <w:r w:rsidRPr="003D733D">
        <w:t xml:space="preserve"> </w:t>
      </w:r>
      <w:r w:rsidRPr="003D733D">
        <w:rPr>
          <w:rFonts w:ascii="Sylfaen" w:hAnsi="Sylfaen" w:cs="Sylfaen"/>
        </w:rPr>
        <w:t>შეიქმნას</w:t>
      </w:r>
      <w:r w:rsidRPr="003D733D">
        <w:t xml:space="preserve"> </w:t>
      </w:r>
      <w:r w:rsidRPr="003D733D">
        <w:rPr>
          <w:rFonts w:ascii="Sylfaen" w:hAnsi="Sylfaen" w:cs="Sylfaen"/>
        </w:rPr>
        <w:t>უწყვეტი</w:t>
      </w:r>
      <w:r w:rsidRPr="003D733D">
        <w:t xml:space="preserve"> </w:t>
      </w:r>
      <w:r w:rsidRPr="003D733D">
        <w:rPr>
          <w:rFonts w:ascii="Sylfaen" w:hAnsi="Sylfaen" w:cs="Sylfaen"/>
        </w:rPr>
        <w:t>ბარიერი</w:t>
      </w:r>
      <w:r w:rsidRPr="003D733D">
        <w:t xml:space="preserve"> (</w:t>
      </w:r>
      <w:r w:rsidRPr="003D733D">
        <w:rPr>
          <w:rFonts w:ascii="Sylfaen" w:hAnsi="Sylfaen" w:cs="Sylfaen"/>
        </w:rPr>
        <w:t>ზღუდე</w:t>
      </w:r>
      <w:r w:rsidRPr="003D733D">
        <w:t xml:space="preserve">) </w:t>
      </w:r>
      <w:r w:rsidRPr="003D733D">
        <w:rPr>
          <w:rFonts w:ascii="Sylfaen" w:hAnsi="Sylfaen" w:cs="Sylfaen"/>
        </w:rPr>
        <w:t>მოძრავი</w:t>
      </w:r>
      <w:r w:rsidRPr="003D733D">
        <w:t xml:space="preserve"> </w:t>
      </w:r>
      <w:r w:rsidRPr="003D733D">
        <w:rPr>
          <w:rFonts w:ascii="Sylfaen" w:hAnsi="Sylfaen" w:cs="Sylfaen"/>
        </w:rPr>
        <w:t>ნავთობპროდუქტების</w:t>
      </w:r>
      <w:r w:rsidRPr="003D733D">
        <w:t xml:space="preserve"> </w:t>
      </w:r>
      <w:r w:rsidRPr="003D733D">
        <w:rPr>
          <w:rFonts w:ascii="Sylfaen" w:hAnsi="Sylfaen" w:cs="Sylfaen"/>
        </w:rPr>
        <w:t>წინა</w:t>
      </w:r>
      <w:r w:rsidRPr="003D733D">
        <w:t xml:space="preserve"> </w:t>
      </w:r>
      <w:r w:rsidRPr="003D733D">
        <w:rPr>
          <w:rFonts w:ascii="Sylfaen" w:hAnsi="Sylfaen" w:cs="Sylfaen"/>
        </w:rPr>
        <w:t>კიდის</w:t>
      </w:r>
      <w:r w:rsidRPr="003D733D">
        <w:t xml:space="preserve"> </w:t>
      </w:r>
      <w:r w:rsidRPr="003D733D">
        <w:rPr>
          <w:rFonts w:ascii="Sylfaen" w:hAnsi="Sylfaen" w:cs="Sylfaen"/>
        </w:rPr>
        <w:t>პირისპირ</w:t>
      </w:r>
      <w:r w:rsidRPr="003D733D">
        <w:t xml:space="preserve">. </w:t>
      </w:r>
      <w:r w:rsidRPr="003D733D">
        <w:rPr>
          <w:rFonts w:ascii="Sylfaen" w:hAnsi="Sylfaen" w:cs="Sylfaen"/>
        </w:rPr>
        <w:t>ბარიერის</w:t>
      </w:r>
      <w:r w:rsidRPr="003D733D">
        <w:t xml:space="preserve"> </w:t>
      </w:r>
      <w:r w:rsidRPr="003D733D">
        <w:rPr>
          <w:rFonts w:ascii="Sylfaen" w:hAnsi="Sylfaen" w:cs="Sylfaen"/>
        </w:rPr>
        <w:t>ბოლოები</w:t>
      </w:r>
      <w:r w:rsidRPr="003D733D">
        <w:t xml:space="preserve"> </w:t>
      </w:r>
      <w:r w:rsidRPr="003D733D">
        <w:rPr>
          <w:rFonts w:ascii="Sylfaen" w:hAnsi="Sylfaen" w:cs="Sylfaen"/>
        </w:rPr>
        <w:t>უნდა</w:t>
      </w:r>
      <w:r w:rsidRPr="003D733D">
        <w:t xml:space="preserve"> </w:t>
      </w:r>
      <w:r w:rsidRPr="003D733D">
        <w:rPr>
          <w:rFonts w:ascii="Sylfaen" w:hAnsi="Sylfaen" w:cs="Sylfaen"/>
        </w:rPr>
        <w:t>მოიხაროს</w:t>
      </w:r>
      <w:r w:rsidRPr="003D733D">
        <w:t xml:space="preserve"> </w:t>
      </w:r>
      <w:r w:rsidRPr="003D733D">
        <w:rPr>
          <w:rFonts w:ascii="Sylfaen" w:hAnsi="Sylfaen" w:cs="Sylfaen"/>
        </w:rPr>
        <w:t>წინისკენ</w:t>
      </w:r>
      <w:r w:rsidRPr="003D733D">
        <w:t xml:space="preserve">, </w:t>
      </w:r>
      <w:r w:rsidRPr="003D733D">
        <w:rPr>
          <w:rFonts w:ascii="Sylfaen" w:hAnsi="Sylfaen" w:cs="Sylfaen"/>
        </w:rPr>
        <w:t>რათა</w:t>
      </w:r>
      <w:r w:rsidRPr="003D733D">
        <w:t xml:space="preserve"> </w:t>
      </w:r>
      <w:r w:rsidRPr="003D733D">
        <w:rPr>
          <w:rFonts w:ascii="Sylfaen" w:hAnsi="Sylfaen" w:cs="Sylfaen"/>
        </w:rPr>
        <w:t>მან</w:t>
      </w:r>
      <w:r w:rsidRPr="003D733D">
        <w:t xml:space="preserve"> </w:t>
      </w:r>
      <w:r w:rsidRPr="003D733D">
        <w:rPr>
          <w:rFonts w:ascii="Sylfaen" w:hAnsi="Sylfaen" w:cs="Sylfaen"/>
        </w:rPr>
        <w:t>ნალის</w:t>
      </w:r>
      <w:r w:rsidRPr="003D733D">
        <w:t xml:space="preserve"> </w:t>
      </w:r>
      <w:r w:rsidRPr="003D733D">
        <w:rPr>
          <w:rFonts w:ascii="Sylfaen" w:hAnsi="Sylfaen" w:cs="Sylfaen"/>
        </w:rPr>
        <w:t>ფორმა</w:t>
      </w:r>
      <w:r w:rsidRPr="003D733D">
        <w:t xml:space="preserve"> </w:t>
      </w:r>
      <w:r w:rsidRPr="003D733D">
        <w:rPr>
          <w:rFonts w:ascii="Sylfaen" w:hAnsi="Sylfaen" w:cs="Sylfaen"/>
        </w:rPr>
        <w:t>მიიღოს</w:t>
      </w:r>
      <w:r w:rsidRPr="003D733D">
        <w:t>;</w:t>
      </w:r>
    </w:p>
    <w:p w14:paraId="1E4594C5" w14:textId="77777777" w:rsidR="00A2588D" w:rsidRPr="003D733D" w:rsidRDefault="00A2588D" w:rsidP="00A2588D">
      <w:pPr>
        <w:spacing w:before="120" w:after="120"/>
      </w:pPr>
      <w:r w:rsidRPr="003D733D">
        <w:rPr>
          <w:rFonts w:ascii="Sylfaen" w:hAnsi="Sylfaen" w:cs="Sylfaen"/>
        </w:rPr>
        <w:t>ზეთების</w:t>
      </w:r>
      <w:r w:rsidRPr="003D733D">
        <w:t xml:space="preserve"> / </w:t>
      </w:r>
      <w:r w:rsidRPr="003D733D">
        <w:rPr>
          <w:rFonts w:ascii="Sylfaen" w:hAnsi="Sylfaen" w:cs="Sylfaen"/>
        </w:rPr>
        <w:t>საშიში</w:t>
      </w:r>
      <w:r w:rsidRPr="003D733D">
        <w:t xml:space="preserve"> </w:t>
      </w:r>
      <w:r w:rsidRPr="003D733D">
        <w:rPr>
          <w:rFonts w:ascii="Sylfaen" w:hAnsi="Sylfaen" w:cs="Sylfaen"/>
        </w:rPr>
        <w:t>ნივთიერებების</w:t>
      </w:r>
      <w:r w:rsidRPr="003D733D">
        <w:t xml:space="preserve"> </w:t>
      </w:r>
      <w:r w:rsidRPr="003D733D">
        <w:rPr>
          <w:rFonts w:ascii="Sylfaen" w:hAnsi="Sylfaen" w:cs="Sylfaen"/>
        </w:rPr>
        <w:t>ზედაპირული</w:t>
      </w:r>
      <w:r w:rsidRPr="003D733D">
        <w:t xml:space="preserve"> </w:t>
      </w:r>
      <w:r w:rsidRPr="003D733D">
        <w:rPr>
          <w:rFonts w:ascii="Sylfaen" w:hAnsi="Sylfaen" w:cs="Sylfaen"/>
        </w:rPr>
        <w:t>წყლის</w:t>
      </w:r>
      <w:r w:rsidRPr="003D733D">
        <w:t xml:space="preserve"> </w:t>
      </w:r>
      <w:r w:rsidRPr="003D733D">
        <w:rPr>
          <w:rFonts w:ascii="Sylfaen" w:hAnsi="Sylfaen" w:cs="Sylfaen"/>
        </w:rPr>
        <w:t>ობიექტში</w:t>
      </w:r>
      <w:r w:rsidRPr="003D733D">
        <w:t xml:space="preserve"> </w:t>
      </w:r>
      <w:r w:rsidRPr="003D733D">
        <w:rPr>
          <w:rFonts w:ascii="Sylfaen" w:hAnsi="Sylfaen" w:cs="Sylfaen"/>
        </w:rPr>
        <w:t>ჩაღვრის</w:t>
      </w:r>
      <w:r w:rsidRPr="003D733D">
        <w:t xml:space="preserve"> </w:t>
      </w:r>
      <w:r w:rsidRPr="003D733D">
        <w:rPr>
          <w:rFonts w:ascii="Sylfaen" w:hAnsi="Sylfaen" w:cs="Sylfaen"/>
        </w:rPr>
        <w:t>რისკების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აუცილებლად</w:t>
      </w:r>
      <w:r w:rsidRPr="003D733D">
        <w:t xml:space="preserve"> </w:t>
      </w:r>
      <w:r w:rsidRPr="003D733D">
        <w:rPr>
          <w:rFonts w:ascii="Sylfaen" w:hAnsi="Sylfaen" w:cs="Sylfaen"/>
        </w:rPr>
        <w:t>უნდა</w:t>
      </w:r>
      <w:r w:rsidRPr="003D733D">
        <w:t xml:space="preserve"> </w:t>
      </w:r>
      <w:r w:rsidRPr="003D733D">
        <w:rPr>
          <w:rFonts w:ascii="Sylfaen" w:hAnsi="Sylfaen" w:cs="Sylfaen"/>
        </w:rPr>
        <w:t>ეცნობოს</w:t>
      </w:r>
      <w:r w:rsidRPr="003D733D">
        <w:t xml:space="preserve"> </w:t>
      </w:r>
      <w:r w:rsidRPr="003D733D">
        <w:rPr>
          <w:rFonts w:ascii="Sylfaen" w:hAnsi="Sylfaen" w:cs="Sylfaen"/>
        </w:rPr>
        <w:t>ადგილობრივ</w:t>
      </w:r>
      <w:r w:rsidRPr="003D733D">
        <w:t xml:space="preserve"> </w:t>
      </w:r>
      <w:r w:rsidRPr="003D733D">
        <w:rPr>
          <w:rFonts w:ascii="Sylfaen" w:hAnsi="Sylfaen" w:cs="Sylfaen"/>
        </w:rPr>
        <w:t>თვითმართველობას</w:t>
      </w:r>
      <w:r w:rsidRPr="003D733D">
        <w:t xml:space="preserve"> / </w:t>
      </w:r>
      <w:r w:rsidRPr="003D733D">
        <w:rPr>
          <w:rFonts w:ascii="Sylfaen" w:hAnsi="Sylfaen" w:cs="Sylfaen"/>
        </w:rPr>
        <w:t>შესაბამისი</w:t>
      </w:r>
      <w:r w:rsidRPr="003D733D">
        <w:t xml:space="preserve"> </w:t>
      </w:r>
      <w:r w:rsidRPr="003D733D">
        <w:rPr>
          <w:rFonts w:ascii="Sylfaen" w:hAnsi="Sylfaen" w:cs="Sylfaen"/>
        </w:rPr>
        <w:t>კომპეტენციის</w:t>
      </w:r>
      <w:r w:rsidRPr="003D733D">
        <w:t xml:space="preserve"> </w:t>
      </w:r>
      <w:r w:rsidRPr="003D733D">
        <w:rPr>
          <w:rFonts w:ascii="Sylfaen" w:hAnsi="Sylfaen" w:cs="Sylfaen"/>
        </w:rPr>
        <w:t>ორგანოს</w:t>
      </w:r>
      <w:r w:rsidRPr="003D733D">
        <w:t>;</w:t>
      </w:r>
    </w:p>
    <w:p w14:paraId="6E68FF70" w14:textId="77777777" w:rsidR="00A2588D" w:rsidRPr="003D733D" w:rsidRDefault="00A2588D" w:rsidP="00A2588D">
      <w:pPr>
        <w:spacing w:before="120" w:after="120"/>
      </w:pPr>
      <w:r w:rsidRPr="003D733D">
        <w:rPr>
          <w:rFonts w:ascii="Sylfaen" w:hAnsi="Sylfaen" w:cs="Sylfaen"/>
        </w:rPr>
        <w:t>დაღვრილი</w:t>
      </w:r>
      <w:r w:rsidRPr="003D733D">
        <w:t xml:space="preserve"> </w:t>
      </w:r>
      <w:r w:rsidRPr="003D733D">
        <w:rPr>
          <w:rFonts w:ascii="Sylfaen" w:hAnsi="Sylfaen" w:cs="Sylfaen"/>
        </w:rPr>
        <w:t>ნავთობპროდუქტების</w:t>
      </w:r>
      <w:r w:rsidRPr="003D733D">
        <w:t xml:space="preserve"> </w:t>
      </w:r>
      <w:r w:rsidRPr="003D733D">
        <w:rPr>
          <w:rFonts w:ascii="Sylfaen" w:hAnsi="Sylfaen" w:cs="Sylfaen"/>
        </w:rPr>
        <w:t>შეკავების</w:t>
      </w:r>
      <w:r w:rsidRPr="003D733D">
        <w:t xml:space="preserve"> </w:t>
      </w:r>
      <w:r w:rsidRPr="003D733D">
        <w:rPr>
          <w:rFonts w:ascii="Sylfaen" w:hAnsi="Sylfaen" w:cs="Sylfaen"/>
        </w:rPr>
        <w:t>ადგილი</w:t>
      </w:r>
      <w:r w:rsidRPr="003D733D">
        <w:t xml:space="preserve"> </w:t>
      </w:r>
      <w:r w:rsidRPr="003D733D">
        <w:rPr>
          <w:rFonts w:ascii="Sylfaen" w:hAnsi="Sylfaen" w:cs="Sylfaen"/>
        </w:rPr>
        <w:t>უნდა</w:t>
      </w:r>
      <w:r w:rsidRPr="003D733D">
        <w:t xml:space="preserve"> </w:t>
      </w:r>
      <w:r w:rsidRPr="003D733D">
        <w:rPr>
          <w:rFonts w:ascii="Sylfaen" w:hAnsi="Sylfaen" w:cs="Sylfaen"/>
        </w:rPr>
        <w:t>დაიფაროს</w:t>
      </w:r>
      <w:r w:rsidRPr="003D733D">
        <w:t xml:space="preserve"> </w:t>
      </w:r>
      <w:r w:rsidRPr="003D733D">
        <w:rPr>
          <w:rFonts w:ascii="Sylfaen" w:hAnsi="Sylfaen" w:cs="Sylfaen"/>
        </w:rPr>
        <w:t>პოლიეთილენის</w:t>
      </w:r>
      <w:r w:rsidRPr="003D733D">
        <w:t xml:space="preserve"> </w:t>
      </w:r>
      <w:r w:rsidRPr="003D733D">
        <w:rPr>
          <w:rFonts w:ascii="Sylfaen" w:hAnsi="Sylfaen" w:cs="Sylfaen"/>
        </w:rPr>
        <w:t>აპკის</w:t>
      </w:r>
      <w:r w:rsidRPr="003D733D">
        <w:t xml:space="preserve"> </w:t>
      </w:r>
      <w:r w:rsidRPr="003D733D">
        <w:rPr>
          <w:rFonts w:ascii="Sylfaen" w:hAnsi="Sylfaen" w:cs="Sylfaen"/>
        </w:rPr>
        <w:t>ფურცლებით</w:t>
      </w:r>
      <w:r w:rsidRPr="003D733D">
        <w:t xml:space="preserve">, </w:t>
      </w:r>
      <w:r w:rsidRPr="003D733D">
        <w:rPr>
          <w:rFonts w:ascii="Sylfaen" w:hAnsi="Sylfaen" w:cs="Sylfaen"/>
        </w:rPr>
        <w:t>რათა</w:t>
      </w:r>
      <w:r w:rsidRPr="003D733D">
        <w:t xml:space="preserve"> </w:t>
      </w:r>
      <w:r w:rsidRPr="003D733D">
        <w:rPr>
          <w:rFonts w:ascii="Sylfaen" w:hAnsi="Sylfaen" w:cs="Sylfaen"/>
        </w:rPr>
        <w:t>არ</w:t>
      </w:r>
      <w:r w:rsidRPr="003D733D">
        <w:t xml:space="preserve"> </w:t>
      </w:r>
      <w:r w:rsidRPr="003D733D">
        <w:rPr>
          <w:rFonts w:ascii="Sylfaen" w:hAnsi="Sylfaen" w:cs="Sylfaen"/>
        </w:rPr>
        <w:t>მოხდეს</w:t>
      </w:r>
      <w:r w:rsidRPr="003D733D">
        <w:t xml:space="preserve"> </w:t>
      </w:r>
      <w:r w:rsidRPr="003D733D">
        <w:rPr>
          <w:rFonts w:ascii="Sylfaen" w:hAnsi="Sylfaen" w:cs="Sylfaen"/>
        </w:rPr>
        <w:t>ნავთობის</w:t>
      </w:r>
      <w:r w:rsidRPr="003D733D">
        <w:t xml:space="preserve"> </w:t>
      </w:r>
      <w:r w:rsidRPr="003D733D">
        <w:rPr>
          <w:rFonts w:ascii="Sylfaen" w:hAnsi="Sylfaen" w:cs="Sylfaen"/>
        </w:rPr>
        <w:t>შეღწევა</w:t>
      </w:r>
      <w:r w:rsidRPr="003D733D">
        <w:t xml:space="preserve"> </w:t>
      </w:r>
      <w:r w:rsidRPr="003D733D">
        <w:rPr>
          <w:rFonts w:ascii="Sylfaen" w:hAnsi="Sylfaen" w:cs="Sylfaen"/>
        </w:rPr>
        <w:t>ნიადაგის</w:t>
      </w:r>
      <w:r w:rsidRPr="003D733D">
        <w:t xml:space="preserve"> </w:t>
      </w:r>
      <w:r w:rsidRPr="003D733D">
        <w:rPr>
          <w:rFonts w:ascii="Sylfaen" w:hAnsi="Sylfaen" w:cs="Sylfaen"/>
        </w:rPr>
        <w:t>ქვედა</w:t>
      </w:r>
      <w:r w:rsidRPr="003D733D">
        <w:t xml:space="preserve"> </w:t>
      </w:r>
      <w:r w:rsidRPr="003D733D">
        <w:rPr>
          <w:rFonts w:ascii="Sylfaen" w:hAnsi="Sylfaen" w:cs="Sylfaen"/>
        </w:rPr>
        <w:t>ფენებში</w:t>
      </w:r>
      <w:r w:rsidRPr="003D733D">
        <w:t>;</w:t>
      </w:r>
    </w:p>
    <w:p w14:paraId="4D1C5C87" w14:textId="77777777" w:rsidR="00A2588D" w:rsidRPr="003D733D" w:rsidRDefault="00A2588D" w:rsidP="00A2588D">
      <w:pPr>
        <w:spacing w:before="120" w:after="120"/>
      </w:pPr>
      <w:r w:rsidRPr="003D733D">
        <w:rPr>
          <w:rFonts w:ascii="Sylfaen" w:hAnsi="Sylfaen" w:cs="Sylfaen"/>
        </w:rPr>
        <w:t>აღსანიშნავია</w:t>
      </w:r>
      <w:r w:rsidRPr="003D733D">
        <w:t xml:space="preserve">, </w:t>
      </w:r>
      <w:r w:rsidRPr="003D733D">
        <w:rPr>
          <w:rFonts w:ascii="Sylfaen" w:hAnsi="Sylfaen" w:cs="Sylfaen"/>
        </w:rPr>
        <w:t>რომ</w:t>
      </w:r>
      <w:r w:rsidRPr="003D733D">
        <w:t xml:space="preserve"> </w:t>
      </w:r>
      <w:r w:rsidRPr="003D733D">
        <w:rPr>
          <w:rFonts w:ascii="Sylfaen" w:hAnsi="Sylfaen" w:cs="Sylfaen"/>
        </w:rPr>
        <w:t>თუ</w:t>
      </w:r>
      <w:r w:rsidRPr="003D733D">
        <w:t xml:space="preserve"> </w:t>
      </w:r>
      <w:r w:rsidRPr="003D733D">
        <w:rPr>
          <w:rFonts w:ascii="Sylfaen" w:hAnsi="Sylfaen" w:cs="Sylfaen"/>
        </w:rPr>
        <w:t>შეუძლებელია</w:t>
      </w:r>
      <w:r w:rsidRPr="003D733D">
        <w:t xml:space="preserve"> </w:t>
      </w:r>
      <w:r w:rsidRPr="003D733D">
        <w:rPr>
          <w:rFonts w:ascii="Sylfaen" w:hAnsi="Sylfaen" w:cs="Sylfaen"/>
        </w:rPr>
        <w:t>შემაკავებელი</w:t>
      </w:r>
      <w:r w:rsidRPr="003D733D">
        <w:t xml:space="preserve"> </w:t>
      </w:r>
      <w:r w:rsidRPr="003D733D">
        <w:rPr>
          <w:rFonts w:ascii="Sylfaen" w:hAnsi="Sylfaen" w:cs="Sylfaen"/>
        </w:rPr>
        <w:t>პოლიეთილენის</w:t>
      </w:r>
      <w:r w:rsidRPr="003D733D">
        <w:t xml:space="preserve"> </w:t>
      </w:r>
      <w:r w:rsidRPr="003D733D">
        <w:rPr>
          <w:rFonts w:ascii="Sylfaen" w:hAnsi="Sylfaen" w:cs="Sylfaen"/>
        </w:rPr>
        <w:t>ფურცლების</w:t>
      </w:r>
      <w:r w:rsidRPr="003D733D">
        <w:t xml:space="preserve"> </w:t>
      </w:r>
      <w:r w:rsidRPr="003D733D">
        <w:rPr>
          <w:rFonts w:ascii="Sylfaen" w:hAnsi="Sylfaen" w:cs="Sylfaen"/>
        </w:rPr>
        <w:t>დაფენა</w:t>
      </w:r>
      <w:r w:rsidRPr="003D733D">
        <w:t xml:space="preserve">, </w:t>
      </w:r>
      <w:r w:rsidRPr="003D733D">
        <w:rPr>
          <w:rFonts w:ascii="Sylfaen" w:hAnsi="Sylfaen" w:cs="Sylfaen"/>
        </w:rPr>
        <w:t>მაშინ</w:t>
      </w:r>
      <w:r w:rsidRPr="003D733D">
        <w:t xml:space="preserve"> </w:t>
      </w:r>
      <w:r w:rsidRPr="003D733D">
        <w:rPr>
          <w:rFonts w:ascii="Sylfaen" w:hAnsi="Sylfaen" w:cs="Sylfaen"/>
        </w:rPr>
        <w:t>ბარიერების</w:t>
      </w:r>
      <w:r w:rsidRPr="003D733D">
        <w:t xml:space="preserve"> </w:t>
      </w:r>
      <w:r w:rsidRPr="003D733D">
        <w:rPr>
          <w:rFonts w:ascii="Sylfaen" w:hAnsi="Sylfaen" w:cs="Sylfaen"/>
        </w:rPr>
        <w:t>მოწყობა</w:t>
      </w:r>
      <w:r w:rsidRPr="003D733D">
        <w:t xml:space="preserve"> </w:t>
      </w:r>
      <w:r w:rsidRPr="003D733D">
        <w:rPr>
          <w:rFonts w:ascii="Sylfaen" w:hAnsi="Sylfaen" w:cs="Sylfaen"/>
        </w:rPr>
        <w:t>გამოიწვევს</w:t>
      </w:r>
      <w:r w:rsidRPr="003D733D">
        <w:t xml:space="preserve"> </w:t>
      </w:r>
      <w:r w:rsidRPr="003D733D">
        <w:rPr>
          <w:rFonts w:ascii="Sylfaen" w:hAnsi="Sylfaen" w:cs="Sylfaen"/>
        </w:rPr>
        <w:t>ნავთობის</w:t>
      </w:r>
      <w:r w:rsidRPr="003D733D">
        <w:t xml:space="preserve"> </w:t>
      </w:r>
      <w:r w:rsidRPr="003D733D">
        <w:rPr>
          <w:rFonts w:ascii="Sylfaen" w:hAnsi="Sylfaen" w:cs="Sylfaen"/>
        </w:rPr>
        <w:t>დაგროვებას</w:t>
      </w:r>
      <w:r w:rsidRPr="003D733D">
        <w:t xml:space="preserve"> </w:t>
      </w:r>
      <w:r w:rsidRPr="003D733D">
        <w:rPr>
          <w:rFonts w:ascii="Sylfaen" w:hAnsi="Sylfaen" w:cs="Sylfaen"/>
        </w:rPr>
        <w:t>ერთ</w:t>
      </w:r>
      <w:r w:rsidRPr="003D733D">
        <w:t xml:space="preserve"> </w:t>
      </w:r>
      <w:r w:rsidRPr="003D733D">
        <w:rPr>
          <w:rFonts w:ascii="Sylfaen" w:hAnsi="Sylfaen" w:cs="Sylfaen"/>
        </w:rPr>
        <w:t>ადგილზე</w:t>
      </w:r>
      <w:r w:rsidRPr="003D733D">
        <w:t xml:space="preserve">, </w:t>
      </w:r>
      <w:r w:rsidRPr="003D733D">
        <w:rPr>
          <w:rFonts w:ascii="Sylfaen" w:hAnsi="Sylfaen" w:cs="Sylfaen"/>
        </w:rPr>
        <w:t>რაც</w:t>
      </w:r>
      <w:r w:rsidRPr="003D733D">
        <w:t xml:space="preserve"> </w:t>
      </w:r>
      <w:r w:rsidRPr="003D733D">
        <w:rPr>
          <w:rFonts w:ascii="Sylfaen" w:hAnsi="Sylfaen" w:cs="Sylfaen"/>
        </w:rPr>
        <w:t>თავის</w:t>
      </w:r>
      <w:r w:rsidRPr="003D733D">
        <w:t xml:space="preserve"> </w:t>
      </w:r>
      <w:r w:rsidRPr="003D733D">
        <w:rPr>
          <w:rFonts w:ascii="Sylfaen" w:hAnsi="Sylfaen" w:cs="Sylfaen"/>
        </w:rPr>
        <w:t>მხრივ</w:t>
      </w:r>
      <w:r w:rsidRPr="003D733D">
        <w:t xml:space="preserve"> </w:t>
      </w:r>
      <w:r w:rsidRPr="003D733D">
        <w:rPr>
          <w:rFonts w:ascii="Sylfaen" w:hAnsi="Sylfaen" w:cs="Sylfaen"/>
        </w:rPr>
        <w:t>გამოიწვევს</w:t>
      </w:r>
      <w:r w:rsidRPr="003D733D">
        <w:t xml:space="preserve"> </w:t>
      </w:r>
      <w:r w:rsidRPr="003D733D">
        <w:rPr>
          <w:rFonts w:ascii="Sylfaen" w:hAnsi="Sylfaen" w:cs="Sylfaen"/>
        </w:rPr>
        <w:t>ამ</w:t>
      </w:r>
      <w:r w:rsidRPr="003D733D">
        <w:t xml:space="preserve"> </w:t>
      </w:r>
      <w:r w:rsidRPr="003D733D">
        <w:rPr>
          <w:rFonts w:ascii="Sylfaen" w:hAnsi="Sylfaen" w:cs="Sylfaen"/>
        </w:rPr>
        <w:t>ადგილზე</w:t>
      </w:r>
      <w:r w:rsidRPr="003D733D">
        <w:t xml:space="preserve"> </w:t>
      </w:r>
      <w:r w:rsidRPr="003D733D">
        <w:rPr>
          <w:rFonts w:ascii="Sylfaen" w:hAnsi="Sylfaen" w:cs="Sylfaen"/>
        </w:rPr>
        <w:t>ნიადაგის</w:t>
      </w:r>
      <w:r w:rsidRPr="003D733D">
        <w:t xml:space="preserve"> </w:t>
      </w:r>
      <w:r w:rsidRPr="003D733D">
        <w:rPr>
          <w:rFonts w:ascii="Sylfaen" w:hAnsi="Sylfaen" w:cs="Sylfaen"/>
        </w:rPr>
        <w:t>გაჯერებას</w:t>
      </w:r>
      <w:r w:rsidRPr="003D733D">
        <w:t xml:space="preserve"> </w:t>
      </w:r>
      <w:r w:rsidRPr="003D733D">
        <w:rPr>
          <w:rFonts w:ascii="Sylfaen" w:hAnsi="Sylfaen" w:cs="Sylfaen"/>
        </w:rPr>
        <w:t>ნავთობით</w:t>
      </w:r>
      <w:r w:rsidRPr="003D733D">
        <w:t xml:space="preserve">, </w:t>
      </w:r>
      <w:r w:rsidRPr="003D733D">
        <w:rPr>
          <w:rFonts w:ascii="Sylfaen" w:hAnsi="Sylfaen" w:cs="Sylfaen"/>
        </w:rPr>
        <w:t>ნავთობპროდუქტების</w:t>
      </w:r>
      <w:r w:rsidRPr="003D733D">
        <w:t xml:space="preserve"> </w:t>
      </w:r>
      <w:r w:rsidRPr="003D733D">
        <w:rPr>
          <w:rFonts w:ascii="Sylfaen" w:hAnsi="Sylfaen" w:cs="Sylfaen"/>
        </w:rPr>
        <w:t>შეღწევას</w:t>
      </w:r>
      <w:r w:rsidRPr="003D733D">
        <w:t xml:space="preserve"> </w:t>
      </w:r>
      <w:r w:rsidRPr="003D733D">
        <w:rPr>
          <w:rFonts w:ascii="Sylfaen" w:hAnsi="Sylfaen" w:cs="Sylfaen"/>
        </w:rPr>
        <w:t>ნიადაგის</w:t>
      </w:r>
      <w:r w:rsidRPr="003D733D">
        <w:t xml:space="preserve"> </w:t>
      </w:r>
      <w:r w:rsidRPr="003D733D">
        <w:rPr>
          <w:rFonts w:ascii="Sylfaen" w:hAnsi="Sylfaen" w:cs="Sylfaen"/>
        </w:rPr>
        <w:t>უფრო</w:t>
      </w:r>
      <w:r w:rsidRPr="003D733D">
        <w:t xml:space="preserve"> </w:t>
      </w:r>
      <w:r w:rsidRPr="003D733D">
        <w:rPr>
          <w:rFonts w:ascii="Sylfaen" w:hAnsi="Sylfaen" w:cs="Sylfaen"/>
        </w:rPr>
        <w:t>ქვედა</w:t>
      </w:r>
      <w:r w:rsidRPr="003D733D">
        <w:t xml:space="preserve"> </w:t>
      </w:r>
      <w:r w:rsidRPr="003D733D">
        <w:rPr>
          <w:rFonts w:ascii="Sylfaen" w:hAnsi="Sylfaen" w:cs="Sylfaen"/>
        </w:rPr>
        <w:t>ფენებში</w:t>
      </w:r>
      <w:r w:rsidRPr="003D733D">
        <w:t>;</w:t>
      </w:r>
    </w:p>
    <w:p w14:paraId="54169629" w14:textId="77777777" w:rsidR="00A2588D" w:rsidRPr="003D733D" w:rsidRDefault="00A2588D" w:rsidP="00A2588D">
      <w:pPr>
        <w:spacing w:before="120" w:after="120"/>
      </w:pPr>
      <w:r w:rsidRPr="003D733D">
        <w:rPr>
          <w:rFonts w:ascii="Sylfaen" w:hAnsi="Sylfaen" w:cs="Sylfaen"/>
        </w:rPr>
        <w:t>დაღვრილი</w:t>
      </w:r>
      <w:r w:rsidRPr="003D733D">
        <w:t xml:space="preserve"> </w:t>
      </w:r>
      <w:r w:rsidRPr="003D733D">
        <w:rPr>
          <w:rFonts w:ascii="Sylfaen" w:hAnsi="Sylfaen" w:cs="Sylfaen"/>
        </w:rPr>
        <w:t>ნავთობპროდუქტების</w:t>
      </w:r>
      <w:r w:rsidRPr="003D733D">
        <w:t xml:space="preserve"> </w:t>
      </w:r>
      <w:r w:rsidRPr="003D733D">
        <w:rPr>
          <w:rFonts w:ascii="Sylfaen" w:hAnsi="Sylfaen" w:cs="Sylfaen"/>
        </w:rPr>
        <w:t>შესაშრობად</w:t>
      </w:r>
      <w:r w:rsidRPr="003D733D">
        <w:t xml:space="preserve"> </w:t>
      </w:r>
      <w:r w:rsidRPr="003D733D">
        <w:rPr>
          <w:rFonts w:ascii="Sylfaen" w:hAnsi="Sylfaen" w:cs="Sylfaen"/>
        </w:rPr>
        <w:t>საჭიროა</w:t>
      </w:r>
      <w:r w:rsidRPr="003D733D">
        <w:t xml:space="preserve"> </w:t>
      </w:r>
      <w:r w:rsidRPr="003D733D">
        <w:rPr>
          <w:rFonts w:ascii="Sylfaen" w:hAnsi="Sylfaen" w:cs="Sylfaen"/>
        </w:rPr>
        <w:t>შთანმთქმელი</w:t>
      </w:r>
      <w:r w:rsidRPr="003D733D">
        <w:t xml:space="preserve"> (</w:t>
      </w:r>
      <w:r w:rsidRPr="003D733D">
        <w:rPr>
          <w:rFonts w:ascii="Sylfaen" w:hAnsi="Sylfaen" w:cs="Sylfaen"/>
        </w:rPr>
        <w:t>აბსორბენტული</w:t>
      </w:r>
      <w:r w:rsidRPr="003D733D">
        <w:t xml:space="preserve">) </w:t>
      </w:r>
      <w:r w:rsidRPr="003D733D">
        <w:rPr>
          <w:rFonts w:ascii="Sylfaen" w:hAnsi="Sylfaen" w:cs="Sylfaen"/>
        </w:rPr>
        <w:t>საფენების</w:t>
      </w:r>
      <w:r w:rsidRPr="003D733D">
        <w:t xml:space="preserve"> </w:t>
      </w:r>
      <w:r w:rsidRPr="003D733D">
        <w:rPr>
          <w:rFonts w:ascii="Sylfaen" w:hAnsi="Sylfaen" w:cs="Sylfaen"/>
        </w:rPr>
        <w:t>გამოყენება</w:t>
      </w:r>
      <w:r w:rsidRPr="003D733D">
        <w:t>;</w:t>
      </w:r>
    </w:p>
    <w:p w14:paraId="018B8B0D" w14:textId="77777777" w:rsidR="00A2588D" w:rsidRPr="003D733D" w:rsidRDefault="00A2588D" w:rsidP="00A2588D">
      <w:pPr>
        <w:spacing w:before="120" w:after="120"/>
      </w:pPr>
      <w:r w:rsidRPr="003D733D">
        <w:rPr>
          <w:rFonts w:ascii="Sylfaen" w:hAnsi="Sylfaen" w:cs="Sylfaen"/>
        </w:rPr>
        <w:t>მოაგროვეთ</w:t>
      </w:r>
      <w:r w:rsidRPr="003D733D">
        <w:t xml:space="preserve"> </w:t>
      </w:r>
      <w:r w:rsidRPr="003D733D">
        <w:rPr>
          <w:rFonts w:ascii="Sylfaen" w:hAnsi="Sylfaen" w:cs="Sylfaen"/>
        </w:rPr>
        <w:t>ნავთობი</w:t>
      </w:r>
      <w:r w:rsidRPr="003D733D">
        <w:t xml:space="preserve"> </w:t>
      </w:r>
      <w:r w:rsidRPr="003D733D">
        <w:rPr>
          <w:rFonts w:ascii="Sylfaen" w:hAnsi="Sylfaen" w:cs="Sylfaen"/>
        </w:rPr>
        <w:t>ისე</w:t>
      </w:r>
      <w:r w:rsidRPr="003D733D">
        <w:t xml:space="preserve">, </w:t>
      </w:r>
      <w:r w:rsidRPr="003D733D">
        <w:rPr>
          <w:rFonts w:ascii="Sylfaen" w:hAnsi="Sylfaen" w:cs="Sylfaen"/>
        </w:rPr>
        <w:t>რომ</w:t>
      </w:r>
      <w:r w:rsidRPr="003D733D">
        <w:t xml:space="preserve"> </w:t>
      </w:r>
      <w:r w:rsidRPr="003D733D">
        <w:rPr>
          <w:rFonts w:ascii="Sylfaen" w:hAnsi="Sylfaen" w:cs="Sylfaen"/>
        </w:rPr>
        <w:t>შესაძლებელი</w:t>
      </w:r>
      <w:r w:rsidRPr="003D733D">
        <w:t xml:space="preserve"> </w:t>
      </w:r>
      <w:r w:rsidRPr="003D733D">
        <w:rPr>
          <w:rFonts w:ascii="Sylfaen" w:hAnsi="Sylfaen" w:cs="Sylfaen"/>
        </w:rPr>
        <w:t>იყოს</w:t>
      </w:r>
      <w:r w:rsidRPr="003D733D">
        <w:t xml:space="preserve"> </w:t>
      </w:r>
      <w:r w:rsidRPr="003D733D">
        <w:rPr>
          <w:rFonts w:ascii="Sylfaen" w:hAnsi="Sylfaen" w:cs="Sylfaen"/>
        </w:rPr>
        <w:t>მისი</w:t>
      </w:r>
      <w:r w:rsidRPr="003D733D">
        <w:t xml:space="preserve"> </w:t>
      </w:r>
      <w:r w:rsidRPr="003D733D">
        <w:rPr>
          <w:rFonts w:ascii="Sylfaen" w:hAnsi="Sylfaen" w:cs="Sylfaen"/>
        </w:rPr>
        <w:t>კონტეინერში</w:t>
      </w:r>
      <w:r w:rsidRPr="003D733D">
        <w:t xml:space="preserve"> (</w:t>
      </w:r>
      <w:r w:rsidRPr="003D733D">
        <w:rPr>
          <w:rFonts w:ascii="Sylfaen" w:hAnsi="Sylfaen" w:cs="Sylfaen"/>
        </w:rPr>
        <w:t>ჭურჭელში</w:t>
      </w:r>
      <w:r w:rsidRPr="003D733D">
        <w:t xml:space="preserve">) </w:t>
      </w:r>
      <w:r w:rsidRPr="003D733D">
        <w:rPr>
          <w:rFonts w:ascii="Sylfaen" w:hAnsi="Sylfaen" w:cs="Sylfaen"/>
        </w:rPr>
        <w:t>შეგროვება</w:t>
      </w:r>
      <w:r w:rsidRPr="003D733D">
        <w:t xml:space="preserve"> </w:t>
      </w:r>
      <w:r w:rsidRPr="003D733D">
        <w:rPr>
          <w:rFonts w:ascii="Sylfaen" w:hAnsi="Sylfaen" w:cs="Sylfaen"/>
        </w:rPr>
        <w:t>და</w:t>
      </w:r>
      <w:r w:rsidRPr="003D733D">
        <w:t xml:space="preserve"> </w:t>
      </w:r>
      <w:r w:rsidRPr="003D733D">
        <w:rPr>
          <w:rFonts w:ascii="Sylfaen" w:hAnsi="Sylfaen" w:cs="Sylfaen"/>
        </w:rPr>
        <w:t>შემდგომი</w:t>
      </w:r>
      <w:r w:rsidRPr="003D733D">
        <w:t xml:space="preserve"> </w:t>
      </w:r>
      <w:r w:rsidRPr="003D733D">
        <w:rPr>
          <w:rFonts w:ascii="Sylfaen" w:hAnsi="Sylfaen" w:cs="Sylfaen"/>
        </w:rPr>
        <w:t>გადატანა</w:t>
      </w:r>
      <w:r w:rsidRPr="003D733D">
        <w:t>;</w:t>
      </w:r>
    </w:p>
    <w:p w14:paraId="61621144" w14:textId="77777777" w:rsidR="00A2588D" w:rsidRPr="003D733D" w:rsidRDefault="00A2588D" w:rsidP="00A2588D">
      <w:pPr>
        <w:spacing w:before="120" w:after="120"/>
      </w:pPr>
      <w:r w:rsidRPr="003D733D">
        <w:rPr>
          <w:rFonts w:ascii="Sylfaen" w:hAnsi="Sylfaen" w:cs="Sylfaen"/>
        </w:rPr>
        <w:t>ნავთობის</w:t>
      </w:r>
      <w:r w:rsidRPr="003D733D">
        <w:t xml:space="preserve"> </w:t>
      </w:r>
      <w:r w:rsidRPr="003D733D">
        <w:rPr>
          <w:rFonts w:ascii="Sylfaen" w:hAnsi="Sylfaen" w:cs="Sylfaen"/>
        </w:rPr>
        <w:t>შეწოვის</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საფენები</w:t>
      </w:r>
      <w:r w:rsidRPr="003D733D">
        <w:t xml:space="preserve"> </w:t>
      </w:r>
      <w:r w:rsidRPr="003D733D">
        <w:rPr>
          <w:rFonts w:ascii="Sylfaen" w:hAnsi="Sylfaen" w:cs="Sylfaen"/>
        </w:rPr>
        <w:t>უნდა</w:t>
      </w:r>
      <w:r w:rsidRPr="003D733D">
        <w:t xml:space="preserve"> </w:t>
      </w:r>
      <w:r w:rsidRPr="003D733D">
        <w:rPr>
          <w:rFonts w:ascii="Sylfaen" w:hAnsi="Sylfaen" w:cs="Sylfaen"/>
        </w:rPr>
        <w:t>მოთავსდეს</w:t>
      </w:r>
      <w:r w:rsidRPr="003D733D">
        <w:t xml:space="preserve"> </w:t>
      </w:r>
      <w:r w:rsidRPr="003D733D">
        <w:rPr>
          <w:rFonts w:ascii="Sylfaen" w:hAnsi="Sylfaen" w:cs="Sylfaen"/>
        </w:rPr>
        <w:t>პოლიეთილენის</w:t>
      </w:r>
      <w:r w:rsidRPr="003D733D">
        <w:t xml:space="preserve"> </w:t>
      </w:r>
      <w:r w:rsidRPr="003D733D">
        <w:rPr>
          <w:rFonts w:ascii="Sylfaen" w:hAnsi="Sylfaen" w:cs="Sylfaen"/>
        </w:rPr>
        <w:t>ტომრებში</w:t>
      </w:r>
      <w:r w:rsidRPr="003D733D">
        <w:t xml:space="preserve"> (</w:t>
      </w:r>
      <w:r w:rsidRPr="003D733D">
        <w:rPr>
          <w:rFonts w:ascii="Sylfaen" w:hAnsi="Sylfaen" w:cs="Sylfaen"/>
        </w:rPr>
        <w:t>საჭიროების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შესაძლებელია</w:t>
      </w:r>
      <w:r w:rsidRPr="003D733D">
        <w:t xml:space="preserve"> </w:t>
      </w:r>
      <w:r w:rsidRPr="003D733D">
        <w:rPr>
          <w:rFonts w:ascii="Sylfaen" w:hAnsi="Sylfaen" w:cs="Sylfaen"/>
        </w:rPr>
        <w:t>საფენების</w:t>
      </w:r>
      <w:r w:rsidRPr="003D733D">
        <w:t xml:space="preserve"> </w:t>
      </w:r>
      <w:r w:rsidRPr="003D733D">
        <w:rPr>
          <w:rFonts w:ascii="Sylfaen" w:hAnsi="Sylfaen" w:cs="Sylfaen"/>
        </w:rPr>
        <w:t>ხელმეორე</w:t>
      </w:r>
      <w:r w:rsidRPr="003D733D">
        <w:t xml:space="preserve"> </w:t>
      </w:r>
      <w:r w:rsidRPr="003D733D">
        <w:rPr>
          <w:rFonts w:ascii="Sylfaen" w:hAnsi="Sylfaen" w:cs="Sylfaen"/>
        </w:rPr>
        <w:t>გამოყენება</w:t>
      </w:r>
      <w:r w:rsidRPr="003D733D">
        <w:t>);</w:t>
      </w:r>
    </w:p>
    <w:p w14:paraId="0A3D499B" w14:textId="77777777" w:rsidR="00A2588D" w:rsidRPr="003D733D" w:rsidRDefault="00A2588D" w:rsidP="00A2588D">
      <w:pPr>
        <w:spacing w:before="120" w:after="120"/>
      </w:pPr>
      <w:r w:rsidRPr="003D733D">
        <w:rPr>
          <w:rFonts w:ascii="Sylfaen" w:hAnsi="Sylfaen" w:cs="Sylfaen"/>
        </w:rPr>
        <w:t>მოედანი</w:t>
      </w:r>
      <w:r w:rsidRPr="003D733D">
        <w:t xml:space="preserve"> </w:t>
      </w:r>
      <w:r w:rsidRPr="003D733D">
        <w:rPr>
          <w:rFonts w:ascii="Sylfaen" w:hAnsi="Sylfaen" w:cs="Sylfaen"/>
        </w:rPr>
        <w:t>სრულიად</w:t>
      </w:r>
      <w:r w:rsidRPr="003D733D">
        <w:t xml:space="preserve"> </w:t>
      </w:r>
      <w:r w:rsidRPr="003D733D">
        <w:rPr>
          <w:rFonts w:ascii="Sylfaen" w:hAnsi="Sylfaen" w:cs="Sylfaen"/>
        </w:rPr>
        <w:t>უნდა</w:t>
      </w:r>
      <w:r w:rsidRPr="003D733D">
        <w:t xml:space="preserve"> </w:t>
      </w:r>
      <w:r w:rsidRPr="003D733D">
        <w:rPr>
          <w:rFonts w:ascii="Sylfaen" w:hAnsi="Sylfaen" w:cs="Sylfaen"/>
        </w:rPr>
        <w:t>გაიწმინდოს</w:t>
      </w:r>
      <w:r w:rsidRPr="003D733D">
        <w:t xml:space="preserve"> </w:t>
      </w:r>
      <w:r w:rsidRPr="003D733D">
        <w:rPr>
          <w:rFonts w:ascii="Sylfaen" w:hAnsi="Sylfaen" w:cs="Sylfaen"/>
        </w:rPr>
        <w:t>ნარჩენი</w:t>
      </w:r>
      <w:r w:rsidRPr="003D733D">
        <w:t xml:space="preserve"> </w:t>
      </w:r>
      <w:r w:rsidRPr="003D733D">
        <w:rPr>
          <w:rFonts w:ascii="Sylfaen" w:hAnsi="Sylfaen" w:cs="Sylfaen"/>
        </w:rPr>
        <w:t>ნავთობპროდუქტებისგან</w:t>
      </w:r>
      <w:r w:rsidRPr="003D733D">
        <w:t xml:space="preserve">, </w:t>
      </w:r>
      <w:r w:rsidRPr="003D733D">
        <w:rPr>
          <w:rFonts w:ascii="Sylfaen" w:hAnsi="Sylfaen" w:cs="Sylfaen"/>
        </w:rPr>
        <w:t>რათა</w:t>
      </w:r>
      <w:r w:rsidRPr="003D733D">
        <w:t xml:space="preserve"> </w:t>
      </w:r>
      <w:r w:rsidRPr="003D733D">
        <w:rPr>
          <w:rFonts w:ascii="Sylfaen" w:hAnsi="Sylfaen" w:cs="Sylfaen"/>
        </w:rPr>
        <w:t>გამოირიცხოს</w:t>
      </w:r>
      <w:r w:rsidRPr="003D733D">
        <w:t xml:space="preserve"> </w:t>
      </w:r>
      <w:r w:rsidRPr="003D733D">
        <w:rPr>
          <w:rFonts w:ascii="Sylfaen" w:hAnsi="Sylfaen" w:cs="Sylfaen"/>
        </w:rPr>
        <w:t>მომავალში</w:t>
      </w:r>
      <w:r w:rsidRPr="003D733D">
        <w:t xml:space="preserve"> </w:t>
      </w:r>
      <w:r w:rsidRPr="003D733D">
        <w:rPr>
          <w:rFonts w:ascii="Sylfaen" w:hAnsi="Sylfaen" w:cs="Sylfaen"/>
        </w:rPr>
        <w:t>წვიმის</w:t>
      </w:r>
      <w:r w:rsidRPr="003D733D">
        <w:t xml:space="preserve"> </w:t>
      </w:r>
      <w:r w:rsidRPr="003D733D">
        <w:rPr>
          <w:rFonts w:ascii="Sylfaen" w:hAnsi="Sylfaen" w:cs="Sylfaen"/>
        </w:rPr>
        <w:t>წყლებით</w:t>
      </w:r>
      <w:r w:rsidRPr="003D733D">
        <w:t xml:space="preserve"> </w:t>
      </w:r>
      <w:r w:rsidRPr="003D733D">
        <w:rPr>
          <w:rFonts w:ascii="Sylfaen" w:hAnsi="Sylfaen" w:cs="Sylfaen"/>
        </w:rPr>
        <w:t>დამაბინძურებლების</w:t>
      </w:r>
      <w:r w:rsidRPr="003D733D">
        <w:t xml:space="preserve"> </w:t>
      </w:r>
      <w:r w:rsidRPr="003D733D">
        <w:rPr>
          <w:rFonts w:ascii="Sylfaen" w:hAnsi="Sylfaen" w:cs="Sylfaen"/>
        </w:rPr>
        <w:t>წარეცხვა</w:t>
      </w:r>
      <w:r w:rsidRPr="003D733D">
        <w:t xml:space="preserve"> </w:t>
      </w:r>
      <w:r w:rsidRPr="003D733D">
        <w:rPr>
          <w:rFonts w:ascii="Sylfaen" w:hAnsi="Sylfaen" w:cs="Sylfaen"/>
        </w:rPr>
        <w:t>ან</w:t>
      </w:r>
      <w:r w:rsidRPr="003D733D">
        <w:t xml:space="preserve"> </w:t>
      </w:r>
      <w:r w:rsidRPr="003D733D">
        <w:rPr>
          <w:rFonts w:ascii="Sylfaen" w:hAnsi="Sylfaen" w:cs="Sylfaen"/>
        </w:rPr>
        <w:t>ნიადაგის</w:t>
      </w:r>
      <w:r w:rsidRPr="003D733D">
        <w:t xml:space="preserve"> </w:t>
      </w:r>
      <w:r w:rsidRPr="003D733D">
        <w:rPr>
          <w:rFonts w:ascii="Sylfaen" w:hAnsi="Sylfaen" w:cs="Sylfaen"/>
        </w:rPr>
        <w:t>ღრმა</w:t>
      </w:r>
      <w:r w:rsidRPr="003D733D">
        <w:t xml:space="preserve"> </w:t>
      </w:r>
      <w:r w:rsidRPr="003D733D">
        <w:rPr>
          <w:rFonts w:ascii="Sylfaen" w:hAnsi="Sylfaen" w:cs="Sylfaen"/>
        </w:rPr>
        <w:t>ფენებში</w:t>
      </w:r>
      <w:r w:rsidRPr="003D733D">
        <w:t xml:space="preserve"> </w:t>
      </w:r>
      <w:r w:rsidRPr="003D733D">
        <w:rPr>
          <w:rFonts w:ascii="Sylfaen" w:hAnsi="Sylfaen" w:cs="Sylfaen"/>
        </w:rPr>
        <w:t>გადაადგილება</w:t>
      </w:r>
      <w:r w:rsidRPr="003D733D">
        <w:t>;</w:t>
      </w:r>
    </w:p>
    <w:p w14:paraId="6C3D6D76" w14:textId="77777777" w:rsidR="00A2588D" w:rsidRPr="003D733D" w:rsidRDefault="00A2588D" w:rsidP="00A2588D">
      <w:pPr>
        <w:spacing w:before="120" w:after="120"/>
      </w:pPr>
      <w:r w:rsidRPr="003D733D">
        <w:rPr>
          <w:rFonts w:ascii="Sylfaen" w:hAnsi="Sylfaen" w:cs="Sylfaen"/>
        </w:rPr>
        <w:t>გაწმენდის</w:t>
      </w:r>
      <w:r w:rsidRPr="003D733D">
        <w:t xml:space="preserve"> </w:t>
      </w:r>
      <w:r w:rsidRPr="003D733D">
        <w:rPr>
          <w:rFonts w:ascii="Sylfaen" w:hAnsi="Sylfaen" w:cs="Sylfaen"/>
        </w:rPr>
        <w:t>ოპერაციების</w:t>
      </w:r>
      <w:r w:rsidRPr="003D733D">
        <w:t xml:space="preserve"> </w:t>
      </w:r>
      <w:r w:rsidRPr="003D733D">
        <w:rPr>
          <w:rFonts w:ascii="Sylfaen" w:hAnsi="Sylfaen" w:cs="Sylfaen"/>
        </w:rPr>
        <w:t>დამთავრების</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ყველა</w:t>
      </w:r>
      <w:r w:rsidRPr="003D733D">
        <w:t xml:space="preserve"> </w:t>
      </w:r>
      <w:r w:rsidRPr="003D733D">
        <w:rPr>
          <w:rFonts w:ascii="Sylfaen" w:hAnsi="Sylfaen" w:cs="Sylfaen"/>
        </w:rPr>
        <w:t>საწმენდი</w:t>
      </w:r>
      <w:r w:rsidRPr="003D733D">
        <w:t xml:space="preserve"> </w:t>
      </w:r>
      <w:r w:rsidRPr="003D733D">
        <w:rPr>
          <w:rFonts w:ascii="Sylfaen" w:hAnsi="Sylfaen" w:cs="Sylfaen"/>
        </w:rPr>
        <w:t>მასალა</w:t>
      </w:r>
      <w:r w:rsidRPr="003D733D">
        <w:t xml:space="preserve"> </w:t>
      </w:r>
      <w:r w:rsidRPr="003D733D">
        <w:rPr>
          <w:rFonts w:ascii="Sylfaen" w:hAnsi="Sylfaen" w:cs="Sylfaen"/>
        </w:rPr>
        <w:t>უნდა</w:t>
      </w:r>
      <w:r w:rsidRPr="003D733D">
        <w:t xml:space="preserve"> </w:t>
      </w:r>
      <w:r w:rsidRPr="003D733D">
        <w:rPr>
          <w:rFonts w:ascii="Sylfaen" w:hAnsi="Sylfaen" w:cs="Sylfaen"/>
        </w:rPr>
        <w:t>შეგროვდეს</w:t>
      </w:r>
      <w:r w:rsidRPr="003D733D">
        <w:t xml:space="preserve">, </w:t>
      </w:r>
      <w:r w:rsidRPr="003D733D">
        <w:rPr>
          <w:rFonts w:ascii="Sylfaen" w:hAnsi="Sylfaen" w:cs="Sylfaen"/>
        </w:rPr>
        <w:t>შეიფუთოს</w:t>
      </w:r>
      <w:r w:rsidRPr="003D733D">
        <w:t xml:space="preserve"> </w:t>
      </w:r>
      <w:r w:rsidRPr="003D733D">
        <w:rPr>
          <w:rFonts w:ascii="Sylfaen" w:hAnsi="Sylfaen" w:cs="Sylfaen"/>
        </w:rPr>
        <w:t>და</w:t>
      </w:r>
      <w:r w:rsidRPr="003D733D">
        <w:t xml:space="preserve"> </w:t>
      </w:r>
      <w:r w:rsidRPr="003D733D">
        <w:rPr>
          <w:rFonts w:ascii="Sylfaen" w:hAnsi="Sylfaen" w:cs="Sylfaen"/>
        </w:rPr>
        <w:t>დასაწყობდეს</w:t>
      </w:r>
      <w:r w:rsidRPr="003D733D">
        <w:t xml:space="preserve"> </w:t>
      </w:r>
      <w:r w:rsidRPr="003D733D">
        <w:rPr>
          <w:rFonts w:ascii="Sylfaen" w:hAnsi="Sylfaen" w:cs="Sylfaen"/>
        </w:rPr>
        <w:t>შესაბამისად</w:t>
      </w:r>
      <w:r w:rsidRPr="003D733D">
        <w:t xml:space="preserve"> </w:t>
      </w:r>
      <w:r w:rsidRPr="003D733D">
        <w:rPr>
          <w:rFonts w:ascii="Sylfaen" w:hAnsi="Sylfaen" w:cs="Sylfaen"/>
        </w:rPr>
        <w:t>დაცულ</w:t>
      </w:r>
      <w:r w:rsidRPr="003D733D">
        <w:t xml:space="preserve">  </w:t>
      </w:r>
      <w:r w:rsidRPr="003D733D">
        <w:rPr>
          <w:rFonts w:ascii="Sylfaen" w:hAnsi="Sylfaen" w:cs="Sylfaen"/>
        </w:rPr>
        <w:t>ადგილებში</w:t>
      </w:r>
      <w:r w:rsidRPr="003D733D">
        <w:t>;</w:t>
      </w:r>
    </w:p>
    <w:p w14:paraId="0B9D43E1" w14:textId="77777777" w:rsidR="00A2588D" w:rsidRPr="003D733D" w:rsidRDefault="00A2588D" w:rsidP="00A2588D">
      <w:pPr>
        <w:spacing w:before="120" w:after="120"/>
      </w:pPr>
      <w:r w:rsidRPr="003D733D">
        <w:rPr>
          <w:rFonts w:ascii="Sylfaen" w:hAnsi="Sylfaen" w:cs="Sylfaen"/>
        </w:rPr>
        <w:t>ნიადაგის</w:t>
      </w:r>
      <w:r w:rsidRPr="003D733D">
        <w:t xml:space="preserve"> </w:t>
      </w:r>
      <w:r w:rsidRPr="003D733D">
        <w:rPr>
          <w:rFonts w:ascii="Sylfaen" w:hAnsi="Sylfaen" w:cs="Sylfaen"/>
        </w:rPr>
        <w:t>ზედა</w:t>
      </w:r>
      <w:r w:rsidRPr="003D733D">
        <w:t xml:space="preserve"> </w:t>
      </w:r>
      <w:r w:rsidRPr="003D733D">
        <w:rPr>
          <w:rFonts w:ascii="Sylfaen" w:hAnsi="Sylfaen" w:cs="Sylfaen"/>
        </w:rPr>
        <w:t>ფენის</w:t>
      </w:r>
      <w:r w:rsidRPr="003D733D">
        <w:t xml:space="preserve"> </w:t>
      </w:r>
      <w:r w:rsidRPr="003D733D">
        <w:rPr>
          <w:rFonts w:ascii="Sylfaen" w:hAnsi="Sylfaen" w:cs="Sylfaen"/>
        </w:rPr>
        <w:t>დამუშავება</w:t>
      </w:r>
      <w:r w:rsidRPr="003D733D">
        <w:t xml:space="preserve"> </w:t>
      </w:r>
      <w:r w:rsidRPr="003D733D">
        <w:rPr>
          <w:rFonts w:ascii="Sylfaen" w:hAnsi="Sylfaen" w:cs="Sylfaen"/>
        </w:rPr>
        <w:t>უნდა</w:t>
      </w:r>
      <w:r w:rsidRPr="003D733D">
        <w:t xml:space="preserve"> </w:t>
      </w:r>
      <w:r w:rsidRPr="003D733D">
        <w:rPr>
          <w:rFonts w:ascii="Sylfaen" w:hAnsi="Sylfaen" w:cs="Sylfaen"/>
        </w:rPr>
        <w:t>დაიწყოს</w:t>
      </w:r>
      <w:r w:rsidRPr="003D733D">
        <w:t xml:space="preserve"> </w:t>
      </w:r>
      <w:r w:rsidRPr="003D733D">
        <w:rPr>
          <w:rFonts w:ascii="Sylfaen" w:hAnsi="Sylfaen" w:cs="Sylfaen"/>
        </w:rPr>
        <w:t>დაბინძურების</w:t>
      </w:r>
      <w:r w:rsidRPr="003D733D">
        <w:t xml:space="preserve"> </w:t>
      </w:r>
      <w:r w:rsidRPr="003D733D">
        <w:rPr>
          <w:rFonts w:ascii="Sylfaen" w:hAnsi="Sylfaen" w:cs="Sylfaen"/>
        </w:rPr>
        <w:t>წყაროს</w:t>
      </w:r>
      <w:r w:rsidRPr="003D733D">
        <w:t xml:space="preserve"> </w:t>
      </w:r>
      <w:r w:rsidRPr="003D733D">
        <w:rPr>
          <w:rFonts w:ascii="Sylfaen" w:hAnsi="Sylfaen" w:cs="Sylfaen"/>
        </w:rPr>
        <w:t>მოცილებისთანავე</w:t>
      </w:r>
      <w:r w:rsidRPr="003D733D">
        <w:t xml:space="preserve"> </w:t>
      </w:r>
      <w:r w:rsidRPr="003D733D">
        <w:rPr>
          <w:rFonts w:ascii="Sylfaen" w:hAnsi="Sylfaen" w:cs="Sylfaen"/>
        </w:rPr>
        <w:t>ან</w:t>
      </w:r>
      <w:r w:rsidRPr="003D733D">
        <w:t xml:space="preserve"> </w:t>
      </w:r>
      <w:r w:rsidRPr="003D733D">
        <w:rPr>
          <w:rFonts w:ascii="Sylfaen" w:hAnsi="Sylfaen" w:cs="Sylfaen"/>
        </w:rPr>
        <w:t>გაჟონვის</w:t>
      </w:r>
      <w:r w:rsidRPr="003D733D">
        <w:t xml:space="preserve"> </w:t>
      </w:r>
      <w:r w:rsidRPr="003D733D">
        <w:rPr>
          <w:rFonts w:ascii="Sylfaen" w:hAnsi="Sylfaen" w:cs="Sylfaen"/>
        </w:rPr>
        <w:t>შეწყვეტისთანავე</w:t>
      </w:r>
      <w:r w:rsidRPr="003D733D">
        <w:t>;</w:t>
      </w:r>
    </w:p>
    <w:p w14:paraId="2B41B388" w14:textId="77777777" w:rsidR="00A2588D" w:rsidRPr="003D733D" w:rsidRDefault="00A2588D" w:rsidP="00A2588D">
      <w:pPr>
        <w:spacing w:before="120" w:after="120"/>
      </w:pPr>
      <w:r w:rsidRPr="003D733D">
        <w:rPr>
          <w:rFonts w:ascii="Sylfaen" w:hAnsi="Sylfaen" w:cs="Sylfaen"/>
        </w:rPr>
        <w:t>როგორც</w:t>
      </w:r>
      <w:r w:rsidRPr="003D733D">
        <w:t xml:space="preserve"> </w:t>
      </w:r>
      <w:r w:rsidRPr="003D733D">
        <w:rPr>
          <w:rFonts w:ascii="Sylfaen" w:hAnsi="Sylfaen" w:cs="Sylfaen"/>
        </w:rPr>
        <w:t>კი</w:t>
      </w:r>
      <w:r w:rsidRPr="003D733D">
        <w:t xml:space="preserve"> </w:t>
      </w:r>
      <w:r w:rsidRPr="003D733D">
        <w:rPr>
          <w:rFonts w:ascii="Sylfaen" w:hAnsi="Sylfaen" w:cs="Sylfaen"/>
        </w:rPr>
        <w:t>მოცილებული</w:t>
      </w:r>
      <w:r w:rsidRPr="003D733D">
        <w:t xml:space="preserve"> </w:t>
      </w:r>
      <w:r w:rsidRPr="003D733D">
        <w:rPr>
          <w:rFonts w:ascii="Sylfaen" w:hAnsi="Sylfaen" w:cs="Sylfaen"/>
        </w:rPr>
        <w:t>იქნება</w:t>
      </w:r>
      <w:r w:rsidRPr="003D733D">
        <w:t xml:space="preserve"> </w:t>
      </w:r>
      <w:r w:rsidRPr="003D733D">
        <w:rPr>
          <w:rFonts w:ascii="Sylfaen" w:hAnsi="Sylfaen" w:cs="Sylfaen"/>
        </w:rPr>
        <w:t>მთელი</w:t>
      </w:r>
      <w:r w:rsidRPr="003D733D">
        <w:t xml:space="preserve"> </w:t>
      </w:r>
      <w:r w:rsidRPr="003D733D">
        <w:rPr>
          <w:rFonts w:ascii="Sylfaen" w:hAnsi="Sylfaen" w:cs="Sylfaen"/>
        </w:rPr>
        <w:t>გაჟონილი</w:t>
      </w:r>
      <w:r w:rsidRPr="003D733D">
        <w:t xml:space="preserve"> </w:t>
      </w:r>
      <w:r w:rsidRPr="003D733D">
        <w:rPr>
          <w:rFonts w:ascii="Sylfaen" w:hAnsi="Sylfaen" w:cs="Sylfaen"/>
        </w:rPr>
        <w:t>ნავთობპროდუქტები</w:t>
      </w:r>
      <w:r w:rsidRPr="003D733D">
        <w:t xml:space="preserve">, </w:t>
      </w:r>
      <w:r w:rsidRPr="003D733D">
        <w:rPr>
          <w:rFonts w:ascii="Sylfaen" w:hAnsi="Sylfaen" w:cs="Sylfaen"/>
        </w:rPr>
        <w:t>უბნის</w:t>
      </w:r>
      <w:r w:rsidRPr="003D733D">
        <w:t xml:space="preserve"> </w:t>
      </w:r>
      <w:r w:rsidRPr="003D733D">
        <w:rPr>
          <w:rFonts w:ascii="Sylfaen" w:hAnsi="Sylfaen" w:cs="Sylfaen"/>
        </w:rPr>
        <w:t>მენეჯერის</w:t>
      </w:r>
      <w:r w:rsidRPr="003D733D">
        <w:t xml:space="preserve"> </w:t>
      </w:r>
      <w:r w:rsidRPr="003D733D">
        <w:rPr>
          <w:rFonts w:ascii="Sylfaen" w:hAnsi="Sylfaen" w:cs="Sylfaen"/>
        </w:rPr>
        <w:t>მითითებისა</w:t>
      </w:r>
      <w:r w:rsidRPr="003D733D">
        <w:t xml:space="preserve"> </w:t>
      </w:r>
      <w:r w:rsidRPr="003D733D">
        <w:rPr>
          <w:rFonts w:ascii="Sylfaen" w:hAnsi="Sylfaen" w:cs="Sylfaen"/>
        </w:rPr>
        <w:t>და</w:t>
      </w:r>
      <w:r w:rsidRPr="003D733D">
        <w:t xml:space="preserve"> </w:t>
      </w:r>
      <w:r w:rsidRPr="003D733D">
        <w:rPr>
          <w:rFonts w:ascii="Sylfaen" w:hAnsi="Sylfaen" w:cs="Sylfaen"/>
        </w:rPr>
        <w:t>შესაბამისი</w:t>
      </w:r>
      <w:r w:rsidRPr="003D733D">
        <w:t xml:space="preserve"> </w:t>
      </w:r>
      <w:r w:rsidRPr="003D733D">
        <w:rPr>
          <w:rFonts w:ascii="Sylfaen" w:hAnsi="Sylfaen" w:cs="Sylfaen"/>
        </w:rPr>
        <w:t>კომპეტენციის</w:t>
      </w:r>
      <w:r w:rsidRPr="003D733D">
        <w:t xml:space="preserve"> </w:t>
      </w:r>
      <w:r w:rsidRPr="003D733D">
        <w:rPr>
          <w:rFonts w:ascii="Sylfaen" w:hAnsi="Sylfaen" w:cs="Sylfaen"/>
        </w:rPr>
        <w:t>მქონე</w:t>
      </w:r>
      <w:r w:rsidRPr="003D733D">
        <w:t xml:space="preserve"> </w:t>
      </w:r>
      <w:r w:rsidRPr="003D733D">
        <w:rPr>
          <w:rFonts w:ascii="Sylfaen" w:hAnsi="Sylfaen" w:cs="Sylfaen"/>
        </w:rPr>
        <w:t>მოწვეული</w:t>
      </w:r>
      <w:r w:rsidRPr="003D733D">
        <w:t xml:space="preserve"> </w:t>
      </w:r>
      <w:r w:rsidRPr="003D733D">
        <w:rPr>
          <w:rFonts w:ascii="Sylfaen" w:hAnsi="Sylfaen" w:cs="Sylfaen"/>
        </w:rPr>
        <w:t>სპეციალისტის</w:t>
      </w:r>
      <w:r w:rsidRPr="003D733D">
        <w:t xml:space="preserve"> </w:t>
      </w:r>
      <w:r w:rsidRPr="003D733D">
        <w:rPr>
          <w:rFonts w:ascii="Sylfaen" w:hAnsi="Sylfaen" w:cs="Sylfaen"/>
        </w:rPr>
        <w:t>ზედამხედველობით</w:t>
      </w:r>
      <w:r w:rsidRPr="003D733D">
        <w:t xml:space="preserve"> </w:t>
      </w:r>
      <w:r w:rsidRPr="003D733D">
        <w:rPr>
          <w:rFonts w:ascii="Sylfaen" w:hAnsi="Sylfaen" w:cs="Sylfaen"/>
        </w:rPr>
        <w:t>უნდა</w:t>
      </w:r>
      <w:r w:rsidRPr="003D733D">
        <w:t xml:space="preserve"> </w:t>
      </w:r>
      <w:r w:rsidRPr="003D733D">
        <w:rPr>
          <w:rFonts w:ascii="Sylfaen" w:hAnsi="Sylfaen" w:cs="Sylfaen"/>
        </w:rPr>
        <w:t>დაიწყოს</w:t>
      </w:r>
      <w:r w:rsidRPr="003D733D">
        <w:t xml:space="preserve"> </w:t>
      </w:r>
      <w:r w:rsidRPr="003D733D">
        <w:rPr>
          <w:rFonts w:ascii="Sylfaen" w:hAnsi="Sylfaen" w:cs="Sylfaen"/>
        </w:rPr>
        <w:t>დაბინძურებული</w:t>
      </w:r>
      <w:r w:rsidRPr="003D733D">
        <w:t xml:space="preserve"> </w:t>
      </w:r>
      <w:r w:rsidRPr="003D733D">
        <w:rPr>
          <w:rFonts w:ascii="Sylfaen" w:hAnsi="Sylfaen" w:cs="Sylfaen"/>
        </w:rPr>
        <w:t>ნიადაგის</w:t>
      </w:r>
      <w:r w:rsidRPr="003D733D">
        <w:t xml:space="preserve"> </w:t>
      </w:r>
      <w:r w:rsidRPr="003D733D">
        <w:rPr>
          <w:rFonts w:ascii="Sylfaen" w:hAnsi="Sylfaen" w:cs="Sylfaen"/>
        </w:rPr>
        <w:t>მოცილება</w:t>
      </w:r>
      <w:r w:rsidRPr="003D733D">
        <w:t xml:space="preserve"> </w:t>
      </w:r>
      <w:r w:rsidRPr="003D733D">
        <w:rPr>
          <w:rFonts w:ascii="Sylfaen" w:hAnsi="Sylfaen" w:cs="Sylfaen"/>
        </w:rPr>
        <w:t>და</w:t>
      </w:r>
      <w:r w:rsidRPr="003D733D">
        <w:t xml:space="preserve"> </w:t>
      </w:r>
      <w:r w:rsidRPr="003D733D">
        <w:rPr>
          <w:rFonts w:ascii="Sylfaen" w:hAnsi="Sylfaen" w:cs="Sylfaen"/>
        </w:rPr>
        <w:t>მისთვის</w:t>
      </w:r>
      <w:r w:rsidRPr="003D733D">
        <w:t xml:space="preserve"> </w:t>
      </w:r>
      <w:r w:rsidRPr="003D733D">
        <w:rPr>
          <w:rFonts w:ascii="Sylfaen" w:hAnsi="Sylfaen" w:cs="Sylfaen"/>
        </w:rPr>
        <w:t>სარემედიაციო</w:t>
      </w:r>
      <w:r w:rsidRPr="003D733D">
        <w:t xml:space="preserve"> </w:t>
      </w:r>
      <w:r w:rsidRPr="003D733D">
        <w:rPr>
          <w:rFonts w:ascii="Sylfaen" w:hAnsi="Sylfaen" w:cs="Sylfaen"/>
        </w:rPr>
        <w:t>სამუშაოების</w:t>
      </w:r>
      <w:r w:rsidRPr="003D733D">
        <w:t xml:space="preserve"> </w:t>
      </w:r>
      <w:r w:rsidRPr="003D733D">
        <w:rPr>
          <w:rFonts w:ascii="Sylfaen" w:hAnsi="Sylfaen" w:cs="Sylfaen"/>
        </w:rPr>
        <w:t>ჩატარება</w:t>
      </w:r>
      <w:r w:rsidRPr="003D733D">
        <w:t>.</w:t>
      </w:r>
    </w:p>
    <w:p w14:paraId="12912301" w14:textId="77777777" w:rsidR="00A2588D" w:rsidRPr="003D733D" w:rsidRDefault="00A2588D" w:rsidP="00A2588D"/>
    <w:p w14:paraId="64F8927C" w14:textId="77777777" w:rsidR="00A2588D" w:rsidRPr="003D733D" w:rsidRDefault="00A2588D" w:rsidP="00A2588D"/>
    <w:p w14:paraId="2F1896EF" w14:textId="77777777" w:rsidR="00A2588D" w:rsidRPr="00631159" w:rsidRDefault="00A2588D" w:rsidP="00A2588D">
      <w:pPr>
        <w:rPr>
          <w:b/>
          <w:i/>
        </w:rPr>
      </w:pPr>
      <w:bookmarkStart w:id="655" w:name="_Toc479166594"/>
      <w:bookmarkStart w:id="656" w:name="_Toc479164879"/>
      <w:bookmarkStart w:id="657" w:name="_Toc416769152"/>
      <w:bookmarkStart w:id="658" w:name="_Toc407201855"/>
      <w:bookmarkStart w:id="659" w:name="_Toc337205847"/>
      <w:bookmarkStart w:id="660" w:name="_Toc326839324"/>
      <w:r w:rsidRPr="00631159">
        <w:rPr>
          <w:rFonts w:ascii="Sylfaen" w:hAnsi="Sylfaen" w:cs="Sylfaen"/>
          <w:b/>
          <w:i/>
        </w:rPr>
        <w:t>რეაგირება</w:t>
      </w:r>
      <w:r w:rsidRPr="00631159">
        <w:rPr>
          <w:b/>
          <w:i/>
        </w:rPr>
        <w:t xml:space="preserve"> </w:t>
      </w:r>
      <w:r w:rsidRPr="00631159">
        <w:rPr>
          <w:rFonts w:ascii="Sylfaen" w:hAnsi="Sylfaen" w:cs="Sylfaen"/>
          <w:b/>
          <w:i/>
        </w:rPr>
        <w:t>ხანძრის</w:t>
      </w:r>
      <w:r w:rsidRPr="00631159">
        <w:rPr>
          <w:b/>
          <w:i/>
        </w:rPr>
        <w:t xml:space="preserve"> </w:t>
      </w:r>
      <w:r w:rsidRPr="00631159">
        <w:rPr>
          <w:rFonts w:ascii="Sylfaen" w:hAnsi="Sylfaen" w:cs="Sylfaen"/>
          <w:b/>
          <w:i/>
        </w:rPr>
        <w:t>შემთხვევაში</w:t>
      </w:r>
      <w:bookmarkEnd w:id="655"/>
      <w:bookmarkEnd w:id="656"/>
      <w:bookmarkEnd w:id="657"/>
      <w:bookmarkEnd w:id="658"/>
      <w:bookmarkEnd w:id="659"/>
      <w:bookmarkEnd w:id="660"/>
    </w:p>
    <w:p w14:paraId="5D631A47" w14:textId="77777777" w:rsidR="00A2588D" w:rsidRPr="003D733D" w:rsidRDefault="00A2588D" w:rsidP="00A2588D">
      <w:pPr>
        <w:rPr>
          <w:lang w:val="ka-GE"/>
        </w:rPr>
      </w:pPr>
      <w:r w:rsidRPr="003D733D">
        <w:rPr>
          <w:rFonts w:ascii="Sylfaen" w:hAnsi="Sylfaen" w:cs="Sylfaen"/>
        </w:rPr>
        <w:t>ხანძრის</w:t>
      </w:r>
      <w:r w:rsidRPr="003D733D">
        <w:t xml:space="preserve"> </w:t>
      </w:r>
      <w:r w:rsidRPr="003D733D">
        <w:rPr>
          <w:rFonts w:ascii="Sylfaen" w:hAnsi="Sylfaen" w:cs="Sylfaen"/>
        </w:rPr>
        <w:t>კერის</w:t>
      </w:r>
      <w:r w:rsidRPr="003D733D">
        <w:t xml:space="preserve"> </w:t>
      </w:r>
      <w:r w:rsidRPr="003D733D">
        <w:rPr>
          <w:rFonts w:ascii="Sylfaen" w:hAnsi="Sylfaen" w:cs="Sylfaen"/>
        </w:rPr>
        <w:t>ან</w:t>
      </w:r>
      <w:r w:rsidRPr="003D733D">
        <w:t xml:space="preserve"> </w:t>
      </w:r>
      <w:r w:rsidRPr="003D733D">
        <w:rPr>
          <w:rFonts w:ascii="Sylfaen" w:hAnsi="Sylfaen" w:cs="Sylfaen"/>
        </w:rPr>
        <w:t>კვამლის</w:t>
      </w:r>
      <w:r w:rsidRPr="003D733D">
        <w:t xml:space="preserve"> </w:t>
      </w:r>
      <w:r w:rsidRPr="003D733D">
        <w:rPr>
          <w:rFonts w:ascii="Sylfaen" w:hAnsi="Sylfaen" w:cs="Sylfaen"/>
        </w:rPr>
        <w:t>აღმომჩენი</w:t>
      </w:r>
      <w:r w:rsidRPr="003D733D">
        <w:t xml:space="preserve"> </w:t>
      </w:r>
      <w:r w:rsidRPr="003D733D">
        <w:rPr>
          <w:rFonts w:ascii="Sylfaen" w:hAnsi="Sylfaen" w:cs="Sylfaen"/>
        </w:rPr>
        <w:t>პირის</w:t>
      </w:r>
      <w:r w:rsidRPr="003D733D">
        <w:t xml:space="preserve"> </w:t>
      </w:r>
      <w:r w:rsidRPr="003D733D">
        <w:rPr>
          <w:rFonts w:ascii="Sylfaen" w:hAnsi="Sylfaen" w:cs="Sylfaen"/>
        </w:rPr>
        <w:t>და</w:t>
      </w:r>
      <w:r w:rsidRPr="003D733D">
        <w:t xml:space="preserve"> </w:t>
      </w:r>
      <w:r w:rsidRPr="003D733D">
        <w:rPr>
          <w:rFonts w:ascii="Sylfaen" w:hAnsi="Sylfaen" w:cs="Sylfaen"/>
        </w:rPr>
        <w:t>მახლობლად</w:t>
      </w:r>
      <w:r w:rsidRPr="003D733D">
        <w:t xml:space="preserve"> </w:t>
      </w:r>
      <w:r w:rsidRPr="003D733D">
        <w:rPr>
          <w:rFonts w:ascii="Sylfaen" w:hAnsi="Sylfaen" w:cs="Sylfaen"/>
        </w:rPr>
        <w:t>მომუშავე</w:t>
      </w:r>
      <w:r w:rsidRPr="003D733D">
        <w:t xml:space="preserve"> </w:t>
      </w:r>
      <w:r w:rsidRPr="003D733D">
        <w:rPr>
          <w:rFonts w:ascii="Sylfaen" w:hAnsi="Sylfaen" w:cs="Sylfaen"/>
        </w:rPr>
        <w:t>პერსონალის</w:t>
      </w:r>
      <w:r w:rsidRPr="003D733D">
        <w:t xml:space="preserve"> </w:t>
      </w:r>
      <w:r w:rsidRPr="003D733D">
        <w:rPr>
          <w:rFonts w:ascii="Sylfaen" w:hAnsi="Sylfaen" w:cs="Sylfaen"/>
        </w:rPr>
        <w:t>სტრატეგიული</w:t>
      </w:r>
      <w:r w:rsidRPr="003D733D">
        <w:t xml:space="preserve"> </w:t>
      </w:r>
      <w:r w:rsidRPr="003D733D">
        <w:rPr>
          <w:rFonts w:ascii="Sylfaen" w:hAnsi="Sylfaen" w:cs="Sylfaen"/>
        </w:rPr>
        <w:t>ქმედებებია</w:t>
      </w:r>
      <w:r w:rsidRPr="003D733D">
        <w:t>:</w:t>
      </w:r>
    </w:p>
    <w:p w14:paraId="3DF3EC43" w14:textId="77777777" w:rsidR="00A2588D" w:rsidRPr="003D733D" w:rsidRDefault="00A2588D" w:rsidP="00A2588D">
      <w:r w:rsidRPr="003D733D">
        <w:rPr>
          <w:rFonts w:ascii="Sylfaen" w:hAnsi="Sylfaen" w:cs="Sylfaen"/>
        </w:rPr>
        <w:t>სამუშაო</w:t>
      </w:r>
      <w:r w:rsidRPr="003D733D">
        <w:t xml:space="preserve"> </w:t>
      </w:r>
      <w:r w:rsidRPr="003D733D">
        <w:rPr>
          <w:rFonts w:ascii="Sylfaen" w:hAnsi="Sylfaen" w:cs="Sylfaen"/>
        </w:rPr>
        <w:t>უბანზე</w:t>
      </w:r>
      <w:r w:rsidRPr="003D733D">
        <w:t xml:space="preserve"> </w:t>
      </w:r>
      <w:r w:rsidRPr="003D733D">
        <w:rPr>
          <w:rFonts w:ascii="Sylfaen" w:hAnsi="Sylfaen" w:cs="Sylfaen"/>
        </w:rPr>
        <w:t>ყველა</w:t>
      </w:r>
      <w:r w:rsidRPr="003D733D">
        <w:t xml:space="preserve"> </w:t>
      </w:r>
      <w:r w:rsidRPr="003D733D">
        <w:rPr>
          <w:rFonts w:ascii="Sylfaen" w:hAnsi="Sylfaen" w:cs="Sylfaen"/>
        </w:rPr>
        <w:t>საქმიანობის</w:t>
      </w:r>
      <w:r w:rsidRPr="003D733D">
        <w:t xml:space="preserve"> </w:t>
      </w:r>
      <w:r w:rsidRPr="003D733D">
        <w:rPr>
          <w:rFonts w:ascii="Sylfaen" w:hAnsi="Sylfaen" w:cs="Sylfaen"/>
        </w:rPr>
        <w:t>შეწყვეტა</w:t>
      </w:r>
      <w:r w:rsidRPr="003D733D">
        <w:t xml:space="preserve">, </w:t>
      </w:r>
      <w:r w:rsidRPr="003D733D">
        <w:rPr>
          <w:rFonts w:ascii="Sylfaen" w:hAnsi="Sylfaen" w:cs="Sylfaen"/>
        </w:rPr>
        <w:t>გარდა</w:t>
      </w:r>
      <w:r w:rsidRPr="003D733D">
        <w:t xml:space="preserve"> </w:t>
      </w:r>
      <w:r w:rsidRPr="003D733D">
        <w:rPr>
          <w:rFonts w:ascii="Sylfaen" w:hAnsi="Sylfaen" w:cs="Sylfaen"/>
        </w:rPr>
        <w:t>უსაფრთხოების</w:t>
      </w:r>
      <w:r w:rsidRPr="003D733D">
        <w:t xml:space="preserve"> </w:t>
      </w:r>
      <w:r w:rsidRPr="003D733D">
        <w:rPr>
          <w:rFonts w:ascii="Sylfaen" w:hAnsi="Sylfaen" w:cs="Sylfaen"/>
        </w:rPr>
        <w:t>ზომებისა</w:t>
      </w:r>
      <w:r w:rsidRPr="003D733D">
        <w:t>;</w:t>
      </w:r>
    </w:p>
    <w:p w14:paraId="51BB9158" w14:textId="77777777" w:rsidR="00A2588D" w:rsidRPr="003D733D" w:rsidRDefault="00A2588D" w:rsidP="00A2588D">
      <w:r w:rsidRPr="003D733D">
        <w:rPr>
          <w:rFonts w:ascii="Sylfaen" w:hAnsi="Sylfaen" w:cs="Sylfaen"/>
        </w:rPr>
        <w:t>სიტუაციის</w:t>
      </w:r>
      <w:r w:rsidRPr="003D733D">
        <w:t xml:space="preserve"> </w:t>
      </w:r>
      <w:r w:rsidRPr="003D733D">
        <w:rPr>
          <w:rFonts w:ascii="Sylfaen" w:hAnsi="Sylfaen" w:cs="Sylfaen"/>
        </w:rPr>
        <w:t>შეფასება</w:t>
      </w:r>
      <w:r w:rsidRPr="003D733D">
        <w:t xml:space="preserve">, </w:t>
      </w:r>
      <w:r w:rsidRPr="003D733D">
        <w:rPr>
          <w:rFonts w:ascii="Sylfaen" w:hAnsi="Sylfaen" w:cs="Sylfaen"/>
        </w:rPr>
        <w:t>ხანძრის</w:t>
      </w:r>
      <w:r w:rsidRPr="003D733D">
        <w:t xml:space="preserve"> </w:t>
      </w:r>
      <w:r w:rsidRPr="003D733D">
        <w:rPr>
          <w:rFonts w:ascii="Sylfaen" w:hAnsi="Sylfaen" w:cs="Sylfaen"/>
        </w:rPr>
        <w:t>კერის</w:t>
      </w:r>
      <w:r w:rsidRPr="003D733D">
        <w:t xml:space="preserve"> </w:t>
      </w:r>
      <w:r w:rsidRPr="003D733D">
        <w:rPr>
          <w:rFonts w:ascii="Sylfaen" w:hAnsi="Sylfaen" w:cs="Sylfaen"/>
        </w:rPr>
        <w:t>და</w:t>
      </w:r>
      <w:r w:rsidRPr="003D733D">
        <w:t xml:space="preserve"> </w:t>
      </w:r>
      <w:r w:rsidRPr="003D733D">
        <w:rPr>
          <w:rFonts w:ascii="Sylfaen" w:hAnsi="Sylfaen" w:cs="Sylfaen"/>
        </w:rPr>
        <w:t>მიმდებარე</w:t>
      </w:r>
      <w:r w:rsidRPr="003D733D">
        <w:t xml:space="preserve"> </w:t>
      </w:r>
      <w:r w:rsidRPr="003D733D">
        <w:rPr>
          <w:rFonts w:ascii="Sylfaen" w:hAnsi="Sylfaen" w:cs="Sylfaen"/>
        </w:rPr>
        <w:t>ტერიტორიების</w:t>
      </w:r>
      <w:r w:rsidRPr="003D733D">
        <w:t xml:space="preserve"> </w:t>
      </w:r>
      <w:r w:rsidRPr="003D733D">
        <w:rPr>
          <w:rFonts w:ascii="Sylfaen" w:hAnsi="Sylfaen" w:cs="Sylfaen"/>
        </w:rPr>
        <w:t>დაზვერვა</w:t>
      </w:r>
      <w:r w:rsidRPr="003D733D">
        <w:t>;</w:t>
      </w:r>
    </w:p>
    <w:p w14:paraId="23C3AFFE" w14:textId="77777777" w:rsidR="00A2588D" w:rsidRPr="003D733D" w:rsidRDefault="00A2588D" w:rsidP="00A2588D">
      <w:r w:rsidRPr="003D733D">
        <w:rPr>
          <w:rFonts w:ascii="Sylfaen" w:hAnsi="Sylfaen" w:cs="Sylfaen"/>
        </w:rPr>
        <w:t>შეძლებისდაგვარად</w:t>
      </w:r>
      <w:r w:rsidRPr="003D733D">
        <w:t xml:space="preserve"> </w:t>
      </w:r>
      <w:r w:rsidRPr="003D733D">
        <w:rPr>
          <w:rFonts w:ascii="Sylfaen" w:hAnsi="Sylfaen" w:cs="Sylfaen"/>
        </w:rPr>
        <w:t>ტექნიკის</w:t>
      </w:r>
      <w:r w:rsidRPr="003D733D">
        <w:t xml:space="preserve"> </w:t>
      </w:r>
      <w:r w:rsidRPr="003D733D">
        <w:rPr>
          <w:rFonts w:ascii="Sylfaen" w:hAnsi="Sylfaen" w:cs="Sylfaen"/>
        </w:rPr>
        <w:t>და</w:t>
      </w:r>
      <w:r w:rsidRPr="003D733D">
        <w:t xml:space="preserve"> </w:t>
      </w:r>
      <w:r w:rsidRPr="003D733D">
        <w:rPr>
          <w:rFonts w:ascii="Sylfaen" w:hAnsi="Sylfaen" w:cs="Sylfaen"/>
        </w:rPr>
        <w:t>სხვა</w:t>
      </w:r>
      <w:r w:rsidRPr="003D733D">
        <w:t xml:space="preserve"> </w:t>
      </w:r>
      <w:r w:rsidRPr="003D733D">
        <w:rPr>
          <w:rFonts w:ascii="Sylfaen" w:hAnsi="Sylfaen" w:cs="Sylfaen"/>
        </w:rPr>
        <w:t>დანადგარ</w:t>
      </w:r>
      <w:r w:rsidRPr="003D733D">
        <w:t>-</w:t>
      </w:r>
      <w:r w:rsidRPr="003D733D">
        <w:rPr>
          <w:rFonts w:ascii="Sylfaen" w:hAnsi="Sylfaen" w:cs="Sylfaen"/>
        </w:rPr>
        <w:t>მოწყობილობების</w:t>
      </w:r>
      <w:r w:rsidRPr="003D733D">
        <w:t xml:space="preserve"> </w:t>
      </w:r>
      <w:r w:rsidRPr="003D733D">
        <w:rPr>
          <w:rFonts w:ascii="Sylfaen" w:hAnsi="Sylfaen" w:cs="Sylfaen"/>
        </w:rPr>
        <w:t>იმ</w:t>
      </w:r>
      <w:r w:rsidRPr="003D733D">
        <w:t xml:space="preserve"> </w:t>
      </w:r>
      <w:r w:rsidRPr="003D733D">
        <w:rPr>
          <w:rFonts w:ascii="Sylfaen" w:hAnsi="Sylfaen" w:cs="Sylfaen"/>
        </w:rPr>
        <w:t>ადგილებიდან</w:t>
      </w:r>
      <w:r w:rsidRPr="003D733D">
        <w:t xml:space="preserve"> </w:t>
      </w:r>
      <w:r w:rsidRPr="003D733D">
        <w:rPr>
          <w:rFonts w:ascii="Sylfaen" w:hAnsi="Sylfaen" w:cs="Sylfaen"/>
        </w:rPr>
        <w:t>გაყვანა</w:t>
      </w:r>
      <w:r w:rsidRPr="003D733D">
        <w:t>/</w:t>
      </w:r>
      <w:r w:rsidRPr="003D733D">
        <w:rPr>
          <w:rFonts w:ascii="Sylfaen" w:hAnsi="Sylfaen" w:cs="Sylfaen"/>
        </w:rPr>
        <w:t>გატანა</w:t>
      </w:r>
      <w:r w:rsidRPr="003D733D">
        <w:t xml:space="preserve">, </w:t>
      </w:r>
      <w:r w:rsidRPr="003D733D">
        <w:rPr>
          <w:rFonts w:ascii="Sylfaen" w:hAnsi="Sylfaen" w:cs="Sylfaen"/>
        </w:rPr>
        <w:t>სადაც</w:t>
      </w:r>
      <w:r w:rsidRPr="003D733D">
        <w:t xml:space="preserve"> </w:t>
      </w:r>
      <w:r w:rsidRPr="003D733D">
        <w:rPr>
          <w:rFonts w:ascii="Sylfaen" w:hAnsi="Sylfaen" w:cs="Sylfaen"/>
        </w:rPr>
        <w:t>შესაძლებელია</w:t>
      </w:r>
      <w:r w:rsidRPr="003D733D">
        <w:t xml:space="preserve"> </w:t>
      </w:r>
      <w:r w:rsidRPr="003D733D">
        <w:rPr>
          <w:rFonts w:ascii="Sylfaen" w:hAnsi="Sylfaen" w:cs="Sylfaen"/>
        </w:rPr>
        <w:t>ხანძრის</w:t>
      </w:r>
      <w:r w:rsidRPr="003D733D">
        <w:t xml:space="preserve"> </w:t>
      </w:r>
      <w:r w:rsidRPr="003D733D">
        <w:rPr>
          <w:rFonts w:ascii="Sylfaen" w:hAnsi="Sylfaen" w:cs="Sylfaen"/>
        </w:rPr>
        <w:t>გავრცელება</w:t>
      </w:r>
      <w:r w:rsidRPr="003D733D">
        <w:t>.</w:t>
      </w:r>
    </w:p>
    <w:p w14:paraId="254360A4" w14:textId="77777777" w:rsidR="00A2588D" w:rsidRPr="003D733D" w:rsidRDefault="00A2588D" w:rsidP="00A2588D">
      <w:r w:rsidRPr="003D733D">
        <w:rPr>
          <w:rFonts w:ascii="Sylfaen" w:hAnsi="Sylfaen" w:cs="Sylfaen"/>
        </w:rPr>
        <w:t>ელექტრომოწყობილობები</w:t>
      </w:r>
      <w:r w:rsidRPr="003D733D">
        <w:t xml:space="preserve"> </w:t>
      </w:r>
      <w:r w:rsidRPr="003D733D">
        <w:rPr>
          <w:rFonts w:ascii="Sylfaen" w:hAnsi="Sylfaen" w:cs="Sylfaen"/>
        </w:rPr>
        <w:t>უნდა</w:t>
      </w:r>
      <w:r w:rsidRPr="003D733D">
        <w:t xml:space="preserve"> </w:t>
      </w:r>
      <w:r w:rsidRPr="003D733D">
        <w:rPr>
          <w:rFonts w:ascii="Sylfaen" w:hAnsi="Sylfaen" w:cs="Sylfaen"/>
        </w:rPr>
        <w:t>ამოირთოს</w:t>
      </w:r>
      <w:r w:rsidRPr="003D733D">
        <w:t xml:space="preserve"> </w:t>
      </w:r>
      <w:r w:rsidRPr="003D733D">
        <w:rPr>
          <w:rFonts w:ascii="Sylfaen" w:hAnsi="Sylfaen" w:cs="Sylfaen"/>
        </w:rPr>
        <w:t>წრედიდან</w:t>
      </w:r>
      <w:r w:rsidRPr="003D733D">
        <w:t>;</w:t>
      </w:r>
    </w:p>
    <w:p w14:paraId="24DF445A" w14:textId="77777777" w:rsidR="00A2588D" w:rsidRPr="003D733D" w:rsidRDefault="00A2588D" w:rsidP="00A2588D">
      <w:r w:rsidRPr="003D733D">
        <w:rPr>
          <w:rFonts w:ascii="Sylfaen" w:hAnsi="Sylfaen" w:cs="Sylfaen"/>
        </w:rPr>
        <w:lastRenderedPageBreak/>
        <w:t>იმ</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თუ</w:t>
      </w:r>
      <w:r w:rsidRPr="003D733D">
        <w:t xml:space="preserve"> </w:t>
      </w:r>
      <w:r w:rsidRPr="003D733D">
        <w:rPr>
          <w:rFonts w:ascii="Sylfaen" w:hAnsi="Sylfaen" w:cs="Sylfaen"/>
        </w:rPr>
        <w:t>ხანძარი</w:t>
      </w:r>
      <w:r w:rsidRPr="003D733D">
        <w:t xml:space="preserve"> </w:t>
      </w:r>
      <w:r w:rsidRPr="003D733D">
        <w:rPr>
          <w:rFonts w:ascii="Sylfaen" w:hAnsi="Sylfaen" w:cs="Sylfaen"/>
        </w:rPr>
        <w:t>მძლავრია</w:t>
      </w:r>
      <w:r w:rsidRPr="003D733D">
        <w:t xml:space="preserve"> </w:t>
      </w:r>
      <w:r w:rsidRPr="003D733D">
        <w:rPr>
          <w:rFonts w:ascii="Sylfaen" w:hAnsi="Sylfaen" w:cs="Sylfaen"/>
        </w:rPr>
        <w:t>და</w:t>
      </w:r>
      <w:r w:rsidRPr="003D733D">
        <w:t xml:space="preserve"> </w:t>
      </w:r>
      <w:r w:rsidRPr="003D733D">
        <w:rPr>
          <w:rFonts w:ascii="Sylfaen" w:hAnsi="Sylfaen" w:cs="Sylfaen"/>
        </w:rPr>
        <w:t>გაძნელებულია</w:t>
      </w:r>
      <w:r w:rsidRPr="003D733D">
        <w:t xml:space="preserve"> </w:t>
      </w:r>
      <w:r w:rsidRPr="003D733D">
        <w:rPr>
          <w:rFonts w:ascii="Sylfaen" w:hAnsi="Sylfaen" w:cs="Sylfaen"/>
        </w:rPr>
        <w:t>ხანძრის</w:t>
      </w:r>
      <w:r w:rsidRPr="003D733D">
        <w:t xml:space="preserve"> </w:t>
      </w:r>
      <w:r w:rsidRPr="003D733D">
        <w:rPr>
          <w:rFonts w:ascii="Sylfaen" w:hAnsi="Sylfaen" w:cs="Sylfaen"/>
        </w:rPr>
        <w:t>კერასთან</w:t>
      </w:r>
      <w:r w:rsidRPr="003D733D">
        <w:t xml:space="preserve"> </w:t>
      </w:r>
      <w:r w:rsidRPr="003D733D">
        <w:rPr>
          <w:rFonts w:ascii="Sylfaen" w:hAnsi="Sylfaen" w:cs="Sylfaen"/>
        </w:rPr>
        <w:t>მიდგომა</w:t>
      </w:r>
      <w:r w:rsidRPr="003D733D">
        <w:t xml:space="preserve">, </w:t>
      </w:r>
      <w:r w:rsidRPr="003D733D">
        <w:rPr>
          <w:rFonts w:ascii="Sylfaen" w:hAnsi="Sylfaen" w:cs="Sylfaen"/>
        </w:rPr>
        <w:t>მიმდებარედ</w:t>
      </w:r>
      <w:r w:rsidRPr="003D733D">
        <w:t xml:space="preserve"> </w:t>
      </w:r>
      <w:r w:rsidRPr="003D733D">
        <w:rPr>
          <w:rFonts w:ascii="Sylfaen" w:hAnsi="Sylfaen" w:cs="Sylfaen"/>
        </w:rPr>
        <w:t>განლაგებულია</w:t>
      </w:r>
      <w:r w:rsidRPr="003D733D">
        <w:t xml:space="preserve"> </w:t>
      </w:r>
      <w:r w:rsidRPr="003D733D">
        <w:rPr>
          <w:rFonts w:ascii="Sylfaen" w:hAnsi="Sylfaen" w:cs="Sylfaen"/>
        </w:rPr>
        <w:t>რაიმე</w:t>
      </w:r>
      <w:r w:rsidRPr="003D733D">
        <w:t xml:space="preserve"> </w:t>
      </w:r>
      <w:r w:rsidRPr="003D733D">
        <w:rPr>
          <w:rFonts w:ascii="Sylfaen" w:hAnsi="Sylfaen" w:cs="Sylfaen"/>
        </w:rPr>
        <w:t>ხანძარსაშიში</w:t>
      </w:r>
      <w:r w:rsidRPr="003D733D">
        <w:t xml:space="preserve"> </w:t>
      </w:r>
      <w:r w:rsidRPr="003D733D">
        <w:rPr>
          <w:rFonts w:ascii="Sylfaen" w:hAnsi="Sylfaen" w:cs="Sylfaen"/>
        </w:rPr>
        <w:t>ან</w:t>
      </w:r>
      <w:r w:rsidRPr="003D733D">
        <w:t xml:space="preserve"> </w:t>
      </w:r>
      <w:r w:rsidRPr="003D733D">
        <w:rPr>
          <w:rFonts w:ascii="Sylfaen" w:hAnsi="Sylfaen" w:cs="Sylfaen"/>
        </w:rPr>
        <w:t>ფეთქებადსაშიში</w:t>
      </w:r>
      <w:r w:rsidRPr="003D733D">
        <w:t xml:space="preserve"> </w:t>
      </w:r>
      <w:r w:rsidRPr="003D733D">
        <w:rPr>
          <w:rFonts w:ascii="Sylfaen" w:hAnsi="Sylfaen" w:cs="Sylfaen"/>
        </w:rPr>
        <w:t>უბნები</w:t>
      </w:r>
      <w:r w:rsidRPr="003D733D">
        <w:t>/</w:t>
      </w:r>
      <w:r w:rsidRPr="003D733D">
        <w:rPr>
          <w:rFonts w:ascii="Sylfaen" w:hAnsi="Sylfaen" w:cs="Sylfaen"/>
        </w:rPr>
        <w:t>ნივთიერებები</w:t>
      </w:r>
      <w:r w:rsidRPr="003D733D">
        <w:t xml:space="preserve">, </w:t>
      </w:r>
      <w:r w:rsidRPr="003D733D">
        <w:rPr>
          <w:rFonts w:ascii="Sylfaen" w:hAnsi="Sylfaen" w:cs="Sylfaen"/>
        </w:rPr>
        <w:t>მაშინ</w:t>
      </w:r>
      <w:r w:rsidRPr="003D733D">
        <w:t>:</w:t>
      </w:r>
    </w:p>
    <w:p w14:paraId="244E0332" w14:textId="77777777" w:rsidR="00A2588D" w:rsidRPr="003D733D" w:rsidRDefault="00A2588D" w:rsidP="00A2588D">
      <w:r w:rsidRPr="003D733D">
        <w:rPr>
          <w:rFonts w:ascii="Sylfaen" w:hAnsi="Sylfaen" w:cs="Sylfaen"/>
        </w:rPr>
        <w:t>მოშორდით</w:t>
      </w:r>
      <w:r w:rsidRPr="003D733D">
        <w:t xml:space="preserve"> </w:t>
      </w:r>
      <w:r w:rsidRPr="003D733D">
        <w:rPr>
          <w:rFonts w:ascii="Sylfaen" w:hAnsi="Sylfaen" w:cs="Sylfaen"/>
        </w:rPr>
        <w:t>სახიფათო</w:t>
      </w:r>
      <w:r w:rsidRPr="003D733D">
        <w:t xml:space="preserve"> </w:t>
      </w:r>
      <w:r w:rsidRPr="003D733D">
        <w:rPr>
          <w:rFonts w:ascii="Sylfaen" w:hAnsi="Sylfaen" w:cs="Sylfaen"/>
        </w:rPr>
        <w:t>ზონას</w:t>
      </w:r>
      <w:r w:rsidRPr="003D733D">
        <w:t>:</w:t>
      </w:r>
    </w:p>
    <w:p w14:paraId="5FDD481D" w14:textId="77777777" w:rsidR="00A2588D" w:rsidRPr="003D733D" w:rsidRDefault="00A2588D" w:rsidP="00A2588D">
      <w:r w:rsidRPr="003D733D">
        <w:rPr>
          <w:rFonts w:ascii="Sylfaen" w:hAnsi="Sylfaen" w:cs="Sylfaen"/>
        </w:rPr>
        <w:t>ავარიის</w:t>
      </w:r>
      <w:r w:rsidRPr="003D733D">
        <w:t xml:space="preserve"> </w:t>
      </w:r>
      <w:r w:rsidRPr="003D733D">
        <w:rPr>
          <w:rFonts w:ascii="Sylfaen" w:hAnsi="Sylfaen" w:cs="Sylfaen"/>
        </w:rPr>
        <w:t>შესახებ</w:t>
      </w:r>
      <w:r w:rsidRPr="003D733D">
        <w:t xml:space="preserve"> </w:t>
      </w:r>
      <w:r w:rsidRPr="003D733D">
        <w:rPr>
          <w:rFonts w:ascii="Sylfaen" w:hAnsi="Sylfaen" w:cs="Sylfaen"/>
        </w:rPr>
        <w:t>შეტყობინება</w:t>
      </w:r>
      <w:r w:rsidRPr="003D733D">
        <w:t xml:space="preserve"> </w:t>
      </w:r>
      <w:r w:rsidRPr="003D733D">
        <w:rPr>
          <w:rFonts w:ascii="Sylfaen" w:hAnsi="Sylfaen" w:cs="Sylfaen"/>
        </w:rPr>
        <w:t>გადაეცით</w:t>
      </w:r>
      <w:r w:rsidRPr="003D733D">
        <w:t xml:space="preserve"> </w:t>
      </w:r>
      <w:r w:rsidRPr="003D733D">
        <w:rPr>
          <w:rFonts w:ascii="Sylfaen" w:hAnsi="Sylfaen" w:cs="Sylfaen"/>
        </w:rPr>
        <w:t>მენეჯერს</w:t>
      </w:r>
      <w:r w:rsidRPr="003D733D">
        <w:t xml:space="preserve"> / </w:t>
      </w:r>
      <w:r w:rsidRPr="003D733D">
        <w:rPr>
          <w:rFonts w:ascii="Sylfaen" w:hAnsi="Sylfaen" w:cs="Sylfaen"/>
        </w:rPr>
        <w:t>უფროსს</w:t>
      </w:r>
      <w:r w:rsidRPr="003D733D">
        <w:t>;</w:t>
      </w:r>
    </w:p>
    <w:p w14:paraId="47246E28" w14:textId="77777777" w:rsidR="00A2588D" w:rsidRPr="003D733D" w:rsidRDefault="00A2588D" w:rsidP="00A2588D">
      <w:r w:rsidRPr="003D733D">
        <w:rPr>
          <w:rFonts w:ascii="Sylfaen" w:hAnsi="Sylfaen" w:cs="Sylfaen"/>
        </w:rPr>
        <w:t>დაელოდეთ</w:t>
      </w:r>
      <w:r w:rsidRPr="003D733D">
        <w:t xml:space="preserve"> </w:t>
      </w:r>
      <w:r w:rsidRPr="003D733D">
        <w:rPr>
          <w:rFonts w:ascii="Sylfaen" w:hAnsi="Sylfaen" w:cs="Sylfaen"/>
        </w:rPr>
        <w:t>სამაშველო</w:t>
      </w:r>
      <w:r w:rsidRPr="003D733D">
        <w:t xml:space="preserve"> </w:t>
      </w:r>
      <w:r w:rsidRPr="003D733D">
        <w:rPr>
          <w:rFonts w:ascii="Sylfaen" w:hAnsi="Sylfaen" w:cs="Sylfaen"/>
        </w:rPr>
        <w:t>რაზმის</w:t>
      </w:r>
      <w:r w:rsidRPr="003D733D">
        <w:t xml:space="preserve"> </w:t>
      </w:r>
      <w:r w:rsidRPr="003D733D">
        <w:rPr>
          <w:rFonts w:ascii="Sylfaen" w:hAnsi="Sylfaen" w:cs="Sylfaen"/>
        </w:rPr>
        <w:t>გამოჩენას</w:t>
      </w:r>
      <w:r w:rsidRPr="003D733D">
        <w:t xml:space="preserve"> </w:t>
      </w:r>
      <w:r w:rsidRPr="003D733D">
        <w:rPr>
          <w:rFonts w:ascii="Sylfaen" w:hAnsi="Sylfaen" w:cs="Sylfaen"/>
        </w:rPr>
        <w:t>და</w:t>
      </w:r>
      <w:r w:rsidRPr="003D733D">
        <w:t xml:space="preserve"> </w:t>
      </w:r>
      <w:r w:rsidRPr="003D733D">
        <w:rPr>
          <w:rFonts w:ascii="Sylfaen" w:hAnsi="Sylfaen" w:cs="Sylfaen"/>
        </w:rPr>
        <w:t>მათი</w:t>
      </w:r>
      <w:r w:rsidRPr="003D733D">
        <w:t xml:space="preserve"> </w:t>
      </w:r>
      <w:r w:rsidRPr="003D733D">
        <w:rPr>
          <w:rFonts w:ascii="Sylfaen" w:hAnsi="Sylfaen" w:cs="Sylfaen"/>
        </w:rPr>
        <w:t>მოსვლისას</w:t>
      </w:r>
      <w:r w:rsidRPr="003D733D">
        <w:t xml:space="preserve"> </w:t>
      </w:r>
      <w:r w:rsidRPr="003D733D">
        <w:rPr>
          <w:rFonts w:ascii="Sylfaen" w:hAnsi="Sylfaen" w:cs="Sylfaen"/>
        </w:rPr>
        <w:t>გადაეცით</w:t>
      </w:r>
      <w:r w:rsidRPr="003D733D">
        <w:t xml:space="preserve"> </w:t>
      </w:r>
      <w:r w:rsidRPr="003D733D">
        <w:rPr>
          <w:rFonts w:ascii="Sylfaen" w:hAnsi="Sylfaen" w:cs="Sylfaen"/>
        </w:rPr>
        <w:t>დეტალური</w:t>
      </w:r>
      <w:r w:rsidRPr="003D733D">
        <w:t xml:space="preserve"> </w:t>
      </w:r>
      <w:r w:rsidRPr="003D733D">
        <w:rPr>
          <w:rFonts w:ascii="Sylfaen" w:hAnsi="Sylfaen" w:cs="Sylfaen"/>
        </w:rPr>
        <w:t>ინფორმაცია</w:t>
      </w:r>
      <w:r w:rsidRPr="003D733D">
        <w:t xml:space="preserve"> </w:t>
      </w:r>
      <w:r w:rsidRPr="003D733D">
        <w:rPr>
          <w:rFonts w:ascii="Sylfaen" w:hAnsi="Sylfaen" w:cs="Sylfaen"/>
        </w:rPr>
        <w:t>ხანძრის</w:t>
      </w:r>
      <w:r w:rsidRPr="003D733D">
        <w:t xml:space="preserve"> </w:t>
      </w:r>
      <w:r w:rsidRPr="003D733D">
        <w:rPr>
          <w:rFonts w:ascii="Sylfaen" w:hAnsi="Sylfaen" w:cs="Sylfaen"/>
        </w:rPr>
        <w:t>მიზეზების</w:t>
      </w:r>
      <w:r w:rsidRPr="003D733D">
        <w:t xml:space="preserve"> </w:t>
      </w:r>
      <w:r w:rsidRPr="003D733D">
        <w:rPr>
          <w:rFonts w:ascii="Sylfaen" w:hAnsi="Sylfaen" w:cs="Sylfaen"/>
        </w:rPr>
        <w:t>და</w:t>
      </w:r>
      <w:r w:rsidRPr="003D733D">
        <w:t xml:space="preserve"> </w:t>
      </w:r>
      <w:r w:rsidRPr="003D733D">
        <w:rPr>
          <w:rFonts w:ascii="Sylfaen" w:hAnsi="Sylfaen" w:cs="Sylfaen"/>
        </w:rPr>
        <w:t>ხანძრის</w:t>
      </w:r>
      <w:r w:rsidRPr="003D733D">
        <w:t xml:space="preserve"> </w:t>
      </w:r>
      <w:r w:rsidRPr="003D733D">
        <w:rPr>
          <w:rFonts w:ascii="Sylfaen" w:hAnsi="Sylfaen" w:cs="Sylfaen"/>
        </w:rPr>
        <w:t>კერის</w:t>
      </w:r>
      <w:r w:rsidRPr="003D733D">
        <w:t xml:space="preserve"> </w:t>
      </w:r>
      <w:r w:rsidRPr="003D733D">
        <w:rPr>
          <w:rFonts w:ascii="Sylfaen" w:hAnsi="Sylfaen" w:cs="Sylfaen"/>
        </w:rPr>
        <w:t>სიახლოვეს</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სიტუაციის</w:t>
      </w:r>
      <w:r w:rsidRPr="003D733D">
        <w:t xml:space="preserve"> </w:t>
      </w:r>
      <w:r w:rsidRPr="003D733D">
        <w:rPr>
          <w:rFonts w:ascii="Sylfaen" w:hAnsi="Sylfaen" w:cs="Sylfaen"/>
        </w:rPr>
        <w:t>შესახებ</w:t>
      </w:r>
      <w:r w:rsidRPr="003D733D">
        <w:t>;</w:t>
      </w:r>
    </w:p>
    <w:p w14:paraId="5BA2C467" w14:textId="77777777" w:rsidR="00A2588D" w:rsidRPr="003D733D" w:rsidRDefault="00A2588D" w:rsidP="00A2588D">
      <w:r w:rsidRPr="003D733D">
        <w:rPr>
          <w:rFonts w:ascii="Sylfaen" w:hAnsi="Sylfaen" w:cs="Sylfaen"/>
        </w:rPr>
        <w:t>იმ</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თუ</w:t>
      </w:r>
      <w:r w:rsidRPr="003D733D">
        <w:t xml:space="preserve"> </w:t>
      </w:r>
      <w:r w:rsidRPr="003D733D">
        <w:rPr>
          <w:rFonts w:ascii="Sylfaen" w:hAnsi="Sylfaen" w:cs="Sylfaen"/>
        </w:rPr>
        <w:t>ხანძარი</w:t>
      </w:r>
      <w:r w:rsidRPr="003D733D">
        <w:t xml:space="preserve"> </w:t>
      </w:r>
      <w:r w:rsidRPr="003D733D">
        <w:rPr>
          <w:rFonts w:ascii="Sylfaen" w:hAnsi="Sylfaen" w:cs="Sylfaen"/>
        </w:rPr>
        <w:t>არ</w:t>
      </w:r>
      <w:r w:rsidRPr="003D733D">
        <w:t xml:space="preserve"> </w:t>
      </w:r>
      <w:r w:rsidRPr="003D733D">
        <w:rPr>
          <w:rFonts w:ascii="Sylfaen" w:hAnsi="Sylfaen" w:cs="Sylfaen"/>
        </w:rPr>
        <w:t>არის</w:t>
      </w:r>
      <w:r w:rsidRPr="003D733D">
        <w:t xml:space="preserve"> </w:t>
      </w:r>
      <w:r w:rsidRPr="003D733D">
        <w:rPr>
          <w:rFonts w:ascii="Sylfaen" w:hAnsi="Sylfaen" w:cs="Sylfaen"/>
        </w:rPr>
        <w:t>მძლავრი</w:t>
      </w:r>
      <w:r w:rsidRPr="003D733D">
        <w:t xml:space="preserve">, </w:t>
      </w:r>
      <w:r w:rsidRPr="003D733D">
        <w:rPr>
          <w:rFonts w:ascii="Sylfaen" w:hAnsi="Sylfaen" w:cs="Sylfaen"/>
        </w:rPr>
        <w:t>ხანძრის</w:t>
      </w:r>
      <w:r w:rsidRPr="003D733D">
        <w:t xml:space="preserve"> </w:t>
      </w:r>
      <w:r w:rsidRPr="003D733D">
        <w:rPr>
          <w:rFonts w:ascii="Sylfaen" w:hAnsi="Sylfaen" w:cs="Sylfaen"/>
        </w:rPr>
        <w:t>კერა</w:t>
      </w:r>
      <w:r w:rsidRPr="003D733D">
        <w:t xml:space="preserve"> </w:t>
      </w:r>
      <w:r w:rsidRPr="003D733D">
        <w:rPr>
          <w:rFonts w:ascii="Sylfaen" w:hAnsi="Sylfaen" w:cs="Sylfaen"/>
        </w:rPr>
        <w:t>ადვილად</w:t>
      </w:r>
      <w:r w:rsidRPr="003D733D">
        <w:t xml:space="preserve"> </w:t>
      </w:r>
      <w:r w:rsidRPr="003D733D">
        <w:rPr>
          <w:rFonts w:ascii="Sylfaen" w:hAnsi="Sylfaen" w:cs="Sylfaen"/>
        </w:rPr>
        <w:t>მისადგომია</w:t>
      </w:r>
      <w:r w:rsidRPr="003D733D">
        <w:t xml:space="preserve"> </w:t>
      </w:r>
      <w:r w:rsidRPr="003D733D">
        <w:rPr>
          <w:rFonts w:ascii="Sylfaen" w:hAnsi="Sylfaen" w:cs="Sylfaen"/>
        </w:rPr>
        <w:t>და</w:t>
      </w:r>
      <w:r w:rsidRPr="003D733D">
        <w:t xml:space="preserve"> </w:t>
      </w:r>
      <w:r w:rsidRPr="003D733D">
        <w:rPr>
          <w:rFonts w:ascii="Sylfaen" w:hAnsi="Sylfaen" w:cs="Sylfaen"/>
        </w:rPr>
        <w:t>მასთან</w:t>
      </w:r>
      <w:r w:rsidRPr="003D733D">
        <w:t xml:space="preserve"> </w:t>
      </w:r>
      <w:r w:rsidRPr="003D733D">
        <w:rPr>
          <w:rFonts w:ascii="Sylfaen" w:hAnsi="Sylfaen" w:cs="Sylfaen"/>
        </w:rPr>
        <w:t>მიახლოება</w:t>
      </w:r>
      <w:r w:rsidRPr="003D733D">
        <w:t xml:space="preserve"> </w:t>
      </w:r>
      <w:r w:rsidRPr="003D733D">
        <w:rPr>
          <w:rFonts w:ascii="Sylfaen" w:hAnsi="Sylfaen" w:cs="Sylfaen"/>
        </w:rPr>
        <w:t>საფრთხეს</w:t>
      </w:r>
      <w:r w:rsidRPr="003D733D">
        <w:t xml:space="preserve"> </w:t>
      </w:r>
      <w:r w:rsidRPr="003D733D">
        <w:rPr>
          <w:rFonts w:ascii="Sylfaen" w:hAnsi="Sylfaen" w:cs="Sylfaen"/>
        </w:rPr>
        <w:t>არ</w:t>
      </w:r>
      <w:r w:rsidRPr="003D733D">
        <w:t xml:space="preserve"> </w:t>
      </w:r>
      <w:r w:rsidRPr="003D733D">
        <w:rPr>
          <w:rFonts w:ascii="Sylfaen" w:hAnsi="Sylfaen" w:cs="Sylfaen"/>
        </w:rPr>
        <w:t>უქმნის</w:t>
      </w:r>
      <w:r w:rsidRPr="003D733D">
        <w:t xml:space="preserve"> </w:t>
      </w:r>
      <w:r w:rsidRPr="003D733D">
        <w:rPr>
          <w:rFonts w:ascii="Sylfaen" w:hAnsi="Sylfaen" w:cs="Sylfaen"/>
        </w:rPr>
        <w:t>თქვენს</w:t>
      </w:r>
      <w:r w:rsidRPr="003D733D">
        <w:t xml:space="preserve"> </w:t>
      </w:r>
      <w:r w:rsidRPr="003D733D">
        <w:rPr>
          <w:rFonts w:ascii="Sylfaen" w:hAnsi="Sylfaen" w:cs="Sylfaen"/>
        </w:rPr>
        <w:t>ჯანმრთელობას</w:t>
      </w:r>
      <w:r w:rsidRPr="003D733D">
        <w:t xml:space="preserve">. </w:t>
      </w:r>
      <w:r w:rsidRPr="003D733D">
        <w:rPr>
          <w:rFonts w:ascii="Sylfaen" w:hAnsi="Sylfaen" w:cs="Sylfaen"/>
        </w:rPr>
        <w:t>ამასთან</w:t>
      </w:r>
      <w:r w:rsidRPr="003D733D">
        <w:t xml:space="preserve"> </w:t>
      </w:r>
      <w:r w:rsidRPr="003D733D">
        <w:rPr>
          <w:rFonts w:ascii="Sylfaen" w:hAnsi="Sylfaen" w:cs="Sylfaen"/>
        </w:rPr>
        <w:t>არსებობს</w:t>
      </w:r>
      <w:r w:rsidRPr="003D733D">
        <w:t xml:space="preserve"> </w:t>
      </w:r>
      <w:r w:rsidRPr="003D733D">
        <w:rPr>
          <w:rFonts w:ascii="Sylfaen" w:hAnsi="Sylfaen" w:cs="Sylfaen"/>
        </w:rPr>
        <w:t>მიმდებარე</w:t>
      </w:r>
      <w:r w:rsidRPr="003D733D">
        <w:t xml:space="preserve"> </w:t>
      </w:r>
      <w:r w:rsidRPr="003D733D">
        <w:rPr>
          <w:rFonts w:ascii="Sylfaen" w:hAnsi="Sylfaen" w:cs="Sylfaen"/>
        </w:rPr>
        <w:t>ტერიტორიებზე</w:t>
      </w:r>
      <w:r w:rsidRPr="003D733D">
        <w:t xml:space="preserve"> </w:t>
      </w:r>
      <w:r w:rsidRPr="003D733D">
        <w:rPr>
          <w:rFonts w:ascii="Sylfaen" w:hAnsi="Sylfaen" w:cs="Sylfaen"/>
        </w:rPr>
        <w:t>ხანძრის</w:t>
      </w:r>
      <w:r w:rsidRPr="003D733D">
        <w:t xml:space="preserve"> </w:t>
      </w:r>
      <w:r w:rsidRPr="003D733D">
        <w:rPr>
          <w:rFonts w:ascii="Sylfaen" w:hAnsi="Sylfaen" w:cs="Sylfaen"/>
        </w:rPr>
        <w:t>გავრცელების</w:t>
      </w:r>
      <w:r w:rsidRPr="003D733D">
        <w:t xml:space="preserve"> </w:t>
      </w:r>
      <w:r w:rsidRPr="003D733D">
        <w:rPr>
          <w:rFonts w:ascii="Sylfaen" w:hAnsi="Sylfaen" w:cs="Sylfaen"/>
        </w:rPr>
        <w:t>გარკვეული</w:t>
      </w:r>
      <w:r w:rsidRPr="003D733D">
        <w:t xml:space="preserve"> </w:t>
      </w:r>
      <w:r w:rsidRPr="003D733D">
        <w:rPr>
          <w:rFonts w:ascii="Sylfaen" w:hAnsi="Sylfaen" w:cs="Sylfaen"/>
        </w:rPr>
        <w:t>რისკები</w:t>
      </w:r>
      <w:r w:rsidRPr="003D733D">
        <w:t xml:space="preserve">, </w:t>
      </w:r>
      <w:r w:rsidRPr="003D733D">
        <w:rPr>
          <w:rFonts w:ascii="Sylfaen" w:hAnsi="Sylfaen" w:cs="Sylfaen"/>
        </w:rPr>
        <w:t>მაშინ</w:t>
      </w:r>
      <w:r w:rsidRPr="003D733D">
        <w:t xml:space="preserve"> </w:t>
      </w:r>
      <w:r w:rsidRPr="003D733D">
        <w:rPr>
          <w:rFonts w:ascii="Sylfaen" w:hAnsi="Sylfaen" w:cs="Sylfaen"/>
        </w:rPr>
        <w:t>იმოქმედეთ</w:t>
      </w:r>
      <w:r w:rsidRPr="003D733D">
        <w:t xml:space="preserve"> </w:t>
      </w:r>
      <w:r w:rsidRPr="003D733D">
        <w:rPr>
          <w:rFonts w:ascii="Sylfaen" w:hAnsi="Sylfaen" w:cs="Sylfaen"/>
        </w:rPr>
        <w:t>შემდეგნაირად</w:t>
      </w:r>
      <w:r w:rsidRPr="003D733D">
        <w:t>:</w:t>
      </w:r>
    </w:p>
    <w:p w14:paraId="0E559563" w14:textId="77777777" w:rsidR="00A2588D" w:rsidRPr="003D733D" w:rsidRDefault="00A2588D" w:rsidP="00A2588D">
      <w:r w:rsidRPr="003D733D">
        <w:rPr>
          <w:rFonts w:ascii="Sylfaen" w:hAnsi="Sylfaen" w:cs="Sylfaen"/>
        </w:rPr>
        <w:t>ავარიის</w:t>
      </w:r>
      <w:r w:rsidRPr="003D733D">
        <w:t xml:space="preserve"> </w:t>
      </w:r>
      <w:r w:rsidRPr="003D733D">
        <w:rPr>
          <w:rFonts w:ascii="Sylfaen" w:hAnsi="Sylfaen" w:cs="Sylfaen"/>
        </w:rPr>
        <w:t>შესახებ</w:t>
      </w:r>
      <w:r w:rsidRPr="003D733D">
        <w:t xml:space="preserve"> </w:t>
      </w:r>
      <w:r w:rsidRPr="003D733D">
        <w:rPr>
          <w:rFonts w:ascii="Sylfaen" w:hAnsi="Sylfaen" w:cs="Sylfaen"/>
        </w:rPr>
        <w:t>შეტყობინება</w:t>
      </w:r>
      <w:r w:rsidRPr="003D733D">
        <w:t xml:space="preserve"> </w:t>
      </w:r>
      <w:r w:rsidRPr="003D733D">
        <w:rPr>
          <w:rFonts w:ascii="Sylfaen" w:hAnsi="Sylfaen" w:cs="Sylfaen"/>
        </w:rPr>
        <w:t>გადაეცით</w:t>
      </w:r>
      <w:r w:rsidRPr="003D733D">
        <w:t xml:space="preserve"> </w:t>
      </w:r>
      <w:r w:rsidRPr="003D733D">
        <w:rPr>
          <w:rFonts w:ascii="Sylfaen" w:hAnsi="Sylfaen" w:cs="Sylfaen"/>
        </w:rPr>
        <w:t>მენეჯერს</w:t>
      </w:r>
      <w:r w:rsidRPr="003D733D">
        <w:t xml:space="preserve"> / </w:t>
      </w:r>
      <w:r w:rsidRPr="003D733D">
        <w:rPr>
          <w:rFonts w:ascii="Sylfaen" w:hAnsi="Sylfaen" w:cs="Sylfaen"/>
        </w:rPr>
        <w:t>უფროსს</w:t>
      </w:r>
      <w:r w:rsidRPr="003D733D">
        <w:t>;</w:t>
      </w:r>
    </w:p>
    <w:p w14:paraId="0450B502" w14:textId="77777777" w:rsidR="00A2588D" w:rsidRPr="003D733D" w:rsidRDefault="00A2588D" w:rsidP="00A2588D">
      <w:r w:rsidRPr="003D733D">
        <w:rPr>
          <w:rFonts w:ascii="Sylfaen" w:hAnsi="Sylfaen" w:cs="Sylfaen"/>
        </w:rPr>
        <w:t>მოძებნეთ</w:t>
      </w:r>
      <w:r w:rsidRPr="003D733D">
        <w:t xml:space="preserve"> </w:t>
      </w:r>
      <w:r w:rsidRPr="003D733D">
        <w:rPr>
          <w:rFonts w:ascii="Sylfaen" w:hAnsi="Sylfaen" w:cs="Sylfaen"/>
        </w:rPr>
        <w:t>სახანძრო</w:t>
      </w:r>
      <w:r w:rsidRPr="003D733D">
        <w:t xml:space="preserve"> </w:t>
      </w:r>
      <w:r w:rsidRPr="003D733D">
        <w:rPr>
          <w:rFonts w:ascii="Sylfaen" w:hAnsi="Sylfaen" w:cs="Sylfaen"/>
        </w:rPr>
        <w:t>სტენდი</w:t>
      </w:r>
      <w:r w:rsidRPr="003D733D">
        <w:t xml:space="preserve"> </w:t>
      </w:r>
      <w:r w:rsidRPr="003D733D">
        <w:rPr>
          <w:rFonts w:ascii="Sylfaen" w:hAnsi="Sylfaen" w:cs="Sylfaen"/>
        </w:rPr>
        <w:t>და</w:t>
      </w:r>
      <w:r w:rsidRPr="003D733D">
        <w:t xml:space="preserve"> </w:t>
      </w:r>
      <w:r w:rsidRPr="003D733D">
        <w:rPr>
          <w:rFonts w:ascii="Sylfaen" w:hAnsi="Sylfaen" w:cs="Sylfaen"/>
        </w:rPr>
        <w:t>მოიმარაგეთ</w:t>
      </w:r>
      <w:r w:rsidRPr="003D733D">
        <w:t xml:space="preserve"> </w:t>
      </w:r>
      <w:r w:rsidRPr="003D733D">
        <w:rPr>
          <w:rFonts w:ascii="Sylfaen" w:hAnsi="Sylfaen" w:cs="Sylfaen"/>
        </w:rPr>
        <w:t>საჭირო</w:t>
      </w:r>
      <w:r w:rsidRPr="003D733D">
        <w:t xml:space="preserve"> </w:t>
      </w:r>
      <w:r w:rsidRPr="003D733D">
        <w:rPr>
          <w:rFonts w:ascii="Sylfaen" w:hAnsi="Sylfaen" w:cs="Sylfaen"/>
        </w:rPr>
        <w:t>სახანძრო</w:t>
      </w:r>
      <w:r w:rsidRPr="003D733D">
        <w:t xml:space="preserve"> </w:t>
      </w:r>
      <w:r w:rsidRPr="003D733D">
        <w:rPr>
          <w:rFonts w:ascii="Sylfaen" w:hAnsi="Sylfaen" w:cs="Sylfaen"/>
        </w:rPr>
        <w:t>ინვენტარი</w:t>
      </w:r>
      <w:r w:rsidRPr="003D733D">
        <w:t xml:space="preserve"> (</w:t>
      </w:r>
      <w:r w:rsidRPr="003D733D">
        <w:rPr>
          <w:rFonts w:ascii="Sylfaen" w:hAnsi="Sylfaen" w:cs="Sylfaen"/>
        </w:rPr>
        <w:t>ცეცხლმაქრობი</w:t>
      </w:r>
      <w:r w:rsidRPr="003D733D">
        <w:t xml:space="preserve">, </w:t>
      </w:r>
      <w:r w:rsidRPr="003D733D">
        <w:rPr>
          <w:rFonts w:ascii="Sylfaen" w:hAnsi="Sylfaen" w:cs="Sylfaen"/>
        </w:rPr>
        <w:t>ნაჯახი</w:t>
      </w:r>
      <w:r w:rsidRPr="003D733D">
        <w:t xml:space="preserve">, </w:t>
      </w:r>
      <w:r w:rsidRPr="003D733D">
        <w:rPr>
          <w:rFonts w:ascii="Sylfaen" w:hAnsi="Sylfaen" w:cs="Sylfaen"/>
        </w:rPr>
        <w:t>ძალაყინი</w:t>
      </w:r>
      <w:r w:rsidRPr="003D733D">
        <w:t xml:space="preserve">, </w:t>
      </w:r>
      <w:r w:rsidRPr="003D733D">
        <w:rPr>
          <w:rFonts w:ascii="Sylfaen" w:hAnsi="Sylfaen" w:cs="Sylfaen"/>
        </w:rPr>
        <w:t>ვედრო</w:t>
      </w:r>
      <w:r w:rsidRPr="003D733D">
        <w:t xml:space="preserve"> </w:t>
      </w:r>
      <w:r w:rsidRPr="003D733D">
        <w:rPr>
          <w:rFonts w:ascii="Sylfaen" w:hAnsi="Sylfaen" w:cs="Sylfaen"/>
        </w:rPr>
        <w:t>და</w:t>
      </w:r>
      <w:r w:rsidRPr="003D733D">
        <w:t xml:space="preserve"> </w:t>
      </w:r>
      <w:r w:rsidRPr="003D733D">
        <w:rPr>
          <w:rFonts w:ascii="Sylfaen" w:hAnsi="Sylfaen" w:cs="Sylfaen"/>
        </w:rPr>
        <w:t>სხვ</w:t>
      </w:r>
      <w:r w:rsidRPr="003D733D">
        <w:t>);</w:t>
      </w:r>
    </w:p>
    <w:p w14:paraId="273CD07D" w14:textId="77777777" w:rsidR="00A2588D" w:rsidRPr="003D733D" w:rsidRDefault="00A2588D" w:rsidP="00A2588D">
      <w:r w:rsidRPr="003D733D">
        <w:rPr>
          <w:rFonts w:ascii="Sylfaen" w:hAnsi="Sylfaen" w:cs="Sylfaen"/>
        </w:rPr>
        <w:t>ეცადეთ</w:t>
      </w:r>
      <w:r w:rsidRPr="003D733D">
        <w:t xml:space="preserve"> </w:t>
      </w:r>
      <w:r w:rsidRPr="003D733D">
        <w:rPr>
          <w:rFonts w:ascii="Sylfaen" w:hAnsi="Sylfaen" w:cs="Sylfaen"/>
        </w:rPr>
        <w:t>ხანძრის</w:t>
      </w:r>
      <w:r w:rsidRPr="003D733D">
        <w:t xml:space="preserve"> </w:t>
      </w:r>
      <w:r w:rsidRPr="003D733D">
        <w:rPr>
          <w:rFonts w:ascii="Sylfaen" w:hAnsi="Sylfaen" w:cs="Sylfaen"/>
        </w:rPr>
        <w:t>კერის</w:t>
      </w:r>
      <w:r w:rsidRPr="003D733D">
        <w:t xml:space="preserve"> </w:t>
      </w:r>
      <w:r w:rsidRPr="003D733D">
        <w:rPr>
          <w:rFonts w:ascii="Sylfaen" w:hAnsi="Sylfaen" w:cs="Sylfaen"/>
        </w:rPr>
        <w:t>ლიკვიდაცია</w:t>
      </w:r>
      <w:r w:rsidRPr="003D733D">
        <w:t xml:space="preserve"> </w:t>
      </w:r>
      <w:r w:rsidRPr="003D733D">
        <w:rPr>
          <w:rFonts w:ascii="Sylfaen" w:hAnsi="Sylfaen" w:cs="Sylfaen"/>
        </w:rPr>
        <w:t>მოახდინოთ</w:t>
      </w:r>
      <w:r w:rsidRPr="003D733D">
        <w:t xml:space="preserve"> </w:t>
      </w:r>
      <w:r w:rsidRPr="003D733D">
        <w:rPr>
          <w:rFonts w:ascii="Sylfaen" w:hAnsi="Sylfaen" w:cs="Sylfaen"/>
        </w:rPr>
        <w:t>ცეცხლმაქრობით</w:t>
      </w:r>
      <w:r w:rsidRPr="003D733D">
        <w:t xml:space="preserve">, </w:t>
      </w:r>
      <w:r w:rsidRPr="003D733D">
        <w:rPr>
          <w:rFonts w:ascii="Sylfaen" w:hAnsi="Sylfaen" w:cs="Sylfaen"/>
        </w:rPr>
        <w:t>ცეცხლმაქრობზე</w:t>
      </w:r>
      <w:r w:rsidRPr="003D733D">
        <w:t xml:space="preserve"> </w:t>
      </w:r>
      <w:r w:rsidRPr="003D733D">
        <w:rPr>
          <w:rFonts w:ascii="Sylfaen" w:hAnsi="Sylfaen" w:cs="Sylfaen"/>
        </w:rPr>
        <w:t>წარმოდგენილი</w:t>
      </w:r>
      <w:r w:rsidRPr="003D733D">
        <w:t xml:space="preserve"> </w:t>
      </w:r>
      <w:r w:rsidRPr="003D733D">
        <w:rPr>
          <w:rFonts w:ascii="Sylfaen" w:hAnsi="Sylfaen" w:cs="Sylfaen"/>
        </w:rPr>
        <w:t>ინსტრუქციის</w:t>
      </w:r>
      <w:r w:rsidRPr="003D733D">
        <w:t xml:space="preserve"> </w:t>
      </w:r>
      <w:r w:rsidRPr="003D733D">
        <w:rPr>
          <w:rFonts w:ascii="Sylfaen" w:hAnsi="Sylfaen" w:cs="Sylfaen"/>
        </w:rPr>
        <w:t>მიხედვით</w:t>
      </w:r>
      <w:r w:rsidRPr="003D733D">
        <w:t>;</w:t>
      </w:r>
    </w:p>
    <w:p w14:paraId="63171F2E" w14:textId="77777777" w:rsidR="00A2588D" w:rsidRPr="003D733D" w:rsidRDefault="00A2588D" w:rsidP="00A2588D">
      <w:r w:rsidRPr="003D733D">
        <w:rPr>
          <w:rFonts w:ascii="Sylfaen" w:hAnsi="Sylfaen" w:cs="Sylfaen"/>
        </w:rPr>
        <w:t>იმ</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თუ</w:t>
      </w:r>
      <w:r w:rsidRPr="003D733D">
        <w:t xml:space="preserve"> </w:t>
      </w:r>
      <w:r w:rsidRPr="003D733D">
        <w:rPr>
          <w:rFonts w:ascii="Sylfaen" w:hAnsi="Sylfaen" w:cs="Sylfaen"/>
        </w:rPr>
        <w:t>უბანზე</w:t>
      </w:r>
      <w:r w:rsidRPr="003D733D">
        <w:t xml:space="preserve"> </w:t>
      </w:r>
      <w:r w:rsidRPr="003D733D">
        <w:rPr>
          <w:rFonts w:ascii="Sylfaen" w:hAnsi="Sylfaen" w:cs="Sylfaen"/>
        </w:rPr>
        <w:t>არ</w:t>
      </w:r>
      <w:r w:rsidRPr="003D733D">
        <w:t xml:space="preserve"> </w:t>
      </w:r>
      <w:r w:rsidRPr="003D733D">
        <w:rPr>
          <w:rFonts w:ascii="Sylfaen" w:hAnsi="Sylfaen" w:cs="Sylfaen"/>
        </w:rPr>
        <w:t>არსებობს</w:t>
      </w:r>
      <w:r w:rsidRPr="003D733D">
        <w:t xml:space="preserve"> </w:t>
      </w:r>
      <w:r w:rsidRPr="003D733D">
        <w:rPr>
          <w:rFonts w:ascii="Sylfaen" w:hAnsi="Sylfaen" w:cs="Sylfaen"/>
        </w:rPr>
        <w:t>სახანძრო</w:t>
      </w:r>
      <w:r w:rsidRPr="003D733D">
        <w:t xml:space="preserve"> </w:t>
      </w:r>
      <w:r w:rsidRPr="003D733D">
        <w:rPr>
          <w:rFonts w:ascii="Sylfaen" w:hAnsi="Sylfaen" w:cs="Sylfaen"/>
        </w:rPr>
        <w:t>სტენდი</w:t>
      </w:r>
      <w:r w:rsidRPr="003D733D">
        <w:t xml:space="preserve">, </w:t>
      </w:r>
      <w:r w:rsidRPr="003D733D">
        <w:rPr>
          <w:rFonts w:ascii="Sylfaen" w:hAnsi="Sylfaen" w:cs="Sylfaen"/>
        </w:rPr>
        <w:t>მაშინ</w:t>
      </w:r>
      <w:r w:rsidRPr="003D733D">
        <w:t xml:space="preserve"> </w:t>
      </w:r>
      <w:r w:rsidRPr="003D733D">
        <w:rPr>
          <w:rFonts w:ascii="Sylfaen" w:hAnsi="Sylfaen" w:cs="Sylfaen"/>
        </w:rPr>
        <w:t>ხანძრის</w:t>
      </w:r>
      <w:r w:rsidRPr="003D733D">
        <w:t xml:space="preserve"> </w:t>
      </w:r>
      <w:r w:rsidRPr="003D733D">
        <w:rPr>
          <w:rFonts w:ascii="Sylfaen" w:hAnsi="Sylfaen" w:cs="Sylfaen"/>
        </w:rPr>
        <w:t>კერის</w:t>
      </w:r>
      <w:r w:rsidRPr="003D733D">
        <w:t xml:space="preserve"> </w:t>
      </w:r>
      <w:r w:rsidRPr="003D733D">
        <w:rPr>
          <w:rFonts w:ascii="Sylfaen" w:hAnsi="Sylfaen" w:cs="Sylfaen"/>
        </w:rPr>
        <w:t>ლიკვიდაციისთვის</w:t>
      </w:r>
      <w:r w:rsidRPr="003D733D">
        <w:t xml:space="preserve"> </w:t>
      </w:r>
      <w:r w:rsidRPr="003D733D">
        <w:rPr>
          <w:rFonts w:ascii="Sylfaen" w:hAnsi="Sylfaen" w:cs="Sylfaen"/>
        </w:rPr>
        <w:t>გამოიყენეთ</w:t>
      </w:r>
      <w:r w:rsidRPr="003D733D">
        <w:t xml:space="preserve"> </w:t>
      </w:r>
      <w:r w:rsidRPr="003D733D">
        <w:rPr>
          <w:rFonts w:ascii="Sylfaen" w:hAnsi="Sylfaen" w:cs="Sylfaen"/>
        </w:rPr>
        <w:t>ქვიშა</w:t>
      </w:r>
      <w:r w:rsidRPr="003D733D">
        <w:t xml:space="preserve">, </w:t>
      </w:r>
      <w:r w:rsidRPr="003D733D">
        <w:rPr>
          <w:rFonts w:ascii="Sylfaen" w:hAnsi="Sylfaen" w:cs="Sylfaen"/>
        </w:rPr>
        <w:t>წყალი</w:t>
      </w:r>
      <w:r w:rsidRPr="003D733D">
        <w:t xml:space="preserve"> </w:t>
      </w:r>
      <w:r w:rsidRPr="003D733D">
        <w:rPr>
          <w:rFonts w:ascii="Sylfaen" w:hAnsi="Sylfaen" w:cs="Sylfaen"/>
        </w:rPr>
        <w:t>ან</w:t>
      </w:r>
      <w:r w:rsidRPr="003D733D">
        <w:t xml:space="preserve"> </w:t>
      </w:r>
      <w:r w:rsidRPr="003D733D">
        <w:rPr>
          <w:rFonts w:ascii="Sylfaen" w:hAnsi="Sylfaen" w:cs="Sylfaen"/>
        </w:rPr>
        <w:t>გადააფარეთ</w:t>
      </w:r>
      <w:r w:rsidRPr="003D733D">
        <w:t xml:space="preserve"> </w:t>
      </w:r>
      <w:r w:rsidRPr="003D733D">
        <w:rPr>
          <w:rFonts w:ascii="Sylfaen" w:hAnsi="Sylfaen" w:cs="Sylfaen"/>
        </w:rPr>
        <w:t>ნაკლებად</w:t>
      </w:r>
      <w:r w:rsidRPr="003D733D">
        <w:t xml:space="preserve"> </w:t>
      </w:r>
      <w:r w:rsidRPr="003D733D">
        <w:rPr>
          <w:rFonts w:ascii="Sylfaen" w:hAnsi="Sylfaen" w:cs="Sylfaen"/>
        </w:rPr>
        <w:t>აალებადი</w:t>
      </w:r>
      <w:r w:rsidRPr="003D733D">
        <w:t xml:space="preserve"> </w:t>
      </w:r>
      <w:r w:rsidRPr="003D733D">
        <w:rPr>
          <w:rFonts w:ascii="Sylfaen" w:hAnsi="Sylfaen" w:cs="Sylfaen"/>
        </w:rPr>
        <w:t>სქელი</w:t>
      </w:r>
      <w:r w:rsidRPr="003D733D">
        <w:t xml:space="preserve"> </w:t>
      </w:r>
      <w:r w:rsidRPr="003D733D">
        <w:rPr>
          <w:rFonts w:ascii="Sylfaen" w:hAnsi="Sylfaen" w:cs="Sylfaen"/>
        </w:rPr>
        <w:t>ქსოვილი</w:t>
      </w:r>
      <w:r w:rsidRPr="003D733D">
        <w:t>;</w:t>
      </w:r>
    </w:p>
    <w:p w14:paraId="09140467" w14:textId="77777777" w:rsidR="00A2588D" w:rsidRPr="003D733D" w:rsidRDefault="00A2588D" w:rsidP="00A2588D">
      <w:r w:rsidRPr="003D733D">
        <w:rPr>
          <w:rFonts w:ascii="Sylfaen" w:hAnsi="Sylfaen" w:cs="Sylfaen"/>
        </w:rPr>
        <w:t>იმ</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თუ</w:t>
      </w:r>
      <w:r w:rsidRPr="003D733D">
        <w:t xml:space="preserve"> </w:t>
      </w:r>
      <w:r w:rsidRPr="003D733D">
        <w:rPr>
          <w:rFonts w:ascii="Sylfaen" w:hAnsi="Sylfaen" w:cs="Sylfaen"/>
        </w:rPr>
        <w:t>ხანძრის</w:t>
      </w:r>
      <w:r w:rsidRPr="003D733D">
        <w:t xml:space="preserve"> </w:t>
      </w:r>
      <w:r w:rsidRPr="003D733D">
        <w:rPr>
          <w:rFonts w:ascii="Sylfaen" w:hAnsi="Sylfaen" w:cs="Sylfaen"/>
        </w:rPr>
        <w:t>კერის</w:t>
      </w:r>
      <w:r w:rsidRPr="003D733D">
        <w:t xml:space="preserve"> </w:t>
      </w:r>
      <w:r w:rsidRPr="003D733D">
        <w:rPr>
          <w:rFonts w:ascii="Sylfaen" w:hAnsi="Sylfaen" w:cs="Sylfaen"/>
        </w:rPr>
        <w:t>სიახლოვეს</w:t>
      </w:r>
      <w:r w:rsidRPr="003D733D">
        <w:t xml:space="preserve"> </w:t>
      </w:r>
      <w:r w:rsidRPr="003D733D">
        <w:rPr>
          <w:rFonts w:ascii="Sylfaen" w:hAnsi="Sylfaen" w:cs="Sylfaen"/>
        </w:rPr>
        <w:t>განლაგებულია</w:t>
      </w:r>
      <w:r w:rsidRPr="003D733D">
        <w:t xml:space="preserve"> </w:t>
      </w:r>
      <w:r w:rsidRPr="003D733D">
        <w:rPr>
          <w:rFonts w:ascii="Sylfaen" w:hAnsi="Sylfaen" w:cs="Sylfaen"/>
        </w:rPr>
        <w:t>წრედში</w:t>
      </w:r>
      <w:r w:rsidRPr="003D733D">
        <w:t xml:space="preserve"> </w:t>
      </w:r>
      <w:r w:rsidRPr="003D733D">
        <w:rPr>
          <w:rFonts w:ascii="Sylfaen" w:hAnsi="Sylfaen" w:cs="Sylfaen"/>
        </w:rPr>
        <w:t>ჩართული</w:t>
      </w:r>
      <w:r w:rsidRPr="003D733D">
        <w:t xml:space="preserve"> </w:t>
      </w:r>
      <w:r w:rsidRPr="003D733D">
        <w:rPr>
          <w:rFonts w:ascii="Sylfaen" w:hAnsi="Sylfaen" w:cs="Sylfaen"/>
        </w:rPr>
        <w:t>ელექტროდანადგარები</w:t>
      </w:r>
      <w:r w:rsidRPr="003D733D">
        <w:t xml:space="preserve"> </w:t>
      </w:r>
      <w:r w:rsidRPr="003D733D">
        <w:rPr>
          <w:rFonts w:ascii="Sylfaen" w:hAnsi="Sylfaen" w:cs="Sylfaen"/>
        </w:rPr>
        <w:t>წყლის</w:t>
      </w:r>
      <w:r w:rsidRPr="003D733D">
        <w:t xml:space="preserve"> </w:t>
      </w:r>
      <w:r w:rsidRPr="003D733D">
        <w:rPr>
          <w:rFonts w:ascii="Sylfaen" w:hAnsi="Sylfaen" w:cs="Sylfaen"/>
        </w:rPr>
        <w:t>გამოყენება</w:t>
      </w:r>
      <w:r w:rsidRPr="003D733D">
        <w:t xml:space="preserve"> </w:t>
      </w:r>
      <w:r w:rsidRPr="003D733D">
        <w:rPr>
          <w:rFonts w:ascii="Sylfaen" w:hAnsi="Sylfaen" w:cs="Sylfaen"/>
        </w:rPr>
        <w:t>დაუშვებელია</w:t>
      </w:r>
      <w:r w:rsidRPr="003D733D">
        <w:t>;</w:t>
      </w:r>
    </w:p>
    <w:p w14:paraId="5FF98AFA" w14:textId="77777777" w:rsidR="00A2588D" w:rsidRPr="003D733D" w:rsidRDefault="00A2588D" w:rsidP="00A2588D">
      <w:r w:rsidRPr="003D733D">
        <w:rPr>
          <w:rFonts w:ascii="Sylfaen" w:hAnsi="Sylfaen" w:cs="Sylfaen"/>
        </w:rPr>
        <w:t>დახურულ</w:t>
      </w:r>
      <w:r w:rsidRPr="003D733D">
        <w:t xml:space="preserve"> </w:t>
      </w:r>
      <w:r w:rsidRPr="003D733D">
        <w:rPr>
          <w:rFonts w:ascii="Sylfaen" w:hAnsi="Sylfaen" w:cs="Sylfaen"/>
        </w:rPr>
        <w:t>სივრცეში</w:t>
      </w:r>
      <w:r w:rsidRPr="003D733D">
        <w:t xml:space="preserve"> </w:t>
      </w:r>
      <w:r w:rsidRPr="003D733D">
        <w:rPr>
          <w:rFonts w:ascii="Sylfaen" w:hAnsi="Sylfaen" w:cs="Sylfaen"/>
        </w:rPr>
        <w:t>ხანძრის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ნუ</w:t>
      </w:r>
      <w:r w:rsidRPr="003D733D">
        <w:t xml:space="preserve"> </w:t>
      </w:r>
      <w:r w:rsidRPr="003D733D">
        <w:rPr>
          <w:rFonts w:ascii="Sylfaen" w:hAnsi="Sylfaen" w:cs="Sylfaen"/>
        </w:rPr>
        <w:t>გაანიავებთ</w:t>
      </w:r>
      <w:r w:rsidRPr="003D733D">
        <w:t xml:space="preserve"> </w:t>
      </w:r>
      <w:r w:rsidRPr="003D733D">
        <w:rPr>
          <w:rFonts w:ascii="Sylfaen" w:hAnsi="Sylfaen" w:cs="Sylfaen"/>
        </w:rPr>
        <w:t>ოთახს</w:t>
      </w:r>
      <w:r w:rsidRPr="003D733D">
        <w:t xml:space="preserve"> (</w:t>
      </w:r>
      <w:r w:rsidRPr="003D733D">
        <w:rPr>
          <w:rFonts w:ascii="Sylfaen" w:hAnsi="Sylfaen" w:cs="Sylfaen"/>
        </w:rPr>
        <w:t>განსაკუთრებული</w:t>
      </w:r>
      <w:r w:rsidRPr="003D733D">
        <w:t xml:space="preserve"> </w:t>
      </w:r>
      <w:r w:rsidRPr="003D733D">
        <w:rPr>
          <w:rFonts w:ascii="Sylfaen" w:hAnsi="Sylfaen" w:cs="Sylfaen"/>
        </w:rPr>
        <w:t>საჭიროების</w:t>
      </w:r>
      <w:r w:rsidRPr="003D733D">
        <w:t xml:space="preserve"> </w:t>
      </w:r>
      <w:r w:rsidRPr="003D733D">
        <w:rPr>
          <w:rFonts w:ascii="Sylfaen" w:hAnsi="Sylfaen" w:cs="Sylfaen"/>
        </w:rPr>
        <w:t>გარდა</w:t>
      </w:r>
      <w:r w:rsidRPr="003D733D">
        <w:t xml:space="preserve">), </w:t>
      </w:r>
      <w:r w:rsidRPr="003D733D">
        <w:rPr>
          <w:rFonts w:ascii="Sylfaen" w:hAnsi="Sylfaen" w:cs="Sylfaen"/>
        </w:rPr>
        <w:t>რადგან</w:t>
      </w:r>
      <w:r w:rsidRPr="003D733D">
        <w:t xml:space="preserve"> </w:t>
      </w:r>
      <w:r w:rsidRPr="003D733D">
        <w:rPr>
          <w:rFonts w:ascii="Sylfaen" w:hAnsi="Sylfaen" w:cs="Sylfaen"/>
        </w:rPr>
        <w:t>სუფთა</w:t>
      </w:r>
      <w:r w:rsidRPr="003D733D">
        <w:t xml:space="preserve"> </w:t>
      </w:r>
      <w:r w:rsidRPr="003D733D">
        <w:rPr>
          <w:rFonts w:ascii="Sylfaen" w:hAnsi="Sylfaen" w:cs="Sylfaen"/>
        </w:rPr>
        <w:t>ჰაერი</w:t>
      </w:r>
      <w:r w:rsidRPr="003D733D">
        <w:t xml:space="preserve"> </w:t>
      </w:r>
      <w:r w:rsidRPr="003D733D">
        <w:rPr>
          <w:rFonts w:ascii="Sylfaen" w:hAnsi="Sylfaen" w:cs="Sylfaen"/>
        </w:rPr>
        <w:t>უფრო</w:t>
      </w:r>
      <w:r w:rsidRPr="003D733D">
        <w:t xml:space="preserve"> </w:t>
      </w:r>
      <w:r w:rsidRPr="003D733D">
        <w:rPr>
          <w:rFonts w:ascii="Sylfaen" w:hAnsi="Sylfaen" w:cs="Sylfaen"/>
        </w:rPr>
        <w:t>მეტად</w:t>
      </w:r>
      <w:r w:rsidRPr="003D733D">
        <w:t xml:space="preserve"> </w:t>
      </w:r>
      <w:r w:rsidRPr="003D733D">
        <w:rPr>
          <w:rFonts w:ascii="Sylfaen" w:hAnsi="Sylfaen" w:cs="Sylfaen"/>
        </w:rPr>
        <w:t>უწყობს</w:t>
      </w:r>
      <w:r w:rsidRPr="003D733D">
        <w:t xml:space="preserve"> </w:t>
      </w:r>
      <w:r w:rsidRPr="003D733D">
        <w:rPr>
          <w:rFonts w:ascii="Sylfaen" w:hAnsi="Sylfaen" w:cs="Sylfaen"/>
        </w:rPr>
        <w:t>ხელს</w:t>
      </w:r>
      <w:r w:rsidRPr="003D733D">
        <w:t xml:space="preserve"> </w:t>
      </w:r>
      <w:r w:rsidRPr="003D733D">
        <w:rPr>
          <w:rFonts w:ascii="Sylfaen" w:hAnsi="Sylfaen" w:cs="Sylfaen"/>
        </w:rPr>
        <w:t>წვას</w:t>
      </w:r>
      <w:r w:rsidRPr="003D733D">
        <w:t xml:space="preserve"> </w:t>
      </w:r>
      <w:r w:rsidRPr="003D733D">
        <w:rPr>
          <w:rFonts w:ascii="Sylfaen" w:hAnsi="Sylfaen" w:cs="Sylfaen"/>
        </w:rPr>
        <w:t>და</w:t>
      </w:r>
      <w:r w:rsidRPr="003D733D">
        <w:t xml:space="preserve"> </w:t>
      </w:r>
      <w:r w:rsidRPr="003D733D">
        <w:rPr>
          <w:rFonts w:ascii="Sylfaen" w:hAnsi="Sylfaen" w:cs="Sylfaen"/>
        </w:rPr>
        <w:t>ხანძრის</w:t>
      </w:r>
      <w:r w:rsidRPr="003D733D">
        <w:t xml:space="preserve"> </w:t>
      </w:r>
      <w:r w:rsidRPr="003D733D">
        <w:rPr>
          <w:rFonts w:ascii="Sylfaen" w:hAnsi="Sylfaen" w:cs="Sylfaen"/>
        </w:rPr>
        <w:t>მასშტაბების</w:t>
      </w:r>
      <w:r w:rsidRPr="003D733D">
        <w:t xml:space="preserve"> </w:t>
      </w:r>
      <w:r w:rsidRPr="003D733D">
        <w:rPr>
          <w:rFonts w:ascii="Sylfaen" w:hAnsi="Sylfaen" w:cs="Sylfaen"/>
        </w:rPr>
        <w:t>ზრდას</w:t>
      </w:r>
      <w:r w:rsidRPr="003D733D">
        <w:t>.</w:t>
      </w:r>
    </w:p>
    <w:p w14:paraId="0355956E" w14:textId="77777777" w:rsidR="00A2588D" w:rsidRPr="003D733D" w:rsidRDefault="00A2588D" w:rsidP="00A2588D"/>
    <w:p w14:paraId="05525310" w14:textId="77777777" w:rsidR="00A2588D" w:rsidRPr="003D733D" w:rsidRDefault="00A2588D" w:rsidP="00A2588D">
      <w:r w:rsidRPr="003D733D">
        <w:rPr>
          <w:rFonts w:ascii="Sylfaen" w:hAnsi="Sylfaen" w:cs="Sylfaen"/>
        </w:rPr>
        <w:t>ხანძრის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უბნის</w:t>
      </w:r>
      <w:r w:rsidRPr="003D733D">
        <w:t xml:space="preserve"> </w:t>
      </w:r>
      <w:r w:rsidRPr="003D733D">
        <w:rPr>
          <w:rFonts w:ascii="Sylfaen" w:hAnsi="Sylfaen" w:cs="Sylfaen"/>
        </w:rPr>
        <w:t>მენეჯერის</w:t>
      </w:r>
      <w:r w:rsidRPr="003D733D">
        <w:t xml:space="preserve"> </w:t>
      </w:r>
      <w:r w:rsidRPr="003D733D">
        <w:rPr>
          <w:rFonts w:ascii="Sylfaen" w:hAnsi="Sylfaen" w:cs="Sylfaen"/>
        </w:rPr>
        <w:t>სტრატეგიული</w:t>
      </w:r>
      <w:r w:rsidRPr="003D733D">
        <w:t xml:space="preserve"> </w:t>
      </w:r>
      <w:r w:rsidRPr="003D733D">
        <w:rPr>
          <w:rFonts w:ascii="Sylfaen" w:hAnsi="Sylfaen" w:cs="Sylfaen"/>
        </w:rPr>
        <w:t>ქმედებებია</w:t>
      </w:r>
      <w:r w:rsidRPr="003D733D">
        <w:t>:</w:t>
      </w:r>
    </w:p>
    <w:p w14:paraId="424945D5" w14:textId="77777777" w:rsidR="00A2588D" w:rsidRPr="003D733D" w:rsidRDefault="00A2588D" w:rsidP="00A2588D">
      <w:r w:rsidRPr="003D733D">
        <w:rPr>
          <w:rFonts w:ascii="Sylfaen" w:hAnsi="Sylfaen" w:cs="Sylfaen"/>
        </w:rPr>
        <w:t>დეტალური</w:t>
      </w:r>
      <w:r w:rsidRPr="003D733D">
        <w:t xml:space="preserve"> </w:t>
      </w:r>
      <w:r w:rsidRPr="003D733D">
        <w:rPr>
          <w:rFonts w:ascii="Sylfaen" w:hAnsi="Sylfaen" w:cs="Sylfaen"/>
        </w:rPr>
        <w:t>ინფორმაციის</w:t>
      </w:r>
      <w:r w:rsidRPr="003D733D">
        <w:t xml:space="preserve"> </w:t>
      </w:r>
      <w:r w:rsidRPr="003D733D">
        <w:rPr>
          <w:rFonts w:ascii="Sylfaen" w:hAnsi="Sylfaen" w:cs="Sylfaen"/>
        </w:rPr>
        <w:t>მოგროვება</w:t>
      </w:r>
      <w:r w:rsidRPr="003D733D">
        <w:t xml:space="preserve"> </w:t>
      </w:r>
      <w:r w:rsidRPr="003D733D">
        <w:rPr>
          <w:rFonts w:ascii="Sylfaen" w:hAnsi="Sylfaen" w:cs="Sylfaen"/>
        </w:rPr>
        <w:t>ხანძრის</w:t>
      </w:r>
      <w:r w:rsidRPr="003D733D">
        <w:t xml:space="preserve"> </w:t>
      </w:r>
      <w:r w:rsidRPr="003D733D">
        <w:rPr>
          <w:rFonts w:ascii="Sylfaen" w:hAnsi="Sylfaen" w:cs="Sylfaen"/>
        </w:rPr>
        <w:t>კერის</w:t>
      </w:r>
      <w:r w:rsidRPr="003D733D">
        <w:t xml:space="preserve"> </w:t>
      </w:r>
      <w:r w:rsidRPr="003D733D">
        <w:rPr>
          <w:rFonts w:ascii="Sylfaen" w:hAnsi="Sylfaen" w:cs="Sylfaen"/>
        </w:rPr>
        <w:t>ადგილმდებარეობის</w:t>
      </w:r>
      <w:r w:rsidRPr="003D733D">
        <w:t xml:space="preserve">, </w:t>
      </w:r>
      <w:r w:rsidRPr="003D733D">
        <w:rPr>
          <w:rFonts w:ascii="Sylfaen" w:hAnsi="Sylfaen" w:cs="Sylfaen"/>
        </w:rPr>
        <w:t>მიმდებარედ</w:t>
      </w:r>
      <w:r w:rsidRPr="003D733D">
        <w:t xml:space="preserve"> </w:t>
      </w:r>
      <w:r w:rsidRPr="003D733D">
        <w:rPr>
          <w:rFonts w:ascii="Sylfaen" w:hAnsi="Sylfaen" w:cs="Sylfaen"/>
        </w:rPr>
        <w:t>არსებული</w:t>
      </w:r>
      <w:r w:rsidRPr="003D733D">
        <w:t>/</w:t>
      </w:r>
      <w:r w:rsidRPr="003D733D">
        <w:rPr>
          <w:rFonts w:ascii="Sylfaen" w:hAnsi="Sylfaen" w:cs="Sylfaen"/>
        </w:rPr>
        <w:t>დასაწყობებული</w:t>
      </w:r>
      <w:r w:rsidRPr="003D733D">
        <w:t xml:space="preserve"> </w:t>
      </w:r>
      <w:r w:rsidRPr="003D733D">
        <w:rPr>
          <w:rFonts w:ascii="Sylfaen" w:hAnsi="Sylfaen" w:cs="Sylfaen"/>
        </w:rPr>
        <w:t>დანადგარ</w:t>
      </w:r>
      <w:r w:rsidRPr="003D733D">
        <w:t>-</w:t>
      </w:r>
      <w:r w:rsidRPr="003D733D">
        <w:rPr>
          <w:rFonts w:ascii="Sylfaen" w:hAnsi="Sylfaen" w:cs="Sylfaen"/>
        </w:rPr>
        <w:t>მექანიზმების</w:t>
      </w:r>
      <w:r w:rsidRPr="003D733D">
        <w:t xml:space="preserve"> </w:t>
      </w:r>
      <w:r w:rsidRPr="003D733D">
        <w:rPr>
          <w:rFonts w:ascii="Sylfaen" w:hAnsi="Sylfaen" w:cs="Sylfaen"/>
        </w:rPr>
        <w:t>და</w:t>
      </w:r>
      <w:r w:rsidRPr="003D733D">
        <w:t xml:space="preserve"> </w:t>
      </w:r>
      <w:r w:rsidRPr="003D733D">
        <w:rPr>
          <w:rFonts w:ascii="Sylfaen" w:hAnsi="Sylfaen" w:cs="Sylfaen"/>
        </w:rPr>
        <w:t>ნივთიერებების</w:t>
      </w:r>
      <w:r w:rsidRPr="003D733D">
        <w:t xml:space="preserve"> </w:t>
      </w:r>
      <w:r w:rsidRPr="003D733D">
        <w:rPr>
          <w:rFonts w:ascii="Sylfaen" w:hAnsi="Sylfaen" w:cs="Sylfaen"/>
        </w:rPr>
        <w:t>შესახებ</w:t>
      </w:r>
      <w:r w:rsidRPr="003D733D">
        <w:t xml:space="preserve"> </w:t>
      </w:r>
      <w:r w:rsidRPr="003D733D">
        <w:rPr>
          <w:rFonts w:ascii="Sylfaen" w:hAnsi="Sylfaen" w:cs="Sylfaen"/>
        </w:rPr>
        <w:t>და</w:t>
      </w:r>
      <w:r w:rsidRPr="003D733D">
        <w:t xml:space="preserve"> </w:t>
      </w:r>
      <w:r w:rsidRPr="003D733D">
        <w:rPr>
          <w:rFonts w:ascii="Sylfaen" w:hAnsi="Sylfaen" w:cs="Sylfaen"/>
        </w:rPr>
        <w:t>სხვ</w:t>
      </w:r>
      <w:r w:rsidRPr="003D733D">
        <w:t>;</w:t>
      </w:r>
    </w:p>
    <w:p w14:paraId="1008DEFD" w14:textId="77777777" w:rsidR="00A2588D" w:rsidRPr="003D733D" w:rsidRDefault="00A2588D" w:rsidP="00A2588D">
      <w:r w:rsidRPr="003D733D">
        <w:rPr>
          <w:rFonts w:ascii="Sylfaen" w:hAnsi="Sylfaen" w:cs="Sylfaen"/>
        </w:rPr>
        <w:t>სახანძრო</w:t>
      </w:r>
      <w:r w:rsidRPr="003D733D">
        <w:t xml:space="preserve"> </w:t>
      </w:r>
      <w:r w:rsidRPr="003D733D">
        <w:rPr>
          <w:rFonts w:ascii="Sylfaen" w:hAnsi="Sylfaen" w:cs="Sylfaen"/>
        </w:rPr>
        <w:t>სამსახურის</w:t>
      </w:r>
      <w:r w:rsidRPr="003D733D">
        <w:t xml:space="preserve"> </w:t>
      </w:r>
      <w:r w:rsidRPr="003D733D">
        <w:rPr>
          <w:rFonts w:ascii="Sylfaen" w:hAnsi="Sylfaen" w:cs="Sylfaen"/>
        </w:rPr>
        <w:t>ინფორმირება</w:t>
      </w:r>
      <w:r w:rsidRPr="003D733D">
        <w:t>;</w:t>
      </w:r>
    </w:p>
    <w:p w14:paraId="3F5F44E3" w14:textId="77777777" w:rsidR="00A2588D" w:rsidRPr="003D733D" w:rsidRDefault="00A2588D" w:rsidP="00A2588D">
      <w:r w:rsidRPr="003D733D">
        <w:rPr>
          <w:rFonts w:ascii="Sylfaen" w:hAnsi="Sylfaen" w:cs="Sylfaen"/>
        </w:rPr>
        <w:t>ინციდენტის</w:t>
      </w:r>
      <w:r w:rsidRPr="003D733D">
        <w:t xml:space="preserve"> </w:t>
      </w:r>
      <w:r w:rsidRPr="003D733D">
        <w:rPr>
          <w:rFonts w:ascii="Sylfaen" w:hAnsi="Sylfaen" w:cs="Sylfaen"/>
        </w:rPr>
        <w:t>ადგილზე</w:t>
      </w:r>
      <w:r w:rsidRPr="003D733D">
        <w:t xml:space="preserve"> </w:t>
      </w:r>
      <w:r w:rsidRPr="003D733D">
        <w:rPr>
          <w:rFonts w:ascii="Sylfaen" w:hAnsi="Sylfaen" w:cs="Sylfaen"/>
        </w:rPr>
        <w:t>მისვლა</w:t>
      </w:r>
      <w:r w:rsidRPr="003D733D">
        <w:t xml:space="preserve"> </w:t>
      </w:r>
      <w:r w:rsidRPr="003D733D">
        <w:rPr>
          <w:rFonts w:ascii="Sylfaen" w:hAnsi="Sylfaen" w:cs="Sylfaen"/>
        </w:rPr>
        <w:t>და</w:t>
      </w:r>
      <w:r w:rsidRPr="003D733D">
        <w:t xml:space="preserve"> </w:t>
      </w:r>
      <w:r w:rsidRPr="003D733D">
        <w:rPr>
          <w:rFonts w:ascii="Sylfaen" w:hAnsi="Sylfaen" w:cs="Sylfaen"/>
        </w:rPr>
        <w:t>სიტუაციის</w:t>
      </w:r>
      <w:r w:rsidRPr="003D733D">
        <w:t xml:space="preserve"> </w:t>
      </w:r>
      <w:r w:rsidRPr="003D733D">
        <w:rPr>
          <w:rFonts w:ascii="Sylfaen" w:hAnsi="Sylfaen" w:cs="Sylfaen"/>
        </w:rPr>
        <w:t>დაზვერვა</w:t>
      </w:r>
      <w:r w:rsidRPr="003D733D">
        <w:t xml:space="preserve">, </w:t>
      </w:r>
      <w:r w:rsidRPr="003D733D">
        <w:rPr>
          <w:rFonts w:ascii="Sylfaen" w:hAnsi="Sylfaen" w:cs="Sylfaen"/>
        </w:rPr>
        <w:t>რისკების</w:t>
      </w:r>
      <w:r w:rsidRPr="003D733D">
        <w:t xml:space="preserve"> </w:t>
      </w:r>
      <w:r w:rsidRPr="003D733D">
        <w:rPr>
          <w:rFonts w:ascii="Sylfaen" w:hAnsi="Sylfaen" w:cs="Sylfaen"/>
        </w:rPr>
        <w:t>გაანალიზება</w:t>
      </w:r>
      <w:r w:rsidRPr="003D733D">
        <w:t xml:space="preserve"> </w:t>
      </w:r>
      <w:r w:rsidRPr="003D733D">
        <w:rPr>
          <w:rFonts w:ascii="Sylfaen" w:hAnsi="Sylfaen" w:cs="Sylfaen"/>
        </w:rPr>
        <w:t>და</w:t>
      </w:r>
      <w:r w:rsidRPr="003D733D">
        <w:t xml:space="preserve"> </w:t>
      </w:r>
      <w:r w:rsidRPr="003D733D">
        <w:rPr>
          <w:rFonts w:ascii="Sylfaen" w:hAnsi="Sylfaen" w:cs="Sylfaen"/>
        </w:rPr>
        <w:t>ხანძრის</w:t>
      </w:r>
      <w:r w:rsidRPr="003D733D">
        <w:t xml:space="preserve"> </w:t>
      </w:r>
      <w:r w:rsidRPr="003D733D">
        <w:rPr>
          <w:rFonts w:ascii="Sylfaen" w:hAnsi="Sylfaen" w:cs="Sylfaen"/>
        </w:rPr>
        <w:t>სავარაუდო</w:t>
      </w:r>
      <w:r w:rsidRPr="003D733D">
        <w:t xml:space="preserve"> </w:t>
      </w:r>
      <w:r w:rsidRPr="003D733D">
        <w:rPr>
          <w:rFonts w:ascii="Sylfaen" w:hAnsi="Sylfaen" w:cs="Sylfaen"/>
        </w:rPr>
        <w:t>მასშტაბების</w:t>
      </w:r>
      <w:r w:rsidRPr="003D733D">
        <w:t xml:space="preserve"> (I, II </w:t>
      </w:r>
      <w:r w:rsidRPr="003D733D">
        <w:rPr>
          <w:rFonts w:ascii="Sylfaen" w:hAnsi="Sylfaen" w:cs="Sylfaen"/>
        </w:rPr>
        <w:t>ან</w:t>
      </w:r>
      <w:r w:rsidRPr="003D733D">
        <w:t xml:space="preserve"> III </w:t>
      </w:r>
      <w:r w:rsidRPr="003D733D">
        <w:rPr>
          <w:rFonts w:ascii="Sylfaen" w:hAnsi="Sylfaen" w:cs="Sylfaen"/>
        </w:rPr>
        <w:t>დონე</w:t>
      </w:r>
      <w:r w:rsidRPr="003D733D">
        <w:t xml:space="preserve">) </w:t>
      </w:r>
      <w:r w:rsidRPr="003D733D">
        <w:rPr>
          <w:rFonts w:ascii="Sylfaen" w:hAnsi="Sylfaen" w:cs="Sylfaen"/>
        </w:rPr>
        <w:t>შეფასება</w:t>
      </w:r>
      <w:r w:rsidRPr="003D733D">
        <w:t>;</w:t>
      </w:r>
    </w:p>
    <w:p w14:paraId="44E27C0D" w14:textId="77777777" w:rsidR="00A2588D" w:rsidRPr="003D733D" w:rsidRDefault="00A2588D" w:rsidP="00A2588D">
      <w:r w:rsidRPr="003D733D">
        <w:rPr>
          <w:rFonts w:ascii="Sylfaen" w:hAnsi="Sylfaen" w:cs="Sylfaen"/>
        </w:rPr>
        <w:t>მთელს</w:t>
      </w:r>
      <w:r w:rsidRPr="003D733D">
        <w:t xml:space="preserve"> </w:t>
      </w:r>
      <w:r w:rsidRPr="003D733D">
        <w:rPr>
          <w:rFonts w:ascii="Sylfaen" w:hAnsi="Sylfaen" w:cs="Sylfaen"/>
        </w:rPr>
        <w:t>პერსონალს</w:t>
      </w:r>
      <w:r w:rsidRPr="003D733D">
        <w:t xml:space="preserve"> </w:t>
      </w:r>
      <w:r w:rsidRPr="003D733D">
        <w:rPr>
          <w:rFonts w:ascii="Sylfaen" w:hAnsi="Sylfaen" w:cs="Sylfaen"/>
        </w:rPr>
        <w:t>ეთხოვოს</w:t>
      </w:r>
      <w:r w:rsidRPr="003D733D">
        <w:t xml:space="preserve"> </w:t>
      </w:r>
      <w:r w:rsidRPr="003D733D">
        <w:rPr>
          <w:rFonts w:ascii="Sylfaen" w:hAnsi="Sylfaen" w:cs="Sylfaen"/>
        </w:rPr>
        <w:t>მანქანებისა</w:t>
      </w:r>
      <w:r w:rsidRPr="003D733D">
        <w:t xml:space="preserve"> </w:t>
      </w:r>
      <w:r w:rsidRPr="003D733D">
        <w:rPr>
          <w:rFonts w:ascii="Sylfaen" w:hAnsi="Sylfaen" w:cs="Sylfaen"/>
        </w:rPr>
        <w:t>და</w:t>
      </w:r>
      <w:r w:rsidRPr="003D733D">
        <w:t xml:space="preserve"> </w:t>
      </w:r>
      <w:r w:rsidRPr="003D733D">
        <w:rPr>
          <w:rFonts w:ascii="Sylfaen" w:hAnsi="Sylfaen" w:cs="Sylfaen"/>
        </w:rPr>
        <w:t>უბანზე</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ხანძარსაქრობი</w:t>
      </w:r>
      <w:r w:rsidRPr="003D733D">
        <w:t xml:space="preserve"> </w:t>
      </w:r>
      <w:r w:rsidRPr="003D733D">
        <w:rPr>
          <w:rFonts w:ascii="Sylfaen" w:hAnsi="Sylfaen" w:cs="Sylfaen"/>
        </w:rPr>
        <w:t>აღჭურვილობის</w:t>
      </w:r>
      <w:r w:rsidRPr="003D733D">
        <w:t xml:space="preserve"> </w:t>
      </w:r>
      <w:r w:rsidRPr="003D733D">
        <w:rPr>
          <w:rFonts w:ascii="Sylfaen" w:hAnsi="Sylfaen" w:cs="Sylfaen"/>
        </w:rPr>
        <w:t>გამოყენება</w:t>
      </w:r>
      <w:r w:rsidRPr="003D733D">
        <w:t>;</w:t>
      </w:r>
    </w:p>
    <w:p w14:paraId="3FBDD26B" w14:textId="77777777" w:rsidR="00A2588D" w:rsidRPr="003D733D" w:rsidRDefault="00A2588D" w:rsidP="00A2588D">
      <w:r w:rsidRPr="003D733D">
        <w:rPr>
          <w:rFonts w:ascii="Sylfaen" w:hAnsi="Sylfaen" w:cs="Sylfaen"/>
        </w:rPr>
        <w:t>პერსონალის</w:t>
      </w:r>
      <w:r w:rsidRPr="003D733D">
        <w:t xml:space="preserve"> </w:t>
      </w:r>
      <w:r w:rsidRPr="003D733D">
        <w:rPr>
          <w:rFonts w:ascii="Sylfaen" w:hAnsi="Sylfaen" w:cs="Sylfaen"/>
        </w:rPr>
        <w:t>ქმედებების</w:t>
      </w:r>
      <w:r w:rsidRPr="003D733D">
        <w:t xml:space="preserve"> </w:t>
      </w:r>
      <w:r w:rsidRPr="003D733D">
        <w:rPr>
          <w:rFonts w:ascii="Sylfaen" w:hAnsi="Sylfaen" w:cs="Sylfaen"/>
        </w:rPr>
        <w:t>გაკონტროლება</w:t>
      </w:r>
      <w:r w:rsidRPr="003D733D">
        <w:t xml:space="preserve"> </w:t>
      </w:r>
      <w:r w:rsidRPr="003D733D">
        <w:rPr>
          <w:rFonts w:ascii="Sylfaen" w:hAnsi="Sylfaen" w:cs="Sylfaen"/>
        </w:rPr>
        <w:t>და</w:t>
      </w:r>
      <w:r w:rsidRPr="003D733D">
        <w:t xml:space="preserve"> </w:t>
      </w:r>
      <w:r w:rsidRPr="003D733D">
        <w:rPr>
          <w:rFonts w:ascii="Sylfaen" w:hAnsi="Sylfaen" w:cs="Sylfaen"/>
        </w:rPr>
        <w:t>ხელმძღვანელობა</w:t>
      </w:r>
      <w:r w:rsidRPr="003D733D">
        <w:t xml:space="preserve">, </w:t>
      </w:r>
      <w:r w:rsidRPr="003D733D">
        <w:rPr>
          <w:rFonts w:ascii="Sylfaen" w:hAnsi="Sylfaen" w:cs="Sylfaen"/>
        </w:rPr>
        <w:t>სახანძრო</w:t>
      </w:r>
      <w:r w:rsidRPr="003D733D">
        <w:t xml:space="preserve"> </w:t>
      </w:r>
      <w:r w:rsidRPr="003D733D">
        <w:rPr>
          <w:rFonts w:ascii="Sylfaen" w:hAnsi="Sylfaen" w:cs="Sylfaen"/>
        </w:rPr>
        <w:t>რაზმის</w:t>
      </w:r>
      <w:r w:rsidRPr="003D733D">
        <w:t xml:space="preserve"> </w:t>
      </w:r>
      <w:r w:rsidRPr="003D733D">
        <w:rPr>
          <w:rFonts w:ascii="Sylfaen" w:hAnsi="Sylfaen" w:cs="Sylfaen"/>
        </w:rPr>
        <w:t>გამოჩენამდე</w:t>
      </w:r>
      <w:r w:rsidRPr="003D733D">
        <w:t>;</w:t>
      </w:r>
    </w:p>
    <w:p w14:paraId="703E2896" w14:textId="77777777" w:rsidR="00A2588D" w:rsidRPr="003D733D" w:rsidRDefault="00A2588D" w:rsidP="00A2588D">
      <w:r w:rsidRPr="003D733D">
        <w:rPr>
          <w:rFonts w:ascii="Sylfaen" w:hAnsi="Sylfaen" w:cs="Sylfaen"/>
        </w:rPr>
        <w:t>სახანძრო</w:t>
      </w:r>
      <w:r w:rsidRPr="003D733D">
        <w:t xml:space="preserve"> </w:t>
      </w:r>
      <w:r w:rsidRPr="003D733D">
        <w:rPr>
          <w:rFonts w:ascii="Sylfaen" w:hAnsi="Sylfaen" w:cs="Sylfaen"/>
        </w:rPr>
        <w:t>რაზმის</w:t>
      </w:r>
      <w:r w:rsidRPr="003D733D">
        <w:t xml:space="preserve"> </w:t>
      </w:r>
      <w:r w:rsidRPr="003D733D">
        <w:rPr>
          <w:rFonts w:ascii="Sylfaen" w:hAnsi="Sylfaen" w:cs="Sylfaen"/>
        </w:rPr>
        <w:t>ქმედებების</w:t>
      </w:r>
      <w:r w:rsidRPr="003D733D">
        <w:t xml:space="preserve"> </w:t>
      </w:r>
      <w:r w:rsidRPr="003D733D">
        <w:rPr>
          <w:rFonts w:ascii="Sylfaen" w:hAnsi="Sylfaen" w:cs="Sylfaen"/>
        </w:rPr>
        <w:t>ხელშეწყობა</w:t>
      </w:r>
      <w:r w:rsidRPr="003D733D">
        <w:t xml:space="preserve"> (</w:t>
      </w:r>
      <w:r w:rsidRPr="003D733D">
        <w:rPr>
          <w:rFonts w:ascii="Sylfaen" w:hAnsi="Sylfaen" w:cs="Sylfaen"/>
        </w:rPr>
        <w:t>შესაძლოა</w:t>
      </w:r>
      <w:r w:rsidRPr="003D733D">
        <w:t xml:space="preserve"> </w:t>
      </w:r>
      <w:r w:rsidRPr="003D733D">
        <w:rPr>
          <w:rFonts w:ascii="Sylfaen" w:hAnsi="Sylfaen" w:cs="Sylfaen"/>
        </w:rPr>
        <w:t>საჭირო</w:t>
      </w:r>
      <w:r w:rsidRPr="003D733D">
        <w:t xml:space="preserve"> </w:t>
      </w:r>
      <w:r w:rsidRPr="003D733D">
        <w:rPr>
          <w:rFonts w:ascii="Sylfaen" w:hAnsi="Sylfaen" w:cs="Sylfaen"/>
        </w:rPr>
        <w:t>გახდეს</w:t>
      </w:r>
      <w:r w:rsidRPr="003D733D">
        <w:t xml:space="preserve"> </w:t>
      </w:r>
      <w:r w:rsidRPr="003D733D">
        <w:rPr>
          <w:rFonts w:ascii="Sylfaen" w:hAnsi="Sylfaen" w:cs="Sylfaen"/>
        </w:rPr>
        <w:t>უბანზე</w:t>
      </w:r>
      <w:r w:rsidRPr="003D733D">
        <w:t xml:space="preserve"> </w:t>
      </w:r>
      <w:r w:rsidRPr="003D733D">
        <w:rPr>
          <w:rFonts w:ascii="Sylfaen" w:hAnsi="Sylfaen" w:cs="Sylfaen"/>
        </w:rPr>
        <w:t>არარსებული</w:t>
      </w:r>
      <w:r w:rsidRPr="003D733D">
        <w:t xml:space="preserve"> </w:t>
      </w:r>
      <w:r w:rsidRPr="003D733D">
        <w:rPr>
          <w:rFonts w:ascii="Sylfaen" w:hAnsi="Sylfaen" w:cs="Sylfaen"/>
        </w:rPr>
        <w:t>სპეციალური</w:t>
      </w:r>
      <w:r w:rsidRPr="003D733D">
        <w:t xml:space="preserve"> </w:t>
      </w:r>
      <w:r w:rsidRPr="003D733D">
        <w:rPr>
          <w:rFonts w:ascii="Sylfaen" w:hAnsi="Sylfaen" w:cs="Sylfaen"/>
        </w:rPr>
        <w:t>აღჭურვილობა</w:t>
      </w:r>
      <w:r w:rsidRPr="003D733D">
        <w:t xml:space="preserve"> </w:t>
      </w:r>
      <w:r w:rsidRPr="003D733D">
        <w:rPr>
          <w:rFonts w:ascii="Sylfaen" w:hAnsi="Sylfaen" w:cs="Sylfaen"/>
        </w:rPr>
        <w:t>და</w:t>
      </w:r>
      <w:r w:rsidRPr="003D733D">
        <w:t xml:space="preserve"> </w:t>
      </w:r>
      <w:r w:rsidRPr="003D733D">
        <w:rPr>
          <w:rFonts w:ascii="Sylfaen" w:hAnsi="Sylfaen" w:cs="Sylfaen"/>
        </w:rPr>
        <w:t>სხვ</w:t>
      </w:r>
      <w:r w:rsidRPr="003D733D">
        <w:t>.);</w:t>
      </w:r>
    </w:p>
    <w:p w14:paraId="1BA7FAE8" w14:textId="77777777" w:rsidR="00A2588D" w:rsidRPr="003D733D" w:rsidRDefault="00A2588D" w:rsidP="00A2588D">
      <w:r w:rsidRPr="003D733D">
        <w:rPr>
          <w:rFonts w:ascii="Sylfaen" w:hAnsi="Sylfaen" w:cs="Sylfaen"/>
        </w:rPr>
        <w:t>ინციდენტის</w:t>
      </w:r>
      <w:r w:rsidRPr="003D733D">
        <w:t xml:space="preserve"> </w:t>
      </w:r>
      <w:r w:rsidRPr="003D733D">
        <w:rPr>
          <w:rFonts w:ascii="Sylfaen" w:hAnsi="Sylfaen" w:cs="Sylfaen"/>
        </w:rPr>
        <w:t>დასრულების</w:t>
      </w:r>
      <w:r w:rsidRPr="003D733D">
        <w:t xml:space="preserve"> </w:t>
      </w:r>
      <w:r w:rsidRPr="003D733D">
        <w:rPr>
          <w:rFonts w:ascii="Sylfaen" w:hAnsi="Sylfaen" w:cs="Sylfaen"/>
        </w:rPr>
        <w:t>შემდგომ</w:t>
      </w:r>
      <w:r w:rsidRPr="003D733D">
        <w:t xml:space="preserve"> </w:t>
      </w:r>
      <w:r w:rsidRPr="003D733D">
        <w:rPr>
          <w:rFonts w:ascii="Sylfaen" w:hAnsi="Sylfaen" w:cs="Sylfaen"/>
        </w:rPr>
        <w:t>ავარიის</w:t>
      </w:r>
      <w:r w:rsidRPr="003D733D">
        <w:t xml:space="preserve"> </w:t>
      </w:r>
      <w:r w:rsidRPr="003D733D">
        <w:rPr>
          <w:rFonts w:ascii="Sylfaen" w:hAnsi="Sylfaen" w:cs="Sylfaen"/>
        </w:rPr>
        <w:t>შედეგების</w:t>
      </w:r>
      <w:r w:rsidRPr="003D733D">
        <w:t xml:space="preserve"> </w:t>
      </w:r>
      <w:r w:rsidRPr="003D733D">
        <w:rPr>
          <w:rFonts w:ascii="Sylfaen" w:hAnsi="Sylfaen" w:cs="Sylfaen"/>
        </w:rPr>
        <w:t>სალიკვიდაციო</w:t>
      </w:r>
      <w:r w:rsidRPr="003D733D">
        <w:t xml:space="preserve"> </w:t>
      </w:r>
      <w:r w:rsidRPr="003D733D">
        <w:rPr>
          <w:rFonts w:ascii="Sylfaen" w:hAnsi="Sylfaen" w:cs="Sylfaen"/>
        </w:rPr>
        <w:t>ღონისძიებების</w:t>
      </w:r>
      <w:r w:rsidRPr="003D733D">
        <w:t xml:space="preserve"> </w:t>
      </w:r>
      <w:r w:rsidRPr="003D733D">
        <w:rPr>
          <w:rFonts w:ascii="Sylfaen" w:hAnsi="Sylfaen" w:cs="Sylfaen"/>
        </w:rPr>
        <w:t>გატარება</w:t>
      </w:r>
      <w:r w:rsidRPr="003D733D">
        <w:t xml:space="preserve"> - </w:t>
      </w:r>
      <w:r w:rsidRPr="003D733D">
        <w:rPr>
          <w:rFonts w:ascii="Sylfaen" w:hAnsi="Sylfaen" w:cs="Sylfaen"/>
        </w:rPr>
        <w:t>ნახანძრალი</w:t>
      </w:r>
      <w:r w:rsidRPr="003D733D">
        <w:t xml:space="preserve"> </w:t>
      </w:r>
      <w:r w:rsidRPr="003D733D">
        <w:rPr>
          <w:rFonts w:ascii="Sylfaen" w:hAnsi="Sylfaen" w:cs="Sylfaen"/>
        </w:rPr>
        <w:t>ტერიტორიის</w:t>
      </w:r>
      <w:r w:rsidRPr="003D733D">
        <w:t xml:space="preserve"> </w:t>
      </w:r>
      <w:r w:rsidRPr="003D733D">
        <w:rPr>
          <w:rFonts w:ascii="Sylfaen" w:hAnsi="Sylfaen" w:cs="Sylfaen"/>
        </w:rPr>
        <w:t>მონიტორინგი</w:t>
      </w:r>
      <w:r w:rsidRPr="003D733D">
        <w:t xml:space="preserve"> </w:t>
      </w:r>
      <w:r w:rsidRPr="003D733D">
        <w:rPr>
          <w:rFonts w:ascii="Sylfaen" w:hAnsi="Sylfaen" w:cs="Sylfaen"/>
        </w:rPr>
        <w:t>დარჩენილი</w:t>
      </w:r>
      <w:r w:rsidRPr="003D733D">
        <w:t xml:space="preserve"> </w:t>
      </w:r>
      <w:r w:rsidRPr="003D733D">
        <w:rPr>
          <w:rFonts w:ascii="Sylfaen" w:hAnsi="Sylfaen" w:cs="Sylfaen"/>
        </w:rPr>
        <w:t>ხანძრის</w:t>
      </w:r>
      <w:r w:rsidRPr="003D733D">
        <w:t xml:space="preserve"> </w:t>
      </w:r>
      <w:r w:rsidRPr="003D733D">
        <w:rPr>
          <w:rFonts w:ascii="Sylfaen" w:hAnsi="Sylfaen" w:cs="Sylfaen"/>
        </w:rPr>
        <w:t>კერების</w:t>
      </w:r>
      <w:r w:rsidRPr="003D733D">
        <w:t xml:space="preserve"> </w:t>
      </w:r>
      <w:r w:rsidRPr="003D733D">
        <w:rPr>
          <w:rFonts w:ascii="Sylfaen" w:hAnsi="Sylfaen" w:cs="Sylfaen"/>
        </w:rPr>
        <w:t>გამოვლენის</w:t>
      </w:r>
      <w:r w:rsidRPr="003D733D">
        <w:t xml:space="preserve"> </w:t>
      </w:r>
      <w:r w:rsidRPr="003D733D">
        <w:rPr>
          <w:rFonts w:ascii="Sylfaen" w:hAnsi="Sylfaen" w:cs="Sylfaen"/>
        </w:rPr>
        <w:t>მიზნით</w:t>
      </w:r>
      <w:r w:rsidRPr="003D733D">
        <w:t>;</w:t>
      </w:r>
    </w:p>
    <w:p w14:paraId="165145DD" w14:textId="77777777" w:rsidR="00A2588D" w:rsidRPr="003D733D" w:rsidRDefault="00A2588D" w:rsidP="00A2588D">
      <w:r w:rsidRPr="003D733D">
        <w:rPr>
          <w:rFonts w:ascii="Sylfaen" w:hAnsi="Sylfaen" w:cs="Sylfaen"/>
        </w:rPr>
        <w:t>ანგარიშის</w:t>
      </w:r>
      <w:r w:rsidRPr="003D733D">
        <w:t xml:space="preserve"> </w:t>
      </w:r>
      <w:r w:rsidRPr="003D733D">
        <w:rPr>
          <w:rFonts w:ascii="Sylfaen" w:hAnsi="Sylfaen" w:cs="Sylfaen"/>
        </w:rPr>
        <w:t>მომზადება</w:t>
      </w:r>
      <w:r w:rsidRPr="003D733D">
        <w:t xml:space="preserve">, </w:t>
      </w:r>
      <w:r w:rsidRPr="003D733D">
        <w:rPr>
          <w:rFonts w:ascii="Sylfaen" w:hAnsi="Sylfaen" w:cs="Sylfaen"/>
        </w:rPr>
        <w:t>მშენებელი</w:t>
      </w:r>
      <w:r w:rsidRPr="003D733D">
        <w:t xml:space="preserve"> </w:t>
      </w:r>
      <w:r w:rsidRPr="003D733D">
        <w:rPr>
          <w:rFonts w:ascii="Sylfaen" w:hAnsi="Sylfaen" w:cs="Sylfaen"/>
        </w:rPr>
        <w:t>კონტრაქტორის</w:t>
      </w:r>
      <w:r w:rsidRPr="003D733D">
        <w:t xml:space="preserve"> </w:t>
      </w:r>
      <w:r w:rsidRPr="003D733D">
        <w:rPr>
          <w:rFonts w:ascii="Sylfaen" w:hAnsi="Sylfaen" w:cs="Sylfaen"/>
        </w:rPr>
        <w:t>მენეჯმენტის</w:t>
      </w:r>
      <w:r w:rsidRPr="003D733D">
        <w:t xml:space="preserve"> </w:t>
      </w:r>
      <w:r w:rsidRPr="003D733D">
        <w:rPr>
          <w:rFonts w:ascii="Sylfaen" w:hAnsi="Sylfaen" w:cs="Sylfaen"/>
        </w:rPr>
        <w:t>ინფორმირება</w:t>
      </w:r>
      <w:r w:rsidRPr="003D733D">
        <w:t>.</w:t>
      </w:r>
    </w:p>
    <w:p w14:paraId="46F1EFE0" w14:textId="77777777" w:rsidR="00A2588D" w:rsidRPr="003D733D" w:rsidRDefault="00A2588D" w:rsidP="00A2588D">
      <w:bookmarkStart w:id="661" w:name="_Toc479166595"/>
      <w:bookmarkStart w:id="662" w:name="_Toc479164880"/>
      <w:bookmarkStart w:id="663" w:name="_Toc416769153"/>
      <w:bookmarkStart w:id="664" w:name="_Toc407201857"/>
      <w:bookmarkStart w:id="665" w:name="_Toc337205849"/>
      <w:bookmarkStart w:id="666" w:name="_Toc326839326"/>
      <w:bookmarkStart w:id="667" w:name="_Toc316315672"/>
    </w:p>
    <w:p w14:paraId="4A8C2DE1" w14:textId="77777777" w:rsidR="00A2588D" w:rsidRPr="00631159" w:rsidRDefault="00A2588D" w:rsidP="00A2588D">
      <w:pPr>
        <w:rPr>
          <w:b/>
          <w:i/>
        </w:rPr>
      </w:pPr>
      <w:r w:rsidRPr="00631159">
        <w:rPr>
          <w:rFonts w:ascii="Sylfaen" w:hAnsi="Sylfaen" w:cs="Sylfaen"/>
          <w:b/>
          <w:i/>
        </w:rPr>
        <w:t>რეაგირება</w:t>
      </w:r>
      <w:r w:rsidRPr="00631159">
        <w:rPr>
          <w:b/>
          <w:i/>
        </w:rPr>
        <w:t xml:space="preserve"> </w:t>
      </w:r>
      <w:r w:rsidRPr="00631159">
        <w:rPr>
          <w:rFonts w:ascii="Sylfaen" w:hAnsi="Sylfaen" w:cs="Sylfaen"/>
          <w:b/>
          <w:i/>
        </w:rPr>
        <w:t>ადამიანის</w:t>
      </w:r>
      <w:r w:rsidRPr="00631159">
        <w:rPr>
          <w:b/>
          <w:i/>
        </w:rPr>
        <w:t xml:space="preserve"> </w:t>
      </w:r>
      <w:r w:rsidRPr="00631159">
        <w:rPr>
          <w:rFonts w:ascii="Sylfaen" w:hAnsi="Sylfaen" w:cs="Sylfaen"/>
          <w:b/>
          <w:i/>
        </w:rPr>
        <w:t>ტრავმატიზმის</w:t>
      </w:r>
      <w:r w:rsidRPr="00631159">
        <w:rPr>
          <w:b/>
          <w:i/>
        </w:rPr>
        <w:t xml:space="preserve"> </w:t>
      </w:r>
      <w:r w:rsidRPr="00631159">
        <w:rPr>
          <w:rFonts w:ascii="Sylfaen" w:hAnsi="Sylfaen" w:cs="Sylfaen"/>
          <w:b/>
          <w:i/>
        </w:rPr>
        <w:t>ან</w:t>
      </w:r>
      <w:r w:rsidRPr="00631159">
        <w:rPr>
          <w:b/>
          <w:i/>
        </w:rPr>
        <w:t xml:space="preserve"> </w:t>
      </w:r>
      <w:r w:rsidRPr="00631159">
        <w:rPr>
          <w:rFonts w:ascii="Sylfaen" w:hAnsi="Sylfaen" w:cs="Sylfaen"/>
          <w:b/>
          <w:i/>
        </w:rPr>
        <w:t>მათი</w:t>
      </w:r>
      <w:r w:rsidRPr="00631159">
        <w:rPr>
          <w:b/>
          <w:i/>
        </w:rPr>
        <w:t xml:space="preserve"> </w:t>
      </w:r>
      <w:r w:rsidRPr="00631159">
        <w:rPr>
          <w:rFonts w:ascii="Sylfaen" w:hAnsi="Sylfaen" w:cs="Sylfaen"/>
          <w:b/>
          <w:i/>
        </w:rPr>
        <w:t>ჯანმრთელობის</w:t>
      </w:r>
      <w:r w:rsidRPr="00631159">
        <w:rPr>
          <w:b/>
          <w:i/>
        </w:rPr>
        <w:t xml:space="preserve"> </w:t>
      </w:r>
      <w:r w:rsidRPr="00631159">
        <w:rPr>
          <w:rFonts w:ascii="Sylfaen" w:hAnsi="Sylfaen" w:cs="Sylfaen"/>
          <w:b/>
          <w:i/>
        </w:rPr>
        <w:t>უსაფრთხოებასთან</w:t>
      </w:r>
      <w:r w:rsidRPr="00631159">
        <w:rPr>
          <w:b/>
          <w:i/>
        </w:rPr>
        <w:t xml:space="preserve"> </w:t>
      </w:r>
      <w:r w:rsidRPr="00631159">
        <w:rPr>
          <w:rFonts w:ascii="Sylfaen" w:hAnsi="Sylfaen" w:cs="Sylfaen"/>
          <w:b/>
          <w:i/>
        </w:rPr>
        <w:t>დაკავშირებული</w:t>
      </w:r>
      <w:r w:rsidRPr="00631159">
        <w:rPr>
          <w:b/>
          <w:i/>
        </w:rPr>
        <w:t xml:space="preserve"> </w:t>
      </w:r>
      <w:r w:rsidRPr="00631159">
        <w:rPr>
          <w:rFonts w:ascii="Sylfaen" w:hAnsi="Sylfaen" w:cs="Sylfaen"/>
          <w:b/>
          <w:i/>
        </w:rPr>
        <w:t>ინციდენტების</w:t>
      </w:r>
      <w:r w:rsidRPr="00631159">
        <w:rPr>
          <w:b/>
          <w:i/>
        </w:rPr>
        <w:t xml:space="preserve"> </w:t>
      </w:r>
      <w:r w:rsidRPr="00631159">
        <w:rPr>
          <w:rFonts w:ascii="Sylfaen" w:hAnsi="Sylfaen" w:cs="Sylfaen"/>
          <w:b/>
          <w:i/>
        </w:rPr>
        <w:t>დროს</w:t>
      </w:r>
      <w:bookmarkEnd w:id="661"/>
      <w:bookmarkEnd w:id="662"/>
      <w:bookmarkEnd w:id="663"/>
      <w:bookmarkEnd w:id="664"/>
      <w:bookmarkEnd w:id="665"/>
      <w:bookmarkEnd w:id="666"/>
      <w:bookmarkEnd w:id="667"/>
    </w:p>
    <w:p w14:paraId="7EC8F1D8" w14:textId="77777777" w:rsidR="00A2588D" w:rsidRPr="003D733D" w:rsidRDefault="00A2588D" w:rsidP="00A2588D">
      <w:pPr>
        <w:rPr>
          <w:lang w:val="ka-GE"/>
        </w:rPr>
      </w:pPr>
      <w:r w:rsidRPr="003D733D">
        <w:rPr>
          <w:rFonts w:ascii="Sylfaen" w:hAnsi="Sylfaen" w:cs="Sylfaen"/>
        </w:rPr>
        <w:t>ადამიანის</w:t>
      </w:r>
      <w:r w:rsidRPr="003D733D">
        <w:t xml:space="preserve"> </w:t>
      </w:r>
      <w:r w:rsidRPr="003D733D">
        <w:rPr>
          <w:rFonts w:ascii="Sylfaen" w:hAnsi="Sylfaen" w:cs="Sylfaen"/>
        </w:rPr>
        <w:t>დაშავების</w:t>
      </w:r>
      <w:r w:rsidRPr="003D733D">
        <w:t xml:space="preserve"> </w:t>
      </w:r>
      <w:r w:rsidRPr="003D733D">
        <w:rPr>
          <w:rFonts w:ascii="Sylfaen" w:hAnsi="Sylfaen" w:cs="Sylfaen"/>
        </w:rPr>
        <w:t>აღმომჩენი</w:t>
      </w:r>
      <w:r w:rsidRPr="003D733D">
        <w:t xml:space="preserve"> </w:t>
      </w:r>
      <w:r w:rsidRPr="003D733D">
        <w:rPr>
          <w:rFonts w:ascii="Sylfaen" w:hAnsi="Sylfaen" w:cs="Sylfaen"/>
        </w:rPr>
        <w:t>პირის</w:t>
      </w:r>
      <w:r w:rsidRPr="003D733D">
        <w:t xml:space="preserve"> </w:t>
      </w:r>
      <w:r w:rsidRPr="003D733D">
        <w:rPr>
          <w:rFonts w:ascii="Sylfaen" w:hAnsi="Sylfaen" w:cs="Sylfaen"/>
        </w:rPr>
        <w:t>უპირველეს</w:t>
      </w:r>
      <w:r w:rsidRPr="003D733D">
        <w:t xml:space="preserve"> </w:t>
      </w:r>
      <w:r w:rsidRPr="003D733D">
        <w:rPr>
          <w:rFonts w:ascii="Sylfaen" w:hAnsi="Sylfaen" w:cs="Sylfaen"/>
        </w:rPr>
        <w:t>ქმედებას</w:t>
      </w:r>
      <w:r w:rsidRPr="003D733D">
        <w:t xml:space="preserve"> </w:t>
      </w:r>
      <w:r w:rsidRPr="003D733D">
        <w:rPr>
          <w:rFonts w:ascii="Sylfaen" w:hAnsi="Sylfaen" w:cs="Sylfaen"/>
        </w:rPr>
        <w:t>წარმოადგენს</w:t>
      </w:r>
      <w:r w:rsidRPr="003D733D">
        <w:t xml:space="preserve"> </w:t>
      </w:r>
      <w:r w:rsidRPr="003D733D">
        <w:rPr>
          <w:rFonts w:ascii="Sylfaen" w:hAnsi="Sylfaen" w:cs="Sylfaen"/>
        </w:rPr>
        <w:t>ინციდენტის</w:t>
      </w:r>
      <w:r w:rsidRPr="003D733D">
        <w:t xml:space="preserve"> </w:t>
      </w:r>
      <w:r w:rsidRPr="003D733D">
        <w:rPr>
          <w:rFonts w:ascii="Sylfaen" w:hAnsi="Sylfaen" w:cs="Sylfaen"/>
        </w:rPr>
        <w:t>შესახებ</w:t>
      </w:r>
      <w:r w:rsidRPr="003D733D">
        <w:t xml:space="preserve"> </w:t>
      </w:r>
      <w:r w:rsidRPr="003D733D">
        <w:rPr>
          <w:rFonts w:ascii="Sylfaen" w:hAnsi="Sylfaen" w:cs="Sylfaen"/>
        </w:rPr>
        <w:t>შეტყობინების</w:t>
      </w:r>
      <w:r w:rsidRPr="003D733D">
        <w:t xml:space="preserve"> </w:t>
      </w:r>
      <w:r w:rsidRPr="003D733D">
        <w:rPr>
          <w:rFonts w:ascii="Sylfaen" w:hAnsi="Sylfaen" w:cs="Sylfaen"/>
        </w:rPr>
        <w:t>სასწრაფო</w:t>
      </w:r>
      <w:r w:rsidRPr="003D733D">
        <w:t xml:space="preserve"> </w:t>
      </w:r>
      <w:r w:rsidRPr="003D733D">
        <w:rPr>
          <w:rFonts w:ascii="Sylfaen" w:hAnsi="Sylfaen" w:cs="Sylfaen"/>
        </w:rPr>
        <w:t>გადაცემა</w:t>
      </w:r>
      <w:r w:rsidRPr="003D733D">
        <w:t xml:space="preserve">. </w:t>
      </w:r>
      <w:r w:rsidRPr="003D733D">
        <w:rPr>
          <w:rFonts w:ascii="Sylfaen" w:hAnsi="Sylfaen" w:cs="Sylfaen"/>
        </w:rPr>
        <w:t>სამაშველო</w:t>
      </w:r>
      <w:r w:rsidRPr="003D733D">
        <w:t xml:space="preserve"> </w:t>
      </w:r>
      <w:r w:rsidRPr="003D733D">
        <w:rPr>
          <w:rFonts w:ascii="Sylfaen" w:hAnsi="Sylfaen" w:cs="Sylfaen"/>
        </w:rPr>
        <w:t>ჯგუფის</w:t>
      </w:r>
      <w:r w:rsidRPr="003D733D">
        <w:t xml:space="preserve"> </w:t>
      </w:r>
      <w:r w:rsidRPr="003D733D">
        <w:rPr>
          <w:rFonts w:ascii="Sylfaen" w:hAnsi="Sylfaen" w:cs="Sylfaen"/>
        </w:rPr>
        <w:t>გამოჩენამდე</w:t>
      </w:r>
      <w:r w:rsidRPr="003D733D">
        <w:t xml:space="preserve"> </w:t>
      </w:r>
      <w:r w:rsidRPr="003D733D">
        <w:rPr>
          <w:rFonts w:ascii="Sylfaen" w:hAnsi="Sylfaen" w:cs="Sylfaen"/>
        </w:rPr>
        <w:t>დაშავებულს</w:t>
      </w:r>
      <w:r w:rsidRPr="003D733D">
        <w:t xml:space="preserve"> </w:t>
      </w:r>
      <w:r w:rsidRPr="003D733D">
        <w:rPr>
          <w:rFonts w:ascii="Sylfaen" w:hAnsi="Sylfaen" w:cs="Sylfaen"/>
        </w:rPr>
        <w:t>პირველადი</w:t>
      </w:r>
      <w:r w:rsidRPr="003D733D">
        <w:t xml:space="preserve"> </w:t>
      </w:r>
      <w:r w:rsidRPr="003D733D">
        <w:rPr>
          <w:rFonts w:ascii="Sylfaen" w:hAnsi="Sylfaen" w:cs="Sylfaen"/>
        </w:rPr>
        <w:t>დახმარება</w:t>
      </w:r>
      <w:r w:rsidRPr="003D733D">
        <w:t xml:space="preserve"> </w:t>
      </w:r>
      <w:r w:rsidRPr="003D733D">
        <w:rPr>
          <w:rFonts w:ascii="Sylfaen" w:hAnsi="Sylfaen" w:cs="Sylfaen"/>
        </w:rPr>
        <w:t>უნდა</w:t>
      </w:r>
      <w:r w:rsidRPr="003D733D">
        <w:t xml:space="preserve"> </w:t>
      </w:r>
      <w:r w:rsidRPr="003D733D">
        <w:rPr>
          <w:rFonts w:ascii="Sylfaen" w:hAnsi="Sylfaen" w:cs="Sylfaen"/>
        </w:rPr>
        <w:t>გაეწიოს</w:t>
      </w:r>
      <w:r w:rsidRPr="003D733D">
        <w:t xml:space="preserve"> </w:t>
      </w:r>
      <w:r w:rsidRPr="003D733D">
        <w:rPr>
          <w:rFonts w:ascii="Sylfaen" w:hAnsi="Sylfaen" w:cs="Sylfaen"/>
        </w:rPr>
        <w:t>შემდგომ</w:t>
      </w:r>
      <w:r w:rsidRPr="003D733D">
        <w:t xml:space="preserve"> </w:t>
      </w:r>
      <w:r w:rsidRPr="003D733D">
        <w:rPr>
          <w:rFonts w:ascii="Sylfaen" w:hAnsi="Sylfaen" w:cs="Sylfaen"/>
        </w:rPr>
        <w:t>ქვეთავებში</w:t>
      </w:r>
      <w:r w:rsidRPr="003D733D">
        <w:t xml:space="preserve"> </w:t>
      </w:r>
      <w:r w:rsidRPr="003D733D">
        <w:rPr>
          <w:rFonts w:ascii="Sylfaen" w:hAnsi="Sylfaen" w:cs="Sylfaen"/>
        </w:rPr>
        <w:t>მოცემული</w:t>
      </w:r>
      <w:r w:rsidRPr="003D733D">
        <w:t xml:space="preserve"> </w:t>
      </w:r>
      <w:r w:rsidRPr="003D733D">
        <w:rPr>
          <w:rFonts w:ascii="Sylfaen" w:hAnsi="Sylfaen" w:cs="Sylfaen"/>
        </w:rPr>
        <w:t>პირველადი</w:t>
      </w:r>
      <w:r w:rsidRPr="003D733D">
        <w:t xml:space="preserve"> </w:t>
      </w:r>
      <w:r w:rsidRPr="003D733D">
        <w:rPr>
          <w:rFonts w:ascii="Sylfaen" w:hAnsi="Sylfaen" w:cs="Sylfaen"/>
        </w:rPr>
        <w:t>დახმარების</w:t>
      </w:r>
      <w:r w:rsidRPr="003D733D">
        <w:t xml:space="preserve"> </w:t>
      </w:r>
      <w:r w:rsidRPr="003D733D">
        <w:rPr>
          <w:rFonts w:ascii="Sylfaen" w:hAnsi="Sylfaen" w:cs="Sylfaen"/>
        </w:rPr>
        <w:t>სტრატეგიის</w:t>
      </w:r>
      <w:r w:rsidRPr="003D733D">
        <w:t xml:space="preserve"> </w:t>
      </w:r>
      <w:r w:rsidRPr="003D733D">
        <w:rPr>
          <w:rFonts w:ascii="Sylfaen" w:hAnsi="Sylfaen" w:cs="Sylfaen"/>
        </w:rPr>
        <w:t>მიხედვით</w:t>
      </w:r>
      <w:r w:rsidRPr="003D733D">
        <w:t xml:space="preserve">. </w:t>
      </w:r>
      <w:r w:rsidRPr="003D733D">
        <w:rPr>
          <w:rFonts w:ascii="Sylfaen" w:hAnsi="Sylfaen" w:cs="Sylfaen"/>
        </w:rPr>
        <w:t>პირველადი</w:t>
      </w:r>
      <w:r w:rsidRPr="003D733D">
        <w:t xml:space="preserve"> </w:t>
      </w:r>
      <w:r w:rsidRPr="003D733D">
        <w:rPr>
          <w:rFonts w:ascii="Sylfaen" w:hAnsi="Sylfaen" w:cs="Sylfaen"/>
        </w:rPr>
        <w:t>დახმარების</w:t>
      </w:r>
      <w:r w:rsidRPr="003D733D">
        <w:t xml:space="preserve"> </w:t>
      </w:r>
      <w:r w:rsidRPr="003D733D">
        <w:rPr>
          <w:rFonts w:ascii="Sylfaen" w:hAnsi="Sylfaen" w:cs="Sylfaen"/>
        </w:rPr>
        <w:t>გაწევამდე</w:t>
      </w:r>
      <w:r w:rsidRPr="003D733D">
        <w:t xml:space="preserve"> </w:t>
      </w:r>
      <w:r w:rsidRPr="003D733D">
        <w:rPr>
          <w:rFonts w:ascii="Sylfaen" w:hAnsi="Sylfaen" w:cs="Sylfaen"/>
        </w:rPr>
        <w:t>აუცილებელია</w:t>
      </w:r>
      <w:r w:rsidRPr="003D733D">
        <w:t xml:space="preserve"> </w:t>
      </w:r>
      <w:r w:rsidRPr="003D733D">
        <w:rPr>
          <w:rFonts w:ascii="Sylfaen" w:hAnsi="Sylfaen" w:cs="Sylfaen"/>
        </w:rPr>
        <w:t>სიტუაციის</w:t>
      </w:r>
      <w:r w:rsidRPr="003D733D">
        <w:t xml:space="preserve"> </w:t>
      </w:r>
      <w:r w:rsidRPr="003D733D">
        <w:rPr>
          <w:rFonts w:ascii="Sylfaen" w:hAnsi="Sylfaen" w:cs="Sylfaen"/>
        </w:rPr>
        <w:t>შეფასება</w:t>
      </w:r>
      <w:r w:rsidRPr="003D733D">
        <w:t xml:space="preserve"> </w:t>
      </w:r>
      <w:r w:rsidRPr="003D733D">
        <w:rPr>
          <w:rFonts w:ascii="Sylfaen" w:hAnsi="Sylfaen" w:cs="Sylfaen"/>
        </w:rPr>
        <w:t>და</w:t>
      </w:r>
      <w:r w:rsidRPr="003D733D">
        <w:t xml:space="preserve"> </w:t>
      </w:r>
      <w:r w:rsidRPr="003D733D">
        <w:rPr>
          <w:rFonts w:ascii="Sylfaen" w:hAnsi="Sylfaen" w:cs="Sylfaen"/>
        </w:rPr>
        <w:t>დადგენა</w:t>
      </w:r>
      <w:r w:rsidRPr="003D733D">
        <w:t xml:space="preserve"> </w:t>
      </w:r>
      <w:r w:rsidRPr="003D733D">
        <w:rPr>
          <w:rFonts w:ascii="Sylfaen" w:hAnsi="Sylfaen" w:cs="Sylfaen"/>
        </w:rPr>
        <w:t>ქმნის</w:t>
      </w:r>
      <w:r w:rsidRPr="003D733D">
        <w:t xml:space="preserve"> </w:t>
      </w:r>
      <w:r w:rsidRPr="003D733D">
        <w:rPr>
          <w:rFonts w:ascii="Sylfaen" w:hAnsi="Sylfaen" w:cs="Sylfaen"/>
        </w:rPr>
        <w:t>თუ</w:t>
      </w:r>
      <w:r w:rsidRPr="003D733D">
        <w:t xml:space="preserve"> </w:t>
      </w:r>
      <w:r w:rsidRPr="003D733D">
        <w:rPr>
          <w:rFonts w:ascii="Sylfaen" w:hAnsi="Sylfaen" w:cs="Sylfaen"/>
        </w:rPr>
        <w:t>არა</w:t>
      </w:r>
      <w:r w:rsidRPr="003D733D">
        <w:t xml:space="preserve"> </w:t>
      </w:r>
      <w:r w:rsidRPr="003D733D">
        <w:rPr>
          <w:rFonts w:ascii="Sylfaen" w:hAnsi="Sylfaen" w:cs="Sylfaen"/>
        </w:rPr>
        <w:t>საფრთხეს</w:t>
      </w:r>
      <w:r w:rsidRPr="003D733D">
        <w:t xml:space="preserve"> </w:t>
      </w:r>
      <w:r w:rsidRPr="003D733D">
        <w:rPr>
          <w:rFonts w:ascii="Sylfaen" w:hAnsi="Sylfaen" w:cs="Sylfaen"/>
        </w:rPr>
        <w:t>დაშავებულთა</w:t>
      </w:r>
      <w:r w:rsidRPr="003D733D">
        <w:t xml:space="preserve"> </w:t>
      </w:r>
      <w:r w:rsidRPr="003D733D">
        <w:rPr>
          <w:rFonts w:ascii="Sylfaen" w:hAnsi="Sylfaen" w:cs="Sylfaen"/>
        </w:rPr>
        <w:t>მიახლოვება</w:t>
      </w:r>
      <w:r w:rsidRPr="003D733D">
        <w:t xml:space="preserve"> </w:t>
      </w:r>
      <w:r w:rsidRPr="003D733D">
        <w:rPr>
          <w:rFonts w:ascii="Sylfaen" w:hAnsi="Sylfaen" w:cs="Sylfaen"/>
        </w:rPr>
        <w:t>და</w:t>
      </w:r>
      <w:r w:rsidRPr="003D733D">
        <w:t xml:space="preserve"> </w:t>
      </w:r>
      <w:r w:rsidRPr="003D733D">
        <w:rPr>
          <w:rFonts w:ascii="Sylfaen" w:hAnsi="Sylfaen" w:cs="Sylfaen"/>
        </w:rPr>
        <w:t>მისთვის</w:t>
      </w:r>
      <w:r w:rsidRPr="003D733D">
        <w:t xml:space="preserve"> </w:t>
      </w:r>
      <w:r w:rsidRPr="003D733D">
        <w:rPr>
          <w:rFonts w:ascii="Sylfaen" w:hAnsi="Sylfaen" w:cs="Sylfaen"/>
        </w:rPr>
        <w:t>დახმარების</w:t>
      </w:r>
      <w:r w:rsidRPr="003D733D">
        <w:t xml:space="preserve"> </w:t>
      </w:r>
      <w:r w:rsidRPr="003D733D">
        <w:rPr>
          <w:rFonts w:ascii="Sylfaen" w:hAnsi="Sylfaen" w:cs="Sylfaen"/>
        </w:rPr>
        <w:t>გაწევა</w:t>
      </w:r>
      <w:r w:rsidRPr="003D733D">
        <w:t>.</w:t>
      </w:r>
    </w:p>
    <w:p w14:paraId="7DF2D4E4" w14:textId="77777777" w:rsidR="00A2588D" w:rsidRPr="003D733D" w:rsidRDefault="00A2588D" w:rsidP="00A2588D">
      <w:r w:rsidRPr="003D733D">
        <w:rPr>
          <w:rFonts w:ascii="Sylfaen" w:hAnsi="Sylfaen" w:cs="Sylfaen"/>
        </w:rPr>
        <w:t>ღია</w:t>
      </w:r>
      <w:r w:rsidRPr="003D733D">
        <w:t xml:space="preserve"> </w:t>
      </w:r>
      <w:r w:rsidRPr="003D733D">
        <w:rPr>
          <w:rFonts w:ascii="Sylfaen" w:hAnsi="Sylfaen" w:cs="Sylfaen"/>
        </w:rPr>
        <w:t>მოტეხილობის</w:t>
      </w:r>
      <w:r w:rsidRPr="003D733D">
        <w:t xml:space="preserve"> </w:t>
      </w:r>
      <w:r w:rsidRPr="003D733D">
        <w:rPr>
          <w:rFonts w:ascii="Sylfaen" w:hAnsi="Sylfaen" w:cs="Sylfaen"/>
        </w:rPr>
        <w:t>დროს</w:t>
      </w:r>
      <w:r w:rsidRPr="003D733D">
        <w:t>:</w:t>
      </w:r>
    </w:p>
    <w:p w14:paraId="67DE1E8B" w14:textId="77777777" w:rsidR="00A2588D" w:rsidRPr="003D733D" w:rsidRDefault="00A2588D" w:rsidP="00A2588D">
      <w:r w:rsidRPr="003D733D">
        <w:rPr>
          <w:rFonts w:ascii="Sylfaen" w:hAnsi="Sylfaen" w:cs="Sylfaen"/>
        </w:rPr>
        <w:t>დროულად</w:t>
      </w:r>
      <w:r w:rsidRPr="003D733D">
        <w:t xml:space="preserve"> </w:t>
      </w:r>
      <w:r w:rsidRPr="003D733D">
        <w:rPr>
          <w:rFonts w:ascii="Sylfaen" w:hAnsi="Sylfaen" w:cs="Sylfaen"/>
        </w:rPr>
        <w:t>მოუხმეთ</w:t>
      </w:r>
      <w:r w:rsidRPr="003D733D">
        <w:t xml:space="preserve"> </w:t>
      </w:r>
      <w:r w:rsidRPr="003D733D">
        <w:rPr>
          <w:rFonts w:ascii="Sylfaen" w:hAnsi="Sylfaen" w:cs="Sylfaen"/>
        </w:rPr>
        <w:t>დამხმარეს</w:t>
      </w:r>
      <w:r w:rsidRPr="003D733D">
        <w:t xml:space="preserve">, </w:t>
      </w:r>
      <w:r w:rsidRPr="003D733D">
        <w:rPr>
          <w:rFonts w:ascii="Sylfaen" w:hAnsi="Sylfaen" w:cs="Sylfaen"/>
        </w:rPr>
        <w:t>რათა</w:t>
      </w:r>
      <w:r w:rsidRPr="003D733D">
        <w:t xml:space="preserve"> </w:t>
      </w:r>
      <w:r w:rsidRPr="003D733D">
        <w:rPr>
          <w:rFonts w:ascii="Sylfaen" w:hAnsi="Sylfaen" w:cs="Sylfaen"/>
        </w:rPr>
        <w:t>დამხმარემ</w:t>
      </w:r>
      <w:r w:rsidRPr="003D733D">
        <w:t xml:space="preserve"> </w:t>
      </w:r>
      <w:r w:rsidRPr="003D733D">
        <w:rPr>
          <w:rFonts w:ascii="Sylfaen" w:hAnsi="Sylfaen" w:cs="Sylfaen"/>
        </w:rPr>
        <w:t>ჩაატაროს</w:t>
      </w:r>
      <w:r w:rsidRPr="003D733D">
        <w:t xml:space="preserve"> </w:t>
      </w:r>
      <w:r w:rsidRPr="003D733D">
        <w:rPr>
          <w:rFonts w:ascii="Sylfaen" w:hAnsi="Sylfaen" w:cs="Sylfaen"/>
        </w:rPr>
        <w:t>სხეულის</w:t>
      </w:r>
      <w:r w:rsidRPr="003D733D">
        <w:t xml:space="preserve"> </w:t>
      </w:r>
      <w:r w:rsidRPr="003D733D">
        <w:rPr>
          <w:rFonts w:ascii="Sylfaen" w:hAnsi="Sylfaen" w:cs="Sylfaen"/>
        </w:rPr>
        <w:t>დაზიანებული</w:t>
      </w:r>
      <w:r w:rsidRPr="003D733D">
        <w:t xml:space="preserve"> </w:t>
      </w:r>
      <w:r w:rsidRPr="003D733D">
        <w:rPr>
          <w:rFonts w:ascii="Sylfaen" w:hAnsi="Sylfaen" w:cs="Sylfaen"/>
        </w:rPr>
        <w:t>ნაწილის</w:t>
      </w:r>
      <w:r w:rsidRPr="003D733D">
        <w:t xml:space="preserve"> </w:t>
      </w:r>
      <w:r w:rsidRPr="003D733D">
        <w:rPr>
          <w:rFonts w:ascii="Sylfaen" w:hAnsi="Sylfaen" w:cs="Sylfaen"/>
        </w:rPr>
        <w:t>იმობილიზაცია</w:t>
      </w:r>
      <w:r w:rsidRPr="003D733D">
        <w:t xml:space="preserve">, </w:t>
      </w:r>
      <w:r w:rsidRPr="003D733D">
        <w:rPr>
          <w:rFonts w:ascii="Sylfaen" w:hAnsi="Sylfaen" w:cs="Sylfaen"/>
        </w:rPr>
        <w:t>სანამ</w:t>
      </w:r>
      <w:r w:rsidRPr="003D733D">
        <w:t xml:space="preserve"> </w:t>
      </w:r>
      <w:r w:rsidRPr="003D733D">
        <w:rPr>
          <w:rFonts w:ascii="Sylfaen" w:hAnsi="Sylfaen" w:cs="Sylfaen"/>
        </w:rPr>
        <w:t>თქვენ</w:t>
      </w:r>
      <w:r w:rsidRPr="003D733D">
        <w:t xml:space="preserve"> </w:t>
      </w:r>
      <w:r w:rsidRPr="003D733D">
        <w:rPr>
          <w:rFonts w:ascii="Sylfaen" w:hAnsi="Sylfaen" w:cs="Sylfaen"/>
        </w:rPr>
        <w:t>დაამუშავებთ</w:t>
      </w:r>
      <w:r w:rsidRPr="003D733D">
        <w:t xml:space="preserve"> </w:t>
      </w:r>
      <w:r w:rsidRPr="003D733D">
        <w:rPr>
          <w:rFonts w:ascii="Sylfaen" w:hAnsi="Sylfaen" w:cs="Sylfaen"/>
        </w:rPr>
        <w:t>ჭრილობას</w:t>
      </w:r>
      <w:r w:rsidRPr="003D733D">
        <w:t>;</w:t>
      </w:r>
    </w:p>
    <w:p w14:paraId="4F46B41B" w14:textId="77777777" w:rsidR="00A2588D" w:rsidRPr="003D733D" w:rsidRDefault="00A2588D" w:rsidP="00A2588D">
      <w:r w:rsidRPr="003D733D">
        <w:rPr>
          <w:rFonts w:ascii="Sylfaen" w:hAnsi="Sylfaen" w:cs="Sylfaen"/>
        </w:rPr>
        <w:t>დაფარეთ</w:t>
      </w:r>
      <w:r w:rsidRPr="003D733D">
        <w:t xml:space="preserve"> </w:t>
      </w:r>
      <w:r w:rsidRPr="003D733D">
        <w:rPr>
          <w:rFonts w:ascii="Sylfaen" w:hAnsi="Sylfaen" w:cs="Sylfaen"/>
        </w:rPr>
        <w:t>ჭრილობა</w:t>
      </w:r>
      <w:r w:rsidRPr="003D733D">
        <w:t xml:space="preserve"> </w:t>
      </w:r>
      <w:r w:rsidRPr="003D733D">
        <w:rPr>
          <w:rFonts w:ascii="Sylfaen" w:hAnsi="Sylfaen" w:cs="Sylfaen"/>
        </w:rPr>
        <w:t>სუფთა</w:t>
      </w:r>
      <w:r w:rsidRPr="003D733D">
        <w:t xml:space="preserve"> </w:t>
      </w:r>
      <w:r w:rsidRPr="003D733D">
        <w:rPr>
          <w:rFonts w:ascii="Sylfaen" w:hAnsi="Sylfaen" w:cs="Sylfaen"/>
        </w:rPr>
        <w:t>საფენით</w:t>
      </w:r>
      <w:r w:rsidRPr="003D733D">
        <w:t xml:space="preserve"> </w:t>
      </w:r>
      <w:r w:rsidRPr="003D733D">
        <w:rPr>
          <w:rFonts w:ascii="Sylfaen" w:hAnsi="Sylfaen" w:cs="Sylfaen"/>
        </w:rPr>
        <w:t>და</w:t>
      </w:r>
      <w:r w:rsidRPr="003D733D">
        <w:t xml:space="preserve"> </w:t>
      </w:r>
      <w:r w:rsidRPr="003D733D">
        <w:rPr>
          <w:rFonts w:ascii="Sylfaen" w:hAnsi="Sylfaen" w:cs="Sylfaen"/>
        </w:rPr>
        <w:t>მოახდინეთ</w:t>
      </w:r>
      <w:r w:rsidRPr="003D733D">
        <w:t xml:space="preserve"> </w:t>
      </w:r>
      <w:r w:rsidRPr="003D733D">
        <w:rPr>
          <w:rFonts w:ascii="Sylfaen" w:hAnsi="Sylfaen" w:cs="Sylfaen"/>
        </w:rPr>
        <w:t>პირდაპირი</w:t>
      </w:r>
      <w:r w:rsidRPr="003D733D">
        <w:t xml:space="preserve"> </w:t>
      </w:r>
      <w:r w:rsidRPr="003D733D">
        <w:rPr>
          <w:rFonts w:ascii="Sylfaen" w:hAnsi="Sylfaen" w:cs="Sylfaen"/>
        </w:rPr>
        <w:t>ზეწოლა</w:t>
      </w:r>
      <w:r w:rsidRPr="003D733D">
        <w:t xml:space="preserve"> </w:t>
      </w:r>
      <w:r w:rsidRPr="003D733D">
        <w:rPr>
          <w:rFonts w:ascii="Sylfaen" w:hAnsi="Sylfaen" w:cs="Sylfaen"/>
        </w:rPr>
        <w:t>სისხლდენის</w:t>
      </w:r>
      <w:r w:rsidRPr="003D733D">
        <w:t xml:space="preserve"> </w:t>
      </w:r>
      <w:r w:rsidRPr="003D733D">
        <w:rPr>
          <w:rFonts w:ascii="Sylfaen" w:hAnsi="Sylfaen" w:cs="Sylfaen"/>
        </w:rPr>
        <w:t>შეჩერების</w:t>
      </w:r>
      <w:r w:rsidRPr="003D733D">
        <w:t xml:space="preserve"> </w:t>
      </w:r>
      <w:r w:rsidRPr="003D733D">
        <w:rPr>
          <w:rFonts w:ascii="Sylfaen" w:hAnsi="Sylfaen" w:cs="Sylfaen"/>
        </w:rPr>
        <w:t>მიზნით</w:t>
      </w:r>
      <w:r w:rsidRPr="003D733D">
        <w:t xml:space="preserve">. </w:t>
      </w:r>
      <w:r w:rsidRPr="003D733D">
        <w:rPr>
          <w:rFonts w:ascii="Sylfaen" w:hAnsi="Sylfaen" w:cs="Sylfaen"/>
        </w:rPr>
        <w:t>არ</w:t>
      </w:r>
      <w:r w:rsidRPr="003D733D">
        <w:t xml:space="preserve"> </w:t>
      </w:r>
      <w:r w:rsidRPr="003D733D">
        <w:rPr>
          <w:rFonts w:ascii="Sylfaen" w:hAnsi="Sylfaen" w:cs="Sylfaen"/>
        </w:rPr>
        <w:t>მოახდინოთ</w:t>
      </w:r>
      <w:r w:rsidRPr="003D733D">
        <w:t xml:space="preserve"> </w:t>
      </w:r>
      <w:r w:rsidRPr="003D733D">
        <w:rPr>
          <w:rFonts w:ascii="Sylfaen" w:hAnsi="Sylfaen" w:cs="Sylfaen"/>
        </w:rPr>
        <w:t>ზეწოლა</w:t>
      </w:r>
      <w:r w:rsidRPr="003D733D">
        <w:t xml:space="preserve"> </w:t>
      </w:r>
      <w:r w:rsidRPr="003D733D">
        <w:rPr>
          <w:rFonts w:ascii="Sylfaen" w:hAnsi="Sylfaen" w:cs="Sylfaen"/>
        </w:rPr>
        <w:t>უშუალოდ</w:t>
      </w:r>
      <w:r w:rsidRPr="003D733D">
        <w:t xml:space="preserve"> </w:t>
      </w:r>
      <w:r w:rsidRPr="003D733D">
        <w:rPr>
          <w:rFonts w:ascii="Sylfaen" w:hAnsi="Sylfaen" w:cs="Sylfaen"/>
        </w:rPr>
        <w:t>მოტეხილი</w:t>
      </w:r>
      <w:r w:rsidRPr="003D733D">
        <w:t xml:space="preserve"> </w:t>
      </w:r>
      <w:r w:rsidRPr="003D733D">
        <w:rPr>
          <w:rFonts w:ascii="Sylfaen" w:hAnsi="Sylfaen" w:cs="Sylfaen"/>
        </w:rPr>
        <w:t>ძვლის</w:t>
      </w:r>
      <w:r w:rsidRPr="003D733D">
        <w:t xml:space="preserve"> </w:t>
      </w:r>
      <w:r w:rsidRPr="003D733D">
        <w:rPr>
          <w:rFonts w:ascii="Sylfaen" w:hAnsi="Sylfaen" w:cs="Sylfaen"/>
        </w:rPr>
        <w:t>ფრაგმენტებზე</w:t>
      </w:r>
      <w:r w:rsidRPr="003D733D">
        <w:t>;</w:t>
      </w:r>
    </w:p>
    <w:p w14:paraId="66784214" w14:textId="77777777" w:rsidR="00A2588D" w:rsidRPr="003D733D" w:rsidRDefault="00A2588D" w:rsidP="00A2588D">
      <w:r w:rsidRPr="003D733D">
        <w:rPr>
          <w:rFonts w:ascii="Sylfaen" w:hAnsi="Sylfaen" w:cs="Sylfaen"/>
        </w:rPr>
        <w:t>ჭრილობაზე</w:t>
      </w:r>
      <w:r w:rsidRPr="003D733D">
        <w:t xml:space="preserve"> </w:t>
      </w:r>
      <w:r w:rsidRPr="003D733D">
        <w:rPr>
          <w:rFonts w:ascii="Sylfaen" w:hAnsi="Sylfaen" w:cs="Sylfaen"/>
        </w:rPr>
        <w:t>თითებით</w:t>
      </w:r>
      <w:r w:rsidRPr="003D733D">
        <w:t xml:space="preserve"> </w:t>
      </w:r>
      <w:r w:rsidRPr="003D733D">
        <w:rPr>
          <w:rFonts w:ascii="Sylfaen" w:hAnsi="Sylfaen" w:cs="Sylfaen"/>
        </w:rPr>
        <w:t>შეხების</w:t>
      </w:r>
      <w:r w:rsidRPr="003D733D">
        <w:t xml:space="preserve"> </w:t>
      </w:r>
      <w:r w:rsidRPr="003D733D">
        <w:rPr>
          <w:rFonts w:ascii="Sylfaen" w:hAnsi="Sylfaen" w:cs="Sylfaen"/>
        </w:rPr>
        <w:t>გარეშე</w:t>
      </w:r>
      <w:r w:rsidRPr="003D733D">
        <w:t xml:space="preserve">, </w:t>
      </w:r>
      <w:r w:rsidRPr="003D733D">
        <w:rPr>
          <w:rFonts w:ascii="Sylfaen" w:hAnsi="Sylfaen" w:cs="Sylfaen"/>
        </w:rPr>
        <w:t>საფენის</w:t>
      </w:r>
      <w:r w:rsidRPr="003D733D">
        <w:t xml:space="preserve"> </w:t>
      </w:r>
      <w:r w:rsidRPr="003D733D">
        <w:rPr>
          <w:rFonts w:ascii="Sylfaen" w:hAnsi="Sylfaen" w:cs="Sylfaen"/>
        </w:rPr>
        <w:t>ზემოდან</w:t>
      </w:r>
      <w:r w:rsidRPr="003D733D">
        <w:t xml:space="preserve"> </w:t>
      </w:r>
      <w:r w:rsidRPr="003D733D">
        <w:rPr>
          <w:rFonts w:ascii="Sylfaen" w:hAnsi="Sylfaen" w:cs="Sylfaen"/>
        </w:rPr>
        <w:t>ფრთხილად</w:t>
      </w:r>
      <w:r w:rsidRPr="003D733D">
        <w:t xml:space="preserve"> </w:t>
      </w:r>
      <w:r w:rsidRPr="003D733D">
        <w:rPr>
          <w:rFonts w:ascii="Sylfaen" w:hAnsi="Sylfaen" w:cs="Sylfaen"/>
        </w:rPr>
        <w:t>შემოფარგლეთ</w:t>
      </w:r>
      <w:r w:rsidRPr="003D733D">
        <w:t xml:space="preserve"> </w:t>
      </w:r>
      <w:r w:rsidRPr="003D733D">
        <w:rPr>
          <w:rFonts w:ascii="Sylfaen" w:hAnsi="Sylfaen" w:cs="Sylfaen"/>
        </w:rPr>
        <w:t>დაზიანებული</w:t>
      </w:r>
      <w:r w:rsidRPr="003D733D">
        <w:t xml:space="preserve"> </w:t>
      </w:r>
      <w:r w:rsidRPr="003D733D">
        <w:rPr>
          <w:rFonts w:ascii="Sylfaen" w:hAnsi="Sylfaen" w:cs="Sylfaen"/>
        </w:rPr>
        <w:t>არე</w:t>
      </w:r>
      <w:r w:rsidRPr="003D733D">
        <w:t xml:space="preserve"> </w:t>
      </w:r>
      <w:r w:rsidRPr="003D733D">
        <w:rPr>
          <w:rFonts w:ascii="Sylfaen" w:hAnsi="Sylfaen" w:cs="Sylfaen"/>
        </w:rPr>
        <w:t>სუფთა</w:t>
      </w:r>
      <w:r w:rsidRPr="003D733D">
        <w:t xml:space="preserve"> </w:t>
      </w:r>
      <w:r w:rsidRPr="003D733D">
        <w:rPr>
          <w:rFonts w:ascii="Sylfaen" w:hAnsi="Sylfaen" w:cs="Sylfaen"/>
        </w:rPr>
        <w:t>ქსოვილით</w:t>
      </w:r>
      <w:r w:rsidRPr="003D733D">
        <w:t xml:space="preserve"> </w:t>
      </w:r>
      <w:r w:rsidRPr="003D733D">
        <w:rPr>
          <w:rFonts w:ascii="Sylfaen" w:hAnsi="Sylfaen" w:cs="Sylfaen"/>
        </w:rPr>
        <w:t>და</w:t>
      </w:r>
      <w:r w:rsidRPr="003D733D">
        <w:t xml:space="preserve"> </w:t>
      </w:r>
      <w:r w:rsidRPr="003D733D">
        <w:rPr>
          <w:rFonts w:ascii="Sylfaen" w:hAnsi="Sylfaen" w:cs="Sylfaen"/>
        </w:rPr>
        <w:t>დააფიქსირეთ</w:t>
      </w:r>
      <w:r w:rsidRPr="003D733D">
        <w:t xml:space="preserve"> </w:t>
      </w:r>
      <w:r w:rsidRPr="003D733D">
        <w:rPr>
          <w:rFonts w:ascii="Sylfaen" w:hAnsi="Sylfaen" w:cs="Sylfaen"/>
        </w:rPr>
        <w:t>ის</w:t>
      </w:r>
      <w:r w:rsidRPr="003D733D">
        <w:t xml:space="preserve"> </w:t>
      </w:r>
      <w:r w:rsidRPr="003D733D">
        <w:rPr>
          <w:rFonts w:ascii="Sylfaen" w:hAnsi="Sylfaen" w:cs="Sylfaen"/>
        </w:rPr>
        <w:t>ნახვევით</w:t>
      </w:r>
      <w:r w:rsidRPr="003D733D">
        <w:t>;</w:t>
      </w:r>
    </w:p>
    <w:p w14:paraId="2E8BE40A" w14:textId="77777777" w:rsidR="00A2588D" w:rsidRPr="003D733D" w:rsidRDefault="00A2588D" w:rsidP="00A2588D">
      <w:r w:rsidRPr="003D733D">
        <w:rPr>
          <w:rFonts w:ascii="Sylfaen" w:hAnsi="Sylfaen" w:cs="Sylfaen"/>
        </w:rPr>
        <w:lastRenderedPageBreak/>
        <w:t>თუ</w:t>
      </w:r>
      <w:r w:rsidRPr="003D733D">
        <w:t xml:space="preserve"> </w:t>
      </w:r>
      <w:r w:rsidRPr="003D733D">
        <w:rPr>
          <w:rFonts w:ascii="Sylfaen" w:hAnsi="Sylfaen" w:cs="Sylfaen"/>
        </w:rPr>
        <w:t>ჭრილობაში</w:t>
      </w:r>
      <w:r w:rsidRPr="003D733D">
        <w:t xml:space="preserve"> </w:t>
      </w:r>
      <w:r w:rsidRPr="003D733D">
        <w:rPr>
          <w:rFonts w:ascii="Sylfaen" w:hAnsi="Sylfaen" w:cs="Sylfaen"/>
        </w:rPr>
        <w:t>მოჩანს</w:t>
      </w:r>
      <w:r w:rsidRPr="003D733D">
        <w:t xml:space="preserve"> </w:t>
      </w:r>
      <w:r w:rsidRPr="003D733D">
        <w:rPr>
          <w:rFonts w:ascii="Sylfaen" w:hAnsi="Sylfaen" w:cs="Sylfaen"/>
        </w:rPr>
        <w:t>მოტეხილი</w:t>
      </w:r>
      <w:r w:rsidRPr="003D733D">
        <w:t xml:space="preserve"> </w:t>
      </w:r>
      <w:r w:rsidRPr="003D733D">
        <w:rPr>
          <w:rFonts w:ascii="Sylfaen" w:hAnsi="Sylfaen" w:cs="Sylfaen"/>
        </w:rPr>
        <w:t>ძვლის</w:t>
      </w:r>
      <w:r w:rsidRPr="003D733D">
        <w:t xml:space="preserve"> </w:t>
      </w:r>
      <w:r w:rsidRPr="003D733D">
        <w:rPr>
          <w:rFonts w:ascii="Sylfaen" w:hAnsi="Sylfaen" w:cs="Sylfaen"/>
        </w:rPr>
        <w:t>ფრაგმენტები</w:t>
      </w:r>
      <w:r w:rsidRPr="003D733D">
        <w:t xml:space="preserve">, </w:t>
      </w:r>
      <w:r w:rsidRPr="003D733D">
        <w:rPr>
          <w:rFonts w:ascii="Sylfaen" w:hAnsi="Sylfaen" w:cs="Sylfaen"/>
        </w:rPr>
        <w:t>მოათავსეთ</w:t>
      </w:r>
      <w:r w:rsidRPr="003D733D">
        <w:t xml:space="preserve"> </w:t>
      </w:r>
      <w:r w:rsidRPr="003D733D">
        <w:rPr>
          <w:rFonts w:ascii="Sylfaen" w:hAnsi="Sylfaen" w:cs="Sylfaen"/>
        </w:rPr>
        <w:t>რბილი</w:t>
      </w:r>
      <w:r w:rsidRPr="003D733D">
        <w:t xml:space="preserve"> </w:t>
      </w:r>
      <w:r w:rsidRPr="003D733D">
        <w:rPr>
          <w:rFonts w:ascii="Sylfaen" w:hAnsi="Sylfaen" w:cs="Sylfaen"/>
        </w:rPr>
        <w:t>ქსოვილი</w:t>
      </w:r>
      <w:r w:rsidRPr="003D733D">
        <w:t xml:space="preserve"> </w:t>
      </w:r>
      <w:r w:rsidRPr="003D733D">
        <w:rPr>
          <w:rFonts w:ascii="Sylfaen" w:hAnsi="Sylfaen" w:cs="Sylfaen"/>
        </w:rPr>
        <w:t>ძვლის</w:t>
      </w:r>
      <w:r w:rsidRPr="003D733D">
        <w:t xml:space="preserve"> </w:t>
      </w:r>
      <w:r w:rsidRPr="003D733D">
        <w:rPr>
          <w:rFonts w:ascii="Sylfaen" w:hAnsi="Sylfaen" w:cs="Sylfaen"/>
        </w:rPr>
        <w:t>ფრაგმენტების</w:t>
      </w:r>
      <w:r w:rsidRPr="003D733D">
        <w:t xml:space="preserve"> </w:t>
      </w:r>
      <w:r w:rsidRPr="003D733D">
        <w:rPr>
          <w:rFonts w:ascii="Sylfaen" w:hAnsi="Sylfaen" w:cs="Sylfaen"/>
        </w:rPr>
        <w:t>გარშემო</w:t>
      </w:r>
      <w:r w:rsidRPr="003D733D">
        <w:t xml:space="preserve"> </w:t>
      </w:r>
      <w:r w:rsidRPr="003D733D">
        <w:rPr>
          <w:rFonts w:ascii="Sylfaen" w:hAnsi="Sylfaen" w:cs="Sylfaen"/>
        </w:rPr>
        <w:t>ისე</w:t>
      </w:r>
      <w:r w:rsidRPr="003D733D">
        <w:t xml:space="preserve">, </w:t>
      </w:r>
      <w:r w:rsidRPr="003D733D">
        <w:rPr>
          <w:rFonts w:ascii="Sylfaen" w:hAnsi="Sylfaen" w:cs="Sylfaen"/>
        </w:rPr>
        <w:t>რომ</w:t>
      </w:r>
      <w:r w:rsidRPr="003D733D">
        <w:t xml:space="preserve"> </w:t>
      </w:r>
      <w:r w:rsidRPr="003D733D">
        <w:rPr>
          <w:rFonts w:ascii="Sylfaen" w:hAnsi="Sylfaen" w:cs="Sylfaen"/>
        </w:rPr>
        <w:t>ქსოვილი</w:t>
      </w:r>
      <w:r w:rsidRPr="003D733D">
        <w:t xml:space="preserve"> </w:t>
      </w:r>
      <w:r w:rsidRPr="003D733D">
        <w:rPr>
          <w:rFonts w:ascii="Sylfaen" w:hAnsi="Sylfaen" w:cs="Sylfaen"/>
        </w:rPr>
        <w:t>სცილდებოდეს</w:t>
      </w:r>
      <w:r w:rsidRPr="003D733D">
        <w:t xml:space="preserve"> </w:t>
      </w:r>
      <w:r w:rsidRPr="003D733D">
        <w:rPr>
          <w:rFonts w:ascii="Sylfaen" w:hAnsi="Sylfaen" w:cs="Sylfaen"/>
        </w:rPr>
        <w:t>მათ</w:t>
      </w:r>
      <w:r w:rsidRPr="003D733D">
        <w:t xml:space="preserve"> </w:t>
      </w:r>
      <w:r w:rsidRPr="003D733D">
        <w:rPr>
          <w:rFonts w:ascii="Sylfaen" w:hAnsi="Sylfaen" w:cs="Sylfaen"/>
        </w:rPr>
        <w:t>და</w:t>
      </w:r>
      <w:r w:rsidRPr="003D733D">
        <w:t xml:space="preserve"> </w:t>
      </w:r>
      <w:r w:rsidRPr="003D733D">
        <w:rPr>
          <w:rFonts w:ascii="Sylfaen" w:hAnsi="Sylfaen" w:cs="Sylfaen"/>
        </w:rPr>
        <w:t>ნახვევი</w:t>
      </w:r>
      <w:r w:rsidRPr="003D733D">
        <w:t xml:space="preserve"> </w:t>
      </w:r>
      <w:r w:rsidRPr="003D733D">
        <w:rPr>
          <w:rFonts w:ascii="Sylfaen" w:hAnsi="Sylfaen" w:cs="Sylfaen"/>
        </w:rPr>
        <w:t>არ</w:t>
      </w:r>
      <w:r w:rsidRPr="003D733D">
        <w:t xml:space="preserve"> </w:t>
      </w:r>
      <w:r w:rsidRPr="003D733D">
        <w:rPr>
          <w:rFonts w:ascii="Sylfaen" w:hAnsi="Sylfaen" w:cs="Sylfaen"/>
        </w:rPr>
        <w:t>ახდენდეს</w:t>
      </w:r>
      <w:r w:rsidRPr="003D733D">
        <w:t xml:space="preserve"> </w:t>
      </w:r>
      <w:r w:rsidRPr="003D733D">
        <w:rPr>
          <w:rFonts w:ascii="Sylfaen" w:hAnsi="Sylfaen" w:cs="Sylfaen"/>
        </w:rPr>
        <w:t>ზეწოლას</w:t>
      </w:r>
      <w:r w:rsidRPr="003D733D">
        <w:t xml:space="preserve"> </w:t>
      </w:r>
      <w:r w:rsidRPr="003D733D">
        <w:rPr>
          <w:rFonts w:ascii="Sylfaen" w:hAnsi="Sylfaen" w:cs="Sylfaen"/>
        </w:rPr>
        <w:t>ძვლის</w:t>
      </w:r>
      <w:r w:rsidRPr="003D733D">
        <w:t xml:space="preserve"> </w:t>
      </w:r>
      <w:r w:rsidRPr="003D733D">
        <w:rPr>
          <w:rFonts w:ascii="Sylfaen" w:hAnsi="Sylfaen" w:cs="Sylfaen"/>
        </w:rPr>
        <w:t>ფრაგმენტებზე</w:t>
      </w:r>
      <w:r w:rsidRPr="003D733D">
        <w:t xml:space="preserve">. </w:t>
      </w:r>
      <w:r w:rsidRPr="003D733D">
        <w:rPr>
          <w:rFonts w:ascii="Sylfaen" w:hAnsi="Sylfaen" w:cs="Sylfaen"/>
        </w:rPr>
        <w:t>დაამაგრეთ</w:t>
      </w:r>
      <w:r w:rsidRPr="003D733D">
        <w:t xml:space="preserve"> </w:t>
      </w:r>
      <w:r w:rsidRPr="003D733D">
        <w:rPr>
          <w:rFonts w:ascii="Sylfaen" w:hAnsi="Sylfaen" w:cs="Sylfaen"/>
        </w:rPr>
        <w:t>ნახვევი</w:t>
      </w:r>
      <w:r w:rsidRPr="003D733D">
        <w:t xml:space="preserve"> </w:t>
      </w:r>
      <w:r w:rsidRPr="003D733D">
        <w:rPr>
          <w:rFonts w:ascii="Sylfaen" w:hAnsi="Sylfaen" w:cs="Sylfaen"/>
        </w:rPr>
        <w:t>ისე</w:t>
      </w:r>
      <w:r w:rsidRPr="003D733D">
        <w:t xml:space="preserve">, </w:t>
      </w:r>
      <w:r w:rsidRPr="003D733D">
        <w:rPr>
          <w:rFonts w:ascii="Sylfaen" w:hAnsi="Sylfaen" w:cs="Sylfaen"/>
        </w:rPr>
        <w:t>რომ</w:t>
      </w:r>
      <w:r w:rsidRPr="003D733D">
        <w:t xml:space="preserve"> </w:t>
      </w:r>
      <w:r w:rsidRPr="003D733D">
        <w:rPr>
          <w:rFonts w:ascii="Sylfaen" w:hAnsi="Sylfaen" w:cs="Sylfaen"/>
        </w:rPr>
        <w:t>არ</w:t>
      </w:r>
      <w:r w:rsidRPr="003D733D">
        <w:t xml:space="preserve"> </w:t>
      </w:r>
      <w:r w:rsidRPr="003D733D">
        <w:rPr>
          <w:rFonts w:ascii="Sylfaen" w:hAnsi="Sylfaen" w:cs="Sylfaen"/>
        </w:rPr>
        <w:t>დაირღვეს</w:t>
      </w:r>
      <w:r w:rsidRPr="003D733D">
        <w:t xml:space="preserve"> </w:t>
      </w:r>
      <w:r w:rsidRPr="003D733D">
        <w:rPr>
          <w:rFonts w:ascii="Sylfaen" w:hAnsi="Sylfaen" w:cs="Sylfaen"/>
        </w:rPr>
        <w:t>სისხლის</w:t>
      </w:r>
      <w:r w:rsidRPr="003D733D">
        <w:t xml:space="preserve"> </w:t>
      </w:r>
      <w:r w:rsidRPr="003D733D">
        <w:rPr>
          <w:rFonts w:ascii="Sylfaen" w:hAnsi="Sylfaen" w:cs="Sylfaen"/>
        </w:rPr>
        <w:t>მიმოქცევა</w:t>
      </w:r>
      <w:r w:rsidRPr="003D733D">
        <w:t xml:space="preserve"> </w:t>
      </w:r>
      <w:r w:rsidRPr="003D733D">
        <w:rPr>
          <w:rFonts w:ascii="Sylfaen" w:hAnsi="Sylfaen" w:cs="Sylfaen"/>
        </w:rPr>
        <w:t>ნახვევის</w:t>
      </w:r>
      <w:r w:rsidRPr="003D733D">
        <w:t xml:space="preserve"> </w:t>
      </w:r>
      <w:r w:rsidRPr="003D733D">
        <w:rPr>
          <w:rFonts w:ascii="Sylfaen" w:hAnsi="Sylfaen" w:cs="Sylfaen"/>
        </w:rPr>
        <w:t>ქვემოთ</w:t>
      </w:r>
      <w:r w:rsidRPr="003D733D">
        <w:t>;</w:t>
      </w:r>
    </w:p>
    <w:p w14:paraId="47B82741" w14:textId="77777777" w:rsidR="00A2588D" w:rsidRPr="003D733D" w:rsidRDefault="00A2588D" w:rsidP="00A2588D">
      <w:r w:rsidRPr="003D733D">
        <w:rPr>
          <w:rFonts w:ascii="Sylfaen" w:hAnsi="Sylfaen" w:cs="Sylfaen"/>
        </w:rPr>
        <w:t>ჩაატარეთ</w:t>
      </w:r>
      <w:r w:rsidRPr="003D733D">
        <w:t xml:space="preserve"> </w:t>
      </w:r>
      <w:r w:rsidRPr="003D733D">
        <w:rPr>
          <w:rFonts w:ascii="Sylfaen" w:hAnsi="Sylfaen" w:cs="Sylfaen"/>
        </w:rPr>
        <w:t>მოტეხილი</w:t>
      </w:r>
      <w:r w:rsidRPr="003D733D">
        <w:t xml:space="preserve"> </w:t>
      </w:r>
      <w:r w:rsidRPr="003D733D">
        <w:rPr>
          <w:rFonts w:ascii="Sylfaen" w:hAnsi="Sylfaen" w:cs="Sylfaen"/>
        </w:rPr>
        <w:t>ძვლის</w:t>
      </w:r>
      <w:r w:rsidRPr="003D733D">
        <w:t xml:space="preserve"> </w:t>
      </w:r>
      <w:r w:rsidRPr="003D733D">
        <w:rPr>
          <w:rFonts w:ascii="Sylfaen" w:hAnsi="Sylfaen" w:cs="Sylfaen"/>
        </w:rPr>
        <w:t>იმობილიზაცია</w:t>
      </w:r>
      <w:r w:rsidRPr="003D733D">
        <w:t xml:space="preserve">, </w:t>
      </w:r>
      <w:r w:rsidRPr="003D733D">
        <w:rPr>
          <w:rFonts w:ascii="Sylfaen" w:hAnsi="Sylfaen" w:cs="Sylfaen"/>
        </w:rPr>
        <w:t>ისევე</w:t>
      </w:r>
      <w:r w:rsidRPr="003D733D">
        <w:t xml:space="preserve">, </w:t>
      </w:r>
      <w:r w:rsidRPr="003D733D">
        <w:rPr>
          <w:rFonts w:ascii="Sylfaen" w:hAnsi="Sylfaen" w:cs="Sylfaen"/>
        </w:rPr>
        <w:t>როგორც</w:t>
      </w:r>
      <w:r w:rsidRPr="003D733D">
        <w:t xml:space="preserve"> </w:t>
      </w:r>
      <w:r w:rsidRPr="003D733D">
        <w:rPr>
          <w:rFonts w:ascii="Sylfaen" w:hAnsi="Sylfaen" w:cs="Sylfaen"/>
        </w:rPr>
        <w:t>დახურული</w:t>
      </w:r>
      <w:r w:rsidRPr="003D733D">
        <w:t xml:space="preserve"> </w:t>
      </w:r>
      <w:r w:rsidRPr="003D733D">
        <w:rPr>
          <w:rFonts w:ascii="Sylfaen" w:hAnsi="Sylfaen" w:cs="Sylfaen"/>
        </w:rPr>
        <w:t>მოტეხილობისას</w:t>
      </w:r>
      <w:r w:rsidRPr="003D733D">
        <w:t>;</w:t>
      </w:r>
    </w:p>
    <w:p w14:paraId="7EC6B75C" w14:textId="77777777" w:rsidR="00A2588D" w:rsidRPr="003D733D" w:rsidRDefault="00A2588D" w:rsidP="00A2588D">
      <w:r w:rsidRPr="003D733D">
        <w:rPr>
          <w:rFonts w:ascii="Sylfaen" w:hAnsi="Sylfaen" w:cs="Sylfaen"/>
        </w:rPr>
        <w:t>შეამოწმეთ</w:t>
      </w:r>
      <w:r w:rsidRPr="003D733D">
        <w:t xml:space="preserve"> </w:t>
      </w:r>
      <w:r w:rsidRPr="003D733D">
        <w:rPr>
          <w:rFonts w:ascii="Sylfaen" w:hAnsi="Sylfaen" w:cs="Sylfaen"/>
        </w:rPr>
        <w:t>პულსი</w:t>
      </w:r>
      <w:r w:rsidRPr="003D733D">
        <w:t xml:space="preserve">, </w:t>
      </w:r>
      <w:r w:rsidRPr="003D733D">
        <w:rPr>
          <w:rFonts w:ascii="Sylfaen" w:hAnsi="Sylfaen" w:cs="Sylfaen"/>
        </w:rPr>
        <w:t>კაპილარული</w:t>
      </w:r>
      <w:r w:rsidRPr="003D733D">
        <w:t xml:space="preserve"> </w:t>
      </w:r>
      <w:r w:rsidRPr="003D733D">
        <w:rPr>
          <w:rFonts w:ascii="Sylfaen" w:hAnsi="Sylfaen" w:cs="Sylfaen"/>
        </w:rPr>
        <w:t>ავსება</w:t>
      </w:r>
      <w:r w:rsidRPr="003D733D">
        <w:t xml:space="preserve"> </w:t>
      </w:r>
      <w:r w:rsidRPr="003D733D">
        <w:rPr>
          <w:rFonts w:ascii="Sylfaen" w:hAnsi="Sylfaen" w:cs="Sylfaen"/>
        </w:rPr>
        <w:t>და</w:t>
      </w:r>
      <w:r w:rsidRPr="003D733D">
        <w:t xml:space="preserve"> </w:t>
      </w:r>
      <w:r w:rsidRPr="003D733D">
        <w:rPr>
          <w:rFonts w:ascii="Sylfaen" w:hAnsi="Sylfaen" w:cs="Sylfaen"/>
        </w:rPr>
        <w:t>მგრძნობელობა</w:t>
      </w:r>
      <w:r w:rsidRPr="003D733D">
        <w:t xml:space="preserve"> </w:t>
      </w:r>
      <w:r w:rsidRPr="003D733D">
        <w:rPr>
          <w:rFonts w:ascii="Sylfaen" w:hAnsi="Sylfaen" w:cs="Sylfaen"/>
        </w:rPr>
        <w:t>ნახვევის</w:t>
      </w:r>
      <w:r w:rsidRPr="003D733D">
        <w:t xml:space="preserve"> </w:t>
      </w:r>
      <w:r w:rsidRPr="003D733D">
        <w:rPr>
          <w:rFonts w:ascii="Sylfaen" w:hAnsi="Sylfaen" w:cs="Sylfaen"/>
        </w:rPr>
        <w:t>ქვემოთ</w:t>
      </w:r>
      <w:r w:rsidRPr="003D733D">
        <w:t xml:space="preserve"> </w:t>
      </w:r>
      <w:r w:rsidRPr="003D733D">
        <w:rPr>
          <w:rFonts w:ascii="Sylfaen" w:hAnsi="Sylfaen" w:cs="Sylfaen"/>
        </w:rPr>
        <w:t>ყოველ</w:t>
      </w:r>
      <w:r w:rsidRPr="003D733D">
        <w:t xml:space="preserve"> 10 </w:t>
      </w:r>
      <w:r w:rsidRPr="003D733D">
        <w:rPr>
          <w:rFonts w:ascii="Sylfaen" w:hAnsi="Sylfaen" w:cs="Sylfaen"/>
        </w:rPr>
        <w:t>წთ</w:t>
      </w:r>
      <w:r w:rsidRPr="003D733D">
        <w:t>-</w:t>
      </w:r>
      <w:r w:rsidRPr="003D733D">
        <w:rPr>
          <w:rFonts w:ascii="Sylfaen" w:hAnsi="Sylfaen" w:cs="Sylfaen"/>
        </w:rPr>
        <w:t>ში</w:t>
      </w:r>
      <w:r w:rsidRPr="003D733D">
        <w:t xml:space="preserve"> </w:t>
      </w:r>
      <w:r w:rsidRPr="003D733D">
        <w:rPr>
          <w:rFonts w:ascii="Sylfaen" w:hAnsi="Sylfaen" w:cs="Sylfaen"/>
        </w:rPr>
        <w:t>ერთხელ</w:t>
      </w:r>
      <w:r w:rsidRPr="003D733D">
        <w:t>.</w:t>
      </w:r>
    </w:p>
    <w:p w14:paraId="287540F4" w14:textId="77777777" w:rsidR="00A2588D" w:rsidRPr="003D733D" w:rsidRDefault="00A2588D" w:rsidP="00A2588D">
      <w:r w:rsidRPr="003D733D">
        <w:rPr>
          <w:rFonts w:ascii="Sylfaen" w:hAnsi="Sylfaen" w:cs="Sylfaen"/>
        </w:rPr>
        <w:t>დახურული</w:t>
      </w:r>
      <w:r w:rsidRPr="003D733D">
        <w:t xml:space="preserve"> </w:t>
      </w:r>
      <w:r w:rsidRPr="003D733D">
        <w:rPr>
          <w:rFonts w:ascii="Sylfaen" w:hAnsi="Sylfaen" w:cs="Sylfaen"/>
        </w:rPr>
        <w:t>მოტეხილობის</w:t>
      </w:r>
      <w:r w:rsidRPr="003D733D">
        <w:t xml:space="preserve"> </w:t>
      </w:r>
      <w:r w:rsidRPr="003D733D">
        <w:rPr>
          <w:rFonts w:ascii="Sylfaen" w:hAnsi="Sylfaen" w:cs="Sylfaen"/>
        </w:rPr>
        <w:t>დროს</w:t>
      </w:r>
      <w:r w:rsidRPr="003D733D">
        <w:t>:</w:t>
      </w:r>
    </w:p>
    <w:p w14:paraId="3549A649" w14:textId="77777777" w:rsidR="00A2588D" w:rsidRPr="003D733D" w:rsidRDefault="00A2588D" w:rsidP="00A2588D">
      <w:r w:rsidRPr="003D733D">
        <w:rPr>
          <w:rFonts w:ascii="Sylfaen" w:hAnsi="Sylfaen" w:cs="Sylfaen"/>
        </w:rPr>
        <w:t>სთხოვეთ</w:t>
      </w:r>
      <w:r w:rsidRPr="003D733D">
        <w:t xml:space="preserve"> </w:t>
      </w:r>
      <w:r w:rsidRPr="003D733D">
        <w:rPr>
          <w:rFonts w:ascii="Sylfaen" w:hAnsi="Sylfaen" w:cs="Sylfaen"/>
        </w:rPr>
        <w:t>დაზარალებულს</w:t>
      </w:r>
      <w:r w:rsidRPr="003D733D">
        <w:t xml:space="preserve"> </w:t>
      </w:r>
      <w:r w:rsidRPr="003D733D">
        <w:rPr>
          <w:rFonts w:ascii="Sylfaen" w:hAnsi="Sylfaen" w:cs="Sylfaen"/>
        </w:rPr>
        <w:t>იწვეს</w:t>
      </w:r>
      <w:r w:rsidRPr="003D733D">
        <w:t xml:space="preserve"> </w:t>
      </w:r>
      <w:r w:rsidRPr="003D733D">
        <w:rPr>
          <w:rFonts w:ascii="Sylfaen" w:hAnsi="Sylfaen" w:cs="Sylfaen"/>
        </w:rPr>
        <w:t>მშვიდად</w:t>
      </w:r>
      <w:r w:rsidRPr="003D733D">
        <w:t xml:space="preserve"> </w:t>
      </w:r>
      <w:r w:rsidRPr="003D733D">
        <w:rPr>
          <w:rFonts w:ascii="Sylfaen" w:hAnsi="Sylfaen" w:cs="Sylfaen"/>
        </w:rPr>
        <w:t>და</w:t>
      </w:r>
      <w:r w:rsidRPr="003D733D">
        <w:t xml:space="preserve"> </w:t>
      </w:r>
      <w:r w:rsidRPr="003D733D">
        <w:rPr>
          <w:rFonts w:ascii="Sylfaen" w:hAnsi="Sylfaen" w:cs="Sylfaen"/>
        </w:rPr>
        <w:t>დააფიქსირეთ</w:t>
      </w:r>
      <w:r w:rsidRPr="003D733D">
        <w:t xml:space="preserve"> </w:t>
      </w:r>
      <w:r w:rsidRPr="003D733D">
        <w:rPr>
          <w:rFonts w:ascii="Sylfaen" w:hAnsi="Sylfaen" w:cs="Sylfaen"/>
        </w:rPr>
        <w:t>სხეულის</w:t>
      </w:r>
      <w:r w:rsidRPr="003D733D">
        <w:t xml:space="preserve"> </w:t>
      </w:r>
      <w:r w:rsidRPr="003D733D">
        <w:rPr>
          <w:rFonts w:ascii="Sylfaen" w:hAnsi="Sylfaen" w:cs="Sylfaen"/>
        </w:rPr>
        <w:t>დაზიანებული</w:t>
      </w:r>
      <w:r w:rsidRPr="003D733D">
        <w:t xml:space="preserve"> </w:t>
      </w:r>
      <w:r w:rsidRPr="003D733D">
        <w:rPr>
          <w:rFonts w:ascii="Sylfaen" w:hAnsi="Sylfaen" w:cs="Sylfaen"/>
        </w:rPr>
        <w:t>ნაწილი</w:t>
      </w:r>
      <w:r w:rsidRPr="003D733D">
        <w:t xml:space="preserve"> </w:t>
      </w:r>
      <w:r w:rsidRPr="003D733D">
        <w:rPr>
          <w:rFonts w:ascii="Sylfaen" w:hAnsi="Sylfaen" w:cs="Sylfaen"/>
        </w:rPr>
        <w:t>მოტეხილობის</w:t>
      </w:r>
      <w:r w:rsidRPr="003D733D">
        <w:t xml:space="preserve"> </w:t>
      </w:r>
      <w:r w:rsidRPr="003D733D">
        <w:rPr>
          <w:rFonts w:ascii="Sylfaen" w:hAnsi="Sylfaen" w:cs="Sylfaen"/>
        </w:rPr>
        <w:t>ზემოთ</w:t>
      </w:r>
      <w:r w:rsidRPr="003D733D">
        <w:t xml:space="preserve"> </w:t>
      </w:r>
      <w:r w:rsidRPr="003D733D">
        <w:rPr>
          <w:rFonts w:ascii="Sylfaen" w:hAnsi="Sylfaen" w:cs="Sylfaen"/>
        </w:rPr>
        <w:t>და</w:t>
      </w:r>
      <w:r w:rsidRPr="003D733D">
        <w:t xml:space="preserve"> </w:t>
      </w:r>
      <w:r w:rsidRPr="003D733D">
        <w:rPr>
          <w:rFonts w:ascii="Sylfaen" w:hAnsi="Sylfaen" w:cs="Sylfaen"/>
        </w:rPr>
        <w:t>ქვემოთ</w:t>
      </w:r>
      <w:r w:rsidRPr="003D733D">
        <w:t xml:space="preserve"> </w:t>
      </w:r>
      <w:r w:rsidRPr="003D733D">
        <w:rPr>
          <w:rFonts w:ascii="Sylfaen" w:hAnsi="Sylfaen" w:cs="Sylfaen"/>
        </w:rPr>
        <w:t>ხელით</w:t>
      </w:r>
      <w:r w:rsidRPr="003D733D">
        <w:t xml:space="preserve">, </w:t>
      </w:r>
      <w:r w:rsidRPr="003D733D">
        <w:rPr>
          <w:rFonts w:ascii="Sylfaen" w:hAnsi="Sylfaen" w:cs="Sylfaen"/>
        </w:rPr>
        <w:t>სანამ</w:t>
      </w:r>
      <w:r w:rsidRPr="003D733D">
        <w:t xml:space="preserve"> </w:t>
      </w:r>
      <w:r w:rsidRPr="003D733D">
        <w:rPr>
          <w:rFonts w:ascii="Sylfaen" w:hAnsi="Sylfaen" w:cs="Sylfaen"/>
        </w:rPr>
        <w:t>არ</w:t>
      </w:r>
      <w:r w:rsidRPr="003D733D">
        <w:t xml:space="preserve"> </w:t>
      </w:r>
      <w:r w:rsidRPr="003D733D">
        <w:rPr>
          <w:rFonts w:ascii="Sylfaen" w:hAnsi="Sylfaen" w:cs="Sylfaen"/>
        </w:rPr>
        <w:t>მოხდება</w:t>
      </w:r>
      <w:r w:rsidRPr="003D733D">
        <w:t xml:space="preserve"> </w:t>
      </w:r>
      <w:r w:rsidRPr="003D733D">
        <w:rPr>
          <w:rFonts w:ascii="Sylfaen" w:hAnsi="Sylfaen" w:cs="Sylfaen"/>
        </w:rPr>
        <w:t>მისი</w:t>
      </w:r>
      <w:r w:rsidRPr="003D733D">
        <w:t xml:space="preserve"> </w:t>
      </w:r>
      <w:r w:rsidRPr="003D733D">
        <w:rPr>
          <w:rFonts w:ascii="Sylfaen" w:hAnsi="Sylfaen" w:cs="Sylfaen"/>
        </w:rPr>
        <w:t>იმობილიზაცია</w:t>
      </w:r>
      <w:r w:rsidRPr="003D733D">
        <w:t xml:space="preserve"> (</w:t>
      </w:r>
      <w:r w:rsidRPr="003D733D">
        <w:rPr>
          <w:rFonts w:ascii="Sylfaen" w:hAnsi="Sylfaen" w:cs="Sylfaen"/>
        </w:rPr>
        <w:t>ფიქსაცია</w:t>
      </w:r>
      <w:r w:rsidRPr="003D733D">
        <w:t>);</w:t>
      </w:r>
    </w:p>
    <w:p w14:paraId="657D0999" w14:textId="77777777" w:rsidR="00A2588D" w:rsidRPr="003D733D" w:rsidRDefault="00A2588D" w:rsidP="00A2588D">
      <w:r w:rsidRPr="003D733D">
        <w:rPr>
          <w:rFonts w:ascii="Sylfaen" w:hAnsi="Sylfaen" w:cs="Sylfaen"/>
        </w:rPr>
        <w:t>კარგი</w:t>
      </w:r>
      <w:r w:rsidRPr="003D733D">
        <w:t xml:space="preserve"> </w:t>
      </w:r>
      <w:r w:rsidRPr="003D733D">
        <w:rPr>
          <w:rFonts w:ascii="Sylfaen" w:hAnsi="Sylfaen" w:cs="Sylfaen"/>
        </w:rPr>
        <w:t>ფიქსაციისათვის</w:t>
      </w:r>
      <w:r w:rsidRPr="003D733D">
        <w:t xml:space="preserve"> </w:t>
      </w:r>
      <w:r w:rsidRPr="003D733D">
        <w:rPr>
          <w:rFonts w:ascii="Sylfaen" w:hAnsi="Sylfaen" w:cs="Sylfaen"/>
        </w:rPr>
        <w:t>დაამაგრეთ</w:t>
      </w:r>
      <w:r w:rsidRPr="003D733D">
        <w:t xml:space="preserve"> </w:t>
      </w:r>
      <w:r w:rsidRPr="003D733D">
        <w:rPr>
          <w:rFonts w:ascii="Sylfaen" w:hAnsi="Sylfaen" w:cs="Sylfaen"/>
        </w:rPr>
        <w:t>სხეულის</w:t>
      </w:r>
      <w:r w:rsidRPr="003D733D">
        <w:t xml:space="preserve"> </w:t>
      </w:r>
      <w:r w:rsidRPr="003D733D">
        <w:rPr>
          <w:rFonts w:ascii="Sylfaen" w:hAnsi="Sylfaen" w:cs="Sylfaen"/>
        </w:rPr>
        <w:t>დაზიანებული</w:t>
      </w:r>
      <w:r w:rsidRPr="003D733D">
        <w:t xml:space="preserve"> </w:t>
      </w:r>
      <w:r w:rsidRPr="003D733D">
        <w:rPr>
          <w:rFonts w:ascii="Sylfaen" w:hAnsi="Sylfaen" w:cs="Sylfaen"/>
        </w:rPr>
        <w:t>ნაწილი</w:t>
      </w:r>
      <w:r w:rsidRPr="003D733D">
        <w:t xml:space="preserve"> </w:t>
      </w:r>
      <w:r w:rsidRPr="003D733D">
        <w:rPr>
          <w:rFonts w:ascii="Sylfaen" w:hAnsi="Sylfaen" w:cs="Sylfaen"/>
        </w:rPr>
        <w:t>დაუზიანებელზე</w:t>
      </w:r>
      <w:r w:rsidRPr="003D733D">
        <w:t xml:space="preserve">. </w:t>
      </w:r>
      <w:r w:rsidRPr="003D733D">
        <w:rPr>
          <w:rFonts w:ascii="Sylfaen" w:hAnsi="Sylfaen" w:cs="Sylfaen"/>
        </w:rPr>
        <w:t>თუ</w:t>
      </w:r>
      <w:r w:rsidRPr="003D733D">
        <w:t xml:space="preserve"> </w:t>
      </w:r>
      <w:r w:rsidRPr="003D733D">
        <w:rPr>
          <w:rFonts w:ascii="Sylfaen" w:hAnsi="Sylfaen" w:cs="Sylfaen"/>
        </w:rPr>
        <w:t>მოტეხილობა</w:t>
      </w:r>
      <w:r w:rsidRPr="003D733D">
        <w:t xml:space="preserve"> </w:t>
      </w:r>
      <w:r w:rsidRPr="003D733D">
        <w:rPr>
          <w:rFonts w:ascii="Sylfaen" w:hAnsi="Sylfaen" w:cs="Sylfaen"/>
        </w:rPr>
        <w:t>არის</w:t>
      </w:r>
      <w:r w:rsidRPr="003D733D">
        <w:t xml:space="preserve"> </w:t>
      </w:r>
      <w:r w:rsidRPr="003D733D">
        <w:rPr>
          <w:rFonts w:ascii="Sylfaen" w:hAnsi="Sylfaen" w:cs="Sylfaen"/>
        </w:rPr>
        <w:t>ხელზე</w:t>
      </w:r>
      <w:r w:rsidRPr="003D733D">
        <w:t xml:space="preserve"> </w:t>
      </w:r>
      <w:r w:rsidRPr="003D733D">
        <w:rPr>
          <w:rFonts w:ascii="Sylfaen" w:hAnsi="Sylfaen" w:cs="Sylfaen"/>
        </w:rPr>
        <w:t>დააფიქსირეთ</w:t>
      </w:r>
      <w:r w:rsidRPr="003D733D">
        <w:t xml:space="preserve"> </w:t>
      </w:r>
      <w:r w:rsidRPr="003D733D">
        <w:rPr>
          <w:rFonts w:ascii="Sylfaen" w:hAnsi="Sylfaen" w:cs="Sylfaen"/>
        </w:rPr>
        <w:t>ის</w:t>
      </w:r>
      <w:r w:rsidRPr="003D733D">
        <w:t xml:space="preserve"> </w:t>
      </w:r>
      <w:r w:rsidRPr="003D733D">
        <w:rPr>
          <w:rFonts w:ascii="Sylfaen" w:hAnsi="Sylfaen" w:cs="Sylfaen"/>
        </w:rPr>
        <w:t>სხეულზე</w:t>
      </w:r>
      <w:r w:rsidRPr="003D733D">
        <w:t xml:space="preserve"> </w:t>
      </w:r>
      <w:r w:rsidRPr="003D733D">
        <w:rPr>
          <w:rFonts w:ascii="Sylfaen" w:hAnsi="Sylfaen" w:cs="Sylfaen"/>
        </w:rPr>
        <w:t>სამკუთხა</w:t>
      </w:r>
      <w:r w:rsidRPr="003D733D">
        <w:t xml:space="preserve"> </w:t>
      </w:r>
      <w:r w:rsidRPr="003D733D">
        <w:rPr>
          <w:rFonts w:ascii="Sylfaen" w:hAnsi="Sylfaen" w:cs="Sylfaen"/>
        </w:rPr>
        <w:t>ნახვევის</w:t>
      </w:r>
      <w:r w:rsidRPr="003D733D">
        <w:t xml:space="preserve"> </w:t>
      </w:r>
      <w:r w:rsidRPr="003D733D">
        <w:rPr>
          <w:rFonts w:ascii="Sylfaen" w:hAnsi="Sylfaen" w:cs="Sylfaen"/>
        </w:rPr>
        <w:t>საშუალებით</w:t>
      </w:r>
      <w:r w:rsidRPr="003D733D">
        <w:t xml:space="preserve">. </w:t>
      </w:r>
      <w:r w:rsidRPr="003D733D">
        <w:rPr>
          <w:rFonts w:ascii="Sylfaen" w:hAnsi="Sylfaen" w:cs="Sylfaen"/>
        </w:rPr>
        <w:t>ფეხზე</w:t>
      </w:r>
      <w:r w:rsidRPr="003D733D">
        <w:t xml:space="preserve"> </w:t>
      </w:r>
      <w:r w:rsidRPr="003D733D">
        <w:rPr>
          <w:rFonts w:ascii="Sylfaen" w:hAnsi="Sylfaen" w:cs="Sylfaen"/>
        </w:rPr>
        <w:t>მოტეხილობის</w:t>
      </w:r>
      <w:r w:rsidRPr="003D733D">
        <w:t xml:space="preserve"> </w:t>
      </w:r>
      <w:r w:rsidRPr="003D733D">
        <w:rPr>
          <w:rFonts w:ascii="Sylfaen" w:hAnsi="Sylfaen" w:cs="Sylfaen"/>
        </w:rPr>
        <w:t>არსებობისას</w:t>
      </w:r>
      <w:r w:rsidRPr="003D733D">
        <w:t xml:space="preserve"> </w:t>
      </w:r>
      <w:r w:rsidRPr="003D733D">
        <w:rPr>
          <w:rFonts w:ascii="Sylfaen" w:hAnsi="Sylfaen" w:cs="Sylfaen"/>
        </w:rPr>
        <w:t>დააფიქსირეთ</w:t>
      </w:r>
      <w:r w:rsidRPr="003D733D">
        <w:t xml:space="preserve"> </w:t>
      </w:r>
      <w:r w:rsidRPr="003D733D">
        <w:rPr>
          <w:rFonts w:ascii="Sylfaen" w:hAnsi="Sylfaen" w:cs="Sylfaen"/>
        </w:rPr>
        <w:t>დაზიანებული</w:t>
      </w:r>
      <w:r w:rsidRPr="003D733D">
        <w:t xml:space="preserve"> </w:t>
      </w:r>
      <w:r w:rsidRPr="003D733D">
        <w:rPr>
          <w:rFonts w:ascii="Sylfaen" w:hAnsi="Sylfaen" w:cs="Sylfaen"/>
        </w:rPr>
        <w:t>ფეხი</w:t>
      </w:r>
      <w:r w:rsidRPr="003D733D">
        <w:t xml:space="preserve"> </w:t>
      </w:r>
      <w:r w:rsidRPr="003D733D">
        <w:rPr>
          <w:rFonts w:ascii="Sylfaen" w:hAnsi="Sylfaen" w:cs="Sylfaen"/>
        </w:rPr>
        <w:t>მეორეზე</w:t>
      </w:r>
      <w:r w:rsidRPr="003D733D">
        <w:t xml:space="preserve">. </w:t>
      </w:r>
      <w:r w:rsidRPr="003D733D">
        <w:rPr>
          <w:rFonts w:ascii="Sylfaen" w:hAnsi="Sylfaen" w:cs="Sylfaen"/>
        </w:rPr>
        <w:t>შეკარით</w:t>
      </w:r>
      <w:r w:rsidRPr="003D733D">
        <w:t xml:space="preserve"> </w:t>
      </w:r>
      <w:r w:rsidRPr="003D733D">
        <w:rPr>
          <w:rFonts w:ascii="Sylfaen" w:hAnsi="Sylfaen" w:cs="Sylfaen"/>
        </w:rPr>
        <w:t>კვანძები</w:t>
      </w:r>
      <w:r w:rsidRPr="003D733D">
        <w:t xml:space="preserve"> </w:t>
      </w:r>
      <w:r w:rsidRPr="003D733D">
        <w:rPr>
          <w:rFonts w:ascii="Sylfaen" w:hAnsi="Sylfaen" w:cs="Sylfaen"/>
        </w:rPr>
        <w:t>დაუზიანებელი</w:t>
      </w:r>
      <w:r w:rsidRPr="003D733D">
        <w:t xml:space="preserve"> </w:t>
      </w:r>
      <w:r w:rsidRPr="003D733D">
        <w:rPr>
          <w:rFonts w:ascii="Sylfaen" w:hAnsi="Sylfaen" w:cs="Sylfaen"/>
        </w:rPr>
        <w:t>ფეხის</w:t>
      </w:r>
      <w:r w:rsidRPr="003D733D">
        <w:t xml:space="preserve"> </w:t>
      </w:r>
      <w:r w:rsidRPr="003D733D">
        <w:rPr>
          <w:rFonts w:ascii="Sylfaen" w:hAnsi="Sylfaen" w:cs="Sylfaen"/>
        </w:rPr>
        <w:t>მხრიდან</w:t>
      </w:r>
      <w:r w:rsidRPr="003D733D">
        <w:t>;</w:t>
      </w:r>
    </w:p>
    <w:p w14:paraId="08E60C93" w14:textId="77777777" w:rsidR="00A2588D" w:rsidRPr="003D733D" w:rsidRDefault="00A2588D" w:rsidP="00A2588D">
      <w:r w:rsidRPr="003D733D">
        <w:rPr>
          <w:rFonts w:ascii="Sylfaen" w:hAnsi="Sylfaen" w:cs="Sylfaen"/>
        </w:rPr>
        <w:t>შეამოწმეთ</w:t>
      </w:r>
      <w:r w:rsidRPr="003D733D">
        <w:t xml:space="preserve"> </w:t>
      </w:r>
      <w:r w:rsidRPr="003D733D">
        <w:rPr>
          <w:rFonts w:ascii="Sylfaen" w:hAnsi="Sylfaen" w:cs="Sylfaen"/>
        </w:rPr>
        <w:t>პულსი</w:t>
      </w:r>
      <w:r w:rsidRPr="003D733D">
        <w:t xml:space="preserve">, </w:t>
      </w:r>
      <w:r w:rsidRPr="003D733D">
        <w:rPr>
          <w:rFonts w:ascii="Sylfaen" w:hAnsi="Sylfaen" w:cs="Sylfaen"/>
        </w:rPr>
        <w:t>მგრძნობელობა</w:t>
      </w:r>
      <w:r w:rsidRPr="003D733D">
        <w:t xml:space="preserve"> </w:t>
      </w:r>
      <w:r w:rsidRPr="003D733D">
        <w:rPr>
          <w:rFonts w:ascii="Sylfaen" w:hAnsi="Sylfaen" w:cs="Sylfaen"/>
        </w:rPr>
        <w:t>და</w:t>
      </w:r>
      <w:r w:rsidRPr="003D733D">
        <w:t xml:space="preserve"> </w:t>
      </w:r>
      <w:r w:rsidRPr="003D733D">
        <w:rPr>
          <w:rFonts w:ascii="Sylfaen" w:hAnsi="Sylfaen" w:cs="Sylfaen"/>
        </w:rPr>
        <w:t>კაპილარული</w:t>
      </w:r>
      <w:r w:rsidRPr="003D733D">
        <w:t xml:space="preserve"> </w:t>
      </w:r>
      <w:r w:rsidRPr="003D733D">
        <w:rPr>
          <w:rFonts w:ascii="Sylfaen" w:hAnsi="Sylfaen" w:cs="Sylfaen"/>
        </w:rPr>
        <w:t>ავსება</w:t>
      </w:r>
      <w:r w:rsidRPr="003D733D">
        <w:t xml:space="preserve"> </w:t>
      </w:r>
      <w:r w:rsidRPr="003D733D">
        <w:rPr>
          <w:rFonts w:ascii="Sylfaen" w:hAnsi="Sylfaen" w:cs="Sylfaen"/>
        </w:rPr>
        <w:t>ნახვევის</w:t>
      </w:r>
      <w:r w:rsidRPr="003D733D">
        <w:t xml:space="preserve"> </w:t>
      </w:r>
      <w:r w:rsidRPr="003D733D">
        <w:rPr>
          <w:rFonts w:ascii="Sylfaen" w:hAnsi="Sylfaen" w:cs="Sylfaen"/>
        </w:rPr>
        <w:t>ქვემოთ</w:t>
      </w:r>
      <w:r w:rsidRPr="003D733D">
        <w:t xml:space="preserve"> </w:t>
      </w:r>
      <w:r w:rsidRPr="003D733D">
        <w:rPr>
          <w:rFonts w:ascii="Sylfaen" w:hAnsi="Sylfaen" w:cs="Sylfaen"/>
        </w:rPr>
        <w:t>ყოველ</w:t>
      </w:r>
      <w:r w:rsidRPr="003D733D">
        <w:t xml:space="preserve"> 10 </w:t>
      </w:r>
      <w:r w:rsidRPr="003D733D">
        <w:rPr>
          <w:rFonts w:ascii="Sylfaen" w:hAnsi="Sylfaen" w:cs="Sylfaen"/>
        </w:rPr>
        <w:t>წთ</w:t>
      </w:r>
      <w:r w:rsidRPr="003D733D">
        <w:t>-</w:t>
      </w:r>
      <w:r w:rsidRPr="003D733D">
        <w:rPr>
          <w:rFonts w:ascii="Sylfaen" w:hAnsi="Sylfaen" w:cs="Sylfaen"/>
        </w:rPr>
        <w:t>ში</w:t>
      </w:r>
      <w:r w:rsidRPr="003D733D">
        <w:t xml:space="preserve"> </w:t>
      </w:r>
      <w:r w:rsidRPr="003D733D">
        <w:rPr>
          <w:rFonts w:ascii="Sylfaen" w:hAnsi="Sylfaen" w:cs="Sylfaen"/>
        </w:rPr>
        <w:t>ერთხელ</w:t>
      </w:r>
      <w:r w:rsidRPr="003D733D">
        <w:t xml:space="preserve">. </w:t>
      </w:r>
      <w:r w:rsidRPr="003D733D">
        <w:rPr>
          <w:rFonts w:ascii="Sylfaen" w:hAnsi="Sylfaen" w:cs="Sylfaen"/>
        </w:rPr>
        <w:t>თუ</w:t>
      </w:r>
      <w:r w:rsidRPr="003D733D">
        <w:t xml:space="preserve"> </w:t>
      </w:r>
      <w:r w:rsidRPr="003D733D">
        <w:rPr>
          <w:rFonts w:ascii="Sylfaen" w:hAnsi="Sylfaen" w:cs="Sylfaen"/>
        </w:rPr>
        <w:t>სისხლის</w:t>
      </w:r>
      <w:r w:rsidRPr="003D733D">
        <w:t xml:space="preserve"> </w:t>
      </w:r>
      <w:r w:rsidRPr="003D733D">
        <w:rPr>
          <w:rFonts w:ascii="Sylfaen" w:hAnsi="Sylfaen" w:cs="Sylfaen"/>
        </w:rPr>
        <w:t>მიმოქცევა</w:t>
      </w:r>
      <w:r w:rsidRPr="003D733D">
        <w:t xml:space="preserve"> </w:t>
      </w:r>
      <w:r w:rsidRPr="003D733D">
        <w:rPr>
          <w:rFonts w:ascii="Sylfaen" w:hAnsi="Sylfaen" w:cs="Sylfaen"/>
        </w:rPr>
        <w:t>ან</w:t>
      </w:r>
      <w:r w:rsidRPr="003D733D">
        <w:t xml:space="preserve"> </w:t>
      </w:r>
      <w:r w:rsidRPr="003D733D">
        <w:rPr>
          <w:rFonts w:ascii="Sylfaen" w:hAnsi="Sylfaen" w:cs="Sylfaen"/>
        </w:rPr>
        <w:t>მგრძნობელობა</w:t>
      </w:r>
      <w:r w:rsidRPr="003D733D">
        <w:t xml:space="preserve"> </w:t>
      </w:r>
      <w:r w:rsidRPr="003D733D">
        <w:rPr>
          <w:rFonts w:ascii="Sylfaen" w:hAnsi="Sylfaen" w:cs="Sylfaen"/>
        </w:rPr>
        <w:t>დაქვეითებულია</w:t>
      </w:r>
      <w:r w:rsidRPr="003D733D">
        <w:t xml:space="preserve">, </w:t>
      </w:r>
      <w:r w:rsidRPr="003D733D">
        <w:rPr>
          <w:rFonts w:ascii="Sylfaen" w:hAnsi="Sylfaen" w:cs="Sylfaen"/>
        </w:rPr>
        <w:t>დაადეთ</w:t>
      </w:r>
      <w:r w:rsidRPr="003D733D">
        <w:t xml:space="preserve"> </w:t>
      </w:r>
      <w:r w:rsidRPr="003D733D">
        <w:rPr>
          <w:rFonts w:ascii="Sylfaen" w:hAnsi="Sylfaen" w:cs="Sylfaen"/>
        </w:rPr>
        <w:t>ნაკლებ</w:t>
      </w:r>
      <w:r w:rsidRPr="003D733D">
        <w:t xml:space="preserve"> </w:t>
      </w:r>
      <w:r w:rsidRPr="003D733D">
        <w:rPr>
          <w:rFonts w:ascii="Sylfaen" w:hAnsi="Sylfaen" w:cs="Sylfaen"/>
        </w:rPr>
        <w:t>მჭიდრო</w:t>
      </w:r>
      <w:r w:rsidRPr="003D733D">
        <w:t xml:space="preserve"> </w:t>
      </w:r>
      <w:r w:rsidRPr="003D733D">
        <w:rPr>
          <w:rFonts w:ascii="Sylfaen" w:hAnsi="Sylfaen" w:cs="Sylfaen"/>
        </w:rPr>
        <w:t>ნახვევი</w:t>
      </w:r>
      <w:r w:rsidRPr="003D733D">
        <w:t>.</w:t>
      </w:r>
    </w:p>
    <w:p w14:paraId="7C7D1CA5" w14:textId="77777777" w:rsidR="00A2588D" w:rsidRPr="003D733D" w:rsidRDefault="00A2588D" w:rsidP="00A2588D"/>
    <w:p w14:paraId="66C0DD73" w14:textId="77777777" w:rsidR="00A2588D" w:rsidRPr="003D733D" w:rsidRDefault="00A2588D" w:rsidP="00A2588D">
      <w:r w:rsidRPr="003D733D">
        <w:rPr>
          <w:rFonts w:ascii="Sylfaen" w:hAnsi="Sylfaen" w:cs="Sylfaen"/>
        </w:rPr>
        <w:t>არსებობს</w:t>
      </w:r>
      <w:r w:rsidRPr="003D733D">
        <w:t xml:space="preserve"> </w:t>
      </w:r>
      <w:r w:rsidRPr="003D733D">
        <w:rPr>
          <w:rFonts w:ascii="Sylfaen" w:hAnsi="Sylfaen" w:cs="Sylfaen"/>
        </w:rPr>
        <w:t>სამი</w:t>
      </w:r>
      <w:r w:rsidRPr="003D733D">
        <w:t xml:space="preserve"> </w:t>
      </w:r>
      <w:r w:rsidRPr="003D733D">
        <w:rPr>
          <w:rFonts w:ascii="Sylfaen" w:hAnsi="Sylfaen" w:cs="Sylfaen"/>
        </w:rPr>
        <w:t>სახის</w:t>
      </w:r>
      <w:r w:rsidRPr="003D733D">
        <w:t xml:space="preserve"> </w:t>
      </w:r>
      <w:r w:rsidRPr="003D733D">
        <w:rPr>
          <w:rFonts w:ascii="Sylfaen" w:hAnsi="Sylfaen" w:cs="Sylfaen"/>
        </w:rPr>
        <w:t>სისხლდენა</w:t>
      </w:r>
      <w:r w:rsidRPr="003D733D">
        <w:t>:</w:t>
      </w:r>
    </w:p>
    <w:p w14:paraId="0FFC7A31" w14:textId="77777777" w:rsidR="00A2588D" w:rsidRPr="003D733D" w:rsidRDefault="00A2588D" w:rsidP="00A2588D">
      <w:r w:rsidRPr="003D733D">
        <w:rPr>
          <w:rFonts w:ascii="Sylfaen" w:hAnsi="Sylfaen" w:cs="Sylfaen"/>
        </w:rPr>
        <w:t>სისხლი</w:t>
      </w:r>
      <w:r w:rsidRPr="003D733D">
        <w:t xml:space="preserve"> </w:t>
      </w:r>
      <w:r w:rsidRPr="003D733D">
        <w:rPr>
          <w:rFonts w:ascii="Sylfaen" w:hAnsi="Sylfaen" w:cs="Sylfaen"/>
        </w:rPr>
        <w:t>ცოტაა</w:t>
      </w:r>
      <w:r w:rsidRPr="003D733D">
        <w:t xml:space="preserve">. </w:t>
      </w:r>
      <w:r w:rsidRPr="003D733D">
        <w:rPr>
          <w:rFonts w:ascii="Sylfaen" w:hAnsi="Sylfaen" w:cs="Sylfaen"/>
        </w:rPr>
        <w:t>ამ</w:t>
      </w:r>
      <w:r w:rsidRPr="003D733D">
        <w:t xml:space="preserve"> </w:t>
      </w:r>
      <w:r w:rsidRPr="003D733D">
        <w:rPr>
          <w:rFonts w:ascii="Sylfaen" w:hAnsi="Sylfaen" w:cs="Sylfaen"/>
        </w:rPr>
        <w:t>დროს</w:t>
      </w:r>
      <w:r w:rsidRPr="003D733D">
        <w:t xml:space="preserve"> </w:t>
      </w:r>
      <w:r w:rsidRPr="003D733D">
        <w:rPr>
          <w:rFonts w:ascii="Sylfaen" w:hAnsi="Sylfaen" w:cs="Sylfaen"/>
        </w:rPr>
        <w:t>ინფექციის</w:t>
      </w:r>
      <w:r w:rsidRPr="003D733D">
        <w:t xml:space="preserve"> </w:t>
      </w:r>
      <w:r w:rsidRPr="003D733D">
        <w:rPr>
          <w:rFonts w:ascii="Sylfaen" w:hAnsi="Sylfaen" w:cs="Sylfaen"/>
        </w:rPr>
        <w:t>საშიშროება</w:t>
      </w:r>
      <w:r w:rsidRPr="003D733D">
        <w:t xml:space="preserve"> </w:t>
      </w:r>
      <w:r w:rsidRPr="003D733D">
        <w:rPr>
          <w:rFonts w:ascii="Sylfaen" w:hAnsi="Sylfaen" w:cs="Sylfaen"/>
        </w:rPr>
        <w:t>მეტია</w:t>
      </w:r>
      <w:r w:rsidRPr="003D733D">
        <w:t>:</w:t>
      </w:r>
    </w:p>
    <w:p w14:paraId="63E8757A" w14:textId="77777777" w:rsidR="00A2588D" w:rsidRPr="003D733D" w:rsidRDefault="00A2588D" w:rsidP="00A2588D">
      <w:r w:rsidRPr="003D733D">
        <w:rPr>
          <w:rFonts w:ascii="Sylfaen" w:hAnsi="Sylfaen" w:cs="Sylfaen"/>
        </w:rPr>
        <w:t>დაშავებულს</w:t>
      </w:r>
      <w:r w:rsidRPr="003D733D">
        <w:t xml:space="preserve"> </w:t>
      </w:r>
      <w:r w:rsidRPr="003D733D">
        <w:rPr>
          <w:rFonts w:ascii="Sylfaen" w:hAnsi="Sylfaen" w:cs="Sylfaen"/>
        </w:rPr>
        <w:t>მობანეთ</w:t>
      </w:r>
      <w:r w:rsidRPr="003D733D">
        <w:t xml:space="preserve"> </w:t>
      </w:r>
      <w:r w:rsidRPr="003D733D">
        <w:rPr>
          <w:rFonts w:ascii="Sylfaen" w:hAnsi="Sylfaen" w:cs="Sylfaen"/>
        </w:rPr>
        <w:t>ჭრილობა</w:t>
      </w:r>
      <w:r w:rsidRPr="003D733D">
        <w:t xml:space="preserve"> </w:t>
      </w:r>
      <w:r w:rsidRPr="003D733D">
        <w:rPr>
          <w:rFonts w:ascii="Sylfaen" w:hAnsi="Sylfaen" w:cs="Sylfaen"/>
        </w:rPr>
        <w:t>დასალევად</w:t>
      </w:r>
      <w:r w:rsidRPr="003D733D">
        <w:t xml:space="preserve"> </w:t>
      </w:r>
      <w:r w:rsidRPr="003D733D">
        <w:rPr>
          <w:rFonts w:ascii="Sylfaen" w:hAnsi="Sylfaen" w:cs="Sylfaen"/>
        </w:rPr>
        <w:t>ვარგისი</w:t>
      </w:r>
      <w:r w:rsidRPr="003D733D">
        <w:t xml:space="preserve"> </w:t>
      </w:r>
      <w:r w:rsidRPr="003D733D">
        <w:rPr>
          <w:rFonts w:ascii="Sylfaen" w:hAnsi="Sylfaen" w:cs="Sylfaen"/>
        </w:rPr>
        <w:t>ნებისმიერი</w:t>
      </w:r>
      <w:r w:rsidRPr="003D733D">
        <w:t xml:space="preserve"> </w:t>
      </w:r>
      <w:r w:rsidRPr="003D733D">
        <w:rPr>
          <w:rFonts w:ascii="Sylfaen" w:hAnsi="Sylfaen" w:cs="Sylfaen"/>
        </w:rPr>
        <w:t>უფერო</w:t>
      </w:r>
      <w:r w:rsidRPr="003D733D">
        <w:t xml:space="preserve"> </w:t>
      </w:r>
      <w:r w:rsidRPr="003D733D">
        <w:rPr>
          <w:rFonts w:ascii="Sylfaen" w:hAnsi="Sylfaen" w:cs="Sylfaen"/>
        </w:rPr>
        <w:t>სითხით</w:t>
      </w:r>
      <w:r w:rsidRPr="003D733D">
        <w:t>;</w:t>
      </w:r>
    </w:p>
    <w:p w14:paraId="67EFB4B1" w14:textId="77777777" w:rsidR="00A2588D" w:rsidRPr="003D733D" w:rsidRDefault="00A2588D" w:rsidP="00A2588D">
      <w:r w:rsidRPr="003D733D">
        <w:rPr>
          <w:rFonts w:ascii="Sylfaen" w:hAnsi="Sylfaen" w:cs="Sylfaen"/>
        </w:rPr>
        <w:t>შეახვიეთ</w:t>
      </w:r>
      <w:r w:rsidRPr="003D733D">
        <w:t xml:space="preserve"> </w:t>
      </w:r>
      <w:r w:rsidRPr="003D733D">
        <w:rPr>
          <w:rFonts w:ascii="Sylfaen" w:hAnsi="Sylfaen" w:cs="Sylfaen"/>
        </w:rPr>
        <w:t>ჭრილობა</w:t>
      </w:r>
      <w:r w:rsidRPr="003D733D">
        <w:t xml:space="preserve"> </w:t>
      </w:r>
      <w:r w:rsidRPr="003D733D">
        <w:rPr>
          <w:rFonts w:ascii="Sylfaen" w:hAnsi="Sylfaen" w:cs="Sylfaen"/>
        </w:rPr>
        <w:t>სუფთა</w:t>
      </w:r>
      <w:r w:rsidRPr="003D733D">
        <w:t xml:space="preserve"> </w:t>
      </w:r>
      <w:r w:rsidRPr="003D733D">
        <w:rPr>
          <w:rFonts w:ascii="Sylfaen" w:hAnsi="Sylfaen" w:cs="Sylfaen"/>
        </w:rPr>
        <w:t>ქსოვილით</w:t>
      </w:r>
      <w:r w:rsidRPr="003D733D">
        <w:t>;</w:t>
      </w:r>
    </w:p>
    <w:p w14:paraId="71F3CF4D" w14:textId="77777777" w:rsidR="00A2588D" w:rsidRPr="003D733D" w:rsidRDefault="00A2588D" w:rsidP="00A2588D">
      <w:r w:rsidRPr="003D733D">
        <w:rPr>
          <w:rFonts w:ascii="Sylfaen" w:hAnsi="Sylfaen" w:cs="Sylfaen"/>
        </w:rPr>
        <w:t>სისხლი</w:t>
      </w:r>
      <w:r w:rsidRPr="003D733D">
        <w:t xml:space="preserve"> </w:t>
      </w:r>
      <w:r w:rsidRPr="003D733D">
        <w:rPr>
          <w:rFonts w:ascii="Sylfaen" w:hAnsi="Sylfaen" w:cs="Sylfaen"/>
        </w:rPr>
        <w:t>ბევრია</w:t>
      </w:r>
      <w:r w:rsidRPr="003D733D">
        <w:t xml:space="preserve">. </w:t>
      </w:r>
      <w:r w:rsidRPr="003D733D">
        <w:rPr>
          <w:rFonts w:ascii="Sylfaen" w:hAnsi="Sylfaen" w:cs="Sylfaen"/>
        </w:rPr>
        <w:t>ამ</w:t>
      </w:r>
      <w:r w:rsidRPr="003D733D">
        <w:t xml:space="preserve"> </w:t>
      </w:r>
      <w:r w:rsidRPr="003D733D">
        <w:rPr>
          <w:rFonts w:ascii="Sylfaen" w:hAnsi="Sylfaen" w:cs="Sylfaen"/>
        </w:rPr>
        <w:t>დროს</w:t>
      </w:r>
      <w:r w:rsidRPr="003D733D">
        <w:t xml:space="preserve"> </w:t>
      </w:r>
      <w:r w:rsidRPr="003D733D">
        <w:rPr>
          <w:rFonts w:ascii="Sylfaen" w:hAnsi="Sylfaen" w:cs="Sylfaen"/>
        </w:rPr>
        <w:t>არსებობს</w:t>
      </w:r>
      <w:r w:rsidRPr="003D733D">
        <w:t xml:space="preserve"> </w:t>
      </w:r>
      <w:r w:rsidRPr="003D733D">
        <w:rPr>
          <w:rFonts w:ascii="Sylfaen" w:hAnsi="Sylfaen" w:cs="Sylfaen"/>
        </w:rPr>
        <w:t>სისხლის</w:t>
      </w:r>
      <w:r w:rsidRPr="003D733D">
        <w:t xml:space="preserve"> </w:t>
      </w:r>
      <w:r w:rsidRPr="003D733D">
        <w:rPr>
          <w:rFonts w:ascii="Sylfaen" w:hAnsi="Sylfaen" w:cs="Sylfaen"/>
        </w:rPr>
        <w:t>დაკარგვის</w:t>
      </w:r>
      <w:r w:rsidRPr="003D733D">
        <w:t xml:space="preserve"> </w:t>
      </w:r>
      <w:r w:rsidRPr="003D733D">
        <w:rPr>
          <w:rFonts w:ascii="Sylfaen" w:hAnsi="Sylfaen" w:cs="Sylfaen"/>
        </w:rPr>
        <w:t>საშიშროება</w:t>
      </w:r>
      <w:r w:rsidRPr="003D733D">
        <w:t>:</w:t>
      </w:r>
    </w:p>
    <w:p w14:paraId="3164B77B" w14:textId="77777777" w:rsidR="00A2588D" w:rsidRPr="003D733D" w:rsidRDefault="00A2588D" w:rsidP="00A2588D">
      <w:r w:rsidRPr="003D733D">
        <w:rPr>
          <w:rFonts w:ascii="Sylfaen" w:hAnsi="Sylfaen" w:cs="Sylfaen"/>
        </w:rPr>
        <w:t>დააფარეთ</w:t>
      </w:r>
      <w:r w:rsidRPr="003D733D">
        <w:t xml:space="preserve"> </w:t>
      </w:r>
      <w:r w:rsidRPr="003D733D">
        <w:rPr>
          <w:rFonts w:ascii="Sylfaen" w:hAnsi="Sylfaen" w:cs="Sylfaen"/>
        </w:rPr>
        <w:t>ჭრილობას</w:t>
      </w:r>
      <w:r w:rsidRPr="003D733D">
        <w:t xml:space="preserve"> </w:t>
      </w:r>
      <w:r w:rsidRPr="003D733D">
        <w:rPr>
          <w:rFonts w:ascii="Sylfaen" w:hAnsi="Sylfaen" w:cs="Sylfaen"/>
        </w:rPr>
        <w:t>რამდენიმე</w:t>
      </w:r>
      <w:r w:rsidRPr="003D733D">
        <w:t xml:space="preserve"> </w:t>
      </w:r>
      <w:r w:rsidRPr="003D733D">
        <w:rPr>
          <w:rFonts w:ascii="Sylfaen" w:hAnsi="Sylfaen" w:cs="Sylfaen"/>
        </w:rPr>
        <w:t>ფენად</w:t>
      </w:r>
      <w:r w:rsidRPr="003D733D">
        <w:t xml:space="preserve"> </w:t>
      </w:r>
      <w:r w:rsidRPr="003D733D">
        <w:rPr>
          <w:rFonts w:ascii="Sylfaen" w:hAnsi="Sylfaen" w:cs="Sylfaen"/>
        </w:rPr>
        <w:t>გაკეცილი</w:t>
      </w:r>
      <w:r w:rsidRPr="003D733D">
        <w:t xml:space="preserve"> </w:t>
      </w:r>
      <w:r w:rsidRPr="003D733D">
        <w:rPr>
          <w:rFonts w:ascii="Sylfaen" w:hAnsi="Sylfaen" w:cs="Sylfaen"/>
        </w:rPr>
        <w:t>ქსოვილი</w:t>
      </w:r>
      <w:r w:rsidRPr="003D733D">
        <w:t xml:space="preserve"> </w:t>
      </w:r>
      <w:r w:rsidRPr="003D733D">
        <w:rPr>
          <w:rFonts w:ascii="Sylfaen" w:hAnsi="Sylfaen" w:cs="Sylfaen"/>
        </w:rPr>
        <w:t>და</w:t>
      </w:r>
      <w:r w:rsidRPr="003D733D">
        <w:t xml:space="preserve"> </w:t>
      </w:r>
      <w:r w:rsidRPr="003D733D">
        <w:rPr>
          <w:rFonts w:ascii="Sylfaen" w:hAnsi="Sylfaen" w:cs="Sylfaen"/>
        </w:rPr>
        <w:t>გააკეთეთ</w:t>
      </w:r>
      <w:r w:rsidRPr="003D733D">
        <w:t xml:space="preserve"> </w:t>
      </w:r>
      <w:r w:rsidRPr="003D733D">
        <w:rPr>
          <w:rFonts w:ascii="Sylfaen" w:hAnsi="Sylfaen" w:cs="Sylfaen"/>
        </w:rPr>
        <w:t>დამწოლი</w:t>
      </w:r>
      <w:r w:rsidRPr="003D733D">
        <w:t xml:space="preserve"> </w:t>
      </w:r>
      <w:r w:rsidRPr="003D733D">
        <w:rPr>
          <w:rFonts w:ascii="Sylfaen" w:hAnsi="Sylfaen" w:cs="Sylfaen"/>
        </w:rPr>
        <w:t>ნახვევი</w:t>
      </w:r>
      <w:r w:rsidRPr="003D733D">
        <w:t>;</w:t>
      </w:r>
    </w:p>
    <w:p w14:paraId="7FDFC2EB" w14:textId="77777777" w:rsidR="00A2588D" w:rsidRPr="003D733D" w:rsidRDefault="00A2588D" w:rsidP="00A2588D">
      <w:r w:rsidRPr="003D733D">
        <w:rPr>
          <w:rFonts w:ascii="Sylfaen" w:hAnsi="Sylfaen" w:cs="Sylfaen"/>
        </w:rPr>
        <w:t>თუ</w:t>
      </w:r>
      <w:r w:rsidRPr="003D733D">
        <w:t xml:space="preserve"> </w:t>
      </w:r>
      <w:r w:rsidRPr="003D733D">
        <w:rPr>
          <w:rFonts w:ascii="Sylfaen" w:hAnsi="Sylfaen" w:cs="Sylfaen"/>
        </w:rPr>
        <w:t>სისხლი</w:t>
      </w:r>
      <w:r w:rsidRPr="003D733D">
        <w:t xml:space="preserve"> </w:t>
      </w:r>
      <w:r w:rsidRPr="003D733D">
        <w:rPr>
          <w:rFonts w:ascii="Sylfaen" w:hAnsi="Sylfaen" w:cs="Sylfaen"/>
        </w:rPr>
        <w:t>ისევ</w:t>
      </w:r>
      <w:r w:rsidRPr="003D733D">
        <w:t xml:space="preserve"> </w:t>
      </w:r>
      <w:r w:rsidRPr="003D733D">
        <w:rPr>
          <w:rFonts w:ascii="Sylfaen" w:hAnsi="Sylfaen" w:cs="Sylfaen"/>
        </w:rPr>
        <w:t>ჟონავს</w:t>
      </w:r>
      <w:r w:rsidRPr="003D733D">
        <w:t xml:space="preserve">, </w:t>
      </w:r>
      <w:r w:rsidRPr="003D733D">
        <w:rPr>
          <w:rFonts w:ascii="Sylfaen" w:hAnsi="Sylfaen" w:cs="Sylfaen"/>
        </w:rPr>
        <w:t>ჭრილობაზე</w:t>
      </w:r>
      <w:r w:rsidRPr="003D733D">
        <w:t xml:space="preserve"> </w:t>
      </w:r>
      <w:r w:rsidRPr="003D733D">
        <w:rPr>
          <w:rFonts w:ascii="Sylfaen" w:hAnsi="Sylfaen" w:cs="Sylfaen"/>
        </w:rPr>
        <w:t>ქსოვილი</w:t>
      </w:r>
      <w:r w:rsidRPr="003D733D">
        <w:t xml:space="preserve"> </w:t>
      </w:r>
      <w:r w:rsidRPr="003D733D">
        <w:rPr>
          <w:rFonts w:ascii="Sylfaen" w:hAnsi="Sylfaen" w:cs="Sylfaen"/>
        </w:rPr>
        <w:t>კიდევ</w:t>
      </w:r>
      <w:r w:rsidRPr="003D733D">
        <w:t xml:space="preserve"> </w:t>
      </w:r>
      <w:r w:rsidRPr="003D733D">
        <w:rPr>
          <w:rFonts w:ascii="Sylfaen" w:hAnsi="Sylfaen" w:cs="Sylfaen"/>
        </w:rPr>
        <w:t>დაახვიეთ</w:t>
      </w:r>
      <w:r w:rsidRPr="003D733D">
        <w:t xml:space="preserve"> (</w:t>
      </w:r>
      <w:r w:rsidRPr="003D733D">
        <w:rPr>
          <w:rFonts w:ascii="Sylfaen" w:hAnsi="Sylfaen" w:cs="Sylfaen"/>
        </w:rPr>
        <w:t>სისხლით</w:t>
      </w:r>
      <w:r w:rsidRPr="003D733D">
        <w:t xml:space="preserve"> </w:t>
      </w:r>
      <w:r w:rsidRPr="003D733D">
        <w:rPr>
          <w:rFonts w:ascii="Sylfaen" w:hAnsi="Sylfaen" w:cs="Sylfaen"/>
        </w:rPr>
        <w:t>გაჟღენთილი</w:t>
      </w:r>
      <w:r w:rsidRPr="003D733D">
        <w:t xml:space="preserve"> </w:t>
      </w:r>
      <w:r w:rsidRPr="003D733D">
        <w:rPr>
          <w:rFonts w:ascii="Sylfaen" w:hAnsi="Sylfaen" w:cs="Sylfaen"/>
        </w:rPr>
        <w:t>ქსოვილი</w:t>
      </w:r>
      <w:r w:rsidRPr="003D733D">
        <w:t xml:space="preserve"> </w:t>
      </w:r>
      <w:r w:rsidRPr="003D733D">
        <w:rPr>
          <w:rFonts w:ascii="Sylfaen" w:hAnsi="Sylfaen" w:cs="Sylfaen"/>
        </w:rPr>
        <w:t>არ</w:t>
      </w:r>
      <w:r w:rsidRPr="003D733D">
        <w:t xml:space="preserve"> </w:t>
      </w:r>
      <w:r w:rsidRPr="003D733D">
        <w:rPr>
          <w:rFonts w:ascii="Sylfaen" w:hAnsi="Sylfaen" w:cs="Sylfaen"/>
        </w:rPr>
        <w:t>მოხსნათ</w:t>
      </w:r>
      <w:r w:rsidRPr="003D733D">
        <w:t xml:space="preserve">) </w:t>
      </w:r>
      <w:r w:rsidRPr="003D733D">
        <w:rPr>
          <w:rFonts w:ascii="Sylfaen" w:hAnsi="Sylfaen" w:cs="Sylfaen"/>
        </w:rPr>
        <w:t>და</w:t>
      </w:r>
      <w:r w:rsidRPr="003D733D">
        <w:t xml:space="preserve"> </w:t>
      </w:r>
      <w:r w:rsidRPr="003D733D">
        <w:rPr>
          <w:rFonts w:ascii="Sylfaen" w:hAnsi="Sylfaen" w:cs="Sylfaen"/>
        </w:rPr>
        <w:t>ძლიერად</w:t>
      </w:r>
      <w:r w:rsidRPr="003D733D">
        <w:t xml:space="preserve"> </w:t>
      </w:r>
      <w:r w:rsidRPr="003D733D">
        <w:rPr>
          <w:rFonts w:ascii="Sylfaen" w:hAnsi="Sylfaen" w:cs="Sylfaen"/>
        </w:rPr>
        <w:t>დააწექით</w:t>
      </w:r>
      <w:r w:rsidRPr="003D733D">
        <w:t xml:space="preserve"> </w:t>
      </w:r>
      <w:r w:rsidRPr="003D733D">
        <w:rPr>
          <w:rFonts w:ascii="Sylfaen" w:hAnsi="Sylfaen" w:cs="Sylfaen"/>
        </w:rPr>
        <w:t>სისხლმდინარ</w:t>
      </w:r>
      <w:r w:rsidRPr="003D733D">
        <w:t xml:space="preserve"> </w:t>
      </w:r>
      <w:r w:rsidRPr="003D733D">
        <w:rPr>
          <w:rFonts w:ascii="Sylfaen" w:hAnsi="Sylfaen" w:cs="Sylfaen"/>
        </w:rPr>
        <w:t>არეს</w:t>
      </w:r>
      <w:r w:rsidRPr="003D733D">
        <w:t>;</w:t>
      </w:r>
    </w:p>
    <w:p w14:paraId="4645BE63" w14:textId="77777777" w:rsidR="00A2588D" w:rsidRDefault="00A2588D" w:rsidP="00A2588D">
      <w:r w:rsidRPr="003D733D">
        <w:rPr>
          <w:rFonts w:ascii="Sylfaen" w:hAnsi="Sylfaen" w:cs="Sylfaen"/>
        </w:rPr>
        <w:t>ჭრილობიდან</w:t>
      </w:r>
      <w:r w:rsidRPr="003D733D">
        <w:t xml:space="preserve"> </w:t>
      </w:r>
      <w:r w:rsidRPr="003D733D">
        <w:rPr>
          <w:rFonts w:ascii="Sylfaen" w:hAnsi="Sylfaen" w:cs="Sylfaen"/>
        </w:rPr>
        <w:t>სისხლი</w:t>
      </w:r>
      <w:r w:rsidRPr="003D733D">
        <w:t xml:space="preserve"> </w:t>
      </w:r>
      <w:r w:rsidRPr="003D733D">
        <w:rPr>
          <w:rFonts w:ascii="Sylfaen" w:hAnsi="Sylfaen" w:cs="Sylfaen"/>
        </w:rPr>
        <w:t>შადრევანივით</w:t>
      </w:r>
      <w:r w:rsidRPr="003D733D">
        <w:t xml:space="preserve"> </w:t>
      </w:r>
      <w:r w:rsidRPr="003D733D">
        <w:rPr>
          <w:rFonts w:ascii="Sylfaen" w:hAnsi="Sylfaen" w:cs="Sylfaen"/>
        </w:rPr>
        <w:t>ასხამს</w:t>
      </w:r>
      <w:r w:rsidRPr="003D733D">
        <w:t xml:space="preserve">. </w:t>
      </w:r>
      <w:r w:rsidRPr="003D733D">
        <w:rPr>
          <w:rFonts w:ascii="Sylfaen" w:hAnsi="Sylfaen" w:cs="Sylfaen"/>
        </w:rPr>
        <w:t>ამ</w:t>
      </w:r>
      <w:r w:rsidRPr="003D733D">
        <w:t xml:space="preserve"> </w:t>
      </w:r>
      <w:r w:rsidRPr="003D733D">
        <w:rPr>
          <w:rFonts w:ascii="Sylfaen" w:hAnsi="Sylfaen" w:cs="Sylfaen"/>
        </w:rPr>
        <w:t>დროს</w:t>
      </w:r>
      <w:r w:rsidRPr="003D733D">
        <w:t xml:space="preserve"> </w:t>
      </w:r>
      <w:r w:rsidRPr="003D733D">
        <w:rPr>
          <w:rFonts w:ascii="Sylfaen" w:hAnsi="Sylfaen" w:cs="Sylfaen"/>
        </w:rPr>
        <w:t>სისხლი</w:t>
      </w:r>
      <w:r w:rsidRPr="003D733D">
        <w:t xml:space="preserve"> </w:t>
      </w:r>
      <w:r w:rsidRPr="003D733D">
        <w:rPr>
          <w:rFonts w:ascii="Sylfaen" w:hAnsi="Sylfaen" w:cs="Sylfaen"/>
        </w:rPr>
        <w:t>ძალიან</w:t>
      </w:r>
      <w:r w:rsidRPr="003D733D">
        <w:t xml:space="preserve"> </w:t>
      </w:r>
      <w:r w:rsidRPr="003D733D">
        <w:rPr>
          <w:rFonts w:ascii="Sylfaen" w:hAnsi="Sylfaen" w:cs="Sylfaen"/>
        </w:rPr>
        <w:t>სწრაფად</w:t>
      </w:r>
      <w:r w:rsidRPr="003D733D">
        <w:t xml:space="preserve"> </w:t>
      </w:r>
      <w:r w:rsidRPr="003D733D">
        <w:rPr>
          <w:rFonts w:ascii="Sylfaen" w:hAnsi="Sylfaen" w:cs="Sylfaen"/>
        </w:rPr>
        <w:t>იკარგება</w:t>
      </w:r>
      <w:r w:rsidRPr="003D733D">
        <w:t xml:space="preserve">. </w:t>
      </w:r>
      <w:r w:rsidRPr="003D733D">
        <w:rPr>
          <w:rFonts w:ascii="Sylfaen" w:hAnsi="Sylfaen" w:cs="Sylfaen"/>
        </w:rPr>
        <w:t>ამის</w:t>
      </w:r>
      <w:r w:rsidRPr="003D733D">
        <w:t xml:space="preserve"> </w:t>
      </w:r>
      <w:r w:rsidRPr="003D733D">
        <w:rPr>
          <w:rFonts w:ascii="Sylfaen" w:hAnsi="Sylfaen" w:cs="Sylfaen"/>
        </w:rPr>
        <w:t>თავიდან</w:t>
      </w:r>
      <w:r w:rsidRPr="003D733D">
        <w:t xml:space="preserve"> </w:t>
      </w:r>
      <w:r w:rsidRPr="003D733D">
        <w:rPr>
          <w:rFonts w:ascii="Sylfaen" w:hAnsi="Sylfaen" w:cs="Sylfaen"/>
        </w:rPr>
        <w:t>ასაცილებლად</w:t>
      </w:r>
      <w:r w:rsidRPr="003D733D">
        <w:t xml:space="preserve"> </w:t>
      </w:r>
      <w:r w:rsidRPr="003D733D">
        <w:rPr>
          <w:rFonts w:ascii="Sylfaen" w:hAnsi="Sylfaen" w:cs="Sylfaen"/>
        </w:rPr>
        <w:t>არტერიის</w:t>
      </w:r>
      <w:r w:rsidRPr="003D733D">
        <w:t xml:space="preserve"> </w:t>
      </w:r>
      <w:r w:rsidRPr="003D733D">
        <w:rPr>
          <w:rFonts w:ascii="Sylfaen" w:hAnsi="Sylfaen" w:cs="Sylfaen"/>
        </w:rPr>
        <w:t>საპროექციო</w:t>
      </w:r>
      <w:r w:rsidRPr="003D733D">
        <w:t xml:space="preserve"> </w:t>
      </w:r>
      <w:r w:rsidRPr="003D733D">
        <w:rPr>
          <w:rFonts w:ascii="Sylfaen" w:hAnsi="Sylfaen" w:cs="Sylfaen"/>
        </w:rPr>
        <w:t>არეს</w:t>
      </w:r>
      <w:r w:rsidRPr="003D733D">
        <w:t xml:space="preserve"> (</w:t>
      </w:r>
      <w:r w:rsidRPr="003D733D">
        <w:rPr>
          <w:rFonts w:ascii="Sylfaen" w:hAnsi="Sylfaen" w:cs="Sylfaen"/>
        </w:rPr>
        <w:t>ჭრილობის</w:t>
      </w:r>
      <w:r w:rsidRPr="003D733D">
        <w:t xml:space="preserve"> </w:t>
      </w:r>
      <w:r w:rsidRPr="003D733D">
        <w:rPr>
          <w:rFonts w:ascii="Sylfaen" w:hAnsi="Sylfaen" w:cs="Sylfaen"/>
        </w:rPr>
        <w:t>ზემოთ</w:t>
      </w:r>
      <w:r w:rsidRPr="003D733D">
        <w:t xml:space="preserve">) </w:t>
      </w:r>
      <w:r w:rsidRPr="003D733D">
        <w:rPr>
          <w:rFonts w:ascii="Sylfaen" w:hAnsi="Sylfaen" w:cs="Sylfaen"/>
        </w:rPr>
        <w:t>თითით</w:t>
      </w:r>
      <w:r w:rsidRPr="003D733D">
        <w:t xml:space="preserve"> (</w:t>
      </w:r>
      <w:r w:rsidRPr="003D733D">
        <w:rPr>
          <w:rFonts w:ascii="Sylfaen" w:hAnsi="Sylfaen" w:cs="Sylfaen"/>
        </w:rPr>
        <w:t>ან</w:t>
      </w:r>
      <w:r w:rsidRPr="003D733D">
        <w:t xml:space="preserve"> </w:t>
      </w:r>
      <w:r w:rsidRPr="003D733D">
        <w:rPr>
          <w:rFonts w:ascii="Sylfaen" w:hAnsi="Sylfaen" w:cs="Sylfaen"/>
        </w:rPr>
        <w:t>თითებით</w:t>
      </w:r>
      <w:r w:rsidRPr="003D733D">
        <w:t xml:space="preserve">) </w:t>
      </w:r>
      <w:r w:rsidRPr="003D733D">
        <w:rPr>
          <w:rFonts w:ascii="Sylfaen" w:hAnsi="Sylfaen" w:cs="Sylfaen"/>
        </w:rPr>
        <w:t>უნდა</w:t>
      </w:r>
      <w:r w:rsidRPr="003D733D">
        <w:t xml:space="preserve"> </w:t>
      </w:r>
      <w:r w:rsidRPr="003D733D">
        <w:rPr>
          <w:rFonts w:ascii="Sylfaen" w:hAnsi="Sylfaen" w:cs="Sylfaen"/>
        </w:rPr>
        <w:t>დააწვეთ</w:t>
      </w:r>
      <w:r w:rsidRPr="003D733D">
        <w:t xml:space="preserve">, </w:t>
      </w:r>
      <w:r w:rsidRPr="003D733D">
        <w:rPr>
          <w:rFonts w:ascii="Sylfaen" w:hAnsi="Sylfaen" w:cs="Sylfaen"/>
        </w:rPr>
        <w:t>შემდეგ</w:t>
      </w:r>
      <w:r>
        <w:t xml:space="preserve"> </w:t>
      </w:r>
      <w:r w:rsidRPr="003D733D">
        <w:rPr>
          <w:rFonts w:ascii="Sylfaen" w:hAnsi="Sylfaen" w:cs="Sylfaen"/>
        </w:rPr>
        <w:t>კი</w:t>
      </w:r>
      <w:r>
        <w:t xml:space="preserve"> </w:t>
      </w:r>
      <w:r w:rsidRPr="003D733D">
        <w:rPr>
          <w:rFonts w:ascii="Sylfaen" w:hAnsi="Sylfaen" w:cs="Sylfaen"/>
        </w:rPr>
        <w:t>ლახტი</w:t>
      </w:r>
      <w:r>
        <w:t xml:space="preserve"> </w:t>
      </w:r>
      <w:r w:rsidRPr="003D733D">
        <w:rPr>
          <w:rFonts w:ascii="Sylfaen" w:hAnsi="Sylfaen" w:cs="Sylfaen"/>
        </w:rPr>
        <w:t>დაადოთ</w:t>
      </w:r>
      <w:r w:rsidRPr="003D733D">
        <w:t>.</w:t>
      </w:r>
    </w:p>
    <w:p w14:paraId="7CA5B01B" w14:textId="77777777" w:rsidR="00A2588D" w:rsidRDefault="00A2588D" w:rsidP="00A2588D">
      <w:r w:rsidRPr="003D733D">
        <w:br/>
      </w:r>
      <w:r w:rsidRPr="003D733D">
        <w:rPr>
          <w:rFonts w:ascii="Sylfaen" w:hAnsi="Sylfaen" w:cs="Sylfaen"/>
        </w:rPr>
        <w:t>არტერიაზე</w:t>
      </w:r>
      <w:r w:rsidRPr="003D733D">
        <w:t xml:space="preserve"> </w:t>
      </w:r>
      <w:r w:rsidRPr="003D733D">
        <w:rPr>
          <w:rFonts w:ascii="Sylfaen" w:hAnsi="Sylfaen" w:cs="Sylfaen"/>
        </w:rPr>
        <w:t>ზეწოლის</w:t>
      </w:r>
      <w:r w:rsidRPr="003D733D">
        <w:t xml:space="preserve"> </w:t>
      </w:r>
      <w:r w:rsidRPr="003D733D">
        <w:rPr>
          <w:rFonts w:ascii="Sylfaen" w:hAnsi="Sylfaen" w:cs="Sylfaen"/>
        </w:rPr>
        <w:t>ადგილებია</w:t>
      </w:r>
      <w:r w:rsidRPr="003D733D">
        <w:t xml:space="preserve">: </w:t>
      </w:r>
    </w:p>
    <w:p w14:paraId="7B61FB55" w14:textId="77777777" w:rsidR="00A2588D" w:rsidRPr="003D733D" w:rsidRDefault="00A2588D" w:rsidP="00A2588D">
      <w:r w:rsidRPr="003D733D">
        <w:rPr>
          <w:rFonts w:ascii="Sylfaen" w:hAnsi="Sylfaen" w:cs="Sylfaen"/>
        </w:rPr>
        <w:t>მხრის</w:t>
      </w:r>
      <w:r w:rsidRPr="003D733D">
        <w:t xml:space="preserve"> </w:t>
      </w:r>
      <w:r w:rsidRPr="003D733D">
        <w:rPr>
          <w:rFonts w:ascii="Sylfaen" w:hAnsi="Sylfaen" w:cs="Sylfaen"/>
        </w:rPr>
        <w:t>ქვედა</w:t>
      </w:r>
      <w:r w:rsidRPr="003D733D">
        <w:t xml:space="preserve"> </w:t>
      </w:r>
      <w:r w:rsidRPr="003D733D">
        <w:rPr>
          <w:rFonts w:ascii="Sylfaen" w:hAnsi="Sylfaen" w:cs="Sylfaen"/>
        </w:rPr>
        <w:t>მესამედი</w:t>
      </w:r>
      <w:r w:rsidRPr="003D733D">
        <w:t xml:space="preserve"> </w:t>
      </w:r>
      <w:r w:rsidRPr="003D733D">
        <w:rPr>
          <w:rFonts w:ascii="Sylfaen" w:hAnsi="Sylfaen" w:cs="Sylfaen"/>
        </w:rPr>
        <w:t>და</w:t>
      </w:r>
      <w:r w:rsidRPr="003D733D">
        <w:t xml:space="preserve"> </w:t>
      </w:r>
      <w:r w:rsidRPr="003D733D">
        <w:rPr>
          <w:rFonts w:ascii="Sylfaen" w:hAnsi="Sylfaen" w:cs="Sylfaen"/>
        </w:rPr>
        <w:t>ბარძაყის</w:t>
      </w:r>
      <w:r w:rsidRPr="003D733D">
        <w:t xml:space="preserve"> </w:t>
      </w:r>
      <w:r w:rsidRPr="003D733D">
        <w:rPr>
          <w:rFonts w:ascii="Sylfaen" w:hAnsi="Sylfaen" w:cs="Sylfaen"/>
        </w:rPr>
        <w:t>ზედა</w:t>
      </w:r>
      <w:r w:rsidRPr="003D733D">
        <w:t xml:space="preserve"> </w:t>
      </w:r>
      <w:r w:rsidRPr="003D733D">
        <w:rPr>
          <w:rFonts w:ascii="Sylfaen" w:hAnsi="Sylfaen" w:cs="Sylfaen"/>
        </w:rPr>
        <w:t>მესამედი</w:t>
      </w:r>
      <w:r w:rsidRPr="003D733D">
        <w:t xml:space="preserve">. </w:t>
      </w:r>
      <w:r w:rsidRPr="003D733D">
        <w:rPr>
          <w:rFonts w:ascii="Sylfaen" w:hAnsi="Sylfaen" w:cs="Sylfaen"/>
        </w:rPr>
        <w:t>ლახტის</w:t>
      </w:r>
      <w:r w:rsidRPr="003D733D">
        <w:t xml:space="preserve"> </w:t>
      </w:r>
      <w:r w:rsidRPr="003D733D">
        <w:rPr>
          <w:rFonts w:ascii="Sylfaen" w:hAnsi="Sylfaen" w:cs="Sylfaen"/>
        </w:rPr>
        <w:t>დადების</w:t>
      </w:r>
      <w:r w:rsidRPr="003D733D">
        <w:t xml:space="preserve"> </w:t>
      </w:r>
      <w:r w:rsidRPr="003D733D">
        <w:rPr>
          <w:rFonts w:ascii="Sylfaen" w:hAnsi="Sylfaen" w:cs="Sylfaen"/>
        </w:rPr>
        <w:t>წესი</w:t>
      </w:r>
      <w:r w:rsidRPr="003D733D">
        <w:t xml:space="preserve"> </w:t>
      </w:r>
      <w:r w:rsidRPr="003D733D">
        <w:rPr>
          <w:rFonts w:ascii="Sylfaen" w:hAnsi="Sylfaen" w:cs="Sylfaen"/>
        </w:rPr>
        <w:t>ასეთია</w:t>
      </w:r>
      <w:r w:rsidRPr="003D733D">
        <w:t>:</w:t>
      </w:r>
    </w:p>
    <w:p w14:paraId="78F3F213" w14:textId="77777777" w:rsidR="00A2588D" w:rsidRPr="003D733D" w:rsidRDefault="00A2588D" w:rsidP="00A2588D">
      <w:r w:rsidRPr="003D733D">
        <w:rPr>
          <w:rFonts w:ascii="Sylfaen" w:hAnsi="Sylfaen" w:cs="Sylfaen"/>
        </w:rPr>
        <w:t>ლახტს</w:t>
      </w:r>
      <w:r w:rsidRPr="003D733D">
        <w:t xml:space="preserve"> </w:t>
      </w:r>
      <w:r w:rsidRPr="003D733D">
        <w:rPr>
          <w:rFonts w:ascii="Sylfaen" w:hAnsi="Sylfaen" w:cs="Sylfaen"/>
        </w:rPr>
        <w:t>მხოლოდ</w:t>
      </w:r>
      <w:r w:rsidRPr="003D733D">
        <w:t xml:space="preserve"> </w:t>
      </w:r>
      <w:r w:rsidRPr="003D733D">
        <w:rPr>
          <w:rFonts w:ascii="Sylfaen" w:hAnsi="Sylfaen" w:cs="Sylfaen"/>
        </w:rPr>
        <w:t>უკიდურეს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ადებენ</w:t>
      </w:r>
      <w:r w:rsidRPr="003D733D">
        <w:t xml:space="preserve">, </w:t>
      </w:r>
      <w:r w:rsidRPr="003D733D">
        <w:rPr>
          <w:rFonts w:ascii="Sylfaen" w:hAnsi="Sylfaen" w:cs="Sylfaen"/>
        </w:rPr>
        <w:t>რადგან</w:t>
      </w:r>
      <w:r w:rsidRPr="003D733D">
        <w:t xml:space="preserve"> </w:t>
      </w:r>
      <w:r w:rsidRPr="003D733D">
        <w:rPr>
          <w:rFonts w:ascii="Sylfaen" w:hAnsi="Sylfaen" w:cs="Sylfaen"/>
        </w:rPr>
        <w:t>ის</w:t>
      </w:r>
      <w:r w:rsidRPr="003D733D">
        <w:t xml:space="preserve"> </w:t>
      </w:r>
      <w:r w:rsidRPr="003D733D">
        <w:rPr>
          <w:rFonts w:ascii="Sylfaen" w:hAnsi="Sylfaen" w:cs="Sylfaen"/>
        </w:rPr>
        <w:t>ხშირად</w:t>
      </w:r>
      <w:r w:rsidRPr="003D733D">
        <w:t xml:space="preserve"> </w:t>
      </w:r>
      <w:r w:rsidRPr="003D733D">
        <w:rPr>
          <w:rFonts w:ascii="Sylfaen" w:hAnsi="Sylfaen" w:cs="Sylfaen"/>
        </w:rPr>
        <w:t>შეუქცევად</w:t>
      </w:r>
      <w:r w:rsidRPr="003D733D">
        <w:t xml:space="preserve"> </w:t>
      </w:r>
      <w:r w:rsidRPr="003D733D">
        <w:rPr>
          <w:rFonts w:ascii="Sylfaen" w:hAnsi="Sylfaen" w:cs="Sylfaen"/>
        </w:rPr>
        <w:t>დაზიანებებს</w:t>
      </w:r>
      <w:r w:rsidRPr="003D733D">
        <w:t xml:space="preserve"> </w:t>
      </w:r>
      <w:r w:rsidRPr="003D733D">
        <w:rPr>
          <w:rFonts w:ascii="Sylfaen" w:hAnsi="Sylfaen" w:cs="Sylfaen"/>
        </w:rPr>
        <w:t>იწვევს</w:t>
      </w:r>
      <w:r w:rsidRPr="003D733D">
        <w:t>;</w:t>
      </w:r>
    </w:p>
    <w:p w14:paraId="419AA908" w14:textId="77777777" w:rsidR="00A2588D" w:rsidRPr="003D733D" w:rsidRDefault="00A2588D" w:rsidP="00A2588D">
      <w:r w:rsidRPr="003D733D">
        <w:rPr>
          <w:rFonts w:ascii="Sylfaen" w:hAnsi="Sylfaen" w:cs="Sylfaen"/>
        </w:rPr>
        <w:t>ლახტი</w:t>
      </w:r>
      <w:r w:rsidRPr="003D733D">
        <w:t xml:space="preserve"> </w:t>
      </w:r>
      <w:r w:rsidRPr="003D733D">
        <w:rPr>
          <w:rFonts w:ascii="Sylfaen" w:hAnsi="Sylfaen" w:cs="Sylfaen"/>
        </w:rPr>
        <w:t>ედება</w:t>
      </w:r>
      <w:r w:rsidRPr="003D733D">
        <w:t xml:space="preserve"> </w:t>
      </w:r>
      <w:r w:rsidRPr="003D733D">
        <w:rPr>
          <w:rFonts w:ascii="Sylfaen" w:hAnsi="Sylfaen" w:cs="Sylfaen"/>
        </w:rPr>
        <w:t>ჭრილობის</w:t>
      </w:r>
      <w:r w:rsidRPr="003D733D">
        <w:t xml:space="preserve"> </w:t>
      </w:r>
      <w:r w:rsidRPr="003D733D">
        <w:rPr>
          <w:rFonts w:ascii="Sylfaen" w:hAnsi="Sylfaen" w:cs="Sylfaen"/>
        </w:rPr>
        <w:t>ზემოთ</w:t>
      </w:r>
      <w:r w:rsidRPr="003D733D">
        <w:t>;</w:t>
      </w:r>
    </w:p>
    <w:p w14:paraId="6553618F" w14:textId="77777777" w:rsidR="00A2588D" w:rsidRPr="003D733D" w:rsidRDefault="00A2588D" w:rsidP="00A2588D">
      <w:r w:rsidRPr="003D733D">
        <w:rPr>
          <w:rFonts w:ascii="Sylfaen" w:hAnsi="Sylfaen" w:cs="Sylfaen"/>
        </w:rPr>
        <w:t>ლახტის</w:t>
      </w:r>
      <w:r w:rsidRPr="003D733D">
        <w:t xml:space="preserve"> </w:t>
      </w:r>
      <w:r w:rsidRPr="003D733D">
        <w:rPr>
          <w:rFonts w:ascii="Sylfaen" w:hAnsi="Sylfaen" w:cs="Sylfaen"/>
        </w:rPr>
        <w:t>დასადები</w:t>
      </w:r>
      <w:r w:rsidRPr="003D733D">
        <w:t xml:space="preserve"> </w:t>
      </w:r>
      <w:r w:rsidRPr="003D733D">
        <w:rPr>
          <w:rFonts w:ascii="Sylfaen" w:hAnsi="Sylfaen" w:cs="Sylfaen"/>
        </w:rPr>
        <w:t>ადგილი</w:t>
      </w:r>
      <w:r w:rsidRPr="003D733D">
        <w:t xml:space="preserve"> </w:t>
      </w:r>
      <w:r w:rsidRPr="003D733D">
        <w:rPr>
          <w:rFonts w:ascii="Sylfaen" w:hAnsi="Sylfaen" w:cs="Sylfaen"/>
        </w:rPr>
        <w:t>ტანსაცმლით</w:t>
      </w:r>
      <w:r w:rsidRPr="003D733D">
        <w:t xml:space="preserve"> </w:t>
      </w:r>
      <w:r w:rsidRPr="003D733D">
        <w:rPr>
          <w:rFonts w:ascii="Sylfaen" w:hAnsi="Sylfaen" w:cs="Sylfaen"/>
        </w:rPr>
        <w:t>უნდა</w:t>
      </w:r>
      <w:r w:rsidRPr="003D733D">
        <w:t xml:space="preserve"> </w:t>
      </w:r>
      <w:r w:rsidRPr="003D733D">
        <w:rPr>
          <w:rFonts w:ascii="Sylfaen" w:hAnsi="Sylfaen" w:cs="Sylfaen"/>
        </w:rPr>
        <w:t>იყოს</w:t>
      </w:r>
      <w:r w:rsidRPr="003D733D">
        <w:t xml:space="preserve"> </w:t>
      </w:r>
      <w:r w:rsidRPr="003D733D">
        <w:rPr>
          <w:rFonts w:ascii="Sylfaen" w:hAnsi="Sylfaen" w:cs="Sylfaen"/>
        </w:rPr>
        <w:t>დაფარული</w:t>
      </w:r>
      <w:r w:rsidRPr="003D733D">
        <w:t xml:space="preserve">. </w:t>
      </w:r>
      <w:r w:rsidRPr="003D733D">
        <w:rPr>
          <w:rFonts w:ascii="Sylfaen" w:hAnsi="Sylfaen" w:cs="Sylfaen"/>
        </w:rPr>
        <w:t>თუ</w:t>
      </w:r>
      <w:r w:rsidRPr="003D733D">
        <w:t xml:space="preserve"> </w:t>
      </w:r>
      <w:r w:rsidRPr="003D733D">
        <w:rPr>
          <w:rFonts w:ascii="Sylfaen" w:hAnsi="Sylfaen" w:cs="Sylfaen"/>
        </w:rPr>
        <w:t>ჭრილობის</w:t>
      </w:r>
      <w:r w:rsidRPr="003D733D">
        <w:t xml:space="preserve"> </w:t>
      </w:r>
      <w:r w:rsidRPr="003D733D">
        <w:rPr>
          <w:rFonts w:ascii="Sylfaen" w:hAnsi="Sylfaen" w:cs="Sylfaen"/>
        </w:rPr>
        <w:t>ადგილი</w:t>
      </w:r>
      <w:r w:rsidRPr="003D733D">
        <w:t xml:space="preserve"> </w:t>
      </w:r>
      <w:r w:rsidRPr="003D733D">
        <w:rPr>
          <w:rFonts w:ascii="Sylfaen" w:hAnsi="Sylfaen" w:cs="Sylfaen"/>
        </w:rPr>
        <w:t>შიშველია</w:t>
      </w:r>
      <w:r w:rsidRPr="003D733D">
        <w:t xml:space="preserve">, </w:t>
      </w:r>
      <w:r w:rsidRPr="003D733D">
        <w:rPr>
          <w:rFonts w:ascii="Sylfaen" w:hAnsi="Sylfaen" w:cs="Sylfaen"/>
        </w:rPr>
        <w:t>ლახტს</w:t>
      </w:r>
      <w:r w:rsidRPr="003D733D">
        <w:t xml:space="preserve"> </w:t>
      </w:r>
      <w:r w:rsidRPr="003D733D">
        <w:rPr>
          <w:rFonts w:ascii="Sylfaen" w:hAnsi="Sylfaen" w:cs="Sylfaen"/>
        </w:rPr>
        <w:t>ქვეშ</w:t>
      </w:r>
      <w:r w:rsidRPr="003D733D">
        <w:t xml:space="preserve"> </w:t>
      </w:r>
      <w:r w:rsidRPr="003D733D">
        <w:rPr>
          <w:rFonts w:ascii="Sylfaen" w:hAnsi="Sylfaen" w:cs="Sylfaen"/>
        </w:rPr>
        <w:t>სუფთა</w:t>
      </w:r>
      <w:r w:rsidRPr="003D733D">
        <w:t xml:space="preserve"> </w:t>
      </w:r>
      <w:r w:rsidRPr="003D733D">
        <w:rPr>
          <w:rFonts w:ascii="Sylfaen" w:hAnsi="Sylfaen" w:cs="Sylfaen"/>
        </w:rPr>
        <w:t>ქსოვილი</w:t>
      </w:r>
      <w:r w:rsidRPr="003D733D">
        <w:t xml:space="preserve"> </w:t>
      </w:r>
      <w:r w:rsidRPr="003D733D">
        <w:rPr>
          <w:rFonts w:ascii="Sylfaen" w:hAnsi="Sylfaen" w:cs="Sylfaen"/>
        </w:rPr>
        <w:t>უნდა</w:t>
      </w:r>
      <w:r w:rsidRPr="003D733D">
        <w:t xml:space="preserve"> </w:t>
      </w:r>
      <w:r w:rsidRPr="003D733D">
        <w:rPr>
          <w:rFonts w:ascii="Sylfaen" w:hAnsi="Sylfaen" w:cs="Sylfaen"/>
        </w:rPr>
        <w:t>დავუფინოთ</w:t>
      </w:r>
      <w:r w:rsidRPr="003D733D">
        <w:t>;</w:t>
      </w:r>
    </w:p>
    <w:p w14:paraId="4AD299FE" w14:textId="77777777" w:rsidR="00A2588D" w:rsidRPr="003D733D" w:rsidRDefault="00A2588D" w:rsidP="00A2588D">
      <w:r w:rsidRPr="003D733D">
        <w:rPr>
          <w:rFonts w:ascii="Sylfaen" w:hAnsi="Sylfaen" w:cs="Sylfaen"/>
        </w:rPr>
        <w:t>პირველი</w:t>
      </w:r>
      <w:r w:rsidRPr="003D733D">
        <w:t xml:space="preserve"> </w:t>
      </w:r>
      <w:r w:rsidRPr="003D733D">
        <w:rPr>
          <w:rFonts w:ascii="Sylfaen" w:hAnsi="Sylfaen" w:cs="Sylfaen"/>
        </w:rPr>
        <w:t>ნახვევი</w:t>
      </w:r>
      <w:r w:rsidRPr="003D733D">
        <w:t xml:space="preserve"> </w:t>
      </w:r>
      <w:r w:rsidRPr="003D733D">
        <w:rPr>
          <w:rFonts w:ascii="Sylfaen" w:hAnsi="Sylfaen" w:cs="Sylfaen"/>
        </w:rPr>
        <w:t>მჭიდრო</w:t>
      </w:r>
      <w:r w:rsidRPr="003D733D">
        <w:t xml:space="preserve"> </w:t>
      </w:r>
      <w:r w:rsidRPr="003D733D">
        <w:rPr>
          <w:rFonts w:ascii="Sylfaen" w:hAnsi="Sylfaen" w:cs="Sylfaen"/>
        </w:rPr>
        <w:t>უნდა</w:t>
      </w:r>
      <w:r w:rsidRPr="003D733D">
        <w:t xml:space="preserve"> </w:t>
      </w:r>
      <w:r w:rsidRPr="003D733D">
        <w:rPr>
          <w:rFonts w:ascii="Sylfaen" w:hAnsi="Sylfaen" w:cs="Sylfaen"/>
        </w:rPr>
        <w:t>იყოს</w:t>
      </w:r>
      <w:r w:rsidRPr="003D733D">
        <w:t xml:space="preserve"> (</w:t>
      </w:r>
      <w:r w:rsidRPr="003D733D">
        <w:rPr>
          <w:rFonts w:ascii="Sylfaen" w:hAnsi="Sylfaen" w:cs="Sylfaen"/>
        </w:rPr>
        <w:t>შეძლებისდაგვარად</w:t>
      </w:r>
      <w:r w:rsidRPr="003D733D">
        <w:t xml:space="preserve"> </w:t>
      </w:r>
      <w:r w:rsidRPr="003D733D">
        <w:rPr>
          <w:rFonts w:ascii="Sylfaen" w:hAnsi="Sylfaen" w:cs="Sylfaen"/>
        </w:rPr>
        <w:t>უნდა</w:t>
      </w:r>
      <w:r w:rsidRPr="003D733D">
        <w:t xml:space="preserve"> </w:t>
      </w:r>
      <w:r w:rsidRPr="003D733D">
        <w:rPr>
          <w:rFonts w:ascii="Sylfaen" w:hAnsi="Sylfaen" w:cs="Sylfaen"/>
        </w:rPr>
        <w:t>დამაგრდეს</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ლახტი</w:t>
      </w:r>
      <w:r w:rsidRPr="003D733D">
        <w:t xml:space="preserve"> </w:t>
      </w:r>
      <w:r w:rsidRPr="003D733D">
        <w:rPr>
          <w:rFonts w:ascii="Sylfaen" w:hAnsi="Sylfaen" w:cs="Sylfaen"/>
        </w:rPr>
        <w:t>იჭიმება</w:t>
      </w:r>
      <w:r w:rsidRPr="003D733D">
        <w:t xml:space="preserve"> </w:t>
      </w:r>
      <w:r w:rsidRPr="003D733D">
        <w:rPr>
          <w:rFonts w:ascii="Sylfaen" w:hAnsi="Sylfaen" w:cs="Sylfaen"/>
        </w:rPr>
        <w:t>და</w:t>
      </w:r>
      <w:r w:rsidRPr="003D733D">
        <w:t xml:space="preserve"> </w:t>
      </w:r>
      <w:r w:rsidRPr="003D733D">
        <w:rPr>
          <w:rFonts w:ascii="Sylfaen" w:hAnsi="Sylfaen" w:cs="Sylfaen"/>
        </w:rPr>
        <w:t>ჭრილობის</w:t>
      </w:r>
      <w:r w:rsidRPr="003D733D">
        <w:t xml:space="preserve"> </w:t>
      </w:r>
      <w:r w:rsidRPr="003D733D">
        <w:rPr>
          <w:rFonts w:ascii="Sylfaen" w:hAnsi="Sylfaen" w:cs="Sylfaen"/>
        </w:rPr>
        <w:t>არეს</w:t>
      </w:r>
      <w:r w:rsidRPr="003D733D">
        <w:t xml:space="preserve"> </w:t>
      </w:r>
      <w:r w:rsidRPr="003D733D">
        <w:rPr>
          <w:rFonts w:ascii="Sylfaen" w:hAnsi="Sylfaen" w:cs="Sylfaen"/>
        </w:rPr>
        <w:t>დამატებით</w:t>
      </w:r>
      <w:r w:rsidRPr="003D733D">
        <w:t xml:space="preserve"> </w:t>
      </w:r>
      <w:r w:rsidRPr="003D733D">
        <w:rPr>
          <w:rFonts w:ascii="Sylfaen" w:hAnsi="Sylfaen" w:cs="Sylfaen"/>
        </w:rPr>
        <w:t>ედება</w:t>
      </w:r>
      <w:r w:rsidRPr="003D733D">
        <w:t xml:space="preserve"> 3-4-</w:t>
      </w:r>
      <w:r w:rsidRPr="003D733D">
        <w:rPr>
          <w:rFonts w:ascii="Sylfaen" w:hAnsi="Sylfaen" w:cs="Sylfaen"/>
        </w:rPr>
        <w:t>ჯერ</w:t>
      </w:r>
      <w:r w:rsidRPr="003D733D">
        <w:t xml:space="preserve"> (</w:t>
      </w:r>
      <w:r w:rsidRPr="003D733D">
        <w:rPr>
          <w:rFonts w:ascii="Sylfaen" w:hAnsi="Sylfaen" w:cs="Sylfaen"/>
        </w:rPr>
        <w:t>ლახტის</w:t>
      </w:r>
      <w:r w:rsidRPr="003D733D">
        <w:t xml:space="preserve"> </w:t>
      </w:r>
      <w:r w:rsidRPr="003D733D">
        <w:rPr>
          <w:rFonts w:ascii="Sylfaen" w:hAnsi="Sylfaen" w:cs="Sylfaen"/>
        </w:rPr>
        <w:t>მაგივრად</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გამოყენებულ</w:t>
      </w:r>
      <w:r w:rsidRPr="003D733D">
        <w:t xml:space="preserve"> </w:t>
      </w:r>
      <w:r w:rsidRPr="003D733D">
        <w:rPr>
          <w:rFonts w:ascii="Sylfaen" w:hAnsi="Sylfaen" w:cs="Sylfaen"/>
        </w:rPr>
        <w:t>იქნეს</w:t>
      </w:r>
      <w:r w:rsidRPr="003D733D">
        <w:t xml:space="preserve"> </w:t>
      </w:r>
      <w:r w:rsidRPr="003D733D">
        <w:rPr>
          <w:rFonts w:ascii="Sylfaen" w:hAnsi="Sylfaen" w:cs="Sylfaen"/>
        </w:rPr>
        <w:t>თოკი</w:t>
      </w:r>
      <w:r w:rsidRPr="003D733D">
        <w:t xml:space="preserve">, </w:t>
      </w:r>
      <w:r w:rsidRPr="003D733D">
        <w:rPr>
          <w:rFonts w:ascii="Sylfaen" w:hAnsi="Sylfaen" w:cs="Sylfaen"/>
        </w:rPr>
        <w:t>ქამარი</w:t>
      </w:r>
      <w:r w:rsidRPr="003D733D">
        <w:t xml:space="preserve"> </w:t>
      </w:r>
      <w:r w:rsidRPr="003D733D">
        <w:rPr>
          <w:rFonts w:ascii="Sylfaen" w:hAnsi="Sylfaen" w:cs="Sylfaen"/>
        </w:rPr>
        <w:t>და</w:t>
      </w:r>
      <w:r w:rsidRPr="003D733D">
        <w:t xml:space="preserve"> </w:t>
      </w:r>
      <w:r w:rsidRPr="003D733D">
        <w:rPr>
          <w:rFonts w:ascii="Sylfaen" w:hAnsi="Sylfaen" w:cs="Sylfaen"/>
        </w:rPr>
        <w:t>სხვა</w:t>
      </w:r>
      <w:r w:rsidRPr="003D733D">
        <w:t>;</w:t>
      </w:r>
    </w:p>
    <w:p w14:paraId="0C6A8675" w14:textId="77777777" w:rsidR="00A2588D" w:rsidRPr="003D733D" w:rsidRDefault="00A2588D" w:rsidP="00A2588D">
      <w:r w:rsidRPr="003D733D">
        <w:rPr>
          <w:rFonts w:ascii="Sylfaen" w:hAnsi="Sylfaen" w:cs="Sylfaen"/>
        </w:rPr>
        <w:t>ლახტი</w:t>
      </w:r>
      <w:r w:rsidRPr="003D733D">
        <w:t xml:space="preserve"> </w:t>
      </w:r>
      <w:r w:rsidRPr="003D733D">
        <w:rPr>
          <w:rFonts w:ascii="Sylfaen" w:hAnsi="Sylfaen" w:cs="Sylfaen"/>
        </w:rPr>
        <w:t>ზამთარში</w:t>
      </w:r>
      <w:r w:rsidRPr="003D733D">
        <w:t xml:space="preserve"> </w:t>
      </w:r>
      <w:r w:rsidRPr="003D733D">
        <w:rPr>
          <w:rFonts w:ascii="Sylfaen" w:hAnsi="Sylfaen" w:cs="Sylfaen"/>
        </w:rPr>
        <w:t>ერთი</w:t>
      </w:r>
      <w:r w:rsidRPr="003D733D">
        <w:t xml:space="preserve">, </w:t>
      </w:r>
      <w:r w:rsidRPr="003D733D">
        <w:rPr>
          <w:rFonts w:ascii="Sylfaen" w:hAnsi="Sylfaen" w:cs="Sylfaen"/>
        </w:rPr>
        <w:t>ზაფხულში</w:t>
      </w:r>
      <w:r w:rsidRPr="003D733D">
        <w:t xml:space="preserve"> </w:t>
      </w:r>
      <w:r w:rsidRPr="003D733D">
        <w:rPr>
          <w:rFonts w:ascii="Sylfaen" w:hAnsi="Sylfaen" w:cs="Sylfaen"/>
        </w:rPr>
        <w:t>კი</w:t>
      </w:r>
      <w:r w:rsidRPr="003D733D">
        <w:t xml:space="preserve"> </w:t>
      </w:r>
      <w:r w:rsidRPr="003D733D">
        <w:rPr>
          <w:rFonts w:ascii="Sylfaen" w:hAnsi="Sylfaen" w:cs="Sylfaen"/>
        </w:rPr>
        <w:t>ორი</w:t>
      </w:r>
      <w:r w:rsidRPr="003D733D">
        <w:t xml:space="preserve"> </w:t>
      </w:r>
      <w:r w:rsidRPr="003D733D">
        <w:rPr>
          <w:rFonts w:ascii="Sylfaen" w:hAnsi="Sylfaen" w:cs="Sylfaen"/>
        </w:rPr>
        <w:t>საათით</w:t>
      </w:r>
      <w:r w:rsidRPr="003D733D">
        <w:t xml:space="preserve"> </w:t>
      </w:r>
      <w:r w:rsidRPr="003D733D">
        <w:rPr>
          <w:rFonts w:ascii="Sylfaen" w:hAnsi="Sylfaen" w:cs="Sylfaen"/>
        </w:rPr>
        <w:t>ედება</w:t>
      </w:r>
      <w:r w:rsidRPr="003D733D">
        <w:t xml:space="preserve">. </w:t>
      </w:r>
      <w:r w:rsidRPr="003D733D">
        <w:rPr>
          <w:rFonts w:ascii="Sylfaen" w:hAnsi="Sylfaen" w:cs="Sylfaen"/>
        </w:rPr>
        <w:t>შემდეგ</w:t>
      </w:r>
      <w:r w:rsidRPr="003D733D">
        <w:t xml:space="preserve"> 5-10 </w:t>
      </w:r>
      <w:r w:rsidRPr="003D733D">
        <w:rPr>
          <w:rFonts w:ascii="Sylfaen" w:hAnsi="Sylfaen" w:cs="Sylfaen"/>
        </w:rPr>
        <w:t>წუთით</w:t>
      </w:r>
      <w:r w:rsidRPr="003D733D">
        <w:t xml:space="preserve"> </w:t>
      </w:r>
      <w:r w:rsidRPr="003D733D">
        <w:rPr>
          <w:rFonts w:ascii="Sylfaen" w:hAnsi="Sylfaen" w:cs="Sylfaen"/>
        </w:rPr>
        <w:t>უნდა</w:t>
      </w:r>
      <w:r w:rsidRPr="003D733D">
        <w:t xml:space="preserve"> </w:t>
      </w:r>
      <w:r w:rsidRPr="003D733D">
        <w:rPr>
          <w:rFonts w:ascii="Sylfaen" w:hAnsi="Sylfaen" w:cs="Sylfaen"/>
        </w:rPr>
        <w:t>მოვუშვათ</w:t>
      </w:r>
      <w:r w:rsidRPr="003D733D">
        <w:t xml:space="preserve"> </w:t>
      </w:r>
      <w:r w:rsidRPr="003D733D">
        <w:rPr>
          <w:rFonts w:ascii="Sylfaen" w:hAnsi="Sylfaen" w:cs="Sylfaen"/>
        </w:rPr>
        <w:t>და</w:t>
      </w:r>
      <w:r w:rsidRPr="003D733D">
        <w:t xml:space="preserve"> </w:t>
      </w:r>
      <w:r w:rsidRPr="003D733D">
        <w:rPr>
          <w:rFonts w:ascii="Sylfaen" w:hAnsi="Sylfaen" w:cs="Sylfaen"/>
        </w:rPr>
        <w:t>თავდაპირველი</w:t>
      </w:r>
      <w:r w:rsidRPr="003D733D">
        <w:t xml:space="preserve"> </w:t>
      </w:r>
      <w:r w:rsidRPr="003D733D">
        <w:rPr>
          <w:rFonts w:ascii="Sylfaen" w:hAnsi="Sylfaen" w:cs="Sylfaen"/>
        </w:rPr>
        <w:t>ადგილიდან</w:t>
      </w:r>
      <w:r w:rsidRPr="003D733D">
        <w:t xml:space="preserve"> </w:t>
      </w:r>
      <w:r w:rsidRPr="003D733D">
        <w:rPr>
          <w:rFonts w:ascii="Sylfaen" w:hAnsi="Sylfaen" w:cs="Sylfaen"/>
        </w:rPr>
        <w:t>ოდნავ</w:t>
      </w:r>
      <w:r w:rsidRPr="003D733D">
        <w:t xml:space="preserve"> </w:t>
      </w:r>
      <w:r w:rsidRPr="003D733D">
        <w:rPr>
          <w:rFonts w:ascii="Sylfaen" w:hAnsi="Sylfaen" w:cs="Sylfaen"/>
        </w:rPr>
        <w:t>ზემოთ</w:t>
      </w:r>
      <w:r w:rsidRPr="003D733D">
        <w:t xml:space="preserve"> </w:t>
      </w:r>
      <w:r w:rsidRPr="003D733D">
        <w:rPr>
          <w:rFonts w:ascii="Sylfaen" w:hAnsi="Sylfaen" w:cs="Sylfaen"/>
        </w:rPr>
        <w:t>დავადოთ</w:t>
      </w:r>
      <w:r w:rsidRPr="003D733D">
        <w:t>;</w:t>
      </w:r>
    </w:p>
    <w:p w14:paraId="6DB50088" w14:textId="77777777" w:rsidR="00A2588D" w:rsidRPr="003D733D" w:rsidRDefault="00A2588D" w:rsidP="00A2588D">
      <w:r w:rsidRPr="003D733D">
        <w:rPr>
          <w:rFonts w:ascii="Sylfaen" w:hAnsi="Sylfaen" w:cs="Sylfaen"/>
        </w:rPr>
        <w:t>შეამოწმეთ</w:t>
      </w:r>
      <w:r w:rsidRPr="003D733D">
        <w:t xml:space="preserve">, </w:t>
      </w:r>
      <w:r w:rsidRPr="003D733D">
        <w:rPr>
          <w:rFonts w:ascii="Sylfaen" w:hAnsi="Sylfaen" w:cs="Sylfaen"/>
        </w:rPr>
        <w:t>სწორად</w:t>
      </w:r>
      <w:r w:rsidRPr="003D733D">
        <w:t xml:space="preserve"> </w:t>
      </w:r>
      <w:r w:rsidRPr="003D733D">
        <w:rPr>
          <w:rFonts w:ascii="Sylfaen" w:hAnsi="Sylfaen" w:cs="Sylfaen"/>
        </w:rPr>
        <w:t>ადევს</w:t>
      </w:r>
      <w:r w:rsidRPr="003D733D">
        <w:t xml:space="preserve"> </w:t>
      </w:r>
      <w:r w:rsidRPr="003D733D">
        <w:rPr>
          <w:rFonts w:ascii="Sylfaen" w:hAnsi="Sylfaen" w:cs="Sylfaen"/>
        </w:rPr>
        <w:t>თუ</w:t>
      </w:r>
      <w:r w:rsidRPr="003D733D">
        <w:t xml:space="preserve"> </w:t>
      </w:r>
      <w:r w:rsidRPr="003D733D">
        <w:rPr>
          <w:rFonts w:ascii="Sylfaen" w:hAnsi="Sylfaen" w:cs="Sylfaen"/>
        </w:rPr>
        <w:t>არა</w:t>
      </w:r>
      <w:r w:rsidRPr="003D733D">
        <w:t xml:space="preserve"> </w:t>
      </w:r>
      <w:r w:rsidRPr="003D733D">
        <w:rPr>
          <w:rFonts w:ascii="Sylfaen" w:hAnsi="Sylfaen" w:cs="Sylfaen"/>
        </w:rPr>
        <w:t>ლახტი</w:t>
      </w:r>
      <w:r w:rsidRPr="003D733D">
        <w:t xml:space="preserve"> - </w:t>
      </w:r>
      <w:r w:rsidRPr="003D733D">
        <w:rPr>
          <w:rFonts w:ascii="Sylfaen" w:hAnsi="Sylfaen" w:cs="Sylfaen"/>
        </w:rPr>
        <w:t>სწორად</w:t>
      </w:r>
      <w:r w:rsidRPr="003D733D">
        <w:t xml:space="preserve"> </w:t>
      </w:r>
      <w:r w:rsidRPr="003D733D">
        <w:rPr>
          <w:rFonts w:ascii="Sylfaen" w:hAnsi="Sylfaen" w:cs="Sylfaen"/>
        </w:rPr>
        <w:t>დადების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კიდურზე</w:t>
      </w:r>
      <w:r w:rsidRPr="003D733D">
        <w:t xml:space="preserve"> </w:t>
      </w:r>
      <w:r w:rsidRPr="003D733D">
        <w:rPr>
          <w:rFonts w:ascii="Sylfaen" w:hAnsi="Sylfaen" w:cs="Sylfaen"/>
        </w:rPr>
        <w:t>პულსი</w:t>
      </w:r>
      <w:r w:rsidRPr="003D733D">
        <w:t xml:space="preserve"> </w:t>
      </w:r>
      <w:r w:rsidRPr="003D733D">
        <w:rPr>
          <w:rFonts w:ascii="Sylfaen" w:hAnsi="Sylfaen" w:cs="Sylfaen"/>
        </w:rPr>
        <w:t>არ</w:t>
      </w:r>
      <w:r w:rsidRPr="003D733D">
        <w:t xml:space="preserve"> </w:t>
      </w:r>
      <w:r w:rsidRPr="003D733D">
        <w:rPr>
          <w:rFonts w:ascii="Sylfaen" w:hAnsi="Sylfaen" w:cs="Sylfaen"/>
        </w:rPr>
        <w:t>ისინჯება</w:t>
      </w:r>
      <w:r w:rsidRPr="003D733D">
        <w:t>;</w:t>
      </w:r>
    </w:p>
    <w:p w14:paraId="53E24CED" w14:textId="77777777" w:rsidR="00A2588D" w:rsidRPr="003D733D" w:rsidRDefault="00A2588D" w:rsidP="00A2588D">
      <w:r w:rsidRPr="003D733D">
        <w:rPr>
          <w:rFonts w:ascii="Sylfaen" w:hAnsi="Sylfaen" w:cs="Sylfaen"/>
        </w:rPr>
        <w:t>რა</w:t>
      </w:r>
      <w:r w:rsidRPr="003D733D">
        <w:t xml:space="preserve"> </w:t>
      </w:r>
      <w:r w:rsidRPr="003D733D">
        <w:rPr>
          <w:rFonts w:ascii="Sylfaen" w:hAnsi="Sylfaen" w:cs="Sylfaen"/>
        </w:rPr>
        <w:t>არ</w:t>
      </w:r>
      <w:r w:rsidRPr="003D733D">
        <w:t xml:space="preserve"> </w:t>
      </w:r>
      <w:r w:rsidRPr="003D733D">
        <w:rPr>
          <w:rFonts w:ascii="Sylfaen" w:hAnsi="Sylfaen" w:cs="Sylfaen"/>
        </w:rPr>
        <w:t>უნდა</w:t>
      </w:r>
      <w:r w:rsidRPr="003D733D">
        <w:t xml:space="preserve"> </w:t>
      </w:r>
      <w:r w:rsidRPr="003D733D">
        <w:rPr>
          <w:rFonts w:ascii="Sylfaen" w:hAnsi="Sylfaen" w:cs="Sylfaen"/>
        </w:rPr>
        <w:t>გავაკეთოთ</w:t>
      </w:r>
      <w:r w:rsidRPr="003D733D">
        <w:t>:</w:t>
      </w:r>
    </w:p>
    <w:p w14:paraId="2BAE131D" w14:textId="77777777" w:rsidR="00A2588D" w:rsidRPr="003D733D" w:rsidRDefault="00A2588D" w:rsidP="00A2588D">
      <w:r w:rsidRPr="003D733D">
        <w:rPr>
          <w:rFonts w:ascii="Sylfaen" w:hAnsi="Sylfaen" w:cs="Sylfaen"/>
        </w:rPr>
        <w:t>არ</w:t>
      </w:r>
      <w:r w:rsidRPr="003D733D">
        <w:t xml:space="preserve"> </w:t>
      </w:r>
      <w:r w:rsidRPr="003D733D">
        <w:rPr>
          <w:rFonts w:ascii="Sylfaen" w:hAnsi="Sylfaen" w:cs="Sylfaen"/>
        </w:rPr>
        <w:t>ჩავყოთ</w:t>
      </w:r>
      <w:r w:rsidRPr="003D733D">
        <w:t xml:space="preserve"> </w:t>
      </w:r>
      <w:r w:rsidRPr="003D733D">
        <w:rPr>
          <w:rFonts w:ascii="Sylfaen" w:hAnsi="Sylfaen" w:cs="Sylfaen"/>
        </w:rPr>
        <w:t>ხელი</w:t>
      </w:r>
      <w:r w:rsidRPr="003D733D">
        <w:t xml:space="preserve"> </w:t>
      </w:r>
      <w:r w:rsidRPr="003D733D">
        <w:rPr>
          <w:rFonts w:ascii="Sylfaen" w:hAnsi="Sylfaen" w:cs="Sylfaen"/>
        </w:rPr>
        <w:t>ჭრილობაში</w:t>
      </w:r>
      <w:r w:rsidRPr="003D733D">
        <w:t xml:space="preserve">; </w:t>
      </w:r>
    </w:p>
    <w:p w14:paraId="50201268" w14:textId="77777777" w:rsidR="00A2588D" w:rsidRPr="003D733D" w:rsidRDefault="00A2588D" w:rsidP="00A2588D">
      <w:r w:rsidRPr="003D733D">
        <w:rPr>
          <w:rFonts w:ascii="Sylfaen" w:hAnsi="Sylfaen" w:cs="Sylfaen"/>
        </w:rPr>
        <w:t>ჭრილობიდან</w:t>
      </w:r>
      <w:r w:rsidRPr="003D733D">
        <w:t xml:space="preserve"> </w:t>
      </w:r>
      <w:r w:rsidRPr="003D733D">
        <w:rPr>
          <w:rFonts w:ascii="Sylfaen" w:hAnsi="Sylfaen" w:cs="Sylfaen"/>
        </w:rPr>
        <w:t>არაფერი</w:t>
      </w:r>
      <w:r w:rsidRPr="003D733D">
        <w:t xml:space="preserve"> </w:t>
      </w:r>
      <w:r w:rsidRPr="003D733D">
        <w:rPr>
          <w:rFonts w:ascii="Sylfaen" w:hAnsi="Sylfaen" w:cs="Sylfaen"/>
        </w:rPr>
        <w:t>ამოვიღოთ</w:t>
      </w:r>
      <w:r w:rsidRPr="003D733D">
        <w:t xml:space="preserve">. </w:t>
      </w:r>
      <w:r w:rsidRPr="003D733D">
        <w:rPr>
          <w:rFonts w:ascii="Sylfaen" w:hAnsi="Sylfaen" w:cs="Sylfaen"/>
        </w:rPr>
        <w:t>თუ</w:t>
      </w:r>
      <w:r w:rsidRPr="003D733D">
        <w:t xml:space="preserve"> </w:t>
      </w:r>
      <w:r w:rsidRPr="003D733D">
        <w:rPr>
          <w:rFonts w:ascii="Sylfaen" w:hAnsi="Sylfaen" w:cs="Sylfaen"/>
        </w:rPr>
        <w:t>ჭრილობიდან</w:t>
      </w:r>
      <w:r w:rsidRPr="003D733D">
        <w:t xml:space="preserve"> </w:t>
      </w:r>
      <w:r w:rsidRPr="003D733D">
        <w:rPr>
          <w:rFonts w:ascii="Sylfaen" w:hAnsi="Sylfaen" w:cs="Sylfaen"/>
        </w:rPr>
        <w:t>გამოჭრილია</w:t>
      </w:r>
      <w:r w:rsidRPr="003D733D">
        <w:t xml:space="preserve"> </w:t>
      </w:r>
      <w:r w:rsidRPr="003D733D">
        <w:rPr>
          <w:rFonts w:ascii="Sylfaen" w:hAnsi="Sylfaen" w:cs="Sylfaen"/>
        </w:rPr>
        <w:t>უცხო</w:t>
      </w:r>
      <w:r w:rsidRPr="003D733D">
        <w:t xml:space="preserve"> </w:t>
      </w:r>
      <w:r w:rsidRPr="003D733D">
        <w:rPr>
          <w:rFonts w:ascii="Sylfaen" w:hAnsi="Sylfaen" w:cs="Sylfaen"/>
        </w:rPr>
        <w:t>სხეული</w:t>
      </w:r>
      <w:r w:rsidRPr="003D733D">
        <w:t xml:space="preserve">, </w:t>
      </w:r>
      <w:r w:rsidRPr="003D733D">
        <w:rPr>
          <w:rFonts w:ascii="Sylfaen" w:hAnsi="Sylfaen" w:cs="Sylfaen"/>
        </w:rPr>
        <w:t>ვეცადოთ</w:t>
      </w:r>
      <w:r w:rsidRPr="003D733D">
        <w:t xml:space="preserve">, </w:t>
      </w:r>
      <w:r w:rsidRPr="003D733D">
        <w:rPr>
          <w:rFonts w:ascii="Sylfaen" w:hAnsi="Sylfaen" w:cs="Sylfaen"/>
        </w:rPr>
        <w:t>ის</w:t>
      </w:r>
      <w:r w:rsidRPr="003D733D">
        <w:t xml:space="preserve"> </w:t>
      </w:r>
      <w:r w:rsidRPr="003D733D">
        <w:rPr>
          <w:rFonts w:ascii="Sylfaen" w:hAnsi="Sylfaen" w:cs="Sylfaen"/>
        </w:rPr>
        <w:t>მაქსიმალურად</w:t>
      </w:r>
      <w:r w:rsidRPr="003D733D">
        <w:t xml:space="preserve"> </w:t>
      </w:r>
      <w:r w:rsidRPr="003D733D">
        <w:rPr>
          <w:rFonts w:ascii="Sylfaen" w:hAnsi="Sylfaen" w:cs="Sylfaen"/>
        </w:rPr>
        <w:t>დავაფიქსიროთ</w:t>
      </w:r>
      <w:r w:rsidRPr="003D733D">
        <w:t xml:space="preserve"> (</w:t>
      </w:r>
      <w:r w:rsidRPr="003D733D">
        <w:rPr>
          <w:rFonts w:ascii="Sylfaen" w:hAnsi="Sylfaen" w:cs="Sylfaen"/>
        </w:rPr>
        <w:t>ნახვევი</w:t>
      </w:r>
      <w:r w:rsidRPr="003D733D">
        <w:t xml:space="preserve"> </w:t>
      </w:r>
      <w:r w:rsidRPr="003D733D">
        <w:rPr>
          <w:rFonts w:ascii="Sylfaen" w:hAnsi="Sylfaen" w:cs="Sylfaen"/>
        </w:rPr>
        <w:t>დავადოთ</w:t>
      </w:r>
      <w:r w:rsidRPr="003D733D">
        <w:t xml:space="preserve"> </w:t>
      </w:r>
      <w:r w:rsidRPr="003D733D">
        <w:rPr>
          <w:rFonts w:ascii="Sylfaen" w:hAnsi="Sylfaen" w:cs="Sylfaen"/>
        </w:rPr>
        <w:t>გამოჩრილი</w:t>
      </w:r>
      <w:r w:rsidRPr="003D733D">
        <w:t xml:space="preserve"> </w:t>
      </w:r>
      <w:r w:rsidRPr="003D733D">
        <w:rPr>
          <w:rFonts w:ascii="Sylfaen" w:hAnsi="Sylfaen" w:cs="Sylfaen"/>
        </w:rPr>
        <w:t>უცხო</w:t>
      </w:r>
      <w:r w:rsidRPr="003D733D">
        <w:t xml:space="preserve"> </w:t>
      </w:r>
      <w:r w:rsidRPr="003D733D">
        <w:rPr>
          <w:rFonts w:ascii="Sylfaen" w:hAnsi="Sylfaen" w:cs="Sylfaen"/>
        </w:rPr>
        <w:t>სხეულის</w:t>
      </w:r>
      <w:r w:rsidRPr="003D733D">
        <w:t xml:space="preserve"> </w:t>
      </w:r>
      <w:r w:rsidRPr="003D733D">
        <w:rPr>
          <w:rFonts w:ascii="Sylfaen" w:hAnsi="Sylfaen" w:cs="Sylfaen"/>
        </w:rPr>
        <w:t>ირგვლივ</w:t>
      </w:r>
      <w:r w:rsidRPr="003D733D">
        <w:t>).</w:t>
      </w:r>
    </w:p>
    <w:p w14:paraId="796EF592" w14:textId="77777777" w:rsidR="00A2588D" w:rsidRPr="003D733D" w:rsidRDefault="00A2588D" w:rsidP="00A2588D">
      <w:r w:rsidRPr="003D733D">
        <w:rPr>
          <w:rFonts w:ascii="Sylfaen" w:hAnsi="Sylfaen" w:cs="Sylfaen"/>
        </w:rPr>
        <w:t>შინაგანი</w:t>
      </w:r>
      <w:r w:rsidRPr="003D733D">
        <w:t xml:space="preserve"> </w:t>
      </w:r>
      <w:r w:rsidRPr="003D733D">
        <w:rPr>
          <w:rFonts w:ascii="Sylfaen" w:hAnsi="Sylfaen" w:cs="Sylfaen"/>
        </w:rPr>
        <w:t>სისხლდენის</w:t>
      </w:r>
      <w:r w:rsidRPr="003D733D">
        <w:t xml:space="preserve"> </w:t>
      </w:r>
      <w:r w:rsidRPr="003D733D">
        <w:rPr>
          <w:rFonts w:ascii="Sylfaen" w:hAnsi="Sylfaen" w:cs="Sylfaen"/>
        </w:rPr>
        <w:t>დროს</w:t>
      </w:r>
      <w:r w:rsidRPr="003D733D">
        <w:t>:</w:t>
      </w:r>
    </w:p>
    <w:p w14:paraId="30CFE16B" w14:textId="77777777" w:rsidR="00A2588D" w:rsidRPr="003D733D" w:rsidRDefault="00A2588D" w:rsidP="00A2588D">
      <w:r w:rsidRPr="003D733D">
        <w:rPr>
          <w:rFonts w:ascii="Sylfaen" w:hAnsi="Sylfaen" w:cs="Sylfaen"/>
        </w:rPr>
        <w:t>დააწვინეთ</w:t>
      </w:r>
      <w:r w:rsidRPr="003D733D">
        <w:t xml:space="preserve"> </w:t>
      </w:r>
      <w:r w:rsidRPr="003D733D">
        <w:rPr>
          <w:rFonts w:ascii="Sylfaen" w:hAnsi="Sylfaen" w:cs="Sylfaen"/>
        </w:rPr>
        <w:t>დაზარალებული</w:t>
      </w:r>
      <w:r w:rsidRPr="003D733D">
        <w:t xml:space="preserve"> </w:t>
      </w:r>
      <w:r w:rsidRPr="003D733D">
        <w:rPr>
          <w:rFonts w:ascii="Sylfaen" w:hAnsi="Sylfaen" w:cs="Sylfaen"/>
        </w:rPr>
        <w:t>ზურგზე</w:t>
      </w:r>
      <w:r w:rsidRPr="003D733D">
        <w:t xml:space="preserve"> </w:t>
      </w:r>
      <w:r w:rsidRPr="003D733D">
        <w:rPr>
          <w:rFonts w:ascii="Sylfaen" w:hAnsi="Sylfaen" w:cs="Sylfaen"/>
        </w:rPr>
        <w:t>და</w:t>
      </w:r>
      <w:r w:rsidRPr="003D733D">
        <w:t xml:space="preserve"> </w:t>
      </w:r>
      <w:r w:rsidRPr="003D733D">
        <w:rPr>
          <w:rFonts w:ascii="Sylfaen" w:hAnsi="Sylfaen" w:cs="Sylfaen"/>
        </w:rPr>
        <w:t>აუწიეთ</w:t>
      </w:r>
      <w:r w:rsidRPr="003D733D">
        <w:t xml:space="preserve"> </w:t>
      </w:r>
      <w:r w:rsidRPr="003D733D">
        <w:rPr>
          <w:rFonts w:ascii="Sylfaen" w:hAnsi="Sylfaen" w:cs="Sylfaen"/>
        </w:rPr>
        <w:t>ფეხები</w:t>
      </w:r>
      <w:r w:rsidRPr="003D733D">
        <w:t xml:space="preserve"> </w:t>
      </w:r>
      <w:r w:rsidRPr="003D733D">
        <w:rPr>
          <w:rFonts w:ascii="Sylfaen" w:hAnsi="Sylfaen" w:cs="Sylfaen"/>
        </w:rPr>
        <w:t>ზემოთ</w:t>
      </w:r>
      <w:r w:rsidRPr="003D733D">
        <w:t>;</w:t>
      </w:r>
    </w:p>
    <w:p w14:paraId="3207979E" w14:textId="77777777" w:rsidR="00A2588D" w:rsidRPr="003D733D" w:rsidRDefault="00A2588D" w:rsidP="00A2588D">
      <w:r w:rsidRPr="003D733D">
        <w:rPr>
          <w:rFonts w:ascii="Sylfaen" w:hAnsi="Sylfaen" w:cs="Sylfaen"/>
        </w:rPr>
        <w:t>შეხსენით</w:t>
      </w:r>
      <w:r w:rsidRPr="003D733D">
        <w:t xml:space="preserve"> </w:t>
      </w:r>
      <w:r w:rsidRPr="003D733D">
        <w:rPr>
          <w:rFonts w:ascii="Sylfaen" w:hAnsi="Sylfaen" w:cs="Sylfaen"/>
        </w:rPr>
        <w:t>მჭიდრო</w:t>
      </w:r>
      <w:r w:rsidRPr="003D733D">
        <w:t xml:space="preserve"> </w:t>
      </w:r>
      <w:r w:rsidRPr="003D733D">
        <w:rPr>
          <w:rFonts w:ascii="Sylfaen" w:hAnsi="Sylfaen" w:cs="Sylfaen"/>
        </w:rPr>
        <w:t>ტანსაცმელი</w:t>
      </w:r>
      <w:r w:rsidRPr="003D733D">
        <w:t xml:space="preserve"> </w:t>
      </w:r>
      <w:r w:rsidRPr="003D733D">
        <w:rPr>
          <w:rFonts w:ascii="Sylfaen" w:hAnsi="Sylfaen" w:cs="Sylfaen"/>
        </w:rPr>
        <w:t>კისერზე</w:t>
      </w:r>
      <w:r w:rsidRPr="003D733D">
        <w:t xml:space="preserve">, </w:t>
      </w:r>
      <w:r w:rsidRPr="003D733D">
        <w:rPr>
          <w:rFonts w:ascii="Sylfaen" w:hAnsi="Sylfaen" w:cs="Sylfaen"/>
        </w:rPr>
        <w:t>გულმკერდზე</w:t>
      </w:r>
      <w:r w:rsidRPr="003D733D">
        <w:t xml:space="preserve">, </w:t>
      </w:r>
      <w:r w:rsidRPr="003D733D">
        <w:rPr>
          <w:rFonts w:ascii="Sylfaen" w:hAnsi="Sylfaen" w:cs="Sylfaen"/>
        </w:rPr>
        <w:t>წელზე</w:t>
      </w:r>
      <w:r w:rsidRPr="003D733D">
        <w:t>;</w:t>
      </w:r>
    </w:p>
    <w:p w14:paraId="685068C1" w14:textId="77777777" w:rsidR="00A2588D" w:rsidRPr="003D733D" w:rsidRDefault="00A2588D" w:rsidP="00A2588D">
      <w:r w:rsidRPr="003D733D">
        <w:rPr>
          <w:rFonts w:ascii="Sylfaen" w:hAnsi="Sylfaen" w:cs="Sylfaen"/>
        </w:rPr>
        <w:t>არ</w:t>
      </w:r>
      <w:r w:rsidRPr="003D733D">
        <w:t xml:space="preserve"> </w:t>
      </w:r>
      <w:r w:rsidRPr="003D733D">
        <w:rPr>
          <w:rFonts w:ascii="Sylfaen" w:hAnsi="Sylfaen" w:cs="Sylfaen"/>
        </w:rPr>
        <w:t>მისცეთ</w:t>
      </w:r>
      <w:r w:rsidRPr="003D733D">
        <w:t xml:space="preserve"> </w:t>
      </w:r>
      <w:r w:rsidRPr="003D733D">
        <w:rPr>
          <w:rFonts w:ascii="Sylfaen" w:hAnsi="Sylfaen" w:cs="Sylfaen"/>
        </w:rPr>
        <w:t>დაზარალებულს</w:t>
      </w:r>
      <w:r w:rsidRPr="003D733D">
        <w:t xml:space="preserve"> </w:t>
      </w:r>
      <w:r w:rsidRPr="003D733D">
        <w:rPr>
          <w:rFonts w:ascii="Sylfaen" w:hAnsi="Sylfaen" w:cs="Sylfaen"/>
        </w:rPr>
        <w:t>საჭმელი</w:t>
      </w:r>
      <w:r w:rsidRPr="003D733D">
        <w:t xml:space="preserve">, </w:t>
      </w:r>
      <w:r w:rsidRPr="003D733D">
        <w:rPr>
          <w:rFonts w:ascii="Sylfaen" w:hAnsi="Sylfaen" w:cs="Sylfaen"/>
        </w:rPr>
        <w:t>წამალი</w:t>
      </w:r>
      <w:r w:rsidRPr="003D733D">
        <w:t xml:space="preserve"> </w:t>
      </w:r>
      <w:r w:rsidRPr="003D733D">
        <w:rPr>
          <w:rFonts w:ascii="Sylfaen" w:hAnsi="Sylfaen" w:cs="Sylfaen"/>
        </w:rPr>
        <w:t>და</w:t>
      </w:r>
      <w:r w:rsidRPr="003D733D">
        <w:t xml:space="preserve"> </w:t>
      </w:r>
      <w:r w:rsidRPr="003D733D">
        <w:rPr>
          <w:rFonts w:ascii="Sylfaen" w:hAnsi="Sylfaen" w:cs="Sylfaen"/>
        </w:rPr>
        <w:t>სასმელი</w:t>
      </w:r>
      <w:r w:rsidRPr="003D733D">
        <w:t xml:space="preserve">. </w:t>
      </w:r>
      <w:r w:rsidRPr="003D733D">
        <w:rPr>
          <w:rFonts w:ascii="Sylfaen" w:hAnsi="Sylfaen" w:cs="Sylfaen"/>
        </w:rPr>
        <w:t>თუ</w:t>
      </w:r>
      <w:r w:rsidRPr="003D733D">
        <w:t xml:space="preserve"> </w:t>
      </w:r>
      <w:r w:rsidRPr="003D733D">
        <w:rPr>
          <w:rFonts w:ascii="Sylfaen" w:hAnsi="Sylfaen" w:cs="Sylfaen"/>
        </w:rPr>
        <w:t>დაზარალებული</w:t>
      </w:r>
      <w:r w:rsidRPr="003D733D">
        <w:t xml:space="preserve"> </w:t>
      </w:r>
      <w:r w:rsidRPr="003D733D">
        <w:rPr>
          <w:rFonts w:ascii="Sylfaen" w:hAnsi="Sylfaen" w:cs="Sylfaen"/>
        </w:rPr>
        <w:t>გონზეა</w:t>
      </w:r>
      <w:r w:rsidRPr="003D733D">
        <w:t xml:space="preserve"> </w:t>
      </w:r>
      <w:r w:rsidRPr="003D733D">
        <w:rPr>
          <w:rFonts w:ascii="Sylfaen" w:hAnsi="Sylfaen" w:cs="Sylfaen"/>
        </w:rPr>
        <w:t>და</w:t>
      </w:r>
      <w:r w:rsidRPr="003D733D">
        <w:t xml:space="preserve"> </w:t>
      </w:r>
      <w:r w:rsidRPr="003D733D">
        <w:rPr>
          <w:rFonts w:ascii="Sylfaen" w:hAnsi="Sylfaen" w:cs="Sylfaen"/>
        </w:rPr>
        <w:t>აღენიშნება</w:t>
      </w:r>
      <w:r w:rsidRPr="003D733D">
        <w:t xml:space="preserve"> </w:t>
      </w:r>
      <w:r w:rsidRPr="003D733D">
        <w:rPr>
          <w:rFonts w:ascii="Sylfaen" w:hAnsi="Sylfaen" w:cs="Sylfaen"/>
        </w:rPr>
        <w:t>ძლიერი</w:t>
      </w:r>
      <w:r w:rsidRPr="003D733D">
        <w:t xml:space="preserve"> </w:t>
      </w:r>
      <w:r w:rsidRPr="003D733D">
        <w:rPr>
          <w:rFonts w:ascii="Sylfaen" w:hAnsi="Sylfaen" w:cs="Sylfaen"/>
        </w:rPr>
        <w:t>წყურვილის</w:t>
      </w:r>
      <w:r w:rsidRPr="003D733D">
        <w:t xml:space="preserve"> </w:t>
      </w:r>
      <w:r w:rsidRPr="003D733D">
        <w:rPr>
          <w:rFonts w:ascii="Sylfaen" w:hAnsi="Sylfaen" w:cs="Sylfaen"/>
        </w:rPr>
        <w:t>შეგრძნება</w:t>
      </w:r>
      <w:r w:rsidRPr="003D733D">
        <w:t xml:space="preserve">, </w:t>
      </w:r>
      <w:r w:rsidRPr="003D733D">
        <w:rPr>
          <w:rFonts w:ascii="Sylfaen" w:hAnsi="Sylfaen" w:cs="Sylfaen"/>
        </w:rPr>
        <w:t>დაუსველეთ</w:t>
      </w:r>
      <w:r w:rsidRPr="003D733D">
        <w:t xml:space="preserve"> </w:t>
      </w:r>
      <w:r w:rsidRPr="003D733D">
        <w:rPr>
          <w:rFonts w:ascii="Sylfaen" w:hAnsi="Sylfaen" w:cs="Sylfaen"/>
        </w:rPr>
        <w:t>მას</w:t>
      </w:r>
      <w:r w:rsidRPr="003D733D">
        <w:t xml:space="preserve"> </w:t>
      </w:r>
      <w:r w:rsidRPr="003D733D">
        <w:rPr>
          <w:rFonts w:ascii="Sylfaen" w:hAnsi="Sylfaen" w:cs="Sylfaen"/>
        </w:rPr>
        <w:t>ტუჩები</w:t>
      </w:r>
      <w:r w:rsidRPr="003D733D">
        <w:t>;</w:t>
      </w:r>
    </w:p>
    <w:p w14:paraId="6FCFA494" w14:textId="77777777" w:rsidR="00A2588D" w:rsidRPr="003D733D" w:rsidRDefault="00A2588D" w:rsidP="00A2588D">
      <w:r w:rsidRPr="003D733D">
        <w:rPr>
          <w:rFonts w:ascii="Sylfaen" w:hAnsi="Sylfaen" w:cs="Sylfaen"/>
        </w:rPr>
        <w:t>დაათბუნეთ</w:t>
      </w:r>
      <w:r w:rsidRPr="003D733D">
        <w:t xml:space="preserve"> </w:t>
      </w:r>
      <w:r w:rsidRPr="003D733D">
        <w:rPr>
          <w:rFonts w:ascii="Sylfaen" w:hAnsi="Sylfaen" w:cs="Sylfaen"/>
        </w:rPr>
        <w:t>დაზარალებული</w:t>
      </w:r>
      <w:r w:rsidRPr="003D733D">
        <w:t xml:space="preserve"> </w:t>
      </w:r>
      <w:r w:rsidRPr="003D733D">
        <w:rPr>
          <w:rFonts w:cs="Arial"/>
        </w:rPr>
        <w:t>–</w:t>
      </w:r>
      <w:r w:rsidRPr="003D733D">
        <w:t xml:space="preserve"> </w:t>
      </w:r>
      <w:r w:rsidRPr="003D733D">
        <w:rPr>
          <w:rFonts w:ascii="Sylfaen" w:hAnsi="Sylfaen" w:cs="Sylfaen"/>
        </w:rPr>
        <w:t>გადააფარეთ</w:t>
      </w:r>
      <w:r w:rsidRPr="003D733D">
        <w:t xml:space="preserve"> </w:t>
      </w:r>
      <w:r w:rsidRPr="003D733D">
        <w:rPr>
          <w:rFonts w:ascii="Sylfaen" w:hAnsi="Sylfaen" w:cs="Sylfaen"/>
        </w:rPr>
        <w:t>საბანი</w:t>
      </w:r>
      <w:r w:rsidRPr="003D733D">
        <w:t xml:space="preserve"> </w:t>
      </w:r>
      <w:r w:rsidRPr="003D733D">
        <w:rPr>
          <w:rFonts w:ascii="Sylfaen" w:hAnsi="Sylfaen" w:cs="Sylfaen"/>
        </w:rPr>
        <w:t>ან</w:t>
      </w:r>
      <w:r w:rsidRPr="003D733D">
        <w:t xml:space="preserve"> </w:t>
      </w:r>
      <w:r w:rsidRPr="003D733D">
        <w:rPr>
          <w:rFonts w:ascii="Sylfaen" w:hAnsi="Sylfaen" w:cs="Sylfaen"/>
        </w:rPr>
        <w:t>ქსოვილი</w:t>
      </w:r>
      <w:r w:rsidRPr="003D733D">
        <w:t>;</w:t>
      </w:r>
    </w:p>
    <w:p w14:paraId="0BE9B442" w14:textId="77777777" w:rsidR="00A2588D" w:rsidRPr="003D733D" w:rsidRDefault="00A2588D" w:rsidP="00A2588D">
      <w:r w:rsidRPr="003D733D">
        <w:rPr>
          <w:rFonts w:ascii="Sylfaen" w:hAnsi="Sylfaen" w:cs="Sylfaen"/>
        </w:rPr>
        <w:lastRenderedPageBreak/>
        <w:t>ყოველ</w:t>
      </w:r>
      <w:r w:rsidRPr="003D733D">
        <w:t xml:space="preserve"> 10 </w:t>
      </w:r>
      <w:r w:rsidRPr="003D733D">
        <w:rPr>
          <w:rFonts w:ascii="Sylfaen" w:hAnsi="Sylfaen" w:cs="Sylfaen"/>
        </w:rPr>
        <w:t>წთ</w:t>
      </w:r>
      <w:r w:rsidRPr="003D733D">
        <w:t>-</w:t>
      </w:r>
      <w:r w:rsidRPr="003D733D">
        <w:rPr>
          <w:rFonts w:ascii="Sylfaen" w:hAnsi="Sylfaen" w:cs="Sylfaen"/>
        </w:rPr>
        <w:t>ში</w:t>
      </w:r>
      <w:r w:rsidRPr="003D733D">
        <w:t xml:space="preserve"> </w:t>
      </w:r>
      <w:r w:rsidRPr="003D733D">
        <w:rPr>
          <w:rFonts w:ascii="Sylfaen" w:hAnsi="Sylfaen" w:cs="Sylfaen"/>
        </w:rPr>
        <w:t>ერთხელ</w:t>
      </w:r>
      <w:r w:rsidRPr="003D733D">
        <w:t xml:space="preserve"> </w:t>
      </w:r>
      <w:r w:rsidRPr="003D733D">
        <w:rPr>
          <w:rFonts w:ascii="Sylfaen" w:hAnsi="Sylfaen" w:cs="Sylfaen"/>
        </w:rPr>
        <w:t>გადაამოწმეთ</w:t>
      </w:r>
      <w:r w:rsidRPr="003D733D">
        <w:t xml:space="preserve"> </w:t>
      </w:r>
      <w:r w:rsidRPr="003D733D">
        <w:rPr>
          <w:rFonts w:ascii="Sylfaen" w:hAnsi="Sylfaen" w:cs="Sylfaen"/>
        </w:rPr>
        <w:t>პულსი</w:t>
      </w:r>
      <w:r w:rsidRPr="003D733D">
        <w:t xml:space="preserve">, </w:t>
      </w:r>
      <w:r w:rsidRPr="003D733D">
        <w:rPr>
          <w:rFonts w:ascii="Sylfaen" w:hAnsi="Sylfaen" w:cs="Sylfaen"/>
        </w:rPr>
        <w:t>სუნთქვა</w:t>
      </w:r>
      <w:r w:rsidRPr="003D733D">
        <w:t xml:space="preserve"> </w:t>
      </w:r>
      <w:r w:rsidRPr="003D733D">
        <w:rPr>
          <w:rFonts w:ascii="Sylfaen" w:hAnsi="Sylfaen" w:cs="Sylfaen"/>
        </w:rPr>
        <w:t>და</w:t>
      </w:r>
      <w:r w:rsidRPr="003D733D">
        <w:t xml:space="preserve"> </w:t>
      </w:r>
      <w:r w:rsidRPr="003D733D">
        <w:rPr>
          <w:rFonts w:ascii="Sylfaen" w:hAnsi="Sylfaen" w:cs="Sylfaen"/>
        </w:rPr>
        <w:t>ცნობიერების</w:t>
      </w:r>
      <w:r w:rsidRPr="003D733D">
        <w:t xml:space="preserve"> </w:t>
      </w:r>
      <w:r w:rsidRPr="003D733D">
        <w:rPr>
          <w:rFonts w:ascii="Sylfaen" w:hAnsi="Sylfaen" w:cs="Sylfaen"/>
        </w:rPr>
        <w:t>დონე</w:t>
      </w:r>
      <w:r w:rsidRPr="003D733D">
        <w:t xml:space="preserve">. </w:t>
      </w:r>
      <w:r w:rsidRPr="003D733D">
        <w:rPr>
          <w:rFonts w:ascii="Sylfaen" w:hAnsi="Sylfaen" w:cs="Sylfaen"/>
        </w:rPr>
        <w:t>თუ</w:t>
      </w:r>
      <w:r w:rsidRPr="003D733D">
        <w:t xml:space="preserve"> </w:t>
      </w:r>
      <w:r w:rsidRPr="003D733D">
        <w:rPr>
          <w:rFonts w:ascii="Sylfaen" w:hAnsi="Sylfaen" w:cs="Sylfaen"/>
        </w:rPr>
        <w:t>დაზარალებული</w:t>
      </w:r>
      <w:r w:rsidRPr="003D733D">
        <w:t xml:space="preserve"> </w:t>
      </w:r>
      <w:r w:rsidRPr="003D733D">
        <w:rPr>
          <w:rFonts w:ascii="Sylfaen" w:hAnsi="Sylfaen" w:cs="Sylfaen"/>
        </w:rPr>
        <w:t>კარგავს</w:t>
      </w:r>
      <w:r w:rsidRPr="003D733D">
        <w:t xml:space="preserve"> </w:t>
      </w:r>
      <w:r w:rsidRPr="003D733D">
        <w:rPr>
          <w:rFonts w:ascii="Sylfaen" w:hAnsi="Sylfaen" w:cs="Sylfaen"/>
        </w:rPr>
        <w:t>გონებას</w:t>
      </w:r>
      <w:r w:rsidRPr="003D733D">
        <w:t xml:space="preserve">, </w:t>
      </w:r>
      <w:r w:rsidRPr="003D733D">
        <w:rPr>
          <w:rFonts w:ascii="Sylfaen" w:hAnsi="Sylfaen" w:cs="Sylfaen"/>
        </w:rPr>
        <w:t>მოათავსეთ</w:t>
      </w:r>
      <w:r w:rsidRPr="003D733D">
        <w:t xml:space="preserve"> </w:t>
      </w:r>
      <w:r w:rsidRPr="003D733D">
        <w:rPr>
          <w:rFonts w:ascii="Sylfaen" w:hAnsi="Sylfaen" w:cs="Sylfaen"/>
        </w:rPr>
        <w:t>უსაფრთხო</w:t>
      </w:r>
      <w:r w:rsidRPr="003D733D">
        <w:t xml:space="preserve"> </w:t>
      </w:r>
      <w:r w:rsidRPr="003D733D">
        <w:rPr>
          <w:rFonts w:ascii="Sylfaen" w:hAnsi="Sylfaen" w:cs="Sylfaen"/>
        </w:rPr>
        <w:t>მდებარეობაში</w:t>
      </w:r>
      <w:r w:rsidRPr="003D733D">
        <w:t>.</w:t>
      </w:r>
    </w:p>
    <w:p w14:paraId="1FB5106F" w14:textId="77777777" w:rsidR="00A2588D" w:rsidRPr="003D733D" w:rsidRDefault="00A2588D" w:rsidP="00A2588D"/>
    <w:p w14:paraId="00443E9B" w14:textId="77777777" w:rsidR="00A2588D" w:rsidRPr="003D733D" w:rsidRDefault="00A2588D" w:rsidP="00A2588D">
      <w:r w:rsidRPr="003D733D">
        <w:rPr>
          <w:rFonts w:ascii="Sylfaen" w:hAnsi="Sylfaen" w:cs="Sylfaen"/>
        </w:rPr>
        <w:t>დამწვრობის</w:t>
      </w:r>
      <w:r w:rsidRPr="003D733D">
        <w:t xml:space="preserve"> </w:t>
      </w:r>
      <w:r w:rsidRPr="003D733D">
        <w:rPr>
          <w:rFonts w:ascii="Sylfaen" w:hAnsi="Sylfaen" w:cs="Sylfaen"/>
        </w:rPr>
        <w:t>დროს</w:t>
      </w:r>
      <w:r w:rsidRPr="003D733D">
        <w:t xml:space="preserve"> </w:t>
      </w:r>
      <w:r w:rsidRPr="003D733D">
        <w:rPr>
          <w:rFonts w:ascii="Sylfaen" w:hAnsi="Sylfaen" w:cs="Sylfaen"/>
        </w:rPr>
        <w:t>პირველადი</w:t>
      </w:r>
      <w:r w:rsidRPr="003D733D">
        <w:t xml:space="preserve"> </w:t>
      </w:r>
      <w:r w:rsidRPr="003D733D">
        <w:rPr>
          <w:rFonts w:ascii="Sylfaen" w:hAnsi="Sylfaen" w:cs="Sylfaen"/>
        </w:rPr>
        <w:t>დახმარების</w:t>
      </w:r>
      <w:r w:rsidRPr="003D733D">
        <w:t xml:space="preserve"> </w:t>
      </w:r>
      <w:r w:rsidRPr="003D733D">
        <w:rPr>
          <w:rFonts w:ascii="Sylfaen" w:hAnsi="Sylfaen" w:cs="Sylfaen"/>
        </w:rPr>
        <w:t>ღონისძიებებია</w:t>
      </w:r>
      <w:r w:rsidRPr="003D733D">
        <w:t>:</w:t>
      </w:r>
    </w:p>
    <w:p w14:paraId="55227056" w14:textId="77777777" w:rsidR="00A2588D" w:rsidRPr="003D733D" w:rsidRDefault="00A2588D" w:rsidP="00A2588D">
      <w:r w:rsidRPr="003D733D">
        <w:rPr>
          <w:rFonts w:ascii="Sylfaen" w:hAnsi="Sylfaen" w:cs="Sylfaen"/>
        </w:rPr>
        <w:t>დამწვრობის</w:t>
      </w:r>
      <w:r w:rsidRPr="003D733D">
        <w:t xml:space="preserve"> </w:t>
      </w:r>
      <w:r w:rsidRPr="003D733D">
        <w:rPr>
          <w:rFonts w:ascii="Sylfaen" w:hAnsi="Sylfaen" w:cs="Sylfaen"/>
        </w:rPr>
        <w:t>დროს</w:t>
      </w:r>
      <w:r w:rsidRPr="003D733D">
        <w:t xml:space="preserve"> </w:t>
      </w:r>
      <w:r w:rsidRPr="003D733D">
        <w:rPr>
          <w:rFonts w:ascii="Sylfaen" w:hAnsi="Sylfaen" w:cs="Sylfaen"/>
        </w:rPr>
        <w:t>საშიშია</w:t>
      </w:r>
      <w:r w:rsidRPr="003D733D">
        <w:t xml:space="preserve"> </w:t>
      </w:r>
      <w:r w:rsidRPr="003D733D">
        <w:rPr>
          <w:rFonts w:ascii="Sylfaen" w:hAnsi="Sylfaen" w:cs="Sylfaen"/>
        </w:rPr>
        <w:t>კვამლის</w:t>
      </w:r>
      <w:r w:rsidRPr="003D733D">
        <w:t xml:space="preserve"> </w:t>
      </w:r>
      <w:r w:rsidRPr="003D733D">
        <w:rPr>
          <w:rFonts w:ascii="Sylfaen" w:hAnsi="Sylfaen" w:cs="Sylfaen"/>
        </w:rPr>
        <w:t>შესუნთქვა</w:t>
      </w:r>
      <w:r w:rsidRPr="003D733D">
        <w:t xml:space="preserve">, </w:t>
      </w:r>
      <w:r w:rsidRPr="003D733D">
        <w:rPr>
          <w:rFonts w:ascii="Sylfaen" w:hAnsi="Sylfaen" w:cs="Sylfaen"/>
        </w:rPr>
        <w:t>ამიტომ</w:t>
      </w:r>
      <w:r w:rsidRPr="003D733D">
        <w:t xml:space="preserve"> </w:t>
      </w:r>
      <w:r w:rsidRPr="003D733D">
        <w:rPr>
          <w:rFonts w:ascii="Sylfaen" w:hAnsi="Sylfaen" w:cs="Sylfaen"/>
        </w:rPr>
        <w:t>თუ</w:t>
      </w:r>
      <w:r w:rsidRPr="003D733D">
        <w:t xml:space="preserve"> </w:t>
      </w:r>
      <w:r w:rsidRPr="003D733D">
        <w:rPr>
          <w:rFonts w:ascii="Sylfaen" w:hAnsi="Sylfaen" w:cs="Sylfaen"/>
        </w:rPr>
        <w:t>ოთახში</w:t>
      </w:r>
      <w:r w:rsidRPr="003D733D">
        <w:t xml:space="preserve"> </w:t>
      </w:r>
      <w:r w:rsidRPr="003D733D">
        <w:rPr>
          <w:rFonts w:ascii="Sylfaen" w:hAnsi="Sylfaen" w:cs="Sylfaen"/>
        </w:rPr>
        <w:t>კვამლია</w:t>
      </w:r>
      <w:r w:rsidRPr="003D733D">
        <w:t xml:space="preserve"> </w:t>
      </w:r>
      <w:r w:rsidRPr="003D733D">
        <w:rPr>
          <w:rFonts w:ascii="Sylfaen" w:hAnsi="Sylfaen" w:cs="Sylfaen"/>
        </w:rPr>
        <w:t>და</w:t>
      </w:r>
      <w:r w:rsidRPr="003D733D">
        <w:t xml:space="preserve"> </w:t>
      </w:r>
      <w:r w:rsidRPr="003D733D">
        <w:rPr>
          <w:rFonts w:ascii="Sylfaen" w:hAnsi="Sylfaen" w:cs="Sylfaen"/>
        </w:rPr>
        <w:t>მისი</w:t>
      </w:r>
      <w:r w:rsidRPr="003D733D">
        <w:t xml:space="preserve"> </w:t>
      </w:r>
      <w:r w:rsidRPr="003D733D">
        <w:rPr>
          <w:rFonts w:ascii="Sylfaen" w:hAnsi="Sylfaen" w:cs="Sylfaen"/>
        </w:rPr>
        <w:t>სწრაფი</w:t>
      </w:r>
      <w:r w:rsidRPr="003D733D">
        <w:t xml:space="preserve"> </w:t>
      </w:r>
      <w:r w:rsidRPr="003D733D">
        <w:rPr>
          <w:rFonts w:ascii="Sylfaen" w:hAnsi="Sylfaen" w:cs="Sylfaen"/>
        </w:rPr>
        <w:t>განიავება</w:t>
      </w:r>
      <w:r w:rsidRPr="003D733D">
        <w:t xml:space="preserve"> </w:t>
      </w:r>
      <w:r w:rsidRPr="003D733D">
        <w:rPr>
          <w:rFonts w:ascii="Sylfaen" w:hAnsi="Sylfaen" w:cs="Sylfaen"/>
        </w:rPr>
        <w:t>შეუძლებელია</w:t>
      </w:r>
      <w:r w:rsidRPr="003D733D">
        <w:t xml:space="preserve">, </w:t>
      </w:r>
      <w:r w:rsidRPr="003D733D">
        <w:rPr>
          <w:rFonts w:ascii="Sylfaen" w:hAnsi="Sylfaen" w:cs="Sylfaen"/>
        </w:rPr>
        <w:t>გადაიყვანეთ</w:t>
      </w:r>
      <w:r w:rsidRPr="003D733D">
        <w:t xml:space="preserve"> </w:t>
      </w:r>
      <w:r w:rsidRPr="003D733D">
        <w:rPr>
          <w:rFonts w:ascii="Sylfaen" w:hAnsi="Sylfaen" w:cs="Sylfaen"/>
        </w:rPr>
        <w:t>დაზარალებული</w:t>
      </w:r>
      <w:r w:rsidRPr="003D733D">
        <w:t xml:space="preserve"> </w:t>
      </w:r>
      <w:r w:rsidRPr="003D733D">
        <w:rPr>
          <w:rFonts w:ascii="Sylfaen" w:hAnsi="Sylfaen" w:cs="Sylfaen"/>
        </w:rPr>
        <w:t>უსაფრთხო</w:t>
      </w:r>
      <w:r w:rsidRPr="003D733D">
        <w:t xml:space="preserve"> </w:t>
      </w:r>
      <w:r w:rsidRPr="003D733D">
        <w:rPr>
          <w:rFonts w:ascii="Sylfaen" w:hAnsi="Sylfaen" w:cs="Sylfaen"/>
        </w:rPr>
        <w:t>ადგილას</w:t>
      </w:r>
      <w:r w:rsidRPr="003D733D">
        <w:t xml:space="preserve">, </w:t>
      </w:r>
      <w:r w:rsidRPr="003D733D">
        <w:rPr>
          <w:rFonts w:ascii="Sylfaen" w:hAnsi="Sylfaen" w:cs="Sylfaen"/>
        </w:rPr>
        <w:t>სუფთა</w:t>
      </w:r>
      <w:r w:rsidRPr="003D733D">
        <w:t xml:space="preserve"> </w:t>
      </w:r>
      <w:r w:rsidRPr="003D733D">
        <w:rPr>
          <w:rFonts w:ascii="Sylfaen" w:hAnsi="Sylfaen" w:cs="Sylfaen"/>
        </w:rPr>
        <w:t>ჰაერზე</w:t>
      </w:r>
      <w:r w:rsidRPr="003D733D">
        <w:t>;</w:t>
      </w:r>
    </w:p>
    <w:p w14:paraId="253C7DA5" w14:textId="77777777" w:rsidR="00A2588D" w:rsidRPr="003D733D" w:rsidRDefault="00A2588D" w:rsidP="00A2588D">
      <w:r w:rsidRPr="003D733D">
        <w:rPr>
          <w:rFonts w:ascii="Sylfaen" w:hAnsi="Sylfaen" w:cs="Sylfaen"/>
        </w:rPr>
        <w:t>თუ</w:t>
      </w:r>
      <w:r w:rsidRPr="003D733D">
        <w:t xml:space="preserve"> </w:t>
      </w:r>
      <w:r w:rsidRPr="003D733D">
        <w:rPr>
          <w:rFonts w:ascii="Sylfaen" w:hAnsi="Sylfaen" w:cs="Sylfaen"/>
        </w:rPr>
        <w:t>დაზარალებულზე</w:t>
      </w:r>
      <w:r w:rsidRPr="003D733D">
        <w:t xml:space="preserve"> </w:t>
      </w:r>
      <w:r w:rsidRPr="003D733D">
        <w:rPr>
          <w:rFonts w:ascii="Sylfaen" w:hAnsi="Sylfaen" w:cs="Sylfaen"/>
        </w:rPr>
        <w:t>იწვის</w:t>
      </w:r>
      <w:r w:rsidRPr="003D733D">
        <w:t xml:space="preserve"> </w:t>
      </w:r>
      <w:r w:rsidRPr="003D733D">
        <w:rPr>
          <w:rFonts w:ascii="Sylfaen" w:hAnsi="Sylfaen" w:cs="Sylfaen"/>
        </w:rPr>
        <w:t>ტანსაცმელი</w:t>
      </w:r>
      <w:r w:rsidRPr="003D733D">
        <w:t xml:space="preserve">, </w:t>
      </w:r>
      <w:r w:rsidRPr="003D733D">
        <w:rPr>
          <w:rFonts w:ascii="Sylfaen" w:hAnsi="Sylfaen" w:cs="Sylfaen"/>
        </w:rPr>
        <w:t>არ</w:t>
      </w:r>
      <w:r w:rsidRPr="003D733D">
        <w:t xml:space="preserve"> </w:t>
      </w:r>
      <w:r w:rsidRPr="003D733D">
        <w:rPr>
          <w:rFonts w:ascii="Sylfaen" w:hAnsi="Sylfaen" w:cs="Sylfaen"/>
        </w:rPr>
        <w:t>დაიწყოთ</w:t>
      </w:r>
      <w:r w:rsidRPr="003D733D">
        <w:t xml:space="preserve"> </w:t>
      </w:r>
      <w:r w:rsidRPr="003D733D">
        <w:rPr>
          <w:rFonts w:ascii="Sylfaen" w:hAnsi="Sylfaen" w:cs="Sylfaen"/>
        </w:rPr>
        <w:t>მისი</w:t>
      </w:r>
      <w:r w:rsidRPr="003D733D">
        <w:t xml:space="preserve"> </w:t>
      </w:r>
      <w:r w:rsidRPr="003D733D">
        <w:rPr>
          <w:rFonts w:ascii="Sylfaen" w:hAnsi="Sylfaen" w:cs="Sylfaen"/>
        </w:rPr>
        <w:t>სხეულის</w:t>
      </w:r>
      <w:r w:rsidRPr="003D733D">
        <w:t xml:space="preserve"> </w:t>
      </w:r>
      <w:r w:rsidRPr="003D733D">
        <w:rPr>
          <w:rFonts w:ascii="Sylfaen" w:hAnsi="Sylfaen" w:cs="Sylfaen"/>
        </w:rPr>
        <w:t>გადაგორება</w:t>
      </w:r>
      <w:r w:rsidRPr="003D733D">
        <w:t xml:space="preserve">, </w:t>
      </w:r>
      <w:r w:rsidRPr="003D733D">
        <w:rPr>
          <w:rFonts w:ascii="Sylfaen" w:hAnsi="Sylfaen" w:cs="Sylfaen"/>
        </w:rPr>
        <w:t>გადაასხით</w:t>
      </w:r>
      <w:r w:rsidRPr="003D733D">
        <w:t xml:space="preserve"> </w:t>
      </w:r>
      <w:r w:rsidRPr="003D733D">
        <w:rPr>
          <w:rFonts w:ascii="Sylfaen" w:hAnsi="Sylfaen" w:cs="Sylfaen"/>
        </w:rPr>
        <w:t>სხეულს</w:t>
      </w:r>
      <w:r w:rsidRPr="003D733D">
        <w:t xml:space="preserve"> </w:t>
      </w:r>
      <w:r w:rsidRPr="003D733D">
        <w:rPr>
          <w:rFonts w:ascii="Sylfaen" w:hAnsi="Sylfaen" w:cs="Sylfaen"/>
        </w:rPr>
        <w:t>წყალი</w:t>
      </w:r>
      <w:r w:rsidRPr="003D733D">
        <w:t xml:space="preserve"> (</w:t>
      </w:r>
      <w:r w:rsidRPr="003D733D">
        <w:rPr>
          <w:rFonts w:ascii="Sylfaen" w:hAnsi="Sylfaen" w:cs="Sylfaen"/>
        </w:rPr>
        <w:t>ელექტრული</w:t>
      </w:r>
      <w:r w:rsidRPr="003D733D">
        <w:t xml:space="preserve"> </w:t>
      </w:r>
      <w:r w:rsidRPr="003D733D">
        <w:rPr>
          <w:rFonts w:ascii="Sylfaen" w:hAnsi="Sylfaen" w:cs="Sylfaen"/>
        </w:rPr>
        <w:t>დამწვრობის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წრედში</w:t>
      </w:r>
      <w:r w:rsidRPr="003D733D">
        <w:t xml:space="preserve"> </w:t>
      </w:r>
      <w:r w:rsidRPr="003D733D">
        <w:rPr>
          <w:rFonts w:ascii="Sylfaen" w:hAnsi="Sylfaen" w:cs="Sylfaen"/>
        </w:rPr>
        <w:t>ჩართულ</w:t>
      </w:r>
      <w:r w:rsidRPr="003D733D">
        <w:t xml:space="preserve"> </w:t>
      </w:r>
      <w:r w:rsidRPr="003D733D">
        <w:rPr>
          <w:rFonts w:ascii="Sylfaen" w:hAnsi="Sylfaen" w:cs="Sylfaen"/>
        </w:rPr>
        <w:t>დანადგარებთან</w:t>
      </w:r>
      <w:r w:rsidRPr="003D733D">
        <w:t xml:space="preserve"> </w:t>
      </w:r>
      <w:r w:rsidRPr="003D733D">
        <w:rPr>
          <w:rFonts w:ascii="Sylfaen" w:hAnsi="Sylfaen" w:cs="Sylfaen"/>
        </w:rPr>
        <w:t>წყლის</w:t>
      </w:r>
      <w:r w:rsidRPr="003D733D">
        <w:t xml:space="preserve"> </w:t>
      </w:r>
      <w:r w:rsidRPr="003D733D">
        <w:rPr>
          <w:rFonts w:ascii="Sylfaen" w:hAnsi="Sylfaen" w:cs="Sylfaen"/>
        </w:rPr>
        <w:t>გამოყენება</w:t>
      </w:r>
      <w:r w:rsidRPr="003D733D">
        <w:t xml:space="preserve"> </w:t>
      </w:r>
      <w:r w:rsidRPr="003D733D">
        <w:rPr>
          <w:rFonts w:ascii="Sylfaen" w:hAnsi="Sylfaen" w:cs="Sylfaen"/>
        </w:rPr>
        <w:t>დაუშვებელია</w:t>
      </w:r>
      <w:r w:rsidRPr="003D733D">
        <w:t>);</w:t>
      </w:r>
    </w:p>
    <w:p w14:paraId="1CACE21C" w14:textId="77777777" w:rsidR="00A2588D" w:rsidRPr="003D733D" w:rsidRDefault="00A2588D" w:rsidP="00A2588D">
      <w:r w:rsidRPr="003D733D">
        <w:rPr>
          <w:rFonts w:ascii="Sylfaen" w:hAnsi="Sylfaen" w:cs="Sylfaen"/>
        </w:rPr>
        <w:t>თუ</w:t>
      </w:r>
      <w:r w:rsidRPr="003D733D">
        <w:t xml:space="preserve"> </w:t>
      </w:r>
      <w:r w:rsidRPr="003D733D">
        <w:rPr>
          <w:rFonts w:ascii="Sylfaen" w:hAnsi="Sylfaen" w:cs="Sylfaen"/>
        </w:rPr>
        <w:t>წყლის</w:t>
      </w:r>
      <w:r w:rsidRPr="003D733D">
        <w:t xml:space="preserve"> </w:t>
      </w:r>
      <w:r w:rsidRPr="003D733D">
        <w:rPr>
          <w:rFonts w:ascii="Sylfaen" w:hAnsi="Sylfaen" w:cs="Sylfaen"/>
        </w:rPr>
        <w:t>გამოყენების</w:t>
      </w:r>
      <w:r w:rsidRPr="003D733D">
        <w:t xml:space="preserve"> </w:t>
      </w:r>
      <w:r w:rsidRPr="003D733D">
        <w:rPr>
          <w:rFonts w:ascii="Sylfaen" w:hAnsi="Sylfaen" w:cs="Sylfaen"/>
        </w:rPr>
        <w:t>საშუალება</w:t>
      </w:r>
      <w:r w:rsidRPr="003D733D">
        <w:t xml:space="preserve"> </w:t>
      </w:r>
      <w:r w:rsidRPr="003D733D">
        <w:rPr>
          <w:rFonts w:ascii="Sylfaen" w:hAnsi="Sylfaen" w:cs="Sylfaen"/>
        </w:rPr>
        <w:t>არ</w:t>
      </w:r>
      <w:r w:rsidRPr="003D733D">
        <w:t xml:space="preserve"> </w:t>
      </w:r>
      <w:r w:rsidRPr="003D733D">
        <w:rPr>
          <w:rFonts w:ascii="Sylfaen" w:hAnsi="Sylfaen" w:cs="Sylfaen"/>
        </w:rPr>
        <w:t>არის</w:t>
      </w:r>
      <w:r w:rsidRPr="003D733D">
        <w:t xml:space="preserve">, </w:t>
      </w:r>
      <w:r w:rsidRPr="003D733D">
        <w:rPr>
          <w:rFonts w:ascii="Sylfaen" w:hAnsi="Sylfaen" w:cs="Sylfaen"/>
        </w:rPr>
        <w:t>გადააფარეთ</w:t>
      </w:r>
      <w:r w:rsidRPr="003D733D">
        <w:t xml:space="preserve"> </w:t>
      </w:r>
      <w:r w:rsidRPr="003D733D">
        <w:rPr>
          <w:rFonts w:ascii="Sylfaen" w:hAnsi="Sylfaen" w:cs="Sylfaen"/>
        </w:rPr>
        <w:t>სხეულს</w:t>
      </w:r>
      <w:r w:rsidRPr="003D733D">
        <w:t xml:space="preserve"> </w:t>
      </w:r>
      <w:r w:rsidRPr="003D733D">
        <w:rPr>
          <w:rFonts w:ascii="Sylfaen" w:hAnsi="Sylfaen" w:cs="Sylfaen"/>
        </w:rPr>
        <w:t>არასინთეტიკური</w:t>
      </w:r>
      <w:r w:rsidRPr="003D733D">
        <w:t xml:space="preserve"> </w:t>
      </w:r>
      <w:r w:rsidRPr="003D733D">
        <w:rPr>
          <w:rFonts w:ascii="Sylfaen" w:hAnsi="Sylfaen" w:cs="Sylfaen"/>
        </w:rPr>
        <w:t>ქსოვილი</w:t>
      </w:r>
      <w:r w:rsidRPr="003D733D">
        <w:t>;</w:t>
      </w:r>
    </w:p>
    <w:p w14:paraId="2F6B045F" w14:textId="77777777" w:rsidR="00A2588D" w:rsidRPr="003D733D" w:rsidRDefault="00A2588D" w:rsidP="00A2588D">
      <w:r w:rsidRPr="003D733D">
        <w:rPr>
          <w:rFonts w:ascii="Sylfaen" w:hAnsi="Sylfaen" w:cs="Sylfaen"/>
        </w:rPr>
        <w:t>აუცილებელია</w:t>
      </w:r>
      <w:r w:rsidRPr="003D733D">
        <w:t xml:space="preserve"> </w:t>
      </w:r>
      <w:r w:rsidRPr="003D733D">
        <w:rPr>
          <w:rFonts w:ascii="Sylfaen" w:hAnsi="Sylfaen" w:cs="Sylfaen"/>
        </w:rPr>
        <w:t>დროულად</w:t>
      </w:r>
      <w:r w:rsidRPr="003D733D">
        <w:t xml:space="preserve"> </w:t>
      </w:r>
      <w:r w:rsidRPr="003D733D">
        <w:rPr>
          <w:rFonts w:ascii="Sylfaen" w:hAnsi="Sylfaen" w:cs="Sylfaen"/>
        </w:rPr>
        <w:t>დაიწყოთ</w:t>
      </w:r>
      <w:r w:rsidRPr="003D733D">
        <w:t xml:space="preserve"> </w:t>
      </w:r>
      <w:r w:rsidRPr="003D733D">
        <w:rPr>
          <w:rFonts w:ascii="Sylfaen" w:hAnsi="Sylfaen" w:cs="Sylfaen"/>
        </w:rPr>
        <w:t>დამწვარი</w:t>
      </w:r>
      <w:r w:rsidRPr="003D733D">
        <w:t xml:space="preserve"> </w:t>
      </w:r>
      <w:r w:rsidRPr="003D733D">
        <w:rPr>
          <w:rFonts w:ascii="Sylfaen" w:hAnsi="Sylfaen" w:cs="Sylfaen"/>
        </w:rPr>
        <w:t>არის</w:t>
      </w:r>
      <w:r w:rsidRPr="003D733D">
        <w:t xml:space="preserve"> </w:t>
      </w:r>
      <w:r w:rsidRPr="003D733D">
        <w:rPr>
          <w:rFonts w:ascii="Sylfaen" w:hAnsi="Sylfaen" w:cs="Sylfaen"/>
        </w:rPr>
        <w:t>გაგრილება</w:t>
      </w:r>
      <w:r w:rsidRPr="003D733D">
        <w:t xml:space="preserve"> </w:t>
      </w:r>
      <w:r w:rsidRPr="003D733D">
        <w:rPr>
          <w:rFonts w:ascii="Sylfaen" w:hAnsi="Sylfaen" w:cs="Sylfaen"/>
        </w:rPr>
        <w:t>ცივი</w:t>
      </w:r>
      <w:r w:rsidRPr="003D733D">
        <w:t xml:space="preserve"> </w:t>
      </w:r>
      <w:r w:rsidRPr="003D733D">
        <w:rPr>
          <w:rFonts w:ascii="Sylfaen" w:hAnsi="Sylfaen" w:cs="Sylfaen"/>
        </w:rPr>
        <w:t>წყლით</w:t>
      </w:r>
      <w:r w:rsidRPr="003D733D">
        <w:t xml:space="preserve"> (I </w:t>
      </w:r>
      <w:r w:rsidRPr="003D733D">
        <w:rPr>
          <w:rFonts w:ascii="Sylfaen" w:hAnsi="Sylfaen" w:cs="Sylfaen"/>
        </w:rPr>
        <w:t>და</w:t>
      </w:r>
      <w:r w:rsidRPr="003D733D">
        <w:t xml:space="preserve"> II </w:t>
      </w:r>
      <w:r w:rsidRPr="003D733D">
        <w:rPr>
          <w:rFonts w:ascii="Sylfaen" w:hAnsi="Sylfaen" w:cs="Sylfaen"/>
        </w:rPr>
        <w:t>ხარისხის</w:t>
      </w:r>
      <w:r w:rsidRPr="003D733D">
        <w:t xml:space="preserve"> </w:t>
      </w:r>
      <w:r w:rsidRPr="003D733D">
        <w:rPr>
          <w:rFonts w:ascii="Sylfaen" w:hAnsi="Sylfaen" w:cs="Sylfaen"/>
        </w:rPr>
        <w:t>დამწვრობისას</w:t>
      </w:r>
      <w:r w:rsidRPr="003D733D">
        <w:t xml:space="preserve"> 10-15 </w:t>
      </w:r>
      <w:r w:rsidRPr="003D733D">
        <w:rPr>
          <w:rFonts w:ascii="Sylfaen" w:hAnsi="Sylfaen" w:cs="Sylfaen"/>
        </w:rPr>
        <w:t>წუთით</w:t>
      </w:r>
      <w:r w:rsidRPr="003D733D">
        <w:t xml:space="preserve"> </w:t>
      </w:r>
      <w:r w:rsidRPr="003D733D">
        <w:rPr>
          <w:rFonts w:ascii="Sylfaen" w:hAnsi="Sylfaen" w:cs="Sylfaen"/>
        </w:rPr>
        <w:t>შეუშვირეთ</w:t>
      </w:r>
      <w:r w:rsidRPr="003D733D">
        <w:t xml:space="preserve"> </w:t>
      </w:r>
      <w:r w:rsidRPr="003D733D">
        <w:rPr>
          <w:rFonts w:ascii="Sylfaen" w:hAnsi="Sylfaen" w:cs="Sylfaen"/>
        </w:rPr>
        <w:t>გამდინარე</w:t>
      </w:r>
      <w:r w:rsidRPr="003D733D">
        <w:t xml:space="preserve"> </w:t>
      </w:r>
      <w:r w:rsidRPr="003D733D">
        <w:rPr>
          <w:rFonts w:ascii="Sylfaen" w:hAnsi="Sylfaen" w:cs="Sylfaen"/>
        </w:rPr>
        <w:t>წყალს</w:t>
      </w:r>
      <w:r w:rsidRPr="003D733D">
        <w:t xml:space="preserve">, III </w:t>
      </w:r>
      <w:r w:rsidRPr="003D733D">
        <w:rPr>
          <w:rFonts w:ascii="Sylfaen" w:hAnsi="Sylfaen" w:cs="Sylfaen"/>
        </w:rPr>
        <w:t>და</w:t>
      </w:r>
      <w:r w:rsidRPr="003D733D">
        <w:t xml:space="preserve"> IV </w:t>
      </w:r>
      <w:r w:rsidRPr="003D733D">
        <w:rPr>
          <w:rFonts w:ascii="Sylfaen" w:hAnsi="Sylfaen" w:cs="Sylfaen"/>
        </w:rPr>
        <w:t>ხარისხის</w:t>
      </w:r>
      <w:r w:rsidRPr="003D733D">
        <w:t xml:space="preserve"> </w:t>
      </w:r>
      <w:r w:rsidRPr="003D733D">
        <w:rPr>
          <w:rFonts w:ascii="Sylfaen" w:hAnsi="Sylfaen" w:cs="Sylfaen"/>
        </w:rPr>
        <w:t>დამწვრობისას</w:t>
      </w:r>
      <w:r w:rsidRPr="003D733D">
        <w:t xml:space="preserve"> </w:t>
      </w:r>
      <w:r w:rsidRPr="003D733D">
        <w:rPr>
          <w:rFonts w:ascii="Sylfaen" w:hAnsi="Sylfaen" w:cs="Sylfaen"/>
        </w:rPr>
        <w:t>შეახვიეთ</w:t>
      </w:r>
      <w:r w:rsidRPr="003D733D">
        <w:t xml:space="preserve"> </w:t>
      </w:r>
      <w:r w:rsidRPr="003D733D">
        <w:rPr>
          <w:rFonts w:ascii="Sylfaen" w:hAnsi="Sylfaen" w:cs="Sylfaen"/>
        </w:rPr>
        <w:t>სუფთა</w:t>
      </w:r>
      <w:r w:rsidRPr="003D733D">
        <w:t xml:space="preserve"> </w:t>
      </w:r>
      <w:r w:rsidRPr="003D733D">
        <w:rPr>
          <w:rFonts w:ascii="Sylfaen" w:hAnsi="Sylfaen" w:cs="Sylfaen"/>
        </w:rPr>
        <w:t>სველი</w:t>
      </w:r>
      <w:r w:rsidRPr="003D733D">
        <w:t xml:space="preserve"> </w:t>
      </w:r>
      <w:r w:rsidRPr="003D733D">
        <w:rPr>
          <w:rFonts w:ascii="Sylfaen" w:hAnsi="Sylfaen" w:cs="Sylfaen"/>
        </w:rPr>
        <w:t>ქსოვილით</w:t>
      </w:r>
      <w:r w:rsidRPr="003D733D">
        <w:t xml:space="preserve"> </w:t>
      </w:r>
      <w:r w:rsidRPr="003D733D">
        <w:rPr>
          <w:rFonts w:ascii="Sylfaen" w:hAnsi="Sylfaen" w:cs="Sylfaen"/>
        </w:rPr>
        <w:t>და</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ასე</w:t>
      </w:r>
      <w:r w:rsidRPr="003D733D">
        <w:t xml:space="preserve"> </w:t>
      </w:r>
      <w:r w:rsidRPr="003D733D">
        <w:rPr>
          <w:rFonts w:ascii="Sylfaen" w:hAnsi="Sylfaen" w:cs="Sylfaen"/>
        </w:rPr>
        <w:t>შეხვეული</w:t>
      </w:r>
      <w:r w:rsidRPr="003D733D">
        <w:t xml:space="preserve"> </w:t>
      </w:r>
      <w:r w:rsidRPr="003D733D">
        <w:rPr>
          <w:rFonts w:ascii="Sylfaen" w:hAnsi="Sylfaen" w:cs="Sylfaen"/>
        </w:rPr>
        <w:t>გააცივეთ</w:t>
      </w:r>
      <w:r w:rsidRPr="003D733D">
        <w:t xml:space="preserve"> </w:t>
      </w:r>
      <w:r w:rsidRPr="003D733D">
        <w:rPr>
          <w:rFonts w:ascii="Sylfaen" w:hAnsi="Sylfaen" w:cs="Sylfaen"/>
        </w:rPr>
        <w:t>დამდგარ</w:t>
      </w:r>
      <w:r w:rsidRPr="003D733D">
        <w:t xml:space="preserve"> </w:t>
      </w:r>
      <w:r w:rsidRPr="003D733D">
        <w:rPr>
          <w:rFonts w:ascii="Sylfaen" w:hAnsi="Sylfaen" w:cs="Sylfaen"/>
        </w:rPr>
        <w:t>წყალში</w:t>
      </w:r>
      <w:r w:rsidRPr="003D733D">
        <w:t>);</w:t>
      </w:r>
    </w:p>
    <w:p w14:paraId="37936CD4" w14:textId="77777777" w:rsidR="00A2588D" w:rsidRPr="003D733D" w:rsidRDefault="00A2588D" w:rsidP="00A2588D">
      <w:r w:rsidRPr="003D733D">
        <w:rPr>
          <w:rFonts w:ascii="Sylfaen" w:hAnsi="Sylfaen" w:cs="Sylfaen"/>
        </w:rPr>
        <w:t>დაზიანებული</w:t>
      </w:r>
      <w:r w:rsidRPr="003D733D">
        <w:t xml:space="preserve"> </w:t>
      </w:r>
      <w:r w:rsidRPr="003D733D">
        <w:rPr>
          <w:rFonts w:ascii="Sylfaen" w:hAnsi="Sylfaen" w:cs="Sylfaen"/>
        </w:rPr>
        <w:t>არედან</w:t>
      </w:r>
      <w:r w:rsidRPr="003D733D">
        <w:t xml:space="preserve"> </w:t>
      </w:r>
      <w:r w:rsidRPr="003D733D">
        <w:rPr>
          <w:rFonts w:ascii="Sylfaen" w:hAnsi="Sylfaen" w:cs="Sylfaen"/>
        </w:rPr>
        <w:t>მოაშორეთ</w:t>
      </w:r>
      <w:r w:rsidRPr="003D733D">
        <w:t xml:space="preserve"> </w:t>
      </w:r>
      <w:r w:rsidRPr="003D733D">
        <w:rPr>
          <w:rFonts w:ascii="Sylfaen" w:hAnsi="Sylfaen" w:cs="Sylfaen"/>
        </w:rPr>
        <w:t>ტანსაცმელი</w:t>
      </w:r>
      <w:r w:rsidRPr="003D733D">
        <w:t xml:space="preserve"> </w:t>
      </w:r>
      <w:r w:rsidRPr="003D733D">
        <w:rPr>
          <w:rFonts w:ascii="Sylfaen" w:hAnsi="Sylfaen" w:cs="Sylfaen"/>
        </w:rPr>
        <w:t>და</w:t>
      </w:r>
      <w:r w:rsidRPr="003D733D">
        <w:t xml:space="preserve"> </w:t>
      </w:r>
      <w:r w:rsidRPr="003D733D">
        <w:rPr>
          <w:rFonts w:ascii="Sylfaen" w:hAnsi="Sylfaen" w:cs="Sylfaen"/>
        </w:rPr>
        <w:t>ნებისმიერი</w:t>
      </w:r>
      <w:r w:rsidRPr="003D733D">
        <w:t xml:space="preserve"> </w:t>
      </w:r>
      <w:r w:rsidRPr="003D733D">
        <w:rPr>
          <w:rFonts w:ascii="Sylfaen" w:hAnsi="Sylfaen" w:cs="Sylfaen"/>
        </w:rPr>
        <w:t>სხვა</w:t>
      </w:r>
      <w:r w:rsidRPr="003D733D">
        <w:t xml:space="preserve"> </w:t>
      </w:r>
      <w:r w:rsidRPr="003D733D">
        <w:rPr>
          <w:rFonts w:ascii="Sylfaen" w:hAnsi="Sylfaen" w:cs="Sylfaen"/>
        </w:rPr>
        <w:t>საგანი</w:t>
      </w:r>
      <w:r w:rsidRPr="003D733D">
        <w:t xml:space="preserve">, </w:t>
      </w:r>
      <w:r w:rsidRPr="003D733D">
        <w:rPr>
          <w:rFonts w:ascii="Sylfaen" w:hAnsi="Sylfaen" w:cs="Sylfaen"/>
        </w:rPr>
        <w:t>რომელსაც</w:t>
      </w:r>
      <w:r w:rsidRPr="003D733D">
        <w:t xml:space="preserve"> </w:t>
      </w:r>
      <w:r w:rsidRPr="003D733D">
        <w:rPr>
          <w:rFonts w:ascii="Sylfaen" w:hAnsi="Sylfaen" w:cs="Sylfaen"/>
        </w:rPr>
        <w:t>შეუძლია</w:t>
      </w:r>
      <w:r w:rsidRPr="003D733D">
        <w:t xml:space="preserve"> </w:t>
      </w:r>
      <w:r w:rsidRPr="003D733D">
        <w:rPr>
          <w:rFonts w:ascii="Sylfaen" w:hAnsi="Sylfaen" w:cs="Sylfaen"/>
        </w:rPr>
        <w:t>სისხლის</w:t>
      </w:r>
      <w:r w:rsidRPr="003D733D">
        <w:t xml:space="preserve"> </w:t>
      </w:r>
      <w:r w:rsidRPr="003D733D">
        <w:rPr>
          <w:rFonts w:ascii="Sylfaen" w:hAnsi="Sylfaen" w:cs="Sylfaen"/>
        </w:rPr>
        <w:t>მიმოქცევის</w:t>
      </w:r>
      <w:r w:rsidRPr="003D733D">
        <w:t xml:space="preserve"> </w:t>
      </w:r>
      <w:r w:rsidRPr="003D733D">
        <w:rPr>
          <w:rFonts w:ascii="Sylfaen" w:hAnsi="Sylfaen" w:cs="Sylfaen"/>
        </w:rPr>
        <w:t>შეფერხება</w:t>
      </w:r>
      <w:r w:rsidRPr="003D733D">
        <w:t xml:space="preserve">. </w:t>
      </w:r>
      <w:r w:rsidRPr="003D733D">
        <w:rPr>
          <w:rFonts w:ascii="Sylfaen" w:hAnsi="Sylfaen" w:cs="Sylfaen"/>
        </w:rPr>
        <w:t>არ</w:t>
      </w:r>
      <w:r w:rsidRPr="003D733D">
        <w:t xml:space="preserve"> </w:t>
      </w:r>
      <w:r w:rsidRPr="003D733D">
        <w:rPr>
          <w:rFonts w:ascii="Sylfaen" w:hAnsi="Sylfaen" w:cs="Sylfaen"/>
        </w:rPr>
        <w:t>მოაშოროთ</w:t>
      </w:r>
      <w:r w:rsidRPr="003D733D">
        <w:t xml:space="preserve"> </w:t>
      </w:r>
      <w:r w:rsidRPr="003D733D">
        <w:rPr>
          <w:rFonts w:ascii="Sylfaen" w:hAnsi="Sylfaen" w:cs="Sylfaen"/>
        </w:rPr>
        <w:t>ტანსაცმლის</w:t>
      </w:r>
      <w:r w:rsidRPr="003D733D">
        <w:t xml:space="preserve"> </w:t>
      </w:r>
      <w:r w:rsidRPr="003D733D">
        <w:rPr>
          <w:rFonts w:ascii="Sylfaen" w:hAnsi="Sylfaen" w:cs="Sylfaen"/>
        </w:rPr>
        <w:t>ნაწილაკები</w:t>
      </w:r>
      <w:r w:rsidRPr="003D733D">
        <w:t xml:space="preserve">, </w:t>
      </w:r>
      <w:r w:rsidRPr="003D733D">
        <w:rPr>
          <w:rFonts w:ascii="Sylfaen" w:hAnsi="Sylfaen" w:cs="Sylfaen"/>
        </w:rPr>
        <w:t>რომლებიც</w:t>
      </w:r>
      <w:r w:rsidRPr="003D733D">
        <w:t xml:space="preserve"> </w:t>
      </w:r>
      <w:r w:rsidRPr="003D733D">
        <w:rPr>
          <w:rFonts w:ascii="Sylfaen" w:hAnsi="Sylfaen" w:cs="Sylfaen"/>
        </w:rPr>
        <w:t>მიკრულია</w:t>
      </w:r>
      <w:r w:rsidRPr="003D733D">
        <w:t xml:space="preserve"> </w:t>
      </w:r>
      <w:r w:rsidRPr="003D733D">
        <w:rPr>
          <w:rFonts w:ascii="Sylfaen" w:hAnsi="Sylfaen" w:cs="Sylfaen"/>
        </w:rPr>
        <w:t>დაზიანებულ</w:t>
      </w:r>
      <w:r w:rsidRPr="003D733D">
        <w:t xml:space="preserve"> </w:t>
      </w:r>
      <w:r w:rsidRPr="003D733D">
        <w:rPr>
          <w:rFonts w:ascii="Sylfaen" w:hAnsi="Sylfaen" w:cs="Sylfaen"/>
        </w:rPr>
        <w:t>არეზე</w:t>
      </w:r>
      <w:r w:rsidRPr="003D733D">
        <w:t>;</w:t>
      </w:r>
    </w:p>
    <w:p w14:paraId="2DC2E353" w14:textId="77777777" w:rsidR="00A2588D" w:rsidRPr="003D733D" w:rsidRDefault="00A2588D" w:rsidP="00A2588D">
      <w:r w:rsidRPr="003D733D">
        <w:rPr>
          <w:rFonts w:ascii="Sylfaen" w:hAnsi="Sylfaen" w:cs="Sylfaen"/>
        </w:rPr>
        <w:t>დაფარეთ</w:t>
      </w:r>
      <w:r w:rsidRPr="003D733D">
        <w:t xml:space="preserve"> </w:t>
      </w:r>
      <w:r w:rsidRPr="003D733D">
        <w:rPr>
          <w:rFonts w:ascii="Sylfaen" w:hAnsi="Sylfaen" w:cs="Sylfaen"/>
        </w:rPr>
        <w:t>დაზიანებული</w:t>
      </w:r>
      <w:r w:rsidRPr="003D733D">
        <w:t xml:space="preserve"> </w:t>
      </w:r>
      <w:r w:rsidRPr="003D733D">
        <w:rPr>
          <w:rFonts w:ascii="Sylfaen" w:hAnsi="Sylfaen" w:cs="Sylfaen"/>
        </w:rPr>
        <w:t>არე</w:t>
      </w:r>
      <w:r w:rsidRPr="003D733D">
        <w:t xml:space="preserve"> </w:t>
      </w:r>
      <w:r w:rsidRPr="003D733D">
        <w:rPr>
          <w:rFonts w:ascii="Sylfaen" w:hAnsi="Sylfaen" w:cs="Sylfaen"/>
        </w:rPr>
        <w:t>სტერილური</w:t>
      </w:r>
      <w:r w:rsidRPr="003D733D">
        <w:t xml:space="preserve"> </w:t>
      </w:r>
      <w:r w:rsidRPr="003D733D">
        <w:rPr>
          <w:rFonts w:ascii="Sylfaen" w:hAnsi="Sylfaen" w:cs="Sylfaen"/>
        </w:rPr>
        <w:t>ნახვევით</w:t>
      </w:r>
      <w:r w:rsidRPr="003D733D">
        <w:t xml:space="preserve">. </w:t>
      </w:r>
      <w:r w:rsidRPr="003D733D">
        <w:rPr>
          <w:rFonts w:ascii="Sylfaen" w:hAnsi="Sylfaen" w:cs="Sylfaen"/>
        </w:rPr>
        <w:t>ამით</w:t>
      </w:r>
      <w:r w:rsidRPr="003D733D">
        <w:t xml:space="preserve"> </w:t>
      </w:r>
      <w:r w:rsidRPr="003D733D">
        <w:rPr>
          <w:rFonts w:ascii="Sylfaen" w:hAnsi="Sylfaen" w:cs="Sylfaen"/>
        </w:rPr>
        <w:t>შემცირდება</w:t>
      </w:r>
      <w:r w:rsidRPr="003D733D">
        <w:t xml:space="preserve"> </w:t>
      </w:r>
      <w:r w:rsidRPr="003D733D">
        <w:rPr>
          <w:rFonts w:ascii="Sylfaen" w:hAnsi="Sylfaen" w:cs="Sylfaen"/>
        </w:rPr>
        <w:t>დაინფიცირების</w:t>
      </w:r>
      <w:r w:rsidRPr="003D733D">
        <w:t xml:space="preserve"> </w:t>
      </w:r>
      <w:r w:rsidRPr="003D733D">
        <w:rPr>
          <w:rFonts w:ascii="Sylfaen" w:hAnsi="Sylfaen" w:cs="Sylfaen"/>
        </w:rPr>
        <w:t>ალბათობა</w:t>
      </w:r>
      <w:r w:rsidRPr="003D733D">
        <w:t>;</w:t>
      </w:r>
    </w:p>
    <w:p w14:paraId="2897A69E" w14:textId="77777777" w:rsidR="00A2588D" w:rsidRPr="003D733D" w:rsidRDefault="00A2588D" w:rsidP="00A2588D">
      <w:r w:rsidRPr="003D733D">
        <w:rPr>
          <w:rFonts w:ascii="Sylfaen" w:hAnsi="Sylfaen" w:cs="Sylfaen"/>
        </w:rPr>
        <w:t>დამწვრობის</w:t>
      </w:r>
      <w:r w:rsidRPr="003D733D">
        <w:t xml:space="preserve"> </w:t>
      </w:r>
      <w:r w:rsidRPr="003D733D">
        <w:rPr>
          <w:rFonts w:ascii="Sylfaen" w:hAnsi="Sylfaen" w:cs="Sylfaen"/>
        </w:rPr>
        <w:t>დროს</w:t>
      </w:r>
      <w:r w:rsidRPr="003D733D">
        <w:t xml:space="preserve"> </w:t>
      </w:r>
      <w:r w:rsidRPr="003D733D">
        <w:rPr>
          <w:rFonts w:ascii="Sylfaen" w:hAnsi="Sylfaen" w:cs="Sylfaen"/>
        </w:rPr>
        <w:t>შესაძლებელია</w:t>
      </w:r>
      <w:r w:rsidRPr="003D733D">
        <w:t xml:space="preserve"> </w:t>
      </w:r>
      <w:r w:rsidRPr="003D733D">
        <w:rPr>
          <w:rFonts w:ascii="Sylfaen" w:hAnsi="Sylfaen" w:cs="Sylfaen"/>
        </w:rPr>
        <w:t>ცხელი</w:t>
      </w:r>
      <w:r w:rsidRPr="003D733D">
        <w:t xml:space="preserve"> </w:t>
      </w:r>
      <w:r w:rsidRPr="003D733D">
        <w:rPr>
          <w:rFonts w:ascii="Sylfaen" w:hAnsi="Sylfaen" w:cs="Sylfaen"/>
        </w:rPr>
        <w:t>აირების</w:t>
      </w:r>
      <w:r w:rsidRPr="003D733D">
        <w:t xml:space="preserve"> </w:t>
      </w:r>
      <w:r w:rsidRPr="003D733D">
        <w:rPr>
          <w:rFonts w:ascii="Sylfaen" w:hAnsi="Sylfaen" w:cs="Sylfaen"/>
        </w:rPr>
        <w:t>ჩასუნთქვა</w:t>
      </w:r>
      <w:r w:rsidRPr="003D733D">
        <w:t xml:space="preserve">, </w:t>
      </w:r>
      <w:r w:rsidRPr="003D733D">
        <w:rPr>
          <w:rFonts w:ascii="Sylfaen" w:hAnsi="Sylfaen" w:cs="Sylfaen"/>
        </w:rPr>
        <w:t>რაც</w:t>
      </w:r>
      <w:r w:rsidRPr="003D733D">
        <w:t xml:space="preserve"> </w:t>
      </w:r>
      <w:r w:rsidRPr="003D733D">
        <w:rPr>
          <w:rFonts w:ascii="Sylfaen" w:hAnsi="Sylfaen" w:cs="Sylfaen"/>
        </w:rPr>
        <w:t>იწვევს</w:t>
      </w:r>
      <w:r w:rsidRPr="003D733D">
        <w:t xml:space="preserve"> </w:t>
      </w:r>
      <w:r w:rsidRPr="003D733D">
        <w:rPr>
          <w:rFonts w:ascii="Sylfaen" w:hAnsi="Sylfaen" w:cs="Sylfaen"/>
        </w:rPr>
        <w:t>სასუნთქი</w:t>
      </w:r>
      <w:r w:rsidRPr="003D733D">
        <w:t xml:space="preserve"> </w:t>
      </w:r>
      <w:r w:rsidRPr="003D733D">
        <w:rPr>
          <w:rFonts w:ascii="Sylfaen" w:hAnsi="Sylfaen" w:cs="Sylfaen"/>
        </w:rPr>
        <w:t>გზების</w:t>
      </w:r>
      <w:r w:rsidRPr="003D733D">
        <w:t xml:space="preserve"> </w:t>
      </w:r>
      <w:r w:rsidRPr="003D733D">
        <w:rPr>
          <w:rFonts w:ascii="Sylfaen" w:hAnsi="Sylfaen" w:cs="Sylfaen"/>
        </w:rPr>
        <w:t>დამწვრობას</w:t>
      </w:r>
      <w:r w:rsidRPr="003D733D">
        <w:t xml:space="preserve">. </w:t>
      </w:r>
      <w:r w:rsidRPr="003D733D">
        <w:rPr>
          <w:rFonts w:ascii="Sylfaen" w:hAnsi="Sylfaen" w:cs="Sylfaen"/>
        </w:rPr>
        <w:t>თუ</w:t>
      </w:r>
      <w:r w:rsidRPr="003D733D">
        <w:t xml:space="preserve"> </w:t>
      </w:r>
      <w:r w:rsidRPr="003D733D">
        <w:rPr>
          <w:rFonts w:ascii="Sylfaen" w:hAnsi="Sylfaen" w:cs="Sylfaen"/>
        </w:rPr>
        <w:t>დაზარალებულს</w:t>
      </w:r>
      <w:r w:rsidRPr="003D733D">
        <w:t xml:space="preserve"> </w:t>
      </w:r>
      <w:r w:rsidRPr="003D733D">
        <w:rPr>
          <w:rFonts w:ascii="Sylfaen" w:hAnsi="Sylfaen" w:cs="Sylfaen"/>
        </w:rPr>
        <w:t>აღენიშნება</w:t>
      </w:r>
      <w:r w:rsidRPr="003D733D">
        <w:t xml:space="preserve"> </w:t>
      </w:r>
      <w:r w:rsidRPr="003D733D">
        <w:rPr>
          <w:rFonts w:ascii="Sylfaen" w:hAnsi="Sylfaen" w:cs="Sylfaen"/>
        </w:rPr>
        <w:t>გაძნელებული</w:t>
      </w:r>
      <w:r w:rsidRPr="003D733D">
        <w:t xml:space="preserve"> </w:t>
      </w:r>
      <w:r w:rsidRPr="003D733D">
        <w:rPr>
          <w:rFonts w:ascii="Sylfaen" w:hAnsi="Sylfaen" w:cs="Sylfaen"/>
        </w:rPr>
        <w:t>ხმაურიანი</w:t>
      </w:r>
      <w:r w:rsidRPr="003D733D">
        <w:t xml:space="preserve"> </w:t>
      </w:r>
      <w:r w:rsidRPr="003D733D">
        <w:rPr>
          <w:rFonts w:ascii="Sylfaen" w:hAnsi="Sylfaen" w:cs="Sylfaen"/>
        </w:rPr>
        <w:t>სუნთქვა</w:t>
      </w:r>
      <w:r w:rsidRPr="003D733D">
        <w:t xml:space="preserve">, </w:t>
      </w:r>
      <w:r w:rsidRPr="003D733D">
        <w:rPr>
          <w:rFonts w:ascii="Sylfaen" w:hAnsi="Sylfaen" w:cs="Sylfaen"/>
        </w:rPr>
        <w:t>დამწვრობა</w:t>
      </w:r>
      <w:r w:rsidRPr="003D733D">
        <w:t xml:space="preserve"> </w:t>
      </w:r>
      <w:r w:rsidRPr="003D733D">
        <w:rPr>
          <w:rFonts w:ascii="Sylfaen" w:hAnsi="Sylfaen" w:cs="Sylfaen"/>
        </w:rPr>
        <w:t>სახის</w:t>
      </w:r>
      <w:r w:rsidRPr="003D733D">
        <w:t xml:space="preserve"> </w:t>
      </w:r>
      <w:r w:rsidRPr="003D733D">
        <w:rPr>
          <w:rFonts w:ascii="Sylfaen" w:hAnsi="Sylfaen" w:cs="Sylfaen"/>
        </w:rPr>
        <w:t>ან</w:t>
      </w:r>
      <w:r w:rsidRPr="003D733D">
        <w:t xml:space="preserve"> </w:t>
      </w:r>
      <w:r w:rsidRPr="003D733D">
        <w:rPr>
          <w:rFonts w:ascii="Sylfaen" w:hAnsi="Sylfaen" w:cs="Sylfaen"/>
        </w:rPr>
        <w:t>კისრის</w:t>
      </w:r>
      <w:r w:rsidRPr="003D733D">
        <w:t xml:space="preserve"> </w:t>
      </w:r>
      <w:r w:rsidRPr="003D733D">
        <w:rPr>
          <w:rFonts w:ascii="Sylfaen" w:hAnsi="Sylfaen" w:cs="Sylfaen"/>
        </w:rPr>
        <w:t>არეში</w:t>
      </w:r>
      <w:r w:rsidRPr="003D733D">
        <w:t xml:space="preserve">, </w:t>
      </w:r>
      <w:r w:rsidRPr="003D733D">
        <w:rPr>
          <w:rFonts w:ascii="Sylfaen" w:hAnsi="Sylfaen" w:cs="Sylfaen"/>
        </w:rPr>
        <w:t>სახისა</w:t>
      </w:r>
      <w:r w:rsidRPr="003D733D">
        <w:t xml:space="preserve"> </w:t>
      </w:r>
      <w:r w:rsidRPr="003D733D">
        <w:rPr>
          <w:rFonts w:ascii="Sylfaen" w:hAnsi="Sylfaen" w:cs="Sylfaen"/>
        </w:rPr>
        <w:t>და</w:t>
      </w:r>
      <w:r w:rsidRPr="003D733D">
        <w:t xml:space="preserve"> </w:t>
      </w:r>
      <w:r w:rsidRPr="003D733D">
        <w:rPr>
          <w:rFonts w:ascii="Sylfaen" w:hAnsi="Sylfaen" w:cs="Sylfaen"/>
        </w:rPr>
        <w:t>ცხვირის</w:t>
      </w:r>
      <w:r w:rsidRPr="003D733D">
        <w:t xml:space="preserve"> </w:t>
      </w:r>
      <w:r w:rsidRPr="003D733D">
        <w:rPr>
          <w:rFonts w:ascii="Sylfaen" w:hAnsi="Sylfaen" w:cs="Sylfaen"/>
        </w:rPr>
        <w:t>თმიანი</w:t>
      </w:r>
      <w:r w:rsidRPr="003D733D">
        <w:t xml:space="preserve"> </w:t>
      </w:r>
      <w:r w:rsidRPr="003D733D">
        <w:rPr>
          <w:rFonts w:ascii="Sylfaen" w:hAnsi="Sylfaen" w:cs="Sylfaen"/>
        </w:rPr>
        <w:t>საფარველის</w:t>
      </w:r>
      <w:r w:rsidRPr="003D733D">
        <w:t xml:space="preserve"> </w:t>
      </w:r>
      <w:r w:rsidRPr="003D733D">
        <w:rPr>
          <w:rFonts w:ascii="Sylfaen" w:hAnsi="Sylfaen" w:cs="Sylfaen"/>
        </w:rPr>
        <w:t>შეტრუსვა</w:t>
      </w:r>
      <w:r w:rsidRPr="003D733D">
        <w:t xml:space="preserve">, </w:t>
      </w:r>
      <w:r w:rsidRPr="003D733D">
        <w:rPr>
          <w:rFonts w:ascii="Sylfaen" w:hAnsi="Sylfaen" w:cs="Sylfaen"/>
        </w:rPr>
        <w:t>პირის</w:t>
      </w:r>
      <w:r w:rsidRPr="003D733D">
        <w:t xml:space="preserve"> </w:t>
      </w:r>
      <w:r w:rsidRPr="003D733D">
        <w:rPr>
          <w:rFonts w:ascii="Sylfaen" w:hAnsi="Sylfaen" w:cs="Sylfaen"/>
        </w:rPr>
        <w:t>ღრუსა</w:t>
      </w:r>
      <w:r w:rsidRPr="003D733D">
        <w:t xml:space="preserve"> </w:t>
      </w:r>
      <w:r w:rsidRPr="003D733D">
        <w:rPr>
          <w:rFonts w:ascii="Sylfaen" w:hAnsi="Sylfaen" w:cs="Sylfaen"/>
        </w:rPr>
        <w:t>და</w:t>
      </w:r>
      <w:r w:rsidRPr="003D733D">
        <w:t xml:space="preserve"> </w:t>
      </w:r>
      <w:r w:rsidRPr="003D733D">
        <w:rPr>
          <w:rFonts w:ascii="Sylfaen" w:hAnsi="Sylfaen" w:cs="Sylfaen"/>
        </w:rPr>
        <w:t>ტუჩების</w:t>
      </w:r>
      <w:r w:rsidRPr="003D733D">
        <w:t xml:space="preserve"> </w:t>
      </w:r>
      <w:r w:rsidRPr="003D733D">
        <w:rPr>
          <w:rFonts w:ascii="Sylfaen" w:hAnsi="Sylfaen" w:cs="Sylfaen"/>
        </w:rPr>
        <w:t>შეშუპება</w:t>
      </w:r>
      <w:r w:rsidRPr="003D733D">
        <w:t xml:space="preserve">, </w:t>
      </w:r>
      <w:r w:rsidRPr="003D733D">
        <w:rPr>
          <w:rFonts w:ascii="Sylfaen" w:hAnsi="Sylfaen" w:cs="Sylfaen"/>
        </w:rPr>
        <w:t>ყლაპვის</w:t>
      </w:r>
      <w:r w:rsidRPr="003D733D">
        <w:t xml:space="preserve"> </w:t>
      </w:r>
      <w:r w:rsidRPr="003D733D">
        <w:rPr>
          <w:rFonts w:ascii="Sylfaen" w:hAnsi="Sylfaen" w:cs="Sylfaen"/>
        </w:rPr>
        <w:t>გაძნელება</w:t>
      </w:r>
      <w:r w:rsidRPr="003D733D">
        <w:t xml:space="preserve">, </w:t>
      </w:r>
      <w:r w:rsidRPr="003D733D">
        <w:rPr>
          <w:rFonts w:ascii="Sylfaen" w:hAnsi="Sylfaen" w:cs="Sylfaen"/>
        </w:rPr>
        <w:t>ხველა</w:t>
      </w:r>
      <w:r w:rsidRPr="003D733D">
        <w:t xml:space="preserve">, </w:t>
      </w:r>
      <w:r w:rsidRPr="003D733D">
        <w:rPr>
          <w:rFonts w:ascii="Sylfaen" w:hAnsi="Sylfaen" w:cs="Sylfaen"/>
        </w:rPr>
        <w:t>ხრინწიანი</w:t>
      </w:r>
      <w:r w:rsidRPr="003D733D">
        <w:t xml:space="preserve"> </w:t>
      </w:r>
      <w:r w:rsidRPr="003D733D">
        <w:rPr>
          <w:rFonts w:ascii="Sylfaen" w:hAnsi="Sylfaen" w:cs="Sylfaen"/>
        </w:rPr>
        <w:t>ხმა</w:t>
      </w:r>
      <w:r w:rsidRPr="003D733D">
        <w:t xml:space="preserve"> - </w:t>
      </w:r>
      <w:r w:rsidRPr="003D733D">
        <w:rPr>
          <w:rFonts w:ascii="Sylfaen" w:hAnsi="Sylfaen" w:cs="Sylfaen"/>
        </w:rPr>
        <w:t>ეჭვი</w:t>
      </w:r>
      <w:r w:rsidRPr="003D733D">
        <w:t xml:space="preserve"> </w:t>
      </w:r>
      <w:r w:rsidRPr="003D733D">
        <w:rPr>
          <w:rFonts w:ascii="Sylfaen" w:hAnsi="Sylfaen" w:cs="Sylfaen"/>
        </w:rPr>
        <w:t>მიიტანეთ</w:t>
      </w:r>
      <w:r w:rsidRPr="003D733D">
        <w:t xml:space="preserve"> </w:t>
      </w:r>
      <w:r w:rsidRPr="003D733D">
        <w:rPr>
          <w:rFonts w:ascii="Sylfaen" w:hAnsi="Sylfaen" w:cs="Sylfaen"/>
        </w:rPr>
        <w:t>სასუნთქი</w:t>
      </w:r>
      <w:r w:rsidRPr="003D733D">
        <w:t xml:space="preserve"> </w:t>
      </w:r>
      <w:r w:rsidRPr="003D733D">
        <w:rPr>
          <w:rFonts w:ascii="Sylfaen" w:hAnsi="Sylfaen" w:cs="Sylfaen"/>
        </w:rPr>
        <w:t>გზების</w:t>
      </w:r>
      <w:r w:rsidRPr="003D733D">
        <w:t xml:space="preserve"> </w:t>
      </w:r>
      <w:r w:rsidRPr="003D733D">
        <w:rPr>
          <w:rFonts w:ascii="Sylfaen" w:hAnsi="Sylfaen" w:cs="Sylfaen"/>
        </w:rPr>
        <w:t>დამწვრობაზე</w:t>
      </w:r>
      <w:r w:rsidRPr="003D733D">
        <w:t xml:space="preserve"> </w:t>
      </w:r>
      <w:r w:rsidRPr="003D733D">
        <w:rPr>
          <w:rFonts w:ascii="Sylfaen" w:hAnsi="Sylfaen" w:cs="Sylfaen"/>
        </w:rPr>
        <w:t>და</w:t>
      </w:r>
      <w:r w:rsidRPr="003D733D">
        <w:t xml:space="preserve"> </w:t>
      </w:r>
      <w:r w:rsidRPr="003D733D">
        <w:rPr>
          <w:rFonts w:ascii="Sylfaen" w:hAnsi="Sylfaen" w:cs="Sylfaen"/>
        </w:rPr>
        <w:t>დაელოდეთ</w:t>
      </w:r>
      <w:r w:rsidRPr="003D733D">
        <w:t xml:space="preserve"> </w:t>
      </w:r>
      <w:r w:rsidRPr="003D733D">
        <w:rPr>
          <w:rFonts w:ascii="Sylfaen" w:hAnsi="Sylfaen" w:cs="Sylfaen"/>
        </w:rPr>
        <w:t>სამედიცინო</w:t>
      </w:r>
      <w:r w:rsidRPr="003D733D">
        <w:t xml:space="preserve"> </w:t>
      </w:r>
      <w:r w:rsidRPr="003D733D">
        <w:rPr>
          <w:rFonts w:ascii="Sylfaen" w:hAnsi="Sylfaen" w:cs="Sylfaen"/>
        </w:rPr>
        <w:t>სამსახურს</w:t>
      </w:r>
      <w:r w:rsidRPr="003D733D">
        <w:t>;</w:t>
      </w:r>
    </w:p>
    <w:p w14:paraId="5CDFCF77" w14:textId="77777777" w:rsidR="00A2588D" w:rsidRPr="003D733D" w:rsidRDefault="00A2588D" w:rsidP="00A2588D">
      <w:r w:rsidRPr="003D733D">
        <w:rPr>
          <w:rFonts w:ascii="Sylfaen" w:hAnsi="Sylfaen" w:cs="Sylfaen"/>
        </w:rPr>
        <w:t>სამედიცინო</w:t>
      </w:r>
      <w:r w:rsidRPr="003D733D">
        <w:t xml:space="preserve"> </w:t>
      </w:r>
      <w:r w:rsidRPr="003D733D">
        <w:rPr>
          <w:rFonts w:ascii="Sylfaen" w:hAnsi="Sylfaen" w:cs="Sylfaen"/>
        </w:rPr>
        <w:t>სამსახურის</w:t>
      </w:r>
      <w:r w:rsidRPr="003D733D">
        <w:t xml:space="preserve"> </w:t>
      </w:r>
      <w:r w:rsidRPr="003D733D">
        <w:rPr>
          <w:rFonts w:ascii="Sylfaen" w:hAnsi="Sylfaen" w:cs="Sylfaen"/>
        </w:rPr>
        <w:t>მოსვლამდე</w:t>
      </w:r>
      <w:r w:rsidRPr="003D733D">
        <w:t xml:space="preserve"> </w:t>
      </w:r>
      <w:r w:rsidRPr="003D733D">
        <w:rPr>
          <w:rFonts w:ascii="Sylfaen" w:hAnsi="Sylfaen" w:cs="Sylfaen"/>
        </w:rPr>
        <w:t>მუდმივად</w:t>
      </w:r>
      <w:r w:rsidRPr="003D733D">
        <w:t xml:space="preserve"> </w:t>
      </w:r>
      <w:r w:rsidRPr="003D733D">
        <w:rPr>
          <w:rFonts w:ascii="Sylfaen" w:hAnsi="Sylfaen" w:cs="Sylfaen"/>
        </w:rPr>
        <w:t>შეამოწმეთ</w:t>
      </w:r>
      <w:r w:rsidRPr="003D733D">
        <w:t xml:space="preserve"> </w:t>
      </w:r>
      <w:r w:rsidRPr="003D733D">
        <w:rPr>
          <w:rFonts w:ascii="Sylfaen" w:hAnsi="Sylfaen" w:cs="Sylfaen"/>
        </w:rPr>
        <w:t>სუნთქვა</w:t>
      </w:r>
      <w:r w:rsidRPr="003D733D">
        <w:t xml:space="preserve"> </w:t>
      </w:r>
      <w:r w:rsidRPr="003D733D">
        <w:rPr>
          <w:rFonts w:ascii="Sylfaen" w:hAnsi="Sylfaen" w:cs="Sylfaen"/>
        </w:rPr>
        <w:t>და</w:t>
      </w:r>
      <w:r w:rsidRPr="003D733D">
        <w:t xml:space="preserve"> </w:t>
      </w:r>
      <w:r w:rsidRPr="003D733D">
        <w:rPr>
          <w:rFonts w:ascii="Sylfaen" w:hAnsi="Sylfaen" w:cs="Sylfaen"/>
        </w:rPr>
        <w:t>პულსი</w:t>
      </w:r>
      <w:r w:rsidRPr="003D733D">
        <w:t xml:space="preserve">, </w:t>
      </w:r>
      <w:r w:rsidRPr="003D733D">
        <w:rPr>
          <w:rFonts w:ascii="Sylfaen" w:hAnsi="Sylfaen" w:cs="Sylfaen"/>
        </w:rPr>
        <w:t>მზად</w:t>
      </w:r>
      <w:r w:rsidRPr="003D733D">
        <w:t xml:space="preserve"> </w:t>
      </w:r>
      <w:r w:rsidRPr="003D733D">
        <w:rPr>
          <w:rFonts w:ascii="Sylfaen" w:hAnsi="Sylfaen" w:cs="Sylfaen"/>
        </w:rPr>
        <w:t>იყავით</w:t>
      </w:r>
      <w:r w:rsidRPr="003D733D">
        <w:t xml:space="preserve"> </w:t>
      </w:r>
      <w:r w:rsidRPr="003D733D">
        <w:rPr>
          <w:rFonts w:ascii="Sylfaen" w:hAnsi="Sylfaen" w:cs="Sylfaen"/>
        </w:rPr>
        <w:t>სარეანიმაციო</w:t>
      </w:r>
      <w:r w:rsidRPr="003D733D">
        <w:t xml:space="preserve"> </w:t>
      </w:r>
      <w:r w:rsidRPr="003D733D">
        <w:rPr>
          <w:rFonts w:ascii="Sylfaen" w:hAnsi="Sylfaen" w:cs="Sylfaen"/>
        </w:rPr>
        <w:t>ღონისძიებების</w:t>
      </w:r>
      <w:r w:rsidRPr="003D733D">
        <w:t xml:space="preserve"> </w:t>
      </w:r>
      <w:r w:rsidRPr="003D733D">
        <w:rPr>
          <w:rFonts w:ascii="Sylfaen" w:hAnsi="Sylfaen" w:cs="Sylfaen"/>
        </w:rPr>
        <w:t>ჩატარებისათვის</w:t>
      </w:r>
      <w:r w:rsidRPr="003D733D">
        <w:t>.</w:t>
      </w:r>
    </w:p>
    <w:p w14:paraId="112700CB" w14:textId="77777777" w:rsidR="00A2588D" w:rsidRPr="003D733D" w:rsidRDefault="00A2588D" w:rsidP="00A2588D">
      <w:r w:rsidRPr="003D733D">
        <w:rPr>
          <w:rFonts w:ascii="Sylfaen" w:hAnsi="Sylfaen" w:cs="Sylfaen"/>
        </w:rPr>
        <w:t>დამწვრობის</w:t>
      </w:r>
      <w:r w:rsidRPr="003D733D">
        <w:t xml:space="preserve"> </w:t>
      </w:r>
      <w:r w:rsidRPr="003D733D">
        <w:rPr>
          <w:rFonts w:ascii="Sylfaen" w:hAnsi="Sylfaen" w:cs="Sylfaen"/>
        </w:rPr>
        <w:t>დროს</w:t>
      </w:r>
      <w:r w:rsidRPr="003D733D">
        <w:t xml:space="preserve"> </w:t>
      </w:r>
      <w:r w:rsidRPr="003D733D">
        <w:rPr>
          <w:rFonts w:ascii="Sylfaen" w:hAnsi="Sylfaen" w:cs="Sylfaen"/>
        </w:rPr>
        <w:t>არ</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დაზიანებული</w:t>
      </w:r>
      <w:r w:rsidRPr="003D733D">
        <w:t xml:space="preserve"> </w:t>
      </w:r>
      <w:r w:rsidRPr="003D733D">
        <w:rPr>
          <w:rFonts w:ascii="Sylfaen" w:hAnsi="Sylfaen" w:cs="Sylfaen"/>
        </w:rPr>
        <w:t>არიდან</w:t>
      </w:r>
      <w:r w:rsidRPr="003D733D">
        <w:t xml:space="preserve"> </w:t>
      </w:r>
      <w:r w:rsidRPr="003D733D">
        <w:rPr>
          <w:rFonts w:ascii="Sylfaen" w:hAnsi="Sylfaen" w:cs="Sylfaen"/>
        </w:rPr>
        <w:t>ტანსაცმლის</w:t>
      </w:r>
      <w:r w:rsidRPr="003D733D">
        <w:t xml:space="preserve"> </w:t>
      </w:r>
      <w:r w:rsidRPr="003D733D">
        <w:rPr>
          <w:rFonts w:ascii="Sylfaen" w:hAnsi="Sylfaen" w:cs="Sylfaen"/>
        </w:rPr>
        <w:t>ნაწილაკების</w:t>
      </w:r>
      <w:r w:rsidRPr="003D733D">
        <w:t xml:space="preserve"> </w:t>
      </w:r>
      <w:r w:rsidRPr="003D733D">
        <w:rPr>
          <w:rFonts w:ascii="Sylfaen" w:hAnsi="Sylfaen" w:cs="Sylfaen"/>
        </w:rPr>
        <w:t>აშრევება</w:t>
      </w:r>
      <w:r w:rsidRPr="003D733D">
        <w:t xml:space="preserve">, </w:t>
      </w:r>
      <w:r w:rsidRPr="003D733D">
        <w:rPr>
          <w:rFonts w:ascii="Sylfaen" w:hAnsi="Sylfaen" w:cs="Sylfaen"/>
        </w:rPr>
        <w:t>რადგან</w:t>
      </w:r>
      <w:r w:rsidRPr="003D733D">
        <w:t xml:space="preserve"> </w:t>
      </w:r>
      <w:r w:rsidRPr="003D733D">
        <w:rPr>
          <w:rFonts w:ascii="Sylfaen" w:hAnsi="Sylfaen" w:cs="Sylfaen"/>
        </w:rPr>
        <w:t>ამით</w:t>
      </w:r>
      <w:r w:rsidRPr="003D733D">
        <w:t xml:space="preserve"> </w:t>
      </w:r>
      <w:r w:rsidRPr="003D733D">
        <w:rPr>
          <w:rFonts w:ascii="Sylfaen" w:hAnsi="Sylfaen" w:cs="Sylfaen"/>
        </w:rPr>
        <w:t>შესაძლებელია</w:t>
      </w:r>
      <w:r w:rsidRPr="003D733D">
        <w:t xml:space="preserve"> </w:t>
      </w:r>
      <w:r w:rsidRPr="003D733D">
        <w:rPr>
          <w:rFonts w:ascii="Sylfaen" w:hAnsi="Sylfaen" w:cs="Sylfaen"/>
        </w:rPr>
        <w:t>დაზიანების</w:t>
      </w:r>
      <w:r w:rsidRPr="003D733D">
        <w:t xml:space="preserve"> </w:t>
      </w:r>
      <w:r w:rsidRPr="003D733D">
        <w:rPr>
          <w:rFonts w:ascii="Sylfaen" w:hAnsi="Sylfaen" w:cs="Sylfaen"/>
        </w:rPr>
        <w:t>გაღრმავება</w:t>
      </w:r>
      <w:r w:rsidRPr="003D733D">
        <w:t>;</w:t>
      </w:r>
    </w:p>
    <w:p w14:paraId="20562931" w14:textId="77777777" w:rsidR="00A2588D" w:rsidRPr="003D733D" w:rsidRDefault="00A2588D" w:rsidP="00A2588D">
      <w:r w:rsidRPr="003D733D">
        <w:rPr>
          <w:rFonts w:ascii="Sylfaen" w:hAnsi="Sylfaen" w:cs="Sylfaen"/>
        </w:rPr>
        <w:t>არ</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ბუშტუკების</w:t>
      </w:r>
      <w:r w:rsidRPr="003D733D">
        <w:t xml:space="preserve"> </w:t>
      </w:r>
      <w:r w:rsidRPr="003D733D">
        <w:rPr>
          <w:rFonts w:ascii="Sylfaen" w:hAnsi="Sylfaen" w:cs="Sylfaen"/>
        </w:rPr>
        <w:t>მთლიანობის</w:t>
      </w:r>
      <w:r w:rsidRPr="003D733D">
        <w:t xml:space="preserve"> </w:t>
      </w:r>
      <w:r w:rsidRPr="003D733D">
        <w:rPr>
          <w:rFonts w:ascii="Sylfaen" w:hAnsi="Sylfaen" w:cs="Sylfaen"/>
        </w:rPr>
        <w:t>დარღვევა</w:t>
      </w:r>
      <w:r w:rsidRPr="003D733D">
        <w:t xml:space="preserve">, </w:t>
      </w:r>
      <w:r w:rsidRPr="003D733D">
        <w:rPr>
          <w:rFonts w:ascii="Sylfaen" w:hAnsi="Sylfaen" w:cs="Sylfaen"/>
        </w:rPr>
        <w:t>რადგან</w:t>
      </w:r>
      <w:r w:rsidRPr="003D733D">
        <w:t xml:space="preserve"> </w:t>
      </w:r>
      <w:r w:rsidRPr="003D733D">
        <w:rPr>
          <w:rFonts w:ascii="Sylfaen" w:hAnsi="Sylfaen" w:cs="Sylfaen"/>
        </w:rPr>
        <w:t>ზიანდება</w:t>
      </w:r>
      <w:r w:rsidRPr="003D733D">
        <w:t xml:space="preserve"> </w:t>
      </w:r>
      <w:r w:rsidRPr="003D733D">
        <w:rPr>
          <w:rFonts w:ascii="Sylfaen" w:hAnsi="Sylfaen" w:cs="Sylfaen"/>
        </w:rPr>
        <w:t>კანის</w:t>
      </w:r>
      <w:r w:rsidRPr="003D733D">
        <w:t xml:space="preserve"> </w:t>
      </w:r>
      <w:r w:rsidRPr="003D733D">
        <w:rPr>
          <w:rFonts w:ascii="Sylfaen" w:hAnsi="Sylfaen" w:cs="Sylfaen"/>
        </w:rPr>
        <w:t>საფარველი</w:t>
      </w:r>
      <w:r w:rsidRPr="003D733D">
        <w:t xml:space="preserve"> </w:t>
      </w:r>
      <w:r w:rsidRPr="003D733D">
        <w:rPr>
          <w:rFonts w:ascii="Sylfaen" w:hAnsi="Sylfaen" w:cs="Sylfaen"/>
        </w:rPr>
        <w:t>და</w:t>
      </w:r>
      <w:r w:rsidRPr="003D733D">
        <w:t xml:space="preserve"> </w:t>
      </w:r>
      <w:r w:rsidRPr="003D733D">
        <w:rPr>
          <w:rFonts w:ascii="Sylfaen" w:hAnsi="Sylfaen" w:cs="Sylfaen"/>
        </w:rPr>
        <w:t>იქმნება</w:t>
      </w:r>
      <w:r w:rsidRPr="003D733D">
        <w:t xml:space="preserve"> </w:t>
      </w:r>
      <w:r w:rsidRPr="003D733D">
        <w:rPr>
          <w:rFonts w:ascii="Sylfaen" w:hAnsi="Sylfaen" w:cs="Sylfaen"/>
        </w:rPr>
        <w:t>ხელსაყრელი</w:t>
      </w:r>
      <w:r w:rsidRPr="003D733D">
        <w:t xml:space="preserve"> </w:t>
      </w:r>
      <w:r w:rsidRPr="003D733D">
        <w:rPr>
          <w:rFonts w:ascii="Sylfaen" w:hAnsi="Sylfaen" w:cs="Sylfaen"/>
        </w:rPr>
        <w:t>პირობები</w:t>
      </w:r>
      <w:r w:rsidRPr="003D733D">
        <w:t xml:space="preserve"> </w:t>
      </w:r>
      <w:r w:rsidRPr="003D733D">
        <w:rPr>
          <w:rFonts w:ascii="Sylfaen" w:hAnsi="Sylfaen" w:cs="Sylfaen"/>
        </w:rPr>
        <w:t>ორგანიზმში</w:t>
      </w:r>
      <w:r w:rsidRPr="003D733D">
        <w:t xml:space="preserve"> </w:t>
      </w:r>
      <w:r w:rsidRPr="003D733D">
        <w:rPr>
          <w:rFonts w:ascii="Sylfaen" w:hAnsi="Sylfaen" w:cs="Sylfaen"/>
        </w:rPr>
        <w:t>ინფექციის</w:t>
      </w:r>
      <w:r w:rsidRPr="003D733D">
        <w:t xml:space="preserve"> </w:t>
      </w:r>
      <w:r w:rsidRPr="003D733D">
        <w:rPr>
          <w:rFonts w:ascii="Sylfaen" w:hAnsi="Sylfaen" w:cs="Sylfaen"/>
        </w:rPr>
        <w:t>შეჭრისათვის</w:t>
      </w:r>
      <w:r w:rsidRPr="003D733D">
        <w:t>;</w:t>
      </w:r>
    </w:p>
    <w:p w14:paraId="2476EE2E" w14:textId="77777777" w:rsidR="00A2588D" w:rsidRPr="003D733D" w:rsidRDefault="00A2588D" w:rsidP="00A2588D">
      <w:r w:rsidRPr="003D733D">
        <w:rPr>
          <w:rFonts w:ascii="Sylfaen" w:hAnsi="Sylfaen" w:cs="Sylfaen"/>
        </w:rPr>
        <w:t>დაზიანებული</w:t>
      </w:r>
      <w:r w:rsidRPr="003D733D">
        <w:t xml:space="preserve"> </w:t>
      </w:r>
      <w:r w:rsidRPr="003D733D">
        <w:rPr>
          <w:rFonts w:ascii="Sylfaen" w:hAnsi="Sylfaen" w:cs="Sylfaen"/>
        </w:rPr>
        <w:t>არის</w:t>
      </w:r>
      <w:r w:rsidRPr="003D733D">
        <w:t xml:space="preserve"> </w:t>
      </w:r>
      <w:r w:rsidRPr="003D733D">
        <w:rPr>
          <w:rFonts w:ascii="Sylfaen" w:hAnsi="Sylfaen" w:cs="Sylfaen"/>
        </w:rPr>
        <w:t>დასამუშავებლად</w:t>
      </w:r>
      <w:r w:rsidRPr="003D733D">
        <w:t xml:space="preserve"> </w:t>
      </w:r>
      <w:r w:rsidRPr="003D733D">
        <w:rPr>
          <w:rFonts w:ascii="Sylfaen" w:hAnsi="Sylfaen" w:cs="Sylfaen"/>
        </w:rPr>
        <w:t>არ</w:t>
      </w:r>
      <w:r w:rsidRPr="003D733D">
        <w:t xml:space="preserve"> </w:t>
      </w:r>
      <w:r w:rsidRPr="003D733D">
        <w:rPr>
          <w:rFonts w:ascii="Sylfaen" w:hAnsi="Sylfaen" w:cs="Sylfaen"/>
        </w:rPr>
        <w:t>გამოიყენოთ</w:t>
      </w:r>
      <w:r w:rsidRPr="003D733D">
        <w:t xml:space="preserve"> </w:t>
      </w:r>
      <w:r w:rsidRPr="003D733D">
        <w:rPr>
          <w:rFonts w:ascii="Sylfaen" w:hAnsi="Sylfaen" w:cs="Sylfaen"/>
        </w:rPr>
        <w:t>მალამოები</w:t>
      </w:r>
      <w:r w:rsidRPr="003D733D">
        <w:t xml:space="preserve">, </w:t>
      </w:r>
      <w:r w:rsidRPr="003D733D">
        <w:rPr>
          <w:rFonts w:ascii="Sylfaen" w:hAnsi="Sylfaen" w:cs="Sylfaen"/>
        </w:rPr>
        <w:t>ლოსიონები</w:t>
      </w:r>
      <w:r w:rsidRPr="003D733D">
        <w:t xml:space="preserve">, </w:t>
      </w:r>
      <w:r w:rsidRPr="003D733D">
        <w:rPr>
          <w:rFonts w:ascii="Sylfaen" w:hAnsi="Sylfaen" w:cs="Sylfaen"/>
        </w:rPr>
        <w:t>ზეთები</w:t>
      </w:r>
      <w:r w:rsidRPr="003D733D">
        <w:t>;</w:t>
      </w:r>
    </w:p>
    <w:p w14:paraId="019C2917" w14:textId="77777777" w:rsidR="00A2588D" w:rsidRPr="003D733D" w:rsidRDefault="00A2588D" w:rsidP="00A2588D">
      <w:r w:rsidRPr="003D733D">
        <w:rPr>
          <w:rFonts w:ascii="Sylfaen" w:hAnsi="Sylfaen" w:cs="Sylfaen"/>
        </w:rPr>
        <w:t>არ</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ქიმიური</w:t>
      </w:r>
      <w:r w:rsidRPr="003D733D">
        <w:t xml:space="preserve"> </w:t>
      </w:r>
      <w:r w:rsidRPr="003D733D">
        <w:rPr>
          <w:rFonts w:ascii="Sylfaen" w:hAnsi="Sylfaen" w:cs="Sylfaen"/>
        </w:rPr>
        <w:t>დამწვრობის</w:t>
      </w:r>
      <w:r w:rsidRPr="003D733D">
        <w:t xml:space="preserve"> </w:t>
      </w:r>
      <w:r w:rsidRPr="003D733D">
        <w:rPr>
          <w:rFonts w:ascii="Sylfaen" w:hAnsi="Sylfaen" w:cs="Sylfaen"/>
        </w:rPr>
        <w:t>დროს</w:t>
      </w:r>
      <w:r w:rsidRPr="003D733D">
        <w:t xml:space="preserve"> </w:t>
      </w:r>
      <w:r w:rsidRPr="003D733D">
        <w:rPr>
          <w:rFonts w:ascii="Sylfaen" w:hAnsi="Sylfaen" w:cs="Sylfaen"/>
        </w:rPr>
        <w:t>დაზიანებული</w:t>
      </w:r>
      <w:r w:rsidRPr="003D733D">
        <w:t xml:space="preserve"> </w:t>
      </w:r>
      <w:r w:rsidRPr="003D733D">
        <w:rPr>
          <w:rFonts w:ascii="Sylfaen" w:hAnsi="Sylfaen" w:cs="Sylfaen"/>
        </w:rPr>
        <w:t>არის</w:t>
      </w:r>
      <w:r w:rsidRPr="003D733D">
        <w:t xml:space="preserve"> </w:t>
      </w:r>
      <w:r w:rsidRPr="003D733D">
        <w:rPr>
          <w:rFonts w:ascii="Sylfaen" w:hAnsi="Sylfaen" w:cs="Sylfaen"/>
        </w:rPr>
        <w:t>დამუშავება</w:t>
      </w:r>
      <w:r w:rsidRPr="003D733D">
        <w:t xml:space="preserve"> </w:t>
      </w:r>
      <w:r w:rsidRPr="003D733D">
        <w:rPr>
          <w:rFonts w:ascii="Sylfaen" w:hAnsi="Sylfaen" w:cs="Sylfaen"/>
        </w:rPr>
        <w:t>მანეიტრალებელი</w:t>
      </w:r>
      <w:r w:rsidRPr="003D733D">
        <w:t xml:space="preserve"> </w:t>
      </w:r>
      <w:r w:rsidRPr="003D733D">
        <w:rPr>
          <w:rFonts w:ascii="Sylfaen" w:hAnsi="Sylfaen" w:cs="Sylfaen"/>
        </w:rPr>
        <w:t>ხსნარებით</w:t>
      </w:r>
      <w:r w:rsidRPr="003D733D">
        <w:t xml:space="preserve">. </w:t>
      </w:r>
      <w:r w:rsidRPr="003D733D">
        <w:rPr>
          <w:rFonts w:ascii="Sylfaen" w:hAnsi="Sylfaen" w:cs="Sylfaen"/>
        </w:rPr>
        <w:t>მაგ</w:t>
      </w:r>
      <w:r w:rsidRPr="003D733D">
        <w:t xml:space="preserve">. </w:t>
      </w:r>
      <w:r w:rsidRPr="003D733D">
        <w:rPr>
          <w:rFonts w:ascii="Sylfaen" w:hAnsi="Sylfaen" w:cs="Sylfaen"/>
        </w:rPr>
        <w:t>ტუტით</w:t>
      </w:r>
      <w:r w:rsidRPr="003D733D">
        <w:t xml:space="preserve"> </w:t>
      </w:r>
      <w:r w:rsidRPr="003D733D">
        <w:rPr>
          <w:rFonts w:ascii="Sylfaen" w:hAnsi="Sylfaen" w:cs="Sylfaen"/>
        </w:rPr>
        <w:t>განპირობებული</w:t>
      </w:r>
      <w:r w:rsidRPr="003D733D">
        <w:t xml:space="preserve"> </w:t>
      </w:r>
      <w:r w:rsidRPr="003D733D">
        <w:rPr>
          <w:rFonts w:ascii="Sylfaen" w:hAnsi="Sylfaen" w:cs="Sylfaen"/>
        </w:rPr>
        <w:t>დამწვრობის</w:t>
      </w:r>
      <w:r w:rsidRPr="003D733D">
        <w:t xml:space="preserve"> </w:t>
      </w:r>
      <w:r w:rsidRPr="003D733D">
        <w:rPr>
          <w:rFonts w:ascii="Sylfaen" w:hAnsi="Sylfaen" w:cs="Sylfaen"/>
        </w:rPr>
        <w:t>დამუშავება</w:t>
      </w:r>
      <w:r w:rsidRPr="003D733D">
        <w:t xml:space="preserve"> </w:t>
      </w:r>
      <w:r w:rsidRPr="003D733D">
        <w:rPr>
          <w:rFonts w:ascii="Sylfaen" w:hAnsi="Sylfaen" w:cs="Sylfaen"/>
        </w:rPr>
        <w:t>მჟავათი</w:t>
      </w:r>
      <w:r w:rsidRPr="003D733D">
        <w:t>.</w:t>
      </w:r>
    </w:p>
    <w:p w14:paraId="5EE10AAE" w14:textId="77777777" w:rsidR="00A2588D" w:rsidRPr="003D733D" w:rsidRDefault="00A2588D" w:rsidP="00A2588D"/>
    <w:p w14:paraId="7A639F4F" w14:textId="77777777" w:rsidR="00A2588D" w:rsidRPr="003D733D" w:rsidRDefault="00A2588D" w:rsidP="00A2588D">
      <w:r w:rsidRPr="003D733D">
        <w:rPr>
          <w:rFonts w:ascii="Sylfaen" w:hAnsi="Sylfaen" w:cs="Sylfaen"/>
        </w:rPr>
        <w:t>მაღალი</w:t>
      </w:r>
      <w:r w:rsidRPr="003D733D">
        <w:t xml:space="preserve"> </w:t>
      </w:r>
      <w:r w:rsidRPr="003D733D">
        <w:rPr>
          <w:rFonts w:ascii="Sylfaen" w:hAnsi="Sylfaen" w:cs="Sylfaen"/>
        </w:rPr>
        <w:t>ძაბვის</w:t>
      </w:r>
      <w:r w:rsidRPr="003D733D">
        <w:t xml:space="preserve"> </w:t>
      </w:r>
      <w:r w:rsidRPr="003D733D">
        <w:rPr>
          <w:rFonts w:ascii="Sylfaen" w:hAnsi="Sylfaen" w:cs="Sylfaen"/>
        </w:rPr>
        <w:t>დენით</w:t>
      </w:r>
      <w:r w:rsidRPr="003D733D">
        <w:t xml:space="preserve"> </w:t>
      </w:r>
      <w:r w:rsidRPr="003D733D">
        <w:rPr>
          <w:rFonts w:ascii="Sylfaen" w:hAnsi="Sylfaen" w:cs="Sylfaen"/>
        </w:rPr>
        <w:t>გამოწვეული</w:t>
      </w:r>
      <w:r w:rsidRPr="003D733D">
        <w:t xml:space="preserve"> </w:t>
      </w:r>
      <w:r w:rsidRPr="003D733D">
        <w:rPr>
          <w:rFonts w:ascii="Sylfaen" w:hAnsi="Sylfaen" w:cs="Sylfaen"/>
        </w:rPr>
        <w:t>ელექტროტრავმის</w:t>
      </w:r>
      <w:r w:rsidRPr="003D733D">
        <w:t xml:space="preserve"> </w:t>
      </w:r>
      <w:r w:rsidRPr="003D733D">
        <w:rPr>
          <w:rFonts w:ascii="Sylfaen" w:hAnsi="Sylfaen" w:cs="Sylfaen"/>
        </w:rPr>
        <w:t>შემთხევაში</w:t>
      </w:r>
      <w:r w:rsidRPr="003D733D">
        <w:t>:</w:t>
      </w:r>
    </w:p>
    <w:p w14:paraId="5AE386CB" w14:textId="77777777" w:rsidR="00A2588D" w:rsidRPr="003D733D" w:rsidRDefault="00A2588D" w:rsidP="00A2588D">
      <w:r w:rsidRPr="003D733D">
        <w:rPr>
          <w:rFonts w:ascii="Sylfaen" w:hAnsi="Sylfaen" w:cs="Sylfaen"/>
        </w:rPr>
        <w:t>არ</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დაზარალებულთან</w:t>
      </w:r>
      <w:r w:rsidRPr="003D733D">
        <w:t xml:space="preserve"> </w:t>
      </w:r>
      <w:r w:rsidRPr="003D733D">
        <w:rPr>
          <w:rFonts w:ascii="Sylfaen" w:hAnsi="Sylfaen" w:cs="Sylfaen"/>
        </w:rPr>
        <w:t>მიახლოვება</w:t>
      </w:r>
      <w:r w:rsidRPr="003D733D">
        <w:t xml:space="preserve">, </w:t>
      </w:r>
      <w:r w:rsidRPr="003D733D">
        <w:rPr>
          <w:rFonts w:ascii="Sylfaen" w:hAnsi="Sylfaen" w:cs="Sylfaen"/>
        </w:rPr>
        <w:t>სანამ</w:t>
      </w:r>
      <w:r w:rsidRPr="003D733D">
        <w:t xml:space="preserve"> </w:t>
      </w:r>
      <w:r w:rsidRPr="003D733D">
        <w:rPr>
          <w:rFonts w:ascii="Sylfaen" w:hAnsi="Sylfaen" w:cs="Sylfaen"/>
        </w:rPr>
        <w:t>არ</w:t>
      </w:r>
      <w:r w:rsidRPr="003D733D">
        <w:t xml:space="preserve"> </w:t>
      </w:r>
      <w:r w:rsidRPr="003D733D">
        <w:rPr>
          <w:rFonts w:ascii="Sylfaen" w:hAnsi="Sylfaen" w:cs="Sylfaen"/>
        </w:rPr>
        <w:t>გამოირთვება</w:t>
      </w:r>
      <w:r w:rsidRPr="003D733D">
        <w:t xml:space="preserve"> </w:t>
      </w:r>
      <w:r w:rsidRPr="003D733D">
        <w:rPr>
          <w:rFonts w:ascii="Sylfaen" w:hAnsi="Sylfaen" w:cs="Sylfaen"/>
        </w:rPr>
        <w:t>დენი</w:t>
      </w:r>
      <w:r w:rsidRPr="003D733D">
        <w:t xml:space="preserve"> </w:t>
      </w:r>
      <w:r w:rsidRPr="003D733D">
        <w:rPr>
          <w:rFonts w:ascii="Sylfaen" w:hAnsi="Sylfaen" w:cs="Sylfaen"/>
        </w:rPr>
        <w:t>და</w:t>
      </w:r>
      <w:r w:rsidRPr="003D733D">
        <w:t xml:space="preserve"> </w:t>
      </w:r>
      <w:r w:rsidRPr="003D733D">
        <w:rPr>
          <w:rFonts w:ascii="Sylfaen" w:hAnsi="Sylfaen" w:cs="Sylfaen"/>
        </w:rPr>
        <w:t>საჭიროების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არ</w:t>
      </w:r>
      <w:r w:rsidRPr="003D733D">
        <w:t xml:space="preserve"> </w:t>
      </w:r>
      <w:r w:rsidRPr="003D733D">
        <w:rPr>
          <w:rFonts w:ascii="Sylfaen" w:hAnsi="Sylfaen" w:cs="Sylfaen"/>
        </w:rPr>
        <w:t>გაკეთდება</w:t>
      </w:r>
      <w:r w:rsidRPr="003D733D">
        <w:t xml:space="preserve"> </w:t>
      </w:r>
      <w:r w:rsidRPr="003D733D">
        <w:rPr>
          <w:rFonts w:ascii="Sylfaen" w:hAnsi="Sylfaen" w:cs="Sylfaen"/>
        </w:rPr>
        <w:t>იზოლაცია</w:t>
      </w:r>
      <w:r w:rsidRPr="003D733D">
        <w:t xml:space="preserve">. </w:t>
      </w:r>
      <w:r w:rsidRPr="003D733D">
        <w:rPr>
          <w:rFonts w:ascii="Sylfaen" w:hAnsi="Sylfaen" w:cs="Sylfaen"/>
        </w:rPr>
        <w:t>შეინარჩუნეთ</w:t>
      </w:r>
      <w:r w:rsidRPr="003D733D">
        <w:t xml:space="preserve"> 18 </w:t>
      </w:r>
      <w:r w:rsidRPr="003D733D">
        <w:rPr>
          <w:rFonts w:ascii="Sylfaen" w:hAnsi="Sylfaen" w:cs="Sylfaen"/>
        </w:rPr>
        <w:t>მეტრის</w:t>
      </w:r>
      <w:r w:rsidRPr="003D733D">
        <w:t xml:space="preserve"> </w:t>
      </w:r>
      <w:r w:rsidRPr="003D733D">
        <w:rPr>
          <w:rFonts w:ascii="Sylfaen" w:hAnsi="Sylfaen" w:cs="Sylfaen"/>
        </w:rPr>
        <w:t>რადიუსის</w:t>
      </w:r>
      <w:r w:rsidRPr="003D733D">
        <w:t xml:space="preserve"> </w:t>
      </w:r>
      <w:r w:rsidRPr="003D733D">
        <w:rPr>
          <w:rFonts w:ascii="Sylfaen" w:hAnsi="Sylfaen" w:cs="Sylfaen"/>
        </w:rPr>
        <w:t>უსაფრთხო</w:t>
      </w:r>
      <w:r w:rsidRPr="003D733D">
        <w:t xml:space="preserve"> </w:t>
      </w:r>
      <w:r w:rsidRPr="003D733D">
        <w:rPr>
          <w:rFonts w:ascii="Sylfaen" w:hAnsi="Sylfaen" w:cs="Sylfaen"/>
        </w:rPr>
        <w:t>დისტანცია</w:t>
      </w:r>
      <w:r w:rsidRPr="003D733D">
        <w:t xml:space="preserve">. </w:t>
      </w:r>
      <w:r w:rsidRPr="003D733D">
        <w:rPr>
          <w:rFonts w:ascii="Sylfaen" w:hAnsi="Sylfaen" w:cs="Sylfaen"/>
        </w:rPr>
        <w:t>არ</w:t>
      </w:r>
      <w:r w:rsidRPr="003D733D">
        <w:t xml:space="preserve"> </w:t>
      </w:r>
      <w:r w:rsidRPr="003D733D">
        <w:rPr>
          <w:rFonts w:ascii="Sylfaen" w:hAnsi="Sylfaen" w:cs="Sylfaen"/>
        </w:rPr>
        <w:t>მისცეთ</w:t>
      </w:r>
      <w:r w:rsidRPr="003D733D">
        <w:t xml:space="preserve"> </w:t>
      </w:r>
      <w:r w:rsidRPr="003D733D">
        <w:rPr>
          <w:rFonts w:ascii="Sylfaen" w:hAnsi="Sylfaen" w:cs="Sylfaen"/>
        </w:rPr>
        <w:t>სხვა</w:t>
      </w:r>
      <w:r w:rsidRPr="003D733D">
        <w:t xml:space="preserve"> </w:t>
      </w:r>
      <w:r w:rsidRPr="003D733D">
        <w:rPr>
          <w:rFonts w:ascii="Sylfaen" w:hAnsi="Sylfaen" w:cs="Sylfaen"/>
        </w:rPr>
        <w:t>თვითმხილველებს</w:t>
      </w:r>
      <w:r w:rsidRPr="003D733D">
        <w:t xml:space="preserve"> </w:t>
      </w:r>
      <w:r w:rsidRPr="003D733D">
        <w:rPr>
          <w:rFonts w:ascii="Sylfaen" w:hAnsi="Sylfaen" w:cs="Sylfaen"/>
        </w:rPr>
        <w:t>დაზარალებულთან</w:t>
      </w:r>
      <w:r w:rsidRPr="003D733D">
        <w:t xml:space="preserve"> </w:t>
      </w:r>
      <w:r w:rsidRPr="003D733D">
        <w:rPr>
          <w:rFonts w:ascii="Sylfaen" w:hAnsi="Sylfaen" w:cs="Sylfaen"/>
        </w:rPr>
        <w:t>მიახლოვების</w:t>
      </w:r>
      <w:r w:rsidRPr="003D733D">
        <w:t xml:space="preserve"> </w:t>
      </w:r>
      <w:r w:rsidRPr="003D733D">
        <w:rPr>
          <w:rFonts w:ascii="Sylfaen" w:hAnsi="Sylfaen" w:cs="Sylfaen"/>
        </w:rPr>
        <w:t>საშუალება</w:t>
      </w:r>
      <w:r w:rsidRPr="003D733D">
        <w:t>;</w:t>
      </w:r>
    </w:p>
    <w:p w14:paraId="65B70591" w14:textId="77777777" w:rsidR="00A2588D" w:rsidRPr="003D733D" w:rsidRDefault="00A2588D" w:rsidP="00A2588D">
      <w:r w:rsidRPr="003D733D">
        <w:rPr>
          <w:rFonts w:ascii="Sylfaen" w:hAnsi="Sylfaen" w:cs="Sylfaen"/>
        </w:rPr>
        <w:t>ელექტროტრავმის</w:t>
      </w:r>
      <w:r w:rsidRPr="003D733D">
        <w:t xml:space="preserve"> </w:t>
      </w:r>
      <w:r w:rsidRPr="003D733D">
        <w:rPr>
          <w:rFonts w:ascii="Sylfaen" w:hAnsi="Sylfaen" w:cs="Sylfaen"/>
        </w:rPr>
        <w:t>მიღების</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უგონოდ</w:t>
      </w:r>
      <w:r w:rsidRPr="003D733D">
        <w:t xml:space="preserve"> </w:t>
      </w:r>
      <w:r w:rsidRPr="003D733D">
        <w:rPr>
          <w:rFonts w:ascii="Sylfaen" w:hAnsi="Sylfaen" w:cs="Sylfaen"/>
        </w:rPr>
        <w:t>მყოფ</w:t>
      </w:r>
      <w:r w:rsidRPr="003D733D">
        <w:t xml:space="preserve"> </w:t>
      </w:r>
      <w:r w:rsidRPr="003D733D">
        <w:rPr>
          <w:rFonts w:ascii="Sylfaen" w:hAnsi="Sylfaen" w:cs="Sylfaen"/>
        </w:rPr>
        <w:t>დაზარალებულთან</w:t>
      </w:r>
      <w:r w:rsidRPr="003D733D">
        <w:t xml:space="preserve"> </w:t>
      </w:r>
      <w:r w:rsidRPr="003D733D">
        <w:rPr>
          <w:rFonts w:ascii="Sylfaen" w:hAnsi="Sylfaen" w:cs="Sylfaen"/>
        </w:rPr>
        <w:t>მიახლოვებისთანავე</w:t>
      </w:r>
      <w:r w:rsidRPr="003D733D">
        <w:t xml:space="preserve"> </w:t>
      </w:r>
      <w:r w:rsidRPr="003D733D">
        <w:rPr>
          <w:rFonts w:ascii="Sylfaen" w:hAnsi="Sylfaen" w:cs="Sylfaen"/>
        </w:rPr>
        <w:t>გახსენით</w:t>
      </w:r>
      <w:r w:rsidRPr="003D733D">
        <w:t xml:space="preserve"> </w:t>
      </w:r>
      <w:r w:rsidRPr="003D733D">
        <w:rPr>
          <w:rFonts w:ascii="Sylfaen" w:hAnsi="Sylfaen" w:cs="Sylfaen"/>
        </w:rPr>
        <w:t>სასუნთქი</w:t>
      </w:r>
      <w:r w:rsidRPr="003D733D">
        <w:t xml:space="preserve"> </w:t>
      </w:r>
      <w:r w:rsidRPr="003D733D">
        <w:rPr>
          <w:rFonts w:ascii="Sylfaen" w:hAnsi="Sylfaen" w:cs="Sylfaen"/>
        </w:rPr>
        <w:t>გზები</w:t>
      </w:r>
      <w:r w:rsidRPr="003D733D">
        <w:t xml:space="preserve"> </w:t>
      </w:r>
      <w:r w:rsidRPr="003D733D">
        <w:rPr>
          <w:rFonts w:ascii="Sylfaen" w:hAnsi="Sylfaen" w:cs="Sylfaen"/>
        </w:rPr>
        <w:t>თავის</w:t>
      </w:r>
      <w:r w:rsidRPr="003D733D">
        <w:t xml:space="preserve"> </w:t>
      </w:r>
      <w:r w:rsidRPr="003D733D">
        <w:rPr>
          <w:rFonts w:ascii="Sylfaen" w:hAnsi="Sylfaen" w:cs="Sylfaen"/>
        </w:rPr>
        <w:t>უკან</w:t>
      </w:r>
      <w:r w:rsidRPr="003D733D">
        <w:t xml:space="preserve"> </w:t>
      </w:r>
      <w:r w:rsidRPr="003D733D">
        <w:rPr>
          <w:rFonts w:ascii="Sylfaen" w:hAnsi="Sylfaen" w:cs="Sylfaen"/>
        </w:rPr>
        <w:t>გადაწევის</w:t>
      </w:r>
      <w:r w:rsidRPr="003D733D">
        <w:t xml:space="preserve"> </w:t>
      </w:r>
      <w:r w:rsidRPr="003D733D">
        <w:rPr>
          <w:rFonts w:ascii="Sylfaen" w:hAnsi="Sylfaen" w:cs="Sylfaen"/>
        </w:rPr>
        <w:t>გარეშე</w:t>
      </w:r>
      <w:r w:rsidRPr="003D733D">
        <w:t xml:space="preserve">, </w:t>
      </w:r>
      <w:r w:rsidRPr="003D733D">
        <w:rPr>
          <w:rFonts w:ascii="Sylfaen" w:hAnsi="Sylfaen" w:cs="Sylfaen"/>
        </w:rPr>
        <w:t>ქვედა</w:t>
      </w:r>
      <w:r w:rsidRPr="003D733D">
        <w:t xml:space="preserve"> </w:t>
      </w:r>
      <w:r w:rsidRPr="003D733D">
        <w:rPr>
          <w:rFonts w:ascii="Sylfaen" w:hAnsi="Sylfaen" w:cs="Sylfaen"/>
        </w:rPr>
        <w:t>ყბის</w:t>
      </w:r>
      <w:r w:rsidRPr="003D733D">
        <w:t xml:space="preserve"> </w:t>
      </w:r>
      <w:r w:rsidRPr="003D733D">
        <w:rPr>
          <w:rFonts w:ascii="Sylfaen" w:hAnsi="Sylfaen" w:cs="Sylfaen"/>
        </w:rPr>
        <w:t>წინ</w:t>
      </w:r>
      <w:r w:rsidRPr="003D733D">
        <w:t xml:space="preserve"> </w:t>
      </w:r>
      <w:r w:rsidRPr="003D733D">
        <w:rPr>
          <w:rFonts w:ascii="Sylfaen" w:hAnsi="Sylfaen" w:cs="Sylfaen"/>
        </w:rPr>
        <w:t>წამოწევით</w:t>
      </w:r>
      <w:r w:rsidRPr="003D733D">
        <w:t>;</w:t>
      </w:r>
    </w:p>
    <w:p w14:paraId="395D7420" w14:textId="77777777" w:rsidR="00A2588D" w:rsidRPr="003D733D" w:rsidRDefault="00A2588D" w:rsidP="00A2588D">
      <w:r w:rsidRPr="003D733D">
        <w:rPr>
          <w:rFonts w:ascii="Sylfaen" w:hAnsi="Sylfaen" w:cs="Sylfaen"/>
        </w:rPr>
        <w:t>შეამოწმეთ</w:t>
      </w:r>
      <w:r w:rsidRPr="003D733D">
        <w:t xml:space="preserve"> </w:t>
      </w:r>
      <w:r w:rsidRPr="003D733D">
        <w:rPr>
          <w:rFonts w:ascii="Sylfaen" w:hAnsi="Sylfaen" w:cs="Sylfaen"/>
        </w:rPr>
        <w:t>სუნთქვა</w:t>
      </w:r>
      <w:r w:rsidRPr="003D733D">
        <w:t xml:space="preserve"> </w:t>
      </w:r>
      <w:r w:rsidRPr="003D733D">
        <w:rPr>
          <w:rFonts w:ascii="Sylfaen" w:hAnsi="Sylfaen" w:cs="Sylfaen"/>
        </w:rPr>
        <w:t>და</w:t>
      </w:r>
      <w:r w:rsidRPr="003D733D">
        <w:t xml:space="preserve"> </w:t>
      </w:r>
      <w:r w:rsidRPr="003D733D">
        <w:rPr>
          <w:rFonts w:ascii="Sylfaen" w:hAnsi="Sylfaen" w:cs="Sylfaen"/>
        </w:rPr>
        <w:t>ცირკულაციის</w:t>
      </w:r>
      <w:r w:rsidRPr="003D733D">
        <w:t xml:space="preserve"> </w:t>
      </w:r>
      <w:r w:rsidRPr="003D733D">
        <w:rPr>
          <w:rFonts w:ascii="Sylfaen" w:hAnsi="Sylfaen" w:cs="Sylfaen"/>
        </w:rPr>
        <w:t>ნიშნები</w:t>
      </w:r>
      <w:r w:rsidRPr="003D733D">
        <w:t xml:space="preserve">. </w:t>
      </w:r>
      <w:r w:rsidRPr="003D733D">
        <w:rPr>
          <w:rFonts w:ascii="Sylfaen" w:hAnsi="Sylfaen" w:cs="Sylfaen"/>
        </w:rPr>
        <w:t>მზად</w:t>
      </w:r>
      <w:r w:rsidRPr="003D733D">
        <w:t xml:space="preserve"> </w:t>
      </w:r>
      <w:r w:rsidRPr="003D733D">
        <w:rPr>
          <w:rFonts w:ascii="Sylfaen" w:hAnsi="Sylfaen" w:cs="Sylfaen"/>
        </w:rPr>
        <w:t>იყავით</w:t>
      </w:r>
      <w:r w:rsidRPr="003D733D">
        <w:t xml:space="preserve"> </w:t>
      </w:r>
      <w:r w:rsidRPr="003D733D">
        <w:rPr>
          <w:rFonts w:ascii="Sylfaen" w:hAnsi="Sylfaen" w:cs="Sylfaen"/>
        </w:rPr>
        <w:t>რეანიმაციული</w:t>
      </w:r>
      <w:r w:rsidRPr="003D733D">
        <w:t xml:space="preserve"> </w:t>
      </w:r>
      <w:r w:rsidRPr="003D733D">
        <w:rPr>
          <w:rFonts w:ascii="Sylfaen" w:hAnsi="Sylfaen" w:cs="Sylfaen"/>
        </w:rPr>
        <w:t>ღონისძიებების</w:t>
      </w:r>
      <w:r w:rsidRPr="003D733D">
        <w:t xml:space="preserve"> </w:t>
      </w:r>
      <w:r w:rsidRPr="003D733D">
        <w:rPr>
          <w:rFonts w:ascii="Sylfaen" w:hAnsi="Sylfaen" w:cs="Sylfaen"/>
        </w:rPr>
        <w:t>ჩატარებისათვის</w:t>
      </w:r>
      <w:r w:rsidRPr="003D733D">
        <w:t>;</w:t>
      </w:r>
    </w:p>
    <w:p w14:paraId="513CD168" w14:textId="77777777" w:rsidR="00A2588D" w:rsidRPr="003D733D" w:rsidRDefault="00A2588D" w:rsidP="00A2588D">
      <w:r w:rsidRPr="003D733D">
        <w:rPr>
          <w:rFonts w:ascii="Sylfaen" w:hAnsi="Sylfaen" w:cs="Sylfaen"/>
        </w:rPr>
        <w:t>თუ</w:t>
      </w:r>
      <w:r w:rsidRPr="003D733D">
        <w:t xml:space="preserve"> </w:t>
      </w:r>
      <w:r w:rsidRPr="003D733D">
        <w:rPr>
          <w:rFonts w:ascii="Sylfaen" w:hAnsi="Sylfaen" w:cs="Sylfaen"/>
        </w:rPr>
        <w:t>დაზარალებული</w:t>
      </w:r>
      <w:r w:rsidRPr="003D733D">
        <w:t xml:space="preserve"> </w:t>
      </w:r>
      <w:r w:rsidRPr="003D733D">
        <w:rPr>
          <w:rFonts w:ascii="Sylfaen" w:hAnsi="Sylfaen" w:cs="Sylfaen"/>
        </w:rPr>
        <w:t>უგონო</w:t>
      </w:r>
      <w:r w:rsidRPr="003D733D">
        <w:t xml:space="preserve"> </w:t>
      </w:r>
      <w:r w:rsidRPr="003D733D">
        <w:rPr>
          <w:rFonts w:ascii="Sylfaen" w:hAnsi="Sylfaen" w:cs="Sylfaen"/>
        </w:rPr>
        <w:t>მდგომარეობაშია</w:t>
      </w:r>
      <w:r w:rsidRPr="003D733D">
        <w:t xml:space="preserve"> </w:t>
      </w:r>
      <w:r w:rsidRPr="003D733D">
        <w:rPr>
          <w:rFonts w:ascii="Sylfaen" w:hAnsi="Sylfaen" w:cs="Sylfaen"/>
        </w:rPr>
        <w:t>მაგრამ</w:t>
      </w:r>
      <w:r w:rsidRPr="003D733D">
        <w:t xml:space="preserve"> </w:t>
      </w:r>
      <w:r w:rsidRPr="003D733D">
        <w:rPr>
          <w:rFonts w:ascii="Sylfaen" w:hAnsi="Sylfaen" w:cs="Sylfaen"/>
        </w:rPr>
        <w:t>სუნთქავს</w:t>
      </w:r>
      <w:r w:rsidRPr="003D733D">
        <w:t xml:space="preserve">, </w:t>
      </w:r>
      <w:r w:rsidRPr="003D733D">
        <w:rPr>
          <w:rFonts w:ascii="Sylfaen" w:hAnsi="Sylfaen" w:cs="Sylfaen"/>
        </w:rPr>
        <w:t>მოათავსეთ</w:t>
      </w:r>
      <w:r w:rsidRPr="003D733D">
        <w:t xml:space="preserve"> </w:t>
      </w:r>
      <w:r w:rsidRPr="003D733D">
        <w:rPr>
          <w:rFonts w:ascii="Sylfaen" w:hAnsi="Sylfaen" w:cs="Sylfaen"/>
        </w:rPr>
        <w:t>იგი</w:t>
      </w:r>
      <w:r w:rsidRPr="003D733D">
        <w:t xml:space="preserve"> </w:t>
      </w:r>
      <w:r w:rsidRPr="003D733D">
        <w:rPr>
          <w:rFonts w:ascii="Sylfaen" w:hAnsi="Sylfaen" w:cs="Sylfaen"/>
        </w:rPr>
        <w:t>უსაფრთხო</w:t>
      </w:r>
      <w:r w:rsidRPr="003D733D">
        <w:t xml:space="preserve"> </w:t>
      </w:r>
      <w:r w:rsidRPr="003D733D">
        <w:rPr>
          <w:rFonts w:ascii="Sylfaen" w:hAnsi="Sylfaen" w:cs="Sylfaen"/>
        </w:rPr>
        <w:t>მდებარეობაში</w:t>
      </w:r>
      <w:r w:rsidRPr="003D733D">
        <w:t>;</w:t>
      </w:r>
    </w:p>
    <w:p w14:paraId="253A5E32" w14:textId="77777777" w:rsidR="00A2588D" w:rsidRPr="003D733D" w:rsidRDefault="00A2588D" w:rsidP="00A2588D">
      <w:r w:rsidRPr="003D733D">
        <w:rPr>
          <w:rFonts w:ascii="Sylfaen" w:hAnsi="Sylfaen" w:cs="Sylfaen"/>
        </w:rPr>
        <w:t>ჩაატარეთ</w:t>
      </w:r>
      <w:r w:rsidRPr="003D733D">
        <w:t xml:space="preserve"> </w:t>
      </w:r>
      <w:r w:rsidRPr="003D733D">
        <w:rPr>
          <w:rFonts w:ascii="Sylfaen" w:hAnsi="Sylfaen" w:cs="Sylfaen"/>
        </w:rPr>
        <w:t>პირველი</w:t>
      </w:r>
      <w:r w:rsidRPr="003D733D">
        <w:t xml:space="preserve"> </w:t>
      </w:r>
      <w:r w:rsidRPr="003D733D">
        <w:rPr>
          <w:rFonts w:ascii="Sylfaen" w:hAnsi="Sylfaen" w:cs="Sylfaen"/>
        </w:rPr>
        <w:t>დახმარება</w:t>
      </w:r>
      <w:r w:rsidRPr="003D733D">
        <w:t xml:space="preserve"> </w:t>
      </w:r>
      <w:r w:rsidRPr="003D733D">
        <w:rPr>
          <w:rFonts w:ascii="Sylfaen" w:hAnsi="Sylfaen" w:cs="Sylfaen"/>
        </w:rPr>
        <w:t>დამწვრობისა</w:t>
      </w:r>
      <w:r w:rsidRPr="003D733D">
        <w:t xml:space="preserve"> </w:t>
      </w:r>
      <w:r w:rsidRPr="003D733D">
        <w:rPr>
          <w:rFonts w:ascii="Sylfaen" w:hAnsi="Sylfaen" w:cs="Sylfaen"/>
        </w:rPr>
        <w:t>და</w:t>
      </w:r>
      <w:r w:rsidRPr="003D733D">
        <w:t xml:space="preserve"> </w:t>
      </w:r>
      <w:r w:rsidRPr="003D733D">
        <w:rPr>
          <w:rFonts w:ascii="Sylfaen" w:hAnsi="Sylfaen" w:cs="Sylfaen"/>
        </w:rPr>
        <w:t>სხვა</w:t>
      </w:r>
      <w:r w:rsidRPr="003D733D">
        <w:t xml:space="preserve"> </w:t>
      </w:r>
      <w:r w:rsidRPr="003D733D">
        <w:rPr>
          <w:rFonts w:ascii="Sylfaen" w:hAnsi="Sylfaen" w:cs="Sylfaen"/>
        </w:rPr>
        <w:t>დაზიანებების</w:t>
      </w:r>
      <w:r w:rsidRPr="003D733D">
        <w:t xml:space="preserve"> </w:t>
      </w:r>
      <w:r w:rsidRPr="003D733D">
        <w:rPr>
          <w:rFonts w:ascii="Sylfaen" w:hAnsi="Sylfaen" w:cs="Sylfaen"/>
        </w:rPr>
        <w:t>შემთხვევაში</w:t>
      </w:r>
      <w:r w:rsidRPr="003D733D">
        <w:t>.</w:t>
      </w:r>
    </w:p>
    <w:p w14:paraId="4B3C6EB8" w14:textId="77777777" w:rsidR="00A2588D" w:rsidRPr="003D733D" w:rsidRDefault="00A2588D" w:rsidP="00A2588D"/>
    <w:p w14:paraId="6870586A" w14:textId="77777777" w:rsidR="00A2588D" w:rsidRPr="003D733D" w:rsidRDefault="00A2588D" w:rsidP="00A2588D">
      <w:r w:rsidRPr="003D733D">
        <w:rPr>
          <w:rFonts w:ascii="Sylfaen" w:hAnsi="Sylfaen" w:cs="Sylfaen"/>
        </w:rPr>
        <w:t>დაბალი</w:t>
      </w:r>
      <w:r w:rsidRPr="003D733D">
        <w:t xml:space="preserve"> </w:t>
      </w:r>
      <w:r w:rsidRPr="003D733D">
        <w:rPr>
          <w:rFonts w:ascii="Sylfaen" w:hAnsi="Sylfaen" w:cs="Sylfaen"/>
        </w:rPr>
        <w:t>ძაბვის</w:t>
      </w:r>
      <w:r w:rsidRPr="003D733D">
        <w:t xml:space="preserve"> </w:t>
      </w:r>
      <w:r w:rsidRPr="003D733D">
        <w:rPr>
          <w:rFonts w:ascii="Sylfaen" w:hAnsi="Sylfaen" w:cs="Sylfaen"/>
        </w:rPr>
        <w:t>დენით</w:t>
      </w:r>
      <w:r w:rsidRPr="003D733D">
        <w:t xml:space="preserve"> </w:t>
      </w:r>
      <w:r w:rsidRPr="003D733D">
        <w:rPr>
          <w:rFonts w:ascii="Sylfaen" w:hAnsi="Sylfaen" w:cs="Sylfaen"/>
        </w:rPr>
        <w:t>გამოწვეული</w:t>
      </w:r>
      <w:r w:rsidRPr="003D733D">
        <w:t xml:space="preserve"> </w:t>
      </w:r>
      <w:r w:rsidRPr="003D733D">
        <w:rPr>
          <w:rFonts w:ascii="Sylfaen" w:hAnsi="Sylfaen" w:cs="Sylfaen"/>
        </w:rPr>
        <w:t>ელექტროტრავმის</w:t>
      </w:r>
      <w:r w:rsidRPr="003D733D">
        <w:t xml:space="preserve"> </w:t>
      </w:r>
      <w:r w:rsidRPr="003D733D">
        <w:rPr>
          <w:rFonts w:ascii="Sylfaen" w:hAnsi="Sylfaen" w:cs="Sylfaen"/>
        </w:rPr>
        <w:t>შემთხვევაში</w:t>
      </w:r>
      <w:r w:rsidRPr="003D733D">
        <w:t>:</w:t>
      </w:r>
    </w:p>
    <w:p w14:paraId="38FCD6F7" w14:textId="77777777" w:rsidR="00A2588D" w:rsidRPr="003D733D" w:rsidRDefault="00A2588D" w:rsidP="00A2588D">
      <w:r w:rsidRPr="003D733D">
        <w:rPr>
          <w:rFonts w:ascii="Sylfaen" w:hAnsi="Sylfaen" w:cs="Sylfaen"/>
        </w:rPr>
        <w:t>არ</w:t>
      </w:r>
      <w:r w:rsidRPr="003D733D">
        <w:t xml:space="preserve"> </w:t>
      </w:r>
      <w:r w:rsidRPr="003D733D">
        <w:rPr>
          <w:rFonts w:ascii="Sylfaen" w:hAnsi="Sylfaen" w:cs="Sylfaen"/>
        </w:rPr>
        <w:t>შეეხოთ</w:t>
      </w:r>
      <w:r w:rsidRPr="003D733D">
        <w:t xml:space="preserve"> </w:t>
      </w:r>
      <w:r w:rsidRPr="003D733D">
        <w:rPr>
          <w:rFonts w:ascii="Sylfaen" w:hAnsi="Sylfaen" w:cs="Sylfaen"/>
        </w:rPr>
        <w:t>დაზარალებულს</w:t>
      </w:r>
      <w:r w:rsidRPr="003D733D">
        <w:t xml:space="preserve">, </w:t>
      </w:r>
      <w:r w:rsidRPr="003D733D">
        <w:rPr>
          <w:rFonts w:ascii="Sylfaen" w:hAnsi="Sylfaen" w:cs="Sylfaen"/>
        </w:rPr>
        <w:t>თუ</w:t>
      </w:r>
      <w:r w:rsidRPr="003D733D">
        <w:t xml:space="preserve"> </w:t>
      </w:r>
      <w:r w:rsidRPr="003D733D">
        <w:rPr>
          <w:rFonts w:ascii="Sylfaen" w:hAnsi="Sylfaen" w:cs="Sylfaen"/>
        </w:rPr>
        <w:t>ის</w:t>
      </w:r>
      <w:r w:rsidRPr="003D733D">
        <w:t xml:space="preserve"> </w:t>
      </w:r>
      <w:r w:rsidRPr="003D733D">
        <w:rPr>
          <w:rFonts w:ascii="Sylfaen" w:hAnsi="Sylfaen" w:cs="Sylfaen"/>
        </w:rPr>
        <w:t>ეხება</w:t>
      </w:r>
      <w:r w:rsidRPr="003D733D">
        <w:t xml:space="preserve"> </w:t>
      </w:r>
      <w:r w:rsidRPr="003D733D">
        <w:rPr>
          <w:rFonts w:ascii="Sylfaen" w:hAnsi="Sylfaen" w:cs="Sylfaen"/>
        </w:rPr>
        <w:t>ელექტროდენის</w:t>
      </w:r>
      <w:r w:rsidRPr="003D733D">
        <w:t xml:space="preserve"> </w:t>
      </w:r>
      <w:r w:rsidRPr="003D733D">
        <w:rPr>
          <w:rFonts w:ascii="Sylfaen" w:hAnsi="Sylfaen" w:cs="Sylfaen"/>
        </w:rPr>
        <w:t>წყაროს</w:t>
      </w:r>
      <w:r w:rsidRPr="003D733D">
        <w:t>;</w:t>
      </w:r>
    </w:p>
    <w:p w14:paraId="56CF9041" w14:textId="77777777" w:rsidR="00A2588D" w:rsidRPr="003D733D" w:rsidRDefault="00A2588D" w:rsidP="00A2588D">
      <w:r w:rsidRPr="003D733D">
        <w:rPr>
          <w:rFonts w:ascii="Sylfaen" w:hAnsi="Sylfaen" w:cs="Sylfaen"/>
        </w:rPr>
        <w:t>არ</w:t>
      </w:r>
      <w:r w:rsidRPr="003D733D">
        <w:t xml:space="preserve"> </w:t>
      </w:r>
      <w:r w:rsidRPr="003D733D">
        <w:rPr>
          <w:rFonts w:ascii="Sylfaen" w:hAnsi="Sylfaen" w:cs="Sylfaen"/>
        </w:rPr>
        <w:t>გამოიყენოთ</w:t>
      </w:r>
      <w:r w:rsidRPr="003D733D">
        <w:t xml:space="preserve"> </w:t>
      </w:r>
      <w:r w:rsidRPr="003D733D">
        <w:rPr>
          <w:rFonts w:ascii="Sylfaen" w:hAnsi="Sylfaen" w:cs="Sylfaen"/>
        </w:rPr>
        <w:t>ლითონის</w:t>
      </w:r>
      <w:r w:rsidRPr="003D733D">
        <w:t xml:space="preserve"> </w:t>
      </w:r>
      <w:r w:rsidRPr="003D733D">
        <w:rPr>
          <w:rFonts w:ascii="Sylfaen" w:hAnsi="Sylfaen" w:cs="Sylfaen"/>
        </w:rPr>
        <w:t>საგნები</w:t>
      </w:r>
      <w:r w:rsidRPr="003D733D">
        <w:t xml:space="preserve"> </w:t>
      </w:r>
      <w:r w:rsidRPr="003D733D">
        <w:rPr>
          <w:rFonts w:ascii="Sylfaen" w:hAnsi="Sylfaen" w:cs="Sylfaen"/>
        </w:rPr>
        <w:t>ელექტროდენის</w:t>
      </w:r>
      <w:r w:rsidRPr="003D733D">
        <w:t xml:space="preserve"> </w:t>
      </w:r>
      <w:r w:rsidRPr="003D733D">
        <w:rPr>
          <w:rFonts w:ascii="Sylfaen" w:hAnsi="Sylfaen" w:cs="Sylfaen"/>
        </w:rPr>
        <w:t>წყაროს</w:t>
      </w:r>
      <w:r w:rsidRPr="003D733D">
        <w:t xml:space="preserve"> </w:t>
      </w:r>
      <w:r w:rsidRPr="003D733D">
        <w:rPr>
          <w:rFonts w:ascii="Sylfaen" w:hAnsi="Sylfaen" w:cs="Sylfaen"/>
        </w:rPr>
        <w:t>მოშორების</w:t>
      </w:r>
      <w:r w:rsidRPr="003D733D">
        <w:t xml:space="preserve"> </w:t>
      </w:r>
      <w:r w:rsidRPr="003D733D">
        <w:rPr>
          <w:rFonts w:ascii="Sylfaen" w:hAnsi="Sylfaen" w:cs="Sylfaen"/>
        </w:rPr>
        <w:t>მიზნით</w:t>
      </w:r>
      <w:r w:rsidRPr="003D733D">
        <w:t>;</w:t>
      </w:r>
    </w:p>
    <w:p w14:paraId="73DDF53C" w14:textId="77777777" w:rsidR="00A2588D" w:rsidRPr="003D733D" w:rsidRDefault="00A2588D" w:rsidP="00A2588D">
      <w:r w:rsidRPr="003D733D">
        <w:rPr>
          <w:rFonts w:ascii="Sylfaen" w:hAnsi="Sylfaen" w:cs="Sylfaen"/>
        </w:rPr>
        <w:t>თუ</w:t>
      </w:r>
      <w:r w:rsidRPr="003D733D">
        <w:t xml:space="preserve"> </w:t>
      </w:r>
      <w:r w:rsidRPr="003D733D">
        <w:rPr>
          <w:rFonts w:ascii="Sylfaen" w:hAnsi="Sylfaen" w:cs="Sylfaen"/>
        </w:rPr>
        <w:t>შეგიძლიათ</w:t>
      </w:r>
      <w:r w:rsidRPr="003D733D">
        <w:t xml:space="preserve">, </w:t>
      </w:r>
      <w:r w:rsidRPr="003D733D">
        <w:rPr>
          <w:rFonts w:ascii="Sylfaen" w:hAnsi="Sylfaen" w:cs="Sylfaen"/>
        </w:rPr>
        <w:t>შეწყვიტეთ</w:t>
      </w:r>
      <w:r w:rsidRPr="003D733D">
        <w:t xml:space="preserve"> </w:t>
      </w:r>
      <w:r w:rsidRPr="003D733D">
        <w:rPr>
          <w:rFonts w:ascii="Sylfaen" w:hAnsi="Sylfaen" w:cs="Sylfaen"/>
        </w:rPr>
        <w:t>დენის</w:t>
      </w:r>
      <w:r w:rsidRPr="003D733D">
        <w:t xml:space="preserve"> </w:t>
      </w:r>
      <w:r w:rsidRPr="003D733D">
        <w:rPr>
          <w:rFonts w:ascii="Sylfaen" w:hAnsi="Sylfaen" w:cs="Sylfaen"/>
        </w:rPr>
        <w:t>მიწოდება</w:t>
      </w:r>
      <w:r w:rsidRPr="003D733D">
        <w:t xml:space="preserve"> (</w:t>
      </w:r>
      <w:r w:rsidRPr="003D733D">
        <w:rPr>
          <w:rFonts w:ascii="Sylfaen" w:hAnsi="Sylfaen" w:cs="Sylfaen"/>
        </w:rPr>
        <w:t>გამორთეთ</w:t>
      </w:r>
      <w:r w:rsidRPr="003D733D">
        <w:t xml:space="preserve"> </w:t>
      </w:r>
      <w:r w:rsidRPr="003D733D">
        <w:rPr>
          <w:rFonts w:ascii="Sylfaen" w:hAnsi="Sylfaen" w:cs="Sylfaen"/>
        </w:rPr>
        <w:t>დენის</w:t>
      </w:r>
      <w:r w:rsidRPr="003D733D">
        <w:t xml:space="preserve"> </w:t>
      </w:r>
      <w:r w:rsidRPr="003D733D">
        <w:rPr>
          <w:rFonts w:ascii="Sylfaen" w:hAnsi="Sylfaen" w:cs="Sylfaen"/>
        </w:rPr>
        <w:t>ჩამრთველი</w:t>
      </w:r>
      <w:r w:rsidRPr="003D733D">
        <w:t xml:space="preserve">). </w:t>
      </w:r>
      <w:r w:rsidRPr="003D733D">
        <w:rPr>
          <w:rFonts w:ascii="Sylfaen" w:hAnsi="Sylfaen" w:cs="Sylfaen"/>
        </w:rPr>
        <w:t>თუ</w:t>
      </w:r>
      <w:r w:rsidRPr="003D733D">
        <w:t xml:space="preserve"> </w:t>
      </w:r>
      <w:r w:rsidRPr="003D733D">
        <w:rPr>
          <w:rFonts w:ascii="Sylfaen" w:hAnsi="Sylfaen" w:cs="Sylfaen"/>
        </w:rPr>
        <w:t>ამის</w:t>
      </w:r>
      <w:r w:rsidRPr="003D733D">
        <w:t xml:space="preserve"> </w:t>
      </w:r>
      <w:r w:rsidRPr="003D733D">
        <w:rPr>
          <w:rFonts w:ascii="Sylfaen" w:hAnsi="Sylfaen" w:cs="Sylfaen"/>
        </w:rPr>
        <w:t>გაკეთება</w:t>
      </w:r>
      <w:r w:rsidRPr="003D733D">
        <w:t xml:space="preserve"> </w:t>
      </w:r>
      <w:r w:rsidRPr="003D733D">
        <w:rPr>
          <w:rFonts w:ascii="Sylfaen" w:hAnsi="Sylfaen" w:cs="Sylfaen"/>
        </w:rPr>
        <w:t>შეუძლებელია</w:t>
      </w:r>
      <w:r w:rsidRPr="003D733D">
        <w:t xml:space="preserve">, </w:t>
      </w:r>
      <w:r w:rsidRPr="003D733D">
        <w:rPr>
          <w:rFonts w:ascii="Sylfaen" w:hAnsi="Sylfaen" w:cs="Sylfaen"/>
        </w:rPr>
        <w:t>გამორთეთ</w:t>
      </w:r>
      <w:r w:rsidRPr="003D733D">
        <w:t xml:space="preserve"> </w:t>
      </w:r>
      <w:r w:rsidRPr="003D733D">
        <w:rPr>
          <w:rFonts w:ascii="Sylfaen" w:hAnsi="Sylfaen" w:cs="Sylfaen"/>
        </w:rPr>
        <w:t>ელექტრომოწყობილობა</w:t>
      </w:r>
      <w:r w:rsidRPr="003D733D">
        <w:t xml:space="preserve"> </w:t>
      </w:r>
      <w:r w:rsidRPr="003D733D">
        <w:rPr>
          <w:rFonts w:ascii="Sylfaen" w:hAnsi="Sylfaen" w:cs="Sylfaen"/>
        </w:rPr>
        <w:t>დენის</w:t>
      </w:r>
      <w:r w:rsidRPr="003D733D">
        <w:t xml:space="preserve"> </w:t>
      </w:r>
      <w:r w:rsidRPr="003D733D">
        <w:rPr>
          <w:rFonts w:ascii="Sylfaen" w:hAnsi="Sylfaen" w:cs="Sylfaen"/>
        </w:rPr>
        <w:t>წყაროდან</w:t>
      </w:r>
      <w:r w:rsidRPr="003D733D">
        <w:t>;</w:t>
      </w:r>
    </w:p>
    <w:p w14:paraId="25160705" w14:textId="77777777" w:rsidR="00A2588D" w:rsidRPr="003D733D" w:rsidRDefault="00A2588D" w:rsidP="00A2588D">
      <w:r w:rsidRPr="003D733D">
        <w:rPr>
          <w:rFonts w:ascii="Sylfaen" w:hAnsi="Sylfaen" w:cs="Sylfaen"/>
        </w:rPr>
        <w:t>თუ</w:t>
      </w:r>
      <w:r w:rsidRPr="003D733D">
        <w:t xml:space="preserve"> </w:t>
      </w:r>
      <w:r w:rsidRPr="003D733D">
        <w:rPr>
          <w:rFonts w:ascii="Sylfaen" w:hAnsi="Sylfaen" w:cs="Sylfaen"/>
        </w:rPr>
        <w:t>თქვენ</w:t>
      </w:r>
      <w:r w:rsidRPr="003D733D">
        <w:t xml:space="preserve"> </w:t>
      </w:r>
      <w:r w:rsidRPr="003D733D">
        <w:rPr>
          <w:rFonts w:ascii="Sylfaen" w:hAnsi="Sylfaen" w:cs="Sylfaen"/>
        </w:rPr>
        <w:t>არ</w:t>
      </w:r>
      <w:r w:rsidRPr="003D733D">
        <w:t xml:space="preserve"> </w:t>
      </w:r>
      <w:r w:rsidRPr="003D733D">
        <w:rPr>
          <w:rFonts w:ascii="Sylfaen" w:hAnsi="Sylfaen" w:cs="Sylfaen"/>
        </w:rPr>
        <w:t>შეგიძლიათ</w:t>
      </w:r>
      <w:r w:rsidRPr="003D733D">
        <w:t xml:space="preserve"> </w:t>
      </w:r>
      <w:r w:rsidRPr="003D733D">
        <w:rPr>
          <w:rFonts w:ascii="Sylfaen" w:hAnsi="Sylfaen" w:cs="Sylfaen"/>
        </w:rPr>
        <w:t>დენის</w:t>
      </w:r>
      <w:r w:rsidRPr="003D733D">
        <w:t xml:space="preserve"> </w:t>
      </w:r>
      <w:r w:rsidRPr="003D733D">
        <w:rPr>
          <w:rFonts w:ascii="Sylfaen" w:hAnsi="Sylfaen" w:cs="Sylfaen"/>
        </w:rPr>
        <w:t>გამორთვა</w:t>
      </w:r>
      <w:r w:rsidRPr="003D733D">
        <w:t xml:space="preserve">  </w:t>
      </w:r>
      <w:r w:rsidRPr="003D733D">
        <w:rPr>
          <w:rFonts w:ascii="Sylfaen" w:hAnsi="Sylfaen" w:cs="Sylfaen"/>
        </w:rPr>
        <w:t>დადექით</w:t>
      </w:r>
      <w:r w:rsidRPr="003D733D">
        <w:t xml:space="preserve"> </w:t>
      </w:r>
      <w:r w:rsidRPr="003D733D">
        <w:rPr>
          <w:rFonts w:ascii="Sylfaen" w:hAnsi="Sylfaen" w:cs="Sylfaen"/>
        </w:rPr>
        <w:t>მშრალ</w:t>
      </w:r>
      <w:r w:rsidRPr="003D733D">
        <w:t xml:space="preserve"> </w:t>
      </w:r>
      <w:r w:rsidRPr="003D733D">
        <w:rPr>
          <w:rFonts w:ascii="Sylfaen" w:hAnsi="Sylfaen" w:cs="Sylfaen"/>
        </w:rPr>
        <w:t>მაიზოლირებელ</w:t>
      </w:r>
      <w:r w:rsidRPr="003D733D">
        <w:t xml:space="preserve"> </w:t>
      </w:r>
      <w:r w:rsidRPr="003D733D">
        <w:rPr>
          <w:rFonts w:ascii="Sylfaen" w:hAnsi="Sylfaen" w:cs="Sylfaen"/>
        </w:rPr>
        <w:t>საგანზე</w:t>
      </w:r>
      <w:r w:rsidRPr="003D733D">
        <w:t xml:space="preserve"> (</w:t>
      </w:r>
      <w:r w:rsidRPr="003D733D">
        <w:rPr>
          <w:rFonts w:ascii="Sylfaen" w:hAnsi="Sylfaen" w:cs="Sylfaen"/>
        </w:rPr>
        <w:t>მაგალითად</w:t>
      </w:r>
      <w:r w:rsidRPr="003D733D">
        <w:t xml:space="preserve">, </w:t>
      </w:r>
      <w:r w:rsidRPr="003D733D">
        <w:rPr>
          <w:rFonts w:ascii="Sylfaen" w:hAnsi="Sylfaen" w:cs="Sylfaen"/>
        </w:rPr>
        <w:t>ხის</w:t>
      </w:r>
      <w:r w:rsidRPr="003D733D">
        <w:t xml:space="preserve"> </w:t>
      </w:r>
      <w:r w:rsidRPr="003D733D">
        <w:rPr>
          <w:rFonts w:ascii="Sylfaen" w:hAnsi="Sylfaen" w:cs="Sylfaen"/>
        </w:rPr>
        <w:t>ფიცარზე</w:t>
      </w:r>
      <w:r w:rsidRPr="003D733D">
        <w:t xml:space="preserve">, </w:t>
      </w:r>
      <w:r w:rsidRPr="003D733D">
        <w:rPr>
          <w:rFonts w:ascii="Sylfaen" w:hAnsi="Sylfaen" w:cs="Sylfaen"/>
        </w:rPr>
        <w:t>რეზინისა</w:t>
      </w:r>
      <w:r w:rsidRPr="003D733D">
        <w:t xml:space="preserve"> </w:t>
      </w:r>
      <w:r w:rsidRPr="003D733D">
        <w:rPr>
          <w:rFonts w:ascii="Sylfaen" w:hAnsi="Sylfaen" w:cs="Sylfaen"/>
        </w:rPr>
        <w:t>ან</w:t>
      </w:r>
      <w:r w:rsidRPr="003D733D">
        <w:t xml:space="preserve"> </w:t>
      </w:r>
      <w:r w:rsidRPr="003D733D">
        <w:rPr>
          <w:rFonts w:ascii="Sylfaen" w:hAnsi="Sylfaen" w:cs="Sylfaen"/>
        </w:rPr>
        <w:t>პლასტმასის</w:t>
      </w:r>
      <w:r w:rsidRPr="003D733D">
        <w:t xml:space="preserve"> </w:t>
      </w:r>
      <w:r w:rsidRPr="003D733D">
        <w:rPr>
          <w:rFonts w:ascii="Sylfaen" w:hAnsi="Sylfaen" w:cs="Sylfaen"/>
        </w:rPr>
        <w:t>საფენზე</w:t>
      </w:r>
      <w:r w:rsidRPr="003D733D">
        <w:t xml:space="preserve">, </w:t>
      </w:r>
      <w:r w:rsidRPr="003D733D">
        <w:rPr>
          <w:rFonts w:ascii="Sylfaen" w:hAnsi="Sylfaen" w:cs="Sylfaen"/>
        </w:rPr>
        <w:t>წიგნზე</w:t>
      </w:r>
      <w:r w:rsidRPr="003D733D">
        <w:t xml:space="preserve"> </w:t>
      </w:r>
      <w:r w:rsidRPr="003D733D">
        <w:rPr>
          <w:rFonts w:ascii="Sylfaen" w:hAnsi="Sylfaen" w:cs="Sylfaen"/>
        </w:rPr>
        <w:t>ან</w:t>
      </w:r>
      <w:r w:rsidRPr="003D733D">
        <w:t xml:space="preserve"> </w:t>
      </w:r>
      <w:r w:rsidRPr="003D733D">
        <w:rPr>
          <w:rFonts w:ascii="Sylfaen" w:hAnsi="Sylfaen" w:cs="Sylfaen"/>
        </w:rPr>
        <w:t>გაზეთების</w:t>
      </w:r>
      <w:r w:rsidRPr="003D733D">
        <w:t xml:space="preserve"> </w:t>
      </w:r>
      <w:r w:rsidRPr="003D733D">
        <w:rPr>
          <w:rFonts w:ascii="Sylfaen" w:hAnsi="Sylfaen" w:cs="Sylfaen"/>
        </w:rPr>
        <w:t>დასტაზე</w:t>
      </w:r>
      <w:r w:rsidRPr="003D733D">
        <w:t>;</w:t>
      </w:r>
    </w:p>
    <w:p w14:paraId="591806FC" w14:textId="77777777" w:rsidR="00A2588D" w:rsidRPr="003D733D" w:rsidRDefault="00A2588D" w:rsidP="00A2588D">
      <w:r w:rsidRPr="003D733D">
        <w:rPr>
          <w:rFonts w:ascii="Sylfaen" w:hAnsi="Sylfaen" w:cs="Sylfaen"/>
        </w:rPr>
        <w:lastRenderedPageBreak/>
        <w:t>მოაშორეთ</w:t>
      </w:r>
      <w:r w:rsidRPr="003D733D">
        <w:t xml:space="preserve"> </w:t>
      </w:r>
      <w:r w:rsidRPr="003D733D">
        <w:rPr>
          <w:rFonts w:ascii="Sylfaen" w:hAnsi="Sylfaen" w:cs="Sylfaen"/>
        </w:rPr>
        <w:t>დაზარალებულის</w:t>
      </w:r>
      <w:r w:rsidRPr="003D733D">
        <w:t xml:space="preserve"> </w:t>
      </w:r>
      <w:r w:rsidRPr="003D733D">
        <w:rPr>
          <w:rFonts w:ascii="Sylfaen" w:hAnsi="Sylfaen" w:cs="Sylfaen"/>
        </w:rPr>
        <w:t>სხეული</w:t>
      </w:r>
      <w:r w:rsidRPr="003D733D">
        <w:t xml:space="preserve"> </w:t>
      </w:r>
      <w:r w:rsidRPr="003D733D">
        <w:rPr>
          <w:rFonts w:ascii="Sylfaen" w:hAnsi="Sylfaen" w:cs="Sylfaen"/>
        </w:rPr>
        <w:t>დენის</w:t>
      </w:r>
      <w:r w:rsidRPr="003D733D">
        <w:t xml:space="preserve"> </w:t>
      </w:r>
      <w:r w:rsidRPr="003D733D">
        <w:rPr>
          <w:rFonts w:ascii="Sylfaen" w:hAnsi="Sylfaen" w:cs="Sylfaen"/>
        </w:rPr>
        <w:t>წყაროდან</w:t>
      </w:r>
      <w:r w:rsidRPr="003D733D">
        <w:t xml:space="preserve"> </w:t>
      </w:r>
      <w:r w:rsidRPr="003D733D">
        <w:rPr>
          <w:rFonts w:ascii="Sylfaen" w:hAnsi="Sylfaen" w:cs="Sylfaen"/>
        </w:rPr>
        <w:t>ცოცხის</w:t>
      </w:r>
      <w:r w:rsidRPr="003D733D">
        <w:t xml:space="preserve">, </w:t>
      </w:r>
      <w:r w:rsidRPr="003D733D">
        <w:rPr>
          <w:rFonts w:ascii="Sylfaen" w:hAnsi="Sylfaen" w:cs="Sylfaen"/>
        </w:rPr>
        <w:t>ხის</w:t>
      </w:r>
      <w:r w:rsidRPr="003D733D">
        <w:t xml:space="preserve"> </w:t>
      </w:r>
      <w:r w:rsidRPr="003D733D">
        <w:rPr>
          <w:rFonts w:ascii="Sylfaen" w:hAnsi="Sylfaen" w:cs="Sylfaen"/>
        </w:rPr>
        <w:t>ჯოხის</w:t>
      </w:r>
      <w:r w:rsidRPr="003D733D">
        <w:t xml:space="preserve">, </w:t>
      </w:r>
      <w:r w:rsidRPr="003D733D">
        <w:rPr>
          <w:rFonts w:ascii="Sylfaen" w:hAnsi="Sylfaen" w:cs="Sylfaen"/>
        </w:rPr>
        <w:t>სკამის</w:t>
      </w:r>
      <w:r w:rsidRPr="003D733D">
        <w:t xml:space="preserve"> </w:t>
      </w:r>
      <w:r w:rsidRPr="003D733D">
        <w:rPr>
          <w:rFonts w:ascii="Sylfaen" w:hAnsi="Sylfaen" w:cs="Sylfaen"/>
        </w:rPr>
        <w:t>საშუალებით</w:t>
      </w:r>
      <w:r w:rsidRPr="003D733D">
        <w:t xml:space="preserve">. </w:t>
      </w:r>
      <w:r w:rsidRPr="003D733D">
        <w:rPr>
          <w:rFonts w:ascii="Sylfaen" w:hAnsi="Sylfaen" w:cs="Sylfaen"/>
        </w:rPr>
        <w:t>შესაძლებელია</w:t>
      </w:r>
      <w:r w:rsidRPr="003D733D">
        <w:t xml:space="preserve"> </w:t>
      </w:r>
      <w:r w:rsidRPr="003D733D">
        <w:rPr>
          <w:rFonts w:ascii="Sylfaen" w:hAnsi="Sylfaen" w:cs="Sylfaen"/>
        </w:rPr>
        <w:t>გადააადგილოთ</w:t>
      </w:r>
      <w:r w:rsidRPr="003D733D">
        <w:t xml:space="preserve"> </w:t>
      </w:r>
      <w:r w:rsidRPr="003D733D">
        <w:rPr>
          <w:rFonts w:ascii="Sylfaen" w:hAnsi="Sylfaen" w:cs="Sylfaen"/>
        </w:rPr>
        <w:t>დაზარალებულის</w:t>
      </w:r>
      <w:r w:rsidRPr="003D733D">
        <w:t xml:space="preserve"> </w:t>
      </w:r>
      <w:r w:rsidRPr="003D733D">
        <w:rPr>
          <w:rFonts w:ascii="Sylfaen" w:hAnsi="Sylfaen" w:cs="Sylfaen"/>
        </w:rPr>
        <w:t>სხეული</w:t>
      </w:r>
      <w:r w:rsidRPr="003D733D">
        <w:t xml:space="preserve"> </w:t>
      </w:r>
      <w:r w:rsidRPr="003D733D">
        <w:rPr>
          <w:rFonts w:ascii="Sylfaen" w:hAnsi="Sylfaen" w:cs="Sylfaen"/>
        </w:rPr>
        <w:t>დენის</w:t>
      </w:r>
      <w:r w:rsidRPr="003D733D">
        <w:t xml:space="preserve"> </w:t>
      </w:r>
      <w:r w:rsidRPr="003D733D">
        <w:rPr>
          <w:rFonts w:ascii="Sylfaen" w:hAnsi="Sylfaen" w:cs="Sylfaen"/>
        </w:rPr>
        <w:t>წყაროდან</w:t>
      </w:r>
      <w:r w:rsidRPr="003D733D">
        <w:t xml:space="preserve"> </w:t>
      </w:r>
      <w:r w:rsidRPr="003D733D">
        <w:rPr>
          <w:rFonts w:ascii="Sylfaen" w:hAnsi="Sylfaen" w:cs="Sylfaen"/>
        </w:rPr>
        <w:t>ან</w:t>
      </w:r>
      <w:r w:rsidRPr="003D733D">
        <w:t xml:space="preserve"> </w:t>
      </w:r>
      <w:r w:rsidRPr="003D733D">
        <w:rPr>
          <w:rFonts w:ascii="Sylfaen" w:hAnsi="Sylfaen" w:cs="Sylfaen"/>
        </w:rPr>
        <w:t>პირიქით</w:t>
      </w:r>
      <w:r w:rsidRPr="003D733D">
        <w:t xml:space="preserve">, </w:t>
      </w:r>
      <w:r w:rsidRPr="003D733D">
        <w:rPr>
          <w:rFonts w:ascii="Sylfaen" w:hAnsi="Sylfaen" w:cs="Sylfaen"/>
        </w:rPr>
        <w:t>თუ</w:t>
      </w:r>
      <w:r w:rsidRPr="003D733D">
        <w:t xml:space="preserve"> </w:t>
      </w:r>
      <w:r w:rsidRPr="003D733D">
        <w:rPr>
          <w:rFonts w:ascii="Sylfaen" w:hAnsi="Sylfaen" w:cs="Sylfaen"/>
        </w:rPr>
        <w:t>ეს</w:t>
      </w:r>
      <w:r w:rsidRPr="003D733D">
        <w:t xml:space="preserve"> </w:t>
      </w:r>
      <w:r w:rsidRPr="003D733D">
        <w:rPr>
          <w:rFonts w:ascii="Sylfaen" w:hAnsi="Sylfaen" w:cs="Sylfaen"/>
        </w:rPr>
        <w:t>უფრო</w:t>
      </w:r>
      <w:r w:rsidRPr="003D733D">
        <w:t xml:space="preserve"> </w:t>
      </w:r>
      <w:r w:rsidRPr="003D733D">
        <w:rPr>
          <w:rFonts w:ascii="Sylfaen" w:hAnsi="Sylfaen" w:cs="Sylfaen"/>
        </w:rPr>
        <w:t>მოსახერხებელია</w:t>
      </w:r>
      <w:r w:rsidRPr="003D733D">
        <w:t xml:space="preserve">, </w:t>
      </w:r>
      <w:r w:rsidRPr="003D733D">
        <w:rPr>
          <w:rFonts w:ascii="Sylfaen" w:hAnsi="Sylfaen" w:cs="Sylfaen"/>
        </w:rPr>
        <w:t>გადაადგილოთ</w:t>
      </w:r>
      <w:r w:rsidRPr="003D733D">
        <w:t xml:space="preserve"> </w:t>
      </w:r>
      <w:r w:rsidRPr="003D733D">
        <w:rPr>
          <w:rFonts w:ascii="Sylfaen" w:hAnsi="Sylfaen" w:cs="Sylfaen"/>
        </w:rPr>
        <w:t>თვით</w:t>
      </w:r>
      <w:r w:rsidRPr="003D733D">
        <w:t xml:space="preserve"> </w:t>
      </w:r>
      <w:r w:rsidRPr="003D733D">
        <w:rPr>
          <w:rFonts w:ascii="Sylfaen" w:hAnsi="Sylfaen" w:cs="Sylfaen"/>
        </w:rPr>
        <w:t>დენის</w:t>
      </w:r>
      <w:r w:rsidRPr="003D733D">
        <w:t xml:space="preserve"> </w:t>
      </w:r>
      <w:r w:rsidRPr="003D733D">
        <w:rPr>
          <w:rFonts w:ascii="Sylfaen" w:hAnsi="Sylfaen" w:cs="Sylfaen"/>
        </w:rPr>
        <w:t>წყარო</w:t>
      </w:r>
      <w:r w:rsidRPr="003D733D">
        <w:t>;</w:t>
      </w:r>
    </w:p>
    <w:p w14:paraId="09D0C5EB" w14:textId="77777777" w:rsidR="00A2588D" w:rsidRPr="003D733D" w:rsidRDefault="00A2588D" w:rsidP="00A2588D">
      <w:r w:rsidRPr="003D733D">
        <w:rPr>
          <w:rFonts w:ascii="Sylfaen" w:hAnsi="Sylfaen" w:cs="Sylfaen"/>
        </w:rPr>
        <w:t>დაზარალებულის</w:t>
      </w:r>
      <w:r w:rsidRPr="003D733D">
        <w:t xml:space="preserve"> </w:t>
      </w:r>
      <w:r w:rsidRPr="003D733D">
        <w:rPr>
          <w:rFonts w:ascii="Sylfaen" w:hAnsi="Sylfaen" w:cs="Sylfaen"/>
        </w:rPr>
        <w:t>სხეულზე</w:t>
      </w:r>
      <w:r w:rsidRPr="003D733D">
        <w:t xml:space="preserve"> </w:t>
      </w:r>
      <w:r w:rsidRPr="003D733D">
        <w:rPr>
          <w:rFonts w:ascii="Sylfaen" w:hAnsi="Sylfaen" w:cs="Sylfaen"/>
        </w:rPr>
        <w:t>შეხების</w:t>
      </w:r>
      <w:r w:rsidRPr="003D733D">
        <w:t xml:space="preserve"> </w:t>
      </w:r>
      <w:r w:rsidRPr="003D733D">
        <w:rPr>
          <w:rFonts w:ascii="Sylfaen" w:hAnsi="Sylfaen" w:cs="Sylfaen"/>
        </w:rPr>
        <w:t>გარეშე</w:t>
      </w:r>
      <w:r w:rsidRPr="003D733D">
        <w:t xml:space="preserve">, </w:t>
      </w:r>
      <w:r w:rsidRPr="003D733D">
        <w:rPr>
          <w:rFonts w:ascii="Sylfaen" w:hAnsi="Sylfaen" w:cs="Sylfaen"/>
        </w:rPr>
        <w:t>შემოახვიეთ</w:t>
      </w:r>
      <w:r w:rsidRPr="003D733D">
        <w:t xml:space="preserve"> </w:t>
      </w:r>
      <w:r w:rsidRPr="003D733D">
        <w:rPr>
          <w:rFonts w:ascii="Sylfaen" w:hAnsi="Sylfaen" w:cs="Sylfaen"/>
        </w:rPr>
        <w:t>ბაწარი</w:t>
      </w:r>
      <w:r w:rsidRPr="003D733D">
        <w:t xml:space="preserve"> </w:t>
      </w:r>
      <w:r w:rsidRPr="003D733D">
        <w:rPr>
          <w:rFonts w:ascii="Sylfaen" w:hAnsi="Sylfaen" w:cs="Sylfaen"/>
        </w:rPr>
        <w:t>მისი</w:t>
      </w:r>
      <w:r w:rsidRPr="003D733D">
        <w:t xml:space="preserve"> </w:t>
      </w:r>
      <w:r w:rsidRPr="003D733D">
        <w:rPr>
          <w:rFonts w:ascii="Sylfaen" w:hAnsi="Sylfaen" w:cs="Sylfaen"/>
        </w:rPr>
        <w:t>ტერფებისა</w:t>
      </w:r>
      <w:r w:rsidRPr="003D733D">
        <w:t xml:space="preserve"> </w:t>
      </w:r>
      <w:r w:rsidRPr="003D733D">
        <w:rPr>
          <w:rFonts w:ascii="Sylfaen" w:hAnsi="Sylfaen" w:cs="Sylfaen"/>
        </w:rPr>
        <w:t>ან</w:t>
      </w:r>
      <w:r w:rsidRPr="003D733D">
        <w:t xml:space="preserve"> </w:t>
      </w:r>
      <w:r w:rsidRPr="003D733D">
        <w:rPr>
          <w:rFonts w:ascii="Sylfaen" w:hAnsi="Sylfaen" w:cs="Sylfaen"/>
        </w:rPr>
        <w:t>მხრების</w:t>
      </w:r>
      <w:r w:rsidRPr="003D733D">
        <w:t xml:space="preserve"> </w:t>
      </w:r>
      <w:r w:rsidRPr="003D733D">
        <w:rPr>
          <w:rFonts w:ascii="Sylfaen" w:hAnsi="Sylfaen" w:cs="Sylfaen"/>
        </w:rPr>
        <w:t>გარშემო</w:t>
      </w:r>
      <w:r w:rsidRPr="003D733D">
        <w:t xml:space="preserve"> </w:t>
      </w:r>
      <w:r w:rsidRPr="003D733D">
        <w:rPr>
          <w:rFonts w:ascii="Sylfaen" w:hAnsi="Sylfaen" w:cs="Sylfaen"/>
        </w:rPr>
        <w:t>და</w:t>
      </w:r>
      <w:r w:rsidRPr="003D733D">
        <w:t xml:space="preserve"> </w:t>
      </w:r>
      <w:r w:rsidRPr="003D733D">
        <w:rPr>
          <w:rFonts w:ascii="Sylfaen" w:hAnsi="Sylfaen" w:cs="Sylfaen"/>
        </w:rPr>
        <w:t>მოაშორეთ</w:t>
      </w:r>
      <w:r w:rsidRPr="003D733D">
        <w:t xml:space="preserve"> </w:t>
      </w:r>
      <w:r w:rsidRPr="003D733D">
        <w:rPr>
          <w:rFonts w:ascii="Sylfaen" w:hAnsi="Sylfaen" w:cs="Sylfaen"/>
        </w:rPr>
        <w:t>დენის</w:t>
      </w:r>
      <w:r w:rsidRPr="003D733D">
        <w:t xml:space="preserve"> </w:t>
      </w:r>
      <w:r w:rsidRPr="003D733D">
        <w:rPr>
          <w:rFonts w:ascii="Sylfaen" w:hAnsi="Sylfaen" w:cs="Sylfaen"/>
        </w:rPr>
        <w:t>წყაროს</w:t>
      </w:r>
      <w:r w:rsidRPr="003D733D">
        <w:t>;</w:t>
      </w:r>
    </w:p>
    <w:p w14:paraId="29459014" w14:textId="77777777" w:rsidR="00A2588D" w:rsidRPr="003D733D" w:rsidRDefault="00A2588D" w:rsidP="00A2588D">
      <w:r w:rsidRPr="003D733D">
        <w:rPr>
          <w:rFonts w:ascii="Sylfaen" w:hAnsi="Sylfaen" w:cs="Sylfaen"/>
        </w:rPr>
        <w:t>უკიდურეს</w:t>
      </w:r>
      <w:r w:rsidRPr="003D733D">
        <w:t xml:space="preserve"> </w:t>
      </w:r>
      <w:r w:rsidRPr="003D733D">
        <w:rPr>
          <w:rFonts w:ascii="Sylfaen" w:hAnsi="Sylfaen" w:cs="Sylfaen"/>
        </w:rPr>
        <w:t>შემთხვევაში</w:t>
      </w:r>
      <w:r w:rsidRPr="003D733D">
        <w:t xml:space="preserve">, </w:t>
      </w:r>
      <w:r w:rsidRPr="003D733D">
        <w:rPr>
          <w:rFonts w:ascii="Sylfaen" w:hAnsi="Sylfaen" w:cs="Sylfaen"/>
        </w:rPr>
        <w:t>მოკიდეთ</w:t>
      </w:r>
      <w:r w:rsidRPr="003D733D">
        <w:t xml:space="preserve"> </w:t>
      </w:r>
      <w:r w:rsidRPr="003D733D">
        <w:rPr>
          <w:rFonts w:ascii="Sylfaen" w:hAnsi="Sylfaen" w:cs="Sylfaen"/>
        </w:rPr>
        <w:t>ხელი</w:t>
      </w:r>
      <w:r w:rsidRPr="003D733D">
        <w:t xml:space="preserve"> </w:t>
      </w:r>
      <w:r w:rsidRPr="003D733D">
        <w:rPr>
          <w:rFonts w:ascii="Sylfaen" w:hAnsi="Sylfaen" w:cs="Sylfaen"/>
        </w:rPr>
        <w:t>დაზარალებულის</w:t>
      </w:r>
      <w:r w:rsidRPr="003D733D">
        <w:t xml:space="preserve"> </w:t>
      </w:r>
      <w:r w:rsidRPr="003D733D">
        <w:rPr>
          <w:rFonts w:ascii="Sylfaen" w:hAnsi="Sylfaen" w:cs="Sylfaen"/>
        </w:rPr>
        <w:t>მშრალ</w:t>
      </w:r>
      <w:r w:rsidRPr="003D733D">
        <w:t xml:space="preserve"> </w:t>
      </w:r>
      <w:r w:rsidRPr="003D733D">
        <w:rPr>
          <w:rFonts w:ascii="Sylfaen" w:hAnsi="Sylfaen" w:cs="Sylfaen"/>
        </w:rPr>
        <w:t>არა</w:t>
      </w:r>
      <w:r w:rsidRPr="003D733D">
        <w:t xml:space="preserve"> </w:t>
      </w:r>
      <w:r w:rsidRPr="003D733D">
        <w:rPr>
          <w:rFonts w:ascii="Sylfaen" w:hAnsi="Sylfaen" w:cs="Sylfaen"/>
        </w:rPr>
        <w:t>მჭიდრო</w:t>
      </w:r>
      <w:r w:rsidRPr="003D733D">
        <w:t xml:space="preserve"> </w:t>
      </w:r>
      <w:r w:rsidRPr="003D733D">
        <w:rPr>
          <w:rFonts w:ascii="Sylfaen" w:hAnsi="Sylfaen" w:cs="Sylfaen"/>
        </w:rPr>
        <w:t>ტანსაცმელს</w:t>
      </w:r>
      <w:r w:rsidRPr="003D733D">
        <w:t xml:space="preserve"> </w:t>
      </w:r>
      <w:r w:rsidRPr="003D733D">
        <w:rPr>
          <w:rFonts w:ascii="Sylfaen" w:hAnsi="Sylfaen" w:cs="Sylfaen"/>
        </w:rPr>
        <w:t>და</w:t>
      </w:r>
      <w:r w:rsidRPr="003D733D">
        <w:t xml:space="preserve"> </w:t>
      </w:r>
      <w:r w:rsidRPr="003D733D">
        <w:rPr>
          <w:rFonts w:ascii="Sylfaen" w:hAnsi="Sylfaen" w:cs="Sylfaen"/>
        </w:rPr>
        <w:t>მოაშორეთ</w:t>
      </w:r>
      <w:r w:rsidRPr="003D733D">
        <w:t xml:space="preserve"> </w:t>
      </w:r>
      <w:r w:rsidRPr="003D733D">
        <w:rPr>
          <w:rFonts w:ascii="Sylfaen" w:hAnsi="Sylfaen" w:cs="Sylfaen"/>
        </w:rPr>
        <w:t>ის</w:t>
      </w:r>
      <w:r w:rsidRPr="003D733D">
        <w:t xml:space="preserve"> </w:t>
      </w:r>
      <w:r w:rsidRPr="003D733D">
        <w:rPr>
          <w:rFonts w:ascii="Sylfaen" w:hAnsi="Sylfaen" w:cs="Sylfaen"/>
        </w:rPr>
        <w:t>დენის</w:t>
      </w:r>
      <w:r w:rsidRPr="003D733D">
        <w:t xml:space="preserve"> </w:t>
      </w:r>
      <w:r w:rsidRPr="003D733D">
        <w:rPr>
          <w:rFonts w:ascii="Sylfaen" w:hAnsi="Sylfaen" w:cs="Sylfaen"/>
        </w:rPr>
        <w:t>წყაროდან</w:t>
      </w:r>
      <w:r w:rsidRPr="003D733D">
        <w:t>;</w:t>
      </w:r>
    </w:p>
    <w:p w14:paraId="6CB52295" w14:textId="77777777" w:rsidR="00A2588D" w:rsidRPr="003D733D" w:rsidRDefault="00A2588D" w:rsidP="00A2588D">
      <w:r w:rsidRPr="003D733D">
        <w:rPr>
          <w:rFonts w:ascii="Sylfaen" w:hAnsi="Sylfaen" w:cs="Sylfaen"/>
        </w:rPr>
        <w:t>თუ</w:t>
      </w:r>
      <w:r w:rsidRPr="003D733D">
        <w:t xml:space="preserve"> </w:t>
      </w:r>
      <w:r w:rsidRPr="003D733D">
        <w:rPr>
          <w:rFonts w:ascii="Sylfaen" w:hAnsi="Sylfaen" w:cs="Sylfaen"/>
        </w:rPr>
        <w:t>დაზარალებული</w:t>
      </w:r>
      <w:r w:rsidRPr="003D733D">
        <w:t xml:space="preserve"> </w:t>
      </w:r>
      <w:r w:rsidRPr="003D733D">
        <w:rPr>
          <w:rFonts w:ascii="Sylfaen" w:hAnsi="Sylfaen" w:cs="Sylfaen"/>
        </w:rPr>
        <w:t>უგონო</w:t>
      </w:r>
      <w:r w:rsidRPr="003D733D">
        <w:t xml:space="preserve"> </w:t>
      </w:r>
      <w:r w:rsidRPr="003D733D">
        <w:rPr>
          <w:rFonts w:ascii="Sylfaen" w:hAnsi="Sylfaen" w:cs="Sylfaen"/>
        </w:rPr>
        <w:t>მდგომარეობაშია</w:t>
      </w:r>
      <w:r w:rsidRPr="003D733D">
        <w:t xml:space="preserve">, </w:t>
      </w:r>
      <w:r w:rsidRPr="003D733D">
        <w:rPr>
          <w:rFonts w:ascii="Sylfaen" w:hAnsi="Sylfaen" w:cs="Sylfaen"/>
        </w:rPr>
        <w:t>გახსენით</w:t>
      </w:r>
      <w:r w:rsidRPr="003D733D">
        <w:t xml:space="preserve"> </w:t>
      </w:r>
      <w:r w:rsidRPr="003D733D">
        <w:rPr>
          <w:rFonts w:ascii="Sylfaen" w:hAnsi="Sylfaen" w:cs="Sylfaen"/>
        </w:rPr>
        <w:t>სასუნთქი</w:t>
      </w:r>
      <w:r w:rsidRPr="003D733D">
        <w:t xml:space="preserve"> </w:t>
      </w:r>
      <w:r w:rsidRPr="003D733D">
        <w:rPr>
          <w:rFonts w:ascii="Sylfaen" w:hAnsi="Sylfaen" w:cs="Sylfaen"/>
        </w:rPr>
        <w:t>გზები</w:t>
      </w:r>
      <w:r w:rsidRPr="003D733D">
        <w:t xml:space="preserve">, </w:t>
      </w:r>
      <w:r w:rsidRPr="003D733D">
        <w:rPr>
          <w:rFonts w:ascii="Sylfaen" w:hAnsi="Sylfaen" w:cs="Sylfaen"/>
        </w:rPr>
        <w:t>შეამოწმეთ</w:t>
      </w:r>
      <w:r w:rsidRPr="003D733D">
        <w:t xml:space="preserve"> </w:t>
      </w:r>
      <w:r w:rsidRPr="003D733D">
        <w:rPr>
          <w:rFonts w:ascii="Sylfaen" w:hAnsi="Sylfaen" w:cs="Sylfaen"/>
        </w:rPr>
        <w:t>სუნთქვა</w:t>
      </w:r>
      <w:r w:rsidRPr="003D733D">
        <w:t xml:space="preserve"> </w:t>
      </w:r>
      <w:r w:rsidRPr="003D733D">
        <w:rPr>
          <w:rFonts w:ascii="Sylfaen" w:hAnsi="Sylfaen" w:cs="Sylfaen"/>
        </w:rPr>
        <w:t>და</w:t>
      </w:r>
      <w:r w:rsidRPr="003D733D">
        <w:t xml:space="preserve"> </w:t>
      </w:r>
      <w:r w:rsidRPr="003D733D">
        <w:rPr>
          <w:rFonts w:ascii="Sylfaen" w:hAnsi="Sylfaen" w:cs="Sylfaen"/>
        </w:rPr>
        <w:t>პულსი</w:t>
      </w:r>
      <w:r w:rsidRPr="003D733D">
        <w:t>;</w:t>
      </w:r>
    </w:p>
    <w:p w14:paraId="7BFCADBA" w14:textId="77777777" w:rsidR="00A2588D" w:rsidRPr="003D733D" w:rsidRDefault="00A2588D" w:rsidP="00A2588D">
      <w:r w:rsidRPr="003D733D">
        <w:rPr>
          <w:rFonts w:ascii="Sylfaen" w:hAnsi="Sylfaen" w:cs="Sylfaen"/>
        </w:rPr>
        <w:t>თუ</w:t>
      </w:r>
      <w:r w:rsidRPr="003D733D">
        <w:t xml:space="preserve"> </w:t>
      </w:r>
      <w:r w:rsidRPr="003D733D">
        <w:rPr>
          <w:rFonts w:ascii="Sylfaen" w:hAnsi="Sylfaen" w:cs="Sylfaen"/>
        </w:rPr>
        <w:t>დაზარალებული</w:t>
      </w:r>
      <w:r w:rsidRPr="003D733D">
        <w:t xml:space="preserve"> </w:t>
      </w:r>
      <w:r w:rsidRPr="003D733D">
        <w:rPr>
          <w:rFonts w:ascii="Sylfaen" w:hAnsi="Sylfaen" w:cs="Sylfaen"/>
        </w:rPr>
        <w:t>უგონო</w:t>
      </w:r>
      <w:r w:rsidRPr="003D733D">
        <w:t xml:space="preserve"> </w:t>
      </w:r>
      <w:r w:rsidRPr="003D733D">
        <w:rPr>
          <w:rFonts w:ascii="Sylfaen" w:hAnsi="Sylfaen" w:cs="Sylfaen"/>
        </w:rPr>
        <w:t>მდგომარეობაშია</w:t>
      </w:r>
      <w:r w:rsidRPr="003D733D">
        <w:t xml:space="preserve">, </w:t>
      </w:r>
      <w:r w:rsidRPr="003D733D">
        <w:rPr>
          <w:rFonts w:ascii="Sylfaen" w:hAnsi="Sylfaen" w:cs="Sylfaen"/>
        </w:rPr>
        <w:t>სუნთქვა</w:t>
      </w:r>
      <w:r w:rsidRPr="003D733D">
        <w:t xml:space="preserve"> </w:t>
      </w:r>
      <w:r w:rsidRPr="003D733D">
        <w:rPr>
          <w:rFonts w:ascii="Sylfaen" w:hAnsi="Sylfaen" w:cs="Sylfaen"/>
        </w:rPr>
        <w:t>და</w:t>
      </w:r>
      <w:r w:rsidRPr="003D733D">
        <w:t xml:space="preserve"> </w:t>
      </w:r>
      <w:r w:rsidRPr="003D733D">
        <w:rPr>
          <w:rFonts w:ascii="Sylfaen" w:hAnsi="Sylfaen" w:cs="Sylfaen"/>
        </w:rPr>
        <w:t>პულსი</w:t>
      </w:r>
      <w:r w:rsidRPr="003D733D">
        <w:t xml:space="preserve"> </w:t>
      </w:r>
      <w:r w:rsidRPr="003D733D">
        <w:rPr>
          <w:rFonts w:ascii="Sylfaen" w:hAnsi="Sylfaen" w:cs="Sylfaen"/>
        </w:rPr>
        <w:t>აქვს</w:t>
      </w:r>
      <w:r w:rsidRPr="003D733D">
        <w:t xml:space="preserve">, </w:t>
      </w:r>
      <w:r w:rsidRPr="003D733D">
        <w:rPr>
          <w:rFonts w:ascii="Sylfaen" w:hAnsi="Sylfaen" w:cs="Sylfaen"/>
        </w:rPr>
        <w:t>მოათავსეთ</w:t>
      </w:r>
      <w:r w:rsidRPr="003D733D">
        <w:t xml:space="preserve"> </w:t>
      </w:r>
      <w:r w:rsidRPr="003D733D">
        <w:rPr>
          <w:rFonts w:ascii="Sylfaen" w:hAnsi="Sylfaen" w:cs="Sylfaen"/>
        </w:rPr>
        <w:t>უსაფრთხო</w:t>
      </w:r>
      <w:r w:rsidRPr="003D733D">
        <w:t xml:space="preserve"> </w:t>
      </w:r>
      <w:r w:rsidRPr="003D733D">
        <w:rPr>
          <w:rFonts w:ascii="Sylfaen" w:hAnsi="Sylfaen" w:cs="Sylfaen"/>
        </w:rPr>
        <w:t>მდებარეობაში</w:t>
      </w:r>
      <w:r w:rsidRPr="003D733D">
        <w:t xml:space="preserve">. </w:t>
      </w:r>
      <w:r w:rsidRPr="003D733D">
        <w:rPr>
          <w:rFonts w:ascii="Sylfaen" w:hAnsi="Sylfaen" w:cs="Sylfaen"/>
        </w:rPr>
        <w:t>გააგრილეთ</w:t>
      </w:r>
      <w:r w:rsidRPr="003D733D">
        <w:t xml:space="preserve"> </w:t>
      </w:r>
      <w:r w:rsidRPr="003D733D">
        <w:rPr>
          <w:rFonts w:ascii="Sylfaen" w:hAnsi="Sylfaen" w:cs="Sylfaen"/>
        </w:rPr>
        <w:t>დამწვარი</w:t>
      </w:r>
      <w:r w:rsidRPr="003D733D">
        <w:t xml:space="preserve"> </w:t>
      </w:r>
      <w:r w:rsidRPr="003D733D">
        <w:rPr>
          <w:rFonts w:ascii="Sylfaen" w:hAnsi="Sylfaen" w:cs="Sylfaen"/>
        </w:rPr>
        <w:t>არეები</w:t>
      </w:r>
      <w:r w:rsidRPr="003D733D">
        <w:t xml:space="preserve"> </w:t>
      </w:r>
      <w:r w:rsidRPr="003D733D">
        <w:rPr>
          <w:rFonts w:ascii="Sylfaen" w:hAnsi="Sylfaen" w:cs="Sylfaen"/>
        </w:rPr>
        <w:t>და</w:t>
      </w:r>
      <w:r w:rsidRPr="003D733D">
        <w:t xml:space="preserve"> </w:t>
      </w:r>
      <w:r w:rsidRPr="003D733D">
        <w:rPr>
          <w:rFonts w:ascii="Sylfaen" w:hAnsi="Sylfaen" w:cs="Sylfaen"/>
        </w:rPr>
        <w:t>დაადეთ</w:t>
      </w:r>
      <w:r w:rsidRPr="003D733D">
        <w:t xml:space="preserve"> </w:t>
      </w:r>
      <w:r w:rsidRPr="003D733D">
        <w:rPr>
          <w:rFonts w:ascii="Sylfaen" w:hAnsi="Sylfaen" w:cs="Sylfaen"/>
        </w:rPr>
        <w:t>ნახვევი</w:t>
      </w:r>
      <w:r w:rsidRPr="003D733D">
        <w:t>;</w:t>
      </w:r>
    </w:p>
    <w:p w14:paraId="27A1C5A9" w14:textId="77777777" w:rsidR="00A2588D" w:rsidRPr="003D733D" w:rsidRDefault="00A2588D" w:rsidP="00A2588D">
      <w:r w:rsidRPr="003D733D">
        <w:rPr>
          <w:rFonts w:ascii="Sylfaen" w:hAnsi="Sylfaen" w:cs="Sylfaen"/>
        </w:rPr>
        <w:t>თუ</w:t>
      </w:r>
      <w:r w:rsidRPr="003D733D">
        <w:t xml:space="preserve"> </w:t>
      </w:r>
      <w:r w:rsidRPr="003D733D">
        <w:rPr>
          <w:rFonts w:ascii="Sylfaen" w:hAnsi="Sylfaen" w:cs="Sylfaen"/>
        </w:rPr>
        <w:t>დაზარალებულს</w:t>
      </w:r>
      <w:r w:rsidRPr="003D733D">
        <w:t xml:space="preserve"> </w:t>
      </w:r>
      <w:r w:rsidRPr="003D733D">
        <w:rPr>
          <w:rFonts w:ascii="Sylfaen" w:hAnsi="Sylfaen" w:cs="Sylfaen"/>
        </w:rPr>
        <w:t>ელექტროტრავმის</w:t>
      </w:r>
      <w:r w:rsidRPr="003D733D">
        <w:t xml:space="preserve"> </w:t>
      </w:r>
      <w:r w:rsidRPr="003D733D">
        <w:rPr>
          <w:rFonts w:ascii="Sylfaen" w:hAnsi="Sylfaen" w:cs="Sylfaen"/>
        </w:rPr>
        <w:t>მიღების</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არ</w:t>
      </w:r>
      <w:r w:rsidRPr="003D733D">
        <w:t xml:space="preserve"> </w:t>
      </w:r>
      <w:r w:rsidRPr="003D733D">
        <w:rPr>
          <w:rFonts w:ascii="Sylfaen" w:hAnsi="Sylfaen" w:cs="Sylfaen"/>
        </w:rPr>
        <w:t>აღენიშნება</w:t>
      </w:r>
      <w:r w:rsidRPr="003D733D">
        <w:t xml:space="preserve"> </w:t>
      </w:r>
      <w:r w:rsidRPr="003D733D">
        <w:rPr>
          <w:rFonts w:ascii="Sylfaen" w:hAnsi="Sylfaen" w:cs="Sylfaen"/>
        </w:rPr>
        <w:t>ხილული</w:t>
      </w:r>
      <w:r w:rsidRPr="003D733D">
        <w:t xml:space="preserve"> </w:t>
      </w:r>
      <w:r w:rsidRPr="003D733D">
        <w:rPr>
          <w:rFonts w:ascii="Sylfaen" w:hAnsi="Sylfaen" w:cs="Sylfaen"/>
        </w:rPr>
        <w:t>დაზიანება</w:t>
      </w:r>
      <w:r w:rsidRPr="003D733D">
        <w:t xml:space="preserve"> </w:t>
      </w:r>
      <w:r w:rsidRPr="003D733D">
        <w:rPr>
          <w:rFonts w:ascii="Sylfaen" w:hAnsi="Sylfaen" w:cs="Sylfaen"/>
        </w:rPr>
        <w:t>და</w:t>
      </w:r>
      <w:r w:rsidRPr="003D733D">
        <w:t xml:space="preserve"> </w:t>
      </w:r>
      <w:r w:rsidRPr="003D733D">
        <w:rPr>
          <w:rFonts w:ascii="Sylfaen" w:hAnsi="Sylfaen" w:cs="Sylfaen"/>
        </w:rPr>
        <w:t>კარგად</w:t>
      </w:r>
      <w:r w:rsidRPr="003D733D">
        <w:t xml:space="preserve"> </w:t>
      </w:r>
      <w:r w:rsidRPr="003D733D">
        <w:rPr>
          <w:rFonts w:ascii="Sylfaen" w:hAnsi="Sylfaen" w:cs="Sylfaen"/>
        </w:rPr>
        <w:t>გრძნობს</w:t>
      </w:r>
      <w:r w:rsidRPr="003D733D">
        <w:t xml:space="preserve"> </w:t>
      </w:r>
      <w:r w:rsidRPr="003D733D">
        <w:rPr>
          <w:rFonts w:ascii="Sylfaen" w:hAnsi="Sylfaen" w:cs="Sylfaen"/>
        </w:rPr>
        <w:t>თავს</w:t>
      </w:r>
      <w:r w:rsidRPr="003D733D">
        <w:t xml:space="preserve">, </w:t>
      </w:r>
      <w:r w:rsidRPr="003D733D">
        <w:rPr>
          <w:rFonts w:ascii="Sylfaen" w:hAnsi="Sylfaen" w:cs="Sylfaen"/>
        </w:rPr>
        <w:t>ურჩიეთ</w:t>
      </w:r>
      <w:r w:rsidRPr="003D733D">
        <w:t xml:space="preserve"> </w:t>
      </w:r>
      <w:r w:rsidRPr="003D733D">
        <w:rPr>
          <w:rFonts w:ascii="Sylfaen" w:hAnsi="Sylfaen" w:cs="Sylfaen"/>
        </w:rPr>
        <w:t>დაისვენოს</w:t>
      </w:r>
      <w:r w:rsidRPr="003D733D">
        <w:t>.</w:t>
      </w:r>
    </w:p>
    <w:p w14:paraId="0428BF70" w14:textId="77777777" w:rsidR="00A2588D" w:rsidRPr="003D733D" w:rsidRDefault="00A2588D" w:rsidP="00A2588D">
      <w:r w:rsidRPr="003D733D">
        <w:rPr>
          <w:rFonts w:ascii="Sylfaen" w:hAnsi="Sylfaen" w:cs="Sylfaen"/>
        </w:rPr>
        <w:t>ელვის</w:t>
      </w:r>
      <w:r w:rsidRPr="003D733D">
        <w:t>/</w:t>
      </w:r>
      <w:r w:rsidRPr="003D733D">
        <w:rPr>
          <w:rFonts w:ascii="Sylfaen" w:hAnsi="Sylfaen" w:cs="Sylfaen"/>
        </w:rPr>
        <w:t>მეხის</w:t>
      </w:r>
      <w:r w:rsidRPr="003D733D">
        <w:t xml:space="preserve"> </w:t>
      </w:r>
      <w:r w:rsidRPr="003D733D">
        <w:rPr>
          <w:rFonts w:ascii="Sylfaen" w:hAnsi="Sylfaen" w:cs="Sylfaen"/>
        </w:rPr>
        <w:t>ზემოქმედებით</w:t>
      </w:r>
      <w:r w:rsidRPr="003D733D">
        <w:t xml:space="preserve"> </w:t>
      </w:r>
      <w:r w:rsidRPr="003D733D">
        <w:rPr>
          <w:rFonts w:ascii="Sylfaen" w:hAnsi="Sylfaen" w:cs="Sylfaen"/>
        </w:rPr>
        <w:t>გამოწვეული</w:t>
      </w:r>
      <w:r w:rsidRPr="003D733D">
        <w:t xml:space="preserve"> </w:t>
      </w:r>
      <w:r w:rsidRPr="003D733D">
        <w:rPr>
          <w:rFonts w:ascii="Sylfaen" w:hAnsi="Sylfaen" w:cs="Sylfaen"/>
        </w:rPr>
        <w:t>ელექტროტრავმა</w:t>
      </w:r>
      <w:r w:rsidRPr="003D733D">
        <w:t xml:space="preserve"> </w:t>
      </w:r>
      <w:r w:rsidRPr="003D733D">
        <w:rPr>
          <w:rFonts w:ascii="Sylfaen" w:hAnsi="Sylfaen" w:cs="Sylfaen"/>
        </w:rPr>
        <w:t>ელვით</w:t>
      </w:r>
      <w:r w:rsidRPr="003D733D">
        <w:t xml:space="preserve"> </w:t>
      </w:r>
      <w:r w:rsidRPr="003D733D">
        <w:rPr>
          <w:rFonts w:ascii="Sylfaen" w:hAnsi="Sylfaen" w:cs="Sylfaen"/>
        </w:rPr>
        <w:t>განპირობებული</w:t>
      </w:r>
      <w:r w:rsidRPr="003D733D">
        <w:t xml:space="preserve"> </w:t>
      </w:r>
      <w:r w:rsidRPr="003D733D">
        <w:rPr>
          <w:rFonts w:ascii="Sylfaen" w:hAnsi="Sylfaen" w:cs="Sylfaen"/>
        </w:rPr>
        <w:t>ელექტროტრავმის</w:t>
      </w:r>
      <w:r w:rsidRPr="003D733D">
        <w:t xml:space="preserve"> </w:t>
      </w:r>
      <w:r w:rsidRPr="003D733D">
        <w:rPr>
          <w:rFonts w:ascii="Sylfaen" w:hAnsi="Sylfaen" w:cs="Sylfaen"/>
        </w:rPr>
        <w:t>დროს</w:t>
      </w:r>
      <w:r w:rsidRPr="003D733D">
        <w:t xml:space="preserve"> </w:t>
      </w:r>
      <w:r w:rsidRPr="003D733D">
        <w:rPr>
          <w:rFonts w:ascii="Sylfaen" w:hAnsi="Sylfaen" w:cs="Sylfaen"/>
        </w:rPr>
        <w:t>ხშირია</w:t>
      </w:r>
      <w:r w:rsidRPr="003D733D">
        <w:t xml:space="preserve"> </w:t>
      </w:r>
      <w:r w:rsidRPr="003D733D">
        <w:rPr>
          <w:rFonts w:ascii="Sylfaen" w:hAnsi="Sylfaen" w:cs="Sylfaen"/>
        </w:rPr>
        <w:t>სხვადასხვა</w:t>
      </w:r>
      <w:r w:rsidRPr="003D733D">
        <w:t xml:space="preserve"> </w:t>
      </w:r>
      <w:r w:rsidRPr="003D733D">
        <w:rPr>
          <w:rFonts w:ascii="Sylfaen" w:hAnsi="Sylfaen" w:cs="Sylfaen"/>
        </w:rPr>
        <w:t>ტრავმის</w:t>
      </w:r>
      <w:r w:rsidRPr="003D733D">
        <w:t xml:space="preserve">, </w:t>
      </w:r>
      <w:r w:rsidRPr="003D733D">
        <w:rPr>
          <w:rFonts w:ascii="Sylfaen" w:hAnsi="Sylfaen" w:cs="Sylfaen"/>
        </w:rPr>
        <w:t>დამწვრობის</w:t>
      </w:r>
      <w:r w:rsidRPr="003D733D">
        <w:t xml:space="preserve">, </w:t>
      </w:r>
      <w:r w:rsidRPr="003D733D">
        <w:rPr>
          <w:rFonts w:ascii="Sylfaen" w:hAnsi="Sylfaen" w:cs="Sylfaen"/>
        </w:rPr>
        <w:t>სახისა</w:t>
      </w:r>
      <w:r w:rsidRPr="003D733D">
        <w:t xml:space="preserve"> </w:t>
      </w:r>
      <w:r w:rsidRPr="003D733D">
        <w:rPr>
          <w:rFonts w:ascii="Sylfaen" w:hAnsi="Sylfaen" w:cs="Sylfaen"/>
        </w:rPr>
        <w:t>და</w:t>
      </w:r>
      <w:r w:rsidRPr="003D733D">
        <w:t xml:space="preserve"> </w:t>
      </w:r>
      <w:r w:rsidRPr="003D733D">
        <w:rPr>
          <w:rFonts w:ascii="Sylfaen" w:hAnsi="Sylfaen" w:cs="Sylfaen"/>
        </w:rPr>
        <w:t>თვალების</w:t>
      </w:r>
      <w:r w:rsidRPr="003D733D">
        <w:t xml:space="preserve"> </w:t>
      </w:r>
      <w:r w:rsidRPr="003D733D">
        <w:rPr>
          <w:rFonts w:ascii="Sylfaen" w:hAnsi="Sylfaen" w:cs="Sylfaen"/>
        </w:rPr>
        <w:t>დაზიანება</w:t>
      </w:r>
      <w:r w:rsidRPr="003D733D">
        <w:t xml:space="preserve">. </w:t>
      </w:r>
      <w:r w:rsidRPr="003D733D">
        <w:rPr>
          <w:rFonts w:ascii="Sylfaen" w:hAnsi="Sylfaen" w:cs="Sylfaen"/>
        </w:rPr>
        <w:t>ზოგჯერ</w:t>
      </w:r>
      <w:r w:rsidRPr="003D733D">
        <w:t xml:space="preserve"> </w:t>
      </w:r>
      <w:r w:rsidRPr="003D733D">
        <w:rPr>
          <w:rFonts w:ascii="Sylfaen" w:hAnsi="Sylfaen" w:cs="Sylfaen"/>
        </w:rPr>
        <w:t>ელვამ</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გამოიწვიოს</w:t>
      </w:r>
      <w:r w:rsidRPr="003D733D">
        <w:t xml:space="preserve"> </w:t>
      </w:r>
      <w:r w:rsidRPr="003D733D">
        <w:rPr>
          <w:rFonts w:ascii="Sylfaen" w:hAnsi="Sylfaen" w:cs="Sylfaen"/>
        </w:rPr>
        <w:t>უეცარი</w:t>
      </w:r>
      <w:r w:rsidRPr="003D733D">
        <w:t xml:space="preserve"> </w:t>
      </w:r>
      <w:r w:rsidRPr="003D733D">
        <w:rPr>
          <w:rFonts w:ascii="Sylfaen" w:hAnsi="Sylfaen" w:cs="Sylfaen"/>
        </w:rPr>
        <w:t>სიკვდილი</w:t>
      </w:r>
      <w:r w:rsidRPr="003D733D">
        <w:t xml:space="preserve">. </w:t>
      </w:r>
      <w:r w:rsidRPr="003D733D">
        <w:rPr>
          <w:rFonts w:ascii="Sylfaen" w:hAnsi="Sylfaen" w:cs="Sylfaen"/>
        </w:rPr>
        <w:t>სწრაფად</w:t>
      </w:r>
      <w:r w:rsidRPr="003D733D">
        <w:t xml:space="preserve"> </w:t>
      </w:r>
      <w:r w:rsidRPr="003D733D">
        <w:rPr>
          <w:rFonts w:ascii="Sylfaen" w:hAnsi="Sylfaen" w:cs="Sylfaen"/>
        </w:rPr>
        <w:t>გადაიყვანეთ</w:t>
      </w:r>
      <w:r w:rsidRPr="003D733D">
        <w:t xml:space="preserve"> </w:t>
      </w:r>
      <w:r w:rsidRPr="003D733D">
        <w:rPr>
          <w:rFonts w:ascii="Sylfaen" w:hAnsi="Sylfaen" w:cs="Sylfaen"/>
        </w:rPr>
        <w:t>დაზარალებული</w:t>
      </w:r>
      <w:r w:rsidRPr="003D733D">
        <w:t xml:space="preserve"> </w:t>
      </w:r>
      <w:r w:rsidRPr="003D733D">
        <w:rPr>
          <w:rFonts w:ascii="Sylfaen" w:hAnsi="Sylfaen" w:cs="Sylfaen"/>
        </w:rPr>
        <w:t>შემთხვევის</w:t>
      </w:r>
      <w:r w:rsidRPr="003D733D">
        <w:t xml:space="preserve"> </w:t>
      </w:r>
      <w:r w:rsidRPr="003D733D">
        <w:rPr>
          <w:rFonts w:ascii="Sylfaen" w:hAnsi="Sylfaen" w:cs="Sylfaen"/>
        </w:rPr>
        <w:t>ადგილიდან</w:t>
      </w:r>
      <w:r w:rsidRPr="003D733D">
        <w:t xml:space="preserve"> </w:t>
      </w:r>
      <w:r w:rsidRPr="003D733D">
        <w:rPr>
          <w:rFonts w:ascii="Sylfaen" w:hAnsi="Sylfaen" w:cs="Sylfaen"/>
        </w:rPr>
        <w:t>და</w:t>
      </w:r>
      <w:r w:rsidRPr="003D733D">
        <w:t xml:space="preserve"> </w:t>
      </w:r>
      <w:r w:rsidRPr="003D733D">
        <w:rPr>
          <w:rFonts w:ascii="Sylfaen" w:hAnsi="Sylfaen" w:cs="Sylfaen"/>
        </w:rPr>
        <w:t>ჩაუტარეთ</w:t>
      </w:r>
      <w:r w:rsidRPr="003D733D">
        <w:t xml:space="preserve"> </w:t>
      </w:r>
      <w:r w:rsidRPr="003D733D">
        <w:rPr>
          <w:rFonts w:ascii="Sylfaen" w:hAnsi="Sylfaen" w:cs="Sylfaen"/>
        </w:rPr>
        <w:t>პირველი</w:t>
      </w:r>
      <w:r w:rsidRPr="003D733D">
        <w:t xml:space="preserve"> </w:t>
      </w:r>
      <w:r w:rsidRPr="003D733D">
        <w:rPr>
          <w:rFonts w:ascii="Sylfaen" w:hAnsi="Sylfaen" w:cs="Sylfaen"/>
        </w:rPr>
        <w:t>დახმარება</w:t>
      </w:r>
      <w:r w:rsidRPr="003D733D">
        <w:t xml:space="preserve"> </w:t>
      </w:r>
      <w:r w:rsidRPr="003D733D">
        <w:rPr>
          <w:rFonts w:ascii="Sylfaen" w:hAnsi="Sylfaen" w:cs="Sylfaen"/>
        </w:rPr>
        <w:t>როგორც</w:t>
      </w:r>
      <w:r w:rsidRPr="003D733D">
        <w:t xml:space="preserve"> </w:t>
      </w:r>
      <w:r w:rsidRPr="003D733D">
        <w:rPr>
          <w:rFonts w:ascii="Sylfaen" w:hAnsi="Sylfaen" w:cs="Sylfaen"/>
        </w:rPr>
        <w:t>სხვა</w:t>
      </w:r>
      <w:r w:rsidRPr="003D733D">
        <w:t xml:space="preserve"> </w:t>
      </w:r>
      <w:r w:rsidRPr="003D733D">
        <w:rPr>
          <w:rFonts w:ascii="Sylfaen" w:hAnsi="Sylfaen" w:cs="Sylfaen"/>
        </w:rPr>
        <w:t>სახის</w:t>
      </w:r>
      <w:r w:rsidRPr="003D733D">
        <w:t xml:space="preserve"> </w:t>
      </w:r>
      <w:r w:rsidRPr="003D733D">
        <w:rPr>
          <w:rFonts w:ascii="Sylfaen" w:hAnsi="Sylfaen" w:cs="Sylfaen"/>
        </w:rPr>
        <w:t>ელექტროტრავმის</w:t>
      </w:r>
      <w:r w:rsidRPr="003D733D">
        <w:t xml:space="preserve"> </w:t>
      </w:r>
      <w:r w:rsidRPr="003D733D">
        <w:rPr>
          <w:rFonts w:ascii="Sylfaen" w:hAnsi="Sylfaen" w:cs="Sylfaen"/>
        </w:rPr>
        <w:t>დროს</w:t>
      </w:r>
      <w:r w:rsidRPr="003D733D">
        <w:t>.</w:t>
      </w:r>
      <w:r w:rsidRPr="003D733D">
        <w:rPr>
          <w:rFonts w:cs="Arial"/>
        </w:rPr>
        <w:t> </w:t>
      </w:r>
    </w:p>
    <w:p w14:paraId="2A44D367" w14:textId="77777777" w:rsidR="00A2588D" w:rsidRPr="003D733D" w:rsidRDefault="00A2588D" w:rsidP="00A2588D"/>
    <w:p w14:paraId="2D6ED43C" w14:textId="77777777" w:rsidR="00A2588D" w:rsidRPr="00631159" w:rsidRDefault="00A2588D" w:rsidP="00A2588D">
      <w:pPr>
        <w:rPr>
          <w:b/>
          <w:i/>
        </w:rPr>
      </w:pPr>
      <w:bookmarkStart w:id="668" w:name="_Toc479166600"/>
      <w:bookmarkStart w:id="669" w:name="_Toc479164885"/>
      <w:bookmarkStart w:id="670" w:name="_Toc416769158"/>
      <w:bookmarkStart w:id="671" w:name="_Toc407201863"/>
      <w:bookmarkStart w:id="672" w:name="_Toc337205855"/>
      <w:bookmarkStart w:id="673" w:name="_Toc326839332"/>
      <w:bookmarkStart w:id="674" w:name="_Toc314150169"/>
      <w:r w:rsidRPr="00631159">
        <w:rPr>
          <w:rFonts w:ascii="Sylfaen" w:hAnsi="Sylfaen" w:cs="Sylfaen"/>
          <w:b/>
          <w:i/>
        </w:rPr>
        <w:t>ავარიაზე</w:t>
      </w:r>
      <w:r w:rsidRPr="00631159">
        <w:rPr>
          <w:b/>
          <w:i/>
        </w:rPr>
        <w:t xml:space="preserve"> </w:t>
      </w:r>
      <w:r w:rsidRPr="00631159">
        <w:rPr>
          <w:rFonts w:ascii="Sylfaen" w:hAnsi="Sylfaen" w:cs="Sylfaen"/>
          <w:b/>
          <w:i/>
        </w:rPr>
        <w:t>რეაგირებისთვის</w:t>
      </w:r>
      <w:r w:rsidRPr="00631159">
        <w:rPr>
          <w:b/>
          <w:i/>
        </w:rPr>
        <w:t xml:space="preserve"> </w:t>
      </w:r>
      <w:r w:rsidRPr="00631159">
        <w:rPr>
          <w:rFonts w:ascii="Sylfaen" w:hAnsi="Sylfaen" w:cs="Sylfaen"/>
          <w:b/>
          <w:i/>
        </w:rPr>
        <w:t>საჭირო</w:t>
      </w:r>
      <w:r w:rsidRPr="00631159">
        <w:rPr>
          <w:b/>
          <w:i/>
        </w:rPr>
        <w:t xml:space="preserve"> </w:t>
      </w:r>
      <w:r w:rsidRPr="00631159">
        <w:rPr>
          <w:rFonts w:ascii="Sylfaen" w:hAnsi="Sylfaen" w:cs="Sylfaen"/>
          <w:b/>
          <w:i/>
        </w:rPr>
        <w:t>აღჭურვილობა</w:t>
      </w:r>
      <w:bookmarkEnd w:id="668"/>
      <w:bookmarkEnd w:id="669"/>
      <w:bookmarkEnd w:id="670"/>
      <w:bookmarkEnd w:id="671"/>
      <w:bookmarkEnd w:id="672"/>
      <w:bookmarkEnd w:id="673"/>
      <w:bookmarkEnd w:id="674"/>
    </w:p>
    <w:p w14:paraId="0FD0D605" w14:textId="77777777" w:rsidR="00A2588D" w:rsidRPr="003D733D" w:rsidRDefault="00A2588D" w:rsidP="00A2588D">
      <w:pPr>
        <w:rPr>
          <w:lang w:val="ka-GE"/>
        </w:rPr>
      </w:pPr>
      <w:r w:rsidRPr="003D733D">
        <w:rPr>
          <w:rFonts w:ascii="Sylfaen" w:hAnsi="Sylfaen" w:cs="Sylfaen"/>
        </w:rPr>
        <w:t>სამშენებლო</w:t>
      </w:r>
      <w:r w:rsidRPr="003D733D">
        <w:t xml:space="preserve"> </w:t>
      </w:r>
      <w:r w:rsidRPr="003D733D">
        <w:rPr>
          <w:rFonts w:ascii="Sylfaen" w:hAnsi="Sylfaen" w:cs="Sylfaen"/>
        </w:rPr>
        <w:t>ბაზაზე</w:t>
      </w:r>
      <w:r w:rsidRPr="003D733D">
        <w:t xml:space="preserve"> </w:t>
      </w:r>
      <w:r w:rsidRPr="003D733D">
        <w:rPr>
          <w:rFonts w:ascii="Sylfaen" w:hAnsi="Sylfaen" w:cs="Sylfaen"/>
        </w:rPr>
        <w:t>უნდა</w:t>
      </w:r>
      <w:r w:rsidRPr="003D733D">
        <w:t xml:space="preserve"> </w:t>
      </w:r>
      <w:r w:rsidRPr="003D733D">
        <w:rPr>
          <w:rFonts w:ascii="Sylfaen" w:hAnsi="Sylfaen" w:cs="Sylfaen"/>
        </w:rPr>
        <w:t>არსებობდეს</w:t>
      </w:r>
      <w:r w:rsidRPr="003D733D">
        <w:t xml:space="preserve"> </w:t>
      </w:r>
      <w:r w:rsidRPr="003D733D">
        <w:rPr>
          <w:rFonts w:ascii="Sylfaen" w:hAnsi="Sylfaen" w:cs="Sylfaen"/>
        </w:rPr>
        <w:t>ავარიაზე</w:t>
      </w:r>
      <w:r w:rsidRPr="003D733D">
        <w:t xml:space="preserve"> </w:t>
      </w:r>
      <w:r w:rsidRPr="003D733D">
        <w:rPr>
          <w:rFonts w:ascii="Sylfaen" w:hAnsi="Sylfaen" w:cs="Sylfaen"/>
        </w:rPr>
        <w:t>რეაგირების</w:t>
      </w:r>
      <w:r w:rsidRPr="003D733D">
        <w:t xml:space="preserve"> </w:t>
      </w:r>
      <w:r w:rsidRPr="003D733D">
        <w:rPr>
          <w:rFonts w:ascii="Sylfaen" w:hAnsi="Sylfaen" w:cs="Sylfaen"/>
        </w:rPr>
        <w:t>შემდეგი</w:t>
      </w:r>
      <w:r w:rsidRPr="003D733D">
        <w:t xml:space="preserve"> </w:t>
      </w:r>
      <w:r w:rsidRPr="003D733D">
        <w:rPr>
          <w:rFonts w:ascii="Sylfaen" w:hAnsi="Sylfaen" w:cs="Sylfaen"/>
        </w:rPr>
        <w:t>აღჭურვილობა</w:t>
      </w:r>
      <w:r w:rsidRPr="003D733D">
        <w:t xml:space="preserve">: </w:t>
      </w:r>
    </w:p>
    <w:p w14:paraId="59AF3796" w14:textId="77777777" w:rsidR="00A2588D" w:rsidRPr="003D733D" w:rsidRDefault="00A2588D" w:rsidP="00A2588D">
      <w:r w:rsidRPr="003D733D">
        <w:rPr>
          <w:rFonts w:ascii="Sylfaen" w:hAnsi="Sylfaen" w:cs="Sylfaen"/>
        </w:rPr>
        <w:t>პირადი</w:t>
      </w:r>
      <w:r w:rsidRPr="003D733D">
        <w:t xml:space="preserve"> </w:t>
      </w:r>
      <w:r w:rsidRPr="003D733D">
        <w:rPr>
          <w:rFonts w:ascii="Sylfaen" w:hAnsi="Sylfaen" w:cs="Sylfaen"/>
        </w:rPr>
        <w:t>დაცვის</w:t>
      </w:r>
      <w:r w:rsidRPr="003D733D">
        <w:t xml:space="preserve"> </w:t>
      </w:r>
      <w:r w:rsidRPr="003D733D">
        <w:rPr>
          <w:rFonts w:ascii="Sylfaen" w:hAnsi="Sylfaen" w:cs="Sylfaen"/>
        </w:rPr>
        <w:t>საშუალებებია</w:t>
      </w:r>
      <w:r w:rsidRPr="003D733D">
        <w:t>:</w:t>
      </w:r>
    </w:p>
    <w:p w14:paraId="31F4510E" w14:textId="77777777" w:rsidR="00A2588D" w:rsidRPr="003D733D" w:rsidRDefault="00A2588D" w:rsidP="00821E4D">
      <w:pPr>
        <w:pStyle w:val="ListParagraph"/>
        <w:numPr>
          <w:ilvl w:val="0"/>
          <w:numId w:val="43"/>
        </w:numPr>
      </w:pPr>
      <w:r w:rsidRPr="00631159">
        <w:rPr>
          <w:rFonts w:cs="Sylfaen"/>
        </w:rPr>
        <w:t>ჩაფხუტები</w:t>
      </w:r>
      <w:r w:rsidRPr="003D733D">
        <w:t>;</w:t>
      </w:r>
    </w:p>
    <w:p w14:paraId="04D65E95" w14:textId="77777777" w:rsidR="00A2588D" w:rsidRPr="003D733D" w:rsidRDefault="00A2588D" w:rsidP="00821E4D">
      <w:pPr>
        <w:pStyle w:val="ListParagraph"/>
        <w:numPr>
          <w:ilvl w:val="0"/>
          <w:numId w:val="43"/>
        </w:numPr>
      </w:pPr>
      <w:r w:rsidRPr="00631159">
        <w:rPr>
          <w:rFonts w:cs="Sylfaen"/>
        </w:rPr>
        <w:t>დამცავი</w:t>
      </w:r>
      <w:r w:rsidRPr="003D733D">
        <w:t xml:space="preserve"> </w:t>
      </w:r>
      <w:r w:rsidRPr="00631159">
        <w:rPr>
          <w:rFonts w:cs="Sylfaen"/>
        </w:rPr>
        <w:t>სათვალეები</w:t>
      </w:r>
      <w:r w:rsidRPr="003D733D">
        <w:t>;</w:t>
      </w:r>
    </w:p>
    <w:p w14:paraId="2EF71B19" w14:textId="77777777" w:rsidR="00A2588D" w:rsidRPr="003D733D" w:rsidRDefault="00A2588D" w:rsidP="00821E4D">
      <w:pPr>
        <w:pStyle w:val="ListParagraph"/>
        <w:numPr>
          <w:ilvl w:val="0"/>
          <w:numId w:val="43"/>
        </w:numPr>
      </w:pPr>
      <w:r w:rsidRPr="00631159">
        <w:rPr>
          <w:rFonts w:cs="Sylfaen"/>
        </w:rPr>
        <w:t>სპეცტანსაცმელი</w:t>
      </w:r>
      <w:r w:rsidRPr="003D733D">
        <w:t xml:space="preserve"> </w:t>
      </w:r>
      <w:r w:rsidRPr="00631159">
        <w:rPr>
          <w:rFonts w:cs="Sylfaen"/>
        </w:rPr>
        <w:t>ამრეკლი</w:t>
      </w:r>
      <w:r w:rsidRPr="003D733D">
        <w:t xml:space="preserve"> </w:t>
      </w:r>
      <w:r w:rsidRPr="00631159">
        <w:rPr>
          <w:rFonts w:cs="Sylfaen"/>
        </w:rPr>
        <w:t>ზოლებით</w:t>
      </w:r>
      <w:r w:rsidRPr="003D733D">
        <w:t>;</w:t>
      </w:r>
    </w:p>
    <w:p w14:paraId="58D764EC" w14:textId="77777777" w:rsidR="00A2588D" w:rsidRPr="003D733D" w:rsidRDefault="00A2588D" w:rsidP="00821E4D">
      <w:pPr>
        <w:pStyle w:val="ListParagraph"/>
        <w:numPr>
          <w:ilvl w:val="0"/>
          <w:numId w:val="43"/>
        </w:numPr>
      </w:pPr>
      <w:r w:rsidRPr="00631159">
        <w:rPr>
          <w:rFonts w:cs="Sylfaen"/>
        </w:rPr>
        <w:t>წყალგაუმტარი</w:t>
      </w:r>
      <w:r w:rsidRPr="003D733D">
        <w:t xml:space="preserve"> </w:t>
      </w:r>
      <w:r w:rsidRPr="00631159">
        <w:rPr>
          <w:rFonts w:cs="Sylfaen"/>
        </w:rPr>
        <w:t>მაღალყელიანი</w:t>
      </w:r>
      <w:r w:rsidRPr="003D733D">
        <w:t xml:space="preserve"> </w:t>
      </w:r>
      <w:r w:rsidRPr="00631159">
        <w:rPr>
          <w:rFonts w:cs="Sylfaen"/>
        </w:rPr>
        <w:t>ფეხსაცმელები</w:t>
      </w:r>
      <w:r w:rsidRPr="003D733D">
        <w:t>;</w:t>
      </w:r>
    </w:p>
    <w:p w14:paraId="5A479F94" w14:textId="77777777" w:rsidR="00A2588D" w:rsidRPr="003D733D" w:rsidRDefault="00A2588D" w:rsidP="00821E4D">
      <w:pPr>
        <w:pStyle w:val="ListParagraph"/>
        <w:numPr>
          <w:ilvl w:val="0"/>
          <w:numId w:val="43"/>
        </w:numPr>
      </w:pPr>
      <w:r w:rsidRPr="00631159">
        <w:rPr>
          <w:rFonts w:cs="Sylfaen"/>
        </w:rPr>
        <w:t>ხელთათმანები</w:t>
      </w:r>
      <w:r w:rsidRPr="003D733D">
        <w:t>;</w:t>
      </w:r>
    </w:p>
    <w:p w14:paraId="08C1D58C" w14:textId="77777777" w:rsidR="00A2588D" w:rsidRPr="003D733D" w:rsidRDefault="00A2588D" w:rsidP="00821E4D">
      <w:pPr>
        <w:pStyle w:val="ListParagraph"/>
        <w:numPr>
          <w:ilvl w:val="0"/>
          <w:numId w:val="43"/>
        </w:numPr>
      </w:pPr>
      <w:r w:rsidRPr="00631159">
        <w:rPr>
          <w:rFonts w:cs="Sylfaen"/>
        </w:rPr>
        <w:t>ხანძარსაქრობი</w:t>
      </w:r>
      <w:r w:rsidRPr="003D733D">
        <w:t xml:space="preserve"> </w:t>
      </w:r>
      <w:r w:rsidRPr="00631159">
        <w:rPr>
          <w:rFonts w:cs="Sylfaen"/>
        </w:rPr>
        <w:t>აღჭურვილობა</w:t>
      </w:r>
      <w:r w:rsidRPr="003D733D">
        <w:t xml:space="preserve">: </w:t>
      </w:r>
    </w:p>
    <w:p w14:paraId="0F2A1B1A" w14:textId="77777777" w:rsidR="00A2588D" w:rsidRPr="003D733D" w:rsidRDefault="00A2588D" w:rsidP="00821E4D">
      <w:pPr>
        <w:pStyle w:val="ListParagraph"/>
        <w:numPr>
          <w:ilvl w:val="0"/>
          <w:numId w:val="43"/>
        </w:numPr>
      </w:pPr>
      <w:r w:rsidRPr="00631159">
        <w:rPr>
          <w:rFonts w:cs="Sylfaen"/>
        </w:rPr>
        <w:t>სტანდარტული</w:t>
      </w:r>
      <w:r w:rsidRPr="003D733D">
        <w:t xml:space="preserve"> </w:t>
      </w:r>
      <w:r w:rsidRPr="00631159">
        <w:rPr>
          <w:rFonts w:cs="Sylfaen"/>
        </w:rPr>
        <w:t>ხანძარმქრობები</w:t>
      </w:r>
      <w:r w:rsidRPr="003D733D">
        <w:t>;</w:t>
      </w:r>
    </w:p>
    <w:p w14:paraId="5D5E739C" w14:textId="77777777" w:rsidR="00A2588D" w:rsidRPr="003D733D" w:rsidRDefault="00A2588D" w:rsidP="00821E4D">
      <w:pPr>
        <w:pStyle w:val="ListParagraph"/>
        <w:numPr>
          <w:ilvl w:val="0"/>
          <w:numId w:val="43"/>
        </w:numPr>
      </w:pPr>
      <w:r w:rsidRPr="00631159">
        <w:rPr>
          <w:rFonts w:cs="Sylfaen"/>
        </w:rPr>
        <w:t>ვედროები</w:t>
      </w:r>
      <w:r w:rsidRPr="003D733D">
        <w:t xml:space="preserve">, </w:t>
      </w:r>
      <w:r w:rsidRPr="00631159">
        <w:rPr>
          <w:rFonts w:cs="Sylfaen"/>
        </w:rPr>
        <w:t>ქვიშა</w:t>
      </w:r>
      <w:r w:rsidRPr="003D733D">
        <w:t xml:space="preserve">, </w:t>
      </w:r>
      <w:r w:rsidRPr="00631159">
        <w:rPr>
          <w:rFonts w:cs="Sylfaen"/>
        </w:rPr>
        <w:t>ნიჩბები</w:t>
      </w:r>
      <w:r w:rsidRPr="003D733D">
        <w:t xml:space="preserve"> </w:t>
      </w:r>
      <w:r w:rsidRPr="00631159">
        <w:rPr>
          <w:rFonts w:cs="Sylfaen"/>
        </w:rPr>
        <w:t>და</w:t>
      </w:r>
      <w:r w:rsidRPr="003D733D">
        <w:t xml:space="preserve"> </w:t>
      </w:r>
      <w:r w:rsidRPr="00631159">
        <w:rPr>
          <w:rFonts w:cs="Sylfaen"/>
        </w:rPr>
        <w:t>ა</w:t>
      </w:r>
      <w:r w:rsidRPr="003D733D">
        <w:t>.</w:t>
      </w:r>
      <w:r w:rsidRPr="00631159">
        <w:rPr>
          <w:rFonts w:cs="Sylfaen"/>
        </w:rPr>
        <w:t>შ</w:t>
      </w:r>
      <w:r w:rsidRPr="003D733D">
        <w:t xml:space="preserve">.; </w:t>
      </w:r>
    </w:p>
    <w:p w14:paraId="0B86063C" w14:textId="77777777" w:rsidR="00A2588D" w:rsidRPr="003D733D" w:rsidRDefault="00A2588D" w:rsidP="00821E4D">
      <w:pPr>
        <w:pStyle w:val="ListParagraph"/>
        <w:numPr>
          <w:ilvl w:val="0"/>
          <w:numId w:val="43"/>
        </w:numPr>
      </w:pPr>
      <w:r w:rsidRPr="00631159">
        <w:rPr>
          <w:rFonts w:cs="Sylfaen"/>
        </w:rPr>
        <w:t>სათანადოდ</w:t>
      </w:r>
      <w:r w:rsidRPr="003D733D">
        <w:t xml:space="preserve"> </w:t>
      </w:r>
      <w:r w:rsidRPr="00631159">
        <w:rPr>
          <w:rFonts w:cs="Sylfaen"/>
        </w:rPr>
        <w:t>აღჭურვილი</w:t>
      </w:r>
      <w:r w:rsidRPr="003D733D">
        <w:t xml:space="preserve"> </w:t>
      </w:r>
      <w:r w:rsidRPr="00631159">
        <w:rPr>
          <w:rFonts w:cs="Sylfaen"/>
        </w:rPr>
        <w:t>ხანძარსაქრობი</w:t>
      </w:r>
      <w:r w:rsidRPr="003D733D">
        <w:t xml:space="preserve"> </w:t>
      </w:r>
      <w:r w:rsidRPr="00631159">
        <w:rPr>
          <w:rFonts w:cs="Sylfaen"/>
        </w:rPr>
        <w:t>დაფები</w:t>
      </w:r>
      <w:r w:rsidRPr="003D733D">
        <w:t>;</w:t>
      </w:r>
    </w:p>
    <w:p w14:paraId="2FA9E81E" w14:textId="77777777" w:rsidR="00A2588D" w:rsidRPr="003D733D" w:rsidRDefault="00A2588D" w:rsidP="00A2588D">
      <w:r w:rsidRPr="003D733D">
        <w:rPr>
          <w:rFonts w:ascii="Sylfaen" w:hAnsi="Sylfaen" w:cs="Sylfaen"/>
        </w:rPr>
        <w:t>სახანძრო</w:t>
      </w:r>
      <w:r w:rsidRPr="003D733D">
        <w:t xml:space="preserve"> </w:t>
      </w:r>
      <w:r w:rsidRPr="003D733D">
        <w:rPr>
          <w:rFonts w:ascii="Sylfaen" w:hAnsi="Sylfaen" w:cs="Sylfaen"/>
        </w:rPr>
        <w:t>მანქანა</w:t>
      </w:r>
      <w:r w:rsidRPr="003D733D">
        <w:t xml:space="preserve"> – </w:t>
      </w:r>
      <w:r w:rsidRPr="003D733D">
        <w:rPr>
          <w:rFonts w:ascii="Sylfaen" w:hAnsi="Sylfaen" w:cs="Sylfaen"/>
        </w:rPr>
        <w:t>გამოყენებული</w:t>
      </w:r>
      <w:r w:rsidRPr="003D733D">
        <w:t xml:space="preserve"> </w:t>
      </w:r>
      <w:r w:rsidRPr="003D733D">
        <w:rPr>
          <w:rFonts w:ascii="Sylfaen" w:hAnsi="Sylfaen" w:cs="Sylfaen"/>
        </w:rPr>
        <w:t>იქნება</w:t>
      </w:r>
      <w:r w:rsidRPr="003D733D">
        <w:t xml:space="preserve"> </w:t>
      </w:r>
      <w:r w:rsidRPr="003D733D">
        <w:rPr>
          <w:rFonts w:ascii="Sylfaen" w:hAnsi="Sylfaen" w:cs="Sylfaen"/>
        </w:rPr>
        <w:t>დაბა</w:t>
      </w:r>
      <w:r w:rsidRPr="003D733D">
        <w:t xml:space="preserve"> </w:t>
      </w:r>
      <w:r w:rsidRPr="003D733D">
        <w:rPr>
          <w:rFonts w:ascii="Sylfaen" w:hAnsi="Sylfaen" w:cs="Sylfaen"/>
        </w:rPr>
        <w:t>სტეფანწმინდის</w:t>
      </w:r>
      <w:r w:rsidRPr="003D733D">
        <w:t xml:space="preserve"> </w:t>
      </w:r>
      <w:r w:rsidRPr="003D733D">
        <w:rPr>
          <w:rFonts w:ascii="Sylfaen" w:hAnsi="Sylfaen" w:cs="Sylfaen"/>
        </w:rPr>
        <w:t>სახანძრო</w:t>
      </w:r>
      <w:r w:rsidRPr="003D733D">
        <w:t xml:space="preserve"> </w:t>
      </w:r>
      <w:r w:rsidRPr="003D733D">
        <w:rPr>
          <w:rFonts w:ascii="Sylfaen" w:hAnsi="Sylfaen" w:cs="Sylfaen"/>
        </w:rPr>
        <w:t>რაზმის</w:t>
      </w:r>
      <w:r w:rsidRPr="003D733D">
        <w:t xml:space="preserve"> </w:t>
      </w:r>
      <w:r w:rsidRPr="003D733D">
        <w:rPr>
          <w:rFonts w:ascii="Sylfaen" w:hAnsi="Sylfaen" w:cs="Sylfaen"/>
        </w:rPr>
        <w:t>მანქანები</w:t>
      </w:r>
      <w:r w:rsidRPr="003D733D">
        <w:t>.</w:t>
      </w:r>
    </w:p>
    <w:p w14:paraId="243A82D8" w14:textId="77777777" w:rsidR="00A2588D" w:rsidRPr="003D733D" w:rsidRDefault="00A2588D" w:rsidP="00A2588D">
      <w:r w:rsidRPr="003D733D">
        <w:rPr>
          <w:rFonts w:ascii="Sylfaen" w:hAnsi="Sylfaen" w:cs="Sylfaen"/>
        </w:rPr>
        <w:t>გადაუდებელი</w:t>
      </w:r>
      <w:r w:rsidRPr="003D733D">
        <w:t xml:space="preserve"> </w:t>
      </w:r>
      <w:r w:rsidRPr="003D733D">
        <w:rPr>
          <w:rFonts w:ascii="Sylfaen" w:hAnsi="Sylfaen" w:cs="Sylfaen"/>
        </w:rPr>
        <w:t>სამედიცინო</w:t>
      </w:r>
      <w:r w:rsidRPr="003D733D">
        <w:t xml:space="preserve"> </w:t>
      </w:r>
      <w:r w:rsidRPr="003D733D">
        <w:rPr>
          <w:rFonts w:ascii="Sylfaen" w:hAnsi="Sylfaen" w:cs="Sylfaen"/>
        </w:rPr>
        <w:t>მომსახურების</w:t>
      </w:r>
      <w:r w:rsidRPr="003D733D">
        <w:t xml:space="preserve"> </w:t>
      </w:r>
      <w:r w:rsidRPr="003D733D">
        <w:rPr>
          <w:rFonts w:ascii="Sylfaen" w:hAnsi="Sylfaen" w:cs="Sylfaen"/>
        </w:rPr>
        <w:t>აღჭურვილობა</w:t>
      </w:r>
      <w:r w:rsidRPr="003D733D">
        <w:t xml:space="preserve">: </w:t>
      </w:r>
    </w:p>
    <w:p w14:paraId="73BA57EE" w14:textId="77777777" w:rsidR="00A2588D" w:rsidRPr="003D733D" w:rsidRDefault="00A2588D" w:rsidP="00A2588D">
      <w:r w:rsidRPr="003D733D">
        <w:rPr>
          <w:rFonts w:ascii="Sylfaen" w:hAnsi="Sylfaen" w:cs="Sylfaen"/>
        </w:rPr>
        <w:t>სტანდარტული</w:t>
      </w:r>
      <w:r w:rsidRPr="003D733D">
        <w:t xml:space="preserve"> </w:t>
      </w:r>
      <w:r w:rsidRPr="003D733D">
        <w:rPr>
          <w:rFonts w:ascii="Sylfaen" w:hAnsi="Sylfaen" w:cs="Sylfaen"/>
        </w:rPr>
        <w:t>სამედიცინო</w:t>
      </w:r>
      <w:r w:rsidRPr="003D733D">
        <w:t xml:space="preserve"> </w:t>
      </w:r>
      <w:r w:rsidRPr="003D733D">
        <w:rPr>
          <w:rFonts w:ascii="Sylfaen" w:hAnsi="Sylfaen" w:cs="Sylfaen"/>
        </w:rPr>
        <w:t>ყუთები</w:t>
      </w:r>
      <w:r w:rsidRPr="003D733D">
        <w:t>;</w:t>
      </w:r>
    </w:p>
    <w:p w14:paraId="4ECC3FE5" w14:textId="77777777" w:rsidR="00A2588D" w:rsidRPr="003D733D" w:rsidRDefault="00A2588D" w:rsidP="00A2588D">
      <w:r w:rsidRPr="003D733D">
        <w:rPr>
          <w:rFonts w:ascii="Sylfaen" w:hAnsi="Sylfaen" w:cs="Sylfaen"/>
        </w:rPr>
        <w:t>სასწრაფო</w:t>
      </w:r>
      <w:r w:rsidRPr="003D733D">
        <w:t xml:space="preserve"> </w:t>
      </w:r>
      <w:r w:rsidRPr="003D733D">
        <w:rPr>
          <w:rFonts w:ascii="Sylfaen" w:hAnsi="Sylfaen" w:cs="Sylfaen"/>
        </w:rPr>
        <w:t>დახმარების</w:t>
      </w:r>
      <w:r w:rsidRPr="003D733D">
        <w:t xml:space="preserve"> </w:t>
      </w:r>
      <w:r w:rsidRPr="003D733D">
        <w:rPr>
          <w:rFonts w:ascii="Sylfaen" w:hAnsi="Sylfaen" w:cs="Sylfaen"/>
        </w:rPr>
        <w:t>მანქანა</w:t>
      </w:r>
      <w:r w:rsidRPr="003D733D">
        <w:t xml:space="preserve"> – </w:t>
      </w:r>
      <w:r w:rsidRPr="003D733D">
        <w:rPr>
          <w:rFonts w:ascii="Sylfaen" w:hAnsi="Sylfaen" w:cs="Sylfaen"/>
        </w:rPr>
        <w:t>გამოყენებული</w:t>
      </w:r>
      <w:r w:rsidRPr="003D733D">
        <w:t xml:space="preserve"> </w:t>
      </w:r>
      <w:r w:rsidRPr="003D733D">
        <w:rPr>
          <w:rFonts w:ascii="Sylfaen" w:hAnsi="Sylfaen" w:cs="Sylfaen"/>
        </w:rPr>
        <w:t>იქნება</w:t>
      </w:r>
      <w:r w:rsidRPr="003D733D">
        <w:t xml:space="preserve"> </w:t>
      </w:r>
      <w:r w:rsidRPr="003D733D">
        <w:rPr>
          <w:rFonts w:ascii="Sylfaen" w:hAnsi="Sylfaen" w:cs="Sylfaen"/>
        </w:rPr>
        <w:t>დაბა</w:t>
      </w:r>
      <w:r w:rsidRPr="003D733D">
        <w:t xml:space="preserve"> </w:t>
      </w:r>
      <w:r w:rsidRPr="003D733D">
        <w:rPr>
          <w:rFonts w:ascii="Sylfaen" w:hAnsi="Sylfaen" w:cs="Sylfaen"/>
        </w:rPr>
        <w:t>სტეფანწმინდის</w:t>
      </w:r>
      <w:r w:rsidRPr="003D733D">
        <w:t xml:space="preserve"> </w:t>
      </w:r>
      <w:r w:rsidRPr="003D733D">
        <w:rPr>
          <w:rFonts w:ascii="Sylfaen" w:hAnsi="Sylfaen" w:cs="Sylfaen"/>
        </w:rPr>
        <w:t>სამედიცინო</w:t>
      </w:r>
      <w:r w:rsidRPr="003D733D">
        <w:t xml:space="preserve"> </w:t>
      </w:r>
      <w:r w:rsidRPr="003D733D">
        <w:rPr>
          <w:rFonts w:ascii="Sylfaen" w:hAnsi="Sylfaen" w:cs="Sylfaen"/>
        </w:rPr>
        <w:t>დაწესებულებების</w:t>
      </w:r>
      <w:r w:rsidRPr="003D733D">
        <w:t xml:space="preserve"> </w:t>
      </w:r>
      <w:r w:rsidRPr="003D733D">
        <w:rPr>
          <w:rFonts w:ascii="Sylfaen" w:hAnsi="Sylfaen" w:cs="Sylfaen"/>
        </w:rPr>
        <w:t>სასწრაფო</w:t>
      </w:r>
      <w:r w:rsidRPr="003D733D">
        <w:t xml:space="preserve"> </w:t>
      </w:r>
      <w:r w:rsidRPr="003D733D">
        <w:rPr>
          <w:rFonts w:ascii="Sylfaen" w:hAnsi="Sylfaen" w:cs="Sylfaen"/>
        </w:rPr>
        <w:t>დახმარების</w:t>
      </w:r>
      <w:r w:rsidRPr="003D733D">
        <w:t xml:space="preserve"> </w:t>
      </w:r>
      <w:r w:rsidRPr="003D733D">
        <w:rPr>
          <w:rFonts w:ascii="Sylfaen" w:hAnsi="Sylfaen" w:cs="Sylfaen"/>
        </w:rPr>
        <w:t>მანქანები</w:t>
      </w:r>
      <w:r w:rsidRPr="003D733D">
        <w:t>.</w:t>
      </w:r>
    </w:p>
    <w:p w14:paraId="0CBC068B" w14:textId="77777777" w:rsidR="00A2588D" w:rsidRPr="003D733D" w:rsidRDefault="00A2588D" w:rsidP="00A2588D">
      <w:r w:rsidRPr="003D733D">
        <w:rPr>
          <w:rFonts w:ascii="Sylfaen" w:hAnsi="Sylfaen" w:cs="Sylfaen"/>
        </w:rPr>
        <w:t>დაღვრის</w:t>
      </w:r>
      <w:r w:rsidRPr="003D733D">
        <w:t xml:space="preserve"> </w:t>
      </w:r>
      <w:r w:rsidRPr="003D733D">
        <w:rPr>
          <w:rFonts w:ascii="Sylfaen" w:hAnsi="Sylfaen" w:cs="Sylfaen"/>
        </w:rPr>
        <w:t>აღმოსაფხვრელი</w:t>
      </w:r>
      <w:r w:rsidRPr="003D733D">
        <w:t xml:space="preserve"> </w:t>
      </w:r>
      <w:r w:rsidRPr="003D733D">
        <w:rPr>
          <w:rFonts w:ascii="Sylfaen" w:hAnsi="Sylfaen" w:cs="Sylfaen"/>
        </w:rPr>
        <w:t>აღჭურვილობა</w:t>
      </w:r>
      <w:r w:rsidRPr="003D733D">
        <w:t xml:space="preserve">: </w:t>
      </w:r>
    </w:p>
    <w:p w14:paraId="2453A783" w14:textId="77777777" w:rsidR="00A2588D" w:rsidRPr="003D733D" w:rsidRDefault="00A2588D" w:rsidP="00821E4D">
      <w:pPr>
        <w:pStyle w:val="ListParagraph"/>
        <w:numPr>
          <w:ilvl w:val="0"/>
          <w:numId w:val="44"/>
        </w:numPr>
      </w:pPr>
      <w:r w:rsidRPr="00631159">
        <w:rPr>
          <w:rFonts w:cs="Sylfaen"/>
        </w:rPr>
        <w:t>გამძლე</w:t>
      </w:r>
      <w:r w:rsidRPr="003D733D">
        <w:t xml:space="preserve"> </w:t>
      </w:r>
      <w:r w:rsidRPr="00631159">
        <w:rPr>
          <w:rFonts w:cs="Sylfaen"/>
        </w:rPr>
        <w:t>პოლიეთილენის</w:t>
      </w:r>
      <w:r w:rsidRPr="003D733D">
        <w:t xml:space="preserve"> </w:t>
      </w:r>
      <w:r w:rsidRPr="00631159">
        <w:rPr>
          <w:rFonts w:cs="Sylfaen"/>
        </w:rPr>
        <w:t>ტომრები</w:t>
      </w:r>
      <w:r w:rsidRPr="003D733D">
        <w:t xml:space="preserve"> </w:t>
      </w:r>
    </w:p>
    <w:p w14:paraId="384E1C17" w14:textId="77777777" w:rsidR="00A2588D" w:rsidRPr="003D733D" w:rsidRDefault="00A2588D" w:rsidP="00821E4D">
      <w:pPr>
        <w:pStyle w:val="ListParagraph"/>
        <w:numPr>
          <w:ilvl w:val="0"/>
          <w:numId w:val="44"/>
        </w:numPr>
      </w:pPr>
      <w:r w:rsidRPr="00631159">
        <w:rPr>
          <w:rFonts w:cs="Sylfaen"/>
        </w:rPr>
        <w:t>აბსორბენტის</w:t>
      </w:r>
      <w:r w:rsidRPr="003D733D">
        <w:t xml:space="preserve"> </w:t>
      </w:r>
      <w:r w:rsidRPr="00631159">
        <w:rPr>
          <w:rFonts w:cs="Sylfaen"/>
        </w:rPr>
        <w:t>ბალიშები</w:t>
      </w:r>
      <w:r w:rsidRPr="003D733D">
        <w:t xml:space="preserve"> </w:t>
      </w:r>
    </w:p>
    <w:p w14:paraId="27986D7B" w14:textId="77777777" w:rsidR="00A2588D" w:rsidRPr="003D733D" w:rsidRDefault="00A2588D" w:rsidP="00821E4D">
      <w:pPr>
        <w:pStyle w:val="ListParagraph"/>
        <w:numPr>
          <w:ilvl w:val="0"/>
          <w:numId w:val="44"/>
        </w:numPr>
      </w:pPr>
      <w:r w:rsidRPr="00631159">
        <w:rPr>
          <w:rFonts w:cs="Sylfaen"/>
        </w:rPr>
        <w:t>ხელთათმანები</w:t>
      </w:r>
      <w:r w:rsidRPr="003D733D">
        <w:t xml:space="preserve"> </w:t>
      </w:r>
    </w:p>
    <w:p w14:paraId="1DACDA55" w14:textId="77777777" w:rsidR="00A2588D" w:rsidRPr="003D733D" w:rsidRDefault="00A2588D" w:rsidP="00821E4D">
      <w:pPr>
        <w:pStyle w:val="ListParagraph"/>
        <w:numPr>
          <w:ilvl w:val="0"/>
          <w:numId w:val="44"/>
        </w:numPr>
      </w:pPr>
      <w:r w:rsidRPr="00631159">
        <w:rPr>
          <w:rFonts w:cs="Sylfaen"/>
        </w:rPr>
        <w:t>წვეთშემკრები</w:t>
      </w:r>
      <w:r w:rsidRPr="003D733D">
        <w:t xml:space="preserve"> </w:t>
      </w:r>
      <w:r w:rsidRPr="00631159">
        <w:rPr>
          <w:rFonts w:cs="Sylfaen"/>
        </w:rPr>
        <w:t>მოცულობა</w:t>
      </w:r>
      <w:r w:rsidRPr="003D733D">
        <w:t xml:space="preserve"> </w:t>
      </w:r>
    </w:p>
    <w:p w14:paraId="0B40AFC5" w14:textId="77777777" w:rsidR="00A2588D" w:rsidRPr="003D733D" w:rsidRDefault="00A2588D" w:rsidP="00821E4D">
      <w:pPr>
        <w:pStyle w:val="ListParagraph"/>
        <w:numPr>
          <w:ilvl w:val="0"/>
          <w:numId w:val="44"/>
        </w:numPr>
      </w:pPr>
      <w:r w:rsidRPr="00631159">
        <w:rPr>
          <w:rFonts w:cs="Sylfaen"/>
        </w:rPr>
        <w:t>ვედროები</w:t>
      </w:r>
      <w:r w:rsidRPr="003D733D">
        <w:t xml:space="preserve"> </w:t>
      </w:r>
    </w:p>
    <w:p w14:paraId="4BA3D795" w14:textId="77777777" w:rsidR="00A2588D" w:rsidRPr="003D733D" w:rsidRDefault="00A2588D" w:rsidP="00821E4D">
      <w:pPr>
        <w:pStyle w:val="ListParagraph"/>
        <w:numPr>
          <w:ilvl w:val="0"/>
          <w:numId w:val="44"/>
        </w:numPr>
      </w:pPr>
      <w:r w:rsidRPr="00631159">
        <w:rPr>
          <w:rFonts w:cs="Sylfaen"/>
        </w:rPr>
        <w:t>პოლიეთილენის</w:t>
      </w:r>
      <w:r w:rsidRPr="003D733D">
        <w:t xml:space="preserve"> </w:t>
      </w:r>
      <w:r w:rsidRPr="00631159">
        <w:rPr>
          <w:rFonts w:cs="Sylfaen"/>
        </w:rPr>
        <w:t>ლენტა</w:t>
      </w:r>
      <w:r w:rsidRPr="003D733D">
        <w:t xml:space="preserve"> </w:t>
      </w:r>
    </w:p>
    <w:p w14:paraId="70A493AC" w14:textId="77777777" w:rsidR="00A2588D" w:rsidRPr="00631159" w:rsidRDefault="00A2588D" w:rsidP="00A2588D">
      <w:pPr>
        <w:rPr>
          <w:b/>
          <w:i/>
        </w:rPr>
      </w:pPr>
      <w:bookmarkStart w:id="675" w:name="_Toc314150170"/>
      <w:bookmarkStart w:id="676" w:name="_Toc326839333"/>
      <w:bookmarkStart w:id="677" w:name="_Toc337205856"/>
      <w:bookmarkStart w:id="678" w:name="_Toc407201864"/>
      <w:bookmarkStart w:id="679" w:name="_Toc416769159"/>
      <w:r w:rsidRPr="00631159">
        <w:rPr>
          <w:b/>
          <w:i/>
        </w:rPr>
        <w:t xml:space="preserve"> </w:t>
      </w:r>
      <w:bookmarkStart w:id="680" w:name="_Toc479166601"/>
      <w:bookmarkStart w:id="681" w:name="_Toc479164886"/>
      <w:r w:rsidRPr="00631159">
        <w:rPr>
          <w:rFonts w:ascii="Sylfaen" w:hAnsi="Sylfaen" w:cs="Sylfaen"/>
          <w:b/>
          <w:i/>
        </w:rPr>
        <w:t>საჭირო</w:t>
      </w:r>
      <w:r w:rsidRPr="00631159">
        <w:rPr>
          <w:b/>
          <w:i/>
        </w:rPr>
        <w:t xml:space="preserve"> </w:t>
      </w:r>
      <w:r w:rsidRPr="00631159">
        <w:rPr>
          <w:rFonts w:ascii="Sylfaen" w:hAnsi="Sylfaen" w:cs="Sylfaen"/>
          <w:b/>
          <w:i/>
        </w:rPr>
        <w:t>კვალიფიკაცია</w:t>
      </w:r>
      <w:r w:rsidRPr="00631159">
        <w:rPr>
          <w:b/>
          <w:i/>
        </w:rPr>
        <w:t xml:space="preserve"> </w:t>
      </w:r>
      <w:r w:rsidRPr="00631159">
        <w:rPr>
          <w:rFonts w:ascii="Sylfaen" w:hAnsi="Sylfaen" w:cs="Sylfaen"/>
          <w:b/>
          <w:i/>
        </w:rPr>
        <w:t>და</w:t>
      </w:r>
      <w:r w:rsidRPr="00631159">
        <w:rPr>
          <w:b/>
          <w:i/>
        </w:rPr>
        <w:t xml:space="preserve"> </w:t>
      </w:r>
      <w:r w:rsidRPr="00631159">
        <w:rPr>
          <w:rFonts w:ascii="Sylfaen" w:hAnsi="Sylfaen" w:cs="Sylfaen"/>
          <w:b/>
          <w:i/>
        </w:rPr>
        <w:t>პერსონალის</w:t>
      </w:r>
      <w:r w:rsidRPr="00631159">
        <w:rPr>
          <w:b/>
          <w:i/>
        </w:rPr>
        <w:t xml:space="preserve"> </w:t>
      </w:r>
      <w:r w:rsidRPr="00631159">
        <w:rPr>
          <w:rFonts w:ascii="Sylfaen" w:hAnsi="Sylfaen" w:cs="Sylfaen"/>
          <w:b/>
          <w:i/>
        </w:rPr>
        <w:t>სწავლება</w:t>
      </w:r>
      <w:bookmarkEnd w:id="675"/>
      <w:bookmarkEnd w:id="676"/>
      <w:bookmarkEnd w:id="677"/>
      <w:bookmarkEnd w:id="678"/>
      <w:bookmarkEnd w:id="679"/>
      <w:bookmarkEnd w:id="680"/>
      <w:bookmarkEnd w:id="681"/>
    </w:p>
    <w:p w14:paraId="74C20F0A" w14:textId="77777777" w:rsidR="00A2588D" w:rsidRPr="003D733D" w:rsidRDefault="00A2588D" w:rsidP="00A2588D">
      <w:pPr>
        <w:rPr>
          <w:lang w:val="ka-GE"/>
        </w:rPr>
      </w:pPr>
      <w:r w:rsidRPr="003D733D">
        <w:rPr>
          <w:rFonts w:ascii="Sylfaen" w:hAnsi="Sylfaen" w:cs="Sylfaen"/>
        </w:rPr>
        <w:t>პერიოდულად</w:t>
      </w:r>
      <w:r w:rsidRPr="003D733D">
        <w:t xml:space="preserve"> </w:t>
      </w:r>
      <w:r w:rsidRPr="003D733D">
        <w:rPr>
          <w:rFonts w:ascii="Sylfaen" w:hAnsi="Sylfaen" w:cs="Sylfaen"/>
        </w:rPr>
        <w:t>უნდა</w:t>
      </w:r>
      <w:r w:rsidRPr="003D733D">
        <w:t xml:space="preserve"> </w:t>
      </w:r>
      <w:r w:rsidRPr="003D733D">
        <w:rPr>
          <w:rFonts w:ascii="Sylfaen" w:hAnsi="Sylfaen" w:cs="Sylfaen"/>
        </w:rPr>
        <w:t>შესრულდეს</w:t>
      </w:r>
      <w:r w:rsidRPr="003D733D">
        <w:t xml:space="preserve"> </w:t>
      </w:r>
      <w:r w:rsidRPr="003D733D">
        <w:rPr>
          <w:rFonts w:ascii="Sylfaen" w:hAnsi="Sylfaen" w:cs="Sylfaen"/>
        </w:rPr>
        <w:t>ავარიაზე</w:t>
      </w:r>
      <w:r w:rsidRPr="003D733D">
        <w:t xml:space="preserve"> </w:t>
      </w:r>
      <w:r w:rsidRPr="003D733D">
        <w:rPr>
          <w:rFonts w:ascii="Sylfaen" w:hAnsi="Sylfaen" w:cs="Sylfaen"/>
        </w:rPr>
        <w:t>რეაგირების</w:t>
      </w:r>
      <w:r w:rsidRPr="003D733D">
        <w:t xml:space="preserve"> </w:t>
      </w:r>
      <w:r w:rsidRPr="003D733D">
        <w:rPr>
          <w:rFonts w:ascii="Sylfaen" w:hAnsi="Sylfaen" w:cs="Sylfaen"/>
        </w:rPr>
        <w:t>თითოეული</w:t>
      </w:r>
      <w:r w:rsidRPr="003D733D">
        <w:t xml:space="preserve"> </w:t>
      </w:r>
      <w:r w:rsidRPr="003D733D">
        <w:rPr>
          <w:rFonts w:ascii="Sylfaen" w:hAnsi="Sylfaen" w:cs="Sylfaen"/>
        </w:rPr>
        <w:t>სისტემის</w:t>
      </w:r>
      <w:r w:rsidRPr="003D733D">
        <w:t xml:space="preserve"> </w:t>
      </w:r>
      <w:r w:rsidRPr="003D733D">
        <w:rPr>
          <w:rFonts w:ascii="Sylfaen" w:hAnsi="Sylfaen" w:cs="Sylfaen"/>
        </w:rPr>
        <w:t>გამოცდა</w:t>
      </w:r>
      <w:r w:rsidRPr="003D733D">
        <w:t xml:space="preserve">, </w:t>
      </w:r>
      <w:r w:rsidRPr="003D733D">
        <w:rPr>
          <w:rFonts w:ascii="Sylfaen" w:hAnsi="Sylfaen" w:cs="Sylfaen"/>
        </w:rPr>
        <w:t>დაფიქსირდეს</w:t>
      </w:r>
      <w:r w:rsidRPr="003D733D">
        <w:t xml:space="preserve"> </w:t>
      </w:r>
      <w:r w:rsidRPr="003D733D">
        <w:rPr>
          <w:rFonts w:ascii="Sylfaen" w:hAnsi="Sylfaen" w:cs="Sylfaen"/>
        </w:rPr>
        <w:t>მიღებული</w:t>
      </w:r>
      <w:r w:rsidRPr="003D733D">
        <w:t xml:space="preserve"> </w:t>
      </w:r>
      <w:r w:rsidRPr="003D733D">
        <w:rPr>
          <w:rFonts w:ascii="Sylfaen" w:hAnsi="Sylfaen" w:cs="Sylfaen"/>
        </w:rPr>
        <w:t>გამოცდილება</w:t>
      </w:r>
      <w:r w:rsidRPr="003D733D">
        <w:t xml:space="preserve"> </w:t>
      </w:r>
      <w:r w:rsidRPr="003D733D">
        <w:rPr>
          <w:rFonts w:ascii="Sylfaen" w:hAnsi="Sylfaen" w:cs="Sylfaen"/>
        </w:rPr>
        <w:t>და</w:t>
      </w:r>
      <w:r w:rsidRPr="003D733D">
        <w:t xml:space="preserve"> </w:t>
      </w:r>
      <w:r w:rsidRPr="003D733D">
        <w:rPr>
          <w:rFonts w:ascii="Sylfaen" w:hAnsi="Sylfaen" w:cs="Sylfaen"/>
        </w:rPr>
        <w:t>გამოსწორდეს</w:t>
      </w:r>
      <w:r w:rsidRPr="003D733D">
        <w:t xml:space="preserve"> </w:t>
      </w:r>
      <w:r w:rsidRPr="003D733D">
        <w:rPr>
          <w:rFonts w:ascii="Sylfaen" w:hAnsi="Sylfaen" w:cs="Sylfaen"/>
        </w:rPr>
        <w:t>სუსტი</w:t>
      </w:r>
      <w:r w:rsidRPr="003D733D">
        <w:t xml:space="preserve"> </w:t>
      </w:r>
      <w:r w:rsidRPr="003D733D">
        <w:rPr>
          <w:rFonts w:ascii="Sylfaen" w:hAnsi="Sylfaen" w:cs="Sylfaen"/>
        </w:rPr>
        <w:t>რგოლები</w:t>
      </w:r>
      <w:r w:rsidRPr="003D733D">
        <w:t xml:space="preserve"> (</w:t>
      </w:r>
      <w:r w:rsidRPr="003D733D">
        <w:rPr>
          <w:rFonts w:ascii="Sylfaen" w:hAnsi="Sylfaen" w:cs="Sylfaen"/>
        </w:rPr>
        <w:t>იგივე</w:t>
      </w:r>
      <w:r w:rsidRPr="003D733D">
        <w:t xml:space="preserve"> </w:t>
      </w:r>
      <w:r w:rsidRPr="003D733D">
        <w:rPr>
          <w:rFonts w:ascii="Sylfaen" w:hAnsi="Sylfaen" w:cs="Sylfaen"/>
        </w:rPr>
        <w:t>უნდა</w:t>
      </w:r>
      <w:r w:rsidRPr="003D733D">
        <w:t xml:space="preserve"> </w:t>
      </w:r>
      <w:r w:rsidRPr="003D733D">
        <w:rPr>
          <w:rFonts w:ascii="Sylfaen" w:hAnsi="Sylfaen" w:cs="Sylfaen"/>
        </w:rPr>
        <w:t>შესრულდეს</w:t>
      </w:r>
      <w:r w:rsidRPr="003D733D">
        <w:t xml:space="preserve"> </w:t>
      </w:r>
      <w:r w:rsidRPr="003D733D">
        <w:rPr>
          <w:rFonts w:ascii="Sylfaen" w:hAnsi="Sylfaen" w:cs="Sylfaen"/>
        </w:rPr>
        <w:t>ინციდენტის</w:t>
      </w:r>
      <w:r w:rsidRPr="003D733D">
        <w:t xml:space="preserve"> </w:t>
      </w:r>
      <w:r w:rsidRPr="003D733D">
        <w:rPr>
          <w:rFonts w:ascii="Sylfaen" w:hAnsi="Sylfaen" w:cs="Sylfaen"/>
        </w:rPr>
        <w:t>რეალიზაციის</w:t>
      </w:r>
      <w:r w:rsidRPr="003D733D">
        <w:t xml:space="preserve"> </w:t>
      </w:r>
      <w:r w:rsidRPr="003D733D">
        <w:rPr>
          <w:rFonts w:ascii="Sylfaen" w:hAnsi="Sylfaen" w:cs="Sylfaen"/>
        </w:rPr>
        <w:t>შემთხვევაშიც</w:t>
      </w:r>
      <w:r w:rsidRPr="003D733D">
        <w:t xml:space="preserve">). </w:t>
      </w:r>
    </w:p>
    <w:p w14:paraId="53C7DFA7" w14:textId="77777777" w:rsidR="00A2588D" w:rsidRPr="003D733D" w:rsidRDefault="00A2588D" w:rsidP="00A2588D">
      <w:r w:rsidRPr="003D733D">
        <w:rPr>
          <w:rFonts w:ascii="Sylfaen" w:hAnsi="Sylfaen" w:cs="Sylfaen"/>
        </w:rPr>
        <w:lastRenderedPageBreak/>
        <w:t>პროექტის</w:t>
      </w:r>
      <w:r w:rsidRPr="003D733D">
        <w:t xml:space="preserve"> </w:t>
      </w:r>
      <w:r w:rsidRPr="003D733D">
        <w:rPr>
          <w:rFonts w:ascii="Sylfaen" w:hAnsi="Sylfaen" w:cs="Sylfaen"/>
        </w:rPr>
        <w:t>მთელ</w:t>
      </w:r>
      <w:r w:rsidRPr="003D733D">
        <w:t xml:space="preserve"> </w:t>
      </w:r>
      <w:r w:rsidRPr="003D733D">
        <w:rPr>
          <w:rFonts w:ascii="Sylfaen" w:hAnsi="Sylfaen" w:cs="Sylfaen"/>
        </w:rPr>
        <w:t>შტატს</w:t>
      </w:r>
      <w:r w:rsidRPr="003D733D">
        <w:t xml:space="preserve"> </w:t>
      </w:r>
      <w:r w:rsidRPr="003D733D">
        <w:rPr>
          <w:rFonts w:ascii="Sylfaen" w:hAnsi="Sylfaen" w:cs="Sylfaen"/>
        </w:rPr>
        <w:t>უნდა</w:t>
      </w:r>
      <w:r w:rsidRPr="003D733D">
        <w:t xml:space="preserve"> </w:t>
      </w:r>
      <w:r w:rsidRPr="003D733D">
        <w:rPr>
          <w:rFonts w:ascii="Sylfaen" w:hAnsi="Sylfaen" w:cs="Sylfaen"/>
        </w:rPr>
        <w:t>ჩაუტარდეს</w:t>
      </w:r>
      <w:r w:rsidRPr="003D733D">
        <w:t xml:space="preserve"> </w:t>
      </w:r>
      <w:r w:rsidRPr="003D733D">
        <w:rPr>
          <w:rFonts w:ascii="Sylfaen" w:hAnsi="Sylfaen" w:cs="Sylfaen"/>
        </w:rPr>
        <w:t>გაცნობითი</w:t>
      </w:r>
      <w:r w:rsidRPr="003D733D">
        <w:t xml:space="preserve"> </w:t>
      </w:r>
      <w:r w:rsidRPr="003D733D">
        <w:rPr>
          <w:rFonts w:ascii="Sylfaen" w:hAnsi="Sylfaen" w:cs="Sylfaen"/>
        </w:rPr>
        <w:t>ტრენინგი</w:t>
      </w:r>
      <w:r w:rsidRPr="003D733D">
        <w:t xml:space="preserve">. </w:t>
      </w:r>
      <w:r w:rsidRPr="003D733D">
        <w:rPr>
          <w:rFonts w:ascii="Sylfaen" w:hAnsi="Sylfaen" w:cs="Sylfaen"/>
        </w:rPr>
        <w:t>ჩატარებულ</w:t>
      </w:r>
      <w:r w:rsidRPr="003D733D">
        <w:t xml:space="preserve"> </w:t>
      </w:r>
      <w:r w:rsidRPr="003D733D">
        <w:rPr>
          <w:rFonts w:ascii="Sylfaen" w:hAnsi="Sylfaen" w:cs="Sylfaen"/>
        </w:rPr>
        <w:t>სწავლებებზე</w:t>
      </w:r>
      <w:r w:rsidRPr="003D733D">
        <w:t xml:space="preserve"> </w:t>
      </w:r>
      <w:r w:rsidRPr="003D733D">
        <w:rPr>
          <w:rFonts w:ascii="Sylfaen" w:hAnsi="Sylfaen" w:cs="Sylfaen"/>
        </w:rPr>
        <w:t>უნდა</w:t>
      </w:r>
      <w:r w:rsidRPr="003D733D">
        <w:t xml:space="preserve"> </w:t>
      </w:r>
      <w:r w:rsidRPr="003D733D">
        <w:rPr>
          <w:rFonts w:ascii="Sylfaen" w:hAnsi="Sylfaen" w:cs="Sylfaen"/>
        </w:rPr>
        <w:t>არსებობდეს</w:t>
      </w:r>
      <w:r w:rsidRPr="003D733D">
        <w:t xml:space="preserve"> </w:t>
      </w:r>
      <w:r w:rsidRPr="003D733D">
        <w:rPr>
          <w:rFonts w:ascii="Sylfaen" w:hAnsi="Sylfaen" w:cs="Sylfaen"/>
        </w:rPr>
        <w:t>პერსონალის</w:t>
      </w:r>
      <w:r w:rsidRPr="003D733D">
        <w:t xml:space="preserve"> </w:t>
      </w:r>
      <w:r w:rsidRPr="003D733D">
        <w:rPr>
          <w:rFonts w:ascii="Sylfaen" w:hAnsi="Sylfaen" w:cs="Sylfaen"/>
        </w:rPr>
        <w:t>გადამზადების</w:t>
      </w:r>
      <w:r w:rsidRPr="003D733D">
        <w:t xml:space="preserve"> </w:t>
      </w:r>
      <w:r w:rsidRPr="003D733D">
        <w:rPr>
          <w:rFonts w:ascii="Sylfaen" w:hAnsi="Sylfaen" w:cs="Sylfaen"/>
        </w:rPr>
        <w:t>რეგისტრაციის</w:t>
      </w:r>
      <w:r w:rsidRPr="003D733D">
        <w:t xml:space="preserve"> </w:t>
      </w:r>
      <w:r w:rsidRPr="003D733D">
        <w:rPr>
          <w:rFonts w:ascii="Sylfaen" w:hAnsi="Sylfaen" w:cs="Sylfaen"/>
        </w:rPr>
        <w:t>სისტემა</w:t>
      </w:r>
      <w:r w:rsidRPr="003D733D">
        <w:t xml:space="preserve">, </w:t>
      </w:r>
      <w:r w:rsidRPr="003D733D">
        <w:rPr>
          <w:rFonts w:ascii="Sylfaen" w:hAnsi="Sylfaen" w:cs="Sylfaen"/>
        </w:rPr>
        <w:t>რომლის</w:t>
      </w:r>
      <w:r w:rsidRPr="003D733D">
        <w:t xml:space="preserve"> </w:t>
      </w:r>
      <w:r w:rsidRPr="003D733D">
        <w:rPr>
          <w:rFonts w:ascii="Sylfaen" w:hAnsi="Sylfaen" w:cs="Sylfaen"/>
        </w:rPr>
        <w:t>დოკუმენტაციაც</w:t>
      </w:r>
      <w:r w:rsidRPr="003D733D">
        <w:t xml:space="preserve"> </w:t>
      </w:r>
      <w:r w:rsidRPr="003D733D">
        <w:rPr>
          <w:rFonts w:ascii="Sylfaen" w:hAnsi="Sylfaen" w:cs="Sylfaen"/>
        </w:rPr>
        <w:t>უნდა</w:t>
      </w:r>
      <w:r w:rsidRPr="003D733D">
        <w:t xml:space="preserve"> </w:t>
      </w:r>
      <w:r w:rsidRPr="003D733D">
        <w:rPr>
          <w:rFonts w:ascii="Sylfaen" w:hAnsi="Sylfaen" w:cs="Sylfaen"/>
        </w:rPr>
        <w:t>ინახებოდეს</w:t>
      </w:r>
      <w:r w:rsidRPr="003D733D">
        <w:t xml:space="preserve"> </w:t>
      </w:r>
      <w:r w:rsidRPr="003D733D">
        <w:rPr>
          <w:rFonts w:ascii="Sylfaen" w:hAnsi="Sylfaen" w:cs="Sylfaen"/>
        </w:rPr>
        <w:t>კომპანიის</w:t>
      </w:r>
      <w:r w:rsidRPr="003D733D">
        <w:t xml:space="preserve"> </w:t>
      </w:r>
      <w:r w:rsidRPr="003D733D">
        <w:rPr>
          <w:rFonts w:ascii="Sylfaen" w:hAnsi="Sylfaen" w:cs="Sylfaen"/>
        </w:rPr>
        <w:t>ან</w:t>
      </w:r>
      <w:r w:rsidRPr="003D733D">
        <w:t xml:space="preserve"> </w:t>
      </w:r>
      <w:r w:rsidRPr="003D733D">
        <w:rPr>
          <w:rFonts w:ascii="Sylfaen" w:hAnsi="Sylfaen" w:cs="Sylfaen"/>
        </w:rPr>
        <w:t>კონტრაქტორების</w:t>
      </w:r>
      <w:r w:rsidRPr="003D733D">
        <w:t xml:space="preserve"> </w:t>
      </w:r>
      <w:r w:rsidRPr="003D733D">
        <w:rPr>
          <w:rFonts w:ascii="Sylfaen" w:hAnsi="Sylfaen" w:cs="Sylfaen"/>
        </w:rPr>
        <w:t>ოფისებში</w:t>
      </w:r>
      <w:r w:rsidRPr="003D733D">
        <w:t xml:space="preserve">. </w:t>
      </w:r>
    </w:p>
    <w:p w14:paraId="35DBEE99" w14:textId="77777777" w:rsidR="00A2588D" w:rsidRPr="003D733D" w:rsidRDefault="00A2588D" w:rsidP="00A2588D"/>
    <w:p w14:paraId="515D30C2" w14:textId="77777777" w:rsidR="00A2588D" w:rsidRPr="003D733D" w:rsidRDefault="00A2588D" w:rsidP="00A2588D"/>
    <w:p w14:paraId="7F245FC2" w14:textId="77777777" w:rsidR="00A2588D" w:rsidRPr="003D733D" w:rsidRDefault="00A2588D" w:rsidP="00A2588D"/>
    <w:p w14:paraId="317A9B26" w14:textId="77777777" w:rsidR="00A2588D" w:rsidRPr="003D733D" w:rsidRDefault="00A2588D" w:rsidP="00A2588D"/>
    <w:p w14:paraId="479EDC71" w14:textId="77777777" w:rsidR="00A2588D" w:rsidRPr="003D733D" w:rsidRDefault="00A2588D" w:rsidP="00A2588D"/>
    <w:p w14:paraId="347BBA83" w14:textId="77777777" w:rsidR="00A2588D" w:rsidRPr="003D733D" w:rsidRDefault="00A2588D" w:rsidP="00A2588D"/>
    <w:p w14:paraId="09AEF6CE" w14:textId="77777777" w:rsidR="00A2588D" w:rsidRPr="003D733D" w:rsidRDefault="00A2588D" w:rsidP="00A2588D"/>
    <w:p w14:paraId="183EEDB1" w14:textId="77777777" w:rsidR="00A2588D" w:rsidRPr="003D733D" w:rsidRDefault="00A2588D" w:rsidP="00A2588D"/>
    <w:p w14:paraId="41316343" w14:textId="77777777" w:rsidR="00A2588D" w:rsidRDefault="00A2588D" w:rsidP="00A2588D"/>
    <w:p w14:paraId="1EB9D184" w14:textId="77777777" w:rsidR="00A2588D" w:rsidRDefault="00A2588D" w:rsidP="00A2588D"/>
    <w:p w14:paraId="59A77611" w14:textId="77777777" w:rsidR="00A2588D" w:rsidRDefault="00A2588D" w:rsidP="00A2588D"/>
    <w:p w14:paraId="08693E19" w14:textId="77777777" w:rsidR="00A2588D" w:rsidRDefault="00A2588D" w:rsidP="00A2588D"/>
    <w:p w14:paraId="48800957" w14:textId="77777777" w:rsidR="00A2588D" w:rsidRDefault="00A2588D" w:rsidP="00A2588D"/>
    <w:p w14:paraId="72F33AA6" w14:textId="77777777" w:rsidR="00A2588D" w:rsidRDefault="00A2588D" w:rsidP="00A2588D"/>
    <w:p w14:paraId="781DEFA8" w14:textId="77777777" w:rsidR="00A2588D" w:rsidRDefault="00A2588D" w:rsidP="00A2588D"/>
    <w:p w14:paraId="2F7FFBE4" w14:textId="77777777" w:rsidR="00A2588D" w:rsidRDefault="00A2588D" w:rsidP="00A2588D"/>
    <w:p w14:paraId="5BEF170B" w14:textId="77777777" w:rsidR="00A2588D" w:rsidRDefault="00A2588D" w:rsidP="00A2588D"/>
    <w:p w14:paraId="7E53EA31" w14:textId="77777777" w:rsidR="00A2588D" w:rsidRDefault="00A2588D" w:rsidP="00A2588D"/>
    <w:p w14:paraId="744C5AE6" w14:textId="77777777" w:rsidR="00A2588D" w:rsidRDefault="00A2588D" w:rsidP="00A2588D"/>
    <w:p w14:paraId="3048288F" w14:textId="77777777" w:rsidR="00A2588D" w:rsidRDefault="00A2588D" w:rsidP="00A2588D"/>
    <w:p w14:paraId="5B48CB4B" w14:textId="77777777" w:rsidR="00A2588D" w:rsidRDefault="00A2588D" w:rsidP="00A2588D"/>
    <w:p w14:paraId="12ABD1D1" w14:textId="77777777" w:rsidR="00A2588D" w:rsidRDefault="00A2588D" w:rsidP="00A2588D"/>
    <w:p w14:paraId="649D0309" w14:textId="77777777" w:rsidR="00A2588D" w:rsidRDefault="00A2588D" w:rsidP="00A2588D"/>
    <w:p w14:paraId="768A4E60" w14:textId="77777777" w:rsidR="00A2588D" w:rsidRDefault="00A2588D" w:rsidP="00A2588D"/>
    <w:p w14:paraId="32EDBE79" w14:textId="77777777" w:rsidR="00A2588D" w:rsidRDefault="00A2588D" w:rsidP="00A2588D"/>
    <w:p w14:paraId="65B0FCB3" w14:textId="77777777" w:rsidR="00A2588D" w:rsidRDefault="00A2588D" w:rsidP="00A2588D"/>
    <w:p w14:paraId="51DB4993" w14:textId="77777777" w:rsidR="00A2588D" w:rsidRDefault="00A2588D" w:rsidP="00A2588D"/>
    <w:p w14:paraId="64A2717B" w14:textId="77777777" w:rsidR="00A2588D" w:rsidRDefault="00A2588D" w:rsidP="00A2588D"/>
    <w:p w14:paraId="46E856CC" w14:textId="77777777" w:rsidR="00A2588D" w:rsidRDefault="00A2588D" w:rsidP="00A2588D"/>
    <w:p w14:paraId="5A56A527" w14:textId="77777777" w:rsidR="00A2588D" w:rsidRDefault="00A2588D" w:rsidP="00A2588D"/>
    <w:p w14:paraId="490AA93A" w14:textId="77777777" w:rsidR="00A2588D" w:rsidRDefault="00A2588D" w:rsidP="00A2588D"/>
    <w:p w14:paraId="390AEAAA" w14:textId="77777777" w:rsidR="00A2588D" w:rsidRDefault="00A2588D" w:rsidP="00A2588D"/>
    <w:p w14:paraId="72D9585E" w14:textId="77777777" w:rsidR="00A2588D" w:rsidRDefault="00A2588D" w:rsidP="00A2588D"/>
    <w:p w14:paraId="171FFB79" w14:textId="77777777" w:rsidR="00A2588D" w:rsidRDefault="00A2588D" w:rsidP="00A2588D"/>
    <w:p w14:paraId="40FF0508" w14:textId="77777777" w:rsidR="00A2588D" w:rsidRDefault="00A2588D" w:rsidP="00A2588D"/>
    <w:p w14:paraId="1270E6F7" w14:textId="77777777" w:rsidR="00A2588D" w:rsidRDefault="00A2588D" w:rsidP="00A2588D"/>
    <w:p w14:paraId="10594A28" w14:textId="77777777" w:rsidR="00A2588D" w:rsidRDefault="00A2588D" w:rsidP="00A2588D"/>
    <w:p w14:paraId="4C7E8B64" w14:textId="77777777" w:rsidR="00A2588D" w:rsidRDefault="00A2588D" w:rsidP="00A2588D"/>
    <w:p w14:paraId="2DB65146" w14:textId="77777777" w:rsidR="00A2588D" w:rsidRDefault="00A2588D" w:rsidP="00A2588D"/>
    <w:p w14:paraId="4658AB05" w14:textId="77777777" w:rsidR="00A2588D" w:rsidRDefault="00A2588D" w:rsidP="00A2588D"/>
    <w:p w14:paraId="52A5A852" w14:textId="77777777" w:rsidR="00A2588D" w:rsidRPr="003D733D" w:rsidRDefault="00A2588D" w:rsidP="00A2588D"/>
    <w:p w14:paraId="383732E6" w14:textId="77777777" w:rsidR="00A2588D" w:rsidRPr="003D733D" w:rsidRDefault="00A2588D" w:rsidP="00A2588D"/>
    <w:p w14:paraId="38A8649E" w14:textId="77777777" w:rsidR="00A2588D" w:rsidRPr="003D733D" w:rsidRDefault="00A2588D" w:rsidP="00A2588D"/>
    <w:p w14:paraId="2F28CAAE" w14:textId="77777777" w:rsidR="00A2588D" w:rsidRPr="003D733D" w:rsidRDefault="00A2588D" w:rsidP="00A2588D">
      <w:pPr>
        <w:pStyle w:val="EIAH1"/>
        <w:numPr>
          <w:ilvl w:val="0"/>
          <w:numId w:val="0"/>
        </w:numPr>
        <w:ind w:left="720"/>
      </w:pPr>
      <w:bookmarkStart w:id="682" w:name="_Toc1581601"/>
      <w:r w:rsidRPr="003D733D">
        <w:lastRenderedPageBreak/>
        <w:t>დანართი 4 პროექტის ადგილმდებარეობა</w:t>
      </w:r>
      <w:bookmarkEnd w:id="682"/>
    </w:p>
    <w:p w14:paraId="4AF4416A" w14:textId="1339E8A7" w:rsidR="00A2588D" w:rsidRPr="004D56CC" w:rsidRDefault="00BD038A" w:rsidP="00A2588D">
      <w:bookmarkStart w:id="683" w:name="_GoBack"/>
      <w:r w:rsidRPr="00BD038A">
        <w:rPr>
          <w:noProof/>
          <w:lang w:val="en-US" w:eastAsia="en-US"/>
        </w:rPr>
        <w:drawing>
          <wp:inline distT="0" distB="0" distL="0" distR="0" wp14:anchorId="567CD75B" wp14:editId="03CED82F">
            <wp:extent cx="6177280" cy="7581014"/>
            <wp:effectExtent l="0" t="0" r="0" b="1270"/>
            <wp:docPr id="493" name="Picture 493" descr="\\n-mtsuravishvili\Work Folder\GAREMOS DACVA\Maiko\tel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n-mtsuravishvili\Work Folder\GAREMOS DACVA\Maiko\telavi.JPG"/>
                    <pic:cNvPicPr>
                      <a:picLocks noChangeAspect="1" noChangeArrowheads="1"/>
                    </pic:cNvPicPr>
                  </pic:nvPicPr>
                  <pic:blipFill rotWithShape="1">
                    <a:blip r:embed="rId205">
                      <a:extLst>
                        <a:ext uri="{28A0092B-C50C-407E-A947-70E740481C1C}">
                          <a14:useLocalDpi xmlns:a14="http://schemas.microsoft.com/office/drawing/2010/main" val="0"/>
                        </a:ext>
                      </a:extLst>
                    </a:blip>
                    <a:srcRect l="16303" t="8214" r="10830" b="7870"/>
                    <a:stretch/>
                  </pic:blipFill>
                  <pic:spPr bwMode="auto">
                    <a:xfrm>
                      <a:off x="0" y="0"/>
                      <a:ext cx="6188127" cy="7594326"/>
                    </a:xfrm>
                    <a:prstGeom prst="rect">
                      <a:avLst/>
                    </a:prstGeom>
                    <a:noFill/>
                    <a:ln>
                      <a:noFill/>
                    </a:ln>
                    <a:extLst>
                      <a:ext uri="{53640926-AAD7-44D8-BBD7-CCE9431645EC}">
                        <a14:shadowObscured xmlns:a14="http://schemas.microsoft.com/office/drawing/2010/main"/>
                      </a:ext>
                    </a:extLst>
                  </pic:spPr>
                </pic:pic>
              </a:graphicData>
            </a:graphic>
          </wp:inline>
        </w:drawing>
      </w:r>
      <w:bookmarkEnd w:id="683"/>
    </w:p>
    <w:p w14:paraId="177E4EEF" w14:textId="77777777" w:rsidR="00A2588D" w:rsidRDefault="00A2588D" w:rsidP="00A2588D">
      <w:pPr>
        <w:jc w:val="right"/>
      </w:pPr>
    </w:p>
    <w:p w14:paraId="63A6EEFA" w14:textId="77777777" w:rsidR="00A2588D" w:rsidRDefault="00A2588D" w:rsidP="00A2588D">
      <w:pPr>
        <w:jc w:val="right"/>
      </w:pPr>
    </w:p>
    <w:p w14:paraId="162AE9F4" w14:textId="77777777" w:rsidR="00A2588D" w:rsidRDefault="00A2588D" w:rsidP="00A2588D">
      <w:pPr>
        <w:jc w:val="right"/>
      </w:pPr>
    </w:p>
    <w:p w14:paraId="075DF628" w14:textId="77777777" w:rsidR="00A2588D" w:rsidRDefault="00A2588D" w:rsidP="00A2588D">
      <w:pPr>
        <w:jc w:val="right"/>
      </w:pPr>
    </w:p>
    <w:p w14:paraId="3AB91F11" w14:textId="77777777" w:rsidR="00A2588D" w:rsidRDefault="00A2588D" w:rsidP="00A2588D">
      <w:pPr>
        <w:jc w:val="right"/>
      </w:pPr>
    </w:p>
    <w:p w14:paraId="6AE9B467" w14:textId="77777777" w:rsidR="00A2588D" w:rsidRDefault="00A2588D" w:rsidP="00A2588D">
      <w:pPr>
        <w:jc w:val="right"/>
      </w:pPr>
    </w:p>
    <w:p w14:paraId="22BABC78" w14:textId="77777777" w:rsidR="00A2588D" w:rsidRDefault="00A2588D" w:rsidP="00A2588D">
      <w:pPr>
        <w:jc w:val="right"/>
      </w:pPr>
    </w:p>
    <w:p w14:paraId="70DD148B" w14:textId="77777777" w:rsidR="00A2588D" w:rsidRDefault="00A2588D" w:rsidP="00A2588D">
      <w:pPr>
        <w:jc w:val="right"/>
      </w:pPr>
    </w:p>
    <w:p w14:paraId="6C6A073D" w14:textId="77777777" w:rsidR="00A2588D" w:rsidRDefault="00A2588D" w:rsidP="00A2588D">
      <w:pPr>
        <w:jc w:val="right"/>
      </w:pPr>
    </w:p>
    <w:p w14:paraId="3AA49AFC" w14:textId="77777777" w:rsidR="00A2588D" w:rsidRDefault="00A2588D" w:rsidP="00A2588D">
      <w:pPr>
        <w:jc w:val="right"/>
      </w:pPr>
    </w:p>
    <w:p w14:paraId="57DA77B5" w14:textId="77777777" w:rsidR="00A2588D" w:rsidRDefault="00A2588D" w:rsidP="00A2588D">
      <w:pPr>
        <w:jc w:val="right"/>
      </w:pPr>
    </w:p>
    <w:p w14:paraId="11EF755D" w14:textId="77777777" w:rsidR="00A2588D" w:rsidRDefault="00A2588D" w:rsidP="00A2588D">
      <w:pPr>
        <w:pStyle w:val="EIAH1"/>
        <w:numPr>
          <w:ilvl w:val="0"/>
          <w:numId w:val="0"/>
        </w:numPr>
        <w:ind w:left="720" w:hanging="720"/>
      </w:pPr>
      <w:bookmarkStart w:id="684" w:name="_Toc1581602"/>
      <w:r>
        <w:rPr>
          <w:lang w:val="ka-GE"/>
        </w:rPr>
        <w:t xml:space="preserve">დანართი 5 </w:t>
      </w:r>
      <w:r>
        <w:rPr>
          <w:rFonts w:eastAsiaTheme="majorEastAsia" w:cs="Sylfaen"/>
          <w:szCs w:val="24"/>
          <w:lang w:val="ka-GE"/>
        </w:rPr>
        <w:t>ატმოსფერულ</w:t>
      </w:r>
      <w:r>
        <w:rPr>
          <w:rFonts w:eastAsiaTheme="majorEastAsia" w:cstheme="majorBidi"/>
          <w:szCs w:val="24"/>
          <w:lang w:val="ka-GE"/>
        </w:rPr>
        <w:t xml:space="preserve"> </w:t>
      </w:r>
      <w:r>
        <w:rPr>
          <w:rFonts w:eastAsiaTheme="majorEastAsia" w:cs="Sylfaen"/>
          <w:szCs w:val="24"/>
          <w:lang w:val="ka-GE"/>
        </w:rPr>
        <w:t>ჰაერში</w:t>
      </w:r>
      <w:r>
        <w:rPr>
          <w:rFonts w:eastAsiaTheme="majorEastAsia" w:cstheme="majorBidi"/>
          <w:szCs w:val="24"/>
          <w:lang w:val="ka-GE"/>
        </w:rPr>
        <w:t xml:space="preserve"> </w:t>
      </w:r>
      <w:r>
        <w:rPr>
          <w:rFonts w:eastAsiaTheme="majorEastAsia" w:cs="Sylfaen"/>
          <w:szCs w:val="24"/>
          <w:lang w:val="ka-GE"/>
        </w:rPr>
        <w:t>მავნე</w:t>
      </w:r>
      <w:r>
        <w:rPr>
          <w:rFonts w:eastAsiaTheme="majorEastAsia" w:cstheme="majorBidi"/>
          <w:szCs w:val="24"/>
          <w:lang w:val="ka-GE"/>
        </w:rPr>
        <w:t xml:space="preserve"> </w:t>
      </w:r>
      <w:r>
        <w:rPr>
          <w:rFonts w:eastAsiaTheme="majorEastAsia" w:cs="Sylfaen"/>
          <w:szCs w:val="24"/>
          <w:lang w:val="ka-GE"/>
        </w:rPr>
        <w:t>ნივთიერებათა</w:t>
      </w:r>
      <w:r>
        <w:rPr>
          <w:rFonts w:eastAsiaTheme="majorEastAsia" w:cstheme="majorBidi"/>
          <w:szCs w:val="24"/>
          <w:lang w:val="ka-GE"/>
        </w:rPr>
        <w:t xml:space="preserve"> </w:t>
      </w:r>
      <w:r>
        <w:rPr>
          <w:rFonts w:eastAsiaTheme="majorEastAsia" w:cs="Sylfaen"/>
          <w:szCs w:val="24"/>
          <w:lang w:val="ka-GE"/>
        </w:rPr>
        <w:t>გაბნევის</w:t>
      </w:r>
      <w:r>
        <w:rPr>
          <w:rFonts w:eastAsiaTheme="majorEastAsia" w:cstheme="majorBidi"/>
          <w:szCs w:val="24"/>
          <w:lang w:val="ka-GE"/>
        </w:rPr>
        <w:t xml:space="preserve"> </w:t>
      </w:r>
      <w:r>
        <w:rPr>
          <w:rFonts w:eastAsiaTheme="majorEastAsia" w:cs="Sylfaen"/>
          <w:szCs w:val="24"/>
          <w:lang w:val="ka-GE"/>
        </w:rPr>
        <w:t>ანგარიშ</w:t>
      </w:r>
      <w:r>
        <w:rPr>
          <w:rFonts w:eastAsiaTheme="majorEastAsia" w:cstheme="majorBidi"/>
          <w:szCs w:val="24"/>
          <w:lang w:val="ka-GE"/>
        </w:rPr>
        <w:t>ი</w:t>
      </w:r>
      <w:bookmarkEnd w:id="684"/>
    </w:p>
    <w:p w14:paraId="2A763C77" w14:textId="77777777" w:rsidR="00A2588D" w:rsidRDefault="00A2588D" w:rsidP="00A2588D">
      <w:pPr>
        <w:rPr>
          <w:lang w:val="ka-GE"/>
        </w:rPr>
      </w:pPr>
    </w:p>
    <w:p w14:paraId="14FA663E" w14:textId="77777777" w:rsidR="00A2588D" w:rsidRDefault="00A2588D" w:rsidP="00A2588D">
      <w:pPr>
        <w:widowControl w:val="0"/>
        <w:autoSpaceDE w:val="0"/>
        <w:autoSpaceDN w:val="0"/>
        <w:adjustRightInd w:val="0"/>
        <w:jc w:val="center"/>
        <w:rPr>
          <w:rFonts w:ascii="Sylfaen" w:hAnsi="Sylfaen" w:cs="Arial"/>
          <w:b/>
          <w:bCs/>
          <w:sz w:val="28"/>
          <w:szCs w:val="28"/>
          <w:lang w:val="ka-GE" w:eastAsia="en-US"/>
        </w:rPr>
      </w:pPr>
      <w:r>
        <w:rPr>
          <w:rFonts w:ascii="Sylfaen" w:hAnsi="Sylfaen"/>
          <w:b/>
          <w:bCs/>
          <w:sz w:val="28"/>
          <w:szCs w:val="28"/>
          <w:lang w:val="ka-GE"/>
        </w:rPr>
        <w:t>УПРЗА</w:t>
      </w:r>
      <w:r>
        <w:rPr>
          <w:rFonts w:ascii="Sylfaen" w:hAnsi="Sylfaen" w:cs="Arial"/>
          <w:b/>
          <w:bCs/>
          <w:sz w:val="28"/>
          <w:szCs w:val="28"/>
          <w:lang w:val="ka-GE"/>
        </w:rPr>
        <w:t xml:space="preserve"> </w:t>
      </w:r>
      <w:r>
        <w:rPr>
          <w:rFonts w:ascii="Sylfaen" w:hAnsi="Sylfaen"/>
          <w:b/>
          <w:bCs/>
          <w:sz w:val="28"/>
          <w:szCs w:val="28"/>
          <w:lang w:val="ka-GE"/>
        </w:rPr>
        <w:t>ЭКОЛОГ</w:t>
      </w:r>
      <w:r>
        <w:rPr>
          <w:rFonts w:ascii="Sylfaen" w:hAnsi="Sylfaen" w:cs="Arial"/>
          <w:b/>
          <w:bCs/>
          <w:sz w:val="28"/>
          <w:szCs w:val="28"/>
          <w:lang w:val="ka-GE"/>
        </w:rPr>
        <w:t xml:space="preserve">, </w:t>
      </w:r>
      <w:r>
        <w:rPr>
          <w:rFonts w:ascii="Sylfaen" w:hAnsi="Sylfaen"/>
          <w:b/>
          <w:bCs/>
          <w:sz w:val="28"/>
          <w:szCs w:val="28"/>
          <w:lang w:val="ka-GE"/>
        </w:rPr>
        <w:t>версия</w:t>
      </w:r>
      <w:r>
        <w:rPr>
          <w:rFonts w:ascii="Sylfaen" w:hAnsi="Sylfaen" w:cs="Arial"/>
          <w:b/>
          <w:bCs/>
          <w:sz w:val="28"/>
          <w:szCs w:val="28"/>
          <w:lang w:val="ka-GE"/>
        </w:rPr>
        <w:t xml:space="preserve"> </w:t>
      </w:r>
      <w:r>
        <w:rPr>
          <w:rFonts w:ascii="Sylfaen" w:hAnsi="Sylfaen"/>
          <w:b/>
          <w:bCs/>
          <w:sz w:val="28"/>
          <w:szCs w:val="28"/>
          <w:lang w:val="ka-GE"/>
        </w:rPr>
        <w:t>3</w:t>
      </w:r>
      <w:r>
        <w:rPr>
          <w:rFonts w:ascii="Sylfaen" w:hAnsi="Sylfaen" w:cs="Arial"/>
          <w:b/>
          <w:bCs/>
          <w:sz w:val="28"/>
          <w:szCs w:val="28"/>
          <w:lang w:val="ka-GE"/>
        </w:rPr>
        <w:t>.</w:t>
      </w:r>
      <w:r>
        <w:rPr>
          <w:rFonts w:ascii="Sylfaen" w:hAnsi="Sylfaen"/>
          <w:b/>
          <w:bCs/>
          <w:sz w:val="28"/>
          <w:szCs w:val="28"/>
          <w:lang w:val="ka-GE"/>
        </w:rPr>
        <w:t>1</w:t>
      </w:r>
    </w:p>
    <w:p w14:paraId="65311729" w14:textId="77777777" w:rsidR="00A2588D" w:rsidRDefault="00A2588D" w:rsidP="00A2588D">
      <w:pPr>
        <w:widowControl w:val="0"/>
        <w:autoSpaceDE w:val="0"/>
        <w:autoSpaceDN w:val="0"/>
        <w:adjustRightInd w:val="0"/>
        <w:jc w:val="center"/>
        <w:rPr>
          <w:rFonts w:ascii="Sylfaen" w:hAnsi="Sylfaen" w:cs="Arial"/>
          <w:b/>
          <w:bCs/>
          <w:sz w:val="28"/>
          <w:szCs w:val="28"/>
          <w:lang w:val="ka-GE"/>
        </w:rPr>
      </w:pPr>
      <w:r>
        <w:rPr>
          <w:rFonts w:ascii="Sylfaen" w:hAnsi="Sylfaen"/>
          <w:b/>
          <w:bCs/>
          <w:sz w:val="28"/>
          <w:szCs w:val="28"/>
          <w:lang w:val="ka-GE"/>
        </w:rPr>
        <w:t>Copyright</w:t>
      </w:r>
      <w:r>
        <w:rPr>
          <w:rFonts w:ascii="Sylfaen" w:hAnsi="Sylfaen" w:cs="Arial"/>
          <w:b/>
          <w:bCs/>
          <w:sz w:val="28"/>
          <w:szCs w:val="28"/>
          <w:lang w:val="ka-GE"/>
        </w:rPr>
        <w:t xml:space="preserve"> © </w:t>
      </w:r>
      <w:r>
        <w:rPr>
          <w:rFonts w:ascii="Sylfaen" w:hAnsi="Sylfaen"/>
          <w:b/>
          <w:bCs/>
          <w:sz w:val="28"/>
          <w:szCs w:val="28"/>
          <w:lang w:val="ka-GE"/>
        </w:rPr>
        <w:t>1990</w:t>
      </w:r>
      <w:r>
        <w:rPr>
          <w:rFonts w:ascii="Sylfaen" w:hAnsi="Sylfaen" w:cs="Arial"/>
          <w:b/>
          <w:bCs/>
          <w:sz w:val="28"/>
          <w:szCs w:val="28"/>
          <w:lang w:val="ka-GE"/>
        </w:rPr>
        <w:t>-</w:t>
      </w:r>
      <w:r>
        <w:rPr>
          <w:rFonts w:ascii="Sylfaen" w:hAnsi="Sylfaen"/>
          <w:b/>
          <w:bCs/>
          <w:sz w:val="28"/>
          <w:szCs w:val="28"/>
          <w:lang w:val="ka-GE"/>
        </w:rPr>
        <w:t>2010</w:t>
      </w:r>
      <w:r>
        <w:rPr>
          <w:rFonts w:ascii="Sylfaen" w:hAnsi="Sylfaen" w:cs="Arial"/>
          <w:b/>
          <w:bCs/>
          <w:sz w:val="28"/>
          <w:szCs w:val="28"/>
          <w:lang w:val="ka-GE"/>
        </w:rPr>
        <w:t xml:space="preserve"> </w:t>
      </w:r>
      <w:r>
        <w:rPr>
          <w:rFonts w:ascii="Sylfaen" w:hAnsi="Sylfaen"/>
          <w:b/>
          <w:bCs/>
          <w:sz w:val="28"/>
          <w:szCs w:val="28"/>
          <w:lang w:val="ka-GE"/>
        </w:rPr>
        <w:t>ФИРМА</w:t>
      </w:r>
      <w:r>
        <w:rPr>
          <w:rFonts w:ascii="Sylfaen" w:hAnsi="Sylfaen" w:cs="Arial"/>
          <w:b/>
          <w:bCs/>
          <w:sz w:val="28"/>
          <w:szCs w:val="28"/>
          <w:lang w:val="ka-GE"/>
        </w:rPr>
        <w:t xml:space="preserve"> "</w:t>
      </w:r>
      <w:r>
        <w:rPr>
          <w:rFonts w:ascii="Sylfaen" w:hAnsi="Sylfaen"/>
          <w:b/>
          <w:bCs/>
          <w:sz w:val="28"/>
          <w:szCs w:val="28"/>
          <w:lang w:val="ka-GE"/>
        </w:rPr>
        <w:t>ИНТЕГРАЛ</w:t>
      </w:r>
      <w:r>
        <w:rPr>
          <w:rFonts w:ascii="Sylfaen" w:hAnsi="Sylfaen" w:cs="Arial"/>
          <w:b/>
          <w:bCs/>
          <w:sz w:val="28"/>
          <w:szCs w:val="28"/>
          <w:lang w:val="ka-GE"/>
        </w:rPr>
        <w:t>"</w:t>
      </w:r>
    </w:p>
    <w:p w14:paraId="27527A67" w14:textId="77777777" w:rsidR="00A2588D" w:rsidRDefault="00A2588D" w:rsidP="00A2588D">
      <w:pPr>
        <w:widowControl w:val="0"/>
        <w:autoSpaceDE w:val="0"/>
        <w:autoSpaceDN w:val="0"/>
        <w:adjustRightInd w:val="0"/>
        <w:jc w:val="center"/>
        <w:rPr>
          <w:rFonts w:ascii="Sylfaen" w:hAnsi="Sylfaen" w:cs="Arial"/>
          <w:b/>
          <w:bCs/>
          <w:sz w:val="28"/>
          <w:szCs w:val="28"/>
          <w:lang w:val="ka-GE"/>
        </w:rPr>
      </w:pPr>
    </w:p>
    <w:p w14:paraId="222E9A96"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70ED25CF" w14:textId="77777777" w:rsidR="00A2588D" w:rsidRDefault="00A2588D" w:rsidP="00A2588D">
      <w:pPr>
        <w:widowControl w:val="0"/>
        <w:autoSpaceDE w:val="0"/>
        <w:autoSpaceDN w:val="0"/>
        <w:adjustRightInd w:val="0"/>
        <w:rPr>
          <w:rFonts w:ascii="Sylfaen" w:hAnsi="Sylfaen" w:cs="Arial"/>
          <w:b/>
          <w:bCs/>
          <w:sz w:val="20"/>
          <w:szCs w:val="20"/>
          <w:lang w:val="ka-GE"/>
        </w:rPr>
      </w:pPr>
    </w:p>
    <w:p w14:paraId="54D074AD" w14:textId="77777777" w:rsidR="00A2588D" w:rsidRDefault="00A2588D" w:rsidP="00A2588D">
      <w:pPr>
        <w:widowControl w:val="0"/>
        <w:autoSpaceDE w:val="0"/>
        <w:autoSpaceDN w:val="0"/>
        <w:adjustRightInd w:val="0"/>
        <w:rPr>
          <w:rFonts w:ascii="Sylfaen" w:hAnsi="Sylfaen" w:cs="Arial"/>
          <w:b/>
          <w:bCs/>
          <w:sz w:val="20"/>
          <w:szCs w:val="20"/>
          <w:lang w:val="ka-GE"/>
        </w:rPr>
      </w:pPr>
      <w:r>
        <w:rPr>
          <w:rFonts w:ascii="Sylfaen" w:hAnsi="Sylfaen" w:cs="Arial"/>
          <w:b/>
          <w:bCs/>
          <w:sz w:val="20"/>
          <w:szCs w:val="20"/>
          <w:lang w:val="ka-GE"/>
        </w:rPr>
        <w:t xml:space="preserve">საწყისი მონაცემების ვარიანტი: </w:t>
      </w:r>
      <w:r>
        <w:rPr>
          <w:rFonts w:ascii="Sylfaen" w:hAnsi="Sylfaen"/>
          <w:b/>
          <w:bCs/>
          <w:sz w:val="20"/>
          <w:szCs w:val="20"/>
          <w:lang w:val="ka-GE"/>
        </w:rPr>
        <w:t>2</w:t>
      </w:r>
      <w:r>
        <w:rPr>
          <w:rFonts w:ascii="Sylfaen" w:hAnsi="Sylfaen" w:cs="Arial"/>
          <w:b/>
          <w:bCs/>
          <w:sz w:val="20"/>
          <w:szCs w:val="20"/>
          <w:lang w:val="ka-GE"/>
        </w:rPr>
        <w:t>,</w:t>
      </w:r>
    </w:p>
    <w:p w14:paraId="5C190210" w14:textId="77777777" w:rsidR="00A2588D" w:rsidRDefault="00A2588D" w:rsidP="00A2588D">
      <w:pPr>
        <w:widowControl w:val="0"/>
        <w:autoSpaceDE w:val="0"/>
        <w:autoSpaceDN w:val="0"/>
        <w:adjustRightInd w:val="0"/>
        <w:rPr>
          <w:rFonts w:ascii="Sylfaen" w:hAnsi="Sylfaen" w:cs="Arial"/>
          <w:b/>
          <w:bCs/>
          <w:sz w:val="20"/>
          <w:szCs w:val="20"/>
          <w:lang w:val="ka-GE"/>
        </w:rPr>
      </w:pPr>
      <w:r>
        <w:rPr>
          <w:rFonts w:ascii="Sylfaen" w:hAnsi="Sylfaen" w:cs="Arial"/>
          <w:b/>
          <w:bCs/>
          <w:sz w:val="20"/>
          <w:szCs w:val="20"/>
          <w:lang w:val="ka-GE"/>
        </w:rPr>
        <w:t>გაანგარიშების ვარიანტი: გაანგარიშების ახალი ვარიანტი</w:t>
      </w:r>
    </w:p>
    <w:p w14:paraId="46710B42" w14:textId="77777777" w:rsidR="00A2588D" w:rsidRDefault="00A2588D" w:rsidP="00A2588D">
      <w:pPr>
        <w:widowControl w:val="0"/>
        <w:autoSpaceDE w:val="0"/>
        <w:autoSpaceDN w:val="0"/>
        <w:adjustRightInd w:val="0"/>
        <w:rPr>
          <w:rFonts w:ascii="Sylfaen" w:hAnsi="Sylfaen" w:cs="Arial"/>
          <w:b/>
          <w:bCs/>
          <w:sz w:val="20"/>
          <w:szCs w:val="20"/>
          <w:lang w:val="ka-GE"/>
        </w:rPr>
      </w:pPr>
      <w:r>
        <w:rPr>
          <w:rFonts w:ascii="Sylfaen" w:hAnsi="Sylfaen" w:cs="Arial"/>
          <w:b/>
          <w:bCs/>
          <w:sz w:val="20"/>
          <w:szCs w:val="20"/>
          <w:lang w:val="ka-GE"/>
        </w:rPr>
        <w:t>გაანგარიშება შესრულებულია: ზაფხულისთვის</w:t>
      </w:r>
    </w:p>
    <w:p w14:paraId="79C9CEF2" w14:textId="77777777" w:rsidR="00A2588D" w:rsidRDefault="00A2588D" w:rsidP="00A2588D">
      <w:pPr>
        <w:widowControl w:val="0"/>
        <w:autoSpaceDE w:val="0"/>
        <w:autoSpaceDN w:val="0"/>
        <w:adjustRightInd w:val="0"/>
        <w:rPr>
          <w:rFonts w:ascii="Sylfaen" w:hAnsi="Sylfaen" w:cs="Arial"/>
          <w:b/>
          <w:bCs/>
          <w:sz w:val="20"/>
          <w:szCs w:val="20"/>
          <w:lang w:val="ka-GE"/>
        </w:rPr>
      </w:pPr>
      <w:r>
        <w:rPr>
          <w:rFonts w:ascii="Sylfaen" w:hAnsi="Sylfaen" w:cs="Arial"/>
          <w:b/>
          <w:bCs/>
          <w:sz w:val="20"/>
          <w:szCs w:val="20"/>
          <w:lang w:val="ka-GE"/>
        </w:rPr>
        <w:t>გაანგარიშების მოდული: "</w:t>
      </w:r>
      <w:r>
        <w:rPr>
          <w:rFonts w:ascii="Sylfaen" w:hAnsi="Sylfaen"/>
          <w:b/>
          <w:bCs/>
          <w:sz w:val="20"/>
          <w:szCs w:val="20"/>
          <w:lang w:val="ka-GE"/>
        </w:rPr>
        <w:t>ОНД</w:t>
      </w:r>
      <w:r>
        <w:rPr>
          <w:rFonts w:ascii="Sylfaen" w:hAnsi="Sylfaen" w:cs="Arial"/>
          <w:b/>
          <w:bCs/>
          <w:sz w:val="20"/>
          <w:szCs w:val="20"/>
          <w:lang w:val="ka-GE"/>
        </w:rPr>
        <w:t>-86"</w:t>
      </w:r>
    </w:p>
    <w:p w14:paraId="4E15104D" w14:textId="77777777" w:rsidR="00A2588D" w:rsidRDefault="00A2588D" w:rsidP="00A2588D">
      <w:pPr>
        <w:widowControl w:val="0"/>
        <w:autoSpaceDE w:val="0"/>
        <w:autoSpaceDN w:val="0"/>
        <w:adjustRightInd w:val="0"/>
        <w:rPr>
          <w:rFonts w:ascii="Sylfaen" w:hAnsi="Sylfaen" w:cs="Arial"/>
          <w:b/>
          <w:bCs/>
          <w:sz w:val="20"/>
          <w:szCs w:val="20"/>
          <w:lang w:val="ka-GE"/>
        </w:rPr>
      </w:pPr>
      <w:r>
        <w:rPr>
          <w:rFonts w:ascii="Sylfaen" w:hAnsi="Sylfaen" w:cs="Arial"/>
          <w:b/>
          <w:bCs/>
          <w:sz w:val="20"/>
          <w:szCs w:val="20"/>
          <w:lang w:val="ka-GE"/>
        </w:rPr>
        <w:t xml:space="preserve">საანგარიშო მუდმივები: </w:t>
      </w:r>
      <w:r>
        <w:rPr>
          <w:rFonts w:ascii="Sylfaen" w:hAnsi="Sylfaen"/>
          <w:b/>
          <w:bCs/>
          <w:sz w:val="20"/>
          <w:szCs w:val="20"/>
          <w:lang w:val="ka-GE"/>
        </w:rPr>
        <w:t>E1=</w:t>
      </w:r>
      <w:r>
        <w:rPr>
          <w:rFonts w:ascii="Sylfaen" w:hAnsi="Sylfaen" w:cs="Arial"/>
          <w:b/>
          <w:bCs/>
          <w:sz w:val="20"/>
          <w:szCs w:val="20"/>
          <w:lang w:val="ka-GE"/>
        </w:rPr>
        <w:t xml:space="preserve"> </w:t>
      </w: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01</w:t>
      </w:r>
      <w:r>
        <w:rPr>
          <w:rFonts w:ascii="Sylfaen" w:hAnsi="Sylfaen" w:cs="Arial"/>
          <w:b/>
          <w:bCs/>
          <w:sz w:val="20"/>
          <w:szCs w:val="20"/>
          <w:lang w:val="ka-GE"/>
        </w:rPr>
        <w:t xml:space="preserve">, </w:t>
      </w:r>
      <w:r>
        <w:rPr>
          <w:rFonts w:ascii="Sylfaen" w:hAnsi="Sylfaen"/>
          <w:b/>
          <w:bCs/>
          <w:sz w:val="20"/>
          <w:szCs w:val="20"/>
          <w:lang w:val="ka-GE"/>
        </w:rPr>
        <w:t>E2=0</w:t>
      </w:r>
      <w:r>
        <w:rPr>
          <w:rFonts w:ascii="Sylfaen" w:hAnsi="Sylfaen" w:cs="Arial"/>
          <w:b/>
          <w:bCs/>
          <w:sz w:val="20"/>
          <w:szCs w:val="20"/>
          <w:lang w:val="ka-GE"/>
        </w:rPr>
        <w:t>,</w:t>
      </w:r>
      <w:r>
        <w:rPr>
          <w:rFonts w:ascii="Sylfaen" w:hAnsi="Sylfaen"/>
          <w:b/>
          <w:bCs/>
          <w:sz w:val="20"/>
          <w:szCs w:val="20"/>
          <w:lang w:val="ka-GE"/>
        </w:rPr>
        <w:t>01</w:t>
      </w:r>
      <w:r>
        <w:rPr>
          <w:rFonts w:ascii="Sylfaen" w:hAnsi="Sylfaen" w:cs="Arial"/>
          <w:b/>
          <w:bCs/>
          <w:sz w:val="20"/>
          <w:szCs w:val="20"/>
          <w:lang w:val="ka-GE"/>
        </w:rPr>
        <w:t xml:space="preserve">, </w:t>
      </w:r>
      <w:r>
        <w:rPr>
          <w:rFonts w:ascii="Sylfaen" w:hAnsi="Sylfaen"/>
          <w:b/>
          <w:bCs/>
          <w:sz w:val="20"/>
          <w:szCs w:val="20"/>
          <w:lang w:val="ka-GE"/>
        </w:rPr>
        <w:t>E3=0</w:t>
      </w:r>
      <w:r>
        <w:rPr>
          <w:rFonts w:ascii="Sylfaen" w:hAnsi="Sylfaen" w:cs="Arial"/>
          <w:b/>
          <w:bCs/>
          <w:sz w:val="20"/>
          <w:szCs w:val="20"/>
          <w:lang w:val="ka-GE"/>
        </w:rPr>
        <w:t>,</w:t>
      </w:r>
      <w:r>
        <w:rPr>
          <w:rFonts w:ascii="Sylfaen" w:hAnsi="Sylfaen"/>
          <w:b/>
          <w:bCs/>
          <w:sz w:val="20"/>
          <w:szCs w:val="20"/>
          <w:lang w:val="ka-GE"/>
        </w:rPr>
        <w:t>01</w:t>
      </w:r>
      <w:r>
        <w:rPr>
          <w:rFonts w:ascii="Sylfaen" w:hAnsi="Sylfaen" w:cs="Arial"/>
          <w:b/>
          <w:bCs/>
          <w:sz w:val="20"/>
          <w:szCs w:val="20"/>
          <w:lang w:val="ka-GE"/>
        </w:rPr>
        <w:t xml:space="preserve">, </w:t>
      </w:r>
      <w:r>
        <w:rPr>
          <w:rFonts w:ascii="Sylfaen" w:hAnsi="Sylfaen"/>
          <w:b/>
          <w:bCs/>
          <w:sz w:val="20"/>
          <w:szCs w:val="20"/>
          <w:lang w:val="ka-GE"/>
        </w:rPr>
        <w:t>S=999999</w:t>
      </w:r>
      <w:r>
        <w:rPr>
          <w:rFonts w:ascii="Sylfaen" w:hAnsi="Sylfaen" w:cs="Arial"/>
          <w:b/>
          <w:bCs/>
          <w:sz w:val="20"/>
          <w:szCs w:val="20"/>
          <w:lang w:val="ka-GE"/>
        </w:rPr>
        <w:t>,</w:t>
      </w:r>
      <w:r>
        <w:rPr>
          <w:rFonts w:ascii="Sylfaen" w:hAnsi="Sylfaen"/>
          <w:b/>
          <w:bCs/>
          <w:sz w:val="20"/>
          <w:szCs w:val="20"/>
          <w:lang w:val="ka-GE"/>
        </w:rPr>
        <w:t>99</w:t>
      </w:r>
      <w:r>
        <w:rPr>
          <w:rFonts w:ascii="Sylfaen" w:hAnsi="Sylfaen" w:cs="Arial"/>
          <w:b/>
          <w:bCs/>
          <w:sz w:val="20"/>
          <w:szCs w:val="20"/>
          <w:lang w:val="ka-GE"/>
        </w:rPr>
        <w:t xml:space="preserve"> კვ.კმ.</w:t>
      </w:r>
    </w:p>
    <w:p w14:paraId="191F3384" w14:textId="77777777" w:rsidR="00A2588D" w:rsidRDefault="00A2588D" w:rsidP="00A2588D">
      <w:pPr>
        <w:widowControl w:val="0"/>
        <w:autoSpaceDE w:val="0"/>
        <w:autoSpaceDN w:val="0"/>
        <w:adjustRightInd w:val="0"/>
        <w:rPr>
          <w:rFonts w:ascii="Sylfaen" w:hAnsi="Sylfaen" w:cs="Arial"/>
          <w:b/>
          <w:bCs/>
          <w:sz w:val="24"/>
          <w:lang w:val="ka-GE"/>
        </w:rPr>
      </w:pPr>
    </w:p>
    <w:p w14:paraId="5D0804C0" w14:textId="77777777" w:rsidR="00A2588D" w:rsidRDefault="00A2588D" w:rsidP="00A2588D">
      <w:pPr>
        <w:widowControl w:val="0"/>
        <w:autoSpaceDE w:val="0"/>
        <w:autoSpaceDN w:val="0"/>
        <w:adjustRightInd w:val="0"/>
        <w:jc w:val="center"/>
        <w:rPr>
          <w:rFonts w:ascii="Sylfaen" w:hAnsi="Sylfaen" w:cs="Arial"/>
          <w:b/>
          <w:bCs/>
          <w:sz w:val="24"/>
          <w:lang w:val="ka-GE"/>
        </w:rPr>
      </w:pPr>
      <w:r>
        <w:rPr>
          <w:rFonts w:ascii="Sylfaen" w:hAnsi="Sylfaen" w:cs="Arial"/>
          <w:b/>
          <w:bCs/>
          <w:sz w:val="24"/>
          <w:lang w:val="ka-GE"/>
        </w:rPr>
        <w:t>მეტეოროლოგიური პარამეტრები</w:t>
      </w:r>
    </w:p>
    <w:p w14:paraId="17AB23A0" w14:textId="77777777" w:rsidR="00A2588D" w:rsidRDefault="00A2588D" w:rsidP="00A2588D">
      <w:pPr>
        <w:widowControl w:val="0"/>
        <w:autoSpaceDE w:val="0"/>
        <w:autoSpaceDN w:val="0"/>
        <w:adjustRightInd w:val="0"/>
        <w:jc w:val="center"/>
        <w:rPr>
          <w:rFonts w:ascii="Sylfaen" w:hAnsi="Sylfaen" w:cs="Arial"/>
          <w:b/>
          <w:bCs/>
          <w:sz w:val="28"/>
          <w:szCs w:val="28"/>
          <w:lang w:val="ka-GE"/>
        </w:rPr>
      </w:pPr>
    </w:p>
    <w:tbl>
      <w:tblPr>
        <w:tblW w:w="0" w:type="auto"/>
        <w:jc w:val="center"/>
        <w:tblLayout w:type="fixed"/>
        <w:tblCellMar>
          <w:left w:w="0" w:type="dxa"/>
          <w:right w:w="0" w:type="dxa"/>
        </w:tblCellMar>
        <w:tblLook w:val="04A0" w:firstRow="1" w:lastRow="0" w:firstColumn="1" w:lastColumn="0" w:noHBand="0" w:noVBand="1"/>
      </w:tblPr>
      <w:tblGrid>
        <w:gridCol w:w="7418"/>
        <w:gridCol w:w="1168"/>
      </w:tblGrid>
      <w:tr w:rsidR="00A2588D" w14:paraId="6F12A0F0" w14:textId="77777777" w:rsidTr="00A2588D">
        <w:trPr>
          <w:jc w:val="center"/>
        </w:trPr>
        <w:tc>
          <w:tcPr>
            <w:tcW w:w="7418" w:type="dxa"/>
            <w:tcBorders>
              <w:top w:val="single" w:sz="4" w:space="0" w:color="auto"/>
              <w:left w:val="single" w:sz="4" w:space="0" w:color="auto"/>
              <w:bottom w:val="single" w:sz="4" w:space="0" w:color="auto"/>
              <w:right w:val="single" w:sz="4" w:space="0" w:color="auto"/>
            </w:tcBorders>
            <w:hideMark/>
          </w:tcPr>
          <w:p w14:paraId="1B827DDB" w14:textId="77777777" w:rsidR="00A2588D" w:rsidRDefault="00A2588D" w:rsidP="00A2588D">
            <w:pPr>
              <w:widowControl w:val="0"/>
              <w:autoSpaceDE w:val="0"/>
              <w:autoSpaceDN w:val="0"/>
              <w:adjustRightInd w:val="0"/>
              <w:ind w:left="11"/>
              <w:rPr>
                <w:rFonts w:ascii="Sylfaen" w:hAnsi="Sylfaen" w:cs="Arial"/>
                <w:sz w:val="20"/>
                <w:szCs w:val="20"/>
                <w:lang w:val="ka-GE"/>
              </w:rPr>
            </w:pPr>
            <w:r>
              <w:rPr>
                <w:rFonts w:ascii="Sylfaen" w:hAnsi="Sylfaen" w:cs="Arial"/>
                <w:sz w:val="20"/>
                <w:szCs w:val="20"/>
                <w:lang w:val="ka-GE"/>
              </w:rPr>
              <w:t>ყველაზე ცხელი თვის ჰაერის საშუალო ტემპერატურა</w:t>
            </w:r>
          </w:p>
        </w:tc>
        <w:tc>
          <w:tcPr>
            <w:tcW w:w="1168" w:type="dxa"/>
            <w:tcBorders>
              <w:top w:val="single" w:sz="4" w:space="0" w:color="auto"/>
              <w:left w:val="single" w:sz="4" w:space="0" w:color="auto"/>
              <w:bottom w:val="single" w:sz="4" w:space="0" w:color="auto"/>
              <w:right w:val="single" w:sz="4" w:space="0" w:color="auto"/>
            </w:tcBorders>
            <w:hideMark/>
          </w:tcPr>
          <w:p w14:paraId="7822EE0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27</w:t>
            </w:r>
            <w:r>
              <w:rPr>
                <w:rFonts w:ascii="Sylfaen" w:hAnsi="Sylfaen" w:cs="Arial"/>
                <w:sz w:val="20"/>
                <w:szCs w:val="20"/>
                <w:lang w:val="ka-GE"/>
              </w:rPr>
              <w:t>,</w:t>
            </w:r>
            <w:r>
              <w:rPr>
                <w:rFonts w:ascii="Sylfaen" w:hAnsi="Sylfaen"/>
                <w:sz w:val="20"/>
                <w:szCs w:val="20"/>
                <w:lang w:val="ka-GE"/>
              </w:rPr>
              <w:t>5° C</w:t>
            </w:r>
          </w:p>
        </w:tc>
      </w:tr>
      <w:tr w:rsidR="00A2588D" w14:paraId="3CCDF6B3" w14:textId="77777777" w:rsidTr="00A2588D">
        <w:trPr>
          <w:jc w:val="center"/>
        </w:trPr>
        <w:tc>
          <w:tcPr>
            <w:tcW w:w="7418" w:type="dxa"/>
            <w:tcBorders>
              <w:top w:val="single" w:sz="4" w:space="0" w:color="auto"/>
              <w:left w:val="single" w:sz="4" w:space="0" w:color="auto"/>
              <w:bottom w:val="single" w:sz="4" w:space="0" w:color="auto"/>
              <w:right w:val="single" w:sz="4" w:space="0" w:color="auto"/>
            </w:tcBorders>
            <w:hideMark/>
          </w:tcPr>
          <w:p w14:paraId="38B51717" w14:textId="77777777" w:rsidR="00A2588D" w:rsidRDefault="00A2588D" w:rsidP="00A2588D">
            <w:pPr>
              <w:widowControl w:val="0"/>
              <w:autoSpaceDE w:val="0"/>
              <w:autoSpaceDN w:val="0"/>
              <w:adjustRightInd w:val="0"/>
              <w:ind w:left="11"/>
              <w:rPr>
                <w:rFonts w:ascii="Sylfaen" w:hAnsi="Sylfaen" w:cs="Arial"/>
                <w:sz w:val="20"/>
                <w:szCs w:val="20"/>
                <w:lang w:val="ka-GE"/>
              </w:rPr>
            </w:pPr>
            <w:r>
              <w:rPr>
                <w:rFonts w:ascii="Sylfaen" w:hAnsi="Sylfaen" w:cs="Arial"/>
                <w:sz w:val="20"/>
                <w:szCs w:val="20"/>
                <w:lang w:val="ka-GE"/>
              </w:rPr>
              <w:t>ყველაზე ცივი თვის ჰაერის საშუალო ტემპერატურა</w:t>
            </w:r>
          </w:p>
        </w:tc>
        <w:tc>
          <w:tcPr>
            <w:tcW w:w="1168" w:type="dxa"/>
            <w:tcBorders>
              <w:top w:val="single" w:sz="4" w:space="0" w:color="auto"/>
              <w:left w:val="single" w:sz="4" w:space="0" w:color="auto"/>
              <w:bottom w:val="single" w:sz="4" w:space="0" w:color="auto"/>
              <w:right w:val="single" w:sz="4" w:space="0" w:color="auto"/>
            </w:tcBorders>
            <w:hideMark/>
          </w:tcPr>
          <w:p w14:paraId="1643A99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w:t>
            </w:r>
            <w:r>
              <w:rPr>
                <w:rFonts w:ascii="Sylfaen" w:hAnsi="Sylfaen" w:cs="Arial"/>
                <w:sz w:val="20"/>
                <w:szCs w:val="20"/>
                <w:lang w:val="ka-GE"/>
              </w:rPr>
              <w:t>,</w:t>
            </w:r>
            <w:r>
              <w:rPr>
                <w:rFonts w:ascii="Sylfaen" w:hAnsi="Sylfaen"/>
                <w:sz w:val="20"/>
                <w:szCs w:val="20"/>
                <w:lang w:val="ka-GE"/>
              </w:rPr>
              <w:t>2° C</w:t>
            </w:r>
          </w:p>
        </w:tc>
      </w:tr>
      <w:tr w:rsidR="00A2588D" w14:paraId="092FD854" w14:textId="77777777" w:rsidTr="00A2588D">
        <w:trPr>
          <w:jc w:val="center"/>
        </w:trPr>
        <w:tc>
          <w:tcPr>
            <w:tcW w:w="7418" w:type="dxa"/>
            <w:tcBorders>
              <w:top w:val="single" w:sz="4" w:space="0" w:color="auto"/>
              <w:left w:val="single" w:sz="4" w:space="0" w:color="auto"/>
              <w:bottom w:val="single" w:sz="4" w:space="0" w:color="auto"/>
              <w:right w:val="single" w:sz="4" w:space="0" w:color="auto"/>
            </w:tcBorders>
            <w:hideMark/>
          </w:tcPr>
          <w:p w14:paraId="447DF9A2" w14:textId="77777777" w:rsidR="00A2588D" w:rsidRDefault="00A2588D" w:rsidP="00A2588D">
            <w:pPr>
              <w:widowControl w:val="0"/>
              <w:autoSpaceDE w:val="0"/>
              <w:autoSpaceDN w:val="0"/>
              <w:adjustRightInd w:val="0"/>
              <w:ind w:left="11"/>
              <w:rPr>
                <w:rFonts w:ascii="Sylfaen" w:hAnsi="Sylfaen" w:cs="Arial"/>
                <w:sz w:val="20"/>
                <w:szCs w:val="20"/>
                <w:lang w:val="ka-GE"/>
              </w:rPr>
            </w:pPr>
            <w:r>
              <w:rPr>
                <w:rFonts w:ascii="Sylfaen" w:hAnsi="Sylfaen" w:cs="Arial"/>
                <w:sz w:val="20"/>
                <w:szCs w:val="20"/>
                <w:lang w:val="ka-GE"/>
              </w:rPr>
              <w:t xml:space="preserve">ატმოსფეროს სტრატიფიკაციის ტემპერატურაზე დამოკიდებული კოეფიციენტი, </w:t>
            </w:r>
            <w:r>
              <w:rPr>
                <w:rFonts w:ascii="Sylfaen" w:hAnsi="Sylfaen"/>
                <w:sz w:val="20"/>
                <w:szCs w:val="20"/>
                <w:lang w:val="ka-GE"/>
              </w:rPr>
              <w:t>A</w:t>
            </w:r>
          </w:p>
        </w:tc>
        <w:tc>
          <w:tcPr>
            <w:tcW w:w="1168" w:type="dxa"/>
            <w:tcBorders>
              <w:top w:val="single" w:sz="4" w:space="0" w:color="auto"/>
              <w:left w:val="single" w:sz="4" w:space="0" w:color="auto"/>
              <w:bottom w:val="single" w:sz="4" w:space="0" w:color="auto"/>
              <w:right w:val="single" w:sz="4" w:space="0" w:color="auto"/>
            </w:tcBorders>
            <w:hideMark/>
          </w:tcPr>
          <w:p w14:paraId="2FDE961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200</w:t>
            </w:r>
          </w:p>
        </w:tc>
      </w:tr>
      <w:tr w:rsidR="00A2588D" w14:paraId="0B0AF00D" w14:textId="77777777" w:rsidTr="00A2588D">
        <w:trPr>
          <w:jc w:val="center"/>
        </w:trPr>
        <w:tc>
          <w:tcPr>
            <w:tcW w:w="7418" w:type="dxa"/>
            <w:tcBorders>
              <w:top w:val="single" w:sz="4" w:space="0" w:color="auto"/>
              <w:left w:val="single" w:sz="4" w:space="0" w:color="auto"/>
              <w:bottom w:val="single" w:sz="4" w:space="0" w:color="auto"/>
              <w:right w:val="single" w:sz="4" w:space="0" w:color="auto"/>
            </w:tcBorders>
            <w:hideMark/>
          </w:tcPr>
          <w:p w14:paraId="0B8AD34E" w14:textId="77777777" w:rsidR="00A2588D" w:rsidRDefault="00A2588D" w:rsidP="00A2588D">
            <w:pPr>
              <w:widowControl w:val="0"/>
              <w:autoSpaceDE w:val="0"/>
              <w:autoSpaceDN w:val="0"/>
              <w:adjustRightInd w:val="0"/>
              <w:ind w:left="11"/>
              <w:rPr>
                <w:rFonts w:ascii="Sylfaen" w:hAnsi="Sylfaen" w:cs="Arial"/>
                <w:sz w:val="20"/>
                <w:szCs w:val="20"/>
                <w:lang w:val="ka-GE"/>
              </w:rPr>
            </w:pPr>
            <w:r>
              <w:rPr>
                <w:rFonts w:ascii="Sylfaen" w:hAnsi="Sylfaen" w:cs="Arial"/>
                <w:sz w:val="20"/>
                <w:szCs w:val="20"/>
                <w:lang w:val="ka-GE"/>
              </w:rPr>
              <w:t>ქარის მაქსიმალური სიჩქარე მოცემული ტერიტორიისტთვის (გადამეტების განმეორებადობა 5%-ის ფარგლებში)</w:t>
            </w:r>
          </w:p>
        </w:tc>
        <w:tc>
          <w:tcPr>
            <w:tcW w:w="1168" w:type="dxa"/>
            <w:tcBorders>
              <w:top w:val="single" w:sz="4" w:space="0" w:color="auto"/>
              <w:left w:val="single" w:sz="4" w:space="0" w:color="auto"/>
              <w:bottom w:val="single" w:sz="4" w:space="0" w:color="auto"/>
              <w:right w:val="single" w:sz="4" w:space="0" w:color="auto"/>
            </w:tcBorders>
            <w:hideMark/>
          </w:tcPr>
          <w:p w14:paraId="67D9011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w:t>
            </w:r>
            <w:r>
              <w:rPr>
                <w:rFonts w:ascii="Sylfaen" w:hAnsi="Sylfaen" w:cs="Arial"/>
                <w:sz w:val="20"/>
                <w:szCs w:val="20"/>
                <w:lang w:val="ka-GE"/>
              </w:rPr>
              <w:t xml:space="preserve"> მ/წმ</w:t>
            </w:r>
          </w:p>
        </w:tc>
      </w:tr>
    </w:tbl>
    <w:p w14:paraId="3DA7D467" w14:textId="77777777" w:rsidR="00A2588D" w:rsidRDefault="00A2588D" w:rsidP="00A2588D">
      <w:pPr>
        <w:widowControl w:val="0"/>
        <w:autoSpaceDE w:val="0"/>
        <w:autoSpaceDN w:val="0"/>
        <w:adjustRightInd w:val="0"/>
        <w:jc w:val="center"/>
        <w:rPr>
          <w:rFonts w:ascii="Sylfaen" w:hAnsi="Sylfaen" w:cs="Arial"/>
          <w:b/>
          <w:bCs/>
          <w:sz w:val="24"/>
          <w:lang w:val="ka-GE"/>
        </w:rPr>
      </w:pPr>
    </w:p>
    <w:p w14:paraId="6A8C374D" w14:textId="77777777" w:rsidR="00A2588D" w:rsidRDefault="00A2588D" w:rsidP="00A2588D">
      <w:pPr>
        <w:widowControl w:val="0"/>
        <w:autoSpaceDE w:val="0"/>
        <w:autoSpaceDN w:val="0"/>
        <w:adjustRightInd w:val="0"/>
        <w:jc w:val="center"/>
        <w:rPr>
          <w:rFonts w:ascii="Sylfaen" w:hAnsi="Sylfaen" w:cs="Arial"/>
          <w:b/>
          <w:bCs/>
          <w:sz w:val="24"/>
          <w:lang w:val="ka-GE"/>
        </w:rPr>
      </w:pPr>
      <w:r>
        <w:rPr>
          <w:rFonts w:ascii="Sylfaen" w:hAnsi="Sylfaen" w:cs="Arial"/>
          <w:b/>
          <w:bCs/>
          <w:sz w:val="24"/>
          <w:lang w:val="ka-GE"/>
        </w:rPr>
        <w:t>საწარმოს სტრუქტურა (მოედნები, საამქრო)</w:t>
      </w:r>
    </w:p>
    <w:p w14:paraId="2032748B" w14:textId="77777777" w:rsidR="00A2588D" w:rsidRDefault="00A2588D" w:rsidP="00A2588D">
      <w:pPr>
        <w:widowControl w:val="0"/>
        <w:autoSpaceDE w:val="0"/>
        <w:autoSpaceDN w:val="0"/>
        <w:adjustRightInd w:val="0"/>
        <w:jc w:val="center"/>
        <w:rPr>
          <w:rFonts w:ascii="Sylfaen" w:hAnsi="Sylfaen" w:cs="Arial"/>
          <w:b/>
          <w:bCs/>
          <w:sz w:val="28"/>
          <w:szCs w:val="28"/>
          <w:lang w:val="ka-GE"/>
        </w:rPr>
      </w:pPr>
    </w:p>
    <w:tbl>
      <w:tblPr>
        <w:tblW w:w="0" w:type="auto"/>
        <w:jc w:val="center"/>
        <w:tblLayout w:type="fixed"/>
        <w:tblCellMar>
          <w:left w:w="0" w:type="dxa"/>
          <w:right w:w="0" w:type="dxa"/>
        </w:tblCellMar>
        <w:tblLook w:val="04A0" w:firstRow="1" w:lastRow="0" w:firstColumn="1" w:lastColumn="0" w:noHBand="0" w:noVBand="1"/>
      </w:tblPr>
      <w:tblGrid>
        <w:gridCol w:w="1168"/>
        <w:gridCol w:w="5198"/>
      </w:tblGrid>
      <w:tr w:rsidR="00A2588D" w14:paraId="731E7076" w14:textId="77777777" w:rsidTr="00A2588D">
        <w:trPr>
          <w:jc w:val="center"/>
        </w:trPr>
        <w:tc>
          <w:tcPr>
            <w:tcW w:w="1168" w:type="dxa"/>
            <w:tcBorders>
              <w:top w:val="single" w:sz="4" w:space="0" w:color="auto"/>
              <w:left w:val="single" w:sz="4" w:space="0" w:color="auto"/>
              <w:bottom w:val="single" w:sz="4" w:space="0" w:color="auto"/>
              <w:right w:val="single" w:sz="4" w:space="0" w:color="auto"/>
            </w:tcBorders>
            <w:hideMark/>
          </w:tcPr>
          <w:p w14:paraId="4AADBDB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ნომერი</w:t>
            </w:r>
          </w:p>
        </w:tc>
        <w:tc>
          <w:tcPr>
            <w:tcW w:w="5198" w:type="dxa"/>
            <w:tcBorders>
              <w:top w:val="single" w:sz="4" w:space="0" w:color="auto"/>
              <w:left w:val="single" w:sz="4" w:space="0" w:color="auto"/>
              <w:bottom w:val="single" w:sz="4" w:space="0" w:color="auto"/>
              <w:right w:val="single" w:sz="4" w:space="0" w:color="auto"/>
            </w:tcBorders>
            <w:hideMark/>
          </w:tcPr>
          <w:p w14:paraId="0654827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მოედნის (საამქროს) დასახელება</w:t>
            </w:r>
          </w:p>
        </w:tc>
      </w:tr>
    </w:tbl>
    <w:p w14:paraId="71CD5F84" w14:textId="77777777" w:rsidR="00A2588D" w:rsidRDefault="00A2588D" w:rsidP="00A2588D">
      <w:pPr>
        <w:rPr>
          <w:rFonts w:ascii="Sylfaen" w:hAnsi="Sylfaen" w:cs="Arial"/>
          <w:b/>
          <w:bCs/>
          <w:sz w:val="28"/>
          <w:szCs w:val="28"/>
          <w:lang w:val="ka-GE"/>
        </w:rPr>
        <w:sectPr w:rsidR="00A2588D">
          <w:headerReference w:type="first" r:id="rId206"/>
          <w:pgSz w:w="11907" w:h="16840"/>
          <w:pgMar w:top="720" w:right="720" w:bottom="720" w:left="720" w:header="720" w:footer="720" w:gutter="0"/>
          <w:cols w:space="720"/>
        </w:sectPr>
      </w:pPr>
    </w:p>
    <w:p w14:paraId="6ED64682" w14:textId="77777777" w:rsidR="00A2588D" w:rsidRDefault="00A2588D" w:rsidP="00A2588D">
      <w:pPr>
        <w:widowControl w:val="0"/>
        <w:autoSpaceDE w:val="0"/>
        <w:autoSpaceDN w:val="0"/>
        <w:adjustRightInd w:val="0"/>
        <w:jc w:val="center"/>
        <w:rPr>
          <w:rFonts w:ascii="Sylfaen" w:hAnsi="Sylfaen" w:cs="Arial"/>
          <w:b/>
          <w:bCs/>
          <w:sz w:val="24"/>
          <w:lang w:val="ka-GE"/>
        </w:rPr>
      </w:pPr>
      <w:r>
        <w:rPr>
          <w:rFonts w:ascii="Sylfaen" w:hAnsi="Sylfaen" w:cs="Arial"/>
          <w:b/>
          <w:bCs/>
          <w:sz w:val="24"/>
          <w:lang w:val="ka-GE"/>
        </w:rPr>
        <w:lastRenderedPageBreak/>
        <w:t>გაფრქვევის წყაროთა პარამეტრები</w:t>
      </w:r>
    </w:p>
    <w:p w14:paraId="2D5BD74C" w14:textId="77777777" w:rsidR="00A2588D" w:rsidRDefault="00A2588D" w:rsidP="00A2588D">
      <w:pPr>
        <w:widowControl w:val="0"/>
        <w:autoSpaceDE w:val="0"/>
        <w:autoSpaceDN w:val="0"/>
        <w:adjustRightInd w:val="0"/>
        <w:jc w:val="center"/>
        <w:rPr>
          <w:rFonts w:ascii="Sylfaen" w:hAnsi="Sylfaen" w:cs="Arial"/>
          <w:b/>
          <w:bCs/>
          <w:sz w:val="24"/>
          <w:lang w:val="ka-GE"/>
        </w:rPr>
      </w:pPr>
    </w:p>
    <w:tbl>
      <w:tblPr>
        <w:tblW w:w="0" w:type="auto"/>
        <w:jc w:val="center"/>
        <w:tblLayout w:type="fixed"/>
        <w:tblCellMar>
          <w:left w:w="0" w:type="dxa"/>
          <w:right w:w="0" w:type="dxa"/>
        </w:tblCellMar>
        <w:tblLook w:val="04A0" w:firstRow="1" w:lastRow="0" w:firstColumn="1" w:lastColumn="0" w:noHBand="0" w:noVBand="1"/>
      </w:tblPr>
      <w:tblGrid>
        <w:gridCol w:w="540"/>
        <w:gridCol w:w="540"/>
        <w:gridCol w:w="554"/>
        <w:gridCol w:w="598"/>
        <w:gridCol w:w="2279"/>
        <w:gridCol w:w="57"/>
        <w:gridCol w:w="525"/>
        <w:gridCol w:w="423"/>
        <w:gridCol w:w="309"/>
        <w:gridCol w:w="377"/>
        <w:gridCol w:w="748"/>
        <w:gridCol w:w="55"/>
        <w:gridCol w:w="134"/>
        <w:gridCol w:w="438"/>
        <w:gridCol w:w="216"/>
        <w:gridCol w:w="295"/>
        <w:gridCol w:w="522"/>
        <w:gridCol w:w="266"/>
        <w:gridCol w:w="522"/>
        <w:gridCol w:w="105"/>
        <w:gridCol w:w="435"/>
        <w:gridCol w:w="61"/>
        <w:gridCol w:w="540"/>
        <w:gridCol w:w="245"/>
        <w:gridCol w:w="543"/>
        <w:gridCol w:w="303"/>
        <w:gridCol w:w="324"/>
        <w:gridCol w:w="496"/>
        <w:gridCol w:w="26"/>
        <w:gridCol w:w="890"/>
        <w:gridCol w:w="861"/>
        <w:gridCol w:w="321"/>
      </w:tblGrid>
      <w:tr w:rsidR="00A2588D" w14:paraId="65235391" w14:textId="77777777" w:rsidTr="00A2588D">
        <w:trPr>
          <w:jc w:val="center"/>
        </w:trPr>
        <w:tc>
          <w:tcPr>
            <w:tcW w:w="6950" w:type="dxa"/>
            <w:gridSpan w:val="11"/>
            <w:hideMark/>
          </w:tcPr>
          <w:p w14:paraId="375F5201"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აღრიცხვა:</w:t>
            </w:r>
          </w:p>
        </w:tc>
        <w:tc>
          <w:tcPr>
            <w:tcW w:w="7598" w:type="dxa"/>
            <w:gridSpan w:val="21"/>
            <w:hideMark/>
          </w:tcPr>
          <w:p w14:paraId="5ED9D092"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წყაროთა ტიპები:</w:t>
            </w:r>
          </w:p>
        </w:tc>
      </w:tr>
      <w:tr w:rsidR="00A2588D" w14:paraId="2464D185" w14:textId="77777777" w:rsidTr="00A2588D">
        <w:trPr>
          <w:jc w:val="center"/>
        </w:trPr>
        <w:tc>
          <w:tcPr>
            <w:tcW w:w="6950" w:type="dxa"/>
            <w:gridSpan w:val="11"/>
            <w:hideMark/>
          </w:tcPr>
          <w:p w14:paraId="1749DC69"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  - წყარო გათვალისწინებულია ფონის გამორიცხვით;</w:t>
            </w:r>
          </w:p>
        </w:tc>
        <w:tc>
          <w:tcPr>
            <w:tcW w:w="7598" w:type="dxa"/>
            <w:gridSpan w:val="21"/>
            <w:hideMark/>
          </w:tcPr>
          <w:p w14:paraId="07996FDB"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 xml:space="preserve"> - წერტილოვანი;</w:t>
            </w:r>
          </w:p>
        </w:tc>
      </w:tr>
      <w:tr w:rsidR="00A2588D" w14:paraId="31683A23" w14:textId="77777777" w:rsidTr="00A2588D">
        <w:trPr>
          <w:jc w:val="center"/>
        </w:trPr>
        <w:tc>
          <w:tcPr>
            <w:tcW w:w="6950" w:type="dxa"/>
            <w:gridSpan w:val="11"/>
            <w:hideMark/>
          </w:tcPr>
          <w:p w14:paraId="4AC68E31"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  - წყარო გათვალისწინებულია ფონის გამორიცხვის გარეშე;</w:t>
            </w:r>
          </w:p>
        </w:tc>
        <w:tc>
          <w:tcPr>
            <w:tcW w:w="7598" w:type="dxa"/>
            <w:gridSpan w:val="21"/>
            <w:hideMark/>
          </w:tcPr>
          <w:p w14:paraId="3E49D474"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2</w:t>
            </w:r>
            <w:r>
              <w:rPr>
                <w:rFonts w:ascii="Sylfaen" w:hAnsi="Sylfaen" w:cs="Arial"/>
                <w:sz w:val="16"/>
                <w:szCs w:val="16"/>
                <w:lang w:val="ka-GE"/>
              </w:rPr>
              <w:t xml:space="preserve"> - წრფივი;</w:t>
            </w:r>
          </w:p>
        </w:tc>
      </w:tr>
      <w:tr w:rsidR="00A2588D" w14:paraId="3DD323B0" w14:textId="77777777" w:rsidTr="00A2588D">
        <w:trPr>
          <w:jc w:val="center"/>
        </w:trPr>
        <w:tc>
          <w:tcPr>
            <w:tcW w:w="6950" w:type="dxa"/>
            <w:gridSpan w:val="11"/>
            <w:hideMark/>
          </w:tcPr>
          <w:p w14:paraId="068B1BF2"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  - წყარო არ არის გათვალისწინებული და მისი წვლილი არაა შეტანილი ფონში.</w:t>
            </w:r>
          </w:p>
        </w:tc>
        <w:tc>
          <w:tcPr>
            <w:tcW w:w="7598" w:type="dxa"/>
            <w:gridSpan w:val="21"/>
            <w:hideMark/>
          </w:tcPr>
          <w:p w14:paraId="21BBD47A"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3</w:t>
            </w:r>
            <w:r>
              <w:rPr>
                <w:rFonts w:ascii="Sylfaen" w:hAnsi="Sylfaen" w:cs="Arial"/>
                <w:sz w:val="16"/>
                <w:szCs w:val="16"/>
                <w:lang w:val="ka-GE"/>
              </w:rPr>
              <w:t xml:space="preserve"> - არაორგანიზებული;</w:t>
            </w:r>
          </w:p>
        </w:tc>
      </w:tr>
      <w:tr w:rsidR="00A2588D" w14:paraId="7411ABB5" w14:textId="77777777" w:rsidTr="00A2588D">
        <w:trPr>
          <w:jc w:val="center"/>
        </w:trPr>
        <w:tc>
          <w:tcPr>
            <w:tcW w:w="6950" w:type="dxa"/>
            <w:gridSpan w:val="11"/>
            <w:hideMark/>
          </w:tcPr>
          <w:p w14:paraId="680CE8D5"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ნიშნულების არარსებობის შემტხვევაში წყარო არ ითვლება.</w:t>
            </w:r>
          </w:p>
        </w:tc>
        <w:tc>
          <w:tcPr>
            <w:tcW w:w="7598" w:type="dxa"/>
            <w:gridSpan w:val="21"/>
            <w:hideMark/>
          </w:tcPr>
          <w:p w14:paraId="524D21AC"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4</w:t>
            </w:r>
            <w:r>
              <w:rPr>
                <w:rFonts w:ascii="Sylfaen" w:hAnsi="Sylfaen" w:cs="Arial"/>
                <w:sz w:val="16"/>
                <w:szCs w:val="16"/>
                <w:lang w:val="ka-GE"/>
              </w:rPr>
              <w:t xml:space="preserve"> - წერტილოვანი წყაროების ერთობლიობა, გაერთიანებული ერთ სიბრტყულად გათვლისთვის;</w:t>
            </w:r>
          </w:p>
        </w:tc>
      </w:tr>
      <w:tr w:rsidR="00A2588D" w14:paraId="66190CE4" w14:textId="77777777" w:rsidTr="00A2588D">
        <w:trPr>
          <w:jc w:val="center"/>
        </w:trPr>
        <w:tc>
          <w:tcPr>
            <w:tcW w:w="6950" w:type="dxa"/>
            <w:gridSpan w:val="11"/>
          </w:tcPr>
          <w:p w14:paraId="64F531FE"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7598" w:type="dxa"/>
            <w:gridSpan w:val="21"/>
            <w:hideMark/>
          </w:tcPr>
          <w:p w14:paraId="2D8BC533"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5</w:t>
            </w:r>
            <w:r>
              <w:rPr>
                <w:rFonts w:ascii="Sylfaen" w:hAnsi="Sylfaen" w:cs="Arial"/>
                <w:sz w:val="16"/>
                <w:szCs w:val="16"/>
                <w:lang w:val="ka-GE"/>
              </w:rPr>
              <w:t xml:space="preserve"> - არაორგანიზებული, დროში ცვლადი გაფრქვევის სიმძლავრით;</w:t>
            </w:r>
          </w:p>
        </w:tc>
      </w:tr>
      <w:tr w:rsidR="00A2588D" w14:paraId="0E4FA1C0" w14:textId="77777777" w:rsidTr="00A2588D">
        <w:trPr>
          <w:jc w:val="center"/>
        </w:trPr>
        <w:tc>
          <w:tcPr>
            <w:tcW w:w="6950" w:type="dxa"/>
            <w:gridSpan w:val="11"/>
          </w:tcPr>
          <w:p w14:paraId="6A107F16"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7598" w:type="dxa"/>
            <w:gridSpan w:val="21"/>
            <w:hideMark/>
          </w:tcPr>
          <w:p w14:paraId="15E85D4A"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6</w:t>
            </w:r>
            <w:r>
              <w:rPr>
                <w:rFonts w:ascii="Sylfaen" w:hAnsi="Sylfaen" w:cs="Arial"/>
                <w:sz w:val="16"/>
                <w:szCs w:val="16"/>
                <w:lang w:val="ka-GE"/>
              </w:rPr>
              <w:t xml:space="preserve"> - წერტილოვანი, ქოლგისებური ან ჰორიზონტალური გაფრქვევით;</w:t>
            </w:r>
          </w:p>
        </w:tc>
      </w:tr>
      <w:tr w:rsidR="00A2588D" w14:paraId="06EB2355" w14:textId="77777777" w:rsidTr="00A2588D">
        <w:trPr>
          <w:jc w:val="center"/>
        </w:trPr>
        <w:tc>
          <w:tcPr>
            <w:tcW w:w="6950" w:type="dxa"/>
            <w:gridSpan w:val="11"/>
          </w:tcPr>
          <w:p w14:paraId="1FFCE944"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7598" w:type="dxa"/>
            <w:gridSpan w:val="21"/>
            <w:hideMark/>
          </w:tcPr>
          <w:p w14:paraId="448D971E"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7</w:t>
            </w:r>
            <w:r>
              <w:rPr>
                <w:rFonts w:ascii="Sylfaen" w:hAnsi="Sylfaen" w:cs="Arial"/>
                <w:sz w:val="16"/>
                <w:szCs w:val="16"/>
                <w:lang w:val="ka-GE"/>
              </w:rPr>
              <w:t xml:space="preserve"> - ქოლგისებური ან ჰორიზონტალური გაფრქვევის წერტილოვანი წყაროების ერთობლიობა;</w:t>
            </w:r>
          </w:p>
        </w:tc>
      </w:tr>
      <w:tr w:rsidR="00A2588D" w14:paraId="67AF49E2" w14:textId="77777777" w:rsidTr="00A2588D">
        <w:trPr>
          <w:jc w:val="center"/>
        </w:trPr>
        <w:tc>
          <w:tcPr>
            <w:tcW w:w="6950" w:type="dxa"/>
            <w:gridSpan w:val="11"/>
          </w:tcPr>
          <w:p w14:paraId="05B727A9"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7598" w:type="dxa"/>
            <w:gridSpan w:val="21"/>
            <w:hideMark/>
          </w:tcPr>
          <w:p w14:paraId="5E791F36"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8</w:t>
            </w:r>
            <w:r>
              <w:rPr>
                <w:rFonts w:ascii="Sylfaen" w:hAnsi="Sylfaen" w:cs="Arial"/>
                <w:sz w:val="16"/>
                <w:szCs w:val="16"/>
                <w:lang w:val="ka-GE"/>
              </w:rPr>
              <w:t xml:space="preserve"> - ავტომაგისტრალი.</w:t>
            </w:r>
          </w:p>
        </w:tc>
      </w:tr>
      <w:tr w:rsidR="00A2588D" w14:paraId="40307516" w14:textId="77777777" w:rsidTr="00A2588D">
        <w:trPr>
          <w:gridAfter w:val="1"/>
          <w:wAfter w:w="321" w:type="dxa"/>
          <w:jc w:val="center"/>
        </w:trPr>
        <w:tc>
          <w:tcPr>
            <w:tcW w:w="540" w:type="dxa"/>
            <w:tcBorders>
              <w:top w:val="single" w:sz="4" w:space="0" w:color="auto"/>
              <w:left w:val="single" w:sz="4" w:space="0" w:color="auto"/>
              <w:bottom w:val="single" w:sz="4" w:space="0" w:color="auto"/>
              <w:right w:val="single" w:sz="4" w:space="0" w:color="auto"/>
            </w:tcBorders>
            <w:hideMark/>
          </w:tcPr>
          <w:p w14:paraId="4AB25930"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hideMark/>
          </w:tcPr>
          <w:p w14:paraId="37146A78"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მოედ.№</w:t>
            </w:r>
          </w:p>
        </w:tc>
        <w:tc>
          <w:tcPr>
            <w:tcW w:w="554" w:type="dxa"/>
            <w:tcBorders>
              <w:top w:val="single" w:sz="4" w:space="0" w:color="auto"/>
              <w:left w:val="single" w:sz="4" w:space="0" w:color="auto"/>
              <w:bottom w:val="single" w:sz="4" w:space="0" w:color="auto"/>
              <w:right w:val="single" w:sz="4" w:space="0" w:color="auto"/>
            </w:tcBorders>
            <w:hideMark/>
          </w:tcPr>
          <w:p w14:paraId="254543E1"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საამქ. №</w:t>
            </w:r>
          </w:p>
        </w:tc>
        <w:tc>
          <w:tcPr>
            <w:tcW w:w="598" w:type="dxa"/>
            <w:tcBorders>
              <w:top w:val="single" w:sz="4" w:space="0" w:color="auto"/>
              <w:left w:val="single" w:sz="4" w:space="0" w:color="auto"/>
              <w:bottom w:val="single" w:sz="4" w:space="0" w:color="auto"/>
              <w:right w:val="single" w:sz="4" w:space="0" w:color="auto"/>
            </w:tcBorders>
            <w:hideMark/>
          </w:tcPr>
          <w:p w14:paraId="6D49D0BF"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წყაროს №</w:t>
            </w:r>
          </w:p>
        </w:tc>
        <w:tc>
          <w:tcPr>
            <w:tcW w:w="2336" w:type="dxa"/>
            <w:gridSpan w:val="2"/>
            <w:tcBorders>
              <w:top w:val="single" w:sz="4" w:space="0" w:color="auto"/>
              <w:left w:val="single" w:sz="4" w:space="0" w:color="auto"/>
              <w:bottom w:val="single" w:sz="4" w:space="0" w:color="auto"/>
              <w:right w:val="single" w:sz="4" w:space="0" w:color="auto"/>
            </w:tcBorders>
            <w:hideMark/>
          </w:tcPr>
          <w:p w14:paraId="43DA3090"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წყაროს დასახელება</w:t>
            </w:r>
          </w:p>
        </w:tc>
        <w:tc>
          <w:tcPr>
            <w:tcW w:w="525" w:type="dxa"/>
            <w:tcBorders>
              <w:top w:val="single" w:sz="4" w:space="0" w:color="auto"/>
              <w:left w:val="single" w:sz="4" w:space="0" w:color="auto"/>
              <w:bottom w:val="single" w:sz="4" w:space="0" w:color="auto"/>
              <w:right w:val="single" w:sz="4" w:space="0" w:color="auto"/>
            </w:tcBorders>
            <w:hideMark/>
          </w:tcPr>
          <w:p w14:paraId="2485E3D9"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hideMark/>
          </w:tcPr>
          <w:p w14:paraId="3F82C603"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hideMark/>
          </w:tcPr>
          <w:p w14:paraId="16F33430"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წყაროს სიმაღლე (მ)</w:t>
            </w:r>
          </w:p>
        </w:tc>
        <w:tc>
          <w:tcPr>
            <w:tcW w:w="803" w:type="dxa"/>
            <w:gridSpan w:val="2"/>
            <w:tcBorders>
              <w:top w:val="single" w:sz="4" w:space="0" w:color="auto"/>
              <w:left w:val="single" w:sz="4" w:space="0" w:color="auto"/>
              <w:bottom w:val="single" w:sz="4" w:space="0" w:color="auto"/>
              <w:right w:val="single" w:sz="4" w:space="0" w:color="auto"/>
            </w:tcBorders>
            <w:hideMark/>
          </w:tcPr>
          <w:p w14:paraId="0B25D9C7"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დიამეტრი (მ)</w:t>
            </w:r>
          </w:p>
        </w:tc>
        <w:tc>
          <w:tcPr>
            <w:tcW w:w="788" w:type="dxa"/>
            <w:gridSpan w:val="3"/>
            <w:tcBorders>
              <w:top w:val="single" w:sz="4" w:space="0" w:color="auto"/>
              <w:left w:val="single" w:sz="4" w:space="0" w:color="auto"/>
              <w:bottom w:val="single" w:sz="4" w:space="0" w:color="auto"/>
              <w:right w:val="single" w:sz="4" w:space="0" w:color="auto"/>
            </w:tcBorders>
            <w:hideMark/>
          </w:tcPr>
          <w:p w14:paraId="46204D95"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აირ-ჰაეროვანი ნარევის მოცულ. (მ3/წმ)</w:t>
            </w:r>
          </w:p>
        </w:tc>
        <w:tc>
          <w:tcPr>
            <w:tcW w:w="817" w:type="dxa"/>
            <w:gridSpan w:val="2"/>
            <w:tcBorders>
              <w:top w:val="single" w:sz="4" w:space="0" w:color="auto"/>
              <w:left w:val="single" w:sz="4" w:space="0" w:color="auto"/>
              <w:bottom w:val="single" w:sz="4" w:space="0" w:color="auto"/>
              <w:right w:val="single" w:sz="4" w:space="0" w:color="auto"/>
            </w:tcBorders>
            <w:hideMark/>
          </w:tcPr>
          <w:p w14:paraId="604D1FFF"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აირ-ჰაეროვანი ნარევის წიჩქარე (მ/წმ)</w:t>
            </w:r>
          </w:p>
        </w:tc>
        <w:tc>
          <w:tcPr>
            <w:tcW w:w="788" w:type="dxa"/>
            <w:gridSpan w:val="2"/>
            <w:tcBorders>
              <w:top w:val="single" w:sz="4" w:space="0" w:color="auto"/>
              <w:left w:val="single" w:sz="4" w:space="0" w:color="auto"/>
              <w:bottom w:val="single" w:sz="4" w:space="0" w:color="auto"/>
              <w:right w:val="single" w:sz="4" w:space="0" w:color="auto"/>
            </w:tcBorders>
            <w:hideMark/>
          </w:tcPr>
          <w:p w14:paraId="09D175CC"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აირ-ჰაეროვანი ნარევის ტემპერატ. (</w:t>
            </w:r>
            <w:r>
              <w:rPr>
                <w:rFonts w:ascii="Sylfaen" w:hAnsi="Sylfaen"/>
                <w:b/>
                <w:bCs/>
                <w:sz w:val="16"/>
                <w:szCs w:val="16"/>
                <w:lang w:val="ka-GE"/>
              </w:rPr>
              <w:t>°C</w:t>
            </w:r>
            <w:r>
              <w:rPr>
                <w:rFonts w:ascii="Sylfaen" w:hAnsi="Sylfaen" w:cs="Arial"/>
                <w:b/>
                <w:bCs/>
                <w:sz w:val="16"/>
                <w:szCs w:val="16"/>
                <w:lang w:val="ka-GE"/>
              </w:rPr>
              <w:t>)</w:t>
            </w:r>
          </w:p>
        </w:tc>
        <w:tc>
          <w:tcPr>
            <w:tcW w:w="540" w:type="dxa"/>
            <w:gridSpan w:val="2"/>
            <w:tcBorders>
              <w:top w:val="single" w:sz="4" w:space="0" w:color="auto"/>
              <w:left w:val="single" w:sz="4" w:space="0" w:color="auto"/>
              <w:bottom w:val="single" w:sz="4" w:space="0" w:color="auto"/>
              <w:right w:val="single" w:sz="4" w:space="0" w:color="auto"/>
            </w:tcBorders>
            <w:hideMark/>
          </w:tcPr>
          <w:p w14:paraId="43A0C5C3"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რელიეფის კოეფ.</w:t>
            </w:r>
          </w:p>
        </w:tc>
        <w:tc>
          <w:tcPr>
            <w:tcW w:w="846" w:type="dxa"/>
            <w:gridSpan w:val="3"/>
            <w:tcBorders>
              <w:top w:val="single" w:sz="4" w:space="0" w:color="auto"/>
              <w:left w:val="single" w:sz="4" w:space="0" w:color="auto"/>
              <w:bottom w:val="single" w:sz="4" w:space="0" w:color="auto"/>
              <w:right w:val="single" w:sz="4" w:space="0" w:color="auto"/>
            </w:tcBorders>
            <w:hideMark/>
          </w:tcPr>
          <w:p w14:paraId="09CF9B97"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კოორდ. X1 ღერძი (მ)</w:t>
            </w:r>
          </w:p>
        </w:tc>
        <w:tc>
          <w:tcPr>
            <w:tcW w:w="846" w:type="dxa"/>
            <w:gridSpan w:val="2"/>
            <w:tcBorders>
              <w:top w:val="single" w:sz="4" w:space="0" w:color="auto"/>
              <w:left w:val="single" w:sz="4" w:space="0" w:color="auto"/>
              <w:bottom w:val="single" w:sz="4" w:space="0" w:color="auto"/>
              <w:right w:val="single" w:sz="4" w:space="0" w:color="auto"/>
            </w:tcBorders>
            <w:hideMark/>
          </w:tcPr>
          <w:p w14:paraId="7C90A9D9"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 xml:space="preserve">კოორდ. </w:t>
            </w:r>
            <w:r>
              <w:rPr>
                <w:rFonts w:ascii="Sylfaen" w:hAnsi="Sylfaen"/>
                <w:b/>
                <w:bCs/>
                <w:sz w:val="16"/>
                <w:szCs w:val="16"/>
                <w:lang w:val="ka-GE"/>
              </w:rPr>
              <w:t>Y1</w:t>
            </w:r>
            <w:r>
              <w:rPr>
                <w:rFonts w:ascii="Sylfaen" w:hAnsi="Sylfaen" w:cs="Arial"/>
                <w:b/>
                <w:bCs/>
                <w:sz w:val="16"/>
                <w:szCs w:val="16"/>
                <w:lang w:val="ka-GE"/>
              </w:rPr>
              <w:t xml:space="preserve"> ღერძი (მ)</w:t>
            </w:r>
          </w:p>
        </w:tc>
        <w:tc>
          <w:tcPr>
            <w:tcW w:w="846" w:type="dxa"/>
            <w:gridSpan w:val="3"/>
            <w:tcBorders>
              <w:top w:val="single" w:sz="4" w:space="0" w:color="auto"/>
              <w:left w:val="single" w:sz="4" w:space="0" w:color="auto"/>
              <w:bottom w:val="single" w:sz="4" w:space="0" w:color="auto"/>
              <w:right w:val="single" w:sz="4" w:space="0" w:color="auto"/>
            </w:tcBorders>
            <w:hideMark/>
          </w:tcPr>
          <w:p w14:paraId="54D0DA4C"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კოორდ. X2 ღერძი (მ)</w:t>
            </w:r>
          </w:p>
        </w:tc>
        <w:tc>
          <w:tcPr>
            <w:tcW w:w="890" w:type="dxa"/>
            <w:tcBorders>
              <w:top w:val="single" w:sz="4" w:space="0" w:color="auto"/>
              <w:left w:val="single" w:sz="4" w:space="0" w:color="auto"/>
              <w:bottom w:val="single" w:sz="4" w:space="0" w:color="auto"/>
              <w:right w:val="single" w:sz="4" w:space="0" w:color="auto"/>
            </w:tcBorders>
            <w:hideMark/>
          </w:tcPr>
          <w:p w14:paraId="6B53882C"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 xml:space="preserve">კოორდ. </w:t>
            </w:r>
            <w:r>
              <w:rPr>
                <w:rFonts w:ascii="Sylfaen" w:hAnsi="Sylfaen"/>
                <w:b/>
                <w:bCs/>
                <w:sz w:val="16"/>
                <w:szCs w:val="16"/>
                <w:lang w:val="ka-GE"/>
              </w:rPr>
              <w:t>Y2</w:t>
            </w:r>
            <w:r>
              <w:rPr>
                <w:rFonts w:ascii="Sylfaen" w:hAnsi="Sylfaen" w:cs="Arial"/>
                <w:b/>
                <w:bCs/>
                <w:sz w:val="16"/>
                <w:szCs w:val="16"/>
                <w:lang w:val="ka-GE"/>
              </w:rPr>
              <w:t xml:space="preserve"> ღერძი (მ)</w:t>
            </w:r>
          </w:p>
        </w:tc>
        <w:tc>
          <w:tcPr>
            <w:tcW w:w="861" w:type="dxa"/>
            <w:tcBorders>
              <w:top w:val="single" w:sz="4" w:space="0" w:color="auto"/>
              <w:left w:val="single" w:sz="4" w:space="0" w:color="auto"/>
              <w:bottom w:val="single" w:sz="4" w:space="0" w:color="auto"/>
              <w:right w:val="single" w:sz="4" w:space="0" w:color="auto"/>
            </w:tcBorders>
            <w:hideMark/>
          </w:tcPr>
          <w:p w14:paraId="7E9BF5C5"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წყაროს სიგანე (მ)</w:t>
            </w:r>
          </w:p>
        </w:tc>
      </w:tr>
      <w:tr w:rsidR="00A2588D" w14:paraId="358B7345" w14:textId="77777777" w:rsidTr="00A2588D">
        <w:trPr>
          <w:gridAfter w:val="1"/>
          <w:wAfter w:w="321" w:type="dxa"/>
          <w:jc w:val="center"/>
        </w:trPr>
        <w:tc>
          <w:tcPr>
            <w:tcW w:w="540" w:type="dxa"/>
            <w:tcBorders>
              <w:top w:val="single" w:sz="4" w:space="0" w:color="auto"/>
              <w:left w:val="single" w:sz="4" w:space="0" w:color="auto"/>
              <w:bottom w:val="single" w:sz="4" w:space="0" w:color="auto"/>
              <w:right w:val="single" w:sz="4" w:space="0" w:color="auto"/>
            </w:tcBorders>
            <w:hideMark/>
          </w:tcPr>
          <w:p w14:paraId="1E08A3D6"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w:t>
            </w:r>
          </w:p>
        </w:tc>
        <w:tc>
          <w:tcPr>
            <w:tcW w:w="540" w:type="dxa"/>
            <w:tcBorders>
              <w:top w:val="single" w:sz="4" w:space="0" w:color="auto"/>
              <w:left w:val="single" w:sz="4" w:space="0" w:color="auto"/>
              <w:bottom w:val="single" w:sz="4" w:space="0" w:color="auto"/>
              <w:right w:val="single" w:sz="4" w:space="0" w:color="auto"/>
            </w:tcBorders>
            <w:hideMark/>
          </w:tcPr>
          <w:p w14:paraId="4C821039"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54" w:type="dxa"/>
            <w:tcBorders>
              <w:top w:val="single" w:sz="4" w:space="0" w:color="auto"/>
              <w:left w:val="single" w:sz="4" w:space="0" w:color="auto"/>
              <w:bottom w:val="single" w:sz="4" w:space="0" w:color="auto"/>
              <w:right w:val="single" w:sz="4" w:space="0" w:color="auto"/>
            </w:tcBorders>
            <w:hideMark/>
          </w:tcPr>
          <w:p w14:paraId="34B53F7D"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98" w:type="dxa"/>
            <w:tcBorders>
              <w:top w:val="single" w:sz="4" w:space="0" w:color="auto"/>
              <w:left w:val="single" w:sz="4" w:space="0" w:color="auto"/>
              <w:bottom w:val="single" w:sz="4" w:space="0" w:color="auto"/>
              <w:right w:val="single" w:sz="4" w:space="0" w:color="auto"/>
            </w:tcBorders>
            <w:hideMark/>
          </w:tcPr>
          <w:p w14:paraId="28515DA7"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p>
        </w:tc>
        <w:tc>
          <w:tcPr>
            <w:tcW w:w="2336" w:type="dxa"/>
            <w:gridSpan w:val="2"/>
            <w:tcBorders>
              <w:top w:val="single" w:sz="4" w:space="0" w:color="auto"/>
              <w:left w:val="single" w:sz="4" w:space="0" w:color="auto"/>
              <w:bottom w:val="single" w:sz="4" w:space="0" w:color="auto"/>
              <w:right w:val="single" w:sz="4" w:space="0" w:color="auto"/>
            </w:tcBorders>
            <w:hideMark/>
          </w:tcPr>
          <w:p w14:paraId="54828ED5"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sz w:val="18"/>
                <w:szCs w:val="18"/>
                <w:lang w:val="ka-GE"/>
              </w:rPr>
              <w:t>დიზელის</w:t>
            </w:r>
            <w:r>
              <w:rPr>
                <w:rFonts w:ascii="Sylfaen" w:hAnsi="Sylfaen" w:cs="Arial"/>
                <w:sz w:val="18"/>
                <w:szCs w:val="18"/>
                <w:lang w:val="ka-GE"/>
              </w:rPr>
              <w:t xml:space="preserve"> </w:t>
            </w:r>
            <w:r>
              <w:rPr>
                <w:rFonts w:ascii="Sylfaen" w:hAnsi="Sylfaen"/>
                <w:sz w:val="18"/>
                <w:szCs w:val="18"/>
                <w:lang w:val="ka-GE"/>
              </w:rPr>
              <w:t>რეზერვუარი</w:t>
            </w:r>
          </w:p>
        </w:tc>
        <w:tc>
          <w:tcPr>
            <w:tcW w:w="525" w:type="dxa"/>
            <w:tcBorders>
              <w:top w:val="single" w:sz="4" w:space="0" w:color="auto"/>
              <w:left w:val="single" w:sz="4" w:space="0" w:color="auto"/>
              <w:bottom w:val="single" w:sz="4" w:space="0" w:color="auto"/>
              <w:right w:val="single" w:sz="4" w:space="0" w:color="auto"/>
            </w:tcBorders>
            <w:hideMark/>
          </w:tcPr>
          <w:p w14:paraId="2FAE5FF1"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p>
        </w:tc>
        <w:tc>
          <w:tcPr>
            <w:tcW w:w="423" w:type="dxa"/>
            <w:tcBorders>
              <w:top w:val="single" w:sz="4" w:space="0" w:color="auto"/>
              <w:left w:val="single" w:sz="4" w:space="0" w:color="auto"/>
              <w:bottom w:val="single" w:sz="4" w:space="0" w:color="auto"/>
              <w:right w:val="single" w:sz="4" w:space="0" w:color="auto"/>
            </w:tcBorders>
            <w:hideMark/>
          </w:tcPr>
          <w:p w14:paraId="4FA35CDE"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p>
        </w:tc>
        <w:tc>
          <w:tcPr>
            <w:tcW w:w="686" w:type="dxa"/>
            <w:gridSpan w:val="2"/>
            <w:tcBorders>
              <w:top w:val="single" w:sz="4" w:space="0" w:color="auto"/>
              <w:left w:val="single" w:sz="4" w:space="0" w:color="auto"/>
              <w:bottom w:val="single" w:sz="4" w:space="0" w:color="auto"/>
              <w:right w:val="single" w:sz="4" w:space="0" w:color="auto"/>
            </w:tcBorders>
            <w:hideMark/>
          </w:tcPr>
          <w:p w14:paraId="492E92F4"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3</w:t>
            </w:r>
            <w:r>
              <w:rPr>
                <w:rFonts w:ascii="Sylfaen" w:hAnsi="Sylfaen" w:cs="Arial"/>
                <w:sz w:val="18"/>
                <w:szCs w:val="18"/>
                <w:lang w:val="ka-GE"/>
              </w:rPr>
              <w:t>,</w:t>
            </w:r>
            <w:r>
              <w:rPr>
                <w:rFonts w:ascii="Sylfaen" w:hAnsi="Sylfaen"/>
                <w:sz w:val="18"/>
                <w:szCs w:val="18"/>
                <w:lang w:val="ka-GE"/>
              </w:rPr>
              <w:t>0</w:t>
            </w:r>
          </w:p>
        </w:tc>
        <w:tc>
          <w:tcPr>
            <w:tcW w:w="803" w:type="dxa"/>
            <w:gridSpan w:val="2"/>
            <w:tcBorders>
              <w:top w:val="single" w:sz="4" w:space="0" w:color="auto"/>
              <w:left w:val="single" w:sz="4" w:space="0" w:color="auto"/>
              <w:bottom w:val="single" w:sz="4" w:space="0" w:color="auto"/>
              <w:right w:val="single" w:sz="4" w:space="0" w:color="auto"/>
            </w:tcBorders>
            <w:hideMark/>
          </w:tcPr>
          <w:p w14:paraId="1AC88079"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25</w:t>
            </w:r>
          </w:p>
        </w:tc>
        <w:tc>
          <w:tcPr>
            <w:tcW w:w="788" w:type="dxa"/>
            <w:gridSpan w:val="3"/>
            <w:tcBorders>
              <w:top w:val="single" w:sz="4" w:space="0" w:color="auto"/>
              <w:left w:val="single" w:sz="4" w:space="0" w:color="auto"/>
              <w:bottom w:val="single" w:sz="4" w:space="0" w:color="auto"/>
              <w:right w:val="single" w:sz="4" w:space="0" w:color="auto"/>
            </w:tcBorders>
            <w:hideMark/>
          </w:tcPr>
          <w:p w14:paraId="18F54FAA"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0083</w:t>
            </w:r>
          </w:p>
        </w:tc>
        <w:tc>
          <w:tcPr>
            <w:tcW w:w="817" w:type="dxa"/>
            <w:gridSpan w:val="2"/>
            <w:tcBorders>
              <w:top w:val="single" w:sz="4" w:space="0" w:color="auto"/>
              <w:left w:val="single" w:sz="4" w:space="0" w:color="auto"/>
              <w:bottom w:val="single" w:sz="4" w:space="0" w:color="auto"/>
              <w:right w:val="single" w:sz="4" w:space="0" w:color="auto"/>
            </w:tcBorders>
            <w:hideMark/>
          </w:tcPr>
          <w:p w14:paraId="15FDFEF5"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16909</w:t>
            </w:r>
          </w:p>
        </w:tc>
        <w:tc>
          <w:tcPr>
            <w:tcW w:w="788" w:type="dxa"/>
            <w:gridSpan w:val="2"/>
            <w:tcBorders>
              <w:top w:val="single" w:sz="4" w:space="0" w:color="auto"/>
              <w:left w:val="single" w:sz="4" w:space="0" w:color="auto"/>
              <w:bottom w:val="single" w:sz="4" w:space="0" w:color="auto"/>
              <w:right w:val="single" w:sz="4" w:space="0" w:color="auto"/>
            </w:tcBorders>
            <w:hideMark/>
          </w:tcPr>
          <w:p w14:paraId="4C2ABA72"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30</w:t>
            </w:r>
          </w:p>
        </w:tc>
        <w:tc>
          <w:tcPr>
            <w:tcW w:w="540" w:type="dxa"/>
            <w:gridSpan w:val="2"/>
            <w:tcBorders>
              <w:top w:val="single" w:sz="4" w:space="0" w:color="auto"/>
              <w:left w:val="single" w:sz="4" w:space="0" w:color="auto"/>
              <w:bottom w:val="single" w:sz="4" w:space="0" w:color="auto"/>
              <w:right w:val="single" w:sz="4" w:space="0" w:color="auto"/>
            </w:tcBorders>
            <w:hideMark/>
          </w:tcPr>
          <w:p w14:paraId="1E3F7F28"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r>
              <w:rPr>
                <w:rFonts w:ascii="Sylfaen" w:hAnsi="Sylfaen" w:cs="Arial"/>
                <w:sz w:val="18"/>
                <w:szCs w:val="18"/>
                <w:lang w:val="ka-GE"/>
              </w:rPr>
              <w:t>,</w:t>
            </w:r>
            <w:r>
              <w:rPr>
                <w:rFonts w:ascii="Sylfaen" w:hAnsi="Sylfaen"/>
                <w:sz w:val="18"/>
                <w:szCs w:val="18"/>
                <w:lang w:val="ka-GE"/>
              </w:rPr>
              <w:t>0</w:t>
            </w:r>
          </w:p>
        </w:tc>
        <w:tc>
          <w:tcPr>
            <w:tcW w:w="846" w:type="dxa"/>
            <w:gridSpan w:val="3"/>
            <w:tcBorders>
              <w:top w:val="single" w:sz="4" w:space="0" w:color="auto"/>
              <w:left w:val="single" w:sz="4" w:space="0" w:color="auto"/>
              <w:bottom w:val="single" w:sz="4" w:space="0" w:color="auto"/>
              <w:right w:val="single" w:sz="4" w:space="0" w:color="auto"/>
            </w:tcBorders>
            <w:hideMark/>
          </w:tcPr>
          <w:p w14:paraId="04FDEFE9"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w:t>
            </w:r>
          </w:p>
        </w:tc>
        <w:tc>
          <w:tcPr>
            <w:tcW w:w="846" w:type="dxa"/>
            <w:gridSpan w:val="2"/>
            <w:tcBorders>
              <w:top w:val="single" w:sz="4" w:space="0" w:color="auto"/>
              <w:left w:val="single" w:sz="4" w:space="0" w:color="auto"/>
              <w:bottom w:val="single" w:sz="4" w:space="0" w:color="auto"/>
              <w:right w:val="single" w:sz="4" w:space="0" w:color="auto"/>
            </w:tcBorders>
            <w:hideMark/>
          </w:tcPr>
          <w:p w14:paraId="1CE970F9"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w:t>
            </w:r>
          </w:p>
        </w:tc>
        <w:tc>
          <w:tcPr>
            <w:tcW w:w="846" w:type="dxa"/>
            <w:gridSpan w:val="3"/>
            <w:tcBorders>
              <w:top w:val="single" w:sz="4" w:space="0" w:color="auto"/>
              <w:left w:val="single" w:sz="4" w:space="0" w:color="auto"/>
              <w:bottom w:val="single" w:sz="4" w:space="0" w:color="auto"/>
              <w:right w:val="single" w:sz="4" w:space="0" w:color="auto"/>
            </w:tcBorders>
            <w:hideMark/>
          </w:tcPr>
          <w:p w14:paraId="429FC431"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w:t>
            </w:r>
          </w:p>
        </w:tc>
        <w:tc>
          <w:tcPr>
            <w:tcW w:w="890" w:type="dxa"/>
            <w:tcBorders>
              <w:top w:val="single" w:sz="4" w:space="0" w:color="auto"/>
              <w:left w:val="single" w:sz="4" w:space="0" w:color="auto"/>
              <w:bottom w:val="single" w:sz="4" w:space="0" w:color="auto"/>
              <w:right w:val="single" w:sz="4" w:space="0" w:color="auto"/>
            </w:tcBorders>
            <w:hideMark/>
          </w:tcPr>
          <w:p w14:paraId="06366D70"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w:t>
            </w:r>
          </w:p>
        </w:tc>
        <w:tc>
          <w:tcPr>
            <w:tcW w:w="861" w:type="dxa"/>
            <w:tcBorders>
              <w:top w:val="single" w:sz="4" w:space="0" w:color="auto"/>
              <w:left w:val="single" w:sz="4" w:space="0" w:color="auto"/>
              <w:bottom w:val="single" w:sz="4" w:space="0" w:color="auto"/>
              <w:right w:val="single" w:sz="4" w:space="0" w:color="auto"/>
            </w:tcBorders>
            <w:hideMark/>
          </w:tcPr>
          <w:p w14:paraId="711108CC"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w:t>
            </w:r>
          </w:p>
        </w:tc>
      </w:tr>
      <w:tr w:rsidR="00A2588D" w14:paraId="5F751A62" w14:textId="77777777" w:rsidTr="00A2588D">
        <w:trPr>
          <w:gridAfter w:val="4"/>
          <w:wAfter w:w="2098" w:type="dxa"/>
          <w:jc w:val="center"/>
        </w:trPr>
        <w:tc>
          <w:tcPr>
            <w:tcW w:w="1080" w:type="dxa"/>
            <w:gridSpan w:val="2"/>
            <w:hideMark/>
          </w:tcPr>
          <w:p w14:paraId="41D1ECF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ნივთ. კოდი</w:t>
            </w:r>
          </w:p>
        </w:tc>
        <w:tc>
          <w:tcPr>
            <w:tcW w:w="3431" w:type="dxa"/>
            <w:gridSpan w:val="3"/>
            <w:hideMark/>
          </w:tcPr>
          <w:p w14:paraId="2D7CA3D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ნივთიერება</w:t>
            </w:r>
          </w:p>
        </w:tc>
        <w:tc>
          <w:tcPr>
            <w:tcW w:w="1314" w:type="dxa"/>
            <w:gridSpan w:val="4"/>
            <w:hideMark/>
          </w:tcPr>
          <w:p w14:paraId="21A615F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გაფრქვევა (გ/წმ)</w:t>
            </w:r>
          </w:p>
        </w:tc>
        <w:tc>
          <w:tcPr>
            <w:tcW w:w="1314" w:type="dxa"/>
            <w:gridSpan w:val="4"/>
            <w:hideMark/>
          </w:tcPr>
          <w:p w14:paraId="7BA6958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გაფრქვევა (ტ/წლ)</w:t>
            </w:r>
          </w:p>
        </w:tc>
        <w:tc>
          <w:tcPr>
            <w:tcW w:w="438" w:type="dxa"/>
            <w:hideMark/>
          </w:tcPr>
          <w:p w14:paraId="40C3373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F</w:t>
            </w:r>
          </w:p>
        </w:tc>
        <w:tc>
          <w:tcPr>
            <w:tcW w:w="511" w:type="dxa"/>
            <w:gridSpan w:val="2"/>
            <w:hideMark/>
          </w:tcPr>
          <w:p w14:paraId="1C2AAE8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ზაფხ.:</w:t>
            </w:r>
          </w:p>
        </w:tc>
        <w:tc>
          <w:tcPr>
            <w:tcW w:w="788" w:type="dxa"/>
            <w:gridSpan w:val="2"/>
            <w:hideMark/>
          </w:tcPr>
          <w:p w14:paraId="2C76073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Cm/</w:t>
            </w:r>
            <w:r>
              <w:rPr>
                <w:rFonts w:ascii="Sylfaen" w:hAnsi="Sylfaen" w:cs="Arial"/>
                <w:sz w:val="16"/>
                <w:szCs w:val="16"/>
                <w:lang w:val="ka-GE"/>
              </w:rPr>
              <w:t>ზდკ</w:t>
            </w:r>
          </w:p>
        </w:tc>
        <w:tc>
          <w:tcPr>
            <w:tcW w:w="627" w:type="dxa"/>
            <w:gridSpan w:val="2"/>
            <w:hideMark/>
          </w:tcPr>
          <w:p w14:paraId="46FFE68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Xm</w:t>
            </w:r>
          </w:p>
        </w:tc>
        <w:tc>
          <w:tcPr>
            <w:tcW w:w="496" w:type="dxa"/>
            <w:gridSpan w:val="2"/>
            <w:hideMark/>
          </w:tcPr>
          <w:p w14:paraId="623CAF0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Um</w:t>
            </w:r>
          </w:p>
        </w:tc>
        <w:tc>
          <w:tcPr>
            <w:tcW w:w="540" w:type="dxa"/>
            <w:hideMark/>
          </w:tcPr>
          <w:p w14:paraId="4D145AE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ზამთ.:</w:t>
            </w:r>
          </w:p>
        </w:tc>
        <w:tc>
          <w:tcPr>
            <w:tcW w:w="788" w:type="dxa"/>
            <w:gridSpan w:val="2"/>
            <w:hideMark/>
          </w:tcPr>
          <w:p w14:paraId="20F0B10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Cm/</w:t>
            </w:r>
            <w:r>
              <w:rPr>
                <w:rFonts w:ascii="Sylfaen" w:hAnsi="Sylfaen" w:cs="Arial"/>
                <w:sz w:val="16"/>
                <w:szCs w:val="16"/>
                <w:lang w:val="ka-GE"/>
              </w:rPr>
              <w:t>ზდკ</w:t>
            </w:r>
          </w:p>
        </w:tc>
        <w:tc>
          <w:tcPr>
            <w:tcW w:w="627" w:type="dxa"/>
            <w:gridSpan w:val="2"/>
            <w:hideMark/>
          </w:tcPr>
          <w:p w14:paraId="4CC33FB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Xm</w:t>
            </w:r>
          </w:p>
        </w:tc>
        <w:tc>
          <w:tcPr>
            <w:tcW w:w="496" w:type="dxa"/>
            <w:hideMark/>
          </w:tcPr>
          <w:p w14:paraId="79702CD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Um</w:t>
            </w:r>
          </w:p>
        </w:tc>
      </w:tr>
      <w:tr w:rsidR="00A2588D" w14:paraId="5497B509" w14:textId="77777777" w:rsidTr="00A2588D">
        <w:trPr>
          <w:gridAfter w:val="4"/>
          <w:wAfter w:w="2098" w:type="dxa"/>
          <w:jc w:val="center"/>
        </w:trPr>
        <w:tc>
          <w:tcPr>
            <w:tcW w:w="1080" w:type="dxa"/>
            <w:gridSpan w:val="2"/>
            <w:hideMark/>
          </w:tcPr>
          <w:p w14:paraId="2A81F93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0333</w:t>
            </w:r>
          </w:p>
        </w:tc>
        <w:tc>
          <w:tcPr>
            <w:tcW w:w="3431" w:type="dxa"/>
            <w:gridSpan w:val="3"/>
            <w:hideMark/>
          </w:tcPr>
          <w:p w14:paraId="5741B39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გოგირდწყალბადი</w:t>
            </w:r>
          </w:p>
        </w:tc>
        <w:tc>
          <w:tcPr>
            <w:tcW w:w="1314" w:type="dxa"/>
            <w:gridSpan w:val="4"/>
            <w:hideMark/>
          </w:tcPr>
          <w:p w14:paraId="0E93FCE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0000091</w:t>
            </w:r>
          </w:p>
        </w:tc>
        <w:tc>
          <w:tcPr>
            <w:tcW w:w="1314" w:type="dxa"/>
            <w:gridSpan w:val="4"/>
            <w:hideMark/>
          </w:tcPr>
          <w:p w14:paraId="5E5906B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1863CFE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482AE16D"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3016E1A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068</w:t>
            </w:r>
          </w:p>
        </w:tc>
        <w:tc>
          <w:tcPr>
            <w:tcW w:w="627" w:type="dxa"/>
            <w:gridSpan w:val="2"/>
            <w:hideMark/>
          </w:tcPr>
          <w:p w14:paraId="78DB68F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7</w:t>
            </w:r>
            <w:r>
              <w:rPr>
                <w:rFonts w:ascii="Sylfaen" w:hAnsi="Sylfaen" w:cs="Arial"/>
                <w:sz w:val="16"/>
                <w:szCs w:val="16"/>
                <w:lang w:val="ka-GE"/>
              </w:rPr>
              <w:t>,</w:t>
            </w:r>
            <w:r>
              <w:rPr>
                <w:rFonts w:ascii="Sylfaen" w:hAnsi="Sylfaen"/>
                <w:sz w:val="16"/>
                <w:szCs w:val="16"/>
                <w:lang w:val="ka-GE"/>
              </w:rPr>
              <w:t>8</w:t>
            </w:r>
          </w:p>
        </w:tc>
        <w:tc>
          <w:tcPr>
            <w:tcW w:w="496" w:type="dxa"/>
            <w:gridSpan w:val="2"/>
            <w:hideMark/>
          </w:tcPr>
          <w:p w14:paraId="1457508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74BA3CA9"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27B620D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068</w:t>
            </w:r>
          </w:p>
        </w:tc>
        <w:tc>
          <w:tcPr>
            <w:tcW w:w="627" w:type="dxa"/>
            <w:gridSpan w:val="2"/>
            <w:hideMark/>
          </w:tcPr>
          <w:p w14:paraId="1117E00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7</w:t>
            </w:r>
            <w:r>
              <w:rPr>
                <w:rFonts w:ascii="Sylfaen" w:hAnsi="Sylfaen" w:cs="Arial"/>
                <w:sz w:val="16"/>
                <w:szCs w:val="16"/>
                <w:lang w:val="ka-GE"/>
              </w:rPr>
              <w:t>,</w:t>
            </w:r>
            <w:r>
              <w:rPr>
                <w:rFonts w:ascii="Sylfaen" w:hAnsi="Sylfaen"/>
                <w:sz w:val="16"/>
                <w:szCs w:val="16"/>
                <w:lang w:val="ka-GE"/>
              </w:rPr>
              <w:t>8</w:t>
            </w:r>
          </w:p>
        </w:tc>
        <w:tc>
          <w:tcPr>
            <w:tcW w:w="496" w:type="dxa"/>
            <w:hideMark/>
          </w:tcPr>
          <w:p w14:paraId="5BFB592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4FAF9E4E" w14:textId="77777777" w:rsidTr="00A2588D">
        <w:trPr>
          <w:gridAfter w:val="4"/>
          <w:wAfter w:w="2098" w:type="dxa"/>
          <w:jc w:val="center"/>
        </w:trPr>
        <w:tc>
          <w:tcPr>
            <w:tcW w:w="1080" w:type="dxa"/>
            <w:gridSpan w:val="2"/>
            <w:hideMark/>
          </w:tcPr>
          <w:p w14:paraId="5B08F6E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2754</w:t>
            </w:r>
          </w:p>
        </w:tc>
        <w:tc>
          <w:tcPr>
            <w:tcW w:w="3431" w:type="dxa"/>
            <w:gridSpan w:val="3"/>
            <w:hideMark/>
          </w:tcPr>
          <w:p w14:paraId="01F4031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 xml:space="preserve">ნაჯერი ნახშირწყალბადები </w:t>
            </w:r>
            <w:r>
              <w:rPr>
                <w:rFonts w:ascii="Sylfaen" w:hAnsi="Sylfaen"/>
                <w:sz w:val="16"/>
                <w:szCs w:val="16"/>
                <w:lang w:val="ka-GE"/>
              </w:rPr>
              <w:t>C12-C19</w:t>
            </w:r>
          </w:p>
        </w:tc>
        <w:tc>
          <w:tcPr>
            <w:tcW w:w="1314" w:type="dxa"/>
            <w:gridSpan w:val="4"/>
            <w:hideMark/>
          </w:tcPr>
          <w:p w14:paraId="092630D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0032575</w:t>
            </w:r>
          </w:p>
        </w:tc>
        <w:tc>
          <w:tcPr>
            <w:tcW w:w="1314" w:type="dxa"/>
            <w:gridSpan w:val="4"/>
            <w:hideMark/>
          </w:tcPr>
          <w:p w14:paraId="192B77A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339A153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392C4ACA"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733DEFE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195</w:t>
            </w:r>
          </w:p>
        </w:tc>
        <w:tc>
          <w:tcPr>
            <w:tcW w:w="627" w:type="dxa"/>
            <w:gridSpan w:val="2"/>
            <w:hideMark/>
          </w:tcPr>
          <w:p w14:paraId="2A28474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7</w:t>
            </w:r>
            <w:r>
              <w:rPr>
                <w:rFonts w:ascii="Sylfaen" w:hAnsi="Sylfaen" w:cs="Arial"/>
                <w:sz w:val="16"/>
                <w:szCs w:val="16"/>
                <w:lang w:val="ka-GE"/>
              </w:rPr>
              <w:t>,</w:t>
            </w:r>
            <w:r>
              <w:rPr>
                <w:rFonts w:ascii="Sylfaen" w:hAnsi="Sylfaen"/>
                <w:sz w:val="16"/>
                <w:szCs w:val="16"/>
                <w:lang w:val="ka-GE"/>
              </w:rPr>
              <w:t>8</w:t>
            </w:r>
          </w:p>
        </w:tc>
        <w:tc>
          <w:tcPr>
            <w:tcW w:w="496" w:type="dxa"/>
            <w:gridSpan w:val="2"/>
            <w:hideMark/>
          </w:tcPr>
          <w:p w14:paraId="6643660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42AD0DD4"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03F8533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195</w:t>
            </w:r>
          </w:p>
        </w:tc>
        <w:tc>
          <w:tcPr>
            <w:tcW w:w="627" w:type="dxa"/>
            <w:gridSpan w:val="2"/>
            <w:hideMark/>
          </w:tcPr>
          <w:p w14:paraId="689D063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7</w:t>
            </w:r>
            <w:r>
              <w:rPr>
                <w:rFonts w:ascii="Sylfaen" w:hAnsi="Sylfaen" w:cs="Arial"/>
                <w:sz w:val="16"/>
                <w:szCs w:val="16"/>
                <w:lang w:val="ka-GE"/>
              </w:rPr>
              <w:t>,</w:t>
            </w:r>
            <w:r>
              <w:rPr>
                <w:rFonts w:ascii="Sylfaen" w:hAnsi="Sylfaen"/>
                <w:sz w:val="16"/>
                <w:szCs w:val="16"/>
                <w:lang w:val="ka-GE"/>
              </w:rPr>
              <w:t>8</w:t>
            </w:r>
          </w:p>
        </w:tc>
        <w:tc>
          <w:tcPr>
            <w:tcW w:w="496" w:type="dxa"/>
            <w:hideMark/>
          </w:tcPr>
          <w:p w14:paraId="6B05919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1E3118D6" w14:textId="77777777" w:rsidTr="00A2588D">
        <w:trPr>
          <w:gridAfter w:val="1"/>
          <w:wAfter w:w="321" w:type="dxa"/>
          <w:jc w:val="center"/>
        </w:trPr>
        <w:tc>
          <w:tcPr>
            <w:tcW w:w="540" w:type="dxa"/>
            <w:tcBorders>
              <w:top w:val="single" w:sz="4" w:space="0" w:color="auto"/>
              <w:left w:val="single" w:sz="4" w:space="0" w:color="auto"/>
              <w:bottom w:val="single" w:sz="4" w:space="0" w:color="auto"/>
              <w:right w:val="single" w:sz="4" w:space="0" w:color="auto"/>
            </w:tcBorders>
            <w:hideMark/>
          </w:tcPr>
          <w:p w14:paraId="1F58FCC4"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w:t>
            </w:r>
          </w:p>
        </w:tc>
        <w:tc>
          <w:tcPr>
            <w:tcW w:w="540" w:type="dxa"/>
            <w:tcBorders>
              <w:top w:val="single" w:sz="4" w:space="0" w:color="auto"/>
              <w:left w:val="single" w:sz="4" w:space="0" w:color="auto"/>
              <w:bottom w:val="single" w:sz="4" w:space="0" w:color="auto"/>
              <w:right w:val="single" w:sz="4" w:space="0" w:color="auto"/>
            </w:tcBorders>
            <w:hideMark/>
          </w:tcPr>
          <w:p w14:paraId="33E5AA4B"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54" w:type="dxa"/>
            <w:tcBorders>
              <w:top w:val="single" w:sz="4" w:space="0" w:color="auto"/>
              <w:left w:val="single" w:sz="4" w:space="0" w:color="auto"/>
              <w:bottom w:val="single" w:sz="4" w:space="0" w:color="auto"/>
              <w:right w:val="single" w:sz="4" w:space="0" w:color="auto"/>
            </w:tcBorders>
            <w:hideMark/>
          </w:tcPr>
          <w:p w14:paraId="0CC2D6D7"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98" w:type="dxa"/>
            <w:tcBorders>
              <w:top w:val="single" w:sz="4" w:space="0" w:color="auto"/>
              <w:left w:val="single" w:sz="4" w:space="0" w:color="auto"/>
              <w:bottom w:val="single" w:sz="4" w:space="0" w:color="auto"/>
              <w:right w:val="single" w:sz="4" w:space="0" w:color="auto"/>
            </w:tcBorders>
            <w:hideMark/>
          </w:tcPr>
          <w:p w14:paraId="29B8B68C"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2</w:t>
            </w:r>
          </w:p>
        </w:tc>
        <w:tc>
          <w:tcPr>
            <w:tcW w:w="2336" w:type="dxa"/>
            <w:gridSpan w:val="2"/>
            <w:tcBorders>
              <w:top w:val="single" w:sz="4" w:space="0" w:color="auto"/>
              <w:left w:val="single" w:sz="4" w:space="0" w:color="auto"/>
              <w:bottom w:val="single" w:sz="4" w:space="0" w:color="auto"/>
              <w:right w:val="single" w:sz="4" w:space="0" w:color="auto"/>
            </w:tcBorders>
            <w:hideMark/>
          </w:tcPr>
          <w:p w14:paraId="2E3FD46E"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sz w:val="18"/>
                <w:szCs w:val="18"/>
                <w:lang w:val="ka-GE"/>
              </w:rPr>
              <w:t>ცემ</w:t>
            </w:r>
            <w:r>
              <w:rPr>
                <w:rFonts w:ascii="Sylfaen" w:hAnsi="Sylfaen" w:cs="Arial"/>
                <w:sz w:val="18"/>
                <w:szCs w:val="18"/>
                <w:lang w:val="ka-GE"/>
              </w:rPr>
              <w:t>.</w:t>
            </w:r>
            <w:r>
              <w:rPr>
                <w:rFonts w:ascii="Sylfaen" w:hAnsi="Sylfaen"/>
                <w:sz w:val="18"/>
                <w:szCs w:val="18"/>
                <w:lang w:val="ka-GE"/>
              </w:rPr>
              <w:t>სილოსი</w:t>
            </w:r>
          </w:p>
        </w:tc>
        <w:tc>
          <w:tcPr>
            <w:tcW w:w="525" w:type="dxa"/>
            <w:tcBorders>
              <w:top w:val="single" w:sz="4" w:space="0" w:color="auto"/>
              <w:left w:val="single" w:sz="4" w:space="0" w:color="auto"/>
              <w:bottom w:val="single" w:sz="4" w:space="0" w:color="auto"/>
              <w:right w:val="single" w:sz="4" w:space="0" w:color="auto"/>
            </w:tcBorders>
            <w:hideMark/>
          </w:tcPr>
          <w:p w14:paraId="61C542F2"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p>
        </w:tc>
        <w:tc>
          <w:tcPr>
            <w:tcW w:w="423" w:type="dxa"/>
            <w:tcBorders>
              <w:top w:val="single" w:sz="4" w:space="0" w:color="auto"/>
              <w:left w:val="single" w:sz="4" w:space="0" w:color="auto"/>
              <w:bottom w:val="single" w:sz="4" w:space="0" w:color="auto"/>
              <w:right w:val="single" w:sz="4" w:space="0" w:color="auto"/>
            </w:tcBorders>
            <w:hideMark/>
          </w:tcPr>
          <w:p w14:paraId="67A62696"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p>
        </w:tc>
        <w:tc>
          <w:tcPr>
            <w:tcW w:w="686" w:type="dxa"/>
            <w:gridSpan w:val="2"/>
            <w:tcBorders>
              <w:top w:val="single" w:sz="4" w:space="0" w:color="auto"/>
              <w:left w:val="single" w:sz="4" w:space="0" w:color="auto"/>
              <w:bottom w:val="single" w:sz="4" w:space="0" w:color="auto"/>
              <w:right w:val="single" w:sz="4" w:space="0" w:color="auto"/>
            </w:tcBorders>
            <w:hideMark/>
          </w:tcPr>
          <w:p w14:paraId="6C233F2D"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18</w:t>
            </w:r>
            <w:r>
              <w:rPr>
                <w:rFonts w:ascii="Sylfaen" w:hAnsi="Sylfaen" w:cs="Arial"/>
                <w:sz w:val="18"/>
                <w:szCs w:val="18"/>
                <w:lang w:val="ka-GE"/>
              </w:rPr>
              <w:t>,</w:t>
            </w:r>
            <w:r>
              <w:rPr>
                <w:rFonts w:ascii="Sylfaen" w:hAnsi="Sylfaen"/>
                <w:sz w:val="18"/>
                <w:szCs w:val="18"/>
                <w:lang w:val="ka-GE"/>
              </w:rPr>
              <w:t>0</w:t>
            </w:r>
          </w:p>
        </w:tc>
        <w:tc>
          <w:tcPr>
            <w:tcW w:w="803" w:type="dxa"/>
            <w:gridSpan w:val="2"/>
            <w:tcBorders>
              <w:top w:val="single" w:sz="4" w:space="0" w:color="auto"/>
              <w:left w:val="single" w:sz="4" w:space="0" w:color="auto"/>
              <w:bottom w:val="single" w:sz="4" w:space="0" w:color="auto"/>
              <w:right w:val="single" w:sz="4" w:space="0" w:color="auto"/>
            </w:tcBorders>
            <w:hideMark/>
          </w:tcPr>
          <w:p w14:paraId="1F3B96C3"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50</w:t>
            </w:r>
          </w:p>
        </w:tc>
        <w:tc>
          <w:tcPr>
            <w:tcW w:w="788" w:type="dxa"/>
            <w:gridSpan w:val="3"/>
            <w:tcBorders>
              <w:top w:val="single" w:sz="4" w:space="0" w:color="auto"/>
              <w:left w:val="single" w:sz="4" w:space="0" w:color="auto"/>
              <w:bottom w:val="single" w:sz="4" w:space="0" w:color="auto"/>
              <w:right w:val="single" w:sz="4" w:space="0" w:color="auto"/>
            </w:tcBorders>
            <w:hideMark/>
          </w:tcPr>
          <w:p w14:paraId="4C138298"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083</w:t>
            </w:r>
          </w:p>
        </w:tc>
        <w:tc>
          <w:tcPr>
            <w:tcW w:w="817" w:type="dxa"/>
            <w:gridSpan w:val="2"/>
            <w:tcBorders>
              <w:top w:val="single" w:sz="4" w:space="0" w:color="auto"/>
              <w:left w:val="single" w:sz="4" w:space="0" w:color="auto"/>
              <w:bottom w:val="single" w:sz="4" w:space="0" w:color="auto"/>
              <w:right w:val="single" w:sz="4" w:space="0" w:color="auto"/>
            </w:tcBorders>
            <w:hideMark/>
          </w:tcPr>
          <w:p w14:paraId="2385CD33"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42272</w:t>
            </w:r>
          </w:p>
        </w:tc>
        <w:tc>
          <w:tcPr>
            <w:tcW w:w="788" w:type="dxa"/>
            <w:gridSpan w:val="2"/>
            <w:tcBorders>
              <w:top w:val="single" w:sz="4" w:space="0" w:color="auto"/>
              <w:left w:val="single" w:sz="4" w:space="0" w:color="auto"/>
              <w:bottom w:val="single" w:sz="4" w:space="0" w:color="auto"/>
              <w:right w:val="single" w:sz="4" w:space="0" w:color="auto"/>
            </w:tcBorders>
            <w:hideMark/>
          </w:tcPr>
          <w:p w14:paraId="5F1DD80B"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30</w:t>
            </w:r>
          </w:p>
        </w:tc>
        <w:tc>
          <w:tcPr>
            <w:tcW w:w="540" w:type="dxa"/>
            <w:gridSpan w:val="2"/>
            <w:tcBorders>
              <w:top w:val="single" w:sz="4" w:space="0" w:color="auto"/>
              <w:left w:val="single" w:sz="4" w:space="0" w:color="auto"/>
              <w:bottom w:val="single" w:sz="4" w:space="0" w:color="auto"/>
              <w:right w:val="single" w:sz="4" w:space="0" w:color="auto"/>
            </w:tcBorders>
            <w:hideMark/>
          </w:tcPr>
          <w:p w14:paraId="16F618E2"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r>
              <w:rPr>
                <w:rFonts w:ascii="Sylfaen" w:hAnsi="Sylfaen" w:cs="Arial"/>
                <w:sz w:val="18"/>
                <w:szCs w:val="18"/>
                <w:lang w:val="ka-GE"/>
              </w:rPr>
              <w:t>,</w:t>
            </w:r>
            <w:r>
              <w:rPr>
                <w:rFonts w:ascii="Sylfaen" w:hAnsi="Sylfaen"/>
                <w:sz w:val="18"/>
                <w:szCs w:val="18"/>
                <w:lang w:val="ka-GE"/>
              </w:rPr>
              <w:t>0</w:t>
            </w:r>
          </w:p>
        </w:tc>
        <w:tc>
          <w:tcPr>
            <w:tcW w:w="846" w:type="dxa"/>
            <w:gridSpan w:val="3"/>
            <w:tcBorders>
              <w:top w:val="single" w:sz="4" w:space="0" w:color="auto"/>
              <w:left w:val="single" w:sz="4" w:space="0" w:color="auto"/>
              <w:bottom w:val="single" w:sz="4" w:space="0" w:color="auto"/>
              <w:right w:val="single" w:sz="4" w:space="0" w:color="auto"/>
            </w:tcBorders>
            <w:hideMark/>
          </w:tcPr>
          <w:p w14:paraId="7A254561"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50</w:t>
            </w:r>
            <w:r>
              <w:rPr>
                <w:rFonts w:ascii="Sylfaen" w:hAnsi="Sylfaen" w:cs="Arial"/>
                <w:sz w:val="18"/>
                <w:szCs w:val="18"/>
                <w:lang w:val="ka-GE"/>
              </w:rPr>
              <w:t>,</w:t>
            </w:r>
            <w:r>
              <w:rPr>
                <w:rFonts w:ascii="Sylfaen" w:hAnsi="Sylfaen"/>
                <w:sz w:val="18"/>
                <w:szCs w:val="18"/>
                <w:lang w:val="ka-GE"/>
              </w:rPr>
              <w:t>0</w:t>
            </w:r>
          </w:p>
        </w:tc>
        <w:tc>
          <w:tcPr>
            <w:tcW w:w="846" w:type="dxa"/>
            <w:gridSpan w:val="2"/>
            <w:tcBorders>
              <w:top w:val="single" w:sz="4" w:space="0" w:color="auto"/>
              <w:left w:val="single" w:sz="4" w:space="0" w:color="auto"/>
              <w:bottom w:val="single" w:sz="4" w:space="0" w:color="auto"/>
              <w:right w:val="single" w:sz="4" w:space="0" w:color="auto"/>
            </w:tcBorders>
            <w:hideMark/>
          </w:tcPr>
          <w:p w14:paraId="02E38BAF"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85</w:t>
            </w:r>
            <w:r>
              <w:rPr>
                <w:rFonts w:ascii="Sylfaen" w:hAnsi="Sylfaen" w:cs="Arial"/>
                <w:sz w:val="18"/>
                <w:szCs w:val="18"/>
                <w:lang w:val="ka-GE"/>
              </w:rPr>
              <w:t>,</w:t>
            </w:r>
            <w:r>
              <w:rPr>
                <w:rFonts w:ascii="Sylfaen" w:hAnsi="Sylfaen"/>
                <w:sz w:val="18"/>
                <w:szCs w:val="18"/>
                <w:lang w:val="ka-GE"/>
              </w:rPr>
              <w:t>0</w:t>
            </w:r>
          </w:p>
        </w:tc>
        <w:tc>
          <w:tcPr>
            <w:tcW w:w="846" w:type="dxa"/>
            <w:gridSpan w:val="3"/>
            <w:tcBorders>
              <w:top w:val="single" w:sz="4" w:space="0" w:color="auto"/>
              <w:left w:val="single" w:sz="4" w:space="0" w:color="auto"/>
              <w:bottom w:val="single" w:sz="4" w:space="0" w:color="auto"/>
              <w:right w:val="single" w:sz="4" w:space="0" w:color="auto"/>
            </w:tcBorders>
            <w:hideMark/>
          </w:tcPr>
          <w:p w14:paraId="6E726C59"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50</w:t>
            </w:r>
            <w:r>
              <w:rPr>
                <w:rFonts w:ascii="Sylfaen" w:hAnsi="Sylfaen" w:cs="Arial"/>
                <w:sz w:val="18"/>
                <w:szCs w:val="18"/>
                <w:lang w:val="ka-GE"/>
              </w:rPr>
              <w:t>,</w:t>
            </w:r>
            <w:r>
              <w:rPr>
                <w:rFonts w:ascii="Sylfaen" w:hAnsi="Sylfaen"/>
                <w:sz w:val="18"/>
                <w:szCs w:val="18"/>
                <w:lang w:val="ka-GE"/>
              </w:rPr>
              <w:t>0</w:t>
            </w:r>
          </w:p>
        </w:tc>
        <w:tc>
          <w:tcPr>
            <w:tcW w:w="890" w:type="dxa"/>
            <w:tcBorders>
              <w:top w:val="single" w:sz="4" w:space="0" w:color="auto"/>
              <w:left w:val="single" w:sz="4" w:space="0" w:color="auto"/>
              <w:bottom w:val="single" w:sz="4" w:space="0" w:color="auto"/>
              <w:right w:val="single" w:sz="4" w:space="0" w:color="auto"/>
            </w:tcBorders>
            <w:hideMark/>
          </w:tcPr>
          <w:p w14:paraId="36B37FE1"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85</w:t>
            </w:r>
            <w:r>
              <w:rPr>
                <w:rFonts w:ascii="Sylfaen" w:hAnsi="Sylfaen" w:cs="Arial"/>
                <w:sz w:val="18"/>
                <w:szCs w:val="18"/>
                <w:lang w:val="ka-GE"/>
              </w:rPr>
              <w:t>,</w:t>
            </w:r>
            <w:r>
              <w:rPr>
                <w:rFonts w:ascii="Sylfaen" w:hAnsi="Sylfaen"/>
                <w:sz w:val="18"/>
                <w:szCs w:val="18"/>
                <w:lang w:val="ka-GE"/>
              </w:rPr>
              <w:t>0</w:t>
            </w:r>
          </w:p>
        </w:tc>
        <w:tc>
          <w:tcPr>
            <w:tcW w:w="861" w:type="dxa"/>
            <w:tcBorders>
              <w:top w:val="single" w:sz="4" w:space="0" w:color="auto"/>
              <w:left w:val="single" w:sz="4" w:space="0" w:color="auto"/>
              <w:bottom w:val="single" w:sz="4" w:space="0" w:color="auto"/>
              <w:right w:val="single" w:sz="4" w:space="0" w:color="auto"/>
            </w:tcBorders>
            <w:hideMark/>
          </w:tcPr>
          <w:p w14:paraId="1F3DBAB9"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w:t>
            </w:r>
          </w:p>
        </w:tc>
      </w:tr>
      <w:tr w:rsidR="00A2588D" w14:paraId="39CBC144" w14:textId="77777777" w:rsidTr="00A2588D">
        <w:trPr>
          <w:gridAfter w:val="4"/>
          <w:wAfter w:w="2098" w:type="dxa"/>
          <w:jc w:val="center"/>
        </w:trPr>
        <w:tc>
          <w:tcPr>
            <w:tcW w:w="1080" w:type="dxa"/>
            <w:gridSpan w:val="2"/>
            <w:hideMark/>
          </w:tcPr>
          <w:p w14:paraId="5C92841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ნივთ. კოდი</w:t>
            </w:r>
          </w:p>
        </w:tc>
        <w:tc>
          <w:tcPr>
            <w:tcW w:w="3431" w:type="dxa"/>
            <w:gridSpan w:val="3"/>
            <w:hideMark/>
          </w:tcPr>
          <w:p w14:paraId="7BE3131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ნივთიერება</w:t>
            </w:r>
          </w:p>
        </w:tc>
        <w:tc>
          <w:tcPr>
            <w:tcW w:w="1314" w:type="dxa"/>
            <w:gridSpan w:val="4"/>
            <w:hideMark/>
          </w:tcPr>
          <w:p w14:paraId="516143C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გაფრქვევა (გ/წმ)</w:t>
            </w:r>
          </w:p>
        </w:tc>
        <w:tc>
          <w:tcPr>
            <w:tcW w:w="1314" w:type="dxa"/>
            <w:gridSpan w:val="4"/>
            <w:hideMark/>
          </w:tcPr>
          <w:p w14:paraId="1B72406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გაფრქვევა (ტ/წლ)</w:t>
            </w:r>
          </w:p>
        </w:tc>
        <w:tc>
          <w:tcPr>
            <w:tcW w:w="438" w:type="dxa"/>
            <w:hideMark/>
          </w:tcPr>
          <w:p w14:paraId="091E573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F</w:t>
            </w:r>
          </w:p>
        </w:tc>
        <w:tc>
          <w:tcPr>
            <w:tcW w:w="511" w:type="dxa"/>
            <w:gridSpan w:val="2"/>
            <w:hideMark/>
          </w:tcPr>
          <w:p w14:paraId="6C05772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ზაფხ.:</w:t>
            </w:r>
          </w:p>
        </w:tc>
        <w:tc>
          <w:tcPr>
            <w:tcW w:w="788" w:type="dxa"/>
            <w:gridSpan w:val="2"/>
            <w:hideMark/>
          </w:tcPr>
          <w:p w14:paraId="28B8212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Cm/</w:t>
            </w:r>
            <w:r>
              <w:rPr>
                <w:rFonts w:ascii="Sylfaen" w:hAnsi="Sylfaen" w:cs="Arial"/>
                <w:sz w:val="16"/>
                <w:szCs w:val="16"/>
                <w:lang w:val="ka-GE"/>
              </w:rPr>
              <w:t>ზდკ</w:t>
            </w:r>
          </w:p>
        </w:tc>
        <w:tc>
          <w:tcPr>
            <w:tcW w:w="627" w:type="dxa"/>
            <w:gridSpan w:val="2"/>
            <w:hideMark/>
          </w:tcPr>
          <w:p w14:paraId="3ADBB77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Xm</w:t>
            </w:r>
          </w:p>
        </w:tc>
        <w:tc>
          <w:tcPr>
            <w:tcW w:w="496" w:type="dxa"/>
            <w:gridSpan w:val="2"/>
            <w:hideMark/>
          </w:tcPr>
          <w:p w14:paraId="1A195CB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Um</w:t>
            </w:r>
          </w:p>
        </w:tc>
        <w:tc>
          <w:tcPr>
            <w:tcW w:w="540" w:type="dxa"/>
            <w:hideMark/>
          </w:tcPr>
          <w:p w14:paraId="5A05C8B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ზამთ.:</w:t>
            </w:r>
          </w:p>
        </w:tc>
        <w:tc>
          <w:tcPr>
            <w:tcW w:w="788" w:type="dxa"/>
            <w:gridSpan w:val="2"/>
            <w:hideMark/>
          </w:tcPr>
          <w:p w14:paraId="2AF118B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Cm/</w:t>
            </w:r>
            <w:r>
              <w:rPr>
                <w:rFonts w:ascii="Sylfaen" w:hAnsi="Sylfaen" w:cs="Arial"/>
                <w:sz w:val="16"/>
                <w:szCs w:val="16"/>
                <w:lang w:val="ka-GE"/>
              </w:rPr>
              <w:t>ზდკ</w:t>
            </w:r>
          </w:p>
        </w:tc>
        <w:tc>
          <w:tcPr>
            <w:tcW w:w="627" w:type="dxa"/>
            <w:gridSpan w:val="2"/>
            <w:hideMark/>
          </w:tcPr>
          <w:p w14:paraId="7E4D622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Xm</w:t>
            </w:r>
          </w:p>
        </w:tc>
        <w:tc>
          <w:tcPr>
            <w:tcW w:w="496" w:type="dxa"/>
            <w:hideMark/>
          </w:tcPr>
          <w:p w14:paraId="79BBEEF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Um</w:t>
            </w:r>
          </w:p>
        </w:tc>
      </w:tr>
      <w:tr w:rsidR="00A2588D" w14:paraId="42039300" w14:textId="77777777" w:rsidTr="00A2588D">
        <w:trPr>
          <w:gridAfter w:val="4"/>
          <w:wAfter w:w="2098" w:type="dxa"/>
          <w:jc w:val="center"/>
        </w:trPr>
        <w:tc>
          <w:tcPr>
            <w:tcW w:w="1080" w:type="dxa"/>
            <w:gridSpan w:val="2"/>
            <w:hideMark/>
          </w:tcPr>
          <w:p w14:paraId="58C21C7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2908</w:t>
            </w:r>
          </w:p>
        </w:tc>
        <w:tc>
          <w:tcPr>
            <w:tcW w:w="3431" w:type="dxa"/>
            <w:gridSpan w:val="3"/>
            <w:hideMark/>
          </w:tcPr>
          <w:p w14:paraId="29CA644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 xml:space="preserve">არაოგანული მტვერი: 70-20% </w:t>
            </w:r>
            <w:r>
              <w:rPr>
                <w:rFonts w:ascii="Sylfaen" w:hAnsi="Sylfaen"/>
                <w:sz w:val="16"/>
                <w:szCs w:val="16"/>
                <w:lang w:val="ka-GE"/>
              </w:rPr>
              <w:t>SiO2</w:t>
            </w:r>
          </w:p>
        </w:tc>
        <w:tc>
          <w:tcPr>
            <w:tcW w:w="1314" w:type="dxa"/>
            <w:gridSpan w:val="4"/>
            <w:hideMark/>
          </w:tcPr>
          <w:p w14:paraId="5477003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0140000</w:t>
            </w:r>
          </w:p>
        </w:tc>
        <w:tc>
          <w:tcPr>
            <w:tcW w:w="1314" w:type="dxa"/>
            <w:gridSpan w:val="4"/>
            <w:hideMark/>
          </w:tcPr>
          <w:p w14:paraId="744F3B4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1EA3019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6E7FF69B"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3E249DD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043</w:t>
            </w:r>
          </w:p>
        </w:tc>
        <w:tc>
          <w:tcPr>
            <w:tcW w:w="627" w:type="dxa"/>
            <w:gridSpan w:val="2"/>
            <w:hideMark/>
          </w:tcPr>
          <w:p w14:paraId="1DC7C23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46</w:t>
            </w:r>
            <w:r>
              <w:rPr>
                <w:rFonts w:ascii="Sylfaen" w:hAnsi="Sylfaen" w:cs="Arial"/>
                <w:sz w:val="16"/>
                <w:szCs w:val="16"/>
                <w:lang w:val="ka-GE"/>
              </w:rPr>
              <w:t>,</w:t>
            </w:r>
            <w:r>
              <w:rPr>
                <w:rFonts w:ascii="Sylfaen" w:hAnsi="Sylfaen"/>
                <w:sz w:val="16"/>
                <w:szCs w:val="16"/>
                <w:lang w:val="ka-GE"/>
              </w:rPr>
              <w:t>4</w:t>
            </w:r>
          </w:p>
        </w:tc>
        <w:tc>
          <w:tcPr>
            <w:tcW w:w="496" w:type="dxa"/>
            <w:gridSpan w:val="2"/>
            <w:hideMark/>
          </w:tcPr>
          <w:p w14:paraId="137320B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42BAA056"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0CA5E24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043</w:t>
            </w:r>
          </w:p>
        </w:tc>
        <w:tc>
          <w:tcPr>
            <w:tcW w:w="627" w:type="dxa"/>
            <w:gridSpan w:val="2"/>
            <w:hideMark/>
          </w:tcPr>
          <w:p w14:paraId="52E5976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46</w:t>
            </w:r>
            <w:r>
              <w:rPr>
                <w:rFonts w:ascii="Sylfaen" w:hAnsi="Sylfaen" w:cs="Arial"/>
                <w:sz w:val="16"/>
                <w:szCs w:val="16"/>
                <w:lang w:val="ka-GE"/>
              </w:rPr>
              <w:t>,</w:t>
            </w:r>
            <w:r>
              <w:rPr>
                <w:rFonts w:ascii="Sylfaen" w:hAnsi="Sylfaen"/>
                <w:sz w:val="16"/>
                <w:szCs w:val="16"/>
                <w:lang w:val="ka-GE"/>
              </w:rPr>
              <w:t>4</w:t>
            </w:r>
          </w:p>
        </w:tc>
        <w:tc>
          <w:tcPr>
            <w:tcW w:w="496" w:type="dxa"/>
            <w:hideMark/>
          </w:tcPr>
          <w:p w14:paraId="4CED2DD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4BEDB13A" w14:textId="77777777" w:rsidTr="00A2588D">
        <w:trPr>
          <w:gridAfter w:val="1"/>
          <w:wAfter w:w="321" w:type="dxa"/>
          <w:jc w:val="center"/>
        </w:trPr>
        <w:tc>
          <w:tcPr>
            <w:tcW w:w="540" w:type="dxa"/>
            <w:tcBorders>
              <w:top w:val="single" w:sz="4" w:space="0" w:color="auto"/>
              <w:left w:val="single" w:sz="4" w:space="0" w:color="auto"/>
              <w:bottom w:val="single" w:sz="4" w:space="0" w:color="auto"/>
              <w:right w:val="single" w:sz="4" w:space="0" w:color="auto"/>
            </w:tcBorders>
            <w:hideMark/>
          </w:tcPr>
          <w:p w14:paraId="1E2B4C4E"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w:t>
            </w:r>
          </w:p>
        </w:tc>
        <w:tc>
          <w:tcPr>
            <w:tcW w:w="540" w:type="dxa"/>
            <w:tcBorders>
              <w:top w:val="single" w:sz="4" w:space="0" w:color="auto"/>
              <w:left w:val="single" w:sz="4" w:space="0" w:color="auto"/>
              <w:bottom w:val="single" w:sz="4" w:space="0" w:color="auto"/>
              <w:right w:val="single" w:sz="4" w:space="0" w:color="auto"/>
            </w:tcBorders>
            <w:hideMark/>
          </w:tcPr>
          <w:p w14:paraId="7E1B15FD"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54" w:type="dxa"/>
            <w:tcBorders>
              <w:top w:val="single" w:sz="4" w:space="0" w:color="auto"/>
              <w:left w:val="single" w:sz="4" w:space="0" w:color="auto"/>
              <w:bottom w:val="single" w:sz="4" w:space="0" w:color="auto"/>
              <w:right w:val="single" w:sz="4" w:space="0" w:color="auto"/>
            </w:tcBorders>
            <w:hideMark/>
          </w:tcPr>
          <w:p w14:paraId="702779F4"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98" w:type="dxa"/>
            <w:tcBorders>
              <w:top w:val="single" w:sz="4" w:space="0" w:color="auto"/>
              <w:left w:val="single" w:sz="4" w:space="0" w:color="auto"/>
              <w:bottom w:val="single" w:sz="4" w:space="0" w:color="auto"/>
              <w:right w:val="single" w:sz="4" w:space="0" w:color="auto"/>
            </w:tcBorders>
            <w:hideMark/>
          </w:tcPr>
          <w:p w14:paraId="357E66F9"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3</w:t>
            </w:r>
          </w:p>
        </w:tc>
        <w:tc>
          <w:tcPr>
            <w:tcW w:w="2336" w:type="dxa"/>
            <w:gridSpan w:val="2"/>
            <w:tcBorders>
              <w:top w:val="single" w:sz="4" w:space="0" w:color="auto"/>
              <w:left w:val="single" w:sz="4" w:space="0" w:color="auto"/>
              <w:bottom w:val="single" w:sz="4" w:space="0" w:color="auto"/>
              <w:right w:val="single" w:sz="4" w:space="0" w:color="auto"/>
            </w:tcBorders>
            <w:hideMark/>
          </w:tcPr>
          <w:p w14:paraId="4D41367F"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sz w:val="18"/>
                <w:szCs w:val="18"/>
                <w:lang w:val="ka-GE"/>
              </w:rPr>
              <w:t>ტრანსპორტიორის</w:t>
            </w:r>
            <w:r>
              <w:rPr>
                <w:rFonts w:ascii="Sylfaen" w:hAnsi="Sylfaen" w:cs="Arial"/>
                <w:sz w:val="18"/>
                <w:szCs w:val="18"/>
                <w:lang w:val="ka-GE"/>
              </w:rPr>
              <w:t xml:space="preserve"> </w:t>
            </w:r>
            <w:r>
              <w:rPr>
                <w:rFonts w:ascii="Sylfaen" w:hAnsi="Sylfaen"/>
                <w:sz w:val="18"/>
                <w:szCs w:val="18"/>
                <w:lang w:val="ka-GE"/>
              </w:rPr>
              <w:t>ლენტა</w:t>
            </w:r>
          </w:p>
        </w:tc>
        <w:tc>
          <w:tcPr>
            <w:tcW w:w="525" w:type="dxa"/>
            <w:tcBorders>
              <w:top w:val="single" w:sz="4" w:space="0" w:color="auto"/>
              <w:left w:val="single" w:sz="4" w:space="0" w:color="auto"/>
              <w:bottom w:val="single" w:sz="4" w:space="0" w:color="auto"/>
              <w:right w:val="single" w:sz="4" w:space="0" w:color="auto"/>
            </w:tcBorders>
            <w:hideMark/>
          </w:tcPr>
          <w:p w14:paraId="59D49062"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p>
        </w:tc>
        <w:tc>
          <w:tcPr>
            <w:tcW w:w="423" w:type="dxa"/>
            <w:tcBorders>
              <w:top w:val="single" w:sz="4" w:space="0" w:color="auto"/>
              <w:left w:val="single" w:sz="4" w:space="0" w:color="auto"/>
              <w:bottom w:val="single" w:sz="4" w:space="0" w:color="auto"/>
              <w:right w:val="single" w:sz="4" w:space="0" w:color="auto"/>
            </w:tcBorders>
            <w:hideMark/>
          </w:tcPr>
          <w:p w14:paraId="4AB3EF2B"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3</w:t>
            </w:r>
          </w:p>
        </w:tc>
        <w:tc>
          <w:tcPr>
            <w:tcW w:w="686" w:type="dxa"/>
            <w:gridSpan w:val="2"/>
            <w:tcBorders>
              <w:top w:val="single" w:sz="4" w:space="0" w:color="auto"/>
              <w:left w:val="single" w:sz="4" w:space="0" w:color="auto"/>
              <w:bottom w:val="single" w:sz="4" w:space="0" w:color="auto"/>
              <w:right w:val="single" w:sz="4" w:space="0" w:color="auto"/>
            </w:tcBorders>
            <w:hideMark/>
          </w:tcPr>
          <w:p w14:paraId="73EB3037"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2</w:t>
            </w:r>
            <w:r>
              <w:rPr>
                <w:rFonts w:ascii="Sylfaen" w:hAnsi="Sylfaen" w:cs="Arial"/>
                <w:sz w:val="18"/>
                <w:szCs w:val="18"/>
                <w:lang w:val="ka-GE"/>
              </w:rPr>
              <w:t>,</w:t>
            </w:r>
            <w:r>
              <w:rPr>
                <w:rFonts w:ascii="Sylfaen" w:hAnsi="Sylfaen"/>
                <w:sz w:val="18"/>
                <w:szCs w:val="18"/>
                <w:lang w:val="ka-GE"/>
              </w:rPr>
              <w:t>0</w:t>
            </w:r>
          </w:p>
        </w:tc>
        <w:tc>
          <w:tcPr>
            <w:tcW w:w="803" w:type="dxa"/>
            <w:gridSpan w:val="2"/>
            <w:tcBorders>
              <w:top w:val="single" w:sz="4" w:space="0" w:color="auto"/>
              <w:left w:val="single" w:sz="4" w:space="0" w:color="auto"/>
              <w:bottom w:val="single" w:sz="4" w:space="0" w:color="auto"/>
              <w:right w:val="single" w:sz="4" w:space="0" w:color="auto"/>
            </w:tcBorders>
            <w:hideMark/>
          </w:tcPr>
          <w:p w14:paraId="20A5A7E4"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w:t>
            </w:r>
          </w:p>
        </w:tc>
        <w:tc>
          <w:tcPr>
            <w:tcW w:w="788" w:type="dxa"/>
            <w:gridSpan w:val="3"/>
            <w:tcBorders>
              <w:top w:val="single" w:sz="4" w:space="0" w:color="auto"/>
              <w:left w:val="single" w:sz="4" w:space="0" w:color="auto"/>
              <w:bottom w:val="single" w:sz="4" w:space="0" w:color="auto"/>
              <w:right w:val="single" w:sz="4" w:space="0" w:color="auto"/>
            </w:tcBorders>
            <w:hideMark/>
          </w:tcPr>
          <w:p w14:paraId="0E269DB0"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817" w:type="dxa"/>
            <w:gridSpan w:val="2"/>
            <w:tcBorders>
              <w:top w:val="single" w:sz="4" w:space="0" w:color="auto"/>
              <w:left w:val="single" w:sz="4" w:space="0" w:color="auto"/>
              <w:bottom w:val="single" w:sz="4" w:space="0" w:color="auto"/>
              <w:right w:val="single" w:sz="4" w:space="0" w:color="auto"/>
            </w:tcBorders>
            <w:hideMark/>
          </w:tcPr>
          <w:p w14:paraId="7A7C23D4"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00000</w:t>
            </w:r>
          </w:p>
        </w:tc>
        <w:tc>
          <w:tcPr>
            <w:tcW w:w="788" w:type="dxa"/>
            <w:gridSpan w:val="2"/>
            <w:tcBorders>
              <w:top w:val="single" w:sz="4" w:space="0" w:color="auto"/>
              <w:left w:val="single" w:sz="4" w:space="0" w:color="auto"/>
              <w:bottom w:val="single" w:sz="4" w:space="0" w:color="auto"/>
              <w:right w:val="single" w:sz="4" w:space="0" w:color="auto"/>
            </w:tcBorders>
            <w:hideMark/>
          </w:tcPr>
          <w:p w14:paraId="07777361"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40" w:type="dxa"/>
            <w:gridSpan w:val="2"/>
            <w:tcBorders>
              <w:top w:val="single" w:sz="4" w:space="0" w:color="auto"/>
              <w:left w:val="single" w:sz="4" w:space="0" w:color="auto"/>
              <w:bottom w:val="single" w:sz="4" w:space="0" w:color="auto"/>
              <w:right w:val="single" w:sz="4" w:space="0" w:color="auto"/>
            </w:tcBorders>
            <w:hideMark/>
          </w:tcPr>
          <w:p w14:paraId="0C92115B"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r>
              <w:rPr>
                <w:rFonts w:ascii="Sylfaen" w:hAnsi="Sylfaen" w:cs="Arial"/>
                <w:sz w:val="18"/>
                <w:szCs w:val="18"/>
                <w:lang w:val="ka-GE"/>
              </w:rPr>
              <w:t>,</w:t>
            </w:r>
            <w:r>
              <w:rPr>
                <w:rFonts w:ascii="Sylfaen" w:hAnsi="Sylfaen"/>
                <w:sz w:val="18"/>
                <w:szCs w:val="18"/>
                <w:lang w:val="ka-GE"/>
              </w:rPr>
              <w:t>0</w:t>
            </w:r>
          </w:p>
        </w:tc>
        <w:tc>
          <w:tcPr>
            <w:tcW w:w="846" w:type="dxa"/>
            <w:gridSpan w:val="3"/>
            <w:tcBorders>
              <w:top w:val="single" w:sz="4" w:space="0" w:color="auto"/>
              <w:left w:val="single" w:sz="4" w:space="0" w:color="auto"/>
              <w:bottom w:val="single" w:sz="4" w:space="0" w:color="auto"/>
              <w:right w:val="single" w:sz="4" w:space="0" w:color="auto"/>
            </w:tcBorders>
            <w:hideMark/>
          </w:tcPr>
          <w:p w14:paraId="5AB07D9D"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43</w:t>
            </w:r>
            <w:r>
              <w:rPr>
                <w:rFonts w:ascii="Sylfaen" w:hAnsi="Sylfaen" w:cs="Arial"/>
                <w:sz w:val="18"/>
                <w:szCs w:val="18"/>
                <w:lang w:val="ka-GE"/>
              </w:rPr>
              <w:t>,</w:t>
            </w:r>
            <w:r>
              <w:rPr>
                <w:rFonts w:ascii="Sylfaen" w:hAnsi="Sylfaen"/>
                <w:sz w:val="18"/>
                <w:szCs w:val="18"/>
                <w:lang w:val="ka-GE"/>
              </w:rPr>
              <w:t>0</w:t>
            </w:r>
          </w:p>
        </w:tc>
        <w:tc>
          <w:tcPr>
            <w:tcW w:w="846" w:type="dxa"/>
            <w:gridSpan w:val="2"/>
            <w:tcBorders>
              <w:top w:val="single" w:sz="4" w:space="0" w:color="auto"/>
              <w:left w:val="single" w:sz="4" w:space="0" w:color="auto"/>
              <w:bottom w:val="single" w:sz="4" w:space="0" w:color="auto"/>
              <w:right w:val="single" w:sz="4" w:space="0" w:color="auto"/>
            </w:tcBorders>
            <w:hideMark/>
          </w:tcPr>
          <w:p w14:paraId="3FCFDAA9"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76</w:t>
            </w:r>
            <w:r>
              <w:rPr>
                <w:rFonts w:ascii="Sylfaen" w:hAnsi="Sylfaen" w:cs="Arial"/>
                <w:sz w:val="18"/>
                <w:szCs w:val="18"/>
                <w:lang w:val="ka-GE"/>
              </w:rPr>
              <w:t>,</w:t>
            </w:r>
            <w:r>
              <w:rPr>
                <w:rFonts w:ascii="Sylfaen" w:hAnsi="Sylfaen"/>
                <w:sz w:val="18"/>
                <w:szCs w:val="18"/>
                <w:lang w:val="ka-GE"/>
              </w:rPr>
              <w:t>0</w:t>
            </w:r>
          </w:p>
        </w:tc>
        <w:tc>
          <w:tcPr>
            <w:tcW w:w="846" w:type="dxa"/>
            <w:gridSpan w:val="3"/>
            <w:tcBorders>
              <w:top w:val="single" w:sz="4" w:space="0" w:color="auto"/>
              <w:left w:val="single" w:sz="4" w:space="0" w:color="auto"/>
              <w:bottom w:val="single" w:sz="4" w:space="0" w:color="auto"/>
              <w:right w:val="single" w:sz="4" w:space="0" w:color="auto"/>
            </w:tcBorders>
            <w:hideMark/>
          </w:tcPr>
          <w:p w14:paraId="24044B14"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30</w:t>
            </w:r>
            <w:r>
              <w:rPr>
                <w:rFonts w:ascii="Sylfaen" w:hAnsi="Sylfaen" w:cs="Arial"/>
                <w:sz w:val="18"/>
                <w:szCs w:val="18"/>
                <w:lang w:val="ka-GE"/>
              </w:rPr>
              <w:t>,</w:t>
            </w:r>
            <w:r>
              <w:rPr>
                <w:rFonts w:ascii="Sylfaen" w:hAnsi="Sylfaen"/>
                <w:sz w:val="18"/>
                <w:szCs w:val="18"/>
                <w:lang w:val="ka-GE"/>
              </w:rPr>
              <w:t>0</w:t>
            </w:r>
          </w:p>
        </w:tc>
        <w:tc>
          <w:tcPr>
            <w:tcW w:w="890" w:type="dxa"/>
            <w:tcBorders>
              <w:top w:val="single" w:sz="4" w:space="0" w:color="auto"/>
              <w:left w:val="single" w:sz="4" w:space="0" w:color="auto"/>
              <w:bottom w:val="single" w:sz="4" w:space="0" w:color="auto"/>
              <w:right w:val="single" w:sz="4" w:space="0" w:color="auto"/>
            </w:tcBorders>
            <w:hideMark/>
          </w:tcPr>
          <w:p w14:paraId="53C11542"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61</w:t>
            </w:r>
            <w:r>
              <w:rPr>
                <w:rFonts w:ascii="Sylfaen" w:hAnsi="Sylfaen" w:cs="Arial"/>
                <w:sz w:val="18"/>
                <w:szCs w:val="18"/>
                <w:lang w:val="ka-GE"/>
              </w:rPr>
              <w:t>,</w:t>
            </w:r>
            <w:r>
              <w:rPr>
                <w:rFonts w:ascii="Sylfaen" w:hAnsi="Sylfaen"/>
                <w:sz w:val="18"/>
                <w:szCs w:val="18"/>
                <w:lang w:val="ka-GE"/>
              </w:rPr>
              <w:t>0</w:t>
            </w:r>
          </w:p>
        </w:tc>
        <w:tc>
          <w:tcPr>
            <w:tcW w:w="861" w:type="dxa"/>
            <w:tcBorders>
              <w:top w:val="single" w:sz="4" w:space="0" w:color="auto"/>
              <w:left w:val="single" w:sz="4" w:space="0" w:color="auto"/>
              <w:bottom w:val="single" w:sz="4" w:space="0" w:color="auto"/>
              <w:right w:val="single" w:sz="4" w:space="0" w:color="auto"/>
            </w:tcBorders>
            <w:hideMark/>
          </w:tcPr>
          <w:p w14:paraId="31595A65"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r>
              <w:rPr>
                <w:rFonts w:ascii="Sylfaen" w:hAnsi="Sylfaen" w:cs="Arial"/>
                <w:sz w:val="18"/>
                <w:szCs w:val="18"/>
                <w:lang w:val="ka-GE"/>
              </w:rPr>
              <w:t>,</w:t>
            </w:r>
            <w:r>
              <w:rPr>
                <w:rFonts w:ascii="Sylfaen" w:hAnsi="Sylfaen"/>
                <w:sz w:val="18"/>
                <w:szCs w:val="18"/>
                <w:lang w:val="ka-GE"/>
              </w:rPr>
              <w:t>00</w:t>
            </w:r>
          </w:p>
        </w:tc>
      </w:tr>
      <w:tr w:rsidR="00A2588D" w14:paraId="4EE3B535" w14:textId="77777777" w:rsidTr="00A2588D">
        <w:trPr>
          <w:gridAfter w:val="4"/>
          <w:wAfter w:w="2098" w:type="dxa"/>
          <w:jc w:val="center"/>
        </w:trPr>
        <w:tc>
          <w:tcPr>
            <w:tcW w:w="1080" w:type="dxa"/>
            <w:gridSpan w:val="2"/>
            <w:hideMark/>
          </w:tcPr>
          <w:p w14:paraId="78B4E46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ნივთ. კოდი</w:t>
            </w:r>
          </w:p>
        </w:tc>
        <w:tc>
          <w:tcPr>
            <w:tcW w:w="3431" w:type="dxa"/>
            <w:gridSpan w:val="3"/>
            <w:hideMark/>
          </w:tcPr>
          <w:p w14:paraId="4EABE1B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ნივთიერება</w:t>
            </w:r>
          </w:p>
        </w:tc>
        <w:tc>
          <w:tcPr>
            <w:tcW w:w="1314" w:type="dxa"/>
            <w:gridSpan w:val="4"/>
            <w:hideMark/>
          </w:tcPr>
          <w:p w14:paraId="32FF2BA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გაფრქვევა (გ/წმ)</w:t>
            </w:r>
          </w:p>
        </w:tc>
        <w:tc>
          <w:tcPr>
            <w:tcW w:w="1314" w:type="dxa"/>
            <w:gridSpan w:val="4"/>
            <w:hideMark/>
          </w:tcPr>
          <w:p w14:paraId="0239ACE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გაფრქვევა (ტ/წლ)</w:t>
            </w:r>
          </w:p>
        </w:tc>
        <w:tc>
          <w:tcPr>
            <w:tcW w:w="438" w:type="dxa"/>
            <w:hideMark/>
          </w:tcPr>
          <w:p w14:paraId="79AA3B6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F</w:t>
            </w:r>
          </w:p>
        </w:tc>
        <w:tc>
          <w:tcPr>
            <w:tcW w:w="511" w:type="dxa"/>
            <w:gridSpan w:val="2"/>
            <w:hideMark/>
          </w:tcPr>
          <w:p w14:paraId="12B6E94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ზაფხ.:</w:t>
            </w:r>
          </w:p>
        </w:tc>
        <w:tc>
          <w:tcPr>
            <w:tcW w:w="788" w:type="dxa"/>
            <w:gridSpan w:val="2"/>
            <w:hideMark/>
          </w:tcPr>
          <w:p w14:paraId="0E20B63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Cm/</w:t>
            </w:r>
            <w:r>
              <w:rPr>
                <w:rFonts w:ascii="Sylfaen" w:hAnsi="Sylfaen" w:cs="Arial"/>
                <w:sz w:val="16"/>
                <w:szCs w:val="16"/>
                <w:lang w:val="ka-GE"/>
              </w:rPr>
              <w:t>ზდკ</w:t>
            </w:r>
          </w:p>
        </w:tc>
        <w:tc>
          <w:tcPr>
            <w:tcW w:w="627" w:type="dxa"/>
            <w:gridSpan w:val="2"/>
            <w:hideMark/>
          </w:tcPr>
          <w:p w14:paraId="17FC33C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Xm</w:t>
            </w:r>
          </w:p>
        </w:tc>
        <w:tc>
          <w:tcPr>
            <w:tcW w:w="496" w:type="dxa"/>
            <w:gridSpan w:val="2"/>
            <w:hideMark/>
          </w:tcPr>
          <w:p w14:paraId="415A34A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Um</w:t>
            </w:r>
          </w:p>
        </w:tc>
        <w:tc>
          <w:tcPr>
            <w:tcW w:w="540" w:type="dxa"/>
            <w:hideMark/>
          </w:tcPr>
          <w:p w14:paraId="3CA3A83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ზამთ.:</w:t>
            </w:r>
          </w:p>
        </w:tc>
        <w:tc>
          <w:tcPr>
            <w:tcW w:w="788" w:type="dxa"/>
            <w:gridSpan w:val="2"/>
            <w:hideMark/>
          </w:tcPr>
          <w:p w14:paraId="6D7917E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Cm/</w:t>
            </w:r>
            <w:r>
              <w:rPr>
                <w:rFonts w:ascii="Sylfaen" w:hAnsi="Sylfaen" w:cs="Arial"/>
                <w:sz w:val="16"/>
                <w:szCs w:val="16"/>
                <w:lang w:val="ka-GE"/>
              </w:rPr>
              <w:t>ზდკ</w:t>
            </w:r>
          </w:p>
        </w:tc>
        <w:tc>
          <w:tcPr>
            <w:tcW w:w="627" w:type="dxa"/>
            <w:gridSpan w:val="2"/>
            <w:hideMark/>
          </w:tcPr>
          <w:p w14:paraId="5995DAA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Xm</w:t>
            </w:r>
          </w:p>
        </w:tc>
        <w:tc>
          <w:tcPr>
            <w:tcW w:w="496" w:type="dxa"/>
            <w:hideMark/>
          </w:tcPr>
          <w:p w14:paraId="64F2BA5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Um</w:t>
            </w:r>
          </w:p>
        </w:tc>
      </w:tr>
      <w:tr w:rsidR="00A2588D" w14:paraId="52BFB9A7" w14:textId="77777777" w:rsidTr="00A2588D">
        <w:trPr>
          <w:gridAfter w:val="4"/>
          <w:wAfter w:w="2098" w:type="dxa"/>
          <w:jc w:val="center"/>
        </w:trPr>
        <w:tc>
          <w:tcPr>
            <w:tcW w:w="1080" w:type="dxa"/>
            <w:gridSpan w:val="2"/>
            <w:hideMark/>
          </w:tcPr>
          <w:p w14:paraId="10AB9A0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2908</w:t>
            </w:r>
          </w:p>
        </w:tc>
        <w:tc>
          <w:tcPr>
            <w:tcW w:w="3431" w:type="dxa"/>
            <w:gridSpan w:val="3"/>
            <w:hideMark/>
          </w:tcPr>
          <w:p w14:paraId="2240EE5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 xml:space="preserve">არაოგანული მტვერი: 70-20% </w:t>
            </w:r>
            <w:r>
              <w:rPr>
                <w:rFonts w:ascii="Sylfaen" w:hAnsi="Sylfaen"/>
                <w:sz w:val="16"/>
                <w:szCs w:val="16"/>
                <w:lang w:val="ka-GE"/>
              </w:rPr>
              <w:t>SiO2</w:t>
            </w:r>
          </w:p>
        </w:tc>
        <w:tc>
          <w:tcPr>
            <w:tcW w:w="1314" w:type="dxa"/>
            <w:gridSpan w:val="4"/>
            <w:hideMark/>
          </w:tcPr>
          <w:p w14:paraId="3004336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0021670</w:t>
            </w:r>
          </w:p>
        </w:tc>
        <w:tc>
          <w:tcPr>
            <w:tcW w:w="1314" w:type="dxa"/>
            <w:gridSpan w:val="4"/>
            <w:hideMark/>
          </w:tcPr>
          <w:p w14:paraId="2C33FDC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619BD0E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511" w:type="dxa"/>
            <w:gridSpan w:val="2"/>
          </w:tcPr>
          <w:p w14:paraId="31AAE3D3"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03F2D35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774</w:t>
            </w:r>
          </w:p>
        </w:tc>
        <w:tc>
          <w:tcPr>
            <w:tcW w:w="627" w:type="dxa"/>
            <w:gridSpan w:val="2"/>
            <w:hideMark/>
          </w:tcPr>
          <w:p w14:paraId="15A1B71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5</w:t>
            </w:r>
            <w:r>
              <w:rPr>
                <w:rFonts w:ascii="Sylfaen" w:hAnsi="Sylfaen" w:cs="Arial"/>
                <w:sz w:val="16"/>
                <w:szCs w:val="16"/>
                <w:lang w:val="ka-GE"/>
              </w:rPr>
              <w:t>,</w:t>
            </w:r>
            <w:r>
              <w:rPr>
                <w:rFonts w:ascii="Sylfaen" w:hAnsi="Sylfaen"/>
                <w:sz w:val="16"/>
                <w:szCs w:val="16"/>
                <w:lang w:val="ka-GE"/>
              </w:rPr>
              <w:t>7</w:t>
            </w:r>
          </w:p>
        </w:tc>
        <w:tc>
          <w:tcPr>
            <w:tcW w:w="496" w:type="dxa"/>
            <w:gridSpan w:val="2"/>
            <w:hideMark/>
          </w:tcPr>
          <w:p w14:paraId="77F915E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29CA8CD3"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5A8933D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774</w:t>
            </w:r>
          </w:p>
        </w:tc>
        <w:tc>
          <w:tcPr>
            <w:tcW w:w="627" w:type="dxa"/>
            <w:gridSpan w:val="2"/>
            <w:hideMark/>
          </w:tcPr>
          <w:p w14:paraId="5C95EFD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5</w:t>
            </w:r>
            <w:r>
              <w:rPr>
                <w:rFonts w:ascii="Sylfaen" w:hAnsi="Sylfaen" w:cs="Arial"/>
                <w:sz w:val="16"/>
                <w:szCs w:val="16"/>
                <w:lang w:val="ka-GE"/>
              </w:rPr>
              <w:t>,</w:t>
            </w:r>
            <w:r>
              <w:rPr>
                <w:rFonts w:ascii="Sylfaen" w:hAnsi="Sylfaen"/>
                <w:sz w:val="16"/>
                <w:szCs w:val="16"/>
                <w:lang w:val="ka-GE"/>
              </w:rPr>
              <w:t>7</w:t>
            </w:r>
          </w:p>
        </w:tc>
        <w:tc>
          <w:tcPr>
            <w:tcW w:w="496" w:type="dxa"/>
            <w:hideMark/>
          </w:tcPr>
          <w:p w14:paraId="7F1E917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28F0002B" w14:textId="77777777" w:rsidTr="00A2588D">
        <w:trPr>
          <w:gridAfter w:val="1"/>
          <w:wAfter w:w="321" w:type="dxa"/>
          <w:jc w:val="center"/>
        </w:trPr>
        <w:tc>
          <w:tcPr>
            <w:tcW w:w="540" w:type="dxa"/>
            <w:tcBorders>
              <w:top w:val="single" w:sz="4" w:space="0" w:color="auto"/>
              <w:left w:val="single" w:sz="4" w:space="0" w:color="auto"/>
              <w:bottom w:val="single" w:sz="4" w:space="0" w:color="auto"/>
              <w:right w:val="single" w:sz="4" w:space="0" w:color="auto"/>
            </w:tcBorders>
            <w:hideMark/>
          </w:tcPr>
          <w:p w14:paraId="20422EAF"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w:t>
            </w:r>
          </w:p>
        </w:tc>
        <w:tc>
          <w:tcPr>
            <w:tcW w:w="540" w:type="dxa"/>
            <w:tcBorders>
              <w:top w:val="single" w:sz="4" w:space="0" w:color="auto"/>
              <w:left w:val="single" w:sz="4" w:space="0" w:color="auto"/>
              <w:bottom w:val="single" w:sz="4" w:space="0" w:color="auto"/>
              <w:right w:val="single" w:sz="4" w:space="0" w:color="auto"/>
            </w:tcBorders>
            <w:hideMark/>
          </w:tcPr>
          <w:p w14:paraId="2605C272"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54" w:type="dxa"/>
            <w:tcBorders>
              <w:top w:val="single" w:sz="4" w:space="0" w:color="auto"/>
              <w:left w:val="single" w:sz="4" w:space="0" w:color="auto"/>
              <w:bottom w:val="single" w:sz="4" w:space="0" w:color="auto"/>
              <w:right w:val="single" w:sz="4" w:space="0" w:color="auto"/>
            </w:tcBorders>
            <w:hideMark/>
          </w:tcPr>
          <w:p w14:paraId="46016535"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98" w:type="dxa"/>
            <w:tcBorders>
              <w:top w:val="single" w:sz="4" w:space="0" w:color="auto"/>
              <w:left w:val="single" w:sz="4" w:space="0" w:color="auto"/>
              <w:bottom w:val="single" w:sz="4" w:space="0" w:color="auto"/>
              <w:right w:val="single" w:sz="4" w:space="0" w:color="auto"/>
            </w:tcBorders>
            <w:hideMark/>
          </w:tcPr>
          <w:p w14:paraId="3E947B45"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4</w:t>
            </w:r>
          </w:p>
        </w:tc>
        <w:tc>
          <w:tcPr>
            <w:tcW w:w="2336" w:type="dxa"/>
            <w:gridSpan w:val="2"/>
            <w:tcBorders>
              <w:top w:val="single" w:sz="4" w:space="0" w:color="auto"/>
              <w:left w:val="single" w:sz="4" w:space="0" w:color="auto"/>
              <w:bottom w:val="single" w:sz="4" w:space="0" w:color="auto"/>
              <w:right w:val="single" w:sz="4" w:space="0" w:color="auto"/>
            </w:tcBorders>
            <w:hideMark/>
          </w:tcPr>
          <w:p w14:paraId="6149D7D0"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sz w:val="18"/>
                <w:szCs w:val="18"/>
                <w:lang w:val="ka-GE"/>
              </w:rPr>
              <w:t>სამსხვრევი</w:t>
            </w:r>
          </w:p>
        </w:tc>
        <w:tc>
          <w:tcPr>
            <w:tcW w:w="525" w:type="dxa"/>
            <w:tcBorders>
              <w:top w:val="single" w:sz="4" w:space="0" w:color="auto"/>
              <w:left w:val="single" w:sz="4" w:space="0" w:color="auto"/>
              <w:bottom w:val="single" w:sz="4" w:space="0" w:color="auto"/>
              <w:right w:val="single" w:sz="4" w:space="0" w:color="auto"/>
            </w:tcBorders>
            <w:hideMark/>
          </w:tcPr>
          <w:p w14:paraId="68E926EB"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p>
        </w:tc>
        <w:tc>
          <w:tcPr>
            <w:tcW w:w="423" w:type="dxa"/>
            <w:tcBorders>
              <w:top w:val="single" w:sz="4" w:space="0" w:color="auto"/>
              <w:left w:val="single" w:sz="4" w:space="0" w:color="auto"/>
              <w:bottom w:val="single" w:sz="4" w:space="0" w:color="auto"/>
              <w:right w:val="single" w:sz="4" w:space="0" w:color="auto"/>
            </w:tcBorders>
            <w:hideMark/>
          </w:tcPr>
          <w:p w14:paraId="5386F5D6"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3</w:t>
            </w:r>
          </w:p>
        </w:tc>
        <w:tc>
          <w:tcPr>
            <w:tcW w:w="686" w:type="dxa"/>
            <w:gridSpan w:val="2"/>
            <w:tcBorders>
              <w:top w:val="single" w:sz="4" w:space="0" w:color="auto"/>
              <w:left w:val="single" w:sz="4" w:space="0" w:color="auto"/>
              <w:bottom w:val="single" w:sz="4" w:space="0" w:color="auto"/>
              <w:right w:val="single" w:sz="4" w:space="0" w:color="auto"/>
            </w:tcBorders>
            <w:hideMark/>
          </w:tcPr>
          <w:p w14:paraId="7B92053B"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5</w:t>
            </w:r>
            <w:r>
              <w:rPr>
                <w:rFonts w:ascii="Sylfaen" w:hAnsi="Sylfaen" w:cs="Arial"/>
                <w:sz w:val="18"/>
                <w:szCs w:val="18"/>
                <w:lang w:val="ka-GE"/>
              </w:rPr>
              <w:t>,</w:t>
            </w:r>
            <w:r>
              <w:rPr>
                <w:rFonts w:ascii="Sylfaen" w:hAnsi="Sylfaen"/>
                <w:sz w:val="18"/>
                <w:szCs w:val="18"/>
                <w:lang w:val="ka-GE"/>
              </w:rPr>
              <w:t>0</w:t>
            </w:r>
          </w:p>
        </w:tc>
        <w:tc>
          <w:tcPr>
            <w:tcW w:w="803" w:type="dxa"/>
            <w:gridSpan w:val="2"/>
            <w:tcBorders>
              <w:top w:val="single" w:sz="4" w:space="0" w:color="auto"/>
              <w:left w:val="single" w:sz="4" w:space="0" w:color="auto"/>
              <w:bottom w:val="single" w:sz="4" w:space="0" w:color="auto"/>
              <w:right w:val="single" w:sz="4" w:space="0" w:color="auto"/>
            </w:tcBorders>
            <w:hideMark/>
          </w:tcPr>
          <w:p w14:paraId="2BDF9741"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w:t>
            </w:r>
          </w:p>
        </w:tc>
        <w:tc>
          <w:tcPr>
            <w:tcW w:w="788" w:type="dxa"/>
            <w:gridSpan w:val="3"/>
            <w:tcBorders>
              <w:top w:val="single" w:sz="4" w:space="0" w:color="auto"/>
              <w:left w:val="single" w:sz="4" w:space="0" w:color="auto"/>
              <w:bottom w:val="single" w:sz="4" w:space="0" w:color="auto"/>
              <w:right w:val="single" w:sz="4" w:space="0" w:color="auto"/>
            </w:tcBorders>
            <w:hideMark/>
          </w:tcPr>
          <w:p w14:paraId="3BBA64F7"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817" w:type="dxa"/>
            <w:gridSpan w:val="2"/>
            <w:tcBorders>
              <w:top w:val="single" w:sz="4" w:space="0" w:color="auto"/>
              <w:left w:val="single" w:sz="4" w:space="0" w:color="auto"/>
              <w:bottom w:val="single" w:sz="4" w:space="0" w:color="auto"/>
              <w:right w:val="single" w:sz="4" w:space="0" w:color="auto"/>
            </w:tcBorders>
            <w:hideMark/>
          </w:tcPr>
          <w:p w14:paraId="78C03517"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00000</w:t>
            </w:r>
          </w:p>
        </w:tc>
        <w:tc>
          <w:tcPr>
            <w:tcW w:w="788" w:type="dxa"/>
            <w:gridSpan w:val="2"/>
            <w:tcBorders>
              <w:top w:val="single" w:sz="4" w:space="0" w:color="auto"/>
              <w:left w:val="single" w:sz="4" w:space="0" w:color="auto"/>
              <w:bottom w:val="single" w:sz="4" w:space="0" w:color="auto"/>
              <w:right w:val="single" w:sz="4" w:space="0" w:color="auto"/>
            </w:tcBorders>
            <w:hideMark/>
          </w:tcPr>
          <w:p w14:paraId="00C199A3"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40" w:type="dxa"/>
            <w:gridSpan w:val="2"/>
            <w:tcBorders>
              <w:top w:val="single" w:sz="4" w:space="0" w:color="auto"/>
              <w:left w:val="single" w:sz="4" w:space="0" w:color="auto"/>
              <w:bottom w:val="single" w:sz="4" w:space="0" w:color="auto"/>
              <w:right w:val="single" w:sz="4" w:space="0" w:color="auto"/>
            </w:tcBorders>
            <w:hideMark/>
          </w:tcPr>
          <w:p w14:paraId="1E2FB372"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r>
              <w:rPr>
                <w:rFonts w:ascii="Sylfaen" w:hAnsi="Sylfaen" w:cs="Arial"/>
                <w:sz w:val="18"/>
                <w:szCs w:val="18"/>
                <w:lang w:val="ka-GE"/>
              </w:rPr>
              <w:t>,</w:t>
            </w:r>
            <w:r>
              <w:rPr>
                <w:rFonts w:ascii="Sylfaen" w:hAnsi="Sylfaen"/>
                <w:sz w:val="18"/>
                <w:szCs w:val="18"/>
                <w:lang w:val="ka-GE"/>
              </w:rPr>
              <w:t>0</w:t>
            </w:r>
          </w:p>
        </w:tc>
        <w:tc>
          <w:tcPr>
            <w:tcW w:w="846" w:type="dxa"/>
            <w:gridSpan w:val="3"/>
            <w:tcBorders>
              <w:top w:val="single" w:sz="4" w:space="0" w:color="auto"/>
              <w:left w:val="single" w:sz="4" w:space="0" w:color="auto"/>
              <w:bottom w:val="single" w:sz="4" w:space="0" w:color="auto"/>
              <w:right w:val="single" w:sz="4" w:space="0" w:color="auto"/>
            </w:tcBorders>
            <w:hideMark/>
          </w:tcPr>
          <w:p w14:paraId="2703DCDB"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51</w:t>
            </w:r>
            <w:r>
              <w:rPr>
                <w:rFonts w:ascii="Sylfaen" w:hAnsi="Sylfaen" w:cs="Arial"/>
                <w:sz w:val="18"/>
                <w:szCs w:val="18"/>
                <w:lang w:val="ka-GE"/>
              </w:rPr>
              <w:t>,</w:t>
            </w:r>
            <w:r>
              <w:rPr>
                <w:rFonts w:ascii="Sylfaen" w:hAnsi="Sylfaen"/>
                <w:sz w:val="18"/>
                <w:szCs w:val="18"/>
                <w:lang w:val="ka-GE"/>
              </w:rPr>
              <w:t>0</w:t>
            </w:r>
          </w:p>
        </w:tc>
        <w:tc>
          <w:tcPr>
            <w:tcW w:w="846" w:type="dxa"/>
            <w:gridSpan w:val="2"/>
            <w:tcBorders>
              <w:top w:val="single" w:sz="4" w:space="0" w:color="auto"/>
              <w:left w:val="single" w:sz="4" w:space="0" w:color="auto"/>
              <w:bottom w:val="single" w:sz="4" w:space="0" w:color="auto"/>
              <w:right w:val="single" w:sz="4" w:space="0" w:color="auto"/>
            </w:tcBorders>
            <w:hideMark/>
          </w:tcPr>
          <w:p w14:paraId="5A3C84A0"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39</w:t>
            </w:r>
            <w:r>
              <w:rPr>
                <w:rFonts w:ascii="Sylfaen" w:hAnsi="Sylfaen" w:cs="Arial"/>
                <w:sz w:val="18"/>
                <w:szCs w:val="18"/>
                <w:lang w:val="ka-GE"/>
              </w:rPr>
              <w:t>,</w:t>
            </w:r>
            <w:r>
              <w:rPr>
                <w:rFonts w:ascii="Sylfaen" w:hAnsi="Sylfaen"/>
                <w:sz w:val="18"/>
                <w:szCs w:val="18"/>
                <w:lang w:val="ka-GE"/>
              </w:rPr>
              <w:t>0</w:t>
            </w:r>
          </w:p>
        </w:tc>
        <w:tc>
          <w:tcPr>
            <w:tcW w:w="846" w:type="dxa"/>
            <w:gridSpan w:val="3"/>
            <w:tcBorders>
              <w:top w:val="single" w:sz="4" w:space="0" w:color="auto"/>
              <w:left w:val="single" w:sz="4" w:space="0" w:color="auto"/>
              <w:bottom w:val="single" w:sz="4" w:space="0" w:color="auto"/>
              <w:right w:val="single" w:sz="4" w:space="0" w:color="auto"/>
            </w:tcBorders>
            <w:hideMark/>
          </w:tcPr>
          <w:p w14:paraId="5EB8E61F"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59</w:t>
            </w:r>
            <w:r>
              <w:rPr>
                <w:rFonts w:ascii="Sylfaen" w:hAnsi="Sylfaen" w:cs="Arial"/>
                <w:sz w:val="18"/>
                <w:szCs w:val="18"/>
                <w:lang w:val="ka-GE"/>
              </w:rPr>
              <w:t>,</w:t>
            </w:r>
            <w:r>
              <w:rPr>
                <w:rFonts w:ascii="Sylfaen" w:hAnsi="Sylfaen"/>
                <w:sz w:val="18"/>
                <w:szCs w:val="18"/>
                <w:lang w:val="ka-GE"/>
              </w:rPr>
              <w:t>0</w:t>
            </w:r>
          </w:p>
        </w:tc>
        <w:tc>
          <w:tcPr>
            <w:tcW w:w="890" w:type="dxa"/>
            <w:tcBorders>
              <w:top w:val="single" w:sz="4" w:space="0" w:color="auto"/>
              <w:left w:val="single" w:sz="4" w:space="0" w:color="auto"/>
              <w:bottom w:val="single" w:sz="4" w:space="0" w:color="auto"/>
              <w:right w:val="single" w:sz="4" w:space="0" w:color="auto"/>
            </w:tcBorders>
            <w:hideMark/>
          </w:tcPr>
          <w:p w14:paraId="76611C4F"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33</w:t>
            </w:r>
            <w:r>
              <w:rPr>
                <w:rFonts w:ascii="Sylfaen" w:hAnsi="Sylfaen" w:cs="Arial"/>
                <w:sz w:val="18"/>
                <w:szCs w:val="18"/>
                <w:lang w:val="ka-GE"/>
              </w:rPr>
              <w:t>,</w:t>
            </w:r>
            <w:r>
              <w:rPr>
                <w:rFonts w:ascii="Sylfaen" w:hAnsi="Sylfaen"/>
                <w:sz w:val="18"/>
                <w:szCs w:val="18"/>
                <w:lang w:val="ka-GE"/>
              </w:rPr>
              <w:t>0</w:t>
            </w:r>
          </w:p>
        </w:tc>
        <w:tc>
          <w:tcPr>
            <w:tcW w:w="861" w:type="dxa"/>
            <w:tcBorders>
              <w:top w:val="single" w:sz="4" w:space="0" w:color="auto"/>
              <w:left w:val="single" w:sz="4" w:space="0" w:color="auto"/>
              <w:bottom w:val="single" w:sz="4" w:space="0" w:color="auto"/>
              <w:right w:val="single" w:sz="4" w:space="0" w:color="auto"/>
            </w:tcBorders>
            <w:hideMark/>
          </w:tcPr>
          <w:p w14:paraId="0687F5DE"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10</w:t>
            </w:r>
            <w:r>
              <w:rPr>
                <w:rFonts w:ascii="Sylfaen" w:hAnsi="Sylfaen" w:cs="Arial"/>
                <w:sz w:val="18"/>
                <w:szCs w:val="18"/>
                <w:lang w:val="ka-GE"/>
              </w:rPr>
              <w:t>,</w:t>
            </w:r>
            <w:r>
              <w:rPr>
                <w:rFonts w:ascii="Sylfaen" w:hAnsi="Sylfaen"/>
                <w:sz w:val="18"/>
                <w:szCs w:val="18"/>
                <w:lang w:val="ka-GE"/>
              </w:rPr>
              <w:t>00</w:t>
            </w:r>
          </w:p>
        </w:tc>
      </w:tr>
      <w:tr w:rsidR="00A2588D" w14:paraId="2C837346" w14:textId="77777777" w:rsidTr="00A2588D">
        <w:trPr>
          <w:gridAfter w:val="4"/>
          <w:wAfter w:w="2098" w:type="dxa"/>
          <w:jc w:val="center"/>
        </w:trPr>
        <w:tc>
          <w:tcPr>
            <w:tcW w:w="1080" w:type="dxa"/>
            <w:gridSpan w:val="2"/>
            <w:hideMark/>
          </w:tcPr>
          <w:p w14:paraId="1A43462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ნივთ. კოდი</w:t>
            </w:r>
          </w:p>
        </w:tc>
        <w:tc>
          <w:tcPr>
            <w:tcW w:w="3431" w:type="dxa"/>
            <w:gridSpan w:val="3"/>
            <w:hideMark/>
          </w:tcPr>
          <w:p w14:paraId="21E6A8B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ნივთიერება</w:t>
            </w:r>
          </w:p>
        </w:tc>
        <w:tc>
          <w:tcPr>
            <w:tcW w:w="1314" w:type="dxa"/>
            <w:gridSpan w:val="4"/>
            <w:hideMark/>
          </w:tcPr>
          <w:p w14:paraId="28E38C4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გაფრქვევა (გ/წმ)</w:t>
            </w:r>
          </w:p>
        </w:tc>
        <w:tc>
          <w:tcPr>
            <w:tcW w:w="1314" w:type="dxa"/>
            <w:gridSpan w:val="4"/>
            <w:hideMark/>
          </w:tcPr>
          <w:p w14:paraId="3C89A68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გაფრქვევა (ტ/წლ)</w:t>
            </w:r>
          </w:p>
        </w:tc>
        <w:tc>
          <w:tcPr>
            <w:tcW w:w="438" w:type="dxa"/>
            <w:hideMark/>
          </w:tcPr>
          <w:p w14:paraId="07C5A8D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F</w:t>
            </w:r>
          </w:p>
        </w:tc>
        <w:tc>
          <w:tcPr>
            <w:tcW w:w="511" w:type="dxa"/>
            <w:gridSpan w:val="2"/>
            <w:hideMark/>
          </w:tcPr>
          <w:p w14:paraId="44EAEAE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ზაფხ.:</w:t>
            </w:r>
          </w:p>
        </w:tc>
        <w:tc>
          <w:tcPr>
            <w:tcW w:w="788" w:type="dxa"/>
            <w:gridSpan w:val="2"/>
            <w:hideMark/>
          </w:tcPr>
          <w:p w14:paraId="0341FBC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Cm/</w:t>
            </w:r>
            <w:r>
              <w:rPr>
                <w:rFonts w:ascii="Sylfaen" w:hAnsi="Sylfaen" w:cs="Arial"/>
                <w:sz w:val="16"/>
                <w:szCs w:val="16"/>
                <w:lang w:val="ka-GE"/>
              </w:rPr>
              <w:t>ზდკ</w:t>
            </w:r>
          </w:p>
        </w:tc>
        <w:tc>
          <w:tcPr>
            <w:tcW w:w="627" w:type="dxa"/>
            <w:gridSpan w:val="2"/>
            <w:hideMark/>
          </w:tcPr>
          <w:p w14:paraId="1565D28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Xm</w:t>
            </w:r>
          </w:p>
        </w:tc>
        <w:tc>
          <w:tcPr>
            <w:tcW w:w="496" w:type="dxa"/>
            <w:gridSpan w:val="2"/>
            <w:hideMark/>
          </w:tcPr>
          <w:p w14:paraId="7E4B0DF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Um</w:t>
            </w:r>
          </w:p>
        </w:tc>
        <w:tc>
          <w:tcPr>
            <w:tcW w:w="540" w:type="dxa"/>
            <w:hideMark/>
          </w:tcPr>
          <w:p w14:paraId="20649E8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ზამთ.:</w:t>
            </w:r>
          </w:p>
        </w:tc>
        <w:tc>
          <w:tcPr>
            <w:tcW w:w="788" w:type="dxa"/>
            <w:gridSpan w:val="2"/>
            <w:hideMark/>
          </w:tcPr>
          <w:p w14:paraId="4F23093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Cm/</w:t>
            </w:r>
            <w:r>
              <w:rPr>
                <w:rFonts w:ascii="Sylfaen" w:hAnsi="Sylfaen" w:cs="Arial"/>
                <w:sz w:val="16"/>
                <w:szCs w:val="16"/>
                <w:lang w:val="ka-GE"/>
              </w:rPr>
              <w:t>ზდკ</w:t>
            </w:r>
          </w:p>
        </w:tc>
        <w:tc>
          <w:tcPr>
            <w:tcW w:w="627" w:type="dxa"/>
            <w:gridSpan w:val="2"/>
            <w:hideMark/>
          </w:tcPr>
          <w:p w14:paraId="0E268C0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Xm</w:t>
            </w:r>
          </w:p>
        </w:tc>
        <w:tc>
          <w:tcPr>
            <w:tcW w:w="496" w:type="dxa"/>
            <w:hideMark/>
          </w:tcPr>
          <w:p w14:paraId="77D7CA9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Um</w:t>
            </w:r>
          </w:p>
        </w:tc>
      </w:tr>
      <w:tr w:rsidR="00A2588D" w14:paraId="6ED3C490" w14:textId="77777777" w:rsidTr="00A2588D">
        <w:trPr>
          <w:gridAfter w:val="4"/>
          <w:wAfter w:w="2098" w:type="dxa"/>
          <w:jc w:val="center"/>
        </w:trPr>
        <w:tc>
          <w:tcPr>
            <w:tcW w:w="1080" w:type="dxa"/>
            <w:gridSpan w:val="2"/>
            <w:hideMark/>
          </w:tcPr>
          <w:p w14:paraId="49EA004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2908</w:t>
            </w:r>
          </w:p>
        </w:tc>
        <w:tc>
          <w:tcPr>
            <w:tcW w:w="3431" w:type="dxa"/>
            <w:gridSpan w:val="3"/>
            <w:hideMark/>
          </w:tcPr>
          <w:p w14:paraId="311A427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 xml:space="preserve">არაოგანული მტვერი: 70-20% </w:t>
            </w:r>
            <w:r>
              <w:rPr>
                <w:rFonts w:ascii="Sylfaen" w:hAnsi="Sylfaen"/>
                <w:sz w:val="16"/>
                <w:szCs w:val="16"/>
                <w:lang w:val="ka-GE"/>
              </w:rPr>
              <w:t>SiO2</w:t>
            </w:r>
          </w:p>
        </w:tc>
        <w:tc>
          <w:tcPr>
            <w:tcW w:w="1314" w:type="dxa"/>
            <w:gridSpan w:val="4"/>
            <w:hideMark/>
          </w:tcPr>
          <w:p w14:paraId="5774CDC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0875000</w:t>
            </w:r>
          </w:p>
        </w:tc>
        <w:tc>
          <w:tcPr>
            <w:tcW w:w="1314" w:type="dxa"/>
            <w:gridSpan w:val="4"/>
            <w:hideMark/>
          </w:tcPr>
          <w:p w14:paraId="370769D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3274446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511" w:type="dxa"/>
            <w:gridSpan w:val="2"/>
          </w:tcPr>
          <w:p w14:paraId="31721C4F"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01B4CF3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r>
              <w:rPr>
                <w:rFonts w:ascii="Sylfaen" w:hAnsi="Sylfaen" w:cs="Arial"/>
                <w:sz w:val="16"/>
                <w:szCs w:val="16"/>
                <w:lang w:val="ka-GE"/>
              </w:rPr>
              <w:t>,</w:t>
            </w:r>
            <w:r>
              <w:rPr>
                <w:rFonts w:ascii="Sylfaen" w:hAnsi="Sylfaen"/>
                <w:sz w:val="16"/>
                <w:szCs w:val="16"/>
                <w:lang w:val="ka-GE"/>
              </w:rPr>
              <w:t>684</w:t>
            </w:r>
          </w:p>
        </w:tc>
        <w:tc>
          <w:tcPr>
            <w:tcW w:w="627" w:type="dxa"/>
            <w:gridSpan w:val="2"/>
            <w:hideMark/>
          </w:tcPr>
          <w:p w14:paraId="107DC2D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14</w:t>
            </w:r>
            <w:r>
              <w:rPr>
                <w:rFonts w:ascii="Sylfaen" w:hAnsi="Sylfaen" w:cs="Arial"/>
                <w:sz w:val="16"/>
                <w:szCs w:val="16"/>
                <w:lang w:val="ka-GE"/>
              </w:rPr>
              <w:t>,</w:t>
            </w:r>
            <w:r>
              <w:rPr>
                <w:rFonts w:ascii="Sylfaen" w:hAnsi="Sylfaen"/>
                <w:sz w:val="16"/>
                <w:szCs w:val="16"/>
                <w:lang w:val="ka-GE"/>
              </w:rPr>
              <w:t>3</w:t>
            </w:r>
          </w:p>
        </w:tc>
        <w:tc>
          <w:tcPr>
            <w:tcW w:w="496" w:type="dxa"/>
            <w:gridSpan w:val="2"/>
            <w:hideMark/>
          </w:tcPr>
          <w:p w14:paraId="43A7F6B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1DAFAD35"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779499F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r>
              <w:rPr>
                <w:rFonts w:ascii="Sylfaen" w:hAnsi="Sylfaen" w:cs="Arial"/>
                <w:sz w:val="16"/>
                <w:szCs w:val="16"/>
                <w:lang w:val="ka-GE"/>
              </w:rPr>
              <w:t>,</w:t>
            </w:r>
            <w:r>
              <w:rPr>
                <w:rFonts w:ascii="Sylfaen" w:hAnsi="Sylfaen"/>
                <w:sz w:val="16"/>
                <w:szCs w:val="16"/>
                <w:lang w:val="ka-GE"/>
              </w:rPr>
              <w:t>684</w:t>
            </w:r>
          </w:p>
        </w:tc>
        <w:tc>
          <w:tcPr>
            <w:tcW w:w="627" w:type="dxa"/>
            <w:gridSpan w:val="2"/>
            <w:hideMark/>
          </w:tcPr>
          <w:p w14:paraId="1AE3EFD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14</w:t>
            </w:r>
            <w:r>
              <w:rPr>
                <w:rFonts w:ascii="Sylfaen" w:hAnsi="Sylfaen" w:cs="Arial"/>
                <w:sz w:val="16"/>
                <w:szCs w:val="16"/>
                <w:lang w:val="ka-GE"/>
              </w:rPr>
              <w:t>,</w:t>
            </w:r>
            <w:r>
              <w:rPr>
                <w:rFonts w:ascii="Sylfaen" w:hAnsi="Sylfaen"/>
                <w:sz w:val="16"/>
                <w:szCs w:val="16"/>
                <w:lang w:val="ka-GE"/>
              </w:rPr>
              <w:t>3</w:t>
            </w:r>
          </w:p>
        </w:tc>
        <w:tc>
          <w:tcPr>
            <w:tcW w:w="496" w:type="dxa"/>
            <w:hideMark/>
          </w:tcPr>
          <w:p w14:paraId="3575448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584FF690" w14:textId="77777777" w:rsidTr="00A2588D">
        <w:trPr>
          <w:gridAfter w:val="1"/>
          <w:wAfter w:w="321" w:type="dxa"/>
          <w:jc w:val="center"/>
        </w:trPr>
        <w:tc>
          <w:tcPr>
            <w:tcW w:w="540" w:type="dxa"/>
            <w:tcBorders>
              <w:top w:val="single" w:sz="4" w:space="0" w:color="auto"/>
              <w:left w:val="single" w:sz="4" w:space="0" w:color="auto"/>
              <w:bottom w:val="single" w:sz="4" w:space="0" w:color="auto"/>
              <w:right w:val="single" w:sz="4" w:space="0" w:color="auto"/>
            </w:tcBorders>
            <w:hideMark/>
          </w:tcPr>
          <w:p w14:paraId="4D28C55E"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w:t>
            </w:r>
          </w:p>
        </w:tc>
        <w:tc>
          <w:tcPr>
            <w:tcW w:w="540" w:type="dxa"/>
            <w:tcBorders>
              <w:top w:val="single" w:sz="4" w:space="0" w:color="auto"/>
              <w:left w:val="single" w:sz="4" w:space="0" w:color="auto"/>
              <w:bottom w:val="single" w:sz="4" w:space="0" w:color="auto"/>
              <w:right w:val="single" w:sz="4" w:space="0" w:color="auto"/>
            </w:tcBorders>
            <w:hideMark/>
          </w:tcPr>
          <w:p w14:paraId="30288722"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54" w:type="dxa"/>
            <w:tcBorders>
              <w:top w:val="single" w:sz="4" w:space="0" w:color="auto"/>
              <w:left w:val="single" w:sz="4" w:space="0" w:color="auto"/>
              <w:bottom w:val="single" w:sz="4" w:space="0" w:color="auto"/>
              <w:right w:val="single" w:sz="4" w:space="0" w:color="auto"/>
            </w:tcBorders>
            <w:hideMark/>
          </w:tcPr>
          <w:p w14:paraId="1DD4F0FB"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98" w:type="dxa"/>
            <w:tcBorders>
              <w:top w:val="single" w:sz="4" w:space="0" w:color="auto"/>
              <w:left w:val="single" w:sz="4" w:space="0" w:color="auto"/>
              <w:bottom w:val="single" w:sz="4" w:space="0" w:color="auto"/>
              <w:right w:val="single" w:sz="4" w:space="0" w:color="auto"/>
            </w:tcBorders>
            <w:hideMark/>
          </w:tcPr>
          <w:p w14:paraId="0D2D878E"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5</w:t>
            </w:r>
          </w:p>
        </w:tc>
        <w:tc>
          <w:tcPr>
            <w:tcW w:w="2336" w:type="dxa"/>
            <w:gridSpan w:val="2"/>
            <w:tcBorders>
              <w:top w:val="single" w:sz="4" w:space="0" w:color="auto"/>
              <w:left w:val="single" w:sz="4" w:space="0" w:color="auto"/>
              <w:bottom w:val="single" w:sz="4" w:space="0" w:color="auto"/>
              <w:right w:val="single" w:sz="4" w:space="0" w:color="auto"/>
            </w:tcBorders>
            <w:hideMark/>
          </w:tcPr>
          <w:p w14:paraId="26B6192C"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sz w:val="18"/>
                <w:szCs w:val="18"/>
                <w:lang w:val="ka-GE"/>
              </w:rPr>
              <w:t>ექსკავატორი</w:t>
            </w:r>
          </w:p>
        </w:tc>
        <w:tc>
          <w:tcPr>
            <w:tcW w:w="525" w:type="dxa"/>
            <w:tcBorders>
              <w:top w:val="single" w:sz="4" w:space="0" w:color="auto"/>
              <w:left w:val="single" w:sz="4" w:space="0" w:color="auto"/>
              <w:bottom w:val="single" w:sz="4" w:space="0" w:color="auto"/>
              <w:right w:val="single" w:sz="4" w:space="0" w:color="auto"/>
            </w:tcBorders>
            <w:hideMark/>
          </w:tcPr>
          <w:p w14:paraId="32F06482"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p>
        </w:tc>
        <w:tc>
          <w:tcPr>
            <w:tcW w:w="423" w:type="dxa"/>
            <w:tcBorders>
              <w:top w:val="single" w:sz="4" w:space="0" w:color="auto"/>
              <w:left w:val="single" w:sz="4" w:space="0" w:color="auto"/>
              <w:bottom w:val="single" w:sz="4" w:space="0" w:color="auto"/>
              <w:right w:val="single" w:sz="4" w:space="0" w:color="auto"/>
            </w:tcBorders>
            <w:hideMark/>
          </w:tcPr>
          <w:p w14:paraId="4B4C998E"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3</w:t>
            </w:r>
          </w:p>
        </w:tc>
        <w:tc>
          <w:tcPr>
            <w:tcW w:w="686" w:type="dxa"/>
            <w:gridSpan w:val="2"/>
            <w:tcBorders>
              <w:top w:val="single" w:sz="4" w:space="0" w:color="auto"/>
              <w:left w:val="single" w:sz="4" w:space="0" w:color="auto"/>
              <w:bottom w:val="single" w:sz="4" w:space="0" w:color="auto"/>
              <w:right w:val="single" w:sz="4" w:space="0" w:color="auto"/>
            </w:tcBorders>
            <w:hideMark/>
          </w:tcPr>
          <w:p w14:paraId="54ABBD9E"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5</w:t>
            </w:r>
            <w:r>
              <w:rPr>
                <w:rFonts w:ascii="Sylfaen" w:hAnsi="Sylfaen" w:cs="Arial"/>
                <w:sz w:val="18"/>
                <w:szCs w:val="18"/>
                <w:lang w:val="ka-GE"/>
              </w:rPr>
              <w:t>,</w:t>
            </w:r>
            <w:r>
              <w:rPr>
                <w:rFonts w:ascii="Sylfaen" w:hAnsi="Sylfaen"/>
                <w:sz w:val="18"/>
                <w:szCs w:val="18"/>
                <w:lang w:val="ka-GE"/>
              </w:rPr>
              <w:t>0</w:t>
            </w:r>
          </w:p>
        </w:tc>
        <w:tc>
          <w:tcPr>
            <w:tcW w:w="803" w:type="dxa"/>
            <w:gridSpan w:val="2"/>
            <w:tcBorders>
              <w:top w:val="single" w:sz="4" w:space="0" w:color="auto"/>
              <w:left w:val="single" w:sz="4" w:space="0" w:color="auto"/>
              <w:bottom w:val="single" w:sz="4" w:space="0" w:color="auto"/>
              <w:right w:val="single" w:sz="4" w:space="0" w:color="auto"/>
            </w:tcBorders>
            <w:hideMark/>
          </w:tcPr>
          <w:p w14:paraId="5B9638DA"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w:t>
            </w:r>
          </w:p>
        </w:tc>
        <w:tc>
          <w:tcPr>
            <w:tcW w:w="788" w:type="dxa"/>
            <w:gridSpan w:val="3"/>
            <w:tcBorders>
              <w:top w:val="single" w:sz="4" w:space="0" w:color="auto"/>
              <w:left w:val="single" w:sz="4" w:space="0" w:color="auto"/>
              <w:bottom w:val="single" w:sz="4" w:space="0" w:color="auto"/>
              <w:right w:val="single" w:sz="4" w:space="0" w:color="auto"/>
            </w:tcBorders>
            <w:hideMark/>
          </w:tcPr>
          <w:p w14:paraId="2D0FF6F6"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817" w:type="dxa"/>
            <w:gridSpan w:val="2"/>
            <w:tcBorders>
              <w:top w:val="single" w:sz="4" w:space="0" w:color="auto"/>
              <w:left w:val="single" w:sz="4" w:space="0" w:color="auto"/>
              <w:bottom w:val="single" w:sz="4" w:space="0" w:color="auto"/>
              <w:right w:val="single" w:sz="4" w:space="0" w:color="auto"/>
            </w:tcBorders>
            <w:hideMark/>
          </w:tcPr>
          <w:p w14:paraId="58820732"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00000</w:t>
            </w:r>
          </w:p>
        </w:tc>
        <w:tc>
          <w:tcPr>
            <w:tcW w:w="788" w:type="dxa"/>
            <w:gridSpan w:val="2"/>
            <w:tcBorders>
              <w:top w:val="single" w:sz="4" w:space="0" w:color="auto"/>
              <w:left w:val="single" w:sz="4" w:space="0" w:color="auto"/>
              <w:bottom w:val="single" w:sz="4" w:space="0" w:color="auto"/>
              <w:right w:val="single" w:sz="4" w:space="0" w:color="auto"/>
            </w:tcBorders>
            <w:hideMark/>
          </w:tcPr>
          <w:p w14:paraId="0F5ADC1D"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40" w:type="dxa"/>
            <w:gridSpan w:val="2"/>
            <w:tcBorders>
              <w:top w:val="single" w:sz="4" w:space="0" w:color="auto"/>
              <w:left w:val="single" w:sz="4" w:space="0" w:color="auto"/>
              <w:bottom w:val="single" w:sz="4" w:space="0" w:color="auto"/>
              <w:right w:val="single" w:sz="4" w:space="0" w:color="auto"/>
            </w:tcBorders>
            <w:hideMark/>
          </w:tcPr>
          <w:p w14:paraId="2BBAFAEF"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r>
              <w:rPr>
                <w:rFonts w:ascii="Sylfaen" w:hAnsi="Sylfaen" w:cs="Arial"/>
                <w:sz w:val="18"/>
                <w:szCs w:val="18"/>
                <w:lang w:val="ka-GE"/>
              </w:rPr>
              <w:t>,</w:t>
            </w:r>
            <w:r>
              <w:rPr>
                <w:rFonts w:ascii="Sylfaen" w:hAnsi="Sylfaen"/>
                <w:sz w:val="18"/>
                <w:szCs w:val="18"/>
                <w:lang w:val="ka-GE"/>
              </w:rPr>
              <w:t>0</w:t>
            </w:r>
          </w:p>
        </w:tc>
        <w:tc>
          <w:tcPr>
            <w:tcW w:w="846" w:type="dxa"/>
            <w:gridSpan w:val="3"/>
            <w:tcBorders>
              <w:top w:val="single" w:sz="4" w:space="0" w:color="auto"/>
              <w:left w:val="single" w:sz="4" w:space="0" w:color="auto"/>
              <w:bottom w:val="single" w:sz="4" w:space="0" w:color="auto"/>
              <w:right w:val="single" w:sz="4" w:space="0" w:color="auto"/>
            </w:tcBorders>
            <w:hideMark/>
          </w:tcPr>
          <w:p w14:paraId="3F3977B8"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77</w:t>
            </w:r>
            <w:r>
              <w:rPr>
                <w:rFonts w:ascii="Sylfaen" w:hAnsi="Sylfaen" w:cs="Arial"/>
                <w:sz w:val="18"/>
                <w:szCs w:val="18"/>
                <w:lang w:val="ka-GE"/>
              </w:rPr>
              <w:t>,</w:t>
            </w:r>
            <w:r>
              <w:rPr>
                <w:rFonts w:ascii="Sylfaen" w:hAnsi="Sylfaen"/>
                <w:sz w:val="18"/>
                <w:szCs w:val="18"/>
                <w:lang w:val="ka-GE"/>
              </w:rPr>
              <w:t>0</w:t>
            </w:r>
          </w:p>
        </w:tc>
        <w:tc>
          <w:tcPr>
            <w:tcW w:w="846" w:type="dxa"/>
            <w:gridSpan w:val="2"/>
            <w:tcBorders>
              <w:top w:val="single" w:sz="4" w:space="0" w:color="auto"/>
              <w:left w:val="single" w:sz="4" w:space="0" w:color="auto"/>
              <w:bottom w:val="single" w:sz="4" w:space="0" w:color="auto"/>
              <w:right w:val="single" w:sz="4" w:space="0" w:color="auto"/>
            </w:tcBorders>
            <w:hideMark/>
          </w:tcPr>
          <w:p w14:paraId="1AB29FF8"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67</w:t>
            </w:r>
            <w:r>
              <w:rPr>
                <w:rFonts w:ascii="Sylfaen" w:hAnsi="Sylfaen" w:cs="Arial"/>
                <w:sz w:val="18"/>
                <w:szCs w:val="18"/>
                <w:lang w:val="ka-GE"/>
              </w:rPr>
              <w:t>,</w:t>
            </w:r>
            <w:r>
              <w:rPr>
                <w:rFonts w:ascii="Sylfaen" w:hAnsi="Sylfaen"/>
                <w:sz w:val="18"/>
                <w:szCs w:val="18"/>
                <w:lang w:val="ka-GE"/>
              </w:rPr>
              <w:t>0</w:t>
            </w:r>
          </w:p>
        </w:tc>
        <w:tc>
          <w:tcPr>
            <w:tcW w:w="846" w:type="dxa"/>
            <w:gridSpan w:val="3"/>
            <w:tcBorders>
              <w:top w:val="single" w:sz="4" w:space="0" w:color="auto"/>
              <w:left w:val="single" w:sz="4" w:space="0" w:color="auto"/>
              <w:bottom w:val="single" w:sz="4" w:space="0" w:color="auto"/>
              <w:right w:val="single" w:sz="4" w:space="0" w:color="auto"/>
            </w:tcBorders>
            <w:hideMark/>
          </w:tcPr>
          <w:p w14:paraId="51AFA391"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82</w:t>
            </w:r>
            <w:r>
              <w:rPr>
                <w:rFonts w:ascii="Sylfaen" w:hAnsi="Sylfaen" w:cs="Arial"/>
                <w:sz w:val="18"/>
                <w:szCs w:val="18"/>
                <w:lang w:val="ka-GE"/>
              </w:rPr>
              <w:t>,</w:t>
            </w:r>
            <w:r>
              <w:rPr>
                <w:rFonts w:ascii="Sylfaen" w:hAnsi="Sylfaen"/>
                <w:sz w:val="18"/>
                <w:szCs w:val="18"/>
                <w:lang w:val="ka-GE"/>
              </w:rPr>
              <w:t>0</w:t>
            </w:r>
          </w:p>
        </w:tc>
        <w:tc>
          <w:tcPr>
            <w:tcW w:w="890" w:type="dxa"/>
            <w:tcBorders>
              <w:top w:val="single" w:sz="4" w:space="0" w:color="auto"/>
              <w:left w:val="single" w:sz="4" w:space="0" w:color="auto"/>
              <w:bottom w:val="single" w:sz="4" w:space="0" w:color="auto"/>
              <w:right w:val="single" w:sz="4" w:space="0" w:color="auto"/>
            </w:tcBorders>
            <w:hideMark/>
          </w:tcPr>
          <w:p w14:paraId="5A22CD89"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64</w:t>
            </w:r>
            <w:r>
              <w:rPr>
                <w:rFonts w:ascii="Sylfaen" w:hAnsi="Sylfaen" w:cs="Arial"/>
                <w:sz w:val="18"/>
                <w:szCs w:val="18"/>
                <w:lang w:val="ka-GE"/>
              </w:rPr>
              <w:t>,</w:t>
            </w:r>
            <w:r>
              <w:rPr>
                <w:rFonts w:ascii="Sylfaen" w:hAnsi="Sylfaen"/>
                <w:sz w:val="18"/>
                <w:szCs w:val="18"/>
                <w:lang w:val="ka-GE"/>
              </w:rPr>
              <w:t>0</w:t>
            </w:r>
          </w:p>
        </w:tc>
        <w:tc>
          <w:tcPr>
            <w:tcW w:w="861" w:type="dxa"/>
            <w:tcBorders>
              <w:top w:val="single" w:sz="4" w:space="0" w:color="auto"/>
              <w:left w:val="single" w:sz="4" w:space="0" w:color="auto"/>
              <w:bottom w:val="single" w:sz="4" w:space="0" w:color="auto"/>
              <w:right w:val="single" w:sz="4" w:space="0" w:color="auto"/>
            </w:tcBorders>
            <w:hideMark/>
          </w:tcPr>
          <w:p w14:paraId="0433F523"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5</w:t>
            </w:r>
            <w:r>
              <w:rPr>
                <w:rFonts w:ascii="Sylfaen" w:hAnsi="Sylfaen" w:cs="Arial"/>
                <w:sz w:val="18"/>
                <w:szCs w:val="18"/>
                <w:lang w:val="ka-GE"/>
              </w:rPr>
              <w:t>,</w:t>
            </w:r>
            <w:r>
              <w:rPr>
                <w:rFonts w:ascii="Sylfaen" w:hAnsi="Sylfaen"/>
                <w:sz w:val="18"/>
                <w:szCs w:val="18"/>
                <w:lang w:val="ka-GE"/>
              </w:rPr>
              <w:t>00</w:t>
            </w:r>
          </w:p>
        </w:tc>
      </w:tr>
      <w:tr w:rsidR="00A2588D" w14:paraId="7F451EA8" w14:textId="77777777" w:rsidTr="00A2588D">
        <w:trPr>
          <w:gridAfter w:val="4"/>
          <w:wAfter w:w="2098" w:type="dxa"/>
          <w:jc w:val="center"/>
        </w:trPr>
        <w:tc>
          <w:tcPr>
            <w:tcW w:w="1080" w:type="dxa"/>
            <w:gridSpan w:val="2"/>
            <w:hideMark/>
          </w:tcPr>
          <w:p w14:paraId="0EB2CAA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ნივთ. კოდი</w:t>
            </w:r>
          </w:p>
        </w:tc>
        <w:tc>
          <w:tcPr>
            <w:tcW w:w="3431" w:type="dxa"/>
            <w:gridSpan w:val="3"/>
            <w:hideMark/>
          </w:tcPr>
          <w:p w14:paraId="7C15486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ნივთიერება</w:t>
            </w:r>
          </w:p>
        </w:tc>
        <w:tc>
          <w:tcPr>
            <w:tcW w:w="1314" w:type="dxa"/>
            <w:gridSpan w:val="4"/>
            <w:hideMark/>
          </w:tcPr>
          <w:p w14:paraId="57885CA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გაფრქვევა (გ/წმ)</w:t>
            </w:r>
          </w:p>
        </w:tc>
        <w:tc>
          <w:tcPr>
            <w:tcW w:w="1314" w:type="dxa"/>
            <w:gridSpan w:val="4"/>
            <w:hideMark/>
          </w:tcPr>
          <w:p w14:paraId="25586C6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გაფრქვევა (ტ/წლ)</w:t>
            </w:r>
          </w:p>
        </w:tc>
        <w:tc>
          <w:tcPr>
            <w:tcW w:w="438" w:type="dxa"/>
            <w:hideMark/>
          </w:tcPr>
          <w:p w14:paraId="4C42B80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F</w:t>
            </w:r>
          </w:p>
        </w:tc>
        <w:tc>
          <w:tcPr>
            <w:tcW w:w="511" w:type="dxa"/>
            <w:gridSpan w:val="2"/>
            <w:hideMark/>
          </w:tcPr>
          <w:p w14:paraId="369AC8D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ზაფხ.:</w:t>
            </w:r>
          </w:p>
        </w:tc>
        <w:tc>
          <w:tcPr>
            <w:tcW w:w="788" w:type="dxa"/>
            <w:gridSpan w:val="2"/>
            <w:hideMark/>
          </w:tcPr>
          <w:p w14:paraId="6B18F52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Cm/</w:t>
            </w:r>
            <w:r>
              <w:rPr>
                <w:rFonts w:ascii="Sylfaen" w:hAnsi="Sylfaen" w:cs="Arial"/>
                <w:sz w:val="16"/>
                <w:szCs w:val="16"/>
                <w:lang w:val="ka-GE"/>
              </w:rPr>
              <w:t>ზდკ</w:t>
            </w:r>
          </w:p>
        </w:tc>
        <w:tc>
          <w:tcPr>
            <w:tcW w:w="627" w:type="dxa"/>
            <w:gridSpan w:val="2"/>
            <w:hideMark/>
          </w:tcPr>
          <w:p w14:paraId="37824A8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Xm</w:t>
            </w:r>
          </w:p>
        </w:tc>
        <w:tc>
          <w:tcPr>
            <w:tcW w:w="496" w:type="dxa"/>
            <w:gridSpan w:val="2"/>
            <w:hideMark/>
          </w:tcPr>
          <w:p w14:paraId="1C715FF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Um</w:t>
            </w:r>
          </w:p>
        </w:tc>
        <w:tc>
          <w:tcPr>
            <w:tcW w:w="540" w:type="dxa"/>
            <w:hideMark/>
          </w:tcPr>
          <w:p w14:paraId="447BD23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ზამთ.:</w:t>
            </w:r>
          </w:p>
        </w:tc>
        <w:tc>
          <w:tcPr>
            <w:tcW w:w="788" w:type="dxa"/>
            <w:gridSpan w:val="2"/>
            <w:hideMark/>
          </w:tcPr>
          <w:p w14:paraId="5D3D2E8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Cm/</w:t>
            </w:r>
            <w:r>
              <w:rPr>
                <w:rFonts w:ascii="Sylfaen" w:hAnsi="Sylfaen" w:cs="Arial"/>
                <w:sz w:val="16"/>
                <w:szCs w:val="16"/>
                <w:lang w:val="ka-GE"/>
              </w:rPr>
              <w:t>ზდკ</w:t>
            </w:r>
          </w:p>
        </w:tc>
        <w:tc>
          <w:tcPr>
            <w:tcW w:w="627" w:type="dxa"/>
            <w:gridSpan w:val="2"/>
            <w:hideMark/>
          </w:tcPr>
          <w:p w14:paraId="0F2EA5A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Xm</w:t>
            </w:r>
          </w:p>
        </w:tc>
        <w:tc>
          <w:tcPr>
            <w:tcW w:w="496" w:type="dxa"/>
            <w:hideMark/>
          </w:tcPr>
          <w:p w14:paraId="0B95720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Um</w:t>
            </w:r>
          </w:p>
        </w:tc>
      </w:tr>
      <w:tr w:rsidR="00A2588D" w14:paraId="05FE97C8" w14:textId="77777777" w:rsidTr="00A2588D">
        <w:trPr>
          <w:gridAfter w:val="4"/>
          <w:wAfter w:w="2098" w:type="dxa"/>
          <w:jc w:val="center"/>
        </w:trPr>
        <w:tc>
          <w:tcPr>
            <w:tcW w:w="1080" w:type="dxa"/>
            <w:gridSpan w:val="2"/>
            <w:hideMark/>
          </w:tcPr>
          <w:p w14:paraId="19B60D3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0301</w:t>
            </w:r>
          </w:p>
        </w:tc>
        <w:tc>
          <w:tcPr>
            <w:tcW w:w="3431" w:type="dxa"/>
            <w:gridSpan w:val="3"/>
            <w:hideMark/>
          </w:tcPr>
          <w:p w14:paraId="7826C0E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აზოტის (IV) ოქსიდი (აზოტის დიოქსიდი)</w:t>
            </w:r>
          </w:p>
        </w:tc>
        <w:tc>
          <w:tcPr>
            <w:tcW w:w="1314" w:type="dxa"/>
            <w:gridSpan w:val="4"/>
            <w:hideMark/>
          </w:tcPr>
          <w:p w14:paraId="01C2BB9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0327924</w:t>
            </w:r>
          </w:p>
        </w:tc>
        <w:tc>
          <w:tcPr>
            <w:tcW w:w="1314" w:type="dxa"/>
            <w:gridSpan w:val="4"/>
            <w:hideMark/>
          </w:tcPr>
          <w:p w14:paraId="26A3D59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7645E91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730CAD30"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485CF85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690</w:t>
            </w:r>
          </w:p>
        </w:tc>
        <w:tc>
          <w:tcPr>
            <w:tcW w:w="627" w:type="dxa"/>
            <w:gridSpan w:val="2"/>
            <w:hideMark/>
          </w:tcPr>
          <w:p w14:paraId="31B0A6E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gridSpan w:val="2"/>
            <w:hideMark/>
          </w:tcPr>
          <w:p w14:paraId="60FEEE3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2F048938"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5C1104C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690</w:t>
            </w:r>
          </w:p>
        </w:tc>
        <w:tc>
          <w:tcPr>
            <w:tcW w:w="627" w:type="dxa"/>
            <w:gridSpan w:val="2"/>
            <w:hideMark/>
          </w:tcPr>
          <w:p w14:paraId="13F0510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hideMark/>
          </w:tcPr>
          <w:p w14:paraId="05616F7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26410E3D" w14:textId="77777777" w:rsidTr="00A2588D">
        <w:trPr>
          <w:gridAfter w:val="4"/>
          <w:wAfter w:w="2098" w:type="dxa"/>
          <w:jc w:val="center"/>
        </w:trPr>
        <w:tc>
          <w:tcPr>
            <w:tcW w:w="1080" w:type="dxa"/>
            <w:gridSpan w:val="2"/>
          </w:tcPr>
          <w:p w14:paraId="13117BD2"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3431" w:type="dxa"/>
            <w:gridSpan w:val="3"/>
          </w:tcPr>
          <w:p w14:paraId="20C7E88E"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1314" w:type="dxa"/>
            <w:gridSpan w:val="4"/>
          </w:tcPr>
          <w:p w14:paraId="30314B15"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1314" w:type="dxa"/>
            <w:gridSpan w:val="4"/>
          </w:tcPr>
          <w:p w14:paraId="6E1A20A5"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438" w:type="dxa"/>
          </w:tcPr>
          <w:p w14:paraId="7B6346BC"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511" w:type="dxa"/>
            <w:gridSpan w:val="2"/>
          </w:tcPr>
          <w:p w14:paraId="2A9D909C"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tcPr>
          <w:p w14:paraId="79C18351"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627" w:type="dxa"/>
            <w:gridSpan w:val="2"/>
          </w:tcPr>
          <w:p w14:paraId="0FD7A1AE"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496" w:type="dxa"/>
            <w:gridSpan w:val="2"/>
          </w:tcPr>
          <w:p w14:paraId="5E624F60"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540" w:type="dxa"/>
          </w:tcPr>
          <w:p w14:paraId="7C8BF46E"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tcPr>
          <w:p w14:paraId="202D2902"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627" w:type="dxa"/>
            <w:gridSpan w:val="2"/>
          </w:tcPr>
          <w:p w14:paraId="7F8AEDBE"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496" w:type="dxa"/>
          </w:tcPr>
          <w:p w14:paraId="0FCF7ED3" w14:textId="77777777" w:rsidR="00A2588D" w:rsidRDefault="00A2588D" w:rsidP="00A2588D">
            <w:pPr>
              <w:widowControl w:val="0"/>
              <w:autoSpaceDE w:val="0"/>
              <w:autoSpaceDN w:val="0"/>
              <w:adjustRightInd w:val="0"/>
              <w:jc w:val="center"/>
              <w:rPr>
                <w:rFonts w:ascii="Sylfaen" w:hAnsi="Sylfaen" w:cs="Arial"/>
                <w:sz w:val="16"/>
                <w:szCs w:val="16"/>
                <w:lang w:val="ka-GE"/>
              </w:rPr>
            </w:pPr>
          </w:p>
        </w:tc>
      </w:tr>
      <w:tr w:rsidR="00A2588D" w14:paraId="35B8AA9F" w14:textId="77777777" w:rsidTr="00A2588D">
        <w:trPr>
          <w:gridAfter w:val="4"/>
          <w:wAfter w:w="2098" w:type="dxa"/>
          <w:jc w:val="center"/>
        </w:trPr>
        <w:tc>
          <w:tcPr>
            <w:tcW w:w="1080" w:type="dxa"/>
            <w:gridSpan w:val="2"/>
            <w:hideMark/>
          </w:tcPr>
          <w:p w14:paraId="28CC0CB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0304</w:t>
            </w:r>
          </w:p>
        </w:tc>
        <w:tc>
          <w:tcPr>
            <w:tcW w:w="3431" w:type="dxa"/>
            <w:gridSpan w:val="3"/>
            <w:hideMark/>
          </w:tcPr>
          <w:p w14:paraId="3711423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აზოტის (II) ოქსიდი (აზოტის ოქსიდი)</w:t>
            </w:r>
          </w:p>
        </w:tc>
        <w:tc>
          <w:tcPr>
            <w:tcW w:w="1314" w:type="dxa"/>
            <w:gridSpan w:val="4"/>
            <w:hideMark/>
          </w:tcPr>
          <w:p w14:paraId="2C26217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0053272</w:t>
            </w:r>
          </w:p>
        </w:tc>
        <w:tc>
          <w:tcPr>
            <w:tcW w:w="1314" w:type="dxa"/>
            <w:gridSpan w:val="4"/>
            <w:hideMark/>
          </w:tcPr>
          <w:p w14:paraId="4DDF3BE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080B07E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2A3B1F15"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39242D4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056</w:t>
            </w:r>
          </w:p>
        </w:tc>
        <w:tc>
          <w:tcPr>
            <w:tcW w:w="627" w:type="dxa"/>
            <w:gridSpan w:val="2"/>
            <w:hideMark/>
          </w:tcPr>
          <w:p w14:paraId="3BE94BD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gridSpan w:val="2"/>
            <w:hideMark/>
          </w:tcPr>
          <w:p w14:paraId="0010460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0B5B9E91"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54DEC53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056</w:t>
            </w:r>
          </w:p>
        </w:tc>
        <w:tc>
          <w:tcPr>
            <w:tcW w:w="627" w:type="dxa"/>
            <w:gridSpan w:val="2"/>
            <w:hideMark/>
          </w:tcPr>
          <w:p w14:paraId="0141B53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hideMark/>
          </w:tcPr>
          <w:p w14:paraId="50D27AA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74A880D7" w14:textId="77777777" w:rsidTr="00A2588D">
        <w:trPr>
          <w:gridAfter w:val="4"/>
          <w:wAfter w:w="2098" w:type="dxa"/>
          <w:jc w:val="center"/>
        </w:trPr>
        <w:tc>
          <w:tcPr>
            <w:tcW w:w="1080" w:type="dxa"/>
            <w:gridSpan w:val="2"/>
            <w:hideMark/>
          </w:tcPr>
          <w:p w14:paraId="0876530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0328</w:t>
            </w:r>
          </w:p>
        </w:tc>
        <w:tc>
          <w:tcPr>
            <w:tcW w:w="3431" w:type="dxa"/>
            <w:gridSpan w:val="3"/>
            <w:hideMark/>
          </w:tcPr>
          <w:p w14:paraId="3E5D09E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შავი ნახშირბადი (ჭვარტლი)</w:t>
            </w:r>
          </w:p>
        </w:tc>
        <w:tc>
          <w:tcPr>
            <w:tcW w:w="1314" w:type="dxa"/>
            <w:gridSpan w:val="4"/>
            <w:hideMark/>
          </w:tcPr>
          <w:p w14:paraId="1251467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0045017</w:t>
            </w:r>
          </w:p>
        </w:tc>
        <w:tc>
          <w:tcPr>
            <w:tcW w:w="1314" w:type="dxa"/>
            <w:gridSpan w:val="4"/>
            <w:hideMark/>
          </w:tcPr>
          <w:p w14:paraId="53085C5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02CBD9D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6170CB38"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3F31137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126</w:t>
            </w:r>
          </w:p>
        </w:tc>
        <w:tc>
          <w:tcPr>
            <w:tcW w:w="627" w:type="dxa"/>
            <w:gridSpan w:val="2"/>
            <w:hideMark/>
          </w:tcPr>
          <w:p w14:paraId="58C3965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gridSpan w:val="2"/>
            <w:hideMark/>
          </w:tcPr>
          <w:p w14:paraId="626B5B9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4BA5EE2C"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37AEF5E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126</w:t>
            </w:r>
          </w:p>
        </w:tc>
        <w:tc>
          <w:tcPr>
            <w:tcW w:w="627" w:type="dxa"/>
            <w:gridSpan w:val="2"/>
            <w:hideMark/>
          </w:tcPr>
          <w:p w14:paraId="4E1CC30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hideMark/>
          </w:tcPr>
          <w:p w14:paraId="40721BF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76F05341" w14:textId="77777777" w:rsidTr="00A2588D">
        <w:trPr>
          <w:gridAfter w:val="4"/>
          <w:wAfter w:w="2098" w:type="dxa"/>
          <w:jc w:val="center"/>
        </w:trPr>
        <w:tc>
          <w:tcPr>
            <w:tcW w:w="1080" w:type="dxa"/>
            <w:gridSpan w:val="2"/>
            <w:hideMark/>
          </w:tcPr>
          <w:p w14:paraId="7F63A05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0330</w:t>
            </w:r>
          </w:p>
        </w:tc>
        <w:tc>
          <w:tcPr>
            <w:tcW w:w="3431" w:type="dxa"/>
            <w:gridSpan w:val="3"/>
            <w:hideMark/>
          </w:tcPr>
          <w:p w14:paraId="2C0AA9D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გოგირდის დიოქსიდი</w:t>
            </w:r>
          </w:p>
        </w:tc>
        <w:tc>
          <w:tcPr>
            <w:tcW w:w="1314" w:type="dxa"/>
            <w:gridSpan w:val="4"/>
            <w:hideMark/>
          </w:tcPr>
          <w:p w14:paraId="302218D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0033200</w:t>
            </w:r>
          </w:p>
        </w:tc>
        <w:tc>
          <w:tcPr>
            <w:tcW w:w="1314" w:type="dxa"/>
            <w:gridSpan w:val="4"/>
            <w:hideMark/>
          </w:tcPr>
          <w:p w14:paraId="271F960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01CB143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66D31FA6"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4C7220D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028</w:t>
            </w:r>
          </w:p>
        </w:tc>
        <w:tc>
          <w:tcPr>
            <w:tcW w:w="627" w:type="dxa"/>
            <w:gridSpan w:val="2"/>
            <w:hideMark/>
          </w:tcPr>
          <w:p w14:paraId="51619F8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gridSpan w:val="2"/>
            <w:hideMark/>
          </w:tcPr>
          <w:p w14:paraId="2932FC2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24013246"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5CF27EC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028</w:t>
            </w:r>
          </w:p>
        </w:tc>
        <w:tc>
          <w:tcPr>
            <w:tcW w:w="627" w:type="dxa"/>
            <w:gridSpan w:val="2"/>
            <w:hideMark/>
          </w:tcPr>
          <w:p w14:paraId="5DF72A0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hideMark/>
          </w:tcPr>
          <w:p w14:paraId="6E1356A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56C3B3B3" w14:textId="77777777" w:rsidTr="00A2588D">
        <w:trPr>
          <w:gridAfter w:val="4"/>
          <w:wAfter w:w="2098" w:type="dxa"/>
          <w:jc w:val="center"/>
        </w:trPr>
        <w:tc>
          <w:tcPr>
            <w:tcW w:w="1080" w:type="dxa"/>
            <w:gridSpan w:val="2"/>
            <w:hideMark/>
          </w:tcPr>
          <w:p w14:paraId="7CB6D7E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0337</w:t>
            </w:r>
          </w:p>
        </w:tc>
        <w:tc>
          <w:tcPr>
            <w:tcW w:w="3431" w:type="dxa"/>
            <w:gridSpan w:val="3"/>
            <w:hideMark/>
          </w:tcPr>
          <w:p w14:paraId="0D868DE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ნახშირბადის ოქსიდი</w:t>
            </w:r>
          </w:p>
        </w:tc>
        <w:tc>
          <w:tcPr>
            <w:tcW w:w="1314" w:type="dxa"/>
            <w:gridSpan w:val="4"/>
            <w:hideMark/>
          </w:tcPr>
          <w:p w14:paraId="7DFF3CB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0273783</w:t>
            </w:r>
          </w:p>
        </w:tc>
        <w:tc>
          <w:tcPr>
            <w:tcW w:w="1314" w:type="dxa"/>
            <w:gridSpan w:val="4"/>
            <w:hideMark/>
          </w:tcPr>
          <w:p w14:paraId="43C9629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1FD73B1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1F0339E7"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59D1042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023</w:t>
            </w:r>
          </w:p>
        </w:tc>
        <w:tc>
          <w:tcPr>
            <w:tcW w:w="627" w:type="dxa"/>
            <w:gridSpan w:val="2"/>
            <w:hideMark/>
          </w:tcPr>
          <w:p w14:paraId="4298E63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gridSpan w:val="2"/>
            <w:hideMark/>
          </w:tcPr>
          <w:p w14:paraId="7EC5BA7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028EDD7E"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3DD3ED3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023</w:t>
            </w:r>
          </w:p>
        </w:tc>
        <w:tc>
          <w:tcPr>
            <w:tcW w:w="627" w:type="dxa"/>
            <w:gridSpan w:val="2"/>
            <w:hideMark/>
          </w:tcPr>
          <w:p w14:paraId="0640F51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hideMark/>
          </w:tcPr>
          <w:p w14:paraId="05061E4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5559FCC0" w14:textId="77777777" w:rsidTr="00A2588D">
        <w:trPr>
          <w:gridAfter w:val="4"/>
          <w:wAfter w:w="2098" w:type="dxa"/>
          <w:jc w:val="center"/>
        </w:trPr>
        <w:tc>
          <w:tcPr>
            <w:tcW w:w="1080" w:type="dxa"/>
            <w:gridSpan w:val="2"/>
            <w:hideMark/>
          </w:tcPr>
          <w:p w14:paraId="2CD1BF2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2732</w:t>
            </w:r>
          </w:p>
        </w:tc>
        <w:tc>
          <w:tcPr>
            <w:tcW w:w="3431" w:type="dxa"/>
            <w:gridSpan w:val="3"/>
            <w:hideMark/>
          </w:tcPr>
          <w:p w14:paraId="05A029C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ნავთის ფრაქცია</w:t>
            </w:r>
          </w:p>
        </w:tc>
        <w:tc>
          <w:tcPr>
            <w:tcW w:w="1314" w:type="dxa"/>
            <w:gridSpan w:val="4"/>
            <w:hideMark/>
          </w:tcPr>
          <w:p w14:paraId="6C7021A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0077372</w:t>
            </w:r>
          </w:p>
        </w:tc>
        <w:tc>
          <w:tcPr>
            <w:tcW w:w="1314" w:type="dxa"/>
            <w:gridSpan w:val="4"/>
            <w:hideMark/>
          </w:tcPr>
          <w:p w14:paraId="24C87D8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3A8581B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2ECED846"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504BBA2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027</w:t>
            </w:r>
          </w:p>
        </w:tc>
        <w:tc>
          <w:tcPr>
            <w:tcW w:w="627" w:type="dxa"/>
            <w:gridSpan w:val="2"/>
            <w:hideMark/>
          </w:tcPr>
          <w:p w14:paraId="0430C03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gridSpan w:val="2"/>
            <w:hideMark/>
          </w:tcPr>
          <w:p w14:paraId="5D4A95E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1164D6C5"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64900AF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027</w:t>
            </w:r>
          </w:p>
        </w:tc>
        <w:tc>
          <w:tcPr>
            <w:tcW w:w="627" w:type="dxa"/>
            <w:gridSpan w:val="2"/>
            <w:hideMark/>
          </w:tcPr>
          <w:p w14:paraId="0501D04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hideMark/>
          </w:tcPr>
          <w:p w14:paraId="319FAA6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4BCCD049" w14:textId="77777777" w:rsidTr="00A2588D">
        <w:trPr>
          <w:gridAfter w:val="4"/>
          <w:wAfter w:w="2098" w:type="dxa"/>
          <w:jc w:val="center"/>
        </w:trPr>
        <w:tc>
          <w:tcPr>
            <w:tcW w:w="1080" w:type="dxa"/>
            <w:gridSpan w:val="2"/>
            <w:hideMark/>
          </w:tcPr>
          <w:p w14:paraId="784233D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2902</w:t>
            </w:r>
          </w:p>
        </w:tc>
        <w:tc>
          <w:tcPr>
            <w:tcW w:w="3431" w:type="dxa"/>
            <w:gridSpan w:val="3"/>
            <w:hideMark/>
          </w:tcPr>
          <w:p w14:paraId="1ECB434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შეწონილი ნაწილაკები</w:t>
            </w:r>
          </w:p>
        </w:tc>
        <w:tc>
          <w:tcPr>
            <w:tcW w:w="1314" w:type="dxa"/>
            <w:gridSpan w:val="4"/>
            <w:hideMark/>
          </w:tcPr>
          <w:p w14:paraId="76E1C16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0350000</w:t>
            </w:r>
          </w:p>
        </w:tc>
        <w:tc>
          <w:tcPr>
            <w:tcW w:w="1314" w:type="dxa"/>
            <w:gridSpan w:val="4"/>
            <w:hideMark/>
          </w:tcPr>
          <w:p w14:paraId="4DC583D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2D6030B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511" w:type="dxa"/>
            <w:gridSpan w:val="2"/>
          </w:tcPr>
          <w:p w14:paraId="5E39B33F"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669E5EC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884</w:t>
            </w:r>
          </w:p>
        </w:tc>
        <w:tc>
          <w:tcPr>
            <w:tcW w:w="627" w:type="dxa"/>
            <w:gridSpan w:val="2"/>
            <w:hideMark/>
          </w:tcPr>
          <w:p w14:paraId="64A647B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14</w:t>
            </w:r>
            <w:r>
              <w:rPr>
                <w:rFonts w:ascii="Sylfaen" w:hAnsi="Sylfaen" w:cs="Arial"/>
                <w:sz w:val="16"/>
                <w:szCs w:val="16"/>
                <w:lang w:val="ka-GE"/>
              </w:rPr>
              <w:t>,</w:t>
            </w:r>
            <w:r>
              <w:rPr>
                <w:rFonts w:ascii="Sylfaen" w:hAnsi="Sylfaen"/>
                <w:sz w:val="16"/>
                <w:szCs w:val="16"/>
                <w:lang w:val="ka-GE"/>
              </w:rPr>
              <w:t>3</w:t>
            </w:r>
          </w:p>
        </w:tc>
        <w:tc>
          <w:tcPr>
            <w:tcW w:w="496" w:type="dxa"/>
            <w:gridSpan w:val="2"/>
            <w:hideMark/>
          </w:tcPr>
          <w:p w14:paraId="5A1B02E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594AA783"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20093FC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884</w:t>
            </w:r>
          </w:p>
        </w:tc>
        <w:tc>
          <w:tcPr>
            <w:tcW w:w="627" w:type="dxa"/>
            <w:gridSpan w:val="2"/>
            <w:hideMark/>
          </w:tcPr>
          <w:p w14:paraId="1DDFAFE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14</w:t>
            </w:r>
            <w:r>
              <w:rPr>
                <w:rFonts w:ascii="Sylfaen" w:hAnsi="Sylfaen" w:cs="Arial"/>
                <w:sz w:val="16"/>
                <w:szCs w:val="16"/>
                <w:lang w:val="ka-GE"/>
              </w:rPr>
              <w:t>,</w:t>
            </w:r>
            <w:r>
              <w:rPr>
                <w:rFonts w:ascii="Sylfaen" w:hAnsi="Sylfaen"/>
                <w:sz w:val="16"/>
                <w:szCs w:val="16"/>
                <w:lang w:val="ka-GE"/>
              </w:rPr>
              <w:t>3</w:t>
            </w:r>
          </w:p>
        </w:tc>
        <w:tc>
          <w:tcPr>
            <w:tcW w:w="496" w:type="dxa"/>
            <w:hideMark/>
          </w:tcPr>
          <w:p w14:paraId="296CBE4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55DD3904" w14:textId="77777777" w:rsidTr="00A2588D">
        <w:trPr>
          <w:gridAfter w:val="1"/>
          <w:wAfter w:w="321" w:type="dxa"/>
          <w:jc w:val="center"/>
        </w:trPr>
        <w:tc>
          <w:tcPr>
            <w:tcW w:w="540" w:type="dxa"/>
            <w:tcBorders>
              <w:top w:val="single" w:sz="4" w:space="0" w:color="auto"/>
              <w:left w:val="single" w:sz="4" w:space="0" w:color="auto"/>
              <w:bottom w:val="single" w:sz="4" w:space="0" w:color="auto"/>
              <w:right w:val="single" w:sz="4" w:space="0" w:color="auto"/>
            </w:tcBorders>
            <w:hideMark/>
          </w:tcPr>
          <w:p w14:paraId="0B5F4B3A"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w:t>
            </w:r>
          </w:p>
        </w:tc>
        <w:tc>
          <w:tcPr>
            <w:tcW w:w="540" w:type="dxa"/>
            <w:tcBorders>
              <w:top w:val="single" w:sz="4" w:space="0" w:color="auto"/>
              <w:left w:val="single" w:sz="4" w:space="0" w:color="auto"/>
              <w:bottom w:val="single" w:sz="4" w:space="0" w:color="auto"/>
              <w:right w:val="single" w:sz="4" w:space="0" w:color="auto"/>
            </w:tcBorders>
            <w:hideMark/>
          </w:tcPr>
          <w:p w14:paraId="61D5A737"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54" w:type="dxa"/>
            <w:tcBorders>
              <w:top w:val="single" w:sz="4" w:space="0" w:color="auto"/>
              <w:left w:val="single" w:sz="4" w:space="0" w:color="auto"/>
              <w:bottom w:val="single" w:sz="4" w:space="0" w:color="auto"/>
              <w:right w:val="single" w:sz="4" w:space="0" w:color="auto"/>
            </w:tcBorders>
            <w:hideMark/>
          </w:tcPr>
          <w:p w14:paraId="5C7CDD31"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98" w:type="dxa"/>
            <w:tcBorders>
              <w:top w:val="single" w:sz="4" w:space="0" w:color="auto"/>
              <w:left w:val="single" w:sz="4" w:space="0" w:color="auto"/>
              <w:bottom w:val="single" w:sz="4" w:space="0" w:color="auto"/>
              <w:right w:val="single" w:sz="4" w:space="0" w:color="auto"/>
            </w:tcBorders>
            <w:hideMark/>
          </w:tcPr>
          <w:p w14:paraId="3D3E9670"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6</w:t>
            </w:r>
          </w:p>
        </w:tc>
        <w:tc>
          <w:tcPr>
            <w:tcW w:w="2336" w:type="dxa"/>
            <w:gridSpan w:val="2"/>
            <w:tcBorders>
              <w:top w:val="single" w:sz="4" w:space="0" w:color="auto"/>
              <w:left w:val="single" w:sz="4" w:space="0" w:color="auto"/>
              <w:bottom w:val="single" w:sz="4" w:space="0" w:color="auto"/>
              <w:right w:val="single" w:sz="4" w:space="0" w:color="auto"/>
            </w:tcBorders>
            <w:hideMark/>
          </w:tcPr>
          <w:p w14:paraId="251E2746"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sz w:val="18"/>
                <w:szCs w:val="18"/>
                <w:lang w:val="ka-GE"/>
              </w:rPr>
              <w:t>ბულდოზერი</w:t>
            </w:r>
          </w:p>
        </w:tc>
        <w:tc>
          <w:tcPr>
            <w:tcW w:w="525" w:type="dxa"/>
            <w:tcBorders>
              <w:top w:val="single" w:sz="4" w:space="0" w:color="auto"/>
              <w:left w:val="single" w:sz="4" w:space="0" w:color="auto"/>
              <w:bottom w:val="single" w:sz="4" w:space="0" w:color="auto"/>
              <w:right w:val="single" w:sz="4" w:space="0" w:color="auto"/>
            </w:tcBorders>
            <w:hideMark/>
          </w:tcPr>
          <w:p w14:paraId="10D56114"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p>
        </w:tc>
        <w:tc>
          <w:tcPr>
            <w:tcW w:w="423" w:type="dxa"/>
            <w:tcBorders>
              <w:top w:val="single" w:sz="4" w:space="0" w:color="auto"/>
              <w:left w:val="single" w:sz="4" w:space="0" w:color="auto"/>
              <w:bottom w:val="single" w:sz="4" w:space="0" w:color="auto"/>
              <w:right w:val="single" w:sz="4" w:space="0" w:color="auto"/>
            </w:tcBorders>
            <w:hideMark/>
          </w:tcPr>
          <w:p w14:paraId="64F9FC07"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3</w:t>
            </w:r>
          </w:p>
        </w:tc>
        <w:tc>
          <w:tcPr>
            <w:tcW w:w="686" w:type="dxa"/>
            <w:gridSpan w:val="2"/>
            <w:tcBorders>
              <w:top w:val="single" w:sz="4" w:space="0" w:color="auto"/>
              <w:left w:val="single" w:sz="4" w:space="0" w:color="auto"/>
              <w:bottom w:val="single" w:sz="4" w:space="0" w:color="auto"/>
              <w:right w:val="single" w:sz="4" w:space="0" w:color="auto"/>
            </w:tcBorders>
            <w:hideMark/>
          </w:tcPr>
          <w:p w14:paraId="6546887C"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5</w:t>
            </w:r>
            <w:r>
              <w:rPr>
                <w:rFonts w:ascii="Sylfaen" w:hAnsi="Sylfaen" w:cs="Arial"/>
                <w:sz w:val="18"/>
                <w:szCs w:val="18"/>
                <w:lang w:val="ka-GE"/>
              </w:rPr>
              <w:t>,</w:t>
            </w:r>
            <w:r>
              <w:rPr>
                <w:rFonts w:ascii="Sylfaen" w:hAnsi="Sylfaen"/>
                <w:sz w:val="18"/>
                <w:szCs w:val="18"/>
                <w:lang w:val="ka-GE"/>
              </w:rPr>
              <w:t>0</w:t>
            </w:r>
          </w:p>
        </w:tc>
        <w:tc>
          <w:tcPr>
            <w:tcW w:w="803" w:type="dxa"/>
            <w:gridSpan w:val="2"/>
            <w:tcBorders>
              <w:top w:val="single" w:sz="4" w:space="0" w:color="auto"/>
              <w:left w:val="single" w:sz="4" w:space="0" w:color="auto"/>
              <w:bottom w:val="single" w:sz="4" w:space="0" w:color="auto"/>
              <w:right w:val="single" w:sz="4" w:space="0" w:color="auto"/>
            </w:tcBorders>
            <w:hideMark/>
          </w:tcPr>
          <w:p w14:paraId="5DEEE51F"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w:t>
            </w:r>
          </w:p>
        </w:tc>
        <w:tc>
          <w:tcPr>
            <w:tcW w:w="788" w:type="dxa"/>
            <w:gridSpan w:val="3"/>
            <w:tcBorders>
              <w:top w:val="single" w:sz="4" w:space="0" w:color="auto"/>
              <w:left w:val="single" w:sz="4" w:space="0" w:color="auto"/>
              <w:bottom w:val="single" w:sz="4" w:space="0" w:color="auto"/>
              <w:right w:val="single" w:sz="4" w:space="0" w:color="auto"/>
            </w:tcBorders>
            <w:hideMark/>
          </w:tcPr>
          <w:p w14:paraId="30D8BB91"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817" w:type="dxa"/>
            <w:gridSpan w:val="2"/>
            <w:tcBorders>
              <w:top w:val="single" w:sz="4" w:space="0" w:color="auto"/>
              <w:left w:val="single" w:sz="4" w:space="0" w:color="auto"/>
              <w:bottom w:val="single" w:sz="4" w:space="0" w:color="auto"/>
              <w:right w:val="single" w:sz="4" w:space="0" w:color="auto"/>
            </w:tcBorders>
            <w:hideMark/>
          </w:tcPr>
          <w:p w14:paraId="05A07356"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00000</w:t>
            </w:r>
          </w:p>
        </w:tc>
        <w:tc>
          <w:tcPr>
            <w:tcW w:w="788" w:type="dxa"/>
            <w:gridSpan w:val="2"/>
            <w:tcBorders>
              <w:top w:val="single" w:sz="4" w:space="0" w:color="auto"/>
              <w:left w:val="single" w:sz="4" w:space="0" w:color="auto"/>
              <w:bottom w:val="single" w:sz="4" w:space="0" w:color="auto"/>
              <w:right w:val="single" w:sz="4" w:space="0" w:color="auto"/>
            </w:tcBorders>
            <w:hideMark/>
          </w:tcPr>
          <w:p w14:paraId="77754C8E"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40" w:type="dxa"/>
            <w:gridSpan w:val="2"/>
            <w:tcBorders>
              <w:top w:val="single" w:sz="4" w:space="0" w:color="auto"/>
              <w:left w:val="single" w:sz="4" w:space="0" w:color="auto"/>
              <w:bottom w:val="single" w:sz="4" w:space="0" w:color="auto"/>
              <w:right w:val="single" w:sz="4" w:space="0" w:color="auto"/>
            </w:tcBorders>
            <w:hideMark/>
          </w:tcPr>
          <w:p w14:paraId="6A06EB21"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r>
              <w:rPr>
                <w:rFonts w:ascii="Sylfaen" w:hAnsi="Sylfaen" w:cs="Arial"/>
                <w:sz w:val="18"/>
                <w:szCs w:val="18"/>
                <w:lang w:val="ka-GE"/>
              </w:rPr>
              <w:t>,</w:t>
            </w:r>
            <w:r>
              <w:rPr>
                <w:rFonts w:ascii="Sylfaen" w:hAnsi="Sylfaen"/>
                <w:sz w:val="18"/>
                <w:szCs w:val="18"/>
                <w:lang w:val="ka-GE"/>
              </w:rPr>
              <w:t>0</w:t>
            </w:r>
          </w:p>
        </w:tc>
        <w:tc>
          <w:tcPr>
            <w:tcW w:w="846" w:type="dxa"/>
            <w:gridSpan w:val="3"/>
            <w:tcBorders>
              <w:top w:val="single" w:sz="4" w:space="0" w:color="auto"/>
              <w:left w:val="single" w:sz="4" w:space="0" w:color="auto"/>
              <w:bottom w:val="single" w:sz="4" w:space="0" w:color="auto"/>
              <w:right w:val="single" w:sz="4" w:space="0" w:color="auto"/>
            </w:tcBorders>
            <w:hideMark/>
          </w:tcPr>
          <w:p w14:paraId="26774175"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cs="Arial"/>
                <w:sz w:val="18"/>
                <w:szCs w:val="18"/>
                <w:lang w:val="ka-GE"/>
              </w:rPr>
              <w:t>-</w:t>
            </w:r>
            <w:r>
              <w:rPr>
                <w:rFonts w:ascii="Sylfaen" w:hAnsi="Sylfaen"/>
                <w:sz w:val="18"/>
                <w:szCs w:val="18"/>
                <w:lang w:val="ka-GE"/>
              </w:rPr>
              <w:t>37</w:t>
            </w:r>
            <w:r>
              <w:rPr>
                <w:rFonts w:ascii="Sylfaen" w:hAnsi="Sylfaen" w:cs="Arial"/>
                <w:sz w:val="18"/>
                <w:szCs w:val="18"/>
                <w:lang w:val="ka-GE"/>
              </w:rPr>
              <w:t>,</w:t>
            </w:r>
            <w:r>
              <w:rPr>
                <w:rFonts w:ascii="Sylfaen" w:hAnsi="Sylfaen"/>
                <w:sz w:val="18"/>
                <w:szCs w:val="18"/>
                <w:lang w:val="ka-GE"/>
              </w:rPr>
              <w:t>0</w:t>
            </w:r>
          </w:p>
        </w:tc>
        <w:tc>
          <w:tcPr>
            <w:tcW w:w="846" w:type="dxa"/>
            <w:gridSpan w:val="2"/>
            <w:tcBorders>
              <w:top w:val="single" w:sz="4" w:space="0" w:color="auto"/>
              <w:left w:val="single" w:sz="4" w:space="0" w:color="auto"/>
              <w:bottom w:val="single" w:sz="4" w:space="0" w:color="auto"/>
              <w:right w:val="single" w:sz="4" w:space="0" w:color="auto"/>
            </w:tcBorders>
            <w:hideMark/>
          </w:tcPr>
          <w:p w14:paraId="4816F1A2"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29</w:t>
            </w:r>
            <w:r>
              <w:rPr>
                <w:rFonts w:ascii="Sylfaen" w:hAnsi="Sylfaen" w:cs="Arial"/>
                <w:sz w:val="18"/>
                <w:szCs w:val="18"/>
                <w:lang w:val="ka-GE"/>
              </w:rPr>
              <w:t>,</w:t>
            </w:r>
            <w:r>
              <w:rPr>
                <w:rFonts w:ascii="Sylfaen" w:hAnsi="Sylfaen"/>
                <w:sz w:val="18"/>
                <w:szCs w:val="18"/>
                <w:lang w:val="ka-GE"/>
              </w:rPr>
              <w:t>0</w:t>
            </w:r>
          </w:p>
        </w:tc>
        <w:tc>
          <w:tcPr>
            <w:tcW w:w="846" w:type="dxa"/>
            <w:gridSpan w:val="3"/>
            <w:tcBorders>
              <w:top w:val="single" w:sz="4" w:space="0" w:color="auto"/>
              <w:left w:val="single" w:sz="4" w:space="0" w:color="auto"/>
              <w:bottom w:val="single" w:sz="4" w:space="0" w:color="auto"/>
              <w:right w:val="single" w:sz="4" w:space="0" w:color="auto"/>
            </w:tcBorders>
            <w:hideMark/>
          </w:tcPr>
          <w:p w14:paraId="33409C4F"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11</w:t>
            </w:r>
            <w:r>
              <w:rPr>
                <w:rFonts w:ascii="Sylfaen" w:hAnsi="Sylfaen" w:cs="Arial"/>
                <w:sz w:val="18"/>
                <w:szCs w:val="18"/>
                <w:lang w:val="ka-GE"/>
              </w:rPr>
              <w:t>,</w:t>
            </w:r>
            <w:r>
              <w:rPr>
                <w:rFonts w:ascii="Sylfaen" w:hAnsi="Sylfaen"/>
                <w:sz w:val="18"/>
                <w:szCs w:val="18"/>
                <w:lang w:val="ka-GE"/>
              </w:rPr>
              <w:t>0</w:t>
            </w:r>
          </w:p>
        </w:tc>
        <w:tc>
          <w:tcPr>
            <w:tcW w:w="890" w:type="dxa"/>
            <w:tcBorders>
              <w:top w:val="single" w:sz="4" w:space="0" w:color="auto"/>
              <w:left w:val="single" w:sz="4" w:space="0" w:color="auto"/>
              <w:bottom w:val="single" w:sz="4" w:space="0" w:color="auto"/>
              <w:right w:val="single" w:sz="4" w:space="0" w:color="auto"/>
            </w:tcBorders>
            <w:hideMark/>
          </w:tcPr>
          <w:p w14:paraId="50B94EFA"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101</w:t>
            </w:r>
            <w:r>
              <w:rPr>
                <w:rFonts w:ascii="Sylfaen" w:hAnsi="Sylfaen" w:cs="Arial"/>
                <w:sz w:val="18"/>
                <w:szCs w:val="18"/>
                <w:lang w:val="ka-GE"/>
              </w:rPr>
              <w:t>,</w:t>
            </w:r>
            <w:r>
              <w:rPr>
                <w:rFonts w:ascii="Sylfaen" w:hAnsi="Sylfaen"/>
                <w:sz w:val="18"/>
                <w:szCs w:val="18"/>
                <w:lang w:val="ka-GE"/>
              </w:rPr>
              <w:t>0</w:t>
            </w:r>
          </w:p>
        </w:tc>
        <w:tc>
          <w:tcPr>
            <w:tcW w:w="861" w:type="dxa"/>
            <w:tcBorders>
              <w:top w:val="single" w:sz="4" w:space="0" w:color="auto"/>
              <w:left w:val="single" w:sz="4" w:space="0" w:color="auto"/>
              <w:bottom w:val="single" w:sz="4" w:space="0" w:color="auto"/>
              <w:right w:val="single" w:sz="4" w:space="0" w:color="auto"/>
            </w:tcBorders>
            <w:hideMark/>
          </w:tcPr>
          <w:p w14:paraId="7017A336"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10</w:t>
            </w:r>
            <w:r>
              <w:rPr>
                <w:rFonts w:ascii="Sylfaen" w:hAnsi="Sylfaen" w:cs="Arial"/>
                <w:sz w:val="18"/>
                <w:szCs w:val="18"/>
                <w:lang w:val="ka-GE"/>
              </w:rPr>
              <w:t>,</w:t>
            </w:r>
            <w:r>
              <w:rPr>
                <w:rFonts w:ascii="Sylfaen" w:hAnsi="Sylfaen"/>
                <w:sz w:val="18"/>
                <w:szCs w:val="18"/>
                <w:lang w:val="ka-GE"/>
              </w:rPr>
              <w:t>00</w:t>
            </w:r>
          </w:p>
        </w:tc>
      </w:tr>
      <w:tr w:rsidR="00A2588D" w14:paraId="242C1E6C" w14:textId="77777777" w:rsidTr="00A2588D">
        <w:trPr>
          <w:gridAfter w:val="4"/>
          <w:wAfter w:w="2098" w:type="dxa"/>
          <w:jc w:val="center"/>
        </w:trPr>
        <w:tc>
          <w:tcPr>
            <w:tcW w:w="1080" w:type="dxa"/>
            <w:gridSpan w:val="2"/>
            <w:hideMark/>
          </w:tcPr>
          <w:p w14:paraId="22E1259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ნივთ. კოდი</w:t>
            </w:r>
          </w:p>
        </w:tc>
        <w:tc>
          <w:tcPr>
            <w:tcW w:w="3431" w:type="dxa"/>
            <w:gridSpan w:val="3"/>
            <w:hideMark/>
          </w:tcPr>
          <w:p w14:paraId="326C1B9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ნივთიერება</w:t>
            </w:r>
          </w:p>
        </w:tc>
        <w:tc>
          <w:tcPr>
            <w:tcW w:w="1314" w:type="dxa"/>
            <w:gridSpan w:val="4"/>
            <w:hideMark/>
          </w:tcPr>
          <w:p w14:paraId="786AAAB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გაფრქვევა (გ/წმ)</w:t>
            </w:r>
          </w:p>
        </w:tc>
        <w:tc>
          <w:tcPr>
            <w:tcW w:w="1314" w:type="dxa"/>
            <w:gridSpan w:val="4"/>
            <w:hideMark/>
          </w:tcPr>
          <w:p w14:paraId="2F2355C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გაფრქვევა (ტ/წლ)</w:t>
            </w:r>
          </w:p>
        </w:tc>
        <w:tc>
          <w:tcPr>
            <w:tcW w:w="438" w:type="dxa"/>
            <w:hideMark/>
          </w:tcPr>
          <w:p w14:paraId="799E17A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F</w:t>
            </w:r>
          </w:p>
        </w:tc>
        <w:tc>
          <w:tcPr>
            <w:tcW w:w="511" w:type="dxa"/>
            <w:gridSpan w:val="2"/>
            <w:hideMark/>
          </w:tcPr>
          <w:p w14:paraId="40FDEDC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ზაფხ.:</w:t>
            </w:r>
          </w:p>
        </w:tc>
        <w:tc>
          <w:tcPr>
            <w:tcW w:w="788" w:type="dxa"/>
            <w:gridSpan w:val="2"/>
            <w:hideMark/>
          </w:tcPr>
          <w:p w14:paraId="6898E22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Cm/</w:t>
            </w:r>
            <w:r>
              <w:rPr>
                <w:rFonts w:ascii="Sylfaen" w:hAnsi="Sylfaen" w:cs="Arial"/>
                <w:sz w:val="16"/>
                <w:szCs w:val="16"/>
                <w:lang w:val="ka-GE"/>
              </w:rPr>
              <w:t>ზდკ</w:t>
            </w:r>
          </w:p>
        </w:tc>
        <w:tc>
          <w:tcPr>
            <w:tcW w:w="627" w:type="dxa"/>
            <w:gridSpan w:val="2"/>
            <w:hideMark/>
          </w:tcPr>
          <w:p w14:paraId="4C290F1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Xm</w:t>
            </w:r>
          </w:p>
        </w:tc>
        <w:tc>
          <w:tcPr>
            <w:tcW w:w="496" w:type="dxa"/>
            <w:gridSpan w:val="2"/>
            <w:hideMark/>
          </w:tcPr>
          <w:p w14:paraId="5E33E6A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Um</w:t>
            </w:r>
          </w:p>
        </w:tc>
        <w:tc>
          <w:tcPr>
            <w:tcW w:w="540" w:type="dxa"/>
            <w:hideMark/>
          </w:tcPr>
          <w:p w14:paraId="0824689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ზამთ.:</w:t>
            </w:r>
          </w:p>
        </w:tc>
        <w:tc>
          <w:tcPr>
            <w:tcW w:w="788" w:type="dxa"/>
            <w:gridSpan w:val="2"/>
            <w:hideMark/>
          </w:tcPr>
          <w:p w14:paraId="77CD2D1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Cm/</w:t>
            </w:r>
            <w:r>
              <w:rPr>
                <w:rFonts w:ascii="Sylfaen" w:hAnsi="Sylfaen" w:cs="Arial"/>
                <w:sz w:val="16"/>
                <w:szCs w:val="16"/>
                <w:lang w:val="ka-GE"/>
              </w:rPr>
              <w:t>ზდკ</w:t>
            </w:r>
          </w:p>
        </w:tc>
        <w:tc>
          <w:tcPr>
            <w:tcW w:w="627" w:type="dxa"/>
            <w:gridSpan w:val="2"/>
            <w:hideMark/>
          </w:tcPr>
          <w:p w14:paraId="15489D9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Xm</w:t>
            </w:r>
          </w:p>
        </w:tc>
        <w:tc>
          <w:tcPr>
            <w:tcW w:w="496" w:type="dxa"/>
            <w:hideMark/>
          </w:tcPr>
          <w:p w14:paraId="1DD2344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Um</w:t>
            </w:r>
          </w:p>
        </w:tc>
      </w:tr>
      <w:tr w:rsidR="00A2588D" w14:paraId="63D9E166" w14:textId="77777777" w:rsidTr="00A2588D">
        <w:trPr>
          <w:gridAfter w:val="4"/>
          <w:wAfter w:w="2098" w:type="dxa"/>
          <w:jc w:val="center"/>
        </w:trPr>
        <w:tc>
          <w:tcPr>
            <w:tcW w:w="1080" w:type="dxa"/>
            <w:gridSpan w:val="2"/>
            <w:hideMark/>
          </w:tcPr>
          <w:p w14:paraId="4B97E98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0301</w:t>
            </w:r>
          </w:p>
        </w:tc>
        <w:tc>
          <w:tcPr>
            <w:tcW w:w="3431" w:type="dxa"/>
            <w:gridSpan w:val="3"/>
            <w:hideMark/>
          </w:tcPr>
          <w:p w14:paraId="1DE6C72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აზოტის (IV) ოქსიდი (აზოტის დიოქსიდი)</w:t>
            </w:r>
          </w:p>
        </w:tc>
        <w:tc>
          <w:tcPr>
            <w:tcW w:w="1314" w:type="dxa"/>
            <w:gridSpan w:val="4"/>
            <w:hideMark/>
          </w:tcPr>
          <w:p w14:paraId="3972ADE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0327924</w:t>
            </w:r>
          </w:p>
        </w:tc>
        <w:tc>
          <w:tcPr>
            <w:tcW w:w="1314" w:type="dxa"/>
            <w:gridSpan w:val="4"/>
            <w:hideMark/>
          </w:tcPr>
          <w:p w14:paraId="7F858FF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41F0E0E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50F0E698"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44CB258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690</w:t>
            </w:r>
          </w:p>
        </w:tc>
        <w:tc>
          <w:tcPr>
            <w:tcW w:w="627" w:type="dxa"/>
            <w:gridSpan w:val="2"/>
            <w:hideMark/>
          </w:tcPr>
          <w:p w14:paraId="406C148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gridSpan w:val="2"/>
            <w:hideMark/>
          </w:tcPr>
          <w:p w14:paraId="0D5D0A8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456A1524"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11B9EB1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690</w:t>
            </w:r>
          </w:p>
        </w:tc>
        <w:tc>
          <w:tcPr>
            <w:tcW w:w="627" w:type="dxa"/>
            <w:gridSpan w:val="2"/>
            <w:hideMark/>
          </w:tcPr>
          <w:p w14:paraId="247C58C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hideMark/>
          </w:tcPr>
          <w:p w14:paraId="51667D1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6E82906D" w14:textId="77777777" w:rsidTr="00A2588D">
        <w:trPr>
          <w:gridAfter w:val="4"/>
          <w:wAfter w:w="2098" w:type="dxa"/>
          <w:jc w:val="center"/>
        </w:trPr>
        <w:tc>
          <w:tcPr>
            <w:tcW w:w="1080" w:type="dxa"/>
            <w:gridSpan w:val="2"/>
            <w:hideMark/>
          </w:tcPr>
          <w:p w14:paraId="38A9048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0304</w:t>
            </w:r>
          </w:p>
        </w:tc>
        <w:tc>
          <w:tcPr>
            <w:tcW w:w="3431" w:type="dxa"/>
            <w:gridSpan w:val="3"/>
            <w:hideMark/>
          </w:tcPr>
          <w:p w14:paraId="471FC69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აზოტის (II) ოქსიდი (აზოტის ოქსიდი)</w:t>
            </w:r>
          </w:p>
        </w:tc>
        <w:tc>
          <w:tcPr>
            <w:tcW w:w="1314" w:type="dxa"/>
            <w:gridSpan w:val="4"/>
            <w:hideMark/>
          </w:tcPr>
          <w:p w14:paraId="2913AD3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0053272</w:t>
            </w:r>
          </w:p>
        </w:tc>
        <w:tc>
          <w:tcPr>
            <w:tcW w:w="1314" w:type="dxa"/>
            <w:gridSpan w:val="4"/>
            <w:hideMark/>
          </w:tcPr>
          <w:p w14:paraId="72E8B63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64A39F1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741B3541"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52D7012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056</w:t>
            </w:r>
          </w:p>
        </w:tc>
        <w:tc>
          <w:tcPr>
            <w:tcW w:w="627" w:type="dxa"/>
            <w:gridSpan w:val="2"/>
            <w:hideMark/>
          </w:tcPr>
          <w:p w14:paraId="1D5385B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gridSpan w:val="2"/>
            <w:hideMark/>
          </w:tcPr>
          <w:p w14:paraId="283E7E5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008107C1"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7113232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056</w:t>
            </w:r>
          </w:p>
        </w:tc>
        <w:tc>
          <w:tcPr>
            <w:tcW w:w="627" w:type="dxa"/>
            <w:gridSpan w:val="2"/>
            <w:hideMark/>
          </w:tcPr>
          <w:p w14:paraId="0639215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hideMark/>
          </w:tcPr>
          <w:p w14:paraId="58C090D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18EDDCFB" w14:textId="77777777" w:rsidTr="00A2588D">
        <w:trPr>
          <w:gridAfter w:val="4"/>
          <w:wAfter w:w="2098" w:type="dxa"/>
          <w:jc w:val="center"/>
        </w:trPr>
        <w:tc>
          <w:tcPr>
            <w:tcW w:w="1080" w:type="dxa"/>
            <w:gridSpan w:val="2"/>
            <w:hideMark/>
          </w:tcPr>
          <w:p w14:paraId="21EBA88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lastRenderedPageBreak/>
              <w:t>0328</w:t>
            </w:r>
          </w:p>
        </w:tc>
        <w:tc>
          <w:tcPr>
            <w:tcW w:w="3431" w:type="dxa"/>
            <w:gridSpan w:val="3"/>
            <w:hideMark/>
          </w:tcPr>
          <w:p w14:paraId="68ABF69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შავი ნახშირბადი (ჭვარტლი)</w:t>
            </w:r>
          </w:p>
        </w:tc>
        <w:tc>
          <w:tcPr>
            <w:tcW w:w="1314" w:type="dxa"/>
            <w:gridSpan w:val="4"/>
            <w:hideMark/>
          </w:tcPr>
          <w:p w14:paraId="281ED7C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0045017</w:t>
            </w:r>
          </w:p>
        </w:tc>
        <w:tc>
          <w:tcPr>
            <w:tcW w:w="1314" w:type="dxa"/>
            <w:gridSpan w:val="4"/>
            <w:hideMark/>
          </w:tcPr>
          <w:p w14:paraId="424851C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6B76BF8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459F3FCA"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095F11D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126</w:t>
            </w:r>
          </w:p>
        </w:tc>
        <w:tc>
          <w:tcPr>
            <w:tcW w:w="627" w:type="dxa"/>
            <w:gridSpan w:val="2"/>
            <w:hideMark/>
          </w:tcPr>
          <w:p w14:paraId="1F3AFB7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gridSpan w:val="2"/>
            <w:hideMark/>
          </w:tcPr>
          <w:p w14:paraId="34CE69E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6DC0F8E3"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1F190AF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126</w:t>
            </w:r>
          </w:p>
        </w:tc>
        <w:tc>
          <w:tcPr>
            <w:tcW w:w="627" w:type="dxa"/>
            <w:gridSpan w:val="2"/>
            <w:hideMark/>
          </w:tcPr>
          <w:p w14:paraId="1EC73C6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hideMark/>
          </w:tcPr>
          <w:p w14:paraId="5C648FC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309E208C" w14:textId="77777777" w:rsidTr="00A2588D">
        <w:trPr>
          <w:gridAfter w:val="4"/>
          <w:wAfter w:w="2098" w:type="dxa"/>
          <w:jc w:val="center"/>
        </w:trPr>
        <w:tc>
          <w:tcPr>
            <w:tcW w:w="1080" w:type="dxa"/>
            <w:gridSpan w:val="2"/>
            <w:hideMark/>
          </w:tcPr>
          <w:p w14:paraId="7843486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0330</w:t>
            </w:r>
          </w:p>
        </w:tc>
        <w:tc>
          <w:tcPr>
            <w:tcW w:w="3431" w:type="dxa"/>
            <w:gridSpan w:val="3"/>
            <w:hideMark/>
          </w:tcPr>
          <w:p w14:paraId="483E3CC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გოგირდის დიოქსიდი</w:t>
            </w:r>
          </w:p>
        </w:tc>
        <w:tc>
          <w:tcPr>
            <w:tcW w:w="1314" w:type="dxa"/>
            <w:gridSpan w:val="4"/>
            <w:hideMark/>
          </w:tcPr>
          <w:p w14:paraId="16ADE37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0033200</w:t>
            </w:r>
          </w:p>
        </w:tc>
        <w:tc>
          <w:tcPr>
            <w:tcW w:w="1314" w:type="dxa"/>
            <w:gridSpan w:val="4"/>
            <w:hideMark/>
          </w:tcPr>
          <w:p w14:paraId="27FC829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1D2B527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220891FA"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3DD4F45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028</w:t>
            </w:r>
          </w:p>
        </w:tc>
        <w:tc>
          <w:tcPr>
            <w:tcW w:w="627" w:type="dxa"/>
            <w:gridSpan w:val="2"/>
            <w:hideMark/>
          </w:tcPr>
          <w:p w14:paraId="2DAF9E1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gridSpan w:val="2"/>
            <w:hideMark/>
          </w:tcPr>
          <w:p w14:paraId="4551311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56D65EC2"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78FE12E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028</w:t>
            </w:r>
          </w:p>
        </w:tc>
        <w:tc>
          <w:tcPr>
            <w:tcW w:w="627" w:type="dxa"/>
            <w:gridSpan w:val="2"/>
            <w:hideMark/>
          </w:tcPr>
          <w:p w14:paraId="46287E1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hideMark/>
          </w:tcPr>
          <w:p w14:paraId="1A790AC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15C67E28" w14:textId="77777777" w:rsidTr="00A2588D">
        <w:trPr>
          <w:gridAfter w:val="4"/>
          <w:wAfter w:w="2098" w:type="dxa"/>
          <w:jc w:val="center"/>
        </w:trPr>
        <w:tc>
          <w:tcPr>
            <w:tcW w:w="1080" w:type="dxa"/>
            <w:gridSpan w:val="2"/>
            <w:hideMark/>
          </w:tcPr>
          <w:p w14:paraId="3D53688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0337</w:t>
            </w:r>
          </w:p>
        </w:tc>
        <w:tc>
          <w:tcPr>
            <w:tcW w:w="3431" w:type="dxa"/>
            <w:gridSpan w:val="3"/>
            <w:hideMark/>
          </w:tcPr>
          <w:p w14:paraId="43DF1DA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ნახშირბადის ოქსიდი</w:t>
            </w:r>
          </w:p>
        </w:tc>
        <w:tc>
          <w:tcPr>
            <w:tcW w:w="1314" w:type="dxa"/>
            <w:gridSpan w:val="4"/>
            <w:hideMark/>
          </w:tcPr>
          <w:p w14:paraId="6181522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0273783</w:t>
            </w:r>
          </w:p>
        </w:tc>
        <w:tc>
          <w:tcPr>
            <w:tcW w:w="1314" w:type="dxa"/>
            <w:gridSpan w:val="4"/>
            <w:hideMark/>
          </w:tcPr>
          <w:p w14:paraId="39389A4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4B82500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61461BE0"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59A844B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023</w:t>
            </w:r>
          </w:p>
        </w:tc>
        <w:tc>
          <w:tcPr>
            <w:tcW w:w="627" w:type="dxa"/>
            <w:gridSpan w:val="2"/>
            <w:hideMark/>
          </w:tcPr>
          <w:p w14:paraId="27608F8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gridSpan w:val="2"/>
            <w:hideMark/>
          </w:tcPr>
          <w:p w14:paraId="3E6FC5C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6102330F"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2C6DBE4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023</w:t>
            </w:r>
          </w:p>
        </w:tc>
        <w:tc>
          <w:tcPr>
            <w:tcW w:w="627" w:type="dxa"/>
            <w:gridSpan w:val="2"/>
            <w:hideMark/>
          </w:tcPr>
          <w:p w14:paraId="0928D4D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hideMark/>
          </w:tcPr>
          <w:p w14:paraId="7E797D3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0E532AF8" w14:textId="77777777" w:rsidTr="00A2588D">
        <w:trPr>
          <w:gridAfter w:val="4"/>
          <w:wAfter w:w="2098" w:type="dxa"/>
          <w:jc w:val="center"/>
        </w:trPr>
        <w:tc>
          <w:tcPr>
            <w:tcW w:w="1080" w:type="dxa"/>
            <w:gridSpan w:val="2"/>
            <w:hideMark/>
          </w:tcPr>
          <w:p w14:paraId="7AE274B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2732</w:t>
            </w:r>
          </w:p>
        </w:tc>
        <w:tc>
          <w:tcPr>
            <w:tcW w:w="3431" w:type="dxa"/>
            <w:gridSpan w:val="3"/>
            <w:hideMark/>
          </w:tcPr>
          <w:p w14:paraId="5CA43C1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ნავთის ფრაქცია</w:t>
            </w:r>
          </w:p>
        </w:tc>
        <w:tc>
          <w:tcPr>
            <w:tcW w:w="1314" w:type="dxa"/>
            <w:gridSpan w:val="4"/>
            <w:hideMark/>
          </w:tcPr>
          <w:p w14:paraId="23A20D6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0077372</w:t>
            </w:r>
          </w:p>
        </w:tc>
        <w:tc>
          <w:tcPr>
            <w:tcW w:w="1314" w:type="dxa"/>
            <w:gridSpan w:val="4"/>
            <w:hideMark/>
          </w:tcPr>
          <w:p w14:paraId="1AE91A7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7BA8E5D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1987A762"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042D086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027</w:t>
            </w:r>
          </w:p>
        </w:tc>
        <w:tc>
          <w:tcPr>
            <w:tcW w:w="627" w:type="dxa"/>
            <w:gridSpan w:val="2"/>
            <w:hideMark/>
          </w:tcPr>
          <w:p w14:paraId="4EA770C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gridSpan w:val="2"/>
            <w:hideMark/>
          </w:tcPr>
          <w:p w14:paraId="089DEEE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2DE25295"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5E86E8F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027</w:t>
            </w:r>
          </w:p>
        </w:tc>
        <w:tc>
          <w:tcPr>
            <w:tcW w:w="627" w:type="dxa"/>
            <w:gridSpan w:val="2"/>
            <w:hideMark/>
          </w:tcPr>
          <w:p w14:paraId="78A4D0A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hideMark/>
          </w:tcPr>
          <w:p w14:paraId="65E49C7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21D85838" w14:textId="77777777" w:rsidTr="00A2588D">
        <w:trPr>
          <w:gridAfter w:val="4"/>
          <w:wAfter w:w="2098" w:type="dxa"/>
          <w:jc w:val="center"/>
        </w:trPr>
        <w:tc>
          <w:tcPr>
            <w:tcW w:w="1080" w:type="dxa"/>
            <w:gridSpan w:val="2"/>
            <w:hideMark/>
          </w:tcPr>
          <w:p w14:paraId="27A4263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2902</w:t>
            </w:r>
          </w:p>
        </w:tc>
        <w:tc>
          <w:tcPr>
            <w:tcW w:w="3431" w:type="dxa"/>
            <w:gridSpan w:val="3"/>
            <w:hideMark/>
          </w:tcPr>
          <w:p w14:paraId="5F5BCA3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შეწონილი ნაწილაკები</w:t>
            </w:r>
          </w:p>
        </w:tc>
        <w:tc>
          <w:tcPr>
            <w:tcW w:w="1314" w:type="dxa"/>
            <w:gridSpan w:val="4"/>
            <w:hideMark/>
          </w:tcPr>
          <w:p w14:paraId="5F68F0C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0110000</w:t>
            </w:r>
          </w:p>
        </w:tc>
        <w:tc>
          <w:tcPr>
            <w:tcW w:w="1314" w:type="dxa"/>
            <w:gridSpan w:val="4"/>
            <w:hideMark/>
          </w:tcPr>
          <w:p w14:paraId="57E9CB7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3F30B2B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511" w:type="dxa"/>
            <w:gridSpan w:val="2"/>
          </w:tcPr>
          <w:p w14:paraId="4A45A9D7"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6D918B3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278</w:t>
            </w:r>
          </w:p>
        </w:tc>
        <w:tc>
          <w:tcPr>
            <w:tcW w:w="627" w:type="dxa"/>
            <w:gridSpan w:val="2"/>
            <w:hideMark/>
          </w:tcPr>
          <w:p w14:paraId="0397F08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14</w:t>
            </w:r>
            <w:r>
              <w:rPr>
                <w:rFonts w:ascii="Sylfaen" w:hAnsi="Sylfaen" w:cs="Arial"/>
                <w:sz w:val="16"/>
                <w:szCs w:val="16"/>
                <w:lang w:val="ka-GE"/>
              </w:rPr>
              <w:t>,</w:t>
            </w:r>
            <w:r>
              <w:rPr>
                <w:rFonts w:ascii="Sylfaen" w:hAnsi="Sylfaen"/>
                <w:sz w:val="16"/>
                <w:szCs w:val="16"/>
                <w:lang w:val="ka-GE"/>
              </w:rPr>
              <w:t>3</w:t>
            </w:r>
          </w:p>
        </w:tc>
        <w:tc>
          <w:tcPr>
            <w:tcW w:w="496" w:type="dxa"/>
            <w:gridSpan w:val="2"/>
            <w:hideMark/>
          </w:tcPr>
          <w:p w14:paraId="76F3B35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7E336525"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14BC2F2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278</w:t>
            </w:r>
          </w:p>
        </w:tc>
        <w:tc>
          <w:tcPr>
            <w:tcW w:w="627" w:type="dxa"/>
            <w:gridSpan w:val="2"/>
            <w:hideMark/>
          </w:tcPr>
          <w:p w14:paraId="1269EEF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14</w:t>
            </w:r>
            <w:r>
              <w:rPr>
                <w:rFonts w:ascii="Sylfaen" w:hAnsi="Sylfaen" w:cs="Arial"/>
                <w:sz w:val="16"/>
                <w:szCs w:val="16"/>
                <w:lang w:val="ka-GE"/>
              </w:rPr>
              <w:t>,</w:t>
            </w:r>
            <w:r>
              <w:rPr>
                <w:rFonts w:ascii="Sylfaen" w:hAnsi="Sylfaen"/>
                <w:sz w:val="16"/>
                <w:szCs w:val="16"/>
                <w:lang w:val="ka-GE"/>
              </w:rPr>
              <w:t>3</w:t>
            </w:r>
          </w:p>
        </w:tc>
        <w:tc>
          <w:tcPr>
            <w:tcW w:w="496" w:type="dxa"/>
            <w:hideMark/>
          </w:tcPr>
          <w:p w14:paraId="050166F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16944F49" w14:textId="77777777" w:rsidTr="00A2588D">
        <w:trPr>
          <w:gridAfter w:val="1"/>
          <w:wAfter w:w="321" w:type="dxa"/>
          <w:jc w:val="center"/>
        </w:trPr>
        <w:tc>
          <w:tcPr>
            <w:tcW w:w="540" w:type="dxa"/>
            <w:tcBorders>
              <w:top w:val="single" w:sz="4" w:space="0" w:color="auto"/>
              <w:left w:val="single" w:sz="4" w:space="0" w:color="auto"/>
              <w:bottom w:val="single" w:sz="4" w:space="0" w:color="auto"/>
              <w:right w:val="single" w:sz="4" w:space="0" w:color="auto"/>
            </w:tcBorders>
            <w:hideMark/>
          </w:tcPr>
          <w:p w14:paraId="03BD1631"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w:t>
            </w:r>
          </w:p>
        </w:tc>
        <w:tc>
          <w:tcPr>
            <w:tcW w:w="540" w:type="dxa"/>
            <w:tcBorders>
              <w:top w:val="single" w:sz="4" w:space="0" w:color="auto"/>
              <w:left w:val="single" w:sz="4" w:space="0" w:color="auto"/>
              <w:bottom w:val="single" w:sz="4" w:space="0" w:color="auto"/>
              <w:right w:val="single" w:sz="4" w:space="0" w:color="auto"/>
            </w:tcBorders>
            <w:hideMark/>
          </w:tcPr>
          <w:p w14:paraId="080911F9"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54" w:type="dxa"/>
            <w:tcBorders>
              <w:top w:val="single" w:sz="4" w:space="0" w:color="auto"/>
              <w:left w:val="single" w:sz="4" w:space="0" w:color="auto"/>
              <w:bottom w:val="single" w:sz="4" w:space="0" w:color="auto"/>
              <w:right w:val="single" w:sz="4" w:space="0" w:color="auto"/>
            </w:tcBorders>
            <w:hideMark/>
          </w:tcPr>
          <w:p w14:paraId="5F032B76"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98" w:type="dxa"/>
            <w:tcBorders>
              <w:top w:val="single" w:sz="4" w:space="0" w:color="auto"/>
              <w:left w:val="single" w:sz="4" w:space="0" w:color="auto"/>
              <w:bottom w:val="single" w:sz="4" w:space="0" w:color="auto"/>
              <w:right w:val="single" w:sz="4" w:space="0" w:color="auto"/>
            </w:tcBorders>
            <w:hideMark/>
          </w:tcPr>
          <w:p w14:paraId="17A73BF1"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7</w:t>
            </w:r>
          </w:p>
        </w:tc>
        <w:tc>
          <w:tcPr>
            <w:tcW w:w="2336" w:type="dxa"/>
            <w:gridSpan w:val="2"/>
            <w:tcBorders>
              <w:top w:val="single" w:sz="4" w:space="0" w:color="auto"/>
              <w:left w:val="single" w:sz="4" w:space="0" w:color="auto"/>
              <w:bottom w:val="single" w:sz="4" w:space="0" w:color="auto"/>
              <w:right w:val="single" w:sz="4" w:space="0" w:color="auto"/>
            </w:tcBorders>
            <w:hideMark/>
          </w:tcPr>
          <w:p w14:paraId="05B33983"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sz w:val="18"/>
                <w:szCs w:val="18"/>
                <w:lang w:val="ka-GE"/>
              </w:rPr>
              <w:t>ინერტულის</w:t>
            </w:r>
            <w:r>
              <w:rPr>
                <w:rFonts w:ascii="Sylfaen" w:hAnsi="Sylfaen" w:cs="Arial"/>
                <w:sz w:val="18"/>
                <w:szCs w:val="18"/>
                <w:lang w:val="ka-GE"/>
              </w:rPr>
              <w:t xml:space="preserve"> </w:t>
            </w:r>
            <w:r>
              <w:rPr>
                <w:rFonts w:ascii="Sylfaen" w:hAnsi="Sylfaen"/>
                <w:sz w:val="18"/>
                <w:szCs w:val="18"/>
                <w:lang w:val="ka-GE"/>
              </w:rPr>
              <w:t>საწყობი</w:t>
            </w:r>
          </w:p>
        </w:tc>
        <w:tc>
          <w:tcPr>
            <w:tcW w:w="525" w:type="dxa"/>
            <w:tcBorders>
              <w:top w:val="single" w:sz="4" w:space="0" w:color="auto"/>
              <w:left w:val="single" w:sz="4" w:space="0" w:color="auto"/>
              <w:bottom w:val="single" w:sz="4" w:space="0" w:color="auto"/>
              <w:right w:val="single" w:sz="4" w:space="0" w:color="auto"/>
            </w:tcBorders>
            <w:hideMark/>
          </w:tcPr>
          <w:p w14:paraId="47B20977"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p>
        </w:tc>
        <w:tc>
          <w:tcPr>
            <w:tcW w:w="423" w:type="dxa"/>
            <w:tcBorders>
              <w:top w:val="single" w:sz="4" w:space="0" w:color="auto"/>
              <w:left w:val="single" w:sz="4" w:space="0" w:color="auto"/>
              <w:bottom w:val="single" w:sz="4" w:space="0" w:color="auto"/>
              <w:right w:val="single" w:sz="4" w:space="0" w:color="auto"/>
            </w:tcBorders>
            <w:hideMark/>
          </w:tcPr>
          <w:p w14:paraId="142200E3"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3</w:t>
            </w:r>
          </w:p>
        </w:tc>
        <w:tc>
          <w:tcPr>
            <w:tcW w:w="686" w:type="dxa"/>
            <w:gridSpan w:val="2"/>
            <w:tcBorders>
              <w:top w:val="single" w:sz="4" w:space="0" w:color="auto"/>
              <w:left w:val="single" w:sz="4" w:space="0" w:color="auto"/>
              <w:bottom w:val="single" w:sz="4" w:space="0" w:color="auto"/>
              <w:right w:val="single" w:sz="4" w:space="0" w:color="auto"/>
            </w:tcBorders>
            <w:hideMark/>
          </w:tcPr>
          <w:p w14:paraId="7788B218"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2</w:t>
            </w:r>
            <w:r>
              <w:rPr>
                <w:rFonts w:ascii="Sylfaen" w:hAnsi="Sylfaen" w:cs="Arial"/>
                <w:sz w:val="18"/>
                <w:szCs w:val="18"/>
                <w:lang w:val="ka-GE"/>
              </w:rPr>
              <w:t>,</w:t>
            </w:r>
            <w:r>
              <w:rPr>
                <w:rFonts w:ascii="Sylfaen" w:hAnsi="Sylfaen"/>
                <w:sz w:val="18"/>
                <w:szCs w:val="18"/>
                <w:lang w:val="ka-GE"/>
              </w:rPr>
              <w:t>0</w:t>
            </w:r>
          </w:p>
        </w:tc>
        <w:tc>
          <w:tcPr>
            <w:tcW w:w="803" w:type="dxa"/>
            <w:gridSpan w:val="2"/>
            <w:tcBorders>
              <w:top w:val="single" w:sz="4" w:space="0" w:color="auto"/>
              <w:left w:val="single" w:sz="4" w:space="0" w:color="auto"/>
              <w:bottom w:val="single" w:sz="4" w:space="0" w:color="auto"/>
              <w:right w:val="single" w:sz="4" w:space="0" w:color="auto"/>
            </w:tcBorders>
            <w:hideMark/>
          </w:tcPr>
          <w:p w14:paraId="5225344F"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w:t>
            </w:r>
          </w:p>
        </w:tc>
        <w:tc>
          <w:tcPr>
            <w:tcW w:w="788" w:type="dxa"/>
            <w:gridSpan w:val="3"/>
            <w:tcBorders>
              <w:top w:val="single" w:sz="4" w:space="0" w:color="auto"/>
              <w:left w:val="single" w:sz="4" w:space="0" w:color="auto"/>
              <w:bottom w:val="single" w:sz="4" w:space="0" w:color="auto"/>
              <w:right w:val="single" w:sz="4" w:space="0" w:color="auto"/>
            </w:tcBorders>
            <w:hideMark/>
          </w:tcPr>
          <w:p w14:paraId="7854A29F"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817" w:type="dxa"/>
            <w:gridSpan w:val="2"/>
            <w:tcBorders>
              <w:top w:val="single" w:sz="4" w:space="0" w:color="auto"/>
              <w:left w:val="single" w:sz="4" w:space="0" w:color="auto"/>
              <w:bottom w:val="single" w:sz="4" w:space="0" w:color="auto"/>
              <w:right w:val="single" w:sz="4" w:space="0" w:color="auto"/>
            </w:tcBorders>
            <w:hideMark/>
          </w:tcPr>
          <w:p w14:paraId="61EFAB7D"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00000</w:t>
            </w:r>
          </w:p>
        </w:tc>
        <w:tc>
          <w:tcPr>
            <w:tcW w:w="788" w:type="dxa"/>
            <w:gridSpan w:val="2"/>
            <w:tcBorders>
              <w:top w:val="single" w:sz="4" w:space="0" w:color="auto"/>
              <w:left w:val="single" w:sz="4" w:space="0" w:color="auto"/>
              <w:bottom w:val="single" w:sz="4" w:space="0" w:color="auto"/>
              <w:right w:val="single" w:sz="4" w:space="0" w:color="auto"/>
            </w:tcBorders>
            <w:hideMark/>
          </w:tcPr>
          <w:p w14:paraId="4292D2D2"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40" w:type="dxa"/>
            <w:gridSpan w:val="2"/>
            <w:tcBorders>
              <w:top w:val="single" w:sz="4" w:space="0" w:color="auto"/>
              <w:left w:val="single" w:sz="4" w:space="0" w:color="auto"/>
              <w:bottom w:val="single" w:sz="4" w:space="0" w:color="auto"/>
              <w:right w:val="single" w:sz="4" w:space="0" w:color="auto"/>
            </w:tcBorders>
            <w:hideMark/>
          </w:tcPr>
          <w:p w14:paraId="15AE9829"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r>
              <w:rPr>
                <w:rFonts w:ascii="Sylfaen" w:hAnsi="Sylfaen" w:cs="Arial"/>
                <w:sz w:val="18"/>
                <w:szCs w:val="18"/>
                <w:lang w:val="ka-GE"/>
              </w:rPr>
              <w:t>,</w:t>
            </w:r>
            <w:r>
              <w:rPr>
                <w:rFonts w:ascii="Sylfaen" w:hAnsi="Sylfaen"/>
                <w:sz w:val="18"/>
                <w:szCs w:val="18"/>
                <w:lang w:val="ka-GE"/>
              </w:rPr>
              <w:t>0</w:t>
            </w:r>
          </w:p>
        </w:tc>
        <w:tc>
          <w:tcPr>
            <w:tcW w:w="846" w:type="dxa"/>
            <w:gridSpan w:val="3"/>
            <w:tcBorders>
              <w:top w:val="single" w:sz="4" w:space="0" w:color="auto"/>
              <w:left w:val="single" w:sz="4" w:space="0" w:color="auto"/>
              <w:bottom w:val="single" w:sz="4" w:space="0" w:color="auto"/>
              <w:right w:val="single" w:sz="4" w:space="0" w:color="auto"/>
            </w:tcBorders>
            <w:hideMark/>
          </w:tcPr>
          <w:p w14:paraId="66101683"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16</w:t>
            </w:r>
            <w:r>
              <w:rPr>
                <w:rFonts w:ascii="Sylfaen" w:hAnsi="Sylfaen" w:cs="Arial"/>
                <w:sz w:val="18"/>
                <w:szCs w:val="18"/>
                <w:lang w:val="ka-GE"/>
              </w:rPr>
              <w:t>,</w:t>
            </w:r>
            <w:r>
              <w:rPr>
                <w:rFonts w:ascii="Sylfaen" w:hAnsi="Sylfaen"/>
                <w:sz w:val="18"/>
                <w:szCs w:val="18"/>
                <w:lang w:val="ka-GE"/>
              </w:rPr>
              <w:t>0</w:t>
            </w:r>
          </w:p>
        </w:tc>
        <w:tc>
          <w:tcPr>
            <w:tcW w:w="846" w:type="dxa"/>
            <w:gridSpan w:val="2"/>
            <w:tcBorders>
              <w:top w:val="single" w:sz="4" w:space="0" w:color="auto"/>
              <w:left w:val="single" w:sz="4" w:space="0" w:color="auto"/>
              <w:bottom w:val="single" w:sz="4" w:space="0" w:color="auto"/>
              <w:right w:val="single" w:sz="4" w:space="0" w:color="auto"/>
            </w:tcBorders>
            <w:hideMark/>
          </w:tcPr>
          <w:p w14:paraId="123C9395"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51</w:t>
            </w:r>
            <w:r>
              <w:rPr>
                <w:rFonts w:ascii="Sylfaen" w:hAnsi="Sylfaen" w:cs="Arial"/>
                <w:sz w:val="18"/>
                <w:szCs w:val="18"/>
                <w:lang w:val="ka-GE"/>
              </w:rPr>
              <w:t>,</w:t>
            </w:r>
            <w:r>
              <w:rPr>
                <w:rFonts w:ascii="Sylfaen" w:hAnsi="Sylfaen"/>
                <w:sz w:val="18"/>
                <w:szCs w:val="18"/>
                <w:lang w:val="ka-GE"/>
              </w:rPr>
              <w:t>0</w:t>
            </w:r>
          </w:p>
        </w:tc>
        <w:tc>
          <w:tcPr>
            <w:tcW w:w="846" w:type="dxa"/>
            <w:gridSpan w:val="3"/>
            <w:tcBorders>
              <w:top w:val="single" w:sz="4" w:space="0" w:color="auto"/>
              <w:left w:val="single" w:sz="4" w:space="0" w:color="auto"/>
              <w:bottom w:val="single" w:sz="4" w:space="0" w:color="auto"/>
              <w:right w:val="single" w:sz="4" w:space="0" w:color="auto"/>
            </w:tcBorders>
            <w:hideMark/>
          </w:tcPr>
          <w:p w14:paraId="38F67580"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29</w:t>
            </w:r>
            <w:r>
              <w:rPr>
                <w:rFonts w:ascii="Sylfaen" w:hAnsi="Sylfaen" w:cs="Arial"/>
                <w:sz w:val="18"/>
                <w:szCs w:val="18"/>
                <w:lang w:val="ka-GE"/>
              </w:rPr>
              <w:t>,</w:t>
            </w:r>
            <w:r>
              <w:rPr>
                <w:rFonts w:ascii="Sylfaen" w:hAnsi="Sylfaen"/>
                <w:sz w:val="18"/>
                <w:szCs w:val="18"/>
                <w:lang w:val="ka-GE"/>
              </w:rPr>
              <w:t>0</w:t>
            </w:r>
          </w:p>
        </w:tc>
        <w:tc>
          <w:tcPr>
            <w:tcW w:w="890" w:type="dxa"/>
            <w:tcBorders>
              <w:top w:val="single" w:sz="4" w:space="0" w:color="auto"/>
              <w:left w:val="single" w:sz="4" w:space="0" w:color="auto"/>
              <w:bottom w:val="single" w:sz="4" w:space="0" w:color="auto"/>
              <w:right w:val="single" w:sz="4" w:space="0" w:color="auto"/>
            </w:tcBorders>
            <w:hideMark/>
          </w:tcPr>
          <w:p w14:paraId="62067615"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43</w:t>
            </w:r>
            <w:r>
              <w:rPr>
                <w:rFonts w:ascii="Sylfaen" w:hAnsi="Sylfaen" w:cs="Arial"/>
                <w:sz w:val="18"/>
                <w:szCs w:val="18"/>
                <w:lang w:val="ka-GE"/>
              </w:rPr>
              <w:t>,</w:t>
            </w:r>
            <w:r>
              <w:rPr>
                <w:rFonts w:ascii="Sylfaen" w:hAnsi="Sylfaen"/>
                <w:sz w:val="18"/>
                <w:szCs w:val="18"/>
                <w:lang w:val="ka-GE"/>
              </w:rPr>
              <w:t>0</w:t>
            </w:r>
          </w:p>
        </w:tc>
        <w:tc>
          <w:tcPr>
            <w:tcW w:w="861" w:type="dxa"/>
            <w:tcBorders>
              <w:top w:val="single" w:sz="4" w:space="0" w:color="auto"/>
              <w:left w:val="single" w:sz="4" w:space="0" w:color="auto"/>
              <w:bottom w:val="single" w:sz="4" w:space="0" w:color="auto"/>
              <w:right w:val="single" w:sz="4" w:space="0" w:color="auto"/>
            </w:tcBorders>
            <w:hideMark/>
          </w:tcPr>
          <w:p w14:paraId="2CECE184"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20</w:t>
            </w:r>
            <w:r>
              <w:rPr>
                <w:rFonts w:ascii="Sylfaen" w:hAnsi="Sylfaen" w:cs="Arial"/>
                <w:sz w:val="18"/>
                <w:szCs w:val="18"/>
                <w:lang w:val="ka-GE"/>
              </w:rPr>
              <w:t>,</w:t>
            </w:r>
            <w:r>
              <w:rPr>
                <w:rFonts w:ascii="Sylfaen" w:hAnsi="Sylfaen"/>
                <w:sz w:val="18"/>
                <w:szCs w:val="18"/>
                <w:lang w:val="ka-GE"/>
              </w:rPr>
              <w:t>00</w:t>
            </w:r>
          </w:p>
        </w:tc>
      </w:tr>
      <w:tr w:rsidR="00A2588D" w14:paraId="4484D1FF" w14:textId="77777777" w:rsidTr="00A2588D">
        <w:trPr>
          <w:gridAfter w:val="4"/>
          <w:wAfter w:w="2098" w:type="dxa"/>
          <w:jc w:val="center"/>
        </w:trPr>
        <w:tc>
          <w:tcPr>
            <w:tcW w:w="1080" w:type="dxa"/>
            <w:gridSpan w:val="2"/>
            <w:hideMark/>
          </w:tcPr>
          <w:p w14:paraId="52B25E3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ნივთ. კოდი</w:t>
            </w:r>
          </w:p>
        </w:tc>
        <w:tc>
          <w:tcPr>
            <w:tcW w:w="3431" w:type="dxa"/>
            <w:gridSpan w:val="3"/>
            <w:hideMark/>
          </w:tcPr>
          <w:p w14:paraId="1FD439E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ნივთიერება</w:t>
            </w:r>
          </w:p>
        </w:tc>
        <w:tc>
          <w:tcPr>
            <w:tcW w:w="1314" w:type="dxa"/>
            <w:gridSpan w:val="4"/>
            <w:hideMark/>
          </w:tcPr>
          <w:p w14:paraId="2BBDD39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გაფრქვევა (გ/წმ)</w:t>
            </w:r>
          </w:p>
        </w:tc>
        <w:tc>
          <w:tcPr>
            <w:tcW w:w="1314" w:type="dxa"/>
            <w:gridSpan w:val="4"/>
            <w:hideMark/>
          </w:tcPr>
          <w:p w14:paraId="2C6B3A0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გაფრქვევა (ტ/წლ)</w:t>
            </w:r>
          </w:p>
        </w:tc>
        <w:tc>
          <w:tcPr>
            <w:tcW w:w="438" w:type="dxa"/>
            <w:hideMark/>
          </w:tcPr>
          <w:p w14:paraId="289EB14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F</w:t>
            </w:r>
          </w:p>
        </w:tc>
        <w:tc>
          <w:tcPr>
            <w:tcW w:w="511" w:type="dxa"/>
            <w:gridSpan w:val="2"/>
            <w:hideMark/>
          </w:tcPr>
          <w:p w14:paraId="6B04DA1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ზაფხ.:</w:t>
            </w:r>
          </w:p>
        </w:tc>
        <w:tc>
          <w:tcPr>
            <w:tcW w:w="788" w:type="dxa"/>
            <w:gridSpan w:val="2"/>
            <w:hideMark/>
          </w:tcPr>
          <w:p w14:paraId="342FC5F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Cm/</w:t>
            </w:r>
            <w:r>
              <w:rPr>
                <w:rFonts w:ascii="Sylfaen" w:hAnsi="Sylfaen" w:cs="Arial"/>
                <w:sz w:val="16"/>
                <w:szCs w:val="16"/>
                <w:lang w:val="ka-GE"/>
              </w:rPr>
              <w:t>ზდკ</w:t>
            </w:r>
          </w:p>
        </w:tc>
        <w:tc>
          <w:tcPr>
            <w:tcW w:w="627" w:type="dxa"/>
            <w:gridSpan w:val="2"/>
            <w:hideMark/>
          </w:tcPr>
          <w:p w14:paraId="27CADA0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Xm</w:t>
            </w:r>
          </w:p>
        </w:tc>
        <w:tc>
          <w:tcPr>
            <w:tcW w:w="496" w:type="dxa"/>
            <w:gridSpan w:val="2"/>
            <w:hideMark/>
          </w:tcPr>
          <w:p w14:paraId="2C1AAF4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Um</w:t>
            </w:r>
          </w:p>
        </w:tc>
        <w:tc>
          <w:tcPr>
            <w:tcW w:w="540" w:type="dxa"/>
            <w:hideMark/>
          </w:tcPr>
          <w:p w14:paraId="16C24EB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ზამთ.:</w:t>
            </w:r>
          </w:p>
        </w:tc>
        <w:tc>
          <w:tcPr>
            <w:tcW w:w="788" w:type="dxa"/>
            <w:gridSpan w:val="2"/>
            <w:hideMark/>
          </w:tcPr>
          <w:p w14:paraId="3752B73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Cm/</w:t>
            </w:r>
            <w:r>
              <w:rPr>
                <w:rFonts w:ascii="Sylfaen" w:hAnsi="Sylfaen" w:cs="Arial"/>
                <w:sz w:val="16"/>
                <w:szCs w:val="16"/>
                <w:lang w:val="ka-GE"/>
              </w:rPr>
              <w:t>ზდკ</w:t>
            </w:r>
          </w:p>
        </w:tc>
        <w:tc>
          <w:tcPr>
            <w:tcW w:w="627" w:type="dxa"/>
            <w:gridSpan w:val="2"/>
            <w:hideMark/>
          </w:tcPr>
          <w:p w14:paraId="7B4BB90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Xm</w:t>
            </w:r>
          </w:p>
        </w:tc>
        <w:tc>
          <w:tcPr>
            <w:tcW w:w="496" w:type="dxa"/>
            <w:hideMark/>
          </w:tcPr>
          <w:p w14:paraId="2306520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Um</w:t>
            </w:r>
          </w:p>
        </w:tc>
      </w:tr>
      <w:tr w:rsidR="00A2588D" w14:paraId="13D4A61C" w14:textId="77777777" w:rsidTr="00A2588D">
        <w:trPr>
          <w:gridAfter w:val="4"/>
          <w:wAfter w:w="2098" w:type="dxa"/>
          <w:jc w:val="center"/>
        </w:trPr>
        <w:tc>
          <w:tcPr>
            <w:tcW w:w="1080" w:type="dxa"/>
            <w:gridSpan w:val="2"/>
            <w:hideMark/>
          </w:tcPr>
          <w:p w14:paraId="3678F11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2908</w:t>
            </w:r>
          </w:p>
        </w:tc>
        <w:tc>
          <w:tcPr>
            <w:tcW w:w="3431" w:type="dxa"/>
            <w:gridSpan w:val="3"/>
            <w:hideMark/>
          </w:tcPr>
          <w:p w14:paraId="58C6B85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 xml:space="preserve">არაოგანული მტვერი: 70-20% </w:t>
            </w:r>
            <w:r>
              <w:rPr>
                <w:rFonts w:ascii="Sylfaen" w:hAnsi="Sylfaen"/>
                <w:sz w:val="16"/>
                <w:szCs w:val="16"/>
                <w:lang w:val="ka-GE"/>
              </w:rPr>
              <w:t>SiO2</w:t>
            </w:r>
          </w:p>
        </w:tc>
        <w:tc>
          <w:tcPr>
            <w:tcW w:w="1314" w:type="dxa"/>
            <w:gridSpan w:val="4"/>
            <w:hideMark/>
          </w:tcPr>
          <w:p w14:paraId="5A9A63B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0642500</w:t>
            </w:r>
          </w:p>
        </w:tc>
        <w:tc>
          <w:tcPr>
            <w:tcW w:w="1314" w:type="dxa"/>
            <w:gridSpan w:val="4"/>
            <w:hideMark/>
          </w:tcPr>
          <w:p w14:paraId="6FEFCD8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5DAC856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511" w:type="dxa"/>
            <w:gridSpan w:val="2"/>
          </w:tcPr>
          <w:p w14:paraId="3E87178A"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5F9ECF6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22</w:t>
            </w:r>
            <w:r>
              <w:rPr>
                <w:rFonts w:ascii="Sylfaen" w:hAnsi="Sylfaen" w:cs="Arial"/>
                <w:sz w:val="16"/>
                <w:szCs w:val="16"/>
                <w:lang w:val="ka-GE"/>
              </w:rPr>
              <w:t>,</w:t>
            </w:r>
            <w:r>
              <w:rPr>
                <w:rFonts w:ascii="Sylfaen" w:hAnsi="Sylfaen"/>
                <w:sz w:val="16"/>
                <w:szCs w:val="16"/>
                <w:lang w:val="ka-GE"/>
              </w:rPr>
              <w:t>948</w:t>
            </w:r>
          </w:p>
        </w:tc>
        <w:tc>
          <w:tcPr>
            <w:tcW w:w="627" w:type="dxa"/>
            <w:gridSpan w:val="2"/>
            <w:hideMark/>
          </w:tcPr>
          <w:p w14:paraId="6A87FDE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5</w:t>
            </w:r>
            <w:r>
              <w:rPr>
                <w:rFonts w:ascii="Sylfaen" w:hAnsi="Sylfaen" w:cs="Arial"/>
                <w:sz w:val="16"/>
                <w:szCs w:val="16"/>
                <w:lang w:val="ka-GE"/>
              </w:rPr>
              <w:t>,</w:t>
            </w:r>
            <w:r>
              <w:rPr>
                <w:rFonts w:ascii="Sylfaen" w:hAnsi="Sylfaen"/>
                <w:sz w:val="16"/>
                <w:szCs w:val="16"/>
                <w:lang w:val="ka-GE"/>
              </w:rPr>
              <w:t>7</w:t>
            </w:r>
          </w:p>
        </w:tc>
        <w:tc>
          <w:tcPr>
            <w:tcW w:w="496" w:type="dxa"/>
            <w:gridSpan w:val="2"/>
            <w:hideMark/>
          </w:tcPr>
          <w:p w14:paraId="7E23A1E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38076D8B"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100237C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22</w:t>
            </w:r>
            <w:r>
              <w:rPr>
                <w:rFonts w:ascii="Sylfaen" w:hAnsi="Sylfaen" w:cs="Arial"/>
                <w:sz w:val="16"/>
                <w:szCs w:val="16"/>
                <w:lang w:val="ka-GE"/>
              </w:rPr>
              <w:t>,</w:t>
            </w:r>
            <w:r>
              <w:rPr>
                <w:rFonts w:ascii="Sylfaen" w:hAnsi="Sylfaen"/>
                <w:sz w:val="16"/>
                <w:szCs w:val="16"/>
                <w:lang w:val="ka-GE"/>
              </w:rPr>
              <w:t>948</w:t>
            </w:r>
          </w:p>
        </w:tc>
        <w:tc>
          <w:tcPr>
            <w:tcW w:w="627" w:type="dxa"/>
            <w:gridSpan w:val="2"/>
            <w:hideMark/>
          </w:tcPr>
          <w:p w14:paraId="40219AD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5</w:t>
            </w:r>
            <w:r>
              <w:rPr>
                <w:rFonts w:ascii="Sylfaen" w:hAnsi="Sylfaen" w:cs="Arial"/>
                <w:sz w:val="16"/>
                <w:szCs w:val="16"/>
                <w:lang w:val="ka-GE"/>
              </w:rPr>
              <w:t>,</w:t>
            </w:r>
            <w:r>
              <w:rPr>
                <w:rFonts w:ascii="Sylfaen" w:hAnsi="Sylfaen"/>
                <w:sz w:val="16"/>
                <w:szCs w:val="16"/>
                <w:lang w:val="ka-GE"/>
              </w:rPr>
              <w:t>7</w:t>
            </w:r>
          </w:p>
        </w:tc>
        <w:tc>
          <w:tcPr>
            <w:tcW w:w="496" w:type="dxa"/>
            <w:hideMark/>
          </w:tcPr>
          <w:p w14:paraId="643D042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2EFE2502" w14:textId="77777777" w:rsidTr="00A2588D">
        <w:trPr>
          <w:gridAfter w:val="1"/>
          <w:wAfter w:w="321" w:type="dxa"/>
          <w:jc w:val="center"/>
        </w:trPr>
        <w:tc>
          <w:tcPr>
            <w:tcW w:w="540" w:type="dxa"/>
            <w:tcBorders>
              <w:top w:val="single" w:sz="4" w:space="0" w:color="auto"/>
              <w:left w:val="single" w:sz="4" w:space="0" w:color="auto"/>
              <w:bottom w:val="single" w:sz="4" w:space="0" w:color="auto"/>
              <w:right w:val="single" w:sz="4" w:space="0" w:color="auto"/>
            </w:tcBorders>
            <w:hideMark/>
          </w:tcPr>
          <w:p w14:paraId="5FF52928"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w:t>
            </w:r>
          </w:p>
        </w:tc>
        <w:tc>
          <w:tcPr>
            <w:tcW w:w="540" w:type="dxa"/>
            <w:tcBorders>
              <w:top w:val="single" w:sz="4" w:space="0" w:color="auto"/>
              <w:left w:val="single" w:sz="4" w:space="0" w:color="auto"/>
              <w:bottom w:val="single" w:sz="4" w:space="0" w:color="auto"/>
              <w:right w:val="single" w:sz="4" w:space="0" w:color="auto"/>
            </w:tcBorders>
            <w:hideMark/>
          </w:tcPr>
          <w:p w14:paraId="5B38CB15"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54" w:type="dxa"/>
            <w:tcBorders>
              <w:top w:val="single" w:sz="4" w:space="0" w:color="auto"/>
              <w:left w:val="single" w:sz="4" w:space="0" w:color="auto"/>
              <w:bottom w:val="single" w:sz="4" w:space="0" w:color="auto"/>
              <w:right w:val="single" w:sz="4" w:space="0" w:color="auto"/>
            </w:tcBorders>
            <w:hideMark/>
          </w:tcPr>
          <w:p w14:paraId="2CD3BF85"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98" w:type="dxa"/>
            <w:tcBorders>
              <w:top w:val="single" w:sz="4" w:space="0" w:color="auto"/>
              <w:left w:val="single" w:sz="4" w:space="0" w:color="auto"/>
              <w:bottom w:val="single" w:sz="4" w:space="0" w:color="auto"/>
              <w:right w:val="single" w:sz="4" w:space="0" w:color="auto"/>
            </w:tcBorders>
            <w:hideMark/>
          </w:tcPr>
          <w:p w14:paraId="52671174"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8</w:t>
            </w:r>
          </w:p>
        </w:tc>
        <w:tc>
          <w:tcPr>
            <w:tcW w:w="2336" w:type="dxa"/>
            <w:gridSpan w:val="2"/>
            <w:tcBorders>
              <w:top w:val="single" w:sz="4" w:space="0" w:color="auto"/>
              <w:left w:val="single" w:sz="4" w:space="0" w:color="auto"/>
              <w:bottom w:val="single" w:sz="4" w:space="0" w:color="auto"/>
              <w:right w:val="single" w:sz="4" w:space="0" w:color="auto"/>
            </w:tcBorders>
            <w:hideMark/>
          </w:tcPr>
          <w:p w14:paraId="57157B90"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sz w:val="18"/>
                <w:szCs w:val="18"/>
                <w:lang w:val="ka-GE"/>
              </w:rPr>
              <w:t>დიზელ</w:t>
            </w:r>
            <w:r>
              <w:rPr>
                <w:rFonts w:ascii="Sylfaen" w:hAnsi="Sylfaen" w:cs="Arial"/>
                <w:sz w:val="18"/>
                <w:szCs w:val="18"/>
                <w:lang w:val="ka-GE"/>
              </w:rPr>
              <w:t>-</w:t>
            </w:r>
            <w:r>
              <w:rPr>
                <w:rFonts w:ascii="Sylfaen" w:hAnsi="Sylfaen"/>
                <w:sz w:val="18"/>
                <w:szCs w:val="18"/>
                <w:lang w:val="ka-GE"/>
              </w:rPr>
              <w:t>გენერატორი</w:t>
            </w:r>
          </w:p>
        </w:tc>
        <w:tc>
          <w:tcPr>
            <w:tcW w:w="525" w:type="dxa"/>
            <w:tcBorders>
              <w:top w:val="single" w:sz="4" w:space="0" w:color="auto"/>
              <w:left w:val="single" w:sz="4" w:space="0" w:color="auto"/>
              <w:bottom w:val="single" w:sz="4" w:space="0" w:color="auto"/>
              <w:right w:val="single" w:sz="4" w:space="0" w:color="auto"/>
            </w:tcBorders>
            <w:hideMark/>
          </w:tcPr>
          <w:p w14:paraId="6E3216C8"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p>
        </w:tc>
        <w:tc>
          <w:tcPr>
            <w:tcW w:w="423" w:type="dxa"/>
            <w:tcBorders>
              <w:top w:val="single" w:sz="4" w:space="0" w:color="auto"/>
              <w:left w:val="single" w:sz="4" w:space="0" w:color="auto"/>
              <w:bottom w:val="single" w:sz="4" w:space="0" w:color="auto"/>
              <w:right w:val="single" w:sz="4" w:space="0" w:color="auto"/>
            </w:tcBorders>
            <w:hideMark/>
          </w:tcPr>
          <w:p w14:paraId="12A0DDD6"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p>
        </w:tc>
        <w:tc>
          <w:tcPr>
            <w:tcW w:w="686" w:type="dxa"/>
            <w:gridSpan w:val="2"/>
            <w:tcBorders>
              <w:top w:val="single" w:sz="4" w:space="0" w:color="auto"/>
              <w:left w:val="single" w:sz="4" w:space="0" w:color="auto"/>
              <w:bottom w:val="single" w:sz="4" w:space="0" w:color="auto"/>
              <w:right w:val="single" w:sz="4" w:space="0" w:color="auto"/>
            </w:tcBorders>
            <w:hideMark/>
          </w:tcPr>
          <w:p w14:paraId="406B12DD"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5</w:t>
            </w:r>
            <w:r>
              <w:rPr>
                <w:rFonts w:ascii="Sylfaen" w:hAnsi="Sylfaen" w:cs="Arial"/>
                <w:sz w:val="18"/>
                <w:szCs w:val="18"/>
                <w:lang w:val="ka-GE"/>
              </w:rPr>
              <w:t>,</w:t>
            </w:r>
            <w:r>
              <w:rPr>
                <w:rFonts w:ascii="Sylfaen" w:hAnsi="Sylfaen"/>
                <w:sz w:val="18"/>
                <w:szCs w:val="18"/>
                <w:lang w:val="ka-GE"/>
              </w:rPr>
              <w:t>0</w:t>
            </w:r>
          </w:p>
        </w:tc>
        <w:tc>
          <w:tcPr>
            <w:tcW w:w="803" w:type="dxa"/>
            <w:gridSpan w:val="2"/>
            <w:tcBorders>
              <w:top w:val="single" w:sz="4" w:space="0" w:color="auto"/>
              <w:left w:val="single" w:sz="4" w:space="0" w:color="auto"/>
              <w:bottom w:val="single" w:sz="4" w:space="0" w:color="auto"/>
              <w:right w:val="single" w:sz="4" w:space="0" w:color="auto"/>
            </w:tcBorders>
            <w:hideMark/>
          </w:tcPr>
          <w:p w14:paraId="66BF83FF"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15</w:t>
            </w:r>
          </w:p>
        </w:tc>
        <w:tc>
          <w:tcPr>
            <w:tcW w:w="788" w:type="dxa"/>
            <w:gridSpan w:val="3"/>
            <w:tcBorders>
              <w:top w:val="single" w:sz="4" w:space="0" w:color="auto"/>
              <w:left w:val="single" w:sz="4" w:space="0" w:color="auto"/>
              <w:bottom w:val="single" w:sz="4" w:space="0" w:color="auto"/>
              <w:right w:val="single" w:sz="4" w:space="0" w:color="auto"/>
            </w:tcBorders>
            <w:hideMark/>
          </w:tcPr>
          <w:p w14:paraId="5C37B410"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303</w:t>
            </w:r>
          </w:p>
        </w:tc>
        <w:tc>
          <w:tcPr>
            <w:tcW w:w="817" w:type="dxa"/>
            <w:gridSpan w:val="2"/>
            <w:tcBorders>
              <w:top w:val="single" w:sz="4" w:space="0" w:color="auto"/>
              <w:left w:val="single" w:sz="4" w:space="0" w:color="auto"/>
              <w:bottom w:val="single" w:sz="4" w:space="0" w:color="auto"/>
              <w:right w:val="single" w:sz="4" w:space="0" w:color="auto"/>
            </w:tcBorders>
            <w:hideMark/>
          </w:tcPr>
          <w:p w14:paraId="6003AF44"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17</w:t>
            </w:r>
            <w:r>
              <w:rPr>
                <w:rFonts w:ascii="Sylfaen" w:hAnsi="Sylfaen" w:cs="Arial"/>
                <w:sz w:val="18"/>
                <w:szCs w:val="18"/>
                <w:lang w:val="ka-GE"/>
              </w:rPr>
              <w:t>,</w:t>
            </w:r>
            <w:r>
              <w:rPr>
                <w:rFonts w:ascii="Sylfaen" w:hAnsi="Sylfaen"/>
                <w:sz w:val="18"/>
                <w:szCs w:val="18"/>
                <w:lang w:val="ka-GE"/>
              </w:rPr>
              <w:t>14629</w:t>
            </w:r>
          </w:p>
        </w:tc>
        <w:tc>
          <w:tcPr>
            <w:tcW w:w="788" w:type="dxa"/>
            <w:gridSpan w:val="2"/>
            <w:tcBorders>
              <w:top w:val="single" w:sz="4" w:space="0" w:color="auto"/>
              <w:left w:val="single" w:sz="4" w:space="0" w:color="auto"/>
              <w:bottom w:val="single" w:sz="4" w:space="0" w:color="auto"/>
              <w:right w:val="single" w:sz="4" w:space="0" w:color="auto"/>
            </w:tcBorders>
            <w:hideMark/>
          </w:tcPr>
          <w:p w14:paraId="08679B4C"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450</w:t>
            </w:r>
          </w:p>
        </w:tc>
        <w:tc>
          <w:tcPr>
            <w:tcW w:w="540" w:type="dxa"/>
            <w:gridSpan w:val="2"/>
            <w:tcBorders>
              <w:top w:val="single" w:sz="4" w:space="0" w:color="auto"/>
              <w:left w:val="single" w:sz="4" w:space="0" w:color="auto"/>
              <w:bottom w:val="single" w:sz="4" w:space="0" w:color="auto"/>
              <w:right w:val="single" w:sz="4" w:space="0" w:color="auto"/>
            </w:tcBorders>
            <w:hideMark/>
          </w:tcPr>
          <w:p w14:paraId="09BD730D"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r>
              <w:rPr>
                <w:rFonts w:ascii="Sylfaen" w:hAnsi="Sylfaen" w:cs="Arial"/>
                <w:sz w:val="18"/>
                <w:szCs w:val="18"/>
                <w:lang w:val="ka-GE"/>
              </w:rPr>
              <w:t>,</w:t>
            </w:r>
            <w:r>
              <w:rPr>
                <w:rFonts w:ascii="Sylfaen" w:hAnsi="Sylfaen"/>
                <w:sz w:val="18"/>
                <w:szCs w:val="18"/>
                <w:lang w:val="ka-GE"/>
              </w:rPr>
              <w:t>0</w:t>
            </w:r>
          </w:p>
        </w:tc>
        <w:tc>
          <w:tcPr>
            <w:tcW w:w="846" w:type="dxa"/>
            <w:gridSpan w:val="3"/>
            <w:tcBorders>
              <w:top w:val="single" w:sz="4" w:space="0" w:color="auto"/>
              <w:left w:val="single" w:sz="4" w:space="0" w:color="auto"/>
              <w:bottom w:val="single" w:sz="4" w:space="0" w:color="auto"/>
              <w:right w:val="single" w:sz="4" w:space="0" w:color="auto"/>
            </w:tcBorders>
            <w:hideMark/>
          </w:tcPr>
          <w:p w14:paraId="43F3754A"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10</w:t>
            </w:r>
            <w:r>
              <w:rPr>
                <w:rFonts w:ascii="Sylfaen" w:hAnsi="Sylfaen" w:cs="Arial"/>
                <w:sz w:val="18"/>
                <w:szCs w:val="18"/>
                <w:lang w:val="ka-GE"/>
              </w:rPr>
              <w:t>,</w:t>
            </w:r>
            <w:r>
              <w:rPr>
                <w:rFonts w:ascii="Sylfaen" w:hAnsi="Sylfaen"/>
                <w:sz w:val="18"/>
                <w:szCs w:val="18"/>
                <w:lang w:val="ka-GE"/>
              </w:rPr>
              <w:t>0</w:t>
            </w:r>
          </w:p>
        </w:tc>
        <w:tc>
          <w:tcPr>
            <w:tcW w:w="846" w:type="dxa"/>
            <w:gridSpan w:val="2"/>
            <w:tcBorders>
              <w:top w:val="single" w:sz="4" w:space="0" w:color="auto"/>
              <w:left w:val="single" w:sz="4" w:space="0" w:color="auto"/>
              <w:bottom w:val="single" w:sz="4" w:space="0" w:color="auto"/>
              <w:right w:val="single" w:sz="4" w:space="0" w:color="auto"/>
            </w:tcBorders>
            <w:hideMark/>
          </w:tcPr>
          <w:p w14:paraId="6DE7813B"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113</w:t>
            </w:r>
            <w:r>
              <w:rPr>
                <w:rFonts w:ascii="Sylfaen" w:hAnsi="Sylfaen" w:cs="Arial"/>
                <w:sz w:val="18"/>
                <w:szCs w:val="18"/>
                <w:lang w:val="ka-GE"/>
              </w:rPr>
              <w:t>,</w:t>
            </w:r>
            <w:r>
              <w:rPr>
                <w:rFonts w:ascii="Sylfaen" w:hAnsi="Sylfaen"/>
                <w:sz w:val="18"/>
                <w:szCs w:val="18"/>
                <w:lang w:val="ka-GE"/>
              </w:rPr>
              <w:t>0</w:t>
            </w:r>
          </w:p>
        </w:tc>
        <w:tc>
          <w:tcPr>
            <w:tcW w:w="846" w:type="dxa"/>
            <w:gridSpan w:val="3"/>
            <w:tcBorders>
              <w:top w:val="single" w:sz="4" w:space="0" w:color="auto"/>
              <w:left w:val="single" w:sz="4" w:space="0" w:color="auto"/>
              <w:bottom w:val="single" w:sz="4" w:space="0" w:color="auto"/>
              <w:right w:val="single" w:sz="4" w:space="0" w:color="auto"/>
            </w:tcBorders>
            <w:hideMark/>
          </w:tcPr>
          <w:p w14:paraId="65559D1B"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10</w:t>
            </w:r>
            <w:r>
              <w:rPr>
                <w:rFonts w:ascii="Sylfaen" w:hAnsi="Sylfaen" w:cs="Arial"/>
                <w:sz w:val="18"/>
                <w:szCs w:val="18"/>
                <w:lang w:val="ka-GE"/>
              </w:rPr>
              <w:t>,</w:t>
            </w:r>
            <w:r>
              <w:rPr>
                <w:rFonts w:ascii="Sylfaen" w:hAnsi="Sylfaen"/>
                <w:sz w:val="18"/>
                <w:szCs w:val="18"/>
                <w:lang w:val="ka-GE"/>
              </w:rPr>
              <w:t>0</w:t>
            </w:r>
          </w:p>
        </w:tc>
        <w:tc>
          <w:tcPr>
            <w:tcW w:w="890" w:type="dxa"/>
            <w:tcBorders>
              <w:top w:val="single" w:sz="4" w:space="0" w:color="auto"/>
              <w:left w:val="single" w:sz="4" w:space="0" w:color="auto"/>
              <w:bottom w:val="single" w:sz="4" w:space="0" w:color="auto"/>
              <w:right w:val="single" w:sz="4" w:space="0" w:color="auto"/>
            </w:tcBorders>
            <w:hideMark/>
          </w:tcPr>
          <w:p w14:paraId="20790B92"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113</w:t>
            </w:r>
            <w:r>
              <w:rPr>
                <w:rFonts w:ascii="Sylfaen" w:hAnsi="Sylfaen" w:cs="Arial"/>
                <w:sz w:val="18"/>
                <w:szCs w:val="18"/>
                <w:lang w:val="ka-GE"/>
              </w:rPr>
              <w:t>,</w:t>
            </w:r>
            <w:r>
              <w:rPr>
                <w:rFonts w:ascii="Sylfaen" w:hAnsi="Sylfaen"/>
                <w:sz w:val="18"/>
                <w:szCs w:val="18"/>
                <w:lang w:val="ka-GE"/>
              </w:rPr>
              <w:t>0</w:t>
            </w:r>
          </w:p>
        </w:tc>
        <w:tc>
          <w:tcPr>
            <w:tcW w:w="861" w:type="dxa"/>
            <w:tcBorders>
              <w:top w:val="single" w:sz="4" w:space="0" w:color="auto"/>
              <w:left w:val="single" w:sz="4" w:space="0" w:color="auto"/>
              <w:bottom w:val="single" w:sz="4" w:space="0" w:color="auto"/>
              <w:right w:val="single" w:sz="4" w:space="0" w:color="auto"/>
            </w:tcBorders>
            <w:hideMark/>
          </w:tcPr>
          <w:p w14:paraId="5EBDB60E"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w:t>
            </w:r>
          </w:p>
        </w:tc>
      </w:tr>
      <w:tr w:rsidR="00A2588D" w14:paraId="44D301AE" w14:textId="77777777" w:rsidTr="00A2588D">
        <w:trPr>
          <w:gridAfter w:val="4"/>
          <w:wAfter w:w="2098" w:type="dxa"/>
          <w:jc w:val="center"/>
        </w:trPr>
        <w:tc>
          <w:tcPr>
            <w:tcW w:w="1080" w:type="dxa"/>
            <w:gridSpan w:val="2"/>
            <w:hideMark/>
          </w:tcPr>
          <w:p w14:paraId="66DE831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ნივთ. კოდი</w:t>
            </w:r>
          </w:p>
        </w:tc>
        <w:tc>
          <w:tcPr>
            <w:tcW w:w="3431" w:type="dxa"/>
            <w:gridSpan w:val="3"/>
            <w:hideMark/>
          </w:tcPr>
          <w:p w14:paraId="0158AAA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ნივთიერება</w:t>
            </w:r>
          </w:p>
        </w:tc>
        <w:tc>
          <w:tcPr>
            <w:tcW w:w="1314" w:type="dxa"/>
            <w:gridSpan w:val="4"/>
            <w:hideMark/>
          </w:tcPr>
          <w:p w14:paraId="4197AE9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გაფრქვევა (გ/წმ)</w:t>
            </w:r>
          </w:p>
        </w:tc>
        <w:tc>
          <w:tcPr>
            <w:tcW w:w="1314" w:type="dxa"/>
            <w:gridSpan w:val="4"/>
            <w:hideMark/>
          </w:tcPr>
          <w:p w14:paraId="7310F21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გაფრქვევა (ტ/წლ)</w:t>
            </w:r>
          </w:p>
        </w:tc>
        <w:tc>
          <w:tcPr>
            <w:tcW w:w="438" w:type="dxa"/>
            <w:hideMark/>
          </w:tcPr>
          <w:p w14:paraId="6C23C2C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F</w:t>
            </w:r>
          </w:p>
        </w:tc>
        <w:tc>
          <w:tcPr>
            <w:tcW w:w="511" w:type="dxa"/>
            <w:gridSpan w:val="2"/>
            <w:hideMark/>
          </w:tcPr>
          <w:p w14:paraId="32F5351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ზაფხ.:</w:t>
            </w:r>
          </w:p>
        </w:tc>
        <w:tc>
          <w:tcPr>
            <w:tcW w:w="788" w:type="dxa"/>
            <w:gridSpan w:val="2"/>
            <w:hideMark/>
          </w:tcPr>
          <w:p w14:paraId="0401E47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Cm/</w:t>
            </w:r>
            <w:r>
              <w:rPr>
                <w:rFonts w:ascii="Sylfaen" w:hAnsi="Sylfaen" w:cs="Arial"/>
                <w:sz w:val="16"/>
                <w:szCs w:val="16"/>
                <w:lang w:val="ka-GE"/>
              </w:rPr>
              <w:t>ზდკ</w:t>
            </w:r>
          </w:p>
        </w:tc>
        <w:tc>
          <w:tcPr>
            <w:tcW w:w="627" w:type="dxa"/>
            <w:gridSpan w:val="2"/>
            <w:hideMark/>
          </w:tcPr>
          <w:p w14:paraId="57A62C1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Xm</w:t>
            </w:r>
          </w:p>
        </w:tc>
        <w:tc>
          <w:tcPr>
            <w:tcW w:w="496" w:type="dxa"/>
            <w:gridSpan w:val="2"/>
            <w:hideMark/>
          </w:tcPr>
          <w:p w14:paraId="1CF5D15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Um</w:t>
            </w:r>
          </w:p>
        </w:tc>
        <w:tc>
          <w:tcPr>
            <w:tcW w:w="540" w:type="dxa"/>
            <w:hideMark/>
          </w:tcPr>
          <w:p w14:paraId="1D6D84F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ზამთ.:</w:t>
            </w:r>
          </w:p>
        </w:tc>
        <w:tc>
          <w:tcPr>
            <w:tcW w:w="788" w:type="dxa"/>
            <w:gridSpan w:val="2"/>
            <w:hideMark/>
          </w:tcPr>
          <w:p w14:paraId="0D921F8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Cm/</w:t>
            </w:r>
            <w:r>
              <w:rPr>
                <w:rFonts w:ascii="Sylfaen" w:hAnsi="Sylfaen" w:cs="Arial"/>
                <w:sz w:val="16"/>
                <w:szCs w:val="16"/>
                <w:lang w:val="ka-GE"/>
              </w:rPr>
              <w:t>ზდკ</w:t>
            </w:r>
          </w:p>
        </w:tc>
        <w:tc>
          <w:tcPr>
            <w:tcW w:w="627" w:type="dxa"/>
            <w:gridSpan w:val="2"/>
            <w:hideMark/>
          </w:tcPr>
          <w:p w14:paraId="39D0D2F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Xm</w:t>
            </w:r>
          </w:p>
        </w:tc>
        <w:tc>
          <w:tcPr>
            <w:tcW w:w="496" w:type="dxa"/>
            <w:hideMark/>
          </w:tcPr>
          <w:p w14:paraId="1B3B164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Um</w:t>
            </w:r>
          </w:p>
        </w:tc>
      </w:tr>
      <w:tr w:rsidR="00A2588D" w14:paraId="76F991DE" w14:textId="77777777" w:rsidTr="00A2588D">
        <w:trPr>
          <w:gridAfter w:val="4"/>
          <w:wAfter w:w="2098" w:type="dxa"/>
          <w:jc w:val="center"/>
        </w:trPr>
        <w:tc>
          <w:tcPr>
            <w:tcW w:w="1080" w:type="dxa"/>
            <w:gridSpan w:val="2"/>
            <w:hideMark/>
          </w:tcPr>
          <w:p w14:paraId="6DF4402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0301</w:t>
            </w:r>
          </w:p>
        </w:tc>
        <w:tc>
          <w:tcPr>
            <w:tcW w:w="3431" w:type="dxa"/>
            <w:gridSpan w:val="3"/>
            <w:hideMark/>
          </w:tcPr>
          <w:p w14:paraId="4E4E377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აზოტის (IV) ოქსიდი (აზოტის დიოქსიდი)</w:t>
            </w:r>
          </w:p>
        </w:tc>
        <w:tc>
          <w:tcPr>
            <w:tcW w:w="1314" w:type="dxa"/>
            <w:gridSpan w:val="4"/>
            <w:hideMark/>
          </w:tcPr>
          <w:p w14:paraId="29B2B0A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0457778</w:t>
            </w:r>
          </w:p>
        </w:tc>
        <w:tc>
          <w:tcPr>
            <w:tcW w:w="1314" w:type="dxa"/>
            <w:gridSpan w:val="4"/>
            <w:hideMark/>
          </w:tcPr>
          <w:p w14:paraId="47303AD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204DC56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629A2FCB"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50286DD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256</w:t>
            </w:r>
          </w:p>
        </w:tc>
        <w:tc>
          <w:tcPr>
            <w:tcW w:w="627" w:type="dxa"/>
            <w:gridSpan w:val="2"/>
            <w:hideMark/>
          </w:tcPr>
          <w:p w14:paraId="3A0B9F7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68</w:t>
            </w:r>
            <w:r>
              <w:rPr>
                <w:rFonts w:ascii="Sylfaen" w:hAnsi="Sylfaen" w:cs="Arial"/>
                <w:sz w:val="16"/>
                <w:szCs w:val="16"/>
                <w:lang w:val="ka-GE"/>
              </w:rPr>
              <w:t>,</w:t>
            </w:r>
            <w:r>
              <w:rPr>
                <w:rFonts w:ascii="Sylfaen" w:hAnsi="Sylfaen"/>
                <w:sz w:val="16"/>
                <w:szCs w:val="16"/>
                <w:lang w:val="ka-GE"/>
              </w:rPr>
              <w:t>8</w:t>
            </w:r>
          </w:p>
        </w:tc>
        <w:tc>
          <w:tcPr>
            <w:tcW w:w="496" w:type="dxa"/>
            <w:gridSpan w:val="2"/>
            <w:hideMark/>
          </w:tcPr>
          <w:p w14:paraId="6AF0519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w:t>
            </w:r>
            <w:r>
              <w:rPr>
                <w:rFonts w:ascii="Sylfaen" w:hAnsi="Sylfaen"/>
                <w:sz w:val="16"/>
                <w:szCs w:val="16"/>
                <w:lang w:val="ka-GE"/>
              </w:rPr>
              <w:t>9</w:t>
            </w:r>
          </w:p>
        </w:tc>
        <w:tc>
          <w:tcPr>
            <w:tcW w:w="540" w:type="dxa"/>
          </w:tcPr>
          <w:p w14:paraId="2077201E"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1517E7F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253</w:t>
            </w:r>
          </w:p>
        </w:tc>
        <w:tc>
          <w:tcPr>
            <w:tcW w:w="627" w:type="dxa"/>
            <w:gridSpan w:val="2"/>
            <w:hideMark/>
          </w:tcPr>
          <w:p w14:paraId="512A594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70</w:t>
            </w:r>
          </w:p>
        </w:tc>
        <w:tc>
          <w:tcPr>
            <w:tcW w:w="496" w:type="dxa"/>
            <w:hideMark/>
          </w:tcPr>
          <w:p w14:paraId="60B0BAC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w:t>
            </w:r>
          </w:p>
        </w:tc>
      </w:tr>
      <w:tr w:rsidR="00A2588D" w14:paraId="1A5CAD9B" w14:textId="77777777" w:rsidTr="00A2588D">
        <w:trPr>
          <w:gridAfter w:val="4"/>
          <w:wAfter w:w="2098" w:type="dxa"/>
          <w:jc w:val="center"/>
        </w:trPr>
        <w:tc>
          <w:tcPr>
            <w:tcW w:w="1080" w:type="dxa"/>
            <w:gridSpan w:val="2"/>
            <w:hideMark/>
          </w:tcPr>
          <w:p w14:paraId="5F5DF95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0304</w:t>
            </w:r>
          </w:p>
        </w:tc>
        <w:tc>
          <w:tcPr>
            <w:tcW w:w="3431" w:type="dxa"/>
            <w:gridSpan w:val="3"/>
            <w:hideMark/>
          </w:tcPr>
          <w:p w14:paraId="33337D0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აზოტის (II) ოქსიდი (აზოტის ოქსიდი)</w:t>
            </w:r>
          </w:p>
        </w:tc>
        <w:tc>
          <w:tcPr>
            <w:tcW w:w="1314" w:type="dxa"/>
            <w:gridSpan w:val="4"/>
            <w:hideMark/>
          </w:tcPr>
          <w:p w14:paraId="594F9FF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0074389</w:t>
            </w:r>
          </w:p>
        </w:tc>
        <w:tc>
          <w:tcPr>
            <w:tcW w:w="1314" w:type="dxa"/>
            <w:gridSpan w:val="4"/>
            <w:hideMark/>
          </w:tcPr>
          <w:p w14:paraId="5EB9030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7AB5E8C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2FAFEDD7"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0B4418F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021</w:t>
            </w:r>
          </w:p>
        </w:tc>
        <w:tc>
          <w:tcPr>
            <w:tcW w:w="627" w:type="dxa"/>
            <w:gridSpan w:val="2"/>
            <w:hideMark/>
          </w:tcPr>
          <w:p w14:paraId="4E7E76A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68</w:t>
            </w:r>
            <w:r>
              <w:rPr>
                <w:rFonts w:ascii="Sylfaen" w:hAnsi="Sylfaen" w:cs="Arial"/>
                <w:sz w:val="16"/>
                <w:szCs w:val="16"/>
                <w:lang w:val="ka-GE"/>
              </w:rPr>
              <w:t>,</w:t>
            </w:r>
            <w:r>
              <w:rPr>
                <w:rFonts w:ascii="Sylfaen" w:hAnsi="Sylfaen"/>
                <w:sz w:val="16"/>
                <w:szCs w:val="16"/>
                <w:lang w:val="ka-GE"/>
              </w:rPr>
              <w:t>8</w:t>
            </w:r>
          </w:p>
        </w:tc>
        <w:tc>
          <w:tcPr>
            <w:tcW w:w="496" w:type="dxa"/>
            <w:gridSpan w:val="2"/>
            <w:hideMark/>
          </w:tcPr>
          <w:p w14:paraId="6499A91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w:t>
            </w:r>
            <w:r>
              <w:rPr>
                <w:rFonts w:ascii="Sylfaen" w:hAnsi="Sylfaen"/>
                <w:sz w:val="16"/>
                <w:szCs w:val="16"/>
                <w:lang w:val="ka-GE"/>
              </w:rPr>
              <w:t>9</w:t>
            </w:r>
          </w:p>
        </w:tc>
        <w:tc>
          <w:tcPr>
            <w:tcW w:w="540" w:type="dxa"/>
          </w:tcPr>
          <w:p w14:paraId="75F9F1A9"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10B8D3B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021</w:t>
            </w:r>
          </w:p>
        </w:tc>
        <w:tc>
          <w:tcPr>
            <w:tcW w:w="627" w:type="dxa"/>
            <w:gridSpan w:val="2"/>
            <w:hideMark/>
          </w:tcPr>
          <w:p w14:paraId="1D9EB59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70</w:t>
            </w:r>
          </w:p>
        </w:tc>
        <w:tc>
          <w:tcPr>
            <w:tcW w:w="496" w:type="dxa"/>
            <w:hideMark/>
          </w:tcPr>
          <w:p w14:paraId="6CA894A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w:t>
            </w:r>
          </w:p>
        </w:tc>
      </w:tr>
      <w:tr w:rsidR="00A2588D" w14:paraId="11D71F0E" w14:textId="77777777" w:rsidTr="00A2588D">
        <w:trPr>
          <w:gridAfter w:val="4"/>
          <w:wAfter w:w="2098" w:type="dxa"/>
          <w:jc w:val="center"/>
        </w:trPr>
        <w:tc>
          <w:tcPr>
            <w:tcW w:w="1080" w:type="dxa"/>
            <w:gridSpan w:val="2"/>
            <w:hideMark/>
          </w:tcPr>
          <w:p w14:paraId="707CD76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0328</w:t>
            </w:r>
          </w:p>
        </w:tc>
        <w:tc>
          <w:tcPr>
            <w:tcW w:w="3431" w:type="dxa"/>
            <w:gridSpan w:val="3"/>
            <w:hideMark/>
          </w:tcPr>
          <w:p w14:paraId="006101F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შავი ნახშირბადი (ჭვარტლი)</w:t>
            </w:r>
          </w:p>
        </w:tc>
        <w:tc>
          <w:tcPr>
            <w:tcW w:w="1314" w:type="dxa"/>
            <w:gridSpan w:val="4"/>
            <w:hideMark/>
          </w:tcPr>
          <w:p w14:paraId="2495D96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0027778</w:t>
            </w:r>
          </w:p>
        </w:tc>
        <w:tc>
          <w:tcPr>
            <w:tcW w:w="1314" w:type="dxa"/>
            <w:gridSpan w:val="4"/>
            <w:hideMark/>
          </w:tcPr>
          <w:p w14:paraId="23C2B28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7F484A1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134F857D"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6CC0CF2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021</w:t>
            </w:r>
          </w:p>
        </w:tc>
        <w:tc>
          <w:tcPr>
            <w:tcW w:w="627" w:type="dxa"/>
            <w:gridSpan w:val="2"/>
            <w:hideMark/>
          </w:tcPr>
          <w:p w14:paraId="3BD89EC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68</w:t>
            </w:r>
            <w:r>
              <w:rPr>
                <w:rFonts w:ascii="Sylfaen" w:hAnsi="Sylfaen" w:cs="Arial"/>
                <w:sz w:val="16"/>
                <w:szCs w:val="16"/>
                <w:lang w:val="ka-GE"/>
              </w:rPr>
              <w:t>,</w:t>
            </w:r>
            <w:r>
              <w:rPr>
                <w:rFonts w:ascii="Sylfaen" w:hAnsi="Sylfaen"/>
                <w:sz w:val="16"/>
                <w:szCs w:val="16"/>
                <w:lang w:val="ka-GE"/>
              </w:rPr>
              <w:t>8</w:t>
            </w:r>
          </w:p>
        </w:tc>
        <w:tc>
          <w:tcPr>
            <w:tcW w:w="496" w:type="dxa"/>
            <w:gridSpan w:val="2"/>
            <w:hideMark/>
          </w:tcPr>
          <w:p w14:paraId="004F2EF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w:t>
            </w:r>
            <w:r>
              <w:rPr>
                <w:rFonts w:ascii="Sylfaen" w:hAnsi="Sylfaen"/>
                <w:sz w:val="16"/>
                <w:szCs w:val="16"/>
                <w:lang w:val="ka-GE"/>
              </w:rPr>
              <w:t>9</w:t>
            </w:r>
          </w:p>
        </w:tc>
        <w:tc>
          <w:tcPr>
            <w:tcW w:w="540" w:type="dxa"/>
          </w:tcPr>
          <w:p w14:paraId="78C8FC23"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517DBF1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020</w:t>
            </w:r>
          </w:p>
        </w:tc>
        <w:tc>
          <w:tcPr>
            <w:tcW w:w="627" w:type="dxa"/>
            <w:gridSpan w:val="2"/>
            <w:hideMark/>
          </w:tcPr>
          <w:p w14:paraId="60184DF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70</w:t>
            </w:r>
          </w:p>
        </w:tc>
        <w:tc>
          <w:tcPr>
            <w:tcW w:w="496" w:type="dxa"/>
            <w:hideMark/>
          </w:tcPr>
          <w:p w14:paraId="1F72CAB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w:t>
            </w:r>
          </w:p>
        </w:tc>
      </w:tr>
      <w:tr w:rsidR="00A2588D" w14:paraId="09C60F6E" w14:textId="77777777" w:rsidTr="00A2588D">
        <w:trPr>
          <w:gridAfter w:val="4"/>
          <w:wAfter w:w="2098" w:type="dxa"/>
          <w:jc w:val="center"/>
        </w:trPr>
        <w:tc>
          <w:tcPr>
            <w:tcW w:w="1080" w:type="dxa"/>
            <w:gridSpan w:val="2"/>
            <w:hideMark/>
          </w:tcPr>
          <w:p w14:paraId="04CF106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0330</w:t>
            </w:r>
          </w:p>
        </w:tc>
        <w:tc>
          <w:tcPr>
            <w:tcW w:w="3431" w:type="dxa"/>
            <w:gridSpan w:val="3"/>
            <w:hideMark/>
          </w:tcPr>
          <w:p w14:paraId="16B4779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გოგირდის დიოქსიდი</w:t>
            </w:r>
          </w:p>
        </w:tc>
        <w:tc>
          <w:tcPr>
            <w:tcW w:w="1314" w:type="dxa"/>
            <w:gridSpan w:val="4"/>
            <w:hideMark/>
          </w:tcPr>
          <w:p w14:paraId="245BA1B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0152778</w:t>
            </w:r>
          </w:p>
        </w:tc>
        <w:tc>
          <w:tcPr>
            <w:tcW w:w="1314" w:type="dxa"/>
            <w:gridSpan w:val="4"/>
            <w:hideMark/>
          </w:tcPr>
          <w:p w14:paraId="6A587BA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5F8C345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20BFFD4A"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0064CF0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034</w:t>
            </w:r>
          </w:p>
        </w:tc>
        <w:tc>
          <w:tcPr>
            <w:tcW w:w="627" w:type="dxa"/>
            <w:gridSpan w:val="2"/>
            <w:hideMark/>
          </w:tcPr>
          <w:p w14:paraId="3666526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68</w:t>
            </w:r>
            <w:r>
              <w:rPr>
                <w:rFonts w:ascii="Sylfaen" w:hAnsi="Sylfaen" w:cs="Arial"/>
                <w:sz w:val="16"/>
                <w:szCs w:val="16"/>
                <w:lang w:val="ka-GE"/>
              </w:rPr>
              <w:t>,</w:t>
            </w:r>
            <w:r>
              <w:rPr>
                <w:rFonts w:ascii="Sylfaen" w:hAnsi="Sylfaen"/>
                <w:sz w:val="16"/>
                <w:szCs w:val="16"/>
                <w:lang w:val="ka-GE"/>
              </w:rPr>
              <w:t>8</w:t>
            </w:r>
          </w:p>
        </w:tc>
        <w:tc>
          <w:tcPr>
            <w:tcW w:w="496" w:type="dxa"/>
            <w:gridSpan w:val="2"/>
            <w:hideMark/>
          </w:tcPr>
          <w:p w14:paraId="0E72EDC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w:t>
            </w:r>
            <w:r>
              <w:rPr>
                <w:rFonts w:ascii="Sylfaen" w:hAnsi="Sylfaen"/>
                <w:sz w:val="16"/>
                <w:szCs w:val="16"/>
                <w:lang w:val="ka-GE"/>
              </w:rPr>
              <w:t>9</w:t>
            </w:r>
          </w:p>
        </w:tc>
        <w:tc>
          <w:tcPr>
            <w:tcW w:w="540" w:type="dxa"/>
          </w:tcPr>
          <w:p w14:paraId="6A18459A"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4033172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034</w:t>
            </w:r>
          </w:p>
        </w:tc>
        <w:tc>
          <w:tcPr>
            <w:tcW w:w="627" w:type="dxa"/>
            <w:gridSpan w:val="2"/>
            <w:hideMark/>
          </w:tcPr>
          <w:p w14:paraId="030B6CA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70</w:t>
            </w:r>
          </w:p>
        </w:tc>
        <w:tc>
          <w:tcPr>
            <w:tcW w:w="496" w:type="dxa"/>
            <w:hideMark/>
          </w:tcPr>
          <w:p w14:paraId="68546C2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w:t>
            </w:r>
          </w:p>
        </w:tc>
      </w:tr>
      <w:tr w:rsidR="00A2588D" w14:paraId="79D4D4E4" w14:textId="77777777" w:rsidTr="00A2588D">
        <w:trPr>
          <w:gridAfter w:val="4"/>
          <w:wAfter w:w="2098" w:type="dxa"/>
          <w:jc w:val="center"/>
        </w:trPr>
        <w:tc>
          <w:tcPr>
            <w:tcW w:w="1080" w:type="dxa"/>
            <w:gridSpan w:val="2"/>
            <w:hideMark/>
          </w:tcPr>
          <w:p w14:paraId="0E4AB1B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0337</w:t>
            </w:r>
          </w:p>
        </w:tc>
        <w:tc>
          <w:tcPr>
            <w:tcW w:w="3431" w:type="dxa"/>
            <w:gridSpan w:val="3"/>
            <w:hideMark/>
          </w:tcPr>
          <w:p w14:paraId="6290D9F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ნახშირბადის ოქსიდი</w:t>
            </w:r>
          </w:p>
        </w:tc>
        <w:tc>
          <w:tcPr>
            <w:tcW w:w="1314" w:type="dxa"/>
            <w:gridSpan w:val="4"/>
            <w:hideMark/>
          </w:tcPr>
          <w:p w14:paraId="6A07288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0500000</w:t>
            </w:r>
          </w:p>
        </w:tc>
        <w:tc>
          <w:tcPr>
            <w:tcW w:w="1314" w:type="dxa"/>
            <w:gridSpan w:val="4"/>
            <w:hideMark/>
          </w:tcPr>
          <w:p w14:paraId="2FA9D12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20C99B6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715BE79A"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6DD104B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011</w:t>
            </w:r>
          </w:p>
        </w:tc>
        <w:tc>
          <w:tcPr>
            <w:tcW w:w="627" w:type="dxa"/>
            <w:gridSpan w:val="2"/>
            <w:hideMark/>
          </w:tcPr>
          <w:p w14:paraId="06ADDCF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68</w:t>
            </w:r>
            <w:r>
              <w:rPr>
                <w:rFonts w:ascii="Sylfaen" w:hAnsi="Sylfaen" w:cs="Arial"/>
                <w:sz w:val="16"/>
                <w:szCs w:val="16"/>
                <w:lang w:val="ka-GE"/>
              </w:rPr>
              <w:t>,</w:t>
            </w:r>
            <w:r>
              <w:rPr>
                <w:rFonts w:ascii="Sylfaen" w:hAnsi="Sylfaen"/>
                <w:sz w:val="16"/>
                <w:szCs w:val="16"/>
                <w:lang w:val="ka-GE"/>
              </w:rPr>
              <w:t>8</w:t>
            </w:r>
          </w:p>
        </w:tc>
        <w:tc>
          <w:tcPr>
            <w:tcW w:w="496" w:type="dxa"/>
            <w:gridSpan w:val="2"/>
            <w:hideMark/>
          </w:tcPr>
          <w:p w14:paraId="57036B9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w:t>
            </w:r>
            <w:r>
              <w:rPr>
                <w:rFonts w:ascii="Sylfaen" w:hAnsi="Sylfaen"/>
                <w:sz w:val="16"/>
                <w:szCs w:val="16"/>
                <w:lang w:val="ka-GE"/>
              </w:rPr>
              <w:t>9</w:t>
            </w:r>
          </w:p>
        </w:tc>
        <w:tc>
          <w:tcPr>
            <w:tcW w:w="540" w:type="dxa"/>
          </w:tcPr>
          <w:p w14:paraId="3942601C"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426DE21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011</w:t>
            </w:r>
          </w:p>
        </w:tc>
        <w:tc>
          <w:tcPr>
            <w:tcW w:w="627" w:type="dxa"/>
            <w:gridSpan w:val="2"/>
            <w:hideMark/>
          </w:tcPr>
          <w:p w14:paraId="0C8891D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70</w:t>
            </w:r>
          </w:p>
        </w:tc>
        <w:tc>
          <w:tcPr>
            <w:tcW w:w="496" w:type="dxa"/>
            <w:hideMark/>
          </w:tcPr>
          <w:p w14:paraId="6E4F78A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w:t>
            </w:r>
          </w:p>
        </w:tc>
      </w:tr>
      <w:tr w:rsidR="00A2588D" w14:paraId="51793BDE" w14:textId="77777777" w:rsidTr="00A2588D">
        <w:trPr>
          <w:gridAfter w:val="4"/>
          <w:wAfter w:w="2098" w:type="dxa"/>
          <w:jc w:val="center"/>
        </w:trPr>
        <w:tc>
          <w:tcPr>
            <w:tcW w:w="1080" w:type="dxa"/>
            <w:gridSpan w:val="2"/>
            <w:hideMark/>
          </w:tcPr>
          <w:p w14:paraId="74F8257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0703</w:t>
            </w:r>
          </w:p>
        </w:tc>
        <w:tc>
          <w:tcPr>
            <w:tcW w:w="3431" w:type="dxa"/>
            <w:gridSpan w:val="3"/>
            <w:hideMark/>
          </w:tcPr>
          <w:p w14:paraId="6EC1283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ბენზ(ა)პირენი (3,4-ბენზპირენი)</w:t>
            </w:r>
          </w:p>
        </w:tc>
        <w:tc>
          <w:tcPr>
            <w:tcW w:w="1314" w:type="dxa"/>
            <w:gridSpan w:val="4"/>
            <w:hideMark/>
          </w:tcPr>
          <w:p w14:paraId="0330501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0000001</w:t>
            </w:r>
          </w:p>
        </w:tc>
        <w:tc>
          <w:tcPr>
            <w:tcW w:w="1314" w:type="dxa"/>
            <w:gridSpan w:val="4"/>
            <w:hideMark/>
          </w:tcPr>
          <w:p w14:paraId="6F7D96A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4008D6F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2E2B93EE"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58D6CEE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011</w:t>
            </w:r>
          </w:p>
        </w:tc>
        <w:tc>
          <w:tcPr>
            <w:tcW w:w="627" w:type="dxa"/>
            <w:gridSpan w:val="2"/>
            <w:hideMark/>
          </w:tcPr>
          <w:p w14:paraId="43CC4BA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68</w:t>
            </w:r>
            <w:r>
              <w:rPr>
                <w:rFonts w:ascii="Sylfaen" w:hAnsi="Sylfaen" w:cs="Arial"/>
                <w:sz w:val="16"/>
                <w:szCs w:val="16"/>
                <w:lang w:val="ka-GE"/>
              </w:rPr>
              <w:t>,</w:t>
            </w:r>
            <w:r>
              <w:rPr>
                <w:rFonts w:ascii="Sylfaen" w:hAnsi="Sylfaen"/>
                <w:sz w:val="16"/>
                <w:szCs w:val="16"/>
                <w:lang w:val="ka-GE"/>
              </w:rPr>
              <w:t>8</w:t>
            </w:r>
          </w:p>
        </w:tc>
        <w:tc>
          <w:tcPr>
            <w:tcW w:w="496" w:type="dxa"/>
            <w:gridSpan w:val="2"/>
            <w:hideMark/>
          </w:tcPr>
          <w:p w14:paraId="0F7F60C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w:t>
            </w:r>
            <w:r>
              <w:rPr>
                <w:rFonts w:ascii="Sylfaen" w:hAnsi="Sylfaen"/>
                <w:sz w:val="16"/>
                <w:szCs w:val="16"/>
                <w:lang w:val="ka-GE"/>
              </w:rPr>
              <w:t>9</w:t>
            </w:r>
          </w:p>
        </w:tc>
        <w:tc>
          <w:tcPr>
            <w:tcW w:w="540" w:type="dxa"/>
          </w:tcPr>
          <w:p w14:paraId="24B03F42"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18778AB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011</w:t>
            </w:r>
          </w:p>
        </w:tc>
        <w:tc>
          <w:tcPr>
            <w:tcW w:w="627" w:type="dxa"/>
            <w:gridSpan w:val="2"/>
            <w:hideMark/>
          </w:tcPr>
          <w:p w14:paraId="3D1149C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70</w:t>
            </w:r>
          </w:p>
        </w:tc>
        <w:tc>
          <w:tcPr>
            <w:tcW w:w="496" w:type="dxa"/>
            <w:hideMark/>
          </w:tcPr>
          <w:p w14:paraId="5B47183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w:t>
            </w:r>
          </w:p>
        </w:tc>
      </w:tr>
      <w:tr w:rsidR="00A2588D" w14:paraId="5AADF309" w14:textId="77777777" w:rsidTr="00A2588D">
        <w:trPr>
          <w:gridAfter w:val="4"/>
          <w:wAfter w:w="2098" w:type="dxa"/>
          <w:jc w:val="center"/>
        </w:trPr>
        <w:tc>
          <w:tcPr>
            <w:tcW w:w="1080" w:type="dxa"/>
            <w:gridSpan w:val="2"/>
            <w:hideMark/>
          </w:tcPr>
          <w:p w14:paraId="32FA827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1325</w:t>
            </w:r>
          </w:p>
        </w:tc>
        <w:tc>
          <w:tcPr>
            <w:tcW w:w="3431" w:type="dxa"/>
            <w:gridSpan w:val="3"/>
            <w:hideMark/>
          </w:tcPr>
          <w:p w14:paraId="4F6C391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ფორმალდეჰიდი</w:t>
            </w:r>
          </w:p>
        </w:tc>
        <w:tc>
          <w:tcPr>
            <w:tcW w:w="1314" w:type="dxa"/>
            <w:gridSpan w:val="4"/>
            <w:hideMark/>
          </w:tcPr>
          <w:p w14:paraId="05D71F1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0005972</w:t>
            </w:r>
          </w:p>
        </w:tc>
        <w:tc>
          <w:tcPr>
            <w:tcW w:w="1314" w:type="dxa"/>
            <w:gridSpan w:val="4"/>
            <w:hideMark/>
          </w:tcPr>
          <w:p w14:paraId="28D0993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6593718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6476527B"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2A4712C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019</w:t>
            </w:r>
          </w:p>
        </w:tc>
        <w:tc>
          <w:tcPr>
            <w:tcW w:w="627" w:type="dxa"/>
            <w:gridSpan w:val="2"/>
            <w:hideMark/>
          </w:tcPr>
          <w:p w14:paraId="03A70FF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68</w:t>
            </w:r>
            <w:r>
              <w:rPr>
                <w:rFonts w:ascii="Sylfaen" w:hAnsi="Sylfaen" w:cs="Arial"/>
                <w:sz w:val="16"/>
                <w:szCs w:val="16"/>
                <w:lang w:val="ka-GE"/>
              </w:rPr>
              <w:t>,</w:t>
            </w:r>
            <w:r>
              <w:rPr>
                <w:rFonts w:ascii="Sylfaen" w:hAnsi="Sylfaen"/>
                <w:sz w:val="16"/>
                <w:szCs w:val="16"/>
                <w:lang w:val="ka-GE"/>
              </w:rPr>
              <w:t>8</w:t>
            </w:r>
          </w:p>
        </w:tc>
        <w:tc>
          <w:tcPr>
            <w:tcW w:w="496" w:type="dxa"/>
            <w:gridSpan w:val="2"/>
            <w:hideMark/>
          </w:tcPr>
          <w:p w14:paraId="3B1C43C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w:t>
            </w:r>
            <w:r>
              <w:rPr>
                <w:rFonts w:ascii="Sylfaen" w:hAnsi="Sylfaen"/>
                <w:sz w:val="16"/>
                <w:szCs w:val="16"/>
                <w:lang w:val="ka-GE"/>
              </w:rPr>
              <w:t>9</w:t>
            </w:r>
          </w:p>
        </w:tc>
        <w:tc>
          <w:tcPr>
            <w:tcW w:w="540" w:type="dxa"/>
          </w:tcPr>
          <w:p w14:paraId="466038D3"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7470DE3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019</w:t>
            </w:r>
          </w:p>
        </w:tc>
        <w:tc>
          <w:tcPr>
            <w:tcW w:w="627" w:type="dxa"/>
            <w:gridSpan w:val="2"/>
            <w:hideMark/>
          </w:tcPr>
          <w:p w14:paraId="29094BC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70</w:t>
            </w:r>
          </w:p>
        </w:tc>
        <w:tc>
          <w:tcPr>
            <w:tcW w:w="496" w:type="dxa"/>
            <w:hideMark/>
          </w:tcPr>
          <w:p w14:paraId="64ACF7D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w:t>
            </w:r>
          </w:p>
        </w:tc>
      </w:tr>
      <w:tr w:rsidR="00A2588D" w14:paraId="5AF40C68" w14:textId="77777777" w:rsidTr="00A2588D">
        <w:trPr>
          <w:gridAfter w:val="4"/>
          <w:wAfter w:w="2098" w:type="dxa"/>
          <w:jc w:val="center"/>
        </w:trPr>
        <w:tc>
          <w:tcPr>
            <w:tcW w:w="1080" w:type="dxa"/>
            <w:gridSpan w:val="2"/>
            <w:hideMark/>
          </w:tcPr>
          <w:p w14:paraId="5E5195F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2732</w:t>
            </w:r>
          </w:p>
        </w:tc>
        <w:tc>
          <w:tcPr>
            <w:tcW w:w="3431" w:type="dxa"/>
            <w:gridSpan w:val="3"/>
            <w:hideMark/>
          </w:tcPr>
          <w:p w14:paraId="7AF3A5B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ნავთის ფრაქცია</w:t>
            </w:r>
          </w:p>
        </w:tc>
        <w:tc>
          <w:tcPr>
            <w:tcW w:w="1314" w:type="dxa"/>
            <w:gridSpan w:val="4"/>
            <w:hideMark/>
          </w:tcPr>
          <w:p w14:paraId="7029F82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0142917</w:t>
            </w:r>
          </w:p>
        </w:tc>
        <w:tc>
          <w:tcPr>
            <w:tcW w:w="1314" w:type="dxa"/>
            <w:gridSpan w:val="4"/>
            <w:hideMark/>
          </w:tcPr>
          <w:p w14:paraId="152309A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7C3618C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426113E2"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2144A88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013</w:t>
            </w:r>
          </w:p>
        </w:tc>
        <w:tc>
          <w:tcPr>
            <w:tcW w:w="627" w:type="dxa"/>
            <w:gridSpan w:val="2"/>
            <w:hideMark/>
          </w:tcPr>
          <w:p w14:paraId="620244A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68</w:t>
            </w:r>
            <w:r>
              <w:rPr>
                <w:rFonts w:ascii="Sylfaen" w:hAnsi="Sylfaen" w:cs="Arial"/>
                <w:sz w:val="16"/>
                <w:szCs w:val="16"/>
                <w:lang w:val="ka-GE"/>
              </w:rPr>
              <w:t>,</w:t>
            </w:r>
            <w:r>
              <w:rPr>
                <w:rFonts w:ascii="Sylfaen" w:hAnsi="Sylfaen"/>
                <w:sz w:val="16"/>
                <w:szCs w:val="16"/>
                <w:lang w:val="ka-GE"/>
              </w:rPr>
              <w:t>8</w:t>
            </w:r>
          </w:p>
        </w:tc>
        <w:tc>
          <w:tcPr>
            <w:tcW w:w="496" w:type="dxa"/>
            <w:gridSpan w:val="2"/>
            <w:hideMark/>
          </w:tcPr>
          <w:p w14:paraId="0C11371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w:t>
            </w:r>
            <w:r>
              <w:rPr>
                <w:rFonts w:ascii="Sylfaen" w:hAnsi="Sylfaen"/>
                <w:sz w:val="16"/>
                <w:szCs w:val="16"/>
                <w:lang w:val="ka-GE"/>
              </w:rPr>
              <w:t>9</w:t>
            </w:r>
          </w:p>
        </w:tc>
        <w:tc>
          <w:tcPr>
            <w:tcW w:w="540" w:type="dxa"/>
          </w:tcPr>
          <w:p w14:paraId="0B7BB844"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2458B7A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013</w:t>
            </w:r>
          </w:p>
        </w:tc>
        <w:tc>
          <w:tcPr>
            <w:tcW w:w="627" w:type="dxa"/>
            <w:gridSpan w:val="2"/>
            <w:hideMark/>
          </w:tcPr>
          <w:p w14:paraId="7A8B8A2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70</w:t>
            </w:r>
          </w:p>
        </w:tc>
        <w:tc>
          <w:tcPr>
            <w:tcW w:w="496" w:type="dxa"/>
            <w:hideMark/>
          </w:tcPr>
          <w:p w14:paraId="563F718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w:t>
            </w:r>
          </w:p>
        </w:tc>
      </w:tr>
      <w:tr w:rsidR="00A2588D" w14:paraId="4B42CAAA" w14:textId="77777777" w:rsidTr="00A2588D">
        <w:trPr>
          <w:gridAfter w:val="1"/>
          <w:wAfter w:w="321" w:type="dxa"/>
          <w:jc w:val="center"/>
        </w:trPr>
        <w:tc>
          <w:tcPr>
            <w:tcW w:w="540" w:type="dxa"/>
            <w:tcBorders>
              <w:top w:val="single" w:sz="4" w:space="0" w:color="auto"/>
              <w:left w:val="single" w:sz="4" w:space="0" w:color="auto"/>
              <w:bottom w:val="single" w:sz="4" w:space="0" w:color="auto"/>
              <w:right w:val="single" w:sz="4" w:space="0" w:color="auto"/>
            </w:tcBorders>
            <w:hideMark/>
          </w:tcPr>
          <w:p w14:paraId="5F8CD7FB"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w:t>
            </w:r>
          </w:p>
        </w:tc>
        <w:tc>
          <w:tcPr>
            <w:tcW w:w="540" w:type="dxa"/>
            <w:tcBorders>
              <w:top w:val="single" w:sz="4" w:space="0" w:color="auto"/>
              <w:left w:val="single" w:sz="4" w:space="0" w:color="auto"/>
              <w:bottom w:val="single" w:sz="4" w:space="0" w:color="auto"/>
              <w:right w:val="single" w:sz="4" w:space="0" w:color="auto"/>
            </w:tcBorders>
            <w:hideMark/>
          </w:tcPr>
          <w:p w14:paraId="3946AF18"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54" w:type="dxa"/>
            <w:tcBorders>
              <w:top w:val="single" w:sz="4" w:space="0" w:color="auto"/>
              <w:left w:val="single" w:sz="4" w:space="0" w:color="auto"/>
              <w:bottom w:val="single" w:sz="4" w:space="0" w:color="auto"/>
              <w:right w:val="single" w:sz="4" w:space="0" w:color="auto"/>
            </w:tcBorders>
            <w:hideMark/>
          </w:tcPr>
          <w:p w14:paraId="67B80FAC"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98" w:type="dxa"/>
            <w:tcBorders>
              <w:top w:val="single" w:sz="4" w:space="0" w:color="auto"/>
              <w:left w:val="single" w:sz="4" w:space="0" w:color="auto"/>
              <w:bottom w:val="single" w:sz="4" w:space="0" w:color="auto"/>
              <w:right w:val="single" w:sz="4" w:space="0" w:color="auto"/>
            </w:tcBorders>
            <w:hideMark/>
          </w:tcPr>
          <w:p w14:paraId="1B3E1F2A"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9</w:t>
            </w:r>
          </w:p>
        </w:tc>
        <w:tc>
          <w:tcPr>
            <w:tcW w:w="2336" w:type="dxa"/>
            <w:gridSpan w:val="2"/>
            <w:tcBorders>
              <w:top w:val="single" w:sz="4" w:space="0" w:color="auto"/>
              <w:left w:val="single" w:sz="4" w:space="0" w:color="auto"/>
              <w:bottom w:val="single" w:sz="4" w:space="0" w:color="auto"/>
              <w:right w:val="single" w:sz="4" w:space="0" w:color="auto"/>
            </w:tcBorders>
            <w:hideMark/>
          </w:tcPr>
          <w:p w14:paraId="393E5464"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sz w:val="18"/>
                <w:szCs w:val="18"/>
                <w:lang w:val="ka-GE"/>
              </w:rPr>
              <w:t>ავტოტრანსპორტის</w:t>
            </w:r>
            <w:r>
              <w:rPr>
                <w:rFonts w:ascii="Sylfaen" w:hAnsi="Sylfaen" w:cs="Arial"/>
                <w:sz w:val="18"/>
                <w:szCs w:val="18"/>
                <w:lang w:val="ka-GE"/>
              </w:rPr>
              <w:t xml:space="preserve"> </w:t>
            </w:r>
            <w:r>
              <w:rPr>
                <w:rFonts w:ascii="Sylfaen" w:hAnsi="Sylfaen"/>
                <w:sz w:val="18"/>
                <w:szCs w:val="18"/>
                <w:lang w:val="ka-GE"/>
              </w:rPr>
              <w:t>სადგომი</w:t>
            </w:r>
          </w:p>
        </w:tc>
        <w:tc>
          <w:tcPr>
            <w:tcW w:w="525" w:type="dxa"/>
            <w:tcBorders>
              <w:top w:val="single" w:sz="4" w:space="0" w:color="auto"/>
              <w:left w:val="single" w:sz="4" w:space="0" w:color="auto"/>
              <w:bottom w:val="single" w:sz="4" w:space="0" w:color="auto"/>
              <w:right w:val="single" w:sz="4" w:space="0" w:color="auto"/>
            </w:tcBorders>
            <w:hideMark/>
          </w:tcPr>
          <w:p w14:paraId="27385AC5"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p>
        </w:tc>
        <w:tc>
          <w:tcPr>
            <w:tcW w:w="423" w:type="dxa"/>
            <w:tcBorders>
              <w:top w:val="single" w:sz="4" w:space="0" w:color="auto"/>
              <w:left w:val="single" w:sz="4" w:space="0" w:color="auto"/>
              <w:bottom w:val="single" w:sz="4" w:space="0" w:color="auto"/>
              <w:right w:val="single" w:sz="4" w:space="0" w:color="auto"/>
            </w:tcBorders>
            <w:hideMark/>
          </w:tcPr>
          <w:p w14:paraId="37FEF442"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3</w:t>
            </w:r>
          </w:p>
        </w:tc>
        <w:tc>
          <w:tcPr>
            <w:tcW w:w="686" w:type="dxa"/>
            <w:gridSpan w:val="2"/>
            <w:tcBorders>
              <w:top w:val="single" w:sz="4" w:space="0" w:color="auto"/>
              <w:left w:val="single" w:sz="4" w:space="0" w:color="auto"/>
              <w:bottom w:val="single" w:sz="4" w:space="0" w:color="auto"/>
              <w:right w:val="single" w:sz="4" w:space="0" w:color="auto"/>
            </w:tcBorders>
            <w:hideMark/>
          </w:tcPr>
          <w:p w14:paraId="4AED66C3"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5</w:t>
            </w:r>
            <w:r>
              <w:rPr>
                <w:rFonts w:ascii="Sylfaen" w:hAnsi="Sylfaen" w:cs="Arial"/>
                <w:sz w:val="18"/>
                <w:szCs w:val="18"/>
                <w:lang w:val="ka-GE"/>
              </w:rPr>
              <w:t>,</w:t>
            </w:r>
            <w:r>
              <w:rPr>
                <w:rFonts w:ascii="Sylfaen" w:hAnsi="Sylfaen"/>
                <w:sz w:val="18"/>
                <w:szCs w:val="18"/>
                <w:lang w:val="ka-GE"/>
              </w:rPr>
              <w:t>0</w:t>
            </w:r>
          </w:p>
        </w:tc>
        <w:tc>
          <w:tcPr>
            <w:tcW w:w="803" w:type="dxa"/>
            <w:gridSpan w:val="2"/>
            <w:tcBorders>
              <w:top w:val="single" w:sz="4" w:space="0" w:color="auto"/>
              <w:left w:val="single" w:sz="4" w:space="0" w:color="auto"/>
              <w:bottom w:val="single" w:sz="4" w:space="0" w:color="auto"/>
              <w:right w:val="single" w:sz="4" w:space="0" w:color="auto"/>
            </w:tcBorders>
            <w:hideMark/>
          </w:tcPr>
          <w:p w14:paraId="108C1811"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w:t>
            </w:r>
          </w:p>
        </w:tc>
        <w:tc>
          <w:tcPr>
            <w:tcW w:w="788" w:type="dxa"/>
            <w:gridSpan w:val="3"/>
            <w:tcBorders>
              <w:top w:val="single" w:sz="4" w:space="0" w:color="auto"/>
              <w:left w:val="single" w:sz="4" w:space="0" w:color="auto"/>
              <w:bottom w:val="single" w:sz="4" w:space="0" w:color="auto"/>
              <w:right w:val="single" w:sz="4" w:space="0" w:color="auto"/>
            </w:tcBorders>
            <w:hideMark/>
          </w:tcPr>
          <w:p w14:paraId="6983F3C1"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817" w:type="dxa"/>
            <w:gridSpan w:val="2"/>
            <w:tcBorders>
              <w:top w:val="single" w:sz="4" w:space="0" w:color="auto"/>
              <w:left w:val="single" w:sz="4" w:space="0" w:color="auto"/>
              <w:bottom w:val="single" w:sz="4" w:space="0" w:color="auto"/>
              <w:right w:val="single" w:sz="4" w:space="0" w:color="auto"/>
            </w:tcBorders>
            <w:hideMark/>
          </w:tcPr>
          <w:p w14:paraId="062B1A12"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00000</w:t>
            </w:r>
          </w:p>
        </w:tc>
        <w:tc>
          <w:tcPr>
            <w:tcW w:w="788" w:type="dxa"/>
            <w:gridSpan w:val="2"/>
            <w:tcBorders>
              <w:top w:val="single" w:sz="4" w:space="0" w:color="auto"/>
              <w:left w:val="single" w:sz="4" w:space="0" w:color="auto"/>
              <w:bottom w:val="single" w:sz="4" w:space="0" w:color="auto"/>
              <w:right w:val="single" w:sz="4" w:space="0" w:color="auto"/>
            </w:tcBorders>
            <w:hideMark/>
          </w:tcPr>
          <w:p w14:paraId="3E93C7AE"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w:t>
            </w:r>
          </w:p>
        </w:tc>
        <w:tc>
          <w:tcPr>
            <w:tcW w:w="540" w:type="dxa"/>
            <w:gridSpan w:val="2"/>
            <w:tcBorders>
              <w:top w:val="single" w:sz="4" w:space="0" w:color="auto"/>
              <w:left w:val="single" w:sz="4" w:space="0" w:color="auto"/>
              <w:bottom w:val="single" w:sz="4" w:space="0" w:color="auto"/>
              <w:right w:val="single" w:sz="4" w:space="0" w:color="auto"/>
            </w:tcBorders>
            <w:hideMark/>
          </w:tcPr>
          <w:p w14:paraId="46603F51"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w:t>
            </w:r>
            <w:r>
              <w:rPr>
                <w:rFonts w:ascii="Sylfaen" w:hAnsi="Sylfaen" w:cs="Arial"/>
                <w:sz w:val="18"/>
                <w:szCs w:val="18"/>
                <w:lang w:val="ka-GE"/>
              </w:rPr>
              <w:t>,</w:t>
            </w:r>
            <w:r>
              <w:rPr>
                <w:rFonts w:ascii="Sylfaen" w:hAnsi="Sylfaen"/>
                <w:sz w:val="18"/>
                <w:szCs w:val="18"/>
                <w:lang w:val="ka-GE"/>
              </w:rPr>
              <w:t>0</w:t>
            </w:r>
          </w:p>
        </w:tc>
        <w:tc>
          <w:tcPr>
            <w:tcW w:w="846" w:type="dxa"/>
            <w:gridSpan w:val="3"/>
            <w:tcBorders>
              <w:top w:val="single" w:sz="4" w:space="0" w:color="auto"/>
              <w:left w:val="single" w:sz="4" w:space="0" w:color="auto"/>
              <w:bottom w:val="single" w:sz="4" w:space="0" w:color="auto"/>
              <w:right w:val="single" w:sz="4" w:space="0" w:color="auto"/>
            </w:tcBorders>
            <w:hideMark/>
          </w:tcPr>
          <w:p w14:paraId="7569EFD9"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14</w:t>
            </w:r>
            <w:r>
              <w:rPr>
                <w:rFonts w:ascii="Sylfaen" w:hAnsi="Sylfaen" w:cs="Arial"/>
                <w:sz w:val="18"/>
                <w:szCs w:val="18"/>
                <w:lang w:val="ka-GE"/>
              </w:rPr>
              <w:t>,</w:t>
            </w:r>
            <w:r>
              <w:rPr>
                <w:rFonts w:ascii="Sylfaen" w:hAnsi="Sylfaen"/>
                <w:sz w:val="18"/>
                <w:szCs w:val="18"/>
                <w:lang w:val="ka-GE"/>
              </w:rPr>
              <w:t>0</w:t>
            </w:r>
          </w:p>
        </w:tc>
        <w:tc>
          <w:tcPr>
            <w:tcW w:w="846" w:type="dxa"/>
            <w:gridSpan w:val="2"/>
            <w:tcBorders>
              <w:top w:val="single" w:sz="4" w:space="0" w:color="auto"/>
              <w:left w:val="single" w:sz="4" w:space="0" w:color="auto"/>
              <w:bottom w:val="single" w:sz="4" w:space="0" w:color="auto"/>
              <w:right w:val="single" w:sz="4" w:space="0" w:color="auto"/>
            </w:tcBorders>
            <w:hideMark/>
          </w:tcPr>
          <w:p w14:paraId="7C234779"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cs="Arial"/>
                <w:sz w:val="18"/>
                <w:szCs w:val="18"/>
                <w:lang w:val="ka-GE"/>
              </w:rPr>
              <w:t>-</w:t>
            </w:r>
            <w:r>
              <w:rPr>
                <w:rFonts w:ascii="Sylfaen" w:hAnsi="Sylfaen"/>
                <w:sz w:val="18"/>
                <w:szCs w:val="18"/>
                <w:lang w:val="ka-GE"/>
              </w:rPr>
              <w:t>16</w:t>
            </w:r>
            <w:r>
              <w:rPr>
                <w:rFonts w:ascii="Sylfaen" w:hAnsi="Sylfaen" w:cs="Arial"/>
                <w:sz w:val="18"/>
                <w:szCs w:val="18"/>
                <w:lang w:val="ka-GE"/>
              </w:rPr>
              <w:t>,</w:t>
            </w:r>
            <w:r>
              <w:rPr>
                <w:rFonts w:ascii="Sylfaen" w:hAnsi="Sylfaen"/>
                <w:sz w:val="18"/>
                <w:szCs w:val="18"/>
                <w:lang w:val="ka-GE"/>
              </w:rPr>
              <w:t>0</w:t>
            </w:r>
          </w:p>
        </w:tc>
        <w:tc>
          <w:tcPr>
            <w:tcW w:w="846" w:type="dxa"/>
            <w:gridSpan w:val="3"/>
            <w:tcBorders>
              <w:top w:val="single" w:sz="4" w:space="0" w:color="auto"/>
              <w:left w:val="single" w:sz="4" w:space="0" w:color="auto"/>
              <w:bottom w:val="single" w:sz="4" w:space="0" w:color="auto"/>
              <w:right w:val="single" w:sz="4" w:space="0" w:color="auto"/>
            </w:tcBorders>
            <w:hideMark/>
          </w:tcPr>
          <w:p w14:paraId="7079DFAB"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32</w:t>
            </w:r>
            <w:r>
              <w:rPr>
                <w:rFonts w:ascii="Sylfaen" w:hAnsi="Sylfaen" w:cs="Arial"/>
                <w:sz w:val="18"/>
                <w:szCs w:val="18"/>
                <w:lang w:val="ka-GE"/>
              </w:rPr>
              <w:t>,</w:t>
            </w:r>
            <w:r>
              <w:rPr>
                <w:rFonts w:ascii="Sylfaen" w:hAnsi="Sylfaen"/>
                <w:sz w:val="18"/>
                <w:szCs w:val="18"/>
                <w:lang w:val="ka-GE"/>
              </w:rPr>
              <w:t>0</w:t>
            </w:r>
          </w:p>
        </w:tc>
        <w:tc>
          <w:tcPr>
            <w:tcW w:w="890" w:type="dxa"/>
            <w:tcBorders>
              <w:top w:val="single" w:sz="4" w:space="0" w:color="auto"/>
              <w:left w:val="single" w:sz="4" w:space="0" w:color="auto"/>
              <w:bottom w:val="single" w:sz="4" w:space="0" w:color="auto"/>
              <w:right w:val="single" w:sz="4" w:space="0" w:color="auto"/>
            </w:tcBorders>
            <w:hideMark/>
          </w:tcPr>
          <w:p w14:paraId="0E86A6EC"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5</w:t>
            </w:r>
            <w:r>
              <w:rPr>
                <w:rFonts w:ascii="Sylfaen" w:hAnsi="Sylfaen" w:cs="Arial"/>
                <w:sz w:val="18"/>
                <w:szCs w:val="18"/>
                <w:lang w:val="ka-GE"/>
              </w:rPr>
              <w:t>,</w:t>
            </w:r>
            <w:r>
              <w:rPr>
                <w:rFonts w:ascii="Sylfaen" w:hAnsi="Sylfaen"/>
                <w:sz w:val="18"/>
                <w:szCs w:val="18"/>
                <w:lang w:val="ka-GE"/>
              </w:rPr>
              <w:t>0</w:t>
            </w:r>
          </w:p>
        </w:tc>
        <w:tc>
          <w:tcPr>
            <w:tcW w:w="861" w:type="dxa"/>
            <w:tcBorders>
              <w:top w:val="single" w:sz="4" w:space="0" w:color="auto"/>
              <w:left w:val="single" w:sz="4" w:space="0" w:color="auto"/>
              <w:bottom w:val="single" w:sz="4" w:space="0" w:color="auto"/>
              <w:right w:val="single" w:sz="4" w:space="0" w:color="auto"/>
            </w:tcBorders>
            <w:hideMark/>
          </w:tcPr>
          <w:p w14:paraId="5EBE72B1"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10</w:t>
            </w:r>
            <w:r>
              <w:rPr>
                <w:rFonts w:ascii="Sylfaen" w:hAnsi="Sylfaen" w:cs="Arial"/>
                <w:sz w:val="18"/>
                <w:szCs w:val="18"/>
                <w:lang w:val="ka-GE"/>
              </w:rPr>
              <w:t>,</w:t>
            </w:r>
            <w:r>
              <w:rPr>
                <w:rFonts w:ascii="Sylfaen" w:hAnsi="Sylfaen"/>
                <w:sz w:val="18"/>
                <w:szCs w:val="18"/>
                <w:lang w:val="ka-GE"/>
              </w:rPr>
              <w:t>00</w:t>
            </w:r>
          </w:p>
        </w:tc>
      </w:tr>
      <w:tr w:rsidR="00A2588D" w14:paraId="1CBE069F" w14:textId="77777777" w:rsidTr="00A2588D">
        <w:trPr>
          <w:gridAfter w:val="4"/>
          <w:wAfter w:w="2098" w:type="dxa"/>
          <w:jc w:val="center"/>
        </w:trPr>
        <w:tc>
          <w:tcPr>
            <w:tcW w:w="1080" w:type="dxa"/>
            <w:gridSpan w:val="2"/>
            <w:hideMark/>
          </w:tcPr>
          <w:p w14:paraId="5C65B7D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ნივთ. კოდი</w:t>
            </w:r>
          </w:p>
        </w:tc>
        <w:tc>
          <w:tcPr>
            <w:tcW w:w="3431" w:type="dxa"/>
            <w:gridSpan w:val="3"/>
            <w:hideMark/>
          </w:tcPr>
          <w:p w14:paraId="454ABC6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ნივთიერება</w:t>
            </w:r>
          </w:p>
        </w:tc>
        <w:tc>
          <w:tcPr>
            <w:tcW w:w="1314" w:type="dxa"/>
            <w:gridSpan w:val="4"/>
            <w:hideMark/>
          </w:tcPr>
          <w:p w14:paraId="5F297FB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გაფრქვევა (გ/წმ)</w:t>
            </w:r>
          </w:p>
        </w:tc>
        <w:tc>
          <w:tcPr>
            <w:tcW w:w="1314" w:type="dxa"/>
            <w:gridSpan w:val="4"/>
            <w:hideMark/>
          </w:tcPr>
          <w:p w14:paraId="5615B5A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გაფრქვევა (ტ/წლ)</w:t>
            </w:r>
          </w:p>
        </w:tc>
        <w:tc>
          <w:tcPr>
            <w:tcW w:w="438" w:type="dxa"/>
            <w:hideMark/>
          </w:tcPr>
          <w:p w14:paraId="19E75CA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F</w:t>
            </w:r>
          </w:p>
        </w:tc>
        <w:tc>
          <w:tcPr>
            <w:tcW w:w="511" w:type="dxa"/>
            <w:gridSpan w:val="2"/>
            <w:hideMark/>
          </w:tcPr>
          <w:p w14:paraId="5BDB46D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ზაფხ.:</w:t>
            </w:r>
          </w:p>
        </w:tc>
        <w:tc>
          <w:tcPr>
            <w:tcW w:w="788" w:type="dxa"/>
            <w:gridSpan w:val="2"/>
            <w:hideMark/>
          </w:tcPr>
          <w:p w14:paraId="063998D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Cm/</w:t>
            </w:r>
            <w:r>
              <w:rPr>
                <w:rFonts w:ascii="Sylfaen" w:hAnsi="Sylfaen" w:cs="Arial"/>
                <w:sz w:val="16"/>
                <w:szCs w:val="16"/>
                <w:lang w:val="ka-GE"/>
              </w:rPr>
              <w:t>ზდკ</w:t>
            </w:r>
          </w:p>
        </w:tc>
        <w:tc>
          <w:tcPr>
            <w:tcW w:w="627" w:type="dxa"/>
            <w:gridSpan w:val="2"/>
            <w:hideMark/>
          </w:tcPr>
          <w:p w14:paraId="6AA88DA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Xm</w:t>
            </w:r>
          </w:p>
        </w:tc>
        <w:tc>
          <w:tcPr>
            <w:tcW w:w="496" w:type="dxa"/>
            <w:gridSpan w:val="2"/>
            <w:hideMark/>
          </w:tcPr>
          <w:p w14:paraId="5F4EFF9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Um</w:t>
            </w:r>
          </w:p>
        </w:tc>
        <w:tc>
          <w:tcPr>
            <w:tcW w:w="540" w:type="dxa"/>
            <w:hideMark/>
          </w:tcPr>
          <w:p w14:paraId="74AFCEA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ზამთ.:</w:t>
            </w:r>
          </w:p>
        </w:tc>
        <w:tc>
          <w:tcPr>
            <w:tcW w:w="788" w:type="dxa"/>
            <w:gridSpan w:val="2"/>
            <w:hideMark/>
          </w:tcPr>
          <w:p w14:paraId="17976FC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Cm/</w:t>
            </w:r>
            <w:r>
              <w:rPr>
                <w:rFonts w:ascii="Sylfaen" w:hAnsi="Sylfaen" w:cs="Arial"/>
                <w:sz w:val="16"/>
                <w:szCs w:val="16"/>
                <w:lang w:val="ka-GE"/>
              </w:rPr>
              <w:t>ზდკ</w:t>
            </w:r>
          </w:p>
        </w:tc>
        <w:tc>
          <w:tcPr>
            <w:tcW w:w="627" w:type="dxa"/>
            <w:gridSpan w:val="2"/>
            <w:hideMark/>
          </w:tcPr>
          <w:p w14:paraId="27A7E50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Xm</w:t>
            </w:r>
          </w:p>
        </w:tc>
        <w:tc>
          <w:tcPr>
            <w:tcW w:w="496" w:type="dxa"/>
            <w:hideMark/>
          </w:tcPr>
          <w:p w14:paraId="6F0B3A0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Um</w:t>
            </w:r>
          </w:p>
        </w:tc>
      </w:tr>
      <w:tr w:rsidR="00A2588D" w14:paraId="7EE4106D" w14:textId="77777777" w:rsidTr="00A2588D">
        <w:trPr>
          <w:gridAfter w:val="4"/>
          <w:wAfter w:w="2098" w:type="dxa"/>
          <w:jc w:val="center"/>
        </w:trPr>
        <w:tc>
          <w:tcPr>
            <w:tcW w:w="1080" w:type="dxa"/>
            <w:gridSpan w:val="2"/>
            <w:hideMark/>
          </w:tcPr>
          <w:p w14:paraId="4110C0C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0301</w:t>
            </w:r>
          </w:p>
        </w:tc>
        <w:tc>
          <w:tcPr>
            <w:tcW w:w="3431" w:type="dxa"/>
            <w:gridSpan w:val="3"/>
            <w:hideMark/>
          </w:tcPr>
          <w:p w14:paraId="3AC062E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აზოტის (IV) ოქსიდი (აზოტის დიოქსიდი)</w:t>
            </w:r>
          </w:p>
        </w:tc>
        <w:tc>
          <w:tcPr>
            <w:tcW w:w="1314" w:type="dxa"/>
            <w:gridSpan w:val="4"/>
            <w:hideMark/>
          </w:tcPr>
          <w:p w14:paraId="019F95E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0032809</w:t>
            </w:r>
          </w:p>
        </w:tc>
        <w:tc>
          <w:tcPr>
            <w:tcW w:w="1314" w:type="dxa"/>
            <w:gridSpan w:val="4"/>
            <w:hideMark/>
          </w:tcPr>
          <w:p w14:paraId="6247AD0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72C55F5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18E6D589"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6A9AAF4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069</w:t>
            </w:r>
          </w:p>
        </w:tc>
        <w:tc>
          <w:tcPr>
            <w:tcW w:w="627" w:type="dxa"/>
            <w:gridSpan w:val="2"/>
            <w:hideMark/>
          </w:tcPr>
          <w:p w14:paraId="4B430DB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gridSpan w:val="2"/>
            <w:hideMark/>
          </w:tcPr>
          <w:p w14:paraId="6671CD9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36E81456"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0060E6D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069</w:t>
            </w:r>
          </w:p>
        </w:tc>
        <w:tc>
          <w:tcPr>
            <w:tcW w:w="627" w:type="dxa"/>
            <w:gridSpan w:val="2"/>
            <w:hideMark/>
          </w:tcPr>
          <w:p w14:paraId="2085419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hideMark/>
          </w:tcPr>
          <w:p w14:paraId="333121A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6A05F5E9" w14:textId="77777777" w:rsidTr="00A2588D">
        <w:trPr>
          <w:gridAfter w:val="4"/>
          <w:wAfter w:w="2098" w:type="dxa"/>
          <w:jc w:val="center"/>
        </w:trPr>
        <w:tc>
          <w:tcPr>
            <w:tcW w:w="1080" w:type="dxa"/>
            <w:gridSpan w:val="2"/>
            <w:hideMark/>
          </w:tcPr>
          <w:p w14:paraId="0E5717D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0304</w:t>
            </w:r>
          </w:p>
        </w:tc>
        <w:tc>
          <w:tcPr>
            <w:tcW w:w="3431" w:type="dxa"/>
            <w:gridSpan w:val="3"/>
            <w:hideMark/>
          </w:tcPr>
          <w:p w14:paraId="3E3B534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აზოტის (II) ოქსიდი (აზოტის ოქსიდი)</w:t>
            </w:r>
          </w:p>
        </w:tc>
        <w:tc>
          <w:tcPr>
            <w:tcW w:w="1314" w:type="dxa"/>
            <w:gridSpan w:val="4"/>
            <w:hideMark/>
          </w:tcPr>
          <w:p w14:paraId="04F6840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0005344</w:t>
            </w:r>
          </w:p>
        </w:tc>
        <w:tc>
          <w:tcPr>
            <w:tcW w:w="1314" w:type="dxa"/>
            <w:gridSpan w:val="4"/>
            <w:hideMark/>
          </w:tcPr>
          <w:p w14:paraId="003444C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703F7BA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4E76BA90"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3BDFFDE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006</w:t>
            </w:r>
          </w:p>
        </w:tc>
        <w:tc>
          <w:tcPr>
            <w:tcW w:w="627" w:type="dxa"/>
            <w:gridSpan w:val="2"/>
            <w:hideMark/>
          </w:tcPr>
          <w:p w14:paraId="1B1C6DB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gridSpan w:val="2"/>
            <w:hideMark/>
          </w:tcPr>
          <w:p w14:paraId="2CAA0DC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12DF4E48"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1BCAE27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006</w:t>
            </w:r>
          </w:p>
        </w:tc>
        <w:tc>
          <w:tcPr>
            <w:tcW w:w="627" w:type="dxa"/>
            <w:gridSpan w:val="2"/>
            <w:hideMark/>
          </w:tcPr>
          <w:p w14:paraId="515EE5E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hideMark/>
          </w:tcPr>
          <w:p w14:paraId="40A7376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58D62BA6" w14:textId="77777777" w:rsidTr="00A2588D">
        <w:trPr>
          <w:gridAfter w:val="4"/>
          <w:wAfter w:w="2098" w:type="dxa"/>
          <w:jc w:val="center"/>
        </w:trPr>
        <w:tc>
          <w:tcPr>
            <w:tcW w:w="1080" w:type="dxa"/>
            <w:gridSpan w:val="2"/>
            <w:hideMark/>
          </w:tcPr>
          <w:p w14:paraId="01B7D70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0328</w:t>
            </w:r>
          </w:p>
        </w:tc>
        <w:tc>
          <w:tcPr>
            <w:tcW w:w="3431" w:type="dxa"/>
            <w:gridSpan w:val="3"/>
            <w:hideMark/>
          </w:tcPr>
          <w:p w14:paraId="04C0997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შავი ნახშირბადი (ჭვარტლი)</w:t>
            </w:r>
          </w:p>
        </w:tc>
        <w:tc>
          <w:tcPr>
            <w:tcW w:w="1314" w:type="dxa"/>
            <w:gridSpan w:val="4"/>
            <w:hideMark/>
          </w:tcPr>
          <w:p w14:paraId="6BCBF1A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0001583</w:t>
            </w:r>
          </w:p>
        </w:tc>
        <w:tc>
          <w:tcPr>
            <w:tcW w:w="1314" w:type="dxa"/>
            <w:gridSpan w:val="4"/>
            <w:hideMark/>
          </w:tcPr>
          <w:p w14:paraId="0A025D7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17C865A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7DEFFC06"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7AA45BE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004</w:t>
            </w:r>
          </w:p>
        </w:tc>
        <w:tc>
          <w:tcPr>
            <w:tcW w:w="627" w:type="dxa"/>
            <w:gridSpan w:val="2"/>
            <w:hideMark/>
          </w:tcPr>
          <w:p w14:paraId="0E66922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gridSpan w:val="2"/>
            <w:hideMark/>
          </w:tcPr>
          <w:p w14:paraId="10017E9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24615473"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44F1761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004</w:t>
            </w:r>
          </w:p>
        </w:tc>
        <w:tc>
          <w:tcPr>
            <w:tcW w:w="627" w:type="dxa"/>
            <w:gridSpan w:val="2"/>
            <w:hideMark/>
          </w:tcPr>
          <w:p w14:paraId="7E4C915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hideMark/>
          </w:tcPr>
          <w:p w14:paraId="5A71BFC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5944C39F" w14:textId="77777777" w:rsidTr="00A2588D">
        <w:trPr>
          <w:gridAfter w:val="4"/>
          <w:wAfter w:w="2098" w:type="dxa"/>
          <w:jc w:val="center"/>
        </w:trPr>
        <w:tc>
          <w:tcPr>
            <w:tcW w:w="1080" w:type="dxa"/>
            <w:gridSpan w:val="2"/>
            <w:hideMark/>
          </w:tcPr>
          <w:p w14:paraId="2B5565A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0330</w:t>
            </w:r>
          </w:p>
        </w:tc>
        <w:tc>
          <w:tcPr>
            <w:tcW w:w="3431" w:type="dxa"/>
            <w:gridSpan w:val="3"/>
            <w:hideMark/>
          </w:tcPr>
          <w:p w14:paraId="0629BC8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გოგირდის დიოქსიდი</w:t>
            </w:r>
          </w:p>
        </w:tc>
        <w:tc>
          <w:tcPr>
            <w:tcW w:w="1314" w:type="dxa"/>
            <w:gridSpan w:val="4"/>
            <w:hideMark/>
          </w:tcPr>
          <w:p w14:paraId="0A31EFA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0008333</w:t>
            </w:r>
          </w:p>
        </w:tc>
        <w:tc>
          <w:tcPr>
            <w:tcW w:w="1314" w:type="dxa"/>
            <w:gridSpan w:val="4"/>
            <w:hideMark/>
          </w:tcPr>
          <w:p w14:paraId="38C4333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59EC778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5FB24DA2"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565926A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007</w:t>
            </w:r>
          </w:p>
        </w:tc>
        <w:tc>
          <w:tcPr>
            <w:tcW w:w="627" w:type="dxa"/>
            <w:gridSpan w:val="2"/>
            <w:hideMark/>
          </w:tcPr>
          <w:p w14:paraId="352CB69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gridSpan w:val="2"/>
            <w:hideMark/>
          </w:tcPr>
          <w:p w14:paraId="0F65F4E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55723723"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19BA0A0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007</w:t>
            </w:r>
          </w:p>
        </w:tc>
        <w:tc>
          <w:tcPr>
            <w:tcW w:w="627" w:type="dxa"/>
            <w:gridSpan w:val="2"/>
            <w:hideMark/>
          </w:tcPr>
          <w:p w14:paraId="111FF0A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hideMark/>
          </w:tcPr>
          <w:p w14:paraId="1161354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7CF60EF0" w14:textId="77777777" w:rsidTr="00A2588D">
        <w:trPr>
          <w:gridAfter w:val="4"/>
          <w:wAfter w:w="2098" w:type="dxa"/>
          <w:jc w:val="center"/>
        </w:trPr>
        <w:tc>
          <w:tcPr>
            <w:tcW w:w="1080" w:type="dxa"/>
            <w:gridSpan w:val="2"/>
            <w:hideMark/>
          </w:tcPr>
          <w:p w14:paraId="3E118FC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0337</w:t>
            </w:r>
          </w:p>
        </w:tc>
        <w:tc>
          <w:tcPr>
            <w:tcW w:w="3431" w:type="dxa"/>
            <w:gridSpan w:val="3"/>
            <w:hideMark/>
          </w:tcPr>
          <w:p w14:paraId="42C5265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ნახშირბადის ოქსიდი</w:t>
            </w:r>
          </w:p>
        </w:tc>
        <w:tc>
          <w:tcPr>
            <w:tcW w:w="1314" w:type="dxa"/>
            <w:gridSpan w:val="4"/>
            <w:hideMark/>
          </w:tcPr>
          <w:p w14:paraId="205CFD8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0097778</w:t>
            </w:r>
          </w:p>
        </w:tc>
        <w:tc>
          <w:tcPr>
            <w:tcW w:w="1314" w:type="dxa"/>
            <w:gridSpan w:val="4"/>
            <w:hideMark/>
          </w:tcPr>
          <w:p w14:paraId="2A75D0D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04D8E06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0F25C0A3"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365BF24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008</w:t>
            </w:r>
          </w:p>
        </w:tc>
        <w:tc>
          <w:tcPr>
            <w:tcW w:w="627" w:type="dxa"/>
            <w:gridSpan w:val="2"/>
            <w:hideMark/>
          </w:tcPr>
          <w:p w14:paraId="006B399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gridSpan w:val="2"/>
            <w:hideMark/>
          </w:tcPr>
          <w:p w14:paraId="2C8CD92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327386B6"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1503B56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008</w:t>
            </w:r>
          </w:p>
        </w:tc>
        <w:tc>
          <w:tcPr>
            <w:tcW w:w="627" w:type="dxa"/>
            <w:gridSpan w:val="2"/>
            <w:hideMark/>
          </w:tcPr>
          <w:p w14:paraId="4A539C0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hideMark/>
          </w:tcPr>
          <w:p w14:paraId="0495AC0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r w:rsidR="00A2588D" w14:paraId="520B5569" w14:textId="77777777" w:rsidTr="00A2588D">
        <w:trPr>
          <w:gridAfter w:val="4"/>
          <w:wAfter w:w="2098" w:type="dxa"/>
          <w:jc w:val="center"/>
        </w:trPr>
        <w:tc>
          <w:tcPr>
            <w:tcW w:w="1080" w:type="dxa"/>
            <w:gridSpan w:val="2"/>
            <w:hideMark/>
          </w:tcPr>
          <w:p w14:paraId="06A8117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2732</w:t>
            </w:r>
          </w:p>
        </w:tc>
        <w:tc>
          <w:tcPr>
            <w:tcW w:w="3431" w:type="dxa"/>
            <w:gridSpan w:val="3"/>
            <w:hideMark/>
          </w:tcPr>
          <w:p w14:paraId="78B1C01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ნავთის ფრაქცია</w:t>
            </w:r>
          </w:p>
        </w:tc>
        <w:tc>
          <w:tcPr>
            <w:tcW w:w="1314" w:type="dxa"/>
            <w:gridSpan w:val="4"/>
            <w:hideMark/>
          </w:tcPr>
          <w:p w14:paraId="56231A5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0044444</w:t>
            </w:r>
          </w:p>
        </w:tc>
        <w:tc>
          <w:tcPr>
            <w:tcW w:w="1314" w:type="dxa"/>
            <w:gridSpan w:val="4"/>
            <w:hideMark/>
          </w:tcPr>
          <w:p w14:paraId="1BB6F36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0000000</w:t>
            </w:r>
          </w:p>
        </w:tc>
        <w:tc>
          <w:tcPr>
            <w:tcW w:w="438" w:type="dxa"/>
            <w:hideMark/>
          </w:tcPr>
          <w:p w14:paraId="54A4377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511" w:type="dxa"/>
            <w:gridSpan w:val="2"/>
          </w:tcPr>
          <w:p w14:paraId="3AF0BEE6"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40D8624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016</w:t>
            </w:r>
          </w:p>
        </w:tc>
        <w:tc>
          <w:tcPr>
            <w:tcW w:w="627" w:type="dxa"/>
            <w:gridSpan w:val="2"/>
            <w:hideMark/>
          </w:tcPr>
          <w:p w14:paraId="483E5C9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gridSpan w:val="2"/>
            <w:hideMark/>
          </w:tcPr>
          <w:p w14:paraId="1B73B65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c>
          <w:tcPr>
            <w:tcW w:w="540" w:type="dxa"/>
          </w:tcPr>
          <w:p w14:paraId="412645F9" w14:textId="77777777" w:rsidR="00A2588D" w:rsidRDefault="00A2588D" w:rsidP="00A2588D">
            <w:pPr>
              <w:widowControl w:val="0"/>
              <w:autoSpaceDE w:val="0"/>
              <w:autoSpaceDN w:val="0"/>
              <w:adjustRightInd w:val="0"/>
              <w:jc w:val="center"/>
              <w:rPr>
                <w:rFonts w:ascii="Sylfaen" w:hAnsi="Sylfaen" w:cs="Arial"/>
                <w:sz w:val="16"/>
                <w:szCs w:val="16"/>
                <w:lang w:val="ka-GE"/>
              </w:rPr>
            </w:pPr>
          </w:p>
        </w:tc>
        <w:tc>
          <w:tcPr>
            <w:tcW w:w="788" w:type="dxa"/>
            <w:gridSpan w:val="2"/>
            <w:hideMark/>
          </w:tcPr>
          <w:p w14:paraId="745747A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016</w:t>
            </w:r>
          </w:p>
        </w:tc>
        <w:tc>
          <w:tcPr>
            <w:tcW w:w="627" w:type="dxa"/>
            <w:gridSpan w:val="2"/>
            <w:hideMark/>
          </w:tcPr>
          <w:p w14:paraId="5364EEF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w:t>
            </w:r>
          </w:p>
        </w:tc>
        <w:tc>
          <w:tcPr>
            <w:tcW w:w="496" w:type="dxa"/>
            <w:hideMark/>
          </w:tcPr>
          <w:p w14:paraId="622F779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w:t>
            </w:r>
          </w:p>
        </w:tc>
      </w:tr>
    </w:tbl>
    <w:p w14:paraId="17D88586" w14:textId="77777777" w:rsidR="00A2588D" w:rsidRDefault="00A2588D" w:rsidP="00A2588D">
      <w:pPr>
        <w:rPr>
          <w:rFonts w:ascii="Sylfaen" w:hAnsi="Sylfaen" w:cs="Arial"/>
          <w:b/>
          <w:bCs/>
          <w:sz w:val="24"/>
          <w:lang w:val="ka-GE"/>
        </w:rPr>
        <w:sectPr w:rsidR="00A2588D">
          <w:pgSz w:w="16840" w:h="11907" w:orient="landscape"/>
          <w:pgMar w:top="720" w:right="720" w:bottom="720" w:left="720" w:header="709" w:footer="709" w:gutter="0"/>
          <w:cols w:space="720"/>
        </w:sectPr>
      </w:pPr>
    </w:p>
    <w:p w14:paraId="68871A21" w14:textId="77777777" w:rsidR="00A2588D" w:rsidRDefault="00A2588D" w:rsidP="00A2588D">
      <w:pPr>
        <w:widowControl w:val="0"/>
        <w:autoSpaceDE w:val="0"/>
        <w:autoSpaceDN w:val="0"/>
        <w:adjustRightInd w:val="0"/>
        <w:jc w:val="center"/>
        <w:rPr>
          <w:rFonts w:ascii="Sylfaen" w:hAnsi="Sylfaen" w:cs="Arial"/>
          <w:b/>
          <w:bCs/>
          <w:sz w:val="24"/>
          <w:lang w:val="ka-GE"/>
        </w:rPr>
      </w:pPr>
      <w:r>
        <w:rPr>
          <w:rFonts w:ascii="Sylfaen" w:hAnsi="Sylfaen" w:cs="Arial"/>
          <w:b/>
          <w:bCs/>
          <w:sz w:val="24"/>
          <w:lang w:val="ka-GE"/>
        </w:rPr>
        <w:lastRenderedPageBreak/>
        <w:t>ემისიები წყაროებიდან ნივთიერებების მიხედვით</w:t>
      </w:r>
    </w:p>
    <w:p w14:paraId="22024386"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5081"/>
        <w:gridCol w:w="4906"/>
      </w:tblGrid>
      <w:tr w:rsidR="00A2588D" w14:paraId="20E9E027" w14:textId="77777777" w:rsidTr="00A2588D">
        <w:trPr>
          <w:jc w:val="center"/>
        </w:trPr>
        <w:tc>
          <w:tcPr>
            <w:tcW w:w="5081" w:type="dxa"/>
            <w:hideMark/>
          </w:tcPr>
          <w:p w14:paraId="4BE535DC"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აღრიცხვა:</w:t>
            </w:r>
          </w:p>
        </w:tc>
        <w:tc>
          <w:tcPr>
            <w:tcW w:w="4906" w:type="dxa"/>
            <w:hideMark/>
          </w:tcPr>
          <w:p w14:paraId="33500C05"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წყაროთა ტიპები:</w:t>
            </w:r>
          </w:p>
        </w:tc>
      </w:tr>
      <w:tr w:rsidR="00A2588D" w14:paraId="69945DAF" w14:textId="77777777" w:rsidTr="00A2588D">
        <w:trPr>
          <w:jc w:val="center"/>
        </w:trPr>
        <w:tc>
          <w:tcPr>
            <w:tcW w:w="5081" w:type="dxa"/>
            <w:hideMark/>
          </w:tcPr>
          <w:p w14:paraId="474904D2"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  - წყარო გათვალისწინებულია ფონის გამორიცხვით;</w:t>
            </w:r>
          </w:p>
        </w:tc>
        <w:tc>
          <w:tcPr>
            <w:tcW w:w="4906" w:type="dxa"/>
            <w:hideMark/>
          </w:tcPr>
          <w:p w14:paraId="574ABF29"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 xml:space="preserve"> - წერტილოვანი;</w:t>
            </w:r>
          </w:p>
        </w:tc>
      </w:tr>
      <w:tr w:rsidR="00A2588D" w14:paraId="7E491965" w14:textId="77777777" w:rsidTr="00A2588D">
        <w:trPr>
          <w:jc w:val="center"/>
        </w:trPr>
        <w:tc>
          <w:tcPr>
            <w:tcW w:w="5081" w:type="dxa"/>
            <w:hideMark/>
          </w:tcPr>
          <w:p w14:paraId="7BDB01F3"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  - წყარო გათვალისწინებულია ფონის გამორიცხვის გარეშე;</w:t>
            </w:r>
          </w:p>
        </w:tc>
        <w:tc>
          <w:tcPr>
            <w:tcW w:w="4906" w:type="dxa"/>
            <w:hideMark/>
          </w:tcPr>
          <w:p w14:paraId="1BE6BF64"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2</w:t>
            </w:r>
            <w:r>
              <w:rPr>
                <w:rFonts w:ascii="Sylfaen" w:hAnsi="Sylfaen" w:cs="Arial"/>
                <w:sz w:val="16"/>
                <w:szCs w:val="16"/>
                <w:lang w:val="ka-GE"/>
              </w:rPr>
              <w:t xml:space="preserve"> - წრფივი;</w:t>
            </w:r>
          </w:p>
        </w:tc>
      </w:tr>
      <w:tr w:rsidR="00A2588D" w14:paraId="2E56DB36" w14:textId="77777777" w:rsidTr="00A2588D">
        <w:trPr>
          <w:jc w:val="center"/>
        </w:trPr>
        <w:tc>
          <w:tcPr>
            <w:tcW w:w="5081" w:type="dxa"/>
            <w:hideMark/>
          </w:tcPr>
          <w:p w14:paraId="55602F20"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  - წყარო არ არის გათვალისწინებული და მისი წვლილი არაა შეტანილი ფონში.</w:t>
            </w:r>
          </w:p>
        </w:tc>
        <w:tc>
          <w:tcPr>
            <w:tcW w:w="4906" w:type="dxa"/>
            <w:hideMark/>
          </w:tcPr>
          <w:p w14:paraId="65FCCD24"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3</w:t>
            </w:r>
            <w:r>
              <w:rPr>
                <w:rFonts w:ascii="Sylfaen" w:hAnsi="Sylfaen" w:cs="Arial"/>
                <w:sz w:val="16"/>
                <w:szCs w:val="16"/>
                <w:lang w:val="ka-GE"/>
              </w:rPr>
              <w:t xml:space="preserve"> - არაორგანიზებული;</w:t>
            </w:r>
          </w:p>
        </w:tc>
      </w:tr>
      <w:tr w:rsidR="00A2588D" w14:paraId="29A6FAB2" w14:textId="77777777" w:rsidTr="00A2588D">
        <w:trPr>
          <w:jc w:val="center"/>
        </w:trPr>
        <w:tc>
          <w:tcPr>
            <w:tcW w:w="5081" w:type="dxa"/>
            <w:hideMark/>
          </w:tcPr>
          <w:p w14:paraId="55246721"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ნიშნულების არარსებობის შემტხვევაში წყარო არ ითვლება.</w:t>
            </w:r>
          </w:p>
        </w:tc>
        <w:tc>
          <w:tcPr>
            <w:tcW w:w="4906" w:type="dxa"/>
            <w:hideMark/>
          </w:tcPr>
          <w:p w14:paraId="709545E3"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4</w:t>
            </w:r>
            <w:r>
              <w:rPr>
                <w:rFonts w:ascii="Sylfaen" w:hAnsi="Sylfaen" w:cs="Arial"/>
                <w:sz w:val="16"/>
                <w:szCs w:val="16"/>
                <w:lang w:val="ka-GE"/>
              </w:rPr>
              <w:t xml:space="preserve"> - წერტილოვანი წყაროების ერთობლიობა, გაერთიანებული ერთ სიბრტყულად გათვლისთვის;</w:t>
            </w:r>
          </w:p>
        </w:tc>
      </w:tr>
      <w:tr w:rsidR="00A2588D" w14:paraId="5A44E0D5" w14:textId="77777777" w:rsidTr="00A2588D">
        <w:trPr>
          <w:jc w:val="center"/>
        </w:trPr>
        <w:tc>
          <w:tcPr>
            <w:tcW w:w="5081" w:type="dxa"/>
            <w:hideMark/>
          </w:tcPr>
          <w:p w14:paraId="05EC416E"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 ნიშნით აღნიშნული ან აღუნიშნავი () წყაროები საერთო ჯამში გათვალისწინებული არ არის</w:t>
            </w:r>
          </w:p>
        </w:tc>
        <w:tc>
          <w:tcPr>
            <w:tcW w:w="4906" w:type="dxa"/>
            <w:hideMark/>
          </w:tcPr>
          <w:p w14:paraId="5396C65E"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5</w:t>
            </w:r>
            <w:r>
              <w:rPr>
                <w:rFonts w:ascii="Sylfaen" w:hAnsi="Sylfaen" w:cs="Arial"/>
                <w:sz w:val="16"/>
                <w:szCs w:val="16"/>
                <w:lang w:val="ka-GE"/>
              </w:rPr>
              <w:t xml:space="preserve"> - არაორგანიზებული, დროში ცვლადი გაფრქვევის სიმძლავრით;</w:t>
            </w:r>
          </w:p>
        </w:tc>
      </w:tr>
      <w:tr w:rsidR="00A2588D" w14:paraId="37CE213F" w14:textId="77777777" w:rsidTr="00A2588D">
        <w:trPr>
          <w:jc w:val="center"/>
        </w:trPr>
        <w:tc>
          <w:tcPr>
            <w:tcW w:w="5081" w:type="dxa"/>
          </w:tcPr>
          <w:p w14:paraId="1F723FAC"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4906" w:type="dxa"/>
            <w:hideMark/>
          </w:tcPr>
          <w:p w14:paraId="7D01595C"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6</w:t>
            </w:r>
            <w:r>
              <w:rPr>
                <w:rFonts w:ascii="Sylfaen" w:hAnsi="Sylfaen" w:cs="Arial"/>
                <w:sz w:val="16"/>
                <w:szCs w:val="16"/>
                <w:lang w:val="ka-GE"/>
              </w:rPr>
              <w:t xml:space="preserve"> - წერტილოვანი, ქოლგისებური ან ჰორიზონტალური გაფრქვევით;</w:t>
            </w:r>
          </w:p>
        </w:tc>
      </w:tr>
      <w:tr w:rsidR="00A2588D" w14:paraId="02FC9FC2" w14:textId="77777777" w:rsidTr="00A2588D">
        <w:trPr>
          <w:jc w:val="center"/>
        </w:trPr>
        <w:tc>
          <w:tcPr>
            <w:tcW w:w="5081" w:type="dxa"/>
          </w:tcPr>
          <w:p w14:paraId="79DE4D6B"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4906" w:type="dxa"/>
            <w:hideMark/>
          </w:tcPr>
          <w:p w14:paraId="604CF269"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7</w:t>
            </w:r>
            <w:r>
              <w:rPr>
                <w:rFonts w:ascii="Sylfaen" w:hAnsi="Sylfaen" w:cs="Arial"/>
                <w:sz w:val="16"/>
                <w:szCs w:val="16"/>
                <w:lang w:val="ka-GE"/>
              </w:rPr>
              <w:t xml:space="preserve"> - ქოლგისებური ან ჰორიზონტალური გაფრქვევის წერტილოვანი წყაროების ერთობლიობა;</w:t>
            </w:r>
          </w:p>
        </w:tc>
      </w:tr>
      <w:tr w:rsidR="00A2588D" w14:paraId="6C31887F" w14:textId="77777777" w:rsidTr="00A2588D">
        <w:trPr>
          <w:jc w:val="center"/>
        </w:trPr>
        <w:tc>
          <w:tcPr>
            <w:tcW w:w="5081" w:type="dxa"/>
          </w:tcPr>
          <w:p w14:paraId="30898163"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4906" w:type="dxa"/>
            <w:hideMark/>
          </w:tcPr>
          <w:p w14:paraId="26357761"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8</w:t>
            </w:r>
            <w:r>
              <w:rPr>
                <w:rFonts w:ascii="Sylfaen" w:hAnsi="Sylfaen" w:cs="Arial"/>
                <w:sz w:val="16"/>
                <w:szCs w:val="16"/>
                <w:lang w:val="ka-GE"/>
              </w:rPr>
              <w:t xml:space="preserve"> - ავტომაგისტრალი.</w:t>
            </w:r>
          </w:p>
        </w:tc>
      </w:tr>
    </w:tbl>
    <w:p w14:paraId="434E5C2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30334E3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0301</w:t>
      </w:r>
      <w:r>
        <w:rPr>
          <w:rFonts w:ascii="Sylfaen" w:hAnsi="Sylfaen" w:cs="Arial"/>
          <w:b/>
          <w:bCs/>
          <w:sz w:val="20"/>
          <w:szCs w:val="20"/>
          <w:lang w:val="ka-GE"/>
        </w:rPr>
        <w:t xml:space="preserve">   აზოტის (IV) ოქსიდი (აზოტის დიოქსიდი)</w:t>
      </w:r>
    </w:p>
    <w:p w14:paraId="3B4C7756"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511"/>
        <w:gridCol w:w="467"/>
        <w:gridCol w:w="525"/>
        <w:gridCol w:w="481"/>
        <w:gridCol w:w="527"/>
        <w:gridCol w:w="1314"/>
        <w:gridCol w:w="335"/>
        <w:gridCol w:w="1007"/>
        <w:gridCol w:w="905"/>
        <w:gridCol w:w="920"/>
        <w:gridCol w:w="963"/>
        <w:gridCol w:w="846"/>
        <w:gridCol w:w="848"/>
      </w:tblGrid>
      <w:tr w:rsidR="00A2588D" w14:paraId="3B7031E9" w14:textId="77777777" w:rsidTr="00A2588D">
        <w:trPr>
          <w:jc w:val="center"/>
        </w:trPr>
        <w:tc>
          <w:tcPr>
            <w:tcW w:w="511" w:type="dxa"/>
            <w:tcBorders>
              <w:top w:val="single" w:sz="4" w:space="0" w:color="auto"/>
              <w:left w:val="single" w:sz="4" w:space="0" w:color="auto"/>
              <w:bottom w:val="nil"/>
              <w:right w:val="single" w:sz="4" w:space="0" w:color="auto"/>
            </w:tcBorders>
            <w:hideMark/>
          </w:tcPr>
          <w:p w14:paraId="7F8AF28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108758E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მოედ.</w:t>
            </w:r>
          </w:p>
        </w:tc>
        <w:tc>
          <w:tcPr>
            <w:tcW w:w="467" w:type="dxa"/>
            <w:tcBorders>
              <w:top w:val="single" w:sz="4" w:space="0" w:color="auto"/>
              <w:left w:val="single" w:sz="4" w:space="0" w:color="auto"/>
              <w:bottom w:val="nil"/>
              <w:right w:val="single" w:sz="4" w:space="0" w:color="auto"/>
            </w:tcBorders>
            <w:hideMark/>
          </w:tcPr>
          <w:p w14:paraId="33693A7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66F44D0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საამქ.</w:t>
            </w:r>
          </w:p>
        </w:tc>
        <w:tc>
          <w:tcPr>
            <w:tcW w:w="525" w:type="dxa"/>
            <w:tcBorders>
              <w:top w:val="single" w:sz="4" w:space="0" w:color="auto"/>
              <w:left w:val="single" w:sz="4" w:space="0" w:color="auto"/>
              <w:bottom w:val="nil"/>
              <w:right w:val="single" w:sz="4" w:space="0" w:color="auto"/>
            </w:tcBorders>
            <w:hideMark/>
          </w:tcPr>
          <w:p w14:paraId="453B098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04E9B56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წყაროს</w:t>
            </w:r>
          </w:p>
        </w:tc>
        <w:tc>
          <w:tcPr>
            <w:tcW w:w="481" w:type="dxa"/>
            <w:tcBorders>
              <w:top w:val="single" w:sz="4" w:space="0" w:color="auto"/>
              <w:left w:val="single" w:sz="4" w:space="0" w:color="auto"/>
              <w:bottom w:val="nil"/>
              <w:right w:val="single" w:sz="4" w:space="0" w:color="auto"/>
            </w:tcBorders>
            <w:hideMark/>
          </w:tcPr>
          <w:p w14:paraId="14DFC6D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ტიპი</w:t>
            </w:r>
          </w:p>
        </w:tc>
        <w:tc>
          <w:tcPr>
            <w:tcW w:w="525" w:type="dxa"/>
            <w:tcBorders>
              <w:top w:val="single" w:sz="4" w:space="0" w:color="auto"/>
              <w:left w:val="single" w:sz="4" w:space="0" w:color="auto"/>
              <w:bottom w:val="nil"/>
              <w:right w:val="single" w:sz="4" w:space="0" w:color="auto"/>
            </w:tcBorders>
            <w:hideMark/>
          </w:tcPr>
          <w:p w14:paraId="67DD05D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აღრიცხვა</w:t>
            </w:r>
          </w:p>
        </w:tc>
        <w:tc>
          <w:tcPr>
            <w:tcW w:w="1314" w:type="dxa"/>
            <w:tcBorders>
              <w:top w:val="single" w:sz="4" w:space="0" w:color="auto"/>
              <w:left w:val="single" w:sz="4" w:space="0" w:color="auto"/>
              <w:bottom w:val="nil"/>
              <w:right w:val="single" w:sz="4" w:space="0" w:color="auto"/>
            </w:tcBorders>
            <w:hideMark/>
          </w:tcPr>
          <w:p w14:paraId="2535149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გაფრქვევა</w:t>
            </w:r>
          </w:p>
          <w:p w14:paraId="0063D3C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(გ/წმ)</w:t>
            </w:r>
          </w:p>
        </w:tc>
        <w:tc>
          <w:tcPr>
            <w:tcW w:w="335" w:type="dxa"/>
            <w:tcBorders>
              <w:top w:val="single" w:sz="4" w:space="0" w:color="auto"/>
              <w:left w:val="single" w:sz="4" w:space="0" w:color="auto"/>
              <w:bottom w:val="nil"/>
              <w:right w:val="single" w:sz="4" w:space="0" w:color="auto"/>
            </w:tcBorders>
            <w:hideMark/>
          </w:tcPr>
          <w:p w14:paraId="10BF400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F</w:t>
            </w:r>
          </w:p>
        </w:tc>
        <w:tc>
          <w:tcPr>
            <w:tcW w:w="2832" w:type="dxa"/>
            <w:gridSpan w:val="3"/>
            <w:tcBorders>
              <w:top w:val="single" w:sz="4" w:space="0" w:color="auto"/>
              <w:left w:val="single" w:sz="4" w:space="0" w:color="auto"/>
              <w:bottom w:val="single" w:sz="4" w:space="0" w:color="auto"/>
              <w:right w:val="single" w:sz="4" w:space="0" w:color="auto"/>
            </w:tcBorders>
            <w:hideMark/>
          </w:tcPr>
          <w:p w14:paraId="1406EBE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hideMark/>
          </w:tcPr>
          <w:p w14:paraId="68951C6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ზამთ.</w:t>
            </w:r>
          </w:p>
        </w:tc>
      </w:tr>
      <w:tr w:rsidR="00A2588D" w14:paraId="6DCD8C15" w14:textId="77777777" w:rsidTr="00A2588D">
        <w:trPr>
          <w:jc w:val="center"/>
        </w:trPr>
        <w:tc>
          <w:tcPr>
            <w:tcW w:w="511" w:type="dxa"/>
            <w:tcBorders>
              <w:top w:val="nil"/>
              <w:left w:val="single" w:sz="4" w:space="0" w:color="auto"/>
              <w:bottom w:val="single" w:sz="4" w:space="0" w:color="auto"/>
              <w:right w:val="single" w:sz="4" w:space="0" w:color="auto"/>
            </w:tcBorders>
          </w:tcPr>
          <w:p w14:paraId="5A37790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67" w:type="dxa"/>
            <w:tcBorders>
              <w:top w:val="nil"/>
              <w:left w:val="single" w:sz="4" w:space="0" w:color="auto"/>
              <w:bottom w:val="single" w:sz="4" w:space="0" w:color="auto"/>
              <w:right w:val="single" w:sz="4" w:space="0" w:color="auto"/>
            </w:tcBorders>
          </w:tcPr>
          <w:p w14:paraId="1D2BFDE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3BB77AE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81" w:type="dxa"/>
            <w:tcBorders>
              <w:top w:val="nil"/>
              <w:left w:val="single" w:sz="4" w:space="0" w:color="auto"/>
              <w:bottom w:val="single" w:sz="4" w:space="0" w:color="auto"/>
              <w:right w:val="single" w:sz="4" w:space="0" w:color="auto"/>
            </w:tcBorders>
          </w:tcPr>
          <w:p w14:paraId="08F1D0E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3FE8B6A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314" w:type="dxa"/>
            <w:tcBorders>
              <w:top w:val="nil"/>
              <w:left w:val="single" w:sz="4" w:space="0" w:color="auto"/>
              <w:bottom w:val="single" w:sz="4" w:space="0" w:color="auto"/>
              <w:right w:val="single" w:sz="4" w:space="0" w:color="auto"/>
            </w:tcBorders>
          </w:tcPr>
          <w:p w14:paraId="5DB3814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335" w:type="dxa"/>
            <w:tcBorders>
              <w:top w:val="nil"/>
              <w:left w:val="single" w:sz="4" w:space="0" w:color="auto"/>
              <w:bottom w:val="single" w:sz="4" w:space="0" w:color="auto"/>
              <w:right w:val="single" w:sz="4" w:space="0" w:color="auto"/>
            </w:tcBorders>
          </w:tcPr>
          <w:p w14:paraId="4A744B0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6A6E2BA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905" w:type="dxa"/>
            <w:tcBorders>
              <w:top w:val="single" w:sz="4" w:space="0" w:color="auto"/>
              <w:left w:val="single" w:sz="4" w:space="0" w:color="auto"/>
              <w:bottom w:val="single" w:sz="4" w:space="0" w:color="auto"/>
              <w:right w:val="single" w:sz="4" w:space="0" w:color="auto"/>
            </w:tcBorders>
            <w:hideMark/>
          </w:tcPr>
          <w:p w14:paraId="1F8D415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919" w:type="dxa"/>
            <w:tcBorders>
              <w:top w:val="single" w:sz="4" w:space="0" w:color="auto"/>
              <w:left w:val="single" w:sz="4" w:space="0" w:color="auto"/>
              <w:bottom w:val="single" w:sz="4" w:space="0" w:color="auto"/>
              <w:right w:val="single" w:sz="4" w:space="0" w:color="auto"/>
            </w:tcBorders>
            <w:hideMark/>
          </w:tcPr>
          <w:p w14:paraId="090F9B3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c>
          <w:tcPr>
            <w:tcW w:w="963" w:type="dxa"/>
            <w:tcBorders>
              <w:top w:val="single" w:sz="4" w:space="0" w:color="auto"/>
              <w:left w:val="single" w:sz="4" w:space="0" w:color="auto"/>
              <w:bottom w:val="single" w:sz="4" w:space="0" w:color="auto"/>
              <w:right w:val="single" w:sz="4" w:space="0" w:color="auto"/>
            </w:tcBorders>
            <w:hideMark/>
          </w:tcPr>
          <w:p w14:paraId="36C352B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846" w:type="dxa"/>
            <w:tcBorders>
              <w:top w:val="single" w:sz="4" w:space="0" w:color="auto"/>
              <w:left w:val="single" w:sz="4" w:space="0" w:color="auto"/>
              <w:bottom w:val="single" w:sz="4" w:space="0" w:color="auto"/>
              <w:right w:val="single" w:sz="4" w:space="0" w:color="auto"/>
            </w:tcBorders>
            <w:hideMark/>
          </w:tcPr>
          <w:p w14:paraId="7E4840D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846" w:type="dxa"/>
            <w:tcBorders>
              <w:top w:val="single" w:sz="4" w:space="0" w:color="auto"/>
              <w:left w:val="single" w:sz="4" w:space="0" w:color="auto"/>
              <w:bottom w:val="single" w:sz="4" w:space="0" w:color="auto"/>
              <w:right w:val="single" w:sz="4" w:space="0" w:color="auto"/>
            </w:tcBorders>
            <w:hideMark/>
          </w:tcPr>
          <w:p w14:paraId="34EC719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r>
      <w:tr w:rsidR="00A2588D" w14:paraId="646753D9"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0183FB9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3F5884C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41EAE930"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481" w:type="dxa"/>
            <w:tcBorders>
              <w:top w:val="single" w:sz="4" w:space="0" w:color="auto"/>
              <w:left w:val="single" w:sz="4" w:space="0" w:color="auto"/>
              <w:bottom w:val="single" w:sz="4" w:space="0" w:color="auto"/>
              <w:right w:val="single" w:sz="4" w:space="0" w:color="auto"/>
            </w:tcBorders>
            <w:hideMark/>
          </w:tcPr>
          <w:p w14:paraId="6C00B76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5" w:type="dxa"/>
            <w:tcBorders>
              <w:top w:val="single" w:sz="4" w:space="0" w:color="auto"/>
              <w:left w:val="single" w:sz="4" w:space="0" w:color="auto"/>
              <w:bottom w:val="single" w:sz="4" w:space="0" w:color="auto"/>
              <w:right w:val="single" w:sz="4" w:space="0" w:color="auto"/>
            </w:tcBorders>
            <w:hideMark/>
          </w:tcPr>
          <w:p w14:paraId="7288792D"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789DAB4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0327924</w:t>
            </w:r>
          </w:p>
        </w:tc>
        <w:tc>
          <w:tcPr>
            <w:tcW w:w="335" w:type="dxa"/>
            <w:tcBorders>
              <w:top w:val="single" w:sz="4" w:space="0" w:color="auto"/>
              <w:left w:val="single" w:sz="4" w:space="0" w:color="auto"/>
              <w:bottom w:val="single" w:sz="4" w:space="0" w:color="auto"/>
              <w:right w:val="single" w:sz="4" w:space="0" w:color="auto"/>
            </w:tcBorders>
            <w:hideMark/>
          </w:tcPr>
          <w:p w14:paraId="53C1C83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4C29FF8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6904</w:t>
            </w:r>
          </w:p>
        </w:tc>
        <w:tc>
          <w:tcPr>
            <w:tcW w:w="905" w:type="dxa"/>
            <w:tcBorders>
              <w:top w:val="single" w:sz="4" w:space="0" w:color="auto"/>
              <w:left w:val="single" w:sz="4" w:space="0" w:color="auto"/>
              <w:bottom w:val="single" w:sz="4" w:space="0" w:color="auto"/>
              <w:right w:val="single" w:sz="4" w:space="0" w:color="auto"/>
            </w:tcBorders>
            <w:hideMark/>
          </w:tcPr>
          <w:p w14:paraId="023DB8D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14E7CF5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1C09226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6904</w:t>
            </w:r>
          </w:p>
        </w:tc>
        <w:tc>
          <w:tcPr>
            <w:tcW w:w="846" w:type="dxa"/>
            <w:tcBorders>
              <w:top w:val="single" w:sz="4" w:space="0" w:color="auto"/>
              <w:left w:val="single" w:sz="4" w:space="0" w:color="auto"/>
              <w:bottom w:val="single" w:sz="4" w:space="0" w:color="auto"/>
              <w:right w:val="single" w:sz="4" w:space="0" w:color="auto"/>
            </w:tcBorders>
            <w:hideMark/>
          </w:tcPr>
          <w:p w14:paraId="2579C14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846" w:type="dxa"/>
            <w:tcBorders>
              <w:top w:val="single" w:sz="4" w:space="0" w:color="auto"/>
              <w:left w:val="single" w:sz="4" w:space="0" w:color="auto"/>
              <w:bottom w:val="single" w:sz="4" w:space="0" w:color="auto"/>
              <w:right w:val="single" w:sz="4" w:space="0" w:color="auto"/>
            </w:tcBorders>
            <w:hideMark/>
          </w:tcPr>
          <w:p w14:paraId="4AF998C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5E9D182D"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6B089D3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4483808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03E75E9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481" w:type="dxa"/>
            <w:tcBorders>
              <w:top w:val="single" w:sz="4" w:space="0" w:color="auto"/>
              <w:left w:val="single" w:sz="4" w:space="0" w:color="auto"/>
              <w:bottom w:val="single" w:sz="4" w:space="0" w:color="auto"/>
              <w:right w:val="single" w:sz="4" w:space="0" w:color="auto"/>
            </w:tcBorders>
            <w:hideMark/>
          </w:tcPr>
          <w:p w14:paraId="5E2497A0"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5" w:type="dxa"/>
            <w:tcBorders>
              <w:top w:val="single" w:sz="4" w:space="0" w:color="auto"/>
              <w:left w:val="single" w:sz="4" w:space="0" w:color="auto"/>
              <w:bottom w:val="single" w:sz="4" w:space="0" w:color="auto"/>
              <w:right w:val="single" w:sz="4" w:space="0" w:color="auto"/>
            </w:tcBorders>
            <w:hideMark/>
          </w:tcPr>
          <w:p w14:paraId="3CD9CDF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0AC015D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0327924</w:t>
            </w:r>
          </w:p>
        </w:tc>
        <w:tc>
          <w:tcPr>
            <w:tcW w:w="335" w:type="dxa"/>
            <w:tcBorders>
              <w:top w:val="single" w:sz="4" w:space="0" w:color="auto"/>
              <w:left w:val="single" w:sz="4" w:space="0" w:color="auto"/>
              <w:bottom w:val="single" w:sz="4" w:space="0" w:color="auto"/>
              <w:right w:val="single" w:sz="4" w:space="0" w:color="auto"/>
            </w:tcBorders>
            <w:hideMark/>
          </w:tcPr>
          <w:p w14:paraId="0613868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361D525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6904</w:t>
            </w:r>
          </w:p>
        </w:tc>
        <w:tc>
          <w:tcPr>
            <w:tcW w:w="905" w:type="dxa"/>
            <w:tcBorders>
              <w:top w:val="single" w:sz="4" w:space="0" w:color="auto"/>
              <w:left w:val="single" w:sz="4" w:space="0" w:color="auto"/>
              <w:bottom w:val="single" w:sz="4" w:space="0" w:color="auto"/>
              <w:right w:val="single" w:sz="4" w:space="0" w:color="auto"/>
            </w:tcBorders>
            <w:hideMark/>
          </w:tcPr>
          <w:p w14:paraId="1DEDD21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47A286F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411F8E5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6904</w:t>
            </w:r>
          </w:p>
        </w:tc>
        <w:tc>
          <w:tcPr>
            <w:tcW w:w="846" w:type="dxa"/>
            <w:tcBorders>
              <w:top w:val="single" w:sz="4" w:space="0" w:color="auto"/>
              <w:left w:val="single" w:sz="4" w:space="0" w:color="auto"/>
              <w:bottom w:val="single" w:sz="4" w:space="0" w:color="auto"/>
              <w:right w:val="single" w:sz="4" w:space="0" w:color="auto"/>
            </w:tcBorders>
            <w:hideMark/>
          </w:tcPr>
          <w:p w14:paraId="72A366D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846" w:type="dxa"/>
            <w:tcBorders>
              <w:top w:val="single" w:sz="4" w:space="0" w:color="auto"/>
              <w:left w:val="single" w:sz="4" w:space="0" w:color="auto"/>
              <w:bottom w:val="single" w:sz="4" w:space="0" w:color="auto"/>
              <w:right w:val="single" w:sz="4" w:space="0" w:color="auto"/>
            </w:tcBorders>
            <w:hideMark/>
          </w:tcPr>
          <w:p w14:paraId="01ACD61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6EA7985B"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4BB5538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0653844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4D0707F0"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8</w:t>
            </w:r>
          </w:p>
        </w:tc>
        <w:tc>
          <w:tcPr>
            <w:tcW w:w="481" w:type="dxa"/>
            <w:tcBorders>
              <w:top w:val="single" w:sz="4" w:space="0" w:color="auto"/>
              <w:left w:val="single" w:sz="4" w:space="0" w:color="auto"/>
              <w:bottom w:val="single" w:sz="4" w:space="0" w:color="auto"/>
              <w:right w:val="single" w:sz="4" w:space="0" w:color="auto"/>
            </w:tcBorders>
            <w:hideMark/>
          </w:tcPr>
          <w:p w14:paraId="21C8621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525" w:type="dxa"/>
            <w:tcBorders>
              <w:top w:val="single" w:sz="4" w:space="0" w:color="auto"/>
              <w:left w:val="single" w:sz="4" w:space="0" w:color="auto"/>
              <w:bottom w:val="single" w:sz="4" w:space="0" w:color="auto"/>
              <w:right w:val="single" w:sz="4" w:space="0" w:color="auto"/>
            </w:tcBorders>
            <w:hideMark/>
          </w:tcPr>
          <w:p w14:paraId="1F681FB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78967A8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0457778</w:t>
            </w:r>
          </w:p>
        </w:tc>
        <w:tc>
          <w:tcPr>
            <w:tcW w:w="335" w:type="dxa"/>
            <w:tcBorders>
              <w:top w:val="single" w:sz="4" w:space="0" w:color="auto"/>
              <w:left w:val="single" w:sz="4" w:space="0" w:color="auto"/>
              <w:bottom w:val="single" w:sz="4" w:space="0" w:color="auto"/>
              <w:right w:val="single" w:sz="4" w:space="0" w:color="auto"/>
            </w:tcBorders>
            <w:hideMark/>
          </w:tcPr>
          <w:p w14:paraId="3FE6E02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1732666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2560</w:t>
            </w:r>
          </w:p>
        </w:tc>
        <w:tc>
          <w:tcPr>
            <w:tcW w:w="905" w:type="dxa"/>
            <w:tcBorders>
              <w:top w:val="single" w:sz="4" w:space="0" w:color="auto"/>
              <w:left w:val="single" w:sz="4" w:space="0" w:color="auto"/>
              <w:bottom w:val="single" w:sz="4" w:space="0" w:color="auto"/>
              <w:right w:val="single" w:sz="4" w:space="0" w:color="auto"/>
            </w:tcBorders>
            <w:hideMark/>
          </w:tcPr>
          <w:p w14:paraId="038E56C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68</w:t>
            </w:r>
            <w:r>
              <w:rPr>
                <w:rFonts w:ascii="Sylfaen" w:hAnsi="Sylfaen" w:cs="Arial"/>
                <w:sz w:val="20"/>
                <w:szCs w:val="20"/>
                <w:lang w:val="ka-GE"/>
              </w:rPr>
              <w:t>,</w:t>
            </w:r>
            <w:r>
              <w:rPr>
                <w:rFonts w:ascii="Sylfaen" w:hAnsi="Sylfaen"/>
                <w:sz w:val="20"/>
                <w:szCs w:val="20"/>
                <w:lang w:val="ka-GE"/>
              </w:rPr>
              <w:t>79</w:t>
            </w:r>
          </w:p>
        </w:tc>
        <w:tc>
          <w:tcPr>
            <w:tcW w:w="919" w:type="dxa"/>
            <w:tcBorders>
              <w:top w:val="single" w:sz="4" w:space="0" w:color="auto"/>
              <w:left w:val="single" w:sz="4" w:space="0" w:color="auto"/>
              <w:bottom w:val="single" w:sz="4" w:space="0" w:color="auto"/>
              <w:right w:val="single" w:sz="4" w:space="0" w:color="auto"/>
            </w:tcBorders>
            <w:hideMark/>
          </w:tcPr>
          <w:p w14:paraId="06A3EB5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w:t>
            </w:r>
            <w:r>
              <w:rPr>
                <w:rFonts w:ascii="Sylfaen" w:hAnsi="Sylfaen"/>
                <w:sz w:val="20"/>
                <w:szCs w:val="20"/>
                <w:lang w:val="ka-GE"/>
              </w:rPr>
              <w:t>9158</w:t>
            </w:r>
          </w:p>
        </w:tc>
        <w:tc>
          <w:tcPr>
            <w:tcW w:w="963" w:type="dxa"/>
            <w:tcBorders>
              <w:top w:val="single" w:sz="4" w:space="0" w:color="auto"/>
              <w:left w:val="single" w:sz="4" w:space="0" w:color="auto"/>
              <w:bottom w:val="single" w:sz="4" w:space="0" w:color="auto"/>
              <w:right w:val="single" w:sz="4" w:space="0" w:color="auto"/>
            </w:tcBorders>
            <w:hideMark/>
          </w:tcPr>
          <w:p w14:paraId="5987E9F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2527</w:t>
            </w:r>
          </w:p>
        </w:tc>
        <w:tc>
          <w:tcPr>
            <w:tcW w:w="846" w:type="dxa"/>
            <w:tcBorders>
              <w:top w:val="single" w:sz="4" w:space="0" w:color="auto"/>
              <w:left w:val="single" w:sz="4" w:space="0" w:color="auto"/>
              <w:bottom w:val="single" w:sz="4" w:space="0" w:color="auto"/>
              <w:right w:val="single" w:sz="4" w:space="0" w:color="auto"/>
            </w:tcBorders>
            <w:hideMark/>
          </w:tcPr>
          <w:p w14:paraId="4E2719D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69</w:t>
            </w:r>
            <w:r>
              <w:rPr>
                <w:rFonts w:ascii="Sylfaen" w:hAnsi="Sylfaen" w:cs="Arial"/>
                <w:sz w:val="20"/>
                <w:szCs w:val="20"/>
                <w:lang w:val="ka-GE"/>
              </w:rPr>
              <w:t>,</w:t>
            </w:r>
            <w:r>
              <w:rPr>
                <w:rFonts w:ascii="Sylfaen" w:hAnsi="Sylfaen"/>
                <w:sz w:val="20"/>
                <w:szCs w:val="20"/>
                <w:lang w:val="ka-GE"/>
              </w:rPr>
              <w:t>99</w:t>
            </w:r>
          </w:p>
        </w:tc>
        <w:tc>
          <w:tcPr>
            <w:tcW w:w="846" w:type="dxa"/>
            <w:tcBorders>
              <w:top w:val="single" w:sz="4" w:space="0" w:color="auto"/>
              <w:left w:val="single" w:sz="4" w:space="0" w:color="auto"/>
              <w:bottom w:val="single" w:sz="4" w:space="0" w:color="auto"/>
              <w:right w:val="single" w:sz="4" w:space="0" w:color="auto"/>
            </w:tcBorders>
            <w:hideMark/>
          </w:tcPr>
          <w:p w14:paraId="4D16618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w:t>
            </w:r>
            <w:r>
              <w:rPr>
                <w:rFonts w:ascii="Sylfaen" w:hAnsi="Sylfaen"/>
                <w:sz w:val="20"/>
                <w:szCs w:val="20"/>
                <w:lang w:val="ka-GE"/>
              </w:rPr>
              <w:t>9640</w:t>
            </w:r>
          </w:p>
        </w:tc>
      </w:tr>
      <w:tr w:rsidR="00A2588D" w14:paraId="466D6345"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2E8CDCF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6D06882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2EA36EB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9</w:t>
            </w:r>
          </w:p>
        </w:tc>
        <w:tc>
          <w:tcPr>
            <w:tcW w:w="481" w:type="dxa"/>
            <w:tcBorders>
              <w:top w:val="single" w:sz="4" w:space="0" w:color="auto"/>
              <w:left w:val="single" w:sz="4" w:space="0" w:color="auto"/>
              <w:bottom w:val="single" w:sz="4" w:space="0" w:color="auto"/>
              <w:right w:val="single" w:sz="4" w:space="0" w:color="auto"/>
            </w:tcBorders>
            <w:hideMark/>
          </w:tcPr>
          <w:p w14:paraId="4EDAE48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5" w:type="dxa"/>
            <w:tcBorders>
              <w:top w:val="single" w:sz="4" w:space="0" w:color="auto"/>
              <w:left w:val="single" w:sz="4" w:space="0" w:color="auto"/>
              <w:bottom w:val="single" w:sz="4" w:space="0" w:color="auto"/>
              <w:right w:val="single" w:sz="4" w:space="0" w:color="auto"/>
            </w:tcBorders>
            <w:hideMark/>
          </w:tcPr>
          <w:p w14:paraId="3E7CFF0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5C50AB6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0032809</w:t>
            </w:r>
          </w:p>
        </w:tc>
        <w:tc>
          <w:tcPr>
            <w:tcW w:w="335" w:type="dxa"/>
            <w:tcBorders>
              <w:top w:val="single" w:sz="4" w:space="0" w:color="auto"/>
              <w:left w:val="single" w:sz="4" w:space="0" w:color="auto"/>
              <w:bottom w:val="single" w:sz="4" w:space="0" w:color="auto"/>
              <w:right w:val="single" w:sz="4" w:space="0" w:color="auto"/>
            </w:tcBorders>
            <w:hideMark/>
          </w:tcPr>
          <w:p w14:paraId="1DCC4B9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417B8F2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0691</w:t>
            </w:r>
          </w:p>
        </w:tc>
        <w:tc>
          <w:tcPr>
            <w:tcW w:w="905" w:type="dxa"/>
            <w:tcBorders>
              <w:top w:val="single" w:sz="4" w:space="0" w:color="auto"/>
              <w:left w:val="single" w:sz="4" w:space="0" w:color="auto"/>
              <w:bottom w:val="single" w:sz="4" w:space="0" w:color="auto"/>
              <w:right w:val="single" w:sz="4" w:space="0" w:color="auto"/>
            </w:tcBorders>
            <w:hideMark/>
          </w:tcPr>
          <w:p w14:paraId="3C30B69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33D8D73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20C5C44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0691</w:t>
            </w:r>
          </w:p>
        </w:tc>
        <w:tc>
          <w:tcPr>
            <w:tcW w:w="846" w:type="dxa"/>
            <w:tcBorders>
              <w:top w:val="single" w:sz="4" w:space="0" w:color="auto"/>
              <w:left w:val="single" w:sz="4" w:space="0" w:color="auto"/>
              <w:bottom w:val="single" w:sz="4" w:space="0" w:color="auto"/>
              <w:right w:val="single" w:sz="4" w:space="0" w:color="auto"/>
            </w:tcBorders>
            <w:hideMark/>
          </w:tcPr>
          <w:p w14:paraId="5E06D8F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846" w:type="dxa"/>
            <w:tcBorders>
              <w:top w:val="single" w:sz="4" w:space="0" w:color="auto"/>
              <w:left w:val="single" w:sz="4" w:space="0" w:color="auto"/>
              <w:bottom w:val="single" w:sz="4" w:space="0" w:color="auto"/>
              <w:right w:val="single" w:sz="4" w:space="0" w:color="auto"/>
            </w:tcBorders>
            <w:hideMark/>
          </w:tcPr>
          <w:p w14:paraId="47BD5B8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71ECB16D" w14:textId="77777777" w:rsidTr="00A2588D">
        <w:trPr>
          <w:jc w:val="center"/>
        </w:trPr>
        <w:tc>
          <w:tcPr>
            <w:tcW w:w="2511" w:type="dxa"/>
            <w:gridSpan w:val="5"/>
            <w:tcBorders>
              <w:top w:val="single" w:sz="4" w:space="0" w:color="auto"/>
              <w:left w:val="single" w:sz="4" w:space="0" w:color="auto"/>
              <w:bottom w:val="single" w:sz="4" w:space="0" w:color="auto"/>
              <w:right w:val="single" w:sz="4" w:space="0" w:color="auto"/>
            </w:tcBorders>
            <w:hideMark/>
          </w:tcPr>
          <w:p w14:paraId="6D86395C" w14:textId="77777777" w:rsidR="00A2588D" w:rsidRDefault="00A2588D" w:rsidP="00A2588D">
            <w:pPr>
              <w:widowControl w:val="0"/>
              <w:autoSpaceDE w:val="0"/>
              <w:autoSpaceDN w:val="0"/>
              <w:adjustRightInd w:val="0"/>
              <w:ind w:left="11"/>
              <w:rPr>
                <w:rFonts w:ascii="Sylfaen" w:hAnsi="Sylfaen" w:cs="Arial"/>
                <w:b/>
                <w:bCs/>
                <w:sz w:val="20"/>
                <w:szCs w:val="20"/>
                <w:lang w:val="ka-GE"/>
              </w:rPr>
            </w:pPr>
            <w:r>
              <w:rPr>
                <w:rFonts w:ascii="Sylfaen" w:hAnsi="Sylfaen" w:cs="Arial"/>
                <w:b/>
                <w:bCs/>
                <w:sz w:val="20"/>
                <w:szCs w:val="20"/>
                <w:lang w:val="ka-GE"/>
              </w:rPr>
              <w:t>სულ:</w:t>
            </w:r>
          </w:p>
        </w:tc>
        <w:tc>
          <w:tcPr>
            <w:tcW w:w="1314" w:type="dxa"/>
            <w:tcBorders>
              <w:top w:val="single" w:sz="4" w:space="0" w:color="auto"/>
              <w:left w:val="single" w:sz="4" w:space="0" w:color="auto"/>
              <w:bottom w:val="single" w:sz="4" w:space="0" w:color="auto"/>
              <w:right w:val="single" w:sz="4" w:space="0" w:color="auto"/>
            </w:tcBorders>
            <w:hideMark/>
          </w:tcPr>
          <w:p w14:paraId="515382D2"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1146435</w:t>
            </w:r>
          </w:p>
        </w:tc>
        <w:tc>
          <w:tcPr>
            <w:tcW w:w="335" w:type="dxa"/>
            <w:tcBorders>
              <w:top w:val="single" w:sz="4" w:space="0" w:color="auto"/>
              <w:left w:val="single" w:sz="4" w:space="0" w:color="auto"/>
              <w:bottom w:val="single" w:sz="4" w:space="0" w:color="auto"/>
              <w:right w:val="single" w:sz="4" w:space="0" w:color="auto"/>
            </w:tcBorders>
          </w:tcPr>
          <w:p w14:paraId="0BCE8AA2"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0DA92240"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1</w:t>
            </w:r>
            <w:r>
              <w:rPr>
                <w:rFonts w:ascii="Sylfaen" w:hAnsi="Sylfaen" w:cs="Arial"/>
                <w:b/>
                <w:bCs/>
                <w:sz w:val="20"/>
                <w:szCs w:val="20"/>
                <w:lang w:val="ka-GE"/>
              </w:rPr>
              <w:t>,</w:t>
            </w:r>
            <w:r>
              <w:rPr>
                <w:rFonts w:ascii="Sylfaen" w:hAnsi="Sylfaen"/>
                <w:b/>
                <w:bCs/>
                <w:sz w:val="20"/>
                <w:szCs w:val="20"/>
                <w:lang w:val="ka-GE"/>
              </w:rPr>
              <w:t>7059</w:t>
            </w:r>
          </w:p>
        </w:tc>
        <w:tc>
          <w:tcPr>
            <w:tcW w:w="1825" w:type="dxa"/>
            <w:gridSpan w:val="2"/>
            <w:tcBorders>
              <w:top w:val="single" w:sz="4" w:space="0" w:color="auto"/>
              <w:left w:val="single" w:sz="4" w:space="0" w:color="auto"/>
              <w:bottom w:val="single" w:sz="4" w:space="0" w:color="auto"/>
              <w:right w:val="single" w:sz="4" w:space="0" w:color="auto"/>
            </w:tcBorders>
          </w:tcPr>
          <w:p w14:paraId="2C93A9F9"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963" w:type="dxa"/>
            <w:tcBorders>
              <w:top w:val="single" w:sz="4" w:space="0" w:color="auto"/>
              <w:left w:val="single" w:sz="4" w:space="0" w:color="auto"/>
              <w:bottom w:val="single" w:sz="4" w:space="0" w:color="auto"/>
              <w:right w:val="single" w:sz="4" w:space="0" w:color="auto"/>
            </w:tcBorders>
            <w:hideMark/>
          </w:tcPr>
          <w:p w14:paraId="37EC7C31"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1</w:t>
            </w:r>
            <w:r>
              <w:rPr>
                <w:rFonts w:ascii="Sylfaen" w:hAnsi="Sylfaen" w:cs="Arial"/>
                <w:b/>
                <w:bCs/>
                <w:sz w:val="20"/>
                <w:szCs w:val="20"/>
                <w:lang w:val="ka-GE"/>
              </w:rPr>
              <w:t>,</w:t>
            </w:r>
            <w:r>
              <w:rPr>
                <w:rFonts w:ascii="Sylfaen" w:hAnsi="Sylfaen"/>
                <w:b/>
                <w:bCs/>
                <w:sz w:val="20"/>
                <w:szCs w:val="20"/>
                <w:lang w:val="ka-GE"/>
              </w:rPr>
              <w:t>7025</w:t>
            </w:r>
          </w:p>
        </w:tc>
        <w:tc>
          <w:tcPr>
            <w:tcW w:w="1693" w:type="dxa"/>
            <w:gridSpan w:val="2"/>
            <w:tcBorders>
              <w:top w:val="single" w:sz="4" w:space="0" w:color="auto"/>
              <w:left w:val="single" w:sz="4" w:space="0" w:color="auto"/>
              <w:bottom w:val="single" w:sz="4" w:space="0" w:color="auto"/>
              <w:right w:val="single" w:sz="4" w:space="0" w:color="auto"/>
            </w:tcBorders>
          </w:tcPr>
          <w:p w14:paraId="06652943" w14:textId="77777777" w:rsidR="00A2588D" w:rsidRDefault="00A2588D" w:rsidP="00A2588D">
            <w:pPr>
              <w:widowControl w:val="0"/>
              <w:autoSpaceDE w:val="0"/>
              <w:autoSpaceDN w:val="0"/>
              <w:adjustRightInd w:val="0"/>
              <w:ind w:left="11"/>
              <w:rPr>
                <w:rFonts w:ascii="Sylfaen" w:hAnsi="Sylfaen" w:cs="Arial"/>
                <w:sz w:val="20"/>
                <w:szCs w:val="20"/>
                <w:lang w:val="ka-GE"/>
              </w:rPr>
            </w:pPr>
          </w:p>
        </w:tc>
      </w:tr>
    </w:tbl>
    <w:p w14:paraId="205F846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0B6658B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0304</w:t>
      </w:r>
      <w:r>
        <w:rPr>
          <w:rFonts w:ascii="Sylfaen" w:hAnsi="Sylfaen" w:cs="Arial"/>
          <w:b/>
          <w:bCs/>
          <w:sz w:val="20"/>
          <w:szCs w:val="20"/>
          <w:lang w:val="ka-GE"/>
        </w:rPr>
        <w:t xml:space="preserve">   აზოტის (II) ოქსიდი (აზოტის ოქსიდი)</w:t>
      </w:r>
    </w:p>
    <w:p w14:paraId="7066A917"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511"/>
        <w:gridCol w:w="467"/>
        <w:gridCol w:w="525"/>
        <w:gridCol w:w="481"/>
        <w:gridCol w:w="527"/>
        <w:gridCol w:w="1314"/>
        <w:gridCol w:w="335"/>
        <w:gridCol w:w="1007"/>
        <w:gridCol w:w="905"/>
        <w:gridCol w:w="920"/>
        <w:gridCol w:w="963"/>
        <w:gridCol w:w="846"/>
        <w:gridCol w:w="848"/>
      </w:tblGrid>
      <w:tr w:rsidR="00A2588D" w14:paraId="099A4937" w14:textId="77777777" w:rsidTr="00A2588D">
        <w:trPr>
          <w:jc w:val="center"/>
        </w:trPr>
        <w:tc>
          <w:tcPr>
            <w:tcW w:w="511" w:type="dxa"/>
            <w:tcBorders>
              <w:top w:val="single" w:sz="4" w:space="0" w:color="auto"/>
              <w:left w:val="single" w:sz="4" w:space="0" w:color="auto"/>
              <w:bottom w:val="nil"/>
              <w:right w:val="single" w:sz="4" w:space="0" w:color="auto"/>
            </w:tcBorders>
            <w:hideMark/>
          </w:tcPr>
          <w:p w14:paraId="2D71C92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013F738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მოედ.</w:t>
            </w:r>
          </w:p>
        </w:tc>
        <w:tc>
          <w:tcPr>
            <w:tcW w:w="467" w:type="dxa"/>
            <w:tcBorders>
              <w:top w:val="single" w:sz="4" w:space="0" w:color="auto"/>
              <w:left w:val="single" w:sz="4" w:space="0" w:color="auto"/>
              <w:bottom w:val="nil"/>
              <w:right w:val="single" w:sz="4" w:space="0" w:color="auto"/>
            </w:tcBorders>
            <w:hideMark/>
          </w:tcPr>
          <w:p w14:paraId="7A3FD40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7DB56C5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საამქ.</w:t>
            </w:r>
          </w:p>
        </w:tc>
        <w:tc>
          <w:tcPr>
            <w:tcW w:w="525" w:type="dxa"/>
            <w:tcBorders>
              <w:top w:val="single" w:sz="4" w:space="0" w:color="auto"/>
              <w:left w:val="single" w:sz="4" w:space="0" w:color="auto"/>
              <w:bottom w:val="nil"/>
              <w:right w:val="single" w:sz="4" w:space="0" w:color="auto"/>
            </w:tcBorders>
            <w:hideMark/>
          </w:tcPr>
          <w:p w14:paraId="340AA86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17EBBDC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წყაროს</w:t>
            </w:r>
          </w:p>
        </w:tc>
        <w:tc>
          <w:tcPr>
            <w:tcW w:w="481" w:type="dxa"/>
            <w:tcBorders>
              <w:top w:val="single" w:sz="4" w:space="0" w:color="auto"/>
              <w:left w:val="single" w:sz="4" w:space="0" w:color="auto"/>
              <w:bottom w:val="nil"/>
              <w:right w:val="single" w:sz="4" w:space="0" w:color="auto"/>
            </w:tcBorders>
            <w:hideMark/>
          </w:tcPr>
          <w:p w14:paraId="49DB676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ტიპი</w:t>
            </w:r>
          </w:p>
        </w:tc>
        <w:tc>
          <w:tcPr>
            <w:tcW w:w="525" w:type="dxa"/>
            <w:tcBorders>
              <w:top w:val="single" w:sz="4" w:space="0" w:color="auto"/>
              <w:left w:val="single" w:sz="4" w:space="0" w:color="auto"/>
              <w:bottom w:val="nil"/>
              <w:right w:val="single" w:sz="4" w:space="0" w:color="auto"/>
            </w:tcBorders>
            <w:hideMark/>
          </w:tcPr>
          <w:p w14:paraId="011A056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აღრიცხვა</w:t>
            </w:r>
          </w:p>
        </w:tc>
        <w:tc>
          <w:tcPr>
            <w:tcW w:w="1314" w:type="dxa"/>
            <w:tcBorders>
              <w:top w:val="single" w:sz="4" w:space="0" w:color="auto"/>
              <w:left w:val="single" w:sz="4" w:space="0" w:color="auto"/>
              <w:bottom w:val="nil"/>
              <w:right w:val="single" w:sz="4" w:space="0" w:color="auto"/>
            </w:tcBorders>
            <w:hideMark/>
          </w:tcPr>
          <w:p w14:paraId="5E4D077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გაფრქვევა</w:t>
            </w:r>
          </w:p>
          <w:p w14:paraId="4C2561E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(გ/წმ)</w:t>
            </w:r>
          </w:p>
        </w:tc>
        <w:tc>
          <w:tcPr>
            <w:tcW w:w="335" w:type="dxa"/>
            <w:tcBorders>
              <w:top w:val="single" w:sz="4" w:space="0" w:color="auto"/>
              <w:left w:val="single" w:sz="4" w:space="0" w:color="auto"/>
              <w:bottom w:val="nil"/>
              <w:right w:val="single" w:sz="4" w:space="0" w:color="auto"/>
            </w:tcBorders>
            <w:hideMark/>
          </w:tcPr>
          <w:p w14:paraId="5129231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F</w:t>
            </w:r>
          </w:p>
        </w:tc>
        <w:tc>
          <w:tcPr>
            <w:tcW w:w="2832" w:type="dxa"/>
            <w:gridSpan w:val="3"/>
            <w:tcBorders>
              <w:top w:val="single" w:sz="4" w:space="0" w:color="auto"/>
              <w:left w:val="single" w:sz="4" w:space="0" w:color="auto"/>
              <w:bottom w:val="single" w:sz="4" w:space="0" w:color="auto"/>
              <w:right w:val="single" w:sz="4" w:space="0" w:color="auto"/>
            </w:tcBorders>
            <w:hideMark/>
          </w:tcPr>
          <w:p w14:paraId="3234438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hideMark/>
          </w:tcPr>
          <w:p w14:paraId="1A1097B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ზამთ.</w:t>
            </w:r>
          </w:p>
        </w:tc>
      </w:tr>
      <w:tr w:rsidR="00A2588D" w14:paraId="3CA9A151" w14:textId="77777777" w:rsidTr="00A2588D">
        <w:trPr>
          <w:jc w:val="center"/>
        </w:trPr>
        <w:tc>
          <w:tcPr>
            <w:tcW w:w="511" w:type="dxa"/>
            <w:tcBorders>
              <w:top w:val="nil"/>
              <w:left w:val="single" w:sz="4" w:space="0" w:color="auto"/>
              <w:bottom w:val="single" w:sz="4" w:space="0" w:color="auto"/>
              <w:right w:val="single" w:sz="4" w:space="0" w:color="auto"/>
            </w:tcBorders>
          </w:tcPr>
          <w:p w14:paraId="7EF779C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67" w:type="dxa"/>
            <w:tcBorders>
              <w:top w:val="nil"/>
              <w:left w:val="single" w:sz="4" w:space="0" w:color="auto"/>
              <w:bottom w:val="single" w:sz="4" w:space="0" w:color="auto"/>
              <w:right w:val="single" w:sz="4" w:space="0" w:color="auto"/>
            </w:tcBorders>
          </w:tcPr>
          <w:p w14:paraId="7706B27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56FA231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81" w:type="dxa"/>
            <w:tcBorders>
              <w:top w:val="nil"/>
              <w:left w:val="single" w:sz="4" w:space="0" w:color="auto"/>
              <w:bottom w:val="single" w:sz="4" w:space="0" w:color="auto"/>
              <w:right w:val="single" w:sz="4" w:space="0" w:color="auto"/>
            </w:tcBorders>
          </w:tcPr>
          <w:p w14:paraId="55207C9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5A59CF1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314" w:type="dxa"/>
            <w:tcBorders>
              <w:top w:val="nil"/>
              <w:left w:val="single" w:sz="4" w:space="0" w:color="auto"/>
              <w:bottom w:val="single" w:sz="4" w:space="0" w:color="auto"/>
              <w:right w:val="single" w:sz="4" w:space="0" w:color="auto"/>
            </w:tcBorders>
          </w:tcPr>
          <w:p w14:paraId="426B158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335" w:type="dxa"/>
            <w:tcBorders>
              <w:top w:val="nil"/>
              <w:left w:val="single" w:sz="4" w:space="0" w:color="auto"/>
              <w:bottom w:val="single" w:sz="4" w:space="0" w:color="auto"/>
              <w:right w:val="single" w:sz="4" w:space="0" w:color="auto"/>
            </w:tcBorders>
          </w:tcPr>
          <w:p w14:paraId="2124AF6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176A15C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905" w:type="dxa"/>
            <w:tcBorders>
              <w:top w:val="single" w:sz="4" w:space="0" w:color="auto"/>
              <w:left w:val="single" w:sz="4" w:space="0" w:color="auto"/>
              <w:bottom w:val="single" w:sz="4" w:space="0" w:color="auto"/>
              <w:right w:val="single" w:sz="4" w:space="0" w:color="auto"/>
            </w:tcBorders>
            <w:hideMark/>
          </w:tcPr>
          <w:p w14:paraId="5BD33E5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919" w:type="dxa"/>
            <w:tcBorders>
              <w:top w:val="single" w:sz="4" w:space="0" w:color="auto"/>
              <w:left w:val="single" w:sz="4" w:space="0" w:color="auto"/>
              <w:bottom w:val="single" w:sz="4" w:space="0" w:color="auto"/>
              <w:right w:val="single" w:sz="4" w:space="0" w:color="auto"/>
            </w:tcBorders>
            <w:hideMark/>
          </w:tcPr>
          <w:p w14:paraId="520AE2B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c>
          <w:tcPr>
            <w:tcW w:w="963" w:type="dxa"/>
            <w:tcBorders>
              <w:top w:val="single" w:sz="4" w:space="0" w:color="auto"/>
              <w:left w:val="single" w:sz="4" w:space="0" w:color="auto"/>
              <w:bottom w:val="single" w:sz="4" w:space="0" w:color="auto"/>
              <w:right w:val="single" w:sz="4" w:space="0" w:color="auto"/>
            </w:tcBorders>
            <w:hideMark/>
          </w:tcPr>
          <w:p w14:paraId="06A8B49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846" w:type="dxa"/>
            <w:tcBorders>
              <w:top w:val="single" w:sz="4" w:space="0" w:color="auto"/>
              <w:left w:val="single" w:sz="4" w:space="0" w:color="auto"/>
              <w:bottom w:val="single" w:sz="4" w:space="0" w:color="auto"/>
              <w:right w:val="single" w:sz="4" w:space="0" w:color="auto"/>
            </w:tcBorders>
            <w:hideMark/>
          </w:tcPr>
          <w:p w14:paraId="1125C9F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846" w:type="dxa"/>
            <w:tcBorders>
              <w:top w:val="single" w:sz="4" w:space="0" w:color="auto"/>
              <w:left w:val="single" w:sz="4" w:space="0" w:color="auto"/>
              <w:bottom w:val="single" w:sz="4" w:space="0" w:color="auto"/>
              <w:right w:val="single" w:sz="4" w:space="0" w:color="auto"/>
            </w:tcBorders>
            <w:hideMark/>
          </w:tcPr>
          <w:p w14:paraId="71C20E4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r>
      <w:tr w:rsidR="00A2588D" w14:paraId="1981C35A"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529E61D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211C3E8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5397E7E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481" w:type="dxa"/>
            <w:tcBorders>
              <w:top w:val="single" w:sz="4" w:space="0" w:color="auto"/>
              <w:left w:val="single" w:sz="4" w:space="0" w:color="auto"/>
              <w:bottom w:val="single" w:sz="4" w:space="0" w:color="auto"/>
              <w:right w:val="single" w:sz="4" w:space="0" w:color="auto"/>
            </w:tcBorders>
            <w:hideMark/>
          </w:tcPr>
          <w:p w14:paraId="05A89CD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5" w:type="dxa"/>
            <w:tcBorders>
              <w:top w:val="single" w:sz="4" w:space="0" w:color="auto"/>
              <w:left w:val="single" w:sz="4" w:space="0" w:color="auto"/>
              <w:bottom w:val="single" w:sz="4" w:space="0" w:color="auto"/>
              <w:right w:val="single" w:sz="4" w:space="0" w:color="auto"/>
            </w:tcBorders>
            <w:hideMark/>
          </w:tcPr>
          <w:p w14:paraId="309539E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67DBE27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0053272</w:t>
            </w:r>
          </w:p>
        </w:tc>
        <w:tc>
          <w:tcPr>
            <w:tcW w:w="335" w:type="dxa"/>
            <w:tcBorders>
              <w:top w:val="single" w:sz="4" w:space="0" w:color="auto"/>
              <w:left w:val="single" w:sz="4" w:space="0" w:color="auto"/>
              <w:bottom w:val="single" w:sz="4" w:space="0" w:color="auto"/>
              <w:right w:val="single" w:sz="4" w:space="0" w:color="auto"/>
            </w:tcBorders>
            <w:hideMark/>
          </w:tcPr>
          <w:p w14:paraId="798B868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78B4FC0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0561</w:t>
            </w:r>
          </w:p>
        </w:tc>
        <w:tc>
          <w:tcPr>
            <w:tcW w:w="905" w:type="dxa"/>
            <w:tcBorders>
              <w:top w:val="single" w:sz="4" w:space="0" w:color="auto"/>
              <w:left w:val="single" w:sz="4" w:space="0" w:color="auto"/>
              <w:bottom w:val="single" w:sz="4" w:space="0" w:color="auto"/>
              <w:right w:val="single" w:sz="4" w:space="0" w:color="auto"/>
            </w:tcBorders>
            <w:hideMark/>
          </w:tcPr>
          <w:p w14:paraId="5236673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0C23C4B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533E586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0561</w:t>
            </w:r>
          </w:p>
        </w:tc>
        <w:tc>
          <w:tcPr>
            <w:tcW w:w="846" w:type="dxa"/>
            <w:tcBorders>
              <w:top w:val="single" w:sz="4" w:space="0" w:color="auto"/>
              <w:left w:val="single" w:sz="4" w:space="0" w:color="auto"/>
              <w:bottom w:val="single" w:sz="4" w:space="0" w:color="auto"/>
              <w:right w:val="single" w:sz="4" w:space="0" w:color="auto"/>
            </w:tcBorders>
            <w:hideMark/>
          </w:tcPr>
          <w:p w14:paraId="19D1480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846" w:type="dxa"/>
            <w:tcBorders>
              <w:top w:val="single" w:sz="4" w:space="0" w:color="auto"/>
              <w:left w:val="single" w:sz="4" w:space="0" w:color="auto"/>
              <w:bottom w:val="single" w:sz="4" w:space="0" w:color="auto"/>
              <w:right w:val="single" w:sz="4" w:space="0" w:color="auto"/>
            </w:tcBorders>
            <w:hideMark/>
          </w:tcPr>
          <w:p w14:paraId="0CC5C0C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50D0B142"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22300F7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28CF064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2931944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481" w:type="dxa"/>
            <w:tcBorders>
              <w:top w:val="single" w:sz="4" w:space="0" w:color="auto"/>
              <w:left w:val="single" w:sz="4" w:space="0" w:color="auto"/>
              <w:bottom w:val="single" w:sz="4" w:space="0" w:color="auto"/>
              <w:right w:val="single" w:sz="4" w:space="0" w:color="auto"/>
            </w:tcBorders>
            <w:hideMark/>
          </w:tcPr>
          <w:p w14:paraId="6E1285F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5" w:type="dxa"/>
            <w:tcBorders>
              <w:top w:val="single" w:sz="4" w:space="0" w:color="auto"/>
              <w:left w:val="single" w:sz="4" w:space="0" w:color="auto"/>
              <w:bottom w:val="single" w:sz="4" w:space="0" w:color="auto"/>
              <w:right w:val="single" w:sz="4" w:space="0" w:color="auto"/>
            </w:tcBorders>
            <w:hideMark/>
          </w:tcPr>
          <w:p w14:paraId="57AA3F9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3955EB8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0053272</w:t>
            </w:r>
          </w:p>
        </w:tc>
        <w:tc>
          <w:tcPr>
            <w:tcW w:w="335" w:type="dxa"/>
            <w:tcBorders>
              <w:top w:val="single" w:sz="4" w:space="0" w:color="auto"/>
              <w:left w:val="single" w:sz="4" w:space="0" w:color="auto"/>
              <w:bottom w:val="single" w:sz="4" w:space="0" w:color="auto"/>
              <w:right w:val="single" w:sz="4" w:space="0" w:color="auto"/>
            </w:tcBorders>
            <w:hideMark/>
          </w:tcPr>
          <w:p w14:paraId="30388C6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0470264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0561</w:t>
            </w:r>
          </w:p>
        </w:tc>
        <w:tc>
          <w:tcPr>
            <w:tcW w:w="905" w:type="dxa"/>
            <w:tcBorders>
              <w:top w:val="single" w:sz="4" w:space="0" w:color="auto"/>
              <w:left w:val="single" w:sz="4" w:space="0" w:color="auto"/>
              <w:bottom w:val="single" w:sz="4" w:space="0" w:color="auto"/>
              <w:right w:val="single" w:sz="4" w:space="0" w:color="auto"/>
            </w:tcBorders>
            <w:hideMark/>
          </w:tcPr>
          <w:p w14:paraId="5D78AB0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79474CA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3F551D6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0561</w:t>
            </w:r>
          </w:p>
        </w:tc>
        <w:tc>
          <w:tcPr>
            <w:tcW w:w="846" w:type="dxa"/>
            <w:tcBorders>
              <w:top w:val="single" w:sz="4" w:space="0" w:color="auto"/>
              <w:left w:val="single" w:sz="4" w:space="0" w:color="auto"/>
              <w:bottom w:val="single" w:sz="4" w:space="0" w:color="auto"/>
              <w:right w:val="single" w:sz="4" w:space="0" w:color="auto"/>
            </w:tcBorders>
            <w:hideMark/>
          </w:tcPr>
          <w:p w14:paraId="3F54E36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846" w:type="dxa"/>
            <w:tcBorders>
              <w:top w:val="single" w:sz="4" w:space="0" w:color="auto"/>
              <w:left w:val="single" w:sz="4" w:space="0" w:color="auto"/>
              <w:bottom w:val="single" w:sz="4" w:space="0" w:color="auto"/>
              <w:right w:val="single" w:sz="4" w:space="0" w:color="auto"/>
            </w:tcBorders>
            <w:hideMark/>
          </w:tcPr>
          <w:p w14:paraId="36A41BF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3C341DEE"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712D207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6B43803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179AE273"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8</w:t>
            </w:r>
          </w:p>
        </w:tc>
        <w:tc>
          <w:tcPr>
            <w:tcW w:w="481" w:type="dxa"/>
            <w:tcBorders>
              <w:top w:val="single" w:sz="4" w:space="0" w:color="auto"/>
              <w:left w:val="single" w:sz="4" w:space="0" w:color="auto"/>
              <w:bottom w:val="single" w:sz="4" w:space="0" w:color="auto"/>
              <w:right w:val="single" w:sz="4" w:space="0" w:color="auto"/>
            </w:tcBorders>
            <w:hideMark/>
          </w:tcPr>
          <w:p w14:paraId="2BEE243B"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525" w:type="dxa"/>
            <w:tcBorders>
              <w:top w:val="single" w:sz="4" w:space="0" w:color="auto"/>
              <w:left w:val="single" w:sz="4" w:space="0" w:color="auto"/>
              <w:bottom w:val="single" w:sz="4" w:space="0" w:color="auto"/>
              <w:right w:val="single" w:sz="4" w:space="0" w:color="auto"/>
            </w:tcBorders>
            <w:hideMark/>
          </w:tcPr>
          <w:p w14:paraId="69F0A5B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5012B68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0074389</w:t>
            </w:r>
          </w:p>
        </w:tc>
        <w:tc>
          <w:tcPr>
            <w:tcW w:w="335" w:type="dxa"/>
            <w:tcBorders>
              <w:top w:val="single" w:sz="4" w:space="0" w:color="auto"/>
              <w:left w:val="single" w:sz="4" w:space="0" w:color="auto"/>
              <w:bottom w:val="single" w:sz="4" w:space="0" w:color="auto"/>
              <w:right w:val="single" w:sz="4" w:space="0" w:color="auto"/>
            </w:tcBorders>
            <w:hideMark/>
          </w:tcPr>
          <w:p w14:paraId="78F1FAD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7631E09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0208</w:t>
            </w:r>
          </w:p>
        </w:tc>
        <w:tc>
          <w:tcPr>
            <w:tcW w:w="905" w:type="dxa"/>
            <w:tcBorders>
              <w:top w:val="single" w:sz="4" w:space="0" w:color="auto"/>
              <w:left w:val="single" w:sz="4" w:space="0" w:color="auto"/>
              <w:bottom w:val="single" w:sz="4" w:space="0" w:color="auto"/>
              <w:right w:val="single" w:sz="4" w:space="0" w:color="auto"/>
            </w:tcBorders>
            <w:hideMark/>
          </w:tcPr>
          <w:p w14:paraId="7282589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68</w:t>
            </w:r>
            <w:r>
              <w:rPr>
                <w:rFonts w:ascii="Sylfaen" w:hAnsi="Sylfaen" w:cs="Arial"/>
                <w:sz w:val="20"/>
                <w:szCs w:val="20"/>
                <w:lang w:val="ka-GE"/>
              </w:rPr>
              <w:t>,</w:t>
            </w:r>
            <w:r>
              <w:rPr>
                <w:rFonts w:ascii="Sylfaen" w:hAnsi="Sylfaen"/>
                <w:sz w:val="20"/>
                <w:szCs w:val="20"/>
                <w:lang w:val="ka-GE"/>
              </w:rPr>
              <w:t>79</w:t>
            </w:r>
          </w:p>
        </w:tc>
        <w:tc>
          <w:tcPr>
            <w:tcW w:w="919" w:type="dxa"/>
            <w:tcBorders>
              <w:top w:val="single" w:sz="4" w:space="0" w:color="auto"/>
              <w:left w:val="single" w:sz="4" w:space="0" w:color="auto"/>
              <w:bottom w:val="single" w:sz="4" w:space="0" w:color="auto"/>
              <w:right w:val="single" w:sz="4" w:space="0" w:color="auto"/>
            </w:tcBorders>
            <w:hideMark/>
          </w:tcPr>
          <w:p w14:paraId="0D8CD72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w:t>
            </w:r>
            <w:r>
              <w:rPr>
                <w:rFonts w:ascii="Sylfaen" w:hAnsi="Sylfaen"/>
                <w:sz w:val="20"/>
                <w:szCs w:val="20"/>
                <w:lang w:val="ka-GE"/>
              </w:rPr>
              <w:t>9158</w:t>
            </w:r>
          </w:p>
        </w:tc>
        <w:tc>
          <w:tcPr>
            <w:tcW w:w="963" w:type="dxa"/>
            <w:tcBorders>
              <w:top w:val="single" w:sz="4" w:space="0" w:color="auto"/>
              <w:left w:val="single" w:sz="4" w:space="0" w:color="auto"/>
              <w:bottom w:val="single" w:sz="4" w:space="0" w:color="auto"/>
              <w:right w:val="single" w:sz="4" w:space="0" w:color="auto"/>
            </w:tcBorders>
            <w:hideMark/>
          </w:tcPr>
          <w:p w14:paraId="6F2674E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0205</w:t>
            </w:r>
          </w:p>
        </w:tc>
        <w:tc>
          <w:tcPr>
            <w:tcW w:w="846" w:type="dxa"/>
            <w:tcBorders>
              <w:top w:val="single" w:sz="4" w:space="0" w:color="auto"/>
              <w:left w:val="single" w:sz="4" w:space="0" w:color="auto"/>
              <w:bottom w:val="single" w:sz="4" w:space="0" w:color="auto"/>
              <w:right w:val="single" w:sz="4" w:space="0" w:color="auto"/>
            </w:tcBorders>
            <w:hideMark/>
          </w:tcPr>
          <w:p w14:paraId="315F2F7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69</w:t>
            </w:r>
            <w:r>
              <w:rPr>
                <w:rFonts w:ascii="Sylfaen" w:hAnsi="Sylfaen" w:cs="Arial"/>
                <w:sz w:val="20"/>
                <w:szCs w:val="20"/>
                <w:lang w:val="ka-GE"/>
              </w:rPr>
              <w:t>,</w:t>
            </w:r>
            <w:r>
              <w:rPr>
                <w:rFonts w:ascii="Sylfaen" w:hAnsi="Sylfaen"/>
                <w:sz w:val="20"/>
                <w:szCs w:val="20"/>
                <w:lang w:val="ka-GE"/>
              </w:rPr>
              <w:t>99</w:t>
            </w:r>
          </w:p>
        </w:tc>
        <w:tc>
          <w:tcPr>
            <w:tcW w:w="846" w:type="dxa"/>
            <w:tcBorders>
              <w:top w:val="single" w:sz="4" w:space="0" w:color="auto"/>
              <w:left w:val="single" w:sz="4" w:space="0" w:color="auto"/>
              <w:bottom w:val="single" w:sz="4" w:space="0" w:color="auto"/>
              <w:right w:val="single" w:sz="4" w:space="0" w:color="auto"/>
            </w:tcBorders>
            <w:hideMark/>
          </w:tcPr>
          <w:p w14:paraId="2BAD8E2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w:t>
            </w:r>
            <w:r>
              <w:rPr>
                <w:rFonts w:ascii="Sylfaen" w:hAnsi="Sylfaen"/>
                <w:sz w:val="20"/>
                <w:szCs w:val="20"/>
                <w:lang w:val="ka-GE"/>
              </w:rPr>
              <w:t>9640</w:t>
            </w:r>
          </w:p>
        </w:tc>
      </w:tr>
      <w:tr w:rsidR="00A2588D" w14:paraId="050BCA90"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366CF52D"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0D067E4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4D27A68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9</w:t>
            </w:r>
          </w:p>
        </w:tc>
        <w:tc>
          <w:tcPr>
            <w:tcW w:w="481" w:type="dxa"/>
            <w:tcBorders>
              <w:top w:val="single" w:sz="4" w:space="0" w:color="auto"/>
              <w:left w:val="single" w:sz="4" w:space="0" w:color="auto"/>
              <w:bottom w:val="single" w:sz="4" w:space="0" w:color="auto"/>
              <w:right w:val="single" w:sz="4" w:space="0" w:color="auto"/>
            </w:tcBorders>
            <w:hideMark/>
          </w:tcPr>
          <w:p w14:paraId="052CC4D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5" w:type="dxa"/>
            <w:tcBorders>
              <w:top w:val="single" w:sz="4" w:space="0" w:color="auto"/>
              <w:left w:val="single" w:sz="4" w:space="0" w:color="auto"/>
              <w:bottom w:val="single" w:sz="4" w:space="0" w:color="auto"/>
              <w:right w:val="single" w:sz="4" w:space="0" w:color="auto"/>
            </w:tcBorders>
            <w:hideMark/>
          </w:tcPr>
          <w:p w14:paraId="218740B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5CCBA96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0005344</w:t>
            </w:r>
          </w:p>
        </w:tc>
        <w:tc>
          <w:tcPr>
            <w:tcW w:w="335" w:type="dxa"/>
            <w:tcBorders>
              <w:top w:val="single" w:sz="4" w:space="0" w:color="auto"/>
              <w:left w:val="single" w:sz="4" w:space="0" w:color="auto"/>
              <w:bottom w:val="single" w:sz="4" w:space="0" w:color="auto"/>
              <w:right w:val="single" w:sz="4" w:space="0" w:color="auto"/>
            </w:tcBorders>
            <w:hideMark/>
          </w:tcPr>
          <w:p w14:paraId="0C2F330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09C5867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0056</w:t>
            </w:r>
          </w:p>
        </w:tc>
        <w:tc>
          <w:tcPr>
            <w:tcW w:w="905" w:type="dxa"/>
            <w:tcBorders>
              <w:top w:val="single" w:sz="4" w:space="0" w:color="auto"/>
              <w:left w:val="single" w:sz="4" w:space="0" w:color="auto"/>
              <w:bottom w:val="single" w:sz="4" w:space="0" w:color="auto"/>
              <w:right w:val="single" w:sz="4" w:space="0" w:color="auto"/>
            </w:tcBorders>
            <w:hideMark/>
          </w:tcPr>
          <w:p w14:paraId="79C50EF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17DB5A3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551FE27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0056</w:t>
            </w:r>
          </w:p>
        </w:tc>
        <w:tc>
          <w:tcPr>
            <w:tcW w:w="846" w:type="dxa"/>
            <w:tcBorders>
              <w:top w:val="single" w:sz="4" w:space="0" w:color="auto"/>
              <w:left w:val="single" w:sz="4" w:space="0" w:color="auto"/>
              <w:bottom w:val="single" w:sz="4" w:space="0" w:color="auto"/>
              <w:right w:val="single" w:sz="4" w:space="0" w:color="auto"/>
            </w:tcBorders>
            <w:hideMark/>
          </w:tcPr>
          <w:p w14:paraId="433EDE5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846" w:type="dxa"/>
            <w:tcBorders>
              <w:top w:val="single" w:sz="4" w:space="0" w:color="auto"/>
              <w:left w:val="single" w:sz="4" w:space="0" w:color="auto"/>
              <w:bottom w:val="single" w:sz="4" w:space="0" w:color="auto"/>
              <w:right w:val="single" w:sz="4" w:space="0" w:color="auto"/>
            </w:tcBorders>
            <w:hideMark/>
          </w:tcPr>
          <w:p w14:paraId="5DE3BE6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0591685A" w14:textId="77777777" w:rsidTr="00A2588D">
        <w:trPr>
          <w:jc w:val="center"/>
        </w:trPr>
        <w:tc>
          <w:tcPr>
            <w:tcW w:w="2511" w:type="dxa"/>
            <w:gridSpan w:val="5"/>
            <w:tcBorders>
              <w:top w:val="single" w:sz="4" w:space="0" w:color="auto"/>
              <w:left w:val="single" w:sz="4" w:space="0" w:color="auto"/>
              <w:bottom w:val="single" w:sz="4" w:space="0" w:color="auto"/>
              <w:right w:val="single" w:sz="4" w:space="0" w:color="auto"/>
            </w:tcBorders>
            <w:hideMark/>
          </w:tcPr>
          <w:p w14:paraId="3066ADB0" w14:textId="77777777" w:rsidR="00A2588D" w:rsidRDefault="00A2588D" w:rsidP="00A2588D">
            <w:pPr>
              <w:widowControl w:val="0"/>
              <w:autoSpaceDE w:val="0"/>
              <w:autoSpaceDN w:val="0"/>
              <w:adjustRightInd w:val="0"/>
              <w:ind w:left="11"/>
              <w:rPr>
                <w:rFonts w:ascii="Sylfaen" w:hAnsi="Sylfaen" w:cs="Arial"/>
                <w:b/>
                <w:bCs/>
                <w:sz w:val="20"/>
                <w:szCs w:val="20"/>
                <w:lang w:val="ka-GE"/>
              </w:rPr>
            </w:pPr>
            <w:r>
              <w:rPr>
                <w:rFonts w:ascii="Sylfaen" w:hAnsi="Sylfaen" w:cs="Arial"/>
                <w:b/>
                <w:bCs/>
                <w:sz w:val="20"/>
                <w:szCs w:val="20"/>
                <w:lang w:val="ka-GE"/>
              </w:rPr>
              <w:t>სულ:</w:t>
            </w:r>
          </w:p>
        </w:tc>
        <w:tc>
          <w:tcPr>
            <w:tcW w:w="1314" w:type="dxa"/>
            <w:tcBorders>
              <w:top w:val="single" w:sz="4" w:space="0" w:color="auto"/>
              <w:left w:val="single" w:sz="4" w:space="0" w:color="auto"/>
              <w:bottom w:val="single" w:sz="4" w:space="0" w:color="auto"/>
              <w:right w:val="single" w:sz="4" w:space="0" w:color="auto"/>
            </w:tcBorders>
            <w:hideMark/>
          </w:tcPr>
          <w:p w14:paraId="6E21F554"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0186277</w:t>
            </w:r>
          </w:p>
        </w:tc>
        <w:tc>
          <w:tcPr>
            <w:tcW w:w="335" w:type="dxa"/>
            <w:tcBorders>
              <w:top w:val="single" w:sz="4" w:space="0" w:color="auto"/>
              <w:left w:val="single" w:sz="4" w:space="0" w:color="auto"/>
              <w:bottom w:val="single" w:sz="4" w:space="0" w:color="auto"/>
              <w:right w:val="single" w:sz="4" w:space="0" w:color="auto"/>
            </w:tcBorders>
          </w:tcPr>
          <w:p w14:paraId="27CD80CB"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11D2A72B"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1386</w:t>
            </w:r>
          </w:p>
        </w:tc>
        <w:tc>
          <w:tcPr>
            <w:tcW w:w="1825" w:type="dxa"/>
            <w:gridSpan w:val="2"/>
            <w:tcBorders>
              <w:top w:val="single" w:sz="4" w:space="0" w:color="auto"/>
              <w:left w:val="single" w:sz="4" w:space="0" w:color="auto"/>
              <w:bottom w:val="single" w:sz="4" w:space="0" w:color="auto"/>
              <w:right w:val="single" w:sz="4" w:space="0" w:color="auto"/>
            </w:tcBorders>
          </w:tcPr>
          <w:p w14:paraId="5963D1AB"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963" w:type="dxa"/>
            <w:tcBorders>
              <w:top w:val="single" w:sz="4" w:space="0" w:color="auto"/>
              <w:left w:val="single" w:sz="4" w:space="0" w:color="auto"/>
              <w:bottom w:val="single" w:sz="4" w:space="0" w:color="auto"/>
              <w:right w:val="single" w:sz="4" w:space="0" w:color="auto"/>
            </w:tcBorders>
            <w:hideMark/>
          </w:tcPr>
          <w:p w14:paraId="656F7E09"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1383</w:t>
            </w:r>
          </w:p>
        </w:tc>
        <w:tc>
          <w:tcPr>
            <w:tcW w:w="1693" w:type="dxa"/>
            <w:gridSpan w:val="2"/>
            <w:tcBorders>
              <w:top w:val="single" w:sz="4" w:space="0" w:color="auto"/>
              <w:left w:val="single" w:sz="4" w:space="0" w:color="auto"/>
              <w:bottom w:val="single" w:sz="4" w:space="0" w:color="auto"/>
              <w:right w:val="single" w:sz="4" w:space="0" w:color="auto"/>
            </w:tcBorders>
          </w:tcPr>
          <w:p w14:paraId="01431536" w14:textId="77777777" w:rsidR="00A2588D" w:rsidRDefault="00A2588D" w:rsidP="00A2588D">
            <w:pPr>
              <w:widowControl w:val="0"/>
              <w:autoSpaceDE w:val="0"/>
              <w:autoSpaceDN w:val="0"/>
              <w:adjustRightInd w:val="0"/>
              <w:ind w:left="11"/>
              <w:rPr>
                <w:rFonts w:ascii="Sylfaen" w:hAnsi="Sylfaen" w:cs="Arial"/>
                <w:sz w:val="20"/>
                <w:szCs w:val="20"/>
                <w:lang w:val="ka-GE"/>
              </w:rPr>
            </w:pPr>
          </w:p>
        </w:tc>
      </w:tr>
    </w:tbl>
    <w:p w14:paraId="365CECD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25F780A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0328</w:t>
      </w:r>
      <w:r>
        <w:rPr>
          <w:rFonts w:ascii="Sylfaen" w:hAnsi="Sylfaen" w:cs="Arial"/>
          <w:b/>
          <w:bCs/>
          <w:sz w:val="20"/>
          <w:szCs w:val="20"/>
          <w:lang w:val="ka-GE"/>
        </w:rPr>
        <w:t xml:space="preserve">   შავი ნახშირბადი (ჭვარტლი)</w:t>
      </w:r>
    </w:p>
    <w:p w14:paraId="23107C1D"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511"/>
        <w:gridCol w:w="467"/>
        <w:gridCol w:w="525"/>
        <w:gridCol w:w="481"/>
        <w:gridCol w:w="527"/>
        <w:gridCol w:w="1314"/>
        <w:gridCol w:w="335"/>
        <w:gridCol w:w="1007"/>
        <w:gridCol w:w="905"/>
        <w:gridCol w:w="920"/>
        <w:gridCol w:w="963"/>
        <w:gridCol w:w="846"/>
        <w:gridCol w:w="848"/>
      </w:tblGrid>
      <w:tr w:rsidR="00A2588D" w14:paraId="1660CFCF" w14:textId="77777777" w:rsidTr="00A2588D">
        <w:trPr>
          <w:jc w:val="center"/>
        </w:trPr>
        <w:tc>
          <w:tcPr>
            <w:tcW w:w="511" w:type="dxa"/>
            <w:tcBorders>
              <w:top w:val="single" w:sz="4" w:space="0" w:color="auto"/>
              <w:left w:val="single" w:sz="4" w:space="0" w:color="auto"/>
              <w:bottom w:val="nil"/>
              <w:right w:val="single" w:sz="4" w:space="0" w:color="auto"/>
            </w:tcBorders>
            <w:hideMark/>
          </w:tcPr>
          <w:p w14:paraId="4A762366"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3138E91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მოედ.</w:t>
            </w:r>
          </w:p>
        </w:tc>
        <w:tc>
          <w:tcPr>
            <w:tcW w:w="467" w:type="dxa"/>
            <w:tcBorders>
              <w:top w:val="single" w:sz="4" w:space="0" w:color="auto"/>
              <w:left w:val="single" w:sz="4" w:space="0" w:color="auto"/>
              <w:bottom w:val="nil"/>
              <w:right w:val="single" w:sz="4" w:space="0" w:color="auto"/>
            </w:tcBorders>
            <w:hideMark/>
          </w:tcPr>
          <w:p w14:paraId="6F537D9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7106AA7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საამქ.</w:t>
            </w:r>
          </w:p>
        </w:tc>
        <w:tc>
          <w:tcPr>
            <w:tcW w:w="525" w:type="dxa"/>
            <w:tcBorders>
              <w:top w:val="single" w:sz="4" w:space="0" w:color="auto"/>
              <w:left w:val="single" w:sz="4" w:space="0" w:color="auto"/>
              <w:bottom w:val="nil"/>
              <w:right w:val="single" w:sz="4" w:space="0" w:color="auto"/>
            </w:tcBorders>
            <w:hideMark/>
          </w:tcPr>
          <w:p w14:paraId="27C6FE3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18141DA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წყაროს</w:t>
            </w:r>
          </w:p>
        </w:tc>
        <w:tc>
          <w:tcPr>
            <w:tcW w:w="481" w:type="dxa"/>
            <w:tcBorders>
              <w:top w:val="single" w:sz="4" w:space="0" w:color="auto"/>
              <w:left w:val="single" w:sz="4" w:space="0" w:color="auto"/>
              <w:bottom w:val="nil"/>
              <w:right w:val="single" w:sz="4" w:space="0" w:color="auto"/>
            </w:tcBorders>
            <w:hideMark/>
          </w:tcPr>
          <w:p w14:paraId="56C1C7E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ტიპი</w:t>
            </w:r>
          </w:p>
        </w:tc>
        <w:tc>
          <w:tcPr>
            <w:tcW w:w="525" w:type="dxa"/>
            <w:tcBorders>
              <w:top w:val="single" w:sz="4" w:space="0" w:color="auto"/>
              <w:left w:val="single" w:sz="4" w:space="0" w:color="auto"/>
              <w:bottom w:val="nil"/>
              <w:right w:val="single" w:sz="4" w:space="0" w:color="auto"/>
            </w:tcBorders>
            <w:hideMark/>
          </w:tcPr>
          <w:p w14:paraId="631E28D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აღრიცხვა</w:t>
            </w:r>
          </w:p>
        </w:tc>
        <w:tc>
          <w:tcPr>
            <w:tcW w:w="1314" w:type="dxa"/>
            <w:tcBorders>
              <w:top w:val="single" w:sz="4" w:space="0" w:color="auto"/>
              <w:left w:val="single" w:sz="4" w:space="0" w:color="auto"/>
              <w:bottom w:val="nil"/>
              <w:right w:val="single" w:sz="4" w:space="0" w:color="auto"/>
            </w:tcBorders>
            <w:hideMark/>
          </w:tcPr>
          <w:p w14:paraId="171227C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გაფრქვევა</w:t>
            </w:r>
          </w:p>
          <w:p w14:paraId="2E8D15C6"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(გ/წმ)</w:t>
            </w:r>
          </w:p>
        </w:tc>
        <w:tc>
          <w:tcPr>
            <w:tcW w:w="335" w:type="dxa"/>
            <w:tcBorders>
              <w:top w:val="single" w:sz="4" w:space="0" w:color="auto"/>
              <w:left w:val="single" w:sz="4" w:space="0" w:color="auto"/>
              <w:bottom w:val="nil"/>
              <w:right w:val="single" w:sz="4" w:space="0" w:color="auto"/>
            </w:tcBorders>
            <w:hideMark/>
          </w:tcPr>
          <w:p w14:paraId="758918E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F</w:t>
            </w:r>
          </w:p>
        </w:tc>
        <w:tc>
          <w:tcPr>
            <w:tcW w:w="2832" w:type="dxa"/>
            <w:gridSpan w:val="3"/>
            <w:tcBorders>
              <w:top w:val="single" w:sz="4" w:space="0" w:color="auto"/>
              <w:left w:val="single" w:sz="4" w:space="0" w:color="auto"/>
              <w:bottom w:val="single" w:sz="4" w:space="0" w:color="auto"/>
              <w:right w:val="single" w:sz="4" w:space="0" w:color="auto"/>
            </w:tcBorders>
            <w:hideMark/>
          </w:tcPr>
          <w:p w14:paraId="278D5D2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hideMark/>
          </w:tcPr>
          <w:p w14:paraId="753BE8D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ზამთ.</w:t>
            </w:r>
          </w:p>
        </w:tc>
      </w:tr>
      <w:tr w:rsidR="00A2588D" w14:paraId="2CC64F57" w14:textId="77777777" w:rsidTr="00A2588D">
        <w:trPr>
          <w:jc w:val="center"/>
        </w:trPr>
        <w:tc>
          <w:tcPr>
            <w:tcW w:w="511" w:type="dxa"/>
            <w:tcBorders>
              <w:top w:val="nil"/>
              <w:left w:val="single" w:sz="4" w:space="0" w:color="auto"/>
              <w:bottom w:val="single" w:sz="4" w:space="0" w:color="auto"/>
              <w:right w:val="single" w:sz="4" w:space="0" w:color="auto"/>
            </w:tcBorders>
          </w:tcPr>
          <w:p w14:paraId="1B10FF2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67" w:type="dxa"/>
            <w:tcBorders>
              <w:top w:val="nil"/>
              <w:left w:val="single" w:sz="4" w:space="0" w:color="auto"/>
              <w:bottom w:val="single" w:sz="4" w:space="0" w:color="auto"/>
              <w:right w:val="single" w:sz="4" w:space="0" w:color="auto"/>
            </w:tcBorders>
          </w:tcPr>
          <w:p w14:paraId="76197BE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4AB2DC4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81" w:type="dxa"/>
            <w:tcBorders>
              <w:top w:val="nil"/>
              <w:left w:val="single" w:sz="4" w:space="0" w:color="auto"/>
              <w:bottom w:val="single" w:sz="4" w:space="0" w:color="auto"/>
              <w:right w:val="single" w:sz="4" w:space="0" w:color="auto"/>
            </w:tcBorders>
          </w:tcPr>
          <w:p w14:paraId="4AB972C6"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4774EDB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314" w:type="dxa"/>
            <w:tcBorders>
              <w:top w:val="nil"/>
              <w:left w:val="single" w:sz="4" w:space="0" w:color="auto"/>
              <w:bottom w:val="single" w:sz="4" w:space="0" w:color="auto"/>
              <w:right w:val="single" w:sz="4" w:space="0" w:color="auto"/>
            </w:tcBorders>
          </w:tcPr>
          <w:p w14:paraId="6BD18DB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335" w:type="dxa"/>
            <w:tcBorders>
              <w:top w:val="nil"/>
              <w:left w:val="single" w:sz="4" w:space="0" w:color="auto"/>
              <w:bottom w:val="single" w:sz="4" w:space="0" w:color="auto"/>
              <w:right w:val="single" w:sz="4" w:space="0" w:color="auto"/>
            </w:tcBorders>
          </w:tcPr>
          <w:p w14:paraId="6137148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191A5D2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905" w:type="dxa"/>
            <w:tcBorders>
              <w:top w:val="single" w:sz="4" w:space="0" w:color="auto"/>
              <w:left w:val="single" w:sz="4" w:space="0" w:color="auto"/>
              <w:bottom w:val="single" w:sz="4" w:space="0" w:color="auto"/>
              <w:right w:val="single" w:sz="4" w:space="0" w:color="auto"/>
            </w:tcBorders>
            <w:hideMark/>
          </w:tcPr>
          <w:p w14:paraId="23735A4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919" w:type="dxa"/>
            <w:tcBorders>
              <w:top w:val="single" w:sz="4" w:space="0" w:color="auto"/>
              <w:left w:val="single" w:sz="4" w:space="0" w:color="auto"/>
              <w:bottom w:val="single" w:sz="4" w:space="0" w:color="auto"/>
              <w:right w:val="single" w:sz="4" w:space="0" w:color="auto"/>
            </w:tcBorders>
            <w:hideMark/>
          </w:tcPr>
          <w:p w14:paraId="1B5C5FB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c>
          <w:tcPr>
            <w:tcW w:w="963" w:type="dxa"/>
            <w:tcBorders>
              <w:top w:val="single" w:sz="4" w:space="0" w:color="auto"/>
              <w:left w:val="single" w:sz="4" w:space="0" w:color="auto"/>
              <w:bottom w:val="single" w:sz="4" w:space="0" w:color="auto"/>
              <w:right w:val="single" w:sz="4" w:space="0" w:color="auto"/>
            </w:tcBorders>
            <w:hideMark/>
          </w:tcPr>
          <w:p w14:paraId="41CFDEB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846" w:type="dxa"/>
            <w:tcBorders>
              <w:top w:val="single" w:sz="4" w:space="0" w:color="auto"/>
              <w:left w:val="single" w:sz="4" w:space="0" w:color="auto"/>
              <w:bottom w:val="single" w:sz="4" w:space="0" w:color="auto"/>
              <w:right w:val="single" w:sz="4" w:space="0" w:color="auto"/>
            </w:tcBorders>
            <w:hideMark/>
          </w:tcPr>
          <w:p w14:paraId="5EA0156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846" w:type="dxa"/>
            <w:tcBorders>
              <w:top w:val="single" w:sz="4" w:space="0" w:color="auto"/>
              <w:left w:val="single" w:sz="4" w:space="0" w:color="auto"/>
              <w:bottom w:val="single" w:sz="4" w:space="0" w:color="auto"/>
              <w:right w:val="single" w:sz="4" w:space="0" w:color="auto"/>
            </w:tcBorders>
            <w:hideMark/>
          </w:tcPr>
          <w:p w14:paraId="3E61109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r>
      <w:tr w:rsidR="00A2588D" w14:paraId="6F7B82C0"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4EDE985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4C8641D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55992DA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481" w:type="dxa"/>
            <w:tcBorders>
              <w:top w:val="single" w:sz="4" w:space="0" w:color="auto"/>
              <w:left w:val="single" w:sz="4" w:space="0" w:color="auto"/>
              <w:bottom w:val="single" w:sz="4" w:space="0" w:color="auto"/>
              <w:right w:val="single" w:sz="4" w:space="0" w:color="auto"/>
            </w:tcBorders>
            <w:hideMark/>
          </w:tcPr>
          <w:p w14:paraId="707910E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5" w:type="dxa"/>
            <w:tcBorders>
              <w:top w:val="single" w:sz="4" w:space="0" w:color="auto"/>
              <w:left w:val="single" w:sz="4" w:space="0" w:color="auto"/>
              <w:bottom w:val="single" w:sz="4" w:space="0" w:color="auto"/>
              <w:right w:val="single" w:sz="4" w:space="0" w:color="auto"/>
            </w:tcBorders>
            <w:hideMark/>
          </w:tcPr>
          <w:p w14:paraId="6F8A07F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1D617D3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0045017</w:t>
            </w:r>
          </w:p>
        </w:tc>
        <w:tc>
          <w:tcPr>
            <w:tcW w:w="335" w:type="dxa"/>
            <w:tcBorders>
              <w:top w:val="single" w:sz="4" w:space="0" w:color="auto"/>
              <w:left w:val="single" w:sz="4" w:space="0" w:color="auto"/>
              <w:bottom w:val="single" w:sz="4" w:space="0" w:color="auto"/>
              <w:right w:val="single" w:sz="4" w:space="0" w:color="auto"/>
            </w:tcBorders>
            <w:hideMark/>
          </w:tcPr>
          <w:p w14:paraId="400D1D5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522A75B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1264</w:t>
            </w:r>
          </w:p>
        </w:tc>
        <w:tc>
          <w:tcPr>
            <w:tcW w:w="905" w:type="dxa"/>
            <w:tcBorders>
              <w:top w:val="single" w:sz="4" w:space="0" w:color="auto"/>
              <w:left w:val="single" w:sz="4" w:space="0" w:color="auto"/>
              <w:bottom w:val="single" w:sz="4" w:space="0" w:color="auto"/>
              <w:right w:val="single" w:sz="4" w:space="0" w:color="auto"/>
            </w:tcBorders>
            <w:hideMark/>
          </w:tcPr>
          <w:p w14:paraId="41F26CF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0C4AC26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2B11BE1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1264</w:t>
            </w:r>
          </w:p>
        </w:tc>
        <w:tc>
          <w:tcPr>
            <w:tcW w:w="846" w:type="dxa"/>
            <w:tcBorders>
              <w:top w:val="single" w:sz="4" w:space="0" w:color="auto"/>
              <w:left w:val="single" w:sz="4" w:space="0" w:color="auto"/>
              <w:bottom w:val="single" w:sz="4" w:space="0" w:color="auto"/>
              <w:right w:val="single" w:sz="4" w:space="0" w:color="auto"/>
            </w:tcBorders>
            <w:hideMark/>
          </w:tcPr>
          <w:p w14:paraId="62B75BA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846" w:type="dxa"/>
            <w:tcBorders>
              <w:top w:val="single" w:sz="4" w:space="0" w:color="auto"/>
              <w:left w:val="single" w:sz="4" w:space="0" w:color="auto"/>
              <w:bottom w:val="single" w:sz="4" w:space="0" w:color="auto"/>
              <w:right w:val="single" w:sz="4" w:space="0" w:color="auto"/>
            </w:tcBorders>
            <w:hideMark/>
          </w:tcPr>
          <w:p w14:paraId="2F446FA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47827CDD"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7053E4F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5D8433F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33C99EC3"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481" w:type="dxa"/>
            <w:tcBorders>
              <w:top w:val="single" w:sz="4" w:space="0" w:color="auto"/>
              <w:left w:val="single" w:sz="4" w:space="0" w:color="auto"/>
              <w:bottom w:val="single" w:sz="4" w:space="0" w:color="auto"/>
              <w:right w:val="single" w:sz="4" w:space="0" w:color="auto"/>
            </w:tcBorders>
            <w:hideMark/>
          </w:tcPr>
          <w:p w14:paraId="58DC5C2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5" w:type="dxa"/>
            <w:tcBorders>
              <w:top w:val="single" w:sz="4" w:space="0" w:color="auto"/>
              <w:left w:val="single" w:sz="4" w:space="0" w:color="auto"/>
              <w:bottom w:val="single" w:sz="4" w:space="0" w:color="auto"/>
              <w:right w:val="single" w:sz="4" w:space="0" w:color="auto"/>
            </w:tcBorders>
            <w:hideMark/>
          </w:tcPr>
          <w:p w14:paraId="18C74E2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310E2B2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0045017</w:t>
            </w:r>
          </w:p>
        </w:tc>
        <w:tc>
          <w:tcPr>
            <w:tcW w:w="335" w:type="dxa"/>
            <w:tcBorders>
              <w:top w:val="single" w:sz="4" w:space="0" w:color="auto"/>
              <w:left w:val="single" w:sz="4" w:space="0" w:color="auto"/>
              <w:bottom w:val="single" w:sz="4" w:space="0" w:color="auto"/>
              <w:right w:val="single" w:sz="4" w:space="0" w:color="auto"/>
            </w:tcBorders>
            <w:hideMark/>
          </w:tcPr>
          <w:p w14:paraId="079A29C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40404F2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1264</w:t>
            </w:r>
          </w:p>
        </w:tc>
        <w:tc>
          <w:tcPr>
            <w:tcW w:w="905" w:type="dxa"/>
            <w:tcBorders>
              <w:top w:val="single" w:sz="4" w:space="0" w:color="auto"/>
              <w:left w:val="single" w:sz="4" w:space="0" w:color="auto"/>
              <w:bottom w:val="single" w:sz="4" w:space="0" w:color="auto"/>
              <w:right w:val="single" w:sz="4" w:space="0" w:color="auto"/>
            </w:tcBorders>
            <w:hideMark/>
          </w:tcPr>
          <w:p w14:paraId="7E29E2B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27EC366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2BEF69F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1264</w:t>
            </w:r>
          </w:p>
        </w:tc>
        <w:tc>
          <w:tcPr>
            <w:tcW w:w="846" w:type="dxa"/>
            <w:tcBorders>
              <w:top w:val="single" w:sz="4" w:space="0" w:color="auto"/>
              <w:left w:val="single" w:sz="4" w:space="0" w:color="auto"/>
              <w:bottom w:val="single" w:sz="4" w:space="0" w:color="auto"/>
              <w:right w:val="single" w:sz="4" w:space="0" w:color="auto"/>
            </w:tcBorders>
            <w:hideMark/>
          </w:tcPr>
          <w:p w14:paraId="1AC178E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846" w:type="dxa"/>
            <w:tcBorders>
              <w:top w:val="single" w:sz="4" w:space="0" w:color="auto"/>
              <w:left w:val="single" w:sz="4" w:space="0" w:color="auto"/>
              <w:bottom w:val="single" w:sz="4" w:space="0" w:color="auto"/>
              <w:right w:val="single" w:sz="4" w:space="0" w:color="auto"/>
            </w:tcBorders>
            <w:hideMark/>
          </w:tcPr>
          <w:p w14:paraId="0B47408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22CD1288"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73FD089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4D40898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3FE93B9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8</w:t>
            </w:r>
          </w:p>
        </w:tc>
        <w:tc>
          <w:tcPr>
            <w:tcW w:w="481" w:type="dxa"/>
            <w:tcBorders>
              <w:top w:val="single" w:sz="4" w:space="0" w:color="auto"/>
              <w:left w:val="single" w:sz="4" w:space="0" w:color="auto"/>
              <w:bottom w:val="single" w:sz="4" w:space="0" w:color="auto"/>
              <w:right w:val="single" w:sz="4" w:space="0" w:color="auto"/>
            </w:tcBorders>
            <w:hideMark/>
          </w:tcPr>
          <w:p w14:paraId="719FDC2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525" w:type="dxa"/>
            <w:tcBorders>
              <w:top w:val="single" w:sz="4" w:space="0" w:color="auto"/>
              <w:left w:val="single" w:sz="4" w:space="0" w:color="auto"/>
              <w:bottom w:val="single" w:sz="4" w:space="0" w:color="auto"/>
              <w:right w:val="single" w:sz="4" w:space="0" w:color="auto"/>
            </w:tcBorders>
            <w:hideMark/>
          </w:tcPr>
          <w:p w14:paraId="1CCCDAB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79F0957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0027778</w:t>
            </w:r>
          </w:p>
        </w:tc>
        <w:tc>
          <w:tcPr>
            <w:tcW w:w="335" w:type="dxa"/>
            <w:tcBorders>
              <w:top w:val="single" w:sz="4" w:space="0" w:color="auto"/>
              <w:left w:val="single" w:sz="4" w:space="0" w:color="auto"/>
              <w:bottom w:val="single" w:sz="4" w:space="0" w:color="auto"/>
              <w:right w:val="single" w:sz="4" w:space="0" w:color="auto"/>
            </w:tcBorders>
            <w:hideMark/>
          </w:tcPr>
          <w:p w14:paraId="1DA4074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38B6DB1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0207</w:t>
            </w:r>
          </w:p>
        </w:tc>
        <w:tc>
          <w:tcPr>
            <w:tcW w:w="905" w:type="dxa"/>
            <w:tcBorders>
              <w:top w:val="single" w:sz="4" w:space="0" w:color="auto"/>
              <w:left w:val="single" w:sz="4" w:space="0" w:color="auto"/>
              <w:bottom w:val="single" w:sz="4" w:space="0" w:color="auto"/>
              <w:right w:val="single" w:sz="4" w:space="0" w:color="auto"/>
            </w:tcBorders>
            <w:hideMark/>
          </w:tcPr>
          <w:p w14:paraId="5A0108E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68</w:t>
            </w:r>
            <w:r>
              <w:rPr>
                <w:rFonts w:ascii="Sylfaen" w:hAnsi="Sylfaen" w:cs="Arial"/>
                <w:sz w:val="20"/>
                <w:szCs w:val="20"/>
                <w:lang w:val="ka-GE"/>
              </w:rPr>
              <w:t>,</w:t>
            </w:r>
            <w:r>
              <w:rPr>
                <w:rFonts w:ascii="Sylfaen" w:hAnsi="Sylfaen"/>
                <w:sz w:val="20"/>
                <w:szCs w:val="20"/>
                <w:lang w:val="ka-GE"/>
              </w:rPr>
              <w:t>79</w:t>
            </w:r>
          </w:p>
        </w:tc>
        <w:tc>
          <w:tcPr>
            <w:tcW w:w="919" w:type="dxa"/>
            <w:tcBorders>
              <w:top w:val="single" w:sz="4" w:space="0" w:color="auto"/>
              <w:left w:val="single" w:sz="4" w:space="0" w:color="auto"/>
              <w:bottom w:val="single" w:sz="4" w:space="0" w:color="auto"/>
              <w:right w:val="single" w:sz="4" w:space="0" w:color="auto"/>
            </w:tcBorders>
            <w:hideMark/>
          </w:tcPr>
          <w:p w14:paraId="74C0760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w:t>
            </w:r>
            <w:r>
              <w:rPr>
                <w:rFonts w:ascii="Sylfaen" w:hAnsi="Sylfaen"/>
                <w:sz w:val="20"/>
                <w:szCs w:val="20"/>
                <w:lang w:val="ka-GE"/>
              </w:rPr>
              <w:t>9158</w:t>
            </w:r>
          </w:p>
        </w:tc>
        <w:tc>
          <w:tcPr>
            <w:tcW w:w="963" w:type="dxa"/>
            <w:tcBorders>
              <w:top w:val="single" w:sz="4" w:space="0" w:color="auto"/>
              <w:left w:val="single" w:sz="4" w:space="0" w:color="auto"/>
              <w:bottom w:val="single" w:sz="4" w:space="0" w:color="auto"/>
              <w:right w:val="single" w:sz="4" w:space="0" w:color="auto"/>
            </w:tcBorders>
            <w:hideMark/>
          </w:tcPr>
          <w:p w14:paraId="167D46D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0204</w:t>
            </w:r>
          </w:p>
        </w:tc>
        <w:tc>
          <w:tcPr>
            <w:tcW w:w="846" w:type="dxa"/>
            <w:tcBorders>
              <w:top w:val="single" w:sz="4" w:space="0" w:color="auto"/>
              <w:left w:val="single" w:sz="4" w:space="0" w:color="auto"/>
              <w:bottom w:val="single" w:sz="4" w:space="0" w:color="auto"/>
              <w:right w:val="single" w:sz="4" w:space="0" w:color="auto"/>
            </w:tcBorders>
            <w:hideMark/>
          </w:tcPr>
          <w:p w14:paraId="5F13341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69</w:t>
            </w:r>
            <w:r>
              <w:rPr>
                <w:rFonts w:ascii="Sylfaen" w:hAnsi="Sylfaen" w:cs="Arial"/>
                <w:sz w:val="20"/>
                <w:szCs w:val="20"/>
                <w:lang w:val="ka-GE"/>
              </w:rPr>
              <w:t>,</w:t>
            </w:r>
            <w:r>
              <w:rPr>
                <w:rFonts w:ascii="Sylfaen" w:hAnsi="Sylfaen"/>
                <w:sz w:val="20"/>
                <w:szCs w:val="20"/>
                <w:lang w:val="ka-GE"/>
              </w:rPr>
              <w:t>99</w:t>
            </w:r>
          </w:p>
        </w:tc>
        <w:tc>
          <w:tcPr>
            <w:tcW w:w="846" w:type="dxa"/>
            <w:tcBorders>
              <w:top w:val="single" w:sz="4" w:space="0" w:color="auto"/>
              <w:left w:val="single" w:sz="4" w:space="0" w:color="auto"/>
              <w:bottom w:val="single" w:sz="4" w:space="0" w:color="auto"/>
              <w:right w:val="single" w:sz="4" w:space="0" w:color="auto"/>
            </w:tcBorders>
            <w:hideMark/>
          </w:tcPr>
          <w:p w14:paraId="7EC33B7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w:t>
            </w:r>
            <w:r>
              <w:rPr>
                <w:rFonts w:ascii="Sylfaen" w:hAnsi="Sylfaen"/>
                <w:sz w:val="20"/>
                <w:szCs w:val="20"/>
                <w:lang w:val="ka-GE"/>
              </w:rPr>
              <w:t>9640</w:t>
            </w:r>
          </w:p>
        </w:tc>
      </w:tr>
      <w:tr w:rsidR="00A2588D" w14:paraId="494ADC51"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304CBE3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0B299FB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56E10C9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9</w:t>
            </w:r>
          </w:p>
        </w:tc>
        <w:tc>
          <w:tcPr>
            <w:tcW w:w="481" w:type="dxa"/>
            <w:tcBorders>
              <w:top w:val="single" w:sz="4" w:space="0" w:color="auto"/>
              <w:left w:val="single" w:sz="4" w:space="0" w:color="auto"/>
              <w:bottom w:val="single" w:sz="4" w:space="0" w:color="auto"/>
              <w:right w:val="single" w:sz="4" w:space="0" w:color="auto"/>
            </w:tcBorders>
            <w:hideMark/>
          </w:tcPr>
          <w:p w14:paraId="12ADDAC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5" w:type="dxa"/>
            <w:tcBorders>
              <w:top w:val="single" w:sz="4" w:space="0" w:color="auto"/>
              <w:left w:val="single" w:sz="4" w:space="0" w:color="auto"/>
              <w:bottom w:val="single" w:sz="4" w:space="0" w:color="auto"/>
              <w:right w:val="single" w:sz="4" w:space="0" w:color="auto"/>
            </w:tcBorders>
            <w:hideMark/>
          </w:tcPr>
          <w:p w14:paraId="32AE9B7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6F8E431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0001583</w:t>
            </w:r>
          </w:p>
        </w:tc>
        <w:tc>
          <w:tcPr>
            <w:tcW w:w="335" w:type="dxa"/>
            <w:tcBorders>
              <w:top w:val="single" w:sz="4" w:space="0" w:color="auto"/>
              <w:left w:val="single" w:sz="4" w:space="0" w:color="auto"/>
              <w:bottom w:val="single" w:sz="4" w:space="0" w:color="auto"/>
              <w:right w:val="single" w:sz="4" w:space="0" w:color="auto"/>
            </w:tcBorders>
            <w:hideMark/>
          </w:tcPr>
          <w:p w14:paraId="3FB1ECE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27D94DE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0044</w:t>
            </w:r>
          </w:p>
        </w:tc>
        <w:tc>
          <w:tcPr>
            <w:tcW w:w="905" w:type="dxa"/>
            <w:tcBorders>
              <w:top w:val="single" w:sz="4" w:space="0" w:color="auto"/>
              <w:left w:val="single" w:sz="4" w:space="0" w:color="auto"/>
              <w:bottom w:val="single" w:sz="4" w:space="0" w:color="auto"/>
              <w:right w:val="single" w:sz="4" w:space="0" w:color="auto"/>
            </w:tcBorders>
            <w:hideMark/>
          </w:tcPr>
          <w:p w14:paraId="568D77E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0C3E61A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5034A04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0044</w:t>
            </w:r>
          </w:p>
        </w:tc>
        <w:tc>
          <w:tcPr>
            <w:tcW w:w="846" w:type="dxa"/>
            <w:tcBorders>
              <w:top w:val="single" w:sz="4" w:space="0" w:color="auto"/>
              <w:left w:val="single" w:sz="4" w:space="0" w:color="auto"/>
              <w:bottom w:val="single" w:sz="4" w:space="0" w:color="auto"/>
              <w:right w:val="single" w:sz="4" w:space="0" w:color="auto"/>
            </w:tcBorders>
            <w:hideMark/>
          </w:tcPr>
          <w:p w14:paraId="0DF68E0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846" w:type="dxa"/>
            <w:tcBorders>
              <w:top w:val="single" w:sz="4" w:space="0" w:color="auto"/>
              <w:left w:val="single" w:sz="4" w:space="0" w:color="auto"/>
              <w:bottom w:val="single" w:sz="4" w:space="0" w:color="auto"/>
              <w:right w:val="single" w:sz="4" w:space="0" w:color="auto"/>
            </w:tcBorders>
            <w:hideMark/>
          </w:tcPr>
          <w:p w14:paraId="46B282A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5CA513FC" w14:textId="77777777" w:rsidTr="00A2588D">
        <w:trPr>
          <w:jc w:val="center"/>
        </w:trPr>
        <w:tc>
          <w:tcPr>
            <w:tcW w:w="2511" w:type="dxa"/>
            <w:gridSpan w:val="5"/>
            <w:tcBorders>
              <w:top w:val="single" w:sz="4" w:space="0" w:color="auto"/>
              <w:left w:val="single" w:sz="4" w:space="0" w:color="auto"/>
              <w:bottom w:val="single" w:sz="4" w:space="0" w:color="auto"/>
              <w:right w:val="single" w:sz="4" w:space="0" w:color="auto"/>
            </w:tcBorders>
            <w:hideMark/>
          </w:tcPr>
          <w:p w14:paraId="57F2EA3D" w14:textId="77777777" w:rsidR="00A2588D" w:rsidRDefault="00A2588D" w:rsidP="00A2588D">
            <w:pPr>
              <w:widowControl w:val="0"/>
              <w:autoSpaceDE w:val="0"/>
              <w:autoSpaceDN w:val="0"/>
              <w:adjustRightInd w:val="0"/>
              <w:ind w:left="11"/>
              <w:rPr>
                <w:rFonts w:ascii="Sylfaen" w:hAnsi="Sylfaen" w:cs="Arial"/>
                <w:b/>
                <w:bCs/>
                <w:sz w:val="20"/>
                <w:szCs w:val="20"/>
                <w:lang w:val="ka-GE"/>
              </w:rPr>
            </w:pPr>
            <w:r>
              <w:rPr>
                <w:rFonts w:ascii="Sylfaen" w:hAnsi="Sylfaen" w:cs="Arial"/>
                <w:b/>
                <w:bCs/>
                <w:sz w:val="20"/>
                <w:szCs w:val="20"/>
                <w:lang w:val="ka-GE"/>
              </w:rPr>
              <w:t>სულ:</w:t>
            </w:r>
          </w:p>
        </w:tc>
        <w:tc>
          <w:tcPr>
            <w:tcW w:w="1314" w:type="dxa"/>
            <w:tcBorders>
              <w:top w:val="single" w:sz="4" w:space="0" w:color="auto"/>
              <w:left w:val="single" w:sz="4" w:space="0" w:color="auto"/>
              <w:bottom w:val="single" w:sz="4" w:space="0" w:color="auto"/>
              <w:right w:val="single" w:sz="4" w:space="0" w:color="auto"/>
            </w:tcBorders>
            <w:hideMark/>
          </w:tcPr>
          <w:p w14:paraId="1D1105B2"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0119395</w:t>
            </w:r>
          </w:p>
        </w:tc>
        <w:tc>
          <w:tcPr>
            <w:tcW w:w="335" w:type="dxa"/>
            <w:tcBorders>
              <w:top w:val="single" w:sz="4" w:space="0" w:color="auto"/>
              <w:left w:val="single" w:sz="4" w:space="0" w:color="auto"/>
              <w:bottom w:val="single" w:sz="4" w:space="0" w:color="auto"/>
              <w:right w:val="single" w:sz="4" w:space="0" w:color="auto"/>
            </w:tcBorders>
          </w:tcPr>
          <w:p w14:paraId="311447D8"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7214FC90"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2779</w:t>
            </w:r>
          </w:p>
        </w:tc>
        <w:tc>
          <w:tcPr>
            <w:tcW w:w="1825" w:type="dxa"/>
            <w:gridSpan w:val="2"/>
            <w:tcBorders>
              <w:top w:val="single" w:sz="4" w:space="0" w:color="auto"/>
              <w:left w:val="single" w:sz="4" w:space="0" w:color="auto"/>
              <w:bottom w:val="single" w:sz="4" w:space="0" w:color="auto"/>
              <w:right w:val="single" w:sz="4" w:space="0" w:color="auto"/>
            </w:tcBorders>
          </w:tcPr>
          <w:p w14:paraId="2A2A0B03"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963" w:type="dxa"/>
            <w:tcBorders>
              <w:top w:val="single" w:sz="4" w:space="0" w:color="auto"/>
              <w:left w:val="single" w:sz="4" w:space="0" w:color="auto"/>
              <w:bottom w:val="single" w:sz="4" w:space="0" w:color="auto"/>
              <w:right w:val="single" w:sz="4" w:space="0" w:color="auto"/>
            </w:tcBorders>
            <w:hideMark/>
          </w:tcPr>
          <w:p w14:paraId="29F53EBE"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2776</w:t>
            </w:r>
          </w:p>
        </w:tc>
        <w:tc>
          <w:tcPr>
            <w:tcW w:w="1693" w:type="dxa"/>
            <w:gridSpan w:val="2"/>
            <w:tcBorders>
              <w:top w:val="single" w:sz="4" w:space="0" w:color="auto"/>
              <w:left w:val="single" w:sz="4" w:space="0" w:color="auto"/>
              <w:bottom w:val="single" w:sz="4" w:space="0" w:color="auto"/>
              <w:right w:val="single" w:sz="4" w:space="0" w:color="auto"/>
            </w:tcBorders>
          </w:tcPr>
          <w:p w14:paraId="4074D1E5" w14:textId="77777777" w:rsidR="00A2588D" w:rsidRDefault="00A2588D" w:rsidP="00A2588D">
            <w:pPr>
              <w:widowControl w:val="0"/>
              <w:autoSpaceDE w:val="0"/>
              <w:autoSpaceDN w:val="0"/>
              <w:adjustRightInd w:val="0"/>
              <w:ind w:left="11"/>
              <w:rPr>
                <w:rFonts w:ascii="Sylfaen" w:hAnsi="Sylfaen" w:cs="Arial"/>
                <w:sz w:val="20"/>
                <w:szCs w:val="20"/>
                <w:lang w:val="ka-GE"/>
              </w:rPr>
            </w:pPr>
          </w:p>
        </w:tc>
      </w:tr>
    </w:tbl>
    <w:p w14:paraId="43FC839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0330</w:t>
      </w:r>
      <w:r>
        <w:rPr>
          <w:rFonts w:ascii="Sylfaen" w:hAnsi="Sylfaen" w:cs="Arial"/>
          <w:b/>
          <w:bCs/>
          <w:sz w:val="20"/>
          <w:szCs w:val="20"/>
          <w:lang w:val="ka-GE"/>
        </w:rPr>
        <w:t xml:space="preserve">   გოგირდის დიოქსიდი</w:t>
      </w:r>
    </w:p>
    <w:tbl>
      <w:tblPr>
        <w:tblW w:w="0" w:type="auto"/>
        <w:jc w:val="center"/>
        <w:tblLayout w:type="fixed"/>
        <w:tblCellMar>
          <w:left w:w="0" w:type="dxa"/>
          <w:right w:w="0" w:type="dxa"/>
        </w:tblCellMar>
        <w:tblLook w:val="04A0" w:firstRow="1" w:lastRow="0" w:firstColumn="1" w:lastColumn="0" w:noHBand="0" w:noVBand="1"/>
      </w:tblPr>
      <w:tblGrid>
        <w:gridCol w:w="511"/>
        <w:gridCol w:w="467"/>
        <w:gridCol w:w="525"/>
        <w:gridCol w:w="481"/>
        <w:gridCol w:w="527"/>
        <w:gridCol w:w="1314"/>
        <w:gridCol w:w="335"/>
        <w:gridCol w:w="1007"/>
        <w:gridCol w:w="905"/>
        <w:gridCol w:w="920"/>
        <w:gridCol w:w="963"/>
        <w:gridCol w:w="846"/>
        <w:gridCol w:w="848"/>
      </w:tblGrid>
      <w:tr w:rsidR="00A2588D" w14:paraId="00FE66F9" w14:textId="77777777" w:rsidTr="00A2588D">
        <w:trPr>
          <w:jc w:val="center"/>
        </w:trPr>
        <w:tc>
          <w:tcPr>
            <w:tcW w:w="511" w:type="dxa"/>
            <w:tcBorders>
              <w:top w:val="single" w:sz="4" w:space="0" w:color="auto"/>
              <w:left w:val="single" w:sz="4" w:space="0" w:color="auto"/>
              <w:bottom w:val="nil"/>
              <w:right w:val="single" w:sz="4" w:space="0" w:color="auto"/>
            </w:tcBorders>
            <w:hideMark/>
          </w:tcPr>
          <w:p w14:paraId="494FFD0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lastRenderedPageBreak/>
              <w:t>№</w:t>
            </w:r>
          </w:p>
          <w:p w14:paraId="1CAC08C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მოედ.</w:t>
            </w:r>
          </w:p>
        </w:tc>
        <w:tc>
          <w:tcPr>
            <w:tcW w:w="467" w:type="dxa"/>
            <w:tcBorders>
              <w:top w:val="single" w:sz="4" w:space="0" w:color="auto"/>
              <w:left w:val="single" w:sz="4" w:space="0" w:color="auto"/>
              <w:bottom w:val="nil"/>
              <w:right w:val="single" w:sz="4" w:space="0" w:color="auto"/>
            </w:tcBorders>
            <w:hideMark/>
          </w:tcPr>
          <w:p w14:paraId="0EDAB74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77B6F776"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საამქ.</w:t>
            </w:r>
          </w:p>
        </w:tc>
        <w:tc>
          <w:tcPr>
            <w:tcW w:w="525" w:type="dxa"/>
            <w:tcBorders>
              <w:top w:val="single" w:sz="4" w:space="0" w:color="auto"/>
              <w:left w:val="single" w:sz="4" w:space="0" w:color="auto"/>
              <w:bottom w:val="nil"/>
              <w:right w:val="single" w:sz="4" w:space="0" w:color="auto"/>
            </w:tcBorders>
            <w:hideMark/>
          </w:tcPr>
          <w:p w14:paraId="414058B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5C97244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წყაროს</w:t>
            </w:r>
          </w:p>
        </w:tc>
        <w:tc>
          <w:tcPr>
            <w:tcW w:w="481" w:type="dxa"/>
            <w:tcBorders>
              <w:top w:val="single" w:sz="4" w:space="0" w:color="auto"/>
              <w:left w:val="single" w:sz="4" w:space="0" w:color="auto"/>
              <w:bottom w:val="nil"/>
              <w:right w:val="single" w:sz="4" w:space="0" w:color="auto"/>
            </w:tcBorders>
            <w:hideMark/>
          </w:tcPr>
          <w:p w14:paraId="2D58083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ტიპი</w:t>
            </w:r>
          </w:p>
        </w:tc>
        <w:tc>
          <w:tcPr>
            <w:tcW w:w="527" w:type="dxa"/>
            <w:tcBorders>
              <w:top w:val="single" w:sz="4" w:space="0" w:color="auto"/>
              <w:left w:val="single" w:sz="4" w:space="0" w:color="auto"/>
              <w:bottom w:val="nil"/>
              <w:right w:val="single" w:sz="4" w:space="0" w:color="auto"/>
            </w:tcBorders>
            <w:hideMark/>
          </w:tcPr>
          <w:p w14:paraId="254118C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აღრიცხვა</w:t>
            </w:r>
          </w:p>
        </w:tc>
        <w:tc>
          <w:tcPr>
            <w:tcW w:w="1314" w:type="dxa"/>
            <w:tcBorders>
              <w:top w:val="single" w:sz="4" w:space="0" w:color="auto"/>
              <w:left w:val="single" w:sz="4" w:space="0" w:color="auto"/>
              <w:bottom w:val="nil"/>
              <w:right w:val="single" w:sz="4" w:space="0" w:color="auto"/>
            </w:tcBorders>
            <w:hideMark/>
          </w:tcPr>
          <w:p w14:paraId="4D6147F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გაფრქვევა</w:t>
            </w:r>
          </w:p>
          <w:p w14:paraId="281394B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(გ/წმ)</w:t>
            </w:r>
          </w:p>
        </w:tc>
        <w:tc>
          <w:tcPr>
            <w:tcW w:w="335" w:type="dxa"/>
            <w:tcBorders>
              <w:top w:val="single" w:sz="4" w:space="0" w:color="auto"/>
              <w:left w:val="single" w:sz="4" w:space="0" w:color="auto"/>
              <w:bottom w:val="nil"/>
              <w:right w:val="single" w:sz="4" w:space="0" w:color="auto"/>
            </w:tcBorders>
            <w:hideMark/>
          </w:tcPr>
          <w:p w14:paraId="123E231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F</w:t>
            </w:r>
          </w:p>
        </w:tc>
        <w:tc>
          <w:tcPr>
            <w:tcW w:w="2832" w:type="dxa"/>
            <w:gridSpan w:val="3"/>
            <w:tcBorders>
              <w:top w:val="single" w:sz="4" w:space="0" w:color="auto"/>
              <w:left w:val="single" w:sz="4" w:space="0" w:color="auto"/>
              <w:bottom w:val="single" w:sz="4" w:space="0" w:color="auto"/>
              <w:right w:val="single" w:sz="4" w:space="0" w:color="auto"/>
            </w:tcBorders>
            <w:hideMark/>
          </w:tcPr>
          <w:p w14:paraId="74D478E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hideMark/>
          </w:tcPr>
          <w:p w14:paraId="162E159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ზამთ.</w:t>
            </w:r>
          </w:p>
        </w:tc>
      </w:tr>
      <w:tr w:rsidR="00A2588D" w14:paraId="162E8872" w14:textId="77777777" w:rsidTr="00A2588D">
        <w:trPr>
          <w:jc w:val="center"/>
        </w:trPr>
        <w:tc>
          <w:tcPr>
            <w:tcW w:w="511" w:type="dxa"/>
            <w:tcBorders>
              <w:top w:val="nil"/>
              <w:left w:val="single" w:sz="4" w:space="0" w:color="auto"/>
              <w:bottom w:val="single" w:sz="4" w:space="0" w:color="auto"/>
              <w:right w:val="single" w:sz="4" w:space="0" w:color="auto"/>
            </w:tcBorders>
          </w:tcPr>
          <w:p w14:paraId="3AC1054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67" w:type="dxa"/>
            <w:tcBorders>
              <w:top w:val="nil"/>
              <w:left w:val="single" w:sz="4" w:space="0" w:color="auto"/>
              <w:bottom w:val="single" w:sz="4" w:space="0" w:color="auto"/>
              <w:right w:val="single" w:sz="4" w:space="0" w:color="auto"/>
            </w:tcBorders>
          </w:tcPr>
          <w:p w14:paraId="19F4055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417E387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81" w:type="dxa"/>
            <w:tcBorders>
              <w:top w:val="nil"/>
              <w:left w:val="single" w:sz="4" w:space="0" w:color="auto"/>
              <w:bottom w:val="single" w:sz="4" w:space="0" w:color="auto"/>
              <w:right w:val="single" w:sz="4" w:space="0" w:color="auto"/>
            </w:tcBorders>
          </w:tcPr>
          <w:p w14:paraId="2249273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7" w:type="dxa"/>
            <w:tcBorders>
              <w:top w:val="nil"/>
              <w:left w:val="single" w:sz="4" w:space="0" w:color="auto"/>
              <w:bottom w:val="single" w:sz="4" w:space="0" w:color="auto"/>
              <w:right w:val="single" w:sz="4" w:space="0" w:color="auto"/>
            </w:tcBorders>
          </w:tcPr>
          <w:p w14:paraId="6B7237B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314" w:type="dxa"/>
            <w:tcBorders>
              <w:top w:val="nil"/>
              <w:left w:val="single" w:sz="4" w:space="0" w:color="auto"/>
              <w:bottom w:val="single" w:sz="4" w:space="0" w:color="auto"/>
              <w:right w:val="single" w:sz="4" w:space="0" w:color="auto"/>
            </w:tcBorders>
          </w:tcPr>
          <w:p w14:paraId="17D0D71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335" w:type="dxa"/>
            <w:tcBorders>
              <w:top w:val="nil"/>
              <w:left w:val="single" w:sz="4" w:space="0" w:color="auto"/>
              <w:bottom w:val="single" w:sz="4" w:space="0" w:color="auto"/>
              <w:right w:val="single" w:sz="4" w:space="0" w:color="auto"/>
            </w:tcBorders>
          </w:tcPr>
          <w:p w14:paraId="41D8D61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3699FB6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905" w:type="dxa"/>
            <w:tcBorders>
              <w:top w:val="single" w:sz="4" w:space="0" w:color="auto"/>
              <w:left w:val="single" w:sz="4" w:space="0" w:color="auto"/>
              <w:bottom w:val="single" w:sz="4" w:space="0" w:color="auto"/>
              <w:right w:val="single" w:sz="4" w:space="0" w:color="auto"/>
            </w:tcBorders>
            <w:hideMark/>
          </w:tcPr>
          <w:p w14:paraId="4C4FAB5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920" w:type="dxa"/>
            <w:tcBorders>
              <w:top w:val="single" w:sz="4" w:space="0" w:color="auto"/>
              <w:left w:val="single" w:sz="4" w:space="0" w:color="auto"/>
              <w:bottom w:val="single" w:sz="4" w:space="0" w:color="auto"/>
              <w:right w:val="single" w:sz="4" w:space="0" w:color="auto"/>
            </w:tcBorders>
            <w:hideMark/>
          </w:tcPr>
          <w:p w14:paraId="276BFBA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c>
          <w:tcPr>
            <w:tcW w:w="963" w:type="dxa"/>
            <w:tcBorders>
              <w:top w:val="single" w:sz="4" w:space="0" w:color="auto"/>
              <w:left w:val="single" w:sz="4" w:space="0" w:color="auto"/>
              <w:bottom w:val="single" w:sz="4" w:space="0" w:color="auto"/>
              <w:right w:val="single" w:sz="4" w:space="0" w:color="auto"/>
            </w:tcBorders>
            <w:hideMark/>
          </w:tcPr>
          <w:p w14:paraId="74A2C6A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846" w:type="dxa"/>
            <w:tcBorders>
              <w:top w:val="single" w:sz="4" w:space="0" w:color="auto"/>
              <w:left w:val="single" w:sz="4" w:space="0" w:color="auto"/>
              <w:bottom w:val="single" w:sz="4" w:space="0" w:color="auto"/>
              <w:right w:val="single" w:sz="4" w:space="0" w:color="auto"/>
            </w:tcBorders>
            <w:hideMark/>
          </w:tcPr>
          <w:p w14:paraId="23AB03D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848" w:type="dxa"/>
            <w:tcBorders>
              <w:top w:val="single" w:sz="4" w:space="0" w:color="auto"/>
              <w:left w:val="single" w:sz="4" w:space="0" w:color="auto"/>
              <w:bottom w:val="single" w:sz="4" w:space="0" w:color="auto"/>
              <w:right w:val="single" w:sz="4" w:space="0" w:color="auto"/>
            </w:tcBorders>
            <w:hideMark/>
          </w:tcPr>
          <w:p w14:paraId="72BEA0D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r>
      <w:tr w:rsidR="00A2588D" w14:paraId="25600C71"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1235339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1E08E7D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56B327F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481" w:type="dxa"/>
            <w:tcBorders>
              <w:top w:val="single" w:sz="4" w:space="0" w:color="auto"/>
              <w:left w:val="single" w:sz="4" w:space="0" w:color="auto"/>
              <w:bottom w:val="single" w:sz="4" w:space="0" w:color="auto"/>
              <w:right w:val="single" w:sz="4" w:space="0" w:color="auto"/>
            </w:tcBorders>
            <w:hideMark/>
          </w:tcPr>
          <w:p w14:paraId="3210975B"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7" w:type="dxa"/>
            <w:tcBorders>
              <w:top w:val="single" w:sz="4" w:space="0" w:color="auto"/>
              <w:left w:val="single" w:sz="4" w:space="0" w:color="auto"/>
              <w:bottom w:val="single" w:sz="4" w:space="0" w:color="auto"/>
              <w:right w:val="single" w:sz="4" w:space="0" w:color="auto"/>
            </w:tcBorders>
            <w:hideMark/>
          </w:tcPr>
          <w:p w14:paraId="418B3E1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15DB10B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0033200</w:t>
            </w:r>
          </w:p>
        </w:tc>
        <w:tc>
          <w:tcPr>
            <w:tcW w:w="335" w:type="dxa"/>
            <w:tcBorders>
              <w:top w:val="single" w:sz="4" w:space="0" w:color="auto"/>
              <w:left w:val="single" w:sz="4" w:space="0" w:color="auto"/>
              <w:bottom w:val="single" w:sz="4" w:space="0" w:color="auto"/>
              <w:right w:val="single" w:sz="4" w:space="0" w:color="auto"/>
            </w:tcBorders>
            <w:hideMark/>
          </w:tcPr>
          <w:p w14:paraId="101D141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4697DD5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0280</w:t>
            </w:r>
          </w:p>
        </w:tc>
        <w:tc>
          <w:tcPr>
            <w:tcW w:w="905" w:type="dxa"/>
            <w:tcBorders>
              <w:top w:val="single" w:sz="4" w:space="0" w:color="auto"/>
              <w:left w:val="single" w:sz="4" w:space="0" w:color="auto"/>
              <w:bottom w:val="single" w:sz="4" w:space="0" w:color="auto"/>
              <w:right w:val="single" w:sz="4" w:space="0" w:color="auto"/>
            </w:tcBorders>
            <w:hideMark/>
          </w:tcPr>
          <w:p w14:paraId="4B13348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920" w:type="dxa"/>
            <w:tcBorders>
              <w:top w:val="single" w:sz="4" w:space="0" w:color="auto"/>
              <w:left w:val="single" w:sz="4" w:space="0" w:color="auto"/>
              <w:bottom w:val="single" w:sz="4" w:space="0" w:color="auto"/>
              <w:right w:val="single" w:sz="4" w:space="0" w:color="auto"/>
            </w:tcBorders>
            <w:hideMark/>
          </w:tcPr>
          <w:p w14:paraId="3AD3551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5875489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0280</w:t>
            </w:r>
          </w:p>
        </w:tc>
        <w:tc>
          <w:tcPr>
            <w:tcW w:w="846" w:type="dxa"/>
            <w:tcBorders>
              <w:top w:val="single" w:sz="4" w:space="0" w:color="auto"/>
              <w:left w:val="single" w:sz="4" w:space="0" w:color="auto"/>
              <w:bottom w:val="single" w:sz="4" w:space="0" w:color="auto"/>
              <w:right w:val="single" w:sz="4" w:space="0" w:color="auto"/>
            </w:tcBorders>
            <w:hideMark/>
          </w:tcPr>
          <w:p w14:paraId="266DFFB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848" w:type="dxa"/>
            <w:tcBorders>
              <w:top w:val="single" w:sz="4" w:space="0" w:color="auto"/>
              <w:left w:val="single" w:sz="4" w:space="0" w:color="auto"/>
              <w:bottom w:val="single" w:sz="4" w:space="0" w:color="auto"/>
              <w:right w:val="single" w:sz="4" w:space="0" w:color="auto"/>
            </w:tcBorders>
            <w:hideMark/>
          </w:tcPr>
          <w:p w14:paraId="64F8519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41F2E550"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70CA100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12D6F47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5B6CDA4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481" w:type="dxa"/>
            <w:tcBorders>
              <w:top w:val="single" w:sz="4" w:space="0" w:color="auto"/>
              <w:left w:val="single" w:sz="4" w:space="0" w:color="auto"/>
              <w:bottom w:val="single" w:sz="4" w:space="0" w:color="auto"/>
              <w:right w:val="single" w:sz="4" w:space="0" w:color="auto"/>
            </w:tcBorders>
            <w:hideMark/>
          </w:tcPr>
          <w:p w14:paraId="79FEFBA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7" w:type="dxa"/>
            <w:tcBorders>
              <w:top w:val="single" w:sz="4" w:space="0" w:color="auto"/>
              <w:left w:val="single" w:sz="4" w:space="0" w:color="auto"/>
              <w:bottom w:val="single" w:sz="4" w:space="0" w:color="auto"/>
              <w:right w:val="single" w:sz="4" w:space="0" w:color="auto"/>
            </w:tcBorders>
            <w:hideMark/>
          </w:tcPr>
          <w:p w14:paraId="460A484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1382E42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0033200</w:t>
            </w:r>
          </w:p>
        </w:tc>
        <w:tc>
          <w:tcPr>
            <w:tcW w:w="335" w:type="dxa"/>
            <w:tcBorders>
              <w:top w:val="single" w:sz="4" w:space="0" w:color="auto"/>
              <w:left w:val="single" w:sz="4" w:space="0" w:color="auto"/>
              <w:bottom w:val="single" w:sz="4" w:space="0" w:color="auto"/>
              <w:right w:val="single" w:sz="4" w:space="0" w:color="auto"/>
            </w:tcBorders>
            <w:hideMark/>
          </w:tcPr>
          <w:p w14:paraId="1F78177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5D28316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0280</w:t>
            </w:r>
          </w:p>
        </w:tc>
        <w:tc>
          <w:tcPr>
            <w:tcW w:w="905" w:type="dxa"/>
            <w:tcBorders>
              <w:top w:val="single" w:sz="4" w:space="0" w:color="auto"/>
              <w:left w:val="single" w:sz="4" w:space="0" w:color="auto"/>
              <w:bottom w:val="single" w:sz="4" w:space="0" w:color="auto"/>
              <w:right w:val="single" w:sz="4" w:space="0" w:color="auto"/>
            </w:tcBorders>
            <w:hideMark/>
          </w:tcPr>
          <w:p w14:paraId="69FB1C3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920" w:type="dxa"/>
            <w:tcBorders>
              <w:top w:val="single" w:sz="4" w:space="0" w:color="auto"/>
              <w:left w:val="single" w:sz="4" w:space="0" w:color="auto"/>
              <w:bottom w:val="single" w:sz="4" w:space="0" w:color="auto"/>
              <w:right w:val="single" w:sz="4" w:space="0" w:color="auto"/>
            </w:tcBorders>
            <w:hideMark/>
          </w:tcPr>
          <w:p w14:paraId="6176833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1A94738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0280</w:t>
            </w:r>
          </w:p>
        </w:tc>
        <w:tc>
          <w:tcPr>
            <w:tcW w:w="846" w:type="dxa"/>
            <w:tcBorders>
              <w:top w:val="single" w:sz="4" w:space="0" w:color="auto"/>
              <w:left w:val="single" w:sz="4" w:space="0" w:color="auto"/>
              <w:bottom w:val="single" w:sz="4" w:space="0" w:color="auto"/>
              <w:right w:val="single" w:sz="4" w:space="0" w:color="auto"/>
            </w:tcBorders>
            <w:hideMark/>
          </w:tcPr>
          <w:p w14:paraId="4C21C64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848" w:type="dxa"/>
            <w:tcBorders>
              <w:top w:val="single" w:sz="4" w:space="0" w:color="auto"/>
              <w:left w:val="single" w:sz="4" w:space="0" w:color="auto"/>
              <w:bottom w:val="single" w:sz="4" w:space="0" w:color="auto"/>
              <w:right w:val="single" w:sz="4" w:space="0" w:color="auto"/>
            </w:tcBorders>
            <w:hideMark/>
          </w:tcPr>
          <w:p w14:paraId="46BFAA3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1F6BD3A0"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1E54114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1A274A6D"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705F0093"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8</w:t>
            </w:r>
          </w:p>
        </w:tc>
        <w:tc>
          <w:tcPr>
            <w:tcW w:w="481" w:type="dxa"/>
            <w:tcBorders>
              <w:top w:val="single" w:sz="4" w:space="0" w:color="auto"/>
              <w:left w:val="single" w:sz="4" w:space="0" w:color="auto"/>
              <w:bottom w:val="single" w:sz="4" w:space="0" w:color="auto"/>
              <w:right w:val="single" w:sz="4" w:space="0" w:color="auto"/>
            </w:tcBorders>
            <w:hideMark/>
          </w:tcPr>
          <w:p w14:paraId="07A6047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527" w:type="dxa"/>
            <w:tcBorders>
              <w:top w:val="single" w:sz="4" w:space="0" w:color="auto"/>
              <w:left w:val="single" w:sz="4" w:space="0" w:color="auto"/>
              <w:bottom w:val="single" w:sz="4" w:space="0" w:color="auto"/>
              <w:right w:val="single" w:sz="4" w:space="0" w:color="auto"/>
            </w:tcBorders>
            <w:hideMark/>
          </w:tcPr>
          <w:p w14:paraId="0705DC7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06E8750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0152778</w:t>
            </w:r>
          </w:p>
        </w:tc>
        <w:tc>
          <w:tcPr>
            <w:tcW w:w="335" w:type="dxa"/>
            <w:tcBorders>
              <w:top w:val="single" w:sz="4" w:space="0" w:color="auto"/>
              <w:left w:val="single" w:sz="4" w:space="0" w:color="auto"/>
              <w:bottom w:val="single" w:sz="4" w:space="0" w:color="auto"/>
              <w:right w:val="single" w:sz="4" w:space="0" w:color="auto"/>
            </w:tcBorders>
            <w:hideMark/>
          </w:tcPr>
          <w:p w14:paraId="1EDEBB0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61B8DBF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0342</w:t>
            </w:r>
          </w:p>
        </w:tc>
        <w:tc>
          <w:tcPr>
            <w:tcW w:w="905" w:type="dxa"/>
            <w:tcBorders>
              <w:top w:val="single" w:sz="4" w:space="0" w:color="auto"/>
              <w:left w:val="single" w:sz="4" w:space="0" w:color="auto"/>
              <w:bottom w:val="single" w:sz="4" w:space="0" w:color="auto"/>
              <w:right w:val="single" w:sz="4" w:space="0" w:color="auto"/>
            </w:tcBorders>
            <w:hideMark/>
          </w:tcPr>
          <w:p w14:paraId="0BDAB0C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68</w:t>
            </w:r>
            <w:r>
              <w:rPr>
                <w:rFonts w:ascii="Sylfaen" w:hAnsi="Sylfaen" w:cs="Arial"/>
                <w:sz w:val="20"/>
                <w:szCs w:val="20"/>
                <w:lang w:val="ka-GE"/>
              </w:rPr>
              <w:t>,</w:t>
            </w:r>
            <w:r>
              <w:rPr>
                <w:rFonts w:ascii="Sylfaen" w:hAnsi="Sylfaen"/>
                <w:sz w:val="20"/>
                <w:szCs w:val="20"/>
                <w:lang w:val="ka-GE"/>
              </w:rPr>
              <w:t>79</w:t>
            </w:r>
          </w:p>
        </w:tc>
        <w:tc>
          <w:tcPr>
            <w:tcW w:w="920" w:type="dxa"/>
            <w:tcBorders>
              <w:top w:val="single" w:sz="4" w:space="0" w:color="auto"/>
              <w:left w:val="single" w:sz="4" w:space="0" w:color="auto"/>
              <w:bottom w:val="single" w:sz="4" w:space="0" w:color="auto"/>
              <w:right w:val="single" w:sz="4" w:space="0" w:color="auto"/>
            </w:tcBorders>
            <w:hideMark/>
          </w:tcPr>
          <w:p w14:paraId="5FBD72C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w:t>
            </w:r>
            <w:r>
              <w:rPr>
                <w:rFonts w:ascii="Sylfaen" w:hAnsi="Sylfaen"/>
                <w:sz w:val="20"/>
                <w:szCs w:val="20"/>
                <w:lang w:val="ka-GE"/>
              </w:rPr>
              <w:t>9158</w:t>
            </w:r>
          </w:p>
        </w:tc>
        <w:tc>
          <w:tcPr>
            <w:tcW w:w="963" w:type="dxa"/>
            <w:tcBorders>
              <w:top w:val="single" w:sz="4" w:space="0" w:color="auto"/>
              <w:left w:val="single" w:sz="4" w:space="0" w:color="auto"/>
              <w:bottom w:val="single" w:sz="4" w:space="0" w:color="auto"/>
              <w:right w:val="single" w:sz="4" w:space="0" w:color="auto"/>
            </w:tcBorders>
            <w:hideMark/>
          </w:tcPr>
          <w:p w14:paraId="01EA038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0337</w:t>
            </w:r>
          </w:p>
        </w:tc>
        <w:tc>
          <w:tcPr>
            <w:tcW w:w="846" w:type="dxa"/>
            <w:tcBorders>
              <w:top w:val="single" w:sz="4" w:space="0" w:color="auto"/>
              <w:left w:val="single" w:sz="4" w:space="0" w:color="auto"/>
              <w:bottom w:val="single" w:sz="4" w:space="0" w:color="auto"/>
              <w:right w:val="single" w:sz="4" w:space="0" w:color="auto"/>
            </w:tcBorders>
            <w:hideMark/>
          </w:tcPr>
          <w:p w14:paraId="09954E5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69</w:t>
            </w:r>
            <w:r>
              <w:rPr>
                <w:rFonts w:ascii="Sylfaen" w:hAnsi="Sylfaen" w:cs="Arial"/>
                <w:sz w:val="20"/>
                <w:szCs w:val="20"/>
                <w:lang w:val="ka-GE"/>
              </w:rPr>
              <w:t>,</w:t>
            </w:r>
            <w:r>
              <w:rPr>
                <w:rFonts w:ascii="Sylfaen" w:hAnsi="Sylfaen"/>
                <w:sz w:val="20"/>
                <w:szCs w:val="20"/>
                <w:lang w:val="ka-GE"/>
              </w:rPr>
              <w:t>99</w:t>
            </w:r>
          </w:p>
        </w:tc>
        <w:tc>
          <w:tcPr>
            <w:tcW w:w="848" w:type="dxa"/>
            <w:tcBorders>
              <w:top w:val="single" w:sz="4" w:space="0" w:color="auto"/>
              <w:left w:val="single" w:sz="4" w:space="0" w:color="auto"/>
              <w:bottom w:val="single" w:sz="4" w:space="0" w:color="auto"/>
              <w:right w:val="single" w:sz="4" w:space="0" w:color="auto"/>
            </w:tcBorders>
            <w:hideMark/>
          </w:tcPr>
          <w:p w14:paraId="3FEA6D3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w:t>
            </w:r>
            <w:r>
              <w:rPr>
                <w:rFonts w:ascii="Sylfaen" w:hAnsi="Sylfaen"/>
                <w:sz w:val="20"/>
                <w:szCs w:val="20"/>
                <w:lang w:val="ka-GE"/>
              </w:rPr>
              <w:t>9640</w:t>
            </w:r>
          </w:p>
        </w:tc>
      </w:tr>
      <w:tr w:rsidR="00A2588D" w14:paraId="7C94E3E7"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06A25BB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1DA57D5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70C5F76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9</w:t>
            </w:r>
          </w:p>
        </w:tc>
        <w:tc>
          <w:tcPr>
            <w:tcW w:w="481" w:type="dxa"/>
            <w:tcBorders>
              <w:top w:val="single" w:sz="4" w:space="0" w:color="auto"/>
              <w:left w:val="single" w:sz="4" w:space="0" w:color="auto"/>
              <w:bottom w:val="single" w:sz="4" w:space="0" w:color="auto"/>
              <w:right w:val="single" w:sz="4" w:space="0" w:color="auto"/>
            </w:tcBorders>
            <w:hideMark/>
          </w:tcPr>
          <w:p w14:paraId="75B0F5D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7" w:type="dxa"/>
            <w:tcBorders>
              <w:top w:val="single" w:sz="4" w:space="0" w:color="auto"/>
              <w:left w:val="single" w:sz="4" w:space="0" w:color="auto"/>
              <w:bottom w:val="single" w:sz="4" w:space="0" w:color="auto"/>
              <w:right w:val="single" w:sz="4" w:space="0" w:color="auto"/>
            </w:tcBorders>
            <w:hideMark/>
          </w:tcPr>
          <w:p w14:paraId="20D5428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306713A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0008333</w:t>
            </w:r>
          </w:p>
        </w:tc>
        <w:tc>
          <w:tcPr>
            <w:tcW w:w="335" w:type="dxa"/>
            <w:tcBorders>
              <w:top w:val="single" w:sz="4" w:space="0" w:color="auto"/>
              <w:left w:val="single" w:sz="4" w:space="0" w:color="auto"/>
              <w:bottom w:val="single" w:sz="4" w:space="0" w:color="auto"/>
              <w:right w:val="single" w:sz="4" w:space="0" w:color="auto"/>
            </w:tcBorders>
            <w:hideMark/>
          </w:tcPr>
          <w:p w14:paraId="7D6903B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40C089D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0070</w:t>
            </w:r>
          </w:p>
        </w:tc>
        <w:tc>
          <w:tcPr>
            <w:tcW w:w="905" w:type="dxa"/>
            <w:tcBorders>
              <w:top w:val="single" w:sz="4" w:space="0" w:color="auto"/>
              <w:left w:val="single" w:sz="4" w:space="0" w:color="auto"/>
              <w:bottom w:val="single" w:sz="4" w:space="0" w:color="auto"/>
              <w:right w:val="single" w:sz="4" w:space="0" w:color="auto"/>
            </w:tcBorders>
            <w:hideMark/>
          </w:tcPr>
          <w:p w14:paraId="357457B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920" w:type="dxa"/>
            <w:tcBorders>
              <w:top w:val="single" w:sz="4" w:space="0" w:color="auto"/>
              <w:left w:val="single" w:sz="4" w:space="0" w:color="auto"/>
              <w:bottom w:val="single" w:sz="4" w:space="0" w:color="auto"/>
              <w:right w:val="single" w:sz="4" w:space="0" w:color="auto"/>
            </w:tcBorders>
            <w:hideMark/>
          </w:tcPr>
          <w:p w14:paraId="4B55EF2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3AC5A08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0070</w:t>
            </w:r>
          </w:p>
        </w:tc>
        <w:tc>
          <w:tcPr>
            <w:tcW w:w="846" w:type="dxa"/>
            <w:tcBorders>
              <w:top w:val="single" w:sz="4" w:space="0" w:color="auto"/>
              <w:left w:val="single" w:sz="4" w:space="0" w:color="auto"/>
              <w:bottom w:val="single" w:sz="4" w:space="0" w:color="auto"/>
              <w:right w:val="single" w:sz="4" w:space="0" w:color="auto"/>
            </w:tcBorders>
            <w:hideMark/>
          </w:tcPr>
          <w:p w14:paraId="4AAC860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848" w:type="dxa"/>
            <w:tcBorders>
              <w:top w:val="single" w:sz="4" w:space="0" w:color="auto"/>
              <w:left w:val="single" w:sz="4" w:space="0" w:color="auto"/>
              <w:bottom w:val="single" w:sz="4" w:space="0" w:color="auto"/>
              <w:right w:val="single" w:sz="4" w:space="0" w:color="auto"/>
            </w:tcBorders>
            <w:hideMark/>
          </w:tcPr>
          <w:p w14:paraId="579EA7B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015C0E40" w14:textId="77777777" w:rsidTr="00A2588D">
        <w:trPr>
          <w:jc w:val="center"/>
        </w:trPr>
        <w:tc>
          <w:tcPr>
            <w:tcW w:w="2511" w:type="dxa"/>
            <w:gridSpan w:val="5"/>
            <w:tcBorders>
              <w:top w:val="single" w:sz="4" w:space="0" w:color="auto"/>
              <w:left w:val="single" w:sz="4" w:space="0" w:color="auto"/>
              <w:bottom w:val="single" w:sz="4" w:space="0" w:color="auto"/>
              <w:right w:val="single" w:sz="4" w:space="0" w:color="auto"/>
            </w:tcBorders>
            <w:hideMark/>
          </w:tcPr>
          <w:p w14:paraId="76F81F9B" w14:textId="77777777" w:rsidR="00A2588D" w:rsidRDefault="00A2588D" w:rsidP="00A2588D">
            <w:pPr>
              <w:widowControl w:val="0"/>
              <w:autoSpaceDE w:val="0"/>
              <w:autoSpaceDN w:val="0"/>
              <w:adjustRightInd w:val="0"/>
              <w:ind w:left="11"/>
              <w:rPr>
                <w:rFonts w:ascii="Sylfaen" w:hAnsi="Sylfaen" w:cs="Arial"/>
                <w:b/>
                <w:bCs/>
                <w:sz w:val="20"/>
                <w:szCs w:val="20"/>
                <w:lang w:val="ka-GE"/>
              </w:rPr>
            </w:pPr>
            <w:r>
              <w:rPr>
                <w:rFonts w:ascii="Sylfaen" w:hAnsi="Sylfaen" w:cs="Arial"/>
                <w:b/>
                <w:bCs/>
                <w:sz w:val="20"/>
                <w:szCs w:val="20"/>
                <w:lang w:val="ka-GE"/>
              </w:rPr>
              <w:t>სულ:</w:t>
            </w:r>
          </w:p>
        </w:tc>
        <w:tc>
          <w:tcPr>
            <w:tcW w:w="1314" w:type="dxa"/>
            <w:tcBorders>
              <w:top w:val="single" w:sz="4" w:space="0" w:color="auto"/>
              <w:left w:val="single" w:sz="4" w:space="0" w:color="auto"/>
              <w:bottom w:val="single" w:sz="4" w:space="0" w:color="auto"/>
              <w:right w:val="single" w:sz="4" w:space="0" w:color="auto"/>
            </w:tcBorders>
            <w:hideMark/>
          </w:tcPr>
          <w:p w14:paraId="27E185E8"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0227511</w:t>
            </w:r>
          </w:p>
        </w:tc>
        <w:tc>
          <w:tcPr>
            <w:tcW w:w="335" w:type="dxa"/>
            <w:tcBorders>
              <w:top w:val="single" w:sz="4" w:space="0" w:color="auto"/>
              <w:left w:val="single" w:sz="4" w:space="0" w:color="auto"/>
              <w:bottom w:val="single" w:sz="4" w:space="0" w:color="auto"/>
              <w:right w:val="single" w:sz="4" w:space="0" w:color="auto"/>
            </w:tcBorders>
          </w:tcPr>
          <w:p w14:paraId="11DACDDB"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1218035B"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0971</w:t>
            </w:r>
          </w:p>
        </w:tc>
        <w:tc>
          <w:tcPr>
            <w:tcW w:w="1825" w:type="dxa"/>
            <w:gridSpan w:val="2"/>
            <w:tcBorders>
              <w:top w:val="single" w:sz="4" w:space="0" w:color="auto"/>
              <w:left w:val="single" w:sz="4" w:space="0" w:color="auto"/>
              <w:bottom w:val="single" w:sz="4" w:space="0" w:color="auto"/>
              <w:right w:val="single" w:sz="4" w:space="0" w:color="auto"/>
            </w:tcBorders>
          </w:tcPr>
          <w:p w14:paraId="3E4587C2"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963" w:type="dxa"/>
            <w:tcBorders>
              <w:top w:val="single" w:sz="4" w:space="0" w:color="auto"/>
              <w:left w:val="single" w:sz="4" w:space="0" w:color="auto"/>
              <w:bottom w:val="single" w:sz="4" w:space="0" w:color="auto"/>
              <w:right w:val="single" w:sz="4" w:space="0" w:color="auto"/>
            </w:tcBorders>
            <w:hideMark/>
          </w:tcPr>
          <w:p w14:paraId="0C76052E"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0967</w:t>
            </w:r>
          </w:p>
        </w:tc>
        <w:tc>
          <w:tcPr>
            <w:tcW w:w="1694" w:type="dxa"/>
            <w:gridSpan w:val="2"/>
            <w:tcBorders>
              <w:top w:val="single" w:sz="4" w:space="0" w:color="auto"/>
              <w:left w:val="single" w:sz="4" w:space="0" w:color="auto"/>
              <w:bottom w:val="single" w:sz="4" w:space="0" w:color="auto"/>
              <w:right w:val="single" w:sz="4" w:space="0" w:color="auto"/>
            </w:tcBorders>
          </w:tcPr>
          <w:p w14:paraId="26B1782D" w14:textId="77777777" w:rsidR="00A2588D" w:rsidRDefault="00A2588D" w:rsidP="00A2588D">
            <w:pPr>
              <w:widowControl w:val="0"/>
              <w:autoSpaceDE w:val="0"/>
              <w:autoSpaceDN w:val="0"/>
              <w:adjustRightInd w:val="0"/>
              <w:ind w:left="11"/>
              <w:rPr>
                <w:rFonts w:ascii="Sylfaen" w:hAnsi="Sylfaen" w:cs="Arial"/>
                <w:sz w:val="20"/>
                <w:szCs w:val="20"/>
                <w:lang w:val="ka-GE"/>
              </w:rPr>
            </w:pPr>
          </w:p>
        </w:tc>
      </w:tr>
    </w:tbl>
    <w:p w14:paraId="439B4DB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3800721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0333</w:t>
      </w:r>
      <w:r>
        <w:rPr>
          <w:rFonts w:ascii="Sylfaen" w:hAnsi="Sylfaen" w:cs="Arial"/>
          <w:b/>
          <w:bCs/>
          <w:sz w:val="20"/>
          <w:szCs w:val="20"/>
          <w:lang w:val="ka-GE"/>
        </w:rPr>
        <w:t xml:space="preserve">   გოგირდწყალბადი</w:t>
      </w:r>
    </w:p>
    <w:tbl>
      <w:tblPr>
        <w:tblW w:w="0" w:type="auto"/>
        <w:jc w:val="center"/>
        <w:tblLayout w:type="fixed"/>
        <w:tblCellMar>
          <w:left w:w="0" w:type="dxa"/>
          <w:right w:w="0" w:type="dxa"/>
        </w:tblCellMar>
        <w:tblLook w:val="04A0" w:firstRow="1" w:lastRow="0" w:firstColumn="1" w:lastColumn="0" w:noHBand="0" w:noVBand="1"/>
      </w:tblPr>
      <w:tblGrid>
        <w:gridCol w:w="511"/>
        <w:gridCol w:w="467"/>
        <w:gridCol w:w="525"/>
        <w:gridCol w:w="481"/>
        <w:gridCol w:w="527"/>
        <w:gridCol w:w="1314"/>
        <w:gridCol w:w="335"/>
        <w:gridCol w:w="1007"/>
        <w:gridCol w:w="905"/>
        <w:gridCol w:w="920"/>
        <w:gridCol w:w="963"/>
        <w:gridCol w:w="846"/>
        <w:gridCol w:w="848"/>
      </w:tblGrid>
      <w:tr w:rsidR="00A2588D" w14:paraId="57D9C23F" w14:textId="77777777" w:rsidTr="00A2588D">
        <w:trPr>
          <w:jc w:val="center"/>
        </w:trPr>
        <w:tc>
          <w:tcPr>
            <w:tcW w:w="511" w:type="dxa"/>
            <w:tcBorders>
              <w:top w:val="single" w:sz="4" w:space="0" w:color="auto"/>
              <w:left w:val="single" w:sz="4" w:space="0" w:color="auto"/>
              <w:bottom w:val="nil"/>
              <w:right w:val="single" w:sz="4" w:space="0" w:color="auto"/>
            </w:tcBorders>
            <w:hideMark/>
          </w:tcPr>
          <w:p w14:paraId="0425CC2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3915A7F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მოედ.</w:t>
            </w:r>
          </w:p>
        </w:tc>
        <w:tc>
          <w:tcPr>
            <w:tcW w:w="467" w:type="dxa"/>
            <w:tcBorders>
              <w:top w:val="single" w:sz="4" w:space="0" w:color="auto"/>
              <w:left w:val="single" w:sz="4" w:space="0" w:color="auto"/>
              <w:bottom w:val="nil"/>
              <w:right w:val="single" w:sz="4" w:space="0" w:color="auto"/>
            </w:tcBorders>
            <w:hideMark/>
          </w:tcPr>
          <w:p w14:paraId="0ED8B61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2ACEA5F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საამქ.</w:t>
            </w:r>
          </w:p>
        </w:tc>
        <w:tc>
          <w:tcPr>
            <w:tcW w:w="525" w:type="dxa"/>
            <w:tcBorders>
              <w:top w:val="single" w:sz="4" w:space="0" w:color="auto"/>
              <w:left w:val="single" w:sz="4" w:space="0" w:color="auto"/>
              <w:bottom w:val="nil"/>
              <w:right w:val="single" w:sz="4" w:space="0" w:color="auto"/>
            </w:tcBorders>
            <w:hideMark/>
          </w:tcPr>
          <w:p w14:paraId="54C2AAA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4B18ECE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წყაროს</w:t>
            </w:r>
          </w:p>
        </w:tc>
        <w:tc>
          <w:tcPr>
            <w:tcW w:w="481" w:type="dxa"/>
            <w:tcBorders>
              <w:top w:val="single" w:sz="4" w:space="0" w:color="auto"/>
              <w:left w:val="single" w:sz="4" w:space="0" w:color="auto"/>
              <w:bottom w:val="nil"/>
              <w:right w:val="single" w:sz="4" w:space="0" w:color="auto"/>
            </w:tcBorders>
            <w:hideMark/>
          </w:tcPr>
          <w:p w14:paraId="1644606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ტიპი</w:t>
            </w:r>
          </w:p>
        </w:tc>
        <w:tc>
          <w:tcPr>
            <w:tcW w:w="527" w:type="dxa"/>
            <w:tcBorders>
              <w:top w:val="single" w:sz="4" w:space="0" w:color="auto"/>
              <w:left w:val="single" w:sz="4" w:space="0" w:color="auto"/>
              <w:bottom w:val="nil"/>
              <w:right w:val="single" w:sz="4" w:space="0" w:color="auto"/>
            </w:tcBorders>
            <w:hideMark/>
          </w:tcPr>
          <w:p w14:paraId="583277F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აღრიცხვა</w:t>
            </w:r>
          </w:p>
        </w:tc>
        <w:tc>
          <w:tcPr>
            <w:tcW w:w="1314" w:type="dxa"/>
            <w:tcBorders>
              <w:top w:val="single" w:sz="4" w:space="0" w:color="auto"/>
              <w:left w:val="single" w:sz="4" w:space="0" w:color="auto"/>
              <w:bottom w:val="nil"/>
              <w:right w:val="single" w:sz="4" w:space="0" w:color="auto"/>
            </w:tcBorders>
            <w:hideMark/>
          </w:tcPr>
          <w:p w14:paraId="23318CA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გაფრქვევა</w:t>
            </w:r>
          </w:p>
          <w:p w14:paraId="3EED026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(გ/წმ)</w:t>
            </w:r>
          </w:p>
        </w:tc>
        <w:tc>
          <w:tcPr>
            <w:tcW w:w="335" w:type="dxa"/>
            <w:tcBorders>
              <w:top w:val="single" w:sz="4" w:space="0" w:color="auto"/>
              <w:left w:val="single" w:sz="4" w:space="0" w:color="auto"/>
              <w:bottom w:val="nil"/>
              <w:right w:val="single" w:sz="4" w:space="0" w:color="auto"/>
            </w:tcBorders>
            <w:hideMark/>
          </w:tcPr>
          <w:p w14:paraId="25815A2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F</w:t>
            </w:r>
          </w:p>
        </w:tc>
        <w:tc>
          <w:tcPr>
            <w:tcW w:w="2832" w:type="dxa"/>
            <w:gridSpan w:val="3"/>
            <w:tcBorders>
              <w:top w:val="single" w:sz="4" w:space="0" w:color="auto"/>
              <w:left w:val="single" w:sz="4" w:space="0" w:color="auto"/>
              <w:bottom w:val="single" w:sz="4" w:space="0" w:color="auto"/>
              <w:right w:val="single" w:sz="4" w:space="0" w:color="auto"/>
            </w:tcBorders>
            <w:hideMark/>
          </w:tcPr>
          <w:p w14:paraId="6E6C108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hideMark/>
          </w:tcPr>
          <w:p w14:paraId="42C3427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ზამთ.</w:t>
            </w:r>
          </w:p>
        </w:tc>
      </w:tr>
      <w:tr w:rsidR="00A2588D" w14:paraId="07D53AEF" w14:textId="77777777" w:rsidTr="00A2588D">
        <w:trPr>
          <w:jc w:val="center"/>
        </w:trPr>
        <w:tc>
          <w:tcPr>
            <w:tcW w:w="511" w:type="dxa"/>
            <w:tcBorders>
              <w:top w:val="nil"/>
              <w:left w:val="single" w:sz="4" w:space="0" w:color="auto"/>
              <w:bottom w:val="single" w:sz="4" w:space="0" w:color="auto"/>
              <w:right w:val="single" w:sz="4" w:space="0" w:color="auto"/>
            </w:tcBorders>
          </w:tcPr>
          <w:p w14:paraId="57FDBDC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67" w:type="dxa"/>
            <w:tcBorders>
              <w:top w:val="nil"/>
              <w:left w:val="single" w:sz="4" w:space="0" w:color="auto"/>
              <w:bottom w:val="single" w:sz="4" w:space="0" w:color="auto"/>
              <w:right w:val="single" w:sz="4" w:space="0" w:color="auto"/>
            </w:tcBorders>
          </w:tcPr>
          <w:p w14:paraId="3C65914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1F82DD1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81" w:type="dxa"/>
            <w:tcBorders>
              <w:top w:val="nil"/>
              <w:left w:val="single" w:sz="4" w:space="0" w:color="auto"/>
              <w:bottom w:val="single" w:sz="4" w:space="0" w:color="auto"/>
              <w:right w:val="single" w:sz="4" w:space="0" w:color="auto"/>
            </w:tcBorders>
          </w:tcPr>
          <w:p w14:paraId="7A68405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7" w:type="dxa"/>
            <w:tcBorders>
              <w:top w:val="nil"/>
              <w:left w:val="single" w:sz="4" w:space="0" w:color="auto"/>
              <w:bottom w:val="single" w:sz="4" w:space="0" w:color="auto"/>
              <w:right w:val="single" w:sz="4" w:space="0" w:color="auto"/>
            </w:tcBorders>
          </w:tcPr>
          <w:p w14:paraId="0C7A833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314" w:type="dxa"/>
            <w:tcBorders>
              <w:top w:val="nil"/>
              <w:left w:val="single" w:sz="4" w:space="0" w:color="auto"/>
              <w:bottom w:val="single" w:sz="4" w:space="0" w:color="auto"/>
              <w:right w:val="single" w:sz="4" w:space="0" w:color="auto"/>
            </w:tcBorders>
          </w:tcPr>
          <w:p w14:paraId="53095F0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335" w:type="dxa"/>
            <w:tcBorders>
              <w:top w:val="nil"/>
              <w:left w:val="single" w:sz="4" w:space="0" w:color="auto"/>
              <w:bottom w:val="single" w:sz="4" w:space="0" w:color="auto"/>
              <w:right w:val="single" w:sz="4" w:space="0" w:color="auto"/>
            </w:tcBorders>
          </w:tcPr>
          <w:p w14:paraId="29904FC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2051B89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905" w:type="dxa"/>
            <w:tcBorders>
              <w:top w:val="single" w:sz="4" w:space="0" w:color="auto"/>
              <w:left w:val="single" w:sz="4" w:space="0" w:color="auto"/>
              <w:bottom w:val="single" w:sz="4" w:space="0" w:color="auto"/>
              <w:right w:val="single" w:sz="4" w:space="0" w:color="auto"/>
            </w:tcBorders>
            <w:hideMark/>
          </w:tcPr>
          <w:p w14:paraId="7A23929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920" w:type="dxa"/>
            <w:tcBorders>
              <w:top w:val="single" w:sz="4" w:space="0" w:color="auto"/>
              <w:left w:val="single" w:sz="4" w:space="0" w:color="auto"/>
              <w:bottom w:val="single" w:sz="4" w:space="0" w:color="auto"/>
              <w:right w:val="single" w:sz="4" w:space="0" w:color="auto"/>
            </w:tcBorders>
            <w:hideMark/>
          </w:tcPr>
          <w:p w14:paraId="41BC3A0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c>
          <w:tcPr>
            <w:tcW w:w="963" w:type="dxa"/>
            <w:tcBorders>
              <w:top w:val="single" w:sz="4" w:space="0" w:color="auto"/>
              <w:left w:val="single" w:sz="4" w:space="0" w:color="auto"/>
              <w:bottom w:val="single" w:sz="4" w:space="0" w:color="auto"/>
              <w:right w:val="single" w:sz="4" w:space="0" w:color="auto"/>
            </w:tcBorders>
            <w:hideMark/>
          </w:tcPr>
          <w:p w14:paraId="6D0AB97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846" w:type="dxa"/>
            <w:tcBorders>
              <w:top w:val="single" w:sz="4" w:space="0" w:color="auto"/>
              <w:left w:val="single" w:sz="4" w:space="0" w:color="auto"/>
              <w:bottom w:val="single" w:sz="4" w:space="0" w:color="auto"/>
              <w:right w:val="single" w:sz="4" w:space="0" w:color="auto"/>
            </w:tcBorders>
            <w:hideMark/>
          </w:tcPr>
          <w:p w14:paraId="4F7905E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848" w:type="dxa"/>
            <w:tcBorders>
              <w:top w:val="single" w:sz="4" w:space="0" w:color="auto"/>
              <w:left w:val="single" w:sz="4" w:space="0" w:color="auto"/>
              <w:bottom w:val="single" w:sz="4" w:space="0" w:color="auto"/>
              <w:right w:val="single" w:sz="4" w:space="0" w:color="auto"/>
            </w:tcBorders>
            <w:hideMark/>
          </w:tcPr>
          <w:p w14:paraId="70E477C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r>
      <w:tr w:rsidR="00A2588D" w14:paraId="4A39BDD9"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1A42AAA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0A9AB67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6C56EA9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481" w:type="dxa"/>
            <w:tcBorders>
              <w:top w:val="single" w:sz="4" w:space="0" w:color="auto"/>
              <w:left w:val="single" w:sz="4" w:space="0" w:color="auto"/>
              <w:bottom w:val="single" w:sz="4" w:space="0" w:color="auto"/>
              <w:right w:val="single" w:sz="4" w:space="0" w:color="auto"/>
            </w:tcBorders>
            <w:hideMark/>
          </w:tcPr>
          <w:p w14:paraId="5D728A4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527" w:type="dxa"/>
            <w:tcBorders>
              <w:top w:val="single" w:sz="4" w:space="0" w:color="auto"/>
              <w:left w:val="single" w:sz="4" w:space="0" w:color="auto"/>
              <w:bottom w:val="single" w:sz="4" w:space="0" w:color="auto"/>
              <w:right w:val="single" w:sz="4" w:space="0" w:color="auto"/>
            </w:tcBorders>
            <w:hideMark/>
          </w:tcPr>
          <w:p w14:paraId="0E2ED2E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355EBCD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0000091</w:t>
            </w:r>
          </w:p>
        </w:tc>
        <w:tc>
          <w:tcPr>
            <w:tcW w:w="335" w:type="dxa"/>
            <w:tcBorders>
              <w:top w:val="single" w:sz="4" w:space="0" w:color="auto"/>
              <w:left w:val="single" w:sz="4" w:space="0" w:color="auto"/>
              <w:bottom w:val="single" w:sz="4" w:space="0" w:color="auto"/>
              <w:right w:val="single" w:sz="4" w:space="0" w:color="auto"/>
            </w:tcBorders>
            <w:hideMark/>
          </w:tcPr>
          <w:p w14:paraId="0E7F6FC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49EFFFC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0682</w:t>
            </w:r>
          </w:p>
        </w:tc>
        <w:tc>
          <w:tcPr>
            <w:tcW w:w="905" w:type="dxa"/>
            <w:tcBorders>
              <w:top w:val="single" w:sz="4" w:space="0" w:color="auto"/>
              <w:left w:val="single" w:sz="4" w:space="0" w:color="auto"/>
              <w:bottom w:val="single" w:sz="4" w:space="0" w:color="auto"/>
              <w:right w:val="single" w:sz="4" w:space="0" w:color="auto"/>
            </w:tcBorders>
            <w:hideMark/>
          </w:tcPr>
          <w:p w14:paraId="17356BD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79</w:t>
            </w:r>
          </w:p>
        </w:tc>
        <w:tc>
          <w:tcPr>
            <w:tcW w:w="920" w:type="dxa"/>
            <w:tcBorders>
              <w:top w:val="single" w:sz="4" w:space="0" w:color="auto"/>
              <w:left w:val="single" w:sz="4" w:space="0" w:color="auto"/>
              <w:bottom w:val="single" w:sz="4" w:space="0" w:color="auto"/>
              <w:right w:val="single" w:sz="4" w:space="0" w:color="auto"/>
            </w:tcBorders>
            <w:hideMark/>
          </w:tcPr>
          <w:p w14:paraId="7777B19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45E4991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0682</w:t>
            </w:r>
          </w:p>
        </w:tc>
        <w:tc>
          <w:tcPr>
            <w:tcW w:w="846" w:type="dxa"/>
            <w:tcBorders>
              <w:top w:val="single" w:sz="4" w:space="0" w:color="auto"/>
              <w:left w:val="single" w:sz="4" w:space="0" w:color="auto"/>
              <w:bottom w:val="single" w:sz="4" w:space="0" w:color="auto"/>
              <w:right w:val="single" w:sz="4" w:space="0" w:color="auto"/>
            </w:tcBorders>
            <w:hideMark/>
          </w:tcPr>
          <w:p w14:paraId="6DD1D9D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79</w:t>
            </w:r>
          </w:p>
        </w:tc>
        <w:tc>
          <w:tcPr>
            <w:tcW w:w="848" w:type="dxa"/>
            <w:tcBorders>
              <w:top w:val="single" w:sz="4" w:space="0" w:color="auto"/>
              <w:left w:val="single" w:sz="4" w:space="0" w:color="auto"/>
              <w:bottom w:val="single" w:sz="4" w:space="0" w:color="auto"/>
              <w:right w:val="single" w:sz="4" w:space="0" w:color="auto"/>
            </w:tcBorders>
            <w:hideMark/>
          </w:tcPr>
          <w:p w14:paraId="269F598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1285EB9E" w14:textId="77777777" w:rsidTr="00A2588D">
        <w:trPr>
          <w:jc w:val="center"/>
        </w:trPr>
        <w:tc>
          <w:tcPr>
            <w:tcW w:w="2511" w:type="dxa"/>
            <w:gridSpan w:val="5"/>
            <w:tcBorders>
              <w:top w:val="single" w:sz="4" w:space="0" w:color="auto"/>
              <w:left w:val="single" w:sz="4" w:space="0" w:color="auto"/>
              <w:bottom w:val="single" w:sz="4" w:space="0" w:color="auto"/>
              <w:right w:val="single" w:sz="4" w:space="0" w:color="auto"/>
            </w:tcBorders>
            <w:hideMark/>
          </w:tcPr>
          <w:p w14:paraId="2434FDB5" w14:textId="77777777" w:rsidR="00A2588D" w:rsidRDefault="00A2588D" w:rsidP="00A2588D">
            <w:pPr>
              <w:widowControl w:val="0"/>
              <w:autoSpaceDE w:val="0"/>
              <w:autoSpaceDN w:val="0"/>
              <w:adjustRightInd w:val="0"/>
              <w:ind w:left="11"/>
              <w:rPr>
                <w:rFonts w:ascii="Sylfaen" w:hAnsi="Sylfaen" w:cs="Arial"/>
                <w:b/>
                <w:bCs/>
                <w:sz w:val="20"/>
                <w:szCs w:val="20"/>
                <w:lang w:val="ka-GE"/>
              </w:rPr>
            </w:pPr>
            <w:r>
              <w:rPr>
                <w:rFonts w:ascii="Sylfaen" w:hAnsi="Sylfaen" w:cs="Arial"/>
                <w:b/>
                <w:bCs/>
                <w:sz w:val="20"/>
                <w:szCs w:val="20"/>
                <w:lang w:val="ka-GE"/>
              </w:rPr>
              <w:t>სულ:</w:t>
            </w:r>
          </w:p>
        </w:tc>
        <w:tc>
          <w:tcPr>
            <w:tcW w:w="1314" w:type="dxa"/>
            <w:tcBorders>
              <w:top w:val="single" w:sz="4" w:space="0" w:color="auto"/>
              <w:left w:val="single" w:sz="4" w:space="0" w:color="auto"/>
              <w:bottom w:val="single" w:sz="4" w:space="0" w:color="auto"/>
              <w:right w:val="single" w:sz="4" w:space="0" w:color="auto"/>
            </w:tcBorders>
            <w:hideMark/>
          </w:tcPr>
          <w:p w14:paraId="1FF5D45C"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0000091</w:t>
            </w:r>
          </w:p>
        </w:tc>
        <w:tc>
          <w:tcPr>
            <w:tcW w:w="335" w:type="dxa"/>
            <w:tcBorders>
              <w:top w:val="single" w:sz="4" w:space="0" w:color="auto"/>
              <w:left w:val="single" w:sz="4" w:space="0" w:color="auto"/>
              <w:bottom w:val="single" w:sz="4" w:space="0" w:color="auto"/>
              <w:right w:val="single" w:sz="4" w:space="0" w:color="auto"/>
            </w:tcBorders>
          </w:tcPr>
          <w:p w14:paraId="34E08B77"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255316FE"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0682</w:t>
            </w:r>
          </w:p>
        </w:tc>
        <w:tc>
          <w:tcPr>
            <w:tcW w:w="1825" w:type="dxa"/>
            <w:gridSpan w:val="2"/>
            <w:tcBorders>
              <w:top w:val="single" w:sz="4" w:space="0" w:color="auto"/>
              <w:left w:val="single" w:sz="4" w:space="0" w:color="auto"/>
              <w:bottom w:val="single" w:sz="4" w:space="0" w:color="auto"/>
              <w:right w:val="single" w:sz="4" w:space="0" w:color="auto"/>
            </w:tcBorders>
          </w:tcPr>
          <w:p w14:paraId="7FA5E20A"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963" w:type="dxa"/>
            <w:tcBorders>
              <w:top w:val="single" w:sz="4" w:space="0" w:color="auto"/>
              <w:left w:val="single" w:sz="4" w:space="0" w:color="auto"/>
              <w:bottom w:val="single" w:sz="4" w:space="0" w:color="auto"/>
              <w:right w:val="single" w:sz="4" w:space="0" w:color="auto"/>
            </w:tcBorders>
            <w:hideMark/>
          </w:tcPr>
          <w:p w14:paraId="19DD9CAF"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0682</w:t>
            </w:r>
          </w:p>
        </w:tc>
        <w:tc>
          <w:tcPr>
            <w:tcW w:w="1694" w:type="dxa"/>
            <w:gridSpan w:val="2"/>
            <w:tcBorders>
              <w:top w:val="single" w:sz="4" w:space="0" w:color="auto"/>
              <w:left w:val="single" w:sz="4" w:space="0" w:color="auto"/>
              <w:bottom w:val="single" w:sz="4" w:space="0" w:color="auto"/>
              <w:right w:val="single" w:sz="4" w:space="0" w:color="auto"/>
            </w:tcBorders>
          </w:tcPr>
          <w:p w14:paraId="65D0B393" w14:textId="77777777" w:rsidR="00A2588D" w:rsidRDefault="00A2588D" w:rsidP="00A2588D">
            <w:pPr>
              <w:widowControl w:val="0"/>
              <w:autoSpaceDE w:val="0"/>
              <w:autoSpaceDN w:val="0"/>
              <w:adjustRightInd w:val="0"/>
              <w:ind w:left="11"/>
              <w:rPr>
                <w:rFonts w:ascii="Sylfaen" w:hAnsi="Sylfaen" w:cs="Arial"/>
                <w:sz w:val="20"/>
                <w:szCs w:val="20"/>
                <w:lang w:val="ka-GE"/>
              </w:rPr>
            </w:pPr>
          </w:p>
        </w:tc>
      </w:tr>
    </w:tbl>
    <w:p w14:paraId="36ACBE6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1C1048A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0337</w:t>
      </w:r>
      <w:r>
        <w:rPr>
          <w:rFonts w:ascii="Sylfaen" w:hAnsi="Sylfaen" w:cs="Arial"/>
          <w:b/>
          <w:bCs/>
          <w:sz w:val="20"/>
          <w:szCs w:val="20"/>
          <w:lang w:val="ka-GE"/>
        </w:rPr>
        <w:t xml:space="preserve">   ნახშირბადის ოქსიდი</w:t>
      </w:r>
    </w:p>
    <w:tbl>
      <w:tblPr>
        <w:tblW w:w="0" w:type="auto"/>
        <w:jc w:val="center"/>
        <w:tblLayout w:type="fixed"/>
        <w:tblCellMar>
          <w:left w:w="0" w:type="dxa"/>
          <w:right w:w="0" w:type="dxa"/>
        </w:tblCellMar>
        <w:tblLook w:val="04A0" w:firstRow="1" w:lastRow="0" w:firstColumn="1" w:lastColumn="0" w:noHBand="0" w:noVBand="1"/>
      </w:tblPr>
      <w:tblGrid>
        <w:gridCol w:w="511"/>
        <w:gridCol w:w="467"/>
        <w:gridCol w:w="525"/>
        <w:gridCol w:w="481"/>
        <w:gridCol w:w="527"/>
        <w:gridCol w:w="1314"/>
        <w:gridCol w:w="335"/>
        <w:gridCol w:w="1007"/>
        <w:gridCol w:w="905"/>
        <w:gridCol w:w="920"/>
        <w:gridCol w:w="963"/>
        <w:gridCol w:w="846"/>
        <w:gridCol w:w="848"/>
      </w:tblGrid>
      <w:tr w:rsidR="00A2588D" w14:paraId="7B677C13" w14:textId="77777777" w:rsidTr="00A2588D">
        <w:trPr>
          <w:jc w:val="center"/>
        </w:trPr>
        <w:tc>
          <w:tcPr>
            <w:tcW w:w="511" w:type="dxa"/>
            <w:tcBorders>
              <w:top w:val="single" w:sz="4" w:space="0" w:color="auto"/>
              <w:left w:val="single" w:sz="4" w:space="0" w:color="auto"/>
              <w:bottom w:val="nil"/>
              <w:right w:val="single" w:sz="4" w:space="0" w:color="auto"/>
            </w:tcBorders>
            <w:hideMark/>
          </w:tcPr>
          <w:p w14:paraId="37BF4DF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411DB6E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მოედ.</w:t>
            </w:r>
          </w:p>
        </w:tc>
        <w:tc>
          <w:tcPr>
            <w:tcW w:w="467" w:type="dxa"/>
            <w:tcBorders>
              <w:top w:val="single" w:sz="4" w:space="0" w:color="auto"/>
              <w:left w:val="single" w:sz="4" w:space="0" w:color="auto"/>
              <w:bottom w:val="nil"/>
              <w:right w:val="single" w:sz="4" w:space="0" w:color="auto"/>
            </w:tcBorders>
            <w:hideMark/>
          </w:tcPr>
          <w:p w14:paraId="2BFF413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7A74DD3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საამქ.</w:t>
            </w:r>
          </w:p>
        </w:tc>
        <w:tc>
          <w:tcPr>
            <w:tcW w:w="525" w:type="dxa"/>
            <w:tcBorders>
              <w:top w:val="single" w:sz="4" w:space="0" w:color="auto"/>
              <w:left w:val="single" w:sz="4" w:space="0" w:color="auto"/>
              <w:bottom w:val="nil"/>
              <w:right w:val="single" w:sz="4" w:space="0" w:color="auto"/>
            </w:tcBorders>
            <w:hideMark/>
          </w:tcPr>
          <w:p w14:paraId="7058C20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1818886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წყაროს</w:t>
            </w:r>
          </w:p>
        </w:tc>
        <w:tc>
          <w:tcPr>
            <w:tcW w:w="481" w:type="dxa"/>
            <w:tcBorders>
              <w:top w:val="single" w:sz="4" w:space="0" w:color="auto"/>
              <w:left w:val="single" w:sz="4" w:space="0" w:color="auto"/>
              <w:bottom w:val="nil"/>
              <w:right w:val="single" w:sz="4" w:space="0" w:color="auto"/>
            </w:tcBorders>
            <w:hideMark/>
          </w:tcPr>
          <w:p w14:paraId="00355C4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ტიპი</w:t>
            </w:r>
          </w:p>
        </w:tc>
        <w:tc>
          <w:tcPr>
            <w:tcW w:w="527" w:type="dxa"/>
            <w:tcBorders>
              <w:top w:val="single" w:sz="4" w:space="0" w:color="auto"/>
              <w:left w:val="single" w:sz="4" w:space="0" w:color="auto"/>
              <w:bottom w:val="nil"/>
              <w:right w:val="single" w:sz="4" w:space="0" w:color="auto"/>
            </w:tcBorders>
            <w:hideMark/>
          </w:tcPr>
          <w:p w14:paraId="1A22554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აღრიცხვა</w:t>
            </w:r>
          </w:p>
        </w:tc>
        <w:tc>
          <w:tcPr>
            <w:tcW w:w="1314" w:type="dxa"/>
            <w:tcBorders>
              <w:top w:val="single" w:sz="4" w:space="0" w:color="auto"/>
              <w:left w:val="single" w:sz="4" w:space="0" w:color="auto"/>
              <w:bottom w:val="nil"/>
              <w:right w:val="single" w:sz="4" w:space="0" w:color="auto"/>
            </w:tcBorders>
            <w:hideMark/>
          </w:tcPr>
          <w:p w14:paraId="322F63A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გაფრქვევა</w:t>
            </w:r>
          </w:p>
          <w:p w14:paraId="5F100A5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(გ/წმ)</w:t>
            </w:r>
          </w:p>
        </w:tc>
        <w:tc>
          <w:tcPr>
            <w:tcW w:w="335" w:type="dxa"/>
            <w:tcBorders>
              <w:top w:val="single" w:sz="4" w:space="0" w:color="auto"/>
              <w:left w:val="single" w:sz="4" w:space="0" w:color="auto"/>
              <w:bottom w:val="nil"/>
              <w:right w:val="single" w:sz="4" w:space="0" w:color="auto"/>
            </w:tcBorders>
            <w:hideMark/>
          </w:tcPr>
          <w:p w14:paraId="0568BE5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F</w:t>
            </w:r>
          </w:p>
        </w:tc>
        <w:tc>
          <w:tcPr>
            <w:tcW w:w="2832" w:type="dxa"/>
            <w:gridSpan w:val="3"/>
            <w:tcBorders>
              <w:top w:val="single" w:sz="4" w:space="0" w:color="auto"/>
              <w:left w:val="single" w:sz="4" w:space="0" w:color="auto"/>
              <w:bottom w:val="single" w:sz="4" w:space="0" w:color="auto"/>
              <w:right w:val="single" w:sz="4" w:space="0" w:color="auto"/>
            </w:tcBorders>
            <w:hideMark/>
          </w:tcPr>
          <w:p w14:paraId="1E5BAFB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hideMark/>
          </w:tcPr>
          <w:p w14:paraId="3E7075E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ზამთ.</w:t>
            </w:r>
          </w:p>
        </w:tc>
      </w:tr>
      <w:tr w:rsidR="00A2588D" w14:paraId="39CAA515" w14:textId="77777777" w:rsidTr="00A2588D">
        <w:trPr>
          <w:jc w:val="center"/>
        </w:trPr>
        <w:tc>
          <w:tcPr>
            <w:tcW w:w="511" w:type="dxa"/>
            <w:tcBorders>
              <w:top w:val="nil"/>
              <w:left w:val="single" w:sz="4" w:space="0" w:color="auto"/>
              <w:bottom w:val="single" w:sz="4" w:space="0" w:color="auto"/>
              <w:right w:val="single" w:sz="4" w:space="0" w:color="auto"/>
            </w:tcBorders>
          </w:tcPr>
          <w:p w14:paraId="4C0FD35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67" w:type="dxa"/>
            <w:tcBorders>
              <w:top w:val="nil"/>
              <w:left w:val="single" w:sz="4" w:space="0" w:color="auto"/>
              <w:bottom w:val="single" w:sz="4" w:space="0" w:color="auto"/>
              <w:right w:val="single" w:sz="4" w:space="0" w:color="auto"/>
            </w:tcBorders>
          </w:tcPr>
          <w:p w14:paraId="162BCD4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296F15B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81" w:type="dxa"/>
            <w:tcBorders>
              <w:top w:val="nil"/>
              <w:left w:val="single" w:sz="4" w:space="0" w:color="auto"/>
              <w:bottom w:val="single" w:sz="4" w:space="0" w:color="auto"/>
              <w:right w:val="single" w:sz="4" w:space="0" w:color="auto"/>
            </w:tcBorders>
          </w:tcPr>
          <w:p w14:paraId="25A160D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7" w:type="dxa"/>
            <w:tcBorders>
              <w:top w:val="nil"/>
              <w:left w:val="single" w:sz="4" w:space="0" w:color="auto"/>
              <w:bottom w:val="single" w:sz="4" w:space="0" w:color="auto"/>
              <w:right w:val="single" w:sz="4" w:space="0" w:color="auto"/>
            </w:tcBorders>
          </w:tcPr>
          <w:p w14:paraId="3B0D74B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314" w:type="dxa"/>
            <w:tcBorders>
              <w:top w:val="nil"/>
              <w:left w:val="single" w:sz="4" w:space="0" w:color="auto"/>
              <w:bottom w:val="single" w:sz="4" w:space="0" w:color="auto"/>
              <w:right w:val="single" w:sz="4" w:space="0" w:color="auto"/>
            </w:tcBorders>
          </w:tcPr>
          <w:p w14:paraId="0E42A0E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335" w:type="dxa"/>
            <w:tcBorders>
              <w:top w:val="nil"/>
              <w:left w:val="single" w:sz="4" w:space="0" w:color="auto"/>
              <w:bottom w:val="single" w:sz="4" w:space="0" w:color="auto"/>
              <w:right w:val="single" w:sz="4" w:space="0" w:color="auto"/>
            </w:tcBorders>
          </w:tcPr>
          <w:p w14:paraId="2D23F91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5817B72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905" w:type="dxa"/>
            <w:tcBorders>
              <w:top w:val="single" w:sz="4" w:space="0" w:color="auto"/>
              <w:left w:val="single" w:sz="4" w:space="0" w:color="auto"/>
              <w:bottom w:val="single" w:sz="4" w:space="0" w:color="auto"/>
              <w:right w:val="single" w:sz="4" w:space="0" w:color="auto"/>
            </w:tcBorders>
            <w:hideMark/>
          </w:tcPr>
          <w:p w14:paraId="20DA3E2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920" w:type="dxa"/>
            <w:tcBorders>
              <w:top w:val="single" w:sz="4" w:space="0" w:color="auto"/>
              <w:left w:val="single" w:sz="4" w:space="0" w:color="auto"/>
              <w:bottom w:val="single" w:sz="4" w:space="0" w:color="auto"/>
              <w:right w:val="single" w:sz="4" w:space="0" w:color="auto"/>
            </w:tcBorders>
            <w:hideMark/>
          </w:tcPr>
          <w:p w14:paraId="6F8FB9C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c>
          <w:tcPr>
            <w:tcW w:w="963" w:type="dxa"/>
            <w:tcBorders>
              <w:top w:val="single" w:sz="4" w:space="0" w:color="auto"/>
              <w:left w:val="single" w:sz="4" w:space="0" w:color="auto"/>
              <w:bottom w:val="single" w:sz="4" w:space="0" w:color="auto"/>
              <w:right w:val="single" w:sz="4" w:space="0" w:color="auto"/>
            </w:tcBorders>
            <w:hideMark/>
          </w:tcPr>
          <w:p w14:paraId="77D7166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846" w:type="dxa"/>
            <w:tcBorders>
              <w:top w:val="single" w:sz="4" w:space="0" w:color="auto"/>
              <w:left w:val="single" w:sz="4" w:space="0" w:color="auto"/>
              <w:bottom w:val="single" w:sz="4" w:space="0" w:color="auto"/>
              <w:right w:val="single" w:sz="4" w:space="0" w:color="auto"/>
            </w:tcBorders>
            <w:hideMark/>
          </w:tcPr>
          <w:p w14:paraId="11836B3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848" w:type="dxa"/>
            <w:tcBorders>
              <w:top w:val="single" w:sz="4" w:space="0" w:color="auto"/>
              <w:left w:val="single" w:sz="4" w:space="0" w:color="auto"/>
              <w:bottom w:val="single" w:sz="4" w:space="0" w:color="auto"/>
              <w:right w:val="single" w:sz="4" w:space="0" w:color="auto"/>
            </w:tcBorders>
            <w:hideMark/>
          </w:tcPr>
          <w:p w14:paraId="79B542A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r>
      <w:tr w:rsidR="00A2588D" w14:paraId="29782D49"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2E2BFB4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6852EAA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5000835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481" w:type="dxa"/>
            <w:tcBorders>
              <w:top w:val="single" w:sz="4" w:space="0" w:color="auto"/>
              <w:left w:val="single" w:sz="4" w:space="0" w:color="auto"/>
              <w:bottom w:val="single" w:sz="4" w:space="0" w:color="auto"/>
              <w:right w:val="single" w:sz="4" w:space="0" w:color="auto"/>
            </w:tcBorders>
            <w:hideMark/>
          </w:tcPr>
          <w:p w14:paraId="3EBBCB2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7" w:type="dxa"/>
            <w:tcBorders>
              <w:top w:val="single" w:sz="4" w:space="0" w:color="auto"/>
              <w:left w:val="single" w:sz="4" w:space="0" w:color="auto"/>
              <w:bottom w:val="single" w:sz="4" w:space="0" w:color="auto"/>
              <w:right w:val="single" w:sz="4" w:space="0" w:color="auto"/>
            </w:tcBorders>
            <w:hideMark/>
          </w:tcPr>
          <w:p w14:paraId="456D0DCD"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03B756A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0273783</w:t>
            </w:r>
          </w:p>
        </w:tc>
        <w:tc>
          <w:tcPr>
            <w:tcW w:w="335" w:type="dxa"/>
            <w:tcBorders>
              <w:top w:val="single" w:sz="4" w:space="0" w:color="auto"/>
              <w:left w:val="single" w:sz="4" w:space="0" w:color="auto"/>
              <w:bottom w:val="single" w:sz="4" w:space="0" w:color="auto"/>
              <w:right w:val="single" w:sz="4" w:space="0" w:color="auto"/>
            </w:tcBorders>
            <w:hideMark/>
          </w:tcPr>
          <w:p w14:paraId="2B831A3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5F91342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0231</w:t>
            </w:r>
          </w:p>
        </w:tc>
        <w:tc>
          <w:tcPr>
            <w:tcW w:w="905" w:type="dxa"/>
            <w:tcBorders>
              <w:top w:val="single" w:sz="4" w:space="0" w:color="auto"/>
              <w:left w:val="single" w:sz="4" w:space="0" w:color="auto"/>
              <w:bottom w:val="single" w:sz="4" w:space="0" w:color="auto"/>
              <w:right w:val="single" w:sz="4" w:space="0" w:color="auto"/>
            </w:tcBorders>
            <w:hideMark/>
          </w:tcPr>
          <w:p w14:paraId="608B82C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920" w:type="dxa"/>
            <w:tcBorders>
              <w:top w:val="single" w:sz="4" w:space="0" w:color="auto"/>
              <w:left w:val="single" w:sz="4" w:space="0" w:color="auto"/>
              <w:bottom w:val="single" w:sz="4" w:space="0" w:color="auto"/>
              <w:right w:val="single" w:sz="4" w:space="0" w:color="auto"/>
            </w:tcBorders>
            <w:hideMark/>
          </w:tcPr>
          <w:p w14:paraId="632503B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1E0CE4F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0231</w:t>
            </w:r>
          </w:p>
        </w:tc>
        <w:tc>
          <w:tcPr>
            <w:tcW w:w="846" w:type="dxa"/>
            <w:tcBorders>
              <w:top w:val="single" w:sz="4" w:space="0" w:color="auto"/>
              <w:left w:val="single" w:sz="4" w:space="0" w:color="auto"/>
              <w:bottom w:val="single" w:sz="4" w:space="0" w:color="auto"/>
              <w:right w:val="single" w:sz="4" w:space="0" w:color="auto"/>
            </w:tcBorders>
            <w:hideMark/>
          </w:tcPr>
          <w:p w14:paraId="6FB7BA6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848" w:type="dxa"/>
            <w:tcBorders>
              <w:top w:val="single" w:sz="4" w:space="0" w:color="auto"/>
              <w:left w:val="single" w:sz="4" w:space="0" w:color="auto"/>
              <w:bottom w:val="single" w:sz="4" w:space="0" w:color="auto"/>
              <w:right w:val="single" w:sz="4" w:space="0" w:color="auto"/>
            </w:tcBorders>
            <w:hideMark/>
          </w:tcPr>
          <w:p w14:paraId="76760A5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556D5385"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026E167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5460E85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24BE16EB"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481" w:type="dxa"/>
            <w:tcBorders>
              <w:top w:val="single" w:sz="4" w:space="0" w:color="auto"/>
              <w:left w:val="single" w:sz="4" w:space="0" w:color="auto"/>
              <w:bottom w:val="single" w:sz="4" w:space="0" w:color="auto"/>
              <w:right w:val="single" w:sz="4" w:space="0" w:color="auto"/>
            </w:tcBorders>
            <w:hideMark/>
          </w:tcPr>
          <w:p w14:paraId="2B82008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7" w:type="dxa"/>
            <w:tcBorders>
              <w:top w:val="single" w:sz="4" w:space="0" w:color="auto"/>
              <w:left w:val="single" w:sz="4" w:space="0" w:color="auto"/>
              <w:bottom w:val="single" w:sz="4" w:space="0" w:color="auto"/>
              <w:right w:val="single" w:sz="4" w:space="0" w:color="auto"/>
            </w:tcBorders>
            <w:hideMark/>
          </w:tcPr>
          <w:p w14:paraId="355AF5A3"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7D8E49B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0273783</w:t>
            </w:r>
          </w:p>
        </w:tc>
        <w:tc>
          <w:tcPr>
            <w:tcW w:w="335" w:type="dxa"/>
            <w:tcBorders>
              <w:top w:val="single" w:sz="4" w:space="0" w:color="auto"/>
              <w:left w:val="single" w:sz="4" w:space="0" w:color="auto"/>
              <w:bottom w:val="single" w:sz="4" w:space="0" w:color="auto"/>
              <w:right w:val="single" w:sz="4" w:space="0" w:color="auto"/>
            </w:tcBorders>
            <w:hideMark/>
          </w:tcPr>
          <w:p w14:paraId="56AE4FE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783C8F7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0231</w:t>
            </w:r>
          </w:p>
        </w:tc>
        <w:tc>
          <w:tcPr>
            <w:tcW w:w="905" w:type="dxa"/>
            <w:tcBorders>
              <w:top w:val="single" w:sz="4" w:space="0" w:color="auto"/>
              <w:left w:val="single" w:sz="4" w:space="0" w:color="auto"/>
              <w:bottom w:val="single" w:sz="4" w:space="0" w:color="auto"/>
              <w:right w:val="single" w:sz="4" w:space="0" w:color="auto"/>
            </w:tcBorders>
            <w:hideMark/>
          </w:tcPr>
          <w:p w14:paraId="4658785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920" w:type="dxa"/>
            <w:tcBorders>
              <w:top w:val="single" w:sz="4" w:space="0" w:color="auto"/>
              <w:left w:val="single" w:sz="4" w:space="0" w:color="auto"/>
              <w:bottom w:val="single" w:sz="4" w:space="0" w:color="auto"/>
              <w:right w:val="single" w:sz="4" w:space="0" w:color="auto"/>
            </w:tcBorders>
            <w:hideMark/>
          </w:tcPr>
          <w:p w14:paraId="4B0D466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575271A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0231</w:t>
            </w:r>
          </w:p>
        </w:tc>
        <w:tc>
          <w:tcPr>
            <w:tcW w:w="846" w:type="dxa"/>
            <w:tcBorders>
              <w:top w:val="single" w:sz="4" w:space="0" w:color="auto"/>
              <w:left w:val="single" w:sz="4" w:space="0" w:color="auto"/>
              <w:bottom w:val="single" w:sz="4" w:space="0" w:color="auto"/>
              <w:right w:val="single" w:sz="4" w:space="0" w:color="auto"/>
            </w:tcBorders>
            <w:hideMark/>
          </w:tcPr>
          <w:p w14:paraId="10DEC8C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848" w:type="dxa"/>
            <w:tcBorders>
              <w:top w:val="single" w:sz="4" w:space="0" w:color="auto"/>
              <w:left w:val="single" w:sz="4" w:space="0" w:color="auto"/>
              <w:bottom w:val="single" w:sz="4" w:space="0" w:color="auto"/>
              <w:right w:val="single" w:sz="4" w:space="0" w:color="auto"/>
            </w:tcBorders>
            <w:hideMark/>
          </w:tcPr>
          <w:p w14:paraId="4DC9E54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4227E120"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5E29EBC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0947490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0EC93E3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8</w:t>
            </w:r>
          </w:p>
        </w:tc>
        <w:tc>
          <w:tcPr>
            <w:tcW w:w="481" w:type="dxa"/>
            <w:tcBorders>
              <w:top w:val="single" w:sz="4" w:space="0" w:color="auto"/>
              <w:left w:val="single" w:sz="4" w:space="0" w:color="auto"/>
              <w:bottom w:val="single" w:sz="4" w:space="0" w:color="auto"/>
              <w:right w:val="single" w:sz="4" w:space="0" w:color="auto"/>
            </w:tcBorders>
            <w:hideMark/>
          </w:tcPr>
          <w:p w14:paraId="59640E4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527" w:type="dxa"/>
            <w:tcBorders>
              <w:top w:val="single" w:sz="4" w:space="0" w:color="auto"/>
              <w:left w:val="single" w:sz="4" w:space="0" w:color="auto"/>
              <w:bottom w:val="single" w:sz="4" w:space="0" w:color="auto"/>
              <w:right w:val="single" w:sz="4" w:space="0" w:color="auto"/>
            </w:tcBorders>
            <w:hideMark/>
          </w:tcPr>
          <w:p w14:paraId="6E83CAB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5105FA3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0500000</w:t>
            </w:r>
          </w:p>
        </w:tc>
        <w:tc>
          <w:tcPr>
            <w:tcW w:w="335" w:type="dxa"/>
            <w:tcBorders>
              <w:top w:val="single" w:sz="4" w:space="0" w:color="auto"/>
              <w:left w:val="single" w:sz="4" w:space="0" w:color="auto"/>
              <w:bottom w:val="single" w:sz="4" w:space="0" w:color="auto"/>
              <w:right w:val="single" w:sz="4" w:space="0" w:color="auto"/>
            </w:tcBorders>
            <w:hideMark/>
          </w:tcPr>
          <w:p w14:paraId="6D5E1C4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4E6F9E0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0112</w:t>
            </w:r>
          </w:p>
        </w:tc>
        <w:tc>
          <w:tcPr>
            <w:tcW w:w="905" w:type="dxa"/>
            <w:tcBorders>
              <w:top w:val="single" w:sz="4" w:space="0" w:color="auto"/>
              <w:left w:val="single" w:sz="4" w:space="0" w:color="auto"/>
              <w:bottom w:val="single" w:sz="4" w:space="0" w:color="auto"/>
              <w:right w:val="single" w:sz="4" w:space="0" w:color="auto"/>
            </w:tcBorders>
            <w:hideMark/>
          </w:tcPr>
          <w:p w14:paraId="2B0DF19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68</w:t>
            </w:r>
            <w:r>
              <w:rPr>
                <w:rFonts w:ascii="Sylfaen" w:hAnsi="Sylfaen" w:cs="Arial"/>
                <w:sz w:val="20"/>
                <w:szCs w:val="20"/>
                <w:lang w:val="ka-GE"/>
              </w:rPr>
              <w:t>,</w:t>
            </w:r>
            <w:r>
              <w:rPr>
                <w:rFonts w:ascii="Sylfaen" w:hAnsi="Sylfaen"/>
                <w:sz w:val="20"/>
                <w:szCs w:val="20"/>
                <w:lang w:val="ka-GE"/>
              </w:rPr>
              <w:t>79</w:t>
            </w:r>
          </w:p>
        </w:tc>
        <w:tc>
          <w:tcPr>
            <w:tcW w:w="920" w:type="dxa"/>
            <w:tcBorders>
              <w:top w:val="single" w:sz="4" w:space="0" w:color="auto"/>
              <w:left w:val="single" w:sz="4" w:space="0" w:color="auto"/>
              <w:bottom w:val="single" w:sz="4" w:space="0" w:color="auto"/>
              <w:right w:val="single" w:sz="4" w:space="0" w:color="auto"/>
            </w:tcBorders>
            <w:hideMark/>
          </w:tcPr>
          <w:p w14:paraId="50F93A0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w:t>
            </w:r>
            <w:r>
              <w:rPr>
                <w:rFonts w:ascii="Sylfaen" w:hAnsi="Sylfaen"/>
                <w:sz w:val="20"/>
                <w:szCs w:val="20"/>
                <w:lang w:val="ka-GE"/>
              </w:rPr>
              <w:t>9158</w:t>
            </w:r>
          </w:p>
        </w:tc>
        <w:tc>
          <w:tcPr>
            <w:tcW w:w="963" w:type="dxa"/>
            <w:tcBorders>
              <w:top w:val="single" w:sz="4" w:space="0" w:color="auto"/>
              <w:left w:val="single" w:sz="4" w:space="0" w:color="auto"/>
              <w:bottom w:val="single" w:sz="4" w:space="0" w:color="auto"/>
              <w:right w:val="single" w:sz="4" w:space="0" w:color="auto"/>
            </w:tcBorders>
            <w:hideMark/>
          </w:tcPr>
          <w:p w14:paraId="04338C5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0110</w:t>
            </w:r>
          </w:p>
        </w:tc>
        <w:tc>
          <w:tcPr>
            <w:tcW w:w="846" w:type="dxa"/>
            <w:tcBorders>
              <w:top w:val="single" w:sz="4" w:space="0" w:color="auto"/>
              <w:left w:val="single" w:sz="4" w:space="0" w:color="auto"/>
              <w:bottom w:val="single" w:sz="4" w:space="0" w:color="auto"/>
              <w:right w:val="single" w:sz="4" w:space="0" w:color="auto"/>
            </w:tcBorders>
            <w:hideMark/>
          </w:tcPr>
          <w:p w14:paraId="489B93C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69</w:t>
            </w:r>
            <w:r>
              <w:rPr>
                <w:rFonts w:ascii="Sylfaen" w:hAnsi="Sylfaen" w:cs="Arial"/>
                <w:sz w:val="20"/>
                <w:szCs w:val="20"/>
                <w:lang w:val="ka-GE"/>
              </w:rPr>
              <w:t>,</w:t>
            </w:r>
            <w:r>
              <w:rPr>
                <w:rFonts w:ascii="Sylfaen" w:hAnsi="Sylfaen"/>
                <w:sz w:val="20"/>
                <w:szCs w:val="20"/>
                <w:lang w:val="ka-GE"/>
              </w:rPr>
              <w:t>99</w:t>
            </w:r>
          </w:p>
        </w:tc>
        <w:tc>
          <w:tcPr>
            <w:tcW w:w="848" w:type="dxa"/>
            <w:tcBorders>
              <w:top w:val="single" w:sz="4" w:space="0" w:color="auto"/>
              <w:left w:val="single" w:sz="4" w:space="0" w:color="auto"/>
              <w:bottom w:val="single" w:sz="4" w:space="0" w:color="auto"/>
              <w:right w:val="single" w:sz="4" w:space="0" w:color="auto"/>
            </w:tcBorders>
            <w:hideMark/>
          </w:tcPr>
          <w:p w14:paraId="1380757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w:t>
            </w:r>
            <w:r>
              <w:rPr>
                <w:rFonts w:ascii="Sylfaen" w:hAnsi="Sylfaen"/>
                <w:sz w:val="20"/>
                <w:szCs w:val="20"/>
                <w:lang w:val="ka-GE"/>
              </w:rPr>
              <w:t>9640</w:t>
            </w:r>
          </w:p>
        </w:tc>
      </w:tr>
      <w:tr w:rsidR="00A2588D" w14:paraId="1C8D1859"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0EF4629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507800A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26BD8B1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9</w:t>
            </w:r>
          </w:p>
        </w:tc>
        <w:tc>
          <w:tcPr>
            <w:tcW w:w="481" w:type="dxa"/>
            <w:tcBorders>
              <w:top w:val="single" w:sz="4" w:space="0" w:color="auto"/>
              <w:left w:val="single" w:sz="4" w:space="0" w:color="auto"/>
              <w:bottom w:val="single" w:sz="4" w:space="0" w:color="auto"/>
              <w:right w:val="single" w:sz="4" w:space="0" w:color="auto"/>
            </w:tcBorders>
            <w:hideMark/>
          </w:tcPr>
          <w:p w14:paraId="508DC05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7" w:type="dxa"/>
            <w:tcBorders>
              <w:top w:val="single" w:sz="4" w:space="0" w:color="auto"/>
              <w:left w:val="single" w:sz="4" w:space="0" w:color="auto"/>
              <w:bottom w:val="single" w:sz="4" w:space="0" w:color="auto"/>
              <w:right w:val="single" w:sz="4" w:space="0" w:color="auto"/>
            </w:tcBorders>
            <w:hideMark/>
          </w:tcPr>
          <w:p w14:paraId="6918419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629906F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0097778</w:t>
            </w:r>
          </w:p>
        </w:tc>
        <w:tc>
          <w:tcPr>
            <w:tcW w:w="335" w:type="dxa"/>
            <w:tcBorders>
              <w:top w:val="single" w:sz="4" w:space="0" w:color="auto"/>
              <w:left w:val="single" w:sz="4" w:space="0" w:color="auto"/>
              <w:bottom w:val="single" w:sz="4" w:space="0" w:color="auto"/>
              <w:right w:val="single" w:sz="4" w:space="0" w:color="auto"/>
            </w:tcBorders>
            <w:hideMark/>
          </w:tcPr>
          <w:p w14:paraId="23ADD62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5EFE540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0082</w:t>
            </w:r>
          </w:p>
        </w:tc>
        <w:tc>
          <w:tcPr>
            <w:tcW w:w="905" w:type="dxa"/>
            <w:tcBorders>
              <w:top w:val="single" w:sz="4" w:space="0" w:color="auto"/>
              <w:left w:val="single" w:sz="4" w:space="0" w:color="auto"/>
              <w:bottom w:val="single" w:sz="4" w:space="0" w:color="auto"/>
              <w:right w:val="single" w:sz="4" w:space="0" w:color="auto"/>
            </w:tcBorders>
            <w:hideMark/>
          </w:tcPr>
          <w:p w14:paraId="5DE9E4D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920" w:type="dxa"/>
            <w:tcBorders>
              <w:top w:val="single" w:sz="4" w:space="0" w:color="auto"/>
              <w:left w:val="single" w:sz="4" w:space="0" w:color="auto"/>
              <w:bottom w:val="single" w:sz="4" w:space="0" w:color="auto"/>
              <w:right w:val="single" w:sz="4" w:space="0" w:color="auto"/>
            </w:tcBorders>
            <w:hideMark/>
          </w:tcPr>
          <w:p w14:paraId="70FDA9B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4E6554A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0082</w:t>
            </w:r>
          </w:p>
        </w:tc>
        <w:tc>
          <w:tcPr>
            <w:tcW w:w="846" w:type="dxa"/>
            <w:tcBorders>
              <w:top w:val="single" w:sz="4" w:space="0" w:color="auto"/>
              <w:left w:val="single" w:sz="4" w:space="0" w:color="auto"/>
              <w:bottom w:val="single" w:sz="4" w:space="0" w:color="auto"/>
              <w:right w:val="single" w:sz="4" w:space="0" w:color="auto"/>
            </w:tcBorders>
            <w:hideMark/>
          </w:tcPr>
          <w:p w14:paraId="206D964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848" w:type="dxa"/>
            <w:tcBorders>
              <w:top w:val="single" w:sz="4" w:space="0" w:color="auto"/>
              <w:left w:val="single" w:sz="4" w:space="0" w:color="auto"/>
              <w:bottom w:val="single" w:sz="4" w:space="0" w:color="auto"/>
              <w:right w:val="single" w:sz="4" w:space="0" w:color="auto"/>
            </w:tcBorders>
            <w:hideMark/>
          </w:tcPr>
          <w:p w14:paraId="272A4B0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10AE0926" w14:textId="77777777" w:rsidTr="00A2588D">
        <w:trPr>
          <w:jc w:val="center"/>
        </w:trPr>
        <w:tc>
          <w:tcPr>
            <w:tcW w:w="2511" w:type="dxa"/>
            <w:gridSpan w:val="5"/>
            <w:tcBorders>
              <w:top w:val="single" w:sz="4" w:space="0" w:color="auto"/>
              <w:left w:val="single" w:sz="4" w:space="0" w:color="auto"/>
              <w:bottom w:val="single" w:sz="4" w:space="0" w:color="auto"/>
              <w:right w:val="single" w:sz="4" w:space="0" w:color="auto"/>
            </w:tcBorders>
            <w:hideMark/>
          </w:tcPr>
          <w:p w14:paraId="6BEBC8C6" w14:textId="77777777" w:rsidR="00A2588D" w:rsidRDefault="00A2588D" w:rsidP="00A2588D">
            <w:pPr>
              <w:widowControl w:val="0"/>
              <w:autoSpaceDE w:val="0"/>
              <w:autoSpaceDN w:val="0"/>
              <w:adjustRightInd w:val="0"/>
              <w:ind w:left="11"/>
              <w:rPr>
                <w:rFonts w:ascii="Sylfaen" w:hAnsi="Sylfaen" w:cs="Arial"/>
                <w:b/>
                <w:bCs/>
                <w:sz w:val="20"/>
                <w:szCs w:val="20"/>
                <w:lang w:val="ka-GE"/>
              </w:rPr>
            </w:pPr>
            <w:r>
              <w:rPr>
                <w:rFonts w:ascii="Sylfaen" w:hAnsi="Sylfaen" w:cs="Arial"/>
                <w:b/>
                <w:bCs/>
                <w:sz w:val="20"/>
                <w:szCs w:val="20"/>
                <w:lang w:val="ka-GE"/>
              </w:rPr>
              <w:t>სულ:</w:t>
            </w:r>
          </w:p>
        </w:tc>
        <w:tc>
          <w:tcPr>
            <w:tcW w:w="1314" w:type="dxa"/>
            <w:tcBorders>
              <w:top w:val="single" w:sz="4" w:space="0" w:color="auto"/>
              <w:left w:val="single" w:sz="4" w:space="0" w:color="auto"/>
              <w:bottom w:val="single" w:sz="4" w:space="0" w:color="auto"/>
              <w:right w:val="single" w:sz="4" w:space="0" w:color="auto"/>
            </w:tcBorders>
            <w:hideMark/>
          </w:tcPr>
          <w:p w14:paraId="4F8247D8"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1145344</w:t>
            </w:r>
          </w:p>
        </w:tc>
        <w:tc>
          <w:tcPr>
            <w:tcW w:w="335" w:type="dxa"/>
            <w:tcBorders>
              <w:top w:val="single" w:sz="4" w:space="0" w:color="auto"/>
              <w:left w:val="single" w:sz="4" w:space="0" w:color="auto"/>
              <w:bottom w:val="single" w:sz="4" w:space="0" w:color="auto"/>
              <w:right w:val="single" w:sz="4" w:space="0" w:color="auto"/>
            </w:tcBorders>
          </w:tcPr>
          <w:p w14:paraId="540B034F"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458ABF5F"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0655</w:t>
            </w:r>
          </w:p>
        </w:tc>
        <w:tc>
          <w:tcPr>
            <w:tcW w:w="1825" w:type="dxa"/>
            <w:gridSpan w:val="2"/>
            <w:tcBorders>
              <w:top w:val="single" w:sz="4" w:space="0" w:color="auto"/>
              <w:left w:val="single" w:sz="4" w:space="0" w:color="auto"/>
              <w:bottom w:val="single" w:sz="4" w:space="0" w:color="auto"/>
              <w:right w:val="single" w:sz="4" w:space="0" w:color="auto"/>
            </w:tcBorders>
          </w:tcPr>
          <w:p w14:paraId="76DC78E6"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963" w:type="dxa"/>
            <w:tcBorders>
              <w:top w:val="single" w:sz="4" w:space="0" w:color="auto"/>
              <w:left w:val="single" w:sz="4" w:space="0" w:color="auto"/>
              <w:bottom w:val="single" w:sz="4" w:space="0" w:color="auto"/>
              <w:right w:val="single" w:sz="4" w:space="0" w:color="auto"/>
            </w:tcBorders>
            <w:hideMark/>
          </w:tcPr>
          <w:p w14:paraId="03170426"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0654</w:t>
            </w:r>
          </w:p>
        </w:tc>
        <w:tc>
          <w:tcPr>
            <w:tcW w:w="1694" w:type="dxa"/>
            <w:gridSpan w:val="2"/>
            <w:tcBorders>
              <w:top w:val="single" w:sz="4" w:space="0" w:color="auto"/>
              <w:left w:val="single" w:sz="4" w:space="0" w:color="auto"/>
              <w:bottom w:val="single" w:sz="4" w:space="0" w:color="auto"/>
              <w:right w:val="single" w:sz="4" w:space="0" w:color="auto"/>
            </w:tcBorders>
          </w:tcPr>
          <w:p w14:paraId="2506CB32" w14:textId="77777777" w:rsidR="00A2588D" w:rsidRDefault="00A2588D" w:rsidP="00A2588D">
            <w:pPr>
              <w:widowControl w:val="0"/>
              <w:autoSpaceDE w:val="0"/>
              <w:autoSpaceDN w:val="0"/>
              <w:adjustRightInd w:val="0"/>
              <w:ind w:left="11"/>
              <w:rPr>
                <w:rFonts w:ascii="Sylfaen" w:hAnsi="Sylfaen" w:cs="Arial"/>
                <w:sz w:val="20"/>
                <w:szCs w:val="20"/>
                <w:lang w:val="ka-GE"/>
              </w:rPr>
            </w:pPr>
          </w:p>
        </w:tc>
      </w:tr>
    </w:tbl>
    <w:p w14:paraId="7FA1A1F6"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76CF4C2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0703</w:t>
      </w:r>
      <w:r>
        <w:rPr>
          <w:rFonts w:ascii="Sylfaen" w:hAnsi="Sylfaen" w:cs="Arial"/>
          <w:b/>
          <w:bCs/>
          <w:sz w:val="20"/>
          <w:szCs w:val="20"/>
          <w:lang w:val="ka-GE"/>
        </w:rPr>
        <w:t xml:space="preserve">   ბენზ(ა)პირენი (3,4-ბენზპირენი)</w:t>
      </w:r>
    </w:p>
    <w:p w14:paraId="09AA7D9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511"/>
        <w:gridCol w:w="467"/>
        <w:gridCol w:w="525"/>
        <w:gridCol w:w="481"/>
        <w:gridCol w:w="527"/>
        <w:gridCol w:w="1314"/>
        <w:gridCol w:w="335"/>
        <w:gridCol w:w="1007"/>
        <w:gridCol w:w="905"/>
        <w:gridCol w:w="920"/>
        <w:gridCol w:w="963"/>
        <w:gridCol w:w="846"/>
        <w:gridCol w:w="848"/>
      </w:tblGrid>
      <w:tr w:rsidR="00A2588D" w14:paraId="2E0D625F" w14:textId="77777777" w:rsidTr="00A2588D">
        <w:trPr>
          <w:jc w:val="center"/>
        </w:trPr>
        <w:tc>
          <w:tcPr>
            <w:tcW w:w="511" w:type="dxa"/>
            <w:tcBorders>
              <w:top w:val="single" w:sz="4" w:space="0" w:color="auto"/>
              <w:left w:val="single" w:sz="4" w:space="0" w:color="auto"/>
              <w:bottom w:val="nil"/>
              <w:right w:val="single" w:sz="4" w:space="0" w:color="auto"/>
            </w:tcBorders>
            <w:hideMark/>
          </w:tcPr>
          <w:p w14:paraId="6CA1E87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1A5F334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მოედ.</w:t>
            </w:r>
          </w:p>
        </w:tc>
        <w:tc>
          <w:tcPr>
            <w:tcW w:w="467" w:type="dxa"/>
            <w:tcBorders>
              <w:top w:val="single" w:sz="4" w:space="0" w:color="auto"/>
              <w:left w:val="single" w:sz="4" w:space="0" w:color="auto"/>
              <w:bottom w:val="nil"/>
              <w:right w:val="single" w:sz="4" w:space="0" w:color="auto"/>
            </w:tcBorders>
            <w:hideMark/>
          </w:tcPr>
          <w:p w14:paraId="513F314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0052BF7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საამქ.</w:t>
            </w:r>
          </w:p>
        </w:tc>
        <w:tc>
          <w:tcPr>
            <w:tcW w:w="525" w:type="dxa"/>
            <w:tcBorders>
              <w:top w:val="single" w:sz="4" w:space="0" w:color="auto"/>
              <w:left w:val="single" w:sz="4" w:space="0" w:color="auto"/>
              <w:bottom w:val="nil"/>
              <w:right w:val="single" w:sz="4" w:space="0" w:color="auto"/>
            </w:tcBorders>
            <w:hideMark/>
          </w:tcPr>
          <w:p w14:paraId="018750E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3F379B9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წყაროს</w:t>
            </w:r>
          </w:p>
        </w:tc>
        <w:tc>
          <w:tcPr>
            <w:tcW w:w="481" w:type="dxa"/>
            <w:tcBorders>
              <w:top w:val="single" w:sz="4" w:space="0" w:color="auto"/>
              <w:left w:val="single" w:sz="4" w:space="0" w:color="auto"/>
              <w:bottom w:val="nil"/>
              <w:right w:val="single" w:sz="4" w:space="0" w:color="auto"/>
            </w:tcBorders>
            <w:hideMark/>
          </w:tcPr>
          <w:p w14:paraId="5359BB4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ტიპი</w:t>
            </w:r>
          </w:p>
        </w:tc>
        <w:tc>
          <w:tcPr>
            <w:tcW w:w="525" w:type="dxa"/>
            <w:tcBorders>
              <w:top w:val="single" w:sz="4" w:space="0" w:color="auto"/>
              <w:left w:val="single" w:sz="4" w:space="0" w:color="auto"/>
              <w:bottom w:val="nil"/>
              <w:right w:val="single" w:sz="4" w:space="0" w:color="auto"/>
            </w:tcBorders>
            <w:hideMark/>
          </w:tcPr>
          <w:p w14:paraId="347163E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აღრიცხვა</w:t>
            </w:r>
          </w:p>
        </w:tc>
        <w:tc>
          <w:tcPr>
            <w:tcW w:w="1314" w:type="dxa"/>
            <w:tcBorders>
              <w:top w:val="single" w:sz="4" w:space="0" w:color="auto"/>
              <w:left w:val="single" w:sz="4" w:space="0" w:color="auto"/>
              <w:bottom w:val="nil"/>
              <w:right w:val="single" w:sz="4" w:space="0" w:color="auto"/>
            </w:tcBorders>
            <w:hideMark/>
          </w:tcPr>
          <w:p w14:paraId="7D12BD6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გაფრქვევა</w:t>
            </w:r>
          </w:p>
          <w:p w14:paraId="52FA125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(გ/წმ)</w:t>
            </w:r>
          </w:p>
        </w:tc>
        <w:tc>
          <w:tcPr>
            <w:tcW w:w="335" w:type="dxa"/>
            <w:tcBorders>
              <w:top w:val="single" w:sz="4" w:space="0" w:color="auto"/>
              <w:left w:val="single" w:sz="4" w:space="0" w:color="auto"/>
              <w:bottom w:val="nil"/>
              <w:right w:val="single" w:sz="4" w:space="0" w:color="auto"/>
            </w:tcBorders>
            <w:hideMark/>
          </w:tcPr>
          <w:p w14:paraId="5E9F0E6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F</w:t>
            </w:r>
          </w:p>
        </w:tc>
        <w:tc>
          <w:tcPr>
            <w:tcW w:w="2832" w:type="dxa"/>
            <w:gridSpan w:val="3"/>
            <w:tcBorders>
              <w:top w:val="single" w:sz="4" w:space="0" w:color="auto"/>
              <w:left w:val="single" w:sz="4" w:space="0" w:color="auto"/>
              <w:bottom w:val="single" w:sz="4" w:space="0" w:color="auto"/>
              <w:right w:val="single" w:sz="4" w:space="0" w:color="auto"/>
            </w:tcBorders>
            <w:hideMark/>
          </w:tcPr>
          <w:p w14:paraId="16F7EA4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hideMark/>
          </w:tcPr>
          <w:p w14:paraId="3FE4228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ზამთ.</w:t>
            </w:r>
          </w:p>
        </w:tc>
      </w:tr>
      <w:tr w:rsidR="00A2588D" w14:paraId="48AB4F9A" w14:textId="77777777" w:rsidTr="00A2588D">
        <w:trPr>
          <w:jc w:val="center"/>
        </w:trPr>
        <w:tc>
          <w:tcPr>
            <w:tcW w:w="511" w:type="dxa"/>
            <w:tcBorders>
              <w:top w:val="nil"/>
              <w:left w:val="single" w:sz="4" w:space="0" w:color="auto"/>
              <w:bottom w:val="single" w:sz="4" w:space="0" w:color="auto"/>
              <w:right w:val="single" w:sz="4" w:space="0" w:color="auto"/>
            </w:tcBorders>
          </w:tcPr>
          <w:p w14:paraId="52839B5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67" w:type="dxa"/>
            <w:tcBorders>
              <w:top w:val="nil"/>
              <w:left w:val="single" w:sz="4" w:space="0" w:color="auto"/>
              <w:bottom w:val="single" w:sz="4" w:space="0" w:color="auto"/>
              <w:right w:val="single" w:sz="4" w:space="0" w:color="auto"/>
            </w:tcBorders>
          </w:tcPr>
          <w:p w14:paraId="1DEC629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108EA42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81" w:type="dxa"/>
            <w:tcBorders>
              <w:top w:val="nil"/>
              <w:left w:val="single" w:sz="4" w:space="0" w:color="auto"/>
              <w:bottom w:val="single" w:sz="4" w:space="0" w:color="auto"/>
              <w:right w:val="single" w:sz="4" w:space="0" w:color="auto"/>
            </w:tcBorders>
          </w:tcPr>
          <w:p w14:paraId="4B3C449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621FEED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314" w:type="dxa"/>
            <w:tcBorders>
              <w:top w:val="nil"/>
              <w:left w:val="single" w:sz="4" w:space="0" w:color="auto"/>
              <w:bottom w:val="single" w:sz="4" w:space="0" w:color="auto"/>
              <w:right w:val="single" w:sz="4" w:space="0" w:color="auto"/>
            </w:tcBorders>
          </w:tcPr>
          <w:p w14:paraId="7E1B228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335" w:type="dxa"/>
            <w:tcBorders>
              <w:top w:val="nil"/>
              <w:left w:val="single" w:sz="4" w:space="0" w:color="auto"/>
              <w:bottom w:val="single" w:sz="4" w:space="0" w:color="auto"/>
              <w:right w:val="single" w:sz="4" w:space="0" w:color="auto"/>
            </w:tcBorders>
          </w:tcPr>
          <w:p w14:paraId="720835C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4004486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905" w:type="dxa"/>
            <w:tcBorders>
              <w:top w:val="single" w:sz="4" w:space="0" w:color="auto"/>
              <w:left w:val="single" w:sz="4" w:space="0" w:color="auto"/>
              <w:bottom w:val="single" w:sz="4" w:space="0" w:color="auto"/>
              <w:right w:val="single" w:sz="4" w:space="0" w:color="auto"/>
            </w:tcBorders>
            <w:hideMark/>
          </w:tcPr>
          <w:p w14:paraId="7F5A259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919" w:type="dxa"/>
            <w:tcBorders>
              <w:top w:val="single" w:sz="4" w:space="0" w:color="auto"/>
              <w:left w:val="single" w:sz="4" w:space="0" w:color="auto"/>
              <w:bottom w:val="single" w:sz="4" w:space="0" w:color="auto"/>
              <w:right w:val="single" w:sz="4" w:space="0" w:color="auto"/>
            </w:tcBorders>
            <w:hideMark/>
          </w:tcPr>
          <w:p w14:paraId="4060854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c>
          <w:tcPr>
            <w:tcW w:w="963" w:type="dxa"/>
            <w:tcBorders>
              <w:top w:val="single" w:sz="4" w:space="0" w:color="auto"/>
              <w:left w:val="single" w:sz="4" w:space="0" w:color="auto"/>
              <w:bottom w:val="single" w:sz="4" w:space="0" w:color="auto"/>
              <w:right w:val="single" w:sz="4" w:space="0" w:color="auto"/>
            </w:tcBorders>
            <w:hideMark/>
          </w:tcPr>
          <w:p w14:paraId="51E56E2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846" w:type="dxa"/>
            <w:tcBorders>
              <w:top w:val="single" w:sz="4" w:space="0" w:color="auto"/>
              <w:left w:val="single" w:sz="4" w:space="0" w:color="auto"/>
              <w:bottom w:val="single" w:sz="4" w:space="0" w:color="auto"/>
              <w:right w:val="single" w:sz="4" w:space="0" w:color="auto"/>
            </w:tcBorders>
            <w:hideMark/>
          </w:tcPr>
          <w:p w14:paraId="69BE951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846" w:type="dxa"/>
            <w:tcBorders>
              <w:top w:val="single" w:sz="4" w:space="0" w:color="auto"/>
              <w:left w:val="single" w:sz="4" w:space="0" w:color="auto"/>
              <w:bottom w:val="single" w:sz="4" w:space="0" w:color="auto"/>
              <w:right w:val="single" w:sz="4" w:space="0" w:color="auto"/>
            </w:tcBorders>
            <w:hideMark/>
          </w:tcPr>
          <w:p w14:paraId="4F6AA0E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r>
      <w:tr w:rsidR="00A2588D" w14:paraId="7E28BE45"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6F199BB0"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4476997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14EB0F4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8</w:t>
            </w:r>
          </w:p>
        </w:tc>
        <w:tc>
          <w:tcPr>
            <w:tcW w:w="481" w:type="dxa"/>
            <w:tcBorders>
              <w:top w:val="single" w:sz="4" w:space="0" w:color="auto"/>
              <w:left w:val="single" w:sz="4" w:space="0" w:color="auto"/>
              <w:bottom w:val="single" w:sz="4" w:space="0" w:color="auto"/>
              <w:right w:val="single" w:sz="4" w:space="0" w:color="auto"/>
            </w:tcBorders>
            <w:hideMark/>
          </w:tcPr>
          <w:p w14:paraId="18B5D97B"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525" w:type="dxa"/>
            <w:tcBorders>
              <w:top w:val="single" w:sz="4" w:space="0" w:color="auto"/>
              <w:left w:val="single" w:sz="4" w:space="0" w:color="auto"/>
              <w:bottom w:val="single" w:sz="4" w:space="0" w:color="auto"/>
              <w:right w:val="single" w:sz="4" w:space="0" w:color="auto"/>
            </w:tcBorders>
            <w:hideMark/>
          </w:tcPr>
          <w:p w14:paraId="1365107D"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273645D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0000001</w:t>
            </w:r>
          </w:p>
        </w:tc>
        <w:tc>
          <w:tcPr>
            <w:tcW w:w="335" w:type="dxa"/>
            <w:tcBorders>
              <w:top w:val="single" w:sz="4" w:space="0" w:color="auto"/>
              <w:left w:val="single" w:sz="4" w:space="0" w:color="auto"/>
              <w:bottom w:val="single" w:sz="4" w:space="0" w:color="auto"/>
              <w:right w:val="single" w:sz="4" w:space="0" w:color="auto"/>
            </w:tcBorders>
            <w:hideMark/>
          </w:tcPr>
          <w:p w14:paraId="6822B01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15CAFBF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0112</w:t>
            </w:r>
          </w:p>
        </w:tc>
        <w:tc>
          <w:tcPr>
            <w:tcW w:w="905" w:type="dxa"/>
            <w:tcBorders>
              <w:top w:val="single" w:sz="4" w:space="0" w:color="auto"/>
              <w:left w:val="single" w:sz="4" w:space="0" w:color="auto"/>
              <w:bottom w:val="single" w:sz="4" w:space="0" w:color="auto"/>
              <w:right w:val="single" w:sz="4" w:space="0" w:color="auto"/>
            </w:tcBorders>
            <w:hideMark/>
          </w:tcPr>
          <w:p w14:paraId="272FF0E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68</w:t>
            </w:r>
            <w:r>
              <w:rPr>
                <w:rFonts w:ascii="Sylfaen" w:hAnsi="Sylfaen" w:cs="Arial"/>
                <w:sz w:val="20"/>
                <w:szCs w:val="20"/>
                <w:lang w:val="ka-GE"/>
              </w:rPr>
              <w:t>,</w:t>
            </w:r>
            <w:r>
              <w:rPr>
                <w:rFonts w:ascii="Sylfaen" w:hAnsi="Sylfaen"/>
                <w:sz w:val="20"/>
                <w:szCs w:val="20"/>
                <w:lang w:val="ka-GE"/>
              </w:rPr>
              <w:t>79</w:t>
            </w:r>
          </w:p>
        </w:tc>
        <w:tc>
          <w:tcPr>
            <w:tcW w:w="919" w:type="dxa"/>
            <w:tcBorders>
              <w:top w:val="single" w:sz="4" w:space="0" w:color="auto"/>
              <w:left w:val="single" w:sz="4" w:space="0" w:color="auto"/>
              <w:bottom w:val="single" w:sz="4" w:space="0" w:color="auto"/>
              <w:right w:val="single" w:sz="4" w:space="0" w:color="auto"/>
            </w:tcBorders>
            <w:hideMark/>
          </w:tcPr>
          <w:p w14:paraId="7539385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w:t>
            </w:r>
            <w:r>
              <w:rPr>
                <w:rFonts w:ascii="Sylfaen" w:hAnsi="Sylfaen"/>
                <w:sz w:val="20"/>
                <w:szCs w:val="20"/>
                <w:lang w:val="ka-GE"/>
              </w:rPr>
              <w:t>9158</w:t>
            </w:r>
          </w:p>
        </w:tc>
        <w:tc>
          <w:tcPr>
            <w:tcW w:w="963" w:type="dxa"/>
            <w:tcBorders>
              <w:top w:val="single" w:sz="4" w:space="0" w:color="auto"/>
              <w:left w:val="single" w:sz="4" w:space="0" w:color="auto"/>
              <w:bottom w:val="single" w:sz="4" w:space="0" w:color="auto"/>
              <w:right w:val="single" w:sz="4" w:space="0" w:color="auto"/>
            </w:tcBorders>
            <w:hideMark/>
          </w:tcPr>
          <w:p w14:paraId="2F332F7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0110</w:t>
            </w:r>
          </w:p>
        </w:tc>
        <w:tc>
          <w:tcPr>
            <w:tcW w:w="846" w:type="dxa"/>
            <w:tcBorders>
              <w:top w:val="single" w:sz="4" w:space="0" w:color="auto"/>
              <w:left w:val="single" w:sz="4" w:space="0" w:color="auto"/>
              <w:bottom w:val="single" w:sz="4" w:space="0" w:color="auto"/>
              <w:right w:val="single" w:sz="4" w:space="0" w:color="auto"/>
            </w:tcBorders>
            <w:hideMark/>
          </w:tcPr>
          <w:p w14:paraId="59B06AD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69</w:t>
            </w:r>
            <w:r>
              <w:rPr>
                <w:rFonts w:ascii="Sylfaen" w:hAnsi="Sylfaen" w:cs="Arial"/>
                <w:sz w:val="20"/>
                <w:szCs w:val="20"/>
                <w:lang w:val="ka-GE"/>
              </w:rPr>
              <w:t>,</w:t>
            </w:r>
            <w:r>
              <w:rPr>
                <w:rFonts w:ascii="Sylfaen" w:hAnsi="Sylfaen"/>
                <w:sz w:val="20"/>
                <w:szCs w:val="20"/>
                <w:lang w:val="ka-GE"/>
              </w:rPr>
              <w:t>99</w:t>
            </w:r>
          </w:p>
        </w:tc>
        <w:tc>
          <w:tcPr>
            <w:tcW w:w="846" w:type="dxa"/>
            <w:tcBorders>
              <w:top w:val="single" w:sz="4" w:space="0" w:color="auto"/>
              <w:left w:val="single" w:sz="4" w:space="0" w:color="auto"/>
              <w:bottom w:val="single" w:sz="4" w:space="0" w:color="auto"/>
              <w:right w:val="single" w:sz="4" w:space="0" w:color="auto"/>
            </w:tcBorders>
            <w:hideMark/>
          </w:tcPr>
          <w:p w14:paraId="600014B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w:t>
            </w:r>
            <w:r>
              <w:rPr>
                <w:rFonts w:ascii="Sylfaen" w:hAnsi="Sylfaen"/>
                <w:sz w:val="20"/>
                <w:szCs w:val="20"/>
                <w:lang w:val="ka-GE"/>
              </w:rPr>
              <w:t>9640</w:t>
            </w:r>
          </w:p>
        </w:tc>
      </w:tr>
      <w:tr w:rsidR="00A2588D" w14:paraId="18902A63" w14:textId="77777777" w:rsidTr="00A2588D">
        <w:trPr>
          <w:jc w:val="center"/>
        </w:trPr>
        <w:tc>
          <w:tcPr>
            <w:tcW w:w="2511" w:type="dxa"/>
            <w:gridSpan w:val="5"/>
            <w:tcBorders>
              <w:top w:val="single" w:sz="4" w:space="0" w:color="auto"/>
              <w:left w:val="single" w:sz="4" w:space="0" w:color="auto"/>
              <w:bottom w:val="single" w:sz="4" w:space="0" w:color="auto"/>
              <w:right w:val="single" w:sz="4" w:space="0" w:color="auto"/>
            </w:tcBorders>
            <w:hideMark/>
          </w:tcPr>
          <w:p w14:paraId="7C1869EE" w14:textId="77777777" w:rsidR="00A2588D" w:rsidRDefault="00A2588D" w:rsidP="00A2588D">
            <w:pPr>
              <w:widowControl w:val="0"/>
              <w:autoSpaceDE w:val="0"/>
              <w:autoSpaceDN w:val="0"/>
              <w:adjustRightInd w:val="0"/>
              <w:ind w:left="11"/>
              <w:rPr>
                <w:rFonts w:ascii="Sylfaen" w:hAnsi="Sylfaen" w:cs="Arial"/>
                <w:b/>
                <w:bCs/>
                <w:sz w:val="20"/>
                <w:szCs w:val="20"/>
                <w:lang w:val="ka-GE"/>
              </w:rPr>
            </w:pPr>
            <w:r>
              <w:rPr>
                <w:rFonts w:ascii="Sylfaen" w:hAnsi="Sylfaen" w:cs="Arial"/>
                <w:b/>
                <w:bCs/>
                <w:sz w:val="20"/>
                <w:szCs w:val="20"/>
                <w:lang w:val="ka-GE"/>
              </w:rPr>
              <w:t>სულ:</w:t>
            </w:r>
          </w:p>
        </w:tc>
        <w:tc>
          <w:tcPr>
            <w:tcW w:w="1314" w:type="dxa"/>
            <w:tcBorders>
              <w:top w:val="single" w:sz="4" w:space="0" w:color="auto"/>
              <w:left w:val="single" w:sz="4" w:space="0" w:color="auto"/>
              <w:bottom w:val="single" w:sz="4" w:space="0" w:color="auto"/>
              <w:right w:val="single" w:sz="4" w:space="0" w:color="auto"/>
            </w:tcBorders>
            <w:hideMark/>
          </w:tcPr>
          <w:p w14:paraId="4FA4BBE2"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0000001</w:t>
            </w:r>
          </w:p>
        </w:tc>
        <w:tc>
          <w:tcPr>
            <w:tcW w:w="335" w:type="dxa"/>
            <w:tcBorders>
              <w:top w:val="single" w:sz="4" w:space="0" w:color="auto"/>
              <w:left w:val="single" w:sz="4" w:space="0" w:color="auto"/>
              <w:bottom w:val="single" w:sz="4" w:space="0" w:color="auto"/>
              <w:right w:val="single" w:sz="4" w:space="0" w:color="auto"/>
            </w:tcBorders>
          </w:tcPr>
          <w:p w14:paraId="7DC8A0A5"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14C7C817"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0112</w:t>
            </w:r>
          </w:p>
        </w:tc>
        <w:tc>
          <w:tcPr>
            <w:tcW w:w="1825" w:type="dxa"/>
            <w:gridSpan w:val="2"/>
            <w:tcBorders>
              <w:top w:val="single" w:sz="4" w:space="0" w:color="auto"/>
              <w:left w:val="single" w:sz="4" w:space="0" w:color="auto"/>
              <w:bottom w:val="single" w:sz="4" w:space="0" w:color="auto"/>
              <w:right w:val="single" w:sz="4" w:space="0" w:color="auto"/>
            </w:tcBorders>
          </w:tcPr>
          <w:p w14:paraId="4F53CE6E"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963" w:type="dxa"/>
            <w:tcBorders>
              <w:top w:val="single" w:sz="4" w:space="0" w:color="auto"/>
              <w:left w:val="single" w:sz="4" w:space="0" w:color="auto"/>
              <w:bottom w:val="single" w:sz="4" w:space="0" w:color="auto"/>
              <w:right w:val="single" w:sz="4" w:space="0" w:color="auto"/>
            </w:tcBorders>
            <w:hideMark/>
          </w:tcPr>
          <w:p w14:paraId="5D233504"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0110</w:t>
            </w:r>
          </w:p>
        </w:tc>
        <w:tc>
          <w:tcPr>
            <w:tcW w:w="1693" w:type="dxa"/>
            <w:gridSpan w:val="2"/>
            <w:tcBorders>
              <w:top w:val="single" w:sz="4" w:space="0" w:color="auto"/>
              <w:left w:val="single" w:sz="4" w:space="0" w:color="auto"/>
              <w:bottom w:val="single" w:sz="4" w:space="0" w:color="auto"/>
              <w:right w:val="single" w:sz="4" w:space="0" w:color="auto"/>
            </w:tcBorders>
          </w:tcPr>
          <w:p w14:paraId="2AB5B93D" w14:textId="77777777" w:rsidR="00A2588D" w:rsidRDefault="00A2588D" w:rsidP="00A2588D">
            <w:pPr>
              <w:widowControl w:val="0"/>
              <w:autoSpaceDE w:val="0"/>
              <w:autoSpaceDN w:val="0"/>
              <w:adjustRightInd w:val="0"/>
              <w:ind w:left="11"/>
              <w:rPr>
                <w:rFonts w:ascii="Sylfaen" w:hAnsi="Sylfaen" w:cs="Arial"/>
                <w:sz w:val="20"/>
                <w:szCs w:val="20"/>
                <w:lang w:val="ka-GE"/>
              </w:rPr>
            </w:pPr>
          </w:p>
        </w:tc>
      </w:tr>
    </w:tbl>
    <w:p w14:paraId="6DB6C78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1812067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1325</w:t>
      </w:r>
      <w:r>
        <w:rPr>
          <w:rFonts w:ascii="Sylfaen" w:hAnsi="Sylfaen" w:cs="Arial"/>
          <w:b/>
          <w:bCs/>
          <w:sz w:val="20"/>
          <w:szCs w:val="20"/>
          <w:lang w:val="ka-GE"/>
        </w:rPr>
        <w:t xml:space="preserve">   ფორმალდეჰიდი</w:t>
      </w:r>
    </w:p>
    <w:p w14:paraId="068E337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511"/>
        <w:gridCol w:w="467"/>
        <w:gridCol w:w="525"/>
        <w:gridCol w:w="481"/>
        <w:gridCol w:w="527"/>
        <w:gridCol w:w="1314"/>
        <w:gridCol w:w="335"/>
        <w:gridCol w:w="1007"/>
        <w:gridCol w:w="905"/>
        <w:gridCol w:w="920"/>
        <w:gridCol w:w="963"/>
        <w:gridCol w:w="846"/>
        <w:gridCol w:w="848"/>
      </w:tblGrid>
      <w:tr w:rsidR="00A2588D" w14:paraId="59B67CDB" w14:textId="77777777" w:rsidTr="00A2588D">
        <w:trPr>
          <w:jc w:val="center"/>
        </w:trPr>
        <w:tc>
          <w:tcPr>
            <w:tcW w:w="511" w:type="dxa"/>
            <w:tcBorders>
              <w:top w:val="single" w:sz="4" w:space="0" w:color="auto"/>
              <w:left w:val="single" w:sz="4" w:space="0" w:color="auto"/>
              <w:bottom w:val="nil"/>
              <w:right w:val="single" w:sz="4" w:space="0" w:color="auto"/>
            </w:tcBorders>
            <w:hideMark/>
          </w:tcPr>
          <w:p w14:paraId="1857F20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00EBF18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მოედ.</w:t>
            </w:r>
          </w:p>
        </w:tc>
        <w:tc>
          <w:tcPr>
            <w:tcW w:w="467" w:type="dxa"/>
            <w:tcBorders>
              <w:top w:val="single" w:sz="4" w:space="0" w:color="auto"/>
              <w:left w:val="single" w:sz="4" w:space="0" w:color="auto"/>
              <w:bottom w:val="nil"/>
              <w:right w:val="single" w:sz="4" w:space="0" w:color="auto"/>
            </w:tcBorders>
            <w:hideMark/>
          </w:tcPr>
          <w:p w14:paraId="769E51E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32B85CF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საამქ.</w:t>
            </w:r>
          </w:p>
        </w:tc>
        <w:tc>
          <w:tcPr>
            <w:tcW w:w="525" w:type="dxa"/>
            <w:tcBorders>
              <w:top w:val="single" w:sz="4" w:space="0" w:color="auto"/>
              <w:left w:val="single" w:sz="4" w:space="0" w:color="auto"/>
              <w:bottom w:val="nil"/>
              <w:right w:val="single" w:sz="4" w:space="0" w:color="auto"/>
            </w:tcBorders>
            <w:hideMark/>
          </w:tcPr>
          <w:p w14:paraId="65D42E1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17F96D4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წყაროს</w:t>
            </w:r>
          </w:p>
        </w:tc>
        <w:tc>
          <w:tcPr>
            <w:tcW w:w="481" w:type="dxa"/>
            <w:tcBorders>
              <w:top w:val="single" w:sz="4" w:space="0" w:color="auto"/>
              <w:left w:val="single" w:sz="4" w:space="0" w:color="auto"/>
              <w:bottom w:val="nil"/>
              <w:right w:val="single" w:sz="4" w:space="0" w:color="auto"/>
            </w:tcBorders>
            <w:hideMark/>
          </w:tcPr>
          <w:p w14:paraId="56E1B10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ტიპი</w:t>
            </w:r>
          </w:p>
        </w:tc>
        <w:tc>
          <w:tcPr>
            <w:tcW w:w="525" w:type="dxa"/>
            <w:tcBorders>
              <w:top w:val="single" w:sz="4" w:space="0" w:color="auto"/>
              <w:left w:val="single" w:sz="4" w:space="0" w:color="auto"/>
              <w:bottom w:val="nil"/>
              <w:right w:val="single" w:sz="4" w:space="0" w:color="auto"/>
            </w:tcBorders>
            <w:hideMark/>
          </w:tcPr>
          <w:p w14:paraId="2B5145E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აღრიცხვა</w:t>
            </w:r>
          </w:p>
        </w:tc>
        <w:tc>
          <w:tcPr>
            <w:tcW w:w="1314" w:type="dxa"/>
            <w:tcBorders>
              <w:top w:val="single" w:sz="4" w:space="0" w:color="auto"/>
              <w:left w:val="single" w:sz="4" w:space="0" w:color="auto"/>
              <w:bottom w:val="nil"/>
              <w:right w:val="single" w:sz="4" w:space="0" w:color="auto"/>
            </w:tcBorders>
            <w:hideMark/>
          </w:tcPr>
          <w:p w14:paraId="67F3085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გაფრქვევა</w:t>
            </w:r>
          </w:p>
          <w:p w14:paraId="719369C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(გ/წმ)</w:t>
            </w:r>
          </w:p>
        </w:tc>
        <w:tc>
          <w:tcPr>
            <w:tcW w:w="335" w:type="dxa"/>
            <w:tcBorders>
              <w:top w:val="single" w:sz="4" w:space="0" w:color="auto"/>
              <w:left w:val="single" w:sz="4" w:space="0" w:color="auto"/>
              <w:bottom w:val="nil"/>
              <w:right w:val="single" w:sz="4" w:space="0" w:color="auto"/>
            </w:tcBorders>
            <w:hideMark/>
          </w:tcPr>
          <w:p w14:paraId="3F4F2E9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F</w:t>
            </w:r>
          </w:p>
        </w:tc>
        <w:tc>
          <w:tcPr>
            <w:tcW w:w="2832" w:type="dxa"/>
            <w:gridSpan w:val="3"/>
            <w:tcBorders>
              <w:top w:val="single" w:sz="4" w:space="0" w:color="auto"/>
              <w:left w:val="single" w:sz="4" w:space="0" w:color="auto"/>
              <w:bottom w:val="single" w:sz="4" w:space="0" w:color="auto"/>
              <w:right w:val="single" w:sz="4" w:space="0" w:color="auto"/>
            </w:tcBorders>
            <w:hideMark/>
          </w:tcPr>
          <w:p w14:paraId="5BBB7BE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hideMark/>
          </w:tcPr>
          <w:p w14:paraId="428DEC7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ზამთ.</w:t>
            </w:r>
          </w:p>
        </w:tc>
      </w:tr>
      <w:tr w:rsidR="00A2588D" w14:paraId="036E383C" w14:textId="77777777" w:rsidTr="00A2588D">
        <w:trPr>
          <w:jc w:val="center"/>
        </w:trPr>
        <w:tc>
          <w:tcPr>
            <w:tcW w:w="511" w:type="dxa"/>
            <w:tcBorders>
              <w:top w:val="nil"/>
              <w:left w:val="single" w:sz="4" w:space="0" w:color="auto"/>
              <w:bottom w:val="single" w:sz="4" w:space="0" w:color="auto"/>
              <w:right w:val="single" w:sz="4" w:space="0" w:color="auto"/>
            </w:tcBorders>
          </w:tcPr>
          <w:p w14:paraId="48E0CAA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67" w:type="dxa"/>
            <w:tcBorders>
              <w:top w:val="nil"/>
              <w:left w:val="single" w:sz="4" w:space="0" w:color="auto"/>
              <w:bottom w:val="single" w:sz="4" w:space="0" w:color="auto"/>
              <w:right w:val="single" w:sz="4" w:space="0" w:color="auto"/>
            </w:tcBorders>
          </w:tcPr>
          <w:p w14:paraId="72CB547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7D7527D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81" w:type="dxa"/>
            <w:tcBorders>
              <w:top w:val="nil"/>
              <w:left w:val="single" w:sz="4" w:space="0" w:color="auto"/>
              <w:bottom w:val="single" w:sz="4" w:space="0" w:color="auto"/>
              <w:right w:val="single" w:sz="4" w:space="0" w:color="auto"/>
            </w:tcBorders>
          </w:tcPr>
          <w:p w14:paraId="128704D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60D2089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314" w:type="dxa"/>
            <w:tcBorders>
              <w:top w:val="nil"/>
              <w:left w:val="single" w:sz="4" w:space="0" w:color="auto"/>
              <w:bottom w:val="single" w:sz="4" w:space="0" w:color="auto"/>
              <w:right w:val="single" w:sz="4" w:space="0" w:color="auto"/>
            </w:tcBorders>
          </w:tcPr>
          <w:p w14:paraId="74A1850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335" w:type="dxa"/>
            <w:tcBorders>
              <w:top w:val="nil"/>
              <w:left w:val="single" w:sz="4" w:space="0" w:color="auto"/>
              <w:bottom w:val="single" w:sz="4" w:space="0" w:color="auto"/>
              <w:right w:val="single" w:sz="4" w:space="0" w:color="auto"/>
            </w:tcBorders>
          </w:tcPr>
          <w:p w14:paraId="7379C33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21424B0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905" w:type="dxa"/>
            <w:tcBorders>
              <w:top w:val="single" w:sz="4" w:space="0" w:color="auto"/>
              <w:left w:val="single" w:sz="4" w:space="0" w:color="auto"/>
              <w:bottom w:val="single" w:sz="4" w:space="0" w:color="auto"/>
              <w:right w:val="single" w:sz="4" w:space="0" w:color="auto"/>
            </w:tcBorders>
            <w:hideMark/>
          </w:tcPr>
          <w:p w14:paraId="07451AB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919" w:type="dxa"/>
            <w:tcBorders>
              <w:top w:val="single" w:sz="4" w:space="0" w:color="auto"/>
              <w:left w:val="single" w:sz="4" w:space="0" w:color="auto"/>
              <w:bottom w:val="single" w:sz="4" w:space="0" w:color="auto"/>
              <w:right w:val="single" w:sz="4" w:space="0" w:color="auto"/>
            </w:tcBorders>
            <w:hideMark/>
          </w:tcPr>
          <w:p w14:paraId="011FC4A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c>
          <w:tcPr>
            <w:tcW w:w="963" w:type="dxa"/>
            <w:tcBorders>
              <w:top w:val="single" w:sz="4" w:space="0" w:color="auto"/>
              <w:left w:val="single" w:sz="4" w:space="0" w:color="auto"/>
              <w:bottom w:val="single" w:sz="4" w:space="0" w:color="auto"/>
              <w:right w:val="single" w:sz="4" w:space="0" w:color="auto"/>
            </w:tcBorders>
            <w:hideMark/>
          </w:tcPr>
          <w:p w14:paraId="3AC7845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846" w:type="dxa"/>
            <w:tcBorders>
              <w:top w:val="single" w:sz="4" w:space="0" w:color="auto"/>
              <w:left w:val="single" w:sz="4" w:space="0" w:color="auto"/>
              <w:bottom w:val="single" w:sz="4" w:space="0" w:color="auto"/>
              <w:right w:val="single" w:sz="4" w:space="0" w:color="auto"/>
            </w:tcBorders>
            <w:hideMark/>
          </w:tcPr>
          <w:p w14:paraId="132D09B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846" w:type="dxa"/>
            <w:tcBorders>
              <w:top w:val="single" w:sz="4" w:space="0" w:color="auto"/>
              <w:left w:val="single" w:sz="4" w:space="0" w:color="auto"/>
              <w:bottom w:val="single" w:sz="4" w:space="0" w:color="auto"/>
              <w:right w:val="single" w:sz="4" w:space="0" w:color="auto"/>
            </w:tcBorders>
            <w:hideMark/>
          </w:tcPr>
          <w:p w14:paraId="41DAD6C6"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r>
      <w:tr w:rsidR="00A2588D" w14:paraId="30E38E7C"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3670022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020F806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27BD373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8</w:t>
            </w:r>
          </w:p>
        </w:tc>
        <w:tc>
          <w:tcPr>
            <w:tcW w:w="481" w:type="dxa"/>
            <w:tcBorders>
              <w:top w:val="single" w:sz="4" w:space="0" w:color="auto"/>
              <w:left w:val="single" w:sz="4" w:space="0" w:color="auto"/>
              <w:bottom w:val="single" w:sz="4" w:space="0" w:color="auto"/>
              <w:right w:val="single" w:sz="4" w:space="0" w:color="auto"/>
            </w:tcBorders>
            <w:hideMark/>
          </w:tcPr>
          <w:p w14:paraId="20FC56B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525" w:type="dxa"/>
            <w:tcBorders>
              <w:top w:val="single" w:sz="4" w:space="0" w:color="auto"/>
              <w:left w:val="single" w:sz="4" w:space="0" w:color="auto"/>
              <w:bottom w:val="single" w:sz="4" w:space="0" w:color="auto"/>
              <w:right w:val="single" w:sz="4" w:space="0" w:color="auto"/>
            </w:tcBorders>
            <w:hideMark/>
          </w:tcPr>
          <w:p w14:paraId="0B9735C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42F796F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0005972</w:t>
            </w:r>
          </w:p>
        </w:tc>
        <w:tc>
          <w:tcPr>
            <w:tcW w:w="335" w:type="dxa"/>
            <w:tcBorders>
              <w:top w:val="single" w:sz="4" w:space="0" w:color="auto"/>
              <w:left w:val="single" w:sz="4" w:space="0" w:color="auto"/>
              <w:bottom w:val="single" w:sz="4" w:space="0" w:color="auto"/>
              <w:right w:val="single" w:sz="4" w:space="0" w:color="auto"/>
            </w:tcBorders>
            <w:hideMark/>
          </w:tcPr>
          <w:p w14:paraId="2F687DD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56B08CB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0191</w:t>
            </w:r>
          </w:p>
        </w:tc>
        <w:tc>
          <w:tcPr>
            <w:tcW w:w="905" w:type="dxa"/>
            <w:tcBorders>
              <w:top w:val="single" w:sz="4" w:space="0" w:color="auto"/>
              <w:left w:val="single" w:sz="4" w:space="0" w:color="auto"/>
              <w:bottom w:val="single" w:sz="4" w:space="0" w:color="auto"/>
              <w:right w:val="single" w:sz="4" w:space="0" w:color="auto"/>
            </w:tcBorders>
            <w:hideMark/>
          </w:tcPr>
          <w:p w14:paraId="4E12A8E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68</w:t>
            </w:r>
            <w:r>
              <w:rPr>
                <w:rFonts w:ascii="Sylfaen" w:hAnsi="Sylfaen" w:cs="Arial"/>
                <w:sz w:val="20"/>
                <w:szCs w:val="20"/>
                <w:lang w:val="ka-GE"/>
              </w:rPr>
              <w:t>,</w:t>
            </w:r>
            <w:r>
              <w:rPr>
                <w:rFonts w:ascii="Sylfaen" w:hAnsi="Sylfaen"/>
                <w:sz w:val="20"/>
                <w:szCs w:val="20"/>
                <w:lang w:val="ka-GE"/>
              </w:rPr>
              <w:t>79</w:t>
            </w:r>
          </w:p>
        </w:tc>
        <w:tc>
          <w:tcPr>
            <w:tcW w:w="919" w:type="dxa"/>
            <w:tcBorders>
              <w:top w:val="single" w:sz="4" w:space="0" w:color="auto"/>
              <w:left w:val="single" w:sz="4" w:space="0" w:color="auto"/>
              <w:bottom w:val="single" w:sz="4" w:space="0" w:color="auto"/>
              <w:right w:val="single" w:sz="4" w:space="0" w:color="auto"/>
            </w:tcBorders>
            <w:hideMark/>
          </w:tcPr>
          <w:p w14:paraId="3CE7C6F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w:t>
            </w:r>
            <w:r>
              <w:rPr>
                <w:rFonts w:ascii="Sylfaen" w:hAnsi="Sylfaen"/>
                <w:sz w:val="20"/>
                <w:szCs w:val="20"/>
                <w:lang w:val="ka-GE"/>
              </w:rPr>
              <w:t>9158</w:t>
            </w:r>
          </w:p>
        </w:tc>
        <w:tc>
          <w:tcPr>
            <w:tcW w:w="963" w:type="dxa"/>
            <w:tcBorders>
              <w:top w:val="single" w:sz="4" w:space="0" w:color="auto"/>
              <w:left w:val="single" w:sz="4" w:space="0" w:color="auto"/>
              <w:bottom w:val="single" w:sz="4" w:space="0" w:color="auto"/>
              <w:right w:val="single" w:sz="4" w:space="0" w:color="auto"/>
            </w:tcBorders>
            <w:hideMark/>
          </w:tcPr>
          <w:p w14:paraId="22C8F26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0188</w:t>
            </w:r>
          </w:p>
        </w:tc>
        <w:tc>
          <w:tcPr>
            <w:tcW w:w="846" w:type="dxa"/>
            <w:tcBorders>
              <w:top w:val="single" w:sz="4" w:space="0" w:color="auto"/>
              <w:left w:val="single" w:sz="4" w:space="0" w:color="auto"/>
              <w:bottom w:val="single" w:sz="4" w:space="0" w:color="auto"/>
              <w:right w:val="single" w:sz="4" w:space="0" w:color="auto"/>
            </w:tcBorders>
            <w:hideMark/>
          </w:tcPr>
          <w:p w14:paraId="12076EB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69</w:t>
            </w:r>
            <w:r>
              <w:rPr>
                <w:rFonts w:ascii="Sylfaen" w:hAnsi="Sylfaen" w:cs="Arial"/>
                <w:sz w:val="20"/>
                <w:szCs w:val="20"/>
                <w:lang w:val="ka-GE"/>
              </w:rPr>
              <w:t>,</w:t>
            </w:r>
            <w:r>
              <w:rPr>
                <w:rFonts w:ascii="Sylfaen" w:hAnsi="Sylfaen"/>
                <w:sz w:val="20"/>
                <w:szCs w:val="20"/>
                <w:lang w:val="ka-GE"/>
              </w:rPr>
              <w:t>99</w:t>
            </w:r>
          </w:p>
        </w:tc>
        <w:tc>
          <w:tcPr>
            <w:tcW w:w="846" w:type="dxa"/>
            <w:tcBorders>
              <w:top w:val="single" w:sz="4" w:space="0" w:color="auto"/>
              <w:left w:val="single" w:sz="4" w:space="0" w:color="auto"/>
              <w:bottom w:val="single" w:sz="4" w:space="0" w:color="auto"/>
              <w:right w:val="single" w:sz="4" w:space="0" w:color="auto"/>
            </w:tcBorders>
            <w:hideMark/>
          </w:tcPr>
          <w:p w14:paraId="422F6FD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w:t>
            </w:r>
            <w:r>
              <w:rPr>
                <w:rFonts w:ascii="Sylfaen" w:hAnsi="Sylfaen"/>
                <w:sz w:val="20"/>
                <w:szCs w:val="20"/>
                <w:lang w:val="ka-GE"/>
              </w:rPr>
              <w:t>9640</w:t>
            </w:r>
          </w:p>
        </w:tc>
      </w:tr>
      <w:tr w:rsidR="00A2588D" w14:paraId="075EB70A" w14:textId="77777777" w:rsidTr="00A2588D">
        <w:trPr>
          <w:jc w:val="center"/>
        </w:trPr>
        <w:tc>
          <w:tcPr>
            <w:tcW w:w="2511" w:type="dxa"/>
            <w:gridSpan w:val="5"/>
            <w:tcBorders>
              <w:top w:val="single" w:sz="4" w:space="0" w:color="auto"/>
              <w:left w:val="single" w:sz="4" w:space="0" w:color="auto"/>
              <w:bottom w:val="single" w:sz="4" w:space="0" w:color="auto"/>
              <w:right w:val="single" w:sz="4" w:space="0" w:color="auto"/>
            </w:tcBorders>
            <w:hideMark/>
          </w:tcPr>
          <w:p w14:paraId="24DE0809" w14:textId="77777777" w:rsidR="00A2588D" w:rsidRDefault="00A2588D" w:rsidP="00A2588D">
            <w:pPr>
              <w:widowControl w:val="0"/>
              <w:autoSpaceDE w:val="0"/>
              <w:autoSpaceDN w:val="0"/>
              <w:adjustRightInd w:val="0"/>
              <w:ind w:left="11"/>
              <w:rPr>
                <w:rFonts w:ascii="Sylfaen" w:hAnsi="Sylfaen" w:cs="Arial"/>
                <w:b/>
                <w:bCs/>
                <w:sz w:val="20"/>
                <w:szCs w:val="20"/>
                <w:lang w:val="ka-GE"/>
              </w:rPr>
            </w:pPr>
            <w:r>
              <w:rPr>
                <w:rFonts w:ascii="Sylfaen" w:hAnsi="Sylfaen" w:cs="Arial"/>
                <w:b/>
                <w:bCs/>
                <w:sz w:val="20"/>
                <w:szCs w:val="20"/>
                <w:lang w:val="ka-GE"/>
              </w:rPr>
              <w:t>სულ:</w:t>
            </w:r>
          </w:p>
        </w:tc>
        <w:tc>
          <w:tcPr>
            <w:tcW w:w="1314" w:type="dxa"/>
            <w:tcBorders>
              <w:top w:val="single" w:sz="4" w:space="0" w:color="auto"/>
              <w:left w:val="single" w:sz="4" w:space="0" w:color="auto"/>
              <w:bottom w:val="single" w:sz="4" w:space="0" w:color="auto"/>
              <w:right w:val="single" w:sz="4" w:space="0" w:color="auto"/>
            </w:tcBorders>
            <w:hideMark/>
          </w:tcPr>
          <w:p w14:paraId="74E704B4"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0005972</w:t>
            </w:r>
          </w:p>
        </w:tc>
        <w:tc>
          <w:tcPr>
            <w:tcW w:w="335" w:type="dxa"/>
            <w:tcBorders>
              <w:top w:val="single" w:sz="4" w:space="0" w:color="auto"/>
              <w:left w:val="single" w:sz="4" w:space="0" w:color="auto"/>
              <w:bottom w:val="single" w:sz="4" w:space="0" w:color="auto"/>
              <w:right w:val="single" w:sz="4" w:space="0" w:color="auto"/>
            </w:tcBorders>
          </w:tcPr>
          <w:p w14:paraId="5DAC5983"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37F2D4A0"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0191</w:t>
            </w:r>
          </w:p>
        </w:tc>
        <w:tc>
          <w:tcPr>
            <w:tcW w:w="1825" w:type="dxa"/>
            <w:gridSpan w:val="2"/>
            <w:tcBorders>
              <w:top w:val="single" w:sz="4" w:space="0" w:color="auto"/>
              <w:left w:val="single" w:sz="4" w:space="0" w:color="auto"/>
              <w:bottom w:val="single" w:sz="4" w:space="0" w:color="auto"/>
              <w:right w:val="single" w:sz="4" w:space="0" w:color="auto"/>
            </w:tcBorders>
          </w:tcPr>
          <w:p w14:paraId="79D3D663"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963" w:type="dxa"/>
            <w:tcBorders>
              <w:top w:val="single" w:sz="4" w:space="0" w:color="auto"/>
              <w:left w:val="single" w:sz="4" w:space="0" w:color="auto"/>
              <w:bottom w:val="single" w:sz="4" w:space="0" w:color="auto"/>
              <w:right w:val="single" w:sz="4" w:space="0" w:color="auto"/>
            </w:tcBorders>
            <w:hideMark/>
          </w:tcPr>
          <w:p w14:paraId="4ED4931E"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0188</w:t>
            </w:r>
          </w:p>
        </w:tc>
        <w:tc>
          <w:tcPr>
            <w:tcW w:w="1693" w:type="dxa"/>
            <w:gridSpan w:val="2"/>
            <w:tcBorders>
              <w:top w:val="single" w:sz="4" w:space="0" w:color="auto"/>
              <w:left w:val="single" w:sz="4" w:space="0" w:color="auto"/>
              <w:bottom w:val="single" w:sz="4" w:space="0" w:color="auto"/>
              <w:right w:val="single" w:sz="4" w:space="0" w:color="auto"/>
            </w:tcBorders>
          </w:tcPr>
          <w:p w14:paraId="4C1CC92E" w14:textId="77777777" w:rsidR="00A2588D" w:rsidRDefault="00A2588D" w:rsidP="00A2588D">
            <w:pPr>
              <w:widowControl w:val="0"/>
              <w:autoSpaceDE w:val="0"/>
              <w:autoSpaceDN w:val="0"/>
              <w:adjustRightInd w:val="0"/>
              <w:ind w:left="11"/>
              <w:rPr>
                <w:rFonts w:ascii="Sylfaen" w:hAnsi="Sylfaen" w:cs="Arial"/>
                <w:sz w:val="20"/>
                <w:szCs w:val="20"/>
                <w:lang w:val="ka-GE"/>
              </w:rPr>
            </w:pPr>
          </w:p>
        </w:tc>
      </w:tr>
    </w:tbl>
    <w:p w14:paraId="57A0BF7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2732</w:t>
      </w:r>
      <w:r>
        <w:rPr>
          <w:rFonts w:ascii="Sylfaen" w:hAnsi="Sylfaen" w:cs="Arial"/>
          <w:b/>
          <w:bCs/>
          <w:sz w:val="20"/>
          <w:szCs w:val="20"/>
          <w:lang w:val="ka-GE"/>
        </w:rPr>
        <w:t xml:space="preserve">   ნავთის ფრაქცია</w:t>
      </w:r>
    </w:p>
    <w:tbl>
      <w:tblPr>
        <w:tblW w:w="0" w:type="auto"/>
        <w:jc w:val="center"/>
        <w:tblLayout w:type="fixed"/>
        <w:tblCellMar>
          <w:left w:w="0" w:type="dxa"/>
          <w:right w:w="0" w:type="dxa"/>
        </w:tblCellMar>
        <w:tblLook w:val="04A0" w:firstRow="1" w:lastRow="0" w:firstColumn="1" w:lastColumn="0" w:noHBand="0" w:noVBand="1"/>
      </w:tblPr>
      <w:tblGrid>
        <w:gridCol w:w="511"/>
        <w:gridCol w:w="467"/>
        <w:gridCol w:w="525"/>
        <w:gridCol w:w="481"/>
        <w:gridCol w:w="527"/>
        <w:gridCol w:w="1314"/>
        <w:gridCol w:w="335"/>
        <w:gridCol w:w="1007"/>
        <w:gridCol w:w="905"/>
        <w:gridCol w:w="920"/>
        <w:gridCol w:w="963"/>
        <w:gridCol w:w="846"/>
        <w:gridCol w:w="848"/>
      </w:tblGrid>
      <w:tr w:rsidR="00A2588D" w14:paraId="531411E2" w14:textId="77777777" w:rsidTr="00A2588D">
        <w:trPr>
          <w:jc w:val="center"/>
        </w:trPr>
        <w:tc>
          <w:tcPr>
            <w:tcW w:w="511" w:type="dxa"/>
            <w:tcBorders>
              <w:top w:val="single" w:sz="4" w:space="0" w:color="auto"/>
              <w:left w:val="single" w:sz="4" w:space="0" w:color="auto"/>
              <w:bottom w:val="nil"/>
              <w:right w:val="single" w:sz="4" w:space="0" w:color="auto"/>
            </w:tcBorders>
            <w:hideMark/>
          </w:tcPr>
          <w:p w14:paraId="4CDF1BD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263BE37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მოე</w:t>
            </w:r>
            <w:r>
              <w:rPr>
                <w:rFonts w:ascii="Sylfaen" w:hAnsi="Sylfaen" w:cs="Arial"/>
                <w:b/>
                <w:bCs/>
                <w:sz w:val="20"/>
                <w:szCs w:val="20"/>
                <w:lang w:val="ka-GE"/>
              </w:rPr>
              <w:lastRenderedPageBreak/>
              <w:t>დ.</w:t>
            </w:r>
          </w:p>
        </w:tc>
        <w:tc>
          <w:tcPr>
            <w:tcW w:w="467" w:type="dxa"/>
            <w:tcBorders>
              <w:top w:val="single" w:sz="4" w:space="0" w:color="auto"/>
              <w:left w:val="single" w:sz="4" w:space="0" w:color="auto"/>
              <w:bottom w:val="nil"/>
              <w:right w:val="single" w:sz="4" w:space="0" w:color="auto"/>
            </w:tcBorders>
            <w:hideMark/>
          </w:tcPr>
          <w:p w14:paraId="6293313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lastRenderedPageBreak/>
              <w:t>№</w:t>
            </w:r>
          </w:p>
          <w:p w14:paraId="43D2E52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საამ</w:t>
            </w:r>
            <w:r>
              <w:rPr>
                <w:rFonts w:ascii="Sylfaen" w:hAnsi="Sylfaen" w:cs="Arial"/>
                <w:b/>
                <w:bCs/>
                <w:sz w:val="20"/>
                <w:szCs w:val="20"/>
                <w:lang w:val="ka-GE"/>
              </w:rPr>
              <w:lastRenderedPageBreak/>
              <w:t>ქ.</w:t>
            </w:r>
          </w:p>
        </w:tc>
        <w:tc>
          <w:tcPr>
            <w:tcW w:w="525" w:type="dxa"/>
            <w:tcBorders>
              <w:top w:val="single" w:sz="4" w:space="0" w:color="auto"/>
              <w:left w:val="single" w:sz="4" w:space="0" w:color="auto"/>
              <w:bottom w:val="nil"/>
              <w:right w:val="single" w:sz="4" w:space="0" w:color="auto"/>
            </w:tcBorders>
            <w:hideMark/>
          </w:tcPr>
          <w:p w14:paraId="0CAE573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lastRenderedPageBreak/>
              <w:t>№</w:t>
            </w:r>
          </w:p>
          <w:p w14:paraId="1754ECD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წყარ</w:t>
            </w:r>
            <w:r>
              <w:rPr>
                <w:rFonts w:ascii="Sylfaen" w:hAnsi="Sylfaen" w:cs="Arial"/>
                <w:b/>
                <w:bCs/>
                <w:sz w:val="20"/>
                <w:szCs w:val="20"/>
                <w:lang w:val="ka-GE"/>
              </w:rPr>
              <w:lastRenderedPageBreak/>
              <w:t>ოს</w:t>
            </w:r>
          </w:p>
        </w:tc>
        <w:tc>
          <w:tcPr>
            <w:tcW w:w="481" w:type="dxa"/>
            <w:tcBorders>
              <w:top w:val="single" w:sz="4" w:space="0" w:color="auto"/>
              <w:left w:val="single" w:sz="4" w:space="0" w:color="auto"/>
              <w:bottom w:val="nil"/>
              <w:right w:val="single" w:sz="4" w:space="0" w:color="auto"/>
            </w:tcBorders>
            <w:hideMark/>
          </w:tcPr>
          <w:p w14:paraId="300DCFD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lastRenderedPageBreak/>
              <w:t>ტიპი</w:t>
            </w:r>
          </w:p>
        </w:tc>
        <w:tc>
          <w:tcPr>
            <w:tcW w:w="527" w:type="dxa"/>
            <w:tcBorders>
              <w:top w:val="single" w:sz="4" w:space="0" w:color="auto"/>
              <w:left w:val="single" w:sz="4" w:space="0" w:color="auto"/>
              <w:bottom w:val="nil"/>
              <w:right w:val="single" w:sz="4" w:space="0" w:color="auto"/>
            </w:tcBorders>
            <w:hideMark/>
          </w:tcPr>
          <w:p w14:paraId="1CEC252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აღრიცხვა</w:t>
            </w:r>
          </w:p>
        </w:tc>
        <w:tc>
          <w:tcPr>
            <w:tcW w:w="1314" w:type="dxa"/>
            <w:tcBorders>
              <w:top w:val="single" w:sz="4" w:space="0" w:color="auto"/>
              <w:left w:val="single" w:sz="4" w:space="0" w:color="auto"/>
              <w:bottom w:val="nil"/>
              <w:right w:val="single" w:sz="4" w:space="0" w:color="auto"/>
            </w:tcBorders>
            <w:hideMark/>
          </w:tcPr>
          <w:p w14:paraId="2A5946A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გაფრქვევა</w:t>
            </w:r>
          </w:p>
          <w:p w14:paraId="3DF7F1B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(გ/წმ)</w:t>
            </w:r>
          </w:p>
        </w:tc>
        <w:tc>
          <w:tcPr>
            <w:tcW w:w="335" w:type="dxa"/>
            <w:tcBorders>
              <w:top w:val="single" w:sz="4" w:space="0" w:color="auto"/>
              <w:left w:val="single" w:sz="4" w:space="0" w:color="auto"/>
              <w:bottom w:val="nil"/>
              <w:right w:val="single" w:sz="4" w:space="0" w:color="auto"/>
            </w:tcBorders>
            <w:hideMark/>
          </w:tcPr>
          <w:p w14:paraId="6C02030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F</w:t>
            </w:r>
          </w:p>
        </w:tc>
        <w:tc>
          <w:tcPr>
            <w:tcW w:w="2832" w:type="dxa"/>
            <w:gridSpan w:val="3"/>
            <w:tcBorders>
              <w:top w:val="single" w:sz="4" w:space="0" w:color="auto"/>
              <w:left w:val="single" w:sz="4" w:space="0" w:color="auto"/>
              <w:bottom w:val="single" w:sz="4" w:space="0" w:color="auto"/>
              <w:right w:val="single" w:sz="4" w:space="0" w:color="auto"/>
            </w:tcBorders>
            <w:hideMark/>
          </w:tcPr>
          <w:p w14:paraId="243A164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hideMark/>
          </w:tcPr>
          <w:p w14:paraId="6376793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ზამთ.</w:t>
            </w:r>
          </w:p>
        </w:tc>
      </w:tr>
      <w:tr w:rsidR="00A2588D" w14:paraId="111C6483" w14:textId="77777777" w:rsidTr="00A2588D">
        <w:trPr>
          <w:jc w:val="center"/>
        </w:trPr>
        <w:tc>
          <w:tcPr>
            <w:tcW w:w="511" w:type="dxa"/>
            <w:tcBorders>
              <w:top w:val="nil"/>
              <w:left w:val="single" w:sz="4" w:space="0" w:color="auto"/>
              <w:bottom w:val="single" w:sz="4" w:space="0" w:color="auto"/>
              <w:right w:val="single" w:sz="4" w:space="0" w:color="auto"/>
            </w:tcBorders>
          </w:tcPr>
          <w:p w14:paraId="43FEF71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67" w:type="dxa"/>
            <w:tcBorders>
              <w:top w:val="nil"/>
              <w:left w:val="single" w:sz="4" w:space="0" w:color="auto"/>
              <w:bottom w:val="single" w:sz="4" w:space="0" w:color="auto"/>
              <w:right w:val="single" w:sz="4" w:space="0" w:color="auto"/>
            </w:tcBorders>
          </w:tcPr>
          <w:p w14:paraId="275963E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2B5B54A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81" w:type="dxa"/>
            <w:tcBorders>
              <w:top w:val="nil"/>
              <w:left w:val="single" w:sz="4" w:space="0" w:color="auto"/>
              <w:bottom w:val="single" w:sz="4" w:space="0" w:color="auto"/>
              <w:right w:val="single" w:sz="4" w:space="0" w:color="auto"/>
            </w:tcBorders>
          </w:tcPr>
          <w:p w14:paraId="69CACD6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7" w:type="dxa"/>
            <w:tcBorders>
              <w:top w:val="nil"/>
              <w:left w:val="single" w:sz="4" w:space="0" w:color="auto"/>
              <w:bottom w:val="single" w:sz="4" w:space="0" w:color="auto"/>
              <w:right w:val="single" w:sz="4" w:space="0" w:color="auto"/>
            </w:tcBorders>
          </w:tcPr>
          <w:p w14:paraId="2435C5C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314" w:type="dxa"/>
            <w:tcBorders>
              <w:top w:val="nil"/>
              <w:left w:val="single" w:sz="4" w:space="0" w:color="auto"/>
              <w:bottom w:val="single" w:sz="4" w:space="0" w:color="auto"/>
              <w:right w:val="single" w:sz="4" w:space="0" w:color="auto"/>
            </w:tcBorders>
          </w:tcPr>
          <w:p w14:paraId="3DF0237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335" w:type="dxa"/>
            <w:tcBorders>
              <w:top w:val="nil"/>
              <w:left w:val="single" w:sz="4" w:space="0" w:color="auto"/>
              <w:bottom w:val="single" w:sz="4" w:space="0" w:color="auto"/>
              <w:right w:val="single" w:sz="4" w:space="0" w:color="auto"/>
            </w:tcBorders>
          </w:tcPr>
          <w:p w14:paraId="408DD92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1CD0CB9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905" w:type="dxa"/>
            <w:tcBorders>
              <w:top w:val="single" w:sz="4" w:space="0" w:color="auto"/>
              <w:left w:val="single" w:sz="4" w:space="0" w:color="auto"/>
              <w:bottom w:val="single" w:sz="4" w:space="0" w:color="auto"/>
              <w:right w:val="single" w:sz="4" w:space="0" w:color="auto"/>
            </w:tcBorders>
            <w:hideMark/>
          </w:tcPr>
          <w:p w14:paraId="111E531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920" w:type="dxa"/>
            <w:tcBorders>
              <w:top w:val="single" w:sz="4" w:space="0" w:color="auto"/>
              <w:left w:val="single" w:sz="4" w:space="0" w:color="auto"/>
              <w:bottom w:val="single" w:sz="4" w:space="0" w:color="auto"/>
              <w:right w:val="single" w:sz="4" w:space="0" w:color="auto"/>
            </w:tcBorders>
            <w:hideMark/>
          </w:tcPr>
          <w:p w14:paraId="53658166"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c>
          <w:tcPr>
            <w:tcW w:w="963" w:type="dxa"/>
            <w:tcBorders>
              <w:top w:val="single" w:sz="4" w:space="0" w:color="auto"/>
              <w:left w:val="single" w:sz="4" w:space="0" w:color="auto"/>
              <w:bottom w:val="single" w:sz="4" w:space="0" w:color="auto"/>
              <w:right w:val="single" w:sz="4" w:space="0" w:color="auto"/>
            </w:tcBorders>
            <w:hideMark/>
          </w:tcPr>
          <w:p w14:paraId="7822182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846" w:type="dxa"/>
            <w:tcBorders>
              <w:top w:val="single" w:sz="4" w:space="0" w:color="auto"/>
              <w:left w:val="single" w:sz="4" w:space="0" w:color="auto"/>
              <w:bottom w:val="single" w:sz="4" w:space="0" w:color="auto"/>
              <w:right w:val="single" w:sz="4" w:space="0" w:color="auto"/>
            </w:tcBorders>
            <w:hideMark/>
          </w:tcPr>
          <w:p w14:paraId="4F061BF6"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848" w:type="dxa"/>
            <w:tcBorders>
              <w:top w:val="single" w:sz="4" w:space="0" w:color="auto"/>
              <w:left w:val="single" w:sz="4" w:space="0" w:color="auto"/>
              <w:bottom w:val="single" w:sz="4" w:space="0" w:color="auto"/>
              <w:right w:val="single" w:sz="4" w:space="0" w:color="auto"/>
            </w:tcBorders>
            <w:hideMark/>
          </w:tcPr>
          <w:p w14:paraId="386B8D66"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r>
      <w:tr w:rsidR="00A2588D" w14:paraId="75F510B6"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0948C2F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476D561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488CF66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481" w:type="dxa"/>
            <w:tcBorders>
              <w:top w:val="single" w:sz="4" w:space="0" w:color="auto"/>
              <w:left w:val="single" w:sz="4" w:space="0" w:color="auto"/>
              <w:bottom w:val="single" w:sz="4" w:space="0" w:color="auto"/>
              <w:right w:val="single" w:sz="4" w:space="0" w:color="auto"/>
            </w:tcBorders>
            <w:hideMark/>
          </w:tcPr>
          <w:p w14:paraId="62D5371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7" w:type="dxa"/>
            <w:tcBorders>
              <w:top w:val="single" w:sz="4" w:space="0" w:color="auto"/>
              <w:left w:val="single" w:sz="4" w:space="0" w:color="auto"/>
              <w:bottom w:val="single" w:sz="4" w:space="0" w:color="auto"/>
              <w:right w:val="single" w:sz="4" w:space="0" w:color="auto"/>
            </w:tcBorders>
            <w:hideMark/>
          </w:tcPr>
          <w:p w14:paraId="28AF4240"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668D635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0077372</w:t>
            </w:r>
          </w:p>
        </w:tc>
        <w:tc>
          <w:tcPr>
            <w:tcW w:w="335" w:type="dxa"/>
            <w:tcBorders>
              <w:top w:val="single" w:sz="4" w:space="0" w:color="auto"/>
              <w:left w:val="single" w:sz="4" w:space="0" w:color="auto"/>
              <w:bottom w:val="single" w:sz="4" w:space="0" w:color="auto"/>
              <w:right w:val="single" w:sz="4" w:space="0" w:color="auto"/>
            </w:tcBorders>
            <w:hideMark/>
          </w:tcPr>
          <w:p w14:paraId="592A105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3DC2023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0271</w:t>
            </w:r>
          </w:p>
        </w:tc>
        <w:tc>
          <w:tcPr>
            <w:tcW w:w="905" w:type="dxa"/>
            <w:tcBorders>
              <w:top w:val="single" w:sz="4" w:space="0" w:color="auto"/>
              <w:left w:val="single" w:sz="4" w:space="0" w:color="auto"/>
              <w:bottom w:val="single" w:sz="4" w:space="0" w:color="auto"/>
              <w:right w:val="single" w:sz="4" w:space="0" w:color="auto"/>
            </w:tcBorders>
            <w:hideMark/>
          </w:tcPr>
          <w:p w14:paraId="56DB062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920" w:type="dxa"/>
            <w:tcBorders>
              <w:top w:val="single" w:sz="4" w:space="0" w:color="auto"/>
              <w:left w:val="single" w:sz="4" w:space="0" w:color="auto"/>
              <w:bottom w:val="single" w:sz="4" w:space="0" w:color="auto"/>
              <w:right w:val="single" w:sz="4" w:space="0" w:color="auto"/>
            </w:tcBorders>
            <w:hideMark/>
          </w:tcPr>
          <w:p w14:paraId="2B88567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286A11F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0271</w:t>
            </w:r>
          </w:p>
        </w:tc>
        <w:tc>
          <w:tcPr>
            <w:tcW w:w="846" w:type="dxa"/>
            <w:tcBorders>
              <w:top w:val="single" w:sz="4" w:space="0" w:color="auto"/>
              <w:left w:val="single" w:sz="4" w:space="0" w:color="auto"/>
              <w:bottom w:val="single" w:sz="4" w:space="0" w:color="auto"/>
              <w:right w:val="single" w:sz="4" w:space="0" w:color="auto"/>
            </w:tcBorders>
            <w:hideMark/>
          </w:tcPr>
          <w:p w14:paraId="083EDD9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848" w:type="dxa"/>
            <w:tcBorders>
              <w:top w:val="single" w:sz="4" w:space="0" w:color="auto"/>
              <w:left w:val="single" w:sz="4" w:space="0" w:color="auto"/>
              <w:bottom w:val="single" w:sz="4" w:space="0" w:color="auto"/>
              <w:right w:val="single" w:sz="4" w:space="0" w:color="auto"/>
            </w:tcBorders>
            <w:hideMark/>
          </w:tcPr>
          <w:p w14:paraId="6EC77C3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47F9C2E6"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558F01F0"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6A4A3CB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3D07FAD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481" w:type="dxa"/>
            <w:tcBorders>
              <w:top w:val="single" w:sz="4" w:space="0" w:color="auto"/>
              <w:left w:val="single" w:sz="4" w:space="0" w:color="auto"/>
              <w:bottom w:val="single" w:sz="4" w:space="0" w:color="auto"/>
              <w:right w:val="single" w:sz="4" w:space="0" w:color="auto"/>
            </w:tcBorders>
            <w:hideMark/>
          </w:tcPr>
          <w:p w14:paraId="762FEDF0"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7" w:type="dxa"/>
            <w:tcBorders>
              <w:top w:val="single" w:sz="4" w:space="0" w:color="auto"/>
              <w:left w:val="single" w:sz="4" w:space="0" w:color="auto"/>
              <w:bottom w:val="single" w:sz="4" w:space="0" w:color="auto"/>
              <w:right w:val="single" w:sz="4" w:space="0" w:color="auto"/>
            </w:tcBorders>
            <w:hideMark/>
          </w:tcPr>
          <w:p w14:paraId="27C8017B"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3EED97B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0077372</w:t>
            </w:r>
          </w:p>
        </w:tc>
        <w:tc>
          <w:tcPr>
            <w:tcW w:w="335" w:type="dxa"/>
            <w:tcBorders>
              <w:top w:val="single" w:sz="4" w:space="0" w:color="auto"/>
              <w:left w:val="single" w:sz="4" w:space="0" w:color="auto"/>
              <w:bottom w:val="single" w:sz="4" w:space="0" w:color="auto"/>
              <w:right w:val="single" w:sz="4" w:space="0" w:color="auto"/>
            </w:tcBorders>
            <w:hideMark/>
          </w:tcPr>
          <w:p w14:paraId="3BE2EF2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0BFD553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0271</w:t>
            </w:r>
          </w:p>
        </w:tc>
        <w:tc>
          <w:tcPr>
            <w:tcW w:w="905" w:type="dxa"/>
            <w:tcBorders>
              <w:top w:val="single" w:sz="4" w:space="0" w:color="auto"/>
              <w:left w:val="single" w:sz="4" w:space="0" w:color="auto"/>
              <w:bottom w:val="single" w:sz="4" w:space="0" w:color="auto"/>
              <w:right w:val="single" w:sz="4" w:space="0" w:color="auto"/>
            </w:tcBorders>
            <w:hideMark/>
          </w:tcPr>
          <w:p w14:paraId="10BA81E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920" w:type="dxa"/>
            <w:tcBorders>
              <w:top w:val="single" w:sz="4" w:space="0" w:color="auto"/>
              <w:left w:val="single" w:sz="4" w:space="0" w:color="auto"/>
              <w:bottom w:val="single" w:sz="4" w:space="0" w:color="auto"/>
              <w:right w:val="single" w:sz="4" w:space="0" w:color="auto"/>
            </w:tcBorders>
            <w:hideMark/>
          </w:tcPr>
          <w:p w14:paraId="5E168F3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2280834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0271</w:t>
            </w:r>
          </w:p>
        </w:tc>
        <w:tc>
          <w:tcPr>
            <w:tcW w:w="846" w:type="dxa"/>
            <w:tcBorders>
              <w:top w:val="single" w:sz="4" w:space="0" w:color="auto"/>
              <w:left w:val="single" w:sz="4" w:space="0" w:color="auto"/>
              <w:bottom w:val="single" w:sz="4" w:space="0" w:color="auto"/>
              <w:right w:val="single" w:sz="4" w:space="0" w:color="auto"/>
            </w:tcBorders>
            <w:hideMark/>
          </w:tcPr>
          <w:p w14:paraId="3738F5E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848" w:type="dxa"/>
            <w:tcBorders>
              <w:top w:val="single" w:sz="4" w:space="0" w:color="auto"/>
              <w:left w:val="single" w:sz="4" w:space="0" w:color="auto"/>
              <w:bottom w:val="single" w:sz="4" w:space="0" w:color="auto"/>
              <w:right w:val="single" w:sz="4" w:space="0" w:color="auto"/>
            </w:tcBorders>
            <w:hideMark/>
          </w:tcPr>
          <w:p w14:paraId="1F3ED18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43F9E8D9"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53B6BFA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24E267AB"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1CAFDF5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8</w:t>
            </w:r>
          </w:p>
        </w:tc>
        <w:tc>
          <w:tcPr>
            <w:tcW w:w="481" w:type="dxa"/>
            <w:tcBorders>
              <w:top w:val="single" w:sz="4" w:space="0" w:color="auto"/>
              <w:left w:val="single" w:sz="4" w:space="0" w:color="auto"/>
              <w:bottom w:val="single" w:sz="4" w:space="0" w:color="auto"/>
              <w:right w:val="single" w:sz="4" w:space="0" w:color="auto"/>
            </w:tcBorders>
            <w:hideMark/>
          </w:tcPr>
          <w:p w14:paraId="2217ECB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527" w:type="dxa"/>
            <w:tcBorders>
              <w:top w:val="single" w:sz="4" w:space="0" w:color="auto"/>
              <w:left w:val="single" w:sz="4" w:space="0" w:color="auto"/>
              <w:bottom w:val="single" w:sz="4" w:space="0" w:color="auto"/>
              <w:right w:val="single" w:sz="4" w:space="0" w:color="auto"/>
            </w:tcBorders>
            <w:hideMark/>
          </w:tcPr>
          <w:p w14:paraId="0AE1EA3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17E3653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0142917</w:t>
            </w:r>
          </w:p>
        </w:tc>
        <w:tc>
          <w:tcPr>
            <w:tcW w:w="335" w:type="dxa"/>
            <w:tcBorders>
              <w:top w:val="single" w:sz="4" w:space="0" w:color="auto"/>
              <w:left w:val="single" w:sz="4" w:space="0" w:color="auto"/>
              <w:bottom w:val="single" w:sz="4" w:space="0" w:color="auto"/>
              <w:right w:val="single" w:sz="4" w:space="0" w:color="auto"/>
            </w:tcBorders>
            <w:hideMark/>
          </w:tcPr>
          <w:p w14:paraId="09AE1CD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7795FAC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0133</w:t>
            </w:r>
          </w:p>
        </w:tc>
        <w:tc>
          <w:tcPr>
            <w:tcW w:w="905" w:type="dxa"/>
            <w:tcBorders>
              <w:top w:val="single" w:sz="4" w:space="0" w:color="auto"/>
              <w:left w:val="single" w:sz="4" w:space="0" w:color="auto"/>
              <w:bottom w:val="single" w:sz="4" w:space="0" w:color="auto"/>
              <w:right w:val="single" w:sz="4" w:space="0" w:color="auto"/>
            </w:tcBorders>
            <w:hideMark/>
          </w:tcPr>
          <w:p w14:paraId="4FC1F8A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68</w:t>
            </w:r>
            <w:r>
              <w:rPr>
                <w:rFonts w:ascii="Sylfaen" w:hAnsi="Sylfaen" w:cs="Arial"/>
                <w:sz w:val="20"/>
                <w:szCs w:val="20"/>
                <w:lang w:val="ka-GE"/>
              </w:rPr>
              <w:t>,</w:t>
            </w:r>
            <w:r>
              <w:rPr>
                <w:rFonts w:ascii="Sylfaen" w:hAnsi="Sylfaen"/>
                <w:sz w:val="20"/>
                <w:szCs w:val="20"/>
                <w:lang w:val="ka-GE"/>
              </w:rPr>
              <w:t>79</w:t>
            </w:r>
          </w:p>
        </w:tc>
        <w:tc>
          <w:tcPr>
            <w:tcW w:w="920" w:type="dxa"/>
            <w:tcBorders>
              <w:top w:val="single" w:sz="4" w:space="0" w:color="auto"/>
              <w:left w:val="single" w:sz="4" w:space="0" w:color="auto"/>
              <w:bottom w:val="single" w:sz="4" w:space="0" w:color="auto"/>
              <w:right w:val="single" w:sz="4" w:space="0" w:color="auto"/>
            </w:tcBorders>
            <w:hideMark/>
          </w:tcPr>
          <w:p w14:paraId="5F6E368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w:t>
            </w:r>
            <w:r>
              <w:rPr>
                <w:rFonts w:ascii="Sylfaen" w:hAnsi="Sylfaen"/>
                <w:sz w:val="20"/>
                <w:szCs w:val="20"/>
                <w:lang w:val="ka-GE"/>
              </w:rPr>
              <w:t>9158</w:t>
            </w:r>
          </w:p>
        </w:tc>
        <w:tc>
          <w:tcPr>
            <w:tcW w:w="963" w:type="dxa"/>
            <w:tcBorders>
              <w:top w:val="single" w:sz="4" w:space="0" w:color="auto"/>
              <w:left w:val="single" w:sz="4" w:space="0" w:color="auto"/>
              <w:bottom w:val="single" w:sz="4" w:space="0" w:color="auto"/>
              <w:right w:val="single" w:sz="4" w:space="0" w:color="auto"/>
            </w:tcBorders>
            <w:hideMark/>
          </w:tcPr>
          <w:p w14:paraId="222DC00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0131</w:t>
            </w:r>
          </w:p>
        </w:tc>
        <w:tc>
          <w:tcPr>
            <w:tcW w:w="846" w:type="dxa"/>
            <w:tcBorders>
              <w:top w:val="single" w:sz="4" w:space="0" w:color="auto"/>
              <w:left w:val="single" w:sz="4" w:space="0" w:color="auto"/>
              <w:bottom w:val="single" w:sz="4" w:space="0" w:color="auto"/>
              <w:right w:val="single" w:sz="4" w:space="0" w:color="auto"/>
            </w:tcBorders>
            <w:hideMark/>
          </w:tcPr>
          <w:p w14:paraId="502D1CE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69</w:t>
            </w:r>
            <w:r>
              <w:rPr>
                <w:rFonts w:ascii="Sylfaen" w:hAnsi="Sylfaen" w:cs="Arial"/>
                <w:sz w:val="20"/>
                <w:szCs w:val="20"/>
                <w:lang w:val="ka-GE"/>
              </w:rPr>
              <w:t>,</w:t>
            </w:r>
            <w:r>
              <w:rPr>
                <w:rFonts w:ascii="Sylfaen" w:hAnsi="Sylfaen"/>
                <w:sz w:val="20"/>
                <w:szCs w:val="20"/>
                <w:lang w:val="ka-GE"/>
              </w:rPr>
              <w:t>99</w:t>
            </w:r>
          </w:p>
        </w:tc>
        <w:tc>
          <w:tcPr>
            <w:tcW w:w="848" w:type="dxa"/>
            <w:tcBorders>
              <w:top w:val="single" w:sz="4" w:space="0" w:color="auto"/>
              <w:left w:val="single" w:sz="4" w:space="0" w:color="auto"/>
              <w:bottom w:val="single" w:sz="4" w:space="0" w:color="auto"/>
              <w:right w:val="single" w:sz="4" w:space="0" w:color="auto"/>
            </w:tcBorders>
            <w:hideMark/>
          </w:tcPr>
          <w:p w14:paraId="6DBB42A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w:t>
            </w:r>
            <w:r>
              <w:rPr>
                <w:rFonts w:ascii="Sylfaen" w:hAnsi="Sylfaen"/>
                <w:sz w:val="20"/>
                <w:szCs w:val="20"/>
                <w:lang w:val="ka-GE"/>
              </w:rPr>
              <w:t>9640</w:t>
            </w:r>
          </w:p>
        </w:tc>
      </w:tr>
      <w:tr w:rsidR="00A2588D" w14:paraId="43C7110A"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6566AC5D"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2EEF5C5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2FB5D59D"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9</w:t>
            </w:r>
          </w:p>
        </w:tc>
        <w:tc>
          <w:tcPr>
            <w:tcW w:w="481" w:type="dxa"/>
            <w:tcBorders>
              <w:top w:val="single" w:sz="4" w:space="0" w:color="auto"/>
              <w:left w:val="single" w:sz="4" w:space="0" w:color="auto"/>
              <w:bottom w:val="single" w:sz="4" w:space="0" w:color="auto"/>
              <w:right w:val="single" w:sz="4" w:space="0" w:color="auto"/>
            </w:tcBorders>
            <w:hideMark/>
          </w:tcPr>
          <w:p w14:paraId="6DD0AC5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7" w:type="dxa"/>
            <w:tcBorders>
              <w:top w:val="single" w:sz="4" w:space="0" w:color="auto"/>
              <w:left w:val="single" w:sz="4" w:space="0" w:color="auto"/>
              <w:bottom w:val="single" w:sz="4" w:space="0" w:color="auto"/>
              <w:right w:val="single" w:sz="4" w:space="0" w:color="auto"/>
            </w:tcBorders>
            <w:hideMark/>
          </w:tcPr>
          <w:p w14:paraId="7971852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130E6F3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0044444</w:t>
            </w:r>
          </w:p>
        </w:tc>
        <w:tc>
          <w:tcPr>
            <w:tcW w:w="335" w:type="dxa"/>
            <w:tcBorders>
              <w:top w:val="single" w:sz="4" w:space="0" w:color="auto"/>
              <w:left w:val="single" w:sz="4" w:space="0" w:color="auto"/>
              <w:bottom w:val="single" w:sz="4" w:space="0" w:color="auto"/>
              <w:right w:val="single" w:sz="4" w:space="0" w:color="auto"/>
            </w:tcBorders>
            <w:hideMark/>
          </w:tcPr>
          <w:p w14:paraId="2BCCFAB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71BB8D6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0156</w:t>
            </w:r>
          </w:p>
        </w:tc>
        <w:tc>
          <w:tcPr>
            <w:tcW w:w="905" w:type="dxa"/>
            <w:tcBorders>
              <w:top w:val="single" w:sz="4" w:space="0" w:color="auto"/>
              <w:left w:val="single" w:sz="4" w:space="0" w:color="auto"/>
              <w:bottom w:val="single" w:sz="4" w:space="0" w:color="auto"/>
              <w:right w:val="single" w:sz="4" w:space="0" w:color="auto"/>
            </w:tcBorders>
            <w:hideMark/>
          </w:tcPr>
          <w:p w14:paraId="432DA95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920" w:type="dxa"/>
            <w:tcBorders>
              <w:top w:val="single" w:sz="4" w:space="0" w:color="auto"/>
              <w:left w:val="single" w:sz="4" w:space="0" w:color="auto"/>
              <w:bottom w:val="single" w:sz="4" w:space="0" w:color="auto"/>
              <w:right w:val="single" w:sz="4" w:space="0" w:color="auto"/>
            </w:tcBorders>
            <w:hideMark/>
          </w:tcPr>
          <w:p w14:paraId="49C5B27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405B51F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0156</w:t>
            </w:r>
          </w:p>
        </w:tc>
        <w:tc>
          <w:tcPr>
            <w:tcW w:w="846" w:type="dxa"/>
            <w:tcBorders>
              <w:top w:val="single" w:sz="4" w:space="0" w:color="auto"/>
              <w:left w:val="single" w:sz="4" w:space="0" w:color="auto"/>
              <w:bottom w:val="single" w:sz="4" w:space="0" w:color="auto"/>
              <w:right w:val="single" w:sz="4" w:space="0" w:color="auto"/>
            </w:tcBorders>
            <w:hideMark/>
          </w:tcPr>
          <w:p w14:paraId="0A657F4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w:t>
            </w:r>
            <w:r>
              <w:rPr>
                <w:rFonts w:ascii="Sylfaen" w:hAnsi="Sylfaen" w:cs="Arial"/>
                <w:sz w:val="20"/>
                <w:szCs w:val="20"/>
                <w:lang w:val="ka-GE"/>
              </w:rPr>
              <w:t>,</w:t>
            </w:r>
            <w:r>
              <w:rPr>
                <w:rFonts w:ascii="Sylfaen" w:hAnsi="Sylfaen"/>
                <w:sz w:val="20"/>
                <w:szCs w:val="20"/>
                <w:lang w:val="ka-GE"/>
              </w:rPr>
              <w:t>50</w:t>
            </w:r>
          </w:p>
        </w:tc>
        <w:tc>
          <w:tcPr>
            <w:tcW w:w="848" w:type="dxa"/>
            <w:tcBorders>
              <w:top w:val="single" w:sz="4" w:space="0" w:color="auto"/>
              <w:left w:val="single" w:sz="4" w:space="0" w:color="auto"/>
              <w:bottom w:val="single" w:sz="4" w:space="0" w:color="auto"/>
              <w:right w:val="single" w:sz="4" w:space="0" w:color="auto"/>
            </w:tcBorders>
            <w:hideMark/>
          </w:tcPr>
          <w:p w14:paraId="72D07FE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601ED752" w14:textId="77777777" w:rsidTr="00A2588D">
        <w:trPr>
          <w:jc w:val="center"/>
        </w:trPr>
        <w:tc>
          <w:tcPr>
            <w:tcW w:w="2511" w:type="dxa"/>
            <w:gridSpan w:val="5"/>
            <w:tcBorders>
              <w:top w:val="single" w:sz="4" w:space="0" w:color="auto"/>
              <w:left w:val="single" w:sz="4" w:space="0" w:color="auto"/>
              <w:bottom w:val="single" w:sz="4" w:space="0" w:color="auto"/>
              <w:right w:val="single" w:sz="4" w:space="0" w:color="auto"/>
            </w:tcBorders>
            <w:hideMark/>
          </w:tcPr>
          <w:p w14:paraId="46E583ED" w14:textId="77777777" w:rsidR="00A2588D" w:rsidRDefault="00A2588D" w:rsidP="00A2588D">
            <w:pPr>
              <w:widowControl w:val="0"/>
              <w:autoSpaceDE w:val="0"/>
              <w:autoSpaceDN w:val="0"/>
              <w:adjustRightInd w:val="0"/>
              <w:ind w:left="11"/>
              <w:rPr>
                <w:rFonts w:ascii="Sylfaen" w:hAnsi="Sylfaen" w:cs="Arial"/>
                <w:b/>
                <w:bCs/>
                <w:sz w:val="20"/>
                <w:szCs w:val="20"/>
                <w:lang w:val="ka-GE"/>
              </w:rPr>
            </w:pPr>
            <w:r>
              <w:rPr>
                <w:rFonts w:ascii="Sylfaen" w:hAnsi="Sylfaen" w:cs="Arial"/>
                <w:b/>
                <w:bCs/>
                <w:sz w:val="20"/>
                <w:szCs w:val="20"/>
                <w:lang w:val="ka-GE"/>
              </w:rPr>
              <w:t>სულ:</w:t>
            </w:r>
          </w:p>
        </w:tc>
        <w:tc>
          <w:tcPr>
            <w:tcW w:w="1314" w:type="dxa"/>
            <w:tcBorders>
              <w:top w:val="single" w:sz="4" w:space="0" w:color="auto"/>
              <w:left w:val="single" w:sz="4" w:space="0" w:color="auto"/>
              <w:bottom w:val="single" w:sz="4" w:space="0" w:color="auto"/>
              <w:right w:val="single" w:sz="4" w:space="0" w:color="auto"/>
            </w:tcBorders>
            <w:hideMark/>
          </w:tcPr>
          <w:p w14:paraId="6E02E606"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0342105</w:t>
            </w:r>
          </w:p>
        </w:tc>
        <w:tc>
          <w:tcPr>
            <w:tcW w:w="335" w:type="dxa"/>
            <w:tcBorders>
              <w:top w:val="single" w:sz="4" w:space="0" w:color="auto"/>
              <w:left w:val="single" w:sz="4" w:space="0" w:color="auto"/>
              <w:bottom w:val="single" w:sz="4" w:space="0" w:color="auto"/>
              <w:right w:val="single" w:sz="4" w:space="0" w:color="auto"/>
            </w:tcBorders>
          </w:tcPr>
          <w:p w14:paraId="003F6699"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1B4FBD26"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0832</w:t>
            </w:r>
          </w:p>
        </w:tc>
        <w:tc>
          <w:tcPr>
            <w:tcW w:w="1825" w:type="dxa"/>
            <w:gridSpan w:val="2"/>
            <w:tcBorders>
              <w:top w:val="single" w:sz="4" w:space="0" w:color="auto"/>
              <w:left w:val="single" w:sz="4" w:space="0" w:color="auto"/>
              <w:bottom w:val="single" w:sz="4" w:space="0" w:color="auto"/>
              <w:right w:val="single" w:sz="4" w:space="0" w:color="auto"/>
            </w:tcBorders>
          </w:tcPr>
          <w:p w14:paraId="5D180BCF"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963" w:type="dxa"/>
            <w:tcBorders>
              <w:top w:val="single" w:sz="4" w:space="0" w:color="auto"/>
              <w:left w:val="single" w:sz="4" w:space="0" w:color="auto"/>
              <w:bottom w:val="single" w:sz="4" w:space="0" w:color="auto"/>
              <w:right w:val="single" w:sz="4" w:space="0" w:color="auto"/>
            </w:tcBorders>
            <w:hideMark/>
          </w:tcPr>
          <w:p w14:paraId="7E89E47B"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0830</w:t>
            </w:r>
          </w:p>
        </w:tc>
        <w:tc>
          <w:tcPr>
            <w:tcW w:w="1694" w:type="dxa"/>
            <w:gridSpan w:val="2"/>
            <w:tcBorders>
              <w:top w:val="single" w:sz="4" w:space="0" w:color="auto"/>
              <w:left w:val="single" w:sz="4" w:space="0" w:color="auto"/>
              <w:bottom w:val="single" w:sz="4" w:space="0" w:color="auto"/>
              <w:right w:val="single" w:sz="4" w:space="0" w:color="auto"/>
            </w:tcBorders>
          </w:tcPr>
          <w:p w14:paraId="0B0F2C30" w14:textId="77777777" w:rsidR="00A2588D" w:rsidRDefault="00A2588D" w:rsidP="00A2588D">
            <w:pPr>
              <w:widowControl w:val="0"/>
              <w:autoSpaceDE w:val="0"/>
              <w:autoSpaceDN w:val="0"/>
              <w:adjustRightInd w:val="0"/>
              <w:ind w:left="11"/>
              <w:rPr>
                <w:rFonts w:ascii="Sylfaen" w:hAnsi="Sylfaen" w:cs="Arial"/>
                <w:sz w:val="20"/>
                <w:szCs w:val="20"/>
                <w:lang w:val="ka-GE"/>
              </w:rPr>
            </w:pPr>
          </w:p>
        </w:tc>
      </w:tr>
    </w:tbl>
    <w:p w14:paraId="1A37533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2754</w:t>
      </w:r>
      <w:r>
        <w:rPr>
          <w:rFonts w:ascii="Sylfaen" w:hAnsi="Sylfaen" w:cs="Arial"/>
          <w:b/>
          <w:bCs/>
          <w:sz w:val="20"/>
          <w:szCs w:val="20"/>
          <w:lang w:val="ka-GE"/>
        </w:rPr>
        <w:t xml:space="preserve">   ნაჯერი ნახშირწყალბადები </w:t>
      </w:r>
      <w:r>
        <w:rPr>
          <w:rFonts w:ascii="Sylfaen" w:hAnsi="Sylfaen"/>
          <w:b/>
          <w:bCs/>
          <w:sz w:val="20"/>
          <w:szCs w:val="20"/>
          <w:lang w:val="ka-GE"/>
        </w:rPr>
        <w:t>C12-C19</w:t>
      </w:r>
    </w:p>
    <w:p w14:paraId="5780F49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511"/>
        <w:gridCol w:w="467"/>
        <w:gridCol w:w="525"/>
        <w:gridCol w:w="481"/>
        <w:gridCol w:w="527"/>
        <w:gridCol w:w="1314"/>
        <w:gridCol w:w="335"/>
        <w:gridCol w:w="1007"/>
        <w:gridCol w:w="905"/>
        <w:gridCol w:w="920"/>
        <w:gridCol w:w="963"/>
        <w:gridCol w:w="846"/>
        <w:gridCol w:w="848"/>
      </w:tblGrid>
      <w:tr w:rsidR="00A2588D" w14:paraId="5D0DCC26" w14:textId="77777777" w:rsidTr="00A2588D">
        <w:trPr>
          <w:jc w:val="center"/>
        </w:trPr>
        <w:tc>
          <w:tcPr>
            <w:tcW w:w="511" w:type="dxa"/>
            <w:tcBorders>
              <w:top w:val="single" w:sz="4" w:space="0" w:color="auto"/>
              <w:left w:val="single" w:sz="4" w:space="0" w:color="auto"/>
              <w:bottom w:val="nil"/>
              <w:right w:val="single" w:sz="4" w:space="0" w:color="auto"/>
            </w:tcBorders>
            <w:hideMark/>
          </w:tcPr>
          <w:p w14:paraId="0934563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37DC648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მოედ.</w:t>
            </w:r>
          </w:p>
        </w:tc>
        <w:tc>
          <w:tcPr>
            <w:tcW w:w="467" w:type="dxa"/>
            <w:tcBorders>
              <w:top w:val="single" w:sz="4" w:space="0" w:color="auto"/>
              <w:left w:val="single" w:sz="4" w:space="0" w:color="auto"/>
              <w:bottom w:val="nil"/>
              <w:right w:val="single" w:sz="4" w:space="0" w:color="auto"/>
            </w:tcBorders>
            <w:hideMark/>
          </w:tcPr>
          <w:p w14:paraId="1D08919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6CC70B5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საამქ.</w:t>
            </w:r>
          </w:p>
        </w:tc>
        <w:tc>
          <w:tcPr>
            <w:tcW w:w="525" w:type="dxa"/>
            <w:tcBorders>
              <w:top w:val="single" w:sz="4" w:space="0" w:color="auto"/>
              <w:left w:val="single" w:sz="4" w:space="0" w:color="auto"/>
              <w:bottom w:val="nil"/>
              <w:right w:val="single" w:sz="4" w:space="0" w:color="auto"/>
            </w:tcBorders>
            <w:hideMark/>
          </w:tcPr>
          <w:p w14:paraId="2B0A607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4822C17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წყაროს</w:t>
            </w:r>
          </w:p>
        </w:tc>
        <w:tc>
          <w:tcPr>
            <w:tcW w:w="481" w:type="dxa"/>
            <w:tcBorders>
              <w:top w:val="single" w:sz="4" w:space="0" w:color="auto"/>
              <w:left w:val="single" w:sz="4" w:space="0" w:color="auto"/>
              <w:bottom w:val="nil"/>
              <w:right w:val="single" w:sz="4" w:space="0" w:color="auto"/>
            </w:tcBorders>
            <w:hideMark/>
          </w:tcPr>
          <w:p w14:paraId="7864DA1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ტიპი</w:t>
            </w:r>
          </w:p>
        </w:tc>
        <w:tc>
          <w:tcPr>
            <w:tcW w:w="525" w:type="dxa"/>
            <w:tcBorders>
              <w:top w:val="single" w:sz="4" w:space="0" w:color="auto"/>
              <w:left w:val="single" w:sz="4" w:space="0" w:color="auto"/>
              <w:bottom w:val="nil"/>
              <w:right w:val="single" w:sz="4" w:space="0" w:color="auto"/>
            </w:tcBorders>
            <w:hideMark/>
          </w:tcPr>
          <w:p w14:paraId="500F280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აღრიცხვა</w:t>
            </w:r>
          </w:p>
        </w:tc>
        <w:tc>
          <w:tcPr>
            <w:tcW w:w="1314" w:type="dxa"/>
            <w:tcBorders>
              <w:top w:val="single" w:sz="4" w:space="0" w:color="auto"/>
              <w:left w:val="single" w:sz="4" w:space="0" w:color="auto"/>
              <w:bottom w:val="nil"/>
              <w:right w:val="single" w:sz="4" w:space="0" w:color="auto"/>
            </w:tcBorders>
            <w:hideMark/>
          </w:tcPr>
          <w:p w14:paraId="707F6AA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გაფრქვევა</w:t>
            </w:r>
          </w:p>
          <w:p w14:paraId="632ABDB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(გ/წმ)</w:t>
            </w:r>
          </w:p>
        </w:tc>
        <w:tc>
          <w:tcPr>
            <w:tcW w:w="335" w:type="dxa"/>
            <w:tcBorders>
              <w:top w:val="single" w:sz="4" w:space="0" w:color="auto"/>
              <w:left w:val="single" w:sz="4" w:space="0" w:color="auto"/>
              <w:bottom w:val="nil"/>
              <w:right w:val="single" w:sz="4" w:space="0" w:color="auto"/>
            </w:tcBorders>
            <w:hideMark/>
          </w:tcPr>
          <w:p w14:paraId="79BDE34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F</w:t>
            </w:r>
          </w:p>
        </w:tc>
        <w:tc>
          <w:tcPr>
            <w:tcW w:w="2832" w:type="dxa"/>
            <w:gridSpan w:val="3"/>
            <w:tcBorders>
              <w:top w:val="single" w:sz="4" w:space="0" w:color="auto"/>
              <w:left w:val="single" w:sz="4" w:space="0" w:color="auto"/>
              <w:bottom w:val="single" w:sz="4" w:space="0" w:color="auto"/>
              <w:right w:val="single" w:sz="4" w:space="0" w:color="auto"/>
            </w:tcBorders>
            <w:hideMark/>
          </w:tcPr>
          <w:p w14:paraId="04C5496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hideMark/>
          </w:tcPr>
          <w:p w14:paraId="1F9CCA6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ზამთ.</w:t>
            </w:r>
          </w:p>
        </w:tc>
      </w:tr>
      <w:tr w:rsidR="00A2588D" w14:paraId="5DF69F9C" w14:textId="77777777" w:rsidTr="00A2588D">
        <w:trPr>
          <w:jc w:val="center"/>
        </w:trPr>
        <w:tc>
          <w:tcPr>
            <w:tcW w:w="511" w:type="dxa"/>
            <w:tcBorders>
              <w:top w:val="nil"/>
              <w:left w:val="single" w:sz="4" w:space="0" w:color="auto"/>
              <w:bottom w:val="single" w:sz="4" w:space="0" w:color="auto"/>
              <w:right w:val="single" w:sz="4" w:space="0" w:color="auto"/>
            </w:tcBorders>
          </w:tcPr>
          <w:p w14:paraId="755DBBD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67" w:type="dxa"/>
            <w:tcBorders>
              <w:top w:val="nil"/>
              <w:left w:val="single" w:sz="4" w:space="0" w:color="auto"/>
              <w:bottom w:val="single" w:sz="4" w:space="0" w:color="auto"/>
              <w:right w:val="single" w:sz="4" w:space="0" w:color="auto"/>
            </w:tcBorders>
          </w:tcPr>
          <w:p w14:paraId="27FD53B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3C80ACE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81" w:type="dxa"/>
            <w:tcBorders>
              <w:top w:val="nil"/>
              <w:left w:val="single" w:sz="4" w:space="0" w:color="auto"/>
              <w:bottom w:val="single" w:sz="4" w:space="0" w:color="auto"/>
              <w:right w:val="single" w:sz="4" w:space="0" w:color="auto"/>
            </w:tcBorders>
          </w:tcPr>
          <w:p w14:paraId="2F76009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5D00B50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314" w:type="dxa"/>
            <w:tcBorders>
              <w:top w:val="nil"/>
              <w:left w:val="single" w:sz="4" w:space="0" w:color="auto"/>
              <w:bottom w:val="single" w:sz="4" w:space="0" w:color="auto"/>
              <w:right w:val="single" w:sz="4" w:space="0" w:color="auto"/>
            </w:tcBorders>
          </w:tcPr>
          <w:p w14:paraId="7F2DE57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335" w:type="dxa"/>
            <w:tcBorders>
              <w:top w:val="nil"/>
              <w:left w:val="single" w:sz="4" w:space="0" w:color="auto"/>
              <w:bottom w:val="single" w:sz="4" w:space="0" w:color="auto"/>
              <w:right w:val="single" w:sz="4" w:space="0" w:color="auto"/>
            </w:tcBorders>
          </w:tcPr>
          <w:p w14:paraId="1ECA211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4B633A4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905" w:type="dxa"/>
            <w:tcBorders>
              <w:top w:val="single" w:sz="4" w:space="0" w:color="auto"/>
              <w:left w:val="single" w:sz="4" w:space="0" w:color="auto"/>
              <w:bottom w:val="single" w:sz="4" w:space="0" w:color="auto"/>
              <w:right w:val="single" w:sz="4" w:space="0" w:color="auto"/>
            </w:tcBorders>
            <w:hideMark/>
          </w:tcPr>
          <w:p w14:paraId="38BEA87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919" w:type="dxa"/>
            <w:tcBorders>
              <w:top w:val="single" w:sz="4" w:space="0" w:color="auto"/>
              <w:left w:val="single" w:sz="4" w:space="0" w:color="auto"/>
              <w:bottom w:val="single" w:sz="4" w:space="0" w:color="auto"/>
              <w:right w:val="single" w:sz="4" w:space="0" w:color="auto"/>
            </w:tcBorders>
            <w:hideMark/>
          </w:tcPr>
          <w:p w14:paraId="05523A7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c>
          <w:tcPr>
            <w:tcW w:w="963" w:type="dxa"/>
            <w:tcBorders>
              <w:top w:val="single" w:sz="4" w:space="0" w:color="auto"/>
              <w:left w:val="single" w:sz="4" w:space="0" w:color="auto"/>
              <w:bottom w:val="single" w:sz="4" w:space="0" w:color="auto"/>
              <w:right w:val="single" w:sz="4" w:space="0" w:color="auto"/>
            </w:tcBorders>
            <w:hideMark/>
          </w:tcPr>
          <w:p w14:paraId="3E9ADC6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846" w:type="dxa"/>
            <w:tcBorders>
              <w:top w:val="single" w:sz="4" w:space="0" w:color="auto"/>
              <w:left w:val="single" w:sz="4" w:space="0" w:color="auto"/>
              <w:bottom w:val="single" w:sz="4" w:space="0" w:color="auto"/>
              <w:right w:val="single" w:sz="4" w:space="0" w:color="auto"/>
            </w:tcBorders>
            <w:hideMark/>
          </w:tcPr>
          <w:p w14:paraId="5605183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846" w:type="dxa"/>
            <w:tcBorders>
              <w:top w:val="single" w:sz="4" w:space="0" w:color="auto"/>
              <w:left w:val="single" w:sz="4" w:space="0" w:color="auto"/>
              <w:bottom w:val="single" w:sz="4" w:space="0" w:color="auto"/>
              <w:right w:val="single" w:sz="4" w:space="0" w:color="auto"/>
            </w:tcBorders>
            <w:hideMark/>
          </w:tcPr>
          <w:p w14:paraId="1C7F629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r>
      <w:tr w:rsidR="00A2588D" w14:paraId="7A46A975"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5956129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561317E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35898B0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481" w:type="dxa"/>
            <w:tcBorders>
              <w:top w:val="single" w:sz="4" w:space="0" w:color="auto"/>
              <w:left w:val="single" w:sz="4" w:space="0" w:color="auto"/>
              <w:bottom w:val="single" w:sz="4" w:space="0" w:color="auto"/>
              <w:right w:val="single" w:sz="4" w:space="0" w:color="auto"/>
            </w:tcBorders>
            <w:hideMark/>
          </w:tcPr>
          <w:p w14:paraId="78A6902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525" w:type="dxa"/>
            <w:tcBorders>
              <w:top w:val="single" w:sz="4" w:space="0" w:color="auto"/>
              <w:left w:val="single" w:sz="4" w:space="0" w:color="auto"/>
              <w:bottom w:val="single" w:sz="4" w:space="0" w:color="auto"/>
              <w:right w:val="single" w:sz="4" w:space="0" w:color="auto"/>
            </w:tcBorders>
            <w:hideMark/>
          </w:tcPr>
          <w:p w14:paraId="28F4625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426D4BF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0032575</w:t>
            </w:r>
          </w:p>
        </w:tc>
        <w:tc>
          <w:tcPr>
            <w:tcW w:w="335" w:type="dxa"/>
            <w:tcBorders>
              <w:top w:val="single" w:sz="4" w:space="0" w:color="auto"/>
              <w:left w:val="single" w:sz="4" w:space="0" w:color="auto"/>
              <w:bottom w:val="single" w:sz="4" w:space="0" w:color="auto"/>
              <w:right w:val="single" w:sz="4" w:space="0" w:color="auto"/>
            </w:tcBorders>
            <w:hideMark/>
          </w:tcPr>
          <w:p w14:paraId="7609257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57EE358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1953</w:t>
            </w:r>
          </w:p>
        </w:tc>
        <w:tc>
          <w:tcPr>
            <w:tcW w:w="905" w:type="dxa"/>
            <w:tcBorders>
              <w:top w:val="single" w:sz="4" w:space="0" w:color="auto"/>
              <w:left w:val="single" w:sz="4" w:space="0" w:color="auto"/>
              <w:bottom w:val="single" w:sz="4" w:space="0" w:color="auto"/>
              <w:right w:val="single" w:sz="4" w:space="0" w:color="auto"/>
            </w:tcBorders>
            <w:hideMark/>
          </w:tcPr>
          <w:p w14:paraId="6888F91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79</w:t>
            </w:r>
          </w:p>
        </w:tc>
        <w:tc>
          <w:tcPr>
            <w:tcW w:w="919" w:type="dxa"/>
            <w:tcBorders>
              <w:top w:val="single" w:sz="4" w:space="0" w:color="auto"/>
              <w:left w:val="single" w:sz="4" w:space="0" w:color="auto"/>
              <w:bottom w:val="single" w:sz="4" w:space="0" w:color="auto"/>
              <w:right w:val="single" w:sz="4" w:space="0" w:color="auto"/>
            </w:tcBorders>
            <w:hideMark/>
          </w:tcPr>
          <w:p w14:paraId="69C8371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40F6BB2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1953</w:t>
            </w:r>
          </w:p>
        </w:tc>
        <w:tc>
          <w:tcPr>
            <w:tcW w:w="846" w:type="dxa"/>
            <w:tcBorders>
              <w:top w:val="single" w:sz="4" w:space="0" w:color="auto"/>
              <w:left w:val="single" w:sz="4" w:space="0" w:color="auto"/>
              <w:bottom w:val="single" w:sz="4" w:space="0" w:color="auto"/>
              <w:right w:val="single" w:sz="4" w:space="0" w:color="auto"/>
            </w:tcBorders>
            <w:hideMark/>
          </w:tcPr>
          <w:p w14:paraId="5477D2A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79</w:t>
            </w:r>
          </w:p>
        </w:tc>
        <w:tc>
          <w:tcPr>
            <w:tcW w:w="846" w:type="dxa"/>
            <w:tcBorders>
              <w:top w:val="single" w:sz="4" w:space="0" w:color="auto"/>
              <w:left w:val="single" w:sz="4" w:space="0" w:color="auto"/>
              <w:bottom w:val="single" w:sz="4" w:space="0" w:color="auto"/>
              <w:right w:val="single" w:sz="4" w:space="0" w:color="auto"/>
            </w:tcBorders>
            <w:hideMark/>
          </w:tcPr>
          <w:p w14:paraId="13D8ABE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398C2ADD" w14:textId="77777777" w:rsidTr="00A2588D">
        <w:trPr>
          <w:jc w:val="center"/>
        </w:trPr>
        <w:tc>
          <w:tcPr>
            <w:tcW w:w="2511" w:type="dxa"/>
            <w:gridSpan w:val="5"/>
            <w:tcBorders>
              <w:top w:val="single" w:sz="4" w:space="0" w:color="auto"/>
              <w:left w:val="single" w:sz="4" w:space="0" w:color="auto"/>
              <w:bottom w:val="single" w:sz="4" w:space="0" w:color="auto"/>
              <w:right w:val="single" w:sz="4" w:space="0" w:color="auto"/>
            </w:tcBorders>
            <w:hideMark/>
          </w:tcPr>
          <w:p w14:paraId="03DFDBBA" w14:textId="77777777" w:rsidR="00A2588D" w:rsidRDefault="00A2588D" w:rsidP="00A2588D">
            <w:pPr>
              <w:widowControl w:val="0"/>
              <w:autoSpaceDE w:val="0"/>
              <w:autoSpaceDN w:val="0"/>
              <w:adjustRightInd w:val="0"/>
              <w:ind w:left="11"/>
              <w:rPr>
                <w:rFonts w:ascii="Sylfaen" w:hAnsi="Sylfaen" w:cs="Arial"/>
                <w:b/>
                <w:bCs/>
                <w:sz w:val="20"/>
                <w:szCs w:val="20"/>
                <w:lang w:val="ka-GE"/>
              </w:rPr>
            </w:pPr>
            <w:r>
              <w:rPr>
                <w:rFonts w:ascii="Sylfaen" w:hAnsi="Sylfaen" w:cs="Arial"/>
                <w:b/>
                <w:bCs/>
                <w:sz w:val="20"/>
                <w:szCs w:val="20"/>
                <w:lang w:val="ka-GE"/>
              </w:rPr>
              <w:t>სულ:</w:t>
            </w:r>
          </w:p>
        </w:tc>
        <w:tc>
          <w:tcPr>
            <w:tcW w:w="1314" w:type="dxa"/>
            <w:tcBorders>
              <w:top w:val="single" w:sz="4" w:space="0" w:color="auto"/>
              <w:left w:val="single" w:sz="4" w:space="0" w:color="auto"/>
              <w:bottom w:val="single" w:sz="4" w:space="0" w:color="auto"/>
              <w:right w:val="single" w:sz="4" w:space="0" w:color="auto"/>
            </w:tcBorders>
            <w:hideMark/>
          </w:tcPr>
          <w:p w14:paraId="3DFD298A"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0032575</w:t>
            </w:r>
          </w:p>
        </w:tc>
        <w:tc>
          <w:tcPr>
            <w:tcW w:w="335" w:type="dxa"/>
            <w:tcBorders>
              <w:top w:val="single" w:sz="4" w:space="0" w:color="auto"/>
              <w:left w:val="single" w:sz="4" w:space="0" w:color="auto"/>
              <w:bottom w:val="single" w:sz="4" w:space="0" w:color="auto"/>
              <w:right w:val="single" w:sz="4" w:space="0" w:color="auto"/>
            </w:tcBorders>
          </w:tcPr>
          <w:p w14:paraId="342F6B1A"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1A2C815D"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1953</w:t>
            </w:r>
          </w:p>
        </w:tc>
        <w:tc>
          <w:tcPr>
            <w:tcW w:w="1825" w:type="dxa"/>
            <w:gridSpan w:val="2"/>
            <w:tcBorders>
              <w:top w:val="single" w:sz="4" w:space="0" w:color="auto"/>
              <w:left w:val="single" w:sz="4" w:space="0" w:color="auto"/>
              <w:bottom w:val="single" w:sz="4" w:space="0" w:color="auto"/>
              <w:right w:val="single" w:sz="4" w:space="0" w:color="auto"/>
            </w:tcBorders>
          </w:tcPr>
          <w:p w14:paraId="386B9A1D"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963" w:type="dxa"/>
            <w:tcBorders>
              <w:top w:val="single" w:sz="4" w:space="0" w:color="auto"/>
              <w:left w:val="single" w:sz="4" w:space="0" w:color="auto"/>
              <w:bottom w:val="single" w:sz="4" w:space="0" w:color="auto"/>
              <w:right w:val="single" w:sz="4" w:space="0" w:color="auto"/>
            </w:tcBorders>
            <w:hideMark/>
          </w:tcPr>
          <w:p w14:paraId="13040F66"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1953</w:t>
            </w:r>
          </w:p>
        </w:tc>
        <w:tc>
          <w:tcPr>
            <w:tcW w:w="1693" w:type="dxa"/>
            <w:gridSpan w:val="2"/>
            <w:tcBorders>
              <w:top w:val="single" w:sz="4" w:space="0" w:color="auto"/>
              <w:left w:val="single" w:sz="4" w:space="0" w:color="auto"/>
              <w:bottom w:val="single" w:sz="4" w:space="0" w:color="auto"/>
              <w:right w:val="single" w:sz="4" w:space="0" w:color="auto"/>
            </w:tcBorders>
          </w:tcPr>
          <w:p w14:paraId="1DCF6CC3" w14:textId="77777777" w:rsidR="00A2588D" w:rsidRDefault="00A2588D" w:rsidP="00A2588D">
            <w:pPr>
              <w:widowControl w:val="0"/>
              <w:autoSpaceDE w:val="0"/>
              <w:autoSpaceDN w:val="0"/>
              <w:adjustRightInd w:val="0"/>
              <w:ind w:left="11"/>
              <w:rPr>
                <w:rFonts w:ascii="Sylfaen" w:hAnsi="Sylfaen" w:cs="Arial"/>
                <w:sz w:val="20"/>
                <w:szCs w:val="20"/>
                <w:lang w:val="ka-GE"/>
              </w:rPr>
            </w:pPr>
          </w:p>
        </w:tc>
      </w:tr>
    </w:tbl>
    <w:p w14:paraId="515538B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4D6D11C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2902</w:t>
      </w:r>
      <w:r>
        <w:rPr>
          <w:rFonts w:ascii="Sylfaen" w:hAnsi="Sylfaen" w:cs="Arial"/>
          <w:b/>
          <w:bCs/>
          <w:sz w:val="20"/>
          <w:szCs w:val="20"/>
          <w:lang w:val="ka-GE"/>
        </w:rPr>
        <w:t xml:space="preserve">   შეწონილი ნაწილაკები</w:t>
      </w:r>
    </w:p>
    <w:p w14:paraId="6C4EF41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511"/>
        <w:gridCol w:w="467"/>
        <w:gridCol w:w="525"/>
        <w:gridCol w:w="481"/>
        <w:gridCol w:w="527"/>
        <w:gridCol w:w="1314"/>
        <w:gridCol w:w="335"/>
        <w:gridCol w:w="1007"/>
        <w:gridCol w:w="905"/>
        <w:gridCol w:w="920"/>
        <w:gridCol w:w="963"/>
        <w:gridCol w:w="846"/>
        <w:gridCol w:w="848"/>
      </w:tblGrid>
      <w:tr w:rsidR="00A2588D" w14:paraId="794019AE" w14:textId="77777777" w:rsidTr="00A2588D">
        <w:trPr>
          <w:jc w:val="center"/>
        </w:trPr>
        <w:tc>
          <w:tcPr>
            <w:tcW w:w="511" w:type="dxa"/>
            <w:tcBorders>
              <w:top w:val="single" w:sz="4" w:space="0" w:color="auto"/>
              <w:left w:val="single" w:sz="4" w:space="0" w:color="auto"/>
              <w:bottom w:val="nil"/>
              <w:right w:val="single" w:sz="4" w:space="0" w:color="auto"/>
            </w:tcBorders>
            <w:hideMark/>
          </w:tcPr>
          <w:p w14:paraId="2BF66A6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275BA6E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მოედ.</w:t>
            </w:r>
          </w:p>
        </w:tc>
        <w:tc>
          <w:tcPr>
            <w:tcW w:w="467" w:type="dxa"/>
            <w:tcBorders>
              <w:top w:val="single" w:sz="4" w:space="0" w:color="auto"/>
              <w:left w:val="single" w:sz="4" w:space="0" w:color="auto"/>
              <w:bottom w:val="nil"/>
              <w:right w:val="single" w:sz="4" w:space="0" w:color="auto"/>
            </w:tcBorders>
            <w:hideMark/>
          </w:tcPr>
          <w:p w14:paraId="021E2D4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5ABBDC5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საამქ.</w:t>
            </w:r>
          </w:p>
        </w:tc>
        <w:tc>
          <w:tcPr>
            <w:tcW w:w="525" w:type="dxa"/>
            <w:tcBorders>
              <w:top w:val="single" w:sz="4" w:space="0" w:color="auto"/>
              <w:left w:val="single" w:sz="4" w:space="0" w:color="auto"/>
              <w:bottom w:val="nil"/>
              <w:right w:val="single" w:sz="4" w:space="0" w:color="auto"/>
            </w:tcBorders>
            <w:hideMark/>
          </w:tcPr>
          <w:p w14:paraId="74004CB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4A8B32C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წყაროს</w:t>
            </w:r>
          </w:p>
        </w:tc>
        <w:tc>
          <w:tcPr>
            <w:tcW w:w="481" w:type="dxa"/>
            <w:tcBorders>
              <w:top w:val="single" w:sz="4" w:space="0" w:color="auto"/>
              <w:left w:val="single" w:sz="4" w:space="0" w:color="auto"/>
              <w:bottom w:val="nil"/>
              <w:right w:val="single" w:sz="4" w:space="0" w:color="auto"/>
            </w:tcBorders>
            <w:hideMark/>
          </w:tcPr>
          <w:p w14:paraId="5927447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ტიპი</w:t>
            </w:r>
          </w:p>
        </w:tc>
        <w:tc>
          <w:tcPr>
            <w:tcW w:w="525" w:type="dxa"/>
            <w:tcBorders>
              <w:top w:val="single" w:sz="4" w:space="0" w:color="auto"/>
              <w:left w:val="single" w:sz="4" w:space="0" w:color="auto"/>
              <w:bottom w:val="nil"/>
              <w:right w:val="single" w:sz="4" w:space="0" w:color="auto"/>
            </w:tcBorders>
            <w:hideMark/>
          </w:tcPr>
          <w:p w14:paraId="527AA36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აღრიცხვა</w:t>
            </w:r>
          </w:p>
        </w:tc>
        <w:tc>
          <w:tcPr>
            <w:tcW w:w="1314" w:type="dxa"/>
            <w:tcBorders>
              <w:top w:val="single" w:sz="4" w:space="0" w:color="auto"/>
              <w:left w:val="single" w:sz="4" w:space="0" w:color="auto"/>
              <w:bottom w:val="nil"/>
              <w:right w:val="single" w:sz="4" w:space="0" w:color="auto"/>
            </w:tcBorders>
            <w:hideMark/>
          </w:tcPr>
          <w:p w14:paraId="45DCAC1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გაფრქვევა</w:t>
            </w:r>
          </w:p>
          <w:p w14:paraId="3DC3F016"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(გ/წმ)</w:t>
            </w:r>
          </w:p>
        </w:tc>
        <w:tc>
          <w:tcPr>
            <w:tcW w:w="335" w:type="dxa"/>
            <w:tcBorders>
              <w:top w:val="single" w:sz="4" w:space="0" w:color="auto"/>
              <w:left w:val="single" w:sz="4" w:space="0" w:color="auto"/>
              <w:bottom w:val="nil"/>
              <w:right w:val="single" w:sz="4" w:space="0" w:color="auto"/>
            </w:tcBorders>
            <w:hideMark/>
          </w:tcPr>
          <w:p w14:paraId="20DE592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F</w:t>
            </w:r>
          </w:p>
        </w:tc>
        <w:tc>
          <w:tcPr>
            <w:tcW w:w="2832" w:type="dxa"/>
            <w:gridSpan w:val="3"/>
            <w:tcBorders>
              <w:top w:val="single" w:sz="4" w:space="0" w:color="auto"/>
              <w:left w:val="single" w:sz="4" w:space="0" w:color="auto"/>
              <w:bottom w:val="single" w:sz="4" w:space="0" w:color="auto"/>
              <w:right w:val="single" w:sz="4" w:space="0" w:color="auto"/>
            </w:tcBorders>
            <w:hideMark/>
          </w:tcPr>
          <w:p w14:paraId="0D0E185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hideMark/>
          </w:tcPr>
          <w:p w14:paraId="70C9654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ზამთ.</w:t>
            </w:r>
          </w:p>
        </w:tc>
      </w:tr>
      <w:tr w:rsidR="00A2588D" w14:paraId="57858652" w14:textId="77777777" w:rsidTr="00A2588D">
        <w:trPr>
          <w:jc w:val="center"/>
        </w:trPr>
        <w:tc>
          <w:tcPr>
            <w:tcW w:w="511" w:type="dxa"/>
            <w:tcBorders>
              <w:top w:val="nil"/>
              <w:left w:val="single" w:sz="4" w:space="0" w:color="auto"/>
              <w:bottom w:val="single" w:sz="4" w:space="0" w:color="auto"/>
              <w:right w:val="single" w:sz="4" w:space="0" w:color="auto"/>
            </w:tcBorders>
          </w:tcPr>
          <w:p w14:paraId="2B2618D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67" w:type="dxa"/>
            <w:tcBorders>
              <w:top w:val="nil"/>
              <w:left w:val="single" w:sz="4" w:space="0" w:color="auto"/>
              <w:bottom w:val="single" w:sz="4" w:space="0" w:color="auto"/>
              <w:right w:val="single" w:sz="4" w:space="0" w:color="auto"/>
            </w:tcBorders>
          </w:tcPr>
          <w:p w14:paraId="6F93572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028360B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81" w:type="dxa"/>
            <w:tcBorders>
              <w:top w:val="nil"/>
              <w:left w:val="single" w:sz="4" w:space="0" w:color="auto"/>
              <w:bottom w:val="single" w:sz="4" w:space="0" w:color="auto"/>
              <w:right w:val="single" w:sz="4" w:space="0" w:color="auto"/>
            </w:tcBorders>
          </w:tcPr>
          <w:p w14:paraId="0522158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07A1067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314" w:type="dxa"/>
            <w:tcBorders>
              <w:top w:val="nil"/>
              <w:left w:val="single" w:sz="4" w:space="0" w:color="auto"/>
              <w:bottom w:val="single" w:sz="4" w:space="0" w:color="auto"/>
              <w:right w:val="single" w:sz="4" w:space="0" w:color="auto"/>
            </w:tcBorders>
          </w:tcPr>
          <w:p w14:paraId="47809CB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335" w:type="dxa"/>
            <w:tcBorders>
              <w:top w:val="nil"/>
              <w:left w:val="single" w:sz="4" w:space="0" w:color="auto"/>
              <w:bottom w:val="single" w:sz="4" w:space="0" w:color="auto"/>
              <w:right w:val="single" w:sz="4" w:space="0" w:color="auto"/>
            </w:tcBorders>
          </w:tcPr>
          <w:p w14:paraId="2C09FA1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15CC523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905" w:type="dxa"/>
            <w:tcBorders>
              <w:top w:val="single" w:sz="4" w:space="0" w:color="auto"/>
              <w:left w:val="single" w:sz="4" w:space="0" w:color="auto"/>
              <w:bottom w:val="single" w:sz="4" w:space="0" w:color="auto"/>
              <w:right w:val="single" w:sz="4" w:space="0" w:color="auto"/>
            </w:tcBorders>
            <w:hideMark/>
          </w:tcPr>
          <w:p w14:paraId="5A7A1C1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919" w:type="dxa"/>
            <w:tcBorders>
              <w:top w:val="single" w:sz="4" w:space="0" w:color="auto"/>
              <w:left w:val="single" w:sz="4" w:space="0" w:color="auto"/>
              <w:bottom w:val="single" w:sz="4" w:space="0" w:color="auto"/>
              <w:right w:val="single" w:sz="4" w:space="0" w:color="auto"/>
            </w:tcBorders>
            <w:hideMark/>
          </w:tcPr>
          <w:p w14:paraId="19943C4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c>
          <w:tcPr>
            <w:tcW w:w="963" w:type="dxa"/>
            <w:tcBorders>
              <w:top w:val="single" w:sz="4" w:space="0" w:color="auto"/>
              <w:left w:val="single" w:sz="4" w:space="0" w:color="auto"/>
              <w:bottom w:val="single" w:sz="4" w:space="0" w:color="auto"/>
              <w:right w:val="single" w:sz="4" w:space="0" w:color="auto"/>
            </w:tcBorders>
            <w:hideMark/>
          </w:tcPr>
          <w:p w14:paraId="66D84F4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846" w:type="dxa"/>
            <w:tcBorders>
              <w:top w:val="single" w:sz="4" w:space="0" w:color="auto"/>
              <w:left w:val="single" w:sz="4" w:space="0" w:color="auto"/>
              <w:bottom w:val="single" w:sz="4" w:space="0" w:color="auto"/>
              <w:right w:val="single" w:sz="4" w:space="0" w:color="auto"/>
            </w:tcBorders>
            <w:hideMark/>
          </w:tcPr>
          <w:p w14:paraId="1366ED9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846" w:type="dxa"/>
            <w:tcBorders>
              <w:top w:val="single" w:sz="4" w:space="0" w:color="auto"/>
              <w:left w:val="single" w:sz="4" w:space="0" w:color="auto"/>
              <w:bottom w:val="single" w:sz="4" w:space="0" w:color="auto"/>
              <w:right w:val="single" w:sz="4" w:space="0" w:color="auto"/>
            </w:tcBorders>
            <w:hideMark/>
          </w:tcPr>
          <w:p w14:paraId="6EB6025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r>
      <w:tr w:rsidR="00A2588D" w14:paraId="10A8AD4E"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387EDE3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761FC96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3C7F7EE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481" w:type="dxa"/>
            <w:tcBorders>
              <w:top w:val="single" w:sz="4" w:space="0" w:color="auto"/>
              <w:left w:val="single" w:sz="4" w:space="0" w:color="auto"/>
              <w:bottom w:val="single" w:sz="4" w:space="0" w:color="auto"/>
              <w:right w:val="single" w:sz="4" w:space="0" w:color="auto"/>
            </w:tcBorders>
            <w:hideMark/>
          </w:tcPr>
          <w:p w14:paraId="0234BDE3"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5" w:type="dxa"/>
            <w:tcBorders>
              <w:top w:val="single" w:sz="4" w:space="0" w:color="auto"/>
              <w:left w:val="single" w:sz="4" w:space="0" w:color="auto"/>
              <w:bottom w:val="single" w:sz="4" w:space="0" w:color="auto"/>
              <w:right w:val="single" w:sz="4" w:space="0" w:color="auto"/>
            </w:tcBorders>
            <w:hideMark/>
          </w:tcPr>
          <w:p w14:paraId="3C657000"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1A86953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0350000</w:t>
            </w:r>
          </w:p>
        </w:tc>
        <w:tc>
          <w:tcPr>
            <w:tcW w:w="335" w:type="dxa"/>
            <w:tcBorders>
              <w:top w:val="single" w:sz="4" w:space="0" w:color="auto"/>
              <w:left w:val="single" w:sz="4" w:space="0" w:color="auto"/>
              <w:bottom w:val="single" w:sz="4" w:space="0" w:color="auto"/>
              <w:right w:val="single" w:sz="4" w:space="0" w:color="auto"/>
            </w:tcBorders>
            <w:hideMark/>
          </w:tcPr>
          <w:p w14:paraId="3817D22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1007" w:type="dxa"/>
            <w:tcBorders>
              <w:top w:val="single" w:sz="4" w:space="0" w:color="auto"/>
              <w:left w:val="single" w:sz="4" w:space="0" w:color="auto"/>
              <w:bottom w:val="single" w:sz="4" w:space="0" w:color="auto"/>
              <w:right w:val="single" w:sz="4" w:space="0" w:color="auto"/>
            </w:tcBorders>
            <w:hideMark/>
          </w:tcPr>
          <w:p w14:paraId="04E4D95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8842</w:t>
            </w:r>
          </w:p>
        </w:tc>
        <w:tc>
          <w:tcPr>
            <w:tcW w:w="905" w:type="dxa"/>
            <w:tcBorders>
              <w:top w:val="single" w:sz="4" w:space="0" w:color="auto"/>
              <w:left w:val="single" w:sz="4" w:space="0" w:color="auto"/>
              <w:bottom w:val="single" w:sz="4" w:space="0" w:color="auto"/>
              <w:right w:val="single" w:sz="4" w:space="0" w:color="auto"/>
            </w:tcBorders>
            <w:hideMark/>
          </w:tcPr>
          <w:p w14:paraId="5A73800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14</w:t>
            </w:r>
            <w:r>
              <w:rPr>
                <w:rFonts w:ascii="Sylfaen" w:hAnsi="Sylfaen" w:cs="Arial"/>
                <w:sz w:val="20"/>
                <w:szCs w:val="20"/>
                <w:lang w:val="ka-GE"/>
              </w:rPr>
              <w:t>,</w:t>
            </w:r>
            <w:r>
              <w:rPr>
                <w:rFonts w:ascii="Sylfaen" w:hAnsi="Sylfaen"/>
                <w:sz w:val="20"/>
                <w:szCs w:val="20"/>
                <w:lang w:val="ka-GE"/>
              </w:rPr>
              <w:t>25</w:t>
            </w:r>
          </w:p>
        </w:tc>
        <w:tc>
          <w:tcPr>
            <w:tcW w:w="919" w:type="dxa"/>
            <w:tcBorders>
              <w:top w:val="single" w:sz="4" w:space="0" w:color="auto"/>
              <w:left w:val="single" w:sz="4" w:space="0" w:color="auto"/>
              <w:bottom w:val="single" w:sz="4" w:space="0" w:color="auto"/>
              <w:right w:val="single" w:sz="4" w:space="0" w:color="auto"/>
            </w:tcBorders>
            <w:hideMark/>
          </w:tcPr>
          <w:p w14:paraId="1C04669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6FDF751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8842</w:t>
            </w:r>
          </w:p>
        </w:tc>
        <w:tc>
          <w:tcPr>
            <w:tcW w:w="846" w:type="dxa"/>
            <w:tcBorders>
              <w:top w:val="single" w:sz="4" w:space="0" w:color="auto"/>
              <w:left w:val="single" w:sz="4" w:space="0" w:color="auto"/>
              <w:bottom w:val="single" w:sz="4" w:space="0" w:color="auto"/>
              <w:right w:val="single" w:sz="4" w:space="0" w:color="auto"/>
            </w:tcBorders>
            <w:hideMark/>
          </w:tcPr>
          <w:p w14:paraId="6A9C81F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14</w:t>
            </w:r>
            <w:r>
              <w:rPr>
                <w:rFonts w:ascii="Sylfaen" w:hAnsi="Sylfaen" w:cs="Arial"/>
                <w:sz w:val="20"/>
                <w:szCs w:val="20"/>
                <w:lang w:val="ka-GE"/>
              </w:rPr>
              <w:t>,</w:t>
            </w:r>
            <w:r>
              <w:rPr>
                <w:rFonts w:ascii="Sylfaen" w:hAnsi="Sylfaen"/>
                <w:sz w:val="20"/>
                <w:szCs w:val="20"/>
                <w:lang w:val="ka-GE"/>
              </w:rPr>
              <w:t>25</w:t>
            </w:r>
          </w:p>
        </w:tc>
        <w:tc>
          <w:tcPr>
            <w:tcW w:w="846" w:type="dxa"/>
            <w:tcBorders>
              <w:top w:val="single" w:sz="4" w:space="0" w:color="auto"/>
              <w:left w:val="single" w:sz="4" w:space="0" w:color="auto"/>
              <w:bottom w:val="single" w:sz="4" w:space="0" w:color="auto"/>
              <w:right w:val="single" w:sz="4" w:space="0" w:color="auto"/>
            </w:tcBorders>
            <w:hideMark/>
          </w:tcPr>
          <w:p w14:paraId="1133F0C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2D41BFFF"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320D46D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4263F7E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102A498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481" w:type="dxa"/>
            <w:tcBorders>
              <w:top w:val="single" w:sz="4" w:space="0" w:color="auto"/>
              <w:left w:val="single" w:sz="4" w:space="0" w:color="auto"/>
              <w:bottom w:val="single" w:sz="4" w:space="0" w:color="auto"/>
              <w:right w:val="single" w:sz="4" w:space="0" w:color="auto"/>
            </w:tcBorders>
            <w:hideMark/>
          </w:tcPr>
          <w:p w14:paraId="4153E6D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5" w:type="dxa"/>
            <w:tcBorders>
              <w:top w:val="single" w:sz="4" w:space="0" w:color="auto"/>
              <w:left w:val="single" w:sz="4" w:space="0" w:color="auto"/>
              <w:bottom w:val="single" w:sz="4" w:space="0" w:color="auto"/>
              <w:right w:val="single" w:sz="4" w:space="0" w:color="auto"/>
            </w:tcBorders>
            <w:hideMark/>
          </w:tcPr>
          <w:p w14:paraId="4ACB5FF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772D070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0110000</w:t>
            </w:r>
          </w:p>
        </w:tc>
        <w:tc>
          <w:tcPr>
            <w:tcW w:w="335" w:type="dxa"/>
            <w:tcBorders>
              <w:top w:val="single" w:sz="4" w:space="0" w:color="auto"/>
              <w:left w:val="single" w:sz="4" w:space="0" w:color="auto"/>
              <w:bottom w:val="single" w:sz="4" w:space="0" w:color="auto"/>
              <w:right w:val="single" w:sz="4" w:space="0" w:color="auto"/>
            </w:tcBorders>
            <w:hideMark/>
          </w:tcPr>
          <w:p w14:paraId="15738D4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1007" w:type="dxa"/>
            <w:tcBorders>
              <w:top w:val="single" w:sz="4" w:space="0" w:color="auto"/>
              <w:left w:val="single" w:sz="4" w:space="0" w:color="auto"/>
              <w:bottom w:val="single" w:sz="4" w:space="0" w:color="auto"/>
              <w:right w:val="single" w:sz="4" w:space="0" w:color="auto"/>
            </w:tcBorders>
            <w:hideMark/>
          </w:tcPr>
          <w:p w14:paraId="0CFEDE3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2779</w:t>
            </w:r>
          </w:p>
        </w:tc>
        <w:tc>
          <w:tcPr>
            <w:tcW w:w="905" w:type="dxa"/>
            <w:tcBorders>
              <w:top w:val="single" w:sz="4" w:space="0" w:color="auto"/>
              <w:left w:val="single" w:sz="4" w:space="0" w:color="auto"/>
              <w:bottom w:val="single" w:sz="4" w:space="0" w:color="auto"/>
              <w:right w:val="single" w:sz="4" w:space="0" w:color="auto"/>
            </w:tcBorders>
            <w:hideMark/>
          </w:tcPr>
          <w:p w14:paraId="28A0AC0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14</w:t>
            </w:r>
            <w:r>
              <w:rPr>
                <w:rFonts w:ascii="Sylfaen" w:hAnsi="Sylfaen" w:cs="Arial"/>
                <w:sz w:val="20"/>
                <w:szCs w:val="20"/>
                <w:lang w:val="ka-GE"/>
              </w:rPr>
              <w:t>,</w:t>
            </w:r>
            <w:r>
              <w:rPr>
                <w:rFonts w:ascii="Sylfaen" w:hAnsi="Sylfaen"/>
                <w:sz w:val="20"/>
                <w:szCs w:val="20"/>
                <w:lang w:val="ka-GE"/>
              </w:rPr>
              <w:t>25</w:t>
            </w:r>
          </w:p>
        </w:tc>
        <w:tc>
          <w:tcPr>
            <w:tcW w:w="919" w:type="dxa"/>
            <w:tcBorders>
              <w:top w:val="single" w:sz="4" w:space="0" w:color="auto"/>
              <w:left w:val="single" w:sz="4" w:space="0" w:color="auto"/>
              <w:bottom w:val="single" w:sz="4" w:space="0" w:color="auto"/>
              <w:right w:val="single" w:sz="4" w:space="0" w:color="auto"/>
            </w:tcBorders>
            <w:hideMark/>
          </w:tcPr>
          <w:p w14:paraId="36F3F7D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4877932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2779</w:t>
            </w:r>
          </w:p>
        </w:tc>
        <w:tc>
          <w:tcPr>
            <w:tcW w:w="846" w:type="dxa"/>
            <w:tcBorders>
              <w:top w:val="single" w:sz="4" w:space="0" w:color="auto"/>
              <w:left w:val="single" w:sz="4" w:space="0" w:color="auto"/>
              <w:bottom w:val="single" w:sz="4" w:space="0" w:color="auto"/>
              <w:right w:val="single" w:sz="4" w:space="0" w:color="auto"/>
            </w:tcBorders>
            <w:hideMark/>
          </w:tcPr>
          <w:p w14:paraId="2E55F54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14</w:t>
            </w:r>
            <w:r>
              <w:rPr>
                <w:rFonts w:ascii="Sylfaen" w:hAnsi="Sylfaen" w:cs="Arial"/>
                <w:sz w:val="20"/>
                <w:szCs w:val="20"/>
                <w:lang w:val="ka-GE"/>
              </w:rPr>
              <w:t>,</w:t>
            </w:r>
            <w:r>
              <w:rPr>
                <w:rFonts w:ascii="Sylfaen" w:hAnsi="Sylfaen"/>
                <w:sz w:val="20"/>
                <w:szCs w:val="20"/>
                <w:lang w:val="ka-GE"/>
              </w:rPr>
              <w:t>25</w:t>
            </w:r>
          </w:p>
        </w:tc>
        <w:tc>
          <w:tcPr>
            <w:tcW w:w="846" w:type="dxa"/>
            <w:tcBorders>
              <w:top w:val="single" w:sz="4" w:space="0" w:color="auto"/>
              <w:left w:val="single" w:sz="4" w:space="0" w:color="auto"/>
              <w:bottom w:val="single" w:sz="4" w:space="0" w:color="auto"/>
              <w:right w:val="single" w:sz="4" w:space="0" w:color="auto"/>
            </w:tcBorders>
            <w:hideMark/>
          </w:tcPr>
          <w:p w14:paraId="32B0372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1D29A0B7" w14:textId="77777777" w:rsidTr="00A2588D">
        <w:trPr>
          <w:jc w:val="center"/>
        </w:trPr>
        <w:tc>
          <w:tcPr>
            <w:tcW w:w="2511" w:type="dxa"/>
            <w:gridSpan w:val="5"/>
            <w:tcBorders>
              <w:top w:val="single" w:sz="4" w:space="0" w:color="auto"/>
              <w:left w:val="single" w:sz="4" w:space="0" w:color="auto"/>
              <w:bottom w:val="single" w:sz="4" w:space="0" w:color="auto"/>
              <w:right w:val="single" w:sz="4" w:space="0" w:color="auto"/>
            </w:tcBorders>
            <w:hideMark/>
          </w:tcPr>
          <w:p w14:paraId="4E6F5CC6" w14:textId="77777777" w:rsidR="00A2588D" w:rsidRDefault="00A2588D" w:rsidP="00A2588D">
            <w:pPr>
              <w:widowControl w:val="0"/>
              <w:autoSpaceDE w:val="0"/>
              <w:autoSpaceDN w:val="0"/>
              <w:adjustRightInd w:val="0"/>
              <w:ind w:left="11"/>
              <w:rPr>
                <w:rFonts w:ascii="Sylfaen" w:hAnsi="Sylfaen" w:cs="Arial"/>
                <w:b/>
                <w:bCs/>
                <w:sz w:val="20"/>
                <w:szCs w:val="20"/>
                <w:lang w:val="ka-GE"/>
              </w:rPr>
            </w:pPr>
            <w:r>
              <w:rPr>
                <w:rFonts w:ascii="Sylfaen" w:hAnsi="Sylfaen" w:cs="Arial"/>
                <w:b/>
                <w:bCs/>
                <w:sz w:val="20"/>
                <w:szCs w:val="20"/>
                <w:lang w:val="ka-GE"/>
              </w:rPr>
              <w:t>სულ:</w:t>
            </w:r>
          </w:p>
        </w:tc>
        <w:tc>
          <w:tcPr>
            <w:tcW w:w="1314" w:type="dxa"/>
            <w:tcBorders>
              <w:top w:val="single" w:sz="4" w:space="0" w:color="auto"/>
              <w:left w:val="single" w:sz="4" w:space="0" w:color="auto"/>
              <w:bottom w:val="single" w:sz="4" w:space="0" w:color="auto"/>
              <w:right w:val="single" w:sz="4" w:space="0" w:color="auto"/>
            </w:tcBorders>
            <w:hideMark/>
          </w:tcPr>
          <w:p w14:paraId="2146E82E"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0460000</w:t>
            </w:r>
          </w:p>
        </w:tc>
        <w:tc>
          <w:tcPr>
            <w:tcW w:w="335" w:type="dxa"/>
            <w:tcBorders>
              <w:top w:val="single" w:sz="4" w:space="0" w:color="auto"/>
              <w:left w:val="single" w:sz="4" w:space="0" w:color="auto"/>
              <w:bottom w:val="single" w:sz="4" w:space="0" w:color="auto"/>
              <w:right w:val="single" w:sz="4" w:space="0" w:color="auto"/>
            </w:tcBorders>
          </w:tcPr>
          <w:p w14:paraId="3845F4CB"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6ECCDF8B"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1</w:t>
            </w:r>
            <w:r>
              <w:rPr>
                <w:rFonts w:ascii="Sylfaen" w:hAnsi="Sylfaen" w:cs="Arial"/>
                <w:b/>
                <w:bCs/>
                <w:sz w:val="20"/>
                <w:szCs w:val="20"/>
                <w:lang w:val="ka-GE"/>
              </w:rPr>
              <w:t>,</w:t>
            </w:r>
            <w:r>
              <w:rPr>
                <w:rFonts w:ascii="Sylfaen" w:hAnsi="Sylfaen"/>
                <w:b/>
                <w:bCs/>
                <w:sz w:val="20"/>
                <w:szCs w:val="20"/>
                <w:lang w:val="ka-GE"/>
              </w:rPr>
              <w:t>1621</w:t>
            </w:r>
          </w:p>
        </w:tc>
        <w:tc>
          <w:tcPr>
            <w:tcW w:w="1825" w:type="dxa"/>
            <w:gridSpan w:val="2"/>
            <w:tcBorders>
              <w:top w:val="single" w:sz="4" w:space="0" w:color="auto"/>
              <w:left w:val="single" w:sz="4" w:space="0" w:color="auto"/>
              <w:bottom w:val="single" w:sz="4" w:space="0" w:color="auto"/>
              <w:right w:val="single" w:sz="4" w:space="0" w:color="auto"/>
            </w:tcBorders>
          </w:tcPr>
          <w:p w14:paraId="44A8C27E"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963" w:type="dxa"/>
            <w:tcBorders>
              <w:top w:val="single" w:sz="4" w:space="0" w:color="auto"/>
              <w:left w:val="single" w:sz="4" w:space="0" w:color="auto"/>
              <w:bottom w:val="single" w:sz="4" w:space="0" w:color="auto"/>
              <w:right w:val="single" w:sz="4" w:space="0" w:color="auto"/>
            </w:tcBorders>
            <w:hideMark/>
          </w:tcPr>
          <w:p w14:paraId="193A444D"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1</w:t>
            </w:r>
            <w:r>
              <w:rPr>
                <w:rFonts w:ascii="Sylfaen" w:hAnsi="Sylfaen" w:cs="Arial"/>
                <w:b/>
                <w:bCs/>
                <w:sz w:val="20"/>
                <w:szCs w:val="20"/>
                <w:lang w:val="ka-GE"/>
              </w:rPr>
              <w:t>,</w:t>
            </w:r>
            <w:r>
              <w:rPr>
                <w:rFonts w:ascii="Sylfaen" w:hAnsi="Sylfaen"/>
                <w:b/>
                <w:bCs/>
                <w:sz w:val="20"/>
                <w:szCs w:val="20"/>
                <w:lang w:val="ka-GE"/>
              </w:rPr>
              <w:t>1621</w:t>
            </w:r>
          </w:p>
        </w:tc>
        <w:tc>
          <w:tcPr>
            <w:tcW w:w="1693" w:type="dxa"/>
            <w:gridSpan w:val="2"/>
            <w:tcBorders>
              <w:top w:val="single" w:sz="4" w:space="0" w:color="auto"/>
              <w:left w:val="single" w:sz="4" w:space="0" w:color="auto"/>
              <w:bottom w:val="single" w:sz="4" w:space="0" w:color="auto"/>
              <w:right w:val="single" w:sz="4" w:space="0" w:color="auto"/>
            </w:tcBorders>
          </w:tcPr>
          <w:p w14:paraId="6B5B005B" w14:textId="77777777" w:rsidR="00A2588D" w:rsidRDefault="00A2588D" w:rsidP="00A2588D">
            <w:pPr>
              <w:widowControl w:val="0"/>
              <w:autoSpaceDE w:val="0"/>
              <w:autoSpaceDN w:val="0"/>
              <w:adjustRightInd w:val="0"/>
              <w:ind w:left="11"/>
              <w:rPr>
                <w:rFonts w:ascii="Sylfaen" w:hAnsi="Sylfaen" w:cs="Arial"/>
                <w:sz w:val="20"/>
                <w:szCs w:val="20"/>
                <w:lang w:val="ka-GE"/>
              </w:rPr>
            </w:pPr>
          </w:p>
        </w:tc>
      </w:tr>
    </w:tbl>
    <w:p w14:paraId="6107577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71B4031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2908</w:t>
      </w:r>
      <w:r>
        <w:rPr>
          <w:rFonts w:ascii="Sylfaen" w:hAnsi="Sylfaen" w:cs="Arial"/>
          <w:b/>
          <w:bCs/>
          <w:sz w:val="20"/>
          <w:szCs w:val="20"/>
          <w:lang w:val="ka-GE"/>
        </w:rPr>
        <w:t xml:space="preserve">   არაოგანული მტვერი: 70-20% </w:t>
      </w:r>
      <w:r>
        <w:rPr>
          <w:rFonts w:ascii="Sylfaen" w:hAnsi="Sylfaen"/>
          <w:b/>
          <w:bCs/>
          <w:sz w:val="20"/>
          <w:szCs w:val="20"/>
          <w:lang w:val="ka-GE"/>
        </w:rPr>
        <w:t>SiO2</w:t>
      </w:r>
    </w:p>
    <w:p w14:paraId="21E686E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511"/>
        <w:gridCol w:w="467"/>
        <w:gridCol w:w="525"/>
        <w:gridCol w:w="481"/>
        <w:gridCol w:w="527"/>
        <w:gridCol w:w="1314"/>
        <w:gridCol w:w="335"/>
        <w:gridCol w:w="1007"/>
        <w:gridCol w:w="905"/>
        <w:gridCol w:w="920"/>
        <w:gridCol w:w="963"/>
        <w:gridCol w:w="846"/>
        <w:gridCol w:w="848"/>
      </w:tblGrid>
      <w:tr w:rsidR="00A2588D" w14:paraId="7D63059F" w14:textId="77777777" w:rsidTr="00A2588D">
        <w:trPr>
          <w:jc w:val="center"/>
        </w:trPr>
        <w:tc>
          <w:tcPr>
            <w:tcW w:w="511" w:type="dxa"/>
            <w:tcBorders>
              <w:top w:val="single" w:sz="4" w:space="0" w:color="auto"/>
              <w:left w:val="single" w:sz="4" w:space="0" w:color="auto"/>
              <w:bottom w:val="nil"/>
              <w:right w:val="single" w:sz="4" w:space="0" w:color="auto"/>
            </w:tcBorders>
            <w:hideMark/>
          </w:tcPr>
          <w:p w14:paraId="23D2432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5466227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მოედ.</w:t>
            </w:r>
          </w:p>
        </w:tc>
        <w:tc>
          <w:tcPr>
            <w:tcW w:w="467" w:type="dxa"/>
            <w:tcBorders>
              <w:top w:val="single" w:sz="4" w:space="0" w:color="auto"/>
              <w:left w:val="single" w:sz="4" w:space="0" w:color="auto"/>
              <w:bottom w:val="nil"/>
              <w:right w:val="single" w:sz="4" w:space="0" w:color="auto"/>
            </w:tcBorders>
            <w:hideMark/>
          </w:tcPr>
          <w:p w14:paraId="6D44915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7A8857D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საამქ.</w:t>
            </w:r>
          </w:p>
        </w:tc>
        <w:tc>
          <w:tcPr>
            <w:tcW w:w="525" w:type="dxa"/>
            <w:tcBorders>
              <w:top w:val="single" w:sz="4" w:space="0" w:color="auto"/>
              <w:left w:val="single" w:sz="4" w:space="0" w:color="auto"/>
              <w:bottom w:val="nil"/>
              <w:right w:val="single" w:sz="4" w:space="0" w:color="auto"/>
            </w:tcBorders>
            <w:hideMark/>
          </w:tcPr>
          <w:p w14:paraId="5B9FF8B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p w14:paraId="2315D50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წყაროს</w:t>
            </w:r>
          </w:p>
        </w:tc>
        <w:tc>
          <w:tcPr>
            <w:tcW w:w="481" w:type="dxa"/>
            <w:tcBorders>
              <w:top w:val="single" w:sz="4" w:space="0" w:color="auto"/>
              <w:left w:val="single" w:sz="4" w:space="0" w:color="auto"/>
              <w:bottom w:val="nil"/>
              <w:right w:val="single" w:sz="4" w:space="0" w:color="auto"/>
            </w:tcBorders>
            <w:hideMark/>
          </w:tcPr>
          <w:p w14:paraId="1799749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ტიპი</w:t>
            </w:r>
          </w:p>
        </w:tc>
        <w:tc>
          <w:tcPr>
            <w:tcW w:w="525" w:type="dxa"/>
            <w:tcBorders>
              <w:top w:val="single" w:sz="4" w:space="0" w:color="auto"/>
              <w:left w:val="single" w:sz="4" w:space="0" w:color="auto"/>
              <w:bottom w:val="nil"/>
              <w:right w:val="single" w:sz="4" w:space="0" w:color="auto"/>
            </w:tcBorders>
            <w:hideMark/>
          </w:tcPr>
          <w:p w14:paraId="751B581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აღრიცხვა</w:t>
            </w:r>
          </w:p>
        </w:tc>
        <w:tc>
          <w:tcPr>
            <w:tcW w:w="1314" w:type="dxa"/>
            <w:tcBorders>
              <w:top w:val="single" w:sz="4" w:space="0" w:color="auto"/>
              <w:left w:val="single" w:sz="4" w:space="0" w:color="auto"/>
              <w:bottom w:val="nil"/>
              <w:right w:val="single" w:sz="4" w:space="0" w:color="auto"/>
            </w:tcBorders>
            <w:hideMark/>
          </w:tcPr>
          <w:p w14:paraId="350E646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გაფრქვევა</w:t>
            </w:r>
          </w:p>
          <w:p w14:paraId="042DE62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(გ/წმ)</w:t>
            </w:r>
          </w:p>
        </w:tc>
        <w:tc>
          <w:tcPr>
            <w:tcW w:w="335" w:type="dxa"/>
            <w:tcBorders>
              <w:top w:val="single" w:sz="4" w:space="0" w:color="auto"/>
              <w:left w:val="single" w:sz="4" w:space="0" w:color="auto"/>
              <w:bottom w:val="nil"/>
              <w:right w:val="single" w:sz="4" w:space="0" w:color="auto"/>
            </w:tcBorders>
            <w:hideMark/>
          </w:tcPr>
          <w:p w14:paraId="6FE27AB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F</w:t>
            </w:r>
          </w:p>
        </w:tc>
        <w:tc>
          <w:tcPr>
            <w:tcW w:w="2832" w:type="dxa"/>
            <w:gridSpan w:val="3"/>
            <w:tcBorders>
              <w:top w:val="single" w:sz="4" w:space="0" w:color="auto"/>
              <w:left w:val="single" w:sz="4" w:space="0" w:color="auto"/>
              <w:bottom w:val="single" w:sz="4" w:space="0" w:color="auto"/>
              <w:right w:val="single" w:sz="4" w:space="0" w:color="auto"/>
            </w:tcBorders>
            <w:hideMark/>
          </w:tcPr>
          <w:p w14:paraId="5E8AD2E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hideMark/>
          </w:tcPr>
          <w:p w14:paraId="0ECA2E6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ზამთ.</w:t>
            </w:r>
          </w:p>
        </w:tc>
      </w:tr>
      <w:tr w:rsidR="00A2588D" w14:paraId="7AC3A148" w14:textId="77777777" w:rsidTr="00A2588D">
        <w:trPr>
          <w:jc w:val="center"/>
        </w:trPr>
        <w:tc>
          <w:tcPr>
            <w:tcW w:w="511" w:type="dxa"/>
            <w:tcBorders>
              <w:top w:val="nil"/>
              <w:left w:val="single" w:sz="4" w:space="0" w:color="auto"/>
              <w:bottom w:val="single" w:sz="4" w:space="0" w:color="auto"/>
              <w:right w:val="single" w:sz="4" w:space="0" w:color="auto"/>
            </w:tcBorders>
          </w:tcPr>
          <w:p w14:paraId="5ADBADA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67" w:type="dxa"/>
            <w:tcBorders>
              <w:top w:val="nil"/>
              <w:left w:val="single" w:sz="4" w:space="0" w:color="auto"/>
              <w:bottom w:val="single" w:sz="4" w:space="0" w:color="auto"/>
              <w:right w:val="single" w:sz="4" w:space="0" w:color="auto"/>
            </w:tcBorders>
          </w:tcPr>
          <w:p w14:paraId="38A1DA7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344748F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481" w:type="dxa"/>
            <w:tcBorders>
              <w:top w:val="nil"/>
              <w:left w:val="single" w:sz="4" w:space="0" w:color="auto"/>
              <w:bottom w:val="single" w:sz="4" w:space="0" w:color="auto"/>
              <w:right w:val="single" w:sz="4" w:space="0" w:color="auto"/>
            </w:tcBorders>
          </w:tcPr>
          <w:p w14:paraId="2DC82DD6"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525" w:type="dxa"/>
            <w:tcBorders>
              <w:top w:val="nil"/>
              <w:left w:val="single" w:sz="4" w:space="0" w:color="auto"/>
              <w:bottom w:val="single" w:sz="4" w:space="0" w:color="auto"/>
              <w:right w:val="single" w:sz="4" w:space="0" w:color="auto"/>
            </w:tcBorders>
          </w:tcPr>
          <w:p w14:paraId="7393445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314" w:type="dxa"/>
            <w:tcBorders>
              <w:top w:val="nil"/>
              <w:left w:val="single" w:sz="4" w:space="0" w:color="auto"/>
              <w:bottom w:val="single" w:sz="4" w:space="0" w:color="auto"/>
              <w:right w:val="single" w:sz="4" w:space="0" w:color="auto"/>
            </w:tcBorders>
          </w:tcPr>
          <w:p w14:paraId="73B23A3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335" w:type="dxa"/>
            <w:tcBorders>
              <w:top w:val="nil"/>
              <w:left w:val="single" w:sz="4" w:space="0" w:color="auto"/>
              <w:bottom w:val="single" w:sz="4" w:space="0" w:color="auto"/>
              <w:right w:val="single" w:sz="4" w:space="0" w:color="auto"/>
            </w:tcBorders>
          </w:tcPr>
          <w:p w14:paraId="176F294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1E8EE9D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905" w:type="dxa"/>
            <w:tcBorders>
              <w:top w:val="single" w:sz="4" w:space="0" w:color="auto"/>
              <w:left w:val="single" w:sz="4" w:space="0" w:color="auto"/>
              <w:bottom w:val="single" w:sz="4" w:space="0" w:color="auto"/>
              <w:right w:val="single" w:sz="4" w:space="0" w:color="auto"/>
            </w:tcBorders>
            <w:hideMark/>
          </w:tcPr>
          <w:p w14:paraId="6BAE02F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919" w:type="dxa"/>
            <w:tcBorders>
              <w:top w:val="single" w:sz="4" w:space="0" w:color="auto"/>
              <w:left w:val="single" w:sz="4" w:space="0" w:color="auto"/>
              <w:bottom w:val="single" w:sz="4" w:space="0" w:color="auto"/>
              <w:right w:val="single" w:sz="4" w:space="0" w:color="auto"/>
            </w:tcBorders>
            <w:hideMark/>
          </w:tcPr>
          <w:p w14:paraId="0DB5D05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c>
          <w:tcPr>
            <w:tcW w:w="963" w:type="dxa"/>
            <w:tcBorders>
              <w:top w:val="single" w:sz="4" w:space="0" w:color="auto"/>
              <w:left w:val="single" w:sz="4" w:space="0" w:color="auto"/>
              <w:bottom w:val="single" w:sz="4" w:space="0" w:color="auto"/>
              <w:right w:val="single" w:sz="4" w:space="0" w:color="auto"/>
            </w:tcBorders>
            <w:hideMark/>
          </w:tcPr>
          <w:p w14:paraId="1305B1F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Cm/</w:t>
            </w:r>
            <w:r>
              <w:rPr>
                <w:rFonts w:ascii="Sylfaen" w:hAnsi="Sylfaen" w:cs="Arial"/>
                <w:b/>
                <w:bCs/>
                <w:sz w:val="20"/>
                <w:szCs w:val="20"/>
                <w:lang w:val="ka-GE"/>
              </w:rPr>
              <w:t>ზდკ</w:t>
            </w:r>
          </w:p>
        </w:tc>
        <w:tc>
          <w:tcPr>
            <w:tcW w:w="846" w:type="dxa"/>
            <w:tcBorders>
              <w:top w:val="single" w:sz="4" w:space="0" w:color="auto"/>
              <w:left w:val="single" w:sz="4" w:space="0" w:color="auto"/>
              <w:bottom w:val="single" w:sz="4" w:space="0" w:color="auto"/>
              <w:right w:val="single" w:sz="4" w:space="0" w:color="auto"/>
            </w:tcBorders>
            <w:hideMark/>
          </w:tcPr>
          <w:p w14:paraId="5C89BC0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Xm</w:t>
            </w:r>
          </w:p>
        </w:tc>
        <w:tc>
          <w:tcPr>
            <w:tcW w:w="846" w:type="dxa"/>
            <w:tcBorders>
              <w:top w:val="single" w:sz="4" w:space="0" w:color="auto"/>
              <w:left w:val="single" w:sz="4" w:space="0" w:color="auto"/>
              <w:bottom w:val="single" w:sz="4" w:space="0" w:color="auto"/>
              <w:right w:val="single" w:sz="4" w:space="0" w:color="auto"/>
            </w:tcBorders>
            <w:hideMark/>
          </w:tcPr>
          <w:p w14:paraId="2AFE59B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Um</w:t>
            </w:r>
            <w:r>
              <w:rPr>
                <w:rFonts w:ascii="Sylfaen" w:hAnsi="Sylfaen" w:cs="Arial"/>
                <w:b/>
                <w:bCs/>
                <w:sz w:val="20"/>
                <w:szCs w:val="20"/>
                <w:lang w:val="ka-GE"/>
              </w:rPr>
              <w:t xml:space="preserve"> (მ/წმ)</w:t>
            </w:r>
          </w:p>
        </w:tc>
      </w:tr>
      <w:tr w:rsidR="00A2588D" w14:paraId="56644AE3"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3E0F3A0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6931BD30"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3433BF7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2</w:t>
            </w:r>
          </w:p>
        </w:tc>
        <w:tc>
          <w:tcPr>
            <w:tcW w:w="481" w:type="dxa"/>
            <w:tcBorders>
              <w:top w:val="single" w:sz="4" w:space="0" w:color="auto"/>
              <w:left w:val="single" w:sz="4" w:space="0" w:color="auto"/>
              <w:bottom w:val="single" w:sz="4" w:space="0" w:color="auto"/>
              <w:right w:val="single" w:sz="4" w:space="0" w:color="auto"/>
            </w:tcBorders>
            <w:hideMark/>
          </w:tcPr>
          <w:p w14:paraId="4044263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525" w:type="dxa"/>
            <w:tcBorders>
              <w:top w:val="single" w:sz="4" w:space="0" w:color="auto"/>
              <w:left w:val="single" w:sz="4" w:space="0" w:color="auto"/>
              <w:bottom w:val="single" w:sz="4" w:space="0" w:color="auto"/>
              <w:right w:val="single" w:sz="4" w:space="0" w:color="auto"/>
            </w:tcBorders>
            <w:hideMark/>
          </w:tcPr>
          <w:p w14:paraId="117A255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15F6E73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0140000</w:t>
            </w:r>
          </w:p>
        </w:tc>
        <w:tc>
          <w:tcPr>
            <w:tcW w:w="335" w:type="dxa"/>
            <w:tcBorders>
              <w:top w:val="single" w:sz="4" w:space="0" w:color="auto"/>
              <w:left w:val="single" w:sz="4" w:space="0" w:color="auto"/>
              <w:bottom w:val="single" w:sz="4" w:space="0" w:color="auto"/>
              <w:right w:val="single" w:sz="4" w:space="0" w:color="auto"/>
            </w:tcBorders>
            <w:hideMark/>
          </w:tcPr>
          <w:p w14:paraId="3C1067A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07" w:type="dxa"/>
            <w:tcBorders>
              <w:top w:val="single" w:sz="4" w:space="0" w:color="auto"/>
              <w:left w:val="single" w:sz="4" w:space="0" w:color="auto"/>
              <w:bottom w:val="single" w:sz="4" w:space="0" w:color="auto"/>
              <w:right w:val="single" w:sz="4" w:space="0" w:color="auto"/>
            </w:tcBorders>
            <w:hideMark/>
          </w:tcPr>
          <w:p w14:paraId="5C64EFC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0434</w:t>
            </w:r>
          </w:p>
        </w:tc>
        <w:tc>
          <w:tcPr>
            <w:tcW w:w="905" w:type="dxa"/>
            <w:tcBorders>
              <w:top w:val="single" w:sz="4" w:space="0" w:color="auto"/>
              <w:left w:val="single" w:sz="4" w:space="0" w:color="auto"/>
              <w:bottom w:val="single" w:sz="4" w:space="0" w:color="auto"/>
              <w:right w:val="single" w:sz="4" w:space="0" w:color="auto"/>
            </w:tcBorders>
            <w:hideMark/>
          </w:tcPr>
          <w:p w14:paraId="27502A3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46</w:t>
            </w:r>
            <w:r>
              <w:rPr>
                <w:rFonts w:ascii="Sylfaen" w:hAnsi="Sylfaen" w:cs="Arial"/>
                <w:sz w:val="20"/>
                <w:szCs w:val="20"/>
                <w:lang w:val="ka-GE"/>
              </w:rPr>
              <w:t>,</w:t>
            </w:r>
            <w:r>
              <w:rPr>
                <w:rFonts w:ascii="Sylfaen" w:hAnsi="Sylfaen"/>
                <w:sz w:val="20"/>
                <w:szCs w:val="20"/>
                <w:lang w:val="ka-GE"/>
              </w:rPr>
              <w:t>41</w:t>
            </w:r>
          </w:p>
        </w:tc>
        <w:tc>
          <w:tcPr>
            <w:tcW w:w="919" w:type="dxa"/>
            <w:tcBorders>
              <w:top w:val="single" w:sz="4" w:space="0" w:color="auto"/>
              <w:left w:val="single" w:sz="4" w:space="0" w:color="auto"/>
              <w:bottom w:val="single" w:sz="4" w:space="0" w:color="auto"/>
              <w:right w:val="single" w:sz="4" w:space="0" w:color="auto"/>
            </w:tcBorders>
            <w:hideMark/>
          </w:tcPr>
          <w:p w14:paraId="496F85C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566BCCF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0434</w:t>
            </w:r>
          </w:p>
        </w:tc>
        <w:tc>
          <w:tcPr>
            <w:tcW w:w="846" w:type="dxa"/>
            <w:tcBorders>
              <w:top w:val="single" w:sz="4" w:space="0" w:color="auto"/>
              <w:left w:val="single" w:sz="4" w:space="0" w:color="auto"/>
              <w:bottom w:val="single" w:sz="4" w:space="0" w:color="auto"/>
              <w:right w:val="single" w:sz="4" w:space="0" w:color="auto"/>
            </w:tcBorders>
            <w:hideMark/>
          </w:tcPr>
          <w:p w14:paraId="00A2862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46</w:t>
            </w:r>
            <w:r>
              <w:rPr>
                <w:rFonts w:ascii="Sylfaen" w:hAnsi="Sylfaen" w:cs="Arial"/>
                <w:sz w:val="20"/>
                <w:szCs w:val="20"/>
                <w:lang w:val="ka-GE"/>
              </w:rPr>
              <w:t>,</w:t>
            </w:r>
            <w:r>
              <w:rPr>
                <w:rFonts w:ascii="Sylfaen" w:hAnsi="Sylfaen"/>
                <w:sz w:val="20"/>
                <w:szCs w:val="20"/>
                <w:lang w:val="ka-GE"/>
              </w:rPr>
              <w:t>41</w:t>
            </w:r>
          </w:p>
        </w:tc>
        <w:tc>
          <w:tcPr>
            <w:tcW w:w="846" w:type="dxa"/>
            <w:tcBorders>
              <w:top w:val="single" w:sz="4" w:space="0" w:color="auto"/>
              <w:left w:val="single" w:sz="4" w:space="0" w:color="auto"/>
              <w:bottom w:val="single" w:sz="4" w:space="0" w:color="auto"/>
              <w:right w:val="single" w:sz="4" w:space="0" w:color="auto"/>
            </w:tcBorders>
            <w:hideMark/>
          </w:tcPr>
          <w:p w14:paraId="76026ED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0EAB76C1"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6099BEC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0539C49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1437DA4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481" w:type="dxa"/>
            <w:tcBorders>
              <w:top w:val="single" w:sz="4" w:space="0" w:color="auto"/>
              <w:left w:val="single" w:sz="4" w:space="0" w:color="auto"/>
              <w:bottom w:val="single" w:sz="4" w:space="0" w:color="auto"/>
              <w:right w:val="single" w:sz="4" w:space="0" w:color="auto"/>
            </w:tcBorders>
            <w:hideMark/>
          </w:tcPr>
          <w:p w14:paraId="3DBEA91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5" w:type="dxa"/>
            <w:tcBorders>
              <w:top w:val="single" w:sz="4" w:space="0" w:color="auto"/>
              <w:left w:val="single" w:sz="4" w:space="0" w:color="auto"/>
              <w:bottom w:val="single" w:sz="4" w:space="0" w:color="auto"/>
              <w:right w:val="single" w:sz="4" w:space="0" w:color="auto"/>
            </w:tcBorders>
            <w:hideMark/>
          </w:tcPr>
          <w:p w14:paraId="5668DCF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0FF30B1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0021670</w:t>
            </w:r>
          </w:p>
        </w:tc>
        <w:tc>
          <w:tcPr>
            <w:tcW w:w="335" w:type="dxa"/>
            <w:tcBorders>
              <w:top w:val="single" w:sz="4" w:space="0" w:color="auto"/>
              <w:left w:val="single" w:sz="4" w:space="0" w:color="auto"/>
              <w:bottom w:val="single" w:sz="4" w:space="0" w:color="auto"/>
              <w:right w:val="single" w:sz="4" w:space="0" w:color="auto"/>
            </w:tcBorders>
            <w:hideMark/>
          </w:tcPr>
          <w:p w14:paraId="79FD2CC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1007" w:type="dxa"/>
            <w:tcBorders>
              <w:top w:val="single" w:sz="4" w:space="0" w:color="auto"/>
              <w:left w:val="single" w:sz="4" w:space="0" w:color="auto"/>
              <w:bottom w:val="single" w:sz="4" w:space="0" w:color="auto"/>
              <w:right w:val="single" w:sz="4" w:space="0" w:color="auto"/>
            </w:tcBorders>
            <w:hideMark/>
          </w:tcPr>
          <w:p w14:paraId="00AB835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7740</w:t>
            </w:r>
          </w:p>
        </w:tc>
        <w:tc>
          <w:tcPr>
            <w:tcW w:w="905" w:type="dxa"/>
            <w:tcBorders>
              <w:top w:val="single" w:sz="4" w:space="0" w:color="auto"/>
              <w:left w:val="single" w:sz="4" w:space="0" w:color="auto"/>
              <w:bottom w:val="single" w:sz="4" w:space="0" w:color="auto"/>
              <w:right w:val="single" w:sz="4" w:space="0" w:color="auto"/>
            </w:tcBorders>
            <w:hideMark/>
          </w:tcPr>
          <w:p w14:paraId="4EDA918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w:t>
            </w:r>
            <w:r>
              <w:rPr>
                <w:rFonts w:ascii="Sylfaen" w:hAnsi="Sylfaen" w:cs="Arial"/>
                <w:sz w:val="20"/>
                <w:szCs w:val="20"/>
                <w:lang w:val="ka-GE"/>
              </w:rPr>
              <w:t>,</w:t>
            </w:r>
            <w:r>
              <w:rPr>
                <w:rFonts w:ascii="Sylfaen" w:hAnsi="Sylfaen"/>
                <w:sz w:val="20"/>
                <w:szCs w:val="20"/>
                <w:lang w:val="ka-GE"/>
              </w:rPr>
              <w:t>70</w:t>
            </w:r>
          </w:p>
        </w:tc>
        <w:tc>
          <w:tcPr>
            <w:tcW w:w="919" w:type="dxa"/>
            <w:tcBorders>
              <w:top w:val="single" w:sz="4" w:space="0" w:color="auto"/>
              <w:left w:val="single" w:sz="4" w:space="0" w:color="auto"/>
              <w:bottom w:val="single" w:sz="4" w:space="0" w:color="auto"/>
              <w:right w:val="single" w:sz="4" w:space="0" w:color="auto"/>
            </w:tcBorders>
            <w:hideMark/>
          </w:tcPr>
          <w:p w14:paraId="320D914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4D8A4C2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7740</w:t>
            </w:r>
          </w:p>
        </w:tc>
        <w:tc>
          <w:tcPr>
            <w:tcW w:w="846" w:type="dxa"/>
            <w:tcBorders>
              <w:top w:val="single" w:sz="4" w:space="0" w:color="auto"/>
              <w:left w:val="single" w:sz="4" w:space="0" w:color="auto"/>
              <w:bottom w:val="single" w:sz="4" w:space="0" w:color="auto"/>
              <w:right w:val="single" w:sz="4" w:space="0" w:color="auto"/>
            </w:tcBorders>
            <w:hideMark/>
          </w:tcPr>
          <w:p w14:paraId="4D98FA7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w:t>
            </w:r>
            <w:r>
              <w:rPr>
                <w:rFonts w:ascii="Sylfaen" w:hAnsi="Sylfaen" w:cs="Arial"/>
                <w:sz w:val="20"/>
                <w:szCs w:val="20"/>
                <w:lang w:val="ka-GE"/>
              </w:rPr>
              <w:t>,</w:t>
            </w:r>
            <w:r>
              <w:rPr>
                <w:rFonts w:ascii="Sylfaen" w:hAnsi="Sylfaen"/>
                <w:sz w:val="20"/>
                <w:szCs w:val="20"/>
                <w:lang w:val="ka-GE"/>
              </w:rPr>
              <w:t>70</w:t>
            </w:r>
          </w:p>
        </w:tc>
        <w:tc>
          <w:tcPr>
            <w:tcW w:w="846" w:type="dxa"/>
            <w:tcBorders>
              <w:top w:val="single" w:sz="4" w:space="0" w:color="auto"/>
              <w:left w:val="single" w:sz="4" w:space="0" w:color="auto"/>
              <w:bottom w:val="single" w:sz="4" w:space="0" w:color="auto"/>
              <w:right w:val="single" w:sz="4" w:space="0" w:color="auto"/>
            </w:tcBorders>
            <w:hideMark/>
          </w:tcPr>
          <w:p w14:paraId="00CE8AB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31F25916"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62F7846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4C9F7B4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1D4883A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c>
          <w:tcPr>
            <w:tcW w:w="481" w:type="dxa"/>
            <w:tcBorders>
              <w:top w:val="single" w:sz="4" w:space="0" w:color="auto"/>
              <w:left w:val="single" w:sz="4" w:space="0" w:color="auto"/>
              <w:bottom w:val="single" w:sz="4" w:space="0" w:color="auto"/>
              <w:right w:val="single" w:sz="4" w:space="0" w:color="auto"/>
            </w:tcBorders>
            <w:hideMark/>
          </w:tcPr>
          <w:p w14:paraId="01F0182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5" w:type="dxa"/>
            <w:tcBorders>
              <w:top w:val="single" w:sz="4" w:space="0" w:color="auto"/>
              <w:left w:val="single" w:sz="4" w:space="0" w:color="auto"/>
              <w:bottom w:val="single" w:sz="4" w:space="0" w:color="auto"/>
              <w:right w:val="single" w:sz="4" w:space="0" w:color="auto"/>
            </w:tcBorders>
            <w:hideMark/>
          </w:tcPr>
          <w:p w14:paraId="72DB729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67C9318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0875000</w:t>
            </w:r>
          </w:p>
        </w:tc>
        <w:tc>
          <w:tcPr>
            <w:tcW w:w="335" w:type="dxa"/>
            <w:tcBorders>
              <w:top w:val="single" w:sz="4" w:space="0" w:color="auto"/>
              <w:left w:val="single" w:sz="4" w:space="0" w:color="auto"/>
              <w:bottom w:val="single" w:sz="4" w:space="0" w:color="auto"/>
              <w:right w:val="single" w:sz="4" w:space="0" w:color="auto"/>
            </w:tcBorders>
            <w:hideMark/>
          </w:tcPr>
          <w:p w14:paraId="2C7DEAE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1007" w:type="dxa"/>
            <w:tcBorders>
              <w:top w:val="single" w:sz="4" w:space="0" w:color="auto"/>
              <w:left w:val="single" w:sz="4" w:space="0" w:color="auto"/>
              <w:bottom w:val="single" w:sz="4" w:space="0" w:color="auto"/>
              <w:right w:val="single" w:sz="4" w:space="0" w:color="auto"/>
            </w:tcBorders>
            <w:hideMark/>
          </w:tcPr>
          <w:p w14:paraId="75A85D4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w:t>
            </w:r>
            <w:r>
              <w:rPr>
                <w:rFonts w:ascii="Sylfaen" w:hAnsi="Sylfaen"/>
                <w:sz w:val="20"/>
                <w:szCs w:val="20"/>
                <w:lang w:val="ka-GE"/>
              </w:rPr>
              <w:t>6843</w:t>
            </w:r>
          </w:p>
        </w:tc>
        <w:tc>
          <w:tcPr>
            <w:tcW w:w="905" w:type="dxa"/>
            <w:tcBorders>
              <w:top w:val="single" w:sz="4" w:space="0" w:color="auto"/>
              <w:left w:val="single" w:sz="4" w:space="0" w:color="auto"/>
              <w:bottom w:val="single" w:sz="4" w:space="0" w:color="auto"/>
              <w:right w:val="single" w:sz="4" w:space="0" w:color="auto"/>
            </w:tcBorders>
            <w:hideMark/>
          </w:tcPr>
          <w:p w14:paraId="570E643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14</w:t>
            </w:r>
            <w:r>
              <w:rPr>
                <w:rFonts w:ascii="Sylfaen" w:hAnsi="Sylfaen" w:cs="Arial"/>
                <w:sz w:val="20"/>
                <w:szCs w:val="20"/>
                <w:lang w:val="ka-GE"/>
              </w:rPr>
              <w:t>,</w:t>
            </w:r>
            <w:r>
              <w:rPr>
                <w:rFonts w:ascii="Sylfaen" w:hAnsi="Sylfaen"/>
                <w:sz w:val="20"/>
                <w:szCs w:val="20"/>
                <w:lang w:val="ka-GE"/>
              </w:rPr>
              <w:t>25</w:t>
            </w:r>
          </w:p>
        </w:tc>
        <w:tc>
          <w:tcPr>
            <w:tcW w:w="919" w:type="dxa"/>
            <w:tcBorders>
              <w:top w:val="single" w:sz="4" w:space="0" w:color="auto"/>
              <w:left w:val="single" w:sz="4" w:space="0" w:color="auto"/>
              <w:bottom w:val="single" w:sz="4" w:space="0" w:color="auto"/>
              <w:right w:val="single" w:sz="4" w:space="0" w:color="auto"/>
            </w:tcBorders>
            <w:hideMark/>
          </w:tcPr>
          <w:p w14:paraId="5E26CD6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11A37A5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w:t>
            </w:r>
            <w:r>
              <w:rPr>
                <w:rFonts w:ascii="Sylfaen" w:hAnsi="Sylfaen"/>
                <w:sz w:val="20"/>
                <w:szCs w:val="20"/>
                <w:lang w:val="ka-GE"/>
              </w:rPr>
              <w:t>6843</w:t>
            </w:r>
          </w:p>
        </w:tc>
        <w:tc>
          <w:tcPr>
            <w:tcW w:w="846" w:type="dxa"/>
            <w:tcBorders>
              <w:top w:val="single" w:sz="4" w:space="0" w:color="auto"/>
              <w:left w:val="single" w:sz="4" w:space="0" w:color="auto"/>
              <w:bottom w:val="single" w:sz="4" w:space="0" w:color="auto"/>
              <w:right w:val="single" w:sz="4" w:space="0" w:color="auto"/>
            </w:tcBorders>
            <w:hideMark/>
          </w:tcPr>
          <w:p w14:paraId="4799D1E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14</w:t>
            </w:r>
            <w:r>
              <w:rPr>
                <w:rFonts w:ascii="Sylfaen" w:hAnsi="Sylfaen" w:cs="Arial"/>
                <w:sz w:val="20"/>
                <w:szCs w:val="20"/>
                <w:lang w:val="ka-GE"/>
              </w:rPr>
              <w:t>,</w:t>
            </w:r>
            <w:r>
              <w:rPr>
                <w:rFonts w:ascii="Sylfaen" w:hAnsi="Sylfaen"/>
                <w:sz w:val="20"/>
                <w:szCs w:val="20"/>
                <w:lang w:val="ka-GE"/>
              </w:rPr>
              <w:t>25</w:t>
            </w:r>
          </w:p>
        </w:tc>
        <w:tc>
          <w:tcPr>
            <w:tcW w:w="846" w:type="dxa"/>
            <w:tcBorders>
              <w:top w:val="single" w:sz="4" w:space="0" w:color="auto"/>
              <w:left w:val="single" w:sz="4" w:space="0" w:color="auto"/>
              <w:bottom w:val="single" w:sz="4" w:space="0" w:color="auto"/>
              <w:right w:val="single" w:sz="4" w:space="0" w:color="auto"/>
            </w:tcBorders>
            <w:hideMark/>
          </w:tcPr>
          <w:p w14:paraId="73161A0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5CFCEC41" w14:textId="77777777" w:rsidTr="00A2588D">
        <w:trPr>
          <w:jc w:val="center"/>
        </w:trPr>
        <w:tc>
          <w:tcPr>
            <w:tcW w:w="511" w:type="dxa"/>
            <w:tcBorders>
              <w:top w:val="single" w:sz="4" w:space="0" w:color="auto"/>
              <w:left w:val="single" w:sz="4" w:space="0" w:color="auto"/>
              <w:bottom w:val="single" w:sz="4" w:space="0" w:color="auto"/>
              <w:right w:val="single" w:sz="4" w:space="0" w:color="auto"/>
            </w:tcBorders>
            <w:hideMark/>
          </w:tcPr>
          <w:p w14:paraId="39507E4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467" w:type="dxa"/>
            <w:tcBorders>
              <w:top w:val="single" w:sz="4" w:space="0" w:color="auto"/>
              <w:left w:val="single" w:sz="4" w:space="0" w:color="auto"/>
              <w:bottom w:val="single" w:sz="4" w:space="0" w:color="auto"/>
              <w:right w:val="single" w:sz="4" w:space="0" w:color="auto"/>
            </w:tcBorders>
            <w:hideMark/>
          </w:tcPr>
          <w:p w14:paraId="6009491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525" w:type="dxa"/>
            <w:tcBorders>
              <w:top w:val="single" w:sz="4" w:space="0" w:color="auto"/>
              <w:left w:val="single" w:sz="4" w:space="0" w:color="auto"/>
              <w:bottom w:val="single" w:sz="4" w:space="0" w:color="auto"/>
              <w:right w:val="single" w:sz="4" w:space="0" w:color="auto"/>
            </w:tcBorders>
            <w:hideMark/>
          </w:tcPr>
          <w:p w14:paraId="5F46461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7</w:t>
            </w:r>
          </w:p>
        </w:tc>
        <w:tc>
          <w:tcPr>
            <w:tcW w:w="481" w:type="dxa"/>
            <w:tcBorders>
              <w:top w:val="single" w:sz="4" w:space="0" w:color="auto"/>
              <w:left w:val="single" w:sz="4" w:space="0" w:color="auto"/>
              <w:bottom w:val="single" w:sz="4" w:space="0" w:color="auto"/>
              <w:right w:val="single" w:sz="4" w:space="0" w:color="auto"/>
            </w:tcBorders>
            <w:hideMark/>
          </w:tcPr>
          <w:p w14:paraId="25FB731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525" w:type="dxa"/>
            <w:tcBorders>
              <w:top w:val="single" w:sz="4" w:space="0" w:color="auto"/>
              <w:left w:val="single" w:sz="4" w:space="0" w:color="auto"/>
              <w:bottom w:val="single" w:sz="4" w:space="0" w:color="auto"/>
              <w:right w:val="single" w:sz="4" w:space="0" w:color="auto"/>
            </w:tcBorders>
            <w:hideMark/>
          </w:tcPr>
          <w:p w14:paraId="3A7AFC9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w:t>
            </w:r>
          </w:p>
        </w:tc>
        <w:tc>
          <w:tcPr>
            <w:tcW w:w="1314" w:type="dxa"/>
            <w:tcBorders>
              <w:top w:val="single" w:sz="4" w:space="0" w:color="auto"/>
              <w:left w:val="single" w:sz="4" w:space="0" w:color="auto"/>
              <w:bottom w:val="single" w:sz="4" w:space="0" w:color="auto"/>
              <w:right w:val="single" w:sz="4" w:space="0" w:color="auto"/>
            </w:tcBorders>
            <w:hideMark/>
          </w:tcPr>
          <w:p w14:paraId="1B381DE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0642500</w:t>
            </w:r>
          </w:p>
        </w:tc>
        <w:tc>
          <w:tcPr>
            <w:tcW w:w="335" w:type="dxa"/>
            <w:tcBorders>
              <w:top w:val="single" w:sz="4" w:space="0" w:color="auto"/>
              <w:left w:val="single" w:sz="4" w:space="0" w:color="auto"/>
              <w:bottom w:val="single" w:sz="4" w:space="0" w:color="auto"/>
              <w:right w:val="single" w:sz="4" w:space="0" w:color="auto"/>
            </w:tcBorders>
            <w:hideMark/>
          </w:tcPr>
          <w:p w14:paraId="52DF9E2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1007" w:type="dxa"/>
            <w:tcBorders>
              <w:top w:val="single" w:sz="4" w:space="0" w:color="auto"/>
              <w:left w:val="single" w:sz="4" w:space="0" w:color="auto"/>
              <w:bottom w:val="single" w:sz="4" w:space="0" w:color="auto"/>
              <w:right w:val="single" w:sz="4" w:space="0" w:color="auto"/>
            </w:tcBorders>
            <w:hideMark/>
          </w:tcPr>
          <w:p w14:paraId="67C30E5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22</w:t>
            </w:r>
            <w:r>
              <w:rPr>
                <w:rFonts w:ascii="Sylfaen" w:hAnsi="Sylfaen" w:cs="Arial"/>
                <w:sz w:val="20"/>
                <w:szCs w:val="20"/>
                <w:lang w:val="ka-GE"/>
              </w:rPr>
              <w:t>,</w:t>
            </w:r>
            <w:r>
              <w:rPr>
                <w:rFonts w:ascii="Sylfaen" w:hAnsi="Sylfaen"/>
                <w:sz w:val="20"/>
                <w:szCs w:val="20"/>
                <w:lang w:val="ka-GE"/>
              </w:rPr>
              <w:t>9479</w:t>
            </w:r>
          </w:p>
        </w:tc>
        <w:tc>
          <w:tcPr>
            <w:tcW w:w="905" w:type="dxa"/>
            <w:tcBorders>
              <w:top w:val="single" w:sz="4" w:space="0" w:color="auto"/>
              <w:left w:val="single" w:sz="4" w:space="0" w:color="auto"/>
              <w:bottom w:val="single" w:sz="4" w:space="0" w:color="auto"/>
              <w:right w:val="single" w:sz="4" w:space="0" w:color="auto"/>
            </w:tcBorders>
            <w:hideMark/>
          </w:tcPr>
          <w:p w14:paraId="410A071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w:t>
            </w:r>
            <w:r>
              <w:rPr>
                <w:rFonts w:ascii="Sylfaen" w:hAnsi="Sylfaen" w:cs="Arial"/>
                <w:sz w:val="20"/>
                <w:szCs w:val="20"/>
                <w:lang w:val="ka-GE"/>
              </w:rPr>
              <w:t>,</w:t>
            </w:r>
            <w:r>
              <w:rPr>
                <w:rFonts w:ascii="Sylfaen" w:hAnsi="Sylfaen"/>
                <w:sz w:val="20"/>
                <w:szCs w:val="20"/>
                <w:lang w:val="ka-GE"/>
              </w:rPr>
              <w:t>70</w:t>
            </w:r>
          </w:p>
        </w:tc>
        <w:tc>
          <w:tcPr>
            <w:tcW w:w="919" w:type="dxa"/>
            <w:tcBorders>
              <w:top w:val="single" w:sz="4" w:space="0" w:color="auto"/>
              <w:left w:val="single" w:sz="4" w:space="0" w:color="auto"/>
              <w:bottom w:val="single" w:sz="4" w:space="0" w:color="auto"/>
              <w:right w:val="single" w:sz="4" w:space="0" w:color="auto"/>
            </w:tcBorders>
            <w:hideMark/>
          </w:tcPr>
          <w:p w14:paraId="38BE848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c>
          <w:tcPr>
            <w:tcW w:w="963" w:type="dxa"/>
            <w:tcBorders>
              <w:top w:val="single" w:sz="4" w:space="0" w:color="auto"/>
              <w:left w:val="single" w:sz="4" w:space="0" w:color="auto"/>
              <w:bottom w:val="single" w:sz="4" w:space="0" w:color="auto"/>
              <w:right w:val="single" w:sz="4" w:space="0" w:color="auto"/>
            </w:tcBorders>
            <w:hideMark/>
          </w:tcPr>
          <w:p w14:paraId="7FEFD97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22</w:t>
            </w:r>
            <w:r>
              <w:rPr>
                <w:rFonts w:ascii="Sylfaen" w:hAnsi="Sylfaen" w:cs="Arial"/>
                <w:sz w:val="20"/>
                <w:szCs w:val="20"/>
                <w:lang w:val="ka-GE"/>
              </w:rPr>
              <w:t>,</w:t>
            </w:r>
            <w:r>
              <w:rPr>
                <w:rFonts w:ascii="Sylfaen" w:hAnsi="Sylfaen"/>
                <w:sz w:val="20"/>
                <w:szCs w:val="20"/>
                <w:lang w:val="ka-GE"/>
              </w:rPr>
              <w:t>9479</w:t>
            </w:r>
          </w:p>
        </w:tc>
        <w:tc>
          <w:tcPr>
            <w:tcW w:w="846" w:type="dxa"/>
            <w:tcBorders>
              <w:top w:val="single" w:sz="4" w:space="0" w:color="auto"/>
              <w:left w:val="single" w:sz="4" w:space="0" w:color="auto"/>
              <w:bottom w:val="single" w:sz="4" w:space="0" w:color="auto"/>
              <w:right w:val="single" w:sz="4" w:space="0" w:color="auto"/>
            </w:tcBorders>
            <w:hideMark/>
          </w:tcPr>
          <w:p w14:paraId="2F772FB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w:t>
            </w:r>
            <w:r>
              <w:rPr>
                <w:rFonts w:ascii="Sylfaen" w:hAnsi="Sylfaen" w:cs="Arial"/>
                <w:sz w:val="20"/>
                <w:szCs w:val="20"/>
                <w:lang w:val="ka-GE"/>
              </w:rPr>
              <w:t>,</w:t>
            </w:r>
            <w:r>
              <w:rPr>
                <w:rFonts w:ascii="Sylfaen" w:hAnsi="Sylfaen"/>
                <w:sz w:val="20"/>
                <w:szCs w:val="20"/>
                <w:lang w:val="ka-GE"/>
              </w:rPr>
              <w:t>70</w:t>
            </w:r>
          </w:p>
        </w:tc>
        <w:tc>
          <w:tcPr>
            <w:tcW w:w="846" w:type="dxa"/>
            <w:tcBorders>
              <w:top w:val="single" w:sz="4" w:space="0" w:color="auto"/>
              <w:left w:val="single" w:sz="4" w:space="0" w:color="auto"/>
              <w:bottom w:val="single" w:sz="4" w:space="0" w:color="auto"/>
              <w:right w:val="single" w:sz="4" w:space="0" w:color="auto"/>
            </w:tcBorders>
            <w:hideMark/>
          </w:tcPr>
          <w:p w14:paraId="0A6EF01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5000</w:t>
            </w:r>
          </w:p>
        </w:tc>
      </w:tr>
      <w:tr w:rsidR="00A2588D" w14:paraId="3489AE51" w14:textId="77777777" w:rsidTr="00A2588D">
        <w:trPr>
          <w:jc w:val="center"/>
        </w:trPr>
        <w:tc>
          <w:tcPr>
            <w:tcW w:w="2511" w:type="dxa"/>
            <w:gridSpan w:val="5"/>
            <w:tcBorders>
              <w:top w:val="single" w:sz="4" w:space="0" w:color="auto"/>
              <w:left w:val="single" w:sz="4" w:space="0" w:color="auto"/>
              <w:bottom w:val="single" w:sz="4" w:space="0" w:color="auto"/>
              <w:right w:val="single" w:sz="4" w:space="0" w:color="auto"/>
            </w:tcBorders>
            <w:hideMark/>
          </w:tcPr>
          <w:p w14:paraId="6E007445" w14:textId="77777777" w:rsidR="00A2588D" w:rsidRDefault="00A2588D" w:rsidP="00A2588D">
            <w:pPr>
              <w:widowControl w:val="0"/>
              <w:autoSpaceDE w:val="0"/>
              <w:autoSpaceDN w:val="0"/>
              <w:adjustRightInd w:val="0"/>
              <w:ind w:left="11"/>
              <w:rPr>
                <w:rFonts w:ascii="Sylfaen" w:hAnsi="Sylfaen" w:cs="Arial"/>
                <w:b/>
                <w:bCs/>
                <w:sz w:val="20"/>
                <w:szCs w:val="20"/>
                <w:lang w:val="ka-GE"/>
              </w:rPr>
            </w:pPr>
            <w:r>
              <w:rPr>
                <w:rFonts w:ascii="Sylfaen" w:hAnsi="Sylfaen" w:cs="Arial"/>
                <w:b/>
                <w:bCs/>
                <w:sz w:val="20"/>
                <w:szCs w:val="20"/>
                <w:lang w:val="ka-GE"/>
              </w:rPr>
              <w:t>სულ:</w:t>
            </w:r>
          </w:p>
        </w:tc>
        <w:tc>
          <w:tcPr>
            <w:tcW w:w="1314" w:type="dxa"/>
            <w:tcBorders>
              <w:top w:val="single" w:sz="4" w:space="0" w:color="auto"/>
              <w:left w:val="single" w:sz="4" w:space="0" w:color="auto"/>
              <w:bottom w:val="single" w:sz="4" w:space="0" w:color="auto"/>
              <w:right w:val="single" w:sz="4" w:space="0" w:color="auto"/>
            </w:tcBorders>
            <w:hideMark/>
          </w:tcPr>
          <w:p w14:paraId="2279622B"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0</w:t>
            </w:r>
            <w:r>
              <w:rPr>
                <w:rFonts w:ascii="Sylfaen" w:hAnsi="Sylfaen" w:cs="Arial"/>
                <w:b/>
                <w:bCs/>
                <w:sz w:val="20"/>
                <w:szCs w:val="20"/>
                <w:lang w:val="ka-GE"/>
              </w:rPr>
              <w:t>,</w:t>
            </w:r>
            <w:r>
              <w:rPr>
                <w:rFonts w:ascii="Sylfaen" w:hAnsi="Sylfaen"/>
                <w:b/>
                <w:bCs/>
                <w:sz w:val="20"/>
                <w:szCs w:val="20"/>
                <w:lang w:val="ka-GE"/>
              </w:rPr>
              <w:t>1679170</w:t>
            </w:r>
          </w:p>
        </w:tc>
        <w:tc>
          <w:tcPr>
            <w:tcW w:w="335" w:type="dxa"/>
            <w:tcBorders>
              <w:top w:val="single" w:sz="4" w:space="0" w:color="auto"/>
              <w:left w:val="single" w:sz="4" w:space="0" w:color="auto"/>
              <w:bottom w:val="single" w:sz="4" w:space="0" w:color="auto"/>
              <w:right w:val="single" w:sz="4" w:space="0" w:color="auto"/>
            </w:tcBorders>
          </w:tcPr>
          <w:p w14:paraId="25B7E310"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1007" w:type="dxa"/>
            <w:tcBorders>
              <w:top w:val="single" w:sz="4" w:space="0" w:color="auto"/>
              <w:left w:val="single" w:sz="4" w:space="0" w:color="auto"/>
              <w:bottom w:val="single" w:sz="4" w:space="0" w:color="auto"/>
              <w:right w:val="single" w:sz="4" w:space="0" w:color="auto"/>
            </w:tcBorders>
            <w:hideMark/>
          </w:tcPr>
          <w:p w14:paraId="1A8EB5AE"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27</w:t>
            </w:r>
            <w:r>
              <w:rPr>
                <w:rFonts w:ascii="Sylfaen" w:hAnsi="Sylfaen" w:cs="Arial"/>
                <w:b/>
                <w:bCs/>
                <w:sz w:val="20"/>
                <w:szCs w:val="20"/>
                <w:lang w:val="ka-GE"/>
              </w:rPr>
              <w:t>,</w:t>
            </w:r>
            <w:r>
              <w:rPr>
                <w:rFonts w:ascii="Sylfaen" w:hAnsi="Sylfaen"/>
                <w:b/>
                <w:bCs/>
                <w:sz w:val="20"/>
                <w:szCs w:val="20"/>
                <w:lang w:val="ka-GE"/>
              </w:rPr>
              <w:t>4496</w:t>
            </w:r>
          </w:p>
        </w:tc>
        <w:tc>
          <w:tcPr>
            <w:tcW w:w="1825" w:type="dxa"/>
            <w:gridSpan w:val="2"/>
            <w:tcBorders>
              <w:top w:val="single" w:sz="4" w:space="0" w:color="auto"/>
              <w:left w:val="single" w:sz="4" w:space="0" w:color="auto"/>
              <w:bottom w:val="single" w:sz="4" w:space="0" w:color="auto"/>
              <w:right w:val="single" w:sz="4" w:space="0" w:color="auto"/>
            </w:tcBorders>
          </w:tcPr>
          <w:p w14:paraId="6FDC9805"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963" w:type="dxa"/>
            <w:tcBorders>
              <w:top w:val="single" w:sz="4" w:space="0" w:color="auto"/>
              <w:left w:val="single" w:sz="4" w:space="0" w:color="auto"/>
              <w:bottom w:val="single" w:sz="4" w:space="0" w:color="auto"/>
              <w:right w:val="single" w:sz="4" w:space="0" w:color="auto"/>
            </w:tcBorders>
            <w:hideMark/>
          </w:tcPr>
          <w:p w14:paraId="7CC0E06A" w14:textId="77777777" w:rsidR="00A2588D" w:rsidRDefault="00A2588D" w:rsidP="00A2588D">
            <w:pPr>
              <w:widowControl w:val="0"/>
              <w:autoSpaceDE w:val="0"/>
              <w:autoSpaceDN w:val="0"/>
              <w:adjustRightInd w:val="0"/>
              <w:ind w:right="11"/>
              <w:jc w:val="right"/>
              <w:rPr>
                <w:rFonts w:ascii="Sylfaen" w:hAnsi="Sylfaen" w:cs="Arial"/>
                <w:b/>
                <w:bCs/>
                <w:sz w:val="20"/>
                <w:szCs w:val="20"/>
                <w:lang w:val="ka-GE"/>
              </w:rPr>
            </w:pPr>
            <w:r>
              <w:rPr>
                <w:rFonts w:ascii="Sylfaen" w:hAnsi="Sylfaen"/>
                <w:b/>
                <w:bCs/>
                <w:sz w:val="20"/>
                <w:szCs w:val="20"/>
                <w:lang w:val="ka-GE"/>
              </w:rPr>
              <w:t>27</w:t>
            </w:r>
            <w:r>
              <w:rPr>
                <w:rFonts w:ascii="Sylfaen" w:hAnsi="Sylfaen" w:cs="Arial"/>
                <w:b/>
                <w:bCs/>
                <w:sz w:val="20"/>
                <w:szCs w:val="20"/>
                <w:lang w:val="ka-GE"/>
              </w:rPr>
              <w:t>,</w:t>
            </w:r>
            <w:r>
              <w:rPr>
                <w:rFonts w:ascii="Sylfaen" w:hAnsi="Sylfaen"/>
                <w:b/>
                <w:bCs/>
                <w:sz w:val="20"/>
                <w:szCs w:val="20"/>
                <w:lang w:val="ka-GE"/>
              </w:rPr>
              <w:t>4496</w:t>
            </w:r>
          </w:p>
        </w:tc>
        <w:tc>
          <w:tcPr>
            <w:tcW w:w="1693" w:type="dxa"/>
            <w:gridSpan w:val="2"/>
            <w:tcBorders>
              <w:top w:val="single" w:sz="4" w:space="0" w:color="auto"/>
              <w:left w:val="single" w:sz="4" w:space="0" w:color="auto"/>
              <w:bottom w:val="single" w:sz="4" w:space="0" w:color="auto"/>
              <w:right w:val="single" w:sz="4" w:space="0" w:color="auto"/>
            </w:tcBorders>
          </w:tcPr>
          <w:p w14:paraId="0E6E323B" w14:textId="77777777" w:rsidR="00A2588D" w:rsidRDefault="00A2588D" w:rsidP="00A2588D">
            <w:pPr>
              <w:widowControl w:val="0"/>
              <w:autoSpaceDE w:val="0"/>
              <w:autoSpaceDN w:val="0"/>
              <w:adjustRightInd w:val="0"/>
              <w:ind w:left="11"/>
              <w:rPr>
                <w:rFonts w:ascii="Sylfaen" w:hAnsi="Sylfaen" w:cs="Arial"/>
                <w:sz w:val="20"/>
                <w:szCs w:val="20"/>
                <w:lang w:val="ka-GE"/>
              </w:rPr>
            </w:pPr>
          </w:p>
        </w:tc>
      </w:tr>
    </w:tbl>
    <w:p w14:paraId="20F12BB3" w14:textId="77777777" w:rsidR="00A2588D" w:rsidRDefault="00A2588D" w:rsidP="00A2588D">
      <w:pPr>
        <w:widowControl w:val="0"/>
        <w:autoSpaceDE w:val="0"/>
        <w:autoSpaceDN w:val="0"/>
        <w:adjustRightInd w:val="0"/>
        <w:rPr>
          <w:rFonts w:ascii="Sylfaen" w:hAnsi="Sylfaen" w:cs="Arial"/>
          <w:b/>
          <w:bCs/>
          <w:sz w:val="24"/>
          <w:lang w:val="ka-GE"/>
        </w:rPr>
      </w:pPr>
    </w:p>
    <w:p w14:paraId="5F26366F" w14:textId="77777777" w:rsidR="00A2588D" w:rsidRDefault="00A2588D" w:rsidP="00A2588D">
      <w:pPr>
        <w:rPr>
          <w:rFonts w:ascii="Sylfaen" w:hAnsi="Sylfaen" w:cs="Arial"/>
          <w:b/>
          <w:bCs/>
          <w:sz w:val="24"/>
          <w:lang w:val="ka-GE"/>
        </w:rPr>
      </w:pPr>
      <w:r>
        <w:rPr>
          <w:rFonts w:ascii="Sylfaen" w:hAnsi="Sylfaen" w:cs="Arial"/>
          <w:b/>
          <w:bCs/>
          <w:sz w:val="24"/>
          <w:lang w:val="ka-GE"/>
        </w:rPr>
        <w:br w:type="page"/>
      </w:r>
    </w:p>
    <w:p w14:paraId="58033A4E" w14:textId="77777777" w:rsidR="00A2588D" w:rsidRDefault="00A2588D" w:rsidP="00A2588D">
      <w:pPr>
        <w:widowControl w:val="0"/>
        <w:autoSpaceDE w:val="0"/>
        <w:autoSpaceDN w:val="0"/>
        <w:adjustRightInd w:val="0"/>
        <w:jc w:val="center"/>
        <w:rPr>
          <w:rFonts w:ascii="Sylfaen" w:hAnsi="Sylfaen" w:cs="Arial"/>
          <w:b/>
          <w:bCs/>
          <w:sz w:val="24"/>
          <w:lang w:val="ka-GE"/>
        </w:rPr>
      </w:pPr>
      <w:r>
        <w:rPr>
          <w:rFonts w:ascii="Sylfaen" w:hAnsi="Sylfaen" w:cs="Arial"/>
          <w:b/>
          <w:bCs/>
          <w:sz w:val="24"/>
          <w:lang w:val="ka-GE"/>
        </w:rPr>
        <w:lastRenderedPageBreak/>
        <w:t>წყაროების გაფრქვევა ჯამური ზემოქმედების ჯგუფების მიხედვით</w:t>
      </w:r>
    </w:p>
    <w:p w14:paraId="0EE0B774"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4964"/>
        <w:gridCol w:w="4906"/>
      </w:tblGrid>
      <w:tr w:rsidR="00A2588D" w14:paraId="202C7A4A" w14:textId="77777777" w:rsidTr="00A2588D">
        <w:trPr>
          <w:jc w:val="center"/>
        </w:trPr>
        <w:tc>
          <w:tcPr>
            <w:tcW w:w="4964" w:type="dxa"/>
            <w:hideMark/>
          </w:tcPr>
          <w:p w14:paraId="5DEA8CF2"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აღრიცხვა:</w:t>
            </w:r>
          </w:p>
        </w:tc>
        <w:tc>
          <w:tcPr>
            <w:tcW w:w="4906" w:type="dxa"/>
            <w:hideMark/>
          </w:tcPr>
          <w:p w14:paraId="0A2DF569"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წყაროთა ტიპები:</w:t>
            </w:r>
          </w:p>
        </w:tc>
      </w:tr>
      <w:tr w:rsidR="00A2588D" w14:paraId="1F8910DD" w14:textId="77777777" w:rsidTr="00A2588D">
        <w:trPr>
          <w:jc w:val="center"/>
        </w:trPr>
        <w:tc>
          <w:tcPr>
            <w:tcW w:w="4964" w:type="dxa"/>
            <w:hideMark/>
          </w:tcPr>
          <w:p w14:paraId="655C24C0"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  - წყარო გათვალისწინებულია ფონის გამორიცხვით;</w:t>
            </w:r>
          </w:p>
        </w:tc>
        <w:tc>
          <w:tcPr>
            <w:tcW w:w="4906" w:type="dxa"/>
            <w:hideMark/>
          </w:tcPr>
          <w:p w14:paraId="1AFAB89D"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 xml:space="preserve"> - წერტილოვანი;</w:t>
            </w:r>
          </w:p>
        </w:tc>
      </w:tr>
      <w:tr w:rsidR="00A2588D" w14:paraId="27BB0BB3" w14:textId="77777777" w:rsidTr="00A2588D">
        <w:trPr>
          <w:jc w:val="center"/>
        </w:trPr>
        <w:tc>
          <w:tcPr>
            <w:tcW w:w="4964" w:type="dxa"/>
            <w:hideMark/>
          </w:tcPr>
          <w:p w14:paraId="6858C01B"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  - წყარო გათვალისწინებულია ფონის გამორიცხვის გარეშე;</w:t>
            </w:r>
          </w:p>
        </w:tc>
        <w:tc>
          <w:tcPr>
            <w:tcW w:w="4906" w:type="dxa"/>
            <w:hideMark/>
          </w:tcPr>
          <w:p w14:paraId="2FCEB323"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2</w:t>
            </w:r>
            <w:r>
              <w:rPr>
                <w:rFonts w:ascii="Sylfaen" w:hAnsi="Sylfaen" w:cs="Arial"/>
                <w:sz w:val="16"/>
                <w:szCs w:val="16"/>
                <w:lang w:val="ka-GE"/>
              </w:rPr>
              <w:t xml:space="preserve"> - წრფივი;</w:t>
            </w:r>
          </w:p>
        </w:tc>
      </w:tr>
      <w:tr w:rsidR="00A2588D" w14:paraId="0D86C3A5" w14:textId="77777777" w:rsidTr="00A2588D">
        <w:trPr>
          <w:jc w:val="center"/>
        </w:trPr>
        <w:tc>
          <w:tcPr>
            <w:tcW w:w="4964" w:type="dxa"/>
            <w:hideMark/>
          </w:tcPr>
          <w:p w14:paraId="4DBC9E87"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  - წყარო არ არის გათვალისწინებული და მისი წვლილი არაა შეტანილი ფონში.</w:t>
            </w:r>
          </w:p>
        </w:tc>
        <w:tc>
          <w:tcPr>
            <w:tcW w:w="4906" w:type="dxa"/>
            <w:hideMark/>
          </w:tcPr>
          <w:p w14:paraId="581A8C57"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3</w:t>
            </w:r>
            <w:r>
              <w:rPr>
                <w:rFonts w:ascii="Sylfaen" w:hAnsi="Sylfaen" w:cs="Arial"/>
                <w:sz w:val="16"/>
                <w:szCs w:val="16"/>
                <w:lang w:val="ka-GE"/>
              </w:rPr>
              <w:t xml:space="preserve"> - არაორგანიზებული;</w:t>
            </w:r>
          </w:p>
        </w:tc>
      </w:tr>
      <w:tr w:rsidR="00A2588D" w14:paraId="3B07942F" w14:textId="77777777" w:rsidTr="00A2588D">
        <w:trPr>
          <w:jc w:val="center"/>
        </w:trPr>
        <w:tc>
          <w:tcPr>
            <w:tcW w:w="4964" w:type="dxa"/>
            <w:hideMark/>
          </w:tcPr>
          <w:p w14:paraId="060C42D9"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ნიშნულების არარსებობის შემტხვევაში წყარო არ ითვლება.</w:t>
            </w:r>
          </w:p>
        </w:tc>
        <w:tc>
          <w:tcPr>
            <w:tcW w:w="4906" w:type="dxa"/>
            <w:hideMark/>
          </w:tcPr>
          <w:p w14:paraId="1F6D3143"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4</w:t>
            </w:r>
            <w:r>
              <w:rPr>
                <w:rFonts w:ascii="Sylfaen" w:hAnsi="Sylfaen" w:cs="Arial"/>
                <w:sz w:val="16"/>
                <w:szCs w:val="16"/>
                <w:lang w:val="ka-GE"/>
              </w:rPr>
              <w:t xml:space="preserve"> - წერტილოვანი წყაროების ერთობლიობა, გაერთიანებული ერთ სიბრტყულად გათვლისთვის;</w:t>
            </w:r>
          </w:p>
        </w:tc>
      </w:tr>
      <w:tr w:rsidR="00A2588D" w14:paraId="344C6307" w14:textId="77777777" w:rsidTr="00A2588D">
        <w:trPr>
          <w:jc w:val="center"/>
        </w:trPr>
        <w:tc>
          <w:tcPr>
            <w:tcW w:w="4964" w:type="dxa"/>
            <w:hideMark/>
          </w:tcPr>
          <w:p w14:paraId="2CCC956F"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cs="Arial"/>
                <w:sz w:val="16"/>
                <w:szCs w:val="16"/>
                <w:lang w:val="ka-GE"/>
              </w:rPr>
              <w:t>(-) ნიშნით აღნიშნული ან აღუნიშნავი () წყაროები საერთო ჯამში გათვალისწინებული არ არის</w:t>
            </w:r>
          </w:p>
        </w:tc>
        <w:tc>
          <w:tcPr>
            <w:tcW w:w="4906" w:type="dxa"/>
            <w:hideMark/>
          </w:tcPr>
          <w:p w14:paraId="3F8D8C4E"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5</w:t>
            </w:r>
            <w:r>
              <w:rPr>
                <w:rFonts w:ascii="Sylfaen" w:hAnsi="Sylfaen" w:cs="Arial"/>
                <w:sz w:val="16"/>
                <w:szCs w:val="16"/>
                <w:lang w:val="ka-GE"/>
              </w:rPr>
              <w:t xml:space="preserve"> - არაორგანიზებული, დროში ცვლადი გაფრქვევის სიმძლავრით;</w:t>
            </w:r>
          </w:p>
        </w:tc>
      </w:tr>
      <w:tr w:rsidR="00A2588D" w14:paraId="54103A09" w14:textId="77777777" w:rsidTr="00A2588D">
        <w:trPr>
          <w:jc w:val="center"/>
        </w:trPr>
        <w:tc>
          <w:tcPr>
            <w:tcW w:w="4964" w:type="dxa"/>
          </w:tcPr>
          <w:p w14:paraId="717FE373"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4906" w:type="dxa"/>
            <w:hideMark/>
          </w:tcPr>
          <w:p w14:paraId="52459FCC"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6</w:t>
            </w:r>
            <w:r>
              <w:rPr>
                <w:rFonts w:ascii="Sylfaen" w:hAnsi="Sylfaen" w:cs="Arial"/>
                <w:sz w:val="16"/>
                <w:szCs w:val="16"/>
                <w:lang w:val="ka-GE"/>
              </w:rPr>
              <w:t xml:space="preserve"> - წერტილოვანი, ქოლგისებური ან ჰორიზონტალური გაფრქვევით;</w:t>
            </w:r>
          </w:p>
        </w:tc>
      </w:tr>
      <w:tr w:rsidR="00A2588D" w14:paraId="1D935C5C" w14:textId="77777777" w:rsidTr="00A2588D">
        <w:trPr>
          <w:jc w:val="center"/>
        </w:trPr>
        <w:tc>
          <w:tcPr>
            <w:tcW w:w="4964" w:type="dxa"/>
          </w:tcPr>
          <w:p w14:paraId="0D8F5ED0"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4906" w:type="dxa"/>
            <w:hideMark/>
          </w:tcPr>
          <w:p w14:paraId="5035087C"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7</w:t>
            </w:r>
            <w:r>
              <w:rPr>
                <w:rFonts w:ascii="Sylfaen" w:hAnsi="Sylfaen" w:cs="Arial"/>
                <w:sz w:val="16"/>
                <w:szCs w:val="16"/>
                <w:lang w:val="ka-GE"/>
              </w:rPr>
              <w:t xml:space="preserve"> - ქოლგისებური ან ჰორიზონტალური გაფრქვევის წერტილოვანი წყაროების ერთობლიობა;</w:t>
            </w:r>
          </w:p>
        </w:tc>
      </w:tr>
      <w:tr w:rsidR="00A2588D" w14:paraId="37CB24D6" w14:textId="77777777" w:rsidTr="00A2588D">
        <w:trPr>
          <w:jc w:val="center"/>
        </w:trPr>
        <w:tc>
          <w:tcPr>
            <w:tcW w:w="4964" w:type="dxa"/>
          </w:tcPr>
          <w:p w14:paraId="394AEAB2" w14:textId="77777777" w:rsidR="00A2588D" w:rsidRDefault="00A2588D" w:rsidP="00A2588D">
            <w:pPr>
              <w:widowControl w:val="0"/>
              <w:autoSpaceDE w:val="0"/>
              <w:autoSpaceDN w:val="0"/>
              <w:adjustRightInd w:val="0"/>
              <w:ind w:left="11"/>
              <w:rPr>
                <w:rFonts w:ascii="Sylfaen" w:hAnsi="Sylfaen" w:cs="Arial"/>
                <w:sz w:val="20"/>
                <w:szCs w:val="20"/>
                <w:lang w:val="ka-GE"/>
              </w:rPr>
            </w:pPr>
          </w:p>
        </w:tc>
        <w:tc>
          <w:tcPr>
            <w:tcW w:w="4906" w:type="dxa"/>
            <w:hideMark/>
          </w:tcPr>
          <w:p w14:paraId="0A1A8E20" w14:textId="77777777" w:rsidR="00A2588D" w:rsidRDefault="00A2588D" w:rsidP="00A2588D">
            <w:pPr>
              <w:widowControl w:val="0"/>
              <w:autoSpaceDE w:val="0"/>
              <w:autoSpaceDN w:val="0"/>
              <w:adjustRightInd w:val="0"/>
              <w:ind w:left="11"/>
              <w:rPr>
                <w:rFonts w:ascii="Sylfaen" w:hAnsi="Sylfaen" w:cs="Arial"/>
                <w:sz w:val="16"/>
                <w:szCs w:val="16"/>
                <w:lang w:val="ka-GE"/>
              </w:rPr>
            </w:pPr>
            <w:r>
              <w:rPr>
                <w:rFonts w:ascii="Sylfaen" w:hAnsi="Sylfaen"/>
                <w:sz w:val="16"/>
                <w:szCs w:val="16"/>
                <w:lang w:val="ka-GE"/>
              </w:rPr>
              <w:t>8</w:t>
            </w:r>
            <w:r>
              <w:rPr>
                <w:rFonts w:ascii="Sylfaen" w:hAnsi="Sylfaen" w:cs="Arial"/>
                <w:sz w:val="16"/>
                <w:szCs w:val="16"/>
                <w:lang w:val="ka-GE"/>
              </w:rPr>
              <w:t xml:space="preserve"> - ავტომაგისტრალი.</w:t>
            </w:r>
          </w:p>
        </w:tc>
      </w:tr>
    </w:tbl>
    <w:p w14:paraId="0750FCF6"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49052D5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ჯამური ზემოქმედების ჯგუფი: </w:t>
      </w:r>
      <w:r>
        <w:rPr>
          <w:rFonts w:ascii="Sylfaen" w:hAnsi="Sylfaen"/>
          <w:b/>
          <w:bCs/>
          <w:sz w:val="20"/>
          <w:szCs w:val="20"/>
          <w:lang w:val="ka-GE"/>
        </w:rPr>
        <w:t>6009</w:t>
      </w:r>
    </w:p>
    <w:p w14:paraId="66A8BFB0"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467"/>
        <w:gridCol w:w="423"/>
        <w:gridCol w:w="452"/>
        <w:gridCol w:w="423"/>
        <w:gridCol w:w="467"/>
        <w:gridCol w:w="527"/>
        <w:gridCol w:w="1285"/>
        <w:gridCol w:w="394"/>
        <w:gridCol w:w="949"/>
        <w:gridCol w:w="876"/>
        <w:gridCol w:w="920"/>
        <w:gridCol w:w="978"/>
        <w:gridCol w:w="934"/>
        <w:gridCol w:w="818"/>
      </w:tblGrid>
      <w:tr w:rsidR="00A2588D" w14:paraId="0991AB30" w14:textId="77777777" w:rsidTr="00A2588D">
        <w:trPr>
          <w:jc w:val="center"/>
        </w:trPr>
        <w:tc>
          <w:tcPr>
            <w:tcW w:w="467" w:type="dxa"/>
            <w:tcBorders>
              <w:top w:val="single" w:sz="4" w:space="0" w:color="auto"/>
              <w:left w:val="single" w:sz="4" w:space="0" w:color="auto"/>
              <w:bottom w:val="nil"/>
              <w:right w:val="single" w:sz="4" w:space="0" w:color="auto"/>
            </w:tcBorders>
            <w:hideMark/>
          </w:tcPr>
          <w:p w14:paraId="72CEAA69"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w:t>
            </w:r>
          </w:p>
          <w:p w14:paraId="7D6C786D"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მოედ.</w:t>
            </w:r>
          </w:p>
        </w:tc>
        <w:tc>
          <w:tcPr>
            <w:tcW w:w="423" w:type="dxa"/>
            <w:tcBorders>
              <w:top w:val="single" w:sz="4" w:space="0" w:color="auto"/>
              <w:left w:val="single" w:sz="4" w:space="0" w:color="auto"/>
              <w:bottom w:val="nil"/>
              <w:right w:val="single" w:sz="4" w:space="0" w:color="auto"/>
            </w:tcBorders>
            <w:hideMark/>
          </w:tcPr>
          <w:p w14:paraId="4554D838"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w:t>
            </w:r>
          </w:p>
          <w:p w14:paraId="62F7C877"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საამქ.</w:t>
            </w:r>
          </w:p>
        </w:tc>
        <w:tc>
          <w:tcPr>
            <w:tcW w:w="452" w:type="dxa"/>
            <w:tcBorders>
              <w:top w:val="single" w:sz="4" w:space="0" w:color="auto"/>
              <w:left w:val="single" w:sz="4" w:space="0" w:color="auto"/>
              <w:bottom w:val="nil"/>
              <w:right w:val="single" w:sz="4" w:space="0" w:color="auto"/>
            </w:tcBorders>
            <w:hideMark/>
          </w:tcPr>
          <w:p w14:paraId="56D25B31"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w:t>
            </w:r>
          </w:p>
          <w:p w14:paraId="5F013819"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წყაროს</w:t>
            </w:r>
          </w:p>
        </w:tc>
        <w:tc>
          <w:tcPr>
            <w:tcW w:w="423" w:type="dxa"/>
            <w:tcBorders>
              <w:top w:val="single" w:sz="4" w:space="0" w:color="auto"/>
              <w:left w:val="single" w:sz="4" w:space="0" w:color="auto"/>
              <w:bottom w:val="nil"/>
              <w:right w:val="single" w:sz="4" w:space="0" w:color="auto"/>
            </w:tcBorders>
            <w:hideMark/>
          </w:tcPr>
          <w:p w14:paraId="4CD1F3FE"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ტიპი</w:t>
            </w:r>
          </w:p>
        </w:tc>
        <w:tc>
          <w:tcPr>
            <w:tcW w:w="467" w:type="dxa"/>
            <w:tcBorders>
              <w:top w:val="single" w:sz="4" w:space="0" w:color="auto"/>
              <w:left w:val="single" w:sz="4" w:space="0" w:color="auto"/>
              <w:bottom w:val="nil"/>
              <w:right w:val="single" w:sz="4" w:space="0" w:color="auto"/>
            </w:tcBorders>
            <w:hideMark/>
          </w:tcPr>
          <w:p w14:paraId="2D8A3A1B"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აღრიცხვა</w:t>
            </w:r>
          </w:p>
        </w:tc>
        <w:tc>
          <w:tcPr>
            <w:tcW w:w="525" w:type="dxa"/>
            <w:tcBorders>
              <w:top w:val="single" w:sz="4" w:space="0" w:color="auto"/>
              <w:left w:val="single" w:sz="4" w:space="0" w:color="auto"/>
              <w:bottom w:val="nil"/>
              <w:right w:val="single" w:sz="4" w:space="0" w:color="auto"/>
            </w:tcBorders>
            <w:hideMark/>
          </w:tcPr>
          <w:p w14:paraId="2AE3E7B1"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კოდი</w:t>
            </w:r>
          </w:p>
          <w:p w14:paraId="043C2887"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в</w:t>
            </w:r>
            <w:r>
              <w:rPr>
                <w:rFonts w:ascii="Sylfaen" w:hAnsi="Sylfaen" w:cs="Arial"/>
                <w:b/>
                <w:bCs/>
                <w:sz w:val="16"/>
                <w:szCs w:val="16"/>
                <w:lang w:val="ka-GE"/>
              </w:rPr>
              <w:t>-</w:t>
            </w:r>
            <w:r>
              <w:rPr>
                <w:rFonts w:ascii="Sylfaen" w:hAnsi="Sylfaen"/>
                <w:b/>
                <w:bCs/>
                <w:sz w:val="16"/>
                <w:szCs w:val="16"/>
                <w:lang w:val="ka-GE"/>
              </w:rPr>
              <w:t>ва</w:t>
            </w:r>
          </w:p>
        </w:tc>
        <w:tc>
          <w:tcPr>
            <w:tcW w:w="1285" w:type="dxa"/>
            <w:tcBorders>
              <w:top w:val="single" w:sz="4" w:space="0" w:color="auto"/>
              <w:left w:val="single" w:sz="4" w:space="0" w:color="auto"/>
              <w:bottom w:val="nil"/>
              <w:right w:val="single" w:sz="4" w:space="0" w:color="auto"/>
            </w:tcBorders>
            <w:hideMark/>
          </w:tcPr>
          <w:p w14:paraId="12EB7180"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გაფრქვევა</w:t>
            </w:r>
          </w:p>
          <w:p w14:paraId="6D6E06A7"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(გ/წმ)</w:t>
            </w:r>
          </w:p>
        </w:tc>
        <w:tc>
          <w:tcPr>
            <w:tcW w:w="394" w:type="dxa"/>
            <w:tcBorders>
              <w:top w:val="single" w:sz="4" w:space="0" w:color="auto"/>
              <w:left w:val="single" w:sz="4" w:space="0" w:color="auto"/>
              <w:bottom w:val="nil"/>
              <w:right w:val="single" w:sz="4" w:space="0" w:color="auto"/>
            </w:tcBorders>
            <w:hideMark/>
          </w:tcPr>
          <w:p w14:paraId="310215A0"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F</w:t>
            </w:r>
          </w:p>
        </w:tc>
        <w:tc>
          <w:tcPr>
            <w:tcW w:w="2745" w:type="dxa"/>
            <w:gridSpan w:val="3"/>
            <w:tcBorders>
              <w:top w:val="single" w:sz="4" w:space="0" w:color="auto"/>
              <w:left w:val="single" w:sz="4" w:space="0" w:color="auto"/>
              <w:bottom w:val="single" w:sz="4" w:space="0" w:color="auto"/>
              <w:right w:val="single" w:sz="4" w:space="0" w:color="auto"/>
            </w:tcBorders>
            <w:hideMark/>
          </w:tcPr>
          <w:p w14:paraId="380476C3"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ზაფხ.</w:t>
            </w:r>
          </w:p>
        </w:tc>
        <w:tc>
          <w:tcPr>
            <w:tcW w:w="2730" w:type="dxa"/>
            <w:gridSpan w:val="3"/>
            <w:tcBorders>
              <w:top w:val="single" w:sz="4" w:space="0" w:color="auto"/>
              <w:left w:val="single" w:sz="4" w:space="0" w:color="auto"/>
              <w:bottom w:val="single" w:sz="4" w:space="0" w:color="auto"/>
              <w:right w:val="single" w:sz="4" w:space="0" w:color="auto"/>
            </w:tcBorders>
            <w:hideMark/>
          </w:tcPr>
          <w:p w14:paraId="1E4CF64D"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ზამთ.</w:t>
            </w:r>
          </w:p>
        </w:tc>
      </w:tr>
      <w:tr w:rsidR="00A2588D" w14:paraId="0F82EE7E" w14:textId="77777777" w:rsidTr="00A2588D">
        <w:trPr>
          <w:jc w:val="center"/>
        </w:trPr>
        <w:tc>
          <w:tcPr>
            <w:tcW w:w="467" w:type="dxa"/>
            <w:tcBorders>
              <w:top w:val="nil"/>
              <w:left w:val="single" w:sz="4" w:space="0" w:color="auto"/>
              <w:bottom w:val="single" w:sz="4" w:space="0" w:color="auto"/>
              <w:right w:val="single" w:sz="4" w:space="0" w:color="auto"/>
            </w:tcBorders>
          </w:tcPr>
          <w:p w14:paraId="3461014B"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423" w:type="dxa"/>
            <w:tcBorders>
              <w:top w:val="nil"/>
              <w:left w:val="single" w:sz="4" w:space="0" w:color="auto"/>
              <w:bottom w:val="single" w:sz="4" w:space="0" w:color="auto"/>
              <w:right w:val="single" w:sz="4" w:space="0" w:color="auto"/>
            </w:tcBorders>
          </w:tcPr>
          <w:p w14:paraId="087B5E36"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452" w:type="dxa"/>
            <w:tcBorders>
              <w:top w:val="nil"/>
              <w:left w:val="single" w:sz="4" w:space="0" w:color="auto"/>
              <w:bottom w:val="single" w:sz="4" w:space="0" w:color="auto"/>
              <w:right w:val="single" w:sz="4" w:space="0" w:color="auto"/>
            </w:tcBorders>
          </w:tcPr>
          <w:p w14:paraId="7FD9E76C"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423" w:type="dxa"/>
            <w:tcBorders>
              <w:top w:val="nil"/>
              <w:left w:val="single" w:sz="4" w:space="0" w:color="auto"/>
              <w:bottom w:val="single" w:sz="4" w:space="0" w:color="auto"/>
              <w:right w:val="single" w:sz="4" w:space="0" w:color="auto"/>
            </w:tcBorders>
          </w:tcPr>
          <w:p w14:paraId="65902812"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467" w:type="dxa"/>
            <w:tcBorders>
              <w:top w:val="nil"/>
              <w:left w:val="single" w:sz="4" w:space="0" w:color="auto"/>
              <w:bottom w:val="single" w:sz="4" w:space="0" w:color="auto"/>
              <w:right w:val="single" w:sz="4" w:space="0" w:color="auto"/>
            </w:tcBorders>
          </w:tcPr>
          <w:p w14:paraId="665E34E5"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525" w:type="dxa"/>
            <w:tcBorders>
              <w:top w:val="nil"/>
              <w:left w:val="single" w:sz="4" w:space="0" w:color="auto"/>
              <w:bottom w:val="single" w:sz="4" w:space="0" w:color="auto"/>
              <w:right w:val="single" w:sz="4" w:space="0" w:color="auto"/>
            </w:tcBorders>
          </w:tcPr>
          <w:p w14:paraId="472026C8"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1285" w:type="dxa"/>
            <w:tcBorders>
              <w:top w:val="nil"/>
              <w:left w:val="single" w:sz="4" w:space="0" w:color="auto"/>
              <w:bottom w:val="single" w:sz="4" w:space="0" w:color="auto"/>
              <w:right w:val="single" w:sz="4" w:space="0" w:color="auto"/>
            </w:tcBorders>
          </w:tcPr>
          <w:p w14:paraId="377CAE95"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394" w:type="dxa"/>
            <w:tcBorders>
              <w:top w:val="nil"/>
              <w:left w:val="single" w:sz="4" w:space="0" w:color="auto"/>
              <w:bottom w:val="single" w:sz="4" w:space="0" w:color="auto"/>
              <w:right w:val="single" w:sz="4" w:space="0" w:color="auto"/>
            </w:tcBorders>
          </w:tcPr>
          <w:p w14:paraId="4542617F"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949" w:type="dxa"/>
            <w:tcBorders>
              <w:top w:val="single" w:sz="4" w:space="0" w:color="auto"/>
              <w:left w:val="single" w:sz="4" w:space="0" w:color="auto"/>
              <w:bottom w:val="single" w:sz="4" w:space="0" w:color="auto"/>
              <w:right w:val="single" w:sz="4" w:space="0" w:color="auto"/>
            </w:tcBorders>
            <w:hideMark/>
          </w:tcPr>
          <w:p w14:paraId="1EA31709"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Cm/</w:t>
            </w:r>
            <w:r>
              <w:rPr>
                <w:rFonts w:ascii="Sylfaen" w:hAnsi="Sylfaen" w:cs="Arial"/>
                <w:b/>
                <w:bCs/>
                <w:sz w:val="16"/>
                <w:szCs w:val="16"/>
                <w:lang w:val="ka-GE"/>
              </w:rPr>
              <w:t>ზდკ</w:t>
            </w:r>
          </w:p>
        </w:tc>
        <w:tc>
          <w:tcPr>
            <w:tcW w:w="876" w:type="dxa"/>
            <w:tcBorders>
              <w:top w:val="single" w:sz="4" w:space="0" w:color="auto"/>
              <w:left w:val="single" w:sz="4" w:space="0" w:color="auto"/>
              <w:bottom w:val="single" w:sz="4" w:space="0" w:color="auto"/>
              <w:right w:val="single" w:sz="4" w:space="0" w:color="auto"/>
            </w:tcBorders>
            <w:hideMark/>
          </w:tcPr>
          <w:p w14:paraId="71B77C33"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Xm</w:t>
            </w:r>
          </w:p>
        </w:tc>
        <w:tc>
          <w:tcPr>
            <w:tcW w:w="919" w:type="dxa"/>
            <w:tcBorders>
              <w:top w:val="single" w:sz="4" w:space="0" w:color="auto"/>
              <w:left w:val="single" w:sz="4" w:space="0" w:color="auto"/>
              <w:bottom w:val="single" w:sz="4" w:space="0" w:color="auto"/>
              <w:right w:val="single" w:sz="4" w:space="0" w:color="auto"/>
            </w:tcBorders>
            <w:hideMark/>
          </w:tcPr>
          <w:p w14:paraId="272498C1"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Um</w:t>
            </w:r>
            <w:r>
              <w:rPr>
                <w:rFonts w:ascii="Sylfaen" w:hAnsi="Sylfaen" w:cs="Arial"/>
                <w:b/>
                <w:bCs/>
                <w:sz w:val="16"/>
                <w:szCs w:val="16"/>
                <w:lang w:val="ka-GE"/>
              </w:rPr>
              <w:t xml:space="preserve"> (მ/წმ)</w:t>
            </w:r>
          </w:p>
        </w:tc>
        <w:tc>
          <w:tcPr>
            <w:tcW w:w="978" w:type="dxa"/>
            <w:tcBorders>
              <w:top w:val="single" w:sz="4" w:space="0" w:color="auto"/>
              <w:left w:val="single" w:sz="4" w:space="0" w:color="auto"/>
              <w:bottom w:val="single" w:sz="4" w:space="0" w:color="auto"/>
              <w:right w:val="single" w:sz="4" w:space="0" w:color="auto"/>
            </w:tcBorders>
            <w:hideMark/>
          </w:tcPr>
          <w:p w14:paraId="4204F111"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Cm/</w:t>
            </w:r>
            <w:r>
              <w:rPr>
                <w:rFonts w:ascii="Sylfaen" w:hAnsi="Sylfaen" w:cs="Arial"/>
                <w:b/>
                <w:bCs/>
                <w:sz w:val="16"/>
                <w:szCs w:val="16"/>
                <w:lang w:val="ka-GE"/>
              </w:rPr>
              <w:t>ზდკ</w:t>
            </w:r>
          </w:p>
        </w:tc>
        <w:tc>
          <w:tcPr>
            <w:tcW w:w="934" w:type="dxa"/>
            <w:tcBorders>
              <w:top w:val="single" w:sz="4" w:space="0" w:color="auto"/>
              <w:left w:val="single" w:sz="4" w:space="0" w:color="auto"/>
              <w:bottom w:val="single" w:sz="4" w:space="0" w:color="auto"/>
              <w:right w:val="single" w:sz="4" w:space="0" w:color="auto"/>
            </w:tcBorders>
            <w:hideMark/>
          </w:tcPr>
          <w:p w14:paraId="52A0E18E"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Xm</w:t>
            </w:r>
          </w:p>
        </w:tc>
        <w:tc>
          <w:tcPr>
            <w:tcW w:w="817" w:type="dxa"/>
            <w:tcBorders>
              <w:top w:val="single" w:sz="4" w:space="0" w:color="auto"/>
              <w:left w:val="single" w:sz="4" w:space="0" w:color="auto"/>
              <w:bottom w:val="single" w:sz="4" w:space="0" w:color="auto"/>
              <w:right w:val="single" w:sz="4" w:space="0" w:color="auto"/>
            </w:tcBorders>
            <w:hideMark/>
          </w:tcPr>
          <w:p w14:paraId="00F9F043"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Um</w:t>
            </w:r>
            <w:r>
              <w:rPr>
                <w:rFonts w:ascii="Sylfaen" w:hAnsi="Sylfaen" w:cs="Arial"/>
                <w:b/>
                <w:bCs/>
                <w:sz w:val="16"/>
                <w:szCs w:val="16"/>
                <w:lang w:val="ka-GE"/>
              </w:rPr>
              <w:t xml:space="preserve"> (მ/წმ)</w:t>
            </w:r>
          </w:p>
        </w:tc>
      </w:tr>
      <w:tr w:rsidR="00A2588D" w14:paraId="64EC04E9"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2D041B7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119D577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5C3236A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5</w:t>
            </w:r>
          </w:p>
        </w:tc>
        <w:tc>
          <w:tcPr>
            <w:tcW w:w="423" w:type="dxa"/>
            <w:tcBorders>
              <w:top w:val="single" w:sz="4" w:space="0" w:color="auto"/>
              <w:left w:val="single" w:sz="4" w:space="0" w:color="auto"/>
              <w:bottom w:val="single" w:sz="4" w:space="0" w:color="auto"/>
              <w:right w:val="single" w:sz="4" w:space="0" w:color="auto"/>
            </w:tcBorders>
            <w:hideMark/>
          </w:tcPr>
          <w:p w14:paraId="0D679DD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467" w:type="dxa"/>
            <w:tcBorders>
              <w:top w:val="single" w:sz="4" w:space="0" w:color="auto"/>
              <w:left w:val="single" w:sz="4" w:space="0" w:color="auto"/>
              <w:bottom w:val="single" w:sz="4" w:space="0" w:color="auto"/>
              <w:right w:val="single" w:sz="4" w:space="0" w:color="auto"/>
            </w:tcBorders>
            <w:hideMark/>
          </w:tcPr>
          <w:p w14:paraId="5B200CB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7795864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0301</w:t>
            </w:r>
          </w:p>
        </w:tc>
        <w:tc>
          <w:tcPr>
            <w:tcW w:w="1285" w:type="dxa"/>
            <w:tcBorders>
              <w:top w:val="single" w:sz="4" w:space="0" w:color="auto"/>
              <w:left w:val="single" w:sz="4" w:space="0" w:color="auto"/>
              <w:bottom w:val="single" w:sz="4" w:space="0" w:color="auto"/>
              <w:right w:val="single" w:sz="4" w:space="0" w:color="auto"/>
            </w:tcBorders>
            <w:hideMark/>
          </w:tcPr>
          <w:p w14:paraId="3E4C2C0D"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0327924</w:t>
            </w:r>
          </w:p>
        </w:tc>
        <w:tc>
          <w:tcPr>
            <w:tcW w:w="394" w:type="dxa"/>
            <w:tcBorders>
              <w:top w:val="single" w:sz="4" w:space="0" w:color="auto"/>
              <w:left w:val="single" w:sz="4" w:space="0" w:color="auto"/>
              <w:bottom w:val="single" w:sz="4" w:space="0" w:color="auto"/>
              <w:right w:val="single" w:sz="4" w:space="0" w:color="auto"/>
            </w:tcBorders>
            <w:hideMark/>
          </w:tcPr>
          <w:p w14:paraId="0B42D0A8"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1D4B8005"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6904</w:t>
            </w:r>
          </w:p>
        </w:tc>
        <w:tc>
          <w:tcPr>
            <w:tcW w:w="876" w:type="dxa"/>
            <w:tcBorders>
              <w:top w:val="single" w:sz="4" w:space="0" w:color="auto"/>
              <w:left w:val="single" w:sz="4" w:space="0" w:color="auto"/>
              <w:bottom w:val="single" w:sz="4" w:space="0" w:color="auto"/>
              <w:right w:val="single" w:sz="4" w:space="0" w:color="auto"/>
            </w:tcBorders>
            <w:hideMark/>
          </w:tcPr>
          <w:p w14:paraId="747B0220"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2E0D7C50"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c>
          <w:tcPr>
            <w:tcW w:w="978" w:type="dxa"/>
            <w:tcBorders>
              <w:top w:val="single" w:sz="4" w:space="0" w:color="auto"/>
              <w:left w:val="single" w:sz="4" w:space="0" w:color="auto"/>
              <w:bottom w:val="single" w:sz="4" w:space="0" w:color="auto"/>
              <w:right w:val="single" w:sz="4" w:space="0" w:color="auto"/>
            </w:tcBorders>
            <w:hideMark/>
          </w:tcPr>
          <w:p w14:paraId="5666D81C"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6904</w:t>
            </w:r>
          </w:p>
        </w:tc>
        <w:tc>
          <w:tcPr>
            <w:tcW w:w="934" w:type="dxa"/>
            <w:tcBorders>
              <w:top w:val="single" w:sz="4" w:space="0" w:color="auto"/>
              <w:left w:val="single" w:sz="4" w:space="0" w:color="auto"/>
              <w:bottom w:val="single" w:sz="4" w:space="0" w:color="auto"/>
              <w:right w:val="single" w:sz="4" w:space="0" w:color="auto"/>
            </w:tcBorders>
            <w:hideMark/>
          </w:tcPr>
          <w:p w14:paraId="427D9C37"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817" w:type="dxa"/>
            <w:tcBorders>
              <w:top w:val="single" w:sz="4" w:space="0" w:color="auto"/>
              <w:left w:val="single" w:sz="4" w:space="0" w:color="auto"/>
              <w:bottom w:val="single" w:sz="4" w:space="0" w:color="auto"/>
              <w:right w:val="single" w:sz="4" w:space="0" w:color="auto"/>
            </w:tcBorders>
            <w:hideMark/>
          </w:tcPr>
          <w:p w14:paraId="67DEAEFD"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r>
      <w:tr w:rsidR="00A2588D" w14:paraId="00234FB2"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4D85592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0FBA065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6E91CA8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5</w:t>
            </w:r>
          </w:p>
        </w:tc>
        <w:tc>
          <w:tcPr>
            <w:tcW w:w="423" w:type="dxa"/>
            <w:tcBorders>
              <w:top w:val="single" w:sz="4" w:space="0" w:color="auto"/>
              <w:left w:val="single" w:sz="4" w:space="0" w:color="auto"/>
              <w:bottom w:val="single" w:sz="4" w:space="0" w:color="auto"/>
              <w:right w:val="single" w:sz="4" w:space="0" w:color="auto"/>
            </w:tcBorders>
            <w:hideMark/>
          </w:tcPr>
          <w:p w14:paraId="6A14CE6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467" w:type="dxa"/>
            <w:tcBorders>
              <w:top w:val="single" w:sz="4" w:space="0" w:color="auto"/>
              <w:left w:val="single" w:sz="4" w:space="0" w:color="auto"/>
              <w:bottom w:val="single" w:sz="4" w:space="0" w:color="auto"/>
              <w:right w:val="single" w:sz="4" w:space="0" w:color="auto"/>
            </w:tcBorders>
            <w:hideMark/>
          </w:tcPr>
          <w:p w14:paraId="3B401CD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259E430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0330</w:t>
            </w:r>
          </w:p>
        </w:tc>
        <w:tc>
          <w:tcPr>
            <w:tcW w:w="1285" w:type="dxa"/>
            <w:tcBorders>
              <w:top w:val="single" w:sz="4" w:space="0" w:color="auto"/>
              <w:left w:val="single" w:sz="4" w:space="0" w:color="auto"/>
              <w:bottom w:val="single" w:sz="4" w:space="0" w:color="auto"/>
              <w:right w:val="single" w:sz="4" w:space="0" w:color="auto"/>
            </w:tcBorders>
            <w:hideMark/>
          </w:tcPr>
          <w:p w14:paraId="437D8FB3"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0033200</w:t>
            </w:r>
          </w:p>
        </w:tc>
        <w:tc>
          <w:tcPr>
            <w:tcW w:w="394" w:type="dxa"/>
            <w:tcBorders>
              <w:top w:val="single" w:sz="4" w:space="0" w:color="auto"/>
              <w:left w:val="single" w:sz="4" w:space="0" w:color="auto"/>
              <w:bottom w:val="single" w:sz="4" w:space="0" w:color="auto"/>
              <w:right w:val="single" w:sz="4" w:space="0" w:color="auto"/>
            </w:tcBorders>
            <w:hideMark/>
          </w:tcPr>
          <w:p w14:paraId="42FE960D"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3BCF4A43"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0280</w:t>
            </w:r>
          </w:p>
        </w:tc>
        <w:tc>
          <w:tcPr>
            <w:tcW w:w="876" w:type="dxa"/>
            <w:tcBorders>
              <w:top w:val="single" w:sz="4" w:space="0" w:color="auto"/>
              <w:left w:val="single" w:sz="4" w:space="0" w:color="auto"/>
              <w:bottom w:val="single" w:sz="4" w:space="0" w:color="auto"/>
              <w:right w:val="single" w:sz="4" w:space="0" w:color="auto"/>
            </w:tcBorders>
            <w:hideMark/>
          </w:tcPr>
          <w:p w14:paraId="1A60C881"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0DF8C061"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c>
          <w:tcPr>
            <w:tcW w:w="978" w:type="dxa"/>
            <w:tcBorders>
              <w:top w:val="single" w:sz="4" w:space="0" w:color="auto"/>
              <w:left w:val="single" w:sz="4" w:space="0" w:color="auto"/>
              <w:bottom w:val="single" w:sz="4" w:space="0" w:color="auto"/>
              <w:right w:val="single" w:sz="4" w:space="0" w:color="auto"/>
            </w:tcBorders>
            <w:hideMark/>
          </w:tcPr>
          <w:p w14:paraId="1AF8EF9B"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0280</w:t>
            </w:r>
          </w:p>
        </w:tc>
        <w:tc>
          <w:tcPr>
            <w:tcW w:w="934" w:type="dxa"/>
            <w:tcBorders>
              <w:top w:val="single" w:sz="4" w:space="0" w:color="auto"/>
              <w:left w:val="single" w:sz="4" w:space="0" w:color="auto"/>
              <w:bottom w:val="single" w:sz="4" w:space="0" w:color="auto"/>
              <w:right w:val="single" w:sz="4" w:space="0" w:color="auto"/>
            </w:tcBorders>
            <w:hideMark/>
          </w:tcPr>
          <w:p w14:paraId="5B0CC0C8"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817" w:type="dxa"/>
            <w:tcBorders>
              <w:top w:val="single" w:sz="4" w:space="0" w:color="auto"/>
              <w:left w:val="single" w:sz="4" w:space="0" w:color="auto"/>
              <w:bottom w:val="single" w:sz="4" w:space="0" w:color="auto"/>
              <w:right w:val="single" w:sz="4" w:space="0" w:color="auto"/>
            </w:tcBorders>
            <w:hideMark/>
          </w:tcPr>
          <w:p w14:paraId="134CB0B2"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r>
      <w:tr w:rsidR="00A2588D" w14:paraId="28EBCEFD"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65B5078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6CEE91C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175C197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6</w:t>
            </w:r>
          </w:p>
        </w:tc>
        <w:tc>
          <w:tcPr>
            <w:tcW w:w="423" w:type="dxa"/>
            <w:tcBorders>
              <w:top w:val="single" w:sz="4" w:space="0" w:color="auto"/>
              <w:left w:val="single" w:sz="4" w:space="0" w:color="auto"/>
              <w:bottom w:val="single" w:sz="4" w:space="0" w:color="auto"/>
              <w:right w:val="single" w:sz="4" w:space="0" w:color="auto"/>
            </w:tcBorders>
            <w:hideMark/>
          </w:tcPr>
          <w:p w14:paraId="434A133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467" w:type="dxa"/>
            <w:tcBorders>
              <w:top w:val="single" w:sz="4" w:space="0" w:color="auto"/>
              <w:left w:val="single" w:sz="4" w:space="0" w:color="auto"/>
              <w:bottom w:val="single" w:sz="4" w:space="0" w:color="auto"/>
              <w:right w:val="single" w:sz="4" w:space="0" w:color="auto"/>
            </w:tcBorders>
            <w:hideMark/>
          </w:tcPr>
          <w:p w14:paraId="0BCF2FA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2663958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0301</w:t>
            </w:r>
          </w:p>
        </w:tc>
        <w:tc>
          <w:tcPr>
            <w:tcW w:w="1285" w:type="dxa"/>
            <w:tcBorders>
              <w:top w:val="single" w:sz="4" w:space="0" w:color="auto"/>
              <w:left w:val="single" w:sz="4" w:space="0" w:color="auto"/>
              <w:bottom w:val="single" w:sz="4" w:space="0" w:color="auto"/>
              <w:right w:val="single" w:sz="4" w:space="0" w:color="auto"/>
            </w:tcBorders>
            <w:hideMark/>
          </w:tcPr>
          <w:p w14:paraId="556CF612"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0327924</w:t>
            </w:r>
          </w:p>
        </w:tc>
        <w:tc>
          <w:tcPr>
            <w:tcW w:w="394" w:type="dxa"/>
            <w:tcBorders>
              <w:top w:val="single" w:sz="4" w:space="0" w:color="auto"/>
              <w:left w:val="single" w:sz="4" w:space="0" w:color="auto"/>
              <w:bottom w:val="single" w:sz="4" w:space="0" w:color="auto"/>
              <w:right w:val="single" w:sz="4" w:space="0" w:color="auto"/>
            </w:tcBorders>
            <w:hideMark/>
          </w:tcPr>
          <w:p w14:paraId="5029050D"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50B3AEDF"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6904</w:t>
            </w:r>
          </w:p>
        </w:tc>
        <w:tc>
          <w:tcPr>
            <w:tcW w:w="876" w:type="dxa"/>
            <w:tcBorders>
              <w:top w:val="single" w:sz="4" w:space="0" w:color="auto"/>
              <w:left w:val="single" w:sz="4" w:space="0" w:color="auto"/>
              <w:bottom w:val="single" w:sz="4" w:space="0" w:color="auto"/>
              <w:right w:val="single" w:sz="4" w:space="0" w:color="auto"/>
            </w:tcBorders>
            <w:hideMark/>
          </w:tcPr>
          <w:p w14:paraId="1848711D"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2E281FAE"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c>
          <w:tcPr>
            <w:tcW w:w="978" w:type="dxa"/>
            <w:tcBorders>
              <w:top w:val="single" w:sz="4" w:space="0" w:color="auto"/>
              <w:left w:val="single" w:sz="4" w:space="0" w:color="auto"/>
              <w:bottom w:val="single" w:sz="4" w:space="0" w:color="auto"/>
              <w:right w:val="single" w:sz="4" w:space="0" w:color="auto"/>
            </w:tcBorders>
            <w:hideMark/>
          </w:tcPr>
          <w:p w14:paraId="54542E40"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6904</w:t>
            </w:r>
          </w:p>
        </w:tc>
        <w:tc>
          <w:tcPr>
            <w:tcW w:w="934" w:type="dxa"/>
            <w:tcBorders>
              <w:top w:val="single" w:sz="4" w:space="0" w:color="auto"/>
              <w:left w:val="single" w:sz="4" w:space="0" w:color="auto"/>
              <w:bottom w:val="single" w:sz="4" w:space="0" w:color="auto"/>
              <w:right w:val="single" w:sz="4" w:space="0" w:color="auto"/>
            </w:tcBorders>
            <w:hideMark/>
          </w:tcPr>
          <w:p w14:paraId="3C7F3780"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817" w:type="dxa"/>
            <w:tcBorders>
              <w:top w:val="single" w:sz="4" w:space="0" w:color="auto"/>
              <w:left w:val="single" w:sz="4" w:space="0" w:color="auto"/>
              <w:bottom w:val="single" w:sz="4" w:space="0" w:color="auto"/>
              <w:right w:val="single" w:sz="4" w:space="0" w:color="auto"/>
            </w:tcBorders>
            <w:hideMark/>
          </w:tcPr>
          <w:p w14:paraId="7780F2B4"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r>
      <w:tr w:rsidR="00A2588D" w14:paraId="0FB722EA"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7970937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6ED5B74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17E545F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6</w:t>
            </w:r>
          </w:p>
        </w:tc>
        <w:tc>
          <w:tcPr>
            <w:tcW w:w="423" w:type="dxa"/>
            <w:tcBorders>
              <w:top w:val="single" w:sz="4" w:space="0" w:color="auto"/>
              <w:left w:val="single" w:sz="4" w:space="0" w:color="auto"/>
              <w:bottom w:val="single" w:sz="4" w:space="0" w:color="auto"/>
              <w:right w:val="single" w:sz="4" w:space="0" w:color="auto"/>
            </w:tcBorders>
            <w:hideMark/>
          </w:tcPr>
          <w:p w14:paraId="51B9AB2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467" w:type="dxa"/>
            <w:tcBorders>
              <w:top w:val="single" w:sz="4" w:space="0" w:color="auto"/>
              <w:left w:val="single" w:sz="4" w:space="0" w:color="auto"/>
              <w:bottom w:val="single" w:sz="4" w:space="0" w:color="auto"/>
              <w:right w:val="single" w:sz="4" w:space="0" w:color="auto"/>
            </w:tcBorders>
            <w:hideMark/>
          </w:tcPr>
          <w:p w14:paraId="5AE71D1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6F5461E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0330</w:t>
            </w:r>
          </w:p>
        </w:tc>
        <w:tc>
          <w:tcPr>
            <w:tcW w:w="1285" w:type="dxa"/>
            <w:tcBorders>
              <w:top w:val="single" w:sz="4" w:space="0" w:color="auto"/>
              <w:left w:val="single" w:sz="4" w:space="0" w:color="auto"/>
              <w:bottom w:val="single" w:sz="4" w:space="0" w:color="auto"/>
              <w:right w:val="single" w:sz="4" w:space="0" w:color="auto"/>
            </w:tcBorders>
            <w:hideMark/>
          </w:tcPr>
          <w:p w14:paraId="133CFDF7"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0033200</w:t>
            </w:r>
          </w:p>
        </w:tc>
        <w:tc>
          <w:tcPr>
            <w:tcW w:w="394" w:type="dxa"/>
            <w:tcBorders>
              <w:top w:val="single" w:sz="4" w:space="0" w:color="auto"/>
              <w:left w:val="single" w:sz="4" w:space="0" w:color="auto"/>
              <w:bottom w:val="single" w:sz="4" w:space="0" w:color="auto"/>
              <w:right w:val="single" w:sz="4" w:space="0" w:color="auto"/>
            </w:tcBorders>
            <w:hideMark/>
          </w:tcPr>
          <w:p w14:paraId="25E7A9CD"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4369D25F"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0280</w:t>
            </w:r>
          </w:p>
        </w:tc>
        <w:tc>
          <w:tcPr>
            <w:tcW w:w="876" w:type="dxa"/>
            <w:tcBorders>
              <w:top w:val="single" w:sz="4" w:space="0" w:color="auto"/>
              <w:left w:val="single" w:sz="4" w:space="0" w:color="auto"/>
              <w:bottom w:val="single" w:sz="4" w:space="0" w:color="auto"/>
              <w:right w:val="single" w:sz="4" w:space="0" w:color="auto"/>
            </w:tcBorders>
            <w:hideMark/>
          </w:tcPr>
          <w:p w14:paraId="4DB8697E"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36B3DE97"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c>
          <w:tcPr>
            <w:tcW w:w="978" w:type="dxa"/>
            <w:tcBorders>
              <w:top w:val="single" w:sz="4" w:space="0" w:color="auto"/>
              <w:left w:val="single" w:sz="4" w:space="0" w:color="auto"/>
              <w:bottom w:val="single" w:sz="4" w:space="0" w:color="auto"/>
              <w:right w:val="single" w:sz="4" w:space="0" w:color="auto"/>
            </w:tcBorders>
            <w:hideMark/>
          </w:tcPr>
          <w:p w14:paraId="2D6F1C33"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0280</w:t>
            </w:r>
          </w:p>
        </w:tc>
        <w:tc>
          <w:tcPr>
            <w:tcW w:w="934" w:type="dxa"/>
            <w:tcBorders>
              <w:top w:val="single" w:sz="4" w:space="0" w:color="auto"/>
              <w:left w:val="single" w:sz="4" w:space="0" w:color="auto"/>
              <w:bottom w:val="single" w:sz="4" w:space="0" w:color="auto"/>
              <w:right w:val="single" w:sz="4" w:space="0" w:color="auto"/>
            </w:tcBorders>
            <w:hideMark/>
          </w:tcPr>
          <w:p w14:paraId="1A99A619"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817" w:type="dxa"/>
            <w:tcBorders>
              <w:top w:val="single" w:sz="4" w:space="0" w:color="auto"/>
              <w:left w:val="single" w:sz="4" w:space="0" w:color="auto"/>
              <w:bottom w:val="single" w:sz="4" w:space="0" w:color="auto"/>
              <w:right w:val="single" w:sz="4" w:space="0" w:color="auto"/>
            </w:tcBorders>
            <w:hideMark/>
          </w:tcPr>
          <w:p w14:paraId="1385D132"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r>
      <w:tr w:rsidR="00A2588D" w14:paraId="3474A62E"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7FC323E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7C44436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61DAD08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8</w:t>
            </w:r>
          </w:p>
        </w:tc>
        <w:tc>
          <w:tcPr>
            <w:tcW w:w="423" w:type="dxa"/>
            <w:tcBorders>
              <w:top w:val="single" w:sz="4" w:space="0" w:color="auto"/>
              <w:left w:val="single" w:sz="4" w:space="0" w:color="auto"/>
              <w:bottom w:val="single" w:sz="4" w:space="0" w:color="auto"/>
              <w:right w:val="single" w:sz="4" w:space="0" w:color="auto"/>
            </w:tcBorders>
            <w:hideMark/>
          </w:tcPr>
          <w:p w14:paraId="227E027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467" w:type="dxa"/>
            <w:tcBorders>
              <w:top w:val="single" w:sz="4" w:space="0" w:color="auto"/>
              <w:left w:val="single" w:sz="4" w:space="0" w:color="auto"/>
              <w:bottom w:val="single" w:sz="4" w:space="0" w:color="auto"/>
              <w:right w:val="single" w:sz="4" w:space="0" w:color="auto"/>
            </w:tcBorders>
            <w:hideMark/>
          </w:tcPr>
          <w:p w14:paraId="57305C2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754C195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0301</w:t>
            </w:r>
          </w:p>
        </w:tc>
        <w:tc>
          <w:tcPr>
            <w:tcW w:w="1285" w:type="dxa"/>
            <w:tcBorders>
              <w:top w:val="single" w:sz="4" w:space="0" w:color="auto"/>
              <w:left w:val="single" w:sz="4" w:space="0" w:color="auto"/>
              <w:bottom w:val="single" w:sz="4" w:space="0" w:color="auto"/>
              <w:right w:val="single" w:sz="4" w:space="0" w:color="auto"/>
            </w:tcBorders>
            <w:hideMark/>
          </w:tcPr>
          <w:p w14:paraId="0375CC6C"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0457778</w:t>
            </w:r>
          </w:p>
        </w:tc>
        <w:tc>
          <w:tcPr>
            <w:tcW w:w="394" w:type="dxa"/>
            <w:tcBorders>
              <w:top w:val="single" w:sz="4" w:space="0" w:color="auto"/>
              <w:left w:val="single" w:sz="4" w:space="0" w:color="auto"/>
              <w:bottom w:val="single" w:sz="4" w:space="0" w:color="auto"/>
              <w:right w:val="single" w:sz="4" w:space="0" w:color="auto"/>
            </w:tcBorders>
            <w:hideMark/>
          </w:tcPr>
          <w:p w14:paraId="592FF139"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1F45F512"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2560</w:t>
            </w:r>
          </w:p>
        </w:tc>
        <w:tc>
          <w:tcPr>
            <w:tcW w:w="876" w:type="dxa"/>
            <w:tcBorders>
              <w:top w:val="single" w:sz="4" w:space="0" w:color="auto"/>
              <w:left w:val="single" w:sz="4" w:space="0" w:color="auto"/>
              <w:bottom w:val="single" w:sz="4" w:space="0" w:color="auto"/>
              <w:right w:val="single" w:sz="4" w:space="0" w:color="auto"/>
            </w:tcBorders>
            <w:hideMark/>
          </w:tcPr>
          <w:p w14:paraId="59D77374"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68</w:t>
            </w:r>
            <w:r>
              <w:rPr>
                <w:rFonts w:ascii="Sylfaen" w:hAnsi="Sylfaen" w:cs="Arial"/>
                <w:sz w:val="16"/>
                <w:szCs w:val="16"/>
                <w:lang w:val="ka-GE"/>
              </w:rPr>
              <w:t>,</w:t>
            </w:r>
            <w:r>
              <w:rPr>
                <w:rFonts w:ascii="Sylfaen" w:hAnsi="Sylfaen"/>
                <w:sz w:val="16"/>
                <w:szCs w:val="16"/>
                <w:lang w:val="ka-GE"/>
              </w:rPr>
              <w:t>79</w:t>
            </w:r>
          </w:p>
        </w:tc>
        <w:tc>
          <w:tcPr>
            <w:tcW w:w="919" w:type="dxa"/>
            <w:tcBorders>
              <w:top w:val="single" w:sz="4" w:space="0" w:color="auto"/>
              <w:left w:val="single" w:sz="4" w:space="0" w:color="auto"/>
              <w:bottom w:val="single" w:sz="4" w:space="0" w:color="auto"/>
              <w:right w:val="single" w:sz="4" w:space="0" w:color="auto"/>
            </w:tcBorders>
            <w:hideMark/>
          </w:tcPr>
          <w:p w14:paraId="397500A8"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w:t>
            </w:r>
            <w:r>
              <w:rPr>
                <w:rFonts w:ascii="Sylfaen" w:hAnsi="Sylfaen"/>
                <w:sz w:val="16"/>
                <w:szCs w:val="16"/>
                <w:lang w:val="ka-GE"/>
              </w:rPr>
              <w:t>9158</w:t>
            </w:r>
          </w:p>
        </w:tc>
        <w:tc>
          <w:tcPr>
            <w:tcW w:w="978" w:type="dxa"/>
            <w:tcBorders>
              <w:top w:val="single" w:sz="4" w:space="0" w:color="auto"/>
              <w:left w:val="single" w:sz="4" w:space="0" w:color="auto"/>
              <w:bottom w:val="single" w:sz="4" w:space="0" w:color="auto"/>
              <w:right w:val="single" w:sz="4" w:space="0" w:color="auto"/>
            </w:tcBorders>
            <w:hideMark/>
          </w:tcPr>
          <w:p w14:paraId="58A70CDD"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2527</w:t>
            </w:r>
          </w:p>
        </w:tc>
        <w:tc>
          <w:tcPr>
            <w:tcW w:w="934" w:type="dxa"/>
            <w:tcBorders>
              <w:top w:val="single" w:sz="4" w:space="0" w:color="auto"/>
              <w:left w:val="single" w:sz="4" w:space="0" w:color="auto"/>
              <w:bottom w:val="single" w:sz="4" w:space="0" w:color="auto"/>
              <w:right w:val="single" w:sz="4" w:space="0" w:color="auto"/>
            </w:tcBorders>
            <w:hideMark/>
          </w:tcPr>
          <w:p w14:paraId="1BA56057"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69</w:t>
            </w:r>
            <w:r>
              <w:rPr>
                <w:rFonts w:ascii="Sylfaen" w:hAnsi="Sylfaen" w:cs="Arial"/>
                <w:sz w:val="16"/>
                <w:szCs w:val="16"/>
                <w:lang w:val="ka-GE"/>
              </w:rPr>
              <w:t>,</w:t>
            </w:r>
            <w:r>
              <w:rPr>
                <w:rFonts w:ascii="Sylfaen" w:hAnsi="Sylfaen"/>
                <w:sz w:val="16"/>
                <w:szCs w:val="16"/>
                <w:lang w:val="ka-GE"/>
              </w:rPr>
              <w:t>99</w:t>
            </w:r>
          </w:p>
        </w:tc>
        <w:tc>
          <w:tcPr>
            <w:tcW w:w="817" w:type="dxa"/>
            <w:tcBorders>
              <w:top w:val="single" w:sz="4" w:space="0" w:color="auto"/>
              <w:left w:val="single" w:sz="4" w:space="0" w:color="auto"/>
              <w:bottom w:val="single" w:sz="4" w:space="0" w:color="auto"/>
              <w:right w:val="single" w:sz="4" w:space="0" w:color="auto"/>
            </w:tcBorders>
            <w:hideMark/>
          </w:tcPr>
          <w:p w14:paraId="326DAC38"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w:t>
            </w:r>
            <w:r>
              <w:rPr>
                <w:rFonts w:ascii="Sylfaen" w:hAnsi="Sylfaen"/>
                <w:sz w:val="16"/>
                <w:szCs w:val="16"/>
                <w:lang w:val="ka-GE"/>
              </w:rPr>
              <w:t>9640</w:t>
            </w:r>
          </w:p>
        </w:tc>
      </w:tr>
      <w:tr w:rsidR="00A2588D" w14:paraId="6505902A"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7A17F14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038FFDF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460EF08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8</w:t>
            </w:r>
          </w:p>
        </w:tc>
        <w:tc>
          <w:tcPr>
            <w:tcW w:w="423" w:type="dxa"/>
            <w:tcBorders>
              <w:top w:val="single" w:sz="4" w:space="0" w:color="auto"/>
              <w:left w:val="single" w:sz="4" w:space="0" w:color="auto"/>
              <w:bottom w:val="single" w:sz="4" w:space="0" w:color="auto"/>
              <w:right w:val="single" w:sz="4" w:space="0" w:color="auto"/>
            </w:tcBorders>
            <w:hideMark/>
          </w:tcPr>
          <w:p w14:paraId="462E584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467" w:type="dxa"/>
            <w:tcBorders>
              <w:top w:val="single" w:sz="4" w:space="0" w:color="auto"/>
              <w:left w:val="single" w:sz="4" w:space="0" w:color="auto"/>
              <w:bottom w:val="single" w:sz="4" w:space="0" w:color="auto"/>
              <w:right w:val="single" w:sz="4" w:space="0" w:color="auto"/>
            </w:tcBorders>
            <w:hideMark/>
          </w:tcPr>
          <w:p w14:paraId="7AFDE24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78DE9DF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0330</w:t>
            </w:r>
          </w:p>
        </w:tc>
        <w:tc>
          <w:tcPr>
            <w:tcW w:w="1285" w:type="dxa"/>
            <w:tcBorders>
              <w:top w:val="single" w:sz="4" w:space="0" w:color="auto"/>
              <w:left w:val="single" w:sz="4" w:space="0" w:color="auto"/>
              <w:bottom w:val="single" w:sz="4" w:space="0" w:color="auto"/>
              <w:right w:val="single" w:sz="4" w:space="0" w:color="auto"/>
            </w:tcBorders>
            <w:hideMark/>
          </w:tcPr>
          <w:p w14:paraId="0F604889"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0152778</w:t>
            </w:r>
          </w:p>
        </w:tc>
        <w:tc>
          <w:tcPr>
            <w:tcW w:w="394" w:type="dxa"/>
            <w:tcBorders>
              <w:top w:val="single" w:sz="4" w:space="0" w:color="auto"/>
              <w:left w:val="single" w:sz="4" w:space="0" w:color="auto"/>
              <w:bottom w:val="single" w:sz="4" w:space="0" w:color="auto"/>
              <w:right w:val="single" w:sz="4" w:space="0" w:color="auto"/>
            </w:tcBorders>
            <w:hideMark/>
          </w:tcPr>
          <w:p w14:paraId="7BCB5DD9"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43DC42DF"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0342</w:t>
            </w:r>
          </w:p>
        </w:tc>
        <w:tc>
          <w:tcPr>
            <w:tcW w:w="876" w:type="dxa"/>
            <w:tcBorders>
              <w:top w:val="single" w:sz="4" w:space="0" w:color="auto"/>
              <w:left w:val="single" w:sz="4" w:space="0" w:color="auto"/>
              <w:bottom w:val="single" w:sz="4" w:space="0" w:color="auto"/>
              <w:right w:val="single" w:sz="4" w:space="0" w:color="auto"/>
            </w:tcBorders>
            <w:hideMark/>
          </w:tcPr>
          <w:p w14:paraId="73FE345C"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68</w:t>
            </w:r>
            <w:r>
              <w:rPr>
                <w:rFonts w:ascii="Sylfaen" w:hAnsi="Sylfaen" w:cs="Arial"/>
                <w:sz w:val="16"/>
                <w:szCs w:val="16"/>
                <w:lang w:val="ka-GE"/>
              </w:rPr>
              <w:t>,</w:t>
            </w:r>
            <w:r>
              <w:rPr>
                <w:rFonts w:ascii="Sylfaen" w:hAnsi="Sylfaen"/>
                <w:sz w:val="16"/>
                <w:szCs w:val="16"/>
                <w:lang w:val="ka-GE"/>
              </w:rPr>
              <w:t>79</w:t>
            </w:r>
          </w:p>
        </w:tc>
        <w:tc>
          <w:tcPr>
            <w:tcW w:w="919" w:type="dxa"/>
            <w:tcBorders>
              <w:top w:val="single" w:sz="4" w:space="0" w:color="auto"/>
              <w:left w:val="single" w:sz="4" w:space="0" w:color="auto"/>
              <w:bottom w:val="single" w:sz="4" w:space="0" w:color="auto"/>
              <w:right w:val="single" w:sz="4" w:space="0" w:color="auto"/>
            </w:tcBorders>
            <w:hideMark/>
          </w:tcPr>
          <w:p w14:paraId="7A2B94F8"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w:t>
            </w:r>
            <w:r>
              <w:rPr>
                <w:rFonts w:ascii="Sylfaen" w:hAnsi="Sylfaen"/>
                <w:sz w:val="16"/>
                <w:szCs w:val="16"/>
                <w:lang w:val="ka-GE"/>
              </w:rPr>
              <w:t>9158</w:t>
            </w:r>
          </w:p>
        </w:tc>
        <w:tc>
          <w:tcPr>
            <w:tcW w:w="978" w:type="dxa"/>
            <w:tcBorders>
              <w:top w:val="single" w:sz="4" w:space="0" w:color="auto"/>
              <w:left w:val="single" w:sz="4" w:space="0" w:color="auto"/>
              <w:bottom w:val="single" w:sz="4" w:space="0" w:color="auto"/>
              <w:right w:val="single" w:sz="4" w:space="0" w:color="auto"/>
            </w:tcBorders>
            <w:hideMark/>
          </w:tcPr>
          <w:p w14:paraId="74FEEF7E"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0337</w:t>
            </w:r>
          </w:p>
        </w:tc>
        <w:tc>
          <w:tcPr>
            <w:tcW w:w="934" w:type="dxa"/>
            <w:tcBorders>
              <w:top w:val="single" w:sz="4" w:space="0" w:color="auto"/>
              <w:left w:val="single" w:sz="4" w:space="0" w:color="auto"/>
              <w:bottom w:val="single" w:sz="4" w:space="0" w:color="auto"/>
              <w:right w:val="single" w:sz="4" w:space="0" w:color="auto"/>
            </w:tcBorders>
            <w:hideMark/>
          </w:tcPr>
          <w:p w14:paraId="7336A949"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69</w:t>
            </w:r>
            <w:r>
              <w:rPr>
                <w:rFonts w:ascii="Sylfaen" w:hAnsi="Sylfaen" w:cs="Arial"/>
                <w:sz w:val="16"/>
                <w:szCs w:val="16"/>
                <w:lang w:val="ka-GE"/>
              </w:rPr>
              <w:t>,</w:t>
            </w:r>
            <w:r>
              <w:rPr>
                <w:rFonts w:ascii="Sylfaen" w:hAnsi="Sylfaen"/>
                <w:sz w:val="16"/>
                <w:szCs w:val="16"/>
                <w:lang w:val="ka-GE"/>
              </w:rPr>
              <w:t>99</w:t>
            </w:r>
          </w:p>
        </w:tc>
        <w:tc>
          <w:tcPr>
            <w:tcW w:w="817" w:type="dxa"/>
            <w:tcBorders>
              <w:top w:val="single" w:sz="4" w:space="0" w:color="auto"/>
              <w:left w:val="single" w:sz="4" w:space="0" w:color="auto"/>
              <w:bottom w:val="single" w:sz="4" w:space="0" w:color="auto"/>
              <w:right w:val="single" w:sz="4" w:space="0" w:color="auto"/>
            </w:tcBorders>
            <w:hideMark/>
          </w:tcPr>
          <w:p w14:paraId="130940BF"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w:t>
            </w:r>
            <w:r>
              <w:rPr>
                <w:rFonts w:ascii="Sylfaen" w:hAnsi="Sylfaen"/>
                <w:sz w:val="16"/>
                <w:szCs w:val="16"/>
                <w:lang w:val="ka-GE"/>
              </w:rPr>
              <w:t>9640</w:t>
            </w:r>
          </w:p>
        </w:tc>
      </w:tr>
      <w:tr w:rsidR="00A2588D" w14:paraId="02B33657"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21787E9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269E215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1B717A9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9</w:t>
            </w:r>
          </w:p>
        </w:tc>
        <w:tc>
          <w:tcPr>
            <w:tcW w:w="423" w:type="dxa"/>
            <w:tcBorders>
              <w:top w:val="single" w:sz="4" w:space="0" w:color="auto"/>
              <w:left w:val="single" w:sz="4" w:space="0" w:color="auto"/>
              <w:bottom w:val="single" w:sz="4" w:space="0" w:color="auto"/>
              <w:right w:val="single" w:sz="4" w:space="0" w:color="auto"/>
            </w:tcBorders>
            <w:hideMark/>
          </w:tcPr>
          <w:p w14:paraId="6B79D6D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467" w:type="dxa"/>
            <w:tcBorders>
              <w:top w:val="single" w:sz="4" w:space="0" w:color="auto"/>
              <w:left w:val="single" w:sz="4" w:space="0" w:color="auto"/>
              <w:bottom w:val="single" w:sz="4" w:space="0" w:color="auto"/>
              <w:right w:val="single" w:sz="4" w:space="0" w:color="auto"/>
            </w:tcBorders>
            <w:hideMark/>
          </w:tcPr>
          <w:p w14:paraId="3C33CEF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2A97EA6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0301</w:t>
            </w:r>
          </w:p>
        </w:tc>
        <w:tc>
          <w:tcPr>
            <w:tcW w:w="1285" w:type="dxa"/>
            <w:tcBorders>
              <w:top w:val="single" w:sz="4" w:space="0" w:color="auto"/>
              <w:left w:val="single" w:sz="4" w:space="0" w:color="auto"/>
              <w:bottom w:val="single" w:sz="4" w:space="0" w:color="auto"/>
              <w:right w:val="single" w:sz="4" w:space="0" w:color="auto"/>
            </w:tcBorders>
            <w:hideMark/>
          </w:tcPr>
          <w:p w14:paraId="2108DB0C"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0032809</w:t>
            </w:r>
          </w:p>
        </w:tc>
        <w:tc>
          <w:tcPr>
            <w:tcW w:w="394" w:type="dxa"/>
            <w:tcBorders>
              <w:top w:val="single" w:sz="4" w:space="0" w:color="auto"/>
              <w:left w:val="single" w:sz="4" w:space="0" w:color="auto"/>
              <w:bottom w:val="single" w:sz="4" w:space="0" w:color="auto"/>
              <w:right w:val="single" w:sz="4" w:space="0" w:color="auto"/>
            </w:tcBorders>
            <w:hideMark/>
          </w:tcPr>
          <w:p w14:paraId="6BC81C78"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76F921E0"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0691</w:t>
            </w:r>
          </w:p>
        </w:tc>
        <w:tc>
          <w:tcPr>
            <w:tcW w:w="876" w:type="dxa"/>
            <w:tcBorders>
              <w:top w:val="single" w:sz="4" w:space="0" w:color="auto"/>
              <w:left w:val="single" w:sz="4" w:space="0" w:color="auto"/>
              <w:bottom w:val="single" w:sz="4" w:space="0" w:color="auto"/>
              <w:right w:val="single" w:sz="4" w:space="0" w:color="auto"/>
            </w:tcBorders>
            <w:hideMark/>
          </w:tcPr>
          <w:p w14:paraId="4E9578FF"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574FBAC2"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c>
          <w:tcPr>
            <w:tcW w:w="978" w:type="dxa"/>
            <w:tcBorders>
              <w:top w:val="single" w:sz="4" w:space="0" w:color="auto"/>
              <w:left w:val="single" w:sz="4" w:space="0" w:color="auto"/>
              <w:bottom w:val="single" w:sz="4" w:space="0" w:color="auto"/>
              <w:right w:val="single" w:sz="4" w:space="0" w:color="auto"/>
            </w:tcBorders>
            <w:hideMark/>
          </w:tcPr>
          <w:p w14:paraId="28BC8270"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0691</w:t>
            </w:r>
          </w:p>
        </w:tc>
        <w:tc>
          <w:tcPr>
            <w:tcW w:w="934" w:type="dxa"/>
            <w:tcBorders>
              <w:top w:val="single" w:sz="4" w:space="0" w:color="auto"/>
              <w:left w:val="single" w:sz="4" w:space="0" w:color="auto"/>
              <w:bottom w:val="single" w:sz="4" w:space="0" w:color="auto"/>
              <w:right w:val="single" w:sz="4" w:space="0" w:color="auto"/>
            </w:tcBorders>
            <w:hideMark/>
          </w:tcPr>
          <w:p w14:paraId="62E4D3FC"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817" w:type="dxa"/>
            <w:tcBorders>
              <w:top w:val="single" w:sz="4" w:space="0" w:color="auto"/>
              <w:left w:val="single" w:sz="4" w:space="0" w:color="auto"/>
              <w:bottom w:val="single" w:sz="4" w:space="0" w:color="auto"/>
              <w:right w:val="single" w:sz="4" w:space="0" w:color="auto"/>
            </w:tcBorders>
            <w:hideMark/>
          </w:tcPr>
          <w:p w14:paraId="7FA54774"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r>
      <w:tr w:rsidR="00A2588D" w14:paraId="69054D8C"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30384B3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7AA9A1B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58ADF78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9</w:t>
            </w:r>
          </w:p>
        </w:tc>
        <w:tc>
          <w:tcPr>
            <w:tcW w:w="423" w:type="dxa"/>
            <w:tcBorders>
              <w:top w:val="single" w:sz="4" w:space="0" w:color="auto"/>
              <w:left w:val="single" w:sz="4" w:space="0" w:color="auto"/>
              <w:bottom w:val="single" w:sz="4" w:space="0" w:color="auto"/>
              <w:right w:val="single" w:sz="4" w:space="0" w:color="auto"/>
            </w:tcBorders>
            <w:hideMark/>
          </w:tcPr>
          <w:p w14:paraId="24FE785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467" w:type="dxa"/>
            <w:tcBorders>
              <w:top w:val="single" w:sz="4" w:space="0" w:color="auto"/>
              <w:left w:val="single" w:sz="4" w:space="0" w:color="auto"/>
              <w:bottom w:val="single" w:sz="4" w:space="0" w:color="auto"/>
              <w:right w:val="single" w:sz="4" w:space="0" w:color="auto"/>
            </w:tcBorders>
            <w:hideMark/>
          </w:tcPr>
          <w:p w14:paraId="515AC00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2186798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0330</w:t>
            </w:r>
          </w:p>
        </w:tc>
        <w:tc>
          <w:tcPr>
            <w:tcW w:w="1285" w:type="dxa"/>
            <w:tcBorders>
              <w:top w:val="single" w:sz="4" w:space="0" w:color="auto"/>
              <w:left w:val="single" w:sz="4" w:space="0" w:color="auto"/>
              <w:bottom w:val="single" w:sz="4" w:space="0" w:color="auto"/>
              <w:right w:val="single" w:sz="4" w:space="0" w:color="auto"/>
            </w:tcBorders>
            <w:hideMark/>
          </w:tcPr>
          <w:p w14:paraId="3EF122D5"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0008333</w:t>
            </w:r>
          </w:p>
        </w:tc>
        <w:tc>
          <w:tcPr>
            <w:tcW w:w="394" w:type="dxa"/>
            <w:tcBorders>
              <w:top w:val="single" w:sz="4" w:space="0" w:color="auto"/>
              <w:left w:val="single" w:sz="4" w:space="0" w:color="auto"/>
              <w:bottom w:val="single" w:sz="4" w:space="0" w:color="auto"/>
              <w:right w:val="single" w:sz="4" w:space="0" w:color="auto"/>
            </w:tcBorders>
            <w:hideMark/>
          </w:tcPr>
          <w:p w14:paraId="43D229B5"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7096E6E8"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0070</w:t>
            </w:r>
          </w:p>
        </w:tc>
        <w:tc>
          <w:tcPr>
            <w:tcW w:w="876" w:type="dxa"/>
            <w:tcBorders>
              <w:top w:val="single" w:sz="4" w:space="0" w:color="auto"/>
              <w:left w:val="single" w:sz="4" w:space="0" w:color="auto"/>
              <w:bottom w:val="single" w:sz="4" w:space="0" w:color="auto"/>
              <w:right w:val="single" w:sz="4" w:space="0" w:color="auto"/>
            </w:tcBorders>
            <w:hideMark/>
          </w:tcPr>
          <w:p w14:paraId="68255089"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7A8F7427"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c>
          <w:tcPr>
            <w:tcW w:w="978" w:type="dxa"/>
            <w:tcBorders>
              <w:top w:val="single" w:sz="4" w:space="0" w:color="auto"/>
              <w:left w:val="single" w:sz="4" w:space="0" w:color="auto"/>
              <w:bottom w:val="single" w:sz="4" w:space="0" w:color="auto"/>
              <w:right w:val="single" w:sz="4" w:space="0" w:color="auto"/>
            </w:tcBorders>
            <w:hideMark/>
          </w:tcPr>
          <w:p w14:paraId="6C67FAF2"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0070</w:t>
            </w:r>
          </w:p>
        </w:tc>
        <w:tc>
          <w:tcPr>
            <w:tcW w:w="934" w:type="dxa"/>
            <w:tcBorders>
              <w:top w:val="single" w:sz="4" w:space="0" w:color="auto"/>
              <w:left w:val="single" w:sz="4" w:space="0" w:color="auto"/>
              <w:bottom w:val="single" w:sz="4" w:space="0" w:color="auto"/>
              <w:right w:val="single" w:sz="4" w:space="0" w:color="auto"/>
            </w:tcBorders>
            <w:hideMark/>
          </w:tcPr>
          <w:p w14:paraId="6C12FCA3"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817" w:type="dxa"/>
            <w:tcBorders>
              <w:top w:val="single" w:sz="4" w:space="0" w:color="auto"/>
              <w:left w:val="single" w:sz="4" w:space="0" w:color="auto"/>
              <w:bottom w:val="single" w:sz="4" w:space="0" w:color="auto"/>
              <w:right w:val="single" w:sz="4" w:space="0" w:color="auto"/>
            </w:tcBorders>
            <w:hideMark/>
          </w:tcPr>
          <w:p w14:paraId="2F72FA9E"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r>
      <w:tr w:rsidR="00A2588D" w14:paraId="7FDF0D6B" w14:textId="77777777" w:rsidTr="00A2588D">
        <w:trPr>
          <w:jc w:val="center"/>
        </w:trPr>
        <w:tc>
          <w:tcPr>
            <w:tcW w:w="2759" w:type="dxa"/>
            <w:gridSpan w:val="6"/>
            <w:tcBorders>
              <w:top w:val="single" w:sz="4" w:space="0" w:color="auto"/>
              <w:left w:val="single" w:sz="4" w:space="0" w:color="auto"/>
              <w:bottom w:val="single" w:sz="4" w:space="0" w:color="auto"/>
              <w:right w:val="single" w:sz="4" w:space="0" w:color="auto"/>
            </w:tcBorders>
            <w:hideMark/>
          </w:tcPr>
          <w:p w14:paraId="0B7CDF03" w14:textId="77777777" w:rsidR="00A2588D" w:rsidRDefault="00A2588D" w:rsidP="00A2588D">
            <w:pPr>
              <w:widowControl w:val="0"/>
              <w:autoSpaceDE w:val="0"/>
              <w:autoSpaceDN w:val="0"/>
              <w:adjustRightInd w:val="0"/>
              <w:ind w:left="11"/>
              <w:rPr>
                <w:rFonts w:ascii="Sylfaen" w:hAnsi="Sylfaen" w:cs="Arial"/>
                <w:b/>
                <w:bCs/>
                <w:sz w:val="16"/>
                <w:szCs w:val="16"/>
                <w:lang w:val="ka-GE"/>
              </w:rPr>
            </w:pPr>
            <w:r>
              <w:rPr>
                <w:rFonts w:ascii="Sylfaen" w:hAnsi="Sylfaen" w:cs="Arial"/>
                <w:b/>
                <w:bCs/>
                <w:sz w:val="16"/>
                <w:szCs w:val="16"/>
                <w:lang w:val="ka-GE"/>
              </w:rPr>
              <w:t>სულ:</w:t>
            </w:r>
          </w:p>
        </w:tc>
        <w:tc>
          <w:tcPr>
            <w:tcW w:w="1285" w:type="dxa"/>
            <w:tcBorders>
              <w:top w:val="single" w:sz="4" w:space="0" w:color="auto"/>
              <w:left w:val="single" w:sz="4" w:space="0" w:color="auto"/>
              <w:bottom w:val="single" w:sz="4" w:space="0" w:color="auto"/>
              <w:right w:val="single" w:sz="4" w:space="0" w:color="auto"/>
            </w:tcBorders>
            <w:hideMark/>
          </w:tcPr>
          <w:p w14:paraId="50841FD3" w14:textId="77777777" w:rsidR="00A2588D" w:rsidRDefault="00A2588D" w:rsidP="00A2588D">
            <w:pPr>
              <w:widowControl w:val="0"/>
              <w:autoSpaceDE w:val="0"/>
              <w:autoSpaceDN w:val="0"/>
              <w:adjustRightInd w:val="0"/>
              <w:ind w:right="11"/>
              <w:jc w:val="right"/>
              <w:rPr>
                <w:rFonts w:ascii="Sylfaen" w:hAnsi="Sylfaen" w:cs="Arial"/>
                <w:b/>
                <w:bCs/>
                <w:sz w:val="16"/>
                <w:szCs w:val="16"/>
                <w:lang w:val="ka-GE"/>
              </w:rPr>
            </w:pPr>
            <w:r>
              <w:rPr>
                <w:rFonts w:ascii="Sylfaen" w:hAnsi="Sylfaen"/>
                <w:b/>
                <w:bCs/>
                <w:sz w:val="16"/>
                <w:szCs w:val="16"/>
                <w:lang w:val="ka-GE"/>
              </w:rPr>
              <w:t>0</w:t>
            </w:r>
            <w:r>
              <w:rPr>
                <w:rFonts w:ascii="Sylfaen" w:hAnsi="Sylfaen" w:cs="Arial"/>
                <w:b/>
                <w:bCs/>
                <w:sz w:val="16"/>
                <w:szCs w:val="16"/>
                <w:lang w:val="ka-GE"/>
              </w:rPr>
              <w:t>,</w:t>
            </w:r>
            <w:r>
              <w:rPr>
                <w:rFonts w:ascii="Sylfaen" w:hAnsi="Sylfaen"/>
                <w:b/>
                <w:bCs/>
                <w:sz w:val="16"/>
                <w:szCs w:val="16"/>
                <w:lang w:val="ka-GE"/>
              </w:rPr>
              <w:t>1373946</w:t>
            </w:r>
          </w:p>
        </w:tc>
        <w:tc>
          <w:tcPr>
            <w:tcW w:w="394" w:type="dxa"/>
            <w:tcBorders>
              <w:top w:val="single" w:sz="4" w:space="0" w:color="auto"/>
              <w:left w:val="single" w:sz="4" w:space="0" w:color="auto"/>
              <w:bottom w:val="single" w:sz="4" w:space="0" w:color="auto"/>
              <w:right w:val="single" w:sz="4" w:space="0" w:color="auto"/>
            </w:tcBorders>
          </w:tcPr>
          <w:p w14:paraId="77C5C228" w14:textId="77777777" w:rsidR="00A2588D" w:rsidRDefault="00A2588D" w:rsidP="00A2588D">
            <w:pPr>
              <w:widowControl w:val="0"/>
              <w:autoSpaceDE w:val="0"/>
              <w:autoSpaceDN w:val="0"/>
              <w:adjustRightInd w:val="0"/>
              <w:ind w:left="11"/>
              <w:rPr>
                <w:rFonts w:ascii="Sylfaen" w:hAnsi="Sylfaen" w:cs="Arial"/>
                <w:sz w:val="16"/>
                <w:szCs w:val="16"/>
                <w:lang w:val="ka-GE"/>
              </w:rPr>
            </w:pPr>
          </w:p>
        </w:tc>
        <w:tc>
          <w:tcPr>
            <w:tcW w:w="949" w:type="dxa"/>
            <w:tcBorders>
              <w:top w:val="single" w:sz="4" w:space="0" w:color="auto"/>
              <w:left w:val="single" w:sz="4" w:space="0" w:color="auto"/>
              <w:bottom w:val="single" w:sz="4" w:space="0" w:color="auto"/>
              <w:right w:val="single" w:sz="4" w:space="0" w:color="auto"/>
            </w:tcBorders>
            <w:hideMark/>
          </w:tcPr>
          <w:p w14:paraId="78B676EF" w14:textId="77777777" w:rsidR="00A2588D" w:rsidRDefault="00A2588D" w:rsidP="00A2588D">
            <w:pPr>
              <w:widowControl w:val="0"/>
              <w:autoSpaceDE w:val="0"/>
              <w:autoSpaceDN w:val="0"/>
              <w:adjustRightInd w:val="0"/>
              <w:ind w:right="11"/>
              <w:jc w:val="right"/>
              <w:rPr>
                <w:rFonts w:ascii="Sylfaen" w:hAnsi="Sylfaen" w:cs="Arial"/>
                <w:b/>
                <w:bCs/>
                <w:sz w:val="16"/>
                <w:szCs w:val="16"/>
                <w:lang w:val="ka-GE"/>
              </w:rPr>
            </w:pPr>
            <w:r>
              <w:rPr>
                <w:rFonts w:ascii="Sylfaen" w:hAnsi="Sylfaen"/>
                <w:b/>
                <w:bCs/>
                <w:sz w:val="16"/>
                <w:szCs w:val="16"/>
                <w:lang w:val="ka-GE"/>
              </w:rPr>
              <w:t>1</w:t>
            </w:r>
            <w:r>
              <w:rPr>
                <w:rFonts w:ascii="Sylfaen" w:hAnsi="Sylfaen" w:cs="Arial"/>
                <w:b/>
                <w:bCs/>
                <w:sz w:val="16"/>
                <w:szCs w:val="16"/>
                <w:lang w:val="ka-GE"/>
              </w:rPr>
              <w:t>,</w:t>
            </w:r>
            <w:r>
              <w:rPr>
                <w:rFonts w:ascii="Sylfaen" w:hAnsi="Sylfaen"/>
                <w:b/>
                <w:bCs/>
                <w:sz w:val="16"/>
                <w:szCs w:val="16"/>
                <w:lang w:val="ka-GE"/>
              </w:rPr>
              <w:t>8030</w:t>
            </w:r>
          </w:p>
        </w:tc>
        <w:tc>
          <w:tcPr>
            <w:tcW w:w="1796" w:type="dxa"/>
            <w:gridSpan w:val="2"/>
            <w:tcBorders>
              <w:top w:val="single" w:sz="4" w:space="0" w:color="auto"/>
              <w:left w:val="single" w:sz="4" w:space="0" w:color="auto"/>
              <w:bottom w:val="single" w:sz="4" w:space="0" w:color="auto"/>
              <w:right w:val="single" w:sz="4" w:space="0" w:color="auto"/>
            </w:tcBorders>
          </w:tcPr>
          <w:p w14:paraId="0AFD9927" w14:textId="77777777" w:rsidR="00A2588D" w:rsidRDefault="00A2588D" w:rsidP="00A2588D">
            <w:pPr>
              <w:widowControl w:val="0"/>
              <w:autoSpaceDE w:val="0"/>
              <w:autoSpaceDN w:val="0"/>
              <w:adjustRightInd w:val="0"/>
              <w:ind w:left="11"/>
              <w:rPr>
                <w:rFonts w:ascii="Sylfaen" w:hAnsi="Sylfaen" w:cs="Arial"/>
                <w:sz w:val="16"/>
                <w:szCs w:val="16"/>
                <w:lang w:val="ka-GE"/>
              </w:rPr>
            </w:pPr>
          </w:p>
        </w:tc>
        <w:tc>
          <w:tcPr>
            <w:tcW w:w="978" w:type="dxa"/>
            <w:tcBorders>
              <w:top w:val="single" w:sz="4" w:space="0" w:color="auto"/>
              <w:left w:val="single" w:sz="4" w:space="0" w:color="auto"/>
              <w:bottom w:val="single" w:sz="4" w:space="0" w:color="auto"/>
              <w:right w:val="single" w:sz="4" w:space="0" w:color="auto"/>
            </w:tcBorders>
            <w:hideMark/>
          </w:tcPr>
          <w:p w14:paraId="3DE9170E" w14:textId="77777777" w:rsidR="00A2588D" w:rsidRDefault="00A2588D" w:rsidP="00A2588D">
            <w:pPr>
              <w:widowControl w:val="0"/>
              <w:autoSpaceDE w:val="0"/>
              <w:autoSpaceDN w:val="0"/>
              <w:adjustRightInd w:val="0"/>
              <w:ind w:right="11"/>
              <w:jc w:val="right"/>
              <w:rPr>
                <w:rFonts w:ascii="Sylfaen" w:hAnsi="Sylfaen" w:cs="Arial"/>
                <w:b/>
                <w:bCs/>
                <w:sz w:val="16"/>
                <w:szCs w:val="16"/>
                <w:lang w:val="ka-GE"/>
              </w:rPr>
            </w:pPr>
            <w:r>
              <w:rPr>
                <w:rFonts w:ascii="Sylfaen" w:hAnsi="Sylfaen"/>
                <w:b/>
                <w:bCs/>
                <w:sz w:val="16"/>
                <w:szCs w:val="16"/>
                <w:lang w:val="ka-GE"/>
              </w:rPr>
              <w:t>1</w:t>
            </w:r>
            <w:r>
              <w:rPr>
                <w:rFonts w:ascii="Sylfaen" w:hAnsi="Sylfaen" w:cs="Arial"/>
                <w:b/>
                <w:bCs/>
                <w:sz w:val="16"/>
                <w:szCs w:val="16"/>
                <w:lang w:val="ka-GE"/>
              </w:rPr>
              <w:t>,</w:t>
            </w:r>
            <w:r>
              <w:rPr>
                <w:rFonts w:ascii="Sylfaen" w:hAnsi="Sylfaen"/>
                <w:b/>
                <w:bCs/>
                <w:sz w:val="16"/>
                <w:szCs w:val="16"/>
                <w:lang w:val="ka-GE"/>
              </w:rPr>
              <w:t>7992</w:t>
            </w:r>
          </w:p>
        </w:tc>
        <w:tc>
          <w:tcPr>
            <w:tcW w:w="1752" w:type="dxa"/>
            <w:gridSpan w:val="2"/>
            <w:tcBorders>
              <w:top w:val="single" w:sz="4" w:space="0" w:color="auto"/>
              <w:left w:val="single" w:sz="4" w:space="0" w:color="auto"/>
              <w:bottom w:val="single" w:sz="4" w:space="0" w:color="auto"/>
              <w:right w:val="single" w:sz="4" w:space="0" w:color="auto"/>
            </w:tcBorders>
          </w:tcPr>
          <w:p w14:paraId="32263C2B" w14:textId="77777777" w:rsidR="00A2588D" w:rsidRDefault="00A2588D" w:rsidP="00A2588D">
            <w:pPr>
              <w:widowControl w:val="0"/>
              <w:autoSpaceDE w:val="0"/>
              <w:autoSpaceDN w:val="0"/>
              <w:adjustRightInd w:val="0"/>
              <w:ind w:left="11"/>
              <w:rPr>
                <w:rFonts w:ascii="Sylfaen" w:hAnsi="Sylfaen" w:cs="Arial"/>
                <w:sz w:val="16"/>
                <w:szCs w:val="16"/>
                <w:lang w:val="ka-GE"/>
              </w:rPr>
            </w:pPr>
          </w:p>
        </w:tc>
      </w:tr>
    </w:tbl>
    <w:p w14:paraId="2B12ACD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067EA92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ჯამური ზემოქმედების ჯგუფი: </w:t>
      </w:r>
      <w:r>
        <w:rPr>
          <w:rFonts w:ascii="Sylfaen" w:hAnsi="Sylfaen"/>
          <w:b/>
          <w:bCs/>
          <w:sz w:val="20"/>
          <w:szCs w:val="20"/>
          <w:lang w:val="ka-GE"/>
        </w:rPr>
        <w:t>6035</w:t>
      </w:r>
    </w:p>
    <w:p w14:paraId="442CE5BC"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467"/>
        <w:gridCol w:w="423"/>
        <w:gridCol w:w="452"/>
        <w:gridCol w:w="423"/>
        <w:gridCol w:w="467"/>
        <w:gridCol w:w="527"/>
        <w:gridCol w:w="1285"/>
        <w:gridCol w:w="394"/>
        <w:gridCol w:w="949"/>
        <w:gridCol w:w="876"/>
        <w:gridCol w:w="920"/>
        <w:gridCol w:w="978"/>
        <w:gridCol w:w="934"/>
        <w:gridCol w:w="818"/>
      </w:tblGrid>
      <w:tr w:rsidR="00A2588D" w14:paraId="44F8D0DF" w14:textId="77777777" w:rsidTr="00A2588D">
        <w:trPr>
          <w:jc w:val="center"/>
        </w:trPr>
        <w:tc>
          <w:tcPr>
            <w:tcW w:w="467" w:type="dxa"/>
            <w:tcBorders>
              <w:top w:val="single" w:sz="4" w:space="0" w:color="auto"/>
              <w:left w:val="single" w:sz="4" w:space="0" w:color="auto"/>
              <w:bottom w:val="nil"/>
              <w:right w:val="single" w:sz="4" w:space="0" w:color="auto"/>
            </w:tcBorders>
            <w:hideMark/>
          </w:tcPr>
          <w:p w14:paraId="09763498"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w:t>
            </w:r>
          </w:p>
          <w:p w14:paraId="16CC4FC9"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მოედ.</w:t>
            </w:r>
          </w:p>
        </w:tc>
        <w:tc>
          <w:tcPr>
            <w:tcW w:w="423" w:type="dxa"/>
            <w:tcBorders>
              <w:top w:val="single" w:sz="4" w:space="0" w:color="auto"/>
              <w:left w:val="single" w:sz="4" w:space="0" w:color="auto"/>
              <w:bottom w:val="nil"/>
              <w:right w:val="single" w:sz="4" w:space="0" w:color="auto"/>
            </w:tcBorders>
            <w:hideMark/>
          </w:tcPr>
          <w:p w14:paraId="371D9E13"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w:t>
            </w:r>
          </w:p>
          <w:p w14:paraId="06460065"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საამქ.</w:t>
            </w:r>
          </w:p>
        </w:tc>
        <w:tc>
          <w:tcPr>
            <w:tcW w:w="452" w:type="dxa"/>
            <w:tcBorders>
              <w:top w:val="single" w:sz="4" w:space="0" w:color="auto"/>
              <w:left w:val="single" w:sz="4" w:space="0" w:color="auto"/>
              <w:bottom w:val="nil"/>
              <w:right w:val="single" w:sz="4" w:space="0" w:color="auto"/>
            </w:tcBorders>
            <w:hideMark/>
          </w:tcPr>
          <w:p w14:paraId="4689CCBA"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w:t>
            </w:r>
          </w:p>
          <w:p w14:paraId="2F7FD197"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წყაროს</w:t>
            </w:r>
          </w:p>
        </w:tc>
        <w:tc>
          <w:tcPr>
            <w:tcW w:w="423" w:type="dxa"/>
            <w:tcBorders>
              <w:top w:val="single" w:sz="4" w:space="0" w:color="auto"/>
              <w:left w:val="single" w:sz="4" w:space="0" w:color="auto"/>
              <w:bottom w:val="nil"/>
              <w:right w:val="single" w:sz="4" w:space="0" w:color="auto"/>
            </w:tcBorders>
            <w:hideMark/>
          </w:tcPr>
          <w:p w14:paraId="55985569"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ტიპი</w:t>
            </w:r>
          </w:p>
        </w:tc>
        <w:tc>
          <w:tcPr>
            <w:tcW w:w="467" w:type="dxa"/>
            <w:tcBorders>
              <w:top w:val="single" w:sz="4" w:space="0" w:color="auto"/>
              <w:left w:val="single" w:sz="4" w:space="0" w:color="auto"/>
              <w:bottom w:val="nil"/>
              <w:right w:val="single" w:sz="4" w:space="0" w:color="auto"/>
            </w:tcBorders>
            <w:hideMark/>
          </w:tcPr>
          <w:p w14:paraId="501188E4"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აღრიცხვა</w:t>
            </w:r>
          </w:p>
        </w:tc>
        <w:tc>
          <w:tcPr>
            <w:tcW w:w="525" w:type="dxa"/>
            <w:tcBorders>
              <w:top w:val="single" w:sz="4" w:space="0" w:color="auto"/>
              <w:left w:val="single" w:sz="4" w:space="0" w:color="auto"/>
              <w:bottom w:val="nil"/>
              <w:right w:val="single" w:sz="4" w:space="0" w:color="auto"/>
            </w:tcBorders>
            <w:hideMark/>
          </w:tcPr>
          <w:p w14:paraId="4BBD744F"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კოდი</w:t>
            </w:r>
          </w:p>
          <w:p w14:paraId="3E23E09A"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в</w:t>
            </w:r>
            <w:r>
              <w:rPr>
                <w:rFonts w:ascii="Sylfaen" w:hAnsi="Sylfaen" w:cs="Arial"/>
                <w:b/>
                <w:bCs/>
                <w:sz w:val="16"/>
                <w:szCs w:val="16"/>
                <w:lang w:val="ka-GE"/>
              </w:rPr>
              <w:t>-</w:t>
            </w:r>
            <w:r>
              <w:rPr>
                <w:rFonts w:ascii="Sylfaen" w:hAnsi="Sylfaen"/>
                <w:b/>
                <w:bCs/>
                <w:sz w:val="16"/>
                <w:szCs w:val="16"/>
                <w:lang w:val="ka-GE"/>
              </w:rPr>
              <w:t>ва</w:t>
            </w:r>
          </w:p>
        </w:tc>
        <w:tc>
          <w:tcPr>
            <w:tcW w:w="1285" w:type="dxa"/>
            <w:tcBorders>
              <w:top w:val="single" w:sz="4" w:space="0" w:color="auto"/>
              <w:left w:val="single" w:sz="4" w:space="0" w:color="auto"/>
              <w:bottom w:val="nil"/>
              <w:right w:val="single" w:sz="4" w:space="0" w:color="auto"/>
            </w:tcBorders>
            <w:hideMark/>
          </w:tcPr>
          <w:p w14:paraId="016C4EFD"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გაფრქვევა</w:t>
            </w:r>
          </w:p>
          <w:p w14:paraId="331EE7A0"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(გ/წმ)</w:t>
            </w:r>
          </w:p>
        </w:tc>
        <w:tc>
          <w:tcPr>
            <w:tcW w:w="394" w:type="dxa"/>
            <w:tcBorders>
              <w:top w:val="single" w:sz="4" w:space="0" w:color="auto"/>
              <w:left w:val="single" w:sz="4" w:space="0" w:color="auto"/>
              <w:bottom w:val="nil"/>
              <w:right w:val="single" w:sz="4" w:space="0" w:color="auto"/>
            </w:tcBorders>
            <w:hideMark/>
          </w:tcPr>
          <w:p w14:paraId="43A8A2F1"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F</w:t>
            </w:r>
          </w:p>
        </w:tc>
        <w:tc>
          <w:tcPr>
            <w:tcW w:w="2745" w:type="dxa"/>
            <w:gridSpan w:val="3"/>
            <w:tcBorders>
              <w:top w:val="single" w:sz="4" w:space="0" w:color="auto"/>
              <w:left w:val="single" w:sz="4" w:space="0" w:color="auto"/>
              <w:bottom w:val="single" w:sz="4" w:space="0" w:color="auto"/>
              <w:right w:val="single" w:sz="4" w:space="0" w:color="auto"/>
            </w:tcBorders>
            <w:hideMark/>
          </w:tcPr>
          <w:p w14:paraId="377FD746"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ზაფხ.</w:t>
            </w:r>
          </w:p>
        </w:tc>
        <w:tc>
          <w:tcPr>
            <w:tcW w:w="2730" w:type="dxa"/>
            <w:gridSpan w:val="3"/>
            <w:tcBorders>
              <w:top w:val="single" w:sz="4" w:space="0" w:color="auto"/>
              <w:left w:val="single" w:sz="4" w:space="0" w:color="auto"/>
              <w:bottom w:val="single" w:sz="4" w:space="0" w:color="auto"/>
              <w:right w:val="single" w:sz="4" w:space="0" w:color="auto"/>
            </w:tcBorders>
            <w:hideMark/>
          </w:tcPr>
          <w:p w14:paraId="3E7260D0"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ზამთ.</w:t>
            </w:r>
          </w:p>
        </w:tc>
      </w:tr>
      <w:tr w:rsidR="00A2588D" w14:paraId="26267182" w14:textId="77777777" w:rsidTr="00A2588D">
        <w:trPr>
          <w:jc w:val="center"/>
        </w:trPr>
        <w:tc>
          <w:tcPr>
            <w:tcW w:w="467" w:type="dxa"/>
            <w:tcBorders>
              <w:top w:val="nil"/>
              <w:left w:val="single" w:sz="4" w:space="0" w:color="auto"/>
              <w:bottom w:val="single" w:sz="4" w:space="0" w:color="auto"/>
              <w:right w:val="single" w:sz="4" w:space="0" w:color="auto"/>
            </w:tcBorders>
          </w:tcPr>
          <w:p w14:paraId="1871D587"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423" w:type="dxa"/>
            <w:tcBorders>
              <w:top w:val="nil"/>
              <w:left w:val="single" w:sz="4" w:space="0" w:color="auto"/>
              <w:bottom w:val="single" w:sz="4" w:space="0" w:color="auto"/>
              <w:right w:val="single" w:sz="4" w:space="0" w:color="auto"/>
            </w:tcBorders>
          </w:tcPr>
          <w:p w14:paraId="62195FB4"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452" w:type="dxa"/>
            <w:tcBorders>
              <w:top w:val="nil"/>
              <w:left w:val="single" w:sz="4" w:space="0" w:color="auto"/>
              <w:bottom w:val="single" w:sz="4" w:space="0" w:color="auto"/>
              <w:right w:val="single" w:sz="4" w:space="0" w:color="auto"/>
            </w:tcBorders>
          </w:tcPr>
          <w:p w14:paraId="0279570F"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423" w:type="dxa"/>
            <w:tcBorders>
              <w:top w:val="nil"/>
              <w:left w:val="single" w:sz="4" w:space="0" w:color="auto"/>
              <w:bottom w:val="single" w:sz="4" w:space="0" w:color="auto"/>
              <w:right w:val="single" w:sz="4" w:space="0" w:color="auto"/>
            </w:tcBorders>
          </w:tcPr>
          <w:p w14:paraId="040D85B0"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467" w:type="dxa"/>
            <w:tcBorders>
              <w:top w:val="nil"/>
              <w:left w:val="single" w:sz="4" w:space="0" w:color="auto"/>
              <w:bottom w:val="single" w:sz="4" w:space="0" w:color="auto"/>
              <w:right w:val="single" w:sz="4" w:space="0" w:color="auto"/>
            </w:tcBorders>
          </w:tcPr>
          <w:p w14:paraId="15CE5D00"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525" w:type="dxa"/>
            <w:tcBorders>
              <w:top w:val="nil"/>
              <w:left w:val="single" w:sz="4" w:space="0" w:color="auto"/>
              <w:bottom w:val="single" w:sz="4" w:space="0" w:color="auto"/>
              <w:right w:val="single" w:sz="4" w:space="0" w:color="auto"/>
            </w:tcBorders>
          </w:tcPr>
          <w:p w14:paraId="28D28BFA"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1285" w:type="dxa"/>
            <w:tcBorders>
              <w:top w:val="nil"/>
              <w:left w:val="single" w:sz="4" w:space="0" w:color="auto"/>
              <w:bottom w:val="single" w:sz="4" w:space="0" w:color="auto"/>
              <w:right w:val="single" w:sz="4" w:space="0" w:color="auto"/>
            </w:tcBorders>
          </w:tcPr>
          <w:p w14:paraId="3050CF40"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394" w:type="dxa"/>
            <w:tcBorders>
              <w:top w:val="nil"/>
              <w:left w:val="single" w:sz="4" w:space="0" w:color="auto"/>
              <w:bottom w:val="single" w:sz="4" w:space="0" w:color="auto"/>
              <w:right w:val="single" w:sz="4" w:space="0" w:color="auto"/>
            </w:tcBorders>
          </w:tcPr>
          <w:p w14:paraId="272B88C8"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949" w:type="dxa"/>
            <w:tcBorders>
              <w:top w:val="single" w:sz="4" w:space="0" w:color="auto"/>
              <w:left w:val="single" w:sz="4" w:space="0" w:color="auto"/>
              <w:bottom w:val="single" w:sz="4" w:space="0" w:color="auto"/>
              <w:right w:val="single" w:sz="4" w:space="0" w:color="auto"/>
            </w:tcBorders>
            <w:hideMark/>
          </w:tcPr>
          <w:p w14:paraId="4C2B172B"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Cm/</w:t>
            </w:r>
            <w:r>
              <w:rPr>
                <w:rFonts w:ascii="Sylfaen" w:hAnsi="Sylfaen" w:cs="Arial"/>
                <w:b/>
                <w:bCs/>
                <w:sz w:val="16"/>
                <w:szCs w:val="16"/>
                <w:lang w:val="ka-GE"/>
              </w:rPr>
              <w:t>ზდკ</w:t>
            </w:r>
          </w:p>
        </w:tc>
        <w:tc>
          <w:tcPr>
            <w:tcW w:w="876" w:type="dxa"/>
            <w:tcBorders>
              <w:top w:val="single" w:sz="4" w:space="0" w:color="auto"/>
              <w:left w:val="single" w:sz="4" w:space="0" w:color="auto"/>
              <w:bottom w:val="single" w:sz="4" w:space="0" w:color="auto"/>
              <w:right w:val="single" w:sz="4" w:space="0" w:color="auto"/>
            </w:tcBorders>
            <w:hideMark/>
          </w:tcPr>
          <w:p w14:paraId="2C2498CA"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Xm</w:t>
            </w:r>
          </w:p>
        </w:tc>
        <w:tc>
          <w:tcPr>
            <w:tcW w:w="919" w:type="dxa"/>
            <w:tcBorders>
              <w:top w:val="single" w:sz="4" w:space="0" w:color="auto"/>
              <w:left w:val="single" w:sz="4" w:space="0" w:color="auto"/>
              <w:bottom w:val="single" w:sz="4" w:space="0" w:color="auto"/>
              <w:right w:val="single" w:sz="4" w:space="0" w:color="auto"/>
            </w:tcBorders>
            <w:hideMark/>
          </w:tcPr>
          <w:p w14:paraId="1306362E"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Um</w:t>
            </w:r>
            <w:r>
              <w:rPr>
                <w:rFonts w:ascii="Sylfaen" w:hAnsi="Sylfaen" w:cs="Arial"/>
                <w:b/>
                <w:bCs/>
                <w:sz w:val="16"/>
                <w:szCs w:val="16"/>
                <w:lang w:val="ka-GE"/>
              </w:rPr>
              <w:t xml:space="preserve"> (მ/წმ)</w:t>
            </w:r>
          </w:p>
        </w:tc>
        <w:tc>
          <w:tcPr>
            <w:tcW w:w="978" w:type="dxa"/>
            <w:tcBorders>
              <w:top w:val="single" w:sz="4" w:space="0" w:color="auto"/>
              <w:left w:val="single" w:sz="4" w:space="0" w:color="auto"/>
              <w:bottom w:val="single" w:sz="4" w:space="0" w:color="auto"/>
              <w:right w:val="single" w:sz="4" w:space="0" w:color="auto"/>
            </w:tcBorders>
            <w:hideMark/>
          </w:tcPr>
          <w:p w14:paraId="70595069"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Cm/</w:t>
            </w:r>
            <w:r>
              <w:rPr>
                <w:rFonts w:ascii="Sylfaen" w:hAnsi="Sylfaen" w:cs="Arial"/>
                <w:b/>
                <w:bCs/>
                <w:sz w:val="16"/>
                <w:szCs w:val="16"/>
                <w:lang w:val="ka-GE"/>
              </w:rPr>
              <w:t>ზდკ</w:t>
            </w:r>
          </w:p>
        </w:tc>
        <w:tc>
          <w:tcPr>
            <w:tcW w:w="934" w:type="dxa"/>
            <w:tcBorders>
              <w:top w:val="single" w:sz="4" w:space="0" w:color="auto"/>
              <w:left w:val="single" w:sz="4" w:space="0" w:color="auto"/>
              <w:bottom w:val="single" w:sz="4" w:space="0" w:color="auto"/>
              <w:right w:val="single" w:sz="4" w:space="0" w:color="auto"/>
            </w:tcBorders>
            <w:hideMark/>
          </w:tcPr>
          <w:p w14:paraId="2D6EB3D9"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Xm</w:t>
            </w:r>
          </w:p>
        </w:tc>
        <w:tc>
          <w:tcPr>
            <w:tcW w:w="817" w:type="dxa"/>
            <w:tcBorders>
              <w:top w:val="single" w:sz="4" w:space="0" w:color="auto"/>
              <w:left w:val="single" w:sz="4" w:space="0" w:color="auto"/>
              <w:bottom w:val="single" w:sz="4" w:space="0" w:color="auto"/>
              <w:right w:val="single" w:sz="4" w:space="0" w:color="auto"/>
            </w:tcBorders>
            <w:hideMark/>
          </w:tcPr>
          <w:p w14:paraId="0AF64E4C"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Um</w:t>
            </w:r>
            <w:r>
              <w:rPr>
                <w:rFonts w:ascii="Sylfaen" w:hAnsi="Sylfaen" w:cs="Arial"/>
                <w:b/>
                <w:bCs/>
                <w:sz w:val="16"/>
                <w:szCs w:val="16"/>
                <w:lang w:val="ka-GE"/>
              </w:rPr>
              <w:t xml:space="preserve"> (მ/წმ)</w:t>
            </w:r>
          </w:p>
        </w:tc>
      </w:tr>
      <w:tr w:rsidR="00A2588D" w14:paraId="6A929E08"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2BDD4F0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642DD8B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4DDF08F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423" w:type="dxa"/>
            <w:tcBorders>
              <w:top w:val="single" w:sz="4" w:space="0" w:color="auto"/>
              <w:left w:val="single" w:sz="4" w:space="0" w:color="auto"/>
              <w:bottom w:val="single" w:sz="4" w:space="0" w:color="auto"/>
              <w:right w:val="single" w:sz="4" w:space="0" w:color="auto"/>
            </w:tcBorders>
            <w:hideMark/>
          </w:tcPr>
          <w:p w14:paraId="0068DA6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467" w:type="dxa"/>
            <w:tcBorders>
              <w:top w:val="single" w:sz="4" w:space="0" w:color="auto"/>
              <w:left w:val="single" w:sz="4" w:space="0" w:color="auto"/>
              <w:bottom w:val="single" w:sz="4" w:space="0" w:color="auto"/>
              <w:right w:val="single" w:sz="4" w:space="0" w:color="auto"/>
            </w:tcBorders>
            <w:hideMark/>
          </w:tcPr>
          <w:p w14:paraId="519085D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306BD88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0333</w:t>
            </w:r>
          </w:p>
        </w:tc>
        <w:tc>
          <w:tcPr>
            <w:tcW w:w="1285" w:type="dxa"/>
            <w:tcBorders>
              <w:top w:val="single" w:sz="4" w:space="0" w:color="auto"/>
              <w:left w:val="single" w:sz="4" w:space="0" w:color="auto"/>
              <w:bottom w:val="single" w:sz="4" w:space="0" w:color="auto"/>
              <w:right w:val="single" w:sz="4" w:space="0" w:color="auto"/>
            </w:tcBorders>
            <w:hideMark/>
          </w:tcPr>
          <w:p w14:paraId="345DD310"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0000091</w:t>
            </w:r>
          </w:p>
        </w:tc>
        <w:tc>
          <w:tcPr>
            <w:tcW w:w="394" w:type="dxa"/>
            <w:tcBorders>
              <w:top w:val="single" w:sz="4" w:space="0" w:color="auto"/>
              <w:left w:val="single" w:sz="4" w:space="0" w:color="auto"/>
              <w:bottom w:val="single" w:sz="4" w:space="0" w:color="auto"/>
              <w:right w:val="single" w:sz="4" w:space="0" w:color="auto"/>
            </w:tcBorders>
            <w:hideMark/>
          </w:tcPr>
          <w:p w14:paraId="0E76CC81"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7E903379"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0682</w:t>
            </w:r>
          </w:p>
        </w:tc>
        <w:tc>
          <w:tcPr>
            <w:tcW w:w="876" w:type="dxa"/>
            <w:tcBorders>
              <w:top w:val="single" w:sz="4" w:space="0" w:color="auto"/>
              <w:left w:val="single" w:sz="4" w:space="0" w:color="auto"/>
              <w:bottom w:val="single" w:sz="4" w:space="0" w:color="auto"/>
              <w:right w:val="single" w:sz="4" w:space="0" w:color="auto"/>
            </w:tcBorders>
            <w:hideMark/>
          </w:tcPr>
          <w:p w14:paraId="7D139526"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7</w:t>
            </w:r>
            <w:r>
              <w:rPr>
                <w:rFonts w:ascii="Sylfaen" w:hAnsi="Sylfaen" w:cs="Arial"/>
                <w:sz w:val="16"/>
                <w:szCs w:val="16"/>
                <w:lang w:val="ka-GE"/>
              </w:rPr>
              <w:t>,</w:t>
            </w:r>
            <w:r>
              <w:rPr>
                <w:rFonts w:ascii="Sylfaen" w:hAnsi="Sylfaen"/>
                <w:sz w:val="16"/>
                <w:szCs w:val="16"/>
                <w:lang w:val="ka-GE"/>
              </w:rPr>
              <w:t>79</w:t>
            </w:r>
          </w:p>
        </w:tc>
        <w:tc>
          <w:tcPr>
            <w:tcW w:w="919" w:type="dxa"/>
            <w:tcBorders>
              <w:top w:val="single" w:sz="4" w:space="0" w:color="auto"/>
              <w:left w:val="single" w:sz="4" w:space="0" w:color="auto"/>
              <w:bottom w:val="single" w:sz="4" w:space="0" w:color="auto"/>
              <w:right w:val="single" w:sz="4" w:space="0" w:color="auto"/>
            </w:tcBorders>
            <w:hideMark/>
          </w:tcPr>
          <w:p w14:paraId="734DDE18"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c>
          <w:tcPr>
            <w:tcW w:w="978" w:type="dxa"/>
            <w:tcBorders>
              <w:top w:val="single" w:sz="4" w:space="0" w:color="auto"/>
              <w:left w:val="single" w:sz="4" w:space="0" w:color="auto"/>
              <w:bottom w:val="single" w:sz="4" w:space="0" w:color="auto"/>
              <w:right w:val="single" w:sz="4" w:space="0" w:color="auto"/>
            </w:tcBorders>
            <w:hideMark/>
          </w:tcPr>
          <w:p w14:paraId="0D4E3256"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0682</w:t>
            </w:r>
          </w:p>
        </w:tc>
        <w:tc>
          <w:tcPr>
            <w:tcW w:w="934" w:type="dxa"/>
            <w:tcBorders>
              <w:top w:val="single" w:sz="4" w:space="0" w:color="auto"/>
              <w:left w:val="single" w:sz="4" w:space="0" w:color="auto"/>
              <w:bottom w:val="single" w:sz="4" w:space="0" w:color="auto"/>
              <w:right w:val="single" w:sz="4" w:space="0" w:color="auto"/>
            </w:tcBorders>
            <w:hideMark/>
          </w:tcPr>
          <w:p w14:paraId="0BEDCB36"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7</w:t>
            </w:r>
            <w:r>
              <w:rPr>
                <w:rFonts w:ascii="Sylfaen" w:hAnsi="Sylfaen" w:cs="Arial"/>
                <w:sz w:val="16"/>
                <w:szCs w:val="16"/>
                <w:lang w:val="ka-GE"/>
              </w:rPr>
              <w:t>,</w:t>
            </w:r>
            <w:r>
              <w:rPr>
                <w:rFonts w:ascii="Sylfaen" w:hAnsi="Sylfaen"/>
                <w:sz w:val="16"/>
                <w:szCs w:val="16"/>
                <w:lang w:val="ka-GE"/>
              </w:rPr>
              <w:t>79</w:t>
            </w:r>
          </w:p>
        </w:tc>
        <w:tc>
          <w:tcPr>
            <w:tcW w:w="817" w:type="dxa"/>
            <w:tcBorders>
              <w:top w:val="single" w:sz="4" w:space="0" w:color="auto"/>
              <w:left w:val="single" w:sz="4" w:space="0" w:color="auto"/>
              <w:bottom w:val="single" w:sz="4" w:space="0" w:color="auto"/>
              <w:right w:val="single" w:sz="4" w:space="0" w:color="auto"/>
            </w:tcBorders>
            <w:hideMark/>
          </w:tcPr>
          <w:p w14:paraId="3C999269"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r>
      <w:tr w:rsidR="00A2588D" w14:paraId="4672D3D9"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15C59B9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58EE749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4EFB164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8</w:t>
            </w:r>
          </w:p>
        </w:tc>
        <w:tc>
          <w:tcPr>
            <w:tcW w:w="423" w:type="dxa"/>
            <w:tcBorders>
              <w:top w:val="single" w:sz="4" w:space="0" w:color="auto"/>
              <w:left w:val="single" w:sz="4" w:space="0" w:color="auto"/>
              <w:bottom w:val="single" w:sz="4" w:space="0" w:color="auto"/>
              <w:right w:val="single" w:sz="4" w:space="0" w:color="auto"/>
            </w:tcBorders>
            <w:hideMark/>
          </w:tcPr>
          <w:p w14:paraId="11916FD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467" w:type="dxa"/>
            <w:tcBorders>
              <w:top w:val="single" w:sz="4" w:space="0" w:color="auto"/>
              <w:left w:val="single" w:sz="4" w:space="0" w:color="auto"/>
              <w:bottom w:val="single" w:sz="4" w:space="0" w:color="auto"/>
              <w:right w:val="single" w:sz="4" w:space="0" w:color="auto"/>
            </w:tcBorders>
            <w:hideMark/>
          </w:tcPr>
          <w:p w14:paraId="137C55B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23F1E3D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1325</w:t>
            </w:r>
          </w:p>
        </w:tc>
        <w:tc>
          <w:tcPr>
            <w:tcW w:w="1285" w:type="dxa"/>
            <w:tcBorders>
              <w:top w:val="single" w:sz="4" w:space="0" w:color="auto"/>
              <w:left w:val="single" w:sz="4" w:space="0" w:color="auto"/>
              <w:bottom w:val="single" w:sz="4" w:space="0" w:color="auto"/>
              <w:right w:val="single" w:sz="4" w:space="0" w:color="auto"/>
            </w:tcBorders>
            <w:hideMark/>
          </w:tcPr>
          <w:p w14:paraId="11BE8115"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0005972</w:t>
            </w:r>
          </w:p>
        </w:tc>
        <w:tc>
          <w:tcPr>
            <w:tcW w:w="394" w:type="dxa"/>
            <w:tcBorders>
              <w:top w:val="single" w:sz="4" w:space="0" w:color="auto"/>
              <w:left w:val="single" w:sz="4" w:space="0" w:color="auto"/>
              <w:bottom w:val="single" w:sz="4" w:space="0" w:color="auto"/>
              <w:right w:val="single" w:sz="4" w:space="0" w:color="auto"/>
            </w:tcBorders>
            <w:hideMark/>
          </w:tcPr>
          <w:p w14:paraId="546AAB2A"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1B354E5D"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0191</w:t>
            </w:r>
          </w:p>
        </w:tc>
        <w:tc>
          <w:tcPr>
            <w:tcW w:w="876" w:type="dxa"/>
            <w:tcBorders>
              <w:top w:val="single" w:sz="4" w:space="0" w:color="auto"/>
              <w:left w:val="single" w:sz="4" w:space="0" w:color="auto"/>
              <w:bottom w:val="single" w:sz="4" w:space="0" w:color="auto"/>
              <w:right w:val="single" w:sz="4" w:space="0" w:color="auto"/>
            </w:tcBorders>
            <w:hideMark/>
          </w:tcPr>
          <w:p w14:paraId="670C1309"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68</w:t>
            </w:r>
            <w:r>
              <w:rPr>
                <w:rFonts w:ascii="Sylfaen" w:hAnsi="Sylfaen" w:cs="Arial"/>
                <w:sz w:val="16"/>
                <w:szCs w:val="16"/>
                <w:lang w:val="ka-GE"/>
              </w:rPr>
              <w:t>,</w:t>
            </w:r>
            <w:r>
              <w:rPr>
                <w:rFonts w:ascii="Sylfaen" w:hAnsi="Sylfaen"/>
                <w:sz w:val="16"/>
                <w:szCs w:val="16"/>
                <w:lang w:val="ka-GE"/>
              </w:rPr>
              <w:t>79</w:t>
            </w:r>
          </w:p>
        </w:tc>
        <w:tc>
          <w:tcPr>
            <w:tcW w:w="919" w:type="dxa"/>
            <w:tcBorders>
              <w:top w:val="single" w:sz="4" w:space="0" w:color="auto"/>
              <w:left w:val="single" w:sz="4" w:space="0" w:color="auto"/>
              <w:bottom w:val="single" w:sz="4" w:space="0" w:color="auto"/>
              <w:right w:val="single" w:sz="4" w:space="0" w:color="auto"/>
            </w:tcBorders>
            <w:hideMark/>
          </w:tcPr>
          <w:p w14:paraId="55432486"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w:t>
            </w:r>
            <w:r>
              <w:rPr>
                <w:rFonts w:ascii="Sylfaen" w:hAnsi="Sylfaen"/>
                <w:sz w:val="16"/>
                <w:szCs w:val="16"/>
                <w:lang w:val="ka-GE"/>
              </w:rPr>
              <w:t>9158</w:t>
            </w:r>
          </w:p>
        </w:tc>
        <w:tc>
          <w:tcPr>
            <w:tcW w:w="978" w:type="dxa"/>
            <w:tcBorders>
              <w:top w:val="single" w:sz="4" w:space="0" w:color="auto"/>
              <w:left w:val="single" w:sz="4" w:space="0" w:color="auto"/>
              <w:bottom w:val="single" w:sz="4" w:space="0" w:color="auto"/>
              <w:right w:val="single" w:sz="4" w:space="0" w:color="auto"/>
            </w:tcBorders>
            <w:hideMark/>
          </w:tcPr>
          <w:p w14:paraId="0BDD03DF"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0188</w:t>
            </w:r>
          </w:p>
        </w:tc>
        <w:tc>
          <w:tcPr>
            <w:tcW w:w="934" w:type="dxa"/>
            <w:tcBorders>
              <w:top w:val="single" w:sz="4" w:space="0" w:color="auto"/>
              <w:left w:val="single" w:sz="4" w:space="0" w:color="auto"/>
              <w:bottom w:val="single" w:sz="4" w:space="0" w:color="auto"/>
              <w:right w:val="single" w:sz="4" w:space="0" w:color="auto"/>
            </w:tcBorders>
            <w:hideMark/>
          </w:tcPr>
          <w:p w14:paraId="38EA37A9"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69</w:t>
            </w:r>
            <w:r>
              <w:rPr>
                <w:rFonts w:ascii="Sylfaen" w:hAnsi="Sylfaen" w:cs="Arial"/>
                <w:sz w:val="16"/>
                <w:szCs w:val="16"/>
                <w:lang w:val="ka-GE"/>
              </w:rPr>
              <w:t>,</w:t>
            </w:r>
            <w:r>
              <w:rPr>
                <w:rFonts w:ascii="Sylfaen" w:hAnsi="Sylfaen"/>
                <w:sz w:val="16"/>
                <w:szCs w:val="16"/>
                <w:lang w:val="ka-GE"/>
              </w:rPr>
              <w:t>99</w:t>
            </w:r>
          </w:p>
        </w:tc>
        <w:tc>
          <w:tcPr>
            <w:tcW w:w="817" w:type="dxa"/>
            <w:tcBorders>
              <w:top w:val="single" w:sz="4" w:space="0" w:color="auto"/>
              <w:left w:val="single" w:sz="4" w:space="0" w:color="auto"/>
              <w:bottom w:val="single" w:sz="4" w:space="0" w:color="auto"/>
              <w:right w:val="single" w:sz="4" w:space="0" w:color="auto"/>
            </w:tcBorders>
            <w:hideMark/>
          </w:tcPr>
          <w:p w14:paraId="0C662A56"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w:t>
            </w:r>
            <w:r>
              <w:rPr>
                <w:rFonts w:ascii="Sylfaen" w:hAnsi="Sylfaen"/>
                <w:sz w:val="16"/>
                <w:szCs w:val="16"/>
                <w:lang w:val="ka-GE"/>
              </w:rPr>
              <w:t>9640</w:t>
            </w:r>
          </w:p>
        </w:tc>
      </w:tr>
      <w:tr w:rsidR="00A2588D" w14:paraId="1381F74A" w14:textId="77777777" w:rsidTr="00A2588D">
        <w:trPr>
          <w:jc w:val="center"/>
        </w:trPr>
        <w:tc>
          <w:tcPr>
            <w:tcW w:w="2759" w:type="dxa"/>
            <w:gridSpan w:val="6"/>
            <w:tcBorders>
              <w:top w:val="single" w:sz="4" w:space="0" w:color="auto"/>
              <w:left w:val="single" w:sz="4" w:space="0" w:color="auto"/>
              <w:bottom w:val="single" w:sz="4" w:space="0" w:color="auto"/>
              <w:right w:val="single" w:sz="4" w:space="0" w:color="auto"/>
            </w:tcBorders>
            <w:hideMark/>
          </w:tcPr>
          <w:p w14:paraId="3E3604EC" w14:textId="77777777" w:rsidR="00A2588D" w:rsidRDefault="00A2588D" w:rsidP="00A2588D">
            <w:pPr>
              <w:widowControl w:val="0"/>
              <w:autoSpaceDE w:val="0"/>
              <w:autoSpaceDN w:val="0"/>
              <w:adjustRightInd w:val="0"/>
              <w:ind w:left="11"/>
              <w:rPr>
                <w:rFonts w:ascii="Sylfaen" w:hAnsi="Sylfaen" w:cs="Arial"/>
                <w:b/>
                <w:bCs/>
                <w:sz w:val="16"/>
                <w:szCs w:val="16"/>
                <w:lang w:val="ka-GE"/>
              </w:rPr>
            </w:pPr>
            <w:r>
              <w:rPr>
                <w:rFonts w:ascii="Sylfaen" w:hAnsi="Sylfaen" w:cs="Arial"/>
                <w:b/>
                <w:bCs/>
                <w:sz w:val="16"/>
                <w:szCs w:val="16"/>
                <w:lang w:val="ka-GE"/>
              </w:rPr>
              <w:t>სულ:</w:t>
            </w:r>
          </w:p>
        </w:tc>
        <w:tc>
          <w:tcPr>
            <w:tcW w:w="1285" w:type="dxa"/>
            <w:tcBorders>
              <w:top w:val="single" w:sz="4" w:space="0" w:color="auto"/>
              <w:left w:val="single" w:sz="4" w:space="0" w:color="auto"/>
              <w:bottom w:val="single" w:sz="4" w:space="0" w:color="auto"/>
              <w:right w:val="single" w:sz="4" w:space="0" w:color="auto"/>
            </w:tcBorders>
            <w:hideMark/>
          </w:tcPr>
          <w:p w14:paraId="3967AA73" w14:textId="77777777" w:rsidR="00A2588D" w:rsidRDefault="00A2588D" w:rsidP="00A2588D">
            <w:pPr>
              <w:widowControl w:val="0"/>
              <w:autoSpaceDE w:val="0"/>
              <w:autoSpaceDN w:val="0"/>
              <w:adjustRightInd w:val="0"/>
              <w:ind w:right="11"/>
              <w:jc w:val="right"/>
              <w:rPr>
                <w:rFonts w:ascii="Sylfaen" w:hAnsi="Sylfaen" w:cs="Arial"/>
                <w:b/>
                <w:bCs/>
                <w:sz w:val="16"/>
                <w:szCs w:val="16"/>
                <w:lang w:val="ka-GE"/>
              </w:rPr>
            </w:pPr>
            <w:r>
              <w:rPr>
                <w:rFonts w:ascii="Sylfaen" w:hAnsi="Sylfaen"/>
                <w:b/>
                <w:bCs/>
                <w:sz w:val="16"/>
                <w:szCs w:val="16"/>
                <w:lang w:val="ka-GE"/>
              </w:rPr>
              <w:t>0</w:t>
            </w:r>
            <w:r>
              <w:rPr>
                <w:rFonts w:ascii="Sylfaen" w:hAnsi="Sylfaen" w:cs="Arial"/>
                <w:b/>
                <w:bCs/>
                <w:sz w:val="16"/>
                <w:szCs w:val="16"/>
                <w:lang w:val="ka-GE"/>
              </w:rPr>
              <w:t>,</w:t>
            </w:r>
            <w:r>
              <w:rPr>
                <w:rFonts w:ascii="Sylfaen" w:hAnsi="Sylfaen"/>
                <w:b/>
                <w:bCs/>
                <w:sz w:val="16"/>
                <w:szCs w:val="16"/>
                <w:lang w:val="ka-GE"/>
              </w:rPr>
              <w:t>0006063</w:t>
            </w:r>
          </w:p>
        </w:tc>
        <w:tc>
          <w:tcPr>
            <w:tcW w:w="394" w:type="dxa"/>
            <w:tcBorders>
              <w:top w:val="single" w:sz="4" w:space="0" w:color="auto"/>
              <w:left w:val="single" w:sz="4" w:space="0" w:color="auto"/>
              <w:bottom w:val="single" w:sz="4" w:space="0" w:color="auto"/>
              <w:right w:val="single" w:sz="4" w:space="0" w:color="auto"/>
            </w:tcBorders>
          </w:tcPr>
          <w:p w14:paraId="5902DA03" w14:textId="77777777" w:rsidR="00A2588D" w:rsidRDefault="00A2588D" w:rsidP="00A2588D">
            <w:pPr>
              <w:widowControl w:val="0"/>
              <w:autoSpaceDE w:val="0"/>
              <w:autoSpaceDN w:val="0"/>
              <w:adjustRightInd w:val="0"/>
              <w:ind w:left="11"/>
              <w:rPr>
                <w:rFonts w:ascii="Sylfaen" w:hAnsi="Sylfaen" w:cs="Arial"/>
                <w:sz w:val="16"/>
                <w:szCs w:val="16"/>
                <w:lang w:val="ka-GE"/>
              </w:rPr>
            </w:pPr>
          </w:p>
        </w:tc>
        <w:tc>
          <w:tcPr>
            <w:tcW w:w="949" w:type="dxa"/>
            <w:tcBorders>
              <w:top w:val="single" w:sz="4" w:space="0" w:color="auto"/>
              <w:left w:val="single" w:sz="4" w:space="0" w:color="auto"/>
              <w:bottom w:val="single" w:sz="4" w:space="0" w:color="auto"/>
              <w:right w:val="single" w:sz="4" w:space="0" w:color="auto"/>
            </w:tcBorders>
            <w:hideMark/>
          </w:tcPr>
          <w:p w14:paraId="5D7295EE" w14:textId="77777777" w:rsidR="00A2588D" w:rsidRDefault="00A2588D" w:rsidP="00A2588D">
            <w:pPr>
              <w:widowControl w:val="0"/>
              <w:autoSpaceDE w:val="0"/>
              <w:autoSpaceDN w:val="0"/>
              <w:adjustRightInd w:val="0"/>
              <w:ind w:right="11"/>
              <w:jc w:val="right"/>
              <w:rPr>
                <w:rFonts w:ascii="Sylfaen" w:hAnsi="Sylfaen" w:cs="Arial"/>
                <w:b/>
                <w:bCs/>
                <w:sz w:val="16"/>
                <w:szCs w:val="16"/>
                <w:lang w:val="ka-GE"/>
              </w:rPr>
            </w:pPr>
            <w:r>
              <w:rPr>
                <w:rFonts w:ascii="Sylfaen" w:hAnsi="Sylfaen"/>
                <w:b/>
                <w:bCs/>
                <w:sz w:val="16"/>
                <w:szCs w:val="16"/>
                <w:lang w:val="ka-GE"/>
              </w:rPr>
              <w:t>0</w:t>
            </w:r>
            <w:r>
              <w:rPr>
                <w:rFonts w:ascii="Sylfaen" w:hAnsi="Sylfaen" w:cs="Arial"/>
                <w:b/>
                <w:bCs/>
                <w:sz w:val="16"/>
                <w:szCs w:val="16"/>
                <w:lang w:val="ka-GE"/>
              </w:rPr>
              <w:t>,</w:t>
            </w:r>
            <w:r>
              <w:rPr>
                <w:rFonts w:ascii="Sylfaen" w:hAnsi="Sylfaen"/>
                <w:b/>
                <w:bCs/>
                <w:sz w:val="16"/>
                <w:szCs w:val="16"/>
                <w:lang w:val="ka-GE"/>
              </w:rPr>
              <w:t>0873</w:t>
            </w:r>
          </w:p>
        </w:tc>
        <w:tc>
          <w:tcPr>
            <w:tcW w:w="1796" w:type="dxa"/>
            <w:gridSpan w:val="2"/>
            <w:tcBorders>
              <w:top w:val="single" w:sz="4" w:space="0" w:color="auto"/>
              <w:left w:val="single" w:sz="4" w:space="0" w:color="auto"/>
              <w:bottom w:val="single" w:sz="4" w:space="0" w:color="auto"/>
              <w:right w:val="single" w:sz="4" w:space="0" w:color="auto"/>
            </w:tcBorders>
          </w:tcPr>
          <w:p w14:paraId="0FEEBA6F" w14:textId="77777777" w:rsidR="00A2588D" w:rsidRDefault="00A2588D" w:rsidP="00A2588D">
            <w:pPr>
              <w:widowControl w:val="0"/>
              <w:autoSpaceDE w:val="0"/>
              <w:autoSpaceDN w:val="0"/>
              <w:adjustRightInd w:val="0"/>
              <w:ind w:left="11"/>
              <w:rPr>
                <w:rFonts w:ascii="Sylfaen" w:hAnsi="Sylfaen" w:cs="Arial"/>
                <w:sz w:val="16"/>
                <w:szCs w:val="16"/>
                <w:lang w:val="ka-GE"/>
              </w:rPr>
            </w:pPr>
          </w:p>
        </w:tc>
        <w:tc>
          <w:tcPr>
            <w:tcW w:w="978" w:type="dxa"/>
            <w:tcBorders>
              <w:top w:val="single" w:sz="4" w:space="0" w:color="auto"/>
              <w:left w:val="single" w:sz="4" w:space="0" w:color="auto"/>
              <w:bottom w:val="single" w:sz="4" w:space="0" w:color="auto"/>
              <w:right w:val="single" w:sz="4" w:space="0" w:color="auto"/>
            </w:tcBorders>
            <w:hideMark/>
          </w:tcPr>
          <w:p w14:paraId="5472E82C" w14:textId="77777777" w:rsidR="00A2588D" w:rsidRDefault="00A2588D" w:rsidP="00A2588D">
            <w:pPr>
              <w:widowControl w:val="0"/>
              <w:autoSpaceDE w:val="0"/>
              <w:autoSpaceDN w:val="0"/>
              <w:adjustRightInd w:val="0"/>
              <w:ind w:right="11"/>
              <w:jc w:val="right"/>
              <w:rPr>
                <w:rFonts w:ascii="Sylfaen" w:hAnsi="Sylfaen" w:cs="Arial"/>
                <w:b/>
                <w:bCs/>
                <w:sz w:val="16"/>
                <w:szCs w:val="16"/>
                <w:lang w:val="ka-GE"/>
              </w:rPr>
            </w:pPr>
            <w:r>
              <w:rPr>
                <w:rFonts w:ascii="Sylfaen" w:hAnsi="Sylfaen"/>
                <w:b/>
                <w:bCs/>
                <w:sz w:val="16"/>
                <w:szCs w:val="16"/>
                <w:lang w:val="ka-GE"/>
              </w:rPr>
              <w:t>0</w:t>
            </w:r>
            <w:r>
              <w:rPr>
                <w:rFonts w:ascii="Sylfaen" w:hAnsi="Sylfaen" w:cs="Arial"/>
                <w:b/>
                <w:bCs/>
                <w:sz w:val="16"/>
                <w:szCs w:val="16"/>
                <w:lang w:val="ka-GE"/>
              </w:rPr>
              <w:t>,</w:t>
            </w:r>
            <w:r>
              <w:rPr>
                <w:rFonts w:ascii="Sylfaen" w:hAnsi="Sylfaen"/>
                <w:b/>
                <w:bCs/>
                <w:sz w:val="16"/>
                <w:szCs w:val="16"/>
                <w:lang w:val="ka-GE"/>
              </w:rPr>
              <w:t>0871</w:t>
            </w:r>
          </w:p>
        </w:tc>
        <w:tc>
          <w:tcPr>
            <w:tcW w:w="1752" w:type="dxa"/>
            <w:gridSpan w:val="2"/>
            <w:tcBorders>
              <w:top w:val="single" w:sz="4" w:space="0" w:color="auto"/>
              <w:left w:val="single" w:sz="4" w:space="0" w:color="auto"/>
              <w:bottom w:val="single" w:sz="4" w:space="0" w:color="auto"/>
              <w:right w:val="single" w:sz="4" w:space="0" w:color="auto"/>
            </w:tcBorders>
          </w:tcPr>
          <w:p w14:paraId="5741D47F" w14:textId="77777777" w:rsidR="00A2588D" w:rsidRDefault="00A2588D" w:rsidP="00A2588D">
            <w:pPr>
              <w:widowControl w:val="0"/>
              <w:autoSpaceDE w:val="0"/>
              <w:autoSpaceDN w:val="0"/>
              <w:adjustRightInd w:val="0"/>
              <w:ind w:left="11"/>
              <w:rPr>
                <w:rFonts w:ascii="Sylfaen" w:hAnsi="Sylfaen" w:cs="Arial"/>
                <w:sz w:val="16"/>
                <w:szCs w:val="16"/>
                <w:lang w:val="ka-GE"/>
              </w:rPr>
            </w:pPr>
          </w:p>
        </w:tc>
      </w:tr>
    </w:tbl>
    <w:p w14:paraId="7BF87B9D" w14:textId="77777777" w:rsidR="00A2588D" w:rsidRDefault="00A2588D" w:rsidP="00A2588D">
      <w:pPr>
        <w:widowControl w:val="0"/>
        <w:autoSpaceDE w:val="0"/>
        <w:autoSpaceDN w:val="0"/>
        <w:adjustRightInd w:val="0"/>
        <w:jc w:val="center"/>
        <w:rPr>
          <w:rFonts w:ascii="Sylfaen" w:hAnsi="Sylfaen" w:cs="Arial"/>
          <w:sz w:val="20"/>
          <w:szCs w:val="20"/>
          <w:lang w:val="ka-GE"/>
        </w:rPr>
      </w:pPr>
    </w:p>
    <w:p w14:paraId="06AB3CE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724C685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ჯამური ზემოქმედების ჯგუფი: </w:t>
      </w:r>
      <w:r>
        <w:rPr>
          <w:rFonts w:ascii="Sylfaen" w:hAnsi="Sylfaen"/>
          <w:b/>
          <w:bCs/>
          <w:sz w:val="20"/>
          <w:szCs w:val="20"/>
          <w:lang w:val="ka-GE"/>
        </w:rPr>
        <w:t>6043</w:t>
      </w:r>
    </w:p>
    <w:p w14:paraId="784AFC09"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467"/>
        <w:gridCol w:w="423"/>
        <w:gridCol w:w="452"/>
        <w:gridCol w:w="423"/>
        <w:gridCol w:w="467"/>
        <w:gridCol w:w="527"/>
        <w:gridCol w:w="1285"/>
        <w:gridCol w:w="394"/>
        <w:gridCol w:w="949"/>
        <w:gridCol w:w="876"/>
        <w:gridCol w:w="920"/>
        <w:gridCol w:w="978"/>
        <w:gridCol w:w="934"/>
        <w:gridCol w:w="818"/>
      </w:tblGrid>
      <w:tr w:rsidR="00A2588D" w14:paraId="4A8FB393" w14:textId="77777777" w:rsidTr="00A2588D">
        <w:trPr>
          <w:jc w:val="center"/>
        </w:trPr>
        <w:tc>
          <w:tcPr>
            <w:tcW w:w="467" w:type="dxa"/>
            <w:tcBorders>
              <w:top w:val="single" w:sz="4" w:space="0" w:color="auto"/>
              <w:left w:val="single" w:sz="4" w:space="0" w:color="auto"/>
              <w:bottom w:val="nil"/>
              <w:right w:val="single" w:sz="4" w:space="0" w:color="auto"/>
            </w:tcBorders>
            <w:hideMark/>
          </w:tcPr>
          <w:p w14:paraId="6FB3D4FC"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w:t>
            </w:r>
          </w:p>
          <w:p w14:paraId="60FEC127"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მოედ.</w:t>
            </w:r>
          </w:p>
        </w:tc>
        <w:tc>
          <w:tcPr>
            <w:tcW w:w="423" w:type="dxa"/>
            <w:tcBorders>
              <w:top w:val="single" w:sz="4" w:space="0" w:color="auto"/>
              <w:left w:val="single" w:sz="4" w:space="0" w:color="auto"/>
              <w:bottom w:val="nil"/>
              <w:right w:val="single" w:sz="4" w:space="0" w:color="auto"/>
            </w:tcBorders>
            <w:hideMark/>
          </w:tcPr>
          <w:p w14:paraId="2844EDE1"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w:t>
            </w:r>
          </w:p>
          <w:p w14:paraId="77669C1D"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საამქ.</w:t>
            </w:r>
          </w:p>
        </w:tc>
        <w:tc>
          <w:tcPr>
            <w:tcW w:w="452" w:type="dxa"/>
            <w:tcBorders>
              <w:top w:val="single" w:sz="4" w:space="0" w:color="auto"/>
              <w:left w:val="single" w:sz="4" w:space="0" w:color="auto"/>
              <w:bottom w:val="nil"/>
              <w:right w:val="single" w:sz="4" w:space="0" w:color="auto"/>
            </w:tcBorders>
            <w:hideMark/>
          </w:tcPr>
          <w:p w14:paraId="367FFA66"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w:t>
            </w:r>
          </w:p>
          <w:p w14:paraId="66B5EA40"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წყაროს</w:t>
            </w:r>
          </w:p>
        </w:tc>
        <w:tc>
          <w:tcPr>
            <w:tcW w:w="423" w:type="dxa"/>
            <w:tcBorders>
              <w:top w:val="single" w:sz="4" w:space="0" w:color="auto"/>
              <w:left w:val="single" w:sz="4" w:space="0" w:color="auto"/>
              <w:bottom w:val="nil"/>
              <w:right w:val="single" w:sz="4" w:space="0" w:color="auto"/>
            </w:tcBorders>
            <w:hideMark/>
          </w:tcPr>
          <w:p w14:paraId="6BE8993A"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ტიპი</w:t>
            </w:r>
          </w:p>
        </w:tc>
        <w:tc>
          <w:tcPr>
            <w:tcW w:w="467" w:type="dxa"/>
            <w:tcBorders>
              <w:top w:val="single" w:sz="4" w:space="0" w:color="auto"/>
              <w:left w:val="single" w:sz="4" w:space="0" w:color="auto"/>
              <w:bottom w:val="nil"/>
              <w:right w:val="single" w:sz="4" w:space="0" w:color="auto"/>
            </w:tcBorders>
            <w:hideMark/>
          </w:tcPr>
          <w:p w14:paraId="554B2933"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აღრიცხვა</w:t>
            </w:r>
          </w:p>
        </w:tc>
        <w:tc>
          <w:tcPr>
            <w:tcW w:w="525" w:type="dxa"/>
            <w:tcBorders>
              <w:top w:val="single" w:sz="4" w:space="0" w:color="auto"/>
              <w:left w:val="single" w:sz="4" w:space="0" w:color="auto"/>
              <w:bottom w:val="nil"/>
              <w:right w:val="single" w:sz="4" w:space="0" w:color="auto"/>
            </w:tcBorders>
            <w:hideMark/>
          </w:tcPr>
          <w:p w14:paraId="3F786F5B"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კოდი</w:t>
            </w:r>
          </w:p>
          <w:p w14:paraId="0A54CA22"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в</w:t>
            </w:r>
            <w:r>
              <w:rPr>
                <w:rFonts w:ascii="Sylfaen" w:hAnsi="Sylfaen" w:cs="Arial"/>
                <w:b/>
                <w:bCs/>
                <w:sz w:val="16"/>
                <w:szCs w:val="16"/>
                <w:lang w:val="ka-GE"/>
              </w:rPr>
              <w:t>-</w:t>
            </w:r>
            <w:r>
              <w:rPr>
                <w:rFonts w:ascii="Sylfaen" w:hAnsi="Sylfaen"/>
                <w:b/>
                <w:bCs/>
                <w:sz w:val="16"/>
                <w:szCs w:val="16"/>
                <w:lang w:val="ka-GE"/>
              </w:rPr>
              <w:t>ва</w:t>
            </w:r>
          </w:p>
        </w:tc>
        <w:tc>
          <w:tcPr>
            <w:tcW w:w="1285" w:type="dxa"/>
            <w:tcBorders>
              <w:top w:val="single" w:sz="4" w:space="0" w:color="auto"/>
              <w:left w:val="single" w:sz="4" w:space="0" w:color="auto"/>
              <w:bottom w:val="nil"/>
              <w:right w:val="single" w:sz="4" w:space="0" w:color="auto"/>
            </w:tcBorders>
            <w:hideMark/>
          </w:tcPr>
          <w:p w14:paraId="71DB262F"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გაფრქვევა</w:t>
            </w:r>
          </w:p>
          <w:p w14:paraId="7F54BCE0"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(გ/წმ)</w:t>
            </w:r>
          </w:p>
        </w:tc>
        <w:tc>
          <w:tcPr>
            <w:tcW w:w="394" w:type="dxa"/>
            <w:tcBorders>
              <w:top w:val="single" w:sz="4" w:space="0" w:color="auto"/>
              <w:left w:val="single" w:sz="4" w:space="0" w:color="auto"/>
              <w:bottom w:val="nil"/>
              <w:right w:val="single" w:sz="4" w:space="0" w:color="auto"/>
            </w:tcBorders>
            <w:hideMark/>
          </w:tcPr>
          <w:p w14:paraId="70DEDB7A"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F</w:t>
            </w:r>
          </w:p>
        </w:tc>
        <w:tc>
          <w:tcPr>
            <w:tcW w:w="2745" w:type="dxa"/>
            <w:gridSpan w:val="3"/>
            <w:tcBorders>
              <w:top w:val="single" w:sz="4" w:space="0" w:color="auto"/>
              <w:left w:val="single" w:sz="4" w:space="0" w:color="auto"/>
              <w:bottom w:val="single" w:sz="4" w:space="0" w:color="auto"/>
              <w:right w:val="single" w:sz="4" w:space="0" w:color="auto"/>
            </w:tcBorders>
            <w:hideMark/>
          </w:tcPr>
          <w:p w14:paraId="3096CC23"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ზაფხ.</w:t>
            </w:r>
          </w:p>
        </w:tc>
        <w:tc>
          <w:tcPr>
            <w:tcW w:w="2730" w:type="dxa"/>
            <w:gridSpan w:val="3"/>
            <w:tcBorders>
              <w:top w:val="single" w:sz="4" w:space="0" w:color="auto"/>
              <w:left w:val="single" w:sz="4" w:space="0" w:color="auto"/>
              <w:bottom w:val="single" w:sz="4" w:space="0" w:color="auto"/>
              <w:right w:val="single" w:sz="4" w:space="0" w:color="auto"/>
            </w:tcBorders>
            <w:hideMark/>
          </w:tcPr>
          <w:p w14:paraId="24221516"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ზამთ.</w:t>
            </w:r>
          </w:p>
        </w:tc>
      </w:tr>
      <w:tr w:rsidR="00A2588D" w14:paraId="04161566" w14:textId="77777777" w:rsidTr="00A2588D">
        <w:trPr>
          <w:jc w:val="center"/>
        </w:trPr>
        <w:tc>
          <w:tcPr>
            <w:tcW w:w="467" w:type="dxa"/>
            <w:tcBorders>
              <w:top w:val="nil"/>
              <w:left w:val="single" w:sz="4" w:space="0" w:color="auto"/>
              <w:bottom w:val="single" w:sz="4" w:space="0" w:color="auto"/>
              <w:right w:val="single" w:sz="4" w:space="0" w:color="auto"/>
            </w:tcBorders>
          </w:tcPr>
          <w:p w14:paraId="05E8EC4B"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423" w:type="dxa"/>
            <w:tcBorders>
              <w:top w:val="nil"/>
              <w:left w:val="single" w:sz="4" w:space="0" w:color="auto"/>
              <w:bottom w:val="single" w:sz="4" w:space="0" w:color="auto"/>
              <w:right w:val="single" w:sz="4" w:space="0" w:color="auto"/>
            </w:tcBorders>
          </w:tcPr>
          <w:p w14:paraId="53BD9D36"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452" w:type="dxa"/>
            <w:tcBorders>
              <w:top w:val="nil"/>
              <w:left w:val="single" w:sz="4" w:space="0" w:color="auto"/>
              <w:bottom w:val="single" w:sz="4" w:space="0" w:color="auto"/>
              <w:right w:val="single" w:sz="4" w:space="0" w:color="auto"/>
            </w:tcBorders>
          </w:tcPr>
          <w:p w14:paraId="2C4501A7"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423" w:type="dxa"/>
            <w:tcBorders>
              <w:top w:val="nil"/>
              <w:left w:val="single" w:sz="4" w:space="0" w:color="auto"/>
              <w:bottom w:val="single" w:sz="4" w:space="0" w:color="auto"/>
              <w:right w:val="single" w:sz="4" w:space="0" w:color="auto"/>
            </w:tcBorders>
          </w:tcPr>
          <w:p w14:paraId="6E5D1FC2"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467" w:type="dxa"/>
            <w:tcBorders>
              <w:top w:val="nil"/>
              <w:left w:val="single" w:sz="4" w:space="0" w:color="auto"/>
              <w:bottom w:val="single" w:sz="4" w:space="0" w:color="auto"/>
              <w:right w:val="single" w:sz="4" w:space="0" w:color="auto"/>
            </w:tcBorders>
          </w:tcPr>
          <w:p w14:paraId="0598493F"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525" w:type="dxa"/>
            <w:tcBorders>
              <w:top w:val="nil"/>
              <w:left w:val="single" w:sz="4" w:space="0" w:color="auto"/>
              <w:bottom w:val="single" w:sz="4" w:space="0" w:color="auto"/>
              <w:right w:val="single" w:sz="4" w:space="0" w:color="auto"/>
            </w:tcBorders>
          </w:tcPr>
          <w:p w14:paraId="3E3E9B6D"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1285" w:type="dxa"/>
            <w:tcBorders>
              <w:top w:val="nil"/>
              <w:left w:val="single" w:sz="4" w:space="0" w:color="auto"/>
              <w:bottom w:val="single" w:sz="4" w:space="0" w:color="auto"/>
              <w:right w:val="single" w:sz="4" w:space="0" w:color="auto"/>
            </w:tcBorders>
          </w:tcPr>
          <w:p w14:paraId="02DD7E84"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394" w:type="dxa"/>
            <w:tcBorders>
              <w:top w:val="nil"/>
              <w:left w:val="single" w:sz="4" w:space="0" w:color="auto"/>
              <w:bottom w:val="single" w:sz="4" w:space="0" w:color="auto"/>
              <w:right w:val="single" w:sz="4" w:space="0" w:color="auto"/>
            </w:tcBorders>
          </w:tcPr>
          <w:p w14:paraId="064B403C"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949" w:type="dxa"/>
            <w:tcBorders>
              <w:top w:val="single" w:sz="4" w:space="0" w:color="auto"/>
              <w:left w:val="single" w:sz="4" w:space="0" w:color="auto"/>
              <w:bottom w:val="single" w:sz="4" w:space="0" w:color="auto"/>
              <w:right w:val="single" w:sz="4" w:space="0" w:color="auto"/>
            </w:tcBorders>
            <w:hideMark/>
          </w:tcPr>
          <w:p w14:paraId="0FEBECB5"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Cm/</w:t>
            </w:r>
            <w:r>
              <w:rPr>
                <w:rFonts w:ascii="Sylfaen" w:hAnsi="Sylfaen" w:cs="Arial"/>
                <w:b/>
                <w:bCs/>
                <w:sz w:val="16"/>
                <w:szCs w:val="16"/>
                <w:lang w:val="ka-GE"/>
              </w:rPr>
              <w:t>ზდკ</w:t>
            </w:r>
          </w:p>
        </w:tc>
        <w:tc>
          <w:tcPr>
            <w:tcW w:w="876" w:type="dxa"/>
            <w:tcBorders>
              <w:top w:val="single" w:sz="4" w:space="0" w:color="auto"/>
              <w:left w:val="single" w:sz="4" w:space="0" w:color="auto"/>
              <w:bottom w:val="single" w:sz="4" w:space="0" w:color="auto"/>
              <w:right w:val="single" w:sz="4" w:space="0" w:color="auto"/>
            </w:tcBorders>
            <w:hideMark/>
          </w:tcPr>
          <w:p w14:paraId="68E49AFB"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Xm</w:t>
            </w:r>
          </w:p>
        </w:tc>
        <w:tc>
          <w:tcPr>
            <w:tcW w:w="919" w:type="dxa"/>
            <w:tcBorders>
              <w:top w:val="single" w:sz="4" w:space="0" w:color="auto"/>
              <w:left w:val="single" w:sz="4" w:space="0" w:color="auto"/>
              <w:bottom w:val="single" w:sz="4" w:space="0" w:color="auto"/>
              <w:right w:val="single" w:sz="4" w:space="0" w:color="auto"/>
            </w:tcBorders>
            <w:hideMark/>
          </w:tcPr>
          <w:p w14:paraId="251A8BD4"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Um</w:t>
            </w:r>
            <w:r>
              <w:rPr>
                <w:rFonts w:ascii="Sylfaen" w:hAnsi="Sylfaen" w:cs="Arial"/>
                <w:b/>
                <w:bCs/>
                <w:sz w:val="16"/>
                <w:szCs w:val="16"/>
                <w:lang w:val="ka-GE"/>
              </w:rPr>
              <w:t xml:space="preserve"> (მ/წმ)</w:t>
            </w:r>
          </w:p>
        </w:tc>
        <w:tc>
          <w:tcPr>
            <w:tcW w:w="978" w:type="dxa"/>
            <w:tcBorders>
              <w:top w:val="single" w:sz="4" w:space="0" w:color="auto"/>
              <w:left w:val="single" w:sz="4" w:space="0" w:color="auto"/>
              <w:bottom w:val="single" w:sz="4" w:space="0" w:color="auto"/>
              <w:right w:val="single" w:sz="4" w:space="0" w:color="auto"/>
            </w:tcBorders>
            <w:hideMark/>
          </w:tcPr>
          <w:p w14:paraId="067310BF"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Cm/</w:t>
            </w:r>
            <w:r>
              <w:rPr>
                <w:rFonts w:ascii="Sylfaen" w:hAnsi="Sylfaen" w:cs="Arial"/>
                <w:b/>
                <w:bCs/>
                <w:sz w:val="16"/>
                <w:szCs w:val="16"/>
                <w:lang w:val="ka-GE"/>
              </w:rPr>
              <w:t>ზდკ</w:t>
            </w:r>
          </w:p>
        </w:tc>
        <w:tc>
          <w:tcPr>
            <w:tcW w:w="934" w:type="dxa"/>
            <w:tcBorders>
              <w:top w:val="single" w:sz="4" w:space="0" w:color="auto"/>
              <w:left w:val="single" w:sz="4" w:space="0" w:color="auto"/>
              <w:bottom w:val="single" w:sz="4" w:space="0" w:color="auto"/>
              <w:right w:val="single" w:sz="4" w:space="0" w:color="auto"/>
            </w:tcBorders>
            <w:hideMark/>
          </w:tcPr>
          <w:p w14:paraId="075622DE"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Xm</w:t>
            </w:r>
          </w:p>
        </w:tc>
        <w:tc>
          <w:tcPr>
            <w:tcW w:w="817" w:type="dxa"/>
            <w:tcBorders>
              <w:top w:val="single" w:sz="4" w:space="0" w:color="auto"/>
              <w:left w:val="single" w:sz="4" w:space="0" w:color="auto"/>
              <w:bottom w:val="single" w:sz="4" w:space="0" w:color="auto"/>
              <w:right w:val="single" w:sz="4" w:space="0" w:color="auto"/>
            </w:tcBorders>
            <w:hideMark/>
          </w:tcPr>
          <w:p w14:paraId="0E8449F6"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Um</w:t>
            </w:r>
            <w:r>
              <w:rPr>
                <w:rFonts w:ascii="Sylfaen" w:hAnsi="Sylfaen" w:cs="Arial"/>
                <w:b/>
                <w:bCs/>
                <w:sz w:val="16"/>
                <w:szCs w:val="16"/>
                <w:lang w:val="ka-GE"/>
              </w:rPr>
              <w:t xml:space="preserve"> (მ/წმ)</w:t>
            </w:r>
          </w:p>
        </w:tc>
      </w:tr>
      <w:tr w:rsidR="00A2588D" w14:paraId="48658985"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5E3F91E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47CDB02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38EA879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423" w:type="dxa"/>
            <w:tcBorders>
              <w:top w:val="single" w:sz="4" w:space="0" w:color="auto"/>
              <w:left w:val="single" w:sz="4" w:space="0" w:color="auto"/>
              <w:bottom w:val="single" w:sz="4" w:space="0" w:color="auto"/>
              <w:right w:val="single" w:sz="4" w:space="0" w:color="auto"/>
            </w:tcBorders>
            <w:hideMark/>
          </w:tcPr>
          <w:p w14:paraId="1860FFD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467" w:type="dxa"/>
            <w:tcBorders>
              <w:top w:val="single" w:sz="4" w:space="0" w:color="auto"/>
              <w:left w:val="single" w:sz="4" w:space="0" w:color="auto"/>
              <w:bottom w:val="single" w:sz="4" w:space="0" w:color="auto"/>
              <w:right w:val="single" w:sz="4" w:space="0" w:color="auto"/>
            </w:tcBorders>
            <w:hideMark/>
          </w:tcPr>
          <w:p w14:paraId="5C433C8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1A76296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0333</w:t>
            </w:r>
          </w:p>
        </w:tc>
        <w:tc>
          <w:tcPr>
            <w:tcW w:w="1285" w:type="dxa"/>
            <w:tcBorders>
              <w:top w:val="single" w:sz="4" w:space="0" w:color="auto"/>
              <w:left w:val="single" w:sz="4" w:space="0" w:color="auto"/>
              <w:bottom w:val="single" w:sz="4" w:space="0" w:color="auto"/>
              <w:right w:val="single" w:sz="4" w:space="0" w:color="auto"/>
            </w:tcBorders>
            <w:hideMark/>
          </w:tcPr>
          <w:p w14:paraId="421F9296"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0000091</w:t>
            </w:r>
          </w:p>
        </w:tc>
        <w:tc>
          <w:tcPr>
            <w:tcW w:w="394" w:type="dxa"/>
            <w:tcBorders>
              <w:top w:val="single" w:sz="4" w:space="0" w:color="auto"/>
              <w:left w:val="single" w:sz="4" w:space="0" w:color="auto"/>
              <w:bottom w:val="single" w:sz="4" w:space="0" w:color="auto"/>
              <w:right w:val="single" w:sz="4" w:space="0" w:color="auto"/>
            </w:tcBorders>
            <w:hideMark/>
          </w:tcPr>
          <w:p w14:paraId="50475E7B"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5D00744A"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0682</w:t>
            </w:r>
          </w:p>
        </w:tc>
        <w:tc>
          <w:tcPr>
            <w:tcW w:w="876" w:type="dxa"/>
            <w:tcBorders>
              <w:top w:val="single" w:sz="4" w:space="0" w:color="auto"/>
              <w:left w:val="single" w:sz="4" w:space="0" w:color="auto"/>
              <w:bottom w:val="single" w:sz="4" w:space="0" w:color="auto"/>
              <w:right w:val="single" w:sz="4" w:space="0" w:color="auto"/>
            </w:tcBorders>
            <w:hideMark/>
          </w:tcPr>
          <w:p w14:paraId="757A3264"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7</w:t>
            </w:r>
            <w:r>
              <w:rPr>
                <w:rFonts w:ascii="Sylfaen" w:hAnsi="Sylfaen" w:cs="Arial"/>
                <w:sz w:val="16"/>
                <w:szCs w:val="16"/>
                <w:lang w:val="ka-GE"/>
              </w:rPr>
              <w:t>,</w:t>
            </w:r>
            <w:r>
              <w:rPr>
                <w:rFonts w:ascii="Sylfaen" w:hAnsi="Sylfaen"/>
                <w:sz w:val="16"/>
                <w:szCs w:val="16"/>
                <w:lang w:val="ka-GE"/>
              </w:rPr>
              <w:t>79</w:t>
            </w:r>
          </w:p>
        </w:tc>
        <w:tc>
          <w:tcPr>
            <w:tcW w:w="919" w:type="dxa"/>
            <w:tcBorders>
              <w:top w:val="single" w:sz="4" w:space="0" w:color="auto"/>
              <w:left w:val="single" w:sz="4" w:space="0" w:color="auto"/>
              <w:bottom w:val="single" w:sz="4" w:space="0" w:color="auto"/>
              <w:right w:val="single" w:sz="4" w:space="0" w:color="auto"/>
            </w:tcBorders>
            <w:hideMark/>
          </w:tcPr>
          <w:p w14:paraId="6BEC1BAA"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c>
          <w:tcPr>
            <w:tcW w:w="978" w:type="dxa"/>
            <w:tcBorders>
              <w:top w:val="single" w:sz="4" w:space="0" w:color="auto"/>
              <w:left w:val="single" w:sz="4" w:space="0" w:color="auto"/>
              <w:bottom w:val="single" w:sz="4" w:space="0" w:color="auto"/>
              <w:right w:val="single" w:sz="4" w:space="0" w:color="auto"/>
            </w:tcBorders>
            <w:hideMark/>
          </w:tcPr>
          <w:p w14:paraId="5BEE33FB"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0682</w:t>
            </w:r>
          </w:p>
        </w:tc>
        <w:tc>
          <w:tcPr>
            <w:tcW w:w="934" w:type="dxa"/>
            <w:tcBorders>
              <w:top w:val="single" w:sz="4" w:space="0" w:color="auto"/>
              <w:left w:val="single" w:sz="4" w:space="0" w:color="auto"/>
              <w:bottom w:val="single" w:sz="4" w:space="0" w:color="auto"/>
              <w:right w:val="single" w:sz="4" w:space="0" w:color="auto"/>
            </w:tcBorders>
            <w:hideMark/>
          </w:tcPr>
          <w:p w14:paraId="5C4CFB53"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7</w:t>
            </w:r>
            <w:r>
              <w:rPr>
                <w:rFonts w:ascii="Sylfaen" w:hAnsi="Sylfaen" w:cs="Arial"/>
                <w:sz w:val="16"/>
                <w:szCs w:val="16"/>
                <w:lang w:val="ka-GE"/>
              </w:rPr>
              <w:t>,</w:t>
            </w:r>
            <w:r>
              <w:rPr>
                <w:rFonts w:ascii="Sylfaen" w:hAnsi="Sylfaen"/>
                <w:sz w:val="16"/>
                <w:szCs w:val="16"/>
                <w:lang w:val="ka-GE"/>
              </w:rPr>
              <w:t>79</w:t>
            </w:r>
          </w:p>
        </w:tc>
        <w:tc>
          <w:tcPr>
            <w:tcW w:w="817" w:type="dxa"/>
            <w:tcBorders>
              <w:top w:val="single" w:sz="4" w:space="0" w:color="auto"/>
              <w:left w:val="single" w:sz="4" w:space="0" w:color="auto"/>
              <w:bottom w:val="single" w:sz="4" w:space="0" w:color="auto"/>
              <w:right w:val="single" w:sz="4" w:space="0" w:color="auto"/>
            </w:tcBorders>
            <w:hideMark/>
          </w:tcPr>
          <w:p w14:paraId="10528283"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r>
      <w:tr w:rsidR="00A2588D" w14:paraId="779D7E18"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7A599A6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5A85D25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5AE2200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5</w:t>
            </w:r>
          </w:p>
        </w:tc>
        <w:tc>
          <w:tcPr>
            <w:tcW w:w="423" w:type="dxa"/>
            <w:tcBorders>
              <w:top w:val="single" w:sz="4" w:space="0" w:color="auto"/>
              <w:left w:val="single" w:sz="4" w:space="0" w:color="auto"/>
              <w:bottom w:val="single" w:sz="4" w:space="0" w:color="auto"/>
              <w:right w:val="single" w:sz="4" w:space="0" w:color="auto"/>
            </w:tcBorders>
            <w:hideMark/>
          </w:tcPr>
          <w:p w14:paraId="2FF2912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467" w:type="dxa"/>
            <w:tcBorders>
              <w:top w:val="single" w:sz="4" w:space="0" w:color="auto"/>
              <w:left w:val="single" w:sz="4" w:space="0" w:color="auto"/>
              <w:bottom w:val="single" w:sz="4" w:space="0" w:color="auto"/>
              <w:right w:val="single" w:sz="4" w:space="0" w:color="auto"/>
            </w:tcBorders>
            <w:hideMark/>
          </w:tcPr>
          <w:p w14:paraId="07B6F69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111D95A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0330</w:t>
            </w:r>
          </w:p>
        </w:tc>
        <w:tc>
          <w:tcPr>
            <w:tcW w:w="1285" w:type="dxa"/>
            <w:tcBorders>
              <w:top w:val="single" w:sz="4" w:space="0" w:color="auto"/>
              <w:left w:val="single" w:sz="4" w:space="0" w:color="auto"/>
              <w:bottom w:val="single" w:sz="4" w:space="0" w:color="auto"/>
              <w:right w:val="single" w:sz="4" w:space="0" w:color="auto"/>
            </w:tcBorders>
            <w:hideMark/>
          </w:tcPr>
          <w:p w14:paraId="370403DC"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0033200</w:t>
            </w:r>
          </w:p>
        </w:tc>
        <w:tc>
          <w:tcPr>
            <w:tcW w:w="394" w:type="dxa"/>
            <w:tcBorders>
              <w:top w:val="single" w:sz="4" w:space="0" w:color="auto"/>
              <w:left w:val="single" w:sz="4" w:space="0" w:color="auto"/>
              <w:bottom w:val="single" w:sz="4" w:space="0" w:color="auto"/>
              <w:right w:val="single" w:sz="4" w:space="0" w:color="auto"/>
            </w:tcBorders>
            <w:hideMark/>
          </w:tcPr>
          <w:p w14:paraId="3014EBFC"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2DADECF4"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0280</w:t>
            </w:r>
          </w:p>
        </w:tc>
        <w:tc>
          <w:tcPr>
            <w:tcW w:w="876" w:type="dxa"/>
            <w:tcBorders>
              <w:top w:val="single" w:sz="4" w:space="0" w:color="auto"/>
              <w:left w:val="single" w:sz="4" w:space="0" w:color="auto"/>
              <w:bottom w:val="single" w:sz="4" w:space="0" w:color="auto"/>
              <w:right w:val="single" w:sz="4" w:space="0" w:color="auto"/>
            </w:tcBorders>
            <w:hideMark/>
          </w:tcPr>
          <w:p w14:paraId="04680E48"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26F89821"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c>
          <w:tcPr>
            <w:tcW w:w="978" w:type="dxa"/>
            <w:tcBorders>
              <w:top w:val="single" w:sz="4" w:space="0" w:color="auto"/>
              <w:left w:val="single" w:sz="4" w:space="0" w:color="auto"/>
              <w:bottom w:val="single" w:sz="4" w:space="0" w:color="auto"/>
              <w:right w:val="single" w:sz="4" w:space="0" w:color="auto"/>
            </w:tcBorders>
            <w:hideMark/>
          </w:tcPr>
          <w:p w14:paraId="29F0F7C4"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0280</w:t>
            </w:r>
          </w:p>
        </w:tc>
        <w:tc>
          <w:tcPr>
            <w:tcW w:w="934" w:type="dxa"/>
            <w:tcBorders>
              <w:top w:val="single" w:sz="4" w:space="0" w:color="auto"/>
              <w:left w:val="single" w:sz="4" w:space="0" w:color="auto"/>
              <w:bottom w:val="single" w:sz="4" w:space="0" w:color="auto"/>
              <w:right w:val="single" w:sz="4" w:space="0" w:color="auto"/>
            </w:tcBorders>
            <w:hideMark/>
          </w:tcPr>
          <w:p w14:paraId="1C5DE283"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817" w:type="dxa"/>
            <w:tcBorders>
              <w:top w:val="single" w:sz="4" w:space="0" w:color="auto"/>
              <w:left w:val="single" w:sz="4" w:space="0" w:color="auto"/>
              <w:bottom w:val="single" w:sz="4" w:space="0" w:color="auto"/>
              <w:right w:val="single" w:sz="4" w:space="0" w:color="auto"/>
            </w:tcBorders>
            <w:hideMark/>
          </w:tcPr>
          <w:p w14:paraId="58C779EE"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r>
      <w:tr w:rsidR="00A2588D" w14:paraId="49566A37"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6FFB485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16141C7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1C958EE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6</w:t>
            </w:r>
          </w:p>
        </w:tc>
        <w:tc>
          <w:tcPr>
            <w:tcW w:w="423" w:type="dxa"/>
            <w:tcBorders>
              <w:top w:val="single" w:sz="4" w:space="0" w:color="auto"/>
              <w:left w:val="single" w:sz="4" w:space="0" w:color="auto"/>
              <w:bottom w:val="single" w:sz="4" w:space="0" w:color="auto"/>
              <w:right w:val="single" w:sz="4" w:space="0" w:color="auto"/>
            </w:tcBorders>
            <w:hideMark/>
          </w:tcPr>
          <w:p w14:paraId="3097DCD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467" w:type="dxa"/>
            <w:tcBorders>
              <w:top w:val="single" w:sz="4" w:space="0" w:color="auto"/>
              <w:left w:val="single" w:sz="4" w:space="0" w:color="auto"/>
              <w:bottom w:val="single" w:sz="4" w:space="0" w:color="auto"/>
              <w:right w:val="single" w:sz="4" w:space="0" w:color="auto"/>
            </w:tcBorders>
            <w:hideMark/>
          </w:tcPr>
          <w:p w14:paraId="4CFF919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0381799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0330</w:t>
            </w:r>
          </w:p>
        </w:tc>
        <w:tc>
          <w:tcPr>
            <w:tcW w:w="1285" w:type="dxa"/>
            <w:tcBorders>
              <w:top w:val="single" w:sz="4" w:space="0" w:color="auto"/>
              <w:left w:val="single" w:sz="4" w:space="0" w:color="auto"/>
              <w:bottom w:val="single" w:sz="4" w:space="0" w:color="auto"/>
              <w:right w:val="single" w:sz="4" w:space="0" w:color="auto"/>
            </w:tcBorders>
            <w:hideMark/>
          </w:tcPr>
          <w:p w14:paraId="19227BFC"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0033200</w:t>
            </w:r>
          </w:p>
        </w:tc>
        <w:tc>
          <w:tcPr>
            <w:tcW w:w="394" w:type="dxa"/>
            <w:tcBorders>
              <w:top w:val="single" w:sz="4" w:space="0" w:color="auto"/>
              <w:left w:val="single" w:sz="4" w:space="0" w:color="auto"/>
              <w:bottom w:val="single" w:sz="4" w:space="0" w:color="auto"/>
              <w:right w:val="single" w:sz="4" w:space="0" w:color="auto"/>
            </w:tcBorders>
            <w:hideMark/>
          </w:tcPr>
          <w:p w14:paraId="5AFB3C20"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733E7FB3"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0280</w:t>
            </w:r>
          </w:p>
        </w:tc>
        <w:tc>
          <w:tcPr>
            <w:tcW w:w="876" w:type="dxa"/>
            <w:tcBorders>
              <w:top w:val="single" w:sz="4" w:space="0" w:color="auto"/>
              <w:left w:val="single" w:sz="4" w:space="0" w:color="auto"/>
              <w:bottom w:val="single" w:sz="4" w:space="0" w:color="auto"/>
              <w:right w:val="single" w:sz="4" w:space="0" w:color="auto"/>
            </w:tcBorders>
            <w:hideMark/>
          </w:tcPr>
          <w:p w14:paraId="3FB5DB55"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3EAC1589"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c>
          <w:tcPr>
            <w:tcW w:w="978" w:type="dxa"/>
            <w:tcBorders>
              <w:top w:val="single" w:sz="4" w:space="0" w:color="auto"/>
              <w:left w:val="single" w:sz="4" w:space="0" w:color="auto"/>
              <w:bottom w:val="single" w:sz="4" w:space="0" w:color="auto"/>
              <w:right w:val="single" w:sz="4" w:space="0" w:color="auto"/>
            </w:tcBorders>
            <w:hideMark/>
          </w:tcPr>
          <w:p w14:paraId="6AC2F173"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0280</w:t>
            </w:r>
          </w:p>
        </w:tc>
        <w:tc>
          <w:tcPr>
            <w:tcW w:w="934" w:type="dxa"/>
            <w:tcBorders>
              <w:top w:val="single" w:sz="4" w:space="0" w:color="auto"/>
              <w:left w:val="single" w:sz="4" w:space="0" w:color="auto"/>
              <w:bottom w:val="single" w:sz="4" w:space="0" w:color="auto"/>
              <w:right w:val="single" w:sz="4" w:space="0" w:color="auto"/>
            </w:tcBorders>
            <w:hideMark/>
          </w:tcPr>
          <w:p w14:paraId="53B5A9F5"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817" w:type="dxa"/>
            <w:tcBorders>
              <w:top w:val="single" w:sz="4" w:space="0" w:color="auto"/>
              <w:left w:val="single" w:sz="4" w:space="0" w:color="auto"/>
              <w:bottom w:val="single" w:sz="4" w:space="0" w:color="auto"/>
              <w:right w:val="single" w:sz="4" w:space="0" w:color="auto"/>
            </w:tcBorders>
            <w:hideMark/>
          </w:tcPr>
          <w:p w14:paraId="7B460C65"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r>
      <w:tr w:rsidR="00A2588D" w14:paraId="74FF92D0"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13358CA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0860F5B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0ABF900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8</w:t>
            </w:r>
          </w:p>
        </w:tc>
        <w:tc>
          <w:tcPr>
            <w:tcW w:w="423" w:type="dxa"/>
            <w:tcBorders>
              <w:top w:val="single" w:sz="4" w:space="0" w:color="auto"/>
              <w:left w:val="single" w:sz="4" w:space="0" w:color="auto"/>
              <w:bottom w:val="single" w:sz="4" w:space="0" w:color="auto"/>
              <w:right w:val="single" w:sz="4" w:space="0" w:color="auto"/>
            </w:tcBorders>
            <w:hideMark/>
          </w:tcPr>
          <w:p w14:paraId="7204290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467" w:type="dxa"/>
            <w:tcBorders>
              <w:top w:val="single" w:sz="4" w:space="0" w:color="auto"/>
              <w:left w:val="single" w:sz="4" w:space="0" w:color="auto"/>
              <w:bottom w:val="single" w:sz="4" w:space="0" w:color="auto"/>
              <w:right w:val="single" w:sz="4" w:space="0" w:color="auto"/>
            </w:tcBorders>
            <w:hideMark/>
          </w:tcPr>
          <w:p w14:paraId="24A6503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1B5F94F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0330</w:t>
            </w:r>
          </w:p>
        </w:tc>
        <w:tc>
          <w:tcPr>
            <w:tcW w:w="1285" w:type="dxa"/>
            <w:tcBorders>
              <w:top w:val="single" w:sz="4" w:space="0" w:color="auto"/>
              <w:left w:val="single" w:sz="4" w:space="0" w:color="auto"/>
              <w:bottom w:val="single" w:sz="4" w:space="0" w:color="auto"/>
              <w:right w:val="single" w:sz="4" w:space="0" w:color="auto"/>
            </w:tcBorders>
            <w:hideMark/>
          </w:tcPr>
          <w:p w14:paraId="3CE27271"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0152778</w:t>
            </w:r>
          </w:p>
        </w:tc>
        <w:tc>
          <w:tcPr>
            <w:tcW w:w="394" w:type="dxa"/>
            <w:tcBorders>
              <w:top w:val="single" w:sz="4" w:space="0" w:color="auto"/>
              <w:left w:val="single" w:sz="4" w:space="0" w:color="auto"/>
              <w:bottom w:val="single" w:sz="4" w:space="0" w:color="auto"/>
              <w:right w:val="single" w:sz="4" w:space="0" w:color="auto"/>
            </w:tcBorders>
            <w:hideMark/>
          </w:tcPr>
          <w:p w14:paraId="564D210E"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67FA0547"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0342</w:t>
            </w:r>
          </w:p>
        </w:tc>
        <w:tc>
          <w:tcPr>
            <w:tcW w:w="876" w:type="dxa"/>
            <w:tcBorders>
              <w:top w:val="single" w:sz="4" w:space="0" w:color="auto"/>
              <w:left w:val="single" w:sz="4" w:space="0" w:color="auto"/>
              <w:bottom w:val="single" w:sz="4" w:space="0" w:color="auto"/>
              <w:right w:val="single" w:sz="4" w:space="0" w:color="auto"/>
            </w:tcBorders>
            <w:hideMark/>
          </w:tcPr>
          <w:p w14:paraId="7DA963E8"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68</w:t>
            </w:r>
            <w:r>
              <w:rPr>
                <w:rFonts w:ascii="Sylfaen" w:hAnsi="Sylfaen" w:cs="Arial"/>
                <w:sz w:val="16"/>
                <w:szCs w:val="16"/>
                <w:lang w:val="ka-GE"/>
              </w:rPr>
              <w:t>,</w:t>
            </w:r>
            <w:r>
              <w:rPr>
                <w:rFonts w:ascii="Sylfaen" w:hAnsi="Sylfaen"/>
                <w:sz w:val="16"/>
                <w:szCs w:val="16"/>
                <w:lang w:val="ka-GE"/>
              </w:rPr>
              <w:t>79</w:t>
            </w:r>
          </w:p>
        </w:tc>
        <w:tc>
          <w:tcPr>
            <w:tcW w:w="919" w:type="dxa"/>
            <w:tcBorders>
              <w:top w:val="single" w:sz="4" w:space="0" w:color="auto"/>
              <w:left w:val="single" w:sz="4" w:space="0" w:color="auto"/>
              <w:bottom w:val="single" w:sz="4" w:space="0" w:color="auto"/>
              <w:right w:val="single" w:sz="4" w:space="0" w:color="auto"/>
            </w:tcBorders>
            <w:hideMark/>
          </w:tcPr>
          <w:p w14:paraId="666AC9CB"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w:t>
            </w:r>
            <w:r>
              <w:rPr>
                <w:rFonts w:ascii="Sylfaen" w:hAnsi="Sylfaen"/>
                <w:sz w:val="16"/>
                <w:szCs w:val="16"/>
                <w:lang w:val="ka-GE"/>
              </w:rPr>
              <w:t>9158</w:t>
            </w:r>
          </w:p>
        </w:tc>
        <w:tc>
          <w:tcPr>
            <w:tcW w:w="978" w:type="dxa"/>
            <w:tcBorders>
              <w:top w:val="single" w:sz="4" w:space="0" w:color="auto"/>
              <w:left w:val="single" w:sz="4" w:space="0" w:color="auto"/>
              <w:bottom w:val="single" w:sz="4" w:space="0" w:color="auto"/>
              <w:right w:val="single" w:sz="4" w:space="0" w:color="auto"/>
            </w:tcBorders>
            <w:hideMark/>
          </w:tcPr>
          <w:p w14:paraId="29CC5D2B"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0337</w:t>
            </w:r>
          </w:p>
        </w:tc>
        <w:tc>
          <w:tcPr>
            <w:tcW w:w="934" w:type="dxa"/>
            <w:tcBorders>
              <w:top w:val="single" w:sz="4" w:space="0" w:color="auto"/>
              <w:left w:val="single" w:sz="4" w:space="0" w:color="auto"/>
              <w:bottom w:val="single" w:sz="4" w:space="0" w:color="auto"/>
              <w:right w:val="single" w:sz="4" w:space="0" w:color="auto"/>
            </w:tcBorders>
            <w:hideMark/>
          </w:tcPr>
          <w:p w14:paraId="201F0E18"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69</w:t>
            </w:r>
            <w:r>
              <w:rPr>
                <w:rFonts w:ascii="Sylfaen" w:hAnsi="Sylfaen" w:cs="Arial"/>
                <w:sz w:val="16"/>
                <w:szCs w:val="16"/>
                <w:lang w:val="ka-GE"/>
              </w:rPr>
              <w:t>,</w:t>
            </w:r>
            <w:r>
              <w:rPr>
                <w:rFonts w:ascii="Sylfaen" w:hAnsi="Sylfaen"/>
                <w:sz w:val="16"/>
                <w:szCs w:val="16"/>
                <w:lang w:val="ka-GE"/>
              </w:rPr>
              <w:t>99</w:t>
            </w:r>
          </w:p>
        </w:tc>
        <w:tc>
          <w:tcPr>
            <w:tcW w:w="817" w:type="dxa"/>
            <w:tcBorders>
              <w:top w:val="single" w:sz="4" w:space="0" w:color="auto"/>
              <w:left w:val="single" w:sz="4" w:space="0" w:color="auto"/>
              <w:bottom w:val="single" w:sz="4" w:space="0" w:color="auto"/>
              <w:right w:val="single" w:sz="4" w:space="0" w:color="auto"/>
            </w:tcBorders>
            <w:hideMark/>
          </w:tcPr>
          <w:p w14:paraId="626C6F88"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w:t>
            </w:r>
            <w:r>
              <w:rPr>
                <w:rFonts w:ascii="Sylfaen" w:hAnsi="Sylfaen"/>
                <w:sz w:val="16"/>
                <w:szCs w:val="16"/>
                <w:lang w:val="ka-GE"/>
              </w:rPr>
              <w:t>9640</w:t>
            </w:r>
          </w:p>
        </w:tc>
      </w:tr>
      <w:tr w:rsidR="00A2588D" w14:paraId="4D258127"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0BB030A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0147FAC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416B371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9</w:t>
            </w:r>
          </w:p>
        </w:tc>
        <w:tc>
          <w:tcPr>
            <w:tcW w:w="423" w:type="dxa"/>
            <w:tcBorders>
              <w:top w:val="single" w:sz="4" w:space="0" w:color="auto"/>
              <w:left w:val="single" w:sz="4" w:space="0" w:color="auto"/>
              <w:bottom w:val="single" w:sz="4" w:space="0" w:color="auto"/>
              <w:right w:val="single" w:sz="4" w:space="0" w:color="auto"/>
            </w:tcBorders>
            <w:hideMark/>
          </w:tcPr>
          <w:p w14:paraId="492C848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467" w:type="dxa"/>
            <w:tcBorders>
              <w:top w:val="single" w:sz="4" w:space="0" w:color="auto"/>
              <w:left w:val="single" w:sz="4" w:space="0" w:color="auto"/>
              <w:bottom w:val="single" w:sz="4" w:space="0" w:color="auto"/>
              <w:right w:val="single" w:sz="4" w:space="0" w:color="auto"/>
            </w:tcBorders>
            <w:hideMark/>
          </w:tcPr>
          <w:p w14:paraId="4BE5364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3360896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0330</w:t>
            </w:r>
          </w:p>
        </w:tc>
        <w:tc>
          <w:tcPr>
            <w:tcW w:w="1285" w:type="dxa"/>
            <w:tcBorders>
              <w:top w:val="single" w:sz="4" w:space="0" w:color="auto"/>
              <w:left w:val="single" w:sz="4" w:space="0" w:color="auto"/>
              <w:bottom w:val="single" w:sz="4" w:space="0" w:color="auto"/>
              <w:right w:val="single" w:sz="4" w:space="0" w:color="auto"/>
            </w:tcBorders>
            <w:hideMark/>
          </w:tcPr>
          <w:p w14:paraId="19840A10"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0008333</w:t>
            </w:r>
          </w:p>
        </w:tc>
        <w:tc>
          <w:tcPr>
            <w:tcW w:w="394" w:type="dxa"/>
            <w:tcBorders>
              <w:top w:val="single" w:sz="4" w:space="0" w:color="auto"/>
              <w:left w:val="single" w:sz="4" w:space="0" w:color="auto"/>
              <w:bottom w:val="single" w:sz="4" w:space="0" w:color="auto"/>
              <w:right w:val="single" w:sz="4" w:space="0" w:color="auto"/>
            </w:tcBorders>
            <w:hideMark/>
          </w:tcPr>
          <w:p w14:paraId="7982D2E3"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2AE14ED2"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0070</w:t>
            </w:r>
          </w:p>
        </w:tc>
        <w:tc>
          <w:tcPr>
            <w:tcW w:w="876" w:type="dxa"/>
            <w:tcBorders>
              <w:top w:val="single" w:sz="4" w:space="0" w:color="auto"/>
              <w:left w:val="single" w:sz="4" w:space="0" w:color="auto"/>
              <w:bottom w:val="single" w:sz="4" w:space="0" w:color="auto"/>
              <w:right w:val="single" w:sz="4" w:space="0" w:color="auto"/>
            </w:tcBorders>
            <w:hideMark/>
          </w:tcPr>
          <w:p w14:paraId="2099879D"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3CF443CA"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c>
          <w:tcPr>
            <w:tcW w:w="978" w:type="dxa"/>
            <w:tcBorders>
              <w:top w:val="single" w:sz="4" w:space="0" w:color="auto"/>
              <w:left w:val="single" w:sz="4" w:space="0" w:color="auto"/>
              <w:bottom w:val="single" w:sz="4" w:space="0" w:color="auto"/>
              <w:right w:val="single" w:sz="4" w:space="0" w:color="auto"/>
            </w:tcBorders>
            <w:hideMark/>
          </w:tcPr>
          <w:p w14:paraId="01D9673E"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0070</w:t>
            </w:r>
          </w:p>
        </w:tc>
        <w:tc>
          <w:tcPr>
            <w:tcW w:w="934" w:type="dxa"/>
            <w:tcBorders>
              <w:top w:val="single" w:sz="4" w:space="0" w:color="auto"/>
              <w:left w:val="single" w:sz="4" w:space="0" w:color="auto"/>
              <w:bottom w:val="single" w:sz="4" w:space="0" w:color="auto"/>
              <w:right w:val="single" w:sz="4" w:space="0" w:color="auto"/>
            </w:tcBorders>
            <w:hideMark/>
          </w:tcPr>
          <w:p w14:paraId="0C5A543F"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817" w:type="dxa"/>
            <w:tcBorders>
              <w:top w:val="single" w:sz="4" w:space="0" w:color="auto"/>
              <w:left w:val="single" w:sz="4" w:space="0" w:color="auto"/>
              <w:bottom w:val="single" w:sz="4" w:space="0" w:color="auto"/>
              <w:right w:val="single" w:sz="4" w:space="0" w:color="auto"/>
            </w:tcBorders>
            <w:hideMark/>
          </w:tcPr>
          <w:p w14:paraId="005EBA80"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r>
      <w:tr w:rsidR="00A2588D" w14:paraId="6022BA04" w14:textId="77777777" w:rsidTr="00A2588D">
        <w:trPr>
          <w:jc w:val="center"/>
        </w:trPr>
        <w:tc>
          <w:tcPr>
            <w:tcW w:w="2759" w:type="dxa"/>
            <w:gridSpan w:val="6"/>
            <w:tcBorders>
              <w:top w:val="single" w:sz="4" w:space="0" w:color="auto"/>
              <w:left w:val="single" w:sz="4" w:space="0" w:color="auto"/>
              <w:bottom w:val="single" w:sz="4" w:space="0" w:color="auto"/>
              <w:right w:val="single" w:sz="4" w:space="0" w:color="auto"/>
            </w:tcBorders>
            <w:hideMark/>
          </w:tcPr>
          <w:p w14:paraId="32D89CC0" w14:textId="77777777" w:rsidR="00A2588D" w:rsidRDefault="00A2588D" w:rsidP="00A2588D">
            <w:pPr>
              <w:widowControl w:val="0"/>
              <w:autoSpaceDE w:val="0"/>
              <w:autoSpaceDN w:val="0"/>
              <w:adjustRightInd w:val="0"/>
              <w:ind w:left="11"/>
              <w:rPr>
                <w:rFonts w:ascii="Sylfaen" w:hAnsi="Sylfaen" w:cs="Arial"/>
                <w:b/>
                <w:bCs/>
                <w:sz w:val="16"/>
                <w:szCs w:val="16"/>
                <w:lang w:val="ka-GE"/>
              </w:rPr>
            </w:pPr>
            <w:r>
              <w:rPr>
                <w:rFonts w:ascii="Sylfaen" w:hAnsi="Sylfaen" w:cs="Arial"/>
                <w:b/>
                <w:bCs/>
                <w:sz w:val="16"/>
                <w:szCs w:val="16"/>
                <w:lang w:val="ka-GE"/>
              </w:rPr>
              <w:t>სულ:</w:t>
            </w:r>
          </w:p>
        </w:tc>
        <w:tc>
          <w:tcPr>
            <w:tcW w:w="1285" w:type="dxa"/>
            <w:tcBorders>
              <w:top w:val="single" w:sz="4" w:space="0" w:color="auto"/>
              <w:left w:val="single" w:sz="4" w:space="0" w:color="auto"/>
              <w:bottom w:val="single" w:sz="4" w:space="0" w:color="auto"/>
              <w:right w:val="single" w:sz="4" w:space="0" w:color="auto"/>
            </w:tcBorders>
            <w:hideMark/>
          </w:tcPr>
          <w:p w14:paraId="3B023C14" w14:textId="77777777" w:rsidR="00A2588D" w:rsidRDefault="00A2588D" w:rsidP="00A2588D">
            <w:pPr>
              <w:widowControl w:val="0"/>
              <w:autoSpaceDE w:val="0"/>
              <w:autoSpaceDN w:val="0"/>
              <w:adjustRightInd w:val="0"/>
              <w:ind w:right="11"/>
              <w:jc w:val="right"/>
              <w:rPr>
                <w:rFonts w:ascii="Sylfaen" w:hAnsi="Sylfaen" w:cs="Arial"/>
                <w:b/>
                <w:bCs/>
                <w:sz w:val="16"/>
                <w:szCs w:val="16"/>
                <w:lang w:val="ka-GE"/>
              </w:rPr>
            </w:pPr>
            <w:r>
              <w:rPr>
                <w:rFonts w:ascii="Sylfaen" w:hAnsi="Sylfaen"/>
                <w:b/>
                <w:bCs/>
                <w:sz w:val="16"/>
                <w:szCs w:val="16"/>
                <w:lang w:val="ka-GE"/>
              </w:rPr>
              <w:t>0</w:t>
            </w:r>
            <w:r>
              <w:rPr>
                <w:rFonts w:ascii="Sylfaen" w:hAnsi="Sylfaen" w:cs="Arial"/>
                <w:b/>
                <w:bCs/>
                <w:sz w:val="16"/>
                <w:szCs w:val="16"/>
                <w:lang w:val="ka-GE"/>
              </w:rPr>
              <w:t>,</w:t>
            </w:r>
            <w:r>
              <w:rPr>
                <w:rFonts w:ascii="Sylfaen" w:hAnsi="Sylfaen"/>
                <w:b/>
                <w:bCs/>
                <w:sz w:val="16"/>
                <w:szCs w:val="16"/>
                <w:lang w:val="ka-GE"/>
              </w:rPr>
              <w:t>0227602</w:t>
            </w:r>
          </w:p>
        </w:tc>
        <w:tc>
          <w:tcPr>
            <w:tcW w:w="394" w:type="dxa"/>
            <w:tcBorders>
              <w:top w:val="single" w:sz="4" w:space="0" w:color="auto"/>
              <w:left w:val="single" w:sz="4" w:space="0" w:color="auto"/>
              <w:bottom w:val="single" w:sz="4" w:space="0" w:color="auto"/>
              <w:right w:val="single" w:sz="4" w:space="0" w:color="auto"/>
            </w:tcBorders>
          </w:tcPr>
          <w:p w14:paraId="5FC7AC4C" w14:textId="77777777" w:rsidR="00A2588D" w:rsidRDefault="00A2588D" w:rsidP="00A2588D">
            <w:pPr>
              <w:widowControl w:val="0"/>
              <w:autoSpaceDE w:val="0"/>
              <w:autoSpaceDN w:val="0"/>
              <w:adjustRightInd w:val="0"/>
              <w:ind w:left="11"/>
              <w:rPr>
                <w:rFonts w:ascii="Sylfaen" w:hAnsi="Sylfaen" w:cs="Arial"/>
                <w:sz w:val="16"/>
                <w:szCs w:val="16"/>
                <w:lang w:val="ka-GE"/>
              </w:rPr>
            </w:pPr>
          </w:p>
        </w:tc>
        <w:tc>
          <w:tcPr>
            <w:tcW w:w="949" w:type="dxa"/>
            <w:tcBorders>
              <w:top w:val="single" w:sz="4" w:space="0" w:color="auto"/>
              <w:left w:val="single" w:sz="4" w:space="0" w:color="auto"/>
              <w:bottom w:val="single" w:sz="4" w:space="0" w:color="auto"/>
              <w:right w:val="single" w:sz="4" w:space="0" w:color="auto"/>
            </w:tcBorders>
            <w:hideMark/>
          </w:tcPr>
          <w:p w14:paraId="0A29C212" w14:textId="77777777" w:rsidR="00A2588D" w:rsidRDefault="00A2588D" w:rsidP="00A2588D">
            <w:pPr>
              <w:widowControl w:val="0"/>
              <w:autoSpaceDE w:val="0"/>
              <w:autoSpaceDN w:val="0"/>
              <w:adjustRightInd w:val="0"/>
              <w:ind w:right="11"/>
              <w:jc w:val="right"/>
              <w:rPr>
                <w:rFonts w:ascii="Sylfaen" w:hAnsi="Sylfaen" w:cs="Arial"/>
                <w:b/>
                <w:bCs/>
                <w:sz w:val="16"/>
                <w:szCs w:val="16"/>
                <w:lang w:val="ka-GE"/>
              </w:rPr>
            </w:pPr>
            <w:r>
              <w:rPr>
                <w:rFonts w:ascii="Sylfaen" w:hAnsi="Sylfaen"/>
                <w:b/>
                <w:bCs/>
                <w:sz w:val="16"/>
                <w:szCs w:val="16"/>
                <w:lang w:val="ka-GE"/>
              </w:rPr>
              <w:t>0</w:t>
            </w:r>
            <w:r>
              <w:rPr>
                <w:rFonts w:ascii="Sylfaen" w:hAnsi="Sylfaen" w:cs="Arial"/>
                <w:b/>
                <w:bCs/>
                <w:sz w:val="16"/>
                <w:szCs w:val="16"/>
                <w:lang w:val="ka-GE"/>
              </w:rPr>
              <w:t>,</w:t>
            </w:r>
            <w:r>
              <w:rPr>
                <w:rFonts w:ascii="Sylfaen" w:hAnsi="Sylfaen"/>
                <w:b/>
                <w:bCs/>
                <w:sz w:val="16"/>
                <w:szCs w:val="16"/>
                <w:lang w:val="ka-GE"/>
              </w:rPr>
              <w:t>1653</w:t>
            </w:r>
          </w:p>
        </w:tc>
        <w:tc>
          <w:tcPr>
            <w:tcW w:w="1796" w:type="dxa"/>
            <w:gridSpan w:val="2"/>
            <w:tcBorders>
              <w:top w:val="single" w:sz="4" w:space="0" w:color="auto"/>
              <w:left w:val="single" w:sz="4" w:space="0" w:color="auto"/>
              <w:bottom w:val="single" w:sz="4" w:space="0" w:color="auto"/>
              <w:right w:val="single" w:sz="4" w:space="0" w:color="auto"/>
            </w:tcBorders>
          </w:tcPr>
          <w:p w14:paraId="7F06D393" w14:textId="77777777" w:rsidR="00A2588D" w:rsidRDefault="00A2588D" w:rsidP="00A2588D">
            <w:pPr>
              <w:widowControl w:val="0"/>
              <w:autoSpaceDE w:val="0"/>
              <w:autoSpaceDN w:val="0"/>
              <w:adjustRightInd w:val="0"/>
              <w:ind w:left="11"/>
              <w:rPr>
                <w:rFonts w:ascii="Sylfaen" w:hAnsi="Sylfaen" w:cs="Arial"/>
                <w:sz w:val="16"/>
                <w:szCs w:val="16"/>
                <w:lang w:val="ka-GE"/>
              </w:rPr>
            </w:pPr>
          </w:p>
        </w:tc>
        <w:tc>
          <w:tcPr>
            <w:tcW w:w="978" w:type="dxa"/>
            <w:tcBorders>
              <w:top w:val="single" w:sz="4" w:space="0" w:color="auto"/>
              <w:left w:val="single" w:sz="4" w:space="0" w:color="auto"/>
              <w:bottom w:val="single" w:sz="4" w:space="0" w:color="auto"/>
              <w:right w:val="single" w:sz="4" w:space="0" w:color="auto"/>
            </w:tcBorders>
            <w:hideMark/>
          </w:tcPr>
          <w:p w14:paraId="43EFA098" w14:textId="77777777" w:rsidR="00A2588D" w:rsidRDefault="00A2588D" w:rsidP="00A2588D">
            <w:pPr>
              <w:widowControl w:val="0"/>
              <w:autoSpaceDE w:val="0"/>
              <w:autoSpaceDN w:val="0"/>
              <w:adjustRightInd w:val="0"/>
              <w:ind w:right="11"/>
              <w:jc w:val="right"/>
              <w:rPr>
                <w:rFonts w:ascii="Sylfaen" w:hAnsi="Sylfaen" w:cs="Arial"/>
                <w:b/>
                <w:bCs/>
                <w:sz w:val="16"/>
                <w:szCs w:val="16"/>
                <w:lang w:val="ka-GE"/>
              </w:rPr>
            </w:pPr>
            <w:r>
              <w:rPr>
                <w:rFonts w:ascii="Sylfaen" w:hAnsi="Sylfaen"/>
                <w:b/>
                <w:bCs/>
                <w:sz w:val="16"/>
                <w:szCs w:val="16"/>
                <w:lang w:val="ka-GE"/>
              </w:rPr>
              <w:t>0</w:t>
            </w:r>
            <w:r>
              <w:rPr>
                <w:rFonts w:ascii="Sylfaen" w:hAnsi="Sylfaen" w:cs="Arial"/>
                <w:b/>
                <w:bCs/>
                <w:sz w:val="16"/>
                <w:szCs w:val="16"/>
                <w:lang w:val="ka-GE"/>
              </w:rPr>
              <w:t>,</w:t>
            </w:r>
            <w:r>
              <w:rPr>
                <w:rFonts w:ascii="Sylfaen" w:hAnsi="Sylfaen"/>
                <w:b/>
                <w:bCs/>
                <w:sz w:val="16"/>
                <w:szCs w:val="16"/>
                <w:lang w:val="ka-GE"/>
              </w:rPr>
              <w:t>1649</w:t>
            </w:r>
          </w:p>
        </w:tc>
        <w:tc>
          <w:tcPr>
            <w:tcW w:w="1752" w:type="dxa"/>
            <w:gridSpan w:val="2"/>
            <w:tcBorders>
              <w:top w:val="single" w:sz="4" w:space="0" w:color="auto"/>
              <w:left w:val="single" w:sz="4" w:space="0" w:color="auto"/>
              <w:bottom w:val="single" w:sz="4" w:space="0" w:color="auto"/>
              <w:right w:val="single" w:sz="4" w:space="0" w:color="auto"/>
            </w:tcBorders>
          </w:tcPr>
          <w:p w14:paraId="5AF0BA2A" w14:textId="77777777" w:rsidR="00A2588D" w:rsidRDefault="00A2588D" w:rsidP="00A2588D">
            <w:pPr>
              <w:widowControl w:val="0"/>
              <w:autoSpaceDE w:val="0"/>
              <w:autoSpaceDN w:val="0"/>
              <w:adjustRightInd w:val="0"/>
              <w:ind w:left="11"/>
              <w:rPr>
                <w:rFonts w:ascii="Sylfaen" w:hAnsi="Sylfaen" w:cs="Arial"/>
                <w:sz w:val="16"/>
                <w:szCs w:val="16"/>
                <w:lang w:val="ka-GE"/>
              </w:rPr>
            </w:pPr>
          </w:p>
        </w:tc>
      </w:tr>
    </w:tbl>
    <w:p w14:paraId="2F4726B6"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ჯამური ზემოქმედების ჯგუფი: </w:t>
      </w:r>
      <w:r>
        <w:rPr>
          <w:rFonts w:ascii="Sylfaen" w:hAnsi="Sylfaen"/>
          <w:b/>
          <w:bCs/>
          <w:sz w:val="20"/>
          <w:szCs w:val="20"/>
          <w:lang w:val="ka-GE"/>
        </w:rPr>
        <w:t>6046</w:t>
      </w:r>
    </w:p>
    <w:p w14:paraId="57A4E63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467"/>
        <w:gridCol w:w="423"/>
        <w:gridCol w:w="452"/>
        <w:gridCol w:w="423"/>
        <w:gridCol w:w="467"/>
        <w:gridCol w:w="527"/>
        <w:gridCol w:w="1285"/>
        <w:gridCol w:w="394"/>
        <w:gridCol w:w="949"/>
        <w:gridCol w:w="876"/>
        <w:gridCol w:w="920"/>
        <w:gridCol w:w="978"/>
        <w:gridCol w:w="934"/>
        <w:gridCol w:w="818"/>
      </w:tblGrid>
      <w:tr w:rsidR="00A2588D" w14:paraId="57641909" w14:textId="77777777" w:rsidTr="00A2588D">
        <w:trPr>
          <w:jc w:val="center"/>
        </w:trPr>
        <w:tc>
          <w:tcPr>
            <w:tcW w:w="467" w:type="dxa"/>
            <w:tcBorders>
              <w:top w:val="single" w:sz="4" w:space="0" w:color="auto"/>
              <w:left w:val="single" w:sz="4" w:space="0" w:color="auto"/>
              <w:bottom w:val="nil"/>
              <w:right w:val="single" w:sz="4" w:space="0" w:color="auto"/>
            </w:tcBorders>
            <w:hideMark/>
          </w:tcPr>
          <w:p w14:paraId="6C218EFE"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w:t>
            </w:r>
          </w:p>
          <w:p w14:paraId="5E77A87F"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მოედ.</w:t>
            </w:r>
          </w:p>
        </w:tc>
        <w:tc>
          <w:tcPr>
            <w:tcW w:w="423" w:type="dxa"/>
            <w:tcBorders>
              <w:top w:val="single" w:sz="4" w:space="0" w:color="auto"/>
              <w:left w:val="single" w:sz="4" w:space="0" w:color="auto"/>
              <w:bottom w:val="nil"/>
              <w:right w:val="single" w:sz="4" w:space="0" w:color="auto"/>
            </w:tcBorders>
            <w:hideMark/>
          </w:tcPr>
          <w:p w14:paraId="2F8804A7"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w:t>
            </w:r>
          </w:p>
          <w:p w14:paraId="10273F75"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საამქ.</w:t>
            </w:r>
          </w:p>
        </w:tc>
        <w:tc>
          <w:tcPr>
            <w:tcW w:w="452" w:type="dxa"/>
            <w:tcBorders>
              <w:top w:val="single" w:sz="4" w:space="0" w:color="auto"/>
              <w:left w:val="single" w:sz="4" w:space="0" w:color="auto"/>
              <w:bottom w:val="nil"/>
              <w:right w:val="single" w:sz="4" w:space="0" w:color="auto"/>
            </w:tcBorders>
            <w:hideMark/>
          </w:tcPr>
          <w:p w14:paraId="4CBA153D"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w:t>
            </w:r>
          </w:p>
          <w:p w14:paraId="19CDA5AC"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წყაროს</w:t>
            </w:r>
          </w:p>
        </w:tc>
        <w:tc>
          <w:tcPr>
            <w:tcW w:w="423" w:type="dxa"/>
            <w:tcBorders>
              <w:top w:val="single" w:sz="4" w:space="0" w:color="auto"/>
              <w:left w:val="single" w:sz="4" w:space="0" w:color="auto"/>
              <w:bottom w:val="nil"/>
              <w:right w:val="single" w:sz="4" w:space="0" w:color="auto"/>
            </w:tcBorders>
            <w:hideMark/>
          </w:tcPr>
          <w:p w14:paraId="0159692A"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ტიპი</w:t>
            </w:r>
          </w:p>
        </w:tc>
        <w:tc>
          <w:tcPr>
            <w:tcW w:w="467" w:type="dxa"/>
            <w:tcBorders>
              <w:top w:val="single" w:sz="4" w:space="0" w:color="auto"/>
              <w:left w:val="single" w:sz="4" w:space="0" w:color="auto"/>
              <w:bottom w:val="nil"/>
              <w:right w:val="single" w:sz="4" w:space="0" w:color="auto"/>
            </w:tcBorders>
            <w:hideMark/>
          </w:tcPr>
          <w:p w14:paraId="5E243424"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აღრიცხვა</w:t>
            </w:r>
          </w:p>
        </w:tc>
        <w:tc>
          <w:tcPr>
            <w:tcW w:w="525" w:type="dxa"/>
            <w:tcBorders>
              <w:top w:val="single" w:sz="4" w:space="0" w:color="auto"/>
              <w:left w:val="single" w:sz="4" w:space="0" w:color="auto"/>
              <w:bottom w:val="nil"/>
              <w:right w:val="single" w:sz="4" w:space="0" w:color="auto"/>
            </w:tcBorders>
            <w:hideMark/>
          </w:tcPr>
          <w:p w14:paraId="2DF138A6"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კოდი</w:t>
            </w:r>
          </w:p>
          <w:p w14:paraId="1A170901"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в</w:t>
            </w:r>
            <w:r>
              <w:rPr>
                <w:rFonts w:ascii="Sylfaen" w:hAnsi="Sylfaen" w:cs="Arial"/>
                <w:b/>
                <w:bCs/>
                <w:sz w:val="16"/>
                <w:szCs w:val="16"/>
                <w:lang w:val="ka-GE"/>
              </w:rPr>
              <w:t>-</w:t>
            </w:r>
            <w:r>
              <w:rPr>
                <w:rFonts w:ascii="Sylfaen" w:hAnsi="Sylfaen"/>
                <w:b/>
                <w:bCs/>
                <w:sz w:val="16"/>
                <w:szCs w:val="16"/>
                <w:lang w:val="ka-GE"/>
              </w:rPr>
              <w:t>ва</w:t>
            </w:r>
          </w:p>
        </w:tc>
        <w:tc>
          <w:tcPr>
            <w:tcW w:w="1285" w:type="dxa"/>
            <w:tcBorders>
              <w:top w:val="single" w:sz="4" w:space="0" w:color="auto"/>
              <w:left w:val="single" w:sz="4" w:space="0" w:color="auto"/>
              <w:bottom w:val="nil"/>
              <w:right w:val="single" w:sz="4" w:space="0" w:color="auto"/>
            </w:tcBorders>
            <w:hideMark/>
          </w:tcPr>
          <w:p w14:paraId="00C136E5"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გაფრქვევა</w:t>
            </w:r>
          </w:p>
          <w:p w14:paraId="0F63A644"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(გ/წმ)</w:t>
            </w:r>
          </w:p>
        </w:tc>
        <w:tc>
          <w:tcPr>
            <w:tcW w:w="394" w:type="dxa"/>
            <w:tcBorders>
              <w:top w:val="single" w:sz="4" w:space="0" w:color="auto"/>
              <w:left w:val="single" w:sz="4" w:space="0" w:color="auto"/>
              <w:bottom w:val="nil"/>
              <w:right w:val="single" w:sz="4" w:space="0" w:color="auto"/>
            </w:tcBorders>
            <w:hideMark/>
          </w:tcPr>
          <w:p w14:paraId="7CEE4595"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F</w:t>
            </w:r>
          </w:p>
        </w:tc>
        <w:tc>
          <w:tcPr>
            <w:tcW w:w="2745" w:type="dxa"/>
            <w:gridSpan w:val="3"/>
            <w:tcBorders>
              <w:top w:val="single" w:sz="4" w:space="0" w:color="auto"/>
              <w:left w:val="single" w:sz="4" w:space="0" w:color="auto"/>
              <w:bottom w:val="single" w:sz="4" w:space="0" w:color="auto"/>
              <w:right w:val="single" w:sz="4" w:space="0" w:color="auto"/>
            </w:tcBorders>
            <w:hideMark/>
          </w:tcPr>
          <w:p w14:paraId="5BF06A63"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ზაფხ.</w:t>
            </w:r>
          </w:p>
        </w:tc>
        <w:tc>
          <w:tcPr>
            <w:tcW w:w="2730" w:type="dxa"/>
            <w:gridSpan w:val="3"/>
            <w:tcBorders>
              <w:top w:val="single" w:sz="4" w:space="0" w:color="auto"/>
              <w:left w:val="single" w:sz="4" w:space="0" w:color="auto"/>
              <w:bottom w:val="single" w:sz="4" w:space="0" w:color="auto"/>
              <w:right w:val="single" w:sz="4" w:space="0" w:color="auto"/>
            </w:tcBorders>
            <w:hideMark/>
          </w:tcPr>
          <w:p w14:paraId="312E46EF"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cs="Arial"/>
                <w:b/>
                <w:bCs/>
                <w:sz w:val="16"/>
                <w:szCs w:val="16"/>
                <w:lang w:val="ka-GE"/>
              </w:rPr>
              <w:t>ზამთ.</w:t>
            </w:r>
          </w:p>
        </w:tc>
      </w:tr>
      <w:tr w:rsidR="00A2588D" w14:paraId="31E5D4F5" w14:textId="77777777" w:rsidTr="00A2588D">
        <w:trPr>
          <w:jc w:val="center"/>
        </w:trPr>
        <w:tc>
          <w:tcPr>
            <w:tcW w:w="467" w:type="dxa"/>
            <w:tcBorders>
              <w:top w:val="nil"/>
              <w:left w:val="single" w:sz="4" w:space="0" w:color="auto"/>
              <w:bottom w:val="single" w:sz="4" w:space="0" w:color="auto"/>
              <w:right w:val="single" w:sz="4" w:space="0" w:color="auto"/>
            </w:tcBorders>
          </w:tcPr>
          <w:p w14:paraId="362162C9"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423" w:type="dxa"/>
            <w:tcBorders>
              <w:top w:val="nil"/>
              <w:left w:val="single" w:sz="4" w:space="0" w:color="auto"/>
              <w:bottom w:val="single" w:sz="4" w:space="0" w:color="auto"/>
              <w:right w:val="single" w:sz="4" w:space="0" w:color="auto"/>
            </w:tcBorders>
          </w:tcPr>
          <w:p w14:paraId="39D77DCE"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452" w:type="dxa"/>
            <w:tcBorders>
              <w:top w:val="nil"/>
              <w:left w:val="single" w:sz="4" w:space="0" w:color="auto"/>
              <w:bottom w:val="single" w:sz="4" w:space="0" w:color="auto"/>
              <w:right w:val="single" w:sz="4" w:space="0" w:color="auto"/>
            </w:tcBorders>
          </w:tcPr>
          <w:p w14:paraId="1B0217F0"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423" w:type="dxa"/>
            <w:tcBorders>
              <w:top w:val="nil"/>
              <w:left w:val="single" w:sz="4" w:space="0" w:color="auto"/>
              <w:bottom w:val="single" w:sz="4" w:space="0" w:color="auto"/>
              <w:right w:val="single" w:sz="4" w:space="0" w:color="auto"/>
            </w:tcBorders>
          </w:tcPr>
          <w:p w14:paraId="3A5D0C55"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467" w:type="dxa"/>
            <w:tcBorders>
              <w:top w:val="nil"/>
              <w:left w:val="single" w:sz="4" w:space="0" w:color="auto"/>
              <w:bottom w:val="single" w:sz="4" w:space="0" w:color="auto"/>
              <w:right w:val="single" w:sz="4" w:space="0" w:color="auto"/>
            </w:tcBorders>
          </w:tcPr>
          <w:p w14:paraId="1EAEF0EC"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525" w:type="dxa"/>
            <w:tcBorders>
              <w:top w:val="nil"/>
              <w:left w:val="single" w:sz="4" w:space="0" w:color="auto"/>
              <w:bottom w:val="single" w:sz="4" w:space="0" w:color="auto"/>
              <w:right w:val="single" w:sz="4" w:space="0" w:color="auto"/>
            </w:tcBorders>
          </w:tcPr>
          <w:p w14:paraId="385D519F"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1285" w:type="dxa"/>
            <w:tcBorders>
              <w:top w:val="nil"/>
              <w:left w:val="single" w:sz="4" w:space="0" w:color="auto"/>
              <w:bottom w:val="single" w:sz="4" w:space="0" w:color="auto"/>
              <w:right w:val="single" w:sz="4" w:space="0" w:color="auto"/>
            </w:tcBorders>
          </w:tcPr>
          <w:p w14:paraId="6F1109F7"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394" w:type="dxa"/>
            <w:tcBorders>
              <w:top w:val="nil"/>
              <w:left w:val="single" w:sz="4" w:space="0" w:color="auto"/>
              <w:bottom w:val="single" w:sz="4" w:space="0" w:color="auto"/>
              <w:right w:val="single" w:sz="4" w:space="0" w:color="auto"/>
            </w:tcBorders>
          </w:tcPr>
          <w:p w14:paraId="7BB83453" w14:textId="77777777" w:rsidR="00A2588D" w:rsidRDefault="00A2588D" w:rsidP="00A2588D">
            <w:pPr>
              <w:widowControl w:val="0"/>
              <w:autoSpaceDE w:val="0"/>
              <w:autoSpaceDN w:val="0"/>
              <w:adjustRightInd w:val="0"/>
              <w:jc w:val="center"/>
              <w:rPr>
                <w:rFonts w:ascii="Sylfaen" w:hAnsi="Sylfaen" w:cs="Arial"/>
                <w:b/>
                <w:bCs/>
                <w:sz w:val="16"/>
                <w:szCs w:val="16"/>
                <w:lang w:val="ka-GE"/>
              </w:rPr>
            </w:pPr>
          </w:p>
        </w:tc>
        <w:tc>
          <w:tcPr>
            <w:tcW w:w="949" w:type="dxa"/>
            <w:tcBorders>
              <w:top w:val="single" w:sz="4" w:space="0" w:color="auto"/>
              <w:left w:val="single" w:sz="4" w:space="0" w:color="auto"/>
              <w:bottom w:val="single" w:sz="4" w:space="0" w:color="auto"/>
              <w:right w:val="single" w:sz="4" w:space="0" w:color="auto"/>
            </w:tcBorders>
            <w:hideMark/>
          </w:tcPr>
          <w:p w14:paraId="64BC4E0F"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Cm/</w:t>
            </w:r>
            <w:r>
              <w:rPr>
                <w:rFonts w:ascii="Sylfaen" w:hAnsi="Sylfaen" w:cs="Arial"/>
                <w:b/>
                <w:bCs/>
                <w:sz w:val="16"/>
                <w:szCs w:val="16"/>
                <w:lang w:val="ka-GE"/>
              </w:rPr>
              <w:t>ზდკ</w:t>
            </w:r>
          </w:p>
        </w:tc>
        <w:tc>
          <w:tcPr>
            <w:tcW w:w="876" w:type="dxa"/>
            <w:tcBorders>
              <w:top w:val="single" w:sz="4" w:space="0" w:color="auto"/>
              <w:left w:val="single" w:sz="4" w:space="0" w:color="auto"/>
              <w:bottom w:val="single" w:sz="4" w:space="0" w:color="auto"/>
              <w:right w:val="single" w:sz="4" w:space="0" w:color="auto"/>
            </w:tcBorders>
            <w:hideMark/>
          </w:tcPr>
          <w:p w14:paraId="270B83AC"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Xm</w:t>
            </w:r>
          </w:p>
        </w:tc>
        <w:tc>
          <w:tcPr>
            <w:tcW w:w="919" w:type="dxa"/>
            <w:tcBorders>
              <w:top w:val="single" w:sz="4" w:space="0" w:color="auto"/>
              <w:left w:val="single" w:sz="4" w:space="0" w:color="auto"/>
              <w:bottom w:val="single" w:sz="4" w:space="0" w:color="auto"/>
              <w:right w:val="single" w:sz="4" w:space="0" w:color="auto"/>
            </w:tcBorders>
            <w:hideMark/>
          </w:tcPr>
          <w:p w14:paraId="7FC71860"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Um</w:t>
            </w:r>
            <w:r>
              <w:rPr>
                <w:rFonts w:ascii="Sylfaen" w:hAnsi="Sylfaen" w:cs="Arial"/>
                <w:b/>
                <w:bCs/>
                <w:sz w:val="16"/>
                <w:szCs w:val="16"/>
                <w:lang w:val="ka-GE"/>
              </w:rPr>
              <w:t xml:space="preserve"> (მ/წმ)</w:t>
            </w:r>
          </w:p>
        </w:tc>
        <w:tc>
          <w:tcPr>
            <w:tcW w:w="978" w:type="dxa"/>
            <w:tcBorders>
              <w:top w:val="single" w:sz="4" w:space="0" w:color="auto"/>
              <w:left w:val="single" w:sz="4" w:space="0" w:color="auto"/>
              <w:bottom w:val="single" w:sz="4" w:space="0" w:color="auto"/>
              <w:right w:val="single" w:sz="4" w:space="0" w:color="auto"/>
            </w:tcBorders>
            <w:hideMark/>
          </w:tcPr>
          <w:p w14:paraId="13FF123D"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Cm/</w:t>
            </w:r>
            <w:r>
              <w:rPr>
                <w:rFonts w:ascii="Sylfaen" w:hAnsi="Sylfaen" w:cs="Arial"/>
                <w:b/>
                <w:bCs/>
                <w:sz w:val="16"/>
                <w:szCs w:val="16"/>
                <w:lang w:val="ka-GE"/>
              </w:rPr>
              <w:t>ზდკ</w:t>
            </w:r>
          </w:p>
        </w:tc>
        <w:tc>
          <w:tcPr>
            <w:tcW w:w="934" w:type="dxa"/>
            <w:tcBorders>
              <w:top w:val="single" w:sz="4" w:space="0" w:color="auto"/>
              <w:left w:val="single" w:sz="4" w:space="0" w:color="auto"/>
              <w:bottom w:val="single" w:sz="4" w:space="0" w:color="auto"/>
              <w:right w:val="single" w:sz="4" w:space="0" w:color="auto"/>
            </w:tcBorders>
            <w:hideMark/>
          </w:tcPr>
          <w:p w14:paraId="3B6B6F46"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Xm</w:t>
            </w:r>
          </w:p>
        </w:tc>
        <w:tc>
          <w:tcPr>
            <w:tcW w:w="817" w:type="dxa"/>
            <w:tcBorders>
              <w:top w:val="single" w:sz="4" w:space="0" w:color="auto"/>
              <w:left w:val="single" w:sz="4" w:space="0" w:color="auto"/>
              <w:bottom w:val="single" w:sz="4" w:space="0" w:color="auto"/>
              <w:right w:val="single" w:sz="4" w:space="0" w:color="auto"/>
            </w:tcBorders>
            <w:hideMark/>
          </w:tcPr>
          <w:p w14:paraId="2398A45A" w14:textId="77777777" w:rsidR="00A2588D" w:rsidRDefault="00A2588D" w:rsidP="00A2588D">
            <w:pPr>
              <w:widowControl w:val="0"/>
              <w:autoSpaceDE w:val="0"/>
              <w:autoSpaceDN w:val="0"/>
              <w:adjustRightInd w:val="0"/>
              <w:jc w:val="center"/>
              <w:rPr>
                <w:rFonts w:ascii="Sylfaen" w:hAnsi="Sylfaen" w:cs="Arial"/>
                <w:b/>
                <w:bCs/>
                <w:sz w:val="16"/>
                <w:szCs w:val="16"/>
                <w:lang w:val="ka-GE"/>
              </w:rPr>
            </w:pPr>
            <w:r>
              <w:rPr>
                <w:rFonts w:ascii="Sylfaen" w:hAnsi="Sylfaen"/>
                <w:b/>
                <w:bCs/>
                <w:sz w:val="16"/>
                <w:szCs w:val="16"/>
                <w:lang w:val="ka-GE"/>
              </w:rPr>
              <w:t>Um</w:t>
            </w:r>
            <w:r>
              <w:rPr>
                <w:rFonts w:ascii="Sylfaen" w:hAnsi="Sylfaen" w:cs="Arial"/>
                <w:b/>
                <w:bCs/>
                <w:sz w:val="16"/>
                <w:szCs w:val="16"/>
                <w:lang w:val="ka-GE"/>
              </w:rPr>
              <w:t xml:space="preserve"> (მ/წმ)</w:t>
            </w:r>
          </w:p>
        </w:tc>
      </w:tr>
      <w:tr w:rsidR="00A2588D" w14:paraId="7CAFFF5F"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592780B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5B80B6E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73F69DE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w:t>
            </w:r>
          </w:p>
        </w:tc>
        <w:tc>
          <w:tcPr>
            <w:tcW w:w="423" w:type="dxa"/>
            <w:tcBorders>
              <w:top w:val="single" w:sz="4" w:space="0" w:color="auto"/>
              <w:left w:val="single" w:sz="4" w:space="0" w:color="auto"/>
              <w:bottom w:val="single" w:sz="4" w:space="0" w:color="auto"/>
              <w:right w:val="single" w:sz="4" w:space="0" w:color="auto"/>
            </w:tcBorders>
            <w:hideMark/>
          </w:tcPr>
          <w:p w14:paraId="57139D4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467" w:type="dxa"/>
            <w:tcBorders>
              <w:top w:val="single" w:sz="4" w:space="0" w:color="auto"/>
              <w:left w:val="single" w:sz="4" w:space="0" w:color="auto"/>
              <w:bottom w:val="single" w:sz="4" w:space="0" w:color="auto"/>
              <w:right w:val="single" w:sz="4" w:space="0" w:color="auto"/>
            </w:tcBorders>
            <w:hideMark/>
          </w:tcPr>
          <w:p w14:paraId="26856CD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67ADF30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2908</w:t>
            </w:r>
          </w:p>
        </w:tc>
        <w:tc>
          <w:tcPr>
            <w:tcW w:w="1285" w:type="dxa"/>
            <w:tcBorders>
              <w:top w:val="single" w:sz="4" w:space="0" w:color="auto"/>
              <w:left w:val="single" w:sz="4" w:space="0" w:color="auto"/>
              <w:bottom w:val="single" w:sz="4" w:space="0" w:color="auto"/>
              <w:right w:val="single" w:sz="4" w:space="0" w:color="auto"/>
            </w:tcBorders>
            <w:hideMark/>
          </w:tcPr>
          <w:p w14:paraId="175091AF"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0140000</w:t>
            </w:r>
          </w:p>
        </w:tc>
        <w:tc>
          <w:tcPr>
            <w:tcW w:w="394" w:type="dxa"/>
            <w:tcBorders>
              <w:top w:val="single" w:sz="4" w:space="0" w:color="auto"/>
              <w:left w:val="single" w:sz="4" w:space="0" w:color="auto"/>
              <w:bottom w:val="single" w:sz="4" w:space="0" w:color="auto"/>
              <w:right w:val="single" w:sz="4" w:space="0" w:color="auto"/>
            </w:tcBorders>
            <w:hideMark/>
          </w:tcPr>
          <w:p w14:paraId="08F1A704"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39A10006"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0434</w:t>
            </w:r>
          </w:p>
        </w:tc>
        <w:tc>
          <w:tcPr>
            <w:tcW w:w="876" w:type="dxa"/>
            <w:tcBorders>
              <w:top w:val="single" w:sz="4" w:space="0" w:color="auto"/>
              <w:left w:val="single" w:sz="4" w:space="0" w:color="auto"/>
              <w:bottom w:val="single" w:sz="4" w:space="0" w:color="auto"/>
              <w:right w:val="single" w:sz="4" w:space="0" w:color="auto"/>
            </w:tcBorders>
            <w:hideMark/>
          </w:tcPr>
          <w:p w14:paraId="708AA92A"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46</w:t>
            </w:r>
            <w:r>
              <w:rPr>
                <w:rFonts w:ascii="Sylfaen" w:hAnsi="Sylfaen" w:cs="Arial"/>
                <w:sz w:val="16"/>
                <w:szCs w:val="16"/>
                <w:lang w:val="ka-GE"/>
              </w:rPr>
              <w:t>,</w:t>
            </w:r>
            <w:r>
              <w:rPr>
                <w:rFonts w:ascii="Sylfaen" w:hAnsi="Sylfaen"/>
                <w:sz w:val="16"/>
                <w:szCs w:val="16"/>
                <w:lang w:val="ka-GE"/>
              </w:rPr>
              <w:t>41</w:t>
            </w:r>
          </w:p>
        </w:tc>
        <w:tc>
          <w:tcPr>
            <w:tcW w:w="919" w:type="dxa"/>
            <w:tcBorders>
              <w:top w:val="single" w:sz="4" w:space="0" w:color="auto"/>
              <w:left w:val="single" w:sz="4" w:space="0" w:color="auto"/>
              <w:bottom w:val="single" w:sz="4" w:space="0" w:color="auto"/>
              <w:right w:val="single" w:sz="4" w:space="0" w:color="auto"/>
            </w:tcBorders>
            <w:hideMark/>
          </w:tcPr>
          <w:p w14:paraId="128898F0"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c>
          <w:tcPr>
            <w:tcW w:w="978" w:type="dxa"/>
            <w:tcBorders>
              <w:top w:val="single" w:sz="4" w:space="0" w:color="auto"/>
              <w:left w:val="single" w:sz="4" w:space="0" w:color="auto"/>
              <w:bottom w:val="single" w:sz="4" w:space="0" w:color="auto"/>
              <w:right w:val="single" w:sz="4" w:space="0" w:color="auto"/>
            </w:tcBorders>
            <w:hideMark/>
          </w:tcPr>
          <w:p w14:paraId="1D5FD93A"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0434</w:t>
            </w:r>
          </w:p>
        </w:tc>
        <w:tc>
          <w:tcPr>
            <w:tcW w:w="934" w:type="dxa"/>
            <w:tcBorders>
              <w:top w:val="single" w:sz="4" w:space="0" w:color="auto"/>
              <w:left w:val="single" w:sz="4" w:space="0" w:color="auto"/>
              <w:bottom w:val="single" w:sz="4" w:space="0" w:color="auto"/>
              <w:right w:val="single" w:sz="4" w:space="0" w:color="auto"/>
            </w:tcBorders>
            <w:hideMark/>
          </w:tcPr>
          <w:p w14:paraId="011D35BB"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46</w:t>
            </w:r>
            <w:r>
              <w:rPr>
                <w:rFonts w:ascii="Sylfaen" w:hAnsi="Sylfaen" w:cs="Arial"/>
                <w:sz w:val="16"/>
                <w:szCs w:val="16"/>
                <w:lang w:val="ka-GE"/>
              </w:rPr>
              <w:t>,</w:t>
            </w:r>
            <w:r>
              <w:rPr>
                <w:rFonts w:ascii="Sylfaen" w:hAnsi="Sylfaen"/>
                <w:sz w:val="16"/>
                <w:szCs w:val="16"/>
                <w:lang w:val="ka-GE"/>
              </w:rPr>
              <w:t>41</w:t>
            </w:r>
          </w:p>
        </w:tc>
        <w:tc>
          <w:tcPr>
            <w:tcW w:w="817" w:type="dxa"/>
            <w:tcBorders>
              <w:top w:val="single" w:sz="4" w:space="0" w:color="auto"/>
              <w:left w:val="single" w:sz="4" w:space="0" w:color="auto"/>
              <w:bottom w:val="single" w:sz="4" w:space="0" w:color="auto"/>
              <w:right w:val="single" w:sz="4" w:space="0" w:color="auto"/>
            </w:tcBorders>
            <w:hideMark/>
          </w:tcPr>
          <w:p w14:paraId="58A2E820"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r>
      <w:tr w:rsidR="00A2588D" w14:paraId="73D28FBE"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06E4CC7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lastRenderedPageBreak/>
              <w:t>0</w:t>
            </w:r>
          </w:p>
        </w:tc>
        <w:tc>
          <w:tcPr>
            <w:tcW w:w="423" w:type="dxa"/>
            <w:tcBorders>
              <w:top w:val="single" w:sz="4" w:space="0" w:color="auto"/>
              <w:left w:val="single" w:sz="4" w:space="0" w:color="auto"/>
              <w:bottom w:val="single" w:sz="4" w:space="0" w:color="auto"/>
              <w:right w:val="single" w:sz="4" w:space="0" w:color="auto"/>
            </w:tcBorders>
            <w:hideMark/>
          </w:tcPr>
          <w:p w14:paraId="1284828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0090C06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423" w:type="dxa"/>
            <w:tcBorders>
              <w:top w:val="single" w:sz="4" w:space="0" w:color="auto"/>
              <w:left w:val="single" w:sz="4" w:space="0" w:color="auto"/>
              <w:bottom w:val="single" w:sz="4" w:space="0" w:color="auto"/>
              <w:right w:val="single" w:sz="4" w:space="0" w:color="auto"/>
            </w:tcBorders>
            <w:hideMark/>
          </w:tcPr>
          <w:p w14:paraId="4C31E1D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467" w:type="dxa"/>
            <w:tcBorders>
              <w:top w:val="single" w:sz="4" w:space="0" w:color="auto"/>
              <w:left w:val="single" w:sz="4" w:space="0" w:color="auto"/>
              <w:bottom w:val="single" w:sz="4" w:space="0" w:color="auto"/>
              <w:right w:val="single" w:sz="4" w:space="0" w:color="auto"/>
            </w:tcBorders>
            <w:hideMark/>
          </w:tcPr>
          <w:p w14:paraId="30B1FEA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378404A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2908</w:t>
            </w:r>
          </w:p>
        </w:tc>
        <w:tc>
          <w:tcPr>
            <w:tcW w:w="1285" w:type="dxa"/>
            <w:tcBorders>
              <w:top w:val="single" w:sz="4" w:space="0" w:color="auto"/>
              <w:left w:val="single" w:sz="4" w:space="0" w:color="auto"/>
              <w:bottom w:val="single" w:sz="4" w:space="0" w:color="auto"/>
              <w:right w:val="single" w:sz="4" w:space="0" w:color="auto"/>
            </w:tcBorders>
            <w:hideMark/>
          </w:tcPr>
          <w:p w14:paraId="5EB3FB72"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0021670</w:t>
            </w:r>
          </w:p>
        </w:tc>
        <w:tc>
          <w:tcPr>
            <w:tcW w:w="394" w:type="dxa"/>
            <w:tcBorders>
              <w:top w:val="single" w:sz="4" w:space="0" w:color="auto"/>
              <w:left w:val="single" w:sz="4" w:space="0" w:color="auto"/>
              <w:bottom w:val="single" w:sz="4" w:space="0" w:color="auto"/>
              <w:right w:val="single" w:sz="4" w:space="0" w:color="auto"/>
            </w:tcBorders>
            <w:hideMark/>
          </w:tcPr>
          <w:p w14:paraId="39C230C3"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3</w:t>
            </w:r>
          </w:p>
        </w:tc>
        <w:tc>
          <w:tcPr>
            <w:tcW w:w="949" w:type="dxa"/>
            <w:tcBorders>
              <w:top w:val="single" w:sz="4" w:space="0" w:color="auto"/>
              <w:left w:val="single" w:sz="4" w:space="0" w:color="auto"/>
              <w:bottom w:val="single" w:sz="4" w:space="0" w:color="auto"/>
              <w:right w:val="single" w:sz="4" w:space="0" w:color="auto"/>
            </w:tcBorders>
            <w:hideMark/>
          </w:tcPr>
          <w:p w14:paraId="69D57557"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7740</w:t>
            </w:r>
          </w:p>
        </w:tc>
        <w:tc>
          <w:tcPr>
            <w:tcW w:w="876" w:type="dxa"/>
            <w:tcBorders>
              <w:top w:val="single" w:sz="4" w:space="0" w:color="auto"/>
              <w:left w:val="single" w:sz="4" w:space="0" w:color="auto"/>
              <w:bottom w:val="single" w:sz="4" w:space="0" w:color="auto"/>
              <w:right w:val="single" w:sz="4" w:space="0" w:color="auto"/>
            </w:tcBorders>
            <w:hideMark/>
          </w:tcPr>
          <w:p w14:paraId="3D0375E7"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5</w:t>
            </w:r>
            <w:r>
              <w:rPr>
                <w:rFonts w:ascii="Sylfaen" w:hAnsi="Sylfaen" w:cs="Arial"/>
                <w:sz w:val="16"/>
                <w:szCs w:val="16"/>
                <w:lang w:val="ka-GE"/>
              </w:rPr>
              <w:t>,</w:t>
            </w:r>
            <w:r>
              <w:rPr>
                <w:rFonts w:ascii="Sylfaen" w:hAnsi="Sylfaen"/>
                <w:sz w:val="16"/>
                <w:szCs w:val="16"/>
                <w:lang w:val="ka-GE"/>
              </w:rPr>
              <w:t>70</w:t>
            </w:r>
          </w:p>
        </w:tc>
        <w:tc>
          <w:tcPr>
            <w:tcW w:w="919" w:type="dxa"/>
            <w:tcBorders>
              <w:top w:val="single" w:sz="4" w:space="0" w:color="auto"/>
              <w:left w:val="single" w:sz="4" w:space="0" w:color="auto"/>
              <w:bottom w:val="single" w:sz="4" w:space="0" w:color="auto"/>
              <w:right w:val="single" w:sz="4" w:space="0" w:color="auto"/>
            </w:tcBorders>
            <w:hideMark/>
          </w:tcPr>
          <w:p w14:paraId="48CEFCF4"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c>
          <w:tcPr>
            <w:tcW w:w="978" w:type="dxa"/>
            <w:tcBorders>
              <w:top w:val="single" w:sz="4" w:space="0" w:color="auto"/>
              <w:left w:val="single" w:sz="4" w:space="0" w:color="auto"/>
              <w:bottom w:val="single" w:sz="4" w:space="0" w:color="auto"/>
              <w:right w:val="single" w:sz="4" w:space="0" w:color="auto"/>
            </w:tcBorders>
            <w:hideMark/>
          </w:tcPr>
          <w:p w14:paraId="47CAF4E8"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7740</w:t>
            </w:r>
          </w:p>
        </w:tc>
        <w:tc>
          <w:tcPr>
            <w:tcW w:w="934" w:type="dxa"/>
            <w:tcBorders>
              <w:top w:val="single" w:sz="4" w:space="0" w:color="auto"/>
              <w:left w:val="single" w:sz="4" w:space="0" w:color="auto"/>
              <w:bottom w:val="single" w:sz="4" w:space="0" w:color="auto"/>
              <w:right w:val="single" w:sz="4" w:space="0" w:color="auto"/>
            </w:tcBorders>
            <w:hideMark/>
          </w:tcPr>
          <w:p w14:paraId="50224112"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5</w:t>
            </w:r>
            <w:r>
              <w:rPr>
                <w:rFonts w:ascii="Sylfaen" w:hAnsi="Sylfaen" w:cs="Arial"/>
                <w:sz w:val="16"/>
                <w:szCs w:val="16"/>
                <w:lang w:val="ka-GE"/>
              </w:rPr>
              <w:t>,</w:t>
            </w:r>
            <w:r>
              <w:rPr>
                <w:rFonts w:ascii="Sylfaen" w:hAnsi="Sylfaen"/>
                <w:sz w:val="16"/>
                <w:szCs w:val="16"/>
                <w:lang w:val="ka-GE"/>
              </w:rPr>
              <w:t>70</w:t>
            </w:r>
          </w:p>
        </w:tc>
        <w:tc>
          <w:tcPr>
            <w:tcW w:w="817" w:type="dxa"/>
            <w:tcBorders>
              <w:top w:val="single" w:sz="4" w:space="0" w:color="auto"/>
              <w:left w:val="single" w:sz="4" w:space="0" w:color="auto"/>
              <w:bottom w:val="single" w:sz="4" w:space="0" w:color="auto"/>
              <w:right w:val="single" w:sz="4" w:space="0" w:color="auto"/>
            </w:tcBorders>
            <w:hideMark/>
          </w:tcPr>
          <w:p w14:paraId="4D2732BE"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r>
      <w:tr w:rsidR="00A2588D" w14:paraId="4EBE8AB3"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6FE15B5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337AFBF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102206D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4</w:t>
            </w:r>
          </w:p>
        </w:tc>
        <w:tc>
          <w:tcPr>
            <w:tcW w:w="423" w:type="dxa"/>
            <w:tcBorders>
              <w:top w:val="single" w:sz="4" w:space="0" w:color="auto"/>
              <w:left w:val="single" w:sz="4" w:space="0" w:color="auto"/>
              <w:bottom w:val="single" w:sz="4" w:space="0" w:color="auto"/>
              <w:right w:val="single" w:sz="4" w:space="0" w:color="auto"/>
            </w:tcBorders>
            <w:hideMark/>
          </w:tcPr>
          <w:p w14:paraId="046CDEC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467" w:type="dxa"/>
            <w:tcBorders>
              <w:top w:val="single" w:sz="4" w:space="0" w:color="auto"/>
              <w:left w:val="single" w:sz="4" w:space="0" w:color="auto"/>
              <w:bottom w:val="single" w:sz="4" w:space="0" w:color="auto"/>
              <w:right w:val="single" w:sz="4" w:space="0" w:color="auto"/>
            </w:tcBorders>
            <w:hideMark/>
          </w:tcPr>
          <w:p w14:paraId="5FAAC05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34A0EFB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2908</w:t>
            </w:r>
          </w:p>
        </w:tc>
        <w:tc>
          <w:tcPr>
            <w:tcW w:w="1285" w:type="dxa"/>
            <w:tcBorders>
              <w:top w:val="single" w:sz="4" w:space="0" w:color="auto"/>
              <w:left w:val="single" w:sz="4" w:space="0" w:color="auto"/>
              <w:bottom w:val="single" w:sz="4" w:space="0" w:color="auto"/>
              <w:right w:val="single" w:sz="4" w:space="0" w:color="auto"/>
            </w:tcBorders>
            <w:hideMark/>
          </w:tcPr>
          <w:p w14:paraId="1D183457"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0875000</w:t>
            </w:r>
          </w:p>
        </w:tc>
        <w:tc>
          <w:tcPr>
            <w:tcW w:w="394" w:type="dxa"/>
            <w:tcBorders>
              <w:top w:val="single" w:sz="4" w:space="0" w:color="auto"/>
              <w:left w:val="single" w:sz="4" w:space="0" w:color="auto"/>
              <w:bottom w:val="single" w:sz="4" w:space="0" w:color="auto"/>
              <w:right w:val="single" w:sz="4" w:space="0" w:color="auto"/>
            </w:tcBorders>
            <w:hideMark/>
          </w:tcPr>
          <w:p w14:paraId="449CBBAE"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3</w:t>
            </w:r>
          </w:p>
        </w:tc>
        <w:tc>
          <w:tcPr>
            <w:tcW w:w="949" w:type="dxa"/>
            <w:tcBorders>
              <w:top w:val="single" w:sz="4" w:space="0" w:color="auto"/>
              <w:left w:val="single" w:sz="4" w:space="0" w:color="auto"/>
              <w:bottom w:val="single" w:sz="4" w:space="0" w:color="auto"/>
              <w:right w:val="single" w:sz="4" w:space="0" w:color="auto"/>
            </w:tcBorders>
            <w:hideMark/>
          </w:tcPr>
          <w:p w14:paraId="4BD8E664"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3</w:t>
            </w:r>
            <w:r>
              <w:rPr>
                <w:rFonts w:ascii="Sylfaen" w:hAnsi="Sylfaen" w:cs="Arial"/>
                <w:sz w:val="16"/>
                <w:szCs w:val="16"/>
                <w:lang w:val="ka-GE"/>
              </w:rPr>
              <w:t>,</w:t>
            </w:r>
            <w:r>
              <w:rPr>
                <w:rFonts w:ascii="Sylfaen" w:hAnsi="Sylfaen"/>
                <w:sz w:val="16"/>
                <w:szCs w:val="16"/>
                <w:lang w:val="ka-GE"/>
              </w:rPr>
              <w:t>6843</w:t>
            </w:r>
          </w:p>
        </w:tc>
        <w:tc>
          <w:tcPr>
            <w:tcW w:w="876" w:type="dxa"/>
            <w:tcBorders>
              <w:top w:val="single" w:sz="4" w:space="0" w:color="auto"/>
              <w:left w:val="single" w:sz="4" w:space="0" w:color="auto"/>
              <w:bottom w:val="single" w:sz="4" w:space="0" w:color="auto"/>
              <w:right w:val="single" w:sz="4" w:space="0" w:color="auto"/>
            </w:tcBorders>
            <w:hideMark/>
          </w:tcPr>
          <w:p w14:paraId="5B0B5E8C"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14</w:t>
            </w:r>
            <w:r>
              <w:rPr>
                <w:rFonts w:ascii="Sylfaen" w:hAnsi="Sylfaen" w:cs="Arial"/>
                <w:sz w:val="16"/>
                <w:szCs w:val="16"/>
                <w:lang w:val="ka-GE"/>
              </w:rPr>
              <w:t>,</w:t>
            </w:r>
            <w:r>
              <w:rPr>
                <w:rFonts w:ascii="Sylfaen" w:hAnsi="Sylfaen"/>
                <w:sz w:val="16"/>
                <w:szCs w:val="16"/>
                <w:lang w:val="ka-GE"/>
              </w:rPr>
              <w:t>25</w:t>
            </w:r>
          </w:p>
        </w:tc>
        <w:tc>
          <w:tcPr>
            <w:tcW w:w="919" w:type="dxa"/>
            <w:tcBorders>
              <w:top w:val="single" w:sz="4" w:space="0" w:color="auto"/>
              <w:left w:val="single" w:sz="4" w:space="0" w:color="auto"/>
              <w:bottom w:val="single" w:sz="4" w:space="0" w:color="auto"/>
              <w:right w:val="single" w:sz="4" w:space="0" w:color="auto"/>
            </w:tcBorders>
            <w:hideMark/>
          </w:tcPr>
          <w:p w14:paraId="5E3700FE"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c>
          <w:tcPr>
            <w:tcW w:w="978" w:type="dxa"/>
            <w:tcBorders>
              <w:top w:val="single" w:sz="4" w:space="0" w:color="auto"/>
              <w:left w:val="single" w:sz="4" w:space="0" w:color="auto"/>
              <w:bottom w:val="single" w:sz="4" w:space="0" w:color="auto"/>
              <w:right w:val="single" w:sz="4" w:space="0" w:color="auto"/>
            </w:tcBorders>
            <w:hideMark/>
          </w:tcPr>
          <w:p w14:paraId="7F2DEBD5"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3</w:t>
            </w:r>
            <w:r>
              <w:rPr>
                <w:rFonts w:ascii="Sylfaen" w:hAnsi="Sylfaen" w:cs="Arial"/>
                <w:sz w:val="16"/>
                <w:szCs w:val="16"/>
                <w:lang w:val="ka-GE"/>
              </w:rPr>
              <w:t>,</w:t>
            </w:r>
            <w:r>
              <w:rPr>
                <w:rFonts w:ascii="Sylfaen" w:hAnsi="Sylfaen"/>
                <w:sz w:val="16"/>
                <w:szCs w:val="16"/>
                <w:lang w:val="ka-GE"/>
              </w:rPr>
              <w:t>6843</w:t>
            </w:r>
          </w:p>
        </w:tc>
        <w:tc>
          <w:tcPr>
            <w:tcW w:w="934" w:type="dxa"/>
            <w:tcBorders>
              <w:top w:val="single" w:sz="4" w:space="0" w:color="auto"/>
              <w:left w:val="single" w:sz="4" w:space="0" w:color="auto"/>
              <w:bottom w:val="single" w:sz="4" w:space="0" w:color="auto"/>
              <w:right w:val="single" w:sz="4" w:space="0" w:color="auto"/>
            </w:tcBorders>
            <w:hideMark/>
          </w:tcPr>
          <w:p w14:paraId="1FBD493C"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14</w:t>
            </w:r>
            <w:r>
              <w:rPr>
                <w:rFonts w:ascii="Sylfaen" w:hAnsi="Sylfaen" w:cs="Arial"/>
                <w:sz w:val="16"/>
                <w:szCs w:val="16"/>
                <w:lang w:val="ka-GE"/>
              </w:rPr>
              <w:t>,</w:t>
            </w:r>
            <w:r>
              <w:rPr>
                <w:rFonts w:ascii="Sylfaen" w:hAnsi="Sylfaen"/>
                <w:sz w:val="16"/>
                <w:szCs w:val="16"/>
                <w:lang w:val="ka-GE"/>
              </w:rPr>
              <w:t>25</w:t>
            </w:r>
          </w:p>
        </w:tc>
        <w:tc>
          <w:tcPr>
            <w:tcW w:w="817" w:type="dxa"/>
            <w:tcBorders>
              <w:top w:val="single" w:sz="4" w:space="0" w:color="auto"/>
              <w:left w:val="single" w:sz="4" w:space="0" w:color="auto"/>
              <w:bottom w:val="single" w:sz="4" w:space="0" w:color="auto"/>
              <w:right w:val="single" w:sz="4" w:space="0" w:color="auto"/>
            </w:tcBorders>
            <w:hideMark/>
          </w:tcPr>
          <w:p w14:paraId="3BAF4A34"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r>
      <w:tr w:rsidR="00A2588D" w14:paraId="1EC9C5BC"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7EDBDEB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53FD50E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3815902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5</w:t>
            </w:r>
          </w:p>
        </w:tc>
        <w:tc>
          <w:tcPr>
            <w:tcW w:w="423" w:type="dxa"/>
            <w:tcBorders>
              <w:top w:val="single" w:sz="4" w:space="0" w:color="auto"/>
              <w:left w:val="single" w:sz="4" w:space="0" w:color="auto"/>
              <w:bottom w:val="single" w:sz="4" w:space="0" w:color="auto"/>
              <w:right w:val="single" w:sz="4" w:space="0" w:color="auto"/>
            </w:tcBorders>
            <w:hideMark/>
          </w:tcPr>
          <w:p w14:paraId="2E47E0A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467" w:type="dxa"/>
            <w:tcBorders>
              <w:top w:val="single" w:sz="4" w:space="0" w:color="auto"/>
              <w:left w:val="single" w:sz="4" w:space="0" w:color="auto"/>
              <w:bottom w:val="single" w:sz="4" w:space="0" w:color="auto"/>
              <w:right w:val="single" w:sz="4" w:space="0" w:color="auto"/>
            </w:tcBorders>
            <w:hideMark/>
          </w:tcPr>
          <w:p w14:paraId="1682B1F4"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2EF1891A"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0337</w:t>
            </w:r>
          </w:p>
        </w:tc>
        <w:tc>
          <w:tcPr>
            <w:tcW w:w="1285" w:type="dxa"/>
            <w:tcBorders>
              <w:top w:val="single" w:sz="4" w:space="0" w:color="auto"/>
              <w:left w:val="single" w:sz="4" w:space="0" w:color="auto"/>
              <w:bottom w:val="single" w:sz="4" w:space="0" w:color="auto"/>
              <w:right w:val="single" w:sz="4" w:space="0" w:color="auto"/>
            </w:tcBorders>
            <w:hideMark/>
          </w:tcPr>
          <w:p w14:paraId="03256B6A"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0273783</w:t>
            </w:r>
          </w:p>
        </w:tc>
        <w:tc>
          <w:tcPr>
            <w:tcW w:w="394" w:type="dxa"/>
            <w:tcBorders>
              <w:top w:val="single" w:sz="4" w:space="0" w:color="auto"/>
              <w:left w:val="single" w:sz="4" w:space="0" w:color="auto"/>
              <w:bottom w:val="single" w:sz="4" w:space="0" w:color="auto"/>
              <w:right w:val="single" w:sz="4" w:space="0" w:color="auto"/>
            </w:tcBorders>
            <w:hideMark/>
          </w:tcPr>
          <w:p w14:paraId="4D966121"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1D18FB7F"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0231</w:t>
            </w:r>
          </w:p>
        </w:tc>
        <w:tc>
          <w:tcPr>
            <w:tcW w:w="876" w:type="dxa"/>
            <w:tcBorders>
              <w:top w:val="single" w:sz="4" w:space="0" w:color="auto"/>
              <w:left w:val="single" w:sz="4" w:space="0" w:color="auto"/>
              <w:bottom w:val="single" w:sz="4" w:space="0" w:color="auto"/>
              <w:right w:val="single" w:sz="4" w:space="0" w:color="auto"/>
            </w:tcBorders>
            <w:hideMark/>
          </w:tcPr>
          <w:p w14:paraId="6274ECB5"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3AA9D716"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c>
          <w:tcPr>
            <w:tcW w:w="978" w:type="dxa"/>
            <w:tcBorders>
              <w:top w:val="single" w:sz="4" w:space="0" w:color="auto"/>
              <w:left w:val="single" w:sz="4" w:space="0" w:color="auto"/>
              <w:bottom w:val="single" w:sz="4" w:space="0" w:color="auto"/>
              <w:right w:val="single" w:sz="4" w:space="0" w:color="auto"/>
            </w:tcBorders>
            <w:hideMark/>
          </w:tcPr>
          <w:p w14:paraId="20AD4016"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0231</w:t>
            </w:r>
          </w:p>
        </w:tc>
        <w:tc>
          <w:tcPr>
            <w:tcW w:w="934" w:type="dxa"/>
            <w:tcBorders>
              <w:top w:val="single" w:sz="4" w:space="0" w:color="auto"/>
              <w:left w:val="single" w:sz="4" w:space="0" w:color="auto"/>
              <w:bottom w:val="single" w:sz="4" w:space="0" w:color="auto"/>
              <w:right w:val="single" w:sz="4" w:space="0" w:color="auto"/>
            </w:tcBorders>
            <w:hideMark/>
          </w:tcPr>
          <w:p w14:paraId="31803E58"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817" w:type="dxa"/>
            <w:tcBorders>
              <w:top w:val="single" w:sz="4" w:space="0" w:color="auto"/>
              <w:left w:val="single" w:sz="4" w:space="0" w:color="auto"/>
              <w:bottom w:val="single" w:sz="4" w:space="0" w:color="auto"/>
              <w:right w:val="single" w:sz="4" w:space="0" w:color="auto"/>
            </w:tcBorders>
            <w:hideMark/>
          </w:tcPr>
          <w:p w14:paraId="1FE49235"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r>
      <w:tr w:rsidR="00A2588D" w14:paraId="31E7554B"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3DB385E7"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2B24C922"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3D44EB8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6</w:t>
            </w:r>
          </w:p>
        </w:tc>
        <w:tc>
          <w:tcPr>
            <w:tcW w:w="423" w:type="dxa"/>
            <w:tcBorders>
              <w:top w:val="single" w:sz="4" w:space="0" w:color="auto"/>
              <w:left w:val="single" w:sz="4" w:space="0" w:color="auto"/>
              <w:bottom w:val="single" w:sz="4" w:space="0" w:color="auto"/>
              <w:right w:val="single" w:sz="4" w:space="0" w:color="auto"/>
            </w:tcBorders>
            <w:hideMark/>
          </w:tcPr>
          <w:p w14:paraId="180B78A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467" w:type="dxa"/>
            <w:tcBorders>
              <w:top w:val="single" w:sz="4" w:space="0" w:color="auto"/>
              <w:left w:val="single" w:sz="4" w:space="0" w:color="auto"/>
              <w:bottom w:val="single" w:sz="4" w:space="0" w:color="auto"/>
              <w:right w:val="single" w:sz="4" w:space="0" w:color="auto"/>
            </w:tcBorders>
            <w:hideMark/>
          </w:tcPr>
          <w:p w14:paraId="0B20486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708677EC"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0337</w:t>
            </w:r>
          </w:p>
        </w:tc>
        <w:tc>
          <w:tcPr>
            <w:tcW w:w="1285" w:type="dxa"/>
            <w:tcBorders>
              <w:top w:val="single" w:sz="4" w:space="0" w:color="auto"/>
              <w:left w:val="single" w:sz="4" w:space="0" w:color="auto"/>
              <w:bottom w:val="single" w:sz="4" w:space="0" w:color="auto"/>
              <w:right w:val="single" w:sz="4" w:space="0" w:color="auto"/>
            </w:tcBorders>
            <w:hideMark/>
          </w:tcPr>
          <w:p w14:paraId="71B39723"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0273783</w:t>
            </w:r>
          </w:p>
        </w:tc>
        <w:tc>
          <w:tcPr>
            <w:tcW w:w="394" w:type="dxa"/>
            <w:tcBorders>
              <w:top w:val="single" w:sz="4" w:space="0" w:color="auto"/>
              <w:left w:val="single" w:sz="4" w:space="0" w:color="auto"/>
              <w:bottom w:val="single" w:sz="4" w:space="0" w:color="auto"/>
              <w:right w:val="single" w:sz="4" w:space="0" w:color="auto"/>
            </w:tcBorders>
            <w:hideMark/>
          </w:tcPr>
          <w:p w14:paraId="11BA040B"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2839C3E2"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0231</w:t>
            </w:r>
          </w:p>
        </w:tc>
        <w:tc>
          <w:tcPr>
            <w:tcW w:w="876" w:type="dxa"/>
            <w:tcBorders>
              <w:top w:val="single" w:sz="4" w:space="0" w:color="auto"/>
              <w:left w:val="single" w:sz="4" w:space="0" w:color="auto"/>
              <w:bottom w:val="single" w:sz="4" w:space="0" w:color="auto"/>
              <w:right w:val="single" w:sz="4" w:space="0" w:color="auto"/>
            </w:tcBorders>
            <w:hideMark/>
          </w:tcPr>
          <w:p w14:paraId="4B1C7D2F"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1EFB43E0"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c>
          <w:tcPr>
            <w:tcW w:w="978" w:type="dxa"/>
            <w:tcBorders>
              <w:top w:val="single" w:sz="4" w:space="0" w:color="auto"/>
              <w:left w:val="single" w:sz="4" w:space="0" w:color="auto"/>
              <w:bottom w:val="single" w:sz="4" w:space="0" w:color="auto"/>
              <w:right w:val="single" w:sz="4" w:space="0" w:color="auto"/>
            </w:tcBorders>
            <w:hideMark/>
          </w:tcPr>
          <w:p w14:paraId="2867AD03"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0231</w:t>
            </w:r>
          </w:p>
        </w:tc>
        <w:tc>
          <w:tcPr>
            <w:tcW w:w="934" w:type="dxa"/>
            <w:tcBorders>
              <w:top w:val="single" w:sz="4" w:space="0" w:color="auto"/>
              <w:left w:val="single" w:sz="4" w:space="0" w:color="auto"/>
              <w:bottom w:val="single" w:sz="4" w:space="0" w:color="auto"/>
              <w:right w:val="single" w:sz="4" w:space="0" w:color="auto"/>
            </w:tcBorders>
            <w:hideMark/>
          </w:tcPr>
          <w:p w14:paraId="2C650E41"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817" w:type="dxa"/>
            <w:tcBorders>
              <w:top w:val="single" w:sz="4" w:space="0" w:color="auto"/>
              <w:left w:val="single" w:sz="4" w:space="0" w:color="auto"/>
              <w:bottom w:val="single" w:sz="4" w:space="0" w:color="auto"/>
              <w:right w:val="single" w:sz="4" w:space="0" w:color="auto"/>
            </w:tcBorders>
            <w:hideMark/>
          </w:tcPr>
          <w:p w14:paraId="3BE09600"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r>
      <w:tr w:rsidR="00A2588D" w14:paraId="4D5F17DB"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12BFE92D"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67612F6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166443E8"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7</w:t>
            </w:r>
          </w:p>
        </w:tc>
        <w:tc>
          <w:tcPr>
            <w:tcW w:w="423" w:type="dxa"/>
            <w:tcBorders>
              <w:top w:val="single" w:sz="4" w:space="0" w:color="auto"/>
              <w:left w:val="single" w:sz="4" w:space="0" w:color="auto"/>
              <w:bottom w:val="single" w:sz="4" w:space="0" w:color="auto"/>
              <w:right w:val="single" w:sz="4" w:space="0" w:color="auto"/>
            </w:tcBorders>
            <w:hideMark/>
          </w:tcPr>
          <w:p w14:paraId="1F8DEBA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467" w:type="dxa"/>
            <w:tcBorders>
              <w:top w:val="single" w:sz="4" w:space="0" w:color="auto"/>
              <w:left w:val="single" w:sz="4" w:space="0" w:color="auto"/>
              <w:bottom w:val="single" w:sz="4" w:space="0" w:color="auto"/>
              <w:right w:val="single" w:sz="4" w:space="0" w:color="auto"/>
            </w:tcBorders>
            <w:hideMark/>
          </w:tcPr>
          <w:p w14:paraId="2297483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20BAC6F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2908</w:t>
            </w:r>
          </w:p>
        </w:tc>
        <w:tc>
          <w:tcPr>
            <w:tcW w:w="1285" w:type="dxa"/>
            <w:tcBorders>
              <w:top w:val="single" w:sz="4" w:space="0" w:color="auto"/>
              <w:left w:val="single" w:sz="4" w:space="0" w:color="auto"/>
              <w:bottom w:val="single" w:sz="4" w:space="0" w:color="auto"/>
              <w:right w:val="single" w:sz="4" w:space="0" w:color="auto"/>
            </w:tcBorders>
            <w:hideMark/>
          </w:tcPr>
          <w:p w14:paraId="3870C3A8"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0642500</w:t>
            </w:r>
          </w:p>
        </w:tc>
        <w:tc>
          <w:tcPr>
            <w:tcW w:w="394" w:type="dxa"/>
            <w:tcBorders>
              <w:top w:val="single" w:sz="4" w:space="0" w:color="auto"/>
              <w:left w:val="single" w:sz="4" w:space="0" w:color="auto"/>
              <w:bottom w:val="single" w:sz="4" w:space="0" w:color="auto"/>
              <w:right w:val="single" w:sz="4" w:space="0" w:color="auto"/>
            </w:tcBorders>
            <w:hideMark/>
          </w:tcPr>
          <w:p w14:paraId="590EE583"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3</w:t>
            </w:r>
          </w:p>
        </w:tc>
        <w:tc>
          <w:tcPr>
            <w:tcW w:w="949" w:type="dxa"/>
            <w:tcBorders>
              <w:top w:val="single" w:sz="4" w:space="0" w:color="auto"/>
              <w:left w:val="single" w:sz="4" w:space="0" w:color="auto"/>
              <w:bottom w:val="single" w:sz="4" w:space="0" w:color="auto"/>
              <w:right w:val="single" w:sz="4" w:space="0" w:color="auto"/>
            </w:tcBorders>
            <w:hideMark/>
          </w:tcPr>
          <w:p w14:paraId="2B87B87E"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22</w:t>
            </w:r>
            <w:r>
              <w:rPr>
                <w:rFonts w:ascii="Sylfaen" w:hAnsi="Sylfaen" w:cs="Arial"/>
                <w:sz w:val="16"/>
                <w:szCs w:val="16"/>
                <w:lang w:val="ka-GE"/>
              </w:rPr>
              <w:t>,</w:t>
            </w:r>
            <w:r>
              <w:rPr>
                <w:rFonts w:ascii="Sylfaen" w:hAnsi="Sylfaen"/>
                <w:sz w:val="16"/>
                <w:szCs w:val="16"/>
                <w:lang w:val="ka-GE"/>
              </w:rPr>
              <w:t>9479</w:t>
            </w:r>
          </w:p>
        </w:tc>
        <w:tc>
          <w:tcPr>
            <w:tcW w:w="876" w:type="dxa"/>
            <w:tcBorders>
              <w:top w:val="single" w:sz="4" w:space="0" w:color="auto"/>
              <w:left w:val="single" w:sz="4" w:space="0" w:color="auto"/>
              <w:bottom w:val="single" w:sz="4" w:space="0" w:color="auto"/>
              <w:right w:val="single" w:sz="4" w:space="0" w:color="auto"/>
            </w:tcBorders>
            <w:hideMark/>
          </w:tcPr>
          <w:p w14:paraId="10BD94D1"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5</w:t>
            </w:r>
            <w:r>
              <w:rPr>
                <w:rFonts w:ascii="Sylfaen" w:hAnsi="Sylfaen" w:cs="Arial"/>
                <w:sz w:val="16"/>
                <w:szCs w:val="16"/>
                <w:lang w:val="ka-GE"/>
              </w:rPr>
              <w:t>,</w:t>
            </w:r>
            <w:r>
              <w:rPr>
                <w:rFonts w:ascii="Sylfaen" w:hAnsi="Sylfaen"/>
                <w:sz w:val="16"/>
                <w:szCs w:val="16"/>
                <w:lang w:val="ka-GE"/>
              </w:rPr>
              <w:t>70</w:t>
            </w:r>
          </w:p>
        </w:tc>
        <w:tc>
          <w:tcPr>
            <w:tcW w:w="919" w:type="dxa"/>
            <w:tcBorders>
              <w:top w:val="single" w:sz="4" w:space="0" w:color="auto"/>
              <w:left w:val="single" w:sz="4" w:space="0" w:color="auto"/>
              <w:bottom w:val="single" w:sz="4" w:space="0" w:color="auto"/>
              <w:right w:val="single" w:sz="4" w:space="0" w:color="auto"/>
            </w:tcBorders>
            <w:hideMark/>
          </w:tcPr>
          <w:p w14:paraId="5402BDA3"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c>
          <w:tcPr>
            <w:tcW w:w="978" w:type="dxa"/>
            <w:tcBorders>
              <w:top w:val="single" w:sz="4" w:space="0" w:color="auto"/>
              <w:left w:val="single" w:sz="4" w:space="0" w:color="auto"/>
              <w:bottom w:val="single" w:sz="4" w:space="0" w:color="auto"/>
              <w:right w:val="single" w:sz="4" w:space="0" w:color="auto"/>
            </w:tcBorders>
            <w:hideMark/>
          </w:tcPr>
          <w:p w14:paraId="0831FA66"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22</w:t>
            </w:r>
            <w:r>
              <w:rPr>
                <w:rFonts w:ascii="Sylfaen" w:hAnsi="Sylfaen" w:cs="Arial"/>
                <w:sz w:val="16"/>
                <w:szCs w:val="16"/>
                <w:lang w:val="ka-GE"/>
              </w:rPr>
              <w:t>,</w:t>
            </w:r>
            <w:r>
              <w:rPr>
                <w:rFonts w:ascii="Sylfaen" w:hAnsi="Sylfaen"/>
                <w:sz w:val="16"/>
                <w:szCs w:val="16"/>
                <w:lang w:val="ka-GE"/>
              </w:rPr>
              <w:t>9479</w:t>
            </w:r>
          </w:p>
        </w:tc>
        <w:tc>
          <w:tcPr>
            <w:tcW w:w="934" w:type="dxa"/>
            <w:tcBorders>
              <w:top w:val="single" w:sz="4" w:space="0" w:color="auto"/>
              <w:left w:val="single" w:sz="4" w:space="0" w:color="auto"/>
              <w:bottom w:val="single" w:sz="4" w:space="0" w:color="auto"/>
              <w:right w:val="single" w:sz="4" w:space="0" w:color="auto"/>
            </w:tcBorders>
            <w:hideMark/>
          </w:tcPr>
          <w:p w14:paraId="005FC8EA"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5</w:t>
            </w:r>
            <w:r>
              <w:rPr>
                <w:rFonts w:ascii="Sylfaen" w:hAnsi="Sylfaen" w:cs="Arial"/>
                <w:sz w:val="16"/>
                <w:szCs w:val="16"/>
                <w:lang w:val="ka-GE"/>
              </w:rPr>
              <w:t>,</w:t>
            </w:r>
            <w:r>
              <w:rPr>
                <w:rFonts w:ascii="Sylfaen" w:hAnsi="Sylfaen"/>
                <w:sz w:val="16"/>
                <w:szCs w:val="16"/>
                <w:lang w:val="ka-GE"/>
              </w:rPr>
              <w:t>70</w:t>
            </w:r>
          </w:p>
        </w:tc>
        <w:tc>
          <w:tcPr>
            <w:tcW w:w="817" w:type="dxa"/>
            <w:tcBorders>
              <w:top w:val="single" w:sz="4" w:space="0" w:color="auto"/>
              <w:left w:val="single" w:sz="4" w:space="0" w:color="auto"/>
              <w:bottom w:val="single" w:sz="4" w:space="0" w:color="auto"/>
              <w:right w:val="single" w:sz="4" w:space="0" w:color="auto"/>
            </w:tcBorders>
            <w:hideMark/>
          </w:tcPr>
          <w:p w14:paraId="75AB72C6"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r>
      <w:tr w:rsidR="00A2588D" w14:paraId="6484CD7A"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5423136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60AD7239"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7903D9EF"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8</w:t>
            </w:r>
          </w:p>
        </w:tc>
        <w:tc>
          <w:tcPr>
            <w:tcW w:w="423" w:type="dxa"/>
            <w:tcBorders>
              <w:top w:val="single" w:sz="4" w:space="0" w:color="auto"/>
              <w:left w:val="single" w:sz="4" w:space="0" w:color="auto"/>
              <w:bottom w:val="single" w:sz="4" w:space="0" w:color="auto"/>
              <w:right w:val="single" w:sz="4" w:space="0" w:color="auto"/>
            </w:tcBorders>
            <w:hideMark/>
          </w:tcPr>
          <w:p w14:paraId="23CC8EE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1</w:t>
            </w:r>
          </w:p>
        </w:tc>
        <w:tc>
          <w:tcPr>
            <w:tcW w:w="467" w:type="dxa"/>
            <w:tcBorders>
              <w:top w:val="single" w:sz="4" w:space="0" w:color="auto"/>
              <w:left w:val="single" w:sz="4" w:space="0" w:color="auto"/>
              <w:bottom w:val="single" w:sz="4" w:space="0" w:color="auto"/>
              <w:right w:val="single" w:sz="4" w:space="0" w:color="auto"/>
            </w:tcBorders>
            <w:hideMark/>
          </w:tcPr>
          <w:p w14:paraId="7991F453"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6F5702E5"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0337</w:t>
            </w:r>
          </w:p>
        </w:tc>
        <w:tc>
          <w:tcPr>
            <w:tcW w:w="1285" w:type="dxa"/>
            <w:tcBorders>
              <w:top w:val="single" w:sz="4" w:space="0" w:color="auto"/>
              <w:left w:val="single" w:sz="4" w:space="0" w:color="auto"/>
              <w:bottom w:val="single" w:sz="4" w:space="0" w:color="auto"/>
              <w:right w:val="single" w:sz="4" w:space="0" w:color="auto"/>
            </w:tcBorders>
            <w:hideMark/>
          </w:tcPr>
          <w:p w14:paraId="7816F703"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0500000</w:t>
            </w:r>
          </w:p>
        </w:tc>
        <w:tc>
          <w:tcPr>
            <w:tcW w:w="394" w:type="dxa"/>
            <w:tcBorders>
              <w:top w:val="single" w:sz="4" w:space="0" w:color="auto"/>
              <w:left w:val="single" w:sz="4" w:space="0" w:color="auto"/>
              <w:bottom w:val="single" w:sz="4" w:space="0" w:color="auto"/>
              <w:right w:val="single" w:sz="4" w:space="0" w:color="auto"/>
            </w:tcBorders>
            <w:hideMark/>
          </w:tcPr>
          <w:p w14:paraId="240F169E"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71E36DDB"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0112</w:t>
            </w:r>
          </w:p>
        </w:tc>
        <w:tc>
          <w:tcPr>
            <w:tcW w:w="876" w:type="dxa"/>
            <w:tcBorders>
              <w:top w:val="single" w:sz="4" w:space="0" w:color="auto"/>
              <w:left w:val="single" w:sz="4" w:space="0" w:color="auto"/>
              <w:bottom w:val="single" w:sz="4" w:space="0" w:color="auto"/>
              <w:right w:val="single" w:sz="4" w:space="0" w:color="auto"/>
            </w:tcBorders>
            <w:hideMark/>
          </w:tcPr>
          <w:p w14:paraId="3CFA6F2F"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68</w:t>
            </w:r>
            <w:r>
              <w:rPr>
                <w:rFonts w:ascii="Sylfaen" w:hAnsi="Sylfaen" w:cs="Arial"/>
                <w:sz w:val="16"/>
                <w:szCs w:val="16"/>
                <w:lang w:val="ka-GE"/>
              </w:rPr>
              <w:t>,</w:t>
            </w:r>
            <w:r>
              <w:rPr>
                <w:rFonts w:ascii="Sylfaen" w:hAnsi="Sylfaen"/>
                <w:sz w:val="16"/>
                <w:szCs w:val="16"/>
                <w:lang w:val="ka-GE"/>
              </w:rPr>
              <w:t>79</w:t>
            </w:r>
          </w:p>
        </w:tc>
        <w:tc>
          <w:tcPr>
            <w:tcW w:w="919" w:type="dxa"/>
            <w:tcBorders>
              <w:top w:val="single" w:sz="4" w:space="0" w:color="auto"/>
              <w:left w:val="single" w:sz="4" w:space="0" w:color="auto"/>
              <w:bottom w:val="single" w:sz="4" w:space="0" w:color="auto"/>
              <w:right w:val="single" w:sz="4" w:space="0" w:color="auto"/>
            </w:tcBorders>
            <w:hideMark/>
          </w:tcPr>
          <w:p w14:paraId="6E882507"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w:t>
            </w:r>
            <w:r>
              <w:rPr>
                <w:rFonts w:ascii="Sylfaen" w:hAnsi="Sylfaen"/>
                <w:sz w:val="16"/>
                <w:szCs w:val="16"/>
                <w:lang w:val="ka-GE"/>
              </w:rPr>
              <w:t>9158</w:t>
            </w:r>
          </w:p>
        </w:tc>
        <w:tc>
          <w:tcPr>
            <w:tcW w:w="978" w:type="dxa"/>
            <w:tcBorders>
              <w:top w:val="single" w:sz="4" w:space="0" w:color="auto"/>
              <w:left w:val="single" w:sz="4" w:space="0" w:color="auto"/>
              <w:bottom w:val="single" w:sz="4" w:space="0" w:color="auto"/>
              <w:right w:val="single" w:sz="4" w:space="0" w:color="auto"/>
            </w:tcBorders>
            <w:hideMark/>
          </w:tcPr>
          <w:p w14:paraId="78017E44"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0110</w:t>
            </w:r>
          </w:p>
        </w:tc>
        <w:tc>
          <w:tcPr>
            <w:tcW w:w="934" w:type="dxa"/>
            <w:tcBorders>
              <w:top w:val="single" w:sz="4" w:space="0" w:color="auto"/>
              <w:left w:val="single" w:sz="4" w:space="0" w:color="auto"/>
              <w:bottom w:val="single" w:sz="4" w:space="0" w:color="auto"/>
              <w:right w:val="single" w:sz="4" w:space="0" w:color="auto"/>
            </w:tcBorders>
            <w:hideMark/>
          </w:tcPr>
          <w:p w14:paraId="6C55F94D"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69</w:t>
            </w:r>
            <w:r>
              <w:rPr>
                <w:rFonts w:ascii="Sylfaen" w:hAnsi="Sylfaen" w:cs="Arial"/>
                <w:sz w:val="16"/>
                <w:szCs w:val="16"/>
                <w:lang w:val="ka-GE"/>
              </w:rPr>
              <w:t>,</w:t>
            </w:r>
            <w:r>
              <w:rPr>
                <w:rFonts w:ascii="Sylfaen" w:hAnsi="Sylfaen"/>
                <w:sz w:val="16"/>
                <w:szCs w:val="16"/>
                <w:lang w:val="ka-GE"/>
              </w:rPr>
              <w:t>99</w:t>
            </w:r>
          </w:p>
        </w:tc>
        <w:tc>
          <w:tcPr>
            <w:tcW w:w="817" w:type="dxa"/>
            <w:tcBorders>
              <w:top w:val="single" w:sz="4" w:space="0" w:color="auto"/>
              <w:left w:val="single" w:sz="4" w:space="0" w:color="auto"/>
              <w:bottom w:val="single" w:sz="4" w:space="0" w:color="auto"/>
              <w:right w:val="single" w:sz="4" w:space="0" w:color="auto"/>
            </w:tcBorders>
            <w:hideMark/>
          </w:tcPr>
          <w:p w14:paraId="3949EFE4"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w:t>
            </w:r>
            <w:r>
              <w:rPr>
                <w:rFonts w:ascii="Sylfaen" w:hAnsi="Sylfaen"/>
                <w:sz w:val="16"/>
                <w:szCs w:val="16"/>
                <w:lang w:val="ka-GE"/>
              </w:rPr>
              <w:t>9640</w:t>
            </w:r>
          </w:p>
        </w:tc>
      </w:tr>
      <w:tr w:rsidR="00A2588D" w14:paraId="4B16CD9E"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55CB9E61"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23" w:type="dxa"/>
            <w:tcBorders>
              <w:top w:val="single" w:sz="4" w:space="0" w:color="auto"/>
              <w:left w:val="single" w:sz="4" w:space="0" w:color="auto"/>
              <w:bottom w:val="single" w:sz="4" w:space="0" w:color="auto"/>
              <w:right w:val="single" w:sz="4" w:space="0" w:color="auto"/>
            </w:tcBorders>
            <w:hideMark/>
          </w:tcPr>
          <w:p w14:paraId="7F87E000"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w:t>
            </w:r>
          </w:p>
        </w:tc>
        <w:tc>
          <w:tcPr>
            <w:tcW w:w="452" w:type="dxa"/>
            <w:tcBorders>
              <w:top w:val="single" w:sz="4" w:space="0" w:color="auto"/>
              <w:left w:val="single" w:sz="4" w:space="0" w:color="auto"/>
              <w:bottom w:val="single" w:sz="4" w:space="0" w:color="auto"/>
              <w:right w:val="single" w:sz="4" w:space="0" w:color="auto"/>
            </w:tcBorders>
            <w:hideMark/>
          </w:tcPr>
          <w:p w14:paraId="1AA96E5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9</w:t>
            </w:r>
          </w:p>
        </w:tc>
        <w:tc>
          <w:tcPr>
            <w:tcW w:w="423" w:type="dxa"/>
            <w:tcBorders>
              <w:top w:val="single" w:sz="4" w:space="0" w:color="auto"/>
              <w:left w:val="single" w:sz="4" w:space="0" w:color="auto"/>
              <w:bottom w:val="single" w:sz="4" w:space="0" w:color="auto"/>
              <w:right w:val="single" w:sz="4" w:space="0" w:color="auto"/>
            </w:tcBorders>
            <w:hideMark/>
          </w:tcPr>
          <w:p w14:paraId="70FBC41E"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3</w:t>
            </w:r>
          </w:p>
        </w:tc>
        <w:tc>
          <w:tcPr>
            <w:tcW w:w="467" w:type="dxa"/>
            <w:tcBorders>
              <w:top w:val="single" w:sz="4" w:space="0" w:color="auto"/>
              <w:left w:val="single" w:sz="4" w:space="0" w:color="auto"/>
              <w:bottom w:val="single" w:sz="4" w:space="0" w:color="auto"/>
              <w:right w:val="single" w:sz="4" w:space="0" w:color="auto"/>
            </w:tcBorders>
            <w:hideMark/>
          </w:tcPr>
          <w:p w14:paraId="059FA70B"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cs="Arial"/>
                <w:sz w:val="16"/>
                <w:szCs w:val="16"/>
                <w:lang w:val="ka-GE"/>
              </w:rPr>
              <w:t>+</w:t>
            </w:r>
          </w:p>
        </w:tc>
        <w:tc>
          <w:tcPr>
            <w:tcW w:w="525" w:type="dxa"/>
            <w:tcBorders>
              <w:top w:val="single" w:sz="4" w:space="0" w:color="auto"/>
              <w:left w:val="single" w:sz="4" w:space="0" w:color="auto"/>
              <w:bottom w:val="single" w:sz="4" w:space="0" w:color="auto"/>
              <w:right w:val="single" w:sz="4" w:space="0" w:color="auto"/>
            </w:tcBorders>
            <w:hideMark/>
          </w:tcPr>
          <w:p w14:paraId="58D7F316" w14:textId="77777777" w:rsidR="00A2588D" w:rsidRDefault="00A2588D" w:rsidP="00A2588D">
            <w:pPr>
              <w:widowControl w:val="0"/>
              <w:autoSpaceDE w:val="0"/>
              <w:autoSpaceDN w:val="0"/>
              <w:adjustRightInd w:val="0"/>
              <w:jc w:val="center"/>
              <w:rPr>
                <w:rFonts w:ascii="Sylfaen" w:hAnsi="Sylfaen" w:cs="Arial"/>
                <w:sz w:val="16"/>
                <w:szCs w:val="16"/>
                <w:lang w:val="ka-GE"/>
              </w:rPr>
            </w:pPr>
            <w:r>
              <w:rPr>
                <w:rFonts w:ascii="Sylfaen" w:hAnsi="Sylfaen"/>
                <w:sz w:val="16"/>
                <w:szCs w:val="16"/>
                <w:lang w:val="ka-GE"/>
              </w:rPr>
              <w:t>0337</w:t>
            </w:r>
          </w:p>
        </w:tc>
        <w:tc>
          <w:tcPr>
            <w:tcW w:w="1285" w:type="dxa"/>
            <w:tcBorders>
              <w:top w:val="single" w:sz="4" w:space="0" w:color="auto"/>
              <w:left w:val="single" w:sz="4" w:space="0" w:color="auto"/>
              <w:bottom w:val="single" w:sz="4" w:space="0" w:color="auto"/>
              <w:right w:val="single" w:sz="4" w:space="0" w:color="auto"/>
            </w:tcBorders>
            <w:hideMark/>
          </w:tcPr>
          <w:p w14:paraId="6F9585A1"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0097778</w:t>
            </w:r>
          </w:p>
        </w:tc>
        <w:tc>
          <w:tcPr>
            <w:tcW w:w="394" w:type="dxa"/>
            <w:tcBorders>
              <w:top w:val="single" w:sz="4" w:space="0" w:color="auto"/>
              <w:left w:val="single" w:sz="4" w:space="0" w:color="auto"/>
              <w:bottom w:val="single" w:sz="4" w:space="0" w:color="auto"/>
              <w:right w:val="single" w:sz="4" w:space="0" w:color="auto"/>
            </w:tcBorders>
            <w:hideMark/>
          </w:tcPr>
          <w:p w14:paraId="56346E3E"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1</w:t>
            </w:r>
          </w:p>
        </w:tc>
        <w:tc>
          <w:tcPr>
            <w:tcW w:w="949" w:type="dxa"/>
            <w:tcBorders>
              <w:top w:val="single" w:sz="4" w:space="0" w:color="auto"/>
              <w:left w:val="single" w:sz="4" w:space="0" w:color="auto"/>
              <w:bottom w:val="single" w:sz="4" w:space="0" w:color="auto"/>
              <w:right w:val="single" w:sz="4" w:space="0" w:color="auto"/>
            </w:tcBorders>
            <w:hideMark/>
          </w:tcPr>
          <w:p w14:paraId="34762AFF"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0082</w:t>
            </w:r>
          </w:p>
        </w:tc>
        <w:tc>
          <w:tcPr>
            <w:tcW w:w="876" w:type="dxa"/>
            <w:tcBorders>
              <w:top w:val="single" w:sz="4" w:space="0" w:color="auto"/>
              <w:left w:val="single" w:sz="4" w:space="0" w:color="auto"/>
              <w:bottom w:val="single" w:sz="4" w:space="0" w:color="auto"/>
              <w:right w:val="single" w:sz="4" w:space="0" w:color="auto"/>
            </w:tcBorders>
            <w:hideMark/>
          </w:tcPr>
          <w:p w14:paraId="345C56BF"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919" w:type="dxa"/>
            <w:tcBorders>
              <w:top w:val="single" w:sz="4" w:space="0" w:color="auto"/>
              <w:left w:val="single" w:sz="4" w:space="0" w:color="auto"/>
              <w:bottom w:val="single" w:sz="4" w:space="0" w:color="auto"/>
              <w:right w:val="single" w:sz="4" w:space="0" w:color="auto"/>
            </w:tcBorders>
            <w:hideMark/>
          </w:tcPr>
          <w:p w14:paraId="5578BC9F"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c>
          <w:tcPr>
            <w:tcW w:w="978" w:type="dxa"/>
            <w:tcBorders>
              <w:top w:val="single" w:sz="4" w:space="0" w:color="auto"/>
              <w:left w:val="single" w:sz="4" w:space="0" w:color="auto"/>
              <w:bottom w:val="single" w:sz="4" w:space="0" w:color="auto"/>
              <w:right w:val="single" w:sz="4" w:space="0" w:color="auto"/>
            </w:tcBorders>
            <w:hideMark/>
          </w:tcPr>
          <w:p w14:paraId="13E8F46F"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0082</w:t>
            </w:r>
          </w:p>
        </w:tc>
        <w:tc>
          <w:tcPr>
            <w:tcW w:w="934" w:type="dxa"/>
            <w:tcBorders>
              <w:top w:val="single" w:sz="4" w:space="0" w:color="auto"/>
              <w:left w:val="single" w:sz="4" w:space="0" w:color="auto"/>
              <w:bottom w:val="single" w:sz="4" w:space="0" w:color="auto"/>
              <w:right w:val="single" w:sz="4" w:space="0" w:color="auto"/>
            </w:tcBorders>
            <w:hideMark/>
          </w:tcPr>
          <w:p w14:paraId="6AF6038A"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28</w:t>
            </w:r>
            <w:r>
              <w:rPr>
                <w:rFonts w:ascii="Sylfaen" w:hAnsi="Sylfaen" w:cs="Arial"/>
                <w:sz w:val="16"/>
                <w:szCs w:val="16"/>
                <w:lang w:val="ka-GE"/>
              </w:rPr>
              <w:t>,</w:t>
            </w:r>
            <w:r>
              <w:rPr>
                <w:rFonts w:ascii="Sylfaen" w:hAnsi="Sylfaen"/>
                <w:sz w:val="16"/>
                <w:szCs w:val="16"/>
                <w:lang w:val="ka-GE"/>
              </w:rPr>
              <w:t>50</w:t>
            </w:r>
          </w:p>
        </w:tc>
        <w:tc>
          <w:tcPr>
            <w:tcW w:w="817" w:type="dxa"/>
            <w:tcBorders>
              <w:top w:val="single" w:sz="4" w:space="0" w:color="auto"/>
              <w:left w:val="single" w:sz="4" w:space="0" w:color="auto"/>
              <w:bottom w:val="single" w:sz="4" w:space="0" w:color="auto"/>
              <w:right w:val="single" w:sz="4" w:space="0" w:color="auto"/>
            </w:tcBorders>
            <w:hideMark/>
          </w:tcPr>
          <w:p w14:paraId="7AF2AE54" w14:textId="77777777" w:rsidR="00A2588D" w:rsidRDefault="00A2588D" w:rsidP="00A2588D">
            <w:pPr>
              <w:widowControl w:val="0"/>
              <w:autoSpaceDE w:val="0"/>
              <w:autoSpaceDN w:val="0"/>
              <w:adjustRightInd w:val="0"/>
              <w:ind w:right="11"/>
              <w:jc w:val="right"/>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w:t>
            </w:r>
            <w:r>
              <w:rPr>
                <w:rFonts w:ascii="Sylfaen" w:hAnsi="Sylfaen"/>
                <w:sz w:val="16"/>
                <w:szCs w:val="16"/>
                <w:lang w:val="ka-GE"/>
              </w:rPr>
              <w:t>5000</w:t>
            </w:r>
          </w:p>
        </w:tc>
      </w:tr>
      <w:tr w:rsidR="00A2588D" w14:paraId="477F36A4" w14:textId="77777777" w:rsidTr="00A2588D">
        <w:trPr>
          <w:jc w:val="center"/>
        </w:trPr>
        <w:tc>
          <w:tcPr>
            <w:tcW w:w="2759" w:type="dxa"/>
            <w:gridSpan w:val="6"/>
            <w:tcBorders>
              <w:top w:val="single" w:sz="4" w:space="0" w:color="auto"/>
              <w:left w:val="single" w:sz="4" w:space="0" w:color="auto"/>
              <w:bottom w:val="single" w:sz="4" w:space="0" w:color="auto"/>
              <w:right w:val="single" w:sz="4" w:space="0" w:color="auto"/>
            </w:tcBorders>
            <w:hideMark/>
          </w:tcPr>
          <w:p w14:paraId="44DAFF0A" w14:textId="77777777" w:rsidR="00A2588D" w:rsidRDefault="00A2588D" w:rsidP="00A2588D">
            <w:pPr>
              <w:widowControl w:val="0"/>
              <w:autoSpaceDE w:val="0"/>
              <w:autoSpaceDN w:val="0"/>
              <w:adjustRightInd w:val="0"/>
              <w:ind w:left="11"/>
              <w:rPr>
                <w:rFonts w:ascii="Sylfaen" w:hAnsi="Sylfaen" w:cs="Arial"/>
                <w:b/>
                <w:bCs/>
                <w:sz w:val="16"/>
                <w:szCs w:val="16"/>
                <w:lang w:val="ka-GE"/>
              </w:rPr>
            </w:pPr>
            <w:r>
              <w:rPr>
                <w:rFonts w:ascii="Sylfaen" w:hAnsi="Sylfaen" w:cs="Arial"/>
                <w:b/>
                <w:bCs/>
                <w:sz w:val="16"/>
                <w:szCs w:val="16"/>
                <w:lang w:val="ka-GE"/>
              </w:rPr>
              <w:t>სულ:</w:t>
            </w:r>
          </w:p>
        </w:tc>
        <w:tc>
          <w:tcPr>
            <w:tcW w:w="1285" w:type="dxa"/>
            <w:tcBorders>
              <w:top w:val="single" w:sz="4" w:space="0" w:color="auto"/>
              <w:left w:val="single" w:sz="4" w:space="0" w:color="auto"/>
              <w:bottom w:val="single" w:sz="4" w:space="0" w:color="auto"/>
              <w:right w:val="single" w:sz="4" w:space="0" w:color="auto"/>
            </w:tcBorders>
            <w:hideMark/>
          </w:tcPr>
          <w:p w14:paraId="2076F7E7" w14:textId="77777777" w:rsidR="00A2588D" w:rsidRDefault="00A2588D" w:rsidP="00A2588D">
            <w:pPr>
              <w:widowControl w:val="0"/>
              <w:autoSpaceDE w:val="0"/>
              <w:autoSpaceDN w:val="0"/>
              <w:adjustRightInd w:val="0"/>
              <w:ind w:right="11"/>
              <w:jc w:val="right"/>
              <w:rPr>
                <w:rFonts w:ascii="Sylfaen" w:hAnsi="Sylfaen" w:cs="Arial"/>
                <w:b/>
                <w:bCs/>
                <w:sz w:val="16"/>
                <w:szCs w:val="16"/>
                <w:lang w:val="ka-GE"/>
              </w:rPr>
            </w:pPr>
            <w:r>
              <w:rPr>
                <w:rFonts w:ascii="Sylfaen" w:hAnsi="Sylfaen"/>
                <w:b/>
                <w:bCs/>
                <w:sz w:val="16"/>
                <w:szCs w:val="16"/>
                <w:lang w:val="ka-GE"/>
              </w:rPr>
              <w:t>0</w:t>
            </w:r>
            <w:r>
              <w:rPr>
                <w:rFonts w:ascii="Sylfaen" w:hAnsi="Sylfaen" w:cs="Arial"/>
                <w:b/>
                <w:bCs/>
                <w:sz w:val="16"/>
                <w:szCs w:val="16"/>
                <w:lang w:val="ka-GE"/>
              </w:rPr>
              <w:t>,</w:t>
            </w:r>
            <w:r>
              <w:rPr>
                <w:rFonts w:ascii="Sylfaen" w:hAnsi="Sylfaen"/>
                <w:b/>
                <w:bCs/>
                <w:sz w:val="16"/>
                <w:szCs w:val="16"/>
                <w:lang w:val="ka-GE"/>
              </w:rPr>
              <w:t>2824514</w:t>
            </w:r>
          </w:p>
        </w:tc>
        <w:tc>
          <w:tcPr>
            <w:tcW w:w="394" w:type="dxa"/>
            <w:tcBorders>
              <w:top w:val="single" w:sz="4" w:space="0" w:color="auto"/>
              <w:left w:val="single" w:sz="4" w:space="0" w:color="auto"/>
              <w:bottom w:val="single" w:sz="4" w:space="0" w:color="auto"/>
              <w:right w:val="single" w:sz="4" w:space="0" w:color="auto"/>
            </w:tcBorders>
          </w:tcPr>
          <w:p w14:paraId="0F112785" w14:textId="77777777" w:rsidR="00A2588D" w:rsidRDefault="00A2588D" w:rsidP="00A2588D">
            <w:pPr>
              <w:widowControl w:val="0"/>
              <w:autoSpaceDE w:val="0"/>
              <w:autoSpaceDN w:val="0"/>
              <w:adjustRightInd w:val="0"/>
              <w:ind w:left="11"/>
              <w:rPr>
                <w:rFonts w:ascii="Sylfaen" w:hAnsi="Sylfaen" w:cs="Arial"/>
                <w:sz w:val="16"/>
                <w:szCs w:val="16"/>
                <w:lang w:val="ka-GE"/>
              </w:rPr>
            </w:pPr>
          </w:p>
        </w:tc>
        <w:tc>
          <w:tcPr>
            <w:tcW w:w="949" w:type="dxa"/>
            <w:tcBorders>
              <w:top w:val="single" w:sz="4" w:space="0" w:color="auto"/>
              <w:left w:val="single" w:sz="4" w:space="0" w:color="auto"/>
              <w:bottom w:val="single" w:sz="4" w:space="0" w:color="auto"/>
              <w:right w:val="single" w:sz="4" w:space="0" w:color="auto"/>
            </w:tcBorders>
            <w:hideMark/>
          </w:tcPr>
          <w:p w14:paraId="2025E18D" w14:textId="77777777" w:rsidR="00A2588D" w:rsidRDefault="00A2588D" w:rsidP="00A2588D">
            <w:pPr>
              <w:widowControl w:val="0"/>
              <w:autoSpaceDE w:val="0"/>
              <w:autoSpaceDN w:val="0"/>
              <w:adjustRightInd w:val="0"/>
              <w:ind w:right="11"/>
              <w:jc w:val="right"/>
              <w:rPr>
                <w:rFonts w:ascii="Sylfaen" w:hAnsi="Sylfaen" w:cs="Arial"/>
                <w:b/>
                <w:bCs/>
                <w:sz w:val="16"/>
                <w:szCs w:val="16"/>
                <w:lang w:val="ka-GE"/>
              </w:rPr>
            </w:pPr>
            <w:r>
              <w:rPr>
                <w:rFonts w:ascii="Sylfaen" w:hAnsi="Sylfaen"/>
                <w:b/>
                <w:bCs/>
                <w:sz w:val="16"/>
                <w:szCs w:val="16"/>
                <w:lang w:val="ka-GE"/>
              </w:rPr>
              <w:t>27</w:t>
            </w:r>
            <w:r>
              <w:rPr>
                <w:rFonts w:ascii="Sylfaen" w:hAnsi="Sylfaen" w:cs="Arial"/>
                <w:b/>
                <w:bCs/>
                <w:sz w:val="16"/>
                <w:szCs w:val="16"/>
                <w:lang w:val="ka-GE"/>
              </w:rPr>
              <w:t>,</w:t>
            </w:r>
            <w:r>
              <w:rPr>
                <w:rFonts w:ascii="Sylfaen" w:hAnsi="Sylfaen"/>
                <w:b/>
                <w:bCs/>
                <w:sz w:val="16"/>
                <w:szCs w:val="16"/>
                <w:lang w:val="ka-GE"/>
              </w:rPr>
              <w:t>5151</w:t>
            </w:r>
          </w:p>
        </w:tc>
        <w:tc>
          <w:tcPr>
            <w:tcW w:w="1796" w:type="dxa"/>
            <w:gridSpan w:val="2"/>
            <w:tcBorders>
              <w:top w:val="single" w:sz="4" w:space="0" w:color="auto"/>
              <w:left w:val="single" w:sz="4" w:space="0" w:color="auto"/>
              <w:bottom w:val="single" w:sz="4" w:space="0" w:color="auto"/>
              <w:right w:val="single" w:sz="4" w:space="0" w:color="auto"/>
            </w:tcBorders>
          </w:tcPr>
          <w:p w14:paraId="684A9598" w14:textId="77777777" w:rsidR="00A2588D" w:rsidRDefault="00A2588D" w:rsidP="00A2588D">
            <w:pPr>
              <w:widowControl w:val="0"/>
              <w:autoSpaceDE w:val="0"/>
              <w:autoSpaceDN w:val="0"/>
              <w:adjustRightInd w:val="0"/>
              <w:ind w:left="11"/>
              <w:rPr>
                <w:rFonts w:ascii="Sylfaen" w:hAnsi="Sylfaen" w:cs="Arial"/>
                <w:sz w:val="16"/>
                <w:szCs w:val="16"/>
                <w:lang w:val="ka-GE"/>
              </w:rPr>
            </w:pPr>
          </w:p>
        </w:tc>
        <w:tc>
          <w:tcPr>
            <w:tcW w:w="978" w:type="dxa"/>
            <w:tcBorders>
              <w:top w:val="single" w:sz="4" w:space="0" w:color="auto"/>
              <w:left w:val="single" w:sz="4" w:space="0" w:color="auto"/>
              <w:bottom w:val="single" w:sz="4" w:space="0" w:color="auto"/>
              <w:right w:val="single" w:sz="4" w:space="0" w:color="auto"/>
            </w:tcBorders>
            <w:hideMark/>
          </w:tcPr>
          <w:p w14:paraId="1059CAFA" w14:textId="77777777" w:rsidR="00A2588D" w:rsidRDefault="00A2588D" w:rsidP="00A2588D">
            <w:pPr>
              <w:widowControl w:val="0"/>
              <w:autoSpaceDE w:val="0"/>
              <w:autoSpaceDN w:val="0"/>
              <w:adjustRightInd w:val="0"/>
              <w:ind w:right="11"/>
              <w:jc w:val="right"/>
              <w:rPr>
                <w:rFonts w:ascii="Sylfaen" w:hAnsi="Sylfaen" w:cs="Arial"/>
                <w:b/>
                <w:bCs/>
                <w:sz w:val="16"/>
                <w:szCs w:val="16"/>
                <w:lang w:val="ka-GE"/>
              </w:rPr>
            </w:pPr>
            <w:r>
              <w:rPr>
                <w:rFonts w:ascii="Sylfaen" w:hAnsi="Sylfaen"/>
                <w:b/>
                <w:bCs/>
                <w:sz w:val="16"/>
                <w:szCs w:val="16"/>
                <w:lang w:val="ka-GE"/>
              </w:rPr>
              <w:t>27</w:t>
            </w:r>
            <w:r>
              <w:rPr>
                <w:rFonts w:ascii="Sylfaen" w:hAnsi="Sylfaen" w:cs="Arial"/>
                <w:b/>
                <w:bCs/>
                <w:sz w:val="16"/>
                <w:szCs w:val="16"/>
                <w:lang w:val="ka-GE"/>
              </w:rPr>
              <w:t>,</w:t>
            </w:r>
            <w:r>
              <w:rPr>
                <w:rFonts w:ascii="Sylfaen" w:hAnsi="Sylfaen"/>
                <w:b/>
                <w:bCs/>
                <w:sz w:val="16"/>
                <w:szCs w:val="16"/>
                <w:lang w:val="ka-GE"/>
              </w:rPr>
              <w:t>5149</w:t>
            </w:r>
          </w:p>
        </w:tc>
        <w:tc>
          <w:tcPr>
            <w:tcW w:w="1752" w:type="dxa"/>
            <w:gridSpan w:val="2"/>
            <w:tcBorders>
              <w:top w:val="single" w:sz="4" w:space="0" w:color="auto"/>
              <w:left w:val="single" w:sz="4" w:space="0" w:color="auto"/>
              <w:bottom w:val="single" w:sz="4" w:space="0" w:color="auto"/>
              <w:right w:val="single" w:sz="4" w:space="0" w:color="auto"/>
            </w:tcBorders>
          </w:tcPr>
          <w:p w14:paraId="5FCC9BBB" w14:textId="77777777" w:rsidR="00A2588D" w:rsidRDefault="00A2588D" w:rsidP="00A2588D">
            <w:pPr>
              <w:widowControl w:val="0"/>
              <w:autoSpaceDE w:val="0"/>
              <w:autoSpaceDN w:val="0"/>
              <w:adjustRightInd w:val="0"/>
              <w:ind w:left="11"/>
              <w:rPr>
                <w:rFonts w:ascii="Sylfaen" w:hAnsi="Sylfaen" w:cs="Arial"/>
                <w:sz w:val="16"/>
                <w:szCs w:val="16"/>
                <w:lang w:val="ka-GE"/>
              </w:rPr>
            </w:pPr>
          </w:p>
        </w:tc>
      </w:tr>
    </w:tbl>
    <w:p w14:paraId="76600605" w14:textId="77777777" w:rsidR="00A2588D" w:rsidRDefault="00A2588D" w:rsidP="00A2588D">
      <w:pPr>
        <w:widowControl w:val="0"/>
        <w:autoSpaceDE w:val="0"/>
        <w:autoSpaceDN w:val="0"/>
        <w:adjustRightInd w:val="0"/>
        <w:rPr>
          <w:rFonts w:ascii="Sylfaen" w:hAnsi="Sylfaen" w:cs="Arial"/>
          <w:b/>
          <w:bCs/>
          <w:sz w:val="24"/>
          <w:lang w:val="ka-GE"/>
        </w:rPr>
      </w:pPr>
    </w:p>
    <w:p w14:paraId="5CD3E2DA" w14:textId="77777777" w:rsidR="00A2588D" w:rsidRDefault="00A2588D" w:rsidP="00A2588D">
      <w:pPr>
        <w:rPr>
          <w:rFonts w:ascii="Sylfaen" w:hAnsi="Sylfaen" w:cs="Arial"/>
          <w:b/>
          <w:bCs/>
          <w:sz w:val="24"/>
          <w:lang w:val="ka-GE"/>
        </w:rPr>
      </w:pPr>
      <w:r>
        <w:rPr>
          <w:rFonts w:ascii="Sylfaen" w:hAnsi="Sylfaen" w:cs="Arial"/>
          <w:b/>
          <w:bCs/>
          <w:sz w:val="24"/>
          <w:lang w:val="ka-GE"/>
        </w:rPr>
        <w:br w:type="page"/>
      </w:r>
    </w:p>
    <w:p w14:paraId="47B2BAE8" w14:textId="77777777" w:rsidR="00A2588D" w:rsidRDefault="00A2588D" w:rsidP="00A2588D">
      <w:pPr>
        <w:widowControl w:val="0"/>
        <w:autoSpaceDE w:val="0"/>
        <w:autoSpaceDN w:val="0"/>
        <w:adjustRightInd w:val="0"/>
        <w:jc w:val="center"/>
        <w:rPr>
          <w:rFonts w:ascii="Sylfaen" w:hAnsi="Sylfaen" w:cs="Arial"/>
          <w:b/>
          <w:bCs/>
          <w:sz w:val="24"/>
          <w:lang w:val="ka-GE"/>
        </w:rPr>
      </w:pPr>
      <w:r>
        <w:rPr>
          <w:rFonts w:ascii="Sylfaen" w:hAnsi="Sylfaen" w:cs="Arial"/>
          <w:b/>
          <w:bCs/>
          <w:sz w:val="24"/>
          <w:lang w:val="ka-GE"/>
        </w:rPr>
        <w:lastRenderedPageBreak/>
        <w:t>გაანგარიშება შესრულდა ნივთიერებათა მიხედვით (ჯამური ზემოქმედების ჯგუფების მიხედვით)</w:t>
      </w:r>
    </w:p>
    <w:p w14:paraId="2EB93DD5"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671"/>
        <w:gridCol w:w="2613"/>
        <w:gridCol w:w="1109"/>
        <w:gridCol w:w="1401"/>
        <w:gridCol w:w="1330"/>
        <w:gridCol w:w="1036"/>
        <w:gridCol w:w="773"/>
        <w:gridCol w:w="833"/>
      </w:tblGrid>
      <w:tr w:rsidR="00A2588D" w14:paraId="59A0D1D2" w14:textId="77777777" w:rsidTr="00A2588D">
        <w:trPr>
          <w:jc w:val="center"/>
        </w:trPr>
        <w:tc>
          <w:tcPr>
            <w:tcW w:w="671" w:type="dxa"/>
            <w:tcBorders>
              <w:top w:val="single" w:sz="4" w:space="0" w:color="auto"/>
              <w:left w:val="single" w:sz="4" w:space="0" w:color="auto"/>
              <w:bottom w:val="nil"/>
              <w:right w:val="single" w:sz="4" w:space="0" w:color="auto"/>
            </w:tcBorders>
            <w:hideMark/>
          </w:tcPr>
          <w:p w14:paraId="1385EF4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კოდი</w:t>
            </w:r>
          </w:p>
        </w:tc>
        <w:tc>
          <w:tcPr>
            <w:tcW w:w="2613" w:type="dxa"/>
            <w:tcBorders>
              <w:top w:val="single" w:sz="4" w:space="0" w:color="auto"/>
              <w:left w:val="single" w:sz="4" w:space="0" w:color="auto"/>
              <w:bottom w:val="nil"/>
              <w:right w:val="single" w:sz="4" w:space="0" w:color="auto"/>
            </w:tcBorders>
            <w:hideMark/>
          </w:tcPr>
          <w:p w14:paraId="1438EA3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ნივთიერება</w:t>
            </w:r>
          </w:p>
        </w:tc>
        <w:tc>
          <w:tcPr>
            <w:tcW w:w="3840" w:type="dxa"/>
            <w:gridSpan w:val="3"/>
            <w:tcBorders>
              <w:top w:val="single" w:sz="4" w:space="0" w:color="auto"/>
              <w:left w:val="single" w:sz="4" w:space="0" w:color="auto"/>
              <w:bottom w:val="single" w:sz="4" w:space="0" w:color="auto"/>
              <w:right w:val="single" w:sz="4" w:space="0" w:color="auto"/>
            </w:tcBorders>
            <w:hideMark/>
          </w:tcPr>
          <w:p w14:paraId="667DB94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ზღვრულად დასაშვები კონცენტრაცია</w:t>
            </w:r>
          </w:p>
        </w:tc>
        <w:tc>
          <w:tcPr>
            <w:tcW w:w="1036" w:type="dxa"/>
            <w:tcBorders>
              <w:top w:val="single" w:sz="4" w:space="0" w:color="auto"/>
              <w:left w:val="single" w:sz="4" w:space="0" w:color="auto"/>
              <w:bottom w:val="nil"/>
              <w:right w:val="single" w:sz="4" w:space="0" w:color="auto"/>
            </w:tcBorders>
            <w:hideMark/>
          </w:tcPr>
          <w:p w14:paraId="003B058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*ზდკ-ს შესწორების კოეფიციენტი</w:t>
            </w:r>
          </w:p>
          <w:p w14:paraId="7350199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 </w:t>
            </w:r>
          </w:p>
          <w:p w14:paraId="62F2478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/საორ. უსაფრ. ზემოქ. დონე</w:t>
            </w:r>
          </w:p>
        </w:tc>
        <w:tc>
          <w:tcPr>
            <w:tcW w:w="1606" w:type="dxa"/>
            <w:gridSpan w:val="2"/>
            <w:tcBorders>
              <w:top w:val="single" w:sz="4" w:space="0" w:color="auto"/>
              <w:left w:val="single" w:sz="4" w:space="0" w:color="auto"/>
              <w:bottom w:val="single" w:sz="4" w:space="0" w:color="auto"/>
              <w:right w:val="single" w:sz="4" w:space="0" w:color="auto"/>
            </w:tcBorders>
            <w:hideMark/>
          </w:tcPr>
          <w:p w14:paraId="03AF5C4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ფონური კონცენტრ.</w:t>
            </w:r>
          </w:p>
          <w:p w14:paraId="79735C1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 </w:t>
            </w:r>
          </w:p>
        </w:tc>
      </w:tr>
      <w:tr w:rsidR="00A2588D" w14:paraId="1253D1B2" w14:textId="77777777" w:rsidTr="00A2588D">
        <w:trPr>
          <w:jc w:val="center"/>
        </w:trPr>
        <w:tc>
          <w:tcPr>
            <w:tcW w:w="671" w:type="dxa"/>
            <w:tcBorders>
              <w:top w:val="nil"/>
              <w:left w:val="single" w:sz="4" w:space="0" w:color="auto"/>
              <w:bottom w:val="single" w:sz="4" w:space="0" w:color="auto"/>
              <w:right w:val="single" w:sz="4" w:space="0" w:color="auto"/>
            </w:tcBorders>
          </w:tcPr>
          <w:p w14:paraId="099E3BA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2613" w:type="dxa"/>
            <w:tcBorders>
              <w:top w:val="nil"/>
              <w:left w:val="single" w:sz="4" w:space="0" w:color="auto"/>
              <w:bottom w:val="single" w:sz="4" w:space="0" w:color="auto"/>
              <w:right w:val="single" w:sz="4" w:space="0" w:color="auto"/>
            </w:tcBorders>
          </w:tcPr>
          <w:p w14:paraId="16646C9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109" w:type="dxa"/>
            <w:tcBorders>
              <w:top w:val="single" w:sz="4" w:space="0" w:color="auto"/>
              <w:left w:val="single" w:sz="4" w:space="0" w:color="auto"/>
              <w:bottom w:val="single" w:sz="4" w:space="0" w:color="auto"/>
              <w:right w:val="single" w:sz="4" w:space="0" w:color="auto"/>
            </w:tcBorders>
            <w:hideMark/>
          </w:tcPr>
          <w:p w14:paraId="25A773D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ტიპი</w:t>
            </w:r>
          </w:p>
        </w:tc>
        <w:tc>
          <w:tcPr>
            <w:tcW w:w="1401" w:type="dxa"/>
            <w:tcBorders>
              <w:top w:val="single" w:sz="4" w:space="0" w:color="auto"/>
              <w:left w:val="single" w:sz="4" w:space="0" w:color="auto"/>
              <w:bottom w:val="single" w:sz="4" w:space="0" w:color="auto"/>
              <w:right w:val="single" w:sz="4" w:space="0" w:color="auto"/>
            </w:tcBorders>
            <w:hideMark/>
          </w:tcPr>
          <w:p w14:paraId="2412D5E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საცნობარო მნიშვნელობა</w:t>
            </w:r>
          </w:p>
        </w:tc>
        <w:tc>
          <w:tcPr>
            <w:tcW w:w="1328" w:type="dxa"/>
            <w:tcBorders>
              <w:top w:val="single" w:sz="4" w:space="0" w:color="auto"/>
              <w:left w:val="single" w:sz="4" w:space="0" w:color="auto"/>
              <w:bottom w:val="single" w:sz="4" w:space="0" w:color="auto"/>
              <w:right w:val="single" w:sz="4" w:space="0" w:color="auto"/>
            </w:tcBorders>
            <w:hideMark/>
          </w:tcPr>
          <w:p w14:paraId="01A56CA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ანგარიშში გამოყენებ.</w:t>
            </w:r>
          </w:p>
        </w:tc>
        <w:tc>
          <w:tcPr>
            <w:tcW w:w="1036" w:type="dxa"/>
            <w:tcBorders>
              <w:top w:val="nil"/>
              <w:left w:val="single" w:sz="4" w:space="0" w:color="auto"/>
              <w:bottom w:val="single" w:sz="4" w:space="0" w:color="auto"/>
              <w:right w:val="single" w:sz="4" w:space="0" w:color="auto"/>
            </w:tcBorders>
          </w:tcPr>
          <w:p w14:paraId="42469CD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773" w:type="dxa"/>
            <w:tcBorders>
              <w:top w:val="single" w:sz="4" w:space="0" w:color="auto"/>
              <w:left w:val="single" w:sz="4" w:space="0" w:color="auto"/>
              <w:bottom w:val="single" w:sz="4" w:space="0" w:color="auto"/>
              <w:right w:val="single" w:sz="4" w:space="0" w:color="auto"/>
            </w:tcBorders>
            <w:hideMark/>
          </w:tcPr>
          <w:p w14:paraId="29FC7B5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აღრიცხვა</w:t>
            </w:r>
          </w:p>
        </w:tc>
        <w:tc>
          <w:tcPr>
            <w:tcW w:w="832" w:type="dxa"/>
            <w:tcBorders>
              <w:top w:val="single" w:sz="4" w:space="0" w:color="auto"/>
              <w:left w:val="single" w:sz="4" w:space="0" w:color="auto"/>
              <w:bottom w:val="single" w:sz="4" w:space="0" w:color="auto"/>
              <w:right w:val="single" w:sz="4" w:space="0" w:color="auto"/>
            </w:tcBorders>
            <w:hideMark/>
          </w:tcPr>
          <w:p w14:paraId="5615831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ინტერპ.</w:t>
            </w:r>
          </w:p>
        </w:tc>
      </w:tr>
      <w:tr w:rsidR="00A2588D" w14:paraId="7E2DAE8B" w14:textId="77777777" w:rsidTr="00A2588D">
        <w:trPr>
          <w:jc w:val="center"/>
        </w:trPr>
        <w:tc>
          <w:tcPr>
            <w:tcW w:w="671" w:type="dxa"/>
            <w:tcBorders>
              <w:top w:val="single" w:sz="4" w:space="0" w:color="auto"/>
              <w:left w:val="single" w:sz="4" w:space="0" w:color="auto"/>
              <w:bottom w:val="single" w:sz="4" w:space="0" w:color="auto"/>
              <w:right w:val="single" w:sz="4" w:space="0" w:color="auto"/>
            </w:tcBorders>
            <w:hideMark/>
          </w:tcPr>
          <w:p w14:paraId="34A04B31"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0301</w:t>
            </w:r>
          </w:p>
        </w:tc>
        <w:tc>
          <w:tcPr>
            <w:tcW w:w="2613" w:type="dxa"/>
            <w:tcBorders>
              <w:top w:val="single" w:sz="4" w:space="0" w:color="auto"/>
              <w:left w:val="single" w:sz="4" w:space="0" w:color="auto"/>
              <w:bottom w:val="single" w:sz="4" w:space="0" w:color="auto"/>
              <w:right w:val="single" w:sz="4" w:space="0" w:color="auto"/>
            </w:tcBorders>
            <w:hideMark/>
          </w:tcPr>
          <w:p w14:paraId="0471731E"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cs="Arial"/>
                <w:sz w:val="18"/>
                <w:szCs w:val="18"/>
                <w:lang w:val="ka-GE"/>
              </w:rPr>
              <w:t>აზოტის (IV) ოქსიდი (აზოტის დიოქსიდი)</w:t>
            </w:r>
          </w:p>
        </w:tc>
        <w:tc>
          <w:tcPr>
            <w:tcW w:w="1109" w:type="dxa"/>
            <w:tcBorders>
              <w:top w:val="single" w:sz="4" w:space="0" w:color="auto"/>
              <w:left w:val="single" w:sz="4" w:space="0" w:color="auto"/>
              <w:bottom w:val="single" w:sz="4" w:space="0" w:color="auto"/>
              <w:right w:val="single" w:sz="4" w:space="0" w:color="auto"/>
            </w:tcBorders>
            <w:hideMark/>
          </w:tcPr>
          <w:p w14:paraId="0F59F0FC"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მაქს. ერთ.</w:t>
            </w:r>
          </w:p>
        </w:tc>
        <w:tc>
          <w:tcPr>
            <w:tcW w:w="1401" w:type="dxa"/>
            <w:tcBorders>
              <w:top w:val="single" w:sz="4" w:space="0" w:color="auto"/>
              <w:left w:val="single" w:sz="4" w:space="0" w:color="auto"/>
              <w:bottom w:val="single" w:sz="4" w:space="0" w:color="auto"/>
              <w:right w:val="single" w:sz="4" w:space="0" w:color="auto"/>
            </w:tcBorders>
            <w:hideMark/>
          </w:tcPr>
          <w:p w14:paraId="087EB809"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2000000</w:t>
            </w:r>
          </w:p>
        </w:tc>
        <w:tc>
          <w:tcPr>
            <w:tcW w:w="1328" w:type="dxa"/>
            <w:tcBorders>
              <w:top w:val="single" w:sz="4" w:space="0" w:color="auto"/>
              <w:left w:val="single" w:sz="4" w:space="0" w:color="auto"/>
              <w:bottom w:val="single" w:sz="4" w:space="0" w:color="auto"/>
              <w:right w:val="single" w:sz="4" w:space="0" w:color="auto"/>
            </w:tcBorders>
            <w:hideMark/>
          </w:tcPr>
          <w:p w14:paraId="0066E580"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2000000</w:t>
            </w:r>
          </w:p>
        </w:tc>
        <w:tc>
          <w:tcPr>
            <w:tcW w:w="1036" w:type="dxa"/>
            <w:tcBorders>
              <w:top w:val="single" w:sz="4" w:space="0" w:color="auto"/>
              <w:left w:val="single" w:sz="4" w:space="0" w:color="auto"/>
              <w:bottom w:val="single" w:sz="4" w:space="0" w:color="auto"/>
              <w:right w:val="single" w:sz="4" w:space="0" w:color="auto"/>
            </w:tcBorders>
            <w:hideMark/>
          </w:tcPr>
          <w:p w14:paraId="067F03C5"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p>
        </w:tc>
        <w:tc>
          <w:tcPr>
            <w:tcW w:w="773" w:type="dxa"/>
            <w:tcBorders>
              <w:top w:val="single" w:sz="4" w:space="0" w:color="auto"/>
              <w:left w:val="single" w:sz="4" w:space="0" w:color="auto"/>
              <w:bottom w:val="single" w:sz="4" w:space="0" w:color="auto"/>
              <w:right w:val="single" w:sz="4" w:space="0" w:color="auto"/>
            </w:tcBorders>
            <w:hideMark/>
          </w:tcPr>
          <w:p w14:paraId="51C04CBF"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c>
          <w:tcPr>
            <w:tcW w:w="832" w:type="dxa"/>
            <w:tcBorders>
              <w:top w:val="single" w:sz="4" w:space="0" w:color="auto"/>
              <w:left w:val="single" w:sz="4" w:space="0" w:color="auto"/>
              <w:bottom w:val="single" w:sz="4" w:space="0" w:color="auto"/>
              <w:right w:val="single" w:sz="4" w:space="0" w:color="auto"/>
            </w:tcBorders>
            <w:hideMark/>
          </w:tcPr>
          <w:p w14:paraId="594D1BBB"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r>
      <w:tr w:rsidR="00A2588D" w14:paraId="64F6ECBE" w14:textId="77777777" w:rsidTr="00A2588D">
        <w:trPr>
          <w:jc w:val="center"/>
        </w:trPr>
        <w:tc>
          <w:tcPr>
            <w:tcW w:w="671" w:type="dxa"/>
            <w:tcBorders>
              <w:top w:val="single" w:sz="4" w:space="0" w:color="auto"/>
              <w:left w:val="single" w:sz="4" w:space="0" w:color="auto"/>
              <w:bottom w:val="single" w:sz="4" w:space="0" w:color="auto"/>
              <w:right w:val="single" w:sz="4" w:space="0" w:color="auto"/>
            </w:tcBorders>
            <w:hideMark/>
          </w:tcPr>
          <w:p w14:paraId="398E13FD"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0304</w:t>
            </w:r>
          </w:p>
        </w:tc>
        <w:tc>
          <w:tcPr>
            <w:tcW w:w="2613" w:type="dxa"/>
            <w:tcBorders>
              <w:top w:val="single" w:sz="4" w:space="0" w:color="auto"/>
              <w:left w:val="single" w:sz="4" w:space="0" w:color="auto"/>
              <w:bottom w:val="single" w:sz="4" w:space="0" w:color="auto"/>
              <w:right w:val="single" w:sz="4" w:space="0" w:color="auto"/>
            </w:tcBorders>
            <w:hideMark/>
          </w:tcPr>
          <w:p w14:paraId="1AA1B6BE"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cs="Arial"/>
                <w:sz w:val="18"/>
                <w:szCs w:val="18"/>
                <w:lang w:val="ka-GE"/>
              </w:rPr>
              <w:t>აზოტის (II) ოქსიდი (აზოტის ოქსიდი)</w:t>
            </w:r>
          </w:p>
        </w:tc>
        <w:tc>
          <w:tcPr>
            <w:tcW w:w="1109" w:type="dxa"/>
            <w:tcBorders>
              <w:top w:val="single" w:sz="4" w:space="0" w:color="auto"/>
              <w:left w:val="single" w:sz="4" w:space="0" w:color="auto"/>
              <w:bottom w:val="single" w:sz="4" w:space="0" w:color="auto"/>
              <w:right w:val="single" w:sz="4" w:space="0" w:color="auto"/>
            </w:tcBorders>
            <w:hideMark/>
          </w:tcPr>
          <w:p w14:paraId="48EC44BB"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მაქს. ერთ.</w:t>
            </w:r>
          </w:p>
        </w:tc>
        <w:tc>
          <w:tcPr>
            <w:tcW w:w="1401" w:type="dxa"/>
            <w:tcBorders>
              <w:top w:val="single" w:sz="4" w:space="0" w:color="auto"/>
              <w:left w:val="single" w:sz="4" w:space="0" w:color="auto"/>
              <w:bottom w:val="single" w:sz="4" w:space="0" w:color="auto"/>
              <w:right w:val="single" w:sz="4" w:space="0" w:color="auto"/>
            </w:tcBorders>
            <w:hideMark/>
          </w:tcPr>
          <w:p w14:paraId="2B158C22"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4000000</w:t>
            </w:r>
          </w:p>
        </w:tc>
        <w:tc>
          <w:tcPr>
            <w:tcW w:w="1328" w:type="dxa"/>
            <w:tcBorders>
              <w:top w:val="single" w:sz="4" w:space="0" w:color="auto"/>
              <w:left w:val="single" w:sz="4" w:space="0" w:color="auto"/>
              <w:bottom w:val="single" w:sz="4" w:space="0" w:color="auto"/>
              <w:right w:val="single" w:sz="4" w:space="0" w:color="auto"/>
            </w:tcBorders>
            <w:hideMark/>
          </w:tcPr>
          <w:p w14:paraId="74ADB1CA"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4000000</w:t>
            </w:r>
          </w:p>
        </w:tc>
        <w:tc>
          <w:tcPr>
            <w:tcW w:w="1036" w:type="dxa"/>
            <w:tcBorders>
              <w:top w:val="single" w:sz="4" w:space="0" w:color="auto"/>
              <w:left w:val="single" w:sz="4" w:space="0" w:color="auto"/>
              <w:bottom w:val="single" w:sz="4" w:space="0" w:color="auto"/>
              <w:right w:val="single" w:sz="4" w:space="0" w:color="auto"/>
            </w:tcBorders>
            <w:hideMark/>
          </w:tcPr>
          <w:p w14:paraId="468A907D"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p>
        </w:tc>
        <w:tc>
          <w:tcPr>
            <w:tcW w:w="773" w:type="dxa"/>
            <w:tcBorders>
              <w:top w:val="single" w:sz="4" w:space="0" w:color="auto"/>
              <w:left w:val="single" w:sz="4" w:space="0" w:color="auto"/>
              <w:bottom w:val="single" w:sz="4" w:space="0" w:color="auto"/>
              <w:right w:val="single" w:sz="4" w:space="0" w:color="auto"/>
            </w:tcBorders>
            <w:hideMark/>
          </w:tcPr>
          <w:p w14:paraId="4CD5D9DC"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c>
          <w:tcPr>
            <w:tcW w:w="832" w:type="dxa"/>
            <w:tcBorders>
              <w:top w:val="single" w:sz="4" w:space="0" w:color="auto"/>
              <w:left w:val="single" w:sz="4" w:space="0" w:color="auto"/>
              <w:bottom w:val="single" w:sz="4" w:space="0" w:color="auto"/>
              <w:right w:val="single" w:sz="4" w:space="0" w:color="auto"/>
            </w:tcBorders>
            <w:hideMark/>
          </w:tcPr>
          <w:p w14:paraId="4313AD94"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r>
      <w:tr w:rsidR="00A2588D" w14:paraId="5D677DCE" w14:textId="77777777" w:rsidTr="00A2588D">
        <w:trPr>
          <w:jc w:val="center"/>
        </w:trPr>
        <w:tc>
          <w:tcPr>
            <w:tcW w:w="671" w:type="dxa"/>
            <w:tcBorders>
              <w:top w:val="single" w:sz="4" w:space="0" w:color="auto"/>
              <w:left w:val="single" w:sz="4" w:space="0" w:color="auto"/>
              <w:bottom w:val="single" w:sz="4" w:space="0" w:color="auto"/>
              <w:right w:val="single" w:sz="4" w:space="0" w:color="auto"/>
            </w:tcBorders>
            <w:hideMark/>
          </w:tcPr>
          <w:p w14:paraId="6FE51707"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0328</w:t>
            </w:r>
          </w:p>
        </w:tc>
        <w:tc>
          <w:tcPr>
            <w:tcW w:w="2613" w:type="dxa"/>
            <w:tcBorders>
              <w:top w:val="single" w:sz="4" w:space="0" w:color="auto"/>
              <w:left w:val="single" w:sz="4" w:space="0" w:color="auto"/>
              <w:bottom w:val="single" w:sz="4" w:space="0" w:color="auto"/>
              <w:right w:val="single" w:sz="4" w:space="0" w:color="auto"/>
            </w:tcBorders>
            <w:hideMark/>
          </w:tcPr>
          <w:p w14:paraId="42B157DC"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cs="Arial"/>
                <w:sz w:val="18"/>
                <w:szCs w:val="18"/>
                <w:lang w:val="ka-GE"/>
              </w:rPr>
              <w:t>შავი ნახშირბადი (ჭვარტლი)</w:t>
            </w:r>
          </w:p>
        </w:tc>
        <w:tc>
          <w:tcPr>
            <w:tcW w:w="1109" w:type="dxa"/>
            <w:tcBorders>
              <w:top w:val="single" w:sz="4" w:space="0" w:color="auto"/>
              <w:left w:val="single" w:sz="4" w:space="0" w:color="auto"/>
              <w:bottom w:val="single" w:sz="4" w:space="0" w:color="auto"/>
              <w:right w:val="single" w:sz="4" w:space="0" w:color="auto"/>
            </w:tcBorders>
            <w:hideMark/>
          </w:tcPr>
          <w:p w14:paraId="2884778D"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მაქს. ერთ.</w:t>
            </w:r>
          </w:p>
        </w:tc>
        <w:tc>
          <w:tcPr>
            <w:tcW w:w="1401" w:type="dxa"/>
            <w:tcBorders>
              <w:top w:val="single" w:sz="4" w:space="0" w:color="auto"/>
              <w:left w:val="single" w:sz="4" w:space="0" w:color="auto"/>
              <w:bottom w:val="single" w:sz="4" w:space="0" w:color="auto"/>
              <w:right w:val="single" w:sz="4" w:space="0" w:color="auto"/>
            </w:tcBorders>
            <w:hideMark/>
          </w:tcPr>
          <w:p w14:paraId="7CEB33E3"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1500000</w:t>
            </w:r>
          </w:p>
        </w:tc>
        <w:tc>
          <w:tcPr>
            <w:tcW w:w="1328" w:type="dxa"/>
            <w:tcBorders>
              <w:top w:val="single" w:sz="4" w:space="0" w:color="auto"/>
              <w:left w:val="single" w:sz="4" w:space="0" w:color="auto"/>
              <w:bottom w:val="single" w:sz="4" w:space="0" w:color="auto"/>
              <w:right w:val="single" w:sz="4" w:space="0" w:color="auto"/>
            </w:tcBorders>
            <w:hideMark/>
          </w:tcPr>
          <w:p w14:paraId="6632793C"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1500000</w:t>
            </w:r>
          </w:p>
        </w:tc>
        <w:tc>
          <w:tcPr>
            <w:tcW w:w="1036" w:type="dxa"/>
            <w:tcBorders>
              <w:top w:val="single" w:sz="4" w:space="0" w:color="auto"/>
              <w:left w:val="single" w:sz="4" w:space="0" w:color="auto"/>
              <w:bottom w:val="single" w:sz="4" w:space="0" w:color="auto"/>
              <w:right w:val="single" w:sz="4" w:space="0" w:color="auto"/>
            </w:tcBorders>
            <w:hideMark/>
          </w:tcPr>
          <w:p w14:paraId="3961D0AF"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p>
        </w:tc>
        <w:tc>
          <w:tcPr>
            <w:tcW w:w="773" w:type="dxa"/>
            <w:tcBorders>
              <w:top w:val="single" w:sz="4" w:space="0" w:color="auto"/>
              <w:left w:val="single" w:sz="4" w:space="0" w:color="auto"/>
              <w:bottom w:val="single" w:sz="4" w:space="0" w:color="auto"/>
              <w:right w:val="single" w:sz="4" w:space="0" w:color="auto"/>
            </w:tcBorders>
            <w:hideMark/>
          </w:tcPr>
          <w:p w14:paraId="788F93E6"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c>
          <w:tcPr>
            <w:tcW w:w="832" w:type="dxa"/>
            <w:tcBorders>
              <w:top w:val="single" w:sz="4" w:space="0" w:color="auto"/>
              <w:left w:val="single" w:sz="4" w:space="0" w:color="auto"/>
              <w:bottom w:val="single" w:sz="4" w:space="0" w:color="auto"/>
              <w:right w:val="single" w:sz="4" w:space="0" w:color="auto"/>
            </w:tcBorders>
            <w:hideMark/>
          </w:tcPr>
          <w:p w14:paraId="3729E5F3"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r>
      <w:tr w:rsidR="00A2588D" w14:paraId="0A2FD2D8" w14:textId="77777777" w:rsidTr="00A2588D">
        <w:trPr>
          <w:jc w:val="center"/>
        </w:trPr>
        <w:tc>
          <w:tcPr>
            <w:tcW w:w="671" w:type="dxa"/>
            <w:tcBorders>
              <w:top w:val="single" w:sz="4" w:space="0" w:color="auto"/>
              <w:left w:val="single" w:sz="4" w:space="0" w:color="auto"/>
              <w:bottom w:val="single" w:sz="4" w:space="0" w:color="auto"/>
              <w:right w:val="single" w:sz="4" w:space="0" w:color="auto"/>
            </w:tcBorders>
            <w:hideMark/>
          </w:tcPr>
          <w:p w14:paraId="66524291"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0330</w:t>
            </w:r>
          </w:p>
        </w:tc>
        <w:tc>
          <w:tcPr>
            <w:tcW w:w="2613" w:type="dxa"/>
            <w:tcBorders>
              <w:top w:val="single" w:sz="4" w:space="0" w:color="auto"/>
              <w:left w:val="single" w:sz="4" w:space="0" w:color="auto"/>
              <w:bottom w:val="single" w:sz="4" w:space="0" w:color="auto"/>
              <w:right w:val="single" w:sz="4" w:space="0" w:color="auto"/>
            </w:tcBorders>
            <w:hideMark/>
          </w:tcPr>
          <w:p w14:paraId="7CD0A2BE"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cs="Arial"/>
                <w:sz w:val="18"/>
                <w:szCs w:val="18"/>
                <w:lang w:val="ka-GE"/>
              </w:rPr>
              <w:t>გოგირდის დიოქსიდი</w:t>
            </w:r>
          </w:p>
        </w:tc>
        <w:tc>
          <w:tcPr>
            <w:tcW w:w="1109" w:type="dxa"/>
            <w:tcBorders>
              <w:top w:val="single" w:sz="4" w:space="0" w:color="auto"/>
              <w:left w:val="single" w:sz="4" w:space="0" w:color="auto"/>
              <w:bottom w:val="single" w:sz="4" w:space="0" w:color="auto"/>
              <w:right w:val="single" w:sz="4" w:space="0" w:color="auto"/>
            </w:tcBorders>
            <w:hideMark/>
          </w:tcPr>
          <w:p w14:paraId="6B004CB4"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მაქს. ერთ.</w:t>
            </w:r>
          </w:p>
        </w:tc>
        <w:tc>
          <w:tcPr>
            <w:tcW w:w="1401" w:type="dxa"/>
            <w:tcBorders>
              <w:top w:val="single" w:sz="4" w:space="0" w:color="auto"/>
              <w:left w:val="single" w:sz="4" w:space="0" w:color="auto"/>
              <w:bottom w:val="single" w:sz="4" w:space="0" w:color="auto"/>
              <w:right w:val="single" w:sz="4" w:space="0" w:color="auto"/>
            </w:tcBorders>
            <w:hideMark/>
          </w:tcPr>
          <w:p w14:paraId="058B94FF"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5000000</w:t>
            </w:r>
          </w:p>
        </w:tc>
        <w:tc>
          <w:tcPr>
            <w:tcW w:w="1328" w:type="dxa"/>
            <w:tcBorders>
              <w:top w:val="single" w:sz="4" w:space="0" w:color="auto"/>
              <w:left w:val="single" w:sz="4" w:space="0" w:color="auto"/>
              <w:bottom w:val="single" w:sz="4" w:space="0" w:color="auto"/>
              <w:right w:val="single" w:sz="4" w:space="0" w:color="auto"/>
            </w:tcBorders>
            <w:hideMark/>
          </w:tcPr>
          <w:p w14:paraId="56DFBB00"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5000000</w:t>
            </w:r>
          </w:p>
        </w:tc>
        <w:tc>
          <w:tcPr>
            <w:tcW w:w="1036" w:type="dxa"/>
            <w:tcBorders>
              <w:top w:val="single" w:sz="4" w:space="0" w:color="auto"/>
              <w:left w:val="single" w:sz="4" w:space="0" w:color="auto"/>
              <w:bottom w:val="single" w:sz="4" w:space="0" w:color="auto"/>
              <w:right w:val="single" w:sz="4" w:space="0" w:color="auto"/>
            </w:tcBorders>
            <w:hideMark/>
          </w:tcPr>
          <w:p w14:paraId="6015C9F6"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p>
        </w:tc>
        <w:tc>
          <w:tcPr>
            <w:tcW w:w="773" w:type="dxa"/>
            <w:tcBorders>
              <w:top w:val="single" w:sz="4" w:space="0" w:color="auto"/>
              <w:left w:val="single" w:sz="4" w:space="0" w:color="auto"/>
              <w:bottom w:val="single" w:sz="4" w:space="0" w:color="auto"/>
              <w:right w:val="single" w:sz="4" w:space="0" w:color="auto"/>
            </w:tcBorders>
            <w:hideMark/>
          </w:tcPr>
          <w:p w14:paraId="3EF1CFD6"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c>
          <w:tcPr>
            <w:tcW w:w="832" w:type="dxa"/>
            <w:tcBorders>
              <w:top w:val="single" w:sz="4" w:space="0" w:color="auto"/>
              <w:left w:val="single" w:sz="4" w:space="0" w:color="auto"/>
              <w:bottom w:val="single" w:sz="4" w:space="0" w:color="auto"/>
              <w:right w:val="single" w:sz="4" w:space="0" w:color="auto"/>
            </w:tcBorders>
            <w:hideMark/>
          </w:tcPr>
          <w:p w14:paraId="5DBF2D0A"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r>
      <w:tr w:rsidR="00A2588D" w14:paraId="733C5F22" w14:textId="77777777" w:rsidTr="00A2588D">
        <w:trPr>
          <w:jc w:val="center"/>
        </w:trPr>
        <w:tc>
          <w:tcPr>
            <w:tcW w:w="671" w:type="dxa"/>
            <w:tcBorders>
              <w:top w:val="single" w:sz="4" w:space="0" w:color="auto"/>
              <w:left w:val="single" w:sz="4" w:space="0" w:color="auto"/>
              <w:bottom w:val="single" w:sz="4" w:space="0" w:color="auto"/>
              <w:right w:val="single" w:sz="4" w:space="0" w:color="auto"/>
            </w:tcBorders>
            <w:hideMark/>
          </w:tcPr>
          <w:p w14:paraId="67B865C2"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0333</w:t>
            </w:r>
          </w:p>
        </w:tc>
        <w:tc>
          <w:tcPr>
            <w:tcW w:w="2613" w:type="dxa"/>
            <w:tcBorders>
              <w:top w:val="single" w:sz="4" w:space="0" w:color="auto"/>
              <w:left w:val="single" w:sz="4" w:space="0" w:color="auto"/>
              <w:bottom w:val="single" w:sz="4" w:space="0" w:color="auto"/>
              <w:right w:val="single" w:sz="4" w:space="0" w:color="auto"/>
            </w:tcBorders>
            <w:hideMark/>
          </w:tcPr>
          <w:p w14:paraId="2824B3A5"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cs="Arial"/>
                <w:sz w:val="18"/>
                <w:szCs w:val="18"/>
                <w:lang w:val="ka-GE"/>
              </w:rPr>
              <w:t>გოგირდწყალბადი</w:t>
            </w:r>
          </w:p>
        </w:tc>
        <w:tc>
          <w:tcPr>
            <w:tcW w:w="1109" w:type="dxa"/>
            <w:tcBorders>
              <w:top w:val="single" w:sz="4" w:space="0" w:color="auto"/>
              <w:left w:val="single" w:sz="4" w:space="0" w:color="auto"/>
              <w:bottom w:val="single" w:sz="4" w:space="0" w:color="auto"/>
              <w:right w:val="single" w:sz="4" w:space="0" w:color="auto"/>
            </w:tcBorders>
            <w:hideMark/>
          </w:tcPr>
          <w:p w14:paraId="230C9790"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მაქს. ერთ.</w:t>
            </w:r>
          </w:p>
        </w:tc>
        <w:tc>
          <w:tcPr>
            <w:tcW w:w="1401" w:type="dxa"/>
            <w:tcBorders>
              <w:top w:val="single" w:sz="4" w:space="0" w:color="auto"/>
              <w:left w:val="single" w:sz="4" w:space="0" w:color="auto"/>
              <w:bottom w:val="single" w:sz="4" w:space="0" w:color="auto"/>
              <w:right w:val="single" w:sz="4" w:space="0" w:color="auto"/>
            </w:tcBorders>
            <w:hideMark/>
          </w:tcPr>
          <w:p w14:paraId="351F21E4"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0080000</w:t>
            </w:r>
          </w:p>
        </w:tc>
        <w:tc>
          <w:tcPr>
            <w:tcW w:w="1328" w:type="dxa"/>
            <w:tcBorders>
              <w:top w:val="single" w:sz="4" w:space="0" w:color="auto"/>
              <w:left w:val="single" w:sz="4" w:space="0" w:color="auto"/>
              <w:bottom w:val="single" w:sz="4" w:space="0" w:color="auto"/>
              <w:right w:val="single" w:sz="4" w:space="0" w:color="auto"/>
            </w:tcBorders>
            <w:hideMark/>
          </w:tcPr>
          <w:p w14:paraId="0663F29C"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0080000</w:t>
            </w:r>
          </w:p>
        </w:tc>
        <w:tc>
          <w:tcPr>
            <w:tcW w:w="1036" w:type="dxa"/>
            <w:tcBorders>
              <w:top w:val="single" w:sz="4" w:space="0" w:color="auto"/>
              <w:left w:val="single" w:sz="4" w:space="0" w:color="auto"/>
              <w:bottom w:val="single" w:sz="4" w:space="0" w:color="auto"/>
              <w:right w:val="single" w:sz="4" w:space="0" w:color="auto"/>
            </w:tcBorders>
            <w:hideMark/>
          </w:tcPr>
          <w:p w14:paraId="435F08CA"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p>
        </w:tc>
        <w:tc>
          <w:tcPr>
            <w:tcW w:w="773" w:type="dxa"/>
            <w:tcBorders>
              <w:top w:val="single" w:sz="4" w:space="0" w:color="auto"/>
              <w:left w:val="single" w:sz="4" w:space="0" w:color="auto"/>
              <w:bottom w:val="single" w:sz="4" w:space="0" w:color="auto"/>
              <w:right w:val="single" w:sz="4" w:space="0" w:color="auto"/>
            </w:tcBorders>
            <w:hideMark/>
          </w:tcPr>
          <w:p w14:paraId="2FE0F71D"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c>
          <w:tcPr>
            <w:tcW w:w="832" w:type="dxa"/>
            <w:tcBorders>
              <w:top w:val="single" w:sz="4" w:space="0" w:color="auto"/>
              <w:left w:val="single" w:sz="4" w:space="0" w:color="auto"/>
              <w:bottom w:val="single" w:sz="4" w:space="0" w:color="auto"/>
              <w:right w:val="single" w:sz="4" w:space="0" w:color="auto"/>
            </w:tcBorders>
            <w:hideMark/>
          </w:tcPr>
          <w:p w14:paraId="6474E32F"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r>
      <w:tr w:rsidR="00A2588D" w14:paraId="15143BA9" w14:textId="77777777" w:rsidTr="00A2588D">
        <w:trPr>
          <w:jc w:val="center"/>
        </w:trPr>
        <w:tc>
          <w:tcPr>
            <w:tcW w:w="671" w:type="dxa"/>
            <w:tcBorders>
              <w:top w:val="single" w:sz="4" w:space="0" w:color="auto"/>
              <w:left w:val="single" w:sz="4" w:space="0" w:color="auto"/>
              <w:bottom w:val="single" w:sz="4" w:space="0" w:color="auto"/>
              <w:right w:val="single" w:sz="4" w:space="0" w:color="auto"/>
            </w:tcBorders>
            <w:hideMark/>
          </w:tcPr>
          <w:p w14:paraId="6E1A8C1E"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0337</w:t>
            </w:r>
          </w:p>
        </w:tc>
        <w:tc>
          <w:tcPr>
            <w:tcW w:w="2613" w:type="dxa"/>
            <w:tcBorders>
              <w:top w:val="single" w:sz="4" w:space="0" w:color="auto"/>
              <w:left w:val="single" w:sz="4" w:space="0" w:color="auto"/>
              <w:bottom w:val="single" w:sz="4" w:space="0" w:color="auto"/>
              <w:right w:val="single" w:sz="4" w:space="0" w:color="auto"/>
            </w:tcBorders>
            <w:hideMark/>
          </w:tcPr>
          <w:p w14:paraId="0B7E42FA"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cs="Arial"/>
                <w:sz w:val="18"/>
                <w:szCs w:val="18"/>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hideMark/>
          </w:tcPr>
          <w:p w14:paraId="05DC2FD7"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მაქს. ერთ.</w:t>
            </w:r>
          </w:p>
        </w:tc>
        <w:tc>
          <w:tcPr>
            <w:tcW w:w="1401" w:type="dxa"/>
            <w:tcBorders>
              <w:top w:val="single" w:sz="4" w:space="0" w:color="auto"/>
              <w:left w:val="single" w:sz="4" w:space="0" w:color="auto"/>
              <w:bottom w:val="single" w:sz="4" w:space="0" w:color="auto"/>
              <w:right w:val="single" w:sz="4" w:space="0" w:color="auto"/>
            </w:tcBorders>
            <w:hideMark/>
          </w:tcPr>
          <w:p w14:paraId="6B23F55D"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5</w:t>
            </w:r>
            <w:r>
              <w:rPr>
                <w:rFonts w:ascii="Sylfaen" w:hAnsi="Sylfaen" w:cs="Arial"/>
                <w:sz w:val="18"/>
                <w:szCs w:val="18"/>
                <w:lang w:val="ka-GE"/>
              </w:rPr>
              <w:t>,</w:t>
            </w:r>
            <w:r>
              <w:rPr>
                <w:rFonts w:ascii="Sylfaen" w:hAnsi="Sylfaen"/>
                <w:sz w:val="18"/>
                <w:szCs w:val="18"/>
                <w:lang w:val="ka-GE"/>
              </w:rPr>
              <w:t>0000000</w:t>
            </w:r>
          </w:p>
        </w:tc>
        <w:tc>
          <w:tcPr>
            <w:tcW w:w="1328" w:type="dxa"/>
            <w:tcBorders>
              <w:top w:val="single" w:sz="4" w:space="0" w:color="auto"/>
              <w:left w:val="single" w:sz="4" w:space="0" w:color="auto"/>
              <w:bottom w:val="single" w:sz="4" w:space="0" w:color="auto"/>
              <w:right w:val="single" w:sz="4" w:space="0" w:color="auto"/>
            </w:tcBorders>
            <w:hideMark/>
          </w:tcPr>
          <w:p w14:paraId="5D88DBB5"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5</w:t>
            </w:r>
            <w:r>
              <w:rPr>
                <w:rFonts w:ascii="Sylfaen" w:hAnsi="Sylfaen" w:cs="Arial"/>
                <w:sz w:val="18"/>
                <w:szCs w:val="18"/>
                <w:lang w:val="ka-GE"/>
              </w:rPr>
              <w:t>,</w:t>
            </w:r>
            <w:r>
              <w:rPr>
                <w:rFonts w:ascii="Sylfaen" w:hAnsi="Sylfaen"/>
                <w:sz w:val="18"/>
                <w:szCs w:val="18"/>
                <w:lang w:val="ka-GE"/>
              </w:rPr>
              <w:t>0000000</w:t>
            </w:r>
          </w:p>
        </w:tc>
        <w:tc>
          <w:tcPr>
            <w:tcW w:w="1036" w:type="dxa"/>
            <w:tcBorders>
              <w:top w:val="single" w:sz="4" w:space="0" w:color="auto"/>
              <w:left w:val="single" w:sz="4" w:space="0" w:color="auto"/>
              <w:bottom w:val="single" w:sz="4" w:space="0" w:color="auto"/>
              <w:right w:val="single" w:sz="4" w:space="0" w:color="auto"/>
            </w:tcBorders>
            <w:hideMark/>
          </w:tcPr>
          <w:p w14:paraId="66619062"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p>
        </w:tc>
        <w:tc>
          <w:tcPr>
            <w:tcW w:w="773" w:type="dxa"/>
            <w:tcBorders>
              <w:top w:val="single" w:sz="4" w:space="0" w:color="auto"/>
              <w:left w:val="single" w:sz="4" w:space="0" w:color="auto"/>
              <w:bottom w:val="single" w:sz="4" w:space="0" w:color="auto"/>
              <w:right w:val="single" w:sz="4" w:space="0" w:color="auto"/>
            </w:tcBorders>
            <w:hideMark/>
          </w:tcPr>
          <w:p w14:paraId="47ECF371"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c>
          <w:tcPr>
            <w:tcW w:w="832" w:type="dxa"/>
            <w:tcBorders>
              <w:top w:val="single" w:sz="4" w:space="0" w:color="auto"/>
              <w:left w:val="single" w:sz="4" w:space="0" w:color="auto"/>
              <w:bottom w:val="single" w:sz="4" w:space="0" w:color="auto"/>
              <w:right w:val="single" w:sz="4" w:space="0" w:color="auto"/>
            </w:tcBorders>
            <w:hideMark/>
          </w:tcPr>
          <w:p w14:paraId="684408D8"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r>
      <w:tr w:rsidR="00A2588D" w14:paraId="36ACBB06" w14:textId="77777777" w:rsidTr="00A2588D">
        <w:trPr>
          <w:jc w:val="center"/>
        </w:trPr>
        <w:tc>
          <w:tcPr>
            <w:tcW w:w="671" w:type="dxa"/>
            <w:tcBorders>
              <w:top w:val="single" w:sz="4" w:space="0" w:color="auto"/>
              <w:left w:val="single" w:sz="4" w:space="0" w:color="auto"/>
              <w:bottom w:val="single" w:sz="4" w:space="0" w:color="auto"/>
              <w:right w:val="single" w:sz="4" w:space="0" w:color="auto"/>
            </w:tcBorders>
            <w:hideMark/>
          </w:tcPr>
          <w:p w14:paraId="4441792B"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0703</w:t>
            </w:r>
          </w:p>
        </w:tc>
        <w:tc>
          <w:tcPr>
            <w:tcW w:w="2613" w:type="dxa"/>
            <w:tcBorders>
              <w:top w:val="single" w:sz="4" w:space="0" w:color="auto"/>
              <w:left w:val="single" w:sz="4" w:space="0" w:color="auto"/>
              <w:bottom w:val="single" w:sz="4" w:space="0" w:color="auto"/>
              <w:right w:val="single" w:sz="4" w:space="0" w:color="auto"/>
            </w:tcBorders>
            <w:hideMark/>
          </w:tcPr>
          <w:p w14:paraId="1ED237FF"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cs="Arial"/>
                <w:sz w:val="18"/>
                <w:szCs w:val="18"/>
                <w:lang w:val="ka-GE"/>
              </w:rPr>
              <w:t>ბენზ(ა)პირენი (3,4-ბენზპირენი)</w:t>
            </w:r>
          </w:p>
        </w:tc>
        <w:tc>
          <w:tcPr>
            <w:tcW w:w="1109" w:type="dxa"/>
            <w:tcBorders>
              <w:top w:val="single" w:sz="4" w:space="0" w:color="auto"/>
              <w:left w:val="single" w:sz="4" w:space="0" w:color="auto"/>
              <w:bottom w:val="single" w:sz="4" w:space="0" w:color="auto"/>
              <w:right w:val="single" w:sz="4" w:space="0" w:color="auto"/>
            </w:tcBorders>
            <w:hideMark/>
          </w:tcPr>
          <w:p w14:paraId="01BAEF28"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ზდკ საშ. დ/ღ</w:t>
            </w:r>
          </w:p>
        </w:tc>
        <w:tc>
          <w:tcPr>
            <w:tcW w:w="1401" w:type="dxa"/>
            <w:tcBorders>
              <w:top w:val="single" w:sz="4" w:space="0" w:color="auto"/>
              <w:left w:val="single" w:sz="4" w:space="0" w:color="auto"/>
              <w:bottom w:val="single" w:sz="4" w:space="0" w:color="auto"/>
              <w:right w:val="single" w:sz="4" w:space="0" w:color="auto"/>
            </w:tcBorders>
            <w:hideMark/>
          </w:tcPr>
          <w:p w14:paraId="7B7589E0"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0000010</w:t>
            </w:r>
          </w:p>
        </w:tc>
        <w:tc>
          <w:tcPr>
            <w:tcW w:w="1328" w:type="dxa"/>
            <w:tcBorders>
              <w:top w:val="single" w:sz="4" w:space="0" w:color="auto"/>
              <w:left w:val="single" w:sz="4" w:space="0" w:color="auto"/>
              <w:bottom w:val="single" w:sz="4" w:space="0" w:color="auto"/>
              <w:right w:val="single" w:sz="4" w:space="0" w:color="auto"/>
            </w:tcBorders>
            <w:hideMark/>
          </w:tcPr>
          <w:p w14:paraId="673746FE"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0000100</w:t>
            </w:r>
          </w:p>
        </w:tc>
        <w:tc>
          <w:tcPr>
            <w:tcW w:w="1036" w:type="dxa"/>
            <w:tcBorders>
              <w:top w:val="single" w:sz="4" w:space="0" w:color="auto"/>
              <w:left w:val="single" w:sz="4" w:space="0" w:color="auto"/>
              <w:bottom w:val="single" w:sz="4" w:space="0" w:color="auto"/>
              <w:right w:val="single" w:sz="4" w:space="0" w:color="auto"/>
            </w:tcBorders>
            <w:hideMark/>
          </w:tcPr>
          <w:p w14:paraId="4EAB6F57"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p>
        </w:tc>
        <w:tc>
          <w:tcPr>
            <w:tcW w:w="773" w:type="dxa"/>
            <w:tcBorders>
              <w:top w:val="single" w:sz="4" w:space="0" w:color="auto"/>
              <w:left w:val="single" w:sz="4" w:space="0" w:color="auto"/>
              <w:bottom w:val="single" w:sz="4" w:space="0" w:color="auto"/>
              <w:right w:val="single" w:sz="4" w:space="0" w:color="auto"/>
            </w:tcBorders>
            <w:hideMark/>
          </w:tcPr>
          <w:p w14:paraId="21DB3A1E"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c>
          <w:tcPr>
            <w:tcW w:w="832" w:type="dxa"/>
            <w:tcBorders>
              <w:top w:val="single" w:sz="4" w:space="0" w:color="auto"/>
              <w:left w:val="single" w:sz="4" w:space="0" w:color="auto"/>
              <w:bottom w:val="single" w:sz="4" w:space="0" w:color="auto"/>
              <w:right w:val="single" w:sz="4" w:space="0" w:color="auto"/>
            </w:tcBorders>
            <w:hideMark/>
          </w:tcPr>
          <w:p w14:paraId="72515EBF"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r>
      <w:tr w:rsidR="00A2588D" w14:paraId="7C99E6DF" w14:textId="77777777" w:rsidTr="00A2588D">
        <w:trPr>
          <w:jc w:val="center"/>
        </w:trPr>
        <w:tc>
          <w:tcPr>
            <w:tcW w:w="671" w:type="dxa"/>
            <w:tcBorders>
              <w:top w:val="single" w:sz="4" w:space="0" w:color="auto"/>
              <w:left w:val="single" w:sz="4" w:space="0" w:color="auto"/>
              <w:bottom w:val="single" w:sz="4" w:space="0" w:color="auto"/>
              <w:right w:val="single" w:sz="4" w:space="0" w:color="auto"/>
            </w:tcBorders>
            <w:hideMark/>
          </w:tcPr>
          <w:p w14:paraId="1B8FB5EA"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1325</w:t>
            </w:r>
          </w:p>
        </w:tc>
        <w:tc>
          <w:tcPr>
            <w:tcW w:w="2613" w:type="dxa"/>
            <w:tcBorders>
              <w:top w:val="single" w:sz="4" w:space="0" w:color="auto"/>
              <w:left w:val="single" w:sz="4" w:space="0" w:color="auto"/>
              <w:bottom w:val="single" w:sz="4" w:space="0" w:color="auto"/>
              <w:right w:val="single" w:sz="4" w:space="0" w:color="auto"/>
            </w:tcBorders>
            <w:hideMark/>
          </w:tcPr>
          <w:p w14:paraId="73429896"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cs="Arial"/>
                <w:sz w:val="18"/>
                <w:szCs w:val="18"/>
                <w:lang w:val="ka-GE"/>
              </w:rPr>
              <w:t>ფორმალდეჰიდი</w:t>
            </w:r>
          </w:p>
        </w:tc>
        <w:tc>
          <w:tcPr>
            <w:tcW w:w="1109" w:type="dxa"/>
            <w:tcBorders>
              <w:top w:val="single" w:sz="4" w:space="0" w:color="auto"/>
              <w:left w:val="single" w:sz="4" w:space="0" w:color="auto"/>
              <w:bottom w:val="single" w:sz="4" w:space="0" w:color="auto"/>
              <w:right w:val="single" w:sz="4" w:space="0" w:color="auto"/>
            </w:tcBorders>
            <w:hideMark/>
          </w:tcPr>
          <w:p w14:paraId="5CE4B6BD"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მაქს. ერთ.</w:t>
            </w:r>
          </w:p>
        </w:tc>
        <w:tc>
          <w:tcPr>
            <w:tcW w:w="1401" w:type="dxa"/>
            <w:tcBorders>
              <w:top w:val="single" w:sz="4" w:space="0" w:color="auto"/>
              <w:left w:val="single" w:sz="4" w:space="0" w:color="auto"/>
              <w:bottom w:val="single" w:sz="4" w:space="0" w:color="auto"/>
              <w:right w:val="single" w:sz="4" w:space="0" w:color="auto"/>
            </w:tcBorders>
            <w:hideMark/>
          </w:tcPr>
          <w:p w14:paraId="4D43616D"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0350000</w:t>
            </w:r>
          </w:p>
        </w:tc>
        <w:tc>
          <w:tcPr>
            <w:tcW w:w="1328" w:type="dxa"/>
            <w:tcBorders>
              <w:top w:val="single" w:sz="4" w:space="0" w:color="auto"/>
              <w:left w:val="single" w:sz="4" w:space="0" w:color="auto"/>
              <w:bottom w:val="single" w:sz="4" w:space="0" w:color="auto"/>
              <w:right w:val="single" w:sz="4" w:space="0" w:color="auto"/>
            </w:tcBorders>
            <w:hideMark/>
          </w:tcPr>
          <w:p w14:paraId="2CFD7A9A"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0350000</w:t>
            </w:r>
          </w:p>
        </w:tc>
        <w:tc>
          <w:tcPr>
            <w:tcW w:w="1036" w:type="dxa"/>
            <w:tcBorders>
              <w:top w:val="single" w:sz="4" w:space="0" w:color="auto"/>
              <w:left w:val="single" w:sz="4" w:space="0" w:color="auto"/>
              <w:bottom w:val="single" w:sz="4" w:space="0" w:color="auto"/>
              <w:right w:val="single" w:sz="4" w:space="0" w:color="auto"/>
            </w:tcBorders>
            <w:hideMark/>
          </w:tcPr>
          <w:p w14:paraId="13551DEB"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p>
        </w:tc>
        <w:tc>
          <w:tcPr>
            <w:tcW w:w="773" w:type="dxa"/>
            <w:tcBorders>
              <w:top w:val="single" w:sz="4" w:space="0" w:color="auto"/>
              <w:left w:val="single" w:sz="4" w:space="0" w:color="auto"/>
              <w:bottom w:val="single" w:sz="4" w:space="0" w:color="auto"/>
              <w:right w:val="single" w:sz="4" w:space="0" w:color="auto"/>
            </w:tcBorders>
            <w:hideMark/>
          </w:tcPr>
          <w:p w14:paraId="43698E26"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c>
          <w:tcPr>
            <w:tcW w:w="832" w:type="dxa"/>
            <w:tcBorders>
              <w:top w:val="single" w:sz="4" w:space="0" w:color="auto"/>
              <w:left w:val="single" w:sz="4" w:space="0" w:color="auto"/>
              <w:bottom w:val="single" w:sz="4" w:space="0" w:color="auto"/>
              <w:right w:val="single" w:sz="4" w:space="0" w:color="auto"/>
            </w:tcBorders>
            <w:hideMark/>
          </w:tcPr>
          <w:p w14:paraId="437F101C"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r>
      <w:tr w:rsidR="00A2588D" w14:paraId="2C9C8DD0" w14:textId="77777777" w:rsidTr="00A2588D">
        <w:trPr>
          <w:jc w:val="center"/>
        </w:trPr>
        <w:tc>
          <w:tcPr>
            <w:tcW w:w="671" w:type="dxa"/>
            <w:tcBorders>
              <w:top w:val="single" w:sz="4" w:space="0" w:color="auto"/>
              <w:left w:val="single" w:sz="4" w:space="0" w:color="auto"/>
              <w:bottom w:val="single" w:sz="4" w:space="0" w:color="auto"/>
              <w:right w:val="single" w:sz="4" w:space="0" w:color="auto"/>
            </w:tcBorders>
            <w:hideMark/>
          </w:tcPr>
          <w:p w14:paraId="373AFE03"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2732</w:t>
            </w:r>
          </w:p>
        </w:tc>
        <w:tc>
          <w:tcPr>
            <w:tcW w:w="2613" w:type="dxa"/>
            <w:tcBorders>
              <w:top w:val="single" w:sz="4" w:space="0" w:color="auto"/>
              <w:left w:val="single" w:sz="4" w:space="0" w:color="auto"/>
              <w:bottom w:val="single" w:sz="4" w:space="0" w:color="auto"/>
              <w:right w:val="single" w:sz="4" w:space="0" w:color="auto"/>
            </w:tcBorders>
            <w:hideMark/>
          </w:tcPr>
          <w:p w14:paraId="6D2F7C73"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cs="Arial"/>
                <w:sz w:val="18"/>
                <w:szCs w:val="18"/>
                <w:lang w:val="ka-GE"/>
              </w:rPr>
              <w:t>ნავთის ფრაქცია</w:t>
            </w:r>
          </w:p>
        </w:tc>
        <w:tc>
          <w:tcPr>
            <w:tcW w:w="1109" w:type="dxa"/>
            <w:tcBorders>
              <w:top w:val="single" w:sz="4" w:space="0" w:color="auto"/>
              <w:left w:val="single" w:sz="4" w:space="0" w:color="auto"/>
              <w:bottom w:val="single" w:sz="4" w:space="0" w:color="auto"/>
              <w:right w:val="single" w:sz="4" w:space="0" w:color="auto"/>
            </w:tcBorders>
            <w:hideMark/>
          </w:tcPr>
          <w:p w14:paraId="51C62CEE"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საორ. უსაფრ. ზემოქ. დონე</w:t>
            </w:r>
          </w:p>
        </w:tc>
        <w:tc>
          <w:tcPr>
            <w:tcW w:w="1401" w:type="dxa"/>
            <w:tcBorders>
              <w:top w:val="single" w:sz="4" w:space="0" w:color="auto"/>
              <w:left w:val="single" w:sz="4" w:space="0" w:color="auto"/>
              <w:bottom w:val="single" w:sz="4" w:space="0" w:color="auto"/>
              <w:right w:val="single" w:sz="4" w:space="0" w:color="auto"/>
            </w:tcBorders>
            <w:hideMark/>
          </w:tcPr>
          <w:p w14:paraId="3AB688B1"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r>
              <w:rPr>
                <w:rFonts w:ascii="Sylfaen" w:hAnsi="Sylfaen" w:cs="Arial"/>
                <w:sz w:val="18"/>
                <w:szCs w:val="18"/>
                <w:lang w:val="ka-GE"/>
              </w:rPr>
              <w:t>,</w:t>
            </w:r>
            <w:r>
              <w:rPr>
                <w:rFonts w:ascii="Sylfaen" w:hAnsi="Sylfaen"/>
                <w:sz w:val="18"/>
                <w:szCs w:val="18"/>
                <w:lang w:val="ka-GE"/>
              </w:rPr>
              <w:t>2000000</w:t>
            </w:r>
          </w:p>
        </w:tc>
        <w:tc>
          <w:tcPr>
            <w:tcW w:w="1328" w:type="dxa"/>
            <w:tcBorders>
              <w:top w:val="single" w:sz="4" w:space="0" w:color="auto"/>
              <w:left w:val="single" w:sz="4" w:space="0" w:color="auto"/>
              <w:bottom w:val="single" w:sz="4" w:space="0" w:color="auto"/>
              <w:right w:val="single" w:sz="4" w:space="0" w:color="auto"/>
            </w:tcBorders>
            <w:hideMark/>
          </w:tcPr>
          <w:p w14:paraId="07A6CD2A"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r>
              <w:rPr>
                <w:rFonts w:ascii="Sylfaen" w:hAnsi="Sylfaen" w:cs="Arial"/>
                <w:sz w:val="18"/>
                <w:szCs w:val="18"/>
                <w:lang w:val="ka-GE"/>
              </w:rPr>
              <w:t>,</w:t>
            </w:r>
            <w:r>
              <w:rPr>
                <w:rFonts w:ascii="Sylfaen" w:hAnsi="Sylfaen"/>
                <w:sz w:val="18"/>
                <w:szCs w:val="18"/>
                <w:lang w:val="ka-GE"/>
              </w:rPr>
              <w:t>2000000</w:t>
            </w:r>
          </w:p>
        </w:tc>
        <w:tc>
          <w:tcPr>
            <w:tcW w:w="1036" w:type="dxa"/>
            <w:tcBorders>
              <w:top w:val="single" w:sz="4" w:space="0" w:color="auto"/>
              <w:left w:val="single" w:sz="4" w:space="0" w:color="auto"/>
              <w:bottom w:val="single" w:sz="4" w:space="0" w:color="auto"/>
              <w:right w:val="single" w:sz="4" w:space="0" w:color="auto"/>
            </w:tcBorders>
            <w:hideMark/>
          </w:tcPr>
          <w:p w14:paraId="25197616"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p>
        </w:tc>
        <w:tc>
          <w:tcPr>
            <w:tcW w:w="773" w:type="dxa"/>
            <w:tcBorders>
              <w:top w:val="single" w:sz="4" w:space="0" w:color="auto"/>
              <w:left w:val="single" w:sz="4" w:space="0" w:color="auto"/>
              <w:bottom w:val="single" w:sz="4" w:space="0" w:color="auto"/>
              <w:right w:val="single" w:sz="4" w:space="0" w:color="auto"/>
            </w:tcBorders>
            <w:hideMark/>
          </w:tcPr>
          <w:p w14:paraId="5CD3FBD0"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c>
          <w:tcPr>
            <w:tcW w:w="832" w:type="dxa"/>
            <w:tcBorders>
              <w:top w:val="single" w:sz="4" w:space="0" w:color="auto"/>
              <w:left w:val="single" w:sz="4" w:space="0" w:color="auto"/>
              <w:bottom w:val="single" w:sz="4" w:space="0" w:color="auto"/>
              <w:right w:val="single" w:sz="4" w:space="0" w:color="auto"/>
            </w:tcBorders>
            <w:hideMark/>
          </w:tcPr>
          <w:p w14:paraId="4B7041E3"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r>
      <w:tr w:rsidR="00A2588D" w14:paraId="2AEAD1ED" w14:textId="77777777" w:rsidTr="00A2588D">
        <w:trPr>
          <w:jc w:val="center"/>
        </w:trPr>
        <w:tc>
          <w:tcPr>
            <w:tcW w:w="671" w:type="dxa"/>
            <w:tcBorders>
              <w:top w:val="single" w:sz="4" w:space="0" w:color="auto"/>
              <w:left w:val="single" w:sz="4" w:space="0" w:color="auto"/>
              <w:bottom w:val="single" w:sz="4" w:space="0" w:color="auto"/>
              <w:right w:val="single" w:sz="4" w:space="0" w:color="auto"/>
            </w:tcBorders>
            <w:hideMark/>
          </w:tcPr>
          <w:p w14:paraId="0CF93111"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2754</w:t>
            </w:r>
          </w:p>
        </w:tc>
        <w:tc>
          <w:tcPr>
            <w:tcW w:w="2613" w:type="dxa"/>
            <w:tcBorders>
              <w:top w:val="single" w:sz="4" w:space="0" w:color="auto"/>
              <w:left w:val="single" w:sz="4" w:space="0" w:color="auto"/>
              <w:bottom w:val="single" w:sz="4" w:space="0" w:color="auto"/>
              <w:right w:val="single" w:sz="4" w:space="0" w:color="auto"/>
            </w:tcBorders>
            <w:hideMark/>
          </w:tcPr>
          <w:p w14:paraId="4EDC1E1C"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cs="Arial"/>
                <w:sz w:val="18"/>
                <w:szCs w:val="18"/>
                <w:lang w:val="ka-GE"/>
              </w:rPr>
              <w:t xml:space="preserve">ნაჯერი ნახშირწყალბადები </w:t>
            </w:r>
            <w:r>
              <w:rPr>
                <w:rFonts w:ascii="Sylfaen" w:hAnsi="Sylfaen"/>
                <w:sz w:val="18"/>
                <w:szCs w:val="18"/>
                <w:lang w:val="ka-GE"/>
              </w:rPr>
              <w:t>C12-C19</w:t>
            </w:r>
          </w:p>
        </w:tc>
        <w:tc>
          <w:tcPr>
            <w:tcW w:w="1109" w:type="dxa"/>
            <w:tcBorders>
              <w:top w:val="single" w:sz="4" w:space="0" w:color="auto"/>
              <w:left w:val="single" w:sz="4" w:space="0" w:color="auto"/>
              <w:bottom w:val="single" w:sz="4" w:space="0" w:color="auto"/>
              <w:right w:val="single" w:sz="4" w:space="0" w:color="auto"/>
            </w:tcBorders>
            <w:hideMark/>
          </w:tcPr>
          <w:p w14:paraId="6D7BF634"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მაქს. ერთ.</w:t>
            </w:r>
          </w:p>
        </w:tc>
        <w:tc>
          <w:tcPr>
            <w:tcW w:w="1401" w:type="dxa"/>
            <w:tcBorders>
              <w:top w:val="single" w:sz="4" w:space="0" w:color="auto"/>
              <w:left w:val="single" w:sz="4" w:space="0" w:color="auto"/>
              <w:bottom w:val="single" w:sz="4" w:space="0" w:color="auto"/>
              <w:right w:val="single" w:sz="4" w:space="0" w:color="auto"/>
            </w:tcBorders>
            <w:hideMark/>
          </w:tcPr>
          <w:p w14:paraId="47A12785"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r>
              <w:rPr>
                <w:rFonts w:ascii="Sylfaen" w:hAnsi="Sylfaen" w:cs="Arial"/>
                <w:sz w:val="18"/>
                <w:szCs w:val="18"/>
                <w:lang w:val="ka-GE"/>
              </w:rPr>
              <w:t>,</w:t>
            </w:r>
            <w:r>
              <w:rPr>
                <w:rFonts w:ascii="Sylfaen" w:hAnsi="Sylfaen"/>
                <w:sz w:val="18"/>
                <w:szCs w:val="18"/>
                <w:lang w:val="ka-GE"/>
              </w:rPr>
              <w:t>0000000</w:t>
            </w:r>
          </w:p>
        </w:tc>
        <w:tc>
          <w:tcPr>
            <w:tcW w:w="1328" w:type="dxa"/>
            <w:tcBorders>
              <w:top w:val="single" w:sz="4" w:space="0" w:color="auto"/>
              <w:left w:val="single" w:sz="4" w:space="0" w:color="auto"/>
              <w:bottom w:val="single" w:sz="4" w:space="0" w:color="auto"/>
              <w:right w:val="single" w:sz="4" w:space="0" w:color="auto"/>
            </w:tcBorders>
            <w:hideMark/>
          </w:tcPr>
          <w:p w14:paraId="0C75F242"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r>
              <w:rPr>
                <w:rFonts w:ascii="Sylfaen" w:hAnsi="Sylfaen" w:cs="Arial"/>
                <w:sz w:val="18"/>
                <w:szCs w:val="18"/>
                <w:lang w:val="ka-GE"/>
              </w:rPr>
              <w:t>,</w:t>
            </w:r>
            <w:r>
              <w:rPr>
                <w:rFonts w:ascii="Sylfaen" w:hAnsi="Sylfaen"/>
                <w:sz w:val="18"/>
                <w:szCs w:val="18"/>
                <w:lang w:val="ka-GE"/>
              </w:rPr>
              <w:t>0000000</w:t>
            </w:r>
          </w:p>
        </w:tc>
        <w:tc>
          <w:tcPr>
            <w:tcW w:w="1036" w:type="dxa"/>
            <w:tcBorders>
              <w:top w:val="single" w:sz="4" w:space="0" w:color="auto"/>
              <w:left w:val="single" w:sz="4" w:space="0" w:color="auto"/>
              <w:bottom w:val="single" w:sz="4" w:space="0" w:color="auto"/>
              <w:right w:val="single" w:sz="4" w:space="0" w:color="auto"/>
            </w:tcBorders>
            <w:hideMark/>
          </w:tcPr>
          <w:p w14:paraId="23DB98C2"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p>
        </w:tc>
        <w:tc>
          <w:tcPr>
            <w:tcW w:w="773" w:type="dxa"/>
            <w:tcBorders>
              <w:top w:val="single" w:sz="4" w:space="0" w:color="auto"/>
              <w:left w:val="single" w:sz="4" w:space="0" w:color="auto"/>
              <w:bottom w:val="single" w:sz="4" w:space="0" w:color="auto"/>
              <w:right w:val="single" w:sz="4" w:space="0" w:color="auto"/>
            </w:tcBorders>
            <w:hideMark/>
          </w:tcPr>
          <w:p w14:paraId="3A800898"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c>
          <w:tcPr>
            <w:tcW w:w="832" w:type="dxa"/>
            <w:tcBorders>
              <w:top w:val="single" w:sz="4" w:space="0" w:color="auto"/>
              <w:left w:val="single" w:sz="4" w:space="0" w:color="auto"/>
              <w:bottom w:val="single" w:sz="4" w:space="0" w:color="auto"/>
              <w:right w:val="single" w:sz="4" w:space="0" w:color="auto"/>
            </w:tcBorders>
            <w:hideMark/>
          </w:tcPr>
          <w:p w14:paraId="5CD678F2"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r>
      <w:tr w:rsidR="00A2588D" w14:paraId="4282FEAB" w14:textId="77777777" w:rsidTr="00A2588D">
        <w:trPr>
          <w:jc w:val="center"/>
        </w:trPr>
        <w:tc>
          <w:tcPr>
            <w:tcW w:w="671" w:type="dxa"/>
            <w:tcBorders>
              <w:top w:val="single" w:sz="4" w:space="0" w:color="auto"/>
              <w:left w:val="single" w:sz="4" w:space="0" w:color="auto"/>
              <w:bottom w:val="single" w:sz="4" w:space="0" w:color="auto"/>
              <w:right w:val="single" w:sz="4" w:space="0" w:color="auto"/>
            </w:tcBorders>
            <w:hideMark/>
          </w:tcPr>
          <w:p w14:paraId="0D844E29"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2902</w:t>
            </w:r>
          </w:p>
        </w:tc>
        <w:tc>
          <w:tcPr>
            <w:tcW w:w="2613" w:type="dxa"/>
            <w:tcBorders>
              <w:top w:val="single" w:sz="4" w:space="0" w:color="auto"/>
              <w:left w:val="single" w:sz="4" w:space="0" w:color="auto"/>
              <w:bottom w:val="single" w:sz="4" w:space="0" w:color="auto"/>
              <w:right w:val="single" w:sz="4" w:space="0" w:color="auto"/>
            </w:tcBorders>
            <w:hideMark/>
          </w:tcPr>
          <w:p w14:paraId="27B7454D"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cs="Arial"/>
                <w:sz w:val="18"/>
                <w:szCs w:val="18"/>
                <w:lang w:val="ka-GE"/>
              </w:rPr>
              <w:t>შეწონილი ნაწილაკები</w:t>
            </w:r>
          </w:p>
        </w:tc>
        <w:tc>
          <w:tcPr>
            <w:tcW w:w="1109" w:type="dxa"/>
            <w:tcBorders>
              <w:top w:val="single" w:sz="4" w:space="0" w:color="auto"/>
              <w:left w:val="single" w:sz="4" w:space="0" w:color="auto"/>
              <w:bottom w:val="single" w:sz="4" w:space="0" w:color="auto"/>
              <w:right w:val="single" w:sz="4" w:space="0" w:color="auto"/>
            </w:tcBorders>
            <w:hideMark/>
          </w:tcPr>
          <w:p w14:paraId="3CEA5C9C"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მაქს. ერთ.</w:t>
            </w:r>
          </w:p>
        </w:tc>
        <w:tc>
          <w:tcPr>
            <w:tcW w:w="1401" w:type="dxa"/>
            <w:tcBorders>
              <w:top w:val="single" w:sz="4" w:space="0" w:color="auto"/>
              <w:left w:val="single" w:sz="4" w:space="0" w:color="auto"/>
              <w:bottom w:val="single" w:sz="4" w:space="0" w:color="auto"/>
              <w:right w:val="single" w:sz="4" w:space="0" w:color="auto"/>
            </w:tcBorders>
            <w:hideMark/>
          </w:tcPr>
          <w:p w14:paraId="05EFAB03"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5000000</w:t>
            </w:r>
          </w:p>
        </w:tc>
        <w:tc>
          <w:tcPr>
            <w:tcW w:w="1328" w:type="dxa"/>
            <w:tcBorders>
              <w:top w:val="single" w:sz="4" w:space="0" w:color="auto"/>
              <w:left w:val="single" w:sz="4" w:space="0" w:color="auto"/>
              <w:bottom w:val="single" w:sz="4" w:space="0" w:color="auto"/>
              <w:right w:val="single" w:sz="4" w:space="0" w:color="auto"/>
            </w:tcBorders>
            <w:hideMark/>
          </w:tcPr>
          <w:p w14:paraId="56803980"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5000000</w:t>
            </w:r>
          </w:p>
        </w:tc>
        <w:tc>
          <w:tcPr>
            <w:tcW w:w="1036" w:type="dxa"/>
            <w:tcBorders>
              <w:top w:val="single" w:sz="4" w:space="0" w:color="auto"/>
              <w:left w:val="single" w:sz="4" w:space="0" w:color="auto"/>
              <w:bottom w:val="single" w:sz="4" w:space="0" w:color="auto"/>
              <w:right w:val="single" w:sz="4" w:space="0" w:color="auto"/>
            </w:tcBorders>
            <w:hideMark/>
          </w:tcPr>
          <w:p w14:paraId="102AD22C"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p>
        </w:tc>
        <w:tc>
          <w:tcPr>
            <w:tcW w:w="773" w:type="dxa"/>
            <w:tcBorders>
              <w:top w:val="single" w:sz="4" w:space="0" w:color="auto"/>
              <w:left w:val="single" w:sz="4" w:space="0" w:color="auto"/>
              <w:bottom w:val="single" w:sz="4" w:space="0" w:color="auto"/>
              <w:right w:val="single" w:sz="4" w:space="0" w:color="auto"/>
            </w:tcBorders>
            <w:hideMark/>
          </w:tcPr>
          <w:p w14:paraId="55CDA053"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c>
          <w:tcPr>
            <w:tcW w:w="832" w:type="dxa"/>
            <w:tcBorders>
              <w:top w:val="single" w:sz="4" w:space="0" w:color="auto"/>
              <w:left w:val="single" w:sz="4" w:space="0" w:color="auto"/>
              <w:bottom w:val="single" w:sz="4" w:space="0" w:color="auto"/>
              <w:right w:val="single" w:sz="4" w:space="0" w:color="auto"/>
            </w:tcBorders>
            <w:hideMark/>
          </w:tcPr>
          <w:p w14:paraId="4C8C6EC9"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r>
      <w:tr w:rsidR="00A2588D" w14:paraId="4A0FD881" w14:textId="77777777" w:rsidTr="00A2588D">
        <w:trPr>
          <w:jc w:val="center"/>
        </w:trPr>
        <w:tc>
          <w:tcPr>
            <w:tcW w:w="671" w:type="dxa"/>
            <w:tcBorders>
              <w:top w:val="single" w:sz="4" w:space="0" w:color="auto"/>
              <w:left w:val="single" w:sz="4" w:space="0" w:color="auto"/>
              <w:bottom w:val="single" w:sz="4" w:space="0" w:color="auto"/>
              <w:right w:val="single" w:sz="4" w:space="0" w:color="auto"/>
            </w:tcBorders>
            <w:hideMark/>
          </w:tcPr>
          <w:p w14:paraId="3670C44F"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2908</w:t>
            </w:r>
          </w:p>
        </w:tc>
        <w:tc>
          <w:tcPr>
            <w:tcW w:w="2613" w:type="dxa"/>
            <w:tcBorders>
              <w:top w:val="single" w:sz="4" w:space="0" w:color="auto"/>
              <w:left w:val="single" w:sz="4" w:space="0" w:color="auto"/>
              <w:bottom w:val="single" w:sz="4" w:space="0" w:color="auto"/>
              <w:right w:val="single" w:sz="4" w:space="0" w:color="auto"/>
            </w:tcBorders>
            <w:hideMark/>
          </w:tcPr>
          <w:p w14:paraId="1F27CA8A"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cs="Arial"/>
                <w:sz w:val="18"/>
                <w:szCs w:val="18"/>
                <w:lang w:val="ka-GE"/>
              </w:rPr>
              <w:t xml:space="preserve">არაოგანული მტვერი: 70-20% </w:t>
            </w:r>
            <w:r>
              <w:rPr>
                <w:rFonts w:ascii="Sylfaen" w:hAnsi="Sylfaen"/>
                <w:sz w:val="18"/>
                <w:szCs w:val="18"/>
                <w:lang w:val="ka-GE"/>
              </w:rPr>
              <w:t>SiO2</w:t>
            </w:r>
          </w:p>
        </w:tc>
        <w:tc>
          <w:tcPr>
            <w:tcW w:w="1109" w:type="dxa"/>
            <w:tcBorders>
              <w:top w:val="single" w:sz="4" w:space="0" w:color="auto"/>
              <w:left w:val="single" w:sz="4" w:space="0" w:color="auto"/>
              <w:bottom w:val="single" w:sz="4" w:space="0" w:color="auto"/>
              <w:right w:val="single" w:sz="4" w:space="0" w:color="auto"/>
            </w:tcBorders>
            <w:hideMark/>
          </w:tcPr>
          <w:p w14:paraId="5491E0AE"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მაქს. ერთ.</w:t>
            </w:r>
          </w:p>
        </w:tc>
        <w:tc>
          <w:tcPr>
            <w:tcW w:w="1401" w:type="dxa"/>
            <w:tcBorders>
              <w:top w:val="single" w:sz="4" w:space="0" w:color="auto"/>
              <w:left w:val="single" w:sz="4" w:space="0" w:color="auto"/>
              <w:bottom w:val="single" w:sz="4" w:space="0" w:color="auto"/>
              <w:right w:val="single" w:sz="4" w:space="0" w:color="auto"/>
            </w:tcBorders>
            <w:hideMark/>
          </w:tcPr>
          <w:p w14:paraId="7B655729"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3000000</w:t>
            </w:r>
          </w:p>
        </w:tc>
        <w:tc>
          <w:tcPr>
            <w:tcW w:w="1328" w:type="dxa"/>
            <w:tcBorders>
              <w:top w:val="single" w:sz="4" w:space="0" w:color="auto"/>
              <w:left w:val="single" w:sz="4" w:space="0" w:color="auto"/>
              <w:bottom w:val="single" w:sz="4" w:space="0" w:color="auto"/>
              <w:right w:val="single" w:sz="4" w:space="0" w:color="auto"/>
            </w:tcBorders>
            <w:hideMark/>
          </w:tcPr>
          <w:p w14:paraId="79CDCBEF"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0</w:t>
            </w:r>
            <w:r>
              <w:rPr>
                <w:rFonts w:ascii="Sylfaen" w:hAnsi="Sylfaen" w:cs="Arial"/>
                <w:sz w:val="18"/>
                <w:szCs w:val="18"/>
                <w:lang w:val="ka-GE"/>
              </w:rPr>
              <w:t>,</w:t>
            </w:r>
            <w:r>
              <w:rPr>
                <w:rFonts w:ascii="Sylfaen" w:hAnsi="Sylfaen"/>
                <w:sz w:val="18"/>
                <w:szCs w:val="18"/>
                <w:lang w:val="ka-GE"/>
              </w:rPr>
              <w:t>3000000</w:t>
            </w:r>
          </w:p>
        </w:tc>
        <w:tc>
          <w:tcPr>
            <w:tcW w:w="1036" w:type="dxa"/>
            <w:tcBorders>
              <w:top w:val="single" w:sz="4" w:space="0" w:color="auto"/>
              <w:left w:val="single" w:sz="4" w:space="0" w:color="auto"/>
              <w:bottom w:val="single" w:sz="4" w:space="0" w:color="auto"/>
              <w:right w:val="single" w:sz="4" w:space="0" w:color="auto"/>
            </w:tcBorders>
            <w:hideMark/>
          </w:tcPr>
          <w:p w14:paraId="67157C65"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p>
        </w:tc>
        <w:tc>
          <w:tcPr>
            <w:tcW w:w="773" w:type="dxa"/>
            <w:tcBorders>
              <w:top w:val="single" w:sz="4" w:space="0" w:color="auto"/>
              <w:left w:val="single" w:sz="4" w:space="0" w:color="auto"/>
              <w:bottom w:val="single" w:sz="4" w:space="0" w:color="auto"/>
              <w:right w:val="single" w:sz="4" w:space="0" w:color="auto"/>
            </w:tcBorders>
            <w:hideMark/>
          </w:tcPr>
          <w:p w14:paraId="3E52102C"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c>
          <w:tcPr>
            <w:tcW w:w="832" w:type="dxa"/>
            <w:tcBorders>
              <w:top w:val="single" w:sz="4" w:space="0" w:color="auto"/>
              <w:left w:val="single" w:sz="4" w:space="0" w:color="auto"/>
              <w:bottom w:val="single" w:sz="4" w:space="0" w:color="auto"/>
              <w:right w:val="single" w:sz="4" w:space="0" w:color="auto"/>
            </w:tcBorders>
            <w:hideMark/>
          </w:tcPr>
          <w:p w14:paraId="6D434DE2"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r>
      <w:tr w:rsidR="00A2588D" w14:paraId="2EA4732B" w14:textId="77777777" w:rsidTr="00A2588D">
        <w:trPr>
          <w:jc w:val="center"/>
        </w:trPr>
        <w:tc>
          <w:tcPr>
            <w:tcW w:w="671" w:type="dxa"/>
            <w:tcBorders>
              <w:top w:val="single" w:sz="4" w:space="0" w:color="auto"/>
              <w:left w:val="single" w:sz="4" w:space="0" w:color="auto"/>
              <w:bottom w:val="single" w:sz="4" w:space="0" w:color="auto"/>
              <w:right w:val="single" w:sz="4" w:space="0" w:color="auto"/>
            </w:tcBorders>
            <w:hideMark/>
          </w:tcPr>
          <w:p w14:paraId="5CF19B03"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6009</w:t>
            </w:r>
          </w:p>
        </w:tc>
        <w:tc>
          <w:tcPr>
            <w:tcW w:w="2613" w:type="dxa"/>
            <w:tcBorders>
              <w:top w:val="single" w:sz="4" w:space="0" w:color="auto"/>
              <w:left w:val="single" w:sz="4" w:space="0" w:color="auto"/>
              <w:bottom w:val="single" w:sz="4" w:space="0" w:color="auto"/>
              <w:right w:val="single" w:sz="4" w:space="0" w:color="auto"/>
            </w:tcBorders>
            <w:hideMark/>
          </w:tcPr>
          <w:p w14:paraId="3BD4AD3D"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cs="Arial"/>
                <w:sz w:val="18"/>
                <w:szCs w:val="18"/>
                <w:lang w:val="ka-GE"/>
              </w:rPr>
              <w:t>არასრული ჯამური ზემოქმედების ჯგუფი, კოეფიციენტი "</w:t>
            </w:r>
            <w:r>
              <w:rPr>
                <w:rFonts w:ascii="Sylfaen" w:hAnsi="Sylfaen"/>
                <w:sz w:val="18"/>
                <w:szCs w:val="18"/>
                <w:lang w:val="ka-GE"/>
              </w:rPr>
              <w:t>1</w:t>
            </w:r>
            <w:r>
              <w:rPr>
                <w:rFonts w:ascii="Sylfaen" w:hAnsi="Sylfaen" w:cs="Arial"/>
                <w:sz w:val="18"/>
                <w:szCs w:val="18"/>
                <w:lang w:val="ka-GE"/>
              </w:rPr>
              <w:t>,</w:t>
            </w:r>
            <w:r>
              <w:rPr>
                <w:rFonts w:ascii="Sylfaen" w:hAnsi="Sylfaen"/>
                <w:sz w:val="18"/>
                <w:szCs w:val="18"/>
                <w:lang w:val="ka-GE"/>
              </w:rPr>
              <w:t>6</w:t>
            </w:r>
            <w:r>
              <w:rPr>
                <w:rFonts w:ascii="Sylfaen" w:hAnsi="Sylfaen" w:cs="Arial"/>
                <w:sz w:val="18"/>
                <w:szCs w:val="18"/>
                <w:lang w:val="ka-GE"/>
              </w:rPr>
              <w:t>": ჯამური ზემოქმედების ჯგუფი (</w:t>
            </w:r>
            <w:r>
              <w:rPr>
                <w:rFonts w:ascii="Sylfaen" w:hAnsi="Sylfaen"/>
                <w:sz w:val="18"/>
                <w:szCs w:val="18"/>
                <w:lang w:val="ka-GE"/>
              </w:rPr>
              <w:t>2</w:t>
            </w:r>
            <w:r>
              <w:rPr>
                <w:rFonts w:ascii="Sylfaen" w:hAnsi="Sylfaen" w:cs="Arial"/>
                <w:sz w:val="18"/>
                <w:szCs w:val="18"/>
                <w:lang w:val="ka-GE"/>
              </w:rPr>
              <w:t xml:space="preserve">) </w:t>
            </w:r>
            <w:r>
              <w:rPr>
                <w:rFonts w:ascii="Sylfaen" w:hAnsi="Sylfaen"/>
                <w:sz w:val="18"/>
                <w:szCs w:val="18"/>
                <w:lang w:val="ka-GE"/>
              </w:rPr>
              <w:t>301</w:t>
            </w:r>
            <w:r>
              <w:rPr>
                <w:rFonts w:ascii="Sylfaen" w:hAnsi="Sylfaen" w:cs="Arial"/>
                <w:sz w:val="18"/>
                <w:szCs w:val="18"/>
                <w:lang w:val="ka-GE"/>
              </w:rPr>
              <w:t xml:space="preserve"> </w:t>
            </w:r>
            <w:r>
              <w:rPr>
                <w:rFonts w:ascii="Sylfaen" w:hAnsi="Sylfaen"/>
                <w:sz w:val="18"/>
                <w:szCs w:val="18"/>
                <w:lang w:val="ka-GE"/>
              </w:rPr>
              <w:t>330</w:t>
            </w:r>
          </w:p>
        </w:tc>
        <w:tc>
          <w:tcPr>
            <w:tcW w:w="1109" w:type="dxa"/>
            <w:tcBorders>
              <w:top w:val="single" w:sz="4" w:space="0" w:color="auto"/>
              <w:left w:val="single" w:sz="4" w:space="0" w:color="auto"/>
              <w:bottom w:val="single" w:sz="4" w:space="0" w:color="auto"/>
              <w:right w:val="single" w:sz="4" w:space="0" w:color="auto"/>
            </w:tcBorders>
            <w:hideMark/>
          </w:tcPr>
          <w:p w14:paraId="6906CD42"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ჯგუფი</w:t>
            </w:r>
          </w:p>
        </w:tc>
        <w:tc>
          <w:tcPr>
            <w:tcW w:w="1401" w:type="dxa"/>
            <w:tcBorders>
              <w:top w:val="single" w:sz="4" w:space="0" w:color="auto"/>
              <w:left w:val="single" w:sz="4" w:space="0" w:color="auto"/>
              <w:bottom w:val="single" w:sz="4" w:space="0" w:color="auto"/>
              <w:right w:val="single" w:sz="4" w:space="0" w:color="auto"/>
            </w:tcBorders>
            <w:hideMark/>
          </w:tcPr>
          <w:p w14:paraId="44FD3D7C"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w:t>
            </w:r>
          </w:p>
        </w:tc>
        <w:tc>
          <w:tcPr>
            <w:tcW w:w="1328" w:type="dxa"/>
            <w:tcBorders>
              <w:top w:val="single" w:sz="4" w:space="0" w:color="auto"/>
              <w:left w:val="single" w:sz="4" w:space="0" w:color="auto"/>
              <w:bottom w:val="single" w:sz="4" w:space="0" w:color="auto"/>
              <w:right w:val="single" w:sz="4" w:space="0" w:color="auto"/>
            </w:tcBorders>
            <w:hideMark/>
          </w:tcPr>
          <w:p w14:paraId="422C9616"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w:t>
            </w:r>
          </w:p>
        </w:tc>
        <w:tc>
          <w:tcPr>
            <w:tcW w:w="1036" w:type="dxa"/>
            <w:tcBorders>
              <w:top w:val="single" w:sz="4" w:space="0" w:color="auto"/>
              <w:left w:val="single" w:sz="4" w:space="0" w:color="auto"/>
              <w:bottom w:val="single" w:sz="4" w:space="0" w:color="auto"/>
              <w:right w:val="single" w:sz="4" w:space="0" w:color="auto"/>
            </w:tcBorders>
            <w:hideMark/>
          </w:tcPr>
          <w:p w14:paraId="4386B43E"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p>
        </w:tc>
        <w:tc>
          <w:tcPr>
            <w:tcW w:w="773" w:type="dxa"/>
            <w:tcBorders>
              <w:top w:val="single" w:sz="4" w:space="0" w:color="auto"/>
              <w:left w:val="single" w:sz="4" w:space="0" w:color="auto"/>
              <w:bottom w:val="single" w:sz="4" w:space="0" w:color="auto"/>
              <w:right w:val="single" w:sz="4" w:space="0" w:color="auto"/>
            </w:tcBorders>
            <w:hideMark/>
          </w:tcPr>
          <w:p w14:paraId="21BD77BB"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c>
          <w:tcPr>
            <w:tcW w:w="832" w:type="dxa"/>
            <w:tcBorders>
              <w:top w:val="single" w:sz="4" w:space="0" w:color="auto"/>
              <w:left w:val="single" w:sz="4" w:space="0" w:color="auto"/>
              <w:bottom w:val="single" w:sz="4" w:space="0" w:color="auto"/>
              <w:right w:val="single" w:sz="4" w:space="0" w:color="auto"/>
            </w:tcBorders>
            <w:hideMark/>
          </w:tcPr>
          <w:p w14:paraId="7CA7062A"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r>
      <w:tr w:rsidR="00A2588D" w14:paraId="7D87E168" w14:textId="77777777" w:rsidTr="00A2588D">
        <w:trPr>
          <w:jc w:val="center"/>
        </w:trPr>
        <w:tc>
          <w:tcPr>
            <w:tcW w:w="671" w:type="dxa"/>
            <w:tcBorders>
              <w:top w:val="single" w:sz="4" w:space="0" w:color="auto"/>
              <w:left w:val="single" w:sz="4" w:space="0" w:color="auto"/>
              <w:bottom w:val="single" w:sz="4" w:space="0" w:color="auto"/>
              <w:right w:val="single" w:sz="4" w:space="0" w:color="auto"/>
            </w:tcBorders>
            <w:hideMark/>
          </w:tcPr>
          <w:p w14:paraId="75E30079"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6035</w:t>
            </w:r>
          </w:p>
        </w:tc>
        <w:tc>
          <w:tcPr>
            <w:tcW w:w="2613" w:type="dxa"/>
            <w:tcBorders>
              <w:top w:val="single" w:sz="4" w:space="0" w:color="auto"/>
              <w:left w:val="single" w:sz="4" w:space="0" w:color="auto"/>
              <w:bottom w:val="single" w:sz="4" w:space="0" w:color="auto"/>
              <w:right w:val="single" w:sz="4" w:space="0" w:color="auto"/>
            </w:tcBorders>
            <w:hideMark/>
          </w:tcPr>
          <w:p w14:paraId="20962994"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cs="Arial"/>
                <w:sz w:val="18"/>
                <w:szCs w:val="18"/>
                <w:lang w:val="ka-GE"/>
              </w:rPr>
              <w:t>ჯამური ზემოქმედების ჯგუფი: ჯამური ზემოქმედების ჯგუფი (</w:t>
            </w:r>
            <w:r>
              <w:rPr>
                <w:rFonts w:ascii="Sylfaen" w:hAnsi="Sylfaen"/>
                <w:sz w:val="18"/>
                <w:szCs w:val="18"/>
                <w:lang w:val="ka-GE"/>
              </w:rPr>
              <w:t>2</w:t>
            </w:r>
            <w:r>
              <w:rPr>
                <w:rFonts w:ascii="Sylfaen" w:hAnsi="Sylfaen" w:cs="Arial"/>
                <w:sz w:val="18"/>
                <w:szCs w:val="18"/>
                <w:lang w:val="ka-GE"/>
              </w:rPr>
              <w:t xml:space="preserve">) </w:t>
            </w:r>
            <w:r>
              <w:rPr>
                <w:rFonts w:ascii="Sylfaen" w:hAnsi="Sylfaen"/>
                <w:sz w:val="18"/>
                <w:szCs w:val="18"/>
                <w:lang w:val="ka-GE"/>
              </w:rPr>
              <w:t>333</w:t>
            </w:r>
            <w:r>
              <w:rPr>
                <w:rFonts w:ascii="Sylfaen" w:hAnsi="Sylfaen" w:cs="Arial"/>
                <w:sz w:val="18"/>
                <w:szCs w:val="18"/>
                <w:lang w:val="ka-GE"/>
              </w:rPr>
              <w:t xml:space="preserve"> </w:t>
            </w:r>
            <w:r>
              <w:rPr>
                <w:rFonts w:ascii="Sylfaen" w:hAnsi="Sylfaen"/>
                <w:sz w:val="18"/>
                <w:szCs w:val="18"/>
                <w:lang w:val="ka-GE"/>
              </w:rPr>
              <w:t>1325</w:t>
            </w:r>
          </w:p>
        </w:tc>
        <w:tc>
          <w:tcPr>
            <w:tcW w:w="1109" w:type="dxa"/>
            <w:tcBorders>
              <w:top w:val="single" w:sz="4" w:space="0" w:color="auto"/>
              <w:left w:val="single" w:sz="4" w:space="0" w:color="auto"/>
              <w:bottom w:val="single" w:sz="4" w:space="0" w:color="auto"/>
              <w:right w:val="single" w:sz="4" w:space="0" w:color="auto"/>
            </w:tcBorders>
            <w:hideMark/>
          </w:tcPr>
          <w:p w14:paraId="3BC5E3EA"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ჯგუფი</w:t>
            </w:r>
          </w:p>
        </w:tc>
        <w:tc>
          <w:tcPr>
            <w:tcW w:w="1401" w:type="dxa"/>
            <w:tcBorders>
              <w:top w:val="single" w:sz="4" w:space="0" w:color="auto"/>
              <w:left w:val="single" w:sz="4" w:space="0" w:color="auto"/>
              <w:bottom w:val="single" w:sz="4" w:space="0" w:color="auto"/>
              <w:right w:val="single" w:sz="4" w:space="0" w:color="auto"/>
            </w:tcBorders>
            <w:hideMark/>
          </w:tcPr>
          <w:p w14:paraId="31C556FC"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w:t>
            </w:r>
          </w:p>
        </w:tc>
        <w:tc>
          <w:tcPr>
            <w:tcW w:w="1328" w:type="dxa"/>
            <w:tcBorders>
              <w:top w:val="single" w:sz="4" w:space="0" w:color="auto"/>
              <w:left w:val="single" w:sz="4" w:space="0" w:color="auto"/>
              <w:bottom w:val="single" w:sz="4" w:space="0" w:color="auto"/>
              <w:right w:val="single" w:sz="4" w:space="0" w:color="auto"/>
            </w:tcBorders>
            <w:hideMark/>
          </w:tcPr>
          <w:p w14:paraId="7AA6C641"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w:t>
            </w:r>
          </w:p>
        </w:tc>
        <w:tc>
          <w:tcPr>
            <w:tcW w:w="1036" w:type="dxa"/>
            <w:tcBorders>
              <w:top w:val="single" w:sz="4" w:space="0" w:color="auto"/>
              <w:left w:val="single" w:sz="4" w:space="0" w:color="auto"/>
              <w:bottom w:val="single" w:sz="4" w:space="0" w:color="auto"/>
              <w:right w:val="single" w:sz="4" w:space="0" w:color="auto"/>
            </w:tcBorders>
            <w:hideMark/>
          </w:tcPr>
          <w:p w14:paraId="6B109B1B"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p>
        </w:tc>
        <w:tc>
          <w:tcPr>
            <w:tcW w:w="773" w:type="dxa"/>
            <w:tcBorders>
              <w:top w:val="single" w:sz="4" w:space="0" w:color="auto"/>
              <w:left w:val="single" w:sz="4" w:space="0" w:color="auto"/>
              <w:bottom w:val="single" w:sz="4" w:space="0" w:color="auto"/>
              <w:right w:val="single" w:sz="4" w:space="0" w:color="auto"/>
            </w:tcBorders>
            <w:hideMark/>
          </w:tcPr>
          <w:p w14:paraId="771B3F6F"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c>
          <w:tcPr>
            <w:tcW w:w="832" w:type="dxa"/>
            <w:tcBorders>
              <w:top w:val="single" w:sz="4" w:space="0" w:color="auto"/>
              <w:left w:val="single" w:sz="4" w:space="0" w:color="auto"/>
              <w:bottom w:val="single" w:sz="4" w:space="0" w:color="auto"/>
              <w:right w:val="single" w:sz="4" w:space="0" w:color="auto"/>
            </w:tcBorders>
            <w:hideMark/>
          </w:tcPr>
          <w:p w14:paraId="6B5D836D"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r>
      <w:tr w:rsidR="00A2588D" w14:paraId="31A3C6F0" w14:textId="77777777" w:rsidTr="00A2588D">
        <w:trPr>
          <w:jc w:val="center"/>
        </w:trPr>
        <w:tc>
          <w:tcPr>
            <w:tcW w:w="671" w:type="dxa"/>
            <w:tcBorders>
              <w:top w:val="single" w:sz="4" w:space="0" w:color="auto"/>
              <w:left w:val="single" w:sz="4" w:space="0" w:color="auto"/>
              <w:bottom w:val="single" w:sz="4" w:space="0" w:color="auto"/>
              <w:right w:val="single" w:sz="4" w:space="0" w:color="auto"/>
            </w:tcBorders>
            <w:hideMark/>
          </w:tcPr>
          <w:p w14:paraId="60DF59E0"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6043</w:t>
            </w:r>
          </w:p>
        </w:tc>
        <w:tc>
          <w:tcPr>
            <w:tcW w:w="2613" w:type="dxa"/>
            <w:tcBorders>
              <w:top w:val="single" w:sz="4" w:space="0" w:color="auto"/>
              <w:left w:val="single" w:sz="4" w:space="0" w:color="auto"/>
              <w:bottom w:val="single" w:sz="4" w:space="0" w:color="auto"/>
              <w:right w:val="single" w:sz="4" w:space="0" w:color="auto"/>
            </w:tcBorders>
            <w:hideMark/>
          </w:tcPr>
          <w:p w14:paraId="7387D365"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cs="Arial"/>
                <w:sz w:val="18"/>
                <w:szCs w:val="18"/>
                <w:lang w:val="ka-GE"/>
              </w:rPr>
              <w:t>ჯამური ზემოქმედების ჯგუფი: ჯამური ზემოქმედების ჯგუფი (</w:t>
            </w:r>
            <w:r>
              <w:rPr>
                <w:rFonts w:ascii="Sylfaen" w:hAnsi="Sylfaen"/>
                <w:sz w:val="18"/>
                <w:szCs w:val="18"/>
                <w:lang w:val="ka-GE"/>
              </w:rPr>
              <w:t>2</w:t>
            </w:r>
            <w:r>
              <w:rPr>
                <w:rFonts w:ascii="Sylfaen" w:hAnsi="Sylfaen" w:cs="Arial"/>
                <w:sz w:val="18"/>
                <w:szCs w:val="18"/>
                <w:lang w:val="ka-GE"/>
              </w:rPr>
              <w:t xml:space="preserve">) </w:t>
            </w:r>
            <w:r>
              <w:rPr>
                <w:rFonts w:ascii="Sylfaen" w:hAnsi="Sylfaen"/>
                <w:sz w:val="18"/>
                <w:szCs w:val="18"/>
                <w:lang w:val="ka-GE"/>
              </w:rPr>
              <w:t>330</w:t>
            </w:r>
            <w:r>
              <w:rPr>
                <w:rFonts w:ascii="Sylfaen" w:hAnsi="Sylfaen" w:cs="Arial"/>
                <w:sz w:val="18"/>
                <w:szCs w:val="18"/>
                <w:lang w:val="ka-GE"/>
              </w:rPr>
              <w:t xml:space="preserve"> </w:t>
            </w:r>
            <w:r>
              <w:rPr>
                <w:rFonts w:ascii="Sylfaen" w:hAnsi="Sylfaen"/>
                <w:sz w:val="18"/>
                <w:szCs w:val="18"/>
                <w:lang w:val="ka-GE"/>
              </w:rPr>
              <w:t>333</w:t>
            </w:r>
          </w:p>
        </w:tc>
        <w:tc>
          <w:tcPr>
            <w:tcW w:w="1109" w:type="dxa"/>
            <w:tcBorders>
              <w:top w:val="single" w:sz="4" w:space="0" w:color="auto"/>
              <w:left w:val="single" w:sz="4" w:space="0" w:color="auto"/>
              <w:bottom w:val="single" w:sz="4" w:space="0" w:color="auto"/>
              <w:right w:val="single" w:sz="4" w:space="0" w:color="auto"/>
            </w:tcBorders>
            <w:hideMark/>
          </w:tcPr>
          <w:p w14:paraId="3CC5AE8C"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ჯგუფი</w:t>
            </w:r>
          </w:p>
        </w:tc>
        <w:tc>
          <w:tcPr>
            <w:tcW w:w="1401" w:type="dxa"/>
            <w:tcBorders>
              <w:top w:val="single" w:sz="4" w:space="0" w:color="auto"/>
              <w:left w:val="single" w:sz="4" w:space="0" w:color="auto"/>
              <w:bottom w:val="single" w:sz="4" w:space="0" w:color="auto"/>
              <w:right w:val="single" w:sz="4" w:space="0" w:color="auto"/>
            </w:tcBorders>
            <w:hideMark/>
          </w:tcPr>
          <w:p w14:paraId="06C5F739"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w:t>
            </w:r>
          </w:p>
        </w:tc>
        <w:tc>
          <w:tcPr>
            <w:tcW w:w="1328" w:type="dxa"/>
            <w:tcBorders>
              <w:top w:val="single" w:sz="4" w:space="0" w:color="auto"/>
              <w:left w:val="single" w:sz="4" w:space="0" w:color="auto"/>
              <w:bottom w:val="single" w:sz="4" w:space="0" w:color="auto"/>
              <w:right w:val="single" w:sz="4" w:space="0" w:color="auto"/>
            </w:tcBorders>
            <w:hideMark/>
          </w:tcPr>
          <w:p w14:paraId="73A9E852"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w:t>
            </w:r>
          </w:p>
        </w:tc>
        <w:tc>
          <w:tcPr>
            <w:tcW w:w="1036" w:type="dxa"/>
            <w:tcBorders>
              <w:top w:val="single" w:sz="4" w:space="0" w:color="auto"/>
              <w:left w:val="single" w:sz="4" w:space="0" w:color="auto"/>
              <w:bottom w:val="single" w:sz="4" w:space="0" w:color="auto"/>
              <w:right w:val="single" w:sz="4" w:space="0" w:color="auto"/>
            </w:tcBorders>
            <w:hideMark/>
          </w:tcPr>
          <w:p w14:paraId="58428ED8"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p>
        </w:tc>
        <w:tc>
          <w:tcPr>
            <w:tcW w:w="773" w:type="dxa"/>
            <w:tcBorders>
              <w:top w:val="single" w:sz="4" w:space="0" w:color="auto"/>
              <w:left w:val="single" w:sz="4" w:space="0" w:color="auto"/>
              <w:bottom w:val="single" w:sz="4" w:space="0" w:color="auto"/>
              <w:right w:val="single" w:sz="4" w:space="0" w:color="auto"/>
            </w:tcBorders>
            <w:hideMark/>
          </w:tcPr>
          <w:p w14:paraId="0C6ED475"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c>
          <w:tcPr>
            <w:tcW w:w="832" w:type="dxa"/>
            <w:tcBorders>
              <w:top w:val="single" w:sz="4" w:space="0" w:color="auto"/>
              <w:left w:val="single" w:sz="4" w:space="0" w:color="auto"/>
              <w:bottom w:val="single" w:sz="4" w:space="0" w:color="auto"/>
              <w:right w:val="single" w:sz="4" w:space="0" w:color="auto"/>
            </w:tcBorders>
            <w:hideMark/>
          </w:tcPr>
          <w:p w14:paraId="12D933C5"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r>
      <w:tr w:rsidR="00A2588D" w14:paraId="42312E24" w14:textId="77777777" w:rsidTr="00A2588D">
        <w:trPr>
          <w:jc w:val="center"/>
        </w:trPr>
        <w:tc>
          <w:tcPr>
            <w:tcW w:w="671" w:type="dxa"/>
            <w:tcBorders>
              <w:top w:val="single" w:sz="4" w:space="0" w:color="auto"/>
              <w:left w:val="single" w:sz="4" w:space="0" w:color="auto"/>
              <w:bottom w:val="single" w:sz="4" w:space="0" w:color="auto"/>
              <w:right w:val="single" w:sz="4" w:space="0" w:color="auto"/>
            </w:tcBorders>
            <w:hideMark/>
          </w:tcPr>
          <w:p w14:paraId="7313ABC4" w14:textId="77777777" w:rsidR="00A2588D" w:rsidRDefault="00A2588D" w:rsidP="00A2588D">
            <w:pPr>
              <w:widowControl w:val="0"/>
              <w:autoSpaceDE w:val="0"/>
              <w:autoSpaceDN w:val="0"/>
              <w:adjustRightInd w:val="0"/>
              <w:ind w:right="11"/>
              <w:jc w:val="right"/>
              <w:rPr>
                <w:rFonts w:ascii="Sylfaen" w:hAnsi="Sylfaen" w:cs="Arial"/>
                <w:sz w:val="18"/>
                <w:szCs w:val="18"/>
                <w:lang w:val="ka-GE"/>
              </w:rPr>
            </w:pPr>
            <w:r>
              <w:rPr>
                <w:rFonts w:ascii="Sylfaen" w:hAnsi="Sylfaen"/>
                <w:sz w:val="18"/>
                <w:szCs w:val="18"/>
                <w:lang w:val="ka-GE"/>
              </w:rPr>
              <w:t>6046</w:t>
            </w:r>
          </w:p>
        </w:tc>
        <w:tc>
          <w:tcPr>
            <w:tcW w:w="2613" w:type="dxa"/>
            <w:tcBorders>
              <w:top w:val="single" w:sz="4" w:space="0" w:color="auto"/>
              <w:left w:val="single" w:sz="4" w:space="0" w:color="auto"/>
              <w:bottom w:val="single" w:sz="4" w:space="0" w:color="auto"/>
              <w:right w:val="single" w:sz="4" w:space="0" w:color="auto"/>
            </w:tcBorders>
            <w:hideMark/>
          </w:tcPr>
          <w:p w14:paraId="54B18273" w14:textId="77777777" w:rsidR="00A2588D" w:rsidRDefault="00A2588D" w:rsidP="00A2588D">
            <w:pPr>
              <w:widowControl w:val="0"/>
              <w:autoSpaceDE w:val="0"/>
              <w:autoSpaceDN w:val="0"/>
              <w:adjustRightInd w:val="0"/>
              <w:ind w:left="11"/>
              <w:rPr>
                <w:rFonts w:ascii="Sylfaen" w:hAnsi="Sylfaen" w:cs="Arial"/>
                <w:sz w:val="18"/>
                <w:szCs w:val="18"/>
                <w:lang w:val="ka-GE"/>
              </w:rPr>
            </w:pPr>
            <w:r>
              <w:rPr>
                <w:rFonts w:ascii="Sylfaen" w:hAnsi="Sylfaen" w:cs="Arial"/>
                <w:sz w:val="18"/>
                <w:szCs w:val="18"/>
                <w:lang w:val="ka-GE"/>
              </w:rPr>
              <w:t>ჯამური ზემოქმედების ჯგუფი: ჯამური ზემოქმედების ჯგუფი (</w:t>
            </w:r>
            <w:r>
              <w:rPr>
                <w:rFonts w:ascii="Sylfaen" w:hAnsi="Sylfaen"/>
                <w:sz w:val="18"/>
                <w:szCs w:val="18"/>
                <w:lang w:val="ka-GE"/>
              </w:rPr>
              <w:t>2</w:t>
            </w:r>
            <w:r>
              <w:rPr>
                <w:rFonts w:ascii="Sylfaen" w:hAnsi="Sylfaen" w:cs="Arial"/>
                <w:sz w:val="18"/>
                <w:szCs w:val="18"/>
                <w:lang w:val="ka-GE"/>
              </w:rPr>
              <w:t xml:space="preserve">) </w:t>
            </w:r>
            <w:r>
              <w:rPr>
                <w:rFonts w:ascii="Sylfaen" w:hAnsi="Sylfaen"/>
                <w:sz w:val="18"/>
                <w:szCs w:val="18"/>
                <w:lang w:val="ka-GE"/>
              </w:rPr>
              <w:t>337</w:t>
            </w:r>
            <w:r>
              <w:rPr>
                <w:rFonts w:ascii="Sylfaen" w:hAnsi="Sylfaen" w:cs="Arial"/>
                <w:sz w:val="18"/>
                <w:szCs w:val="18"/>
                <w:lang w:val="ka-GE"/>
              </w:rPr>
              <w:t xml:space="preserve"> </w:t>
            </w:r>
            <w:r>
              <w:rPr>
                <w:rFonts w:ascii="Sylfaen" w:hAnsi="Sylfaen"/>
                <w:sz w:val="18"/>
                <w:szCs w:val="18"/>
                <w:lang w:val="ka-GE"/>
              </w:rPr>
              <w:t>2908</w:t>
            </w:r>
          </w:p>
        </w:tc>
        <w:tc>
          <w:tcPr>
            <w:tcW w:w="1109" w:type="dxa"/>
            <w:tcBorders>
              <w:top w:val="single" w:sz="4" w:space="0" w:color="auto"/>
              <w:left w:val="single" w:sz="4" w:space="0" w:color="auto"/>
              <w:bottom w:val="single" w:sz="4" w:space="0" w:color="auto"/>
              <w:right w:val="single" w:sz="4" w:space="0" w:color="auto"/>
            </w:tcBorders>
            <w:hideMark/>
          </w:tcPr>
          <w:p w14:paraId="38E6668C"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ჯგუფი</w:t>
            </w:r>
          </w:p>
        </w:tc>
        <w:tc>
          <w:tcPr>
            <w:tcW w:w="1401" w:type="dxa"/>
            <w:tcBorders>
              <w:top w:val="single" w:sz="4" w:space="0" w:color="auto"/>
              <w:left w:val="single" w:sz="4" w:space="0" w:color="auto"/>
              <w:bottom w:val="single" w:sz="4" w:space="0" w:color="auto"/>
              <w:right w:val="single" w:sz="4" w:space="0" w:color="auto"/>
            </w:tcBorders>
            <w:hideMark/>
          </w:tcPr>
          <w:p w14:paraId="79F8CA7E"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w:t>
            </w:r>
          </w:p>
        </w:tc>
        <w:tc>
          <w:tcPr>
            <w:tcW w:w="1328" w:type="dxa"/>
            <w:tcBorders>
              <w:top w:val="single" w:sz="4" w:space="0" w:color="auto"/>
              <w:left w:val="single" w:sz="4" w:space="0" w:color="auto"/>
              <w:bottom w:val="single" w:sz="4" w:space="0" w:color="auto"/>
              <w:right w:val="single" w:sz="4" w:space="0" w:color="auto"/>
            </w:tcBorders>
            <w:hideMark/>
          </w:tcPr>
          <w:p w14:paraId="587D4878"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w:t>
            </w:r>
          </w:p>
        </w:tc>
        <w:tc>
          <w:tcPr>
            <w:tcW w:w="1036" w:type="dxa"/>
            <w:tcBorders>
              <w:top w:val="single" w:sz="4" w:space="0" w:color="auto"/>
              <w:left w:val="single" w:sz="4" w:space="0" w:color="auto"/>
              <w:bottom w:val="single" w:sz="4" w:space="0" w:color="auto"/>
              <w:right w:val="single" w:sz="4" w:space="0" w:color="auto"/>
            </w:tcBorders>
            <w:hideMark/>
          </w:tcPr>
          <w:p w14:paraId="595217CE"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sz w:val="18"/>
                <w:szCs w:val="18"/>
                <w:lang w:val="ka-GE"/>
              </w:rPr>
              <w:t>1</w:t>
            </w:r>
          </w:p>
        </w:tc>
        <w:tc>
          <w:tcPr>
            <w:tcW w:w="773" w:type="dxa"/>
            <w:tcBorders>
              <w:top w:val="single" w:sz="4" w:space="0" w:color="auto"/>
              <w:left w:val="single" w:sz="4" w:space="0" w:color="auto"/>
              <w:bottom w:val="single" w:sz="4" w:space="0" w:color="auto"/>
              <w:right w:val="single" w:sz="4" w:space="0" w:color="auto"/>
            </w:tcBorders>
            <w:hideMark/>
          </w:tcPr>
          <w:p w14:paraId="3D682F79"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c>
          <w:tcPr>
            <w:tcW w:w="832" w:type="dxa"/>
            <w:tcBorders>
              <w:top w:val="single" w:sz="4" w:space="0" w:color="auto"/>
              <w:left w:val="single" w:sz="4" w:space="0" w:color="auto"/>
              <w:bottom w:val="single" w:sz="4" w:space="0" w:color="auto"/>
              <w:right w:val="single" w:sz="4" w:space="0" w:color="auto"/>
            </w:tcBorders>
            <w:hideMark/>
          </w:tcPr>
          <w:p w14:paraId="60F2158A" w14:textId="77777777" w:rsidR="00A2588D" w:rsidRDefault="00A2588D" w:rsidP="00A2588D">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არა</w:t>
            </w:r>
          </w:p>
        </w:tc>
      </w:tr>
    </w:tbl>
    <w:p w14:paraId="73C40134" w14:textId="77777777" w:rsidR="00A2588D" w:rsidRDefault="00A2588D" w:rsidP="00A2588D">
      <w:pPr>
        <w:widowControl w:val="0"/>
        <w:autoSpaceDE w:val="0"/>
        <w:autoSpaceDN w:val="0"/>
        <w:adjustRightInd w:val="0"/>
        <w:jc w:val="center"/>
        <w:rPr>
          <w:rFonts w:ascii="Sylfaen" w:hAnsi="Sylfaen" w:cs="Arial"/>
          <w:sz w:val="20"/>
          <w:szCs w:val="20"/>
          <w:lang w:val="ka-GE"/>
        </w:rPr>
      </w:pPr>
    </w:p>
    <w:p w14:paraId="416F17D5" w14:textId="77777777" w:rsidR="00A2588D" w:rsidRDefault="00A2588D" w:rsidP="00A2588D">
      <w:pPr>
        <w:widowControl w:val="0"/>
        <w:autoSpaceDE w:val="0"/>
        <w:autoSpaceDN w:val="0"/>
        <w:adjustRightInd w:val="0"/>
        <w:jc w:val="center"/>
        <w:rPr>
          <w:rFonts w:ascii="Sylfaen" w:hAnsi="Sylfaen" w:cs="Arial"/>
          <w:sz w:val="16"/>
          <w:szCs w:val="16"/>
          <w:lang w:val="ka-GE"/>
        </w:rPr>
      </w:pPr>
    </w:p>
    <w:p w14:paraId="5DF22E9A" w14:textId="77777777" w:rsidR="00A2588D" w:rsidRDefault="00A2588D" w:rsidP="00A2588D">
      <w:pPr>
        <w:widowControl w:val="0"/>
        <w:autoSpaceDE w:val="0"/>
        <w:autoSpaceDN w:val="0"/>
        <w:adjustRightInd w:val="0"/>
        <w:rPr>
          <w:rFonts w:ascii="Sylfaen" w:hAnsi="Sylfaen" w:cs="Arial"/>
          <w:sz w:val="20"/>
          <w:szCs w:val="20"/>
          <w:lang w:val="ka-GE"/>
        </w:rPr>
      </w:pPr>
      <w:r>
        <w:rPr>
          <w:rFonts w:ascii="Sylfaen" w:hAnsi="Sylfaen" w:cs="Arial"/>
          <w:sz w:val="16"/>
          <w:szCs w:val="16"/>
          <w:lang w:val="ka-GE"/>
        </w:rPr>
        <w:t>*გამოიყენება განსაკუტრებული ნორმატიული მოთხოვნების გამოყენების საჭიროების შემთხვევაში. პარამეტრის "შესწორების კოეფიციენტი/საორ. უსაფრ. ზემოქ. დონე", მნიშვნელობის ცვლილების შემტხვევაში, რომელის სტანდარტული მნიშვნელობა 1-ია, მაქსიმალური კონცენტრაციის გაანგარიშებული სიდიდეები შედარებული უნდა იქნას არა კოეფიციენტის მნიშვენლობას, არამედ 1-ს.</w:t>
      </w:r>
    </w:p>
    <w:p w14:paraId="2EF2BD3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4"/>
          <w:lang w:val="ka-GE"/>
        </w:rPr>
        <w:t>საანგარიშო მეტეოპარამეტრების გადარჩევა</w:t>
      </w:r>
    </w:p>
    <w:p w14:paraId="31509BD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ავტომატური გადარჩევა</w:t>
      </w:r>
    </w:p>
    <w:p w14:paraId="7C77C39F" w14:textId="77777777" w:rsidR="00A2588D" w:rsidRDefault="00A2588D" w:rsidP="00A2588D">
      <w:pPr>
        <w:widowControl w:val="0"/>
        <w:autoSpaceDE w:val="0"/>
        <w:autoSpaceDN w:val="0"/>
        <w:adjustRightInd w:val="0"/>
        <w:jc w:val="center"/>
        <w:rPr>
          <w:rFonts w:ascii="Sylfaen" w:hAnsi="Sylfaen" w:cs="Arial"/>
          <w:sz w:val="16"/>
          <w:szCs w:val="16"/>
          <w:lang w:val="ka-GE"/>
        </w:rPr>
      </w:pPr>
    </w:p>
    <w:p w14:paraId="1998AB44" w14:textId="77777777" w:rsidR="00A2588D" w:rsidRDefault="00A2588D" w:rsidP="00A2588D">
      <w:pPr>
        <w:widowControl w:val="0"/>
        <w:autoSpaceDE w:val="0"/>
        <w:autoSpaceDN w:val="0"/>
        <w:adjustRightInd w:val="0"/>
        <w:rPr>
          <w:rFonts w:ascii="Sylfaen" w:hAnsi="Sylfaen" w:cs="Arial"/>
          <w:b/>
          <w:bCs/>
          <w:sz w:val="20"/>
          <w:szCs w:val="20"/>
          <w:lang w:val="ka-GE"/>
        </w:rPr>
      </w:pPr>
    </w:p>
    <w:p w14:paraId="10EF16F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ქარის სიჩქარეთა გადარჩევა სრულდება ავტომატურად</w:t>
      </w:r>
    </w:p>
    <w:p w14:paraId="3F50AB3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14C6352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ქარის მიმართულება</w:t>
      </w:r>
    </w:p>
    <w:p w14:paraId="12F0F108"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2453"/>
        <w:gridCol w:w="2803"/>
        <w:gridCol w:w="2570"/>
      </w:tblGrid>
      <w:tr w:rsidR="00A2588D" w14:paraId="5CB0F5E1" w14:textId="77777777" w:rsidTr="00A2588D">
        <w:trPr>
          <w:jc w:val="center"/>
        </w:trPr>
        <w:tc>
          <w:tcPr>
            <w:tcW w:w="2453" w:type="dxa"/>
            <w:tcBorders>
              <w:top w:val="single" w:sz="4" w:space="0" w:color="auto"/>
              <w:left w:val="single" w:sz="4" w:space="0" w:color="auto"/>
              <w:bottom w:val="single" w:sz="4" w:space="0" w:color="auto"/>
              <w:right w:val="single" w:sz="4" w:space="0" w:color="auto"/>
            </w:tcBorders>
            <w:hideMark/>
          </w:tcPr>
          <w:p w14:paraId="405B82A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სექტორის დასაწისი</w:t>
            </w:r>
          </w:p>
        </w:tc>
        <w:tc>
          <w:tcPr>
            <w:tcW w:w="2803" w:type="dxa"/>
            <w:tcBorders>
              <w:top w:val="single" w:sz="4" w:space="0" w:color="auto"/>
              <w:left w:val="single" w:sz="4" w:space="0" w:color="auto"/>
              <w:bottom w:val="single" w:sz="4" w:space="0" w:color="auto"/>
              <w:right w:val="single" w:sz="4" w:space="0" w:color="auto"/>
            </w:tcBorders>
            <w:hideMark/>
          </w:tcPr>
          <w:p w14:paraId="11B0ADE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hideMark/>
          </w:tcPr>
          <w:p w14:paraId="420BE08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ქარის გადარჩევის ბიჯი</w:t>
            </w:r>
          </w:p>
        </w:tc>
      </w:tr>
      <w:tr w:rsidR="00A2588D" w14:paraId="0D89AEC3" w14:textId="77777777" w:rsidTr="00A2588D">
        <w:trPr>
          <w:jc w:val="center"/>
        </w:trPr>
        <w:tc>
          <w:tcPr>
            <w:tcW w:w="2453" w:type="dxa"/>
            <w:tcBorders>
              <w:top w:val="single" w:sz="4" w:space="0" w:color="auto"/>
              <w:left w:val="single" w:sz="4" w:space="0" w:color="auto"/>
              <w:bottom w:val="single" w:sz="4" w:space="0" w:color="auto"/>
              <w:right w:val="single" w:sz="4" w:space="0" w:color="auto"/>
            </w:tcBorders>
            <w:hideMark/>
          </w:tcPr>
          <w:p w14:paraId="0BD58EF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0</w:t>
            </w:r>
          </w:p>
        </w:tc>
        <w:tc>
          <w:tcPr>
            <w:tcW w:w="2803" w:type="dxa"/>
            <w:tcBorders>
              <w:top w:val="single" w:sz="4" w:space="0" w:color="auto"/>
              <w:left w:val="single" w:sz="4" w:space="0" w:color="auto"/>
              <w:bottom w:val="single" w:sz="4" w:space="0" w:color="auto"/>
              <w:right w:val="single" w:sz="4" w:space="0" w:color="auto"/>
            </w:tcBorders>
            <w:hideMark/>
          </w:tcPr>
          <w:p w14:paraId="1ADB0FA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360</w:t>
            </w:r>
          </w:p>
        </w:tc>
        <w:tc>
          <w:tcPr>
            <w:tcW w:w="2570" w:type="dxa"/>
            <w:tcBorders>
              <w:top w:val="single" w:sz="4" w:space="0" w:color="auto"/>
              <w:left w:val="single" w:sz="4" w:space="0" w:color="auto"/>
              <w:bottom w:val="single" w:sz="4" w:space="0" w:color="auto"/>
              <w:right w:val="single" w:sz="4" w:space="0" w:color="auto"/>
            </w:tcBorders>
            <w:hideMark/>
          </w:tcPr>
          <w:p w14:paraId="60F40C53"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r>
    </w:tbl>
    <w:p w14:paraId="760223D0" w14:textId="77777777" w:rsidR="00A2588D" w:rsidRDefault="00A2588D" w:rsidP="00A2588D">
      <w:pPr>
        <w:widowControl w:val="0"/>
        <w:autoSpaceDE w:val="0"/>
        <w:autoSpaceDN w:val="0"/>
        <w:adjustRightInd w:val="0"/>
        <w:rPr>
          <w:rFonts w:ascii="Sylfaen" w:hAnsi="Sylfaen" w:cs="Arial"/>
          <w:b/>
          <w:bCs/>
          <w:sz w:val="24"/>
          <w:lang w:val="ka-GE"/>
        </w:rPr>
      </w:pPr>
    </w:p>
    <w:p w14:paraId="4B24CC83" w14:textId="77777777" w:rsidR="00A2588D" w:rsidRDefault="00A2588D" w:rsidP="00A2588D">
      <w:pPr>
        <w:widowControl w:val="0"/>
        <w:autoSpaceDE w:val="0"/>
        <w:autoSpaceDN w:val="0"/>
        <w:adjustRightInd w:val="0"/>
        <w:jc w:val="center"/>
        <w:rPr>
          <w:rFonts w:ascii="Sylfaen" w:hAnsi="Sylfaen" w:cs="Arial"/>
          <w:b/>
          <w:bCs/>
          <w:sz w:val="24"/>
          <w:lang w:val="ka-GE"/>
        </w:rPr>
      </w:pPr>
      <w:r>
        <w:rPr>
          <w:rFonts w:ascii="Sylfaen" w:hAnsi="Sylfaen" w:cs="Arial"/>
          <w:b/>
          <w:bCs/>
          <w:sz w:val="24"/>
          <w:lang w:val="ka-GE"/>
        </w:rPr>
        <w:t>საანგარიშო არეალი</w:t>
      </w:r>
    </w:p>
    <w:p w14:paraId="5DC6916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25C632F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საანგარიშო მოედნები</w:t>
      </w:r>
    </w:p>
    <w:p w14:paraId="3F9E90FD"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496"/>
        <w:gridCol w:w="992"/>
        <w:gridCol w:w="876"/>
        <w:gridCol w:w="890"/>
        <w:gridCol w:w="992"/>
        <w:gridCol w:w="951"/>
        <w:gridCol w:w="949"/>
        <w:gridCol w:w="584"/>
        <w:gridCol w:w="584"/>
        <w:gridCol w:w="846"/>
        <w:gridCol w:w="1416"/>
      </w:tblGrid>
      <w:tr w:rsidR="00A2588D" w14:paraId="5C5F0B2B" w14:textId="77777777" w:rsidTr="00A2588D">
        <w:trPr>
          <w:jc w:val="center"/>
        </w:trPr>
        <w:tc>
          <w:tcPr>
            <w:tcW w:w="496" w:type="dxa"/>
            <w:tcBorders>
              <w:top w:val="single" w:sz="4" w:space="0" w:color="auto"/>
              <w:left w:val="single" w:sz="4" w:space="0" w:color="auto"/>
              <w:bottom w:val="nil"/>
              <w:right w:val="single" w:sz="4" w:space="0" w:color="auto"/>
            </w:tcBorders>
            <w:hideMark/>
          </w:tcPr>
          <w:p w14:paraId="412D108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tc>
        <w:tc>
          <w:tcPr>
            <w:tcW w:w="992" w:type="dxa"/>
            <w:tcBorders>
              <w:top w:val="single" w:sz="4" w:space="0" w:color="auto"/>
              <w:left w:val="single" w:sz="4" w:space="0" w:color="auto"/>
              <w:bottom w:val="nil"/>
              <w:right w:val="single" w:sz="4" w:space="0" w:color="auto"/>
            </w:tcBorders>
            <w:hideMark/>
          </w:tcPr>
          <w:p w14:paraId="78DFE3F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hideMark/>
          </w:tcPr>
          <w:p w14:paraId="403A055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hideMark/>
          </w:tcPr>
          <w:p w14:paraId="0CEB25C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სიგანე</w:t>
            </w:r>
          </w:p>
          <w:p w14:paraId="3415415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(მ)</w:t>
            </w:r>
          </w:p>
        </w:tc>
        <w:tc>
          <w:tcPr>
            <w:tcW w:w="1168" w:type="dxa"/>
            <w:gridSpan w:val="2"/>
            <w:tcBorders>
              <w:top w:val="single" w:sz="4" w:space="0" w:color="auto"/>
              <w:left w:val="single" w:sz="4" w:space="0" w:color="auto"/>
              <w:bottom w:val="nil"/>
              <w:right w:val="single" w:sz="4" w:space="0" w:color="auto"/>
            </w:tcBorders>
            <w:hideMark/>
          </w:tcPr>
          <w:p w14:paraId="2E77D48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ბიჯი</w:t>
            </w:r>
          </w:p>
          <w:p w14:paraId="46224FC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(მ)</w:t>
            </w:r>
          </w:p>
        </w:tc>
        <w:tc>
          <w:tcPr>
            <w:tcW w:w="846" w:type="dxa"/>
            <w:tcBorders>
              <w:top w:val="single" w:sz="4" w:space="0" w:color="auto"/>
              <w:left w:val="single" w:sz="4" w:space="0" w:color="auto"/>
              <w:bottom w:val="nil"/>
              <w:right w:val="single" w:sz="4" w:space="0" w:color="auto"/>
            </w:tcBorders>
            <w:hideMark/>
          </w:tcPr>
          <w:p w14:paraId="2D5AAF3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სიმაღლ.</w:t>
            </w:r>
          </w:p>
          <w:p w14:paraId="0B001CA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(მ)</w:t>
            </w:r>
          </w:p>
        </w:tc>
        <w:tc>
          <w:tcPr>
            <w:tcW w:w="1416" w:type="dxa"/>
            <w:tcBorders>
              <w:top w:val="single" w:sz="4" w:space="0" w:color="auto"/>
              <w:left w:val="single" w:sz="4" w:space="0" w:color="auto"/>
              <w:bottom w:val="nil"/>
              <w:right w:val="single" w:sz="4" w:space="0" w:color="auto"/>
            </w:tcBorders>
            <w:hideMark/>
          </w:tcPr>
          <w:p w14:paraId="1E59214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კომენტარი</w:t>
            </w:r>
          </w:p>
        </w:tc>
      </w:tr>
      <w:tr w:rsidR="00A2588D" w14:paraId="06C26FC7" w14:textId="77777777" w:rsidTr="00A2588D">
        <w:trPr>
          <w:jc w:val="center"/>
        </w:trPr>
        <w:tc>
          <w:tcPr>
            <w:tcW w:w="496" w:type="dxa"/>
            <w:tcBorders>
              <w:top w:val="nil"/>
              <w:left w:val="single" w:sz="4" w:space="0" w:color="auto"/>
              <w:bottom w:val="single" w:sz="4" w:space="0" w:color="auto"/>
              <w:right w:val="single" w:sz="4" w:space="0" w:color="auto"/>
            </w:tcBorders>
          </w:tcPr>
          <w:p w14:paraId="453C510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992" w:type="dxa"/>
            <w:tcBorders>
              <w:top w:val="nil"/>
              <w:left w:val="single" w:sz="4" w:space="0" w:color="auto"/>
              <w:bottom w:val="single" w:sz="4" w:space="0" w:color="auto"/>
              <w:right w:val="single" w:sz="4" w:space="0" w:color="auto"/>
            </w:tcBorders>
          </w:tcPr>
          <w:p w14:paraId="35FE572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766" w:type="dxa"/>
            <w:gridSpan w:val="2"/>
            <w:tcBorders>
              <w:top w:val="single" w:sz="4" w:space="0" w:color="auto"/>
              <w:left w:val="single" w:sz="4" w:space="0" w:color="auto"/>
              <w:bottom w:val="single" w:sz="4" w:space="0" w:color="auto"/>
              <w:right w:val="single" w:sz="4" w:space="0" w:color="auto"/>
            </w:tcBorders>
            <w:hideMark/>
          </w:tcPr>
          <w:p w14:paraId="796287E6"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შუა წერტილის კოორდინატები,</w:t>
            </w:r>
          </w:p>
          <w:p w14:paraId="540471B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I მხარე (მ)</w:t>
            </w:r>
          </w:p>
        </w:tc>
        <w:tc>
          <w:tcPr>
            <w:tcW w:w="1942" w:type="dxa"/>
            <w:gridSpan w:val="2"/>
            <w:tcBorders>
              <w:top w:val="single" w:sz="4" w:space="0" w:color="auto"/>
              <w:left w:val="single" w:sz="4" w:space="0" w:color="auto"/>
              <w:bottom w:val="single" w:sz="4" w:space="0" w:color="auto"/>
              <w:right w:val="single" w:sz="4" w:space="0" w:color="auto"/>
            </w:tcBorders>
            <w:hideMark/>
          </w:tcPr>
          <w:p w14:paraId="498C9B8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შუა წერტილის კოორდინატები,</w:t>
            </w:r>
          </w:p>
          <w:p w14:paraId="32368C0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II მხარე (მ)</w:t>
            </w:r>
          </w:p>
        </w:tc>
        <w:tc>
          <w:tcPr>
            <w:tcW w:w="949" w:type="dxa"/>
            <w:tcBorders>
              <w:top w:val="nil"/>
              <w:left w:val="single" w:sz="4" w:space="0" w:color="auto"/>
              <w:bottom w:val="single" w:sz="4" w:space="0" w:color="auto"/>
              <w:right w:val="single" w:sz="4" w:space="0" w:color="auto"/>
            </w:tcBorders>
          </w:tcPr>
          <w:p w14:paraId="71A63B5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168" w:type="dxa"/>
            <w:gridSpan w:val="2"/>
            <w:tcBorders>
              <w:top w:val="nil"/>
              <w:left w:val="single" w:sz="4" w:space="0" w:color="auto"/>
              <w:bottom w:val="single" w:sz="4" w:space="0" w:color="auto"/>
              <w:right w:val="single" w:sz="4" w:space="0" w:color="auto"/>
            </w:tcBorders>
          </w:tcPr>
          <w:p w14:paraId="1140245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846" w:type="dxa"/>
            <w:tcBorders>
              <w:top w:val="nil"/>
              <w:left w:val="single" w:sz="4" w:space="0" w:color="auto"/>
              <w:bottom w:val="single" w:sz="4" w:space="0" w:color="auto"/>
              <w:right w:val="single" w:sz="4" w:space="0" w:color="auto"/>
            </w:tcBorders>
          </w:tcPr>
          <w:p w14:paraId="64BE26D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416" w:type="dxa"/>
            <w:tcBorders>
              <w:top w:val="nil"/>
              <w:left w:val="single" w:sz="4" w:space="0" w:color="auto"/>
              <w:bottom w:val="single" w:sz="4" w:space="0" w:color="auto"/>
              <w:right w:val="single" w:sz="4" w:space="0" w:color="auto"/>
            </w:tcBorders>
          </w:tcPr>
          <w:p w14:paraId="6DE50A2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r>
      <w:tr w:rsidR="00A2588D" w14:paraId="545C15BF" w14:textId="77777777" w:rsidTr="00A2588D">
        <w:trPr>
          <w:jc w:val="center"/>
        </w:trPr>
        <w:tc>
          <w:tcPr>
            <w:tcW w:w="496" w:type="dxa"/>
            <w:tcBorders>
              <w:top w:val="single" w:sz="4" w:space="0" w:color="auto"/>
              <w:left w:val="single" w:sz="4" w:space="0" w:color="auto"/>
              <w:bottom w:val="nil"/>
              <w:right w:val="single" w:sz="4" w:space="0" w:color="auto"/>
            </w:tcBorders>
          </w:tcPr>
          <w:p w14:paraId="6C46EC66" w14:textId="77777777" w:rsidR="00A2588D" w:rsidRDefault="00A2588D" w:rsidP="00A2588D">
            <w:pPr>
              <w:widowControl w:val="0"/>
              <w:autoSpaceDE w:val="0"/>
              <w:autoSpaceDN w:val="0"/>
              <w:adjustRightInd w:val="0"/>
              <w:jc w:val="center"/>
              <w:rPr>
                <w:rFonts w:ascii="Sylfaen" w:hAnsi="Sylfaen" w:cs="Arial"/>
                <w:szCs w:val="22"/>
                <w:lang w:val="ka-GE"/>
              </w:rPr>
            </w:pPr>
          </w:p>
        </w:tc>
        <w:tc>
          <w:tcPr>
            <w:tcW w:w="992" w:type="dxa"/>
            <w:tcBorders>
              <w:top w:val="single" w:sz="4" w:space="0" w:color="auto"/>
              <w:left w:val="single" w:sz="4" w:space="0" w:color="auto"/>
              <w:bottom w:val="nil"/>
              <w:right w:val="single" w:sz="4" w:space="0" w:color="auto"/>
            </w:tcBorders>
          </w:tcPr>
          <w:p w14:paraId="77E7ED5A" w14:textId="77777777" w:rsidR="00A2588D" w:rsidRDefault="00A2588D" w:rsidP="00A2588D">
            <w:pPr>
              <w:widowControl w:val="0"/>
              <w:autoSpaceDE w:val="0"/>
              <w:autoSpaceDN w:val="0"/>
              <w:adjustRightInd w:val="0"/>
              <w:jc w:val="center"/>
              <w:rPr>
                <w:rFonts w:ascii="Sylfaen" w:hAnsi="Sylfaen" w:cs="Arial"/>
                <w:lang w:val="ka-GE"/>
              </w:rPr>
            </w:pPr>
          </w:p>
        </w:tc>
        <w:tc>
          <w:tcPr>
            <w:tcW w:w="876" w:type="dxa"/>
            <w:tcBorders>
              <w:top w:val="single" w:sz="4" w:space="0" w:color="auto"/>
              <w:left w:val="single" w:sz="4" w:space="0" w:color="auto"/>
              <w:bottom w:val="nil"/>
              <w:right w:val="single" w:sz="4" w:space="0" w:color="auto"/>
            </w:tcBorders>
            <w:hideMark/>
          </w:tcPr>
          <w:p w14:paraId="17898FE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w:t>
            </w:r>
          </w:p>
        </w:tc>
        <w:tc>
          <w:tcPr>
            <w:tcW w:w="890" w:type="dxa"/>
            <w:tcBorders>
              <w:top w:val="single" w:sz="4" w:space="0" w:color="auto"/>
              <w:left w:val="single" w:sz="4" w:space="0" w:color="auto"/>
              <w:bottom w:val="nil"/>
              <w:right w:val="single" w:sz="4" w:space="0" w:color="auto"/>
            </w:tcBorders>
            <w:hideMark/>
          </w:tcPr>
          <w:p w14:paraId="136274A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Y</w:t>
            </w:r>
          </w:p>
        </w:tc>
        <w:tc>
          <w:tcPr>
            <w:tcW w:w="992" w:type="dxa"/>
            <w:tcBorders>
              <w:top w:val="single" w:sz="4" w:space="0" w:color="auto"/>
              <w:left w:val="single" w:sz="4" w:space="0" w:color="auto"/>
              <w:bottom w:val="nil"/>
              <w:right w:val="single" w:sz="4" w:space="0" w:color="auto"/>
            </w:tcBorders>
            <w:hideMark/>
          </w:tcPr>
          <w:p w14:paraId="4321D51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w:t>
            </w:r>
          </w:p>
        </w:tc>
        <w:tc>
          <w:tcPr>
            <w:tcW w:w="949" w:type="dxa"/>
            <w:tcBorders>
              <w:top w:val="single" w:sz="4" w:space="0" w:color="auto"/>
              <w:left w:val="single" w:sz="4" w:space="0" w:color="auto"/>
              <w:bottom w:val="nil"/>
              <w:right w:val="single" w:sz="4" w:space="0" w:color="auto"/>
            </w:tcBorders>
            <w:hideMark/>
          </w:tcPr>
          <w:p w14:paraId="03F832C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Y</w:t>
            </w:r>
          </w:p>
        </w:tc>
        <w:tc>
          <w:tcPr>
            <w:tcW w:w="949" w:type="dxa"/>
            <w:tcBorders>
              <w:top w:val="single" w:sz="4" w:space="0" w:color="auto"/>
              <w:left w:val="single" w:sz="4" w:space="0" w:color="auto"/>
              <w:bottom w:val="nil"/>
              <w:right w:val="single" w:sz="4" w:space="0" w:color="auto"/>
            </w:tcBorders>
          </w:tcPr>
          <w:p w14:paraId="63C03C27" w14:textId="77777777" w:rsidR="00A2588D" w:rsidRDefault="00A2588D" w:rsidP="00A2588D">
            <w:pPr>
              <w:widowControl w:val="0"/>
              <w:autoSpaceDE w:val="0"/>
              <w:autoSpaceDN w:val="0"/>
              <w:adjustRightInd w:val="0"/>
              <w:jc w:val="center"/>
              <w:rPr>
                <w:rFonts w:ascii="Sylfaen" w:hAnsi="Sylfaen" w:cs="Arial"/>
                <w:szCs w:val="22"/>
                <w:lang w:val="ka-GE"/>
              </w:rPr>
            </w:pPr>
          </w:p>
        </w:tc>
        <w:tc>
          <w:tcPr>
            <w:tcW w:w="584" w:type="dxa"/>
            <w:tcBorders>
              <w:top w:val="single" w:sz="4" w:space="0" w:color="auto"/>
              <w:left w:val="single" w:sz="4" w:space="0" w:color="auto"/>
              <w:bottom w:val="nil"/>
              <w:right w:val="single" w:sz="4" w:space="0" w:color="auto"/>
            </w:tcBorders>
            <w:hideMark/>
          </w:tcPr>
          <w:p w14:paraId="60D091C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w:t>
            </w:r>
          </w:p>
        </w:tc>
        <w:tc>
          <w:tcPr>
            <w:tcW w:w="584" w:type="dxa"/>
            <w:tcBorders>
              <w:top w:val="single" w:sz="4" w:space="0" w:color="auto"/>
              <w:left w:val="single" w:sz="4" w:space="0" w:color="auto"/>
              <w:bottom w:val="nil"/>
              <w:right w:val="single" w:sz="4" w:space="0" w:color="auto"/>
            </w:tcBorders>
            <w:hideMark/>
          </w:tcPr>
          <w:p w14:paraId="3C75C24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Y</w:t>
            </w:r>
          </w:p>
        </w:tc>
        <w:tc>
          <w:tcPr>
            <w:tcW w:w="846" w:type="dxa"/>
            <w:tcBorders>
              <w:top w:val="single" w:sz="4" w:space="0" w:color="auto"/>
              <w:left w:val="single" w:sz="4" w:space="0" w:color="auto"/>
              <w:bottom w:val="nil"/>
              <w:right w:val="single" w:sz="4" w:space="0" w:color="auto"/>
            </w:tcBorders>
          </w:tcPr>
          <w:p w14:paraId="0CAA2995" w14:textId="77777777" w:rsidR="00A2588D" w:rsidRDefault="00A2588D" w:rsidP="00A2588D">
            <w:pPr>
              <w:widowControl w:val="0"/>
              <w:autoSpaceDE w:val="0"/>
              <w:autoSpaceDN w:val="0"/>
              <w:adjustRightInd w:val="0"/>
              <w:jc w:val="center"/>
              <w:rPr>
                <w:rFonts w:ascii="Sylfaen" w:hAnsi="Sylfaen" w:cs="Arial"/>
                <w:szCs w:val="22"/>
                <w:lang w:val="ka-GE"/>
              </w:rPr>
            </w:pPr>
          </w:p>
        </w:tc>
        <w:tc>
          <w:tcPr>
            <w:tcW w:w="1416" w:type="dxa"/>
            <w:tcBorders>
              <w:top w:val="single" w:sz="4" w:space="0" w:color="auto"/>
              <w:left w:val="single" w:sz="4" w:space="0" w:color="auto"/>
              <w:bottom w:val="nil"/>
              <w:right w:val="single" w:sz="4" w:space="0" w:color="auto"/>
            </w:tcBorders>
          </w:tcPr>
          <w:p w14:paraId="7709F72B" w14:textId="77777777" w:rsidR="00A2588D" w:rsidRDefault="00A2588D" w:rsidP="00A2588D">
            <w:pPr>
              <w:widowControl w:val="0"/>
              <w:autoSpaceDE w:val="0"/>
              <w:autoSpaceDN w:val="0"/>
              <w:adjustRightInd w:val="0"/>
              <w:jc w:val="center"/>
              <w:rPr>
                <w:rFonts w:ascii="Sylfaen" w:hAnsi="Sylfaen" w:cs="Arial"/>
                <w:lang w:val="ka-GE"/>
              </w:rPr>
            </w:pPr>
          </w:p>
        </w:tc>
      </w:tr>
      <w:tr w:rsidR="00A2588D" w14:paraId="3078D4D8" w14:textId="77777777" w:rsidTr="00A2588D">
        <w:trPr>
          <w:jc w:val="center"/>
        </w:trPr>
        <w:tc>
          <w:tcPr>
            <w:tcW w:w="496" w:type="dxa"/>
            <w:tcBorders>
              <w:top w:val="single" w:sz="4" w:space="0" w:color="auto"/>
              <w:left w:val="single" w:sz="4" w:space="0" w:color="auto"/>
              <w:bottom w:val="single" w:sz="4" w:space="0" w:color="auto"/>
              <w:right w:val="single" w:sz="4" w:space="0" w:color="auto"/>
            </w:tcBorders>
            <w:hideMark/>
          </w:tcPr>
          <w:p w14:paraId="6BBB143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992" w:type="dxa"/>
            <w:tcBorders>
              <w:top w:val="single" w:sz="4" w:space="0" w:color="auto"/>
              <w:left w:val="single" w:sz="4" w:space="0" w:color="auto"/>
              <w:bottom w:val="single" w:sz="4" w:space="0" w:color="auto"/>
              <w:right w:val="single" w:sz="4" w:space="0" w:color="auto"/>
            </w:tcBorders>
            <w:hideMark/>
          </w:tcPr>
          <w:p w14:paraId="0303FF1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cs="Arial"/>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hideMark/>
          </w:tcPr>
          <w:p w14:paraId="4B5DDF4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800</w:t>
            </w:r>
          </w:p>
        </w:tc>
        <w:tc>
          <w:tcPr>
            <w:tcW w:w="890" w:type="dxa"/>
            <w:tcBorders>
              <w:top w:val="single" w:sz="4" w:space="0" w:color="auto"/>
              <w:left w:val="single" w:sz="4" w:space="0" w:color="auto"/>
              <w:bottom w:val="single" w:sz="4" w:space="0" w:color="auto"/>
              <w:right w:val="single" w:sz="4" w:space="0" w:color="auto"/>
            </w:tcBorders>
            <w:hideMark/>
          </w:tcPr>
          <w:p w14:paraId="6B4CBE4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100</w:t>
            </w:r>
          </w:p>
        </w:tc>
        <w:tc>
          <w:tcPr>
            <w:tcW w:w="992" w:type="dxa"/>
            <w:tcBorders>
              <w:top w:val="single" w:sz="4" w:space="0" w:color="auto"/>
              <w:left w:val="single" w:sz="4" w:space="0" w:color="auto"/>
              <w:bottom w:val="single" w:sz="4" w:space="0" w:color="auto"/>
              <w:right w:val="single" w:sz="4" w:space="0" w:color="auto"/>
            </w:tcBorders>
            <w:hideMark/>
          </w:tcPr>
          <w:p w14:paraId="7A2BAB5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800</w:t>
            </w:r>
          </w:p>
        </w:tc>
        <w:tc>
          <w:tcPr>
            <w:tcW w:w="949" w:type="dxa"/>
            <w:tcBorders>
              <w:top w:val="single" w:sz="4" w:space="0" w:color="auto"/>
              <w:left w:val="single" w:sz="4" w:space="0" w:color="auto"/>
              <w:bottom w:val="single" w:sz="4" w:space="0" w:color="auto"/>
              <w:right w:val="single" w:sz="4" w:space="0" w:color="auto"/>
            </w:tcBorders>
            <w:hideMark/>
          </w:tcPr>
          <w:p w14:paraId="785804E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100</w:t>
            </w:r>
          </w:p>
        </w:tc>
        <w:tc>
          <w:tcPr>
            <w:tcW w:w="949" w:type="dxa"/>
            <w:tcBorders>
              <w:top w:val="single" w:sz="4" w:space="0" w:color="auto"/>
              <w:left w:val="single" w:sz="4" w:space="0" w:color="auto"/>
              <w:bottom w:val="single" w:sz="4" w:space="0" w:color="auto"/>
              <w:right w:val="single" w:sz="4" w:space="0" w:color="auto"/>
            </w:tcBorders>
            <w:hideMark/>
          </w:tcPr>
          <w:p w14:paraId="63C056C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800</w:t>
            </w:r>
          </w:p>
        </w:tc>
        <w:tc>
          <w:tcPr>
            <w:tcW w:w="584" w:type="dxa"/>
            <w:tcBorders>
              <w:top w:val="single" w:sz="4" w:space="0" w:color="auto"/>
              <w:left w:val="single" w:sz="4" w:space="0" w:color="auto"/>
              <w:bottom w:val="single" w:sz="4" w:space="0" w:color="auto"/>
              <w:right w:val="single" w:sz="4" w:space="0" w:color="auto"/>
            </w:tcBorders>
            <w:hideMark/>
          </w:tcPr>
          <w:p w14:paraId="64CEC45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100</w:t>
            </w:r>
          </w:p>
        </w:tc>
        <w:tc>
          <w:tcPr>
            <w:tcW w:w="584" w:type="dxa"/>
            <w:tcBorders>
              <w:top w:val="single" w:sz="4" w:space="0" w:color="auto"/>
              <w:left w:val="single" w:sz="4" w:space="0" w:color="auto"/>
              <w:bottom w:val="single" w:sz="4" w:space="0" w:color="auto"/>
              <w:right w:val="single" w:sz="4" w:space="0" w:color="auto"/>
            </w:tcBorders>
            <w:hideMark/>
          </w:tcPr>
          <w:p w14:paraId="6B4E736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100</w:t>
            </w:r>
          </w:p>
        </w:tc>
        <w:tc>
          <w:tcPr>
            <w:tcW w:w="846" w:type="dxa"/>
            <w:tcBorders>
              <w:top w:val="single" w:sz="4" w:space="0" w:color="auto"/>
              <w:left w:val="single" w:sz="4" w:space="0" w:color="auto"/>
              <w:bottom w:val="single" w:sz="4" w:space="0" w:color="auto"/>
              <w:right w:val="single" w:sz="4" w:space="0" w:color="auto"/>
            </w:tcBorders>
            <w:hideMark/>
          </w:tcPr>
          <w:p w14:paraId="3BAEFD2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416" w:type="dxa"/>
            <w:tcBorders>
              <w:top w:val="single" w:sz="4" w:space="0" w:color="auto"/>
              <w:left w:val="single" w:sz="4" w:space="0" w:color="auto"/>
              <w:bottom w:val="single" w:sz="4" w:space="0" w:color="auto"/>
              <w:right w:val="single" w:sz="4" w:space="0" w:color="auto"/>
            </w:tcBorders>
          </w:tcPr>
          <w:p w14:paraId="4333ACCC" w14:textId="77777777" w:rsidR="00A2588D" w:rsidRDefault="00A2588D" w:rsidP="00A2588D">
            <w:pPr>
              <w:widowControl w:val="0"/>
              <w:autoSpaceDE w:val="0"/>
              <w:autoSpaceDN w:val="0"/>
              <w:adjustRightInd w:val="0"/>
              <w:ind w:left="11"/>
              <w:rPr>
                <w:rFonts w:ascii="Sylfaen" w:hAnsi="Sylfaen" w:cs="Arial"/>
                <w:sz w:val="20"/>
                <w:szCs w:val="20"/>
                <w:lang w:val="ka-GE"/>
              </w:rPr>
            </w:pPr>
          </w:p>
        </w:tc>
      </w:tr>
    </w:tbl>
    <w:p w14:paraId="268A27E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1D2A978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საანგარიშო წერტილები</w:t>
      </w:r>
    </w:p>
    <w:p w14:paraId="0604B7A5"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467"/>
        <w:gridCol w:w="1065"/>
        <w:gridCol w:w="1125"/>
        <w:gridCol w:w="876"/>
        <w:gridCol w:w="3154"/>
        <w:gridCol w:w="2891"/>
      </w:tblGrid>
      <w:tr w:rsidR="00A2588D" w14:paraId="6A29454E" w14:textId="77777777" w:rsidTr="00A2588D">
        <w:trPr>
          <w:jc w:val="center"/>
        </w:trPr>
        <w:tc>
          <w:tcPr>
            <w:tcW w:w="467" w:type="dxa"/>
            <w:tcBorders>
              <w:top w:val="single" w:sz="4" w:space="0" w:color="auto"/>
              <w:left w:val="single" w:sz="4" w:space="0" w:color="auto"/>
              <w:bottom w:val="nil"/>
              <w:right w:val="single" w:sz="4" w:space="0" w:color="auto"/>
            </w:tcBorders>
            <w:hideMark/>
          </w:tcPr>
          <w:p w14:paraId="7E05E9F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tc>
        <w:tc>
          <w:tcPr>
            <w:tcW w:w="2190" w:type="dxa"/>
            <w:gridSpan w:val="2"/>
            <w:tcBorders>
              <w:top w:val="single" w:sz="4" w:space="0" w:color="auto"/>
              <w:left w:val="single" w:sz="4" w:space="0" w:color="auto"/>
              <w:bottom w:val="single" w:sz="4" w:space="0" w:color="auto"/>
              <w:right w:val="single" w:sz="4" w:space="0" w:color="auto"/>
            </w:tcBorders>
            <w:hideMark/>
          </w:tcPr>
          <w:p w14:paraId="43EE7FD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წერტილის კოორდინატები (მ)</w:t>
            </w:r>
          </w:p>
        </w:tc>
        <w:tc>
          <w:tcPr>
            <w:tcW w:w="876" w:type="dxa"/>
            <w:tcBorders>
              <w:top w:val="single" w:sz="4" w:space="0" w:color="auto"/>
              <w:left w:val="single" w:sz="4" w:space="0" w:color="auto"/>
              <w:bottom w:val="nil"/>
              <w:right w:val="single" w:sz="4" w:space="0" w:color="auto"/>
            </w:tcBorders>
            <w:hideMark/>
          </w:tcPr>
          <w:p w14:paraId="2FAAB7A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სიმაღლ.</w:t>
            </w:r>
          </w:p>
          <w:p w14:paraId="4354D1D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(მ)</w:t>
            </w:r>
          </w:p>
        </w:tc>
        <w:tc>
          <w:tcPr>
            <w:tcW w:w="3154" w:type="dxa"/>
            <w:tcBorders>
              <w:top w:val="single" w:sz="4" w:space="0" w:color="auto"/>
              <w:left w:val="single" w:sz="4" w:space="0" w:color="auto"/>
              <w:bottom w:val="nil"/>
              <w:right w:val="single" w:sz="4" w:space="0" w:color="auto"/>
            </w:tcBorders>
            <w:hideMark/>
          </w:tcPr>
          <w:p w14:paraId="28022FB2"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წერტილ. ტიპი</w:t>
            </w:r>
          </w:p>
        </w:tc>
        <w:tc>
          <w:tcPr>
            <w:tcW w:w="2891" w:type="dxa"/>
            <w:tcBorders>
              <w:top w:val="single" w:sz="4" w:space="0" w:color="auto"/>
              <w:left w:val="single" w:sz="4" w:space="0" w:color="auto"/>
              <w:bottom w:val="nil"/>
              <w:right w:val="single" w:sz="4" w:space="0" w:color="auto"/>
            </w:tcBorders>
            <w:hideMark/>
          </w:tcPr>
          <w:p w14:paraId="76EC814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კომენტარი</w:t>
            </w:r>
          </w:p>
        </w:tc>
      </w:tr>
      <w:tr w:rsidR="00A2588D" w14:paraId="18866E4F" w14:textId="77777777" w:rsidTr="00A2588D">
        <w:trPr>
          <w:jc w:val="center"/>
        </w:trPr>
        <w:tc>
          <w:tcPr>
            <w:tcW w:w="467" w:type="dxa"/>
            <w:tcBorders>
              <w:top w:val="nil"/>
              <w:left w:val="single" w:sz="4" w:space="0" w:color="auto"/>
              <w:bottom w:val="single" w:sz="4" w:space="0" w:color="auto"/>
              <w:right w:val="single" w:sz="4" w:space="0" w:color="auto"/>
            </w:tcBorders>
          </w:tcPr>
          <w:p w14:paraId="4C54B58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1065" w:type="dxa"/>
            <w:tcBorders>
              <w:top w:val="single" w:sz="4" w:space="0" w:color="auto"/>
              <w:left w:val="single" w:sz="4" w:space="0" w:color="auto"/>
              <w:bottom w:val="single" w:sz="4" w:space="0" w:color="auto"/>
              <w:right w:val="single" w:sz="4" w:space="0" w:color="auto"/>
            </w:tcBorders>
            <w:hideMark/>
          </w:tcPr>
          <w:p w14:paraId="68C5B17F"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X</w:t>
            </w:r>
          </w:p>
        </w:tc>
        <w:tc>
          <w:tcPr>
            <w:tcW w:w="1124" w:type="dxa"/>
            <w:tcBorders>
              <w:top w:val="single" w:sz="4" w:space="0" w:color="auto"/>
              <w:left w:val="single" w:sz="4" w:space="0" w:color="auto"/>
              <w:bottom w:val="single" w:sz="4" w:space="0" w:color="auto"/>
              <w:right w:val="single" w:sz="4" w:space="0" w:color="auto"/>
            </w:tcBorders>
            <w:hideMark/>
          </w:tcPr>
          <w:p w14:paraId="033735B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b/>
                <w:bCs/>
                <w:sz w:val="20"/>
                <w:szCs w:val="20"/>
                <w:lang w:val="ka-GE"/>
              </w:rPr>
              <w:t>Y</w:t>
            </w:r>
          </w:p>
        </w:tc>
        <w:tc>
          <w:tcPr>
            <w:tcW w:w="876" w:type="dxa"/>
            <w:tcBorders>
              <w:top w:val="nil"/>
              <w:left w:val="single" w:sz="4" w:space="0" w:color="auto"/>
              <w:bottom w:val="single" w:sz="4" w:space="0" w:color="auto"/>
              <w:right w:val="single" w:sz="4" w:space="0" w:color="auto"/>
            </w:tcBorders>
          </w:tcPr>
          <w:p w14:paraId="7814B2DA"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3154" w:type="dxa"/>
            <w:tcBorders>
              <w:top w:val="nil"/>
              <w:left w:val="single" w:sz="4" w:space="0" w:color="auto"/>
              <w:bottom w:val="single" w:sz="4" w:space="0" w:color="auto"/>
              <w:right w:val="single" w:sz="4" w:space="0" w:color="auto"/>
            </w:tcBorders>
          </w:tcPr>
          <w:p w14:paraId="4D1E3B5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c>
          <w:tcPr>
            <w:tcW w:w="2891" w:type="dxa"/>
            <w:tcBorders>
              <w:top w:val="nil"/>
              <w:left w:val="single" w:sz="4" w:space="0" w:color="auto"/>
              <w:bottom w:val="single" w:sz="4" w:space="0" w:color="auto"/>
              <w:right w:val="single" w:sz="4" w:space="0" w:color="auto"/>
            </w:tcBorders>
          </w:tcPr>
          <w:p w14:paraId="1BD6BFB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tc>
      </w:tr>
      <w:tr w:rsidR="00A2588D" w14:paraId="4FD62389"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78428C7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65" w:type="dxa"/>
            <w:tcBorders>
              <w:top w:val="single" w:sz="4" w:space="0" w:color="auto"/>
              <w:left w:val="single" w:sz="4" w:space="0" w:color="auto"/>
              <w:bottom w:val="single" w:sz="4" w:space="0" w:color="auto"/>
              <w:right w:val="single" w:sz="4" w:space="0" w:color="auto"/>
            </w:tcBorders>
            <w:hideMark/>
          </w:tcPr>
          <w:p w14:paraId="2C137AD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535</w:t>
            </w:r>
            <w:r>
              <w:rPr>
                <w:rFonts w:ascii="Sylfaen" w:hAnsi="Sylfaen" w:cs="Arial"/>
                <w:sz w:val="20"/>
                <w:szCs w:val="20"/>
                <w:lang w:val="ka-GE"/>
              </w:rPr>
              <w:t>,</w:t>
            </w:r>
            <w:r>
              <w:rPr>
                <w:rFonts w:ascii="Sylfaen" w:hAnsi="Sylfaen"/>
                <w:sz w:val="20"/>
                <w:szCs w:val="20"/>
                <w:lang w:val="ka-GE"/>
              </w:rPr>
              <w:t>00</w:t>
            </w:r>
          </w:p>
        </w:tc>
        <w:tc>
          <w:tcPr>
            <w:tcW w:w="1124" w:type="dxa"/>
            <w:tcBorders>
              <w:top w:val="single" w:sz="4" w:space="0" w:color="auto"/>
              <w:left w:val="single" w:sz="4" w:space="0" w:color="auto"/>
              <w:bottom w:val="single" w:sz="4" w:space="0" w:color="auto"/>
              <w:right w:val="single" w:sz="4" w:space="0" w:color="auto"/>
            </w:tcBorders>
            <w:hideMark/>
          </w:tcPr>
          <w:p w14:paraId="025B3F6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288</w:t>
            </w:r>
            <w:r>
              <w:rPr>
                <w:rFonts w:ascii="Sylfaen" w:hAnsi="Sylfaen" w:cs="Arial"/>
                <w:sz w:val="20"/>
                <w:szCs w:val="20"/>
                <w:lang w:val="ka-GE"/>
              </w:rPr>
              <w:t>,</w:t>
            </w:r>
            <w:r>
              <w:rPr>
                <w:rFonts w:ascii="Sylfaen" w:hAnsi="Sylfaen"/>
                <w:sz w:val="20"/>
                <w:szCs w:val="20"/>
                <w:lang w:val="ka-GE"/>
              </w:rPr>
              <w:t>00</w:t>
            </w:r>
          </w:p>
        </w:tc>
        <w:tc>
          <w:tcPr>
            <w:tcW w:w="876" w:type="dxa"/>
            <w:tcBorders>
              <w:top w:val="single" w:sz="4" w:space="0" w:color="auto"/>
              <w:left w:val="single" w:sz="4" w:space="0" w:color="auto"/>
              <w:bottom w:val="single" w:sz="4" w:space="0" w:color="auto"/>
              <w:right w:val="single" w:sz="4" w:space="0" w:color="auto"/>
            </w:tcBorders>
            <w:hideMark/>
          </w:tcPr>
          <w:p w14:paraId="019D057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3154" w:type="dxa"/>
            <w:tcBorders>
              <w:top w:val="single" w:sz="4" w:space="0" w:color="auto"/>
              <w:left w:val="single" w:sz="4" w:space="0" w:color="auto"/>
              <w:bottom w:val="single" w:sz="4" w:space="0" w:color="auto"/>
              <w:right w:val="single" w:sz="4" w:space="0" w:color="auto"/>
            </w:tcBorders>
            <w:hideMark/>
          </w:tcPr>
          <w:p w14:paraId="7FE7DABB" w14:textId="77777777" w:rsidR="00A2588D" w:rsidRDefault="00A2588D" w:rsidP="00A2588D">
            <w:pPr>
              <w:widowControl w:val="0"/>
              <w:autoSpaceDE w:val="0"/>
              <w:autoSpaceDN w:val="0"/>
              <w:adjustRightInd w:val="0"/>
              <w:ind w:left="11"/>
              <w:rPr>
                <w:rFonts w:ascii="Sylfaen" w:hAnsi="Sylfaen" w:cs="Arial"/>
                <w:sz w:val="20"/>
                <w:szCs w:val="20"/>
                <w:lang w:val="ka-GE"/>
              </w:rPr>
            </w:pPr>
            <w:r>
              <w:rPr>
                <w:rFonts w:ascii="Sylfaen" w:hAnsi="Sylfaen" w:cs="Arial"/>
                <w:sz w:val="20"/>
                <w:szCs w:val="20"/>
                <w:lang w:val="ka-GE"/>
              </w:rPr>
              <w:t>500 მ-ნი ზონის საზღვარზე</w:t>
            </w:r>
          </w:p>
        </w:tc>
        <w:tc>
          <w:tcPr>
            <w:tcW w:w="2891" w:type="dxa"/>
            <w:tcBorders>
              <w:top w:val="single" w:sz="4" w:space="0" w:color="auto"/>
              <w:left w:val="single" w:sz="4" w:space="0" w:color="auto"/>
              <w:bottom w:val="single" w:sz="4" w:space="0" w:color="auto"/>
              <w:right w:val="single" w:sz="4" w:space="0" w:color="auto"/>
            </w:tcBorders>
            <w:hideMark/>
          </w:tcPr>
          <w:p w14:paraId="7CBF3EB8" w14:textId="77777777" w:rsidR="00A2588D" w:rsidRDefault="00A2588D" w:rsidP="00A2588D">
            <w:pPr>
              <w:widowControl w:val="0"/>
              <w:autoSpaceDE w:val="0"/>
              <w:autoSpaceDN w:val="0"/>
              <w:adjustRightInd w:val="0"/>
              <w:ind w:left="11"/>
              <w:rPr>
                <w:rFonts w:ascii="Sylfaen" w:hAnsi="Sylfaen" w:cs="Arial"/>
                <w:sz w:val="20"/>
                <w:szCs w:val="20"/>
                <w:lang w:val="ka-GE"/>
              </w:rPr>
            </w:pPr>
            <w:r>
              <w:rPr>
                <w:rFonts w:ascii="Sylfaen" w:hAnsi="Sylfaen"/>
                <w:sz w:val="20"/>
                <w:szCs w:val="20"/>
                <w:lang w:val="ka-GE"/>
              </w:rPr>
              <w:t>ჩრდ</w:t>
            </w:r>
            <w:r>
              <w:rPr>
                <w:rFonts w:ascii="Sylfaen" w:hAnsi="Sylfaen" w:cs="Arial"/>
                <w:sz w:val="20"/>
                <w:szCs w:val="20"/>
                <w:lang w:val="ka-GE"/>
              </w:rPr>
              <w:t>.</w:t>
            </w:r>
            <w:r>
              <w:rPr>
                <w:rFonts w:ascii="Sylfaen" w:hAnsi="Sylfaen"/>
                <w:sz w:val="20"/>
                <w:szCs w:val="20"/>
                <w:lang w:val="ka-GE"/>
              </w:rPr>
              <w:t>აღმ</w:t>
            </w:r>
          </w:p>
        </w:tc>
      </w:tr>
      <w:tr w:rsidR="00A2588D" w14:paraId="71E240C7"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651E210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065" w:type="dxa"/>
            <w:tcBorders>
              <w:top w:val="single" w:sz="4" w:space="0" w:color="auto"/>
              <w:left w:val="single" w:sz="4" w:space="0" w:color="auto"/>
              <w:bottom w:val="single" w:sz="4" w:space="0" w:color="auto"/>
              <w:right w:val="single" w:sz="4" w:space="0" w:color="auto"/>
            </w:tcBorders>
            <w:hideMark/>
          </w:tcPr>
          <w:p w14:paraId="4FE4DBD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578</w:t>
            </w:r>
            <w:r>
              <w:rPr>
                <w:rFonts w:ascii="Sylfaen" w:hAnsi="Sylfaen" w:cs="Arial"/>
                <w:sz w:val="20"/>
                <w:szCs w:val="20"/>
                <w:lang w:val="ka-GE"/>
              </w:rPr>
              <w:t>,</w:t>
            </w:r>
            <w:r>
              <w:rPr>
                <w:rFonts w:ascii="Sylfaen" w:hAnsi="Sylfaen"/>
                <w:sz w:val="20"/>
                <w:szCs w:val="20"/>
                <w:lang w:val="ka-GE"/>
              </w:rPr>
              <w:t>00</w:t>
            </w:r>
          </w:p>
        </w:tc>
        <w:tc>
          <w:tcPr>
            <w:tcW w:w="1124" w:type="dxa"/>
            <w:tcBorders>
              <w:top w:val="single" w:sz="4" w:space="0" w:color="auto"/>
              <w:left w:val="single" w:sz="4" w:space="0" w:color="auto"/>
              <w:bottom w:val="single" w:sz="4" w:space="0" w:color="auto"/>
              <w:right w:val="single" w:sz="4" w:space="0" w:color="auto"/>
            </w:tcBorders>
            <w:hideMark/>
          </w:tcPr>
          <w:p w14:paraId="19D35F1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w:t>
            </w:r>
            <w:r>
              <w:rPr>
                <w:rFonts w:ascii="Sylfaen" w:hAnsi="Sylfaen" w:cs="Arial"/>
                <w:sz w:val="20"/>
                <w:szCs w:val="20"/>
                <w:lang w:val="ka-GE"/>
              </w:rPr>
              <w:t>,</w:t>
            </w:r>
            <w:r>
              <w:rPr>
                <w:rFonts w:ascii="Sylfaen" w:hAnsi="Sylfaen"/>
                <w:sz w:val="20"/>
                <w:szCs w:val="20"/>
                <w:lang w:val="ka-GE"/>
              </w:rPr>
              <w:t>00</w:t>
            </w:r>
          </w:p>
        </w:tc>
        <w:tc>
          <w:tcPr>
            <w:tcW w:w="876" w:type="dxa"/>
            <w:tcBorders>
              <w:top w:val="single" w:sz="4" w:space="0" w:color="auto"/>
              <w:left w:val="single" w:sz="4" w:space="0" w:color="auto"/>
              <w:bottom w:val="single" w:sz="4" w:space="0" w:color="auto"/>
              <w:right w:val="single" w:sz="4" w:space="0" w:color="auto"/>
            </w:tcBorders>
            <w:hideMark/>
          </w:tcPr>
          <w:p w14:paraId="5CF4AD5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3154" w:type="dxa"/>
            <w:tcBorders>
              <w:top w:val="single" w:sz="4" w:space="0" w:color="auto"/>
              <w:left w:val="single" w:sz="4" w:space="0" w:color="auto"/>
              <w:bottom w:val="single" w:sz="4" w:space="0" w:color="auto"/>
              <w:right w:val="single" w:sz="4" w:space="0" w:color="auto"/>
            </w:tcBorders>
            <w:hideMark/>
          </w:tcPr>
          <w:p w14:paraId="31AB6363" w14:textId="77777777" w:rsidR="00A2588D" w:rsidRDefault="00A2588D" w:rsidP="00A2588D">
            <w:pPr>
              <w:widowControl w:val="0"/>
              <w:autoSpaceDE w:val="0"/>
              <w:autoSpaceDN w:val="0"/>
              <w:adjustRightInd w:val="0"/>
              <w:ind w:left="11"/>
              <w:rPr>
                <w:rFonts w:ascii="Sylfaen" w:hAnsi="Sylfaen" w:cs="Arial"/>
                <w:sz w:val="20"/>
                <w:szCs w:val="20"/>
                <w:lang w:val="ka-GE"/>
              </w:rPr>
            </w:pPr>
            <w:r>
              <w:rPr>
                <w:rFonts w:ascii="Sylfaen" w:hAnsi="Sylfaen" w:cs="Arial"/>
                <w:sz w:val="20"/>
                <w:szCs w:val="20"/>
                <w:lang w:val="ka-GE"/>
              </w:rPr>
              <w:t>500 მ-ნი ზონის საზღვარზე</w:t>
            </w:r>
          </w:p>
        </w:tc>
        <w:tc>
          <w:tcPr>
            <w:tcW w:w="2891" w:type="dxa"/>
            <w:tcBorders>
              <w:top w:val="single" w:sz="4" w:space="0" w:color="auto"/>
              <w:left w:val="single" w:sz="4" w:space="0" w:color="auto"/>
              <w:bottom w:val="single" w:sz="4" w:space="0" w:color="auto"/>
              <w:right w:val="single" w:sz="4" w:space="0" w:color="auto"/>
            </w:tcBorders>
            <w:hideMark/>
          </w:tcPr>
          <w:p w14:paraId="171092F3" w14:textId="77777777" w:rsidR="00A2588D" w:rsidRDefault="00A2588D" w:rsidP="00A2588D">
            <w:pPr>
              <w:widowControl w:val="0"/>
              <w:autoSpaceDE w:val="0"/>
              <w:autoSpaceDN w:val="0"/>
              <w:adjustRightInd w:val="0"/>
              <w:ind w:left="11"/>
              <w:rPr>
                <w:rFonts w:ascii="Sylfaen" w:hAnsi="Sylfaen" w:cs="Arial"/>
                <w:sz w:val="20"/>
                <w:szCs w:val="20"/>
                <w:lang w:val="ka-GE"/>
              </w:rPr>
            </w:pPr>
            <w:r>
              <w:rPr>
                <w:rFonts w:ascii="Sylfaen" w:hAnsi="Sylfaen"/>
                <w:sz w:val="20"/>
                <w:szCs w:val="20"/>
                <w:lang w:val="ka-GE"/>
              </w:rPr>
              <w:t>აღმ</w:t>
            </w:r>
            <w:r>
              <w:rPr>
                <w:rFonts w:ascii="Sylfaen" w:hAnsi="Sylfaen" w:cs="Arial"/>
                <w:sz w:val="20"/>
                <w:szCs w:val="20"/>
                <w:lang w:val="ka-GE"/>
              </w:rPr>
              <w:t>.</w:t>
            </w:r>
          </w:p>
        </w:tc>
      </w:tr>
      <w:tr w:rsidR="00A2588D" w14:paraId="33B59B8E"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0FDBFD9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1065" w:type="dxa"/>
            <w:tcBorders>
              <w:top w:val="single" w:sz="4" w:space="0" w:color="auto"/>
              <w:left w:val="single" w:sz="4" w:space="0" w:color="auto"/>
              <w:bottom w:val="single" w:sz="4" w:space="0" w:color="auto"/>
              <w:right w:val="single" w:sz="4" w:space="0" w:color="auto"/>
            </w:tcBorders>
            <w:hideMark/>
          </w:tcPr>
          <w:p w14:paraId="059C67E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36</w:t>
            </w:r>
            <w:r>
              <w:rPr>
                <w:rFonts w:ascii="Sylfaen" w:hAnsi="Sylfaen" w:cs="Arial"/>
                <w:sz w:val="20"/>
                <w:szCs w:val="20"/>
                <w:lang w:val="ka-GE"/>
              </w:rPr>
              <w:t>,</w:t>
            </w:r>
            <w:r>
              <w:rPr>
                <w:rFonts w:ascii="Sylfaen" w:hAnsi="Sylfaen"/>
                <w:sz w:val="20"/>
                <w:szCs w:val="20"/>
                <w:lang w:val="ka-GE"/>
              </w:rPr>
              <w:t>00</w:t>
            </w:r>
          </w:p>
        </w:tc>
        <w:tc>
          <w:tcPr>
            <w:tcW w:w="1124" w:type="dxa"/>
            <w:tcBorders>
              <w:top w:val="single" w:sz="4" w:space="0" w:color="auto"/>
              <w:left w:val="single" w:sz="4" w:space="0" w:color="auto"/>
              <w:bottom w:val="single" w:sz="4" w:space="0" w:color="auto"/>
              <w:right w:val="single" w:sz="4" w:space="0" w:color="auto"/>
            </w:tcBorders>
            <w:hideMark/>
          </w:tcPr>
          <w:p w14:paraId="5C4A6E1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524</w:t>
            </w:r>
            <w:r>
              <w:rPr>
                <w:rFonts w:ascii="Sylfaen" w:hAnsi="Sylfaen" w:cs="Arial"/>
                <w:sz w:val="20"/>
                <w:szCs w:val="20"/>
                <w:lang w:val="ka-GE"/>
              </w:rPr>
              <w:t>,</w:t>
            </w:r>
            <w:r>
              <w:rPr>
                <w:rFonts w:ascii="Sylfaen" w:hAnsi="Sylfaen"/>
                <w:sz w:val="20"/>
                <w:szCs w:val="20"/>
                <w:lang w:val="ka-GE"/>
              </w:rPr>
              <w:t>00</w:t>
            </w:r>
          </w:p>
        </w:tc>
        <w:tc>
          <w:tcPr>
            <w:tcW w:w="876" w:type="dxa"/>
            <w:tcBorders>
              <w:top w:val="single" w:sz="4" w:space="0" w:color="auto"/>
              <w:left w:val="single" w:sz="4" w:space="0" w:color="auto"/>
              <w:bottom w:val="single" w:sz="4" w:space="0" w:color="auto"/>
              <w:right w:val="single" w:sz="4" w:space="0" w:color="auto"/>
            </w:tcBorders>
            <w:hideMark/>
          </w:tcPr>
          <w:p w14:paraId="2E6E678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3154" w:type="dxa"/>
            <w:tcBorders>
              <w:top w:val="single" w:sz="4" w:space="0" w:color="auto"/>
              <w:left w:val="single" w:sz="4" w:space="0" w:color="auto"/>
              <w:bottom w:val="single" w:sz="4" w:space="0" w:color="auto"/>
              <w:right w:val="single" w:sz="4" w:space="0" w:color="auto"/>
            </w:tcBorders>
            <w:hideMark/>
          </w:tcPr>
          <w:p w14:paraId="5C85C96E" w14:textId="77777777" w:rsidR="00A2588D" w:rsidRDefault="00A2588D" w:rsidP="00A2588D">
            <w:pPr>
              <w:widowControl w:val="0"/>
              <w:autoSpaceDE w:val="0"/>
              <w:autoSpaceDN w:val="0"/>
              <w:adjustRightInd w:val="0"/>
              <w:ind w:left="11"/>
              <w:rPr>
                <w:rFonts w:ascii="Sylfaen" w:hAnsi="Sylfaen" w:cs="Arial"/>
                <w:sz w:val="20"/>
                <w:szCs w:val="20"/>
                <w:lang w:val="ka-GE"/>
              </w:rPr>
            </w:pPr>
            <w:r>
              <w:rPr>
                <w:rFonts w:ascii="Sylfaen" w:hAnsi="Sylfaen" w:cs="Arial"/>
                <w:sz w:val="20"/>
                <w:szCs w:val="20"/>
                <w:lang w:val="ka-GE"/>
              </w:rPr>
              <w:t>500 მ-ნი ზონის საზღვარზე</w:t>
            </w:r>
          </w:p>
        </w:tc>
        <w:tc>
          <w:tcPr>
            <w:tcW w:w="2891" w:type="dxa"/>
            <w:tcBorders>
              <w:top w:val="single" w:sz="4" w:space="0" w:color="auto"/>
              <w:left w:val="single" w:sz="4" w:space="0" w:color="auto"/>
              <w:bottom w:val="single" w:sz="4" w:space="0" w:color="auto"/>
              <w:right w:val="single" w:sz="4" w:space="0" w:color="auto"/>
            </w:tcBorders>
            <w:hideMark/>
          </w:tcPr>
          <w:p w14:paraId="138D6DAF" w14:textId="77777777" w:rsidR="00A2588D" w:rsidRDefault="00A2588D" w:rsidP="00A2588D">
            <w:pPr>
              <w:widowControl w:val="0"/>
              <w:autoSpaceDE w:val="0"/>
              <w:autoSpaceDN w:val="0"/>
              <w:adjustRightInd w:val="0"/>
              <w:ind w:left="11"/>
              <w:rPr>
                <w:rFonts w:ascii="Sylfaen" w:hAnsi="Sylfaen" w:cs="Arial"/>
                <w:sz w:val="20"/>
                <w:szCs w:val="20"/>
                <w:lang w:val="ka-GE"/>
              </w:rPr>
            </w:pPr>
            <w:r>
              <w:rPr>
                <w:rFonts w:ascii="Sylfaen" w:hAnsi="Sylfaen"/>
                <w:sz w:val="20"/>
                <w:szCs w:val="20"/>
                <w:lang w:val="ka-GE"/>
              </w:rPr>
              <w:t>სამხრ</w:t>
            </w:r>
            <w:r>
              <w:rPr>
                <w:rFonts w:ascii="Sylfaen" w:hAnsi="Sylfaen" w:cs="Arial"/>
                <w:sz w:val="20"/>
                <w:szCs w:val="20"/>
                <w:lang w:val="ka-GE"/>
              </w:rPr>
              <w:t>.</w:t>
            </w:r>
          </w:p>
        </w:tc>
      </w:tr>
      <w:tr w:rsidR="00A2588D" w14:paraId="3AD1E02F"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591D6D4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4</w:t>
            </w:r>
          </w:p>
        </w:tc>
        <w:tc>
          <w:tcPr>
            <w:tcW w:w="1065" w:type="dxa"/>
            <w:tcBorders>
              <w:top w:val="single" w:sz="4" w:space="0" w:color="auto"/>
              <w:left w:val="single" w:sz="4" w:space="0" w:color="auto"/>
              <w:bottom w:val="single" w:sz="4" w:space="0" w:color="auto"/>
              <w:right w:val="single" w:sz="4" w:space="0" w:color="auto"/>
            </w:tcBorders>
            <w:hideMark/>
          </w:tcPr>
          <w:p w14:paraId="58F61CB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535</w:t>
            </w:r>
            <w:r>
              <w:rPr>
                <w:rFonts w:ascii="Sylfaen" w:hAnsi="Sylfaen" w:cs="Arial"/>
                <w:sz w:val="20"/>
                <w:szCs w:val="20"/>
                <w:lang w:val="ka-GE"/>
              </w:rPr>
              <w:t>,</w:t>
            </w:r>
            <w:r>
              <w:rPr>
                <w:rFonts w:ascii="Sylfaen" w:hAnsi="Sylfaen"/>
                <w:sz w:val="20"/>
                <w:szCs w:val="20"/>
                <w:lang w:val="ka-GE"/>
              </w:rPr>
              <w:t>00</w:t>
            </w:r>
          </w:p>
        </w:tc>
        <w:tc>
          <w:tcPr>
            <w:tcW w:w="1124" w:type="dxa"/>
            <w:tcBorders>
              <w:top w:val="single" w:sz="4" w:space="0" w:color="auto"/>
              <w:left w:val="single" w:sz="4" w:space="0" w:color="auto"/>
              <w:bottom w:val="single" w:sz="4" w:space="0" w:color="auto"/>
              <w:right w:val="single" w:sz="4" w:space="0" w:color="auto"/>
            </w:tcBorders>
            <w:hideMark/>
          </w:tcPr>
          <w:p w14:paraId="74B7EC0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w:t>
            </w:r>
            <w:r>
              <w:rPr>
                <w:rFonts w:ascii="Sylfaen" w:hAnsi="Sylfaen"/>
                <w:sz w:val="20"/>
                <w:szCs w:val="20"/>
                <w:lang w:val="ka-GE"/>
              </w:rPr>
              <w:t>00</w:t>
            </w:r>
          </w:p>
        </w:tc>
        <w:tc>
          <w:tcPr>
            <w:tcW w:w="876" w:type="dxa"/>
            <w:tcBorders>
              <w:top w:val="single" w:sz="4" w:space="0" w:color="auto"/>
              <w:left w:val="single" w:sz="4" w:space="0" w:color="auto"/>
              <w:bottom w:val="single" w:sz="4" w:space="0" w:color="auto"/>
              <w:right w:val="single" w:sz="4" w:space="0" w:color="auto"/>
            </w:tcBorders>
            <w:hideMark/>
          </w:tcPr>
          <w:p w14:paraId="4EE76D3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3154" w:type="dxa"/>
            <w:tcBorders>
              <w:top w:val="single" w:sz="4" w:space="0" w:color="auto"/>
              <w:left w:val="single" w:sz="4" w:space="0" w:color="auto"/>
              <w:bottom w:val="single" w:sz="4" w:space="0" w:color="auto"/>
              <w:right w:val="single" w:sz="4" w:space="0" w:color="auto"/>
            </w:tcBorders>
            <w:hideMark/>
          </w:tcPr>
          <w:p w14:paraId="1F559D57" w14:textId="77777777" w:rsidR="00A2588D" w:rsidRDefault="00A2588D" w:rsidP="00A2588D">
            <w:pPr>
              <w:widowControl w:val="0"/>
              <w:autoSpaceDE w:val="0"/>
              <w:autoSpaceDN w:val="0"/>
              <w:adjustRightInd w:val="0"/>
              <w:ind w:left="11"/>
              <w:rPr>
                <w:rFonts w:ascii="Sylfaen" w:hAnsi="Sylfaen" w:cs="Arial"/>
                <w:sz w:val="20"/>
                <w:szCs w:val="20"/>
                <w:lang w:val="ka-GE"/>
              </w:rPr>
            </w:pPr>
            <w:r>
              <w:rPr>
                <w:rFonts w:ascii="Sylfaen" w:hAnsi="Sylfaen" w:cs="Arial"/>
                <w:sz w:val="20"/>
                <w:szCs w:val="20"/>
                <w:lang w:val="ka-GE"/>
              </w:rPr>
              <w:t>500 მ-ნი ზონის საზღვარზე</w:t>
            </w:r>
          </w:p>
        </w:tc>
        <w:tc>
          <w:tcPr>
            <w:tcW w:w="2891" w:type="dxa"/>
            <w:tcBorders>
              <w:top w:val="single" w:sz="4" w:space="0" w:color="auto"/>
              <w:left w:val="single" w:sz="4" w:space="0" w:color="auto"/>
              <w:bottom w:val="single" w:sz="4" w:space="0" w:color="auto"/>
              <w:right w:val="single" w:sz="4" w:space="0" w:color="auto"/>
            </w:tcBorders>
            <w:hideMark/>
          </w:tcPr>
          <w:p w14:paraId="3281DB96" w14:textId="77777777" w:rsidR="00A2588D" w:rsidRDefault="00A2588D" w:rsidP="00A2588D">
            <w:pPr>
              <w:widowControl w:val="0"/>
              <w:autoSpaceDE w:val="0"/>
              <w:autoSpaceDN w:val="0"/>
              <w:adjustRightInd w:val="0"/>
              <w:ind w:left="11"/>
              <w:rPr>
                <w:rFonts w:ascii="Sylfaen" w:hAnsi="Sylfaen" w:cs="Arial"/>
                <w:sz w:val="20"/>
                <w:szCs w:val="20"/>
                <w:lang w:val="ka-GE"/>
              </w:rPr>
            </w:pPr>
            <w:r>
              <w:rPr>
                <w:rFonts w:ascii="Sylfaen" w:hAnsi="Sylfaen"/>
                <w:sz w:val="20"/>
                <w:szCs w:val="20"/>
                <w:lang w:val="ka-GE"/>
              </w:rPr>
              <w:t>დას</w:t>
            </w:r>
            <w:r>
              <w:rPr>
                <w:rFonts w:ascii="Sylfaen" w:hAnsi="Sylfaen" w:cs="Arial"/>
                <w:sz w:val="20"/>
                <w:szCs w:val="20"/>
                <w:lang w:val="ka-GE"/>
              </w:rPr>
              <w:t>.</w:t>
            </w:r>
          </w:p>
        </w:tc>
      </w:tr>
      <w:tr w:rsidR="00A2588D" w14:paraId="693CAF9B"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20924AF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w:t>
            </w:r>
          </w:p>
        </w:tc>
        <w:tc>
          <w:tcPr>
            <w:tcW w:w="1065" w:type="dxa"/>
            <w:tcBorders>
              <w:top w:val="single" w:sz="4" w:space="0" w:color="auto"/>
              <w:left w:val="single" w:sz="4" w:space="0" w:color="auto"/>
              <w:bottom w:val="single" w:sz="4" w:space="0" w:color="auto"/>
              <w:right w:val="single" w:sz="4" w:space="0" w:color="auto"/>
            </w:tcBorders>
            <w:hideMark/>
          </w:tcPr>
          <w:p w14:paraId="27536C3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263</w:t>
            </w:r>
            <w:r>
              <w:rPr>
                <w:rFonts w:ascii="Sylfaen" w:hAnsi="Sylfaen" w:cs="Arial"/>
                <w:sz w:val="20"/>
                <w:szCs w:val="20"/>
                <w:lang w:val="ka-GE"/>
              </w:rPr>
              <w:t>,</w:t>
            </w:r>
            <w:r>
              <w:rPr>
                <w:rFonts w:ascii="Sylfaen" w:hAnsi="Sylfaen"/>
                <w:sz w:val="20"/>
                <w:szCs w:val="20"/>
                <w:lang w:val="ka-GE"/>
              </w:rPr>
              <w:t>00</w:t>
            </w:r>
          </w:p>
        </w:tc>
        <w:tc>
          <w:tcPr>
            <w:tcW w:w="1124" w:type="dxa"/>
            <w:tcBorders>
              <w:top w:val="single" w:sz="4" w:space="0" w:color="auto"/>
              <w:left w:val="single" w:sz="4" w:space="0" w:color="auto"/>
              <w:bottom w:val="single" w:sz="4" w:space="0" w:color="auto"/>
              <w:right w:val="single" w:sz="4" w:space="0" w:color="auto"/>
            </w:tcBorders>
            <w:hideMark/>
          </w:tcPr>
          <w:p w14:paraId="466AEBB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176</w:t>
            </w:r>
            <w:r>
              <w:rPr>
                <w:rFonts w:ascii="Sylfaen" w:hAnsi="Sylfaen" w:cs="Arial"/>
                <w:sz w:val="20"/>
                <w:szCs w:val="20"/>
                <w:lang w:val="ka-GE"/>
              </w:rPr>
              <w:t>,</w:t>
            </w:r>
            <w:r>
              <w:rPr>
                <w:rFonts w:ascii="Sylfaen" w:hAnsi="Sylfaen"/>
                <w:sz w:val="20"/>
                <w:szCs w:val="20"/>
                <w:lang w:val="ka-GE"/>
              </w:rPr>
              <w:t>00</w:t>
            </w:r>
          </w:p>
        </w:tc>
        <w:tc>
          <w:tcPr>
            <w:tcW w:w="876" w:type="dxa"/>
            <w:tcBorders>
              <w:top w:val="single" w:sz="4" w:space="0" w:color="auto"/>
              <w:left w:val="single" w:sz="4" w:space="0" w:color="auto"/>
              <w:bottom w:val="single" w:sz="4" w:space="0" w:color="auto"/>
              <w:right w:val="single" w:sz="4" w:space="0" w:color="auto"/>
            </w:tcBorders>
            <w:hideMark/>
          </w:tcPr>
          <w:p w14:paraId="0EE2C49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3154" w:type="dxa"/>
            <w:tcBorders>
              <w:top w:val="single" w:sz="4" w:space="0" w:color="auto"/>
              <w:left w:val="single" w:sz="4" w:space="0" w:color="auto"/>
              <w:bottom w:val="single" w:sz="4" w:space="0" w:color="auto"/>
              <w:right w:val="single" w:sz="4" w:space="0" w:color="auto"/>
            </w:tcBorders>
            <w:hideMark/>
          </w:tcPr>
          <w:p w14:paraId="2C9CDCA1" w14:textId="77777777" w:rsidR="00A2588D" w:rsidRDefault="00A2588D" w:rsidP="00A2588D">
            <w:pPr>
              <w:widowControl w:val="0"/>
              <w:autoSpaceDE w:val="0"/>
              <w:autoSpaceDN w:val="0"/>
              <w:adjustRightInd w:val="0"/>
              <w:ind w:left="11"/>
              <w:rPr>
                <w:rFonts w:ascii="Sylfaen" w:hAnsi="Sylfaen" w:cs="Arial"/>
                <w:sz w:val="20"/>
                <w:szCs w:val="20"/>
                <w:lang w:val="ka-GE"/>
              </w:rPr>
            </w:pPr>
            <w:r>
              <w:rPr>
                <w:rFonts w:ascii="Sylfaen" w:hAnsi="Sylfaen" w:cs="Arial"/>
                <w:sz w:val="20"/>
                <w:szCs w:val="20"/>
                <w:lang w:val="ka-GE"/>
              </w:rPr>
              <w:t>წერტილი დასახლებული ზონის საზღვარზე</w:t>
            </w:r>
          </w:p>
        </w:tc>
        <w:tc>
          <w:tcPr>
            <w:tcW w:w="2891" w:type="dxa"/>
            <w:tcBorders>
              <w:top w:val="single" w:sz="4" w:space="0" w:color="auto"/>
              <w:left w:val="single" w:sz="4" w:space="0" w:color="auto"/>
              <w:bottom w:val="single" w:sz="4" w:space="0" w:color="auto"/>
              <w:right w:val="single" w:sz="4" w:space="0" w:color="auto"/>
            </w:tcBorders>
            <w:hideMark/>
          </w:tcPr>
          <w:p w14:paraId="18C8C510" w14:textId="77777777" w:rsidR="00A2588D" w:rsidRDefault="00A2588D" w:rsidP="00A2588D">
            <w:pPr>
              <w:widowControl w:val="0"/>
              <w:autoSpaceDE w:val="0"/>
              <w:autoSpaceDN w:val="0"/>
              <w:adjustRightInd w:val="0"/>
              <w:ind w:left="11"/>
              <w:rPr>
                <w:rFonts w:ascii="Sylfaen" w:hAnsi="Sylfaen" w:cs="Arial"/>
                <w:sz w:val="20"/>
                <w:szCs w:val="20"/>
                <w:lang w:val="ka-GE"/>
              </w:rPr>
            </w:pPr>
            <w:r>
              <w:rPr>
                <w:rFonts w:ascii="Sylfaen" w:hAnsi="Sylfaen"/>
                <w:sz w:val="20"/>
                <w:szCs w:val="20"/>
                <w:lang w:val="ka-GE"/>
              </w:rPr>
              <w:t>უახლოესი</w:t>
            </w:r>
            <w:r>
              <w:rPr>
                <w:rFonts w:ascii="Sylfaen" w:hAnsi="Sylfaen" w:cs="Arial"/>
                <w:sz w:val="20"/>
                <w:szCs w:val="20"/>
                <w:lang w:val="ka-GE"/>
              </w:rPr>
              <w:t xml:space="preserve"> </w:t>
            </w:r>
            <w:r>
              <w:rPr>
                <w:rFonts w:ascii="Sylfaen" w:hAnsi="Sylfaen"/>
                <w:sz w:val="20"/>
                <w:szCs w:val="20"/>
                <w:lang w:val="ka-GE"/>
              </w:rPr>
              <w:t>დასახლება</w:t>
            </w:r>
            <w:r>
              <w:rPr>
                <w:rFonts w:ascii="Sylfaen" w:hAnsi="Sylfaen" w:cs="Arial"/>
                <w:sz w:val="20"/>
                <w:szCs w:val="20"/>
                <w:lang w:val="ka-GE"/>
              </w:rPr>
              <w:t xml:space="preserve"> </w:t>
            </w:r>
            <w:r>
              <w:rPr>
                <w:rFonts w:ascii="Sylfaen" w:hAnsi="Sylfaen"/>
                <w:sz w:val="20"/>
                <w:szCs w:val="20"/>
                <w:lang w:val="ka-GE"/>
              </w:rPr>
              <w:t>1</w:t>
            </w:r>
          </w:p>
        </w:tc>
      </w:tr>
      <w:tr w:rsidR="00A2588D" w14:paraId="04CFF105" w14:textId="77777777" w:rsidTr="00A2588D">
        <w:trPr>
          <w:jc w:val="center"/>
        </w:trPr>
        <w:tc>
          <w:tcPr>
            <w:tcW w:w="467" w:type="dxa"/>
            <w:tcBorders>
              <w:top w:val="single" w:sz="4" w:space="0" w:color="auto"/>
              <w:left w:val="single" w:sz="4" w:space="0" w:color="auto"/>
              <w:bottom w:val="single" w:sz="4" w:space="0" w:color="auto"/>
              <w:right w:val="single" w:sz="4" w:space="0" w:color="auto"/>
            </w:tcBorders>
            <w:hideMark/>
          </w:tcPr>
          <w:p w14:paraId="5829C15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w:t>
            </w:r>
          </w:p>
        </w:tc>
        <w:tc>
          <w:tcPr>
            <w:tcW w:w="1065" w:type="dxa"/>
            <w:tcBorders>
              <w:top w:val="single" w:sz="4" w:space="0" w:color="auto"/>
              <w:left w:val="single" w:sz="4" w:space="0" w:color="auto"/>
              <w:bottom w:val="single" w:sz="4" w:space="0" w:color="auto"/>
              <w:right w:val="single" w:sz="4" w:space="0" w:color="auto"/>
            </w:tcBorders>
            <w:hideMark/>
          </w:tcPr>
          <w:p w14:paraId="54EC413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364</w:t>
            </w:r>
            <w:r>
              <w:rPr>
                <w:rFonts w:ascii="Sylfaen" w:hAnsi="Sylfaen" w:cs="Arial"/>
                <w:sz w:val="20"/>
                <w:szCs w:val="20"/>
                <w:lang w:val="ka-GE"/>
              </w:rPr>
              <w:t>,</w:t>
            </w:r>
            <w:r>
              <w:rPr>
                <w:rFonts w:ascii="Sylfaen" w:hAnsi="Sylfaen"/>
                <w:sz w:val="20"/>
                <w:szCs w:val="20"/>
                <w:lang w:val="ka-GE"/>
              </w:rPr>
              <w:t>00</w:t>
            </w:r>
          </w:p>
        </w:tc>
        <w:tc>
          <w:tcPr>
            <w:tcW w:w="1124" w:type="dxa"/>
            <w:tcBorders>
              <w:top w:val="single" w:sz="4" w:space="0" w:color="auto"/>
              <w:left w:val="single" w:sz="4" w:space="0" w:color="auto"/>
              <w:bottom w:val="single" w:sz="4" w:space="0" w:color="auto"/>
              <w:right w:val="single" w:sz="4" w:space="0" w:color="auto"/>
            </w:tcBorders>
            <w:hideMark/>
          </w:tcPr>
          <w:p w14:paraId="068E9D7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210</w:t>
            </w:r>
            <w:r>
              <w:rPr>
                <w:rFonts w:ascii="Sylfaen" w:hAnsi="Sylfaen" w:cs="Arial"/>
                <w:sz w:val="20"/>
                <w:szCs w:val="20"/>
                <w:lang w:val="ka-GE"/>
              </w:rPr>
              <w:t>,</w:t>
            </w:r>
            <w:r>
              <w:rPr>
                <w:rFonts w:ascii="Sylfaen" w:hAnsi="Sylfaen"/>
                <w:sz w:val="20"/>
                <w:szCs w:val="20"/>
                <w:lang w:val="ka-GE"/>
              </w:rPr>
              <w:t>00</w:t>
            </w:r>
          </w:p>
        </w:tc>
        <w:tc>
          <w:tcPr>
            <w:tcW w:w="876" w:type="dxa"/>
            <w:tcBorders>
              <w:top w:val="single" w:sz="4" w:space="0" w:color="auto"/>
              <w:left w:val="single" w:sz="4" w:space="0" w:color="auto"/>
              <w:bottom w:val="single" w:sz="4" w:space="0" w:color="auto"/>
              <w:right w:val="single" w:sz="4" w:space="0" w:color="auto"/>
            </w:tcBorders>
            <w:hideMark/>
          </w:tcPr>
          <w:p w14:paraId="283AD65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3154" w:type="dxa"/>
            <w:tcBorders>
              <w:top w:val="single" w:sz="4" w:space="0" w:color="auto"/>
              <w:left w:val="single" w:sz="4" w:space="0" w:color="auto"/>
              <w:bottom w:val="single" w:sz="4" w:space="0" w:color="auto"/>
              <w:right w:val="single" w:sz="4" w:space="0" w:color="auto"/>
            </w:tcBorders>
            <w:hideMark/>
          </w:tcPr>
          <w:p w14:paraId="743C81DE" w14:textId="77777777" w:rsidR="00A2588D" w:rsidRDefault="00A2588D" w:rsidP="00A2588D">
            <w:pPr>
              <w:widowControl w:val="0"/>
              <w:autoSpaceDE w:val="0"/>
              <w:autoSpaceDN w:val="0"/>
              <w:adjustRightInd w:val="0"/>
              <w:ind w:left="11"/>
              <w:rPr>
                <w:rFonts w:ascii="Sylfaen" w:hAnsi="Sylfaen" w:cs="Arial"/>
                <w:sz w:val="20"/>
                <w:szCs w:val="20"/>
                <w:lang w:val="ka-GE"/>
              </w:rPr>
            </w:pPr>
            <w:r>
              <w:rPr>
                <w:rFonts w:ascii="Sylfaen" w:hAnsi="Sylfaen" w:cs="Arial"/>
                <w:sz w:val="20"/>
                <w:szCs w:val="20"/>
                <w:lang w:val="ka-GE"/>
              </w:rPr>
              <w:t>წერტილი დასახლებული ზონის საზღვარზე</w:t>
            </w:r>
          </w:p>
        </w:tc>
        <w:tc>
          <w:tcPr>
            <w:tcW w:w="2891" w:type="dxa"/>
            <w:tcBorders>
              <w:top w:val="single" w:sz="4" w:space="0" w:color="auto"/>
              <w:left w:val="single" w:sz="4" w:space="0" w:color="auto"/>
              <w:bottom w:val="single" w:sz="4" w:space="0" w:color="auto"/>
              <w:right w:val="single" w:sz="4" w:space="0" w:color="auto"/>
            </w:tcBorders>
            <w:hideMark/>
          </w:tcPr>
          <w:p w14:paraId="504F1470" w14:textId="77777777" w:rsidR="00A2588D" w:rsidRDefault="00A2588D" w:rsidP="00A2588D">
            <w:pPr>
              <w:widowControl w:val="0"/>
              <w:autoSpaceDE w:val="0"/>
              <w:autoSpaceDN w:val="0"/>
              <w:adjustRightInd w:val="0"/>
              <w:ind w:left="11"/>
              <w:rPr>
                <w:rFonts w:ascii="Sylfaen" w:hAnsi="Sylfaen" w:cs="Arial"/>
                <w:sz w:val="20"/>
                <w:szCs w:val="20"/>
                <w:lang w:val="ka-GE"/>
              </w:rPr>
            </w:pPr>
            <w:r>
              <w:rPr>
                <w:rFonts w:ascii="Sylfaen" w:hAnsi="Sylfaen"/>
                <w:sz w:val="20"/>
                <w:szCs w:val="20"/>
                <w:lang w:val="ka-GE"/>
              </w:rPr>
              <w:t>უახლოესი</w:t>
            </w:r>
            <w:r>
              <w:rPr>
                <w:rFonts w:ascii="Sylfaen" w:hAnsi="Sylfaen" w:cs="Arial"/>
                <w:sz w:val="20"/>
                <w:szCs w:val="20"/>
                <w:lang w:val="ka-GE"/>
              </w:rPr>
              <w:t xml:space="preserve"> </w:t>
            </w:r>
            <w:r>
              <w:rPr>
                <w:rFonts w:ascii="Sylfaen" w:hAnsi="Sylfaen"/>
                <w:sz w:val="20"/>
                <w:szCs w:val="20"/>
                <w:lang w:val="ka-GE"/>
              </w:rPr>
              <w:t>დასახლება</w:t>
            </w:r>
            <w:r>
              <w:rPr>
                <w:rFonts w:ascii="Sylfaen" w:hAnsi="Sylfaen" w:cs="Arial"/>
                <w:sz w:val="20"/>
                <w:szCs w:val="20"/>
                <w:lang w:val="ka-GE"/>
              </w:rPr>
              <w:t xml:space="preserve"> </w:t>
            </w:r>
            <w:r>
              <w:rPr>
                <w:rFonts w:ascii="Sylfaen" w:hAnsi="Sylfaen"/>
                <w:sz w:val="20"/>
                <w:szCs w:val="20"/>
                <w:lang w:val="ka-GE"/>
              </w:rPr>
              <w:t>2</w:t>
            </w:r>
          </w:p>
        </w:tc>
      </w:tr>
    </w:tbl>
    <w:p w14:paraId="385E089C" w14:textId="77777777" w:rsidR="00A2588D" w:rsidRDefault="00A2588D" w:rsidP="00A2588D">
      <w:pPr>
        <w:widowControl w:val="0"/>
        <w:autoSpaceDE w:val="0"/>
        <w:autoSpaceDN w:val="0"/>
        <w:adjustRightInd w:val="0"/>
        <w:rPr>
          <w:rFonts w:ascii="Sylfaen" w:hAnsi="Sylfaen" w:cs="Arial"/>
          <w:b/>
          <w:bCs/>
          <w:sz w:val="24"/>
          <w:lang w:val="ka-GE"/>
        </w:rPr>
      </w:pPr>
    </w:p>
    <w:p w14:paraId="0A7D2091" w14:textId="77777777" w:rsidR="00A2588D" w:rsidRDefault="00A2588D" w:rsidP="00A2588D">
      <w:pPr>
        <w:rPr>
          <w:rFonts w:ascii="Sylfaen" w:hAnsi="Sylfaen" w:cs="Arial"/>
          <w:b/>
          <w:bCs/>
          <w:sz w:val="24"/>
          <w:lang w:val="ka-GE"/>
        </w:rPr>
      </w:pPr>
      <w:r>
        <w:rPr>
          <w:rFonts w:ascii="Sylfaen" w:hAnsi="Sylfaen" w:cs="Arial"/>
          <w:b/>
          <w:bCs/>
          <w:sz w:val="24"/>
          <w:lang w:val="ka-GE"/>
        </w:rPr>
        <w:br w:type="page"/>
      </w:r>
    </w:p>
    <w:p w14:paraId="7D57109F" w14:textId="77777777" w:rsidR="00A2588D" w:rsidRDefault="00A2588D" w:rsidP="00A2588D">
      <w:pPr>
        <w:widowControl w:val="0"/>
        <w:autoSpaceDE w:val="0"/>
        <w:autoSpaceDN w:val="0"/>
        <w:adjustRightInd w:val="0"/>
        <w:jc w:val="center"/>
        <w:rPr>
          <w:rFonts w:ascii="Sylfaen" w:hAnsi="Sylfaen" w:cs="Arial"/>
          <w:b/>
          <w:bCs/>
          <w:sz w:val="24"/>
          <w:lang w:val="ka-GE"/>
        </w:rPr>
      </w:pPr>
      <w:r>
        <w:rPr>
          <w:rFonts w:ascii="Sylfaen" w:hAnsi="Sylfaen" w:cs="Arial"/>
          <w:b/>
          <w:bCs/>
          <w:sz w:val="24"/>
          <w:lang w:val="ka-GE"/>
        </w:rPr>
        <w:lastRenderedPageBreak/>
        <w:t>გაანგარიშების შედეგები ნივთიერებების მიხედვით</w:t>
      </w:r>
    </w:p>
    <w:p w14:paraId="10259B93" w14:textId="77777777" w:rsidR="00A2588D" w:rsidRDefault="00A2588D" w:rsidP="00A2588D">
      <w:pPr>
        <w:widowControl w:val="0"/>
        <w:autoSpaceDE w:val="0"/>
        <w:autoSpaceDN w:val="0"/>
        <w:adjustRightInd w:val="0"/>
        <w:jc w:val="center"/>
        <w:rPr>
          <w:rFonts w:ascii="Sylfaen" w:hAnsi="Sylfaen" w:cs="Arial"/>
          <w:b/>
          <w:bCs/>
          <w:sz w:val="24"/>
          <w:lang w:val="ka-GE"/>
        </w:rPr>
      </w:pPr>
      <w:r>
        <w:rPr>
          <w:rFonts w:ascii="Sylfaen" w:hAnsi="Sylfaen" w:cs="Arial"/>
          <w:b/>
          <w:bCs/>
          <w:sz w:val="24"/>
          <w:lang w:val="ka-GE"/>
        </w:rPr>
        <w:t>(საანგარიშო წერტილები)</w:t>
      </w:r>
    </w:p>
    <w:p w14:paraId="0DCE1AF7" w14:textId="77777777" w:rsidR="00A2588D" w:rsidRDefault="00A2588D" w:rsidP="00A2588D">
      <w:pPr>
        <w:widowControl w:val="0"/>
        <w:autoSpaceDE w:val="0"/>
        <w:autoSpaceDN w:val="0"/>
        <w:adjustRightInd w:val="0"/>
        <w:jc w:val="center"/>
        <w:rPr>
          <w:rFonts w:ascii="Sylfaen" w:hAnsi="Sylfaen" w:cs="Arial"/>
          <w:sz w:val="16"/>
          <w:szCs w:val="16"/>
          <w:lang w:val="ka-GE"/>
        </w:rPr>
      </w:pPr>
    </w:p>
    <w:p w14:paraId="36ED30ED" w14:textId="77777777" w:rsidR="00A2588D" w:rsidRDefault="00A2588D" w:rsidP="00A2588D">
      <w:pPr>
        <w:widowControl w:val="0"/>
        <w:autoSpaceDE w:val="0"/>
        <w:autoSpaceDN w:val="0"/>
        <w:adjustRightInd w:val="0"/>
        <w:rPr>
          <w:rFonts w:ascii="Sylfaen" w:hAnsi="Sylfaen" w:cs="Arial"/>
          <w:sz w:val="16"/>
          <w:szCs w:val="16"/>
          <w:lang w:val="ka-GE"/>
        </w:rPr>
      </w:pPr>
      <w:r>
        <w:rPr>
          <w:rFonts w:ascii="Sylfaen" w:hAnsi="Sylfaen" w:cs="Arial"/>
          <w:sz w:val="16"/>
          <w:szCs w:val="16"/>
          <w:lang w:val="ka-GE"/>
        </w:rPr>
        <w:t>წერტილთა ტიპები:</w:t>
      </w:r>
    </w:p>
    <w:p w14:paraId="447ABA9B" w14:textId="77777777" w:rsidR="00A2588D" w:rsidRDefault="00A2588D" w:rsidP="00A2588D">
      <w:pPr>
        <w:widowControl w:val="0"/>
        <w:autoSpaceDE w:val="0"/>
        <w:autoSpaceDN w:val="0"/>
        <w:adjustRightInd w:val="0"/>
        <w:rPr>
          <w:rFonts w:ascii="Sylfaen" w:hAnsi="Sylfaen" w:cs="Arial"/>
          <w:sz w:val="16"/>
          <w:szCs w:val="16"/>
          <w:lang w:val="ka-GE"/>
        </w:rPr>
      </w:pPr>
      <w:r>
        <w:rPr>
          <w:rFonts w:ascii="Sylfaen" w:hAnsi="Sylfaen"/>
          <w:sz w:val="16"/>
          <w:szCs w:val="16"/>
          <w:lang w:val="ka-GE"/>
        </w:rPr>
        <w:t>0</w:t>
      </w:r>
      <w:r>
        <w:rPr>
          <w:rFonts w:ascii="Sylfaen" w:hAnsi="Sylfaen" w:cs="Arial"/>
          <w:sz w:val="16"/>
          <w:szCs w:val="16"/>
          <w:lang w:val="ka-GE"/>
        </w:rPr>
        <w:t xml:space="preserve"> - მომხმარებლის საანგარიშო წერტილი</w:t>
      </w:r>
    </w:p>
    <w:p w14:paraId="3355A33A" w14:textId="77777777" w:rsidR="00A2588D" w:rsidRDefault="00A2588D" w:rsidP="00A2588D">
      <w:pPr>
        <w:widowControl w:val="0"/>
        <w:autoSpaceDE w:val="0"/>
        <w:autoSpaceDN w:val="0"/>
        <w:adjustRightInd w:val="0"/>
        <w:rPr>
          <w:rFonts w:ascii="Sylfaen" w:hAnsi="Sylfaen" w:cs="Arial"/>
          <w:sz w:val="16"/>
          <w:szCs w:val="16"/>
          <w:lang w:val="ka-GE"/>
        </w:rPr>
      </w:pPr>
      <w:r>
        <w:rPr>
          <w:rFonts w:ascii="Sylfaen" w:hAnsi="Sylfaen"/>
          <w:sz w:val="16"/>
          <w:szCs w:val="16"/>
          <w:lang w:val="ka-GE"/>
        </w:rPr>
        <w:t>1</w:t>
      </w:r>
      <w:r>
        <w:rPr>
          <w:rFonts w:ascii="Sylfaen" w:hAnsi="Sylfaen" w:cs="Arial"/>
          <w:sz w:val="16"/>
          <w:szCs w:val="16"/>
          <w:lang w:val="ka-GE"/>
        </w:rPr>
        <w:t xml:space="preserve"> - წერტილი დაცვის ზონის საზღვარზე</w:t>
      </w:r>
    </w:p>
    <w:p w14:paraId="7763B684" w14:textId="77777777" w:rsidR="00A2588D" w:rsidRDefault="00A2588D" w:rsidP="00A2588D">
      <w:pPr>
        <w:widowControl w:val="0"/>
        <w:autoSpaceDE w:val="0"/>
        <w:autoSpaceDN w:val="0"/>
        <w:adjustRightInd w:val="0"/>
        <w:rPr>
          <w:rFonts w:ascii="Sylfaen" w:hAnsi="Sylfaen" w:cs="Arial"/>
          <w:sz w:val="16"/>
          <w:szCs w:val="16"/>
          <w:lang w:val="ka-GE"/>
        </w:rPr>
      </w:pPr>
      <w:r>
        <w:rPr>
          <w:rFonts w:ascii="Sylfaen" w:hAnsi="Sylfaen"/>
          <w:sz w:val="16"/>
          <w:szCs w:val="16"/>
          <w:lang w:val="ka-GE"/>
        </w:rPr>
        <w:t>2</w:t>
      </w:r>
      <w:r>
        <w:rPr>
          <w:rFonts w:ascii="Sylfaen" w:hAnsi="Sylfaen" w:cs="Arial"/>
          <w:sz w:val="16"/>
          <w:szCs w:val="16"/>
          <w:lang w:val="ka-GE"/>
        </w:rPr>
        <w:t xml:space="preserve"> - წერტილი საწარმო ზონის საზღვარზე</w:t>
      </w:r>
    </w:p>
    <w:p w14:paraId="475DECF9" w14:textId="77777777" w:rsidR="00A2588D" w:rsidRDefault="00A2588D" w:rsidP="00A2588D">
      <w:pPr>
        <w:widowControl w:val="0"/>
        <w:autoSpaceDE w:val="0"/>
        <w:autoSpaceDN w:val="0"/>
        <w:adjustRightInd w:val="0"/>
        <w:rPr>
          <w:rFonts w:ascii="Sylfaen" w:hAnsi="Sylfaen" w:cs="Arial"/>
          <w:sz w:val="16"/>
          <w:szCs w:val="16"/>
          <w:lang w:val="ka-GE"/>
        </w:rPr>
      </w:pPr>
      <w:r>
        <w:rPr>
          <w:rFonts w:ascii="Sylfaen" w:hAnsi="Sylfaen"/>
          <w:sz w:val="16"/>
          <w:szCs w:val="16"/>
          <w:lang w:val="ka-GE"/>
        </w:rPr>
        <w:t>3</w:t>
      </w:r>
      <w:r>
        <w:rPr>
          <w:rFonts w:ascii="Sylfaen" w:hAnsi="Sylfaen" w:cs="Arial"/>
          <w:sz w:val="16"/>
          <w:szCs w:val="16"/>
          <w:lang w:val="ka-GE"/>
        </w:rPr>
        <w:t xml:space="preserve"> - წერტილი სანიტარულ-დაცვითი ზონის საზღვარზე</w:t>
      </w:r>
    </w:p>
    <w:p w14:paraId="7958F295" w14:textId="77777777" w:rsidR="00A2588D" w:rsidRDefault="00A2588D" w:rsidP="00A2588D">
      <w:pPr>
        <w:widowControl w:val="0"/>
        <w:autoSpaceDE w:val="0"/>
        <w:autoSpaceDN w:val="0"/>
        <w:adjustRightInd w:val="0"/>
        <w:rPr>
          <w:rFonts w:ascii="Sylfaen" w:hAnsi="Sylfaen" w:cs="Arial"/>
          <w:sz w:val="16"/>
          <w:szCs w:val="16"/>
          <w:lang w:val="ka-GE"/>
        </w:rPr>
      </w:pPr>
      <w:r>
        <w:rPr>
          <w:rFonts w:ascii="Sylfaen" w:hAnsi="Sylfaen"/>
          <w:sz w:val="16"/>
          <w:szCs w:val="16"/>
          <w:lang w:val="ka-GE"/>
        </w:rPr>
        <w:t>4</w:t>
      </w:r>
      <w:r>
        <w:rPr>
          <w:rFonts w:ascii="Sylfaen" w:hAnsi="Sylfaen" w:cs="Arial"/>
          <w:sz w:val="16"/>
          <w:szCs w:val="16"/>
          <w:lang w:val="ka-GE"/>
        </w:rPr>
        <w:t xml:space="preserve"> - წერტილი დასახლებული ზონის საზღვარზე</w:t>
      </w:r>
    </w:p>
    <w:p w14:paraId="645F2E12" w14:textId="77777777" w:rsidR="00A2588D" w:rsidRDefault="00A2588D" w:rsidP="00A2588D">
      <w:pPr>
        <w:widowControl w:val="0"/>
        <w:autoSpaceDE w:val="0"/>
        <w:autoSpaceDN w:val="0"/>
        <w:adjustRightInd w:val="0"/>
        <w:rPr>
          <w:rFonts w:ascii="Sylfaen" w:hAnsi="Sylfaen" w:cs="Arial"/>
          <w:sz w:val="16"/>
          <w:szCs w:val="16"/>
          <w:lang w:val="ka-GE"/>
        </w:rPr>
      </w:pPr>
      <w:r>
        <w:rPr>
          <w:rFonts w:ascii="Sylfaen" w:hAnsi="Sylfaen"/>
          <w:sz w:val="16"/>
          <w:szCs w:val="16"/>
          <w:lang w:val="ka-GE"/>
        </w:rPr>
        <w:t>5</w:t>
      </w:r>
      <w:r>
        <w:rPr>
          <w:rFonts w:ascii="Sylfaen" w:hAnsi="Sylfaen" w:cs="Arial"/>
          <w:sz w:val="16"/>
          <w:szCs w:val="16"/>
          <w:lang w:val="ka-GE"/>
        </w:rPr>
        <w:t xml:space="preserve"> - განაშენიანების საზღვარზე</w:t>
      </w:r>
    </w:p>
    <w:p w14:paraId="327750C4" w14:textId="77777777" w:rsidR="00A2588D" w:rsidRDefault="00A2588D" w:rsidP="00A2588D">
      <w:pPr>
        <w:widowControl w:val="0"/>
        <w:autoSpaceDE w:val="0"/>
        <w:autoSpaceDN w:val="0"/>
        <w:adjustRightInd w:val="0"/>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817"/>
        <w:gridCol w:w="1036"/>
        <w:gridCol w:w="1051"/>
        <w:gridCol w:w="949"/>
        <w:gridCol w:w="1109"/>
        <w:gridCol w:w="1051"/>
        <w:gridCol w:w="1051"/>
        <w:gridCol w:w="992"/>
        <w:gridCol w:w="934"/>
        <w:gridCol w:w="934"/>
      </w:tblGrid>
      <w:tr w:rsidR="00A2588D" w14:paraId="241D8B4A"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26623C1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w:t>
            </w:r>
          </w:p>
        </w:tc>
        <w:tc>
          <w:tcPr>
            <w:tcW w:w="1036" w:type="dxa"/>
            <w:tcBorders>
              <w:top w:val="single" w:sz="4" w:space="0" w:color="auto"/>
              <w:left w:val="single" w:sz="4" w:space="0" w:color="auto"/>
              <w:bottom w:val="single" w:sz="4" w:space="0" w:color="auto"/>
              <w:right w:val="single" w:sz="4" w:space="0" w:color="auto"/>
            </w:tcBorders>
            <w:hideMark/>
          </w:tcPr>
          <w:p w14:paraId="21A7B30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კოორდ </w:t>
            </w:r>
            <w:r>
              <w:rPr>
                <w:rFonts w:ascii="Sylfaen" w:hAnsi="Sylfaen"/>
                <w:b/>
                <w:bCs/>
                <w:sz w:val="20"/>
                <w:szCs w:val="20"/>
                <w:lang w:val="ka-GE"/>
              </w:rPr>
              <w:t>X</w:t>
            </w:r>
            <w:r>
              <w:rPr>
                <w:rFonts w:ascii="Sylfaen" w:hAnsi="Sylfaen" w:cs="Arial"/>
                <w:b/>
                <w:bCs/>
                <w:sz w:val="20"/>
                <w:szCs w:val="20"/>
                <w:lang w:val="ka-GE"/>
              </w:rPr>
              <w:t>(მ)</w:t>
            </w:r>
          </w:p>
        </w:tc>
        <w:tc>
          <w:tcPr>
            <w:tcW w:w="1051" w:type="dxa"/>
            <w:tcBorders>
              <w:top w:val="single" w:sz="4" w:space="0" w:color="auto"/>
              <w:left w:val="single" w:sz="4" w:space="0" w:color="auto"/>
              <w:bottom w:val="single" w:sz="4" w:space="0" w:color="auto"/>
              <w:right w:val="single" w:sz="4" w:space="0" w:color="auto"/>
            </w:tcBorders>
            <w:hideMark/>
          </w:tcPr>
          <w:p w14:paraId="398C766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კოორდ </w:t>
            </w:r>
            <w:r>
              <w:rPr>
                <w:rFonts w:ascii="Sylfaen" w:hAnsi="Sylfaen"/>
                <w:b/>
                <w:bCs/>
                <w:sz w:val="20"/>
                <w:szCs w:val="20"/>
                <w:lang w:val="ka-GE"/>
              </w:rPr>
              <w:t>Y</w:t>
            </w:r>
            <w:r>
              <w:rPr>
                <w:rFonts w:ascii="Sylfaen" w:hAnsi="Sylfaen" w:cs="Arial"/>
                <w:b/>
                <w:bCs/>
                <w:sz w:val="20"/>
                <w:szCs w:val="20"/>
                <w:lang w:val="ka-GE"/>
              </w:rPr>
              <w:t>(მ)</w:t>
            </w:r>
          </w:p>
        </w:tc>
        <w:tc>
          <w:tcPr>
            <w:tcW w:w="949" w:type="dxa"/>
            <w:tcBorders>
              <w:top w:val="single" w:sz="4" w:space="0" w:color="auto"/>
              <w:left w:val="single" w:sz="4" w:space="0" w:color="auto"/>
              <w:bottom w:val="single" w:sz="4" w:space="0" w:color="auto"/>
              <w:right w:val="single" w:sz="4" w:space="0" w:color="auto"/>
            </w:tcBorders>
            <w:hideMark/>
          </w:tcPr>
          <w:p w14:paraId="5CA80DB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სიმაღლ. (მ)</w:t>
            </w:r>
          </w:p>
        </w:tc>
        <w:tc>
          <w:tcPr>
            <w:tcW w:w="1109" w:type="dxa"/>
            <w:tcBorders>
              <w:top w:val="single" w:sz="4" w:space="0" w:color="auto"/>
              <w:left w:val="single" w:sz="4" w:space="0" w:color="auto"/>
              <w:bottom w:val="single" w:sz="4" w:space="0" w:color="auto"/>
              <w:right w:val="single" w:sz="4" w:space="0" w:color="auto"/>
            </w:tcBorders>
            <w:hideMark/>
          </w:tcPr>
          <w:p w14:paraId="3623D2D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კონცენტრ. (ზდკ-ს წილი)</w:t>
            </w:r>
          </w:p>
        </w:tc>
        <w:tc>
          <w:tcPr>
            <w:tcW w:w="1051" w:type="dxa"/>
            <w:tcBorders>
              <w:top w:val="single" w:sz="4" w:space="0" w:color="auto"/>
              <w:left w:val="single" w:sz="4" w:space="0" w:color="auto"/>
              <w:bottom w:val="single" w:sz="4" w:space="0" w:color="auto"/>
              <w:right w:val="single" w:sz="4" w:space="0" w:color="auto"/>
            </w:tcBorders>
            <w:hideMark/>
          </w:tcPr>
          <w:p w14:paraId="175C716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ქარის მიმართ.</w:t>
            </w:r>
          </w:p>
        </w:tc>
        <w:tc>
          <w:tcPr>
            <w:tcW w:w="1051" w:type="dxa"/>
            <w:tcBorders>
              <w:top w:val="single" w:sz="4" w:space="0" w:color="auto"/>
              <w:left w:val="single" w:sz="4" w:space="0" w:color="auto"/>
              <w:bottom w:val="single" w:sz="4" w:space="0" w:color="auto"/>
              <w:right w:val="single" w:sz="4" w:space="0" w:color="auto"/>
            </w:tcBorders>
            <w:hideMark/>
          </w:tcPr>
          <w:p w14:paraId="50763F9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ქარის სიჩქ.</w:t>
            </w:r>
          </w:p>
        </w:tc>
        <w:tc>
          <w:tcPr>
            <w:tcW w:w="992" w:type="dxa"/>
            <w:tcBorders>
              <w:top w:val="single" w:sz="4" w:space="0" w:color="auto"/>
              <w:left w:val="single" w:sz="4" w:space="0" w:color="auto"/>
              <w:bottom w:val="single" w:sz="4" w:space="0" w:color="auto"/>
              <w:right w:val="single" w:sz="4" w:space="0" w:color="auto"/>
            </w:tcBorders>
            <w:hideMark/>
          </w:tcPr>
          <w:p w14:paraId="6372B49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ფონი (ზდკ-ს წილი)</w:t>
            </w:r>
          </w:p>
        </w:tc>
        <w:tc>
          <w:tcPr>
            <w:tcW w:w="934" w:type="dxa"/>
            <w:tcBorders>
              <w:top w:val="single" w:sz="4" w:space="0" w:color="auto"/>
              <w:left w:val="single" w:sz="4" w:space="0" w:color="auto"/>
              <w:bottom w:val="single" w:sz="4" w:space="0" w:color="auto"/>
              <w:right w:val="single" w:sz="4" w:space="0" w:color="auto"/>
            </w:tcBorders>
            <w:hideMark/>
          </w:tcPr>
          <w:p w14:paraId="4287B15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ფონი გამორი-ცხვამდე</w:t>
            </w:r>
          </w:p>
        </w:tc>
        <w:tc>
          <w:tcPr>
            <w:tcW w:w="934" w:type="dxa"/>
            <w:tcBorders>
              <w:top w:val="single" w:sz="4" w:space="0" w:color="auto"/>
              <w:left w:val="single" w:sz="4" w:space="0" w:color="auto"/>
              <w:bottom w:val="single" w:sz="4" w:space="0" w:color="auto"/>
              <w:right w:val="single" w:sz="4" w:space="0" w:color="auto"/>
            </w:tcBorders>
            <w:hideMark/>
          </w:tcPr>
          <w:p w14:paraId="6AAA58C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წერტილ. ტიპი</w:t>
            </w:r>
          </w:p>
        </w:tc>
      </w:tr>
    </w:tbl>
    <w:p w14:paraId="1C754F0E" w14:textId="77777777" w:rsidR="00A2588D" w:rsidRDefault="00A2588D" w:rsidP="00A2588D">
      <w:pPr>
        <w:widowControl w:val="0"/>
        <w:autoSpaceDE w:val="0"/>
        <w:autoSpaceDN w:val="0"/>
        <w:adjustRightInd w:val="0"/>
        <w:rPr>
          <w:rFonts w:ascii="Sylfaen" w:hAnsi="Sylfaen" w:cs="Arial"/>
          <w:b/>
          <w:bCs/>
          <w:sz w:val="20"/>
          <w:szCs w:val="20"/>
          <w:lang w:val="ka-GE"/>
        </w:rPr>
      </w:pPr>
    </w:p>
    <w:p w14:paraId="5B669643"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0301</w:t>
      </w:r>
      <w:r>
        <w:rPr>
          <w:rFonts w:ascii="Sylfaen" w:hAnsi="Sylfaen" w:cs="Arial"/>
          <w:b/>
          <w:bCs/>
          <w:sz w:val="20"/>
          <w:szCs w:val="20"/>
          <w:lang w:val="ka-GE"/>
        </w:rPr>
        <w:t xml:space="preserve">   აზოტის (IV) ოქსიდი (აზოტის დიოქსიდი)</w:t>
      </w:r>
    </w:p>
    <w:p w14:paraId="099F81CD"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817"/>
        <w:gridCol w:w="1036"/>
        <w:gridCol w:w="1051"/>
        <w:gridCol w:w="949"/>
        <w:gridCol w:w="1109"/>
        <w:gridCol w:w="1051"/>
        <w:gridCol w:w="1051"/>
        <w:gridCol w:w="992"/>
        <w:gridCol w:w="934"/>
        <w:gridCol w:w="934"/>
      </w:tblGrid>
      <w:tr w:rsidR="00A2588D" w14:paraId="050373BD"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74359C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1036" w:type="dxa"/>
            <w:tcBorders>
              <w:top w:val="single" w:sz="4" w:space="0" w:color="auto"/>
              <w:left w:val="single" w:sz="4" w:space="0" w:color="auto"/>
              <w:bottom w:val="single" w:sz="4" w:space="0" w:color="auto"/>
              <w:right w:val="single" w:sz="4" w:space="0" w:color="auto"/>
            </w:tcBorders>
            <w:hideMark/>
          </w:tcPr>
          <w:p w14:paraId="7DD926D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263</w:t>
            </w:r>
          </w:p>
        </w:tc>
        <w:tc>
          <w:tcPr>
            <w:tcW w:w="1051" w:type="dxa"/>
            <w:tcBorders>
              <w:top w:val="single" w:sz="4" w:space="0" w:color="auto"/>
              <w:left w:val="single" w:sz="4" w:space="0" w:color="auto"/>
              <w:bottom w:val="single" w:sz="4" w:space="0" w:color="auto"/>
              <w:right w:val="single" w:sz="4" w:space="0" w:color="auto"/>
            </w:tcBorders>
            <w:hideMark/>
          </w:tcPr>
          <w:p w14:paraId="0EB44C1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176</w:t>
            </w:r>
          </w:p>
        </w:tc>
        <w:tc>
          <w:tcPr>
            <w:tcW w:w="949" w:type="dxa"/>
            <w:tcBorders>
              <w:top w:val="single" w:sz="4" w:space="0" w:color="auto"/>
              <w:left w:val="single" w:sz="4" w:space="0" w:color="auto"/>
              <w:bottom w:val="single" w:sz="4" w:space="0" w:color="auto"/>
              <w:right w:val="single" w:sz="4" w:space="0" w:color="auto"/>
            </w:tcBorders>
            <w:hideMark/>
          </w:tcPr>
          <w:p w14:paraId="35D6FE1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13DFABD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19</w:t>
            </w:r>
          </w:p>
        </w:tc>
        <w:tc>
          <w:tcPr>
            <w:tcW w:w="1051" w:type="dxa"/>
            <w:tcBorders>
              <w:top w:val="single" w:sz="4" w:space="0" w:color="auto"/>
              <w:left w:val="single" w:sz="4" w:space="0" w:color="auto"/>
              <w:bottom w:val="single" w:sz="4" w:space="0" w:color="auto"/>
              <w:right w:val="single" w:sz="4" w:space="0" w:color="auto"/>
            </w:tcBorders>
            <w:hideMark/>
          </w:tcPr>
          <w:p w14:paraId="06D093B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107</w:t>
            </w:r>
          </w:p>
        </w:tc>
        <w:tc>
          <w:tcPr>
            <w:tcW w:w="1051" w:type="dxa"/>
            <w:tcBorders>
              <w:top w:val="single" w:sz="4" w:space="0" w:color="auto"/>
              <w:left w:val="single" w:sz="4" w:space="0" w:color="auto"/>
              <w:bottom w:val="single" w:sz="4" w:space="0" w:color="auto"/>
              <w:right w:val="single" w:sz="4" w:space="0" w:color="auto"/>
            </w:tcBorders>
            <w:hideMark/>
          </w:tcPr>
          <w:p w14:paraId="0ABF1B2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r>
              <w:rPr>
                <w:rFonts w:ascii="Sylfaen" w:hAnsi="Sylfaen" w:cs="Arial"/>
                <w:sz w:val="20"/>
                <w:szCs w:val="20"/>
                <w:lang w:val="ka-GE"/>
              </w:rPr>
              <w:t>,</w:t>
            </w:r>
            <w:r>
              <w:rPr>
                <w:rFonts w:ascii="Sylfaen" w:hAnsi="Sylfaen"/>
                <w:sz w:val="20"/>
                <w:szCs w:val="20"/>
                <w:lang w:val="ka-GE"/>
              </w:rPr>
              <w:t>35</w:t>
            </w:r>
          </w:p>
        </w:tc>
        <w:tc>
          <w:tcPr>
            <w:tcW w:w="992" w:type="dxa"/>
            <w:tcBorders>
              <w:top w:val="single" w:sz="4" w:space="0" w:color="auto"/>
              <w:left w:val="single" w:sz="4" w:space="0" w:color="auto"/>
              <w:bottom w:val="single" w:sz="4" w:space="0" w:color="auto"/>
              <w:right w:val="single" w:sz="4" w:space="0" w:color="auto"/>
            </w:tcBorders>
            <w:hideMark/>
          </w:tcPr>
          <w:p w14:paraId="6080D0C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8D62B9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B52729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2574E4C3"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707BBB73"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1036" w:type="dxa"/>
            <w:tcBorders>
              <w:top w:val="single" w:sz="4" w:space="0" w:color="auto"/>
              <w:left w:val="single" w:sz="4" w:space="0" w:color="auto"/>
              <w:bottom w:val="single" w:sz="4" w:space="0" w:color="auto"/>
              <w:right w:val="single" w:sz="4" w:space="0" w:color="auto"/>
            </w:tcBorders>
            <w:hideMark/>
          </w:tcPr>
          <w:p w14:paraId="55D327E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364</w:t>
            </w:r>
          </w:p>
        </w:tc>
        <w:tc>
          <w:tcPr>
            <w:tcW w:w="1051" w:type="dxa"/>
            <w:tcBorders>
              <w:top w:val="single" w:sz="4" w:space="0" w:color="auto"/>
              <w:left w:val="single" w:sz="4" w:space="0" w:color="auto"/>
              <w:bottom w:val="single" w:sz="4" w:space="0" w:color="auto"/>
              <w:right w:val="single" w:sz="4" w:space="0" w:color="auto"/>
            </w:tcBorders>
            <w:hideMark/>
          </w:tcPr>
          <w:p w14:paraId="20AED64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210</w:t>
            </w:r>
          </w:p>
        </w:tc>
        <w:tc>
          <w:tcPr>
            <w:tcW w:w="949" w:type="dxa"/>
            <w:tcBorders>
              <w:top w:val="single" w:sz="4" w:space="0" w:color="auto"/>
              <w:left w:val="single" w:sz="4" w:space="0" w:color="auto"/>
              <w:bottom w:val="single" w:sz="4" w:space="0" w:color="auto"/>
              <w:right w:val="single" w:sz="4" w:space="0" w:color="auto"/>
            </w:tcBorders>
            <w:hideMark/>
          </w:tcPr>
          <w:p w14:paraId="6E60652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031625F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10</w:t>
            </w:r>
          </w:p>
        </w:tc>
        <w:tc>
          <w:tcPr>
            <w:tcW w:w="1051" w:type="dxa"/>
            <w:tcBorders>
              <w:top w:val="single" w:sz="4" w:space="0" w:color="auto"/>
              <w:left w:val="single" w:sz="4" w:space="0" w:color="auto"/>
              <w:bottom w:val="single" w:sz="4" w:space="0" w:color="auto"/>
              <w:right w:val="single" w:sz="4" w:space="0" w:color="auto"/>
            </w:tcBorders>
            <w:hideMark/>
          </w:tcPr>
          <w:p w14:paraId="03BB84F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52</w:t>
            </w:r>
          </w:p>
        </w:tc>
        <w:tc>
          <w:tcPr>
            <w:tcW w:w="1051" w:type="dxa"/>
            <w:tcBorders>
              <w:top w:val="single" w:sz="4" w:space="0" w:color="auto"/>
              <w:left w:val="single" w:sz="4" w:space="0" w:color="auto"/>
              <w:bottom w:val="single" w:sz="4" w:space="0" w:color="auto"/>
              <w:right w:val="single" w:sz="4" w:space="0" w:color="auto"/>
            </w:tcBorders>
            <w:hideMark/>
          </w:tcPr>
          <w:p w14:paraId="4BE8EAD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w:t>
            </w:r>
            <w:r>
              <w:rPr>
                <w:rFonts w:ascii="Sylfaen" w:hAnsi="Sylfaen"/>
                <w:sz w:val="20"/>
                <w:szCs w:val="20"/>
                <w:lang w:val="ka-GE"/>
              </w:rPr>
              <w:t>49</w:t>
            </w:r>
          </w:p>
        </w:tc>
        <w:tc>
          <w:tcPr>
            <w:tcW w:w="992" w:type="dxa"/>
            <w:tcBorders>
              <w:top w:val="single" w:sz="4" w:space="0" w:color="auto"/>
              <w:left w:val="single" w:sz="4" w:space="0" w:color="auto"/>
              <w:bottom w:val="single" w:sz="4" w:space="0" w:color="auto"/>
              <w:right w:val="single" w:sz="4" w:space="0" w:color="auto"/>
            </w:tcBorders>
            <w:hideMark/>
          </w:tcPr>
          <w:p w14:paraId="41856B1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366B63F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0E6130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4FF1D124"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1078D1ED"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2</w:t>
            </w:r>
          </w:p>
        </w:tc>
        <w:tc>
          <w:tcPr>
            <w:tcW w:w="1036" w:type="dxa"/>
            <w:tcBorders>
              <w:top w:val="single" w:sz="4" w:space="0" w:color="auto"/>
              <w:left w:val="single" w:sz="4" w:space="0" w:color="auto"/>
              <w:bottom w:val="single" w:sz="4" w:space="0" w:color="auto"/>
              <w:right w:val="single" w:sz="4" w:space="0" w:color="auto"/>
            </w:tcBorders>
            <w:hideMark/>
          </w:tcPr>
          <w:p w14:paraId="061A36B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578</w:t>
            </w:r>
          </w:p>
        </w:tc>
        <w:tc>
          <w:tcPr>
            <w:tcW w:w="1051" w:type="dxa"/>
            <w:tcBorders>
              <w:top w:val="single" w:sz="4" w:space="0" w:color="auto"/>
              <w:left w:val="single" w:sz="4" w:space="0" w:color="auto"/>
              <w:bottom w:val="single" w:sz="4" w:space="0" w:color="auto"/>
              <w:right w:val="single" w:sz="4" w:space="0" w:color="auto"/>
            </w:tcBorders>
            <w:hideMark/>
          </w:tcPr>
          <w:p w14:paraId="36B18DC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w:t>
            </w:r>
          </w:p>
        </w:tc>
        <w:tc>
          <w:tcPr>
            <w:tcW w:w="949" w:type="dxa"/>
            <w:tcBorders>
              <w:top w:val="single" w:sz="4" w:space="0" w:color="auto"/>
              <w:left w:val="single" w:sz="4" w:space="0" w:color="auto"/>
              <w:bottom w:val="single" w:sz="4" w:space="0" w:color="auto"/>
              <w:right w:val="single" w:sz="4" w:space="0" w:color="auto"/>
            </w:tcBorders>
            <w:hideMark/>
          </w:tcPr>
          <w:p w14:paraId="5498E4D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088F9B8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09</w:t>
            </w:r>
          </w:p>
        </w:tc>
        <w:tc>
          <w:tcPr>
            <w:tcW w:w="1051" w:type="dxa"/>
            <w:tcBorders>
              <w:top w:val="single" w:sz="4" w:space="0" w:color="auto"/>
              <w:left w:val="single" w:sz="4" w:space="0" w:color="auto"/>
              <w:bottom w:val="single" w:sz="4" w:space="0" w:color="auto"/>
              <w:right w:val="single" w:sz="4" w:space="0" w:color="auto"/>
            </w:tcBorders>
            <w:hideMark/>
          </w:tcPr>
          <w:p w14:paraId="084EE70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282</w:t>
            </w:r>
          </w:p>
        </w:tc>
        <w:tc>
          <w:tcPr>
            <w:tcW w:w="1051" w:type="dxa"/>
            <w:tcBorders>
              <w:top w:val="single" w:sz="4" w:space="0" w:color="auto"/>
              <w:left w:val="single" w:sz="4" w:space="0" w:color="auto"/>
              <w:bottom w:val="single" w:sz="4" w:space="0" w:color="auto"/>
              <w:right w:val="single" w:sz="4" w:space="0" w:color="auto"/>
            </w:tcBorders>
            <w:hideMark/>
          </w:tcPr>
          <w:p w14:paraId="5601047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73</w:t>
            </w:r>
          </w:p>
        </w:tc>
        <w:tc>
          <w:tcPr>
            <w:tcW w:w="992" w:type="dxa"/>
            <w:tcBorders>
              <w:top w:val="single" w:sz="4" w:space="0" w:color="auto"/>
              <w:left w:val="single" w:sz="4" w:space="0" w:color="auto"/>
              <w:bottom w:val="single" w:sz="4" w:space="0" w:color="auto"/>
              <w:right w:val="single" w:sz="4" w:space="0" w:color="auto"/>
            </w:tcBorders>
            <w:hideMark/>
          </w:tcPr>
          <w:p w14:paraId="0014AFF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34B001D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F4407F3"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28678046"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0AF1201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c>
          <w:tcPr>
            <w:tcW w:w="1036" w:type="dxa"/>
            <w:tcBorders>
              <w:top w:val="single" w:sz="4" w:space="0" w:color="auto"/>
              <w:left w:val="single" w:sz="4" w:space="0" w:color="auto"/>
              <w:bottom w:val="single" w:sz="4" w:space="0" w:color="auto"/>
              <w:right w:val="single" w:sz="4" w:space="0" w:color="auto"/>
            </w:tcBorders>
            <w:hideMark/>
          </w:tcPr>
          <w:p w14:paraId="5F687C7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467C2CA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949" w:type="dxa"/>
            <w:tcBorders>
              <w:top w:val="single" w:sz="4" w:space="0" w:color="auto"/>
              <w:left w:val="single" w:sz="4" w:space="0" w:color="auto"/>
              <w:bottom w:val="single" w:sz="4" w:space="0" w:color="auto"/>
              <w:right w:val="single" w:sz="4" w:space="0" w:color="auto"/>
            </w:tcBorders>
            <w:hideMark/>
          </w:tcPr>
          <w:p w14:paraId="24CA2F2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7B7FCA4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09</w:t>
            </w:r>
          </w:p>
        </w:tc>
        <w:tc>
          <w:tcPr>
            <w:tcW w:w="1051" w:type="dxa"/>
            <w:tcBorders>
              <w:top w:val="single" w:sz="4" w:space="0" w:color="auto"/>
              <w:left w:val="single" w:sz="4" w:space="0" w:color="auto"/>
              <w:bottom w:val="single" w:sz="4" w:space="0" w:color="auto"/>
              <w:right w:val="single" w:sz="4" w:space="0" w:color="auto"/>
            </w:tcBorders>
            <w:hideMark/>
          </w:tcPr>
          <w:p w14:paraId="707EE65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82</w:t>
            </w:r>
          </w:p>
        </w:tc>
        <w:tc>
          <w:tcPr>
            <w:tcW w:w="1051" w:type="dxa"/>
            <w:tcBorders>
              <w:top w:val="single" w:sz="4" w:space="0" w:color="auto"/>
              <w:left w:val="single" w:sz="4" w:space="0" w:color="auto"/>
              <w:bottom w:val="single" w:sz="4" w:space="0" w:color="auto"/>
              <w:right w:val="single" w:sz="4" w:space="0" w:color="auto"/>
            </w:tcBorders>
            <w:hideMark/>
          </w:tcPr>
          <w:p w14:paraId="4F57A9C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73</w:t>
            </w:r>
          </w:p>
        </w:tc>
        <w:tc>
          <w:tcPr>
            <w:tcW w:w="992" w:type="dxa"/>
            <w:tcBorders>
              <w:top w:val="single" w:sz="4" w:space="0" w:color="auto"/>
              <w:left w:val="single" w:sz="4" w:space="0" w:color="auto"/>
              <w:bottom w:val="single" w:sz="4" w:space="0" w:color="auto"/>
              <w:right w:val="single" w:sz="4" w:space="0" w:color="auto"/>
            </w:tcBorders>
            <w:hideMark/>
          </w:tcPr>
          <w:p w14:paraId="711992E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D25B70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AEB855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0B2932E8"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25B0C83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1036" w:type="dxa"/>
            <w:tcBorders>
              <w:top w:val="single" w:sz="4" w:space="0" w:color="auto"/>
              <w:left w:val="single" w:sz="4" w:space="0" w:color="auto"/>
              <w:bottom w:val="single" w:sz="4" w:space="0" w:color="auto"/>
              <w:right w:val="single" w:sz="4" w:space="0" w:color="auto"/>
            </w:tcBorders>
            <w:hideMark/>
          </w:tcPr>
          <w:p w14:paraId="09FD7DB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5CCD5F0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288</w:t>
            </w:r>
          </w:p>
        </w:tc>
        <w:tc>
          <w:tcPr>
            <w:tcW w:w="949" w:type="dxa"/>
            <w:tcBorders>
              <w:top w:val="single" w:sz="4" w:space="0" w:color="auto"/>
              <w:left w:val="single" w:sz="4" w:space="0" w:color="auto"/>
              <w:bottom w:val="single" w:sz="4" w:space="0" w:color="auto"/>
              <w:right w:val="single" w:sz="4" w:space="0" w:color="auto"/>
            </w:tcBorders>
            <w:hideMark/>
          </w:tcPr>
          <w:p w14:paraId="4DC35F3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5B27B7D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09</w:t>
            </w:r>
          </w:p>
        </w:tc>
        <w:tc>
          <w:tcPr>
            <w:tcW w:w="1051" w:type="dxa"/>
            <w:tcBorders>
              <w:top w:val="single" w:sz="4" w:space="0" w:color="auto"/>
              <w:left w:val="single" w:sz="4" w:space="0" w:color="auto"/>
              <w:bottom w:val="single" w:sz="4" w:space="0" w:color="auto"/>
              <w:right w:val="single" w:sz="4" w:space="0" w:color="auto"/>
            </w:tcBorders>
            <w:hideMark/>
          </w:tcPr>
          <w:p w14:paraId="1DC563B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248</w:t>
            </w:r>
          </w:p>
        </w:tc>
        <w:tc>
          <w:tcPr>
            <w:tcW w:w="1051" w:type="dxa"/>
            <w:tcBorders>
              <w:top w:val="single" w:sz="4" w:space="0" w:color="auto"/>
              <w:left w:val="single" w:sz="4" w:space="0" w:color="auto"/>
              <w:bottom w:val="single" w:sz="4" w:space="0" w:color="auto"/>
              <w:right w:val="single" w:sz="4" w:space="0" w:color="auto"/>
            </w:tcBorders>
            <w:hideMark/>
          </w:tcPr>
          <w:p w14:paraId="388E3EF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73</w:t>
            </w:r>
          </w:p>
        </w:tc>
        <w:tc>
          <w:tcPr>
            <w:tcW w:w="992" w:type="dxa"/>
            <w:tcBorders>
              <w:top w:val="single" w:sz="4" w:space="0" w:color="auto"/>
              <w:left w:val="single" w:sz="4" w:space="0" w:color="auto"/>
              <w:bottom w:val="single" w:sz="4" w:space="0" w:color="auto"/>
              <w:right w:val="single" w:sz="4" w:space="0" w:color="auto"/>
            </w:tcBorders>
            <w:hideMark/>
          </w:tcPr>
          <w:p w14:paraId="44115B8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8F0F17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E6BDDC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2FACFC1F"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692A68D"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1036" w:type="dxa"/>
            <w:tcBorders>
              <w:top w:val="single" w:sz="4" w:space="0" w:color="auto"/>
              <w:left w:val="single" w:sz="4" w:space="0" w:color="auto"/>
              <w:bottom w:val="single" w:sz="4" w:space="0" w:color="auto"/>
              <w:right w:val="single" w:sz="4" w:space="0" w:color="auto"/>
            </w:tcBorders>
            <w:hideMark/>
          </w:tcPr>
          <w:p w14:paraId="030C58E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36</w:t>
            </w:r>
          </w:p>
        </w:tc>
        <w:tc>
          <w:tcPr>
            <w:tcW w:w="1051" w:type="dxa"/>
            <w:tcBorders>
              <w:top w:val="single" w:sz="4" w:space="0" w:color="auto"/>
              <w:left w:val="single" w:sz="4" w:space="0" w:color="auto"/>
              <w:bottom w:val="single" w:sz="4" w:space="0" w:color="auto"/>
              <w:right w:val="single" w:sz="4" w:space="0" w:color="auto"/>
            </w:tcBorders>
            <w:hideMark/>
          </w:tcPr>
          <w:p w14:paraId="0BBA413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524</w:t>
            </w:r>
          </w:p>
        </w:tc>
        <w:tc>
          <w:tcPr>
            <w:tcW w:w="949" w:type="dxa"/>
            <w:tcBorders>
              <w:top w:val="single" w:sz="4" w:space="0" w:color="auto"/>
              <w:left w:val="single" w:sz="4" w:space="0" w:color="auto"/>
              <w:bottom w:val="single" w:sz="4" w:space="0" w:color="auto"/>
              <w:right w:val="single" w:sz="4" w:space="0" w:color="auto"/>
            </w:tcBorders>
            <w:hideMark/>
          </w:tcPr>
          <w:p w14:paraId="0364015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2E955AB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07</w:t>
            </w:r>
          </w:p>
        </w:tc>
        <w:tc>
          <w:tcPr>
            <w:tcW w:w="1051" w:type="dxa"/>
            <w:tcBorders>
              <w:top w:val="single" w:sz="4" w:space="0" w:color="auto"/>
              <w:left w:val="single" w:sz="4" w:space="0" w:color="auto"/>
              <w:bottom w:val="single" w:sz="4" w:space="0" w:color="auto"/>
              <w:right w:val="single" w:sz="4" w:space="0" w:color="auto"/>
            </w:tcBorders>
            <w:hideMark/>
          </w:tcPr>
          <w:p w14:paraId="32C503E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358</w:t>
            </w:r>
          </w:p>
        </w:tc>
        <w:tc>
          <w:tcPr>
            <w:tcW w:w="1051" w:type="dxa"/>
            <w:tcBorders>
              <w:top w:val="single" w:sz="4" w:space="0" w:color="auto"/>
              <w:left w:val="single" w:sz="4" w:space="0" w:color="auto"/>
              <w:bottom w:val="single" w:sz="4" w:space="0" w:color="auto"/>
              <w:right w:val="single" w:sz="4" w:space="0" w:color="auto"/>
            </w:tcBorders>
            <w:hideMark/>
          </w:tcPr>
          <w:p w14:paraId="4B34AD4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73</w:t>
            </w:r>
          </w:p>
        </w:tc>
        <w:tc>
          <w:tcPr>
            <w:tcW w:w="992" w:type="dxa"/>
            <w:tcBorders>
              <w:top w:val="single" w:sz="4" w:space="0" w:color="auto"/>
              <w:left w:val="single" w:sz="4" w:space="0" w:color="auto"/>
              <w:bottom w:val="single" w:sz="4" w:space="0" w:color="auto"/>
              <w:right w:val="single" w:sz="4" w:space="0" w:color="auto"/>
            </w:tcBorders>
            <w:hideMark/>
          </w:tcPr>
          <w:p w14:paraId="3EE88B9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A409B1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1B8A9CC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bl>
    <w:p w14:paraId="1A5100D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3099E7D6"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0304</w:t>
      </w:r>
      <w:r>
        <w:rPr>
          <w:rFonts w:ascii="Sylfaen" w:hAnsi="Sylfaen" w:cs="Arial"/>
          <w:b/>
          <w:bCs/>
          <w:sz w:val="20"/>
          <w:szCs w:val="20"/>
          <w:lang w:val="ka-GE"/>
        </w:rPr>
        <w:t xml:space="preserve">   აზოტის (II) ოქსიდი (აზოტის ოქსიდი)</w:t>
      </w:r>
    </w:p>
    <w:p w14:paraId="1B5FCB45"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817"/>
        <w:gridCol w:w="1036"/>
        <w:gridCol w:w="1051"/>
        <w:gridCol w:w="949"/>
        <w:gridCol w:w="1109"/>
        <w:gridCol w:w="1051"/>
        <w:gridCol w:w="1051"/>
        <w:gridCol w:w="992"/>
        <w:gridCol w:w="934"/>
        <w:gridCol w:w="934"/>
      </w:tblGrid>
      <w:tr w:rsidR="00A2588D" w14:paraId="5EC1DEFA"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505D75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1036" w:type="dxa"/>
            <w:tcBorders>
              <w:top w:val="single" w:sz="4" w:space="0" w:color="auto"/>
              <w:left w:val="single" w:sz="4" w:space="0" w:color="auto"/>
              <w:bottom w:val="single" w:sz="4" w:space="0" w:color="auto"/>
              <w:right w:val="single" w:sz="4" w:space="0" w:color="auto"/>
            </w:tcBorders>
            <w:hideMark/>
          </w:tcPr>
          <w:p w14:paraId="0C22936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263</w:t>
            </w:r>
          </w:p>
        </w:tc>
        <w:tc>
          <w:tcPr>
            <w:tcW w:w="1051" w:type="dxa"/>
            <w:tcBorders>
              <w:top w:val="single" w:sz="4" w:space="0" w:color="auto"/>
              <w:left w:val="single" w:sz="4" w:space="0" w:color="auto"/>
              <w:bottom w:val="single" w:sz="4" w:space="0" w:color="auto"/>
              <w:right w:val="single" w:sz="4" w:space="0" w:color="auto"/>
            </w:tcBorders>
            <w:hideMark/>
          </w:tcPr>
          <w:p w14:paraId="257C85E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176</w:t>
            </w:r>
          </w:p>
        </w:tc>
        <w:tc>
          <w:tcPr>
            <w:tcW w:w="949" w:type="dxa"/>
            <w:tcBorders>
              <w:top w:val="single" w:sz="4" w:space="0" w:color="auto"/>
              <w:left w:val="single" w:sz="4" w:space="0" w:color="auto"/>
              <w:bottom w:val="single" w:sz="4" w:space="0" w:color="auto"/>
              <w:right w:val="single" w:sz="4" w:space="0" w:color="auto"/>
            </w:tcBorders>
            <w:hideMark/>
          </w:tcPr>
          <w:p w14:paraId="352968A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109F921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w:t>
            </w:r>
          </w:p>
        </w:tc>
        <w:tc>
          <w:tcPr>
            <w:tcW w:w="1051" w:type="dxa"/>
            <w:tcBorders>
              <w:top w:val="single" w:sz="4" w:space="0" w:color="auto"/>
              <w:left w:val="single" w:sz="4" w:space="0" w:color="auto"/>
              <w:bottom w:val="single" w:sz="4" w:space="0" w:color="auto"/>
              <w:right w:val="single" w:sz="4" w:space="0" w:color="auto"/>
            </w:tcBorders>
            <w:hideMark/>
          </w:tcPr>
          <w:p w14:paraId="54B3B57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107</w:t>
            </w:r>
          </w:p>
        </w:tc>
        <w:tc>
          <w:tcPr>
            <w:tcW w:w="1051" w:type="dxa"/>
            <w:tcBorders>
              <w:top w:val="single" w:sz="4" w:space="0" w:color="auto"/>
              <w:left w:val="single" w:sz="4" w:space="0" w:color="auto"/>
              <w:bottom w:val="single" w:sz="4" w:space="0" w:color="auto"/>
              <w:right w:val="single" w:sz="4" w:space="0" w:color="auto"/>
            </w:tcBorders>
            <w:hideMark/>
          </w:tcPr>
          <w:p w14:paraId="0D45C33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r>
              <w:rPr>
                <w:rFonts w:ascii="Sylfaen" w:hAnsi="Sylfaen" w:cs="Arial"/>
                <w:sz w:val="20"/>
                <w:szCs w:val="20"/>
                <w:lang w:val="ka-GE"/>
              </w:rPr>
              <w:t>,</w:t>
            </w:r>
            <w:r>
              <w:rPr>
                <w:rFonts w:ascii="Sylfaen" w:hAnsi="Sylfaen"/>
                <w:sz w:val="20"/>
                <w:szCs w:val="20"/>
                <w:lang w:val="ka-GE"/>
              </w:rPr>
              <w:t>35</w:t>
            </w:r>
          </w:p>
        </w:tc>
        <w:tc>
          <w:tcPr>
            <w:tcW w:w="992" w:type="dxa"/>
            <w:tcBorders>
              <w:top w:val="single" w:sz="4" w:space="0" w:color="auto"/>
              <w:left w:val="single" w:sz="4" w:space="0" w:color="auto"/>
              <w:bottom w:val="single" w:sz="4" w:space="0" w:color="auto"/>
              <w:right w:val="single" w:sz="4" w:space="0" w:color="auto"/>
            </w:tcBorders>
            <w:hideMark/>
          </w:tcPr>
          <w:p w14:paraId="485FE4A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1D3F7A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BD03D0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4D05C952"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E9407D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1036" w:type="dxa"/>
            <w:tcBorders>
              <w:top w:val="single" w:sz="4" w:space="0" w:color="auto"/>
              <w:left w:val="single" w:sz="4" w:space="0" w:color="auto"/>
              <w:bottom w:val="single" w:sz="4" w:space="0" w:color="auto"/>
              <w:right w:val="single" w:sz="4" w:space="0" w:color="auto"/>
            </w:tcBorders>
            <w:hideMark/>
          </w:tcPr>
          <w:p w14:paraId="1FFCC57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364</w:t>
            </w:r>
          </w:p>
        </w:tc>
        <w:tc>
          <w:tcPr>
            <w:tcW w:w="1051" w:type="dxa"/>
            <w:tcBorders>
              <w:top w:val="single" w:sz="4" w:space="0" w:color="auto"/>
              <w:left w:val="single" w:sz="4" w:space="0" w:color="auto"/>
              <w:bottom w:val="single" w:sz="4" w:space="0" w:color="auto"/>
              <w:right w:val="single" w:sz="4" w:space="0" w:color="auto"/>
            </w:tcBorders>
            <w:hideMark/>
          </w:tcPr>
          <w:p w14:paraId="3F2FB58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210</w:t>
            </w:r>
          </w:p>
        </w:tc>
        <w:tc>
          <w:tcPr>
            <w:tcW w:w="949" w:type="dxa"/>
            <w:tcBorders>
              <w:top w:val="single" w:sz="4" w:space="0" w:color="auto"/>
              <w:left w:val="single" w:sz="4" w:space="0" w:color="auto"/>
              <w:bottom w:val="single" w:sz="4" w:space="0" w:color="auto"/>
              <w:right w:val="single" w:sz="4" w:space="0" w:color="auto"/>
            </w:tcBorders>
            <w:hideMark/>
          </w:tcPr>
          <w:p w14:paraId="2453D35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3EDF552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8</w:t>
            </w:r>
            <w:r>
              <w:rPr>
                <w:rFonts w:ascii="Sylfaen" w:hAnsi="Sylfaen" w:cs="Arial"/>
                <w:sz w:val="20"/>
                <w:szCs w:val="20"/>
                <w:lang w:val="ka-GE"/>
              </w:rPr>
              <w:t>,0</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18D3450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52</w:t>
            </w:r>
          </w:p>
        </w:tc>
        <w:tc>
          <w:tcPr>
            <w:tcW w:w="1051" w:type="dxa"/>
            <w:tcBorders>
              <w:top w:val="single" w:sz="4" w:space="0" w:color="auto"/>
              <w:left w:val="single" w:sz="4" w:space="0" w:color="auto"/>
              <w:bottom w:val="single" w:sz="4" w:space="0" w:color="auto"/>
              <w:right w:val="single" w:sz="4" w:space="0" w:color="auto"/>
            </w:tcBorders>
            <w:hideMark/>
          </w:tcPr>
          <w:p w14:paraId="7C0C521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w:t>
            </w:r>
            <w:r>
              <w:rPr>
                <w:rFonts w:ascii="Sylfaen" w:hAnsi="Sylfaen"/>
                <w:sz w:val="20"/>
                <w:szCs w:val="20"/>
                <w:lang w:val="ka-GE"/>
              </w:rPr>
              <w:t>49</w:t>
            </w:r>
          </w:p>
        </w:tc>
        <w:tc>
          <w:tcPr>
            <w:tcW w:w="992" w:type="dxa"/>
            <w:tcBorders>
              <w:top w:val="single" w:sz="4" w:space="0" w:color="auto"/>
              <w:left w:val="single" w:sz="4" w:space="0" w:color="auto"/>
              <w:bottom w:val="single" w:sz="4" w:space="0" w:color="auto"/>
              <w:right w:val="single" w:sz="4" w:space="0" w:color="auto"/>
            </w:tcBorders>
            <w:hideMark/>
          </w:tcPr>
          <w:p w14:paraId="7FB73FA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34120C7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3375E603"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70456B13"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72092C8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2</w:t>
            </w:r>
          </w:p>
        </w:tc>
        <w:tc>
          <w:tcPr>
            <w:tcW w:w="1036" w:type="dxa"/>
            <w:tcBorders>
              <w:top w:val="single" w:sz="4" w:space="0" w:color="auto"/>
              <w:left w:val="single" w:sz="4" w:space="0" w:color="auto"/>
              <w:bottom w:val="single" w:sz="4" w:space="0" w:color="auto"/>
              <w:right w:val="single" w:sz="4" w:space="0" w:color="auto"/>
            </w:tcBorders>
            <w:hideMark/>
          </w:tcPr>
          <w:p w14:paraId="64FDF36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578</w:t>
            </w:r>
          </w:p>
        </w:tc>
        <w:tc>
          <w:tcPr>
            <w:tcW w:w="1051" w:type="dxa"/>
            <w:tcBorders>
              <w:top w:val="single" w:sz="4" w:space="0" w:color="auto"/>
              <w:left w:val="single" w:sz="4" w:space="0" w:color="auto"/>
              <w:bottom w:val="single" w:sz="4" w:space="0" w:color="auto"/>
              <w:right w:val="single" w:sz="4" w:space="0" w:color="auto"/>
            </w:tcBorders>
            <w:hideMark/>
          </w:tcPr>
          <w:p w14:paraId="7D70D2B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w:t>
            </w:r>
          </w:p>
        </w:tc>
        <w:tc>
          <w:tcPr>
            <w:tcW w:w="949" w:type="dxa"/>
            <w:tcBorders>
              <w:top w:val="single" w:sz="4" w:space="0" w:color="auto"/>
              <w:left w:val="single" w:sz="4" w:space="0" w:color="auto"/>
              <w:bottom w:val="single" w:sz="4" w:space="0" w:color="auto"/>
              <w:right w:val="single" w:sz="4" w:space="0" w:color="auto"/>
            </w:tcBorders>
            <w:hideMark/>
          </w:tcPr>
          <w:p w14:paraId="6C51D90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1AFFD44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,2</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637EC56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282</w:t>
            </w:r>
          </w:p>
        </w:tc>
        <w:tc>
          <w:tcPr>
            <w:tcW w:w="1051" w:type="dxa"/>
            <w:tcBorders>
              <w:top w:val="single" w:sz="4" w:space="0" w:color="auto"/>
              <w:left w:val="single" w:sz="4" w:space="0" w:color="auto"/>
              <w:bottom w:val="single" w:sz="4" w:space="0" w:color="auto"/>
              <w:right w:val="single" w:sz="4" w:space="0" w:color="auto"/>
            </w:tcBorders>
            <w:hideMark/>
          </w:tcPr>
          <w:p w14:paraId="11683A6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73</w:t>
            </w:r>
          </w:p>
        </w:tc>
        <w:tc>
          <w:tcPr>
            <w:tcW w:w="992" w:type="dxa"/>
            <w:tcBorders>
              <w:top w:val="single" w:sz="4" w:space="0" w:color="auto"/>
              <w:left w:val="single" w:sz="4" w:space="0" w:color="auto"/>
              <w:bottom w:val="single" w:sz="4" w:space="0" w:color="auto"/>
              <w:right w:val="single" w:sz="4" w:space="0" w:color="auto"/>
            </w:tcBorders>
            <w:hideMark/>
          </w:tcPr>
          <w:p w14:paraId="6694E1B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8A4566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394030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1D5E39F3"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3229ACF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c>
          <w:tcPr>
            <w:tcW w:w="1036" w:type="dxa"/>
            <w:tcBorders>
              <w:top w:val="single" w:sz="4" w:space="0" w:color="auto"/>
              <w:left w:val="single" w:sz="4" w:space="0" w:color="auto"/>
              <w:bottom w:val="single" w:sz="4" w:space="0" w:color="auto"/>
              <w:right w:val="single" w:sz="4" w:space="0" w:color="auto"/>
            </w:tcBorders>
            <w:hideMark/>
          </w:tcPr>
          <w:p w14:paraId="03DC68E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39B1271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949" w:type="dxa"/>
            <w:tcBorders>
              <w:top w:val="single" w:sz="4" w:space="0" w:color="auto"/>
              <w:left w:val="single" w:sz="4" w:space="0" w:color="auto"/>
              <w:bottom w:val="single" w:sz="4" w:space="0" w:color="auto"/>
              <w:right w:val="single" w:sz="4" w:space="0" w:color="auto"/>
            </w:tcBorders>
            <w:hideMark/>
          </w:tcPr>
          <w:p w14:paraId="5C3611B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2151C02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,0</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5845F7A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82</w:t>
            </w:r>
          </w:p>
        </w:tc>
        <w:tc>
          <w:tcPr>
            <w:tcW w:w="1051" w:type="dxa"/>
            <w:tcBorders>
              <w:top w:val="single" w:sz="4" w:space="0" w:color="auto"/>
              <w:left w:val="single" w:sz="4" w:space="0" w:color="auto"/>
              <w:bottom w:val="single" w:sz="4" w:space="0" w:color="auto"/>
              <w:right w:val="single" w:sz="4" w:space="0" w:color="auto"/>
            </w:tcBorders>
            <w:hideMark/>
          </w:tcPr>
          <w:p w14:paraId="0F3BA1A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73</w:t>
            </w:r>
          </w:p>
        </w:tc>
        <w:tc>
          <w:tcPr>
            <w:tcW w:w="992" w:type="dxa"/>
            <w:tcBorders>
              <w:top w:val="single" w:sz="4" w:space="0" w:color="auto"/>
              <w:left w:val="single" w:sz="4" w:space="0" w:color="auto"/>
              <w:bottom w:val="single" w:sz="4" w:space="0" w:color="auto"/>
              <w:right w:val="single" w:sz="4" w:space="0" w:color="auto"/>
            </w:tcBorders>
            <w:hideMark/>
          </w:tcPr>
          <w:p w14:paraId="7DB6776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C0EEF6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4020A9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030DC2D8"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2E1DDF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1036" w:type="dxa"/>
            <w:tcBorders>
              <w:top w:val="single" w:sz="4" w:space="0" w:color="auto"/>
              <w:left w:val="single" w:sz="4" w:space="0" w:color="auto"/>
              <w:bottom w:val="single" w:sz="4" w:space="0" w:color="auto"/>
              <w:right w:val="single" w:sz="4" w:space="0" w:color="auto"/>
            </w:tcBorders>
            <w:hideMark/>
          </w:tcPr>
          <w:p w14:paraId="6E0E346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31FC8F0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288</w:t>
            </w:r>
          </w:p>
        </w:tc>
        <w:tc>
          <w:tcPr>
            <w:tcW w:w="949" w:type="dxa"/>
            <w:tcBorders>
              <w:top w:val="single" w:sz="4" w:space="0" w:color="auto"/>
              <w:left w:val="single" w:sz="4" w:space="0" w:color="auto"/>
              <w:bottom w:val="single" w:sz="4" w:space="0" w:color="auto"/>
              <w:right w:val="single" w:sz="4" w:space="0" w:color="auto"/>
            </w:tcBorders>
            <w:hideMark/>
          </w:tcPr>
          <w:p w14:paraId="41071FD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495E167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,0</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39916B8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248</w:t>
            </w:r>
          </w:p>
        </w:tc>
        <w:tc>
          <w:tcPr>
            <w:tcW w:w="1051" w:type="dxa"/>
            <w:tcBorders>
              <w:top w:val="single" w:sz="4" w:space="0" w:color="auto"/>
              <w:left w:val="single" w:sz="4" w:space="0" w:color="auto"/>
              <w:bottom w:val="single" w:sz="4" w:space="0" w:color="auto"/>
              <w:right w:val="single" w:sz="4" w:space="0" w:color="auto"/>
            </w:tcBorders>
            <w:hideMark/>
          </w:tcPr>
          <w:p w14:paraId="1AD7547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73</w:t>
            </w:r>
          </w:p>
        </w:tc>
        <w:tc>
          <w:tcPr>
            <w:tcW w:w="992" w:type="dxa"/>
            <w:tcBorders>
              <w:top w:val="single" w:sz="4" w:space="0" w:color="auto"/>
              <w:left w:val="single" w:sz="4" w:space="0" w:color="auto"/>
              <w:bottom w:val="single" w:sz="4" w:space="0" w:color="auto"/>
              <w:right w:val="single" w:sz="4" w:space="0" w:color="auto"/>
            </w:tcBorders>
            <w:hideMark/>
          </w:tcPr>
          <w:p w14:paraId="51D0301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3AD1106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16E646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77ABB824"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1F897A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1036" w:type="dxa"/>
            <w:tcBorders>
              <w:top w:val="single" w:sz="4" w:space="0" w:color="auto"/>
              <w:left w:val="single" w:sz="4" w:space="0" w:color="auto"/>
              <w:bottom w:val="single" w:sz="4" w:space="0" w:color="auto"/>
              <w:right w:val="single" w:sz="4" w:space="0" w:color="auto"/>
            </w:tcBorders>
            <w:hideMark/>
          </w:tcPr>
          <w:p w14:paraId="78DE0BE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36</w:t>
            </w:r>
          </w:p>
        </w:tc>
        <w:tc>
          <w:tcPr>
            <w:tcW w:w="1051" w:type="dxa"/>
            <w:tcBorders>
              <w:top w:val="single" w:sz="4" w:space="0" w:color="auto"/>
              <w:left w:val="single" w:sz="4" w:space="0" w:color="auto"/>
              <w:bottom w:val="single" w:sz="4" w:space="0" w:color="auto"/>
              <w:right w:val="single" w:sz="4" w:space="0" w:color="auto"/>
            </w:tcBorders>
            <w:hideMark/>
          </w:tcPr>
          <w:p w14:paraId="797BC40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524</w:t>
            </w:r>
          </w:p>
        </w:tc>
        <w:tc>
          <w:tcPr>
            <w:tcW w:w="949" w:type="dxa"/>
            <w:tcBorders>
              <w:top w:val="single" w:sz="4" w:space="0" w:color="auto"/>
              <w:left w:val="single" w:sz="4" w:space="0" w:color="auto"/>
              <w:bottom w:val="single" w:sz="4" w:space="0" w:color="auto"/>
              <w:right w:val="single" w:sz="4" w:space="0" w:color="auto"/>
            </w:tcBorders>
            <w:hideMark/>
          </w:tcPr>
          <w:p w14:paraId="1C1B5CF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60CA3A4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w:t>
            </w:r>
            <w:r>
              <w:rPr>
                <w:rFonts w:ascii="Sylfaen" w:hAnsi="Sylfaen" w:cs="Arial"/>
                <w:sz w:val="20"/>
                <w:szCs w:val="20"/>
                <w:lang w:val="ka-GE"/>
              </w:rPr>
              <w:t>,0</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492AD21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358</w:t>
            </w:r>
          </w:p>
        </w:tc>
        <w:tc>
          <w:tcPr>
            <w:tcW w:w="1051" w:type="dxa"/>
            <w:tcBorders>
              <w:top w:val="single" w:sz="4" w:space="0" w:color="auto"/>
              <w:left w:val="single" w:sz="4" w:space="0" w:color="auto"/>
              <w:bottom w:val="single" w:sz="4" w:space="0" w:color="auto"/>
              <w:right w:val="single" w:sz="4" w:space="0" w:color="auto"/>
            </w:tcBorders>
            <w:hideMark/>
          </w:tcPr>
          <w:p w14:paraId="0ACAB8D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73</w:t>
            </w:r>
          </w:p>
        </w:tc>
        <w:tc>
          <w:tcPr>
            <w:tcW w:w="992" w:type="dxa"/>
            <w:tcBorders>
              <w:top w:val="single" w:sz="4" w:space="0" w:color="auto"/>
              <w:left w:val="single" w:sz="4" w:space="0" w:color="auto"/>
              <w:bottom w:val="single" w:sz="4" w:space="0" w:color="auto"/>
              <w:right w:val="single" w:sz="4" w:space="0" w:color="auto"/>
            </w:tcBorders>
            <w:hideMark/>
          </w:tcPr>
          <w:p w14:paraId="1E20D21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C287D9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867F84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bl>
    <w:p w14:paraId="11C437D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2F9DEE6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0328</w:t>
      </w:r>
      <w:r>
        <w:rPr>
          <w:rFonts w:ascii="Sylfaen" w:hAnsi="Sylfaen" w:cs="Arial"/>
          <w:b/>
          <w:bCs/>
          <w:sz w:val="20"/>
          <w:szCs w:val="20"/>
          <w:lang w:val="ka-GE"/>
        </w:rPr>
        <w:t xml:space="preserve">   შავი ნახშირბადი (ჭვარტლი)</w:t>
      </w:r>
    </w:p>
    <w:p w14:paraId="58D06020"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817"/>
        <w:gridCol w:w="1036"/>
        <w:gridCol w:w="1051"/>
        <w:gridCol w:w="949"/>
        <w:gridCol w:w="1109"/>
        <w:gridCol w:w="1051"/>
        <w:gridCol w:w="1051"/>
        <w:gridCol w:w="992"/>
        <w:gridCol w:w="934"/>
        <w:gridCol w:w="934"/>
      </w:tblGrid>
      <w:tr w:rsidR="00A2588D" w14:paraId="3F69CDFF"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D04A2F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1036" w:type="dxa"/>
            <w:tcBorders>
              <w:top w:val="single" w:sz="4" w:space="0" w:color="auto"/>
              <w:left w:val="single" w:sz="4" w:space="0" w:color="auto"/>
              <w:bottom w:val="single" w:sz="4" w:space="0" w:color="auto"/>
              <w:right w:val="single" w:sz="4" w:space="0" w:color="auto"/>
            </w:tcBorders>
            <w:hideMark/>
          </w:tcPr>
          <w:p w14:paraId="45ED84F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263</w:t>
            </w:r>
          </w:p>
        </w:tc>
        <w:tc>
          <w:tcPr>
            <w:tcW w:w="1051" w:type="dxa"/>
            <w:tcBorders>
              <w:top w:val="single" w:sz="4" w:space="0" w:color="auto"/>
              <w:left w:val="single" w:sz="4" w:space="0" w:color="auto"/>
              <w:bottom w:val="single" w:sz="4" w:space="0" w:color="auto"/>
              <w:right w:val="single" w:sz="4" w:space="0" w:color="auto"/>
            </w:tcBorders>
            <w:hideMark/>
          </w:tcPr>
          <w:p w14:paraId="44122B3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176</w:t>
            </w:r>
          </w:p>
        </w:tc>
        <w:tc>
          <w:tcPr>
            <w:tcW w:w="949" w:type="dxa"/>
            <w:tcBorders>
              <w:top w:val="single" w:sz="4" w:space="0" w:color="auto"/>
              <w:left w:val="single" w:sz="4" w:space="0" w:color="auto"/>
              <w:bottom w:val="single" w:sz="4" w:space="0" w:color="auto"/>
              <w:right w:val="single" w:sz="4" w:space="0" w:color="auto"/>
            </w:tcBorders>
            <w:hideMark/>
          </w:tcPr>
          <w:p w14:paraId="08113ED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18A39D3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03</w:t>
            </w:r>
          </w:p>
        </w:tc>
        <w:tc>
          <w:tcPr>
            <w:tcW w:w="1051" w:type="dxa"/>
            <w:tcBorders>
              <w:top w:val="single" w:sz="4" w:space="0" w:color="auto"/>
              <w:left w:val="single" w:sz="4" w:space="0" w:color="auto"/>
              <w:bottom w:val="single" w:sz="4" w:space="0" w:color="auto"/>
              <w:right w:val="single" w:sz="4" w:space="0" w:color="auto"/>
            </w:tcBorders>
            <w:hideMark/>
          </w:tcPr>
          <w:p w14:paraId="57D3E14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110</w:t>
            </w:r>
          </w:p>
        </w:tc>
        <w:tc>
          <w:tcPr>
            <w:tcW w:w="1051" w:type="dxa"/>
            <w:tcBorders>
              <w:top w:val="single" w:sz="4" w:space="0" w:color="auto"/>
              <w:left w:val="single" w:sz="4" w:space="0" w:color="auto"/>
              <w:bottom w:val="single" w:sz="4" w:space="0" w:color="auto"/>
              <w:right w:val="single" w:sz="4" w:space="0" w:color="auto"/>
            </w:tcBorders>
            <w:hideMark/>
          </w:tcPr>
          <w:p w14:paraId="76777DB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w:t>
            </w:r>
            <w:r>
              <w:rPr>
                <w:rFonts w:ascii="Sylfaen" w:hAnsi="Sylfaen"/>
                <w:sz w:val="20"/>
                <w:szCs w:val="20"/>
                <w:lang w:val="ka-GE"/>
              </w:rPr>
              <w:t>40</w:t>
            </w:r>
          </w:p>
        </w:tc>
        <w:tc>
          <w:tcPr>
            <w:tcW w:w="992" w:type="dxa"/>
            <w:tcBorders>
              <w:top w:val="single" w:sz="4" w:space="0" w:color="auto"/>
              <w:left w:val="single" w:sz="4" w:space="0" w:color="auto"/>
              <w:bottom w:val="single" w:sz="4" w:space="0" w:color="auto"/>
              <w:right w:val="single" w:sz="4" w:space="0" w:color="auto"/>
            </w:tcBorders>
            <w:hideMark/>
          </w:tcPr>
          <w:p w14:paraId="611EFCD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CD7C8C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D3D9AD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55DA8B12"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591089C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1036" w:type="dxa"/>
            <w:tcBorders>
              <w:top w:val="single" w:sz="4" w:space="0" w:color="auto"/>
              <w:left w:val="single" w:sz="4" w:space="0" w:color="auto"/>
              <w:bottom w:val="single" w:sz="4" w:space="0" w:color="auto"/>
              <w:right w:val="single" w:sz="4" w:space="0" w:color="auto"/>
            </w:tcBorders>
            <w:hideMark/>
          </w:tcPr>
          <w:p w14:paraId="6A825E7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364</w:t>
            </w:r>
          </w:p>
        </w:tc>
        <w:tc>
          <w:tcPr>
            <w:tcW w:w="1051" w:type="dxa"/>
            <w:tcBorders>
              <w:top w:val="single" w:sz="4" w:space="0" w:color="auto"/>
              <w:left w:val="single" w:sz="4" w:space="0" w:color="auto"/>
              <w:bottom w:val="single" w:sz="4" w:space="0" w:color="auto"/>
              <w:right w:val="single" w:sz="4" w:space="0" w:color="auto"/>
            </w:tcBorders>
            <w:hideMark/>
          </w:tcPr>
          <w:p w14:paraId="266F373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210</w:t>
            </w:r>
          </w:p>
        </w:tc>
        <w:tc>
          <w:tcPr>
            <w:tcW w:w="949" w:type="dxa"/>
            <w:tcBorders>
              <w:top w:val="single" w:sz="4" w:space="0" w:color="auto"/>
              <w:left w:val="single" w:sz="4" w:space="0" w:color="auto"/>
              <w:bottom w:val="single" w:sz="4" w:space="0" w:color="auto"/>
              <w:right w:val="single" w:sz="4" w:space="0" w:color="auto"/>
            </w:tcBorders>
            <w:hideMark/>
          </w:tcPr>
          <w:p w14:paraId="13A67BC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74E7FEC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01</w:t>
            </w:r>
          </w:p>
        </w:tc>
        <w:tc>
          <w:tcPr>
            <w:tcW w:w="1051" w:type="dxa"/>
            <w:tcBorders>
              <w:top w:val="single" w:sz="4" w:space="0" w:color="auto"/>
              <w:left w:val="single" w:sz="4" w:space="0" w:color="auto"/>
              <w:bottom w:val="single" w:sz="4" w:space="0" w:color="auto"/>
              <w:right w:val="single" w:sz="4" w:space="0" w:color="auto"/>
            </w:tcBorders>
            <w:hideMark/>
          </w:tcPr>
          <w:p w14:paraId="0325DE9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53</w:t>
            </w:r>
          </w:p>
        </w:tc>
        <w:tc>
          <w:tcPr>
            <w:tcW w:w="1051" w:type="dxa"/>
            <w:tcBorders>
              <w:top w:val="single" w:sz="4" w:space="0" w:color="auto"/>
              <w:left w:val="single" w:sz="4" w:space="0" w:color="auto"/>
              <w:bottom w:val="single" w:sz="4" w:space="0" w:color="auto"/>
              <w:right w:val="single" w:sz="4" w:space="0" w:color="auto"/>
            </w:tcBorders>
            <w:hideMark/>
          </w:tcPr>
          <w:p w14:paraId="5ED895E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55</w:t>
            </w:r>
          </w:p>
        </w:tc>
        <w:tc>
          <w:tcPr>
            <w:tcW w:w="992" w:type="dxa"/>
            <w:tcBorders>
              <w:top w:val="single" w:sz="4" w:space="0" w:color="auto"/>
              <w:left w:val="single" w:sz="4" w:space="0" w:color="auto"/>
              <w:bottom w:val="single" w:sz="4" w:space="0" w:color="auto"/>
              <w:right w:val="single" w:sz="4" w:space="0" w:color="auto"/>
            </w:tcBorders>
            <w:hideMark/>
          </w:tcPr>
          <w:p w14:paraId="35FC8DD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34DAAC2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40A2FD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0261B3C5"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3C16195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2</w:t>
            </w:r>
          </w:p>
        </w:tc>
        <w:tc>
          <w:tcPr>
            <w:tcW w:w="1036" w:type="dxa"/>
            <w:tcBorders>
              <w:top w:val="single" w:sz="4" w:space="0" w:color="auto"/>
              <w:left w:val="single" w:sz="4" w:space="0" w:color="auto"/>
              <w:bottom w:val="single" w:sz="4" w:space="0" w:color="auto"/>
              <w:right w:val="single" w:sz="4" w:space="0" w:color="auto"/>
            </w:tcBorders>
            <w:hideMark/>
          </w:tcPr>
          <w:p w14:paraId="36D601D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578</w:t>
            </w:r>
          </w:p>
        </w:tc>
        <w:tc>
          <w:tcPr>
            <w:tcW w:w="1051" w:type="dxa"/>
            <w:tcBorders>
              <w:top w:val="single" w:sz="4" w:space="0" w:color="auto"/>
              <w:left w:val="single" w:sz="4" w:space="0" w:color="auto"/>
              <w:bottom w:val="single" w:sz="4" w:space="0" w:color="auto"/>
              <w:right w:val="single" w:sz="4" w:space="0" w:color="auto"/>
            </w:tcBorders>
            <w:hideMark/>
          </w:tcPr>
          <w:p w14:paraId="4B1208B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w:t>
            </w:r>
          </w:p>
        </w:tc>
        <w:tc>
          <w:tcPr>
            <w:tcW w:w="949" w:type="dxa"/>
            <w:tcBorders>
              <w:top w:val="single" w:sz="4" w:space="0" w:color="auto"/>
              <w:left w:val="single" w:sz="4" w:space="0" w:color="auto"/>
              <w:bottom w:val="single" w:sz="4" w:space="0" w:color="auto"/>
              <w:right w:val="single" w:sz="4" w:space="0" w:color="auto"/>
            </w:tcBorders>
            <w:hideMark/>
          </w:tcPr>
          <w:p w14:paraId="0DE4823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12641A8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01</w:t>
            </w:r>
          </w:p>
        </w:tc>
        <w:tc>
          <w:tcPr>
            <w:tcW w:w="1051" w:type="dxa"/>
            <w:tcBorders>
              <w:top w:val="single" w:sz="4" w:space="0" w:color="auto"/>
              <w:left w:val="single" w:sz="4" w:space="0" w:color="auto"/>
              <w:bottom w:val="single" w:sz="4" w:space="0" w:color="auto"/>
              <w:right w:val="single" w:sz="4" w:space="0" w:color="auto"/>
            </w:tcBorders>
            <w:hideMark/>
          </w:tcPr>
          <w:p w14:paraId="255A566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282</w:t>
            </w:r>
          </w:p>
        </w:tc>
        <w:tc>
          <w:tcPr>
            <w:tcW w:w="1051" w:type="dxa"/>
            <w:tcBorders>
              <w:top w:val="single" w:sz="4" w:space="0" w:color="auto"/>
              <w:left w:val="single" w:sz="4" w:space="0" w:color="auto"/>
              <w:bottom w:val="single" w:sz="4" w:space="0" w:color="auto"/>
              <w:right w:val="single" w:sz="4" w:space="0" w:color="auto"/>
            </w:tcBorders>
            <w:hideMark/>
          </w:tcPr>
          <w:p w14:paraId="15B1917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55</w:t>
            </w:r>
          </w:p>
        </w:tc>
        <w:tc>
          <w:tcPr>
            <w:tcW w:w="992" w:type="dxa"/>
            <w:tcBorders>
              <w:top w:val="single" w:sz="4" w:space="0" w:color="auto"/>
              <w:left w:val="single" w:sz="4" w:space="0" w:color="auto"/>
              <w:bottom w:val="single" w:sz="4" w:space="0" w:color="auto"/>
              <w:right w:val="single" w:sz="4" w:space="0" w:color="auto"/>
            </w:tcBorders>
            <w:hideMark/>
          </w:tcPr>
          <w:p w14:paraId="5825AF0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38B9BAD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8410B7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7DC1190B"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793A306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1036" w:type="dxa"/>
            <w:tcBorders>
              <w:top w:val="single" w:sz="4" w:space="0" w:color="auto"/>
              <w:left w:val="single" w:sz="4" w:space="0" w:color="auto"/>
              <w:bottom w:val="single" w:sz="4" w:space="0" w:color="auto"/>
              <w:right w:val="single" w:sz="4" w:space="0" w:color="auto"/>
            </w:tcBorders>
            <w:hideMark/>
          </w:tcPr>
          <w:p w14:paraId="485EF2B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7D91985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288</w:t>
            </w:r>
          </w:p>
        </w:tc>
        <w:tc>
          <w:tcPr>
            <w:tcW w:w="949" w:type="dxa"/>
            <w:tcBorders>
              <w:top w:val="single" w:sz="4" w:space="0" w:color="auto"/>
              <w:left w:val="single" w:sz="4" w:space="0" w:color="auto"/>
              <w:bottom w:val="single" w:sz="4" w:space="0" w:color="auto"/>
              <w:right w:val="single" w:sz="4" w:space="0" w:color="auto"/>
            </w:tcBorders>
            <w:hideMark/>
          </w:tcPr>
          <w:p w14:paraId="558F11B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6CA82D2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01</w:t>
            </w:r>
          </w:p>
        </w:tc>
        <w:tc>
          <w:tcPr>
            <w:tcW w:w="1051" w:type="dxa"/>
            <w:tcBorders>
              <w:top w:val="single" w:sz="4" w:space="0" w:color="auto"/>
              <w:left w:val="single" w:sz="4" w:space="0" w:color="auto"/>
              <w:bottom w:val="single" w:sz="4" w:space="0" w:color="auto"/>
              <w:right w:val="single" w:sz="4" w:space="0" w:color="auto"/>
            </w:tcBorders>
            <w:hideMark/>
          </w:tcPr>
          <w:p w14:paraId="0AD8A1B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247</w:t>
            </w:r>
          </w:p>
        </w:tc>
        <w:tc>
          <w:tcPr>
            <w:tcW w:w="1051" w:type="dxa"/>
            <w:tcBorders>
              <w:top w:val="single" w:sz="4" w:space="0" w:color="auto"/>
              <w:left w:val="single" w:sz="4" w:space="0" w:color="auto"/>
              <w:bottom w:val="single" w:sz="4" w:space="0" w:color="auto"/>
              <w:right w:val="single" w:sz="4" w:space="0" w:color="auto"/>
            </w:tcBorders>
            <w:hideMark/>
          </w:tcPr>
          <w:p w14:paraId="33C1734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55</w:t>
            </w:r>
          </w:p>
        </w:tc>
        <w:tc>
          <w:tcPr>
            <w:tcW w:w="992" w:type="dxa"/>
            <w:tcBorders>
              <w:top w:val="single" w:sz="4" w:space="0" w:color="auto"/>
              <w:left w:val="single" w:sz="4" w:space="0" w:color="auto"/>
              <w:bottom w:val="single" w:sz="4" w:space="0" w:color="auto"/>
              <w:right w:val="single" w:sz="4" w:space="0" w:color="auto"/>
            </w:tcBorders>
            <w:hideMark/>
          </w:tcPr>
          <w:p w14:paraId="1F6F42C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A62A98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60EB84D"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753903F2"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73EAA83D"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c>
          <w:tcPr>
            <w:tcW w:w="1036" w:type="dxa"/>
            <w:tcBorders>
              <w:top w:val="single" w:sz="4" w:space="0" w:color="auto"/>
              <w:left w:val="single" w:sz="4" w:space="0" w:color="auto"/>
              <w:bottom w:val="single" w:sz="4" w:space="0" w:color="auto"/>
              <w:right w:val="single" w:sz="4" w:space="0" w:color="auto"/>
            </w:tcBorders>
            <w:hideMark/>
          </w:tcPr>
          <w:p w14:paraId="0C45261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53D2486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949" w:type="dxa"/>
            <w:tcBorders>
              <w:top w:val="single" w:sz="4" w:space="0" w:color="auto"/>
              <w:left w:val="single" w:sz="4" w:space="0" w:color="auto"/>
              <w:bottom w:val="single" w:sz="4" w:space="0" w:color="auto"/>
              <w:right w:val="single" w:sz="4" w:space="0" w:color="auto"/>
            </w:tcBorders>
            <w:hideMark/>
          </w:tcPr>
          <w:p w14:paraId="45302BF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6412DA4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01</w:t>
            </w:r>
          </w:p>
        </w:tc>
        <w:tc>
          <w:tcPr>
            <w:tcW w:w="1051" w:type="dxa"/>
            <w:tcBorders>
              <w:top w:val="single" w:sz="4" w:space="0" w:color="auto"/>
              <w:left w:val="single" w:sz="4" w:space="0" w:color="auto"/>
              <w:bottom w:val="single" w:sz="4" w:space="0" w:color="auto"/>
              <w:right w:val="single" w:sz="4" w:space="0" w:color="auto"/>
            </w:tcBorders>
            <w:hideMark/>
          </w:tcPr>
          <w:p w14:paraId="424C96D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83</w:t>
            </w:r>
          </w:p>
        </w:tc>
        <w:tc>
          <w:tcPr>
            <w:tcW w:w="1051" w:type="dxa"/>
            <w:tcBorders>
              <w:top w:val="single" w:sz="4" w:space="0" w:color="auto"/>
              <w:left w:val="single" w:sz="4" w:space="0" w:color="auto"/>
              <w:bottom w:val="single" w:sz="4" w:space="0" w:color="auto"/>
              <w:right w:val="single" w:sz="4" w:space="0" w:color="auto"/>
            </w:tcBorders>
            <w:hideMark/>
          </w:tcPr>
          <w:p w14:paraId="0F43365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55</w:t>
            </w:r>
          </w:p>
        </w:tc>
        <w:tc>
          <w:tcPr>
            <w:tcW w:w="992" w:type="dxa"/>
            <w:tcBorders>
              <w:top w:val="single" w:sz="4" w:space="0" w:color="auto"/>
              <w:left w:val="single" w:sz="4" w:space="0" w:color="auto"/>
              <w:bottom w:val="single" w:sz="4" w:space="0" w:color="auto"/>
              <w:right w:val="single" w:sz="4" w:space="0" w:color="auto"/>
            </w:tcBorders>
            <w:hideMark/>
          </w:tcPr>
          <w:p w14:paraId="2088234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1BD86A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EE368D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45D22320"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27595C0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1036" w:type="dxa"/>
            <w:tcBorders>
              <w:top w:val="single" w:sz="4" w:space="0" w:color="auto"/>
              <w:left w:val="single" w:sz="4" w:space="0" w:color="auto"/>
              <w:bottom w:val="single" w:sz="4" w:space="0" w:color="auto"/>
              <w:right w:val="single" w:sz="4" w:space="0" w:color="auto"/>
            </w:tcBorders>
            <w:hideMark/>
          </w:tcPr>
          <w:p w14:paraId="2A2BDE1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36</w:t>
            </w:r>
          </w:p>
        </w:tc>
        <w:tc>
          <w:tcPr>
            <w:tcW w:w="1051" w:type="dxa"/>
            <w:tcBorders>
              <w:top w:val="single" w:sz="4" w:space="0" w:color="auto"/>
              <w:left w:val="single" w:sz="4" w:space="0" w:color="auto"/>
              <w:bottom w:val="single" w:sz="4" w:space="0" w:color="auto"/>
              <w:right w:val="single" w:sz="4" w:space="0" w:color="auto"/>
            </w:tcBorders>
            <w:hideMark/>
          </w:tcPr>
          <w:p w14:paraId="6FF413F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524</w:t>
            </w:r>
          </w:p>
        </w:tc>
        <w:tc>
          <w:tcPr>
            <w:tcW w:w="949" w:type="dxa"/>
            <w:tcBorders>
              <w:top w:val="single" w:sz="4" w:space="0" w:color="auto"/>
              <w:left w:val="single" w:sz="4" w:space="0" w:color="auto"/>
              <w:bottom w:val="single" w:sz="4" w:space="0" w:color="auto"/>
              <w:right w:val="single" w:sz="4" w:space="0" w:color="auto"/>
            </w:tcBorders>
            <w:hideMark/>
          </w:tcPr>
          <w:p w14:paraId="01AF9F8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49872CE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01</w:t>
            </w:r>
          </w:p>
        </w:tc>
        <w:tc>
          <w:tcPr>
            <w:tcW w:w="1051" w:type="dxa"/>
            <w:tcBorders>
              <w:top w:val="single" w:sz="4" w:space="0" w:color="auto"/>
              <w:left w:val="single" w:sz="4" w:space="0" w:color="auto"/>
              <w:bottom w:val="single" w:sz="4" w:space="0" w:color="auto"/>
              <w:right w:val="single" w:sz="4" w:space="0" w:color="auto"/>
            </w:tcBorders>
            <w:hideMark/>
          </w:tcPr>
          <w:p w14:paraId="61D231E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359</w:t>
            </w:r>
          </w:p>
        </w:tc>
        <w:tc>
          <w:tcPr>
            <w:tcW w:w="1051" w:type="dxa"/>
            <w:tcBorders>
              <w:top w:val="single" w:sz="4" w:space="0" w:color="auto"/>
              <w:left w:val="single" w:sz="4" w:space="0" w:color="auto"/>
              <w:bottom w:val="single" w:sz="4" w:space="0" w:color="auto"/>
              <w:right w:val="single" w:sz="4" w:space="0" w:color="auto"/>
            </w:tcBorders>
            <w:hideMark/>
          </w:tcPr>
          <w:p w14:paraId="57D113D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55</w:t>
            </w:r>
          </w:p>
        </w:tc>
        <w:tc>
          <w:tcPr>
            <w:tcW w:w="992" w:type="dxa"/>
            <w:tcBorders>
              <w:top w:val="single" w:sz="4" w:space="0" w:color="auto"/>
              <w:left w:val="single" w:sz="4" w:space="0" w:color="auto"/>
              <w:bottom w:val="single" w:sz="4" w:space="0" w:color="auto"/>
              <w:right w:val="single" w:sz="4" w:space="0" w:color="auto"/>
            </w:tcBorders>
            <w:hideMark/>
          </w:tcPr>
          <w:p w14:paraId="0AF28C9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1608A89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5388EFB"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bl>
    <w:p w14:paraId="299A6AB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23FC3A5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0330</w:t>
      </w:r>
      <w:r>
        <w:rPr>
          <w:rFonts w:ascii="Sylfaen" w:hAnsi="Sylfaen" w:cs="Arial"/>
          <w:b/>
          <w:bCs/>
          <w:sz w:val="20"/>
          <w:szCs w:val="20"/>
          <w:lang w:val="ka-GE"/>
        </w:rPr>
        <w:t xml:space="preserve">   გოგირდის დიოქსიდი</w:t>
      </w:r>
    </w:p>
    <w:p w14:paraId="1E569889"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817"/>
        <w:gridCol w:w="1036"/>
        <w:gridCol w:w="1051"/>
        <w:gridCol w:w="949"/>
        <w:gridCol w:w="1109"/>
        <w:gridCol w:w="1051"/>
        <w:gridCol w:w="1051"/>
        <w:gridCol w:w="992"/>
        <w:gridCol w:w="934"/>
        <w:gridCol w:w="934"/>
      </w:tblGrid>
      <w:tr w:rsidR="00A2588D" w14:paraId="46A1F77D"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7B26887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1036" w:type="dxa"/>
            <w:tcBorders>
              <w:top w:val="single" w:sz="4" w:space="0" w:color="auto"/>
              <w:left w:val="single" w:sz="4" w:space="0" w:color="auto"/>
              <w:bottom w:val="single" w:sz="4" w:space="0" w:color="auto"/>
              <w:right w:val="single" w:sz="4" w:space="0" w:color="auto"/>
            </w:tcBorders>
            <w:hideMark/>
          </w:tcPr>
          <w:p w14:paraId="104D84F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263</w:t>
            </w:r>
          </w:p>
        </w:tc>
        <w:tc>
          <w:tcPr>
            <w:tcW w:w="1051" w:type="dxa"/>
            <w:tcBorders>
              <w:top w:val="single" w:sz="4" w:space="0" w:color="auto"/>
              <w:left w:val="single" w:sz="4" w:space="0" w:color="auto"/>
              <w:bottom w:val="single" w:sz="4" w:space="0" w:color="auto"/>
              <w:right w:val="single" w:sz="4" w:space="0" w:color="auto"/>
            </w:tcBorders>
            <w:hideMark/>
          </w:tcPr>
          <w:p w14:paraId="08F29B7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176</w:t>
            </w:r>
          </w:p>
        </w:tc>
        <w:tc>
          <w:tcPr>
            <w:tcW w:w="949" w:type="dxa"/>
            <w:tcBorders>
              <w:top w:val="single" w:sz="4" w:space="0" w:color="auto"/>
              <w:left w:val="single" w:sz="4" w:space="0" w:color="auto"/>
              <w:bottom w:val="single" w:sz="4" w:space="0" w:color="auto"/>
              <w:right w:val="single" w:sz="4" w:space="0" w:color="auto"/>
            </w:tcBorders>
            <w:hideMark/>
          </w:tcPr>
          <w:p w14:paraId="5E433D1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548B3D7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w:t>
            </w:r>
          </w:p>
        </w:tc>
        <w:tc>
          <w:tcPr>
            <w:tcW w:w="1051" w:type="dxa"/>
            <w:tcBorders>
              <w:top w:val="single" w:sz="4" w:space="0" w:color="auto"/>
              <w:left w:val="single" w:sz="4" w:space="0" w:color="auto"/>
              <w:bottom w:val="single" w:sz="4" w:space="0" w:color="auto"/>
              <w:right w:val="single" w:sz="4" w:space="0" w:color="auto"/>
            </w:tcBorders>
            <w:hideMark/>
          </w:tcPr>
          <w:p w14:paraId="7CC1310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104</w:t>
            </w:r>
          </w:p>
        </w:tc>
        <w:tc>
          <w:tcPr>
            <w:tcW w:w="1051" w:type="dxa"/>
            <w:tcBorders>
              <w:top w:val="single" w:sz="4" w:space="0" w:color="auto"/>
              <w:left w:val="single" w:sz="4" w:space="0" w:color="auto"/>
              <w:bottom w:val="single" w:sz="4" w:space="0" w:color="auto"/>
              <w:right w:val="single" w:sz="4" w:space="0" w:color="auto"/>
            </w:tcBorders>
            <w:hideMark/>
          </w:tcPr>
          <w:p w14:paraId="1A83BC7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r>
              <w:rPr>
                <w:rFonts w:ascii="Sylfaen" w:hAnsi="Sylfaen" w:cs="Arial"/>
                <w:sz w:val="20"/>
                <w:szCs w:val="20"/>
                <w:lang w:val="ka-GE"/>
              </w:rPr>
              <w:t>,</w:t>
            </w:r>
            <w:r>
              <w:rPr>
                <w:rFonts w:ascii="Sylfaen" w:hAnsi="Sylfaen"/>
                <w:sz w:val="20"/>
                <w:szCs w:val="20"/>
                <w:lang w:val="ka-GE"/>
              </w:rPr>
              <w:t>85</w:t>
            </w:r>
          </w:p>
        </w:tc>
        <w:tc>
          <w:tcPr>
            <w:tcW w:w="992" w:type="dxa"/>
            <w:tcBorders>
              <w:top w:val="single" w:sz="4" w:space="0" w:color="auto"/>
              <w:left w:val="single" w:sz="4" w:space="0" w:color="auto"/>
              <w:bottom w:val="single" w:sz="4" w:space="0" w:color="auto"/>
              <w:right w:val="single" w:sz="4" w:space="0" w:color="auto"/>
            </w:tcBorders>
            <w:hideMark/>
          </w:tcPr>
          <w:p w14:paraId="4AE27EC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E270FD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B9823C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4EDEF001"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EA0610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1036" w:type="dxa"/>
            <w:tcBorders>
              <w:top w:val="single" w:sz="4" w:space="0" w:color="auto"/>
              <w:left w:val="single" w:sz="4" w:space="0" w:color="auto"/>
              <w:bottom w:val="single" w:sz="4" w:space="0" w:color="auto"/>
              <w:right w:val="single" w:sz="4" w:space="0" w:color="auto"/>
            </w:tcBorders>
            <w:hideMark/>
          </w:tcPr>
          <w:p w14:paraId="79B75BF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364</w:t>
            </w:r>
          </w:p>
        </w:tc>
        <w:tc>
          <w:tcPr>
            <w:tcW w:w="1051" w:type="dxa"/>
            <w:tcBorders>
              <w:top w:val="single" w:sz="4" w:space="0" w:color="auto"/>
              <w:left w:val="single" w:sz="4" w:space="0" w:color="auto"/>
              <w:bottom w:val="single" w:sz="4" w:space="0" w:color="auto"/>
              <w:right w:val="single" w:sz="4" w:space="0" w:color="auto"/>
            </w:tcBorders>
            <w:hideMark/>
          </w:tcPr>
          <w:p w14:paraId="0A4F76A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210</w:t>
            </w:r>
          </w:p>
        </w:tc>
        <w:tc>
          <w:tcPr>
            <w:tcW w:w="949" w:type="dxa"/>
            <w:tcBorders>
              <w:top w:val="single" w:sz="4" w:space="0" w:color="auto"/>
              <w:left w:val="single" w:sz="4" w:space="0" w:color="auto"/>
              <w:bottom w:val="single" w:sz="4" w:space="0" w:color="auto"/>
              <w:right w:val="single" w:sz="4" w:space="0" w:color="auto"/>
            </w:tcBorders>
            <w:hideMark/>
          </w:tcPr>
          <w:p w14:paraId="2586FA5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463EE57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8</w:t>
            </w:r>
            <w:r>
              <w:rPr>
                <w:rFonts w:ascii="Sylfaen" w:hAnsi="Sylfaen" w:cs="Arial"/>
                <w:sz w:val="20"/>
                <w:szCs w:val="20"/>
                <w:lang w:val="ka-GE"/>
              </w:rPr>
              <w:t>,0</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75F6352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50</w:t>
            </w:r>
          </w:p>
        </w:tc>
        <w:tc>
          <w:tcPr>
            <w:tcW w:w="1051" w:type="dxa"/>
            <w:tcBorders>
              <w:top w:val="single" w:sz="4" w:space="0" w:color="auto"/>
              <w:left w:val="single" w:sz="4" w:space="0" w:color="auto"/>
              <w:bottom w:val="single" w:sz="4" w:space="0" w:color="auto"/>
              <w:right w:val="single" w:sz="4" w:space="0" w:color="auto"/>
            </w:tcBorders>
            <w:hideMark/>
          </w:tcPr>
          <w:p w14:paraId="0163514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4</w:t>
            </w:r>
            <w:r>
              <w:rPr>
                <w:rFonts w:ascii="Sylfaen" w:hAnsi="Sylfaen" w:cs="Arial"/>
                <w:sz w:val="20"/>
                <w:szCs w:val="20"/>
                <w:lang w:val="ka-GE"/>
              </w:rPr>
              <w:t>,</w:t>
            </w:r>
            <w:r>
              <w:rPr>
                <w:rFonts w:ascii="Sylfaen" w:hAnsi="Sylfaen"/>
                <w:sz w:val="20"/>
                <w:szCs w:val="20"/>
                <w:lang w:val="ka-GE"/>
              </w:rPr>
              <w:t>03</w:t>
            </w:r>
          </w:p>
        </w:tc>
        <w:tc>
          <w:tcPr>
            <w:tcW w:w="992" w:type="dxa"/>
            <w:tcBorders>
              <w:top w:val="single" w:sz="4" w:space="0" w:color="auto"/>
              <w:left w:val="single" w:sz="4" w:space="0" w:color="auto"/>
              <w:bottom w:val="single" w:sz="4" w:space="0" w:color="auto"/>
              <w:right w:val="single" w:sz="4" w:space="0" w:color="auto"/>
            </w:tcBorders>
            <w:hideMark/>
          </w:tcPr>
          <w:p w14:paraId="5A32A8F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488520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CC00DD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41FFD555"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59AA317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1036" w:type="dxa"/>
            <w:tcBorders>
              <w:top w:val="single" w:sz="4" w:space="0" w:color="auto"/>
              <w:left w:val="single" w:sz="4" w:space="0" w:color="auto"/>
              <w:bottom w:val="single" w:sz="4" w:space="0" w:color="auto"/>
              <w:right w:val="single" w:sz="4" w:space="0" w:color="auto"/>
            </w:tcBorders>
            <w:hideMark/>
          </w:tcPr>
          <w:p w14:paraId="7138EA5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2F83D1D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288</w:t>
            </w:r>
          </w:p>
        </w:tc>
        <w:tc>
          <w:tcPr>
            <w:tcW w:w="949" w:type="dxa"/>
            <w:tcBorders>
              <w:top w:val="single" w:sz="4" w:space="0" w:color="auto"/>
              <w:left w:val="single" w:sz="4" w:space="0" w:color="auto"/>
              <w:bottom w:val="single" w:sz="4" w:space="0" w:color="auto"/>
              <w:right w:val="single" w:sz="4" w:space="0" w:color="auto"/>
            </w:tcBorders>
            <w:hideMark/>
          </w:tcPr>
          <w:p w14:paraId="6F16203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3EDEA22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w:t>
            </w:r>
            <w:r>
              <w:rPr>
                <w:rFonts w:ascii="Sylfaen" w:hAnsi="Sylfaen" w:cs="Arial"/>
                <w:sz w:val="20"/>
                <w:szCs w:val="20"/>
                <w:lang w:val="ka-GE"/>
              </w:rPr>
              <w:t>,7</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7E000A7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250</w:t>
            </w:r>
          </w:p>
        </w:tc>
        <w:tc>
          <w:tcPr>
            <w:tcW w:w="1051" w:type="dxa"/>
            <w:tcBorders>
              <w:top w:val="single" w:sz="4" w:space="0" w:color="auto"/>
              <w:left w:val="single" w:sz="4" w:space="0" w:color="auto"/>
              <w:bottom w:val="single" w:sz="4" w:space="0" w:color="auto"/>
              <w:right w:val="single" w:sz="4" w:space="0" w:color="auto"/>
            </w:tcBorders>
            <w:hideMark/>
          </w:tcPr>
          <w:p w14:paraId="629F201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4</w:t>
            </w:r>
            <w:r>
              <w:rPr>
                <w:rFonts w:ascii="Sylfaen" w:hAnsi="Sylfaen" w:cs="Arial"/>
                <w:sz w:val="20"/>
                <w:szCs w:val="20"/>
                <w:lang w:val="ka-GE"/>
              </w:rPr>
              <w:t>,</w:t>
            </w:r>
            <w:r>
              <w:rPr>
                <w:rFonts w:ascii="Sylfaen" w:hAnsi="Sylfaen"/>
                <w:sz w:val="20"/>
                <w:szCs w:val="20"/>
                <w:lang w:val="ka-GE"/>
              </w:rPr>
              <w:t>03</w:t>
            </w:r>
          </w:p>
        </w:tc>
        <w:tc>
          <w:tcPr>
            <w:tcW w:w="992" w:type="dxa"/>
            <w:tcBorders>
              <w:top w:val="single" w:sz="4" w:space="0" w:color="auto"/>
              <w:left w:val="single" w:sz="4" w:space="0" w:color="auto"/>
              <w:bottom w:val="single" w:sz="4" w:space="0" w:color="auto"/>
              <w:right w:val="single" w:sz="4" w:space="0" w:color="auto"/>
            </w:tcBorders>
            <w:hideMark/>
          </w:tcPr>
          <w:p w14:paraId="0D9F2C0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E691DA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11A354FB"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4F4349AF"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0EA807E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c>
          <w:tcPr>
            <w:tcW w:w="1036" w:type="dxa"/>
            <w:tcBorders>
              <w:top w:val="single" w:sz="4" w:space="0" w:color="auto"/>
              <w:left w:val="single" w:sz="4" w:space="0" w:color="auto"/>
              <w:bottom w:val="single" w:sz="4" w:space="0" w:color="auto"/>
              <w:right w:val="single" w:sz="4" w:space="0" w:color="auto"/>
            </w:tcBorders>
            <w:hideMark/>
          </w:tcPr>
          <w:p w14:paraId="5F44039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4F4A3CB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949" w:type="dxa"/>
            <w:tcBorders>
              <w:top w:val="single" w:sz="4" w:space="0" w:color="auto"/>
              <w:left w:val="single" w:sz="4" w:space="0" w:color="auto"/>
              <w:bottom w:val="single" w:sz="4" w:space="0" w:color="auto"/>
              <w:right w:val="single" w:sz="4" w:space="0" w:color="auto"/>
            </w:tcBorders>
            <w:hideMark/>
          </w:tcPr>
          <w:p w14:paraId="6E087DF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56D64B9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w:t>
            </w:r>
            <w:r>
              <w:rPr>
                <w:rFonts w:ascii="Sylfaen" w:hAnsi="Sylfaen" w:cs="Arial"/>
                <w:sz w:val="20"/>
                <w:szCs w:val="20"/>
                <w:lang w:val="ka-GE"/>
              </w:rPr>
              <w:t>,6</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761FDE3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80</w:t>
            </w:r>
          </w:p>
        </w:tc>
        <w:tc>
          <w:tcPr>
            <w:tcW w:w="1051" w:type="dxa"/>
            <w:tcBorders>
              <w:top w:val="single" w:sz="4" w:space="0" w:color="auto"/>
              <w:left w:val="single" w:sz="4" w:space="0" w:color="auto"/>
              <w:bottom w:val="single" w:sz="4" w:space="0" w:color="auto"/>
              <w:right w:val="single" w:sz="4" w:space="0" w:color="auto"/>
            </w:tcBorders>
            <w:hideMark/>
          </w:tcPr>
          <w:p w14:paraId="3F9CBA7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w:t>
            </w:r>
            <w:r>
              <w:rPr>
                <w:rFonts w:ascii="Sylfaen" w:hAnsi="Sylfaen" w:cs="Arial"/>
                <w:sz w:val="20"/>
                <w:szCs w:val="20"/>
                <w:lang w:val="ka-GE"/>
              </w:rPr>
              <w:t>,</w:t>
            </w:r>
            <w:r>
              <w:rPr>
                <w:rFonts w:ascii="Sylfaen" w:hAnsi="Sylfaen"/>
                <w:sz w:val="20"/>
                <w:szCs w:val="20"/>
                <w:lang w:val="ka-GE"/>
              </w:rPr>
              <w:t>72</w:t>
            </w:r>
          </w:p>
        </w:tc>
        <w:tc>
          <w:tcPr>
            <w:tcW w:w="992" w:type="dxa"/>
            <w:tcBorders>
              <w:top w:val="single" w:sz="4" w:space="0" w:color="auto"/>
              <w:left w:val="single" w:sz="4" w:space="0" w:color="auto"/>
              <w:bottom w:val="single" w:sz="4" w:space="0" w:color="auto"/>
              <w:right w:val="single" w:sz="4" w:space="0" w:color="auto"/>
            </w:tcBorders>
            <w:hideMark/>
          </w:tcPr>
          <w:p w14:paraId="7AA998E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75CC36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1CC1BB83"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5BC289E0"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636EA82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2</w:t>
            </w:r>
          </w:p>
        </w:tc>
        <w:tc>
          <w:tcPr>
            <w:tcW w:w="1036" w:type="dxa"/>
            <w:tcBorders>
              <w:top w:val="single" w:sz="4" w:space="0" w:color="auto"/>
              <w:left w:val="single" w:sz="4" w:space="0" w:color="auto"/>
              <w:bottom w:val="single" w:sz="4" w:space="0" w:color="auto"/>
              <w:right w:val="single" w:sz="4" w:space="0" w:color="auto"/>
            </w:tcBorders>
            <w:hideMark/>
          </w:tcPr>
          <w:p w14:paraId="2735910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578</w:t>
            </w:r>
          </w:p>
        </w:tc>
        <w:tc>
          <w:tcPr>
            <w:tcW w:w="1051" w:type="dxa"/>
            <w:tcBorders>
              <w:top w:val="single" w:sz="4" w:space="0" w:color="auto"/>
              <w:left w:val="single" w:sz="4" w:space="0" w:color="auto"/>
              <w:bottom w:val="single" w:sz="4" w:space="0" w:color="auto"/>
              <w:right w:val="single" w:sz="4" w:space="0" w:color="auto"/>
            </w:tcBorders>
            <w:hideMark/>
          </w:tcPr>
          <w:p w14:paraId="4D09572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w:t>
            </w:r>
          </w:p>
        </w:tc>
        <w:tc>
          <w:tcPr>
            <w:tcW w:w="949" w:type="dxa"/>
            <w:tcBorders>
              <w:top w:val="single" w:sz="4" w:space="0" w:color="auto"/>
              <w:left w:val="single" w:sz="4" w:space="0" w:color="auto"/>
              <w:bottom w:val="single" w:sz="4" w:space="0" w:color="auto"/>
              <w:right w:val="single" w:sz="4" w:space="0" w:color="auto"/>
            </w:tcBorders>
            <w:hideMark/>
          </w:tcPr>
          <w:p w14:paraId="7A60D04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6F220EB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w:t>
            </w:r>
            <w:r>
              <w:rPr>
                <w:rFonts w:ascii="Sylfaen" w:hAnsi="Sylfaen" w:cs="Arial"/>
                <w:sz w:val="20"/>
                <w:szCs w:val="20"/>
                <w:lang w:val="ka-GE"/>
              </w:rPr>
              <w:t>,6</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089BC99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283</w:t>
            </w:r>
          </w:p>
        </w:tc>
        <w:tc>
          <w:tcPr>
            <w:tcW w:w="1051" w:type="dxa"/>
            <w:tcBorders>
              <w:top w:val="single" w:sz="4" w:space="0" w:color="auto"/>
              <w:left w:val="single" w:sz="4" w:space="0" w:color="auto"/>
              <w:bottom w:val="single" w:sz="4" w:space="0" w:color="auto"/>
              <w:right w:val="single" w:sz="4" w:space="0" w:color="auto"/>
            </w:tcBorders>
            <w:hideMark/>
          </w:tcPr>
          <w:p w14:paraId="5B908AF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w:t>
            </w:r>
            <w:r>
              <w:rPr>
                <w:rFonts w:ascii="Sylfaen" w:hAnsi="Sylfaen" w:cs="Arial"/>
                <w:sz w:val="20"/>
                <w:szCs w:val="20"/>
                <w:lang w:val="ka-GE"/>
              </w:rPr>
              <w:t>,</w:t>
            </w:r>
            <w:r>
              <w:rPr>
                <w:rFonts w:ascii="Sylfaen" w:hAnsi="Sylfaen"/>
                <w:sz w:val="20"/>
                <w:szCs w:val="20"/>
                <w:lang w:val="ka-GE"/>
              </w:rPr>
              <w:t>72</w:t>
            </w:r>
          </w:p>
        </w:tc>
        <w:tc>
          <w:tcPr>
            <w:tcW w:w="992" w:type="dxa"/>
            <w:tcBorders>
              <w:top w:val="single" w:sz="4" w:space="0" w:color="auto"/>
              <w:left w:val="single" w:sz="4" w:space="0" w:color="auto"/>
              <w:bottom w:val="single" w:sz="4" w:space="0" w:color="auto"/>
              <w:right w:val="single" w:sz="4" w:space="0" w:color="auto"/>
            </w:tcBorders>
            <w:hideMark/>
          </w:tcPr>
          <w:p w14:paraId="533087B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7D34AB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FE693D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5D2A3C78"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5130505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1036" w:type="dxa"/>
            <w:tcBorders>
              <w:top w:val="single" w:sz="4" w:space="0" w:color="auto"/>
              <w:left w:val="single" w:sz="4" w:space="0" w:color="auto"/>
              <w:bottom w:val="single" w:sz="4" w:space="0" w:color="auto"/>
              <w:right w:val="single" w:sz="4" w:space="0" w:color="auto"/>
            </w:tcBorders>
            <w:hideMark/>
          </w:tcPr>
          <w:p w14:paraId="4587A82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36</w:t>
            </w:r>
          </w:p>
        </w:tc>
        <w:tc>
          <w:tcPr>
            <w:tcW w:w="1051" w:type="dxa"/>
            <w:tcBorders>
              <w:top w:val="single" w:sz="4" w:space="0" w:color="auto"/>
              <w:left w:val="single" w:sz="4" w:space="0" w:color="auto"/>
              <w:bottom w:val="single" w:sz="4" w:space="0" w:color="auto"/>
              <w:right w:val="single" w:sz="4" w:space="0" w:color="auto"/>
            </w:tcBorders>
            <w:hideMark/>
          </w:tcPr>
          <w:p w14:paraId="004B762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524</w:t>
            </w:r>
          </w:p>
        </w:tc>
        <w:tc>
          <w:tcPr>
            <w:tcW w:w="949" w:type="dxa"/>
            <w:tcBorders>
              <w:top w:val="single" w:sz="4" w:space="0" w:color="auto"/>
              <w:left w:val="single" w:sz="4" w:space="0" w:color="auto"/>
              <w:bottom w:val="single" w:sz="4" w:space="0" w:color="auto"/>
              <w:right w:val="single" w:sz="4" w:space="0" w:color="auto"/>
            </w:tcBorders>
            <w:hideMark/>
          </w:tcPr>
          <w:p w14:paraId="6A008BA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31FAB5E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w:t>
            </w:r>
            <w:r>
              <w:rPr>
                <w:rFonts w:ascii="Sylfaen" w:hAnsi="Sylfaen" w:cs="Arial"/>
                <w:sz w:val="20"/>
                <w:szCs w:val="20"/>
                <w:lang w:val="ka-GE"/>
              </w:rPr>
              <w:t>,9</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7A21292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358</w:t>
            </w:r>
          </w:p>
        </w:tc>
        <w:tc>
          <w:tcPr>
            <w:tcW w:w="1051" w:type="dxa"/>
            <w:tcBorders>
              <w:top w:val="single" w:sz="4" w:space="0" w:color="auto"/>
              <w:left w:val="single" w:sz="4" w:space="0" w:color="auto"/>
              <w:bottom w:val="single" w:sz="4" w:space="0" w:color="auto"/>
              <w:right w:val="single" w:sz="4" w:space="0" w:color="auto"/>
            </w:tcBorders>
            <w:hideMark/>
          </w:tcPr>
          <w:p w14:paraId="6535570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8</w:t>
            </w:r>
            <w:r>
              <w:rPr>
                <w:rFonts w:ascii="Sylfaen" w:hAnsi="Sylfaen" w:cs="Arial"/>
                <w:sz w:val="20"/>
                <w:szCs w:val="20"/>
                <w:lang w:val="ka-GE"/>
              </w:rPr>
              <w:t>,</w:t>
            </w:r>
            <w:r>
              <w:rPr>
                <w:rFonts w:ascii="Sylfaen" w:hAnsi="Sylfaen"/>
                <w:sz w:val="20"/>
                <w:szCs w:val="20"/>
                <w:lang w:val="ka-GE"/>
              </w:rPr>
              <w:t>11</w:t>
            </w:r>
          </w:p>
        </w:tc>
        <w:tc>
          <w:tcPr>
            <w:tcW w:w="992" w:type="dxa"/>
            <w:tcBorders>
              <w:top w:val="single" w:sz="4" w:space="0" w:color="auto"/>
              <w:left w:val="single" w:sz="4" w:space="0" w:color="auto"/>
              <w:bottom w:val="single" w:sz="4" w:space="0" w:color="auto"/>
              <w:right w:val="single" w:sz="4" w:space="0" w:color="auto"/>
            </w:tcBorders>
            <w:hideMark/>
          </w:tcPr>
          <w:p w14:paraId="4A594E1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F157CF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6678A1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bl>
    <w:p w14:paraId="385EC1C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263DB921"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0333</w:t>
      </w:r>
      <w:r>
        <w:rPr>
          <w:rFonts w:ascii="Sylfaen" w:hAnsi="Sylfaen" w:cs="Arial"/>
          <w:b/>
          <w:bCs/>
          <w:sz w:val="20"/>
          <w:szCs w:val="20"/>
          <w:lang w:val="ka-GE"/>
        </w:rPr>
        <w:t xml:space="preserve">   გოგირდწყალბადი</w:t>
      </w:r>
    </w:p>
    <w:tbl>
      <w:tblPr>
        <w:tblW w:w="0" w:type="auto"/>
        <w:jc w:val="center"/>
        <w:tblLayout w:type="fixed"/>
        <w:tblCellMar>
          <w:left w:w="0" w:type="dxa"/>
          <w:right w:w="0" w:type="dxa"/>
        </w:tblCellMar>
        <w:tblLook w:val="04A0" w:firstRow="1" w:lastRow="0" w:firstColumn="1" w:lastColumn="0" w:noHBand="0" w:noVBand="1"/>
      </w:tblPr>
      <w:tblGrid>
        <w:gridCol w:w="817"/>
        <w:gridCol w:w="1036"/>
        <w:gridCol w:w="1051"/>
        <w:gridCol w:w="949"/>
        <w:gridCol w:w="1109"/>
        <w:gridCol w:w="1051"/>
        <w:gridCol w:w="1051"/>
        <w:gridCol w:w="992"/>
        <w:gridCol w:w="934"/>
        <w:gridCol w:w="934"/>
      </w:tblGrid>
      <w:tr w:rsidR="00A2588D" w14:paraId="0A74767B"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28F3F0CB"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1036" w:type="dxa"/>
            <w:tcBorders>
              <w:top w:val="single" w:sz="4" w:space="0" w:color="auto"/>
              <w:left w:val="single" w:sz="4" w:space="0" w:color="auto"/>
              <w:bottom w:val="single" w:sz="4" w:space="0" w:color="auto"/>
              <w:right w:val="single" w:sz="4" w:space="0" w:color="auto"/>
            </w:tcBorders>
            <w:hideMark/>
          </w:tcPr>
          <w:p w14:paraId="3169725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263</w:t>
            </w:r>
          </w:p>
        </w:tc>
        <w:tc>
          <w:tcPr>
            <w:tcW w:w="1051" w:type="dxa"/>
            <w:tcBorders>
              <w:top w:val="single" w:sz="4" w:space="0" w:color="auto"/>
              <w:left w:val="single" w:sz="4" w:space="0" w:color="auto"/>
              <w:bottom w:val="single" w:sz="4" w:space="0" w:color="auto"/>
              <w:right w:val="single" w:sz="4" w:space="0" w:color="auto"/>
            </w:tcBorders>
            <w:hideMark/>
          </w:tcPr>
          <w:p w14:paraId="355532B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176</w:t>
            </w:r>
          </w:p>
        </w:tc>
        <w:tc>
          <w:tcPr>
            <w:tcW w:w="949" w:type="dxa"/>
            <w:tcBorders>
              <w:top w:val="single" w:sz="4" w:space="0" w:color="auto"/>
              <w:left w:val="single" w:sz="4" w:space="0" w:color="auto"/>
              <w:bottom w:val="single" w:sz="4" w:space="0" w:color="auto"/>
              <w:right w:val="single" w:sz="4" w:space="0" w:color="auto"/>
            </w:tcBorders>
            <w:hideMark/>
          </w:tcPr>
          <w:p w14:paraId="2087D45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15EA3ED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,2</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56787B4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124</w:t>
            </w:r>
          </w:p>
        </w:tc>
        <w:tc>
          <w:tcPr>
            <w:tcW w:w="1051" w:type="dxa"/>
            <w:tcBorders>
              <w:top w:val="single" w:sz="4" w:space="0" w:color="auto"/>
              <w:left w:val="single" w:sz="4" w:space="0" w:color="auto"/>
              <w:bottom w:val="single" w:sz="4" w:space="0" w:color="auto"/>
              <w:right w:val="single" w:sz="4" w:space="0" w:color="auto"/>
            </w:tcBorders>
            <w:hideMark/>
          </w:tcPr>
          <w:p w14:paraId="671EBBE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211B1D4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83E110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01FAE73"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0D4CA5AC"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30F1F42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1036" w:type="dxa"/>
            <w:tcBorders>
              <w:top w:val="single" w:sz="4" w:space="0" w:color="auto"/>
              <w:left w:val="single" w:sz="4" w:space="0" w:color="auto"/>
              <w:bottom w:val="single" w:sz="4" w:space="0" w:color="auto"/>
              <w:right w:val="single" w:sz="4" w:space="0" w:color="auto"/>
            </w:tcBorders>
            <w:hideMark/>
          </w:tcPr>
          <w:p w14:paraId="4D310B4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364</w:t>
            </w:r>
          </w:p>
        </w:tc>
        <w:tc>
          <w:tcPr>
            <w:tcW w:w="1051" w:type="dxa"/>
            <w:tcBorders>
              <w:top w:val="single" w:sz="4" w:space="0" w:color="auto"/>
              <w:left w:val="single" w:sz="4" w:space="0" w:color="auto"/>
              <w:bottom w:val="single" w:sz="4" w:space="0" w:color="auto"/>
              <w:right w:val="single" w:sz="4" w:space="0" w:color="auto"/>
            </w:tcBorders>
            <w:hideMark/>
          </w:tcPr>
          <w:p w14:paraId="6D89C38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210</w:t>
            </w:r>
          </w:p>
        </w:tc>
        <w:tc>
          <w:tcPr>
            <w:tcW w:w="949" w:type="dxa"/>
            <w:tcBorders>
              <w:top w:val="single" w:sz="4" w:space="0" w:color="auto"/>
              <w:left w:val="single" w:sz="4" w:space="0" w:color="auto"/>
              <w:bottom w:val="single" w:sz="4" w:space="0" w:color="auto"/>
              <w:right w:val="single" w:sz="4" w:space="0" w:color="auto"/>
            </w:tcBorders>
            <w:hideMark/>
          </w:tcPr>
          <w:p w14:paraId="592023F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4110542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,5</w:t>
            </w:r>
            <w:r>
              <w:rPr>
                <w:rFonts w:ascii="Sylfaen" w:hAnsi="Sylfaen"/>
                <w:sz w:val="20"/>
                <w:szCs w:val="20"/>
                <w:lang w:val="ka-GE"/>
              </w:rPr>
              <w:t>e-4</w:t>
            </w:r>
          </w:p>
        </w:tc>
        <w:tc>
          <w:tcPr>
            <w:tcW w:w="1051" w:type="dxa"/>
            <w:tcBorders>
              <w:top w:val="single" w:sz="4" w:space="0" w:color="auto"/>
              <w:left w:val="single" w:sz="4" w:space="0" w:color="auto"/>
              <w:bottom w:val="single" w:sz="4" w:space="0" w:color="auto"/>
              <w:right w:val="single" w:sz="4" w:space="0" w:color="auto"/>
            </w:tcBorders>
            <w:hideMark/>
          </w:tcPr>
          <w:p w14:paraId="2A7865E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60</w:t>
            </w:r>
          </w:p>
        </w:tc>
        <w:tc>
          <w:tcPr>
            <w:tcW w:w="1051" w:type="dxa"/>
            <w:tcBorders>
              <w:top w:val="single" w:sz="4" w:space="0" w:color="auto"/>
              <w:left w:val="single" w:sz="4" w:space="0" w:color="auto"/>
              <w:bottom w:val="single" w:sz="4" w:space="0" w:color="auto"/>
              <w:right w:val="single" w:sz="4" w:space="0" w:color="auto"/>
            </w:tcBorders>
            <w:hideMark/>
          </w:tcPr>
          <w:p w14:paraId="67EB438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478AC41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3190D68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1C83F4A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5AEB9C58"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507C8183"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1036" w:type="dxa"/>
            <w:tcBorders>
              <w:top w:val="single" w:sz="4" w:space="0" w:color="auto"/>
              <w:left w:val="single" w:sz="4" w:space="0" w:color="auto"/>
              <w:bottom w:val="single" w:sz="4" w:space="0" w:color="auto"/>
              <w:right w:val="single" w:sz="4" w:space="0" w:color="auto"/>
            </w:tcBorders>
            <w:hideMark/>
          </w:tcPr>
          <w:p w14:paraId="53816A1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36</w:t>
            </w:r>
          </w:p>
        </w:tc>
        <w:tc>
          <w:tcPr>
            <w:tcW w:w="1051" w:type="dxa"/>
            <w:tcBorders>
              <w:top w:val="single" w:sz="4" w:space="0" w:color="auto"/>
              <w:left w:val="single" w:sz="4" w:space="0" w:color="auto"/>
              <w:bottom w:val="single" w:sz="4" w:space="0" w:color="auto"/>
              <w:right w:val="single" w:sz="4" w:space="0" w:color="auto"/>
            </w:tcBorders>
            <w:hideMark/>
          </w:tcPr>
          <w:p w14:paraId="26D0A71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524</w:t>
            </w:r>
          </w:p>
        </w:tc>
        <w:tc>
          <w:tcPr>
            <w:tcW w:w="949" w:type="dxa"/>
            <w:tcBorders>
              <w:top w:val="single" w:sz="4" w:space="0" w:color="auto"/>
              <w:left w:val="single" w:sz="4" w:space="0" w:color="auto"/>
              <w:bottom w:val="single" w:sz="4" w:space="0" w:color="auto"/>
              <w:right w:val="single" w:sz="4" w:space="0" w:color="auto"/>
            </w:tcBorders>
            <w:hideMark/>
          </w:tcPr>
          <w:p w14:paraId="2DA7CF7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19CDD59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w:t>
            </w:r>
            <w:r>
              <w:rPr>
                <w:rFonts w:ascii="Sylfaen" w:hAnsi="Sylfaen" w:cs="Arial"/>
                <w:sz w:val="20"/>
                <w:szCs w:val="20"/>
                <w:lang w:val="ka-GE"/>
              </w:rPr>
              <w:t>,0</w:t>
            </w:r>
            <w:r>
              <w:rPr>
                <w:rFonts w:ascii="Sylfaen" w:hAnsi="Sylfaen"/>
                <w:sz w:val="20"/>
                <w:szCs w:val="20"/>
                <w:lang w:val="ka-GE"/>
              </w:rPr>
              <w:t>e-4</w:t>
            </w:r>
          </w:p>
        </w:tc>
        <w:tc>
          <w:tcPr>
            <w:tcW w:w="1051" w:type="dxa"/>
            <w:tcBorders>
              <w:top w:val="single" w:sz="4" w:space="0" w:color="auto"/>
              <w:left w:val="single" w:sz="4" w:space="0" w:color="auto"/>
              <w:bottom w:val="single" w:sz="4" w:space="0" w:color="auto"/>
              <w:right w:val="single" w:sz="4" w:space="0" w:color="auto"/>
            </w:tcBorders>
            <w:hideMark/>
          </w:tcPr>
          <w:p w14:paraId="08884D9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356</w:t>
            </w:r>
          </w:p>
        </w:tc>
        <w:tc>
          <w:tcPr>
            <w:tcW w:w="1051" w:type="dxa"/>
            <w:tcBorders>
              <w:top w:val="single" w:sz="4" w:space="0" w:color="auto"/>
              <w:left w:val="single" w:sz="4" w:space="0" w:color="auto"/>
              <w:bottom w:val="single" w:sz="4" w:space="0" w:color="auto"/>
              <w:right w:val="single" w:sz="4" w:space="0" w:color="auto"/>
            </w:tcBorders>
            <w:hideMark/>
          </w:tcPr>
          <w:p w14:paraId="701548C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7B952F7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549CA5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1AE4E9D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3FB496B3"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1BD9C180"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lastRenderedPageBreak/>
              <w:t>4</w:t>
            </w:r>
          </w:p>
        </w:tc>
        <w:tc>
          <w:tcPr>
            <w:tcW w:w="1036" w:type="dxa"/>
            <w:tcBorders>
              <w:top w:val="single" w:sz="4" w:space="0" w:color="auto"/>
              <w:left w:val="single" w:sz="4" w:space="0" w:color="auto"/>
              <w:bottom w:val="single" w:sz="4" w:space="0" w:color="auto"/>
              <w:right w:val="single" w:sz="4" w:space="0" w:color="auto"/>
            </w:tcBorders>
            <w:hideMark/>
          </w:tcPr>
          <w:p w14:paraId="0BE103B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5257A65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949" w:type="dxa"/>
            <w:tcBorders>
              <w:top w:val="single" w:sz="4" w:space="0" w:color="auto"/>
              <w:left w:val="single" w:sz="4" w:space="0" w:color="auto"/>
              <w:bottom w:val="single" w:sz="4" w:space="0" w:color="auto"/>
              <w:right w:val="single" w:sz="4" w:space="0" w:color="auto"/>
            </w:tcBorders>
            <w:hideMark/>
          </w:tcPr>
          <w:p w14:paraId="0795604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089B434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4</w:t>
            </w:r>
            <w:r>
              <w:rPr>
                <w:rFonts w:ascii="Sylfaen" w:hAnsi="Sylfaen" w:cs="Arial"/>
                <w:sz w:val="20"/>
                <w:szCs w:val="20"/>
                <w:lang w:val="ka-GE"/>
              </w:rPr>
              <w:t>,8</w:t>
            </w:r>
            <w:r>
              <w:rPr>
                <w:rFonts w:ascii="Sylfaen" w:hAnsi="Sylfaen"/>
                <w:sz w:val="20"/>
                <w:szCs w:val="20"/>
                <w:lang w:val="ka-GE"/>
              </w:rPr>
              <w:t>e-4</w:t>
            </w:r>
          </w:p>
        </w:tc>
        <w:tc>
          <w:tcPr>
            <w:tcW w:w="1051" w:type="dxa"/>
            <w:tcBorders>
              <w:top w:val="single" w:sz="4" w:space="0" w:color="auto"/>
              <w:left w:val="single" w:sz="4" w:space="0" w:color="auto"/>
              <w:bottom w:val="single" w:sz="4" w:space="0" w:color="auto"/>
              <w:right w:val="single" w:sz="4" w:space="0" w:color="auto"/>
            </w:tcBorders>
            <w:hideMark/>
          </w:tcPr>
          <w:p w14:paraId="47700F0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90</w:t>
            </w:r>
          </w:p>
        </w:tc>
        <w:tc>
          <w:tcPr>
            <w:tcW w:w="1051" w:type="dxa"/>
            <w:tcBorders>
              <w:top w:val="single" w:sz="4" w:space="0" w:color="auto"/>
              <w:left w:val="single" w:sz="4" w:space="0" w:color="auto"/>
              <w:bottom w:val="single" w:sz="4" w:space="0" w:color="auto"/>
              <w:right w:val="single" w:sz="4" w:space="0" w:color="auto"/>
            </w:tcBorders>
            <w:hideMark/>
          </w:tcPr>
          <w:p w14:paraId="30FE118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1DF4586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1EFCC1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7749CE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7818A97B"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0E0614C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2</w:t>
            </w:r>
          </w:p>
        </w:tc>
        <w:tc>
          <w:tcPr>
            <w:tcW w:w="1036" w:type="dxa"/>
            <w:tcBorders>
              <w:top w:val="single" w:sz="4" w:space="0" w:color="auto"/>
              <w:left w:val="single" w:sz="4" w:space="0" w:color="auto"/>
              <w:bottom w:val="single" w:sz="4" w:space="0" w:color="auto"/>
              <w:right w:val="single" w:sz="4" w:space="0" w:color="auto"/>
            </w:tcBorders>
            <w:hideMark/>
          </w:tcPr>
          <w:p w14:paraId="1A575E7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578</w:t>
            </w:r>
          </w:p>
        </w:tc>
        <w:tc>
          <w:tcPr>
            <w:tcW w:w="1051" w:type="dxa"/>
            <w:tcBorders>
              <w:top w:val="single" w:sz="4" w:space="0" w:color="auto"/>
              <w:left w:val="single" w:sz="4" w:space="0" w:color="auto"/>
              <w:bottom w:val="single" w:sz="4" w:space="0" w:color="auto"/>
              <w:right w:val="single" w:sz="4" w:space="0" w:color="auto"/>
            </w:tcBorders>
            <w:hideMark/>
          </w:tcPr>
          <w:p w14:paraId="24D0156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w:t>
            </w:r>
          </w:p>
        </w:tc>
        <w:tc>
          <w:tcPr>
            <w:tcW w:w="949" w:type="dxa"/>
            <w:tcBorders>
              <w:top w:val="single" w:sz="4" w:space="0" w:color="auto"/>
              <w:left w:val="single" w:sz="4" w:space="0" w:color="auto"/>
              <w:bottom w:val="single" w:sz="4" w:space="0" w:color="auto"/>
              <w:right w:val="single" w:sz="4" w:space="0" w:color="auto"/>
            </w:tcBorders>
            <w:hideMark/>
          </w:tcPr>
          <w:p w14:paraId="5DD3161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0604721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4</w:t>
            </w:r>
            <w:r>
              <w:rPr>
                <w:rFonts w:ascii="Sylfaen" w:hAnsi="Sylfaen" w:cs="Arial"/>
                <w:sz w:val="20"/>
                <w:szCs w:val="20"/>
                <w:lang w:val="ka-GE"/>
              </w:rPr>
              <w:t>,2</w:t>
            </w:r>
            <w:r>
              <w:rPr>
                <w:rFonts w:ascii="Sylfaen" w:hAnsi="Sylfaen"/>
                <w:sz w:val="20"/>
                <w:szCs w:val="20"/>
                <w:lang w:val="ka-GE"/>
              </w:rPr>
              <w:t>e-4</w:t>
            </w:r>
          </w:p>
        </w:tc>
        <w:tc>
          <w:tcPr>
            <w:tcW w:w="1051" w:type="dxa"/>
            <w:tcBorders>
              <w:top w:val="single" w:sz="4" w:space="0" w:color="auto"/>
              <w:left w:val="single" w:sz="4" w:space="0" w:color="auto"/>
              <w:bottom w:val="single" w:sz="4" w:space="0" w:color="auto"/>
              <w:right w:val="single" w:sz="4" w:space="0" w:color="auto"/>
            </w:tcBorders>
            <w:hideMark/>
          </w:tcPr>
          <w:p w14:paraId="7399932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274</w:t>
            </w:r>
          </w:p>
        </w:tc>
        <w:tc>
          <w:tcPr>
            <w:tcW w:w="1051" w:type="dxa"/>
            <w:tcBorders>
              <w:top w:val="single" w:sz="4" w:space="0" w:color="auto"/>
              <w:left w:val="single" w:sz="4" w:space="0" w:color="auto"/>
              <w:bottom w:val="single" w:sz="4" w:space="0" w:color="auto"/>
              <w:right w:val="single" w:sz="4" w:space="0" w:color="auto"/>
            </w:tcBorders>
            <w:hideMark/>
          </w:tcPr>
          <w:p w14:paraId="65AE2A5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659BEF7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A3DFB6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6E3469D"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5D36E4E2"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652AD99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1036" w:type="dxa"/>
            <w:tcBorders>
              <w:top w:val="single" w:sz="4" w:space="0" w:color="auto"/>
              <w:left w:val="single" w:sz="4" w:space="0" w:color="auto"/>
              <w:bottom w:val="single" w:sz="4" w:space="0" w:color="auto"/>
              <w:right w:val="single" w:sz="4" w:space="0" w:color="auto"/>
            </w:tcBorders>
            <w:hideMark/>
          </w:tcPr>
          <w:p w14:paraId="37E9F36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252AD0A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288</w:t>
            </w:r>
          </w:p>
        </w:tc>
        <w:tc>
          <w:tcPr>
            <w:tcW w:w="949" w:type="dxa"/>
            <w:tcBorders>
              <w:top w:val="single" w:sz="4" w:space="0" w:color="auto"/>
              <w:left w:val="single" w:sz="4" w:space="0" w:color="auto"/>
              <w:bottom w:val="single" w:sz="4" w:space="0" w:color="auto"/>
              <w:right w:val="single" w:sz="4" w:space="0" w:color="auto"/>
            </w:tcBorders>
            <w:hideMark/>
          </w:tcPr>
          <w:p w14:paraId="7693F05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2477E04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,8</w:t>
            </w:r>
            <w:r>
              <w:rPr>
                <w:rFonts w:ascii="Sylfaen" w:hAnsi="Sylfaen"/>
                <w:sz w:val="20"/>
                <w:szCs w:val="20"/>
                <w:lang w:val="ka-GE"/>
              </w:rPr>
              <w:t>e-4</w:t>
            </w:r>
          </w:p>
        </w:tc>
        <w:tc>
          <w:tcPr>
            <w:tcW w:w="1051" w:type="dxa"/>
            <w:tcBorders>
              <w:top w:val="single" w:sz="4" w:space="0" w:color="auto"/>
              <w:left w:val="single" w:sz="4" w:space="0" w:color="auto"/>
              <w:bottom w:val="single" w:sz="4" w:space="0" w:color="auto"/>
              <w:right w:val="single" w:sz="4" w:space="0" w:color="auto"/>
            </w:tcBorders>
            <w:hideMark/>
          </w:tcPr>
          <w:p w14:paraId="25E3866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242</w:t>
            </w:r>
          </w:p>
        </w:tc>
        <w:tc>
          <w:tcPr>
            <w:tcW w:w="1051" w:type="dxa"/>
            <w:tcBorders>
              <w:top w:val="single" w:sz="4" w:space="0" w:color="auto"/>
              <w:left w:val="single" w:sz="4" w:space="0" w:color="auto"/>
              <w:bottom w:val="single" w:sz="4" w:space="0" w:color="auto"/>
              <w:right w:val="single" w:sz="4" w:space="0" w:color="auto"/>
            </w:tcBorders>
            <w:hideMark/>
          </w:tcPr>
          <w:p w14:paraId="24A8781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6E12B25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E5073B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F752C7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bl>
    <w:p w14:paraId="1DF7994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3EC0173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0337</w:t>
      </w:r>
      <w:r>
        <w:rPr>
          <w:rFonts w:ascii="Sylfaen" w:hAnsi="Sylfaen" w:cs="Arial"/>
          <w:b/>
          <w:bCs/>
          <w:sz w:val="20"/>
          <w:szCs w:val="20"/>
          <w:lang w:val="ka-GE"/>
        </w:rPr>
        <w:t xml:space="preserve">   ნახშირბადის ოქსიდი</w:t>
      </w:r>
    </w:p>
    <w:p w14:paraId="6A46FAA2"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817"/>
        <w:gridCol w:w="1036"/>
        <w:gridCol w:w="1051"/>
        <w:gridCol w:w="949"/>
        <w:gridCol w:w="1109"/>
        <w:gridCol w:w="1051"/>
        <w:gridCol w:w="1051"/>
        <w:gridCol w:w="992"/>
        <w:gridCol w:w="934"/>
        <w:gridCol w:w="934"/>
      </w:tblGrid>
      <w:tr w:rsidR="00A2588D" w14:paraId="61D58860"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00A036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1036" w:type="dxa"/>
            <w:tcBorders>
              <w:top w:val="single" w:sz="4" w:space="0" w:color="auto"/>
              <w:left w:val="single" w:sz="4" w:space="0" w:color="auto"/>
              <w:bottom w:val="single" w:sz="4" w:space="0" w:color="auto"/>
              <w:right w:val="single" w:sz="4" w:space="0" w:color="auto"/>
            </w:tcBorders>
            <w:hideMark/>
          </w:tcPr>
          <w:p w14:paraId="5B31452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263</w:t>
            </w:r>
          </w:p>
        </w:tc>
        <w:tc>
          <w:tcPr>
            <w:tcW w:w="1051" w:type="dxa"/>
            <w:tcBorders>
              <w:top w:val="single" w:sz="4" w:space="0" w:color="auto"/>
              <w:left w:val="single" w:sz="4" w:space="0" w:color="auto"/>
              <w:bottom w:val="single" w:sz="4" w:space="0" w:color="auto"/>
              <w:right w:val="single" w:sz="4" w:space="0" w:color="auto"/>
            </w:tcBorders>
            <w:hideMark/>
          </w:tcPr>
          <w:p w14:paraId="0C36047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176</w:t>
            </w:r>
          </w:p>
        </w:tc>
        <w:tc>
          <w:tcPr>
            <w:tcW w:w="949" w:type="dxa"/>
            <w:tcBorders>
              <w:top w:val="single" w:sz="4" w:space="0" w:color="auto"/>
              <w:left w:val="single" w:sz="4" w:space="0" w:color="auto"/>
              <w:bottom w:val="single" w:sz="4" w:space="0" w:color="auto"/>
              <w:right w:val="single" w:sz="4" w:space="0" w:color="auto"/>
            </w:tcBorders>
            <w:hideMark/>
          </w:tcPr>
          <w:p w14:paraId="0F561E4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75D4437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,2</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6B2DE70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106</w:t>
            </w:r>
          </w:p>
        </w:tc>
        <w:tc>
          <w:tcPr>
            <w:tcW w:w="1051" w:type="dxa"/>
            <w:tcBorders>
              <w:top w:val="single" w:sz="4" w:space="0" w:color="auto"/>
              <w:left w:val="single" w:sz="4" w:space="0" w:color="auto"/>
              <w:bottom w:val="single" w:sz="4" w:space="0" w:color="auto"/>
              <w:right w:val="single" w:sz="4" w:space="0" w:color="auto"/>
            </w:tcBorders>
            <w:hideMark/>
          </w:tcPr>
          <w:p w14:paraId="5B03EE0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r>
              <w:rPr>
                <w:rFonts w:ascii="Sylfaen" w:hAnsi="Sylfaen" w:cs="Arial"/>
                <w:sz w:val="20"/>
                <w:szCs w:val="20"/>
                <w:lang w:val="ka-GE"/>
              </w:rPr>
              <w:t>,</w:t>
            </w:r>
            <w:r>
              <w:rPr>
                <w:rFonts w:ascii="Sylfaen" w:hAnsi="Sylfaen"/>
                <w:sz w:val="20"/>
                <w:szCs w:val="20"/>
                <w:lang w:val="ka-GE"/>
              </w:rPr>
              <w:t>40</w:t>
            </w:r>
          </w:p>
        </w:tc>
        <w:tc>
          <w:tcPr>
            <w:tcW w:w="992" w:type="dxa"/>
            <w:tcBorders>
              <w:top w:val="single" w:sz="4" w:space="0" w:color="auto"/>
              <w:left w:val="single" w:sz="4" w:space="0" w:color="auto"/>
              <w:bottom w:val="single" w:sz="4" w:space="0" w:color="auto"/>
              <w:right w:val="single" w:sz="4" w:space="0" w:color="auto"/>
            </w:tcBorders>
            <w:hideMark/>
          </w:tcPr>
          <w:p w14:paraId="40D036B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ED0346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477C53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0214EF6F"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57DDA9F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1036" w:type="dxa"/>
            <w:tcBorders>
              <w:top w:val="single" w:sz="4" w:space="0" w:color="auto"/>
              <w:left w:val="single" w:sz="4" w:space="0" w:color="auto"/>
              <w:bottom w:val="single" w:sz="4" w:space="0" w:color="auto"/>
              <w:right w:val="single" w:sz="4" w:space="0" w:color="auto"/>
            </w:tcBorders>
            <w:hideMark/>
          </w:tcPr>
          <w:p w14:paraId="6DCE091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364</w:t>
            </w:r>
          </w:p>
        </w:tc>
        <w:tc>
          <w:tcPr>
            <w:tcW w:w="1051" w:type="dxa"/>
            <w:tcBorders>
              <w:top w:val="single" w:sz="4" w:space="0" w:color="auto"/>
              <w:left w:val="single" w:sz="4" w:space="0" w:color="auto"/>
              <w:bottom w:val="single" w:sz="4" w:space="0" w:color="auto"/>
              <w:right w:val="single" w:sz="4" w:space="0" w:color="auto"/>
            </w:tcBorders>
            <w:hideMark/>
          </w:tcPr>
          <w:p w14:paraId="143FEFE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210</w:t>
            </w:r>
          </w:p>
        </w:tc>
        <w:tc>
          <w:tcPr>
            <w:tcW w:w="949" w:type="dxa"/>
            <w:tcBorders>
              <w:top w:val="single" w:sz="4" w:space="0" w:color="auto"/>
              <w:left w:val="single" w:sz="4" w:space="0" w:color="auto"/>
              <w:bottom w:val="single" w:sz="4" w:space="0" w:color="auto"/>
              <w:right w:val="single" w:sz="4" w:space="0" w:color="auto"/>
            </w:tcBorders>
            <w:hideMark/>
          </w:tcPr>
          <w:p w14:paraId="73E3597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73EB2CC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,8</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20228BE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52</w:t>
            </w:r>
          </w:p>
        </w:tc>
        <w:tc>
          <w:tcPr>
            <w:tcW w:w="1051" w:type="dxa"/>
            <w:tcBorders>
              <w:top w:val="single" w:sz="4" w:space="0" w:color="auto"/>
              <w:left w:val="single" w:sz="4" w:space="0" w:color="auto"/>
              <w:bottom w:val="single" w:sz="4" w:space="0" w:color="auto"/>
              <w:right w:val="single" w:sz="4" w:space="0" w:color="auto"/>
            </w:tcBorders>
            <w:hideMark/>
          </w:tcPr>
          <w:p w14:paraId="685E68F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w:t>
            </w:r>
            <w:r>
              <w:rPr>
                <w:rFonts w:ascii="Sylfaen" w:hAnsi="Sylfaen"/>
                <w:sz w:val="20"/>
                <w:szCs w:val="20"/>
                <w:lang w:val="ka-GE"/>
              </w:rPr>
              <w:t>55</w:t>
            </w:r>
          </w:p>
        </w:tc>
        <w:tc>
          <w:tcPr>
            <w:tcW w:w="992" w:type="dxa"/>
            <w:tcBorders>
              <w:top w:val="single" w:sz="4" w:space="0" w:color="auto"/>
              <w:left w:val="single" w:sz="4" w:space="0" w:color="auto"/>
              <w:bottom w:val="single" w:sz="4" w:space="0" w:color="auto"/>
              <w:right w:val="single" w:sz="4" w:space="0" w:color="auto"/>
            </w:tcBorders>
            <w:hideMark/>
          </w:tcPr>
          <w:p w14:paraId="08ECFD0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6B4E69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4FE126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4C34535D"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78322C0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2</w:t>
            </w:r>
          </w:p>
        </w:tc>
        <w:tc>
          <w:tcPr>
            <w:tcW w:w="1036" w:type="dxa"/>
            <w:tcBorders>
              <w:top w:val="single" w:sz="4" w:space="0" w:color="auto"/>
              <w:left w:val="single" w:sz="4" w:space="0" w:color="auto"/>
              <w:bottom w:val="single" w:sz="4" w:space="0" w:color="auto"/>
              <w:right w:val="single" w:sz="4" w:space="0" w:color="auto"/>
            </w:tcBorders>
            <w:hideMark/>
          </w:tcPr>
          <w:p w14:paraId="37CFAC9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578</w:t>
            </w:r>
          </w:p>
        </w:tc>
        <w:tc>
          <w:tcPr>
            <w:tcW w:w="1051" w:type="dxa"/>
            <w:tcBorders>
              <w:top w:val="single" w:sz="4" w:space="0" w:color="auto"/>
              <w:left w:val="single" w:sz="4" w:space="0" w:color="auto"/>
              <w:bottom w:val="single" w:sz="4" w:space="0" w:color="auto"/>
              <w:right w:val="single" w:sz="4" w:space="0" w:color="auto"/>
            </w:tcBorders>
            <w:hideMark/>
          </w:tcPr>
          <w:p w14:paraId="351CCF2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w:t>
            </w:r>
          </w:p>
        </w:tc>
        <w:tc>
          <w:tcPr>
            <w:tcW w:w="949" w:type="dxa"/>
            <w:tcBorders>
              <w:top w:val="single" w:sz="4" w:space="0" w:color="auto"/>
              <w:left w:val="single" w:sz="4" w:space="0" w:color="auto"/>
              <w:bottom w:val="single" w:sz="4" w:space="0" w:color="auto"/>
              <w:right w:val="single" w:sz="4" w:space="0" w:color="auto"/>
            </w:tcBorders>
            <w:hideMark/>
          </w:tcPr>
          <w:p w14:paraId="2D43209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0347425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,3</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5FC9B20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282</w:t>
            </w:r>
          </w:p>
        </w:tc>
        <w:tc>
          <w:tcPr>
            <w:tcW w:w="1051" w:type="dxa"/>
            <w:tcBorders>
              <w:top w:val="single" w:sz="4" w:space="0" w:color="auto"/>
              <w:left w:val="single" w:sz="4" w:space="0" w:color="auto"/>
              <w:bottom w:val="single" w:sz="4" w:space="0" w:color="auto"/>
              <w:right w:val="single" w:sz="4" w:space="0" w:color="auto"/>
            </w:tcBorders>
            <w:hideMark/>
          </w:tcPr>
          <w:p w14:paraId="57BF213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77</w:t>
            </w:r>
          </w:p>
        </w:tc>
        <w:tc>
          <w:tcPr>
            <w:tcW w:w="992" w:type="dxa"/>
            <w:tcBorders>
              <w:top w:val="single" w:sz="4" w:space="0" w:color="auto"/>
              <w:left w:val="single" w:sz="4" w:space="0" w:color="auto"/>
              <w:bottom w:val="single" w:sz="4" w:space="0" w:color="auto"/>
              <w:right w:val="single" w:sz="4" w:space="0" w:color="auto"/>
            </w:tcBorders>
            <w:hideMark/>
          </w:tcPr>
          <w:p w14:paraId="5A69283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F37E66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E8DAD0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0B19A8D4"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0E6F050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1036" w:type="dxa"/>
            <w:tcBorders>
              <w:top w:val="single" w:sz="4" w:space="0" w:color="auto"/>
              <w:left w:val="single" w:sz="4" w:space="0" w:color="auto"/>
              <w:bottom w:val="single" w:sz="4" w:space="0" w:color="auto"/>
              <w:right w:val="single" w:sz="4" w:space="0" w:color="auto"/>
            </w:tcBorders>
            <w:hideMark/>
          </w:tcPr>
          <w:p w14:paraId="541FD89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64C61CC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288</w:t>
            </w:r>
          </w:p>
        </w:tc>
        <w:tc>
          <w:tcPr>
            <w:tcW w:w="949" w:type="dxa"/>
            <w:tcBorders>
              <w:top w:val="single" w:sz="4" w:space="0" w:color="auto"/>
              <w:left w:val="single" w:sz="4" w:space="0" w:color="auto"/>
              <w:bottom w:val="single" w:sz="4" w:space="0" w:color="auto"/>
              <w:right w:val="single" w:sz="4" w:space="0" w:color="auto"/>
            </w:tcBorders>
            <w:hideMark/>
          </w:tcPr>
          <w:p w14:paraId="1F4A25E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7A9BF5B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,3</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4C2D4FA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248</w:t>
            </w:r>
          </w:p>
        </w:tc>
        <w:tc>
          <w:tcPr>
            <w:tcW w:w="1051" w:type="dxa"/>
            <w:tcBorders>
              <w:top w:val="single" w:sz="4" w:space="0" w:color="auto"/>
              <w:left w:val="single" w:sz="4" w:space="0" w:color="auto"/>
              <w:bottom w:val="single" w:sz="4" w:space="0" w:color="auto"/>
              <w:right w:val="single" w:sz="4" w:space="0" w:color="auto"/>
            </w:tcBorders>
            <w:hideMark/>
          </w:tcPr>
          <w:p w14:paraId="0156B20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77</w:t>
            </w:r>
          </w:p>
        </w:tc>
        <w:tc>
          <w:tcPr>
            <w:tcW w:w="992" w:type="dxa"/>
            <w:tcBorders>
              <w:top w:val="single" w:sz="4" w:space="0" w:color="auto"/>
              <w:left w:val="single" w:sz="4" w:space="0" w:color="auto"/>
              <w:bottom w:val="single" w:sz="4" w:space="0" w:color="auto"/>
              <w:right w:val="single" w:sz="4" w:space="0" w:color="auto"/>
            </w:tcBorders>
            <w:hideMark/>
          </w:tcPr>
          <w:p w14:paraId="75F8C55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3B815D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82AC02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57B7068E"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726E83A3"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c>
          <w:tcPr>
            <w:tcW w:w="1036" w:type="dxa"/>
            <w:tcBorders>
              <w:top w:val="single" w:sz="4" w:space="0" w:color="auto"/>
              <w:left w:val="single" w:sz="4" w:space="0" w:color="auto"/>
              <w:bottom w:val="single" w:sz="4" w:space="0" w:color="auto"/>
              <w:right w:val="single" w:sz="4" w:space="0" w:color="auto"/>
            </w:tcBorders>
            <w:hideMark/>
          </w:tcPr>
          <w:p w14:paraId="14BCEE0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2F03D53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949" w:type="dxa"/>
            <w:tcBorders>
              <w:top w:val="single" w:sz="4" w:space="0" w:color="auto"/>
              <w:left w:val="single" w:sz="4" w:space="0" w:color="auto"/>
              <w:bottom w:val="single" w:sz="4" w:space="0" w:color="auto"/>
              <w:right w:val="single" w:sz="4" w:space="0" w:color="auto"/>
            </w:tcBorders>
            <w:hideMark/>
          </w:tcPr>
          <w:p w14:paraId="4117569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37613D1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,2</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28706BB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82</w:t>
            </w:r>
          </w:p>
        </w:tc>
        <w:tc>
          <w:tcPr>
            <w:tcW w:w="1051" w:type="dxa"/>
            <w:tcBorders>
              <w:top w:val="single" w:sz="4" w:space="0" w:color="auto"/>
              <w:left w:val="single" w:sz="4" w:space="0" w:color="auto"/>
              <w:bottom w:val="single" w:sz="4" w:space="0" w:color="auto"/>
              <w:right w:val="single" w:sz="4" w:space="0" w:color="auto"/>
            </w:tcBorders>
            <w:hideMark/>
          </w:tcPr>
          <w:p w14:paraId="7BE17B0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77</w:t>
            </w:r>
          </w:p>
        </w:tc>
        <w:tc>
          <w:tcPr>
            <w:tcW w:w="992" w:type="dxa"/>
            <w:tcBorders>
              <w:top w:val="single" w:sz="4" w:space="0" w:color="auto"/>
              <w:left w:val="single" w:sz="4" w:space="0" w:color="auto"/>
              <w:bottom w:val="single" w:sz="4" w:space="0" w:color="auto"/>
              <w:right w:val="single" w:sz="4" w:space="0" w:color="auto"/>
            </w:tcBorders>
            <w:hideMark/>
          </w:tcPr>
          <w:p w14:paraId="1439F88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EFF975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E5D2DE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70451ED4"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2383575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1036" w:type="dxa"/>
            <w:tcBorders>
              <w:top w:val="single" w:sz="4" w:space="0" w:color="auto"/>
              <w:left w:val="single" w:sz="4" w:space="0" w:color="auto"/>
              <w:bottom w:val="single" w:sz="4" w:space="0" w:color="auto"/>
              <w:right w:val="single" w:sz="4" w:space="0" w:color="auto"/>
            </w:tcBorders>
            <w:hideMark/>
          </w:tcPr>
          <w:p w14:paraId="00BB8C9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36</w:t>
            </w:r>
          </w:p>
        </w:tc>
        <w:tc>
          <w:tcPr>
            <w:tcW w:w="1051" w:type="dxa"/>
            <w:tcBorders>
              <w:top w:val="single" w:sz="4" w:space="0" w:color="auto"/>
              <w:left w:val="single" w:sz="4" w:space="0" w:color="auto"/>
              <w:bottom w:val="single" w:sz="4" w:space="0" w:color="auto"/>
              <w:right w:val="single" w:sz="4" w:space="0" w:color="auto"/>
            </w:tcBorders>
            <w:hideMark/>
          </w:tcPr>
          <w:p w14:paraId="360C3AD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524</w:t>
            </w:r>
          </w:p>
        </w:tc>
        <w:tc>
          <w:tcPr>
            <w:tcW w:w="949" w:type="dxa"/>
            <w:tcBorders>
              <w:top w:val="single" w:sz="4" w:space="0" w:color="auto"/>
              <w:left w:val="single" w:sz="4" w:space="0" w:color="auto"/>
              <w:bottom w:val="single" w:sz="4" w:space="0" w:color="auto"/>
              <w:right w:val="single" w:sz="4" w:space="0" w:color="auto"/>
            </w:tcBorders>
            <w:hideMark/>
          </w:tcPr>
          <w:p w14:paraId="0E3B263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0E363A4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,0</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5166093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358</w:t>
            </w:r>
          </w:p>
        </w:tc>
        <w:tc>
          <w:tcPr>
            <w:tcW w:w="1051" w:type="dxa"/>
            <w:tcBorders>
              <w:top w:val="single" w:sz="4" w:space="0" w:color="auto"/>
              <w:left w:val="single" w:sz="4" w:space="0" w:color="auto"/>
              <w:bottom w:val="single" w:sz="4" w:space="0" w:color="auto"/>
              <w:right w:val="single" w:sz="4" w:space="0" w:color="auto"/>
            </w:tcBorders>
            <w:hideMark/>
          </w:tcPr>
          <w:p w14:paraId="527C338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77</w:t>
            </w:r>
          </w:p>
        </w:tc>
        <w:tc>
          <w:tcPr>
            <w:tcW w:w="992" w:type="dxa"/>
            <w:tcBorders>
              <w:top w:val="single" w:sz="4" w:space="0" w:color="auto"/>
              <w:left w:val="single" w:sz="4" w:space="0" w:color="auto"/>
              <w:bottom w:val="single" w:sz="4" w:space="0" w:color="auto"/>
              <w:right w:val="single" w:sz="4" w:space="0" w:color="auto"/>
            </w:tcBorders>
            <w:hideMark/>
          </w:tcPr>
          <w:p w14:paraId="01D1DD3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B208E0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AF47BF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bl>
    <w:p w14:paraId="26BC924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2B44203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0703</w:t>
      </w:r>
      <w:r>
        <w:rPr>
          <w:rFonts w:ascii="Sylfaen" w:hAnsi="Sylfaen" w:cs="Arial"/>
          <w:b/>
          <w:bCs/>
          <w:sz w:val="20"/>
          <w:szCs w:val="20"/>
          <w:lang w:val="ka-GE"/>
        </w:rPr>
        <w:t xml:space="preserve">   ბენზ(ა)პირენი (3,4-ბენზპირენი)</w:t>
      </w:r>
    </w:p>
    <w:p w14:paraId="6F9555FE"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817"/>
        <w:gridCol w:w="1036"/>
        <w:gridCol w:w="1051"/>
        <w:gridCol w:w="949"/>
        <w:gridCol w:w="1109"/>
        <w:gridCol w:w="1051"/>
        <w:gridCol w:w="1051"/>
        <w:gridCol w:w="992"/>
        <w:gridCol w:w="934"/>
        <w:gridCol w:w="934"/>
      </w:tblGrid>
      <w:tr w:rsidR="00A2588D" w14:paraId="4511F402"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F10D3F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1036" w:type="dxa"/>
            <w:tcBorders>
              <w:top w:val="single" w:sz="4" w:space="0" w:color="auto"/>
              <w:left w:val="single" w:sz="4" w:space="0" w:color="auto"/>
              <w:bottom w:val="single" w:sz="4" w:space="0" w:color="auto"/>
              <w:right w:val="single" w:sz="4" w:space="0" w:color="auto"/>
            </w:tcBorders>
            <w:hideMark/>
          </w:tcPr>
          <w:p w14:paraId="53A01A0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263</w:t>
            </w:r>
          </w:p>
        </w:tc>
        <w:tc>
          <w:tcPr>
            <w:tcW w:w="1051" w:type="dxa"/>
            <w:tcBorders>
              <w:top w:val="single" w:sz="4" w:space="0" w:color="auto"/>
              <w:left w:val="single" w:sz="4" w:space="0" w:color="auto"/>
              <w:bottom w:val="single" w:sz="4" w:space="0" w:color="auto"/>
              <w:right w:val="single" w:sz="4" w:space="0" w:color="auto"/>
            </w:tcBorders>
            <w:hideMark/>
          </w:tcPr>
          <w:p w14:paraId="40131E9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176</w:t>
            </w:r>
          </w:p>
        </w:tc>
        <w:tc>
          <w:tcPr>
            <w:tcW w:w="949" w:type="dxa"/>
            <w:tcBorders>
              <w:top w:val="single" w:sz="4" w:space="0" w:color="auto"/>
              <w:left w:val="single" w:sz="4" w:space="0" w:color="auto"/>
              <w:bottom w:val="single" w:sz="4" w:space="0" w:color="auto"/>
              <w:right w:val="single" w:sz="4" w:space="0" w:color="auto"/>
            </w:tcBorders>
            <w:hideMark/>
          </w:tcPr>
          <w:p w14:paraId="388A3CF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2A52621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4</w:t>
            </w:r>
            <w:r>
              <w:rPr>
                <w:rFonts w:ascii="Sylfaen" w:hAnsi="Sylfaen" w:cs="Arial"/>
                <w:sz w:val="20"/>
                <w:szCs w:val="20"/>
                <w:lang w:val="ka-GE"/>
              </w:rPr>
              <w:t>,3</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358AF92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103</w:t>
            </w:r>
          </w:p>
        </w:tc>
        <w:tc>
          <w:tcPr>
            <w:tcW w:w="1051" w:type="dxa"/>
            <w:tcBorders>
              <w:top w:val="single" w:sz="4" w:space="0" w:color="auto"/>
              <w:left w:val="single" w:sz="4" w:space="0" w:color="auto"/>
              <w:bottom w:val="single" w:sz="4" w:space="0" w:color="auto"/>
              <w:right w:val="single" w:sz="4" w:space="0" w:color="auto"/>
            </w:tcBorders>
            <w:hideMark/>
          </w:tcPr>
          <w:p w14:paraId="2F86433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r>
              <w:rPr>
                <w:rFonts w:ascii="Sylfaen" w:hAnsi="Sylfaen" w:cs="Arial"/>
                <w:sz w:val="20"/>
                <w:szCs w:val="20"/>
                <w:lang w:val="ka-GE"/>
              </w:rPr>
              <w:t>,</w:t>
            </w:r>
            <w:r>
              <w:rPr>
                <w:rFonts w:ascii="Sylfaen" w:hAnsi="Sylfaen"/>
                <w:sz w:val="20"/>
                <w:szCs w:val="20"/>
                <w:lang w:val="ka-GE"/>
              </w:rPr>
              <w:t>58</w:t>
            </w:r>
          </w:p>
        </w:tc>
        <w:tc>
          <w:tcPr>
            <w:tcW w:w="992" w:type="dxa"/>
            <w:tcBorders>
              <w:top w:val="single" w:sz="4" w:space="0" w:color="auto"/>
              <w:left w:val="single" w:sz="4" w:space="0" w:color="auto"/>
              <w:bottom w:val="single" w:sz="4" w:space="0" w:color="auto"/>
              <w:right w:val="single" w:sz="4" w:space="0" w:color="auto"/>
            </w:tcBorders>
            <w:hideMark/>
          </w:tcPr>
          <w:p w14:paraId="4CCD3ED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8F192B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696DFBB"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31757AF1"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5CCAB9DB"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1036" w:type="dxa"/>
            <w:tcBorders>
              <w:top w:val="single" w:sz="4" w:space="0" w:color="auto"/>
              <w:left w:val="single" w:sz="4" w:space="0" w:color="auto"/>
              <w:bottom w:val="single" w:sz="4" w:space="0" w:color="auto"/>
              <w:right w:val="single" w:sz="4" w:space="0" w:color="auto"/>
            </w:tcBorders>
            <w:hideMark/>
          </w:tcPr>
          <w:p w14:paraId="6848EB2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364</w:t>
            </w:r>
          </w:p>
        </w:tc>
        <w:tc>
          <w:tcPr>
            <w:tcW w:w="1051" w:type="dxa"/>
            <w:tcBorders>
              <w:top w:val="single" w:sz="4" w:space="0" w:color="auto"/>
              <w:left w:val="single" w:sz="4" w:space="0" w:color="auto"/>
              <w:bottom w:val="single" w:sz="4" w:space="0" w:color="auto"/>
              <w:right w:val="single" w:sz="4" w:space="0" w:color="auto"/>
            </w:tcBorders>
            <w:hideMark/>
          </w:tcPr>
          <w:p w14:paraId="5073681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210</w:t>
            </w:r>
          </w:p>
        </w:tc>
        <w:tc>
          <w:tcPr>
            <w:tcW w:w="949" w:type="dxa"/>
            <w:tcBorders>
              <w:top w:val="single" w:sz="4" w:space="0" w:color="auto"/>
              <w:left w:val="single" w:sz="4" w:space="0" w:color="auto"/>
              <w:bottom w:val="single" w:sz="4" w:space="0" w:color="auto"/>
              <w:right w:val="single" w:sz="4" w:space="0" w:color="auto"/>
            </w:tcBorders>
            <w:hideMark/>
          </w:tcPr>
          <w:p w14:paraId="766D9B3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65E86AC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,9</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2055B11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49</w:t>
            </w:r>
          </w:p>
        </w:tc>
        <w:tc>
          <w:tcPr>
            <w:tcW w:w="1051" w:type="dxa"/>
            <w:tcBorders>
              <w:top w:val="single" w:sz="4" w:space="0" w:color="auto"/>
              <w:left w:val="single" w:sz="4" w:space="0" w:color="auto"/>
              <w:bottom w:val="single" w:sz="4" w:space="0" w:color="auto"/>
              <w:right w:val="single" w:sz="4" w:space="0" w:color="auto"/>
            </w:tcBorders>
            <w:hideMark/>
          </w:tcPr>
          <w:p w14:paraId="12783DF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4</w:t>
            </w:r>
            <w:r>
              <w:rPr>
                <w:rFonts w:ascii="Sylfaen" w:hAnsi="Sylfaen" w:cs="Arial"/>
                <w:sz w:val="20"/>
                <w:szCs w:val="20"/>
                <w:lang w:val="ka-GE"/>
              </w:rPr>
              <w:t>,</w:t>
            </w:r>
            <w:r>
              <w:rPr>
                <w:rFonts w:ascii="Sylfaen" w:hAnsi="Sylfaen"/>
                <w:sz w:val="20"/>
                <w:szCs w:val="20"/>
                <w:lang w:val="ka-GE"/>
              </w:rPr>
              <w:t>69</w:t>
            </w:r>
          </w:p>
        </w:tc>
        <w:tc>
          <w:tcPr>
            <w:tcW w:w="992" w:type="dxa"/>
            <w:tcBorders>
              <w:top w:val="single" w:sz="4" w:space="0" w:color="auto"/>
              <w:left w:val="single" w:sz="4" w:space="0" w:color="auto"/>
              <w:bottom w:val="single" w:sz="4" w:space="0" w:color="auto"/>
              <w:right w:val="single" w:sz="4" w:space="0" w:color="auto"/>
            </w:tcBorders>
            <w:hideMark/>
          </w:tcPr>
          <w:p w14:paraId="29EDE87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6FB54B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12ED377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4A64F0C8"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02FA3790"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1036" w:type="dxa"/>
            <w:tcBorders>
              <w:top w:val="single" w:sz="4" w:space="0" w:color="auto"/>
              <w:left w:val="single" w:sz="4" w:space="0" w:color="auto"/>
              <w:bottom w:val="single" w:sz="4" w:space="0" w:color="auto"/>
              <w:right w:val="single" w:sz="4" w:space="0" w:color="auto"/>
            </w:tcBorders>
            <w:hideMark/>
          </w:tcPr>
          <w:p w14:paraId="543231C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24AC8E6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288</w:t>
            </w:r>
          </w:p>
        </w:tc>
        <w:tc>
          <w:tcPr>
            <w:tcW w:w="949" w:type="dxa"/>
            <w:tcBorders>
              <w:top w:val="single" w:sz="4" w:space="0" w:color="auto"/>
              <w:left w:val="single" w:sz="4" w:space="0" w:color="auto"/>
              <w:bottom w:val="single" w:sz="4" w:space="0" w:color="auto"/>
              <w:right w:val="single" w:sz="4" w:space="0" w:color="auto"/>
            </w:tcBorders>
            <w:hideMark/>
          </w:tcPr>
          <w:p w14:paraId="0AE0514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5A9BB3D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,6</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224E1F4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252</w:t>
            </w:r>
          </w:p>
        </w:tc>
        <w:tc>
          <w:tcPr>
            <w:tcW w:w="1051" w:type="dxa"/>
            <w:tcBorders>
              <w:top w:val="single" w:sz="4" w:space="0" w:color="auto"/>
              <w:left w:val="single" w:sz="4" w:space="0" w:color="auto"/>
              <w:bottom w:val="single" w:sz="4" w:space="0" w:color="auto"/>
              <w:right w:val="single" w:sz="4" w:space="0" w:color="auto"/>
            </w:tcBorders>
            <w:hideMark/>
          </w:tcPr>
          <w:p w14:paraId="2A12FC8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356D913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767E4B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7BDE0C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515C7B79"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1D76156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c>
          <w:tcPr>
            <w:tcW w:w="1036" w:type="dxa"/>
            <w:tcBorders>
              <w:top w:val="single" w:sz="4" w:space="0" w:color="auto"/>
              <w:left w:val="single" w:sz="4" w:space="0" w:color="auto"/>
              <w:bottom w:val="single" w:sz="4" w:space="0" w:color="auto"/>
              <w:right w:val="single" w:sz="4" w:space="0" w:color="auto"/>
            </w:tcBorders>
            <w:hideMark/>
          </w:tcPr>
          <w:p w14:paraId="561EF33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7C65820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949" w:type="dxa"/>
            <w:tcBorders>
              <w:top w:val="single" w:sz="4" w:space="0" w:color="auto"/>
              <w:left w:val="single" w:sz="4" w:space="0" w:color="auto"/>
              <w:bottom w:val="single" w:sz="4" w:space="0" w:color="auto"/>
              <w:right w:val="single" w:sz="4" w:space="0" w:color="auto"/>
            </w:tcBorders>
            <w:hideMark/>
          </w:tcPr>
          <w:p w14:paraId="5D3A732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2661725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,6</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036D650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79</w:t>
            </w:r>
          </w:p>
        </w:tc>
        <w:tc>
          <w:tcPr>
            <w:tcW w:w="1051" w:type="dxa"/>
            <w:tcBorders>
              <w:top w:val="single" w:sz="4" w:space="0" w:color="auto"/>
              <w:left w:val="single" w:sz="4" w:space="0" w:color="auto"/>
              <w:bottom w:val="single" w:sz="4" w:space="0" w:color="auto"/>
              <w:right w:val="single" w:sz="4" w:space="0" w:color="auto"/>
            </w:tcBorders>
            <w:hideMark/>
          </w:tcPr>
          <w:p w14:paraId="16C89D9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2951CB7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1F6B35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304B3C7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028A683C"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63F9B8A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2</w:t>
            </w:r>
          </w:p>
        </w:tc>
        <w:tc>
          <w:tcPr>
            <w:tcW w:w="1036" w:type="dxa"/>
            <w:tcBorders>
              <w:top w:val="single" w:sz="4" w:space="0" w:color="auto"/>
              <w:left w:val="single" w:sz="4" w:space="0" w:color="auto"/>
              <w:bottom w:val="single" w:sz="4" w:space="0" w:color="auto"/>
              <w:right w:val="single" w:sz="4" w:space="0" w:color="auto"/>
            </w:tcBorders>
            <w:hideMark/>
          </w:tcPr>
          <w:p w14:paraId="7E2DEDD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578</w:t>
            </w:r>
          </w:p>
        </w:tc>
        <w:tc>
          <w:tcPr>
            <w:tcW w:w="1051" w:type="dxa"/>
            <w:tcBorders>
              <w:top w:val="single" w:sz="4" w:space="0" w:color="auto"/>
              <w:left w:val="single" w:sz="4" w:space="0" w:color="auto"/>
              <w:bottom w:val="single" w:sz="4" w:space="0" w:color="auto"/>
              <w:right w:val="single" w:sz="4" w:space="0" w:color="auto"/>
            </w:tcBorders>
            <w:hideMark/>
          </w:tcPr>
          <w:p w14:paraId="430AC8D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w:t>
            </w:r>
          </w:p>
        </w:tc>
        <w:tc>
          <w:tcPr>
            <w:tcW w:w="949" w:type="dxa"/>
            <w:tcBorders>
              <w:top w:val="single" w:sz="4" w:space="0" w:color="auto"/>
              <w:left w:val="single" w:sz="4" w:space="0" w:color="auto"/>
              <w:bottom w:val="single" w:sz="4" w:space="0" w:color="auto"/>
              <w:right w:val="single" w:sz="4" w:space="0" w:color="auto"/>
            </w:tcBorders>
            <w:hideMark/>
          </w:tcPr>
          <w:p w14:paraId="0FC6E74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5CA2364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,5</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5608115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285</w:t>
            </w:r>
          </w:p>
        </w:tc>
        <w:tc>
          <w:tcPr>
            <w:tcW w:w="1051" w:type="dxa"/>
            <w:tcBorders>
              <w:top w:val="single" w:sz="4" w:space="0" w:color="auto"/>
              <w:left w:val="single" w:sz="4" w:space="0" w:color="auto"/>
              <w:bottom w:val="single" w:sz="4" w:space="0" w:color="auto"/>
              <w:right w:val="single" w:sz="4" w:space="0" w:color="auto"/>
            </w:tcBorders>
            <w:hideMark/>
          </w:tcPr>
          <w:p w14:paraId="0E8DF32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76B5C9A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3705E52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8341EB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2CECEFDC"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12CD8A0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1036" w:type="dxa"/>
            <w:tcBorders>
              <w:top w:val="single" w:sz="4" w:space="0" w:color="auto"/>
              <w:left w:val="single" w:sz="4" w:space="0" w:color="auto"/>
              <w:bottom w:val="single" w:sz="4" w:space="0" w:color="auto"/>
              <w:right w:val="single" w:sz="4" w:space="0" w:color="auto"/>
            </w:tcBorders>
            <w:hideMark/>
          </w:tcPr>
          <w:p w14:paraId="7236272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36</w:t>
            </w:r>
          </w:p>
        </w:tc>
        <w:tc>
          <w:tcPr>
            <w:tcW w:w="1051" w:type="dxa"/>
            <w:tcBorders>
              <w:top w:val="single" w:sz="4" w:space="0" w:color="auto"/>
              <w:left w:val="single" w:sz="4" w:space="0" w:color="auto"/>
              <w:bottom w:val="single" w:sz="4" w:space="0" w:color="auto"/>
              <w:right w:val="single" w:sz="4" w:space="0" w:color="auto"/>
            </w:tcBorders>
            <w:hideMark/>
          </w:tcPr>
          <w:p w14:paraId="2288315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524</w:t>
            </w:r>
          </w:p>
        </w:tc>
        <w:tc>
          <w:tcPr>
            <w:tcW w:w="949" w:type="dxa"/>
            <w:tcBorders>
              <w:top w:val="single" w:sz="4" w:space="0" w:color="auto"/>
              <w:left w:val="single" w:sz="4" w:space="0" w:color="auto"/>
              <w:bottom w:val="single" w:sz="4" w:space="0" w:color="auto"/>
              <w:right w:val="single" w:sz="4" w:space="0" w:color="auto"/>
            </w:tcBorders>
            <w:hideMark/>
          </w:tcPr>
          <w:p w14:paraId="5DD9EFA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0CCCE9F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,4</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2C375C1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358</w:t>
            </w:r>
          </w:p>
        </w:tc>
        <w:tc>
          <w:tcPr>
            <w:tcW w:w="1051" w:type="dxa"/>
            <w:tcBorders>
              <w:top w:val="single" w:sz="4" w:space="0" w:color="auto"/>
              <w:left w:val="single" w:sz="4" w:space="0" w:color="auto"/>
              <w:bottom w:val="single" w:sz="4" w:space="0" w:color="auto"/>
              <w:right w:val="single" w:sz="4" w:space="0" w:color="auto"/>
            </w:tcBorders>
            <w:hideMark/>
          </w:tcPr>
          <w:p w14:paraId="62D528F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2691453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E189B9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11565B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bl>
    <w:p w14:paraId="18BA897E"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47395916"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1325</w:t>
      </w:r>
      <w:r>
        <w:rPr>
          <w:rFonts w:ascii="Sylfaen" w:hAnsi="Sylfaen" w:cs="Arial"/>
          <w:b/>
          <w:bCs/>
          <w:sz w:val="20"/>
          <w:szCs w:val="20"/>
          <w:lang w:val="ka-GE"/>
        </w:rPr>
        <w:t xml:space="preserve">   ფორმალდეჰიდი</w:t>
      </w:r>
    </w:p>
    <w:p w14:paraId="7E1B8CEC"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817"/>
        <w:gridCol w:w="1036"/>
        <w:gridCol w:w="1051"/>
        <w:gridCol w:w="949"/>
        <w:gridCol w:w="1109"/>
        <w:gridCol w:w="1051"/>
        <w:gridCol w:w="1051"/>
        <w:gridCol w:w="992"/>
        <w:gridCol w:w="934"/>
        <w:gridCol w:w="934"/>
      </w:tblGrid>
      <w:tr w:rsidR="00A2588D" w14:paraId="572FFB06"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01FA3FD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1036" w:type="dxa"/>
            <w:tcBorders>
              <w:top w:val="single" w:sz="4" w:space="0" w:color="auto"/>
              <w:left w:val="single" w:sz="4" w:space="0" w:color="auto"/>
              <w:bottom w:val="single" w:sz="4" w:space="0" w:color="auto"/>
              <w:right w:val="single" w:sz="4" w:space="0" w:color="auto"/>
            </w:tcBorders>
            <w:hideMark/>
          </w:tcPr>
          <w:p w14:paraId="787093C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263</w:t>
            </w:r>
          </w:p>
        </w:tc>
        <w:tc>
          <w:tcPr>
            <w:tcW w:w="1051" w:type="dxa"/>
            <w:tcBorders>
              <w:top w:val="single" w:sz="4" w:space="0" w:color="auto"/>
              <w:left w:val="single" w:sz="4" w:space="0" w:color="auto"/>
              <w:bottom w:val="single" w:sz="4" w:space="0" w:color="auto"/>
              <w:right w:val="single" w:sz="4" w:space="0" w:color="auto"/>
            </w:tcBorders>
            <w:hideMark/>
          </w:tcPr>
          <w:p w14:paraId="11E2A76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176</w:t>
            </w:r>
          </w:p>
        </w:tc>
        <w:tc>
          <w:tcPr>
            <w:tcW w:w="949" w:type="dxa"/>
            <w:tcBorders>
              <w:top w:val="single" w:sz="4" w:space="0" w:color="auto"/>
              <w:left w:val="single" w:sz="4" w:space="0" w:color="auto"/>
              <w:bottom w:val="single" w:sz="4" w:space="0" w:color="auto"/>
              <w:right w:val="single" w:sz="4" w:space="0" w:color="auto"/>
            </w:tcBorders>
            <w:hideMark/>
          </w:tcPr>
          <w:p w14:paraId="3F3D882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369D9A5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,4</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573792D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103</w:t>
            </w:r>
          </w:p>
        </w:tc>
        <w:tc>
          <w:tcPr>
            <w:tcW w:w="1051" w:type="dxa"/>
            <w:tcBorders>
              <w:top w:val="single" w:sz="4" w:space="0" w:color="auto"/>
              <w:left w:val="single" w:sz="4" w:space="0" w:color="auto"/>
              <w:bottom w:val="single" w:sz="4" w:space="0" w:color="auto"/>
              <w:right w:val="single" w:sz="4" w:space="0" w:color="auto"/>
            </w:tcBorders>
            <w:hideMark/>
          </w:tcPr>
          <w:p w14:paraId="0A0A012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r>
              <w:rPr>
                <w:rFonts w:ascii="Sylfaen" w:hAnsi="Sylfaen" w:cs="Arial"/>
                <w:sz w:val="20"/>
                <w:szCs w:val="20"/>
                <w:lang w:val="ka-GE"/>
              </w:rPr>
              <w:t>,</w:t>
            </w:r>
            <w:r>
              <w:rPr>
                <w:rFonts w:ascii="Sylfaen" w:hAnsi="Sylfaen"/>
                <w:sz w:val="20"/>
                <w:szCs w:val="20"/>
                <w:lang w:val="ka-GE"/>
              </w:rPr>
              <w:t>58</w:t>
            </w:r>
          </w:p>
        </w:tc>
        <w:tc>
          <w:tcPr>
            <w:tcW w:w="992" w:type="dxa"/>
            <w:tcBorders>
              <w:top w:val="single" w:sz="4" w:space="0" w:color="auto"/>
              <w:left w:val="single" w:sz="4" w:space="0" w:color="auto"/>
              <w:bottom w:val="single" w:sz="4" w:space="0" w:color="auto"/>
              <w:right w:val="single" w:sz="4" w:space="0" w:color="auto"/>
            </w:tcBorders>
            <w:hideMark/>
          </w:tcPr>
          <w:p w14:paraId="3CDAF8F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378E776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F88339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63FF0636"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66BE06F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1036" w:type="dxa"/>
            <w:tcBorders>
              <w:top w:val="single" w:sz="4" w:space="0" w:color="auto"/>
              <w:left w:val="single" w:sz="4" w:space="0" w:color="auto"/>
              <w:bottom w:val="single" w:sz="4" w:space="0" w:color="auto"/>
              <w:right w:val="single" w:sz="4" w:space="0" w:color="auto"/>
            </w:tcBorders>
            <w:hideMark/>
          </w:tcPr>
          <w:p w14:paraId="231F3B1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364</w:t>
            </w:r>
          </w:p>
        </w:tc>
        <w:tc>
          <w:tcPr>
            <w:tcW w:w="1051" w:type="dxa"/>
            <w:tcBorders>
              <w:top w:val="single" w:sz="4" w:space="0" w:color="auto"/>
              <w:left w:val="single" w:sz="4" w:space="0" w:color="auto"/>
              <w:bottom w:val="single" w:sz="4" w:space="0" w:color="auto"/>
              <w:right w:val="single" w:sz="4" w:space="0" w:color="auto"/>
            </w:tcBorders>
            <w:hideMark/>
          </w:tcPr>
          <w:p w14:paraId="002B45D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210</w:t>
            </w:r>
          </w:p>
        </w:tc>
        <w:tc>
          <w:tcPr>
            <w:tcW w:w="949" w:type="dxa"/>
            <w:tcBorders>
              <w:top w:val="single" w:sz="4" w:space="0" w:color="auto"/>
              <w:left w:val="single" w:sz="4" w:space="0" w:color="auto"/>
              <w:bottom w:val="single" w:sz="4" w:space="0" w:color="auto"/>
              <w:right w:val="single" w:sz="4" w:space="0" w:color="auto"/>
            </w:tcBorders>
            <w:hideMark/>
          </w:tcPr>
          <w:p w14:paraId="17220F9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10BCAAD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,3</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30F3991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49</w:t>
            </w:r>
          </w:p>
        </w:tc>
        <w:tc>
          <w:tcPr>
            <w:tcW w:w="1051" w:type="dxa"/>
            <w:tcBorders>
              <w:top w:val="single" w:sz="4" w:space="0" w:color="auto"/>
              <w:left w:val="single" w:sz="4" w:space="0" w:color="auto"/>
              <w:bottom w:val="single" w:sz="4" w:space="0" w:color="auto"/>
              <w:right w:val="single" w:sz="4" w:space="0" w:color="auto"/>
            </w:tcBorders>
            <w:hideMark/>
          </w:tcPr>
          <w:p w14:paraId="0C43D05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4</w:t>
            </w:r>
            <w:r>
              <w:rPr>
                <w:rFonts w:ascii="Sylfaen" w:hAnsi="Sylfaen" w:cs="Arial"/>
                <w:sz w:val="20"/>
                <w:szCs w:val="20"/>
                <w:lang w:val="ka-GE"/>
              </w:rPr>
              <w:t>,</w:t>
            </w:r>
            <w:r>
              <w:rPr>
                <w:rFonts w:ascii="Sylfaen" w:hAnsi="Sylfaen"/>
                <w:sz w:val="20"/>
                <w:szCs w:val="20"/>
                <w:lang w:val="ka-GE"/>
              </w:rPr>
              <w:t>69</w:t>
            </w:r>
          </w:p>
        </w:tc>
        <w:tc>
          <w:tcPr>
            <w:tcW w:w="992" w:type="dxa"/>
            <w:tcBorders>
              <w:top w:val="single" w:sz="4" w:space="0" w:color="auto"/>
              <w:left w:val="single" w:sz="4" w:space="0" w:color="auto"/>
              <w:bottom w:val="single" w:sz="4" w:space="0" w:color="auto"/>
              <w:right w:val="single" w:sz="4" w:space="0" w:color="auto"/>
            </w:tcBorders>
            <w:hideMark/>
          </w:tcPr>
          <w:p w14:paraId="209D4BC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D7058B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A0885B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3300C5C3"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99E370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1036" w:type="dxa"/>
            <w:tcBorders>
              <w:top w:val="single" w:sz="4" w:space="0" w:color="auto"/>
              <w:left w:val="single" w:sz="4" w:space="0" w:color="auto"/>
              <w:bottom w:val="single" w:sz="4" w:space="0" w:color="auto"/>
              <w:right w:val="single" w:sz="4" w:space="0" w:color="auto"/>
            </w:tcBorders>
            <w:hideMark/>
          </w:tcPr>
          <w:p w14:paraId="55B3147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5223EC4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288</w:t>
            </w:r>
          </w:p>
        </w:tc>
        <w:tc>
          <w:tcPr>
            <w:tcW w:w="949" w:type="dxa"/>
            <w:tcBorders>
              <w:top w:val="single" w:sz="4" w:space="0" w:color="auto"/>
              <w:left w:val="single" w:sz="4" w:space="0" w:color="auto"/>
              <w:bottom w:val="single" w:sz="4" w:space="0" w:color="auto"/>
              <w:right w:val="single" w:sz="4" w:space="0" w:color="auto"/>
            </w:tcBorders>
            <w:hideMark/>
          </w:tcPr>
          <w:p w14:paraId="472CF0C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221D117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r>
              <w:rPr>
                <w:rFonts w:ascii="Sylfaen" w:hAnsi="Sylfaen" w:cs="Arial"/>
                <w:sz w:val="20"/>
                <w:szCs w:val="20"/>
                <w:lang w:val="ka-GE"/>
              </w:rPr>
              <w:t>,8</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503353D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252</w:t>
            </w:r>
          </w:p>
        </w:tc>
        <w:tc>
          <w:tcPr>
            <w:tcW w:w="1051" w:type="dxa"/>
            <w:tcBorders>
              <w:top w:val="single" w:sz="4" w:space="0" w:color="auto"/>
              <w:left w:val="single" w:sz="4" w:space="0" w:color="auto"/>
              <w:bottom w:val="single" w:sz="4" w:space="0" w:color="auto"/>
              <w:right w:val="single" w:sz="4" w:space="0" w:color="auto"/>
            </w:tcBorders>
            <w:hideMark/>
          </w:tcPr>
          <w:p w14:paraId="5C249B5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0367A3C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3A03075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13CC290"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1D958C45"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3FAF8D33"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c>
          <w:tcPr>
            <w:tcW w:w="1036" w:type="dxa"/>
            <w:tcBorders>
              <w:top w:val="single" w:sz="4" w:space="0" w:color="auto"/>
              <w:left w:val="single" w:sz="4" w:space="0" w:color="auto"/>
              <w:bottom w:val="single" w:sz="4" w:space="0" w:color="auto"/>
              <w:right w:val="single" w:sz="4" w:space="0" w:color="auto"/>
            </w:tcBorders>
            <w:hideMark/>
          </w:tcPr>
          <w:p w14:paraId="4CC8C2A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4CE16F4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949" w:type="dxa"/>
            <w:tcBorders>
              <w:top w:val="single" w:sz="4" w:space="0" w:color="auto"/>
              <w:left w:val="single" w:sz="4" w:space="0" w:color="auto"/>
              <w:bottom w:val="single" w:sz="4" w:space="0" w:color="auto"/>
              <w:right w:val="single" w:sz="4" w:space="0" w:color="auto"/>
            </w:tcBorders>
            <w:hideMark/>
          </w:tcPr>
          <w:p w14:paraId="7F77612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21D78F0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r>
              <w:rPr>
                <w:rFonts w:ascii="Sylfaen" w:hAnsi="Sylfaen" w:cs="Arial"/>
                <w:sz w:val="20"/>
                <w:szCs w:val="20"/>
                <w:lang w:val="ka-GE"/>
              </w:rPr>
              <w:t>,8</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6597DD3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79</w:t>
            </w:r>
          </w:p>
        </w:tc>
        <w:tc>
          <w:tcPr>
            <w:tcW w:w="1051" w:type="dxa"/>
            <w:tcBorders>
              <w:top w:val="single" w:sz="4" w:space="0" w:color="auto"/>
              <w:left w:val="single" w:sz="4" w:space="0" w:color="auto"/>
              <w:bottom w:val="single" w:sz="4" w:space="0" w:color="auto"/>
              <w:right w:val="single" w:sz="4" w:space="0" w:color="auto"/>
            </w:tcBorders>
            <w:hideMark/>
          </w:tcPr>
          <w:p w14:paraId="0E0F15C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73C311A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1D8889B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1A17C963"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5D4BF367"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0D32FA7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2</w:t>
            </w:r>
          </w:p>
        </w:tc>
        <w:tc>
          <w:tcPr>
            <w:tcW w:w="1036" w:type="dxa"/>
            <w:tcBorders>
              <w:top w:val="single" w:sz="4" w:space="0" w:color="auto"/>
              <w:left w:val="single" w:sz="4" w:space="0" w:color="auto"/>
              <w:bottom w:val="single" w:sz="4" w:space="0" w:color="auto"/>
              <w:right w:val="single" w:sz="4" w:space="0" w:color="auto"/>
            </w:tcBorders>
            <w:hideMark/>
          </w:tcPr>
          <w:p w14:paraId="77BFD1C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578</w:t>
            </w:r>
          </w:p>
        </w:tc>
        <w:tc>
          <w:tcPr>
            <w:tcW w:w="1051" w:type="dxa"/>
            <w:tcBorders>
              <w:top w:val="single" w:sz="4" w:space="0" w:color="auto"/>
              <w:left w:val="single" w:sz="4" w:space="0" w:color="auto"/>
              <w:bottom w:val="single" w:sz="4" w:space="0" w:color="auto"/>
              <w:right w:val="single" w:sz="4" w:space="0" w:color="auto"/>
            </w:tcBorders>
            <w:hideMark/>
          </w:tcPr>
          <w:p w14:paraId="14DF35E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w:t>
            </w:r>
          </w:p>
        </w:tc>
        <w:tc>
          <w:tcPr>
            <w:tcW w:w="949" w:type="dxa"/>
            <w:tcBorders>
              <w:top w:val="single" w:sz="4" w:space="0" w:color="auto"/>
              <w:left w:val="single" w:sz="4" w:space="0" w:color="auto"/>
              <w:bottom w:val="single" w:sz="4" w:space="0" w:color="auto"/>
              <w:right w:val="single" w:sz="4" w:space="0" w:color="auto"/>
            </w:tcBorders>
            <w:hideMark/>
          </w:tcPr>
          <w:p w14:paraId="5224AA5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63A71B3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r>
              <w:rPr>
                <w:rFonts w:ascii="Sylfaen" w:hAnsi="Sylfaen" w:cs="Arial"/>
                <w:sz w:val="20"/>
                <w:szCs w:val="20"/>
                <w:lang w:val="ka-GE"/>
              </w:rPr>
              <w:t>,6</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1CCB66B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285</w:t>
            </w:r>
          </w:p>
        </w:tc>
        <w:tc>
          <w:tcPr>
            <w:tcW w:w="1051" w:type="dxa"/>
            <w:tcBorders>
              <w:top w:val="single" w:sz="4" w:space="0" w:color="auto"/>
              <w:left w:val="single" w:sz="4" w:space="0" w:color="auto"/>
              <w:bottom w:val="single" w:sz="4" w:space="0" w:color="auto"/>
              <w:right w:val="single" w:sz="4" w:space="0" w:color="auto"/>
            </w:tcBorders>
            <w:hideMark/>
          </w:tcPr>
          <w:p w14:paraId="422F751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31AC80B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1D312F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98BA52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3E675DF1"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5C5AAA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1036" w:type="dxa"/>
            <w:tcBorders>
              <w:top w:val="single" w:sz="4" w:space="0" w:color="auto"/>
              <w:left w:val="single" w:sz="4" w:space="0" w:color="auto"/>
              <w:bottom w:val="single" w:sz="4" w:space="0" w:color="auto"/>
              <w:right w:val="single" w:sz="4" w:space="0" w:color="auto"/>
            </w:tcBorders>
            <w:hideMark/>
          </w:tcPr>
          <w:p w14:paraId="4B2FD82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36</w:t>
            </w:r>
          </w:p>
        </w:tc>
        <w:tc>
          <w:tcPr>
            <w:tcW w:w="1051" w:type="dxa"/>
            <w:tcBorders>
              <w:top w:val="single" w:sz="4" w:space="0" w:color="auto"/>
              <w:left w:val="single" w:sz="4" w:space="0" w:color="auto"/>
              <w:bottom w:val="single" w:sz="4" w:space="0" w:color="auto"/>
              <w:right w:val="single" w:sz="4" w:space="0" w:color="auto"/>
            </w:tcBorders>
            <w:hideMark/>
          </w:tcPr>
          <w:p w14:paraId="0583243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524</w:t>
            </w:r>
          </w:p>
        </w:tc>
        <w:tc>
          <w:tcPr>
            <w:tcW w:w="949" w:type="dxa"/>
            <w:tcBorders>
              <w:top w:val="single" w:sz="4" w:space="0" w:color="auto"/>
              <w:left w:val="single" w:sz="4" w:space="0" w:color="auto"/>
              <w:bottom w:val="single" w:sz="4" w:space="0" w:color="auto"/>
              <w:right w:val="single" w:sz="4" w:space="0" w:color="auto"/>
            </w:tcBorders>
            <w:hideMark/>
          </w:tcPr>
          <w:p w14:paraId="1310E44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0A11C47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r>
              <w:rPr>
                <w:rFonts w:ascii="Sylfaen" w:hAnsi="Sylfaen" w:cs="Arial"/>
                <w:sz w:val="20"/>
                <w:szCs w:val="20"/>
                <w:lang w:val="ka-GE"/>
              </w:rPr>
              <w:t>,4</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66AAF92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358</w:t>
            </w:r>
          </w:p>
        </w:tc>
        <w:tc>
          <w:tcPr>
            <w:tcW w:w="1051" w:type="dxa"/>
            <w:tcBorders>
              <w:top w:val="single" w:sz="4" w:space="0" w:color="auto"/>
              <w:left w:val="single" w:sz="4" w:space="0" w:color="auto"/>
              <w:bottom w:val="single" w:sz="4" w:space="0" w:color="auto"/>
              <w:right w:val="single" w:sz="4" w:space="0" w:color="auto"/>
            </w:tcBorders>
            <w:hideMark/>
          </w:tcPr>
          <w:p w14:paraId="4825F50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733725C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5B026C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1CC1C5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bl>
    <w:p w14:paraId="1E8BAC9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6F69B024"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2732</w:t>
      </w:r>
      <w:r>
        <w:rPr>
          <w:rFonts w:ascii="Sylfaen" w:hAnsi="Sylfaen" w:cs="Arial"/>
          <w:b/>
          <w:bCs/>
          <w:sz w:val="20"/>
          <w:szCs w:val="20"/>
          <w:lang w:val="ka-GE"/>
        </w:rPr>
        <w:t xml:space="preserve">   ნავთის ფრაქცია</w:t>
      </w:r>
    </w:p>
    <w:p w14:paraId="44973C41"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817"/>
        <w:gridCol w:w="1036"/>
        <w:gridCol w:w="1051"/>
        <w:gridCol w:w="949"/>
        <w:gridCol w:w="1109"/>
        <w:gridCol w:w="1051"/>
        <w:gridCol w:w="1051"/>
        <w:gridCol w:w="992"/>
        <w:gridCol w:w="934"/>
        <w:gridCol w:w="934"/>
      </w:tblGrid>
      <w:tr w:rsidR="00A2588D" w14:paraId="71F002B3"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78EF681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1036" w:type="dxa"/>
            <w:tcBorders>
              <w:top w:val="single" w:sz="4" w:space="0" w:color="auto"/>
              <w:left w:val="single" w:sz="4" w:space="0" w:color="auto"/>
              <w:bottom w:val="single" w:sz="4" w:space="0" w:color="auto"/>
              <w:right w:val="single" w:sz="4" w:space="0" w:color="auto"/>
            </w:tcBorders>
            <w:hideMark/>
          </w:tcPr>
          <w:p w14:paraId="137962C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263</w:t>
            </w:r>
          </w:p>
        </w:tc>
        <w:tc>
          <w:tcPr>
            <w:tcW w:w="1051" w:type="dxa"/>
            <w:tcBorders>
              <w:top w:val="single" w:sz="4" w:space="0" w:color="auto"/>
              <w:left w:val="single" w:sz="4" w:space="0" w:color="auto"/>
              <w:bottom w:val="single" w:sz="4" w:space="0" w:color="auto"/>
              <w:right w:val="single" w:sz="4" w:space="0" w:color="auto"/>
            </w:tcBorders>
            <w:hideMark/>
          </w:tcPr>
          <w:p w14:paraId="32CFEC2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176</w:t>
            </w:r>
          </w:p>
        </w:tc>
        <w:tc>
          <w:tcPr>
            <w:tcW w:w="949" w:type="dxa"/>
            <w:tcBorders>
              <w:top w:val="single" w:sz="4" w:space="0" w:color="auto"/>
              <w:left w:val="single" w:sz="4" w:space="0" w:color="auto"/>
              <w:bottom w:val="single" w:sz="4" w:space="0" w:color="auto"/>
              <w:right w:val="single" w:sz="4" w:space="0" w:color="auto"/>
            </w:tcBorders>
            <w:hideMark/>
          </w:tcPr>
          <w:p w14:paraId="6DA4396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503C554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8</w:t>
            </w:r>
            <w:r>
              <w:rPr>
                <w:rFonts w:ascii="Sylfaen" w:hAnsi="Sylfaen" w:cs="Arial"/>
                <w:sz w:val="20"/>
                <w:szCs w:val="20"/>
                <w:lang w:val="ka-GE"/>
              </w:rPr>
              <w:t>,7</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35A06BA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106</w:t>
            </w:r>
          </w:p>
        </w:tc>
        <w:tc>
          <w:tcPr>
            <w:tcW w:w="1051" w:type="dxa"/>
            <w:tcBorders>
              <w:top w:val="single" w:sz="4" w:space="0" w:color="auto"/>
              <w:left w:val="single" w:sz="4" w:space="0" w:color="auto"/>
              <w:bottom w:val="single" w:sz="4" w:space="0" w:color="auto"/>
              <w:right w:val="single" w:sz="4" w:space="0" w:color="auto"/>
            </w:tcBorders>
            <w:hideMark/>
          </w:tcPr>
          <w:p w14:paraId="664F680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r>
              <w:rPr>
                <w:rFonts w:ascii="Sylfaen" w:hAnsi="Sylfaen" w:cs="Arial"/>
                <w:sz w:val="20"/>
                <w:szCs w:val="20"/>
                <w:lang w:val="ka-GE"/>
              </w:rPr>
              <w:t>,</w:t>
            </w:r>
            <w:r>
              <w:rPr>
                <w:rFonts w:ascii="Sylfaen" w:hAnsi="Sylfaen"/>
                <w:sz w:val="20"/>
                <w:szCs w:val="20"/>
                <w:lang w:val="ka-GE"/>
              </w:rPr>
              <w:t>37</w:t>
            </w:r>
          </w:p>
        </w:tc>
        <w:tc>
          <w:tcPr>
            <w:tcW w:w="992" w:type="dxa"/>
            <w:tcBorders>
              <w:top w:val="single" w:sz="4" w:space="0" w:color="auto"/>
              <w:left w:val="single" w:sz="4" w:space="0" w:color="auto"/>
              <w:bottom w:val="single" w:sz="4" w:space="0" w:color="auto"/>
              <w:right w:val="single" w:sz="4" w:space="0" w:color="auto"/>
            </w:tcBorders>
            <w:hideMark/>
          </w:tcPr>
          <w:p w14:paraId="0F566D0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1A2280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4E7212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39A4F9E8"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1FA48C6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1036" w:type="dxa"/>
            <w:tcBorders>
              <w:top w:val="single" w:sz="4" w:space="0" w:color="auto"/>
              <w:left w:val="single" w:sz="4" w:space="0" w:color="auto"/>
              <w:bottom w:val="single" w:sz="4" w:space="0" w:color="auto"/>
              <w:right w:val="single" w:sz="4" w:space="0" w:color="auto"/>
            </w:tcBorders>
            <w:hideMark/>
          </w:tcPr>
          <w:p w14:paraId="06AB438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364</w:t>
            </w:r>
          </w:p>
        </w:tc>
        <w:tc>
          <w:tcPr>
            <w:tcW w:w="1051" w:type="dxa"/>
            <w:tcBorders>
              <w:top w:val="single" w:sz="4" w:space="0" w:color="auto"/>
              <w:left w:val="single" w:sz="4" w:space="0" w:color="auto"/>
              <w:bottom w:val="single" w:sz="4" w:space="0" w:color="auto"/>
              <w:right w:val="single" w:sz="4" w:space="0" w:color="auto"/>
            </w:tcBorders>
            <w:hideMark/>
          </w:tcPr>
          <w:p w14:paraId="734A726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210</w:t>
            </w:r>
          </w:p>
        </w:tc>
        <w:tc>
          <w:tcPr>
            <w:tcW w:w="949" w:type="dxa"/>
            <w:tcBorders>
              <w:top w:val="single" w:sz="4" w:space="0" w:color="auto"/>
              <w:left w:val="single" w:sz="4" w:space="0" w:color="auto"/>
              <w:bottom w:val="single" w:sz="4" w:space="0" w:color="auto"/>
              <w:right w:val="single" w:sz="4" w:space="0" w:color="auto"/>
            </w:tcBorders>
            <w:hideMark/>
          </w:tcPr>
          <w:p w14:paraId="0A13A38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2E7517E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4</w:t>
            </w:r>
            <w:r>
              <w:rPr>
                <w:rFonts w:ascii="Sylfaen" w:hAnsi="Sylfaen" w:cs="Arial"/>
                <w:sz w:val="20"/>
                <w:szCs w:val="20"/>
                <w:lang w:val="ka-GE"/>
              </w:rPr>
              <w:t>,6</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5D22088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53</w:t>
            </w:r>
          </w:p>
        </w:tc>
        <w:tc>
          <w:tcPr>
            <w:tcW w:w="1051" w:type="dxa"/>
            <w:tcBorders>
              <w:top w:val="single" w:sz="4" w:space="0" w:color="auto"/>
              <w:left w:val="single" w:sz="4" w:space="0" w:color="auto"/>
              <w:bottom w:val="single" w:sz="4" w:space="0" w:color="auto"/>
              <w:right w:val="single" w:sz="4" w:space="0" w:color="auto"/>
            </w:tcBorders>
            <w:hideMark/>
          </w:tcPr>
          <w:p w14:paraId="7DADEB3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w:t>
            </w:r>
            <w:r>
              <w:rPr>
                <w:rFonts w:ascii="Sylfaen" w:hAnsi="Sylfaen"/>
                <w:sz w:val="20"/>
                <w:szCs w:val="20"/>
                <w:lang w:val="ka-GE"/>
              </w:rPr>
              <w:t>52</w:t>
            </w:r>
          </w:p>
        </w:tc>
        <w:tc>
          <w:tcPr>
            <w:tcW w:w="992" w:type="dxa"/>
            <w:tcBorders>
              <w:top w:val="single" w:sz="4" w:space="0" w:color="auto"/>
              <w:left w:val="single" w:sz="4" w:space="0" w:color="auto"/>
              <w:bottom w:val="single" w:sz="4" w:space="0" w:color="auto"/>
              <w:right w:val="single" w:sz="4" w:space="0" w:color="auto"/>
            </w:tcBorders>
            <w:hideMark/>
          </w:tcPr>
          <w:p w14:paraId="1424DA4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4D7564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34158BE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5E749AB7"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0913FCB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2</w:t>
            </w:r>
          </w:p>
        </w:tc>
        <w:tc>
          <w:tcPr>
            <w:tcW w:w="1036" w:type="dxa"/>
            <w:tcBorders>
              <w:top w:val="single" w:sz="4" w:space="0" w:color="auto"/>
              <w:left w:val="single" w:sz="4" w:space="0" w:color="auto"/>
              <w:bottom w:val="single" w:sz="4" w:space="0" w:color="auto"/>
              <w:right w:val="single" w:sz="4" w:space="0" w:color="auto"/>
            </w:tcBorders>
            <w:hideMark/>
          </w:tcPr>
          <w:p w14:paraId="5ED2E49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578</w:t>
            </w:r>
          </w:p>
        </w:tc>
        <w:tc>
          <w:tcPr>
            <w:tcW w:w="1051" w:type="dxa"/>
            <w:tcBorders>
              <w:top w:val="single" w:sz="4" w:space="0" w:color="auto"/>
              <w:left w:val="single" w:sz="4" w:space="0" w:color="auto"/>
              <w:bottom w:val="single" w:sz="4" w:space="0" w:color="auto"/>
              <w:right w:val="single" w:sz="4" w:space="0" w:color="auto"/>
            </w:tcBorders>
            <w:hideMark/>
          </w:tcPr>
          <w:p w14:paraId="5B98C5E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w:t>
            </w:r>
          </w:p>
        </w:tc>
        <w:tc>
          <w:tcPr>
            <w:tcW w:w="949" w:type="dxa"/>
            <w:tcBorders>
              <w:top w:val="single" w:sz="4" w:space="0" w:color="auto"/>
              <w:left w:val="single" w:sz="4" w:space="0" w:color="auto"/>
              <w:bottom w:val="single" w:sz="4" w:space="0" w:color="auto"/>
              <w:right w:val="single" w:sz="4" w:space="0" w:color="auto"/>
            </w:tcBorders>
            <w:hideMark/>
          </w:tcPr>
          <w:p w14:paraId="0EED269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3AEDD8A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4</w:t>
            </w:r>
            <w:r>
              <w:rPr>
                <w:rFonts w:ascii="Sylfaen" w:hAnsi="Sylfaen" w:cs="Arial"/>
                <w:sz w:val="20"/>
                <w:szCs w:val="20"/>
                <w:lang w:val="ka-GE"/>
              </w:rPr>
              <w:t>,0</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519E47A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282</w:t>
            </w:r>
          </w:p>
        </w:tc>
        <w:tc>
          <w:tcPr>
            <w:tcW w:w="1051" w:type="dxa"/>
            <w:tcBorders>
              <w:top w:val="single" w:sz="4" w:space="0" w:color="auto"/>
              <w:left w:val="single" w:sz="4" w:space="0" w:color="auto"/>
              <w:bottom w:val="single" w:sz="4" w:space="0" w:color="auto"/>
              <w:right w:val="single" w:sz="4" w:space="0" w:color="auto"/>
            </w:tcBorders>
            <w:hideMark/>
          </w:tcPr>
          <w:p w14:paraId="4030A81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75</w:t>
            </w:r>
          </w:p>
        </w:tc>
        <w:tc>
          <w:tcPr>
            <w:tcW w:w="992" w:type="dxa"/>
            <w:tcBorders>
              <w:top w:val="single" w:sz="4" w:space="0" w:color="auto"/>
              <w:left w:val="single" w:sz="4" w:space="0" w:color="auto"/>
              <w:bottom w:val="single" w:sz="4" w:space="0" w:color="auto"/>
              <w:right w:val="single" w:sz="4" w:space="0" w:color="auto"/>
            </w:tcBorders>
            <w:hideMark/>
          </w:tcPr>
          <w:p w14:paraId="25AD57F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6138D6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372340A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10A9E09C"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3A6039F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1036" w:type="dxa"/>
            <w:tcBorders>
              <w:top w:val="single" w:sz="4" w:space="0" w:color="auto"/>
              <w:left w:val="single" w:sz="4" w:space="0" w:color="auto"/>
              <w:bottom w:val="single" w:sz="4" w:space="0" w:color="auto"/>
              <w:right w:val="single" w:sz="4" w:space="0" w:color="auto"/>
            </w:tcBorders>
            <w:hideMark/>
          </w:tcPr>
          <w:p w14:paraId="189CB09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4E3068D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288</w:t>
            </w:r>
          </w:p>
        </w:tc>
        <w:tc>
          <w:tcPr>
            <w:tcW w:w="949" w:type="dxa"/>
            <w:tcBorders>
              <w:top w:val="single" w:sz="4" w:space="0" w:color="auto"/>
              <w:left w:val="single" w:sz="4" w:space="0" w:color="auto"/>
              <w:bottom w:val="single" w:sz="4" w:space="0" w:color="auto"/>
              <w:right w:val="single" w:sz="4" w:space="0" w:color="auto"/>
            </w:tcBorders>
            <w:hideMark/>
          </w:tcPr>
          <w:p w14:paraId="323349A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749DC9C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4</w:t>
            </w:r>
            <w:r>
              <w:rPr>
                <w:rFonts w:ascii="Sylfaen" w:hAnsi="Sylfaen" w:cs="Arial"/>
                <w:sz w:val="20"/>
                <w:szCs w:val="20"/>
                <w:lang w:val="ka-GE"/>
              </w:rPr>
              <w:t>,0</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645210D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248</w:t>
            </w:r>
          </w:p>
        </w:tc>
        <w:tc>
          <w:tcPr>
            <w:tcW w:w="1051" w:type="dxa"/>
            <w:tcBorders>
              <w:top w:val="single" w:sz="4" w:space="0" w:color="auto"/>
              <w:left w:val="single" w:sz="4" w:space="0" w:color="auto"/>
              <w:bottom w:val="single" w:sz="4" w:space="0" w:color="auto"/>
              <w:right w:val="single" w:sz="4" w:space="0" w:color="auto"/>
            </w:tcBorders>
            <w:hideMark/>
          </w:tcPr>
          <w:p w14:paraId="3B5DABA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75</w:t>
            </w:r>
          </w:p>
        </w:tc>
        <w:tc>
          <w:tcPr>
            <w:tcW w:w="992" w:type="dxa"/>
            <w:tcBorders>
              <w:top w:val="single" w:sz="4" w:space="0" w:color="auto"/>
              <w:left w:val="single" w:sz="4" w:space="0" w:color="auto"/>
              <w:bottom w:val="single" w:sz="4" w:space="0" w:color="auto"/>
              <w:right w:val="single" w:sz="4" w:space="0" w:color="auto"/>
            </w:tcBorders>
            <w:hideMark/>
          </w:tcPr>
          <w:p w14:paraId="138EF67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E911F8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074172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2EF63180"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601A6A2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c>
          <w:tcPr>
            <w:tcW w:w="1036" w:type="dxa"/>
            <w:tcBorders>
              <w:top w:val="single" w:sz="4" w:space="0" w:color="auto"/>
              <w:left w:val="single" w:sz="4" w:space="0" w:color="auto"/>
              <w:bottom w:val="single" w:sz="4" w:space="0" w:color="auto"/>
              <w:right w:val="single" w:sz="4" w:space="0" w:color="auto"/>
            </w:tcBorders>
            <w:hideMark/>
          </w:tcPr>
          <w:p w14:paraId="706858A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6E1EC94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949" w:type="dxa"/>
            <w:tcBorders>
              <w:top w:val="single" w:sz="4" w:space="0" w:color="auto"/>
              <w:left w:val="single" w:sz="4" w:space="0" w:color="auto"/>
              <w:bottom w:val="single" w:sz="4" w:space="0" w:color="auto"/>
              <w:right w:val="single" w:sz="4" w:space="0" w:color="auto"/>
            </w:tcBorders>
            <w:hideMark/>
          </w:tcPr>
          <w:p w14:paraId="2E1B856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70D887B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,9</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3DDB818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82</w:t>
            </w:r>
          </w:p>
        </w:tc>
        <w:tc>
          <w:tcPr>
            <w:tcW w:w="1051" w:type="dxa"/>
            <w:tcBorders>
              <w:top w:val="single" w:sz="4" w:space="0" w:color="auto"/>
              <w:left w:val="single" w:sz="4" w:space="0" w:color="auto"/>
              <w:bottom w:val="single" w:sz="4" w:space="0" w:color="auto"/>
              <w:right w:val="single" w:sz="4" w:space="0" w:color="auto"/>
            </w:tcBorders>
            <w:hideMark/>
          </w:tcPr>
          <w:p w14:paraId="2903D57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75</w:t>
            </w:r>
          </w:p>
        </w:tc>
        <w:tc>
          <w:tcPr>
            <w:tcW w:w="992" w:type="dxa"/>
            <w:tcBorders>
              <w:top w:val="single" w:sz="4" w:space="0" w:color="auto"/>
              <w:left w:val="single" w:sz="4" w:space="0" w:color="auto"/>
              <w:bottom w:val="single" w:sz="4" w:space="0" w:color="auto"/>
              <w:right w:val="single" w:sz="4" w:space="0" w:color="auto"/>
            </w:tcBorders>
            <w:hideMark/>
          </w:tcPr>
          <w:p w14:paraId="1320A7B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6CE285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DEF435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09C269F8"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35D5C26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1036" w:type="dxa"/>
            <w:tcBorders>
              <w:top w:val="single" w:sz="4" w:space="0" w:color="auto"/>
              <w:left w:val="single" w:sz="4" w:space="0" w:color="auto"/>
              <w:bottom w:val="single" w:sz="4" w:space="0" w:color="auto"/>
              <w:right w:val="single" w:sz="4" w:space="0" w:color="auto"/>
            </w:tcBorders>
            <w:hideMark/>
          </w:tcPr>
          <w:p w14:paraId="648EFCF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36</w:t>
            </w:r>
          </w:p>
        </w:tc>
        <w:tc>
          <w:tcPr>
            <w:tcW w:w="1051" w:type="dxa"/>
            <w:tcBorders>
              <w:top w:val="single" w:sz="4" w:space="0" w:color="auto"/>
              <w:left w:val="single" w:sz="4" w:space="0" w:color="auto"/>
              <w:bottom w:val="single" w:sz="4" w:space="0" w:color="auto"/>
              <w:right w:val="single" w:sz="4" w:space="0" w:color="auto"/>
            </w:tcBorders>
            <w:hideMark/>
          </w:tcPr>
          <w:p w14:paraId="5C8CA2D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524</w:t>
            </w:r>
          </w:p>
        </w:tc>
        <w:tc>
          <w:tcPr>
            <w:tcW w:w="949" w:type="dxa"/>
            <w:tcBorders>
              <w:top w:val="single" w:sz="4" w:space="0" w:color="auto"/>
              <w:left w:val="single" w:sz="4" w:space="0" w:color="auto"/>
              <w:bottom w:val="single" w:sz="4" w:space="0" w:color="auto"/>
              <w:right w:val="single" w:sz="4" w:space="0" w:color="auto"/>
            </w:tcBorders>
            <w:hideMark/>
          </w:tcPr>
          <w:p w14:paraId="1A501B0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0E28A35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,9</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48103B3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358</w:t>
            </w:r>
          </w:p>
        </w:tc>
        <w:tc>
          <w:tcPr>
            <w:tcW w:w="1051" w:type="dxa"/>
            <w:tcBorders>
              <w:top w:val="single" w:sz="4" w:space="0" w:color="auto"/>
              <w:left w:val="single" w:sz="4" w:space="0" w:color="auto"/>
              <w:bottom w:val="single" w:sz="4" w:space="0" w:color="auto"/>
              <w:right w:val="single" w:sz="4" w:space="0" w:color="auto"/>
            </w:tcBorders>
            <w:hideMark/>
          </w:tcPr>
          <w:p w14:paraId="31BCA6A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75</w:t>
            </w:r>
          </w:p>
        </w:tc>
        <w:tc>
          <w:tcPr>
            <w:tcW w:w="992" w:type="dxa"/>
            <w:tcBorders>
              <w:top w:val="single" w:sz="4" w:space="0" w:color="auto"/>
              <w:left w:val="single" w:sz="4" w:space="0" w:color="auto"/>
              <w:bottom w:val="single" w:sz="4" w:space="0" w:color="auto"/>
              <w:right w:val="single" w:sz="4" w:space="0" w:color="auto"/>
            </w:tcBorders>
            <w:hideMark/>
          </w:tcPr>
          <w:p w14:paraId="2D52A10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5F73D4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8F713E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bl>
    <w:p w14:paraId="026810A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6D53D465"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2754</w:t>
      </w:r>
      <w:r>
        <w:rPr>
          <w:rFonts w:ascii="Sylfaen" w:hAnsi="Sylfaen" w:cs="Arial"/>
          <w:b/>
          <w:bCs/>
          <w:sz w:val="20"/>
          <w:szCs w:val="20"/>
          <w:lang w:val="ka-GE"/>
        </w:rPr>
        <w:t xml:space="preserve">   ნაჯერი ნახშირწყალბადები </w:t>
      </w:r>
      <w:r>
        <w:rPr>
          <w:rFonts w:ascii="Sylfaen" w:hAnsi="Sylfaen"/>
          <w:b/>
          <w:bCs/>
          <w:sz w:val="20"/>
          <w:szCs w:val="20"/>
          <w:lang w:val="ka-GE"/>
        </w:rPr>
        <w:t>C12-C19</w:t>
      </w:r>
    </w:p>
    <w:p w14:paraId="44081EF4" w14:textId="77777777" w:rsidR="00A2588D" w:rsidRDefault="00A2588D" w:rsidP="00A2588D">
      <w:pPr>
        <w:widowControl w:val="0"/>
        <w:autoSpaceDE w:val="0"/>
        <w:autoSpaceDN w:val="0"/>
        <w:adjustRightInd w:val="0"/>
        <w:jc w:val="center"/>
        <w:rPr>
          <w:rFonts w:ascii="Sylfaen" w:hAnsi="Sylfaen" w:cs="Arial"/>
          <w:sz w:val="20"/>
          <w:szCs w:val="20"/>
          <w:lang w:val="ka-GE"/>
        </w:rPr>
      </w:pPr>
    </w:p>
    <w:tbl>
      <w:tblPr>
        <w:tblW w:w="0" w:type="auto"/>
        <w:jc w:val="center"/>
        <w:tblLayout w:type="fixed"/>
        <w:tblCellMar>
          <w:left w:w="0" w:type="dxa"/>
          <w:right w:w="0" w:type="dxa"/>
        </w:tblCellMar>
        <w:tblLook w:val="04A0" w:firstRow="1" w:lastRow="0" w:firstColumn="1" w:lastColumn="0" w:noHBand="0" w:noVBand="1"/>
      </w:tblPr>
      <w:tblGrid>
        <w:gridCol w:w="817"/>
        <w:gridCol w:w="1036"/>
        <w:gridCol w:w="1051"/>
        <w:gridCol w:w="949"/>
        <w:gridCol w:w="1109"/>
        <w:gridCol w:w="1051"/>
        <w:gridCol w:w="1051"/>
        <w:gridCol w:w="992"/>
        <w:gridCol w:w="934"/>
        <w:gridCol w:w="934"/>
      </w:tblGrid>
      <w:tr w:rsidR="00A2588D" w14:paraId="142B9618"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0698559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1036" w:type="dxa"/>
            <w:tcBorders>
              <w:top w:val="single" w:sz="4" w:space="0" w:color="auto"/>
              <w:left w:val="single" w:sz="4" w:space="0" w:color="auto"/>
              <w:bottom w:val="single" w:sz="4" w:space="0" w:color="auto"/>
              <w:right w:val="single" w:sz="4" w:space="0" w:color="auto"/>
            </w:tcBorders>
            <w:hideMark/>
          </w:tcPr>
          <w:p w14:paraId="1D17C79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263</w:t>
            </w:r>
          </w:p>
        </w:tc>
        <w:tc>
          <w:tcPr>
            <w:tcW w:w="1051" w:type="dxa"/>
            <w:tcBorders>
              <w:top w:val="single" w:sz="4" w:space="0" w:color="auto"/>
              <w:left w:val="single" w:sz="4" w:space="0" w:color="auto"/>
              <w:bottom w:val="single" w:sz="4" w:space="0" w:color="auto"/>
              <w:right w:val="single" w:sz="4" w:space="0" w:color="auto"/>
            </w:tcBorders>
            <w:hideMark/>
          </w:tcPr>
          <w:p w14:paraId="344FAD0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176</w:t>
            </w:r>
          </w:p>
        </w:tc>
        <w:tc>
          <w:tcPr>
            <w:tcW w:w="949" w:type="dxa"/>
            <w:tcBorders>
              <w:top w:val="single" w:sz="4" w:space="0" w:color="auto"/>
              <w:left w:val="single" w:sz="4" w:space="0" w:color="auto"/>
              <w:bottom w:val="single" w:sz="4" w:space="0" w:color="auto"/>
              <w:right w:val="single" w:sz="4" w:space="0" w:color="auto"/>
            </w:tcBorders>
            <w:hideMark/>
          </w:tcPr>
          <w:p w14:paraId="6FAD33C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62A8B53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,4</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7D3C909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124</w:t>
            </w:r>
          </w:p>
        </w:tc>
        <w:tc>
          <w:tcPr>
            <w:tcW w:w="1051" w:type="dxa"/>
            <w:tcBorders>
              <w:top w:val="single" w:sz="4" w:space="0" w:color="auto"/>
              <w:left w:val="single" w:sz="4" w:space="0" w:color="auto"/>
              <w:bottom w:val="single" w:sz="4" w:space="0" w:color="auto"/>
              <w:right w:val="single" w:sz="4" w:space="0" w:color="auto"/>
            </w:tcBorders>
            <w:hideMark/>
          </w:tcPr>
          <w:p w14:paraId="1783BEA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3435154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37F43F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45FA43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386B4047"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6729CE8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1036" w:type="dxa"/>
            <w:tcBorders>
              <w:top w:val="single" w:sz="4" w:space="0" w:color="auto"/>
              <w:left w:val="single" w:sz="4" w:space="0" w:color="auto"/>
              <w:bottom w:val="single" w:sz="4" w:space="0" w:color="auto"/>
              <w:right w:val="single" w:sz="4" w:space="0" w:color="auto"/>
            </w:tcBorders>
            <w:hideMark/>
          </w:tcPr>
          <w:p w14:paraId="49E56A5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364</w:t>
            </w:r>
          </w:p>
        </w:tc>
        <w:tc>
          <w:tcPr>
            <w:tcW w:w="1051" w:type="dxa"/>
            <w:tcBorders>
              <w:top w:val="single" w:sz="4" w:space="0" w:color="auto"/>
              <w:left w:val="single" w:sz="4" w:space="0" w:color="auto"/>
              <w:bottom w:val="single" w:sz="4" w:space="0" w:color="auto"/>
              <w:right w:val="single" w:sz="4" w:space="0" w:color="auto"/>
            </w:tcBorders>
            <w:hideMark/>
          </w:tcPr>
          <w:p w14:paraId="012D35C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210</w:t>
            </w:r>
          </w:p>
        </w:tc>
        <w:tc>
          <w:tcPr>
            <w:tcW w:w="949" w:type="dxa"/>
            <w:tcBorders>
              <w:top w:val="single" w:sz="4" w:space="0" w:color="auto"/>
              <w:left w:val="single" w:sz="4" w:space="0" w:color="auto"/>
              <w:bottom w:val="single" w:sz="4" w:space="0" w:color="auto"/>
              <w:right w:val="single" w:sz="4" w:space="0" w:color="auto"/>
            </w:tcBorders>
            <w:hideMark/>
          </w:tcPr>
          <w:p w14:paraId="3E756A5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397D4AE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r>
              <w:rPr>
                <w:rFonts w:ascii="Sylfaen" w:hAnsi="Sylfaen" w:cs="Arial"/>
                <w:sz w:val="20"/>
                <w:szCs w:val="20"/>
                <w:lang w:val="ka-GE"/>
              </w:rPr>
              <w:t>,1</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16B0115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60</w:t>
            </w:r>
          </w:p>
        </w:tc>
        <w:tc>
          <w:tcPr>
            <w:tcW w:w="1051" w:type="dxa"/>
            <w:tcBorders>
              <w:top w:val="single" w:sz="4" w:space="0" w:color="auto"/>
              <w:left w:val="single" w:sz="4" w:space="0" w:color="auto"/>
              <w:bottom w:val="single" w:sz="4" w:space="0" w:color="auto"/>
              <w:right w:val="single" w:sz="4" w:space="0" w:color="auto"/>
            </w:tcBorders>
            <w:hideMark/>
          </w:tcPr>
          <w:p w14:paraId="7B95BC4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3A65A85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8F71D3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B29A9FD"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4CEC6DAD"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058DB6E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1036" w:type="dxa"/>
            <w:tcBorders>
              <w:top w:val="single" w:sz="4" w:space="0" w:color="auto"/>
              <w:left w:val="single" w:sz="4" w:space="0" w:color="auto"/>
              <w:bottom w:val="single" w:sz="4" w:space="0" w:color="auto"/>
              <w:right w:val="single" w:sz="4" w:space="0" w:color="auto"/>
            </w:tcBorders>
            <w:hideMark/>
          </w:tcPr>
          <w:p w14:paraId="28AE0D2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36</w:t>
            </w:r>
          </w:p>
        </w:tc>
        <w:tc>
          <w:tcPr>
            <w:tcW w:w="1051" w:type="dxa"/>
            <w:tcBorders>
              <w:top w:val="single" w:sz="4" w:space="0" w:color="auto"/>
              <w:left w:val="single" w:sz="4" w:space="0" w:color="auto"/>
              <w:bottom w:val="single" w:sz="4" w:space="0" w:color="auto"/>
              <w:right w:val="single" w:sz="4" w:space="0" w:color="auto"/>
            </w:tcBorders>
            <w:hideMark/>
          </w:tcPr>
          <w:p w14:paraId="383BD0E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524</w:t>
            </w:r>
          </w:p>
        </w:tc>
        <w:tc>
          <w:tcPr>
            <w:tcW w:w="949" w:type="dxa"/>
            <w:tcBorders>
              <w:top w:val="single" w:sz="4" w:space="0" w:color="auto"/>
              <w:left w:val="single" w:sz="4" w:space="0" w:color="auto"/>
              <w:bottom w:val="single" w:sz="4" w:space="0" w:color="auto"/>
              <w:right w:val="single" w:sz="4" w:space="0" w:color="auto"/>
            </w:tcBorders>
            <w:hideMark/>
          </w:tcPr>
          <w:p w14:paraId="69CA4D8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110C96C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,4</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2AFFF66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356</w:t>
            </w:r>
          </w:p>
        </w:tc>
        <w:tc>
          <w:tcPr>
            <w:tcW w:w="1051" w:type="dxa"/>
            <w:tcBorders>
              <w:top w:val="single" w:sz="4" w:space="0" w:color="auto"/>
              <w:left w:val="single" w:sz="4" w:space="0" w:color="auto"/>
              <w:bottom w:val="single" w:sz="4" w:space="0" w:color="auto"/>
              <w:right w:val="single" w:sz="4" w:space="0" w:color="auto"/>
            </w:tcBorders>
            <w:hideMark/>
          </w:tcPr>
          <w:p w14:paraId="389C9F2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6B92EE9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ED8ED8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31C3A10"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748CFBCE"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253854F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c>
          <w:tcPr>
            <w:tcW w:w="1036" w:type="dxa"/>
            <w:tcBorders>
              <w:top w:val="single" w:sz="4" w:space="0" w:color="auto"/>
              <w:left w:val="single" w:sz="4" w:space="0" w:color="auto"/>
              <w:bottom w:val="single" w:sz="4" w:space="0" w:color="auto"/>
              <w:right w:val="single" w:sz="4" w:space="0" w:color="auto"/>
            </w:tcBorders>
            <w:hideMark/>
          </w:tcPr>
          <w:p w14:paraId="7D20A71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68B777B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949" w:type="dxa"/>
            <w:tcBorders>
              <w:top w:val="single" w:sz="4" w:space="0" w:color="auto"/>
              <w:left w:val="single" w:sz="4" w:space="0" w:color="auto"/>
              <w:bottom w:val="single" w:sz="4" w:space="0" w:color="auto"/>
              <w:right w:val="single" w:sz="4" w:space="0" w:color="auto"/>
            </w:tcBorders>
            <w:hideMark/>
          </w:tcPr>
          <w:p w14:paraId="6177CD3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4C07AF5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,4</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5DDF3F1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90</w:t>
            </w:r>
          </w:p>
        </w:tc>
        <w:tc>
          <w:tcPr>
            <w:tcW w:w="1051" w:type="dxa"/>
            <w:tcBorders>
              <w:top w:val="single" w:sz="4" w:space="0" w:color="auto"/>
              <w:left w:val="single" w:sz="4" w:space="0" w:color="auto"/>
              <w:bottom w:val="single" w:sz="4" w:space="0" w:color="auto"/>
              <w:right w:val="single" w:sz="4" w:space="0" w:color="auto"/>
            </w:tcBorders>
            <w:hideMark/>
          </w:tcPr>
          <w:p w14:paraId="5884AAC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74976D9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0539AD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267D61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234A7E9D"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5FA50AA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2</w:t>
            </w:r>
          </w:p>
        </w:tc>
        <w:tc>
          <w:tcPr>
            <w:tcW w:w="1036" w:type="dxa"/>
            <w:tcBorders>
              <w:top w:val="single" w:sz="4" w:space="0" w:color="auto"/>
              <w:left w:val="single" w:sz="4" w:space="0" w:color="auto"/>
              <w:bottom w:val="single" w:sz="4" w:space="0" w:color="auto"/>
              <w:right w:val="single" w:sz="4" w:space="0" w:color="auto"/>
            </w:tcBorders>
            <w:hideMark/>
          </w:tcPr>
          <w:p w14:paraId="59970D4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578</w:t>
            </w:r>
          </w:p>
        </w:tc>
        <w:tc>
          <w:tcPr>
            <w:tcW w:w="1051" w:type="dxa"/>
            <w:tcBorders>
              <w:top w:val="single" w:sz="4" w:space="0" w:color="auto"/>
              <w:left w:val="single" w:sz="4" w:space="0" w:color="auto"/>
              <w:bottom w:val="single" w:sz="4" w:space="0" w:color="auto"/>
              <w:right w:val="single" w:sz="4" w:space="0" w:color="auto"/>
            </w:tcBorders>
            <w:hideMark/>
          </w:tcPr>
          <w:p w14:paraId="12E5176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w:t>
            </w:r>
          </w:p>
        </w:tc>
        <w:tc>
          <w:tcPr>
            <w:tcW w:w="949" w:type="dxa"/>
            <w:tcBorders>
              <w:top w:val="single" w:sz="4" w:space="0" w:color="auto"/>
              <w:left w:val="single" w:sz="4" w:space="0" w:color="auto"/>
              <w:bottom w:val="single" w:sz="4" w:space="0" w:color="auto"/>
              <w:right w:val="single" w:sz="4" w:space="0" w:color="auto"/>
            </w:tcBorders>
            <w:hideMark/>
          </w:tcPr>
          <w:p w14:paraId="79BF0C7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314D8FA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,2</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078D383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274</w:t>
            </w:r>
          </w:p>
        </w:tc>
        <w:tc>
          <w:tcPr>
            <w:tcW w:w="1051" w:type="dxa"/>
            <w:tcBorders>
              <w:top w:val="single" w:sz="4" w:space="0" w:color="auto"/>
              <w:left w:val="single" w:sz="4" w:space="0" w:color="auto"/>
              <w:bottom w:val="single" w:sz="4" w:space="0" w:color="auto"/>
              <w:right w:val="single" w:sz="4" w:space="0" w:color="auto"/>
            </w:tcBorders>
            <w:hideMark/>
          </w:tcPr>
          <w:p w14:paraId="4FB2461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0537850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3DF5FDA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110F9C3"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1BA69DE5"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7BE81F8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1036" w:type="dxa"/>
            <w:tcBorders>
              <w:top w:val="single" w:sz="4" w:space="0" w:color="auto"/>
              <w:left w:val="single" w:sz="4" w:space="0" w:color="auto"/>
              <w:bottom w:val="single" w:sz="4" w:space="0" w:color="auto"/>
              <w:right w:val="single" w:sz="4" w:space="0" w:color="auto"/>
            </w:tcBorders>
            <w:hideMark/>
          </w:tcPr>
          <w:p w14:paraId="130E7DB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2DF9E97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288</w:t>
            </w:r>
          </w:p>
        </w:tc>
        <w:tc>
          <w:tcPr>
            <w:tcW w:w="949" w:type="dxa"/>
            <w:tcBorders>
              <w:top w:val="single" w:sz="4" w:space="0" w:color="auto"/>
              <w:left w:val="single" w:sz="4" w:space="0" w:color="auto"/>
              <w:bottom w:val="single" w:sz="4" w:space="0" w:color="auto"/>
              <w:right w:val="single" w:sz="4" w:space="0" w:color="auto"/>
            </w:tcBorders>
            <w:hideMark/>
          </w:tcPr>
          <w:p w14:paraId="677E4A1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72EDB96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r>
              <w:rPr>
                <w:rFonts w:ascii="Sylfaen" w:hAnsi="Sylfaen" w:cs="Arial"/>
                <w:sz w:val="20"/>
                <w:szCs w:val="20"/>
                <w:lang w:val="ka-GE"/>
              </w:rPr>
              <w:t>,1</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24EED58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242</w:t>
            </w:r>
          </w:p>
        </w:tc>
        <w:tc>
          <w:tcPr>
            <w:tcW w:w="1051" w:type="dxa"/>
            <w:tcBorders>
              <w:top w:val="single" w:sz="4" w:space="0" w:color="auto"/>
              <w:left w:val="single" w:sz="4" w:space="0" w:color="auto"/>
              <w:bottom w:val="single" w:sz="4" w:space="0" w:color="auto"/>
              <w:right w:val="single" w:sz="4" w:space="0" w:color="auto"/>
            </w:tcBorders>
            <w:hideMark/>
          </w:tcPr>
          <w:p w14:paraId="798344F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3BFA4B5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C283F4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F0FC933"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bl>
    <w:p w14:paraId="6204111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511164D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23568E1C"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2902</w:t>
      </w:r>
      <w:r>
        <w:rPr>
          <w:rFonts w:ascii="Sylfaen" w:hAnsi="Sylfaen" w:cs="Arial"/>
          <w:b/>
          <w:bCs/>
          <w:sz w:val="20"/>
          <w:szCs w:val="20"/>
          <w:lang w:val="ka-GE"/>
        </w:rPr>
        <w:t xml:space="preserve">   შეწონილი ნაწილაკები</w:t>
      </w:r>
    </w:p>
    <w:tbl>
      <w:tblPr>
        <w:tblW w:w="0" w:type="auto"/>
        <w:jc w:val="center"/>
        <w:tblLayout w:type="fixed"/>
        <w:tblCellMar>
          <w:left w:w="0" w:type="dxa"/>
          <w:right w:w="0" w:type="dxa"/>
        </w:tblCellMar>
        <w:tblLook w:val="04A0" w:firstRow="1" w:lastRow="0" w:firstColumn="1" w:lastColumn="0" w:noHBand="0" w:noVBand="1"/>
      </w:tblPr>
      <w:tblGrid>
        <w:gridCol w:w="817"/>
        <w:gridCol w:w="1036"/>
        <w:gridCol w:w="1051"/>
        <w:gridCol w:w="949"/>
        <w:gridCol w:w="1109"/>
        <w:gridCol w:w="1051"/>
        <w:gridCol w:w="1051"/>
        <w:gridCol w:w="992"/>
        <w:gridCol w:w="934"/>
        <w:gridCol w:w="934"/>
      </w:tblGrid>
      <w:tr w:rsidR="00A2588D" w14:paraId="5C55A762"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A96814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1036" w:type="dxa"/>
            <w:tcBorders>
              <w:top w:val="single" w:sz="4" w:space="0" w:color="auto"/>
              <w:left w:val="single" w:sz="4" w:space="0" w:color="auto"/>
              <w:bottom w:val="single" w:sz="4" w:space="0" w:color="auto"/>
              <w:right w:val="single" w:sz="4" w:space="0" w:color="auto"/>
            </w:tcBorders>
            <w:hideMark/>
          </w:tcPr>
          <w:p w14:paraId="0AE9F74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263</w:t>
            </w:r>
          </w:p>
        </w:tc>
        <w:tc>
          <w:tcPr>
            <w:tcW w:w="1051" w:type="dxa"/>
            <w:tcBorders>
              <w:top w:val="single" w:sz="4" w:space="0" w:color="auto"/>
              <w:left w:val="single" w:sz="4" w:space="0" w:color="auto"/>
              <w:bottom w:val="single" w:sz="4" w:space="0" w:color="auto"/>
              <w:right w:val="single" w:sz="4" w:space="0" w:color="auto"/>
            </w:tcBorders>
            <w:hideMark/>
          </w:tcPr>
          <w:p w14:paraId="4CC0360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176</w:t>
            </w:r>
          </w:p>
        </w:tc>
        <w:tc>
          <w:tcPr>
            <w:tcW w:w="949" w:type="dxa"/>
            <w:tcBorders>
              <w:top w:val="single" w:sz="4" w:space="0" w:color="auto"/>
              <w:left w:val="single" w:sz="4" w:space="0" w:color="auto"/>
              <w:bottom w:val="single" w:sz="4" w:space="0" w:color="auto"/>
              <w:right w:val="single" w:sz="4" w:space="0" w:color="auto"/>
            </w:tcBorders>
            <w:hideMark/>
          </w:tcPr>
          <w:p w14:paraId="04E4D50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59CE23E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04</w:t>
            </w:r>
          </w:p>
        </w:tc>
        <w:tc>
          <w:tcPr>
            <w:tcW w:w="1051" w:type="dxa"/>
            <w:tcBorders>
              <w:top w:val="single" w:sz="4" w:space="0" w:color="auto"/>
              <w:left w:val="single" w:sz="4" w:space="0" w:color="auto"/>
              <w:bottom w:val="single" w:sz="4" w:space="0" w:color="auto"/>
              <w:right w:val="single" w:sz="4" w:space="0" w:color="auto"/>
            </w:tcBorders>
            <w:hideMark/>
          </w:tcPr>
          <w:p w14:paraId="5443EFA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109</w:t>
            </w:r>
          </w:p>
        </w:tc>
        <w:tc>
          <w:tcPr>
            <w:tcW w:w="1051" w:type="dxa"/>
            <w:tcBorders>
              <w:top w:val="single" w:sz="4" w:space="0" w:color="auto"/>
              <w:left w:val="single" w:sz="4" w:space="0" w:color="auto"/>
              <w:bottom w:val="single" w:sz="4" w:space="0" w:color="auto"/>
              <w:right w:val="single" w:sz="4" w:space="0" w:color="auto"/>
            </w:tcBorders>
            <w:hideMark/>
          </w:tcPr>
          <w:p w14:paraId="4D4E470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4F08354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8EFEAA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70A2C6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7B0B948D"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5D033723"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2</w:t>
            </w:r>
          </w:p>
        </w:tc>
        <w:tc>
          <w:tcPr>
            <w:tcW w:w="1036" w:type="dxa"/>
            <w:tcBorders>
              <w:top w:val="single" w:sz="4" w:space="0" w:color="auto"/>
              <w:left w:val="single" w:sz="4" w:space="0" w:color="auto"/>
              <w:bottom w:val="single" w:sz="4" w:space="0" w:color="auto"/>
              <w:right w:val="single" w:sz="4" w:space="0" w:color="auto"/>
            </w:tcBorders>
            <w:hideMark/>
          </w:tcPr>
          <w:p w14:paraId="5F67201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578</w:t>
            </w:r>
          </w:p>
        </w:tc>
        <w:tc>
          <w:tcPr>
            <w:tcW w:w="1051" w:type="dxa"/>
            <w:tcBorders>
              <w:top w:val="single" w:sz="4" w:space="0" w:color="auto"/>
              <w:left w:val="single" w:sz="4" w:space="0" w:color="auto"/>
              <w:bottom w:val="single" w:sz="4" w:space="0" w:color="auto"/>
              <w:right w:val="single" w:sz="4" w:space="0" w:color="auto"/>
            </w:tcBorders>
            <w:hideMark/>
          </w:tcPr>
          <w:p w14:paraId="12460AA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w:t>
            </w:r>
          </w:p>
        </w:tc>
        <w:tc>
          <w:tcPr>
            <w:tcW w:w="949" w:type="dxa"/>
            <w:tcBorders>
              <w:top w:val="single" w:sz="4" w:space="0" w:color="auto"/>
              <w:left w:val="single" w:sz="4" w:space="0" w:color="auto"/>
              <w:bottom w:val="single" w:sz="4" w:space="0" w:color="auto"/>
              <w:right w:val="single" w:sz="4" w:space="0" w:color="auto"/>
            </w:tcBorders>
            <w:hideMark/>
          </w:tcPr>
          <w:p w14:paraId="2413D11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2749DF3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w:t>
            </w:r>
          </w:p>
        </w:tc>
        <w:tc>
          <w:tcPr>
            <w:tcW w:w="1051" w:type="dxa"/>
            <w:tcBorders>
              <w:top w:val="single" w:sz="4" w:space="0" w:color="auto"/>
              <w:left w:val="single" w:sz="4" w:space="0" w:color="auto"/>
              <w:bottom w:val="single" w:sz="4" w:space="0" w:color="auto"/>
              <w:right w:val="single" w:sz="4" w:space="0" w:color="auto"/>
            </w:tcBorders>
            <w:hideMark/>
          </w:tcPr>
          <w:p w14:paraId="5805E64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281</w:t>
            </w:r>
          </w:p>
        </w:tc>
        <w:tc>
          <w:tcPr>
            <w:tcW w:w="1051" w:type="dxa"/>
            <w:tcBorders>
              <w:top w:val="single" w:sz="4" w:space="0" w:color="auto"/>
              <w:left w:val="single" w:sz="4" w:space="0" w:color="auto"/>
              <w:bottom w:val="single" w:sz="4" w:space="0" w:color="auto"/>
              <w:right w:val="single" w:sz="4" w:space="0" w:color="auto"/>
            </w:tcBorders>
            <w:hideMark/>
          </w:tcPr>
          <w:p w14:paraId="755EFCD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5816AAE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8A7683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955C8F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51A39843"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064EE9D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lastRenderedPageBreak/>
              <w:t>1</w:t>
            </w:r>
          </w:p>
        </w:tc>
        <w:tc>
          <w:tcPr>
            <w:tcW w:w="1036" w:type="dxa"/>
            <w:tcBorders>
              <w:top w:val="single" w:sz="4" w:space="0" w:color="auto"/>
              <w:left w:val="single" w:sz="4" w:space="0" w:color="auto"/>
              <w:bottom w:val="single" w:sz="4" w:space="0" w:color="auto"/>
              <w:right w:val="single" w:sz="4" w:space="0" w:color="auto"/>
            </w:tcBorders>
            <w:hideMark/>
          </w:tcPr>
          <w:p w14:paraId="1C6DF0C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40BB4FB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288</w:t>
            </w:r>
          </w:p>
        </w:tc>
        <w:tc>
          <w:tcPr>
            <w:tcW w:w="949" w:type="dxa"/>
            <w:tcBorders>
              <w:top w:val="single" w:sz="4" w:space="0" w:color="auto"/>
              <w:left w:val="single" w:sz="4" w:space="0" w:color="auto"/>
              <w:bottom w:val="single" w:sz="4" w:space="0" w:color="auto"/>
              <w:right w:val="single" w:sz="4" w:space="0" w:color="auto"/>
            </w:tcBorders>
            <w:hideMark/>
          </w:tcPr>
          <w:p w14:paraId="6CEF2E7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2ED6BAD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w:t>
            </w:r>
          </w:p>
        </w:tc>
        <w:tc>
          <w:tcPr>
            <w:tcW w:w="1051" w:type="dxa"/>
            <w:tcBorders>
              <w:top w:val="single" w:sz="4" w:space="0" w:color="auto"/>
              <w:left w:val="single" w:sz="4" w:space="0" w:color="auto"/>
              <w:bottom w:val="single" w:sz="4" w:space="0" w:color="auto"/>
              <w:right w:val="single" w:sz="4" w:space="0" w:color="auto"/>
            </w:tcBorders>
            <w:hideMark/>
          </w:tcPr>
          <w:p w14:paraId="7ECB812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245</w:t>
            </w:r>
          </w:p>
        </w:tc>
        <w:tc>
          <w:tcPr>
            <w:tcW w:w="1051" w:type="dxa"/>
            <w:tcBorders>
              <w:top w:val="single" w:sz="4" w:space="0" w:color="auto"/>
              <w:left w:val="single" w:sz="4" w:space="0" w:color="auto"/>
              <w:bottom w:val="single" w:sz="4" w:space="0" w:color="auto"/>
              <w:right w:val="single" w:sz="4" w:space="0" w:color="auto"/>
            </w:tcBorders>
            <w:hideMark/>
          </w:tcPr>
          <w:p w14:paraId="6025CED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257BFD4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0B015A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1E3AD25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7ECF6C03"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0C15219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1036" w:type="dxa"/>
            <w:tcBorders>
              <w:top w:val="single" w:sz="4" w:space="0" w:color="auto"/>
              <w:left w:val="single" w:sz="4" w:space="0" w:color="auto"/>
              <w:bottom w:val="single" w:sz="4" w:space="0" w:color="auto"/>
              <w:right w:val="single" w:sz="4" w:space="0" w:color="auto"/>
            </w:tcBorders>
            <w:hideMark/>
          </w:tcPr>
          <w:p w14:paraId="21B5D91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364</w:t>
            </w:r>
          </w:p>
        </w:tc>
        <w:tc>
          <w:tcPr>
            <w:tcW w:w="1051" w:type="dxa"/>
            <w:tcBorders>
              <w:top w:val="single" w:sz="4" w:space="0" w:color="auto"/>
              <w:left w:val="single" w:sz="4" w:space="0" w:color="auto"/>
              <w:bottom w:val="single" w:sz="4" w:space="0" w:color="auto"/>
              <w:right w:val="single" w:sz="4" w:space="0" w:color="auto"/>
            </w:tcBorders>
            <w:hideMark/>
          </w:tcPr>
          <w:p w14:paraId="58556B1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210</w:t>
            </w:r>
          </w:p>
        </w:tc>
        <w:tc>
          <w:tcPr>
            <w:tcW w:w="949" w:type="dxa"/>
            <w:tcBorders>
              <w:top w:val="single" w:sz="4" w:space="0" w:color="auto"/>
              <w:left w:val="single" w:sz="4" w:space="0" w:color="auto"/>
              <w:bottom w:val="single" w:sz="4" w:space="0" w:color="auto"/>
              <w:right w:val="single" w:sz="4" w:space="0" w:color="auto"/>
            </w:tcBorders>
            <w:hideMark/>
          </w:tcPr>
          <w:p w14:paraId="5FFB471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45E364D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w:t>
            </w:r>
          </w:p>
        </w:tc>
        <w:tc>
          <w:tcPr>
            <w:tcW w:w="1051" w:type="dxa"/>
            <w:tcBorders>
              <w:top w:val="single" w:sz="4" w:space="0" w:color="auto"/>
              <w:left w:val="single" w:sz="4" w:space="0" w:color="auto"/>
              <w:bottom w:val="single" w:sz="4" w:space="0" w:color="auto"/>
              <w:right w:val="single" w:sz="4" w:space="0" w:color="auto"/>
            </w:tcBorders>
            <w:hideMark/>
          </w:tcPr>
          <w:p w14:paraId="3F9FA4D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57</w:t>
            </w:r>
          </w:p>
        </w:tc>
        <w:tc>
          <w:tcPr>
            <w:tcW w:w="1051" w:type="dxa"/>
            <w:tcBorders>
              <w:top w:val="single" w:sz="4" w:space="0" w:color="auto"/>
              <w:left w:val="single" w:sz="4" w:space="0" w:color="auto"/>
              <w:bottom w:val="single" w:sz="4" w:space="0" w:color="auto"/>
              <w:right w:val="single" w:sz="4" w:space="0" w:color="auto"/>
            </w:tcBorders>
            <w:hideMark/>
          </w:tcPr>
          <w:p w14:paraId="6A8433D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6CC651A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F36EEC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973E97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754325A0"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766FB8BB"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c>
          <w:tcPr>
            <w:tcW w:w="1036" w:type="dxa"/>
            <w:tcBorders>
              <w:top w:val="single" w:sz="4" w:space="0" w:color="auto"/>
              <w:left w:val="single" w:sz="4" w:space="0" w:color="auto"/>
              <w:bottom w:val="single" w:sz="4" w:space="0" w:color="auto"/>
              <w:right w:val="single" w:sz="4" w:space="0" w:color="auto"/>
            </w:tcBorders>
            <w:hideMark/>
          </w:tcPr>
          <w:p w14:paraId="370ED1B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4E8F8BE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949" w:type="dxa"/>
            <w:tcBorders>
              <w:top w:val="single" w:sz="4" w:space="0" w:color="auto"/>
              <w:left w:val="single" w:sz="4" w:space="0" w:color="auto"/>
              <w:bottom w:val="single" w:sz="4" w:space="0" w:color="auto"/>
              <w:right w:val="single" w:sz="4" w:space="0" w:color="auto"/>
            </w:tcBorders>
            <w:hideMark/>
          </w:tcPr>
          <w:p w14:paraId="73F8035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0CA6528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w:t>
            </w:r>
          </w:p>
        </w:tc>
        <w:tc>
          <w:tcPr>
            <w:tcW w:w="1051" w:type="dxa"/>
            <w:tcBorders>
              <w:top w:val="single" w:sz="4" w:space="0" w:color="auto"/>
              <w:left w:val="single" w:sz="4" w:space="0" w:color="auto"/>
              <w:bottom w:val="single" w:sz="4" w:space="0" w:color="auto"/>
              <w:right w:val="single" w:sz="4" w:space="0" w:color="auto"/>
            </w:tcBorders>
            <w:hideMark/>
          </w:tcPr>
          <w:p w14:paraId="63B8674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84</w:t>
            </w:r>
          </w:p>
        </w:tc>
        <w:tc>
          <w:tcPr>
            <w:tcW w:w="1051" w:type="dxa"/>
            <w:tcBorders>
              <w:top w:val="single" w:sz="4" w:space="0" w:color="auto"/>
              <w:left w:val="single" w:sz="4" w:space="0" w:color="auto"/>
              <w:bottom w:val="single" w:sz="4" w:space="0" w:color="auto"/>
              <w:right w:val="single" w:sz="4" w:space="0" w:color="auto"/>
            </w:tcBorders>
            <w:hideMark/>
          </w:tcPr>
          <w:p w14:paraId="345FA42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542A3CD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36C226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1670824B"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432F2A8A"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2C0755AD"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1036" w:type="dxa"/>
            <w:tcBorders>
              <w:top w:val="single" w:sz="4" w:space="0" w:color="auto"/>
              <w:left w:val="single" w:sz="4" w:space="0" w:color="auto"/>
              <w:bottom w:val="single" w:sz="4" w:space="0" w:color="auto"/>
              <w:right w:val="single" w:sz="4" w:space="0" w:color="auto"/>
            </w:tcBorders>
            <w:hideMark/>
          </w:tcPr>
          <w:p w14:paraId="306E8CB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36</w:t>
            </w:r>
          </w:p>
        </w:tc>
        <w:tc>
          <w:tcPr>
            <w:tcW w:w="1051" w:type="dxa"/>
            <w:tcBorders>
              <w:top w:val="single" w:sz="4" w:space="0" w:color="auto"/>
              <w:left w:val="single" w:sz="4" w:space="0" w:color="auto"/>
              <w:bottom w:val="single" w:sz="4" w:space="0" w:color="auto"/>
              <w:right w:val="single" w:sz="4" w:space="0" w:color="auto"/>
            </w:tcBorders>
            <w:hideMark/>
          </w:tcPr>
          <w:p w14:paraId="1C190B2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524</w:t>
            </w:r>
          </w:p>
        </w:tc>
        <w:tc>
          <w:tcPr>
            <w:tcW w:w="949" w:type="dxa"/>
            <w:tcBorders>
              <w:top w:val="single" w:sz="4" w:space="0" w:color="auto"/>
              <w:left w:val="single" w:sz="4" w:space="0" w:color="auto"/>
              <w:bottom w:val="single" w:sz="4" w:space="0" w:color="auto"/>
              <w:right w:val="single" w:sz="4" w:space="0" w:color="auto"/>
            </w:tcBorders>
            <w:hideMark/>
          </w:tcPr>
          <w:p w14:paraId="07CE3D6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0E17390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w:t>
            </w:r>
          </w:p>
        </w:tc>
        <w:tc>
          <w:tcPr>
            <w:tcW w:w="1051" w:type="dxa"/>
            <w:tcBorders>
              <w:top w:val="single" w:sz="4" w:space="0" w:color="auto"/>
              <w:left w:val="single" w:sz="4" w:space="0" w:color="auto"/>
              <w:bottom w:val="single" w:sz="4" w:space="0" w:color="auto"/>
              <w:right w:val="single" w:sz="4" w:space="0" w:color="auto"/>
            </w:tcBorders>
            <w:hideMark/>
          </w:tcPr>
          <w:p w14:paraId="2BF4288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1051" w:type="dxa"/>
            <w:tcBorders>
              <w:top w:val="single" w:sz="4" w:space="0" w:color="auto"/>
              <w:left w:val="single" w:sz="4" w:space="0" w:color="auto"/>
              <w:bottom w:val="single" w:sz="4" w:space="0" w:color="auto"/>
              <w:right w:val="single" w:sz="4" w:space="0" w:color="auto"/>
            </w:tcBorders>
            <w:hideMark/>
          </w:tcPr>
          <w:p w14:paraId="50C45C9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182230D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2B8128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1AAB92E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bl>
    <w:p w14:paraId="037FD7B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5A822F76"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2908</w:t>
      </w:r>
      <w:r>
        <w:rPr>
          <w:rFonts w:ascii="Sylfaen" w:hAnsi="Sylfaen" w:cs="Arial"/>
          <w:b/>
          <w:bCs/>
          <w:sz w:val="20"/>
          <w:szCs w:val="20"/>
          <w:lang w:val="ka-GE"/>
        </w:rPr>
        <w:t xml:space="preserve">   არაოგანული მტვერი: 70-20% </w:t>
      </w:r>
      <w:r>
        <w:rPr>
          <w:rFonts w:ascii="Sylfaen" w:hAnsi="Sylfaen"/>
          <w:b/>
          <w:bCs/>
          <w:sz w:val="20"/>
          <w:szCs w:val="20"/>
          <w:lang w:val="ka-GE"/>
        </w:rPr>
        <w:t>SiO2</w:t>
      </w:r>
    </w:p>
    <w:tbl>
      <w:tblPr>
        <w:tblW w:w="0" w:type="auto"/>
        <w:jc w:val="center"/>
        <w:tblLayout w:type="fixed"/>
        <w:tblCellMar>
          <w:left w:w="0" w:type="dxa"/>
          <w:right w:w="0" w:type="dxa"/>
        </w:tblCellMar>
        <w:tblLook w:val="04A0" w:firstRow="1" w:lastRow="0" w:firstColumn="1" w:lastColumn="0" w:noHBand="0" w:noVBand="1"/>
      </w:tblPr>
      <w:tblGrid>
        <w:gridCol w:w="817"/>
        <w:gridCol w:w="1036"/>
        <w:gridCol w:w="1051"/>
        <w:gridCol w:w="949"/>
        <w:gridCol w:w="1109"/>
        <w:gridCol w:w="1051"/>
        <w:gridCol w:w="1051"/>
        <w:gridCol w:w="992"/>
        <w:gridCol w:w="934"/>
        <w:gridCol w:w="934"/>
      </w:tblGrid>
      <w:tr w:rsidR="00A2588D" w14:paraId="30A8B91D"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F63A85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1036" w:type="dxa"/>
            <w:tcBorders>
              <w:top w:val="single" w:sz="4" w:space="0" w:color="auto"/>
              <w:left w:val="single" w:sz="4" w:space="0" w:color="auto"/>
              <w:bottom w:val="single" w:sz="4" w:space="0" w:color="auto"/>
              <w:right w:val="single" w:sz="4" w:space="0" w:color="auto"/>
            </w:tcBorders>
            <w:hideMark/>
          </w:tcPr>
          <w:p w14:paraId="3D3F0A9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263</w:t>
            </w:r>
          </w:p>
        </w:tc>
        <w:tc>
          <w:tcPr>
            <w:tcW w:w="1051" w:type="dxa"/>
            <w:tcBorders>
              <w:top w:val="single" w:sz="4" w:space="0" w:color="auto"/>
              <w:left w:val="single" w:sz="4" w:space="0" w:color="auto"/>
              <w:bottom w:val="single" w:sz="4" w:space="0" w:color="auto"/>
              <w:right w:val="single" w:sz="4" w:space="0" w:color="auto"/>
            </w:tcBorders>
            <w:hideMark/>
          </w:tcPr>
          <w:p w14:paraId="3685568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176</w:t>
            </w:r>
          </w:p>
        </w:tc>
        <w:tc>
          <w:tcPr>
            <w:tcW w:w="949" w:type="dxa"/>
            <w:tcBorders>
              <w:top w:val="single" w:sz="4" w:space="0" w:color="auto"/>
              <w:left w:val="single" w:sz="4" w:space="0" w:color="auto"/>
              <w:bottom w:val="single" w:sz="4" w:space="0" w:color="auto"/>
              <w:right w:val="single" w:sz="4" w:space="0" w:color="auto"/>
            </w:tcBorders>
            <w:hideMark/>
          </w:tcPr>
          <w:p w14:paraId="3454A06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2D9A6DD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37</w:t>
            </w:r>
          </w:p>
        </w:tc>
        <w:tc>
          <w:tcPr>
            <w:tcW w:w="1051" w:type="dxa"/>
            <w:tcBorders>
              <w:top w:val="single" w:sz="4" w:space="0" w:color="auto"/>
              <w:left w:val="single" w:sz="4" w:space="0" w:color="auto"/>
              <w:bottom w:val="single" w:sz="4" w:space="0" w:color="auto"/>
              <w:right w:val="single" w:sz="4" w:space="0" w:color="auto"/>
            </w:tcBorders>
            <w:hideMark/>
          </w:tcPr>
          <w:p w14:paraId="187432C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114</w:t>
            </w:r>
          </w:p>
        </w:tc>
        <w:tc>
          <w:tcPr>
            <w:tcW w:w="1051" w:type="dxa"/>
            <w:tcBorders>
              <w:top w:val="single" w:sz="4" w:space="0" w:color="auto"/>
              <w:left w:val="single" w:sz="4" w:space="0" w:color="auto"/>
              <w:bottom w:val="single" w:sz="4" w:space="0" w:color="auto"/>
              <w:right w:val="single" w:sz="4" w:space="0" w:color="auto"/>
            </w:tcBorders>
            <w:hideMark/>
          </w:tcPr>
          <w:p w14:paraId="3CCC270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7F01F64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9511D1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7D5D06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3389A908"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53D2622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1036" w:type="dxa"/>
            <w:tcBorders>
              <w:top w:val="single" w:sz="4" w:space="0" w:color="auto"/>
              <w:left w:val="single" w:sz="4" w:space="0" w:color="auto"/>
              <w:bottom w:val="single" w:sz="4" w:space="0" w:color="auto"/>
              <w:right w:val="single" w:sz="4" w:space="0" w:color="auto"/>
            </w:tcBorders>
            <w:hideMark/>
          </w:tcPr>
          <w:p w14:paraId="490B689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364</w:t>
            </w:r>
          </w:p>
        </w:tc>
        <w:tc>
          <w:tcPr>
            <w:tcW w:w="1051" w:type="dxa"/>
            <w:tcBorders>
              <w:top w:val="single" w:sz="4" w:space="0" w:color="auto"/>
              <w:left w:val="single" w:sz="4" w:space="0" w:color="auto"/>
              <w:bottom w:val="single" w:sz="4" w:space="0" w:color="auto"/>
              <w:right w:val="single" w:sz="4" w:space="0" w:color="auto"/>
            </w:tcBorders>
            <w:hideMark/>
          </w:tcPr>
          <w:p w14:paraId="55B8A2E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210</w:t>
            </w:r>
          </w:p>
        </w:tc>
        <w:tc>
          <w:tcPr>
            <w:tcW w:w="949" w:type="dxa"/>
            <w:tcBorders>
              <w:top w:val="single" w:sz="4" w:space="0" w:color="auto"/>
              <w:left w:val="single" w:sz="4" w:space="0" w:color="auto"/>
              <w:bottom w:val="single" w:sz="4" w:space="0" w:color="auto"/>
              <w:right w:val="single" w:sz="4" w:space="0" w:color="auto"/>
            </w:tcBorders>
            <w:hideMark/>
          </w:tcPr>
          <w:p w14:paraId="274E524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02B7703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17</w:t>
            </w:r>
          </w:p>
        </w:tc>
        <w:tc>
          <w:tcPr>
            <w:tcW w:w="1051" w:type="dxa"/>
            <w:tcBorders>
              <w:top w:val="single" w:sz="4" w:space="0" w:color="auto"/>
              <w:left w:val="single" w:sz="4" w:space="0" w:color="auto"/>
              <w:bottom w:val="single" w:sz="4" w:space="0" w:color="auto"/>
              <w:right w:val="single" w:sz="4" w:space="0" w:color="auto"/>
            </w:tcBorders>
            <w:hideMark/>
          </w:tcPr>
          <w:p w14:paraId="5259DD6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58</w:t>
            </w:r>
          </w:p>
        </w:tc>
        <w:tc>
          <w:tcPr>
            <w:tcW w:w="1051" w:type="dxa"/>
            <w:tcBorders>
              <w:top w:val="single" w:sz="4" w:space="0" w:color="auto"/>
              <w:left w:val="single" w:sz="4" w:space="0" w:color="auto"/>
              <w:bottom w:val="single" w:sz="4" w:space="0" w:color="auto"/>
              <w:right w:val="single" w:sz="4" w:space="0" w:color="auto"/>
            </w:tcBorders>
            <w:hideMark/>
          </w:tcPr>
          <w:p w14:paraId="5C9095C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31D016A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17026A4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2B2E1B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6C8E40E4"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3266E4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2</w:t>
            </w:r>
          </w:p>
        </w:tc>
        <w:tc>
          <w:tcPr>
            <w:tcW w:w="1036" w:type="dxa"/>
            <w:tcBorders>
              <w:top w:val="single" w:sz="4" w:space="0" w:color="auto"/>
              <w:left w:val="single" w:sz="4" w:space="0" w:color="auto"/>
              <w:bottom w:val="single" w:sz="4" w:space="0" w:color="auto"/>
              <w:right w:val="single" w:sz="4" w:space="0" w:color="auto"/>
            </w:tcBorders>
            <w:hideMark/>
          </w:tcPr>
          <w:p w14:paraId="3462440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578</w:t>
            </w:r>
          </w:p>
        </w:tc>
        <w:tc>
          <w:tcPr>
            <w:tcW w:w="1051" w:type="dxa"/>
            <w:tcBorders>
              <w:top w:val="single" w:sz="4" w:space="0" w:color="auto"/>
              <w:left w:val="single" w:sz="4" w:space="0" w:color="auto"/>
              <w:bottom w:val="single" w:sz="4" w:space="0" w:color="auto"/>
              <w:right w:val="single" w:sz="4" w:space="0" w:color="auto"/>
            </w:tcBorders>
            <w:hideMark/>
          </w:tcPr>
          <w:p w14:paraId="38D7D7D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w:t>
            </w:r>
          </w:p>
        </w:tc>
        <w:tc>
          <w:tcPr>
            <w:tcW w:w="949" w:type="dxa"/>
            <w:tcBorders>
              <w:top w:val="single" w:sz="4" w:space="0" w:color="auto"/>
              <w:left w:val="single" w:sz="4" w:space="0" w:color="auto"/>
              <w:bottom w:val="single" w:sz="4" w:space="0" w:color="auto"/>
              <w:right w:val="single" w:sz="4" w:space="0" w:color="auto"/>
            </w:tcBorders>
            <w:hideMark/>
          </w:tcPr>
          <w:p w14:paraId="4B81430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38F451A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13</w:t>
            </w:r>
          </w:p>
        </w:tc>
        <w:tc>
          <w:tcPr>
            <w:tcW w:w="1051" w:type="dxa"/>
            <w:tcBorders>
              <w:top w:val="single" w:sz="4" w:space="0" w:color="auto"/>
              <w:left w:val="single" w:sz="4" w:space="0" w:color="auto"/>
              <w:bottom w:val="single" w:sz="4" w:space="0" w:color="auto"/>
              <w:right w:val="single" w:sz="4" w:space="0" w:color="auto"/>
            </w:tcBorders>
            <w:hideMark/>
          </w:tcPr>
          <w:p w14:paraId="0FED812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278</w:t>
            </w:r>
          </w:p>
        </w:tc>
        <w:tc>
          <w:tcPr>
            <w:tcW w:w="1051" w:type="dxa"/>
            <w:tcBorders>
              <w:top w:val="single" w:sz="4" w:space="0" w:color="auto"/>
              <w:left w:val="single" w:sz="4" w:space="0" w:color="auto"/>
              <w:bottom w:val="single" w:sz="4" w:space="0" w:color="auto"/>
              <w:right w:val="single" w:sz="4" w:space="0" w:color="auto"/>
            </w:tcBorders>
            <w:hideMark/>
          </w:tcPr>
          <w:p w14:paraId="257FCCC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32E0609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4E72AD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1363891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20F58A86"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285C645D"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1036" w:type="dxa"/>
            <w:tcBorders>
              <w:top w:val="single" w:sz="4" w:space="0" w:color="auto"/>
              <w:left w:val="single" w:sz="4" w:space="0" w:color="auto"/>
              <w:bottom w:val="single" w:sz="4" w:space="0" w:color="auto"/>
              <w:right w:val="single" w:sz="4" w:space="0" w:color="auto"/>
            </w:tcBorders>
            <w:hideMark/>
          </w:tcPr>
          <w:p w14:paraId="7B830F3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6DEC6DA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288</w:t>
            </w:r>
          </w:p>
        </w:tc>
        <w:tc>
          <w:tcPr>
            <w:tcW w:w="949" w:type="dxa"/>
            <w:tcBorders>
              <w:top w:val="single" w:sz="4" w:space="0" w:color="auto"/>
              <w:left w:val="single" w:sz="4" w:space="0" w:color="auto"/>
              <w:bottom w:val="single" w:sz="4" w:space="0" w:color="auto"/>
              <w:right w:val="single" w:sz="4" w:space="0" w:color="auto"/>
            </w:tcBorders>
            <w:hideMark/>
          </w:tcPr>
          <w:p w14:paraId="223684A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208B689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13</w:t>
            </w:r>
          </w:p>
        </w:tc>
        <w:tc>
          <w:tcPr>
            <w:tcW w:w="1051" w:type="dxa"/>
            <w:tcBorders>
              <w:top w:val="single" w:sz="4" w:space="0" w:color="auto"/>
              <w:left w:val="single" w:sz="4" w:space="0" w:color="auto"/>
              <w:bottom w:val="single" w:sz="4" w:space="0" w:color="auto"/>
              <w:right w:val="single" w:sz="4" w:space="0" w:color="auto"/>
            </w:tcBorders>
            <w:hideMark/>
          </w:tcPr>
          <w:p w14:paraId="1F390B2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243</w:t>
            </w:r>
          </w:p>
        </w:tc>
        <w:tc>
          <w:tcPr>
            <w:tcW w:w="1051" w:type="dxa"/>
            <w:tcBorders>
              <w:top w:val="single" w:sz="4" w:space="0" w:color="auto"/>
              <w:left w:val="single" w:sz="4" w:space="0" w:color="auto"/>
              <w:bottom w:val="single" w:sz="4" w:space="0" w:color="auto"/>
              <w:right w:val="single" w:sz="4" w:space="0" w:color="auto"/>
            </w:tcBorders>
            <w:hideMark/>
          </w:tcPr>
          <w:p w14:paraId="6A6CBE6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68D0CE2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D81A77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202D01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485D447E"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06D008C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c>
          <w:tcPr>
            <w:tcW w:w="1036" w:type="dxa"/>
            <w:tcBorders>
              <w:top w:val="single" w:sz="4" w:space="0" w:color="auto"/>
              <w:left w:val="single" w:sz="4" w:space="0" w:color="auto"/>
              <w:bottom w:val="single" w:sz="4" w:space="0" w:color="auto"/>
              <w:right w:val="single" w:sz="4" w:space="0" w:color="auto"/>
            </w:tcBorders>
            <w:hideMark/>
          </w:tcPr>
          <w:p w14:paraId="75EE7D4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594A1B8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949" w:type="dxa"/>
            <w:tcBorders>
              <w:top w:val="single" w:sz="4" w:space="0" w:color="auto"/>
              <w:left w:val="single" w:sz="4" w:space="0" w:color="auto"/>
              <w:bottom w:val="single" w:sz="4" w:space="0" w:color="auto"/>
              <w:right w:val="single" w:sz="4" w:space="0" w:color="auto"/>
            </w:tcBorders>
            <w:hideMark/>
          </w:tcPr>
          <w:p w14:paraId="0B10317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0746670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12</w:t>
            </w:r>
          </w:p>
        </w:tc>
        <w:tc>
          <w:tcPr>
            <w:tcW w:w="1051" w:type="dxa"/>
            <w:tcBorders>
              <w:top w:val="single" w:sz="4" w:space="0" w:color="auto"/>
              <w:left w:val="single" w:sz="4" w:space="0" w:color="auto"/>
              <w:bottom w:val="single" w:sz="4" w:space="0" w:color="auto"/>
              <w:right w:val="single" w:sz="4" w:space="0" w:color="auto"/>
            </w:tcBorders>
            <w:hideMark/>
          </w:tcPr>
          <w:p w14:paraId="32EAD48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86</w:t>
            </w:r>
          </w:p>
        </w:tc>
        <w:tc>
          <w:tcPr>
            <w:tcW w:w="1051" w:type="dxa"/>
            <w:tcBorders>
              <w:top w:val="single" w:sz="4" w:space="0" w:color="auto"/>
              <w:left w:val="single" w:sz="4" w:space="0" w:color="auto"/>
              <w:bottom w:val="single" w:sz="4" w:space="0" w:color="auto"/>
              <w:right w:val="single" w:sz="4" w:space="0" w:color="auto"/>
            </w:tcBorders>
            <w:hideMark/>
          </w:tcPr>
          <w:p w14:paraId="75E905B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078DAEF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17E70C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AB978D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6D42BA6D"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3D1969B2"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1036" w:type="dxa"/>
            <w:tcBorders>
              <w:top w:val="single" w:sz="4" w:space="0" w:color="auto"/>
              <w:left w:val="single" w:sz="4" w:space="0" w:color="auto"/>
              <w:bottom w:val="single" w:sz="4" w:space="0" w:color="auto"/>
              <w:right w:val="single" w:sz="4" w:space="0" w:color="auto"/>
            </w:tcBorders>
            <w:hideMark/>
          </w:tcPr>
          <w:p w14:paraId="12F895E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36</w:t>
            </w:r>
          </w:p>
        </w:tc>
        <w:tc>
          <w:tcPr>
            <w:tcW w:w="1051" w:type="dxa"/>
            <w:tcBorders>
              <w:top w:val="single" w:sz="4" w:space="0" w:color="auto"/>
              <w:left w:val="single" w:sz="4" w:space="0" w:color="auto"/>
              <w:bottom w:val="single" w:sz="4" w:space="0" w:color="auto"/>
              <w:right w:val="single" w:sz="4" w:space="0" w:color="auto"/>
            </w:tcBorders>
            <w:hideMark/>
          </w:tcPr>
          <w:p w14:paraId="659C6AC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524</w:t>
            </w:r>
          </w:p>
        </w:tc>
        <w:tc>
          <w:tcPr>
            <w:tcW w:w="949" w:type="dxa"/>
            <w:tcBorders>
              <w:top w:val="single" w:sz="4" w:space="0" w:color="auto"/>
              <w:left w:val="single" w:sz="4" w:space="0" w:color="auto"/>
              <w:bottom w:val="single" w:sz="4" w:space="0" w:color="auto"/>
              <w:right w:val="single" w:sz="4" w:space="0" w:color="auto"/>
            </w:tcBorders>
            <w:hideMark/>
          </w:tcPr>
          <w:p w14:paraId="3CB951A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2C7E22B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12</w:t>
            </w:r>
          </w:p>
        </w:tc>
        <w:tc>
          <w:tcPr>
            <w:tcW w:w="1051" w:type="dxa"/>
            <w:tcBorders>
              <w:top w:val="single" w:sz="4" w:space="0" w:color="auto"/>
              <w:left w:val="single" w:sz="4" w:space="0" w:color="auto"/>
              <w:bottom w:val="single" w:sz="4" w:space="0" w:color="auto"/>
              <w:right w:val="single" w:sz="4" w:space="0" w:color="auto"/>
            </w:tcBorders>
            <w:hideMark/>
          </w:tcPr>
          <w:p w14:paraId="7E06EFB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w:t>
            </w:r>
          </w:p>
        </w:tc>
        <w:tc>
          <w:tcPr>
            <w:tcW w:w="1051" w:type="dxa"/>
            <w:tcBorders>
              <w:top w:val="single" w:sz="4" w:space="0" w:color="auto"/>
              <w:left w:val="single" w:sz="4" w:space="0" w:color="auto"/>
              <w:bottom w:val="single" w:sz="4" w:space="0" w:color="auto"/>
              <w:right w:val="single" w:sz="4" w:space="0" w:color="auto"/>
            </w:tcBorders>
            <w:hideMark/>
          </w:tcPr>
          <w:p w14:paraId="6B28326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00216B8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1D2643F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009A66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bl>
    <w:p w14:paraId="33F6DA17"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20196CD0"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6009</w:t>
      </w:r>
      <w:r>
        <w:rPr>
          <w:rFonts w:ascii="Sylfaen" w:hAnsi="Sylfaen" w:cs="Arial"/>
          <w:b/>
          <w:bCs/>
          <w:sz w:val="20"/>
          <w:szCs w:val="20"/>
          <w:lang w:val="ka-GE"/>
        </w:rPr>
        <w:t xml:space="preserve">   ჯამური ზემოქმედების ჯგუფი (</w:t>
      </w:r>
      <w:r>
        <w:rPr>
          <w:rFonts w:ascii="Sylfaen" w:hAnsi="Sylfaen"/>
          <w:b/>
          <w:bCs/>
          <w:sz w:val="20"/>
          <w:szCs w:val="20"/>
          <w:lang w:val="ka-GE"/>
        </w:rPr>
        <w:t>2</w:t>
      </w:r>
      <w:r>
        <w:rPr>
          <w:rFonts w:ascii="Sylfaen" w:hAnsi="Sylfaen" w:cs="Arial"/>
          <w:b/>
          <w:bCs/>
          <w:sz w:val="20"/>
          <w:szCs w:val="20"/>
          <w:lang w:val="ka-GE"/>
        </w:rPr>
        <w:t xml:space="preserve">) </w:t>
      </w:r>
      <w:r>
        <w:rPr>
          <w:rFonts w:ascii="Sylfaen" w:hAnsi="Sylfaen"/>
          <w:b/>
          <w:bCs/>
          <w:sz w:val="20"/>
          <w:szCs w:val="20"/>
          <w:lang w:val="ka-GE"/>
        </w:rPr>
        <w:t>301</w:t>
      </w:r>
      <w:r>
        <w:rPr>
          <w:rFonts w:ascii="Sylfaen" w:hAnsi="Sylfaen" w:cs="Arial"/>
          <w:b/>
          <w:bCs/>
          <w:sz w:val="20"/>
          <w:szCs w:val="20"/>
          <w:lang w:val="ka-GE"/>
        </w:rPr>
        <w:t xml:space="preserve"> </w:t>
      </w:r>
      <w:r>
        <w:rPr>
          <w:rFonts w:ascii="Sylfaen" w:hAnsi="Sylfaen"/>
          <w:b/>
          <w:bCs/>
          <w:sz w:val="20"/>
          <w:szCs w:val="20"/>
          <w:lang w:val="ka-GE"/>
        </w:rPr>
        <w:t>330</w:t>
      </w:r>
    </w:p>
    <w:tbl>
      <w:tblPr>
        <w:tblW w:w="0" w:type="auto"/>
        <w:jc w:val="center"/>
        <w:tblLayout w:type="fixed"/>
        <w:tblCellMar>
          <w:left w:w="0" w:type="dxa"/>
          <w:right w:w="0" w:type="dxa"/>
        </w:tblCellMar>
        <w:tblLook w:val="04A0" w:firstRow="1" w:lastRow="0" w:firstColumn="1" w:lastColumn="0" w:noHBand="0" w:noVBand="1"/>
      </w:tblPr>
      <w:tblGrid>
        <w:gridCol w:w="817"/>
        <w:gridCol w:w="1036"/>
        <w:gridCol w:w="1051"/>
        <w:gridCol w:w="949"/>
        <w:gridCol w:w="1109"/>
        <w:gridCol w:w="1051"/>
        <w:gridCol w:w="1051"/>
        <w:gridCol w:w="992"/>
        <w:gridCol w:w="934"/>
        <w:gridCol w:w="934"/>
      </w:tblGrid>
      <w:tr w:rsidR="00A2588D" w14:paraId="5FE63EBB"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0A7033D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1036" w:type="dxa"/>
            <w:tcBorders>
              <w:top w:val="single" w:sz="4" w:space="0" w:color="auto"/>
              <w:left w:val="single" w:sz="4" w:space="0" w:color="auto"/>
              <w:bottom w:val="single" w:sz="4" w:space="0" w:color="auto"/>
              <w:right w:val="single" w:sz="4" w:space="0" w:color="auto"/>
            </w:tcBorders>
            <w:hideMark/>
          </w:tcPr>
          <w:p w14:paraId="0D81958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263</w:t>
            </w:r>
          </w:p>
        </w:tc>
        <w:tc>
          <w:tcPr>
            <w:tcW w:w="1051" w:type="dxa"/>
            <w:tcBorders>
              <w:top w:val="single" w:sz="4" w:space="0" w:color="auto"/>
              <w:left w:val="single" w:sz="4" w:space="0" w:color="auto"/>
              <w:bottom w:val="single" w:sz="4" w:space="0" w:color="auto"/>
              <w:right w:val="single" w:sz="4" w:space="0" w:color="auto"/>
            </w:tcBorders>
            <w:hideMark/>
          </w:tcPr>
          <w:p w14:paraId="3F51138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176</w:t>
            </w:r>
          </w:p>
        </w:tc>
        <w:tc>
          <w:tcPr>
            <w:tcW w:w="949" w:type="dxa"/>
            <w:tcBorders>
              <w:top w:val="single" w:sz="4" w:space="0" w:color="auto"/>
              <w:left w:val="single" w:sz="4" w:space="0" w:color="auto"/>
              <w:bottom w:val="single" w:sz="4" w:space="0" w:color="auto"/>
              <w:right w:val="single" w:sz="4" w:space="0" w:color="auto"/>
            </w:tcBorders>
            <w:hideMark/>
          </w:tcPr>
          <w:p w14:paraId="246745E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28F1DF0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13</w:t>
            </w:r>
          </w:p>
        </w:tc>
        <w:tc>
          <w:tcPr>
            <w:tcW w:w="1051" w:type="dxa"/>
            <w:tcBorders>
              <w:top w:val="single" w:sz="4" w:space="0" w:color="auto"/>
              <w:left w:val="single" w:sz="4" w:space="0" w:color="auto"/>
              <w:bottom w:val="single" w:sz="4" w:space="0" w:color="auto"/>
              <w:right w:val="single" w:sz="4" w:space="0" w:color="auto"/>
            </w:tcBorders>
            <w:hideMark/>
          </w:tcPr>
          <w:p w14:paraId="6204D74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106</w:t>
            </w:r>
          </w:p>
        </w:tc>
        <w:tc>
          <w:tcPr>
            <w:tcW w:w="1051" w:type="dxa"/>
            <w:tcBorders>
              <w:top w:val="single" w:sz="4" w:space="0" w:color="auto"/>
              <w:left w:val="single" w:sz="4" w:space="0" w:color="auto"/>
              <w:bottom w:val="single" w:sz="4" w:space="0" w:color="auto"/>
              <w:right w:val="single" w:sz="4" w:space="0" w:color="auto"/>
            </w:tcBorders>
            <w:hideMark/>
          </w:tcPr>
          <w:p w14:paraId="6EC43F5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r>
              <w:rPr>
                <w:rFonts w:ascii="Sylfaen" w:hAnsi="Sylfaen" w:cs="Arial"/>
                <w:sz w:val="20"/>
                <w:szCs w:val="20"/>
                <w:lang w:val="ka-GE"/>
              </w:rPr>
              <w:t>,</w:t>
            </w:r>
            <w:r>
              <w:rPr>
                <w:rFonts w:ascii="Sylfaen" w:hAnsi="Sylfaen"/>
                <w:sz w:val="20"/>
                <w:szCs w:val="20"/>
                <w:lang w:val="ka-GE"/>
              </w:rPr>
              <w:t>38</w:t>
            </w:r>
          </w:p>
        </w:tc>
        <w:tc>
          <w:tcPr>
            <w:tcW w:w="992" w:type="dxa"/>
            <w:tcBorders>
              <w:top w:val="single" w:sz="4" w:space="0" w:color="auto"/>
              <w:left w:val="single" w:sz="4" w:space="0" w:color="auto"/>
              <w:bottom w:val="single" w:sz="4" w:space="0" w:color="auto"/>
              <w:right w:val="single" w:sz="4" w:space="0" w:color="auto"/>
            </w:tcBorders>
            <w:hideMark/>
          </w:tcPr>
          <w:p w14:paraId="79BF10C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31F354D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F0BB9DD"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71376ECF"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1F0177E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1036" w:type="dxa"/>
            <w:tcBorders>
              <w:top w:val="single" w:sz="4" w:space="0" w:color="auto"/>
              <w:left w:val="single" w:sz="4" w:space="0" w:color="auto"/>
              <w:bottom w:val="single" w:sz="4" w:space="0" w:color="auto"/>
              <w:right w:val="single" w:sz="4" w:space="0" w:color="auto"/>
            </w:tcBorders>
            <w:hideMark/>
          </w:tcPr>
          <w:p w14:paraId="1661CF4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364</w:t>
            </w:r>
          </w:p>
        </w:tc>
        <w:tc>
          <w:tcPr>
            <w:tcW w:w="1051" w:type="dxa"/>
            <w:tcBorders>
              <w:top w:val="single" w:sz="4" w:space="0" w:color="auto"/>
              <w:left w:val="single" w:sz="4" w:space="0" w:color="auto"/>
              <w:bottom w:val="single" w:sz="4" w:space="0" w:color="auto"/>
              <w:right w:val="single" w:sz="4" w:space="0" w:color="auto"/>
            </w:tcBorders>
            <w:hideMark/>
          </w:tcPr>
          <w:p w14:paraId="415ABCE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210</w:t>
            </w:r>
          </w:p>
        </w:tc>
        <w:tc>
          <w:tcPr>
            <w:tcW w:w="949" w:type="dxa"/>
            <w:tcBorders>
              <w:top w:val="single" w:sz="4" w:space="0" w:color="auto"/>
              <w:left w:val="single" w:sz="4" w:space="0" w:color="auto"/>
              <w:bottom w:val="single" w:sz="4" w:space="0" w:color="auto"/>
              <w:right w:val="single" w:sz="4" w:space="0" w:color="auto"/>
            </w:tcBorders>
            <w:hideMark/>
          </w:tcPr>
          <w:p w14:paraId="510CB98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7036A6A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07</w:t>
            </w:r>
          </w:p>
        </w:tc>
        <w:tc>
          <w:tcPr>
            <w:tcW w:w="1051" w:type="dxa"/>
            <w:tcBorders>
              <w:top w:val="single" w:sz="4" w:space="0" w:color="auto"/>
              <w:left w:val="single" w:sz="4" w:space="0" w:color="auto"/>
              <w:bottom w:val="single" w:sz="4" w:space="0" w:color="auto"/>
              <w:right w:val="single" w:sz="4" w:space="0" w:color="auto"/>
            </w:tcBorders>
            <w:hideMark/>
          </w:tcPr>
          <w:p w14:paraId="7BA3D4A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52</w:t>
            </w:r>
          </w:p>
        </w:tc>
        <w:tc>
          <w:tcPr>
            <w:tcW w:w="1051" w:type="dxa"/>
            <w:tcBorders>
              <w:top w:val="single" w:sz="4" w:space="0" w:color="auto"/>
              <w:left w:val="single" w:sz="4" w:space="0" w:color="auto"/>
              <w:bottom w:val="single" w:sz="4" w:space="0" w:color="auto"/>
              <w:right w:val="single" w:sz="4" w:space="0" w:color="auto"/>
            </w:tcBorders>
            <w:hideMark/>
          </w:tcPr>
          <w:p w14:paraId="57227DF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w:t>
            </w:r>
            <w:r>
              <w:rPr>
                <w:rFonts w:ascii="Sylfaen" w:hAnsi="Sylfaen"/>
                <w:sz w:val="20"/>
                <w:szCs w:val="20"/>
                <w:lang w:val="ka-GE"/>
              </w:rPr>
              <w:t>52</w:t>
            </w:r>
          </w:p>
        </w:tc>
        <w:tc>
          <w:tcPr>
            <w:tcW w:w="992" w:type="dxa"/>
            <w:tcBorders>
              <w:top w:val="single" w:sz="4" w:space="0" w:color="auto"/>
              <w:left w:val="single" w:sz="4" w:space="0" w:color="auto"/>
              <w:bottom w:val="single" w:sz="4" w:space="0" w:color="auto"/>
              <w:right w:val="single" w:sz="4" w:space="0" w:color="auto"/>
            </w:tcBorders>
            <w:hideMark/>
          </w:tcPr>
          <w:p w14:paraId="6147181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F74F0E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44A4B4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6FC2BF06"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76A2F0F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2</w:t>
            </w:r>
          </w:p>
        </w:tc>
        <w:tc>
          <w:tcPr>
            <w:tcW w:w="1036" w:type="dxa"/>
            <w:tcBorders>
              <w:top w:val="single" w:sz="4" w:space="0" w:color="auto"/>
              <w:left w:val="single" w:sz="4" w:space="0" w:color="auto"/>
              <w:bottom w:val="single" w:sz="4" w:space="0" w:color="auto"/>
              <w:right w:val="single" w:sz="4" w:space="0" w:color="auto"/>
            </w:tcBorders>
            <w:hideMark/>
          </w:tcPr>
          <w:p w14:paraId="6403E21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578</w:t>
            </w:r>
          </w:p>
        </w:tc>
        <w:tc>
          <w:tcPr>
            <w:tcW w:w="1051" w:type="dxa"/>
            <w:tcBorders>
              <w:top w:val="single" w:sz="4" w:space="0" w:color="auto"/>
              <w:left w:val="single" w:sz="4" w:space="0" w:color="auto"/>
              <w:bottom w:val="single" w:sz="4" w:space="0" w:color="auto"/>
              <w:right w:val="single" w:sz="4" w:space="0" w:color="auto"/>
            </w:tcBorders>
            <w:hideMark/>
          </w:tcPr>
          <w:p w14:paraId="04047D0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w:t>
            </w:r>
          </w:p>
        </w:tc>
        <w:tc>
          <w:tcPr>
            <w:tcW w:w="949" w:type="dxa"/>
            <w:tcBorders>
              <w:top w:val="single" w:sz="4" w:space="0" w:color="auto"/>
              <w:left w:val="single" w:sz="4" w:space="0" w:color="auto"/>
              <w:bottom w:val="single" w:sz="4" w:space="0" w:color="auto"/>
              <w:right w:val="single" w:sz="4" w:space="0" w:color="auto"/>
            </w:tcBorders>
            <w:hideMark/>
          </w:tcPr>
          <w:p w14:paraId="3B3CF04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2BDB786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06</w:t>
            </w:r>
          </w:p>
        </w:tc>
        <w:tc>
          <w:tcPr>
            <w:tcW w:w="1051" w:type="dxa"/>
            <w:tcBorders>
              <w:top w:val="single" w:sz="4" w:space="0" w:color="auto"/>
              <w:left w:val="single" w:sz="4" w:space="0" w:color="auto"/>
              <w:bottom w:val="single" w:sz="4" w:space="0" w:color="auto"/>
              <w:right w:val="single" w:sz="4" w:space="0" w:color="auto"/>
            </w:tcBorders>
            <w:hideMark/>
          </w:tcPr>
          <w:p w14:paraId="1DA6539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282</w:t>
            </w:r>
          </w:p>
        </w:tc>
        <w:tc>
          <w:tcPr>
            <w:tcW w:w="1051" w:type="dxa"/>
            <w:tcBorders>
              <w:top w:val="single" w:sz="4" w:space="0" w:color="auto"/>
              <w:left w:val="single" w:sz="4" w:space="0" w:color="auto"/>
              <w:bottom w:val="single" w:sz="4" w:space="0" w:color="auto"/>
              <w:right w:val="single" w:sz="4" w:space="0" w:color="auto"/>
            </w:tcBorders>
            <w:hideMark/>
          </w:tcPr>
          <w:p w14:paraId="10E0C73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75</w:t>
            </w:r>
          </w:p>
        </w:tc>
        <w:tc>
          <w:tcPr>
            <w:tcW w:w="992" w:type="dxa"/>
            <w:tcBorders>
              <w:top w:val="single" w:sz="4" w:space="0" w:color="auto"/>
              <w:left w:val="single" w:sz="4" w:space="0" w:color="auto"/>
              <w:bottom w:val="single" w:sz="4" w:space="0" w:color="auto"/>
              <w:right w:val="single" w:sz="4" w:space="0" w:color="auto"/>
            </w:tcBorders>
            <w:hideMark/>
          </w:tcPr>
          <w:p w14:paraId="1A46F47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F1CC27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D5CE4C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43D42A30"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1D2743B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c>
          <w:tcPr>
            <w:tcW w:w="1036" w:type="dxa"/>
            <w:tcBorders>
              <w:top w:val="single" w:sz="4" w:space="0" w:color="auto"/>
              <w:left w:val="single" w:sz="4" w:space="0" w:color="auto"/>
              <w:bottom w:val="single" w:sz="4" w:space="0" w:color="auto"/>
              <w:right w:val="single" w:sz="4" w:space="0" w:color="auto"/>
            </w:tcBorders>
            <w:hideMark/>
          </w:tcPr>
          <w:p w14:paraId="065C902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2813F50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949" w:type="dxa"/>
            <w:tcBorders>
              <w:top w:val="single" w:sz="4" w:space="0" w:color="auto"/>
              <w:left w:val="single" w:sz="4" w:space="0" w:color="auto"/>
              <w:bottom w:val="single" w:sz="4" w:space="0" w:color="auto"/>
              <w:right w:val="single" w:sz="4" w:space="0" w:color="auto"/>
            </w:tcBorders>
            <w:hideMark/>
          </w:tcPr>
          <w:p w14:paraId="20AAD4F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54BA05D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06</w:t>
            </w:r>
          </w:p>
        </w:tc>
        <w:tc>
          <w:tcPr>
            <w:tcW w:w="1051" w:type="dxa"/>
            <w:tcBorders>
              <w:top w:val="single" w:sz="4" w:space="0" w:color="auto"/>
              <w:left w:val="single" w:sz="4" w:space="0" w:color="auto"/>
              <w:bottom w:val="single" w:sz="4" w:space="0" w:color="auto"/>
              <w:right w:val="single" w:sz="4" w:space="0" w:color="auto"/>
            </w:tcBorders>
            <w:hideMark/>
          </w:tcPr>
          <w:p w14:paraId="7F7FD73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82</w:t>
            </w:r>
          </w:p>
        </w:tc>
        <w:tc>
          <w:tcPr>
            <w:tcW w:w="1051" w:type="dxa"/>
            <w:tcBorders>
              <w:top w:val="single" w:sz="4" w:space="0" w:color="auto"/>
              <w:left w:val="single" w:sz="4" w:space="0" w:color="auto"/>
              <w:bottom w:val="single" w:sz="4" w:space="0" w:color="auto"/>
              <w:right w:val="single" w:sz="4" w:space="0" w:color="auto"/>
            </w:tcBorders>
            <w:hideMark/>
          </w:tcPr>
          <w:p w14:paraId="667009F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75</w:t>
            </w:r>
          </w:p>
        </w:tc>
        <w:tc>
          <w:tcPr>
            <w:tcW w:w="992" w:type="dxa"/>
            <w:tcBorders>
              <w:top w:val="single" w:sz="4" w:space="0" w:color="auto"/>
              <w:left w:val="single" w:sz="4" w:space="0" w:color="auto"/>
              <w:bottom w:val="single" w:sz="4" w:space="0" w:color="auto"/>
              <w:right w:val="single" w:sz="4" w:space="0" w:color="auto"/>
            </w:tcBorders>
            <w:hideMark/>
          </w:tcPr>
          <w:p w14:paraId="733BDA9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A3DCF1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103E5F2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0AD0F3A2"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3D634BE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1036" w:type="dxa"/>
            <w:tcBorders>
              <w:top w:val="single" w:sz="4" w:space="0" w:color="auto"/>
              <w:left w:val="single" w:sz="4" w:space="0" w:color="auto"/>
              <w:bottom w:val="single" w:sz="4" w:space="0" w:color="auto"/>
              <w:right w:val="single" w:sz="4" w:space="0" w:color="auto"/>
            </w:tcBorders>
            <w:hideMark/>
          </w:tcPr>
          <w:p w14:paraId="2564B0C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22DF329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288</w:t>
            </w:r>
          </w:p>
        </w:tc>
        <w:tc>
          <w:tcPr>
            <w:tcW w:w="949" w:type="dxa"/>
            <w:tcBorders>
              <w:top w:val="single" w:sz="4" w:space="0" w:color="auto"/>
              <w:left w:val="single" w:sz="4" w:space="0" w:color="auto"/>
              <w:bottom w:val="single" w:sz="4" w:space="0" w:color="auto"/>
              <w:right w:val="single" w:sz="4" w:space="0" w:color="auto"/>
            </w:tcBorders>
            <w:hideMark/>
          </w:tcPr>
          <w:p w14:paraId="67A4925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2F8ED20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06</w:t>
            </w:r>
          </w:p>
        </w:tc>
        <w:tc>
          <w:tcPr>
            <w:tcW w:w="1051" w:type="dxa"/>
            <w:tcBorders>
              <w:top w:val="single" w:sz="4" w:space="0" w:color="auto"/>
              <w:left w:val="single" w:sz="4" w:space="0" w:color="auto"/>
              <w:bottom w:val="single" w:sz="4" w:space="0" w:color="auto"/>
              <w:right w:val="single" w:sz="4" w:space="0" w:color="auto"/>
            </w:tcBorders>
            <w:hideMark/>
          </w:tcPr>
          <w:p w14:paraId="151BEF6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248</w:t>
            </w:r>
          </w:p>
        </w:tc>
        <w:tc>
          <w:tcPr>
            <w:tcW w:w="1051" w:type="dxa"/>
            <w:tcBorders>
              <w:top w:val="single" w:sz="4" w:space="0" w:color="auto"/>
              <w:left w:val="single" w:sz="4" w:space="0" w:color="auto"/>
              <w:bottom w:val="single" w:sz="4" w:space="0" w:color="auto"/>
              <w:right w:val="single" w:sz="4" w:space="0" w:color="auto"/>
            </w:tcBorders>
            <w:hideMark/>
          </w:tcPr>
          <w:p w14:paraId="6BBCC16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75</w:t>
            </w:r>
          </w:p>
        </w:tc>
        <w:tc>
          <w:tcPr>
            <w:tcW w:w="992" w:type="dxa"/>
            <w:tcBorders>
              <w:top w:val="single" w:sz="4" w:space="0" w:color="auto"/>
              <w:left w:val="single" w:sz="4" w:space="0" w:color="auto"/>
              <w:bottom w:val="single" w:sz="4" w:space="0" w:color="auto"/>
              <w:right w:val="single" w:sz="4" w:space="0" w:color="auto"/>
            </w:tcBorders>
            <w:hideMark/>
          </w:tcPr>
          <w:p w14:paraId="4354449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12D91DD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E5B978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5F303934"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0D1F3C4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1036" w:type="dxa"/>
            <w:tcBorders>
              <w:top w:val="single" w:sz="4" w:space="0" w:color="auto"/>
              <w:left w:val="single" w:sz="4" w:space="0" w:color="auto"/>
              <w:bottom w:val="single" w:sz="4" w:space="0" w:color="auto"/>
              <w:right w:val="single" w:sz="4" w:space="0" w:color="auto"/>
            </w:tcBorders>
            <w:hideMark/>
          </w:tcPr>
          <w:p w14:paraId="02596DD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36</w:t>
            </w:r>
          </w:p>
        </w:tc>
        <w:tc>
          <w:tcPr>
            <w:tcW w:w="1051" w:type="dxa"/>
            <w:tcBorders>
              <w:top w:val="single" w:sz="4" w:space="0" w:color="auto"/>
              <w:left w:val="single" w:sz="4" w:space="0" w:color="auto"/>
              <w:bottom w:val="single" w:sz="4" w:space="0" w:color="auto"/>
              <w:right w:val="single" w:sz="4" w:space="0" w:color="auto"/>
            </w:tcBorders>
            <w:hideMark/>
          </w:tcPr>
          <w:p w14:paraId="3BD8252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524</w:t>
            </w:r>
          </w:p>
        </w:tc>
        <w:tc>
          <w:tcPr>
            <w:tcW w:w="949" w:type="dxa"/>
            <w:tcBorders>
              <w:top w:val="single" w:sz="4" w:space="0" w:color="auto"/>
              <w:left w:val="single" w:sz="4" w:space="0" w:color="auto"/>
              <w:bottom w:val="single" w:sz="4" w:space="0" w:color="auto"/>
              <w:right w:val="single" w:sz="4" w:space="0" w:color="auto"/>
            </w:tcBorders>
            <w:hideMark/>
          </w:tcPr>
          <w:p w14:paraId="6E1624A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6289298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05</w:t>
            </w:r>
          </w:p>
        </w:tc>
        <w:tc>
          <w:tcPr>
            <w:tcW w:w="1051" w:type="dxa"/>
            <w:tcBorders>
              <w:top w:val="single" w:sz="4" w:space="0" w:color="auto"/>
              <w:left w:val="single" w:sz="4" w:space="0" w:color="auto"/>
              <w:bottom w:val="single" w:sz="4" w:space="0" w:color="auto"/>
              <w:right w:val="single" w:sz="4" w:space="0" w:color="auto"/>
            </w:tcBorders>
            <w:hideMark/>
          </w:tcPr>
          <w:p w14:paraId="430C156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358</w:t>
            </w:r>
          </w:p>
        </w:tc>
        <w:tc>
          <w:tcPr>
            <w:tcW w:w="1051" w:type="dxa"/>
            <w:tcBorders>
              <w:top w:val="single" w:sz="4" w:space="0" w:color="auto"/>
              <w:left w:val="single" w:sz="4" w:space="0" w:color="auto"/>
              <w:bottom w:val="single" w:sz="4" w:space="0" w:color="auto"/>
              <w:right w:val="single" w:sz="4" w:space="0" w:color="auto"/>
            </w:tcBorders>
            <w:hideMark/>
          </w:tcPr>
          <w:p w14:paraId="419E3B6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75</w:t>
            </w:r>
          </w:p>
        </w:tc>
        <w:tc>
          <w:tcPr>
            <w:tcW w:w="992" w:type="dxa"/>
            <w:tcBorders>
              <w:top w:val="single" w:sz="4" w:space="0" w:color="auto"/>
              <w:left w:val="single" w:sz="4" w:space="0" w:color="auto"/>
              <w:bottom w:val="single" w:sz="4" w:space="0" w:color="auto"/>
              <w:right w:val="single" w:sz="4" w:space="0" w:color="auto"/>
            </w:tcBorders>
            <w:hideMark/>
          </w:tcPr>
          <w:p w14:paraId="6E59CB9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5E42C4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1D83AA7D"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bl>
    <w:p w14:paraId="580F57C8"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6035</w:t>
      </w:r>
      <w:r>
        <w:rPr>
          <w:rFonts w:ascii="Sylfaen" w:hAnsi="Sylfaen" w:cs="Arial"/>
          <w:b/>
          <w:bCs/>
          <w:sz w:val="20"/>
          <w:szCs w:val="20"/>
          <w:lang w:val="ka-GE"/>
        </w:rPr>
        <w:t xml:space="preserve">   ჯამური ზემოქმედების ჯგუფი (</w:t>
      </w:r>
      <w:r>
        <w:rPr>
          <w:rFonts w:ascii="Sylfaen" w:hAnsi="Sylfaen"/>
          <w:b/>
          <w:bCs/>
          <w:sz w:val="20"/>
          <w:szCs w:val="20"/>
          <w:lang w:val="ka-GE"/>
        </w:rPr>
        <w:t>2</w:t>
      </w:r>
      <w:r>
        <w:rPr>
          <w:rFonts w:ascii="Sylfaen" w:hAnsi="Sylfaen" w:cs="Arial"/>
          <w:b/>
          <w:bCs/>
          <w:sz w:val="20"/>
          <w:szCs w:val="20"/>
          <w:lang w:val="ka-GE"/>
        </w:rPr>
        <w:t xml:space="preserve">) </w:t>
      </w:r>
      <w:r>
        <w:rPr>
          <w:rFonts w:ascii="Sylfaen" w:hAnsi="Sylfaen"/>
          <w:b/>
          <w:bCs/>
          <w:sz w:val="20"/>
          <w:szCs w:val="20"/>
          <w:lang w:val="ka-GE"/>
        </w:rPr>
        <w:t>333</w:t>
      </w:r>
      <w:r>
        <w:rPr>
          <w:rFonts w:ascii="Sylfaen" w:hAnsi="Sylfaen" w:cs="Arial"/>
          <w:b/>
          <w:bCs/>
          <w:sz w:val="20"/>
          <w:szCs w:val="20"/>
          <w:lang w:val="ka-GE"/>
        </w:rPr>
        <w:t xml:space="preserve"> </w:t>
      </w:r>
      <w:r>
        <w:rPr>
          <w:rFonts w:ascii="Sylfaen" w:hAnsi="Sylfaen"/>
          <w:b/>
          <w:bCs/>
          <w:sz w:val="20"/>
          <w:szCs w:val="20"/>
          <w:lang w:val="ka-GE"/>
        </w:rPr>
        <w:t>1325</w:t>
      </w:r>
    </w:p>
    <w:tbl>
      <w:tblPr>
        <w:tblW w:w="0" w:type="auto"/>
        <w:jc w:val="center"/>
        <w:tblLayout w:type="fixed"/>
        <w:tblCellMar>
          <w:left w:w="0" w:type="dxa"/>
          <w:right w:w="0" w:type="dxa"/>
        </w:tblCellMar>
        <w:tblLook w:val="04A0" w:firstRow="1" w:lastRow="0" w:firstColumn="1" w:lastColumn="0" w:noHBand="0" w:noVBand="1"/>
      </w:tblPr>
      <w:tblGrid>
        <w:gridCol w:w="817"/>
        <w:gridCol w:w="1036"/>
        <w:gridCol w:w="1051"/>
        <w:gridCol w:w="949"/>
        <w:gridCol w:w="1109"/>
        <w:gridCol w:w="1051"/>
        <w:gridCol w:w="1051"/>
        <w:gridCol w:w="992"/>
        <w:gridCol w:w="934"/>
        <w:gridCol w:w="934"/>
      </w:tblGrid>
      <w:tr w:rsidR="00A2588D" w14:paraId="36E6CE37"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5FA76FF7"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1036" w:type="dxa"/>
            <w:tcBorders>
              <w:top w:val="single" w:sz="4" w:space="0" w:color="auto"/>
              <w:left w:val="single" w:sz="4" w:space="0" w:color="auto"/>
              <w:bottom w:val="single" w:sz="4" w:space="0" w:color="auto"/>
              <w:right w:val="single" w:sz="4" w:space="0" w:color="auto"/>
            </w:tcBorders>
            <w:hideMark/>
          </w:tcPr>
          <w:p w14:paraId="357F4E8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263</w:t>
            </w:r>
          </w:p>
        </w:tc>
        <w:tc>
          <w:tcPr>
            <w:tcW w:w="1051" w:type="dxa"/>
            <w:tcBorders>
              <w:top w:val="single" w:sz="4" w:space="0" w:color="auto"/>
              <w:left w:val="single" w:sz="4" w:space="0" w:color="auto"/>
              <w:bottom w:val="single" w:sz="4" w:space="0" w:color="auto"/>
              <w:right w:val="single" w:sz="4" w:space="0" w:color="auto"/>
            </w:tcBorders>
            <w:hideMark/>
          </w:tcPr>
          <w:p w14:paraId="6FF4EEF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176</w:t>
            </w:r>
          </w:p>
        </w:tc>
        <w:tc>
          <w:tcPr>
            <w:tcW w:w="949" w:type="dxa"/>
            <w:tcBorders>
              <w:top w:val="single" w:sz="4" w:space="0" w:color="auto"/>
              <w:left w:val="single" w:sz="4" w:space="0" w:color="auto"/>
              <w:bottom w:val="single" w:sz="4" w:space="0" w:color="auto"/>
              <w:right w:val="single" w:sz="4" w:space="0" w:color="auto"/>
            </w:tcBorders>
            <w:hideMark/>
          </w:tcPr>
          <w:p w14:paraId="2280EDC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472E8FA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,4</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6049175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103</w:t>
            </w:r>
          </w:p>
        </w:tc>
        <w:tc>
          <w:tcPr>
            <w:tcW w:w="1051" w:type="dxa"/>
            <w:tcBorders>
              <w:top w:val="single" w:sz="4" w:space="0" w:color="auto"/>
              <w:left w:val="single" w:sz="4" w:space="0" w:color="auto"/>
              <w:bottom w:val="single" w:sz="4" w:space="0" w:color="auto"/>
              <w:right w:val="single" w:sz="4" w:space="0" w:color="auto"/>
            </w:tcBorders>
            <w:hideMark/>
          </w:tcPr>
          <w:p w14:paraId="6F1218A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r>
              <w:rPr>
                <w:rFonts w:ascii="Sylfaen" w:hAnsi="Sylfaen" w:cs="Arial"/>
                <w:sz w:val="20"/>
                <w:szCs w:val="20"/>
                <w:lang w:val="ka-GE"/>
              </w:rPr>
              <w:t>,</w:t>
            </w:r>
            <w:r>
              <w:rPr>
                <w:rFonts w:ascii="Sylfaen" w:hAnsi="Sylfaen"/>
                <w:sz w:val="20"/>
                <w:szCs w:val="20"/>
                <w:lang w:val="ka-GE"/>
              </w:rPr>
              <w:t>52</w:t>
            </w:r>
          </w:p>
        </w:tc>
        <w:tc>
          <w:tcPr>
            <w:tcW w:w="992" w:type="dxa"/>
            <w:tcBorders>
              <w:top w:val="single" w:sz="4" w:space="0" w:color="auto"/>
              <w:left w:val="single" w:sz="4" w:space="0" w:color="auto"/>
              <w:bottom w:val="single" w:sz="4" w:space="0" w:color="auto"/>
              <w:right w:val="single" w:sz="4" w:space="0" w:color="auto"/>
            </w:tcBorders>
            <w:hideMark/>
          </w:tcPr>
          <w:p w14:paraId="2447F47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77B402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E58920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79F264A6"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F81EC3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1036" w:type="dxa"/>
            <w:tcBorders>
              <w:top w:val="single" w:sz="4" w:space="0" w:color="auto"/>
              <w:left w:val="single" w:sz="4" w:space="0" w:color="auto"/>
              <w:bottom w:val="single" w:sz="4" w:space="0" w:color="auto"/>
              <w:right w:val="single" w:sz="4" w:space="0" w:color="auto"/>
            </w:tcBorders>
            <w:hideMark/>
          </w:tcPr>
          <w:p w14:paraId="465105A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364</w:t>
            </w:r>
          </w:p>
        </w:tc>
        <w:tc>
          <w:tcPr>
            <w:tcW w:w="1051" w:type="dxa"/>
            <w:tcBorders>
              <w:top w:val="single" w:sz="4" w:space="0" w:color="auto"/>
              <w:left w:val="single" w:sz="4" w:space="0" w:color="auto"/>
              <w:bottom w:val="single" w:sz="4" w:space="0" w:color="auto"/>
              <w:right w:val="single" w:sz="4" w:space="0" w:color="auto"/>
            </w:tcBorders>
            <w:hideMark/>
          </w:tcPr>
          <w:p w14:paraId="2D53A10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210</w:t>
            </w:r>
          </w:p>
        </w:tc>
        <w:tc>
          <w:tcPr>
            <w:tcW w:w="949" w:type="dxa"/>
            <w:tcBorders>
              <w:top w:val="single" w:sz="4" w:space="0" w:color="auto"/>
              <w:left w:val="single" w:sz="4" w:space="0" w:color="auto"/>
              <w:bottom w:val="single" w:sz="4" w:space="0" w:color="auto"/>
              <w:right w:val="single" w:sz="4" w:space="0" w:color="auto"/>
            </w:tcBorders>
            <w:hideMark/>
          </w:tcPr>
          <w:p w14:paraId="7C565C7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18254A6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,5</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69A3DB8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50</w:t>
            </w:r>
          </w:p>
        </w:tc>
        <w:tc>
          <w:tcPr>
            <w:tcW w:w="1051" w:type="dxa"/>
            <w:tcBorders>
              <w:top w:val="single" w:sz="4" w:space="0" w:color="auto"/>
              <w:left w:val="single" w:sz="4" w:space="0" w:color="auto"/>
              <w:bottom w:val="single" w:sz="4" w:space="0" w:color="auto"/>
              <w:right w:val="single" w:sz="4" w:space="0" w:color="auto"/>
            </w:tcBorders>
            <w:hideMark/>
          </w:tcPr>
          <w:p w14:paraId="4E29DE4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3740220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32664C2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19840CF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69D3E4E0"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630C3D5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c>
          <w:tcPr>
            <w:tcW w:w="1036" w:type="dxa"/>
            <w:tcBorders>
              <w:top w:val="single" w:sz="4" w:space="0" w:color="auto"/>
              <w:left w:val="single" w:sz="4" w:space="0" w:color="auto"/>
              <w:bottom w:val="single" w:sz="4" w:space="0" w:color="auto"/>
              <w:right w:val="single" w:sz="4" w:space="0" w:color="auto"/>
            </w:tcBorders>
            <w:hideMark/>
          </w:tcPr>
          <w:p w14:paraId="679A61B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28A36FE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949" w:type="dxa"/>
            <w:tcBorders>
              <w:top w:val="single" w:sz="4" w:space="0" w:color="auto"/>
              <w:left w:val="single" w:sz="4" w:space="0" w:color="auto"/>
              <w:bottom w:val="single" w:sz="4" w:space="0" w:color="auto"/>
              <w:right w:val="single" w:sz="4" w:space="0" w:color="auto"/>
            </w:tcBorders>
            <w:hideMark/>
          </w:tcPr>
          <w:p w14:paraId="210933F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791B109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,1</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1E57B7B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80</w:t>
            </w:r>
          </w:p>
        </w:tc>
        <w:tc>
          <w:tcPr>
            <w:tcW w:w="1051" w:type="dxa"/>
            <w:tcBorders>
              <w:top w:val="single" w:sz="4" w:space="0" w:color="auto"/>
              <w:left w:val="single" w:sz="4" w:space="0" w:color="auto"/>
              <w:bottom w:val="single" w:sz="4" w:space="0" w:color="auto"/>
              <w:right w:val="single" w:sz="4" w:space="0" w:color="auto"/>
            </w:tcBorders>
            <w:hideMark/>
          </w:tcPr>
          <w:p w14:paraId="262E9E2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6575EF0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85F7D2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2509E4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4F852491"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0100473D"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1036" w:type="dxa"/>
            <w:tcBorders>
              <w:top w:val="single" w:sz="4" w:space="0" w:color="auto"/>
              <w:left w:val="single" w:sz="4" w:space="0" w:color="auto"/>
              <w:bottom w:val="single" w:sz="4" w:space="0" w:color="auto"/>
              <w:right w:val="single" w:sz="4" w:space="0" w:color="auto"/>
            </w:tcBorders>
            <w:hideMark/>
          </w:tcPr>
          <w:p w14:paraId="02B99BD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259B84A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288</w:t>
            </w:r>
          </w:p>
        </w:tc>
        <w:tc>
          <w:tcPr>
            <w:tcW w:w="949" w:type="dxa"/>
            <w:tcBorders>
              <w:top w:val="single" w:sz="4" w:space="0" w:color="auto"/>
              <w:left w:val="single" w:sz="4" w:space="0" w:color="auto"/>
              <w:bottom w:val="single" w:sz="4" w:space="0" w:color="auto"/>
              <w:right w:val="single" w:sz="4" w:space="0" w:color="auto"/>
            </w:tcBorders>
            <w:hideMark/>
          </w:tcPr>
          <w:p w14:paraId="5A3CFD4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70CE637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,1</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38CB221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251</w:t>
            </w:r>
          </w:p>
        </w:tc>
        <w:tc>
          <w:tcPr>
            <w:tcW w:w="1051" w:type="dxa"/>
            <w:tcBorders>
              <w:top w:val="single" w:sz="4" w:space="0" w:color="auto"/>
              <w:left w:val="single" w:sz="4" w:space="0" w:color="auto"/>
              <w:bottom w:val="single" w:sz="4" w:space="0" w:color="auto"/>
              <w:right w:val="single" w:sz="4" w:space="0" w:color="auto"/>
            </w:tcBorders>
            <w:hideMark/>
          </w:tcPr>
          <w:p w14:paraId="63E71C5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34368BC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B9DDD5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240157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3A68F98A"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1D8A571"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2</w:t>
            </w:r>
          </w:p>
        </w:tc>
        <w:tc>
          <w:tcPr>
            <w:tcW w:w="1036" w:type="dxa"/>
            <w:tcBorders>
              <w:top w:val="single" w:sz="4" w:space="0" w:color="auto"/>
              <w:left w:val="single" w:sz="4" w:space="0" w:color="auto"/>
              <w:bottom w:val="single" w:sz="4" w:space="0" w:color="auto"/>
              <w:right w:val="single" w:sz="4" w:space="0" w:color="auto"/>
            </w:tcBorders>
            <w:hideMark/>
          </w:tcPr>
          <w:p w14:paraId="2F4FC6E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578</w:t>
            </w:r>
          </w:p>
        </w:tc>
        <w:tc>
          <w:tcPr>
            <w:tcW w:w="1051" w:type="dxa"/>
            <w:tcBorders>
              <w:top w:val="single" w:sz="4" w:space="0" w:color="auto"/>
              <w:left w:val="single" w:sz="4" w:space="0" w:color="auto"/>
              <w:bottom w:val="single" w:sz="4" w:space="0" w:color="auto"/>
              <w:right w:val="single" w:sz="4" w:space="0" w:color="auto"/>
            </w:tcBorders>
            <w:hideMark/>
          </w:tcPr>
          <w:p w14:paraId="228F5B0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w:t>
            </w:r>
          </w:p>
        </w:tc>
        <w:tc>
          <w:tcPr>
            <w:tcW w:w="949" w:type="dxa"/>
            <w:tcBorders>
              <w:top w:val="single" w:sz="4" w:space="0" w:color="auto"/>
              <w:left w:val="single" w:sz="4" w:space="0" w:color="auto"/>
              <w:bottom w:val="single" w:sz="4" w:space="0" w:color="auto"/>
              <w:right w:val="single" w:sz="4" w:space="0" w:color="auto"/>
            </w:tcBorders>
            <w:hideMark/>
          </w:tcPr>
          <w:p w14:paraId="70A2CDD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30C0805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r>
              <w:rPr>
                <w:rFonts w:ascii="Sylfaen" w:hAnsi="Sylfaen" w:cs="Arial"/>
                <w:sz w:val="20"/>
                <w:szCs w:val="20"/>
                <w:lang w:val="ka-GE"/>
              </w:rPr>
              <w:t>,9</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6408303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284</w:t>
            </w:r>
          </w:p>
        </w:tc>
        <w:tc>
          <w:tcPr>
            <w:tcW w:w="1051" w:type="dxa"/>
            <w:tcBorders>
              <w:top w:val="single" w:sz="4" w:space="0" w:color="auto"/>
              <w:left w:val="single" w:sz="4" w:space="0" w:color="auto"/>
              <w:bottom w:val="single" w:sz="4" w:space="0" w:color="auto"/>
              <w:right w:val="single" w:sz="4" w:space="0" w:color="auto"/>
            </w:tcBorders>
            <w:hideMark/>
          </w:tcPr>
          <w:p w14:paraId="292DB68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59C0DE2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717F22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CB0EC60"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3900D616"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6839F4B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1036" w:type="dxa"/>
            <w:tcBorders>
              <w:top w:val="single" w:sz="4" w:space="0" w:color="auto"/>
              <w:left w:val="single" w:sz="4" w:space="0" w:color="auto"/>
              <w:bottom w:val="single" w:sz="4" w:space="0" w:color="auto"/>
              <w:right w:val="single" w:sz="4" w:space="0" w:color="auto"/>
            </w:tcBorders>
            <w:hideMark/>
          </w:tcPr>
          <w:p w14:paraId="126E7C5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36</w:t>
            </w:r>
          </w:p>
        </w:tc>
        <w:tc>
          <w:tcPr>
            <w:tcW w:w="1051" w:type="dxa"/>
            <w:tcBorders>
              <w:top w:val="single" w:sz="4" w:space="0" w:color="auto"/>
              <w:left w:val="single" w:sz="4" w:space="0" w:color="auto"/>
              <w:bottom w:val="single" w:sz="4" w:space="0" w:color="auto"/>
              <w:right w:val="single" w:sz="4" w:space="0" w:color="auto"/>
            </w:tcBorders>
            <w:hideMark/>
          </w:tcPr>
          <w:p w14:paraId="33A5816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524</w:t>
            </w:r>
          </w:p>
        </w:tc>
        <w:tc>
          <w:tcPr>
            <w:tcW w:w="949" w:type="dxa"/>
            <w:tcBorders>
              <w:top w:val="single" w:sz="4" w:space="0" w:color="auto"/>
              <w:left w:val="single" w:sz="4" w:space="0" w:color="auto"/>
              <w:bottom w:val="single" w:sz="4" w:space="0" w:color="auto"/>
              <w:right w:val="single" w:sz="4" w:space="0" w:color="auto"/>
            </w:tcBorders>
            <w:hideMark/>
          </w:tcPr>
          <w:p w14:paraId="6F623E2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26F77A6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r>
              <w:rPr>
                <w:rFonts w:ascii="Sylfaen" w:hAnsi="Sylfaen" w:cs="Arial"/>
                <w:sz w:val="20"/>
                <w:szCs w:val="20"/>
                <w:lang w:val="ka-GE"/>
              </w:rPr>
              <w:t>,7</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7F1F43E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357</w:t>
            </w:r>
          </w:p>
        </w:tc>
        <w:tc>
          <w:tcPr>
            <w:tcW w:w="1051" w:type="dxa"/>
            <w:tcBorders>
              <w:top w:val="single" w:sz="4" w:space="0" w:color="auto"/>
              <w:left w:val="single" w:sz="4" w:space="0" w:color="auto"/>
              <w:bottom w:val="single" w:sz="4" w:space="0" w:color="auto"/>
              <w:right w:val="single" w:sz="4" w:space="0" w:color="auto"/>
            </w:tcBorders>
            <w:hideMark/>
          </w:tcPr>
          <w:p w14:paraId="6D7C5B7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56CCE12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CE7878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9478D3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bl>
    <w:p w14:paraId="7021EDCB" w14:textId="77777777" w:rsidR="00A2588D" w:rsidRDefault="00A2588D" w:rsidP="00A2588D">
      <w:pPr>
        <w:widowControl w:val="0"/>
        <w:autoSpaceDE w:val="0"/>
        <w:autoSpaceDN w:val="0"/>
        <w:adjustRightInd w:val="0"/>
        <w:jc w:val="center"/>
        <w:rPr>
          <w:rFonts w:ascii="Sylfaen" w:hAnsi="Sylfaen" w:cs="Arial"/>
          <w:b/>
          <w:bCs/>
          <w:sz w:val="20"/>
          <w:szCs w:val="20"/>
          <w:lang w:val="ka-GE"/>
        </w:rPr>
      </w:pPr>
    </w:p>
    <w:p w14:paraId="60AC82D9"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6043</w:t>
      </w:r>
      <w:r>
        <w:rPr>
          <w:rFonts w:ascii="Sylfaen" w:hAnsi="Sylfaen" w:cs="Arial"/>
          <w:b/>
          <w:bCs/>
          <w:sz w:val="20"/>
          <w:szCs w:val="20"/>
          <w:lang w:val="ka-GE"/>
        </w:rPr>
        <w:t xml:space="preserve">   ჯამური ზემოქმედების ჯგუფი (</w:t>
      </w:r>
      <w:r>
        <w:rPr>
          <w:rFonts w:ascii="Sylfaen" w:hAnsi="Sylfaen"/>
          <w:b/>
          <w:bCs/>
          <w:sz w:val="20"/>
          <w:szCs w:val="20"/>
          <w:lang w:val="ka-GE"/>
        </w:rPr>
        <w:t>2</w:t>
      </w:r>
      <w:r>
        <w:rPr>
          <w:rFonts w:ascii="Sylfaen" w:hAnsi="Sylfaen" w:cs="Arial"/>
          <w:b/>
          <w:bCs/>
          <w:sz w:val="20"/>
          <w:szCs w:val="20"/>
          <w:lang w:val="ka-GE"/>
        </w:rPr>
        <w:t xml:space="preserve">) </w:t>
      </w:r>
      <w:r>
        <w:rPr>
          <w:rFonts w:ascii="Sylfaen" w:hAnsi="Sylfaen"/>
          <w:b/>
          <w:bCs/>
          <w:sz w:val="20"/>
          <w:szCs w:val="20"/>
          <w:lang w:val="ka-GE"/>
        </w:rPr>
        <w:t>330</w:t>
      </w:r>
      <w:r>
        <w:rPr>
          <w:rFonts w:ascii="Sylfaen" w:hAnsi="Sylfaen" w:cs="Arial"/>
          <w:b/>
          <w:bCs/>
          <w:sz w:val="20"/>
          <w:szCs w:val="20"/>
          <w:lang w:val="ka-GE"/>
        </w:rPr>
        <w:t xml:space="preserve"> </w:t>
      </w:r>
      <w:r>
        <w:rPr>
          <w:rFonts w:ascii="Sylfaen" w:hAnsi="Sylfaen"/>
          <w:b/>
          <w:bCs/>
          <w:sz w:val="20"/>
          <w:szCs w:val="20"/>
          <w:lang w:val="ka-GE"/>
        </w:rPr>
        <w:t>333</w:t>
      </w:r>
    </w:p>
    <w:tbl>
      <w:tblPr>
        <w:tblW w:w="0" w:type="auto"/>
        <w:jc w:val="center"/>
        <w:tblLayout w:type="fixed"/>
        <w:tblCellMar>
          <w:left w:w="0" w:type="dxa"/>
          <w:right w:w="0" w:type="dxa"/>
        </w:tblCellMar>
        <w:tblLook w:val="04A0" w:firstRow="1" w:lastRow="0" w:firstColumn="1" w:lastColumn="0" w:noHBand="0" w:noVBand="1"/>
      </w:tblPr>
      <w:tblGrid>
        <w:gridCol w:w="817"/>
        <w:gridCol w:w="1036"/>
        <w:gridCol w:w="1051"/>
        <w:gridCol w:w="949"/>
        <w:gridCol w:w="1109"/>
        <w:gridCol w:w="1051"/>
        <w:gridCol w:w="1051"/>
        <w:gridCol w:w="992"/>
        <w:gridCol w:w="934"/>
        <w:gridCol w:w="934"/>
      </w:tblGrid>
      <w:tr w:rsidR="00A2588D" w14:paraId="0AF60485"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5524B3A5"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1036" w:type="dxa"/>
            <w:tcBorders>
              <w:top w:val="single" w:sz="4" w:space="0" w:color="auto"/>
              <w:left w:val="single" w:sz="4" w:space="0" w:color="auto"/>
              <w:bottom w:val="single" w:sz="4" w:space="0" w:color="auto"/>
              <w:right w:val="single" w:sz="4" w:space="0" w:color="auto"/>
            </w:tcBorders>
            <w:hideMark/>
          </w:tcPr>
          <w:p w14:paraId="7C0CA19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263</w:t>
            </w:r>
          </w:p>
        </w:tc>
        <w:tc>
          <w:tcPr>
            <w:tcW w:w="1051" w:type="dxa"/>
            <w:tcBorders>
              <w:top w:val="single" w:sz="4" w:space="0" w:color="auto"/>
              <w:left w:val="single" w:sz="4" w:space="0" w:color="auto"/>
              <w:bottom w:val="single" w:sz="4" w:space="0" w:color="auto"/>
              <w:right w:val="single" w:sz="4" w:space="0" w:color="auto"/>
            </w:tcBorders>
            <w:hideMark/>
          </w:tcPr>
          <w:p w14:paraId="0BA0509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176</w:t>
            </w:r>
          </w:p>
        </w:tc>
        <w:tc>
          <w:tcPr>
            <w:tcW w:w="949" w:type="dxa"/>
            <w:tcBorders>
              <w:top w:val="single" w:sz="4" w:space="0" w:color="auto"/>
              <w:left w:val="single" w:sz="4" w:space="0" w:color="auto"/>
              <w:bottom w:val="single" w:sz="4" w:space="0" w:color="auto"/>
              <w:right w:val="single" w:sz="4" w:space="0" w:color="auto"/>
            </w:tcBorders>
            <w:hideMark/>
          </w:tcPr>
          <w:p w14:paraId="203F600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3A53E3D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02</w:t>
            </w:r>
          </w:p>
        </w:tc>
        <w:tc>
          <w:tcPr>
            <w:tcW w:w="1051" w:type="dxa"/>
            <w:tcBorders>
              <w:top w:val="single" w:sz="4" w:space="0" w:color="auto"/>
              <w:left w:val="single" w:sz="4" w:space="0" w:color="auto"/>
              <w:bottom w:val="single" w:sz="4" w:space="0" w:color="auto"/>
              <w:right w:val="single" w:sz="4" w:space="0" w:color="auto"/>
            </w:tcBorders>
            <w:hideMark/>
          </w:tcPr>
          <w:p w14:paraId="3F581C7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104</w:t>
            </w:r>
          </w:p>
        </w:tc>
        <w:tc>
          <w:tcPr>
            <w:tcW w:w="1051" w:type="dxa"/>
            <w:tcBorders>
              <w:top w:val="single" w:sz="4" w:space="0" w:color="auto"/>
              <w:left w:val="single" w:sz="4" w:space="0" w:color="auto"/>
              <w:bottom w:val="single" w:sz="4" w:space="0" w:color="auto"/>
              <w:right w:val="single" w:sz="4" w:space="0" w:color="auto"/>
            </w:tcBorders>
            <w:hideMark/>
          </w:tcPr>
          <w:p w14:paraId="324838D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r>
              <w:rPr>
                <w:rFonts w:ascii="Sylfaen" w:hAnsi="Sylfaen" w:cs="Arial"/>
                <w:sz w:val="20"/>
                <w:szCs w:val="20"/>
                <w:lang w:val="ka-GE"/>
              </w:rPr>
              <w:t>,</w:t>
            </w:r>
            <w:r>
              <w:rPr>
                <w:rFonts w:ascii="Sylfaen" w:hAnsi="Sylfaen"/>
                <w:sz w:val="20"/>
                <w:szCs w:val="20"/>
                <w:lang w:val="ka-GE"/>
              </w:rPr>
              <w:t>49</w:t>
            </w:r>
          </w:p>
        </w:tc>
        <w:tc>
          <w:tcPr>
            <w:tcW w:w="992" w:type="dxa"/>
            <w:tcBorders>
              <w:top w:val="single" w:sz="4" w:space="0" w:color="auto"/>
              <w:left w:val="single" w:sz="4" w:space="0" w:color="auto"/>
              <w:bottom w:val="single" w:sz="4" w:space="0" w:color="auto"/>
              <w:right w:val="single" w:sz="4" w:space="0" w:color="auto"/>
            </w:tcBorders>
            <w:hideMark/>
          </w:tcPr>
          <w:p w14:paraId="17B9CB3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DB552B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0334BF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0F13739D"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1B18283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1036" w:type="dxa"/>
            <w:tcBorders>
              <w:top w:val="single" w:sz="4" w:space="0" w:color="auto"/>
              <w:left w:val="single" w:sz="4" w:space="0" w:color="auto"/>
              <w:bottom w:val="single" w:sz="4" w:space="0" w:color="auto"/>
              <w:right w:val="single" w:sz="4" w:space="0" w:color="auto"/>
            </w:tcBorders>
            <w:hideMark/>
          </w:tcPr>
          <w:p w14:paraId="08CBFE9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364</w:t>
            </w:r>
          </w:p>
        </w:tc>
        <w:tc>
          <w:tcPr>
            <w:tcW w:w="1051" w:type="dxa"/>
            <w:tcBorders>
              <w:top w:val="single" w:sz="4" w:space="0" w:color="auto"/>
              <w:left w:val="single" w:sz="4" w:space="0" w:color="auto"/>
              <w:bottom w:val="single" w:sz="4" w:space="0" w:color="auto"/>
              <w:right w:val="single" w:sz="4" w:space="0" w:color="auto"/>
            </w:tcBorders>
            <w:hideMark/>
          </w:tcPr>
          <w:p w14:paraId="14F3495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210</w:t>
            </w:r>
          </w:p>
        </w:tc>
        <w:tc>
          <w:tcPr>
            <w:tcW w:w="949" w:type="dxa"/>
            <w:tcBorders>
              <w:top w:val="single" w:sz="4" w:space="0" w:color="auto"/>
              <w:left w:val="single" w:sz="4" w:space="0" w:color="auto"/>
              <w:bottom w:val="single" w:sz="4" w:space="0" w:color="auto"/>
              <w:right w:val="single" w:sz="4" w:space="0" w:color="auto"/>
            </w:tcBorders>
            <w:hideMark/>
          </w:tcPr>
          <w:p w14:paraId="5452527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7531BB3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8</w:t>
            </w:r>
            <w:r>
              <w:rPr>
                <w:rFonts w:ascii="Sylfaen" w:hAnsi="Sylfaen" w:cs="Arial"/>
                <w:sz w:val="20"/>
                <w:szCs w:val="20"/>
                <w:lang w:val="ka-GE"/>
              </w:rPr>
              <w:t>,2</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0FE780E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51</w:t>
            </w:r>
          </w:p>
        </w:tc>
        <w:tc>
          <w:tcPr>
            <w:tcW w:w="1051" w:type="dxa"/>
            <w:tcBorders>
              <w:top w:val="single" w:sz="4" w:space="0" w:color="auto"/>
              <w:left w:val="single" w:sz="4" w:space="0" w:color="auto"/>
              <w:bottom w:val="single" w:sz="4" w:space="0" w:color="auto"/>
              <w:right w:val="single" w:sz="4" w:space="0" w:color="auto"/>
            </w:tcBorders>
            <w:hideMark/>
          </w:tcPr>
          <w:p w14:paraId="3F49BF1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r>
              <w:rPr>
                <w:rFonts w:ascii="Sylfaen" w:hAnsi="Sylfaen" w:cs="Arial"/>
                <w:sz w:val="20"/>
                <w:szCs w:val="20"/>
                <w:lang w:val="ka-GE"/>
              </w:rPr>
              <w:t>,</w:t>
            </w:r>
            <w:r>
              <w:rPr>
                <w:rFonts w:ascii="Sylfaen" w:hAnsi="Sylfaen"/>
                <w:sz w:val="20"/>
                <w:szCs w:val="20"/>
                <w:lang w:val="ka-GE"/>
              </w:rPr>
              <w:t>65</w:t>
            </w:r>
          </w:p>
        </w:tc>
        <w:tc>
          <w:tcPr>
            <w:tcW w:w="992" w:type="dxa"/>
            <w:tcBorders>
              <w:top w:val="single" w:sz="4" w:space="0" w:color="auto"/>
              <w:left w:val="single" w:sz="4" w:space="0" w:color="auto"/>
              <w:bottom w:val="single" w:sz="4" w:space="0" w:color="auto"/>
              <w:right w:val="single" w:sz="4" w:space="0" w:color="auto"/>
            </w:tcBorders>
            <w:hideMark/>
          </w:tcPr>
          <w:p w14:paraId="0B33C72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C6B935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600FDC0"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10EB4B24"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7846FEB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1036" w:type="dxa"/>
            <w:tcBorders>
              <w:top w:val="single" w:sz="4" w:space="0" w:color="auto"/>
              <w:left w:val="single" w:sz="4" w:space="0" w:color="auto"/>
              <w:bottom w:val="single" w:sz="4" w:space="0" w:color="auto"/>
              <w:right w:val="single" w:sz="4" w:space="0" w:color="auto"/>
            </w:tcBorders>
            <w:hideMark/>
          </w:tcPr>
          <w:p w14:paraId="56A7750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714225D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288</w:t>
            </w:r>
          </w:p>
        </w:tc>
        <w:tc>
          <w:tcPr>
            <w:tcW w:w="949" w:type="dxa"/>
            <w:tcBorders>
              <w:top w:val="single" w:sz="4" w:space="0" w:color="auto"/>
              <w:left w:val="single" w:sz="4" w:space="0" w:color="auto"/>
              <w:bottom w:val="single" w:sz="4" w:space="0" w:color="auto"/>
              <w:right w:val="single" w:sz="4" w:space="0" w:color="auto"/>
            </w:tcBorders>
            <w:hideMark/>
          </w:tcPr>
          <w:p w14:paraId="11B2E38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16CF88E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w:t>
            </w:r>
            <w:r>
              <w:rPr>
                <w:rFonts w:ascii="Sylfaen" w:hAnsi="Sylfaen" w:cs="Arial"/>
                <w:sz w:val="20"/>
                <w:szCs w:val="20"/>
                <w:lang w:val="ka-GE"/>
              </w:rPr>
              <w:t>,8</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32C333F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250</w:t>
            </w:r>
          </w:p>
        </w:tc>
        <w:tc>
          <w:tcPr>
            <w:tcW w:w="1051" w:type="dxa"/>
            <w:tcBorders>
              <w:top w:val="single" w:sz="4" w:space="0" w:color="auto"/>
              <w:left w:val="single" w:sz="4" w:space="0" w:color="auto"/>
              <w:bottom w:val="single" w:sz="4" w:space="0" w:color="auto"/>
              <w:right w:val="single" w:sz="4" w:space="0" w:color="auto"/>
            </w:tcBorders>
            <w:hideMark/>
          </w:tcPr>
          <w:p w14:paraId="05ACAFB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4CDCFEE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52BC97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BDBF8F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623B47C5"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2DAE6006"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c>
          <w:tcPr>
            <w:tcW w:w="1036" w:type="dxa"/>
            <w:tcBorders>
              <w:top w:val="single" w:sz="4" w:space="0" w:color="auto"/>
              <w:left w:val="single" w:sz="4" w:space="0" w:color="auto"/>
              <w:bottom w:val="single" w:sz="4" w:space="0" w:color="auto"/>
              <w:right w:val="single" w:sz="4" w:space="0" w:color="auto"/>
            </w:tcBorders>
            <w:hideMark/>
          </w:tcPr>
          <w:p w14:paraId="15A685A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3061DF0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949" w:type="dxa"/>
            <w:tcBorders>
              <w:top w:val="single" w:sz="4" w:space="0" w:color="auto"/>
              <w:left w:val="single" w:sz="4" w:space="0" w:color="auto"/>
              <w:bottom w:val="single" w:sz="4" w:space="0" w:color="auto"/>
              <w:right w:val="single" w:sz="4" w:space="0" w:color="auto"/>
            </w:tcBorders>
            <w:hideMark/>
          </w:tcPr>
          <w:p w14:paraId="35B5484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06A2FC5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w:t>
            </w:r>
            <w:r>
              <w:rPr>
                <w:rFonts w:ascii="Sylfaen" w:hAnsi="Sylfaen" w:cs="Arial"/>
                <w:sz w:val="20"/>
                <w:szCs w:val="20"/>
                <w:lang w:val="ka-GE"/>
              </w:rPr>
              <w:t>,7</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35B6D3E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80</w:t>
            </w:r>
          </w:p>
        </w:tc>
        <w:tc>
          <w:tcPr>
            <w:tcW w:w="1051" w:type="dxa"/>
            <w:tcBorders>
              <w:top w:val="single" w:sz="4" w:space="0" w:color="auto"/>
              <w:left w:val="single" w:sz="4" w:space="0" w:color="auto"/>
              <w:bottom w:val="single" w:sz="4" w:space="0" w:color="auto"/>
              <w:right w:val="single" w:sz="4" w:space="0" w:color="auto"/>
            </w:tcBorders>
            <w:hideMark/>
          </w:tcPr>
          <w:p w14:paraId="41EBC69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0D2D825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5EF13E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FDAA6BB"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71BB3C5E"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173D49BA"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2</w:t>
            </w:r>
          </w:p>
        </w:tc>
        <w:tc>
          <w:tcPr>
            <w:tcW w:w="1036" w:type="dxa"/>
            <w:tcBorders>
              <w:top w:val="single" w:sz="4" w:space="0" w:color="auto"/>
              <w:left w:val="single" w:sz="4" w:space="0" w:color="auto"/>
              <w:bottom w:val="single" w:sz="4" w:space="0" w:color="auto"/>
              <w:right w:val="single" w:sz="4" w:space="0" w:color="auto"/>
            </w:tcBorders>
            <w:hideMark/>
          </w:tcPr>
          <w:p w14:paraId="2542336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578</w:t>
            </w:r>
          </w:p>
        </w:tc>
        <w:tc>
          <w:tcPr>
            <w:tcW w:w="1051" w:type="dxa"/>
            <w:tcBorders>
              <w:top w:val="single" w:sz="4" w:space="0" w:color="auto"/>
              <w:left w:val="single" w:sz="4" w:space="0" w:color="auto"/>
              <w:bottom w:val="single" w:sz="4" w:space="0" w:color="auto"/>
              <w:right w:val="single" w:sz="4" w:space="0" w:color="auto"/>
            </w:tcBorders>
            <w:hideMark/>
          </w:tcPr>
          <w:p w14:paraId="77BA86D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w:t>
            </w:r>
          </w:p>
        </w:tc>
        <w:tc>
          <w:tcPr>
            <w:tcW w:w="949" w:type="dxa"/>
            <w:tcBorders>
              <w:top w:val="single" w:sz="4" w:space="0" w:color="auto"/>
              <w:left w:val="single" w:sz="4" w:space="0" w:color="auto"/>
              <w:bottom w:val="single" w:sz="4" w:space="0" w:color="auto"/>
              <w:right w:val="single" w:sz="4" w:space="0" w:color="auto"/>
            </w:tcBorders>
            <w:hideMark/>
          </w:tcPr>
          <w:p w14:paraId="49D3446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48F36DF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w:t>
            </w:r>
            <w:r>
              <w:rPr>
                <w:rFonts w:ascii="Sylfaen" w:hAnsi="Sylfaen" w:cs="Arial"/>
                <w:sz w:val="20"/>
                <w:szCs w:val="20"/>
                <w:lang w:val="ka-GE"/>
              </w:rPr>
              <w:t>,6</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3DCF95E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283</w:t>
            </w:r>
          </w:p>
        </w:tc>
        <w:tc>
          <w:tcPr>
            <w:tcW w:w="1051" w:type="dxa"/>
            <w:tcBorders>
              <w:top w:val="single" w:sz="4" w:space="0" w:color="auto"/>
              <w:left w:val="single" w:sz="4" w:space="0" w:color="auto"/>
              <w:bottom w:val="single" w:sz="4" w:space="0" w:color="auto"/>
              <w:right w:val="single" w:sz="4" w:space="0" w:color="auto"/>
            </w:tcBorders>
            <w:hideMark/>
          </w:tcPr>
          <w:p w14:paraId="5FB740B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85</w:t>
            </w:r>
          </w:p>
        </w:tc>
        <w:tc>
          <w:tcPr>
            <w:tcW w:w="992" w:type="dxa"/>
            <w:tcBorders>
              <w:top w:val="single" w:sz="4" w:space="0" w:color="auto"/>
              <w:left w:val="single" w:sz="4" w:space="0" w:color="auto"/>
              <w:bottom w:val="single" w:sz="4" w:space="0" w:color="auto"/>
              <w:right w:val="single" w:sz="4" w:space="0" w:color="auto"/>
            </w:tcBorders>
            <w:hideMark/>
          </w:tcPr>
          <w:p w14:paraId="143BBA3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263160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3E522DF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3399C710"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3707CCD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1036" w:type="dxa"/>
            <w:tcBorders>
              <w:top w:val="single" w:sz="4" w:space="0" w:color="auto"/>
              <w:left w:val="single" w:sz="4" w:space="0" w:color="auto"/>
              <w:bottom w:val="single" w:sz="4" w:space="0" w:color="auto"/>
              <w:right w:val="single" w:sz="4" w:space="0" w:color="auto"/>
            </w:tcBorders>
            <w:hideMark/>
          </w:tcPr>
          <w:p w14:paraId="414A6D7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36</w:t>
            </w:r>
          </w:p>
        </w:tc>
        <w:tc>
          <w:tcPr>
            <w:tcW w:w="1051" w:type="dxa"/>
            <w:tcBorders>
              <w:top w:val="single" w:sz="4" w:space="0" w:color="auto"/>
              <w:left w:val="single" w:sz="4" w:space="0" w:color="auto"/>
              <w:bottom w:val="single" w:sz="4" w:space="0" w:color="auto"/>
              <w:right w:val="single" w:sz="4" w:space="0" w:color="auto"/>
            </w:tcBorders>
            <w:hideMark/>
          </w:tcPr>
          <w:p w14:paraId="5F5700E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524</w:t>
            </w:r>
          </w:p>
        </w:tc>
        <w:tc>
          <w:tcPr>
            <w:tcW w:w="949" w:type="dxa"/>
            <w:tcBorders>
              <w:top w:val="single" w:sz="4" w:space="0" w:color="auto"/>
              <w:left w:val="single" w:sz="4" w:space="0" w:color="auto"/>
              <w:bottom w:val="single" w:sz="4" w:space="0" w:color="auto"/>
              <w:right w:val="single" w:sz="4" w:space="0" w:color="auto"/>
            </w:tcBorders>
            <w:hideMark/>
          </w:tcPr>
          <w:p w14:paraId="27CB0D2A"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33C4DD4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6</w:t>
            </w:r>
            <w:r>
              <w:rPr>
                <w:rFonts w:ascii="Sylfaen" w:hAnsi="Sylfaen" w:cs="Arial"/>
                <w:sz w:val="20"/>
                <w:szCs w:val="20"/>
                <w:lang w:val="ka-GE"/>
              </w:rPr>
              <w:t>,3</w:t>
            </w:r>
            <w:r>
              <w:rPr>
                <w:rFonts w:ascii="Sylfaen" w:hAnsi="Sylfaen"/>
                <w:sz w:val="20"/>
                <w:szCs w:val="20"/>
                <w:lang w:val="ka-GE"/>
              </w:rPr>
              <w:t>e-3</w:t>
            </w:r>
          </w:p>
        </w:tc>
        <w:tc>
          <w:tcPr>
            <w:tcW w:w="1051" w:type="dxa"/>
            <w:tcBorders>
              <w:top w:val="single" w:sz="4" w:space="0" w:color="auto"/>
              <w:left w:val="single" w:sz="4" w:space="0" w:color="auto"/>
              <w:bottom w:val="single" w:sz="4" w:space="0" w:color="auto"/>
              <w:right w:val="single" w:sz="4" w:space="0" w:color="auto"/>
            </w:tcBorders>
            <w:hideMark/>
          </w:tcPr>
          <w:p w14:paraId="2269982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358</w:t>
            </w:r>
          </w:p>
        </w:tc>
        <w:tc>
          <w:tcPr>
            <w:tcW w:w="1051" w:type="dxa"/>
            <w:tcBorders>
              <w:top w:val="single" w:sz="4" w:space="0" w:color="auto"/>
              <w:left w:val="single" w:sz="4" w:space="0" w:color="auto"/>
              <w:bottom w:val="single" w:sz="4" w:space="0" w:color="auto"/>
              <w:right w:val="single" w:sz="4" w:space="0" w:color="auto"/>
            </w:tcBorders>
            <w:hideMark/>
          </w:tcPr>
          <w:p w14:paraId="47FFD6B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7</w:t>
            </w:r>
            <w:r>
              <w:rPr>
                <w:rFonts w:ascii="Sylfaen" w:hAnsi="Sylfaen" w:cs="Arial"/>
                <w:sz w:val="20"/>
                <w:szCs w:val="20"/>
                <w:lang w:val="ka-GE"/>
              </w:rPr>
              <w:t>,</w:t>
            </w:r>
            <w:r>
              <w:rPr>
                <w:rFonts w:ascii="Sylfaen" w:hAnsi="Sylfaen"/>
                <w:sz w:val="20"/>
                <w:szCs w:val="20"/>
                <w:lang w:val="ka-GE"/>
              </w:rPr>
              <w:t>85</w:t>
            </w:r>
          </w:p>
        </w:tc>
        <w:tc>
          <w:tcPr>
            <w:tcW w:w="992" w:type="dxa"/>
            <w:tcBorders>
              <w:top w:val="single" w:sz="4" w:space="0" w:color="auto"/>
              <w:left w:val="single" w:sz="4" w:space="0" w:color="auto"/>
              <w:bottom w:val="single" w:sz="4" w:space="0" w:color="auto"/>
              <w:right w:val="single" w:sz="4" w:space="0" w:color="auto"/>
            </w:tcBorders>
            <w:hideMark/>
          </w:tcPr>
          <w:p w14:paraId="3CDCA7D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8206F0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F510E2E"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bl>
    <w:p w14:paraId="2D768E2D" w14:textId="77777777" w:rsidR="00A2588D" w:rsidRDefault="00A2588D" w:rsidP="00A2588D">
      <w:pPr>
        <w:widowControl w:val="0"/>
        <w:autoSpaceDE w:val="0"/>
        <w:autoSpaceDN w:val="0"/>
        <w:adjustRightInd w:val="0"/>
        <w:jc w:val="center"/>
        <w:rPr>
          <w:rFonts w:ascii="Sylfaen" w:hAnsi="Sylfaen" w:cs="Arial"/>
          <w:b/>
          <w:bCs/>
          <w:sz w:val="20"/>
          <w:szCs w:val="20"/>
          <w:lang w:val="ka-GE"/>
        </w:rPr>
      </w:pPr>
      <w:r>
        <w:rPr>
          <w:rFonts w:ascii="Sylfaen" w:hAnsi="Sylfaen" w:cs="Arial"/>
          <w:b/>
          <w:bCs/>
          <w:sz w:val="20"/>
          <w:szCs w:val="20"/>
          <w:lang w:val="ka-GE"/>
        </w:rPr>
        <w:t xml:space="preserve">ნივთიერება: </w:t>
      </w:r>
      <w:r>
        <w:rPr>
          <w:rFonts w:ascii="Sylfaen" w:hAnsi="Sylfaen"/>
          <w:b/>
          <w:bCs/>
          <w:sz w:val="20"/>
          <w:szCs w:val="20"/>
          <w:lang w:val="ka-GE"/>
        </w:rPr>
        <w:t>6046</w:t>
      </w:r>
      <w:r>
        <w:rPr>
          <w:rFonts w:ascii="Sylfaen" w:hAnsi="Sylfaen" w:cs="Arial"/>
          <w:b/>
          <w:bCs/>
          <w:sz w:val="20"/>
          <w:szCs w:val="20"/>
          <w:lang w:val="ka-GE"/>
        </w:rPr>
        <w:t xml:space="preserve">   ჯამური ზემოქმედების ჯგუფი (</w:t>
      </w:r>
      <w:r>
        <w:rPr>
          <w:rFonts w:ascii="Sylfaen" w:hAnsi="Sylfaen"/>
          <w:b/>
          <w:bCs/>
          <w:sz w:val="20"/>
          <w:szCs w:val="20"/>
          <w:lang w:val="ka-GE"/>
        </w:rPr>
        <w:t>2</w:t>
      </w:r>
      <w:r>
        <w:rPr>
          <w:rFonts w:ascii="Sylfaen" w:hAnsi="Sylfaen" w:cs="Arial"/>
          <w:b/>
          <w:bCs/>
          <w:sz w:val="20"/>
          <w:szCs w:val="20"/>
          <w:lang w:val="ka-GE"/>
        </w:rPr>
        <w:t xml:space="preserve">) </w:t>
      </w:r>
      <w:r>
        <w:rPr>
          <w:rFonts w:ascii="Sylfaen" w:hAnsi="Sylfaen"/>
          <w:b/>
          <w:bCs/>
          <w:sz w:val="20"/>
          <w:szCs w:val="20"/>
          <w:lang w:val="ka-GE"/>
        </w:rPr>
        <w:t>337</w:t>
      </w:r>
      <w:r>
        <w:rPr>
          <w:rFonts w:ascii="Sylfaen" w:hAnsi="Sylfaen" w:cs="Arial"/>
          <w:b/>
          <w:bCs/>
          <w:sz w:val="20"/>
          <w:szCs w:val="20"/>
          <w:lang w:val="ka-GE"/>
        </w:rPr>
        <w:t xml:space="preserve"> </w:t>
      </w:r>
      <w:r>
        <w:rPr>
          <w:rFonts w:ascii="Sylfaen" w:hAnsi="Sylfaen"/>
          <w:b/>
          <w:bCs/>
          <w:sz w:val="20"/>
          <w:szCs w:val="20"/>
          <w:lang w:val="ka-GE"/>
        </w:rPr>
        <w:t>2908</w:t>
      </w:r>
    </w:p>
    <w:tbl>
      <w:tblPr>
        <w:tblW w:w="0" w:type="auto"/>
        <w:jc w:val="center"/>
        <w:tblLayout w:type="fixed"/>
        <w:tblCellMar>
          <w:left w:w="0" w:type="dxa"/>
          <w:right w:w="0" w:type="dxa"/>
        </w:tblCellMar>
        <w:tblLook w:val="04A0" w:firstRow="1" w:lastRow="0" w:firstColumn="1" w:lastColumn="0" w:noHBand="0" w:noVBand="1"/>
      </w:tblPr>
      <w:tblGrid>
        <w:gridCol w:w="817"/>
        <w:gridCol w:w="1036"/>
        <w:gridCol w:w="1051"/>
        <w:gridCol w:w="949"/>
        <w:gridCol w:w="1109"/>
        <w:gridCol w:w="1051"/>
        <w:gridCol w:w="1051"/>
        <w:gridCol w:w="992"/>
        <w:gridCol w:w="934"/>
        <w:gridCol w:w="934"/>
      </w:tblGrid>
      <w:tr w:rsidR="00A2588D" w14:paraId="3433F3D6"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38391443"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5</w:t>
            </w:r>
          </w:p>
        </w:tc>
        <w:tc>
          <w:tcPr>
            <w:tcW w:w="1036" w:type="dxa"/>
            <w:tcBorders>
              <w:top w:val="single" w:sz="4" w:space="0" w:color="auto"/>
              <w:left w:val="single" w:sz="4" w:space="0" w:color="auto"/>
              <w:bottom w:val="single" w:sz="4" w:space="0" w:color="auto"/>
              <w:right w:val="single" w:sz="4" w:space="0" w:color="auto"/>
            </w:tcBorders>
            <w:hideMark/>
          </w:tcPr>
          <w:p w14:paraId="00CB25D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263</w:t>
            </w:r>
          </w:p>
        </w:tc>
        <w:tc>
          <w:tcPr>
            <w:tcW w:w="1051" w:type="dxa"/>
            <w:tcBorders>
              <w:top w:val="single" w:sz="4" w:space="0" w:color="auto"/>
              <w:left w:val="single" w:sz="4" w:space="0" w:color="auto"/>
              <w:bottom w:val="single" w:sz="4" w:space="0" w:color="auto"/>
              <w:right w:val="single" w:sz="4" w:space="0" w:color="auto"/>
            </w:tcBorders>
            <w:hideMark/>
          </w:tcPr>
          <w:p w14:paraId="0C782265"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176</w:t>
            </w:r>
          </w:p>
        </w:tc>
        <w:tc>
          <w:tcPr>
            <w:tcW w:w="949" w:type="dxa"/>
            <w:tcBorders>
              <w:top w:val="single" w:sz="4" w:space="0" w:color="auto"/>
              <w:left w:val="single" w:sz="4" w:space="0" w:color="auto"/>
              <w:bottom w:val="single" w:sz="4" w:space="0" w:color="auto"/>
              <w:right w:val="single" w:sz="4" w:space="0" w:color="auto"/>
            </w:tcBorders>
            <w:hideMark/>
          </w:tcPr>
          <w:p w14:paraId="77CC3C6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713549B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37</w:t>
            </w:r>
          </w:p>
        </w:tc>
        <w:tc>
          <w:tcPr>
            <w:tcW w:w="1051" w:type="dxa"/>
            <w:tcBorders>
              <w:top w:val="single" w:sz="4" w:space="0" w:color="auto"/>
              <w:left w:val="single" w:sz="4" w:space="0" w:color="auto"/>
              <w:bottom w:val="single" w:sz="4" w:space="0" w:color="auto"/>
              <w:right w:val="single" w:sz="4" w:space="0" w:color="auto"/>
            </w:tcBorders>
            <w:hideMark/>
          </w:tcPr>
          <w:p w14:paraId="2459C61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114</w:t>
            </w:r>
          </w:p>
        </w:tc>
        <w:tc>
          <w:tcPr>
            <w:tcW w:w="1051" w:type="dxa"/>
            <w:tcBorders>
              <w:top w:val="single" w:sz="4" w:space="0" w:color="auto"/>
              <w:left w:val="single" w:sz="4" w:space="0" w:color="auto"/>
              <w:bottom w:val="single" w:sz="4" w:space="0" w:color="auto"/>
              <w:right w:val="single" w:sz="4" w:space="0" w:color="auto"/>
            </w:tcBorders>
            <w:hideMark/>
          </w:tcPr>
          <w:p w14:paraId="2310A39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5060A5C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6C4BFE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6502B704"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10F926AC"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81E3B5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6</w:t>
            </w:r>
          </w:p>
        </w:tc>
        <w:tc>
          <w:tcPr>
            <w:tcW w:w="1036" w:type="dxa"/>
            <w:tcBorders>
              <w:top w:val="single" w:sz="4" w:space="0" w:color="auto"/>
              <w:left w:val="single" w:sz="4" w:space="0" w:color="auto"/>
              <w:bottom w:val="single" w:sz="4" w:space="0" w:color="auto"/>
              <w:right w:val="single" w:sz="4" w:space="0" w:color="auto"/>
            </w:tcBorders>
            <w:hideMark/>
          </w:tcPr>
          <w:p w14:paraId="4AD7A0A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364</w:t>
            </w:r>
          </w:p>
        </w:tc>
        <w:tc>
          <w:tcPr>
            <w:tcW w:w="1051" w:type="dxa"/>
            <w:tcBorders>
              <w:top w:val="single" w:sz="4" w:space="0" w:color="auto"/>
              <w:left w:val="single" w:sz="4" w:space="0" w:color="auto"/>
              <w:bottom w:val="single" w:sz="4" w:space="0" w:color="auto"/>
              <w:right w:val="single" w:sz="4" w:space="0" w:color="auto"/>
            </w:tcBorders>
            <w:hideMark/>
          </w:tcPr>
          <w:p w14:paraId="4D3BAA1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210</w:t>
            </w:r>
          </w:p>
        </w:tc>
        <w:tc>
          <w:tcPr>
            <w:tcW w:w="949" w:type="dxa"/>
            <w:tcBorders>
              <w:top w:val="single" w:sz="4" w:space="0" w:color="auto"/>
              <w:left w:val="single" w:sz="4" w:space="0" w:color="auto"/>
              <w:bottom w:val="single" w:sz="4" w:space="0" w:color="auto"/>
              <w:right w:val="single" w:sz="4" w:space="0" w:color="auto"/>
            </w:tcBorders>
            <w:hideMark/>
          </w:tcPr>
          <w:p w14:paraId="04F8483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43F7FB8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17</w:t>
            </w:r>
          </w:p>
        </w:tc>
        <w:tc>
          <w:tcPr>
            <w:tcW w:w="1051" w:type="dxa"/>
            <w:tcBorders>
              <w:top w:val="single" w:sz="4" w:space="0" w:color="auto"/>
              <w:left w:val="single" w:sz="4" w:space="0" w:color="auto"/>
              <w:bottom w:val="single" w:sz="4" w:space="0" w:color="auto"/>
              <w:right w:val="single" w:sz="4" w:space="0" w:color="auto"/>
            </w:tcBorders>
            <w:hideMark/>
          </w:tcPr>
          <w:p w14:paraId="1B78C90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58</w:t>
            </w:r>
          </w:p>
        </w:tc>
        <w:tc>
          <w:tcPr>
            <w:tcW w:w="1051" w:type="dxa"/>
            <w:tcBorders>
              <w:top w:val="single" w:sz="4" w:space="0" w:color="auto"/>
              <w:left w:val="single" w:sz="4" w:space="0" w:color="auto"/>
              <w:bottom w:val="single" w:sz="4" w:space="0" w:color="auto"/>
              <w:right w:val="single" w:sz="4" w:space="0" w:color="auto"/>
            </w:tcBorders>
            <w:hideMark/>
          </w:tcPr>
          <w:p w14:paraId="03C3DADF"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0BB056A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06F8527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F80F30D"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r>
      <w:tr w:rsidR="00A2588D" w14:paraId="27EFC915"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14D4C2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2</w:t>
            </w:r>
          </w:p>
        </w:tc>
        <w:tc>
          <w:tcPr>
            <w:tcW w:w="1036" w:type="dxa"/>
            <w:tcBorders>
              <w:top w:val="single" w:sz="4" w:space="0" w:color="auto"/>
              <w:left w:val="single" w:sz="4" w:space="0" w:color="auto"/>
              <w:bottom w:val="single" w:sz="4" w:space="0" w:color="auto"/>
              <w:right w:val="single" w:sz="4" w:space="0" w:color="auto"/>
            </w:tcBorders>
            <w:hideMark/>
          </w:tcPr>
          <w:p w14:paraId="4D6F72C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578</w:t>
            </w:r>
          </w:p>
        </w:tc>
        <w:tc>
          <w:tcPr>
            <w:tcW w:w="1051" w:type="dxa"/>
            <w:tcBorders>
              <w:top w:val="single" w:sz="4" w:space="0" w:color="auto"/>
              <w:left w:val="single" w:sz="4" w:space="0" w:color="auto"/>
              <w:bottom w:val="single" w:sz="4" w:space="0" w:color="auto"/>
              <w:right w:val="single" w:sz="4" w:space="0" w:color="auto"/>
            </w:tcBorders>
            <w:hideMark/>
          </w:tcPr>
          <w:p w14:paraId="4793D4E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36</w:t>
            </w:r>
          </w:p>
        </w:tc>
        <w:tc>
          <w:tcPr>
            <w:tcW w:w="949" w:type="dxa"/>
            <w:tcBorders>
              <w:top w:val="single" w:sz="4" w:space="0" w:color="auto"/>
              <w:left w:val="single" w:sz="4" w:space="0" w:color="auto"/>
              <w:bottom w:val="single" w:sz="4" w:space="0" w:color="auto"/>
              <w:right w:val="single" w:sz="4" w:space="0" w:color="auto"/>
            </w:tcBorders>
            <w:hideMark/>
          </w:tcPr>
          <w:p w14:paraId="0D5B5EC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054F253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13</w:t>
            </w:r>
          </w:p>
        </w:tc>
        <w:tc>
          <w:tcPr>
            <w:tcW w:w="1051" w:type="dxa"/>
            <w:tcBorders>
              <w:top w:val="single" w:sz="4" w:space="0" w:color="auto"/>
              <w:left w:val="single" w:sz="4" w:space="0" w:color="auto"/>
              <w:bottom w:val="single" w:sz="4" w:space="0" w:color="auto"/>
              <w:right w:val="single" w:sz="4" w:space="0" w:color="auto"/>
            </w:tcBorders>
            <w:hideMark/>
          </w:tcPr>
          <w:p w14:paraId="4852DE82"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278</w:t>
            </w:r>
          </w:p>
        </w:tc>
        <w:tc>
          <w:tcPr>
            <w:tcW w:w="1051" w:type="dxa"/>
            <w:tcBorders>
              <w:top w:val="single" w:sz="4" w:space="0" w:color="auto"/>
              <w:left w:val="single" w:sz="4" w:space="0" w:color="auto"/>
              <w:bottom w:val="single" w:sz="4" w:space="0" w:color="auto"/>
              <w:right w:val="single" w:sz="4" w:space="0" w:color="auto"/>
            </w:tcBorders>
            <w:hideMark/>
          </w:tcPr>
          <w:p w14:paraId="2E2EF7E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5AE9D24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734DAD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21BB426B"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0485229C"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3501E5AC"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1</w:t>
            </w:r>
          </w:p>
        </w:tc>
        <w:tc>
          <w:tcPr>
            <w:tcW w:w="1036" w:type="dxa"/>
            <w:tcBorders>
              <w:top w:val="single" w:sz="4" w:space="0" w:color="auto"/>
              <w:left w:val="single" w:sz="4" w:space="0" w:color="auto"/>
              <w:bottom w:val="single" w:sz="4" w:space="0" w:color="auto"/>
              <w:right w:val="single" w:sz="4" w:space="0" w:color="auto"/>
            </w:tcBorders>
            <w:hideMark/>
          </w:tcPr>
          <w:p w14:paraId="24D4D66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1432A60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288</w:t>
            </w:r>
          </w:p>
        </w:tc>
        <w:tc>
          <w:tcPr>
            <w:tcW w:w="949" w:type="dxa"/>
            <w:tcBorders>
              <w:top w:val="single" w:sz="4" w:space="0" w:color="auto"/>
              <w:left w:val="single" w:sz="4" w:space="0" w:color="auto"/>
              <w:bottom w:val="single" w:sz="4" w:space="0" w:color="auto"/>
              <w:right w:val="single" w:sz="4" w:space="0" w:color="auto"/>
            </w:tcBorders>
            <w:hideMark/>
          </w:tcPr>
          <w:p w14:paraId="76184E9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1D8C7803"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13</w:t>
            </w:r>
          </w:p>
        </w:tc>
        <w:tc>
          <w:tcPr>
            <w:tcW w:w="1051" w:type="dxa"/>
            <w:tcBorders>
              <w:top w:val="single" w:sz="4" w:space="0" w:color="auto"/>
              <w:left w:val="single" w:sz="4" w:space="0" w:color="auto"/>
              <w:bottom w:val="single" w:sz="4" w:space="0" w:color="auto"/>
              <w:right w:val="single" w:sz="4" w:space="0" w:color="auto"/>
            </w:tcBorders>
            <w:hideMark/>
          </w:tcPr>
          <w:p w14:paraId="30E4CD8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244</w:t>
            </w:r>
          </w:p>
        </w:tc>
        <w:tc>
          <w:tcPr>
            <w:tcW w:w="1051" w:type="dxa"/>
            <w:tcBorders>
              <w:top w:val="single" w:sz="4" w:space="0" w:color="auto"/>
              <w:left w:val="single" w:sz="4" w:space="0" w:color="auto"/>
              <w:bottom w:val="single" w:sz="4" w:space="0" w:color="auto"/>
              <w:right w:val="single" w:sz="4" w:space="0" w:color="auto"/>
            </w:tcBorders>
            <w:hideMark/>
          </w:tcPr>
          <w:p w14:paraId="54AE787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4450F3D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0A7E4F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74087BD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39C17096"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028D733F"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4</w:t>
            </w:r>
          </w:p>
        </w:tc>
        <w:tc>
          <w:tcPr>
            <w:tcW w:w="1036" w:type="dxa"/>
            <w:tcBorders>
              <w:top w:val="single" w:sz="4" w:space="0" w:color="auto"/>
              <w:left w:val="single" w:sz="4" w:space="0" w:color="auto"/>
              <w:bottom w:val="single" w:sz="4" w:space="0" w:color="auto"/>
              <w:right w:val="single" w:sz="4" w:space="0" w:color="auto"/>
            </w:tcBorders>
            <w:hideMark/>
          </w:tcPr>
          <w:p w14:paraId="078AF0B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535</w:t>
            </w:r>
          </w:p>
        </w:tc>
        <w:tc>
          <w:tcPr>
            <w:tcW w:w="1051" w:type="dxa"/>
            <w:tcBorders>
              <w:top w:val="single" w:sz="4" w:space="0" w:color="auto"/>
              <w:left w:val="single" w:sz="4" w:space="0" w:color="auto"/>
              <w:bottom w:val="single" w:sz="4" w:space="0" w:color="auto"/>
              <w:right w:val="single" w:sz="4" w:space="0" w:color="auto"/>
            </w:tcBorders>
            <w:hideMark/>
          </w:tcPr>
          <w:p w14:paraId="78403746"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w:t>
            </w:r>
          </w:p>
        </w:tc>
        <w:tc>
          <w:tcPr>
            <w:tcW w:w="949" w:type="dxa"/>
            <w:tcBorders>
              <w:top w:val="single" w:sz="4" w:space="0" w:color="auto"/>
              <w:left w:val="single" w:sz="4" w:space="0" w:color="auto"/>
              <w:bottom w:val="single" w:sz="4" w:space="0" w:color="auto"/>
              <w:right w:val="single" w:sz="4" w:space="0" w:color="auto"/>
            </w:tcBorders>
            <w:hideMark/>
          </w:tcPr>
          <w:p w14:paraId="5295772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4B07D72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12</w:t>
            </w:r>
          </w:p>
        </w:tc>
        <w:tc>
          <w:tcPr>
            <w:tcW w:w="1051" w:type="dxa"/>
            <w:tcBorders>
              <w:top w:val="single" w:sz="4" w:space="0" w:color="auto"/>
              <w:left w:val="single" w:sz="4" w:space="0" w:color="auto"/>
              <w:bottom w:val="single" w:sz="4" w:space="0" w:color="auto"/>
              <w:right w:val="single" w:sz="4" w:space="0" w:color="auto"/>
            </w:tcBorders>
            <w:hideMark/>
          </w:tcPr>
          <w:p w14:paraId="06D696F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86</w:t>
            </w:r>
          </w:p>
        </w:tc>
        <w:tc>
          <w:tcPr>
            <w:tcW w:w="1051" w:type="dxa"/>
            <w:tcBorders>
              <w:top w:val="single" w:sz="4" w:space="0" w:color="auto"/>
              <w:left w:val="single" w:sz="4" w:space="0" w:color="auto"/>
              <w:bottom w:val="single" w:sz="4" w:space="0" w:color="auto"/>
              <w:right w:val="single" w:sz="4" w:space="0" w:color="auto"/>
            </w:tcBorders>
            <w:hideMark/>
          </w:tcPr>
          <w:p w14:paraId="71695ADD"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71CFBCC7"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498A1F18"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2D7BED9"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r w:rsidR="00A2588D" w14:paraId="238229F3" w14:textId="77777777" w:rsidTr="00A2588D">
        <w:trPr>
          <w:jc w:val="center"/>
        </w:trPr>
        <w:tc>
          <w:tcPr>
            <w:tcW w:w="817" w:type="dxa"/>
            <w:tcBorders>
              <w:top w:val="single" w:sz="4" w:space="0" w:color="auto"/>
              <w:left w:val="single" w:sz="4" w:space="0" w:color="auto"/>
              <w:bottom w:val="single" w:sz="4" w:space="0" w:color="auto"/>
              <w:right w:val="single" w:sz="4" w:space="0" w:color="auto"/>
            </w:tcBorders>
            <w:hideMark/>
          </w:tcPr>
          <w:p w14:paraId="4D08F79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c>
          <w:tcPr>
            <w:tcW w:w="1036" w:type="dxa"/>
            <w:tcBorders>
              <w:top w:val="single" w:sz="4" w:space="0" w:color="auto"/>
              <w:left w:val="single" w:sz="4" w:space="0" w:color="auto"/>
              <w:bottom w:val="single" w:sz="4" w:space="0" w:color="auto"/>
              <w:right w:val="single" w:sz="4" w:space="0" w:color="auto"/>
            </w:tcBorders>
            <w:hideMark/>
          </w:tcPr>
          <w:p w14:paraId="6C0F5889"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36</w:t>
            </w:r>
          </w:p>
        </w:tc>
        <w:tc>
          <w:tcPr>
            <w:tcW w:w="1051" w:type="dxa"/>
            <w:tcBorders>
              <w:top w:val="single" w:sz="4" w:space="0" w:color="auto"/>
              <w:left w:val="single" w:sz="4" w:space="0" w:color="auto"/>
              <w:bottom w:val="single" w:sz="4" w:space="0" w:color="auto"/>
              <w:right w:val="single" w:sz="4" w:space="0" w:color="auto"/>
            </w:tcBorders>
            <w:hideMark/>
          </w:tcPr>
          <w:p w14:paraId="23C46334"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cs="Arial"/>
                <w:sz w:val="20"/>
                <w:szCs w:val="20"/>
                <w:lang w:val="ka-GE"/>
              </w:rPr>
              <w:t>-</w:t>
            </w:r>
            <w:r>
              <w:rPr>
                <w:rFonts w:ascii="Sylfaen" w:hAnsi="Sylfaen"/>
                <w:sz w:val="20"/>
                <w:szCs w:val="20"/>
                <w:lang w:val="ka-GE"/>
              </w:rPr>
              <w:t>524</w:t>
            </w:r>
          </w:p>
        </w:tc>
        <w:tc>
          <w:tcPr>
            <w:tcW w:w="949" w:type="dxa"/>
            <w:tcBorders>
              <w:top w:val="single" w:sz="4" w:space="0" w:color="auto"/>
              <w:left w:val="single" w:sz="4" w:space="0" w:color="auto"/>
              <w:bottom w:val="single" w:sz="4" w:space="0" w:color="auto"/>
              <w:right w:val="single" w:sz="4" w:space="0" w:color="auto"/>
            </w:tcBorders>
            <w:hideMark/>
          </w:tcPr>
          <w:p w14:paraId="401E76D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hideMark/>
          </w:tcPr>
          <w:p w14:paraId="6BC2E63B"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12</w:t>
            </w:r>
          </w:p>
        </w:tc>
        <w:tc>
          <w:tcPr>
            <w:tcW w:w="1051" w:type="dxa"/>
            <w:tcBorders>
              <w:top w:val="single" w:sz="4" w:space="0" w:color="auto"/>
              <w:left w:val="single" w:sz="4" w:space="0" w:color="auto"/>
              <w:bottom w:val="single" w:sz="4" w:space="0" w:color="auto"/>
              <w:right w:val="single" w:sz="4" w:space="0" w:color="auto"/>
            </w:tcBorders>
            <w:hideMark/>
          </w:tcPr>
          <w:p w14:paraId="2F075F7E"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p>
        </w:tc>
        <w:tc>
          <w:tcPr>
            <w:tcW w:w="1051" w:type="dxa"/>
            <w:tcBorders>
              <w:top w:val="single" w:sz="4" w:space="0" w:color="auto"/>
              <w:left w:val="single" w:sz="4" w:space="0" w:color="auto"/>
              <w:bottom w:val="single" w:sz="4" w:space="0" w:color="auto"/>
              <w:right w:val="single" w:sz="4" w:space="0" w:color="auto"/>
            </w:tcBorders>
            <w:hideMark/>
          </w:tcPr>
          <w:p w14:paraId="48E73A91"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11</w:t>
            </w:r>
            <w:r>
              <w:rPr>
                <w:rFonts w:ascii="Sylfaen" w:hAnsi="Sylfaen" w:cs="Arial"/>
                <w:sz w:val="20"/>
                <w:szCs w:val="20"/>
                <w:lang w:val="ka-GE"/>
              </w:rPr>
              <w:t>,</w:t>
            </w:r>
            <w:r>
              <w:rPr>
                <w:rFonts w:ascii="Sylfaen" w:hAnsi="Sylfaen"/>
                <w:sz w:val="20"/>
                <w:szCs w:val="20"/>
                <w:lang w:val="ka-GE"/>
              </w:rPr>
              <w:t>50</w:t>
            </w:r>
          </w:p>
        </w:tc>
        <w:tc>
          <w:tcPr>
            <w:tcW w:w="992" w:type="dxa"/>
            <w:tcBorders>
              <w:top w:val="single" w:sz="4" w:space="0" w:color="auto"/>
              <w:left w:val="single" w:sz="4" w:space="0" w:color="auto"/>
              <w:bottom w:val="single" w:sz="4" w:space="0" w:color="auto"/>
              <w:right w:val="single" w:sz="4" w:space="0" w:color="auto"/>
            </w:tcBorders>
            <w:hideMark/>
          </w:tcPr>
          <w:p w14:paraId="69BEA5B0"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51E7490C" w14:textId="77777777" w:rsidR="00A2588D" w:rsidRDefault="00A2588D" w:rsidP="00A2588D">
            <w:pPr>
              <w:widowControl w:val="0"/>
              <w:autoSpaceDE w:val="0"/>
              <w:autoSpaceDN w:val="0"/>
              <w:adjustRightInd w:val="0"/>
              <w:ind w:right="11"/>
              <w:jc w:val="right"/>
              <w:rPr>
                <w:rFonts w:ascii="Sylfaen" w:hAnsi="Sylfaen" w:cs="Arial"/>
                <w:sz w:val="20"/>
                <w:szCs w:val="20"/>
                <w:lang w:val="ka-GE"/>
              </w:rPr>
            </w:pPr>
            <w:r>
              <w:rPr>
                <w:rFonts w:ascii="Sylfaen" w:hAnsi="Sylfaen"/>
                <w:sz w:val="20"/>
                <w:szCs w:val="20"/>
                <w:lang w:val="ka-GE"/>
              </w:rPr>
              <w:t>0</w:t>
            </w:r>
            <w:r>
              <w:rPr>
                <w:rFonts w:ascii="Sylfaen" w:hAnsi="Sylfaen" w:cs="Arial"/>
                <w:sz w:val="20"/>
                <w:szCs w:val="20"/>
                <w:lang w:val="ka-GE"/>
              </w:rPr>
              <w:t>,</w:t>
            </w:r>
            <w:r>
              <w:rPr>
                <w:rFonts w:ascii="Sylfaen" w:hAnsi="Sylfaen"/>
                <w:sz w:val="20"/>
                <w:szCs w:val="20"/>
                <w:lang w:val="ka-GE"/>
              </w:rPr>
              <w:t>000</w:t>
            </w:r>
          </w:p>
        </w:tc>
        <w:tc>
          <w:tcPr>
            <w:tcW w:w="934" w:type="dxa"/>
            <w:tcBorders>
              <w:top w:val="single" w:sz="4" w:space="0" w:color="auto"/>
              <w:left w:val="single" w:sz="4" w:space="0" w:color="auto"/>
              <w:bottom w:val="single" w:sz="4" w:space="0" w:color="auto"/>
              <w:right w:val="single" w:sz="4" w:space="0" w:color="auto"/>
            </w:tcBorders>
            <w:hideMark/>
          </w:tcPr>
          <w:p w14:paraId="30EA31B8" w14:textId="77777777" w:rsidR="00A2588D" w:rsidRDefault="00A2588D" w:rsidP="00A2588D">
            <w:pPr>
              <w:widowControl w:val="0"/>
              <w:autoSpaceDE w:val="0"/>
              <w:autoSpaceDN w:val="0"/>
              <w:adjustRightInd w:val="0"/>
              <w:jc w:val="center"/>
              <w:rPr>
                <w:rFonts w:ascii="Sylfaen" w:hAnsi="Sylfaen" w:cs="Arial"/>
                <w:sz w:val="20"/>
                <w:szCs w:val="20"/>
                <w:lang w:val="ka-GE"/>
              </w:rPr>
            </w:pPr>
            <w:r>
              <w:rPr>
                <w:rFonts w:ascii="Sylfaen" w:hAnsi="Sylfaen"/>
                <w:sz w:val="20"/>
                <w:szCs w:val="20"/>
                <w:lang w:val="ka-GE"/>
              </w:rPr>
              <w:t>3</w:t>
            </w:r>
          </w:p>
        </w:tc>
      </w:tr>
    </w:tbl>
    <w:p w14:paraId="2B8A95ED" w14:textId="77777777" w:rsidR="00A2588D" w:rsidRDefault="00A2588D" w:rsidP="00A2588D">
      <w:pPr>
        <w:rPr>
          <w:lang w:val="ka-GE"/>
        </w:rPr>
      </w:pPr>
    </w:p>
    <w:p w14:paraId="0CD2A742" w14:textId="77777777" w:rsidR="00A2588D" w:rsidRDefault="00A2588D" w:rsidP="00A2588D">
      <w:pPr>
        <w:rPr>
          <w:lang w:val="ka-GE"/>
        </w:rPr>
      </w:pPr>
    </w:p>
    <w:p w14:paraId="53901B67" w14:textId="6C121593" w:rsidR="00A2588D" w:rsidRPr="006B5AE7" w:rsidRDefault="00A2588D" w:rsidP="00A2588D">
      <w:pPr>
        <w:pStyle w:val="EIAH1"/>
        <w:numPr>
          <w:ilvl w:val="0"/>
          <w:numId w:val="0"/>
        </w:numPr>
        <w:rPr>
          <w:lang w:val="ka-GE"/>
        </w:rPr>
      </w:pPr>
      <w:bookmarkStart w:id="685" w:name="_Toc1581603"/>
      <w:r>
        <w:rPr>
          <w:lang w:val="ka-GE"/>
        </w:rPr>
        <w:t xml:space="preserve">დანართი 6  - </w:t>
      </w:r>
      <w:r>
        <w:rPr>
          <w:rFonts w:cs="Sylfaen"/>
        </w:rPr>
        <w:t>საინჟინრო</w:t>
      </w:r>
      <w:r>
        <w:t xml:space="preserve"> </w:t>
      </w:r>
      <w:r>
        <w:rPr>
          <w:rFonts w:cs="Sylfaen"/>
        </w:rPr>
        <w:t>გეოლოგიური</w:t>
      </w:r>
      <w:r>
        <w:t xml:space="preserve"> </w:t>
      </w:r>
      <w:r>
        <w:rPr>
          <w:rFonts w:cs="Sylfaen"/>
        </w:rPr>
        <w:t>კვლევა</w:t>
      </w:r>
      <w:bookmarkEnd w:id="685"/>
    </w:p>
    <w:p w14:paraId="5A782D3C" w14:textId="77777777" w:rsidR="00A2588D" w:rsidRDefault="00A2588D" w:rsidP="00A2588D"/>
    <w:p w14:paraId="4F6C4970" w14:textId="77777777" w:rsidR="00A2588D" w:rsidRPr="004C4225" w:rsidRDefault="00A2588D" w:rsidP="00A2588D"/>
    <w:bookmarkEnd w:id="574"/>
    <w:bookmarkEnd w:id="575"/>
    <w:p w14:paraId="7AFB7BE5" w14:textId="03C0A3DD" w:rsidR="00395B6B" w:rsidRDefault="00395B6B" w:rsidP="00395B6B"/>
    <w:p w14:paraId="105B07CA" w14:textId="50819065" w:rsidR="00395B6B" w:rsidRDefault="00395B6B" w:rsidP="00395B6B"/>
    <w:p w14:paraId="158D4664" w14:textId="231B5697" w:rsidR="00395B6B" w:rsidRDefault="00395B6B" w:rsidP="00395B6B"/>
    <w:p w14:paraId="6AD59241" w14:textId="4A73FF5D" w:rsidR="00395B6B" w:rsidRDefault="00395B6B" w:rsidP="00395B6B"/>
    <w:p w14:paraId="5F185E3D" w14:textId="54B4DC4C" w:rsidR="00395B6B" w:rsidRDefault="00395B6B" w:rsidP="00395B6B"/>
    <w:p w14:paraId="3974343D" w14:textId="469355D7" w:rsidR="00395B6B" w:rsidRDefault="00395B6B" w:rsidP="00395B6B"/>
    <w:p w14:paraId="7BFAA6F3" w14:textId="48C982E8" w:rsidR="00395B6B" w:rsidRDefault="00395B6B" w:rsidP="00395B6B">
      <w:pPr>
        <w:pStyle w:val="EIAH1"/>
        <w:numPr>
          <w:ilvl w:val="0"/>
          <w:numId w:val="0"/>
        </w:numPr>
        <w:ind w:left="720" w:hanging="720"/>
      </w:pPr>
      <w:bookmarkStart w:id="686" w:name="_Toc1581604"/>
      <w:r w:rsidRPr="00395B6B">
        <w:lastRenderedPageBreak/>
        <w:t>დანართი 7 პროექტის ზემოქმედების შეფასება „ზურმუხტის ქსელი“-ს</w:t>
      </w:r>
      <w:r w:rsidRPr="00395B6B">
        <w:rPr>
          <w:lang w:val="ka-GE"/>
        </w:rPr>
        <w:t xml:space="preserve"> </w:t>
      </w:r>
      <w:r w:rsidRPr="00395B6B">
        <w:t xml:space="preserve"> კანდიდატ უბანზე: „გომბორი“ (კოდი: GE0000027)</w:t>
      </w:r>
      <w:bookmarkEnd w:id="686"/>
    </w:p>
    <w:p w14:paraId="6001FE2D" w14:textId="77777777" w:rsidR="00A2588D" w:rsidRDefault="00A2588D" w:rsidP="00A2588D">
      <w:r w:rsidRPr="009132CF">
        <w:rPr>
          <w:rFonts w:ascii="AcadMtavr" w:eastAsia="Calibri" w:hAnsi="AcadMtavr"/>
          <w:b/>
          <w:noProof/>
          <w:sz w:val="28"/>
          <w:szCs w:val="28"/>
          <w:lang w:val="en-US" w:eastAsia="en-US"/>
        </w:rPr>
        <w:drawing>
          <wp:anchor distT="0" distB="0" distL="114300" distR="114300" simplePos="0" relativeHeight="251689984" behindDoc="0" locked="0" layoutInCell="1" allowOverlap="1" wp14:anchorId="312317AC" wp14:editId="2A4FE17A">
            <wp:simplePos x="0" y="0"/>
            <wp:positionH relativeFrom="margin">
              <wp:posOffset>4438650</wp:posOffset>
            </wp:positionH>
            <wp:positionV relativeFrom="paragraph">
              <wp:posOffset>139700</wp:posOffset>
            </wp:positionV>
            <wp:extent cx="1238250" cy="1080135"/>
            <wp:effectExtent l="0" t="0" r="0" b="5715"/>
            <wp:wrapSquare wrapText="bothSides"/>
            <wp:docPr id="80" name="Kuva 1" descr="http://www.georoad.ge/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http://www.georoad.ge/images/logo.png"/>
                    <pic:cNvPicPr>
                      <a:picLocks noChangeAspect="1" noChangeArrowheads="1"/>
                    </pic:cNvPicPr>
                  </pic:nvPicPr>
                  <pic:blipFill>
                    <a:blip r:embed="rId8"/>
                    <a:srcRect/>
                    <a:stretch>
                      <a:fillRect/>
                    </a:stretch>
                  </pic:blipFill>
                  <pic:spPr bwMode="auto">
                    <a:xfrm>
                      <a:off x="0" y="0"/>
                      <a:ext cx="1238250" cy="10801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780FDF5" w14:textId="77777777" w:rsidR="00A2588D" w:rsidRPr="00A2588D" w:rsidRDefault="00A2588D" w:rsidP="00A2588D">
      <w:pPr>
        <w:jc w:val="right"/>
        <w:rPr>
          <w:rFonts w:ascii="Sylfaen" w:hAnsi="Sylfaen"/>
          <w:b/>
          <w:sz w:val="24"/>
          <w:lang w:val="ka-GE"/>
        </w:rPr>
      </w:pPr>
      <w:r w:rsidRPr="00A2588D">
        <w:rPr>
          <w:rFonts w:ascii="Sylfaen" w:hAnsi="Sylfaen"/>
          <w:b/>
          <w:sz w:val="24"/>
          <w:lang w:val="ka-GE"/>
        </w:rPr>
        <w:t>საქართველოს რეგიონული განვითარების</w:t>
      </w:r>
    </w:p>
    <w:p w14:paraId="3A9B7247" w14:textId="77777777" w:rsidR="00A2588D" w:rsidRPr="00A2588D" w:rsidRDefault="00A2588D" w:rsidP="00A2588D">
      <w:pPr>
        <w:jc w:val="right"/>
        <w:rPr>
          <w:rFonts w:ascii="Sylfaen" w:hAnsi="Sylfaen"/>
          <w:b/>
          <w:sz w:val="24"/>
          <w:lang w:val="ka-GE"/>
        </w:rPr>
      </w:pPr>
      <w:r w:rsidRPr="00A2588D">
        <w:rPr>
          <w:rFonts w:ascii="Sylfaen" w:hAnsi="Sylfaen"/>
          <w:b/>
          <w:sz w:val="24"/>
          <w:lang w:val="ka-GE"/>
        </w:rPr>
        <w:t>და ინფრასტრუქტურის სამინისტროს</w:t>
      </w:r>
    </w:p>
    <w:p w14:paraId="787BD233" w14:textId="77777777" w:rsidR="00A2588D" w:rsidRPr="00A2588D" w:rsidRDefault="00A2588D" w:rsidP="00A2588D">
      <w:pPr>
        <w:jc w:val="right"/>
        <w:rPr>
          <w:rFonts w:ascii="Sylfaen" w:hAnsi="Sylfaen"/>
          <w:b/>
          <w:sz w:val="24"/>
          <w:lang w:val="ka-GE"/>
        </w:rPr>
      </w:pPr>
      <w:r w:rsidRPr="00A2588D">
        <w:rPr>
          <w:rFonts w:ascii="Sylfaen" w:hAnsi="Sylfaen"/>
          <w:b/>
          <w:sz w:val="24"/>
          <w:lang w:val="ka-GE"/>
        </w:rPr>
        <w:t>საავტომობილო გზების დეპარტამენტი</w:t>
      </w:r>
    </w:p>
    <w:p w14:paraId="413BE883" w14:textId="77777777" w:rsidR="00A2588D" w:rsidRPr="00A2588D" w:rsidRDefault="00A2588D" w:rsidP="00A2588D">
      <w:pPr>
        <w:rPr>
          <w:rFonts w:ascii="Sylfaen" w:hAnsi="Sylfaen"/>
        </w:rPr>
      </w:pPr>
    </w:p>
    <w:p w14:paraId="3253B857" w14:textId="77777777" w:rsidR="00A2588D" w:rsidRPr="00A2588D" w:rsidRDefault="00A2588D" w:rsidP="00A2588D">
      <w:pPr>
        <w:rPr>
          <w:rFonts w:ascii="Sylfaen" w:hAnsi="Sylfaen"/>
        </w:rPr>
      </w:pPr>
    </w:p>
    <w:p w14:paraId="50D3B7C6" w14:textId="77777777" w:rsidR="00A2588D" w:rsidRPr="00A2588D" w:rsidRDefault="00A2588D" w:rsidP="00A2588D">
      <w:pPr>
        <w:rPr>
          <w:rFonts w:ascii="Sylfaen" w:hAnsi="Sylfaen"/>
        </w:rPr>
      </w:pPr>
    </w:p>
    <w:p w14:paraId="653DFC6C" w14:textId="77777777" w:rsidR="00A2588D" w:rsidRPr="00A2588D" w:rsidRDefault="00A2588D" w:rsidP="00A2588D">
      <w:pPr>
        <w:rPr>
          <w:rFonts w:ascii="Sylfaen" w:hAnsi="Sylfaen"/>
        </w:rPr>
      </w:pPr>
    </w:p>
    <w:p w14:paraId="16099EBE" w14:textId="77777777" w:rsidR="00A2588D" w:rsidRPr="00A2588D" w:rsidRDefault="00A2588D" w:rsidP="00A2588D">
      <w:pPr>
        <w:spacing w:before="200" w:after="200"/>
        <w:jc w:val="center"/>
        <w:rPr>
          <w:rFonts w:ascii="Sylfaen" w:hAnsi="Sylfaen" w:cs="Sylfaen"/>
          <w:b/>
          <w:sz w:val="36"/>
          <w:szCs w:val="40"/>
          <w:lang w:val="ka-GE"/>
        </w:rPr>
      </w:pPr>
      <w:r w:rsidRPr="00A2588D">
        <w:rPr>
          <w:rFonts w:ascii="Sylfaen" w:hAnsi="Sylfaen" w:cs="Sylfaen"/>
          <w:b/>
          <w:sz w:val="36"/>
          <w:szCs w:val="40"/>
          <w:lang w:val="ka-GE"/>
        </w:rPr>
        <w:t>გურჯაანი (ჩუმლაყი)-თელავის</w:t>
      </w:r>
      <w:r w:rsidRPr="00A2588D">
        <w:rPr>
          <w:rFonts w:ascii="Sylfaen" w:hAnsi="Sylfaen"/>
          <w:sz w:val="20"/>
          <w:lang w:val="ka-GE"/>
        </w:rPr>
        <w:t xml:space="preserve"> </w:t>
      </w:r>
      <w:r w:rsidRPr="00A2588D">
        <w:rPr>
          <w:rFonts w:ascii="Sylfaen" w:hAnsi="Sylfaen" w:cs="Sylfaen"/>
          <w:b/>
          <w:sz w:val="36"/>
          <w:szCs w:val="40"/>
          <w:lang w:val="ka-GE"/>
        </w:rPr>
        <w:t xml:space="preserve"> შემოვლითი გზის მონაკვეთის (30 კმ) სამშენებლო სამუშაოები</w:t>
      </w:r>
    </w:p>
    <w:p w14:paraId="0A1B9AE5" w14:textId="77777777" w:rsidR="00A2588D" w:rsidRPr="00A2588D" w:rsidRDefault="00A2588D" w:rsidP="00A2588D">
      <w:pPr>
        <w:rPr>
          <w:rFonts w:ascii="Sylfaen" w:hAnsi="Sylfaen"/>
        </w:rPr>
      </w:pPr>
    </w:p>
    <w:p w14:paraId="6011FBB0" w14:textId="77777777" w:rsidR="00A2588D" w:rsidRPr="00A2588D" w:rsidRDefault="00A2588D" w:rsidP="00A2588D">
      <w:pPr>
        <w:rPr>
          <w:rFonts w:ascii="Sylfaen" w:hAnsi="Sylfaen"/>
        </w:rPr>
      </w:pPr>
    </w:p>
    <w:p w14:paraId="2CF16721" w14:textId="77777777" w:rsidR="00A2588D" w:rsidRPr="00A2588D" w:rsidRDefault="00A2588D" w:rsidP="00A2588D">
      <w:pPr>
        <w:rPr>
          <w:rFonts w:ascii="Sylfaen" w:hAnsi="Sylfaen"/>
        </w:rPr>
      </w:pPr>
    </w:p>
    <w:p w14:paraId="440E2ECF" w14:textId="77777777" w:rsidR="00A2588D" w:rsidRPr="00A2588D" w:rsidRDefault="00A2588D" w:rsidP="00A2588D">
      <w:pPr>
        <w:jc w:val="center"/>
        <w:rPr>
          <w:rFonts w:ascii="Sylfaen" w:hAnsi="Sylfaen"/>
          <w:b/>
          <w:sz w:val="28"/>
          <w:lang w:val="ka-GE"/>
        </w:rPr>
      </w:pPr>
      <w:r w:rsidRPr="00A2588D">
        <w:rPr>
          <w:rFonts w:ascii="Sylfaen" w:hAnsi="Sylfaen"/>
          <w:b/>
          <w:sz w:val="28"/>
          <w:lang w:val="ka-GE"/>
        </w:rPr>
        <w:t>პროექტის ზემოქმედების შეფასება „ზურმუხტის ქსელი“-ს</w:t>
      </w:r>
    </w:p>
    <w:p w14:paraId="6F26A286" w14:textId="77777777" w:rsidR="00A2588D" w:rsidRPr="00A2588D" w:rsidRDefault="00A2588D" w:rsidP="00A2588D">
      <w:pPr>
        <w:jc w:val="center"/>
        <w:rPr>
          <w:rFonts w:ascii="Sylfaen" w:hAnsi="Sylfaen"/>
          <w:b/>
          <w:sz w:val="28"/>
          <w:lang w:val="ka-GE"/>
        </w:rPr>
      </w:pPr>
      <w:r w:rsidRPr="00A2588D">
        <w:rPr>
          <w:rFonts w:ascii="Sylfaen" w:hAnsi="Sylfaen"/>
          <w:b/>
          <w:sz w:val="28"/>
          <w:lang w:val="ka-GE"/>
        </w:rPr>
        <w:t xml:space="preserve"> კანდიდატ უბანზე: </w:t>
      </w:r>
    </w:p>
    <w:p w14:paraId="3835DB07" w14:textId="77777777" w:rsidR="00A2588D" w:rsidRPr="00A2588D" w:rsidRDefault="00A2588D" w:rsidP="00A2588D">
      <w:pPr>
        <w:jc w:val="center"/>
        <w:rPr>
          <w:rFonts w:ascii="Sylfaen" w:hAnsi="Sylfaen"/>
          <w:b/>
          <w:sz w:val="28"/>
          <w:lang w:val="ka-GE"/>
        </w:rPr>
      </w:pPr>
      <w:r w:rsidRPr="00A2588D">
        <w:rPr>
          <w:rFonts w:ascii="Sylfaen" w:hAnsi="Sylfaen"/>
          <w:b/>
          <w:sz w:val="28"/>
          <w:lang w:val="ka-GE"/>
        </w:rPr>
        <w:t>„გომბორი“ (კოდი: GE0000027)</w:t>
      </w:r>
    </w:p>
    <w:p w14:paraId="05206833" w14:textId="77777777" w:rsidR="00A2588D" w:rsidRPr="00A2588D" w:rsidRDefault="00A2588D" w:rsidP="00A2588D">
      <w:pPr>
        <w:rPr>
          <w:rFonts w:ascii="Sylfaen" w:hAnsi="Sylfaen"/>
        </w:rPr>
      </w:pPr>
    </w:p>
    <w:p w14:paraId="474A1909" w14:textId="77777777" w:rsidR="00A2588D" w:rsidRPr="00391717" w:rsidRDefault="00A2588D" w:rsidP="00A2588D">
      <w:pPr>
        <w:rPr>
          <w:lang w:val="ka-GE"/>
        </w:rPr>
      </w:pPr>
    </w:p>
    <w:p w14:paraId="00AF4411" w14:textId="77777777" w:rsidR="00A2588D" w:rsidRDefault="00A2588D" w:rsidP="00A2588D"/>
    <w:p w14:paraId="5ED2F2D3" w14:textId="77777777" w:rsidR="00A2588D" w:rsidRDefault="00A2588D" w:rsidP="00A2588D"/>
    <w:p w14:paraId="5DBA80C3" w14:textId="77777777" w:rsidR="00A2588D" w:rsidRDefault="00A2588D" w:rsidP="00A2588D"/>
    <w:p w14:paraId="56EAA4A9" w14:textId="77777777" w:rsidR="00A2588D" w:rsidRDefault="00A2588D" w:rsidP="00A2588D"/>
    <w:p w14:paraId="02BBCFD9" w14:textId="77777777" w:rsidR="00A2588D" w:rsidRDefault="00A2588D" w:rsidP="00A2588D"/>
    <w:p w14:paraId="7A21733F" w14:textId="77777777" w:rsidR="00A2588D" w:rsidRDefault="00A2588D" w:rsidP="00A2588D"/>
    <w:p w14:paraId="704F39AA" w14:textId="77777777" w:rsidR="00A2588D" w:rsidRDefault="00A2588D" w:rsidP="00A2588D">
      <w:pPr>
        <w:spacing w:after="160" w:line="259" w:lineRule="auto"/>
        <w:rPr>
          <w:b/>
          <w:lang w:val="ka-GE"/>
        </w:rPr>
      </w:pPr>
    </w:p>
    <w:p w14:paraId="2A641064" w14:textId="77777777" w:rsidR="00A2588D" w:rsidRDefault="00A2588D" w:rsidP="00A2588D">
      <w:pPr>
        <w:spacing w:after="160" w:line="259" w:lineRule="auto"/>
        <w:rPr>
          <w:b/>
          <w:lang w:val="ka-GE"/>
        </w:rPr>
      </w:pPr>
      <w:r>
        <w:rPr>
          <w:b/>
          <w:lang w:val="ka-GE"/>
        </w:rPr>
        <w:br w:type="page"/>
      </w:r>
    </w:p>
    <w:p w14:paraId="5BD599E1" w14:textId="77777777" w:rsidR="00A2588D" w:rsidRPr="00A2588D" w:rsidRDefault="00A2588D" w:rsidP="00A2588D">
      <w:pPr>
        <w:spacing w:after="160" w:line="259" w:lineRule="auto"/>
        <w:rPr>
          <w:rFonts w:ascii="Sylfaen" w:hAnsi="Sylfaen"/>
          <w:b/>
          <w:sz w:val="24"/>
          <w:lang w:val="ka-GE"/>
        </w:rPr>
      </w:pPr>
      <w:r w:rsidRPr="00A2588D">
        <w:rPr>
          <w:rFonts w:ascii="Sylfaen" w:hAnsi="Sylfaen"/>
          <w:b/>
          <w:sz w:val="24"/>
          <w:lang w:val="ka-GE"/>
        </w:rPr>
        <w:lastRenderedPageBreak/>
        <w:t>სარჩევი</w:t>
      </w:r>
    </w:p>
    <w:p w14:paraId="2C7D2681" w14:textId="77777777" w:rsidR="00A2588D" w:rsidRPr="00A2588D" w:rsidRDefault="00A2588D" w:rsidP="00A2588D">
      <w:pPr>
        <w:pStyle w:val="TOC1"/>
        <w:tabs>
          <w:tab w:val="clear" w:pos="440"/>
          <w:tab w:val="clear" w:pos="9617"/>
          <w:tab w:val="left" w:pos="442"/>
          <w:tab w:val="right" w:leader="dot" w:pos="9629"/>
        </w:tabs>
        <w:rPr>
          <w:rFonts w:ascii="Sylfaen" w:eastAsiaTheme="minorEastAsia" w:hAnsi="Sylfaen"/>
          <w:b w:val="0"/>
        </w:rPr>
      </w:pPr>
      <w:r w:rsidRPr="00A2588D">
        <w:rPr>
          <w:rFonts w:ascii="Sylfaen" w:hAnsi="Sylfaen"/>
          <w:b w:val="0"/>
          <w:lang w:val="ka-GE"/>
        </w:rPr>
        <w:fldChar w:fldCharType="begin"/>
      </w:r>
      <w:r w:rsidRPr="00A2588D">
        <w:rPr>
          <w:rFonts w:ascii="Sylfaen" w:hAnsi="Sylfaen"/>
          <w:b w:val="0"/>
          <w:lang w:val="ka-GE"/>
        </w:rPr>
        <w:instrText xml:space="preserve"> TOC \o "1-4" \h \z \u </w:instrText>
      </w:r>
      <w:r w:rsidRPr="00A2588D">
        <w:rPr>
          <w:rFonts w:ascii="Sylfaen" w:hAnsi="Sylfaen"/>
          <w:b w:val="0"/>
          <w:lang w:val="ka-GE"/>
        </w:rPr>
        <w:fldChar w:fldCharType="separate"/>
      </w:r>
      <w:hyperlink w:anchor="_Toc536676151" w:history="1">
        <w:r w:rsidRPr="00A2588D">
          <w:rPr>
            <w:rStyle w:val="Hyperlink"/>
            <w:rFonts w:ascii="Sylfaen" w:hAnsi="Sylfaen"/>
          </w:rPr>
          <w:t>1</w:t>
        </w:r>
        <w:r w:rsidRPr="00A2588D">
          <w:rPr>
            <w:rFonts w:ascii="Sylfaen" w:eastAsiaTheme="minorEastAsia" w:hAnsi="Sylfaen"/>
            <w:b w:val="0"/>
          </w:rPr>
          <w:tab/>
        </w:r>
        <w:r w:rsidRPr="00A2588D">
          <w:rPr>
            <w:rStyle w:val="Hyperlink"/>
            <w:rFonts w:ascii="Sylfaen" w:hAnsi="Sylfaen"/>
            <w:lang w:val="ka-GE"/>
          </w:rPr>
          <w:t>შესავალი</w:t>
        </w:r>
        <w:r w:rsidRPr="00A2588D">
          <w:rPr>
            <w:rFonts w:ascii="Sylfaen" w:hAnsi="Sylfaen"/>
            <w:webHidden/>
          </w:rPr>
          <w:tab/>
        </w:r>
        <w:r w:rsidRPr="00A2588D">
          <w:rPr>
            <w:rFonts w:ascii="Sylfaen" w:hAnsi="Sylfaen"/>
            <w:webHidden/>
          </w:rPr>
          <w:fldChar w:fldCharType="begin"/>
        </w:r>
        <w:r w:rsidRPr="00A2588D">
          <w:rPr>
            <w:rFonts w:ascii="Sylfaen" w:hAnsi="Sylfaen"/>
            <w:webHidden/>
          </w:rPr>
          <w:instrText xml:space="preserve"> PAGEREF _Toc536676151 \h </w:instrText>
        </w:r>
        <w:r w:rsidRPr="00A2588D">
          <w:rPr>
            <w:rFonts w:ascii="Sylfaen" w:hAnsi="Sylfaen"/>
            <w:webHidden/>
          </w:rPr>
        </w:r>
        <w:r w:rsidRPr="00A2588D">
          <w:rPr>
            <w:rFonts w:ascii="Sylfaen" w:hAnsi="Sylfaen"/>
            <w:webHidden/>
          </w:rPr>
          <w:fldChar w:fldCharType="separate"/>
        </w:r>
        <w:r w:rsidRPr="00A2588D">
          <w:rPr>
            <w:rFonts w:ascii="Sylfaen" w:hAnsi="Sylfaen"/>
            <w:webHidden/>
          </w:rPr>
          <w:t>3</w:t>
        </w:r>
        <w:r w:rsidRPr="00A2588D">
          <w:rPr>
            <w:rFonts w:ascii="Sylfaen" w:hAnsi="Sylfaen"/>
            <w:webHidden/>
          </w:rPr>
          <w:fldChar w:fldCharType="end"/>
        </w:r>
      </w:hyperlink>
    </w:p>
    <w:p w14:paraId="583AED91" w14:textId="77777777" w:rsidR="00A2588D" w:rsidRPr="00A2588D" w:rsidRDefault="006A7631" w:rsidP="00A2588D">
      <w:pPr>
        <w:pStyle w:val="TOC1"/>
        <w:tabs>
          <w:tab w:val="clear" w:pos="440"/>
          <w:tab w:val="clear" w:pos="9617"/>
          <w:tab w:val="left" w:pos="442"/>
          <w:tab w:val="right" w:leader="dot" w:pos="9629"/>
        </w:tabs>
        <w:rPr>
          <w:rFonts w:ascii="Sylfaen" w:eastAsiaTheme="minorEastAsia" w:hAnsi="Sylfaen"/>
          <w:b w:val="0"/>
        </w:rPr>
      </w:pPr>
      <w:hyperlink w:anchor="_Toc536676152" w:history="1">
        <w:r w:rsidR="00A2588D" w:rsidRPr="00A2588D">
          <w:rPr>
            <w:rStyle w:val="Hyperlink"/>
            <w:rFonts w:ascii="Sylfaen" w:hAnsi="Sylfaen"/>
            <w:lang w:val="ka-GE"/>
          </w:rPr>
          <w:t>2</w:t>
        </w:r>
        <w:r w:rsidR="00A2588D" w:rsidRPr="00A2588D">
          <w:rPr>
            <w:rFonts w:ascii="Sylfaen" w:eastAsiaTheme="minorEastAsia" w:hAnsi="Sylfaen"/>
            <w:b w:val="0"/>
          </w:rPr>
          <w:tab/>
        </w:r>
        <w:r w:rsidR="00A2588D" w:rsidRPr="00A2588D">
          <w:rPr>
            <w:rStyle w:val="Hyperlink"/>
            <w:rFonts w:ascii="Sylfaen" w:hAnsi="Sylfaen"/>
            <w:lang w:val="ka-GE"/>
          </w:rPr>
          <w:t>პროექტის მოკლე აღწერილობა</w:t>
        </w:r>
        <w:r w:rsidR="00A2588D" w:rsidRPr="00A2588D">
          <w:rPr>
            <w:rFonts w:ascii="Sylfaen" w:hAnsi="Sylfaen"/>
            <w:webHidden/>
          </w:rPr>
          <w:tab/>
        </w:r>
        <w:r w:rsidR="00A2588D" w:rsidRPr="00A2588D">
          <w:rPr>
            <w:rFonts w:ascii="Sylfaen" w:hAnsi="Sylfaen"/>
            <w:webHidden/>
          </w:rPr>
          <w:fldChar w:fldCharType="begin"/>
        </w:r>
        <w:r w:rsidR="00A2588D" w:rsidRPr="00A2588D">
          <w:rPr>
            <w:rFonts w:ascii="Sylfaen" w:hAnsi="Sylfaen"/>
            <w:webHidden/>
          </w:rPr>
          <w:instrText xml:space="preserve"> PAGEREF _Toc536676152 \h </w:instrText>
        </w:r>
        <w:r w:rsidR="00A2588D" w:rsidRPr="00A2588D">
          <w:rPr>
            <w:rFonts w:ascii="Sylfaen" w:hAnsi="Sylfaen"/>
            <w:webHidden/>
          </w:rPr>
        </w:r>
        <w:r w:rsidR="00A2588D" w:rsidRPr="00A2588D">
          <w:rPr>
            <w:rFonts w:ascii="Sylfaen" w:hAnsi="Sylfaen"/>
            <w:webHidden/>
          </w:rPr>
          <w:fldChar w:fldCharType="separate"/>
        </w:r>
        <w:r w:rsidR="00A2588D" w:rsidRPr="00A2588D">
          <w:rPr>
            <w:rFonts w:ascii="Sylfaen" w:hAnsi="Sylfaen"/>
            <w:webHidden/>
          </w:rPr>
          <w:t>3</w:t>
        </w:r>
        <w:r w:rsidR="00A2588D" w:rsidRPr="00A2588D">
          <w:rPr>
            <w:rFonts w:ascii="Sylfaen" w:hAnsi="Sylfaen"/>
            <w:webHidden/>
          </w:rPr>
          <w:fldChar w:fldCharType="end"/>
        </w:r>
      </w:hyperlink>
    </w:p>
    <w:p w14:paraId="67B8B12F" w14:textId="77777777" w:rsidR="00A2588D" w:rsidRPr="00A2588D" w:rsidRDefault="006A7631" w:rsidP="00A2588D">
      <w:pPr>
        <w:pStyle w:val="TOC1"/>
        <w:tabs>
          <w:tab w:val="clear" w:pos="440"/>
          <w:tab w:val="clear" w:pos="9617"/>
          <w:tab w:val="left" w:pos="442"/>
          <w:tab w:val="right" w:leader="dot" w:pos="9629"/>
        </w:tabs>
        <w:rPr>
          <w:rFonts w:ascii="Sylfaen" w:eastAsiaTheme="minorEastAsia" w:hAnsi="Sylfaen"/>
          <w:b w:val="0"/>
        </w:rPr>
      </w:pPr>
      <w:hyperlink w:anchor="_Toc536676153" w:history="1">
        <w:r w:rsidR="00A2588D" w:rsidRPr="00A2588D">
          <w:rPr>
            <w:rStyle w:val="Hyperlink"/>
            <w:rFonts w:ascii="Sylfaen" w:hAnsi="Sylfaen"/>
            <w:lang w:val="ka-GE"/>
          </w:rPr>
          <w:t>3</w:t>
        </w:r>
        <w:r w:rsidR="00A2588D" w:rsidRPr="00A2588D">
          <w:rPr>
            <w:rFonts w:ascii="Sylfaen" w:eastAsiaTheme="minorEastAsia" w:hAnsi="Sylfaen"/>
            <w:b w:val="0"/>
          </w:rPr>
          <w:tab/>
        </w:r>
        <w:r w:rsidR="00A2588D" w:rsidRPr="00A2588D">
          <w:rPr>
            <w:rStyle w:val="Hyperlink"/>
            <w:rFonts w:ascii="Sylfaen" w:hAnsi="Sylfaen"/>
            <w:lang w:val="ka-GE"/>
          </w:rPr>
          <w:t>„ზურმუხტის ქსელი“-ს კანდიდატი უბანი: „გომბრორი“</w:t>
        </w:r>
        <w:r w:rsidR="00A2588D" w:rsidRPr="00A2588D">
          <w:rPr>
            <w:rFonts w:ascii="Sylfaen" w:hAnsi="Sylfaen"/>
            <w:webHidden/>
          </w:rPr>
          <w:tab/>
        </w:r>
        <w:r w:rsidR="00A2588D" w:rsidRPr="00A2588D">
          <w:rPr>
            <w:rFonts w:ascii="Sylfaen" w:hAnsi="Sylfaen"/>
            <w:webHidden/>
          </w:rPr>
          <w:fldChar w:fldCharType="begin"/>
        </w:r>
        <w:r w:rsidR="00A2588D" w:rsidRPr="00A2588D">
          <w:rPr>
            <w:rFonts w:ascii="Sylfaen" w:hAnsi="Sylfaen"/>
            <w:webHidden/>
          </w:rPr>
          <w:instrText xml:space="preserve"> PAGEREF _Toc536676153 \h </w:instrText>
        </w:r>
        <w:r w:rsidR="00A2588D" w:rsidRPr="00A2588D">
          <w:rPr>
            <w:rFonts w:ascii="Sylfaen" w:hAnsi="Sylfaen"/>
            <w:webHidden/>
          </w:rPr>
        </w:r>
        <w:r w:rsidR="00A2588D" w:rsidRPr="00A2588D">
          <w:rPr>
            <w:rFonts w:ascii="Sylfaen" w:hAnsi="Sylfaen"/>
            <w:webHidden/>
          </w:rPr>
          <w:fldChar w:fldCharType="separate"/>
        </w:r>
        <w:r w:rsidR="00A2588D" w:rsidRPr="00A2588D">
          <w:rPr>
            <w:rFonts w:ascii="Sylfaen" w:hAnsi="Sylfaen"/>
            <w:webHidden/>
          </w:rPr>
          <w:t>7</w:t>
        </w:r>
        <w:r w:rsidR="00A2588D" w:rsidRPr="00A2588D">
          <w:rPr>
            <w:rFonts w:ascii="Sylfaen" w:hAnsi="Sylfaen"/>
            <w:webHidden/>
          </w:rPr>
          <w:fldChar w:fldCharType="end"/>
        </w:r>
      </w:hyperlink>
    </w:p>
    <w:p w14:paraId="33724C4A" w14:textId="77777777" w:rsidR="00A2588D" w:rsidRPr="00A2588D" w:rsidRDefault="006A7631" w:rsidP="00A2588D">
      <w:pPr>
        <w:pStyle w:val="TOC2"/>
        <w:tabs>
          <w:tab w:val="left" w:pos="879"/>
          <w:tab w:val="right" w:leader="dot" w:pos="9629"/>
        </w:tabs>
        <w:rPr>
          <w:rFonts w:ascii="Sylfaen" w:eastAsiaTheme="minorEastAsia" w:hAnsi="Sylfaen"/>
        </w:rPr>
      </w:pPr>
      <w:hyperlink w:anchor="_Toc536676154" w:history="1">
        <w:r w:rsidR="00A2588D" w:rsidRPr="00A2588D">
          <w:rPr>
            <w:rStyle w:val="Hyperlink"/>
            <w:rFonts w:ascii="Sylfaen" w:hAnsi="Sylfaen"/>
            <w:lang w:val="ka-GE"/>
          </w:rPr>
          <w:t>3.1</w:t>
        </w:r>
        <w:r w:rsidR="00A2588D" w:rsidRPr="00A2588D">
          <w:rPr>
            <w:rFonts w:ascii="Sylfaen" w:eastAsiaTheme="minorEastAsia" w:hAnsi="Sylfaen"/>
          </w:rPr>
          <w:tab/>
        </w:r>
        <w:r w:rsidR="00A2588D" w:rsidRPr="00A2588D">
          <w:rPr>
            <w:rStyle w:val="Hyperlink"/>
            <w:rFonts w:ascii="Sylfaen" w:hAnsi="Sylfaen"/>
            <w:lang w:val="ka-GE"/>
          </w:rPr>
          <w:t>ზოგადი მიმოხილვა</w:t>
        </w:r>
        <w:r w:rsidR="00A2588D" w:rsidRPr="00A2588D">
          <w:rPr>
            <w:rFonts w:ascii="Sylfaen" w:hAnsi="Sylfaen"/>
            <w:webHidden/>
          </w:rPr>
          <w:tab/>
        </w:r>
        <w:r w:rsidR="00A2588D" w:rsidRPr="00A2588D">
          <w:rPr>
            <w:rFonts w:ascii="Sylfaen" w:hAnsi="Sylfaen"/>
            <w:webHidden/>
          </w:rPr>
          <w:fldChar w:fldCharType="begin"/>
        </w:r>
        <w:r w:rsidR="00A2588D" w:rsidRPr="00A2588D">
          <w:rPr>
            <w:rFonts w:ascii="Sylfaen" w:hAnsi="Sylfaen"/>
            <w:webHidden/>
          </w:rPr>
          <w:instrText xml:space="preserve"> PAGEREF _Toc536676154 \h </w:instrText>
        </w:r>
        <w:r w:rsidR="00A2588D" w:rsidRPr="00A2588D">
          <w:rPr>
            <w:rFonts w:ascii="Sylfaen" w:hAnsi="Sylfaen"/>
            <w:webHidden/>
          </w:rPr>
        </w:r>
        <w:r w:rsidR="00A2588D" w:rsidRPr="00A2588D">
          <w:rPr>
            <w:rFonts w:ascii="Sylfaen" w:hAnsi="Sylfaen"/>
            <w:webHidden/>
          </w:rPr>
          <w:fldChar w:fldCharType="separate"/>
        </w:r>
        <w:r w:rsidR="00A2588D" w:rsidRPr="00A2588D">
          <w:rPr>
            <w:rFonts w:ascii="Sylfaen" w:hAnsi="Sylfaen"/>
            <w:webHidden/>
          </w:rPr>
          <w:t>7</w:t>
        </w:r>
        <w:r w:rsidR="00A2588D" w:rsidRPr="00A2588D">
          <w:rPr>
            <w:rFonts w:ascii="Sylfaen" w:hAnsi="Sylfaen"/>
            <w:webHidden/>
          </w:rPr>
          <w:fldChar w:fldCharType="end"/>
        </w:r>
      </w:hyperlink>
    </w:p>
    <w:p w14:paraId="42E58228" w14:textId="77777777" w:rsidR="00A2588D" w:rsidRPr="00A2588D" w:rsidRDefault="006A7631" w:rsidP="00A2588D">
      <w:pPr>
        <w:pStyle w:val="TOC2"/>
        <w:tabs>
          <w:tab w:val="left" w:pos="879"/>
          <w:tab w:val="right" w:leader="dot" w:pos="9629"/>
        </w:tabs>
        <w:rPr>
          <w:rFonts w:ascii="Sylfaen" w:eastAsiaTheme="minorEastAsia" w:hAnsi="Sylfaen"/>
        </w:rPr>
      </w:pPr>
      <w:hyperlink w:anchor="_Toc536676155" w:history="1">
        <w:r w:rsidR="00A2588D" w:rsidRPr="00A2588D">
          <w:rPr>
            <w:rStyle w:val="Hyperlink"/>
            <w:rFonts w:ascii="Sylfaen" w:hAnsi="Sylfaen"/>
            <w:lang w:val="ka-GE"/>
          </w:rPr>
          <w:t>3.2</w:t>
        </w:r>
        <w:r w:rsidR="00A2588D" w:rsidRPr="00A2588D">
          <w:rPr>
            <w:rFonts w:ascii="Sylfaen" w:eastAsiaTheme="minorEastAsia" w:hAnsi="Sylfaen"/>
          </w:rPr>
          <w:tab/>
        </w:r>
        <w:r w:rsidR="00A2588D" w:rsidRPr="00A2588D">
          <w:rPr>
            <w:rStyle w:val="Hyperlink"/>
            <w:rFonts w:ascii="Sylfaen" w:hAnsi="Sylfaen"/>
            <w:lang w:val="ka-GE"/>
          </w:rPr>
          <w:t>კანდიდატი უბნის დახასიათება</w:t>
        </w:r>
        <w:r w:rsidR="00A2588D" w:rsidRPr="00A2588D">
          <w:rPr>
            <w:rFonts w:ascii="Sylfaen" w:hAnsi="Sylfaen"/>
            <w:webHidden/>
          </w:rPr>
          <w:tab/>
        </w:r>
        <w:r w:rsidR="00A2588D" w:rsidRPr="00A2588D">
          <w:rPr>
            <w:rFonts w:ascii="Sylfaen" w:hAnsi="Sylfaen"/>
            <w:webHidden/>
          </w:rPr>
          <w:fldChar w:fldCharType="begin"/>
        </w:r>
        <w:r w:rsidR="00A2588D" w:rsidRPr="00A2588D">
          <w:rPr>
            <w:rFonts w:ascii="Sylfaen" w:hAnsi="Sylfaen"/>
            <w:webHidden/>
          </w:rPr>
          <w:instrText xml:space="preserve"> PAGEREF _Toc536676155 \h </w:instrText>
        </w:r>
        <w:r w:rsidR="00A2588D" w:rsidRPr="00A2588D">
          <w:rPr>
            <w:rFonts w:ascii="Sylfaen" w:hAnsi="Sylfaen"/>
            <w:webHidden/>
          </w:rPr>
        </w:r>
        <w:r w:rsidR="00A2588D" w:rsidRPr="00A2588D">
          <w:rPr>
            <w:rFonts w:ascii="Sylfaen" w:hAnsi="Sylfaen"/>
            <w:webHidden/>
          </w:rPr>
          <w:fldChar w:fldCharType="separate"/>
        </w:r>
        <w:r w:rsidR="00A2588D" w:rsidRPr="00A2588D">
          <w:rPr>
            <w:rFonts w:ascii="Sylfaen" w:hAnsi="Sylfaen"/>
            <w:webHidden/>
          </w:rPr>
          <w:t>7</w:t>
        </w:r>
        <w:r w:rsidR="00A2588D" w:rsidRPr="00A2588D">
          <w:rPr>
            <w:rFonts w:ascii="Sylfaen" w:hAnsi="Sylfaen"/>
            <w:webHidden/>
          </w:rPr>
          <w:fldChar w:fldCharType="end"/>
        </w:r>
      </w:hyperlink>
    </w:p>
    <w:p w14:paraId="79BF191C" w14:textId="77777777" w:rsidR="00A2588D" w:rsidRPr="00A2588D" w:rsidRDefault="006A7631" w:rsidP="00A2588D">
      <w:pPr>
        <w:pStyle w:val="TOC1"/>
        <w:tabs>
          <w:tab w:val="clear" w:pos="440"/>
          <w:tab w:val="clear" w:pos="9617"/>
          <w:tab w:val="left" w:pos="442"/>
          <w:tab w:val="right" w:leader="dot" w:pos="9629"/>
        </w:tabs>
        <w:rPr>
          <w:rFonts w:ascii="Sylfaen" w:eastAsiaTheme="minorEastAsia" w:hAnsi="Sylfaen"/>
          <w:b w:val="0"/>
        </w:rPr>
      </w:pPr>
      <w:hyperlink w:anchor="_Toc536676156" w:history="1">
        <w:r w:rsidR="00A2588D" w:rsidRPr="00A2588D">
          <w:rPr>
            <w:rStyle w:val="Hyperlink"/>
            <w:rFonts w:ascii="Sylfaen" w:hAnsi="Sylfaen"/>
            <w:lang w:val="ka-GE"/>
          </w:rPr>
          <w:t>4</w:t>
        </w:r>
        <w:r w:rsidR="00A2588D" w:rsidRPr="00A2588D">
          <w:rPr>
            <w:rFonts w:ascii="Sylfaen" w:eastAsiaTheme="minorEastAsia" w:hAnsi="Sylfaen"/>
            <w:b w:val="0"/>
          </w:rPr>
          <w:tab/>
        </w:r>
        <w:r w:rsidR="00A2588D" w:rsidRPr="00A2588D">
          <w:rPr>
            <w:rStyle w:val="Hyperlink"/>
            <w:rFonts w:ascii="Sylfaen" w:hAnsi="Sylfaen"/>
            <w:lang w:val="ka-GE"/>
          </w:rPr>
          <w:t>საპროექტო დერეფანში ბიომრავალფეროვნების განმეორებითი კვლევის შედეგები</w:t>
        </w:r>
        <w:r w:rsidR="00A2588D" w:rsidRPr="00A2588D">
          <w:rPr>
            <w:rFonts w:ascii="Sylfaen" w:hAnsi="Sylfaen"/>
            <w:webHidden/>
          </w:rPr>
          <w:tab/>
        </w:r>
        <w:r w:rsidR="00A2588D" w:rsidRPr="00A2588D">
          <w:rPr>
            <w:rFonts w:ascii="Sylfaen" w:hAnsi="Sylfaen"/>
            <w:webHidden/>
          </w:rPr>
          <w:fldChar w:fldCharType="begin"/>
        </w:r>
        <w:r w:rsidR="00A2588D" w:rsidRPr="00A2588D">
          <w:rPr>
            <w:rFonts w:ascii="Sylfaen" w:hAnsi="Sylfaen"/>
            <w:webHidden/>
          </w:rPr>
          <w:instrText xml:space="preserve"> PAGEREF _Toc536676156 \h </w:instrText>
        </w:r>
        <w:r w:rsidR="00A2588D" w:rsidRPr="00A2588D">
          <w:rPr>
            <w:rFonts w:ascii="Sylfaen" w:hAnsi="Sylfaen"/>
            <w:webHidden/>
          </w:rPr>
        </w:r>
        <w:r w:rsidR="00A2588D" w:rsidRPr="00A2588D">
          <w:rPr>
            <w:rFonts w:ascii="Sylfaen" w:hAnsi="Sylfaen"/>
            <w:webHidden/>
          </w:rPr>
          <w:fldChar w:fldCharType="separate"/>
        </w:r>
        <w:r w:rsidR="00A2588D" w:rsidRPr="00A2588D">
          <w:rPr>
            <w:rFonts w:ascii="Sylfaen" w:hAnsi="Sylfaen"/>
            <w:webHidden/>
          </w:rPr>
          <w:t>9</w:t>
        </w:r>
        <w:r w:rsidR="00A2588D" w:rsidRPr="00A2588D">
          <w:rPr>
            <w:rFonts w:ascii="Sylfaen" w:hAnsi="Sylfaen"/>
            <w:webHidden/>
          </w:rPr>
          <w:fldChar w:fldCharType="end"/>
        </w:r>
      </w:hyperlink>
    </w:p>
    <w:p w14:paraId="33334C8C" w14:textId="77777777" w:rsidR="00A2588D" w:rsidRPr="00A2588D" w:rsidRDefault="006A7631" w:rsidP="00A2588D">
      <w:pPr>
        <w:pStyle w:val="TOC1"/>
        <w:tabs>
          <w:tab w:val="clear" w:pos="440"/>
          <w:tab w:val="clear" w:pos="9617"/>
          <w:tab w:val="left" w:pos="442"/>
          <w:tab w:val="right" w:leader="dot" w:pos="9629"/>
        </w:tabs>
        <w:rPr>
          <w:rFonts w:ascii="Sylfaen" w:eastAsiaTheme="minorEastAsia" w:hAnsi="Sylfaen"/>
          <w:b w:val="0"/>
        </w:rPr>
      </w:pPr>
      <w:hyperlink w:anchor="_Toc536676157" w:history="1">
        <w:r w:rsidR="00A2588D" w:rsidRPr="00A2588D">
          <w:rPr>
            <w:rStyle w:val="Hyperlink"/>
            <w:rFonts w:ascii="Sylfaen" w:hAnsi="Sylfaen"/>
            <w:lang w:val="ka-GE"/>
          </w:rPr>
          <w:t>5</w:t>
        </w:r>
        <w:r w:rsidR="00A2588D" w:rsidRPr="00A2588D">
          <w:rPr>
            <w:rFonts w:ascii="Sylfaen" w:eastAsiaTheme="minorEastAsia" w:hAnsi="Sylfaen"/>
            <w:b w:val="0"/>
          </w:rPr>
          <w:tab/>
        </w:r>
        <w:r w:rsidR="00A2588D" w:rsidRPr="00A2588D">
          <w:rPr>
            <w:rStyle w:val="Hyperlink"/>
            <w:rFonts w:ascii="Sylfaen" w:hAnsi="Sylfaen"/>
            <w:lang w:val="ka-GE"/>
          </w:rPr>
          <w:t>ზემოქმედების შეფასება</w:t>
        </w:r>
        <w:r w:rsidR="00A2588D" w:rsidRPr="00A2588D">
          <w:rPr>
            <w:rFonts w:ascii="Sylfaen" w:hAnsi="Sylfaen"/>
            <w:webHidden/>
          </w:rPr>
          <w:tab/>
        </w:r>
        <w:r w:rsidR="00A2588D" w:rsidRPr="00A2588D">
          <w:rPr>
            <w:rFonts w:ascii="Sylfaen" w:hAnsi="Sylfaen"/>
            <w:webHidden/>
          </w:rPr>
          <w:fldChar w:fldCharType="begin"/>
        </w:r>
        <w:r w:rsidR="00A2588D" w:rsidRPr="00A2588D">
          <w:rPr>
            <w:rFonts w:ascii="Sylfaen" w:hAnsi="Sylfaen"/>
            <w:webHidden/>
          </w:rPr>
          <w:instrText xml:space="preserve"> PAGEREF _Toc536676157 \h </w:instrText>
        </w:r>
        <w:r w:rsidR="00A2588D" w:rsidRPr="00A2588D">
          <w:rPr>
            <w:rFonts w:ascii="Sylfaen" w:hAnsi="Sylfaen"/>
            <w:webHidden/>
          </w:rPr>
        </w:r>
        <w:r w:rsidR="00A2588D" w:rsidRPr="00A2588D">
          <w:rPr>
            <w:rFonts w:ascii="Sylfaen" w:hAnsi="Sylfaen"/>
            <w:webHidden/>
          </w:rPr>
          <w:fldChar w:fldCharType="separate"/>
        </w:r>
        <w:r w:rsidR="00A2588D" w:rsidRPr="00A2588D">
          <w:rPr>
            <w:rFonts w:ascii="Sylfaen" w:hAnsi="Sylfaen"/>
            <w:webHidden/>
          </w:rPr>
          <w:t>13</w:t>
        </w:r>
        <w:r w:rsidR="00A2588D" w:rsidRPr="00A2588D">
          <w:rPr>
            <w:rFonts w:ascii="Sylfaen" w:hAnsi="Sylfaen"/>
            <w:webHidden/>
          </w:rPr>
          <w:fldChar w:fldCharType="end"/>
        </w:r>
      </w:hyperlink>
    </w:p>
    <w:p w14:paraId="520C569F" w14:textId="77777777" w:rsidR="00A2588D" w:rsidRPr="00A2588D" w:rsidRDefault="006A7631" w:rsidP="00A2588D">
      <w:pPr>
        <w:pStyle w:val="TOC2"/>
        <w:tabs>
          <w:tab w:val="left" w:pos="879"/>
          <w:tab w:val="right" w:leader="dot" w:pos="9629"/>
        </w:tabs>
        <w:rPr>
          <w:rFonts w:ascii="Sylfaen" w:eastAsiaTheme="minorEastAsia" w:hAnsi="Sylfaen"/>
        </w:rPr>
      </w:pPr>
      <w:hyperlink w:anchor="_Toc536676158" w:history="1">
        <w:r w:rsidR="00A2588D" w:rsidRPr="00A2588D">
          <w:rPr>
            <w:rStyle w:val="Hyperlink"/>
            <w:rFonts w:ascii="Sylfaen" w:hAnsi="Sylfaen"/>
            <w:lang w:val="ka-GE"/>
          </w:rPr>
          <w:t>5.1</w:t>
        </w:r>
        <w:r w:rsidR="00A2588D" w:rsidRPr="00A2588D">
          <w:rPr>
            <w:rFonts w:ascii="Sylfaen" w:eastAsiaTheme="minorEastAsia" w:hAnsi="Sylfaen"/>
          </w:rPr>
          <w:tab/>
        </w:r>
        <w:r w:rsidR="00A2588D" w:rsidRPr="00A2588D">
          <w:rPr>
            <w:rStyle w:val="Hyperlink"/>
            <w:rFonts w:ascii="Sylfaen" w:hAnsi="Sylfaen"/>
            <w:lang w:val="ka-GE"/>
          </w:rPr>
          <w:t>მოსალოდნელი ზემოქმედების სახეები</w:t>
        </w:r>
        <w:r w:rsidR="00A2588D" w:rsidRPr="00A2588D">
          <w:rPr>
            <w:rFonts w:ascii="Sylfaen" w:hAnsi="Sylfaen"/>
            <w:webHidden/>
          </w:rPr>
          <w:tab/>
        </w:r>
        <w:r w:rsidR="00A2588D" w:rsidRPr="00A2588D">
          <w:rPr>
            <w:rFonts w:ascii="Sylfaen" w:hAnsi="Sylfaen"/>
            <w:webHidden/>
          </w:rPr>
          <w:fldChar w:fldCharType="begin"/>
        </w:r>
        <w:r w:rsidR="00A2588D" w:rsidRPr="00A2588D">
          <w:rPr>
            <w:rFonts w:ascii="Sylfaen" w:hAnsi="Sylfaen"/>
            <w:webHidden/>
          </w:rPr>
          <w:instrText xml:space="preserve"> PAGEREF _Toc536676158 \h </w:instrText>
        </w:r>
        <w:r w:rsidR="00A2588D" w:rsidRPr="00A2588D">
          <w:rPr>
            <w:rFonts w:ascii="Sylfaen" w:hAnsi="Sylfaen"/>
            <w:webHidden/>
          </w:rPr>
        </w:r>
        <w:r w:rsidR="00A2588D" w:rsidRPr="00A2588D">
          <w:rPr>
            <w:rFonts w:ascii="Sylfaen" w:hAnsi="Sylfaen"/>
            <w:webHidden/>
          </w:rPr>
          <w:fldChar w:fldCharType="separate"/>
        </w:r>
        <w:r w:rsidR="00A2588D" w:rsidRPr="00A2588D">
          <w:rPr>
            <w:rFonts w:ascii="Sylfaen" w:hAnsi="Sylfaen"/>
            <w:webHidden/>
          </w:rPr>
          <w:t>14</w:t>
        </w:r>
        <w:r w:rsidR="00A2588D" w:rsidRPr="00A2588D">
          <w:rPr>
            <w:rFonts w:ascii="Sylfaen" w:hAnsi="Sylfaen"/>
            <w:webHidden/>
          </w:rPr>
          <w:fldChar w:fldCharType="end"/>
        </w:r>
      </w:hyperlink>
    </w:p>
    <w:p w14:paraId="3E6401B4" w14:textId="77777777" w:rsidR="00A2588D" w:rsidRPr="00A2588D" w:rsidRDefault="006A7631" w:rsidP="00A2588D">
      <w:pPr>
        <w:pStyle w:val="TOC3"/>
        <w:tabs>
          <w:tab w:val="left" w:pos="1100"/>
          <w:tab w:val="right" w:leader="dot" w:pos="9629"/>
        </w:tabs>
        <w:rPr>
          <w:rFonts w:ascii="Sylfaen" w:eastAsiaTheme="minorEastAsia" w:hAnsi="Sylfaen"/>
          <w:noProof/>
        </w:rPr>
      </w:pPr>
      <w:hyperlink w:anchor="_Toc536676159" w:history="1">
        <w:r w:rsidR="00A2588D" w:rsidRPr="00A2588D">
          <w:rPr>
            <w:rStyle w:val="Hyperlink"/>
            <w:rFonts w:ascii="Sylfaen" w:hAnsi="Sylfaen"/>
            <w:noProof/>
            <w:lang w:val="ka-GE"/>
          </w:rPr>
          <w:t>5.1.1</w:t>
        </w:r>
        <w:r w:rsidR="00A2588D" w:rsidRPr="00A2588D">
          <w:rPr>
            <w:rFonts w:ascii="Sylfaen" w:eastAsiaTheme="minorEastAsia" w:hAnsi="Sylfaen"/>
            <w:noProof/>
          </w:rPr>
          <w:tab/>
        </w:r>
        <w:r w:rsidR="00A2588D" w:rsidRPr="00A2588D">
          <w:rPr>
            <w:rStyle w:val="Hyperlink"/>
            <w:rFonts w:ascii="Sylfaen" w:hAnsi="Sylfaen"/>
            <w:noProof/>
            <w:lang w:val="ka-GE"/>
          </w:rPr>
          <w:t>პირდაპირი სახის ზემოქმედების შეფასება</w:t>
        </w:r>
        <w:r w:rsidR="00A2588D" w:rsidRPr="00A2588D">
          <w:rPr>
            <w:rFonts w:ascii="Sylfaen" w:hAnsi="Sylfaen"/>
            <w:noProof/>
            <w:webHidden/>
          </w:rPr>
          <w:tab/>
        </w:r>
        <w:r w:rsidR="00A2588D" w:rsidRPr="00A2588D">
          <w:rPr>
            <w:rFonts w:ascii="Sylfaen" w:hAnsi="Sylfaen"/>
            <w:noProof/>
            <w:webHidden/>
          </w:rPr>
          <w:fldChar w:fldCharType="begin"/>
        </w:r>
        <w:r w:rsidR="00A2588D" w:rsidRPr="00A2588D">
          <w:rPr>
            <w:rFonts w:ascii="Sylfaen" w:hAnsi="Sylfaen"/>
            <w:noProof/>
            <w:webHidden/>
          </w:rPr>
          <w:instrText xml:space="preserve"> PAGEREF _Toc536676159 \h </w:instrText>
        </w:r>
        <w:r w:rsidR="00A2588D" w:rsidRPr="00A2588D">
          <w:rPr>
            <w:rFonts w:ascii="Sylfaen" w:hAnsi="Sylfaen"/>
            <w:noProof/>
            <w:webHidden/>
          </w:rPr>
        </w:r>
        <w:r w:rsidR="00A2588D" w:rsidRPr="00A2588D">
          <w:rPr>
            <w:rFonts w:ascii="Sylfaen" w:hAnsi="Sylfaen"/>
            <w:noProof/>
            <w:webHidden/>
          </w:rPr>
          <w:fldChar w:fldCharType="separate"/>
        </w:r>
        <w:r w:rsidR="00A2588D" w:rsidRPr="00A2588D">
          <w:rPr>
            <w:rFonts w:ascii="Sylfaen" w:hAnsi="Sylfaen"/>
            <w:noProof/>
            <w:webHidden/>
          </w:rPr>
          <w:t>14</w:t>
        </w:r>
        <w:r w:rsidR="00A2588D" w:rsidRPr="00A2588D">
          <w:rPr>
            <w:rFonts w:ascii="Sylfaen" w:hAnsi="Sylfaen"/>
            <w:noProof/>
            <w:webHidden/>
          </w:rPr>
          <w:fldChar w:fldCharType="end"/>
        </w:r>
      </w:hyperlink>
    </w:p>
    <w:p w14:paraId="1DA23E78" w14:textId="77777777" w:rsidR="00A2588D" w:rsidRPr="00A2588D" w:rsidRDefault="006A7631" w:rsidP="00A2588D">
      <w:pPr>
        <w:pStyle w:val="TOC3"/>
        <w:tabs>
          <w:tab w:val="left" w:pos="1100"/>
          <w:tab w:val="right" w:leader="dot" w:pos="9629"/>
        </w:tabs>
        <w:rPr>
          <w:rFonts w:ascii="Sylfaen" w:eastAsiaTheme="minorEastAsia" w:hAnsi="Sylfaen"/>
          <w:noProof/>
        </w:rPr>
      </w:pPr>
      <w:hyperlink w:anchor="_Toc536676160" w:history="1">
        <w:r w:rsidR="00A2588D" w:rsidRPr="00A2588D">
          <w:rPr>
            <w:rStyle w:val="Hyperlink"/>
            <w:rFonts w:ascii="Sylfaen" w:hAnsi="Sylfaen"/>
            <w:noProof/>
            <w:lang w:val="ka-GE"/>
          </w:rPr>
          <w:t>5.1.2</w:t>
        </w:r>
        <w:r w:rsidR="00A2588D" w:rsidRPr="00A2588D">
          <w:rPr>
            <w:rFonts w:ascii="Sylfaen" w:eastAsiaTheme="minorEastAsia" w:hAnsi="Sylfaen"/>
            <w:noProof/>
          </w:rPr>
          <w:tab/>
        </w:r>
        <w:r w:rsidR="00A2588D" w:rsidRPr="00A2588D">
          <w:rPr>
            <w:rStyle w:val="Hyperlink"/>
            <w:rFonts w:ascii="Sylfaen" w:hAnsi="Sylfaen"/>
            <w:noProof/>
            <w:lang w:val="ka-GE"/>
          </w:rPr>
          <w:t>ირიბი ხასიათის ზემოქმედების შეფასება</w:t>
        </w:r>
        <w:r w:rsidR="00A2588D" w:rsidRPr="00A2588D">
          <w:rPr>
            <w:rFonts w:ascii="Sylfaen" w:hAnsi="Sylfaen"/>
            <w:noProof/>
            <w:webHidden/>
          </w:rPr>
          <w:tab/>
        </w:r>
        <w:r w:rsidR="00A2588D" w:rsidRPr="00A2588D">
          <w:rPr>
            <w:rFonts w:ascii="Sylfaen" w:hAnsi="Sylfaen"/>
            <w:noProof/>
            <w:webHidden/>
          </w:rPr>
          <w:fldChar w:fldCharType="begin"/>
        </w:r>
        <w:r w:rsidR="00A2588D" w:rsidRPr="00A2588D">
          <w:rPr>
            <w:rFonts w:ascii="Sylfaen" w:hAnsi="Sylfaen"/>
            <w:noProof/>
            <w:webHidden/>
          </w:rPr>
          <w:instrText xml:space="preserve"> PAGEREF _Toc536676160 \h </w:instrText>
        </w:r>
        <w:r w:rsidR="00A2588D" w:rsidRPr="00A2588D">
          <w:rPr>
            <w:rFonts w:ascii="Sylfaen" w:hAnsi="Sylfaen"/>
            <w:noProof/>
            <w:webHidden/>
          </w:rPr>
        </w:r>
        <w:r w:rsidR="00A2588D" w:rsidRPr="00A2588D">
          <w:rPr>
            <w:rFonts w:ascii="Sylfaen" w:hAnsi="Sylfaen"/>
            <w:noProof/>
            <w:webHidden/>
          </w:rPr>
          <w:fldChar w:fldCharType="separate"/>
        </w:r>
        <w:r w:rsidR="00A2588D" w:rsidRPr="00A2588D">
          <w:rPr>
            <w:rFonts w:ascii="Sylfaen" w:hAnsi="Sylfaen"/>
            <w:noProof/>
            <w:webHidden/>
          </w:rPr>
          <w:t>15</w:t>
        </w:r>
        <w:r w:rsidR="00A2588D" w:rsidRPr="00A2588D">
          <w:rPr>
            <w:rFonts w:ascii="Sylfaen" w:hAnsi="Sylfaen"/>
            <w:noProof/>
            <w:webHidden/>
          </w:rPr>
          <w:fldChar w:fldCharType="end"/>
        </w:r>
      </w:hyperlink>
    </w:p>
    <w:p w14:paraId="74434088" w14:textId="77777777" w:rsidR="00A2588D" w:rsidRPr="00A2588D" w:rsidRDefault="006A7631" w:rsidP="00A2588D">
      <w:pPr>
        <w:pStyle w:val="TOC4"/>
        <w:tabs>
          <w:tab w:val="left" w:pos="1540"/>
          <w:tab w:val="right" w:leader="dot" w:pos="9629"/>
        </w:tabs>
        <w:rPr>
          <w:rFonts w:ascii="Sylfaen" w:eastAsiaTheme="minorEastAsia" w:hAnsi="Sylfaen"/>
          <w:noProof/>
          <w:sz w:val="22"/>
        </w:rPr>
      </w:pPr>
      <w:hyperlink w:anchor="_Toc536676161" w:history="1">
        <w:r w:rsidR="00A2588D" w:rsidRPr="00A2588D">
          <w:rPr>
            <w:rStyle w:val="Hyperlink"/>
            <w:rFonts w:ascii="Sylfaen" w:hAnsi="Sylfaen"/>
            <w:noProof/>
          </w:rPr>
          <w:t>5.1.2.1</w:t>
        </w:r>
        <w:r w:rsidR="00A2588D" w:rsidRPr="00A2588D">
          <w:rPr>
            <w:rFonts w:ascii="Sylfaen" w:eastAsiaTheme="minorEastAsia" w:hAnsi="Sylfaen"/>
            <w:noProof/>
            <w:sz w:val="22"/>
          </w:rPr>
          <w:tab/>
        </w:r>
        <w:r w:rsidR="00A2588D" w:rsidRPr="00A2588D">
          <w:rPr>
            <w:rStyle w:val="Hyperlink"/>
            <w:rFonts w:ascii="Sylfaen" w:hAnsi="Sylfaen"/>
            <w:noProof/>
          </w:rPr>
          <w:t>კანდიდატი უბნის საზღვრებში მოქცეულ ტერიტორიებზე ზემოქმედების შეფასება</w:t>
        </w:r>
        <w:r w:rsidR="00A2588D" w:rsidRPr="00A2588D">
          <w:rPr>
            <w:rFonts w:ascii="Sylfaen" w:hAnsi="Sylfaen"/>
            <w:noProof/>
            <w:webHidden/>
          </w:rPr>
          <w:tab/>
        </w:r>
        <w:r w:rsidR="00A2588D" w:rsidRPr="00A2588D">
          <w:rPr>
            <w:rFonts w:ascii="Sylfaen" w:hAnsi="Sylfaen"/>
            <w:noProof/>
            <w:webHidden/>
          </w:rPr>
          <w:fldChar w:fldCharType="begin"/>
        </w:r>
        <w:r w:rsidR="00A2588D" w:rsidRPr="00A2588D">
          <w:rPr>
            <w:rFonts w:ascii="Sylfaen" w:hAnsi="Sylfaen"/>
            <w:noProof/>
            <w:webHidden/>
          </w:rPr>
          <w:instrText xml:space="preserve"> PAGEREF _Toc536676161 \h </w:instrText>
        </w:r>
        <w:r w:rsidR="00A2588D" w:rsidRPr="00A2588D">
          <w:rPr>
            <w:rFonts w:ascii="Sylfaen" w:hAnsi="Sylfaen"/>
            <w:noProof/>
            <w:webHidden/>
          </w:rPr>
        </w:r>
        <w:r w:rsidR="00A2588D" w:rsidRPr="00A2588D">
          <w:rPr>
            <w:rFonts w:ascii="Sylfaen" w:hAnsi="Sylfaen"/>
            <w:noProof/>
            <w:webHidden/>
          </w:rPr>
          <w:fldChar w:fldCharType="separate"/>
        </w:r>
        <w:r w:rsidR="00A2588D" w:rsidRPr="00A2588D">
          <w:rPr>
            <w:rFonts w:ascii="Sylfaen" w:hAnsi="Sylfaen"/>
            <w:noProof/>
            <w:webHidden/>
          </w:rPr>
          <w:t>15</w:t>
        </w:r>
        <w:r w:rsidR="00A2588D" w:rsidRPr="00A2588D">
          <w:rPr>
            <w:rFonts w:ascii="Sylfaen" w:hAnsi="Sylfaen"/>
            <w:noProof/>
            <w:webHidden/>
          </w:rPr>
          <w:fldChar w:fldCharType="end"/>
        </w:r>
      </w:hyperlink>
    </w:p>
    <w:p w14:paraId="530F916C" w14:textId="77777777" w:rsidR="00A2588D" w:rsidRPr="00A2588D" w:rsidRDefault="006A7631" w:rsidP="00A2588D">
      <w:pPr>
        <w:pStyle w:val="TOC3"/>
        <w:tabs>
          <w:tab w:val="left" w:pos="1100"/>
          <w:tab w:val="right" w:leader="dot" w:pos="9629"/>
        </w:tabs>
        <w:rPr>
          <w:rFonts w:ascii="Sylfaen" w:eastAsiaTheme="minorEastAsia" w:hAnsi="Sylfaen"/>
          <w:noProof/>
        </w:rPr>
      </w:pPr>
      <w:hyperlink w:anchor="_Toc536676162" w:history="1">
        <w:r w:rsidR="00A2588D" w:rsidRPr="00A2588D">
          <w:rPr>
            <w:rStyle w:val="Hyperlink"/>
            <w:rFonts w:ascii="Sylfaen" w:hAnsi="Sylfaen"/>
            <w:noProof/>
            <w:lang w:val="ka-GE"/>
          </w:rPr>
          <w:t>5.1.3</w:t>
        </w:r>
        <w:r w:rsidR="00A2588D" w:rsidRPr="00A2588D">
          <w:rPr>
            <w:rFonts w:ascii="Sylfaen" w:eastAsiaTheme="minorEastAsia" w:hAnsi="Sylfaen"/>
            <w:noProof/>
          </w:rPr>
          <w:tab/>
        </w:r>
        <w:r w:rsidR="00A2588D" w:rsidRPr="00A2588D">
          <w:rPr>
            <w:rStyle w:val="Hyperlink"/>
            <w:rFonts w:ascii="Sylfaen" w:hAnsi="Sylfaen"/>
            <w:noProof/>
            <w:lang w:val="ka-GE"/>
          </w:rPr>
          <w:t>კანდიდატი უბნის საზღვრებს გარეთ ანალოგიურ ჰაბიტატებზე და სახეობებზე ზემოქმედების შეფასება</w:t>
        </w:r>
        <w:r w:rsidR="00A2588D" w:rsidRPr="00A2588D">
          <w:rPr>
            <w:rFonts w:ascii="Sylfaen" w:hAnsi="Sylfaen"/>
            <w:noProof/>
            <w:webHidden/>
          </w:rPr>
          <w:tab/>
        </w:r>
        <w:r w:rsidR="00A2588D" w:rsidRPr="00A2588D">
          <w:rPr>
            <w:rFonts w:ascii="Sylfaen" w:hAnsi="Sylfaen"/>
            <w:noProof/>
            <w:webHidden/>
          </w:rPr>
          <w:fldChar w:fldCharType="begin"/>
        </w:r>
        <w:r w:rsidR="00A2588D" w:rsidRPr="00A2588D">
          <w:rPr>
            <w:rFonts w:ascii="Sylfaen" w:hAnsi="Sylfaen"/>
            <w:noProof/>
            <w:webHidden/>
          </w:rPr>
          <w:instrText xml:space="preserve"> PAGEREF _Toc536676162 \h </w:instrText>
        </w:r>
        <w:r w:rsidR="00A2588D" w:rsidRPr="00A2588D">
          <w:rPr>
            <w:rFonts w:ascii="Sylfaen" w:hAnsi="Sylfaen"/>
            <w:noProof/>
            <w:webHidden/>
          </w:rPr>
        </w:r>
        <w:r w:rsidR="00A2588D" w:rsidRPr="00A2588D">
          <w:rPr>
            <w:rFonts w:ascii="Sylfaen" w:hAnsi="Sylfaen"/>
            <w:noProof/>
            <w:webHidden/>
          </w:rPr>
          <w:fldChar w:fldCharType="separate"/>
        </w:r>
        <w:r w:rsidR="00A2588D" w:rsidRPr="00A2588D">
          <w:rPr>
            <w:rFonts w:ascii="Sylfaen" w:hAnsi="Sylfaen"/>
            <w:noProof/>
            <w:webHidden/>
          </w:rPr>
          <w:t>16</w:t>
        </w:r>
        <w:r w:rsidR="00A2588D" w:rsidRPr="00A2588D">
          <w:rPr>
            <w:rFonts w:ascii="Sylfaen" w:hAnsi="Sylfaen"/>
            <w:noProof/>
            <w:webHidden/>
          </w:rPr>
          <w:fldChar w:fldCharType="end"/>
        </w:r>
      </w:hyperlink>
    </w:p>
    <w:p w14:paraId="174ACB5B" w14:textId="77777777" w:rsidR="00A2588D" w:rsidRPr="00A2588D" w:rsidRDefault="006A7631" w:rsidP="00A2588D">
      <w:pPr>
        <w:pStyle w:val="TOC1"/>
        <w:tabs>
          <w:tab w:val="clear" w:pos="440"/>
          <w:tab w:val="clear" w:pos="9617"/>
          <w:tab w:val="left" w:pos="442"/>
          <w:tab w:val="right" w:leader="dot" w:pos="9629"/>
        </w:tabs>
        <w:rPr>
          <w:rFonts w:ascii="Sylfaen" w:eastAsiaTheme="minorEastAsia" w:hAnsi="Sylfaen"/>
          <w:b w:val="0"/>
        </w:rPr>
      </w:pPr>
      <w:hyperlink w:anchor="_Toc536676163" w:history="1">
        <w:r w:rsidR="00A2588D" w:rsidRPr="00A2588D">
          <w:rPr>
            <w:rStyle w:val="Hyperlink"/>
            <w:rFonts w:ascii="Sylfaen" w:hAnsi="Sylfaen"/>
            <w:lang w:val="ka-GE"/>
          </w:rPr>
          <w:t>6</w:t>
        </w:r>
        <w:r w:rsidR="00A2588D" w:rsidRPr="00A2588D">
          <w:rPr>
            <w:rFonts w:ascii="Sylfaen" w:eastAsiaTheme="minorEastAsia" w:hAnsi="Sylfaen"/>
            <w:b w:val="0"/>
          </w:rPr>
          <w:tab/>
        </w:r>
        <w:r w:rsidR="00A2588D" w:rsidRPr="00A2588D">
          <w:rPr>
            <w:rStyle w:val="Hyperlink"/>
            <w:rFonts w:ascii="Sylfaen" w:hAnsi="Sylfaen"/>
            <w:lang w:val="ka-GE"/>
          </w:rPr>
          <w:t>დასკვნა</w:t>
        </w:r>
        <w:r w:rsidR="00A2588D" w:rsidRPr="00A2588D">
          <w:rPr>
            <w:rFonts w:ascii="Sylfaen" w:hAnsi="Sylfaen"/>
            <w:webHidden/>
          </w:rPr>
          <w:tab/>
        </w:r>
        <w:r w:rsidR="00A2588D" w:rsidRPr="00A2588D">
          <w:rPr>
            <w:rFonts w:ascii="Sylfaen" w:hAnsi="Sylfaen"/>
            <w:webHidden/>
          </w:rPr>
          <w:fldChar w:fldCharType="begin"/>
        </w:r>
        <w:r w:rsidR="00A2588D" w:rsidRPr="00A2588D">
          <w:rPr>
            <w:rFonts w:ascii="Sylfaen" w:hAnsi="Sylfaen"/>
            <w:webHidden/>
          </w:rPr>
          <w:instrText xml:space="preserve"> PAGEREF _Toc536676163 \h </w:instrText>
        </w:r>
        <w:r w:rsidR="00A2588D" w:rsidRPr="00A2588D">
          <w:rPr>
            <w:rFonts w:ascii="Sylfaen" w:hAnsi="Sylfaen"/>
            <w:webHidden/>
          </w:rPr>
        </w:r>
        <w:r w:rsidR="00A2588D" w:rsidRPr="00A2588D">
          <w:rPr>
            <w:rFonts w:ascii="Sylfaen" w:hAnsi="Sylfaen"/>
            <w:webHidden/>
          </w:rPr>
          <w:fldChar w:fldCharType="separate"/>
        </w:r>
        <w:r w:rsidR="00A2588D" w:rsidRPr="00A2588D">
          <w:rPr>
            <w:rFonts w:ascii="Sylfaen" w:hAnsi="Sylfaen"/>
            <w:webHidden/>
          </w:rPr>
          <w:t>21</w:t>
        </w:r>
        <w:r w:rsidR="00A2588D" w:rsidRPr="00A2588D">
          <w:rPr>
            <w:rFonts w:ascii="Sylfaen" w:hAnsi="Sylfaen"/>
            <w:webHidden/>
          </w:rPr>
          <w:fldChar w:fldCharType="end"/>
        </w:r>
      </w:hyperlink>
    </w:p>
    <w:p w14:paraId="2B6823D9" w14:textId="77777777" w:rsidR="00A2588D" w:rsidRPr="00A2588D" w:rsidRDefault="00A2588D" w:rsidP="00A2588D">
      <w:pPr>
        <w:spacing w:after="160" w:line="259" w:lineRule="auto"/>
        <w:rPr>
          <w:rFonts w:ascii="Sylfaen" w:hAnsi="Sylfaen"/>
          <w:b/>
          <w:lang w:val="ka-GE"/>
        </w:rPr>
      </w:pPr>
      <w:r w:rsidRPr="00A2588D">
        <w:rPr>
          <w:rFonts w:ascii="Sylfaen" w:hAnsi="Sylfaen"/>
          <w:b/>
          <w:lang w:val="ka-GE"/>
        </w:rPr>
        <w:fldChar w:fldCharType="end"/>
      </w:r>
    </w:p>
    <w:p w14:paraId="553401BD" w14:textId="77777777" w:rsidR="00A2588D" w:rsidRPr="00A2588D" w:rsidRDefault="00A2588D" w:rsidP="00A2588D">
      <w:pPr>
        <w:spacing w:after="160" w:line="259" w:lineRule="auto"/>
        <w:rPr>
          <w:rFonts w:ascii="Sylfaen" w:hAnsi="Sylfaen"/>
          <w:b/>
          <w:lang w:val="ka-GE"/>
        </w:rPr>
      </w:pPr>
      <w:r w:rsidRPr="00A2588D">
        <w:rPr>
          <w:rFonts w:ascii="Sylfaen" w:hAnsi="Sylfaen"/>
          <w:b/>
          <w:lang w:val="ka-GE"/>
        </w:rPr>
        <w:br w:type="page"/>
      </w:r>
    </w:p>
    <w:p w14:paraId="47339B8F" w14:textId="77777777" w:rsidR="00A2588D" w:rsidRPr="00A2588D" w:rsidRDefault="00A2588D" w:rsidP="00A2588D">
      <w:pPr>
        <w:rPr>
          <w:b/>
          <w:sz w:val="24"/>
        </w:rPr>
      </w:pPr>
      <w:bookmarkStart w:id="687" w:name="_Toc536676151"/>
      <w:r w:rsidRPr="00A2588D">
        <w:rPr>
          <w:rFonts w:ascii="Sylfaen" w:hAnsi="Sylfaen" w:cs="Sylfaen"/>
          <w:b/>
          <w:sz w:val="24"/>
        </w:rPr>
        <w:lastRenderedPageBreak/>
        <w:t>შესავალი</w:t>
      </w:r>
      <w:bookmarkEnd w:id="687"/>
    </w:p>
    <w:p w14:paraId="21E38602" w14:textId="77777777" w:rsidR="00A2588D" w:rsidRPr="00A2588D" w:rsidRDefault="00A2588D" w:rsidP="00A2588D">
      <w:pPr>
        <w:rPr>
          <w:rFonts w:ascii="Sylfaen" w:hAnsi="Sylfaen"/>
          <w:lang w:val="ka-GE"/>
        </w:rPr>
      </w:pPr>
      <w:r w:rsidRPr="00A2588D">
        <w:rPr>
          <w:rFonts w:ascii="Sylfaen" w:hAnsi="Sylfaen"/>
          <w:lang w:val="ka-GE"/>
        </w:rPr>
        <w:t>წინამდებარე დოკუმენტი მომზადებულია გურჯაანის (ჩუმლაყი)-თელავის  შემოვლითი გზის მონაკვეთის (30 კმ) სამშენებლო სამუშაოების გარემოზე ზემოქმედების შეფასების (გზშ) ანგარიშზე საქართველოს გარემოს დაცვის და სოფლის მეურნეობის სამინისტროს შენიშვნების გათვალისწინების მიზნით, კერძოდ ვინაიდან საპროექტო ტერიტორია ემთხვევა "ევროპის ველური ბუნების და ბუნებრივი ჰაბიტატების დაცვის შესახებ" (ბერნის) კონვენციის შესაბამისად შექმნილ "ზურმუხტის ქსელის" შეთავაზებულ საიტს (გომბორი - GE0000027), საჭიროა იქ არსებულ სახეობებზე და ჰაბიტატებზე ზეგავლენის შეფასება ე.წ. მიზანშეწონილობის შეფასება, მათზე შესაძლო ზემოქმედება, ამ ზემოქმედების თავიდან აცილების და საჭიროების შემთხვევაში საკომპენსაციო ღონისძიებები. შეფასებაში ასახული უნდა იქნას, საქმიანობის სახეების მიხედვით მოსალოდნელი ზეგავლენა სათანადო დასაბუთებებით, ასევე შემარბილებელი და ზემოქმედების თავიდან აცილების ქმედებები. წარმოდგენილ უნდა იქნას, კვლევის შედეგებზე დაყრდნობით მომზადებული საკონსერვაციო გეგმა.</w:t>
      </w:r>
    </w:p>
    <w:p w14:paraId="3098B206" w14:textId="77777777" w:rsidR="00A2588D" w:rsidRPr="00A2588D" w:rsidRDefault="00A2588D" w:rsidP="00A2588D">
      <w:pPr>
        <w:rPr>
          <w:rFonts w:ascii="Sylfaen" w:hAnsi="Sylfaen"/>
          <w:lang w:val="ka-GE"/>
        </w:rPr>
      </w:pPr>
      <w:r w:rsidRPr="00A2588D">
        <w:rPr>
          <w:rFonts w:ascii="Sylfaen" w:hAnsi="Sylfaen"/>
          <w:lang w:val="ka-GE"/>
        </w:rPr>
        <w:t xml:space="preserve">აღნიშნული მოთხოვნიდან გამომდინარე, წინამდებარე დოკუმენტი წარმოადგენს პროექტის ზემოქმედების შეფასებას (ე.წ. „მიზანშეწონილობის შეფასება“) „ზურმუხტის ქსელი“-ს  შეთავაზებულ კანდიდატ უბანზე: „გომბორი“ (კოდი: GE0000027). </w:t>
      </w:r>
    </w:p>
    <w:p w14:paraId="6CF26BF7" w14:textId="77777777" w:rsidR="00A2588D" w:rsidRPr="00A2588D" w:rsidRDefault="00A2588D" w:rsidP="00A2588D">
      <w:pPr>
        <w:spacing w:before="120"/>
        <w:rPr>
          <w:rFonts w:ascii="Sylfaen" w:hAnsi="Sylfaen"/>
          <w:lang w:val="ka-GE"/>
        </w:rPr>
      </w:pPr>
      <w:r w:rsidRPr="00A2588D">
        <w:rPr>
          <w:rFonts w:ascii="Sylfaen" w:hAnsi="Sylfaen"/>
          <w:lang w:val="ka-GE"/>
        </w:rPr>
        <w:t>საპროექტო გზის დერეფანი თითქმის მთლიანად სცდება ზურმუხტის ქსელის კანდიდატი უბნის საზღვრებს. საპროექტო ორგანიზაციის მიერ მომზადებული კარტოგრაფიული მასალების მიხედვით (</w:t>
      </w:r>
      <w:r w:rsidRPr="00A2588D">
        <w:rPr>
          <w:rFonts w:ascii="Sylfaen" w:hAnsi="Sylfaen"/>
        </w:rPr>
        <w:t xml:space="preserve">shape </w:t>
      </w:r>
      <w:r w:rsidRPr="00A2588D">
        <w:rPr>
          <w:rFonts w:ascii="Sylfaen" w:hAnsi="Sylfaen"/>
          <w:lang w:val="ka-GE"/>
        </w:rPr>
        <w:t xml:space="preserve">ფაილები), დერეფნის მხოლოდ საწყისი მცირე ნაწილი (დაახლოებით 10-15 მ სიგრძის მონაკვეთი, 0,09 ჰა ფართობი) შედის კანდიდატი უბნის საზღვრებში. თუმცა თავიდანვე უნდა აღინიშნოს, რომ ეს უბანი  წარმოადგენს თელავის მომიჯნავე სოფლის, ვარდისუბნის მჭიდროდ დასახლებულ ზონას, რომლის ანთროპოგენური დატვირთვის ხარისხი ძალზედ მაღალია. გარდა ამისა ზურმუხტის ქსელის კანდიდატი უბნის საზღვრებს უახლოვდება საპროექტო გზის ცალკეული მონაკვეთები, რაც აღწერილია წინამდებარე ანგარიშში. </w:t>
      </w:r>
    </w:p>
    <w:p w14:paraId="2B24D021" w14:textId="77777777" w:rsidR="00A2588D" w:rsidRPr="00A2588D" w:rsidRDefault="00A2588D" w:rsidP="00A2588D">
      <w:pPr>
        <w:spacing w:before="120"/>
        <w:rPr>
          <w:rFonts w:ascii="Sylfaen" w:hAnsi="Sylfaen"/>
          <w:lang w:val="ka-GE"/>
        </w:rPr>
      </w:pPr>
      <w:r w:rsidRPr="00A2588D">
        <w:rPr>
          <w:rFonts w:ascii="Sylfaen" w:hAnsi="Sylfaen"/>
          <w:lang w:val="ka-GE"/>
        </w:rPr>
        <w:t>შეფასების პროცესში გათვალისწინებული იქნა „ზურმუხტის ქსელი“-ს კანდიდატი უბნის ნომინირების მიზანი და „სტანდარტული მონაცემთა ფორმის“ მიხედვით უბანზე გამოყოფილი ჰაბიტატების ტიპები და სახეობები. დადგინდა საპროექტო დერეფნის ფარგლებში ზურმუხტის კანდიდატ უბანზე იდენტიფიცირებული ჰაბიტატების შეხვედრილობა, შეფასდა დერეფანში წარმოდგენილი ჰაბიტატების მოწყვლადობა და არსებული მდგომარეობა; განისაზღვრა ეს ჰაბიტატები რამდენად კრიტიკული და უნიკალურია არეალში გავრცელებული, განსაკუთრებით ბერნის კონვენციით დაცული სახეობებისთვის.</w:t>
      </w:r>
    </w:p>
    <w:p w14:paraId="3E513CF5" w14:textId="77777777" w:rsidR="00A2588D" w:rsidRPr="00A2588D" w:rsidRDefault="00A2588D" w:rsidP="00A2588D">
      <w:pPr>
        <w:rPr>
          <w:rFonts w:ascii="Sylfaen" w:hAnsi="Sylfaen"/>
          <w:lang w:val="ka-GE"/>
        </w:rPr>
      </w:pPr>
      <w:r w:rsidRPr="00A2588D">
        <w:rPr>
          <w:rFonts w:ascii="Sylfaen" w:hAnsi="Sylfaen"/>
          <w:lang w:val="ka-GE"/>
        </w:rPr>
        <w:t xml:space="preserve">დოკუმენტში წარმოდგენილი ინფორმაცია ეფუძნება როგორც გზშ-ს ფარგლებში ჩატარებული ბიოლოგიური კვლევის შედეგებს, ასევე სამინისტროს შენიშვნის საფუძველზე 2019 წლის იანვრის თვეში, საპროექტო დერეფანში კრიტიკული ჰაბიტატების და სახეობების იდენტიფიცირების მიზნით, დამატებითი შესწავლის შედეგებს. </w:t>
      </w:r>
    </w:p>
    <w:p w14:paraId="4D9C5AF8" w14:textId="77777777" w:rsidR="00A2588D" w:rsidRPr="00A2588D" w:rsidRDefault="00A2588D" w:rsidP="00A2588D">
      <w:pPr>
        <w:rPr>
          <w:rFonts w:ascii="Sylfaen" w:hAnsi="Sylfaen"/>
          <w:lang w:val="ka-GE"/>
        </w:rPr>
      </w:pPr>
    </w:p>
    <w:p w14:paraId="025ABF61" w14:textId="77777777" w:rsidR="00A2588D" w:rsidRPr="00A2588D" w:rsidRDefault="00A2588D" w:rsidP="00A2588D">
      <w:pPr>
        <w:rPr>
          <w:b/>
          <w:sz w:val="24"/>
        </w:rPr>
      </w:pPr>
      <w:bookmarkStart w:id="688" w:name="_Toc536676152"/>
      <w:r w:rsidRPr="00A2588D">
        <w:rPr>
          <w:rFonts w:ascii="Sylfaen" w:hAnsi="Sylfaen" w:cs="Sylfaen"/>
          <w:b/>
          <w:sz w:val="24"/>
        </w:rPr>
        <w:t>პროექტის</w:t>
      </w:r>
      <w:r w:rsidRPr="00A2588D">
        <w:rPr>
          <w:b/>
          <w:sz w:val="24"/>
        </w:rPr>
        <w:t xml:space="preserve"> </w:t>
      </w:r>
      <w:r w:rsidRPr="00A2588D">
        <w:rPr>
          <w:rFonts w:ascii="Sylfaen" w:hAnsi="Sylfaen" w:cs="Sylfaen"/>
          <w:b/>
          <w:sz w:val="24"/>
        </w:rPr>
        <w:t>მოკლე</w:t>
      </w:r>
      <w:r w:rsidRPr="00A2588D">
        <w:rPr>
          <w:b/>
          <w:sz w:val="24"/>
        </w:rPr>
        <w:t xml:space="preserve"> </w:t>
      </w:r>
      <w:r w:rsidRPr="00A2588D">
        <w:rPr>
          <w:rFonts w:ascii="Sylfaen" w:hAnsi="Sylfaen" w:cs="Sylfaen"/>
          <w:b/>
          <w:sz w:val="24"/>
        </w:rPr>
        <w:t>აღწერილობა</w:t>
      </w:r>
      <w:bookmarkEnd w:id="688"/>
    </w:p>
    <w:p w14:paraId="6E6C9333" w14:textId="77777777" w:rsidR="00A2588D" w:rsidRPr="00A2588D" w:rsidRDefault="00A2588D" w:rsidP="00A2588D">
      <w:pPr>
        <w:spacing w:before="120"/>
        <w:rPr>
          <w:rFonts w:ascii="Sylfaen" w:hAnsi="Sylfaen" w:cs="Sylfaen"/>
          <w:lang w:val="ka-GE"/>
        </w:rPr>
      </w:pPr>
      <w:r w:rsidRPr="00A2588D">
        <w:rPr>
          <w:rFonts w:ascii="Sylfaen" w:hAnsi="Sylfaen"/>
          <w:lang w:val="ka-GE" w:eastAsia="en-GB"/>
        </w:rPr>
        <w:t>გურჯაანის (ჩუმლაყი)</w:t>
      </w:r>
      <w:r w:rsidRPr="00A2588D">
        <w:rPr>
          <w:rFonts w:ascii="Sylfaen" w:hAnsi="Sylfaen"/>
          <w:lang w:eastAsia="en-GB"/>
        </w:rPr>
        <w:t>-</w:t>
      </w:r>
      <w:r w:rsidRPr="00A2588D">
        <w:rPr>
          <w:rFonts w:ascii="Sylfaen" w:hAnsi="Sylfaen"/>
          <w:lang w:val="ka-GE" w:eastAsia="en-GB"/>
        </w:rPr>
        <w:t xml:space="preserve">თელავის </w:t>
      </w:r>
      <w:r w:rsidRPr="00A2588D">
        <w:rPr>
          <w:rFonts w:ascii="Sylfaen" w:hAnsi="Sylfaen" w:cs="Sylfaen"/>
          <w:lang w:val="ka-GE"/>
        </w:rPr>
        <w:t>საგზაო მონაკვეთი შეადგენს ახმეტა-თელავი-ბაკურციხის შიდასახელმწიფოებრივი მნიშვნელობის გზის („ს-42“) შემადგენელ ნაწილს და ასრულებს თბილისის კახეთის მხარესთან დამაკავშირებელი მარშრუტის ერთ-ერთი ძირითადი კომპონენტის ფუნქციას. ბაკურციხეში „ს-42“ გზა უერთდება თბილისი-ბაკურციხე-ლაგოდეხის გზატკეცილს, რომელიც თბილისიდან აზერბაიჯანის საზღვრამდე (ლაგოდეხთან) გამავალ მთავარ გზას წარმოადგენს.</w:t>
      </w:r>
    </w:p>
    <w:p w14:paraId="5657F6C0" w14:textId="77777777" w:rsidR="00A2588D" w:rsidRPr="00A2588D" w:rsidRDefault="00A2588D" w:rsidP="00A2588D">
      <w:pPr>
        <w:spacing w:before="120"/>
        <w:rPr>
          <w:rFonts w:ascii="Sylfaen" w:hAnsi="Sylfaen" w:cs="Sylfaen"/>
          <w:lang w:val="ka-GE"/>
        </w:rPr>
      </w:pPr>
      <w:r w:rsidRPr="00A2588D">
        <w:rPr>
          <w:rFonts w:ascii="Sylfaen" w:hAnsi="Sylfaen" w:cs="Sylfaen"/>
          <w:lang w:val="ka-GE"/>
        </w:rPr>
        <w:t xml:space="preserve">პროექტის განხორციელების მიზანია პროექტის ფარგლებში გასაუმჯობესებელ მონაკვეთებზე საავტომობილო გადაზიდვების ხარჯების შემცირების და საგზაო მოძრაობის უსაფრთხოების პირობების გაუმჯობესების ხელშეწყობა. </w:t>
      </w:r>
    </w:p>
    <w:p w14:paraId="07A211D3" w14:textId="77777777" w:rsidR="00A2588D" w:rsidRPr="00A2588D" w:rsidRDefault="00A2588D" w:rsidP="00A2588D">
      <w:pPr>
        <w:spacing w:before="120"/>
        <w:rPr>
          <w:rFonts w:ascii="Sylfaen" w:hAnsi="Sylfaen" w:cs="Sylfaen"/>
          <w:lang w:val="ka-GE"/>
        </w:rPr>
      </w:pPr>
      <w:r w:rsidRPr="00A2588D">
        <w:rPr>
          <w:rFonts w:ascii="Sylfaen" w:hAnsi="Sylfaen" w:cs="Sylfaen"/>
          <w:lang w:val="ka-GE"/>
        </w:rPr>
        <w:t xml:space="preserve">არსებული თელავი-გურჯაანი-ბაკურციხე-წნორის გზას გააჩნია ორზოლიანი სავალი ნაწილი, რომლის მოასფალტებული ზედაპირის სიგანე 6.5-დან 9.0 მეტრამდე იცვლება, ხოლო უასფალტო გვერდულები 0.5-დან 1.0 მეტრამდე დიაპაზონში ვარირებენ. მთლიანობაში, არსებული საგზაო </w:t>
      </w:r>
      <w:r w:rsidRPr="00A2588D">
        <w:rPr>
          <w:rFonts w:ascii="Sylfaen" w:hAnsi="Sylfaen" w:cs="Sylfaen"/>
          <w:lang w:val="ka-GE"/>
        </w:rPr>
        <w:lastRenderedPageBreak/>
        <w:t xml:space="preserve">სამოსი დამაკმაყოფილებელ ან ცუდ მდგომარეობაშია, ხოლო გზის საფარი დარღვევების ნიშნებს ავლენს. არსებული საგზაო მონაკვეთები გადიან ბევრ დასახლებაზე, რაც პრობლემებს უქმნის საგზაო მოძრაობის უსაფრთხოებას, ამცირებს მოძრაობის სიჩქარეს და ზღუდავს არსებული ტრასის გასწვრივ გზის გაუმჯობესების შესაძლებლობებს. იგივე მდგომაროებაა გურჯაანი (ჩუმლაყი)–თელავის გზის ნაწილზე, რომელიც იგივე კორიდორში ბაკურციხე-წნორის ჩრდილო-დასავლეთით არსებული ნაწილია. გზის ეს მონაკვეთი აკავშირებს კახეთის ორ ქალაქს თელავსა და გურჯაანს, გადის 19 სოფელზე 94,000 (თელავისა და გურჯაანის მოსახლეობის ჩათვლით) მოსახლით. </w:t>
      </w:r>
      <w:r w:rsidRPr="00A2588D">
        <w:rPr>
          <w:rFonts w:ascii="Sylfaen" w:hAnsi="Sylfaen"/>
          <w:lang w:val="ka-GE" w:eastAsia="en-GB"/>
        </w:rPr>
        <w:t>გურჯაანის (ჩუმლაყი)</w:t>
      </w:r>
      <w:r w:rsidRPr="00A2588D">
        <w:rPr>
          <w:rFonts w:ascii="Sylfaen" w:hAnsi="Sylfaen"/>
          <w:lang w:eastAsia="en-GB"/>
        </w:rPr>
        <w:t>-</w:t>
      </w:r>
      <w:r w:rsidRPr="00A2588D">
        <w:rPr>
          <w:rFonts w:ascii="Sylfaen" w:hAnsi="Sylfaen"/>
          <w:lang w:val="ka-GE" w:eastAsia="en-GB"/>
        </w:rPr>
        <w:t xml:space="preserve">თელავის </w:t>
      </w:r>
      <w:r w:rsidRPr="00A2588D">
        <w:rPr>
          <w:rFonts w:ascii="Sylfaen" w:hAnsi="Sylfaen" w:cs="Sylfaen"/>
          <w:lang w:val="ka-GE"/>
        </w:rPr>
        <w:t>გზას ასევე აქვს საგზაო უსაფრთხოების მნიშვნელოვანი პრობლემები და ასევე ვერ კმაყოფილდება პარამეტრები (გზის სიგანე, სანიაღვრე სისტემა და ა.შ.).</w:t>
      </w:r>
    </w:p>
    <w:p w14:paraId="6F92789B" w14:textId="77777777" w:rsidR="00A2588D" w:rsidRPr="00A2588D" w:rsidRDefault="00A2588D" w:rsidP="00A2588D">
      <w:pPr>
        <w:spacing w:before="120"/>
        <w:rPr>
          <w:rFonts w:ascii="Sylfaen" w:hAnsi="Sylfaen" w:cs="Sylfaen"/>
          <w:lang w:val="ka-GE"/>
        </w:rPr>
      </w:pPr>
      <w:r w:rsidRPr="00A2588D">
        <w:rPr>
          <w:rFonts w:ascii="Sylfaen" w:hAnsi="Sylfaen" w:cs="Sylfaen"/>
          <w:lang w:val="ka-GE"/>
        </w:rPr>
        <w:t xml:space="preserve">მარშრუტის სამომავლო მოდერნიზებისთვის გარდაუვლად მიიჩნევა ახალი ალტერნატიული ტრასირება. </w:t>
      </w:r>
    </w:p>
    <w:p w14:paraId="6129D1E9" w14:textId="77777777" w:rsidR="00A2588D" w:rsidRPr="00A2588D" w:rsidRDefault="00A2588D" w:rsidP="00A2588D">
      <w:pPr>
        <w:spacing w:before="120"/>
        <w:rPr>
          <w:rFonts w:ascii="Sylfaen" w:eastAsia="Arial" w:hAnsi="Sylfaen"/>
          <w:lang w:eastAsia="en-GB"/>
        </w:rPr>
      </w:pPr>
      <w:r w:rsidRPr="00A2588D">
        <w:rPr>
          <w:rFonts w:ascii="Sylfaen" w:hAnsi="Sylfaen"/>
          <w:lang w:val="ka-GE" w:eastAsia="en-GB"/>
        </w:rPr>
        <w:t>გურჯაანის (ჩუმლაყი)</w:t>
      </w:r>
      <w:r w:rsidRPr="00A2588D">
        <w:rPr>
          <w:rFonts w:ascii="Sylfaen" w:hAnsi="Sylfaen"/>
          <w:lang w:eastAsia="en-GB"/>
        </w:rPr>
        <w:t>-</w:t>
      </w:r>
      <w:r w:rsidRPr="00A2588D">
        <w:rPr>
          <w:rFonts w:ascii="Sylfaen" w:hAnsi="Sylfaen"/>
          <w:lang w:val="ka-GE" w:eastAsia="en-GB"/>
        </w:rPr>
        <w:t xml:space="preserve">თელავის </w:t>
      </w:r>
      <w:r w:rsidRPr="00A2588D">
        <w:rPr>
          <w:rFonts w:ascii="Sylfaen" w:hAnsi="Sylfaen" w:cs="Sylfaen"/>
          <w:lang w:val="ka-GE"/>
        </w:rPr>
        <w:t xml:space="preserve">გზის მონაკვეთის ნაწილი დეტალური დიზაინის მომზადებისას დაიგეგმება და აშენდება ალაზნის დაბლობზე ზემოთნახსენებ დასახლებულ პუნქტებსა და მთიან ნაწილებზე შემოვლით. იგი არსებული გზის 104 კილომეტრს დააკავშირებს (სოფელ ბაკურციხეზე გავლით) იგივე გზის 120 კილომეტრიან მონაკვეთთან. </w:t>
      </w:r>
      <w:r w:rsidRPr="00A2588D">
        <w:rPr>
          <w:rFonts w:ascii="Sylfaen" w:hAnsi="Sylfaen"/>
          <w:lang w:val="ka-GE" w:eastAsia="en-GB"/>
        </w:rPr>
        <w:t>გურჯაანის (ჩუმლაყი)</w:t>
      </w:r>
      <w:r w:rsidRPr="00A2588D">
        <w:rPr>
          <w:rFonts w:ascii="Sylfaen" w:hAnsi="Sylfaen"/>
          <w:lang w:eastAsia="en-GB"/>
        </w:rPr>
        <w:t>-</w:t>
      </w:r>
      <w:r w:rsidRPr="00A2588D">
        <w:rPr>
          <w:rFonts w:ascii="Sylfaen" w:hAnsi="Sylfaen"/>
          <w:lang w:val="ka-GE" w:eastAsia="en-GB"/>
        </w:rPr>
        <w:t xml:space="preserve">თელავის </w:t>
      </w:r>
      <w:r w:rsidRPr="00A2588D">
        <w:rPr>
          <w:rFonts w:ascii="Sylfaen" w:hAnsi="Sylfaen" w:cs="Sylfaen"/>
          <w:lang w:val="ka-GE"/>
        </w:rPr>
        <w:t>ნაწილი გაივლის მჭირდოდ დასახლებულ თელავის სოფლებზე, სადაც არსებობს აღნიშნულის საჭიროება და გამართლება. ა გზით არსებული გზა ვაზიანი-გომბორი-თელავის გზას ჟინვალი-ბაკურციხე-წნორის მეორად დერეფანთან დააკავშირებს.</w:t>
      </w:r>
    </w:p>
    <w:p w14:paraId="1C66BE60" w14:textId="77777777" w:rsidR="00A2588D" w:rsidRPr="00A2588D" w:rsidRDefault="00A2588D" w:rsidP="00A2588D">
      <w:pPr>
        <w:tabs>
          <w:tab w:val="left" w:pos="2520"/>
        </w:tabs>
        <w:spacing w:before="120"/>
        <w:rPr>
          <w:rFonts w:ascii="Sylfaen" w:hAnsi="Sylfaen"/>
          <w:lang w:val="ka-GE"/>
        </w:rPr>
      </w:pPr>
      <w:r w:rsidRPr="00A2588D">
        <w:rPr>
          <w:rFonts w:ascii="Sylfaen" w:hAnsi="Sylfaen"/>
          <w:lang w:val="ka-GE"/>
        </w:rPr>
        <w:t xml:space="preserve">გზა წარმოადგენს კახეთის ერთ-ერთი ძირითადი გზის, ახმეტა-თელავი-ბაკურციხის შიდასახელმწიფო  გზის, ნაწილს. ახმეტა-თელავი-ბაკურციხის გზა მჭიდროდ დასახლებულ ტერიტორიაზე  გადის  და მის ზემოაღნიშნულ მონაკვეთზე ტრანსპორტის ინტენსიური  სატრანზიტო მოძრაობაა, რაც საგზაო შემთხვევების მაღალ სიხშირეს განაპირობებს.  დაგეგმილია შემოსავლელი გზის მოწყობა ალაზნის ველის მხარეს, რომელიც დააკავშირებს თბილისი-ბაკურციხე-ლაგოდეხი-აზერბაიჯანის საზღვრის საერთაშორისო გზას არსებულ შიდასახელმწიფო გზასთან, სოფლების ბაკურციხის, კარდენახის, ანაგის, ვაქირის, მანშაარის, საკობოს და წნორის გვერდის ავლით. </w:t>
      </w:r>
    </w:p>
    <w:p w14:paraId="2CA21D7A" w14:textId="77777777" w:rsidR="00A2588D" w:rsidRPr="00A2588D" w:rsidRDefault="00A2588D" w:rsidP="00A2588D">
      <w:pPr>
        <w:spacing w:before="120"/>
        <w:rPr>
          <w:rFonts w:ascii="Sylfaen" w:hAnsi="Sylfaen" w:cs="Sylfaen"/>
          <w:lang w:val="ka-GE"/>
        </w:rPr>
      </w:pPr>
      <w:r w:rsidRPr="00A2588D">
        <w:rPr>
          <w:rFonts w:ascii="Sylfaen" w:hAnsi="Sylfaen" w:cs="Sylfaen"/>
          <w:lang w:val="ka-GE"/>
        </w:rPr>
        <w:t xml:space="preserve">გზა განაშენიანებული ფართობების გარდა, სასოფლო-სამეურნეო მიწებზე გადის. ამ მიწების დიდ ნაწილზე ვენახებია გაშენებული. ტრასას კვეთს მრავალრიცხოვანი მცირე გზები, რომლებიც მიემართება სამხრეთ-დასავლეთიდან ჩრდილო-აღმოსავლეთისკენ (ალაზნის  ველისკენ). </w:t>
      </w:r>
    </w:p>
    <w:p w14:paraId="6251986D" w14:textId="77777777" w:rsidR="00A2588D" w:rsidRPr="00A2588D" w:rsidRDefault="00A2588D" w:rsidP="00A2588D">
      <w:pPr>
        <w:rPr>
          <w:rFonts w:ascii="Sylfaen" w:eastAsia="Calibri" w:hAnsi="Sylfaen"/>
          <w:lang w:val="ka-GE"/>
        </w:rPr>
      </w:pPr>
      <w:r w:rsidRPr="00A2588D">
        <w:rPr>
          <w:rFonts w:ascii="Sylfaen" w:eastAsia="Calibri" w:hAnsi="Sylfaen"/>
          <w:lang w:val="ka-GE"/>
        </w:rPr>
        <w:t>საპროექტო გზის განივი კვეთის საანგარიშო ელემენტები განსაზღვრულია 100 კმ/სთ სიდიდის საანგარიშო მოძრაობის სიჩქარის გათვალისწინებით. გზის სრული სიგანე შეადგენს 13.00 მეტრს. ზედაპირული წყლის ობიექტების გადაკვეთის ადგილებთან გათვალისწინებულია სახიდე გადასასვლელების მოწყობა, მოეწყობა გვერდითი დრენაჟები და სხვა სადრენაჟე კონსტრუქციები. გზის ზედაპირი მოეწყობა მყარი საფარით. სამშენებლო სამშაოების ბოლოს განხორციელდება შესაფერისი საგზაო ნიშნების დაყენება და მონიშვნა, ასევე უსაფრთხოების ბარიერების მოწყობა.</w:t>
      </w:r>
    </w:p>
    <w:p w14:paraId="6F5175E5" w14:textId="77777777" w:rsidR="00A2588D" w:rsidRPr="00A2588D" w:rsidRDefault="00A2588D" w:rsidP="00A2588D">
      <w:pPr>
        <w:spacing w:before="120"/>
        <w:rPr>
          <w:rFonts w:ascii="Sylfaen" w:hAnsi="Sylfaen"/>
          <w:lang w:val="ka-GE"/>
        </w:rPr>
      </w:pPr>
      <w:r w:rsidRPr="00A2588D">
        <w:rPr>
          <w:rFonts w:ascii="Sylfaen" w:hAnsi="Sylfaen"/>
          <w:lang w:val="ka-GE"/>
        </w:rPr>
        <w:t xml:space="preserve">გზის საპროექტო მახასიათებლები უფრო დეტალურად არის განხილული გზშ-ს ანგარიშის შესაბამის ქვეთავებში. </w:t>
      </w:r>
    </w:p>
    <w:p w14:paraId="2324CC67" w14:textId="77777777" w:rsidR="00A2588D" w:rsidRPr="00A2588D" w:rsidRDefault="00A2588D" w:rsidP="00A2588D">
      <w:pPr>
        <w:spacing w:before="120"/>
        <w:rPr>
          <w:rFonts w:ascii="Sylfaen" w:hAnsi="Sylfaen"/>
          <w:lang w:val="ka-GE"/>
        </w:rPr>
      </w:pPr>
      <w:r w:rsidRPr="00A2588D">
        <w:rPr>
          <w:rFonts w:ascii="Sylfaen" w:hAnsi="Sylfaen"/>
          <w:lang w:val="ka-GE"/>
        </w:rPr>
        <w:t xml:space="preserve">გზშ-ს ანგარიშის მიხედვით სამშენებლო ბანაკის ტერიტორიაზე განთავსებული იქნება ოფისები, სახელოსნოები და სასაწყობო ეზო, აგრეთვე სხვა სახის დაწესებულებები, მათ შორის ნავთობის შენახვისათვის საჭირო ტერიტორია. მშენებლობის ეტაპზე ატმოსფერულ ჰაერში მავნე ნივთიერებების ემისიების, ხმაურის და ვიბრაციის წყაროები იქნება ინერტული მასალების სამსხვრევ-დამხარისხებელი საამქრო, ბეტონის და ასფალტბეტონის კვანძების ფუნქციონირება. ამ ეტაპზე სამშენებლო ბანაკის განთავსებისათვის ტერიტორიის შერჩევა ჯერ არ დასრულებულა, თუმცა შეიძლება ითქვას, რომ ბანაკების მოსაწყობად არ განიხილება საპროექტო დერეფნის ის მონაკვეთები, რომლებიც მდებარეობენ ზურმუხტის ქსელის კანდიდატი უბნის საზღვრის სიახლოვეს. ასეთ სენსიტიურ მონაკვეთებში ასევე არ იგეგმება რაიმე მნიშვნელოვანი დამხმარე სანაყაროების მოწყობა ან კარიერების ათვისება. </w:t>
      </w:r>
    </w:p>
    <w:p w14:paraId="55C248C9" w14:textId="77777777" w:rsidR="00A2588D" w:rsidRPr="00A2588D" w:rsidRDefault="00A2588D" w:rsidP="00A2588D">
      <w:pPr>
        <w:spacing w:before="120"/>
        <w:rPr>
          <w:rFonts w:ascii="Sylfaen" w:hAnsi="Sylfaen"/>
          <w:lang w:val="ka-GE"/>
        </w:rPr>
      </w:pPr>
      <w:r w:rsidRPr="00A2588D">
        <w:rPr>
          <w:rFonts w:ascii="Sylfaen" w:hAnsi="Sylfaen"/>
          <w:lang w:val="ka-GE"/>
        </w:rPr>
        <w:lastRenderedPageBreak/>
        <w:t xml:space="preserve">აღნიშნულიდან  გამომდინარე დროებითი ნაგებობები (ბანაკი, სამსხვრევი ან ასფალტბეტონის ქარხანა, სანაყაროები, კარიერები) „ზურმუხტის ქსელი“-ს შეთავაზებულ კანდიდატ უბანზე და მის ჰაბიტატებზე მნიშვნელოვან გავლენას ვერ მოახდენს. კანდიდატ უბანზე ზემოქმედების შეფასებას ძირითადად ექვემდებარება გზის სამშენებლო სამუშაოები და მისი ექსპლუატაციის ეტაპი. </w:t>
      </w:r>
    </w:p>
    <w:p w14:paraId="196F17CB" w14:textId="77777777" w:rsidR="00A2588D" w:rsidRPr="00A2588D" w:rsidRDefault="00A2588D" w:rsidP="00A2588D">
      <w:pPr>
        <w:spacing w:before="120"/>
        <w:rPr>
          <w:rFonts w:ascii="Sylfaen" w:hAnsi="Sylfaen"/>
          <w:lang w:val="ka-GE"/>
        </w:rPr>
      </w:pPr>
      <w:r w:rsidRPr="00A2588D">
        <w:rPr>
          <w:rFonts w:ascii="Sylfaen" w:hAnsi="Sylfaen"/>
          <w:lang w:val="ka-GE"/>
        </w:rPr>
        <w:t xml:space="preserve">საპროექტო გზის და ზურმუხტის ქსელის კანდიდატი უბნის ურთიერთგანლაგება მოცემულია ნახაზზე 2.1. ამავე ნახაზზე დატანილია საპროექტო დერეფნის დაახლოებით 10 კმ სიგანის არეალში წარმოდგენილი ჰაბიტატების გავრცელება. წითელი რგოლებით მონიშნულია საპროექტო დერეფნის ის უბნები, რომლებიც ყველაზე ახლოს გადის შეთავაზებული კანდიდატი უბნის საზღვართან.  </w:t>
      </w:r>
      <w:r w:rsidRPr="00A2588D">
        <w:rPr>
          <w:rFonts w:ascii="Sylfaen" w:hAnsi="Sylfaen"/>
          <w:lang w:val="ka-GE"/>
        </w:rPr>
        <w:br w:type="page"/>
      </w:r>
    </w:p>
    <w:p w14:paraId="55F0993E" w14:textId="77777777" w:rsidR="00A2588D" w:rsidRPr="00A2588D" w:rsidRDefault="00A2588D" w:rsidP="00A2588D">
      <w:pPr>
        <w:spacing w:before="120"/>
        <w:rPr>
          <w:rFonts w:ascii="Sylfaen" w:hAnsi="Sylfaen"/>
          <w:lang w:val="ka-GE"/>
        </w:rPr>
        <w:sectPr w:rsidR="00A2588D" w:rsidRPr="00A2588D" w:rsidSect="00A2588D">
          <w:headerReference w:type="default" r:id="rId207"/>
          <w:footerReference w:type="first" r:id="rId208"/>
          <w:pgSz w:w="11907" w:h="16840" w:code="9"/>
          <w:pgMar w:top="1134" w:right="747" w:bottom="1134" w:left="1134" w:header="397" w:footer="397" w:gutter="0"/>
          <w:cols w:space="720"/>
          <w:titlePg/>
          <w:docGrid w:linePitch="360"/>
        </w:sectPr>
      </w:pPr>
    </w:p>
    <w:p w14:paraId="0A33B8D7" w14:textId="77777777" w:rsidR="00A2588D" w:rsidRPr="00A2588D" w:rsidRDefault="00A2588D" w:rsidP="00A2588D">
      <w:pPr>
        <w:spacing w:before="120"/>
        <w:jc w:val="right"/>
        <w:rPr>
          <w:rFonts w:ascii="Sylfaen" w:hAnsi="Sylfaen"/>
          <w:i/>
          <w:sz w:val="20"/>
          <w:lang w:val="ka-GE"/>
        </w:rPr>
      </w:pPr>
      <w:r w:rsidRPr="00A2588D">
        <w:rPr>
          <w:rFonts w:ascii="Sylfaen" w:hAnsi="Sylfaen"/>
          <w:i/>
          <w:sz w:val="20"/>
          <w:lang w:val="ka-GE"/>
        </w:rPr>
        <w:lastRenderedPageBreak/>
        <w:t>ნახაზი 2.1. საპროექტო გზის და კანდიდატი უბნის ურთიერთგანლაგების სქემა</w:t>
      </w:r>
    </w:p>
    <w:p w14:paraId="7D46D75C" w14:textId="77777777" w:rsidR="00A2588D" w:rsidRPr="00A2588D" w:rsidRDefault="00A2588D" w:rsidP="00A2588D">
      <w:pPr>
        <w:spacing w:after="200" w:line="276" w:lineRule="auto"/>
        <w:jc w:val="center"/>
        <w:rPr>
          <w:rFonts w:ascii="Sylfaen" w:eastAsia="Calibri" w:hAnsi="Sylfaen"/>
        </w:rPr>
      </w:pPr>
      <w:r w:rsidRPr="00A2588D">
        <w:rPr>
          <w:rFonts w:ascii="Sylfaen" w:eastAsia="Calibri" w:hAnsi="Sylfaen"/>
          <w:noProof/>
          <w:lang w:val="en-US" w:eastAsia="en-US"/>
        </w:rPr>
        <w:drawing>
          <wp:inline distT="0" distB="0" distL="0" distR="0" wp14:anchorId="5589BD71" wp14:editId="203573C4">
            <wp:extent cx="7855309" cy="5786323"/>
            <wp:effectExtent l="0" t="0" r="0" b="508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9" cstate="print">
                      <a:extLst>
                        <a:ext uri="{28A0092B-C50C-407E-A947-70E740481C1C}">
                          <a14:useLocalDpi xmlns:a14="http://schemas.microsoft.com/office/drawing/2010/main" val="0"/>
                        </a:ext>
                      </a:extLst>
                    </a:blip>
                    <a:srcRect t="1231" b="1890"/>
                    <a:stretch/>
                  </pic:blipFill>
                  <pic:spPr bwMode="auto">
                    <a:xfrm>
                      <a:off x="0" y="0"/>
                      <a:ext cx="7871949" cy="5798580"/>
                    </a:xfrm>
                    <a:prstGeom prst="rect">
                      <a:avLst/>
                    </a:prstGeom>
                    <a:ln>
                      <a:noFill/>
                    </a:ln>
                    <a:extLst>
                      <a:ext uri="{53640926-AAD7-44D8-BBD7-CCE9431645EC}">
                        <a14:shadowObscured xmlns:a14="http://schemas.microsoft.com/office/drawing/2010/main"/>
                      </a:ext>
                    </a:extLst>
                  </pic:spPr>
                </pic:pic>
              </a:graphicData>
            </a:graphic>
          </wp:inline>
        </w:drawing>
      </w:r>
    </w:p>
    <w:p w14:paraId="21C0DAA9" w14:textId="77777777" w:rsidR="00A2588D" w:rsidRPr="00A2588D" w:rsidRDefault="00A2588D" w:rsidP="00A2588D">
      <w:pPr>
        <w:spacing w:before="120"/>
        <w:rPr>
          <w:rFonts w:ascii="Sylfaen" w:hAnsi="Sylfaen"/>
          <w:sz w:val="36"/>
          <w:lang w:val="ka-GE"/>
        </w:rPr>
        <w:sectPr w:rsidR="00A2588D" w:rsidRPr="00A2588D" w:rsidSect="00A2588D">
          <w:pgSz w:w="16840" w:h="11907" w:orient="landscape" w:code="9"/>
          <w:pgMar w:top="1134" w:right="1134" w:bottom="1134" w:left="1134" w:header="397" w:footer="397" w:gutter="0"/>
          <w:cols w:space="720"/>
          <w:titlePg/>
          <w:docGrid w:linePitch="360"/>
        </w:sectPr>
      </w:pPr>
    </w:p>
    <w:p w14:paraId="7E915125" w14:textId="77777777" w:rsidR="00A2588D" w:rsidRPr="00A2588D" w:rsidRDefault="00A2588D" w:rsidP="00A2588D">
      <w:pPr>
        <w:spacing w:before="120" w:after="120"/>
        <w:rPr>
          <w:b/>
          <w:sz w:val="24"/>
        </w:rPr>
      </w:pPr>
      <w:bookmarkStart w:id="689" w:name="_Toc536676153"/>
      <w:r w:rsidRPr="00A2588D">
        <w:rPr>
          <w:b/>
          <w:sz w:val="24"/>
        </w:rPr>
        <w:lastRenderedPageBreak/>
        <w:t>„</w:t>
      </w:r>
      <w:r w:rsidRPr="00A2588D">
        <w:rPr>
          <w:rFonts w:ascii="Sylfaen" w:hAnsi="Sylfaen" w:cs="Sylfaen"/>
          <w:b/>
          <w:sz w:val="24"/>
        </w:rPr>
        <w:t>ზურმუხტის</w:t>
      </w:r>
      <w:r w:rsidRPr="00A2588D">
        <w:rPr>
          <w:b/>
          <w:sz w:val="24"/>
        </w:rPr>
        <w:t xml:space="preserve"> </w:t>
      </w:r>
      <w:r w:rsidRPr="00A2588D">
        <w:rPr>
          <w:rFonts w:ascii="Sylfaen" w:hAnsi="Sylfaen" w:cs="Sylfaen"/>
          <w:b/>
          <w:sz w:val="24"/>
        </w:rPr>
        <w:t>ქსელი</w:t>
      </w:r>
      <w:r w:rsidRPr="00A2588D">
        <w:rPr>
          <w:rFonts w:cs="Arial"/>
          <w:b/>
          <w:sz w:val="24"/>
        </w:rPr>
        <w:t>“</w:t>
      </w:r>
      <w:r w:rsidRPr="00A2588D">
        <w:rPr>
          <w:b/>
          <w:sz w:val="24"/>
        </w:rPr>
        <w:t>-</w:t>
      </w:r>
      <w:r w:rsidRPr="00A2588D">
        <w:rPr>
          <w:rFonts w:ascii="Sylfaen" w:hAnsi="Sylfaen" w:cs="Sylfaen"/>
          <w:b/>
          <w:sz w:val="24"/>
        </w:rPr>
        <w:t>ს</w:t>
      </w:r>
      <w:r w:rsidRPr="00A2588D">
        <w:rPr>
          <w:b/>
          <w:sz w:val="24"/>
        </w:rPr>
        <w:t xml:space="preserve"> </w:t>
      </w:r>
      <w:r w:rsidRPr="00A2588D">
        <w:rPr>
          <w:rFonts w:ascii="Sylfaen" w:hAnsi="Sylfaen" w:cs="Sylfaen"/>
          <w:b/>
          <w:sz w:val="24"/>
        </w:rPr>
        <w:t>კანდიდატი</w:t>
      </w:r>
      <w:r w:rsidRPr="00A2588D">
        <w:rPr>
          <w:b/>
          <w:sz w:val="24"/>
        </w:rPr>
        <w:t xml:space="preserve"> </w:t>
      </w:r>
      <w:r w:rsidRPr="00A2588D">
        <w:rPr>
          <w:rFonts w:ascii="Sylfaen" w:hAnsi="Sylfaen" w:cs="Sylfaen"/>
          <w:b/>
          <w:sz w:val="24"/>
        </w:rPr>
        <w:t>უბანი</w:t>
      </w:r>
      <w:r w:rsidRPr="00A2588D">
        <w:rPr>
          <w:b/>
          <w:sz w:val="24"/>
        </w:rPr>
        <w:t>: „</w:t>
      </w:r>
      <w:r w:rsidRPr="00A2588D">
        <w:rPr>
          <w:rFonts w:ascii="Sylfaen" w:hAnsi="Sylfaen" w:cs="Sylfaen"/>
          <w:b/>
          <w:sz w:val="24"/>
        </w:rPr>
        <w:t>გომბრორი</w:t>
      </w:r>
      <w:r w:rsidRPr="00A2588D">
        <w:rPr>
          <w:rFonts w:cs="Arial"/>
          <w:b/>
          <w:sz w:val="24"/>
        </w:rPr>
        <w:t>“</w:t>
      </w:r>
      <w:bookmarkEnd w:id="689"/>
    </w:p>
    <w:p w14:paraId="27E2EAC9" w14:textId="77777777" w:rsidR="00A2588D" w:rsidRPr="00A2588D" w:rsidRDefault="00A2588D" w:rsidP="00A2588D">
      <w:pPr>
        <w:spacing w:before="120" w:after="120"/>
        <w:rPr>
          <w:b/>
          <w:sz w:val="24"/>
        </w:rPr>
      </w:pPr>
      <w:bookmarkStart w:id="690" w:name="_Toc536676154"/>
      <w:r w:rsidRPr="00A2588D">
        <w:rPr>
          <w:rFonts w:ascii="Sylfaen" w:hAnsi="Sylfaen" w:cs="Sylfaen"/>
          <w:b/>
          <w:sz w:val="24"/>
        </w:rPr>
        <w:t>ზოგადი</w:t>
      </w:r>
      <w:r w:rsidRPr="00A2588D">
        <w:rPr>
          <w:b/>
          <w:sz w:val="24"/>
        </w:rPr>
        <w:t xml:space="preserve"> </w:t>
      </w:r>
      <w:r w:rsidRPr="00A2588D">
        <w:rPr>
          <w:rFonts w:ascii="Sylfaen" w:hAnsi="Sylfaen" w:cs="Sylfaen"/>
          <w:b/>
          <w:sz w:val="24"/>
        </w:rPr>
        <w:t>მიმოხილვა</w:t>
      </w:r>
      <w:bookmarkEnd w:id="690"/>
    </w:p>
    <w:p w14:paraId="4755DBB0" w14:textId="77777777" w:rsidR="00A2588D" w:rsidRPr="00A2588D" w:rsidRDefault="00A2588D" w:rsidP="00A2588D">
      <w:pPr>
        <w:autoSpaceDE w:val="0"/>
        <w:autoSpaceDN w:val="0"/>
        <w:adjustRightInd w:val="0"/>
        <w:spacing w:before="120" w:after="120"/>
        <w:rPr>
          <w:rFonts w:ascii="Sylfaen" w:eastAsia="Calibri" w:hAnsi="Sylfaen" w:cs="Sylfaen"/>
          <w:szCs w:val="16"/>
          <w:lang w:val="ka-GE"/>
        </w:rPr>
      </w:pPr>
      <w:r w:rsidRPr="00A2588D">
        <w:rPr>
          <w:rFonts w:ascii="Sylfaen" w:eastAsia="Calibri" w:hAnsi="Sylfaen" w:cs="Sylfaen"/>
          <w:szCs w:val="16"/>
          <w:lang w:val="ka-GE"/>
        </w:rPr>
        <w:t>1989 წელს ბერნის კონვენციის (კონვენცია „ევროპის ველური ბუნებისა და ბუნებრივი ჰაბიტატების დაცვის შესახებ“, რომელზედაც საქართველო მიერთებულია 2008 წელს) მხარე ქვეყნებმა ევროპის ბუნებრივი ჰაბიტატების დასაცავად შექმნეს სპეციალური მექანიზმი: „ზურმუხტის ქსელი“. ზურმუხტის</w:t>
      </w:r>
      <w:r w:rsidRPr="00A2588D">
        <w:rPr>
          <w:rFonts w:ascii="Sylfaen" w:eastAsia="Calibri" w:hAnsi="Sylfaen"/>
          <w:szCs w:val="16"/>
          <w:lang w:val="ka-GE"/>
        </w:rPr>
        <w:t xml:space="preserve"> </w:t>
      </w:r>
      <w:r w:rsidRPr="00A2588D">
        <w:rPr>
          <w:rFonts w:ascii="Sylfaen" w:eastAsia="Calibri" w:hAnsi="Sylfaen" w:cs="Sylfaen"/>
          <w:szCs w:val="16"/>
          <w:lang w:val="ka-GE"/>
        </w:rPr>
        <w:t>ქსელი</w:t>
      </w:r>
      <w:r w:rsidRPr="00A2588D">
        <w:rPr>
          <w:rFonts w:ascii="Sylfaen" w:eastAsia="Calibri" w:hAnsi="Sylfaen"/>
          <w:szCs w:val="16"/>
          <w:lang w:val="ka-GE"/>
        </w:rPr>
        <w:t xml:space="preserve"> </w:t>
      </w:r>
      <w:r w:rsidRPr="00A2588D">
        <w:rPr>
          <w:rFonts w:ascii="Sylfaen" w:eastAsia="Calibri" w:hAnsi="Sylfaen" w:cs="Sylfaen"/>
          <w:szCs w:val="16"/>
          <w:lang w:val="ka-GE"/>
        </w:rPr>
        <w:t>არის</w:t>
      </w:r>
      <w:r w:rsidRPr="00A2588D">
        <w:rPr>
          <w:rFonts w:ascii="Sylfaen" w:eastAsia="Calibri" w:hAnsi="Sylfaen"/>
          <w:szCs w:val="16"/>
          <w:lang w:val="ka-GE"/>
        </w:rPr>
        <w:t xml:space="preserve"> </w:t>
      </w:r>
      <w:r w:rsidRPr="00A2588D">
        <w:rPr>
          <w:rFonts w:ascii="Sylfaen" w:eastAsia="Calibri" w:hAnsi="Sylfaen" w:cs="Sylfaen"/>
          <w:szCs w:val="16"/>
          <w:lang w:val="ka-GE"/>
        </w:rPr>
        <w:t>ურთიერთდაკავშირებული ტერიტორიების</w:t>
      </w:r>
      <w:r w:rsidRPr="00A2588D">
        <w:rPr>
          <w:rFonts w:ascii="Sylfaen" w:eastAsia="Calibri" w:hAnsi="Sylfaen"/>
          <w:szCs w:val="16"/>
          <w:lang w:val="ka-GE"/>
        </w:rPr>
        <w:t xml:space="preserve"> </w:t>
      </w:r>
      <w:r w:rsidRPr="00A2588D">
        <w:rPr>
          <w:rFonts w:ascii="Sylfaen" w:eastAsia="Calibri" w:hAnsi="Sylfaen" w:cs="Sylfaen"/>
          <w:szCs w:val="16"/>
          <w:lang w:val="ka-GE"/>
        </w:rPr>
        <w:t>სისტემა</w:t>
      </w:r>
      <w:r w:rsidRPr="00A2588D">
        <w:rPr>
          <w:rFonts w:ascii="Sylfaen" w:eastAsia="Calibri" w:hAnsi="Sylfaen"/>
          <w:szCs w:val="16"/>
          <w:lang w:val="ka-GE"/>
        </w:rPr>
        <w:t xml:space="preserve">, </w:t>
      </w:r>
      <w:r w:rsidRPr="00A2588D">
        <w:rPr>
          <w:rFonts w:ascii="Sylfaen" w:eastAsia="Calibri" w:hAnsi="Sylfaen" w:cs="Sylfaen"/>
          <w:szCs w:val="16"/>
          <w:lang w:val="ka-GE"/>
        </w:rPr>
        <w:t>სადაც</w:t>
      </w:r>
      <w:r w:rsidRPr="00A2588D">
        <w:rPr>
          <w:rFonts w:ascii="Sylfaen" w:eastAsia="Calibri" w:hAnsi="Sylfaen"/>
          <w:szCs w:val="16"/>
          <w:lang w:val="ka-GE"/>
        </w:rPr>
        <w:t xml:space="preserve"> </w:t>
      </w:r>
      <w:r w:rsidRPr="00A2588D">
        <w:rPr>
          <w:rFonts w:ascii="Sylfaen" w:eastAsia="Calibri" w:hAnsi="Sylfaen" w:cs="Sylfaen"/>
          <w:szCs w:val="16"/>
          <w:lang w:val="ka-GE"/>
        </w:rPr>
        <w:t>ხორციელდება</w:t>
      </w:r>
      <w:r w:rsidRPr="00A2588D">
        <w:rPr>
          <w:rFonts w:ascii="Sylfaen" w:eastAsia="Calibri" w:hAnsi="Sylfaen"/>
          <w:szCs w:val="16"/>
          <w:lang w:val="ka-GE"/>
        </w:rPr>
        <w:t xml:space="preserve"> </w:t>
      </w:r>
      <w:r w:rsidRPr="00A2588D">
        <w:rPr>
          <w:rFonts w:ascii="Sylfaen" w:eastAsia="Calibri" w:hAnsi="Sylfaen" w:cs="Sylfaen"/>
          <w:szCs w:val="16"/>
          <w:lang w:val="ka-GE"/>
        </w:rPr>
        <w:t>შესაბამისი</w:t>
      </w:r>
      <w:r w:rsidRPr="00A2588D">
        <w:rPr>
          <w:rFonts w:ascii="Sylfaen" w:eastAsia="Calibri" w:hAnsi="Sylfaen"/>
          <w:szCs w:val="16"/>
          <w:lang w:val="ka-GE"/>
        </w:rPr>
        <w:t xml:space="preserve"> </w:t>
      </w:r>
      <w:r w:rsidRPr="00A2588D">
        <w:rPr>
          <w:rFonts w:ascii="Sylfaen" w:eastAsia="Calibri" w:hAnsi="Sylfaen" w:cs="Sylfaen"/>
          <w:szCs w:val="16"/>
          <w:lang w:val="ka-GE"/>
        </w:rPr>
        <w:t>მართვა</w:t>
      </w:r>
      <w:r w:rsidRPr="00A2588D">
        <w:rPr>
          <w:rFonts w:ascii="Sylfaen" w:eastAsia="Calibri" w:hAnsi="Sylfaen"/>
          <w:szCs w:val="16"/>
          <w:lang w:val="ka-GE"/>
        </w:rPr>
        <w:t xml:space="preserve">, </w:t>
      </w:r>
      <w:r w:rsidRPr="00A2588D">
        <w:rPr>
          <w:rFonts w:ascii="Sylfaen" w:eastAsia="Calibri" w:hAnsi="Sylfaen" w:cs="Sylfaen"/>
          <w:szCs w:val="16"/>
          <w:lang w:val="ka-GE"/>
        </w:rPr>
        <w:t>მონიტორინგი და</w:t>
      </w:r>
      <w:r w:rsidRPr="00A2588D">
        <w:rPr>
          <w:rFonts w:ascii="Sylfaen" w:eastAsia="Calibri" w:hAnsi="Sylfaen"/>
          <w:szCs w:val="16"/>
          <w:lang w:val="ka-GE"/>
        </w:rPr>
        <w:t xml:space="preserve"> </w:t>
      </w:r>
      <w:r w:rsidRPr="00A2588D">
        <w:rPr>
          <w:rFonts w:ascii="Sylfaen" w:eastAsia="Calibri" w:hAnsi="Sylfaen" w:cs="Sylfaen"/>
          <w:szCs w:val="16"/>
          <w:lang w:val="ka-GE"/>
        </w:rPr>
        <w:t>ანგარიშგება</w:t>
      </w:r>
      <w:r w:rsidRPr="00A2588D">
        <w:rPr>
          <w:rFonts w:ascii="Sylfaen" w:eastAsia="Calibri" w:hAnsi="Sylfaen"/>
          <w:szCs w:val="16"/>
          <w:lang w:val="ka-GE"/>
        </w:rPr>
        <w:t xml:space="preserve">. </w:t>
      </w:r>
      <w:r w:rsidRPr="00A2588D">
        <w:rPr>
          <w:rFonts w:ascii="Sylfaen" w:eastAsia="Calibri" w:hAnsi="Sylfaen" w:cs="Sylfaen"/>
          <w:szCs w:val="16"/>
          <w:lang w:val="ka-GE"/>
        </w:rPr>
        <w:t>რამდენადაც</w:t>
      </w:r>
      <w:r w:rsidRPr="00A2588D">
        <w:rPr>
          <w:rFonts w:ascii="Sylfaen" w:eastAsia="Calibri" w:hAnsi="Sylfaen"/>
          <w:szCs w:val="16"/>
          <w:lang w:val="ka-GE"/>
        </w:rPr>
        <w:t xml:space="preserve"> </w:t>
      </w:r>
      <w:r w:rsidRPr="00A2588D">
        <w:rPr>
          <w:rFonts w:ascii="Sylfaen" w:eastAsia="Calibri" w:hAnsi="Sylfaen" w:cs="Sylfaen"/>
          <w:szCs w:val="16"/>
          <w:lang w:val="ka-GE"/>
        </w:rPr>
        <w:t>იგი</w:t>
      </w:r>
      <w:r w:rsidRPr="00A2588D">
        <w:rPr>
          <w:rFonts w:ascii="Sylfaen" w:eastAsia="Calibri" w:hAnsi="Sylfaen"/>
          <w:szCs w:val="16"/>
          <w:lang w:val="ka-GE"/>
        </w:rPr>
        <w:t xml:space="preserve"> </w:t>
      </w:r>
      <w:r w:rsidRPr="00A2588D">
        <w:rPr>
          <w:rFonts w:ascii="Sylfaen" w:eastAsia="Calibri" w:hAnsi="Sylfaen" w:cs="Sylfaen"/>
          <w:szCs w:val="16"/>
          <w:lang w:val="ka-GE"/>
        </w:rPr>
        <w:t>ბერნის</w:t>
      </w:r>
      <w:r w:rsidRPr="00A2588D">
        <w:rPr>
          <w:rFonts w:ascii="Sylfaen" w:eastAsia="Calibri" w:hAnsi="Sylfaen"/>
          <w:szCs w:val="16"/>
          <w:lang w:val="ka-GE"/>
        </w:rPr>
        <w:t xml:space="preserve"> </w:t>
      </w:r>
      <w:r w:rsidRPr="00A2588D">
        <w:rPr>
          <w:rFonts w:ascii="Sylfaen" w:eastAsia="Calibri" w:hAnsi="Sylfaen" w:cs="Sylfaen"/>
          <w:szCs w:val="16"/>
          <w:lang w:val="ka-GE"/>
        </w:rPr>
        <w:t>კონვენციის</w:t>
      </w:r>
      <w:r w:rsidRPr="00A2588D">
        <w:rPr>
          <w:rFonts w:ascii="Sylfaen" w:eastAsia="Calibri" w:hAnsi="Sylfaen"/>
          <w:szCs w:val="16"/>
          <w:lang w:val="ka-GE"/>
        </w:rPr>
        <w:t xml:space="preserve"> </w:t>
      </w:r>
      <w:r w:rsidRPr="00A2588D">
        <w:rPr>
          <w:rFonts w:ascii="Sylfaen" w:eastAsia="Calibri" w:hAnsi="Sylfaen" w:cs="Sylfaen"/>
          <w:szCs w:val="16"/>
          <w:lang w:val="ka-GE"/>
        </w:rPr>
        <w:t>ეგიდით</w:t>
      </w:r>
      <w:r w:rsidRPr="00A2588D">
        <w:rPr>
          <w:rFonts w:ascii="Sylfaen" w:eastAsia="Calibri" w:hAnsi="Sylfaen"/>
          <w:szCs w:val="16"/>
          <w:lang w:val="ka-GE"/>
        </w:rPr>
        <w:t xml:space="preserve"> </w:t>
      </w:r>
      <w:r w:rsidRPr="00A2588D">
        <w:rPr>
          <w:rFonts w:ascii="Sylfaen" w:eastAsia="Calibri" w:hAnsi="Sylfaen" w:cs="Sylfaen"/>
          <w:szCs w:val="16"/>
          <w:lang w:val="ka-GE"/>
        </w:rPr>
        <w:t>შეიქმნა</w:t>
      </w:r>
      <w:r w:rsidRPr="00A2588D">
        <w:rPr>
          <w:rFonts w:ascii="Sylfaen" w:eastAsia="Calibri" w:hAnsi="Sylfaen"/>
          <w:szCs w:val="16"/>
          <w:lang w:val="ka-GE"/>
        </w:rPr>
        <w:t xml:space="preserve">, </w:t>
      </w:r>
      <w:r w:rsidRPr="00A2588D">
        <w:rPr>
          <w:rFonts w:ascii="Sylfaen" w:eastAsia="Calibri" w:hAnsi="Sylfaen" w:cs="Sylfaen"/>
          <w:szCs w:val="16"/>
          <w:lang w:val="ka-GE"/>
        </w:rPr>
        <w:t>მისი</w:t>
      </w:r>
      <w:r w:rsidRPr="00A2588D">
        <w:rPr>
          <w:rFonts w:ascii="Sylfaen" w:eastAsia="Calibri" w:hAnsi="Sylfaen"/>
          <w:szCs w:val="16"/>
          <w:lang w:val="ka-GE"/>
        </w:rPr>
        <w:t xml:space="preserve"> </w:t>
      </w:r>
      <w:r w:rsidRPr="00A2588D">
        <w:rPr>
          <w:rFonts w:ascii="Sylfaen" w:eastAsia="Calibri" w:hAnsi="Sylfaen" w:cs="Sylfaen"/>
          <w:szCs w:val="16"/>
          <w:lang w:val="ka-GE"/>
        </w:rPr>
        <w:t>მიზანია იმ</w:t>
      </w:r>
      <w:r w:rsidRPr="00A2588D">
        <w:rPr>
          <w:rFonts w:ascii="Sylfaen" w:eastAsia="Calibri" w:hAnsi="Sylfaen"/>
          <w:szCs w:val="16"/>
          <w:lang w:val="ka-GE"/>
        </w:rPr>
        <w:t xml:space="preserve"> </w:t>
      </w:r>
      <w:r w:rsidRPr="00A2588D">
        <w:rPr>
          <w:rFonts w:ascii="Sylfaen" w:eastAsia="Calibri" w:hAnsi="Sylfaen" w:cs="Sylfaen"/>
          <w:szCs w:val="16"/>
          <w:lang w:val="ka-GE"/>
        </w:rPr>
        <w:t>სახეობებისა</w:t>
      </w:r>
      <w:r w:rsidRPr="00A2588D">
        <w:rPr>
          <w:rFonts w:ascii="Sylfaen" w:eastAsia="Calibri" w:hAnsi="Sylfaen"/>
          <w:szCs w:val="16"/>
          <w:lang w:val="ka-GE"/>
        </w:rPr>
        <w:t xml:space="preserve"> </w:t>
      </w:r>
      <w:r w:rsidRPr="00A2588D">
        <w:rPr>
          <w:rFonts w:ascii="Sylfaen" w:eastAsia="Calibri" w:hAnsi="Sylfaen" w:cs="Sylfaen"/>
          <w:szCs w:val="16"/>
          <w:lang w:val="ka-GE"/>
        </w:rPr>
        <w:t>და</w:t>
      </w:r>
      <w:r w:rsidRPr="00A2588D">
        <w:rPr>
          <w:rFonts w:ascii="Sylfaen" w:eastAsia="Calibri" w:hAnsi="Sylfaen"/>
          <w:szCs w:val="16"/>
          <w:lang w:val="ka-GE"/>
        </w:rPr>
        <w:t xml:space="preserve"> </w:t>
      </w:r>
      <w:r w:rsidRPr="00A2588D">
        <w:rPr>
          <w:rFonts w:ascii="Sylfaen" w:eastAsia="Calibri" w:hAnsi="Sylfaen" w:cs="Sylfaen"/>
          <w:szCs w:val="16"/>
          <w:lang w:val="ka-GE"/>
        </w:rPr>
        <w:t>ჰაბიტატების</w:t>
      </w:r>
      <w:r w:rsidRPr="00A2588D">
        <w:rPr>
          <w:rFonts w:ascii="Sylfaen" w:eastAsia="Calibri" w:hAnsi="Sylfaen"/>
          <w:szCs w:val="16"/>
          <w:lang w:val="ka-GE"/>
        </w:rPr>
        <w:t xml:space="preserve"> </w:t>
      </w:r>
      <w:r w:rsidRPr="00A2588D">
        <w:rPr>
          <w:rFonts w:ascii="Sylfaen" w:eastAsia="Calibri" w:hAnsi="Sylfaen" w:cs="Sylfaen"/>
          <w:szCs w:val="16"/>
          <w:lang w:val="ka-GE"/>
        </w:rPr>
        <w:t>გრძელვადიანი</w:t>
      </w:r>
      <w:r w:rsidRPr="00A2588D">
        <w:rPr>
          <w:rFonts w:ascii="Sylfaen" w:eastAsia="Calibri" w:hAnsi="Sylfaen"/>
          <w:szCs w:val="16"/>
          <w:lang w:val="ka-GE"/>
        </w:rPr>
        <w:t xml:space="preserve"> </w:t>
      </w:r>
      <w:r w:rsidRPr="00A2588D">
        <w:rPr>
          <w:rFonts w:ascii="Sylfaen" w:eastAsia="Calibri" w:hAnsi="Sylfaen" w:cs="Sylfaen"/>
          <w:szCs w:val="16"/>
          <w:lang w:val="ka-GE"/>
        </w:rPr>
        <w:t>შენარჩუნების</w:t>
      </w:r>
      <w:r w:rsidRPr="00A2588D">
        <w:rPr>
          <w:rFonts w:ascii="Sylfaen" w:eastAsia="Calibri" w:hAnsi="Sylfaen"/>
          <w:szCs w:val="16"/>
          <w:lang w:val="ka-GE"/>
        </w:rPr>
        <w:t xml:space="preserve"> </w:t>
      </w:r>
      <w:r w:rsidRPr="00A2588D">
        <w:rPr>
          <w:rFonts w:ascii="Sylfaen" w:eastAsia="Calibri" w:hAnsi="Sylfaen" w:cs="Sylfaen"/>
          <w:szCs w:val="16"/>
          <w:lang w:val="ka-GE"/>
        </w:rPr>
        <w:t>უზრუნველყოფა</w:t>
      </w:r>
      <w:r w:rsidRPr="00A2588D">
        <w:rPr>
          <w:rFonts w:ascii="Sylfaen" w:eastAsia="Calibri" w:hAnsi="Sylfaen"/>
          <w:szCs w:val="16"/>
          <w:lang w:val="ka-GE"/>
        </w:rPr>
        <w:t xml:space="preserve">, </w:t>
      </w:r>
      <w:r w:rsidRPr="00A2588D">
        <w:rPr>
          <w:rFonts w:ascii="Sylfaen" w:eastAsia="Calibri" w:hAnsi="Sylfaen" w:cs="Sylfaen"/>
          <w:szCs w:val="16"/>
          <w:lang w:val="ka-GE"/>
        </w:rPr>
        <w:t>რომლებიც</w:t>
      </w:r>
      <w:r w:rsidRPr="00A2588D">
        <w:rPr>
          <w:rFonts w:ascii="Sylfaen" w:eastAsia="Calibri" w:hAnsi="Sylfaen"/>
          <w:szCs w:val="16"/>
          <w:lang w:val="ka-GE"/>
        </w:rPr>
        <w:t xml:space="preserve"> </w:t>
      </w:r>
      <w:r w:rsidRPr="00A2588D">
        <w:rPr>
          <w:rFonts w:ascii="Sylfaen" w:eastAsia="Calibri" w:hAnsi="Sylfaen" w:cs="Sylfaen"/>
          <w:szCs w:val="16"/>
          <w:lang w:val="ka-GE"/>
        </w:rPr>
        <w:t>ამ</w:t>
      </w:r>
      <w:r w:rsidRPr="00A2588D">
        <w:rPr>
          <w:rFonts w:ascii="Sylfaen" w:eastAsia="Calibri" w:hAnsi="Sylfaen"/>
          <w:szCs w:val="16"/>
          <w:lang w:val="ka-GE"/>
        </w:rPr>
        <w:t xml:space="preserve"> </w:t>
      </w:r>
      <w:r w:rsidRPr="00A2588D">
        <w:rPr>
          <w:rFonts w:ascii="Sylfaen" w:eastAsia="Calibri" w:hAnsi="Sylfaen" w:cs="Sylfaen"/>
          <w:szCs w:val="16"/>
          <w:lang w:val="ka-GE"/>
        </w:rPr>
        <w:t>კონვენციის</w:t>
      </w:r>
      <w:r w:rsidRPr="00A2588D">
        <w:rPr>
          <w:rFonts w:ascii="Sylfaen" w:eastAsia="Calibri" w:hAnsi="Sylfaen"/>
          <w:szCs w:val="16"/>
          <w:lang w:val="ka-GE"/>
        </w:rPr>
        <w:t xml:space="preserve"> </w:t>
      </w:r>
      <w:r w:rsidRPr="00A2588D">
        <w:rPr>
          <w:rFonts w:ascii="Sylfaen" w:eastAsia="Calibri" w:hAnsi="Sylfaen" w:cs="Sylfaen"/>
          <w:szCs w:val="16"/>
          <w:lang w:val="ka-GE"/>
        </w:rPr>
        <w:t>მიხედვით</w:t>
      </w:r>
      <w:r w:rsidRPr="00A2588D">
        <w:rPr>
          <w:rFonts w:ascii="Sylfaen" w:eastAsia="Calibri" w:hAnsi="Sylfaen"/>
          <w:szCs w:val="16"/>
          <w:lang w:val="ka-GE"/>
        </w:rPr>
        <w:t xml:space="preserve"> </w:t>
      </w:r>
      <w:r w:rsidRPr="00A2588D">
        <w:rPr>
          <w:rFonts w:ascii="Sylfaen" w:eastAsia="Calibri" w:hAnsi="Sylfaen" w:cs="Sylfaen"/>
          <w:szCs w:val="16"/>
          <w:lang w:val="ka-GE"/>
        </w:rPr>
        <w:t>დაცვის</w:t>
      </w:r>
      <w:r w:rsidRPr="00A2588D">
        <w:rPr>
          <w:rFonts w:ascii="Sylfaen" w:eastAsia="Calibri" w:hAnsi="Sylfaen"/>
          <w:szCs w:val="16"/>
          <w:lang w:val="ka-GE"/>
        </w:rPr>
        <w:t xml:space="preserve"> </w:t>
      </w:r>
      <w:r w:rsidRPr="00A2588D">
        <w:rPr>
          <w:rFonts w:ascii="Sylfaen" w:eastAsia="Calibri" w:hAnsi="Sylfaen" w:cs="Sylfaen"/>
          <w:szCs w:val="16"/>
          <w:lang w:val="ka-GE"/>
        </w:rPr>
        <w:t>განსაკუთრებულ</w:t>
      </w:r>
      <w:r w:rsidRPr="00A2588D">
        <w:rPr>
          <w:rFonts w:ascii="Sylfaen" w:eastAsia="Calibri" w:hAnsi="Sylfaen"/>
          <w:szCs w:val="16"/>
          <w:lang w:val="ka-GE"/>
        </w:rPr>
        <w:t xml:space="preserve"> </w:t>
      </w:r>
      <w:r w:rsidRPr="00A2588D">
        <w:rPr>
          <w:rFonts w:ascii="Sylfaen" w:eastAsia="Calibri" w:hAnsi="Sylfaen" w:cs="Sylfaen"/>
          <w:szCs w:val="16"/>
          <w:lang w:val="ka-GE"/>
        </w:rPr>
        <w:t>ღონისძიებებს საჭიროებენ.</w:t>
      </w:r>
    </w:p>
    <w:p w14:paraId="43D9D165" w14:textId="77777777" w:rsidR="00A2588D" w:rsidRPr="00A2588D" w:rsidRDefault="00A2588D" w:rsidP="00A2588D">
      <w:pPr>
        <w:rPr>
          <w:rFonts w:ascii="Sylfaen" w:hAnsi="Sylfaen"/>
          <w:lang w:val="ka-GE"/>
        </w:rPr>
      </w:pPr>
      <w:r w:rsidRPr="00A2588D">
        <w:rPr>
          <w:rFonts w:ascii="Sylfaen" w:hAnsi="Sylfaen"/>
          <w:lang w:val="ka-GE"/>
        </w:rPr>
        <w:t>ზურმუხტის ქსელი სპეციალური კონსერვაციული მნიშვნელობის ტერიტორიებისაგან შედგება. ეს არის ტერიტორიები, რომლებსაც აქვთ სახარბიელო კონსერვაციული (ეკოლოგიური) სტატუსის შენარჩუნების ან აღდგენის პოტენციალი ისეთი სახეობებისა და ჰაბიტატებისთვის, რომლებიც განეკუთვნება:</w:t>
      </w:r>
    </w:p>
    <w:p w14:paraId="1642DD18" w14:textId="77777777" w:rsidR="00A2588D" w:rsidRPr="00A2588D" w:rsidRDefault="00A2588D" w:rsidP="00821E4D">
      <w:pPr>
        <w:pStyle w:val="ListParagraph"/>
        <w:numPr>
          <w:ilvl w:val="0"/>
          <w:numId w:val="52"/>
        </w:numPr>
        <w:spacing w:line="240" w:lineRule="auto"/>
        <w:jc w:val="left"/>
        <w:rPr>
          <w:lang w:val="ka-GE"/>
        </w:rPr>
      </w:pPr>
      <w:r w:rsidRPr="00A2588D">
        <w:rPr>
          <w:lang w:val="ka-GE"/>
        </w:rPr>
        <w:t>საფრთხის წინაშე მყოფ, ენდემურ, მიგრირებად და ბერნის კონვენციით მკაცრად დაცულ სახეობებს;</w:t>
      </w:r>
    </w:p>
    <w:p w14:paraId="1E28AD8C" w14:textId="77777777" w:rsidR="00A2588D" w:rsidRPr="00A2588D" w:rsidRDefault="00A2588D" w:rsidP="00821E4D">
      <w:pPr>
        <w:pStyle w:val="ListParagraph"/>
        <w:numPr>
          <w:ilvl w:val="0"/>
          <w:numId w:val="52"/>
        </w:numPr>
        <w:spacing w:line="240" w:lineRule="auto"/>
        <w:jc w:val="left"/>
        <w:rPr>
          <w:lang w:val="ka-GE"/>
        </w:rPr>
      </w:pPr>
      <w:r w:rsidRPr="00A2588D">
        <w:rPr>
          <w:lang w:val="ka-GE"/>
        </w:rPr>
        <w:t>საფრთხის წინაშე მყოფ ან სამაგალითო ჰაბიტატებს და ბერნის კონვენციით მკაცრად დაცულ სხვადასხვა ტიპის ჰაბიტატებისგან შემდგარ მოზაიკურ ჰაბიტატებს;</w:t>
      </w:r>
    </w:p>
    <w:p w14:paraId="1996A6CF" w14:textId="77777777" w:rsidR="00A2588D" w:rsidRPr="00A2588D" w:rsidRDefault="00A2588D" w:rsidP="00821E4D">
      <w:pPr>
        <w:pStyle w:val="ListParagraph"/>
        <w:numPr>
          <w:ilvl w:val="0"/>
          <w:numId w:val="52"/>
        </w:numPr>
        <w:spacing w:line="240" w:lineRule="auto"/>
        <w:jc w:val="left"/>
        <w:rPr>
          <w:lang w:val="ka-GE"/>
        </w:rPr>
      </w:pPr>
      <w:r w:rsidRPr="00A2588D">
        <w:rPr>
          <w:lang w:val="ka-GE"/>
        </w:rPr>
        <w:t>მიგრირებად სახეობებს, რომლებიც ევროპული ქვეყნების საერთო ბუნებრივ მემკვიდრეობას წარმოადგენს.</w:t>
      </w:r>
    </w:p>
    <w:p w14:paraId="438A0999" w14:textId="77777777" w:rsidR="00A2588D" w:rsidRPr="00A2588D" w:rsidRDefault="00A2588D" w:rsidP="00A2588D">
      <w:pPr>
        <w:autoSpaceDE w:val="0"/>
        <w:autoSpaceDN w:val="0"/>
        <w:adjustRightInd w:val="0"/>
        <w:rPr>
          <w:rFonts w:ascii="Sylfaen" w:eastAsia="Calibri" w:hAnsi="Sylfaen" w:cs="Sylfaen"/>
          <w:lang w:val="ka-GE"/>
        </w:rPr>
      </w:pPr>
      <w:r w:rsidRPr="00A2588D">
        <w:rPr>
          <w:rFonts w:ascii="Sylfaen" w:eastAsia="Calibri" w:hAnsi="Sylfaen" w:cs="Sylfaen"/>
          <w:szCs w:val="16"/>
          <w:lang w:val="ka-GE"/>
        </w:rPr>
        <w:t xml:space="preserve">აღსანიშნავია, რომ ბერნის კონვენციის თანახმად, </w:t>
      </w:r>
      <w:r w:rsidRPr="00A2588D">
        <w:rPr>
          <w:rFonts w:ascii="Sylfaen" w:eastAsia="Calibri" w:hAnsi="Sylfaen" w:cs="Sylfaen"/>
          <w:lang w:val="ka-GE"/>
        </w:rPr>
        <w:t>„სპეციალური დაცვის ტერიტორიები“ რომლებიც ქსელის შემადგენელი ნაწილია არ უნდა განვიხილოთ როგორც კლასიკური დაცული ტერიტორიები (ნაკრძალი, ეროვნული პარკი და სხვა). რა თქმა უნდა, თუ მოცემული ქვეყნის მთავრობა საჭიროდ ჩათვლის, მას შეუძლია ამგვარი „ტერიტორიები“-ს დაცულ ტერიტორიებად გამოცხადება, მაგრამ ეს სავალდებულო მოთხოვნა არ არის.</w:t>
      </w:r>
    </w:p>
    <w:p w14:paraId="219F077A" w14:textId="77777777" w:rsidR="00A2588D" w:rsidRPr="00A2588D" w:rsidRDefault="00A2588D" w:rsidP="00A2588D">
      <w:pPr>
        <w:autoSpaceDE w:val="0"/>
        <w:autoSpaceDN w:val="0"/>
        <w:adjustRightInd w:val="0"/>
        <w:rPr>
          <w:rFonts w:ascii="Sylfaen" w:eastAsia="Calibri" w:hAnsi="Sylfaen" w:cs="Sylfaen"/>
          <w:lang w:val="ka-GE"/>
        </w:rPr>
      </w:pPr>
      <w:r w:rsidRPr="00A2588D">
        <w:rPr>
          <w:rFonts w:ascii="Sylfaen" w:eastAsia="Calibri" w:hAnsi="Sylfaen" w:cs="Sylfaen"/>
          <w:lang w:val="ka-GE"/>
        </w:rPr>
        <w:t xml:space="preserve">დღეის მდგომარეობის საქართველოს ტერიტორიის ფარგლებში შერჩეულია ან განხილვის პროცესში იმყოფება 58 კანდიდატი უბანი. მათ შორის შერჩეულია საპროექტო გზის სიახლოვეს გამავალი, განსახილველი კანდიდატი უბანი: </w:t>
      </w:r>
      <w:r w:rsidRPr="00A2588D">
        <w:rPr>
          <w:rFonts w:ascii="Sylfaen" w:hAnsi="Sylfaen" w:cs="Sylfaen"/>
          <w:lang w:val="ka-GE"/>
        </w:rPr>
        <w:t>„გომბორი</w:t>
      </w:r>
      <w:r w:rsidRPr="00A2588D">
        <w:rPr>
          <w:rFonts w:ascii="Sylfaen" w:hAnsi="Sylfaen" w:cs="Sylfaen"/>
        </w:rPr>
        <w:t xml:space="preserve"> -</w:t>
      </w:r>
      <w:r w:rsidRPr="00A2588D">
        <w:rPr>
          <w:rFonts w:ascii="Sylfaen" w:hAnsi="Sylfaen" w:cs="Sylfaen"/>
          <w:lang w:val="ka-GE"/>
        </w:rPr>
        <w:t xml:space="preserve"> </w:t>
      </w:r>
      <w:r w:rsidRPr="00A2588D">
        <w:rPr>
          <w:rFonts w:ascii="Sylfaen" w:hAnsi="Sylfaen" w:cs="Sylfaen"/>
        </w:rPr>
        <w:t>GE00000</w:t>
      </w:r>
      <w:r w:rsidRPr="00A2588D">
        <w:rPr>
          <w:rFonts w:ascii="Sylfaen" w:hAnsi="Sylfaen" w:cs="Sylfaen"/>
          <w:lang w:val="ka-GE"/>
        </w:rPr>
        <w:t>27“.</w:t>
      </w:r>
    </w:p>
    <w:p w14:paraId="6CEEA570" w14:textId="77777777" w:rsidR="00A2588D" w:rsidRPr="00A2588D" w:rsidRDefault="00A2588D" w:rsidP="00A2588D">
      <w:pPr>
        <w:rPr>
          <w:rFonts w:ascii="Sylfaen" w:hAnsi="Sylfaen"/>
          <w:lang w:val="ka-GE"/>
        </w:rPr>
      </w:pPr>
    </w:p>
    <w:p w14:paraId="33542C67" w14:textId="77777777" w:rsidR="00A2588D" w:rsidRPr="00A2588D" w:rsidRDefault="00A2588D" w:rsidP="00A2588D">
      <w:pPr>
        <w:rPr>
          <w:b/>
          <w:sz w:val="24"/>
          <w:lang w:val="ka-GE"/>
        </w:rPr>
      </w:pPr>
      <w:bookmarkStart w:id="691" w:name="_Toc536676155"/>
      <w:r w:rsidRPr="00A2588D">
        <w:rPr>
          <w:rFonts w:ascii="Sylfaen" w:hAnsi="Sylfaen" w:cs="Sylfaen"/>
          <w:b/>
          <w:sz w:val="24"/>
          <w:lang w:val="ka-GE"/>
        </w:rPr>
        <w:t>კანდიდატი</w:t>
      </w:r>
      <w:r w:rsidRPr="00A2588D">
        <w:rPr>
          <w:b/>
          <w:sz w:val="24"/>
          <w:lang w:val="ka-GE"/>
        </w:rPr>
        <w:t xml:space="preserve"> </w:t>
      </w:r>
      <w:r w:rsidRPr="00A2588D">
        <w:rPr>
          <w:rFonts w:ascii="Sylfaen" w:hAnsi="Sylfaen" w:cs="Sylfaen"/>
          <w:b/>
          <w:sz w:val="24"/>
          <w:lang w:val="ka-GE"/>
        </w:rPr>
        <w:t>უბნის</w:t>
      </w:r>
      <w:r w:rsidRPr="00A2588D">
        <w:rPr>
          <w:b/>
          <w:sz w:val="24"/>
          <w:lang w:val="ka-GE"/>
        </w:rPr>
        <w:t xml:space="preserve"> </w:t>
      </w:r>
      <w:r w:rsidRPr="00A2588D">
        <w:rPr>
          <w:rFonts w:ascii="Sylfaen" w:hAnsi="Sylfaen" w:cs="Sylfaen"/>
          <w:b/>
          <w:sz w:val="24"/>
          <w:lang w:val="ka-GE"/>
        </w:rPr>
        <w:t>დახასიათება</w:t>
      </w:r>
      <w:bookmarkEnd w:id="691"/>
      <w:r w:rsidRPr="00A2588D">
        <w:rPr>
          <w:b/>
          <w:sz w:val="24"/>
          <w:lang w:val="ka-GE"/>
        </w:rPr>
        <w:t xml:space="preserve"> </w:t>
      </w:r>
    </w:p>
    <w:p w14:paraId="3F384063" w14:textId="77777777" w:rsidR="00A2588D" w:rsidRPr="00A2588D" w:rsidRDefault="00A2588D" w:rsidP="00A2588D">
      <w:pPr>
        <w:rPr>
          <w:rFonts w:ascii="Sylfaen" w:eastAsia="Calibri" w:hAnsi="Sylfaen" w:cs="Arial"/>
          <w:lang w:val="ka-GE"/>
        </w:rPr>
      </w:pPr>
      <w:r w:rsidRPr="00A2588D">
        <w:rPr>
          <w:rFonts w:ascii="Sylfaen" w:eastAsia="Calibri" w:hAnsi="Sylfaen" w:cs="Sylfaen"/>
          <w:lang w:val="ka-GE"/>
        </w:rPr>
        <w:t xml:space="preserve">განსახილველი კანდიდატი უბანი: </w:t>
      </w:r>
      <w:r w:rsidRPr="00A2588D">
        <w:rPr>
          <w:rFonts w:ascii="Sylfaen" w:hAnsi="Sylfaen" w:cs="Sylfaen"/>
          <w:lang w:val="ka-GE"/>
        </w:rPr>
        <w:t xml:space="preserve">„გომბორი“ მდებარეობს გომბორის ქედზე, მდ. იორის </w:t>
      </w:r>
      <w:r w:rsidRPr="00A2588D">
        <w:rPr>
          <w:rFonts w:ascii="Sylfaen" w:eastAsia="Calibri" w:hAnsi="Sylfaen" w:cs="Arial"/>
          <w:lang w:val="ka-GE"/>
        </w:rPr>
        <w:t>ხეობიდან ქ. გურჯაანამდე. როგორც შესავალში აღინიშნა, საპროექტო საავტომობილო გზის დერეფანი „ზურმუხტის ქსელი“-ს კანდიდატი უბანთან ყველაზე ახლოს გაივლის საწყის ნაწილში (სოფ. ვარდისუბანთან). ამ უბნის გარკვეული ნაწილი (დაახლოებით 10-15 მ სიგრძის მონაკვეთი) მის საზღვრებში ექცევა. გარდა ამისა, სიახლოვიდან გამომდინარე სენსიტიურად ჩაითვალა და წინამდებარე შეფასების ანგარიშში განსაკუთრებული ყურადღება დაეთმო ოთხ უბანს (იხ. ნახაზი), კერძოდ:</w:t>
      </w:r>
    </w:p>
    <w:p w14:paraId="6C0AEF0D" w14:textId="77777777" w:rsidR="00A2588D" w:rsidRPr="00A2588D" w:rsidRDefault="00A2588D" w:rsidP="00821E4D">
      <w:pPr>
        <w:pStyle w:val="ListParagraph"/>
        <w:numPr>
          <w:ilvl w:val="0"/>
          <w:numId w:val="55"/>
        </w:numPr>
        <w:spacing w:line="240" w:lineRule="auto"/>
        <w:rPr>
          <w:rFonts w:eastAsia="Calibri" w:cs="Arial"/>
          <w:lang w:val="ka-GE"/>
        </w:rPr>
      </w:pPr>
      <w:r w:rsidRPr="00A2588D">
        <w:rPr>
          <w:rFonts w:eastAsia="Calibri" w:cs="Arial"/>
          <w:lang w:val="ka-GE"/>
        </w:rPr>
        <w:t>სოფ. კისისხევთან გამავალი მონაკვეთი, სიგრძით ≈1,0 კმ (კოორდინატებში: 1</w:t>
      </w:r>
      <w:r w:rsidRPr="00A2588D">
        <w:rPr>
          <w:rFonts w:eastAsia="Calibri" w:cs="Arial"/>
        </w:rPr>
        <w:t>: X-5458</w:t>
      </w:r>
      <w:r w:rsidRPr="00A2588D">
        <w:rPr>
          <w:rFonts w:eastAsia="Calibri" w:cs="Arial"/>
          <w:lang w:val="ka-GE"/>
        </w:rPr>
        <w:t>42</w:t>
      </w:r>
      <w:r w:rsidRPr="00A2588D">
        <w:rPr>
          <w:rFonts w:eastAsia="Calibri" w:cs="Arial"/>
        </w:rPr>
        <w:t>; Y-4640788-</w:t>
      </w:r>
      <w:r w:rsidRPr="00A2588D">
        <w:rPr>
          <w:rFonts w:eastAsia="Calibri" w:cs="Arial"/>
          <w:lang w:val="ka-GE"/>
        </w:rPr>
        <w:t xml:space="preserve">დან </w:t>
      </w:r>
      <w:r w:rsidRPr="00A2588D">
        <w:rPr>
          <w:rFonts w:eastAsia="Calibri" w:cs="Arial"/>
        </w:rPr>
        <w:t>2: X-547006; Y-4640747-</w:t>
      </w:r>
      <w:r w:rsidRPr="00A2588D">
        <w:rPr>
          <w:rFonts w:eastAsia="Calibri" w:cs="Arial"/>
          <w:lang w:val="ka-GE"/>
        </w:rPr>
        <w:t>მდე); მინიმალური დაცილება საპროექტო დერეფანსა და კანდიდატი უბნის საზღვარს შორის - 800 მ;</w:t>
      </w:r>
    </w:p>
    <w:p w14:paraId="7A81C4CC" w14:textId="77777777" w:rsidR="00A2588D" w:rsidRPr="00A2588D" w:rsidRDefault="00A2588D" w:rsidP="00821E4D">
      <w:pPr>
        <w:pStyle w:val="ListParagraph"/>
        <w:numPr>
          <w:ilvl w:val="0"/>
          <w:numId w:val="55"/>
        </w:numPr>
        <w:spacing w:line="240" w:lineRule="auto"/>
        <w:rPr>
          <w:rFonts w:eastAsia="Calibri" w:cs="Arial"/>
          <w:lang w:val="ka-GE"/>
        </w:rPr>
      </w:pPr>
      <w:r w:rsidRPr="00A2588D">
        <w:rPr>
          <w:rFonts w:eastAsia="Calibri" w:cs="Arial"/>
          <w:lang w:val="ka-GE"/>
        </w:rPr>
        <w:t>სოფ. აკურასთან გამავალი მონაკვეთი, სიგრძით ≈1,7 კმ (კოორდინატებში: 1</w:t>
      </w:r>
      <w:r w:rsidRPr="00A2588D">
        <w:rPr>
          <w:rFonts w:eastAsia="Calibri" w:cs="Arial"/>
        </w:rPr>
        <w:t>: X-552546; Y-4636941-</w:t>
      </w:r>
      <w:r w:rsidRPr="00A2588D">
        <w:rPr>
          <w:rFonts w:eastAsia="Calibri" w:cs="Arial"/>
          <w:lang w:val="ka-GE"/>
        </w:rPr>
        <w:t xml:space="preserve">დან </w:t>
      </w:r>
      <w:r w:rsidRPr="00A2588D">
        <w:rPr>
          <w:rFonts w:eastAsia="Calibri" w:cs="Arial"/>
        </w:rPr>
        <w:t>2: X-553534; Y-4635517-</w:t>
      </w:r>
      <w:r w:rsidRPr="00A2588D">
        <w:rPr>
          <w:rFonts w:eastAsia="Calibri" w:cs="Arial"/>
          <w:lang w:val="ka-GE"/>
        </w:rPr>
        <w:t>მდე). დაცილება  - 175 მ;</w:t>
      </w:r>
    </w:p>
    <w:p w14:paraId="5F67C8B5" w14:textId="77777777" w:rsidR="00A2588D" w:rsidRPr="00A2588D" w:rsidRDefault="00A2588D" w:rsidP="00821E4D">
      <w:pPr>
        <w:pStyle w:val="ListParagraph"/>
        <w:numPr>
          <w:ilvl w:val="0"/>
          <w:numId w:val="55"/>
        </w:numPr>
        <w:spacing w:line="240" w:lineRule="auto"/>
        <w:rPr>
          <w:rFonts w:eastAsia="Calibri" w:cs="Arial"/>
          <w:lang w:val="ka-GE"/>
        </w:rPr>
      </w:pPr>
      <w:r w:rsidRPr="00A2588D">
        <w:rPr>
          <w:rFonts w:eastAsia="Calibri" w:cs="Arial"/>
          <w:lang w:val="ka-GE"/>
        </w:rPr>
        <w:t>სოფ. მუკუზანთან გამავალი მონაკვეთი, სიგრძით ≈1,5 კმ (კოორდინატებში: 1</w:t>
      </w:r>
      <w:r w:rsidRPr="00A2588D">
        <w:rPr>
          <w:rFonts w:eastAsia="Calibri" w:cs="Arial"/>
        </w:rPr>
        <w:t>: X-559716; Y-4630399-</w:t>
      </w:r>
      <w:r w:rsidRPr="00A2588D">
        <w:rPr>
          <w:rFonts w:eastAsia="Calibri" w:cs="Arial"/>
          <w:lang w:val="ka-GE"/>
        </w:rPr>
        <w:t xml:space="preserve">დან </w:t>
      </w:r>
      <w:r w:rsidRPr="00A2588D">
        <w:rPr>
          <w:rFonts w:eastAsia="Calibri" w:cs="Arial"/>
        </w:rPr>
        <w:t>2: X-560889; Y-4629481-</w:t>
      </w:r>
      <w:r w:rsidRPr="00A2588D">
        <w:rPr>
          <w:rFonts w:eastAsia="Calibri" w:cs="Arial"/>
          <w:lang w:val="ka-GE"/>
        </w:rPr>
        <w:t>მდე); დაცილება - 10-15 მ;</w:t>
      </w:r>
    </w:p>
    <w:p w14:paraId="2B8BB8AC" w14:textId="77777777" w:rsidR="00A2588D" w:rsidRPr="00A2588D" w:rsidRDefault="00A2588D" w:rsidP="00821E4D">
      <w:pPr>
        <w:pStyle w:val="ListParagraph"/>
        <w:numPr>
          <w:ilvl w:val="0"/>
          <w:numId w:val="55"/>
        </w:numPr>
        <w:spacing w:line="240" w:lineRule="auto"/>
        <w:rPr>
          <w:rFonts w:eastAsia="Calibri" w:cs="Arial"/>
          <w:lang w:val="ka-GE"/>
        </w:rPr>
      </w:pPr>
      <w:r w:rsidRPr="00A2588D">
        <w:rPr>
          <w:rFonts w:eastAsia="Calibri" w:cs="Arial"/>
          <w:lang w:val="ka-GE"/>
        </w:rPr>
        <w:t>სოფ. ჩუმლაყთან გამავალი მონაკვეთი, სიგრძით ≈2,5 კმ (კოორდინატებში: 1</w:t>
      </w:r>
      <w:r w:rsidRPr="00A2588D">
        <w:rPr>
          <w:rFonts w:eastAsia="Calibri" w:cs="Arial"/>
        </w:rPr>
        <w:t>: X-563178; Y-4627668-</w:t>
      </w:r>
      <w:r w:rsidRPr="00A2588D">
        <w:rPr>
          <w:rFonts w:eastAsia="Calibri" w:cs="Arial"/>
          <w:lang w:val="ka-GE"/>
        </w:rPr>
        <w:t xml:space="preserve">დან </w:t>
      </w:r>
      <w:r w:rsidRPr="00A2588D">
        <w:rPr>
          <w:rFonts w:eastAsia="Calibri" w:cs="Arial"/>
        </w:rPr>
        <w:t>2: X-564370; Y-4625233-</w:t>
      </w:r>
      <w:r w:rsidRPr="00A2588D">
        <w:rPr>
          <w:rFonts w:eastAsia="Calibri" w:cs="Arial"/>
          <w:lang w:val="ka-GE"/>
        </w:rPr>
        <w:t>მდე); დაცილება - 450 მ;</w:t>
      </w:r>
    </w:p>
    <w:p w14:paraId="2A386E0F" w14:textId="77777777" w:rsidR="00A2588D" w:rsidRPr="00A2588D" w:rsidRDefault="00A2588D" w:rsidP="00A2588D">
      <w:pPr>
        <w:rPr>
          <w:rFonts w:ascii="Sylfaen" w:eastAsia="Calibri" w:hAnsi="Sylfaen" w:cs="Arial"/>
          <w:lang w:val="ka-GE"/>
        </w:rPr>
      </w:pPr>
      <w:r w:rsidRPr="00A2588D">
        <w:rPr>
          <w:rFonts w:ascii="Sylfaen" w:eastAsia="Calibri" w:hAnsi="Sylfaen" w:cs="Arial"/>
          <w:lang w:val="ka-GE"/>
        </w:rPr>
        <w:t>საპროექტო გზის დერეფნის დანარჩენი მონაკვეთები 1 კმ და მეტი მანძილით არის დაშორებული კანდიდატი უბნის საზღვრიდან.</w:t>
      </w:r>
    </w:p>
    <w:p w14:paraId="51E30B8B" w14:textId="77777777" w:rsidR="00A2588D" w:rsidRPr="00A2588D" w:rsidRDefault="00A2588D" w:rsidP="00A2588D">
      <w:pPr>
        <w:rPr>
          <w:rFonts w:ascii="Sylfaen" w:eastAsia="Calibri" w:hAnsi="Sylfaen" w:cs="Arial"/>
          <w:lang w:val="ka-GE"/>
        </w:rPr>
      </w:pPr>
    </w:p>
    <w:p w14:paraId="0E3EA206" w14:textId="77777777" w:rsidR="00A2588D" w:rsidRPr="00A2588D" w:rsidRDefault="00A2588D" w:rsidP="00A2588D">
      <w:pPr>
        <w:rPr>
          <w:rFonts w:ascii="Sylfaen" w:eastAsia="Calibri" w:hAnsi="Sylfaen" w:cs="Arial"/>
          <w:lang w:val="ka-GE"/>
        </w:rPr>
      </w:pPr>
      <w:r w:rsidRPr="00A2588D">
        <w:rPr>
          <w:rFonts w:ascii="Sylfaen" w:eastAsia="Calibri" w:hAnsi="Sylfaen" w:cs="Arial"/>
          <w:lang w:val="ka-GE"/>
        </w:rPr>
        <w:t>ზურმუხტის ქსელის კანდიდატი უბანი  „</w:t>
      </w:r>
      <w:r w:rsidRPr="00A2588D">
        <w:rPr>
          <w:rFonts w:ascii="Sylfaen" w:hAnsi="Sylfaen" w:cs="Sylfaen"/>
          <w:lang w:val="ka-GE"/>
        </w:rPr>
        <w:t>გომბორი</w:t>
      </w:r>
      <w:r w:rsidRPr="00A2588D">
        <w:rPr>
          <w:rFonts w:ascii="Sylfaen" w:eastAsia="Calibri" w:hAnsi="Sylfaen" w:cs="Arial"/>
          <w:lang w:val="ka-GE"/>
        </w:rPr>
        <w:t>“:</w:t>
      </w:r>
    </w:p>
    <w:p w14:paraId="13DA8172" w14:textId="77777777" w:rsidR="00A2588D" w:rsidRPr="00A2588D" w:rsidRDefault="00A2588D" w:rsidP="00A2588D">
      <w:pPr>
        <w:spacing w:before="120"/>
        <w:ind w:left="567"/>
        <w:rPr>
          <w:rFonts w:ascii="Sylfaen" w:eastAsia="Calibri" w:hAnsi="Sylfaen" w:cs="Arial"/>
          <w:i/>
          <w:lang w:val="ka-GE"/>
        </w:rPr>
      </w:pPr>
      <w:r w:rsidRPr="00A2588D">
        <w:rPr>
          <w:rFonts w:ascii="Sylfaen" w:eastAsia="Calibri" w:hAnsi="Sylfaen" w:cs="Arial"/>
          <w:i/>
          <w:lang w:val="ka-GE"/>
        </w:rPr>
        <w:t xml:space="preserve">სარეგისტრაციო კოდი: </w:t>
      </w:r>
      <w:r w:rsidRPr="00A2588D">
        <w:rPr>
          <w:rFonts w:ascii="Sylfaen" w:hAnsi="Sylfaen" w:cs="Sylfaen"/>
          <w:i/>
          <w:lang w:val="ka-GE"/>
        </w:rPr>
        <w:t>GE0000027</w:t>
      </w:r>
      <w:r w:rsidRPr="00A2588D">
        <w:rPr>
          <w:rFonts w:ascii="Sylfaen" w:eastAsia="Calibri" w:hAnsi="Sylfaen" w:cs="Arial"/>
          <w:i/>
          <w:lang w:val="ka-GE"/>
        </w:rPr>
        <w:t>;</w:t>
      </w:r>
    </w:p>
    <w:p w14:paraId="40A4ADE8" w14:textId="77777777" w:rsidR="00A2588D" w:rsidRPr="00A2588D" w:rsidRDefault="00A2588D" w:rsidP="00A2588D">
      <w:pPr>
        <w:spacing w:before="120"/>
        <w:ind w:left="567"/>
        <w:rPr>
          <w:rFonts w:ascii="Sylfaen" w:eastAsia="Calibri" w:hAnsi="Sylfaen" w:cs="Arial"/>
          <w:i/>
          <w:lang w:val="ka-GE"/>
        </w:rPr>
      </w:pPr>
      <w:r w:rsidRPr="00A2588D">
        <w:rPr>
          <w:rFonts w:ascii="Sylfaen" w:eastAsia="Calibri" w:hAnsi="Sylfaen" w:cs="Arial"/>
          <w:i/>
          <w:lang w:val="ka-GE"/>
        </w:rPr>
        <w:t xml:space="preserve">ფართობი: </w:t>
      </w:r>
      <w:r w:rsidRPr="00A2588D">
        <w:rPr>
          <w:rFonts w:ascii="Sylfaen" w:hAnsi="Sylfaen" w:cs="Arial"/>
          <w:i/>
        </w:rPr>
        <w:t>66571</w:t>
      </w:r>
      <w:r w:rsidRPr="00A2588D">
        <w:rPr>
          <w:rFonts w:ascii="Sylfaen" w:eastAsia="Calibri" w:hAnsi="Sylfaen" w:cs="Arial"/>
          <w:i/>
          <w:lang w:val="ka-GE"/>
        </w:rPr>
        <w:t xml:space="preserve"> ჰა;</w:t>
      </w:r>
    </w:p>
    <w:p w14:paraId="08B07FAA" w14:textId="77777777" w:rsidR="00A2588D" w:rsidRPr="00A2588D" w:rsidRDefault="00A2588D" w:rsidP="00A2588D">
      <w:pPr>
        <w:spacing w:before="120"/>
        <w:ind w:left="567"/>
        <w:rPr>
          <w:rFonts w:ascii="Sylfaen" w:eastAsia="Calibri" w:hAnsi="Sylfaen" w:cs="Arial"/>
          <w:i/>
          <w:lang w:val="ka-GE"/>
        </w:rPr>
      </w:pPr>
      <w:r w:rsidRPr="00A2588D">
        <w:rPr>
          <w:rFonts w:ascii="Sylfaen" w:eastAsia="Calibri" w:hAnsi="Sylfaen" w:cs="Arial"/>
          <w:i/>
          <w:lang w:val="ka-GE"/>
        </w:rPr>
        <w:t>სიგრძე: 54 კმ;</w:t>
      </w:r>
    </w:p>
    <w:p w14:paraId="761E6330" w14:textId="77777777" w:rsidR="00A2588D" w:rsidRPr="00A2588D" w:rsidRDefault="00A2588D" w:rsidP="00A2588D">
      <w:pPr>
        <w:spacing w:before="120"/>
        <w:ind w:left="567"/>
        <w:rPr>
          <w:rFonts w:ascii="Sylfaen" w:eastAsia="Calibri" w:hAnsi="Sylfaen" w:cs="Arial"/>
          <w:i/>
          <w:lang w:val="ka-GE"/>
        </w:rPr>
      </w:pPr>
      <w:r w:rsidRPr="00A2588D">
        <w:rPr>
          <w:rFonts w:ascii="Sylfaen" w:eastAsia="Calibri" w:hAnsi="Sylfaen" w:cs="Arial"/>
          <w:i/>
          <w:lang w:val="ka-GE"/>
        </w:rPr>
        <w:t>ბიოგეოგრაფიული რეგიონი: ალპური (100%);</w:t>
      </w:r>
    </w:p>
    <w:p w14:paraId="79387E65" w14:textId="77777777" w:rsidR="00A2588D" w:rsidRPr="00A2588D" w:rsidRDefault="00A2588D" w:rsidP="00A2588D">
      <w:pPr>
        <w:spacing w:before="120"/>
        <w:rPr>
          <w:rFonts w:ascii="Sylfaen" w:eastAsia="Calibri" w:hAnsi="Sylfaen" w:cs="Arial"/>
          <w:b/>
          <w:i/>
          <w:lang w:val="ka-GE"/>
        </w:rPr>
      </w:pPr>
      <w:r w:rsidRPr="00A2588D">
        <w:rPr>
          <w:rFonts w:ascii="Sylfaen" w:eastAsia="Calibri" w:hAnsi="Sylfaen" w:cs="Arial"/>
          <w:b/>
          <w:i/>
          <w:lang w:val="ka-GE"/>
        </w:rPr>
        <w:t>კანდიდატ ზურმუხტოვან უბანზე GE0000027 წარმოდგენილია 3 განსხვავებული ჰაბიტატის ტიპი („სტანდარტული მონაცემთა ფორმის“ მიხედვით).  მათი ზოგადი აღწერა მოცემულია ქვემოთ:</w:t>
      </w:r>
    </w:p>
    <w:p w14:paraId="0755CFF2" w14:textId="77777777" w:rsidR="00A2588D" w:rsidRPr="00A2588D" w:rsidRDefault="00A2588D" w:rsidP="00A2588D">
      <w:pPr>
        <w:autoSpaceDE w:val="0"/>
        <w:autoSpaceDN w:val="0"/>
        <w:adjustRightInd w:val="0"/>
        <w:rPr>
          <w:rFonts w:ascii="Sylfaen" w:eastAsia="Calibri" w:hAnsi="Sylfaen" w:cs="Sylfaen"/>
          <w:i/>
          <w:u w:val="single"/>
          <w:lang w:val="ka-GE"/>
        </w:rPr>
      </w:pPr>
      <w:r w:rsidRPr="00A2588D">
        <w:rPr>
          <w:rFonts w:ascii="Sylfaen" w:eastAsia="Calibri" w:hAnsi="Sylfaen" w:cs="Sylfaen"/>
          <w:i/>
          <w:u w:val="single"/>
          <w:lang w:val="ka-GE"/>
        </w:rPr>
        <w:t>E3.4. ევტროფული და მეზოტროფული მდელოები:</w:t>
      </w:r>
    </w:p>
    <w:p w14:paraId="02173615" w14:textId="77777777" w:rsidR="00A2588D" w:rsidRPr="00A2588D" w:rsidRDefault="00A2588D" w:rsidP="00A2588D">
      <w:pPr>
        <w:rPr>
          <w:rFonts w:ascii="Sylfaen" w:eastAsia="Calibri" w:hAnsi="Sylfaen" w:cs="Sylfaen"/>
          <w:lang w:val="ka-GE"/>
        </w:rPr>
      </w:pPr>
      <w:r w:rsidRPr="00A2588D">
        <w:rPr>
          <w:rFonts w:ascii="Sylfaen" w:eastAsia="Calibri" w:hAnsi="Sylfaen" w:cs="Sylfaen"/>
          <w:lang w:val="ka-GE"/>
        </w:rPr>
        <w:t>ბორეალური  და ნემორალური ზონების  ეუტროფული და მეზოტროფული მდელოები და ჭაობები, სადაც დომინირებს  მარცვლოვანნი, ჭილი და ლელქაში.</w:t>
      </w:r>
    </w:p>
    <w:p w14:paraId="4F827BD3" w14:textId="77777777" w:rsidR="00A2588D" w:rsidRPr="00A2588D" w:rsidRDefault="00A2588D" w:rsidP="00A2588D">
      <w:pPr>
        <w:autoSpaceDE w:val="0"/>
        <w:autoSpaceDN w:val="0"/>
        <w:adjustRightInd w:val="0"/>
        <w:rPr>
          <w:rFonts w:ascii="Sylfaen" w:eastAsia="Calibri" w:hAnsi="Sylfaen" w:cs="Sylfaen"/>
          <w:i/>
          <w:u w:val="single"/>
          <w:lang w:val="ka-GE"/>
        </w:rPr>
      </w:pPr>
      <w:r w:rsidRPr="00A2588D">
        <w:rPr>
          <w:rFonts w:ascii="Sylfaen" w:eastAsia="Calibri" w:hAnsi="Sylfaen" w:cs="Sylfaen"/>
          <w:i/>
          <w:u w:val="single"/>
          <w:lang w:val="ka-GE"/>
        </w:rPr>
        <w:t>F9.1. მდინარისპირული ბუჩქნარი:</w:t>
      </w:r>
    </w:p>
    <w:p w14:paraId="5BD53055" w14:textId="77777777" w:rsidR="00A2588D" w:rsidRPr="00A2588D" w:rsidRDefault="00A2588D" w:rsidP="00A2588D">
      <w:pPr>
        <w:rPr>
          <w:rFonts w:ascii="Sylfaen" w:eastAsia="Calibri" w:hAnsi="Sylfaen" w:cs="Sylfaen"/>
          <w:lang w:val="ka-GE"/>
        </w:rPr>
      </w:pPr>
      <w:r w:rsidRPr="00A2588D">
        <w:rPr>
          <w:rFonts w:ascii="Sylfaen" w:eastAsia="Calibri" w:hAnsi="Sylfaen" w:cs="Sylfaen"/>
          <w:lang w:val="ka-GE"/>
        </w:rPr>
        <w:t xml:space="preserve">მდინარისპირა ფართოფოთლოვანი  ბუჩქნარი მურყანისა </w:t>
      </w:r>
      <w:r w:rsidRPr="00A2588D">
        <w:rPr>
          <w:rFonts w:ascii="Sylfaen" w:eastAsia="Calibri" w:hAnsi="Sylfaen" w:cs="Sylfaen"/>
          <w:i/>
          <w:lang w:val="ka-GE"/>
        </w:rPr>
        <w:t>Alnus spp.</w:t>
      </w:r>
      <w:r w:rsidRPr="00A2588D">
        <w:rPr>
          <w:rFonts w:ascii="Sylfaen" w:eastAsia="Calibri" w:hAnsi="Sylfaen" w:cs="Sylfaen"/>
          <w:lang w:val="ka-GE"/>
        </w:rPr>
        <w:t xml:space="preserve"> და  სხვადასხვა სახეობის ტირიფის დომინირებით: </w:t>
      </w:r>
      <w:r w:rsidRPr="00A2588D">
        <w:rPr>
          <w:rFonts w:ascii="Sylfaen" w:eastAsia="Calibri" w:hAnsi="Sylfaen" w:cs="Sylfaen"/>
          <w:i/>
          <w:lang w:val="ka-GE"/>
        </w:rPr>
        <w:t>Salix alba, Salix purpurea, Salix viminalis</w:t>
      </w:r>
      <w:r w:rsidRPr="00A2588D">
        <w:rPr>
          <w:rFonts w:ascii="Sylfaen" w:eastAsia="Calibri" w:hAnsi="Sylfaen" w:cs="Sylfaen"/>
          <w:lang w:val="ka-GE"/>
        </w:rPr>
        <w:t xml:space="preserve">  რომლებიც 5 მ-ზე დაბალი სიმაღლისაა. მდინარისპირა ქაცვი   </w:t>
      </w:r>
      <w:r w:rsidRPr="00A2588D">
        <w:rPr>
          <w:rFonts w:ascii="Sylfaen" w:eastAsia="Calibri" w:hAnsi="Sylfaen" w:cs="Sylfaen"/>
          <w:i/>
          <w:lang w:val="ka-GE"/>
        </w:rPr>
        <w:t>Hippophae rhamnoides</w:t>
      </w:r>
      <w:r w:rsidRPr="00A2588D">
        <w:rPr>
          <w:rFonts w:ascii="Sylfaen" w:eastAsia="Calibri" w:hAnsi="Sylfaen" w:cs="Sylfaen"/>
          <w:lang w:val="ka-GE"/>
        </w:rPr>
        <w:t xml:space="preserve"> .</w:t>
      </w:r>
    </w:p>
    <w:p w14:paraId="1CAC2631" w14:textId="77777777" w:rsidR="00A2588D" w:rsidRPr="00A2588D" w:rsidRDefault="00A2588D" w:rsidP="00A2588D">
      <w:pPr>
        <w:autoSpaceDE w:val="0"/>
        <w:autoSpaceDN w:val="0"/>
        <w:adjustRightInd w:val="0"/>
        <w:spacing w:before="120"/>
        <w:rPr>
          <w:rFonts w:ascii="Sylfaen" w:eastAsia="Calibri" w:hAnsi="Sylfaen" w:cs="Sylfaen"/>
          <w:i/>
          <w:u w:val="single"/>
          <w:lang w:val="ka-GE"/>
        </w:rPr>
      </w:pPr>
      <w:r w:rsidRPr="00A2588D">
        <w:rPr>
          <w:rFonts w:ascii="Sylfaen" w:eastAsia="Calibri" w:hAnsi="Sylfaen" w:cs="Sylfaen"/>
          <w:i/>
          <w:u w:val="single"/>
          <w:lang w:val="ka-GE"/>
        </w:rPr>
        <w:t>G1.6. წიფლის ტყეები:</w:t>
      </w:r>
    </w:p>
    <w:p w14:paraId="1341DC34" w14:textId="77777777" w:rsidR="00A2588D" w:rsidRPr="00A2588D" w:rsidRDefault="00A2588D" w:rsidP="00A2588D">
      <w:pPr>
        <w:rPr>
          <w:rFonts w:ascii="Sylfaen" w:eastAsia="Calibri" w:hAnsi="Sylfaen" w:cs="Sylfaen"/>
          <w:lang w:val="ka-GE"/>
        </w:rPr>
      </w:pPr>
      <w:r w:rsidRPr="00A2588D">
        <w:rPr>
          <w:rFonts w:ascii="Sylfaen" w:eastAsia="Calibri" w:hAnsi="Sylfaen" w:cs="Sylfaen"/>
          <w:lang w:val="ka-GE"/>
        </w:rPr>
        <w:t xml:space="preserve">დასავლეთ და ცენტრალური ევროპის ტყეები, სადაც დომინირებს წიფელი </w:t>
      </w:r>
      <w:r w:rsidRPr="00A2588D">
        <w:rPr>
          <w:rFonts w:ascii="Sylfaen" w:eastAsia="Calibri" w:hAnsi="Sylfaen" w:cs="Sylfaen"/>
          <w:i/>
          <w:lang w:val="ka-GE"/>
        </w:rPr>
        <w:t>(Fagus sylvatica),</w:t>
      </w:r>
      <w:r w:rsidRPr="00A2588D">
        <w:rPr>
          <w:rFonts w:ascii="Sylfaen" w:eastAsia="Calibri" w:hAnsi="Sylfaen" w:cs="Sylfaen"/>
          <w:lang w:val="ka-GE"/>
        </w:rPr>
        <w:t xml:space="preserve"> და სამხრეთ-აღმოსავლეთ ევროპისა და შავი ზღვის რეგიონის ტყეები, სადაც დომინირებს </w:t>
      </w:r>
      <w:r w:rsidRPr="00A2588D">
        <w:rPr>
          <w:rFonts w:ascii="Sylfaen" w:eastAsia="Calibri" w:hAnsi="Sylfaen" w:cs="Sylfaen"/>
          <w:i/>
          <w:lang w:val="ka-GE"/>
        </w:rPr>
        <w:t>Fagus orientalis.</w:t>
      </w:r>
      <w:r w:rsidRPr="00A2588D">
        <w:rPr>
          <w:rFonts w:ascii="Sylfaen" w:eastAsia="Calibri" w:hAnsi="Sylfaen" w:cs="Sylfaen"/>
          <w:lang w:val="ka-GE"/>
        </w:rPr>
        <w:t xml:space="preserve"> მთისა და შუაზღვისპირეთის მთის ბევრი ფორმაცია წარმოდგენილია შერეული წიფლნარ-სოჭნარი, ან წიფლნარ-სოჭნარ-ნაძვნარი ტყეებით, რომლებიც EUNIS-ში შეტანილია კოდით G4.6.</w:t>
      </w:r>
    </w:p>
    <w:p w14:paraId="60A9656B" w14:textId="77777777" w:rsidR="00A2588D" w:rsidRPr="00A2588D" w:rsidRDefault="00A2588D" w:rsidP="00A2588D">
      <w:pPr>
        <w:spacing w:before="120"/>
        <w:rPr>
          <w:rFonts w:ascii="Sylfaen" w:eastAsia="Calibri" w:hAnsi="Sylfaen" w:cs="Arial"/>
          <w:b/>
          <w:i/>
          <w:lang w:val="ka-GE"/>
        </w:rPr>
      </w:pPr>
      <w:r w:rsidRPr="00A2588D">
        <w:rPr>
          <w:rFonts w:ascii="Sylfaen" w:eastAsia="Calibri" w:hAnsi="Sylfaen" w:cs="Arial"/>
          <w:b/>
          <w:i/>
          <w:lang w:val="ka-GE"/>
        </w:rPr>
        <w:t>კანდიდატ ზურმუხტოვან უბანზე წარმოდგენილ ჰაბიტატებში გავრცელებული სახეობები („სტანდარტული მონაცემთა ფორმის“ მიხედვით):</w:t>
      </w:r>
    </w:p>
    <w:tbl>
      <w:tblPr>
        <w:tblStyle w:val="TableGrid3"/>
        <w:tblW w:w="5150" w:type="pct"/>
        <w:jc w:val="center"/>
        <w:tblLook w:val="04A0" w:firstRow="1" w:lastRow="0" w:firstColumn="1" w:lastColumn="0" w:noHBand="0" w:noVBand="1"/>
      </w:tblPr>
      <w:tblGrid>
        <w:gridCol w:w="1082"/>
        <w:gridCol w:w="836"/>
        <w:gridCol w:w="2884"/>
        <w:gridCol w:w="3148"/>
        <w:gridCol w:w="2552"/>
      </w:tblGrid>
      <w:tr w:rsidR="00A2588D" w:rsidRPr="00A2588D" w14:paraId="3247413B" w14:textId="77777777" w:rsidTr="00A2588D">
        <w:trPr>
          <w:trHeight w:val="1387"/>
          <w:jc w:val="center"/>
        </w:trPr>
        <w:tc>
          <w:tcPr>
            <w:tcW w:w="515" w:type="pct"/>
            <w:shd w:val="clear" w:color="auto" w:fill="auto"/>
            <w:vAlign w:val="center"/>
            <w:hideMark/>
          </w:tcPr>
          <w:p w14:paraId="5DA4B25B"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ჯგუფი*</w:t>
            </w:r>
          </w:p>
        </w:tc>
        <w:tc>
          <w:tcPr>
            <w:tcW w:w="0" w:type="auto"/>
            <w:shd w:val="clear" w:color="auto" w:fill="auto"/>
            <w:vAlign w:val="center"/>
            <w:hideMark/>
          </w:tcPr>
          <w:p w14:paraId="125B29E6"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კოდი</w:t>
            </w:r>
          </w:p>
        </w:tc>
        <w:tc>
          <w:tcPr>
            <w:tcW w:w="1373" w:type="pct"/>
            <w:shd w:val="clear" w:color="auto" w:fill="auto"/>
            <w:vAlign w:val="center"/>
            <w:hideMark/>
          </w:tcPr>
          <w:p w14:paraId="4E63120E"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მეცნიერული დასახელება</w:t>
            </w:r>
          </w:p>
        </w:tc>
        <w:tc>
          <w:tcPr>
            <w:tcW w:w="1499" w:type="pct"/>
            <w:shd w:val="clear" w:color="auto" w:fill="auto"/>
            <w:vAlign w:val="center"/>
            <w:hideMark/>
          </w:tcPr>
          <w:p w14:paraId="49B87116"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ქართული დასახელება</w:t>
            </w:r>
          </w:p>
        </w:tc>
        <w:tc>
          <w:tcPr>
            <w:tcW w:w="1215" w:type="pct"/>
            <w:shd w:val="clear" w:color="auto" w:fill="auto"/>
            <w:vAlign w:val="center"/>
            <w:hideMark/>
          </w:tcPr>
          <w:p w14:paraId="43D73634"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ჩატარებული კვლევების დროს საპროექტო დერეფანში გამოვლინდა („დიახ“ ან „არა“)</w:t>
            </w:r>
          </w:p>
        </w:tc>
      </w:tr>
      <w:tr w:rsidR="00A2588D" w:rsidRPr="00A2588D" w14:paraId="0FD4C9A0" w14:textId="77777777" w:rsidTr="00A2588D">
        <w:trPr>
          <w:trHeight w:val="227"/>
          <w:jc w:val="center"/>
        </w:trPr>
        <w:tc>
          <w:tcPr>
            <w:tcW w:w="515" w:type="pct"/>
            <w:shd w:val="clear" w:color="auto" w:fill="auto"/>
          </w:tcPr>
          <w:p w14:paraId="729E5430" w14:textId="77777777" w:rsidR="00A2588D" w:rsidRPr="00A2588D" w:rsidRDefault="00A2588D" w:rsidP="00A2588D">
            <w:pPr>
              <w:jc w:val="cente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I</w:t>
            </w:r>
          </w:p>
        </w:tc>
        <w:tc>
          <w:tcPr>
            <w:tcW w:w="0" w:type="auto"/>
            <w:shd w:val="clear" w:color="auto" w:fill="auto"/>
          </w:tcPr>
          <w:p w14:paraId="3F10BAE3" w14:textId="77777777" w:rsidR="00A2588D" w:rsidRPr="00A2588D" w:rsidRDefault="00A2588D" w:rsidP="00A2588D">
            <w:pPr>
              <w:jc w:val="cente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1930</w:t>
            </w:r>
          </w:p>
        </w:tc>
        <w:tc>
          <w:tcPr>
            <w:tcW w:w="1373" w:type="pct"/>
            <w:shd w:val="clear" w:color="auto" w:fill="auto"/>
          </w:tcPr>
          <w:p w14:paraId="7FDE5D45" w14:textId="77777777" w:rsidR="00A2588D" w:rsidRPr="00A2588D" w:rsidRDefault="00A2588D" w:rsidP="00A2588D">
            <w:pP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Agriades glandon aquilo</w:t>
            </w:r>
          </w:p>
        </w:tc>
        <w:tc>
          <w:tcPr>
            <w:tcW w:w="1499" w:type="pct"/>
            <w:shd w:val="clear" w:color="auto" w:fill="auto"/>
          </w:tcPr>
          <w:p w14:paraId="10AD12DC" w14:textId="77777777" w:rsidR="00A2588D" w:rsidRPr="00A2588D" w:rsidRDefault="00A2588D" w:rsidP="00A2588D">
            <w:pPr>
              <w:rPr>
                <w:rFonts w:ascii="Sylfaen" w:eastAsia="Calibri" w:hAnsi="Sylfaen" w:cs="Sylfaen"/>
                <w:color w:val="000000" w:themeColor="text1"/>
                <w:sz w:val="20"/>
                <w:szCs w:val="20"/>
                <w:lang w:val="ka-GE"/>
              </w:rPr>
            </w:pPr>
            <w:r w:rsidRPr="00A2588D">
              <w:rPr>
                <w:rFonts w:ascii="Sylfaen" w:eastAsia="Calibri" w:hAnsi="Sylfaen" w:cs="Sylfaen"/>
                <w:color w:val="000000" w:themeColor="text1"/>
                <w:sz w:val="20"/>
                <w:szCs w:val="20"/>
                <w:lang w:val="ka-GE"/>
              </w:rPr>
              <w:t>უხერხემლო</w:t>
            </w:r>
          </w:p>
        </w:tc>
        <w:tc>
          <w:tcPr>
            <w:tcW w:w="1215" w:type="pct"/>
            <w:shd w:val="clear" w:color="auto" w:fill="auto"/>
          </w:tcPr>
          <w:p w14:paraId="5AB93FE3"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არა</w:t>
            </w:r>
          </w:p>
        </w:tc>
      </w:tr>
      <w:tr w:rsidR="00A2588D" w:rsidRPr="00A2588D" w14:paraId="082E9A03" w14:textId="77777777" w:rsidTr="00A2588D">
        <w:trPr>
          <w:trHeight w:val="227"/>
          <w:jc w:val="center"/>
        </w:trPr>
        <w:tc>
          <w:tcPr>
            <w:tcW w:w="515" w:type="pct"/>
            <w:shd w:val="clear" w:color="auto" w:fill="auto"/>
          </w:tcPr>
          <w:p w14:paraId="7147B0A6" w14:textId="77777777" w:rsidR="00A2588D" w:rsidRPr="00A2588D" w:rsidRDefault="00A2588D" w:rsidP="00A2588D">
            <w:pPr>
              <w:jc w:val="cente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M</w:t>
            </w:r>
          </w:p>
        </w:tc>
        <w:tc>
          <w:tcPr>
            <w:tcW w:w="0" w:type="auto"/>
            <w:shd w:val="clear" w:color="auto" w:fill="auto"/>
          </w:tcPr>
          <w:p w14:paraId="6650D2FA" w14:textId="77777777" w:rsidR="00A2588D" w:rsidRPr="00A2588D" w:rsidRDefault="00A2588D" w:rsidP="00A2588D">
            <w:pPr>
              <w:jc w:val="cente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1352</w:t>
            </w:r>
          </w:p>
        </w:tc>
        <w:tc>
          <w:tcPr>
            <w:tcW w:w="1373" w:type="pct"/>
            <w:shd w:val="clear" w:color="auto" w:fill="auto"/>
          </w:tcPr>
          <w:p w14:paraId="45BAB8A1" w14:textId="77777777" w:rsidR="00A2588D" w:rsidRPr="00A2588D" w:rsidRDefault="006A7631" w:rsidP="00A2588D">
            <w:pPr>
              <w:rPr>
                <w:rFonts w:ascii="Sylfaen" w:eastAsia="Calibri" w:hAnsi="Sylfaen" w:cs="Arial"/>
                <w:color w:val="000000" w:themeColor="text1"/>
                <w:sz w:val="20"/>
                <w:szCs w:val="20"/>
              </w:rPr>
            </w:pPr>
            <w:hyperlink r:id="rId210" w:tgtFrame="&#10;                              blank&#10;                            " w:history="1">
              <w:r w:rsidR="00A2588D" w:rsidRPr="00A2588D">
                <w:rPr>
                  <w:rFonts w:ascii="Sylfaen" w:eastAsia="Calibri" w:hAnsi="Sylfaen" w:cs="Arial"/>
                  <w:color w:val="000000" w:themeColor="text1"/>
                  <w:sz w:val="20"/>
                  <w:szCs w:val="20"/>
                </w:rPr>
                <w:t>Canis lupus</w:t>
              </w:r>
            </w:hyperlink>
          </w:p>
        </w:tc>
        <w:tc>
          <w:tcPr>
            <w:tcW w:w="1499" w:type="pct"/>
            <w:shd w:val="clear" w:color="auto" w:fill="auto"/>
          </w:tcPr>
          <w:p w14:paraId="2749E356" w14:textId="77777777" w:rsidR="00A2588D" w:rsidRPr="00A2588D" w:rsidRDefault="00A2588D" w:rsidP="00A2588D">
            <w:pPr>
              <w:rPr>
                <w:rFonts w:ascii="Sylfaen" w:eastAsia="Calibri" w:hAnsi="Sylfaen" w:cs="Sylfaen"/>
                <w:color w:val="000000" w:themeColor="text1"/>
                <w:sz w:val="20"/>
                <w:szCs w:val="20"/>
              </w:rPr>
            </w:pPr>
            <w:r w:rsidRPr="00A2588D">
              <w:rPr>
                <w:rFonts w:ascii="Sylfaen" w:eastAsia="Calibri" w:hAnsi="Sylfaen" w:cs="Sylfaen"/>
                <w:color w:val="000000" w:themeColor="text1"/>
                <w:sz w:val="20"/>
                <w:szCs w:val="20"/>
              </w:rPr>
              <w:t>მგელი</w:t>
            </w:r>
          </w:p>
        </w:tc>
        <w:tc>
          <w:tcPr>
            <w:tcW w:w="1215" w:type="pct"/>
            <w:shd w:val="clear" w:color="auto" w:fill="auto"/>
          </w:tcPr>
          <w:p w14:paraId="58A334D4"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არა</w:t>
            </w:r>
          </w:p>
        </w:tc>
      </w:tr>
      <w:tr w:rsidR="00A2588D" w:rsidRPr="00A2588D" w14:paraId="59210F81" w14:textId="77777777" w:rsidTr="00A2588D">
        <w:trPr>
          <w:trHeight w:val="227"/>
          <w:jc w:val="center"/>
        </w:trPr>
        <w:tc>
          <w:tcPr>
            <w:tcW w:w="515" w:type="pct"/>
            <w:shd w:val="clear" w:color="auto" w:fill="auto"/>
          </w:tcPr>
          <w:p w14:paraId="7ED71544" w14:textId="77777777" w:rsidR="00A2588D" w:rsidRPr="00A2588D" w:rsidRDefault="00A2588D" w:rsidP="00A2588D">
            <w:pPr>
              <w:jc w:val="cente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I</w:t>
            </w:r>
          </w:p>
        </w:tc>
        <w:tc>
          <w:tcPr>
            <w:tcW w:w="0" w:type="auto"/>
            <w:shd w:val="clear" w:color="auto" w:fill="auto"/>
          </w:tcPr>
          <w:p w14:paraId="1C57CA0A"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1088</w:t>
            </w:r>
          </w:p>
        </w:tc>
        <w:tc>
          <w:tcPr>
            <w:tcW w:w="1373" w:type="pct"/>
            <w:shd w:val="clear" w:color="auto" w:fill="auto"/>
          </w:tcPr>
          <w:p w14:paraId="6EEEB0AE" w14:textId="77777777" w:rsidR="00A2588D" w:rsidRPr="00A2588D" w:rsidRDefault="00A2588D" w:rsidP="00A2588D">
            <w:pP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Cerambyx cerdo</w:t>
            </w:r>
          </w:p>
        </w:tc>
        <w:tc>
          <w:tcPr>
            <w:tcW w:w="1499" w:type="pct"/>
            <w:shd w:val="clear" w:color="auto" w:fill="auto"/>
          </w:tcPr>
          <w:p w14:paraId="55FCF540" w14:textId="77777777" w:rsidR="00A2588D" w:rsidRPr="00A2588D" w:rsidRDefault="00A2588D" w:rsidP="00A2588D">
            <w:pPr>
              <w:rPr>
                <w:rFonts w:ascii="Sylfaen" w:eastAsia="Calibri" w:hAnsi="Sylfaen" w:cs="Sylfaen"/>
                <w:color w:val="000000" w:themeColor="text1"/>
                <w:sz w:val="20"/>
                <w:szCs w:val="20"/>
              </w:rPr>
            </w:pPr>
            <w:r w:rsidRPr="00A2588D">
              <w:rPr>
                <w:rFonts w:ascii="Sylfaen" w:eastAsia="Calibri" w:hAnsi="Sylfaen" w:cs="Sylfaen"/>
                <w:color w:val="000000" w:themeColor="text1"/>
                <w:sz w:val="20"/>
                <w:szCs w:val="20"/>
                <w:lang w:val="ka-GE"/>
              </w:rPr>
              <w:t>მუხის დიდი ხარაბუზა</w:t>
            </w:r>
          </w:p>
        </w:tc>
        <w:tc>
          <w:tcPr>
            <w:tcW w:w="1215" w:type="pct"/>
            <w:shd w:val="clear" w:color="auto" w:fill="auto"/>
          </w:tcPr>
          <w:p w14:paraId="645983C5"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არა</w:t>
            </w:r>
          </w:p>
        </w:tc>
      </w:tr>
      <w:tr w:rsidR="00A2588D" w:rsidRPr="00A2588D" w14:paraId="1C6F0C26" w14:textId="77777777" w:rsidTr="00A2588D">
        <w:trPr>
          <w:trHeight w:val="227"/>
          <w:jc w:val="center"/>
        </w:trPr>
        <w:tc>
          <w:tcPr>
            <w:tcW w:w="515" w:type="pct"/>
            <w:shd w:val="clear" w:color="auto" w:fill="auto"/>
          </w:tcPr>
          <w:p w14:paraId="645CBA21" w14:textId="77777777" w:rsidR="00A2588D" w:rsidRPr="00A2588D" w:rsidRDefault="00A2588D" w:rsidP="00A2588D">
            <w:pPr>
              <w:jc w:val="cente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R</w:t>
            </w:r>
          </w:p>
        </w:tc>
        <w:tc>
          <w:tcPr>
            <w:tcW w:w="0" w:type="auto"/>
            <w:shd w:val="clear" w:color="auto" w:fill="auto"/>
          </w:tcPr>
          <w:p w14:paraId="545D5DE7"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1220</w:t>
            </w:r>
          </w:p>
        </w:tc>
        <w:tc>
          <w:tcPr>
            <w:tcW w:w="1373" w:type="pct"/>
            <w:shd w:val="clear" w:color="auto" w:fill="auto"/>
          </w:tcPr>
          <w:p w14:paraId="1CE83F90" w14:textId="77777777" w:rsidR="00A2588D" w:rsidRPr="00A2588D" w:rsidRDefault="00A2588D" w:rsidP="00A2588D">
            <w:pP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Emys</w:t>
            </w:r>
            <w:r w:rsidRPr="00A2588D">
              <w:rPr>
                <w:rFonts w:ascii="Sylfaen" w:eastAsia="Calibri" w:hAnsi="Sylfaen" w:cs="Arial"/>
                <w:color w:val="000000" w:themeColor="text1"/>
                <w:sz w:val="20"/>
                <w:szCs w:val="20"/>
                <w:lang w:val="ka-GE"/>
              </w:rPr>
              <w:t xml:space="preserve"> </w:t>
            </w:r>
            <w:r w:rsidRPr="00A2588D">
              <w:rPr>
                <w:rFonts w:ascii="Sylfaen" w:eastAsia="Calibri" w:hAnsi="Sylfaen" w:cs="Arial"/>
                <w:color w:val="000000" w:themeColor="text1"/>
                <w:sz w:val="20"/>
                <w:szCs w:val="20"/>
              </w:rPr>
              <w:t>orbicularis</w:t>
            </w:r>
          </w:p>
        </w:tc>
        <w:tc>
          <w:tcPr>
            <w:tcW w:w="1499" w:type="pct"/>
            <w:shd w:val="clear" w:color="auto" w:fill="auto"/>
          </w:tcPr>
          <w:p w14:paraId="14DB2638" w14:textId="77777777" w:rsidR="00A2588D" w:rsidRPr="00A2588D" w:rsidRDefault="00A2588D" w:rsidP="00A2588D">
            <w:pPr>
              <w:rPr>
                <w:rFonts w:ascii="Sylfaen" w:eastAsia="Calibri" w:hAnsi="Sylfaen" w:cs="Sylfaen"/>
                <w:color w:val="000000" w:themeColor="text1"/>
                <w:sz w:val="20"/>
                <w:szCs w:val="20"/>
                <w:lang w:val="ka-GE"/>
              </w:rPr>
            </w:pPr>
            <w:r w:rsidRPr="00A2588D">
              <w:rPr>
                <w:rFonts w:ascii="Sylfaen" w:eastAsia="Calibri" w:hAnsi="Sylfaen" w:cs="Sylfaen"/>
                <w:color w:val="000000" w:themeColor="text1"/>
                <w:sz w:val="20"/>
                <w:szCs w:val="20"/>
                <w:lang w:val="ka-GE"/>
              </w:rPr>
              <w:t>ჭაობის ევროპული კუ</w:t>
            </w:r>
          </w:p>
        </w:tc>
        <w:tc>
          <w:tcPr>
            <w:tcW w:w="1215" w:type="pct"/>
            <w:shd w:val="clear" w:color="auto" w:fill="auto"/>
          </w:tcPr>
          <w:p w14:paraId="365600F2"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არა</w:t>
            </w:r>
          </w:p>
        </w:tc>
      </w:tr>
      <w:tr w:rsidR="00A2588D" w:rsidRPr="00A2588D" w14:paraId="74F16617" w14:textId="77777777" w:rsidTr="00A2588D">
        <w:trPr>
          <w:trHeight w:val="227"/>
          <w:jc w:val="center"/>
        </w:trPr>
        <w:tc>
          <w:tcPr>
            <w:tcW w:w="515" w:type="pct"/>
            <w:shd w:val="clear" w:color="auto" w:fill="auto"/>
          </w:tcPr>
          <w:p w14:paraId="6B31C52D" w14:textId="77777777" w:rsidR="00A2588D" w:rsidRPr="00A2588D" w:rsidRDefault="00A2588D" w:rsidP="00A2588D">
            <w:pPr>
              <w:jc w:val="cente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M</w:t>
            </w:r>
          </w:p>
        </w:tc>
        <w:tc>
          <w:tcPr>
            <w:tcW w:w="0" w:type="auto"/>
            <w:shd w:val="clear" w:color="auto" w:fill="auto"/>
          </w:tcPr>
          <w:p w14:paraId="6F66321A" w14:textId="77777777" w:rsidR="00A2588D" w:rsidRPr="00A2588D" w:rsidRDefault="00A2588D" w:rsidP="00A2588D">
            <w:pPr>
              <w:jc w:val="cente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1355</w:t>
            </w:r>
          </w:p>
        </w:tc>
        <w:tc>
          <w:tcPr>
            <w:tcW w:w="1373" w:type="pct"/>
            <w:shd w:val="clear" w:color="auto" w:fill="auto"/>
          </w:tcPr>
          <w:p w14:paraId="3E9CF8DF" w14:textId="77777777" w:rsidR="00A2588D" w:rsidRPr="00A2588D" w:rsidRDefault="006A7631" w:rsidP="00A2588D">
            <w:pPr>
              <w:rPr>
                <w:rFonts w:ascii="Sylfaen" w:eastAsia="Calibri" w:hAnsi="Sylfaen" w:cs="Arial"/>
                <w:color w:val="000000" w:themeColor="text1"/>
                <w:sz w:val="20"/>
                <w:szCs w:val="20"/>
              </w:rPr>
            </w:pPr>
            <w:hyperlink r:id="rId211" w:tgtFrame="&#10;                              blank&#10;                            " w:history="1">
              <w:r w:rsidR="00A2588D" w:rsidRPr="00A2588D">
                <w:rPr>
                  <w:rFonts w:ascii="Sylfaen" w:eastAsia="Calibri" w:hAnsi="Sylfaen" w:cs="Arial"/>
                  <w:color w:val="000000" w:themeColor="text1"/>
                  <w:sz w:val="20"/>
                  <w:szCs w:val="20"/>
                </w:rPr>
                <w:t>Lutra</w:t>
              </w:r>
              <w:r w:rsidR="00A2588D" w:rsidRPr="00A2588D">
                <w:rPr>
                  <w:rFonts w:ascii="Sylfaen" w:eastAsia="Calibri" w:hAnsi="Sylfaen" w:cs="Arial"/>
                  <w:color w:val="000000" w:themeColor="text1"/>
                  <w:sz w:val="20"/>
                  <w:szCs w:val="20"/>
                  <w:lang w:val="ka-GE"/>
                </w:rPr>
                <w:t xml:space="preserve"> </w:t>
              </w:r>
              <w:r w:rsidR="00A2588D" w:rsidRPr="00A2588D">
                <w:rPr>
                  <w:rFonts w:ascii="Sylfaen" w:eastAsia="Calibri" w:hAnsi="Sylfaen" w:cs="Arial"/>
                  <w:color w:val="000000" w:themeColor="text1"/>
                  <w:sz w:val="20"/>
                  <w:szCs w:val="20"/>
                </w:rPr>
                <w:t>lutra</w:t>
              </w:r>
            </w:hyperlink>
          </w:p>
        </w:tc>
        <w:tc>
          <w:tcPr>
            <w:tcW w:w="1499" w:type="pct"/>
            <w:shd w:val="clear" w:color="auto" w:fill="auto"/>
          </w:tcPr>
          <w:p w14:paraId="27044C5E" w14:textId="77777777" w:rsidR="00A2588D" w:rsidRPr="00A2588D" w:rsidRDefault="00A2588D" w:rsidP="00A2588D">
            <w:pP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წავი</w:t>
            </w:r>
          </w:p>
        </w:tc>
        <w:tc>
          <w:tcPr>
            <w:tcW w:w="1215" w:type="pct"/>
            <w:shd w:val="clear" w:color="auto" w:fill="auto"/>
          </w:tcPr>
          <w:p w14:paraId="6AF28551"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არა</w:t>
            </w:r>
          </w:p>
        </w:tc>
      </w:tr>
      <w:tr w:rsidR="00A2588D" w:rsidRPr="00A2588D" w14:paraId="39DB80C8" w14:textId="77777777" w:rsidTr="00A2588D">
        <w:trPr>
          <w:trHeight w:val="227"/>
          <w:jc w:val="center"/>
        </w:trPr>
        <w:tc>
          <w:tcPr>
            <w:tcW w:w="515" w:type="pct"/>
            <w:shd w:val="clear" w:color="auto" w:fill="auto"/>
          </w:tcPr>
          <w:p w14:paraId="6BE66F52" w14:textId="77777777" w:rsidR="00A2588D" w:rsidRPr="00A2588D" w:rsidRDefault="00A2588D" w:rsidP="00A2588D">
            <w:pPr>
              <w:jc w:val="cente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I</w:t>
            </w:r>
          </w:p>
        </w:tc>
        <w:tc>
          <w:tcPr>
            <w:tcW w:w="0" w:type="auto"/>
            <w:shd w:val="clear" w:color="auto" w:fill="auto"/>
          </w:tcPr>
          <w:p w14:paraId="02499D72"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1060</w:t>
            </w:r>
          </w:p>
        </w:tc>
        <w:tc>
          <w:tcPr>
            <w:tcW w:w="1373" w:type="pct"/>
            <w:shd w:val="clear" w:color="auto" w:fill="auto"/>
          </w:tcPr>
          <w:p w14:paraId="5D29CD3E" w14:textId="77777777" w:rsidR="00A2588D" w:rsidRPr="00A2588D" w:rsidRDefault="00A2588D" w:rsidP="00A2588D">
            <w:pP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Lycaena dispar</w:t>
            </w:r>
          </w:p>
        </w:tc>
        <w:tc>
          <w:tcPr>
            <w:tcW w:w="1499" w:type="pct"/>
            <w:shd w:val="clear" w:color="auto" w:fill="auto"/>
          </w:tcPr>
          <w:p w14:paraId="27B3B186" w14:textId="77777777" w:rsidR="00A2588D" w:rsidRPr="00A2588D" w:rsidRDefault="00A2588D" w:rsidP="00A2588D">
            <w:pP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მჟაუნას მრავალთვალა</w:t>
            </w:r>
          </w:p>
        </w:tc>
        <w:tc>
          <w:tcPr>
            <w:tcW w:w="1215" w:type="pct"/>
            <w:shd w:val="clear" w:color="auto" w:fill="auto"/>
          </w:tcPr>
          <w:p w14:paraId="33AE1EAC"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არა</w:t>
            </w:r>
          </w:p>
        </w:tc>
      </w:tr>
      <w:tr w:rsidR="00A2588D" w:rsidRPr="00A2588D" w14:paraId="08860AED" w14:textId="77777777" w:rsidTr="00A2588D">
        <w:trPr>
          <w:trHeight w:val="227"/>
          <w:jc w:val="center"/>
        </w:trPr>
        <w:tc>
          <w:tcPr>
            <w:tcW w:w="515" w:type="pct"/>
            <w:shd w:val="clear" w:color="auto" w:fill="auto"/>
          </w:tcPr>
          <w:p w14:paraId="34E83965"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rPr>
              <w:t>P</w:t>
            </w:r>
          </w:p>
        </w:tc>
        <w:tc>
          <w:tcPr>
            <w:tcW w:w="0" w:type="auto"/>
            <w:shd w:val="clear" w:color="auto" w:fill="auto"/>
          </w:tcPr>
          <w:p w14:paraId="4BEEAF22"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2098</w:t>
            </w:r>
          </w:p>
        </w:tc>
        <w:tc>
          <w:tcPr>
            <w:tcW w:w="1373" w:type="pct"/>
            <w:shd w:val="clear" w:color="auto" w:fill="auto"/>
          </w:tcPr>
          <w:p w14:paraId="1EC18438" w14:textId="77777777" w:rsidR="00A2588D" w:rsidRPr="00A2588D" w:rsidRDefault="00A2588D" w:rsidP="00A2588D">
            <w:pP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Paeonia tenuifolia</w:t>
            </w:r>
          </w:p>
        </w:tc>
        <w:tc>
          <w:tcPr>
            <w:tcW w:w="1499" w:type="pct"/>
            <w:shd w:val="clear" w:color="auto" w:fill="auto"/>
          </w:tcPr>
          <w:p w14:paraId="00FA1C28" w14:textId="77777777" w:rsidR="00A2588D" w:rsidRPr="00A2588D" w:rsidRDefault="00A2588D" w:rsidP="00A2588D">
            <w:pP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rPr>
              <w:t>ველის იორდასალამი</w:t>
            </w:r>
          </w:p>
        </w:tc>
        <w:tc>
          <w:tcPr>
            <w:tcW w:w="1215" w:type="pct"/>
            <w:shd w:val="clear" w:color="auto" w:fill="auto"/>
          </w:tcPr>
          <w:p w14:paraId="1616ECC5"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არა</w:t>
            </w:r>
          </w:p>
        </w:tc>
      </w:tr>
      <w:tr w:rsidR="00A2588D" w:rsidRPr="00A2588D" w14:paraId="0090FCB2" w14:textId="77777777" w:rsidTr="00A2588D">
        <w:trPr>
          <w:trHeight w:val="227"/>
          <w:jc w:val="center"/>
        </w:trPr>
        <w:tc>
          <w:tcPr>
            <w:tcW w:w="515" w:type="pct"/>
            <w:shd w:val="clear" w:color="auto" w:fill="auto"/>
          </w:tcPr>
          <w:p w14:paraId="195DDE69" w14:textId="77777777" w:rsidR="00A2588D" w:rsidRPr="00A2588D" w:rsidRDefault="00A2588D" w:rsidP="00A2588D">
            <w:pPr>
              <w:jc w:val="cente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I</w:t>
            </w:r>
          </w:p>
        </w:tc>
        <w:tc>
          <w:tcPr>
            <w:tcW w:w="0" w:type="auto"/>
            <w:shd w:val="clear" w:color="auto" w:fill="auto"/>
          </w:tcPr>
          <w:p w14:paraId="412A15BC"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1087</w:t>
            </w:r>
          </w:p>
        </w:tc>
        <w:tc>
          <w:tcPr>
            <w:tcW w:w="1373" w:type="pct"/>
            <w:shd w:val="clear" w:color="auto" w:fill="auto"/>
          </w:tcPr>
          <w:p w14:paraId="0690963E" w14:textId="77777777" w:rsidR="00A2588D" w:rsidRPr="00A2588D" w:rsidRDefault="00A2588D" w:rsidP="00A2588D">
            <w:pP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Rosalia alpina</w:t>
            </w:r>
          </w:p>
        </w:tc>
        <w:tc>
          <w:tcPr>
            <w:tcW w:w="1499" w:type="pct"/>
            <w:shd w:val="clear" w:color="auto" w:fill="auto"/>
          </w:tcPr>
          <w:p w14:paraId="73E08882" w14:textId="77777777" w:rsidR="00A2588D" w:rsidRPr="00A2588D" w:rsidRDefault="00A2588D" w:rsidP="00A2588D">
            <w:pPr>
              <w:rPr>
                <w:rFonts w:ascii="Sylfaen" w:eastAsia="Calibri" w:hAnsi="Sylfaen" w:cs="Sylfaen"/>
                <w:color w:val="000000" w:themeColor="text1"/>
                <w:sz w:val="20"/>
                <w:szCs w:val="20"/>
                <w:lang w:val="ka-GE"/>
              </w:rPr>
            </w:pPr>
            <w:r w:rsidRPr="00A2588D">
              <w:rPr>
                <w:rFonts w:ascii="Sylfaen" w:eastAsia="Calibri" w:hAnsi="Sylfaen" w:cs="Arial"/>
                <w:color w:val="000000" w:themeColor="text1"/>
                <w:sz w:val="20"/>
                <w:szCs w:val="20"/>
              </w:rPr>
              <w:t>ალპური ხარაბუზა</w:t>
            </w:r>
          </w:p>
        </w:tc>
        <w:tc>
          <w:tcPr>
            <w:tcW w:w="1215" w:type="pct"/>
            <w:shd w:val="clear" w:color="auto" w:fill="auto"/>
          </w:tcPr>
          <w:p w14:paraId="07E1E814"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არა</w:t>
            </w:r>
          </w:p>
        </w:tc>
      </w:tr>
      <w:tr w:rsidR="00A2588D" w:rsidRPr="00A2588D" w14:paraId="2B2357D7" w14:textId="77777777" w:rsidTr="00A2588D">
        <w:trPr>
          <w:trHeight w:val="227"/>
          <w:jc w:val="center"/>
        </w:trPr>
        <w:tc>
          <w:tcPr>
            <w:tcW w:w="515" w:type="pct"/>
            <w:shd w:val="clear" w:color="auto" w:fill="auto"/>
          </w:tcPr>
          <w:p w14:paraId="553AD955" w14:textId="77777777" w:rsidR="00A2588D" w:rsidRPr="00A2588D" w:rsidRDefault="00A2588D" w:rsidP="00A2588D">
            <w:pPr>
              <w:jc w:val="cente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I</w:t>
            </w:r>
          </w:p>
        </w:tc>
        <w:tc>
          <w:tcPr>
            <w:tcW w:w="0" w:type="auto"/>
            <w:shd w:val="clear" w:color="auto" w:fill="auto"/>
          </w:tcPr>
          <w:p w14:paraId="4DB07336"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1926</w:t>
            </w:r>
          </w:p>
        </w:tc>
        <w:tc>
          <w:tcPr>
            <w:tcW w:w="1373" w:type="pct"/>
            <w:shd w:val="clear" w:color="auto" w:fill="auto"/>
          </w:tcPr>
          <w:p w14:paraId="0540C20D" w14:textId="77777777" w:rsidR="00A2588D" w:rsidRPr="00A2588D" w:rsidRDefault="00A2588D" w:rsidP="00A2588D">
            <w:pP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Stephanopachys</w:t>
            </w:r>
            <w:r w:rsidRPr="00A2588D">
              <w:rPr>
                <w:rFonts w:ascii="Sylfaen" w:eastAsia="Calibri" w:hAnsi="Sylfaen" w:cs="Arial"/>
                <w:color w:val="000000" w:themeColor="text1"/>
                <w:sz w:val="20"/>
                <w:szCs w:val="20"/>
                <w:lang w:val="ka-GE"/>
              </w:rPr>
              <w:t xml:space="preserve"> </w:t>
            </w:r>
            <w:r w:rsidRPr="00A2588D">
              <w:rPr>
                <w:rFonts w:ascii="Sylfaen" w:eastAsia="Calibri" w:hAnsi="Sylfaen" w:cs="Arial"/>
                <w:color w:val="000000" w:themeColor="text1"/>
                <w:sz w:val="20"/>
                <w:szCs w:val="20"/>
              </w:rPr>
              <w:t>linearis</w:t>
            </w:r>
          </w:p>
        </w:tc>
        <w:tc>
          <w:tcPr>
            <w:tcW w:w="1499" w:type="pct"/>
            <w:shd w:val="clear" w:color="auto" w:fill="auto"/>
          </w:tcPr>
          <w:p w14:paraId="206121A0" w14:textId="77777777" w:rsidR="00A2588D" w:rsidRPr="00A2588D" w:rsidRDefault="00A2588D" w:rsidP="00A2588D">
            <w:pPr>
              <w:rPr>
                <w:rFonts w:ascii="Sylfaen" w:eastAsia="Calibri" w:hAnsi="Sylfaen" w:cs="Sylfaen"/>
                <w:color w:val="000000" w:themeColor="text1"/>
                <w:sz w:val="20"/>
                <w:szCs w:val="20"/>
                <w:lang w:val="ka-GE"/>
              </w:rPr>
            </w:pPr>
            <w:r w:rsidRPr="00A2588D">
              <w:rPr>
                <w:rFonts w:ascii="Sylfaen" w:eastAsia="Calibri" w:hAnsi="Sylfaen" w:cs="Sylfaen"/>
                <w:color w:val="000000" w:themeColor="text1"/>
                <w:sz w:val="20"/>
                <w:szCs w:val="20"/>
                <w:lang w:val="ka-GE"/>
              </w:rPr>
              <w:t>უხერხემლო</w:t>
            </w:r>
          </w:p>
        </w:tc>
        <w:tc>
          <w:tcPr>
            <w:tcW w:w="1215" w:type="pct"/>
            <w:shd w:val="clear" w:color="auto" w:fill="auto"/>
          </w:tcPr>
          <w:p w14:paraId="4953B3BE"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არა</w:t>
            </w:r>
          </w:p>
        </w:tc>
      </w:tr>
      <w:tr w:rsidR="00A2588D" w:rsidRPr="00A2588D" w14:paraId="6BEB1AA8" w14:textId="77777777" w:rsidTr="00A2588D">
        <w:trPr>
          <w:trHeight w:val="227"/>
          <w:jc w:val="center"/>
        </w:trPr>
        <w:tc>
          <w:tcPr>
            <w:tcW w:w="515" w:type="pct"/>
            <w:shd w:val="clear" w:color="auto" w:fill="auto"/>
          </w:tcPr>
          <w:p w14:paraId="05EDA874" w14:textId="77777777" w:rsidR="00A2588D" w:rsidRPr="00A2588D" w:rsidRDefault="00A2588D" w:rsidP="00A2588D">
            <w:pPr>
              <w:jc w:val="cente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A</w:t>
            </w:r>
          </w:p>
        </w:tc>
        <w:tc>
          <w:tcPr>
            <w:tcW w:w="0" w:type="auto"/>
            <w:shd w:val="clear" w:color="auto" w:fill="auto"/>
          </w:tcPr>
          <w:p w14:paraId="09641959"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1171</w:t>
            </w:r>
          </w:p>
        </w:tc>
        <w:tc>
          <w:tcPr>
            <w:tcW w:w="1373" w:type="pct"/>
            <w:shd w:val="clear" w:color="auto" w:fill="auto"/>
          </w:tcPr>
          <w:p w14:paraId="602D2F71" w14:textId="77777777" w:rsidR="00A2588D" w:rsidRPr="00A2588D" w:rsidRDefault="00A2588D" w:rsidP="00A2588D">
            <w:pP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Triturus karelinii</w:t>
            </w:r>
          </w:p>
        </w:tc>
        <w:tc>
          <w:tcPr>
            <w:tcW w:w="1499" w:type="pct"/>
            <w:shd w:val="clear" w:color="auto" w:fill="auto"/>
          </w:tcPr>
          <w:p w14:paraId="4081E029" w14:textId="77777777" w:rsidR="00A2588D" w:rsidRPr="00A2588D" w:rsidRDefault="00A2588D" w:rsidP="00A2588D">
            <w:pPr>
              <w:rPr>
                <w:rFonts w:ascii="Sylfaen" w:eastAsia="Calibri" w:hAnsi="Sylfaen" w:cs="Sylfaen"/>
                <w:color w:val="000000" w:themeColor="text1"/>
                <w:sz w:val="20"/>
                <w:szCs w:val="20"/>
                <w:lang w:val="ka-GE"/>
              </w:rPr>
            </w:pPr>
            <w:r w:rsidRPr="00A2588D">
              <w:rPr>
                <w:rFonts w:ascii="Sylfaen" w:eastAsia="Calibri" w:hAnsi="Sylfaen" w:cs="Arial"/>
                <w:color w:val="000000" w:themeColor="text1"/>
                <w:sz w:val="20"/>
                <w:szCs w:val="20"/>
              </w:rPr>
              <w:t>სავარცხლიანი ტრიტონი</w:t>
            </w:r>
          </w:p>
        </w:tc>
        <w:tc>
          <w:tcPr>
            <w:tcW w:w="1215" w:type="pct"/>
            <w:shd w:val="clear" w:color="auto" w:fill="auto"/>
          </w:tcPr>
          <w:p w14:paraId="51816421"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არა</w:t>
            </w:r>
          </w:p>
        </w:tc>
      </w:tr>
      <w:tr w:rsidR="00A2588D" w:rsidRPr="00A2588D" w14:paraId="12D55089" w14:textId="77777777" w:rsidTr="00A2588D">
        <w:trPr>
          <w:trHeight w:val="64"/>
          <w:jc w:val="center"/>
        </w:trPr>
        <w:tc>
          <w:tcPr>
            <w:tcW w:w="515" w:type="pct"/>
            <w:shd w:val="clear" w:color="auto" w:fill="auto"/>
            <w:hideMark/>
          </w:tcPr>
          <w:p w14:paraId="356A829D" w14:textId="77777777" w:rsidR="00A2588D" w:rsidRPr="00A2588D" w:rsidRDefault="00A2588D" w:rsidP="00A2588D">
            <w:pPr>
              <w:jc w:val="cente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M</w:t>
            </w:r>
          </w:p>
        </w:tc>
        <w:tc>
          <w:tcPr>
            <w:tcW w:w="0" w:type="auto"/>
            <w:shd w:val="clear" w:color="auto" w:fill="auto"/>
            <w:hideMark/>
          </w:tcPr>
          <w:p w14:paraId="522183F2" w14:textId="77777777" w:rsidR="00A2588D" w:rsidRPr="00A2588D" w:rsidRDefault="00A2588D" w:rsidP="00A2588D">
            <w:pPr>
              <w:jc w:val="cente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1354</w:t>
            </w:r>
          </w:p>
        </w:tc>
        <w:tc>
          <w:tcPr>
            <w:tcW w:w="1373" w:type="pct"/>
            <w:shd w:val="clear" w:color="auto" w:fill="auto"/>
            <w:hideMark/>
          </w:tcPr>
          <w:p w14:paraId="6ACFBC9E" w14:textId="77777777" w:rsidR="00A2588D" w:rsidRPr="00A2588D" w:rsidRDefault="006A7631" w:rsidP="00A2588D">
            <w:pPr>
              <w:rPr>
                <w:rFonts w:ascii="Sylfaen" w:eastAsia="Calibri" w:hAnsi="Sylfaen" w:cs="Arial"/>
                <w:color w:val="000000" w:themeColor="text1"/>
                <w:sz w:val="20"/>
                <w:szCs w:val="20"/>
              </w:rPr>
            </w:pPr>
            <w:hyperlink r:id="rId212" w:tgtFrame="&#10;                              blank&#10;                            " w:history="1">
              <w:r w:rsidR="00A2588D" w:rsidRPr="00A2588D">
                <w:rPr>
                  <w:rFonts w:ascii="Sylfaen" w:eastAsia="Calibri" w:hAnsi="Sylfaen" w:cs="Arial"/>
                  <w:color w:val="000000" w:themeColor="text1"/>
                  <w:sz w:val="20"/>
                  <w:szCs w:val="20"/>
                </w:rPr>
                <w:t>Ursus</w:t>
              </w:r>
              <w:r w:rsidR="00A2588D" w:rsidRPr="00A2588D">
                <w:rPr>
                  <w:rFonts w:ascii="Sylfaen" w:eastAsia="Calibri" w:hAnsi="Sylfaen" w:cs="Arial"/>
                  <w:color w:val="000000" w:themeColor="text1"/>
                  <w:sz w:val="20"/>
                  <w:szCs w:val="20"/>
                  <w:lang w:val="ka-GE"/>
                </w:rPr>
                <w:t xml:space="preserve"> </w:t>
              </w:r>
              <w:r w:rsidR="00A2588D" w:rsidRPr="00A2588D">
                <w:rPr>
                  <w:rFonts w:ascii="Sylfaen" w:eastAsia="Calibri" w:hAnsi="Sylfaen" w:cs="Arial"/>
                  <w:color w:val="000000" w:themeColor="text1"/>
                  <w:sz w:val="20"/>
                  <w:szCs w:val="20"/>
                </w:rPr>
                <w:t>arctos</w:t>
              </w:r>
            </w:hyperlink>
          </w:p>
        </w:tc>
        <w:tc>
          <w:tcPr>
            <w:tcW w:w="1499" w:type="pct"/>
            <w:shd w:val="clear" w:color="auto" w:fill="auto"/>
            <w:hideMark/>
          </w:tcPr>
          <w:p w14:paraId="3E83F435" w14:textId="77777777" w:rsidR="00A2588D" w:rsidRPr="00A2588D" w:rsidRDefault="00A2588D" w:rsidP="00A2588D">
            <w:pPr>
              <w:rPr>
                <w:rFonts w:ascii="Sylfaen" w:eastAsia="Calibri" w:hAnsi="Sylfaen" w:cs="Arial"/>
                <w:color w:val="000000" w:themeColor="text1"/>
                <w:sz w:val="20"/>
                <w:szCs w:val="20"/>
              </w:rPr>
            </w:pPr>
            <w:r w:rsidRPr="00A2588D">
              <w:rPr>
                <w:rFonts w:ascii="Sylfaen" w:eastAsia="Calibri" w:hAnsi="Sylfaen" w:cs="Arial"/>
                <w:color w:val="000000" w:themeColor="text1"/>
                <w:sz w:val="20"/>
                <w:szCs w:val="20"/>
              </w:rPr>
              <w:t>მურა</w:t>
            </w:r>
            <w:r w:rsidRPr="00A2588D">
              <w:rPr>
                <w:rFonts w:ascii="Sylfaen" w:eastAsia="Calibri" w:hAnsi="Sylfaen" w:cs="Arial"/>
                <w:color w:val="000000" w:themeColor="text1"/>
                <w:sz w:val="20"/>
                <w:szCs w:val="20"/>
                <w:lang w:val="ka-GE"/>
              </w:rPr>
              <w:t xml:space="preserve"> </w:t>
            </w:r>
            <w:r w:rsidRPr="00A2588D">
              <w:rPr>
                <w:rFonts w:ascii="Sylfaen" w:eastAsia="Calibri" w:hAnsi="Sylfaen" w:cs="Arial"/>
                <w:color w:val="000000" w:themeColor="text1"/>
                <w:sz w:val="20"/>
                <w:szCs w:val="20"/>
              </w:rPr>
              <w:t>დათვი</w:t>
            </w:r>
          </w:p>
        </w:tc>
        <w:tc>
          <w:tcPr>
            <w:tcW w:w="1215" w:type="pct"/>
            <w:shd w:val="clear" w:color="auto" w:fill="auto"/>
            <w:hideMark/>
          </w:tcPr>
          <w:p w14:paraId="673C6400"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არა</w:t>
            </w:r>
          </w:p>
        </w:tc>
      </w:tr>
    </w:tbl>
    <w:p w14:paraId="1C7F46E7" w14:textId="77777777" w:rsidR="00A2588D" w:rsidRPr="00A2588D" w:rsidRDefault="00A2588D" w:rsidP="00A2588D">
      <w:pPr>
        <w:rPr>
          <w:rFonts w:ascii="Sylfaen" w:eastAsia="Calibri" w:hAnsi="Sylfaen" w:cs="Arial"/>
          <w:sz w:val="20"/>
          <w:lang w:val="ka-GE"/>
        </w:rPr>
      </w:pPr>
      <w:r w:rsidRPr="00A2588D">
        <w:rPr>
          <w:rFonts w:ascii="Sylfaen" w:eastAsia="Calibri" w:hAnsi="Sylfaen" w:cs="Arial"/>
          <w:b/>
          <w:sz w:val="20"/>
          <w:lang w:val="ka-GE"/>
        </w:rPr>
        <w:t>*ჯგუფი</w:t>
      </w:r>
      <w:r w:rsidRPr="00A2588D">
        <w:rPr>
          <w:rFonts w:ascii="Sylfaen" w:eastAsia="Calibri" w:hAnsi="Sylfaen" w:cs="Arial"/>
          <w:b/>
          <w:sz w:val="20"/>
        </w:rPr>
        <w:t xml:space="preserve">: </w:t>
      </w:r>
      <w:r w:rsidRPr="00A2588D">
        <w:rPr>
          <w:rFonts w:ascii="Sylfaen" w:eastAsia="Calibri" w:hAnsi="Sylfaen" w:cs="Arial"/>
          <w:sz w:val="20"/>
        </w:rPr>
        <w:t xml:space="preserve">B = </w:t>
      </w:r>
      <w:r w:rsidRPr="00A2588D">
        <w:rPr>
          <w:rFonts w:ascii="Sylfaen" w:eastAsia="Calibri" w:hAnsi="Sylfaen" w:cs="Arial"/>
          <w:sz w:val="20"/>
          <w:lang w:val="ka-GE"/>
        </w:rPr>
        <w:t>ფრინველი</w:t>
      </w:r>
      <w:r w:rsidRPr="00A2588D">
        <w:rPr>
          <w:rFonts w:ascii="Sylfaen" w:eastAsia="Calibri" w:hAnsi="Sylfaen" w:cs="Arial"/>
          <w:sz w:val="20"/>
        </w:rPr>
        <w:t xml:space="preserve">, I = </w:t>
      </w:r>
      <w:r w:rsidRPr="00A2588D">
        <w:rPr>
          <w:rFonts w:ascii="Sylfaen" w:eastAsia="Calibri" w:hAnsi="Sylfaen" w:cs="Arial"/>
          <w:sz w:val="20"/>
          <w:lang w:val="ka-GE"/>
        </w:rPr>
        <w:t>უხერხემლო</w:t>
      </w:r>
      <w:r w:rsidRPr="00A2588D">
        <w:rPr>
          <w:rFonts w:ascii="Sylfaen" w:eastAsia="Calibri" w:hAnsi="Sylfaen" w:cs="Arial"/>
          <w:sz w:val="20"/>
        </w:rPr>
        <w:t xml:space="preserve">, M = </w:t>
      </w:r>
      <w:r w:rsidRPr="00A2588D">
        <w:rPr>
          <w:rFonts w:ascii="Sylfaen" w:eastAsia="Calibri" w:hAnsi="Sylfaen" w:cs="Arial"/>
          <w:sz w:val="20"/>
          <w:lang w:val="ka-GE"/>
        </w:rPr>
        <w:t>ძუძუმწოვარი</w:t>
      </w:r>
      <w:r w:rsidRPr="00A2588D">
        <w:rPr>
          <w:rFonts w:ascii="Sylfaen" w:eastAsia="Calibri" w:hAnsi="Sylfaen" w:cs="Arial"/>
          <w:sz w:val="20"/>
        </w:rPr>
        <w:t>, P =</w:t>
      </w:r>
      <w:r w:rsidRPr="00A2588D">
        <w:rPr>
          <w:rFonts w:ascii="Sylfaen" w:eastAsia="Calibri" w:hAnsi="Sylfaen" w:cs="Arial"/>
          <w:sz w:val="20"/>
          <w:lang w:val="ka-GE"/>
        </w:rPr>
        <w:t>მცენარე</w:t>
      </w:r>
      <w:r w:rsidRPr="00A2588D">
        <w:rPr>
          <w:rFonts w:ascii="Sylfaen" w:eastAsia="Calibri" w:hAnsi="Sylfaen" w:cs="Arial"/>
          <w:sz w:val="20"/>
        </w:rPr>
        <w:t xml:space="preserve">, R = </w:t>
      </w:r>
      <w:r w:rsidRPr="00A2588D">
        <w:rPr>
          <w:rFonts w:ascii="Sylfaen" w:eastAsia="Calibri" w:hAnsi="Sylfaen" w:cs="Arial"/>
          <w:sz w:val="20"/>
          <w:lang w:val="ka-GE"/>
        </w:rPr>
        <w:t xml:space="preserve">ქვეწარმავალი, </w:t>
      </w:r>
      <w:r w:rsidRPr="00A2588D">
        <w:rPr>
          <w:rFonts w:ascii="Sylfaen" w:eastAsia="Calibri" w:hAnsi="Sylfaen" w:cs="Arial"/>
          <w:sz w:val="20"/>
        </w:rPr>
        <w:t xml:space="preserve">A - </w:t>
      </w:r>
      <w:r w:rsidRPr="00A2588D">
        <w:rPr>
          <w:rFonts w:ascii="Sylfaen" w:eastAsia="Calibri" w:hAnsi="Sylfaen" w:cs="Arial"/>
          <w:sz w:val="20"/>
          <w:lang w:val="ka-GE"/>
        </w:rPr>
        <w:t>ამფიბია</w:t>
      </w:r>
    </w:p>
    <w:p w14:paraId="59CFC90F" w14:textId="77777777" w:rsidR="00A2588D" w:rsidRPr="00A2588D" w:rsidRDefault="00A2588D" w:rsidP="00A2588D">
      <w:pPr>
        <w:rPr>
          <w:rFonts w:ascii="Sylfaen" w:hAnsi="Sylfaen"/>
          <w:color w:val="000000" w:themeColor="text1"/>
          <w:lang w:val="ka-GE"/>
        </w:rPr>
      </w:pPr>
      <w:r w:rsidRPr="00A2588D">
        <w:rPr>
          <w:rFonts w:ascii="Sylfaen" w:hAnsi="Sylfaen"/>
          <w:color w:val="000000" w:themeColor="text1"/>
          <w:lang w:val="ka-GE"/>
        </w:rPr>
        <w:t xml:space="preserve">განსაკუთრებით ხაზგასასმელია, რომ „გომბორი - GE0000027“ წარმოადგენს შემოთავაზებულ კანდიდატ უბანს წარმოადგენს, რომლის საზღვრებში არაერთი დასახლებული პუნქტი (მათ შორის ქ. თელავის ნაწილი, სოფლები აკურა, კისისხევი, ვაზისუბანი, ახაშენი, ჩუმლაყი) და სხვა მაღალი ტექნოგენური დატვირთვის ქვეშ მოქცეული ტერიტორიები (მათ შორის თელავი გურჯაანის არსებული საავტომობილო გზის დიდი ნაწილი), რომლის ბუნებრიობის ხარისხი საგრძნობლად დაქვეითებულია. აქედან გამომდინარე არ არის გამორიცხული მომავალში მოხდეს აღნიშნული კანდიდატი უბნის საზღვრების კორექტირება. საზღვრების კორექტირების შემთხვევაში კი დიდი ალბათობით მოხდება საპროექტო დერეფნის სიახლოვეს განთავსებული ტერიტორიების კიდევ უფრო </w:t>
      </w:r>
      <w:r w:rsidRPr="00A2588D">
        <w:rPr>
          <w:rFonts w:ascii="Sylfaen" w:hAnsi="Sylfaen"/>
          <w:color w:val="000000" w:themeColor="text1"/>
          <w:lang w:val="ka-GE"/>
        </w:rPr>
        <w:lastRenderedPageBreak/>
        <w:t xml:space="preserve">გამიჯვნა კანდიდატი უბნის საზღვრიდან, ვინაიდან მათი ბუნებრიობის ხარისხი მკვეთრად დაქვეითებულია.  </w:t>
      </w:r>
    </w:p>
    <w:p w14:paraId="136126AF" w14:textId="77777777" w:rsidR="00A2588D" w:rsidRPr="00A2588D" w:rsidRDefault="00A2588D" w:rsidP="00A2588D">
      <w:pPr>
        <w:rPr>
          <w:rFonts w:ascii="Sylfaen" w:eastAsia="Calibri" w:hAnsi="Sylfaen" w:cs="Arial"/>
          <w:sz w:val="20"/>
          <w:lang w:val="ka-GE"/>
        </w:rPr>
      </w:pPr>
    </w:p>
    <w:p w14:paraId="1115C013" w14:textId="77777777" w:rsidR="00A2588D" w:rsidRPr="00A2588D" w:rsidRDefault="00A2588D" w:rsidP="00A2588D">
      <w:pPr>
        <w:rPr>
          <w:b/>
          <w:sz w:val="24"/>
        </w:rPr>
      </w:pPr>
      <w:bookmarkStart w:id="692" w:name="_Toc536676156"/>
      <w:r w:rsidRPr="00A2588D">
        <w:rPr>
          <w:rFonts w:ascii="Sylfaen" w:hAnsi="Sylfaen" w:cs="Sylfaen"/>
          <w:b/>
          <w:sz w:val="24"/>
        </w:rPr>
        <w:t>საპროექტო</w:t>
      </w:r>
      <w:r w:rsidRPr="00A2588D">
        <w:rPr>
          <w:b/>
          <w:sz w:val="24"/>
        </w:rPr>
        <w:t xml:space="preserve"> </w:t>
      </w:r>
      <w:r w:rsidRPr="00A2588D">
        <w:rPr>
          <w:rFonts w:ascii="Sylfaen" w:hAnsi="Sylfaen" w:cs="Sylfaen"/>
          <w:b/>
          <w:sz w:val="24"/>
        </w:rPr>
        <w:t>დერეფანში</w:t>
      </w:r>
      <w:r w:rsidRPr="00A2588D">
        <w:rPr>
          <w:b/>
          <w:sz w:val="24"/>
        </w:rPr>
        <w:t xml:space="preserve"> </w:t>
      </w:r>
      <w:r w:rsidRPr="00A2588D">
        <w:rPr>
          <w:rFonts w:ascii="Sylfaen" w:hAnsi="Sylfaen" w:cs="Sylfaen"/>
          <w:b/>
          <w:sz w:val="24"/>
        </w:rPr>
        <w:t>ბიომრავალფეროვნების</w:t>
      </w:r>
      <w:r w:rsidRPr="00A2588D">
        <w:rPr>
          <w:b/>
          <w:sz w:val="24"/>
        </w:rPr>
        <w:t xml:space="preserve"> </w:t>
      </w:r>
      <w:r w:rsidRPr="00A2588D">
        <w:rPr>
          <w:rFonts w:ascii="Sylfaen" w:hAnsi="Sylfaen" w:cs="Sylfaen"/>
          <w:b/>
          <w:sz w:val="24"/>
        </w:rPr>
        <w:t>განმეორებითი</w:t>
      </w:r>
      <w:r w:rsidRPr="00A2588D">
        <w:rPr>
          <w:b/>
          <w:sz w:val="24"/>
        </w:rPr>
        <w:t xml:space="preserve"> </w:t>
      </w:r>
      <w:r w:rsidRPr="00A2588D">
        <w:rPr>
          <w:rFonts w:ascii="Sylfaen" w:hAnsi="Sylfaen" w:cs="Sylfaen"/>
          <w:b/>
          <w:sz w:val="24"/>
        </w:rPr>
        <w:t>კვლევის</w:t>
      </w:r>
      <w:r w:rsidRPr="00A2588D">
        <w:rPr>
          <w:b/>
          <w:sz w:val="24"/>
        </w:rPr>
        <w:t xml:space="preserve"> </w:t>
      </w:r>
      <w:r w:rsidRPr="00A2588D">
        <w:rPr>
          <w:rFonts w:ascii="Sylfaen" w:hAnsi="Sylfaen" w:cs="Sylfaen"/>
          <w:b/>
          <w:sz w:val="24"/>
        </w:rPr>
        <w:t>შედეგები</w:t>
      </w:r>
      <w:bookmarkEnd w:id="692"/>
    </w:p>
    <w:p w14:paraId="0A764ABC" w14:textId="77777777" w:rsidR="00A2588D" w:rsidRPr="00A2588D" w:rsidRDefault="00A2588D" w:rsidP="00A2588D">
      <w:pPr>
        <w:rPr>
          <w:rFonts w:ascii="Sylfaen" w:hAnsi="Sylfaen"/>
          <w:color w:val="000000" w:themeColor="text1"/>
          <w:lang w:val="ka-GE"/>
        </w:rPr>
      </w:pPr>
      <w:r w:rsidRPr="00A2588D">
        <w:rPr>
          <w:rFonts w:ascii="Sylfaen" w:hAnsi="Sylfaen"/>
          <w:color w:val="000000" w:themeColor="text1"/>
          <w:lang w:val="ka-GE"/>
        </w:rPr>
        <w:t xml:space="preserve">საპროექტო ტერიტორია გარკვეულ მანძილზე ესაზღვრება ზურმუხტის ქსელის კანდიდატ უბანს: გომბორი (კოდი: GE0000027), რომელიც სტანდარტული მონაცემთა ფორმის მიხედვით მოიცავს 3 განსხვავებული ტიპის ჰაბიტატს. საპროექტო ტერიტორიაზე დამატებითი კვლევა ჩატარდა ზამთრის პერიოდში, თუმცა პროექტის მიზანშეწონილობის შეფასებისთვის შეიქმნა საერთო სურათი, რომლის უმთავრესი მიზანი იყო არის თუ არა პროექტის უშუალო ზემოქმედების ქვეშ მოქცეული ჰაბიტატები ზურმუხტის კანდიდატ უბანზე გავრცელებული ჰაბიტატების მსგავსი. გარდა ამისა კვლევამ მოიცვა ზურმუხტოვანი უბნისთვის - GE0000027 დამახასიათებელი და ბერნის კონვენციით დაცული სახეობების საპროექტო დერეფანში შეხვედრილობის დაფიქსირება. </w:t>
      </w:r>
    </w:p>
    <w:p w14:paraId="771DB9C1" w14:textId="77777777" w:rsidR="00A2588D" w:rsidRPr="00A2588D" w:rsidRDefault="00A2588D" w:rsidP="00A2588D">
      <w:pPr>
        <w:rPr>
          <w:rFonts w:ascii="Sylfaen" w:hAnsi="Sylfaen"/>
          <w:color w:val="000000" w:themeColor="text1"/>
          <w:lang w:val="ka-GE"/>
        </w:rPr>
      </w:pPr>
      <w:r w:rsidRPr="00A2588D">
        <w:rPr>
          <w:rFonts w:ascii="Sylfaen" w:hAnsi="Sylfaen"/>
          <w:color w:val="000000" w:themeColor="text1"/>
          <w:lang w:val="ka-GE"/>
        </w:rPr>
        <w:t>დერეფნის დაახლოებით 10 კმ სიგანის არეალში განხორციელებული საველე შესწავლის, ლიტერატურული და კარტოგრაფიული მასალის გადამოწმების შედეგების მიხედვით  გამოვლინდა ოთხი ტიპის ლანდშაფტი:</w:t>
      </w:r>
    </w:p>
    <w:p w14:paraId="4A6C0870" w14:textId="77777777" w:rsidR="00A2588D" w:rsidRPr="00A2588D" w:rsidRDefault="00A2588D" w:rsidP="00821E4D">
      <w:pPr>
        <w:pStyle w:val="ListParagraph"/>
        <w:numPr>
          <w:ilvl w:val="0"/>
          <w:numId w:val="56"/>
        </w:numPr>
        <w:spacing w:line="240" w:lineRule="auto"/>
        <w:rPr>
          <w:color w:val="000000" w:themeColor="text1"/>
          <w:lang w:val="ka-GE"/>
        </w:rPr>
      </w:pPr>
      <w:r w:rsidRPr="00A2588D">
        <w:rPr>
          <w:color w:val="000000" w:themeColor="text1"/>
          <w:lang w:val="ka-GE"/>
        </w:rPr>
        <w:t>ურბანული ტერიტორიები</w:t>
      </w:r>
      <w:r w:rsidRPr="00A2588D">
        <w:rPr>
          <w:color w:val="000000" w:themeColor="text1"/>
        </w:rPr>
        <w:t>;</w:t>
      </w:r>
      <w:r w:rsidRPr="00A2588D">
        <w:rPr>
          <w:color w:val="000000" w:themeColor="text1"/>
          <w:lang w:val="ka-GE"/>
        </w:rPr>
        <w:t xml:space="preserve"> </w:t>
      </w:r>
    </w:p>
    <w:p w14:paraId="2D8C9D1C" w14:textId="77777777" w:rsidR="00A2588D" w:rsidRPr="00A2588D" w:rsidRDefault="00A2588D" w:rsidP="00821E4D">
      <w:pPr>
        <w:pStyle w:val="ListParagraph"/>
        <w:numPr>
          <w:ilvl w:val="0"/>
          <w:numId w:val="56"/>
        </w:numPr>
        <w:spacing w:line="240" w:lineRule="auto"/>
        <w:rPr>
          <w:color w:val="000000" w:themeColor="text1"/>
          <w:lang w:val="ka-GE"/>
        </w:rPr>
      </w:pPr>
      <w:r w:rsidRPr="00A2588D">
        <w:rPr>
          <w:color w:val="000000" w:themeColor="text1"/>
          <w:lang w:val="ka-GE"/>
        </w:rPr>
        <w:t>აგროლანდშაფტი;</w:t>
      </w:r>
    </w:p>
    <w:p w14:paraId="06740EA5" w14:textId="77777777" w:rsidR="00A2588D" w:rsidRPr="00A2588D" w:rsidRDefault="00A2588D" w:rsidP="00821E4D">
      <w:pPr>
        <w:pStyle w:val="ListParagraph"/>
        <w:numPr>
          <w:ilvl w:val="0"/>
          <w:numId w:val="56"/>
        </w:numPr>
        <w:spacing w:line="240" w:lineRule="auto"/>
        <w:rPr>
          <w:color w:val="000000" w:themeColor="text1"/>
          <w:lang w:val="ka-GE"/>
        </w:rPr>
      </w:pPr>
      <w:r w:rsidRPr="00A2588D">
        <w:rPr>
          <w:color w:val="000000" w:themeColor="text1"/>
          <w:lang w:val="ka-GE"/>
        </w:rPr>
        <w:t>ფოთლოვანი ტყე წიწვოვანი სახეობების შერევით</w:t>
      </w:r>
      <w:r w:rsidRPr="00A2588D">
        <w:rPr>
          <w:color w:val="000000" w:themeColor="text1"/>
        </w:rPr>
        <w:t>;</w:t>
      </w:r>
    </w:p>
    <w:p w14:paraId="2D6290C1" w14:textId="77777777" w:rsidR="00A2588D" w:rsidRPr="00A2588D" w:rsidRDefault="00A2588D" w:rsidP="00821E4D">
      <w:pPr>
        <w:pStyle w:val="ListParagraph"/>
        <w:numPr>
          <w:ilvl w:val="0"/>
          <w:numId w:val="56"/>
        </w:numPr>
        <w:spacing w:line="240" w:lineRule="auto"/>
        <w:rPr>
          <w:color w:val="000000" w:themeColor="text1"/>
          <w:lang w:val="ka-GE"/>
        </w:rPr>
      </w:pPr>
      <w:r w:rsidRPr="00A2588D">
        <w:rPr>
          <w:color w:val="000000" w:themeColor="text1"/>
          <w:lang w:val="ka-GE"/>
        </w:rPr>
        <w:t>ძლიერ დეგრადირებული და სახეცვლილი ჭალის ტყის ფრაგმენტები</w:t>
      </w:r>
      <w:r w:rsidRPr="00A2588D">
        <w:rPr>
          <w:color w:val="000000" w:themeColor="text1"/>
        </w:rPr>
        <w:t>.</w:t>
      </w:r>
    </w:p>
    <w:p w14:paraId="39581A86" w14:textId="77777777" w:rsidR="00A2588D" w:rsidRPr="00A2588D" w:rsidRDefault="00A2588D" w:rsidP="00A2588D">
      <w:pPr>
        <w:rPr>
          <w:rFonts w:ascii="Sylfaen" w:hAnsi="Sylfaen"/>
          <w:color w:val="000000" w:themeColor="text1"/>
          <w:lang w:val="ka-GE"/>
        </w:rPr>
      </w:pPr>
    </w:p>
    <w:p w14:paraId="03FE5B6D" w14:textId="77777777" w:rsidR="00A2588D" w:rsidRPr="00A2588D" w:rsidRDefault="00A2588D" w:rsidP="00A2588D">
      <w:pPr>
        <w:spacing w:before="120" w:after="120"/>
        <w:rPr>
          <w:b/>
          <w:sz w:val="24"/>
        </w:rPr>
      </w:pPr>
      <w:r w:rsidRPr="00A2588D">
        <w:rPr>
          <w:rFonts w:ascii="Sylfaen" w:hAnsi="Sylfaen" w:cs="Sylfaen"/>
          <w:b/>
          <w:sz w:val="24"/>
          <w:lang w:val="ka-GE"/>
        </w:rPr>
        <w:t>ურბანული</w:t>
      </w:r>
      <w:r w:rsidRPr="00A2588D">
        <w:rPr>
          <w:b/>
          <w:sz w:val="24"/>
          <w:lang w:val="ka-GE"/>
        </w:rPr>
        <w:t xml:space="preserve"> </w:t>
      </w:r>
      <w:r w:rsidRPr="00A2588D">
        <w:rPr>
          <w:rFonts w:ascii="Sylfaen" w:hAnsi="Sylfaen" w:cs="Sylfaen"/>
          <w:b/>
          <w:sz w:val="24"/>
          <w:lang w:val="ka-GE"/>
        </w:rPr>
        <w:t>ტერიტორიები</w:t>
      </w:r>
    </w:p>
    <w:p w14:paraId="500628C8" w14:textId="77777777" w:rsidR="00A2588D" w:rsidRPr="00A2588D" w:rsidRDefault="00A2588D" w:rsidP="00A2588D">
      <w:pPr>
        <w:spacing w:before="120" w:after="120"/>
        <w:rPr>
          <w:rFonts w:ascii="Sylfaen" w:hAnsi="Sylfaen"/>
          <w:color w:val="000000" w:themeColor="text1"/>
          <w:lang w:val="ka-GE"/>
        </w:rPr>
      </w:pPr>
      <w:r w:rsidRPr="00A2588D">
        <w:rPr>
          <w:rFonts w:ascii="Sylfaen" w:hAnsi="Sylfaen"/>
          <w:color w:val="000000" w:themeColor="text1"/>
          <w:lang w:val="ka-GE"/>
        </w:rPr>
        <w:t xml:space="preserve">საპროექტო საავტომობილო გზის დერეფანი გაივლის მჭიდროდ განაშენიანებული ზონების განაპირა ტერიტორიებზე, მათ შორის ქ. თელავი, სოფლები: ვარდისუბანი, კურდღელაური, ნასამხრალი, კონდოლი, ვაჩნაძიანი, წინანდალი, ვაზისუბანი, მუკუზანი, ახაშენი, ჩუმლაყი. აღნიშნული მონაკვეთები არ წარმოადგენს ფლორისა და ველური ფაუნის წარმომადგენლებისათვის მნიშვნელოვან საბინადრო ადგილებს. არსებული ლანდშაფტები მკვეთრად სახეცვლილია. არსებულ ტერიტორიებზე მცენარეული საფარის ძირითადი შემადგენელია კულტურული სახეობები, რომლებსაც დაბალი საკონსერვაციო ღირებულება გააჩნიათ. გამომდინარე აქედან, კვლევის პროცესში ისინი წარმოადგენდნენ ყველაზე ნაკლებად საინტერესო მონაკვეთებს. </w:t>
      </w:r>
    </w:p>
    <w:p w14:paraId="175765BD" w14:textId="77777777" w:rsidR="00A2588D" w:rsidRPr="00A2588D" w:rsidRDefault="00A2588D" w:rsidP="00A2588D">
      <w:pPr>
        <w:spacing w:before="120" w:after="120"/>
        <w:rPr>
          <w:rFonts w:ascii="Sylfaen" w:hAnsi="Sylfaen"/>
          <w:color w:val="000000" w:themeColor="text1"/>
          <w:lang w:val="ka-GE"/>
        </w:rPr>
      </w:pPr>
      <w:r w:rsidRPr="00A2588D">
        <w:rPr>
          <w:rFonts w:ascii="Sylfaen" w:hAnsi="Sylfaen"/>
          <w:color w:val="000000" w:themeColor="text1"/>
          <w:lang w:val="ka-GE"/>
        </w:rPr>
        <w:t xml:space="preserve">აქვე აღსანიშნავია, რომ ურბანული ტერიტორიას წარმოადგენს საპროექტო დერეფნის ის 10-15 მ სიგრძის მონაკვეთი, რომელიც გადადის ზურმუხტის ქსელის საზღვრებში (იხ. ქვემოთ მოყვანილი რუკა და სურათები). ეს ტერიტორია დაკავებულია სხვადასხვა საინჟინრო ნაგებობებით და ბუნებრივი მცენარეული საფარის და ცხოველთა სახეობების საარსებო არეალი პრაქტიკულად არ არსებობს. გზების განაპირა ტერიტორიებზე ხარობს სარეველა ბალახოვანი მცენარეები. მიმდებარე არეალში წარმოდგენილია ხელოვნურად გაშენებული წიწვოვანი ნარგავებიც.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A2588D" w:rsidRPr="00A2588D" w14:paraId="4305BCD2" w14:textId="77777777" w:rsidTr="00A2588D">
        <w:tc>
          <w:tcPr>
            <w:tcW w:w="4814" w:type="dxa"/>
          </w:tcPr>
          <w:p w14:paraId="0EE6B86A" w14:textId="77777777" w:rsidR="00A2588D" w:rsidRPr="00A2588D" w:rsidRDefault="00A2588D" w:rsidP="00A2588D">
            <w:pPr>
              <w:jc w:val="center"/>
              <w:rPr>
                <w:rFonts w:ascii="Sylfaen" w:hAnsi="Sylfaen"/>
                <w:color w:val="000000" w:themeColor="text1"/>
                <w:sz w:val="20"/>
                <w:lang w:val="ka-GE"/>
              </w:rPr>
            </w:pPr>
            <w:r w:rsidRPr="00A2588D">
              <w:rPr>
                <w:rFonts w:ascii="Sylfaen" w:hAnsi="Sylfaen"/>
                <w:noProof/>
                <w:lang w:val="en-US" w:eastAsia="en-US"/>
              </w:rPr>
              <mc:AlternateContent>
                <mc:Choice Requires="wps">
                  <w:drawing>
                    <wp:anchor distT="0" distB="0" distL="114300" distR="114300" simplePos="0" relativeHeight="251692032" behindDoc="0" locked="0" layoutInCell="1" allowOverlap="1" wp14:anchorId="3DA6E644" wp14:editId="46DCA428">
                      <wp:simplePos x="0" y="0"/>
                      <wp:positionH relativeFrom="column">
                        <wp:posOffset>187833</wp:posOffset>
                      </wp:positionH>
                      <wp:positionV relativeFrom="paragraph">
                        <wp:posOffset>1466444</wp:posOffset>
                      </wp:positionV>
                      <wp:extent cx="694944" cy="395020"/>
                      <wp:effectExtent l="0" t="552450" r="67310" b="24130"/>
                      <wp:wrapNone/>
                      <wp:docPr id="59" name="Rectangular Callout 59"/>
                      <wp:cNvGraphicFramePr/>
                      <a:graphic xmlns:a="http://schemas.openxmlformats.org/drawingml/2006/main">
                        <a:graphicData uri="http://schemas.microsoft.com/office/word/2010/wordprocessingShape">
                          <wps:wsp>
                            <wps:cNvSpPr/>
                            <wps:spPr>
                              <a:xfrm>
                                <a:off x="0" y="0"/>
                                <a:ext cx="694944" cy="395020"/>
                              </a:xfrm>
                              <a:prstGeom prst="wedgeRectCallout">
                                <a:avLst>
                                  <a:gd name="adj1" fmla="val 53607"/>
                                  <a:gd name="adj2" fmla="val -179929"/>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3CFDEF" w14:textId="77777777" w:rsidR="00A2588D" w:rsidRPr="00D51EEC" w:rsidRDefault="00A2588D" w:rsidP="00A2588D">
                                  <w:pPr>
                                    <w:jc w:val="center"/>
                                    <w:rPr>
                                      <w:sz w:val="12"/>
                                      <w:lang w:val="ka-GE"/>
                                    </w:rPr>
                                  </w:pPr>
                                  <w:r>
                                    <w:rPr>
                                      <w:sz w:val="12"/>
                                      <w:lang w:val="ka-GE"/>
                                    </w:rPr>
                                    <w:t>კანდიდატი უბნის საზღვარი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A6E64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59" o:spid="_x0000_s1182" type="#_x0000_t61" style="position:absolute;left:0;text-align:left;margin-left:14.8pt;margin-top:115.45pt;width:54.7pt;height:31.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" adj="22379,-28065" filled="f" strokecolor="#00b050" strokeweight=".5pt">
                      <v:textbox>
                        <w:txbxContent>
                          <w:p w14:paraId="7C3CFDEF" w14:textId="77777777" w:rsidR="00A2588D" w:rsidRPr="00D51EEC" w:rsidRDefault="00A2588D" w:rsidP="00A2588D">
                            <w:pPr>
                              <w:jc w:val="center"/>
                              <w:rPr>
                                <w:sz w:val="12"/>
                                <w:lang w:val="ka-GE"/>
                              </w:rPr>
                            </w:pPr>
                            <w:r>
                              <w:rPr>
                                <w:sz w:val="12"/>
                                <w:lang w:val="ka-GE"/>
                              </w:rPr>
                              <w:t>კანდიდატი უბნის საზღვარი</w:t>
                            </w:r>
                          </w:p>
                        </w:txbxContent>
                      </v:textbox>
                    </v:shape>
                  </w:pict>
                </mc:Fallback>
              </mc:AlternateContent>
            </w:r>
            <w:r w:rsidRPr="00A2588D">
              <w:rPr>
                <w:rFonts w:ascii="Sylfaen" w:hAnsi="Sylfaen"/>
                <w:noProof/>
                <w:lang w:val="en-US" w:eastAsia="en-US"/>
              </w:rPr>
              <mc:AlternateContent>
                <mc:Choice Requires="wps">
                  <w:drawing>
                    <wp:anchor distT="0" distB="0" distL="114300" distR="114300" simplePos="0" relativeHeight="251691008" behindDoc="0" locked="0" layoutInCell="1" allowOverlap="1" wp14:anchorId="19926A20" wp14:editId="20FE0E11">
                      <wp:simplePos x="0" y="0"/>
                      <wp:positionH relativeFrom="column">
                        <wp:posOffset>210337</wp:posOffset>
                      </wp:positionH>
                      <wp:positionV relativeFrom="paragraph">
                        <wp:posOffset>54839</wp:posOffset>
                      </wp:positionV>
                      <wp:extent cx="599440" cy="299923"/>
                      <wp:effectExtent l="0" t="0" r="467360" b="386080"/>
                      <wp:wrapNone/>
                      <wp:docPr id="60" name="Rectangular Callout 60"/>
                      <wp:cNvGraphicFramePr/>
                      <a:graphic xmlns:a="http://schemas.openxmlformats.org/drawingml/2006/main">
                        <a:graphicData uri="http://schemas.microsoft.com/office/word/2010/wordprocessingShape">
                          <wps:wsp>
                            <wps:cNvSpPr/>
                            <wps:spPr>
                              <a:xfrm>
                                <a:off x="0" y="0"/>
                                <a:ext cx="599440" cy="299923"/>
                              </a:xfrm>
                              <a:prstGeom prst="wedgeRectCallout">
                                <a:avLst>
                                  <a:gd name="adj1" fmla="val 120726"/>
                                  <a:gd name="adj2" fmla="val 154444"/>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F1F8F5" w14:textId="77777777" w:rsidR="00A2588D" w:rsidRPr="00D51EEC" w:rsidRDefault="00A2588D" w:rsidP="00A2588D">
                                  <w:pPr>
                                    <w:jc w:val="center"/>
                                    <w:rPr>
                                      <w:sz w:val="12"/>
                                      <w:lang w:val="ka-GE"/>
                                    </w:rPr>
                                  </w:pPr>
                                  <w:r w:rsidRPr="00D51EEC">
                                    <w:rPr>
                                      <w:sz w:val="12"/>
                                      <w:lang w:val="ka-GE"/>
                                    </w:rPr>
                                    <w:t>საპროექტო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926A20" id="Rectangular Callout 60" o:spid="_x0000_s1183" type="#_x0000_t61" style="position:absolute;left:0;text-align:left;margin-left:16.55pt;margin-top:4.3pt;width:47.2pt;height:23.6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" adj="36877,44160" filled="f" strokecolor="red" strokeweight=".5pt">
                      <v:textbox>
                        <w:txbxContent>
                          <w:p w14:paraId="0CF1F8F5" w14:textId="77777777" w:rsidR="00A2588D" w:rsidRPr="00D51EEC" w:rsidRDefault="00A2588D" w:rsidP="00A2588D">
                            <w:pPr>
                              <w:jc w:val="center"/>
                              <w:rPr>
                                <w:sz w:val="12"/>
                                <w:lang w:val="ka-GE"/>
                              </w:rPr>
                            </w:pPr>
                            <w:r w:rsidRPr="00D51EEC">
                              <w:rPr>
                                <w:sz w:val="12"/>
                                <w:lang w:val="ka-GE"/>
                              </w:rPr>
                              <w:t>საპროექტო დერეფანი</w:t>
                            </w:r>
                          </w:p>
                        </w:txbxContent>
                      </v:textbox>
                    </v:shape>
                  </w:pict>
                </mc:Fallback>
              </mc:AlternateContent>
            </w:r>
            <w:r w:rsidRPr="00A2588D">
              <w:rPr>
                <w:rFonts w:ascii="Sylfaen" w:hAnsi="Sylfaen"/>
                <w:noProof/>
                <w:lang w:val="en-US" w:eastAsia="en-US"/>
              </w:rPr>
              <w:drawing>
                <wp:inline distT="0" distB="0" distL="0" distR="0" wp14:anchorId="4D6E5DBE" wp14:editId="1E0F2B60">
                  <wp:extent cx="2645230" cy="2099310"/>
                  <wp:effectExtent l="0" t="0" r="3175"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3" cstate="print">
                            <a:extLst>
                              <a:ext uri="{28A0092B-C50C-407E-A947-70E740481C1C}">
                                <a14:useLocalDpi xmlns:a14="http://schemas.microsoft.com/office/drawing/2010/main"/>
                              </a:ext>
                            </a:extLst>
                          </a:blip>
                          <a:srcRect/>
                          <a:stretch/>
                        </pic:blipFill>
                        <pic:spPr bwMode="auto">
                          <a:xfrm>
                            <a:off x="0" y="0"/>
                            <a:ext cx="2654464" cy="2106638"/>
                          </a:xfrm>
                          <a:prstGeom prst="rect">
                            <a:avLst/>
                          </a:prstGeom>
                          <a:ln>
                            <a:noFill/>
                          </a:ln>
                          <a:extLst>
                            <a:ext uri="{53640926-AAD7-44D8-BBD7-CCE9431645EC}">
                              <a14:shadowObscured xmlns:a14="http://schemas.microsoft.com/office/drawing/2010/main"/>
                            </a:ext>
                          </a:extLst>
                        </pic:spPr>
                      </pic:pic>
                    </a:graphicData>
                  </a:graphic>
                </wp:inline>
              </w:drawing>
            </w:r>
          </w:p>
          <w:p w14:paraId="443D6930" w14:textId="77777777" w:rsidR="00A2588D" w:rsidRPr="00A2588D" w:rsidRDefault="00A2588D" w:rsidP="00A2588D">
            <w:pPr>
              <w:jc w:val="center"/>
              <w:rPr>
                <w:rFonts w:ascii="Sylfaen" w:hAnsi="Sylfaen"/>
                <w:color w:val="000000" w:themeColor="text1"/>
                <w:sz w:val="20"/>
                <w:lang w:val="ka-GE"/>
              </w:rPr>
            </w:pPr>
            <w:r w:rsidRPr="00A2588D">
              <w:rPr>
                <w:rFonts w:ascii="Sylfaen" w:hAnsi="Sylfaen"/>
                <w:color w:val="000000" w:themeColor="text1"/>
                <w:sz w:val="18"/>
                <w:lang w:val="ka-GE"/>
              </w:rPr>
              <w:t>რუკა 1.1. საპროექტო დერეფნის და კანდიდატი უბნის საზღვრის ურთიერთგანლაგების სქემა</w:t>
            </w:r>
          </w:p>
        </w:tc>
        <w:tc>
          <w:tcPr>
            <w:tcW w:w="4815" w:type="dxa"/>
          </w:tcPr>
          <w:p w14:paraId="02F93680" w14:textId="77777777" w:rsidR="00A2588D" w:rsidRPr="00A2588D" w:rsidRDefault="00A2588D" w:rsidP="00A2588D">
            <w:pPr>
              <w:jc w:val="center"/>
              <w:rPr>
                <w:rFonts w:ascii="Sylfaen" w:hAnsi="Sylfaen"/>
                <w:color w:val="000000" w:themeColor="text1"/>
                <w:sz w:val="20"/>
                <w:lang w:val="ka-GE"/>
              </w:rPr>
            </w:pPr>
            <w:r w:rsidRPr="00A2588D">
              <w:rPr>
                <w:rFonts w:ascii="Sylfaen" w:hAnsi="Sylfaen"/>
                <w:noProof/>
                <w:color w:val="000000" w:themeColor="text1"/>
                <w:sz w:val="20"/>
                <w:lang w:val="en-US" w:eastAsia="en-US"/>
              </w:rPr>
              <w:drawing>
                <wp:inline distT="0" distB="0" distL="0" distR="0" wp14:anchorId="46FFC430" wp14:editId="5D1635C2">
                  <wp:extent cx="2879647" cy="2160000"/>
                  <wp:effectExtent l="0" t="0" r="0" b="0"/>
                  <wp:docPr id="477" name="Picture 477" descr="C:\Users\Giorgi\AppData\Roaming\Skype\giorgi.bzhalava\media_messaging\media_cache_v3\^1001AF5BA78274ADE75BD66C4D195845DECED08838BB022D63^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orgi\AppData\Roaming\Skype\giorgi.bzhalava\media_messaging\media_cache_v3\^1001AF5BA78274ADE75BD66C4D195845DECED08838BB022D63^pimgpsh_fullsize_distr.jp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2879647" cy="2160000"/>
                          </a:xfrm>
                          <a:prstGeom prst="rect">
                            <a:avLst/>
                          </a:prstGeom>
                          <a:noFill/>
                          <a:ln>
                            <a:noFill/>
                          </a:ln>
                        </pic:spPr>
                      </pic:pic>
                    </a:graphicData>
                  </a:graphic>
                </wp:inline>
              </w:drawing>
            </w:r>
          </w:p>
          <w:p w14:paraId="2DAC7ABB" w14:textId="77777777" w:rsidR="00A2588D" w:rsidRPr="00A2588D" w:rsidRDefault="00A2588D" w:rsidP="00A2588D">
            <w:pPr>
              <w:jc w:val="center"/>
              <w:rPr>
                <w:rFonts w:ascii="Sylfaen" w:hAnsi="Sylfaen"/>
                <w:color w:val="000000" w:themeColor="text1"/>
                <w:sz w:val="18"/>
                <w:lang w:val="ka-GE"/>
              </w:rPr>
            </w:pPr>
            <w:r w:rsidRPr="00A2588D">
              <w:rPr>
                <w:rFonts w:ascii="Sylfaen" w:hAnsi="Sylfaen"/>
                <w:color w:val="000000" w:themeColor="text1"/>
                <w:sz w:val="18"/>
                <w:lang w:val="ka-GE"/>
              </w:rPr>
              <w:lastRenderedPageBreak/>
              <w:t>სურათი 1.1. საპროექტო დერეფნის და კანდიდატი უბნის გადაკვეთის ადგილი</w:t>
            </w:r>
          </w:p>
          <w:p w14:paraId="4CED348C" w14:textId="77777777" w:rsidR="00A2588D" w:rsidRPr="00A2588D" w:rsidRDefault="00A2588D" w:rsidP="00A2588D">
            <w:pPr>
              <w:jc w:val="center"/>
              <w:rPr>
                <w:rFonts w:ascii="Sylfaen" w:hAnsi="Sylfaen"/>
                <w:color w:val="000000" w:themeColor="text1"/>
                <w:sz w:val="20"/>
                <w:lang w:val="ka-GE"/>
              </w:rPr>
            </w:pPr>
            <w:r w:rsidRPr="00A2588D">
              <w:rPr>
                <w:rFonts w:ascii="Sylfaen" w:hAnsi="Sylfaen"/>
                <w:color w:val="000000" w:themeColor="text1"/>
                <w:sz w:val="18"/>
                <w:lang w:val="ka-GE"/>
              </w:rPr>
              <w:t xml:space="preserve">(რუკაზე </w:t>
            </w:r>
            <w:r w:rsidRPr="00A2588D">
              <w:rPr>
                <w:rFonts w:ascii="Sylfaen" w:hAnsi="Sylfaen"/>
                <w:color w:val="000000" w:themeColor="text1"/>
                <w:sz w:val="18"/>
                <w:lang w:val="ru-RU"/>
              </w:rPr>
              <w:t>№1</w:t>
            </w:r>
            <w:r w:rsidRPr="00A2588D">
              <w:rPr>
                <w:rFonts w:ascii="Sylfaen" w:hAnsi="Sylfaen"/>
                <w:color w:val="000000" w:themeColor="text1"/>
                <w:sz w:val="18"/>
                <w:lang w:val="ka-GE"/>
              </w:rPr>
              <w:t>)</w:t>
            </w:r>
          </w:p>
        </w:tc>
      </w:tr>
      <w:tr w:rsidR="00A2588D" w:rsidRPr="00A2588D" w14:paraId="1ED28BA5" w14:textId="77777777" w:rsidTr="00A2588D">
        <w:tc>
          <w:tcPr>
            <w:tcW w:w="4814" w:type="dxa"/>
          </w:tcPr>
          <w:p w14:paraId="4E299596" w14:textId="77777777" w:rsidR="00A2588D" w:rsidRPr="00A2588D" w:rsidRDefault="00A2588D" w:rsidP="00A2588D">
            <w:pPr>
              <w:jc w:val="center"/>
              <w:rPr>
                <w:rFonts w:ascii="Sylfaen" w:hAnsi="Sylfaen"/>
                <w:color w:val="000000" w:themeColor="text1"/>
                <w:sz w:val="20"/>
                <w:lang w:val="ka-GE"/>
              </w:rPr>
            </w:pPr>
            <w:r w:rsidRPr="00A2588D">
              <w:rPr>
                <w:rFonts w:ascii="Sylfaen" w:hAnsi="Sylfaen"/>
                <w:noProof/>
                <w:color w:val="000000" w:themeColor="text1"/>
                <w:sz w:val="20"/>
                <w:lang w:val="en-US" w:eastAsia="en-US"/>
              </w:rPr>
              <w:lastRenderedPageBreak/>
              <w:drawing>
                <wp:inline distT="0" distB="0" distL="0" distR="0" wp14:anchorId="381948E4" wp14:editId="3D0E1E82">
                  <wp:extent cx="2879090" cy="2066925"/>
                  <wp:effectExtent l="0" t="0" r="0" b="9525"/>
                  <wp:docPr id="478" name="Picture 478" descr="C:\Users\Giorgi\AppData\Roaming\Skype\giorgi.bzhalava\media_messaging\media_cache_v3\^E614BD0FC7F4782462CA3BD73BB50268D5D1A3DD4453A75FC0^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orgi\AppData\Roaming\Skype\giorgi.bzhalava\media_messaging\media_cache_v3\^E614BD0FC7F4782462CA3BD73BB50268D5D1A3DD4453A75FC0^pimgpsh_fullsize_distr.jpg"/>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2879648" cy="2067326"/>
                          </a:xfrm>
                          <a:prstGeom prst="rect">
                            <a:avLst/>
                          </a:prstGeom>
                          <a:noFill/>
                          <a:ln>
                            <a:noFill/>
                          </a:ln>
                        </pic:spPr>
                      </pic:pic>
                    </a:graphicData>
                  </a:graphic>
                </wp:inline>
              </w:drawing>
            </w:r>
          </w:p>
          <w:p w14:paraId="2C5C7868" w14:textId="77777777" w:rsidR="00A2588D" w:rsidRPr="00A2588D" w:rsidRDefault="00A2588D" w:rsidP="00A2588D">
            <w:pPr>
              <w:jc w:val="center"/>
              <w:rPr>
                <w:rFonts w:ascii="Sylfaen" w:hAnsi="Sylfaen"/>
                <w:color w:val="000000" w:themeColor="text1"/>
                <w:sz w:val="18"/>
                <w:lang w:val="ka-GE"/>
              </w:rPr>
            </w:pPr>
            <w:r w:rsidRPr="00A2588D">
              <w:rPr>
                <w:rFonts w:ascii="Sylfaen" w:hAnsi="Sylfaen"/>
                <w:color w:val="000000" w:themeColor="text1"/>
                <w:sz w:val="18"/>
                <w:lang w:val="ka-GE"/>
              </w:rPr>
              <w:t>სურათი 1.2. ურბანული ტერიტორია თელავის შესასვლელთან</w:t>
            </w:r>
          </w:p>
          <w:p w14:paraId="7283EA3F" w14:textId="77777777" w:rsidR="00A2588D" w:rsidRPr="00A2588D" w:rsidRDefault="00A2588D" w:rsidP="00A2588D">
            <w:pPr>
              <w:jc w:val="center"/>
              <w:rPr>
                <w:rFonts w:ascii="Sylfaen" w:hAnsi="Sylfaen"/>
                <w:color w:val="000000" w:themeColor="text1"/>
                <w:sz w:val="20"/>
                <w:lang w:val="ka-GE"/>
              </w:rPr>
            </w:pPr>
            <w:r w:rsidRPr="00A2588D">
              <w:rPr>
                <w:rFonts w:ascii="Sylfaen" w:hAnsi="Sylfaen"/>
                <w:color w:val="000000" w:themeColor="text1"/>
                <w:sz w:val="18"/>
                <w:lang w:val="ka-GE"/>
              </w:rPr>
              <w:t xml:space="preserve">(რუკაზე </w:t>
            </w:r>
            <w:r w:rsidRPr="00A2588D">
              <w:rPr>
                <w:rFonts w:ascii="Sylfaen" w:hAnsi="Sylfaen"/>
                <w:color w:val="000000" w:themeColor="text1"/>
                <w:sz w:val="18"/>
                <w:lang w:val="ru-RU"/>
              </w:rPr>
              <w:t>№1</w:t>
            </w:r>
            <w:r w:rsidRPr="00A2588D">
              <w:rPr>
                <w:rFonts w:ascii="Sylfaen" w:hAnsi="Sylfaen"/>
                <w:color w:val="000000" w:themeColor="text1"/>
                <w:sz w:val="18"/>
                <w:lang w:val="ka-GE"/>
              </w:rPr>
              <w:t>)</w:t>
            </w:r>
          </w:p>
        </w:tc>
        <w:tc>
          <w:tcPr>
            <w:tcW w:w="4815" w:type="dxa"/>
          </w:tcPr>
          <w:p w14:paraId="49BE6321" w14:textId="77777777" w:rsidR="00A2588D" w:rsidRPr="00A2588D" w:rsidRDefault="00A2588D" w:rsidP="00A2588D">
            <w:pPr>
              <w:jc w:val="center"/>
              <w:rPr>
                <w:rFonts w:ascii="Sylfaen" w:hAnsi="Sylfaen"/>
                <w:color w:val="000000" w:themeColor="text1"/>
                <w:sz w:val="20"/>
                <w:lang w:val="ka-GE"/>
              </w:rPr>
            </w:pPr>
            <w:r w:rsidRPr="00A2588D">
              <w:rPr>
                <w:rFonts w:ascii="Sylfaen" w:hAnsi="Sylfaen"/>
                <w:noProof/>
                <w:color w:val="000000" w:themeColor="text1"/>
                <w:sz w:val="20"/>
                <w:lang w:val="en-US" w:eastAsia="en-US"/>
              </w:rPr>
              <w:drawing>
                <wp:inline distT="0" distB="0" distL="0" distR="0" wp14:anchorId="61B5263C" wp14:editId="7D88B0CC">
                  <wp:extent cx="2847975" cy="2066925"/>
                  <wp:effectExtent l="0" t="0" r="9525" b="9525"/>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858472" cy="2074543"/>
                          </a:xfrm>
                          <a:prstGeom prst="rect">
                            <a:avLst/>
                          </a:prstGeom>
                          <a:noFill/>
                        </pic:spPr>
                      </pic:pic>
                    </a:graphicData>
                  </a:graphic>
                </wp:inline>
              </w:drawing>
            </w:r>
          </w:p>
          <w:p w14:paraId="27EDC6BA" w14:textId="77777777" w:rsidR="00A2588D" w:rsidRPr="00A2588D" w:rsidRDefault="00A2588D" w:rsidP="00A2588D">
            <w:pPr>
              <w:jc w:val="center"/>
              <w:rPr>
                <w:rFonts w:ascii="Sylfaen" w:hAnsi="Sylfaen"/>
                <w:color w:val="000000" w:themeColor="text1"/>
                <w:sz w:val="18"/>
                <w:lang w:val="ka-GE"/>
              </w:rPr>
            </w:pPr>
            <w:r w:rsidRPr="00A2588D">
              <w:rPr>
                <w:rFonts w:ascii="Sylfaen" w:hAnsi="Sylfaen"/>
                <w:color w:val="000000" w:themeColor="text1"/>
                <w:sz w:val="18"/>
                <w:lang w:val="ka-GE"/>
              </w:rPr>
              <w:t>სურათი 1.3. ურბანული ტერიტორია. ქ. თელავი</w:t>
            </w:r>
          </w:p>
          <w:p w14:paraId="67ED89F6" w14:textId="77777777" w:rsidR="00A2588D" w:rsidRPr="00A2588D" w:rsidRDefault="00A2588D" w:rsidP="00A2588D">
            <w:pPr>
              <w:jc w:val="center"/>
              <w:rPr>
                <w:rFonts w:ascii="Sylfaen" w:hAnsi="Sylfaen"/>
                <w:color w:val="000000" w:themeColor="text1"/>
                <w:sz w:val="20"/>
                <w:lang w:val="ka-GE"/>
              </w:rPr>
            </w:pPr>
            <w:r w:rsidRPr="00A2588D">
              <w:rPr>
                <w:rFonts w:ascii="Sylfaen" w:hAnsi="Sylfaen"/>
                <w:color w:val="000000" w:themeColor="text1"/>
                <w:sz w:val="18"/>
                <w:lang w:val="ka-GE"/>
              </w:rPr>
              <w:t xml:space="preserve">(რუკაზე </w:t>
            </w:r>
            <w:r w:rsidRPr="00A2588D">
              <w:rPr>
                <w:rFonts w:ascii="Sylfaen" w:hAnsi="Sylfaen"/>
                <w:color w:val="000000" w:themeColor="text1"/>
                <w:sz w:val="18"/>
                <w:lang w:val="ru-RU"/>
              </w:rPr>
              <w:t>№</w:t>
            </w:r>
            <w:r w:rsidRPr="00A2588D">
              <w:rPr>
                <w:rFonts w:ascii="Sylfaen" w:hAnsi="Sylfaen"/>
                <w:color w:val="000000" w:themeColor="text1"/>
                <w:sz w:val="18"/>
                <w:lang w:val="ka-GE"/>
              </w:rPr>
              <w:t>2)</w:t>
            </w:r>
          </w:p>
        </w:tc>
      </w:tr>
      <w:tr w:rsidR="00A2588D" w:rsidRPr="00A2588D" w14:paraId="53A5DEE9" w14:textId="77777777" w:rsidTr="00A2588D">
        <w:tc>
          <w:tcPr>
            <w:tcW w:w="4814" w:type="dxa"/>
          </w:tcPr>
          <w:p w14:paraId="0E43F44A" w14:textId="77777777" w:rsidR="00A2588D" w:rsidRPr="00A2588D" w:rsidRDefault="00A2588D" w:rsidP="00A2588D">
            <w:pPr>
              <w:jc w:val="center"/>
              <w:rPr>
                <w:rFonts w:ascii="Sylfaen" w:hAnsi="Sylfaen"/>
                <w:noProof/>
                <w:color w:val="000000" w:themeColor="text1"/>
                <w:sz w:val="20"/>
              </w:rPr>
            </w:pPr>
            <w:r w:rsidRPr="00A2588D">
              <w:rPr>
                <w:rFonts w:ascii="Sylfaen" w:hAnsi="Sylfaen"/>
                <w:noProof/>
                <w:color w:val="000000" w:themeColor="text1"/>
                <w:sz w:val="20"/>
                <w:lang w:val="en-US" w:eastAsia="en-US"/>
              </w:rPr>
              <w:drawing>
                <wp:inline distT="0" distB="0" distL="0" distR="0" wp14:anchorId="7FF37C9D" wp14:editId="3B0092A3">
                  <wp:extent cx="2879090" cy="1981200"/>
                  <wp:effectExtent l="0" t="0" r="0" b="0"/>
                  <wp:docPr id="480" name="Picture 480" descr="C:\Users\Giorgi\AppData\Roaming\Skype\giorgi.bzhalava\media_messaging\media_cache_v3\^83DE40A67F0FA5CC8FDCB6B277B145FE11EFD2AF8F69C45013^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orgi\AppData\Roaming\Skype\giorgi.bzhalava\media_messaging\media_cache_v3\^83DE40A67F0FA5CC8FDCB6B277B145FE11EFD2AF8F69C45013^pimgpsh_fullsize_distr.jpg"/>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879648" cy="1981584"/>
                          </a:xfrm>
                          <a:prstGeom prst="rect">
                            <a:avLst/>
                          </a:prstGeom>
                          <a:noFill/>
                          <a:ln>
                            <a:noFill/>
                          </a:ln>
                        </pic:spPr>
                      </pic:pic>
                    </a:graphicData>
                  </a:graphic>
                </wp:inline>
              </w:drawing>
            </w:r>
          </w:p>
          <w:p w14:paraId="5FFF68F6" w14:textId="77777777" w:rsidR="00A2588D" w:rsidRPr="00A2588D" w:rsidRDefault="00A2588D" w:rsidP="00A2588D">
            <w:pPr>
              <w:jc w:val="center"/>
              <w:rPr>
                <w:rFonts w:ascii="Sylfaen" w:hAnsi="Sylfaen"/>
                <w:color w:val="000000" w:themeColor="text1"/>
                <w:sz w:val="18"/>
                <w:lang w:val="ka-GE"/>
              </w:rPr>
            </w:pPr>
            <w:r w:rsidRPr="00A2588D">
              <w:rPr>
                <w:rFonts w:ascii="Sylfaen" w:hAnsi="Sylfaen"/>
                <w:color w:val="000000" w:themeColor="text1"/>
                <w:sz w:val="18"/>
                <w:lang w:val="ka-GE"/>
              </w:rPr>
              <w:t>სურათი 1.4. ურბანული ტერიტორია. ქ. თელავი</w:t>
            </w:r>
          </w:p>
          <w:p w14:paraId="646A9A67" w14:textId="77777777" w:rsidR="00A2588D" w:rsidRPr="00A2588D" w:rsidRDefault="00A2588D" w:rsidP="00A2588D">
            <w:pPr>
              <w:jc w:val="center"/>
              <w:rPr>
                <w:rFonts w:ascii="Sylfaen" w:hAnsi="Sylfaen"/>
                <w:noProof/>
                <w:color w:val="000000" w:themeColor="text1"/>
                <w:sz w:val="20"/>
              </w:rPr>
            </w:pPr>
            <w:r w:rsidRPr="00A2588D">
              <w:rPr>
                <w:rFonts w:ascii="Sylfaen" w:hAnsi="Sylfaen"/>
                <w:color w:val="000000" w:themeColor="text1"/>
                <w:sz w:val="18"/>
                <w:lang w:val="ka-GE"/>
              </w:rPr>
              <w:t xml:space="preserve">(რუკაზე </w:t>
            </w:r>
            <w:r w:rsidRPr="00A2588D">
              <w:rPr>
                <w:rFonts w:ascii="Sylfaen" w:hAnsi="Sylfaen"/>
                <w:color w:val="000000" w:themeColor="text1"/>
                <w:sz w:val="18"/>
                <w:lang w:val="ru-RU"/>
              </w:rPr>
              <w:t>№</w:t>
            </w:r>
            <w:r w:rsidRPr="00A2588D">
              <w:rPr>
                <w:rFonts w:ascii="Sylfaen" w:hAnsi="Sylfaen"/>
                <w:color w:val="000000" w:themeColor="text1"/>
                <w:sz w:val="18"/>
                <w:lang w:val="ka-GE"/>
              </w:rPr>
              <w:t>3)</w:t>
            </w:r>
          </w:p>
        </w:tc>
        <w:tc>
          <w:tcPr>
            <w:tcW w:w="4815" w:type="dxa"/>
          </w:tcPr>
          <w:p w14:paraId="68B256FA" w14:textId="77777777" w:rsidR="00A2588D" w:rsidRPr="00A2588D" w:rsidRDefault="00A2588D" w:rsidP="00A2588D">
            <w:pPr>
              <w:jc w:val="center"/>
              <w:rPr>
                <w:rFonts w:ascii="Sylfaen" w:hAnsi="Sylfaen"/>
                <w:noProof/>
                <w:color w:val="000000" w:themeColor="text1"/>
                <w:sz w:val="20"/>
              </w:rPr>
            </w:pPr>
            <w:r w:rsidRPr="00A2588D">
              <w:rPr>
                <w:rFonts w:ascii="Sylfaen" w:hAnsi="Sylfaen"/>
                <w:noProof/>
                <w:color w:val="000000" w:themeColor="text1"/>
                <w:sz w:val="20"/>
                <w:lang w:val="en-US" w:eastAsia="en-US"/>
              </w:rPr>
              <w:drawing>
                <wp:inline distT="0" distB="0" distL="0" distR="0" wp14:anchorId="20065DF2" wp14:editId="2F4EC184">
                  <wp:extent cx="2879090" cy="1962150"/>
                  <wp:effectExtent l="0" t="0" r="0" b="0"/>
                  <wp:docPr id="481" name="Picture 481" descr="C:\Users\Giorgi\AppData\Roaming\Skype\giorgi.bzhalava\media_messaging\media_cache_v3\^094ED8449A10C4B5F5CFA41275D5103B93E9C9B01BBF999B1C^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iorgi\AppData\Roaming\Skype\giorgi.bzhalava\media_messaging\media_cache_v3\^094ED8449A10C4B5F5CFA41275D5103B93E9C9B01BBF999B1C^pimgpsh_fullsize_distr.jpg"/>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879648" cy="1962530"/>
                          </a:xfrm>
                          <a:prstGeom prst="rect">
                            <a:avLst/>
                          </a:prstGeom>
                          <a:noFill/>
                          <a:ln>
                            <a:noFill/>
                          </a:ln>
                        </pic:spPr>
                      </pic:pic>
                    </a:graphicData>
                  </a:graphic>
                </wp:inline>
              </w:drawing>
            </w:r>
          </w:p>
          <w:p w14:paraId="1CBFB4CD" w14:textId="77777777" w:rsidR="00A2588D" w:rsidRPr="00A2588D" w:rsidRDefault="00A2588D" w:rsidP="00A2588D">
            <w:pPr>
              <w:jc w:val="center"/>
              <w:rPr>
                <w:rFonts w:ascii="Sylfaen" w:hAnsi="Sylfaen"/>
                <w:color w:val="000000" w:themeColor="text1"/>
                <w:sz w:val="18"/>
                <w:lang w:val="ka-GE"/>
              </w:rPr>
            </w:pPr>
            <w:r w:rsidRPr="00A2588D">
              <w:rPr>
                <w:rFonts w:ascii="Sylfaen" w:hAnsi="Sylfaen"/>
                <w:color w:val="000000" w:themeColor="text1"/>
                <w:sz w:val="18"/>
                <w:lang w:val="ka-GE"/>
              </w:rPr>
              <w:t>სურათი 1.5. ურბანული ტერიტორია. სოფ. მუკუზანთან</w:t>
            </w:r>
          </w:p>
          <w:p w14:paraId="0187D93E" w14:textId="77777777" w:rsidR="00A2588D" w:rsidRPr="00A2588D" w:rsidRDefault="00A2588D" w:rsidP="00A2588D">
            <w:pPr>
              <w:jc w:val="center"/>
              <w:rPr>
                <w:rFonts w:ascii="Sylfaen" w:hAnsi="Sylfaen"/>
                <w:noProof/>
                <w:color w:val="000000" w:themeColor="text1"/>
                <w:sz w:val="20"/>
              </w:rPr>
            </w:pPr>
            <w:r w:rsidRPr="00A2588D">
              <w:rPr>
                <w:rFonts w:ascii="Sylfaen" w:hAnsi="Sylfaen"/>
                <w:color w:val="000000" w:themeColor="text1"/>
                <w:sz w:val="18"/>
                <w:lang w:val="ka-GE"/>
              </w:rPr>
              <w:t xml:space="preserve">(რუკაზე </w:t>
            </w:r>
            <w:r w:rsidRPr="00A2588D">
              <w:rPr>
                <w:rFonts w:ascii="Sylfaen" w:hAnsi="Sylfaen"/>
                <w:color w:val="000000" w:themeColor="text1"/>
                <w:sz w:val="18"/>
                <w:lang w:val="ru-RU"/>
              </w:rPr>
              <w:t>№</w:t>
            </w:r>
            <w:r w:rsidRPr="00A2588D">
              <w:rPr>
                <w:rFonts w:ascii="Sylfaen" w:hAnsi="Sylfaen"/>
                <w:color w:val="000000" w:themeColor="text1"/>
                <w:sz w:val="18"/>
                <w:lang w:val="ka-GE"/>
              </w:rPr>
              <w:t>11)</w:t>
            </w:r>
          </w:p>
        </w:tc>
      </w:tr>
    </w:tbl>
    <w:p w14:paraId="1D65841D" w14:textId="77777777" w:rsidR="00A2588D" w:rsidRPr="00A2588D" w:rsidRDefault="00A2588D" w:rsidP="00A2588D">
      <w:pPr>
        <w:spacing w:after="120"/>
        <w:rPr>
          <w:b/>
          <w:sz w:val="24"/>
          <w:lang w:val="ka-GE"/>
        </w:rPr>
      </w:pPr>
      <w:r w:rsidRPr="00A2588D">
        <w:rPr>
          <w:rFonts w:ascii="Sylfaen" w:hAnsi="Sylfaen" w:cs="Sylfaen"/>
          <w:b/>
          <w:sz w:val="24"/>
          <w:lang w:val="ka-GE"/>
        </w:rPr>
        <w:t>აგროლანდშაფტი</w:t>
      </w:r>
    </w:p>
    <w:p w14:paraId="5A8A07F4" w14:textId="77777777" w:rsidR="00A2588D" w:rsidRPr="00A2588D" w:rsidRDefault="00A2588D" w:rsidP="00A2588D">
      <w:pPr>
        <w:rPr>
          <w:rFonts w:ascii="Sylfaen" w:hAnsi="Sylfaen"/>
          <w:color w:val="000000" w:themeColor="text1"/>
          <w:lang w:val="ka-GE"/>
        </w:rPr>
      </w:pPr>
      <w:r w:rsidRPr="00A2588D">
        <w:rPr>
          <w:rFonts w:ascii="Sylfaen" w:hAnsi="Sylfaen"/>
          <w:color w:val="000000" w:themeColor="text1"/>
          <w:lang w:val="ka-GE"/>
        </w:rPr>
        <w:t>საპროექტო დერეფნის დიდი ნაწილი გადის აგროლანდშაფტის ფარგლებში. ეს ტერიტორიები ინტენსიურად მუშავდება და შესაბამისად მცენარეული საფარის ძირითადი შემადგენელია კულტურული სახეობები, მათ შორის ვენახები. ბუნებრივი მცენარეულობა წარმოდგენილია მეორადი რუდერალური და სტეპის მცენარეულობთ, ასევე გზის პირებზე და რკინიგზის გასწვრივ წარმოდგენილია კაკლის ხეები. ზოგად, გზისპირა ზოლებში წარმოდგენილია წიწვოანი ნარგავები.</w:t>
      </w:r>
    </w:p>
    <w:p w14:paraId="7C5FF70D" w14:textId="77777777" w:rsidR="00A2588D" w:rsidRPr="00A2588D" w:rsidRDefault="00A2588D" w:rsidP="00A2588D">
      <w:pPr>
        <w:autoSpaceDE w:val="0"/>
        <w:autoSpaceDN w:val="0"/>
        <w:adjustRightInd w:val="0"/>
        <w:rPr>
          <w:rFonts w:ascii="Sylfaen" w:hAnsi="Sylfaen" w:cs="LitNusx"/>
          <w:lang w:val="ka-GE"/>
        </w:rPr>
      </w:pPr>
      <w:r w:rsidRPr="00A2588D">
        <w:rPr>
          <w:rFonts w:ascii="Sylfaen" w:hAnsi="Sylfaen" w:cs="Sylfaen"/>
          <w:lang w:val="ka-GE"/>
        </w:rPr>
        <w:t>ფლორისტიკული შემადგენლობა ასეთია: წივანა</w:t>
      </w:r>
      <w:r w:rsidRPr="00A2588D">
        <w:rPr>
          <w:rFonts w:ascii="Sylfaen" w:hAnsi="Sylfaen" w:cs="LitNusx"/>
          <w:lang w:val="ka-GE"/>
        </w:rPr>
        <w:t xml:space="preserve"> </w:t>
      </w:r>
      <w:r w:rsidRPr="00A2588D">
        <w:rPr>
          <w:rFonts w:ascii="Sylfaen" w:hAnsi="Sylfaen" w:cs="LitNusx"/>
          <w:i/>
          <w:lang w:val="ka-GE"/>
        </w:rPr>
        <w:t>(Festuca valensiaca)</w:t>
      </w:r>
      <w:r w:rsidRPr="00A2588D">
        <w:rPr>
          <w:rFonts w:ascii="Sylfaen" w:hAnsi="Sylfaen" w:cs="LitNusx"/>
          <w:lang w:val="ka-GE"/>
        </w:rPr>
        <w:t xml:space="preserve">. </w:t>
      </w:r>
      <w:r w:rsidRPr="00A2588D">
        <w:rPr>
          <w:rFonts w:ascii="Sylfaen" w:hAnsi="Sylfaen" w:cs="Sylfaen"/>
          <w:lang w:val="ka-GE"/>
        </w:rPr>
        <w:t xml:space="preserve"> ურო</w:t>
      </w:r>
      <w:r w:rsidRPr="00A2588D">
        <w:rPr>
          <w:rFonts w:ascii="Sylfaen" w:hAnsi="Sylfaen" w:cs="LitNusx"/>
          <w:lang w:val="ka-GE"/>
        </w:rPr>
        <w:t xml:space="preserve"> </w:t>
      </w:r>
      <w:r w:rsidRPr="00A2588D">
        <w:rPr>
          <w:rFonts w:ascii="Sylfaen" w:hAnsi="Sylfaen" w:cs="LitNusx"/>
          <w:i/>
          <w:lang w:val="ka-GE"/>
        </w:rPr>
        <w:t xml:space="preserve">(Botriochloa icsheamum); </w:t>
      </w:r>
      <w:r w:rsidRPr="00A2588D">
        <w:rPr>
          <w:rFonts w:ascii="Sylfaen" w:hAnsi="Sylfaen" w:cs="Sylfaen"/>
          <w:lang w:val="ka-GE"/>
        </w:rPr>
        <w:t>ფარსმანდუკი</w:t>
      </w:r>
      <w:r w:rsidRPr="00A2588D">
        <w:rPr>
          <w:rFonts w:ascii="Sylfaen" w:hAnsi="Sylfaen" w:cs="LitNusx"/>
          <w:lang w:val="ka-GE"/>
        </w:rPr>
        <w:t xml:space="preserve"> </w:t>
      </w:r>
      <w:r w:rsidRPr="00A2588D">
        <w:rPr>
          <w:rFonts w:ascii="Sylfaen" w:hAnsi="Sylfaen" w:cs="LitNusx"/>
          <w:i/>
          <w:lang w:val="ka-GE"/>
        </w:rPr>
        <w:t>(Achilea millenofolium)</w:t>
      </w:r>
      <w:r w:rsidRPr="00A2588D">
        <w:rPr>
          <w:rFonts w:ascii="Sylfaen" w:hAnsi="Sylfaen" w:cs="LitNusx"/>
          <w:lang w:val="ka-GE"/>
        </w:rPr>
        <w:t>;</w:t>
      </w:r>
      <w:r w:rsidRPr="00A2588D">
        <w:rPr>
          <w:rFonts w:ascii="Sylfaen" w:hAnsi="Sylfaen" w:cs="LitNusx"/>
          <w:i/>
          <w:lang w:val="ka-GE"/>
        </w:rPr>
        <w:t xml:space="preserve"> </w:t>
      </w:r>
      <w:r w:rsidRPr="00A2588D">
        <w:rPr>
          <w:rFonts w:ascii="Sylfaen" w:hAnsi="Sylfaen" w:cs="Sylfaen"/>
          <w:lang w:val="ka-GE"/>
        </w:rPr>
        <w:t>ცახცახა</w:t>
      </w:r>
      <w:r w:rsidRPr="00A2588D">
        <w:rPr>
          <w:rFonts w:ascii="Sylfaen" w:hAnsi="Sylfaen" w:cs="LitNusx"/>
          <w:lang w:val="ka-GE"/>
        </w:rPr>
        <w:t xml:space="preserve"> </w:t>
      </w:r>
      <w:r w:rsidRPr="00A2588D">
        <w:rPr>
          <w:rFonts w:ascii="Sylfaen" w:hAnsi="Sylfaen" w:cs="LitNusx"/>
          <w:i/>
          <w:lang w:val="ka-GE"/>
        </w:rPr>
        <w:t>(B</w:t>
      </w:r>
      <w:r w:rsidRPr="00A2588D">
        <w:rPr>
          <w:rFonts w:ascii="Sylfaen" w:hAnsi="Sylfaen" w:cs="Sylfaen"/>
          <w:i/>
          <w:lang w:val="ka-GE"/>
        </w:rPr>
        <w:t>riza elatior</w:t>
      </w:r>
      <w:r w:rsidRPr="00A2588D">
        <w:rPr>
          <w:rFonts w:ascii="Sylfaen" w:hAnsi="Sylfaen" w:cs="LitNusx"/>
          <w:i/>
          <w:lang w:val="ka-GE"/>
        </w:rPr>
        <w:t>)</w:t>
      </w:r>
      <w:r w:rsidRPr="00A2588D">
        <w:rPr>
          <w:rFonts w:ascii="Sylfaen" w:hAnsi="Sylfaen" w:cs="LitNusx"/>
          <w:lang w:val="ka-GE"/>
        </w:rPr>
        <w:t xml:space="preserve">; </w:t>
      </w:r>
      <w:r w:rsidRPr="00A2588D">
        <w:rPr>
          <w:rFonts w:ascii="Sylfaen" w:hAnsi="Sylfaen" w:cs="Sylfaen"/>
          <w:lang w:val="ka-GE"/>
        </w:rPr>
        <w:t>ისლი</w:t>
      </w:r>
      <w:r w:rsidRPr="00A2588D">
        <w:rPr>
          <w:rFonts w:ascii="Sylfaen" w:hAnsi="Sylfaen" w:cs="LitNusx"/>
          <w:lang w:val="ka-GE"/>
        </w:rPr>
        <w:t xml:space="preserve"> </w:t>
      </w:r>
      <w:r w:rsidRPr="00A2588D">
        <w:rPr>
          <w:rFonts w:ascii="Sylfaen" w:hAnsi="Sylfaen" w:cs="LitNusx"/>
          <w:i/>
          <w:lang w:val="ka-GE"/>
        </w:rPr>
        <w:t>(Carex schkuhi)</w:t>
      </w:r>
      <w:r w:rsidRPr="00A2588D">
        <w:rPr>
          <w:rFonts w:ascii="Sylfaen" w:hAnsi="Sylfaen" w:cs="LitNusx"/>
          <w:lang w:val="ka-GE"/>
        </w:rPr>
        <w:t xml:space="preserve">; </w:t>
      </w:r>
      <w:r w:rsidRPr="00A2588D">
        <w:rPr>
          <w:rFonts w:ascii="Sylfaen" w:hAnsi="Sylfaen" w:cs="Sylfaen"/>
          <w:lang w:val="ka-GE"/>
        </w:rPr>
        <w:t>ჭახრაკაული</w:t>
      </w:r>
      <w:r w:rsidRPr="00A2588D">
        <w:rPr>
          <w:rFonts w:ascii="Sylfaen" w:hAnsi="Sylfaen" w:cs="LitNusx"/>
          <w:lang w:val="ka-GE"/>
        </w:rPr>
        <w:t xml:space="preserve"> </w:t>
      </w:r>
      <w:r w:rsidRPr="00A2588D">
        <w:rPr>
          <w:rFonts w:ascii="Sylfaen" w:hAnsi="Sylfaen" w:cs="LitNusx"/>
          <w:i/>
          <w:lang w:val="ka-GE"/>
        </w:rPr>
        <w:t>(Cerinthe minor)</w:t>
      </w:r>
      <w:r w:rsidRPr="00A2588D">
        <w:rPr>
          <w:rFonts w:ascii="Sylfaen" w:hAnsi="Sylfaen" w:cs="LitNusx"/>
          <w:lang w:val="ka-GE"/>
        </w:rPr>
        <w:t xml:space="preserve">; </w:t>
      </w:r>
      <w:r w:rsidRPr="00A2588D">
        <w:rPr>
          <w:rFonts w:ascii="Sylfaen" w:hAnsi="Sylfaen" w:cs="Sylfaen"/>
          <w:lang w:val="ka-GE"/>
        </w:rPr>
        <w:t>სათითურა</w:t>
      </w:r>
      <w:r w:rsidRPr="00A2588D">
        <w:rPr>
          <w:rFonts w:ascii="Sylfaen" w:hAnsi="Sylfaen" w:cs="LitNusx"/>
          <w:lang w:val="ka-GE"/>
        </w:rPr>
        <w:t xml:space="preserve"> </w:t>
      </w:r>
      <w:r w:rsidRPr="00A2588D">
        <w:rPr>
          <w:rFonts w:ascii="Sylfaen" w:hAnsi="Sylfaen" w:cs="LitNusx"/>
          <w:i/>
          <w:lang w:val="ka-GE"/>
        </w:rPr>
        <w:t>(Dachylis glomerata)</w:t>
      </w:r>
      <w:r w:rsidRPr="00A2588D">
        <w:rPr>
          <w:rFonts w:ascii="Sylfaen" w:hAnsi="Sylfaen" w:cs="LitNusx"/>
          <w:lang w:val="ka-GE"/>
        </w:rPr>
        <w:t xml:space="preserve">; </w:t>
      </w:r>
      <w:r w:rsidRPr="00A2588D">
        <w:rPr>
          <w:rFonts w:ascii="Sylfaen" w:hAnsi="Sylfaen" w:cs="Sylfaen"/>
          <w:lang w:val="ka-GE"/>
        </w:rPr>
        <w:t>გვირილა</w:t>
      </w:r>
      <w:r w:rsidRPr="00A2588D">
        <w:rPr>
          <w:rFonts w:ascii="Sylfaen" w:hAnsi="Sylfaen" w:cs="LitNusx"/>
          <w:lang w:val="ka-GE"/>
        </w:rPr>
        <w:t xml:space="preserve"> </w:t>
      </w:r>
      <w:r w:rsidRPr="00A2588D">
        <w:rPr>
          <w:rFonts w:ascii="Sylfaen" w:hAnsi="Sylfaen" w:cs="LitNusx"/>
          <w:i/>
          <w:lang w:val="ka-GE"/>
        </w:rPr>
        <w:t>(Dorincium herbaceum)</w:t>
      </w:r>
      <w:r w:rsidRPr="00A2588D">
        <w:rPr>
          <w:rFonts w:ascii="Sylfaen" w:hAnsi="Sylfaen" w:cs="LitNusx"/>
          <w:lang w:val="ka-GE"/>
        </w:rPr>
        <w:t xml:space="preserve">, </w:t>
      </w:r>
      <w:r w:rsidRPr="00A2588D">
        <w:rPr>
          <w:rFonts w:ascii="Sylfaen" w:hAnsi="Sylfaen" w:cs="Sylfaen"/>
          <w:lang w:val="ka-GE"/>
        </w:rPr>
        <w:t>ძირწითელა</w:t>
      </w:r>
      <w:r w:rsidRPr="00A2588D">
        <w:rPr>
          <w:rFonts w:ascii="Sylfaen" w:hAnsi="Sylfaen" w:cs="LitNusx"/>
          <w:lang w:val="ka-GE"/>
        </w:rPr>
        <w:t xml:space="preserve"> </w:t>
      </w:r>
      <w:r w:rsidRPr="00A2588D">
        <w:rPr>
          <w:rFonts w:ascii="Sylfaen" w:hAnsi="Sylfaen" w:cs="LitNusx"/>
          <w:i/>
          <w:lang w:val="ka-GE"/>
        </w:rPr>
        <w:t>(Echium rubrum)</w:t>
      </w:r>
      <w:r w:rsidRPr="00A2588D">
        <w:rPr>
          <w:rFonts w:ascii="Sylfaen" w:hAnsi="Sylfaen" w:cs="LitNusx"/>
          <w:lang w:val="ka-GE"/>
        </w:rPr>
        <w:t xml:space="preserve">, </w:t>
      </w:r>
      <w:r w:rsidRPr="00A2588D">
        <w:rPr>
          <w:rFonts w:ascii="Sylfaen" w:hAnsi="Sylfaen" w:cs="Sylfaen"/>
          <w:lang w:val="ka-GE"/>
        </w:rPr>
        <w:t>ნარი</w:t>
      </w:r>
      <w:r w:rsidRPr="00A2588D">
        <w:rPr>
          <w:rFonts w:ascii="Sylfaen" w:hAnsi="Sylfaen" w:cs="LitNusx"/>
          <w:lang w:val="ka-GE"/>
        </w:rPr>
        <w:t xml:space="preserve"> </w:t>
      </w:r>
      <w:r w:rsidRPr="00A2588D">
        <w:rPr>
          <w:rFonts w:ascii="Sylfaen" w:hAnsi="Sylfaen" w:cs="LitNusx"/>
          <w:i/>
          <w:lang w:val="ka-GE"/>
        </w:rPr>
        <w:t>(Erungium biberschteinanum)</w:t>
      </w:r>
      <w:r w:rsidRPr="00A2588D">
        <w:rPr>
          <w:rFonts w:ascii="Sylfaen" w:hAnsi="Sylfaen" w:cs="LitNusx"/>
          <w:lang w:val="ka-GE"/>
        </w:rPr>
        <w:t xml:space="preserve">, </w:t>
      </w:r>
      <w:r w:rsidRPr="00A2588D">
        <w:rPr>
          <w:rFonts w:ascii="Sylfaen" w:hAnsi="Sylfaen" w:cs="Sylfaen"/>
          <w:lang w:val="ka-GE"/>
        </w:rPr>
        <w:t>წივანა</w:t>
      </w:r>
      <w:r w:rsidRPr="00A2588D">
        <w:rPr>
          <w:rFonts w:ascii="Sylfaen" w:hAnsi="Sylfaen" w:cs="LitNusx"/>
          <w:lang w:val="ka-GE"/>
        </w:rPr>
        <w:t xml:space="preserve"> </w:t>
      </w:r>
      <w:r w:rsidRPr="00A2588D">
        <w:rPr>
          <w:rFonts w:ascii="Sylfaen" w:hAnsi="Sylfaen" w:cs="LitNusx"/>
          <w:i/>
          <w:lang w:val="ka-GE"/>
        </w:rPr>
        <w:t>(</w:t>
      </w:r>
      <w:r w:rsidRPr="00A2588D">
        <w:rPr>
          <w:rFonts w:ascii="Sylfaen" w:hAnsi="Sylfaen" w:cs="Sylfaen"/>
          <w:i/>
          <w:lang w:val="ka-GE"/>
        </w:rPr>
        <w:t>Festuca valensiaca</w:t>
      </w:r>
      <w:r w:rsidRPr="00A2588D">
        <w:rPr>
          <w:rFonts w:ascii="Sylfaen" w:hAnsi="Sylfaen" w:cs="LitNusx"/>
          <w:i/>
          <w:lang w:val="ka-GE"/>
        </w:rPr>
        <w:t>)</w:t>
      </w:r>
      <w:r w:rsidRPr="00A2588D">
        <w:rPr>
          <w:rFonts w:ascii="Sylfaen" w:hAnsi="Sylfaen" w:cs="LitNusx"/>
          <w:lang w:val="ka-GE"/>
        </w:rPr>
        <w:t xml:space="preserve">, </w:t>
      </w:r>
      <w:r w:rsidRPr="00A2588D">
        <w:rPr>
          <w:rFonts w:ascii="Sylfaen" w:hAnsi="Sylfaen" w:cs="Sylfaen"/>
          <w:lang w:val="ka-GE"/>
        </w:rPr>
        <w:t>ქაფუნა</w:t>
      </w:r>
      <w:r w:rsidRPr="00A2588D">
        <w:rPr>
          <w:rFonts w:ascii="Sylfaen" w:hAnsi="Sylfaen" w:cs="LitNusx"/>
          <w:lang w:val="ka-GE"/>
        </w:rPr>
        <w:t xml:space="preserve"> </w:t>
      </w:r>
      <w:r w:rsidRPr="00A2588D">
        <w:rPr>
          <w:rFonts w:ascii="Sylfaen" w:hAnsi="Sylfaen" w:cs="LitNusx"/>
          <w:i/>
          <w:lang w:val="ka-GE"/>
        </w:rPr>
        <w:t>(Filipendula vulgaris)</w:t>
      </w:r>
      <w:r w:rsidRPr="00A2588D">
        <w:rPr>
          <w:rFonts w:ascii="Sylfaen" w:hAnsi="Sylfaen" w:cs="LitNusx"/>
          <w:lang w:val="ka-GE"/>
        </w:rPr>
        <w:t xml:space="preserve">, მიწავაშლა </w:t>
      </w:r>
      <w:r w:rsidRPr="00A2588D">
        <w:rPr>
          <w:rFonts w:ascii="Sylfaen" w:hAnsi="Sylfaen" w:cs="LitNusx"/>
          <w:i/>
          <w:lang w:val="ka-GE"/>
        </w:rPr>
        <w:t>(</w:t>
      </w:r>
      <w:r w:rsidRPr="00A2588D">
        <w:rPr>
          <w:rFonts w:ascii="Sylfaen" w:hAnsi="Sylfaen" w:cs="Sylfaen"/>
          <w:i/>
          <w:lang w:val="ka-GE"/>
        </w:rPr>
        <w:t>Helianthemun nummelarium)</w:t>
      </w:r>
      <w:r w:rsidRPr="00A2588D">
        <w:rPr>
          <w:rFonts w:ascii="Sylfaen" w:hAnsi="Sylfaen" w:cs="LitNusx"/>
          <w:i/>
          <w:lang w:val="ka-GE"/>
        </w:rPr>
        <w:t xml:space="preserve">, </w:t>
      </w:r>
      <w:r w:rsidRPr="00A2588D">
        <w:rPr>
          <w:rFonts w:ascii="Sylfaen" w:hAnsi="Sylfaen" w:cs="Sylfaen"/>
          <w:lang w:val="ka-GE"/>
        </w:rPr>
        <w:t>კრაზანა</w:t>
      </w:r>
      <w:r w:rsidRPr="00A2588D">
        <w:rPr>
          <w:rFonts w:ascii="Sylfaen" w:hAnsi="Sylfaen" w:cs="LitNusx"/>
          <w:lang w:val="ka-GE"/>
        </w:rPr>
        <w:t xml:space="preserve"> </w:t>
      </w:r>
      <w:r w:rsidRPr="00A2588D">
        <w:rPr>
          <w:rFonts w:ascii="Sylfaen" w:hAnsi="Sylfaen" w:cs="LitNusx"/>
          <w:i/>
          <w:lang w:val="ka-GE"/>
        </w:rPr>
        <w:t>(Hupericum perfolatum)</w:t>
      </w:r>
      <w:r w:rsidRPr="00A2588D">
        <w:rPr>
          <w:rFonts w:ascii="Sylfaen" w:hAnsi="Sylfaen" w:cs="LitNusx"/>
          <w:lang w:val="ka-GE"/>
        </w:rPr>
        <w:t xml:space="preserve">, </w:t>
      </w:r>
      <w:r w:rsidRPr="00A2588D">
        <w:rPr>
          <w:rFonts w:ascii="Sylfaen" w:hAnsi="Sylfaen" w:cs="Sylfaen"/>
          <w:lang w:val="ka-GE"/>
        </w:rPr>
        <w:t>მზიურა</w:t>
      </w:r>
      <w:r w:rsidRPr="00A2588D">
        <w:rPr>
          <w:rFonts w:ascii="Sylfaen" w:hAnsi="Sylfaen" w:cs="LitNusx"/>
          <w:lang w:val="ka-GE"/>
        </w:rPr>
        <w:t xml:space="preserve"> </w:t>
      </w:r>
      <w:r w:rsidRPr="00A2588D">
        <w:rPr>
          <w:rFonts w:ascii="Sylfaen" w:hAnsi="Sylfaen" w:cs="LitNusx"/>
          <w:i/>
          <w:lang w:val="ka-GE"/>
        </w:rPr>
        <w:t>(Inula aspera),</w:t>
      </w:r>
      <w:r w:rsidRPr="00A2588D">
        <w:rPr>
          <w:rFonts w:ascii="Sylfaen" w:hAnsi="Sylfaen" w:cs="LitNusx"/>
          <w:lang w:val="ka-GE"/>
        </w:rPr>
        <w:t xml:space="preserve"> </w:t>
      </w:r>
      <w:r w:rsidRPr="00A2588D">
        <w:rPr>
          <w:rFonts w:ascii="Sylfaen" w:hAnsi="Sylfaen" w:cs="Sylfaen"/>
          <w:lang w:val="ka-GE"/>
        </w:rPr>
        <w:t>სელი</w:t>
      </w:r>
      <w:r w:rsidRPr="00A2588D">
        <w:rPr>
          <w:rFonts w:ascii="Sylfaen" w:hAnsi="Sylfaen" w:cs="LitNusx"/>
          <w:lang w:val="ka-GE"/>
        </w:rPr>
        <w:t xml:space="preserve"> </w:t>
      </w:r>
      <w:r w:rsidRPr="00A2588D">
        <w:rPr>
          <w:rFonts w:ascii="Sylfaen" w:hAnsi="Sylfaen" w:cs="LitNusx"/>
          <w:i/>
          <w:lang w:val="ka-GE"/>
        </w:rPr>
        <w:t>(Linum tenuifolium),</w:t>
      </w:r>
      <w:r w:rsidRPr="00A2588D">
        <w:rPr>
          <w:rFonts w:ascii="Sylfaen" w:hAnsi="Sylfaen" w:cs="LitNusx"/>
          <w:lang w:val="ka-GE"/>
        </w:rPr>
        <w:t xml:space="preserve"> </w:t>
      </w:r>
      <w:r w:rsidRPr="00A2588D">
        <w:rPr>
          <w:rFonts w:ascii="Sylfaen" w:hAnsi="Sylfaen" w:cs="Sylfaen"/>
          <w:lang w:val="ka-GE"/>
        </w:rPr>
        <w:t>ესპარცეტი</w:t>
      </w:r>
      <w:r w:rsidRPr="00A2588D">
        <w:rPr>
          <w:rFonts w:ascii="Sylfaen" w:hAnsi="Sylfaen" w:cs="LitNusx"/>
          <w:lang w:val="ka-GE"/>
        </w:rPr>
        <w:t xml:space="preserve"> </w:t>
      </w:r>
      <w:r w:rsidRPr="00A2588D">
        <w:rPr>
          <w:rFonts w:ascii="Sylfaen" w:hAnsi="Sylfaen" w:cs="LitNusx"/>
          <w:i/>
          <w:lang w:val="ka-GE"/>
        </w:rPr>
        <w:t>(Onobrynchis cyrii),</w:t>
      </w:r>
      <w:r w:rsidRPr="00A2588D">
        <w:rPr>
          <w:rFonts w:ascii="Sylfaen" w:hAnsi="Sylfaen" w:cs="LitNusx"/>
          <w:lang w:val="ka-GE"/>
        </w:rPr>
        <w:t xml:space="preserve"> </w:t>
      </w:r>
      <w:r w:rsidRPr="00A2588D">
        <w:rPr>
          <w:rFonts w:ascii="Sylfaen" w:hAnsi="Sylfaen" w:cs="Sylfaen"/>
          <w:lang w:val="ka-GE"/>
        </w:rPr>
        <w:t>ლოტუსი</w:t>
      </w:r>
      <w:r w:rsidRPr="00A2588D">
        <w:rPr>
          <w:rFonts w:ascii="Sylfaen" w:hAnsi="Sylfaen" w:cs="LitNusx"/>
          <w:lang w:val="ka-GE"/>
        </w:rPr>
        <w:t xml:space="preserve"> </w:t>
      </w:r>
      <w:r w:rsidRPr="00A2588D">
        <w:rPr>
          <w:rFonts w:ascii="Sylfaen" w:hAnsi="Sylfaen" w:cs="LitNusx"/>
          <w:i/>
          <w:lang w:val="ka-GE"/>
        </w:rPr>
        <w:t>(Lotus caucasicus),</w:t>
      </w:r>
      <w:r w:rsidRPr="00A2588D">
        <w:rPr>
          <w:rFonts w:ascii="Sylfaen" w:hAnsi="Sylfaen" w:cs="LitNusx"/>
          <w:lang w:val="ka-GE"/>
        </w:rPr>
        <w:t xml:space="preserve"> Jurinea blanda, </w:t>
      </w:r>
      <w:r w:rsidRPr="00A2588D">
        <w:rPr>
          <w:rFonts w:ascii="Sylfaen" w:hAnsi="Sylfaen" w:cs="Sylfaen"/>
          <w:lang w:val="ka-GE"/>
        </w:rPr>
        <w:t>მრავალძარღვა</w:t>
      </w:r>
      <w:r w:rsidRPr="00A2588D">
        <w:rPr>
          <w:rFonts w:ascii="Sylfaen" w:hAnsi="Sylfaen" w:cs="LitNusx"/>
          <w:lang w:val="ka-GE"/>
        </w:rPr>
        <w:t xml:space="preserve"> </w:t>
      </w:r>
      <w:r w:rsidRPr="00A2588D">
        <w:rPr>
          <w:rFonts w:ascii="Sylfaen" w:hAnsi="Sylfaen" w:cs="LitNusx"/>
          <w:i/>
          <w:lang w:val="ka-GE"/>
        </w:rPr>
        <w:t>(Plantago lanceolata),</w:t>
      </w:r>
      <w:r w:rsidRPr="00A2588D">
        <w:rPr>
          <w:rFonts w:ascii="Sylfaen" w:hAnsi="Sylfaen" w:cs="LitNusx"/>
          <w:lang w:val="ka-GE"/>
        </w:rPr>
        <w:t xml:space="preserve"> </w:t>
      </w:r>
      <w:r w:rsidRPr="00A2588D">
        <w:rPr>
          <w:rFonts w:ascii="Sylfaen" w:hAnsi="Sylfaen" w:cs="Sylfaen"/>
          <w:lang w:val="ka-GE"/>
        </w:rPr>
        <w:t>წიწინაური</w:t>
      </w:r>
      <w:r w:rsidRPr="00A2588D">
        <w:rPr>
          <w:rFonts w:ascii="Sylfaen" w:hAnsi="Sylfaen" w:cs="LitNusx"/>
          <w:lang w:val="ka-GE"/>
        </w:rPr>
        <w:t xml:space="preserve"> </w:t>
      </w:r>
      <w:r w:rsidRPr="00A2588D">
        <w:rPr>
          <w:rFonts w:ascii="Sylfaen" w:hAnsi="Sylfaen" w:cs="LitNusx"/>
          <w:i/>
          <w:lang w:val="ka-GE"/>
        </w:rPr>
        <w:t>(P</w:t>
      </w:r>
      <w:r w:rsidRPr="00A2588D">
        <w:rPr>
          <w:rFonts w:ascii="Sylfaen" w:hAnsi="Sylfaen" w:cs="Sylfaen"/>
          <w:i/>
          <w:lang w:val="ka-GE"/>
        </w:rPr>
        <w:t>ytogala</w:t>
      </w:r>
      <w:r w:rsidRPr="00A2588D">
        <w:rPr>
          <w:rFonts w:ascii="Sylfaen" w:hAnsi="Sylfaen" w:cs="LitNusx"/>
          <w:i/>
          <w:lang w:val="ka-GE"/>
        </w:rPr>
        <w:t xml:space="preserve"> </w:t>
      </w:r>
      <w:r w:rsidRPr="00A2588D">
        <w:rPr>
          <w:rFonts w:ascii="Sylfaen" w:hAnsi="Sylfaen" w:cs="Sylfaen"/>
          <w:i/>
          <w:lang w:val="ka-GE"/>
        </w:rPr>
        <w:t>trancaucasica</w:t>
      </w:r>
      <w:r w:rsidRPr="00A2588D">
        <w:rPr>
          <w:rFonts w:ascii="Sylfaen" w:hAnsi="Sylfaen" w:cs="LitNusx"/>
          <w:i/>
          <w:lang w:val="ka-GE"/>
        </w:rPr>
        <w:t>),</w:t>
      </w:r>
      <w:r w:rsidRPr="00A2588D">
        <w:rPr>
          <w:rFonts w:ascii="Sylfaen" w:hAnsi="Sylfaen" w:cs="LitNusx"/>
          <w:lang w:val="ka-GE"/>
        </w:rPr>
        <w:t xml:space="preserve"> </w:t>
      </w:r>
      <w:r w:rsidRPr="00A2588D">
        <w:rPr>
          <w:rFonts w:ascii="Sylfaen" w:hAnsi="Sylfaen" w:cs="Sylfaen"/>
          <w:lang w:val="ka-GE"/>
        </w:rPr>
        <w:t>მარწყვა</w:t>
      </w:r>
      <w:r w:rsidRPr="00A2588D">
        <w:rPr>
          <w:rFonts w:ascii="Sylfaen" w:hAnsi="Sylfaen" w:cs="LitNusx"/>
          <w:lang w:val="ka-GE"/>
        </w:rPr>
        <w:t xml:space="preserve"> </w:t>
      </w:r>
      <w:r w:rsidRPr="00A2588D">
        <w:rPr>
          <w:rFonts w:ascii="Sylfaen" w:hAnsi="Sylfaen" w:cs="Sylfaen"/>
          <w:lang w:val="ka-GE"/>
        </w:rPr>
        <w:t>ბალახი</w:t>
      </w:r>
      <w:r w:rsidRPr="00A2588D">
        <w:rPr>
          <w:rFonts w:ascii="Sylfaen" w:hAnsi="Sylfaen" w:cs="LitNusx"/>
          <w:lang w:val="ka-GE"/>
        </w:rPr>
        <w:t xml:space="preserve"> </w:t>
      </w:r>
      <w:r w:rsidRPr="00A2588D">
        <w:rPr>
          <w:rFonts w:ascii="Sylfaen" w:hAnsi="Sylfaen" w:cs="LitNusx"/>
          <w:i/>
          <w:lang w:val="ka-GE"/>
        </w:rPr>
        <w:t>(Potentilla recta)</w:t>
      </w:r>
      <w:r w:rsidRPr="00A2588D">
        <w:rPr>
          <w:rFonts w:ascii="Sylfaen" w:hAnsi="Sylfaen" w:cs="LitNusx"/>
          <w:lang w:val="ka-GE"/>
        </w:rPr>
        <w:t xml:space="preserve">, </w:t>
      </w:r>
      <w:r w:rsidRPr="00A2588D">
        <w:rPr>
          <w:rFonts w:ascii="Sylfaen" w:hAnsi="Sylfaen" w:cs="Sylfaen"/>
          <w:lang w:val="ka-GE"/>
        </w:rPr>
        <w:t>ურაშა</w:t>
      </w:r>
      <w:r w:rsidRPr="00A2588D">
        <w:rPr>
          <w:rFonts w:ascii="Sylfaen" w:hAnsi="Sylfaen" w:cs="LitNusx"/>
          <w:lang w:val="ka-GE"/>
        </w:rPr>
        <w:t xml:space="preserve"> </w:t>
      </w:r>
      <w:r w:rsidRPr="00A2588D">
        <w:rPr>
          <w:rFonts w:ascii="Sylfaen" w:hAnsi="Sylfaen" w:cs="LitNusx"/>
          <w:i/>
          <w:lang w:val="ka-GE"/>
        </w:rPr>
        <w:t>(Poterium polygonatum)</w:t>
      </w:r>
      <w:r w:rsidRPr="00A2588D">
        <w:rPr>
          <w:rFonts w:ascii="Sylfaen" w:hAnsi="Sylfaen" w:cs="LitNusx"/>
          <w:lang w:val="ka-GE"/>
        </w:rPr>
        <w:t xml:space="preserve">, </w:t>
      </w:r>
      <w:r w:rsidRPr="00A2588D">
        <w:rPr>
          <w:rFonts w:ascii="Sylfaen" w:hAnsi="Sylfaen" w:cs="Sylfaen"/>
          <w:lang w:val="ka-GE"/>
        </w:rPr>
        <w:t>ფამფარულა</w:t>
      </w:r>
      <w:r w:rsidRPr="00A2588D">
        <w:rPr>
          <w:rFonts w:ascii="Sylfaen" w:hAnsi="Sylfaen" w:cs="LitNusx"/>
          <w:lang w:val="ka-GE"/>
        </w:rPr>
        <w:t xml:space="preserve"> </w:t>
      </w:r>
      <w:r w:rsidRPr="00A2588D">
        <w:rPr>
          <w:rFonts w:ascii="Sylfaen" w:hAnsi="Sylfaen" w:cs="LitNusx"/>
          <w:i/>
          <w:lang w:val="ka-GE"/>
        </w:rPr>
        <w:t>(Schorzonera biebersteinii),</w:t>
      </w:r>
      <w:r w:rsidRPr="00A2588D">
        <w:rPr>
          <w:rFonts w:ascii="Sylfaen" w:hAnsi="Sylfaen" w:cs="LitNusx"/>
          <w:lang w:val="ka-GE"/>
        </w:rPr>
        <w:t xml:space="preserve"> </w:t>
      </w:r>
      <w:r w:rsidRPr="00A2588D">
        <w:rPr>
          <w:rFonts w:ascii="Sylfaen" w:hAnsi="Sylfaen" w:cs="Sylfaen"/>
          <w:lang w:val="ka-GE"/>
        </w:rPr>
        <w:t>სალბი</w:t>
      </w:r>
      <w:r w:rsidRPr="00A2588D">
        <w:rPr>
          <w:rFonts w:ascii="Sylfaen" w:hAnsi="Sylfaen" w:cs="LitNusx"/>
          <w:lang w:val="ka-GE"/>
        </w:rPr>
        <w:t xml:space="preserve"> </w:t>
      </w:r>
      <w:r w:rsidRPr="00A2588D">
        <w:rPr>
          <w:rFonts w:ascii="Sylfaen" w:hAnsi="Sylfaen" w:cs="LitNusx"/>
          <w:i/>
          <w:lang w:val="ka-GE"/>
        </w:rPr>
        <w:t>(Salvia nemorosa),</w:t>
      </w:r>
      <w:r w:rsidRPr="00A2588D">
        <w:rPr>
          <w:rFonts w:ascii="Sylfaen" w:hAnsi="Sylfaen" w:cs="LitNusx"/>
          <w:lang w:val="ka-GE"/>
        </w:rPr>
        <w:t xml:space="preserve"> </w:t>
      </w:r>
      <w:r w:rsidRPr="00A2588D">
        <w:rPr>
          <w:rFonts w:ascii="Sylfaen" w:hAnsi="Sylfaen" w:cs="Sylfaen"/>
          <w:lang w:val="ka-GE"/>
        </w:rPr>
        <w:t>ფოლოო</w:t>
      </w:r>
      <w:r w:rsidRPr="00A2588D">
        <w:rPr>
          <w:rFonts w:ascii="Sylfaen" w:hAnsi="Sylfaen" w:cs="LitNusx"/>
          <w:lang w:val="ka-GE"/>
        </w:rPr>
        <w:t xml:space="preserve"> </w:t>
      </w:r>
      <w:r w:rsidRPr="00A2588D">
        <w:rPr>
          <w:rFonts w:ascii="Sylfaen" w:hAnsi="Sylfaen" w:cs="LitNusx"/>
          <w:i/>
          <w:lang w:val="ka-GE"/>
        </w:rPr>
        <w:t>(Scabiosa georgica)</w:t>
      </w:r>
      <w:r w:rsidRPr="00A2588D">
        <w:rPr>
          <w:rFonts w:ascii="Sylfaen" w:hAnsi="Sylfaen" w:cs="LitNusx"/>
          <w:lang w:val="ka-GE"/>
        </w:rPr>
        <w:t xml:space="preserve">, </w:t>
      </w:r>
      <w:r w:rsidRPr="00A2588D">
        <w:rPr>
          <w:rFonts w:ascii="Sylfaen" w:hAnsi="Sylfaen" w:cs="Sylfaen"/>
          <w:lang w:val="ka-GE"/>
        </w:rPr>
        <w:t>დედაფუტკარა</w:t>
      </w:r>
      <w:r w:rsidRPr="00A2588D">
        <w:rPr>
          <w:rFonts w:ascii="Sylfaen" w:hAnsi="Sylfaen" w:cs="LitNusx"/>
          <w:lang w:val="ka-GE"/>
        </w:rPr>
        <w:t xml:space="preserve"> </w:t>
      </w:r>
      <w:r w:rsidRPr="00A2588D">
        <w:rPr>
          <w:rFonts w:ascii="Sylfaen" w:hAnsi="Sylfaen" w:cs="LitNusx"/>
          <w:i/>
          <w:lang w:val="ka-GE"/>
        </w:rPr>
        <w:t>(Stachys atherocachyx),</w:t>
      </w:r>
      <w:r w:rsidRPr="00A2588D">
        <w:rPr>
          <w:rFonts w:ascii="Sylfaen" w:hAnsi="Sylfaen" w:cs="LitNusx"/>
          <w:lang w:val="ka-GE"/>
        </w:rPr>
        <w:t xml:space="preserve"> </w:t>
      </w:r>
      <w:r w:rsidRPr="00A2588D">
        <w:rPr>
          <w:rFonts w:ascii="Sylfaen" w:hAnsi="Sylfaen" w:cs="Sylfaen"/>
          <w:lang w:val="ka-GE"/>
        </w:rPr>
        <w:t>კუტი</w:t>
      </w:r>
      <w:r w:rsidRPr="00A2588D">
        <w:rPr>
          <w:rFonts w:ascii="Sylfaen" w:hAnsi="Sylfaen" w:cs="LitNusx"/>
          <w:lang w:val="ka-GE"/>
        </w:rPr>
        <w:t xml:space="preserve"> </w:t>
      </w:r>
      <w:r w:rsidRPr="00A2588D">
        <w:rPr>
          <w:rFonts w:ascii="Sylfaen" w:hAnsi="Sylfaen" w:cs="Sylfaen"/>
          <w:lang w:val="ka-GE"/>
        </w:rPr>
        <w:t>ბალახი</w:t>
      </w:r>
      <w:r w:rsidRPr="00A2588D">
        <w:rPr>
          <w:rFonts w:ascii="Sylfaen" w:hAnsi="Sylfaen" w:cs="LitNusx"/>
          <w:lang w:val="ka-GE"/>
        </w:rPr>
        <w:t xml:space="preserve"> </w:t>
      </w:r>
      <w:r w:rsidRPr="00A2588D">
        <w:rPr>
          <w:rFonts w:ascii="Sylfaen" w:hAnsi="Sylfaen" w:cs="LitNusx"/>
          <w:i/>
          <w:lang w:val="ka-GE"/>
        </w:rPr>
        <w:t>(Teucrium nuthense, T. Polium),</w:t>
      </w:r>
      <w:r w:rsidRPr="00A2588D">
        <w:rPr>
          <w:rFonts w:ascii="Sylfaen" w:hAnsi="Sylfaen" w:cs="LitNusx"/>
          <w:lang w:val="ka-GE"/>
        </w:rPr>
        <w:t xml:space="preserve"> </w:t>
      </w:r>
      <w:r w:rsidRPr="00A2588D">
        <w:rPr>
          <w:rFonts w:ascii="Sylfaen" w:hAnsi="Sylfaen" w:cs="Sylfaen"/>
          <w:lang w:val="ka-GE"/>
        </w:rPr>
        <w:t>ბექთქონდარა</w:t>
      </w:r>
      <w:r w:rsidRPr="00A2588D">
        <w:rPr>
          <w:rFonts w:ascii="Sylfaen" w:hAnsi="Sylfaen" w:cs="LitNusx"/>
          <w:lang w:val="ka-GE"/>
        </w:rPr>
        <w:t xml:space="preserve"> </w:t>
      </w:r>
      <w:r w:rsidRPr="00A2588D">
        <w:rPr>
          <w:rFonts w:ascii="Sylfaen" w:hAnsi="Sylfaen" w:cs="LitNusx"/>
          <w:i/>
          <w:lang w:val="ka-GE"/>
        </w:rPr>
        <w:t>(Thymus tiflisciens)</w:t>
      </w:r>
      <w:r w:rsidRPr="00A2588D">
        <w:rPr>
          <w:rFonts w:ascii="Sylfaen" w:hAnsi="Sylfaen" w:cs="LitNusx"/>
          <w:lang w:val="ka-GE"/>
        </w:rPr>
        <w:t>.</w:t>
      </w:r>
    </w:p>
    <w:p w14:paraId="08959EA5" w14:textId="77777777" w:rsidR="00A2588D" w:rsidRPr="00A2588D" w:rsidRDefault="00A2588D" w:rsidP="00A2588D">
      <w:pPr>
        <w:autoSpaceDE w:val="0"/>
        <w:autoSpaceDN w:val="0"/>
        <w:adjustRightInd w:val="0"/>
        <w:rPr>
          <w:rFonts w:ascii="Sylfaen" w:hAnsi="Sylfaen" w:cs="LitNusx"/>
          <w:i/>
          <w:lang w:val="ka-GE"/>
        </w:rPr>
      </w:pPr>
      <w:r w:rsidRPr="00A2588D">
        <w:rPr>
          <w:rFonts w:ascii="Sylfaen" w:hAnsi="Sylfaen" w:cs="Sylfaen"/>
          <w:lang w:val="ka-GE"/>
        </w:rPr>
        <w:t>გარდა</w:t>
      </w:r>
      <w:r w:rsidRPr="00A2588D">
        <w:rPr>
          <w:rFonts w:ascii="Sylfaen" w:hAnsi="Sylfaen" w:cs="LitNusx"/>
          <w:lang w:val="ka-GE"/>
        </w:rPr>
        <w:t xml:space="preserve"> </w:t>
      </w:r>
      <w:r w:rsidRPr="00A2588D">
        <w:rPr>
          <w:rFonts w:ascii="Sylfaen" w:hAnsi="Sylfaen" w:cs="Sylfaen"/>
          <w:lang w:val="ka-GE"/>
        </w:rPr>
        <w:t>ამ</w:t>
      </w:r>
      <w:r w:rsidRPr="00A2588D">
        <w:rPr>
          <w:rFonts w:ascii="Sylfaen" w:hAnsi="Sylfaen" w:cs="LitNusx"/>
          <w:lang w:val="ka-GE"/>
        </w:rPr>
        <w:t xml:space="preserve"> </w:t>
      </w:r>
      <w:r w:rsidRPr="00A2588D">
        <w:rPr>
          <w:rFonts w:ascii="Sylfaen" w:hAnsi="Sylfaen" w:cs="Sylfaen"/>
          <w:lang w:val="ka-GE"/>
        </w:rPr>
        <w:t>მცენარეებისა</w:t>
      </w:r>
      <w:r w:rsidRPr="00A2588D">
        <w:rPr>
          <w:rFonts w:ascii="Sylfaen" w:hAnsi="Sylfaen" w:cs="LitNusx"/>
          <w:lang w:val="ka-GE"/>
        </w:rPr>
        <w:t xml:space="preserve"> </w:t>
      </w:r>
      <w:r w:rsidRPr="00A2588D">
        <w:rPr>
          <w:rFonts w:ascii="Sylfaen" w:hAnsi="Sylfaen" w:cs="Sylfaen"/>
          <w:lang w:val="ka-GE"/>
        </w:rPr>
        <w:t>აღინიშნა</w:t>
      </w:r>
      <w:r w:rsidRPr="00A2588D">
        <w:rPr>
          <w:rFonts w:ascii="Sylfaen" w:hAnsi="Sylfaen" w:cs="LitNusx"/>
          <w:lang w:val="ka-GE"/>
        </w:rPr>
        <w:t xml:space="preserve"> </w:t>
      </w:r>
      <w:r w:rsidRPr="00A2588D">
        <w:rPr>
          <w:rFonts w:ascii="Sylfaen" w:hAnsi="Sylfaen" w:cs="Sylfaen"/>
          <w:lang w:val="ka-GE"/>
        </w:rPr>
        <w:t>აგრეთვე</w:t>
      </w:r>
      <w:r w:rsidRPr="00A2588D">
        <w:rPr>
          <w:rFonts w:ascii="Sylfaen" w:hAnsi="Sylfaen" w:cs="LitNusx"/>
          <w:lang w:val="ka-GE"/>
        </w:rPr>
        <w:t xml:space="preserve"> </w:t>
      </w:r>
      <w:r w:rsidRPr="00A2588D">
        <w:rPr>
          <w:rFonts w:ascii="Sylfaen" w:hAnsi="Sylfaen" w:cs="Sylfaen"/>
          <w:lang w:val="ka-GE"/>
        </w:rPr>
        <w:t>მდელოს</w:t>
      </w:r>
      <w:r w:rsidRPr="00A2588D">
        <w:rPr>
          <w:rFonts w:ascii="Sylfaen" w:hAnsi="Sylfaen" w:cs="LitNusx"/>
          <w:lang w:val="ka-GE"/>
        </w:rPr>
        <w:t xml:space="preserve"> </w:t>
      </w:r>
      <w:r w:rsidRPr="00A2588D">
        <w:rPr>
          <w:rFonts w:ascii="Sylfaen" w:hAnsi="Sylfaen" w:cs="Sylfaen"/>
          <w:lang w:val="ka-GE"/>
        </w:rPr>
        <w:t>და</w:t>
      </w:r>
      <w:r w:rsidRPr="00A2588D">
        <w:rPr>
          <w:rFonts w:ascii="Sylfaen" w:hAnsi="Sylfaen" w:cs="LitNusx"/>
          <w:lang w:val="ka-GE"/>
        </w:rPr>
        <w:t xml:space="preserve"> </w:t>
      </w:r>
      <w:r w:rsidRPr="00A2588D">
        <w:rPr>
          <w:rFonts w:ascii="Sylfaen" w:hAnsi="Sylfaen" w:cs="Sylfaen"/>
          <w:lang w:val="ka-GE"/>
        </w:rPr>
        <w:t>რუდერალური</w:t>
      </w:r>
      <w:r w:rsidRPr="00A2588D">
        <w:rPr>
          <w:rFonts w:ascii="Sylfaen" w:hAnsi="Sylfaen" w:cs="LitNusx"/>
          <w:lang w:val="ka-GE"/>
        </w:rPr>
        <w:t xml:space="preserve"> </w:t>
      </w:r>
      <w:r w:rsidRPr="00A2588D">
        <w:rPr>
          <w:rFonts w:ascii="Sylfaen" w:hAnsi="Sylfaen" w:cs="Sylfaen"/>
          <w:lang w:val="ka-GE"/>
        </w:rPr>
        <w:t>ფლორის</w:t>
      </w:r>
      <w:r w:rsidRPr="00A2588D">
        <w:rPr>
          <w:rFonts w:ascii="Sylfaen" w:hAnsi="Sylfaen" w:cs="LitNusx"/>
          <w:lang w:val="ka-GE"/>
        </w:rPr>
        <w:t xml:space="preserve"> </w:t>
      </w:r>
      <w:r w:rsidRPr="00A2588D">
        <w:rPr>
          <w:rFonts w:ascii="Sylfaen" w:hAnsi="Sylfaen" w:cs="Sylfaen"/>
          <w:lang w:val="ka-GE"/>
        </w:rPr>
        <w:t>ელემენტები</w:t>
      </w:r>
      <w:r w:rsidRPr="00A2588D">
        <w:rPr>
          <w:rFonts w:ascii="Sylfaen" w:hAnsi="Sylfaen" w:cs="LitNusx"/>
          <w:lang w:val="ka-GE"/>
        </w:rPr>
        <w:t xml:space="preserve"> </w:t>
      </w:r>
      <w:r w:rsidRPr="00A2588D">
        <w:rPr>
          <w:rFonts w:ascii="Sylfaen" w:hAnsi="Sylfaen" w:cs="Sylfaen"/>
          <w:lang w:val="ka-GE"/>
        </w:rPr>
        <w:t>ცხვირის</w:t>
      </w:r>
      <w:r w:rsidRPr="00A2588D">
        <w:rPr>
          <w:rFonts w:ascii="Sylfaen" w:hAnsi="Sylfaen" w:cs="LitNusx"/>
          <w:lang w:val="ka-GE"/>
        </w:rPr>
        <w:t xml:space="preserve"> </w:t>
      </w:r>
      <w:r w:rsidRPr="00A2588D">
        <w:rPr>
          <w:rFonts w:ascii="Sylfaen" w:hAnsi="Sylfaen" w:cs="Sylfaen"/>
          <w:lang w:val="ka-GE"/>
        </w:rPr>
        <w:t>სატეხელა</w:t>
      </w:r>
      <w:r w:rsidRPr="00A2588D">
        <w:rPr>
          <w:rFonts w:ascii="Sylfaen" w:hAnsi="Sylfaen" w:cs="LitNusx"/>
          <w:lang w:val="ka-GE"/>
        </w:rPr>
        <w:t xml:space="preserve"> </w:t>
      </w:r>
      <w:r w:rsidRPr="00A2588D">
        <w:rPr>
          <w:rFonts w:ascii="Sylfaen" w:hAnsi="Sylfaen" w:cs="LitNusx"/>
          <w:i/>
          <w:lang w:val="ka-GE"/>
        </w:rPr>
        <w:t>(Adonis aestivalis)</w:t>
      </w:r>
      <w:r w:rsidRPr="00A2588D">
        <w:rPr>
          <w:rFonts w:ascii="Sylfaen" w:hAnsi="Sylfaen" w:cs="LitNusx"/>
          <w:lang w:val="ka-GE"/>
        </w:rPr>
        <w:t xml:space="preserve">; </w:t>
      </w:r>
      <w:r w:rsidRPr="00A2588D">
        <w:rPr>
          <w:rFonts w:ascii="Sylfaen" w:hAnsi="Sylfaen" w:cs="Sylfaen"/>
          <w:lang w:val="ka-GE"/>
        </w:rPr>
        <w:t>რძიანა</w:t>
      </w:r>
      <w:r w:rsidRPr="00A2588D">
        <w:rPr>
          <w:rFonts w:ascii="Sylfaen" w:hAnsi="Sylfaen" w:cs="LitNusx"/>
          <w:lang w:val="ka-GE"/>
        </w:rPr>
        <w:t xml:space="preserve"> </w:t>
      </w:r>
      <w:r w:rsidRPr="00A2588D">
        <w:rPr>
          <w:rFonts w:ascii="Sylfaen" w:hAnsi="Sylfaen" w:cs="LitNusx"/>
          <w:i/>
          <w:lang w:val="ka-GE"/>
        </w:rPr>
        <w:t>(Euphorbia stricta)</w:t>
      </w:r>
      <w:r w:rsidRPr="00A2588D">
        <w:rPr>
          <w:rFonts w:ascii="Sylfaen" w:hAnsi="Sylfaen" w:cs="LitNusx"/>
          <w:lang w:val="ka-GE"/>
        </w:rPr>
        <w:t xml:space="preserve">; </w:t>
      </w:r>
      <w:r w:rsidRPr="00A2588D">
        <w:rPr>
          <w:rFonts w:ascii="Sylfaen" w:hAnsi="Sylfaen" w:cs="Sylfaen"/>
          <w:lang w:val="ka-GE"/>
        </w:rPr>
        <w:t>ყანის</w:t>
      </w:r>
      <w:r w:rsidRPr="00A2588D">
        <w:rPr>
          <w:rFonts w:ascii="Sylfaen" w:hAnsi="Sylfaen" w:cs="LitNusx"/>
          <w:lang w:val="ka-GE"/>
        </w:rPr>
        <w:t xml:space="preserve"> </w:t>
      </w:r>
      <w:r w:rsidRPr="00A2588D">
        <w:rPr>
          <w:rFonts w:ascii="Sylfaen" w:hAnsi="Sylfaen" w:cs="Sylfaen"/>
          <w:lang w:val="ka-GE"/>
        </w:rPr>
        <w:t>რეზედა</w:t>
      </w:r>
      <w:r w:rsidRPr="00A2588D">
        <w:rPr>
          <w:rFonts w:ascii="Sylfaen" w:hAnsi="Sylfaen" w:cs="LitNusx"/>
          <w:lang w:val="ka-GE"/>
        </w:rPr>
        <w:t xml:space="preserve"> </w:t>
      </w:r>
      <w:r w:rsidRPr="00A2588D">
        <w:rPr>
          <w:rFonts w:ascii="Sylfaen" w:hAnsi="Sylfaen" w:cs="LitNusx"/>
          <w:i/>
          <w:lang w:val="ka-GE"/>
        </w:rPr>
        <w:t>(Reseda lutea)</w:t>
      </w:r>
      <w:r w:rsidRPr="00A2588D">
        <w:rPr>
          <w:rFonts w:ascii="Sylfaen" w:hAnsi="Sylfaen" w:cs="LitNusx"/>
          <w:lang w:val="ka-GE"/>
        </w:rPr>
        <w:t xml:space="preserve">; </w:t>
      </w:r>
      <w:r w:rsidRPr="00A2588D">
        <w:rPr>
          <w:rFonts w:ascii="Sylfaen" w:hAnsi="Sylfaen" w:cs="Sylfaen"/>
          <w:lang w:val="ka-GE"/>
        </w:rPr>
        <w:t>იონჯა</w:t>
      </w:r>
      <w:r w:rsidRPr="00A2588D">
        <w:rPr>
          <w:rFonts w:ascii="Sylfaen" w:hAnsi="Sylfaen" w:cs="LitNusx"/>
          <w:lang w:val="ka-GE"/>
        </w:rPr>
        <w:t xml:space="preserve"> </w:t>
      </w:r>
      <w:r w:rsidRPr="00A2588D">
        <w:rPr>
          <w:rFonts w:ascii="Sylfaen" w:hAnsi="Sylfaen" w:cs="LitNusx"/>
          <w:i/>
          <w:lang w:val="ka-GE"/>
        </w:rPr>
        <w:t>(Medicago sativa);</w:t>
      </w:r>
      <w:r w:rsidRPr="00A2588D">
        <w:rPr>
          <w:rFonts w:ascii="Sylfaen" w:hAnsi="Sylfaen" w:cs="LitNusx"/>
          <w:lang w:val="ka-GE"/>
        </w:rPr>
        <w:t xml:space="preserve"> </w:t>
      </w:r>
      <w:r w:rsidRPr="00A2588D">
        <w:rPr>
          <w:rFonts w:ascii="Sylfaen" w:hAnsi="Sylfaen" w:cs="Sylfaen"/>
          <w:lang w:val="ka-GE"/>
        </w:rPr>
        <w:t>ყვითელი</w:t>
      </w:r>
      <w:r w:rsidRPr="00A2588D">
        <w:rPr>
          <w:rFonts w:ascii="Sylfaen" w:hAnsi="Sylfaen" w:cs="LitNusx"/>
          <w:lang w:val="ka-GE"/>
        </w:rPr>
        <w:t xml:space="preserve"> </w:t>
      </w:r>
      <w:r w:rsidRPr="00A2588D">
        <w:rPr>
          <w:rFonts w:ascii="Sylfaen" w:hAnsi="Sylfaen" w:cs="Sylfaen"/>
          <w:lang w:val="ka-GE"/>
        </w:rPr>
        <w:t>ძიძო</w:t>
      </w:r>
      <w:r w:rsidRPr="00A2588D">
        <w:rPr>
          <w:rFonts w:ascii="Sylfaen" w:hAnsi="Sylfaen" w:cs="LitNusx"/>
          <w:lang w:val="ka-GE"/>
        </w:rPr>
        <w:t xml:space="preserve"> </w:t>
      </w:r>
      <w:r w:rsidRPr="00A2588D">
        <w:rPr>
          <w:rFonts w:ascii="Sylfaen" w:hAnsi="Sylfaen" w:cs="LitNusx"/>
          <w:i/>
          <w:lang w:val="ka-GE"/>
        </w:rPr>
        <w:t xml:space="preserve">(Melulotus officinalis) </w:t>
      </w:r>
      <w:r w:rsidRPr="00A2588D">
        <w:rPr>
          <w:rFonts w:ascii="Sylfaen" w:hAnsi="Sylfaen" w:cs="Sylfaen"/>
          <w:lang w:val="ka-GE"/>
        </w:rPr>
        <w:t>არჯაკელი</w:t>
      </w:r>
      <w:r w:rsidRPr="00A2588D">
        <w:rPr>
          <w:rFonts w:ascii="Sylfaen" w:hAnsi="Sylfaen" w:cs="LitNusx"/>
          <w:lang w:val="ka-GE"/>
        </w:rPr>
        <w:t xml:space="preserve"> </w:t>
      </w:r>
      <w:r w:rsidRPr="00A2588D">
        <w:rPr>
          <w:rFonts w:ascii="Sylfaen" w:hAnsi="Sylfaen" w:cs="LitNusx"/>
          <w:i/>
          <w:lang w:val="ka-GE"/>
        </w:rPr>
        <w:t>(Lathyrus sphaerius)</w:t>
      </w:r>
      <w:r w:rsidRPr="00A2588D">
        <w:rPr>
          <w:rFonts w:ascii="Sylfaen" w:hAnsi="Sylfaen" w:cs="LitNusx"/>
          <w:lang w:val="ka-GE"/>
        </w:rPr>
        <w:t xml:space="preserve"> </w:t>
      </w:r>
      <w:r w:rsidRPr="00A2588D">
        <w:rPr>
          <w:rFonts w:ascii="Sylfaen" w:hAnsi="Sylfaen" w:cs="Sylfaen"/>
          <w:lang w:val="ka-GE"/>
        </w:rPr>
        <w:t xml:space="preserve">ბუჩქისძირა </w:t>
      </w:r>
      <w:r w:rsidRPr="00A2588D">
        <w:rPr>
          <w:rFonts w:ascii="Sylfaen" w:hAnsi="Sylfaen" w:cs="LitNusx"/>
          <w:i/>
          <w:lang w:val="ka-GE"/>
        </w:rPr>
        <w:t>(Anagallis arvensis)</w:t>
      </w:r>
      <w:r w:rsidRPr="00A2588D">
        <w:rPr>
          <w:rFonts w:ascii="Sylfaen" w:hAnsi="Sylfaen" w:cs="LitNusx"/>
          <w:lang w:val="ka-GE"/>
        </w:rPr>
        <w:t xml:space="preserve">; </w:t>
      </w:r>
      <w:r w:rsidRPr="00A2588D">
        <w:rPr>
          <w:rFonts w:ascii="Sylfaen" w:hAnsi="Sylfaen" w:cs="Sylfaen"/>
          <w:lang w:val="ka-GE"/>
        </w:rPr>
        <w:t>ქვათესლა</w:t>
      </w:r>
      <w:r w:rsidRPr="00A2588D">
        <w:rPr>
          <w:rFonts w:ascii="Sylfaen" w:hAnsi="Sylfaen" w:cs="LitNusx"/>
          <w:lang w:val="ka-GE"/>
        </w:rPr>
        <w:t xml:space="preserve"> </w:t>
      </w:r>
      <w:r w:rsidRPr="00A2588D">
        <w:rPr>
          <w:rFonts w:ascii="Sylfaen" w:hAnsi="Sylfaen" w:cs="LitNusx"/>
          <w:i/>
          <w:lang w:val="ka-GE"/>
        </w:rPr>
        <w:t>(Lithospermum arvense)</w:t>
      </w:r>
      <w:r w:rsidRPr="00A2588D">
        <w:rPr>
          <w:rFonts w:ascii="Sylfaen" w:hAnsi="Sylfaen" w:cs="LitNusx"/>
          <w:lang w:val="ka-GE"/>
        </w:rPr>
        <w:t xml:space="preserve">; </w:t>
      </w:r>
      <w:r w:rsidRPr="00A2588D">
        <w:rPr>
          <w:rFonts w:ascii="Sylfaen" w:hAnsi="Sylfaen" w:cs="Sylfaen"/>
          <w:lang w:val="ka-GE"/>
        </w:rPr>
        <w:t>ხვართქლა</w:t>
      </w:r>
      <w:r w:rsidRPr="00A2588D">
        <w:rPr>
          <w:rFonts w:ascii="Sylfaen" w:hAnsi="Sylfaen" w:cs="LitNusx"/>
          <w:lang w:val="ka-GE"/>
        </w:rPr>
        <w:t xml:space="preserve"> </w:t>
      </w:r>
      <w:r w:rsidRPr="00A2588D">
        <w:rPr>
          <w:rFonts w:ascii="Sylfaen" w:hAnsi="Sylfaen" w:cs="LitNusx"/>
          <w:i/>
          <w:lang w:val="ka-GE"/>
        </w:rPr>
        <w:t>(Convolus cantabrica)</w:t>
      </w:r>
      <w:r w:rsidRPr="00A2588D">
        <w:rPr>
          <w:rFonts w:ascii="Sylfaen" w:hAnsi="Sylfaen" w:cs="LitNusx"/>
          <w:lang w:val="ka-GE"/>
        </w:rPr>
        <w:t xml:space="preserve">; </w:t>
      </w:r>
      <w:r w:rsidRPr="00A2588D">
        <w:rPr>
          <w:rFonts w:ascii="Sylfaen" w:hAnsi="Sylfaen" w:cs="Sylfaen"/>
          <w:lang w:val="ka-GE"/>
        </w:rPr>
        <w:t>ქერიფქლა</w:t>
      </w:r>
      <w:r w:rsidRPr="00A2588D">
        <w:rPr>
          <w:rFonts w:ascii="Sylfaen" w:hAnsi="Sylfaen" w:cs="LitNusx"/>
          <w:lang w:val="ka-GE"/>
        </w:rPr>
        <w:t xml:space="preserve"> </w:t>
      </w:r>
      <w:r w:rsidRPr="00A2588D">
        <w:rPr>
          <w:rFonts w:ascii="Sylfaen" w:hAnsi="Sylfaen" w:cs="LitNusx"/>
          <w:i/>
          <w:lang w:val="ka-GE"/>
        </w:rPr>
        <w:t>(Verbascum phleoides)</w:t>
      </w:r>
      <w:r w:rsidRPr="00A2588D">
        <w:rPr>
          <w:rFonts w:ascii="Sylfaen" w:hAnsi="Sylfaen" w:cs="LitNusx"/>
          <w:lang w:val="ka-GE"/>
        </w:rPr>
        <w:t xml:space="preserve">; </w:t>
      </w:r>
      <w:r w:rsidRPr="00A2588D">
        <w:rPr>
          <w:rFonts w:ascii="Sylfaen" w:hAnsi="Sylfaen" w:cs="Sylfaen"/>
          <w:lang w:val="ka-GE"/>
        </w:rPr>
        <w:t>ოროვანდი</w:t>
      </w:r>
      <w:r w:rsidRPr="00A2588D">
        <w:rPr>
          <w:rFonts w:ascii="Sylfaen" w:hAnsi="Sylfaen" w:cs="LitNusx"/>
          <w:lang w:val="ka-GE"/>
        </w:rPr>
        <w:t xml:space="preserve"> (Archtium ssp.); </w:t>
      </w:r>
      <w:r w:rsidRPr="00A2588D">
        <w:rPr>
          <w:rFonts w:ascii="Sylfaen" w:hAnsi="Sylfaen" w:cs="Sylfaen"/>
          <w:lang w:val="ka-GE"/>
        </w:rPr>
        <w:t>მინდვრის</w:t>
      </w:r>
      <w:r w:rsidRPr="00A2588D">
        <w:rPr>
          <w:rFonts w:ascii="Sylfaen" w:hAnsi="Sylfaen" w:cs="LitNusx"/>
          <w:lang w:val="ka-GE"/>
        </w:rPr>
        <w:t xml:space="preserve"> </w:t>
      </w:r>
      <w:r w:rsidRPr="00A2588D">
        <w:rPr>
          <w:rFonts w:ascii="Sylfaen" w:hAnsi="Sylfaen" w:cs="Sylfaen"/>
          <w:lang w:val="ka-GE"/>
        </w:rPr>
        <w:t>ია</w:t>
      </w:r>
      <w:r w:rsidRPr="00A2588D">
        <w:rPr>
          <w:rFonts w:ascii="Sylfaen" w:hAnsi="Sylfaen" w:cs="LitNusx"/>
          <w:lang w:val="ka-GE"/>
        </w:rPr>
        <w:t xml:space="preserve"> </w:t>
      </w:r>
      <w:r w:rsidRPr="00A2588D">
        <w:rPr>
          <w:rFonts w:ascii="Sylfaen" w:hAnsi="Sylfaen" w:cs="LitNusx"/>
          <w:i/>
          <w:lang w:val="ka-GE"/>
        </w:rPr>
        <w:t>(Viola arvensis)</w:t>
      </w:r>
      <w:r w:rsidRPr="00A2588D">
        <w:rPr>
          <w:rFonts w:ascii="Sylfaen" w:hAnsi="Sylfaen" w:cs="LitNusx"/>
          <w:lang w:val="ka-GE"/>
        </w:rPr>
        <w:t xml:space="preserve">; </w:t>
      </w:r>
      <w:r w:rsidRPr="00A2588D">
        <w:rPr>
          <w:rFonts w:ascii="Sylfaen" w:hAnsi="Sylfaen" w:cs="Sylfaen"/>
          <w:lang w:val="ka-GE"/>
        </w:rPr>
        <w:t>ჯადვარი</w:t>
      </w:r>
      <w:r w:rsidRPr="00A2588D">
        <w:rPr>
          <w:rFonts w:ascii="Sylfaen" w:hAnsi="Sylfaen" w:cs="LitNusx"/>
          <w:lang w:val="ka-GE"/>
        </w:rPr>
        <w:t xml:space="preserve"> </w:t>
      </w:r>
      <w:r w:rsidRPr="00A2588D">
        <w:rPr>
          <w:rFonts w:ascii="Sylfaen" w:hAnsi="Sylfaen" w:cs="LitNusx"/>
          <w:i/>
          <w:lang w:val="ka-GE"/>
        </w:rPr>
        <w:t>(O</w:t>
      </w:r>
      <w:r w:rsidRPr="00A2588D">
        <w:rPr>
          <w:rFonts w:ascii="Sylfaen" w:hAnsi="Sylfaen" w:cs="Sylfaen"/>
          <w:i/>
          <w:lang w:val="ka-GE"/>
        </w:rPr>
        <w:t>rchis morio</w:t>
      </w:r>
      <w:r w:rsidRPr="00A2588D">
        <w:rPr>
          <w:rFonts w:ascii="Sylfaen" w:hAnsi="Sylfaen" w:cs="LitNusx"/>
          <w:i/>
          <w:lang w:val="ka-GE"/>
        </w:rPr>
        <w:t>)</w:t>
      </w:r>
      <w:r w:rsidRPr="00A2588D">
        <w:rPr>
          <w:rFonts w:ascii="Sylfaen" w:hAnsi="Sylfaen" w:cs="LitNusx"/>
          <w:lang w:val="ka-GE"/>
        </w:rPr>
        <w:t xml:space="preserve">; </w:t>
      </w:r>
      <w:r w:rsidRPr="00A2588D">
        <w:rPr>
          <w:rFonts w:ascii="Sylfaen" w:hAnsi="Sylfaen" w:cs="Sylfaen"/>
          <w:lang w:val="ka-GE"/>
        </w:rPr>
        <w:t>ბაია</w:t>
      </w:r>
      <w:r w:rsidRPr="00A2588D">
        <w:rPr>
          <w:rFonts w:ascii="Sylfaen" w:hAnsi="Sylfaen" w:cs="LitNusx"/>
          <w:lang w:val="ka-GE"/>
        </w:rPr>
        <w:t xml:space="preserve"> </w:t>
      </w:r>
      <w:r w:rsidRPr="00A2588D">
        <w:rPr>
          <w:rFonts w:ascii="Sylfaen" w:hAnsi="Sylfaen" w:cs="LitNusx"/>
          <w:i/>
          <w:lang w:val="ka-GE"/>
        </w:rPr>
        <w:lastRenderedPageBreak/>
        <w:t>(Ranunculus reperns)</w:t>
      </w:r>
      <w:r w:rsidRPr="00A2588D">
        <w:rPr>
          <w:rFonts w:ascii="Sylfaen" w:hAnsi="Sylfaen" w:cs="LitNusx"/>
          <w:lang w:val="ka-GE"/>
        </w:rPr>
        <w:t xml:space="preserve"> </w:t>
      </w:r>
      <w:r w:rsidRPr="00A2588D">
        <w:rPr>
          <w:rFonts w:ascii="Sylfaen" w:hAnsi="Sylfaen" w:cs="Sylfaen"/>
          <w:lang w:val="ka-GE"/>
        </w:rPr>
        <w:t>ყანის</w:t>
      </w:r>
      <w:r w:rsidRPr="00A2588D">
        <w:rPr>
          <w:rFonts w:ascii="Sylfaen" w:hAnsi="Sylfaen" w:cs="LitNusx"/>
          <w:lang w:val="ka-GE"/>
        </w:rPr>
        <w:t xml:space="preserve"> </w:t>
      </w:r>
      <w:r w:rsidRPr="00A2588D">
        <w:rPr>
          <w:rFonts w:ascii="Sylfaen" w:hAnsi="Sylfaen" w:cs="Sylfaen"/>
          <w:lang w:val="ka-GE"/>
        </w:rPr>
        <w:t>სანთელა</w:t>
      </w:r>
      <w:r w:rsidRPr="00A2588D">
        <w:rPr>
          <w:rFonts w:ascii="Sylfaen" w:hAnsi="Sylfaen" w:cs="LitNusx"/>
          <w:lang w:val="ka-GE"/>
        </w:rPr>
        <w:t xml:space="preserve"> (</w:t>
      </w:r>
      <w:r w:rsidRPr="00A2588D">
        <w:rPr>
          <w:rFonts w:ascii="Sylfaen" w:hAnsi="Sylfaen" w:cs="LitNusx"/>
          <w:i/>
          <w:lang w:val="ka-GE"/>
        </w:rPr>
        <w:t>Melampyrum arvense</w:t>
      </w:r>
      <w:r w:rsidRPr="00A2588D">
        <w:rPr>
          <w:rFonts w:ascii="Sylfaen" w:hAnsi="Sylfaen" w:cs="LitNusx"/>
          <w:lang w:val="ka-GE"/>
        </w:rPr>
        <w:t xml:space="preserve">); </w:t>
      </w:r>
      <w:r w:rsidRPr="00A2588D">
        <w:rPr>
          <w:rFonts w:ascii="Sylfaen" w:hAnsi="Sylfaen" w:cs="Sylfaen"/>
          <w:lang w:val="ka-GE"/>
        </w:rPr>
        <w:t>პირწმინდა</w:t>
      </w:r>
      <w:r w:rsidRPr="00A2588D">
        <w:rPr>
          <w:rFonts w:ascii="Sylfaen" w:hAnsi="Sylfaen" w:cs="LitNusx"/>
          <w:lang w:val="ka-GE"/>
        </w:rPr>
        <w:t xml:space="preserve"> </w:t>
      </w:r>
      <w:r w:rsidRPr="00A2588D">
        <w:rPr>
          <w:rFonts w:ascii="Sylfaen" w:hAnsi="Sylfaen" w:cs="LitNusx"/>
          <w:i/>
          <w:lang w:val="ka-GE"/>
        </w:rPr>
        <w:t xml:space="preserve">(Ajuga chia), </w:t>
      </w:r>
      <w:r w:rsidRPr="00A2588D">
        <w:rPr>
          <w:rFonts w:ascii="Sylfaen" w:hAnsi="Sylfaen" w:cs="LitNusx"/>
          <w:lang w:val="ka-GE"/>
        </w:rPr>
        <w:t xml:space="preserve"> </w:t>
      </w:r>
      <w:r w:rsidRPr="00A2588D">
        <w:rPr>
          <w:rFonts w:ascii="Sylfaen" w:hAnsi="Sylfaen" w:cs="Sylfaen"/>
          <w:lang w:val="ka-GE"/>
        </w:rPr>
        <w:t>საძოვრები დეგრადირებულია</w:t>
      </w:r>
      <w:r w:rsidRPr="00A2588D">
        <w:rPr>
          <w:rFonts w:ascii="Sylfaen" w:hAnsi="Sylfaen" w:cs="LitNusx"/>
          <w:lang w:val="ka-GE"/>
        </w:rPr>
        <w:t xml:space="preserve"> </w:t>
      </w:r>
      <w:r w:rsidRPr="00A2588D">
        <w:rPr>
          <w:rFonts w:ascii="Sylfaen" w:hAnsi="Sylfaen" w:cs="Sylfaen"/>
          <w:lang w:val="ka-GE"/>
        </w:rPr>
        <w:t>და</w:t>
      </w:r>
      <w:r w:rsidRPr="00A2588D">
        <w:rPr>
          <w:rFonts w:ascii="Sylfaen" w:hAnsi="Sylfaen" w:cs="LitNusx"/>
          <w:lang w:val="ka-GE"/>
        </w:rPr>
        <w:t xml:space="preserve"> </w:t>
      </w:r>
      <w:r w:rsidRPr="00A2588D">
        <w:rPr>
          <w:rFonts w:ascii="Sylfaen" w:hAnsi="Sylfaen" w:cs="Sylfaen"/>
          <w:lang w:val="ka-GE"/>
        </w:rPr>
        <w:t>დასარევლიანებულია.</w:t>
      </w:r>
      <w:r w:rsidRPr="00A2588D">
        <w:rPr>
          <w:rFonts w:ascii="Sylfaen" w:hAnsi="Sylfaen" w:cs="LitNusx"/>
          <w:lang w:val="ka-GE"/>
        </w:rPr>
        <w:t xml:space="preserve"> </w:t>
      </w:r>
      <w:r w:rsidRPr="00A2588D">
        <w:rPr>
          <w:rFonts w:ascii="Sylfaen" w:hAnsi="Sylfaen" w:cs="Sylfaen"/>
          <w:lang w:val="ka-GE"/>
        </w:rPr>
        <w:t>საძოვრების</w:t>
      </w:r>
      <w:r w:rsidRPr="00A2588D">
        <w:rPr>
          <w:rFonts w:ascii="Sylfaen" w:hAnsi="Sylfaen" w:cs="LitNusx"/>
          <w:lang w:val="ka-GE"/>
        </w:rPr>
        <w:t xml:space="preserve"> </w:t>
      </w:r>
      <w:r w:rsidRPr="00A2588D">
        <w:rPr>
          <w:rFonts w:ascii="Sylfaen" w:hAnsi="Sylfaen" w:cs="Sylfaen"/>
          <w:lang w:val="ka-GE"/>
        </w:rPr>
        <w:t>დიდ</w:t>
      </w:r>
      <w:r w:rsidRPr="00A2588D">
        <w:rPr>
          <w:rFonts w:ascii="Sylfaen" w:hAnsi="Sylfaen" w:cs="LitNusx"/>
          <w:lang w:val="ka-GE"/>
        </w:rPr>
        <w:t xml:space="preserve"> </w:t>
      </w:r>
      <w:r w:rsidRPr="00A2588D">
        <w:rPr>
          <w:rFonts w:ascii="Sylfaen" w:hAnsi="Sylfaen" w:cs="Sylfaen"/>
          <w:lang w:val="ka-GE"/>
        </w:rPr>
        <w:t>ნაწილზე</w:t>
      </w:r>
      <w:r w:rsidRPr="00A2588D">
        <w:rPr>
          <w:rFonts w:ascii="Sylfaen" w:hAnsi="Sylfaen" w:cs="LitNusx"/>
          <w:lang w:val="ka-GE"/>
        </w:rPr>
        <w:t xml:space="preserve"> </w:t>
      </w:r>
      <w:r w:rsidRPr="00A2588D">
        <w:rPr>
          <w:rFonts w:ascii="Sylfaen" w:hAnsi="Sylfaen" w:cs="Sylfaen"/>
          <w:lang w:val="ka-GE"/>
        </w:rPr>
        <w:t>განვითარებულია</w:t>
      </w:r>
      <w:r w:rsidRPr="00A2588D">
        <w:rPr>
          <w:rFonts w:ascii="Sylfaen" w:hAnsi="Sylfaen" w:cs="LitNusx"/>
          <w:lang w:val="ka-GE"/>
        </w:rPr>
        <w:t xml:space="preserve"> </w:t>
      </w:r>
      <w:r w:rsidRPr="00A2588D">
        <w:rPr>
          <w:rFonts w:ascii="Sylfaen" w:hAnsi="Sylfaen" w:cs="Sylfaen"/>
          <w:lang w:val="ka-GE"/>
        </w:rPr>
        <w:t>ქვათესლა</w:t>
      </w:r>
      <w:r w:rsidRPr="00A2588D">
        <w:rPr>
          <w:rFonts w:ascii="Sylfaen" w:hAnsi="Sylfaen" w:cs="LitNusx"/>
          <w:lang w:val="ka-GE"/>
        </w:rPr>
        <w:t xml:space="preserve"> </w:t>
      </w:r>
      <w:r w:rsidRPr="00A2588D">
        <w:rPr>
          <w:rFonts w:ascii="Sylfaen" w:hAnsi="Sylfaen" w:cs="LitNusx"/>
          <w:i/>
          <w:lang w:val="ka-GE"/>
        </w:rPr>
        <w:t>(Lithospermium arvense)</w:t>
      </w:r>
      <w:r w:rsidRPr="00A2588D">
        <w:rPr>
          <w:rFonts w:ascii="Sylfaen" w:hAnsi="Sylfaen" w:cs="LitNusx"/>
          <w:lang w:val="ka-GE"/>
        </w:rPr>
        <w:t xml:space="preserve"> </w:t>
      </w:r>
      <w:r w:rsidRPr="00A2588D">
        <w:rPr>
          <w:rFonts w:ascii="Sylfaen" w:hAnsi="Sylfaen" w:cs="Sylfaen"/>
          <w:lang w:val="ka-GE"/>
        </w:rPr>
        <w:t>ალაგ</w:t>
      </w:r>
      <w:r w:rsidRPr="00A2588D">
        <w:rPr>
          <w:rFonts w:ascii="Sylfaen" w:hAnsi="Sylfaen" w:cs="LitNusx"/>
          <w:lang w:val="ka-GE"/>
        </w:rPr>
        <w:t xml:space="preserve"> </w:t>
      </w:r>
      <w:r w:rsidRPr="00A2588D">
        <w:rPr>
          <w:rFonts w:ascii="Sylfaen" w:hAnsi="Sylfaen" w:cs="Sylfaen"/>
          <w:lang w:val="ka-GE"/>
        </w:rPr>
        <w:t>ალაგ</w:t>
      </w:r>
      <w:r w:rsidRPr="00A2588D">
        <w:rPr>
          <w:rFonts w:ascii="Sylfaen" w:hAnsi="Sylfaen" w:cs="LitNusx"/>
          <w:lang w:val="ka-GE"/>
        </w:rPr>
        <w:t xml:space="preserve"> </w:t>
      </w:r>
      <w:r w:rsidRPr="00A2588D">
        <w:rPr>
          <w:rFonts w:ascii="Sylfaen" w:hAnsi="Sylfaen" w:cs="Sylfaen"/>
          <w:lang w:val="ka-GE"/>
        </w:rPr>
        <w:t>ავშანი</w:t>
      </w:r>
      <w:r w:rsidRPr="00A2588D">
        <w:rPr>
          <w:rFonts w:ascii="Sylfaen" w:hAnsi="Sylfaen" w:cs="LitNusx"/>
          <w:lang w:val="ka-GE"/>
        </w:rPr>
        <w:t xml:space="preserve"> </w:t>
      </w:r>
      <w:r w:rsidRPr="00A2588D">
        <w:rPr>
          <w:rFonts w:ascii="Sylfaen" w:hAnsi="Sylfaen" w:cs="LitNusx"/>
          <w:i/>
          <w:lang w:val="ka-GE"/>
        </w:rPr>
        <w:t>(Artemisia ssp.)</w:t>
      </w:r>
      <w:r w:rsidRPr="00A2588D">
        <w:rPr>
          <w:rFonts w:ascii="Sylfaen" w:hAnsi="Sylfaen" w:cs="LitNusx"/>
          <w:lang w:val="ka-GE"/>
        </w:rPr>
        <w:t xml:space="preserve"> </w:t>
      </w:r>
      <w:r w:rsidRPr="00A2588D">
        <w:rPr>
          <w:rFonts w:ascii="Sylfaen" w:hAnsi="Sylfaen" w:cs="Sylfaen"/>
          <w:lang w:val="ka-GE"/>
        </w:rPr>
        <w:t>გარდა</w:t>
      </w:r>
      <w:r w:rsidRPr="00A2588D">
        <w:rPr>
          <w:rFonts w:ascii="Sylfaen" w:hAnsi="Sylfaen" w:cs="LitNusx"/>
          <w:lang w:val="ka-GE"/>
        </w:rPr>
        <w:t xml:space="preserve"> </w:t>
      </w:r>
      <w:r w:rsidRPr="00A2588D">
        <w:rPr>
          <w:rFonts w:ascii="Sylfaen" w:hAnsi="Sylfaen" w:cs="Sylfaen"/>
          <w:lang w:val="ka-GE"/>
        </w:rPr>
        <w:t>ამ</w:t>
      </w:r>
      <w:r w:rsidRPr="00A2588D">
        <w:rPr>
          <w:rFonts w:ascii="Sylfaen" w:hAnsi="Sylfaen" w:cs="LitNusx"/>
          <w:lang w:val="ka-GE"/>
        </w:rPr>
        <w:t xml:space="preserve"> </w:t>
      </w:r>
      <w:r w:rsidRPr="00A2588D">
        <w:rPr>
          <w:rFonts w:ascii="Sylfaen" w:hAnsi="Sylfaen" w:cs="Sylfaen"/>
          <w:lang w:val="ka-GE"/>
        </w:rPr>
        <w:t>სახეობებისა</w:t>
      </w:r>
      <w:r w:rsidRPr="00A2588D">
        <w:rPr>
          <w:rFonts w:ascii="Sylfaen" w:hAnsi="Sylfaen" w:cs="LitNusx"/>
          <w:lang w:val="ka-GE"/>
        </w:rPr>
        <w:t xml:space="preserve"> </w:t>
      </w:r>
      <w:r w:rsidRPr="00A2588D">
        <w:rPr>
          <w:rFonts w:ascii="Sylfaen" w:hAnsi="Sylfaen" w:cs="Sylfaen"/>
          <w:lang w:val="ka-GE"/>
        </w:rPr>
        <w:t>საძოვრებზე</w:t>
      </w:r>
      <w:r w:rsidRPr="00A2588D">
        <w:rPr>
          <w:rFonts w:ascii="Sylfaen" w:hAnsi="Sylfaen" w:cs="LitNusx"/>
          <w:lang w:val="ka-GE"/>
        </w:rPr>
        <w:t xml:space="preserve"> </w:t>
      </w:r>
      <w:r w:rsidRPr="00A2588D">
        <w:rPr>
          <w:rFonts w:ascii="Sylfaen" w:hAnsi="Sylfaen" w:cs="Sylfaen"/>
          <w:lang w:val="ka-GE"/>
        </w:rPr>
        <w:t>აღინიშნა</w:t>
      </w:r>
      <w:r w:rsidRPr="00A2588D">
        <w:rPr>
          <w:rFonts w:ascii="Sylfaen" w:hAnsi="Sylfaen" w:cs="LitNusx"/>
          <w:lang w:val="ka-GE"/>
        </w:rPr>
        <w:t xml:space="preserve"> </w:t>
      </w:r>
      <w:r w:rsidRPr="00A2588D">
        <w:rPr>
          <w:rFonts w:ascii="Sylfaen" w:hAnsi="Sylfaen" w:cs="Sylfaen"/>
          <w:lang w:val="ka-GE"/>
        </w:rPr>
        <w:t>ქერიფქლა</w:t>
      </w:r>
      <w:r w:rsidRPr="00A2588D">
        <w:rPr>
          <w:rFonts w:ascii="Sylfaen" w:hAnsi="Sylfaen" w:cs="LitNusx"/>
          <w:lang w:val="ka-GE"/>
        </w:rPr>
        <w:t xml:space="preserve"> </w:t>
      </w:r>
      <w:r w:rsidRPr="00A2588D">
        <w:rPr>
          <w:rFonts w:ascii="Sylfaen" w:hAnsi="Sylfaen" w:cs="LitNusx"/>
          <w:i/>
          <w:lang w:val="ka-GE"/>
        </w:rPr>
        <w:t>(Verbascum phleoides)</w:t>
      </w:r>
      <w:r w:rsidRPr="00A2588D">
        <w:rPr>
          <w:rFonts w:ascii="Sylfaen" w:hAnsi="Sylfaen" w:cs="LitNusx"/>
          <w:lang w:val="ka-GE"/>
        </w:rPr>
        <w:t xml:space="preserve">; </w:t>
      </w:r>
      <w:r w:rsidRPr="00A2588D">
        <w:rPr>
          <w:rFonts w:ascii="Sylfaen" w:hAnsi="Sylfaen" w:cs="Sylfaen"/>
          <w:lang w:val="ka-GE"/>
        </w:rPr>
        <w:t>კურდღლისფრჩხილა</w:t>
      </w:r>
      <w:r w:rsidRPr="00A2588D">
        <w:rPr>
          <w:rFonts w:ascii="Sylfaen" w:hAnsi="Sylfaen" w:cs="LitNusx"/>
          <w:lang w:val="ka-GE"/>
        </w:rPr>
        <w:t xml:space="preserve"> </w:t>
      </w:r>
      <w:r w:rsidRPr="00A2588D">
        <w:rPr>
          <w:rFonts w:ascii="Sylfaen" w:hAnsi="Sylfaen" w:cs="LitNusx"/>
          <w:i/>
          <w:lang w:val="ka-GE"/>
        </w:rPr>
        <w:t>(Lotus caucasicus)</w:t>
      </w:r>
      <w:r w:rsidRPr="00A2588D">
        <w:rPr>
          <w:rFonts w:ascii="Sylfaen" w:hAnsi="Sylfaen" w:cs="LitNusx"/>
          <w:lang w:val="ka-GE"/>
        </w:rPr>
        <w:t xml:space="preserve"> </w:t>
      </w:r>
      <w:r w:rsidRPr="00A2588D">
        <w:rPr>
          <w:rFonts w:ascii="Sylfaen" w:hAnsi="Sylfaen" w:cs="Sylfaen"/>
          <w:lang w:val="ka-GE"/>
        </w:rPr>
        <w:t>და</w:t>
      </w:r>
      <w:r w:rsidRPr="00A2588D">
        <w:rPr>
          <w:rFonts w:ascii="Sylfaen" w:hAnsi="Sylfaen" w:cs="LitNusx"/>
          <w:lang w:val="ka-GE"/>
        </w:rPr>
        <w:t xml:space="preserve"> </w:t>
      </w:r>
      <w:r w:rsidRPr="00A2588D">
        <w:rPr>
          <w:rFonts w:ascii="Sylfaen" w:hAnsi="Sylfaen" w:cs="Sylfaen"/>
          <w:lang w:val="ka-GE"/>
        </w:rPr>
        <w:t>წივანა</w:t>
      </w:r>
      <w:r w:rsidRPr="00A2588D">
        <w:rPr>
          <w:rFonts w:ascii="Sylfaen" w:hAnsi="Sylfaen" w:cs="LitNusx"/>
          <w:lang w:val="ka-GE"/>
        </w:rPr>
        <w:t xml:space="preserve"> </w:t>
      </w:r>
      <w:r w:rsidRPr="00A2588D">
        <w:rPr>
          <w:rFonts w:ascii="Sylfaen" w:hAnsi="Sylfaen" w:cs="LitNusx"/>
          <w:i/>
          <w:lang w:val="ka-GE"/>
        </w:rPr>
        <w:t xml:space="preserve">(Festuca valensiaca), </w:t>
      </w:r>
      <w:r w:rsidRPr="00A2588D">
        <w:rPr>
          <w:rFonts w:ascii="Sylfaen" w:hAnsi="Sylfaen" w:cs="LitNusx"/>
          <w:lang w:val="ka-GE"/>
        </w:rPr>
        <w:t>დასარევლიანებულ მონაკვეთებზე ალაგ ალაგ ფონს ქმნის</w:t>
      </w:r>
      <w:r w:rsidRPr="00A2588D">
        <w:rPr>
          <w:rFonts w:ascii="Sylfaen" w:hAnsi="Sylfaen" w:cs="LitNusx"/>
          <w:i/>
          <w:lang w:val="ka-GE"/>
        </w:rPr>
        <w:t xml:space="preserve"> (Erigeron anuus).</w:t>
      </w:r>
    </w:p>
    <w:p w14:paraId="6EF3C939" w14:textId="77777777" w:rsidR="00A2588D" w:rsidRPr="00A2588D" w:rsidRDefault="00A2588D" w:rsidP="00A2588D">
      <w:pPr>
        <w:rPr>
          <w:rFonts w:ascii="Sylfaen" w:hAnsi="Sylfaen" w:cs="Sylfaen"/>
          <w:lang w:val="ka-GE"/>
        </w:rPr>
      </w:pPr>
      <w:r w:rsidRPr="00A2588D">
        <w:rPr>
          <w:rFonts w:ascii="Sylfaen" w:hAnsi="Sylfaen" w:cs="Sylfaen"/>
          <w:lang w:val="ka-GE"/>
        </w:rPr>
        <w:t>მერქნიანი</w:t>
      </w:r>
      <w:r w:rsidRPr="00A2588D">
        <w:rPr>
          <w:rFonts w:ascii="Sylfaen" w:hAnsi="Sylfaen"/>
          <w:lang w:val="ka-GE"/>
        </w:rPr>
        <w:t xml:space="preserve"> </w:t>
      </w:r>
      <w:r w:rsidRPr="00A2588D">
        <w:rPr>
          <w:rFonts w:ascii="Sylfaen" w:hAnsi="Sylfaen" w:cs="Sylfaen"/>
          <w:lang w:val="ka-GE"/>
        </w:rPr>
        <w:t>მცენარეების გავრცელება ძალზედ შეზღუდულია. აღსანიშნავია</w:t>
      </w:r>
      <w:r w:rsidRPr="00A2588D">
        <w:rPr>
          <w:rFonts w:ascii="Sylfaen" w:hAnsi="Sylfaen"/>
          <w:lang w:val="ka-GE"/>
        </w:rPr>
        <w:t xml:space="preserve"> </w:t>
      </w:r>
      <w:r w:rsidRPr="00A2588D">
        <w:rPr>
          <w:rFonts w:ascii="Sylfaen" w:hAnsi="Sylfaen" w:cs="Sylfaen"/>
          <w:lang w:val="ka-GE"/>
        </w:rPr>
        <w:t>თეთრი</w:t>
      </w:r>
      <w:r w:rsidRPr="00A2588D">
        <w:rPr>
          <w:rFonts w:ascii="Sylfaen" w:hAnsi="Sylfaen"/>
          <w:lang w:val="ka-GE"/>
        </w:rPr>
        <w:t xml:space="preserve"> </w:t>
      </w:r>
      <w:r w:rsidRPr="00A2588D">
        <w:rPr>
          <w:rFonts w:ascii="Sylfaen" w:hAnsi="Sylfaen" w:cs="Sylfaen"/>
          <w:lang w:val="ka-GE"/>
        </w:rPr>
        <w:t>აკაცია</w:t>
      </w:r>
      <w:r w:rsidRPr="00A2588D">
        <w:rPr>
          <w:rFonts w:ascii="Sylfaen" w:hAnsi="Sylfaen"/>
          <w:i/>
          <w:lang w:val="ka-GE"/>
        </w:rPr>
        <w:t>(Robini</w:t>
      </w:r>
      <w:r w:rsidRPr="00A2588D">
        <w:rPr>
          <w:rFonts w:ascii="Sylfaen" w:hAnsi="Sylfaen" w:cs="LitNusx"/>
          <w:i/>
          <w:lang w:val="ka-GE"/>
        </w:rPr>
        <w:t>a</w:t>
      </w:r>
      <w:r w:rsidRPr="00A2588D">
        <w:rPr>
          <w:rFonts w:ascii="Sylfaen" w:hAnsi="Sylfaen"/>
          <w:i/>
          <w:lang w:val="ka-GE"/>
        </w:rPr>
        <w:t xml:space="preserve"> pseudo</w:t>
      </w:r>
      <w:r w:rsidRPr="00A2588D">
        <w:rPr>
          <w:rFonts w:ascii="Sylfaen" w:hAnsi="Sylfaen" w:cs="LitNusx"/>
          <w:i/>
          <w:lang w:val="ka-GE"/>
        </w:rPr>
        <w:t>acacia)</w:t>
      </w:r>
      <w:r w:rsidRPr="00A2588D">
        <w:rPr>
          <w:rFonts w:ascii="Sylfaen" w:hAnsi="Sylfaen" w:cs="LitNusx"/>
          <w:lang w:val="ka-GE"/>
        </w:rPr>
        <w:t xml:space="preserve">; </w:t>
      </w:r>
      <w:r w:rsidRPr="00A2588D">
        <w:rPr>
          <w:rFonts w:ascii="Sylfaen" w:hAnsi="Sylfaen" w:cs="Sylfaen"/>
          <w:lang w:val="ka-GE"/>
        </w:rPr>
        <w:t>გლედიჩია</w:t>
      </w:r>
      <w:r w:rsidRPr="00A2588D">
        <w:rPr>
          <w:rFonts w:ascii="Sylfaen" w:hAnsi="Sylfaen" w:cs="LitNusx"/>
          <w:lang w:val="ka-GE"/>
        </w:rPr>
        <w:t xml:space="preserve"> </w:t>
      </w:r>
      <w:r w:rsidRPr="00A2588D">
        <w:rPr>
          <w:rFonts w:ascii="Sylfaen" w:hAnsi="Sylfaen" w:cs="LitNusx"/>
          <w:i/>
          <w:lang w:val="ka-GE"/>
        </w:rPr>
        <w:t>(Gleditsia triacanthos)</w:t>
      </w:r>
      <w:r w:rsidRPr="00A2588D">
        <w:rPr>
          <w:rFonts w:ascii="Sylfaen" w:hAnsi="Sylfaen" w:cs="LitNusx"/>
          <w:lang w:val="ka-GE"/>
        </w:rPr>
        <w:t xml:space="preserve">; </w:t>
      </w:r>
      <w:r w:rsidRPr="00A2588D">
        <w:rPr>
          <w:rFonts w:ascii="Sylfaen" w:hAnsi="Sylfaen" w:cs="Sylfaen"/>
          <w:lang w:val="ka-GE"/>
        </w:rPr>
        <w:t>თუთა</w:t>
      </w:r>
      <w:r w:rsidRPr="00A2588D">
        <w:rPr>
          <w:rFonts w:ascii="Sylfaen" w:hAnsi="Sylfaen"/>
          <w:lang w:val="ka-GE"/>
        </w:rPr>
        <w:t xml:space="preserve"> </w:t>
      </w:r>
      <w:r w:rsidRPr="00A2588D">
        <w:rPr>
          <w:rFonts w:ascii="Sylfaen" w:hAnsi="Sylfaen"/>
          <w:i/>
          <w:lang w:val="ka-GE"/>
        </w:rPr>
        <w:t xml:space="preserve">(Morus </w:t>
      </w:r>
      <w:r w:rsidRPr="00A2588D">
        <w:rPr>
          <w:rFonts w:ascii="Sylfaen" w:hAnsi="Sylfaen" w:cs="LitNusx"/>
          <w:i/>
          <w:lang w:val="ka-GE"/>
        </w:rPr>
        <w:t>alba)</w:t>
      </w:r>
      <w:r w:rsidRPr="00A2588D">
        <w:rPr>
          <w:rFonts w:ascii="Sylfaen" w:hAnsi="Sylfaen" w:cs="LitNusx"/>
          <w:lang w:val="ka-GE"/>
        </w:rPr>
        <w:t xml:space="preserve">; </w:t>
      </w:r>
      <w:r w:rsidRPr="00A2588D">
        <w:rPr>
          <w:rFonts w:ascii="Sylfaen" w:hAnsi="Sylfaen" w:cs="Sylfaen"/>
          <w:lang w:val="ka-GE"/>
        </w:rPr>
        <w:t>ჭერამი</w:t>
      </w:r>
      <w:r w:rsidRPr="00A2588D">
        <w:rPr>
          <w:rFonts w:ascii="Sylfaen" w:hAnsi="Sylfaen"/>
          <w:lang w:val="ka-GE"/>
        </w:rPr>
        <w:t xml:space="preserve"> </w:t>
      </w:r>
      <w:r w:rsidRPr="00A2588D">
        <w:rPr>
          <w:rFonts w:ascii="Sylfaen" w:hAnsi="Sylfaen"/>
          <w:i/>
          <w:lang w:val="ka-GE"/>
        </w:rPr>
        <w:t>(</w:t>
      </w:r>
      <w:r w:rsidRPr="00A2588D">
        <w:rPr>
          <w:rFonts w:ascii="Sylfaen" w:hAnsi="Sylfaen"/>
          <w:bCs/>
          <w:i/>
          <w:iCs/>
          <w:color w:val="000000"/>
          <w:lang w:val="ka-GE"/>
        </w:rPr>
        <w:t xml:space="preserve">Prunus armeniaca); </w:t>
      </w:r>
      <w:r w:rsidRPr="00A2588D">
        <w:rPr>
          <w:rFonts w:ascii="Sylfaen" w:hAnsi="Sylfaen"/>
          <w:bCs/>
          <w:iCs/>
          <w:color w:val="000000"/>
          <w:lang w:val="ka-GE"/>
        </w:rPr>
        <w:t>ტყემ</w:t>
      </w:r>
      <w:r w:rsidRPr="00A2588D">
        <w:rPr>
          <w:rFonts w:ascii="Sylfaen" w:hAnsi="Sylfaen" w:cs="Sylfaen"/>
          <w:lang w:val="ka-GE"/>
        </w:rPr>
        <w:t xml:space="preserve">ალი </w:t>
      </w:r>
      <w:r w:rsidRPr="00A2588D">
        <w:rPr>
          <w:rFonts w:ascii="Sylfaen" w:hAnsi="Sylfaen" w:cs="Sylfaen"/>
          <w:i/>
          <w:lang w:val="ka-GE"/>
        </w:rPr>
        <w:t xml:space="preserve">(Prunus cerasifera); </w:t>
      </w:r>
      <w:r w:rsidRPr="00A2588D">
        <w:rPr>
          <w:rFonts w:ascii="Sylfaen" w:hAnsi="Sylfaen" w:cs="Sylfaen"/>
          <w:lang w:val="ka-GE"/>
        </w:rPr>
        <w:t>კვრინჩხი (</w:t>
      </w:r>
      <w:r w:rsidRPr="00A2588D">
        <w:rPr>
          <w:rFonts w:ascii="Sylfaen" w:hAnsi="Sylfaen"/>
          <w:lang w:val="ka-GE"/>
        </w:rPr>
        <w:t>Prunus spinosa</w:t>
      </w:r>
      <w:r w:rsidRPr="00A2588D">
        <w:rPr>
          <w:rFonts w:ascii="Sylfaen" w:hAnsi="Sylfaen" w:cs="Sylfaen"/>
          <w:lang w:val="ka-GE"/>
        </w:rPr>
        <w:t>)</w:t>
      </w:r>
      <w:r w:rsidRPr="00A2588D">
        <w:rPr>
          <w:rFonts w:ascii="Sylfaen" w:hAnsi="Sylfaen" w:cs="Sylfaen"/>
          <w:i/>
          <w:lang w:val="ka-GE"/>
        </w:rPr>
        <w:t>; ასკილი (Ros</w:t>
      </w:r>
      <w:r w:rsidRPr="00A2588D">
        <w:rPr>
          <w:rFonts w:ascii="Sylfaen" w:hAnsi="Sylfaen"/>
          <w:i/>
          <w:lang w:val="ka-GE"/>
        </w:rPr>
        <w:t>a canina)</w:t>
      </w:r>
      <w:r w:rsidRPr="00A2588D">
        <w:rPr>
          <w:rFonts w:ascii="Sylfaen" w:hAnsi="Sylfaen"/>
          <w:lang w:val="ka-GE"/>
        </w:rPr>
        <w:t>; მ</w:t>
      </w:r>
      <w:r w:rsidRPr="00A2588D">
        <w:rPr>
          <w:rFonts w:ascii="Sylfaen" w:hAnsi="Sylfaen" w:cs="Sylfaen"/>
          <w:lang w:val="ka-GE"/>
        </w:rPr>
        <w:t xml:space="preserve">აყვალი </w:t>
      </w:r>
      <w:r w:rsidRPr="00A2588D">
        <w:rPr>
          <w:rFonts w:ascii="Sylfaen" w:hAnsi="Sylfaen" w:cs="Sylfaen"/>
          <w:i/>
          <w:lang w:val="ka-GE"/>
        </w:rPr>
        <w:t>(Rubus sp.)</w:t>
      </w:r>
      <w:r w:rsidRPr="00A2588D">
        <w:rPr>
          <w:rFonts w:ascii="Sylfaen" w:hAnsi="Sylfaen" w:cs="Sylfaen"/>
          <w:lang w:val="ka-GE"/>
        </w:rPr>
        <w:t xml:space="preserve">,  </w:t>
      </w:r>
      <w:r w:rsidRPr="00A2588D">
        <w:rPr>
          <w:rFonts w:ascii="Sylfaen" w:hAnsi="Sylfaen" w:cs="Arial"/>
          <w:lang w:val="ka-GE"/>
        </w:rPr>
        <w:t xml:space="preserve">ძეძვი </w:t>
      </w:r>
      <w:r w:rsidRPr="00A2588D">
        <w:rPr>
          <w:rFonts w:ascii="Sylfaen" w:hAnsi="Sylfaen" w:cs="Arial"/>
          <w:i/>
          <w:lang w:val="ka-GE"/>
        </w:rPr>
        <w:t>(Paliurus spina cristii)</w:t>
      </w:r>
      <w:r w:rsidRPr="00A2588D">
        <w:rPr>
          <w:rFonts w:ascii="Sylfaen" w:hAnsi="Sylfaen" w:cs="Arial"/>
          <w:lang w:val="ka-GE"/>
        </w:rPr>
        <w:t xml:space="preserve"> </w:t>
      </w:r>
      <w:r w:rsidRPr="00A2588D">
        <w:rPr>
          <w:rFonts w:ascii="Sylfaen" w:hAnsi="Sylfaen" w:cs="Sylfaen"/>
          <w:lang w:val="ka-GE"/>
        </w:rPr>
        <w:t xml:space="preserve">და სხვა. </w:t>
      </w:r>
    </w:p>
    <w:p w14:paraId="197B9322" w14:textId="77777777" w:rsidR="00A2588D" w:rsidRPr="00A2588D" w:rsidRDefault="00A2588D" w:rsidP="00A2588D">
      <w:pPr>
        <w:rPr>
          <w:rFonts w:ascii="Sylfaen" w:hAnsi="Sylfaen"/>
          <w:szCs w:val="20"/>
          <w:lang w:val="ka-GE" w:eastAsia="ru-RU"/>
        </w:rPr>
      </w:pPr>
      <w:r w:rsidRPr="00A2588D">
        <w:rPr>
          <w:rFonts w:ascii="Sylfaen" w:hAnsi="Sylfaen"/>
          <w:szCs w:val="20"/>
          <w:lang w:val="ka-GE" w:eastAsia="ru-RU"/>
        </w:rPr>
        <w:t>საერთო შეფასებით შეიძლება ითქვას, რომ ეს ტერიტორიები ძლიერ ანთროპოგენიზებული და სახეშეცვლილი ჰაბიტატია. დარღვეულია მისი სტრუქტურა და ცხადია ბუნებრივი ფლორისტული თვალსაზრისითაც გაღარიბებულია (ფოტომასალა იხ. ქვემოთ).</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A2588D" w:rsidRPr="00A2588D" w14:paraId="28386AF5" w14:textId="77777777" w:rsidTr="00A2588D">
        <w:tc>
          <w:tcPr>
            <w:tcW w:w="4814" w:type="dxa"/>
          </w:tcPr>
          <w:p w14:paraId="34C849E8" w14:textId="77777777" w:rsidR="00A2588D" w:rsidRPr="00A2588D" w:rsidRDefault="00A2588D" w:rsidP="00A2588D">
            <w:pPr>
              <w:jc w:val="center"/>
              <w:rPr>
                <w:rFonts w:ascii="Sylfaen" w:hAnsi="Sylfaen"/>
                <w:color w:val="000000" w:themeColor="text1"/>
                <w:sz w:val="20"/>
                <w:lang w:val="ka-GE"/>
              </w:rPr>
            </w:pPr>
            <w:r w:rsidRPr="00A2588D">
              <w:rPr>
                <w:rFonts w:ascii="Sylfaen" w:eastAsia="Calibri" w:hAnsi="Sylfaen"/>
                <w:noProof/>
                <w:lang w:val="en-US" w:eastAsia="en-US"/>
              </w:rPr>
              <w:drawing>
                <wp:inline distT="0" distB="0" distL="0" distR="0" wp14:anchorId="7B62AC0F" wp14:editId="136FA3C1">
                  <wp:extent cx="2691292" cy="2018995"/>
                  <wp:effectExtent l="0" t="0" r="0" b="635"/>
                  <wp:docPr id="482" name="Picture 482" descr="https://scontent.ftbs5-1.fna.fbcdn.net/v/t1.15752-9/51432705_1129298967240969_804492136689958912_n.jpg?_nc_cat=100&amp;_nc_ht=scontent.ftbs5-1.fna&amp;oh=33eab10c48336367081889bcf70438ab&amp;oe=5CC386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tbs5-1.fna.fbcdn.net/v/t1.15752-9/51432705_1129298967240969_804492136689958912_n.jpg?_nc_cat=100&amp;_nc_ht=scontent.ftbs5-1.fna&amp;oh=33eab10c48336367081889bcf70438ab&amp;oe=5CC3865B"/>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699174" cy="2024908"/>
                          </a:xfrm>
                          <a:prstGeom prst="rect">
                            <a:avLst/>
                          </a:prstGeom>
                          <a:noFill/>
                          <a:ln>
                            <a:noFill/>
                          </a:ln>
                        </pic:spPr>
                      </pic:pic>
                    </a:graphicData>
                  </a:graphic>
                </wp:inline>
              </w:drawing>
            </w:r>
          </w:p>
          <w:p w14:paraId="02C818DC" w14:textId="77777777" w:rsidR="00A2588D" w:rsidRPr="00A2588D" w:rsidRDefault="00A2588D" w:rsidP="00A2588D">
            <w:pPr>
              <w:jc w:val="center"/>
              <w:rPr>
                <w:rFonts w:ascii="Sylfaen" w:hAnsi="Sylfaen"/>
                <w:color w:val="000000" w:themeColor="text1"/>
                <w:sz w:val="18"/>
                <w:lang w:val="ka-GE"/>
              </w:rPr>
            </w:pPr>
            <w:r w:rsidRPr="00A2588D">
              <w:rPr>
                <w:rFonts w:ascii="Sylfaen" w:hAnsi="Sylfaen"/>
                <w:color w:val="000000" w:themeColor="text1"/>
                <w:sz w:val="18"/>
                <w:lang w:val="ka-GE"/>
              </w:rPr>
              <w:t>სურათი 1.6. აგროლანდშაფტი სოფ. შალაურთან</w:t>
            </w:r>
          </w:p>
          <w:p w14:paraId="516E5FA7" w14:textId="77777777" w:rsidR="00A2588D" w:rsidRPr="00A2588D" w:rsidRDefault="00A2588D" w:rsidP="00A2588D">
            <w:pPr>
              <w:jc w:val="center"/>
              <w:rPr>
                <w:rFonts w:ascii="Sylfaen" w:hAnsi="Sylfaen"/>
                <w:color w:val="000000" w:themeColor="text1"/>
                <w:sz w:val="20"/>
                <w:lang w:val="ka-GE"/>
              </w:rPr>
            </w:pPr>
            <w:r w:rsidRPr="00A2588D">
              <w:rPr>
                <w:rFonts w:ascii="Sylfaen" w:hAnsi="Sylfaen"/>
                <w:color w:val="000000" w:themeColor="text1"/>
                <w:sz w:val="18"/>
                <w:lang w:val="ka-GE"/>
              </w:rPr>
              <w:t xml:space="preserve">(რუკაზე </w:t>
            </w:r>
            <w:r w:rsidRPr="00A2588D">
              <w:rPr>
                <w:rFonts w:ascii="Sylfaen" w:hAnsi="Sylfaen"/>
                <w:color w:val="000000" w:themeColor="text1"/>
                <w:sz w:val="18"/>
                <w:lang w:val="ru-RU"/>
              </w:rPr>
              <w:t>№</w:t>
            </w:r>
            <w:r w:rsidRPr="00A2588D">
              <w:rPr>
                <w:rFonts w:ascii="Sylfaen" w:hAnsi="Sylfaen"/>
                <w:color w:val="000000" w:themeColor="text1"/>
                <w:sz w:val="18"/>
                <w:lang w:val="ka-GE"/>
              </w:rPr>
              <w:t>4)</w:t>
            </w:r>
          </w:p>
        </w:tc>
        <w:tc>
          <w:tcPr>
            <w:tcW w:w="4815" w:type="dxa"/>
          </w:tcPr>
          <w:p w14:paraId="12585833" w14:textId="77777777" w:rsidR="00A2588D" w:rsidRPr="00A2588D" w:rsidRDefault="00A2588D" w:rsidP="00A2588D">
            <w:pPr>
              <w:jc w:val="center"/>
              <w:rPr>
                <w:rFonts w:ascii="Sylfaen" w:hAnsi="Sylfaen"/>
                <w:color w:val="000000" w:themeColor="text1"/>
                <w:sz w:val="20"/>
                <w:lang w:val="ka-GE"/>
              </w:rPr>
            </w:pPr>
            <w:r w:rsidRPr="00A2588D">
              <w:rPr>
                <w:rFonts w:ascii="Sylfaen" w:hAnsi="Sylfaen"/>
                <w:noProof/>
                <w:color w:val="000000" w:themeColor="text1"/>
                <w:sz w:val="20"/>
                <w:lang w:val="en-US" w:eastAsia="en-US"/>
              </w:rPr>
              <w:drawing>
                <wp:inline distT="0" distB="0" distL="0" distR="0" wp14:anchorId="3CE9D098" wp14:editId="70F43ADF">
                  <wp:extent cx="2672159" cy="2004365"/>
                  <wp:effectExtent l="0" t="0" r="0" b="0"/>
                  <wp:docPr id="483" name="Picture 483" descr="C:\Users\Giorgi\AppData\Roaming\Skype\giorgi.bzhalava\media_messaging\media_cache_v3\^ECC95D19683CDBBB2348118FDDF02A6E3C7BA53CE16579CB39^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iorgi\AppData\Roaming\Skype\giorgi.bzhalava\media_messaging\media_cache_v3\^ECC95D19683CDBBB2348118FDDF02A6E3C7BA53CE16579CB39^pimgpsh_fullsize_distr.jpg"/>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2674835" cy="2006372"/>
                          </a:xfrm>
                          <a:prstGeom prst="rect">
                            <a:avLst/>
                          </a:prstGeom>
                          <a:noFill/>
                          <a:ln>
                            <a:noFill/>
                          </a:ln>
                        </pic:spPr>
                      </pic:pic>
                    </a:graphicData>
                  </a:graphic>
                </wp:inline>
              </w:drawing>
            </w:r>
          </w:p>
          <w:p w14:paraId="623C4E6E" w14:textId="77777777" w:rsidR="00A2588D" w:rsidRPr="00A2588D" w:rsidRDefault="00A2588D" w:rsidP="00A2588D">
            <w:pPr>
              <w:jc w:val="center"/>
              <w:rPr>
                <w:rFonts w:ascii="Sylfaen" w:hAnsi="Sylfaen"/>
                <w:color w:val="000000" w:themeColor="text1"/>
                <w:sz w:val="18"/>
                <w:lang w:val="ka-GE"/>
              </w:rPr>
            </w:pPr>
            <w:r w:rsidRPr="00A2588D">
              <w:rPr>
                <w:rFonts w:ascii="Sylfaen" w:hAnsi="Sylfaen"/>
                <w:color w:val="000000" w:themeColor="text1"/>
                <w:sz w:val="18"/>
                <w:lang w:val="ka-GE"/>
              </w:rPr>
              <w:t>სურათი 1.7. აგროლანდშაფტი სოფ. ნასამხრალთან</w:t>
            </w:r>
          </w:p>
          <w:p w14:paraId="3E99AAC0" w14:textId="77777777" w:rsidR="00A2588D" w:rsidRPr="00A2588D" w:rsidRDefault="00A2588D" w:rsidP="00A2588D">
            <w:pPr>
              <w:jc w:val="center"/>
              <w:rPr>
                <w:rFonts w:ascii="Sylfaen" w:hAnsi="Sylfaen"/>
                <w:color w:val="000000" w:themeColor="text1"/>
                <w:sz w:val="20"/>
                <w:lang w:val="ka-GE"/>
              </w:rPr>
            </w:pPr>
            <w:r w:rsidRPr="00A2588D">
              <w:rPr>
                <w:rFonts w:ascii="Sylfaen" w:hAnsi="Sylfaen"/>
                <w:color w:val="000000" w:themeColor="text1"/>
                <w:sz w:val="18"/>
                <w:lang w:val="ka-GE"/>
              </w:rPr>
              <w:t xml:space="preserve">(რუკაზე </w:t>
            </w:r>
            <w:r w:rsidRPr="00A2588D">
              <w:rPr>
                <w:rFonts w:ascii="Sylfaen" w:hAnsi="Sylfaen"/>
                <w:color w:val="000000" w:themeColor="text1"/>
                <w:sz w:val="18"/>
                <w:lang w:val="ru-RU"/>
              </w:rPr>
              <w:t>№</w:t>
            </w:r>
            <w:r w:rsidRPr="00A2588D">
              <w:rPr>
                <w:rFonts w:ascii="Sylfaen" w:hAnsi="Sylfaen"/>
                <w:color w:val="000000" w:themeColor="text1"/>
                <w:sz w:val="18"/>
                <w:lang w:val="ka-GE"/>
              </w:rPr>
              <w:t>5)</w:t>
            </w:r>
          </w:p>
        </w:tc>
      </w:tr>
      <w:tr w:rsidR="00A2588D" w:rsidRPr="00A2588D" w14:paraId="2DD5372F" w14:textId="77777777" w:rsidTr="00A2588D">
        <w:tc>
          <w:tcPr>
            <w:tcW w:w="4814" w:type="dxa"/>
          </w:tcPr>
          <w:p w14:paraId="176BFF5D" w14:textId="77777777" w:rsidR="00A2588D" w:rsidRPr="00A2588D" w:rsidRDefault="00A2588D" w:rsidP="00A2588D">
            <w:pPr>
              <w:jc w:val="center"/>
              <w:rPr>
                <w:rFonts w:ascii="Sylfaen" w:hAnsi="Sylfaen"/>
                <w:color w:val="000000" w:themeColor="text1"/>
                <w:sz w:val="20"/>
                <w:lang w:val="ka-GE"/>
              </w:rPr>
            </w:pPr>
            <w:r w:rsidRPr="00A2588D">
              <w:rPr>
                <w:rFonts w:ascii="Sylfaen" w:eastAsia="Calibri" w:hAnsi="Sylfaen"/>
                <w:noProof/>
                <w:lang w:val="en-US" w:eastAsia="en-US"/>
              </w:rPr>
              <w:drawing>
                <wp:inline distT="0" distB="0" distL="0" distR="0" wp14:anchorId="64836D2D" wp14:editId="21005468">
                  <wp:extent cx="2879646" cy="2160000"/>
                  <wp:effectExtent l="0" t="0" r="0" b="0"/>
                  <wp:docPr id="484" name="Picture 484" descr="D:\Nika\Desktop\chumlaki\IMG_7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ika\Desktop\chumlaki\IMG_7475.JPG"/>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879646" cy="2160000"/>
                          </a:xfrm>
                          <a:prstGeom prst="rect">
                            <a:avLst/>
                          </a:prstGeom>
                          <a:noFill/>
                          <a:ln>
                            <a:noFill/>
                          </a:ln>
                        </pic:spPr>
                      </pic:pic>
                    </a:graphicData>
                  </a:graphic>
                </wp:inline>
              </w:drawing>
            </w:r>
          </w:p>
          <w:p w14:paraId="25305BC4" w14:textId="77777777" w:rsidR="00A2588D" w:rsidRPr="00A2588D" w:rsidRDefault="00A2588D" w:rsidP="00A2588D">
            <w:pPr>
              <w:jc w:val="center"/>
              <w:rPr>
                <w:rFonts w:ascii="Sylfaen" w:hAnsi="Sylfaen"/>
                <w:color w:val="000000" w:themeColor="text1"/>
                <w:sz w:val="18"/>
                <w:lang w:val="ka-GE"/>
              </w:rPr>
            </w:pPr>
            <w:r w:rsidRPr="00A2588D">
              <w:rPr>
                <w:rFonts w:ascii="Sylfaen" w:hAnsi="Sylfaen"/>
                <w:color w:val="000000" w:themeColor="text1"/>
                <w:sz w:val="18"/>
                <w:lang w:val="ka-GE"/>
              </w:rPr>
              <w:t>სურათი 1.</w:t>
            </w:r>
            <w:r w:rsidRPr="00A2588D">
              <w:rPr>
                <w:rFonts w:ascii="Sylfaen" w:hAnsi="Sylfaen"/>
                <w:color w:val="000000" w:themeColor="text1"/>
                <w:sz w:val="18"/>
              </w:rPr>
              <w:t>8</w:t>
            </w:r>
            <w:r w:rsidRPr="00A2588D">
              <w:rPr>
                <w:rFonts w:ascii="Sylfaen" w:hAnsi="Sylfaen"/>
                <w:color w:val="000000" w:themeColor="text1"/>
                <w:sz w:val="18"/>
                <w:lang w:val="ka-GE"/>
              </w:rPr>
              <w:t>. აგროლანდშაფტი სოფ. კონდოლთან</w:t>
            </w:r>
          </w:p>
          <w:p w14:paraId="4B3D44E5" w14:textId="77777777" w:rsidR="00A2588D" w:rsidRPr="00A2588D" w:rsidRDefault="00A2588D" w:rsidP="00A2588D">
            <w:pPr>
              <w:jc w:val="center"/>
              <w:rPr>
                <w:rFonts w:ascii="Sylfaen" w:hAnsi="Sylfaen"/>
                <w:color w:val="000000" w:themeColor="text1"/>
                <w:sz w:val="20"/>
                <w:lang w:val="ka-GE"/>
              </w:rPr>
            </w:pPr>
            <w:r w:rsidRPr="00A2588D">
              <w:rPr>
                <w:rFonts w:ascii="Sylfaen" w:hAnsi="Sylfaen"/>
                <w:color w:val="000000" w:themeColor="text1"/>
                <w:sz w:val="18"/>
                <w:lang w:val="ka-GE"/>
              </w:rPr>
              <w:t xml:space="preserve">(რუკაზე </w:t>
            </w:r>
            <w:r w:rsidRPr="00A2588D">
              <w:rPr>
                <w:rFonts w:ascii="Sylfaen" w:hAnsi="Sylfaen"/>
                <w:color w:val="000000" w:themeColor="text1"/>
                <w:sz w:val="18"/>
                <w:lang w:val="ru-RU"/>
              </w:rPr>
              <w:t>№</w:t>
            </w:r>
            <w:r w:rsidRPr="00A2588D">
              <w:rPr>
                <w:rFonts w:ascii="Sylfaen" w:hAnsi="Sylfaen"/>
                <w:color w:val="000000" w:themeColor="text1"/>
                <w:sz w:val="18"/>
                <w:lang w:val="ka-GE"/>
              </w:rPr>
              <w:t>6)</w:t>
            </w:r>
          </w:p>
        </w:tc>
        <w:tc>
          <w:tcPr>
            <w:tcW w:w="4815" w:type="dxa"/>
          </w:tcPr>
          <w:p w14:paraId="0888E51A" w14:textId="77777777" w:rsidR="00A2588D" w:rsidRPr="00A2588D" w:rsidRDefault="00A2588D" w:rsidP="00A2588D">
            <w:pPr>
              <w:jc w:val="center"/>
              <w:rPr>
                <w:rFonts w:ascii="Sylfaen" w:hAnsi="Sylfaen"/>
                <w:color w:val="000000" w:themeColor="text1"/>
                <w:sz w:val="20"/>
                <w:lang w:val="ka-GE"/>
              </w:rPr>
            </w:pPr>
            <w:r w:rsidRPr="00A2588D">
              <w:rPr>
                <w:rFonts w:ascii="Sylfaen" w:eastAsia="Calibri" w:hAnsi="Sylfaen"/>
                <w:noProof/>
                <w:lang w:val="en-US" w:eastAsia="en-US"/>
              </w:rPr>
              <w:drawing>
                <wp:inline distT="0" distB="0" distL="0" distR="0" wp14:anchorId="24B2D354" wp14:editId="7B62042B">
                  <wp:extent cx="2879647" cy="2160000"/>
                  <wp:effectExtent l="0" t="0" r="0" b="0"/>
                  <wp:docPr id="485" name="Picture 485" descr="D:\Nika\Desktop\chumlaki\IMG_7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ika\Desktop\chumlaki\IMG_7473.JPG"/>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879647" cy="2160000"/>
                          </a:xfrm>
                          <a:prstGeom prst="rect">
                            <a:avLst/>
                          </a:prstGeom>
                          <a:noFill/>
                          <a:ln>
                            <a:noFill/>
                          </a:ln>
                        </pic:spPr>
                      </pic:pic>
                    </a:graphicData>
                  </a:graphic>
                </wp:inline>
              </w:drawing>
            </w:r>
          </w:p>
          <w:p w14:paraId="06C9DD1B" w14:textId="77777777" w:rsidR="00A2588D" w:rsidRPr="00A2588D" w:rsidRDefault="00A2588D" w:rsidP="00A2588D">
            <w:pPr>
              <w:jc w:val="center"/>
              <w:rPr>
                <w:rFonts w:ascii="Sylfaen" w:hAnsi="Sylfaen"/>
                <w:color w:val="000000" w:themeColor="text1"/>
                <w:sz w:val="18"/>
                <w:lang w:val="ka-GE"/>
              </w:rPr>
            </w:pPr>
            <w:r w:rsidRPr="00A2588D">
              <w:rPr>
                <w:rFonts w:ascii="Sylfaen" w:hAnsi="Sylfaen"/>
                <w:color w:val="000000" w:themeColor="text1"/>
                <w:sz w:val="18"/>
                <w:lang w:val="ka-GE"/>
              </w:rPr>
              <w:t>სურათი 1.</w:t>
            </w:r>
            <w:r w:rsidRPr="00A2588D">
              <w:rPr>
                <w:rFonts w:ascii="Sylfaen" w:hAnsi="Sylfaen"/>
                <w:color w:val="000000" w:themeColor="text1"/>
                <w:sz w:val="18"/>
              </w:rPr>
              <w:t>9</w:t>
            </w:r>
            <w:r w:rsidRPr="00A2588D">
              <w:rPr>
                <w:rFonts w:ascii="Sylfaen" w:hAnsi="Sylfaen"/>
                <w:color w:val="000000" w:themeColor="text1"/>
                <w:sz w:val="18"/>
                <w:lang w:val="ka-GE"/>
              </w:rPr>
              <w:t>. აგროლანდშაფტი სოფ. აკურასთან</w:t>
            </w:r>
          </w:p>
          <w:p w14:paraId="0934134D" w14:textId="77777777" w:rsidR="00A2588D" w:rsidRPr="00A2588D" w:rsidRDefault="00A2588D" w:rsidP="00A2588D">
            <w:pPr>
              <w:jc w:val="center"/>
              <w:rPr>
                <w:rFonts w:ascii="Sylfaen" w:hAnsi="Sylfaen"/>
                <w:color w:val="000000" w:themeColor="text1"/>
                <w:sz w:val="20"/>
                <w:lang w:val="ka-GE"/>
              </w:rPr>
            </w:pPr>
            <w:r w:rsidRPr="00A2588D">
              <w:rPr>
                <w:rFonts w:ascii="Sylfaen" w:hAnsi="Sylfaen"/>
                <w:color w:val="000000" w:themeColor="text1"/>
                <w:sz w:val="18"/>
                <w:lang w:val="ka-GE"/>
              </w:rPr>
              <w:t xml:space="preserve">(რუკაზე </w:t>
            </w:r>
            <w:r w:rsidRPr="00A2588D">
              <w:rPr>
                <w:rFonts w:ascii="Sylfaen" w:hAnsi="Sylfaen"/>
                <w:color w:val="000000" w:themeColor="text1"/>
                <w:sz w:val="18"/>
                <w:lang w:val="ru-RU"/>
              </w:rPr>
              <w:t>№</w:t>
            </w:r>
            <w:r w:rsidRPr="00A2588D">
              <w:rPr>
                <w:rFonts w:ascii="Sylfaen" w:hAnsi="Sylfaen"/>
                <w:color w:val="000000" w:themeColor="text1"/>
                <w:sz w:val="18"/>
                <w:lang w:val="ka-GE"/>
              </w:rPr>
              <w:t>7)</w:t>
            </w:r>
          </w:p>
        </w:tc>
      </w:tr>
      <w:tr w:rsidR="00A2588D" w:rsidRPr="00A2588D" w14:paraId="547A86B0" w14:textId="77777777" w:rsidTr="00A2588D">
        <w:tc>
          <w:tcPr>
            <w:tcW w:w="4814" w:type="dxa"/>
          </w:tcPr>
          <w:p w14:paraId="67B2C11E" w14:textId="77777777" w:rsidR="00A2588D" w:rsidRPr="00A2588D" w:rsidRDefault="00A2588D" w:rsidP="00A2588D">
            <w:pPr>
              <w:jc w:val="center"/>
              <w:rPr>
                <w:rFonts w:ascii="Sylfaen" w:eastAsia="Calibri" w:hAnsi="Sylfaen"/>
                <w:noProof/>
              </w:rPr>
            </w:pPr>
            <w:r w:rsidRPr="00A2588D">
              <w:rPr>
                <w:rFonts w:ascii="Sylfaen" w:eastAsia="Calibri" w:hAnsi="Sylfaen"/>
                <w:noProof/>
                <w:lang w:val="en-US" w:eastAsia="en-US"/>
              </w:rPr>
              <w:drawing>
                <wp:inline distT="0" distB="0" distL="0" distR="0" wp14:anchorId="7A46F0D6" wp14:editId="0E922E77">
                  <wp:extent cx="2879647" cy="2160000"/>
                  <wp:effectExtent l="0" t="0" r="0" b="0"/>
                  <wp:docPr id="486" name="Picture 486" descr="D:\Nika\Desktop\chumlaki\IMG_7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Nika\Desktop\chumlaki\IMG_7481.JPG"/>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879647" cy="2160000"/>
                          </a:xfrm>
                          <a:prstGeom prst="rect">
                            <a:avLst/>
                          </a:prstGeom>
                          <a:noFill/>
                          <a:ln>
                            <a:noFill/>
                          </a:ln>
                        </pic:spPr>
                      </pic:pic>
                    </a:graphicData>
                  </a:graphic>
                </wp:inline>
              </w:drawing>
            </w:r>
          </w:p>
          <w:p w14:paraId="4FA77AD5" w14:textId="77777777" w:rsidR="00A2588D" w:rsidRPr="00A2588D" w:rsidRDefault="00A2588D" w:rsidP="00A2588D">
            <w:pPr>
              <w:jc w:val="center"/>
              <w:rPr>
                <w:rFonts w:ascii="Sylfaen" w:hAnsi="Sylfaen"/>
                <w:color w:val="000000" w:themeColor="text1"/>
                <w:sz w:val="18"/>
                <w:lang w:val="ka-GE"/>
              </w:rPr>
            </w:pPr>
            <w:r w:rsidRPr="00A2588D">
              <w:rPr>
                <w:rFonts w:ascii="Sylfaen" w:hAnsi="Sylfaen"/>
                <w:color w:val="000000" w:themeColor="text1"/>
                <w:sz w:val="18"/>
                <w:lang w:val="ka-GE"/>
              </w:rPr>
              <w:lastRenderedPageBreak/>
              <w:t>სურათი 1.10. აგროლანდშაფტი სოფ. ვაჩნაძიანთან</w:t>
            </w:r>
          </w:p>
          <w:p w14:paraId="67201C89" w14:textId="77777777" w:rsidR="00A2588D" w:rsidRPr="00A2588D" w:rsidRDefault="00A2588D" w:rsidP="00A2588D">
            <w:pPr>
              <w:jc w:val="center"/>
              <w:rPr>
                <w:rFonts w:ascii="Sylfaen" w:eastAsia="Calibri" w:hAnsi="Sylfaen"/>
                <w:noProof/>
              </w:rPr>
            </w:pPr>
            <w:r w:rsidRPr="00A2588D">
              <w:rPr>
                <w:rFonts w:ascii="Sylfaen" w:hAnsi="Sylfaen"/>
                <w:color w:val="000000" w:themeColor="text1"/>
                <w:sz w:val="18"/>
                <w:lang w:val="ka-GE"/>
              </w:rPr>
              <w:t xml:space="preserve">(რუკაზე </w:t>
            </w:r>
            <w:r w:rsidRPr="00A2588D">
              <w:rPr>
                <w:rFonts w:ascii="Sylfaen" w:hAnsi="Sylfaen"/>
                <w:color w:val="000000" w:themeColor="text1"/>
                <w:sz w:val="18"/>
                <w:lang w:val="ru-RU"/>
              </w:rPr>
              <w:t>№</w:t>
            </w:r>
            <w:r w:rsidRPr="00A2588D">
              <w:rPr>
                <w:rFonts w:ascii="Sylfaen" w:hAnsi="Sylfaen"/>
                <w:color w:val="000000" w:themeColor="text1"/>
                <w:sz w:val="18"/>
                <w:lang w:val="ka-GE"/>
              </w:rPr>
              <w:t>8)</w:t>
            </w:r>
          </w:p>
        </w:tc>
        <w:tc>
          <w:tcPr>
            <w:tcW w:w="4815" w:type="dxa"/>
          </w:tcPr>
          <w:p w14:paraId="55F3A7D5" w14:textId="77777777" w:rsidR="00A2588D" w:rsidRPr="00A2588D" w:rsidRDefault="00A2588D" w:rsidP="00A2588D">
            <w:pPr>
              <w:jc w:val="center"/>
              <w:rPr>
                <w:rFonts w:ascii="Sylfaen" w:eastAsia="Calibri" w:hAnsi="Sylfaen"/>
                <w:noProof/>
              </w:rPr>
            </w:pPr>
            <w:r w:rsidRPr="00A2588D">
              <w:rPr>
                <w:rFonts w:ascii="Sylfaen" w:eastAsia="Calibri" w:hAnsi="Sylfaen"/>
                <w:noProof/>
                <w:lang w:val="en-US" w:eastAsia="en-US"/>
              </w:rPr>
              <w:lastRenderedPageBreak/>
              <w:drawing>
                <wp:inline distT="0" distB="0" distL="0" distR="0" wp14:anchorId="190D544A" wp14:editId="2F67522E">
                  <wp:extent cx="2879648" cy="2160000"/>
                  <wp:effectExtent l="0" t="0" r="0" b="0"/>
                  <wp:docPr id="487" name="Picture 487" descr="D:\Nika\Desktop\chumlaki\IMG_7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Nika\Desktop\chumlaki\IMG_7491.JPG"/>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2879648" cy="2160000"/>
                          </a:xfrm>
                          <a:prstGeom prst="rect">
                            <a:avLst/>
                          </a:prstGeom>
                          <a:noFill/>
                          <a:ln>
                            <a:noFill/>
                          </a:ln>
                        </pic:spPr>
                      </pic:pic>
                    </a:graphicData>
                  </a:graphic>
                </wp:inline>
              </w:drawing>
            </w:r>
          </w:p>
          <w:p w14:paraId="7F7A7E13" w14:textId="77777777" w:rsidR="00A2588D" w:rsidRPr="00A2588D" w:rsidRDefault="00A2588D" w:rsidP="00A2588D">
            <w:pPr>
              <w:jc w:val="center"/>
              <w:rPr>
                <w:rFonts w:ascii="Sylfaen" w:hAnsi="Sylfaen"/>
                <w:color w:val="000000" w:themeColor="text1"/>
                <w:sz w:val="18"/>
                <w:lang w:val="ka-GE"/>
              </w:rPr>
            </w:pPr>
            <w:r w:rsidRPr="00A2588D">
              <w:rPr>
                <w:rFonts w:ascii="Sylfaen" w:hAnsi="Sylfaen"/>
                <w:color w:val="000000" w:themeColor="text1"/>
                <w:sz w:val="18"/>
                <w:lang w:val="ka-GE"/>
              </w:rPr>
              <w:lastRenderedPageBreak/>
              <w:t>სურათი 1.11. აგროლანდშაფტი სოფ. შაშიანთან</w:t>
            </w:r>
          </w:p>
          <w:p w14:paraId="1943AE18" w14:textId="77777777" w:rsidR="00A2588D" w:rsidRPr="00A2588D" w:rsidRDefault="00A2588D" w:rsidP="00A2588D">
            <w:pPr>
              <w:jc w:val="center"/>
              <w:rPr>
                <w:rFonts w:ascii="Sylfaen" w:eastAsia="Calibri" w:hAnsi="Sylfaen"/>
                <w:noProof/>
              </w:rPr>
            </w:pPr>
            <w:r w:rsidRPr="00A2588D">
              <w:rPr>
                <w:rFonts w:ascii="Sylfaen" w:hAnsi="Sylfaen"/>
                <w:color w:val="000000" w:themeColor="text1"/>
                <w:sz w:val="18"/>
                <w:lang w:val="ka-GE"/>
              </w:rPr>
              <w:t xml:space="preserve">(რუკაზე </w:t>
            </w:r>
            <w:r w:rsidRPr="00A2588D">
              <w:rPr>
                <w:rFonts w:ascii="Sylfaen" w:hAnsi="Sylfaen"/>
                <w:color w:val="000000" w:themeColor="text1"/>
                <w:sz w:val="18"/>
                <w:lang w:val="ru-RU"/>
              </w:rPr>
              <w:t>№</w:t>
            </w:r>
            <w:r w:rsidRPr="00A2588D">
              <w:rPr>
                <w:rFonts w:ascii="Sylfaen" w:hAnsi="Sylfaen"/>
                <w:color w:val="000000" w:themeColor="text1"/>
                <w:sz w:val="18"/>
                <w:lang w:val="ka-GE"/>
              </w:rPr>
              <w:t>9)</w:t>
            </w:r>
          </w:p>
        </w:tc>
      </w:tr>
      <w:tr w:rsidR="00A2588D" w:rsidRPr="00A2588D" w14:paraId="4F7A8822" w14:textId="77777777" w:rsidTr="00A2588D">
        <w:tc>
          <w:tcPr>
            <w:tcW w:w="4814" w:type="dxa"/>
          </w:tcPr>
          <w:p w14:paraId="7B8E0213" w14:textId="77777777" w:rsidR="00A2588D" w:rsidRPr="00A2588D" w:rsidRDefault="00A2588D" w:rsidP="00A2588D">
            <w:pPr>
              <w:jc w:val="center"/>
              <w:rPr>
                <w:rFonts w:ascii="Sylfaen" w:eastAsia="Calibri" w:hAnsi="Sylfaen"/>
                <w:noProof/>
              </w:rPr>
            </w:pPr>
            <w:r w:rsidRPr="00A2588D">
              <w:rPr>
                <w:rFonts w:ascii="Sylfaen" w:eastAsia="Calibri" w:hAnsi="Sylfaen"/>
                <w:noProof/>
                <w:lang w:val="en-US" w:eastAsia="en-US"/>
              </w:rPr>
              <w:lastRenderedPageBreak/>
              <w:drawing>
                <wp:inline distT="0" distB="0" distL="0" distR="0" wp14:anchorId="29C88A80" wp14:editId="0D761789">
                  <wp:extent cx="2879650" cy="2160000"/>
                  <wp:effectExtent l="0" t="0" r="0" b="0"/>
                  <wp:docPr id="488" name="Picture 488" descr="D:\Nika\Desktop\chumlaki\IMG_7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Nika\Desktop\chumlaki\IMG_7517.JPG"/>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879650" cy="2160000"/>
                          </a:xfrm>
                          <a:prstGeom prst="rect">
                            <a:avLst/>
                          </a:prstGeom>
                          <a:noFill/>
                          <a:ln>
                            <a:noFill/>
                          </a:ln>
                        </pic:spPr>
                      </pic:pic>
                    </a:graphicData>
                  </a:graphic>
                </wp:inline>
              </w:drawing>
            </w:r>
          </w:p>
          <w:p w14:paraId="11F28193" w14:textId="77777777" w:rsidR="00A2588D" w:rsidRPr="00A2588D" w:rsidRDefault="00A2588D" w:rsidP="00A2588D">
            <w:pPr>
              <w:jc w:val="center"/>
              <w:rPr>
                <w:rFonts w:ascii="Sylfaen" w:hAnsi="Sylfaen"/>
                <w:color w:val="000000" w:themeColor="text1"/>
                <w:sz w:val="18"/>
                <w:lang w:val="ka-GE"/>
              </w:rPr>
            </w:pPr>
            <w:r w:rsidRPr="00A2588D">
              <w:rPr>
                <w:rFonts w:ascii="Sylfaen" w:hAnsi="Sylfaen"/>
                <w:color w:val="000000" w:themeColor="text1"/>
                <w:sz w:val="18"/>
                <w:lang w:val="ka-GE"/>
              </w:rPr>
              <w:t>სურათი 1.12. აგროლანდშაფტი სოფ. ვაზისუბანთან</w:t>
            </w:r>
          </w:p>
          <w:p w14:paraId="1F61A2D2" w14:textId="77777777" w:rsidR="00A2588D" w:rsidRPr="00A2588D" w:rsidRDefault="00A2588D" w:rsidP="00A2588D">
            <w:pPr>
              <w:jc w:val="center"/>
              <w:rPr>
                <w:rFonts w:ascii="Sylfaen" w:eastAsia="Calibri" w:hAnsi="Sylfaen"/>
                <w:noProof/>
              </w:rPr>
            </w:pPr>
            <w:r w:rsidRPr="00A2588D">
              <w:rPr>
                <w:rFonts w:ascii="Sylfaen" w:hAnsi="Sylfaen"/>
                <w:color w:val="000000" w:themeColor="text1"/>
                <w:sz w:val="18"/>
                <w:lang w:val="ka-GE"/>
              </w:rPr>
              <w:t xml:space="preserve">(რუკაზე </w:t>
            </w:r>
            <w:r w:rsidRPr="00A2588D">
              <w:rPr>
                <w:rFonts w:ascii="Sylfaen" w:hAnsi="Sylfaen"/>
                <w:color w:val="000000" w:themeColor="text1"/>
                <w:sz w:val="18"/>
                <w:lang w:val="ru-RU"/>
              </w:rPr>
              <w:t>№</w:t>
            </w:r>
            <w:r w:rsidRPr="00A2588D">
              <w:rPr>
                <w:rFonts w:ascii="Sylfaen" w:hAnsi="Sylfaen"/>
                <w:color w:val="000000" w:themeColor="text1"/>
                <w:sz w:val="18"/>
                <w:lang w:val="ka-GE"/>
              </w:rPr>
              <w:t>10)</w:t>
            </w:r>
          </w:p>
        </w:tc>
        <w:tc>
          <w:tcPr>
            <w:tcW w:w="4815" w:type="dxa"/>
          </w:tcPr>
          <w:p w14:paraId="7FB01186" w14:textId="77777777" w:rsidR="00A2588D" w:rsidRPr="00A2588D" w:rsidRDefault="00A2588D" w:rsidP="00A2588D">
            <w:pPr>
              <w:jc w:val="center"/>
              <w:rPr>
                <w:rFonts w:ascii="Sylfaen" w:eastAsia="Calibri" w:hAnsi="Sylfaen"/>
                <w:noProof/>
              </w:rPr>
            </w:pPr>
            <w:r w:rsidRPr="00A2588D">
              <w:rPr>
                <w:rFonts w:ascii="Sylfaen" w:eastAsia="Calibri" w:hAnsi="Sylfaen"/>
                <w:noProof/>
                <w:lang w:val="en-US" w:eastAsia="en-US"/>
              </w:rPr>
              <w:drawing>
                <wp:inline distT="0" distB="0" distL="0" distR="0" wp14:anchorId="06719DBE" wp14:editId="4FBD33A0">
                  <wp:extent cx="2879647" cy="2160000"/>
                  <wp:effectExtent l="0" t="0" r="0" b="0"/>
                  <wp:docPr id="489" name="Picture 489" descr="D:\Nika\Desktop\chumlaki\IMG_7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Nika\Desktop\chumlaki\IMG_7520.JPG"/>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2879647" cy="2160000"/>
                          </a:xfrm>
                          <a:prstGeom prst="rect">
                            <a:avLst/>
                          </a:prstGeom>
                          <a:noFill/>
                          <a:ln>
                            <a:noFill/>
                          </a:ln>
                        </pic:spPr>
                      </pic:pic>
                    </a:graphicData>
                  </a:graphic>
                </wp:inline>
              </w:drawing>
            </w:r>
          </w:p>
          <w:p w14:paraId="209D4D93" w14:textId="77777777" w:rsidR="00A2588D" w:rsidRPr="00A2588D" w:rsidRDefault="00A2588D" w:rsidP="00A2588D">
            <w:pPr>
              <w:jc w:val="center"/>
              <w:rPr>
                <w:rFonts w:ascii="Sylfaen" w:hAnsi="Sylfaen"/>
                <w:color w:val="000000" w:themeColor="text1"/>
                <w:sz w:val="18"/>
                <w:lang w:val="ka-GE"/>
              </w:rPr>
            </w:pPr>
            <w:r w:rsidRPr="00A2588D">
              <w:rPr>
                <w:rFonts w:ascii="Sylfaen" w:hAnsi="Sylfaen"/>
                <w:color w:val="000000" w:themeColor="text1"/>
                <w:sz w:val="18"/>
                <w:lang w:val="ka-GE"/>
              </w:rPr>
              <w:t>სურათი 1.12. აგროლანდშაფტი სოფ. ვაზისუბანთან</w:t>
            </w:r>
          </w:p>
          <w:p w14:paraId="4DB5B8AC" w14:textId="77777777" w:rsidR="00A2588D" w:rsidRPr="00A2588D" w:rsidRDefault="00A2588D" w:rsidP="00A2588D">
            <w:pPr>
              <w:jc w:val="center"/>
              <w:rPr>
                <w:rFonts w:ascii="Sylfaen" w:eastAsia="Calibri" w:hAnsi="Sylfaen"/>
                <w:noProof/>
              </w:rPr>
            </w:pPr>
            <w:r w:rsidRPr="00A2588D">
              <w:rPr>
                <w:rFonts w:ascii="Sylfaen" w:hAnsi="Sylfaen"/>
                <w:color w:val="000000" w:themeColor="text1"/>
                <w:sz w:val="18"/>
                <w:lang w:val="ka-GE"/>
              </w:rPr>
              <w:t xml:space="preserve">(რუკაზე </w:t>
            </w:r>
            <w:r w:rsidRPr="00A2588D">
              <w:rPr>
                <w:rFonts w:ascii="Sylfaen" w:hAnsi="Sylfaen"/>
                <w:color w:val="000000" w:themeColor="text1"/>
                <w:sz w:val="18"/>
                <w:lang w:val="ru-RU"/>
              </w:rPr>
              <w:t>№</w:t>
            </w:r>
            <w:r w:rsidRPr="00A2588D">
              <w:rPr>
                <w:rFonts w:ascii="Sylfaen" w:hAnsi="Sylfaen"/>
                <w:color w:val="000000" w:themeColor="text1"/>
                <w:sz w:val="18"/>
                <w:lang w:val="ka-GE"/>
              </w:rPr>
              <w:t>10)</w:t>
            </w:r>
          </w:p>
        </w:tc>
      </w:tr>
    </w:tbl>
    <w:p w14:paraId="2AC55E8A" w14:textId="77777777" w:rsidR="00A2588D" w:rsidRPr="00A2588D" w:rsidRDefault="00A2588D" w:rsidP="00A2588D">
      <w:pPr>
        <w:rPr>
          <w:rFonts w:ascii="Sylfaen" w:hAnsi="Sylfaen"/>
          <w:szCs w:val="20"/>
          <w:lang w:val="ka-GE" w:eastAsia="ru-RU"/>
        </w:rPr>
      </w:pPr>
    </w:p>
    <w:p w14:paraId="70C893F8" w14:textId="77777777" w:rsidR="00A2588D" w:rsidRPr="00A2588D" w:rsidRDefault="00A2588D" w:rsidP="00A2588D">
      <w:pPr>
        <w:rPr>
          <w:b/>
          <w:sz w:val="24"/>
          <w:lang w:val="ka-GE"/>
        </w:rPr>
      </w:pPr>
      <w:r w:rsidRPr="00A2588D">
        <w:rPr>
          <w:rFonts w:ascii="Sylfaen" w:hAnsi="Sylfaen" w:cs="Sylfaen"/>
          <w:b/>
          <w:sz w:val="24"/>
          <w:lang w:val="ka-GE"/>
        </w:rPr>
        <w:t>ფოთლოვანი</w:t>
      </w:r>
      <w:r w:rsidRPr="00A2588D">
        <w:rPr>
          <w:b/>
          <w:sz w:val="24"/>
          <w:lang w:val="ka-GE"/>
        </w:rPr>
        <w:t xml:space="preserve"> </w:t>
      </w:r>
      <w:r w:rsidRPr="00A2588D">
        <w:rPr>
          <w:rFonts w:ascii="Sylfaen" w:hAnsi="Sylfaen" w:cs="Sylfaen"/>
          <w:b/>
          <w:sz w:val="24"/>
          <w:lang w:val="ka-GE"/>
        </w:rPr>
        <w:t>ტყე</w:t>
      </w:r>
      <w:r w:rsidRPr="00A2588D">
        <w:rPr>
          <w:b/>
          <w:sz w:val="24"/>
          <w:lang w:val="ka-GE"/>
        </w:rPr>
        <w:t xml:space="preserve"> </w:t>
      </w:r>
      <w:r w:rsidRPr="00A2588D">
        <w:rPr>
          <w:rFonts w:ascii="Sylfaen" w:hAnsi="Sylfaen" w:cs="Sylfaen"/>
          <w:b/>
          <w:sz w:val="24"/>
          <w:lang w:val="ka-GE"/>
        </w:rPr>
        <w:t>წიწვოვანი</w:t>
      </w:r>
      <w:r w:rsidRPr="00A2588D">
        <w:rPr>
          <w:b/>
          <w:sz w:val="24"/>
          <w:lang w:val="ka-GE"/>
        </w:rPr>
        <w:t xml:space="preserve"> </w:t>
      </w:r>
      <w:r w:rsidRPr="00A2588D">
        <w:rPr>
          <w:rFonts w:ascii="Sylfaen" w:hAnsi="Sylfaen" w:cs="Sylfaen"/>
          <w:b/>
          <w:sz w:val="24"/>
          <w:lang w:val="ka-GE"/>
        </w:rPr>
        <w:t>სახეობების</w:t>
      </w:r>
      <w:r w:rsidRPr="00A2588D">
        <w:rPr>
          <w:b/>
          <w:sz w:val="24"/>
          <w:lang w:val="ka-GE"/>
        </w:rPr>
        <w:t xml:space="preserve"> </w:t>
      </w:r>
      <w:r w:rsidRPr="00A2588D">
        <w:rPr>
          <w:rFonts w:ascii="Sylfaen" w:hAnsi="Sylfaen" w:cs="Sylfaen"/>
          <w:b/>
          <w:sz w:val="24"/>
          <w:lang w:val="ka-GE"/>
        </w:rPr>
        <w:t>შერევით</w:t>
      </w:r>
    </w:p>
    <w:p w14:paraId="59E18801" w14:textId="77777777" w:rsidR="00A2588D" w:rsidRPr="00A2588D" w:rsidRDefault="00A2588D" w:rsidP="00A2588D">
      <w:pPr>
        <w:rPr>
          <w:rFonts w:ascii="Sylfaen" w:hAnsi="Sylfaen"/>
          <w:color w:val="000000" w:themeColor="text1"/>
          <w:lang w:val="ka-GE"/>
        </w:rPr>
      </w:pPr>
      <w:r w:rsidRPr="00A2588D">
        <w:rPr>
          <w:rFonts w:ascii="Sylfaen" w:hAnsi="Sylfaen"/>
          <w:color w:val="000000" w:themeColor="text1"/>
          <w:lang w:val="ka-GE"/>
        </w:rPr>
        <w:t xml:space="preserve">დამატებითი კვლევის პროცესში 10 კმ სიგანის დერეფანში გამოვლენილი ლანდშაფტებიდან ყველაზე ღირებულს წარმოადგენს გომბორის ქედის ჩრდილო-აღმოსავლეთ კალთებზე წარმოდგენილი ფოთლოვანი ტყე, ზოგან ფიჭვნარით. ეს ტერიტორიები ხასიათდება ტყიანი და ტყესტეპიანი მცენარეულობით და გარეული ცხოველების კარგ საბინადრო ადგილებს წარმოადგენს. შესაბამისად ზურმუხტის ქსელის კანდიდატი უბნის ზემოთჩამოთვლილი ჰაბიტატები სწორედ აღნიშნულ ლანდშაფტს შეიძლება შევუსაბამოთ. </w:t>
      </w:r>
    </w:p>
    <w:p w14:paraId="3C2B7265" w14:textId="77777777" w:rsidR="00A2588D" w:rsidRPr="00A2588D" w:rsidRDefault="00A2588D" w:rsidP="00A2588D">
      <w:pPr>
        <w:rPr>
          <w:rFonts w:ascii="Sylfaen" w:hAnsi="Sylfaen"/>
          <w:color w:val="000000" w:themeColor="text1"/>
          <w:lang w:val="ka-GE"/>
        </w:rPr>
      </w:pPr>
      <w:r w:rsidRPr="00A2588D">
        <w:rPr>
          <w:rFonts w:ascii="Sylfaen" w:hAnsi="Sylfaen"/>
          <w:color w:val="000000" w:themeColor="text1"/>
          <w:lang w:val="ka-GE"/>
        </w:rPr>
        <w:t xml:space="preserve">თუმცა პროექტის დერეფნიდან ეს ტერიტორიები მნიშვნელოვანი მანძილით არის დაშორებული (2,0-2,5 კმ). გარდა ამისა, საპროექტო დერეფანსა და გომბორის ქედის ჩრდილო კალთის ტყიან ტერიტორიებს შორის წარმოდგენილია არაერთი დასახლებული პუნქტი, სარკინიგზო ხაზი, თელავი-გურჯაანის არსებული საავტომობილო გზა და სხვა ინფრასტრუქტურული ობიექტები. პროექტის განხორციელების შედეგად აღნიშნულ ტერიტორიებზე როგორც პირდაპირი, ასევე არაპირდაპირი ზემოქმედების რისკები პრაქტიკულად არ არსებობს. </w:t>
      </w:r>
    </w:p>
    <w:p w14:paraId="69D052F9" w14:textId="77777777" w:rsidR="00A2588D" w:rsidRPr="00A2588D" w:rsidRDefault="00A2588D" w:rsidP="00A2588D">
      <w:pPr>
        <w:rPr>
          <w:rFonts w:ascii="Sylfaen" w:hAnsi="Sylfaen"/>
          <w:color w:val="000000" w:themeColor="text1"/>
          <w:lang w:val="ka-GE"/>
        </w:rPr>
      </w:pPr>
    </w:p>
    <w:p w14:paraId="780C02D4" w14:textId="77777777" w:rsidR="00A2588D" w:rsidRPr="00A2588D" w:rsidRDefault="00A2588D" w:rsidP="00A2588D">
      <w:pPr>
        <w:rPr>
          <w:b/>
          <w:sz w:val="24"/>
          <w:lang w:val="ka-GE"/>
        </w:rPr>
      </w:pPr>
      <w:r w:rsidRPr="00A2588D">
        <w:rPr>
          <w:rFonts w:ascii="Sylfaen" w:hAnsi="Sylfaen" w:cs="Sylfaen"/>
          <w:b/>
          <w:sz w:val="24"/>
          <w:lang w:val="ka-GE"/>
        </w:rPr>
        <w:t>ძლიერ</w:t>
      </w:r>
      <w:r w:rsidRPr="00A2588D">
        <w:rPr>
          <w:b/>
          <w:sz w:val="24"/>
          <w:lang w:val="ka-GE"/>
        </w:rPr>
        <w:t xml:space="preserve"> </w:t>
      </w:r>
      <w:r w:rsidRPr="00A2588D">
        <w:rPr>
          <w:rFonts w:ascii="Sylfaen" w:hAnsi="Sylfaen" w:cs="Sylfaen"/>
          <w:b/>
          <w:sz w:val="24"/>
          <w:lang w:val="ka-GE"/>
        </w:rPr>
        <w:t>დეგრადირებული</w:t>
      </w:r>
      <w:r w:rsidRPr="00A2588D">
        <w:rPr>
          <w:b/>
          <w:sz w:val="24"/>
          <w:lang w:val="ka-GE"/>
        </w:rPr>
        <w:t xml:space="preserve"> </w:t>
      </w:r>
      <w:r w:rsidRPr="00A2588D">
        <w:rPr>
          <w:rFonts w:ascii="Sylfaen" w:hAnsi="Sylfaen" w:cs="Sylfaen"/>
          <w:b/>
          <w:sz w:val="24"/>
          <w:lang w:val="ka-GE"/>
        </w:rPr>
        <w:t>და</w:t>
      </w:r>
      <w:r w:rsidRPr="00A2588D">
        <w:rPr>
          <w:b/>
          <w:sz w:val="24"/>
          <w:lang w:val="ka-GE"/>
        </w:rPr>
        <w:t xml:space="preserve"> </w:t>
      </w:r>
      <w:r w:rsidRPr="00A2588D">
        <w:rPr>
          <w:rFonts w:ascii="Sylfaen" w:hAnsi="Sylfaen" w:cs="Sylfaen"/>
          <w:b/>
          <w:sz w:val="24"/>
          <w:lang w:val="ka-GE"/>
        </w:rPr>
        <w:t>სახეცვლილი</w:t>
      </w:r>
      <w:r w:rsidRPr="00A2588D">
        <w:rPr>
          <w:b/>
          <w:sz w:val="24"/>
          <w:lang w:val="ka-GE"/>
        </w:rPr>
        <w:t xml:space="preserve"> </w:t>
      </w:r>
      <w:r w:rsidRPr="00A2588D">
        <w:rPr>
          <w:rFonts w:ascii="Sylfaen" w:hAnsi="Sylfaen" w:cs="Sylfaen"/>
          <w:b/>
          <w:sz w:val="24"/>
          <w:lang w:val="ka-GE"/>
        </w:rPr>
        <w:t>ჭალის</w:t>
      </w:r>
      <w:r w:rsidRPr="00A2588D">
        <w:rPr>
          <w:b/>
          <w:sz w:val="24"/>
          <w:lang w:val="ka-GE"/>
        </w:rPr>
        <w:t xml:space="preserve"> </w:t>
      </w:r>
      <w:r w:rsidRPr="00A2588D">
        <w:rPr>
          <w:rFonts w:ascii="Sylfaen" w:hAnsi="Sylfaen" w:cs="Sylfaen"/>
          <w:b/>
          <w:sz w:val="24"/>
          <w:lang w:val="ka-GE"/>
        </w:rPr>
        <w:t>ტყის</w:t>
      </w:r>
      <w:r w:rsidRPr="00A2588D">
        <w:rPr>
          <w:b/>
          <w:sz w:val="24"/>
          <w:lang w:val="ka-GE"/>
        </w:rPr>
        <w:t xml:space="preserve"> </w:t>
      </w:r>
      <w:r w:rsidRPr="00A2588D">
        <w:rPr>
          <w:rFonts w:ascii="Sylfaen" w:hAnsi="Sylfaen" w:cs="Sylfaen"/>
          <w:b/>
          <w:sz w:val="24"/>
          <w:lang w:val="ka-GE"/>
        </w:rPr>
        <w:t>ფრაგმენტები</w:t>
      </w:r>
    </w:p>
    <w:p w14:paraId="7FD58030" w14:textId="77777777" w:rsidR="00A2588D" w:rsidRPr="00A2588D" w:rsidRDefault="00A2588D" w:rsidP="00A2588D">
      <w:pPr>
        <w:rPr>
          <w:rFonts w:ascii="Sylfaen" w:hAnsi="Sylfaen"/>
          <w:color w:val="000000" w:themeColor="text1"/>
          <w:lang w:val="ka-GE"/>
        </w:rPr>
      </w:pPr>
      <w:r w:rsidRPr="00A2588D">
        <w:rPr>
          <w:rFonts w:ascii="Sylfaen" w:hAnsi="Sylfaen"/>
          <w:color w:val="000000" w:themeColor="text1"/>
          <w:lang w:val="ka-GE"/>
        </w:rPr>
        <w:t xml:space="preserve">საპროექტო დერეფნის ზედაპირული წყლის ობიექტებთან (მდინარეები: კისისხევი, ვანთისხევი, შრომისხევი და ჭერმისხევი) გადაკვეთის ადგილები ცალკე ჰაბიტატად გამოვყავით, როგორც ძლიერ დეგრადირებული და სახეცვლილი ჭალის ტყის ფრაგმენტები, სადაც გვხდება ხვალო ანუ ჭალის ვერხვი </w:t>
      </w:r>
      <w:r w:rsidRPr="00A2588D">
        <w:rPr>
          <w:rFonts w:ascii="Sylfaen" w:hAnsi="Sylfaen"/>
          <w:i/>
          <w:color w:val="000000" w:themeColor="text1"/>
          <w:lang w:val="ka-GE"/>
        </w:rPr>
        <w:t>(Populus hybrida),</w:t>
      </w:r>
      <w:r w:rsidRPr="00A2588D">
        <w:rPr>
          <w:rFonts w:ascii="Sylfaen" w:hAnsi="Sylfaen"/>
          <w:color w:val="000000" w:themeColor="text1"/>
          <w:lang w:val="ka-GE"/>
        </w:rPr>
        <w:t xml:space="preserve"> ოფი </w:t>
      </w:r>
      <w:r w:rsidRPr="00A2588D">
        <w:rPr>
          <w:rFonts w:ascii="Sylfaen" w:hAnsi="Sylfaen"/>
          <w:i/>
          <w:color w:val="000000" w:themeColor="text1"/>
          <w:lang w:val="ka-GE"/>
        </w:rPr>
        <w:t>(Populus nigra),</w:t>
      </w:r>
      <w:r w:rsidRPr="00A2588D">
        <w:rPr>
          <w:rFonts w:ascii="Sylfaen" w:hAnsi="Sylfaen"/>
          <w:color w:val="000000" w:themeColor="text1"/>
          <w:lang w:val="ka-GE"/>
        </w:rPr>
        <w:t xml:space="preserve"> შავი მურყანი </w:t>
      </w:r>
      <w:r w:rsidRPr="00A2588D">
        <w:rPr>
          <w:rFonts w:ascii="Sylfaen" w:hAnsi="Sylfaen"/>
          <w:i/>
          <w:color w:val="000000" w:themeColor="text1"/>
          <w:lang w:val="ka-GE"/>
        </w:rPr>
        <w:t>(Alnus barbata)</w:t>
      </w:r>
      <w:r w:rsidRPr="00A2588D">
        <w:rPr>
          <w:rFonts w:ascii="Sylfaen" w:hAnsi="Sylfaen"/>
          <w:color w:val="000000" w:themeColor="text1"/>
          <w:lang w:val="ka-GE"/>
        </w:rPr>
        <w:t xml:space="preserve"> და ტირიფი </w:t>
      </w:r>
      <w:r w:rsidRPr="00A2588D">
        <w:rPr>
          <w:rFonts w:ascii="Sylfaen" w:hAnsi="Sylfaen"/>
          <w:i/>
          <w:color w:val="000000" w:themeColor="text1"/>
          <w:lang w:val="ka-GE"/>
        </w:rPr>
        <w:t>(Salix alba, S. caprea).</w:t>
      </w:r>
      <w:r w:rsidRPr="00A2588D">
        <w:rPr>
          <w:rFonts w:ascii="Sylfaen" w:hAnsi="Sylfaen"/>
          <w:color w:val="000000" w:themeColor="text1"/>
          <w:lang w:val="ka-GE"/>
        </w:rPr>
        <w:t xml:space="preserve"> თავისი სტრუქტურული მახასიათებლებიდან გამომდინარე ზემოქმედების ქვეშ მოქცეული ეს ტერიტორიები შეიძლება დავუკავშიროთ F9.1. ტიპის ჰაბიტატს (მდინარისპირული ბუჩქნარი). თუმცა ეს სახეობები მხოლოდ ერთეული ეგზემპლარების სახით ვრცელდება მდინარის სანაპიროების ზოლში და მათ ფართო გავრცელება არ აქვს. ანთროპოგენური დატვირთვის მქონე ტერიტორიების სიახლოვის გამო გარეული ცხოველებისთვის ეს ტერიტორიები მნიშვნელოვან საბინადრო ადგილებს არ წარმოადგენენ. საერთო ჯამში ეს ტერიტორიები მკვეთრად დეგრადირებულია და ადგილობრივი ეკოსისტემის მნიშვნელოვან კომპონენტად ვერ ჩავთვლით. აღსანიშნავია ისიც, რომ ესეთი ტერიტორიების პროცენტული დანაკარგი, ასათვისებელი ტერიტორიის ჯამური ფართობიდან გამომდინარე არის ძალზედ მცირე (დაახლოებით 2-5%). ა</w:t>
      </w:r>
    </w:p>
    <w:p w14:paraId="3CA3B756" w14:textId="77777777" w:rsidR="00A2588D" w:rsidRPr="00A2588D" w:rsidRDefault="00A2588D" w:rsidP="00A2588D">
      <w:pPr>
        <w:rPr>
          <w:rFonts w:ascii="Sylfaen" w:hAnsi="Sylfaen"/>
          <w:color w:val="000000" w:themeColor="text1"/>
          <w:lang w:val="ka-GE"/>
        </w:rPr>
      </w:pPr>
      <w:r w:rsidRPr="00A2588D">
        <w:rPr>
          <w:rFonts w:ascii="Sylfaen" w:hAnsi="Sylfaen"/>
          <w:color w:val="000000" w:themeColor="text1"/>
          <w:lang w:val="ka-GE"/>
        </w:rPr>
        <w:t>(ფოტომასალა იხ. ქვემოთ).</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A2588D" w:rsidRPr="00A2588D" w14:paraId="1AB9F4D7" w14:textId="77777777" w:rsidTr="00A2588D">
        <w:tc>
          <w:tcPr>
            <w:tcW w:w="4814" w:type="dxa"/>
          </w:tcPr>
          <w:p w14:paraId="6FBD287E" w14:textId="77777777" w:rsidR="00A2588D" w:rsidRPr="00A2588D" w:rsidRDefault="00A2588D" w:rsidP="00A2588D">
            <w:pPr>
              <w:jc w:val="center"/>
              <w:rPr>
                <w:rFonts w:ascii="Sylfaen" w:eastAsia="Calibri" w:hAnsi="Sylfaen"/>
                <w:noProof/>
                <w:lang w:val="ka-GE"/>
              </w:rPr>
            </w:pPr>
            <w:r w:rsidRPr="00A2588D">
              <w:rPr>
                <w:rFonts w:ascii="Sylfaen" w:eastAsia="Calibri" w:hAnsi="Sylfaen"/>
                <w:noProof/>
                <w:lang w:val="en-US" w:eastAsia="en-US"/>
              </w:rPr>
              <w:lastRenderedPageBreak/>
              <w:drawing>
                <wp:inline distT="0" distB="0" distL="0" distR="0" wp14:anchorId="28726468" wp14:editId="4782B71B">
                  <wp:extent cx="2879647" cy="2160000"/>
                  <wp:effectExtent l="0" t="0" r="0" b="0"/>
                  <wp:docPr id="490" name="Picture 490" descr="C:\Users\Giorgi\AppData\Roaming\Skype\giorgi.bzhalava\media_messaging\media_cache_v3\^3B1EFEE3466F3C6D04BE6D5312E82ED35D7362EA4B5067835F^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iorgi\AppData\Roaming\Skype\giorgi.bzhalava\media_messaging\media_cache_v3\^3B1EFEE3466F3C6D04BE6D5312E82ED35D7362EA4B5067835F^pimgpsh_fullsize_distr.jpg"/>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879647" cy="2160000"/>
                          </a:xfrm>
                          <a:prstGeom prst="rect">
                            <a:avLst/>
                          </a:prstGeom>
                          <a:noFill/>
                          <a:ln>
                            <a:noFill/>
                          </a:ln>
                        </pic:spPr>
                      </pic:pic>
                    </a:graphicData>
                  </a:graphic>
                </wp:inline>
              </w:drawing>
            </w:r>
          </w:p>
          <w:p w14:paraId="46C76A33" w14:textId="77777777" w:rsidR="00A2588D" w:rsidRPr="00A2588D" w:rsidRDefault="00A2588D" w:rsidP="00A2588D">
            <w:pPr>
              <w:jc w:val="center"/>
              <w:rPr>
                <w:rFonts w:ascii="Sylfaen" w:hAnsi="Sylfaen"/>
                <w:color w:val="000000" w:themeColor="text1"/>
                <w:sz w:val="18"/>
                <w:lang w:val="ka-GE"/>
              </w:rPr>
            </w:pPr>
            <w:r w:rsidRPr="00A2588D">
              <w:rPr>
                <w:rFonts w:ascii="Sylfaen" w:hAnsi="Sylfaen"/>
                <w:color w:val="000000" w:themeColor="text1"/>
                <w:sz w:val="18"/>
                <w:lang w:val="ka-GE"/>
              </w:rPr>
              <w:t>სურათი 1.13. მდ. კისისხევის გადაკვეთის უბანი</w:t>
            </w:r>
          </w:p>
          <w:p w14:paraId="6B420D40" w14:textId="77777777" w:rsidR="00A2588D" w:rsidRPr="00A2588D" w:rsidRDefault="00A2588D" w:rsidP="00A2588D">
            <w:pPr>
              <w:jc w:val="center"/>
              <w:rPr>
                <w:rFonts w:ascii="Sylfaen" w:eastAsia="Calibri" w:hAnsi="Sylfaen"/>
                <w:noProof/>
                <w:lang w:val="ka-GE"/>
              </w:rPr>
            </w:pPr>
          </w:p>
        </w:tc>
        <w:tc>
          <w:tcPr>
            <w:tcW w:w="4815" w:type="dxa"/>
          </w:tcPr>
          <w:p w14:paraId="60035193" w14:textId="77777777" w:rsidR="00A2588D" w:rsidRPr="00A2588D" w:rsidRDefault="00A2588D" w:rsidP="00A2588D">
            <w:pPr>
              <w:jc w:val="center"/>
              <w:rPr>
                <w:rFonts w:ascii="Sylfaen" w:eastAsia="Calibri" w:hAnsi="Sylfaen"/>
                <w:noProof/>
                <w:lang w:val="ka-GE"/>
              </w:rPr>
            </w:pPr>
            <w:r w:rsidRPr="00A2588D">
              <w:rPr>
                <w:rFonts w:ascii="Sylfaen" w:eastAsia="Calibri" w:hAnsi="Sylfaen"/>
                <w:noProof/>
                <w:lang w:val="en-US" w:eastAsia="en-US"/>
              </w:rPr>
              <w:drawing>
                <wp:inline distT="0" distB="0" distL="0" distR="0" wp14:anchorId="7CB77207" wp14:editId="249E73FA">
                  <wp:extent cx="2875382" cy="2156537"/>
                  <wp:effectExtent l="0" t="0" r="127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880396" cy="2160297"/>
                          </a:xfrm>
                          <a:prstGeom prst="rect">
                            <a:avLst/>
                          </a:prstGeom>
                          <a:noFill/>
                        </pic:spPr>
                      </pic:pic>
                    </a:graphicData>
                  </a:graphic>
                </wp:inline>
              </w:drawing>
            </w:r>
          </w:p>
          <w:p w14:paraId="7A5D6205" w14:textId="77777777" w:rsidR="00A2588D" w:rsidRPr="00A2588D" w:rsidRDefault="00A2588D" w:rsidP="00A2588D">
            <w:pPr>
              <w:jc w:val="center"/>
              <w:rPr>
                <w:rFonts w:ascii="Sylfaen" w:hAnsi="Sylfaen"/>
                <w:color w:val="000000" w:themeColor="text1"/>
                <w:sz w:val="18"/>
                <w:lang w:val="ka-GE"/>
              </w:rPr>
            </w:pPr>
            <w:r w:rsidRPr="00A2588D">
              <w:rPr>
                <w:rFonts w:ascii="Sylfaen" w:hAnsi="Sylfaen"/>
                <w:color w:val="000000" w:themeColor="text1"/>
                <w:sz w:val="18"/>
                <w:lang w:val="ka-GE"/>
              </w:rPr>
              <w:t>სურათი 1.14. მდ. ჭერმისხევის გადაკვეთის უბანი</w:t>
            </w:r>
          </w:p>
          <w:p w14:paraId="6B86500D" w14:textId="77777777" w:rsidR="00A2588D" w:rsidRPr="00A2588D" w:rsidRDefault="00A2588D" w:rsidP="00A2588D">
            <w:pPr>
              <w:jc w:val="center"/>
              <w:rPr>
                <w:rFonts w:ascii="Sylfaen" w:eastAsia="Calibri" w:hAnsi="Sylfaen"/>
                <w:noProof/>
                <w:lang w:val="ka-GE"/>
              </w:rPr>
            </w:pPr>
            <w:r w:rsidRPr="00A2588D">
              <w:rPr>
                <w:rFonts w:ascii="Sylfaen" w:hAnsi="Sylfaen"/>
                <w:color w:val="000000" w:themeColor="text1"/>
                <w:sz w:val="18"/>
                <w:lang w:val="ka-GE"/>
              </w:rPr>
              <w:t>(რუკაზე №12)</w:t>
            </w:r>
          </w:p>
        </w:tc>
      </w:tr>
    </w:tbl>
    <w:p w14:paraId="35AAF627" w14:textId="77777777" w:rsidR="00A2588D" w:rsidRPr="00BD038A" w:rsidRDefault="00A2588D" w:rsidP="00BD038A">
      <w:pPr>
        <w:spacing w:before="120" w:after="120"/>
        <w:rPr>
          <w:b/>
          <w:sz w:val="24"/>
        </w:rPr>
      </w:pPr>
      <w:bookmarkStart w:id="693" w:name="_Toc536676157"/>
      <w:r w:rsidRPr="00BD038A">
        <w:rPr>
          <w:rFonts w:ascii="Sylfaen" w:hAnsi="Sylfaen" w:cs="Sylfaen"/>
          <w:b/>
          <w:sz w:val="24"/>
        </w:rPr>
        <w:t>ზემოქმედების</w:t>
      </w:r>
      <w:r w:rsidRPr="00BD038A">
        <w:rPr>
          <w:b/>
          <w:sz w:val="24"/>
        </w:rPr>
        <w:t xml:space="preserve"> </w:t>
      </w:r>
      <w:r w:rsidRPr="00BD038A">
        <w:rPr>
          <w:rFonts w:ascii="Sylfaen" w:hAnsi="Sylfaen" w:cs="Sylfaen"/>
          <w:b/>
          <w:sz w:val="24"/>
        </w:rPr>
        <w:t>შეფასება</w:t>
      </w:r>
      <w:bookmarkEnd w:id="693"/>
    </w:p>
    <w:p w14:paraId="7AB1F3D5" w14:textId="77777777" w:rsidR="00A2588D" w:rsidRPr="00A2588D" w:rsidRDefault="00A2588D" w:rsidP="00BD038A">
      <w:pPr>
        <w:spacing w:before="120" w:after="120"/>
        <w:rPr>
          <w:rFonts w:ascii="Sylfaen" w:hAnsi="Sylfaen"/>
          <w:lang w:val="ka-GE"/>
        </w:rPr>
      </w:pPr>
      <w:r w:rsidRPr="00A2588D">
        <w:rPr>
          <w:rFonts w:ascii="Sylfaen" w:hAnsi="Sylfaen"/>
          <w:lang w:val="ka-GE"/>
        </w:rPr>
        <w:t>ზურმუხტის ქსელის კანდიდატი უბნები არ წარმოადგენენ მკაცრად დაცული ტერიტორიების ქსელს და მის სიახლოვეს, ზოგჯერ კი მისი საზღვრების ფარგლებში საქმიანობის განხორციელება დასაშვებია. თუმცა კანდიდატ უბანზე მოსალოდნელი ზემოქმედების არსებობის შემთხვევაში საქმიანობის დაწყებამდე აუცილებელია შესაბამისი კვლევების ჩატარება და ზემოქმედების შეფასება. შეფასების პროცესი ოთხსაფეხურიანია: I. სკოპინგი; II. მიზანშეწონილობის შეფასება; III ალტერნატიული გადაწყვეტილებების შეფასება; IV საქმიანობის განხორციელების აუცილებელი საზოგადოებრივი საჭიროების (IROPI) შეფასება.</w:t>
      </w:r>
    </w:p>
    <w:p w14:paraId="17E41F07" w14:textId="77777777" w:rsidR="00A2588D" w:rsidRPr="00A2588D" w:rsidRDefault="00A2588D" w:rsidP="00BD038A">
      <w:pPr>
        <w:spacing w:before="120" w:after="120"/>
        <w:rPr>
          <w:rFonts w:ascii="Sylfaen" w:hAnsi="Sylfaen"/>
          <w:lang w:val="ka-GE"/>
        </w:rPr>
      </w:pPr>
      <w:r w:rsidRPr="00A2588D">
        <w:rPr>
          <w:rFonts w:ascii="Sylfaen" w:hAnsi="Sylfaen"/>
          <w:lang w:val="ka-GE"/>
        </w:rPr>
        <w:t>საქართველოს გარემოს დაცვისა და სოფლის მეურნეობის სამინისტროს მოთხოვნის საფუძველზე და პროექტის ადგილმდებარეობის და მახასიათებლების გათვალისწინებით, წინამდებარე დოკუმენტში განხორციელდა II საფეხური - „მიზანშეწონილობის შეფასება“.</w:t>
      </w:r>
    </w:p>
    <w:p w14:paraId="258711B5" w14:textId="77777777" w:rsidR="00A2588D" w:rsidRPr="00A2588D" w:rsidRDefault="00A2588D" w:rsidP="00BD038A">
      <w:pPr>
        <w:autoSpaceDE w:val="0"/>
        <w:autoSpaceDN w:val="0"/>
        <w:adjustRightInd w:val="0"/>
        <w:spacing w:before="120" w:after="120"/>
        <w:rPr>
          <w:rFonts w:ascii="Sylfaen" w:hAnsi="Sylfaen"/>
          <w:highlight w:val="yellow"/>
          <w:lang w:val="ka-GE"/>
        </w:rPr>
      </w:pPr>
      <w:r w:rsidRPr="00A2588D">
        <w:rPr>
          <w:rFonts w:ascii="Sylfaen" w:hAnsi="Sylfaen"/>
          <w:lang w:val="ka-GE"/>
        </w:rPr>
        <w:t xml:space="preserve">შესაბამისი განმარტებით „მიზანშეწონილობის შეფასება“ </w:t>
      </w:r>
      <w:r w:rsidRPr="00A2588D">
        <w:rPr>
          <w:rFonts w:ascii="Sylfaen" w:hAnsi="Sylfaen" w:cs="Sylfaen"/>
          <w:lang w:val="ka-GE"/>
        </w:rPr>
        <w:t>ხორციელდება ცალკე პროექტის, ან სხვა გეგმებთან/პროექტებთან ერთობლივი ზემოქმედების შეფასება საკონსერვაციო უბნის ერთიანობაზე, უბნის სტრუქტურის, ფუნქციისა და საკონსერვაციო ამოცანების კონტექსტში. უარყოფითი ზემოქმედების არსებობის შემთხვევაში ხდება ზემოქმედების შერბილების ვარიანტების შეფასება, რათა განისაზღვროს ნარჩენი უარყოფითი ზემოქმედება უბნის მთლიანობაზე. თუ შემარბილებელი ღონისძიებების განხილული ვარიანტები ვერ უზრუნველყოფს უარყოფითი ზემოქმედების თავიდან აცილებას, საქმიანობის განხორციელების ნებართვა შეიძლება გაიცეს მხოლოდ მე-3 და მე-4 საფეხურების განხორციელების შემთხვევაში.</w:t>
      </w:r>
    </w:p>
    <w:p w14:paraId="49BF0F24" w14:textId="77777777" w:rsidR="00A2588D" w:rsidRPr="00A2588D" w:rsidRDefault="00A2588D" w:rsidP="00A2588D">
      <w:pPr>
        <w:rPr>
          <w:rFonts w:ascii="Sylfaen" w:hAnsi="Sylfaen"/>
          <w:highlight w:val="yellow"/>
          <w:lang w:val="ka-GE"/>
        </w:rPr>
      </w:pPr>
    </w:p>
    <w:p w14:paraId="41B4AF5F" w14:textId="77777777" w:rsidR="00A2588D" w:rsidRPr="00BD038A" w:rsidRDefault="00A2588D" w:rsidP="00BD038A">
      <w:pPr>
        <w:rPr>
          <w:b/>
          <w:sz w:val="24"/>
          <w:lang w:val="ka-GE"/>
        </w:rPr>
      </w:pPr>
      <w:bookmarkStart w:id="694" w:name="_Toc536676158"/>
      <w:r w:rsidRPr="00BD038A">
        <w:rPr>
          <w:rFonts w:ascii="Sylfaen" w:hAnsi="Sylfaen" w:cs="Sylfaen"/>
          <w:b/>
          <w:sz w:val="24"/>
          <w:lang w:val="ka-GE"/>
        </w:rPr>
        <w:t>მოსალოდნელი</w:t>
      </w:r>
      <w:r w:rsidRPr="00BD038A">
        <w:rPr>
          <w:b/>
          <w:sz w:val="24"/>
          <w:lang w:val="ka-GE"/>
        </w:rPr>
        <w:t xml:space="preserve"> </w:t>
      </w:r>
      <w:r w:rsidRPr="00BD038A">
        <w:rPr>
          <w:rFonts w:ascii="Sylfaen" w:hAnsi="Sylfaen" w:cs="Sylfaen"/>
          <w:b/>
          <w:sz w:val="24"/>
          <w:lang w:val="ka-GE"/>
        </w:rPr>
        <w:t>ზემოქმედების</w:t>
      </w:r>
      <w:r w:rsidRPr="00BD038A">
        <w:rPr>
          <w:b/>
          <w:sz w:val="24"/>
          <w:lang w:val="ka-GE"/>
        </w:rPr>
        <w:t xml:space="preserve"> </w:t>
      </w:r>
      <w:r w:rsidRPr="00BD038A">
        <w:rPr>
          <w:rFonts w:ascii="Sylfaen" w:hAnsi="Sylfaen" w:cs="Sylfaen"/>
          <w:b/>
          <w:sz w:val="24"/>
          <w:lang w:val="ka-GE"/>
        </w:rPr>
        <w:t>სახეები</w:t>
      </w:r>
      <w:bookmarkEnd w:id="694"/>
      <w:r w:rsidRPr="00BD038A">
        <w:rPr>
          <w:b/>
          <w:sz w:val="24"/>
          <w:lang w:val="ka-GE"/>
        </w:rPr>
        <w:t xml:space="preserve"> </w:t>
      </w:r>
    </w:p>
    <w:p w14:paraId="4BB89A71" w14:textId="77777777" w:rsidR="00A2588D" w:rsidRPr="00A2588D" w:rsidRDefault="00A2588D" w:rsidP="00A2588D">
      <w:pPr>
        <w:rPr>
          <w:rFonts w:ascii="Sylfaen" w:hAnsi="Sylfaen"/>
          <w:lang w:val="ka-GE"/>
        </w:rPr>
      </w:pPr>
      <w:r w:rsidRPr="00A2588D">
        <w:rPr>
          <w:rFonts w:ascii="Sylfaen" w:hAnsi="Sylfaen"/>
          <w:lang w:val="ka-GE"/>
        </w:rPr>
        <w:t xml:space="preserve">ვინაიდან საპროექტო გზის დერეფანი, მცირედით მაგრამ მაინც კვეთს ზურმუხტის ქსელის კანდიდატი უბნის საზღვრებს და რამდენიმე უბანზე ახლოს გადის სენსიტიურ ტერიტორიასთან,  განხილულია როგორც </w:t>
      </w:r>
      <w:r w:rsidRPr="00A2588D">
        <w:rPr>
          <w:rFonts w:ascii="Sylfaen" w:hAnsi="Sylfaen"/>
          <w:u w:val="single"/>
          <w:lang w:val="ka-GE"/>
        </w:rPr>
        <w:t xml:space="preserve">პირდაპირი </w:t>
      </w:r>
      <w:r w:rsidRPr="00A2588D">
        <w:rPr>
          <w:rFonts w:ascii="Sylfaen" w:hAnsi="Sylfaen"/>
          <w:lang w:val="ka-GE"/>
        </w:rPr>
        <w:t xml:space="preserve">სახის, ასევე </w:t>
      </w:r>
      <w:r w:rsidRPr="00A2588D">
        <w:rPr>
          <w:rFonts w:ascii="Sylfaen" w:hAnsi="Sylfaen"/>
          <w:u w:val="single"/>
          <w:lang w:val="ka-GE"/>
        </w:rPr>
        <w:t>ირიბი</w:t>
      </w:r>
      <w:r w:rsidRPr="00A2588D">
        <w:rPr>
          <w:rFonts w:ascii="Sylfaen" w:hAnsi="Sylfaen"/>
          <w:lang w:val="ka-GE"/>
        </w:rPr>
        <w:t xml:space="preserve"> ზემოქმედება. </w:t>
      </w:r>
    </w:p>
    <w:p w14:paraId="0409AD1B" w14:textId="77777777" w:rsidR="00A2588D" w:rsidRPr="00A2588D" w:rsidRDefault="00A2588D" w:rsidP="00A2588D">
      <w:pPr>
        <w:rPr>
          <w:rFonts w:ascii="Sylfaen" w:hAnsi="Sylfaen"/>
          <w:lang w:val="ka-GE"/>
        </w:rPr>
      </w:pPr>
      <w:r w:rsidRPr="00A2588D">
        <w:rPr>
          <w:rFonts w:ascii="Sylfaen" w:hAnsi="Sylfaen"/>
          <w:lang w:val="ka-GE"/>
        </w:rPr>
        <w:t>პირდაპირი ზემოქმედების მხრივ უნდა განვიხილოთ შემდეგი საკითხები:</w:t>
      </w:r>
    </w:p>
    <w:p w14:paraId="0242A64D" w14:textId="77777777" w:rsidR="00A2588D" w:rsidRPr="00A2588D" w:rsidRDefault="00A2588D" w:rsidP="00821E4D">
      <w:pPr>
        <w:pStyle w:val="ListParagraph"/>
        <w:numPr>
          <w:ilvl w:val="0"/>
          <w:numId w:val="57"/>
        </w:numPr>
        <w:spacing w:line="240" w:lineRule="auto"/>
        <w:jc w:val="left"/>
        <w:rPr>
          <w:lang w:val="ka-GE"/>
        </w:rPr>
      </w:pPr>
      <w:r w:rsidRPr="00A2588D">
        <w:rPr>
          <w:lang w:val="ka-GE"/>
        </w:rPr>
        <w:t>ჰაბიტატების უშუალო განადგურება და ფრაგმენტაცია (ზემოქმედება ჰაბიტატის ერთიანობაზე);</w:t>
      </w:r>
    </w:p>
    <w:p w14:paraId="51F28202" w14:textId="77777777" w:rsidR="00A2588D" w:rsidRPr="00A2588D" w:rsidRDefault="00A2588D" w:rsidP="00821E4D">
      <w:pPr>
        <w:pStyle w:val="ListParagraph"/>
        <w:numPr>
          <w:ilvl w:val="0"/>
          <w:numId w:val="57"/>
        </w:numPr>
        <w:spacing w:line="240" w:lineRule="auto"/>
        <w:rPr>
          <w:lang w:val="ka-GE"/>
        </w:rPr>
      </w:pPr>
      <w:r w:rsidRPr="00A2588D">
        <w:rPr>
          <w:lang w:val="ka-GE"/>
        </w:rPr>
        <w:t>ზურმუხტის ქსელის საზღვრებში მოქცეული ბერნის კონვენციით დაცული მცენარეთა სახეობების გარემოდან ამოღება ან/და ბერნის კონვენციით დაცული ცხოველთა სახეობების საცხოვრებელი ადგილების განადგურება და მათზე უშუალო ზემოქმედება;</w:t>
      </w:r>
    </w:p>
    <w:p w14:paraId="5F725CBF" w14:textId="77777777" w:rsidR="00A2588D" w:rsidRPr="00A2588D" w:rsidRDefault="00A2588D" w:rsidP="00A2588D">
      <w:pPr>
        <w:rPr>
          <w:rFonts w:ascii="Sylfaen" w:hAnsi="Sylfaen"/>
          <w:lang w:val="ka-GE"/>
        </w:rPr>
      </w:pPr>
      <w:r w:rsidRPr="00A2588D">
        <w:rPr>
          <w:rFonts w:ascii="Sylfaen" w:hAnsi="Sylfaen"/>
          <w:lang w:val="ka-GE"/>
        </w:rPr>
        <w:t>არაპირდაპირი</w:t>
      </w:r>
      <w:r w:rsidRPr="00A2588D">
        <w:rPr>
          <w:rFonts w:ascii="Sylfaen" w:hAnsi="Sylfaen"/>
        </w:rPr>
        <w:t xml:space="preserve"> (</w:t>
      </w:r>
      <w:r w:rsidRPr="00A2588D">
        <w:rPr>
          <w:rFonts w:ascii="Sylfaen" w:hAnsi="Sylfaen"/>
          <w:lang w:val="ka-GE"/>
        </w:rPr>
        <w:t>ირიბი</w:t>
      </w:r>
      <w:r w:rsidRPr="00A2588D">
        <w:rPr>
          <w:rFonts w:ascii="Sylfaen" w:hAnsi="Sylfaen"/>
        </w:rPr>
        <w:t>)</w:t>
      </w:r>
      <w:r w:rsidRPr="00A2588D">
        <w:rPr>
          <w:rFonts w:ascii="Sylfaen" w:hAnsi="Sylfaen"/>
          <w:lang w:val="ka-GE"/>
        </w:rPr>
        <w:t xml:space="preserve"> ზემოქმედება შეიძლება გამოიხატოს შემდეგი სახით:</w:t>
      </w:r>
    </w:p>
    <w:p w14:paraId="415CE9F2" w14:textId="77777777" w:rsidR="00A2588D" w:rsidRPr="00A2588D" w:rsidRDefault="00A2588D" w:rsidP="00821E4D">
      <w:pPr>
        <w:pStyle w:val="ListParagraph"/>
        <w:numPr>
          <w:ilvl w:val="0"/>
          <w:numId w:val="54"/>
        </w:numPr>
        <w:spacing w:line="240" w:lineRule="auto"/>
        <w:jc w:val="left"/>
        <w:rPr>
          <w:lang w:val="ka-GE"/>
        </w:rPr>
      </w:pPr>
      <w:r w:rsidRPr="00A2588D">
        <w:rPr>
          <w:lang w:val="ka-GE"/>
        </w:rPr>
        <w:t>ზურმუხტის ქსელის კანდიდატი უბნის საზღვრებში მოქცეულ ტერიტორიებზე და სახეობებზე საქმიანობასთან დაკავშირებული შემაწუხებელი ფაქტორი და დაბინძურების რისკები;</w:t>
      </w:r>
    </w:p>
    <w:p w14:paraId="2487CB99" w14:textId="77777777" w:rsidR="00A2588D" w:rsidRPr="00A2588D" w:rsidRDefault="00A2588D" w:rsidP="00821E4D">
      <w:pPr>
        <w:pStyle w:val="ListParagraph"/>
        <w:numPr>
          <w:ilvl w:val="0"/>
          <w:numId w:val="54"/>
        </w:numPr>
        <w:spacing w:line="240" w:lineRule="auto"/>
        <w:jc w:val="left"/>
        <w:rPr>
          <w:lang w:val="ka-GE"/>
        </w:rPr>
      </w:pPr>
      <w:r w:rsidRPr="00A2588D">
        <w:rPr>
          <w:lang w:val="ka-GE"/>
        </w:rPr>
        <w:lastRenderedPageBreak/>
        <w:t>ზურმუხტის კანდიდატი უბნის საზღვრებს გარეთ კანდიდატი უბნისთვის დამახასიათებელი (ანალოგიურ) ჰაბიტატებზე ან/და სახეობებზე ზემოქმედება (ჰაბიტატის დაკარგვა-ფრაგმენტაცია, ბერნის კონვენციით დაცული სახეობის გარემოდან ამოღება, დაზიანება-დაღუპვა და სხვ.).</w:t>
      </w:r>
    </w:p>
    <w:p w14:paraId="089A6887" w14:textId="77777777" w:rsidR="00A2588D" w:rsidRPr="00A2588D" w:rsidRDefault="00A2588D" w:rsidP="00A2588D">
      <w:pPr>
        <w:rPr>
          <w:rFonts w:ascii="Sylfaen" w:hAnsi="Sylfaen"/>
          <w:lang w:val="ka-GE"/>
        </w:rPr>
      </w:pPr>
    </w:p>
    <w:p w14:paraId="26A8C282" w14:textId="77777777" w:rsidR="00A2588D" w:rsidRPr="00BD038A" w:rsidRDefault="00A2588D" w:rsidP="00BD038A">
      <w:pPr>
        <w:rPr>
          <w:b/>
          <w:sz w:val="24"/>
          <w:lang w:val="ka-GE"/>
        </w:rPr>
      </w:pPr>
      <w:bookmarkStart w:id="695" w:name="_Toc536676159"/>
      <w:r w:rsidRPr="00BD038A">
        <w:rPr>
          <w:rFonts w:ascii="Sylfaen" w:hAnsi="Sylfaen" w:cs="Sylfaen"/>
          <w:b/>
          <w:sz w:val="24"/>
          <w:lang w:val="ka-GE"/>
        </w:rPr>
        <w:t>პირდაპირი</w:t>
      </w:r>
      <w:r w:rsidRPr="00BD038A">
        <w:rPr>
          <w:b/>
          <w:sz w:val="24"/>
          <w:lang w:val="ka-GE"/>
        </w:rPr>
        <w:t xml:space="preserve"> </w:t>
      </w:r>
      <w:r w:rsidRPr="00BD038A">
        <w:rPr>
          <w:rFonts w:ascii="Sylfaen" w:hAnsi="Sylfaen" w:cs="Sylfaen"/>
          <w:b/>
          <w:sz w:val="24"/>
          <w:lang w:val="ka-GE"/>
        </w:rPr>
        <w:t>სახის</w:t>
      </w:r>
      <w:r w:rsidRPr="00BD038A">
        <w:rPr>
          <w:b/>
          <w:sz w:val="24"/>
          <w:lang w:val="ka-GE"/>
        </w:rPr>
        <w:t xml:space="preserve"> </w:t>
      </w:r>
      <w:r w:rsidRPr="00BD038A">
        <w:rPr>
          <w:rFonts w:ascii="Sylfaen" w:hAnsi="Sylfaen" w:cs="Sylfaen"/>
          <w:b/>
          <w:sz w:val="24"/>
          <w:lang w:val="ka-GE"/>
        </w:rPr>
        <w:t>ზემოქმედების</w:t>
      </w:r>
      <w:r w:rsidRPr="00BD038A">
        <w:rPr>
          <w:b/>
          <w:sz w:val="24"/>
          <w:lang w:val="ka-GE"/>
        </w:rPr>
        <w:t xml:space="preserve"> </w:t>
      </w:r>
      <w:r w:rsidRPr="00BD038A">
        <w:rPr>
          <w:rFonts w:ascii="Sylfaen" w:hAnsi="Sylfaen" w:cs="Sylfaen"/>
          <w:b/>
          <w:sz w:val="24"/>
          <w:lang w:val="ka-GE"/>
        </w:rPr>
        <w:t>შეფასება</w:t>
      </w:r>
      <w:bookmarkEnd w:id="695"/>
    </w:p>
    <w:p w14:paraId="333AC94C" w14:textId="77777777" w:rsidR="00A2588D" w:rsidRPr="00A2588D" w:rsidRDefault="00A2588D" w:rsidP="00BD038A">
      <w:pPr>
        <w:spacing w:before="120" w:after="120"/>
        <w:rPr>
          <w:rFonts w:ascii="Sylfaen" w:hAnsi="Sylfaen"/>
          <w:lang w:val="ka-GE"/>
        </w:rPr>
      </w:pPr>
      <w:r w:rsidRPr="00A2588D">
        <w:rPr>
          <w:rFonts w:ascii="Sylfaen" w:hAnsi="Sylfaen"/>
          <w:lang w:val="ka-GE"/>
        </w:rPr>
        <w:t xml:space="preserve">როგორც აღინიშნა დაახლოებით 30 კმ საპროექტო დერეფნის მხოლოდ 10-15 მ სიგრძის მონაკვეთი კვეთს შეთავაზებული კანდიდატი უბნის საზღვარს (შემდეგ მიახლოებით კოორდინატზე: X – 537709; Y - 4641722). ფართობულად გადაკვეთის უბანი მხოლოდ 0,09 ჰა-ს შეადგენს. ზურმუხტის ქსელის კანდიდატი უბნის - „გომბორი“-ს საერთო ფართობი 66571 ჰექტარია. როგორც დამატებითი კვლევის შედეგად გადამოწმდა ამ უბანს ბუნებრივი კომპონენტების თვალსაზრისით რაიმე ღირებულება არ გააჩნია. ტერიტორია მთლიანად დაკავებულია არსებულის საინჟინრო კომუნიკაციებით და მცენარეული საფარი არ არის წარმოდგენილი. მაღალი ანთროპოგენური დატვირთვის გამო ეს ტერიტორია განეკუთვნება ურბანული ტიპის ლანდშაფტს და მას რაიმე მსგავსება არ გააჩნია ზურმუხტის ქსელის კანდიდატი უბნის ზემოთ ჩამოთვლილ სამი ტიპის ჰაბიტატთან. კრიტიკული ტიპის ჰაბიტატის დანაკარგი მოსალოდნელი არ არის. </w:t>
      </w:r>
    </w:p>
    <w:p w14:paraId="71493ACE" w14:textId="77777777" w:rsidR="00A2588D" w:rsidRPr="00A2588D" w:rsidRDefault="00A2588D" w:rsidP="00BD038A">
      <w:pPr>
        <w:spacing w:before="120" w:after="120"/>
        <w:rPr>
          <w:rFonts w:ascii="Sylfaen" w:hAnsi="Sylfaen"/>
          <w:lang w:val="ka-GE"/>
        </w:rPr>
      </w:pPr>
      <w:r w:rsidRPr="00A2588D">
        <w:rPr>
          <w:rFonts w:ascii="Sylfaen" w:hAnsi="Sylfaen"/>
          <w:lang w:val="ka-GE"/>
        </w:rPr>
        <w:t>რაც შეეხება ბერნის კონვენციით დაცულ სახეობებზე უშუალო ზემოქმედების რისკებს: კვლევის ფარგლებში ამ ტერიტორიაზე არ დაგვიფიქსირებია დაცული სახეობის მცენარეები და ცხოველთა საბინადრო ადგილები. სატრანსპორტო საშუალებების ინტენსიური გადაადგილება და ადამიანთა სხვა სახის სამეურნეო საქმიანობა განაპირობებს ცხოველთა სახეობების შეშფოთებას. აქედან გამომდინარე სახეობებზე უშუალო ზემოქმედებას ადგილი არ ექნება.</w:t>
      </w:r>
    </w:p>
    <w:p w14:paraId="2161D4A5" w14:textId="77777777" w:rsidR="00A2588D" w:rsidRPr="00A2588D" w:rsidRDefault="00A2588D" w:rsidP="00A2588D">
      <w:pPr>
        <w:rPr>
          <w:rFonts w:ascii="Sylfaen" w:hAnsi="Sylfaen"/>
          <w:lang w:val="ka-GE"/>
        </w:rPr>
      </w:pPr>
    </w:p>
    <w:p w14:paraId="20E66B2B" w14:textId="77777777" w:rsidR="00A2588D" w:rsidRPr="00BD038A" w:rsidRDefault="00A2588D" w:rsidP="00BD038A">
      <w:pPr>
        <w:spacing w:before="120" w:after="120"/>
        <w:rPr>
          <w:b/>
          <w:sz w:val="24"/>
          <w:lang w:val="ka-GE"/>
        </w:rPr>
      </w:pPr>
      <w:bookmarkStart w:id="696" w:name="_Toc536676160"/>
      <w:r w:rsidRPr="00BD038A">
        <w:rPr>
          <w:rFonts w:ascii="Sylfaen" w:hAnsi="Sylfaen" w:cs="Sylfaen"/>
          <w:b/>
          <w:sz w:val="24"/>
          <w:lang w:val="ka-GE"/>
        </w:rPr>
        <w:t>ირიბი</w:t>
      </w:r>
      <w:r w:rsidRPr="00BD038A">
        <w:rPr>
          <w:b/>
          <w:sz w:val="24"/>
          <w:lang w:val="ka-GE"/>
        </w:rPr>
        <w:t xml:space="preserve"> </w:t>
      </w:r>
      <w:r w:rsidRPr="00BD038A">
        <w:rPr>
          <w:rFonts w:ascii="Sylfaen" w:hAnsi="Sylfaen" w:cs="Sylfaen"/>
          <w:b/>
          <w:sz w:val="24"/>
          <w:lang w:val="ka-GE"/>
        </w:rPr>
        <w:t>ხასიათის</w:t>
      </w:r>
      <w:r w:rsidRPr="00BD038A">
        <w:rPr>
          <w:b/>
          <w:sz w:val="24"/>
          <w:lang w:val="ka-GE"/>
        </w:rPr>
        <w:t xml:space="preserve"> </w:t>
      </w:r>
      <w:r w:rsidRPr="00BD038A">
        <w:rPr>
          <w:rFonts w:ascii="Sylfaen" w:hAnsi="Sylfaen" w:cs="Sylfaen"/>
          <w:b/>
          <w:sz w:val="24"/>
          <w:lang w:val="ka-GE"/>
        </w:rPr>
        <w:t>ზემოქმედების</w:t>
      </w:r>
      <w:r w:rsidRPr="00BD038A">
        <w:rPr>
          <w:b/>
          <w:sz w:val="24"/>
          <w:lang w:val="ka-GE"/>
        </w:rPr>
        <w:t xml:space="preserve"> </w:t>
      </w:r>
      <w:r w:rsidRPr="00BD038A">
        <w:rPr>
          <w:rFonts w:ascii="Sylfaen" w:hAnsi="Sylfaen" w:cs="Sylfaen"/>
          <w:b/>
          <w:sz w:val="24"/>
          <w:lang w:val="ka-GE"/>
        </w:rPr>
        <w:t>შეფასება</w:t>
      </w:r>
      <w:bookmarkEnd w:id="696"/>
    </w:p>
    <w:p w14:paraId="42AA03F2" w14:textId="77777777" w:rsidR="00A2588D" w:rsidRPr="00BD038A" w:rsidRDefault="00A2588D" w:rsidP="00BD038A">
      <w:pPr>
        <w:spacing w:before="120" w:after="120"/>
        <w:rPr>
          <w:b/>
          <w:sz w:val="24"/>
        </w:rPr>
      </w:pPr>
      <w:bookmarkStart w:id="697" w:name="_Toc536676161"/>
      <w:r w:rsidRPr="00BD038A">
        <w:rPr>
          <w:rFonts w:ascii="Sylfaen" w:hAnsi="Sylfaen" w:cs="Sylfaen"/>
          <w:b/>
          <w:sz w:val="24"/>
        </w:rPr>
        <w:t>კანდიდატი</w:t>
      </w:r>
      <w:r w:rsidRPr="00BD038A">
        <w:rPr>
          <w:b/>
          <w:sz w:val="24"/>
        </w:rPr>
        <w:t xml:space="preserve"> </w:t>
      </w:r>
      <w:r w:rsidRPr="00BD038A">
        <w:rPr>
          <w:rFonts w:ascii="Sylfaen" w:hAnsi="Sylfaen" w:cs="Sylfaen"/>
          <w:b/>
          <w:sz w:val="24"/>
        </w:rPr>
        <w:t>უბნის</w:t>
      </w:r>
      <w:r w:rsidRPr="00BD038A">
        <w:rPr>
          <w:b/>
          <w:sz w:val="24"/>
        </w:rPr>
        <w:t xml:space="preserve"> </w:t>
      </w:r>
      <w:r w:rsidRPr="00BD038A">
        <w:rPr>
          <w:rFonts w:ascii="Sylfaen" w:hAnsi="Sylfaen" w:cs="Sylfaen"/>
          <w:b/>
          <w:sz w:val="24"/>
        </w:rPr>
        <w:t>საზღვრებში</w:t>
      </w:r>
      <w:r w:rsidRPr="00BD038A">
        <w:rPr>
          <w:b/>
          <w:sz w:val="24"/>
        </w:rPr>
        <w:t xml:space="preserve"> </w:t>
      </w:r>
      <w:r w:rsidRPr="00BD038A">
        <w:rPr>
          <w:rFonts w:ascii="Sylfaen" w:hAnsi="Sylfaen" w:cs="Sylfaen"/>
          <w:b/>
          <w:sz w:val="24"/>
        </w:rPr>
        <w:t>მოქცეულ</w:t>
      </w:r>
      <w:r w:rsidRPr="00BD038A">
        <w:rPr>
          <w:b/>
          <w:sz w:val="24"/>
        </w:rPr>
        <w:t xml:space="preserve"> </w:t>
      </w:r>
      <w:r w:rsidRPr="00BD038A">
        <w:rPr>
          <w:rFonts w:ascii="Sylfaen" w:hAnsi="Sylfaen" w:cs="Sylfaen"/>
          <w:b/>
          <w:sz w:val="24"/>
        </w:rPr>
        <w:t>ტერიტორიებზე</w:t>
      </w:r>
      <w:r w:rsidRPr="00BD038A">
        <w:rPr>
          <w:b/>
          <w:sz w:val="24"/>
        </w:rPr>
        <w:t xml:space="preserve"> </w:t>
      </w:r>
      <w:r w:rsidRPr="00BD038A">
        <w:rPr>
          <w:rFonts w:ascii="Sylfaen" w:hAnsi="Sylfaen" w:cs="Sylfaen"/>
          <w:b/>
          <w:sz w:val="24"/>
        </w:rPr>
        <w:t>ზემოქმედების</w:t>
      </w:r>
      <w:r w:rsidRPr="00BD038A">
        <w:rPr>
          <w:b/>
          <w:sz w:val="24"/>
        </w:rPr>
        <w:t xml:space="preserve"> </w:t>
      </w:r>
      <w:r w:rsidRPr="00BD038A">
        <w:rPr>
          <w:rFonts w:ascii="Sylfaen" w:hAnsi="Sylfaen" w:cs="Sylfaen"/>
          <w:b/>
          <w:sz w:val="24"/>
        </w:rPr>
        <w:t>შეფასება</w:t>
      </w:r>
      <w:bookmarkEnd w:id="697"/>
    </w:p>
    <w:p w14:paraId="0F664504" w14:textId="77777777" w:rsidR="00A2588D" w:rsidRPr="00A2588D" w:rsidRDefault="00A2588D" w:rsidP="00A2588D">
      <w:pPr>
        <w:rPr>
          <w:rFonts w:ascii="Sylfaen" w:hAnsi="Sylfaen"/>
          <w:lang w:val="ka-GE"/>
        </w:rPr>
      </w:pPr>
      <w:r w:rsidRPr="00A2588D">
        <w:rPr>
          <w:rFonts w:ascii="Sylfaen" w:hAnsi="Sylfaen"/>
          <w:lang w:val="ka-GE"/>
        </w:rPr>
        <w:t>პროექტის სპეციფიკიდან გამომდინარე შესაძლებელია განვიხილოთ შემდეგი სახის ზემოქმედებები:</w:t>
      </w:r>
    </w:p>
    <w:p w14:paraId="617265B8" w14:textId="77777777" w:rsidR="00A2588D" w:rsidRPr="00A2588D" w:rsidRDefault="00A2588D" w:rsidP="00821E4D">
      <w:pPr>
        <w:pStyle w:val="ListParagraph"/>
        <w:numPr>
          <w:ilvl w:val="0"/>
          <w:numId w:val="54"/>
        </w:numPr>
        <w:spacing w:line="240" w:lineRule="auto"/>
        <w:jc w:val="left"/>
        <w:rPr>
          <w:lang w:val="ka-GE"/>
        </w:rPr>
      </w:pPr>
      <w:r w:rsidRPr="00A2588D">
        <w:rPr>
          <w:lang w:val="ka-GE"/>
        </w:rPr>
        <w:t>მშენებლობის ფაზაზე მიწის სამუშაოების, ტექნიკის და ტრანსპორტის მოქმედებით, მშენებლობისთვის საჭირო დანადგარების ფუნქციონირებით გამოწვეული ხმაურის, ვიბრაციის და ემისიების გავლენა კანდიდატ უბანზე. ანალოგიური ზემოქმედება გზის ექსპლუატაციის ფაზაზე ტრანსპორტის გადაადგილების გამო;</w:t>
      </w:r>
    </w:p>
    <w:p w14:paraId="7CB537AE" w14:textId="77777777" w:rsidR="00A2588D" w:rsidRPr="00A2588D" w:rsidRDefault="00A2588D" w:rsidP="00821E4D">
      <w:pPr>
        <w:pStyle w:val="ListParagraph"/>
        <w:numPr>
          <w:ilvl w:val="0"/>
          <w:numId w:val="54"/>
        </w:numPr>
        <w:spacing w:line="240" w:lineRule="auto"/>
        <w:jc w:val="left"/>
        <w:rPr>
          <w:lang w:val="ka-GE"/>
        </w:rPr>
      </w:pPr>
      <w:r w:rsidRPr="00A2588D">
        <w:rPr>
          <w:lang w:val="ka-GE"/>
        </w:rPr>
        <w:t>მშენებლობის ფაზაზე კანდიდატი უბნის ნიადაგების და ზედაპირული წყლის დაბინძურების რისკები ზეთების  დაღვრის და ნარჩენების არასწორი მართვის შემთხვევაში. ანალოგიური ზემოქმედება გზის ექსპლუატაციის ფაზაზე, რაც დაკავშირებულია ტრანსპორტიდან ზეთების ჟონვასთან, გზისპირა ნაგავთან და ავარიულ შემთხვევებთან;</w:t>
      </w:r>
    </w:p>
    <w:p w14:paraId="4F26075F" w14:textId="77777777" w:rsidR="00A2588D" w:rsidRPr="00A2588D" w:rsidRDefault="00A2588D" w:rsidP="00821E4D">
      <w:pPr>
        <w:pStyle w:val="ListParagraph"/>
        <w:numPr>
          <w:ilvl w:val="0"/>
          <w:numId w:val="54"/>
        </w:numPr>
        <w:spacing w:line="240" w:lineRule="auto"/>
        <w:jc w:val="left"/>
        <w:rPr>
          <w:lang w:val="ka-GE"/>
        </w:rPr>
      </w:pPr>
      <w:r w:rsidRPr="00A2588D">
        <w:rPr>
          <w:lang w:val="ka-GE"/>
        </w:rPr>
        <w:t>ვიზუალური ცვლილება კანდიდატი უბნის საზღვრიდან.</w:t>
      </w:r>
    </w:p>
    <w:p w14:paraId="00F5966A" w14:textId="77777777" w:rsidR="00A2588D" w:rsidRPr="00A2588D" w:rsidRDefault="00A2588D" w:rsidP="00A2588D">
      <w:pPr>
        <w:rPr>
          <w:rFonts w:ascii="Sylfaen" w:hAnsi="Sylfaen"/>
          <w:lang w:val="ka-GE"/>
        </w:rPr>
      </w:pPr>
      <w:r w:rsidRPr="00A2588D">
        <w:rPr>
          <w:rFonts w:ascii="Sylfaen" w:hAnsi="Sylfaen"/>
          <w:lang w:val="ka-GE"/>
        </w:rPr>
        <w:t xml:space="preserve">სიახლოვიდან გამომდინარე ესეთი სახის ზემოქმედებები შედარებით დამახასიათებელი შეიძლება იყოს საპროექტო დერეფნის 5 მონაკვეთისთვის, რომლებიც დატანილია ნახაზზე 2.1. და აღწერილია პარაგრაფში 3.2. აქვე უნდა აღინიშნოს, რომ საპროექტო დერეფანს (ანუ ზემოქმედების წყაროსა) და კანდიდატი უბნის საზღვარს შორის არსებობს არაერთი დასახლებული პუნქტი, სარკინიგზო ხაზი და საავტომობილო გზა, რომელიც უბნის საზღვრებში მოქცეულ ტერიტორიებზე ზემოქმედების გაცილებით მნიშვნელოვანი წყაროები შეიძლება იყოს. აღნიშნული ფაქტორების გამო, გზის სამშენებლო სამუშაოები და შემდგომ ექსპლუატაცია ანთროპოგენური დატვირთვის ხარისხს დამატებით ვერ გაზრდის. სამშენებლო სამუშაოთა ხანგრძლივობა და ინტენსივობა არ იქნება მნიშვნელოვანი და სამუშაოების დასრულების შემდგომ ზემოქმედების ძირითადი წყაროები (სამშენებლო ტექნიკა, სამშენებლო მასალები, პერსონალი და სხვ.) შეჩერდება. </w:t>
      </w:r>
    </w:p>
    <w:p w14:paraId="68981E3F" w14:textId="77777777" w:rsidR="00A2588D" w:rsidRPr="00A2588D" w:rsidRDefault="00A2588D" w:rsidP="00A2588D">
      <w:pPr>
        <w:rPr>
          <w:rFonts w:ascii="Sylfaen" w:hAnsi="Sylfaen"/>
          <w:lang w:val="ka-GE"/>
        </w:rPr>
      </w:pPr>
      <w:r w:rsidRPr="00A2588D">
        <w:rPr>
          <w:rFonts w:ascii="Sylfaen" w:hAnsi="Sylfaen"/>
          <w:lang w:val="ka-GE"/>
        </w:rPr>
        <w:t>საავტომობილო გზის მოწყობის შემდგომ მის ექსპლუატაციის ეტაპზე ამ მხრივ უნდა ველოდოთ დადებით ეფექტსაც, კერძოდ:  პროექტის მზიანია საავტომობილო მიმოსვლის განტვირთვა თელავი-</w:t>
      </w:r>
      <w:r w:rsidRPr="00A2588D">
        <w:rPr>
          <w:rFonts w:ascii="Sylfaen" w:hAnsi="Sylfaen"/>
          <w:lang w:val="ka-GE"/>
        </w:rPr>
        <w:lastRenderedPageBreak/>
        <w:t xml:space="preserve">გურჯაანის არსებულ საავტომობილო გზაზე, რომელიც კანდიდატი უბნის საზღვართა უფრო ახლოს მდებარეობს, ვიდრე განსახილველი დერეფანი. ზემოქმედების წყარო გადაინაცვლებს უფრო ჩრდილოეთით და მოშორდება სენსიტიურ ტერიტორიებს. </w:t>
      </w:r>
    </w:p>
    <w:p w14:paraId="2ECD4A81" w14:textId="77777777" w:rsidR="00A2588D" w:rsidRPr="00A2588D" w:rsidRDefault="00A2588D" w:rsidP="00A2588D">
      <w:pPr>
        <w:rPr>
          <w:rFonts w:ascii="Sylfaen" w:hAnsi="Sylfaen"/>
          <w:lang w:val="ka-GE"/>
        </w:rPr>
      </w:pPr>
      <w:r w:rsidRPr="00A2588D">
        <w:rPr>
          <w:rFonts w:ascii="Sylfaen" w:hAnsi="Sylfaen"/>
          <w:lang w:val="ka-GE"/>
        </w:rPr>
        <w:t xml:space="preserve">საპროექტო დერეფანში წარმოდგენილი ზედაპირული წყლის ობიექტები (მდინარეები) გაედინებიან სამხრეთიდან ჩრდილოეთის მიმართულებით, ანუ სამშენებლო სამშაოების წარმოების პროცესში წყლის ობიექტების დაბინძურების შემთხვევაში (რომლის ალბათობაც გარემოსდაცვითი ნორმების შესრულების პირობებში ისედაც დაბალია) გამორიცხულია დამაბინძურებელი ნივთიერებები გავრცელდეს კანდიდატი უბნის მიმართულებით. </w:t>
      </w:r>
    </w:p>
    <w:p w14:paraId="14B00039" w14:textId="77777777" w:rsidR="00A2588D" w:rsidRPr="00A2588D" w:rsidRDefault="00A2588D" w:rsidP="00A2588D">
      <w:pPr>
        <w:rPr>
          <w:rFonts w:ascii="Sylfaen" w:hAnsi="Sylfaen"/>
          <w:lang w:val="ka-GE"/>
        </w:rPr>
      </w:pPr>
      <w:r w:rsidRPr="00A2588D">
        <w:rPr>
          <w:rFonts w:ascii="Sylfaen" w:hAnsi="Sylfaen"/>
          <w:lang w:val="ka-GE"/>
        </w:rPr>
        <w:t>საერთო ჯამში პროექტის განხორციელება, მნიშვნელოვან დამატებით ზეგავლენას ვერ მოახდენს ზურმუხტის ქსელის კანდიდატი უბნის ჰაბიტატებზე. მშენებლობის ეტაპზე  გარკვეული პერიოდებით გაიზრდება ხმაურის გავრცელების და ემისიების რისკები კანდიდატი უბნისკენ, თუმცა ზემოქმედება იქნება დროებითი ხასიათის. აღსანიშნავია, რომ ზემოქმედების სტაციონალური ობიექტების განთავსება კანდიდატი უბნის საზღვართან არ იგეგმება. გამომდინარე აღნიშნულიდან დამატებითი შემარბილებელი ღონისძიებების გატარების საჭიროება არ არსებობს. ნეგატიური ზემოქმედების მინიმალურ დონემდე შენარჩუნებისთვის საკმარისი იქნება გზშ-ს ანგარიშის შესაბამისი პარაგრაფებში მოცემული ხმაურის, ემისიების, ვიბრაციის შემარბილებელი ღონისძიებების და ნიადაგის/წყლის დაბინძურების პრევენციული ღონისძიებების სათანადოდ შესრულება.</w:t>
      </w:r>
    </w:p>
    <w:p w14:paraId="3F053784" w14:textId="77777777" w:rsidR="00A2588D" w:rsidRPr="00A2588D" w:rsidRDefault="00A2588D" w:rsidP="00A2588D">
      <w:pPr>
        <w:rPr>
          <w:rFonts w:ascii="Sylfaen" w:hAnsi="Sylfaen"/>
          <w:highlight w:val="yellow"/>
          <w:lang w:val="ka-GE"/>
        </w:rPr>
      </w:pPr>
    </w:p>
    <w:p w14:paraId="462F8E42" w14:textId="77777777" w:rsidR="00A2588D" w:rsidRPr="00BD038A" w:rsidRDefault="00A2588D" w:rsidP="00BD038A">
      <w:pPr>
        <w:rPr>
          <w:b/>
          <w:sz w:val="24"/>
        </w:rPr>
      </w:pPr>
      <w:bookmarkStart w:id="698" w:name="_Toc536676162"/>
      <w:r w:rsidRPr="00BD038A">
        <w:rPr>
          <w:rFonts w:ascii="Sylfaen" w:hAnsi="Sylfaen" w:cs="Sylfaen"/>
          <w:b/>
          <w:sz w:val="24"/>
        </w:rPr>
        <w:t>კანდიდატი</w:t>
      </w:r>
      <w:r w:rsidRPr="00BD038A">
        <w:rPr>
          <w:b/>
          <w:sz w:val="24"/>
        </w:rPr>
        <w:t xml:space="preserve"> </w:t>
      </w:r>
      <w:r w:rsidRPr="00BD038A">
        <w:rPr>
          <w:rFonts w:ascii="Sylfaen" w:hAnsi="Sylfaen" w:cs="Sylfaen"/>
          <w:b/>
          <w:sz w:val="24"/>
        </w:rPr>
        <w:t>უბნის</w:t>
      </w:r>
      <w:r w:rsidRPr="00BD038A">
        <w:rPr>
          <w:b/>
          <w:sz w:val="24"/>
        </w:rPr>
        <w:t xml:space="preserve"> </w:t>
      </w:r>
      <w:r w:rsidRPr="00BD038A">
        <w:rPr>
          <w:rFonts w:ascii="Sylfaen" w:hAnsi="Sylfaen" w:cs="Sylfaen"/>
          <w:b/>
          <w:sz w:val="24"/>
        </w:rPr>
        <w:t>საზღვრებს</w:t>
      </w:r>
      <w:r w:rsidRPr="00BD038A">
        <w:rPr>
          <w:b/>
          <w:sz w:val="24"/>
        </w:rPr>
        <w:t xml:space="preserve"> </w:t>
      </w:r>
      <w:r w:rsidRPr="00BD038A">
        <w:rPr>
          <w:rFonts w:ascii="Sylfaen" w:hAnsi="Sylfaen" w:cs="Sylfaen"/>
          <w:b/>
          <w:sz w:val="24"/>
        </w:rPr>
        <w:t>გარეთ</w:t>
      </w:r>
      <w:r w:rsidRPr="00BD038A">
        <w:rPr>
          <w:b/>
          <w:sz w:val="24"/>
        </w:rPr>
        <w:t xml:space="preserve"> </w:t>
      </w:r>
      <w:r w:rsidRPr="00BD038A">
        <w:rPr>
          <w:rFonts w:ascii="Sylfaen" w:hAnsi="Sylfaen" w:cs="Sylfaen"/>
          <w:b/>
          <w:sz w:val="24"/>
        </w:rPr>
        <w:t>ანალოგიურ</w:t>
      </w:r>
      <w:r w:rsidRPr="00BD038A">
        <w:rPr>
          <w:b/>
          <w:sz w:val="24"/>
        </w:rPr>
        <w:t xml:space="preserve"> </w:t>
      </w:r>
      <w:r w:rsidRPr="00BD038A">
        <w:rPr>
          <w:rFonts w:ascii="Sylfaen" w:hAnsi="Sylfaen" w:cs="Sylfaen"/>
          <w:b/>
          <w:sz w:val="24"/>
        </w:rPr>
        <w:t>ჰაბიტატებზე</w:t>
      </w:r>
      <w:r w:rsidRPr="00BD038A">
        <w:rPr>
          <w:b/>
          <w:sz w:val="24"/>
        </w:rPr>
        <w:t xml:space="preserve"> </w:t>
      </w:r>
      <w:r w:rsidRPr="00BD038A">
        <w:rPr>
          <w:rFonts w:ascii="Sylfaen" w:hAnsi="Sylfaen" w:cs="Sylfaen"/>
          <w:b/>
          <w:sz w:val="24"/>
        </w:rPr>
        <w:t>და</w:t>
      </w:r>
      <w:r w:rsidRPr="00BD038A">
        <w:rPr>
          <w:b/>
          <w:sz w:val="24"/>
        </w:rPr>
        <w:t xml:space="preserve"> </w:t>
      </w:r>
      <w:r w:rsidRPr="00BD038A">
        <w:rPr>
          <w:rFonts w:ascii="Sylfaen" w:hAnsi="Sylfaen" w:cs="Sylfaen"/>
          <w:b/>
          <w:sz w:val="24"/>
        </w:rPr>
        <w:t>სახეობებზე</w:t>
      </w:r>
      <w:r w:rsidRPr="00BD038A">
        <w:rPr>
          <w:b/>
          <w:sz w:val="24"/>
        </w:rPr>
        <w:t xml:space="preserve"> </w:t>
      </w:r>
      <w:r w:rsidRPr="00BD038A">
        <w:rPr>
          <w:rFonts w:ascii="Sylfaen" w:hAnsi="Sylfaen" w:cs="Sylfaen"/>
          <w:b/>
          <w:sz w:val="24"/>
        </w:rPr>
        <w:t>ზემოქმედების</w:t>
      </w:r>
      <w:r w:rsidRPr="00BD038A">
        <w:rPr>
          <w:b/>
          <w:sz w:val="24"/>
        </w:rPr>
        <w:t xml:space="preserve"> </w:t>
      </w:r>
      <w:r w:rsidRPr="00BD038A">
        <w:rPr>
          <w:rFonts w:ascii="Sylfaen" w:hAnsi="Sylfaen" w:cs="Sylfaen"/>
          <w:b/>
          <w:sz w:val="24"/>
        </w:rPr>
        <w:t>შეფასება</w:t>
      </w:r>
      <w:bookmarkEnd w:id="698"/>
      <w:r w:rsidRPr="00BD038A">
        <w:rPr>
          <w:b/>
          <w:sz w:val="24"/>
        </w:rPr>
        <w:t xml:space="preserve"> </w:t>
      </w:r>
    </w:p>
    <w:p w14:paraId="29714282" w14:textId="77777777" w:rsidR="00A2588D" w:rsidRPr="00A2588D" w:rsidRDefault="00A2588D" w:rsidP="00A2588D">
      <w:pPr>
        <w:autoSpaceDE w:val="0"/>
        <w:autoSpaceDN w:val="0"/>
        <w:adjustRightInd w:val="0"/>
        <w:spacing w:before="120"/>
        <w:rPr>
          <w:rFonts w:ascii="Sylfaen" w:eastAsia="Calibri" w:hAnsi="Sylfaen" w:cs="Arial"/>
          <w:color w:val="000000" w:themeColor="text1"/>
          <w:lang w:val="ka-GE"/>
        </w:rPr>
      </w:pPr>
      <w:r w:rsidRPr="00A2588D">
        <w:rPr>
          <w:rFonts w:ascii="Sylfaen" w:eastAsia="Calibri" w:hAnsi="Sylfaen" w:cs="Arial"/>
          <w:color w:val="000000" w:themeColor="text1"/>
          <w:lang w:val="ka-GE"/>
        </w:rPr>
        <w:t xml:space="preserve">დამატებით ჩატარებული ჰაბიტატების კვლევების შედეგად და წინა საველე გასვლების პროცესში მოპოვებული მასალებით დადგინდა, რომ საპროექტო დერეფანში, რომელიც რომელიც გადის დასახლებული ტერიტორიების მომიჯნავე ადგილებში და აგროლანდშაფტის ფარგლებში და დიდწილად ემთხვევა არსებულ გრუნტის გზებს, ზურმუხტის ქსელის კანდიდატი უბნის ფარგლებში არსებული 3 ტიპის ჰაბიტატიდან არ გვხვდება რომელიმე მათგანი. მდინარის გადაკვეთის უბნებში წარმოდგენილი ფლორისტული კომპონენტები, მათი სახეობრივი შემადგენლობის გათვალისწინებით, შეიძლება მიესადაგოს მხოლოდ F9.1. ტიპის ჰაბიტატს (მდინარისპირული ბუჩქნარი). თუმცა მსგავსების მიუხედავად ამ ტერიტორიებს არ გააჩნიათ მნიშვნელოვანი ეკოლოგიური ღირებულება და არ წარმოადგენს ცხოველთა სახეობებისთვის (განსაკუთრებით ბერნის კონვენციის სახეობები) მნიშვნელოვანს აბინადრო ადგილებს. </w:t>
      </w:r>
    </w:p>
    <w:p w14:paraId="79114878" w14:textId="77777777" w:rsidR="00A2588D" w:rsidRPr="00A2588D" w:rsidRDefault="00A2588D" w:rsidP="00A2588D">
      <w:pPr>
        <w:autoSpaceDE w:val="0"/>
        <w:autoSpaceDN w:val="0"/>
        <w:adjustRightInd w:val="0"/>
        <w:spacing w:before="120"/>
        <w:rPr>
          <w:rFonts w:ascii="Sylfaen" w:eastAsia="Calibri" w:hAnsi="Sylfaen" w:cs="Sylfaen"/>
          <w:color w:val="000000" w:themeColor="text1"/>
          <w:lang w:val="ka-GE"/>
        </w:rPr>
      </w:pPr>
      <w:r w:rsidRPr="00A2588D">
        <w:rPr>
          <w:rFonts w:ascii="Sylfaen" w:eastAsia="Calibri" w:hAnsi="Sylfaen" w:cs="Arial"/>
          <w:color w:val="000000" w:themeColor="text1"/>
          <w:lang w:val="ka-GE"/>
        </w:rPr>
        <w:t xml:space="preserve">კვლევის პროცესში არ შემხვედრია </w:t>
      </w:r>
      <w:r w:rsidRPr="00A2588D">
        <w:rPr>
          <w:rFonts w:ascii="Sylfaen" w:eastAsia="Calibri" w:hAnsi="Sylfaen" w:cs="Sylfaen"/>
          <w:color w:val="000000" w:themeColor="text1"/>
          <w:lang w:val="ka-GE"/>
        </w:rPr>
        <w:t>დაცული სტატუსის მქონე სახეობები. მსხვილი ძუძუმწოვრებისათვის (ბერნის კონვენციით დაცული სახეობები: დათვი, მგელი) ეს ტერიტორიები არ არის გამოსადეგი საბინადროდ. ამ ტერიტორიაზე  მათთვის შეუძლებელია ბუნაგების მოწყობა, ვინაიდან ძლიერი ანთროპოგენური ზეწოლაა, ტერიტორიები ძლიერ ფრაგმენტირებულია და სამიგრაციოდ-საკვების მოსაპოვებლად ძლიერი საფრთხის შემცველია.</w:t>
      </w:r>
    </w:p>
    <w:p w14:paraId="27161C3B" w14:textId="77777777" w:rsidR="00A2588D" w:rsidRPr="00A2588D" w:rsidRDefault="00A2588D" w:rsidP="00A2588D">
      <w:pPr>
        <w:spacing w:before="120"/>
        <w:rPr>
          <w:rFonts w:ascii="Sylfaen" w:eastAsia="Calibri" w:hAnsi="Sylfaen" w:cs="Arial"/>
          <w:color w:val="000000" w:themeColor="text1"/>
          <w:lang w:val="ka-GE"/>
        </w:rPr>
      </w:pPr>
      <w:r w:rsidRPr="00A2588D">
        <w:rPr>
          <w:rFonts w:ascii="Sylfaen" w:eastAsia="Calibri" w:hAnsi="Sylfaen" w:cs="Sylfaen"/>
          <w:color w:val="000000" w:themeColor="text1"/>
          <w:lang w:val="ka-GE"/>
        </w:rPr>
        <w:t xml:space="preserve">შედარებით მაღალი ალბათობა არსებობს, რომ სამშენებლო სამუშაოების გავლენის ზონაში მოექცნენ ისეთი მცირე ზომის სახეობები, როგორიცაა: </w:t>
      </w:r>
      <w:r w:rsidRPr="00A2588D">
        <w:rPr>
          <w:rFonts w:ascii="Sylfaen" w:eastAsia="Calibri" w:hAnsi="Sylfaen" w:cs="Arial"/>
          <w:color w:val="000000" w:themeColor="text1"/>
          <w:lang w:val="ka-GE"/>
        </w:rPr>
        <w:t xml:space="preserve">ჭაობის ევროპული კუ </w:t>
      </w:r>
      <w:r w:rsidRPr="00A2588D">
        <w:rPr>
          <w:rFonts w:ascii="Sylfaen" w:eastAsia="Calibri" w:hAnsi="Sylfaen" w:cs="Arial"/>
          <w:i/>
          <w:color w:val="000000" w:themeColor="text1"/>
          <w:lang w:val="ka-GE"/>
        </w:rPr>
        <w:t>Emys orbicularis</w:t>
      </w:r>
      <w:r w:rsidRPr="00A2588D">
        <w:rPr>
          <w:rFonts w:ascii="Sylfaen" w:eastAsia="Calibri" w:hAnsi="Sylfaen" w:cs="Arial"/>
          <w:color w:val="000000" w:themeColor="text1"/>
          <w:lang w:val="ka-GE"/>
        </w:rPr>
        <w:t xml:space="preserve"> და უფრო ნაკლები ალბათობით სავარცხლიანი ტრიტონი </w:t>
      </w:r>
      <w:r w:rsidRPr="00A2588D">
        <w:rPr>
          <w:rFonts w:ascii="Sylfaen" w:eastAsia="Calibri" w:hAnsi="Sylfaen" w:cs="Arial"/>
          <w:i/>
          <w:color w:val="000000" w:themeColor="text1"/>
          <w:lang w:val="ka-GE"/>
        </w:rPr>
        <w:t xml:space="preserve">Triturus karelini. </w:t>
      </w:r>
      <w:r w:rsidRPr="00A2588D">
        <w:rPr>
          <w:rFonts w:ascii="Sylfaen" w:eastAsia="Calibri" w:hAnsi="Sylfaen" w:cs="Arial"/>
          <w:color w:val="000000" w:themeColor="text1"/>
          <w:lang w:val="ka-GE"/>
        </w:rPr>
        <w:t xml:space="preserve">ამ სახეობებისთვის საპროექტო დერეფანში წარმოდგენილი ჰაბიტატებიდან, შედარებით მიმზიდველი შეიძლება იყოს მდინარეთა გადაკვეთის ადგილები - სანაპირო ზოლი რომლებიც დაფარულია ბალახოვანი მცენარეებით, აღინიშნება დაჭაობება და წარმოდგენილია მცირე შეგუბებები. </w:t>
      </w:r>
    </w:p>
    <w:p w14:paraId="0E163CD5" w14:textId="77777777" w:rsidR="00A2588D" w:rsidRPr="00A2588D" w:rsidRDefault="00A2588D" w:rsidP="00A2588D">
      <w:pPr>
        <w:spacing w:before="120"/>
        <w:rPr>
          <w:rFonts w:ascii="Sylfaen" w:eastAsia="Calibri" w:hAnsi="Sylfaen" w:cs="Arial"/>
          <w:color w:val="000000" w:themeColor="text1"/>
          <w:lang w:val="ka-GE"/>
        </w:rPr>
      </w:pPr>
      <w:r w:rsidRPr="00A2588D">
        <w:rPr>
          <w:rFonts w:ascii="Sylfaen" w:eastAsia="Calibri" w:hAnsi="Sylfaen" w:cs="Arial"/>
          <w:color w:val="000000" w:themeColor="text1"/>
          <w:lang w:val="ka-GE"/>
        </w:rPr>
        <w:t xml:space="preserve">პროექტის განხორციელების შედეგად მოსალოდნელი ზემოქმედებები შეჯამებულია ცხრილში 5.1. შეფასება ძირითადად გაკეთებულია იმ ტიპის ჰაბიტატების და სახეობებისთვის, რომლებიც ლანდშაფტური კუთვნილებიდან გამომდინარე შეიძლება მოხვდნენ საპროექტო დერეფანში. ასევე ყურადღება გამახვილდა შედარებით მაღალი საკონსერვაციო სტატუსის მქონე სახეობებზე, როგორიცაა: დათვი, მგელი. ამავე ცხრილში მოცემულია მოსალოდნელი ზემოქმედებები და შესაბამისი შემარბილებელი ღონისძიებები. </w:t>
      </w:r>
    </w:p>
    <w:p w14:paraId="6CB6320D" w14:textId="77777777" w:rsidR="00A2588D" w:rsidRPr="00A2588D" w:rsidRDefault="00A2588D" w:rsidP="00A2588D">
      <w:pPr>
        <w:spacing w:before="120"/>
        <w:rPr>
          <w:rFonts w:ascii="Sylfaen" w:eastAsia="Calibri" w:hAnsi="Sylfaen" w:cs="Arial"/>
          <w:highlight w:val="green"/>
          <w:lang w:val="ka-GE"/>
        </w:rPr>
        <w:sectPr w:rsidR="00A2588D" w:rsidRPr="00A2588D" w:rsidSect="00A2588D">
          <w:pgSz w:w="11907" w:h="16839"/>
          <w:pgMar w:top="1134" w:right="567" w:bottom="1134" w:left="1134" w:header="397" w:footer="397" w:gutter="0"/>
          <w:cols w:space="720"/>
          <w:docGrid w:linePitch="299"/>
        </w:sectPr>
      </w:pPr>
    </w:p>
    <w:p w14:paraId="24AAFD62" w14:textId="77777777" w:rsidR="00A2588D" w:rsidRPr="00A2588D" w:rsidRDefault="00A2588D" w:rsidP="00A2588D">
      <w:pPr>
        <w:jc w:val="right"/>
        <w:rPr>
          <w:rFonts w:ascii="Sylfaen" w:eastAsia="Calibri" w:hAnsi="Sylfaen" w:cs="Arial"/>
          <w:i/>
          <w:sz w:val="20"/>
          <w:lang w:val="ka-GE"/>
        </w:rPr>
      </w:pPr>
      <w:r w:rsidRPr="00A2588D">
        <w:rPr>
          <w:rFonts w:ascii="Sylfaen" w:eastAsia="Calibri" w:hAnsi="Sylfaen" w:cs="Arial"/>
          <w:i/>
          <w:sz w:val="20"/>
          <w:lang w:val="ka-GE"/>
        </w:rPr>
        <w:lastRenderedPageBreak/>
        <w:t>ცხრილი 5.1. პოტენციური ზემოქმედების დახასიათება ზურმუხტის ქსელის კანდიდატი უბანი „გომბორი“- სთვის დამახასიათებელ ჰაბიტატებზე და   სახეობებზე</w:t>
      </w:r>
    </w:p>
    <w:tbl>
      <w:tblPr>
        <w:tblStyle w:val="TableGrid11"/>
        <w:tblW w:w="15368" w:type="dxa"/>
        <w:tblLook w:val="04A0" w:firstRow="1" w:lastRow="0" w:firstColumn="1" w:lastColumn="0" w:noHBand="0" w:noVBand="1"/>
      </w:tblPr>
      <w:tblGrid>
        <w:gridCol w:w="3796"/>
        <w:gridCol w:w="4772"/>
        <w:gridCol w:w="2288"/>
        <w:gridCol w:w="4512"/>
      </w:tblGrid>
      <w:tr w:rsidR="00A2588D" w:rsidRPr="00A2588D" w14:paraId="52D6F02D" w14:textId="77777777" w:rsidTr="00A2588D">
        <w:tc>
          <w:tcPr>
            <w:tcW w:w="3796" w:type="dxa"/>
            <w:shd w:val="clear" w:color="auto" w:fill="D9D9D9" w:themeFill="background1" w:themeFillShade="D9"/>
            <w:vAlign w:val="center"/>
          </w:tcPr>
          <w:p w14:paraId="4EC7585D"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ჰაბიტატის ტიპი ან სახეობა</w:t>
            </w:r>
          </w:p>
        </w:tc>
        <w:tc>
          <w:tcPr>
            <w:tcW w:w="4772" w:type="dxa"/>
            <w:shd w:val="clear" w:color="auto" w:fill="D9D9D9" w:themeFill="background1" w:themeFillShade="D9"/>
            <w:vAlign w:val="center"/>
          </w:tcPr>
          <w:p w14:paraId="5095D7BA"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ზემოქმედების დახასიათება</w:t>
            </w:r>
          </w:p>
        </w:tc>
        <w:tc>
          <w:tcPr>
            <w:tcW w:w="2288" w:type="dxa"/>
            <w:shd w:val="clear" w:color="auto" w:fill="D9D9D9" w:themeFill="background1" w:themeFillShade="D9"/>
            <w:vAlign w:val="center"/>
          </w:tcPr>
          <w:p w14:paraId="1F81E2A6"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ზემოქმედების მნიშვნელობა</w:t>
            </w:r>
          </w:p>
          <w:p w14:paraId="54E0B93E"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(მაღალი მნიშვნელობის ან არ არის მნიშვნელოვანი)</w:t>
            </w:r>
          </w:p>
        </w:tc>
        <w:tc>
          <w:tcPr>
            <w:tcW w:w="4512" w:type="dxa"/>
            <w:shd w:val="clear" w:color="auto" w:fill="D9D9D9" w:themeFill="background1" w:themeFillShade="D9"/>
            <w:vAlign w:val="center"/>
          </w:tcPr>
          <w:p w14:paraId="4C2F6F8A"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შემარბილებელი ღონისძიებები</w:t>
            </w:r>
          </w:p>
        </w:tc>
      </w:tr>
      <w:tr w:rsidR="00A2588D" w:rsidRPr="00A2588D" w14:paraId="6E5D800B" w14:textId="77777777" w:rsidTr="00A2588D">
        <w:tc>
          <w:tcPr>
            <w:tcW w:w="3796" w:type="dxa"/>
          </w:tcPr>
          <w:p w14:paraId="1AC8CF88" w14:textId="77777777" w:rsidR="00A2588D" w:rsidRPr="00A2588D" w:rsidRDefault="00A2588D" w:rsidP="00A2588D">
            <w:pPr>
              <w:autoSpaceDE w:val="0"/>
              <w:autoSpaceDN w:val="0"/>
              <w:adjustRightInd w:val="0"/>
              <w:rPr>
                <w:rFonts w:ascii="Sylfaen" w:eastAsia="Calibri" w:hAnsi="Sylfaen" w:cs="Sylfaen"/>
                <w:color w:val="000000" w:themeColor="text1"/>
                <w:sz w:val="20"/>
                <w:szCs w:val="20"/>
                <w:lang w:val="ka-GE"/>
              </w:rPr>
            </w:pPr>
            <w:r w:rsidRPr="00A2588D">
              <w:rPr>
                <w:rFonts w:ascii="Sylfaen" w:eastAsia="Calibri" w:hAnsi="Sylfaen" w:cs="Sylfaen"/>
                <w:color w:val="000000" w:themeColor="text1"/>
                <w:sz w:val="20"/>
                <w:szCs w:val="20"/>
                <w:lang w:val="ka-GE"/>
              </w:rPr>
              <w:t>E3.4. ევტროფული და მეზოტროფული მდელოები:</w:t>
            </w:r>
          </w:p>
        </w:tc>
        <w:tc>
          <w:tcPr>
            <w:tcW w:w="4772" w:type="dxa"/>
          </w:tcPr>
          <w:p w14:paraId="24CE5E70" w14:textId="77777777" w:rsidR="00A2588D" w:rsidRPr="00A2588D" w:rsidRDefault="00A2588D" w:rsidP="00A2588D">
            <w:pPr>
              <w:rPr>
                <w:rFonts w:ascii="Sylfaen" w:eastAsia="Calibri" w:hAnsi="Sylfaen" w:cs="Arial"/>
                <w:color w:val="000000" w:themeColor="text1"/>
                <w:sz w:val="20"/>
                <w:szCs w:val="20"/>
                <w:lang w:val="ka-GE"/>
              </w:rPr>
            </w:pPr>
            <w:bookmarkStart w:id="699" w:name="_Toc512247128"/>
            <w:r w:rsidRPr="00A2588D">
              <w:rPr>
                <w:rFonts w:ascii="Sylfaen" w:hAnsi="Sylfaen"/>
                <w:color w:val="000000" w:themeColor="text1"/>
                <w:sz w:val="20"/>
                <w:szCs w:val="20"/>
                <w:lang w:val="ka-GE"/>
              </w:rPr>
              <w:t>პროექტის განხორციელების საზღვრებში ამ ტიპის ჰაბიტატები წარმოდგენილი არ არის. შესაბამისად პროექტის განხორციელება რაიმე ზიანს ვერ მოახდენს</w:t>
            </w:r>
            <w:bookmarkEnd w:id="699"/>
            <w:r w:rsidRPr="00A2588D">
              <w:rPr>
                <w:rFonts w:ascii="Sylfaen" w:hAnsi="Sylfaen"/>
                <w:color w:val="000000" w:themeColor="text1"/>
                <w:sz w:val="20"/>
                <w:szCs w:val="20"/>
                <w:lang w:val="ka-GE"/>
              </w:rPr>
              <w:t>.</w:t>
            </w:r>
          </w:p>
        </w:tc>
        <w:tc>
          <w:tcPr>
            <w:tcW w:w="2288" w:type="dxa"/>
            <w:vAlign w:val="center"/>
          </w:tcPr>
          <w:p w14:paraId="1C09B3D9"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მოსალოდნელი არ არის</w:t>
            </w:r>
          </w:p>
        </w:tc>
        <w:tc>
          <w:tcPr>
            <w:tcW w:w="4512" w:type="dxa"/>
          </w:tcPr>
          <w:p w14:paraId="3B455869" w14:textId="77777777" w:rsidR="00A2588D" w:rsidRPr="00A2588D" w:rsidRDefault="00A2588D" w:rsidP="00A2588D">
            <w:pP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 xml:space="preserve">დამატებითი შემარბილებელი ღონისძიებების გატარება საჭირო არ არის. </w:t>
            </w:r>
          </w:p>
        </w:tc>
      </w:tr>
      <w:tr w:rsidR="00A2588D" w:rsidRPr="00A2588D" w14:paraId="1D2B0921" w14:textId="77777777" w:rsidTr="00A2588D">
        <w:tc>
          <w:tcPr>
            <w:tcW w:w="3796" w:type="dxa"/>
          </w:tcPr>
          <w:p w14:paraId="14062647" w14:textId="77777777" w:rsidR="00A2588D" w:rsidRPr="00A2588D" w:rsidRDefault="00A2588D" w:rsidP="00A2588D">
            <w:pPr>
              <w:autoSpaceDE w:val="0"/>
              <w:autoSpaceDN w:val="0"/>
              <w:adjustRightInd w:val="0"/>
              <w:rPr>
                <w:rFonts w:ascii="Sylfaen" w:eastAsia="Calibri" w:hAnsi="Sylfaen" w:cs="Sylfaen"/>
                <w:color w:val="000000" w:themeColor="text1"/>
                <w:sz w:val="20"/>
                <w:szCs w:val="20"/>
                <w:lang w:val="ka-GE"/>
              </w:rPr>
            </w:pPr>
            <w:r w:rsidRPr="00A2588D">
              <w:rPr>
                <w:rFonts w:ascii="Sylfaen" w:eastAsia="Calibri" w:hAnsi="Sylfaen" w:cs="Sylfaen"/>
                <w:color w:val="000000" w:themeColor="text1"/>
                <w:sz w:val="20"/>
                <w:szCs w:val="20"/>
                <w:lang w:val="ka-GE"/>
              </w:rPr>
              <w:t>F9.1. მდინარისპირული ბუჩქნარი:</w:t>
            </w:r>
          </w:p>
          <w:p w14:paraId="4AF72412" w14:textId="77777777" w:rsidR="00A2588D" w:rsidRPr="00A2588D" w:rsidRDefault="00A2588D" w:rsidP="00A2588D">
            <w:pPr>
              <w:autoSpaceDE w:val="0"/>
              <w:autoSpaceDN w:val="0"/>
              <w:adjustRightInd w:val="0"/>
              <w:spacing w:before="120"/>
              <w:rPr>
                <w:rFonts w:ascii="Sylfaen" w:eastAsia="Calibri" w:hAnsi="Sylfaen" w:cs="Sylfaen"/>
                <w:color w:val="000000" w:themeColor="text1"/>
                <w:sz w:val="20"/>
                <w:szCs w:val="20"/>
                <w:lang w:val="ka-GE"/>
              </w:rPr>
            </w:pPr>
          </w:p>
        </w:tc>
        <w:tc>
          <w:tcPr>
            <w:tcW w:w="4772" w:type="dxa"/>
          </w:tcPr>
          <w:p w14:paraId="062F9BD0" w14:textId="77777777" w:rsidR="00A2588D" w:rsidRPr="00A2588D" w:rsidRDefault="00A2588D" w:rsidP="00A2588D">
            <w:pPr>
              <w:rPr>
                <w:rFonts w:ascii="Sylfaen" w:hAnsi="Sylfaen"/>
                <w:color w:val="000000" w:themeColor="text1"/>
                <w:sz w:val="20"/>
                <w:szCs w:val="20"/>
                <w:lang w:val="ka-GE"/>
              </w:rPr>
            </w:pPr>
            <w:r w:rsidRPr="00A2588D">
              <w:rPr>
                <w:rFonts w:ascii="Sylfaen" w:hAnsi="Sylfaen"/>
                <w:color w:val="000000" w:themeColor="text1"/>
                <w:sz w:val="20"/>
                <w:szCs w:val="20"/>
                <w:lang w:val="ka-GE"/>
              </w:rPr>
              <w:t xml:space="preserve">ზურმნუხტის ქსელის კანდიდატ უბანში შემავალი ჰაბიტატის მსგავსი გვხვდება საპროექტო ტერიტორიის მხოლოდ მცირე ნაწილი, თუმცა მისი ბუნებრიობის ხარისხი მკვეთრად  დაქვეითებულია. მიმდებარე ტერიტორიებზე  მაღალი ანთროპოგენური დატვირთვის გამო, ცხოველთა მნიშვნელოვანი საბინადრო ადგილები წარმოდგენილი არ არის.  </w:t>
            </w:r>
          </w:p>
        </w:tc>
        <w:tc>
          <w:tcPr>
            <w:tcW w:w="2288" w:type="dxa"/>
            <w:vAlign w:val="center"/>
          </w:tcPr>
          <w:p w14:paraId="6B7922CC"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არ არის მნიშვნელოვანი</w:t>
            </w:r>
          </w:p>
        </w:tc>
        <w:tc>
          <w:tcPr>
            <w:tcW w:w="4512" w:type="dxa"/>
          </w:tcPr>
          <w:p w14:paraId="2138DAB5" w14:textId="77777777" w:rsidR="00A2588D" w:rsidRPr="00A2588D" w:rsidRDefault="00A2588D" w:rsidP="00A2588D">
            <w:pP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დამატებითი შემარბილებელი ღონისძიებების გატარება საჭირო არ არის. მნიშვნელოვანია საპროექტო ტერიტორიის საზღვრების დაცვა და გზშ-ს ანგარიშში ბიომრავალფეროვნებაზე მოსალოდნელი  ზემოქმედების შემცირების ღონისძიებების გატარება.</w:t>
            </w:r>
          </w:p>
        </w:tc>
      </w:tr>
      <w:tr w:rsidR="00A2588D" w:rsidRPr="00A2588D" w14:paraId="33E6B7C3" w14:textId="77777777" w:rsidTr="00A2588D">
        <w:trPr>
          <w:trHeight w:val="675"/>
        </w:trPr>
        <w:tc>
          <w:tcPr>
            <w:tcW w:w="3796" w:type="dxa"/>
          </w:tcPr>
          <w:p w14:paraId="1709F362" w14:textId="77777777" w:rsidR="00A2588D" w:rsidRPr="00A2588D" w:rsidRDefault="00A2588D" w:rsidP="00A2588D">
            <w:pPr>
              <w:autoSpaceDE w:val="0"/>
              <w:autoSpaceDN w:val="0"/>
              <w:adjustRightInd w:val="0"/>
              <w:rPr>
                <w:rFonts w:ascii="Sylfaen" w:eastAsia="Calibri" w:hAnsi="Sylfaen" w:cs="Sylfaen"/>
                <w:color w:val="000000" w:themeColor="text1"/>
                <w:sz w:val="20"/>
                <w:szCs w:val="20"/>
                <w:lang w:val="ka-GE"/>
              </w:rPr>
            </w:pPr>
            <w:r w:rsidRPr="00A2588D">
              <w:rPr>
                <w:rFonts w:ascii="Sylfaen" w:eastAsia="Calibri" w:hAnsi="Sylfaen" w:cs="Sylfaen"/>
                <w:color w:val="000000" w:themeColor="text1"/>
                <w:sz w:val="20"/>
                <w:szCs w:val="20"/>
                <w:lang w:val="ka-GE"/>
              </w:rPr>
              <w:t>G1.6. წიფლის ტყეები:</w:t>
            </w:r>
          </w:p>
        </w:tc>
        <w:tc>
          <w:tcPr>
            <w:tcW w:w="4772" w:type="dxa"/>
          </w:tcPr>
          <w:p w14:paraId="73CAB982" w14:textId="77777777" w:rsidR="00A2588D" w:rsidRPr="00A2588D" w:rsidRDefault="00A2588D" w:rsidP="00A2588D">
            <w:pPr>
              <w:rPr>
                <w:rFonts w:ascii="Sylfaen" w:eastAsia="Calibri" w:hAnsi="Sylfaen" w:cs="Arial"/>
                <w:color w:val="000000" w:themeColor="text1"/>
                <w:sz w:val="20"/>
                <w:szCs w:val="20"/>
                <w:lang w:val="ka-GE"/>
              </w:rPr>
            </w:pPr>
            <w:r w:rsidRPr="00A2588D">
              <w:rPr>
                <w:rFonts w:ascii="Sylfaen" w:hAnsi="Sylfaen"/>
                <w:color w:val="000000" w:themeColor="text1"/>
                <w:sz w:val="20"/>
                <w:szCs w:val="20"/>
                <w:lang w:val="ka-GE"/>
              </w:rPr>
              <w:t>პროექტის განხორციელების საზღვრებში ამ ტიპის ჰაბიტატები წარმოდგენილი არ არის. შესაბამისად პროექტის განხორციელება რაიმე ზიანს ვერ მოახდენს.</w:t>
            </w:r>
          </w:p>
        </w:tc>
        <w:tc>
          <w:tcPr>
            <w:tcW w:w="2288" w:type="dxa"/>
            <w:vAlign w:val="center"/>
          </w:tcPr>
          <w:p w14:paraId="433BB84C"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მოსალოდნელი არ არის</w:t>
            </w:r>
          </w:p>
        </w:tc>
        <w:tc>
          <w:tcPr>
            <w:tcW w:w="4512" w:type="dxa"/>
          </w:tcPr>
          <w:p w14:paraId="651A100D" w14:textId="77777777" w:rsidR="00A2588D" w:rsidRPr="00A2588D" w:rsidRDefault="00A2588D" w:rsidP="00A2588D">
            <w:pP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 xml:space="preserve">დამატებითი შემარბილებელი ღონისძიებების გატარება საჭირო არ არის. </w:t>
            </w:r>
          </w:p>
        </w:tc>
      </w:tr>
      <w:tr w:rsidR="00A2588D" w:rsidRPr="00A2588D" w14:paraId="39CF8A1E" w14:textId="77777777" w:rsidTr="00A2588D">
        <w:tc>
          <w:tcPr>
            <w:tcW w:w="3796" w:type="dxa"/>
          </w:tcPr>
          <w:p w14:paraId="3524830A" w14:textId="77777777" w:rsidR="00A2588D" w:rsidRPr="00A2588D" w:rsidRDefault="00A2588D" w:rsidP="00A2588D">
            <w:pPr>
              <w:autoSpaceDE w:val="0"/>
              <w:autoSpaceDN w:val="0"/>
              <w:adjustRightInd w:val="0"/>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 xml:space="preserve">მგელი </w:t>
            </w:r>
            <w:r w:rsidRPr="00A2588D">
              <w:rPr>
                <w:rFonts w:ascii="Sylfaen" w:eastAsia="Calibri" w:hAnsi="Sylfaen" w:cs="Arial"/>
                <w:i/>
                <w:color w:val="000000" w:themeColor="text1"/>
                <w:sz w:val="20"/>
                <w:szCs w:val="20"/>
                <w:lang w:val="ka-GE"/>
              </w:rPr>
              <w:t>Canis lupus</w:t>
            </w:r>
          </w:p>
          <w:p w14:paraId="54C3F03F" w14:textId="77777777" w:rsidR="00A2588D" w:rsidRPr="00A2588D" w:rsidRDefault="00A2588D" w:rsidP="00A2588D">
            <w:pPr>
              <w:autoSpaceDE w:val="0"/>
              <w:autoSpaceDN w:val="0"/>
              <w:adjustRightInd w:val="0"/>
              <w:rPr>
                <w:rFonts w:ascii="Sylfaen" w:eastAsia="Calibri" w:hAnsi="Sylfaen" w:cs="Arial"/>
                <w:color w:val="000000" w:themeColor="text1"/>
                <w:sz w:val="20"/>
                <w:szCs w:val="20"/>
                <w:lang w:val="ka-GE"/>
              </w:rPr>
            </w:pPr>
          </w:p>
        </w:tc>
        <w:tc>
          <w:tcPr>
            <w:tcW w:w="4772" w:type="dxa"/>
          </w:tcPr>
          <w:p w14:paraId="7BE48403" w14:textId="77777777" w:rsidR="00A2588D" w:rsidRPr="00A2588D" w:rsidRDefault="00A2588D" w:rsidP="00A2588D">
            <w:pPr>
              <w:tabs>
                <w:tab w:val="left" w:pos="922"/>
              </w:tabs>
              <w:rPr>
                <w:rFonts w:ascii="Sylfaen" w:hAnsi="Sylfaen"/>
                <w:color w:val="000000" w:themeColor="text1"/>
                <w:sz w:val="20"/>
                <w:szCs w:val="20"/>
                <w:lang w:val="ka-GE"/>
              </w:rPr>
            </w:pPr>
            <w:r w:rsidRPr="00A2588D">
              <w:rPr>
                <w:rFonts w:ascii="Sylfaen" w:hAnsi="Sylfaen"/>
                <w:color w:val="000000" w:themeColor="text1"/>
                <w:sz w:val="20"/>
                <w:szCs w:val="20"/>
                <w:lang w:val="ka-GE"/>
              </w:rPr>
              <w:t>საველე კვლევის დროს მგლის კვალი ნანახი ვერ იქნა. საპროექტო ტერიტორია მგელისთვის არ წარმოადგენს უნიკალურ საარსებო გარემოს, მაღალი ანთროპოგენური დატვირთვის გამო. პრაქტიკულად გამორიცხულია საპროექტო დერეფანში და მიმდებარე ტერიტორიებზე მგლის ბუნაგების არსებობა. ამასთანავე აღნიშნულ დერეფანს ეს სახეობა მიგრაციისთვისაც ნაკლებად გამოიყენებს, არსებული გზების, სარკინიგზო ხაზის, დასახლებული პუნქტების და სხვა ინფრასტრუქტურის არსებობის გამო. პროექტის ტერიტორიის მიღმა მგელისთვის გაცილებით ხელსაყრელი გარემოა.</w:t>
            </w:r>
          </w:p>
        </w:tc>
        <w:tc>
          <w:tcPr>
            <w:tcW w:w="2288" w:type="dxa"/>
            <w:vAlign w:val="center"/>
          </w:tcPr>
          <w:p w14:paraId="08A97336"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მოსალოდნელი არ არის</w:t>
            </w:r>
          </w:p>
        </w:tc>
        <w:tc>
          <w:tcPr>
            <w:tcW w:w="4512" w:type="dxa"/>
          </w:tcPr>
          <w:p w14:paraId="67B58581" w14:textId="77777777" w:rsidR="00A2588D" w:rsidRPr="00A2588D" w:rsidRDefault="00A2588D" w:rsidP="00A2588D">
            <w:pP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დამატებითი შემარბილებელი ღონისძიებების გატარება საჭირო არ არის.</w:t>
            </w:r>
          </w:p>
        </w:tc>
      </w:tr>
      <w:tr w:rsidR="00A2588D" w:rsidRPr="00A2588D" w14:paraId="05A1164C" w14:textId="77777777" w:rsidTr="00A2588D">
        <w:tc>
          <w:tcPr>
            <w:tcW w:w="3796" w:type="dxa"/>
          </w:tcPr>
          <w:p w14:paraId="69F27C15" w14:textId="77777777" w:rsidR="00A2588D" w:rsidRPr="00A2588D" w:rsidRDefault="00A2588D" w:rsidP="00A2588D">
            <w:pPr>
              <w:autoSpaceDE w:val="0"/>
              <w:autoSpaceDN w:val="0"/>
              <w:adjustRightInd w:val="0"/>
              <w:rPr>
                <w:rFonts w:ascii="Sylfaen" w:eastAsia="Calibri" w:hAnsi="Sylfaen" w:cs="Arial"/>
                <w:i/>
                <w:color w:val="000000" w:themeColor="text1"/>
                <w:sz w:val="20"/>
                <w:szCs w:val="20"/>
                <w:lang w:val="ka-GE"/>
              </w:rPr>
            </w:pPr>
            <w:r w:rsidRPr="00A2588D">
              <w:rPr>
                <w:rFonts w:ascii="Sylfaen" w:eastAsia="Calibri" w:hAnsi="Sylfaen" w:cs="Arial"/>
                <w:color w:val="000000" w:themeColor="text1"/>
                <w:sz w:val="20"/>
                <w:szCs w:val="20"/>
                <w:lang w:val="ka-GE"/>
              </w:rPr>
              <w:lastRenderedPageBreak/>
              <w:t>წავი</w:t>
            </w:r>
            <w:r w:rsidRPr="00A2588D">
              <w:rPr>
                <w:rFonts w:ascii="Sylfaen" w:eastAsia="Calibri" w:hAnsi="Sylfaen" w:cs="Arial"/>
                <w:i/>
                <w:color w:val="000000" w:themeColor="text1"/>
                <w:sz w:val="20"/>
                <w:szCs w:val="20"/>
                <w:lang w:val="ka-GE"/>
              </w:rPr>
              <w:t xml:space="preserve"> Lutra lutra</w:t>
            </w:r>
          </w:p>
          <w:p w14:paraId="168F3402" w14:textId="77777777" w:rsidR="00A2588D" w:rsidRPr="00A2588D" w:rsidRDefault="00A2588D" w:rsidP="00A2588D">
            <w:pPr>
              <w:autoSpaceDE w:val="0"/>
              <w:autoSpaceDN w:val="0"/>
              <w:adjustRightInd w:val="0"/>
              <w:rPr>
                <w:rFonts w:ascii="Sylfaen" w:eastAsia="Calibri" w:hAnsi="Sylfaen" w:cs="Arial"/>
                <w:color w:val="000000" w:themeColor="text1"/>
                <w:sz w:val="20"/>
                <w:szCs w:val="20"/>
                <w:lang w:val="ka-GE"/>
              </w:rPr>
            </w:pPr>
          </w:p>
        </w:tc>
        <w:tc>
          <w:tcPr>
            <w:tcW w:w="4772" w:type="dxa"/>
          </w:tcPr>
          <w:p w14:paraId="0ECAE64E" w14:textId="77777777" w:rsidR="00A2588D" w:rsidRPr="00A2588D" w:rsidRDefault="00A2588D" w:rsidP="00A2588D">
            <w:pPr>
              <w:tabs>
                <w:tab w:val="left" w:pos="922"/>
              </w:tabs>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 xml:space="preserve">წავი წყალთან დაკავშირებული ერთ-ერთი მსხვილი ძუძუმწოვარია, მისთვის საბინადრო გარემოს წარმოადგენს დიდი მდინარე, ტბა ან ხელოვნური დაგუბება. მსგავსი გარემო საპროექტო ტერიტორიაზე არ გვხვდება. მდინარეები, რომლებიც საპროექტო დერეფანს კვეთს, არ გამოირჩევა იქთიოფაუნის სიმრავლით, და ამასთანავე ზაფხულობით ხშირ შემთხვევაში მთლიანად შრება. ასეთი პირობები კი წავისთვის არახელსაყრელი საბინადრო გარემოა. </w:t>
            </w:r>
          </w:p>
        </w:tc>
        <w:tc>
          <w:tcPr>
            <w:tcW w:w="2288" w:type="dxa"/>
            <w:vAlign w:val="center"/>
          </w:tcPr>
          <w:p w14:paraId="18F1ECF2"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მოსალოდნელი არ არის</w:t>
            </w:r>
          </w:p>
        </w:tc>
        <w:tc>
          <w:tcPr>
            <w:tcW w:w="4512" w:type="dxa"/>
          </w:tcPr>
          <w:p w14:paraId="141BB2A5" w14:textId="77777777" w:rsidR="00A2588D" w:rsidRPr="00A2588D" w:rsidRDefault="00A2588D" w:rsidP="00A2588D">
            <w:pP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 xml:space="preserve">დამატებითი შემარბილებელი ღონისძიებების გატარება საჭირო არ არის. მაქსიმალურად უნდა გატარდეს ზედაპირული წყლების დაბინძურების პრევენციული ღონისძიებები, ვინაიდან დერეფნის გადამკვეთი მდინარეები მდ. ალაზნის შენაკადს წარმოადგენენ, რომლის სანაპირო ზოლში ამ სახეობის ხელსაყრელი ჰაბიტატები ფიქსირდება. </w:t>
            </w:r>
          </w:p>
        </w:tc>
      </w:tr>
      <w:tr w:rsidR="00A2588D" w:rsidRPr="00A2588D" w14:paraId="53F4FF61" w14:textId="77777777" w:rsidTr="00A2588D">
        <w:tc>
          <w:tcPr>
            <w:tcW w:w="3796" w:type="dxa"/>
          </w:tcPr>
          <w:p w14:paraId="0FE1177C" w14:textId="77777777" w:rsidR="00A2588D" w:rsidRPr="00A2588D" w:rsidRDefault="00A2588D" w:rsidP="00A2588D">
            <w:pPr>
              <w:autoSpaceDE w:val="0"/>
              <w:autoSpaceDN w:val="0"/>
              <w:adjustRightInd w:val="0"/>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 xml:space="preserve">მურა დათვი </w:t>
            </w:r>
            <w:r w:rsidRPr="00A2588D">
              <w:rPr>
                <w:rFonts w:ascii="Sylfaen" w:eastAsia="Calibri" w:hAnsi="Sylfaen" w:cs="Arial"/>
                <w:i/>
                <w:color w:val="000000" w:themeColor="text1"/>
                <w:sz w:val="20"/>
                <w:szCs w:val="20"/>
                <w:lang w:val="ka-GE"/>
              </w:rPr>
              <w:t>Ursus arctos</w:t>
            </w:r>
          </w:p>
          <w:p w14:paraId="494EBA86" w14:textId="77777777" w:rsidR="00A2588D" w:rsidRPr="00A2588D" w:rsidRDefault="00A2588D" w:rsidP="00A2588D">
            <w:pPr>
              <w:autoSpaceDE w:val="0"/>
              <w:autoSpaceDN w:val="0"/>
              <w:adjustRightInd w:val="0"/>
              <w:rPr>
                <w:rFonts w:ascii="Sylfaen" w:eastAsia="Calibri" w:hAnsi="Sylfaen" w:cs="Arial"/>
                <w:color w:val="000000" w:themeColor="text1"/>
                <w:sz w:val="20"/>
                <w:szCs w:val="20"/>
                <w:lang w:val="ka-GE"/>
              </w:rPr>
            </w:pPr>
          </w:p>
        </w:tc>
        <w:tc>
          <w:tcPr>
            <w:tcW w:w="4772" w:type="dxa"/>
          </w:tcPr>
          <w:p w14:paraId="6C5695A5" w14:textId="77777777" w:rsidR="00A2588D" w:rsidRPr="00A2588D" w:rsidRDefault="00A2588D" w:rsidP="00A2588D">
            <w:pPr>
              <w:tabs>
                <w:tab w:val="left" w:pos="922"/>
              </w:tabs>
              <w:rPr>
                <w:rFonts w:ascii="Sylfaen" w:hAnsi="Sylfaen"/>
                <w:color w:val="000000" w:themeColor="text1"/>
                <w:sz w:val="20"/>
                <w:szCs w:val="20"/>
                <w:lang w:val="ka-GE"/>
              </w:rPr>
            </w:pPr>
            <w:r w:rsidRPr="00A2588D">
              <w:rPr>
                <w:rFonts w:ascii="Sylfaen" w:eastAsia="Calibri" w:hAnsi="Sylfaen" w:cs="Arial"/>
                <w:color w:val="000000" w:themeColor="text1"/>
                <w:sz w:val="20"/>
                <w:szCs w:val="20"/>
                <w:lang w:val="ka-GE"/>
              </w:rPr>
              <w:t>საველე კვლევის დროს დათვის არსებობა არ დაფიქსირებულა. საპროექტო ტერიტორია წარმოადგენს ურბანულ ნაწილს და აგროლანდშაფტის ტერიტორიებს. შესაბამისად ეს ზემოქმედების ქვეშ მოქცეული არეალი ვერ იქნება დათვისთვის მნიშვნელოვანი ჰაბიტატი.</w:t>
            </w:r>
          </w:p>
        </w:tc>
        <w:tc>
          <w:tcPr>
            <w:tcW w:w="2288" w:type="dxa"/>
            <w:vAlign w:val="center"/>
          </w:tcPr>
          <w:p w14:paraId="50B7DB85"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მოსალოდნელი არ არის</w:t>
            </w:r>
          </w:p>
        </w:tc>
        <w:tc>
          <w:tcPr>
            <w:tcW w:w="4512" w:type="dxa"/>
          </w:tcPr>
          <w:p w14:paraId="386D4B78" w14:textId="77777777" w:rsidR="00A2588D" w:rsidRPr="00A2588D" w:rsidRDefault="00A2588D" w:rsidP="00A2588D">
            <w:pP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დამატებითი შემარბილებელი ღონისძიებების გატარება საჭირო არ არის.</w:t>
            </w:r>
          </w:p>
        </w:tc>
      </w:tr>
      <w:tr w:rsidR="00A2588D" w:rsidRPr="00A2588D" w14:paraId="72B04C55" w14:textId="77777777" w:rsidTr="00A2588D">
        <w:tc>
          <w:tcPr>
            <w:tcW w:w="3796" w:type="dxa"/>
          </w:tcPr>
          <w:p w14:paraId="78F5FC55" w14:textId="77777777" w:rsidR="00A2588D" w:rsidRPr="00A2588D" w:rsidRDefault="00A2588D" w:rsidP="00A2588D">
            <w:pPr>
              <w:autoSpaceDE w:val="0"/>
              <w:autoSpaceDN w:val="0"/>
              <w:adjustRightInd w:val="0"/>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 xml:space="preserve">ჭაობის ევროპული კუ </w:t>
            </w:r>
            <w:r w:rsidRPr="00A2588D">
              <w:rPr>
                <w:rFonts w:ascii="Sylfaen" w:eastAsia="Calibri" w:hAnsi="Sylfaen" w:cs="Arial"/>
                <w:i/>
                <w:color w:val="000000" w:themeColor="text1"/>
                <w:sz w:val="20"/>
                <w:szCs w:val="20"/>
                <w:lang w:val="ka-GE"/>
              </w:rPr>
              <w:t>Emys orbicularis</w:t>
            </w:r>
          </w:p>
        </w:tc>
        <w:tc>
          <w:tcPr>
            <w:tcW w:w="4772" w:type="dxa"/>
          </w:tcPr>
          <w:p w14:paraId="0FDE4FC1" w14:textId="77777777" w:rsidR="00A2588D" w:rsidRPr="00A2588D" w:rsidRDefault="00A2588D" w:rsidP="00A2588D">
            <w:pPr>
              <w:tabs>
                <w:tab w:val="left" w:pos="922"/>
              </w:tabs>
              <w:rPr>
                <w:rFonts w:ascii="Sylfaen" w:hAnsi="Sylfaen"/>
                <w:color w:val="000000" w:themeColor="text1"/>
                <w:sz w:val="20"/>
                <w:szCs w:val="20"/>
                <w:lang w:val="ka-GE"/>
              </w:rPr>
            </w:pPr>
            <w:r w:rsidRPr="00A2588D">
              <w:rPr>
                <w:rFonts w:ascii="Sylfaen" w:eastAsia="Calibri" w:hAnsi="Sylfaen" w:cs="Arial"/>
                <w:color w:val="000000" w:themeColor="text1"/>
                <w:sz w:val="20"/>
                <w:szCs w:val="20"/>
                <w:lang w:val="ka-GE"/>
              </w:rPr>
              <w:t xml:space="preserve">საველე კვლევის დროს ეს სახეობა დაფიქსირებული არ ყოფილა. თუმცა მისი ცხოვრების ნირიდან გამომდინარე შეიძლება შეგხვდეს მდინარეების სანაპირო ზოლის მიმდებარე არეალებში. პროექტის განხორციელებით მოსალოდნელი ზემოქმედება იქნება დაბალი მნიშვნელობის, რაც ძირითადად შეშფოთებით გამოიხატება. ასევე არ უნდა გამოირიცხოს მათი შემთხვევითი დაზიანება ან მუშა-პერსონალის მხრიდან ბრაკონიერობა/ვანდალური ქმედებები </w:t>
            </w:r>
          </w:p>
        </w:tc>
        <w:tc>
          <w:tcPr>
            <w:tcW w:w="2288" w:type="dxa"/>
            <w:vAlign w:val="center"/>
          </w:tcPr>
          <w:p w14:paraId="5EA650CA"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არ არის მნიშვნელოვანი</w:t>
            </w:r>
          </w:p>
        </w:tc>
        <w:tc>
          <w:tcPr>
            <w:tcW w:w="4512" w:type="dxa"/>
          </w:tcPr>
          <w:p w14:paraId="2D763FA2" w14:textId="77777777" w:rsidR="00A2588D" w:rsidRPr="00A2588D" w:rsidRDefault="00A2588D" w:rsidP="00821E4D">
            <w:pPr>
              <w:pStyle w:val="ListParagraph"/>
              <w:numPr>
                <w:ilvl w:val="0"/>
                <w:numId w:val="58"/>
              </w:numPr>
              <w:spacing w:after="0" w:line="240" w:lineRule="auto"/>
              <w:ind w:left="293"/>
              <w:jc w:val="left"/>
              <w:rPr>
                <w:rFonts w:eastAsia="Calibri" w:cs="Arial"/>
                <w:color w:val="000000" w:themeColor="text1"/>
                <w:sz w:val="20"/>
                <w:szCs w:val="20"/>
                <w:lang w:val="ka-GE"/>
              </w:rPr>
            </w:pPr>
            <w:r w:rsidRPr="00A2588D">
              <w:rPr>
                <w:rFonts w:eastAsia="Calibri" w:cs="Arial"/>
                <w:color w:val="000000" w:themeColor="text1"/>
                <w:sz w:val="20"/>
                <w:szCs w:val="20"/>
                <w:lang w:val="ka-GE"/>
              </w:rPr>
              <w:t>სამუშაო ზონის საზღვრების დაცვა, განსაკუთრებით ხიდების მშენებლობისას მდინარის სანაპირო ზოლში;</w:t>
            </w:r>
          </w:p>
          <w:p w14:paraId="2C73F30F" w14:textId="77777777" w:rsidR="00A2588D" w:rsidRPr="00A2588D" w:rsidRDefault="00A2588D" w:rsidP="00821E4D">
            <w:pPr>
              <w:pStyle w:val="ListParagraph"/>
              <w:numPr>
                <w:ilvl w:val="0"/>
                <w:numId w:val="58"/>
              </w:numPr>
              <w:spacing w:after="0" w:line="240" w:lineRule="auto"/>
              <w:ind w:left="293"/>
              <w:jc w:val="left"/>
              <w:rPr>
                <w:rFonts w:eastAsia="Calibri" w:cs="Arial"/>
                <w:color w:val="000000" w:themeColor="text1"/>
                <w:sz w:val="20"/>
                <w:szCs w:val="20"/>
                <w:lang w:val="ka-GE"/>
              </w:rPr>
            </w:pPr>
            <w:r w:rsidRPr="00A2588D">
              <w:rPr>
                <w:rFonts w:eastAsia="Calibri" w:cs="Arial"/>
                <w:color w:val="000000" w:themeColor="text1"/>
                <w:sz w:val="20"/>
                <w:szCs w:val="20"/>
                <w:lang w:val="ka-GE"/>
              </w:rPr>
              <w:t>მშენებლობაზე დასაქმებული პერსონალის ხელმძღვანელი პირები (სუპერვაიზერები) ინფორმირებული უნდა იყვნენ ჭაობის კუს ინდივიდების ვიზუალური მახასიათებლებისა და ქცევის შესახებ;</w:t>
            </w:r>
          </w:p>
          <w:p w14:paraId="77404BAE" w14:textId="77777777" w:rsidR="00A2588D" w:rsidRPr="00A2588D" w:rsidRDefault="00A2588D" w:rsidP="00821E4D">
            <w:pPr>
              <w:pStyle w:val="ListParagraph"/>
              <w:numPr>
                <w:ilvl w:val="0"/>
                <w:numId w:val="58"/>
              </w:numPr>
              <w:spacing w:after="0" w:line="240" w:lineRule="auto"/>
              <w:ind w:left="293"/>
              <w:jc w:val="left"/>
              <w:rPr>
                <w:rFonts w:eastAsia="Calibri" w:cs="Arial"/>
                <w:color w:val="000000" w:themeColor="text1"/>
                <w:sz w:val="20"/>
                <w:szCs w:val="20"/>
                <w:lang w:val="ka-GE"/>
              </w:rPr>
            </w:pPr>
            <w:r w:rsidRPr="00A2588D">
              <w:rPr>
                <w:rFonts w:eastAsia="Calibri" w:cs="Arial"/>
                <w:color w:val="000000" w:themeColor="text1"/>
                <w:sz w:val="20"/>
                <w:szCs w:val="20"/>
                <w:lang w:val="ka-GE"/>
              </w:rPr>
              <w:t>მდინარეების სანაპირო ზოლთან მიწის სამუშაოების დაწყებამდე დასამუშავებელი ტერიტორიის (განსაკუთრებით ბალახოვანი საფარით დაფარული ტერიტორია) პერიმეტრის ყურადღებით დათვალიერება კუს ინდივიდების ან მათი საცხოვრებელი ადგილის გამოვლენის მიზნით;</w:t>
            </w:r>
          </w:p>
          <w:p w14:paraId="78A44C1E" w14:textId="77777777" w:rsidR="00A2588D" w:rsidRPr="00A2588D" w:rsidRDefault="00A2588D" w:rsidP="00821E4D">
            <w:pPr>
              <w:pStyle w:val="ListParagraph"/>
              <w:numPr>
                <w:ilvl w:val="0"/>
                <w:numId w:val="58"/>
              </w:numPr>
              <w:spacing w:after="0" w:line="240" w:lineRule="auto"/>
              <w:ind w:left="293"/>
              <w:jc w:val="left"/>
              <w:rPr>
                <w:rFonts w:eastAsia="Calibri" w:cs="Arial"/>
                <w:color w:val="000000" w:themeColor="text1"/>
                <w:sz w:val="20"/>
                <w:szCs w:val="20"/>
                <w:lang w:val="ka-GE"/>
              </w:rPr>
            </w:pPr>
            <w:r w:rsidRPr="00A2588D">
              <w:rPr>
                <w:rFonts w:eastAsia="Calibri" w:cs="Arial"/>
                <w:color w:val="000000" w:themeColor="text1"/>
                <w:sz w:val="20"/>
                <w:szCs w:val="20"/>
                <w:lang w:val="ka-GE"/>
              </w:rPr>
              <w:t xml:space="preserve">მშენებლობის დროს, მდინარის სანაპირო ზოლის მიმდებარე არეალში დარჩენილი ორმოებში ღამით ჩაშვებული უნდა იქნას </w:t>
            </w:r>
            <w:r w:rsidRPr="00A2588D">
              <w:rPr>
                <w:rFonts w:eastAsia="Calibri" w:cs="Arial"/>
                <w:color w:val="000000" w:themeColor="text1"/>
                <w:sz w:val="20"/>
                <w:szCs w:val="20"/>
                <w:lang w:val="ka-GE"/>
              </w:rPr>
              <w:lastRenderedPageBreak/>
              <w:t>ფიცრები ან სხვა მასალა, რომ ამ სახეობამ შეძლოს თავის დაღწევა;</w:t>
            </w:r>
          </w:p>
          <w:p w14:paraId="5209091E" w14:textId="77777777" w:rsidR="00A2588D" w:rsidRPr="00A2588D" w:rsidRDefault="00A2588D" w:rsidP="00821E4D">
            <w:pPr>
              <w:pStyle w:val="ListParagraph"/>
              <w:numPr>
                <w:ilvl w:val="0"/>
                <w:numId w:val="58"/>
              </w:numPr>
              <w:spacing w:after="0" w:line="240" w:lineRule="auto"/>
              <w:ind w:left="293"/>
              <w:jc w:val="left"/>
              <w:rPr>
                <w:rFonts w:eastAsia="Calibri" w:cs="Arial"/>
                <w:color w:val="000000" w:themeColor="text1"/>
                <w:sz w:val="20"/>
                <w:szCs w:val="20"/>
                <w:lang w:val="ka-GE"/>
              </w:rPr>
            </w:pPr>
            <w:r w:rsidRPr="00A2588D">
              <w:rPr>
                <w:rFonts w:eastAsia="Calibri" w:cs="Arial"/>
                <w:color w:val="000000" w:themeColor="text1"/>
                <w:sz w:val="20"/>
                <w:szCs w:val="20"/>
                <w:lang w:val="ka-GE"/>
              </w:rPr>
              <w:t>მშენებელ პერსონალს უნდა მიეცეთ მითითება, რომ დაუშვებელია ამ სახეობის დაფიქსირების შემთხვევაში მათი დახოცვა და სხვა პირდაპირი ზემოქმედება,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თუ ცხოველი შემთხვევით გაიჭედება სამუშაო უბანზე, მუშებმა უნდა მოძებნონ გზა, რათა მან დაუზიანებლად გააღწიოს ტერიტორიიდან;</w:t>
            </w:r>
          </w:p>
          <w:p w14:paraId="3FAFA53B" w14:textId="77777777" w:rsidR="00A2588D" w:rsidRPr="00A2588D" w:rsidRDefault="00A2588D" w:rsidP="00821E4D">
            <w:pPr>
              <w:pStyle w:val="ListParagraph"/>
              <w:numPr>
                <w:ilvl w:val="0"/>
                <w:numId w:val="58"/>
              </w:numPr>
              <w:spacing w:after="0" w:line="240" w:lineRule="auto"/>
              <w:ind w:left="293"/>
              <w:jc w:val="left"/>
              <w:rPr>
                <w:rFonts w:eastAsia="Calibri" w:cs="Arial"/>
                <w:color w:val="000000" w:themeColor="text1"/>
                <w:sz w:val="20"/>
                <w:szCs w:val="20"/>
                <w:lang w:val="ka-GE"/>
              </w:rPr>
            </w:pPr>
            <w:r w:rsidRPr="00A2588D">
              <w:rPr>
                <w:rFonts w:eastAsia="Calibri" w:cs="Arial"/>
                <w:color w:val="000000" w:themeColor="text1"/>
                <w:sz w:val="20"/>
                <w:szCs w:val="20"/>
                <w:lang w:val="ka-GE"/>
              </w:rPr>
              <w:t>ამ სახეობის გამოვლენის შემთხვევაში, თუ იგი ზემოქმედების არეალს ვერ სცილდება, საპროექტო დერეფნის პერიმეტრს გარეთ მოძიებული უნდა იქნეს ანალოგიური ტიპის ჰაბიტატი და კუს ინდივიდები გაშვებული იქნას ბუნებაში;</w:t>
            </w:r>
          </w:p>
          <w:p w14:paraId="5062A066" w14:textId="77777777" w:rsidR="00A2588D" w:rsidRPr="00A2588D" w:rsidRDefault="00A2588D" w:rsidP="00821E4D">
            <w:pPr>
              <w:pStyle w:val="ListParagraph"/>
              <w:numPr>
                <w:ilvl w:val="0"/>
                <w:numId w:val="58"/>
              </w:numPr>
              <w:spacing w:after="0" w:line="240" w:lineRule="auto"/>
              <w:ind w:left="293"/>
              <w:jc w:val="left"/>
              <w:rPr>
                <w:rFonts w:eastAsia="Calibri" w:cs="Arial"/>
                <w:color w:val="000000" w:themeColor="text1"/>
                <w:sz w:val="20"/>
                <w:szCs w:val="20"/>
                <w:lang w:val="ka-GE"/>
              </w:rPr>
            </w:pPr>
            <w:r w:rsidRPr="00A2588D">
              <w:rPr>
                <w:rFonts w:eastAsia="Calibri" w:cs="Arial"/>
                <w:color w:val="000000" w:themeColor="text1"/>
                <w:sz w:val="20"/>
                <w:szCs w:val="20"/>
                <w:lang w:val="ka-GE"/>
              </w:rPr>
              <w:t>გზშ-ს ანგარიშში მოცემული ემისიების, ხმაურის და ვიბრაციის გავრცელების, ასევე დაბინძურების შემარბილებელი ღონისძიებების გატარება;</w:t>
            </w:r>
          </w:p>
        </w:tc>
      </w:tr>
      <w:tr w:rsidR="00A2588D" w:rsidRPr="00A2588D" w14:paraId="7FC15A8B" w14:textId="77777777" w:rsidTr="00A2588D">
        <w:tc>
          <w:tcPr>
            <w:tcW w:w="3796" w:type="dxa"/>
          </w:tcPr>
          <w:p w14:paraId="706D4C91" w14:textId="77777777" w:rsidR="00A2588D" w:rsidRPr="00A2588D" w:rsidRDefault="00A2588D" w:rsidP="00A2588D">
            <w:pPr>
              <w:autoSpaceDE w:val="0"/>
              <w:autoSpaceDN w:val="0"/>
              <w:adjustRightInd w:val="0"/>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lastRenderedPageBreak/>
              <w:t xml:space="preserve">სავარცხლიანი ტრიტონი </w:t>
            </w:r>
            <w:r w:rsidRPr="00A2588D">
              <w:rPr>
                <w:rFonts w:ascii="Sylfaen" w:eastAsia="Calibri" w:hAnsi="Sylfaen" w:cs="Arial"/>
                <w:i/>
                <w:color w:val="000000" w:themeColor="text1"/>
                <w:sz w:val="20"/>
                <w:szCs w:val="20"/>
                <w:lang w:val="ka-GE"/>
              </w:rPr>
              <w:t>Triturus karelinii</w:t>
            </w:r>
          </w:p>
        </w:tc>
        <w:tc>
          <w:tcPr>
            <w:tcW w:w="4772" w:type="dxa"/>
          </w:tcPr>
          <w:p w14:paraId="2C1F41E6" w14:textId="77777777" w:rsidR="00A2588D" w:rsidRPr="00A2588D" w:rsidRDefault="00A2588D" w:rsidP="00A2588D">
            <w:pPr>
              <w:tabs>
                <w:tab w:val="left" w:pos="922"/>
              </w:tabs>
              <w:rPr>
                <w:rFonts w:ascii="Sylfaen" w:hAnsi="Sylfaen"/>
                <w:color w:val="000000" w:themeColor="text1"/>
                <w:sz w:val="20"/>
                <w:szCs w:val="20"/>
                <w:lang w:val="ka-GE"/>
              </w:rPr>
            </w:pPr>
            <w:r w:rsidRPr="00A2588D">
              <w:rPr>
                <w:rFonts w:ascii="Sylfaen" w:eastAsia="Calibri" w:hAnsi="Sylfaen" w:cs="Arial"/>
                <w:color w:val="000000" w:themeColor="text1"/>
                <w:sz w:val="20"/>
                <w:szCs w:val="20"/>
                <w:lang w:val="ka-GE"/>
              </w:rPr>
              <w:t>საველე კვლევის დროს ეს სახეობა დაფიქსირებული არ ყოფილა. თუმცა მისი ცხოვრების ნირიდან გამომდინარე შეიძლება შეგხვდეს მდინარეების სანაპირო ზოლის მიმდებარე არეალებში. პროექტის განხორციელებით მოსალოდნელი ზემოქმედება იქნება დაბალი მნიშვნელობის, რაც ძირითადად შეშფოთებით გამოიხატება. ასევე არ უნდა გამოირიცხოს მათი შემთხვევითი დაზიანება ან მუშა-პერსონალის მხრიდან ბრაკონიერობა/ვანდალური ქმედებები</w:t>
            </w:r>
          </w:p>
        </w:tc>
        <w:tc>
          <w:tcPr>
            <w:tcW w:w="2288" w:type="dxa"/>
            <w:vAlign w:val="center"/>
          </w:tcPr>
          <w:p w14:paraId="462FEBB2"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არ არის მნიშვნელოვანი</w:t>
            </w:r>
          </w:p>
        </w:tc>
        <w:tc>
          <w:tcPr>
            <w:tcW w:w="4512" w:type="dxa"/>
          </w:tcPr>
          <w:p w14:paraId="3771EF05" w14:textId="77777777" w:rsidR="00A2588D" w:rsidRPr="00A2588D" w:rsidRDefault="00A2588D" w:rsidP="00821E4D">
            <w:pPr>
              <w:pStyle w:val="ListParagraph"/>
              <w:numPr>
                <w:ilvl w:val="0"/>
                <w:numId w:val="58"/>
              </w:numPr>
              <w:spacing w:after="0" w:line="240" w:lineRule="auto"/>
              <w:ind w:left="293"/>
              <w:jc w:val="left"/>
              <w:rPr>
                <w:rFonts w:eastAsia="Calibri" w:cs="Arial"/>
                <w:color w:val="000000" w:themeColor="text1"/>
                <w:sz w:val="20"/>
                <w:szCs w:val="20"/>
                <w:lang w:val="ka-GE"/>
              </w:rPr>
            </w:pPr>
            <w:r w:rsidRPr="00A2588D">
              <w:rPr>
                <w:rFonts w:eastAsia="Calibri" w:cs="Arial"/>
                <w:color w:val="000000" w:themeColor="text1"/>
                <w:sz w:val="20"/>
                <w:szCs w:val="20"/>
                <w:lang w:val="ka-GE"/>
              </w:rPr>
              <w:t>სამუშაო ზონის საზღვრების დაცვა, განსაკუთრებით ხიდების მშენებლობისას მდინარის სანაპირო ზოლში;</w:t>
            </w:r>
          </w:p>
          <w:p w14:paraId="28EB671D" w14:textId="77777777" w:rsidR="00A2588D" w:rsidRPr="00A2588D" w:rsidRDefault="00A2588D" w:rsidP="00821E4D">
            <w:pPr>
              <w:pStyle w:val="ListParagraph"/>
              <w:numPr>
                <w:ilvl w:val="0"/>
                <w:numId w:val="58"/>
              </w:numPr>
              <w:spacing w:after="0" w:line="240" w:lineRule="auto"/>
              <w:ind w:left="293"/>
              <w:jc w:val="left"/>
              <w:rPr>
                <w:rFonts w:eastAsia="Calibri" w:cs="Arial"/>
                <w:color w:val="000000" w:themeColor="text1"/>
                <w:sz w:val="20"/>
                <w:szCs w:val="20"/>
                <w:lang w:val="ka-GE"/>
              </w:rPr>
            </w:pPr>
            <w:r w:rsidRPr="00A2588D">
              <w:rPr>
                <w:rFonts w:eastAsia="Calibri" w:cs="Arial"/>
                <w:color w:val="000000" w:themeColor="text1"/>
                <w:sz w:val="20"/>
                <w:szCs w:val="20"/>
                <w:lang w:val="ka-GE"/>
              </w:rPr>
              <w:t>მშენებლობაზე დასაქმებული პერსონალის ხელმძღვანელი პირები (სუპერვაიზერები) ინფორმირებული უნდა იყვნენ ამ სახეობის  ვიზუალური მახასიათებლებისა და ქცევის შესახებ;</w:t>
            </w:r>
          </w:p>
          <w:p w14:paraId="69DF8445" w14:textId="77777777" w:rsidR="00A2588D" w:rsidRPr="00A2588D" w:rsidRDefault="00A2588D" w:rsidP="00821E4D">
            <w:pPr>
              <w:pStyle w:val="ListParagraph"/>
              <w:numPr>
                <w:ilvl w:val="0"/>
                <w:numId w:val="58"/>
              </w:numPr>
              <w:spacing w:after="0" w:line="240" w:lineRule="auto"/>
              <w:ind w:left="293"/>
              <w:jc w:val="left"/>
              <w:rPr>
                <w:rFonts w:eastAsia="Calibri" w:cs="Arial"/>
                <w:color w:val="000000" w:themeColor="text1"/>
                <w:sz w:val="20"/>
                <w:szCs w:val="20"/>
                <w:lang w:val="ka-GE"/>
              </w:rPr>
            </w:pPr>
            <w:r w:rsidRPr="00A2588D">
              <w:rPr>
                <w:rFonts w:eastAsia="Calibri" w:cs="Arial"/>
                <w:color w:val="000000" w:themeColor="text1"/>
                <w:sz w:val="20"/>
                <w:szCs w:val="20"/>
                <w:lang w:val="ka-GE"/>
              </w:rPr>
              <w:t xml:space="preserve">მდინარეების სანაპირო ზოლთან მიწის სამუშაოების დაწყებამდე დასამუშავებელი ტერიტორიის (განსაკუთრებით </w:t>
            </w:r>
            <w:r w:rsidRPr="00A2588D">
              <w:rPr>
                <w:rFonts w:eastAsia="Calibri" w:cs="Arial"/>
                <w:color w:val="000000" w:themeColor="text1"/>
                <w:sz w:val="20"/>
                <w:szCs w:val="20"/>
                <w:lang w:val="ka-GE"/>
              </w:rPr>
              <w:lastRenderedPageBreak/>
              <w:t>ბალახოვანი საფარით დაფარული ტერიტორია) პერიმეტრის ყურადღებით დათვალიერება ამ სახეობის ინდივიდების ან მათი საცხოვრებელი ადგილის გამოვლენის მიზნით;</w:t>
            </w:r>
          </w:p>
          <w:p w14:paraId="3EE248DF" w14:textId="77777777" w:rsidR="00A2588D" w:rsidRPr="00A2588D" w:rsidRDefault="00A2588D" w:rsidP="00821E4D">
            <w:pPr>
              <w:pStyle w:val="ListParagraph"/>
              <w:numPr>
                <w:ilvl w:val="0"/>
                <w:numId w:val="58"/>
              </w:numPr>
              <w:spacing w:after="0" w:line="240" w:lineRule="auto"/>
              <w:ind w:left="293"/>
              <w:jc w:val="left"/>
              <w:rPr>
                <w:rFonts w:eastAsia="Calibri" w:cs="Arial"/>
                <w:color w:val="000000" w:themeColor="text1"/>
                <w:sz w:val="20"/>
                <w:szCs w:val="20"/>
                <w:lang w:val="ka-GE"/>
              </w:rPr>
            </w:pPr>
            <w:r w:rsidRPr="00A2588D">
              <w:rPr>
                <w:rFonts w:eastAsia="Calibri" w:cs="Arial"/>
                <w:color w:val="000000" w:themeColor="text1"/>
                <w:sz w:val="20"/>
                <w:szCs w:val="20"/>
                <w:lang w:val="ka-GE"/>
              </w:rPr>
              <w:t>მშენებელ პერსონალს უნდა მიეცეთ მითითება, რომ დაუშვებელია ამ სახეობის დაფიქსირების შემთხვევაში მათი დახოცვა და სხვა პირდაპირი ზემოქმედება,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თუ ცხოველი შემთხვევით გაიჭედება სამუშაო უბანზე, მუშებმა უნდა მოძებნონ გზა, რათა მან დაუზიანებლად გააღწიოს ტერიტორიიდან;</w:t>
            </w:r>
          </w:p>
          <w:p w14:paraId="0A126BE1" w14:textId="77777777" w:rsidR="00A2588D" w:rsidRPr="00A2588D" w:rsidRDefault="00A2588D" w:rsidP="00821E4D">
            <w:pPr>
              <w:pStyle w:val="ListParagraph"/>
              <w:numPr>
                <w:ilvl w:val="0"/>
                <w:numId w:val="58"/>
              </w:numPr>
              <w:spacing w:after="0" w:line="240" w:lineRule="auto"/>
              <w:ind w:left="293"/>
              <w:jc w:val="left"/>
              <w:rPr>
                <w:rFonts w:eastAsia="Calibri" w:cs="Arial"/>
                <w:color w:val="000000" w:themeColor="text1"/>
                <w:sz w:val="20"/>
                <w:szCs w:val="20"/>
                <w:lang w:val="ka-GE"/>
              </w:rPr>
            </w:pPr>
            <w:r w:rsidRPr="00A2588D">
              <w:rPr>
                <w:rFonts w:eastAsia="Calibri" w:cs="Arial"/>
                <w:color w:val="000000" w:themeColor="text1"/>
                <w:sz w:val="20"/>
                <w:szCs w:val="20"/>
                <w:lang w:val="ka-GE"/>
              </w:rPr>
              <w:t>გზშ-ს ანგარიშში მოცემული ემისიების, ხმაურის და ვიბრაციის გავრცელების, ასევე დაბინძურების შემარბილებელი ღონისძიებების გატარება;</w:t>
            </w:r>
          </w:p>
        </w:tc>
      </w:tr>
      <w:tr w:rsidR="00A2588D" w:rsidRPr="00A2588D" w14:paraId="25450787" w14:textId="77777777" w:rsidTr="00A2588D">
        <w:tc>
          <w:tcPr>
            <w:tcW w:w="3796" w:type="dxa"/>
          </w:tcPr>
          <w:p w14:paraId="37BB9576" w14:textId="77777777" w:rsidR="00A2588D" w:rsidRPr="00A2588D" w:rsidRDefault="00A2588D" w:rsidP="00A2588D">
            <w:pPr>
              <w:autoSpaceDE w:val="0"/>
              <w:autoSpaceDN w:val="0"/>
              <w:adjustRightInd w:val="0"/>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lastRenderedPageBreak/>
              <w:t>ველის იორდასალამი Paeonia tenuifolia</w:t>
            </w:r>
            <w:r w:rsidRPr="00A2588D">
              <w:rPr>
                <w:rFonts w:ascii="Sylfaen" w:eastAsia="Calibri" w:hAnsi="Sylfaen" w:cs="Arial"/>
                <w:color w:val="000000" w:themeColor="text1"/>
                <w:sz w:val="20"/>
                <w:szCs w:val="20"/>
                <w:lang w:val="ka-GE"/>
              </w:rPr>
              <w:tab/>
            </w:r>
          </w:p>
        </w:tc>
        <w:tc>
          <w:tcPr>
            <w:tcW w:w="4772" w:type="dxa"/>
          </w:tcPr>
          <w:p w14:paraId="32619939" w14:textId="77777777" w:rsidR="00A2588D" w:rsidRPr="00A2588D" w:rsidRDefault="00A2588D" w:rsidP="00A2588D">
            <w:pPr>
              <w:tabs>
                <w:tab w:val="left" w:pos="922"/>
              </w:tabs>
              <w:rPr>
                <w:rFonts w:ascii="Sylfaen" w:hAnsi="Sylfaen"/>
                <w:color w:val="000000" w:themeColor="text1"/>
                <w:sz w:val="20"/>
                <w:szCs w:val="20"/>
                <w:lang w:val="ka-GE"/>
              </w:rPr>
            </w:pPr>
            <w:r w:rsidRPr="00A2588D">
              <w:rPr>
                <w:rFonts w:ascii="Sylfaen" w:hAnsi="Sylfaen"/>
                <w:color w:val="000000" w:themeColor="text1"/>
                <w:sz w:val="20"/>
                <w:szCs w:val="20"/>
                <w:lang w:val="ka-GE"/>
              </w:rPr>
              <w:t>აღნიშნული მცენარე გავრცელებულია მდელოს ჰაბიტატში. საველე კვლევის დროს მისი არსებობა არ დაფიქსირებულა, არც ლიტერატურული ცნობებით დასტურდება ამ სახეობის არსებობა საპროექტო ტერიტორიის მიმდებარედ.</w:t>
            </w:r>
          </w:p>
        </w:tc>
        <w:tc>
          <w:tcPr>
            <w:tcW w:w="2288" w:type="dxa"/>
            <w:vAlign w:val="center"/>
          </w:tcPr>
          <w:p w14:paraId="653FF2E0" w14:textId="77777777" w:rsidR="00A2588D" w:rsidRPr="00A2588D" w:rsidRDefault="00A2588D" w:rsidP="00A2588D">
            <w:pPr>
              <w:jc w:val="cente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მოსალოდნელი არ არის</w:t>
            </w:r>
          </w:p>
        </w:tc>
        <w:tc>
          <w:tcPr>
            <w:tcW w:w="4512" w:type="dxa"/>
          </w:tcPr>
          <w:p w14:paraId="61556D0A" w14:textId="77777777" w:rsidR="00A2588D" w:rsidRPr="00A2588D" w:rsidRDefault="00A2588D" w:rsidP="00A2588D">
            <w:pPr>
              <w:rPr>
                <w:rFonts w:ascii="Sylfaen" w:eastAsia="Calibri" w:hAnsi="Sylfaen" w:cs="Arial"/>
                <w:color w:val="000000" w:themeColor="text1"/>
                <w:sz w:val="20"/>
                <w:szCs w:val="20"/>
                <w:lang w:val="ka-GE"/>
              </w:rPr>
            </w:pPr>
            <w:r w:rsidRPr="00A2588D">
              <w:rPr>
                <w:rFonts w:ascii="Sylfaen" w:eastAsia="Calibri" w:hAnsi="Sylfaen" w:cs="Arial"/>
                <w:color w:val="000000" w:themeColor="text1"/>
                <w:sz w:val="20"/>
                <w:szCs w:val="20"/>
                <w:lang w:val="ka-GE"/>
              </w:rPr>
              <w:t>დამატებითი შემარბილებელი ღონისძიებების გატარება საჭირო არ არის.</w:t>
            </w:r>
          </w:p>
        </w:tc>
      </w:tr>
    </w:tbl>
    <w:p w14:paraId="643E9949" w14:textId="77777777" w:rsidR="00A2588D" w:rsidRPr="00A2588D" w:rsidRDefault="00A2588D" w:rsidP="00A2588D">
      <w:pPr>
        <w:rPr>
          <w:rFonts w:ascii="Sylfaen" w:hAnsi="Sylfaen"/>
          <w:color w:val="FF0000"/>
          <w:lang w:val="ka-GE"/>
        </w:rPr>
        <w:sectPr w:rsidR="00A2588D" w:rsidRPr="00A2588D" w:rsidSect="00A2588D">
          <w:pgSz w:w="16839" w:h="11907" w:orient="landscape"/>
          <w:pgMar w:top="1134" w:right="1134" w:bottom="1134" w:left="1134" w:header="397" w:footer="397" w:gutter="0"/>
          <w:cols w:space="720"/>
          <w:titlePg/>
          <w:docGrid w:linePitch="360"/>
        </w:sectPr>
      </w:pPr>
    </w:p>
    <w:p w14:paraId="508B7E27" w14:textId="77777777" w:rsidR="00A2588D" w:rsidRPr="00A2588D" w:rsidRDefault="00A2588D" w:rsidP="00A2588D">
      <w:pPr>
        <w:spacing w:before="120"/>
        <w:contextualSpacing/>
        <w:rPr>
          <w:rFonts w:ascii="Sylfaen" w:hAnsi="Sylfaen"/>
          <w:szCs w:val="16"/>
          <w:lang w:val="ka-GE" w:eastAsia="ru-RU"/>
        </w:rPr>
      </w:pPr>
    </w:p>
    <w:p w14:paraId="127388F2" w14:textId="77777777" w:rsidR="00A2588D" w:rsidRPr="00BD038A" w:rsidRDefault="00A2588D" w:rsidP="00BD038A">
      <w:pPr>
        <w:rPr>
          <w:b/>
          <w:sz w:val="24"/>
        </w:rPr>
      </w:pPr>
      <w:bookmarkStart w:id="700" w:name="_Toc536676163"/>
      <w:r w:rsidRPr="00BD038A">
        <w:rPr>
          <w:rFonts w:ascii="Sylfaen" w:hAnsi="Sylfaen" w:cs="Sylfaen"/>
          <w:b/>
          <w:sz w:val="24"/>
        </w:rPr>
        <w:t>დასკვნა</w:t>
      </w:r>
      <w:bookmarkEnd w:id="700"/>
    </w:p>
    <w:p w14:paraId="7559592B" w14:textId="77777777" w:rsidR="00A2588D" w:rsidRPr="00A2588D" w:rsidRDefault="00A2588D" w:rsidP="00A2588D">
      <w:pPr>
        <w:autoSpaceDE w:val="0"/>
        <w:autoSpaceDN w:val="0"/>
        <w:adjustRightInd w:val="0"/>
        <w:spacing w:before="120"/>
        <w:rPr>
          <w:rFonts w:ascii="Sylfaen" w:eastAsia="Calibri" w:hAnsi="Sylfaen" w:cs="Sylfaen"/>
          <w:lang w:val="ka-GE"/>
        </w:rPr>
      </w:pPr>
      <w:r w:rsidRPr="00A2588D">
        <w:rPr>
          <w:rFonts w:ascii="Sylfaen" w:eastAsia="Calibri" w:hAnsi="Sylfaen" w:cs="Sylfaen"/>
          <w:lang w:val="ka-GE"/>
        </w:rPr>
        <w:t>ჩატარებული კვლევებით დადგინდა, რომ პროექტის განხორციელების არცერთი ეტაპი (მშენებლობა-ექსპლუატაცია) ზურმუხტის ქსელის კანდიდატ უბანზე „გომბორი“ (კოდი: GE0000027) მნიშვნელოვან ზემოქმედებას ვერ მოახდენს. ზეგავლენის დერეფანში და მისი მიმდებარედ არ დაფიქსირებულა კრიტიკული მნიშვნელობის, იშვიათი ჰაბიტატები და სახეობების კონცენტრაციის ადგილები, რაც განპირობებულია მრავალმხრივი ანთროპოგენური გავლენით: ურბანული ზონების სიახლოვე, ინტენსიური სასოფლო-სამეურნეო საქმიანობა, საავტომობილო გადაადგილება, სარკინიგზო კომუნიკაციების არსებობა და სხვ.</w:t>
      </w:r>
    </w:p>
    <w:p w14:paraId="7FBEBBBB" w14:textId="77777777" w:rsidR="00A2588D" w:rsidRPr="00A2588D" w:rsidRDefault="00A2588D" w:rsidP="00A2588D">
      <w:pPr>
        <w:autoSpaceDE w:val="0"/>
        <w:autoSpaceDN w:val="0"/>
        <w:adjustRightInd w:val="0"/>
        <w:spacing w:before="120"/>
        <w:rPr>
          <w:rFonts w:ascii="Sylfaen" w:hAnsi="Sylfaen"/>
          <w:szCs w:val="16"/>
          <w:lang w:val="ka-GE" w:eastAsia="ru-RU"/>
        </w:rPr>
      </w:pPr>
      <w:r w:rsidRPr="00A2588D">
        <w:rPr>
          <w:rFonts w:ascii="Sylfaen" w:eastAsia="Calibri" w:hAnsi="Sylfaen" w:cs="Sylfaen"/>
          <w:lang w:val="ka-GE"/>
        </w:rPr>
        <w:t xml:space="preserve">ზემოაღნიშნული ფაქტობრივი გარემოებებიდან გამომდინარე, მნიშვნელოვანი საკომპენსაციო ღონისძიებების გატარება საჭირო არ არის. კანდიდატ უბანზე, კანდიდატი უბნისთვის დამახასიათებელ ჰაბიტატებზე და სახეობებზე ზემოქმედების შემცირებას უზრუნველყოფს გზშ-ს ანგარიშში მოცემული შემარბილებელი ღონისძიებების სათანადო შესრულება და მონიტორინგი. </w:t>
      </w:r>
      <w:r w:rsidRPr="00A2588D">
        <w:rPr>
          <w:rFonts w:ascii="Sylfaen" w:eastAsia="Calibri" w:hAnsi="Sylfaen" w:cs="Sylfaen"/>
          <w:color w:val="000000" w:themeColor="text1"/>
          <w:szCs w:val="16"/>
          <w:lang w:val="ka-GE"/>
        </w:rPr>
        <w:t xml:space="preserve">მშენებლობის ეტაპზე გასატარებელ  შემარბილებელი ღონისძიებებს </w:t>
      </w:r>
      <w:r w:rsidRPr="00A2588D">
        <w:rPr>
          <w:rFonts w:ascii="Sylfaen" w:hAnsi="Sylfaen"/>
          <w:szCs w:val="16"/>
          <w:lang w:val="ka-GE" w:eastAsia="ru-RU"/>
        </w:rPr>
        <w:t xml:space="preserve">განსაკუთრებული ყურადღება უნდა მიექცეს მდინარეთა სანაპირო ზოლში ჩასატარებელი სამშენებლო სამუშაოებისას (ხიდების მშენებლობისას). </w:t>
      </w:r>
    </w:p>
    <w:p w14:paraId="5334F18A" w14:textId="77777777" w:rsidR="00A2588D" w:rsidRPr="00A2588D" w:rsidRDefault="00A2588D" w:rsidP="00A2588D">
      <w:pPr>
        <w:autoSpaceDE w:val="0"/>
        <w:autoSpaceDN w:val="0"/>
        <w:adjustRightInd w:val="0"/>
        <w:spacing w:before="120"/>
        <w:rPr>
          <w:rFonts w:ascii="Sylfaen" w:eastAsia="Calibri" w:hAnsi="Sylfaen" w:cs="Sylfaen"/>
          <w:highlight w:val="green"/>
          <w:lang w:val="ka-GE"/>
        </w:rPr>
      </w:pPr>
    </w:p>
    <w:p w14:paraId="75AFD186" w14:textId="77777777" w:rsidR="00A2588D" w:rsidRPr="00A2588D" w:rsidRDefault="00A2588D" w:rsidP="00395B6B">
      <w:pPr>
        <w:pStyle w:val="EIAH1"/>
        <w:numPr>
          <w:ilvl w:val="0"/>
          <w:numId w:val="0"/>
        </w:numPr>
        <w:ind w:left="720" w:hanging="720"/>
      </w:pPr>
    </w:p>
    <w:p w14:paraId="67A93900" w14:textId="658BEEAE" w:rsidR="00395B6B" w:rsidRPr="00A2588D" w:rsidRDefault="00395B6B" w:rsidP="00EA6DAA">
      <w:pPr>
        <w:rPr>
          <w:rFonts w:ascii="Sylfaen" w:hAnsi="Sylfaen"/>
          <w:lang w:val="ka-GE"/>
        </w:rPr>
      </w:pPr>
    </w:p>
    <w:p w14:paraId="4C0D2623" w14:textId="36B2C658" w:rsidR="00395B6B" w:rsidRPr="00A2588D" w:rsidRDefault="00395B6B" w:rsidP="00EA6DAA">
      <w:pPr>
        <w:rPr>
          <w:rFonts w:ascii="Sylfaen" w:hAnsi="Sylfaen"/>
        </w:rPr>
      </w:pPr>
    </w:p>
    <w:p w14:paraId="036FE8E7" w14:textId="6FF510EB" w:rsidR="00395B6B" w:rsidRPr="00A2588D" w:rsidRDefault="00395B6B" w:rsidP="00EA6DAA">
      <w:pPr>
        <w:rPr>
          <w:rFonts w:ascii="Sylfaen" w:hAnsi="Sylfaen"/>
        </w:rPr>
      </w:pPr>
    </w:p>
    <w:p w14:paraId="27970BFF" w14:textId="604F3B19" w:rsidR="00395B6B" w:rsidRPr="00A2588D" w:rsidRDefault="00395B6B" w:rsidP="00EA6DAA">
      <w:pPr>
        <w:rPr>
          <w:rFonts w:ascii="Sylfaen" w:hAnsi="Sylfaen"/>
        </w:rPr>
      </w:pPr>
    </w:p>
    <w:p w14:paraId="5A9B0B71" w14:textId="77777777" w:rsidR="00395B6B" w:rsidRPr="00A2588D" w:rsidRDefault="00395B6B" w:rsidP="00EA6DAA">
      <w:pPr>
        <w:rPr>
          <w:rFonts w:ascii="Sylfaen" w:hAnsi="Sylfaen"/>
        </w:rPr>
      </w:pPr>
    </w:p>
    <w:p w14:paraId="4D614979" w14:textId="41D512EE" w:rsidR="00395B6B" w:rsidRPr="00A2588D" w:rsidRDefault="00395B6B" w:rsidP="00EA6DAA">
      <w:pPr>
        <w:rPr>
          <w:rFonts w:ascii="Sylfaen" w:hAnsi="Sylfaen"/>
        </w:rPr>
      </w:pPr>
    </w:p>
    <w:p w14:paraId="26440037" w14:textId="77777777" w:rsidR="00395B6B" w:rsidRPr="00A2588D" w:rsidRDefault="00395B6B" w:rsidP="00EA6DAA">
      <w:pPr>
        <w:rPr>
          <w:rFonts w:ascii="Sylfaen" w:hAnsi="Sylfaen"/>
        </w:rPr>
      </w:pPr>
    </w:p>
    <w:sectPr w:rsidR="00395B6B" w:rsidRPr="00A2588D" w:rsidSect="00EA6DAA">
      <w:headerReference w:type="first" r:id="rId229"/>
      <w:pgSz w:w="11900" w:h="16840"/>
      <w:pgMar w:top="1440" w:right="7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BDDB0" w14:textId="77777777" w:rsidR="006A7631" w:rsidRDefault="006A7631" w:rsidP="000F3EA2">
      <w:r>
        <w:separator/>
      </w:r>
    </w:p>
  </w:endnote>
  <w:endnote w:type="continuationSeparator" w:id="0">
    <w:p w14:paraId="7015C505" w14:textId="77777777" w:rsidR="006A7631" w:rsidRDefault="006A7631" w:rsidP="000F3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ITC Franklin Gothic Std Book">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2020803070505020304"/>
    <w:charset w:val="00"/>
    <w:family w:val="roman"/>
    <w:pitch w:val="variable"/>
    <w:sig w:usb0="E0002AF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BGGBOK+TimesNewRoman">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mericana BT">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pg-1ff9">
    <w:altName w:val="Times New Roman"/>
    <w:panose1 w:val="00000000000000000000"/>
    <w:charset w:val="00"/>
    <w:family w:val="roman"/>
    <w:notTrueType/>
    <w:pitch w:val="default"/>
  </w:font>
  <w:font w:name="pg-1ffe">
    <w:altName w:val="Times New Roman"/>
    <w:panose1 w:val="00000000000000000000"/>
    <w:charset w:val="00"/>
    <w:family w:val="roman"/>
    <w:notTrueType/>
    <w:pitch w:val="default"/>
  </w:font>
  <w:font w:name="TimesNewRomanPSM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cadMtavr">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504015"/>
      <w:docPartObj>
        <w:docPartGallery w:val="Page Numbers (Bottom of Page)"/>
        <w:docPartUnique/>
      </w:docPartObj>
    </w:sdtPr>
    <w:sdtEndPr>
      <w:rPr>
        <w:noProof/>
      </w:rPr>
    </w:sdtEndPr>
    <w:sdtContent>
      <w:p w14:paraId="66599398" w14:textId="29103BE5" w:rsidR="00A2588D" w:rsidRDefault="00A2588D">
        <w:pPr>
          <w:pStyle w:val="Footer"/>
          <w:jc w:val="right"/>
        </w:pPr>
        <w:r>
          <w:fldChar w:fldCharType="begin"/>
        </w:r>
        <w:r>
          <w:instrText xml:space="preserve"> PAGE   \* MERGEFORMAT </w:instrText>
        </w:r>
        <w:r>
          <w:fldChar w:fldCharType="separate"/>
        </w:r>
        <w:r w:rsidR="00F92654">
          <w:rPr>
            <w:noProof/>
          </w:rPr>
          <w:t>48</w:t>
        </w:r>
        <w:r>
          <w:rPr>
            <w:noProof/>
          </w:rPr>
          <w:fldChar w:fldCharType="end"/>
        </w:r>
      </w:p>
    </w:sdtContent>
  </w:sdt>
  <w:p w14:paraId="06F27225" w14:textId="77777777" w:rsidR="00A2588D" w:rsidRDefault="00A258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B899A" w14:textId="05B4C238" w:rsidR="00A2588D" w:rsidRDefault="00A2588D">
    <w:pPr>
      <w:pStyle w:val="Footer"/>
      <w:jc w:val="right"/>
    </w:pPr>
  </w:p>
  <w:p w14:paraId="32074739" w14:textId="77777777" w:rsidR="00A2588D" w:rsidRDefault="00A258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2320680"/>
      <w:docPartObj>
        <w:docPartGallery w:val="Page Numbers (Bottom of Page)"/>
        <w:docPartUnique/>
      </w:docPartObj>
    </w:sdtPr>
    <w:sdtEndPr>
      <w:rPr>
        <w:noProof/>
      </w:rPr>
    </w:sdtEndPr>
    <w:sdtContent>
      <w:p w14:paraId="6D96C575" w14:textId="55C16E60" w:rsidR="00A2588D" w:rsidRDefault="00A2588D">
        <w:pPr>
          <w:pStyle w:val="Footer"/>
          <w:jc w:val="right"/>
        </w:pPr>
        <w:r>
          <w:fldChar w:fldCharType="begin"/>
        </w:r>
        <w:r>
          <w:instrText xml:space="preserve"> PAGE   \* MERGEFORMAT </w:instrText>
        </w:r>
        <w:r>
          <w:fldChar w:fldCharType="separate"/>
        </w:r>
        <w:r w:rsidR="00F92654">
          <w:rPr>
            <w:noProof/>
          </w:rPr>
          <w:t>192</w:t>
        </w:r>
        <w:r>
          <w:rPr>
            <w:noProof/>
          </w:rPr>
          <w:fldChar w:fldCharType="end"/>
        </w:r>
      </w:p>
    </w:sdtContent>
  </w:sdt>
  <w:p w14:paraId="2C254E79" w14:textId="77777777" w:rsidR="00A2588D" w:rsidRDefault="00A258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831143"/>
      <w:docPartObj>
        <w:docPartGallery w:val="Page Numbers (Bottom of Page)"/>
        <w:docPartUnique/>
      </w:docPartObj>
    </w:sdtPr>
    <w:sdtEndPr>
      <w:rPr>
        <w:noProof/>
      </w:rPr>
    </w:sdtEndPr>
    <w:sdtContent>
      <w:p w14:paraId="46D7400A" w14:textId="5F141E4D" w:rsidR="00A2588D" w:rsidRDefault="00A2588D">
        <w:pPr>
          <w:pStyle w:val="Footer"/>
          <w:jc w:val="right"/>
        </w:pPr>
        <w:r>
          <w:fldChar w:fldCharType="begin"/>
        </w:r>
        <w:r>
          <w:instrText xml:space="preserve"> PAGE   \* MERGEFORMAT </w:instrText>
        </w:r>
        <w:r>
          <w:fldChar w:fldCharType="separate"/>
        </w:r>
        <w:r w:rsidR="00F92654">
          <w:rPr>
            <w:noProof/>
          </w:rPr>
          <w:t>271</w:t>
        </w:r>
        <w:r>
          <w:rPr>
            <w:noProof/>
          </w:rPr>
          <w:fldChar w:fldCharType="end"/>
        </w:r>
      </w:p>
    </w:sdtContent>
  </w:sdt>
  <w:p w14:paraId="7667F678" w14:textId="77777777" w:rsidR="00A2588D" w:rsidRDefault="00A2588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9759153"/>
      <w:docPartObj>
        <w:docPartGallery w:val="Page Numbers (Bottom of Page)"/>
        <w:docPartUnique/>
      </w:docPartObj>
    </w:sdtPr>
    <w:sdtEndPr>
      <w:rPr>
        <w:noProof/>
      </w:rPr>
    </w:sdtEndPr>
    <w:sdtContent>
      <w:p w14:paraId="467A4711" w14:textId="3EAD0B30" w:rsidR="00A2588D" w:rsidRDefault="00A2588D">
        <w:pPr>
          <w:pStyle w:val="Footer"/>
          <w:jc w:val="right"/>
        </w:pPr>
        <w:r>
          <w:fldChar w:fldCharType="begin"/>
        </w:r>
        <w:r>
          <w:instrText xml:space="preserve"> PAGE   \* MERGEFORMAT </w:instrText>
        </w:r>
        <w:r>
          <w:fldChar w:fldCharType="separate"/>
        </w:r>
        <w:r w:rsidR="00AB50EE">
          <w:rPr>
            <w:noProof/>
          </w:rPr>
          <w:t>229</w:t>
        </w:r>
        <w:r>
          <w:rPr>
            <w:noProof/>
          </w:rPr>
          <w:fldChar w:fldCharType="end"/>
        </w:r>
      </w:p>
    </w:sdtContent>
  </w:sdt>
  <w:p w14:paraId="6D8800A1" w14:textId="77777777" w:rsidR="00A2588D" w:rsidRDefault="00A2588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95933" w14:textId="77777777" w:rsidR="00A2588D" w:rsidRPr="00A2588D" w:rsidRDefault="00A2588D" w:rsidP="00A2588D">
    <w:pPr>
      <w:pStyle w:val="Footer"/>
      <w:jc w:val="center"/>
      <w:rPr>
        <w:rFonts w:ascii="Sylfaen" w:hAnsi="Sylfaen"/>
        <w:i/>
        <w:lang w:val="ka-GE"/>
      </w:rPr>
    </w:pPr>
    <w:r w:rsidRPr="00A2588D">
      <w:rPr>
        <w:rFonts w:ascii="Sylfaen" w:hAnsi="Sylfaen"/>
        <w:i/>
        <w:lang w:val="ka-GE"/>
      </w:rPr>
      <w:t>თბილისი,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C2960" w14:textId="77777777" w:rsidR="006A7631" w:rsidRDefault="006A7631" w:rsidP="000F3EA2">
      <w:r>
        <w:separator/>
      </w:r>
    </w:p>
  </w:footnote>
  <w:footnote w:type="continuationSeparator" w:id="0">
    <w:p w14:paraId="56BAB76B" w14:textId="77777777" w:rsidR="006A7631" w:rsidRDefault="006A7631" w:rsidP="000F3EA2">
      <w:r>
        <w:continuationSeparator/>
      </w:r>
    </w:p>
  </w:footnote>
  <w:footnote w:id="1">
    <w:p w14:paraId="744AF34D" w14:textId="77777777" w:rsidR="00A2588D" w:rsidRDefault="00A2588D" w:rsidP="00CE27E5">
      <w:pPr>
        <w:pStyle w:val="FootnoteText"/>
      </w:pPr>
      <w:r>
        <w:rPr>
          <w:rStyle w:val="FootnoteReference"/>
        </w:rPr>
        <w:footnoteRef/>
      </w:r>
      <w:r>
        <w:t xml:space="preserve"> </w:t>
      </w:r>
      <w:r>
        <w:rPr>
          <w:rFonts w:ascii="Sylfaen" w:hAnsi="Sylfaen"/>
        </w:rPr>
        <w:t>გეომეტრიული და სრუქტურული მოთხოვნები საქართველოს საავტომობილო გზებისათვის, რეგიონალური განვითარების და ინფრასტრუქტურის სამინისტროსათვის და გზების დეპარტამენტისათვის</w:t>
      </w:r>
      <w:r>
        <w:t xml:space="preserve">, </w:t>
      </w:r>
      <w:r>
        <w:rPr>
          <w:rFonts w:ascii="Sylfaen" w:hAnsi="Sylfaen"/>
        </w:rPr>
        <w:t>თბილისი, 2009</w:t>
      </w:r>
    </w:p>
  </w:footnote>
  <w:footnote w:id="2">
    <w:p w14:paraId="7087B783" w14:textId="77777777" w:rsidR="00A2588D" w:rsidRPr="00EB1823" w:rsidRDefault="00A2588D" w:rsidP="00EA3205">
      <w:pPr>
        <w:rPr>
          <w:rFonts w:ascii="AcadNusx" w:hAnsi="AcadNusx"/>
          <w:lang w:val="de-DE"/>
        </w:rPr>
      </w:pPr>
      <w:r w:rsidRPr="00EB1823">
        <w:rPr>
          <w:rFonts w:ascii="AcadNusx" w:hAnsi="AcadNusx"/>
        </w:rPr>
        <w:footnoteRef/>
      </w:r>
      <w:r w:rsidRPr="00EB1823">
        <w:rPr>
          <w:rFonts w:ascii="AcadNusx" w:hAnsi="AcadNusx"/>
        </w:rPr>
        <w:t xml:space="preserve"> amerikis SeerTebuli Statebis sagzao da satransporto uwyebebis warmomadgenelTa asociacia (</w:t>
      </w:r>
      <w:r w:rsidRPr="00EB1823">
        <w:rPr>
          <w:rFonts w:cs="Arial"/>
        </w:rPr>
        <w:t>AASHTO</w:t>
      </w:r>
      <w:r w:rsidRPr="00EB1823">
        <w:rPr>
          <w:rFonts w:ascii="AcadNusx" w:hAnsi="AcadNusx"/>
        </w:rPr>
        <w:t>), 1990 w., “gzatkecilebisa da quCebis geometriuli proeqtirebis zogadi wesebi”.</w:t>
      </w:r>
    </w:p>
    <w:p w14:paraId="2197FFB9" w14:textId="77777777" w:rsidR="00A2588D" w:rsidRPr="00EB1823" w:rsidRDefault="00A2588D" w:rsidP="00EA3205">
      <w:pPr>
        <w:rPr>
          <w:rFonts w:cs="Arial"/>
          <w:lang w:val="en-US"/>
        </w:rPr>
      </w:pPr>
      <w:r w:rsidRPr="00EB1823">
        <w:rPr>
          <w:rFonts w:cs="Arial"/>
        </w:rPr>
        <w:t>American Association of State Highway and Transport Officials, 1990, A Policy on Geometric Design of Highways and Streets.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FD61F" w14:textId="1CEFC4B6" w:rsidR="00A2588D" w:rsidRDefault="00A2588D" w:rsidP="005D3CC6">
    <w:pPr>
      <w:pStyle w:val="Header"/>
      <w:jc w:val="center"/>
      <w:rPr>
        <w:rFonts w:ascii="Sylfaen" w:hAnsi="Sylfaen"/>
        <w:lang w:val="ka-GE"/>
      </w:rPr>
    </w:pPr>
    <w:r>
      <w:rPr>
        <w:rFonts w:ascii="Sylfaen" w:hAnsi="Sylfaen"/>
        <w:lang w:val="ka-GE"/>
      </w:rPr>
      <w:t>გურჯაანის (ჩუმლაყი)</w:t>
    </w:r>
    <w:r>
      <w:rPr>
        <w:rFonts w:ascii="Sylfaen" w:hAnsi="Sylfaen"/>
        <w:lang w:val="en-US"/>
      </w:rPr>
      <w:t>-</w:t>
    </w:r>
    <w:r>
      <w:rPr>
        <w:rFonts w:ascii="Sylfaen" w:hAnsi="Sylfaen"/>
        <w:lang w:val="ka-GE"/>
      </w:rPr>
      <w:t>თელავის (30კმ) გზის მონაკვეთის გარემოზე ზემოქმედების შეფასება</w:t>
    </w:r>
    <w:r>
      <w:rPr>
        <w:rFonts w:ascii="AcadNusx" w:hAnsi="AcadNusx"/>
        <w:b/>
        <w:noProof/>
        <w:sz w:val="18"/>
        <w:szCs w:val="18"/>
        <w:lang w:val="en-US" w:eastAsia="en-US"/>
      </w:rPr>
      <w:drawing>
        <wp:inline distT="0" distB="0" distL="0" distR="0" wp14:anchorId="42933F4A" wp14:editId="170D636A">
          <wp:extent cx="422910" cy="344805"/>
          <wp:effectExtent l="0" t="0" r="0" b="0"/>
          <wp:docPr id="7" name="Picture 7" descr="kocks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 descr="kocks_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910" cy="344805"/>
                  </a:xfrm>
                  <a:prstGeom prst="rect">
                    <a:avLst/>
                  </a:prstGeom>
                  <a:noFill/>
                  <a:ln>
                    <a:noFill/>
                  </a:ln>
                </pic:spPr>
              </pic:pic>
            </a:graphicData>
          </a:graphic>
        </wp:inline>
      </w:drawing>
    </w:r>
  </w:p>
  <w:p w14:paraId="335FC59D" w14:textId="77777777" w:rsidR="00A2588D" w:rsidRDefault="00A258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230E0" w14:textId="47FA52E5" w:rsidR="00A2588D" w:rsidRDefault="00A2588D">
    <w:pPr>
      <w:pStyle w:val="Header"/>
      <w:jc w:val="right"/>
    </w:pPr>
  </w:p>
  <w:p w14:paraId="393A8F3A" w14:textId="77777777" w:rsidR="00A2588D" w:rsidRDefault="00A258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F905C" w14:textId="77777777" w:rsidR="00A2588D" w:rsidRDefault="00A2588D">
    <w:pPr>
      <w:spacing w:line="14" w:lineRule="auto"/>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7AAD4" w14:textId="77777777" w:rsidR="00A2588D" w:rsidRDefault="00A2588D">
    <w:pPr>
      <w:spacing w:line="14" w:lineRule="auto"/>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70D53" w14:textId="77777777" w:rsidR="00A2588D" w:rsidRDefault="00A2588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43D9F" w14:textId="77777777" w:rsidR="00A2588D" w:rsidRDefault="00A2588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AE9D3" w14:textId="77777777" w:rsidR="00A2588D" w:rsidRDefault="00A25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9FE"/>
    <w:multiLevelType w:val="hybridMultilevel"/>
    <w:tmpl w:val="B86EE838"/>
    <w:styleLink w:val="1ai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E1AAB"/>
    <w:multiLevelType w:val="hybridMultilevel"/>
    <w:tmpl w:val="9EEAFF10"/>
    <w:styleLink w:val="StyleNumberedLeft07521"/>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 w15:restartNumberingAfterBreak="0">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CAA7C09"/>
    <w:multiLevelType w:val="hybridMultilevel"/>
    <w:tmpl w:val="0928B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D7AD9"/>
    <w:multiLevelType w:val="multilevel"/>
    <w:tmpl w:val="BB16E94E"/>
    <w:styleLink w:val="CowiBulletList"/>
    <w:lvl w:ilvl="0">
      <w:start w:val="1"/>
      <w:numFmt w:val="bullet"/>
      <w:pStyle w:val="ListBullet"/>
      <w:lvlText w:val="›"/>
      <w:lvlJc w:val="left"/>
      <w:pPr>
        <w:tabs>
          <w:tab w:val="num" w:pos="425"/>
        </w:tabs>
        <w:ind w:left="425" w:hanging="425"/>
      </w:pPr>
      <w:rPr>
        <w:color w:val="F04E23"/>
        <w:position w:val="1"/>
        <w:sz w:val="24"/>
      </w:rPr>
    </w:lvl>
    <w:lvl w:ilvl="1">
      <w:start w:val="1"/>
      <w:numFmt w:val="bullet"/>
      <w:pStyle w:val="ListBullet2"/>
      <w:lvlText w:val="›"/>
      <w:lvlJc w:val="left"/>
      <w:pPr>
        <w:tabs>
          <w:tab w:val="num" w:pos="851"/>
        </w:tabs>
        <w:ind w:left="851" w:hanging="426"/>
      </w:pPr>
      <w:rPr>
        <w:color w:val="333333"/>
        <w:position w:val="1"/>
        <w:sz w:val="24"/>
      </w:rPr>
    </w:lvl>
    <w:lvl w:ilvl="2">
      <w:start w:val="1"/>
      <w:numFmt w:val="bullet"/>
      <w:pStyle w:val="ListBullet3"/>
      <w:lvlText w:val="›"/>
      <w:lvlJc w:val="left"/>
      <w:pPr>
        <w:tabs>
          <w:tab w:val="num" w:pos="1276"/>
        </w:tabs>
        <w:ind w:left="1276" w:hanging="425"/>
      </w:pPr>
      <w:rPr>
        <w:color w:val="333333"/>
        <w:position w:val="1"/>
        <w:sz w:val="24"/>
      </w:rPr>
    </w:lvl>
    <w:lvl w:ilvl="3">
      <w:start w:val="1"/>
      <w:numFmt w:val="bullet"/>
      <w:pStyle w:val="ListBullet4"/>
      <w:lvlText w:val="-"/>
      <w:lvlJc w:val="left"/>
      <w:pPr>
        <w:tabs>
          <w:tab w:val="num" w:pos="1701"/>
        </w:tabs>
        <w:ind w:left="1701" w:hanging="425"/>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11ED6C9E"/>
    <w:multiLevelType w:val="hybridMultilevel"/>
    <w:tmpl w:val="04B4C5C8"/>
    <w:lvl w:ilvl="0" w:tplc="D89A3FD8">
      <w:start w:val="1"/>
      <w:numFmt w:val="bullet"/>
      <w:lvlText w:val=""/>
      <w:lvlJc w:val="left"/>
      <w:pPr>
        <w:ind w:left="360" w:hanging="360"/>
      </w:pPr>
      <w:rPr>
        <w:rFonts w:ascii="Symbol" w:hAnsi="Symbol" w:hint="default"/>
        <w:b/>
      </w:rPr>
    </w:lvl>
    <w:lvl w:ilvl="1" w:tplc="08C24018">
      <w:numFmt w:val="bullet"/>
      <w:lvlText w:val="•"/>
      <w:lvlJc w:val="left"/>
      <w:pPr>
        <w:ind w:left="1440" w:hanging="720"/>
      </w:pPr>
      <w:rPr>
        <w:rFonts w:ascii="Sylfaen" w:eastAsia="Times New Roman" w:hAnsi="Sylfae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2D77DFC"/>
    <w:multiLevelType w:val="hybridMultilevel"/>
    <w:tmpl w:val="00B21B72"/>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7" w15:restartNumberingAfterBreak="0">
    <w:nsid w:val="16C1172A"/>
    <w:multiLevelType w:val="hybridMultilevel"/>
    <w:tmpl w:val="8F2E74D4"/>
    <w:styleLink w:val="Style11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6E3FE9"/>
    <w:multiLevelType w:val="hybridMultilevel"/>
    <w:tmpl w:val="13AAA0C2"/>
    <w:lvl w:ilvl="0" w:tplc="04090001">
      <w:start w:val="1"/>
      <w:numFmt w:val="bullet"/>
      <w:pStyle w:val="ReportTableBullets"/>
      <w:lvlText w:val=""/>
      <w:lvlJc w:val="left"/>
      <w:pPr>
        <w:tabs>
          <w:tab w:val="num" w:pos="284"/>
        </w:tabs>
        <w:ind w:left="284" w:hanging="227"/>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B668EF"/>
    <w:multiLevelType w:val="hybridMultilevel"/>
    <w:tmpl w:val="CF36E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DB7411"/>
    <w:multiLevelType w:val="hybridMultilevel"/>
    <w:tmpl w:val="043E0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0D7A83"/>
    <w:multiLevelType w:val="multilevel"/>
    <w:tmpl w:val="92868AAC"/>
    <w:styleLink w:val="CowiNumberList"/>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851"/>
        </w:tabs>
        <w:ind w:left="851" w:hanging="426"/>
      </w:pPr>
      <w:rPr>
        <w:rFonts w:hint="default"/>
      </w:rPr>
    </w:lvl>
    <w:lvl w:ilvl="2">
      <w:start w:val="1"/>
      <w:numFmt w:val="lowerLetter"/>
      <w:pStyle w:val="ListNumber3"/>
      <w:lvlText w:val="%3)"/>
      <w:lvlJc w:val="left"/>
      <w:pPr>
        <w:tabs>
          <w:tab w:val="num" w:pos="1276"/>
        </w:tabs>
        <w:ind w:left="1276" w:hanging="425"/>
      </w:pPr>
      <w:rPr>
        <w:rFonts w:hint="default"/>
      </w:rPr>
    </w:lvl>
    <w:lvl w:ilvl="3">
      <w:start w:val="1"/>
      <w:numFmt w:val="lowerRoman"/>
      <w:pStyle w:val="ListNumber4"/>
      <w:lvlText w:val="%4)"/>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2" w15:restartNumberingAfterBreak="0">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2B5B05"/>
    <w:multiLevelType w:val="multilevel"/>
    <w:tmpl w:val="D584B32E"/>
    <w:styleLink w:val="FichtSpiegelstrich"/>
    <w:lvl w:ilvl="0">
      <w:start w:val="1"/>
      <w:numFmt w:val="bullet"/>
      <w:pStyle w:val="Spiegel1"/>
      <w:lvlText w:val=""/>
      <w:lvlJc w:val="left"/>
      <w:pPr>
        <w:tabs>
          <w:tab w:val="num" w:pos="284"/>
        </w:tabs>
        <w:ind w:left="284" w:hanging="284"/>
      </w:pPr>
      <w:rPr>
        <w:rFonts w:ascii="Symbol" w:hAnsi="Symbol" w:hint="default"/>
        <w:color w:val="auto"/>
        <w:sz w:val="24"/>
      </w:rPr>
    </w:lvl>
    <w:lvl w:ilvl="1">
      <w:start w:val="1"/>
      <w:numFmt w:val="bullet"/>
      <w:pStyle w:val="Spiegel2"/>
      <w:lvlText w:val=""/>
      <w:lvlJc w:val="left"/>
      <w:pPr>
        <w:tabs>
          <w:tab w:val="num" w:pos="567"/>
        </w:tabs>
        <w:ind w:left="567" w:hanging="283"/>
      </w:pPr>
      <w:rPr>
        <w:rFonts w:ascii="Symbol" w:hAnsi="Symbol" w:hint="default"/>
        <w:color w:val="auto"/>
        <w:sz w:val="20"/>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0"/>
      </w:rPr>
    </w:lvl>
    <w:lvl w:ilvl="4">
      <w:start w:val="1"/>
      <w:numFmt w:val="bullet"/>
      <w:lvlText w:val=""/>
      <w:lvlJc w:val="left"/>
      <w:pPr>
        <w:tabs>
          <w:tab w:val="num" w:pos="1418"/>
        </w:tabs>
        <w:ind w:left="1418" w:hanging="284"/>
      </w:pPr>
      <w:rPr>
        <w:rFonts w:ascii="Symbol" w:hAnsi="Symbol" w:hint="default"/>
        <w:color w:val="auto"/>
        <w:sz w:val="1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3302FB"/>
    <w:multiLevelType w:val="hybridMultilevel"/>
    <w:tmpl w:val="28DE2406"/>
    <w:lvl w:ilvl="0" w:tplc="04090001">
      <w:start w:val="1"/>
      <w:numFmt w:val="bullet"/>
      <w:lvlText w:val=""/>
      <w:lvlJc w:val="left"/>
      <w:pPr>
        <w:ind w:left="720" w:hanging="360"/>
      </w:pPr>
      <w:rPr>
        <w:rFonts w:ascii="Symbol" w:hAnsi="Symbol" w:hint="default"/>
      </w:rPr>
    </w:lvl>
    <w:lvl w:ilvl="1" w:tplc="8F4E180A">
      <w:numFmt w:val="bullet"/>
      <w:lvlText w:val="•"/>
      <w:lvlJc w:val="left"/>
      <w:pPr>
        <w:ind w:left="2160" w:hanging="1080"/>
      </w:pPr>
      <w:rPr>
        <w:rFonts w:ascii="Sylfaen" w:eastAsia="Times New Roman"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72575D"/>
    <w:multiLevelType w:val="hybridMultilevel"/>
    <w:tmpl w:val="8076AE9C"/>
    <w:lvl w:ilvl="0" w:tplc="3D3A517A">
      <w:start w:val="1"/>
      <w:numFmt w:val="bullet"/>
      <w:pStyle w:val="BuletStyleB1bAcadNusx12p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pStyle w:val="b2a"/>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7B2EA2"/>
    <w:multiLevelType w:val="hybridMultilevel"/>
    <w:tmpl w:val="92703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AF5B65"/>
    <w:multiLevelType w:val="hybridMultilevel"/>
    <w:tmpl w:val="223E1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4F666C"/>
    <w:multiLevelType w:val="hybridMultilevel"/>
    <w:tmpl w:val="27068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CE1114"/>
    <w:multiLevelType w:val="hybridMultilevel"/>
    <w:tmpl w:val="A470E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E269CE"/>
    <w:multiLevelType w:val="hybridMultilevel"/>
    <w:tmpl w:val="C16A8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2A3C00"/>
    <w:multiLevelType w:val="multilevel"/>
    <w:tmpl w:val="36E09EE0"/>
    <w:lvl w:ilvl="0">
      <w:start w:val="1"/>
      <w:numFmt w:val="decimal"/>
      <w:pStyle w:val="EIAH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45278AA"/>
    <w:multiLevelType w:val="hybridMultilevel"/>
    <w:tmpl w:val="EE2004A2"/>
    <w:styleLink w:val="ArticleSection"/>
    <w:lvl w:ilvl="0" w:tplc="3E20D352">
      <w:start w:val="1"/>
      <w:numFmt w:val="decimal"/>
      <w:lvlText w:val="%1."/>
      <w:lvlJc w:val="left"/>
      <w:pPr>
        <w:ind w:left="1003" w:hanging="360"/>
      </w:pPr>
    </w:lvl>
    <w:lvl w:ilvl="1" w:tplc="08090003" w:tentative="1">
      <w:start w:val="1"/>
      <w:numFmt w:val="lowerLetter"/>
      <w:lvlText w:val="%2."/>
      <w:lvlJc w:val="left"/>
      <w:pPr>
        <w:ind w:left="1723" w:hanging="360"/>
      </w:pPr>
    </w:lvl>
    <w:lvl w:ilvl="2" w:tplc="08090005" w:tentative="1">
      <w:start w:val="1"/>
      <w:numFmt w:val="lowerRoman"/>
      <w:lvlText w:val="%3."/>
      <w:lvlJc w:val="right"/>
      <w:pPr>
        <w:ind w:left="2443" w:hanging="180"/>
      </w:pPr>
    </w:lvl>
    <w:lvl w:ilvl="3" w:tplc="08090001" w:tentative="1">
      <w:start w:val="1"/>
      <w:numFmt w:val="decimal"/>
      <w:lvlText w:val="%4."/>
      <w:lvlJc w:val="left"/>
      <w:pPr>
        <w:ind w:left="3163" w:hanging="360"/>
      </w:pPr>
    </w:lvl>
    <w:lvl w:ilvl="4" w:tplc="08090003" w:tentative="1">
      <w:start w:val="1"/>
      <w:numFmt w:val="lowerLetter"/>
      <w:lvlText w:val="%5."/>
      <w:lvlJc w:val="left"/>
      <w:pPr>
        <w:ind w:left="3883" w:hanging="360"/>
      </w:pPr>
    </w:lvl>
    <w:lvl w:ilvl="5" w:tplc="08090005" w:tentative="1">
      <w:start w:val="1"/>
      <w:numFmt w:val="lowerRoman"/>
      <w:lvlText w:val="%6."/>
      <w:lvlJc w:val="right"/>
      <w:pPr>
        <w:ind w:left="4603" w:hanging="180"/>
      </w:pPr>
    </w:lvl>
    <w:lvl w:ilvl="6" w:tplc="08090001" w:tentative="1">
      <w:start w:val="1"/>
      <w:numFmt w:val="decimal"/>
      <w:lvlText w:val="%7."/>
      <w:lvlJc w:val="left"/>
      <w:pPr>
        <w:ind w:left="5323" w:hanging="360"/>
      </w:pPr>
    </w:lvl>
    <w:lvl w:ilvl="7" w:tplc="08090003" w:tentative="1">
      <w:start w:val="1"/>
      <w:numFmt w:val="lowerLetter"/>
      <w:lvlText w:val="%8."/>
      <w:lvlJc w:val="left"/>
      <w:pPr>
        <w:ind w:left="6043" w:hanging="360"/>
      </w:pPr>
    </w:lvl>
    <w:lvl w:ilvl="8" w:tplc="08090005" w:tentative="1">
      <w:start w:val="1"/>
      <w:numFmt w:val="lowerRoman"/>
      <w:lvlText w:val="%9."/>
      <w:lvlJc w:val="right"/>
      <w:pPr>
        <w:ind w:left="6763" w:hanging="180"/>
      </w:pPr>
    </w:lvl>
  </w:abstractNum>
  <w:abstractNum w:abstractNumId="23" w15:restartNumberingAfterBreak="0">
    <w:nsid w:val="37E21337"/>
    <w:multiLevelType w:val="hybridMultilevel"/>
    <w:tmpl w:val="CB82E11E"/>
    <w:styleLink w:val="1ai"/>
    <w:lvl w:ilvl="0" w:tplc="04090001">
      <w:start w:val="1"/>
      <w:numFmt w:val="decimal"/>
      <w:pStyle w:val="lentele"/>
      <w:lvlText w:val="5.%1"/>
      <w:lvlJc w:val="left"/>
      <w:pPr>
        <w:ind w:left="720" w:hanging="360"/>
      </w:p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24" w15:restartNumberingAfterBreak="0">
    <w:nsid w:val="37F90591"/>
    <w:multiLevelType w:val="hybridMultilevel"/>
    <w:tmpl w:val="1E0ABAEC"/>
    <w:lvl w:ilvl="0" w:tplc="C896BE40">
      <w:numFmt w:val="bullet"/>
      <w:lvlText w:val="•"/>
      <w:lvlJc w:val="left"/>
      <w:pPr>
        <w:ind w:left="1080" w:hanging="720"/>
      </w:pPr>
      <w:rPr>
        <w:rFonts w:ascii="Sylfaen" w:eastAsia="Times New Roma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B12DF7"/>
    <w:multiLevelType w:val="hybridMultilevel"/>
    <w:tmpl w:val="78106C52"/>
    <w:styleLink w:val="CowiTableNumberList1"/>
    <w:lvl w:ilvl="0" w:tplc="78106C52">
      <w:start w:val="1"/>
      <w:numFmt w:val="bullet"/>
      <w:lvlText w:val=""/>
      <w:lvlJc w:val="left"/>
      <w:pPr>
        <w:ind w:left="720" w:hanging="360"/>
      </w:pPr>
      <w:rPr>
        <w:rFonts w:ascii="Symbol" w:hAnsi="Symbol" w:hint="default"/>
      </w:rPr>
    </w:lvl>
    <w:lvl w:ilvl="1" w:tplc="145ED812" w:tentative="1">
      <w:start w:val="1"/>
      <w:numFmt w:val="bullet"/>
      <w:lvlText w:val="o"/>
      <w:lvlJc w:val="left"/>
      <w:pPr>
        <w:ind w:left="1440" w:hanging="360"/>
      </w:pPr>
      <w:rPr>
        <w:rFonts w:ascii="Courier New" w:hAnsi="Courier New" w:cs="Courier New" w:hint="default"/>
      </w:rPr>
    </w:lvl>
    <w:lvl w:ilvl="2" w:tplc="E4FC3234" w:tentative="1">
      <w:start w:val="1"/>
      <w:numFmt w:val="bullet"/>
      <w:lvlText w:val=""/>
      <w:lvlJc w:val="left"/>
      <w:pPr>
        <w:ind w:left="2160" w:hanging="360"/>
      </w:pPr>
      <w:rPr>
        <w:rFonts w:ascii="Wingdings" w:hAnsi="Wingdings" w:hint="default"/>
      </w:rPr>
    </w:lvl>
    <w:lvl w:ilvl="3" w:tplc="47005CF4" w:tentative="1">
      <w:start w:val="1"/>
      <w:numFmt w:val="bullet"/>
      <w:lvlText w:val=""/>
      <w:lvlJc w:val="left"/>
      <w:pPr>
        <w:ind w:left="2880" w:hanging="360"/>
      </w:pPr>
      <w:rPr>
        <w:rFonts w:ascii="Symbol" w:hAnsi="Symbol" w:hint="default"/>
      </w:rPr>
    </w:lvl>
    <w:lvl w:ilvl="4" w:tplc="743483FC" w:tentative="1">
      <w:start w:val="1"/>
      <w:numFmt w:val="bullet"/>
      <w:lvlText w:val="o"/>
      <w:lvlJc w:val="left"/>
      <w:pPr>
        <w:ind w:left="3600" w:hanging="360"/>
      </w:pPr>
      <w:rPr>
        <w:rFonts w:ascii="Courier New" w:hAnsi="Courier New" w:cs="Courier New" w:hint="default"/>
      </w:rPr>
    </w:lvl>
    <w:lvl w:ilvl="5" w:tplc="E5E2C71A" w:tentative="1">
      <w:start w:val="1"/>
      <w:numFmt w:val="bullet"/>
      <w:lvlText w:val=""/>
      <w:lvlJc w:val="left"/>
      <w:pPr>
        <w:ind w:left="4320" w:hanging="360"/>
      </w:pPr>
      <w:rPr>
        <w:rFonts w:ascii="Wingdings" w:hAnsi="Wingdings" w:hint="default"/>
      </w:rPr>
    </w:lvl>
    <w:lvl w:ilvl="6" w:tplc="DFE4A7CA" w:tentative="1">
      <w:start w:val="1"/>
      <w:numFmt w:val="bullet"/>
      <w:lvlText w:val=""/>
      <w:lvlJc w:val="left"/>
      <w:pPr>
        <w:ind w:left="5040" w:hanging="360"/>
      </w:pPr>
      <w:rPr>
        <w:rFonts w:ascii="Symbol" w:hAnsi="Symbol" w:hint="default"/>
      </w:rPr>
    </w:lvl>
    <w:lvl w:ilvl="7" w:tplc="6D9A1466" w:tentative="1">
      <w:start w:val="1"/>
      <w:numFmt w:val="bullet"/>
      <w:lvlText w:val="o"/>
      <w:lvlJc w:val="left"/>
      <w:pPr>
        <w:ind w:left="5760" w:hanging="360"/>
      </w:pPr>
      <w:rPr>
        <w:rFonts w:ascii="Courier New" w:hAnsi="Courier New" w:cs="Courier New" w:hint="default"/>
      </w:rPr>
    </w:lvl>
    <w:lvl w:ilvl="8" w:tplc="D7A8D772" w:tentative="1">
      <w:start w:val="1"/>
      <w:numFmt w:val="bullet"/>
      <w:lvlText w:val=""/>
      <w:lvlJc w:val="left"/>
      <w:pPr>
        <w:ind w:left="6480" w:hanging="360"/>
      </w:pPr>
      <w:rPr>
        <w:rFonts w:ascii="Wingdings" w:hAnsi="Wingdings" w:hint="default"/>
      </w:rPr>
    </w:lvl>
  </w:abstractNum>
  <w:abstractNum w:abstractNumId="26" w15:restartNumberingAfterBreak="0">
    <w:nsid w:val="3BC41451"/>
    <w:multiLevelType w:val="hybridMultilevel"/>
    <w:tmpl w:val="B25C09A6"/>
    <w:lvl w:ilvl="0" w:tplc="C896BE40">
      <w:numFmt w:val="bullet"/>
      <w:lvlText w:val="•"/>
      <w:lvlJc w:val="left"/>
      <w:pPr>
        <w:ind w:left="1080" w:hanging="720"/>
      </w:pPr>
      <w:rPr>
        <w:rFonts w:ascii="Sylfaen" w:eastAsia="Times New Roma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735AAF"/>
    <w:multiLevelType w:val="multilevel"/>
    <w:tmpl w:val="4684AAC6"/>
    <w:lvl w:ilvl="0">
      <w:start w:val="7"/>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0826C3C"/>
    <w:multiLevelType w:val="multilevel"/>
    <w:tmpl w:val="2E805A88"/>
    <w:lvl w:ilvl="0">
      <w:start w:val="9"/>
      <w:numFmt w:val="decimal"/>
      <w:lvlText w:val="%1"/>
      <w:lvlJc w:val="left"/>
      <w:pPr>
        <w:ind w:left="461" w:hanging="360"/>
      </w:pPr>
      <w:rPr>
        <w:rFonts w:hint="default"/>
      </w:rPr>
    </w:lvl>
    <w:lvl w:ilvl="1">
      <w:start w:val="1"/>
      <w:numFmt w:val="decimal"/>
      <w:lvlText w:val="%1.%2"/>
      <w:lvlJc w:val="left"/>
      <w:pPr>
        <w:ind w:left="900" w:hanging="360"/>
        <w:jc w:val="right"/>
      </w:pPr>
      <w:rPr>
        <w:rFonts w:ascii="Times New Roman" w:eastAsia="Times New Roman" w:hAnsi="Times New Roman" w:hint="default"/>
        <w:b/>
        <w:bCs/>
        <w:sz w:val="27"/>
        <w:szCs w:val="27"/>
      </w:rPr>
    </w:lvl>
    <w:lvl w:ilvl="2">
      <w:start w:val="1"/>
      <w:numFmt w:val="upperLetter"/>
      <w:lvlText w:val="%3."/>
      <w:lvlJc w:val="left"/>
      <w:pPr>
        <w:ind w:left="942" w:hanging="360"/>
        <w:jc w:val="right"/>
      </w:pPr>
      <w:rPr>
        <w:rFonts w:ascii="Times New Roman" w:eastAsia="Times New Roman" w:hAnsi="Times New Roman" w:hint="default"/>
        <w:b/>
        <w:bCs/>
        <w:i/>
        <w:spacing w:val="-1"/>
        <w:sz w:val="20"/>
        <w:szCs w:val="20"/>
      </w:rPr>
    </w:lvl>
    <w:lvl w:ilvl="3">
      <w:start w:val="1"/>
      <w:numFmt w:val="bullet"/>
      <w:lvlText w:val="•"/>
      <w:lvlJc w:val="left"/>
      <w:pPr>
        <w:ind w:left="2853" w:hanging="360"/>
      </w:pPr>
      <w:rPr>
        <w:rFonts w:hint="default"/>
      </w:rPr>
    </w:lvl>
    <w:lvl w:ilvl="4">
      <w:start w:val="1"/>
      <w:numFmt w:val="bullet"/>
      <w:lvlText w:val="•"/>
      <w:lvlJc w:val="left"/>
      <w:pPr>
        <w:ind w:left="3809" w:hanging="360"/>
      </w:pPr>
      <w:rPr>
        <w:rFonts w:hint="default"/>
      </w:rPr>
    </w:lvl>
    <w:lvl w:ilvl="5">
      <w:start w:val="1"/>
      <w:numFmt w:val="bullet"/>
      <w:lvlText w:val="•"/>
      <w:lvlJc w:val="left"/>
      <w:pPr>
        <w:ind w:left="4765" w:hanging="360"/>
      </w:pPr>
      <w:rPr>
        <w:rFonts w:hint="default"/>
      </w:rPr>
    </w:lvl>
    <w:lvl w:ilvl="6">
      <w:start w:val="1"/>
      <w:numFmt w:val="bullet"/>
      <w:lvlText w:val="•"/>
      <w:lvlJc w:val="left"/>
      <w:pPr>
        <w:ind w:left="5721" w:hanging="360"/>
      </w:pPr>
      <w:rPr>
        <w:rFonts w:hint="default"/>
      </w:rPr>
    </w:lvl>
    <w:lvl w:ilvl="7">
      <w:start w:val="1"/>
      <w:numFmt w:val="bullet"/>
      <w:lvlText w:val="•"/>
      <w:lvlJc w:val="left"/>
      <w:pPr>
        <w:ind w:left="6677" w:hanging="360"/>
      </w:pPr>
      <w:rPr>
        <w:rFonts w:hint="default"/>
      </w:rPr>
    </w:lvl>
    <w:lvl w:ilvl="8">
      <w:start w:val="1"/>
      <w:numFmt w:val="bullet"/>
      <w:lvlText w:val="•"/>
      <w:lvlJc w:val="left"/>
      <w:pPr>
        <w:ind w:left="7632" w:hanging="360"/>
      </w:pPr>
      <w:rPr>
        <w:rFonts w:hint="default"/>
      </w:rPr>
    </w:lvl>
  </w:abstractNum>
  <w:abstractNum w:abstractNumId="29" w15:restartNumberingAfterBreak="0">
    <w:nsid w:val="425F7FE4"/>
    <w:multiLevelType w:val="hybridMultilevel"/>
    <w:tmpl w:val="C5C6C7D0"/>
    <w:lvl w:ilvl="0" w:tplc="3BD6F45A">
      <w:start w:val="3"/>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AB2A2E"/>
    <w:multiLevelType w:val="hybridMultilevel"/>
    <w:tmpl w:val="A252D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4E157E"/>
    <w:multiLevelType w:val="hybridMultilevel"/>
    <w:tmpl w:val="594AF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5221D3"/>
    <w:multiLevelType w:val="hybridMultilevel"/>
    <w:tmpl w:val="61E4E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7C417E"/>
    <w:multiLevelType w:val="hybridMultilevel"/>
    <w:tmpl w:val="9C46C90A"/>
    <w:lvl w:ilvl="0" w:tplc="399A281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4A0A45"/>
    <w:multiLevelType w:val="multilevel"/>
    <w:tmpl w:val="00701666"/>
    <w:lvl w:ilvl="0">
      <w:start w:val="1"/>
      <w:numFmt w:val="decimal"/>
      <w:pStyle w:val="ADBBody"/>
      <w:lvlText w:val="%1."/>
      <w:lvlJc w:val="left"/>
      <w:pPr>
        <w:ind w:left="360" w:hanging="360"/>
      </w:pPr>
      <w:rPr>
        <w:rFonts w:ascii="Sylfaen" w:hAnsi="Sylfaen" w:cstheme="minorBidi" w:hint="default"/>
        <w:b/>
        <w:i w:val="0"/>
        <w:strike w:val="0"/>
        <w:sz w:val="24"/>
        <w:szCs w:val="24"/>
      </w:rPr>
    </w:lvl>
    <w:lvl w:ilvl="1">
      <w:start w:val="1"/>
      <w:numFmt w:val="lowerLetter"/>
      <w:lvlText w:val="%2."/>
      <w:lvlJc w:val="left"/>
      <w:pPr>
        <w:ind w:left="1800" w:hanging="360"/>
      </w:pPr>
      <w:rPr>
        <w:rFonts w:hint="default"/>
      </w:rPr>
    </w:lvl>
    <w:lvl w:ilvl="2">
      <w:start w:val="1"/>
      <w:numFmt w:val="lowerLetter"/>
      <w:lvlText w:val="%3"/>
      <w:lvlJc w:val="left"/>
      <w:pPr>
        <w:ind w:left="2520" w:hanging="360"/>
      </w:pPr>
      <w:rPr>
        <w:rFonts w:hint="default"/>
      </w:rPr>
    </w:lvl>
    <w:lvl w:ilvl="3">
      <w:start w:val="1"/>
      <w:numFmt w:val="lowerLetter"/>
      <w:lvlRestart w:val="0"/>
      <w:lvlText w:val="%4"/>
      <w:lvlJc w:val="left"/>
      <w:pPr>
        <w:ind w:left="3240" w:hanging="360"/>
      </w:pPr>
      <w:rPr>
        <w:rFonts w:hint="default"/>
      </w:rPr>
    </w:lvl>
    <w:lvl w:ilvl="4">
      <w:start w:val="1"/>
      <w:numFmt w:val="lowerRoman"/>
      <w:lvlRestart w:val="0"/>
      <w:lvlText w:val="%5"/>
      <w:lvlJc w:val="left"/>
      <w:pPr>
        <w:ind w:left="3960" w:hanging="360"/>
      </w:pPr>
      <w:rPr>
        <w:rFonts w:hint="default"/>
      </w:rPr>
    </w:lvl>
    <w:lvl w:ilvl="5">
      <w:start w:val="1"/>
      <w:numFmt w:val="lowerLetter"/>
      <w:lvlRestart w:val="0"/>
      <w:lvlText w:val="%6"/>
      <w:lvlJc w:val="left"/>
      <w:pPr>
        <w:ind w:left="4680" w:hanging="360"/>
      </w:pPr>
      <w:rPr>
        <w:rFonts w:hint="default"/>
      </w:rPr>
    </w:lvl>
    <w:lvl w:ilvl="6">
      <w:start w:val="1"/>
      <w:numFmt w:val="lowerRoman"/>
      <w:lvlRestart w:val="0"/>
      <w:lvlText w:val="%7"/>
      <w:lvlJc w:val="left"/>
      <w:pPr>
        <w:ind w:left="5400" w:hanging="360"/>
      </w:pPr>
      <w:rPr>
        <w:rFonts w:hint="default"/>
      </w:rPr>
    </w:lvl>
    <w:lvl w:ilvl="7">
      <w:start w:val="1"/>
      <w:numFmt w:val="lowerLetter"/>
      <w:lvlRestart w:val="0"/>
      <w:lvlText w:val="%8"/>
      <w:lvlJc w:val="left"/>
      <w:pPr>
        <w:ind w:left="6120" w:hanging="360"/>
      </w:pPr>
      <w:rPr>
        <w:rFonts w:hint="default"/>
      </w:rPr>
    </w:lvl>
    <w:lvl w:ilvl="8">
      <w:start w:val="1"/>
      <w:numFmt w:val="lowerRoman"/>
      <w:lvlRestart w:val="0"/>
      <w:lvlText w:val="%9"/>
      <w:lvlJc w:val="left"/>
      <w:pPr>
        <w:ind w:left="6840" w:hanging="360"/>
      </w:pPr>
      <w:rPr>
        <w:rFonts w:hint="default"/>
      </w:rPr>
    </w:lvl>
  </w:abstractNum>
  <w:abstractNum w:abstractNumId="35" w15:restartNumberingAfterBreak="0">
    <w:nsid w:val="4F717090"/>
    <w:multiLevelType w:val="hybridMultilevel"/>
    <w:tmpl w:val="47D07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0F691F"/>
    <w:multiLevelType w:val="hybridMultilevel"/>
    <w:tmpl w:val="0C1CF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622937"/>
    <w:multiLevelType w:val="singleLevel"/>
    <w:tmpl w:val="EC0AE83A"/>
    <w:lvl w:ilvl="0">
      <w:start w:val="1"/>
      <w:numFmt w:val="decimal"/>
      <w:pStyle w:val="A1"/>
      <w:lvlText w:val="Fig. %1:"/>
      <w:lvlJc w:val="left"/>
      <w:pPr>
        <w:tabs>
          <w:tab w:val="num" w:pos="2097"/>
        </w:tabs>
        <w:ind w:left="2097" w:hanging="963"/>
      </w:pPr>
      <w:rPr>
        <w:rFonts w:ascii="Arial" w:hAnsi="Arial" w:hint="default"/>
        <w:sz w:val="22"/>
      </w:rPr>
    </w:lvl>
  </w:abstractNum>
  <w:abstractNum w:abstractNumId="38" w15:restartNumberingAfterBreak="0">
    <w:nsid w:val="5B41087F"/>
    <w:multiLevelType w:val="hybridMultilevel"/>
    <w:tmpl w:val="1D9EA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EE0A96"/>
    <w:multiLevelType w:val="hybridMultilevel"/>
    <w:tmpl w:val="A4D047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CE17C7"/>
    <w:multiLevelType w:val="hybridMultilevel"/>
    <w:tmpl w:val="A1944850"/>
    <w:lvl w:ilvl="0" w:tplc="A2CE3986">
      <w:start w:val="1"/>
      <w:numFmt w:val="bullet"/>
      <w:lvlText w:val=""/>
      <w:lvlJc w:val="left"/>
      <w:pPr>
        <w:ind w:left="301" w:hanging="201"/>
      </w:pPr>
      <w:rPr>
        <w:rFonts w:ascii="Symbol" w:eastAsia="Symbol" w:hAnsi="Symbol" w:hint="default"/>
        <w:sz w:val="20"/>
        <w:szCs w:val="20"/>
      </w:rPr>
    </w:lvl>
    <w:lvl w:ilvl="1" w:tplc="2A9601C2">
      <w:start w:val="1"/>
      <w:numFmt w:val="bullet"/>
      <w:lvlText w:val="•"/>
      <w:lvlJc w:val="left"/>
      <w:pPr>
        <w:ind w:left="903" w:hanging="201"/>
      </w:pPr>
      <w:rPr>
        <w:rFonts w:hint="default"/>
      </w:rPr>
    </w:lvl>
    <w:lvl w:ilvl="2" w:tplc="BC14E6FE">
      <w:start w:val="1"/>
      <w:numFmt w:val="bullet"/>
      <w:lvlText w:val="•"/>
      <w:lvlJc w:val="left"/>
      <w:pPr>
        <w:ind w:left="1506" w:hanging="201"/>
      </w:pPr>
      <w:rPr>
        <w:rFonts w:hint="default"/>
      </w:rPr>
    </w:lvl>
    <w:lvl w:ilvl="3" w:tplc="1E0AB8C2">
      <w:start w:val="1"/>
      <w:numFmt w:val="bullet"/>
      <w:lvlText w:val="•"/>
      <w:lvlJc w:val="left"/>
      <w:pPr>
        <w:ind w:left="2108" w:hanging="201"/>
      </w:pPr>
      <w:rPr>
        <w:rFonts w:hint="default"/>
      </w:rPr>
    </w:lvl>
    <w:lvl w:ilvl="4" w:tplc="A114F75E">
      <w:start w:val="1"/>
      <w:numFmt w:val="bullet"/>
      <w:lvlText w:val="•"/>
      <w:lvlJc w:val="left"/>
      <w:pPr>
        <w:ind w:left="2710" w:hanging="201"/>
      </w:pPr>
      <w:rPr>
        <w:rFonts w:hint="default"/>
      </w:rPr>
    </w:lvl>
    <w:lvl w:ilvl="5" w:tplc="8EA0F27A">
      <w:start w:val="1"/>
      <w:numFmt w:val="bullet"/>
      <w:lvlText w:val="•"/>
      <w:lvlJc w:val="left"/>
      <w:pPr>
        <w:ind w:left="3312" w:hanging="201"/>
      </w:pPr>
      <w:rPr>
        <w:rFonts w:hint="default"/>
      </w:rPr>
    </w:lvl>
    <w:lvl w:ilvl="6" w:tplc="C422E348">
      <w:start w:val="1"/>
      <w:numFmt w:val="bullet"/>
      <w:lvlText w:val="•"/>
      <w:lvlJc w:val="left"/>
      <w:pPr>
        <w:ind w:left="3915" w:hanging="201"/>
      </w:pPr>
      <w:rPr>
        <w:rFonts w:hint="default"/>
      </w:rPr>
    </w:lvl>
    <w:lvl w:ilvl="7" w:tplc="DEDC5DD2">
      <w:start w:val="1"/>
      <w:numFmt w:val="bullet"/>
      <w:lvlText w:val="•"/>
      <w:lvlJc w:val="left"/>
      <w:pPr>
        <w:ind w:left="4517" w:hanging="201"/>
      </w:pPr>
      <w:rPr>
        <w:rFonts w:hint="default"/>
      </w:rPr>
    </w:lvl>
    <w:lvl w:ilvl="8" w:tplc="D486CE54">
      <w:start w:val="1"/>
      <w:numFmt w:val="bullet"/>
      <w:lvlText w:val="•"/>
      <w:lvlJc w:val="left"/>
      <w:pPr>
        <w:ind w:left="5119" w:hanging="201"/>
      </w:pPr>
      <w:rPr>
        <w:rFonts w:hint="default"/>
      </w:rPr>
    </w:lvl>
  </w:abstractNum>
  <w:abstractNum w:abstractNumId="41" w15:restartNumberingAfterBreak="0">
    <w:nsid w:val="64FB3245"/>
    <w:multiLevelType w:val="hybridMultilevel"/>
    <w:tmpl w:val="70700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B60565"/>
    <w:multiLevelType w:val="hybridMultilevel"/>
    <w:tmpl w:val="37845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4C5D97"/>
    <w:multiLevelType w:val="hybridMultilevel"/>
    <w:tmpl w:val="660C3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6CF65622"/>
    <w:multiLevelType w:val="hybridMultilevel"/>
    <w:tmpl w:val="20A6D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0D5143"/>
    <w:multiLevelType w:val="hybridMultilevel"/>
    <w:tmpl w:val="635A0DE0"/>
    <w:lvl w:ilvl="0" w:tplc="04090001">
      <w:start w:val="1"/>
      <w:numFmt w:val="bullet"/>
      <w:pStyle w:val="JICAbullet"/>
      <w:lvlText w:val=""/>
      <w:lvlJc w:val="left"/>
      <w:pPr>
        <w:ind w:left="1060" w:hanging="360"/>
      </w:pPr>
      <w:rPr>
        <w:rFonts w:ascii="Symbol" w:hAnsi="Symbol" w:hint="default"/>
        <w:sz w:val="16"/>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46" w15:restartNumberingAfterBreak="0">
    <w:nsid w:val="6D4C4FE4"/>
    <w:multiLevelType w:val="multilevel"/>
    <w:tmpl w:val="3F46ECF2"/>
    <w:lvl w:ilvl="0">
      <w:start w:val="1"/>
      <w:numFmt w:val="decimal"/>
      <w:lvlText w:val="%1"/>
      <w:lvlJc w:val="left"/>
      <w:pPr>
        <w:ind w:left="432" w:hanging="432"/>
      </w:pPr>
    </w:lvl>
    <w:lvl w:ilvl="1">
      <w:start w:val="1"/>
      <w:numFmt w:val="decimal"/>
      <w:lvlText w:val="%1.%2"/>
      <w:lvlJc w:val="left"/>
      <w:pPr>
        <w:ind w:left="3836" w:hanging="576"/>
      </w:pPr>
      <w:rPr>
        <w:rFonts w:ascii="Sylfaen" w:hAnsi="Sylfaen" w:hint="default"/>
      </w:rPr>
    </w:lvl>
    <w:lvl w:ilvl="2">
      <w:start w:val="1"/>
      <w:numFmt w:val="decimal"/>
      <w:lvlText w:val="%1.%2.%3"/>
      <w:lvlJc w:val="left"/>
      <w:pPr>
        <w:ind w:left="3413" w:hanging="720"/>
      </w:pPr>
      <w:rPr>
        <w:rFonts w:ascii="Sylfaen" w:hAnsi="Sylfaen" w:hint="default"/>
      </w:rPr>
    </w:lvl>
    <w:lvl w:ilvl="3">
      <w:start w:val="1"/>
      <w:numFmt w:val="decimal"/>
      <w:lvlText w:val="%1.%2.%3.%4"/>
      <w:lvlJc w:val="left"/>
      <w:pPr>
        <w:ind w:left="864" w:hanging="864"/>
      </w:pPr>
      <w:rPr>
        <w:lang w:val="en-US"/>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7" w15:restartNumberingAfterBreak="0">
    <w:nsid w:val="6F1138D1"/>
    <w:multiLevelType w:val="multilevel"/>
    <w:tmpl w:val="E124B3F6"/>
    <w:lvl w:ilvl="0">
      <w:start w:val="1"/>
      <w:numFmt w:val="decimal"/>
      <w:pStyle w:val="BulletPsCT"/>
      <w:lvlText w:val="%1."/>
      <w:lvlJc w:val="left"/>
      <w:pPr>
        <w:tabs>
          <w:tab w:val="num" w:pos="480"/>
        </w:tabs>
        <w:ind w:left="480" w:hanging="360"/>
      </w:pPr>
      <w:rPr>
        <w:rFonts w:hint="default"/>
      </w:rPr>
    </w:lvl>
    <w:lvl w:ilvl="1">
      <w:start w:val="1"/>
      <w:numFmt w:val="decimal"/>
      <w:isLgl/>
      <w:lvlText w:val="%1.%2"/>
      <w:lvlJc w:val="left"/>
      <w:pPr>
        <w:ind w:left="705" w:hanging="585"/>
      </w:pPr>
      <w:rPr>
        <w:rFonts w:hint="default"/>
      </w:rPr>
    </w:lvl>
    <w:lvl w:ilvl="2">
      <w:start w:val="3"/>
      <w:numFmt w:val="decimal"/>
      <w:isLgl/>
      <w:lvlText w:val="%1.%2.%3"/>
      <w:lvlJc w:val="left"/>
      <w:pPr>
        <w:ind w:left="840" w:hanging="720"/>
      </w:pPr>
      <w:rPr>
        <w:rFonts w:hint="default"/>
      </w:rPr>
    </w:lvl>
    <w:lvl w:ilvl="3">
      <w:start w:val="1"/>
      <w:numFmt w:val="decimal"/>
      <w:isLgl/>
      <w:lvlText w:val="%1.%2.%3.%4"/>
      <w:lvlJc w:val="left"/>
      <w:pPr>
        <w:ind w:left="1200" w:hanging="108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560" w:hanging="144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920" w:hanging="1800"/>
      </w:pPr>
      <w:rPr>
        <w:rFonts w:hint="default"/>
      </w:rPr>
    </w:lvl>
    <w:lvl w:ilvl="8">
      <w:start w:val="1"/>
      <w:numFmt w:val="decimal"/>
      <w:isLgl/>
      <w:lvlText w:val="%1.%2.%3.%4.%5.%6.%7.%8.%9"/>
      <w:lvlJc w:val="left"/>
      <w:pPr>
        <w:ind w:left="1920" w:hanging="1800"/>
      </w:pPr>
      <w:rPr>
        <w:rFonts w:hint="default"/>
      </w:rPr>
    </w:lvl>
  </w:abstractNum>
  <w:abstractNum w:abstractNumId="48" w15:restartNumberingAfterBreak="0">
    <w:nsid w:val="73F55F39"/>
    <w:multiLevelType w:val="hybridMultilevel"/>
    <w:tmpl w:val="BB2E6E14"/>
    <w:lvl w:ilvl="0" w:tplc="534E66D8">
      <w:start w:val="1"/>
      <w:numFmt w:val="bullet"/>
      <w:lvlText w:val=""/>
      <w:lvlJc w:val="left"/>
      <w:pPr>
        <w:ind w:left="301" w:hanging="201"/>
      </w:pPr>
      <w:rPr>
        <w:rFonts w:ascii="Symbol" w:eastAsia="Symbol" w:hAnsi="Symbol" w:hint="default"/>
        <w:sz w:val="20"/>
        <w:szCs w:val="20"/>
      </w:rPr>
    </w:lvl>
    <w:lvl w:ilvl="1" w:tplc="0756D88E">
      <w:start w:val="1"/>
      <w:numFmt w:val="bullet"/>
      <w:lvlText w:val="•"/>
      <w:lvlJc w:val="left"/>
      <w:pPr>
        <w:ind w:left="903" w:hanging="201"/>
      </w:pPr>
      <w:rPr>
        <w:rFonts w:hint="default"/>
      </w:rPr>
    </w:lvl>
    <w:lvl w:ilvl="2" w:tplc="5978CD00">
      <w:start w:val="1"/>
      <w:numFmt w:val="bullet"/>
      <w:lvlText w:val="•"/>
      <w:lvlJc w:val="left"/>
      <w:pPr>
        <w:ind w:left="1506" w:hanging="201"/>
      </w:pPr>
      <w:rPr>
        <w:rFonts w:hint="default"/>
      </w:rPr>
    </w:lvl>
    <w:lvl w:ilvl="3" w:tplc="04FA4362">
      <w:start w:val="1"/>
      <w:numFmt w:val="bullet"/>
      <w:lvlText w:val="•"/>
      <w:lvlJc w:val="left"/>
      <w:pPr>
        <w:ind w:left="2108" w:hanging="201"/>
      </w:pPr>
      <w:rPr>
        <w:rFonts w:hint="default"/>
      </w:rPr>
    </w:lvl>
    <w:lvl w:ilvl="4" w:tplc="556A1B7C">
      <w:start w:val="1"/>
      <w:numFmt w:val="bullet"/>
      <w:lvlText w:val="•"/>
      <w:lvlJc w:val="left"/>
      <w:pPr>
        <w:ind w:left="2710" w:hanging="201"/>
      </w:pPr>
      <w:rPr>
        <w:rFonts w:hint="default"/>
      </w:rPr>
    </w:lvl>
    <w:lvl w:ilvl="5" w:tplc="E648E35E">
      <w:start w:val="1"/>
      <w:numFmt w:val="bullet"/>
      <w:lvlText w:val="•"/>
      <w:lvlJc w:val="left"/>
      <w:pPr>
        <w:ind w:left="3312" w:hanging="201"/>
      </w:pPr>
      <w:rPr>
        <w:rFonts w:hint="default"/>
      </w:rPr>
    </w:lvl>
    <w:lvl w:ilvl="6" w:tplc="1978714C">
      <w:start w:val="1"/>
      <w:numFmt w:val="bullet"/>
      <w:lvlText w:val="•"/>
      <w:lvlJc w:val="left"/>
      <w:pPr>
        <w:ind w:left="3915" w:hanging="201"/>
      </w:pPr>
      <w:rPr>
        <w:rFonts w:hint="default"/>
      </w:rPr>
    </w:lvl>
    <w:lvl w:ilvl="7" w:tplc="D278DD94">
      <w:start w:val="1"/>
      <w:numFmt w:val="bullet"/>
      <w:lvlText w:val="•"/>
      <w:lvlJc w:val="left"/>
      <w:pPr>
        <w:ind w:left="4517" w:hanging="201"/>
      </w:pPr>
      <w:rPr>
        <w:rFonts w:hint="default"/>
      </w:rPr>
    </w:lvl>
    <w:lvl w:ilvl="8" w:tplc="0BB21A18">
      <w:start w:val="1"/>
      <w:numFmt w:val="bullet"/>
      <w:lvlText w:val="•"/>
      <w:lvlJc w:val="left"/>
      <w:pPr>
        <w:ind w:left="5119" w:hanging="201"/>
      </w:pPr>
      <w:rPr>
        <w:rFonts w:hint="default"/>
      </w:rPr>
    </w:lvl>
  </w:abstractNum>
  <w:abstractNum w:abstractNumId="49" w15:restartNumberingAfterBreak="0">
    <w:nsid w:val="741B0F3B"/>
    <w:multiLevelType w:val="hybridMultilevel"/>
    <w:tmpl w:val="EB48AA62"/>
    <w:lvl w:ilvl="0" w:tplc="04090001">
      <w:start w:val="1"/>
      <w:numFmt w:val="bullet"/>
      <w:pStyle w:val="NormalBodyCT"/>
      <w:lvlText w:val=""/>
      <w:lvlJc w:val="left"/>
      <w:pPr>
        <w:tabs>
          <w:tab w:val="num" w:pos="284"/>
        </w:tabs>
        <w:ind w:left="1134" w:hanging="283"/>
      </w:pPr>
      <w:rPr>
        <w:rFonts w:ascii="Symbol" w:hAnsi="Symbol"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68F15BB"/>
    <w:multiLevelType w:val="hybridMultilevel"/>
    <w:tmpl w:val="BB786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9340239"/>
    <w:multiLevelType w:val="hybridMultilevel"/>
    <w:tmpl w:val="FC3890F8"/>
    <w:lvl w:ilvl="0" w:tplc="21F41600">
      <w:start w:val="1"/>
      <w:numFmt w:val="bullet"/>
      <w:lvlText w:val=""/>
      <w:lvlJc w:val="left"/>
      <w:pPr>
        <w:ind w:left="301" w:hanging="201"/>
      </w:pPr>
      <w:rPr>
        <w:rFonts w:ascii="Symbol" w:eastAsia="Symbol" w:hAnsi="Symbol" w:hint="default"/>
        <w:sz w:val="20"/>
        <w:szCs w:val="20"/>
      </w:rPr>
    </w:lvl>
    <w:lvl w:ilvl="1" w:tplc="4AB435E8">
      <w:start w:val="1"/>
      <w:numFmt w:val="bullet"/>
      <w:lvlText w:val="•"/>
      <w:lvlJc w:val="left"/>
      <w:pPr>
        <w:ind w:left="903" w:hanging="201"/>
      </w:pPr>
      <w:rPr>
        <w:rFonts w:hint="default"/>
      </w:rPr>
    </w:lvl>
    <w:lvl w:ilvl="2" w:tplc="8744CB4C">
      <w:start w:val="1"/>
      <w:numFmt w:val="bullet"/>
      <w:lvlText w:val="•"/>
      <w:lvlJc w:val="left"/>
      <w:pPr>
        <w:ind w:left="1506" w:hanging="201"/>
      </w:pPr>
      <w:rPr>
        <w:rFonts w:hint="default"/>
      </w:rPr>
    </w:lvl>
    <w:lvl w:ilvl="3" w:tplc="B9266CD8">
      <w:start w:val="1"/>
      <w:numFmt w:val="bullet"/>
      <w:lvlText w:val="•"/>
      <w:lvlJc w:val="left"/>
      <w:pPr>
        <w:ind w:left="2108" w:hanging="201"/>
      </w:pPr>
      <w:rPr>
        <w:rFonts w:hint="default"/>
      </w:rPr>
    </w:lvl>
    <w:lvl w:ilvl="4" w:tplc="2722BEFE">
      <w:start w:val="1"/>
      <w:numFmt w:val="bullet"/>
      <w:lvlText w:val="•"/>
      <w:lvlJc w:val="left"/>
      <w:pPr>
        <w:ind w:left="2710" w:hanging="201"/>
      </w:pPr>
      <w:rPr>
        <w:rFonts w:hint="default"/>
      </w:rPr>
    </w:lvl>
    <w:lvl w:ilvl="5" w:tplc="877AB574">
      <w:start w:val="1"/>
      <w:numFmt w:val="bullet"/>
      <w:lvlText w:val="•"/>
      <w:lvlJc w:val="left"/>
      <w:pPr>
        <w:ind w:left="3312" w:hanging="201"/>
      </w:pPr>
      <w:rPr>
        <w:rFonts w:hint="default"/>
      </w:rPr>
    </w:lvl>
    <w:lvl w:ilvl="6" w:tplc="A37A1D9E">
      <w:start w:val="1"/>
      <w:numFmt w:val="bullet"/>
      <w:lvlText w:val="•"/>
      <w:lvlJc w:val="left"/>
      <w:pPr>
        <w:ind w:left="3915" w:hanging="201"/>
      </w:pPr>
      <w:rPr>
        <w:rFonts w:hint="default"/>
      </w:rPr>
    </w:lvl>
    <w:lvl w:ilvl="7" w:tplc="C1C2B004">
      <w:start w:val="1"/>
      <w:numFmt w:val="bullet"/>
      <w:lvlText w:val="•"/>
      <w:lvlJc w:val="left"/>
      <w:pPr>
        <w:ind w:left="4517" w:hanging="201"/>
      </w:pPr>
      <w:rPr>
        <w:rFonts w:hint="default"/>
      </w:rPr>
    </w:lvl>
    <w:lvl w:ilvl="8" w:tplc="17E2B96A">
      <w:start w:val="1"/>
      <w:numFmt w:val="bullet"/>
      <w:lvlText w:val="•"/>
      <w:lvlJc w:val="left"/>
      <w:pPr>
        <w:ind w:left="5119" w:hanging="201"/>
      </w:pPr>
      <w:rPr>
        <w:rFonts w:hint="default"/>
      </w:rPr>
    </w:lvl>
  </w:abstractNum>
  <w:abstractNum w:abstractNumId="52" w15:restartNumberingAfterBreak="0">
    <w:nsid w:val="79673192"/>
    <w:multiLevelType w:val="hybridMultilevel"/>
    <w:tmpl w:val="22FCA786"/>
    <w:lvl w:ilvl="0" w:tplc="04090001">
      <w:start w:val="1"/>
      <w:numFmt w:val="bullet"/>
      <w:lvlText w:val=""/>
      <w:lvlJc w:val="left"/>
      <w:pPr>
        <w:ind w:left="720" w:hanging="360"/>
      </w:pPr>
      <w:rPr>
        <w:rFonts w:ascii="Symbol" w:hAnsi="Symbol" w:hint="default"/>
      </w:rPr>
    </w:lvl>
    <w:lvl w:ilvl="1" w:tplc="69A412CC">
      <w:numFmt w:val="bullet"/>
      <w:lvlText w:val="·"/>
      <w:lvlJc w:val="left"/>
      <w:pPr>
        <w:ind w:left="1440" w:hanging="360"/>
      </w:pPr>
      <w:rPr>
        <w:rFonts w:ascii="Arial" w:eastAsia="Symbo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7E6535"/>
    <w:multiLevelType w:val="hybridMultilevel"/>
    <w:tmpl w:val="DB9A50B8"/>
    <w:lvl w:ilvl="0" w:tplc="3426102C">
      <w:start w:val="1"/>
      <w:numFmt w:val="bullet"/>
      <w:lvlText w:val=""/>
      <w:lvlJc w:val="left"/>
      <w:pPr>
        <w:ind w:left="301" w:hanging="201"/>
      </w:pPr>
      <w:rPr>
        <w:rFonts w:ascii="Symbol" w:eastAsia="Symbol" w:hAnsi="Symbol" w:hint="default"/>
        <w:sz w:val="20"/>
        <w:szCs w:val="20"/>
      </w:rPr>
    </w:lvl>
    <w:lvl w:ilvl="1" w:tplc="EF3A4D1C">
      <w:start w:val="1"/>
      <w:numFmt w:val="bullet"/>
      <w:lvlText w:val="•"/>
      <w:lvlJc w:val="left"/>
      <w:pPr>
        <w:ind w:left="903" w:hanging="201"/>
      </w:pPr>
      <w:rPr>
        <w:rFonts w:hint="default"/>
      </w:rPr>
    </w:lvl>
    <w:lvl w:ilvl="2" w:tplc="B7326B7E">
      <w:start w:val="1"/>
      <w:numFmt w:val="bullet"/>
      <w:lvlText w:val="•"/>
      <w:lvlJc w:val="left"/>
      <w:pPr>
        <w:ind w:left="1506" w:hanging="201"/>
      </w:pPr>
      <w:rPr>
        <w:rFonts w:hint="default"/>
      </w:rPr>
    </w:lvl>
    <w:lvl w:ilvl="3" w:tplc="1E1EBA3C">
      <w:start w:val="1"/>
      <w:numFmt w:val="bullet"/>
      <w:lvlText w:val="•"/>
      <w:lvlJc w:val="left"/>
      <w:pPr>
        <w:ind w:left="2108" w:hanging="201"/>
      </w:pPr>
      <w:rPr>
        <w:rFonts w:hint="default"/>
      </w:rPr>
    </w:lvl>
    <w:lvl w:ilvl="4" w:tplc="FE54A75E">
      <w:start w:val="1"/>
      <w:numFmt w:val="bullet"/>
      <w:lvlText w:val="•"/>
      <w:lvlJc w:val="left"/>
      <w:pPr>
        <w:ind w:left="2710" w:hanging="201"/>
      </w:pPr>
      <w:rPr>
        <w:rFonts w:hint="default"/>
      </w:rPr>
    </w:lvl>
    <w:lvl w:ilvl="5" w:tplc="7604E220">
      <w:start w:val="1"/>
      <w:numFmt w:val="bullet"/>
      <w:lvlText w:val="•"/>
      <w:lvlJc w:val="left"/>
      <w:pPr>
        <w:ind w:left="3312" w:hanging="201"/>
      </w:pPr>
      <w:rPr>
        <w:rFonts w:hint="default"/>
      </w:rPr>
    </w:lvl>
    <w:lvl w:ilvl="6" w:tplc="89723A7E">
      <w:start w:val="1"/>
      <w:numFmt w:val="bullet"/>
      <w:lvlText w:val="•"/>
      <w:lvlJc w:val="left"/>
      <w:pPr>
        <w:ind w:left="3915" w:hanging="201"/>
      </w:pPr>
      <w:rPr>
        <w:rFonts w:hint="default"/>
      </w:rPr>
    </w:lvl>
    <w:lvl w:ilvl="7" w:tplc="5358E5D6">
      <w:start w:val="1"/>
      <w:numFmt w:val="bullet"/>
      <w:lvlText w:val="•"/>
      <w:lvlJc w:val="left"/>
      <w:pPr>
        <w:ind w:left="4517" w:hanging="201"/>
      </w:pPr>
      <w:rPr>
        <w:rFonts w:hint="default"/>
      </w:rPr>
    </w:lvl>
    <w:lvl w:ilvl="8" w:tplc="BE7C33EA">
      <w:start w:val="1"/>
      <w:numFmt w:val="bullet"/>
      <w:lvlText w:val="•"/>
      <w:lvlJc w:val="left"/>
      <w:pPr>
        <w:ind w:left="5119" w:hanging="201"/>
      </w:pPr>
      <w:rPr>
        <w:rFonts w:hint="default"/>
      </w:rPr>
    </w:lvl>
  </w:abstractNum>
  <w:abstractNum w:abstractNumId="54" w15:restartNumberingAfterBreak="0">
    <w:nsid w:val="7D090D22"/>
    <w:multiLevelType w:val="hybridMultilevel"/>
    <w:tmpl w:val="EC46D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E695546"/>
    <w:multiLevelType w:val="singleLevel"/>
    <w:tmpl w:val="19EE2E18"/>
    <w:lvl w:ilvl="0">
      <w:start w:val="1"/>
      <w:numFmt w:val="lowerRoman"/>
      <w:pStyle w:val="ListBulletIndent"/>
      <w:lvlText w:val="(%1)"/>
      <w:lvlJc w:val="left"/>
      <w:pPr>
        <w:tabs>
          <w:tab w:val="num" w:pos="360"/>
        </w:tabs>
        <w:ind w:left="360" w:hanging="360"/>
      </w:pPr>
      <w:rPr>
        <w:rFonts w:ascii="Arial" w:eastAsia="Times New Roman" w:hAnsi="Arial" w:cs="Times New Roman"/>
      </w:rPr>
    </w:lvl>
  </w:abstractNum>
  <w:num w:numId="1">
    <w:abstractNumId w:val="21"/>
  </w:num>
  <w:num w:numId="2">
    <w:abstractNumId w:val="34"/>
  </w:num>
  <w:num w:numId="3">
    <w:abstractNumId w:val="11"/>
    <w:lvlOverride w:ilvl="0">
      <w:lvl w:ilvl="0">
        <w:start w:val="1"/>
        <w:numFmt w:val="decimal"/>
        <w:pStyle w:val="ListNumber"/>
        <w:lvlText w:val="%1"/>
        <w:lvlJc w:val="left"/>
        <w:pPr>
          <w:tabs>
            <w:tab w:val="num" w:pos="425"/>
          </w:tabs>
          <w:ind w:left="425" w:hanging="425"/>
        </w:pPr>
        <w:rPr>
          <w:rFonts w:hint="default"/>
        </w:rPr>
      </w:lvl>
    </w:lvlOverride>
    <w:lvlOverride w:ilvl="1">
      <w:lvl w:ilvl="1">
        <w:start w:val="1"/>
        <w:numFmt w:val="decimal"/>
        <w:pStyle w:val="ListNumber2"/>
        <w:lvlText w:val="%1.%2"/>
        <w:lvlJc w:val="left"/>
        <w:pPr>
          <w:tabs>
            <w:tab w:val="num" w:pos="851"/>
          </w:tabs>
          <w:ind w:left="851" w:hanging="426"/>
        </w:pPr>
        <w:rPr>
          <w:rFonts w:hint="default"/>
        </w:rPr>
      </w:lvl>
    </w:lvlOverride>
    <w:lvlOverride w:ilvl="2">
      <w:lvl w:ilvl="2">
        <w:start w:val="1"/>
        <w:numFmt w:val="lowerLetter"/>
        <w:pStyle w:val="ListNumber3"/>
        <w:lvlText w:val="%3)"/>
        <w:lvlJc w:val="left"/>
        <w:pPr>
          <w:tabs>
            <w:tab w:val="num" w:pos="1276"/>
          </w:tabs>
          <w:ind w:left="1276" w:hanging="425"/>
        </w:pPr>
        <w:rPr>
          <w:rFonts w:hint="default"/>
        </w:rPr>
      </w:lvl>
    </w:lvlOverride>
    <w:lvlOverride w:ilvl="3">
      <w:lvl w:ilvl="3">
        <w:start w:val="1"/>
        <w:numFmt w:val="lowerRoman"/>
        <w:pStyle w:val="ListNumber4"/>
        <w:lvlText w:val="%4)"/>
        <w:lvlJc w:val="left"/>
        <w:pPr>
          <w:tabs>
            <w:tab w:val="num" w:pos="1701"/>
          </w:tabs>
          <w:ind w:left="1701" w:hanging="425"/>
        </w:pPr>
        <w:rPr>
          <w:rFonts w:hint="default"/>
        </w:rPr>
      </w:lvl>
    </w:lvlOverride>
    <w:lvlOverride w:ilvl="4">
      <w:lvl w:ilvl="4">
        <w:start w:val="1"/>
        <w:numFmt w:val="lowerLetter"/>
        <w:lvlText w:val="(%5)"/>
        <w:lvlJc w:val="left"/>
        <w:pPr>
          <w:tabs>
            <w:tab w:val="num" w:pos="0"/>
          </w:tabs>
          <w:ind w:left="1800" w:hanging="360"/>
        </w:pPr>
        <w:rPr>
          <w:rFonts w:hint="default"/>
        </w:rPr>
      </w:lvl>
    </w:lvlOverride>
    <w:lvlOverride w:ilvl="5">
      <w:lvl w:ilvl="5">
        <w:start w:val="1"/>
        <w:numFmt w:val="lowerRoman"/>
        <w:lvlText w:val="(%6)"/>
        <w:lvlJc w:val="left"/>
        <w:pPr>
          <w:tabs>
            <w:tab w:val="num" w:pos="0"/>
          </w:tabs>
          <w:ind w:left="2160" w:hanging="360"/>
        </w:pPr>
        <w:rPr>
          <w:rFonts w:hint="default"/>
        </w:rPr>
      </w:lvl>
    </w:lvlOverride>
    <w:lvlOverride w:ilvl="6">
      <w:lvl w:ilvl="6">
        <w:start w:val="1"/>
        <w:numFmt w:val="decimal"/>
        <w:lvlText w:val="%7."/>
        <w:lvlJc w:val="left"/>
        <w:pPr>
          <w:tabs>
            <w:tab w:val="num" w:pos="0"/>
          </w:tabs>
          <w:ind w:left="2520" w:hanging="360"/>
        </w:pPr>
        <w:rPr>
          <w:rFonts w:hint="default"/>
        </w:rPr>
      </w:lvl>
    </w:lvlOverride>
    <w:lvlOverride w:ilvl="7">
      <w:lvl w:ilvl="7">
        <w:start w:val="1"/>
        <w:numFmt w:val="lowerLetter"/>
        <w:lvlText w:val="%8."/>
        <w:lvlJc w:val="left"/>
        <w:pPr>
          <w:tabs>
            <w:tab w:val="num" w:pos="0"/>
          </w:tabs>
          <w:ind w:left="2880" w:hanging="360"/>
        </w:pPr>
        <w:rPr>
          <w:rFonts w:hint="default"/>
        </w:rPr>
      </w:lvl>
    </w:lvlOverride>
    <w:lvlOverride w:ilvl="8">
      <w:lvl w:ilvl="8">
        <w:start w:val="1"/>
        <w:numFmt w:val="lowerRoman"/>
        <w:lvlText w:val="%9."/>
        <w:lvlJc w:val="left"/>
        <w:pPr>
          <w:tabs>
            <w:tab w:val="num" w:pos="0"/>
          </w:tabs>
          <w:ind w:left="3240" w:hanging="360"/>
        </w:pPr>
        <w:rPr>
          <w:rFonts w:hint="default"/>
        </w:rPr>
      </w:lvl>
    </w:lvlOverride>
  </w:num>
  <w:num w:numId="4">
    <w:abstractNumId w:val="7"/>
  </w:num>
  <w:num w:numId="5">
    <w:abstractNumId w:val="4"/>
  </w:num>
  <w:num w:numId="6">
    <w:abstractNumId w:val="8"/>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6"/>
  </w:num>
  <w:num w:numId="9">
    <w:abstractNumId w:val="37"/>
  </w:num>
  <w:num w:numId="10">
    <w:abstractNumId w:val="45"/>
  </w:num>
  <w:num w:numId="11">
    <w:abstractNumId w:val="13"/>
  </w:num>
  <w:num w:numId="12">
    <w:abstractNumId w:val="47"/>
  </w:num>
  <w:num w:numId="13">
    <w:abstractNumId w:val="49"/>
  </w:num>
  <w:num w:numId="14">
    <w:abstractNumId w:val="11"/>
  </w:num>
  <w:num w:numId="15">
    <w:abstractNumId w:val="55"/>
  </w:num>
  <w:num w:numId="16">
    <w:abstractNumId w:val="15"/>
  </w:num>
  <w:num w:numId="17">
    <w:abstractNumId w:val="1"/>
  </w:num>
  <w:num w:numId="18">
    <w:abstractNumId w:val="0"/>
  </w:num>
  <w:num w:numId="19">
    <w:abstractNumId w:val="5"/>
  </w:num>
  <w:num w:numId="20">
    <w:abstractNumId w:val="51"/>
  </w:num>
  <w:num w:numId="21">
    <w:abstractNumId w:val="40"/>
  </w:num>
  <w:num w:numId="22">
    <w:abstractNumId w:val="48"/>
  </w:num>
  <w:num w:numId="23">
    <w:abstractNumId w:val="53"/>
  </w:num>
  <w:num w:numId="24">
    <w:abstractNumId w:val="28"/>
  </w:num>
  <w:num w:numId="25">
    <w:abstractNumId w:val="17"/>
  </w:num>
  <w:num w:numId="26">
    <w:abstractNumId w:val="3"/>
  </w:num>
  <w:num w:numId="27">
    <w:abstractNumId w:val="14"/>
  </w:num>
  <w:num w:numId="28">
    <w:abstractNumId w:val="27"/>
  </w:num>
  <w:num w:numId="29">
    <w:abstractNumId w:val="23"/>
  </w:num>
  <w:num w:numId="30">
    <w:abstractNumId w:val="22"/>
  </w:num>
  <w:num w:numId="31">
    <w:abstractNumId w:val="19"/>
  </w:num>
  <w:num w:numId="32">
    <w:abstractNumId w:val="33"/>
  </w:num>
  <w:num w:numId="33">
    <w:abstractNumId w:val="25"/>
  </w:num>
  <w:num w:numId="34">
    <w:abstractNumId w:val="31"/>
  </w:num>
  <w:num w:numId="35">
    <w:abstractNumId w:val="6"/>
  </w:num>
  <w:num w:numId="36">
    <w:abstractNumId w:val="52"/>
  </w:num>
  <w:num w:numId="37">
    <w:abstractNumId w:val="18"/>
  </w:num>
  <w:num w:numId="38">
    <w:abstractNumId w:val="36"/>
  </w:num>
  <w:num w:numId="39">
    <w:abstractNumId w:val="38"/>
  </w:num>
  <w:num w:numId="40">
    <w:abstractNumId w:val="44"/>
  </w:num>
  <w:num w:numId="41">
    <w:abstractNumId w:val="10"/>
  </w:num>
  <w:num w:numId="42">
    <w:abstractNumId w:val="35"/>
  </w:num>
  <w:num w:numId="43">
    <w:abstractNumId w:val="30"/>
  </w:num>
  <w:num w:numId="44">
    <w:abstractNumId w:val="41"/>
  </w:num>
  <w:num w:numId="45">
    <w:abstractNumId w:val="29"/>
  </w:num>
  <w:num w:numId="46">
    <w:abstractNumId w:val="43"/>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num>
  <w:num w:numId="49">
    <w:abstractNumId w:val="26"/>
  </w:num>
  <w:num w:numId="50">
    <w:abstractNumId w:val="54"/>
  </w:num>
  <w:num w:numId="51">
    <w:abstractNumId w:val="16"/>
  </w:num>
  <w:num w:numId="52">
    <w:abstractNumId w:val="12"/>
  </w:num>
  <w:num w:numId="53">
    <w:abstractNumId w:val="2"/>
  </w:num>
  <w:num w:numId="54">
    <w:abstractNumId w:val="42"/>
  </w:num>
  <w:num w:numId="55">
    <w:abstractNumId w:val="50"/>
  </w:num>
  <w:num w:numId="56">
    <w:abstractNumId w:val="32"/>
  </w:num>
  <w:num w:numId="57">
    <w:abstractNumId w:val="9"/>
  </w:num>
  <w:num w:numId="58">
    <w:abstractNumId w:val="2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de-DE"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EA2"/>
    <w:rsid w:val="000010AD"/>
    <w:rsid w:val="0000259A"/>
    <w:rsid w:val="00002CA7"/>
    <w:rsid w:val="0000351B"/>
    <w:rsid w:val="00003D21"/>
    <w:rsid w:val="000043EF"/>
    <w:rsid w:val="000060F4"/>
    <w:rsid w:val="000066F6"/>
    <w:rsid w:val="00007238"/>
    <w:rsid w:val="00010C6C"/>
    <w:rsid w:val="00012E71"/>
    <w:rsid w:val="00013ABE"/>
    <w:rsid w:val="0002139C"/>
    <w:rsid w:val="00021A44"/>
    <w:rsid w:val="0002335B"/>
    <w:rsid w:val="00023B25"/>
    <w:rsid w:val="0002470A"/>
    <w:rsid w:val="00024DF4"/>
    <w:rsid w:val="000275E3"/>
    <w:rsid w:val="000304B3"/>
    <w:rsid w:val="00030933"/>
    <w:rsid w:val="0003136A"/>
    <w:rsid w:val="000321C7"/>
    <w:rsid w:val="00042151"/>
    <w:rsid w:val="000465B2"/>
    <w:rsid w:val="0005189A"/>
    <w:rsid w:val="000522AE"/>
    <w:rsid w:val="0005369F"/>
    <w:rsid w:val="0005716E"/>
    <w:rsid w:val="00060B5F"/>
    <w:rsid w:val="00060CCD"/>
    <w:rsid w:val="00064DEE"/>
    <w:rsid w:val="00065C3E"/>
    <w:rsid w:val="00066AA1"/>
    <w:rsid w:val="00066B3D"/>
    <w:rsid w:val="00067215"/>
    <w:rsid w:val="00070C08"/>
    <w:rsid w:val="00072723"/>
    <w:rsid w:val="000731B2"/>
    <w:rsid w:val="00073A7F"/>
    <w:rsid w:val="000833AC"/>
    <w:rsid w:val="000838F4"/>
    <w:rsid w:val="00083E85"/>
    <w:rsid w:val="00085036"/>
    <w:rsid w:val="0008581D"/>
    <w:rsid w:val="0008635E"/>
    <w:rsid w:val="000901CF"/>
    <w:rsid w:val="0009070D"/>
    <w:rsid w:val="00091175"/>
    <w:rsid w:val="0009219A"/>
    <w:rsid w:val="0009255A"/>
    <w:rsid w:val="00092B73"/>
    <w:rsid w:val="00092D1D"/>
    <w:rsid w:val="000954DE"/>
    <w:rsid w:val="00096C80"/>
    <w:rsid w:val="000A03AF"/>
    <w:rsid w:val="000A07C0"/>
    <w:rsid w:val="000A23BE"/>
    <w:rsid w:val="000A584B"/>
    <w:rsid w:val="000A7517"/>
    <w:rsid w:val="000B0935"/>
    <w:rsid w:val="000B0CAF"/>
    <w:rsid w:val="000B139D"/>
    <w:rsid w:val="000B181D"/>
    <w:rsid w:val="000B5F83"/>
    <w:rsid w:val="000B61F5"/>
    <w:rsid w:val="000B6FF5"/>
    <w:rsid w:val="000B77BC"/>
    <w:rsid w:val="000C027A"/>
    <w:rsid w:val="000D1A4B"/>
    <w:rsid w:val="000D23BA"/>
    <w:rsid w:val="000D255A"/>
    <w:rsid w:val="000E2059"/>
    <w:rsid w:val="000E2440"/>
    <w:rsid w:val="000E252B"/>
    <w:rsid w:val="000E38C6"/>
    <w:rsid w:val="000E47E0"/>
    <w:rsid w:val="000E559A"/>
    <w:rsid w:val="000E5908"/>
    <w:rsid w:val="000F0388"/>
    <w:rsid w:val="000F383A"/>
    <w:rsid w:val="000F3EA2"/>
    <w:rsid w:val="0010055F"/>
    <w:rsid w:val="001024FE"/>
    <w:rsid w:val="0010476F"/>
    <w:rsid w:val="00105A39"/>
    <w:rsid w:val="00110A26"/>
    <w:rsid w:val="001119FE"/>
    <w:rsid w:val="00112EC4"/>
    <w:rsid w:val="00113139"/>
    <w:rsid w:val="0011432D"/>
    <w:rsid w:val="0011522C"/>
    <w:rsid w:val="00120BFD"/>
    <w:rsid w:val="00124021"/>
    <w:rsid w:val="00124EC3"/>
    <w:rsid w:val="001254E0"/>
    <w:rsid w:val="001264C9"/>
    <w:rsid w:val="0013144C"/>
    <w:rsid w:val="001317F0"/>
    <w:rsid w:val="00134105"/>
    <w:rsid w:val="00135A1C"/>
    <w:rsid w:val="0014133E"/>
    <w:rsid w:val="00142839"/>
    <w:rsid w:val="00142993"/>
    <w:rsid w:val="00142A08"/>
    <w:rsid w:val="00142B71"/>
    <w:rsid w:val="001438FE"/>
    <w:rsid w:val="0014544B"/>
    <w:rsid w:val="00145737"/>
    <w:rsid w:val="00145A00"/>
    <w:rsid w:val="00151CF9"/>
    <w:rsid w:val="001549F2"/>
    <w:rsid w:val="00156299"/>
    <w:rsid w:val="00156356"/>
    <w:rsid w:val="00156FCC"/>
    <w:rsid w:val="001570FF"/>
    <w:rsid w:val="00162CBD"/>
    <w:rsid w:val="00163565"/>
    <w:rsid w:val="001647B2"/>
    <w:rsid w:val="00170040"/>
    <w:rsid w:val="001719C2"/>
    <w:rsid w:val="00173F35"/>
    <w:rsid w:val="00174F5A"/>
    <w:rsid w:val="00175C5F"/>
    <w:rsid w:val="00175D26"/>
    <w:rsid w:val="0017641F"/>
    <w:rsid w:val="0017652E"/>
    <w:rsid w:val="0017655A"/>
    <w:rsid w:val="0018295C"/>
    <w:rsid w:val="001831E3"/>
    <w:rsid w:val="00184FBA"/>
    <w:rsid w:val="00187107"/>
    <w:rsid w:val="001907E4"/>
    <w:rsid w:val="00191B27"/>
    <w:rsid w:val="001933C2"/>
    <w:rsid w:val="0019436B"/>
    <w:rsid w:val="001943FC"/>
    <w:rsid w:val="00194B65"/>
    <w:rsid w:val="001957DE"/>
    <w:rsid w:val="001A2593"/>
    <w:rsid w:val="001A3FF7"/>
    <w:rsid w:val="001A4D0C"/>
    <w:rsid w:val="001A72AA"/>
    <w:rsid w:val="001B0E9F"/>
    <w:rsid w:val="001B5CF9"/>
    <w:rsid w:val="001B5E2F"/>
    <w:rsid w:val="001B60BA"/>
    <w:rsid w:val="001B675B"/>
    <w:rsid w:val="001C02B5"/>
    <w:rsid w:val="001C02F6"/>
    <w:rsid w:val="001C353C"/>
    <w:rsid w:val="001C371C"/>
    <w:rsid w:val="001C5F56"/>
    <w:rsid w:val="001D0CD9"/>
    <w:rsid w:val="001D13AE"/>
    <w:rsid w:val="001D1435"/>
    <w:rsid w:val="001D1F85"/>
    <w:rsid w:val="001D2226"/>
    <w:rsid w:val="001D290A"/>
    <w:rsid w:val="001D2B74"/>
    <w:rsid w:val="001D31D9"/>
    <w:rsid w:val="001D3233"/>
    <w:rsid w:val="001D395B"/>
    <w:rsid w:val="001D3D04"/>
    <w:rsid w:val="001D5578"/>
    <w:rsid w:val="001D58AC"/>
    <w:rsid w:val="001D6B56"/>
    <w:rsid w:val="001D72E3"/>
    <w:rsid w:val="001D7D0F"/>
    <w:rsid w:val="001E2018"/>
    <w:rsid w:val="001E494E"/>
    <w:rsid w:val="001F2B75"/>
    <w:rsid w:val="001F2C5A"/>
    <w:rsid w:val="001F4654"/>
    <w:rsid w:val="001F4CE4"/>
    <w:rsid w:val="001F58E0"/>
    <w:rsid w:val="00200B10"/>
    <w:rsid w:val="00201067"/>
    <w:rsid w:val="00203B1E"/>
    <w:rsid w:val="002047BD"/>
    <w:rsid w:val="0020480B"/>
    <w:rsid w:val="0021268C"/>
    <w:rsid w:val="002128F8"/>
    <w:rsid w:val="002145D3"/>
    <w:rsid w:val="00214C68"/>
    <w:rsid w:val="00215130"/>
    <w:rsid w:val="00216E02"/>
    <w:rsid w:val="0022107B"/>
    <w:rsid w:val="002253F1"/>
    <w:rsid w:val="0022645F"/>
    <w:rsid w:val="002266D8"/>
    <w:rsid w:val="00227847"/>
    <w:rsid w:val="0023346D"/>
    <w:rsid w:val="0023451D"/>
    <w:rsid w:val="00235ABF"/>
    <w:rsid w:val="00236B88"/>
    <w:rsid w:val="00240061"/>
    <w:rsid w:val="0024027D"/>
    <w:rsid w:val="002405D4"/>
    <w:rsid w:val="0024372A"/>
    <w:rsid w:val="002439C3"/>
    <w:rsid w:val="00243E9A"/>
    <w:rsid w:val="00244BB1"/>
    <w:rsid w:val="002458AC"/>
    <w:rsid w:val="00252713"/>
    <w:rsid w:val="002545D5"/>
    <w:rsid w:val="00254621"/>
    <w:rsid w:val="00255D58"/>
    <w:rsid w:val="00257D88"/>
    <w:rsid w:val="00260459"/>
    <w:rsid w:val="00261080"/>
    <w:rsid w:val="0026341C"/>
    <w:rsid w:val="00265AB7"/>
    <w:rsid w:val="002664B6"/>
    <w:rsid w:val="00267650"/>
    <w:rsid w:val="00267B21"/>
    <w:rsid w:val="00271EAF"/>
    <w:rsid w:val="00272208"/>
    <w:rsid w:val="00274ED4"/>
    <w:rsid w:val="0027753F"/>
    <w:rsid w:val="0028431F"/>
    <w:rsid w:val="00284587"/>
    <w:rsid w:val="00285815"/>
    <w:rsid w:val="00285DC0"/>
    <w:rsid w:val="002867CA"/>
    <w:rsid w:val="00287210"/>
    <w:rsid w:val="00294678"/>
    <w:rsid w:val="0029553D"/>
    <w:rsid w:val="002962F7"/>
    <w:rsid w:val="00296BA8"/>
    <w:rsid w:val="00297BFC"/>
    <w:rsid w:val="002A07A9"/>
    <w:rsid w:val="002A3C26"/>
    <w:rsid w:val="002A6457"/>
    <w:rsid w:val="002A6BD0"/>
    <w:rsid w:val="002A7D5C"/>
    <w:rsid w:val="002B0F4C"/>
    <w:rsid w:val="002B29EF"/>
    <w:rsid w:val="002B361A"/>
    <w:rsid w:val="002B4F40"/>
    <w:rsid w:val="002B56CC"/>
    <w:rsid w:val="002B616A"/>
    <w:rsid w:val="002B7E56"/>
    <w:rsid w:val="002C0524"/>
    <w:rsid w:val="002C05B7"/>
    <w:rsid w:val="002C10A5"/>
    <w:rsid w:val="002C58B3"/>
    <w:rsid w:val="002C5A97"/>
    <w:rsid w:val="002C5B11"/>
    <w:rsid w:val="002D0239"/>
    <w:rsid w:val="002D2047"/>
    <w:rsid w:val="002D2A55"/>
    <w:rsid w:val="002D4AA4"/>
    <w:rsid w:val="002D4CF8"/>
    <w:rsid w:val="002D4D1F"/>
    <w:rsid w:val="002E0141"/>
    <w:rsid w:val="002E0621"/>
    <w:rsid w:val="002E0662"/>
    <w:rsid w:val="002E2E71"/>
    <w:rsid w:val="002E6AD8"/>
    <w:rsid w:val="002E6D20"/>
    <w:rsid w:val="002F0718"/>
    <w:rsid w:val="002F2298"/>
    <w:rsid w:val="002F3070"/>
    <w:rsid w:val="002F59D5"/>
    <w:rsid w:val="003000EE"/>
    <w:rsid w:val="0030516C"/>
    <w:rsid w:val="003075F5"/>
    <w:rsid w:val="00310790"/>
    <w:rsid w:val="00310F95"/>
    <w:rsid w:val="003118FD"/>
    <w:rsid w:val="0031195A"/>
    <w:rsid w:val="00313616"/>
    <w:rsid w:val="00315331"/>
    <w:rsid w:val="00315D1D"/>
    <w:rsid w:val="003167E9"/>
    <w:rsid w:val="00317605"/>
    <w:rsid w:val="003204F8"/>
    <w:rsid w:val="00320C23"/>
    <w:rsid w:val="00320C2B"/>
    <w:rsid w:val="00324099"/>
    <w:rsid w:val="00324CE9"/>
    <w:rsid w:val="00325337"/>
    <w:rsid w:val="00327900"/>
    <w:rsid w:val="00334A2F"/>
    <w:rsid w:val="003352FC"/>
    <w:rsid w:val="003358CA"/>
    <w:rsid w:val="00340314"/>
    <w:rsid w:val="00341E9B"/>
    <w:rsid w:val="0034490F"/>
    <w:rsid w:val="00345196"/>
    <w:rsid w:val="003466A7"/>
    <w:rsid w:val="00346A2B"/>
    <w:rsid w:val="00351E57"/>
    <w:rsid w:val="00351FAE"/>
    <w:rsid w:val="00352183"/>
    <w:rsid w:val="00352704"/>
    <w:rsid w:val="00353306"/>
    <w:rsid w:val="0035412A"/>
    <w:rsid w:val="0035452B"/>
    <w:rsid w:val="0036001E"/>
    <w:rsid w:val="003623AE"/>
    <w:rsid w:val="00362D70"/>
    <w:rsid w:val="00364935"/>
    <w:rsid w:val="00366ABF"/>
    <w:rsid w:val="003672C9"/>
    <w:rsid w:val="003726FB"/>
    <w:rsid w:val="00373702"/>
    <w:rsid w:val="00374A09"/>
    <w:rsid w:val="00375895"/>
    <w:rsid w:val="00382B24"/>
    <w:rsid w:val="0038413A"/>
    <w:rsid w:val="0039068F"/>
    <w:rsid w:val="00390B97"/>
    <w:rsid w:val="00393BB5"/>
    <w:rsid w:val="00394469"/>
    <w:rsid w:val="00395B6B"/>
    <w:rsid w:val="00396970"/>
    <w:rsid w:val="003969E6"/>
    <w:rsid w:val="00396AFE"/>
    <w:rsid w:val="003A161D"/>
    <w:rsid w:val="003A1849"/>
    <w:rsid w:val="003A34EE"/>
    <w:rsid w:val="003A491D"/>
    <w:rsid w:val="003B1186"/>
    <w:rsid w:val="003B18E0"/>
    <w:rsid w:val="003B7BFA"/>
    <w:rsid w:val="003C5255"/>
    <w:rsid w:val="003C781A"/>
    <w:rsid w:val="003D0910"/>
    <w:rsid w:val="003D231E"/>
    <w:rsid w:val="003D6D9F"/>
    <w:rsid w:val="003D76EA"/>
    <w:rsid w:val="003E018C"/>
    <w:rsid w:val="003E1122"/>
    <w:rsid w:val="003E5B9E"/>
    <w:rsid w:val="003F25E3"/>
    <w:rsid w:val="003F40AF"/>
    <w:rsid w:val="003F62D9"/>
    <w:rsid w:val="003F689A"/>
    <w:rsid w:val="00400D11"/>
    <w:rsid w:val="00400EA6"/>
    <w:rsid w:val="00401349"/>
    <w:rsid w:val="00401F0B"/>
    <w:rsid w:val="00402DC8"/>
    <w:rsid w:val="00404643"/>
    <w:rsid w:val="004046ED"/>
    <w:rsid w:val="00406600"/>
    <w:rsid w:val="00410801"/>
    <w:rsid w:val="004115DD"/>
    <w:rsid w:val="00412FD4"/>
    <w:rsid w:val="004146C6"/>
    <w:rsid w:val="00415804"/>
    <w:rsid w:val="00417165"/>
    <w:rsid w:val="004207DB"/>
    <w:rsid w:val="004214F0"/>
    <w:rsid w:val="00422677"/>
    <w:rsid w:val="0042284A"/>
    <w:rsid w:val="00422EFA"/>
    <w:rsid w:val="00425F2E"/>
    <w:rsid w:val="00430D2A"/>
    <w:rsid w:val="00431EBB"/>
    <w:rsid w:val="0043220E"/>
    <w:rsid w:val="004324E5"/>
    <w:rsid w:val="00433525"/>
    <w:rsid w:val="00434BE1"/>
    <w:rsid w:val="00436E12"/>
    <w:rsid w:val="00440AD8"/>
    <w:rsid w:val="00441333"/>
    <w:rsid w:val="00447120"/>
    <w:rsid w:val="00450DC6"/>
    <w:rsid w:val="0045109F"/>
    <w:rsid w:val="004560D5"/>
    <w:rsid w:val="00456131"/>
    <w:rsid w:val="00457AC3"/>
    <w:rsid w:val="0046351D"/>
    <w:rsid w:val="00465E25"/>
    <w:rsid w:val="00466F66"/>
    <w:rsid w:val="00470DEE"/>
    <w:rsid w:val="00471CD2"/>
    <w:rsid w:val="004725EA"/>
    <w:rsid w:val="00482F2B"/>
    <w:rsid w:val="0048321B"/>
    <w:rsid w:val="00483E76"/>
    <w:rsid w:val="00485378"/>
    <w:rsid w:val="00485917"/>
    <w:rsid w:val="00485FE3"/>
    <w:rsid w:val="004870BB"/>
    <w:rsid w:val="004913CF"/>
    <w:rsid w:val="004926D8"/>
    <w:rsid w:val="004974F8"/>
    <w:rsid w:val="004A0EC9"/>
    <w:rsid w:val="004A2D8A"/>
    <w:rsid w:val="004A4B52"/>
    <w:rsid w:val="004B033A"/>
    <w:rsid w:val="004B0C9C"/>
    <w:rsid w:val="004B1ED5"/>
    <w:rsid w:val="004B2357"/>
    <w:rsid w:val="004B3340"/>
    <w:rsid w:val="004B5AC7"/>
    <w:rsid w:val="004B7B2A"/>
    <w:rsid w:val="004C0694"/>
    <w:rsid w:val="004C1B67"/>
    <w:rsid w:val="004C240E"/>
    <w:rsid w:val="004C364E"/>
    <w:rsid w:val="004C4225"/>
    <w:rsid w:val="004C4E9F"/>
    <w:rsid w:val="004C545D"/>
    <w:rsid w:val="004C7BF9"/>
    <w:rsid w:val="004D22E7"/>
    <w:rsid w:val="004D31A1"/>
    <w:rsid w:val="004D3228"/>
    <w:rsid w:val="004D3E68"/>
    <w:rsid w:val="004D48B1"/>
    <w:rsid w:val="004D56CC"/>
    <w:rsid w:val="004D5E86"/>
    <w:rsid w:val="004D7B07"/>
    <w:rsid w:val="004E0338"/>
    <w:rsid w:val="004E076D"/>
    <w:rsid w:val="004E2015"/>
    <w:rsid w:val="004E36B3"/>
    <w:rsid w:val="004E3903"/>
    <w:rsid w:val="004E54E3"/>
    <w:rsid w:val="004E77BF"/>
    <w:rsid w:val="004F0C28"/>
    <w:rsid w:val="004F1511"/>
    <w:rsid w:val="004F290A"/>
    <w:rsid w:val="004F3B6A"/>
    <w:rsid w:val="004F55A8"/>
    <w:rsid w:val="004F5E53"/>
    <w:rsid w:val="0050123B"/>
    <w:rsid w:val="0050394A"/>
    <w:rsid w:val="00503EC4"/>
    <w:rsid w:val="00505BED"/>
    <w:rsid w:val="00505DA2"/>
    <w:rsid w:val="005062F6"/>
    <w:rsid w:val="00510F6A"/>
    <w:rsid w:val="00514AD8"/>
    <w:rsid w:val="00515E52"/>
    <w:rsid w:val="00522A37"/>
    <w:rsid w:val="005234D9"/>
    <w:rsid w:val="005244F2"/>
    <w:rsid w:val="00530EB9"/>
    <w:rsid w:val="0053349F"/>
    <w:rsid w:val="00537B2D"/>
    <w:rsid w:val="00540562"/>
    <w:rsid w:val="00540AD7"/>
    <w:rsid w:val="0054130E"/>
    <w:rsid w:val="00541541"/>
    <w:rsid w:val="005417C5"/>
    <w:rsid w:val="005446E1"/>
    <w:rsid w:val="00545991"/>
    <w:rsid w:val="005466E0"/>
    <w:rsid w:val="00547571"/>
    <w:rsid w:val="0055137A"/>
    <w:rsid w:val="00552C2A"/>
    <w:rsid w:val="0055505C"/>
    <w:rsid w:val="005556B3"/>
    <w:rsid w:val="005560E1"/>
    <w:rsid w:val="00557288"/>
    <w:rsid w:val="00565BB7"/>
    <w:rsid w:val="00567267"/>
    <w:rsid w:val="005718CD"/>
    <w:rsid w:val="00574C78"/>
    <w:rsid w:val="00580D13"/>
    <w:rsid w:val="00581176"/>
    <w:rsid w:val="005843F5"/>
    <w:rsid w:val="00587826"/>
    <w:rsid w:val="0058787D"/>
    <w:rsid w:val="00590149"/>
    <w:rsid w:val="005945BC"/>
    <w:rsid w:val="00595A35"/>
    <w:rsid w:val="00596485"/>
    <w:rsid w:val="00597463"/>
    <w:rsid w:val="005A037A"/>
    <w:rsid w:val="005A0522"/>
    <w:rsid w:val="005A2CC6"/>
    <w:rsid w:val="005A4752"/>
    <w:rsid w:val="005A57C1"/>
    <w:rsid w:val="005A72EC"/>
    <w:rsid w:val="005B296A"/>
    <w:rsid w:val="005B2F79"/>
    <w:rsid w:val="005B4B1F"/>
    <w:rsid w:val="005C0EEC"/>
    <w:rsid w:val="005C19DB"/>
    <w:rsid w:val="005C23F2"/>
    <w:rsid w:val="005C296B"/>
    <w:rsid w:val="005C3193"/>
    <w:rsid w:val="005C3CB3"/>
    <w:rsid w:val="005C4520"/>
    <w:rsid w:val="005C724D"/>
    <w:rsid w:val="005C7341"/>
    <w:rsid w:val="005C750C"/>
    <w:rsid w:val="005C7A1A"/>
    <w:rsid w:val="005D0DAB"/>
    <w:rsid w:val="005D1FD4"/>
    <w:rsid w:val="005D37FA"/>
    <w:rsid w:val="005D3CC6"/>
    <w:rsid w:val="005D4831"/>
    <w:rsid w:val="005D4EE6"/>
    <w:rsid w:val="005D5C05"/>
    <w:rsid w:val="005D7492"/>
    <w:rsid w:val="005E00C1"/>
    <w:rsid w:val="005E1542"/>
    <w:rsid w:val="005E2832"/>
    <w:rsid w:val="005E32F7"/>
    <w:rsid w:val="005E64F4"/>
    <w:rsid w:val="005E7A94"/>
    <w:rsid w:val="005F08BD"/>
    <w:rsid w:val="005F127A"/>
    <w:rsid w:val="005F365E"/>
    <w:rsid w:val="005F3D15"/>
    <w:rsid w:val="005F79C6"/>
    <w:rsid w:val="005F79D1"/>
    <w:rsid w:val="0060157A"/>
    <w:rsid w:val="00603D9C"/>
    <w:rsid w:val="00606572"/>
    <w:rsid w:val="0060661A"/>
    <w:rsid w:val="00606841"/>
    <w:rsid w:val="006075CD"/>
    <w:rsid w:val="00615D51"/>
    <w:rsid w:val="00616FB5"/>
    <w:rsid w:val="00621A91"/>
    <w:rsid w:val="00623817"/>
    <w:rsid w:val="00623BC6"/>
    <w:rsid w:val="006257C0"/>
    <w:rsid w:val="006259C7"/>
    <w:rsid w:val="00625C38"/>
    <w:rsid w:val="0062746F"/>
    <w:rsid w:val="00631159"/>
    <w:rsid w:val="006321C9"/>
    <w:rsid w:val="0063364F"/>
    <w:rsid w:val="006341AE"/>
    <w:rsid w:val="00634F71"/>
    <w:rsid w:val="006362A0"/>
    <w:rsid w:val="0063704C"/>
    <w:rsid w:val="006413FC"/>
    <w:rsid w:val="006417CA"/>
    <w:rsid w:val="00642442"/>
    <w:rsid w:val="006431BB"/>
    <w:rsid w:val="0064396B"/>
    <w:rsid w:val="0064422C"/>
    <w:rsid w:val="00647B7F"/>
    <w:rsid w:val="006501F2"/>
    <w:rsid w:val="0065032A"/>
    <w:rsid w:val="0065061A"/>
    <w:rsid w:val="00651B5B"/>
    <w:rsid w:val="00653E23"/>
    <w:rsid w:val="006635A2"/>
    <w:rsid w:val="006636BE"/>
    <w:rsid w:val="00663FA5"/>
    <w:rsid w:val="0066531E"/>
    <w:rsid w:val="00667610"/>
    <w:rsid w:val="0066761D"/>
    <w:rsid w:val="006731CE"/>
    <w:rsid w:val="00674AB0"/>
    <w:rsid w:val="00676AAD"/>
    <w:rsid w:val="006806A0"/>
    <w:rsid w:val="00680E6F"/>
    <w:rsid w:val="00681FAD"/>
    <w:rsid w:val="00683FF1"/>
    <w:rsid w:val="00684E7A"/>
    <w:rsid w:val="00685A34"/>
    <w:rsid w:val="00686814"/>
    <w:rsid w:val="00690D4F"/>
    <w:rsid w:val="00692F2E"/>
    <w:rsid w:val="006942C9"/>
    <w:rsid w:val="006957D3"/>
    <w:rsid w:val="006963A5"/>
    <w:rsid w:val="00696FA5"/>
    <w:rsid w:val="006971DA"/>
    <w:rsid w:val="00697264"/>
    <w:rsid w:val="00697650"/>
    <w:rsid w:val="006A75CF"/>
    <w:rsid w:val="006A7631"/>
    <w:rsid w:val="006B0240"/>
    <w:rsid w:val="006B0ED9"/>
    <w:rsid w:val="006B2E2A"/>
    <w:rsid w:val="006B2E4A"/>
    <w:rsid w:val="006B5AE7"/>
    <w:rsid w:val="006B6AA1"/>
    <w:rsid w:val="006C1D94"/>
    <w:rsid w:val="006C1DA9"/>
    <w:rsid w:val="006C4E3C"/>
    <w:rsid w:val="006D0AAE"/>
    <w:rsid w:val="006D0DAE"/>
    <w:rsid w:val="006D205E"/>
    <w:rsid w:val="006D3BB5"/>
    <w:rsid w:val="006D4116"/>
    <w:rsid w:val="006D4B5B"/>
    <w:rsid w:val="006D5005"/>
    <w:rsid w:val="006D60DC"/>
    <w:rsid w:val="006D670E"/>
    <w:rsid w:val="006D7CB7"/>
    <w:rsid w:val="006D7DA4"/>
    <w:rsid w:val="006E0CC9"/>
    <w:rsid w:val="006E2476"/>
    <w:rsid w:val="006E4420"/>
    <w:rsid w:val="006E62DB"/>
    <w:rsid w:val="006E646A"/>
    <w:rsid w:val="006E6753"/>
    <w:rsid w:val="006F1379"/>
    <w:rsid w:val="006F14DF"/>
    <w:rsid w:val="006F4805"/>
    <w:rsid w:val="006F58CC"/>
    <w:rsid w:val="006F6D45"/>
    <w:rsid w:val="00700693"/>
    <w:rsid w:val="007029F4"/>
    <w:rsid w:val="00703B54"/>
    <w:rsid w:val="00705609"/>
    <w:rsid w:val="007072E2"/>
    <w:rsid w:val="007072EF"/>
    <w:rsid w:val="00707AE5"/>
    <w:rsid w:val="00707CDE"/>
    <w:rsid w:val="00707E8A"/>
    <w:rsid w:val="0071033A"/>
    <w:rsid w:val="007110D8"/>
    <w:rsid w:val="00711376"/>
    <w:rsid w:val="00712FFA"/>
    <w:rsid w:val="00715605"/>
    <w:rsid w:val="00716425"/>
    <w:rsid w:val="0071666A"/>
    <w:rsid w:val="00716F75"/>
    <w:rsid w:val="00722E14"/>
    <w:rsid w:val="00722EAC"/>
    <w:rsid w:val="0072390C"/>
    <w:rsid w:val="0072687E"/>
    <w:rsid w:val="007317D9"/>
    <w:rsid w:val="00734139"/>
    <w:rsid w:val="007354D6"/>
    <w:rsid w:val="0073591C"/>
    <w:rsid w:val="00735940"/>
    <w:rsid w:val="00735AFE"/>
    <w:rsid w:val="007361BD"/>
    <w:rsid w:val="00737152"/>
    <w:rsid w:val="007476FD"/>
    <w:rsid w:val="007500C2"/>
    <w:rsid w:val="00751996"/>
    <w:rsid w:val="0075244A"/>
    <w:rsid w:val="00752C0D"/>
    <w:rsid w:val="007532DA"/>
    <w:rsid w:val="0075374D"/>
    <w:rsid w:val="00753974"/>
    <w:rsid w:val="00753B9F"/>
    <w:rsid w:val="00754282"/>
    <w:rsid w:val="00755E1D"/>
    <w:rsid w:val="007568BF"/>
    <w:rsid w:val="007636D0"/>
    <w:rsid w:val="0076381C"/>
    <w:rsid w:val="007653A1"/>
    <w:rsid w:val="00765C4E"/>
    <w:rsid w:val="00771428"/>
    <w:rsid w:val="007722E1"/>
    <w:rsid w:val="00774EFF"/>
    <w:rsid w:val="007762ED"/>
    <w:rsid w:val="007766A6"/>
    <w:rsid w:val="00776D6D"/>
    <w:rsid w:val="007770B1"/>
    <w:rsid w:val="00777323"/>
    <w:rsid w:val="00777CF2"/>
    <w:rsid w:val="0078105A"/>
    <w:rsid w:val="0078141E"/>
    <w:rsid w:val="007849FD"/>
    <w:rsid w:val="007856DB"/>
    <w:rsid w:val="007860E0"/>
    <w:rsid w:val="00786164"/>
    <w:rsid w:val="007864DE"/>
    <w:rsid w:val="00790D49"/>
    <w:rsid w:val="007924A4"/>
    <w:rsid w:val="00793010"/>
    <w:rsid w:val="00793549"/>
    <w:rsid w:val="00794F67"/>
    <w:rsid w:val="007A0270"/>
    <w:rsid w:val="007A0C15"/>
    <w:rsid w:val="007A0C32"/>
    <w:rsid w:val="007A14B2"/>
    <w:rsid w:val="007A23C1"/>
    <w:rsid w:val="007A2D48"/>
    <w:rsid w:val="007A4844"/>
    <w:rsid w:val="007A6C66"/>
    <w:rsid w:val="007B0003"/>
    <w:rsid w:val="007B33BE"/>
    <w:rsid w:val="007B5360"/>
    <w:rsid w:val="007C08CD"/>
    <w:rsid w:val="007C1521"/>
    <w:rsid w:val="007C20E0"/>
    <w:rsid w:val="007C358E"/>
    <w:rsid w:val="007C73AC"/>
    <w:rsid w:val="007D01FB"/>
    <w:rsid w:val="007D39FB"/>
    <w:rsid w:val="007D5393"/>
    <w:rsid w:val="007D6152"/>
    <w:rsid w:val="007D6EB7"/>
    <w:rsid w:val="007E025B"/>
    <w:rsid w:val="007E2312"/>
    <w:rsid w:val="007E2785"/>
    <w:rsid w:val="007E469B"/>
    <w:rsid w:val="007E63C6"/>
    <w:rsid w:val="007E6CA6"/>
    <w:rsid w:val="007F01E1"/>
    <w:rsid w:val="007F1830"/>
    <w:rsid w:val="007F2906"/>
    <w:rsid w:val="007F2C2A"/>
    <w:rsid w:val="007F7B6A"/>
    <w:rsid w:val="008018ED"/>
    <w:rsid w:val="00804C9F"/>
    <w:rsid w:val="00804F57"/>
    <w:rsid w:val="00806509"/>
    <w:rsid w:val="008069E4"/>
    <w:rsid w:val="00810EBE"/>
    <w:rsid w:val="0081220B"/>
    <w:rsid w:val="008126F6"/>
    <w:rsid w:val="008131C5"/>
    <w:rsid w:val="008134CC"/>
    <w:rsid w:val="0081436E"/>
    <w:rsid w:val="008168A3"/>
    <w:rsid w:val="00821E4D"/>
    <w:rsid w:val="008227BD"/>
    <w:rsid w:val="0082309A"/>
    <w:rsid w:val="00823731"/>
    <w:rsid w:val="00823B6A"/>
    <w:rsid w:val="0082481C"/>
    <w:rsid w:val="0083013E"/>
    <w:rsid w:val="008309A4"/>
    <w:rsid w:val="00833A28"/>
    <w:rsid w:val="00842F7A"/>
    <w:rsid w:val="0084354D"/>
    <w:rsid w:val="00844435"/>
    <w:rsid w:val="00844585"/>
    <w:rsid w:val="0084506A"/>
    <w:rsid w:val="00845892"/>
    <w:rsid w:val="0084597F"/>
    <w:rsid w:val="0084635D"/>
    <w:rsid w:val="00846D0D"/>
    <w:rsid w:val="00847CBC"/>
    <w:rsid w:val="00850419"/>
    <w:rsid w:val="00850703"/>
    <w:rsid w:val="008518BE"/>
    <w:rsid w:val="00853188"/>
    <w:rsid w:val="0085501D"/>
    <w:rsid w:val="00856F63"/>
    <w:rsid w:val="00860850"/>
    <w:rsid w:val="00860C5D"/>
    <w:rsid w:val="00862878"/>
    <w:rsid w:val="0086595B"/>
    <w:rsid w:val="00865E9A"/>
    <w:rsid w:val="008708CD"/>
    <w:rsid w:val="00870D1F"/>
    <w:rsid w:val="00870E74"/>
    <w:rsid w:val="00872A2D"/>
    <w:rsid w:val="00875786"/>
    <w:rsid w:val="00875A5E"/>
    <w:rsid w:val="0087657A"/>
    <w:rsid w:val="0087686E"/>
    <w:rsid w:val="00881C5A"/>
    <w:rsid w:val="00883ED1"/>
    <w:rsid w:val="00885544"/>
    <w:rsid w:val="00886C89"/>
    <w:rsid w:val="00890493"/>
    <w:rsid w:val="00890CAD"/>
    <w:rsid w:val="00891DA7"/>
    <w:rsid w:val="008948B9"/>
    <w:rsid w:val="008951A3"/>
    <w:rsid w:val="00896199"/>
    <w:rsid w:val="0089773A"/>
    <w:rsid w:val="008A021D"/>
    <w:rsid w:val="008A073D"/>
    <w:rsid w:val="008A1213"/>
    <w:rsid w:val="008A2344"/>
    <w:rsid w:val="008A2448"/>
    <w:rsid w:val="008A2545"/>
    <w:rsid w:val="008A25FA"/>
    <w:rsid w:val="008A2FEE"/>
    <w:rsid w:val="008A3346"/>
    <w:rsid w:val="008A5461"/>
    <w:rsid w:val="008A5CB6"/>
    <w:rsid w:val="008A6F9C"/>
    <w:rsid w:val="008B0984"/>
    <w:rsid w:val="008B3A68"/>
    <w:rsid w:val="008B4C68"/>
    <w:rsid w:val="008B741E"/>
    <w:rsid w:val="008C0207"/>
    <w:rsid w:val="008C0A3D"/>
    <w:rsid w:val="008C14DB"/>
    <w:rsid w:val="008C299A"/>
    <w:rsid w:val="008C3E6A"/>
    <w:rsid w:val="008C44CF"/>
    <w:rsid w:val="008C44F1"/>
    <w:rsid w:val="008D12D4"/>
    <w:rsid w:val="008D14E0"/>
    <w:rsid w:val="008D18E0"/>
    <w:rsid w:val="008D4BAD"/>
    <w:rsid w:val="008D78AA"/>
    <w:rsid w:val="008E1004"/>
    <w:rsid w:val="008E2C18"/>
    <w:rsid w:val="008E3D60"/>
    <w:rsid w:val="008E66E7"/>
    <w:rsid w:val="008F095F"/>
    <w:rsid w:val="008F1712"/>
    <w:rsid w:val="008F2581"/>
    <w:rsid w:val="008F2E55"/>
    <w:rsid w:val="008F68CC"/>
    <w:rsid w:val="008F6ADE"/>
    <w:rsid w:val="00901031"/>
    <w:rsid w:val="00905577"/>
    <w:rsid w:val="00905EBC"/>
    <w:rsid w:val="0090712E"/>
    <w:rsid w:val="009104A1"/>
    <w:rsid w:val="00910996"/>
    <w:rsid w:val="00910C8A"/>
    <w:rsid w:val="00913C77"/>
    <w:rsid w:val="00914177"/>
    <w:rsid w:val="00915446"/>
    <w:rsid w:val="00921AA5"/>
    <w:rsid w:val="00921D15"/>
    <w:rsid w:val="00923B3F"/>
    <w:rsid w:val="00924D41"/>
    <w:rsid w:val="00926910"/>
    <w:rsid w:val="0093057A"/>
    <w:rsid w:val="00931CFD"/>
    <w:rsid w:val="00932E5F"/>
    <w:rsid w:val="0093553F"/>
    <w:rsid w:val="0093602E"/>
    <w:rsid w:val="00943418"/>
    <w:rsid w:val="0094640D"/>
    <w:rsid w:val="0095085F"/>
    <w:rsid w:val="00951219"/>
    <w:rsid w:val="00954956"/>
    <w:rsid w:val="00955D8A"/>
    <w:rsid w:val="00957660"/>
    <w:rsid w:val="00957C5A"/>
    <w:rsid w:val="009602A0"/>
    <w:rsid w:val="00960921"/>
    <w:rsid w:val="0096154A"/>
    <w:rsid w:val="009623F5"/>
    <w:rsid w:val="009633BD"/>
    <w:rsid w:val="00967337"/>
    <w:rsid w:val="00970246"/>
    <w:rsid w:val="00971977"/>
    <w:rsid w:val="00971C8E"/>
    <w:rsid w:val="00972625"/>
    <w:rsid w:val="009730B1"/>
    <w:rsid w:val="00980403"/>
    <w:rsid w:val="00980876"/>
    <w:rsid w:val="00982582"/>
    <w:rsid w:val="00982B80"/>
    <w:rsid w:val="00983827"/>
    <w:rsid w:val="00983AB5"/>
    <w:rsid w:val="009852B4"/>
    <w:rsid w:val="00986CB9"/>
    <w:rsid w:val="0098726C"/>
    <w:rsid w:val="00987695"/>
    <w:rsid w:val="0099115F"/>
    <w:rsid w:val="00995BF4"/>
    <w:rsid w:val="009963A8"/>
    <w:rsid w:val="009969FF"/>
    <w:rsid w:val="009A0529"/>
    <w:rsid w:val="009A1C27"/>
    <w:rsid w:val="009A231A"/>
    <w:rsid w:val="009A7A94"/>
    <w:rsid w:val="009B0B64"/>
    <w:rsid w:val="009B0E90"/>
    <w:rsid w:val="009B25DB"/>
    <w:rsid w:val="009B3ACC"/>
    <w:rsid w:val="009C12C6"/>
    <w:rsid w:val="009C374A"/>
    <w:rsid w:val="009C3FD0"/>
    <w:rsid w:val="009C41A0"/>
    <w:rsid w:val="009C477A"/>
    <w:rsid w:val="009C4941"/>
    <w:rsid w:val="009C5B70"/>
    <w:rsid w:val="009C623D"/>
    <w:rsid w:val="009C6DB7"/>
    <w:rsid w:val="009D095F"/>
    <w:rsid w:val="009D1A59"/>
    <w:rsid w:val="009D3063"/>
    <w:rsid w:val="009D5219"/>
    <w:rsid w:val="009D61AA"/>
    <w:rsid w:val="009D710D"/>
    <w:rsid w:val="009E2478"/>
    <w:rsid w:val="009E31B9"/>
    <w:rsid w:val="009E327F"/>
    <w:rsid w:val="009E3E4E"/>
    <w:rsid w:val="009E41F2"/>
    <w:rsid w:val="009E48A4"/>
    <w:rsid w:val="009E6359"/>
    <w:rsid w:val="009E7360"/>
    <w:rsid w:val="009E767C"/>
    <w:rsid w:val="009E7A8D"/>
    <w:rsid w:val="009F08E4"/>
    <w:rsid w:val="009F0FFE"/>
    <w:rsid w:val="009F6AAF"/>
    <w:rsid w:val="00A005EE"/>
    <w:rsid w:val="00A0230C"/>
    <w:rsid w:val="00A15326"/>
    <w:rsid w:val="00A17F82"/>
    <w:rsid w:val="00A2004B"/>
    <w:rsid w:val="00A20459"/>
    <w:rsid w:val="00A21105"/>
    <w:rsid w:val="00A220D4"/>
    <w:rsid w:val="00A230ED"/>
    <w:rsid w:val="00A2588D"/>
    <w:rsid w:val="00A3016F"/>
    <w:rsid w:val="00A3045C"/>
    <w:rsid w:val="00A3259E"/>
    <w:rsid w:val="00A3312B"/>
    <w:rsid w:val="00A33802"/>
    <w:rsid w:val="00A33E0C"/>
    <w:rsid w:val="00A3667C"/>
    <w:rsid w:val="00A37409"/>
    <w:rsid w:val="00A40A30"/>
    <w:rsid w:val="00A40BB8"/>
    <w:rsid w:val="00A46121"/>
    <w:rsid w:val="00A47259"/>
    <w:rsid w:val="00A502A4"/>
    <w:rsid w:val="00A50618"/>
    <w:rsid w:val="00A52183"/>
    <w:rsid w:val="00A54451"/>
    <w:rsid w:val="00A547ED"/>
    <w:rsid w:val="00A55FB0"/>
    <w:rsid w:val="00A56159"/>
    <w:rsid w:val="00A565E7"/>
    <w:rsid w:val="00A56804"/>
    <w:rsid w:val="00A5702D"/>
    <w:rsid w:val="00A57355"/>
    <w:rsid w:val="00A57575"/>
    <w:rsid w:val="00A60B04"/>
    <w:rsid w:val="00A60EE1"/>
    <w:rsid w:val="00A616C5"/>
    <w:rsid w:val="00A62890"/>
    <w:rsid w:val="00A63910"/>
    <w:rsid w:val="00A64FCF"/>
    <w:rsid w:val="00A6721B"/>
    <w:rsid w:val="00A6741B"/>
    <w:rsid w:val="00A67432"/>
    <w:rsid w:val="00A7095B"/>
    <w:rsid w:val="00A7101A"/>
    <w:rsid w:val="00A726C3"/>
    <w:rsid w:val="00A72D65"/>
    <w:rsid w:val="00A74488"/>
    <w:rsid w:val="00A805DA"/>
    <w:rsid w:val="00A81BE8"/>
    <w:rsid w:val="00A82AC4"/>
    <w:rsid w:val="00A85FE3"/>
    <w:rsid w:val="00A860DE"/>
    <w:rsid w:val="00A86387"/>
    <w:rsid w:val="00A8726C"/>
    <w:rsid w:val="00A92387"/>
    <w:rsid w:val="00A93050"/>
    <w:rsid w:val="00A931A5"/>
    <w:rsid w:val="00A9428F"/>
    <w:rsid w:val="00A954C5"/>
    <w:rsid w:val="00A95A85"/>
    <w:rsid w:val="00A96393"/>
    <w:rsid w:val="00A9740E"/>
    <w:rsid w:val="00A974AA"/>
    <w:rsid w:val="00AA1B66"/>
    <w:rsid w:val="00AA1FDF"/>
    <w:rsid w:val="00AA212A"/>
    <w:rsid w:val="00AA2F2D"/>
    <w:rsid w:val="00AA5333"/>
    <w:rsid w:val="00AB06F5"/>
    <w:rsid w:val="00AB098E"/>
    <w:rsid w:val="00AB25FD"/>
    <w:rsid w:val="00AB31E8"/>
    <w:rsid w:val="00AB3262"/>
    <w:rsid w:val="00AB41CE"/>
    <w:rsid w:val="00AB50EE"/>
    <w:rsid w:val="00AB5C5F"/>
    <w:rsid w:val="00AB6F96"/>
    <w:rsid w:val="00AC152C"/>
    <w:rsid w:val="00AC294D"/>
    <w:rsid w:val="00AC3043"/>
    <w:rsid w:val="00AC493F"/>
    <w:rsid w:val="00AC5E99"/>
    <w:rsid w:val="00AD0B42"/>
    <w:rsid w:val="00AD1847"/>
    <w:rsid w:val="00AD2CE8"/>
    <w:rsid w:val="00AD39A0"/>
    <w:rsid w:val="00AD4408"/>
    <w:rsid w:val="00AD4663"/>
    <w:rsid w:val="00AD5D68"/>
    <w:rsid w:val="00AE0465"/>
    <w:rsid w:val="00AE1ABE"/>
    <w:rsid w:val="00AE359E"/>
    <w:rsid w:val="00AE3FBA"/>
    <w:rsid w:val="00AE42D3"/>
    <w:rsid w:val="00AE4704"/>
    <w:rsid w:val="00AE69BF"/>
    <w:rsid w:val="00AE78A2"/>
    <w:rsid w:val="00AE7FAC"/>
    <w:rsid w:val="00AF1E70"/>
    <w:rsid w:val="00AF5C66"/>
    <w:rsid w:val="00AF6155"/>
    <w:rsid w:val="00AF68D1"/>
    <w:rsid w:val="00AF78E4"/>
    <w:rsid w:val="00AF7E85"/>
    <w:rsid w:val="00B007A1"/>
    <w:rsid w:val="00B02B65"/>
    <w:rsid w:val="00B02CAC"/>
    <w:rsid w:val="00B05F62"/>
    <w:rsid w:val="00B07770"/>
    <w:rsid w:val="00B10C3F"/>
    <w:rsid w:val="00B11A47"/>
    <w:rsid w:val="00B13F29"/>
    <w:rsid w:val="00B17C9E"/>
    <w:rsid w:val="00B22779"/>
    <w:rsid w:val="00B22B5A"/>
    <w:rsid w:val="00B255E9"/>
    <w:rsid w:val="00B33417"/>
    <w:rsid w:val="00B340AF"/>
    <w:rsid w:val="00B352E6"/>
    <w:rsid w:val="00B363FB"/>
    <w:rsid w:val="00B50F6F"/>
    <w:rsid w:val="00B51816"/>
    <w:rsid w:val="00B52CAA"/>
    <w:rsid w:val="00B52CAC"/>
    <w:rsid w:val="00B540EB"/>
    <w:rsid w:val="00B56B93"/>
    <w:rsid w:val="00B57A05"/>
    <w:rsid w:val="00B60002"/>
    <w:rsid w:val="00B6027C"/>
    <w:rsid w:val="00B602A3"/>
    <w:rsid w:val="00B60FB4"/>
    <w:rsid w:val="00B61612"/>
    <w:rsid w:val="00B61DAA"/>
    <w:rsid w:val="00B6390D"/>
    <w:rsid w:val="00B6491D"/>
    <w:rsid w:val="00B65E69"/>
    <w:rsid w:val="00B660CC"/>
    <w:rsid w:val="00B67521"/>
    <w:rsid w:val="00B67551"/>
    <w:rsid w:val="00B67817"/>
    <w:rsid w:val="00B700B8"/>
    <w:rsid w:val="00B703DE"/>
    <w:rsid w:val="00B71B4B"/>
    <w:rsid w:val="00B73607"/>
    <w:rsid w:val="00B74656"/>
    <w:rsid w:val="00B74EB4"/>
    <w:rsid w:val="00B76859"/>
    <w:rsid w:val="00B7699C"/>
    <w:rsid w:val="00B77B2E"/>
    <w:rsid w:val="00B81479"/>
    <w:rsid w:val="00B84E4E"/>
    <w:rsid w:val="00B8676C"/>
    <w:rsid w:val="00B87116"/>
    <w:rsid w:val="00B87AF9"/>
    <w:rsid w:val="00B9084B"/>
    <w:rsid w:val="00B90FB7"/>
    <w:rsid w:val="00B9326B"/>
    <w:rsid w:val="00B93B57"/>
    <w:rsid w:val="00B9517B"/>
    <w:rsid w:val="00BA004D"/>
    <w:rsid w:val="00BA2330"/>
    <w:rsid w:val="00BA27EB"/>
    <w:rsid w:val="00BA3EBD"/>
    <w:rsid w:val="00BA62ED"/>
    <w:rsid w:val="00BA71D2"/>
    <w:rsid w:val="00BA7BB4"/>
    <w:rsid w:val="00BA7EEA"/>
    <w:rsid w:val="00BB3920"/>
    <w:rsid w:val="00BB405A"/>
    <w:rsid w:val="00BB488E"/>
    <w:rsid w:val="00BB48C0"/>
    <w:rsid w:val="00BB635F"/>
    <w:rsid w:val="00BB765E"/>
    <w:rsid w:val="00BC0D12"/>
    <w:rsid w:val="00BC3800"/>
    <w:rsid w:val="00BC41BC"/>
    <w:rsid w:val="00BC62DB"/>
    <w:rsid w:val="00BD038A"/>
    <w:rsid w:val="00BD0B1F"/>
    <w:rsid w:val="00BD100E"/>
    <w:rsid w:val="00BD2937"/>
    <w:rsid w:val="00BD2CFA"/>
    <w:rsid w:val="00BD5DD6"/>
    <w:rsid w:val="00BD6214"/>
    <w:rsid w:val="00BE0BD2"/>
    <w:rsid w:val="00BE0E3A"/>
    <w:rsid w:val="00BE2165"/>
    <w:rsid w:val="00BE4DCF"/>
    <w:rsid w:val="00BE52C5"/>
    <w:rsid w:val="00BF0C4B"/>
    <w:rsid w:val="00BF3E1C"/>
    <w:rsid w:val="00BF57E0"/>
    <w:rsid w:val="00BF7BC5"/>
    <w:rsid w:val="00C03012"/>
    <w:rsid w:val="00C033F0"/>
    <w:rsid w:val="00C0460D"/>
    <w:rsid w:val="00C04ACA"/>
    <w:rsid w:val="00C056C8"/>
    <w:rsid w:val="00C05D2E"/>
    <w:rsid w:val="00C071BD"/>
    <w:rsid w:val="00C075D9"/>
    <w:rsid w:val="00C07C18"/>
    <w:rsid w:val="00C1479B"/>
    <w:rsid w:val="00C20001"/>
    <w:rsid w:val="00C20692"/>
    <w:rsid w:val="00C22BF4"/>
    <w:rsid w:val="00C2593F"/>
    <w:rsid w:val="00C30B06"/>
    <w:rsid w:val="00C30E4E"/>
    <w:rsid w:val="00C3116E"/>
    <w:rsid w:val="00C31AC6"/>
    <w:rsid w:val="00C32AB3"/>
    <w:rsid w:val="00C33756"/>
    <w:rsid w:val="00C33AC7"/>
    <w:rsid w:val="00C34EFD"/>
    <w:rsid w:val="00C352E1"/>
    <w:rsid w:val="00C3557B"/>
    <w:rsid w:val="00C40606"/>
    <w:rsid w:val="00C44385"/>
    <w:rsid w:val="00C462DC"/>
    <w:rsid w:val="00C518E9"/>
    <w:rsid w:val="00C53D50"/>
    <w:rsid w:val="00C57F2A"/>
    <w:rsid w:val="00C61F31"/>
    <w:rsid w:val="00C6605E"/>
    <w:rsid w:val="00C67F3B"/>
    <w:rsid w:val="00C712F7"/>
    <w:rsid w:val="00C71718"/>
    <w:rsid w:val="00C71FBE"/>
    <w:rsid w:val="00C72030"/>
    <w:rsid w:val="00C751CE"/>
    <w:rsid w:val="00C7781B"/>
    <w:rsid w:val="00C82643"/>
    <w:rsid w:val="00C8474A"/>
    <w:rsid w:val="00C856E0"/>
    <w:rsid w:val="00C87DBB"/>
    <w:rsid w:val="00C915C8"/>
    <w:rsid w:val="00C92929"/>
    <w:rsid w:val="00C92C96"/>
    <w:rsid w:val="00C956F9"/>
    <w:rsid w:val="00C95BDC"/>
    <w:rsid w:val="00C95E86"/>
    <w:rsid w:val="00CA04A0"/>
    <w:rsid w:val="00CA04A7"/>
    <w:rsid w:val="00CA0E84"/>
    <w:rsid w:val="00CA215E"/>
    <w:rsid w:val="00CA3FA4"/>
    <w:rsid w:val="00CA4263"/>
    <w:rsid w:val="00CA53CE"/>
    <w:rsid w:val="00CA73C2"/>
    <w:rsid w:val="00CA7453"/>
    <w:rsid w:val="00CB1444"/>
    <w:rsid w:val="00CB55F2"/>
    <w:rsid w:val="00CB6062"/>
    <w:rsid w:val="00CB6D52"/>
    <w:rsid w:val="00CB6FD9"/>
    <w:rsid w:val="00CC0F7F"/>
    <w:rsid w:val="00CC6323"/>
    <w:rsid w:val="00CC678E"/>
    <w:rsid w:val="00CD14D3"/>
    <w:rsid w:val="00CD1ED1"/>
    <w:rsid w:val="00CD242D"/>
    <w:rsid w:val="00CD46B9"/>
    <w:rsid w:val="00CD64B5"/>
    <w:rsid w:val="00CD65A6"/>
    <w:rsid w:val="00CE02C6"/>
    <w:rsid w:val="00CE1A11"/>
    <w:rsid w:val="00CE27E5"/>
    <w:rsid w:val="00CE57BE"/>
    <w:rsid w:val="00CE744A"/>
    <w:rsid w:val="00CF10A0"/>
    <w:rsid w:val="00CF406B"/>
    <w:rsid w:val="00D02232"/>
    <w:rsid w:val="00D02DDF"/>
    <w:rsid w:val="00D03885"/>
    <w:rsid w:val="00D03A02"/>
    <w:rsid w:val="00D06377"/>
    <w:rsid w:val="00D069FA"/>
    <w:rsid w:val="00D06ADE"/>
    <w:rsid w:val="00D17639"/>
    <w:rsid w:val="00D179EA"/>
    <w:rsid w:val="00D20521"/>
    <w:rsid w:val="00D25AA3"/>
    <w:rsid w:val="00D25D21"/>
    <w:rsid w:val="00D26009"/>
    <w:rsid w:val="00D27A8F"/>
    <w:rsid w:val="00D308BF"/>
    <w:rsid w:val="00D31A19"/>
    <w:rsid w:val="00D3359C"/>
    <w:rsid w:val="00D344C7"/>
    <w:rsid w:val="00D34C21"/>
    <w:rsid w:val="00D4233F"/>
    <w:rsid w:val="00D50560"/>
    <w:rsid w:val="00D54C3E"/>
    <w:rsid w:val="00D55606"/>
    <w:rsid w:val="00D55E9A"/>
    <w:rsid w:val="00D5608A"/>
    <w:rsid w:val="00D56186"/>
    <w:rsid w:val="00D577B2"/>
    <w:rsid w:val="00D619C5"/>
    <w:rsid w:val="00D637BC"/>
    <w:rsid w:val="00D70F85"/>
    <w:rsid w:val="00D7395E"/>
    <w:rsid w:val="00D75EFD"/>
    <w:rsid w:val="00D772B1"/>
    <w:rsid w:val="00D840DD"/>
    <w:rsid w:val="00D848EC"/>
    <w:rsid w:val="00D8493D"/>
    <w:rsid w:val="00D85C84"/>
    <w:rsid w:val="00D85ED7"/>
    <w:rsid w:val="00D86368"/>
    <w:rsid w:val="00D867C3"/>
    <w:rsid w:val="00D9090C"/>
    <w:rsid w:val="00D92769"/>
    <w:rsid w:val="00D92A64"/>
    <w:rsid w:val="00D93382"/>
    <w:rsid w:val="00D93EE7"/>
    <w:rsid w:val="00D96B58"/>
    <w:rsid w:val="00D96D13"/>
    <w:rsid w:val="00D97B44"/>
    <w:rsid w:val="00DA02CD"/>
    <w:rsid w:val="00DA1553"/>
    <w:rsid w:val="00DA2E66"/>
    <w:rsid w:val="00DA4573"/>
    <w:rsid w:val="00DA4B60"/>
    <w:rsid w:val="00DA4E38"/>
    <w:rsid w:val="00DB063E"/>
    <w:rsid w:val="00DB0F29"/>
    <w:rsid w:val="00DB216E"/>
    <w:rsid w:val="00DB219F"/>
    <w:rsid w:val="00DB5C7C"/>
    <w:rsid w:val="00DB5EA2"/>
    <w:rsid w:val="00DB613A"/>
    <w:rsid w:val="00DC0D77"/>
    <w:rsid w:val="00DC181E"/>
    <w:rsid w:val="00DC21E0"/>
    <w:rsid w:val="00DC22B6"/>
    <w:rsid w:val="00DC7B29"/>
    <w:rsid w:val="00DD0D46"/>
    <w:rsid w:val="00DD0E0D"/>
    <w:rsid w:val="00DD1012"/>
    <w:rsid w:val="00DD3EEF"/>
    <w:rsid w:val="00DD4042"/>
    <w:rsid w:val="00DD6317"/>
    <w:rsid w:val="00DD6EA7"/>
    <w:rsid w:val="00DD7A61"/>
    <w:rsid w:val="00DE10B1"/>
    <w:rsid w:val="00DE416F"/>
    <w:rsid w:val="00DE5F7A"/>
    <w:rsid w:val="00DF3256"/>
    <w:rsid w:val="00DF38BE"/>
    <w:rsid w:val="00DF485F"/>
    <w:rsid w:val="00DF5D05"/>
    <w:rsid w:val="00E0055C"/>
    <w:rsid w:val="00E00A80"/>
    <w:rsid w:val="00E00D1E"/>
    <w:rsid w:val="00E00D45"/>
    <w:rsid w:val="00E021A6"/>
    <w:rsid w:val="00E02414"/>
    <w:rsid w:val="00E038E6"/>
    <w:rsid w:val="00E074BA"/>
    <w:rsid w:val="00E1053B"/>
    <w:rsid w:val="00E12C77"/>
    <w:rsid w:val="00E132B3"/>
    <w:rsid w:val="00E20762"/>
    <w:rsid w:val="00E208E3"/>
    <w:rsid w:val="00E21ACE"/>
    <w:rsid w:val="00E32330"/>
    <w:rsid w:val="00E32A97"/>
    <w:rsid w:val="00E32D29"/>
    <w:rsid w:val="00E33BE0"/>
    <w:rsid w:val="00E37C22"/>
    <w:rsid w:val="00E37D13"/>
    <w:rsid w:val="00E41DCD"/>
    <w:rsid w:val="00E421B6"/>
    <w:rsid w:val="00E421D9"/>
    <w:rsid w:val="00E43F6D"/>
    <w:rsid w:val="00E443A5"/>
    <w:rsid w:val="00E447EE"/>
    <w:rsid w:val="00E46969"/>
    <w:rsid w:val="00E473A0"/>
    <w:rsid w:val="00E51F68"/>
    <w:rsid w:val="00E525A0"/>
    <w:rsid w:val="00E52CAF"/>
    <w:rsid w:val="00E52D2E"/>
    <w:rsid w:val="00E54654"/>
    <w:rsid w:val="00E54DC5"/>
    <w:rsid w:val="00E602BE"/>
    <w:rsid w:val="00E625D3"/>
    <w:rsid w:val="00E64F39"/>
    <w:rsid w:val="00E656B9"/>
    <w:rsid w:val="00E65F5B"/>
    <w:rsid w:val="00E6734A"/>
    <w:rsid w:val="00E73147"/>
    <w:rsid w:val="00E740E4"/>
    <w:rsid w:val="00E7427A"/>
    <w:rsid w:val="00E7730C"/>
    <w:rsid w:val="00E8011B"/>
    <w:rsid w:val="00E81399"/>
    <w:rsid w:val="00E81445"/>
    <w:rsid w:val="00E819CA"/>
    <w:rsid w:val="00E81AD3"/>
    <w:rsid w:val="00E87393"/>
    <w:rsid w:val="00E92D4F"/>
    <w:rsid w:val="00E9639A"/>
    <w:rsid w:val="00EA27A2"/>
    <w:rsid w:val="00EA3205"/>
    <w:rsid w:val="00EA3C65"/>
    <w:rsid w:val="00EA6DAA"/>
    <w:rsid w:val="00EA7677"/>
    <w:rsid w:val="00EB0AE7"/>
    <w:rsid w:val="00EB1823"/>
    <w:rsid w:val="00EB20F9"/>
    <w:rsid w:val="00EB28C9"/>
    <w:rsid w:val="00EB38FE"/>
    <w:rsid w:val="00EB54DC"/>
    <w:rsid w:val="00EB597E"/>
    <w:rsid w:val="00EB5E47"/>
    <w:rsid w:val="00EB6AC6"/>
    <w:rsid w:val="00EC084A"/>
    <w:rsid w:val="00EC17B7"/>
    <w:rsid w:val="00EC2CBA"/>
    <w:rsid w:val="00EC44B2"/>
    <w:rsid w:val="00EC505A"/>
    <w:rsid w:val="00EC5E6D"/>
    <w:rsid w:val="00EC6B78"/>
    <w:rsid w:val="00EC75D7"/>
    <w:rsid w:val="00ED05BF"/>
    <w:rsid w:val="00ED0DD2"/>
    <w:rsid w:val="00ED1868"/>
    <w:rsid w:val="00ED1A0E"/>
    <w:rsid w:val="00ED1D81"/>
    <w:rsid w:val="00ED417F"/>
    <w:rsid w:val="00ED4B00"/>
    <w:rsid w:val="00ED5C89"/>
    <w:rsid w:val="00ED7A74"/>
    <w:rsid w:val="00EE1258"/>
    <w:rsid w:val="00EE1FF0"/>
    <w:rsid w:val="00EE2781"/>
    <w:rsid w:val="00EE3AD4"/>
    <w:rsid w:val="00EE42D5"/>
    <w:rsid w:val="00EE7739"/>
    <w:rsid w:val="00EE7CDB"/>
    <w:rsid w:val="00EF039F"/>
    <w:rsid w:val="00EF163C"/>
    <w:rsid w:val="00EF2C8D"/>
    <w:rsid w:val="00EF3885"/>
    <w:rsid w:val="00EF54E3"/>
    <w:rsid w:val="00EF5E71"/>
    <w:rsid w:val="00F041A7"/>
    <w:rsid w:val="00F0573A"/>
    <w:rsid w:val="00F0585D"/>
    <w:rsid w:val="00F05AB8"/>
    <w:rsid w:val="00F07838"/>
    <w:rsid w:val="00F11AFC"/>
    <w:rsid w:val="00F12633"/>
    <w:rsid w:val="00F15641"/>
    <w:rsid w:val="00F1617D"/>
    <w:rsid w:val="00F177EA"/>
    <w:rsid w:val="00F22D8B"/>
    <w:rsid w:val="00F243C6"/>
    <w:rsid w:val="00F24E31"/>
    <w:rsid w:val="00F25B6D"/>
    <w:rsid w:val="00F2631F"/>
    <w:rsid w:val="00F27843"/>
    <w:rsid w:val="00F30C84"/>
    <w:rsid w:val="00F30F29"/>
    <w:rsid w:val="00F31A39"/>
    <w:rsid w:val="00F31FB1"/>
    <w:rsid w:val="00F340E9"/>
    <w:rsid w:val="00F35480"/>
    <w:rsid w:val="00F37A2A"/>
    <w:rsid w:val="00F37C76"/>
    <w:rsid w:val="00F40F34"/>
    <w:rsid w:val="00F416A2"/>
    <w:rsid w:val="00F45107"/>
    <w:rsid w:val="00F452E7"/>
    <w:rsid w:val="00F46F0C"/>
    <w:rsid w:val="00F4780C"/>
    <w:rsid w:val="00F53F15"/>
    <w:rsid w:val="00F546EA"/>
    <w:rsid w:val="00F56660"/>
    <w:rsid w:val="00F56BFD"/>
    <w:rsid w:val="00F606BB"/>
    <w:rsid w:val="00F61149"/>
    <w:rsid w:val="00F62908"/>
    <w:rsid w:val="00F70C8B"/>
    <w:rsid w:val="00F71E65"/>
    <w:rsid w:val="00F75E8B"/>
    <w:rsid w:val="00F77F9D"/>
    <w:rsid w:val="00F804D7"/>
    <w:rsid w:val="00F822F2"/>
    <w:rsid w:val="00F83188"/>
    <w:rsid w:val="00F83795"/>
    <w:rsid w:val="00F8565C"/>
    <w:rsid w:val="00F86307"/>
    <w:rsid w:val="00F90A49"/>
    <w:rsid w:val="00F91E3C"/>
    <w:rsid w:val="00F92654"/>
    <w:rsid w:val="00F95C09"/>
    <w:rsid w:val="00F97A03"/>
    <w:rsid w:val="00F97E76"/>
    <w:rsid w:val="00FA03CB"/>
    <w:rsid w:val="00FA42F3"/>
    <w:rsid w:val="00FA45DF"/>
    <w:rsid w:val="00FB01A8"/>
    <w:rsid w:val="00FB345B"/>
    <w:rsid w:val="00FB3CA5"/>
    <w:rsid w:val="00FB42D5"/>
    <w:rsid w:val="00FB4F80"/>
    <w:rsid w:val="00FB5614"/>
    <w:rsid w:val="00FB7B34"/>
    <w:rsid w:val="00FC0FF4"/>
    <w:rsid w:val="00FC2F31"/>
    <w:rsid w:val="00FC3881"/>
    <w:rsid w:val="00FC3C72"/>
    <w:rsid w:val="00FC6BD5"/>
    <w:rsid w:val="00FC7B22"/>
    <w:rsid w:val="00FD0772"/>
    <w:rsid w:val="00FD3C2D"/>
    <w:rsid w:val="00FD4C93"/>
    <w:rsid w:val="00FD6DA2"/>
    <w:rsid w:val="00FD75A0"/>
    <w:rsid w:val="00FE022C"/>
    <w:rsid w:val="00FE138B"/>
    <w:rsid w:val="00FE1B39"/>
    <w:rsid w:val="00FE45AD"/>
    <w:rsid w:val="00FE46CB"/>
    <w:rsid w:val="00FE5E4B"/>
    <w:rsid w:val="00FE6A46"/>
    <w:rsid w:val="00FF1D35"/>
    <w:rsid w:val="00FF3BD9"/>
    <w:rsid w:val="00FF6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6EE3C"/>
  <w15:docId w15:val="{16DA3A1E-C660-484A-9F2A-6A18E442E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EA2"/>
    <w:pPr>
      <w:spacing w:after="0" w:line="240" w:lineRule="auto"/>
      <w:jc w:val="both"/>
    </w:pPr>
    <w:rPr>
      <w:rFonts w:ascii="Arial" w:eastAsia="Times New Roman" w:hAnsi="Arial" w:cs="Times New Roman"/>
      <w:szCs w:val="24"/>
      <w:lang w:val="en-GB" w:eastAsia="de-DE"/>
    </w:rPr>
  </w:style>
  <w:style w:type="paragraph" w:styleId="Heading1">
    <w:name w:val="heading 1"/>
    <w:aliases w:val="Char Char Char,heading 1,saTauri,saTauri1,saTauri2,saTauri11,saTauri3,saTauri4,saTauri5,saTauri6,saTauri7,saTauri8,saTauri9,saTauri10,saTauri12,saTauri13,saTauri21,saTauri31,saTauri41,saTauri51,saTauri61,saTauri71,saTauri81,saTauri91"/>
    <w:basedOn w:val="Normal"/>
    <w:next w:val="Normal"/>
    <w:link w:val="Heading1Char"/>
    <w:autoRedefine/>
    <w:uiPriority w:val="9"/>
    <w:qFormat/>
    <w:rsid w:val="004B2357"/>
    <w:pPr>
      <w:keepNext/>
      <w:tabs>
        <w:tab w:val="left" w:pos="2858"/>
      </w:tabs>
      <w:spacing w:before="120" w:after="120"/>
      <w:jc w:val="left"/>
      <w:outlineLvl w:val="0"/>
    </w:pPr>
    <w:rPr>
      <w:rFonts w:ascii="Sylfaen" w:eastAsia="Calibri" w:hAnsi="Sylfaen"/>
      <w:b/>
      <w:sz w:val="24"/>
      <w:szCs w:val="20"/>
      <w:lang w:val="ka-GE" w:eastAsia="en-US"/>
    </w:rPr>
  </w:style>
  <w:style w:type="paragraph" w:styleId="Heading2">
    <w:name w:val="heading 2"/>
    <w:aliases w:val="D&amp;M2,D&amp;M 2,RSKH2,RSKH21,RSKHeading 2,DNV-H2,AETC-H2,sect,§1.1.,Heading 2 URS,Section Style,Heading 2 AGT ESIA,H2,header 2,Head2 small,RSK-H2,RSKH22,RSK-H21,Section,saTauri 2,qvesaTauri1,qvesaTauri2,qvesaTauri11,qvesaTauri3,qvesaTauri4"/>
    <w:basedOn w:val="Normal"/>
    <w:next w:val="Normal"/>
    <w:link w:val="Heading2Char"/>
    <w:uiPriority w:val="9"/>
    <w:unhideWhenUsed/>
    <w:qFormat/>
    <w:rsid w:val="00CA73C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Head3,ADB Heading 3,BodyText,h3,1.2.3.,Level II for #'s,H3,Main Sections,Sub-heading 1,Normal 3,sub-heading,Normal text paragraph,Secondary,Heading 3 Char Char,Sub-heading 1 Char Char,Normal 3 Char Char,sub-heading Char Char,Sub-heading 1 Char"/>
    <w:basedOn w:val="Normal"/>
    <w:next w:val="Normal"/>
    <w:link w:val="Heading3Char"/>
    <w:uiPriority w:val="9"/>
    <w:unhideWhenUsed/>
    <w:qFormat/>
    <w:rsid w:val="00CA73C2"/>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aliases w:val="Heading 4_Kaxa,H4,RSK-H4,D&amp;M4,D&amp;M 4,RSKH4,RSKHeading 4,§1.1.1.1.,Heading 4 AGT ESIA,DNV-H4,Map Title,Level 4,Heading 4 URS,ꜱ.1.1.1.,4,qve-qve-qvesaTauri,cxrilis saTauri,qve-qve-qvesaTauri1,qve-qve-qvesaTauri2,cxrilis saTauri1,B,for II"/>
    <w:basedOn w:val="Normal"/>
    <w:next w:val="Normal"/>
    <w:link w:val="Heading4Char"/>
    <w:autoRedefine/>
    <w:uiPriority w:val="9"/>
    <w:unhideWhenUsed/>
    <w:qFormat/>
    <w:rsid w:val="00B05F62"/>
    <w:pPr>
      <w:keepNext/>
      <w:keepLines/>
      <w:spacing w:after="120"/>
      <w:ind w:left="864" w:hanging="864"/>
      <w:outlineLvl w:val="3"/>
    </w:pPr>
    <w:rPr>
      <w:rFonts w:ascii="AcadNusx" w:eastAsiaTheme="majorEastAsia" w:hAnsi="AcadNusx" w:cstheme="majorBidi"/>
      <w:b/>
      <w:iCs/>
      <w:color w:val="000000" w:themeColor="text1"/>
      <w:szCs w:val="22"/>
      <w:lang w:val="ka-GE" w:eastAsia="en-US"/>
    </w:rPr>
  </w:style>
  <w:style w:type="paragraph" w:styleId="Heading5">
    <w:name w:val="heading 5"/>
    <w:aliases w:val="China5,?? 5"/>
    <w:basedOn w:val="Normal"/>
    <w:next w:val="Normal"/>
    <w:link w:val="Heading5Char"/>
    <w:autoRedefine/>
    <w:uiPriority w:val="9"/>
    <w:unhideWhenUsed/>
    <w:qFormat/>
    <w:rsid w:val="00D55606"/>
    <w:pPr>
      <w:keepNext/>
      <w:keepLines/>
      <w:numPr>
        <w:ilvl w:val="4"/>
        <w:numId w:val="8"/>
      </w:numPr>
      <w:spacing w:before="60" w:after="120"/>
      <w:jc w:val="left"/>
      <w:outlineLvl w:val="4"/>
    </w:pPr>
    <w:rPr>
      <w:rFonts w:ascii="Sylfaen" w:eastAsiaTheme="majorEastAsia" w:hAnsi="Sylfaen" w:cstheme="majorBidi"/>
      <w:b/>
      <w:color w:val="000000" w:themeColor="text1"/>
      <w:szCs w:val="22"/>
      <w:lang w:val="en-US" w:eastAsia="en-US"/>
    </w:rPr>
  </w:style>
  <w:style w:type="paragraph" w:styleId="Heading6">
    <w:name w:val="heading 6"/>
    <w:aliases w:val="China6,?? 6"/>
    <w:basedOn w:val="Normal"/>
    <w:next w:val="Normal"/>
    <w:link w:val="Heading6Char"/>
    <w:uiPriority w:val="9"/>
    <w:unhideWhenUsed/>
    <w:qFormat/>
    <w:rsid w:val="00D55606"/>
    <w:pPr>
      <w:keepNext/>
      <w:keepLines/>
      <w:numPr>
        <w:ilvl w:val="5"/>
        <w:numId w:val="8"/>
      </w:numPr>
      <w:outlineLvl w:val="5"/>
    </w:pPr>
    <w:rPr>
      <w:rFonts w:ascii="Sylfaen" w:eastAsiaTheme="majorEastAsia" w:hAnsi="Sylfaen" w:cstheme="majorBidi"/>
      <w:color w:val="000000" w:themeColor="text1"/>
      <w:szCs w:val="22"/>
      <w:lang w:val="en-US" w:eastAsia="en-US"/>
    </w:rPr>
  </w:style>
  <w:style w:type="paragraph" w:styleId="Heading7">
    <w:name w:val="heading 7"/>
    <w:basedOn w:val="Normal"/>
    <w:next w:val="Normal"/>
    <w:link w:val="Heading7Char"/>
    <w:unhideWhenUsed/>
    <w:qFormat/>
    <w:rsid w:val="00D55606"/>
    <w:pPr>
      <w:keepNext/>
      <w:keepLines/>
      <w:numPr>
        <w:ilvl w:val="6"/>
        <w:numId w:val="8"/>
      </w:numPr>
      <w:spacing w:before="40" w:line="288" w:lineRule="auto"/>
      <w:outlineLvl w:val="6"/>
    </w:pPr>
    <w:rPr>
      <w:rFonts w:asciiTheme="majorHAnsi" w:eastAsiaTheme="majorEastAsia" w:hAnsiTheme="majorHAnsi" w:cstheme="majorBidi"/>
      <w:i/>
      <w:iCs/>
      <w:color w:val="1F4D78" w:themeColor="accent1" w:themeShade="7F"/>
      <w:szCs w:val="22"/>
      <w:lang w:val="en-US" w:eastAsia="en-US"/>
    </w:rPr>
  </w:style>
  <w:style w:type="paragraph" w:styleId="Heading8">
    <w:name w:val="heading 8"/>
    <w:basedOn w:val="Normal"/>
    <w:next w:val="Normal"/>
    <w:link w:val="Heading8Char"/>
    <w:unhideWhenUsed/>
    <w:qFormat/>
    <w:rsid w:val="00D55606"/>
    <w:pPr>
      <w:keepNext/>
      <w:keepLines/>
      <w:numPr>
        <w:ilvl w:val="7"/>
        <w:numId w:val="8"/>
      </w:numPr>
      <w:spacing w:before="40" w:line="288" w:lineRule="auto"/>
      <w:outlineLvl w:val="7"/>
    </w:pPr>
    <w:rPr>
      <w:rFonts w:asciiTheme="majorHAnsi" w:eastAsiaTheme="majorEastAsia" w:hAnsiTheme="majorHAnsi" w:cstheme="majorBidi"/>
      <w:color w:val="272727" w:themeColor="text1" w:themeTint="D8"/>
      <w:sz w:val="21"/>
      <w:szCs w:val="21"/>
      <w:lang w:val="en-US" w:eastAsia="en-US"/>
    </w:rPr>
  </w:style>
  <w:style w:type="paragraph" w:styleId="Heading9">
    <w:name w:val="heading 9"/>
    <w:basedOn w:val="Normal"/>
    <w:next w:val="Normal"/>
    <w:link w:val="Heading9Char"/>
    <w:unhideWhenUsed/>
    <w:qFormat/>
    <w:rsid w:val="00D55606"/>
    <w:pPr>
      <w:keepNext/>
      <w:keepLines/>
      <w:numPr>
        <w:ilvl w:val="8"/>
        <w:numId w:val="8"/>
      </w:numPr>
      <w:spacing w:before="40" w:line="288" w:lineRule="auto"/>
      <w:outlineLvl w:val="8"/>
    </w:pPr>
    <w:rPr>
      <w:rFonts w:asciiTheme="majorHAnsi" w:eastAsiaTheme="majorEastAsia" w:hAnsiTheme="majorHAnsi" w:cstheme="majorBidi"/>
      <w:i/>
      <w:iCs/>
      <w:color w:val="272727" w:themeColor="text1" w:themeTint="D8"/>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Br">
    <w:name w:val="Betreff Br"/>
    <w:basedOn w:val="Normal"/>
    <w:rsid w:val="000F3EA2"/>
    <w:pPr>
      <w:tabs>
        <w:tab w:val="right" w:pos="9356"/>
      </w:tabs>
      <w:spacing w:before="360" w:after="480" w:line="240" w:lineRule="atLeast"/>
    </w:pPr>
    <w:rPr>
      <w:b/>
      <w:i/>
      <w:szCs w:val="20"/>
    </w:rPr>
  </w:style>
  <w:style w:type="paragraph" w:customStyle="1" w:styleId="Style5">
    <w:name w:val="Style 5"/>
    <w:basedOn w:val="Normal"/>
    <w:rsid w:val="000F3EA2"/>
    <w:pPr>
      <w:widowControl w:val="0"/>
      <w:autoSpaceDE w:val="0"/>
      <w:autoSpaceDN w:val="0"/>
      <w:spacing w:line="480" w:lineRule="exact"/>
      <w:jc w:val="center"/>
    </w:pPr>
    <w:rPr>
      <w:rFonts w:ascii="Times New Roman" w:eastAsia="Batang" w:hAnsi="Times New Roman"/>
      <w:sz w:val="24"/>
      <w:lang w:val="en-US" w:eastAsia="en-US"/>
    </w:rPr>
  </w:style>
  <w:style w:type="paragraph" w:styleId="Header">
    <w:name w:val="header"/>
    <w:aliases w:val="Верхний колонтитул2,Header AGT ESIA,h Знак,h Char,EPZ_O_Header,EPZ_U_Header,EPZ_P_Header,EPZ_R_Header,En-tête client,Header1,ContentsHeader,heading 3 after h2,h,h3+,Heade,hd,HD,Char6"/>
    <w:basedOn w:val="Normal"/>
    <w:link w:val="HeaderChar"/>
    <w:uiPriority w:val="99"/>
    <w:unhideWhenUsed/>
    <w:rsid w:val="000F3EA2"/>
    <w:pPr>
      <w:tabs>
        <w:tab w:val="center" w:pos="4680"/>
        <w:tab w:val="right" w:pos="9360"/>
      </w:tabs>
    </w:pPr>
  </w:style>
  <w:style w:type="character" w:customStyle="1" w:styleId="HeaderChar">
    <w:name w:val="Header Char"/>
    <w:aliases w:val="Верхний колонтитул2 Char,Header AGT ESIA Char,h Знак Char,h Char Char,EPZ_O_Header Char,EPZ_U_Header Char,EPZ_P_Header Char,EPZ_R_Header Char,En-tête client Char,Header1 Char,ContentsHeader Char,heading 3 after h2 Char,h Char1,h3+ Char"/>
    <w:basedOn w:val="DefaultParagraphFont"/>
    <w:link w:val="Header"/>
    <w:uiPriority w:val="99"/>
    <w:rsid w:val="000F3EA2"/>
    <w:rPr>
      <w:rFonts w:ascii="Arial" w:eastAsia="Times New Roman" w:hAnsi="Arial" w:cs="Times New Roman"/>
      <w:szCs w:val="24"/>
      <w:lang w:val="en-GB" w:eastAsia="de-DE"/>
    </w:rPr>
  </w:style>
  <w:style w:type="paragraph" w:styleId="Footer">
    <w:name w:val="footer"/>
    <w:aliases w:val="COBA Footer"/>
    <w:basedOn w:val="Normal"/>
    <w:link w:val="FooterChar"/>
    <w:uiPriority w:val="99"/>
    <w:unhideWhenUsed/>
    <w:rsid w:val="000F3EA2"/>
    <w:pPr>
      <w:tabs>
        <w:tab w:val="center" w:pos="4680"/>
        <w:tab w:val="right" w:pos="9360"/>
      </w:tabs>
    </w:pPr>
  </w:style>
  <w:style w:type="character" w:customStyle="1" w:styleId="FooterChar">
    <w:name w:val="Footer Char"/>
    <w:aliases w:val="COBA Footer Char"/>
    <w:basedOn w:val="DefaultParagraphFont"/>
    <w:link w:val="Footer"/>
    <w:uiPriority w:val="99"/>
    <w:rsid w:val="000F3EA2"/>
    <w:rPr>
      <w:rFonts w:ascii="Arial" w:eastAsia="Times New Roman" w:hAnsi="Arial" w:cs="Times New Roman"/>
      <w:szCs w:val="24"/>
      <w:lang w:val="en-GB" w:eastAsia="de-DE"/>
    </w:rPr>
  </w:style>
  <w:style w:type="character" w:customStyle="1" w:styleId="Heading1Char">
    <w:name w:val="Heading 1 Char"/>
    <w:aliases w:val="Char Char Char Char,heading 1 Char,saTauri Char,saTauri1 Char,saTauri2 Char,saTauri11 Char,saTauri3 Char,saTauri4 Char,saTauri5 Char,saTauri6 Char,saTauri7 Char,saTauri8 Char,saTauri9 Char,saTauri10 Char,saTauri12 Char,saTauri13 Char"/>
    <w:basedOn w:val="DefaultParagraphFont"/>
    <w:link w:val="Heading1"/>
    <w:uiPriority w:val="9"/>
    <w:rsid w:val="004B2357"/>
    <w:rPr>
      <w:rFonts w:ascii="Sylfaen" w:eastAsia="Calibri" w:hAnsi="Sylfaen" w:cs="Times New Roman"/>
      <w:b/>
      <w:sz w:val="24"/>
      <w:szCs w:val="20"/>
      <w:lang w:val="ka-GE"/>
    </w:rPr>
  </w:style>
  <w:style w:type="table" w:styleId="TableGrid">
    <w:name w:val="Table Grid"/>
    <w:basedOn w:val="TableNormal"/>
    <w:uiPriority w:val="39"/>
    <w:rsid w:val="00921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BTableEntry">
    <w:name w:val="ADB Table Entry"/>
    <w:basedOn w:val="Normal"/>
    <w:rsid w:val="00921AA5"/>
    <w:pPr>
      <w:spacing w:before="60" w:after="60"/>
    </w:pPr>
    <w:rPr>
      <w:sz w:val="20"/>
      <w:szCs w:val="20"/>
      <w:lang w:val="en-US" w:eastAsia="en-US"/>
    </w:rPr>
  </w:style>
  <w:style w:type="paragraph" w:customStyle="1" w:styleId="EIAH1">
    <w:name w:val="EIA H 1"/>
    <w:basedOn w:val="Heading1"/>
    <w:qFormat/>
    <w:rsid w:val="000A584B"/>
    <w:pPr>
      <w:numPr>
        <w:numId w:val="1"/>
      </w:numPr>
      <w:autoSpaceDE w:val="0"/>
      <w:autoSpaceDN w:val="0"/>
      <w:adjustRightInd w:val="0"/>
    </w:pPr>
    <w:rPr>
      <w:rFonts w:eastAsia="Times New Roman" w:cs="Arial"/>
      <w:bCs/>
      <w:kern w:val="32"/>
      <w:lang w:val="it-IT" w:eastAsia="ru-RU"/>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DNV-Body,AETC-Body"/>
    <w:basedOn w:val="Normal"/>
    <w:link w:val="BodyTextChar1"/>
    <w:uiPriority w:val="1"/>
    <w:qFormat/>
    <w:rsid w:val="007E2785"/>
    <w:pPr>
      <w:spacing w:after="280" w:line="280" w:lineRule="atLeast"/>
      <w:jc w:val="left"/>
    </w:pPr>
    <w:rPr>
      <w:rFonts w:ascii="Times New Roman" w:hAnsi="Times New Roman"/>
      <w:sz w:val="24"/>
      <w:lang w:eastAsia="en-GB"/>
    </w:rPr>
  </w:style>
  <w:style w:type="character" w:customStyle="1" w:styleId="BodyTextChar">
    <w:name w:val="Body Text Char"/>
    <w:aliases w:val="DNV-Body Char,AETC-Body Char,Body Text Char1 Char Char1,Body Text Char1 Char Char Char Char1,Body Text Char Char Char Char Char Char1,Body Text Char1 Char Char Char Char Char Char1,Body Text Char Char Char Char Char Char Char Char1"/>
    <w:basedOn w:val="DefaultParagraphFont"/>
    <w:uiPriority w:val="1"/>
    <w:rsid w:val="007E2785"/>
    <w:rPr>
      <w:rFonts w:ascii="Arial" w:eastAsia="Times New Roman" w:hAnsi="Arial" w:cs="Times New Roman"/>
      <w:szCs w:val="24"/>
      <w:lang w:val="en-GB" w:eastAsia="de-DE"/>
    </w:rPr>
  </w:style>
  <w:style w:type="paragraph" w:styleId="BodyTextIndent">
    <w:name w:val="Body Text Indent"/>
    <w:basedOn w:val="Normal"/>
    <w:link w:val="BodyTextIndentChar"/>
    <w:unhideWhenUsed/>
    <w:rsid w:val="007E2785"/>
    <w:pPr>
      <w:spacing w:after="120"/>
      <w:ind w:left="283"/>
      <w:jc w:val="left"/>
    </w:pPr>
    <w:rPr>
      <w:rFonts w:ascii="Times New Roman" w:hAnsi="Times New Roman"/>
      <w:sz w:val="24"/>
      <w:lang w:eastAsia="en-GB"/>
    </w:rPr>
  </w:style>
  <w:style w:type="character" w:customStyle="1" w:styleId="BodyTextIndentChar">
    <w:name w:val="Body Text Indent Char"/>
    <w:basedOn w:val="DefaultParagraphFont"/>
    <w:link w:val="BodyTextIndent"/>
    <w:rsid w:val="007E2785"/>
    <w:rPr>
      <w:rFonts w:ascii="Times New Roman" w:eastAsia="Times New Roman" w:hAnsi="Times New Roman" w:cs="Times New Roman"/>
      <w:sz w:val="24"/>
      <w:szCs w:val="24"/>
      <w:lang w:val="en-GB" w:eastAsia="en-GB"/>
    </w:rPr>
  </w:style>
  <w:style w:type="character" w:customStyle="1" w:styleId="BodyTextChar1">
    <w:name w:val="Body Text Char1"/>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uiPriority w:val="1"/>
    <w:rsid w:val="007E2785"/>
    <w:rPr>
      <w:rFonts w:ascii="Times New Roman" w:eastAsia="Times New Roman" w:hAnsi="Times New Roman" w:cs="Times New Roman"/>
      <w:sz w:val="24"/>
      <w:szCs w:val="24"/>
      <w:lang w:val="en-GB" w:eastAsia="en-GB"/>
    </w:rPr>
  </w:style>
  <w:style w:type="paragraph" w:styleId="ListParagraph">
    <w:name w:val="List Paragraph"/>
    <w:aliases w:val="Bullet1,Akapit z listą BS,Ha,List Paragraph2,Resume Title,Citation List,List Paragraph (numbered (a)),List of Table,Normal 2,Main numbered paragraph,Source,List_Paragraph,Multilevel para_II,MC Paragraphe Liste,body 2,lp1,List Paragraph1"/>
    <w:basedOn w:val="Normal"/>
    <w:link w:val="ListParagraphChar"/>
    <w:uiPriority w:val="34"/>
    <w:qFormat/>
    <w:rsid w:val="001907E4"/>
    <w:pPr>
      <w:spacing w:after="120" w:line="288" w:lineRule="auto"/>
      <w:ind w:left="720"/>
      <w:contextualSpacing/>
    </w:pPr>
    <w:rPr>
      <w:rFonts w:ascii="Sylfaen" w:eastAsiaTheme="minorHAnsi" w:hAnsi="Sylfaen" w:cstheme="minorBidi"/>
      <w:szCs w:val="22"/>
      <w:lang w:val="en-US" w:eastAsia="en-US"/>
    </w:rPr>
  </w:style>
  <w:style w:type="character" w:customStyle="1" w:styleId="ListParagraphChar">
    <w:name w:val="List Paragraph Char"/>
    <w:aliases w:val="Bullet1 Char,Akapit z listą BS Char,Ha Char,List Paragraph2 Char,Resume Title Char,Citation List Char,List Paragraph (numbered (a)) Char,List of Table Char,Normal 2 Char,Main numbered paragraph Char,Source Char,List_Paragraph Char"/>
    <w:link w:val="ListParagraph"/>
    <w:uiPriority w:val="34"/>
    <w:rsid w:val="001907E4"/>
    <w:rPr>
      <w:rFonts w:ascii="Sylfaen" w:hAnsi="Sylfaen"/>
    </w:rPr>
  </w:style>
  <w:style w:type="character" w:customStyle="1" w:styleId="Heading2Char">
    <w:name w:val="Heading 2 Char"/>
    <w:aliases w:val="D&amp;M2 Char1,D&amp;M 2 Char1,RSKH2 Char1,RSKH21 Char1,RSKHeading 2 Char1,DNV-H2 Char1,AETC-H2 Char1,sect Char1,§1.1. Char1,Heading 2 URS Char1,Section Style Char1,Heading 2 AGT ESIA Char1,H2 Char1,header 2 Char1,Head2 small Char1,RSK-H2 Char1"/>
    <w:basedOn w:val="DefaultParagraphFont"/>
    <w:link w:val="Heading2"/>
    <w:uiPriority w:val="9"/>
    <w:rsid w:val="00CA73C2"/>
    <w:rPr>
      <w:rFonts w:asciiTheme="majorHAnsi" w:eastAsiaTheme="majorEastAsia" w:hAnsiTheme="majorHAnsi" w:cstheme="majorBidi"/>
      <w:color w:val="2E74B5" w:themeColor="accent1" w:themeShade="BF"/>
      <w:sz w:val="26"/>
      <w:szCs w:val="26"/>
      <w:lang w:val="en-GB" w:eastAsia="de-DE"/>
    </w:rPr>
  </w:style>
  <w:style w:type="character" w:customStyle="1" w:styleId="Heading3Char">
    <w:name w:val="Heading 3 Char"/>
    <w:aliases w:val="Head3 Char,ADB Heading 3 Char,BodyText Char,h3 Char,1.2.3. Char,Level II for #'s Char,H3 Char,Main Sections Char,Sub-heading 1 Char1,Normal 3 Char,sub-heading Char,Normal text paragraph Char,Secondary Char,Heading 3 Char Char Char"/>
    <w:basedOn w:val="DefaultParagraphFont"/>
    <w:link w:val="Heading3"/>
    <w:uiPriority w:val="9"/>
    <w:rsid w:val="00CA73C2"/>
    <w:rPr>
      <w:rFonts w:asciiTheme="majorHAnsi" w:eastAsiaTheme="majorEastAsia" w:hAnsiTheme="majorHAnsi" w:cstheme="majorBidi"/>
      <w:color w:val="1F4D78" w:themeColor="accent1" w:themeShade="7F"/>
      <w:sz w:val="24"/>
      <w:szCs w:val="24"/>
      <w:lang w:val="en-GB" w:eastAsia="de-DE"/>
    </w:rPr>
  </w:style>
  <w:style w:type="paragraph" w:styleId="Caption">
    <w:name w:val="caption"/>
    <w:aliases w:val="ADB Caption,Caption-Table Char Char Char,Caption-Table Char Char,Caption-Table Char,Caption-Table Char Char Char Char,Caption-Table Char Char Char Char Char Char Char Char,Caption-Table,Caption_ICFWM,Figure,FIGURE_CC,HBP,CPR Caption,headings,図番号"/>
    <w:basedOn w:val="Normal"/>
    <w:next w:val="Normal"/>
    <w:link w:val="CaptionChar"/>
    <w:qFormat/>
    <w:rsid w:val="00CA73C2"/>
    <w:pPr>
      <w:keepNext/>
      <w:spacing w:before="240" w:after="120"/>
      <w:jc w:val="center"/>
    </w:pPr>
    <w:rPr>
      <w:b/>
      <w:bCs/>
      <w:szCs w:val="22"/>
      <w:lang w:val="en-US" w:eastAsia="en-US"/>
    </w:rPr>
  </w:style>
  <w:style w:type="character" w:customStyle="1" w:styleId="CaptionChar">
    <w:name w:val="Caption Char"/>
    <w:aliases w:val="ADB Caption Char,Caption-Table Char Char Char Char1,Caption-Table Char Char Char1,Caption-Table Char Char1,Caption-Table Char Char Char Char Char,Caption-Table Char Char Char Char Char Char Char Char Char,Caption-Table Char1,Figure Char"/>
    <w:basedOn w:val="DefaultParagraphFont"/>
    <w:link w:val="Caption"/>
    <w:rsid w:val="00CA73C2"/>
    <w:rPr>
      <w:rFonts w:ascii="Arial" w:eastAsia="Times New Roman" w:hAnsi="Arial" w:cs="Times New Roman"/>
      <w:b/>
      <w:bCs/>
    </w:rPr>
  </w:style>
  <w:style w:type="paragraph" w:customStyle="1" w:styleId="Note">
    <w:name w:val="Note"/>
    <w:basedOn w:val="Normal"/>
    <w:link w:val="NoteChar"/>
    <w:rsid w:val="00CA73C2"/>
    <w:pPr>
      <w:tabs>
        <w:tab w:val="right" w:pos="630"/>
      </w:tabs>
      <w:suppressAutoHyphens/>
      <w:spacing w:before="60"/>
      <w:ind w:left="270" w:hanging="270"/>
      <w:jc w:val="left"/>
    </w:pPr>
    <w:rPr>
      <w:sz w:val="18"/>
      <w:szCs w:val="20"/>
      <w:lang w:val="en-US" w:eastAsia="en-US"/>
    </w:rPr>
  </w:style>
  <w:style w:type="character" w:customStyle="1" w:styleId="NoteChar">
    <w:name w:val="Note Char"/>
    <w:link w:val="Note"/>
    <w:rsid w:val="00CA73C2"/>
    <w:rPr>
      <w:rFonts w:ascii="Arial" w:eastAsia="Times New Roman" w:hAnsi="Arial" w:cs="Times New Roman"/>
      <w:sz w:val="18"/>
      <w:szCs w:val="20"/>
    </w:rPr>
  </w:style>
  <w:style w:type="paragraph" w:customStyle="1" w:styleId="ADBTableHead">
    <w:name w:val="ADB Table Head"/>
    <w:basedOn w:val="ADBTableEntry"/>
    <w:rsid w:val="00CA73C2"/>
    <w:pPr>
      <w:jc w:val="center"/>
    </w:pPr>
    <w:rPr>
      <w:rFonts w:cs="Arial"/>
      <w:b/>
      <w:color w:val="000000"/>
    </w:rPr>
  </w:style>
  <w:style w:type="paragraph" w:customStyle="1" w:styleId="ADBBody">
    <w:name w:val="ADB Body"/>
    <w:basedOn w:val="Normal"/>
    <w:link w:val="ADBBodyChar"/>
    <w:rsid w:val="00CA73C2"/>
    <w:pPr>
      <w:widowControl w:val="0"/>
      <w:numPr>
        <w:numId w:val="2"/>
      </w:numPr>
      <w:overflowPunct w:val="0"/>
      <w:autoSpaceDE w:val="0"/>
      <w:autoSpaceDN w:val="0"/>
      <w:adjustRightInd w:val="0"/>
      <w:spacing w:before="120" w:after="120" w:line="250" w:lineRule="auto"/>
      <w:ind w:left="0" w:firstLine="0"/>
    </w:pPr>
    <w:rPr>
      <w:snapToGrid w:val="0"/>
      <w:szCs w:val="20"/>
      <w:lang w:val="en-US" w:eastAsia="en-US"/>
    </w:rPr>
  </w:style>
  <w:style w:type="character" w:customStyle="1" w:styleId="ADBBodyChar">
    <w:name w:val="ADB Body Char"/>
    <w:link w:val="ADBBody"/>
    <w:rsid w:val="00CA73C2"/>
    <w:rPr>
      <w:rFonts w:ascii="Arial" w:eastAsia="Times New Roman" w:hAnsi="Arial" w:cs="Times New Roman"/>
      <w:snapToGrid w:val="0"/>
      <w:szCs w:val="20"/>
    </w:rPr>
  </w:style>
  <w:style w:type="paragraph" w:customStyle="1" w:styleId="Spiegel3">
    <w:name w:val="Spiegel 3"/>
    <w:basedOn w:val="Normal"/>
    <w:uiPriority w:val="2"/>
    <w:qFormat/>
    <w:rsid w:val="00CA73C2"/>
    <w:pPr>
      <w:jc w:val="left"/>
    </w:pPr>
    <w:rPr>
      <w:rFonts w:ascii="Times New Roman" w:eastAsia="Calibri" w:hAnsi="Times New Roman"/>
      <w:b/>
      <w:sz w:val="24"/>
      <w:szCs w:val="22"/>
      <w:lang w:val="de-DE" w:eastAsia="en-US"/>
    </w:rPr>
  </w:style>
  <w:style w:type="numbering" w:customStyle="1" w:styleId="CowiNumberList">
    <w:name w:val="CowiNumberList"/>
    <w:basedOn w:val="NoList"/>
    <w:rsid w:val="006F1379"/>
    <w:pPr>
      <w:numPr>
        <w:numId w:val="14"/>
      </w:numPr>
    </w:pPr>
  </w:style>
  <w:style w:type="paragraph" w:styleId="ListNumber">
    <w:name w:val="List Number"/>
    <w:basedOn w:val="BodyText"/>
    <w:uiPriority w:val="99"/>
    <w:rsid w:val="006F1379"/>
    <w:pPr>
      <w:numPr>
        <w:numId w:val="3"/>
      </w:numPr>
    </w:pPr>
  </w:style>
  <w:style w:type="paragraph" w:styleId="ListNumber2">
    <w:name w:val="List Number 2"/>
    <w:basedOn w:val="ListNumber"/>
    <w:uiPriority w:val="99"/>
    <w:rsid w:val="006F1379"/>
    <w:pPr>
      <w:numPr>
        <w:ilvl w:val="1"/>
      </w:numPr>
    </w:pPr>
  </w:style>
  <w:style w:type="paragraph" w:styleId="ListNumber3">
    <w:name w:val="List Number 3"/>
    <w:basedOn w:val="ListNumber2"/>
    <w:uiPriority w:val="99"/>
    <w:rsid w:val="006F1379"/>
    <w:pPr>
      <w:numPr>
        <w:ilvl w:val="2"/>
      </w:numPr>
      <w:tabs>
        <w:tab w:val="left" w:pos="1276"/>
      </w:tabs>
    </w:pPr>
  </w:style>
  <w:style w:type="character" w:styleId="Emphasis">
    <w:name w:val="Emphasis"/>
    <w:basedOn w:val="DefaultParagraphFont"/>
    <w:uiPriority w:val="20"/>
    <w:unhideWhenUsed/>
    <w:qFormat/>
    <w:rsid w:val="006F1379"/>
    <w:rPr>
      <w:i/>
      <w:iCs/>
    </w:rPr>
  </w:style>
  <w:style w:type="paragraph" w:styleId="ListNumber4">
    <w:name w:val="List Number 4"/>
    <w:basedOn w:val="Normal"/>
    <w:uiPriority w:val="99"/>
    <w:unhideWhenUsed/>
    <w:rsid w:val="006F1379"/>
    <w:pPr>
      <w:numPr>
        <w:ilvl w:val="3"/>
        <w:numId w:val="3"/>
      </w:numPr>
      <w:jc w:val="left"/>
    </w:pPr>
    <w:rPr>
      <w:rFonts w:ascii="Times New Roman" w:hAnsi="Times New Roman"/>
      <w:sz w:val="24"/>
      <w:lang w:eastAsia="en-GB"/>
    </w:rPr>
  </w:style>
  <w:style w:type="character" w:customStyle="1" w:styleId="Heading4Char">
    <w:name w:val="Heading 4 Char"/>
    <w:aliases w:val="Heading 4_Kaxa Char,H4 Char,RSK-H4 Char,D&amp;M4 Char,D&amp;M 4 Char,RSKH4 Char,RSKHeading 4 Char,§1.1.1.1. Char,Heading 4 AGT ESIA Char,DNV-H4 Char,Map Title Char,Level 4 Char,Heading 4 URS Char,ꜱ.1.1.1. Char,4 Char,qve-qve-qvesaTauri Char"/>
    <w:basedOn w:val="DefaultParagraphFont"/>
    <w:link w:val="Heading4"/>
    <w:uiPriority w:val="9"/>
    <w:rsid w:val="00B05F62"/>
    <w:rPr>
      <w:rFonts w:ascii="AcadNusx" w:eastAsiaTheme="majorEastAsia" w:hAnsi="AcadNusx" w:cstheme="majorBidi"/>
      <w:b/>
      <w:iCs/>
      <w:color w:val="000000" w:themeColor="text1"/>
      <w:lang w:val="ka-GE"/>
    </w:rPr>
  </w:style>
  <w:style w:type="character" w:customStyle="1" w:styleId="Heading5Char">
    <w:name w:val="Heading 5 Char"/>
    <w:aliases w:val="China5 Char,?? 5 Char"/>
    <w:basedOn w:val="DefaultParagraphFont"/>
    <w:link w:val="Heading5"/>
    <w:uiPriority w:val="9"/>
    <w:rsid w:val="00D55606"/>
    <w:rPr>
      <w:rFonts w:ascii="Sylfaen" w:eastAsiaTheme="majorEastAsia" w:hAnsi="Sylfaen" w:cstheme="majorBidi"/>
      <w:b/>
      <w:color w:val="000000" w:themeColor="text1"/>
    </w:rPr>
  </w:style>
  <w:style w:type="character" w:customStyle="1" w:styleId="Heading6Char">
    <w:name w:val="Heading 6 Char"/>
    <w:aliases w:val="China6 Char,?? 6 Char"/>
    <w:basedOn w:val="DefaultParagraphFont"/>
    <w:link w:val="Heading6"/>
    <w:uiPriority w:val="9"/>
    <w:rsid w:val="00D55606"/>
    <w:rPr>
      <w:rFonts w:ascii="Sylfaen" w:eastAsiaTheme="majorEastAsia" w:hAnsi="Sylfaen" w:cstheme="majorBidi"/>
      <w:color w:val="000000" w:themeColor="text1"/>
    </w:rPr>
  </w:style>
  <w:style w:type="character" w:customStyle="1" w:styleId="Heading7Char">
    <w:name w:val="Heading 7 Char"/>
    <w:basedOn w:val="DefaultParagraphFont"/>
    <w:link w:val="Heading7"/>
    <w:rsid w:val="00D5560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D5560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D55606"/>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qFormat/>
    <w:rsid w:val="00145A00"/>
    <w:pPr>
      <w:tabs>
        <w:tab w:val="left" w:pos="440"/>
        <w:tab w:val="right" w:leader="dot" w:pos="9617"/>
      </w:tabs>
      <w:spacing w:line="288" w:lineRule="auto"/>
      <w:jc w:val="left"/>
    </w:pPr>
    <w:rPr>
      <w:rFonts w:asciiTheme="minorHAnsi" w:eastAsiaTheme="minorHAnsi" w:hAnsiTheme="minorHAnsi" w:cstheme="minorBidi"/>
      <w:b/>
      <w:bCs/>
      <w:noProof/>
      <w:sz w:val="24"/>
      <w:lang w:val="en-US" w:eastAsia="en-US"/>
    </w:rPr>
  </w:style>
  <w:style w:type="paragraph" w:styleId="TOC2">
    <w:name w:val="toc 2"/>
    <w:basedOn w:val="Normal"/>
    <w:next w:val="Normal"/>
    <w:autoRedefine/>
    <w:uiPriority w:val="39"/>
    <w:unhideWhenUsed/>
    <w:qFormat/>
    <w:rsid w:val="00406600"/>
    <w:pPr>
      <w:tabs>
        <w:tab w:val="right" w:leader="dot" w:pos="9980"/>
      </w:tabs>
      <w:spacing w:line="288" w:lineRule="auto"/>
      <w:ind w:left="220"/>
      <w:jc w:val="left"/>
    </w:pPr>
    <w:rPr>
      <w:rFonts w:asciiTheme="minorHAnsi" w:eastAsiaTheme="minorHAnsi" w:hAnsiTheme="minorHAnsi" w:cstheme="minorBidi"/>
      <w:bCs/>
      <w:noProof/>
      <w:szCs w:val="22"/>
      <w:lang w:val="en-US" w:eastAsia="en-US"/>
    </w:rPr>
  </w:style>
  <w:style w:type="paragraph" w:styleId="TOC3">
    <w:name w:val="toc 3"/>
    <w:basedOn w:val="Normal"/>
    <w:next w:val="Normal"/>
    <w:autoRedefine/>
    <w:uiPriority w:val="39"/>
    <w:unhideWhenUsed/>
    <w:qFormat/>
    <w:rsid w:val="00D55606"/>
    <w:pPr>
      <w:spacing w:line="288" w:lineRule="auto"/>
      <w:ind w:left="440"/>
      <w:jc w:val="left"/>
    </w:pPr>
    <w:rPr>
      <w:rFonts w:asciiTheme="minorHAnsi" w:eastAsiaTheme="minorHAnsi" w:hAnsiTheme="minorHAnsi" w:cstheme="minorBidi"/>
      <w:szCs w:val="22"/>
      <w:lang w:val="en-US" w:eastAsia="en-US"/>
    </w:rPr>
  </w:style>
  <w:style w:type="paragraph" w:styleId="TOC4">
    <w:name w:val="toc 4"/>
    <w:basedOn w:val="Normal"/>
    <w:next w:val="Normal"/>
    <w:autoRedefine/>
    <w:uiPriority w:val="39"/>
    <w:unhideWhenUsed/>
    <w:rsid w:val="00D55606"/>
    <w:pPr>
      <w:spacing w:line="288" w:lineRule="auto"/>
      <w:ind w:left="660"/>
      <w:jc w:val="left"/>
    </w:pPr>
    <w:rPr>
      <w:rFonts w:asciiTheme="minorHAnsi" w:eastAsiaTheme="minorHAnsi" w:hAnsiTheme="minorHAnsi" w:cstheme="minorBidi"/>
      <w:sz w:val="20"/>
      <w:szCs w:val="20"/>
      <w:lang w:val="en-US" w:eastAsia="en-US"/>
    </w:rPr>
  </w:style>
  <w:style w:type="paragraph" w:styleId="TOC5">
    <w:name w:val="toc 5"/>
    <w:basedOn w:val="Normal"/>
    <w:next w:val="Normal"/>
    <w:autoRedefine/>
    <w:uiPriority w:val="39"/>
    <w:unhideWhenUsed/>
    <w:rsid w:val="00D55606"/>
    <w:pPr>
      <w:spacing w:line="288" w:lineRule="auto"/>
      <w:ind w:left="880"/>
      <w:jc w:val="left"/>
    </w:pPr>
    <w:rPr>
      <w:rFonts w:asciiTheme="minorHAnsi" w:eastAsiaTheme="minorHAnsi" w:hAnsiTheme="minorHAnsi" w:cstheme="minorBidi"/>
      <w:sz w:val="20"/>
      <w:szCs w:val="20"/>
      <w:lang w:val="en-US" w:eastAsia="en-US"/>
    </w:rPr>
  </w:style>
  <w:style w:type="paragraph" w:styleId="TOC6">
    <w:name w:val="toc 6"/>
    <w:basedOn w:val="Normal"/>
    <w:next w:val="Normal"/>
    <w:autoRedefine/>
    <w:uiPriority w:val="39"/>
    <w:unhideWhenUsed/>
    <w:rsid w:val="00D55606"/>
    <w:pPr>
      <w:spacing w:line="288" w:lineRule="auto"/>
      <w:ind w:left="1100"/>
      <w:jc w:val="left"/>
    </w:pPr>
    <w:rPr>
      <w:rFonts w:asciiTheme="minorHAnsi" w:eastAsiaTheme="minorHAnsi" w:hAnsiTheme="minorHAnsi" w:cstheme="minorBidi"/>
      <w:sz w:val="20"/>
      <w:szCs w:val="20"/>
      <w:lang w:val="en-US" w:eastAsia="en-US"/>
    </w:rPr>
  </w:style>
  <w:style w:type="paragraph" w:styleId="BalloonText">
    <w:name w:val="Balloon Text"/>
    <w:basedOn w:val="Normal"/>
    <w:link w:val="BalloonTextChar"/>
    <w:uiPriority w:val="99"/>
    <w:semiHidden/>
    <w:unhideWhenUsed/>
    <w:rsid w:val="00D55606"/>
    <w:rPr>
      <w:rFonts w:ascii="Segoe UI" w:eastAsiaTheme="minorHAns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D55606"/>
    <w:rPr>
      <w:rFonts w:ascii="Segoe UI" w:hAnsi="Segoe UI" w:cs="Segoe UI"/>
      <w:sz w:val="18"/>
      <w:szCs w:val="18"/>
    </w:rPr>
  </w:style>
  <w:style w:type="character" w:styleId="Hyperlink">
    <w:name w:val="Hyperlink"/>
    <w:basedOn w:val="DefaultParagraphFont"/>
    <w:uiPriority w:val="99"/>
    <w:unhideWhenUsed/>
    <w:rsid w:val="00D55606"/>
    <w:rPr>
      <w:color w:val="0563C1" w:themeColor="hyperlink"/>
      <w:u w:val="single"/>
    </w:rPr>
  </w:style>
  <w:style w:type="paragraph" w:styleId="TOC7">
    <w:name w:val="toc 7"/>
    <w:basedOn w:val="Normal"/>
    <w:next w:val="Normal"/>
    <w:autoRedefine/>
    <w:uiPriority w:val="39"/>
    <w:unhideWhenUsed/>
    <w:rsid w:val="00D55606"/>
    <w:pPr>
      <w:spacing w:line="288" w:lineRule="auto"/>
      <w:ind w:left="1320"/>
      <w:jc w:val="left"/>
    </w:pPr>
    <w:rPr>
      <w:rFonts w:asciiTheme="minorHAnsi" w:eastAsiaTheme="minorHAnsi" w:hAnsiTheme="minorHAnsi" w:cstheme="minorBidi"/>
      <w:sz w:val="20"/>
      <w:szCs w:val="20"/>
      <w:lang w:val="en-US" w:eastAsia="en-US"/>
    </w:rPr>
  </w:style>
  <w:style w:type="paragraph" w:styleId="TOC8">
    <w:name w:val="toc 8"/>
    <w:basedOn w:val="Normal"/>
    <w:next w:val="Normal"/>
    <w:autoRedefine/>
    <w:uiPriority w:val="39"/>
    <w:unhideWhenUsed/>
    <w:rsid w:val="00D55606"/>
    <w:pPr>
      <w:spacing w:line="288" w:lineRule="auto"/>
      <w:ind w:left="1540"/>
      <w:jc w:val="left"/>
    </w:pPr>
    <w:rPr>
      <w:rFonts w:asciiTheme="minorHAnsi" w:eastAsiaTheme="minorHAnsi" w:hAnsiTheme="minorHAnsi" w:cstheme="minorBidi"/>
      <w:sz w:val="20"/>
      <w:szCs w:val="20"/>
      <w:lang w:val="en-US" w:eastAsia="en-US"/>
    </w:rPr>
  </w:style>
  <w:style w:type="paragraph" w:styleId="TOC9">
    <w:name w:val="toc 9"/>
    <w:basedOn w:val="Normal"/>
    <w:next w:val="Normal"/>
    <w:autoRedefine/>
    <w:uiPriority w:val="39"/>
    <w:unhideWhenUsed/>
    <w:rsid w:val="00D55606"/>
    <w:pPr>
      <w:spacing w:line="288" w:lineRule="auto"/>
      <w:ind w:left="1760"/>
      <w:jc w:val="left"/>
    </w:pPr>
    <w:rPr>
      <w:rFonts w:asciiTheme="minorHAnsi" w:eastAsiaTheme="minorHAnsi" w:hAnsiTheme="minorHAnsi" w:cstheme="minorBidi"/>
      <w:sz w:val="20"/>
      <w:szCs w:val="20"/>
      <w:lang w:val="en-US" w:eastAsia="en-US"/>
    </w:rPr>
  </w:style>
  <w:style w:type="table" w:customStyle="1" w:styleId="24">
    <w:name w:val="Сетка таблицы24"/>
    <w:basedOn w:val="TableNormal"/>
    <w:next w:val="TableGrid"/>
    <w:uiPriority w:val="59"/>
    <w:rsid w:val="00D55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55606"/>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55606"/>
    <w:pPr>
      <w:spacing w:before="100" w:beforeAutospacing="1" w:after="100" w:afterAutospacing="1"/>
      <w:jc w:val="left"/>
    </w:pPr>
    <w:rPr>
      <w:rFonts w:ascii="Times New Roman" w:hAnsi="Times New Roman"/>
      <w:sz w:val="24"/>
      <w:lang w:val="en-US" w:eastAsia="en-US"/>
    </w:rPr>
  </w:style>
  <w:style w:type="character" w:styleId="Strong">
    <w:name w:val="Strong"/>
    <w:basedOn w:val="DefaultParagraphFont"/>
    <w:uiPriority w:val="22"/>
    <w:qFormat/>
    <w:rsid w:val="00D55606"/>
    <w:rPr>
      <w:b/>
      <w:bCs/>
    </w:rPr>
  </w:style>
  <w:style w:type="character" w:customStyle="1" w:styleId="apple-converted-space">
    <w:name w:val="apple-converted-space"/>
    <w:basedOn w:val="DefaultParagraphFont"/>
    <w:rsid w:val="00D55606"/>
  </w:style>
  <w:style w:type="table" w:customStyle="1" w:styleId="TableGrid2">
    <w:name w:val="Table Grid2"/>
    <w:basedOn w:val="TableNormal"/>
    <w:next w:val="TableGrid"/>
    <w:uiPriority w:val="39"/>
    <w:rsid w:val="00D55606"/>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55606"/>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55606"/>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55606"/>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55606"/>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D55606"/>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55606"/>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55606"/>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55606"/>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55606"/>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D55606"/>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5606"/>
    <w:pPr>
      <w:autoSpaceDE w:val="0"/>
      <w:autoSpaceDN w:val="0"/>
      <w:adjustRightInd w:val="0"/>
      <w:spacing w:after="0" w:line="240" w:lineRule="auto"/>
    </w:pPr>
    <w:rPr>
      <w:rFonts w:ascii="Sylfaen" w:hAnsi="Sylfaen" w:cs="Sylfaen"/>
      <w:color w:val="000000"/>
      <w:sz w:val="24"/>
      <w:szCs w:val="24"/>
    </w:rPr>
  </w:style>
  <w:style w:type="paragraph" w:styleId="FootnoteText">
    <w:name w:val="footnote text"/>
    <w:aliases w:val="Footnote Text BP,ft,(NECG) Footnote Text,Footnote Text Char Char Char Char Char,Footnote Text Char Char Char Char Char Char,(NECG) Footnote Text Char Char Char Char Char,single space,footnote text,FOOTNOTES,fn,Fußnote,~FootnoteText,ft1,A,f"/>
    <w:basedOn w:val="Normal"/>
    <w:link w:val="FootnoteTextChar"/>
    <w:uiPriority w:val="99"/>
    <w:unhideWhenUsed/>
    <w:qFormat/>
    <w:rsid w:val="00D55606"/>
    <w:pPr>
      <w:jc w:val="left"/>
    </w:pPr>
    <w:rPr>
      <w:rFonts w:ascii="Calibri" w:hAnsi="Calibri" w:cstheme="minorBidi"/>
      <w:sz w:val="20"/>
      <w:szCs w:val="20"/>
      <w:lang w:val="en-US" w:eastAsia="en-US"/>
    </w:rPr>
  </w:style>
  <w:style w:type="character" w:customStyle="1" w:styleId="FootnoteTextChar">
    <w:name w:val="Footnote Text Char"/>
    <w:aliases w:val="Footnote Text BP Char,ft Char,(NECG) Footnote Text Char,Footnote Text Char Char Char Char Char Char1,Footnote Text Char Char Char Char Char Char Char,(NECG) Footnote Text Char Char Char Char Char Char,single space Char,FOOTNOTES Char"/>
    <w:basedOn w:val="DefaultParagraphFont"/>
    <w:link w:val="FootnoteText"/>
    <w:uiPriority w:val="99"/>
    <w:rsid w:val="00D55606"/>
    <w:rPr>
      <w:rFonts w:ascii="Calibri" w:eastAsia="Times New Roman" w:hAnsi="Calibri"/>
      <w:sz w:val="20"/>
      <w:szCs w:val="20"/>
    </w:rPr>
  </w:style>
  <w:style w:type="character" w:styleId="FootnoteReference">
    <w:name w:val="footnote reference"/>
    <w:aliases w:val="16 Point,Superscript 6 Point,ftref,(NECG) Footnote Reference,fr,Footnote Ref in FtNote,SUPERS,Ref,de nota al pie,Footnote Reference Number"/>
    <w:basedOn w:val="DefaultParagraphFont"/>
    <w:uiPriority w:val="99"/>
    <w:unhideWhenUsed/>
    <w:qFormat/>
    <w:rsid w:val="00D55606"/>
    <w:rPr>
      <w:vertAlign w:val="superscript"/>
    </w:rPr>
  </w:style>
  <w:style w:type="table" w:customStyle="1" w:styleId="TableGrid9">
    <w:name w:val="Table Grid9"/>
    <w:basedOn w:val="TableNormal"/>
    <w:next w:val="TableGrid"/>
    <w:uiPriority w:val="59"/>
    <w:rsid w:val="00D5560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khrilixml">
    <w:name w:val="ckhrilixml"/>
    <w:basedOn w:val="Normal"/>
    <w:rsid w:val="00D55606"/>
    <w:pPr>
      <w:spacing w:before="100" w:beforeAutospacing="1" w:after="100" w:afterAutospacing="1"/>
      <w:jc w:val="left"/>
    </w:pPr>
    <w:rPr>
      <w:rFonts w:ascii="Times New Roman" w:hAnsi="Times New Roman"/>
      <w:sz w:val="24"/>
      <w:lang w:val="en-US" w:eastAsia="en-US"/>
    </w:rPr>
  </w:style>
  <w:style w:type="character" w:styleId="FollowedHyperlink">
    <w:name w:val="FollowedHyperlink"/>
    <w:basedOn w:val="DefaultParagraphFont"/>
    <w:uiPriority w:val="99"/>
    <w:unhideWhenUsed/>
    <w:rsid w:val="00D55606"/>
    <w:rPr>
      <w:color w:val="954F72" w:themeColor="followedHyperlink"/>
      <w:u w:val="single"/>
    </w:rPr>
  </w:style>
  <w:style w:type="numbering" w:customStyle="1" w:styleId="NoList1">
    <w:name w:val="No List1"/>
    <w:next w:val="NoList"/>
    <w:uiPriority w:val="99"/>
    <w:semiHidden/>
    <w:unhideWhenUsed/>
    <w:rsid w:val="00D55606"/>
  </w:style>
  <w:style w:type="table" w:customStyle="1" w:styleId="TableGrid10">
    <w:name w:val="Table Grid10"/>
    <w:basedOn w:val="TableNormal"/>
    <w:next w:val="TableGrid"/>
    <w:uiPriority w:val="59"/>
    <w:rsid w:val="00D5560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D5560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D5560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D5560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D5560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D5560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D5560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D5560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D5560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rsid w:val="00D5560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0">
    <w:name w:val="[Normal]"/>
    <w:link w:val="NormalChar"/>
    <w:rsid w:val="00D55606"/>
    <w:pPr>
      <w:spacing w:after="0" w:line="240" w:lineRule="auto"/>
    </w:pPr>
    <w:rPr>
      <w:rFonts w:ascii="Arial" w:eastAsia="Arial" w:hAnsi="Arial" w:cs="Times New Roman"/>
      <w:sz w:val="24"/>
      <w:szCs w:val="20"/>
    </w:rPr>
  </w:style>
  <w:style w:type="paragraph" w:styleId="Title">
    <w:name w:val="Title"/>
    <w:basedOn w:val="Normal"/>
    <w:link w:val="TitleChar"/>
    <w:qFormat/>
    <w:rsid w:val="00D55606"/>
    <w:pPr>
      <w:jc w:val="center"/>
    </w:pPr>
    <w:rPr>
      <w:rFonts w:asciiTheme="majorHAnsi" w:hAnsiTheme="majorHAnsi"/>
      <w:b/>
      <w:szCs w:val="20"/>
      <w:lang w:eastAsia="en-US"/>
    </w:rPr>
  </w:style>
  <w:style w:type="character" w:customStyle="1" w:styleId="TitleChar">
    <w:name w:val="Title Char"/>
    <w:basedOn w:val="DefaultParagraphFont"/>
    <w:link w:val="Title"/>
    <w:rsid w:val="00D55606"/>
    <w:rPr>
      <w:rFonts w:asciiTheme="majorHAnsi" w:eastAsia="Times New Roman" w:hAnsiTheme="majorHAnsi" w:cs="Times New Roman"/>
      <w:b/>
      <w:szCs w:val="20"/>
      <w:lang w:val="en-GB"/>
    </w:rPr>
  </w:style>
  <w:style w:type="paragraph" w:styleId="CommentText">
    <w:name w:val="annotation text"/>
    <w:basedOn w:val="Normal"/>
    <w:link w:val="CommentTextChar"/>
    <w:uiPriority w:val="99"/>
    <w:unhideWhenUsed/>
    <w:rsid w:val="00D55606"/>
    <w:pPr>
      <w:spacing w:after="160" w:line="259" w:lineRule="auto"/>
      <w:jc w:val="left"/>
    </w:pPr>
    <w:rPr>
      <w:rFonts w:ascii="Calibri" w:eastAsia="Calibri" w:hAnsi="Calibri"/>
      <w:sz w:val="20"/>
      <w:szCs w:val="20"/>
      <w:lang w:val="en-US" w:eastAsia="en-US"/>
    </w:rPr>
  </w:style>
  <w:style w:type="character" w:customStyle="1" w:styleId="CommentTextChar">
    <w:name w:val="Comment Text Char"/>
    <w:basedOn w:val="DefaultParagraphFont"/>
    <w:link w:val="CommentText"/>
    <w:uiPriority w:val="99"/>
    <w:rsid w:val="00D55606"/>
    <w:rPr>
      <w:rFonts w:ascii="Calibri" w:eastAsia="Calibri" w:hAnsi="Calibri" w:cs="Times New Roman"/>
      <w:sz w:val="20"/>
      <w:szCs w:val="20"/>
    </w:rPr>
  </w:style>
  <w:style w:type="character" w:styleId="CommentReference">
    <w:name w:val="annotation reference"/>
    <w:basedOn w:val="DefaultParagraphFont"/>
    <w:uiPriority w:val="99"/>
    <w:unhideWhenUsed/>
    <w:rsid w:val="00D55606"/>
    <w:rPr>
      <w:sz w:val="16"/>
      <w:szCs w:val="16"/>
    </w:rPr>
  </w:style>
  <w:style w:type="paragraph" w:styleId="NoSpacing">
    <w:name w:val="No Spacing"/>
    <w:link w:val="NoSpacingChar"/>
    <w:uiPriority w:val="1"/>
    <w:qFormat/>
    <w:rsid w:val="00D55606"/>
    <w:pPr>
      <w:spacing w:after="0" w:line="240" w:lineRule="auto"/>
    </w:pPr>
    <w:rPr>
      <w:rFonts w:ascii="Calibri" w:eastAsia="Times New Roman" w:hAnsi="Calibri" w:cs="Times New Roman"/>
    </w:rPr>
  </w:style>
  <w:style w:type="paragraph" w:styleId="BodyTextIndent2">
    <w:name w:val="Body Text Indent 2"/>
    <w:basedOn w:val="Normal"/>
    <w:link w:val="BodyTextIndent2Char"/>
    <w:rsid w:val="00D55606"/>
    <w:pPr>
      <w:ind w:left="-720" w:firstLine="720"/>
      <w:jc w:val="left"/>
    </w:pPr>
    <w:rPr>
      <w:rFonts w:ascii="AcadNusx" w:hAnsi="AcadNusx"/>
      <w:sz w:val="24"/>
      <w:lang w:val="en-US" w:eastAsia="en-US"/>
    </w:rPr>
  </w:style>
  <w:style w:type="character" w:customStyle="1" w:styleId="BodyTextIndent2Char">
    <w:name w:val="Body Text Indent 2 Char"/>
    <w:basedOn w:val="DefaultParagraphFont"/>
    <w:link w:val="BodyTextIndent2"/>
    <w:rsid w:val="00D55606"/>
    <w:rPr>
      <w:rFonts w:ascii="AcadNusx" w:eastAsia="Times New Roman" w:hAnsi="AcadNusx" w:cs="Times New Roman"/>
      <w:sz w:val="24"/>
      <w:szCs w:val="24"/>
    </w:rPr>
  </w:style>
  <w:style w:type="paragraph" w:customStyle="1" w:styleId="Char">
    <w:name w:val="Char"/>
    <w:basedOn w:val="Normal"/>
    <w:rsid w:val="00D55606"/>
    <w:pPr>
      <w:spacing w:after="160"/>
      <w:jc w:val="left"/>
    </w:pPr>
    <w:rPr>
      <w:rFonts w:ascii="Verdana" w:hAnsi="Verdana"/>
      <w:sz w:val="24"/>
      <w:lang w:val="en-US" w:eastAsia="en-US"/>
    </w:rPr>
  </w:style>
  <w:style w:type="paragraph" w:styleId="BodyText2">
    <w:name w:val="Body Text 2"/>
    <w:basedOn w:val="Normal"/>
    <w:link w:val="BodyText2Char"/>
    <w:unhideWhenUsed/>
    <w:rsid w:val="00D55606"/>
    <w:pPr>
      <w:spacing w:after="120" w:line="480" w:lineRule="auto"/>
      <w:jc w:val="left"/>
    </w:pPr>
    <w:rPr>
      <w:rFonts w:ascii="Times New Roman" w:hAnsi="Times New Roman"/>
      <w:sz w:val="24"/>
      <w:szCs w:val="20"/>
      <w:lang w:eastAsia="en-GB"/>
    </w:rPr>
  </w:style>
  <w:style w:type="character" w:customStyle="1" w:styleId="BodyText2Char">
    <w:name w:val="Body Text 2 Char"/>
    <w:basedOn w:val="DefaultParagraphFont"/>
    <w:link w:val="BodyText2"/>
    <w:rsid w:val="00D55606"/>
    <w:rPr>
      <w:rFonts w:ascii="Times New Roman" w:eastAsia="Times New Roman" w:hAnsi="Times New Roman" w:cs="Times New Roman"/>
      <w:sz w:val="24"/>
      <w:szCs w:val="20"/>
      <w:lang w:val="en-GB" w:eastAsia="en-GB"/>
    </w:rPr>
  </w:style>
  <w:style w:type="character" w:customStyle="1" w:styleId="ListBulletChar">
    <w:name w:val="List Bullet Char"/>
    <w:basedOn w:val="DefaultParagraphFont"/>
    <w:link w:val="ListBullet"/>
    <w:locked/>
    <w:rsid w:val="00D55606"/>
    <w:rPr>
      <w:sz w:val="24"/>
      <w:szCs w:val="24"/>
      <w:lang w:val="en-GB" w:eastAsia="en-GB"/>
    </w:rPr>
  </w:style>
  <w:style w:type="paragraph" w:styleId="ListBullet">
    <w:name w:val="List Bullet"/>
    <w:basedOn w:val="BodyText"/>
    <w:link w:val="ListBulletChar"/>
    <w:unhideWhenUsed/>
    <w:rsid w:val="00D55606"/>
    <w:pPr>
      <w:numPr>
        <w:numId w:val="5"/>
      </w:numPr>
      <w:tabs>
        <w:tab w:val="num" w:pos="360"/>
      </w:tabs>
      <w:ind w:left="0" w:firstLine="0"/>
    </w:pPr>
    <w:rPr>
      <w:rFonts w:asciiTheme="minorHAnsi" w:eastAsiaTheme="minorHAnsi" w:hAnsiTheme="minorHAnsi" w:cstheme="minorBidi"/>
    </w:rPr>
  </w:style>
  <w:style w:type="paragraph" w:styleId="ListBullet2">
    <w:name w:val="List Bullet 2"/>
    <w:basedOn w:val="ListBullet"/>
    <w:unhideWhenUsed/>
    <w:rsid w:val="00D55606"/>
    <w:pPr>
      <w:numPr>
        <w:ilvl w:val="1"/>
      </w:numPr>
      <w:tabs>
        <w:tab w:val="num" w:pos="360"/>
        <w:tab w:val="num" w:pos="425"/>
      </w:tabs>
      <w:ind w:left="1080" w:hanging="360"/>
    </w:pPr>
  </w:style>
  <w:style w:type="paragraph" w:styleId="ListBullet3">
    <w:name w:val="List Bullet 3"/>
    <w:basedOn w:val="ListBullet2"/>
    <w:uiPriority w:val="99"/>
    <w:semiHidden/>
    <w:unhideWhenUsed/>
    <w:rsid w:val="00D55606"/>
    <w:pPr>
      <w:numPr>
        <w:ilvl w:val="2"/>
      </w:numPr>
      <w:tabs>
        <w:tab w:val="num" w:pos="360"/>
        <w:tab w:val="num" w:pos="425"/>
        <w:tab w:val="left" w:pos="1276"/>
      </w:tabs>
      <w:ind w:left="1800" w:hanging="360"/>
    </w:pPr>
  </w:style>
  <w:style w:type="paragraph" w:styleId="ListBullet4">
    <w:name w:val="List Bullet 4"/>
    <w:basedOn w:val="Normal"/>
    <w:uiPriority w:val="99"/>
    <w:semiHidden/>
    <w:unhideWhenUsed/>
    <w:rsid w:val="00D55606"/>
    <w:pPr>
      <w:numPr>
        <w:ilvl w:val="3"/>
        <w:numId w:val="5"/>
      </w:numPr>
      <w:jc w:val="left"/>
    </w:pPr>
    <w:rPr>
      <w:rFonts w:ascii="Times New Roman" w:hAnsi="Times New Roman"/>
      <w:sz w:val="24"/>
      <w:lang w:eastAsia="en-GB"/>
    </w:rPr>
  </w:style>
  <w:style w:type="numbering" w:customStyle="1" w:styleId="CowiBulletList">
    <w:name w:val="CowiBulletList"/>
    <w:rsid w:val="00D55606"/>
    <w:pPr>
      <w:numPr>
        <w:numId w:val="5"/>
      </w:numPr>
    </w:pPr>
  </w:style>
  <w:style w:type="paragraph" w:styleId="CommentSubject">
    <w:name w:val="annotation subject"/>
    <w:basedOn w:val="CommentText"/>
    <w:next w:val="CommentText"/>
    <w:link w:val="CommentSubjectChar"/>
    <w:uiPriority w:val="99"/>
    <w:unhideWhenUsed/>
    <w:rsid w:val="00D55606"/>
    <w:pPr>
      <w:spacing w:after="120" w:line="240" w:lineRule="auto"/>
      <w:jc w:val="both"/>
    </w:pPr>
    <w:rPr>
      <w:rFonts w:ascii="Sylfaen" w:eastAsiaTheme="minorHAnsi" w:hAnsi="Sylfaen" w:cstheme="minorBidi"/>
      <w:b/>
      <w:bCs/>
    </w:rPr>
  </w:style>
  <w:style w:type="character" w:customStyle="1" w:styleId="CommentSubjectChar">
    <w:name w:val="Comment Subject Char"/>
    <w:basedOn w:val="CommentTextChar"/>
    <w:link w:val="CommentSubject"/>
    <w:uiPriority w:val="99"/>
    <w:rsid w:val="00D55606"/>
    <w:rPr>
      <w:rFonts w:ascii="Sylfaen" w:eastAsia="Calibri" w:hAnsi="Sylfaen" w:cs="Times New Roman"/>
      <w:b/>
      <w:bCs/>
      <w:sz w:val="20"/>
      <w:szCs w:val="20"/>
    </w:rPr>
  </w:style>
  <w:style w:type="paragraph" w:styleId="EndnoteText">
    <w:name w:val="endnote text"/>
    <w:basedOn w:val="Normal"/>
    <w:link w:val="EndnoteTextChar"/>
    <w:uiPriority w:val="99"/>
    <w:semiHidden/>
    <w:unhideWhenUsed/>
    <w:rsid w:val="00D55606"/>
    <w:rPr>
      <w:rFonts w:ascii="Sylfaen" w:eastAsiaTheme="minorHAnsi" w:hAnsi="Sylfaen" w:cstheme="minorBidi"/>
      <w:sz w:val="20"/>
      <w:szCs w:val="20"/>
      <w:lang w:val="en-US" w:eastAsia="en-US"/>
    </w:rPr>
  </w:style>
  <w:style w:type="character" w:customStyle="1" w:styleId="EndnoteTextChar">
    <w:name w:val="Endnote Text Char"/>
    <w:basedOn w:val="DefaultParagraphFont"/>
    <w:link w:val="EndnoteText"/>
    <w:uiPriority w:val="99"/>
    <w:semiHidden/>
    <w:rsid w:val="00D55606"/>
    <w:rPr>
      <w:rFonts w:ascii="Sylfaen" w:hAnsi="Sylfaen"/>
      <w:sz w:val="20"/>
      <w:szCs w:val="20"/>
    </w:rPr>
  </w:style>
  <w:style w:type="character" w:styleId="EndnoteReference">
    <w:name w:val="endnote reference"/>
    <w:basedOn w:val="DefaultParagraphFont"/>
    <w:uiPriority w:val="99"/>
    <w:semiHidden/>
    <w:unhideWhenUsed/>
    <w:rsid w:val="00D55606"/>
    <w:rPr>
      <w:vertAlign w:val="superscript"/>
    </w:rPr>
  </w:style>
  <w:style w:type="paragraph" w:customStyle="1" w:styleId="ReportTableBullets">
    <w:name w:val="Report Table Bullets"/>
    <w:basedOn w:val="Normal"/>
    <w:next w:val="Normal"/>
    <w:uiPriority w:val="99"/>
    <w:rsid w:val="00D55606"/>
    <w:pPr>
      <w:numPr>
        <w:numId w:val="6"/>
      </w:numPr>
      <w:spacing w:before="80" w:after="80" w:line="240" w:lineRule="exact"/>
      <w:jc w:val="left"/>
    </w:pPr>
    <w:rPr>
      <w:sz w:val="20"/>
      <w:lang w:eastAsia="en-US"/>
    </w:rPr>
  </w:style>
  <w:style w:type="character" w:customStyle="1" w:styleId="ReportTableHeadingLeftChar">
    <w:name w:val="Report Table Heading Left Char"/>
    <w:basedOn w:val="DefaultParagraphFont"/>
    <w:link w:val="ReportTableHeadingLeft"/>
    <w:uiPriority w:val="99"/>
    <w:locked/>
    <w:rsid w:val="00D55606"/>
    <w:rPr>
      <w:rFonts w:ascii="Arial" w:hAnsi="Arial" w:cs="Arial"/>
      <w:b/>
      <w:bCs/>
      <w:color w:val="00506C"/>
      <w:szCs w:val="24"/>
      <w:lang w:val="en-GB"/>
    </w:rPr>
  </w:style>
  <w:style w:type="paragraph" w:customStyle="1" w:styleId="ReportTableHeadingLeft">
    <w:name w:val="Report Table Heading Left"/>
    <w:basedOn w:val="Normal"/>
    <w:link w:val="ReportTableHeadingLeftChar"/>
    <w:uiPriority w:val="99"/>
    <w:rsid w:val="00D55606"/>
    <w:pPr>
      <w:snapToGrid w:val="0"/>
      <w:spacing w:before="60" w:after="60" w:line="280" w:lineRule="exact"/>
      <w:jc w:val="left"/>
    </w:pPr>
    <w:rPr>
      <w:rFonts w:eastAsiaTheme="minorHAnsi" w:cs="Arial"/>
      <w:b/>
      <w:bCs/>
      <w:color w:val="00506C"/>
      <w:lang w:eastAsia="en-US"/>
    </w:rPr>
  </w:style>
  <w:style w:type="character" w:customStyle="1" w:styleId="lenteleChar">
    <w:name w:val="lentele Char"/>
    <w:basedOn w:val="ReportTableHeadingLeftChar"/>
    <w:link w:val="lentele"/>
    <w:uiPriority w:val="7"/>
    <w:locked/>
    <w:rsid w:val="00D55606"/>
    <w:rPr>
      <w:rFonts w:ascii="Arial" w:hAnsi="Arial" w:cs="Arial"/>
      <w:b/>
      <w:bCs/>
      <w:color w:val="00506C"/>
      <w:szCs w:val="24"/>
      <w:lang w:val="en-GB"/>
    </w:rPr>
  </w:style>
  <w:style w:type="paragraph" w:customStyle="1" w:styleId="lentele">
    <w:name w:val="lentele"/>
    <w:basedOn w:val="ReportTableHeadingLeft"/>
    <w:link w:val="lenteleChar"/>
    <w:uiPriority w:val="7"/>
    <w:qFormat/>
    <w:rsid w:val="00D55606"/>
    <w:pPr>
      <w:numPr>
        <w:numId w:val="7"/>
      </w:numPr>
    </w:pPr>
  </w:style>
  <w:style w:type="paragraph" w:customStyle="1" w:styleId="lenteleele">
    <w:name w:val="lenteleele"/>
    <w:basedOn w:val="Normal"/>
    <w:uiPriority w:val="99"/>
    <w:rsid w:val="00D55606"/>
    <w:pPr>
      <w:jc w:val="left"/>
    </w:pPr>
    <w:rPr>
      <w:rFonts w:ascii="Times New Roman" w:hAnsi="Times New Roman"/>
      <w:b/>
      <w:sz w:val="24"/>
      <w:lang w:eastAsia="en-GB"/>
    </w:rPr>
  </w:style>
  <w:style w:type="character" w:styleId="IntenseEmphasis">
    <w:name w:val="Intense Emphasis"/>
    <w:basedOn w:val="DefaultParagraphFont"/>
    <w:uiPriority w:val="21"/>
    <w:qFormat/>
    <w:rsid w:val="00D55606"/>
    <w:rPr>
      <w:b/>
      <w:bCs/>
      <w:i/>
      <w:iCs/>
      <w:color w:val="5B9BD5" w:themeColor="accent1"/>
    </w:rPr>
  </w:style>
  <w:style w:type="table" w:customStyle="1" w:styleId="CowiTableGrid">
    <w:name w:val="Cowi Table Grid"/>
    <w:basedOn w:val="TableGrid50"/>
    <w:uiPriority w:val="99"/>
    <w:rsid w:val="00D55606"/>
    <w:pPr>
      <w:spacing w:after="0" w:line="270" w:lineRule="atLeast"/>
      <w:jc w:val="left"/>
    </w:pPr>
    <w:rPr>
      <w:rFonts w:ascii="Times New Roman" w:eastAsia="Times New Roman" w:hAnsi="Times New Roman" w:cs="Times New Roman"/>
      <w:sz w:val="23"/>
      <w:szCs w:val="23"/>
      <w:lang w:val="da-DK" w:eastAsia="da-DK"/>
    </w:rPr>
    <w:tblP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top w:w="108" w:type="dxa"/>
        <w:bottom w:w="108" w:type="dxa"/>
      </w:tblCellMar>
    </w:tblPr>
    <w:tcPr>
      <w:shd w:val="clear" w:color="auto" w:fill="auto"/>
    </w:tcPr>
    <w:tblStylePr w:type="firstRow">
      <w:tblPr/>
      <w:tcPr>
        <w:tcBorders>
          <w:bottom w:val="single" w:sz="8" w:space="0" w:color="80808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il"/>
          <w:tr2bl w:val="none" w:sz="0" w:space="0" w:color="auto"/>
        </w:tcBorders>
      </w:tcPr>
    </w:tblStylePr>
  </w:style>
  <w:style w:type="table" w:styleId="TableGrid50">
    <w:name w:val="Table Grid 5"/>
    <w:basedOn w:val="TableNormal"/>
    <w:uiPriority w:val="99"/>
    <w:semiHidden/>
    <w:unhideWhenUsed/>
    <w:rsid w:val="00D55606"/>
    <w:pPr>
      <w:spacing w:after="120" w:line="288"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PlainText">
    <w:name w:val="Plain Text"/>
    <w:aliases w:val=" Char, Знак Char Char Char, Знак Char Char, Знак Знак Char Знак Знак, Знак Знак Char Знак Знак Знак, Знак Знак Char Знак, Знак Знак Знак Знак Знак Знак,Знак Зна Char Char, Знак Знак,Знак Знак Char Знак,Char3,Char4,Знак Зна, Знак Знак Знак, 1"/>
    <w:basedOn w:val="Normal"/>
    <w:link w:val="PlainTextChar"/>
    <w:rsid w:val="00D55606"/>
    <w:pPr>
      <w:widowControl w:val="0"/>
    </w:pPr>
    <w:rPr>
      <w:rFonts w:ascii="AcadNusx" w:hAnsi="AcadNusx"/>
      <w:szCs w:val="20"/>
      <w:lang w:val="ru-RU" w:eastAsia="ru-RU"/>
    </w:rPr>
  </w:style>
  <w:style w:type="character" w:customStyle="1" w:styleId="PlainTextChar">
    <w:name w:val="Plain Text Char"/>
    <w:aliases w:val="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Знак Знак Char, 1 Char"/>
    <w:basedOn w:val="DefaultParagraphFont"/>
    <w:link w:val="PlainText"/>
    <w:rsid w:val="00D55606"/>
    <w:rPr>
      <w:rFonts w:ascii="AcadNusx" w:eastAsia="Times New Roman" w:hAnsi="AcadNusx" w:cs="Times New Roman"/>
      <w:szCs w:val="20"/>
      <w:lang w:val="ru-RU" w:eastAsia="ru-RU"/>
    </w:rPr>
  </w:style>
  <w:style w:type="paragraph" w:customStyle="1" w:styleId="EIAH3">
    <w:name w:val="EIA H 3"/>
    <w:basedOn w:val="Heading3"/>
    <w:qFormat/>
    <w:rsid w:val="00D55606"/>
    <w:pPr>
      <w:keepLines w:val="0"/>
      <w:tabs>
        <w:tab w:val="left" w:pos="0"/>
      </w:tabs>
      <w:spacing w:before="480" w:after="240" w:line="276" w:lineRule="auto"/>
      <w:ind w:left="709" w:hanging="709"/>
      <w:jc w:val="left"/>
    </w:pPr>
    <w:rPr>
      <w:rFonts w:ascii="AcadNusx" w:eastAsia="Times New Roman" w:hAnsi="AcadNusx" w:cs="Arial"/>
      <w:b/>
      <w:color w:val="000000"/>
      <w:spacing w:val="-2"/>
      <w:sz w:val="26"/>
      <w:szCs w:val="26"/>
      <w:lang w:val="da-DK" w:eastAsia="ru-RU"/>
    </w:rPr>
  </w:style>
  <w:style w:type="paragraph" w:customStyle="1" w:styleId="EIAH4">
    <w:name w:val="EIA H 4"/>
    <w:basedOn w:val="Heading4"/>
    <w:qFormat/>
    <w:rsid w:val="00D55606"/>
    <w:pPr>
      <w:keepLines w:val="0"/>
      <w:spacing w:before="240" w:after="60"/>
      <w:ind w:left="709" w:hanging="709"/>
      <w:jc w:val="left"/>
    </w:pPr>
    <w:rPr>
      <w:rFonts w:eastAsia="Times New Roman" w:cs="Times New Roman"/>
      <w:iCs w:val="0"/>
      <w:color w:val="auto"/>
      <w:sz w:val="24"/>
      <w:szCs w:val="20"/>
      <w:lang w:val="de-DE" w:eastAsia="ru-RU"/>
    </w:rPr>
  </w:style>
  <w:style w:type="paragraph" w:customStyle="1" w:styleId="yiv5329918214msonormal">
    <w:name w:val="yiv5329918214msonormal"/>
    <w:basedOn w:val="Normal"/>
    <w:rsid w:val="00D55606"/>
    <w:pPr>
      <w:spacing w:before="100" w:beforeAutospacing="1" w:after="100" w:afterAutospacing="1"/>
      <w:jc w:val="left"/>
    </w:pPr>
    <w:rPr>
      <w:rFonts w:ascii="Times New Roman" w:hAnsi="Times New Roman"/>
      <w:sz w:val="24"/>
      <w:lang w:val="en-US" w:eastAsia="en-US"/>
    </w:rPr>
  </w:style>
  <w:style w:type="paragraph" w:customStyle="1" w:styleId="yiv8039969369msonormal">
    <w:name w:val="yiv8039969369msonormal"/>
    <w:basedOn w:val="Normal"/>
    <w:rsid w:val="00D55606"/>
    <w:pPr>
      <w:spacing w:before="100" w:beforeAutospacing="1" w:after="100" w:afterAutospacing="1"/>
      <w:jc w:val="left"/>
    </w:pPr>
    <w:rPr>
      <w:rFonts w:ascii="Times New Roman" w:hAnsi="Times New Roman"/>
      <w:sz w:val="24"/>
      <w:lang w:val="en-US" w:eastAsia="en-US"/>
    </w:rPr>
  </w:style>
  <w:style w:type="table" w:customStyle="1" w:styleId="GridTable4-Accent31">
    <w:name w:val="Grid Table 4 - Accent 31"/>
    <w:basedOn w:val="TableNormal"/>
    <w:uiPriority w:val="49"/>
    <w:rsid w:val="00D55606"/>
    <w:pPr>
      <w:spacing w:after="0" w:line="240" w:lineRule="auto"/>
    </w:pPr>
    <w:rPr>
      <w:lang w:val="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NoList2">
    <w:name w:val="No List2"/>
    <w:next w:val="NoList"/>
    <w:uiPriority w:val="99"/>
    <w:semiHidden/>
    <w:unhideWhenUsed/>
    <w:rsid w:val="00D55606"/>
  </w:style>
  <w:style w:type="numbering" w:customStyle="1" w:styleId="NoList3">
    <w:name w:val="No List3"/>
    <w:next w:val="NoList"/>
    <w:uiPriority w:val="99"/>
    <w:semiHidden/>
    <w:unhideWhenUsed/>
    <w:rsid w:val="00D55606"/>
  </w:style>
  <w:style w:type="numbering" w:customStyle="1" w:styleId="NoList4">
    <w:name w:val="No List4"/>
    <w:next w:val="NoList"/>
    <w:uiPriority w:val="99"/>
    <w:semiHidden/>
    <w:unhideWhenUsed/>
    <w:rsid w:val="00D55606"/>
  </w:style>
  <w:style w:type="numbering" w:customStyle="1" w:styleId="NoList5">
    <w:name w:val="No List5"/>
    <w:next w:val="NoList"/>
    <w:uiPriority w:val="99"/>
    <w:semiHidden/>
    <w:unhideWhenUsed/>
    <w:rsid w:val="00D55606"/>
  </w:style>
  <w:style w:type="numbering" w:customStyle="1" w:styleId="NoList6">
    <w:name w:val="No List6"/>
    <w:next w:val="NoList"/>
    <w:uiPriority w:val="99"/>
    <w:semiHidden/>
    <w:unhideWhenUsed/>
    <w:rsid w:val="00D55606"/>
  </w:style>
  <w:style w:type="numbering" w:customStyle="1" w:styleId="NoList7">
    <w:name w:val="No List7"/>
    <w:next w:val="NoList"/>
    <w:uiPriority w:val="99"/>
    <w:semiHidden/>
    <w:unhideWhenUsed/>
    <w:rsid w:val="00D55606"/>
  </w:style>
  <w:style w:type="numbering" w:customStyle="1" w:styleId="NoList8">
    <w:name w:val="No List8"/>
    <w:next w:val="NoList"/>
    <w:uiPriority w:val="99"/>
    <w:semiHidden/>
    <w:unhideWhenUsed/>
    <w:rsid w:val="00D55606"/>
  </w:style>
  <w:style w:type="table" w:customStyle="1" w:styleId="TableGrid110">
    <w:name w:val="Table Grid110"/>
    <w:basedOn w:val="TableNormal"/>
    <w:next w:val="TableGrid"/>
    <w:rsid w:val="00D55606"/>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D55606"/>
  </w:style>
  <w:style w:type="numbering" w:customStyle="1" w:styleId="NoList10">
    <w:name w:val="No List10"/>
    <w:next w:val="NoList"/>
    <w:uiPriority w:val="99"/>
    <w:semiHidden/>
    <w:unhideWhenUsed/>
    <w:rsid w:val="00D55606"/>
  </w:style>
  <w:style w:type="numbering" w:customStyle="1" w:styleId="NoList11">
    <w:name w:val="No List11"/>
    <w:next w:val="NoList"/>
    <w:uiPriority w:val="99"/>
    <w:semiHidden/>
    <w:unhideWhenUsed/>
    <w:rsid w:val="00D55606"/>
  </w:style>
  <w:style w:type="numbering" w:customStyle="1" w:styleId="NoList12">
    <w:name w:val="No List12"/>
    <w:next w:val="NoList"/>
    <w:uiPriority w:val="99"/>
    <w:semiHidden/>
    <w:unhideWhenUsed/>
    <w:rsid w:val="00D55606"/>
  </w:style>
  <w:style w:type="numbering" w:customStyle="1" w:styleId="NoList13">
    <w:name w:val="No List13"/>
    <w:next w:val="NoList"/>
    <w:uiPriority w:val="99"/>
    <w:semiHidden/>
    <w:unhideWhenUsed/>
    <w:rsid w:val="00D55606"/>
  </w:style>
  <w:style w:type="numbering" w:customStyle="1" w:styleId="NoList14">
    <w:name w:val="No List14"/>
    <w:next w:val="NoList"/>
    <w:uiPriority w:val="99"/>
    <w:semiHidden/>
    <w:unhideWhenUsed/>
    <w:rsid w:val="00D55606"/>
  </w:style>
  <w:style w:type="numbering" w:customStyle="1" w:styleId="NoList15">
    <w:name w:val="No List15"/>
    <w:next w:val="NoList"/>
    <w:uiPriority w:val="99"/>
    <w:semiHidden/>
    <w:unhideWhenUsed/>
    <w:rsid w:val="00D55606"/>
  </w:style>
  <w:style w:type="table" w:customStyle="1" w:styleId="ReportTable2">
    <w:name w:val="Report Table 2"/>
    <w:uiPriority w:val="98"/>
    <w:semiHidden/>
    <w:unhideWhenUsed/>
    <w:qFormat/>
    <w:rsid w:val="00D55606"/>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D55606"/>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D55606"/>
  </w:style>
  <w:style w:type="numbering" w:customStyle="1" w:styleId="NoList17">
    <w:name w:val="No List17"/>
    <w:next w:val="NoList"/>
    <w:uiPriority w:val="99"/>
    <w:semiHidden/>
    <w:unhideWhenUsed/>
    <w:rsid w:val="00D55606"/>
  </w:style>
  <w:style w:type="numbering" w:customStyle="1" w:styleId="NoList18">
    <w:name w:val="No List18"/>
    <w:next w:val="NoList"/>
    <w:uiPriority w:val="99"/>
    <w:semiHidden/>
    <w:unhideWhenUsed/>
    <w:rsid w:val="00D55606"/>
  </w:style>
  <w:style w:type="numbering" w:customStyle="1" w:styleId="NoList19">
    <w:name w:val="No List19"/>
    <w:next w:val="NoList"/>
    <w:uiPriority w:val="99"/>
    <w:semiHidden/>
    <w:unhideWhenUsed/>
    <w:rsid w:val="00D55606"/>
  </w:style>
  <w:style w:type="numbering" w:customStyle="1" w:styleId="NoList20">
    <w:name w:val="No List20"/>
    <w:next w:val="NoList"/>
    <w:uiPriority w:val="99"/>
    <w:semiHidden/>
    <w:unhideWhenUsed/>
    <w:rsid w:val="00D55606"/>
  </w:style>
  <w:style w:type="numbering" w:customStyle="1" w:styleId="NoList21">
    <w:name w:val="No List21"/>
    <w:next w:val="NoList"/>
    <w:uiPriority w:val="99"/>
    <w:semiHidden/>
    <w:unhideWhenUsed/>
    <w:rsid w:val="00D55606"/>
  </w:style>
  <w:style w:type="numbering" w:customStyle="1" w:styleId="Style113">
    <w:name w:val="Style113"/>
    <w:rsid w:val="00D55606"/>
    <w:pPr>
      <w:numPr>
        <w:numId w:val="4"/>
      </w:numPr>
    </w:pPr>
  </w:style>
  <w:style w:type="table" w:customStyle="1" w:styleId="TableGrid24">
    <w:name w:val="Table Grid24"/>
    <w:basedOn w:val="TableNormal"/>
    <w:next w:val="TableGrid"/>
    <w:uiPriority w:val="59"/>
    <w:rsid w:val="00D55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D55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D55606"/>
  </w:style>
  <w:style w:type="numbering" w:customStyle="1" w:styleId="NoList23">
    <w:name w:val="No List23"/>
    <w:next w:val="NoList"/>
    <w:uiPriority w:val="99"/>
    <w:semiHidden/>
    <w:unhideWhenUsed/>
    <w:rsid w:val="00D55606"/>
  </w:style>
  <w:style w:type="numbering" w:customStyle="1" w:styleId="NoList24">
    <w:name w:val="No List24"/>
    <w:next w:val="NoList"/>
    <w:uiPriority w:val="99"/>
    <w:semiHidden/>
    <w:unhideWhenUsed/>
    <w:rsid w:val="00D55606"/>
  </w:style>
  <w:style w:type="numbering" w:customStyle="1" w:styleId="NoList25">
    <w:name w:val="No List25"/>
    <w:next w:val="NoList"/>
    <w:uiPriority w:val="99"/>
    <w:semiHidden/>
    <w:unhideWhenUsed/>
    <w:rsid w:val="00D55606"/>
  </w:style>
  <w:style w:type="table" w:customStyle="1" w:styleId="TableGrid26">
    <w:name w:val="Table Grid26"/>
    <w:basedOn w:val="TableNormal"/>
    <w:next w:val="TableGrid"/>
    <w:uiPriority w:val="59"/>
    <w:rsid w:val="00D55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D55606"/>
  </w:style>
  <w:style w:type="table" w:customStyle="1" w:styleId="TableGrid27">
    <w:name w:val="Table Grid27"/>
    <w:basedOn w:val="TableNormal"/>
    <w:next w:val="TableGrid"/>
    <w:uiPriority w:val="39"/>
    <w:rsid w:val="00D5560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vesaTauri611">
    <w:name w:val="qvesaTauri611"/>
    <w:basedOn w:val="Normal"/>
    <w:next w:val="Normal"/>
    <w:unhideWhenUsed/>
    <w:qFormat/>
    <w:rsid w:val="00D55606"/>
    <w:pPr>
      <w:keepNext/>
      <w:keepLines/>
      <w:spacing w:before="200"/>
      <w:jc w:val="left"/>
      <w:outlineLvl w:val="1"/>
    </w:pPr>
    <w:rPr>
      <w:rFonts w:ascii="Cambria" w:hAnsi="Cambria"/>
      <w:b/>
      <w:bCs/>
      <w:color w:val="4F81BD"/>
      <w:sz w:val="26"/>
      <w:szCs w:val="26"/>
      <w:lang w:eastAsia="en-GB"/>
    </w:rPr>
  </w:style>
  <w:style w:type="paragraph" w:customStyle="1" w:styleId="qve-qvesaTauri521">
    <w:name w:val="qve-qvesaTauri521"/>
    <w:basedOn w:val="Normal"/>
    <w:next w:val="Normal"/>
    <w:unhideWhenUsed/>
    <w:qFormat/>
    <w:rsid w:val="00D55606"/>
    <w:pPr>
      <w:keepNext/>
      <w:keepLines/>
      <w:spacing w:before="200"/>
      <w:jc w:val="left"/>
      <w:outlineLvl w:val="2"/>
    </w:pPr>
    <w:rPr>
      <w:rFonts w:ascii="Cambria" w:hAnsi="Cambria"/>
      <w:b/>
      <w:bCs/>
      <w:color w:val="4F81BD"/>
      <w:sz w:val="24"/>
      <w:szCs w:val="20"/>
      <w:lang w:eastAsia="en-GB"/>
    </w:rPr>
  </w:style>
  <w:style w:type="paragraph" w:customStyle="1" w:styleId="RSKH51">
    <w:name w:val="RSKH51"/>
    <w:basedOn w:val="Normal"/>
    <w:next w:val="Normal"/>
    <w:unhideWhenUsed/>
    <w:qFormat/>
    <w:rsid w:val="00D55606"/>
    <w:pPr>
      <w:keepNext/>
      <w:keepLines/>
      <w:spacing w:before="200"/>
      <w:jc w:val="left"/>
      <w:outlineLvl w:val="4"/>
    </w:pPr>
    <w:rPr>
      <w:rFonts w:ascii="Cambria" w:hAnsi="Cambria"/>
      <w:color w:val="243F60"/>
      <w:sz w:val="24"/>
      <w:szCs w:val="20"/>
      <w:lang w:eastAsia="en-GB"/>
    </w:rPr>
  </w:style>
  <w:style w:type="numbering" w:customStyle="1" w:styleId="NoList110">
    <w:name w:val="No List110"/>
    <w:next w:val="NoList"/>
    <w:uiPriority w:val="99"/>
    <w:semiHidden/>
    <w:unhideWhenUsed/>
    <w:rsid w:val="00D55606"/>
  </w:style>
  <w:style w:type="paragraph" w:customStyle="1" w:styleId="B1b">
    <w:name w:val="B1b"/>
    <w:basedOn w:val="Normal"/>
    <w:link w:val="B1bChar"/>
    <w:rsid w:val="00D55606"/>
    <w:pPr>
      <w:tabs>
        <w:tab w:val="right" w:pos="9356"/>
      </w:tabs>
      <w:spacing w:line="360" w:lineRule="atLeast"/>
      <w:ind w:left="1418"/>
    </w:pPr>
    <w:rPr>
      <w:szCs w:val="20"/>
      <w:lang w:val="en-US"/>
    </w:rPr>
  </w:style>
  <w:style w:type="table" w:customStyle="1" w:styleId="TableGrid111">
    <w:name w:val="Table Grid111"/>
    <w:basedOn w:val="TableNormal"/>
    <w:next w:val="TableGrid"/>
    <w:rsid w:val="00D55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D55606"/>
  </w:style>
  <w:style w:type="character" w:customStyle="1" w:styleId="st">
    <w:name w:val="st"/>
    <w:basedOn w:val="DefaultParagraphFont"/>
    <w:rsid w:val="00D55606"/>
  </w:style>
  <w:style w:type="paragraph" w:styleId="List">
    <w:name w:val="List"/>
    <w:basedOn w:val="Normal"/>
    <w:unhideWhenUsed/>
    <w:rsid w:val="00D55606"/>
    <w:pPr>
      <w:ind w:left="283" w:hanging="283"/>
      <w:contextualSpacing/>
      <w:jc w:val="left"/>
    </w:pPr>
    <w:rPr>
      <w:rFonts w:ascii="Times New Roman" w:hAnsi="Times New Roman"/>
      <w:sz w:val="24"/>
      <w:szCs w:val="20"/>
      <w:lang w:eastAsia="en-GB"/>
    </w:rPr>
  </w:style>
  <w:style w:type="paragraph" w:customStyle="1" w:styleId="DNV-Body">
    <w:name w:val="Основной текст.DNV-Body"/>
    <w:rsid w:val="00D55606"/>
    <w:pPr>
      <w:spacing w:after="0" w:line="240" w:lineRule="auto"/>
      <w:jc w:val="both"/>
    </w:pPr>
    <w:rPr>
      <w:rFonts w:ascii="Times New Roman" w:eastAsia="Times New Roman" w:hAnsi="Times New Roman" w:cs="Times New Roman"/>
      <w:sz w:val="24"/>
      <w:szCs w:val="20"/>
      <w:lang w:eastAsia="ru-RU"/>
    </w:rPr>
  </w:style>
  <w:style w:type="character" w:customStyle="1" w:styleId="sciname">
    <w:name w:val="sciname"/>
    <w:basedOn w:val="DefaultParagraphFont"/>
    <w:rsid w:val="00D55606"/>
    <w:rPr>
      <w:i/>
      <w:iCs/>
    </w:rPr>
  </w:style>
  <w:style w:type="character" w:customStyle="1" w:styleId="infraname">
    <w:name w:val="infraname"/>
    <w:basedOn w:val="DefaultParagraphFont"/>
    <w:rsid w:val="00D55606"/>
    <w:rPr>
      <w:i/>
      <w:iCs/>
    </w:rPr>
  </w:style>
  <w:style w:type="paragraph" w:customStyle="1" w:styleId="A1">
    <w:name w:val="A1"/>
    <w:basedOn w:val="Normal"/>
    <w:next w:val="B1b"/>
    <w:rsid w:val="00D55606"/>
    <w:pPr>
      <w:widowControl w:val="0"/>
      <w:numPr>
        <w:numId w:val="9"/>
      </w:numPr>
      <w:tabs>
        <w:tab w:val="right" w:pos="9356"/>
      </w:tabs>
      <w:spacing w:after="360" w:line="360" w:lineRule="atLeast"/>
    </w:pPr>
    <w:rPr>
      <w:b/>
      <w:szCs w:val="20"/>
      <w:lang w:val="en-US"/>
    </w:rPr>
  </w:style>
  <w:style w:type="character" w:customStyle="1" w:styleId="NormalChar">
    <w:name w:val="[Normal] Char"/>
    <w:link w:val="Normal0"/>
    <w:rsid w:val="00D55606"/>
    <w:rPr>
      <w:rFonts w:ascii="Arial" w:eastAsia="Arial" w:hAnsi="Arial" w:cs="Times New Roman"/>
      <w:sz w:val="24"/>
      <w:szCs w:val="20"/>
    </w:rPr>
  </w:style>
  <w:style w:type="paragraph" w:customStyle="1" w:styleId="EIAheading2">
    <w:name w:val="EIA heading 2"/>
    <w:basedOn w:val="Heading2"/>
    <w:link w:val="EIAheading2Char"/>
    <w:qFormat/>
    <w:rsid w:val="00D55606"/>
    <w:rPr>
      <w:rFonts w:ascii="Cambria" w:eastAsia="Times New Roman" w:hAnsi="Cambria" w:cs="Times New Roman"/>
      <w:b/>
      <w:bCs/>
      <w:color w:val="4F81BD"/>
      <w:lang w:eastAsia="en-GB"/>
    </w:rPr>
  </w:style>
  <w:style w:type="paragraph" w:customStyle="1" w:styleId="EIAHeading1">
    <w:name w:val="EIA Heading1"/>
    <w:basedOn w:val="Heading1"/>
    <w:link w:val="EIAHeading1Char"/>
    <w:rsid w:val="00D55606"/>
    <w:pPr>
      <w:spacing w:before="0" w:after="240"/>
    </w:pPr>
    <w:rPr>
      <w:rFonts w:ascii="Times New Roman" w:eastAsia="Times New Roman" w:hAnsi="Times New Roman"/>
      <w:bCs/>
      <w:caps/>
      <w:szCs w:val="22"/>
      <w:lang w:val="it-IT"/>
    </w:rPr>
  </w:style>
  <w:style w:type="character" w:customStyle="1" w:styleId="EIAheading2Char">
    <w:name w:val="EIA heading 2 Char"/>
    <w:basedOn w:val="DefaultParagraphFont"/>
    <w:link w:val="EIAheading2"/>
    <w:rsid w:val="00D55606"/>
    <w:rPr>
      <w:rFonts w:ascii="Cambria" w:eastAsia="Times New Roman" w:hAnsi="Cambria" w:cs="Times New Roman"/>
      <w:b/>
      <w:bCs/>
      <w:color w:val="4F81BD"/>
      <w:sz w:val="26"/>
      <w:szCs w:val="26"/>
      <w:lang w:val="en-GB" w:eastAsia="en-GB"/>
    </w:rPr>
  </w:style>
  <w:style w:type="character" w:customStyle="1" w:styleId="EIAHeading1Char">
    <w:name w:val="EIA Heading1 Char"/>
    <w:basedOn w:val="DefaultParagraphFont"/>
    <w:link w:val="EIAHeading1"/>
    <w:rsid w:val="00D55606"/>
    <w:rPr>
      <w:rFonts w:ascii="Times New Roman" w:eastAsia="Times New Roman" w:hAnsi="Times New Roman" w:cs="Times New Roman"/>
      <w:b/>
      <w:bCs/>
      <w:caps/>
      <w:sz w:val="28"/>
      <w:lang w:val="it-IT"/>
    </w:rPr>
  </w:style>
  <w:style w:type="character" w:customStyle="1" w:styleId="TitleChar1">
    <w:name w:val="Title Char1"/>
    <w:basedOn w:val="DefaultParagraphFont"/>
    <w:uiPriority w:val="10"/>
    <w:rsid w:val="00D55606"/>
    <w:rPr>
      <w:rFonts w:ascii="Arial" w:eastAsia="Times New Roman" w:hAnsi="Arial" w:cs="Arial"/>
      <w:b/>
      <w:bCs/>
      <w:sz w:val="22"/>
      <w:szCs w:val="22"/>
    </w:rPr>
  </w:style>
  <w:style w:type="paragraph" w:customStyle="1" w:styleId="StyleTableCaption10ptCentered">
    <w:name w:val="Style Table Caption + 10 pt Centered"/>
    <w:basedOn w:val="Normal"/>
    <w:rsid w:val="00D55606"/>
    <w:pPr>
      <w:tabs>
        <w:tab w:val="left" w:pos="0"/>
      </w:tabs>
      <w:jc w:val="center"/>
    </w:pPr>
    <w:rPr>
      <w:rFonts w:ascii="Times New Roman" w:hAnsi="Times New Roman"/>
      <w:b/>
      <w:bCs/>
      <w:sz w:val="20"/>
      <w:szCs w:val="20"/>
      <w:lang w:val="en-AU" w:eastAsia="en-US"/>
    </w:rPr>
  </w:style>
  <w:style w:type="character" w:customStyle="1" w:styleId="A11">
    <w:name w:val="A11"/>
    <w:uiPriority w:val="99"/>
    <w:rsid w:val="00D55606"/>
    <w:rPr>
      <w:rFonts w:cs="ITC Franklin Gothic Std Book"/>
      <w:color w:val="000000"/>
    </w:rPr>
  </w:style>
  <w:style w:type="character" w:customStyle="1" w:styleId="A10">
    <w:name w:val="A10"/>
    <w:uiPriority w:val="99"/>
    <w:rsid w:val="00D55606"/>
    <w:rPr>
      <w:rFonts w:cs="ITC Franklin Gothic Std Book"/>
      <w:color w:val="211D1E"/>
      <w:sz w:val="10"/>
      <w:szCs w:val="10"/>
    </w:rPr>
  </w:style>
  <w:style w:type="paragraph" w:customStyle="1" w:styleId="yiv1645203655msonormal">
    <w:name w:val="yiv1645203655msonormal"/>
    <w:basedOn w:val="Normal"/>
    <w:rsid w:val="00D55606"/>
    <w:pPr>
      <w:spacing w:before="100" w:beforeAutospacing="1" w:after="100" w:afterAutospacing="1"/>
      <w:jc w:val="left"/>
    </w:pPr>
    <w:rPr>
      <w:rFonts w:ascii="Times New Roman" w:hAnsi="Times New Roman"/>
      <w:sz w:val="24"/>
      <w:lang w:val="en-US" w:eastAsia="en-US" w:bidi="he-IL"/>
    </w:rPr>
  </w:style>
  <w:style w:type="paragraph" w:styleId="BodyText3">
    <w:name w:val="Body Text 3"/>
    <w:basedOn w:val="Normal"/>
    <w:link w:val="BodyText3Char"/>
    <w:unhideWhenUsed/>
    <w:rsid w:val="00D55606"/>
    <w:pPr>
      <w:spacing w:after="120"/>
      <w:jc w:val="left"/>
    </w:pPr>
    <w:rPr>
      <w:rFonts w:ascii="Times New Roman" w:hAnsi="Times New Roman"/>
      <w:sz w:val="16"/>
      <w:szCs w:val="16"/>
      <w:lang w:eastAsia="en-GB"/>
    </w:rPr>
  </w:style>
  <w:style w:type="character" w:customStyle="1" w:styleId="BodyText3Char">
    <w:name w:val="Body Text 3 Char"/>
    <w:basedOn w:val="DefaultParagraphFont"/>
    <w:link w:val="BodyText3"/>
    <w:rsid w:val="00D55606"/>
    <w:rPr>
      <w:rFonts w:ascii="Times New Roman" w:eastAsia="Times New Roman" w:hAnsi="Times New Roman" w:cs="Times New Roman"/>
      <w:sz w:val="16"/>
      <w:szCs w:val="16"/>
      <w:lang w:val="en-GB" w:eastAsia="en-GB"/>
    </w:rPr>
  </w:style>
  <w:style w:type="character" w:customStyle="1" w:styleId="IntenseEmphasis1">
    <w:name w:val="Intense Emphasis1"/>
    <w:basedOn w:val="DefaultParagraphFont"/>
    <w:uiPriority w:val="21"/>
    <w:qFormat/>
    <w:rsid w:val="00D55606"/>
    <w:rPr>
      <w:b/>
      <w:bCs/>
      <w:i/>
      <w:iCs/>
      <w:color w:val="4F81BD"/>
    </w:rPr>
  </w:style>
  <w:style w:type="paragraph" w:customStyle="1" w:styleId="style14">
    <w:name w:val="style14"/>
    <w:basedOn w:val="Normal"/>
    <w:rsid w:val="00D55606"/>
    <w:pPr>
      <w:spacing w:before="100" w:beforeAutospacing="1" w:after="100" w:afterAutospacing="1"/>
      <w:jc w:val="left"/>
    </w:pPr>
    <w:rPr>
      <w:rFonts w:ascii="Times New Roman" w:hAnsi="Times New Roman"/>
      <w:sz w:val="18"/>
      <w:szCs w:val="18"/>
      <w:lang w:val="de-DE"/>
    </w:rPr>
  </w:style>
  <w:style w:type="paragraph" w:styleId="Index1">
    <w:name w:val="index 1"/>
    <w:basedOn w:val="Normal"/>
    <w:next w:val="Normal"/>
    <w:autoRedefine/>
    <w:uiPriority w:val="99"/>
    <w:semiHidden/>
    <w:unhideWhenUsed/>
    <w:rsid w:val="00D55606"/>
    <w:pPr>
      <w:ind w:left="240" w:hanging="240"/>
      <w:jc w:val="left"/>
    </w:pPr>
    <w:rPr>
      <w:rFonts w:ascii="Times New Roman" w:hAnsi="Times New Roman"/>
      <w:sz w:val="24"/>
      <w:szCs w:val="20"/>
      <w:lang w:eastAsia="en-GB"/>
    </w:rPr>
  </w:style>
  <w:style w:type="paragraph" w:styleId="IndexHeading">
    <w:name w:val="index heading"/>
    <w:basedOn w:val="Normal"/>
    <w:next w:val="Index1"/>
    <w:semiHidden/>
    <w:rsid w:val="00D55606"/>
    <w:pPr>
      <w:jc w:val="left"/>
    </w:pPr>
    <w:rPr>
      <w:rFonts w:cs="Arial"/>
      <w:b/>
      <w:bCs/>
      <w:sz w:val="24"/>
      <w:lang w:val="en-US" w:eastAsia="en-US"/>
    </w:rPr>
  </w:style>
  <w:style w:type="paragraph" w:customStyle="1" w:styleId="JICAbullet">
    <w:name w:val="JICA bullet"/>
    <w:basedOn w:val="Normal"/>
    <w:rsid w:val="00D55606"/>
    <w:pPr>
      <w:numPr>
        <w:numId w:val="10"/>
      </w:numPr>
      <w:tabs>
        <w:tab w:val="left" w:pos="700"/>
      </w:tabs>
      <w:overflowPunct w:val="0"/>
      <w:autoSpaceDE w:val="0"/>
      <w:autoSpaceDN w:val="0"/>
      <w:adjustRightInd w:val="0"/>
      <w:spacing w:before="120" w:after="120"/>
      <w:ind w:left="1054" w:hanging="357"/>
      <w:textAlignment w:val="baseline"/>
    </w:pPr>
    <w:rPr>
      <w:rFonts w:ascii="Times New Roman" w:hAnsi="Times New Roman"/>
      <w:szCs w:val="20"/>
      <w:lang w:eastAsia="en-US"/>
    </w:rPr>
  </w:style>
  <w:style w:type="paragraph" w:styleId="BodyTextIndent3">
    <w:name w:val="Body Text Indent 3"/>
    <w:basedOn w:val="Normal"/>
    <w:link w:val="BodyTextIndent3Char"/>
    <w:rsid w:val="00D55606"/>
    <w:pPr>
      <w:spacing w:after="120"/>
      <w:ind w:left="283"/>
      <w:jc w:val="left"/>
    </w:pPr>
    <w:rPr>
      <w:rFonts w:ascii="Times New Roman" w:hAnsi="Times New Roman"/>
      <w:sz w:val="16"/>
      <w:szCs w:val="16"/>
      <w:lang w:val="en-US" w:eastAsia="ru-RU"/>
    </w:rPr>
  </w:style>
  <w:style w:type="character" w:customStyle="1" w:styleId="BodyTextIndent3Char">
    <w:name w:val="Body Text Indent 3 Char"/>
    <w:basedOn w:val="DefaultParagraphFont"/>
    <w:link w:val="BodyTextIndent3"/>
    <w:rsid w:val="00D55606"/>
    <w:rPr>
      <w:rFonts w:ascii="Times New Roman" w:eastAsia="Times New Roman" w:hAnsi="Times New Roman" w:cs="Times New Roman"/>
      <w:sz w:val="16"/>
      <w:szCs w:val="16"/>
      <w:lang w:eastAsia="ru-RU"/>
    </w:rPr>
  </w:style>
  <w:style w:type="paragraph" w:customStyle="1" w:styleId="abzacixml">
    <w:name w:val="abzaci_xml"/>
    <w:basedOn w:val="PlainText"/>
    <w:autoRedefine/>
    <w:rsid w:val="00D55606"/>
    <w:pPr>
      <w:widowControl/>
      <w:ind w:firstLine="283"/>
    </w:pPr>
    <w:rPr>
      <w:rFonts w:ascii="Sylfaen" w:hAnsi="Sylfaen" w:cs="Sylfaen"/>
      <w:szCs w:val="24"/>
      <w:lang w:val="en-US" w:eastAsia="en-US"/>
    </w:rPr>
  </w:style>
  <w:style w:type="character" w:customStyle="1" w:styleId="NoSpacingChar">
    <w:name w:val="No Spacing Char"/>
    <w:basedOn w:val="DefaultParagraphFont"/>
    <w:link w:val="NoSpacing"/>
    <w:uiPriority w:val="1"/>
    <w:locked/>
    <w:rsid w:val="00D55606"/>
    <w:rPr>
      <w:rFonts w:ascii="Calibri" w:eastAsia="Times New Roman" w:hAnsi="Calibri" w:cs="Times New Roman"/>
    </w:rPr>
  </w:style>
  <w:style w:type="paragraph" w:customStyle="1" w:styleId="Outline">
    <w:name w:val="Outline"/>
    <w:basedOn w:val="Normal"/>
    <w:rsid w:val="00D55606"/>
    <w:pPr>
      <w:spacing w:before="240"/>
      <w:jc w:val="left"/>
    </w:pPr>
    <w:rPr>
      <w:rFonts w:ascii="Times New Roman" w:hAnsi="Times New Roman"/>
      <w:kern w:val="28"/>
      <w:sz w:val="24"/>
      <w:szCs w:val="20"/>
      <w:lang w:val="en-US" w:eastAsia="en-US"/>
    </w:rPr>
  </w:style>
  <w:style w:type="numbering" w:customStyle="1" w:styleId="FichtSpiegelstrich">
    <w:name w:val="FichtSpiegelstrich"/>
    <w:basedOn w:val="NoList"/>
    <w:uiPriority w:val="99"/>
    <w:rsid w:val="00D55606"/>
    <w:pPr>
      <w:numPr>
        <w:numId w:val="11"/>
      </w:numPr>
    </w:pPr>
  </w:style>
  <w:style w:type="paragraph" w:customStyle="1" w:styleId="Spiegel1">
    <w:name w:val="Spiegel 1"/>
    <w:basedOn w:val="Normal"/>
    <w:uiPriority w:val="2"/>
    <w:qFormat/>
    <w:rsid w:val="00D55606"/>
    <w:pPr>
      <w:numPr>
        <w:numId w:val="11"/>
      </w:numPr>
      <w:jc w:val="left"/>
    </w:pPr>
    <w:rPr>
      <w:rFonts w:ascii="Times New Roman" w:eastAsia="Calibri" w:hAnsi="Times New Roman"/>
      <w:sz w:val="24"/>
      <w:szCs w:val="22"/>
      <w:lang w:val="de-DE" w:eastAsia="en-US"/>
    </w:rPr>
  </w:style>
  <w:style w:type="paragraph" w:customStyle="1" w:styleId="Spiegel2">
    <w:name w:val="Spiegel 2"/>
    <w:basedOn w:val="Spiegel1"/>
    <w:uiPriority w:val="2"/>
    <w:qFormat/>
    <w:rsid w:val="00D55606"/>
    <w:pPr>
      <w:numPr>
        <w:ilvl w:val="1"/>
      </w:numPr>
    </w:pPr>
  </w:style>
  <w:style w:type="paragraph" w:customStyle="1" w:styleId="Spiegel4">
    <w:name w:val="Spiegel 4"/>
    <w:basedOn w:val="Spiegel3"/>
    <w:uiPriority w:val="2"/>
    <w:qFormat/>
    <w:rsid w:val="00D55606"/>
    <w:pPr>
      <w:numPr>
        <w:ilvl w:val="3"/>
      </w:numPr>
    </w:pPr>
  </w:style>
  <w:style w:type="paragraph" w:customStyle="1" w:styleId="Spiegel5">
    <w:name w:val="Spiegel 5"/>
    <w:basedOn w:val="Spiegel4"/>
    <w:uiPriority w:val="2"/>
    <w:qFormat/>
    <w:rsid w:val="00D55606"/>
    <w:pPr>
      <w:numPr>
        <w:ilvl w:val="4"/>
      </w:numPr>
    </w:pPr>
  </w:style>
  <w:style w:type="character" w:customStyle="1" w:styleId="Heading3Char1">
    <w:name w:val="Heading 3 Char1"/>
    <w:aliases w:val="qve-qvesaTauri Char,qve-qvesaTauri1 Char,qve-qvesaTauri2 Char,qve-qvesaTauri3 Char,qve-qvesaTauri4 Char,qve-qvesaTauri5 Char,qve-qvesaTauri41 Char,qve-qvesaTauri51 Char,qve-qvesaTauri6 Char,qve-qvesaTauri11 Char,qve-qvesaTauri21 Char"/>
    <w:rsid w:val="00D55606"/>
    <w:rPr>
      <w:rFonts w:ascii="Times New Roman" w:eastAsia="Times New Roman" w:hAnsi="Times New Roman" w:cs="Times New Roman"/>
      <w:b/>
    </w:rPr>
  </w:style>
  <w:style w:type="paragraph" w:customStyle="1" w:styleId="Style2">
    <w:name w:val="Style2"/>
    <w:basedOn w:val="Normal"/>
    <w:next w:val="Normal"/>
    <w:autoRedefine/>
    <w:rsid w:val="00D55606"/>
    <w:pPr>
      <w:jc w:val="center"/>
    </w:pPr>
    <w:rPr>
      <w:rFonts w:ascii="AcadNusx" w:hAnsi="AcadNusx"/>
      <w:b/>
      <w:bCs/>
      <w:szCs w:val="22"/>
      <w:lang w:val="en-US" w:eastAsia="ru-RU"/>
    </w:rPr>
  </w:style>
  <w:style w:type="paragraph" w:customStyle="1" w:styleId="Char1">
    <w:name w:val="Char1"/>
    <w:basedOn w:val="Normal"/>
    <w:uiPriority w:val="99"/>
    <w:rsid w:val="00D55606"/>
    <w:pPr>
      <w:jc w:val="left"/>
    </w:pPr>
    <w:rPr>
      <w:rFonts w:ascii="Times New Roman" w:hAnsi="Times New Roman"/>
      <w:sz w:val="24"/>
      <w:lang w:val="pl-PL" w:eastAsia="pl-PL"/>
    </w:rPr>
  </w:style>
  <w:style w:type="character" w:styleId="PageNumber">
    <w:name w:val="page number"/>
    <w:aliases w:val="COBA Page Number"/>
    <w:basedOn w:val="DefaultParagraphFont"/>
    <w:rsid w:val="00D55606"/>
  </w:style>
  <w:style w:type="paragraph" w:customStyle="1" w:styleId="CarattereCarattereCharCharCharCharCharCharCharCharCharCharCharCharCharChar1CharCharCharCharCharCharChar">
    <w:name w:val="Carattere Carattere Char Char Char Char Char Char Char Char Char Char Char Char Char Char1 Char Char Char Char Char Char Char"/>
    <w:basedOn w:val="Normal"/>
    <w:rsid w:val="00D55606"/>
    <w:pPr>
      <w:jc w:val="left"/>
    </w:pPr>
    <w:rPr>
      <w:rFonts w:ascii="Times New Roman" w:hAnsi="Times New Roman"/>
      <w:sz w:val="24"/>
      <w:lang w:val="pl-PL" w:eastAsia="pl-PL"/>
    </w:rPr>
  </w:style>
  <w:style w:type="character" w:customStyle="1" w:styleId="apple-style-span">
    <w:name w:val="apple-style-span"/>
    <w:basedOn w:val="DefaultParagraphFont"/>
    <w:rsid w:val="00D55606"/>
  </w:style>
  <w:style w:type="paragraph" w:styleId="TOCHeading">
    <w:name w:val="TOC Heading"/>
    <w:basedOn w:val="Heading1"/>
    <w:next w:val="Normal"/>
    <w:uiPriority w:val="39"/>
    <w:unhideWhenUsed/>
    <w:qFormat/>
    <w:rsid w:val="00D55606"/>
    <w:pPr>
      <w:spacing w:before="480" w:after="0" w:line="276" w:lineRule="auto"/>
      <w:outlineLvl w:val="9"/>
    </w:pPr>
    <w:rPr>
      <w:rFonts w:ascii="Cambria" w:eastAsia="Times New Roman" w:hAnsi="Cambria"/>
      <w:bCs/>
      <w:color w:val="365F91"/>
      <w:szCs w:val="28"/>
      <w:lang w:val="en-US" w:eastAsia="ja-JP"/>
    </w:rPr>
  </w:style>
  <w:style w:type="paragraph" w:customStyle="1" w:styleId="ESENormal">
    <w:name w:val="ESE Normal"/>
    <w:basedOn w:val="Normal"/>
    <w:rsid w:val="00D55606"/>
    <w:rPr>
      <w:rFonts w:ascii="Times New Roman" w:hAnsi="Times New Roman"/>
      <w:lang w:eastAsia="en-US"/>
    </w:rPr>
  </w:style>
  <w:style w:type="character" w:styleId="SubtleEmphasis">
    <w:name w:val="Subtle Emphasis"/>
    <w:uiPriority w:val="19"/>
    <w:qFormat/>
    <w:rsid w:val="00D55606"/>
    <w:rPr>
      <w:i/>
      <w:iCs/>
      <w:color w:val="808080"/>
    </w:rPr>
  </w:style>
  <w:style w:type="paragraph" w:styleId="Subtitle">
    <w:name w:val="Subtitle"/>
    <w:basedOn w:val="Normal"/>
    <w:next w:val="Normal"/>
    <w:link w:val="SubtitleChar"/>
    <w:uiPriority w:val="11"/>
    <w:qFormat/>
    <w:rsid w:val="00D55606"/>
    <w:pPr>
      <w:numPr>
        <w:ilvl w:val="1"/>
      </w:numPr>
      <w:spacing w:after="200" w:line="276" w:lineRule="auto"/>
      <w:jc w:val="left"/>
    </w:pPr>
    <w:rPr>
      <w:rFonts w:ascii="Cambria" w:hAnsi="Cambria"/>
      <w:i/>
      <w:iCs/>
      <w:color w:val="DDDDDD"/>
      <w:spacing w:val="15"/>
      <w:sz w:val="24"/>
      <w:lang w:val="en-US" w:eastAsia="en-US"/>
    </w:rPr>
  </w:style>
  <w:style w:type="character" w:customStyle="1" w:styleId="SubtitleChar">
    <w:name w:val="Subtitle Char"/>
    <w:basedOn w:val="DefaultParagraphFont"/>
    <w:link w:val="Subtitle"/>
    <w:uiPriority w:val="11"/>
    <w:rsid w:val="00D55606"/>
    <w:rPr>
      <w:rFonts w:ascii="Cambria" w:eastAsia="Times New Roman" w:hAnsi="Cambria" w:cs="Times New Roman"/>
      <w:i/>
      <w:iCs/>
      <w:color w:val="DDDDDD"/>
      <w:spacing w:val="15"/>
      <w:sz w:val="24"/>
      <w:szCs w:val="24"/>
    </w:rPr>
  </w:style>
  <w:style w:type="paragraph" w:customStyle="1" w:styleId="BulletPsCT">
    <w:name w:val="Bullet Ps (CT)"/>
    <w:basedOn w:val="Normal"/>
    <w:rsid w:val="00D55606"/>
    <w:pPr>
      <w:numPr>
        <w:numId w:val="12"/>
      </w:numPr>
      <w:suppressAutoHyphens/>
      <w:spacing w:after="240"/>
      <w:jc w:val="left"/>
    </w:pPr>
    <w:rPr>
      <w:rFonts w:ascii="Times New Roman" w:hAnsi="Times New Roman"/>
      <w:szCs w:val="22"/>
      <w:lang w:eastAsia="en-GB"/>
    </w:rPr>
  </w:style>
  <w:style w:type="character" w:customStyle="1" w:styleId="cn">
    <w:name w:val="cn"/>
    <w:basedOn w:val="DefaultParagraphFont"/>
    <w:rsid w:val="00D55606"/>
    <w:rPr>
      <w:rFonts w:cs="Times New Roman"/>
    </w:rPr>
  </w:style>
  <w:style w:type="character" w:customStyle="1" w:styleId="sciname1">
    <w:name w:val="sciname1"/>
    <w:basedOn w:val="DefaultParagraphFont"/>
    <w:rsid w:val="00D55606"/>
    <w:rPr>
      <w:rFonts w:cs="Times New Roman"/>
      <w:i/>
      <w:iCs/>
    </w:rPr>
  </w:style>
  <w:style w:type="character" w:customStyle="1" w:styleId="sheader21">
    <w:name w:val="sheader21"/>
    <w:basedOn w:val="DefaultParagraphFont"/>
    <w:rsid w:val="00D55606"/>
    <w:rPr>
      <w:rFonts w:ascii="Times New Roman" w:hAnsi="Times New Roman" w:cs="Times New Roman" w:hint="default"/>
      <w:sz w:val="34"/>
      <w:szCs w:val="34"/>
    </w:rPr>
  </w:style>
  <w:style w:type="paragraph" w:customStyle="1" w:styleId="BasicParagraph">
    <w:name w:val="[Basic Paragraph]"/>
    <w:basedOn w:val="Normal"/>
    <w:rsid w:val="00D55606"/>
    <w:pPr>
      <w:autoSpaceDE w:val="0"/>
      <w:autoSpaceDN w:val="0"/>
      <w:adjustRightInd w:val="0"/>
      <w:spacing w:line="288" w:lineRule="auto"/>
      <w:jc w:val="left"/>
      <w:textAlignment w:val="center"/>
    </w:pPr>
    <w:rPr>
      <w:rFonts w:ascii="Times New Roman" w:hAnsi="Times New Roman"/>
      <w:color w:val="000000"/>
      <w:sz w:val="24"/>
      <w:lang w:val="en-US" w:eastAsia="en-US"/>
    </w:rPr>
  </w:style>
  <w:style w:type="paragraph" w:customStyle="1" w:styleId="NormalBodyCT">
    <w:name w:val="Normal Body (CT)"/>
    <w:rsid w:val="00D55606"/>
    <w:pPr>
      <w:numPr>
        <w:numId w:val="13"/>
      </w:numPr>
      <w:tabs>
        <w:tab w:val="clear" w:pos="284"/>
      </w:tabs>
      <w:suppressAutoHyphens/>
      <w:spacing w:after="240" w:line="288" w:lineRule="auto"/>
      <w:ind w:left="0" w:firstLine="0"/>
    </w:pPr>
    <w:rPr>
      <w:rFonts w:ascii="Times New Roman" w:eastAsia="Times New Roman" w:hAnsi="Times New Roman" w:cs="Times New Roman"/>
      <w:lang w:val="en-GB" w:eastAsia="en-GB"/>
    </w:rPr>
  </w:style>
  <w:style w:type="character" w:customStyle="1" w:styleId="Heading2Char1">
    <w:name w:val="Heading 2 Char1"/>
    <w:basedOn w:val="DefaultParagraphFont"/>
    <w:uiPriority w:val="9"/>
    <w:semiHidden/>
    <w:rsid w:val="00D55606"/>
    <w:rPr>
      <w:rFonts w:ascii="Calibri Light" w:eastAsia="Times New Roman" w:hAnsi="Calibri Light" w:cs="Times New Roman"/>
      <w:color w:val="2F5496"/>
      <w:sz w:val="26"/>
      <w:szCs w:val="26"/>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basedOn w:val="DefaultParagraphFont"/>
    <w:semiHidden/>
    <w:rsid w:val="00D55606"/>
    <w:rPr>
      <w:rFonts w:ascii="Calibri Light" w:eastAsia="Times New Roman" w:hAnsi="Calibri Light" w:cs="Times New Roman"/>
      <w:color w:val="1F3763"/>
    </w:rPr>
  </w:style>
  <w:style w:type="character" w:customStyle="1" w:styleId="Heading5Char1">
    <w:name w:val="Heading 5 Char1"/>
    <w:aliases w:val="China5 Char1,?? 5 Char1"/>
    <w:basedOn w:val="DefaultParagraphFont"/>
    <w:uiPriority w:val="9"/>
    <w:semiHidden/>
    <w:rsid w:val="00D55606"/>
    <w:rPr>
      <w:rFonts w:ascii="Calibri Light" w:eastAsia="Times New Roman" w:hAnsi="Calibri Light" w:cs="Times New Roman"/>
      <w:color w:val="2F5496"/>
    </w:rPr>
  </w:style>
  <w:style w:type="numbering" w:customStyle="1" w:styleId="NoList27">
    <w:name w:val="No List27"/>
    <w:next w:val="NoList"/>
    <w:uiPriority w:val="99"/>
    <w:semiHidden/>
    <w:unhideWhenUsed/>
    <w:rsid w:val="00D55606"/>
  </w:style>
  <w:style w:type="table" w:customStyle="1" w:styleId="TableGrid28">
    <w:name w:val="Table Grid28"/>
    <w:basedOn w:val="TableNormal"/>
    <w:next w:val="TableGrid"/>
    <w:uiPriority w:val="39"/>
    <w:rsid w:val="00D55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Indent">
    <w:name w:val="List Bullet Indent"/>
    <w:basedOn w:val="Normal"/>
    <w:autoRedefine/>
    <w:rsid w:val="00A9740E"/>
    <w:pPr>
      <w:numPr>
        <w:numId w:val="15"/>
      </w:numPr>
      <w:tabs>
        <w:tab w:val="clear" w:pos="360"/>
        <w:tab w:val="num" w:pos="540"/>
      </w:tabs>
      <w:spacing w:before="40" w:after="40"/>
      <w:ind w:left="540" w:hanging="540"/>
    </w:pPr>
    <w:rPr>
      <w:szCs w:val="22"/>
      <w:lang w:eastAsia="en-US"/>
    </w:rPr>
  </w:style>
  <w:style w:type="paragraph" w:customStyle="1" w:styleId="figureheaderb">
    <w:name w:val="figureheaderb"/>
    <w:basedOn w:val="Normal"/>
    <w:rsid w:val="00B51816"/>
    <w:pPr>
      <w:spacing w:after="120"/>
    </w:pPr>
    <w:rPr>
      <w:b/>
      <w:lang w:eastAsia="en-US"/>
    </w:rPr>
  </w:style>
  <w:style w:type="paragraph" w:customStyle="1" w:styleId="TableParagraph">
    <w:name w:val="Table Paragraph"/>
    <w:basedOn w:val="Normal"/>
    <w:uiPriority w:val="1"/>
    <w:qFormat/>
    <w:rsid w:val="00862878"/>
    <w:pPr>
      <w:widowControl w:val="0"/>
      <w:jc w:val="left"/>
    </w:pPr>
    <w:rPr>
      <w:rFonts w:ascii="Calibri" w:hAnsi="Calibri"/>
      <w:szCs w:val="22"/>
      <w:lang w:val="en-US" w:eastAsia="en-US"/>
    </w:rPr>
  </w:style>
  <w:style w:type="character" w:customStyle="1" w:styleId="B1bChar">
    <w:name w:val="B1b Char"/>
    <w:link w:val="B1b"/>
    <w:locked/>
    <w:rsid w:val="00983AB5"/>
    <w:rPr>
      <w:rFonts w:ascii="Arial" w:eastAsia="Times New Roman" w:hAnsi="Arial" w:cs="Times New Roman"/>
      <w:szCs w:val="20"/>
      <w:lang w:eastAsia="de-DE"/>
    </w:rPr>
  </w:style>
  <w:style w:type="paragraph" w:customStyle="1" w:styleId="L2">
    <w:name w:val="L2"/>
    <w:basedOn w:val="Normal"/>
    <w:rsid w:val="00983AB5"/>
    <w:pPr>
      <w:tabs>
        <w:tab w:val="left" w:pos="2127"/>
        <w:tab w:val="right" w:pos="9356"/>
      </w:tabs>
      <w:spacing w:line="360" w:lineRule="atLeast"/>
      <w:ind w:left="2127" w:hanging="709"/>
      <w:jc w:val="left"/>
    </w:pPr>
    <w:rPr>
      <w:szCs w:val="20"/>
      <w:lang w:val="de-DE"/>
    </w:rPr>
  </w:style>
  <w:style w:type="paragraph" w:customStyle="1" w:styleId="StyleHeading1AcadNusx">
    <w:name w:val="!Style Heading 1 + AcadNusx"/>
    <w:autoRedefine/>
    <w:rsid w:val="00983AB5"/>
    <w:pPr>
      <w:pageBreakBefore/>
      <w:spacing w:after="360" w:line="360" w:lineRule="atLeast"/>
    </w:pPr>
    <w:rPr>
      <w:rFonts w:ascii="Times New Roman" w:eastAsia="Times New Roman" w:hAnsi="Times New Roman" w:cs="Times New Roman"/>
      <w:b/>
      <w:bCs/>
      <w:sz w:val="24"/>
      <w:szCs w:val="24"/>
      <w:lang w:eastAsia="de-DE"/>
    </w:rPr>
  </w:style>
  <w:style w:type="paragraph" w:customStyle="1" w:styleId="BuletStyleB1bAcadNusx12pt">
    <w:name w:val="! Bulet Style B1b + AcadNusx 12 pt"/>
    <w:basedOn w:val="B1b"/>
    <w:link w:val="BuletStyleB1bAcadNusx12ptChar"/>
    <w:autoRedefine/>
    <w:rsid w:val="00983AB5"/>
    <w:pPr>
      <w:numPr>
        <w:numId w:val="16"/>
      </w:numPr>
      <w:tabs>
        <w:tab w:val="left" w:pos="1260"/>
      </w:tabs>
      <w:spacing w:before="120" w:after="120" w:line="240" w:lineRule="auto"/>
    </w:pPr>
    <w:rPr>
      <w:rFonts w:ascii="Times New Roman" w:hAnsi="Times New Roman"/>
      <w:sz w:val="24"/>
      <w:lang w:val="en-GB"/>
    </w:rPr>
  </w:style>
  <w:style w:type="character" w:customStyle="1" w:styleId="BuletStyleB1bAcadNusx12ptChar">
    <w:name w:val="! Bulet Style B1b + AcadNusx 12 pt Char"/>
    <w:link w:val="BuletStyleB1bAcadNusx12pt"/>
    <w:locked/>
    <w:rsid w:val="00983AB5"/>
    <w:rPr>
      <w:rFonts w:ascii="Times New Roman" w:eastAsia="Times New Roman" w:hAnsi="Times New Roman" w:cs="Times New Roman"/>
      <w:sz w:val="24"/>
      <w:szCs w:val="20"/>
      <w:lang w:val="en-GB" w:eastAsia="de-DE"/>
    </w:rPr>
  </w:style>
  <w:style w:type="paragraph" w:customStyle="1" w:styleId="L1b">
    <w:name w:val="L1b"/>
    <w:basedOn w:val="Normal"/>
    <w:rsid w:val="00983AB5"/>
    <w:pPr>
      <w:tabs>
        <w:tab w:val="right" w:pos="9356"/>
      </w:tabs>
      <w:spacing w:line="360" w:lineRule="atLeast"/>
      <w:ind w:left="1418"/>
      <w:jc w:val="left"/>
    </w:pPr>
    <w:rPr>
      <w:szCs w:val="20"/>
      <w:lang w:val="de-DE"/>
    </w:rPr>
  </w:style>
  <w:style w:type="paragraph" w:customStyle="1" w:styleId="StyleHeading2AcadNusx12pt">
    <w:name w:val="!Style Heading 2 + AcadNusx 12 pt"/>
    <w:autoRedefine/>
    <w:rsid w:val="00983AB5"/>
    <w:pPr>
      <w:spacing w:before="120" w:after="240" w:line="360" w:lineRule="atLeast"/>
    </w:pPr>
    <w:rPr>
      <w:rFonts w:ascii="Times New Roman" w:eastAsia="Times New Roman" w:hAnsi="Times New Roman" w:cs="Times New Roman"/>
      <w:b/>
      <w:bCs/>
      <w:sz w:val="24"/>
      <w:szCs w:val="20"/>
      <w:lang w:val="en-GB" w:eastAsia="de-DE"/>
    </w:rPr>
  </w:style>
  <w:style w:type="paragraph" w:customStyle="1" w:styleId="StyleL1bAcadNusx12ptBold">
    <w:name w:val="!Style L1b + AcadNusx 12 pt Bold"/>
    <w:link w:val="StyleL1bAcadNusx12ptBoldChar"/>
    <w:autoRedefine/>
    <w:rsid w:val="00983AB5"/>
    <w:pPr>
      <w:spacing w:before="360" w:after="240" w:line="360" w:lineRule="atLeast"/>
      <w:ind w:left="851"/>
    </w:pPr>
    <w:rPr>
      <w:rFonts w:ascii="AcadNusx" w:eastAsia="Times New Roman" w:hAnsi="AcadNusx" w:cs="Times New Roman"/>
      <w:b/>
      <w:bCs/>
      <w:sz w:val="24"/>
      <w:szCs w:val="20"/>
      <w:lang w:val="de-DE" w:eastAsia="de-DE"/>
    </w:rPr>
  </w:style>
  <w:style w:type="character" w:customStyle="1" w:styleId="StyleL1bAcadNusx12ptBoldChar">
    <w:name w:val="!Style L1b + AcadNusx 12 pt Bold Char"/>
    <w:link w:val="StyleL1bAcadNusx12ptBold"/>
    <w:locked/>
    <w:rsid w:val="00983AB5"/>
    <w:rPr>
      <w:rFonts w:ascii="AcadNusx" w:eastAsia="Times New Roman" w:hAnsi="AcadNusx" w:cs="Times New Roman"/>
      <w:b/>
      <w:bCs/>
      <w:sz w:val="24"/>
      <w:szCs w:val="20"/>
      <w:lang w:val="de-DE" w:eastAsia="de-DE"/>
    </w:rPr>
  </w:style>
  <w:style w:type="paragraph" w:styleId="List2">
    <w:name w:val="List 2"/>
    <w:basedOn w:val="Normal"/>
    <w:rsid w:val="00983AB5"/>
    <w:pPr>
      <w:ind w:left="566" w:hanging="283"/>
      <w:jc w:val="left"/>
    </w:pPr>
    <w:rPr>
      <w:rFonts w:ascii="Times New Roman" w:hAnsi="Times New Roman"/>
      <w:sz w:val="24"/>
      <w:lang w:val="en-US" w:eastAsia="en-US"/>
    </w:rPr>
  </w:style>
  <w:style w:type="paragraph" w:customStyle="1" w:styleId="Sxema">
    <w:name w:val="!Sxema"/>
    <w:basedOn w:val="Normal"/>
    <w:autoRedefine/>
    <w:rsid w:val="00983AB5"/>
    <w:pPr>
      <w:jc w:val="center"/>
    </w:pPr>
    <w:rPr>
      <w:rFonts w:ascii="Times New Roman" w:hAnsi="Times New Roman"/>
      <w:sz w:val="24"/>
      <w:lang w:val="ka-GE"/>
    </w:rPr>
  </w:style>
  <w:style w:type="paragraph" w:customStyle="1" w:styleId="Headerxxx">
    <w:name w:val="!Header x.x.x"/>
    <w:autoRedefine/>
    <w:rsid w:val="00983AB5"/>
    <w:pPr>
      <w:tabs>
        <w:tab w:val="num" w:pos="720"/>
      </w:tabs>
      <w:spacing w:before="360" w:after="240" w:line="360" w:lineRule="atLeast"/>
    </w:pPr>
    <w:rPr>
      <w:rFonts w:ascii="Times New Roman" w:eastAsia="Times New Roman" w:hAnsi="Times New Roman" w:cs="Times New Roman"/>
      <w:b/>
      <w:sz w:val="24"/>
      <w:szCs w:val="20"/>
      <w:lang w:val="de-DE" w:eastAsia="de-DE"/>
    </w:rPr>
  </w:style>
  <w:style w:type="paragraph" w:customStyle="1" w:styleId="b2a">
    <w:name w:val="b2a"/>
    <w:basedOn w:val="Normal"/>
    <w:rsid w:val="00983AB5"/>
    <w:pPr>
      <w:numPr>
        <w:ilvl w:val="2"/>
        <w:numId w:val="16"/>
      </w:numPr>
      <w:tabs>
        <w:tab w:val="left" w:pos="2127"/>
        <w:tab w:val="right" w:pos="9356"/>
      </w:tabs>
      <w:spacing w:line="360" w:lineRule="atLeast"/>
    </w:pPr>
    <w:rPr>
      <w:szCs w:val="20"/>
      <w:lang w:eastAsia="en-US"/>
    </w:rPr>
  </w:style>
  <w:style w:type="paragraph" w:customStyle="1" w:styleId="B0AbsatzBlock">
    <w:name w:val="B0 Absatz Block"/>
    <w:basedOn w:val="Normal"/>
    <w:rsid w:val="00983AB5"/>
    <w:pPr>
      <w:tabs>
        <w:tab w:val="right" w:pos="9356"/>
      </w:tabs>
      <w:spacing w:line="360" w:lineRule="atLeast"/>
    </w:pPr>
    <w:rPr>
      <w:szCs w:val="20"/>
    </w:rPr>
  </w:style>
  <w:style w:type="paragraph" w:customStyle="1" w:styleId="ecmsonormal">
    <w:name w:val="ec_msonormal"/>
    <w:basedOn w:val="Normal"/>
    <w:rsid w:val="00983AB5"/>
    <w:pPr>
      <w:spacing w:after="324"/>
      <w:jc w:val="left"/>
    </w:pPr>
    <w:rPr>
      <w:rFonts w:ascii="Times New Roman" w:hAnsi="Times New Roman"/>
      <w:sz w:val="24"/>
      <w:lang w:val="en-US" w:eastAsia="en-US"/>
    </w:rPr>
  </w:style>
  <w:style w:type="paragraph" w:customStyle="1" w:styleId="StyleHeading1Left0cmFirstline0cm">
    <w:name w:val="Style Heading 1 + Left:  0 cm First line:  0 cm"/>
    <w:basedOn w:val="Heading1"/>
    <w:autoRedefine/>
    <w:rsid w:val="00983AB5"/>
    <w:pPr>
      <w:spacing w:before="240" w:after="0"/>
      <w:jc w:val="center"/>
    </w:pPr>
    <w:rPr>
      <w:rFonts w:ascii="Times New Roman Bold" w:eastAsia="Times New Roman" w:hAnsi="Times New Roman Bold"/>
      <w:bCs/>
      <w:caps/>
      <w:kern w:val="32"/>
      <w:lang w:val="ru-RU" w:eastAsia="ru-RU"/>
    </w:rPr>
  </w:style>
  <w:style w:type="character" w:customStyle="1" w:styleId="tw4winMark">
    <w:name w:val="tw4winMark"/>
    <w:rsid w:val="00983AB5"/>
    <w:rPr>
      <w:rFonts w:ascii="Courier New" w:hAnsi="Courier New"/>
      <w:vanish/>
      <w:color w:val="800080"/>
      <w:vertAlign w:val="subscript"/>
    </w:rPr>
  </w:style>
  <w:style w:type="character" w:customStyle="1" w:styleId="DM2Char">
    <w:name w:val="D&amp;M2 Char"/>
    <w:aliases w:val="D&amp;M 2 Char,RSKH2 Char,RSKH21 Char,RSKHeading 2 Char,DNV-H2 Char,AETC-H2 Char,sect Char,§1.1. Char,Heading 2 URS Char,Section Style Char,Heading 2 AGT ESIA Char,H2 Char,header 2 Char,Head2 small Char,RSK-H2 Char,RSKH22 Char,RSK-H21 Char"/>
    <w:rsid w:val="00983AB5"/>
    <w:rPr>
      <w:rFonts w:ascii="AcadNusx" w:hAnsi="AcadNusx"/>
      <w:b/>
      <w:sz w:val="24"/>
      <w:lang w:val="en-GB"/>
    </w:rPr>
  </w:style>
  <w:style w:type="character" w:customStyle="1" w:styleId="1">
    <w:name w:val="Верхний колонтитул Знак1"/>
    <w:rsid w:val="00983AB5"/>
    <w:rPr>
      <w:sz w:val="24"/>
    </w:rPr>
  </w:style>
  <w:style w:type="paragraph" w:customStyle="1" w:styleId="StyleAcadNusxBoldJustifiedAfter10pt">
    <w:name w:val="Style AcadNusx Bold Justified After:  10 pt"/>
    <w:basedOn w:val="Normal"/>
    <w:rsid w:val="00983AB5"/>
    <w:rPr>
      <w:rFonts w:ascii="AcadNusx" w:hAnsi="AcadNusx"/>
      <w:b/>
      <w:bCs/>
      <w:sz w:val="24"/>
      <w:szCs w:val="20"/>
      <w:lang w:val="ru-RU" w:eastAsia="ru-RU"/>
    </w:rPr>
  </w:style>
  <w:style w:type="paragraph" w:customStyle="1" w:styleId="B2">
    <w:name w:val="B2"/>
    <w:basedOn w:val="Normal"/>
    <w:uiPriority w:val="99"/>
    <w:rsid w:val="00983AB5"/>
    <w:pPr>
      <w:tabs>
        <w:tab w:val="right" w:pos="9356"/>
      </w:tabs>
      <w:spacing w:line="360" w:lineRule="atLeast"/>
      <w:ind w:left="2127" w:hanging="709"/>
    </w:pPr>
    <w:rPr>
      <w:szCs w:val="20"/>
      <w:lang w:val="de-DE"/>
    </w:rPr>
  </w:style>
  <w:style w:type="paragraph" w:customStyle="1" w:styleId="Heading3Right05">
    <w:name w:val="Heading 3 + Right:  0.5&quot;"/>
    <w:aliases w:val="Before:  0 pt,Line spacing:  At least 18 pt"/>
    <w:basedOn w:val="Heading2"/>
    <w:rsid w:val="00983AB5"/>
    <w:pPr>
      <w:keepLines w:val="0"/>
      <w:spacing w:before="240" w:line="360" w:lineRule="atLeast"/>
      <w:ind w:right="720"/>
      <w:jc w:val="left"/>
    </w:pPr>
    <w:rPr>
      <w:rFonts w:ascii="Times New Roman Bold" w:eastAsia="Times New Roman" w:hAnsi="Times New Roman Bold" w:cs="Times New Roman"/>
      <w:b/>
      <w:color w:val="auto"/>
      <w:sz w:val="24"/>
      <w:szCs w:val="24"/>
      <w:lang w:eastAsia="ru-RU"/>
    </w:rPr>
  </w:style>
  <w:style w:type="paragraph" w:customStyle="1" w:styleId="Tabletext">
    <w:name w:val="Tabletext"/>
    <w:basedOn w:val="Heading4"/>
    <w:rsid w:val="00983AB5"/>
    <w:pPr>
      <w:keepLines w:val="0"/>
      <w:tabs>
        <w:tab w:val="num" w:pos="2880"/>
      </w:tabs>
      <w:spacing w:after="0"/>
      <w:ind w:left="2880" w:hanging="720"/>
    </w:pPr>
    <w:rPr>
      <w:rFonts w:ascii="Times New Roman" w:eastAsia="Times New Roman" w:hAnsi="Times New Roman" w:cs="Times New Roman"/>
      <w:b w:val="0"/>
      <w:iCs w:val="0"/>
      <w:color w:val="auto"/>
      <w:sz w:val="24"/>
      <w:szCs w:val="20"/>
      <w:lang w:val="en-US" w:eastAsia="ru-RU"/>
    </w:rPr>
  </w:style>
  <w:style w:type="character" w:customStyle="1" w:styleId="mw-headline">
    <w:name w:val="mw-headline"/>
    <w:rsid w:val="00983AB5"/>
  </w:style>
  <w:style w:type="paragraph" w:customStyle="1" w:styleId="CM41">
    <w:name w:val="CM41"/>
    <w:basedOn w:val="Default"/>
    <w:next w:val="Default"/>
    <w:rsid w:val="00983AB5"/>
    <w:pPr>
      <w:widowControl w:val="0"/>
    </w:pPr>
    <w:rPr>
      <w:rFonts w:ascii="Arial" w:eastAsia="Times New Roman" w:hAnsi="Arial" w:cs="Arial"/>
      <w:color w:val="auto"/>
    </w:rPr>
  </w:style>
  <w:style w:type="paragraph" w:customStyle="1" w:styleId="CM42">
    <w:name w:val="CM42"/>
    <w:basedOn w:val="Default"/>
    <w:next w:val="Default"/>
    <w:rsid w:val="00983AB5"/>
    <w:pPr>
      <w:widowControl w:val="0"/>
    </w:pPr>
    <w:rPr>
      <w:rFonts w:ascii="Arial" w:eastAsia="Times New Roman" w:hAnsi="Arial" w:cs="Arial"/>
      <w:color w:val="auto"/>
    </w:rPr>
  </w:style>
  <w:style w:type="paragraph" w:customStyle="1" w:styleId="CM22">
    <w:name w:val="CM22"/>
    <w:basedOn w:val="Default"/>
    <w:next w:val="Default"/>
    <w:rsid w:val="00983AB5"/>
    <w:pPr>
      <w:widowControl w:val="0"/>
      <w:spacing w:line="260" w:lineRule="atLeast"/>
    </w:pPr>
    <w:rPr>
      <w:rFonts w:ascii="Arial" w:eastAsia="Times New Roman" w:hAnsi="Arial" w:cs="Arial"/>
      <w:color w:val="auto"/>
    </w:rPr>
  </w:style>
  <w:style w:type="paragraph" w:customStyle="1" w:styleId="Georgia1">
    <w:name w:val="Georgia1"/>
    <w:basedOn w:val="Normal"/>
    <w:qFormat/>
    <w:rsid w:val="00983AB5"/>
    <w:pPr>
      <w:widowControl w:val="0"/>
      <w:adjustRightInd w:val="0"/>
      <w:snapToGrid w:val="0"/>
    </w:pPr>
    <w:rPr>
      <w:rFonts w:ascii="Times New Roman" w:hAnsi="Times New Roman" w:cs="Arial"/>
      <w:kern w:val="2"/>
      <w:lang w:val="en-US" w:eastAsia="ja-JP"/>
    </w:rPr>
  </w:style>
  <w:style w:type="paragraph" w:customStyle="1" w:styleId="StyleJustifiedCharCharCharCharCharCharCharChar1">
    <w:name w:val="Style Justified Char Char Char Char Char Char Char Char1"/>
    <w:basedOn w:val="Normal"/>
    <w:link w:val="StyleJustifiedCharCharCharCharCharCharCharCharChar"/>
    <w:autoRedefine/>
    <w:rsid w:val="00983AB5"/>
    <w:pPr>
      <w:spacing w:after="60"/>
      <w:jc w:val="center"/>
    </w:pPr>
    <w:rPr>
      <w:sz w:val="20"/>
      <w:szCs w:val="20"/>
      <w:lang w:val="en-US" w:eastAsia="ru-RU"/>
    </w:rPr>
  </w:style>
  <w:style w:type="character" w:customStyle="1" w:styleId="StyleJustifiedCharCharCharCharCharCharCharCharChar">
    <w:name w:val="Style Justified Char Char Char Char Char Char Char Char Char"/>
    <w:link w:val="StyleJustifiedCharCharCharCharCharCharCharChar1"/>
    <w:locked/>
    <w:rsid w:val="00983AB5"/>
    <w:rPr>
      <w:rFonts w:ascii="Arial" w:eastAsia="Times New Roman" w:hAnsi="Arial" w:cs="Times New Roman"/>
      <w:sz w:val="20"/>
      <w:szCs w:val="20"/>
      <w:lang w:eastAsia="ru-RU"/>
    </w:rPr>
  </w:style>
  <w:style w:type="numbering" w:customStyle="1" w:styleId="StyleNumberedLeft07521">
    <w:name w:val="Style Numbered Left:  0.75&quot;21"/>
    <w:rsid w:val="00983AB5"/>
    <w:pPr>
      <w:numPr>
        <w:numId w:val="17"/>
      </w:numPr>
    </w:pPr>
  </w:style>
  <w:style w:type="paragraph" w:styleId="Revision">
    <w:name w:val="Revision"/>
    <w:hidden/>
    <w:uiPriority w:val="99"/>
    <w:semiHidden/>
    <w:rsid w:val="00983AB5"/>
    <w:pPr>
      <w:spacing w:after="0" w:line="240" w:lineRule="auto"/>
    </w:pPr>
    <w:rPr>
      <w:rFonts w:ascii="Calibri" w:eastAsia="Times New Roman" w:hAnsi="Calibri" w:cs="Times New Roman"/>
    </w:rPr>
  </w:style>
  <w:style w:type="character" w:customStyle="1" w:styleId="shorttext">
    <w:name w:val="short_text"/>
    <w:basedOn w:val="DefaultParagraphFont"/>
    <w:rsid w:val="007A0C32"/>
  </w:style>
  <w:style w:type="character" w:customStyle="1" w:styleId="translation">
    <w:name w:val="translation"/>
    <w:basedOn w:val="DefaultParagraphFont"/>
    <w:rsid w:val="007A0C32"/>
  </w:style>
  <w:style w:type="character" w:customStyle="1" w:styleId="3oh-">
    <w:name w:val="_3oh-"/>
    <w:basedOn w:val="DefaultParagraphFont"/>
    <w:rsid w:val="001C353C"/>
  </w:style>
  <w:style w:type="character" w:customStyle="1" w:styleId="list-group-item-text">
    <w:name w:val="list-group-item-text"/>
    <w:basedOn w:val="DefaultParagraphFont"/>
    <w:rsid w:val="001C353C"/>
  </w:style>
  <w:style w:type="paragraph" w:customStyle="1" w:styleId="Annexheading1">
    <w:name w:val="Annex heading 1"/>
    <w:basedOn w:val="Heading1"/>
    <w:uiPriority w:val="99"/>
    <w:rsid w:val="00634F71"/>
    <w:pPr>
      <w:suppressAutoHyphens/>
      <w:spacing w:before="130" w:after="130" w:line="320" w:lineRule="exact"/>
      <w:ind w:left="851"/>
    </w:pPr>
    <w:rPr>
      <w:rFonts w:ascii="Arial" w:eastAsia="Times New Roman" w:hAnsi="Arial" w:cs="Arial"/>
      <w:b w:val="0"/>
      <w:caps/>
      <w:lang w:val="en-GB" w:eastAsia="en-GB"/>
    </w:rPr>
  </w:style>
  <w:style w:type="character" w:customStyle="1" w:styleId="Heading1Char1">
    <w:name w:val="Heading 1 Char1"/>
    <w:aliases w:val="Char Char,AUK Char,Section Char,Section Heading Char,Section1 Char,Section Heading1 Char,Section2 Char,Section Heading2 Char,Section3 Char,Section Heading3 Char,Section4 Char,Section Heading4 Char,Section5 Char,Section Heading5 Char"/>
    <w:basedOn w:val="DefaultParagraphFont"/>
    <w:uiPriority w:val="9"/>
    <w:rsid w:val="00634F71"/>
    <w:rPr>
      <w:rFonts w:ascii="Arial" w:hAnsi="Arial" w:cs="Arial"/>
      <w:b/>
      <w:bCs/>
      <w:kern w:val="32"/>
      <w:sz w:val="32"/>
      <w:szCs w:val="32"/>
      <w:lang w:val="ru-RU" w:eastAsia="ru-RU"/>
    </w:rPr>
  </w:style>
  <w:style w:type="paragraph" w:customStyle="1" w:styleId="Appendix1stLevelH">
    <w:name w:val="Appendix 1st Level H"/>
    <w:uiPriority w:val="99"/>
    <w:rsid w:val="00634F71"/>
    <w:pPr>
      <w:keepNext/>
      <w:spacing w:after="312" w:line="312" w:lineRule="exact"/>
      <w:ind w:left="720" w:hanging="720"/>
    </w:pPr>
    <w:rPr>
      <w:rFonts w:ascii="Arial" w:eastAsia="Times New Roman" w:hAnsi="Arial" w:cs="Times New Roman"/>
      <w:b/>
      <w:caps/>
      <w:sz w:val="24"/>
      <w:szCs w:val="20"/>
      <w:lang w:val="en-GB"/>
    </w:rPr>
  </w:style>
  <w:style w:type="character" w:customStyle="1" w:styleId="yiv9769571060gmail-">
    <w:name w:val="yiv9769571060gmail-"/>
    <w:basedOn w:val="DefaultParagraphFont"/>
    <w:rsid w:val="0071033A"/>
  </w:style>
  <w:style w:type="character" w:customStyle="1" w:styleId="Heading4Char1">
    <w:name w:val="Heading 4 Char1"/>
    <w:aliases w:val="Heading 4_Kaxa Char1,H4 Char1,RSK-H4 Char1,D&amp;M4 Char1,D&amp;M 4 Char1,RSKH4 Char1,RSKHeading 4 Char1,§1.1.1.1. Char1,Heading 4 AGT ESIA Char1,DNV-H4 Char1,Map Title Char1,Level 4 Char1,Heading 4 URS Char1,ꜱ.1.1.1. Char1,4 Char1,B Char"/>
    <w:basedOn w:val="DefaultParagraphFont"/>
    <w:semiHidden/>
    <w:rsid w:val="00DA2E66"/>
    <w:rPr>
      <w:rFonts w:asciiTheme="majorHAnsi" w:eastAsiaTheme="majorEastAsia" w:hAnsiTheme="majorHAnsi" w:cstheme="majorBidi"/>
      <w:b/>
      <w:bCs/>
      <w:i/>
      <w:iCs/>
      <w:color w:val="5B9BD5" w:themeColor="accent1"/>
      <w:sz w:val="22"/>
      <w:szCs w:val="24"/>
      <w:lang w:val="en-GB" w:eastAsia="de-DE"/>
    </w:rPr>
  </w:style>
  <w:style w:type="character" w:customStyle="1" w:styleId="Heading6Char1">
    <w:name w:val="Heading 6 Char1"/>
    <w:aliases w:val="China6 Char1,?? 6 Char1"/>
    <w:basedOn w:val="DefaultParagraphFont"/>
    <w:uiPriority w:val="1"/>
    <w:semiHidden/>
    <w:rsid w:val="00DA2E66"/>
    <w:rPr>
      <w:rFonts w:asciiTheme="majorHAnsi" w:eastAsiaTheme="majorEastAsia" w:hAnsiTheme="majorHAnsi" w:cstheme="majorBidi"/>
      <w:i/>
      <w:iCs/>
      <w:color w:val="1F4D78" w:themeColor="accent1" w:themeShade="7F"/>
      <w:sz w:val="22"/>
      <w:szCs w:val="24"/>
      <w:lang w:val="en-GB" w:eastAsia="de-DE"/>
    </w:rPr>
  </w:style>
  <w:style w:type="character" w:customStyle="1" w:styleId="FootnoteTextChar1">
    <w:name w:val="Footnote Text Char1"/>
    <w:aliases w:val="Footnote Text BP Char1,ft Char1,(NECG) Footnote Text Char1,Footnote Text Char Char Char Char Char Char2,Footnote Text Char Char Char Char Char Char Char1,(NECG) Footnote Text Char Char Char Char Char Char1,single space Char1,fn Char"/>
    <w:basedOn w:val="DefaultParagraphFont"/>
    <w:uiPriority w:val="99"/>
    <w:semiHidden/>
    <w:rsid w:val="00DA2E66"/>
    <w:rPr>
      <w:rFonts w:ascii="Arial" w:eastAsia="Times New Roman" w:hAnsi="Arial" w:cs="Times New Roman"/>
      <w:sz w:val="20"/>
      <w:szCs w:val="20"/>
      <w:lang w:val="en-GB" w:eastAsia="de-DE"/>
    </w:rPr>
  </w:style>
  <w:style w:type="character" w:customStyle="1" w:styleId="HeaderChar1">
    <w:name w:val="Header Char1"/>
    <w:aliases w:val="Верхний колонтитул2 Char1,Header AGT ESIA Char1,h Знак Char1,h Char Char1,EPZ_O_Header Char1,EPZ_U_Header Char1,EPZ_P_Header Char1,EPZ_R_Header Char1,En-tête client Char1,Header1 Char1,ContentsHeader Char1,heading 3 after h2 Char1,h Char2"/>
    <w:basedOn w:val="DefaultParagraphFont"/>
    <w:uiPriority w:val="99"/>
    <w:semiHidden/>
    <w:rsid w:val="00DA2E66"/>
    <w:rPr>
      <w:rFonts w:ascii="Arial" w:eastAsia="Times New Roman" w:hAnsi="Arial" w:cs="Times New Roman"/>
      <w:szCs w:val="24"/>
      <w:lang w:val="en-GB" w:eastAsia="de-DE"/>
    </w:rPr>
  </w:style>
  <w:style w:type="character" w:customStyle="1" w:styleId="FooterChar1">
    <w:name w:val="Footer Char1"/>
    <w:aliases w:val="COBA Footer Char1"/>
    <w:basedOn w:val="DefaultParagraphFont"/>
    <w:uiPriority w:val="99"/>
    <w:semiHidden/>
    <w:rsid w:val="00DA2E66"/>
    <w:rPr>
      <w:rFonts w:ascii="Arial" w:eastAsia="Times New Roman" w:hAnsi="Arial" w:cs="Times New Roman"/>
      <w:szCs w:val="24"/>
      <w:lang w:val="en-GB" w:eastAsia="de-DE"/>
    </w:rPr>
  </w:style>
  <w:style w:type="character" w:customStyle="1" w:styleId="PlainTextChar1">
    <w:name w:val="Plain Text Char1"/>
    <w:aliases w:val="Char Char1,Знак Char Char Char Char1,Знак Char Char Char2,Знак Знак Char Знак Знак Char1,Знак Знак Char Знак Знак Знак Char1,Знак Знак Char Знак Char1,Знак Знак Знак Знак Знак Знак Char1,Знак Зна Char Char Char1,Знак Знак Char1,1 Char1"/>
    <w:basedOn w:val="DefaultParagraphFont"/>
    <w:semiHidden/>
    <w:rsid w:val="00DA2E66"/>
    <w:rPr>
      <w:rFonts w:ascii="Consolas" w:eastAsia="Times New Roman" w:hAnsi="Consolas" w:cs="Consolas"/>
      <w:sz w:val="21"/>
      <w:szCs w:val="21"/>
      <w:lang w:val="en-GB" w:eastAsia="de-DE"/>
    </w:rPr>
  </w:style>
  <w:style w:type="paragraph" w:customStyle="1" w:styleId="CM1">
    <w:name w:val="CM1"/>
    <w:basedOn w:val="Default"/>
    <w:next w:val="Default"/>
    <w:uiPriority w:val="99"/>
    <w:rsid w:val="0066761D"/>
    <w:pPr>
      <w:widowControl w:val="0"/>
    </w:pPr>
    <w:rPr>
      <w:rFonts w:ascii="AcadNusx" w:eastAsia="Times New Roman" w:hAnsi="AcadNusx" w:cs="Times New Roman"/>
      <w:color w:val="auto"/>
    </w:rPr>
  </w:style>
  <w:style w:type="paragraph" w:customStyle="1" w:styleId="CM2">
    <w:name w:val="CM2"/>
    <w:basedOn w:val="Default"/>
    <w:next w:val="Default"/>
    <w:uiPriority w:val="99"/>
    <w:rsid w:val="0066761D"/>
    <w:pPr>
      <w:widowControl w:val="0"/>
    </w:pPr>
    <w:rPr>
      <w:rFonts w:ascii="AcadNusx" w:eastAsia="Times New Roman" w:hAnsi="AcadNusx" w:cs="Times New Roman"/>
      <w:color w:val="auto"/>
    </w:rPr>
  </w:style>
  <w:style w:type="paragraph" w:customStyle="1" w:styleId="CM3">
    <w:name w:val="CM3"/>
    <w:basedOn w:val="Default"/>
    <w:next w:val="Default"/>
    <w:uiPriority w:val="99"/>
    <w:rsid w:val="0066761D"/>
    <w:pPr>
      <w:widowControl w:val="0"/>
      <w:spacing w:line="296" w:lineRule="atLeast"/>
    </w:pPr>
    <w:rPr>
      <w:rFonts w:ascii="AcadNusx" w:eastAsia="Times New Roman" w:hAnsi="AcadNusx" w:cs="Times New Roman"/>
      <w:color w:val="auto"/>
    </w:rPr>
  </w:style>
  <w:style w:type="paragraph" w:customStyle="1" w:styleId="CM4">
    <w:name w:val="CM4"/>
    <w:basedOn w:val="Default"/>
    <w:next w:val="Default"/>
    <w:uiPriority w:val="99"/>
    <w:rsid w:val="0066761D"/>
    <w:pPr>
      <w:widowControl w:val="0"/>
      <w:spacing w:line="288" w:lineRule="atLeast"/>
    </w:pPr>
    <w:rPr>
      <w:rFonts w:ascii="AcadNusx" w:eastAsia="Times New Roman" w:hAnsi="AcadNusx" w:cs="Times New Roman"/>
      <w:color w:val="auto"/>
    </w:rPr>
  </w:style>
  <w:style w:type="paragraph" w:customStyle="1" w:styleId="CM5">
    <w:name w:val="CM5"/>
    <w:basedOn w:val="Default"/>
    <w:next w:val="Default"/>
    <w:uiPriority w:val="99"/>
    <w:rsid w:val="0066761D"/>
    <w:pPr>
      <w:widowControl w:val="0"/>
      <w:spacing w:line="288" w:lineRule="atLeast"/>
    </w:pPr>
    <w:rPr>
      <w:rFonts w:ascii="AcadNusx" w:eastAsia="Times New Roman" w:hAnsi="AcadNusx" w:cs="Times New Roman"/>
      <w:color w:val="auto"/>
    </w:rPr>
  </w:style>
  <w:style w:type="paragraph" w:customStyle="1" w:styleId="CM6">
    <w:name w:val="CM6"/>
    <w:basedOn w:val="Default"/>
    <w:next w:val="Default"/>
    <w:uiPriority w:val="99"/>
    <w:rsid w:val="0066761D"/>
    <w:pPr>
      <w:widowControl w:val="0"/>
      <w:spacing w:line="286" w:lineRule="atLeast"/>
    </w:pPr>
    <w:rPr>
      <w:rFonts w:ascii="AcadNusx" w:eastAsia="Times New Roman" w:hAnsi="AcadNusx" w:cs="Times New Roman"/>
      <w:color w:val="auto"/>
    </w:rPr>
  </w:style>
  <w:style w:type="paragraph" w:customStyle="1" w:styleId="CM71">
    <w:name w:val="CM71"/>
    <w:basedOn w:val="Default"/>
    <w:next w:val="Default"/>
    <w:uiPriority w:val="99"/>
    <w:rsid w:val="0066761D"/>
    <w:pPr>
      <w:widowControl w:val="0"/>
    </w:pPr>
    <w:rPr>
      <w:rFonts w:ascii="AcadNusx" w:eastAsia="Times New Roman" w:hAnsi="AcadNusx" w:cs="Times New Roman"/>
      <w:color w:val="auto"/>
    </w:rPr>
  </w:style>
  <w:style w:type="paragraph" w:customStyle="1" w:styleId="CM73">
    <w:name w:val="CM73"/>
    <w:basedOn w:val="Default"/>
    <w:next w:val="Default"/>
    <w:uiPriority w:val="99"/>
    <w:rsid w:val="0066761D"/>
    <w:pPr>
      <w:widowControl w:val="0"/>
    </w:pPr>
    <w:rPr>
      <w:rFonts w:ascii="AcadNusx" w:eastAsia="Times New Roman" w:hAnsi="AcadNusx" w:cs="Times New Roman"/>
      <w:color w:val="auto"/>
    </w:rPr>
  </w:style>
  <w:style w:type="paragraph" w:customStyle="1" w:styleId="CM76">
    <w:name w:val="CM76"/>
    <w:basedOn w:val="Default"/>
    <w:next w:val="Default"/>
    <w:uiPriority w:val="99"/>
    <w:rsid w:val="0066761D"/>
    <w:pPr>
      <w:widowControl w:val="0"/>
    </w:pPr>
    <w:rPr>
      <w:rFonts w:ascii="AcadNusx" w:eastAsia="Times New Roman" w:hAnsi="AcadNusx" w:cs="Times New Roman"/>
      <w:color w:val="auto"/>
    </w:rPr>
  </w:style>
  <w:style w:type="paragraph" w:customStyle="1" w:styleId="CM78">
    <w:name w:val="CM78"/>
    <w:basedOn w:val="Default"/>
    <w:next w:val="Default"/>
    <w:uiPriority w:val="99"/>
    <w:rsid w:val="0066761D"/>
    <w:pPr>
      <w:widowControl w:val="0"/>
    </w:pPr>
    <w:rPr>
      <w:rFonts w:ascii="AcadNusx" w:eastAsia="Times New Roman" w:hAnsi="AcadNusx" w:cs="Times New Roman"/>
      <w:color w:val="auto"/>
    </w:rPr>
  </w:style>
  <w:style w:type="character" w:customStyle="1" w:styleId="shorttext1">
    <w:name w:val="short_text1"/>
    <w:rsid w:val="0066761D"/>
    <w:rPr>
      <w:sz w:val="29"/>
      <w:szCs w:val="29"/>
    </w:rPr>
  </w:style>
  <w:style w:type="paragraph" w:customStyle="1" w:styleId="Char1CharCharCharCharCharCharCharChar">
    <w:name w:val="Char1 Char Char Char Char Char Char Char Char"/>
    <w:basedOn w:val="Normal"/>
    <w:rsid w:val="0066761D"/>
    <w:pPr>
      <w:jc w:val="left"/>
    </w:pPr>
    <w:rPr>
      <w:rFonts w:ascii="Times New Roman" w:hAnsi="Times New Roman"/>
      <w:sz w:val="24"/>
      <w:lang w:val="pl-PL" w:eastAsia="pl-PL"/>
    </w:rPr>
  </w:style>
  <w:style w:type="paragraph" w:customStyle="1" w:styleId="StyleB1bAcadNusxBold">
    <w:name w:val="Style B1b + AcadNusx Bold"/>
    <w:basedOn w:val="B1b"/>
    <w:link w:val="StyleB1bAcadNusxBoldChar"/>
    <w:rsid w:val="0066761D"/>
    <w:pPr>
      <w:widowControl w:val="0"/>
    </w:pPr>
    <w:rPr>
      <w:rFonts w:ascii="AcadNusx" w:hAnsi="AcadNusx"/>
      <w:b/>
      <w:bCs/>
      <w:sz w:val="20"/>
      <w:lang w:val="de-DE"/>
    </w:rPr>
  </w:style>
  <w:style w:type="character" w:customStyle="1" w:styleId="StyleB1bAcadNusxBoldChar">
    <w:name w:val="Style B1b + AcadNusx Bold Char"/>
    <w:link w:val="StyleB1bAcadNusxBold"/>
    <w:rsid w:val="0066761D"/>
    <w:rPr>
      <w:rFonts w:ascii="AcadNusx" w:eastAsia="Times New Roman" w:hAnsi="AcadNusx" w:cs="Times New Roman"/>
      <w:b/>
      <w:bCs/>
      <w:sz w:val="20"/>
      <w:szCs w:val="20"/>
      <w:lang w:val="de-DE" w:eastAsia="de-DE"/>
    </w:rPr>
  </w:style>
  <w:style w:type="paragraph" w:customStyle="1" w:styleId="Toc10">
    <w:name w:val="Toc 10"/>
    <w:basedOn w:val="Normal"/>
    <w:rsid w:val="0066761D"/>
    <w:rPr>
      <w:rFonts w:ascii="AcadNusx" w:hAnsi="AcadNusx"/>
      <w:b/>
      <w:szCs w:val="20"/>
      <w:lang w:val="de-DE"/>
    </w:rPr>
  </w:style>
  <w:style w:type="character" w:styleId="HTMLCite">
    <w:name w:val="HTML Cite"/>
    <w:uiPriority w:val="99"/>
    <w:semiHidden/>
    <w:unhideWhenUsed/>
    <w:rsid w:val="0066761D"/>
    <w:rPr>
      <w:i w:val="0"/>
      <w:iCs w:val="0"/>
      <w:color w:val="0E774A"/>
    </w:rPr>
  </w:style>
  <w:style w:type="character" w:customStyle="1" w:styleId="reference-text">
    <w:name w:val="reference-text"/>
    <w:rsid w:val="0066761D"/>
  </w:style>
  <w:style w:type="character" w:customStyle="1" w:styleId="tocnumber">
    <w:name w:val="tocnumber"/>
    <w:rsid w:val="0066761D"/>
  </w:style>
  <w:style w:type="character" w:customStyle="1" w:styleId="toctext">
    <w:name w:val="toctext"/>
    <w:rsid w:val="0066761D"/>
  </w:style>
  <w:style w:type="numbering" w:customStyle="1" w:styleId="1ai1">
    <w:name w:val="1 / a / i1"/>
    <w:basedOn w:val="NoList"/>
    <w:next w:val="1ai"/>
    <w:semiHidden/>
    <w:unhideWhenUsed/>
    <w:rsid w:val="00850703"/>
    <w:pPr>
      <w:numPr>
        <w:numId w:val="18"/>
      </w:numPr>
    </w:pPr>
  </w:style>
  <w:style w:type="numbering" w:styleId="1ai">
    <w:name w:val="Outline List 1"/>
    <w:basedOn w:val="NoList"/>
    <w:uiPriority w:val="99"/>
    <w:semiHidden/>
    <w:unhideWhenUsed/>
    <w:rsid w:val="00850703"/>
    <w:pPr>
      <w:numPr>
        <w:numId w:val="29"/>
      </w:numPr>
    </w:pPr>
  </w:style>
  <w:style w:type="numbering" w:customStyle="1" w:styleId="ArticleSection1">
    <w:name w:val="Article / Section1"/>
    <w:basedOn w:val="NoList"/>
    <w:next w:val="ArticleSection"/>
    <w:semiHidden/>
    <w:unhideWhenUsed/>
    <w:rsid w:val="009D61AA"/>
  </w:style>
  <w:style w:type="numbering" w:styleId="ArticleSection">
    <w:name w:val="Outline List 3"/>
    <w:basedOn w:val="NoList"/>
    <w:uiPriority w:val="99"/>
    <w:semiHidden/>
    <w:unhideWhenUsed/>
    <w:rsid w:val="009D61AA"/>
    <w:pPr>
      <w:numPr>
        <w:numId w:val="30"/>
      </w:numPr>
    </w:pPr>
  </w:style>
  <w:style w:type="table" w:customStyle="1" w:styleId="TableGridLight1">
    <w:name w:val="Table Grid Light1"/>
    <w:basedOn w:val="TableNormal"/>
    <w:uiPriority w:val="40"/>
    <w:rsid w:val="00E92D4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41">
    <w:name w:val="Plain Table 41"/>
    <w:basedOn w:val="TableNormal"/>
    <w:uiPriority w:val="44"/>
    <w:rsid w:val="00E92D4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CowiTableNumberList1">
    <w:name w:val="CowiTableNumberList1"/>
    <w:uiPriority w:val="99"/>
    <w:rsid w:val="00CD14D3"/>
    <w:pPr>
      <w:numPr>
        <w:numId w:val="33"/>
      </w:numPr>
    </w:pPr>
  </w:style>
  <w:style w:type="paragraph" w:customStyle="1" w:styleId="msonormal0">
    <w:name w:val="msonormal"/>
    <w:basedOn w:val="Normal"/>
    <w:rsid w:val="006B5AE7"/>
    <w:pPr>
      <w:spacing w:before="100" w:beforeAutospacing="1" w:after="100" w:afterAutospacing="1"/>
      <w:jc w:val="left"/>
    </w:pPr>
    <w:rPr>
      <w:rFonts w:ascii="Times New Roman" w:hAnsi="Times New Roman"/>
      <w:sz w:val="24"/>
      <w:lang w:val="en-US" w:eastAsia="en-US"/>
    </w:rPr>
  </w:style>
  <w:style w:type="paragraph" w:customStyle="1" w:styleId="HeaderEven">
    <w:name w:val="HeaderEven"/>
    <w:basedOn w:val="Header"/>
    <w:uiPriority w:val="99"/>
    <w:rsid w:val="006B5AE7"/>
    <w:pPr>
      <w:tabs>
        <w:tab w:val="clear" w:pos="4680"/>
        <w:tab w:val="clear" w:pos="9360"/>
        <w:tab w:val="left" w:pos="-1814"/>
      </w:tabs>
      <w:spacing w:line="160" w:lineRule="atLeast"/>
      <w:ind w:left="-2268"/>
      <w:jc w:val="left"/>
    </w:pPr>
    <w:rPr>
      <w:rFonts w:ascii="Verdana" w:hAnsi="Verdana" w:cs="Arial"/>
      <w:color w:val="333333"/>
      <w:sz w:val="14"/>
      <w:szCs w:val="14"/>
      <w:lang w:eastAsia="en-GB"/>
    </w:rPr>
  </w:style>
  <w:style w:type="paragraph" w:customStyle="1" w:styleId="FooterEven">
    <w:name w:val="FooterEven"/>
    <w:basedOn w:val="Normal"/>
    <w:uiPriority w:val="99"/>
    <w:qFormat/>
    <w:rsid w:val="006B5AE7"/>
    <w:pPr>
      <w:spacing w:line="160" w:lineRule="atLeast"/>
      <w:ind w:left="-2268"/>
      <w:jc w:val="left"/>
    </w:pPr>
    <w:rPr>
      <w:rFonts w:ascii="Verdana" w:hAnsi="Verdana"/>
      <w:noProof/>
      <w:sz w:val="11"/>
      <w:lang w:eastAsia="en-GB"/>
    </w:rPr>
  </w:style>
  <w:style w:type="paragraph" w:customStyle="1" w:styleId="sataurixml">
    <w:name w:val="satauri_xml"/>
    <w:basedOn w:val="Normal"/>
    <w:rsid w:val="006B5AE7"/>
    <w:pPr>
      <w:spacing w:line="20" w:lineRule="atLeast"/>
      <w:ind w:firstLine="283"/>
      <w:jc w:val="center"/>
    </w:pPr>
    <w:rPr>
      <w:rFonts w:ascii="Sylfaen" w:hAnsi="Sylfaen"/>
      <w:b/>
      <w:sz w:val="24"/>
      <w:szCs w:val="20"/>
      <w:lang w:eastAsia="en-US"/>
    </w:rPr>
  </w:style>
  <w:style w:type="table" w:customStyle="1" w:styleId="ReportTable24">
    <w:name w:val="Report Table 24"/>
    <w:uiPriority w:val="98"/>
    <w:semiHidden/>
    <w:qFormat/>
    <w:rsid w:val="006B5AE7"/>
    <w:pPr>
      <w:spacing w:after="0" w:line="240" w:lineRule="auto"/>
    </w:pPr>
    <w:rPr>
      <w:rFonts w:eastAsiaTheme="minorEastAsia"/>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qFormat/>
    <w:rsid w:val="006B5AE7"/>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FrontPage">
    <w:name w:val="FrontPage"/>
    <w:basedOn w:val="Normal"/>
    <w:next w:val="Normal"/>
    <w:uiPriority w:val="7"/>
    <w:semiHidden/>
    <w:qFormat/>
    <w:rsid w:val="005D3CC6"/>
    <w:pPr>
      <w:keepNext/>
      <w:keepLines/>
      <w:suppressAutoHyphens/>
      <w:spacing w:before="240" w:after="240" w:line="600" w:lineRule="atLeast"/>
    </w:pPr>
    <w:rPr>
      <w:rFonts w:ascii="Verdana" w:hAnsi="Verdana"/>
      <w:color w:val="333333"/>
      <w:sz w:val="56"/>
      <w:szCs w:val="56"/>
      <w:lang w:eastAsia="en-GB"/>
    </w:rPr>
  </w:style>
  <w:style w:type="character" w:customStyle="1" w:styleId="pg-1fc1">
    <w:name w:val="pg-1fc1"/>
    <w:basedOn w:val="DefaultParagraphFont"/>
    <w:rsid w:val="00D31A19"/>
  </w:style>
  <w:style w:type="character" w:customStyle="1" w:styleId="pg-1ff2">
    <w:name w:val="pg-1ff2"/>
    <w:basedOn w:val="DefaultParagraphFont"/>
    <w:rsid w:val="00D31A19"/>
  </w:style>
  <w:style w:type="character" w:customStyle="1" w:styleId="pg-1fs1">
    <w:name w:val="pg-1fs1"/>
    <w:basedOn w:val="DefaultParagraphFont"/>
    <w:rsid w:val="00D31A19"/>
  </w:style>
  <w:style w:type="numbering" w:customStyle="1" w:styleId="Style32">
    <w:name w:val="Style32"/>
    <w:uiPriority w:val="99"/>
    <w:rsid w:val="00A2588D"/>
    <w:pPr>
      <w:numPr>
        <w:numId w:val="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7383">
      <w:bodyDiv w:val="1"/>
      <w:marLeft w:val="0"/>
      <w:marRight w:val="0"/>
      <w:marTop w:val="0"/>
      <w:marBottom w:val="0"/>
      <w:divBdr>
        <w:top w:val="none" w:sz="0" w:space="0" w:color="auto"/>
        <w:left w:val="none" w:sz="0" w:space="0" w:color="auto"/>
        <w:bottom w:val="none" w:sz="0" w:space="0" w:color="auto"/>
        <w:right w:val="none" w:sz="0" w:space="0" w:color="auto"/>
      </w:divBdr>
    </w:div>
    <w:div w:id="7755108">
      <w:bodyDiv w:val="1"/>
      <w:marLeft w:val="0"/>
      <w:marRight w:val="0"/>
      <w:marTop w:val="0"/>
      <w:marBottom w:val="0"/>
      <w:divBdr>
        <w:top w:val="none" w:sz="0" w:space="0" w:color="auto"/>
        <w:left w:val="none" w:sz="0" w:space="0" w:color="auto"/>
        <w:bottom w:val="none" w:sz="0" w:space="0" w:color="auto"/>
        <w:right w:val="none" w:sz="0" w:space="0" w:color="auto"/>
      </w:divBdr>
    </w:div>
    <w:div w:id="40641220">
      <w:bodyDiv w:val="1"/>
      <w:marLeft w:val="0"/>
      <w:marRight w:val="0"/>
      <w:marTop w:val="0"/>
      <w:marBottom w:val="0"/>
      <w:divBdr>
        <w:top w:val="none" w:sz="0" w:space="0" w:color="auto"/>
        <w:left w:val="none" w:sz="0" w:space="0" w:color="auto"/>
        <w:bottom w:val="none" w:sz="0" w:space="0" w:color="auto"/>
        <w:right w:val="none" w:sz="0" w:space="0" w:color="auto"/>
      </w:divBdr>
    </w:div>
    <w:div w:id="65343584">
      <w:bodyDiv w:val="1"/>
      <w:marLeft w:val="0"/>
      <w:marRight w:val="0"/>
      <w:marTop w:val="0"/>
      <w:marBottom w:val="0"/>
      <w:divBdr>
        <w:top w:val="none" w:sz="0" w:space="0" w:color="auto"/>
        <w:left w:val="none" w:sz="0" w:space="0" w:color="auto"/>
        <w:bottom w:val="none" w:sz="0" w:space="0" w:color="auto"/>
        <w:right w:val="none" w:sz="0" w:space="0" w:color="auto"/>
      </w:divBdr>
    </w:div>
    <w:div w:id="95953721">
      <w:bodyDiv w:val="1"/>
      <w:marLeft w:val="0"/>
      <w:marRight w:val="0"/>
      <w:marTop w:val="0"/>
      <w:marBottom w:val="0"/>
      <w:divBdr>
        <w:top w:val="none" w:sz="0" w:space="0" w:color="auto"/>
        <w:left w:val="none" w:sz="0" w:space="0" w:color="auto"/>
        <w:bottom w:val="none" w:sz="0" w:space="0" w:color="auto"/>
        <w:right w:val="none" w:sz="0" w:space="0" w:color="auto"/>
      </w:divBdr>
    </w:div>
    <w:div w:id="137453582">
      <w:bodyDiv w:val="1"/>
      <w:marLeft w:val="0"/>
      <w:marRight w:val="0"/>
      <w:marTop w:val="0"/>
      <w:marBottom w:val="0"/>
      <w:divBdr>
        <w:top w:val="none" w:sz="0" w:space="0" w:color="auto"/>
        <w:left w:val="none" w:sz="0" w:space="0" w:color="auto"/>
        <w:bottom w:val="none" w:sz="0" w:space="0" w:color="auto"/>
        <w:right w:val="none" w:sz="0" w:space="0" w:color="auto"/>
      </w:divBdr>
    </w:div>
    <w:div w:id="243422382">
      <w:bodyDiv w:val="1"/>
      <w:marLeft w:val="0"/>
      <w:marRight w:val="0"/>
      <w:marTop w:val="0"/>
      <w:marBottom w:val="0"/>
      <w:divBdr>
        <w:top w:val="none" w:sz="0" w:space="0" w:color="auto"/>
        <w:left w:val="none" w:sz="0" w:space="0" w:color="auto"/>
        <w:bottom w:val="none" w:sz="0" w:space="0" w:color="auto"/>
        <w:right w:val="none" w:sz="0" w:space="0" w:color="auto"/>
      </w:divBdr>
    </w:div>
    <w:div w:id="247540667">
      <w:bodyDiv w:val="1"/>
      <w:marLeft w:val="0"/>
      <w:marRight w:val="0"/>
      <w:marTop w:val="0"/>
      <w:marBottom w:val="0"/>
      <w:divBdr>
        <w:top w:val="none" w:sz="0" w:space="0" w:color="auto"/>
        <w:left w:val="none" w:sz="0" w:space="0" w:color="auto"/>
        <w:bottom w:val="none" w:sz="0" w:space="0" w:color="auto"/>
        <w:right w:val="none" w:sz="0" w:space="0" w:color="auto"/>
      </w:divBdr>
    </w:div>
    <w:div w:id="330835548">
      <w:bodyDiv w:val="1"/>
      <w:marLeft w:val="0"/>
      <w:marRight w:val="0"/>
      <w:marTop w:val="0"/>
      <w:marBottom w:val="0"/>
      <w:divBdr>
        <w:top w:val="none" w:sz="0" w:space="0" w:color="auto"/>
        <w:left w:val="none" w:sz="0" w:space="0" w:color="auto"/>
        <w:bottom w:val="none" w:sz="0" w:space="0" w:color="auto"/>
        <w:right w:val="none" w:sz="0" w:space="0" w:color="auto"/>
      </w:divBdr>
    </w:div>
    <w:div w:id="483787787">
      <w:bodyDiv w:val="1"/>
      <w:marLeft w:val="0"/>
      <w:marRight w:val="0"/>
      <w:marTop w:val="0"/>
      <w:marBottom w:val="0"/>
      <w:divBdr>
        <w:top w:val="none" w:sz="0" w:space="0" w:color="auto"/>
        <w:left w:val="none" w:sz="0" w:space="0" w:color="auto"/>
        <w:bottom w:val="none" w:sz="0" w:space="0" w:color="auto"/>
        <w:right w:val="none" w:sz="0" w:space="0" w:color="auto"/>
      </w:divBdr>
    </w:div>
    <w:div w:id="529955090">
      <w:bodyDiv w:val="1"/>
      <w:marLeft w:val="0"/>
      <w:marRight w:val="0"/>
      <w:marTop w:val="0"/>
      <w:marBottom w:val="0"/>
      <w:divBdr>
        <w:top w:val="none" w:sz="0" w:space="0" w:color="auto"/>
        <w:left w:val="none" w:sz="0" w:space="0" w:color="auto"/>
        <w:bottom w:val="none" w:sz="0" w:space="0" w:color="auto"/>
        <w:right w:val="none" w:sz="0" w:space="0" w:color="auto"/>
      </w:divBdr>
    </w:div>
    <w:div w:id="573049747">
      <w:bodyDiv w:val="1"/>
      <w:marLeft w:val="0"/>
      <w:marRight w:val="0"/>
      <w:marTop w:val="0"/>
      <w:marBottom w:val="0"/>
      <w:divBdr>
        <w:top w:val="none" w:sz="0" w:space="0" w:color="auto"/>
        <w:left w:val="none" w:sz="0" w:space="0" w:color="auto"/>
        <w:bottom w:val="none" w:sz="0" w:space="0" w:color="auto"/>
        <w:right w:val="none" w:sz="0" w:space="0" w:color="auto"/>
      </w:divBdr>
    </w:div>
    <w:div w:id="609121783">
      <w:bodyDiv w:val="1"/>
      <w:marLeft w:val="0"/>
      <w:marRight w:val="0"/>
      <w:marTop w:val="0"/>
      <w:marBottom w:val="0"/>
      <w:divBdr>
        <w:top w:val="none" w:sz="0" w:space="0" w:color="auto"/>
        <w:left w:val="none" w:sz="0" w:space="0" w:color="auto"/>
        <w:bottom w:val="none" w:sz="0" w:space="0" w:color="auto"/>
        <w:right w:val="none" w:sz="0" w:space="0" w:color="auto"/>
      </w:divBdr>
    </w:div>
    <w:div w:id="654799788">
      <w:bodyDiv w:val="1"/>
      <w:marLeft w:val="0"/>
      <w:marRight w:val="0"/>
      <w:marTop w:val="0"/>
      <w:marBottom w:val="0"/>
      <w:divBdr>
        <w:top w:val="none" w:sz="0" w:space="0" w:color="auto"/>
        <w:left w:val="none" w:sz="0" w:space="0" w:color="auto"/>
        <w:bottom w:val="none" w:sz="0" w:space="0" w:color="auto"/>
        <w:right w:val="none" w:sz="0" w:space="0" w:color="auto"/>
      </w:divBdr>
    </w:div>
    <w:div w:id="711002445">
      <w:bodyDiv w:val="1"/>
      <w:marLeft w:val="0"/>
      <w:marRight w:val="0"/>
      <w:marTop w:val="0"/>
      <w:marBottom w:val="0"/>
      <w:divBdr>
        <w:top w:val="none" w:sz="0" w:space="0" w:color="auto"/>
        <w:left w:val="none" w:sz="0" w:space="0" w:color="auto"/>
        <w:bottom w:val="none" w:sz="0" w:space="0" w:color="auto"/>
        <w:right w:val="none" w:sz="0" w:space="0" w:color="auto"/>
      </w:divBdr>
    </w:div>
    <w:div w:id="721028164">
      <w:bodyDiv w:val="1"/>
      <w:marLeft w:val="0"/>
      <w:marRight w:val="0"/>
      <w:marTop w:val="0"/>
      <w:marBottom w:val="0"/>
      <w:divBdr>
        <w:top w:val="none" w:sz="0" w:space="0" w:color="auto"/>
        <w:left w:val="none" w:sz="0" w:space="0" w:color="auto"/>
        <w:bottom w:val="none" w:sz="0" w:space="0" w:color="auto"/>
        <w:right w:val="none" w:sz="0" w:space="0" w:color="auto"/>
      </w:divBdr>
    </w:div>
    <w:div w:id="772626507">
      <w:bodyDiv w:val="1"/>
      <w:marLeft w:val="0"/>
      <w:marRight w:val="0"/>
      <w:marTop w:val="0"/>
      <w:marBottom w:val="0"/>
      <w:divBdr>
        <w:top w:val="none" w:sz="0" w:space="0" w:color="auto"/>
        <w:left w:val="none" w:sz="0" w:space="0" w:color="auto"/>
        <w:bottom w:val="none" w:sz="0" w:space="0" w:color="auto"/>
        <w:right w:val="none" w:sz="0" w:space="0" w:color="auto"/>
      </w:divBdr>
    </w:div>
    <w:div w:id="803697696">
      <w:bodyDiv w:val="1"/>
      <w:marLeft w:val="0"/>
      <w:marRight w:val="0"/>
      <w:marTop w:val="0"/>
      <w:marBottom w:val="0"/>
      <w:divBdr>
        <w:top w:val="none" w:sz="0" w:space="0" w:color="auto"/>
        <w:left w:val="none" w:sz="0" w:space="0" w:color="auto"/>
        <w:bottom w:val="none" w:sz="0" w:space="0" w:color="auto"/>
        <w:right w:val="none" w:sz="0" w:space="0" w:color="auto"/>
      </w:divBdr>
    </w:div>
    <w:div w:id="839195634">
      <w:bodyDiv w:val="1"/>
      <w:marLeft w:val="0"/>
      <w:marRight w:val="0"/>
      <w:marTop w:val="0"/>
      <w:marBottom w:val="0"/>
      <w:divBdr>
        <w:top w:val="none" w:sz="0" w:space="0" w:color="auto"/>
        <w:left w:val="none" w:sz="0" w:space="0" w:color="auto"/>
        <w:bottom w:val="none" w:sz="0" w:space="0" w:color="auto"/>
        <w:right w:val="none" w:sz="0" w:space="0" w:color="auto"/>
      </w:divBdr>
    </w:div>
    <w:div w:id="856969557">
      <w:bodyDiv w:val="1"/>
      <w:marLeft w:val="0"/>
      <w:marRight w:val="0"/>
      <w:marTop w:val="0"/>
      <w:marBottom w:val="0"/>
      <w:divBdr>
        <w:top w:val="none" w:sz="0" w:space="0" w:color="auto"/>
        <w:left w:val="none" w:sz="0" w:space="0" w:color="auto"/>
        <w:bottom w:val="none" w:sz="0" w:space="0" w:color="auto"/>
        <w:right w:val="none" w:sz="0" w:space="0" w:color="auto"/>
      </w:divBdr>
    </w:div>
    <w:div w:id="966400255">
      <w:bodyDiv w:val="1"/>
      <w:marLeft w:val="0"/>
      <w:marRight w:val="0"/>
      <w:marTop w:val="0"/>
      <w:marBottom w:val="0"/>
      <w:divBdr>
        <w:top w:val="none" w:sz="0" w:space="0" w:color="auto"/>
        <w:left w:val="none" w:sz="0" w:space="0" w:color="auto"/>
        <w:bottom w:val="none" w:sz="0" w:space="0" w:color="auto"/>
        <w:right w:val="none" w:sz="0" w:space="0" w:color="auto"/>
      </w:divBdr>
    </w:div>
    <w:div w:id="1004431716">
      <w:bodyDiv w:val="1"/>
      <w:marLeft w:val="0"/>
      <w:marRight w:val="0"/>
      <w:marTop w:val="0"/>
      <w:marBottom w:val="0"/>
      <w:divBdr>
        <w:top w:val="none" w:sz="0" w:space="0" w:color="auto"/>
        <w:left w:val="none" w:sz="0" w:space="0" w:color="auto"/>
        <w:bottom w:val="none" w:sz="0" w:space="0" w:color="auto"/>
        <w:right w:val="none" w:sz="0" w:space="0" w:color="auto"/>
      </w:divBdr>
    </w:div>
    <w:div w:id="1090927952">
      <w:bodyDiv w:val="1"/>
      <w:marLeft w:val="0"/>
      <w:marRight w:val="0"/>
      <w:marTop w:val="0"/>
      <w:marBottom w:val="0"/>
      <w:divBdr>
        <w:top w:val="none" w:sz="0" w:space="0" w:color="auto"/>
        <w:left w:val="none" w:sz="0" w:space="0" w:color="auto"/>
        <w:bottom w:val="none" w:sz="0" w:space="0" w:color="auto"/>
        <w:right w:val="none" w:sz="0" w:space="0" w:color="auto"/>
      </w:divBdr>
    </w:div>
    <w:div w:id="1196309108">
      <w:bodyDiv w:val="1"/>
      <w:marLeft w:val="0"/>
      <w:marRight w:val="0"/>
      <w:marTop w:val="0"/>
      <w:marBottom w:val="0"/>
      <w:divBdr>
        <w:top w:val="none" w:sz="0" w:space="0" w:color="auto"/>
        <w:left w:val="none" w:sz="0" w:space="0" w:color="auto"/>
        <w:bottom w:val="none" w:sz="0" w:space="0" w:color="auto"/>
        <w:right w:val="none" w:sz="0" w:space="0" w:color="auto"/>
      </w:divBdr>
    </w:div>
    <w:div w:id="1202744811">
      <w:bodyDiv w:val="1"/>
      <w:marLeft w:val="0"/>
      <w:marRight w:val="0"/>
      <w:marTop w:val="0"/>
      <w:marBottom w:val="0"/>
      <w:divBdr>
        <w:top w:val="none" w:sz="0" w:space="0" w:color="auto"/>
        <w:left w:val="none" w:sz="0" w:space="0" w:color="auto"/>
        <w:bottom w:val="none" w:sz="0" w:space="0" w:color="auto"/>
        <w:right w:val="none" w:sz="0" w:space="0" w:color="auto"/>
      </w:divBdr>
    </w:div>
    <w:div w:id="1307586241">
      <w:bodyDiv w:val="1"/>
      <w:marLeft w:val="0"/>
      <w:marRight w:val="0"/>
      <w:marTop w:val="0"/>
      <w:marBottom w:val="0"/>
      <w:divBdr>
        <w:top w:val="none" w:sz="0" w:space="0" w:color="auto"/>
        <w:left w:val="none" w:sz="0" w:space="0" w:color="auto"/>
        <w:bottom w:val="none" w:sz="0" w:space="0" w:color="auto"/>
        <w:right w:val="none" w:sz="0" w:space="0" w:color="auto"/>
      </w:divBdr>
    </w:div>
    <w:div w:id="1319502974">
      <w:bodyDiv w:val="1"/>
      <w:marLeft w:val="0"/>
      <w:marRight w:val="0"/>
      <w:marTop w:val="0"/>
      <w:marBottom w:val="0"/>
      <w:divBdr>
        <w:top w:val="none" w:sz="0" w:space="0" w:color="auto"/>
        <w:left w:val="none" w:sz="0" w:space="0" w:color="auto"/>
        <w:bottom w:val="none" w:sz="0" w:space="0" w:color="auto"/>
        <w:right w:val="none" w:sz="0" w:space="0" w:color="auto"/>
      </w:divBdr>
    </w:div>
    <w:div w:id="1321617272">
      <w:bodyDiv w:val="1"/>
      <w:marLeft w:val="0"/>
      <w:marRight w:val="0"/>
      <w:marTop w:val="0"/>
      <w:marBottom w:val="0"/>
      <w:divBdr>
        <w:top w:val="none" w:sz="0" w:space="0" w:color="auto"/>
        <w:left w:val="none" w:sz="0" w:space="0" w:color="auto"/>
        <w:bottom w:val="none" w:sz="0" w:space="0" w:color="auto"/>
        <w:right w:val="none" w:sz="0" w:space="0" w:color="auto"/>
      </w:divBdr>
    </w:div>
    <w:div w:id="1440686169">
      <w:bodyDiv w:val="1"/>
      <w:marLeft w:val="0"/>
      <w:marRight w:val="0"/>
      <w:marTop w:val="0"/>
      <w:marBottom w:val="0"/>
      <w:divBdr>
        <w:top w:val="none" w:sz="0" w:space="0" w:color="auto"/>
        <w:left w:val="none" w:sz="0" w:space="0" w:color="auto"/>
        <w:bottom w:val="none" w:sz="0" w:space="0" w:color="auto"/>
        <w:right w:val="none" w:sz="0" w:space="0" w:color="auto"/>
      </w:divBdr>
    </w:div>
    <w:div w:id="1456947355">
      <w:bodyDiv w:val="1"/>
      <w:marLeft w:val="0"/>
      <w:marRight w:val="0"/>
      <w:marTop w:val="0"/>
      <w:marBottom w:val="0"/>
      <w:divBdr>
        <w:top w:val="none" w:sz="0" w:space="0" w:color="auto"/>
        <w:left w:val="none" w:sz="0" w:space="0" w:color="auto"/>
        <w:bottom w:val="none" w:sz="0" w:space="0" w:color="auto"/>
        <w:right w:val="none" w:sz="0" w:space="0" w:color="auto"/>
      </w:divBdr>
    </w:div>
    <w:div w:id="1468400535">
      <w:bodyDiv w:val="1"/>
      <w:marLeft w:val="0"/>
      <w:marRight w:val="0"/>
      <w:marTop w:val="0"/>
      <w:marBottom w:val="0"/>
      <w:divBdr>
        <w:top w:val="none" w:sz="0" w:space="0" w:color="auto"/>
        <w:left w:val="none" w:sz="0" w:space="0" w:color="auto"/>
        <w:bottom w:val="none" w:sz="0" w:space="0" w:color="auto"/>
        <w:right w:val="none" w:sz="0" w:space="0" w:color="auto"/>
      </w:divBdr>
    </w:div>
    <w:div w:id="1663121676">
      <w:bodyDiv w:val="1"/>
      <w:marLeft w:val="0"/>
      <w:marRight w:val="0"/>
      <w:marTop w:val="0"/>
      <w:marBottom w:val="0"/>
      <w:divBdr>
        <w:top w:val="none" w:sz="0" w:space="0" w:color="auto"/>
        <w:left w:val="none" w:sz="0" w:space="0" w:color="auto"/>
        <w:bottom w:val="none" w:sz="0" w:space="0" w:color="auto"/>
        <w:right w:val="none" w:sz="0" w:space="0" w:color="auto"/>
      </w:divBdr>
    </w:div>
    <w:div w:id="1702436311">
      <w:bodyDiv w:val="1"/>
      <w:marLeft w:val="0"/>
      <w:marRight w:val="0"/>
      <w:marTop w:val="0"/>
      <w:marBottom w:val="0"/>
      <w:divBdr>
        <w:top w:val="none" w:sz="0" w:space="0" w:color="auto"/>
        <w:left w:val="none" w:sz="0" w:space="0" w:color="auto"/>
        <w:bottom w:val="none" w:sz="0" w:space="0" w:color="auto"/>
        <w:right w:val="none" w:sz="0" w:space="0" w:color="auto"/>
      </w:divBdr>
    </w:div>
    <w:div w:id="1760297735">
      <w:bodyDiv w:val="1"/>
      <w:marLeft w:val="0"/>
      <w:marRight w:val="0"/>
      <w:marTop w:val="0"/>
      <w:marBottom w:val="0"/>
      <w:divBdr>
        <w:top w:val="none" w:sz="0" w:space="0" w:color="auto"/>
        <w:left w:val="none" w:sz="0" w:space="0" w:color="auto"/>
        <w:bottom w:val="none" w:sz="0" w:space="0" w:color="auto"/>
        <w:right w:val="none" w:sz="0" w:space="0" w:color="auto"/>
      </w:divBdr>
    </w:div>
    <w:div w:id="1771386473">
      <w:bodyDiv w:val="1"/>
      <w:marLeft w:val="0"/>
      <w:marRight w:val="0"/>
      <w:marTop w:val="0"/>
      <w:marBottom w:val="0"/>
      <w:divBdr>
        <w:top w:val="none" w:sz="0" w:space="0" w:color="auto"/>
        <w:left w:val="none" w:sz="0" w:space="0" w:color="auto"/>
        <w:bottom w:val="none" w:sz="0" w:space="0" w:color="auto"/>
        <w:right w:val="none" w:sz="0" w:space="0" w:color="auto"/>
      </w:divBdr>
    </w:div>
    <w:div w:id="1808158592">
      <w:bodyDiv w:val="1"/>
      <w:marLeft w:val="0"/>
      <w:marRight w:val="0"/>
      <w:marTop w:val="0"/>
      <w:marBottom w:val="0"/>
      <w:divBdr>
        <w:top w:val="none" w:sz="0" w:space="0" w:color="auto"/>
        <w:left w:val="none" w:sz="0" w:space="0" w:color="auto"/>
        <w:bottom w:val="none" w:sz="0" w:space="0" w:color="auto"/>
        <w:right w:val="none" w:sz="0" w:space="0" w:color="auto"/>
      </w:divBdr>
    </w:div>
    <w:div w:id="1864053739">
      <w:bodyDiv w:val="1"/>
      <w:marLeft w:val="0"/>
      <w:marRight w:val="0"/>
      <w:marTop w:val="0"/>
      <w:marBottom w:val="0"/>
      <w:divBdr>
        <w:top w:val="none" w:sz="0" w:space="0" w:color="auto"/>
        <w:left w:val="none" w:sz="0" w:space="0" w:color="auto"/>
        <w:bottom w:val="none" w:sz="0" w:space="0" w:color="auto"/>
        <w:right w:val="none" w:sz="0" w:space="0" w:color="auto"/>
      </w:divBdr>
    </w:div>
    <w:div w:id="1878154307">
      <w:bodyDiv w:val="1"/>
      <w:marLeft w:val="0"/>
      <w:marRight w:val="0"/>
      <w:marTop w:val="0"/>
      <w:marBottom w:val="0"/>
      <w:divBdr>
        <w:top w:val="none" w:sz="0" w:space="0" w:color="auto"/>
        <w:left w:val="none" w:sz="0" w:space="0" w:color="auto"/>
        <w:bottom w:val="none" w:sz="0" w:space="0" w:color="auto"/>
        <w:right w:val="none" w:sz="0" w:space="0" w:color="auto"/>
      </w:divBdr>
    </w:div>
    <w:div w:id="1965456830">
      <w:bodyDiv w:val="1"/>
      <w:marLeft w:val="0"/>
      <w:marRight w:val="0"/>
      <w:marTop w:val="0"/>
      <w:marBottom w:val="0"/>
      <w:divBdr>
        <w:top w:val="none" w:sz="0" w:space="0" w:color="auto"/>
        <w:left w:val="none" w:sz="0" w:space="0" w:color="auto"/>
        <w:bottom w:val="none" w:sz="0" w:space="0" w:color="auto"/>
        <w:right w:val="none" w:sz="0" w:space="0" w:color="auto"/>
      </w:divBdr>
    </w:div>
    <w:div w:id="1977178809">
      <w:bodyDiv w:val="1"/>
      <w:marLeft w:val="0"/>
      <w:marRight w:val="0"/>
      <w:marTop w:val="0"/>
      <w:marBottom w:val="0"/>
      <w:divBdr>
        <w:top w:val="none" w:sz="0" w:space="0" w:color="auto"/>
        <w:left w:val="none" w:sz="0" w:space="0" w:color="auto"/>
        <w:bottom w:val="none" w:sz="0" w:space="0" w:color="auto"/>
        <w:right w:val="none" w:sz="0" w:space="0" w:color="auto"/>
      </w:divBdr>
    </w:div>
    <w:div w:id="2000378335">
      <w:bodyDiv w:val="1"/>
      <w:marLeft w:val="0"/>
      <w:marRight w:val="0"/>
      <w:marTop w:val="0"/>
      <w:marBottom w:val="0"/>
      <w:divBdr>
        <w:top w:val="none" w:sz="0" w:space="0" w:color="auto"/>
        <w:left w:val="none" w:sz="0" w:space="0" w:color="auto"/>
        <w:bottom w:val="none" w:sz="0" w:space="0" w:color="auto"/>
        <w:right w:val="none" w:sz="0" w:space="0" w:color="auto"/>
      </w:divBdr>
    </w:div>
    <w:div w:id="2079159389">
      <w:bodyDiv w:val="1"/>
      <w:marLeft w:val="0"/>
      <w:marRight w:val="0"/>
      <w:marTop w:val="0"/>
      <w:marBottom w:val="0"/>
      <w:divBdr>
        <w:top w:val="none" w:sz="0" w:space="0" w:color="auto"/>
        <w:left w:val="none" w:sz="0" w:space="0" w:color="auto"/>
        <w:bottom w:val="none" w:sz="0" w:space="0" w:color="auto"/>
        <w:right w:val="none" w:sz="0" w:space="0" w:color="auto"/>
      </w:divBdr>
    </w:div>
    <w:div w:id="212588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png"/><Relationship Id="rId21" Type="http://schemas.openxmlformats.org/officeDocument/2006/relationships/hyperlink" Target="https://www.matsne.gov.ge/ka/document/view/28456" TargetMode="External"/><Relationship Id="rId42" Type="http://schemas.openxmlformats.org/officeDocument/2006/relationships/image" Target="media/image23.jpeg"/><Relationship Id="rId63" Type="http://schemas.openxmlformats.org/officeDocument/2006/relationships/hyperlink" Target="mailto:info@armatura.ge" TargetMode="External"/><Relationship Id="rId84" Type="http://schemas.openxmlformats.org/officeDocument/2006/relationships/image" Target="media/image52.wmf"/><Relationship Id="rId138" Type="http://schemas.openxmlformats.org/officeDocument/2006/relationships/image" Target="media/image96.wmf"/><Relationship Id="rId159" Type="http://schemas.openxmlformats.org/officeDocument/2006/relationships/oleObject" Target="embeddings/oleObject23.bin"/><Relationship Id="rId170" Type="http://schemas.openxmlformats.org/officeDocument/2006/relationships/oleObject" Target="embeddings/oleObject32.bin"/><Relationship Id="rId191" Type="http://schemas.openxmlformats.org/officeDocument/2006/relationships/image" Target="media/image118.jpeg"/><Relationship Id="rId205" Type="http://schemas.openxmlformats.org/officeDocument/2006/relationships/image" Target="media/image122.jpeg"/><Relationship Id="rId226" Type="http://schemas.openxmlformats.org/officeDocument/2006/relationships/image" Target="media/image137.jpeg"/><Relationship Id="rId107" Type="http://schemas.openxmlformats.org/officeDocument/2006/relationships/image" Target="media/image75.png"/><Relationship Id="rId11" Type="http://schemas.openxmlformats.org/officeDocument/2006/relationships/image" Target="media/image4.png"/><Relationship Id="rId32" Type="http://schemas.microsoft.com/office/2007/relationships/hdphoto" Target="media/hdphoto1.wdp"/><Relationship Id="rId53" Type="http://schemas.openxmlformats.org/officeDocument/2006/relationships/image" Target="media/image34.wmf"/><Relationship Id="rId74" Type="http://schemas.openxmlformats.org/officeDocument/2006/relationships/image" Target="media/image42.png"/><Relationship Id="rId128" Type="http://schemas.openxmlformats.org/officeDocument/2006/relationships/image" Target="media/image91.wmf"/><Relationship Id="rId149" Type="http://schemas.openxmlformats.org/officeDocument/2006/relationships/oleObject" Target="embeddings/oleObject15.bin"/><Relationship Id="rId5" Type="http://schemas.openxmlformats.org/officeDocument/2006/relationships/webSettings" Target="webSettings.xml"/><Relationship Id="rId95" Type="http://schemas.openxmlformats.org/officeDocument/2006/relationships/image" Target="media/image63.png"/><Relationship Id="rId160" Type="http://schemas.openxmlformats.org/officeDocument/2006/relationships/oleObject" Target="embeddings/oleObject24.bin"/><Relationship Id="rId181" Type="http://schemas.openxmlformats.org/officeDocument/2006/relationships/image" Target="media/image111.wmf"/><Relationship Id="rId216" Type="http://schemas.openxmlformats.org/officeDocument/2006/relationships/image" Target="media/image127.png"/><Relationship Id="rId22" Type="http://schemas.openxmlformats.org/officeDocument/2006/relationships/hyperlink" Target="https://www.matsne.gov.ge/ka/document/view/17380" TargetMode="External"/><Relationship Id="rId43" Type="http://schemas.openxmlformats.org/officeDocument/2006/relationships/image" Target="media/image24.jpeg"/><Relationship Id="rId64" Type="http://schemas.openxmlformats.org/officeDocument/2006/relationships/hyperlink" Target="mailto:ctranscaucasus@yahoo.com" TargetMode="External"/><Relationship Id="rId118" Type="http://schemas.openxmlformats.org/officeDocument/2006/relationships/image" Target="media/image85.png"/><Relationship Id="rId139" Type="http://schemas.openxmlformats.org/officeDocument/2006/relationships/oleObject" Target="embeddings/oleObject10.bin"/><Relationship Id="rId85" Type="http://schemas.openxmlformats.org/officeDocument/2006/relationships/image" Target="media/image53.png"/><Relationship Id="rId150" Type="http://schemas.openxmlformats.org/officeDocument/2006/relationships/image" Target="media/image102.wmf"/><Relationship Id="rId171" Type="http://schemas.openxmlformats.org/officeDocument/2006/relationships/image" Target="media/image106.wmf"/><Relationship Id="rId192" Type="http://schemas.openxmlformats.org/officeDocument/2006/relationships/footer" Target="footer3.xml"/><Relationship Id="rId206" Type="http://schemas.openxmlformats.org/officeDocument/2006/relationships/header" Target="header5.xml"/><Relationship Id="rId227" Type="http://schemas.openxmlformats.org/officeDocument/2006/relationships/image" Target="media/image138.jpeg"/><Relationship Id="rId12" Type="http://schemas.openxmlformats.org/officeDocument/2006/relationships/header" Target="header1.xml"/><Relationship Id="rId33" Type="http://schemas.openxmlformats.org/officeDocument/2006/relationships/image" Target="media/image14.png"/><Relationship Id="rId108" Type="http://schemas.openxmlformats.org/officeDocument/2006/relationships/image" Target="media/image76.png"/><Relationship Id="rId129" Type="http://schemas.openxmlformats.org/officeDocument/2006/relationships/oleObject" Target="embeddings/oleObject5.bin"/><Relationship Id="rId54" Type="http://schemas.openxmlformats.org/officeDocument/2006/relationships/image" Target="media/image35.wmf"/><Relationship Id="rId75" Type="http://schemas.openxmlformats.org/officeDocument/2006/relationships/image" Target="media/image43.png"/><Relationship Id="rId96" Type="http://schemas.openxmlformats.org/officeDocument/2006/relationships/image" Target="media/image64.png"/><Relationship Id="rId140" Type="http://schemas.openxmlformats.org/officeDocument/2006/relationships/image" Target="media/image97.wmf"/><Relationship Id="rId161" Type="http://schemas.openxmlformats.org/officeDocument/2006/relationships/oleObject" Target="embeddings/oleObject25.bin"/><Relationship Id="rId182" Type="http://schemas.openxmlformats.org/officeDocument/2006/relationships/oleObject" Target="embeddings/oleObject38.bin"/><Relationship Id="rId217" Type="http://schemas.openxmlformats.org/officeDocument/2006/relationships/image" Target="media/image128.jpeg"/><Relationship Id="rId6" Type="http://schemas.openxmlformats.org/officeDocument/2006/relationships/footnotes" Target="footnotes.xml"/><Relationship Id="rId23" Type="http://schemas.openxmlformats.org/officeDocument/2006/relationships/image" Target="media/image5.jpeg"/><Relationship Id="rId119" Type="http://schemas.openxmlformats.org/officeDocument/2006/relationships/image" Target="media/image86.jpeg"/><Relationship Id="rId44" Type="http://schemas.openxmlformats.org/officeDocument/2006/relationships/image" Target="media/image25.jpeg"/><Relationship Id="rId65" Type="http://schemas.openxmlformats.org/officeDocument/2006/relationships/hyperlink" Target="mailto:info@kavkazcement.ge" TargetMode="External"/><Relationship Id="rId86" Type="http://schemas.openxmlformats.org/officeDocument/2006/relationships/image" Target="media/image54.wmf"/><Relationship Id="rId130" Type="http://schemas.openxmlformats.org/officeDocument/2006/relationships/image" Target="media/image92.wmf"/><Relationship Id="rId151" Type="http://schemas.openxmlformats.org/officeDocument/2006/relationships/oleObject" Target="embeddings/oleObject16.bin"/><Relationship Id="rId172" Type="http://schemas.openxmlformats.org/officeDocument/2006/relationships/oleObject" Target="embeddings/oleObject33.bin"/><Relationship Id="rId193" Type="http://schemas.openxmlformats.org/officeDocument/2006/relationships/footer" Target="footer4.xml"/><Relationship Id="rId207" Type="http://schemas.openxmlformats.org/officeDocument/2006/relationships/header" Target="header6.xml"/><Relationship Id="rId228" Type="http://schemas.openxmlformats.org/officeDocument/2006/relationships/image" Target="media/image139.png"/><Relationship Id="rId13" Type="http://schemas.openxmlformats.org/officeDocument/2006/relationships/footer" Target="footer1.xml"/><Relationship Id="rId109" Type="http://schemas.openxmlformats.org/officeDocument/2006/relationships/image" Target="media/image77.png"/><Relationship Id="rId34" Type="http://schemas.openxmlformats.org/officeDocument/2006/relationships/image" Target="media/image15.png"/><Relationship Id="rId55" Type="http://schemas.openxmlformats.org/officeDocument/2006/relationships/image" Target="media/image36.wmf"/><Relationship Id="rId76" Type="http://schemas.openxmlformats.org/officeDocument/2006/relationships/image" Target="media/image44.png"/><Relationship Id="rId97" Type="http://schemas.openxmlformats.org/officeDocument/2006/relationships/image" Target="media/image65.png"/><Relationship Id="rId120" Type="http://schemas.openxmlformats.org/officeDocument/2006/relationships/image" Target="media/image87.wmf"/><Relationship Id="rId141" Type="http://schemas.openxmlformats.org/officeDocument/2006/relationships/oleObject" Target="embeddings/oleObject11.bin"/><Relationship Id="rId7" Type="http://schemas.openxmlformats.org/officeDocument/2006/relationships/endnotes" Target="endnotes.xml"/><Relationship Id="rId162" Type="http://schemas.openxmlformats.org/officeDocument/2006/relationships/oleObject" Target="embeddings/oleObject26.bin"/><Relationship Id="rId183" Type="http://schemas.openxmlformats.org/officeDocument/2006/relationships/oleObject" Target="embeddings/oleObject39.bin"/><Relationship Id="rId218" Type="http://schemas.openxmlformats.org/officeDocument/2006/relationships/image" Target="media/image129.jpeg"/><Relationship Id="rId24" Type="http://schemas.openxmlformats.org/officeDocument/2006/relationships/image" Target="media/image6.jpeg"/><Relationship Id="rId45" Type="http://schemas.openxmlformats.org/officeDocument/2006/relationships/image" Target="media/image26.png"/><Relationship Id="rId66" Type="http://schemas.openxmlformats.org/officeDocument/2006/relationships/hyperlink" Target="mailto:info@mg.com.ge" TargetMode="External"/><Relationship Id="rId87" Type="http://schemas.openxmlformats.org/officeDocument/2006/relationships/image" Target="media/image55.png"/><Relationship Id="rId110" Type="http://schemas.openxmlformats.org/officeDocument/2006/relationships/image" Target="media/image78.png"/><Relationship Id="rId131" Type="http://schemas.openxmlformats.org/officeDocument/2006/relationships/oleObject" Target="embeddings/oleObject6.bin"/><Relationship Id="rId152" Type="http://schemas.openxmlformats.org/officeDocument/2006/relationships/oleObject" Target="embeddings/oleObject17.bin"/><Relationship Id="rId173" Type="http://schemas.openxmlformats.org/officeDocument/2006/relationships/image" Target="media/image107.wmf"/><Relationship Id="rId194" Type="http://schemas.openxmlformats.org/officeDocument/2006/relationships/footer" Target="footer5.xml"/><Relationship Id="rId208" Type="http://schemas.openxmlformats.org/officeDocument/2006/relationships/footer" Target="footer6.xml"/><Relationship Id="rId229" Type="http://schemas.openxmlformats.org/officeDocument/2006/relationships/header" Target="header7.xml"/><Relationship Id="rId14" Type="http://schemas.openxmlformats.org/officeDocument/2006/relationships/header" Target="header2.xml"/><Relationship Id="rId35" Type="http://schemas.openxmlformats.org/officeDocument/2006/relationships/image" Target="media/image16.emf"/><Relationship Id="rId56" Type="http://schemas.openxmlformats.org/officeDocument/2006/relationships/image" Target="media/image37.png"/><Relationship Id="rId77" Type="http://schemas.openxmlformats.org/officeDocument/2006/relationships/image" Target="media/image45.png"/><Relationship Id="rId100" Type="http://schemas.openxmlformats.org/officeDocument/2006/relationships/image" Target="media/image68.png"/><Relationship Id="rId8" Type="http://schemas.openxmlformats.org/officeDocument/2006/relationships/image" Target="media/image1.png"/><Relationship Id="rId98" Type="http://schemas.openxmlformats.org/officeDocument/2006/relationships/image" Target="media/image66.png"/><Relationship Id="rId121" Type="http://schemas.openxmlformats.org/officeDocument/2006/relationships/oleObject" Target="embeddings/oleObject1.bin"/><Relationship Id="rId142" Type="http://schemas.openxmlformats.org/officeDocument/2006/relationships/image" Target="media/image98.wmf"/><Relationship Id="rId163" Type="http://schemas.openxmlformats.org/officeDocument/2006/relationships/image" Target="media/image104.wmf"/><Relationship Id="rId184" Type="http://schemas.openxmlformats.org/officeDocument/2006/relationships/image" Target="media/image112.wmf"/><Relationship Id="rId219" Type="http://schemas.openxmlformats.org/officeDocument/2006/relationships/image" Target="media/image130.jpeg"/><Relationship Id="rId230" Type="http://schemas.openxmlformats.org/officeDocument/2006/relationships/fontTable" Target="fontTable.xml"/><Relationship Id="rId25" Type="http://schemas.openxmlformats.org/officeDocument/2006/relationships/image" Target="media/image7.jpeg"/><Relationship Id="rId46" Type="http://schemas.openxmlformats.org/officeDocument/2006/relationships/image" Target="media/image27.jpeg"/><Relationship Id="rId67" Type="http://schemas.openxmlformats.org/officeDocument/2006/relationships/hyperlink" Target="mailto:info@ev-yol.ge" TargetMode="External"/><Relationship Id="rId116" Type="http://schemas.openxmlformats.org/officeDocument/2006/relationships/image" Target="media/image83.jpeg"/><Relationship Id="rId137" Type="http://schemas.openxmlformats.org/officeDocument/2006/relationships/oleObject" Target="embeddings/oleObject9.bin"/><Relationship Id="rId158" Type="http://schemas.openxmlformats.org/officeDocument/2006/relationships/oleObject" Target="embeddings/oleObject22.bin"/><Relationship Id="rId20" Type="http://schemas.openxmlformats.org/officeDocument/2006/relationships/hyperlink" Target="http://www.kocks-ing.de/en/" TargetMode="External"/><Relationship Id="rId41" Type="http://schemas.openxmlformats.org/officeDocument/2006/relationships/image" Target="media/image22.jpeg"/><Relationship Id="rId62" Type="http://schemas.openxmlformats.org/officeDocument/2006/relationships/hyperlink" Target="mailto:tbilcement@yahoo.com" TargetMode="External"/><Relationship Id="rId83" Type="http://schemas.openxmlformats.org/officeDocument/2006/relationships/image" Target="media/image51.png"/><Relationship Id="rId88" Type="http://schemas.openxmlformats.org/officeDocument/2006/relationships/image" Target="media/image56.png"/><Relationship Id="rId111" Type="http://schemas.openxmlformats.org/officeDocument/2006/relationships/image" Target="media/image79.png"/><Relationship Id="rId132" Type="http://schemas.openxmlformats.org/officeDocument/2006/relationships/image" Target="media/image93.wmf"/><Relationship Id="rId153" Type="http://schemas.openxmlformats.org/officeDocument/2006/relationships/oleObject" Target="embeddings/oleObject18.bin"/><Relationship Id="rId174" Type="http://schemas.openxmlformats.org/officeDocument/2006/relationships/oleObject" Target="embeddings/oleObject34.bin"/><Relationship Id="rId179" Type="http://schemas.openxmlformats.org/officeDocument/2006/relationships/image" Target="media/image110.wmf"/><Relationship Id="rId195" Type="http://schemas.openxmlformats.org/officeDocument/2006/relationships/header" Target="header3.xml"/><Relationship Id="rId209" Type="http://schemas.openxmlformats.org/officeDocument/2006/relationships/image" Target="media/image123.png"/><Relationship Id="rId190" Type="http://schemas.openxmlformats.org/officeDocument/2006/relationships/image" Target="media/image117.jpeg"/><Relationship Id="rId204" Type="http://schemas.openxmlformats.org/officeDocument/2006/relationships/image" Target="media/image121.png"/><Relationship Id="rId220" Type="http://schemas.openxmlformats.org/officeDocument/2006/relationships/image" Target="media/image131.jpeg"/><Relationship Id="rId225" Type="http://schemas.openxmlformats.org/officeDocument/2006/relationships/image" Target="media/image136.jpeg"/><Relationship Id="rId15" Type="http://schemas.openxmlformats.org/officeDocument/2006/relationships/footer" Target="footer2.xml"/><Relationship Id="rId36" Type="http://schemas.openxmlformats.org/officeDocument/2006/relationships/image" Target="media/image17.png"/><Relationship Id="rId57" Type="http://schemas.openxmlformats.org/officeDocument/2006/relationships/hyperlink" Target="mailto:akkord-georgia@akkordgroup.com" TargetMode="External"/><Relationship Id="rId106" Type="http://schemas.openxmlformats.org/officeDocument/2006/relationships/image" Target="media/image74.png"/><Relationship Id="rId127" Type="http://schemas.openxmlformats.org/officeDocument/2006/relationships/oleObject" Target="embeddings/oleObject4.bin"/><Relationship Id="rId10" Type="http://schemas.openxmlformats.org/officeDocument/2006/relationships/image" Target="media/image3.png"/><Relationship Id="rId31" Type="http://schemas.openxmlformats.org/officeDocument/2006/relationships/image" Target="media/image13.png"/><Relationship Id="rId52" Type="http://schemas.openxmlformats.org/officeDocument/2006/relationships/image" Target="media/image33.wmf"/><Relationship Id="rId73" Type="http://schemas.openxmlformats.org/officeDocument/2006/relationships/image" Target="media/image41.png"/><Relationship Id="rId78" Type="http://schemas.openxmlformats.org/officeDocument/2006/relationships/image" Target="media/image46.png"/><Relationship Id="rId94" Type="http://schemas.openxmlformats.org/officeDocument/2006/relationships/image" Target="media/image62.png"/><Relationship Id="rId99" Type="http://schemas.openxmlformats.org/officeDocument/2006/relationships/image" Target="media/image67.png"/><Relationship Id="rId101" Type="http://schemas.openxmlformats.org/officeDocument/2006/relationships/image" Target="media/image69.png"/><Relationship Id="rId122" Type="http://schemas.openxmlformats.org/officeDocument/2006/relationships/image" Target="media/image88.wmf"/><Relationship Id="rId143" Type="http://schemas.openxmlformats.org/officeDocument/2006/relationships/oleObject" Target="embeddings/oleObject12.bin"/><Relationship Id="rId148" Type="http://schemas.openxmlformats.org/officeDocument/2006/relationships/image" Target="media/image101.wmf"/><Relationship Id="rId164" Type="http://schemas.openxmlformats.org/officeDocument/2006/relationships/oleObject" Target="embeddings/oleObject27.bin"/><Relationship Id="rId169" Type="http://schemas.openxmlformats.org/officeDocument/2006/relationships/image" Target="media/image105.wmf"/><Relationship Id="rId185" Type="http://schemas.openxmlformats.org/officeDocument/2006/relationships/oleObject" Target="embeddings/oleObject40.bin"/><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oleObject" Target="embeddings/oleObject37.bin"/><Relationship Id="rId210" Type="http://schemas.openxmlformats.org/officeDocument/2006/relationships/hyperlink" Target="http://eunis.eea.europa.eu/species-names-result.jsp?&amp;pageSize=10&amp;scientificName=Canis+lupus&amp;relationOp=2&amp;typeForm=0&amp;showGroup=true&amp;showOrder=true&amp;showFamily=true&amp;showScientificName=true&amp;showVernacularNames=true&amp;showValidName=true&amp;searchSynonyms=true&amp;sort=2&amp;ascendency=0" TargetMode="External"/><Relationship Id="rId215" Type="http://schemas.openxmlformats.org/officeDocument/2006/relationships/image" Target="media/image126.jpeg"/><Relationship Id="rId26" Type="http://schemas.openxmlformats.org/officeDocument/2006/relationships/image" Target="media/image8.png"/><Relationship Id="rId231" Type="http://schemas.openxmlformats.org/officeDocument/2006/relationships/theme" Target="theme/theme1.xml"/><Relationship Id="rId47" Type="http://schemas.openxmlformats.org/officeDocument/2006/relationships/image" Target="media/image28.jpeg"/><Relationship Id="rId68" Type="http://schemas.openxmlformats.org/officeDocument/2006/relationships/hyperlink" Target="mailto:info@orionmittal.com" TargetMode="External"/><Relationship Id="rId89" Type="http://schemas.openxmlformats.org/officeDocument/2006/relationships/image" Target="media/image57.png"/><Relationship Id="rId112" Type="http://schemas.openxmlformats.org/officeDocument/2006/relationships/image" Target="media/image80.png"/><Relationship Id="rId133" Type="http://schemas.openxmlformats.org/officeDocument/2006/relationships/oleObject" Target="embeddings/oleObject7.bin"/><Relationship Id="rId154" Type="http://schemas.openxmlformats.org/officeDocument/2006/relationships/oleObject" Target="embeddings/oleObject19.bin"/><Relationship Id="rId175" Type="http://schemas.openxmlformats.org/officeDocument/2006/relationships/image" Target="media/image108.wmf"/><Relationship Id="rId196" Type="http://schemas.openxmlformats.org/officeDocument/2006/relationships/header" Target="header4.xml"/><Relationship Id="rId200" Type="http://schemas.openxmlformats.org/officeDocument/2006/relationships/hyperlink" Target="http://go.worldbank.org/7989W6YLJ1" TargetMode="External"/><Relationship Id="rId16" Type="http://schemas.openxmlformats.org/officeDocument/2006/relationships/hyperlink" Target="mailto:info@georoad.ge" TargetMode="External"/><Relationship Id="rId221" Type="http://schemas.openxmlformats.org/officeDocument/2006/relationships/image" Target="media/image132.jpeg"/><Relationship Id="rId37" Type="http://schemas.openxmlformats.org/officeDocument/2006/relationships/image" Target="media/image18.png"/><Relationship Id="rId58" Type="http://schemas.openxmlformats.org/officeDocument/2006/relationships/hyperlink" Target="mailto:jane@cni23.com" TargetMode="External"/><Relationship Id="rId79" Type="http://schemas.openxmlformats.org/officeDocument/2006/relationships/image" Target="media/image47.png"/><Relationship Id="rId102" Type="http://schemas.openxmlformats.org/officeDocument/2006/relationships/image" Target="media/image70.png"/><Relationship Id="rId123" Type="http://schemas.openxmlformats.org/officeDocument/2006/relationships/oleObject" Target="embeddings/oleObject2.bin"/><Relationship Id="rId144" Type="http://schemas.openxmlformats.org/officeDocument/2006/relationships/image" Target="media/image99.wmf"/><Relationship Id="rId90" Type="http://schemas.openxmlformats.org/officeDocument/2006/relationships/image" Target="media/image58.png"/><Relationship Id="rId165" Type="http://schemas.openxmlformats.org/officeDocument/2006/relationships/oleObject" Target="embeddings/oleObject28.bin"/><Relationship Id="rId186" Type="http://schemas.openxmlformats.org/officeDocument/2006/relationships/image" Target="media/image113.png"/><Relationship Id="rId211" Type="http://schemas.openxmlformats.org/officeDocument/2006/relationships/hyperlink" Target="http://eunis.eea.europa.eu/species-names-result.jsp?&amp;pageSize=10&amp;scientificName=Lutra+lutra&amp;relationOp=2&amp;typeForm=0&amp;showGroup=true&amp;showOrder=true&amp;showFamily=true&amp;showScientificName=true&amp;showVernacularNames=true&amp;showValidName=true&amp;searchSynonyms=true&amp;sort=2&amp;ascendency=0" TargetMode="External"/><Relationship Id="rId27" Type="http://schemas.openxmlformats.org/officeDocument/2006/relationships/image" Target="media/image9.jpeg"/><Relationship Id="rId48" Type="http://schemas.openxmlformats.org/officeDocument/2006/relationships/image" Target="media/image29.jpeg"/><Relationship Id="rId69" Type="http://schemas.openxmlformats.org/officeDocument/2006/relationships/image" Target="media/image38.wmf"/><Relationship Id="rId113" Type="http://schemas.openxmlformats.org/officeDocument/2006/relationships/image" Target="media/image81.jpeg"/><Relationship Id="rId134" Type="http://schemas.openxmlformats.org/officeDocument/2006/relationships/image" Target="media/image94.wmf"/><Relationship Id="rId80" Type="http://schemas.openxmlformats.org/officeDocument/2006/relationships/image" Target="media/image48.png"/><Relationship Id="rId155" Type="http://schemas.openxmlformats.org/officeDocument/2006/relationships/oleObject" Target="embeddings/oleObject20.bin"/><Relationship Id="rId176" Type="http://schemas.openxmlformats.org/officeDocument/2006/relationships/oleObject" Target="embeddings/oleObject35.bin"/><Relationship Id="rId197" Type="http://schemas.openxmlformats.org/officeDocument/2006/relationships/hyperlink" Target="http://www.georoad.ge" TargetMode="External"/><Relationship Id="rId201" Type="http://schemas.openxmlformats.org/officeDocument/2006/relationships/hyperlink" Target="mailto:info@georoad.ge" TargetMode="External"/><Relationship Id="rId222" Type="http://schemas.openxmlformats.org/officeDocument/2006/relationships/image" Target="media/image133.jpeg"/><Relationship Id="rId17" Type="http://schemas.openxmlformats.org/officeDocument/2006/relationships/hyperlink" Target="mailto:maya_vashakidze@yahoo.co.uk" TargetMode="External"/><Relationship Id="rId38" Type="http://schemas.openxmlformats.org/officeDocument/2006/relationships/image" Target="media/image19.png"/><Relationship Id="rId59" Type="http://schemas.openxmlformats.org/officeDocument/2006/relationships/hyperlink" Target="mailto:info@heidelbergcement.ge" TargetMode="External"/><Relationship Id="rId103" Type="http://schemas.openxmlformats.org/officeDocument/2006/relationships/image" Target="media/image71.png"/><Relationship Id="rId124" Type="http://schemas.openxmlformats.org/officeDocument/2006/relationships/image" Target="media/image89.wmf"/><Relationship Id="rId70" Type="http://schemas.openxmlformats.org/officeDocument/2006/relationships/image" Target="media/image39.wmf"/><Relationship Id="rId91" Type="http://schemas.openxmlformats.org/officeDocument/2006/relationships/image" Target="media/image59.png"/><Relationship Id="rId145" Type="http://schemas.openxmlformats.org/officeDocument/2006/relationships/oleObject" Target="embeddings/oleObject13.bin"/><Relationship Id="rId166" Type="http://schemas.openxmlformats.org/officeDocument/2006/relationships/oleObject" Target="embeddings/oleObject29.bin"/><Relationship Id="rId187" Type="http://schemas.openxmlformats.org/officeDocument/2006/relationships/image" Target="media/image114.jpeg"/><Relationship Id="rId1" Type="http://schemas.openxmlformats.org/officeDocument/2006/relationships/customXml" Target="../customXml/item1.xml"/><Relationship Id="rId212" Type="http://schemas.openxmlformats.org/officeDocument/2006/relationships/hyperlink" Target="http://eunis.eea.europa.eu/species-names-result.jsp?&amp;pageSize=10&amp;scientificName=Ursus+arctos&amp;relationOp=2&amp;typeForm=0&amp;showGroup=true&amp;showOrder=true&amp;showFamily=true&amp;showScientificName=true&amp;showVernacularNames=true&amp;showValidName=true&amp;searchSynonyms=true&amp;sort=2&amp;ascendency=0" TargetMode="External"/><Relationship Id="rId28" Type="http://schemas.openxmlformats.org/officeDocument/2006/relationships/image" Target="media/image10.png"/><Relationship Id="rId49" Type="http://schemas.openxmlformats.org/officeDocument/2006/relationships/image" Target="media/image30.jpeg"/><Relationship Id="rId114" Type="http://schemas.openxmlformats.org/officeDocument/2006/relationships/image" Target="media/image82.emf"/><Relationship Id="rId60" Type="http://schemas.openxmlformats.org/officeDocument/2006/relationships/hyperlink" Target="mailto:contacts@rustavisteel.com" TargetMode="External"/><Relationship Id="rId81" Type="http://schemas.openxmlformats.org/officeDocument/2006/relationships/image" Target="media/image49.png"/><Relationship Id="rId135" Type="http://schemas.openxmlformats.org/officeDocument/2006/relationships/oleObject" Target="embeddings/oleObject8.bin"/><Relationship Id="rId156" Type="http://schemas.openxmlformats.org/officeDocument/2006/relationships/image" Target="media/image103.wmf"/><Relationship Id="rId177" Type="http://schemas.openxmlformats.org/officeDocument/2006/relationships/image" Target="media/image109.wmf"/><Relationship Id="rId198" Type="http://schemas.openxmlformats.org/officeDocument/2006/relationships/hyperlink" Target="http://www.mapa.gov.ge" TargetMode="External"/><Relationship Id="rId202" Type="http://schemas.openxmlformats.org/officeDocument/2006/relationships/image" Target="media/image119.png"/><Relationship Id="rId223" Type="http://schemas.openxmlformats.org/officeDocument/2006/relationships/image" Target="media/image134.jpeg"/><Relationship Id="rId18" Type="http://schemas.openxmlformats.org/officeDocument/2006/relationships/hyperlink" Target="tel:%28%2B995%2032%29%202-30%2001%2002" TargetMode="External"/><Relationship Id="rId39" Type="http://schemas.openxmlformats.org/officeDocument/2006/relationships/image" Target="media/image20.png"/><Relationship Id="rId50" Type="http://schemas.openxmlformats.org/officeDocument/2006/relationships/image" Target="media/image31.png"/><Relationship Id="rId104" Type="http://schemas.openxmlformats.org/officeDocument/2006/relationships/image" Target="media/image72.png"/><Relationship Id="rId125" Type="http://schemas.openxmlformats.org/officeDocument/2006/relationships/oleObject" Target="embeddings/oleObject3.bin"/><Relationship Id="rId146" Type="http://schemas.openxmlformats.org/officeDocument/2006/relationships/image" Target="media/image100.wmf"/><Relationship Id="rId167" Type="http://schemas.openxmlformats.org/officeDocument/2006/relationships/oleObject" Target="embeddings/oleObject30.bin"/><Relationship Id="rId188" Type="http://schemas.openxmlformats.org/officeDocument/2006/relationships/image" Target="media/image115.jpeg"/><Relationship Id="rId71" Type="http://schemas.openxmlformats.org/officeDocument/2006/relationships/image" Target="media/image40.png"/><Relationship Id="rId92" Type="http://schemas.openxmlformats.org/officeDocument/2006/relationships/image" Target="media/image60.png"/><Relationship Id="rId213" Type="http://schemas.openxmlformats.org/officeDocument/2006/relationships/image" Target="media/image124.png"/><Relationship Id="rId2" Type="http://schemas.openxmlformats.org/officeDocument/2006/relationships/numbering" Target="numbering.xml"/><Relationship Id="rId29" Type="http://schemas.openxmlformats.org/officeDocument/2006/relationships/image" Target="media/image11.jpeg"/><Relationship Id="rId40" Type="http://schemas.openxmlformats.org/officeDocument/2006/relationships/image" Target="media/image21.jpeg"/><Relationship Id="rId115" Type="http://schemas.openxmlformats.org/officeDocument/2006/relationships/image" Target="media/image820.emf"/><Relationship Id="rId136" Type="http://schemas.openxmlformats.org/officeDocument/2006/relationships/image" Target="media/image95.wmf"/><Relationship Id="rId157" Type="http://schemas.openxmlformats.org/officeDocument/2006/relationships/oleObject" Target="embeddings/oleObject21.bin"/><Relationship Id="rId178" Type="http://schemas.openxmlformats.org/officeDocument/2006/relationships/oleObject" Target="embeddings/oleObject36.bin"/><Relationship Id="rId61" Type="http://schemas.openxmlformats.org/officeDocument/2006/relationships/hyperlink" Target="mailto:info@bsg.com.ge" TargetMode="External"/><Relationship Id="rId82" Type="http://schemas.openxmlformats.org/officeDocument/2006/relationships/image" Target="media/image50.jpeg"/><Relationship Id="rId199" Type="http://schemas.openxmlformats.org/officeDocument/2006/relationships/hyperlink" Target="mailto:maya_vashakidze@yahoo.co.uk" TargetMode="External"/><Relationship Id="rId203" Type="http://schemas.openxmlformats.org/officeDocument/2006/relationships/image" Target="media/image120.png"/><Relationship Id="rId19" Type="http://schemas.openxmlformats.org/officeDocument/2006/relationships/hyperlink" Target="http://www.btconsult.ge/" TargetMode="External"/><Relationship Id="rId224" Type="http://schemas.openxmlformats.org/officeDocument/2006/relationships/image" Target="media/image135.jpeg"/><Relationship Id="rId30" Type="http://schemas.openxmlformats.org/officeDocument/2006/relationships/image" Target="media/image12.jpeg"/><Relationship Id="rId105" Type="http://schemas.openxmlformats.org/officeDocument/2006/relationships/image" Target="media/image73.png"/><Relationship Id="rId126" Type="http://schemas.openxmlformats.org/officeDocument/2006/relationships/image" Target="media/image90.wmf"/><Relationship Id="rId147" Type="http://schemas.openxmlformats.org/officeDocument/2006/relationships/oleObject" Target="embeddings/oleObject14.bin"/><Relationship Id="rId168" Type="http://schemas.openxmlformats.org/officeDocument/2006/relationships/oleObject" Target="embeddings/oleObject31.bin"/><Relationship Id="rId51" Type="http://schemas.openxmlformats.org/officeDocument/2006/relationships/image" Target="media/image32.png"/><Relationship Id="rId72" Type="http://schemas.openxmlformats.org/officeDocument/2006/relationships/chart" Target="charts/chart1.xml"/><Relationship Id="rId93" Type="http://schemas.openxmlformats.org/officeDocument/2006/relationships/image" Target="media/image61.png"/><Relationship Id="rId189" Type="http://schemas.openxmlformats.org/officeDocument/2006/relationships/image" Target="media/image116.jpeg"/><Relationship Id="rId3" Type="http://schemas.openxmlformats.org/officeDocument/2006/relationships/styles" Target="styles.xml"/><Relationship Id="rId214" Type="http://schemas.openxmlformats.org/officeDocument/2006/relationships/image" Target="media/image125.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oleObject" Target="file:///D:\Excel%20Work%20Sheets%20for%20Design\Creep_Shrinkage_AASHTO.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22364217252402"/>
          <c:y val="4.8701298701298711E-2"/>
          <c:w val="0.86421725239616665"/>
          <c:h val="0.8116883116883129"/>
        </c:manualLayout>
      </c:layout>
      <c:scatterChart>
        <c:scatterStyle val="lineMarker"/>
        <c:varyColors val="0"/>
        <c:ser>
          <c:idx val="0"/>
          <c:order val="0"/>
          <c:spPr>
            <a:ln w="12700">
              <a:solidFill>
                <a:srgbClr val="800000"/>
              </a:solidFill>
              <a:prstDash val="solid"/>
            </a:ln>
          </c:spPr>
          <c:marker>
            <c:symbol val="none"/>
          </c:marker>
          <c:xVal>
            <c:numRef>
              <c:f>Sheet1!$K$4:$K$28</c:f>
              <c:numCache>
                <c:formatCode>General</c:formatCode>
                <c:ptCount val="25"/>
                <c:pt idx="0">
                  <c:v>7</c:v>
                </c:pt>
                <c:pt idx="1">
                  <c:v>10</c:v>
                </c:pt>
                <c:pt idx="2">
                  <c:v>20</c:v>
                </c:pt>
                <c:pt idx="3">
                  <c:v>25</c:v>
                </c:pt>
                <c:pt idx="4">
                  <c:v>30</c:v>
                </c:pt>
                <c:pt idx="5">
                  <c:v>45</c:v>
                </c:pt>
                <c:pt idx="6">
                  <c:v>60</c:v>
                </c:pt>
                <c:pt idx="7">
                  <c:v>75</c:v>
                </c:pt>
                <c:pt idx="8">
                  <c:v>100</c:v>
                </c:pt>
                <c:pt idx="9">
                  <c:v>130</c:v>
                </c:pt>
                <c:pt idx="10">
                  <c:v>175</c:v>
                </c:pt>
                <c:pt idx="11">
                  <c:v>249</c:v>
                </c:pt>
                <c:pt idx="12">
                  <c:v>320</c:v>
                </c:pt>
                <c:pt idx="13">
                  <c:v>420</c:v>
                </c:pt>
                <c:pt idx="14">
                  <c:v>560</c:v>
                </c:pt>
                <c:pt idx="15">
                  <c:v>750</c:v>
                </c:pt>
                <c:pt idx="16">
                  <c:v>1000</c:v>
                </c:pt>
                <c:pt idx="17">
                  <c:v>1500</c:v>
                </c:pt>
                <c:pt idx="18">
                  <c:v>1700</c:v>
                </c:pt>
                <c:pt idx="19">
                  <c:v>2400</c:v>
                </c:pt>
                <c:pt idx="20">
                  <c:v>3100</c:v>
                </c:pt>
                <c:pt idx="21">
                  <c:v>4500</c:v>
                </c:pt>
                <c:pt idx="22">
                  <c:v>5500</c:v>
                </c:pt>
                <c:pt idx="23">
                  <c:v>7500</c:v>
                </c:pt>
                <c:pt idx="24">
                  <c:v>10000</c:v>
                </c:pt>
              </c:numCache>
            </c:numRef>
          </c:xVal>
          <c:yVal>
            <c:numRef>
              <c:f>Sheet1!$O$4:$O$28</c:f>
              <c:numCache>
                <c:formatCode>0.0000</c:formatCode>
                <c:ptCount val="25"/>
                <c:pt idx="0">
                  <c:v>0.19189119502747926</c:v>
                </c:pt>
                <c:pt idx="1">
                  <c:v>0.25844776839268252</c:v>
                </c:pt>
                <c:pt idx="2">
                  <c:v>0.43411277945266791</c:v>
                </c:pt>
                <c:pt idx="3">
                  <c:v>0.50240958535410196</c:v>
                </c:pt>
                <c:pt idx="4">
                  <c:v>0.56127833964021001</c:v>
                </c:pt>
                <c:pt idx="5">
                  <c:v>0.69748975737997765</c:v>
                </c:pt>
                <c:pt idx="6">
                  <c:v>0.79381106840173299</c:v>
                </c:pt>
                <c:pt idx="7">
                  <c:v>0.86552713989136409</c:v>
                </c:pt>
                <c:pt idx="8">
                  <c:v>0.95148841438586562</c:v>
                </c:pt>
                <c:pt idx="9">
                  <c:v>1.02174096885096</c:v>
                </c:pt>
                <c:pt idx="10">
                  <c:v>1.0907722454652531</c:v>
                </c:pt>
                <c:pt idx="11">
                  <c:v>1.157938938599216</c:v>
                </c:pt>
                <c:pt idx="12">
                  <c:v>1.1966009027270521</c:v>
                </c:pt>
                <c:pt idx="13">
                  <c:v>1.2309186941646793</c:v>
                </c:pt>
                <c:pt idx="14">
                  <c:v>1.259823475487492</c:v>
                </c:pt>
                <c:pt idx="15">
                  <c:v>1.2827155028625761</c:v>
                </c:pt>
                <c:pt idx="16">
                  <c:v>1.300122882325339</c:v>
                </c:pt>
                <c:pt idx="17">
                  <c:v>1.3180092231638441</c:v>
                </c:pt>
                <c:pt idx="18">
                  <c:v>1.3222895282862481</c:v>
                </c:pt>
                <c:pt idx="19">
                  <c:v>1.3317503127540258</c:v>
                </c:pt>
                <c:pt idx="20">
                  <c:v>1.336996188343708</c:v>
                </c:pt>
                <c:pt idx="21">
                  <c:v>1.3426375336890581</c:v>
                </c:pt>
                <c:pt idx="22">
                  <c:v>1.3449221887799858</c:v>
                </c:pt>
                <c:pt idx="23">
                  <c:v>1.3476740591750398</c:v>
                </c:pt>
                <c:pt idx="24">
                  <c:v>1.3495725117115251</c:v>
                </c:pt>
              </c:numCache>
            </c:numRef>
          </c:yVal>
          <c:smooth val="0"/>
          <c:extLst>
            <c:ext xmlns:c16="http://schemas.microsoft.com/office/drawing/2014/chart" uri="{C3380CC4-5D6E-409C-BE32-E72D297353CC}">
              <c16:uniqueId val="{00000000-BEAE-45C4-9BE7-0EC137CEB48E}"/>
            </c:ext>
          </c:extLst>
        </c:ser>
        <c:dLbls>
          <c:showLegendKey val="0"/>
          <c:showVal val="0"/>
          <c:showCatName val="0"/>
          <c:showSerName val="0"/>
          <c:showPercent val="0"/>
          <c:showBubbleSize val="0"/>
        </c:dLbls>
        <c:axId val="472946944"/>
        <c:axId val="472957312"/>
      </c:scatterChart>
      <c:valAx>
        <c:axId val="472946944"/>
        <c:scaling>
          <c:orientation val="minMax"/>
          <c:max val="10000"/>
        </c:scaling>
        <c:delete val="0"/>
        <c:axPos val="b"/>
        <c:majorGridlines>
          <c:spPr>
            <a:ln w="3175">
              <a:solidFill>
                <a:srgbClr val="3366FF"/>
              </a:solidFill>
              <a:prstDash val="solid"/>
            </a:ln>
          </c:spPr>
        </c:majorGridlines>
        <c:title>
          <c:tx>
            <c:rich>
              <a:bodyPr/>
              <a:lstStyle/>
              <a:p>
                <a:pPr>
                  <a:defRPr lang="de-DE" sz="1000" b="0" i="0" u="none" strike="noStrike" baseline="0">
                    <a:solidFill>
                      <a:srgbClr val="000000"/>
                    </a:solidFill>
                    <a:latin typeface="Arial"/>
                    <a:ea typeface="Arial"/>
                    <a:cs typeface="Arial"/>
                  </a:defRPr>
                </a:pPr>
                <a:r>
                  <a:rPr lang="en-GB" sz="1000">
                    <a:latin typeface="AcadNusx" pitchFamily="2" charset="0"/>
                  </a:rPr>
                  <a:t>dro (dRe)</a:t>
                </a:r>
              </a:p>
            </c:rich>
          </c:tx>
          <c:layout>
            <c:manualLayout>
              <c:xMode val="edge"/>
              <c:yMode val="edge"/>
              <c:x val="0.48562300319488877"/>
              <c:y val="0.9188311688311682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lang="de-DE" sz="800" b="0" i="0" u="none" strike="noStrike" baseline="0">
                <a:solidFill>
                  <a:srgbClr val="000000"/>
                </a:solidFill>
                <a:latin typeface="Arial"/>
                <a:ea typeface="Arial"/>
                <a:cs typeface="Arial"/>
              </a:defRPr>
            </a:pPr>
            <a:endParaRPr lang="en-US"/>
          </a:p>
        </c:txPr>
        <c:crossAx val="472957312"/>
        <c:crosses val="autoZero"/>
        <c:crossBetween val="midCat"/>
      </c:valAx>
      <c:valAx>
        <c:axId val="472957312"/>
        <c:scaling>
          <c:orientation val="minMax"/>
        </c:scaling>
        <c:delete val="0"/>
        <c:axPos val="l"/>
        <c:majorGridlines>
          <c:spPr>
            <a:ln w="3175">
              <a:solidFill>
                <a:srgbClr val="3366FF"/>
              </a:solidFill>
              <a:prstDash val="solid"/>
            </a:ln>
          </c:spPr>
        </c:majorGridlines>
        <c:title>
          <c:tx>
            <c:rich>
              <a:bodyPr/>
              <a:lstStyle/>
              <a:p>
                <a:pPr>
                  <a:defRPr lang="de-DE" sz="1000" b="0" i="0" u="none" strike="noStrike" baseline="0">
                    <a:solidFill>
                      <a:srgbClr val="000000"/>
                    </a:solidFill>
                    <a:latin typeface="Arial"/>
                    <a:ea typeface="Arial"/>
                    <a:cs typeface="Arial"/>
                  </a:defRPr>
                </a:pPr>
                <a:r>
                  <a:rPr lang="en-GB" sz="1000">
                    <a:latin typeface="AcadNusx" pitchFamily="2" charset="0"/>
                  </a:rPr>
                  <a:t>cocvadobis koeficienti</a:t>
                </a:r>
              </a:p>
            </c:rich>
          </c:tx>
          <c:layout>
            <c:manualLayout>
              <c:xMode val="edge"/>
              <c:yMode val="edge"/>
              <c:x val="5.7041671160967897E-3"/>
              <c:y val="0.16017861833464653"/>
            </c:manualLayout>
          </c:layout>
          <c:overlay val="0"/>
          <c:spPr>
            <a:noFill/>
            <a:ln w="25400">
              <a:noFill/>
            </a:ln>
          </c:spPr>
        </c:title>
        <c:numFmt formatCode="0.00" sourceLinked="0"/>
        <c:majorTickMark val="out"/>
        <c:minorTickMark val="none"/>
        <c:tickLblPos val="nextTo"/>
        <c:spPr>
          <a:ln w="3175">
            <a:solidFill>
              <a:srgbClr val="000000"/>
            </a:solidFill>
            <a:prstDash val="solid"/>
          </a:ln>
        </c:spPr>
        <c:txPr>
          <a:bodyPr rot="0" vert="horz"/>
          <a:lstStyle/>
          <a:p>
            <a:pPr>
              <a:defRPr lang="de-DE" sz="800" b="0" i="0" u="none" strike="noStrike" baseline="0">
                <a:solidFill>
                  <a:srgbClr val="000000"/>
                </a:solidFill>
                <a:latin typeface="Arial"/>
                <a:ea typeface="Arial"/>
                <a:cs typeface="Arial"/>
              </a:defRPr>
            </a:pPr>
            <a:endParaRPr lang="en-US"/>
          </a:p>
        </c:txPr>
        <c:crossAx val="472946944"/>
        <c:crosses val="autoZero"/>
        <c:crossBetween val="midCat"/>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73013-8420-4FD4-9B80-16EE8BF0F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297</Pages>
  <Words>87145</Words>
  <Characters>496730</Characters>
  <Application>Microsoft Office Word</Application>
  <DocSecurity>0</DocSecurity>
  <Lines>4139</Lines>
  <Paragraphs>1165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Maia Vashakidze</dc:creator>
  <cp:keywords/>
  <dc:description/>
  <cp:lastModifiedBy>Maia Vashakidze</cp:lastModifiedBy>
  <cp:revision>25</cp:revision>
  <cp:lastPrinted>2018-11-30T08:57:00Z</cp:lastPrinted>
  <dcterms:created xsi:type="dcterms:W3CDTF">2019-01-25T07:27:00Z</dcterms:created>
  <dcterms:modified xsi:type="dcterms:W3CDTF">2019-02-20T15:01:00Z</dcterms:modified>
</cp:coreProperties>
</file>